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E6E4E1" w14:textId="77777777" w:rsidR="005C4849" w:rsidRPr="007122AB" w:rsidRDefault="005C4849" w:rsidP="007122AB">
      <w:pPr>
        <w:autoSpaceDE w:val="0"/>
        <w:autoSpaceDN w:val="0"/>
        <w:adjustRightInd w:val="0"/>
        <w:spacing w:after="0" w:line="240" w:lineRule="auto"/>
        <w:jc w:val="both"/>
        <w:rPr>
          <w:rFonts w:ascii="Times New Roman" w:hAnsi="Times New Roman"/>
          <w:b/>
          <w:bCs/>
          <w:color w:val="000000" w:themeColor="text1"/>
          <w:sz w:val="16"/>
          <w:szCs w:val="16"/>
        </w:rPr>
      </w:pPr>
      <w:r w:rsidRPr="007122AB">
        <w:rPr>
          <w:rFonts w:ascii="Times New Roman" w:hAnsi="Times New Roman"/>
          <w:b/>
          <w:bCs/>
          <w:color w:val="000000" w:themeColor="text1"/>
          <w:sz w:val="16"/>
          <w:szCs w:val="16"/>
        </w:rPr>
        <w:t>1931</w:t>
      </w:r>
    </w:p>
    <w:p w14:paraId="58E78AAA" w14:textId="77777777" w:rsidR="005D3B62" w:rsidRPr="007122AB" w:rsidRDefault="005D3B62"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45BF909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11A11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25BF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1931 г. ВВС РККА получили первые бомбы ФАБ-100, ФАБ-250, ФАБ- 500 и ФАБ-1000. Через год их производство было налажено, а выпуск АФ-82 прекратили. Четырехмоторные ТБ-3 уже получили возможность нести весь этот ассортимент. Самая большая бомба, ФАБ- 1000 (она же АФ-1000), подвешивалась снаружи под фюзеляжем.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верхнюю часть строения. ФАБ-1000 давала воронку диаметром 17 м и глубиной 4 м. Но основным оружием для ТБ-3 считались "сотки", два десятка которых он нес на кассетных держателях в фюзеляже (12036).</w:t>
      </w:r>
    </w:p>
    <w:p w14:paraId="0335D8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C2BC72" w14:textId="77777777" w:rsidR="008F5899" w:rsidRPr="007122AB" w:rsidRDefault="008F5899"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0C445F9" w14:textId="77777777" w:rsidR="008F5899" w:rsidRPr="007122AB" w:rsidRDefault="008F589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BD22CC"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К началу 1931 года Авиационный завод № 1 имени Осоавиахима был огромным предприятием, включавшим в себя не только самолетостроение, но и велосипедное, колесное, радиаторное, приборостроительное и другие производства. Все это находилось на одной территории и сильно мешало выпуску основной продукции – аэропланов. С мая 1931 года началось перевооружение боевой авиации страны.</w:t>
      </w:r>
    </w:p>
    <w:p w14:paraId="06ECAE93"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Предполагалось создать 12 легкобомбардировочных эскадрилий (по 30 самолетов) а также 9 разведывательных эскадрилий и 4 корпусных отряда, вооруженных самолетами Р-5. Для этого нужно было модернизировать завод № 1. Из него исключили велосипедное, колесное, радиаторное, приборостроительное производства. Все эти цеха стали самостоятельными предприятиями.</w:t>
      </w:r>
    </w:p>
    <w:p w14:paraId="40F1F54D"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Самолетостроительный завод получил новую территорию около центрального аэродрома, где было возведено несколько новых корпусов. В них разместились столярный, малярный, обойный и сборочный цеха и вновь созданный </w:t>
      </w:r>
      <w:proofErr w:type="spellStart"/>
      <w:r w:rsidRPr="007122AB">
        <w:rPr>
          <w:color w:val="000000" w:themeColor="text1"/>
          <w:sz w:val="16"/>
          <w:szCs w:val="16"/>
        </w:rPr>
        <w:t>фюзеляжно</w:t>
      </w:r>
      <w:proofErr w:type="spellEnd"/>
      <w:r w:rsidRPr="007122AB">
        <w:rPr>
          <w:color w:val="000000" w:themeColor="text1"/>
          <w:sz w:val="16"/>
          <w:szCs w:val="16"/>
        </w:rPr>
        <w:t xml:space="preserve">-сварочный цех, а также экспедиция, тир и летно-испытательная станция. На старой территории остались отпочковавшиеся завод № 32 (вооружение, колеса, радиаторы) и металлургический завод № 34 (литье, прокатка специальных </w:t>
      </w:r>
      <w:proofErr w:type="spellStart"/>
      <w:r w:rsidRPr="007122AB">
        <w:rPr>
          <w:color w:val="000000" w:themeColor="text1"/>
          <w:sz w:val="16"/>
          <w:szCs w:val="16"/>
        </w:rPr>
        <w:t>авиаматериалов</w:t>
      </w:r>
      <w:proofErr w:type="spellEnd"/>
      <w:r w:rsidRPr="007122AB">
        <w:rPr>
          <w:color w:val="000000" w:themeColor="text1"/>
          <w:sz w:val="16"/>
          <w:szCs w:val="16"/>
        </w:rPr>
        <w:t>).</w:t>
      </w:r>
    </w:p>
    <w:p w14:paraId="1D5C51C8"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На заводе № 1 началась большая реконструкция, рассчитанная на выпуск 5 000 самолетов в год, а также малая (промежуточная) реконструкция, позволявшая строить до 1200 самолетов, а при трехсменной работе - в полтора раза больше. Малая реконструкция предусматривала введение поточной системы производства, изготовление новых стапелей и различных приспособлений. Но строительство самолетов в мире так стремительно развивалось, а снабжение нашего завода, в том числе и моторами так отставало, что производственная программа в 1931 году менялась 4 раза. И выполнена была только по выпуску истребителей И-3 и И-7. Выпуск самолетов Р-5 и И-5 составил лишь 74 процента от планового. На завод была направлена партийная комиссия. Она составила акт, который сохранился и хорошо отражает положение дел не только в передовом авиационном производстве, но, пожалуй, и во всей экономике страны в целом.</w:t>
      </w:r>
    </w:p>
    <w:p w14:paraId="79BA3214"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Среди причин невыполнения плана были указаны неразбериха и лихорадка в изменениях программы. Неудовлетворительное по срокам и неполное поступление моторов. Пуск в серийное производство сырых конструкций самолетов, что вело к частому изменению чертежей и деталей. Например, по самолету И-5 за год было внесено 914 изменений, а по чертежам 270 000. Поставка недоброкачественных узлов, деталей и материалов. Однажды из всех цехов пришлось изъять 50 тысяч готовых деталей и все направить в лабораторию для испытания на прочность. Отмечен огромный перерасход материалов из-за непродуманного заказа размеров заготовок. А кроме того нерациональное использование мощностей цехов, высокий процент простоев (11 процентов от полной мощности). И в то же время большое количество сверхурочных работ (тоже 11 процентов от общего рабочего времени).</w:t>
      </w:r>
    </w:p>
    <w:p w14:paraId="772033F4"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Велика была текучесть руководящего технического персонала. За год сменилось 4 начальника сборочного цеха, 3 - механического, 3 - слесарного и примерно столько же в отделах завода. Был отмечен высокий процент брака в инструментальном цехе.</w:t>
      </w:r>
    </w:p>
    <w:p w14:paraId="2976203D"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С кадрами оказалось тоже не все в порядке. Комиссия отметила, что завод полностью укомплектован рабочими и инженерами, но страдает от огромного недостатка квалифицированной рабочей силы. Основная масса работающих имеет стаж от одного до трех лет. Руководству завода было предложено срочно принять меры к устранению недостатков (19827).</w:t>
      </w:r>
    </w:p>
    <w:p w14:paraId="33BF7CBB" w14:textId="77777777" w:rsidR="008F5899" w:rsidRPr="007122AB" w:rsidRDefault="008F5899" w:rsidP="007122AB">
      <w:pPr>
        <w:pStyle w:val="ae"/>
        <w:shd w:val="clear" w:color="auto" w:fill="FFFFFF"/>
        <w:spacing w:before="0" w:after="0"/>
        <w:jc w:val="both"/>
        <w:rPr>
          <w:color w:val="000000" w:themeColor="text1"/>
          <w:sz w:val="16"/>
          <w:szCs w:val="16"/>
        </w:rPr>
      </w:pPr>
    </w:p>
    <w:p w14:paraId="683AF801" w14:textId="77777777" w:rsidR="00365C94" w:rsidRPr="007122AB" w:rsidRDefault="00365C9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9491AD3" w14:textId="77777777" w:rsidR="00365C94" w:rsidRPr="007122AB" w:rsidRDefault="00365C9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1182D1" w14:textId="77777777" w:rsidR="00365C94" w:rsidRPr="007122AB" w:rsidRDefault="00365C9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 началу 1931 года состояние программы Т-20 иначе, как кошмарным, не назвать. Ходовые испытания танка с мотором Т-18 показали, что проблемы с ходовой частью никуда не делись. Испытания мотора в Т-20 тут же выявили перегрев силовой установки, она ушла на доделку. Фактически это означало, что танка нет. На фоне проблем с Т-12 ситуация с более важным для УММ КА танком стала последней каплей (20852).</w:t>
      </w:r>
    </w:p>
    <w:p w14:paraId="05D45FB3" w14:textId="77777777" w:rsidR="00365C94" w:rsidRPr="007122AB" w:rsidRDefault="00365C9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420F11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ECDF36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0037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новому 1931 году в ВВС РККА имелось уже 52 новых бомбардировщика ТБ-1, 45 из них исправных. Продолжалось доукомплектование 11-й бригады. Ее экипажи стали принимать самолеты в Москве, на заводском аэродроме. Так, в мае 1931 г. ТБ-1 оттуда перегоняли летчики 51-й и 59-й эскадрилий. Ставилась задача в кратчайшие сроки довести бригаду до полной боеготовности. Учебные полеты велись очень интенсивно. Не обходилось и без аварий. Командир одного из отрядов 51-й эскадрильи Павлов ночью потерял ориентацию в пространстве; самолет врезался в землю. По счастью, экипаж отделался лишь ранениями. В подмосковном Монино формировали сразу две бригады - 17-ю и 23-ю. К этому времени тяжелобомбардировочные бригады стали иметь по четыре эскадрильи по 12 самолетов в каждой (12001).</w:t>
      </w:r>
    </w:p>
    <w:p w14:paraId="3960C4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6D3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Новому 1931 году в ВВС РККА имелось уже 52 новых бомбардировщика ТБ-1, 45 из которых были исправны. 57-я эскадрилья получила первые ТБ-1 в августе 1930 г., 55-я - в октябре.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(12024).</w:t>
      </w:r>
    </w:p>
    <w:p w14:paraId="07EC3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3A398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3BE943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47D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ТОМ-1 привезли в Севастополь и до августа собирали, а потом испытали. Все получилось неплохо, но был готов ТБ-1 и его можно было ставить на поплавки (92,380).</w:t>
      </w:r>
    </w:p>
    <w:p w14:paraId="4C26B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 хера себе - с января по август собирали.</w:t>
      </w:r>
    </w:p>
    <w:p w14:paraId="04BEA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1F86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января 1931 начались заводские испытания МТБ-1 2М-17 и параллельно вели доводки. Летали и во время полета на гор. скорость лопнул шатун и повредил </w:t>
      </w: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Усиливали поплавки и шасси (3029,213).</w:t>
      </w:r>
    </w:p>
    <w:p w14:paraId="74777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A80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г. с Р-1 проложили линию длиной 2,5 км. Самолет сбрасывал с парашютом полевой телефонный аппарат и с высоты 100 м начинал разматывать с катушки провод; в конце с машины сбрасывали второй аппарат (11923).</w:t>
      </w:r>
    </w:p>
    <w:p w14:paraId="16224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Р-1 разрабатывали первые десантные подвески, специальные мешки и короба. Так, именно на нем испытывали «картонажный </w:t>
      </w:r>
      <w:proofErr w:type="spellStart"/>
      <w:r w:rsidRPr="007122AB">
        <w:rPr>
          <w:rFonts w:ascii="Times New Roman" w:hAnsi="Times New Roman"/>
          <w:color w:val="000000" w:themeColor="text1"/>
          <w:sz w:val="16"/>
          <w:szCs w:val="16"/>
        </w:rPr>
        <w:t>авиасбрасыватель</w:t>
      </w:r>
      <w:proofErr w:type="spellEnd"/>
      <w:r w:rsidRPr="007122AB">
        <w:rPr>
          <w:rFonts w:ascii="Times New Roman" w:hAnsi="Times New Roman"/>
          <w:color w:val="000000" w:themeColor="text1"/>
          <w:sz w:val="16"/>
          <w:szCs w:val="16"/>
        </w:rPr>
        <w:t>» - сигару из плотного картона с контейнером для парашюта Г-2 на одном конце. В него упаковывались шесть винтовок или цинки с 5000 патронов. Альтернативой являлся грузовой мешок Г-3, тоже с парашютом. В него можно было уложить три 76-мм снаряда или три ручных пулемета ДП или три ящика с пулеметными лентами. Еще большей емкостью обладал комплект на базе грузового парашюта типа 3А. Он включал несколько видов цилиндрических контейнеров для грузов разных типов весом до 60 кг. В один контейнер могли войти четыре пулемета «Льюис» или шесть ДП, 64 гранаты, семь 76-мм снарядов. Предусматривались баки для воды, бензина и масла. В двух цилиндрах размещалась разобранная динамо-реактивная (безоткатная) пушка: в одном ствол, в другом замок, тренога и прицел. Р-1 мог нести по одному мешку или коробу с каждой стороны под нижним крылом. Известный изобретатель П.И. Гроховский в НИИ ВВС спроектировал и построил специальный вариант Р-1 для тренировки в воздушной стрельбе, названный «Воздушный полигон». Переоборудованный самолет нес в общей сложности шесть полотняных рукавов и шесть фанерных мишеней, которые могли выпускаться в разной последовательности. Общий вес дополнительного оборудования составлял 84 кг. На испытаниях сделали четыре полета. Скорость самолета упала на 40-50 км/ч. Кроме того сочли, что конструкция недостаточно прочна, а тросы, на которых тянули мишени, слишком коротки (11923).</w:t>
      </w:r>
    </w:p>
    <w:p w14:paraId="3C19F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5515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г. при ЦАГИ организовано Бюро особых конструкций (БОК) (6395).</w:t>
      </w:r>
    </w:p>
    <w:p w14:paraId="3D27AB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E423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января 1931 по инициативе начальника ГУАП П.И.Б. при ЦАГИ было организовано БОК под руководством </w:t>
      </w:r>
      <w:proofErr w:type="spellStart"/>
      <w:r w:rsidRPr="007122AB">
        <w:rPr>
          <w:rFonts w:ascii="Times New Roman" w:hAnsi="Times New Roman"/>
          <w:color w:val="000000" w:themeColor="text1"/>
          <w:sz w:val="16"/>
          <w:szCs w:val="16"/>
        </w:rPr>
        <w:t>В.А.Чижевского</w:t>
      </w:r>
      <w:proofErr w:type="spellEnd"/>
      <w:r w:rsidRPr="007122AB">
        <w:rPr>
          <w:rFonts w:ascii="Times New Roman" w:hAnsi="Times New Roman"/>
          <w:color w:val="000000" w:themeColor="text1"/>
          <w:sz w:val="16"/>
          <w:szCs w:val="16"/>
        </w:rPr>
        <w:t xml:space="preserve"> (438,618).</w:t>
      </w:r>
    </w:p>
    <w:p w14:paraId="0C1FE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38822B" w14:textId="77777777" w:rsidR="001002C3" w:rsidRPr="007122AB" w:rsidRDefault="001002C3" w:rsidP="007122AB">
      <w:pPr>
        <w:spacing w:after="0" w:line="240" w:lineRule="auto"/>
        <w:jc w:val="both"/>
        <w:rPr>
          <w:rFonts w:ascii="Times New Roman" w:hAnsi="Times New Roman"/>
          <w:color w:val="0070C0"/>
          <w:sz w:val="16"/>
          <w:szCs w:val="16"/>
        </w:rPr>
      </w:pPr>
      <w:r w:rsidRPr="007122AB">
        <w:rPr>
          <w:rFonts w:ascii="Times New Roman" w:hAnsi="Times New Roman"/>
          <w:color w:val="0070C0"/>
          <w:sz w:val="16"/>
          <w:szCs w:val="16"/>
        </w:rPr>
        <w:t>1 января 1931 г. в соответствии о постановлением РВС СССР от 20 ноября 1930 года в ЦАГИ организовано Бюро особых конструкций /БОК/ для изучения всех новых вопросов в области летания и для создания новых, необычных схем летательных аппаратов. Начальником БОК был назначен инженер Владимир Антонович Чижевский. БОК вело работы по высотным самолетам, самолетам-</w:t>
      </w:r>
      <w:proofErr w:type="spellStart"/>
      <w:r w:rsidRPr="007122AB">
        <w:rPr>
          <w:rFonts w:ascii="Times New Roman" w:hAnsi="Times New Roman"/>
          <w:color w:val="0070C0"/>
          <w:sz w:val="16"/>
          <w:szCs w:val="16"/>
        </w:rPr>
        <w:t>бесхвосткам</w:t>
      </w:r>
      <w:proofErr w:type="spellEnd"/>
      <w:r w:rsidRPr="007122AB">
        <w:rPr>
          <w:rFonts w:ascii="Times New Roman" w:hAnsi="Times New Roman"/>
          <w:color w:val="0070C0"/>
          <w:sz w:val="16"/>
          <w:szCs w:val="16"/>
        </w:rPr>
        <w:t>, реактивным самолетам, вертолетам и т.п. Существовало до 1941 года.</w:t>
      </w:r>
    </w:p>
    <w:p w14:paraId="4BE675F3" w14:textId="77777777" w:rsidR="001002C3" w:rsidRPr="007122AB" w:rsidRDefault="001002C3" w:rsidP="007122AB">
      <w:pPr>
        <w:spacing w:after="0" w:line="240" w:lineRule="auto"/>
        <w:jc w:val="both"/>
        <w:rPr>
          <w:rFonts w:ascii="Times New Roman" w:hAnsi="Times New Roman"/>
          <w:color w:val="0070C0"/>
          <w:sz w:val="16"/>
          <w:szCs w:val="16"/>
        </w:rPr>
      </w:pPr>
      <w:r w:rsidRPr="007122AB">
        <w:rPr>
          <w:rFonts w:ascii="Times New Roman" w:hAnsi="Times New Roman"/>
          <w:color w:val="0070C0"/>
          <w:sz w:val="16"/>
          <w:szCs w:val="16"/>
        </w:rPr>
        <w:t>/По материалам В. Б. Шаврова/ (23370).</w:t>
      </w:r>
    </w:p>
    <w:p w14:paraId="6347CC4F" w14:textId="77777777" w:rsidR="001002C3" w:rsidRPr="007122AB" w:rsidRDefault="001002C3" w:rsidP="007122AB">
      <w:pPr>
        <w:spacing w:after="0" w:line="240" w:lineRule="auto"/>
        <w:jc w:val="both"/>
        <w:rPr>
          <w:rFonts w:ascii="Times New Roman" w:hAnsi="Times New Roman"/>
          <w:color w:val="0070C0"/>
          <w:sz w:val="16"/>
          <w:szCs w:val="16"/>
        </w:rPr>
      </w:pPr>
    </w:p>
    <w:p w14:paraId="3E4A2C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января 1931 самолетный парк включал (66,179):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48"/>
        <w:gridCol w:w="987"/>
        <w:gridCol w:w="987"/>
        <w:gridCol w:w="987"/>
      </w:tblGrid>
      <w:tr w:rsidR="001002C3" w:rsidRPr="007122AB" w14:paraId="13E24611" w14:textId="77777777">
        <w:tc>
          <w:tcPr>
            <w:tcW w:w="1548" w:type="dxa"/>
          </w:tcPr>
          <w:p w14:paraId="3E971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987" w:type="dxa"/>
          </w:tcPr>
          <w:p w14:paraId="45FA7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Исправные</w:t>
            </w:r>
          </w:p>
        </w:tc>
        <w:tc>
          <w:tcPr>
            <w:tcW w:w="987" w:type="dxa"/>
          </w:tcPr>
          <w:p w14:paraId="347795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Неисправные</w:t>
            </w:r>
          </w:p>
        </w:tc>
        <w:tc>
          <w:tcPr>
            <w:tcW w:w="987" w:type="dxa"/>
          </w:tcPr>
          <w:p w14:paraId="6AB09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r>
      <w:tr w:rsidR="001002C3" w:rsidRPr="007122AB" w14:paraId="7C38B732" w14:textId="77777777">
        <w:tc>
          <w:tcPr>
            <w:tcW w:w="1548" w:type="dxa"/>
          </w:tcPr>
          <w:p w14:paraId="6AA6B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Сухопутные:</w:t>
            </w:r>
          </w:p>
        </w:tc>
        <w:tc>
          <w:tcPr>
            <w:tcW w:w="987" w:type="dxa"/>
          </w:tcPr>
          <w:p w14:paraId="187A6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2A74B9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5AF4CB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5334D8D" w14:textId="77777777">
        <w:tc>
          <w:tcPr>
            <w:tcW w:w="1548" w:type="dxa"/>
          </w:tcPr>
          <w:p w14:paraId="26D8F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987" w:type="dxa"/>
          </w:tcPr>
          <w:p w14:paraId="6CE63C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w:t>
            </w:r>
          </w:p>
        </w:tc>
        <w:tc>
          <w:tcPr>
            <w:tcW w:w="987" w:type="dxa"/>
          </w:tcPr>
          <w:p w14:paraId="57B327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987" w:type="dxa"/>
          </w:tcPr>
          <w:p w14:paraId="0F01D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tc>
      </w:tr>
      <w:tr w:rsidR="001002C3" w:rsidRPr="007122AB" w14:paraId="3FAF345C" w14:textId="77777777">
        <w:tc>
          <w:tcPr>
            <w:tcW w:w="1548" w:type="dxa"/>
          </w:tcPr>
          <w:p w14:paraId="2C32EF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987" w:type="dxa"/>
          </w:tcPr>
          <w:p w14:paraId="392322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1214</w:t>
            </w:r>
          </w:p>
        </w:tc>
        <w:tc>
          <w:tcPr>
            <w:tcW w:w="987" w:type="dxa"/>
          </w:tcPr>
          <w:p w14:paraId="1401FF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303</w:t>
            </w:r>
          </w:p>
        </w:tc>
        <w:tc>
          <w:tcPr>
            <w:tcW w:w="987" w:type="dxa"/>
          </w:tcPr>
          <w:p w14:paraId="2BBE54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1517</w:t>
            </w:r>
          </w:p>
        </w:tc>
      </w:tr>
      <w:tr w:rsidR="001002C3" w:rsidRPr="007122AB" w14:paraId="7CCCACE9" w14:textId="77777777">
        <w:tc>
          <w:tcPr>
            <w:tcW w:w="1548" w:type="dxa"/>
          </w:tcPr>
          <w:p w14:paraId="3F787F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987" w:type="dxa"/>
          </w:tcPr>
          <w:p w14:paraId="0CB654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tc>
        <w:tc>
          <w:tcPr>
            <w:tcW w:w="987" w:type="dxa"/>
          </w:tcPr>
          <w:p w14:paraId="49E1F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987" w:type="dxa"/>
          </w:tcPr>
          <w:p w14:paraId="7C87B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r>
      <w:tr w:rsidR="001002C3" w:rsidRPr="007122AB" w14:paraId="6FD701B9" w14:textId="77777777">
        <w:tc>
          <w:tcPr>
            <w:tcW w:w="1548" w:type="dxa"/>
          </w:tcPr>
          <w:p w14:paraId="53126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И-2</w:t>
            </w:r>
          </w:p>
        </w:tc>
        <w:tc>
          <w:tcPr>
            <w:tcW w:w="987" w:type="dxa"/>
          </w:tcPr>
          <w:p w14:paraId="04A15D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tc>
        <w:tc>
          <w:tcPr>
            <w:tcW w:w="987" w:type="dxa"/>
          </w:tcPr>
          <w:p w14:paraId="3D868C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987" w:type="dxa"/>
          </w:tcPr>
          <w:p w14:paraId="6DB5B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w:t>
            </w:r>
          </w:p>
        </w:tc>
      </w:tr>
      <w:tr w:rsidR="001002C3" w:rsidRPr="007122AB" w14:paraId="7DFC5554" w14:textId="77777777">
        <w:tc>
          <w:tcPr>
            <w:tcW w:w="1548" w:type="dxa"/>
          </w:tcPr>
          <w:p w14:paraId="266A02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И-2бис</w:t>
            </w:r>
          </w:p>
        </w:tc>
        <w:tc>
          <w:tcPr>
            <w:tcW w:w="987" w:type="dxa"/>
          </w:tcPr>
          <w:p w14:paraId="4BDCAF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w:t>
            </w:r>
          </w:p>
        </w:tc>
        <w:tc>
          <w:tcPr>
            <w:tcW w:w="987" w:type="dxa"/>
          </w:tcPr>
          <w:p w14:paraId="6C350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987" w:type="dxa"/>
          </w:tcPr>
          <w:p w14:paraId="497DE6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w:t>
            </w:r>
          </w:p>
        </w:tc>
      </w:tr>
      <w:tr w:rsidR="00EA061A" w:rsidRPr="00EA061A" w14:paraId="5AB68556" w14:textId="77777777">
        <w:tc>
          <w:tcPr>
            <w:tcW w:w="1548" w:type="dxa"/>
          </w:tcPr>
          <w:p w14:paraId="54627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w:t>
            </w:r>
          </w:p>
        </w:tc>
        <w:tc>
          <w:tcPr>
            <w:tcW w:w="987" w:type="dxa"/>
          </w:tcPr>
          <w:p w14:paraId="5F920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c>
          <w:tcPr>
            <w:tcW w:w="987" w:type="dxa"/>
          </w:tcPr>
          <w:p w14:paraId="00C7C0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987" w:type="dxa"/>
          </w:tcPr>
          <w:p w14:paraId="0A28CF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279</w:t>
            </w:r>
          </w:p>
        </w:tc>
      </w:tr>
      <w:tr w:rsidR="00EA061A" w:rsidRPr="007122AB" w14:paraId="3C288572" w14:textId="77777777">
        <w:tc>
          <w:tcPr>
            <w:tcW w:w="1548" w:type="dxa"/>
          </w:tcPr>
          <w:p w14:paraId="27262D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w:t>
            </w:r>
          </w:p>
        </w:tc>
        <w:tc>
          <w:tcPr>
            <w:tcW w:w="987" w:type="dxa"/>
          </w:tcPr>
          <w:p w14:paraId="7EA72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138</w:t>
            </w:r>
          </w:p>
        </w:tc>
        <w:tc>
          <w:tcPr>
            <w:tcW w:w="987" w:type="dxa"/>
          </w:tcPr>
          <w:p w14:paraId="6D9D3D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987" w:type="dxa"/>
          </w:tcPr>
          <w:p w14:paraId="4452E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r>
      <w:tr w:rsidR="00EA061A" w:rsidRPr="007122AB" w14:paraId="349C8544" w14:textId="77777777">
        <w:tc>
          <w:tcPr>
            <w:tcW w:w="1548" w:type="dxa"/>
          </w:tcPr>
          <w:p w14:paraId="79943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987" w:type="dxa"/>
          </w:tcPr>
          <w:p w14:paraId="4701B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987" w:type="dxa"/>
          </w:tcPr>
          <w:p w14:paraId="276FDB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093AE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r>
      <w:tr w:rsidR="00EA061A" w:rsidRPr="007122AB" w14:paraId="41101CA2" w14:textId="77777777">
        <w:tc>
          <w:tcPr>
            <w:tcW w:w="1548" w:type="dxa"/>
          </w:tcPr>
          <w:p w14:paraId="73B14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ФС-4</w:t>
            </w:r>
          </w:p>
        </w:tc>
        <w:tc>
          <w:tcPr>
            <w:tcW w:w="987" w:type="dxa"/>
          </w:tcPr>
          <w:p w14:paraId="73BEA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987" w:type="dxa"/>
          </w:tcPr>
          <w:p w14:paraId="75706C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987" w:type="dxa"/>
          </w:tcPr>
          <w:p w14:paraId="7507A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w:t>
            </w:r>
          </w:p>
        </w:tc>
      </w:tr>
      <w:tr w:rsidR="00EA061A" w:rsidRPr="007122AB" w14:paraId="1ABCC07E" w14:textId="77777777">
        <w:tc>
          <w:tcPr>
            <w:tcW w:w="1548" w:type="dxa"/>
          </w:tcPr>
          <w:p w14:paraId="22274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ФД-6</w:t>
            </w:r>
          </w:p>
        </w:tc>
        <w:tc>
          <w:tcPr>
            <w:tcW w:w="987" w:type="dxa"/>
          </w:tcPr>
          <w:p w14:paraId="582BFA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987" w:type="dxa"/>
          </w:tcPr>
          <w:p w14:paraId="2A2996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186FF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r>
      <w:tr w:rsidR="00EA061A" w:rsidRPr="007122AB" w14:paraId="30FC8848" w14:textId="77777777">
        <w:tc>
          <w:tcPr>
            <w:tcW w:w="1548" w:type="dxa"/>
          </w:tcPr>
          <w:p w14:paraId="56316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ФД-11</w:t>
            </w:r>
          </w:p>
        </w:tc>
        <w:tc>
          <w:tcPr>
            <w:tcW w:w="987" w:type="dxa"/>
          </w:tcPr>
          <w:p w14:paraId="400A4E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tc>
        <w:tc>
          <w:tcPr>
            <w:tcW w:w="987" w:type="dxa"/>
          </w:tcPr>
          <w:p w14:paraId="6663A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987" w:type="dxa"/>
          </w:tcPr>
          <w:p w14:paraId="18954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w:t>
            </w:r>
          </w:p>
        </w:tc>
      </w:tr>
      <w:tr w:rsidR="00EA061A" w:rsidRPr="007122AB" w14:paraId="062BAF25" w14:textId="77777777">
        <w:tc>
          <w:tcPr>
            <w:tcW w:w="1548" w:type="dxa"/>
          </w:tcPr>
          <w:p w14:paraId="630512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Мартинсайд</w:t>
            </w:r>
            <w:proofErr w:type="spellEnd"/>
          </w:p>
        </w:tc>
        <w:tc>
          <w:tcPr>
            <w:tcW w:w="987" w:type="dxa"/>
          </w:tcPr>
          <w:p w14:paraId="5495BC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0F752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1C446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EA061A" w:rsidRPr="007122AB" w14:paraId="4D51172C" w14:textId="77777777">
        <w:tc>
          <w:tcPr>
            <w:tcW w:w="1548" w:type="dxa"/>
          </w:tcPr>
          <w:p w14:paraId="54EAC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Хейнкель</w:t>
            </w:r>
          </w:p>
        </w:tc>
        <w:tc>
          <w:tcPr>
            <w:tcW w:w="987" w:type="dxa"/>
          </w:tcPr>
          <w:p w14:paraId="4D30F0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69933E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50BF1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EA061A" w:rsidRPr="007122AB" w14:paraId="5B090603" w14:textId="77777777">
        <w:tc>
          <w:tcPr>
            <w:tcW w:w="1548" w:type="dxa"/>
          </w:tcPr>
          <w:p w14:paraId="3AF2C5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Альбатрос</w:t>
            </w:r>
          </w:p>
        </w:tc>
        <w:tc>
          <w:tcPr>
            <w:tcW w:w="987" w:type="dxa"/>
          </w:tcPr>
          <w:p w14:paraId="0EA01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2ECE1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336C41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r>
      <w:tr w:rsidR="00EA061A" w:rsidRPr="007122AB" w14:paraId="239D23F8" w14:textId="77777777">
        <w:tc>
          <w:tcPr>
            <w:tcW w:w="1548" w:type="dxa"/>
          </w:tcPr>
          <w:p w14:paraId="04387C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ЮГ-1</w:t>
            </w:r>
          </w:p>
        </w:tc>
        <w:tc>
          <w:tcPr>
            <w:tcW w:w="987" w:type="dxa"/>
          </w:tcPr>
          <w:p w14:paraId="061E6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57EDF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5E8807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EA061A" w:rsidRPr="007122AB" w14:paraId="079B1B99" w14:textId="77777777">
        <w:tc>
          <w:tcPr>
            <w:tcW w:w="1548" w:type="dxa"/>
          </w:tcPr>
          <w:p w14:paraId="5E799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Ю-13</w:t>
            </w:r>
          </w:p>
        </w:tc>
        <w:tc>
          <w:tcPr>
            <w:tcW w:w="987" w:type="dxa"/>
          </w:tcPr>
          <w:p w14:paraId="7A0EAD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2028F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5DD32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EA061A" w:rsidRPr="007122AB" w14:paraId="1AA73967" w14:textId="77777777">
        <w:tc>
          <w:tcPr>
            <w:tcW w:w="1548" w:type="dxa"/>
          </w:tcPr>
          <w:p w14:paraId="647E6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Фарман-Голиаф</w:t>
            </w:r>
          </w:p>
        </w:tc>
        <w:tc>
          <w:tcPr>
            <w:tcW w:w="987" w:type="dxa"/>
          </w:tcPr>
          <w:p w14:paraId="613C0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56AC8B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987" w:type="dxa"/>
          </w:tcPr>
          <w:p w14:paraId="346B7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EA061A" w:rsidRPr="007122AB" w14:paraId="4217CBD6" w14:textId="77777777">
        <w:tc>
          <w:tcPr>
            <w:tcW w:w="1548" w:type="dxa"/>
          </w:tcPr>
          <w:p w14:paraId="1C51D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0A41A4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1879</w:t>
            </w:r>
          </w:p>
        </w:tc>
        <w:tc>
          <w:tcPr>
            <w:tcW w:w="987" w:type="dxa"/>
          </w:tcPr>
          <w:p w14:paraId="134F0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416</w:t>
            </w:r>
          </w:p>
        </w:tc>
        <w:tc>
          <w:tcPr>
            <w:tcW w:w="987" w:type="dxa"/>
          </w:tcPr>
          <w:p w14:paraId="59FC60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2295</w:t>
            </w:r>
          </w:p>
        </w:tc>
      </w:tr>
      <w:tr w:rsidR="00EA061A" w:rsidRPr="007122AB" w14:paraId="2511FB40" w14:textId="77777777">
        <w:tc>
          <w:tcPr>
            <w:tcW w:w="1548" w:type="dxa"/>
          </w:tcPr>
          <w:p w14:paraId="25F3AB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Вспомогательные</w:t>
            </w:r>
          </w:p>
        </w:tc>
        <w:tc>
          <w:tcPr>
            <w:tcW w:w="987" w:type="dxa"/>
          </w:tcPr>
          <w:p w14:paraId="1011E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19A71B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3AC7FB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EA061A" w:rsidRPr="007122AB" w14:paraId="1244DF0A" w14:textId="77777777">
        <w:tc>
          <w:tcPr>
            <w:tcW w:w="1548" w:type="dxa"/>
          </w:tcPr>
          <w:p w14:paraId="3DE07B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МР-1</w:t>
            </w:r>
          </w:p>
        </w:tc>
        <w:tc>
          <w:tcPr>
            <w:tcW w:w="987" w:type="dxa"/>
          </w:tcPr>
          <w:p w14:paraId="67ECC3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w:t>
            </w:r>
          </w:p>
        </w:tc>
        <w:tc>
          <w:tcPr>
            <w:tcW w:w="987" w:type="dxa"/>
          </w:tcPr>
          <w:p w14:paraId="010BF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w:t>
            </w:r>
          </w:p>
        </w:tc>
        <w:tc>
          <w:tcPr>
            <w:tcW w:w="987" w:type="dxa"/>
          </w:tcPr>
          <w:p w14:paraId="42D22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w:t>
            </w:r>
          </w:p>
        </w:tc>
      </w:tr>
      <w:tr w:rsidR="00EA061A" w:rsidRPr="007122AB" w14:paraId="3AA4B4C8" w14:textId="77777777">
        <w:tc>
          <w:tcPr>
            <w:tcW w:w="1548" w:type="dxa"/>
          </w:tcPr>
          <w:p w14:paraId="772D4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РОМ</w:t>
            </w:r>
          </w:p>
        </w:tc>
        <w:tc>
          <w:tcPr>
            <w:tcW w:w="987" w:type="dxa"/>
          </w:tcPr>
          <w:p w14:paraId="1FDD1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00686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3F8DB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EA061A" w:rsidRPr="007122AB" w14:paraId="00EF6645" w14:textId="77777777">
        <w:tc>
          <w:tcPr>
            <w:tcW w:w="1548" w:type="dxa"/>
          </w:tcPr>
          <w:p w14:paraId="5BB820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Р-1сп</w:t>
            </w:r>
          </w:p>
        </w:tc>
        <w:tc>
          <w:tcPr>
            <w:tcW w:w="987" w:type="dxa"/>
          </w:tcPr>
          <w:p w14:paraId="41C53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987" w:type="dxa"/>
          </w:tcPr>
          <w:p w14:paraId="46DCE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987" w:type="dxa"/>
          </w:tcPr>
          <w:p w14:paraId="23AEB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EA061A" w:rsidRPr="007122AB" w14:paraId="20EEE46D" w14:textId="77777777">
        <w:tc>
          <w:tcPr>
            <w:tcW w:w="1548" w:type="dxa"/>
          </w:tcPr>
          <w:p w14:paraId="7B331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w:t>
            </w:r>
          </w:p>
        </w:tc>
        <w:tc>
          <w:tcPr>
            <w:tcW w:w="987" w:type="dxa"/>
          </w:tcPr>
          <w:p w14:paraId="72529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w:t>
            </w:r>
          </w:p>
        </w:tc>
        <w:tc>
          <w:tcPr>
            <w:tcW w:w="987" w:type="dxa"/>
          </w:tcPr>
          <w:p w14:paraId="666CF7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w:t>
            </w:r>
          </w:p>
        </w:tc>
        <w:tc>
          <w:tcPr>
            <w:tcW w:w="987" w:type="dxa"/>
          </w:tcPr>
          <w:p w14:paraId="7D6ED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269</w:t>
            </w:r>
          </w:p>
        </w:tc>
      </w:tr>
      <w:tr w:rsidR="00EA061A" w:rsidRPr="007122AB" w14:paraId="0F8669B7" w14:textId="77777777">
        <w:tc>
          <w:tcPr>
            <w:tcW w:w="1548" w:type="dxa"/>
          </w:tcPr>
          <w:p w14:paraId="07BDFC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987" w:type="dxa"/>
          </w:tcPr>
          <w:p w14:paraId="1E82B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tc>
        <w:tc>
          <w:tcPr>
            <w:tcW w:w="987" w:type="dxa"/>
          </w:tcPr>
          <w:p w14:paraId="18B73A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987" w:type="dxa"/>
          </w:tcPr>
          <w:p w14:paraId="4844B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w:t>
            </w:r>
          </w:p>
        </w:tc>
      </w:tr>
      <w:tr w:rsidR="00EA061A" w:rsidRPr="007122AB" w14:paraId="7F53D4B8" w14:textId="77777777">
        <w:tc>
          <w:tcPr>
            <w:tcW w:w="1548" w:type="dxa"/>
          </w:tcPr>
          <w:p w14:paraId="32924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М4-1</w:t>
            </w:r>
          </w:p>
        </w:tc>
        <w:tc>
          <w:tcPr>
            <w:tcW w:w="987" w:type="dxa"/>
          </w:tcPr>
          <w:p w14:paraId="31944F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987" w:type="dxa"/>
          </w:tcPr>
          <w:p w14:paraId="21B52C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987" w:type="dxa"/>
          </w:tcPr>
          <w:p w14:paraId="3E8B4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w:t>
            </w:r>
          </w:p>
        </w:tc>
      </w:tr>
      <w:tr w:rsidR="00EA061A" w:rsidRPr="007122AB" w14:paraId="647E0D79" w14:textId="77777777">
        <w:tc>
          <w:tcPr>
            <w:tcW w:w="1548" w:type="dxa"/>
          </w:tcPr>
          <w:p w14:paraId="4E14A3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Р-1бмв</w:t>
            </w:r>
          </w:p>
        </w:tc>
        <w:tc>
          <w:tcPr>
            <w:tcW w:w="987" w:type="dxa"/>
          </w:tcPr>
          <w:p w14:paraId="08C524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w:t>
            </w:r>
          </w:p>
        </w:tc>
        <w:tc>
          <w:tcPr>
            <w:tcW w:w="987" w:type="dxa"/>
          </w:tcPr>
          <w:p w14:paraId="0E08E3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987" w:type="dxa"/>
          </w:tcPr>
          <w:p w14:paraId="060AB9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79</w:t>
            </w:r>
          </w:p>
        </w:tc>
      </w:tr>
      <w:tr w:rsidR="00EA061A" w:rsidRPr="007122AB" w14:paraId="43D38059" w14:textId="77777777">
        <w:tc>
          <w:tcPr>
            <w:tcW w:w="1548" w:type="dxa"/>
          </w:tcPr>
          <w:p w14:paraId="52D7C9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987" w:type="dxa"/>
          </w:tcPr>
          <w:p w14:paraId="3B5364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093D7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1574F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EA061A" w:rsidRPr="007122AB" w14:paraId="5FCF968C" w14:textId="77777777">
        <w:tc>
          <w:tcPr>
            <w:tcW w:w="1548" w:type="dxa"/>
          </w:tcPr>
          <w:p w14:paraId="23EFC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w:t>
            </w:r>
          </w:p>
        </w:tc>
        <w:tc>
          <w:tcPr>
            <w:tcW w:w="987" w:type="dxa"/>
          </w:tcPr>
          <w:p w14:paraId="3FFB1A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1F340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2A998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EA061A" w:rsidRPr="007122AB" w14:paraId="4B90F8BC" w14:textId="77777777">
        <w:tc>
          <w:tcPr>
            <w:tcW w:w="1548" w:type="dxa"/>
          </w:tcPr>
          <w:p w14:paraId="39CF5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Дорнье-Валь</w:t>
            </w:r>
          </w:p>
        </w:tc>
        <w:tc>
          <w:tcPr>
            <w:tcW w:w="987" w:type="dxa"/>
          </w:tcPr>
          <w:p w14:paraId="62C3E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987" w:type="dxa"/>
          </w:tcPr>
          <w:p w14:paraId="0FB8FF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987" w:type="dxa"/>
          </w:tcPr>
          <w:p w14:paraId="472E05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EA061A" w:rsidRPr="007122AB" w14:paraId="7240DD9E" w14:textId="77777777">
        <w:tc>
          <w:tcPr>
            <w:tcW w:w="1548" w:type="dxa"/>
          </w:tcPr>
          <w:p w14:paraId="13A31B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НД-55</w:t>
            </w:r>
          </w:p>
        </w:tc>
        <w:tc>
          <w:tcPr>
            <w:tcW w:w="987" w:type="dxa"/>
          </w:tcPr>
          <w:p w14:paraId="735D9B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987" w:type="dxa"/>
          </w:tcPr>
          <w:p w14:paraId="6916BF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28B992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r>
      <w:tr w:rsidR="00EA061A" w:rsidRPr="007122AB" w14:paraId="23F19661" w14:textId="77777777">
        <w:tc>
          <w:tcPr>
            <w:tcW w:w="1548" w:type="dxa"/>
          </w:tcPr>
          <w:p w14:paraId="3D82E3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w:t>
            </w:r>
          </w:p>
        </w:tc>
        <w:tc>
          <w:tcPr>
            <w:tcW w:w="987" w:type="dxa"/>
          </w:tcPr>
          <w:p w14:paraId="616CA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987" w:type="dxa"/>
          </w:tcPr>
          <w:p w14:paraId="1FDD54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987" w:type="dxa"/>
          </w:tcPr>
          <w:p w14:paraId="091273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r>
      <w:tr w:rsidR="00EA061A" w:rsidRPr="007122AB" w14:paraId="63517BE4" w14:textId="77777777">
        <w:tc>
          <w:tcPr>
            <w:tcW w:w="1548" w:type="dxa"/>
          </w:tcPr>
          <w:p w14:paraId="0622DA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Ю-20</w:t>
            </w:r>
          </w:p>
        </w:tc>
        <w:tc>
          <w:tcPr>
            <w:tcW w:w="987" w:type="dxa"/>
          </w:tcPr>
          <w:p w14:paraId="021ED9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748DC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987" w:type="dxa"/>
          </w:tcPr>
          <w:p w14:paraId="7F5B0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EA061A" w:rsidRPr="007122AB" w14:paraId="58098F35" w14:textId="77777777">
        <w:tc>
          <w:tcPr>
            <w:tcW w:w="1548" w:type="dxa"/>
          </w:tcPr>
          <w:p w14:paraId="480AD7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ЮГ-1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987" w:type="dxa"/>
          </w:tcPr>
          <w:p w14:paraId="62EDFB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987" w:type="dxa"/>
          </w:tcPr>
          <w:p w14:paraId="5ED5ED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4FFDD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EA061A" w:rsidRPr="007122AB" w14:paraId="2A09A8D1" w14:textId="77777777">
        <w:tc>
          <w:tcPr>
            <w:tcW w:w="1548" w:type="dxa"/>
          </w:tcPr>
          <w:p w14:paraId="01C7B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Хейнкель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987" w:type="dxa"/>
          </w:tcPr>
          <w:p w14:paraId="671C4D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987" w:type="dxa"/>
          </w:tcPr>
          <w:p w14:paraId="43C8DC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0BD29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EA061A" w:rsidRPr="007122AB" w14:paraId="54E5CDB2" w14:textId="77777777">
        <w:tc>
          <w:tcPr>
            <w:tcW w:w="1548" w:type="dxa"/>
          </w:tcPr>
          <w:p w14:paraId="4F9E16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Ансальдо</w:t>
            </w:r>
            <w:proofErr w:type="spellEnd"/>
          </w:p>
        </w:tc>
        <w:tc>
          <w:tcPr>
            <w:tcW w:w="987" w:type="dxa"/>
          </w:tcPr>
          <w:p w14:paraId="7ECB0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87" w:type="dxa"/>
          </w:tcPr>
          <w:p w14:paraId="4E665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87" w:type="dxa"/>
          </w:tcPr>
          <w:p w14:paraId="471A3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365C94" w:rsidRPr="007122AB" w14:paraId="2119148B" w14:textId="77777777">
        <w:tc>
          <w:tcPr>
            <w:tcW w:w="1548" w:type="dxa"/>
          </w:tcPr>
          <w:p w14:paraId="0F111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1E4E5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2303</w:t>
            </w:r>
          </w:p>
        </w:tc>
        <w:tc>
          <w:tcPr>
            <w:tcW w:w="987" w:type="dxa"/>
          </w:tcPr>
          <w:p w14:paraId="3ED37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626</w:t>
            </w:r>
          </w:p>
        </w:tc>
        <w:tc>
          <w:tcPr>
            <w:tcW w:w="987" w:type="dxa"/>
          </w:tcPr>
          <w:p w14:paraId="50BDEC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2929 (66,179)</w:t>
            </w:r>
          </w:p>
        </w:tc>
      </w:tr>
    </w:tbl>
    <w:p w14:paraId="5A35E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1784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января 1931 г. в составе ВВС РККА числилось 269 У-1, из них 172 исправных. Последние У-1 про</w:t>
      </w:r>
      <w:r w:rsidRPr="007122AB">
        <w:rPr>
          <w:rFonts w:ascii="Times New Roman" w:hAnsi="Times New Roman"/>
          <w:color w:val="000000" w:themeColor="text1"/>
          <w:sz w:val="16"/>
          <w:szCs w:val="16"/>
        </w:rPr>
        <w:softHyphen/>
        <w:t>служили в аэроклубах почти до 1935 г. (10667).</w:t>
      </w:r>
    </w:p>
    <w:p w14:paraId="3B55DF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D6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 января 1931 г. в составе ВВС РККА насчитывалось 258 исправных И-3, 21 неисправный, всего 279 машин. В начале 1932 г. на вооружении ВВС находилось 297 самолетов данного типа. В эксплуатации И-3 зарекомендовал себя как проч</w:t>
      </w:r>
      <w:r w:rsidRPr="007122AB">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491836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F22E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 января 1931 г. в составе морской авиации числилось 19 КР-1. 12 самолетов находились на Балтике, 7 на Черном море, причем одну машину приписали к Опытному морскому отделу (ОМО) НИИ ВВС в Севасто</w:t>
      </w:r>
      <w:r w:rsidRPr="007122AB">
        <w:rPr>
          <w:rFonts w:ascii="Times New Roman" w:hAnsi="Times New Roman"/>
          <w:color w:val="000000" w:themeColor="text1"/>
          <w:sz w:val="16"/>
          <w:szCs w:val="16"/>
        </w:rPr>
        <w:softHyphen/>
        <w:t>поле (11107).</w:t>
      </w:r>
    </w:p>
    <w:p w14:paraId="25DC4B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Дополнительные полетные испытания КР-1 выявили до</w:t>
      </w:r>
      <w:r w:rsidRPr="007122AB">
        <w:rPr>
          <w:rFonts w:ascii="Times New Roman" w:hAnsi="Times New Roman"/>
          <w:color w:val="000000" w:themeColor="text1"/>
          <w:sz w:val="16"/>
          <w:szCs w:val="16"/>
        </w:rPr>
        <w:softHyphen/>
        <w:t>статочно большое количество дефектов, которые пришлось устранять уже в процессе эксплуатации. Отмечалась недоста</w:t>
      </w:r>
      <w:r w:rsidRPr="007122AB">
        <w:rPr>
          <w:rFonts w:ascii="Times New Roman" w:hAnsi="Times New Roman"/>
          <w:color w:val="000000" w:themeColor="text1"/>
          <w:sz w:val="16"/>
          <w:szCs w:val="16"/>
        </w:rPr>
        <w:softHyphen/>
        <w:t>точная герметичность корпуса летающей лодки, течь топлив</w:t>
      </w:r>
      <w:r w:rsidRPr="007122AB">
        <w:rPr>
          <w:rFonts w:ascii="Times New Roman" w:hAnsi="Times New Roman"/>
          <w:color w:val="000000" w:themeColor="text1"/>
          <w:sz w:val="16"/>
          <w:szCs w:val="16"/>
        </w:rPr>
        <w:softHyphen/>
        <w:t>ных баков, неисправность приборов, затрудненное складыва</w:t>
      </w:r>
      <w:r w:rsidRPr="007122AB">
        <w:rPr>
          <w:rFonts w:ascii="Times New Roman" w:hAnsi="Times New Roman"/>
          <w:color w:val="000000" w:themeColor="text1"/>
          <w:sz w:val="16"/>
          <w:szCs w:val="16"/>
        </w:rPr>
        <w:softHyphen/>
        <w:t>ние крыльев.</w:t>
      </w:r>
    </w:p>
    <w:p w14:paraId="0F44D9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вооружения велась одновременно с доработка</w:t>
      </w:r>
      <w:r w:rsidRPr="007122AB">
        <w:rPr>
          <w:rFonts w:ascii="Times New Roman" w:hAnsi="Times New Roman"/>
          <w:color w:val="000000" w:themeColor="text1"/>
          <w:sz w:val="16"/>
          <w:szCs w:val="16"/>
        </w:rPr>
        <w:softHyphen/>
        <w:t>ми самолета в начале 1931 г. Пулемет ПВ-1 калибра 7,62 мм разместили перед летчиком слева в специальной выемке фю</w:t>
      </w:r>
      <w:r w:rsidRPr="007122AB">
        <w:rPr>
          <w:rFonts w:ascii="Times New Roman" w:hAnsi="Times New Roman"/>
          <w:color w:val="000000" w:themeColor="text1"/>
          <w:sz w:val="16"/>
          <w:szCs w:val="16"/>
        </w:rPr>
        <w:softHyphen/>
        <w:t>зеляжа. Стандартную оборонительную турель ТУР-б поначалу предполагалось оснастить одним пулеметом ДА (Дегтярева, авиационный) калибра 7,62 мм, однако позднее все самолеты оснастили штатной спаренной установкой пулеметов ДА.</w:t>
      </w:r>
    </w:p>
    <w:p w14:paraId="5F488C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зимний период КР-1 устанавливался на лыжи. Боковые поплавки при этом снимались и заменялись предохранитель</w:t>
      </w:r>
      <w:r w:rsidRPr="007122AB">
        <w:rPr>
          <w:rFonts w:ascii="Times New Roman" w:hAnsi="Times New Roman"/>
          <w:color w:val="000000" w:themeColor="text1"/>
          <w:sz w:val="16"/>
          <w:szCs w:val="16"/>
        </w:rPr>
        <w:softHyphen/>
        <w:t>ными дугами. Две основные лыжи крепились к сквозной тру</w:t>
      </w:r>
      <w:r w:rsidRPr="007122AB">
        <w:rPr>
          <w:rFonts w:ascii="Times New Roman" w:hAnsi="Times New Roman"/>
          <w:color w:val="000000" w:themeColor="text1"/>
          <w:sz w:val="16"/>
          <w:szCs w:val="16"/>
        </w:rPr>
        <w:softHyphen/>
        <w:t>бе, проходящей через корпус лодки, маленькая хвостовая лы</w:t>
      </w:r>
      <w:r w:rsidRPr="007122AB">
        <w:rPr>
          <w:rFonts w:ascii="Times New Roman" w:hAnsi="Times New Roman"/>
          <w:color w:val="000000" w:themeColor="text1"/>
          <w:sz w:val="16"/>
          <w:szCs w:val="16"/>
        </w:rPr>
        <w:softHyphen/>
        <w:t>жа крепилась на специально предусмотренном кронштейне. Лыжи конструкции Жохова, изготовленные на московском авиазаводе №28 испытывали весной 1931 г. Позднее все КР-1 Балтийского флота на зиму были снабжены комплектом та</w:t>
      </w:r>
      <w:r w:rsidRPr="007122AB">
        <w:rPr>
          <w:rFonts w:ascii="Times New Roman" w:hAnsi="Times New Roman"/>
          <w:color w:val="000000" w:themeColor="text1"/>
          <w:sz w:val="16"/>
          <w:szCs w:val="16"/>
        </w:rPr>
        <w:softHyphen/>
        <w:t>ких лыж.</w:t>
      </w:r>
    </w:p>
    <w:p w14:paraId="7D302E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Известно, что один КР-1, заводской № 348, в 1935 г. переда</w:t>
      </w:r>
      <w:r w:rsidRPr="007122AB">
        <w:rPr>
          <w:rFonts w:ascii="Times New Roman" w:hAnsi="Times New Roman"/>
          <w:color w:val="000000" w:themeColor="text1"/>
          <w:sz w:val="16"/>
          <w:szCs w:val="16"/>
        </w:rPr>
        <w:softHyphen/>
        <w:t>ли Управлению полярной авиации. С опознавательным зна</w:t>
      </w:r>
      <w:r w:rsidRPr="007122AB">
        <w:rPr>
          <w:rFonts w:ascii="Times New Roman" w:hAnsi="Times New Roman"/>
          <w:color w:val="000000" w:themeColor="text1"/>
          <w:sz w:val="16"/>
          <w:szCs w:val="16"/>
        </w:rPr>
        <w:softHyphen/>
        <w:t>ком СССР-Н133 самолет эпизодически использовали для ве</w:t>
      </w:r>
      <w:r w:rsidRPr="007122AB">
        <w:rPr>
          <w:rFonts w:ascii="Times New Roman" w:hAnsi="Times New Roman"/>
          <w:color w:val="000000" w:themeColor="text1"/>
          <w:sz w:val="16"/>
          <w:szCs w:val="16"/>
        </w:rPr>
        <w:softHyphen/>
        <w:t>дения ледовой разведки (11107).</w:t>
      </w:r>
    </w:p>
    <w:p w14:paraId="3C6DFA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C2E0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9BE469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A6E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января 1931 г. для перехода к планированию по календарным годам в 1930 г. был вве</w:t>
      </w:r>
      <w:r w:rsidRPr="007122AB">
        <w:rPr>
          <w:rFonts w:ascii="Times New Roman" w:hAnsi="Times New Roman"/>
          <w:color w:val="000000" w:themeColor="text1"/>
          <w:sz w:val="16"/>
          <w:szCs w:val="16"/>
        </w:rPr>
        <w:softHyphen/>
        <w:t>ден особый квартал (3898).</w:t>
      </w:r>
    </w:p>
    <w:p w14:paraId="44201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862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января 1931 г. завод Ростсельмаш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7122AB">
        <w:rPr>
          <w:rFonts w:ascii="Times New Roman" w:hAnsi="Times New Roman"/>
          <w:color w:val="000000" w:themeColor="text1"/>
          <w:sz w:val="16"/>
          <w:szCs w:val="16"/>
        </w:rPr>
        <w:t>Сельмашстроя</w:t>
      </w:r>
      <w:proofErr w:type="spellEnd"/>
      <w:r w:rsidRPr="007122AB">
        <w:rPr>
          <w:rFonts w:ascii="Times New Roman" w:hAnsi="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3DBA23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7122AB">
        <w:rPr>
          <w:rFonts w:ascii="Times New Roman" w:hAnsi="Times New Roman"/>
          <w:color w:val="000000" w:themeColor="text1"/>
          <w:sz w:val="16"/>
          <w:szCs w:val="16"/>
        </w:rPr>
        <w:t>Комбайнстрой</w:t>
      </w:r>
      <w:proofErr w:type="spellEnd"/>
      <w:r w:rsidRPr="007122AB">
        <w:rPr>
          <w:rFonts w:ascii="Times New Roman" w:hAnsi="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8E57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59A7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12B8D2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576FF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Ростсельмашевские</w:t>
      </w:r>
      <w:proofErr w:type="spellEnd"/>
      <w:r w:rsidRPr="007122AB">
        <w:rPr>
          <w:rFonts w:ascii="Times New Roman" w:hAnsi="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EAB5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7122AB">
        <w:rPr>
          <w:rFonts w:ascii="Times New Roman" w:hAnsi="Times New Roman"/>
          <w:color w:val="000000" w:themeColor="text1"/>
          <w:sz w:val="16"/>
          <w:szCs w:val="16"/>
        </w:rPr>
        <w:t>Cталинец</w:t>
      </w:r>
      <w:proofErr w:type="spellEnd"/>
      <w:r w:rsidRPr="007122AB">
        <w:rPr>
          <w:rFonts w:ascii="Times New Roman" w:hAnsi="Times New Roman"/>
          <w:color w:val="000000" w:themeColor="text1"/>
          <w:sz w:val="16"/>
          <w:szCs w:val="16"/>
        </w:rPr>
        <w:t xml:space="preserve">–1». </w:t>
      </w:r>
    </w:p>
    <w:p w14:paraId="0DC95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время войны тысячи </w:t>
      </w:r>
      <w:proofErr w:type="spellStart"/>
      <w:r w:rsidRPr="007122AB">
        <w:rPr>
          <w:rFonts w:ascii="Times New Roman" w:hAnsi="Times New Roman"/>
          <w:color w:val="000000" w:themeColor="text1"/>
          <w:sz w:val="16"/>
          <w:szCs w:val="16"/>
        </w:rPr>
        <w:t>ростсельмашевцев</w:t>
      </w:r>
      <w:proofErr w:type="spellEnd"/>
      <w:r w:rsidRPr="007122AB">
        <w:rPr>
          <w:rFonts w:ascii="Times New Roman" w:hAnsi="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01019F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Когда немецкие войска были уже на подступах к </w:t>
      </w:r>
      <w:proofErr w:type="spellStart"/>
      <w:r w:rsidRPr="007122AB">
        <w:rPr>
          <w:rFonts w:ascii="Times New Roman" w:hAnsi="Times New Roman"/>
          <w:color w:val="000000" w:themeColor="text1"/>
          <w:sz w:val="16"/>
          <w:szCs w:val="16"/>
        </w:rPr>
        <w:t>Ростову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ростсельмашевцы</w:t>
      </w:r>
      <w:proofErr w:type="spellEnd"/>
      <w:r w:rsidRPr="007122AB">
        <w:rPr>
          <w:rFonts w:ascii="Times New Roman" w:hAnsi="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3646E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598B47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7122AB">
        <w:rPr>
          <w:rFonts w:ascii="Times New Roman" w:hAnsi="Times New Roman"/>
          <w:color w:val="000000" w:themeColor="text1"/>
          <w:sz w:val="16"/>
          <w:szCs w:val="16"/>
        </w:rPr>
        <w:t>ФАБы</w:t>
      </w:r>
      <w:proofErr w:type="spellEnd"/>
      <w:r w:rsidRPr="007122AB">
        <w:rPr>
          <w:rFonts w:ascii="Times New Roman" w:hAnsi="Times New Roman"/>
          <w:color w:val="000000" w:themeColor="text1"/>
          <w:sz w:val="16"/>
          <w:szCs w:val="16"/>
        </w:rPr>
        <w:t xml:space="preserve">) 50 кг, 100 кг и 250 кг. </w:t>
      </w:r>
    </w:p>
    <w:p w14:paraId="4F536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февраля 1943 года войска Южного фронта освободили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4D1E2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19805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Пока шло интенсивное восстановление завода, </w:t>
      </w:r>
      <w:proofErr w:type="spellStart"/>
      <w:r w:rsidRPr="007122AB">
        <w:rPr>
          <w:rFonts w:ascii="Times New Roman" w:hAnsi="Times New Roman"/>
          <w:color w:val="000000" w:themeColor="text1"/>
          <w:sz w:val="16"/>
          <w:szCs w:val="16"/>
        </w:rPr>
        <w:t>сельмашевские</w:t>
      </w:r>
      <w:proofErr w:type="spellEnd"/>
      <w:r w:rsidRPr="007122AB">
        <w:rPr>
          <w:rFonts w:ascii="Times New Roman" w:hAnsi="Times New Roman"/>
          <w:color w:val="000000" w:themeColor="text1"/>
          <w:sz w:val="16"/>
          <w:szCs w:val="16"/>
        </w:rPr>
        <w:t xml:space="preserve"> специалисты </w:t>
      </w:r>
      <w:proofErr w:type="spellStart"/>
      <w:r w:rsidRPr="007122AB">
        <w:rPr>
          <w:rFonts w:ascii="Times New Roman" w:hAnsi="Times New Roman"/>
          <w:color w:val="000000" w:themeColor="text1"/>
          <w:sz w:val="16"/>
          <w:szCs w:val="16"/>
        </w:rPr>
        <w:t>Красниченко</w:t>
      </w:r>
      <w:proofErr w:type="spellEnd"/>
      <w:r w:rsidRPr="007122AB">
        <w:rPr>
          <w:rFonts w:ascii="Times New Roman" w:hAnsi="Times New Roman"/>
          <w:color w:val="000000" w:themeColor="text1"/>
          <w:sz w:val="16"/>
          <w:szCs w:val="16"/>
        </w:rPr>
        <w:t xml:space="preserve"> А.А., В.В. Прошунин и И.И. Попов создали конструкцию комбайна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–6». А 30 апреля 1947 года в цехе уборочных машин были собраны новые комбайны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–6». Разработчики новой конструкции получили звание Лауреатов Сталинской премии. </w:t>
      </w:r>
    </w:p>
    <w:p w14:paraId="6BB58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E032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7122AB">
        <w:rPr>
          <w:rFonts w:ascii="Times New Roman" w:hAnsi="Times New Roman"/>
          <w:color w:val="000000" w:themeColor="text1"/>
          <w:sz w:val="16"/>
          <w:szCs w:val="16"/>
        </w:rPr>
        <w:t>бильным</w:t>
      </w:r>
      <w:proofErr w:type="spellEnd"/>
      <w:r w:rsidRPr="007122AB">
        <w:rPr>
          <w:rFonts w:ascii="Times New Roman" w:hAnsi="Times New Roman"/>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4AE97C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7122AB">
        <w:rPr>
          <w:rFonts w:ascii="Times New Roman" w:hAnsi="Times New Roman"/>
          <w:color w:val="000000" w:themeColor="text1"/>
          <w:sz w:val="16"/>
          <w:szCs w:val="16"/>
        </w:rPr>
        <w:t>Изаксона</w:t>
      </w:r>
      <w:proofErr w:type="spellEnd"/>
      <w:r w:rsidRPr="007122AB">
        <w:rPr>
          <w:rFonts w:ascii="Times New Roman" w:hAnsi="Times New Roman"/>
          <w:color w:val="000000" w:themeColor="text1"/>
          <w:sz w:val="16"/>
          <w:szCs w:val="16"/>
        </w:rPr>
        <w:t xml:space="preserve">. 24 января 1961 г. выпущен уже 100-тысячный самоходный комбайн СК-3. </w:t>
      </w:r>
    </w:p>
    <w:p w14:paraId="7A4AE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58D3C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7122AB">
        <w:rPr>
          <w:rFonts w:ascii="Times New Roman" w:hAnsi="Times New Roman"/>
          <w:color w:val="000000" w:themeColor="text1"/>
          <w:sz w:val="16"/>
          <w:szCs w:val="16"/>
        </w:rPr>
        <w:t>незерновых</w:t>
      </w:r>
      <w:proofErr w:type="spellEnd"/>
      <w:r w:rsidRPr="007122AB">
        <w:rPr>
          <w:rFonts w:ascii="Times New Roman" w:hAnsi="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36644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06624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63F1D7"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января 1931 г. завод Ростсельмаш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7122AB">
        <w:rPr>
          <w:rFonts w:ascii="Times New Roman" w:hAnsi="Times New Roman"/>
          <w:color w:val="000000" w:themeColor="text1"/>
          <w:sz w:val="16"/>
          <w:szCs w:val="16"/>
        </w:rPr>
        <w:t>Сельмашстроя</w:t>
      </w:r>
      <w:proofErr w:type="spellEnd"/>
      <w:r w:rsidRPr="007122AB">
        <w:rPr>
          <w:rFonts w:ascii="Times New Roman" w:hAnsi="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01419E33"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w:t>
      </w:r>
      <w:proofErr w:type="spellStart"/>
      <w:r w:rsidRPr="007122AB">
        <w:rPr>
          <w:rFonts w:ascii="Times New Roman" w:hAnsi="Times New Roman"/>
          <w:color w:val="000000" w:themeColor="text1"/>
          <w:sz w:val="16"/>
          <w:szCs w:val="16"/>
        </w:rPr>
        <w:t>Сталинцы</w:t>
      </w:r>
      <w:proofErr w:type="spellEnd"/>
      <w:r w:rsidRPr="007122AB">
        <w:rPr>
          <w:rFonts w:ascii="Times New Roman" w:hAnsi="Times New Roman"/>
          <w:color w:val="000000" w:themeColor="text1"/>
          <w:sz w:val="16"/>
          <w:szCs w:val="16"/>
        </w:rPr>
        <w:t>» завоевали славу самой высокопроизводительной машины в мире (21167).</w:t>
      </w:r>
    </w:p>
    <w:p w14:paraId="4D5EBCE1"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29A174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г. по приказу «</w:t>
      </w:r>
      <w:proofErr w:type="spellStart"/>
      <w:r w:rsidRPr="007122AB">
        <w:rPr>
          <w:rFonts w:ascii="Times New Roman" w:hAnsi="Times New Roman"/>
          <w:color w:val="000000" w:themeColor="text1"/>
          <w:sz w:val="16"/>
          <w:szCs w:val="16"/>
        </w:rPr>
        <w:t>Союзверфи</w:t>
      </w:r>
      <w:proofErr w:type="spellEnd"/>
      <w:r w:rsidRPr="007122AB">
        <w:rPr>
          <w:rFonts w:ascii="Times New Roman" w:hAnsi="Times New Roman"/>
          <w:color w:val="000000" w:themeColor="text1"/>
          <w:sz w:val="16"/>
          <w:szCs w:val="16"/>
        </w:rPr>
        <w:t>» № 429 от 29.12.1930 г. на базе отдела по проектированию судостроительных заводов и верфей «</w:t>
      </w:r>
      <w:proofErr w:type="spellStart"/>
      <w:r w:rsidRPr="007122AB">
        <w:rPr>
          <w:rFonts w:ascii="Times New Roman" w:hAnsi="Times New Roman"/>
          <w:color w:val="000000" w:themeColor="text1"/>
          <w:sz w:val="16"/>
          <w:szCs w:val="16"/>
        </w:rPr>
        <w:t>Судопроверфи</w:t>
      </w:r>
      <w:proofErr w:type="spellEnd"/>
      <w:r w:rsidRPr="007122AB">
        <w:rPr>
          <w:rFonts w:ascii="Times New Roman" w:hAnsi="Times New Roman"/>
          <w:color w:val="000000" w:themeColor="text1"/>
          <w:sz w:val="16"/>
          <w:szCs w:val="16"/>
        </w:rPr>
        <w:t>» был создан ВО «</w:t>
      </w:r>
      <w:proofErr w:type="spellStart"/>
      <w:r w:rsidRPr="007122AB">
        <w:rPr>
          <w:rFonts w:ascii="Times New Roman" w:hAnsi="Times New Roman"/>
          <w:color w:val="000000" w:themeColor="text1"/>
          <w:sz w:val="16"/>
          <w:szCs w:val="16"/>
        </w:rPr>
        <w:t>Проектверфь</w:t>
      </w:r>
      <w:proofErr w:type="spellEnd"/>
      <w:r w:rsidRPr="007122AB">
        <w:rPr>
          <w:rFonts w:ascii="Times New Roman" w:hAnsi="Times New Roman"/>
          <w:color w:val="000000" w:themeColor="text1"/>
          <w:sz w:val="16"/>
          <w:szCs w:val="16"/>
        </w:rPr>
        <w:t>» для проектирования реконструкции верфей. Затем - проектирование судостроительных заводов и верфей. Приказом НКТП № 746 от 31.05.1934г. утвержден Устав предприятия. По пр. НКОП № 011с от 28.01.1937г. «</w:t>
      </w:r>
      <w:proofErr w:type="spellStart"/>
      <w:r w:rsidRPr="007122AB">
        <w:rPr>
          <w:rFonts w:ascii="Times New Roman" w:hAnsi="Times New Roman"/>
          <w:color w:val="000000" w:themeColor="text1"/>
          <w:sz w:val="16"/>
          <w:szCs w:val="16"/>
        </w:rPr>
        <w:t>Проектверфь</w:t>
      </w:r>
      <w:proofErr w:type="spellEnd"/>
      <w:r w:rsidRPr="007122AB">
        <w:rPr>
          <w:rFonts w:ascii="Times New Roman" w:hAnsi="Times New Roman"/>
          <w:color w:val="000000" w:themeColor="text1"/>
          <w:sz w:val="16"/>
          <w:szCs w:val="16"/>
        </w:rPr>
        <w:t>» переименована во 2-й ГПИ (2-й Государственный проектный институт (ГПИ-2) НКОП, НКСП, МСП, Всесоюзное объединение «</w:t>
      </w:r>
      <w:proofErr w:type="spellStart"/>
      <w:r w:rsidRPr="007122AB">
        <w:rPr>
          <w:rFonts w:ascii="Times New Roman" w:hAnsi="Times New Roman"/>
          <w:color w:val="000000" w:themeColor="text1"/>
          <w:sz w:val="16"/>
          <w:szCs w:val="16"/>
        </w:rPr>
        <w:t>Проектверфь</w:t>
      </w:r>
      <w:proofErr w:type="spellEnd"/>
      <w:r w:rsidRPr="007122AB">
        <w:rPr>
          <w:rFonts w:ascii="Times New Roman" w:hAnsi="Times New Roman"/>
          <w:color w:val="000000" w:themeColor="text1"/>
          <w:sz w:val="16"/>
          <w:szCs w:val="16"/>
        </w:rPr>
        <w:t>» НКТП, ГСПИ «</w:t>
      </w:r>
      <w:proofErr w:type="spellStart"/>
      <w:r w:rsidRPr="007122AB">
        <w:rPr>
          <w:rFonts w:ascii="Times New Roman" w:hAnsi="Times New Roman"/>
          <w:color w:val="000000" w:themeColor="text1"/>
          <w:sz w:val="16"/>
          <w:szCs w:val="16"/>
        </w:rPr>
        <w:t>Союзпроектверфь</w:t>
      </w:r>
      <w:proofErr w:type="spellEnd"/>
      <w:r w:rsidRPr="007122AB">
        <w:rPr>
          <w:rFonts w:ascii="Times New Roman" w:hAnsi="Times New Roman"/>
          <w:color w:val="000000" w:themeColor="text1"/>
          <w:sz w:val="16"/>
          <w:szCs w:val="16"/>
        </w:rPr>
        <w:t>», Проектная фирма (ПФ) «</w:t>
      </w:r>
      <w:proofErr w:type="spellStart"/>
      <w:r w:rsidRPr="007122AB">
        <w:rPr>
          <w:rFonts w:ascii="Times New Roman" w:hAnsi="Times New Roman"/>
          <w:color w:val="000000" w:themeColor="text1"/>
          <w:sz w:val="16"/>
          <w:szCs w:val="16"/>
        </w:rPr>
        <w:t>Союзпроектверфь</w:t>
      </w:r>
      <w:proofErr w:type="spellEnd"/>
      <w:r w:rsidRPr="007122AB">
        <w:rPr>
          <w:rFonts w:ascii="Times New Roman" w:hAnsi="Times New Roman"/>
          <w:color w:val="000000" w:themeColor="text1"/>
          <w:sz w:val="16"/>
          <w:szCs w:val="16"/>
        </w:rPr>
        <w:t>» /г. Ленинград; г. Омск; г. Ленинград/), пр. № 271 от 3.08.1937г. утвержден новый Устав института. В 02.1939г. ГСПИ-2 2ГУ НКОП передан в ведение 1ГУ НКСП.</w:t>
      </w:r>
    </w:p>
    <w:p w14:paraId="320D84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w:t>
      </w:r>
      <w:proofErr w:type="spellStart"/>
      <w:r w:rsidRPr="007122AB">
        <w:rPr>
          <w:rFonts w:ascii="Times New Roman" w:hAnsi="Times New Roman"/>
          <w:color w:val="000000" w:themeColor="text1"/>
          <w:sz w:val="16"/>
          <w:szCs w:val="16"/>
        </w:rPr>
        <w:t>Речсоюзверфи</w:t>
      </w:r>
      <w:proofErr w:type="spellEnd"/>
      <w:r w:rsidRPr="007122AB">
        <w:rPr>
          <w:rFonts w:ascii="Times New Roman" w:hAnsi="Times New Roman"/>
          <w:color w:val="000000" w:themeColor="text1"/>
          <w:sz w:val="16"/>
          <w:szCs w:val="16"/>
        </w:rPr>
        <w:t xml:space="preserve">» № 87 от 3.05.1933г. </w:t>
      </w:r>
      <w:proofErr w:type="spellStart"/>
      <w:r w:rsidRPr="007122AB">
        <w:rPr>
          <w:rFonts w:ascii="Times New Roman" w:hAnsi="Times New Roman"/>
          <w:color w:val="000000" w:themeColor="text1"/>
          <w:sz w:val="16"/>
          <w:szCs w:val="16"/>
        </w:rPr>
        <w:t>Гипроверфь</w:t>
      </w:r>
      <w:proofErr w:type="spellEnd"/>
      <w:r w:rsidRPr="007122AB">
        <w:rPr>
          <w:rFonts w:ascii="Times New Roman" w:hAnsi="Times New Roman"/>
          <w:color w:val="000000" w:themeColor="text1"/>
          <w:sz w:val="16"/>
          <w:szCs w:val="16"/>
        </w:rPr>
        <w:t xml:space="preserve"> преобразована в Московское отделение </w:t>
      </w:r>
      <w:proofErr w:type="spellStart"/>
      <w:r w:rsidRPr="007122AB">
        <w:rPr>
          <w:rFonts w:ascii="Times New Roman" w:hAnsi="Times New Roman"/>
          <w:color w:val="000000" w:themeColor="text1"/>
          <w:sz w:val="16"/>
          <w:szCs w:val="16"/>
        </w:rPr>
        <w:t>Проектверфи</w:t>
      </w:r>
      <w:proofErr w:type="spellEnd"/>
      <w:r w:rsidRPr="007122AB">
        <w:rPr>
          <w:rFonts w:ascii="Times New Roman" w:hAnsi="Times New Roman"/>
          <w:color w:val="000000" w:themeColor="text1"/>
          <w:sz w:val="16"/>
          <w:szCs w:val="16"/>
        </w:rPr>
        <w:t xml:space="preserve"> в ведении «</w:t>
      </w:r>
      <w:proofErr w:type="spellStart"/>
      <w:r w:rsidRPr="007122AB">
        <w:rPr>
          <w:rFonts w:ascii="Times New Roman" w:hAnsi="Times New Roman"/>
          <w:color w:val="000000" w:themeColor="text1"/>
          <w:sz w:val="16"/>
          <w:szCs w:val="16"/>
        </w:rPr>
        <w:t>Союзверфи</w:t>
      </w:r>
      <w:proofErr w:type="spellEnd"/>
      <w:r w:rsidRPr="007122AB">
        <w:rPr>
          <w:rFonts w:ascii="Times New Roman" w:hAnsi="Times New Roman"/>
          <w:color w:val="000000" w:themeColor="text1"/>
          <w:sz w:val="16"/>
          <w:szCs w:val="16"/>
        </w:rPr>
        <w:t>».</w:t>
      </w:r>
    </w:p>
    <w:p w14:paraId="4BA0F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г. велось проектирование Амурского судостроительного завода, его генплан</w:t>
      </w:r>
      <w:r w:rsidRPr="007122AB">
        <w:rPr>
          <w:rFonts w:ascii="Times New Roman" w:hAnsi="Times New Roman"/>
          <w:color w:val="000000" w:themeColor="text1"/>
          <w:sz w:val="16"/>
          <w:szCs w:val="16"/>
          <w:vertAlign w:val="superscript"/>
        </w:rPr>
        <w:t>4</w:t>
      </w:r>
      <w:r w:rsidRPr="007122AB">
        <w:rPr>
          <w:rFonts w:ascii="Times New Roman" w:hAnsi="Times New Roman"/>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w:t>
      </w:r>
      <w:r w:rsidRPr="007122AB">
        <w:rPr>
          <w:rFonts w:ascii="Times New Roman" w:hAnsi="Times New Roman"/>
          <w:color w:val="000000" w:themeColor="text1"/>
          <w:sz w:val="16"/>
          <w:szCs w:val="16"/>
        </w:rPr>
        <w:lastRenderedPageBreak/>
        <w:t>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78E973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2F0832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688D0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1955г. назывался ГСПИ-2, в 1959г. - ГСПИ «</w:t>
      </w:r>
      <w:proofErr w:type="spellStart"/>
      <w:r w:rsidRPr="007122AB">
        <w:rPr>
          <w:rFonts w:ascii="Times New Roman" w:hAnsi="Times New Roman"/>
          <w:color w:val="000000" w:themeColor="text1"/>
          <w:sz w:val="16"/>
          <w:szCs w:val="16"/>
        </w:rPr>
        <w:t>Союзпроектверфь</w:t>
      </w:r>
      <w:proofErr w:type="spellEnd"/>
      <w:r w:rsidRPr="007122AB">
        <w:rPr>
          <w:rFonts w:ascii="Times New Roman" w:hAnsi="Times New Roman"/>
          <w:color w:val="000000" w:themeColor="text1"/>
          <w:sz w:val="16"/>
          <w:szCs w:val="16"/>
        </w:rPr>
        <w:t>». В 2001 г. - ПФ «</w:t>
      </w:r>
      <w:proofErr w:type="spellStart"/>
      <w:r w:rsidRPr="007122AB">
        <w:rPr>
          <w:rFonts w:ascii="Times New Roman" w:hAnsi="Times New Roman"/>
          <w:color w:val="000000" w:themeColor="text1"/>
          <w:sz w:val="16"/>
          <w:szCs w:val="16"/>
        </w:rPr>
        <w:t>Союзпроектверфь</w:t>
      </w:r>
      <w:proofErr w:type="spellEnd"/>
      <w:r w:rsidRPr="007122AB">
        <w:rPr>
          <w:rFonts w:ascii="Times New Roman" w:hAnsi="Times New Roman"/>
          <w:color w:val="000000" w:themeColor="text1"/>
          <w:sz w:val="16"/>
          <w:szCs w:val="16"/>
        </w:rPr>
        <w:t>», в 2006г. входил в состав ЦНИИТС.</w:t>
      </w:r>
    </w:p>
    <w:p w14:paraId="065B6F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войны разработаны проекты восстановления николаевских ССЗ: № 444 и № 445, проект нового завода № 872. В 1955-61 г. спроектирован ССЗ в </w:t>
      </w:r>
      <w:proofErr w:type="spellStart"/>
      <w:r w:rsidRPr="007122AB">
        <w:rPr>
          <w:rFonts w:ascii="Times New Roman" w:hAnsi="Times New Roman"/>
          <w:color w:val="000000" w:themeColor="text1"/>
          <w:sz w:val="16"/>
          <w:szCs w:val="16"/>
        </w:rPr>
        <w:t>Хулудао</w:t>
      </w:r>
      <w:proofErr w:type="spellEnd"/>
      <w:r w:rsidRPr="007122AB">
        <w:rPr>
          <w:rFonts w:ascii="Times New Roman" w:hAnsi="Times New Roman"/>
          <w:color w:val="000000" w:themeColor="text1"/>
          <w:sz w:val="16"/>
          <w:szCs w:val="16"/>
        </w:rPr>
        <w:t xml:space="preserve">, в 1959г. - </w:t>
      </w:r>
      <w:proofErr w:type="spellStart"/>
      <w:r w:rsidRPr="007122AB">
        <w:rPr>
          <w:rFonts w:ascii="Times New Roman" w:hAnsi="Times New Roman"/>
          <w:color w:val="000000" w:themeColor="text1"/>
          <w:sz w:val="16"/>
          <w:szCs w:val="16"/>
        </w:rPr>
        <w:t>Бохайский</w:t>
      </w:r>
      <w:proofErr w:type="spellEnd"/>
      <w:r w:rsidRPr="007122AB">
        <w:rPr>
          <w:rFonts w:ascii="Times New Roman" w:hAnsi="Times New Roman"/>
          <w:color w:val="000000" w:themeColor="text1"/>
          <w:sz w:val="16"/>
          <w:szCs w:val="16"/>
        </w:rPr>
        <w:t xml:space="preserve"> ССЗ (Китай); в 1962-64г. - завод промыслового судостроения в Бургасе (Болгария). С 1965г. проектировался (совместно с ЦНИИ-138) ССЗ в </w:t>
      </w:r>
      <w:proofErr w:type="spellStart"/>
      <w:r w:rsidRPr="007122AB">
        <w:rPr>
          <w:rFonts w:ascii="Times New Roman" w:hAnsi="Times New Roman"/>
          <w:color w:val="000000" w:themeColor="text1"/>
          <w:sz w:val="16"/>
          <w:szCs w:val="16"/>
        </w:rPr>
        <w:t>Висакхапатнаме</w:t>
      </w:r>
      <w:proofErr w:type="spellEnd"/>
      <w:r w:rsidRPr="007122AB">
        <w:rPr>
          <w:rFonts w:ascii="Times New Roman" w:hAnsi="Times New Roman"/>
          <w:color w:val="000000" w:themeColor="text1"/>
          <w:sz w:val="16"/>
          <w:szCs w:val="16"/>
        </w:rPr>
        <w:t xml:space="preserve"> (Индия). Проекты: реконструкции: стендового комплекса НИИ «</w:t>
      </w:r>
      <w:proofErr w:type="spellStart"/>
      <w:r w:rsidRPr="007122AB">
        <w:rPr>
          <w:rFonts w:ascii="Times New Roman" w:hAnsi="Times New Roman"/>
          <w:color w:val="000000" w:themeColor="text1"/>
          <w:sz w:val="16"/>
          <w:szCs w:val="16"/>
        </w:rPr>
        <w:t>Мортеплотехника</w:t>
      </w:r>
      <w:proofErr w:type="spellEnd"/>
      <w:r w:rsidRPr="007122AB">
        <w:rPr>
          <w:rFonts w:ascii="Times New Roman" w:hAnsi="Times New Roman"/>
          <w:color w:val="000000" w:themeColor="text1"/>
          <w:sz w:val="16"/>
          <w:szCs w:val="16"/>
        </w:rPr>
        <w:t xml:space="preserve">»,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w:t>
      </w:r>
      <w:proofErr w:type="spellStart"/>
      <w:r w:rsidRPr="007122AB">
        <w:rPr>
          <w:rFonts w:ascii="Times New Roman" w:hAnsi="Times New Roman"/>
          <w:color w:val="000000" w:themeColor="text1"/>
          <w:sz w:val="16"/>
          <w:szCs w:val="16"/>
        </w:rPr>
        <w:t>магнитоизмерительный</w:t>
      </w:r>
      <w:proofErr w:type="spellEnd"/>
      <w:r w:rsidRPr="007122AB">
        <w:rPr>
          <w:rFonts w:ascii="Times New Roman" w:hAnsi="Times New Roman"/>
          <w:color w:val="000000" w:themeColor="text1"/>
          <w:sz w:val="16"/>
          <w:szCs w:val="16"/>
        </w:rPr>
        <w:t xml:space="preserve"> стенд. В 1988г. утвержден проект строительства 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7CC4C8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Управляющий (-1931 г.)- Н.Г. </w:t>
      </w:r>
      <w:proofErr w:type="spellStart"/>
      <w:r w:rsidRPr="007122AB">
        <w:rPr>
          <w:rFonts w:ascii="Times New Roman" w:hAnsi="Times New Roman"/>
          <w:color w:val="000000" w:themeColor="text1"/>
          <w:sz w:val="16"/>
          <w:szCs w:val="16"/>
        </w:rPr>
        <w:t>Оксман</w:t>
      </w:r>
      <w:proofErr w:type="spellEnd"/>
      <w:r w:rsidRPr="007122AB">
        <w:rPr>
          <w:rFonts w:ascii="Times New Roman" w:hAnsi="Times New Roman"/>
          <w:color w:val="000000" w:themeColor="text1"/>
          <w:sz w:val="16"/>
          <w:szCs w:val="16"/>
        </w:rPr>
        <w:t>, (1936г.)- Т.В. Сафронов. Начальник (-7.09.1937г.)- Т.В. Сафронов, (7.09.1937-09.1938г.-)- А.С. Южаков, (1940-е)- В.П. Костенко. Директор (10.2001 г.)- С.П. Наседкин.</w:t>
      </w:r>
    </w:p>
    <w:p w14:paraId="24499E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(18.06.1941 г.-)- В.П. Костенко.</w:t>
      </w:r>
    </w:p>
    <w:p w14:paraId="3743B8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(29.12.1930-31 г.)- А.И. </w:t>
      </w:r>
      <w:proofErr w:type="spellStart"/>
      <w:r w:rsidRPr="007122AB">
        <w:rPr>
          <w:rFonts w:ascii="Times New Roman" w:hAnsi="Times New Roman"/>
          <w:color w:val="000000" w:themeColor="text1"/>
          <w:sz w:val="16"/>
          <w:szCs w:val="16"/>
        </w:rPr>
        <w:t>Балкашин</w:t>
      </w:r>
      <w:proofErr w:type="spellEnd"/>
      <w:r w:rsidRPr="007122AB">
        <w:rPr>
          <w:rFonts w:ascii="Times New Roman" w:hAnsi="Times New Roman"/>
          <w:color w:val="000000" w:themeColor="text1"/>
          <w:sz w:val="16"/>
          <w:szCs w:val="16"/>
        </w:rPr>
        <w:t>, (1.09.1931-25.02.1941; 1950-56г.)- В.П. Костенко (арестован),</w:t>
      </w:r>
      <w:r w:rsidRPr="007122AB">
        <w:rPr>
          <w:rFonts w:ascii="Times New Roman" w:hAnsi="Times New Roman"/>
          <w:color w:val="000000" w:themeColor="text1"/>
          <w:sz w:val="16"/>
          <w:szCs w:val="16"/>
          <w:vertAlign w:val="superscript"/>
        </w:rPr>
        <w:t xml:space="preserve">61 </w:t>
      </w:r>
      <w:r w:rsidRPr="007122AB">
        <w:rPr>
          <w:rFonts w:ascii="Times New Roman" w:hAnsi="Times New Roman"/>
          <w:color w:val="000000" w:themeColor="text1"/>
          <w:sz w:val="16"/>
          <w:szCs w:val="16"/>
        </w:rPr>
        <w:t xml:space="preserve">А. А. Борисов, (-2006-07г.-)-Р. </w:t>
      </w:r>
      <w:proofErr w:type="spellStart"/>
      <w:r w:rsidRPr="007122AB">
        <w:rPr>
          <w:rFonts w:ascii="Times New Roman" w:hAnsi="Times New Roman"/>
          <w:color w:val="000000" w:themeColor="text1"/>
          <w:sz w:val="16"/>
          <w:szCs w:val="16"/>
        </w:rPr>
        <w:t>Нихенбаум</w:t>
      </w:r>
      <w:proofErr w:type="spellEnd"/>
      <w:r w:rsidRPr="007122AB">
        <w:rPr>
          <w:rFonts w:ascii="Times New Roman" w:hAnsi="Times New Roman"/>
          <w:color w:val="000000" w:themeColor="text1"/>
          <w:sz w:val="16"/>
          <w:szCs w:val="16"/>
        </w:rPr>
        <w:t>.</w:t>
      </w:r>
    </w:p>
    <w:p w14:paraId="3C07B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технолог по судостроению (1.10.1953-56г.)- В.П. Костенко.</w:t>
      </w:r>
    </w:p>
    <w:p w14:paraId="0EBF1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инженеры проекта: (1936г.)- А.А. Борисов (завод № 402).</w:t>
      </w:r>
    </w:p>
    <w:p w14:paraId="54404C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секторов: механического (1938г.)- Критский.</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xml:space="preserve"> (11982).</w:t>
      </w:r>
    </w:p>
    <w:p w14:paraId="41BA6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0E61D7"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г. в истории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играет большую роль. Это рубеж от этапа создания организации к этапу разво</w:t>
      </w:r>
      <w:r w:rsidRPr="007122AB">
        <w:rPr>
          <w:rFonts w:ascii="Times New Roman" w:hAnsi="Times New Roman"/>
          <w:color w:val="000000" w:themeColor="text1"/>
          <w:sz w:val="16"/>
          <w:szCs w:val="16"/>
        </w:rPr>
        <w:softHyphen/>
        <w:t>рота деятельности в объемах и масштабах, до сих пор не видан</w:t>
      </w:r>
      <w:r w:rsidRPr="007122AB">
        <w:rPr>
          <w:rFonts w:ascii="Times New Roman" w:hAnsi="Times New Roman"/>
          <w:color w:val="000000" w:themeColor="text1"/>
          <w:sz w:val="16"/>
          <w:szCs w:val="16"/>
        </w:rPr>
        <w:softHyphen/>
        <w:t>ных в СССР. Именно 1 января 1931 г. Совет Труда и Обороны постановил передать Экспедицию подводных работ ( ЭПРОН ) со всем пассивом и активом из ведения ОГПУ в ведение НКПС, со</w:t>
      </w:r>
      <w:r w:rsidRPr="007122AB">
        <w:rPr>
          <w:rFonts w:ascii="Times New Roman" w:hAnsi="Times New Roman"/>
          <w:color w:val="000000" w:themeColor="text1"/>
          <w:sz w:val="16"/>
          <w:szCs w:val="16"/>
        </w:rPr>
        <w:softHyphen/>
        <w:t>хранив его отдельной хозяйственной организацией с правом юридического лица.</w:t>
      </w:r>
    </w:p>
    <w:p w14:paraId="6DCC2BBA"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ЭПРОН  по этому постановлению сохранил свою военную структуру, организационные формы которой было поручено уста</w:t>
      </w:r>
      <w:r w:rsidRPr="007122AB">
        <w:rPr>
          <w:rFonts w:ascii="Times New Roman" w:hAnsi="Times New Roman"/>
          <w:color w:val="000000" w:themeColor="text1"/>
          <w:sz w:val="16"/>
          <w:szCs w:val="16"/>
        </w:rPr>
        <w:softHyphen/>
        <w:t>новить по соглашению между ОГПУ, НКПС и НКВМ. Старый устав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 утвержденный СТО 17 декабря 1926 г., был отменен, и НКПС предложено было утвердить новый. В итоге в результате всех реорганизаций и поглощений по со</w:t>
      </w:r>
      <w:r w:rsidRPr="007122AB">
        <w:rPr>
          <w:rFonts w:ascii="Times New Roman" w:hAnsi="Times New Roman"/>
          <w:color w:val="000000" w:themeColor="text1"/>
          <w:sz w:val="16"/>
          <w:szCs w:val="16"/>
        </w:rPr>
        <w:softHyphen/>
        <w:t>стоянию на 1 апреля 1932 г.  ЭПРОН  представлял собой организа</w:t>
      </w:r>
      <w:r w:rsidRPr="007122AB">
        <w:rPr>
          <w:rFonts w:ascii="Times New Roman" w:hAnsi="Times New Roman"/>
          <w:color w:val="000000" w:themeColor="text1"/>
          <w:sz w:val="16"/>
          <w:szCs w:val="16"/>
        </w:rPr>
        <w:softHyphen/>
        <w:t>цию в следующем виде:</w:t>
      </w:r>
    </w:p>
    <w:p w14:paraId="4CB6685E"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главное управление;</w:t>
      </w:r>
    </w:p>
    <w:p w14:paraId="0CCECA46"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московское отделение;</w:t>
      </w:r>
    </w:p>
    <w:p w14:paraId="74329706"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северный округ, в состав которого входили: управление окру</w:t>
      </w:r>
      <w:r w:rsidRPr="007122AB">
        <w:rPr>
          <w:rFonts w:ascii="Times New Roman" w:hAnsi="Times New Roman"/>
          <w:color w:val="000000" w:themeColor="text1"/>
          <w:sz w:val="16"/>
          <w:szCs w:val="16"/>
        </w:rPr>
        <w:softHyphen/>
        <w:t xml:space="preserve">га, </w:t>
      </w:r>
      <w:proofErr w:type="spellStart"/>
      <w:r w:rsidRPr="007122AB">
        <w:rPr>
          <w:rFonts w:ascii="Times New Roman" w:hAnsi="Times New Roman"/>
          <w:color w:val="000000" w:themeColor="text1"/>
          <w:sz w:val="16"/>
          <w:szCs w:val="16"/>
        </w:rPr>
        <w:t>ремонтно</w:t>
      </w:r>
      <w:proofErr w:type="spellEnd"/>
      <w:r w:rsidRPr="007122AB">
        <w:rPr>
          <w:rFonts w:ascii="Times New Roman" w:hAnsi="Times New Roman"/>
          <w:color w:val="000000" w:themeColor="text1"/>
          <w:sz w:val="16"/>
          <w:szCs w:val="16"/>
        </w:rPr>
        <w:t xml:space="preserve"> - производственные мастерские, строительный отдел округа, плавсредства, балтийская партия, архангельская партия, мурманская партия;</w:t>
      </w:r>
    </w:p>
    <w:p w14:paraId="53D8B8D7"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южный округ, в состав которого входили: управление округа, строительный отдел округа, водолазный состав, мастерские, се</w:t>
      </w:r>
      <w:r w:rsidRPr="007122AB">
        <w:rPr>
          <w:rFonts w:ascii="Times New Roman" w:hAnsi="Times New Roman"/>
          <w:color w:val="000000" w:themeColor="text1"/>
          <w:sz w:val="16"/>
          <w:szCs w:val="16"/>
        </w:rPr>
        <w:softHyphen/>
        <w:t>вастопольская партия, новороссийская партия и ее отделение, каспийская партия;</w:t>
      </w:r>
    </w:p>
    <w:p w14:paraId="3C37ED18"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-дальневосточная партия;</w:t>
      </w:r>
    </w:p>
    <w:p w14:paraId="488F7527"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военно-морской водолазный техникум (в Балаклаве).</w:t>
      </w:r>
    </w:p>
    <w:p w14:paraId="428E454A" w14:textId="77777777" w:rsidR="00326A52" w:rsidRPr="007122AB" w:rsidRDefault="00326A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этом завершаются процесс формирования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и мо</w:t>
      </w:r>
      <w:r w:rsidRPr="007122AB">
        <w:rPr>
          <w:rFonts w:ascii="Times New Roman" w:hAnsi="Times New Roman"/>
          <w:color w:val="000000" w:themeColor="text1"/>
          <w:sz w:val="16"/>
          <w:szCs w:val="16"/>
        </w:rPr>
        <w:softHyphen/>
        <w:t>нополизация водолазного и судоподъемного дела в стране в пользу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(15509).</w:t>
      </w:r>
    </w:p>
    <w:p w14:paraId="670505D7" w14:textId="77777777" w:rsidR="00326A52" w:rsidRPr="007122AB" w:rsidRDefault="00326A52" w:rsidP="007122AB">
      <w:pPr>
        <w:spacing w:after="0" w:line="240" w:lineRule="auto"/>
        <w:jc w:val="both"/>
        <w:rPr>
          <w:rFonts w:ascii="Times New Roman" w:hAnsi="Times New Roman"/>
          <w:color w:val="000000" w:themeColor="text1"/>
          <w:sz w:val="16"/>
          <w:szCs w:val="16"/>
        </w:rPr>
      </w:pPr>
    </w:p>
    <w:p w14:paraId="46BE00C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2303C1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7F075E"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 января 1931 г. весь самолетный парк ВВС РККА состоял из обозначенных ниже типов и количества самолетов</w:t>
      </w:r>
    </w:p>
    <w:p w14:paraId="174A6B08"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Самолеты </w:t>
      </w:r>
      <w:proofErr w:type="spellStart"/>
      <w:r w:rsidRPr="007122AB">
        <w:rPr>
          <w:rFonts w:ascii="Times New Roman" w:hAnsi="Times New Roman"/>
          <w:color w:val="000000" w:themeColor="text1"/>
          <w:sz w:val="16"/>
          <w:szCs w:val="16"/>
        </w:rPr>
        <w:t>Исправн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Неисправ</w:t>
      </w:r>
      <w:proofErr w:type="spellEnd"/>
      <w:r w:rsidRPr="007122AB">
        <w:rPr>
          <w:rFonts w:ascii="Times New Roman" w:hAnsi="Times New Roman"/>
          <w:color w:val="000000" w:themeColor="text1"/>
          <w:sz w:val="16"/>
          <w:szCs w:val="16"/>
        </w:rPr>
        <w:t>. Всего</w:t>
      </w:r>
    </w:p>
    <w:p w14:paraId="1CF8E022"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ТБ-1 45 7 52 </w:t>
      </w:r>
    </w:p>
    <w:p w14:paraId="12BB441B"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МР-1 42 29 71 </w:t>
      </w:r>
    </w:p>
    <w:p w14:paraId="35308BC9"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Р-1 1214 303 1517 </w:t>
      </w:r>
    </w:p>
    <w:p w14:paraId="226F7EE7"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РОМ - 1 1</w:t>
      </w:r>
    </w:p>
    <w:p w14:paraId="2A643870"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26 4 30</w:t>
      </w:r>
    </w:p>
    <w:p w14:paraId="61D5F654"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Р-1сп 4 16 20</w:t>
      </w:r>
    </w:p>
    <w:p w14:paraId="6857E5F4"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И-2 26 8 34</w:t>
      </w:r>
    </w:p>
    <w:p w14:paraId="0F1DC1FF"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У-1 172 97 269</w:t>
      </w:r>
    </w:p>
    <w:p w14:paraId="03A80CE3"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И-2бис 65 7 72</w:t>
      </w:r>
    </w:p>
    <w:p w14:paraId="61030B3F"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75 6 81</w:t>
      </w:r>
    </w:p>
    <w:p w14:paraId="4CD36539"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И-3 258 21 279</w:t>
      </w:r>
    </w:p>
    <w:p w14:paraId="64DF26C7"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М4-1 36 8 44 </w:t>
      </w:r>
    </w:p>
    <w:p w14:paraId="5FDF8FC9"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И-4 138 12 150</w:t>
      </w:r>
    </w:p>
    <w:p w14:paraId="1E9BF6A7"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Р-1 с БМВ 43 36 79 </w:t>
      </w:r>
    </w:p>
    <w:p w14:paraId="605215F8"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11 1 12</w:t>
      </w:r>
    </w:p>
    <w:p w14:paraId="4821B8DD"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1 - 1</w:t>
      </w:r>
    </w:p>
    <w:p w14:paraId="50BDD418"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ФС-IV 25 7 32</w:t>
      </w:r>
    </w:p>
    <w:p w14:paraId="1D7E8672"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 1 - 1</w:t>
      </w:r>
    </w:p>
    <w:p w14:paraId="19F88235"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ФД-VII 10 1 11</w:t>
      </w:r>
    </w:p>
    <w:p w14:paraId="6DA7E6F8"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Дорнье-Валь 14 6 20</w:t>
      </w:r>
    </w:p>
    <w:p w14:paraId="5D54AF61"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ФД-XI 52 36 88 </w:t>
      </w:r>
    </w:p>
    <w:p w14:paraId="14D8FCAD"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НД-55 19 - 19 </w:t>
      </w:r>
    </w:p>
    <w:p w14:paraId="6362238E" w14:textId="77777777" w:rsidR="00EC545D" w:rsidRPr="007122AB" w:rsidRDefault="00EC545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Мартинсайд</w:t>
      </w:r>
      <w:proofErr w:type="spellEnd"/>
      <w:r w:rsidRPr="007122AB">
        <w:rPr>
          <w:rFonts w:ascii="Times New Roman" w:hAnsi="Times New Roman"/>
          <w:color w:val="000000" w:themeColor="text1"/>
          <w:sz w:val="16"/>
          <w:szCs w:val="16"/>
        </w:rPr>
        <w:t xml:space="preserve"> 2 1 3 </w:t>
      </w:r>
    </w:p>
    <w:p w14:paraId="46FAECF5"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Савойя 8 5 13 </w:t>
      </w:r>
    </w:p>
    <w:p w14:paraId="23613BD6"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Хейнкель 2 1 3 </w:t>
      </w:r>
    </w:p>
    <w:p w14:paraId="6441497F"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Ю-20 - 5 5 </w:t>
      </w:r>
    </w:p>
    <w:p w14:paraId="37AD754A"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Альбатрос 2 2 4 </w:t>
      </w:r>
    </w:p>
    <w:p w14:paraId="14795DCB"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ЮГ-1(</w:t>
      </w:r>
      <w:proofErr w:type="spellStart"/>
      <w:r w:rsidRPr="007122AB">
        <w:rPr>
          <w:rFonts w:ascii="Times New Roman" w:hAnsi="Times New Roman"/>
          <w:color w:val="000000" w:themeColor="text1"/>
          <w:sz w:val="16"/>
          <w:szCs w:val="16"/>
        </w:rPr>
        <w:t>поплав</w:t>
      </w:r>
      <w:proofErr w:type="spellEnd"/>
      <w:r w:rsidRPr="007122AB">
        <w:rPr>
          <w:rFonts w:ascii="Times New Roman" w:hAnsi="Times New Roman"/>
          <w:color w:val="000000" w:themeColor="text1"/>
          <w:sz w:val="16"/>
          <w:szCs w:val="16"/>
        </w:rPr>
        <w:t xml:space="preserve">.) 8 2 10 </w:t>
      </w:r>
    </w:p>
    <w:p w14:paraId="0F0FFA48"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ЮГ-1 1 1 2 </w:t>
      </w:r>
    </w:p>
    <w:p w14:paraId="73016535"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Хейнкель(</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 xml:space="preserve">.) 1 - 1 </w:t>
      </w:r>
    </w:p>
    <w:p w14:paraId="1794A648"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Ю-13 2 1 3 </w:t>
      </w:r>
    </w:p>
    <w:p w14:paraId="3CBBCDBB"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Фарман-Голиаф - 3 3 </w:t>
      </w:r>
    </w:p>
    <w:p w14:paraId="0BD053E8" w14:textId="77777777" w:rsidR="00EC545D" w:rsidRPr="007122AB" w:rsidRDefault="00EC545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Ансальдо</w:t>
      </w:r>
      <w:proofErr w:type="spellEnd"/>
      <w:r w:rsidRPr="007122AB">
        <w:rPr>
          <w:rFonts w:ascii="Times New Roman" w:hAnsi="Times New Roman"/>
          <w:color w:val="000000" w:themeColor="text1"/>
          <w:sz w:val="16"/>
          <w:szCs w:val="16"/>
        </w:rPr>
        <w:t xml:space="preserve"> - 2 2 </w:t>
      </w:r>
    </w:p>
    <w:p w14:paraId="522F9E02"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1879 416 2295</w:t>
      </w:r>
    </w:p>
    <w:p w14:paraId="07CD8B72"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2303 626 2929</w:t>
      </w:r>
    </w:p>
    <w:p w14:paraId="736B4A49" w14:textId="77777777" w:rsidR="00EC545D" w:rsidRPr="007122AB" w:rsidRDefault="00EC54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2295+2929 = 5224, из них, исправных:1879 + 2303 = 4182; неисправных: 416+626 = 1042 (19566).</w:t>
      </w:r>
    </w:p>
    <w:p w14:paraId="760DC35C" w14:textId="77777777" w:rsidR="00EC545D" w:rsidRPr="007122AB" w:rsidRDefault="00EC545D" w:rsidP="007122AB">
      <w:pPr>
        <w:spacing w:after="0" w:line="240" w:lineRule="auto"/>
        <w:jc w:val="both"/>
        <w:rPr>
          <w:rFonts w:ascii="Times New Roman" w:hAnsi="Times New Roman"/>
          <w:color w:val="000000" w:themeColor="text1"/>
          <w:sz w:val="16"/>
          <w:szCs w:val="16"/>
        </w:rPr>
      </w:pPr>
    </w:p>
    <w:p w14:paraId="090C8F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 января 1931 г. в составе ВВС числилось уже 52 ТБ-1, из которых 45 находились в летном состоянии. Летом самолеты приняли уча</w:t>
      </w:r>
      <w:r w:rsidRPr="007122AB">
        <w:rPr>
          <w:rFonts w:ascii="Times New Roman" w:hAnsi="Times New Roman"/>
          <w:color w:val="000000" w:themeColor="text1"/>
          <w:sz w:val="16"/>
          <w:szCs w:val="16"/>
        </w:rPr>
        <w:softHyphen/>
        <w:t>стие в маневрах на Украине, а в октябре ТБ-1 с успехом продемонстрировали не</w:t>
      </w:r>
      <w:r w:rsidRPr="007122AB">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7122AB">
        <w:rPr>
          <w:rFonts w:ascii="Times New Roman" w:hAnsi="Times New Roman"/>
          <w:color w:val="000000" w:themeColor="text1"/>
          <w:sz w:val="16"/>
          <w:szCs w:val="16"/>
        </w:rPr>
        <w:softHyphen/>
        <w:t>евых частях достигло 155 экземпляров (11286).</w:t>
      </w:r>
    </w:p>
    <w:p w14:paraId="41EB89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15B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Новому году в ВВС РККА имелось уже 52 новых бомбардировщика, 45 из которых были исправны.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(12036).</w:t>
      </w:r>
    </w:p>
    <w:p w14:paraId="43185A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5051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января 1931 г. один самолет ТБ-1 на колесном шасси числился у моряков. Затем поступило еще несколько машин, ко</w:t>
      </w:r>
      <w:r w:rsidRPr="007122AB">
        <w:rPr>
          <w:rFonts w:ascii="Times New Roman" w:hAnsi="Times New Roman"/>
          <w:color w:val="000000" w:themeColor="text1"/>
          <w:sz w:val="16"/>
          <w:szCs w:val="16"/>
        </w:rPr>
        <w:softHyphen/>
        <w:t>торые составили первый торпедный отряд в составе 9-й авиабригады Морских сил Чер</w:t>
      </w:r>
      <w:r w:rsidRPr="007122AB">
        <w:rPr>
          <w:rFonts w:ascii="Times New Roman" w:hAnsi="Times New Roman"/>
          <w:color w:val="000000" w:themeColor="text1"/>
          <w:sz w:val="16"/>
          <w:szCs w:val="16"/>
        </w:rPr>
        <w:softHyphen/>
        <w:t>ного моря. Именно в этом подразделении, базировавшемся на аэродроме Кача, про</w:t>
      </w:r>
      <w:r w:rsidRPr="007122AB">
        <w:rPr>
          <w:rFonts w:ascii="Times New Roman" w:hAnsi="Times New Roman"/>
          <w:color w:val="000000" w:themeColor="text1"/>
          <w:sz w:val="16"/>
          <w:szCs w:val="16"/>
        </w:rPr>
        <w:softHyphen/>
        <w:t>вели первые испытания по сбросу при помощи парашютов торпед ВВС-15, мин ВОМИЗА-100 и сброса с бреющего полета торпед ВВС-12. Осенью 1931 г. на Балтике в 62-й эскад</w:t>
      </w:r>
      <w:r w:rsidRPr="007122AB">
        <w:rPr>
          <w:rFonts w:ascii="Times New Roman" w:hAnsi="Times New Roman"/>
          <w:color w:val="000000" w:themeColor="text1"/>
          <w:sz w:val="16"/>
          <w:szCs w:val="16"/>
        </w:rPr>
        <w:softHyphen/>
        <w:t>рилье 4-й авиабригады насчитывалось три ТБ-1П, которые использовали для испыта</w:t>
      </w:r>
      <w:r w:rsidRPr="007122AB">
        <w:rPr>
          <w:rFonts w:ascii="Times New Roman" w:hAnsi="Times New Roman"/>
          <w:color w:val="000000" w:themeColor="text1"/>
          <w:sz w:val="16"/>
          <w:szCs w:val="16"/>
        </w:rPr>
        <w:softHyphen/>
        <w:t xml:space="preserve">ний сброса с бреющего полета </w:t>
      </w:r>
      <w:proofErr w:type="spellStart"/>
      <w:r w:rsidRPr="007122AB">
        <w:rPr>
          <w:rFonts w:ascii="Times New Roman" w:hAnsi="Times New Roman"/>
          <w:color w:val="000000" w:themeColor="text1"/>
          <w:sz w:val="16"/>
          <w:szCs w:val="16"/>
        </w:rPr>
        <w:t>низковысотных</w:t>
      </w:r>
      <w:proofErr w:type="spellEnd"/>
      <w:r w:rsidRPr="007122AB">
        <w:rPr>
          <w:rFonts w:ascii="Times New Roman" w:hAnsi="Times New Roman"/>
          <w:color w:val="000000" w:themeColor="text1"/>
          <w:sz w:val="16"/>
          <w:szCs w:val="16"/>
        </w:rPr>
        <w:t xml:space="preserve"> торпед ТАН-12. В 1932 г. началось формирование подразделений минно-торпедной авиации: на Балтике — 121-я эскадрилья, на Черном море — один отряд 124-й эскадрильи, на Тихом океане — уже упомянутый выше отряд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Кроме проведения торпедных атак, самолеты предполагалось использовать для постановки минных заграждений на предполагаемых путях передвижения неприятельских кораблей (11286).</w:t>
      </w:r>
    </w:p>
    <w:p w14:paraId="5C4F69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BD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января 1931 имелось 1517 Р-1, 20 Р-1СП, 79 Р-1БМВ и 71 МР-1. На начало 1931 г. пришелся пик численности Р-1 и его вариантов в ВВС (11923).</w:t>
      </w:r>
    </w:p>
    <w:p w14:paraId="0EA97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77B77F" w14:textId="77777777" w:rsidR="00A635E8" w:rsidRPr="00441F34" w:rsidRDefault="00A635E8" w:rsidP="00A635E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состоя</w:t>
      </w:r>
      <w:r w:rsidRPr="00441F34">
        <w:rPr>
          <w:rFonts w:ascii="Times New Roman" w:hAnsi="Times New Roman"/>
          <w:color w:val="0070C0"/>
          <w:sz w:val="16"/>
          <w:szCs w:val="16"/>
        </w:rPr>
        <w:softHyphen/>
        <w:t>нию на 1 января 1931 г. в строю находилось 150 И-4 (23378).</w:t>
      </w:r>
    </w:p>
    <w:p w14:paraId="76C77A92" w14:textId="77777777" w:rsidR="00A635E8" w:rsidRPr="00441F34" w:rsidRDefault="00A635E8" w:rsidP="00A635E8">
      <w:pPr>
        <w:spacing w:after="0" w:line="240" w:lineRule="auto"/>
        <w:jc w:val="both"/>
        <w:rPr>
          <w:rFonts w:ascii="Times New Roman" w:hAnsi="Times New Roman"/>
          <w:color w:val="0070C0"/>
          <w:sz w:val="16"/>
          <w:szCs w:val="16"/>
        </w:rPr>
      </w:pPr>
    </w:p>
    <w:p w14:paraId="5DB62168" w14:textId="77777777" w:rsidR="00A635E8" w:rsidRPr="00441F34" w:rsidRDefault="00A635E8" w:rsidP="00A635E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1 января 1931 г. самолеты И-3 составили основу истребительной авиации ВВС РККА – их было 279, в т.ч. 258 исправных и 21 в ремонте. Для сравнения новых истребителей И-5 было 12 (11 исправных), И-4 – 150 (138 исправных), устаревших И-2, И-2бис – 106 (91 исправный), Фоккер ФД-7 – 11 (10 исправных из купленных в 1922 г. 50 новой постройки), ФД-11 – 88 (52 исправных), </w:t>
      </w:r>
      <w:proofErr w:type="spellStart"/>
      <w:r w:rsidRPr="00441F34">
        <w:rPr>
          <w:rFonts w:ascii="Times New Roman" w:hAnsi="Times New Roman"/>
          <w:color w:val="0070C0"/>
          <w:sz w:val="16"/>
          <w:szCs w:val="16"/>
        </w:rPr>
        <w:t>Мартинсайд</w:t>
      </w:r>
      <w:proofErr w:type="spellEnd"/>
      <w:r w:rsidRPr="00441F34">
        <w:rPr>
          <w:rFonts w:ascii="Times New Roman" w:hAnsi="Times New Roman"/>
          <w:color w:val="0070C0"/>
          <w:sz w:val="16"/>
          <w:szCs w:val="16"/>
        </w:rPr>
        <w:t xml:space="preserve"> М-4 – 3 (1 исправный). По истребительной авиации ВВС РККА по-прежнему значительно уступали объединенным силам вероятного противника (24887).</w:t>
      </w:r>
    </w:p>
    <w:p w14:paraId="2F2C820D" w14:textId="77777777" w:rsidR="00A635E8" w:rsidRPr="00441F34" w:rsidRDefault="00A635E8" w:rsidP="00A635E8">
      <w:pPr>
        <w:spacing w:after="0" w:line="240" w:lineRule="auto"/>
        <w:jc w:val="both"/>
        <w:rPr>
          <w:rFonts w:ascii="Times New Roman" w:hAnsi="Times New Roman"/>
          <w:color w:val="0070C0"/>
          <w:sz w:val="16"/>
          <w:szCs w:val="16"/>
        </w:rPr>
      </w:pPr>
    </w:p>
    <w:p w14:paraId="5985FC72" w14:textId="77777777" w:rsidR="00A635E8" w:rsidRPr="00441F34" w:rsidRDefault="00A635E8" w:rsidP="00A635E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1 января 1931 г. в СССР самолетный парк ВВС РККА и Морской Авиации РКК ВМФ включал 2295 самолетов, из которых 1789 были исправны. В строю оставалось 34 самолета И-2 и 72 И-2бис конструкции Д.П. Григоровича, из которых исправны были 26 и 65 соответственно (23560).</w:t>
      </w:r>
    </w:p>
    <w:p w14:paraId="04328573" w14:textId="77777777" w:rsidR="00A635E8" w:rsidRPr="00441F34" w:rsidRDefault="00A635E8" w:rsidP="00A635E8">
      <w:pPr>
        <w:spacing w:after="0" w:line="240" w:lineRule="auto"/>
        <w:jc w:val="both"/>
        <w:rPr>
          <w:rFonts w:ascii="Times New Roman" w:hAnsi="Times New Roman"/>
          <w:color w:val="0070C0"/>
          <w:sz w:val="16"/>
          <w:szCs w:val="16"/>
        </w:rPr>
      </w:pPr>
    </w:p>
    <w:p w14:paraId="21362CB3" w14:textId="77777777" w:rsidR="00A635E8" w:rsidRPr="00441F34" w:rsidRDefault="00A635E8" w:rsidP="00A635E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1 октября 1931 г. в частях ВВС РККА и Морской Авиации РКК ВМФ числилось 282 истребителя И-3 (а также 63 Фоккер ФД-7 и ФД-11, 77 И-2 и И-2бис, 159 И-4, 54 И-5) (24887).</w:t>
      </w:r>
    </w:p>
    <w:p w14:paraId="365D910A" w14:textId="77777777" w:rsidR="00A635E8" w:rsidRPr="00441F34" w:rsidRDefault="00A635E8" w:rsidP="00A635E8">
      <w:pPr>
        <w:spacing w:after="0" w:line="240" w:lineRule="auto"/>
        <w:jc w:val="both"/>
        <w:rPr>
          <w:rFonts w:ascii="Times New Roman" w:hAnsi="Times New Roman"/>
          <w:color w:val="0070C0"/>
          <w:sz w:val="16"/>
          <w:szCs w:val="16"/>
        </w:rPr>
      </w:pPr>
    </w:p>
    <w:p w14:paraId="1675C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 января 1931 г. в составе морской авиации числились 8 ДВ дальней морской разведки и 8 ДВ бомбардировщиков. По другим данным, на 1 января 1931 г. числилось 20 ДВ (14/6), на 1 января 1932 г. - 19 ДВ (14/5), на 1 января 1933 г. - 18 ДВ (11/7) (11961).</w:t>
      </w:r>
    </w:p>
    <w:p w14:paraId="40256C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89D2CA" w14:textId="77777777" w:rsidR="0062593B" w:rsidRPr="007122AB" w:rsidRDefault="0062593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На 1 января 1931 г. советские Военно-Морские Силы насчитывали 3 линкора, 4 крейсера, 17 эсминцев, 16 субмарин и небольшое число других боевых, вспомогательных и учебных судов. Общий тоннаж боевых кораблей составлял всего 130 тыс. тонн (Сводная ведомость общей численности судового состава Военно-Морского Флота СССР по состоянию на 1.01.1931 (приложение к письму Народного Комиссара Иностранных Дел СССР Литвинова Генеральному секретарю Лиги Наций </w:t>
      </w:r>
      <w:proofErr w:type="spellStart"/>
      <w:r w:rsidRPr="007122AB">
        <w:rPr>
          <w:rFonts w:ascii="Times New Roman" w:eastAsia="Times New Roman" w:hAnsi="Times New Roman"/>
          <w:color w:val="000000" w:themeColor="text1"/>
          <w:sz w:val="16"/>
          <w:szCs w:val="16"/>
          <w:lang w:eastAsia="ru-RU"/>
        </w:rPr>
        <w:t>Друммонду</w:t>
      </w:r>
      <w:proofErr w:type="spellEnd"/>
      <w:r w:rsidRPr="007122AB">
        <w:rPr>
          <w:rFonts w:ascii="Times New Roman" w:eastAsia="Times New Roman" w:hAnsi="Times New Roman"/>
          <w:color w:val="000000" w:themeColor="text1"/>
          <w:sz w:val="16"/>
          <w:szCs w:val="16"/>
          <w:lang w:eastAsia="ru-RU"/>
        </w:rPr>
        <w:t>, 25.04.1931) //ДВП СССР. Т. 14. С. 279) (22725).</w:t>
      </w:r>
    </w:p>
    <w:p w14:paraId="46687F40"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76AFFD6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89A275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E458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был пущен Ростсельмаш (1348,199).</w:t>
      </w:r>
    </w:p>
    <w:p w14:paraId="4F2E7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7661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пущен в строй Ростовский завод сельскохозяйственных машин (4962).</w:t>
      </w:r>
    </w:p>
    <w:p w14:paraId="69975C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685CF" w14:textId="77777777" w:rsidR="00170265" w:rsidRPr="007122AB" w:rsidRDefault="001702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ранее 1 января 1931 г.</w:t>
      </w:r>
    </w:p>
    <w:p w14:paraId="36D84FBC" w14:textId="77777777" w:rsidR="00170265" w:rsidRPr="007122AB" w:rsidRDefault="00170265"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Заявление следователю СО ОГПУ И. Черток от арестованного за «руководство террористической группой» инженера С. А. Предтеченского. Не ранее 1 января 1931 г.</w:t>
      </w:r>
    </w:p>
    <w:p w14:paraId="2377AAC0" w14:textId="77777777" w:rsidR="00170265" w:rsidRPr="007122AB" w:rsidRDefault="00170265"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40DE5E38" w14:textId="77777777" w:rsidR="00170265" w:rsidRPr="007122AB" w:rsidRDefault="001702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D15559" w14:textId="77777777" w:rsidR="00170265" w:rsidRPr="007122AB" w:rsidRDefault="00170265" w:rsidP="007122AB">
      <w:pPr>
        <w:pStyle w:val="rteright"/>
        <w:spacing w:before="0" w:after="0"/>
        <w:jc w:val="both"/>
        <w:rPr>
          <w:color w:val="000000" w:themeColor="text1"/>
          <w:sz w:val="16"/>
          <w:szCs w:val="16"/>
        </w:rPr>
      </w:pPr>
      <w:r w:rsidRPr="007122AB">
        <w:rPr>
          <w:color w:val="000000" w:themeColor="text1"/>
          <w:sz w:val="16"/>
          <w:szCs w:val="16"/>
        </w:rPr>
        <w:t>Не ранее 1 января 1931 г.</w:t>
      </w:r>
    </w:p>
    <w:p w14:paraId="52C40A5A"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Пом. нач. IV отдела СО ОГПУ тов. Черток</w:t>
      </w:r>
    </w:p>
    <w:p w14:paraId="45CE026D"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Я и Н. А. Доллежаль 28-го декабря 1930 г. из камеры № 126 были переведены в камеру № 47. В этот же день вечером к нам был подсажен Н. Д. Кондратьев, представившийся нам как председатель Т.К.П.</w:t>
      </w:r>
    </w:p>
    <w:p w14:paraId="0B3FE060"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Я лично, просидев до этого 2 месяца в одиночке впервые встречаюсь с представителем Т.К.П., а Н. А. Доллежаль, сидевший до этого в общих камерах встречался с некоторыми представителями этой партии. На этой почве возник разговор, из которого со слов Кондратьева выяснилось, что при первых его показаниях в СО ОГПУ ему удалось удачно обойти вопрос об отношении Т.К.П. к 1) интервенции, 2) организации восстаний и военных групп, 3) заграничным деньгам. Фронт, по его словам, прорвал Юровский, давший по этим вопросам свои показания за последние дни. Такая позиция Юровского заставила и его, Кондратьева, частично отступить «для выравнивания фронта». Такое положение вопроса видимо очень сильно беспокоило Кондратьева, и он возвращался к этому вопросу не один раз. В процессе разговоров на эти темы Кондратьев уверенно взял под сомненье правильность позиции полного разоружения и признания своей вины, доказывая, что такое положение ничем пока не оправдано и правильность его не доказана.</w:t>
      </w:r>
    </w:p>
    <w:p w14:paraId="2C8F6F02"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Развивая эту тему[,] Кондратьев бранил какого-то летчика по фамилии Гудимов, сидевшего с ним в августе и сентябре п[</w:t>
      </w:r>
      <w:proofErr w:type="spellStart"/>
      <w:r w:rsidRPr="007122AB">
        <w:rPr>
          <w:color w:val="000000" w:themeColor="text1"/>
          <w:sz w:val="16"/>
          <w:szCs w:val="16"/>
        </w:rPr>
        <w:t>рошлого</w:t>
      </w:r>
      <w:proofErr w:type="spellEnd"/>
      <w:r w:rsidRPr="007122AB">
        <w:rPr>
          <w:color w:val="000000" w:themeColor="text1"/>
          <w:sz w:val="16"/>
          <w:szCs w:val="16"/>
        </w:rPr>
        <w:t>] г. и усиленно ему рекомендовавшего путь полного признания. По сведениям Кондратьева этот же летчик сидел последовательно с рядом крупных деятелей Т.К.П., добиваясь разными доводами признания ими выдвигаемых им положений и признания и разоружения.</w:t>
      </w:r>
    </w:p>
    <w:p w14:paraId="15A2790B"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В настоящее время он с досадой вспоминает о нем и жалеет, что его послушался и был с ним излишне откровенен, в частности, передав ему адреса некоторых его заграничных знакомых[,] и дискуссию с ним в вопрос[е] о возможности при помощи Гудимова на аэроплане скрыться за границу. Досада эта еще сильнее сказалась в нем, когда я подтвердил ему, что с похожим на этого летчика человеком сидел и я, и нисколько не раскаиваюсь в том, что выбрал путь полного разоружения и сказал все до конца. Эту свою позицию я обосновал соответствующим образом, и если эти обоснования Вас интересуют, могу их изложить дополнительно.</w:t>
      </w:r>
    </w:p>
    <w:p w14:paraId="150A6241"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Далее Кондратьев в процессе колебания и сомнения выдвигал вариант отказа от своих показаний, сделанных им под впечатлением показания Юровского.</w:t>
      </w:r>
    </w:p>
    <w:p w14:paraId="4A68277D"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 xml:space="preserve">На основании своего личного опыта я не советовал ему это делать, так как это может только осложнить его положение. Все эти разговоры сильно повлияли на позицию Н. А. Доллежаль, который под влиянием разговоров со мною, стал на путь признания и довел бы его до конца. Поддерживая позицию Кондратьева, он неоднократно подтверждал, что раскаивается, что стал на этот путь и начал говорить. Больше того, на другой день, 1-го </w:t>
      </w:r>
      <w:proofErr w:type="spellStart"/>
      <w:r w:rsidRPr="007122AB">
        <w:rPr>
          <w:color w:val="000000" w:themeColor="text1"/>
          <w:sz w:val="16"/>
          <w:szCs w:val="16"/>
        </w:rPr>
        <w:t>с.г</w:t>
      </w:r>
      <w:proofErr w:type="spellEnd"/>
      <w:r w:rsidRPr="007122AB">
        <w:rPr>
          <w:color w:val="000000" w:themeColor="text1"/>
          <w:sz w:val="16"/>
          <w:szCs w:val="16"/>
        </w:rPr>
        <w:t>., после того, как от нас взяли Кондратьева, он задал мне вопрос, как я думаю, какими соображениями руководствовались Вы, переводя и его ко мне в камеру. На фоне разговоров Кондратьева о летчике, я был поставлен не в очень удобное положение. Во всяком случае разговоры Кондратьева в известной степени укрепили колебания Н. А. Доллежаль и усложнили мое положение в этом вопросе.</w:t>
      </w:r>
    </w:p>
    <w:p w14:paraId="18BFB204"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Далее, говоря об Л. К. Рамзине, Кондратьев неоднократно бранил его «слабовольным болтуном», перешедшим в своих показаниях все границы здравого смысла и здорового чувства самосохранения, достаточно прозрачно намекал, что в этих вопросах вряд ли поможет откровенность в признаниях. Он сообщил также после одного из вызовов на допрос, что все дело Промпартии передали в ЭКУ с Л. К. Рамзиным во главе, а в СО ОГПУ осталась только боевая организация Промпартии. Из этого он сделал вывод, что ЭКУ использует на работе всех специалистов Промпартии, а мы и Т.К.П., переданные в СО, видимо обречены на более суровые наказания, о чем он для себя никаких иллюзий не строит. Такого рода прогноз, не повлияв в основном на мое решение говорить всю правду до конца, да я ее уже и сказал, тем не менее весьма резко сказался не только на настроении Н. А. Доллежаль, но и на моем.</w:t>
      </w:r>
    </w:p>
    <w:p w14:paraId="0D1D017F" w14:textId="77777777" w:rsidR="00170265" w:rsidRPr="007122AB" w:rsidRDefault="00170265" w:rsidP="007122AB">
      <w:pPr>
        <w:pStyle w:val="rtejustify"/>
        <w:spacing w:before="0" w:after="0"/>
        <w:rPr>
          <w:color w:val="000000" w:themeColor="text1"/>
          <w:sz w:val="16"/>
          <w:szCs w:val="16"/>
        </w:rPr>
      </w:pPr>
      <w:r w:rsidRPr="007122AB">
        <w:rPr>
          <w:color w:val="000000" w:themeColor="text1"/>
          <w:sz w:val="16"/>
          <w:szCs w:val="16"/>
        </w:rPr>
        <w:t>С. А. Предтеченский</w:t>
      </w:r>
    </w:p>
    <w:p w14:paraId="2CCF27E6" w14:textId="77777777" w:rsidR="00170265" w:rsidRPr="007122AB" w:rsidRDefault="00170265" w:rsidP="007122AB">
      <w:pPr>
        <w:pStyle w:val="ae"/>
        <w:spacing w:before="0" w:after="0"/>
        <w:jc w:val="both"/>
        <w:rPr>
          <w:color w:val="000000" w:themeColor="text1"/>
          <w:sz w:val="16"/>
          <w:szCs w:val="16"/>
        </w:rPr>
      </w:pPr>
      <w:r w:rsidRPr="007122AB">
        <w:rPr>
          <w:color w:val="000000" w:themeColor="text1"/>
          <w:sz w:val="16"/>
          <w:szCs w:val="16"/>
        </w:rPr>
        <w:t>Верно: И. Черток</w:t>
      </w:r>
    </w:p>
    <w:p w14:paraId="223A7654" w14:textId="77777777" w:rsidR="00170265" w:rsidRPr="007122AB" w:rsidRDefault="00170265"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ЦА ФСБ РФ. Ф. Р-42280. Т. 5. Л. 36-38. Машинописная копия записки С. А. </w:t>
      </w:r>
      <w:proofErr w:type="spellStart"/>
      <w:r w:rsidRPr="007122AB">
        <w:rPr>
          <w:rStyle w:val="af0"/>
          <w:i w:val="0"/>
          <w:color w:val="000000" w:themeColor="text1"/>
          <w:sz w:val="16"/>
          <w:szCs w:val="16"/>
        </w:rPr>
        <w:t>Предшеченского</w:t>
      </w:r>
      <w:proofErr w:type="spellEnd"/>
      <w:r w:rsidRPr="007122AB">
        <w:rPr>
          <w:rStyle w:val="af0"/>
          <w:i w:val="0"/>
          <w:color w:val="000000" w:themeColor="text1"/>
          <w:sz w:val="16"/>
          <w:szCs w:val="16"/>
        </w:rPr>
        <w:t>, заверенная И. Черток. Датируется по содержанию (18744).</w:t>
      </w:r>
    </w:p>
    <w:p w14:paraId="37DA2AD7" w14:textId="77777777" w:rsidR="00170265" w:rsidRPr="007122AB" w:rsidRDefault="00170265" w:rsidP="007122AB">
      <w:pPr>
        <w:spacing w:after="0" w:line="240" w:lineRule="auto"/>
        <w:jc w:val="both"/>
        <w:rPr>
          <w:rFonts w:ascii="Times New Roman" w:hAnsi="Times New Roman"/>
          <w:color w:val="000000" w:themeColor="text1"/>
          <w:sz w:val="16"/>
          <w:szCs w:val="16"/>
        </w:rPr>
      </w:pPr>
    </w:p>
    <w:p w14:paraId="47AA480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A9A312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5C5B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января 1931 над </w:t>
      </w:r>
      <w:proofErr w:type="spellStart"/>
      <w:r w:rsidRPr="007122AB">
        <w:rPr>
          <w:rFonts w:ascii="Times New Roman" w:hAnsi="Times New Roman"/>
          <w:color w:val="000000" w:themeColor="text1"/>
          <w:sz w:val="16"/>
          <w:szCs w:val="16"/>
        </w:rPr>
        <w:t>Гобденом</w:t>
      </w:r>
      <w:proofErr w:type="spellEnd"/>
      <w:r w:rsidRPr="007122AB">
        <w:rPr>
          <w:rFonts w:ascii="Times New Roman" w:hAnsi="Times New Roman"/>
          <w:color w:val="000000" w:themeColor="text1"/>
          <w:sz w:val="16"/>
          <w:szCs w:val="16"/>
        </w:rPr>
        <w:t xml:space="preserve"> (Онтарио, Канада) пролетел объект, из передней части которого исходил сильный свет, освещавший верхушки деревьев. Стремительно развернулся и исчез (3712).</w:t>
      </w:r>
    </w:p>
    <w:p w14:paraId="4A261F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83719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4A9D5E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808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января 1931 П.И.Б. письмом N СН 10/с пред. РВС направил доклад "О создании междуведомственного органа по делам ВФ". Дело в том, что с образованием ВОГФ, подчиненного непосредственно СТО, было создано искусственное разъединение военного и гражданского ВФ (1027,53).</w:t>
      </w:r>
    </w:p>
    <w:p w14:paraId="67145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6D05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января 1931 Начальник ВВС РККА писал за № СН 10/с Председателю РВС Союза ССР</w:t>
      </w:r>
    </w:p>
    <w:p w14:paraId="7B8302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создании междуведомственного органа по делам Воздушного Флота</w:t>
      </w:r>
    </w:p>
    <w:p w14:paraId="6BFA27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w:t>
      </w:r>
    </w:p>
    <w:p w14:paraId="76BB8A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образованием Всесоюзного Объединения Гражданского Воздушного Флота, </w:t>
      </w:r>
      <w:proofErr w:type="spellStart"/>
      <w:r w:rsidRPr="007122AB">
        <w:rPr>
          <w:rFonts w:ascii="Times New Roman" w:hAnsi="Times New Roman"/>
          <w:color w:val="000000" w:themeColor="text1"/>
          <w:sz w:val="16"/>
          <w:szCs w:val="16"/>
        </w:rPr>
        <w:t>подчиенного</w:t>
      </w:r>
      <w:proofErr w:type="spellEnd"/>
      <w:r w:rsidRPr="007122AB">
        <w:rPr>
          <w:rFonts w:ascii="Times New Roman" w:hAnsi="Times New Roman"/>
          <w:color w:val="000000" w:themeColor="text1"/>
          <w:sz w:val="16"/>
          <w:szCs w:val="16"/>
        </w:rPr>
        <w:t xml:space="preserve"> непосредственно СТО, создано искусственное </w:t>
      </w:r>
      <w:proofErr w:type="spellStart"/>
      <w:r w:rsidRPr="007122AB">
        <w:rPr>
          <w:rFonts w:ascii="Times New Roman" w:hAnsi="Times New Roman"/>
          <w:color w:val="000000" w:themeColor="text1"/>
          <w:sz w:val="16"/>
          <w:szCs w:val="16"/>
        </w:rPr>
        <w:t>раз"единение</w:t>
      </w:r>
      <w:proofErr w:type="spellEnd"/>
      <w:r w:rsidRPr="007122AB">
        <w:rPr>
          <w:rFonts w:ascii="Times New Roman" w:hAnsi="Times New Roman"/>
          <w:color w:val="000000" w:themeColor="text1"/>
          <w:sz w:val="16"/>
          <w:szCs w:val="16"/>
        </w:rPr>
        <w:t xml:space="preserve"> гражданского и военного воздуш</w:t>
      </w:r>
      <w:r w:rsidRPr="007122AB">
        <w:rPr>
          <w:rFonts w:ascii="Times New Roman" w:hAnsi="Times New Roman"/>
          <w:color w:val="000000" w:themeColor="text1"/>
          <w:sz w:val="16"/>
          <w:szCs w:val="16"/>
        </w:rPr>
        <w:softHyphen/>
        <w:t>ных флотов.</w:t>
      </w:r>
    </w:p>
    <w:p w14:paraId="13AB30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Прежде координация мероприятий по военному и граждан</w:t>
      </w:r>
      <w:r w:rsidRPr="007122AB">
        <w:rPr>
          <w:rFonts w:ascii="Times New Roman" w:hAnsi="Times New Roman"/>
          <w:color w:val="000000" w:themeColor="text1"/>
          <w:sz w:val="16"/>
          <w:szCs w:val="16"/>
        </w:rPr>
        <w:softHyphen/>
        <w:t xml:space="preserve">скому воздушным флотам достигалась вхождением Инспекции в состав Военных Воздушных бил. Совершенно естественно, с ростом Гражданского Воздушного </w:t>
      </w:r>
      <w:proofErr w:type="spellStart"/>
      <w:r w:rsidRPr="007122AB">
        <w:rPr>
          <w:rFonts w:ascii="Times New Roman" w:hAnsi="Times New Roman"/>
          <w:color w:val="000000" w:themeColor="text1"/>
          <w:sz w:val="16"/>
          <w:szCs w:val="16"/>
        </w:rPr>
        <w:t>Флота</w:t>
      </w:r>
      <w:r w:rsidRPr="007122AB">
        <w:rPr>
          <w:rFonts w:ascii="Times New Roman" w:hAnsi="Times New Roman"/>
          <w:color w:val="000000" w:themeColor="text1"/>
          <w:sz w:val="16"/>
          <w:szCs w:val="16"/>
          <w:vertAlign w:val="subscript"/>
        </w:rPr>
        <w:t>г</w:t>
      </w:r>
      <w:proofErr w:type="spellEnd"/>
      <w:r w:rsidRPr="007122AB">
        <w:rPr>
          <w:rFonts w:ascii="Times New Roman" w:hAnsi="Times New Roman"/>
          <w:color w:val="000000" w:themeColor="text1"/>
          <w:sz w:val="16"/>
          <w:szCs w:val="16"/>
        </w:rPr>
        <w:t xml:space="preserve"> намеченного планом развития» </w:t>
      </w:r>
      <w:proofErr w:type="spellStart"/>
      <w:r w:rsidRPr="007122AB">
        <w:rPr>
          <w:rFonts w:ascii="Times New Roman" w:hAnsi="Times New Roman"/>
          <w:color w:val="000000" w:themeColor="text1"/>
          <w:sz w:val="16"/>
          <w:szCs w:val="16"/>
        </w:rPr>
        <w:t>преднее</w:t>
      </w:r>
      <w:proofErr w:type="spellEnd"/>
      <w:r w:rsidRPr="007122AB">
        <w:rPr>
          <w:rFonts w:ascii="Times New Roman" w:hAnsi="Times New Roman"/>
          <w:color w:val="000000" w:themeColor="text1"/>
          <w:sz w:val="16"/>
          <w:szCs w:val="16"/>
        </w:rPr>
        <w:t xml:space="preserve"> положение оказалось неудовлетворительным. Но вместе с тем искусственное разъединение двух управлений, работающих в одной и той же области, создает целый ряд </w:t>
      </w:r>
      <w:proofErr w:type="spellStart"/>
      <w:r w:rsidRPr="007122AB">
        <w:rPr>
          <w:rFonts w:ascii="Times New Roman" w:hAnsi="Times New Roman"/>
          <w:color w:val="000000" w:themeColor="text1"/>
          <w:sz w:val="16"/>
          <w:szCs w:val="16"/>
        </w:rPr>
        <w:t>труднностей</w:t>
      </w:r>
      <w:proofErr w:type="spellEnd"/>
      <w:r w:rsidRPr="007122AB">
        <w:rPr>
          <w:rFonts w:ascii="Times New Roman" w:hAnsi="Times New Roman"/>
          <w:color w:val="000000" w:themeColor="text1"/>
          <w:sz w:val="16"/>
          <w:szCs w:val="16"/>
        </w:rPr>
        <w:t>.</w:t>
      </w:r>
    </w:p>
    <w:p w14:paraId="29722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 собой разумеется, что вопросы размещения заказов у авиационной промышленности на самолеты и моторы, у дру</w:t>
      </w:r>
      <w:r w:rsidRPr="007122AB">
        <w:rPr>
          <w:rFonts w:ascii="Times New Roman" w:hAnsi="Times New Roman"/>
          <w:color w:val="000000" w:themeColor="text1"/>
          <w:sz w:val="16"/>
          <w:szCs w:val="16"/>
        </w:rPr>
        <w:softHyphen/>
        <w:t xml:space="preserve">гих органов промышленности на горючее, аэронавигационные приборы, электрооборудование, приборы зажигания и т.д. требуют какого-то </w:t>
      </w:r>
      <w:proofErr w:type="spellStart"/>
      <w:r w:rsidRPr="007122AB">
        <w:rPr>
          <w:rFonts w:ascii="Times New Roman" w:hAnsi="Times New Roman"/>
          <w:color w:val="000000" w:themeColor="text1"/>
          <w:sz w:val="16"/>
          <w:szCs w:val="16"/>
        </w:rPr>
        <w:t>об"единения</w:t>
      </w:r>
      <w:proofErr w:type="spellEnd"/>
      <w:r w:rsidRPr="007122AB">
        <w:rPr>
          <w:rFonts w:ascii="Times New Roman" w:hAnsi="Times New Roman"/>
          <w:color w:val="000000" w:themeColor="text1"/>
          <w:sz w:val="16"/>
          <w:szCs w:val="16"/>
        </w:rPr>
        <w:t>, разрешения спорных вопросов, возникающих иногда в виду недостаточных производственных возможностей. Еще большая необходимость объединения дея</w:t>
      </w:r>
      <w:r w:rsidRPr="007122AB">
        <w:rPr>
          <w:rFonts w:ascii="Times New Roman" w:hAnsi="Times New Roman"/>
          <w:color w:val="000000" w:themeColor="text1"/>
          <w:sz w:val="16"/>
          <w:szCs w:val="16"/>
        </w:rPr>
        <w:softHyphen/>
        <w:t>тельности возникает по вопросам устройства аэродромов, их оборудования, сети школ, дислокации таковых, их устройства, пропускной способности и т.д.</w:t>
      </w:r>
    </w:p>
    <w:p w14:paraId="1ADD11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Мною делаются попытки в порядке согласования достиг</w:t>
      </w:r>
      <w:r w:rsidRPr="007122AB">
        <w:rPr>
          <w:rFonts w:ascii="Times New Roman" w:hAnsi="Times New Roman"/>
          <w:color w:val="000000" w:themeColor="text1"/>
          <w:sz w:val="16"/>
          <w:szCs w:val="16"/>
        </w:rPr>
        <w:softHyphen/>
        <w:t>нуть некоторого контакта с Всесоюзным Объединением Граж</w:t>
      </w:r>
      <w:r w:rsidRPr="007122AB">
        <w:rPr>
          <w:rFonts w:ascii="Times New Roman" w:hAnsi="Times New Roman"/>
          <w:color w:val="000000" w:themeColor="text1"/>
          <w:sz w:val="16"/>
          <w:szCs w:val="16"/>
        </w:rPr>
        <w:softHyphen/>
        <w:t>данского Воздушного Флота. Однако во многих случаях вопро</w:t>
      </w:r>
      <w:r w:rsidRPr="007122AB">
        <w:rPr>
          <w:rFonts w:ascii="Times New Roman" w:hAnsi="Times New Roman"/>
          <w:color w:val="000000" w:themeColor="text1"/>
          <w:sz w:val="16"/>
          <w:szCs w:val="16"/>
        </w:rPr>
        <w:softHyphen/>
        <w:t>сы не могут быть мною разрешены или согласованы по целому ряду причин.</w:t>
      </w:r>
    </w:p>
    <w:p w14:paraId="2DE54C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Поэтому представлялось бы чрезвычайно целесообразным и необходимым создание междуведомственного органа, ибо в противном случае все вопросы разрешаются случай ним порядком или в различных органах Госплана или в случайно образуемых комиссиях или, решаются законодательными органами по пред</w:t>
      </w:r>
      <w:r w:rsidRPr="007122AB">
        <w:rPr>
          <w:rFonts w:ascii="Times New Roman" w:hAnsi="Times New Roman"/>
          <w:color w:val="000000" w:themeColor="text1"/>
          <w:sz w:val="16"/>
          <w:szCs w:val="16"/>
        </w:rPr>
        <w:softHyphen/>
        <w:t>ставлению или Всесоюзного Объединения Гражданского Воздуш</w:t>
      </w:r>
      <w:r w:rsidRPr="007122AB">
        <w:rPr>
          <w:rFonts w:ascii="Times New Roman" w:hAnsi="Times New Roman"/>
          <w:color w:val="000000" w:themeColor="text1"/>
          <w:sz w:val="16"/>
          <w:szCs w:val="16"/>
        </w:rPr>
        <w:softHyphen/>
        <w:t>ного Флота или НКВ Мора.</w:t>
      </w:r>
    </w:p>
    <w:p w14:paraId="50A4D2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Считал бы целесообразным </w:t>
      </w:r>
      <w:proofErr w:type="spellStart"/>
      <w:r w:rsidRPr="007122AB">
        <w:rPr>
          <w:rFonts w:ascii="Times New Roman" w:hAnsi="Times New Roman"/>
          <w:color w:val="000000" w:themeColor="text1"/>
          <w:sz w:val="16"/>
          <w:szCs w:val="16"/>
        </w:rPr>
        <w:t>образрвение</w:t>
      </w:r>
      <w:proofErr w:type="spellEnd"/>
      <w:r w:rsidRPr="007122AB">
        <w:rPr>
          <w:rFonts w:ascii="Times New Roman" w:hAnsi="Times New Roman"/>
          <w:color w:val="000000" w:themeColor="text1"/>
          <w:sz w:val="16"/>
          <w:szCs w:val="16"/>
        </w:rPr>
        <w:t xml:space="preserve"> Совета по Делам Воздушного Флота, подчиненного непосредственно СНК или СТО, работающего под Вашим председательством, для </w:t>
      </w:r>
      <w:proofErr w:type="spellStart"/>
      <w:r w:rsidRPr="007122AB">
        <w:rPr>
          <w:rFonts w:ascii="Times New Roman" w:hAnsi="Times New Roman"/>
          <w:color w:val="000000" w:themeColor="text1"/>
          <w:sz w:val="16"/>
          <w:szCs w:val="16"/>
        </w:rPr>
        <w:t>равсмотрения</w:t>
      </w:r>
      <w:proofErr w:type="spellEnd"/>
      <w:r w:rsidRPr="007122AB">
        <w:rPr>
          <w:rFonts w:ascii="Times New Roman" w:hAnsi="Times New Roman"/>
          <w:color w:val="000000" w:themeColor="text1"/>
          <w:sz w:val="16"/>
          <w:szCs w:val="16"/>
        </w:rPr>
        <w:t xml:space="preserve"> и решения вопросов, касающихся Воздушного Флота, т.е. Упра</w:t>
      </w:r>
      <w:r w:rsidRPr="007122AB">
        <w:rPr>
          <w:rFonts w:ascii="Times New Roman" w:hAnsi="Times New Roman"/>
          <w:color w:val="000000" w:themeColor="text1"/>
          <w:sz w:val="16"/>
          <w:szCs w:val="16"/>
        </w:rPr>
        <w:softHyphen/>
        <w:t xml:space="preserve">вления ВВС РККА, Всесоюзного </w:t>
      </w:r>
      <w:proofErr w:type="spellStart"/>
      <w:r w:rsidRPr="007122AB">
        <w:rPr>
          <w:rFonts w:ascii="Times New Roman" w:hAnsi="Times New Roman"/>
          <w:color w:val="000000" w:themeColor="text1"/>
          <w:sz w:val="16"/>
          <w:szCs w:val="16"/>
        </w:rPr>
        <w:t>Об"единения</w:t>
      </w:r>
      <w:proofErr w:type="spellEnd"/>
      <w:r w:rsidRPr="007122AB">
        <w:rPr>
          <w:rFonts w:ascii="Times New Roman" w:hAnsi="Times New Roman"/>
          <w:color w:val="000000" w:themeColor="text1"/>
          <w:sz w:val="16"/>
          <w:szCs w:val="16"/>
        </w:rPr>
        <w:t xml:space="preserve"> Гражданского Воз</w:t>
      </w:r>
      <w:r w:rsidRPr="007122AB">
        <w:rPr>
          <w:rFonts w:ascii="Times New Roman" w:hAnsi="Times New Roman"/>
          <w:color w:val="000000" w:themeColor="text1"/>
          <w:sz w:val="16"/>
          <w:szCs w:val="16"/>
        </w:rPr>
        <w:softHyphen/>
        <w:t xml:space="preserve">душного Флота, Всесоюзного Авиационного </w:t>
      </w:r>
      <w:proofErr w:type="spellStart"/>
      <w:r w:rsidRPr="007122AB">
        <w:rPr>
          <w:rFonts w:ascii="Times New Roman" w:hAnsi="Times New Roman"/>
          <w:color w:val="000000" w:themeColor="text1"/>
          <w:sz w:val="16"/>
          <w:szCs w:val="16"/>
        </w:rPr>
        <w:t>Об"единения</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Осо-авиадоша</w:t>
      </w:r>
      <w:proofErr w:type="spellEnd"/>
      <w:r w:rsidRPr="007122AB">
        <w:rPr>
          <w:rFonts w:ascii="Times New Roman" w:hAnsi="Times New Roman"/>
          <w:color w:val="000000" w:themeColor="text1"/>
          <w:sz w:val="16"/>
          <w:szCs w:val="16"/>
        </w:rPr>
        <w:t xml:space="preserve"> в части авиации.</w:t>
      </w:r>
    </w:p>
    <w:p w14:paraId="5E339C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 такого Совета мог бы образоваться из руководи</w:t>
      </w:r>
      <w:r w:rsidRPr="007122AB">
        <w:rPr>
          <w:rFonts w:ascii="Times New Roman" w:hAnsi="Times New Roman"/>
          <w:color w:val="000000" w:themeColor="text1"/>
          <w:sz w:val="16"/>
          <w:szCs w:val="16"/>
        </w:rPr>
        <w:softHyphen/>
        <w:t>телей этих органов с включением представителя Госплана, Нар-</w:t>
      </w:r>
      <w:proofErr w:type="spellStart"/>
      <w:r w:rsidRPr="007122AB">
        <w:rPr>
          <w:rFonts w:ascii="Times New Roman" w:hAnsi="Times New Roman"/>
          <w:color w:val="000000" w:themeColor="text1"/>
          <w:sz w:val="16"/>
          <w:szCs w:val="16"/>
        </w:rPr>
        <w:t>компочтеля</w:t>
      </w:r>
      <w:proofErr w:type="spellEnd"/>
      <w:r w:rsidRPr="007122AB">
        <w:rPr>
          <w:rFonts w:ascii="Times New Roman" w:hAnsi="Times New Roman"/>
          <w:color w:val="000000" w:themeColor="text1"/>
          <w:sz w:val="16"/>
          <w:szCs w:val="16"/>
        </w:rPr>
        <w:t xml:space="preserve"> НКПС и ВСНХ. Означенное представляв на Ваше рассмотрение.</w:t>
      </w:r>
    </w:p>
    <w:p w14:paraId="7D190F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Военных Воздушных Сил РККА /Баранов/</w:t>
      </w:r>
    </w:p>
    <w:p w14:paraId="4574EA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Резолюция К.Е.В.:</w:t>
      </w:r>
    </w:p>
    <w:p w14:paraId="31508A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Нужно подумать, 4/1-31 г. (10756).</w:t>
      </w:r>
    </w:p>
    <w:p w14:paraId="79E581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ЦДСА. - ф. 4, 1931 г., оп. 1. </w:t>
      </w:r>
      <w:proofErr w:type="spellStart"/>
      <w:r w:rsidRPr="007122AB">
        <w:rPr>
          <w:rFonts w:ascii="Times New Roman" w:hAnsi="Times New Roman"/>
          <w:color w:val="000000" w:themeColor="text1"/>
          <w:sz w:val="16"/>
          <w:szCs w:val="16"/>
        </w:rPr>
        <w:t>Дд</w:t>
      </w:r>
      <w:proofErr w:type="spellEnd"/>
      <w:r w:rsidRPr="007122AB">
        <w:rPr>
          <w:rFonts w:ascii="Times New Roman" w:hAnsi="Times New Roman"/>
          <w:color w:val="000000" w:themeColor="text1"/>
          <w:sz w:val="16"/>
          <w:szCs w:val="16"/>
        </w:rPr>
        <w:t>. 1256, л.12 и 13 /</w:t>
      </w:r>
      <w:proofErr w:type="spellStart"/>
      <w:r w:rsidRPr="007122AB">
        <w:rPr>
          <w:rFonts w:ascii="Times New Roman" w:hAnsi="Times New Roman"/>
          <w:color w:val="000000" w:themeColor="text1"/>
          <w:sz w:val="16"/>
          <w:szCs w:val="16"/>
        </w:rPr>
        <w:t>обр</w:t>
      </w:r>
      <w:proofErr w:type="spellEnd"/>
      <w:r w:rsidRPr="007122AB">
        <w:rPr>
          <w:rFonts w:ascii="Times New Roman" w:hAnsi="Times New Roman"/>
          <w:color w:val="000000" w:themeColor="text1"/>
          <w:sz w:val="16"/>
          <w:szCs w:val="16"/>
        </w:rPr>
        <w:t>/</w:t>
      </w:r>
    </w:p>
    <w:p w14:paraId="749352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D81ADB" w14:textId="77777777" w:rsidR="006E48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78B1335" w14:textId="77777777" w:rsidR="006E4804" w:rsidRPr="007122AB" w:rsidRDefault="006E48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D6CB551"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января 1931 г. Постановление Президиума ВСНХ СССР о состоянии Сталинградского тракторного завода (РГАЭ. Ф. 3429. Оп. 1. Д. 5249. Л. 2) (12417).</w:t>
      </w:r>
    </w:p>
    <w:p w14:paraId="0E74AED5" w14:textId="77777777" w:rsidR="006E4804" w:rsidRPr="007122AB" w:rsidRDefault="006E4804" w:rsidP="007122AB">
      <w:pPr>
        <w:spacing w:after="0" w:line="240" w:lineRule="auto"/>
        <w:jc w:val="both"/>
        <w:rPr>
          <w:rFonts w:ascii="Times New Roman" w:hAnsi="Times New Roman"/>
          <w:color w:val="000000" w:themeColor="text1"/>
          <w:sz w:val="16"/>
          <w:szCs w:val="16"/>
        </w:rPr>
      </w:pPr>
    </w:p>
    <w:p w14:paraId="2D63E304" w14:textId="77777777" w:rsidR="006E4804" w:rsidRPr="007122AB" w:rsidRDefault="006E4804" w:rsidP="007122AB">
      <w:pPr>
        <w:pStyle w:val="rtejustify"/>
        <w:spacing w:before="0" w:after="0"/>
        <w:rPr>
          <w:color w:val="000000" w:themeColor="text1"/>
          <w:sz w:val="16"/>
          <w:szCs w:val="16"/>
        </w:rPr>
      </w:pPr>
      <w:r w:rsidRPr="007122AB">
        <w:rPr>
          <w:rStyle w:val="af0"/>
          <w:i w:val="0"/>
          <w:color w:val="000000" w:themeColor="text1"/>
          <w:sz w:val="16"/>
          <w:szCs w:val="16"/>
        </w:rPr>
        <w:t>3 января 1931 г. Протокол Реввоенсовета № </w:t>
      </w:r>
      <w:r w:rsidRPr="007122AB">
        <w:rPr>
          <w:color w:val="000000" w:themeColor="text1"/>
          <w:sz w:val="16"/>
          <w:szCs w:val="16"/>
        </w:rPr>
        <w:t>1. 1. О ходе подготовки к строительству 1931 г. (Каменев, Зиновьев). 8. б) О переделке линкора «Фрунзе» под плавучую батарею, в) О достройке крейсера «Бутаков». (</w:t>
      </w:r>
      <w:proofErr w:type="spellStart"/>
      <w:r w:rsidRPr="007122AB">
        <w:rPr>
          <w:color w:val="000000" w:themeColor="text1"/>
          <w:sz w:val="16"/>
          <w:szCs w:val="16"/>
        </w:rPr>
        <w:t>Муклевич</w:t>
      </w:r>
      <w:proofErr w:type="spellEnd"/>
      <w:r w:rsidRPr="007122AB">
        <w:rPr>
          <w:color w:val="000000" w:themeColor="text1"/>
          <w:sz w:val="16"/>
          <w:szCs w:val="16"/>
        </w:rPr>
        <w:t>). (РГВА. Ф. 4. Оп. 18. Д. 20. Л. 1, 3) (12342).</w:t>
      </w:r>
    </w:p>
    <w:p w14:paraId="6C08EEC9" w14:textId="77777777" w:rsidR="006E4804" w:rsidRPr="007122AB" w:rsidRDefault="006E4804" w:rsidP="007122AB">
      <w:pPr>
        <w:pStyle w:val="rtejustify"/>
        <w:spacing w:before="0" w:after="0"/>
        <w:rPr>
          <w:color w:val="000000" w:themeColor="text1"/>
          <w:sz w:val="16"/>
          <w:szCs w:val="16"/>
        </w:rPr>
      </w:pPr>
    </w:p>
    <w:p w14:paraId="2DBD8929" w14:textId="77777777" w:rsidR="00256002" w:rsidRPr="007122AB" w:rsidRDefault="00256002"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5B43B259" w14:textId="77777777" w:rsidR="00256002" w:rsidRPr="007122AB" w:rsidRDefault="00256002"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4F1DF2F9"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3 января 1931 г.</w:t>
      </w:r>
    </w:p>
    <w:p w14:paraId="4AFF10D9"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Об изменении «позиции» Ж. Бале в пользу «политического и экономического сближения» Франции и СССР. (Выписка из дневника советского Полпредства). 3 января 1931 г.</w:t>
      </w:r>
    </w:p>
    <w:p w14:paraId="36363F3B"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5A249193" w14:textId="77777777" w:rsidR="00256002" w:rsidRPr="007122AB" w:rsidRDefault="0025600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F197C2"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A57C1C6" w14:textId="77777777" w:rsidR="00256002" w:rsidRPr="007122AB" w:rsidRDefault="0025600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7</w:t>
      </w:r>
    </w:p>
    <w:p w14:paraId="33B189AB" w14:textId="77777777" w:rsidR="00256002" w:rsidRPr="007122AB" w:rsidRDefault="00256002" w:rsidP="007122AB">
      <w:pPr>
        <w:pStyle w:val="rteright"/>
        <w:spacing w:before="0" w:after="0"/>
        <w:jc w:val="both"/>
        <w:rPr>
          <w:color w:val="000000" w:themeColor="text1"/>
          <w:sz w:val="16"/>
          <w:szCs w:val="16"/>
        </w:rPr>
      </w:pPr>
      <w:r w:rsidRPr="007122AB">
        <w:rPr>
          <w:color w:val="000000" w:themeColor="text1"/>
          <w:sz w:val="16"/>
          <w:szCs w:val="16"/>
        </w:rPr>
        <w:t>3 января 1931 г.</w:t>
      </w:r>
    </w:p>
    <w:p w14:paraId="3CFB3C90" w14:textId="77777777" w:rsidR="00256002" w:rsidRPr="007122AB" w:rsidRDefault="00256002"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0D4F392E" w14:textId="77777777" w:rsidR="00256002" w:rsidRPr="007122AB" w:rsidRDefault="00256002" w:rsidP="007122AB">
      <w:pPr>
        <w:pStyle w:val="rtecenter"/>
        <w:spacing w:before="0" w:after="0"/>
        <w:jc w:val="both"/>
        <w:rPr>
          <w:color w:val="000000" w:themeColor="text1"/>
          <w:sz w:val="16"/>
          <w:szCs w:val="16"/>
        </w:rPr>
      </w:pPr>
      <w:r w:rsidRPr="007122AB">
        <w:rPr>
          <w:color w:val="000000" w:themeColor="text1"/>
          <w:sz w:val="16"/>
          <w:szCs w:val="16"/>
        </w:rPr>
        <w:t>Выписка</w:t>
      </w:r>
    </w:p>
    <w:p w14:paraId="33515D86" w14:textId="77777777" w:rsidR="00256002" w:rsidRPr="007122AB" w:rsidRDefault="00256002" w:rsidP="007122AB">
      <w:pPr>
        <w:pStyle w:val="rtecenter"/>
        <w:spacing w:before="0" w:after="0"/>
        <w:jc w:val="both"/>
        <w:rPr>
          <w:color w:val="000000" w:themeColor="text1"/>
          <w:sz w:val="16"/>
          <w:szCs w:val="16"/>
        </w:rPr>
      </w:pPr>
      <w:r w:rsidRPr="007122AB">
        <w:rPr>
          <w:color w:val="000000" w:themeColor="text1"/>
          <w:sz w:val="16"/>
          <w:szCs w:val="16"/>
        </w:rPr>
        <w:t>из дневника Полпредства С.С.С.Р. во Франции</w:t>
      </w:r>
    </w:p>
    <w:p w14:paraId="537D9FEA" w14:textId="77777777" w:rsidR="00256002" w:rsidRPr="007122AB" w:rsidRDefault="00256002" w:rsidP="007122AB">
      <w:pPr>
        <w:pStyle w:val="rtecenter"/>
        <w:spacing w:before="0" w:after="0"/>
        <w:jc w:val="both"/>
        <w:rPr>
          <w:color w:val="000000" w:themeColor="text1"/>
          <w:sz w:val="16"/>
          <w:szCs w:val="16"/>
        </w:rPr>
      </w:pPr>
      <w:r w:rsidRPr="007122AB">
        <w:rPr>
          <w:color w:val="000000" w:themeColor="text1"/>
          <w:sz w:val="16"/>
          <w:szCs w:val="16"/>
        </w:rPr>
        <w:t>№ 9/С от 3.1.31 г.</w:t>
      </w:r>
    </w:p>
    <w:p w14:paraId="156CC3BB" w14:textId="77777777" w:rsidR="00256002" w:rsidRPr="007122AB" w:rsidRDefault="00256002" w:rsidP="007122AB">
      <w:pPr>
        <w:pStyle w:val="rtejustify"/>
        <w:spacing w:before="0" w:after="0"/>
        <w:rPr>
          <w:color w:val="000000" w:themeColor="text1"/>
          <w:sz w:val="16"/>
          <w:szCs w:val="16"/>
        </w:rPr>
      </w:pPr>
      <w:r w:rsidRPr="007122AB">
        <w:rPr>
          <w:color w:val="000000" w:themeColor="text1"/>
          <w:sz w:val="16"/>
          <w:szCs w:val="16"/>
        </w:rPr>
        <w:t xml:space="preserve">...Ж. БАЛЕ. Бале — сотрудник «Ля </w:t>
      </w:r>
      <w:proofErr w:type="spellStart"/>
      <w:r w:rsidRPr="007122AB">
        <w:rPr>
          <w:color w:val="000000" w:themeColor="text1"/>
          <w:sz w:val="16"/>
          <w:szCs w:val="16"/>
        </w:rPr>
        <w:t>Репюблик</w:t>
      </w:r>
      <w:proofErr w:type="spellEnd"/>
      <w:r w:rsidRPr="007122AB">
        <w:rPr>
          <w:color w:val="000000" w:themeColor="text1"/>
          <w:sz w:val="16"/>
          <w:szCs w:val="16"/>
        </w:rPr>
        <w:t xml:space="preserve">», «Бюллетень </w:t>
      </w:r>
      <w:proofErr w:type="spellStart"/>
      <w:r w:rsidRPr="007122AB">
        <w:rPr>
          <w:color w:val="000000" w:themeColor="text1"/>
          <w:sz w:val="16"/>
          <w:szCs w:val="16"/>
        </w:rPr>
        <w:t>Котидьен</w:t>
      </w:r>
      <w:proofErr w:type="spellEnd"/>
      <w:r w:rsidRPr="007122AB">
        <w:rPr>
          <w:color w:val="000000" w:themeColor="text1"/>
          <w:sz w:val="16"/>
          <w:szCs w:val="16"/>
        </w:rPr>
        <w:t>» и автор большой статьи о Пятилетке в «</w:t>
      </w:r>
      <w:proofErr w:type="spellStart"/>
      <w:r w:rsidRPr="007122AB">
        <w:rPr>
          <w:color w:val="000000" w:themeColor="text1"/>
          <w:sz w:val="16"/>
          <w:szCs w:val="16"/>
        </w:rPr>
        <w:t>Эропеэн</w:t>
      </w:r>
      <w:proofErr w:type="spellEnd"/>
      <w:r w:rsidRPr="007122AB">
        <w:rPr>
          <w:color w:val="000000" w:themeColor="text1"/>
          <w:sz w:val="16"/>
          <w:szCs w:val="16"/>
        </w:rPr>
        <w:t>» — Вам известен.</w:t>
      </w:r>
    </w:p>
    <w:p w14:paraId="089D89BF" w14:textId="77777777" w:rsidR="00256002" w:rsidRPr="007122AB" w:rsidRDefault="00256002" w:rsidP="007122AB">
      <w:pPr>
        <w:pStyle w:val="rtejustify"/>
        <w:spacing w:before="0" w:after="0"/>
        <w:rPr>
          <w:color w:val="000000" w:themeColor="text1"/>
          <w:sz w:val="16"/>
          <w:szCs w:val="16"/>
        </w:rPr>
      </w:pPr>
      <w:r w:rsidRPr="007122AB">
        <w:rPr>
          <w:color w:val="000000" w:themeColor="text1"/>
          <w:sz w:val="16"/>
          <w:szCs w:val="16"/>
        </w:rPr>
        <w:t xml:space="preserve">Он нам заявил следующее. В течение нескольких последних лет его отношение к С.С.С.Р. было довольно сдержанное, но в настоящее время он в корне изменил свою позицию. Он полагает, что необходимо стремиться к политическому и экономическому сближению Франции и СССР. Знаток России и Востока вообще, он желал бы способствовать этому сближению. Так как в новом министерстве у него есть личные друзья, между прочим, министр </w:t>
      </w:r>
      <w:proofErr w:type="spellStart"/>
      <w:r w:rsidRPr="007122AB">
        <w:rPr>
          <w:color w:val="000000" w:themeColor="text1"/>
          <w:sz w:val="16"/>
          <w:szCs w:val="16"/>
        </w:rPr>
        <w:t>Лейг</w:t>
      </w:r>
      <w:proofErr w:type="spellEnd"/>
      <w:r w:rsidRPr="007122AB">
        <w:rPr>
          <w:color w:val="000000" w:themeColor="text1"/>
          <w:sz w:val="16"/>
          <w:szCs w:val="16"/>
        </w:rPr>
        <w:t xml:space="preserve">, то он решил добиться отправки его, в качестве официального члена французской миссии, в Москву. Ему очень бы хотелось поехать в СССР в качестве коммерческого агента. С этой целью он обратился уже к </w:t>
      </w:r>
      <w:proofErr w:type="spellStart"/>
      <w:r w:rsidRPr="007122AB">
        <w:rPr>
          <w:color w:val="000000" w:themeColor="text1"/>
          <w:sz w:val="16"/>
          <w:szCs w:val="16"/>
        </w:rPr>
        <w:t>Лейгу</w:t>
      </w:r>
      <w:proofErr w:type="spellEnd"/>
      <w:r w:rsidRPr="007122AB">
        <w:rPr>
          <w:color w:val="000000" w:themeColor="text1"/>
          <w:sz w:val="16"/>
          <w:szCs w:val="16"/>
        </w:rPr>
        <w:t xml:space="preserve">, который якобы поддерживает его проект, но посоветовал ему поговорить с </w:t>
      </w:r>
      <w:proofErr w:type="spellStart"/>
      <w:r w:rsidRPr="007122AB">
        <w:rPr>
          <w:color w:val="000000" w:themeColor="text1"/>
          <w:sz w:val="16"/>
          <w:szCs w:val="16"/>
        </w:rPr>
        <w:t>Брианом</w:t>
      </w:r>
      <w:proofErr w:type="spellEnd"/>
      <w:r w:rsidRPr="007122AB">
        <w:rPr>
          <w:color w:val="000000" w:themeColor="text1"/>
          <w:sz w:val="16"/>
          <w:szCs w:val="16"/>
        </w:rPr>
        <w:t xml:space="preserve"> и </w:t>
      </w:r>
      <w:proofErr w:type="spellStart"/>
      <w:r w:rsidRPr="007122AB">
        <w:rPr>
          <w:color w:val="000000" w:themeColor="text1"/>
          <w:sz w:val="16"/>
          <w:szCs w:val="16"/>
        </w:rPr>
        <w:t>Бертелло</w:t>
      </w:r>
      <w:proofErr w:type="spellEnd"/>
      <w:r w:rsidRPr="007122AB">
        <w:rPr>
          <w:color w:val="000000" w:themeColor="text1"/>
          <w:sz w:val="16"/>
          <w:szCs w:val="16"/>
        </w:rPr>
        <w:t xml:space="preserve">. Когда мы обратили его внимание на то, что в Москве существует уже французский коммерческий агент Кифер, замешанный в дело промышленной партии, то Бале заметил, что советское правительство должно было бы потребовать отзыва Кифера. Мы, конечно, не дали ему на это никакого ответа, посоветовав ему по этому вопросу переговорить непосредственно с </w:t>
      </w:r>
      <w:proofErr w:type="spellStart"/>
      <w:r w:rsidRPr="007122AB">
        <w:rPr>
          <w:color w:val="000000" w:themeColor="text1"/>
          <w:sz w:val="16"/>
          <w:szCs w:val="16"/>
        </w:rPr>
        <w:t>Кэ</w:t>
      </w:r>
      <w:proofErr w:type="spellEnd"/>
      <w:r w:rsidRPr="007122AB">
        <w:rPr>
          <w:color w:val="000000" w:themeColor="text1"/>
          <w:sz w:val="16"/>
          <w:szCs w:val="16"/>
        </w:rPr>
        <w:t xml:space="preserve"> д’Орсэ. Бале обещал держать нас в курсе своих переговоров.</w:t>
      </w:r>
    </w:p>
    <w:p w14:paraId="1EBA0954" w14:textId="77777777" w:rsidR="00256002" w:rsidRPr="007122AB" w:rsidRDefault="00256002"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7. Машинописная копия того времени. Вверху слева карандашом написаны исходящий № 27020 и дата «11/1-31 г.». Гриф секретности машинописью. Внизу делопроизводственная помета машинописью (столбцом) «3 экз. 1 — т. Литвинову 1 — т. Крестинскому 1—3[-й] Запади. Отд.» (18825).</w:t>
      </w:r>
    </w:p>
    <w:p w14:paraId="6204A40B" w14:textId="77777777" w:rsidR="00256002" w:rsidRPr="007122AB" w:rsidRDefault="00256002" w:rsidP="007122AB">
      <w:pPr>
        <w:spacing w:after="0" w:line="240" w:lineRule="auto"/>
        <w:jc w:val="both"/>
        <w:rPr>
          <w:rFonts w:ascii="Times New Roman" w:hAnsi="Times New Roman"/>
          <w:color w:val="000000" w:themeColor="text1"/>
          <w:sz w:val="16"/>
          <w:szCs w:val="16"/>
        </w:rPr>
      </w:pPr>
    </w:p>
    <w:p w14:paraId="6716339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9C693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187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января 1931 сотни фермеров штурмовали маленький город в Арканзасе требуя пищи (2100).</w:t>
      </w:r>
    </w:p>
    <w:p w14:paraId="70E1A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7A4EDE" w14:textId="77777777" w:rsidR="005C4849" w:rsidRPr="007122AB" w:rsidRDefault="005C4849"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Жизнь внутренняя политика:</w:t>
      </w:r>
    </w:p>
    <w:p w14:paraId="3E304A87" w14:textId="77777777" w:rsidR="005C4849" w:rsidRPr="007122AB" w:rsidRDefault="005C4849"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DA7F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101BA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Автором идеи продаж на бытовое золото был директор столичного универмага N1 Ефрем Владимирович </w:t>
      </w:r>
      <w:proofErr w:type="spellStart"/>
      <w:r w:rsidRPr="007122AB">
        <w:rPr>
          <w:rFonts w:ascii="Times New Roman" w:hAnsi="Times New Roman"/>
          <w:color w:val="000000" w:themeColor="text1"/>
          <w:sz w:val="16"/>
          <w:szCs w:val="16"/>
        </w:rPr>
        <w:t>Курлянд</w:t>
      </w:r>
      <w:proofErr w:type="spellEnd"/>
      <w:r w:rsidRPr="007122AB">
        <w:rPr>
          <w:rFonts w:ascii="Times New Roman" w:hAnsi="Times New Roman"/>
          <w:color w:val="000000" w:themeColor="text1"/>
          <w:sz w:val="16"/>
          <w:szCs w:val="16"/>
        </w:rPr>
        <w:t xml:space="preserve">, который в марте 1931 года обратился с этим предложением к руководству Наркомата внешней торговли. 3 ноября 1931 года Политбюро поручило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СССР организовать в магазинах Торгсина скупку бытового золота в обмен на товары. Специальная комиссия, куда вошли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Наркомвнешторг</w:t>
      </w:r>
      <w:proofErr w:type="spellEnd"/>
      <w:r w:rsidRPr="007122AB">
        <w:rPr>
          <w:rFonts w:ascii="Times New Roman" w:hAnsi="Times New Roman"/>
          <w:color w:val="000000" w:themeColor="text1"/>
          <w:sz w:val="16"/>
          <w:szCs w:val="16"/>
        </w:rPr>
        <w:t>), Гринько (Наркомфин), Серебровский (</w:t>
      </w:r>
      <w:proofErr w:type="spellStart"/>
      <w:r w:rsidRPr="007122AB">
        <w:rPr>
          <w:rFonts w:ascii="Times New Roman" w:hAnsi="Times New Roman"/>
          <w:color w:val="000000" w:themeColor="text1"/>
          <w:sz w:val="16"/>
          <w:szCs w:val="16"/>
        </w:rPr>
        <w:t>Союззолото</w:t>
      </w:r>
      <w:proofErr w:type="spellEnd"/>
      <w:r w:rsidRPr="007122AB">
        <w:rPr>
          <w:rFonts w:ascii="Times New Roman" w:hAnsi="Times New Roman"/>
          <w:color w:val="000000" w:themeColor="text1"/>
          <w:sz w:val="16"/>
          <w:szCs w:val="16"/>
        </w:rPr>
        <w:t xml:space="preserve">), Калманович, </w:t>
      </w:r>
      <w:proofErr w:type="spellStart"/>
      <w:r w:rsidRPr="007122AB">
        <w:rPr>
          <w:rFonts w:ascii="Times New Roman" w:hAnsi="Times New Roman"/>
          <w:color w:val="000000" w:themeColor="text1"/>
          <w:sz w:val="16"/>
          <w:szCs w:val="16"/>
        </w:rPr>
        <w:t>Дерибас</w:t>
      </w:r>
      <w:proofErr w:type="spellEnd"/>
      <w:r w:rsidRPr="007122AB">
        <w:rPr>
          <w:rFonts w:ascii="Times New Roman" w:hAnsi="Times New Roman"/>
          <w:color w:val="000000" w:themeColor="text1"/>
          <w:sz w:val="16"/>
          <w:szCs w:val="16"/>
        </w:rPr>
        <w:t xml:space="preserve">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w:t>
      </w:r>
      <w:r w:rsidRPr="007122AB">
        <w:rPr>
          <w:rFonts w:ascii="Times New Roman" w:hAnsi="Times New Roman"/>
          <w:color w:val="000000" w:themeColor="text1"/>
          <w:sz w:val="16"/>
          <w:szCs w:val="16"/>
        </w:rPr>
        <w:lastRenderedPageBreak/>
        <w:t>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1038B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0A951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0073D2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C0A2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января 1931 близ Атлантик-Сити, Нью Джерси, США, состоялся полет самолета, оснащенного 10 небольшими ракетными ускорителями. Пилотировал William </w:t>
      </w:r>
      <w:proofErr w:type="spellStart"/>
      <w:r w:rsidRPr="007122AB">
        <w:rPr>
          <w:rFonts w:ascii="Times New Roman" w:hAnsi="Times New Roman"/>
          <w:color w:val="000000" w:themeColor="text1"/>
          <w:sz w:val="16"/>
          <w:szCs w:val="16"/>
        </w:rPr>
        <w:t>Swan</w:t>
      </w:r>
      <w:proofErr w:type="spellEnd"/>
      <w:r w:rsidRPr="007122AB">
        <w:rPr>
          <w:rFonts w:ascii="Times New Roman" w:hAnsi="Times New Roman"/>
          <w:color w:val="000000" w:themeColor="text1"/>
          <w:sz w:val="16"/>
          <w:szCs w:val="16"/>
        </w:rPr>
        <w:t xml:space="preserve"> (2990).</w:t>
      </w:r>
    </w:p>
    <w:p w14:paraId="7917C9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98A40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AD9CF8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FA4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января 1931 г. головная черноморская подводная лодка Революционер вступила в строй, а летом того же года Черноморский флот пополнился Спартаковцем и Якобинцем. Их испытывали государственные комиссии, которые возглавлял Н. И. </w:t>
      </w:r>
      <w:proofErr w:type="spellStart"/>
      <w:r w:rsidRPr="007122AB">
        <w:rPr>
          <w:rFonts w:ascii="Times New Roman" w:hAnsi="Times New Roman"/>
          <w:color w:val="000000" w:themeColor="text1"/>
          <w:sz w:val="16"/>
          <w:szCs w:val="16"/>
        </w:rPr>
        <w:t>Кюн</w:t>
      </w:r>
      <w:proofErr w:type="spellEnd"/>
      <w:r w:rsidRPr="007122AB">
        <w:rPr>
          <w:rFonts w:ascii="Times New Roman" w:hAnsi="Times New Roman"/>
          <w:color w:val="000000" w:themeColor="text1"/>
          <w:sz w:val="16"/>
          <w:szCs w:val="16"/>
        </w:rPr>
        <w:t xml:space="preserve"> (10700).</w:t>
      </w:r>
    </w:p>
    <w:p w14:paraId="0B83E1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7315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января 1931. у деревни Павшино и на склонах Поклонной горы закончились проводимые по приказу Ворошилова испытания В-26 (так называли английские «</w:t>
      </w:r>
      <w:proofErr w:type="spellStart"/>
      <w:r w:rsidRPr="007122AB">
        <w:rPr>
          <w:rFonts w:ascii="Times New Roman" w:hAnsi="Times New Roman"/>
          <w:color w:val="000000" w:themeColor="text1"/>
          <w:sz w:val="16"/>
          <w:szCs w:val="16"/>
        </w:rPr>
        <w:t>шеститонники</w:t>
      </w:r>
      <w:proofErr w:type="spellEnd"/>
      <w:r w:rsidRPr="007122AB">
        <w:rPr>
          <w:rFonts w:ascii="Times New Roman" w:hAnsi="Times New Roman"/>
          <w:color w:val="000000" w:themeColor="text1"/>
          <w:sz w:val="16"/>
          <w:szCs w:val="16"/>
        </w:rPr>
        <w:t xml:space="preserve">» в СССР), которые шли с 24 декабря 1930 по. В испытаниях приняли участие три машины — 215/1, 214/2, 216/3. Всесторонним их обследованием занималась «спецкомиссия по новым танкам для РККА» подчиненная лично Ворошилову. Выводы специалистов, под руководством С. Гинзбурга, были довольно сдержанными. Но после демонстрации двух танков В-26 высшее командование Красной Армии впало в такой восторг, что неизменно возникал вопрос об оснащении РККА только этими танками. В англичан верили гораздо сильнее, чем в «своих», а поскольку создателем </w:t>
      </w:r>
      <w:proofErr w:type="spellStart"/>
      <w:r w:rsidRPr="007122AB">
        <w:rPr>
          <w:rFonts w:ascii="Times New Roman" w:hAnsi="Times New Roman"/>
          <w:color w:val="000000" w:themeColor="text1"/>
          <w:sz w:val="16"/>
          <w:szCs w:val="16"/>
        </w:rPr>
        <w:t>Mk</w:t>
      </w:r>
      <w:proofErr w:type="spellEnd"/>
      <w:r w:rsidRPr="007122AB">
        <w:rPr>
          <w:rFonts w:ascii="Times New Roman" w:hAnsi="Times New Roman"/>
          <w:color w:val="000000" w:themeColor="text1"/>
          <w:sz w:val="16"/>
          <w:szCs w:val="16"/>
        </w:rPr>
        <w:t xml:space="preserve"> A, была ведущая танкостроительная фирма мира, этот довод перевешивал все остальные (11809).</w:t>
      </w:r>
    </w:p>
    <w:p w14:paraId="231A5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F71F73" w14:textId="77777777" w:rsidR="00256002" w:rsidRPr="007122AB" w:rsidRDefault="00256002"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577E4B47" w14:textId="77777777" w:rsidR="00256002" w:rsidRPr="007122AB" w:rsidRDefault="00256002"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231ACE18"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5 января 1931 г.</w:t>
      </w:r>
    </w:p>
    <w:p w14:paraId="56612664"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Д. Г. Штерна в отдел печати НКИД СССР о публикации «через третье лицо» журнальной статьи о процессе «Промпартии». 5 января 1931 г.</w:t>
      </w:r>
    </w:p>
    <w:p w14:paraId="680AA297" w14:textId="77777777" w:rsidR="00256002" w:rsidRPr="007122AB" w:rsidRDefault="0025600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B0C7A01" w14:textId="77777777" w:rsidR="00256002" w:rsidRPr="007122AB" w:rsidRDefault="0025600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B181EF" w14:textId="77777777" w:rsidR="00256002" w:rsidRPr="007122AB" w:rsidRDefault="00256002" w:rsidP="007122AB">
      <w:pPr>
        <w:pStyle w:val="rteright"/>
        <w:spacing w:before="0" w:after="0"/>
        <w:jc w:val="both"/>
        <w:rPr>
          <w:color w:val="000000" w:themeColor="text1"/>
          <w:sz w:val="16"/>
          <w:szCs w:val="16"/>
        </w:rPr>
      </w:pPr>
      <w:r w:rsidRPr="007122AB">
        <w:rPr>
          <w:color w:val="000000" w:themeColor="text1"/>
          <w:sz w:val="16"/>
          <w:szCs w:val="16"/>
        </w:rPr>
        <w:t>5 января 1931 г.</w:t>
      </w:r>
    </w:p>
    <w:p w14:paraId="3CD2742F" w14:textId="77777777" w:rsidR="00256002" w:rsidRPr="007122AB" w:rsidRDefault="00256002"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70BFF80D" w14:textId="77777777" w:rsidR="00256002" w:rsidRPr="007122AB" w:rsidRDefault="00256002"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0F9C07C8" w14:textId="77777777" w:rsidR="00256002" w:rsidRPr="007122AB" w:rsidRDefault="00256002"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6FE33D46" w14:textId="77777777" w:rsidR="00256002" w:rsidRPr="007122AB" w:rsidRDefault="00256002" w:rsidP="007122AB">
      <w:pPr>
        <w:pStyle w:val="ae"/>
        <w:spacing w:before="0" w:after="0"/>
        <w:jc w:val="both"/>
        <w:rPr>
          <w:color w:val="000000" w:themeColor="text1"/>
          <w:sz w:val="16"/>
          <w:szCs w:val="16"/>
        </w:rPr>
      </w:pPr>
      <w:r w:rsidRPr="007122AB">
        <w:rPr>
          <w:color w:val="000000" w:themeColor="text1"/>
          <w:sz w:val="16"/>
          <w:szCs w:val="16"/>
        </w:rPr>
        <w:t xml:space="preserve">Копии: </w:t>
      </w:r>
      <w:proofErr w:type="spellStart"/>
      <w:r w:rsidRPr="007122AB">
        <w:rPr>
          <w:color w:val="000000" w:themeColor="text1"/>
          <w:sz w:val="16"/>
          <w:szCs w:val="16"/>
        </w:rPr>
        <w:t>т.т</w:t>
      </w:r>
      <w:proofErr w:type="spellEnd"/>
      <w:r w:rsidRPr="007122AB">
        <w:rPr>
          <w:color w:val="000000" w:themeColor="text1"/>
          <w:sz w:val="16"/>
          <w:szCs w:val="16"/>
        </w:rPr>
        <w:t>. Литвинову, Крестинскому, Штейну</w:t>
      </w:r>
    </w:p>
    <w:p w14:paraId="7BB29A6A" w14:textId="77777777" w:rsidR="00256002" w:rsidRPr="007122AB" w:rsidRDefault="00256002"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0DDADB9B" w14:textId="77777777" w:rsidR="00256002" w:rsidRPr="007122AB" w:rsidRDefault="00256002" w:rsidP="007122AB">
      <w:pPr>
        <w:pStyle w:val="rtejustify"/>
        <w:spacing w:before="0" w:after="0"/>
        <w:rPr>
          <w:color w:val="000000" w:themeColor="text1"/>
          <w:sz w:val="16"/>
          <w:szCs w:val="16"/>
        </w:rPr>
      </w:pPr>
      <w:r w:rsidRPr="007122AB">
        <w:rPr>
          <w:color w:val="000000" w:themeColor="text1"/>
          <w:sz w:val="16"/>
          <w:szCs w:val="16"/>
        </w:rPr>
        <w:t>Как я в свое время писал, я предпринял ряд шагов о продвижении в некоторые журналы статей, посвященных процессу «</w:t>
      </w:r>
      <w:proofErr w:type="spellStart"/>
      <w:r w:rsidRPr="007122AB">
        <w:rPr>
          <w:color w:val="000000" w:themeColor="text1"/>
          <w:sz w:val="16"/>
          <w:szCs w:val="16"/>
        </w:rPr>
        <w:t>промпартии</w:t>
      </w:r>
      <w:proofErr w:type="spellEnd"/>
      <w:r w:rsidRPr="007122AB">
        <w:rPr>
          <w:color w:val="000000" w:themeColor="text1"/>
          <w:sz w:val="16"/>
          <w:szCs w:val="16"/>
        </w:rPr>
        <w:t xml:space="preserve">». В настоящий момент один из этих материалов, проведенный при помощи третьего лица, помещен в журнале «Ди </w:t>
      </w:r>
      <w:proofErr w:type="spellStart"/>
      <w:r w:rsidRPr="007122AB">
        <w:rPr>
          <w:color w:val="000000" w:themeColor="text1"/>
          <w:sz w:val="16"/>
          <w:szCs w:val="16"/>
        </w:rPr>
        <w:t>дейтче</w:t>
      </w:r>
      <w:proofErr w:type="spellEnd"/>
      <w:r w:rsidRPr="007122AB">
        <w:rPr>
          <w:color w:val="000000" w:themeColor="text1"/>
          <w:sz w:val="16"/>
          <w:szCs w:val="16"/>
        </w:rPr>
        <w:t xml:space="preserve"> </w:t>
      </w:r>
      <w:proofErr w:type="spellStart"/>
      <w:r w:rsidRPr="007122AB">
        <w:rPr>
          <w:color w:val="000000" w:themeColor="text1"/>
          <w:sz w:val="16"/>
          <w:szCs w:val="16"/>
        </w:rPr>
        <w:t>Републик</w:t>
      </w:r>
      <w:proofErr w:type="spellEnd"/>
      <w:r w:rsidRPr="007122AB">
        <w:rPr>
          <w:color w:val="000000" w:themeColor="text1"/>
          <w:sz w:val="16"/>
          <w:szCs w:val="16"/>
        </w:rPr>
        <w:t xml:space="preserve">». Статья совершенно категорически устанавливает подготовку интервенции. Указывается, что имел место международный заговор против советского государства, в котором участвовали финансовые и военные круги. Процесс является большой заслугой перед человечеством, т. к. нанес удар военной угрозе. Очень гнусную роль во всем этом сыграли продажные </w:t>
      </w:r>
      <w:proofErr w:type="spellStart"/>
      <w:r w:rsidRPr="007122AB">
        <w:rPr>
          <w:color w:val="000000" w:themeColor="text1"/>
          <w:sz w:val="16"/>
          <w:szCs w:val="16"/>
        </w:rPr>
        <w:t>журналистические</w:t>
      </w:r>
      <w:proofErr w:type="spellEnd"/>
      <w:r w:rsidRPr="007122AB">
        <w:rPr>
          <w:color w:val="000000" w:themeColor="text1"/>
          <w:sz w:val="16"/>
          <w:szCs w:val="16"/>
        </w:rPr>
        <w:t xml:space="preserve"> перья, оплачиваемые мировым финансовым капиталом. Помимо этой статьи в том же номере имеется и вторая, озаглавленная [«]ревизия генеральной линии[»]. К ней мы никакого отношения не имеем. В ближайшие дни выяснится судьба статей в органе «</w:t>
      </w:r>
      <w:proofErr w:type="spellStart"/>
      <w:r w:rsidRPr="007122AB">
        <w:rPr>
          <w:color w:val="000000" w:themeColor="text1"/>
          <w:sz w:val="16"/>
          <w:szCs w:val="16"/>
        </w:rPr>
        <w:t>Гиршдункеровских</w:t>
      </w:r>
      <w:proofErr w:type="spellEnd"/>
      <w:r w:rsidRPr="007122AB">
        <w:rPr>
          <w:color w:val="000000" w:themeColor="text1"/>
          <w:sz w:val="16"/>
          <w:szCs w:val="16"/>
        </w:rPr>
        <w:t xml:space="preserve"> профсоюзов» и «Политик </w:t>
      </w:r>
      <w:proofErr w:type="spellStart"/>
      <w:r w:rsidRPr="007122AB">
        <w:rPr>
          <w:color w:val="000000" w:themeColor="text1"/>
          <w:sz w:val="16"/>
          <w:szCs w:val="16"/>
        </w:rPr>
        <w:t>унд</w:t>
      </w:r>
      <w:proofErr w:type="spellEnd"/>
      <w:r w:rsidRPr="007122AB">
        <w:rPr>
          <w:color w:val="000000" w:themeColor="text1"/>
          <w:sz w:val="16"/>
          <w:szCs w:val="16"/>
        </w:rPr>
        <w:t xml:space="preserve"> </w:t>
      </w:r>
      <w:proofErr w:type="spellStart"/>
      <w:r w:rsidRPr="007122AB">
        <w:rPr>
          <w:color w:val="000000" w:themeColor="text1"/>
          <w:sz w:val="16"/>
          <w:szCs w:val="16"/>
        </w:rPr>
        <w:t>Гезелынафт</w:t>
      </w:r>
      <w:proofErr w:type="spellEnd"/>
      <w:r w:rsidRPr="007122AB">
        <w:rPr>
          <w:color w:val="000000" w:themeColor="text1"/>
          <w:sz w:val="16"/>
          <w:szCs w:val="16"/>
        </w:rPr>
        <w:t>».</w:t>
      </w:r>
    </w:p>
    <w:p w14:paraId="20278FF8" w14:textId="77777777" w:rsidR="00256002" w:rsidRPr="007122AB" w:rsidRDefault="00256002" w:rsidP="007122AB">
      <w:pPr>
        <w:pStyle w:val="ae"/>
        <w:spacing w:before="0" w:after="0"/>
        <w:jc w:val="both"/>
        <w:rPr>
          <w:color w:val="000000" w:themeColor="text1"/>
          <w:sz w:val="16"/>
          <w:szCs w:val="16"/>
        </w:rPr>
      </w:pPr>
      <w:r w:rsidRPr="007122AB">
        <w:rPr>
          <w:color w:val="000000" w:themeColor="text1"/>
          <w:sz w:val="16"/>
          <w:szCs w:val="16"/>
        </w:rPr>
        <w:t>С товарищеским приветом</w:t>
      </w:r>
    </w:p>
    <w:p w14:paraId="28CADB96" w14:textId="77777777" w:rsidR="00256002" w:rsidRPr="007122AB" w:rsidRDefault="00256002" w:rsidP="007122AB">
      <w:pPr>
        <w:pStyle w:val="ae"/>
        <w:spacing w:before="0" w:after="0"/>
        <w:jc w:val="both"/>
        <w:rPr>
          <w:color w:val="000000" w:themeColor="text1"/>
          <w:sz w:val="16"/>
          <w:szCs w:val="16"/>
        </w:rPr>
      </w:pPr>
      <w:r w:rsidRPr="007122AB">
        <w:rPr>
          <w:color w:val="000000" w:themeColor="text1"/>
          <w:sz w:val="16"/>
          <w:szCs w:val="16"/>
        </w:rPr>
        <w:t>Д. Штерн</w:t>
      </w:r>
    </w:p>
    <w:p w14:paraId="0956CFB4" w14:textId="77777777" w:rsidR="00256002" w:rsidRPr="007122AB" w:rsidRDefault="00256002"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33. Д. 8. Л. 22. Машинописный подлинник на бланке Полпредства СССР в Германии, подпись — автограф. Гриф секретности и дата машинописью, исходящий номер «№ 55» от руки в графе бланка. Вверху листа написаны от руки входящий номер и дата получения документа «8/I-31 т.», рукописная помета «архив», подпись-росчерк Миронова (18891).</w:t>
      </w:r>
    </w:p>
    <w:p w14:paraId="626AE76F" w14:textId="77777777" w:rsidR="00256002" w:rsidRPr="007122AB" w:rsidRDefault="00256002" w:rsidP="007122AB">
      <w:pPr>
        <w:spacing w:after="0" w:line="240" w:lineRule="auto"/>
        <w:jc w:val="both"/>
        <w:rPr>
          <w:rFonts w:ascii="Times New Roman" w:hAnsi="Times New Roman"/>
          <w:color w:val="000000" w:themeColor="text1"/>
          <w:sz w:val="16"/>
          <w:szCs w:val="16"/>
        </w:rPr>
      </w:pPr>
    </w:p>
    <w:p w14:paraId="7653CC23" w14:textId="77777777" w:rsidR="00221F71" w:rsidRPr="007122AB" w:rsidRDefault="00221F7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7CB58BF" w14:textId="4CC65817" w:rsidR="00221F71" w:rsidRPr="007122AB" w:rsidRDefault="00221F7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92F118" w14:textId="145674B9" w:rsidR="00221F71" w:rsidRPr="007122AB" w:rsidRDefault="00221F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6 января 1931 года на итоговом заседании комиссии обсуждался и был утвержден Проект постановления для внесения в Политбюро который в целом явился плодом компромисса представленных в ней сил. В вопросе размещения главной базы принимался вариант группы Мехоношина - Поволжье. Разделение дирижаблей на военные и гражданские не предусматривалось, против чего присутствовавший на заседании Ворошилов, по-видимому, не возражал. Переговоры о технической помощи поручалось начать в Германии, Италии и США. Трудно объяснить появление в производственном графике двух цельнометаллических кораблей, постройку которых надлежало закончить к концу пятилетки: это шло вразрез с мнением большинства членов комиссии. Отдельным пунктом устанавливалось распределение бюджетных ассигнований на 1931-1933 годы: соответственно 15, 30 и 55 млн рублей.</w:t>
      </w:r>
    </w:p>
    <w:p w14:paraId="702E5041" w14:textId="6B06B3D4" w:rsidR="00221F71" w:rsidRPr="007122AB" w:rsidRDefault="00221F7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color w:val="000000" w:themeColor="text1"/>
          <w:sz w:val="16"/>
          <w:szCs w:val="16"/>
          <w:lang w:eastAsia="ru-RU" w:bidi="ru-RU"/>
        </w:rPr>
        <w:t xml:space="preserve">Политбюро, рассмотрев проект на заседании 15 января, воздержалось от его принятия, хотя бы и с поправками: видимо, что-то в нём принципиально не устраивало партийное руководство, но что именно - неизвестно. Тем не менее выделение 15 млн рублей на 1931 год было подтверждено, а поручение провести «дальнейшую разработку вопроса о дирижаблестроении» дали комиссии в составе </w:t>
      </w:r>
      <w:proofErr w:type="spellStart"/>
      <w:r w:rsidRPr="007122AB">
        <w:rPr>
          <w:rFonts w:ascii="Times New Roman" w:hAnsi="Times New Roman"/>
          <w:color w:val="000000" w:themeColor="text1"/>
          <w:sz w:val="16"/>
          <w:szCs w:val="16"/>
          <w:lang w:eastAsia="ru-RU" w:bidi="ru-RU"/>
        </w:rPr>
        <w:t>Гольцмана</w:t>
      </w:r>
      <w:proofErr w:type="spellEnd"/>
      <w:r w:rsidRPr="007122AB">
        <w:rPr>
          <w:rFonts w:ascii="Times New Roman" w:hAnsi="Times New Roman"/>
          <w:color w:val="000000" w:themeColor="text1"/>
          <w:sz w:val="16"/>
          <w:szCs w:val="16"/>
          <w:lang w:eastAsia="ru-RU" w:bidi="ru-RU"/>
        </w:rPr>
        <w:t>, Тухачевского, Баранова, Мартиновича и нескольких новых участников, представлявших различные ведомства. На это отводилось два месяца (23193).</w:t>
      </w:r>
    </w:p>
    <w:p w14:paraId="48179A9A" w14:textId="77777777" w:rsidR="00221F71" w:rsidRPr="007122AB" w:rsidRDefault="00221F7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3D6C42" w14:textId="77777777" w:rsidR="006E48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16EFF22" w14:textId="77777777" w:rsidR="006E4804" w:rsidRPr="007122AB" w:rsidRDefault="006E48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3EAF6A"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января 1931 г. на ХПЗ прошло заседание правления завода по утверждению производственной программы танко-тракторостроения в 1931 г., на котором, в частности, было принято решение об изготовлении в минимальный срок (кустарным путем) 4—5 машин, после чего установить законченный тип конструкции Т-24. Первый корпус танка с Ижорского завода на ХПЗ поступил в конце января 1931 г. (акт приемки №1 от 28 января 1931 г.).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51DC5D35" w14:textId="77777777" w:rsidR="006E4804" w:rsidRPr="007122AB" w:rsidRDefault="006E4804" w:rsidP="007122AB">
      <w:pPr>
        <w:spacing w:after="0" w:line="240" w:lineRule="auto"/>
        <w:jc w:val="both"/>
        <w:rPr>
          <w:rFonts w:ascii="Times New Roman" w:hAnsi="Times New Roman"/>
          <w:color w:val="000000" w:themeColor="text1"/>
          <w:sz w:val="16"/>
          <w:szCs w:val="16"/>
        </w:rPr>
      </w:pPr>
    </w:p>
    <w:p w14:paraId="0DF0A315" w14:textId="77777777" w:rsidR="00623619" w:rsidRPr="007122AB" w:rsidRDefault="006236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января 1931 г. на заседании аэросанной подсекции секции зимнего и </w:t>
      </w:r>
      <w:proofErr w:type="spellStart"/>
      <w:r w:rsidRPr="007122AB">
        <w:rPr>
          <w:rFonts w:ascii="Times New Roman" w:hAnsi="Times New Roman"/>
          <w:color w:val="000000" w:themeColor="text1"/>
          <w:sz w:val="16"/>
          <w:szCs w:val="16"/>
        </w:rPr>
        <w:t>водномоторного</w:t>
      </w:r>
      <w:proofErr w:type="spellEnd"/>
      <w:r w:rsidRPr="007122AB">
        <w:rPr>
          <w:rFonts w:ascii="Times New Roman" w:hAnsi="Times New Roman"/>
          <w:color w:val="000000" w:themeColor="text1"/>
          <w:sz w:val="16"/>
          <w:szCs w:val="16"/>
        </w:rPr>
        <w:t xml:space="preserve"> транспорта «Автодора» был заслушан доклад по обследованию производства аэросаней на заводе № 28. Присутствующие постановили организовать испытательный пробег деревянных аэросаней НАТИ постройки завода «Пропеллер» и металлических ЦАГИ выпуска завода им. Марти. Однако, в связи с изменением профиля завода, мероприятие потеряло актуальность – и пробег не состоялся. Правда, в 1933 г. на устроенном «Автодором» в Москве слёте аэросаней и вездеходов присутствовали аэросани НАТИ-IХ(б), которые, согласно сообщениям в прессе, пришли в Москву своим ходом из Чебоксар (18640).</w:t>
      </w:r>
    </w:p>
    <w:p w14:paraId="63AD1486" w14:textId="77777777" w:rsidR="00623619" w:rsidRPr="007122AB" w:rsidRDefault="00623619" w:rsidP="007122AB">
      <w:pPr>
        <w:spacing w:after="0" w:line="240" w:lineRule="auto"/>
        <w:jc w:val="both"/>
        <w:rPr>
          <w:rFonts w:ascii="Times New Roman" w:hAnsi="Times New Roman"/>
          <w:color w:val="000000" w:themeColor="text1"/>
          <w:sz w:val="16"/>
          <w:szCs w:val="16"/>
        </w:rPr>
      </w:pPr>
    </w:p>
    <w:p w14:paraId="01F945DB" w14:textId="77777777" w:rsidR="00623619" w:rsidRPr="007122AB" w:rsidRDefault="00623619"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52F9889F" w14:textId="77777777" w:rsidR="00623619" w:rsidRPr="007122AB" w:rsidRDefault="00623619"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49FB2018"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6 января 1931 г.</w:t>
      </w:r>
    </w:p>
    <w:p w14:paraId="420B0B84"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Директивы отдела печати НКИД СССР Д. Г. Штерну по поводу публикации статей и материалов о процессе «Промпартии» в Германии. 6 января 1931 г.</w:t>
      </w:r>
    </w:p>
    <w:p w14:paraId="3CC595C7"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30FD06F" w14:textId="77777777" w:rsidR="00623619" w:rsidRPr="007122AB" w:rsidRDefault="006236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0BBDD56"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226E9C4" w14:textId="77777777" w:rsidR="00623619" w:rsidRPr="007122AB" w:rsidRDefault="006236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15. П. 33. Д. 8. Л. 30-31</w:t>
      </w:r>
    </w:p>
    <w:p w14:paraId="79E2AD30" w14:textId="77777777" w:rsidR="00623619" w:rsidRPr="007122AB" w:rsidRDefault="00623619" w:rsidP="007122AB">
      <w:pPr>
        <w:pStyle w:val="rteright"/>
        <w:spacing w:before="0" w:after="0"/>
        <w:jc w:val="both"/>
        <w:rPr>
          <w:color w:val="000000" w:themeColor="text1"/>
          <w:sz w:val="16"/>
          <w:szCs w:val="16"/>
        </w:rPr>
      </w:pPr>
      <w:r w:rsidRPr="007122AB">
        <w:rPr>
          <w:color w:val="000000" w:themeColor="text1"/>
          <w:sz w:val="16"/>
          <w:szCs w:val="16"/>
        </w:rPr>
        <w:t>6 января 1931 г.</w:t>
      </w:r>
    </w:p>
    <w:p w14:paraId="081AF1FE" w14:textId="77777777" w:rsidR="00623619" w:rsidRPr="007122AB" w:rsidRDefault="00623619"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0CC251F4"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lastRenderedPageBreak/>
        <w:t>Отдел печати Н.К.И.Д.</w:t>
      </w:r>
    </w:p>
    <w:p w14:paraId="15CEA55B"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6 января 31 г.</w:t>
      </w:r>
    </w:p>
    <w:p w14:paraId="33AA51E0"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 27013</w:t>
      </w:r>
    </w:p>
    <w:p w14:paraId="2813D299" w14:textId="77777777" w:rsidR="00623619" w:rsidRPr="007122AB" w:rsidRDefault="00623619" w:rsidP="007122AB">
      <w:pPr>
        <w:pStyle w:val="rtecenter"/>
        <w:spacing w:before="0" w:after="0"/>
        <w:jc w:val="both"/>
        <w:rPr>
          <w:color w:val="000000" w:themeColor="text1"/>
          <w:sz w:val="16"/>
          <w:szCs w:val="16"/>
        </w:rPr>
      </w:pPr>
      <w:r w:rsidRPr="007122AB">
        <w:rPr>
          <w:color w:val="000000" w:themeColor="text1"/>
          <w:sz w:val="16"/>
          <w:szCs w:val="16"/>
        </w:rPr>
        <w:t>Тов. Штерну</w:t>
      </w:r>
    </w:p>
    <w:p w14:paraId="1B82F15B" w14:textId="77777777" w:rsidR="00623619" w:rsidRPr="007122AB" w:rsidRDefault="00623619" w:rsidP="007122AB">
      <w:pPr>
        <w:pStyle w:val="rtecenter"/>
        <w:spacing w:before="0" w:after="0"/>
        <w:jc w:val="both"/>
        <w:rPr>
          <w:color w:val="000000" w:themeColor="text1"/>
          <w:sz w:val="16"/>
          <w:szCs w:val="16"/>
        </w:rPr>
      </w:pPr>
      <w:r w:rsidRPr="007122AB">
        <w:rPr>
          <w:color w:val="000000" w:themeColor="text1"/>
          <w:sz w:val="16"/>
          <w:szCs w:val="16"/>
        </w:rPr>
        <w:t>Берлин</w:t>
      </w:r>
    </w:p>
    <w:p w14:paraId="0971E543"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 xml:space="preserve">1.  При сем прилагается статья тов. Луначарского для </w:t>
      </w:r>
      <w:proofErr w:type="spellStart"/>
      <w:r w:rsidRPr="007122AB">
        <w:rPr>
          <w:color w:val="000000" w:themeColor="text1"/>
          <w:sz w:val="16"/>
          <w:szCs w:val="16"/>
        </w:rPr>
        <w:t>Ионаса</w:t>
      </w:r>
      <w:proofErr w:type="spellEnd"/>
      <w:r w:rsidRPr="007122AB">
        <w:rPr>
          <w:color w:val="000000" w:themeColor="text1"/>
          <w:sz w:val="16"/>
          <w:szCs w:val="16"/>
        </w:rPr>
        <w:t xml:space="preserve">. Она прилагается одновременно в русском тексте и в немецком переводе, причем, как Вы увидите, при переводе сделаны небольшие сокращения. Если бы Вы считали необходимым из статьи что[-]либо удалить, в особенности, по соображениям места в журнале, то тов. Луначарский и мы с этим заранее согласны. Мы надеемся, что статья </w:t>
      </w:r>
      <w:proofErr w:type="spellStart"/>
      <w:r w:rsidRPr="007122AB">
        <w:rPr>
          <w:color w:val="000000" w:themeColor="text1"/>
          <w:sz w:val="16"/>
          <w:szCs w:val="16"/>
        </w:rPr>
        <w:t>Ионасу</w:t>
      </w:r>
      <w:proofErr w:type="spellEnd"/>
      <w:r w:rsidRPr="007122AB">
        <w:rPr>
          <w:color w:val="000000" w:themeColor="text1"/>
          <w:sz w:val="16"/>
          <w:szCs w:val="16"/>
        </w:rPr>
        <w:t xml:space="preserve"> понравится.</w:t>
      </w:r>
    </w:p>
    <w:p w14:paraId="7174ED77"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2.  С Вайнбергом в свое время здесь велся подробный разговор. Кроме того, мы Вам о нем писали. Здесь несомненно какое[-]то недоразумение. Вайнберг ставит, очевидно, вопрос так: сколько мы хотим истратить. На такой вопрос можно только ответить: ничего, ибо совершенно ясно, что мы хотели бы иметь наименьшие затраты в валюте. Вайнбергу здесь было объяснено, что в зависимости от содержания его брошюры (поэтому от него требовался подробный план) и от издательства мы готовы будем пойти на финансовые жертвы. Поэтому большая просьба прислать нам вполне конкретное предложение, которое должно заключать: 1) Название издательства, 2) Размер брошюры и тираж и 3) Содержание оной. Немедленно после получения от Вас этих указаний с названием суммы, мы Вам дадим свой исчерпывающий ответ. Пока же мы ничего не можем сказать, ибо и по содержанию брошюры[,] и по финансовой стороне Вайнберг Вам не дает никаких конкретных указаний.</w:t>
      </w:r>
    </w:p>
    <w:p w14:paraId="2DC6DBED"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3.  Вопрос о помещении &lt;статей&gt; за подписью наших выдающихся хозяйственников в буржуазной печати — вопрос принципиальный и требующий разрешения соответствующих инстанций. Поэтому мы Вам по поводу статей для «</w:t>
      </w:r>
      <w:proofErr w:type="spellStart"/>
      <w:r w:rsidRPr="007122AB">
        <w:rPr>
          <w:color w:val="000000" w:themeColor="text1"/>
          <w:sz w:val="16"/>
          <w:szCs w:val="16"/>
        </w:rPr>
        <w:t>Берзен</w:t>
      </w:r>
      <w:proofErr w:type="spellEnd"/>
      <w:r w:rsidRPr="007122AB">
        <w:rPr>
          <w:color w:val="000000" w:themeColor="text1"/>
          <w:sz w:val="16"/>
          <w:szCs w:val="16"/>
        </w:rPr>
        <w:t xml:space="preserve"> </w:t>
      </w:r>
      <w:proofErr w:type="spellStart"/>
      <w:r w:rsidRPr="007122AB">
        <w:rPr>
          <w:color w:val="000000" w:themeColor="text1"/>
          <w:sz w:val="16"/>
          <w:szCs w:val="16"/>
        </w:rPr>
        <w:t>Цейтунг</w:t>
      </w:r>
      <w:proofErr w:type="spellEnd"/>
      <w:r w:rsidRPr="007122AB">
        <w:rPr>
          <w:color w:val="000000" w:themeColor="text1"/>
          <w:sz w:val="16"/>
          <w:szCs w:val="16"/>
        </w:rPr>
        <w:t>» пока ничего сказать не можем.</w:t>
      </w:r>
    </w:p>
    <w:p w14:paraId="40EFE9F1"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4.  Агентство Конти за последнее время стало распространять всякие небылицы про СССР. Так мы судим на основании, например, сообщения Конти из Бухареста. Так как агентство Конти все-таки является детищем Вольфа, то надо этим попыткам найти новое убежище для анти-советской информации в корне положить предел. Однако, ввиду того, что отсюда нам трудно судить о характере анти-советских заметок Конти, ибо мы бюллетеней Конти не получаем, а судим лишь по отрывочным сведениям, то способы воздействия на Вольфа предоставляются всецело Вашему усмотрению.</w:t>
      </w:r>
    </w:p>
    <w:p w14:paraId="4EEE8A08"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5.  Очень благодарны Вам за Ваше сообщение о Максе Фишере. Кстати, мы здесь «ДАЦ», «</w:t>
      </w:r>
      <w:proofErr w:type="spellStart"/>
      <w:r w:rsidRPr="007122AB">
        <w:rPr>
          <w:color w:val="000000" w:themeColor="text1"/>
          <w:sz w:val="16"/>
          <w:szCs w:val="16"/>
        </w:rPr>
        <w:t>Фоссише</w:t>
      </w:r>
      <w:proofErr w:type="spellEnd"/>
      <w:r w:rsidRPr="007122AB">
        <w:rPr>
          <w:color w:val="000000" w:themeColor="text1"/>
          <w:sz w:val="16"/>
          <w:szCs w:val="16"/>
        </w:rPr>
        <w:t>» и «Франкфуртер» получаем в так называемой «</w:t>
      </w:r>
      <w:proofErr w:type="spellStart"/>
      <w:r w:rsidRPr="007122AB">
        <w:rPr>
          <w:color w:val="000000" w:themeColor="text1"/>
          <w:sz w:val="16"/>
          <w:szCs w:val="16"/>
        </w:rPr>
        <w:t>Райхсаусгабэ</w:t>
      </w:r>
      <w:proofErr w:type="spellEnd"/>
      <w:r w:rsidRPr="007122AB">
        <w:rPr>
          <w:color w:val="000000" w:themeColor="text1"/>
          <w:sz w:val="16"/>
          <w:szCs w:val="16"/>
        </w:rPr>
        <w:t>». Поэтому просьба в случаях, если Вы заметите, что в этих изданиях пропущено что-либо об СССР, имевшееся в ординарных номерах газет, нам об этом сообщать.</w:t>
      </w:r>
    </w:p>
    <w:p w14:paraId="303239B0"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(Аренс)</w:t>
      </w:r>
    </w:p>
    <w:p w14:paraId="11DBD42E"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(Миронов)</w:t>
      </w:r>
    </w:p>
    <w:p w14:paraId="3967A7E0" w14:textId="77777777" w:rsidR="00623619" w:rsidRPr="007122AB" w:rsidRDefault="00623619"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15. П. 33. Д. 8. Л. 30-31. Машинописная копия того времени. Гриф секретности и дата машинописью, исходящий номер от руки. На Л. 31 внизу слева делопроизводственная помета машинописью (столбцом) «4 экз. 1 — т. Штерну 1 — т. Литвинову 1 — т. Крестинскому 1 — в дело» (18892).</w:t>
      </w:r>
    </w:p>
    <w:p w14:paraId="58A01AEF" w14:textId="77777777" w:rsidR="00623619" w:rsidRPr="007122AB" w:rsidRDefault="00623619" w:rsidP="007122AB">
      <w:pPr>
        <w:spacing w:after="0" w:line="240" w:lineRule="auto"/>
        <w:jc w:val="both"/>
        <w:rPr>
          <w:rFonts w:ascii="Times New Roman" w:hAnsi="Times New Roman"/>
          <w:color w:val="000000" w:themeColor="text1"/>
          <w:sz w:val="16"/>
          <w:szCs w:val="16"/>
        </w:rPr>
      </w:pPr>
    </w:p>
    <w:p w14:paraId="11362582"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6 января 1931 г.</w:t>
      </w:r>
    </w:p>
    <w:p w14:paraId="6549A82B"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Ж. Л. Аренса В. Н. Баркову о корреспонденциях из Москвы и необходимости конспирации при связи Полпредства СССР в Париже с издателями. 6 января 1931 г.</w:t>
      </w:r>
    </w:p>
    <w:p w14:paraId="55C55F73"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FEB92DA" w14:textId="77777777" w:rsidR="00623619" w:rsidRPr="007122AB" w:rsidRDefault="006236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6D6107" w14:textId="77777777" w:rsidR="00623619" w:rsidRPr="007122AB" w:rsidRDefault="0062361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E302D5A" w14:textId="77777777" w:rsidR="00623619" w:rsidRPr="007122AB" w:rsidRDefault="006236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Ф.056. On. 16.П.34.Д. 14. Л. 4-5</w:t>
      </w:r>
    </w:p>
    <w:p w14:paraId="69488712" w14:textId="77777777" w:rsidR="00623619" w:rsidRPr="007122AB" w:rsidRDefault="00623619" w:rsidP="007122AB">
      <w:pPr>
        <w:pStyle w:val="rteright"/>
        <w:spacing w:before="0" w:after="0"/>
        <w:jc w:val="both"/>
        <w:rPr>
          <w:color w:val="000000" w:themeColor="text1"/>
          <w:sz w:val="16"/>
          <w:szCs w:val="16"/>
        </w:rPr>
      </w:pPr>
      <w:r w:rsidRPr="007122AB">
        <w:rPr>
          <w:color w:val="000000" w:themeColor="text1"/>
          <w:sz w:val="16"/>
          <w:szCs w:val="16"/>
        </w:rPr>
        <w:t>6 января 1931 г.</w:t>
      </w:r>
    </w:p>
    <w:p w14:paraId="1E72B248" w14:textId="77777777" w:rsidR="00623619" w:rsidRPr="007122AB" w:rsidRDefault="00623619"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312E277C"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52AD83C8"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6 января 1931 г.</w:t>
      </w:r>
    </w:p>
    <w:p w14:paraId="65A57149"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№27012</w:t>
      </w:r>
    </w:p>
    <w:p w14:paraId="16F7F15D"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Тов. Баркову</w:t>
      </w:r>
    </w:p>
    <w:p w14:paraId="40F32938"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Париж</w:t>
      </w:r>
    </w:p>
    <w:p w14:paraId="4B81182B"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 xml:space="preserve">1.  Мы Вам в свое время писали о том, чтобы Вы поговорили с[о] связанными с нами предприятиями, дабы добиться их согласия на помещение регулярных корреспонденций из Москвы, которые будет составлять </w:t>
      </w:r>
      <w:proofErr w:type="spellStart"/>
      <w:r w:rsidRPr="007122AB">
        <w:rPr>
          <w:color w:val="000000" w:themeColor="text1"/>
          <w:sz w:val="16"/>
          <w:szCs w:val="16"/>
        </w:rPr>
        <w:t>Люциани</w:t>
      </w:r>
      <w:proofErr w:type="spellEnd"/>
      <w:r w:rsidRPr="007122AB">
        <w:rPr>
          <w:color w:val="000000" w:themeColor="text1"/>
          <w:sz w:val="16"/>
          <w:szCs w:val="16"/>
        </w:rPr>
        <w:t xml:space="preserve">. Несмотря на то, что прошло уже больше месяца, мы до сих пор не имеем от Вас ответа по этому вопросу. Между тем, подобные корреспонденции, писанные в Москве, являются лучшим проводником информации об СССР. Не откажите срочно снестись с соответствующими предприятиями и предложить им хотя [бы] два раза в месяц помещать корреспонденции </w:t>
      </w:r>
      <w:proofErr w:type="spellStart"/>
      <w:r w:rsidRPr="007122AB">
        <w:rPr>
          <w:color w:val="000000" w:themeColor="text1"/>
          <w:sz w:val="16"/>
          <w:szCs w:val="16"/>
        </w:rPr>
        <w:t>Люциани</w:t>
      </w:r>
      <w:proofErr w:type="spellEnd"/>
      <w:r w:rsidRPr="007122AB">
        <w:rPr>
          <w:color w:val="000000" w:themeColor="text1"/>
          <w:sz w:val="16"/>
          <w:szCs w:val="16"/>
        </w:rPr>
        <w:t xml:space="preserve">, за которые они должны платить ему обычную во Франции ставку за газетные статьи. Так как этот расход не превысит нескольких сот франков в месяц, то я не сомневаюсь, что, при известном нажиме с нашей стороны, соответствующие предприятия согласятся на наше предложение. Корреспондирование в этих предприятиях не исключает, понятно, возможности связать </w:t>
      </w:r>
      <w:proofErr w:type="spellStart"/>
      <w:r w:rsidRPr="007122AB">
        <w:rPr>
          <w:color w:val="000000" w:themeColor="text1"/>
          <w:sz w:val="16"/>
          <w:szCs w:val="16"/>
        </w:rPr>
        <w:t>Люциани</w:t>
      </w:r>
      <w:proofErr w:type="spellEnd"/>
      <w:r w:rsidRPr="007122AB">
        <w:rPr>
          <w:color w:val="000000" w:themeColor="text1"/>
          <w:sz w:val="16"/>
          <w:szCs w:val="16"/>
        </w:rPr>
        <w:t xml:space="preserve"> с другими газетами, указанными в Вашем последнем письме.</w:t>
      </w:r>
    </w:p>
    <w:p w14:paraId="328906C2"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 xml:space="preserve">2.   Из </w:t>
      </w:r>
      <w:proofErr w:type="spellStart"/>
      <w:r w:rsidRPr="007122AB">
        <w:rPr>
          <w:color w:val="000000" w:themeColor="text1"/>
          <w:sz w:val="16"/>
          <w:szCs w:val="16"/>
        </w:rPr>
        <w:t>ВОКСа</w:t>
      </w:r>
      <w:proofErr w:type="spellEnd"/>
      <w:r w:rsidRPr="007122AB">
        <w:rPr>
          <w:color w:val="000000" w:themeColor="text1"/>
          <w:sz w:val="16"/>
          <w:szCs w:val="16"/>
        </w:rPr>
        <w:t xml:space="preserve"> нам сообщили, что статьи для «</w:t>
      </w:r>
      <w:proofErr w:type="spellStart"/>
      <w:r w:rsidRPr="007122AB">
        <w:rPr>
          <w:color w:val="000000" w:themeColor="text1"/>
          <w:sz w:val="16"/>
          <w:szCs w:val="16"/>
        </w:rPr>
        <w:t>Монд»а</w:t>
      </w:r>
      <w:proofErr w:type="spellEnd"/>
      <w:r w:rsidRPr="007122AB">
        <w:rPr>
          <w:color w:val="000000" w:themeColor="text1"/>
          <w:sz w:val="16"/>
          <w:szCs w:val="16"/>
        </w:rPr>
        <w:t xml:space="preserve"> давно уже посланы. Неужели редакция их не получила? Кстати, присылайте нам, как это было раньше, несколько экземпляров «</w:t>
      </w:r>
      <w:proofErr w:type="spellStart"/>
      <w:r w:rsidRPr="007122AB">
        <w:rPr>
          <w:color w:val="000000" w:themeColor="text1"/>
          <w:sz w:val="16"/>
          <w:szCs w:val="16"/>
        </w:rPr>
        <w:t>Монд»а</w:t>
      </w:r>
      <w:proofErr w:type="spellEnd"/>
      <w:r w:rsidRPr="007122AB">
        <w:rPr>
          <w:color w:val="000000" w:themeColor="text1"/>
          <w:sz w:val="16"/>
          <w:szCs w:val="16"/>
        </w:rPr>
        <w:t>. Пришлите нам также все статьи, которые появились или появятся во французской прессе о процессе Промпартии.</w:t>
      </w:r>
    </w:p>
    <w:p w14:paraId="4DD511D9"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3. Ввиду болезни одного из товарищей, с которым необходимо согласовать вопрос об издании стенографических отчетов о процессе, я смогу дать Вам ответ только через несколько дней, который передам по телеграфу. Жду Вашего ответа на мой вопрос о переводе стенограмм на французский язык. Возьмется ли Париж это выполнить и сколько это будет стоить? Не удалось ли Вам выяснить в разговорах с Домиником и Валуа[,] какого характера будут их предисловия и будут ли они в основном приемлемы для нас. От этого зависит до известной степени решение этого вопроса. Если сможете — сообщите ответ по телеграфу.</w:t>
      </w:r>
    </w:p>
    <w:p w14:paraId="021A95B7"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Во всех переговорах по поводу издания стенограмм процесса необходимо избегать непосредственного контакта Полпредства с издателями. Вы должны поставить дело так, чтобы Полпредству не смогли приписать инициативы в издании этой книги. Поэтому ведите все переговоры через посредников, которые должны выступать в переговорах с издателями. как инициаторы издания стенограмм процесса.</w:t>
      </w:r>
    </w:p>
    <w:p w14:paraId="50EE45D3" w14:textId="77777777" w:rsidR="00623619" w:rsidRPr="007122AB" w:rsidRDefault="00623619" w:rsidP="007122AB">
      <w:pPr>
        <w:pStyle w:val="rtejustify"/>
        <w:spacing w:before="0" w:after="0"/>
        <w:rPr>
          <w:color w:val="000000" w:themeColor="text1"/>
          <w:sz w:val="16"/>
          <w:szCs w:val="16"/>
        </w:rPr>
      </w:pPr>
      <w:r w:rsidRPr="007122AB">
        <w:rPr>
          <w:color w:val="000000" w:themeColor="text1"/>
          <w:sz w:val="16"/>
          <w:szCs w:val="16"/>
        </w:rPr>
        <w:t>4. Мы уже указывали Вам, что получаем очень нерегулярно бюллетени Вашего бюро печати. Просьба адресовать их непосредственно нам, так как в противном случае они гуляют по разным отделам и застревают на долгое время.</w:t>
      </w:r>
    </w:p>
    <w:p w14:paraId="5FF9A045" w14:textId="77777777" w:rsidR="00623619" w:rsidRPr="007122AB" w:rsidRDefault="00623619" w:rsidP="007122AB">
      <w:pPr>
        <w:pStyle w:val="ae"/>
        <w:spacing w:before="0" w:after="0"/>
        <w:jc w:val="both"/>
        <w:rPr>
          <w:color w:val="000000" w:themeColor="text1"/>
          <w:sz w:val="16"/>
          <w:szCs w:val="16"/>
        </w:rPr>
      </w:pPr>
      <w:r w:rsidRPr="007122AB">
        <w:rPr>
          <w:color w:val="000000" w:themeColor="text1"/>
          <w:sz w:val="16"/>
          <w:szCs w:val="16"/>
        </w:rPr>
        <w:t>(Аренс)</w:t>
      </w:r>
    </w:p>
    <w:p w14:paraId="06866823" w14:textId="77777777" w:rsidR="00623619" w:rsidRPr="007122AB" w:rsidRDefault="00623619" w:rsidP="007122AB">
      <w:pPr>
        <w:pStyle w:val="ae"/>
        <w:spacing w:before="0" w:after="0"/>
        <w:jc w:val="both"/>
        <w:rPr>
          <w:color w:val="000000" w:themeColor="text1"/>
          <w:sz w:val="16"/>
          <w:szCs w:val="16"/>
        </w:rPr>
      </w:pPr>
      <w:r w:rsidRPr="007122AB">
        <w:rPr>
          <w:rStyle w:val="af0"/>
          <w:i w:val="0"/>
          <w:color w:val="000000" w:themeColor="text1"/>
          <w:sz w:val="16"/>
          <w:szCs w:val="16"/>
        </w:rPr>
        <w:t>АВП РФ. Ф.056. On. 16.П.34.Д. 14. Л. 4-5. Машинописная копня того времени. Гриф секретности машинописью. Исходящий номер вписан от руки. На Л. 5 внизу слева делопроизводственная помета машинописью (столбцом) «А экз. 1 — тов. Баркову, 1 — тов. Литвинову, 1 — тов. Крестинскому, 1 — в дело» (18826).</w:t>
      </w:r>
    </w:p>
    <w:p w14:paraId="6D55BDDC" w14:textId="77777777" w:rsidR="00623619" w:rsidRPr="007122AB" w:rsidRDefault="00623619" w:rsidP="007122AB">
      <w:pPr>
        <w:spacing w:after="0" w:line="240" w:lineRule="auto"/>
        <w:jc w:val="both"/>
        <w:rPr>
          <w:rFonts w:ascii="Times New Roman" w:hAnsi="Times New Roman"/>
          <w:color w:val="000000" w:themeColor="text1"/>
          <w:sz w:val="16"/>
          <w:szCs w:val="16"/>
        </w:rPr>
      </w:pPr>
    </w:p>
    <w:p w14:paraId="3F5907C5" w14:textId="77777777" w:rsidR="0062593B" w:rsidRPr="007122AB" w:rsidRDefault="0062593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58BF0C6" w14:textId="77777777" w:rsidR="0062593B" w:rsidRPr="007122AB" w:rsidRDefault="0062593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0AED53"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января 1931 итальянский генерал </w:t>
      </w:r>
      <w:proofErr w:type="spellStart"/>
      <w:r w:rsidRPr="007122AB">
        <w:rPr>
          <w:rFonts w:ascii="Times New Roman" w:hAnsi="Times New Roman"/>
          <w:color w:val="000000" w:themeColor="text1"/>
          <w:sz w:val="16"/>
          <w:szCs w:val="16"/>
        </w:rPr>
        <w:t>Итало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Бальбо</w:t>
      </w:r>
      <w:proofErr w:type="spellEnd"/>
      <w:r w:rsidRPr="007122AB">
        <w:rPr>
          <w:rFonts w:ascii="Times New Roman" w:hAnsi="Times New Roman"/>
          <w:color w:val="000000" w:themeColor="text1"/>
          <w:sz w:val="16"/>
          <w:szCs w:val="16"/>
        </w:rPr>
        <w:t xml:space="preserve"> возглавляет первый групповой полет через Южную Атлантику . Двенадцать S.55 </w:t>
      </w:r>
      <w:proofErr w:type="spellStart"/>
      <w:r w:rsidRPr="007122AB">
        <w:rPr>
          <w:rFonts w:ascii="Times New Roman" w:hAnsi="Times New Roman"/>
          <w:color w:val="000000" w:themeColor="text1"/>
          <w:sz w:val="16"/>
          <w:szCs w:val="16"/>
        </w:rPr>
        <w:t>Savoia-Marchetti</w:t>
      </w:r>
      <w:proofErr w:type="spellEnd"/>
      <w:r w:rsidRPr="007122AB">
        <w:rPr>
          <w:rFonts w:ascii="Times New Roman" w:hAnsi="Times New Roman"/>
          <w:color w:val="000000" w:themeColor="text1"/>
          <w:sz w:val="16"/>
          <w:szCs w:val="16"/>
        </w:rPr>
        <w:t xml:space="preserve"> летают из Португальской Гвинеи в Бразилию (20804).</w:t>
      </w:r>
    </w:p>
    <w:p w14:paraId="563F7BDE"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0D61952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3A32F1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5160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января 1931 года самолет МИ3-М17 сделал первые заводские полеты (6918).</w:t>
      </w:r>
    </w:p>
    <w:p w14:paraId="0AEAAAD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82EB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A1579C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EC8E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января 1931 был создан Экспериментальный институт НКТП Гроховского или его прообраз (2166,56).</w:t>
      </w:r>
    </w:p>
    <w:p w14:paraId="6235A0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50ACA2" w14:textId="77777777" w:rsidR="006E48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7FB9B58" w14:textId="77777777" w:rsidR="006E4804" w:rsidRPr="007122AB" w:rsidRDefault="006E48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83464D" w14:textId="77777777" w:rsidR="006E4804" w:rsidRPr="007122AB" w:rsidRDefault="006E4804"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7 января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22. 6. О ходе работ на Сталинградском тракторном заводе (ПБ от 25 декабря 1930 г., пр. № 21, п. 20). (Политбюро... Т. 2. С. 113) (12416).</w:t>
      </w:r>
    </w:p>
    <w:p w14:paraId="292CCED1" w14:textId="77777777" w:rsidR="006E4804" w:rsidRPr="007122AB" w:rsidRDefault="006E4804" w:rsidP="007122AB">
      <w:pPr>
        <w:spacing w:after="0" w:line="240" w:lineRule="auto"/>
        <w:jc w:val="both"/>
        <w:rPr>
          <w:rFonts w:ascii="Times New Roman" w:hAnsi="Times New Roman"/>
          <w:color w:val="000000" w:themeColor="text1"/>
          <w:sz w:val="16"/>
          <w:szCs w:val="16"/>
          <w:u w:color="002060"/>
        </w:rPr>
      </w:pPr>
    </w:p>
    <w:p w14:paraId="3706EF69"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7 января 1931 </w:t>
      </w:r>
      <w:r w:rsidRPr="007122AB">
        <w:rPr>
          <w:rFonts w:ascii="Times New Roman" w:hAnsi="Times New Roman"/>
          <w:color w:val="000000" w:themeColor="text1"/>
          <w:sz w:val="16"/>
          <w:szCs w:val="16"/>
        </w:rPr>
        <w:t>Политбюро ЦК ВКП (б) приняло решение о приступе в 1931 г. к строительству шести заводов синтетического каучука и расширении производства каучука из каучуконосов (12265).</w:t>
      </w:r>
    </w:p>
    <w:p w14:paraId="201B4D90"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w:t>
      </w:r>
    </w:p>
    <w:p w14:paraId="527B4C8D" w14:textId="77777777" w:rsidR="000B4A7D" w:rsidRPr="007122AB" w:rsidRDefault="000B4A7D" w:rsidP="007122AB">
      <w:pPr>
        <w:spacing w:after="0" w:line="240" w:lineRule="auto"/>
        <w:jc w:val="both"/>
        <w:rPr>
          <w:rFonts w:ascii="Times New Roman" w:hAnsi="Times New Roman"/>
          <w:iCs/>
          <w:color w:val="000000" w:themeColor="text1"/>
          <w:sz w:val="16"/>
          <w:szCs w:val="16"/>
        </w:rPr>
      </w:pPr>
      <w:r w:rsidRPr="007122AB">
        <w:rPr>
          <w:rFonts w:ascii="Times New Roman" w:hAnsi="Times New Roman"/>
          <w:color w:val="000000" w:themeColor="text1"/>
          <w:sz w:val="16"/>
          <w:szCs w:val="16"/>
        </w:rPr>
        <w:t>7 января 1931 г. Протокол ПБ № 22 п.27А: О производстве синтетического каучука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Максимов, Микоян; ПБ от 25-12-1930, протокол № 21, п.12-а). Решено: а) 1. Приступить в 1931 г. к строительству шести заводов синтетического каучука по спиртовому методу с годовой производительностью 10.000 тонн каждый. 2. Признать целесообразным организацию треста синтетического каучука для непосредственного руководства проектированием строительства, оборудованием и пуском заводов. 3. Поручить СТО немедленно принять меры к созданию сырьевой базы для заводов синтетического каучука. 4. Все остальные вопросы, связанные с производством синтетического каучука, передать на рассмотрение в советском порядке (15869).</w:t>
      </w:r>
    </w:p>
    <w:p w14:paraId="5F34A2C0" w14:textId="77777777" w:rsidR="000B4A7D" w:rsidRPr="007122AB" w:rsidRDefault="000B4A7D" w:rsidP="007122AB">
      <w:pPr>
        <w:spacing w:after="0" w:line="240" w:lineRule="auto"/>
        <w:jc w:val="both"/>
        <w:rPr>
          <w:rFonts w:ascii="Times New Roman" w:hAnsi="Times New Roman"/>
          <w:iCs/>
          <w:color w:val="000000" w:themeColor="text1"/>
          <w:sz w:val="16"/>
          <w:szCs w:val="16"/>
        </w:rPr>
      </w:pPr>
    </w:p>
    <w:p w14:paraId="01547E50"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Протокол заседания Политбюро #22, 1931 г.</w:t>
      </w:r>
    </w:p>
    <w:p w14:paraId="217E7F62"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Постановление ЦК по натуральному каучуку</w:t>
      </w:r>
    </w:p>
    <w:p w14:paraId="0CE98E8C"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конкурентоспособными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 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гваюла).</w:t>
      </w:r>
    </w:p>
    <w:p w14:paraId="770E5BD2"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2. Расширить производимую в данный момент организацию плантаций по тау-сагызу с тем, чтобы в течение 3-4 лет довести их площади минимум до 60-70 тыс. гектар с выходом сырья в 1935 году для 40-45 тыс. тонн каучука. 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w:t>
      </w:r>
    </w:p>
    <w:p w14:paraId="7CE5905E"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3. Организовать производство по добыче каучука из кендыря с полной утилизацией его листьев, что должно привести к производству до 10 000 тонн каучука.</w:t>
      </w:r>
    </w:p>
    <w:p w14:paraId="0DE05F29"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4. Создать плантации по гваюле в тот же срок (3-4 года) в пределах 20 000-25 000 гектаров,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гваюлы.</w:t>
      </w:r>
    </w:p>
    <w:p w14:paraId="73AF68DB"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5. Форсировать создание плантаций гуттаперчевого дерева с тем, чтобы в течение 5-летнего срока довести количество растений до 200 000 штук...</w:t>
      </w:r>
    </w:p>
    <w:p w14:paraId="2B5685E8"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7. Вследствие того, что флора СССР на </w:t>
      </w:r>
      <w:proofErr w:type="spellStart"/>
      <w:r w:rsidRPr="007122AB">
        <w:rPr>
          <w:rFonts w:ascii="Times New Roman" w:hAnsi="Times New Roman"/>
          <w:color w:val="000000" w:themeColor="text1"/>
          <w:sz w:val="16"/>
          <w:szCs w:val="16"/>
          <w:shd w:val="clear" w:color="auto" w:fill="FFFFFF"/>
        </w:rPr>
        <w:t>каучуконосность</w:t>
      </w:r>
      <w:proofErr w:type="spellEnd"/>
      <w:r w:rsidRPr="007122AB">
        <w:rPr>
          <w:rFonts w:ascii="Times New Roman" w:hAnsi="Times New Roman"/>
          <w:color w:val="000000" w:themeColor="text1"/>
          <w:sz w:val="16"/>
          <w:szCs w:val="16"/>
          <w:shd w:val="clear" w:color="auto" w:fill="FFFFFF"/>
        </w:rPr>
        <w:t xml:space="preserve"> не изучена, что при ее исследовании возможны новые обнаружения эффективных каучуконосов, признать необходимым проведение в 1931-1932 гг. изучения растительности Союза...</w:t>
      </w:r>
    </w:p>
    <w:p w14:paraId="315BE1EF"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w:t>
      </w:r>
      <w:r w:rsidRPr="007122AB">
        <w:rPr>
          <w:rFonts w:ascii="Times New Roman" w:hAnsi="Times New Roman"/>
          <w:color w:val="000000" w:themeColor="text1"/>
          <w:sz w:val="16"/>
          <w:szCs w:val="16"/>
        </w:rPr>
        <w:t>(19549).</w:t>
      </w:r>
    </w:p>
    <w:p w14:paraId="2CF760B2" w14:textId="77777777" w:rsidR="007E5934" w:rsidRPr="007122AB" w:rsidRDefault="007E5934" w:rsidP="007122AB">
      <w:pPr>
        <w:spacing w:after="0" w:line="240" w:lineRule="auto"/>
        <w:jc w:val="both"/>
        <w:rPr>
          <w:rFonts w:ascii="Times New Roman" w:hAnsi="Times New Roman"/>
          <w:iCs/>
          <w:color w:val="000000" w:themeColor="text1"/>
          <w:sz w:val="16"/>
          <w:szCs w:val="16"/>
        </w:rPr>
      </w:pPr>
    </w:p>
    <w:p w14:paraId="29456275"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января 1931</w:t>
      </w:r>
    </w:p>
    <w:p w14:paraId="65DEFB84"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27: О производстве каучука</w:t>
      </w:r>
    </w:p>
    <w:p w14:paraId="3663EF10"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синтетического</w:t>
      </w:r>
    </w:p>
    <w:p w14:paraId="32D7192C"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25.ХII.30 г., пр. № 21, п. 12-а).</w:t>
      </w:r>
    </w:p>
    <w:p w14:paraId="00ED7718"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Максимов, Микоян).</w:t>
      </w:r>
    </w:p>
    <w:p w14:paraId="30FE797C"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растительного</w:t>
      </w:r>
    </w:p>
    <w:p w14:paraId="2D875281"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25.ХII.30 г., пр. № 21, п. 12-б).</w:t>
      </w:r>
    </w:p>
    <w:p w14:paraId="3B74F6A4"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(Ворошилов, </w:t>
      </w:r>
      <w:proofErr w:type="spellStart"/>
      <w:r w:rsidRPr="007122AB">
        <w:rPr>
          <w:rFonts w:ascii="Times New Roman" w:hAnsi="Times New Roman"/>
          <w:color w:val="000000" w:themeColor="text1"/>
          <w:sz w:val="16"/>
          <w:szCs w:val="16"/>
        </w:rPr>
        <w:t>Макагон</w:t>
      </w:r>
      <w:proofErr w:type="spellEnd"/>
      <w:r w:rsidRPr="007122AB">
        <w:rPr>
          <w:rFonts w:ascii="Times New Roman" w:hAnsi="Times New Roman"/>
          <w:color w:val="000000" w:themeColor="text1"/>
          <w:sz w:val="16"/>
          <w:szCs w:val="16"/>
        </w:rPr>
        <w:t>, Яковлев).</w:t>
      </w:r>
    </w:p>
    <w:p w14:paraId="1126D69F"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1. Приступить в 1931 году к строительству 6</w:t>
      </w:r>
      <w:r w:rsidRPr="007122AB">
        <w:rPr>
          <w:rFonts w:ascii="Times New Roman" w:hAnsi="Times New Roman"/>
          <w:color w:val="000000" w:themeColor="text1"/>
          <w:sz w:val="16"/>
          <w:szCs w:val="16"/>
        </w:rPr>
        <w:noBreakHyphen/>
        <w:t>ти заводов синтетического каучука по спиртовому методу с годовой производительностью 10.000 тонн каждый.</w:t>
      </w:r>
    </w:p>
    <w:p w14:paraId="1A045640"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Признать целесообразным организацию треста синтетического каучука для непосредственного руководства проектированием строительства, оборудованием и пуском заводов.</w:t>
      </w:r>
    </w:p>
    <w:p w14:paraId="336D897A"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Поручить СТО немедленно принять меры к созданию сырьевой базы для заводов синтетического каучука.</w:t>
      </w:r>
    </w:p>
    <w:p w14:paraId="0C3FD7F4"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Все остальные вопросы, связанные с производством синтетического каучука, передать на рассмотрение в советском порядке.</w:t>
      </w:r>
    </w:p>
    <w:p w14:paraId="084C5BD3"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Утвердить представленный комиссией проект постановления по натуральному каучуку (</w:t>
      </w:r>
      <w:hyperlink r:id="rId6" w:history="1">
        <w:r w:rsidRPr="007122AB">
          <w:rPr>
            <w:rStyle w:val="a5"/>
            <w:rFonts w:ascii="Times New Roman" w:hAnsi="Times New Roman"/>
            <w:color w:val="000000" w:themeColor="text1"/>
            <w:sz w:val="16"/>
            <w:szCs w:val="16"/>
          </w:rPr>
          <w:t>см. приложение № 1</w:t>
        </w:r>
      </w:hyperlink>
      <w:r w:rsidRPr="007122AB">
        <w:rPr>
          <w:rFonts w:ascii="Times New Roman" w:hAnsi="Times New Roman"/>
          <w:color w:val="000000" w:themeColor="text1"/>
          <w:sz w:val="16"/>
          <w:szCs w:val="16"/>
        </w:rPr>
        <w:t>).</w:t>
      </w:r>
    </w:p>
    <w:p w14:paraId="746B5942"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1</w:t>
      </w:r>
    </w:p>
    <w:p w14:paraId="554C2E3D"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27, пр. ПБ № 22.</w:t>
      </w:r>
    </w:p>
    <w:p w14:paraId="6696BE56"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ЦК по натуральному каучуку.</w:t>
      </w:r>
    </w:p>
    <w:p w14:paraId="4010E3D3"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(Утверждено Политбюро ЦК ВКП(б) 7 января 1931 г.)</w:t>
      </w:r>
    </w:p>
    <w:p w14:paraId="6300F5C9"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конкурентно 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w:t>
      </w:r>
    </w:p>
    <w:p w14:paraId="36E1FB95"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w:t>
      </w:r>
      <w:proofErr w:type="spellStart"/>
      <w:r w:rsidRPr="007122AB">
        <w:rPr>
          <w:rFonts w:ascii="Times New Roman" w:hAnsi="Times New Roman"/>
          <w:color w:val="000000" w:themeColor="text1"/>
          <w:sz w:val="16"/>
          <w:szCs w:val="16"/>
        </w:rPr>
        <w:t>гвайюлла</w:t>
      </w:r>
      <w:proofErr w:type="spellEnd"/>
      <w:r w:rsidRPr="007122AB">
        <w:rPr>
          <w:rFonts w:ascii="Times New Roman" w:hAnsi="Times New Roman"/>
          <w:color w:val="000000" w:themeColor="text1"/>
          <w:sz w:val="16"/>
          <w:szCs w:val="16"/>
        </w:rPr>
        <w:t>).</w:t>
      </w:r>
    </w:p>
    <w:p w14:paraId="167D5B9F"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Расширить проводимую в данный момент организацию плантаций по тау-сагызу с тем, чтобы в течение 3</w:t>
      </w:r>
      <w:r w:rsidRPr="007122AB">
        <w:rPr>
          <w:rFonts w:ascii="Times New Roman" w:hAnsi="Times New Roman"/>
          <w:color w:val="000000" w:themeColor="text1"/>
          <w:sz w:val="16"/>
          <w:szCs w:val="16"/>
        </w:rPr>
        <w:noBreakHyphen/>
        <w:t>4 лет довести их площади минимум до 60</w:t>
      </w:r>
      <w:r w:rsidRPr="007122AB">
        <w:rPr>
          <w:rFonts w:ascii="Times New Roman" w:hAnsi="Times New Roman"/>
          <w:color w:val="000000" w:themeColor="text1"/>
          <w:sz w:val="16"/>
          <w:szCs w:val="16"/>
        </w:rPr>
        <w:noBreakHyphen/>
        <w:t>70 тыс. гектар с выходом сырья в 1935 году для 40</w:t>
      </w:r>
      <w:r w:rsidRPr="007122AB">
        <w:rPr>
          <w:rFonts w:ascii="Times New Roman" w:hAnsi="Times New Roman"/>
          <w:color w:val="000000" w:themeColor="text1"/>
          <w:sz w:val="16"/>
          <w:szCs w:val="16"/>
        </w:rPr>
        <w:noBreakHyphen/>
        <w:t>45 тыс. тонн каучука.</w:t>
      </w:r>
    </w:p>
    <w:p w14:paraId="6230AA17"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w:t>
      </w:r>
    </w:p>
    <w:p w14:paraId="7FFA318F"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Организовать производство по добыче каучука из кендыря с полной утилизацией его листьев, как отходов от производства </w:t>
      </w:r>
      <w:proofErr w:type="spellStart"/>
      <w:r w:rsidRPr="007122AB">
        <w:rPr>
          <w:rFonts w:ascii="Times New Roman" w:hAnsi="Times New Roman"/>
          <w:color w:val="000000" w:themeColor="text1"/>
          <w:sz w:val="16"/>
          <w:szCs w:val="16"/>
        </w:rPr>
        <w:t>Новлубтреста</w:t>
      </w:r>
      <w:proofErr w:type="spellEnd"/>
      <w:r w:rsidRPr="007122AB">
        <w:rPr>
          <w:rFonts w:ascii="Times New Roman" w:hAnsi="Times New Roman"/>
          <w:color w:val="000000" w:themeColor="text1"/>
          <w:sz w:val="16"/>
          <w:szCs w:val="16"/>
        </w:rPr>
        <w:t>, что должно привести к получению, при полном освоении площадей, до 10.000 тонн каучука. НКЗ СССР обеспечить выполнение постановления П.Б. о доведении площадей кендыря в 1933 году до 300.000 гектар с тем, чтобы запроектированные на 1931 г. 40.000 га были бы полностью осуществлены. Поручить СНК обеспечить это мероприятие необходимыми денежными средствами.</w:t>
      </w:r>
    </w:p>
    <w:p w14:paraId="3C4C28CB"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Создать плантации по </w:t>
      </w:r>
      <w:proofErr w:type="spellStart"/>
      <w:r w:rsidRPr="007122AB">
        <w:rPr>
          <w:rFonts w:ascii="Times New Roman" w:hAnsi="Times New Roman"/>
          <w:color w:val="000000" w:themeColor="text1"/>
          <w:sz w:val="16"/>
          <w:szCs w:val="16"/>
        </w:rPr>
        <w:t>гвайюлле</w:t>
      </w:r>
      <w:proofErr w:type="spellEnd"/>
      <w:r w:rsidRPr="007122AB">
        <w:rPr>
          <w:rFonts w:ascii="Times New Roman" w:hAnsi="Times New Roman"/>
          <w:color w:val="000000" w:themeColor="text1"/>
          <w:sz w:val="16"/>
          <w:szCs w:val="16"/>
        </w:rPr>
        <w:t xml:space="preserve"> в тот же срок (3</w:t>
      </w:r>
      <w:r w:rsidRPr="007122AB">
        <w:rPr>
          <w:rFonts w:ascii="Times New Roman" w:hAnsi="Times New Roman"/>
          <w:color w:val="000000" w:themeColor="text1"/>
          <w:sz w:val="16"/>
          <w:szCs w:val="16"/>
        </w:rPr>
        <w:noBreakHyphen/>
        <w:t>4 года) в пределах 20</w:t>
      </w:r>
      <w:r w:rsidRPr="007122AB">
        <w:rPr>
          <w:rFonts w:ascii="Times New Roman" w:hAnsi="Times New Roman"/>
          <w:color w:val="000000" w:themeColor="text1"/>
          <w:sz w:val="16"/>
          <w:szCs w:val="16"/>
        </w:rPr>
        <w:noBreakHyphen/>
        <w:t xml:space="preserve">25.000 гектар, для чего провести в течение 1931 года все необходимые изыскательные работы, обеспечивающие по климатическим и прочим условиям успешное культивирование </w:t>
      </w:r>
      <w:proofErr w:type="spellStart"/>
      <w:r w:rsidRPr="007122AB">
        <w:rPr>
          <w:rFonts w:ascii="Times New Roman" w:hAnsi="Times New Roman"/>
          <w:color w:val="000000" w:themeColor="text1"/>
          <w:sz w:val="16"/>
          <w:szCs w:val="16"/>
        </w:rPr>
        <w:t>гвайюллы</w:t>
      </w:r>
      <w:proofErr w:type="spellEnd"/>
      <w:r w:rsidRPr="007122AB">
        <w:rPr>
          <w:rFonts w:ascii="Times New Roman" w:hAnsi="Times New Roman"/>
          <w:color w:val="000000" w:themeColor="text1"/>
          <w:sz w:val="16"/>
          <w:szCs w:val="16"/>
        </w:rPr>
        <w:t xml:space="preserve"> с тем, чтобы в 1931 г. было освоено не менее 1.500 га.</w:t>
      </w:r>
    </w:p>
    <w:p w14:paraId="50C5D8AC"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Форсировать создание плантаций гуттаперчевого дерева — “</w:t>
      </w:r>
      <w:proofErr w:type="spellStart"/>
      <w:r w:rsidRPr="007122AB">
        <w:rPr>
          <w:rFonts w:ascii="Times New Roman" w:hAnsi="Times New Roman"/>
          <w:color w:val="000000" w:themeColor="text1"/>
          <w:sz w:val="16"/>
          <w:szCs w:val="16"/>
        </w:rPr>
        <w:t>эйкомии</w:t>
      </w:r>
      <w:proofErr w:type="spellEnd"/>
      <w:r w:rsidRPr="007122AB">
        <w:rPr>
          <w:rFonts w:ascii="Times New Roman" w:hAnsi="Times New Roman"/>
          <w:color w:val="000000" w:themeColor="text1"/>
          <w:sz w:val="16"/>
          <w:szCs w:val="16"/>
        </w:rPr>
        <w:t>” с тем, чтобы в течение 5</w:t>
      </w:r>
      <w:r w:rsidRPr="007122AB">
        <w:rPr>
          <w:rFonts w:ascii="Times New Roman" w:hAnsi="Times New Roman"/>
          <w:color w:val="000000" w:themeColor="text1"/>
          <w:sz w:val="16"/>
          <w:szCs w:val="16"/>
        </w:rPr>
        <w:noBreakHyphen/>
        <w:t>летнего срока довести количество растений до 200.000 штук.</w:t>
      </w:r>
    </w:p>
    <w:p w14:paraId="51163206"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Продолжать научно-исследовательскую и опытную работу по хондрилле и ваточникам, обеспечив полузаводские эксперименты достаточными плантационными площадями. Расширение плантационного хозяйства производить в дальнейшем в зависимости от результатов опытных работ,</w:t>
      </w:r>
    </w:p>
    <w:p w14:paraId="5B89ED77"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Вследствие того, что флора СССР на </w:t>
      </w:r>
      <w:proofErr w:type="spellStart"/>
      <w:r w:rsidRPr="007122AB">
        <w:rPr>
          <w:rFonts w:ascii="Times New Roman" w:hAnsi="Times New Roman"/>
          <w:color w:val="000000" w:themeColor="text1"/>
          <w:sz w:val="16"/>
          <w:szCs w:val="16"/>
        </w:rPr>
        <w:t>каучуконосность</w:t>
      </w:r>
      <w:proofErr w:type="spellEnd"/>
      <w:r w:rsidRPr="007122AB">
        <w:rPr>
          <w:rFonts w:ascii="Times New Roman" w:hAnsi="Times New Roman"/>
          <w:color w:val="000000" w:themeColor="text1"/>
          <w:sz w:val="16"/>
          <w:szCs w:val="16"/>
        </w:rPr>
        <w:t xml:space="preserve"> не изучена, что при ее исследовании возможны новые обнаружения эффективных каучуконосов, признать необходимым проведение в 1931</w:t>
      </w:r>
      <w:r w:rsidRPr="007122AB">
        <w:rPr>
          <w:rFonts w:ascii="Times New Roman" w:hAnsi="Times New Roman"/>
          <w:color w:val="000000" w:themeColor="text1"/>
          <w:sz w:val="16"/>
          <w:szCs w:val="16"/>
        </w:rPr>
        <w:noBreakHyphen/>
        <w:t>1932 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xml:space="preserve">. пересмотра растительности Союза. Для руководства этой работой создать комиссию в составе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Манцева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Макагон</w:t>
      </w:r>
      <w:proofErr w:type="spellEnd"/>
      <w:r w:rsidRPr="007122AB">
        <w:rPr>
          <w:rFonts w:ascii="Times New Roman" w:hAnsi="Times New Roman"/>
          <w:color w:val="000000" w:themeColor="text1"/>
          <w:sz w:val="16"/>
          <w:szCs w:val="16"/>
        </w:rPr>
        <w:t xml:space="preserve"> и Вавилова (академик).</w:t>
      </w:r>
    </w:p>
    <w:p w14:paraId="5567CD8A"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Не позже 1</w:t>
      </w:r>
      <w:r w:rsidRPr="007122AB">
        <w:rPr>
          <w:rFonts w:ascii="Times New Roman" w:hAnsi="Times New Roman"/>
          <w:color w:val="000000" w:themeColor="text1"/>
          <w:sz w:val="16"/>
          <w:szCs w:val="16"/>
        </w:rPr>
        <w:noBreakHyphen/>
        <w:t>го августа 1931 года заслушать на ПБ доклад о ходе выполнения принятых решений.</w:t>
      </w:r>
    </w:p>
    <w:p w14:paraId="0A4502C6"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Одновременно с развитием плантаций обязать Трест “Каучуконос” максимального без ущерба для </w:t>
      </w:r>
      <w:proofErr w:type="spellStart"/>
      <w:r w:rsidRPr="007122AB">
        <w:rPr>
          <w:rFonts w:ascii="Times New Roman" w:hAnsi="Times New Roman"/>
          <w:color w:val="000000" w:themeColor="text1"/>
          <w:sz w:val="16"/>
          <w:szCs w:val="16"/>
        </w:rPr>
        <w:t>каучукпромхозов</w:t>
      </w:r>
      <w:proofErr w:type="spellEnd"/>
      <w:r w:rsidRPr="007122AB">
        <w:rPr>
          <w:rFonts w:ascii="Times New Roman" w:hAnsi="Times New Roman"/>
          <w:color w:val="000000" w:themeColor="text1"/>
          <w:sz w:val="16"/>
          <w:szCs w:val="16"/>
        </w:rPr>
        <w:t>, развить деятельность по производству каучука с тем, чтобы в 1931 г. располагать сырьем для получения 2,5 тыс. тонн каучука и в 1932 г. — 5 тыс. тонн.</w:t>
      </w:r>
    </w:p>
    <w:p w14:paraId="14881F07"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(18322).</w:t>
      </w:r>
    </w:p>
    <w:p w14:paraId="451B12C1" w14:textId="77777777" w:rsidR="007317D2" w:rsidRPr="007122AB" w:rsidRDefault="007317D2" w:rsidP="007122AB">
      <w:pPr>
        <w:spacing w:after="0" w:line="240" w:lineRule="auto"/>
        <w:jc w:val="both"/>
        <w:rPr>
          <w:rFonts w:ascii="Times New Roman" w:hAnsi="Times New Roman"/>
          <w:color w:val="000000" w:themeColor="text1"/>
          <w:sz w:val="16"/>
          <w:szCs w:val="16"/>
        </w:rPr>
      </w:pPr>
    </w:p>
    <w:p w14:paraId="3DC36D12" w14:textId="77777777" w:rsidR="0062593B" w:rsidRPr="007122AB" w:rsidRDefault="0062593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D3C229C" w14:textId="77777777" w:rsidR="0062593B" w:rsidRPr="007122AB" w:rsidRDefault="0062593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18B103"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января 1931 Гай Мензис совершает первый самостоятельный беспосадочный перелет через Тасман (из Австралии в Новую Зеландию ) за 11 часов 45 минут, совершив аварийную посадку на своем </w:t>
      </w:r>
      <w:proofErr w:type="spellStart"/>
      <w:r w:rsidRPr="007122AB">
        <w:rPr>
          <w:rFonts w:ascii="Times New Roman" w:hAnsi="Times New Roman"/>
          <w:color w:val="000000" w:themeColor="text1"/>
          <w:sz w:val="16"/>
          <w:szCs w:val="16"/>
        </w:rPr>
        <w:t>Avro</w:t>
      </w:r>
      <w:proofErr w:type="spellEnd"/>
      <w:r w:rsidRPr="007122AB">
        <w:rPr>
          <w:rFonts w:ascii="Times New Roman" w:hAnsi="Times New Roman"/>
          <w:color w:val="000000" w:themeColor="text1"/>
          <w:sz w:val="16"/>
          <w:szCs w:val="16"/>
        </w:rPr>
        <w:t xml:space="preserve"> Sports </w:t>
      </w:r>
      <w:proofErr w:type="spellStart"/>
      <w:r w:rsidRPr="007122AB">
        <w:rPr>
          <w:rFonts w:ascii="Times New Roman" w:hAnsi="Times New Roman"/>
          <w:color w:val="000000" w:themeColor="text1"/>
          <w:sz w:val="16"/>
          <w:szCs w:val="16"/>
        </w:rPr>
        <w:t>Avian</w:t>
      </w:r>
      <w:proofErr w:type="spellEnd"/>
      <w:r w:rsidRPr="007122AB">
        <w:rPr>
          <w:rFonts w:ascii="Times New Roman" w:hAnsi="Times New Roman"/>
          <w:color w:val="000000" w:themeColor="text1"/>
          <w:sz w:val="16"/>
          <w:szCs w:val="16"/>
        </w:rPr>
        <w:t xml:space="preserve"> на западном побережье Новой Зеландии (20804).</w:t>
      </w:r>
    </w:p>
    <w:p w14:paraId="374BC7B6"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3AAB4D5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8C279D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7C8F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8/11 января 1931 года помощник начальника 1 управления </w:t>
      </w:r>
      <w:proofErr w:type="spellStart"/>
      <w:r w:rsidRPr="007122AB">
        <w:rPr>
          <w:rFonts w:ascii="Times New Roman" w:hAnsi="Times New Roman"/>
          <w:color w:val="000000" w:themeColor="text1"/>
          <w:sz w:val="16"/>
          <w:szCs w:val="16"/>
        </w:rPr>
        <w:t>Хрипин</w:t>
      </w:r>
      <w:proofErr w:type="spellEnd"/>
      <w:r w:rsidRPr="007122AB">
        <w:rPr>
          <w:rFonts w:ascii="Times New Roman" w:hAnsi="Times New Roman"/>
          <w:color w:val="000000" w:themeColor="text1"/>
          <w:sz w:val="16"/>
          <w:szCs w:val="16"/>
        </w:rPr>
        <w:t xml:space="preserve"> писал письмо N У1/20с начальнику ВВС Черного моря.</w:t>
      </w:r>
    </w:p>
    <w:p w14:paraId="34A97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года в Севастополь поступят на государственные испытания нижеследующие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5"/>
        <w:gridCol w:w="925"/>
        <w:gridCol w:w="925"/>
        <w:gridCol w:w="1336"/>
        <w:gridCol w:w="848"/>
        <w:gridCol w:w="3689"/>
      </w:tblGrid>
      <w:tr w:rsidR="00EA061A" w:rsidRPr="007122AB" w14:paraId="198A5F84" w14:textId="77777777">
        <w:tc>
          <w:tcPr>
            <w:tcW w:w="1951" w:type="dxa"/>
          </w:tcPr>
          <w:p w14:paraId="63DE4E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925" w:type="dxa"/>
          </w:tcPr>
          <w:p w14:paraId="628904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габариты в метрах</w:t>
            </w:r>
          </w:p>
        </w:tc>
        <w:tc>
          <w:tcPr>
            <w:tcW w:w="925" w:type="dxa"/>
          </w:tcPr>
          <w:p w14:paraId="3D71D1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2856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625E81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Прибытие в</w:t>
            </w:r>
          </w:p>
        </w:tc>
        <w:tc>
          <w:tcPr>
            <w:tcW w:w="848" w:type="dxa"/>
          </w:tcPr>
          <w:p w14:paraId="5EAC4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Приблизительн</w:t>
            </w:r>
            <w:proofErr w:type="spellEnd"/>
            <w:r w:rsidRPr="007122AB">
              <w:rPr>
                <w:rFonts w:ascii="Times New Roman" w:hAnsi="Times New Roman"/>
                <w:color w:val="000000" w:themeColor="text1"/>
                <w:sz w:val="16"/>
                <w:szCs w:val="16"/>
              </w:rPr>
              <w:t>.</w:t>
            </w:r>
          </w:p>
        </w:tc>
        <w:tc>
          <w:tcPr>
            <w:tcW w:w="3689" w:type="dxa"/>
          </w:tcPr>
          <w:p w14:paraId="12A68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Кол-во</w:t>
            </w:r>
          </w:p>
        </w:tc>
      </w:tr>
      <w:tr w:rsidR="00EA061A" w:rsidRPr="007122AB" w14:paraId="62CD2469" w14:textId="77777777">
        <w:tc>
          <w:tcPr>
            <w:tcW w:w="1951" w:type="dxa"/>
          </w:tcPr>
          <w:p w14:paraId="6C7F0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w:t>
            </w:r>
          </w:p>
        </w:tc>
        <w:tc>
          <w:tcPr>
            <w:tcW w:w="925" w:type="dxa"/>
          </w:tcPr>
          <w:p w14:paraId="5F3B7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w:t>
            </w:r>
          </w:p>
        </w:tc>
        <w:tc>
          <w:tcPr>
            <w:tcW w:w="925" w:type="dxa"/>
          </w:tcPr>
          <w:p w14:paraId="0653D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w:t>
            </w:r>
          </w:p>
        </w:tc>
        <w:tc>
          <w:tcPr>
            <w:tcW w:w="925" w:type="dxa"/>
          </w:tcPr>
          <w:p w14:paraId="5A8ED8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w:t>
            </w:r>
          </w:p>
        </w:tc>
        <w:tc>
          <w:tcPr>
            <w:tcW w:w="1336" w:type="dxa"/>
          </w:tcPr>
          <w:p w14:paraId="351BB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Севастополь</w:t>
            </w:r>
          </w:p>
        </w:tc>
        <w:tc>
          <w:tcPr>
            <w:tcW w:w="848" w:type="dxa"/>
          </w:tcPr>
          <w:p w14:paraId="03D32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срок </w:t>
            </w:r>
            <w:proofErr w:type="spellStart"/>
            <w:r w:rsidRPr="007122AB">
              <w:rPr>
                <w:rFonts w:ascii="Times New Roman" w:hAnsi="Times New Roman"/>
                <w:color w:val="000000" w:themeColor="text1"/>
                <w:sz w:val="16"/>
                <w:szCs w:val="16"/>
              </w:rPr>
              <w:t>окончан</w:t>
            </w:r>
            <w:proofErr w:type="spellEnd"/>
            <w:r w:rsidRPr="007122AB">
              <w:rPr>
                <w:rFonts w:ascii="Times New Roman" w:hAnsi="Times New Roman"/>
                <w:color w:val="000000" w:themeColor="text1"/>
                <w:sz w:val="16"/>
                <w:szCs w:val="16"/>
              </w:rPr>
              <w:t>.</w:t>
            </w:r>
          </w:p>
        </w:tc>
        <w:tc>
          <w:tcPr>
            <w:tcW w:w="3689" w:type="dxa"/>
          </w:tcPr>
          <w:p w14:paraId="55C0DC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полетн</w:t>
            </w:r>
            <w:proofErr w:type="spellEnd"/>
            <w:r w:rsidRPr="007122AB">
              <w:rPr>
                <w:rFonts w:ascii="Times New Roman" w:hAnsi="Times New Roman"/>
                <w:color w:val="000000" w:themeColor="text1"/>
                <w:sz w:val="16"/>
                <w:szCs w:val="16"/>
              </w:rPr>
              <w:t>.</w:t>
            </w:r>
          </w:p>
        </w:tc>
      </w:tr>
      <w:tr w:rsidR="00EA061A" w:rsidRPr="007122AB" w14:paraId="340FD58D" w14:textId="77777777">
        <w:tc>
          <w:tcPr>
            <w:tcW w:w="1951" w:type="dxa"/>
          </w:tcPr>
          <w:p w14:paraId="72FAC8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9F285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7ECA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CCBE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54766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5D4F8A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4F922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часов на</w:t>
            </w:r>
          </w:p>
        </w:tc>
      </w:tr>
      <w:tr w:rsidR="00EA061A" w:rsidRPr="007122AB" w14:paraId="45C00351" w14:textId="77777777">
        <w:tc>
          <w:tcPr>
            <w:tcW w:w="1951" w:type="dxa"/>
          </w:tcPr>
          <w:p w14:paraId="5E805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C4A6F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A9C3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1C61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071DB2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966C8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1726C7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w:t>
            </w:r>
          </w:p>
        </w:tc>
      </w:tr>
      <w:tr w:rsidR="00EA061A" w:rsidRPr="007122AB" w14:paraId="396728F7" w14:textId="77777777">
        <w:tc>
          <w:tcPr>
            <w:tcW w:w="1951" w:type="dxa"/>
          </w:tcPr>
          <w:p w14:paraId="724C0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 с 2 БМВ-6</w:t>
            </w:r>
          </w:p>
        </w:tc>
        <w:tc>
          <w:tcPr>
            <w:tcW w:w="925" w:type="dxa"/>
          </w:tcPr>
          <w:p w14:paraId="6A8473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w:t>
            </w:r>
          </w:p>
        </w:tc>
        <w:tc>
          <w:tcPr>
            <w:tcW w:w="925" w:type="dxa"/>
          </w:tcPr>
          <w:p w14:paraId="76613B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925" w:type="dxa"/>
          </w:tcPr>
          <w:p w14:paraId="0B40B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1336" w:type="dxa"/>
          </w:tcPr>
          <w:p w14:paraId="4D664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31 г.</w:t>
            </w:r>
          </w:p>
        </w:tc>
        <w:tc>
          <w:tcPr>
            <w:tcW w:w="848" w:type="dxa"/>
          </w:tcPr>
          <w:p w14:paraId="683F8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марта</w:t>
            </w:r>
          </w:p>
        </w:tc>
        <w:tc>
          <w:tcPr>
            <w:tcW w:w="3689" w:type="dxa"/>
          </w:tcPr>
          <w:p w14:paraId="682A4A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50-60</w:t>
            </w:r>
          </w:p>
        </w:tc>
      </w:tr>
      <w:tr w:rsidR="00EA061A" w:rsidRPr="007122AB" w14:paraId="7B3562D3" w14:textId="77777777">
        <w:tc>
          <w:tcPr>
            <w:tcW w:w="1951" w:type="dxa"/>
          </w:tcPr>
          <w:p w14:paraId="459B62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 с 2 БМВ-6</w:t>
            </w:r>
          </w:p>
        </w:tc>
        <w:tc>
          <w:tcPr>
            <w:tcW w:w="925" w:type="dxa"/>
          </w:tcPr>
          <w:p w14:paraId="75216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32,4</w:t>
            </w:r>
          </w:p>
        </w:tc>
        <w:tc>
          <w:tcPr>
            <w:tcW w:w="925" w:type="dxa"/>
          </w:tcPr>
          <w:p w14:paraId="1DC18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925" w:type="dxa"/>
          </w:tcPr>
          <w:p w14:paraId="24F9B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w:t>
            </w:r>
          </w:p>
        </w:tc>
        <w:tc>
          <w:tcPr>
            <w:tcW w:w="1336" w:type="dxa"/>
          </w:tcPr>
          <w:p w14:paraId="1C3132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января 31 г.</w:t>
            </w:r>
          </w:p>
        </w:tc>
        <w:tc>
          <w:tcPr>
            <w:tcW w:w="848" w:type="dxa"/>
          </w:tcPr>
          <w:p w14:paraId="26582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марта</w:t>
            </w:r>
          </w:p>
        </w:tc>
        <w:tc>
          <w:tcPr>
            <w:tcW w:w="3689" w:type="dxa"/>
          </w:tcPr>
          <w:p w14:paraId="1F6ED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45-50</w:t>
            </w:r>
          </w:p>
        </w:tc>
      </w:tr>
      <w:tr w:rsidR="00EA061A" w:rsidRPr="007122AB" w14:paraId="3B599E16" w14:textId="77777777">
        <w:tc>
          <w:tcPr>
            <w:tcW w:w="1951" w:type="dxa"/>
          </w:tcPr>
          <w:p w14:paraId="4A1D3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 на поплавках</w:t>
            </w:r>
          </w:p>
        </w:tc>
        <w:tc>
          <w:tcPr>
            <w:tcW w:w="925" w:type="dxa"/>
          </w:tcPr>
          <w:p w14:paraId="5CD06A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834E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636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7AAF17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2A145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6A5433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EA061A" w:rsidRPr="007122AB" w14:paraId="18DF0D0A" w14:textId="77777777">
        <w:tc>
          <w:tcPr>
            <w:tcW w:w="1951" w:type="dxa"/>
          </w:tcPr>
          <w:p w14:paraId="78127D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 БМВ-6</w:t>
            </w:r>
          </w:p>
        </w:tc>
        <w:tc>
          <w:tcPr>
            <w:tcW w:w="925" w:type="dxa"/>
          </w:tcPr>
          <w:p w14:paraId="785D9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28,7</w:t>
            </w:r>
          </w:p>
        </w:tc>
        <w:tc>
          <w:tcPr>
            <w:tcW w:w="925" w:type="dxa"/>
          </w:tcPr>
          <w:p w14:paraId="392F59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925" w:type="dxa"/>
          </w:tcPr>
          <w:p w14:paraId="688297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1336" w:type="dxa"/>
          </w:tcPr>
          <w:p w14:paraId="74FAD4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31 г.</w:t>
            </w:r>
          </w:p>
        </w:tc>
        <w:tc>
          <w:tcPr>
            <w:tcW w:w="848" w:type="dxa"/>
          </w:tcPr>
          <w:p w14:paraId="55C58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апреля</w:t>
            </w:r>
          </w:p>
        </w:tc>
        <w:tc>
          <w:tcPr>
            <w:tcW w:w="3689" w:type="dxa"/>
          </w:tcPr>
          <w:p w14:paraId="167B7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35-40</w:t>
            </w:r>
          </w:p>
        </w:tc>
      </w:tr>
      <w:tr w:rsidR="00EA061A" w:rsidRPr="007122AB" w14:paraId="3C57C989" w14:textId="77777777">
        <w:tc>
          <w:tcPr>
            <w:tcW w:w="1951" w:type="dxa"/>
          </w:tcPr>
          <w:p w14:paraId="4003F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25" w:type="dxa"/>
          </w:tcPr>
          <w:p w14:paraId="72EA2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D38E5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AC19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5EF287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938E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37F13A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130-150</w:t>
            </w:r>
          </w:p>
        </w:tc>
      </w:tr>
    </w:tbl>
    <w:p w14:paraId="0EDB7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будет проводить 2-й отдел НИИ. (2979,2).</w:t>
      </w:r>
    </w:p>
    <w:p w14:paraId="13F90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EC800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2F7908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70C0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января 1931 на Поклонной горе руководство РККА знакомилось с зарубежными образцами боевой и транспортной техники, среди которых </w:t>
      </w:r>
      <w:proofErr w:type="spellStart"/>
      <w:r w:rsidRPr="007122AB">
        <w:rPr>
          <w:rFonts w:ascii="Times New Roman" w:hAnsi="Times New Roman"/>
          <w:color w:val="000000" w:themeColor="text1"/>
          <w:sz w:val="16"/>
          <w:szCs w:val="16"/>
        </w:rPr>
        <w:t>быор</w:t>
      </w:r>
      <w:proofErr w:type="spellEnd"/>
      <w:r w:rsidRPr="007122AB">
        <w:rPr>
          <w:rFonts w:ascii="Times New Roman" w:hAnsi="Times New Roman"/>
          <w:color w:val="000000" w:themeColor="text1"/>
          <w:sz w:val="16"/>
          <w:szCs w:val="16"/>
        </w:rPr>
        <w:t xml:space="preserve"> по крайней мере два мотоцикла повышенной проходимости Триумф-бездорожье и Мотоциклет-вездеход (7690,17).</w:t>
      </w:r>
    </w:p>
    <w:p w14:paraId="2690C5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03A8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января 1931 г. на небольшом подмосковном полигоне возле Поклонной горы было от</w:t>
      </w:r>
      <w:r w:rsidRPr="007122AB">
        <w:rPr>
          <w:rFonts w:ascii="Times New Roman" w:hAnsi="Times New Roman"/>
          <w:color w:val="000000" w:themeColor="text1"/>
          <w:sz w:val="16"/>
          <w:szCs w:val="16"/>
        </w:rPr>
        <w:softHyphen/>
        <w:t>мечено небывалое скопление представителей высшего ко</w:t>
      </w:r>
      <w:r w:rsidRPr="007122AB">
        <w:rPr>
          <w:rFonts w:ascii="Times New Roman" w:hAnsi="Times New Roman"/>
          <w:color w:val="000000" w:themeColor="text1"/>
          <w:sz w:val="16"/>
          <w:szCs w:val="16"/>
        </w:rPr>
        <w:softHyphen/>
        <w:t>мандования РККА и МВО. По личному при</w:t>
      </w:r>
      <w:r w:rsidRPr="007122AB">
        <w:rPr>
          <w:rFonts w:ascii="Times New Roman" w:hAnsi="Times New Roman"/>
          <w:color w:val="000000" w:themeColor="text1"/>
          <w:sz w:val="16"/>
          <w:szCs w:val="16"/>
        </w:rPr>
        <w:softHyphen/>
        <w:t>глашению наркома К. Ворошилова они прибыли сюда для ознакомления с привезенными из-за рубежа в 1930 г. образ</w:t>
      </w:r>
      <w:r w:rsidRPr="007122AB">
        <w:rPr>
          <w:rFonts w:ascii="Times New Roman" w:hAnsi="Times New Roman"/>
          <w:color w:val="000000" w:themeColor="text1"/>
          <w:sz w:val="16"/>
          <w:szCs w:val="16"/>
        </w:rPr>
        <w:softHyphen/>
        <w:t>цами перспективной боевой техники, доставленной усили</w:t>
      </w:r>
      <w:r w:rsidRPr="007122AB">
        <w:rPr>
          <w:rFonts w:ascii="Times New Roman" w:hAnsi="Times New Roman"/>
          <w:color w:val="000000" w:themeColor="text1"/>
          <w:sz w:val="16"/>
          <w:szCs w:val="16"/>
        </w:rPr>
        <w:softHyphen/>
        <w:t>ями «закупочной комиссии».</w:t>
      </w:r>
    </w:p>
    <w:p w14:paraId="76704B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Вниманию прибывших предлагались:</w:t>
      </w:r>
    </w:p>
    <w:p w14:paraId="4D10CE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«Шестиколесные автомобили разных производителей — 8 шт.;</w:t>
      </w:r>
    </w:p>
    <w:p w14:paraId="18D86F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Нормальные автомобили — 2 шт.;</w:t>
      </w:r>
    </w:p>
    <w:p w14:paraId="4226FE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Специальный автомобиль «Ситроен» — 1 шт.;</w:t>
      </w:r>
    </w:p>
    <w:p w14:paraId="6D0DF5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Мотоциклы — 3 шт.;</w:t>
      </w:r>
    </w:p>
    <w:p w14:paraId="4B7EED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6-тонный танки — 2 шт.;</w:t>
      </w:r>
    </w:p>
    <w:p w14:paraId="5F7207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12-тонный танк — 1 шт.;</w:t>
      </w:r>
    </w:p>
    <w:p w14:paraId="3496B6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Тракторы — 3 шт.;</w:t>
      </w:r>
    </w:p>
    <w:p w14:paraId="14D226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Забронированная легковая машина «Форд» — 1 шт.</w:t>
      </w:r>
    </w:p>
    <w:p w14:paraId="5D17FA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 21 машина».</w:t>
      </w:r>
    </w:p>
    <w:p w14:paraId="7BF422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то что планировалось начать мероприятие в 10 часов утра, из-за сильного мороза показ заморских ди</w:t>
      </w:r>
      <w:r w:rsidRPr="007122AB">
        <w:rPr>
          <w:rFonts w:ascii="Times New Roman" w:hAnsi="Times New Roman"/>
          <w:color w:val="000000" w:themeColor="text1"/>
          <w:sz w:val="16"/>
          <w:szCs w:val="16"/>
        </w:rPr>
        <w:softHyphen/>
        <w:t>ковин был задержан. Только после полудня, переговарива</w:t>
      </w:r>
      <w:r w:rsidRPr="007122AB">
        <w:rPr>
          <w:rFonts w:ascii="Times New Roman" w:hAnsi="Times New Roman"/>
          <w:color w:val="000000" w:themeColor="text1"/>
          <w:sz w:val="16"/>
          <w:szCs w:val="16"/>
        </w:rPr>
        <w:softHyphen/>
        <w:t>ясь о чем-то своем, военные выбрались из теплого помеще</w:t>
      </w:r>
      <w:r w:rsidRPr="007122AB">
        <w:rPr>
          <w:rFonts w:ascii="Times New Roman" w:hAnsi="Times New Roman"/>
          <w:color w:val="000000" w:themeColor="text1"/>
          <w:sz w:val="16"/>
          <w:szCs w:val="16"/>
        </w:rPr>
        <w:softHyphen/>
        <w:t>ния и проследовали вдоль строя боевых машин, вполуха слушая С. Гинзбурга, кратко рассказывавшего об особен</w:t>
      </w:r>
      <w:r w:rsidRPr="007122AB">
        <w:rPr>
          <w:rFonts w:ascii="Times New Roman" w:hAnsi="Times New Roman"/>
          <w:color w:val="000000" w:themeColor="text1"/>
          <w:sz w:val="16"/>
          <w:szCs w:val="16"/>
        </w:rPr>
        <w:softHyphen/>
        <w:t>ностях того или иного образца. Из вежливости они осмот</w:t>
      </w:r>
      <w:r w:rsidRPr="007122AB">
        <w:rPr>
          <w:rFonts w:ascii="Times New Roman" w:hAnsi="Times New Roman"/>
          <w:color w:val="000000" w:themeColor="text1"/>
          <w:sz w:val="16"/>
          <w:szCs w:val="16"/>
        </w:rPr>
        <w:softHyphen/>
        <w:t>рели все экспонаты, но ни один из представленных образцов не вызвал их особого интереса. Ничем не привлекли их сначала и небольшие двухбашенные танки, купленные у фирмы «Виккерс». После экскурсии военные заняли свои места на смотровой площадке, водители сели за рычаги и по команде Ворошилова запустили двигатели. Первыми выступали многоосные грузовики и забронированный «Форд». Они неуклюже покрутились на заснеженной целине и один за другим скрылись за ограждением. Но вот на трассу, вздымая столбы ной пыли, выскочил небольшой танк. Он прытко про</w:t>
      </w:r>
      <w:r w:rsidRPr="007122AB">
        <w:rPr>
          <w:rFonts w:ascii="Times New Roman" w:hAnsi="Times New Roman"/>
          <w:color w:val="000000" w:themeColor="text1"/>
          <w:sz w:val="16"/>
          <w:szCs w:val="16"/>
        </w:rPr>
        <w:softHyphen/>
        <w:t xml:space="preserve">ся мимо смотровой площадки, затем развернулся, перепрыгнул через окоп; немного замешкавшись, свалил довольно толстую сосну, порвал забор из колючей проволоки и, развернувшись почти на месте, рванул к финишу напрямик через кустарник, густо обсыпанный снегом. Что тут началось! Восторгам военных, казалось, не будет конца. Этот маленький, но чрезвычайно прыткий танк покорил их сердца. Тут же </w:t>
      </w:r>
      <w:proofErr w:type="spellStart"/>
      <w:r w:rsidRPr="007122AB">
        <w:rPr>
          <w:rFonts w:ascii="Times New Roman" w:hAnsi="Times New Roman"/>
          <w:color w:val="000000" w:themeColor="text1"/>
          <w:sz w:val="16"/>
          <w:szCs w:val="16"/>
        </w:rPr>
        <w:t>отстановили</w:t>
      </w:r>
      <w:proofErr w:type="spellEnd"/>
      <w:r w:rsidRPr="007122AB">
        <w:rPr>
          <w:rFonts w:ascii="Times New Roman" w:hAnsi="Times New Roman"/>
          <w:color w:val="000000" w:themeColor="text1"/>
          <w:sz w:val="16"/>
          <w:szCs w:val="16"/>
        </w:rPr>
        <w:t xml:space="preserve"> дальнейший показ, потребовав повторить заезд и выпустить на трассу второй танк...Это и стало как бы последним ак</w:t>
      </w:r>
      <w:r w:rsidRPr="007122AB">
        <w:rPr>
          <w:rFonts w:ascii="Times New Roman" w:hAnsi="Times New Roman"/>
          <w:color w:val="000000" w:themeColor="text1"/>
          <w:sz w:val="16"/>
          <w:szCs w:val="16"/>
        </w:rPr>
        <w:softHyphen/>
        <w:t>кордом, итогом полигонных испытаний танков В-26 (та</w:t>
      </w:r>
      <w:r w:rsidRPr="007122AB">
        <w:rPr>
          <w:rFonts w:ascii="Times New Roman" w:hAnsi="Times New Roman"/>
          <w:color w:val="000000" w:themeColor="text1"/>
          <w:sz w:val="16"/>
          <w:szCs w:val="16"/>
        </w:rPr>
        <w:softHyphen/>
        <w:t>кой индекс получили британские «</w:t>
      </w:r>
      <w:proofErr w:type="spellStart"/>
      <w:r w:rsidRPr="007122AB">
        <w:rPr>
          <w:rFonts w:ascii="Times New Roman" w:hAnsi="Times New Roman"/>
          <w:color w:val="000000" w:themeColor="text1"/>
          <w:sz w:val="16"/>
          <w:szCs w:val="16"/>
        </w:rPr>
        <w:t>шеститонники</w:t>
      </w:r>
      <w:proofErr w:type="spellEnd"/>
      <w:r w:rsidRPr="007122AB">
        <w:rPr>
          <w:rFonts w:ascii="Times New Roman" w:hAnsi="Times New Roman"/>
          <w:color w:val="000000" w:themeColor="text1"/>
          <w:sz w:val="16"/>
          <w:szCs w:val="16"/>
        </w:rPr>
        <w:t>» в СССР). Испытания проводились по приказу К. Ворошило</w:t>
      </w:r>
      <w:r w:rsidRPr="007122AB">
        <w:rPr>
          <w:rFonts w:ascii="Times New Roman" w:hAnsi="Times New Roman"/>
          <w:color w:val="000000" w:themeColor="text1"/>
          <w:sz w:val="16"/>
          <w:szCs w:val="16"/>
        </w:rPr>
        <w:softHyphen/>
        <w:t>ва с 24/XII—30 г. по 5/1—1931 г. в балке у деревни Павшино и на склонах Поклонной горы. В испытаниях приняли участие три танка - М°№ 215/1, 214/2 и 216/3. Всесторон</w:t>
      </w:r>
      <w:r w:rsidRPr="007122AB">
        <w:rPr>
          <w:rFonts w:ascii="Times New Roman" w:hAnsi="Times New Roman"/>
          <w:color w:val="000000" w:themeColor="text1"/>
          <w:sz w:val="16"/>
          <w:szCs w:val="16"/>
        </w:rPr>
        <w:softHyphen/>
        <w:t>ним их обследованием занималась «спецкомиссия по но</w:t>
      </w:r>
      <w:r w:rsidRPr="007122AB">
        <w:rPr>
          <w:rFonts w:ascii="Times New Roman" w:hAnsi="Times New Roman"/>
          <w:color w:val="000000" w:themeColor="text1"/>
          <w:sz w:val="16"/>
          <w:szCs w:val="16"/>
        </w:rPr>
        <w:softHyphen/>
        <w:t xml:space="preserve">вым танкам для РККА», подчиненная лично </w:t>
      </w:r>
      <w:proofErr w:type="spellStart"/>
      <w:r w:rsidRPr="007122AB">
        <w:rPr>
          <w:rFonts w:ascii="Times New Roman" w:hAnsi="Times New Roman"/>
          <w:color w:val="000000" w:themeColor="text1"/>
          <w:sz w:val="16"/>
          <w:szCs w:val="16"/>
        </w:rPr>
        <w:t>наркомвоен</w:t>
      </w:r>
      <w:proofErr w:type="spellEnd"/>
      <w:r w:rsidRPr="007122AB">
        <w:rPr>
          <w:rFonts w:ascii="Times New Roman" w:hAnsi="Times New Roman"/>
          <w:color w:val="000000" w:themeColor="text1"/>
          <w:sz w:val="16"/>
          <w:szCs w:val="16"/>
        </w:rPr>
        <w:t>-мору. Руководил работой комиссии С. Гинзбург. Выводы специалистов, входивших в состав комиссии по испытани</w:t>
      </w:r>
      <w:r w:rsidRPr="007122AB">
        <w:rPr>
          <w:rFonts w:ascii="Times New Roman" w:hAnsi="Times New Roman"/>
          <w:color w:val="000000" w:themeColor="text1"/>
          <w:sz w:val="16"/>
          <w:szCs w:val="16"/>
        </w:rPr>
        <w:softHyphen/>
        <w:t>ям, были довольно сдержанными (10733,163).</w:t>
      </w:r>
    </w:p>
    <w:p w14:paraId="5FD01D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0B42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января 1931 года, на полигоне возле Поклонной горы было отмечено небывалое скопление представителей высшего командования РККА и МВО. По личному приказанию наркома К. Ворошилова все они прибыли с целью ознакомления с привезенными из-за границы образцами перспективной боевой техники, закупленной усилиями комиссии.</w:t>
      </w:r>
    </w:p>
    <w:p w14:paraId="20FE63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Осмотрев образцы и получив краткие пояснения С. Гинзбурга, военные заняли места на смотровой площадке. После показа бронеавтомобилей на трассу, вздымая столбы снежной пыли, выскочил небольшой танк. Он весьма прытко пронесся мимо смотровой, затем развернулся, перемахнул через окоп, немного замешкавшись, свалил довольно толстую сосну, порвал колючую проволоку на кольях и, вновь развернувшись помчался к финишу прямо через кусты.</w:t>
      </w:r>
    </w:p>
    <w:p w14:paraId="5A28AF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Восторгам военных не было конца. Этот мелкий прыткий танк покорил их сердца. Тут же прекратили дальнейший показ, потребовали повторить заезд и выпустить на трассу второй танк.</w:t>
      </w:r>
    </w:p>
    <w:p w14:paraId="65EA1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заезд перед высшим комсоставом РККА был последним шагом в полигонных испытаниях В-26 (так называли английские «</w:t>
      </w:r>
      <w:proofErr w:type="spellStart"/>
      <w:r w:rsidRPr="007122AB">
        <w:rPr>
          <w:rFonts w:ascii="Times New Roman" w:hAnsi="Times New Roman"/>
          <w:color w:val="000000" w:themeColor="text1"/>
          <w:sz w:val="16"/>
          <w:szCs w:val="16"/>
        </w:rPr>
        <w:t>шеститонники</w:t>
      </w:r>
      <w:proofErr w:type="spellEnd"/>
      <w:r w:rsidRPr="007122AB">
        <w:rPr>
          <w:rFonts w:ascii="Times New Roman" w:hAnsi="Times New Roman"/>
          <w:color w:val="000000" w:themeColor="text1"/>
          <w:sz w:val="16"/>
          <w:szCs w:val="16"/>
        </w:rPr>
        <w:t>» в СССР) (11809).</w:t>
      </w:r>
    </w:p>
    <w:p w14:paraId="5FE56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93CE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8—11 января (причем 9-11 уже велся показ только танков) 1931 машины В-26 при</w:t>
      </w:r>
      <w:r w:rsidRPr="007122AB">
        <w:rPr>
          <w:rFonts w:ascii="Times New Roman" w:hAnsi="Times New Roman"/>
          <w:color w:val="000000" w:themeColor="text1"/>
          <w:sz w:val="16"/>
          <w:szCs w:val="16"/>
        </w:rPr>
        <w:softHyphen/>
        <w:t>вели многих высших чинов РККА в такой восторг, что не</w:t>
      </w:r>
      <w:r w:rsidRPr="007122AB">
        <w:rPr>
          <w:rFonts w:ascii="Times New Roman" w:hAnsi="Times New Roman"/>
          <w:color w:val="000000" w:themeColor="text1"/>
          <w:sz w:val="16"/>
          <w:szCs w:val="16"/>
        </w:rPr>
        <w:softHyphen/>
        <w:t xml:space="preserve">изменно возник вопрос об оснащении Красной армии только этими танками. В заграницу верили сильнее, чем в собственные силы, а поскольку создателем </w:t>
      </w:r>
      <w:proofErr w:type="spellStart"/>
      <w:r w:rsidRPr="007122AB">
        <w:rPr>
          <w:rFonts w:ascii="Times New Roman" w:hAnsi="Times New Roman"/>
          <w:color w:val="000000" w:themeColor="text1"/>
          <w:sz w:val="16"/>
          <w:szCs w:val="16"/>
        </w:rPr>
        <w:t>Мк</w:t>
      </w:r>
      <w:proofErr w:type="spellEnd"/>
      <w:r w:rsidRPr="007122AB">
        <w:rPr>
          <w:rFonts w:ascii="Times New Roman" w:hAnsi="Times New Roman"/>
          <w:color w:val="000000" w:themeColor="text1"/>
          <w:sz w:val="16"/>
          <w:szCs w:val="16"/>
        </w:rPr>
        <w:t>. Е. была ве</w:t>
      </w:r>
      <w:r w:rsidRPr="007122AB">
        <w:rPr>
          <w:rFonts w:ascii="Times New Roman" w:hAnsi="Times New Roman"/>
          <w:color w:val="000000" w:themeColor="text1"/>
          <w:sz w:val="16"/>
          <w:szCs w:val="16"/>
        </w:rPr>
        <w:softHyphen/>
        <w:t>дущая танкостроительная фирма мира, этот довод переве</w:t>
      </w:r>
      <w:r w:rsidRPr="007122AB">
        <w:rPr>
          <w:rFonts w:ascii="Times New Roman" w:hAnsi="Times New Roman"/>
          <w:color w:val="000000" w:themeColor="text1"/>
          <w:sz w:val="16"/>
          <w:szCs w:val="16"/>
        </w:rPr>
        <w:softHyphen/>
        <w:t>шивал все остальные в спорах о перспективах развития (10733,164).</w:t>
      </w:r>
    </w:p>
    <w:p w14:paraId="645976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5AB7A"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8 января 1931</w:t>
      </w:r>
      <w:r w:rsidRPr="007122AB">
        <w:rPr>
          <w:rFonts w:ascii="Times New Roman" w:hAnsi="Times New Roman"/>
          <w:color w:val="000000" w:themeColor="text1"/>
          <w:sz w:val="16"/>
          <w:szCs w:val="16"/>
        </w:rPr>
        <w:t>3-я сессия ЦИК 5-го созыва приняла постановление «Народнохозяйственный план СССР на 1931 г. (контрольные цифры)» (12265).</w:t>
      </w:r>
    </w:p>
    <w:p w14:paraId="756038D7" w14:textId="77777777" w:rsidR="006E4804" w:rsidRPr="007122AB" w:rsidRDefault="006E4804" w:rsidP="007122AB">
      <w:pPr>
        <w:spacing w:after="0" w:line="240" w:lineRule="auto"/>
        <w:jc w:val="both"/>
        <w:rPr>
          <w:rFonts w:ascii="Times New Roman" w:hAnsi="Times New Roman"/>
          <w:color w:val="000000" w:themeColor="text1"/>
          <w:sz w:val="16"/>
          <w:szCs w:val="16"/>
        </w:rPr>
      </w:pPr>
    </w:p>
    <w:p w14:paraId="077181ED" w14:textId="77777777" w:rsidR="007317D2" w:rsidRPr="007122AB" w:rsidRDefault="007317D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8921147" w14:textId="77777777" w:rsidR="007317D2" w:rsidRPr="007122AB" w:rsidRDefault="007317D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6ADA2C5"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января 1931. Газета "Вечерняя Москва" сообщала: "С 15 января гужевой транспорт </w:t>
      </w:r>
      <w:proofErr w:type="spellStart"/>
      <w:r w:rsidRPr="007122AB">
        <w:rPr>
          <w:rFonts w:ascii="Times New Roman" w:hAnsi="Times New Roman"/>
          <w:color w:val="000000" w:themeColor="text1"/>
          <w:sz w:val="16"/>
          <w:szCs w:val="16"/>
        </w:rPr>
        <w:t>Моск</w:t>
      </w:r>
      <w:proofErr w:type="spellEnd"/>
      <w:r w:rsidRPr="007122AB">
        <w:rPr>
          <w:rFonts w:ascii="Times New Roman" w:hAnsi="Times New Roman"/>
          <w:color w:val="000000" w:themeColor="text1"/>
          <w:sz w:val="16"/>
          <w:szCs w:val="16"/>
        </w:rPr>
        <w:t>. вы переводится на ночную работу (с 8 часов вечера до 6 часов утра). Возчики, имеющие право езды в дневное время, будут снабжены специальными удостоверениями" (18724).</w:t>
      </w:r>
    </w:p>
    <w:p w14:paraId="4E4A081A" w14:textId="77777777" w:rsidR="007317D2" w:rsidRPr="007122AB" w:rsidRDefault="007317D2" w:rsidP="007122AB">
      <w:pPr>
        <w:spacing w:after="0" w:line="240" w:lineRule="auto"/>
        <w:jc w:val="both"/>
        <w:rPr>
          <w:rFonts w:ascii="Times New Roman" w:hAnsi="Times New Roman"/>
          <w:color w:val="000000" w:themeColor="text1"/>
          <w:sz w:val="16"/>
          <w:szCs w:val="16"/>
        </w:rPr>
      </w:pPr>
    </w:p>
    <w:p w14:paraId="0925B18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6193B7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0B7537" w14:textId="77777777" w:rsidR="000B4A7D" w:rsidRPr="007122AB" w:rsidRDefault="000B4A7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8 января</w:t>
      </w:r>
      <w:r w:rsidRPr="007122AB">
        <w:rPr>
          <w:rFonts w:ascii="Times New Roman" w:hAnsi="Times New Roman"/>
          <w:color w:val="000000" w:themeColor="text1"/>
          <w:sz w:val="16"/>
          <w:szCs w:val="16"/>
        </w:rPr>
        <w:t xml:space="preserve"> в 1931 году первый полёт прототипа лёгкого транспортного самолета «S-32» (компания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Чехословакия), регистрационный номер OK-ADA. Самолёт представлял собой высокоплан с тремя радиальными двигателями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"Mars" мощностью 107 кВт (145 л.с.), способный перевозить пять пассажиров. У него был квадратный пузатый фюзеляж с каркасом из стальных трубок и покрытый холстом, закрытая кабина пилотов, фиксированное шасси, два двигателя в гондолах под крылом, третий на носу, и уродливым прямоугольным хвостом. Винты были двухлопастными, вначале деревянные, потом металлические. У прототипа «S-32» были проблемы с балансом. Центр тяжести был слишком смещен назад. Поэтому на последующих серийных самолетах центральный двигатель переехал почти метр вперед (15003).</w:t>
      </w:r>
    </w:p>
    <w:p w14:paraId="7F9C73CD" w14:textId="77777777" w:rsidR="000B4A7D" w:rsidRPr="007122AB" w:rsidRDefault="000B4A7D" w:rsidP="007122AB">
      <w:pPr>
        <w:spacing w:after="0" w:line="240" w:lineRule="auto"/>
        <w:jc w:val="both"/>
        <w:rPr>
          <w:rFonts w:ascii="Times New Roman" w:hAnsi="Times New Roman"/>
          <w:color w:val="000000" w:themeColor="text1"/>
          <w:sz w:val="16"/>
          <w:szCs w:val="16"/>
        </w:rPr>
      </w:pPr>
    </w:p>
    <w:p w14:paraId="767926FD"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января 1931 в Порт-оф-Спейн, Тринидад, открывается аэропорт </w:t>
      </w:r>
      <w:proofErr w:type="spellStart"/>
      <w:r w:rsidRPr="007122AB">
        <w:rPr>
          <w:rFonts w:ascii="Times New Roman" w:hAnsi="Times New Roman"/>
          <w:color w:val="000000" w:themeColor="text1"/>
          <w:sz w:val="16"/>
          <w:szCs w:val="16"/>
        </w:rPr>
        <w:t>Пиарко</w:t>
      </w:r>
      <w:proofErr w:type="spellEnd"/>
      <w:r w:rsidRPr="007122AB">
        <w:rPr>
          <w:rFonts w:ascii="Times New Roman" w:hAnsi="Times New Roman"/>
          <w:color w:val="000000" w:themeColor="text1"/>
          <w:sz w:val="16"/>
          <w:szCs w:val="16"/>
        </w:rPr>
        <w:t xml:space="preserve">, будущий международный аэропорт </w:t>
      </w:r>
      <w:proofErr w:type="spellStart"/>
      <w:r w:rsidRPr="007122AB">
        <w:rPr>
          <w:rFonts w:ascii="Times New Roman" w:hAnsi="Times New Roman"/>
          <w:color w:val="000000" w:themeColor="text1"/>
          <w:sz w:val="16"/>
          <w:szCs w:val="16"/>
        </w:rPr>
        <w:t>Пиарко</w:t>
      </w:r>
      <w:proofErr w:type="spellEnd"/>
      <w:r w:rsidRPr="007122AB">
        <w:rPr>
          <w:rFonts w:ascii="Times New Roman" w:hAnsi="Times New Roman"/>
          <w:color w:val="000000" w:themeColor="text1"/>
          <w:sz w:val="16"/>
          <w:szCs w:val="16"/>
        </w:rPr>
        <w:t>.</w:t>
      </w:r>
    </w:p>
    <w:p w14:paraId="20D9B950"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30138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января 1931 Ватикан осудил контроль над рождаемостью (3481).</w:t>
      </w:r>
    </w:p>
    <w:p w14:paraId="77693D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7383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января 1931 папа римский Пий XI издал энциклику против разводов и любых форм контроля за рождаемостью (4962).</w:t>
      </w:r>
    </w:p>
    <w:p w14:paraId="3989F8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C4B6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5E49C3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4A75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января 1931 г. последовало распоряжение К. Во</w:t>
      </w:r>
      <w:r w:rsidRPr="007122AB">
        <w:rPr>
          <w:rFonts w:ascii="Times New Roman" w:hAnsi="Times New Roman"/>
          <w:color w:val="000000" w:themeColor="text1"/>
          <w:sz w:val="16"/>
          <w:szCs w:val="16"/>
        </w:rPr>
        <w:softHyphen/>
        <w:t>рошилова «...решить наконец вопрос об целесообразности ор</w:t>
      </w:r>
      <w:r w:rsidRPr="007122AB">
        <w:rPr>
          <w:rFonts w:ascii="Times New Roman" w:hAnsi="Times New Roman"/>
          <w:color w:val="000000" w:themeColor="text1"/>
          <w:sz w:val="16"/>
          <w:szCs w:val="16"/>
        </w:rPr>
        <w:softHyphen/>
        <w:t>ганизации производства В-26 в СССР...”. Но о принятии тан</w:t>
      </w:r>
      <w:r w:rsidRPr="007122AB">
        <w:rPr>
          <w:rFonts w:ascii="Times New Roman" w:hAnsi="Times New Roman"/>
          <w:color w:val="000000" w:themeColor="text1"/>
          <w:sz w:val="16"/>
          <w:szCs w:val="16"/>
        </w:rPr>
        <w:softHyphen/>
        <w:t>ка на вооружение еще не говорилось. Тогда же С. Гинзбург получил приказ в срок не позднее трех дней предоставить Наркомвоенмору перечень отмеченных в ходе испытаний достоинств и недостатков В-26 по сравнению с находя</w:t>
      </w:r>
      <w:r w:rsidRPr="007122AB">
        <w:rPr>
          <w:rFonts w:ascii="Times New Roman" w:hAnsi="Times New Roman"/>
          <w:color w:val="000000" w:themeColor="text1"/>
          <w:sz w:val="16"/>
          <w:szCs w:val="16"/>
        </w:rPr>
        <w:softHyphen/>
        <w:t>щимся в изготовлении перспективным Т-19 (10733,165).</w:t>
      </w:r>
    </w:p>
    <w:p w14:paraId="697B2F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8DFF0" w14:textId="77777777" w:rsidR="000B4A7D" w:rsidRPr="007122AB" w:rsidRDefault="000B4A7D" w:rsidP="007122AB">
      <w:pPr>
        <w:pStyle w:val="a3"/>
        <w:rPr>
          <w:color w:val="000000" w:themeColor="text1"/>
          <w:lang w:val="ru-RU"/>
        </w:rPr>
      </w:pPr>
      <w:r w:rsidRPr="007122AB">
        <w:rPr>
          <w:color w:val="000000" w:themeColor="text1"/>
          <w:lang w:val="ru-RU"/>
        </w:rPr>
        <w:t xml:space="preserve">9 января 1931 г. первый образец </w:t>
      </w:r>
      <w:r w:rsidRPr="007122AB">
        <w:rPr>
          <w:color w:val="000000" w:themeColor="text1"/>
        </w:rPr>
        <w:t>N</w:t>
      </w:r>
      <w:r w:rsidR="007317D2" w:rsidRPr="007122AB">
        <w:rPr>
          <w:color w:val="000000" w:themeColor="text1"/>
          <w:lang w:val="ru-RU"/>
        </w:rPr>
        <w:t xml:space="preserve"> </w:t>
      </w:r>
      <w:r w:rsidRPr="007122AB">
        <w:rPr>
          <w:color w:val="000000" w:themeColor="text1"/>
          <w:lang w:val="ru-RU"/>
        </w:rPr>
        <w:t>229 (№1) доставили на буксире в распоряжение Испытательной группы УММ РККА со склада №37. По</w:t>
      </w:r>
      <w:r w:rsidRPr="007122AB">
        <w:rPr>
          <w:color w:val="000000" w:themeColor="text1"/>
          <w:lang w:val="ru-RU"/>
        </w:rPr>
        <w:softHyphen/>
        <w:t>началу он был достаточно холодно принят членами комиссии под руко</w:t>
      </w:r>
      <w:r w:rsidRPr="007122AB">
        <w:rPr>
          <w:color w:val="000000" w:themeColor="text1"/>
          <w:lang w:val="ru-RU"/>
        </w:rPr>
        <w:softHyphen/>
        <w:t>водством С. Гинзбурга, находившимися под впечатлением от весьма успешных испытаний 6-тонных танков «Виккерс». Позже отношение к 12-тонному танку изменилось в лучшую сторону. От английской стороны на испытаниях присутствовал майор Одди.</w:t>
      </w:r>
    </w:p>
    <w:p w14:paraId="7643C856" w14:textId="77777777" w:rsidR="000B4A7D" w:rsidRPr="007122AB" w:rsidRDefault="000B4A7D" w:rsidP="007122AB">
      <w:pPr>
        <w:pStyle w:val="a3"/>
        <w:rPr>
          <w:color w:val="000000" w:themeColor="text1"/>
          <w:lang w:val="ru-RU"/>
        </w:rPr>
      </w:pPr>
      <w:r w:rsidRPr="007122AB">
        <w:rPr>
          <w:color w:val="000000" w:themeColor="text1"/>
          <w:lang w:val="ru-RU"/>
        </w:rPr>
        <w:t>Уже отмечалось, что еще при проведении сдаточных испытаний танка в Англии был выявлен нагрев планетарного демультипликатора, установленного за коробкой передач, но из-за острой нехватки времени отгрузку в СССР первой машины произвели в таком виде. При разбор</w:t>
      </w:r>
      <w:r w:rsidRPr="007122AB">
        <w:rPr>
          <w:color w:val="000000" w:themeColor="text1"/>
          <w:lang w:val="ru-RU"/>
        </w:rPr>
        <w:softHyphen/>
        <w:t>ке демультипликатора обнаружили разрушение крепежных деталей и явный износ шлицевого соединения вала и втулки фланца соединитель</w:t>
      </w:r>
      <w:r w:rsidRPr="007122AB">
        <w:rPr>
          <w:color w:val="000000" w:themeColor="text1"/>
          <w:lang w:val="ru-RU"/>
        </w:rPr>
        <w:softHyphen/>
        <w:t>ной муфты. Наиболее вероятной причиной сочли некачественный мон</w:t>
      </w:r>
      <w:r w:rsidRPr="007122AB">
        <w:rPr>
          <w:color w:val="000000" w:themeColor="text1"/>
          <w:lang w:val="ru-RU"/>
        </w:rPr>
        <w:softHyphen/>
        <w:t>таж и подгонку этих элементов при сборке машины в Англии. Полностью устранить дефект на месте не удалось. Представитель фирмы майор Одди отмечал в своем отчете:</w:t>
      </w:r>
    </w:p>
    <w:p w14:paraId="21697664" w14:textId="77777777" w:rsidR="000B4A7D" w:rsidRPr="007122AB" w:rsidRDefault="000B4A7D"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6"/>
          <w:rFonts w:ascii="Times New Roman" w:eastAsia="Arial Unicode MS" w:hAnsi="Times New Roman" w:cs="Times New Roman"/>
          <w:i w:val="0"/>
          <w:iCs w:val="0"/>
          <w:color w:val="000000" w:themeColor="text1"/>
          <w:sz w:val="16"/>
          <w:szCs w:val="16"/>
        </w:rPr>
        <w:t>«Эта</w:t>
      </w:r>
      <w:r w:rsidRPr="007122AB">
        <w:rPr>
          <w:rFonts w:ascii="Times New Roman" w:hAnsi="Times New Roman" w:cs="Times New Roman"/>
          <w:i w:val="0"/>
          <w:color w:val="000000" w:themeColor="text1"/>
          <w:sz w:val="16"/>
          <w:szCs w:val="16"/>
        </w:rPr>
        <w:t xml:space="preserve"> машина</w:t>
      </w:r>
      <w:r w:rsidRPr="007122AB">
        <w:rPr>
          <w:rStyle w:val="1026"/>
          <w:rFonts w:ascii="Times New Roman" w:eastAsia="Arial Unicode MS" w:hAnsi="Times New Roman" w:cs="Times New Roman"/>
          <w:i w:val="0"/>
          <w:iCs w:val="0"/>
          <w:color w:val="000000" w:themeColor="text1"/>
          <w:sz w:val="16"/>
          <w:szCs w:val="16"/>
        </w:rPr>
        <w:t xml:space="preserve"> (танк №229</w:t>
      </w:r>
      <w:r w:rsidRPr="007122AB">
        <w:rPr>
          <w:rFonts w:ascii="Times New Roman" w:hAnsi="Times New Roman" w:cs="Times New Roman"/>
          <w:i w:val="0"/>
          <w:color w:val="000000" w:themeColor="text1"/>
          <w:sz w:val="16"/>
          <w:szCs w:val="16"/>
        </w:rPr>
        <w:t>) имела эпициклический вал с дефектной профилировкой, т.к. я первоначально согласовал с русской комиссией оставить этот</w:t>
      </w:r>
      <w:r w:rsidRPr="007122AB">
        <w:rPr>
          <w:rStyle w:val="1013"/>
          <w:rFonts w:ascii="Times New Roman" w:eastAsia="Arial Unicode MS" w:hAnsi="Times New Roman" w:cs="Times New Roman"/>
          <w:b w:val="0"/>
          <w:iCs/>
          <w:color w:val="000000" w:themeColor="text1"/>
          <w:sz w:val="16"/>
          <w:szCs w:val="16"/>
        </w:rPr>
        <w:t xml:space="preserve"> вал на машине, пока </w:t>
      </w:r>
      <w:r w:rsidRPr="007122AB">
        <w:rPr>
          <w:rFonts w:ascii="Times New Roman" w:hAnsi="Times New Roman" w:cs="Times New Roman"/>
          <w:i w:val="0"/>
          <w:color w:val="000000" w:themeColor="text1"/>
          <w:sz w:val="16"/>
          <w:szCs w:val="16"/>
        </w:rPr>
        <w:t>профилировка окончательно</w:t>
      </w:r>
      <w:r w:rsidRPr="007122AB">
        <w:rPr>
          <w:rStyle w:val="1013"/>
          <w:rFonts w:ascii="Times New Roman" w:eastAsia="Arial Unicode MS" w:hAnsi="Times New Roman" w:cs="Times New Roman"/>
          <w:b w:val="0"/>
          <w:iCs/>
          <w:color w:val="000000" w:themeColor="text1"/>
          <w:sz w:val="16"/>
          <w:szCs w:val="16"/>
        </w:rPr>
        <w:t xml:space="preserve"> не срежется, тогда </w:t>
      </w:r>
      <w:r w:rsidRPr="007122AB">
        <w:rPr>
          <w:rFonts w:ascii="Times New Roman" w:hAnsi="Times New Roman" w:cs="Times New Roman"/>
          <w:i w:val="0"/>
          <w:color w:val="000000" w:themeColor="text1"/>
          <w:sz w:val="16"/>
          <w:szCs w:val="16"/>
        </w:rPr>
        <w:t>мы и заменим его присланными</w:t>
      </w:r>
      <w:r w:rsidRPr="007122AB">
        <w:rPr>
          <w:rStyle w:val="1013"/>
          <w:rFonts w:ascii="Times New Roman" w:eastAsia="Arial Unicode MS" w:hAnsi="Times New Roman" w:cs="Times New Roman"/>
          <w:b w:val="0"/>
          <w:iCs/>
          <w:color w:val="000000" w:themeColor="text1"/>
          <w:sz w:val="16"/>
          <w:szCs w:val="16"/>
        </w:rPr>
        <w:t xml:space="preserve"> новым валом</w:t>
      </w:r>
      <w:r w:rsidRPr="007122AB">
        <w:rPr>
          <w:rFonts w:ascii="Times New Roman" w:hAnsi="Times New Roman" w:cs="Times New Roman"/>
          <w:i w:val="0"/>
          <w:color w:val="000000" w:themeColor="text1"/>
          <w:sz w:val="16"/>
          <w:szCs w:val="16"/>
        </w:rPr>
        <w:t xml:space="preserve"> и соединениями.</w:t>
      </w:r>
    </w:p>
    <w:p w14:paraId="65EFAA93" w14:textId="77777777" w:rsidR="000B4A7D" w:rsidRPr="007122AB" w:rsidRDefault="000B4A7D"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Профилировка вышеуказанного дефектного вала срезалась до того, как машина проделала вышеуказанный пробег, и мы теперь установили новый вал и соединения.</w:t>
      </w:r>
    </w:p>
    <w:p w14:paraId="366FB7D9" w14:textId="77777777" w:rsidR="000B4A7D" w:rsidRPr="007122AB" w:rsidRDefault="000B4A7D"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Опять-таки, эпицикл на этой машине функци</w:t>
      </w:r>
      <w:r w:rsidRPr="007122AB">
        <w:rPr>
          <w:rFonts w:ascii="Times New Roman" w:hAnsi="Times New Roman" w:cs="Times New Roman"/>
          <w:i w:val="0"/>
          <w:color w:val="000000" w:themeColor="text1"/>
          <w:sz w:val="16"/>
          <w:szCs w:val="16"/>
        </w:rPr>
        <w:softHyphen/>
        <w:t>онировал прекрасно в обоих направлениях (пря</w:t>
      </w:r>
      <w:r w:rsidRPr="007122AB">
        <w:rPr>
          <w:rFonts w:ascii="Times New Roman" w:hAnsi="Times New Roman" w:cs="Times New Roman"/>
          <w:i w:val="0"/>
          <w:color w:val="000000" w:themeColor="text1"/>
          <w:sz w:val="16"/>
          <w:szCs w:val="16"/>
        </w:rPr>
        <w:softHyphen/>
        <w:t>мой и низком) во все время пробега.</w:t>
      </w:r>
    </w:p>
    <w:p w14:paraId="76ECCFA1" w14:textId="77777777" w:rsidR="000B4A7D" w:rsidRPr="007122AB" w:rsidRDefault="000B4A7D"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Ни разу он не давал признаков перегрева и в дополнение никаких установок не было сделано к торсионной ленте эпицикла, управлению и вилке расцепления во все время пробега» (15745).</w:t>
      </w:r>
    </w:p>
    <w:p w14:paraId="75E63E7C" w14:textId="77777777" w:rsidR="000B4A7D" w:rsidRPr="007122AB" w:rsidRDefault="000B4A7D" w:rsidP="007122AB">
      <w:pPr>
        <w:pStyle w:val="1010"/>
        <w:shd w:val="clear" w:color="auto" w:fill="auto"/>
        <w:spacing w:line="240" w:lineRule="auto"/>
        <w:ind w:firstLine="0"/>
        <w:rPr>
          <w:rFonts w:ascii="Times New Roman" w:hAnsi="Times New Roman" w:cs="Times New Roman"/>
          <w:i w:val="0"/>
          <w:color w:val="000000" w:themeColor="text1"/>
          <w:sz w:val="16"/>
          <w:szCs w:val="16"/>
        </w:rPr>
      </w:pPr>
    </w:p>
    <w:p w14:paraId="1CF80393"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января 1931 г. штаб ВМС представил начальнику 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Адаму «ответный» доклад, сделанный капитаном 3-го ранга И. </w:t>
      </w:r>
      <w:proofErr w:type="spellStart"/>
      <w:r w:rsidRPr="007122AB">
        <w:rPr>
          <w:rFonts w:ascii="Times New Roman" w:hAnsi="Times New Roman"/>
          <w:color w:val="000000" w:themeColor="text1"/>
          <w:sz w:val="16"/>
          <w:szCs w:val="16"/>
        </w:rPr>
        <w:t>Лицманом</w:t>
      </w:r>
      <w:proofErr w:type="spellEnd"/>
      <w:r w:rsidRPr="007122AB">
        <w:rPr>
          <w:rFonts w:ascii="Times New Roman" w:hAnsi="Times New Roman"/>
          <w:color w:val="000000" w:themeColor="text1"/>
          <w:sz w:val="16"/>
          <w:szCs w:val="16"/>
        </w:rPr>
        <w:t>. Он изложил причину осторожного подхода «</w:t>
      </w:r>
      <w:proofErr w:type="spellStart"/>
      <w:r w:rsidRPr="007122AB">
        <w:rPr>
          <w:rFonts w:ascii="Times New Roman" w:hAnsi="Times New Roman"/>
          <w:color w:val="000000" w:themeColor="text1"/>
          <w:sz w:val="16"/>
          <w:szCs w:val="16"/>
        </w:rPr>
        <w:t>райхсмарине</w:t>
      </w:r>
      <w:proofErr w:type="spellEnd"/>
      <w:r w:rsidRPr="007122AB">
        <w:rPr>
          <w:rFonts w:ascii="Times New Roman" w:hAnsi="Times New Roman"/>
          <w:color w:val="000000" w:themeColor="text1"/>
          <w:sz w:val="16"/>
          <w:szCs w:val="16"/>
        </w:rPr>
        <w:t xml:space="preserve">» к проблеме взаимоотношений с СССР. Признав обоснованность повышенного интереса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к РККА на случай ведения войны на суше, он подчеркнул зависимость германского флота от доминировавших на море Великобритании и США, а это требовало «определенной сдержанности по отношению к России», к тому же вставала проблема Финляндии, которая испытывала неприязненные отношения к СССР и опасалась его. Поэтому при более тесных отношениях с Советским Союзом могли бы пострадать и отлаженные связи с Финляндией, которым Германия придавала очень большое значение (18265).</w:t>
      </w:r>
    </w:p>
    <w:p w14:paraId="71ADE0DC" w14:textId="77777777" w:rsidR="007317D2" w:rsidRPr="007122AB" w:rsidRDefault="007317D2" w:rsidP="007122AB">
      <w:pPr>
        <w:spacing w:after="0" w:line="240" w:lineRule="auto"/>
        <w:jc w:val="both"/>
        <w:rPr>
          <w:rFonts w:ascii="Times New Roman" w:hAnsi="Times New Roman"/>
          <w:color w:val="000000" w:themeColor="text1"/>
          <w:sz w:val="16"/>
          <w:szCs w:val="16"/>
        </w:rPr>
      </w:pPr>
    </w:p>
    <w:p w14:paraId="36985C8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E232DD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A18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января 1931 г. штаб ВМС представил начальнику 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Адаму «ответный» доклад, сделанный капитаном 3-го ранга И. </w:t>
      </w:r>
      <w:proofErr w:type="spellStart"/>
      <w:r w:rsidRPr="007122AB">
        <w:rPr>
          <w:rFonts w:ascii="Times New Roman" w:hAnsi="Times New Roman"/>
          <w:color w:val="000000" w:themeColor="text1"/>
          <w:sz w:val="16"/>
          <w:szCs w:val="16"/>
        </w:rPr>
        <w:t>Лицманом</w:t>
      </w:r>
      <w:proofErr w:type="spellEnd"/>
      <w:r w:rsidRPr="007122AB">
        <w:rPr>
          <w:rFonts w:ascii="Times New Roman" w:hAnsi="Times New Roman"/>
          <w:color w:val="000000" w:themeColor="text1"/>
          <w:sz w:val="16"/>
          <w:szCs w:val="16"/>
        </w:rPr>
        <w:t>. Он изложил причину осторожного подхода «</w:t>
      </w:r>
      <w:proofErr w:type="spellStart"/>
      <w:r w:rsidRPr="007122AB">
        <w:rPr>
          <w:rFonts w:ascii="Times New Roman" w:hAnsi="Times New Roman"/>
          <w:color w:val="000000" w:themeColor="text1"/>
          <w:sz w:val="16"/>
          <w:szCs w:val="16"/>
        </w:rPr>
        <w:t>райхсмарине</w:t>
      </w:r>
      <w:proofErr w:type="spellEnd"/>
      <w:r w:rsidRPr="007122AB">
        <w:rPr>
          <w:rFonts w:ascii="Times New Roman" w:hAnsi="Times New Roman"/>
          <w:color w:val="000000" w:themeColor="text1"/>
          <w:sz w:val="16"/>
          <w:szCs w:val="16"/>
        </w:rPr>
        <w:t xml:space="preserve">» к проблеме взаимоотношений с СССР. Признав обоснованность повышенного интереса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к РККА на случай ведения войны на суше, он подчеркнул зависимость германского флота от доминировавших на море Великобритании и США, а это требовало «определенной сдержанности по отношению к России», К тому же вставала проблема Финляндии, которая испытывала неприязненные отношения к СССР и опасалась его. Поэтому при более тесных отношениях с Советским Союзом могли бы пострадать и отлаженные связи с Финляндией, которым Германия придавала очень большое значение (11784).</w:t>
      </w:r>
    </w:p>
    <w:p w14:paraId="2D834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2CC9B6" w14:textId="77777777" w:rsidR="0062593B" w:rsidRPr="007122AB" w:rsidRDefault="0062593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043105A" w14:textId="77777777" w:rsidR="0062593B" w:rsidRPr="007122AB" w:rsidRDefault="0062593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36E94D"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января 1931 Соглашение Пратт-Макартур определяет </w:t>
      </w:r>
      <w:proofErr w:type="spellStart"/>
      <w:r w:rsidRPr="007122AB">
        <w:rPr>
          <w:rFonts w:ascii="Times New Roman" w:hAnsi="Times New Roman"/>
          <w:color w:val="000000" w:themeColor="text1"/>
          <w:sz w:val="16"/>
          <w:szCs w:val="16"/>
        </w:rPr>
        <w:t>военно</w:t>
      </w:r>
      <w:proofErr w:type="spellEnd"/>
      <w:r w:rsidRPr="007122AB">
        <w:rPr>
          <w:rFonts w:ascii="Times New Roman" w:hAnsi="Times New Roman"/>
          <w:color w:val="000000" w:themeColor="text1"/>
          <w:sz w:val="16"/>
          <w:szCs w:val="16"/>
        </w:rPr>
        <w:t xml:space="preserve"> - морские военно-воздушные силы ВМС США как элемент флота, который движется вместе с флотом и помогает ему выполнять свои задачи. Соглашение разрешает длительные споры между армией США и военно-морским флотом по поводу роли морской авиации в общей национальной обороне, а также внутренние дебаты военно-морского флота о роли военно-морской авиации (20804).</w:t>
      </w:r>
    </w:p>
    <w:p w14:paraId="42A10F7B"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1FD3641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BB304B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C8DC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января 1931 РВС СССР утвердил уточненный календарный план строительства РККА на 1931-1933 (3960,15).</w:t>
      </w:r>
    </w:p>
    <w:p w14:paraId="4DB3F3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742B40" w14:textId="77777777" w:rsidR="0062593B" w:rsidRPr="007122AB" w:rsidRDefault="006259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10 января</w:t>
      </w:r>
      <w:r w:rsidRPr="007122AB">
        <w:rPr>
          <w:rFonts w:ascii="Times New Roman" w:hAnsi="Times New Roman"/>
          <w:color w:val="000000" w:themeColor="text1"/>
          <w:sz w:val="16"/>
          <w:szCs w:val="16"/>
        </w:rPr>
        <w:t xml:space="preserve"> в 1931 году Революционный Военный Совет СССР утверждает уточненный календарный план строительства Рабоче-Крестьянской Красной Армии на 1931—1933 (15005).</w:t>
      </w:r>
    </w:p>
    <w:p w14:paraId="78AC328E"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0B7E57FD" w14:textId="77777777" w:rsidR="006E4804" w:rsidRPr="007122AB" w:rsidRDefault="006E4804" w:rsidP="007122AB">
      <w:pPr>
        <w:pStyle w:val="rtejustify"/>
        <w:spacing w:before="0" w:after="0"/>
        <w:rPr>
          <w:color w:val="000000" w:themeColor="text1"/>
          <w:sz w:val="16"/>
          <w:szCs w:val="16"/>
        </w:rPr>
      </w:pPr>
      <w:r w:rsidRPr="007122AB">
        <w:rPr>
          <w:rStyle w:val="af0"/>
          <w:i w:val="0"/>
          <w:color w:val="000000" w:themeColor="text1"/>
          <w:sz w:val="16"/>
          <w:szCs w:val="16"/>
        </w:rPr>
        <w:t>10 января. Протокол Реввоенсовета № 3.</w:t>
      </w:r>
      <w:r w:rsidRPr="007122AB">
        <w:rPr>
          <w:color w:val="000000" w:themeColor="text1"/>
          <w:sz w:val="16"/>
          <w:szCs w:val="16"/>
        </w:rPr>
        <w:t xml:space="preserve"> 1. Уточненный календарный план строительства РККА на 1931</w:t>
      </w:r>
      <w:r w:rsidRPr="007122AB">
        <w:rPr>
          <w:color w:val="000000" w:themeColor="text1"/>
          <w:sz w:val="16"/>
          <w:szCs w:val="16"/>
        </w:rPr>
        <w:noBreakHyphen/>
        <w:t>32</w:t>
      </w:r>
      <w:r w:rsidRPr="007122AB">
        <w:rPr>
          <w:color w:val="000000" w:themeColor="text1"/>
          <w:sz w:val="16"/>
          <w:szCs w:val="16"/>
        </w:rPr>
        <w:noBreakHyphen/>
        <w:t>33 гг. (Шапошников). (РГВА. Ф. 4. Оп. 18. Д. 20. Л. 17</w:t>
      </w:r>
      <w:r w:rsidRPr="007122AB">
        <w:rPr>
          <w:color w:val="000000" w:themeColor="text1"/>
          <w:sz w:val="16"/>
          <w:szCs w:val="16"/>
        </w:rPr>
        <w:noBreakHyphen/>
        <w:t>18) (12342).</w:t>
      </w:r>
    </w:p>
    <w:p w14:paraId="09024A99" w14:textId="77777777" w:rsidR="006E4804" w:rsidRPr="007122AB" w:rsidRDefault="006E4804" w:rsidP="007122AB">
      <w:pPr>
        <w:pStyle w:val="rtejustify"/>
        <w:spacing w:before="0" w:after="0"/>
        <w:rPr>
          <w:color w:val="000000" w:themeColor="text1"/>
          <w:sz w:val="16"/>
          <w:szCs w:val="16"/>
        </w:rPr>
      </w:pPr>
    </w:p>
    <w:p w14:paraId="6D5CB33E" w14:textId="77777777" w:rsidR="0062593B" w:rsidRPr="007122AB" w:rsidRDefault="0062593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10 января 1931 на заседании РВСС поручил "Штабу РККА на основе обмена мнений и принятых поправок окончательно уточнить план реконструкции РККА на 1931-1932-1933 гг. и 1 марта доложить РВСС для внесения на рассмотрение Правительства". На этой стадии планирование вооруженных сил военного времени оказывалось тесно увязанным с параметрами армии мирного времени. РВСС принял осторожное решение: "Численность армии мирного времени на конец пятилетки (1933 г.) определить в 750 тыс. человек. При докладе Правительству особо доложить, в какой мере эта численность не обеспечивает развертывание армии по варианту конца пятилетки" (Протокол № 3 заседания РВС СССР от 10.01.1930 // Там же. Л. 18.).</w:t>
      </w:r>
    </w:p>
    <w:p w14:paraId="1855388D" w14:textId="77777777" w:rsidR="0062593B" w:rsidRPr="007122AB" w:rsidRDefault="0062593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Подготовка доклада в Комиссию обороны затянулась. 27 марта Реввоенсовет заслушал доклад </w:t>
      </w:r>
      <w:proofErr w:type="spellStart"/>
      <w:r w:rsidRPr="007122AB">
        <w:rPr>
          <w:rFonts w:ascii="Times New Roman" w:eastAsia="Times New Roman" w:hAnsi="Times New Roman"/>
          <w:color w:val="000000" w:themeColor="text1"/>
          <w:sz w:val="16"/>
          <w:szCs w:val="16"/>
          <w:lang w:eastAsia="ru-RU"/>
        </w:rPr>
        <w:t>Триандафиллова</w:t>
      </w:r>
      <w:proofErr w:type="spellEnd"/>
      <w:r w:rsidRPr="007122AB">
        <w:rPr>
          <w:rFonts w:ascii="Times New Roman" w:eastAsia="Times New Roman" w:hAnsi="Times New Roman"/>
          <w:color w:val="000000" w:themeColor="text1"/>
          <w:sz w:val="16"/>
          <w:szCs w:val="16"/>
          <w:lang w:eastAsia="ru-RU"/>
        </w:rPr>
        <w:t xml:space="preserve">, в котором были объединены два вопроса повестки дня - численность РККА мирного времени, оргмероприятия 1931-1933 гг. и новые формирования 1931 г. К согласию прийти не удалось. "Считая необходимым еще раз самым тщательным образом обсудить представленные Штабом РККА соображения и расчеты о численности и организации армии на конец пятилетки", РВСС поручил специальной комиссии (Ворошилов, Гамарник, Каменев, Баранов, </w:t>
      </w:r>
      <w:proofErr w:type="spellStart"/>
      <w:r w:rsidRPr="007122AB">
        <w:rPr>
          <w:rFonts w:ascii="Times New Roman" w:eastAsia="Times New Roman" w:hAnsi="Times New Roman"/>
          <w:color w:val="000000" w:themeColor="text1"/>
          <w:sz w:val="16"/>
          <w:szCs w:val="16"/>
          <w:lang w:eastAsia="ru-RU"/>
        </w:rPr>
        <w:t>Триандафиллов</w:t>
      </w:r>
      <w:proofErr w:type="spellEnd"/>
      <w:r w:rsidRPr="007122AB">
        <w:rPr>
          <w:rFonts w:ascii="Times New Roman" w:eastAsia="Times New Roman" w:hAnsi="Times New Roman"/>
          <w:color w:val="000000" w:themeColor="text1"/>
          <w:sz w:val="16"/>
          <w:szCs w:val="16"/>
          <w:lang w:eastAsia="ru-RU"/>
        </w:rPr>
        <w:t xml:space="preserve">, Левичев) вновь рассмотреть "весь вопрос" и вынести по нему окончательное решение от имени совета (Протокол № 13 заседания РВС СССР от 27.03.1931 // Там же. Л. 156. Протокол № 13 заседания РВС СССР от 27.03.1931 // Там же. Л. 156.). По итогам этих работ 6 апреля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w:t>
      </w:r>
      <w:proofErr w:type="spellStart"/>
      <w:r w:rsidRPr="007122AB">
        <w:rPr>
          <w:rFonts w:ascii="Times New Roman" w:eastAsia="Times New Roman" w:hAnsi="Times New Roman"/>
          <w:color w:val="000000" w:themeColor="text1"/>
          <w:sz w:val="16"/>
          <w:szCs w:val="16"/>
          <w:lang w:eastAsia="ru-RU"/>
        </w:rPr>
        <w:t>Литуновкий</w:t>
      </w:r>
      <w:proofErr w:type="spellEnd"/>
      <w:r w:rsidRPr="007122AB">
        <w:rPr>
          <w:rFonts w:ascii="Times New Roman" w:eastAsia="Times New Roman" w:hAnsi="Times New Roman"/>
          <w:color w:val="000000" w:themeColor="text1"/>
          <w:sz w:val="16"/>
          <w:szCs w:val="16"/>
          <w:lang w:eastAsia="ru-RU"/>
        </w:rPr>
        <w:t xml:space="preserve">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186749C6"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37F48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января 1931 К.Е.В. и Пред. ВСНХ Г.К.О. по исполнение ноябрьского решения ПБ по танкам предложили создать комиссию вы составе Уборевича,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Мартиновича, Тухачевского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для детального рассмотрения программы строительства танков в </w:t>
      </w:r>
      <w:proofErr w:type="spellStart"/>
      <w:r w:rsidRPr="007122AB">
        <w:rPr>
          <w:rFonts w:ascii="Times New Roman" w:hAnsi="Times New Roman"/>
          <w:color w:val="000000" w:themeColor="text1"/>
          <w:sz w:val="16"/>
          <w:szCs w:val="16"/>
        </w:rPr>
        <w:t>военнное</w:t>
      </w:r>
      <w:proofErr w:type="spellEnd"/>
      <w:r w:rsidRPr="007122AB">
        <w:rPr>
          <w:rFonts w:ascii="Times New Roman" w:hAnsi="Times New Roman"/>
          <w:color w:val="000000" w:themeColor="text1"/>
          <w:sz w:val="16"/>
          <w:szCs w:val="16"/>
        </w:rPr>
        <w:t xml:space="preserve"> время (9089,136).</w:t>
      </w:r>
    </w:p>
    <w:p w14:paraId="39E76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4F81C6" w14:textId="77777777" w:rsidR="0062593B" w:rsidRPr="007122AB" w:rsidRDefault="0062593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10 января 1931 Политбюро образовало комиссию ВСНХ и НКВМ по танкам (Уборевич, </w:t>
      </w:r>
      <w:proofErr w:type="spellStart"/>
      <w:r w:rsidRPr="007122AB">
        <w:rPr>
          <w:rFonts w:ascii="Times New Roman" w:eastAsia="Times New Roman" w:hAnsi="Times New Roman"/>
          <w:color w:val="000000" w:themeColor="text1"/>
          <w:sz w:val="16"/>
          <w:szCs w:val="16"/>
          <w:lang w:eastAsia="ru-RU"/>
        </w:rPr>
        <w:t>Павлуновский</w:t>
      </w:r>
      <w:proofErr w:type="spellEnd"/>
      <w:r w:rsidRPr="007122AB">
        <w:rPr>
          <w:rFonts w:ascii="Times New Roman" w:eastAsia="Times New Roman" w:hAnsi="Times New Roman"/>
          <w:color w:val="000000" w:themeColor="text1"/>
          <w:sz w:val="16"/>
          <w:szCs w:val="16"/>
          <w:lang w:eastAsia="ru-RU"/>
        </w:rPr>
        <w:t xml:space="preserve">, Мартинович, Тухачевский, </w:t>
      </w:r>
      <w:proofErr w:type="spellStart"/>
      <w:r w:rsidRPr="007122AB">
        <w:rPr>
          <w:rFonts w:ascii="Times New Roman" w:eastAsia="Times New Roman" w:hAnsi="Times New Roman"/>
          <w:color w:val="000000" w:themeColor="text1"/>
          <w:sz w:val="16"/>
          <w:szCs w:val="16"/>
          <w:lang w:eastAsia="ru-RU"/>
        </w:rPr>
        <w:t>Халепский</w:t>
      </w:r>
      <w:proofErr w:type="spellEnd"/>
      <w:r w:rsidRPr="007122AB">
        <w:rPr>
          <w:rFonts w:ascii="Times New Roman" w:eastAsia="Times New Roman" w:hAnsi="Times New Roman"/>
          <w:color w:val="000000" w:themeColor="text1"/>
          <w:sz w:val="16"/>
          <w:szCs w:val="16"/>
          <w:lang w:eastAsia="ru-RU"/>
        </w:rPr>
        <w:t xml:space="preserve">) для "предварительного рассмотрения вопроса о развертывании танкостроения на военное время". Предложения комиссии Уборевича были приняты Ворошиловым и Орджоникидзе и 20 февраля утверждены Политбюро (за исключением пункта "о технической помощи"). Обширное постановление "О танковой программе" устанавливало технические характеристики танкетки, малого и среднего танка, размещение заказов по заводам, объемы потребностей в броне и т. д. Объемы выпуска танков на 1931 г. определялись в точном соответствии с решением Политбюро от 30 ноября 1930 г. (Протокол № 23 заседания Политбюро ЦК ВКП(б) от 15.01.1931 // РГА СПИ. Ф. 17. Оп. 162. Д 9 Л. 119; Протокол № 27 заседания Политбюро ЦК ВКП(б) от 27.02.1931 // Там же. Л. 140; Постановление Политбюро ЦК ВКП(б) "О танковой программе", 20.02.1931 // Там же. Л. 151-156.). Вероятно, несколько позже, весной 1932 г., правительство утвердило </w:t>
      </w:r>
      <w:proofErr w:type="spellStart"/>
      <w:r w:rsidRPr="007122AB">
        <w:rPr>
          <w:rFonts w:ascii="Times New Roman" w:eastAsia="Times New Roman" w:hAnsi="Times New Roman"/>
          <w:color w:val="000000" w:themeColor="text1"/>
          <w:sz w:val="16"/>
          <w:szCs w:val="16"/>
          <w:lang w:eastAsia="ru-RU"/>
        </w:rPr>
        <w:t>мобзаявку</w:t>
      </w:r>
      <w:proofErr w:type="spellEnd"/>
      <w:r w:rsidRPr="007122AB">
        <w:rPr>
          <w:rFonts w:ascii="Times New Roman" w:eastAsia="Times New Roman" w:hAnsi="Times New Roman"/>
          <w:color w:val="000000" w:themeColor="text1"/>
          <w:sz w:val="16"/>
          <w:szCs w:val="16"/>
          <w:lang w:eastAsia="ru-RU"/>
        </w:rPr>
        <w:t xml:space="preserve"> НКВМ, предусматривавшую производство в первый год войны 13 800 малых и 2000 средних танков, 15 000 танкеток (тяжелые танки прорыва разрабатывались, но к лету опытные образцы еще не были изготовлены) (См.: Постановление РВС СССР "О формированиях в военное время", 27.06.1931 // РГВА Ф. 40442. Оп. 2. Д 9. Л. 14. Следуя в русле этих решений, в конце апреля 1931 г. РВСС принял постановление "О танковой программе", которое было предложено заседанию КО 4 мая, а затем вновь рассмотрено Реввоенсоветом (Протокол № 15 заседания РВС СССР от 28.04.1931 // Там же. Ф. 4. Оп. 18. Д 20. Л. 232; 11ротокол № 16 заседания РВС СССР от 08.05.1931 // Там же. Л. 254. Текст постановления, посвященного в основном номенклатуре образцов танкового вооружения, см. Там же. Л. 259-262)). 22725.</w:t>
      </w:r>
    </w:p>
    <w:p w14:paraId="53323D01" w14:textId="77777777" w:rsidR="0062593B" w:rsidRPr="007122AB" w:rsidRDefault="0062593B" w:rsidP="007122AB">
      <w:pPr>
        <w:spacing w:after="0" w:line="240" w:lineRule="auto"/>
        <w:jc w:val="both"/>
        <w:rPr>
          <w:rFonts w:ascii="Times New Roman" w:hAnsi="Times New Roman"/>
          <w:color w:val="000000" w:themeColor="text1"/>
          <w:sz w:val="16"/>
          <w:szCs w:val="16"/>
        </w:rPr>
      </w:pPr>
    </w:p>
    <w:p w14:paraId="052E5F1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F021F3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73529F"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lastRenderedPageBreak/>
        <w:t xml:space="preserve">10 января 1931 </w:t>
      </w:r>
      <w:r w:rsidRPr="007122AB">
        <w:rPr>
          <w:rFonts w:ascii="Times New Roman" w:hAnsi="Times New Roman"/>
          <w:color w:val="000000" w:themeColor="text1"/>
          <w:sz w:val="16"/>
          <w:szCs w:val="16"/>
        </w:rPr>
        <w:t>ЦИК принял постановления: «По отчету об исполнении единого государственного бюджета СССР за 1928/29 г.», «О едином финансовом плане и едином государственном бюджете СССР на 1931 г.», «По докладу о мероприятиях по подготовке квалифицированной рабочей силы для народного хозяйства СССР» (12265).</w:t>
      </w:r>
    </w:p>
    <w:p w14:paraId="363583F7" w14:textId="1DA23B47" w:rsidR="007317D2" w:rsidRPr="007122AB" w:rsidRDefault="007317D2" w:rsidP="007122AB">
      <w:pPr>
        <w:spacing w:after="0" w:line="240" w:lineRule="auto"/>
        <w:jc w:val="both"/>
        <w:rPr>
          <w:rFonts w:ascii="Times New Roman" w:hAnsi="Times New Roman"/>
          <w:color w:val="000000" w:themeColor="text1"/>
          <w:sz w:val="16"/>
          <w:szCs w:val="16"/>
        </w:rPr>
      </w:pPr>
    </w:p>
    <w:p w14:paraId="1DF44078"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января 1931 г. Постановлением СНК допускалась выплата премий не более чем раз в месяц. Развитию социалистического соревнования уделялось большое место в коллективных договорах. Устанавливались категории работников и нормы премирования. Число факторов премирования должно было быть максимально ограниченным. Премия не должна была превращаться в постоянную добавку к заработной плате, выплачиваться не чаще одного раза в полугодие (21332).</w:t>
      </w:r>
    </w:p>
    <w:p w14:paraId="3E59FF41" w14:textId="77777777" w:rsidR="00B23E00" w:rsidRPr="007122AB" w:rsidRDefault="00B23E00" w:rsidP="007122AB">
      <w:pPr>
        <w:spacing w:after="0" w:line="240" w:lineRule="auto"/>
        <w:jc w:val="both"/>
        <w:rPr>
          <w:rFonts w:ascii="Times New Roman" w:hAnsi="Times New Roman"/>
          <w:color w:val="000000" w:themeColor="text1"/>
          <w:sz w:val="16"/>
          <w:szCs w:val="16"/>
        </w:rPr>
      </w:pPr>
    </w:p>
    <w:p w14:paraId="3E146B47" w14:textId="77777777" w:rsidR="007317D2" w:rsidRPr="007122AB" w:rsidRDefault="007317D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10 января 1931 г.</w:t>
      </w:r>
    </w:p>
    <w:p w14:paraId="306466C0" w14:textId="77777777" w:rsidR="007317D2" w:rsidRPr="007122AB" w:rsidRDefault="007317D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Из протокола допроса профессора В. И. Худякова о его знакомстве с Л. К. Рамзиным и деятельности последнего во время пребывания в Париже летом 1927 г. 10 января 1931 г.</w:t>
      </w:r>
    </w:p>
    <w:p w14:paraId="16C69311" w14:textId="77777777" w:rsidR="007317D2" w:rsidRPr="007122AB" w:rsidRDefault="007317D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5B04B94F"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F45E623" w14:textId="77777777" w:rsidR="007317D2" w:rsidRPr="007122AB" w:rsidRDefault="007317D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79AAFC6" w14:textId="77777777" w:rsidR="007317D2" w:rsidRPr="007122AB" w:rsidRDefault="007317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 ФСБ РФ. Ф. Р-42280. Т. 3. Л. 322-323</w:t>
      </w:r>
    </w:p>
    <w:p w14:paraId="2455F75A" w14:textId="77777777" w:rsidR="007317D2" w:rsidRPr="007122AB" w:rsidRDefault="007317D2" w:rsidP="007122AB">
      <w:pPr>
        <w:pStyle w:val="rteright"/>
        <w:spacing w:before="0" w:after="0"/>
        <w:jc w:val="both"/>
        <w:rPr>
          <w:color w:val="000000" w:themeColor="text1"/>
          <w:sz w:val="16"/>
          <w:szCs w:val="16"/>
        </w:rPr>
      </w:pPr>
      <w:r w:rsidRPr="007122AB">
        <w:rPr>
          <w:color w:val="000000" w:themeColor="text1"/>
          <w:sz w:val="16"/>
          <w:szCs w:val="16"/>
        </w:rPr>
        <w:t>10 января 1931 г.</w:t>
      </w:r>
    </w:p>
    <w:p w14:paraId="10FF08EC"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С проф. Л. К. Рамзиным я встретился в Париже в августе 1927 г., когда он направлялся через Париж в Америку. За это время разговоров о Промпартии у меня с ним не было, но он в достаточно туманных выражениях говорил об имеющей место быть в ближайшем будущем организации политического характера, возглавляемой преимущественно инженерно-техническим персоналом.</w:t>
      </w:r>
    </w:p>
    <w:p w14:paraId="2305F551"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О своей задаче он мне не говорил, но сказал, что не худо бы повидаться в Париже с кем-либо из лиц, имеющих касание к б[</w:t>
      </w:r>
      <w:proofErr w:type="spellStart"/>
      <w:r w:rsidRPr="007122AB">
        <w:rPr>
          <w:color w:val="000000" w:themeColor="text1"/>
          <w:sz w:val="16"/>
          <w:szCs w:val="16"/>
        </w:rPr>
        <w:t>ывшим</w:t>
      </w:r>
      <w:proofErr w:type="spellEnd"/>
      <w:r w:rsidRPr="007122AB">
        <w:rPr>
          <w:color w:val="000000" w:themeColor="text1"/>
          <w:sz w:val="16"/>
          <w:szCs w:val="16"/>
        </w:rPr>
        <w:t xml:space="preserve">] русским промышленникам. Я ответил, что лично я ни с кем из них не знаком, но что инженер Парижского Торгпредства </w:t>
      </w:r>
      <w:proofErr w:type="spellStart"/>
      <w:r w:rsidRPr="007122AB">
        <w:rPr>
          <w:color w:val="000000" w:themeColor="text1"/>
          <w:sz w:val="16"/>
          <w:szCs w:val="16"/>
        </w:rPr>
        <w:t>Шенталь</w:t>
      </w:r>
      <w:proofErr w:type="spellEnd"/>
      <w:r w:rsidRPr="007122AB">
        <w:rPr>
          <w:color w:val="000000" w:themeColor="text1"/>
          <w:sz w:val="16"/>
          <w:szCs w:val="16"/>
        </w:rPr>
        <w:t xml:space="preserve"> Ульрих Адольфович, давно живущий во Франции, может быть полезен в этом деле.</w:t>
      </w:r>
    </w:p>
    <w:p w14:paraId="36A0E504"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 xml:space="preserve">После моего разговора с </w:t>
      </w:r>
      <w:proofErr w:type="spellStart"/>
      <w:r w:rsidRPr="007122AB">
        <w:rPr>
          <w:color w:val="000000" w:themeColor="text1"/>
          <w:sz w:val="16"/>
          <w:szCs w:val="16"/>
        </w:rPr>
        <w:t>Шенталь</w:t>
      </w:r>
      <w:proofErr w:type="spellEnd"/>
      <w:r w:rsidRPr="007122AB">
        <w:rPr>
          <w:color w:val="000000" w:themeColor="text1"/>
          <w:sz w:val="16"/>
          <w:szCs w:val="16"/>
        </w:rPr>
        <w:t xml:space="preserve">, последний имел, по его словам, беседу с Рамзиным, и свидание состоялось. С кем именно, точно не знаю, так как при свидании не был. А </w:t>
      </w:r>
      <w:proofErr w:type="spellStart"/>
      <w:r w:rsidRPr="007122AB">
        <w:rPr>
          <w:color w:val="000000" w:themeColor="text1"/>
          <w:sz w:val="16"/>
          <w:szCs w:val="16"/>
        </w:rPr>
        <w:t>Шенталь</w:t>
      </w:r>
      <w:proofErr w:type="spellEnd"/>
      <w:r w:rsidRPr="007122AB">
        <w:rPr>
          <w:color w:val="000000" w:themeColor="text1"/>
          <w:sz w:val="16"/>
          <w:szCs w:val="16"/>
        </w:rPr>
        <w:t xml:space="preserve"> назвал две фамилии — Рябушинский и Второв.</w:t>
      </w:r>
    </w:p>
    <w:p w14:paraId="557E93F5"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Далее Рамзин имел ряд свиданий с владельцами фирм, имеющих дело с Торгпредством — «Стейн», «</w:t>
      </w:r>
      <w:proofErr w:type="spellStart"/>
      <w:r w:rsidRPr="007122AB">
        <w:rPr>
          <w:color w:val="000000" w:themeColor="text1"/>
          <w:sz w:val="16"/>
          <w:szCs w:val="16"/>
        </w:rPr>
        <w:t>Бабкок-Вилькокс</w:t>
      </w:r>
      <w:proofErr w:type="spellEnd"/>
      <w:r w:rsidRPr="007122AB">
        <w:rPr>
          <w:color w:val="000000" w:themeColor="text1"/>
          <w:sz w:val="16"/>
          <w:szCs w:val="16"/>
        </w:rPr>
        <w:t>», «</w:t>
      </w:r>
      <w:proofErr w:type="spellStart"/>
      <w:r w:rsidRPr="007122AB">
        <w:rPr>
          <w:color w:val="000000" w:themeColor="text1"/>
          <w:sz w:val="16"/>
          <w:szCs w:val="16"/>
        </w:rPr>
        <w:t>Speco</w:t>
      </w:r>
      <w:proofErr w:type="spellEnd"/>
      <w:r w:rsidRPr="007122AB">
        <w:rPr>
          <w:color w:val="000000" w:themeColor="text1"/>
          <w:sz w:val="16"/>
          <w:szCs w:val="16"/>
        </w:rPr>
        <w:t xml:space="preserve">». В Торгпредстве в то время говорили, что французские промышленники предполагают организовать общество для постройки в СССР крупных электростанций. </w:t>
      </w:r>
      <w:proofErr w:type="spellStart"/>
      <w:r w:rsidRPr="007122AB">
        <w:rPr>
          <w:color w:val="000000" w:themeColor="text1"/>
          <w:sz w:val="16"/>
          <w:szCs w:val="16"/>
        </w:rPr>
        <w:t>Шенталь</w:t>
      </w:r>
      <w:proofErr w:type="spellEnd"/>
      <w:r w:rsidRPr="007122AB">
        <w:rPr>
          <w:color w:val="000000" w:themeColor="text1"/>
          <w:sz w:val="16"/>
          <w:szCs w:val="16"/>
        </w:rPr>
        <w:t xml:space="preserve"> сообщил мне, что по его сведениям во главе этого объединения станет владелец фирмы «</w:t>
      </w:r>
      <w:proofErr w:type="spellStart"/>
      <w:r w:rsidRPr="007122AB">
        <w:rPr>
          <w:color w:val="000000" w:themeColor="text1"/>
          <w:sz w:val="16"/>
          <w:szCs w:val="16"/>
        </w:rPr>
        <w:t>Speco</w:t>
      </w:r>
      <w:proofErr w:type="spellEnd"/>
      <w:r w:rsidRPr="007122AB">
        <w:rPr>
          <w:color w:val="000000" w:themeColor="text1"/>
          <w:sz w:val="16"/>
          <w:szCs w:val="16"/>
        </w:rPr>
        <w:t xml:space="preserve">» Жорж </w:t>
      </w:r>
      <w:proofErr w:type="spellStart"/>
      <w:r w:rsidRPr="007122AB">
        <w:rPr>
          <w:color w:val="000000" w:themeColor="text1"/>
          <w:sz w:val="16"/>
          <w:szCs w:val="16"/>
        </w:rPr>
        <w:t>Прат</w:t>
      </w:r>
      <w:proofErr w:type="spellEnd"/>
      <w:r w:rsidRPr="007122AB">
        <w:rPr>
          <w:color w:val="000000" w:themeColor="text1"/>
          <w:sz w:val="16"/>
          <w:szCs w:val="16"/>
        </w:rPr>
        <w:t xml:space="preserve">. Жорж </w:t>
      </w:r>
      <w:proofErr w:type="spellStart"/>
      <w:r w:rsidRPr="007122AB">
        <w:rPr>
          <w:color w:val="000000" w:themeColor="text1"/>
          <w:sz w:val="16"/>
          <w:szCs w:val="16"/>
        </w:rPr>
        <w:t>Прат</w:t>
      </w:r>
      <w:proofErr w:type="spellEnd"/>
      <w:r w:rsidRPr="007122AB">
        <w:rPr>
          <w:color w:val="000000" w:themeColor="text1"/>
          <w:sz w:val="16"/>
          <w:szCs w:val="16"/>
        </w:rPr>
        <w:t xml:space="preserve"> часто бывал по делам в Торгпредстве и по техническим вопросам иногда имел дело со мной.</w:t>
      </w:r>
    </w:p>
    <w:p w14:paraId="73FEFF1C"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 xml:space="preserve">Во время пребывания в Париже Рамзин почти ежедневно бывал в Торгпредстве, чрезвычайно интенсивно интересовался делами его — в отношении смет и предложений на предмет оборудования электростанций. В один из его визитов в Торгпредство он встретился в комнате, где я занимался, с </w:t>
      </w:r>
      <w:proofErr w:type="spellStart"/>
      <w:r w:rsidRPr="007122AB">
        <w:rPr>
          <w:color w:val="000000" w:themeColor="text1"/>
          <w:sz w:val="16"/>
          <w:szCs w:val="16"/>
        </w:rPr>
        <w:t>Прат</w:t>
      </w:r>
      <w:proofErr w:type="spellEnd"/>
      <w:r w:rsidRPr="007122AB">
        <w:rPr>
          <w:color w:val="000000" w:themeColor="text1"/>
          <w:sz w:val="16"/>
          <w:szCs w:val="16"/>
        </w:rPr>
        <w:t xml:space="preserve"> и </w:t>
      </w:r>
      <w:proofErr w:type="spellStart"/>
      <w:r w:rsidRPr="007122AB">
        <w:rPr>
          <w:color w:val="000000" w:themeColor="text1"/>
          <w:sz w:val="16"/>
          <w:szCs w:val="16"/>
        </w:rPr>
        <w:t>Шенталь</w:t>
      </w:r>
      <w:proofErr w:type="spellEnd"/>
      <w:r w:rsidRPr="007122AB">
        <w:rPr>
          <w:color w:val="000000" w:themeColor="text1"/>
          <w:sz w:val="16"/>
          <w:szCs w:val="16"/>
        </w:rPr>
        <w:t xml:space="preserve">. Все мы перешли в кабинет </w:t>
      </w:r>
      <w:proofErr w:type="spellStart"/>
      <w:r w:rsidRPr="007122AB">
        <w:rPr>
          <w:color w:val="000000" w:themeColor="text1"/>
          <w:sz w:val="16"/>
          <w:szCs w:val="16"/>
        </w:rPr>
        <w:t>Шенталь</w:t>
      </w:r>
      <w:proofErr w:type="spellEnd"/>
      <w:r w:rsidRPr="007122AB">
        <w:rPr>
          <w:color w:val="000000" w:themeColor="text1"/>
          <w:sz w:val="16"/>
          <w:szCs w:val="16"/>
        </w:rPr>
        <w:t xml:space="preserve">, как совершенно изолированное помещение, и там Рамзин и </w:t>
      </w:r>
      <w:proofErr w:type="spellStart"/>
      <w:r w:rsidRPr="007122AB">
        <w:rPr>
          <w:color w:val="000000" w:themeColor="text1"/>
          <w:sz w:val="16"/>
          <w:szCs w:val="16"/>
        </w:rPr>
        <w:t>Прат</w:t>
      </w:r>
      <w:proofErr w:type="spellEnd"/>
      <w:r w:rsidRPr="007122AB">
        <w:rPr>
          <w:color w:val="000000" w:themeColor="text1"/>
          <w:sz w:val="16"/>
          <w:szCs w:val="16"/>
        </w:rPr>
        <w:t xml:space="preserve"> говорили по вопросу энергетики в СССР и постройке станций.</w:t>
      </w:r>
    </w:p>
    <w:p w14:paraId="188DBE99"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 xml:space="preserve">Впоследствии </w:t>
      </w:r>
      <w:proofErr w:type="spellStart"/>
      <w:r w:rsidRPr="007122AB">
        <w:rPr>
          <w:color w:val="000000" w:themeColor="text1"/>
          <w:sz w:val="16"/>
          <w:szCs w:val="16"/>
        </w:rPr>
        <w:t>Шенталь</w:t>
      </w:r>
      <w:proofErr w:type="spellEnd"/>
      <w:r w:rsidRPr="007122AB">
        <w:rPr>
          <w:color w:val="000000" w:themeColor="text1"/>
          <w:sz w:val="16"/>
          <w:szCs w:val="16"/>
        </w:rPr>
        <w:t xml:space="preserve"> передавал мне, что было какое-то совещание французов, на котором присутствовал Рамзин, и что ему предполагали поручить одну из руководящих ролей в этом деле.</w:t>
      </w:r>
    </w:p>
    <w:p w14:paraId="10D5BCF1"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 xml:space="preserve">В Москве Рамзин говорил (в январе [19]28 г.), что он давал свой отзыв о целесообразности привлечения Французского Общества к постройке станций в СССР. Что такое привлечение Французского Общества в 1928 г. имело место, подтверждается моим разговором весной 1928 г. с Председателем Энергостроя И. П. </w:t>
      </w:r>
      <w:proofErr w:type="spellStart"/>
      <w:r w:rsidRPr="007122AB">
        <w:rPr>
          <w:color w:val="000000" w:themeColor="text1"/>
          <w:sz w:val="16"/>
          <w:szCs w:val="16"/>
        </w:rPr>
        <w:t>Цишевски</w:t>
      </w:r>
      <w:proofErr w:type="spellEnd"/>
      <w:r w:rsidRPr="007122AB">
        <w:rPr>
          <w:color w:val="000000" w:themeColor="text1"/>
          <w:sz w:val="16"/>
          <w:szCs w:val="16"/>
        </w:rPr>
        <w:t>[м], сообщившим мне, что французы действительно хотели организовать такое Общество.</w:t>
      </w:r>
    </w:p>
    <w:p w14:paraId="72BE165B"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 xml:space="preserve">По приезде в конце декабря 1927 г. в Москву я вскоре получил от </w:t>
      </w:r>
      <w:proofErr w:type="spellStart"/>
      <w:r w:rsidRPr="007122AB">
        <w:rPr>
          <w:color w:val="000000" w:themeColor="text1"/>
          <w:sz w:val="16"/>
          <w:szCs w:val="16"/>
        </w:rPr>
        <w:t>Наркомторга</w:t>
      </w:r>
      <w:proofErr w:type="spellEnd"/>
      <w:r w:rsidRPr="007122AB">
        <w:rPr>
          <w:color w:val="000000" w:themeColor="text1"/>
          <w:sz w:val="16"/>
          <w:szCs w:val="16"/>
        </w:rPr>
        <w:t xml:space="preserve"> извещение, что мое обратное возвращение для работы в Парижском Торгпредстве является крайне желательным. Такое предложение со стороны Торгпредства повторялось неоднократно до августа 1928 г. Со своей стороны проф. Рамзин также дал отзыв о крайней желательности моей работы как специалиста по пылевидному топливу. Мне известно, что об этом он говорил с Энергостроем, Энергоцентром и писал в </w:t>
      </w:r>
      <w:proofErr w:type="spellStart"/>
      <w:r w:rsidRPr="007122AB">
        <w:rPr>
          <w:color w:val="000000" w:themeColor="text1"/>
          <w:sz w:val="16"/>
          <w:szCs w:val="16"/>
        </w:rPr>
        <w:t>Наркомторг</w:t>
      </w:r>
      <w:proofErr w:type="spellEnd"/>
      <w:r w:rsidRPr="007122AB">
        <w:rPr>
          <w:color w:val="000000" w:themeColor="text1"/>
          <w:sz w:val="16"/>
          <w:szCs w:val="16"/>
        </w:rPr>
        <w:t xml:space="preserve">, в </w:t>
      </w:r>
      <w:proofErr w:type="spellStart"/>
      <w:r w:rsidRPr="007122AB">
        <w:rPr>
          <w:color w:val="000000" w:themeColor="text1"/>
          <w:sz w:val="16"/>
          <w:szCs w:val="16"/>
        </w:rPr>
        <w:t>Электроимпорт</w:t>
      </w:r>
      <w:proofErr w:type="spellEnd"/>
      <w:r w:rsidRPr="007122AB">
        <w:rPr>
          <w:color w:val="000000" w:themeColor="text1"/>
          <w:sz w:val="16"/>
          <w:szCs w:val="16"/>
        </w:rPr>
        <w:t>. Рамзин же дал поручительство в моей лояльности Соввласти. Мне он по этому поводу сообщил, что ему желательно иметь своего человека в Париже для исполнения разного рода поручений технического характера.</w:t>
      </w:r>
    </w:p>
    <w:p w14:paraId="016C92BB"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В сентябре 1928 г. выяснилось, что моя командировка в Париж не состоится. С этого времени попыток к поездке за границу не возобновлялось, и связь с заграничными кругами осуществлялась самим Рамзиным и командируемыми инженерами.</w:t>
      </w:r>
    </w:p>
    <w:p w14:paraId="3D45B22D" w14:textId="77777777" w:rsidR="007317D2" w:rsidRPr="007122AB" w:rsidRDefault="007317D2" w:rsidP="007122AB">
      <w:pPr>
        <w:pStyle w:val="rtejustify"/>
        <w:spacing w:before="0" w:after="0"/>
        <w:rPr>
          <w:color w:val="000000" w:themeColor="text1"/>
          <w:sz w:val="16"/>
          <w:szCs w:val="16"/>
        </w:rPr>
      </w:pPr>
      <w:r w:rsidRPr="007122AB">
        <w:rPr>
          <w:color w:val="000000" w:themeColor="text1"/>
          <w:sz w:val="16"/>
          <w:szCs w:val="16"/>
        </w:rPr>
        <w:t>В. Худяков 10/1-31 г.</w:t>
      </w:r>
    </w:p>
    <w:p w14:paraId="35D14290" w14:textId="77777777" w:rsidR="007317D2" w:rsidRPr="007122AB" w:rsidRDefault="007317D2" w:rsidP="007122AB">
      <w:pPr>
        <w:pStyle w:val="ae"/>
        <w:spacing w:before="0" w:after="0"/>
        <w:jc w:val="both"/>
        <w:rPr>
          <w:color w:val="000000" w:themeColor="text1"/>
          <w:sz w:val="16"/>
          <w:szCs w:val="16"/>
        </w:rPr>
      </w:pPr>
      <w:r w:rsidRPr="007122AB">
        <w:rPr>
          <w:rStyle w:val="af0"/>
          <w:i w:val="0"/>
          <w:color w:val="000000" w:themeColor="text1"/>
          <w:sz w:val="16"/>
          <w:szCs w:val="16"/>
        </w:rPr>
        <w:t>ЦА ФСБ РФ. Ф. Р-42280. Т. 3. Л. 322-323. Машинописная копия того времени протокола допроса В. И. Худякова, который проводил следователь СО ОГПУ И. Черток (18745).</w:t>
      </w:r>
    </w:p>
    <w:p w14:paraId="37F367ED" w14:textId="77777777" w:rsidR="007317D2" w:rsidRPr="007122AB" w:rsidRDefault="007317D2" w:rsidP="007122AB">
      <w:pPr>
        <w:spacing w:after="0" w:line="240" w:lineRule="auto"/>
        <w:jc w:val="both"/>
        <w:rPr>
          <w:rFonts w:ascii="Times New Roman" w:hAnsi="Times New Roman"/>
          <w:color w:val="000000" w:themeColor="text1"/>
          <w:sz w:val="16"/>
          <w:szCs w:val="16"/>
        </w:rPr>
      </w:pPr>
    </w:p>
    <w:p w14:paraId="0FE6D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января 1931 Киргизская АССР. Из </w:t>
      </w:r>
      <w:proofErr w:type="spellStart"/>
      <w:r w:rsidRPr="007122AB">
        <w:rPr>
          <w:rFonts w:ascii="Times New Roman" w:hAnsi="Times New Roman"/>
          <w:color w:val="000000" w:themeColor="text1"/>
          <w:sz w:val="16"/>
          <w:szCs w:val="16"/>
        </w:rPr>
        <w:t>Ат-Башинского</w:t>
      </w:r>
      <w:proofErr w:type="spellEnd"/>
      <w:r w:rsidRPr="007122AB">
        <w:rPr>
          <w:rFonts w:ascii="Times New Roman" w:hAnsi="Times New Roman"/>
          <w:color w:val="000000" w:themeColor="text1"/>
          <w:sz w:val="16"/>
          <w:szCs w:val="16"/>
        </w:rPr>
        <w:t xml:space="preserve"> района бежало в Китай более 200 киргизов, организовавших впоследствии басмаческую банду в 40 чел. (10687).</w:t>
      </w:r>
    </w:p>
    <w:p w14:paraId="251BE0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8CCBC1" w14:textId="77777777" w:rsidR="002662B0" w:rsidRPr="007122AB" w:rsidRDefault="002662B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971816E" w14:textId="77777777" w:rsidR="002662B0" w:rsidRPr="007122AB" w:rsidRDefault="002662B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7F3C64" w14:textId="77777777" w:rsidR="002662B0" w:rsidRPr="007122AB" w:rsidRDefault="002662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10 января 1931 г.</w:t>
      </w:r>
    </w:p>
    <w:p w14:paraId="263CA398" w14:textId="77777777" w:rsidR="002662B0" w:rsidRPr="007122AB" w:rsidRDefault="002662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Д. Г. Штерна Ж. Л. Аренсу с оценками вышедших в нацистской и бульварной германской прессе статей о процессе «Промпартии». 10 января 1931 г.</w:t>
      </w:r>
    </w:p>
    <w:p w14:paraId="7F5CBAD5" w14:textId="77777777" w:rsidR="002662B0" w:rsidRPr="007122AB" w:rsidRDefault="002662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3787B8F" w14:textId="77777777" w:rsidR="002662B0" w:rsidRPr="007122AB" w:rsidRDefault="002662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28F24A" w14:textId="77777777" w:rsidR="002662B0" w:rsidRPr="007122AB" w:rsidRDefault="002662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DE3FCD1" w14:textId="77777777" w:rsidR="002662B0" w:rsidRPr="007122AB" w:rsidRDefault="002662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33. Д. 8. Л. 50-50 об.</w:t>
      </w:r>
    </w:p>
    <w:p w14:paraId="4E66A209" w14:textId="77777777" w:rsidR="002662B0" w:rsidRPr="007122AB" w:rsidRDefault="002662B0" w:rsidP="007122AB">
      <w:pPr>
        <w:pStyle w:val="rteright"/>
        <w:spacing w:before="0" w:after="0"/>
        <w:jc w:val="both"/>
        <w:rPr>
          <w:color w:val="000000" w:themeColor="text1"/>
          <w:sz w:val="16"/>
          <w:szCs w:val="16"/>
        </w:rPr>
      </w:pPr>
      <w:r w:rsidRPr="007122AB">
        <w:rPr>
          <w:color w:val="000000" w:themeColor="text1"/>
          <w:sz w:val="16"/>
          <w:szCs w:val="16"/>
        </w:rPr>
        <w:t>10 января 1931 г.</w:t>
      </w:r>
    </w:p>
    <w:p w14:paraId="52631161" w14:textId="77777777" w:rsidR="002662B0" w:rsidRPr="007122AB" w:rsidRDefault="002662B0"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3D9E9579" w14:textId="77777777" w:rsidR="002662B0" w:rsidRPr="007122AB" w:rsidRDefault="002662B0"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07D917A1" w14:textId="77777777" w:rsidR="002662B0" w:rsidRPr="007122AB" w:rsidRDefault="002662B0"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2E6C38B5" w14:textId="77777777" w:rsidR="002662B0" w:rsidRPr="007122AB" w:rsidRDefault="002662B0" w:rsidP="007122AB">
      <w:pPr>
        <w:pStyle w:val="ae"/>
        <w:spacing w:before="0" w:after="0"/>
        <w:jc w:val="both"/>
        <w:rPr>
          <w:color w:val="000000" w:themeColor="text1"/>
          <w:sz w:val="16"/>
          <w:szCs w:val="16"/>
        </w:rPr>
      </w:pPr>
      <w:r w:rsidRPr="007122AB">
        <w:rPr>
          <w:color w:val="000000" w:themeColor="text1"/>
          <w:sz w:val="16"/>
          <w:szCs w:val="16"/>
        </w:rPr>
        <w:t xml:space="preserve">Копии: </w:t>
      </w:r>
      <w:proofErr w:type="spellStart"/>
      <w:r w:rsidRPr="007122AB">
        <w:rPr>
          <w:color w:val="000000" w:themeColor="text1"/>
          <w:sz w:val="16"/>
          <w:szCs w:val="16"/>
        </w:rPr>
        <w:t>т.т</w:t>
      </w:r>
      <w:proofErr w:type="spellEnd"/>
      <w:r w:rsidRPr="007122AB">
        <w:rPr>
          <w:color w:val="000000" w:themeColor="text1"/>
          <w:sz w:val="16"/>
          <w:szCs w:val="16"/>
        </w:rPr>
        <w:t>. Литвинову, Крестинскому, Штейну</w:t>
      </w:r>
    </w:p>
    <w:p w14:paraId="08C83A98" w14:textId="77777777" w:rsidR="002662B0" w:rsidRPr="007122AB" w:rsidRDefault="002662B0"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047C8D99" w14:textId="77777777" w:rsidR="002662B0" w:rsidRPr="007122AB" w:rsidRDefault="002662B0" w:rsidP="007122AB">
      <w:pPr>
        <w:pStyle w:val="rtejustify"/>
        <w:spacing w:before="0" w:after="0"/>
        <w:rPr>
          <w:color w:val="000000" w:themeColor="text1"/>
          <w:sz w:val="16"/>
          <w:szCs w:val="16"/>
        </w:rPr>
      </w:pPr>
      <w:r w:rsidRPr="007122AB">
        <w:rPr>
          <w:color w:val="000000" w:themeColor="text1"/>
          <w:sz w:val="16"/>
          <w:szCs w:val="16"/>
        </w:rPr>
        <w:t>Бюро Шустермана прислало мне за последние дни ряд вырезок, заслуживающих внимания.</w:t>
      </w:r>
    </w:p>
    <w:p w14:paraId="3950D8C9" w14:textId="77777777" w:rsidR="002662B0" w:rsidRPr="007122AB" w:rsidRDefault="002662B0" w:rsidP="007122AB">
      <w:pPr>
        <w:numPr>
          <w:ilvl w:val="0"/>
          <w:numId w:val="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«Дер </w:t>
      </w:r>
      <w:proofErr w:type="spellStart"/>
      <w:r w:rsidRPr="007122AB">
        <w:rPr>
          <w:rFonts w:ascii="Times New Roman" w:hAnsi="Times New Roman"/>
          <w:color w:val="000000" w:themeColor="text1"/>
          <w:sz w:val="16"/>
          <w:szCs w:val="16"/>
        </w:rPr>
        <w:t>дейтче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Форвертс</w:t>
      </w:r>
      <w:proofErr w:type="spellEnd"/>
      <w:r w:rsidRPr="007122AB">
        <w:rPr>
          <w:rFonts w:ascii="Times New Roman" w:hAnsi="Times New Roman"/>
          <w:color w:val="000000" w:themeColor="text1"/>
          <w:sz w:val="16"/>
          <w:szCs w:val="16"/>
        </w:rPr>
        <w:t xml:space="preserve">», орган </w:t>
      </w:r>
      <w:proofErr w:type="spellStart"/>
      <w:r w:rsidRPr="007122AB">
        <w:rPr>
          <w:rFonts w:ascii="Times New Roman" w:hAnsi="Times New Roman"/>
          <w:color w:val="000000" w:themeColor="text1"/>
          <w:sz w:val="16"/>
          <w:szCs w:val="16"/>
        </w:rPr>
        <w:t>дейтч</w:t>
      </w:r>
      <w:proofErr w:type="spellEnd"/>
      <w:r w:rsidRPr="007122AB">
        <w:rPr>
          <w:rFonts w:ascii="Times New Roman" w:hAnsi="Times New Roman"/>
          <w:color w:val="000000" w:themeColor="text1"/>
          <w:sz w:val="16"/>
          <w:szCs w:val="16"/>
        </w:rPr>
        <w:t xml:space="preserve">-национальных профсоюзов, помещает статью, посвященную процессу «Промпартии». В статье указывается, что Советский Союз проводит грандиозный эксперимент, стоящий огромных лишений населения, но имеющий огромное влияние на весь мир. Большевики в своем стремлении ускорить темп индустриализации отнеслись с огромным доверием к старым опытным инженерам. Этим, однако, воспользовались иностранные промышленные круги, а также Франция, заинтересованная в получении аннулированных большевиками займов. Уже давно было установлено, что французский генеральный штаб участвовал в заговоре. </w:t>
      </w:r>
      <w:proofErr w:type="spellStart"/>
      <w:r w:rsidRPr="007122AB">
        <w:rPr>
          <w:rFonts w:ascii="Times New Roman" w:hAnsi="Times New Roman"/>
          <w:color w:val="000000" w:themeColor="text1"/>
          <w:sz w:val="16"/>
          <w:szCs w:val="16"/>
        </w:rPr>
        <w:t>Францпра</w:t>
      </w:r>
      <w:proofErr w:type="spellEnd"/>
      <w:r w:rsidRPr="007122AB">
        <w:rPr>
          <w:rFonts w:ascii="Times New Roman" w:hAnsi="Times New Roman"/>
          <w:color w:val="000000" w:themeColor="text1"/>
          <w:sz w:val="16"/>
          <w:szCs w:val="16"/>
        </w:rPr>
        <w:t xml:space="preserve"> не могло </w:t>
      </w:r>
      <w:proofErr w:type="spellStart"/>
      <w:r w:rsidRPr="007122AB">
        <w:rPr>
          <w:rFonts w:ascii="Times New Roman" w:hAnsi="Times New Roman"/>
          <w:color w:val="000000" w:themeColor="text1"/>
          <w:sz w:val="16"/>
          <w:szCs w:val="16"/>
        </w:rPr>
        <w:t>дементировать</w:t>
      </w:r>
      <w:proofErr w:type="spellEnd"/>
      <w:r w:rsidRPr="007122AB">
        <w:rPr>
          <w:rFonts w:ascii="Times New Roman" w:hAnsi="Times New Roman"/>
          <w:color w:val="000000" w:themeColor="text1"/>
          <w:sz w:val="16"/>
          <w:szCs w:val="16"/>
        </w:rPr>
        <w:t xml:space="preserve"> ряда фактов, в частности того, что русским инженерам была обещана поддержка Франции, в случае их провала. Этим и объясняется то обстоятельство, что арестованные во всем сознались, т. к. они увидели, что французы их бросили на произвол судьбы. Задачей Франции является ослабление России с целью полной изоляции Германии. Отсюда вытекает тождественность германских и советских интересов.</w:t>
      </w:r>
    </w:p>
    <w:p w14:paraId="6D996551" w14:textId="77777777" w:rsidR="002662B0" w:rsidRPr="007122AB" w:rsidRDefault="002662B0" w:rsidP="007122AB">
      <w:pPr>
        <w:numPr>
          <w:ilvl w:val="0"/>
          <w:numId w:val="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Бульварный «Клейне </w:t>
      </w:r>
      <w:proofErr w:type="spellStart"/>
      <w:r w:rsidRPr="007122AB">
        <w:rPr>
          <w:rFonts w:ascii="Times New Roman" w:hAnsi="Times New Roman"/>
          <w:color w:val="000000" w:themeColor="text1"/>
          <w:sz w:val="16"/>
          <w:szCs w:val="16"/>
        </w:rPr>
        <w:t>Журналь</w:t>
      </w:r>
      <w:proofErr w:type="spellEnd"/>
      <w:r w:rsidRPr="007122AB">
        <w:rPr>
          <w:rFonts w:ascii="Times New Roman" w:hAnsi="Times New Roman"/>
          <w:color w:val="000000" w:themeColor="text1"/>
          <w:sz w:val="16"/>
          <w:szCs w:val="16"/>
        </w:rPr>
        <w:t>» помещает большое сообщение, озаглавленное «Что происходит во французском посольстве &lt;в Берлине&gt;». Указывается, что спешно отозван, в связи с скандалом, морской атташе де Прево. Далее отозван корректный и порядочный офицер ген[</w:t>
      </w:r>
      <w:proofErr w:type="spellStart"/>
      <w:r w:rsidRPr="007122AB">
        <w:rPr>
          <w:rFonts w:ascii="Times New Roman" w:hAnsi="Times New Roman"/>
          <w:color w:val="000000" w:themeColor="text1"/>
          <w:sz w:val="16"/>
          <w:szCs w:val="16"/>
        </w:rPr>
        <w:t>ерал</w:t>
      </w:r>
      <w:proofErr w:type="spellEnd"/>
      <w:r w:rsidRPr="007122AB">
        <w:rPr>
          <w:rFonts w:ascii="Times New Roman" w:hAnsi="Times New Roman"/>
          <w:color w:val="000000" w:themeColor="text1"/>
          <w:sz w:val="16"/>
          <w:szCs w:val="16"/>
        </w:rPr>
        <w:t xml:space="preserve">] Турне и вместо него военным атташе назначен матерый разведчик и крупный работник Отдела по Шпионажу французского Генштаба </w:t>
      </w:r>
      <w:proofErr w:type="spellStart"/>
      <w:r w:rsidRPr="007122AB">
        <w:rPr>
          <w:rFonts w:ascii="Times New Roman" w:hAnsi="Times New Roman"/>
          <w:color w:val="000000" w:themeColor="text1"/>
          <w:sz w:val="16"/>
          <w:szCs w:val="16"/>
        </w:rPr>
        <w:t>Шаполи</w:t>
      </w:r>
      <w:proofErr w:type="spellEnd"/>
      <w:r w:rsidRPr="007122AB">
        <w:rPr>
          <w:rFonts w:ascii="Times New Roman" w:hAnsi="Times New Roman"/>
          <w:color w:val="000000" w:themeColor="text1"/>
          <w:sz w:val="16"/>
          <w:szCs w:val="16"/>
        </w:rPr>
        <w:t xml:space="preserve">. Он проводил большую работу, направленную против Германии в Сааре и Силезии. Далее отозван финансовый атташе Шевалье, который вместе с торговым атташе Лефевром, отозвание которого предстоит, наносили большой ущерб германскому народному хозяйству, давая в Париж ложные сообщения о предстоящем падении курса германских ценностей, что было ими использовано для спекуляции германскими акциями. Оба они были замешаны вместе со своим покровителем </w:t>
      </w:r>
      <w:proofErr w:type="spellStart"/>
      <w:r w:rsidRPr="007122AB">
        <w:rPr>
          <w:rFonts w:ascii="Times New Roman" w:hAnsi="Times New Roman"/>
          <w:color w:val="000000" w:themeColor="text1"/>
          <w:sz w:val="16"/>
          <w:szCs w:val="16"/>
        </w:rPr>
        <w:t>Тардье</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устриковском</w:t>
      </w:r>
      <w:proofErr w:type="spellEnd"/>
      <w:r w:rsidRPr="007122AB">
        <w:rPr>
          <w:rFonts w:ascii="Times New Roman" w:hAnsi="Times New Roman"/>
          <w:color w:val="000000" w:themeColor="text1"/>
          <w:sz w:val="16"/>
          <w:szCs w:val="16"/>
        </w:rPr>
        <w:t xml:space="preserve"> скандале.</w:t>
      </w:r>
    </w:p>
    <w:p w14:paraId="30D0CD83" w14:textId="77777777" w:rsidR="002662B0" w:rsidRPr="007122AB" w:rsidRDefault="002662B0" w:rsidP="007122AB">
      <w:pPr>
        <w:numPr>
          <w:ilvl w:val="0"/>
          <w:numId w:val="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Фелькише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Беобахтер</w:t>
      </w:r>
      <w:proofErr w:type="spellEnd"/>
      <w:r w:rsidRPr="007122AB">
        <w:rPr>
          <w:rFonts w:ascii="Times New Roman" w:hAnsi="Times New Roman"/>
          <w:color w:val="000000" w:themeColor="text1"/>
          <w:sz w:val="16"/>
          <w:szCs w:val="16"/>
        </w:rPr>
        <w:t xml:space="preserve">» под большим заголовком «Все французские министры продажны» приводит сообщение, направленное против </w:t>
      </w:r>
      <w:proofErr w:type="spellStart"/>
      <w:r w:rsidRPr="007122AB">
        <w:rPr>
          <w:rFonts w:ascii="Times New Roman" w:hAnsi="Times New Roman"/>
          <w:color w:val="000000" w:themeColor="text1"/>
          <w:sz w:val="16"/>
          <w:szCs w:val="16"/>
        </w:rPr>
        <w:t>Тардье</w:t>
      </w:r>
      <w:proofErr w:type="spellEnd"/>
      <w:r w:rsidRPr="007122AB">
        <w:rPr>
          <w:rFonts w:ascii="Times New Roman" w:hAnsi="Times New Roman"/>
          <w:color w:val="000000" w:themeColor="text1"/>
          <w:sz w:val="16"/>
          <w:szCs w:val="16"/>
        </w:rPr>
        <w:t xml:space="preserve"> и содержащее очень резкие эпитеты, как шибер и проч.</w:t>
      </w:r>
    </w:p>
    <w:p w14:paraId="5568E272" w14:textId="77777777" w:rsidR="002662B0" w:rsidRPr="007122AB" w:rsidRDefault="002662B0" w:rsidP="007122AB">
      <w:pPr>
        <w:numPr>
          <w:ilvl w:val="0"/>
          <w:numId w:val="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Дейтче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Тагесцейтунг</w:t>
      </w:r>
      <w:proofErr w:type="spellEnd"/>
      <w:r w:rsidRPr="007122AB">
        <w:rPr>
          <w:rFonts w:ascii="Times New Roman" w:hAnsi="Times New Roman"/>
          <w:color w:val="000000" w:themeColor="text1"/>
          <w:sz w:val="16"/>
          <w:szCs w:val="16"/>
        </w:rPr>
        <w:t>» помещает сенсационное разоблачение о том, что в Данциге якобы существует польская тайная военная школа, функционирующая под прикрытием лиги польской культуры. Основанием для этого разоблачения является заявление какого-то студента, направленное якобы в польские военные органы, с просьбой предоставить ему возможность проходить курс военного обучения в польской военной школе в Данциге.</w:t>
      </w:r>
    </w:p>
    <w:p w14:paraId="33C410AC" w14:textId="77777777" w:rsidR="002662B0" w:rsidRPr="007122AB" w:rsidRDefault="002662B0" w:rsidP="007122AB">
      <w:pPr>
        <w:pStyle w:val="rtejustify"/>
        <w:spacing w:before="0" w:after="0"/>
        <w:rPr>
          <w:color w:val="000000" w:themeColor="text1"/>
          <w:sz w:val="16"/>
          <w:szCs w:val="16"/>
        </w:rPr>
      </w:pPr>
      <w:r w:rsidRPr="007122AB">
        <w:rPr>
          <w:color w:val="000000" w:themeColor="text1"/>
          <w:sz w:val="16"/>
          <w:szCs w:val="16"/>
        </w:rPr>
        <w:lastRenderedPageBreak/>
        <w:t xml:space="preserve">По наведенным мною справкам, все эти сообщения в основном не соответствуют действительности, исключая лишь личности </w:t>
      </w:r>
      <w:proofErr w:type="spellStart"/>
      <w:r w:rsidRPr="007122AB">
        <w:rPr>
          <w:color w:val="000000" w:themeColor="text1"/>
          <w:sz w:val="16"/>
          <w:szCs w:val="16"/>
        </w:rPr>
        <w:t>Шаполи</w:t>
      </w:r>
      <w:proofErr w:type="spellEnd"/>
      <w:r w:rsidRPr="007122AB">
        <w:rPr>
          <w:color w:val="000000" w:themeColor="text1"/>
          <w:sz w:val="16"/>
          <w:szCs w:val="16"/>
        </w:rPr>
        <w:t xml:space="preserve"> и отозвания военного морского, военного и финансового атташе.</w:t>
      </w:r>
    </w:p>
    <w:p w14:paraId="03C0677C" w14:textId="77777777" w:rsidR="002662B0" w:rsidRPr="007122AB" w:rsidRDefault="002662B0"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074EC117" w14:textId="77777777" w:rsidR="002662B0" w:rsidRPr="007122AB" w:rsidRDefault="002662B0" w:rsidP="007122AB">
      <w:pPr>
        <w:pStyle w:val="rtejustify"/>
        <w:spacing w:before="0" w:after="0"/>
        <w:rPr>
          <w:color w:val="000000" w:themeColor="text1"/>
          <w:sz w:val="16"/>
          <w:szCs w:val="16"/>
        </w:rPr>
      </w:pPr>
      <w:r w:rsidRPr="007122AB">
        <w:rPr>
          <w:color w:val="000000" w:themeColor="text1"/>
          <w:sz w:val="16"/>
          <w:szCs w:val="16"/>
        </w:rPr>
        <w:t>Д. Штерн</w:t>
      </w:r>
    </w:p>
    <w:p w14:paraId="735235F1" w14:textId="77777777" w:rsidR="002662B0" w:rsidRPr="007122AB" w:rsidRDefault="002662B0"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33. Д. 8. Л. 50-50 об. Машинописный подлинник на бланке Полпредства СССР в Германии, подпись — автограф. Гриф секретности и дата машинописью, исходящий номер «№ 80» от руки в графе бланка. Вверху Л. 30 написаны от руки входящий номер и дата получения документа «15/I-31 г.», подпись-росчерк Миронова (18893).</w:t>
      </w:r>
    </w:p>
    <w:p w14:paraId="33EC4D4C" w14:textId="77777777" w:rsidR="002662B0" w:rsidRPr="007122AB" w:rsidRDefault="002662B0" w:rsidP="007122AB">
      <w:pPr>
        <w:spacing w:after="0" w:line="240" w:lineRule="auto"/>
        <w:jc w:val="both"/>
        <w:rPr>
          <w:rFonts w:ascii="Times New Roman" w:hAnsi="Times New Roman"/>
          <w:color w:val="000000" w:themeColor="text1"/>
          <w:sz w:val="16"/>
          <w:szCs w:val="16"/>
        </w:rPr>
      </w:pPr>
    </w:p>
    <w:p w14:paraId="0B5E221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54DCEA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FCB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января 1931 г. Р-ЗЛД с АПК-1 с новым трубчатым магазином на три снаряда, установленным параллельно стволу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w:t>
      </w:r>
      <w:proofErr w:type="spellStart"/>
      <w:r w:rsidRPr="007122AB">
        <w:rPr>
          <w:rFonts w:ascii="Times New Roman" w:hAnsi="Times New Roman"/>
          <w:color w:val="000000" w:themeColor="text1"/>
          <w:sz w:val="16"/>
          <w:szCs w:val="16"/>
        </w:rPr>
        <w:t>буксировавшемуся</w:t>
      </w:r>
      <w:proofErr w:type="spellEnd"/>
      <w:r w:rsidRPr="007122AB">
        <w:rPr>
          <w:rFonts w:ascii="Times New Roman" w:hAnsi="Times New Roman"/>
          <w:color w:val="000000" w:themeColor="text1"/>
          <w:sz w:val="16"/>
          <w:szCs w:val="16"/>
        </w:rPr>
        <w:t xml:space="preserve"> другим самолетом. Перезарядку осуществлял летнаб, дергая за трос. Он же должен был в полете, высовываясь за борт, укладывать новые боеприпасы в магазин. Сведений о попаданиях обнаружить не удалось.</w:t>
      </w:r>
    </w:p>
    <w:p w14:paraId="6D41E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Упоминания об испытаниях ДРП на Р-ЗЛД встречаются в документах до конца 1931 г. Но надежность </w:t>
      </w:r>
      <w:proofErr w:type="spellStart"/>
      <w:r w:rsidRPr="007122AB">
        <w:rPr>
          <w:rFonts w:ascii="Times New Roman" w:hAnsi="Times New Roman"/>
          <w:color w:val="000000" w:themeColor="text1"/>
          <w:sz w:val="16"/>
          <w:szCs w:val="16"/>
        </w:rPr>
        <w:t>динамореактивной</w:t>
      </w:r>
      <w:proofErr w:type="spellEnd"/>
      <w:r w:rsidRPr="007122AB">
        <w:rPr>
          <w:rFonts w:ascii="Times New Roman" w:hAnsi="Times New Roman"/>
          <w:color w:val="000000" w:themeColor="text1"/>
          <w:sz w:val="16"/>
          <w:szCs w:val="16"/>
        </w:rPr>
        <w:t xml:space="preserve">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15223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13BA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года были начаты наземные испытания КАСКР-2. В этот день замерили тягу винта при различных оборотах мотора. При полном газе новый двигатель обеспечил 400 кгс тяги, на 80 кгс больше, чем при старом (10224,33).</w:t>
      </w:r>
    </w:p>
    <w:p w14:paraId="7BF97F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6D0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г. модифицированный автожир КАСКР-1 «Красный инженер» начал проходить испытания, и вскоре, 2 мая 1931 г., Н. И. Камову удалось добиться, чтобы автожир был про</w:t>
      </w:r>
      <w:r w:rsidRPr="007122AB">
        <w:rPr>
          <w:rFonts w:ascii="Times New Roman" w:hAnsi="Times New Roman"/>
          <w:color w:val="000000" w:themeColor="text1"/>
          <w:sz w:val="16"/>
          <w:szCs w:val="16"/>
        </w:rPr>
        <w:softHyphen/>
        <w:t>демонстрирован членам правительства во главе в И. В. Сталиным, поддержавшим работы Н. И. Камова по автожирам. Об этом под</w:t>
      </w:r>
      <w:r w:rsidRPr="007122AB">
        <w:rPr>
          <w:rFonts w:ascii="Times New Roman" w:hAnsi="Times New Roman"/>
          <w:color w:val="000000" w:themeColor="text1"/>
          <w:sz w:val="16"/>
          <w:szCs w:val="16"/>
        </w:rPr>
        <w:softHyphen/>
        <w:t>робно рассказано в книге «Камов», подготовленной Ю. А. Савин-</w:t>
      </w:r>
      <w:proofErr w:type="spellStart"/>
      <w:r w:rsidRPr="007122AB">
        <w:rPr>
          <w:rFonts w:ascii="Times New Roman" w:hAnsi="Times New Roman"/>
          <w:color w:val="000000" w:themeColor="text1"/>
          <w:sz w:val="16"/>
          <w:szCs w:val="16"/>
        </w:rPr>
        <w:t>ским</w:t>
      </w:r>
      <w:proofErr w:type="spellEnd"/>
      <w:r w:rsidRPr="007122AB">
        <w:rPr>
          <w:rFonts w:ascii="Times New Roman" w:hAnsi="Times New Roman"/>
          <w:color w:val="000000" w:themeColor="text1"/>
          <w:sz w:val="16"/>
          <w:szCs w:val="16"/>
        </w:rPr>
        <w:t xml:space="preserve"> к 100-летию со дня рождения Н. И. Камова. Всего на авто</w:t>
      </w:r>
      <w:r w:rsidRPr="007122AB">
        <w:rPr>
          <w:rFonts w:ascii="Times New Roman" w:hAnsi="Times New Roman"/>
          <w:color w:val="000000" w:themeColor="text1"/>
          <w:sz w:val="16"/>
          <w:szCs w:val="16"/>
        </w:rPr>
        <w:softHyphen/>
        <w:t>жире КАСКР-2 летчиком Д. А. Кошицем было совершено 90 по</w:t>
      </w:r>
      <w:r w:rsidRPr="007122AB">
        <w:rPr>
          <w:rFonts w:ascii="Times New Roman" w:hAnsi="Times New Roman"/>
          <w:color w:val="000000" w:themeColor="text1"/>
          <w:sz w:val="16"/>
          <w:szCs w:val="16"/>
        </w:rPr>
        <w:softHyphen/>
        <w:t>летов, достигнута скорость 110 км/ч и высота 450 м (10736).</w:t>
      </w:r>
    </w:p>
    <w:p w14:paraId="0DCF32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EA8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января 1931 г. с новым мотором автожир, который стал называться КАСКР-2, впервые поднялся в воздух. 21 мая 1931 г. на Центральном аэродроме в Тушино автожир Камова и </w:t>
      </w:r>
      <w:proofErr w:type="spellStart"/>
      <w:r w:rsidRPr="007122AB">
        <w:rPr>
          <w:rFonts w:ascii="Times New Roman" w:hAnsi="Times New Roman"/>
          <w:color w:val="000000" w:themeColor="text1"/>
          <w:sz w:val="16"/>
          <w:szCs w:val="16"/>
        </w:rPr>
        <w:t>Скрижинского</w:t>
      </w:r>
      <w:proofErr w:type="spellEnd"/>
      <w:r w:rsidRPr="007122AB">
        <w:rPr>
          <w:rFonts w:ascii="Times New Roman" w:hAnsi="Times New Roman"/>
          <w:color w:val="000000" w:themeColor="text1"/>
          <w:sz w:val="16"/>
          <w:szCs w:val="16"/>
        </w:rPr>
        <w:t xml:space="preserve">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w:t>
      </w:r>
      <w:proofErr w:type="spellStart"/>
      <w:r w:rsidRPr="007122AB">
        <w:rPr>
          <w:rFonts w:ascii="Times New Roman" w:hAnsi="Times New Roman"/>
          <w:color w:val="000000" w:themeColor="text1"/>
          <w:sz w:val="16"/>
          <w:szCs w:val="16"/>
        </w:rPr>
        <w:t>КАСКРом</w:t>
      </w:r>
      <w:proofErr w:type="spellEnd"/>
      <w:r w:rsidRPr="007122AB">
        <w:rPr>
          <w:rFonts w:ascii="Times New Roman" w:hAnsi="Times New Roman"/>
          <w:color w:val="000000" w:themeColor="text1"/>
          <w:sz w:val="16"/>
          <w:szCs w:val="16"/>
        </w:rPr>
        <w:t>.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0D5CE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A8B508" w14:textId="77777777" w:rsidR="000B4A7D" w:rsidRPr="007122AB" w:rsidRDefault="000B4A7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11 января</w:t>
      </w:r>
      <w:r w:rsidRPr="007122AB">
        <w:rPr>
          <w:rFonts w:ascii="Times New Roman" w:hAnsi="Times New Roman"/>
          <w:color w:val="000000" w:themeColor="text1"/>
          <w:sz w:val="16"/>
          <w:szCs w:val="16"/>
        </w:rPr>
        <w:t xml:space="preserve"> в 1931 году первый полёт автожира «КАСКР-2» с двигателем "Титан" (235 л.с.). Построен Камовым вместе с Н. </w:t>
      </w:r>
      <w:proofErr w:type="spellStart"/>
      <w:r w:rsidRPr="007122AB">
        <w:rPr>
          <w:rFonts w:ascii="Times New Roman" w:hAnsi="Times New Roman"/>
          <w:color w:val="000000" w:themeColor="text1"/>
          <w:sz w:val="16"/>
          <w:szCs w:val="16"/>
        </w:rPr>
        <w:t>К.Скрижинским</w:t>
      </w:r>
      <w:proofErr w:type="spellEnd"/>
      <w:r w:rsidRPr="007122AB">
        <w:rPr>
          <w:rFonts w:ascii="Times New Roman" w:hAnsi="Times New Roman"/>
          <w:color w:val="000000" w:themeColor="text1"/>
          <w:sz w:val="16"/>
          <w:szCs w:val="16"/>
        </w:rPr>
        <w:t xml:space="preserve">, отсюда и название – «КАСКР» (Камов - </w:t>
      </w:r>
      <w:proofErr w:type="spellStart"/>
      <w:r w:rsidRPr="007122AB">
        <w:rPr>
          <w:rFonts w:ascii="Times New Roman" w:hAnsi="Times New Roman"/>
          <w:color w:val="000000" w:themeColor="text1"/>
          <w:sz w:val="16"/>
          <w:szCs w:val="16"/>
        </w:rPr>
        <w:t>Скрижинский</w:t>
      </w:r>
      <w:proofErr w:type="spellEnd"/>
      <w:r w:rsidRPr="007122AB">
        <w:rPr>
          <w:rFonts w:ascii="Times New Roman" w:hAnsi="Times New Roman"/>
          <w:color w:val="000000" w:themeColor="text1"/>
          <w:sz w:val="16"/>
          <w:szCs w:val="16"/>
        </w:rPr>
        <w:t>)</w:t>
      </w:r>
    </w:p>
    <w:p w14:paraId="4635D517" w14:textId="77777777" w:rsidR="000B4A7D" w:rsidRPr="007122AB" w:rsidRDefault="000B4A7D" w:rsidP="007122AB">
      <w:pPr>
        <w:spacing w:after="0" w:line="240" w:lineRule="auto"/>
        <w:jc w:val="both"/>
        <w:rPr>
          <w:rFonts w:ascii="Times New Roman" w:hAnsi="Times New Roman"/>
          <w:bCs/>
          <w:color w:val="000000" w:themeColor="text1"/>
          <w:sz w:val="16"/>
          <w:szCs w:val="16"/>
        </w:rPr>
      </w:pPr>
    </w:p>
    <w:p w14:paraId="53D98D9A"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г. начались испытания КАСКР-2 (предыдущий, соответст</w:t>
      </w:r>
      <w:r w:rsidRPr="007122AB">
        <w:rPr>
          <w:rFonts w:ascii="Times New Roman" w:hAnsi="Times New Roman"/>
          <w:color w:val="000000" w:themeColor="text1"/>
          <w:sz w:val="16"/>
          <w:szCs w:val="16"/>
        </w:rPr>
        <w:softHyphen/>
        <w:t>венно, КАСКР-1). Практически сразу на нем начал летать новый летчик С.А. Корзинщиков, впоследствии испытавший многие со</w:t>
      </w:r>
      <w:r w:rsidRPr="007122AB">
        <w:rPr>
          <w:rFonts w:ascii="Times New Roman" w:hAnsi="Times New Roman"/>
          <w:color w:val="000000" w:themeColor="text1"/>
          <w:sz w:val="16"/>
          <w:szCs w:val="16"/>
        </w:rPr>
        <w:softHyphen/>
        <w:t>ветские опытные автожиры. Более мощный двигатель заметно повысил способнос</w:t>
      </w:r>
      <w:r w:rsidRPr="007122AB">
        <w:rPr>
          <w:rFonts w:ascii="Times New Roman" w:hAnsi="Times New Roman"/>
          <w:color w:val="000000" w:themeColor="text1"/>
          <w:sz w:val="16"/>
          <w:szCs w:val="16"/>
        </w:rPr>
        <w:softHyphen/>
        <w:t xml:space="preserve">ти </w:t>
      </w:r>
      <w:proofErr w:type="spellStart"/>
      <w:r w:rsidRPr="007122AB">
        <w:rPr>
          <w:rFonts w:ascii="Times New Roman" w:hAnsi="Times New Roman"/>
          <w:color w:val="000000" w:themeColor="text1"/>
          <w:sz w:val="16"/>
          <w:szCs w:val="16"/>
        </w:rPr>
        <w:t>КАСКРа</w:t>
      </w:r>
      <w:proofErr w:type="spellEnd"/>
      <w:r w:rsidRPr="007122AB">
        <w:rPr>
          <w:rFonts w:ascii="Times New Roman" w:hAnsi="Times New Roman"/>
          <w:color w:val="000000" w:themeColor="text1"/>
          <w:sz w:val="16"/>
          <w:szCs w:val="16"/>
        </w:rPr>
        <w:t xml:space="preserve"> — разбег составлял 20 метров в течение 5-6 се</w:t>
      </w:r>
      <w:r w:rsidRPr="007122AB">
        <w:rPr>
          <w:rFonts w:ascii="Times New Roman" w:hAnsi="Times New Roman"/>
          <w:color w:val="000000" w:themeColor="text1"/>
          <w:sz w:val="16"/>
          <w:szCs w:val="16"/>
        </w:rPr>
        <w:softHyphen/>
        <w:t>кунд, а максимальная высота, достигнутая 13 января, со</w:t>
      </w:r>
      <w:r w:rsidRPr="007122AB">
        <w:rPr>
          <w:rFonts w:ascii="Times New Roman" w:hAnsi="Times New Roman"/>
          <w:color w:val="000000" w:themeColor="text1"/>
          <w:sz w:val="16"/>
          <w:szCs w:val="16"/>
        </w:rPr>
        <w:softHyphen/>
        <w:t>ставила 230 метров (20361).</w:t>
      </w:r>
    </w:p>
    <w:p w14:paraId="5C1A4188" w14:textId="77777777" w:rsidR="00B23E00" w:rsidRPr="007122AB" w:rsidRDefault="00B23E00" w:rsidP="007122AB">
      <w:pPr>
        <w:shd w:val="clear" w:color="auto" w:fill="FFFFFF"/>
        <w:spacing w:after="0" w:line="240" w:lineRule="auto"/>
        <w:jc w:val="both"/>
        <w:rPr>
          <w:rFonts w:ascii="Times New Roman" w:hAnsi="Times New Roman"/>
          <w:color w:val="000000" w:themeColor="text1"/>
          <w:sz w:val="16"/>
          <w:szCs w:val="16"/>
        </w:rPr>
      </w:pPr>
    </w:p>
    <w:p w14:paraId="1A3C9D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СНК постановил относить новостройки ГВФ к первоочередным и подлежащими внеочередному снабжению (356,417).</w:t>
      </w:r>
    </w:p>
    <w:p w14:paraId="226EA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2B115B" w14:textId="77777777" w:rsidR="00EA061A" w:rsidRPr="009F5089" w:rsidRDefault="00EA061A" w:rsidP="00EA061A">
      <w:pPr>
        <w:spacing w:after="0" w:line="240" w:lineRule="auto"/>
        <w:jc w:val="both"/>
        <w:rPr>
          <w:rFonts w:ascii="Times New Roman" w:hAnsi="Times New Roman"/>
          <w:color w:val="0070C0"/>
          <w:sz w:val="16"/>
          <w:szCs w:val="16"/>
        </w:rPr>
      </w:pPr>
      <w:r w:rsidRPr="00F41CA1">
        <w:rPr>
          <w:rFonts w:ascii="Times New Roman" w:hAnsi="Times New Roman"/>
          <w:color w:val="0070C0"/>
          <w:sz w:val="16"/>
          <w:szCs w:val="16"/>
        </w:rPr>
        <w:t>11</w:t>
      </w:r>
      <w:r w:rsidRPr="009F5089">
        <w:rPr>
          <w:rFonts w:ascii="Times New Roman" w:hAnsi="Times New Roman"/>
          <w:color w:val="0070C0"/>
          <w:sz w:val="16"/>
          <w:szCs w:val="16"/>
        </w:rPr>
        <w:t xml:space="preserve"> января</w:t>
      </w:r>
      <w:r w:rsidRPr="00F41CA1">
        <w:rPr>
          <w:rFonts w:ascii="Times New Roman" w:hAnsi="Times New Roman"/>
          <w:color w:val="0070C0"/>
          <w:sz w:val="16"/>
          <w:szCs w:val="16"/>
        </w:rPr>
        <w:t xml:space="preserve"> 1931 </w:t>
      </w:r>
      <w:r>
        <w:rPr>
          <w:rFonts w:ascii="Times New Roman" w:hAnsi="Times New Roman"/>
          <w:color w:val="0070C0"/>
          <w:sz w:val="16"/>
          <w:szCs w:val="16"/>
        </w:rPr>
        <w:t>г.</w:t>
      </w:r>
      <w:r w:rsidRPr="009F5089">
        <w:rPr>
          <w:rFonts w:ascii="Times New Roman" w:hAnsi="Times New Roman"/>
          <w:color w:val="0070C0"/>
          <w:sz w:val="16"/>
          <w:szCs w:val="16"/>
        </w:rPr>
        <w:t xml:space="preserve"> С</w:t>
      </w:r>
      <w:r>
        <w:rPr>
          <w:rFonts w:ascii="Times New Roman" w:hAnsi="Times New Roman"/>
          <w:color w:val="0070C0"/>
          <w:sz w:val="16"/>
          <w:szCs w:val="16"/>
        </w:rPr>
        <w:t>Н</w:t>
      </w:r>
      <w:r w:rsidRPr="009F5089">
        <w:rPr>
          <w:rFonts w:ascii="Times New Roman" w:hAnsi="Times New Roman"/>
          <w:color w:val="0070C0"/>
          <w:sz w:val="16"/>
          <w:szCs w:val="16"/>
        </w:rPr>
        <w:t>К СССР вынес постановление, об</w:t>
      </w:r>
      <w:r>
        <w:rPr>
          <w:rFonts w:ascii="Times New Roman" w:hAnsi="Times New Roman"/>
          <w:color w:val="0070C0"/>
          <w:sz w:val="16"/>
          <w:szCs w:val="16"/>
        </w:rPr>
        <w:t>ъ</w:t>
      </w:r>
      <w:r w:rsidRPr="009F5089">
        <w:rPr>
          <w:rFonts w:ascii="Times New Roman" w:hAnsi="Times New Roman"/>
          <w:color w:val="0070C0"/>
          <w:sz w:val="16"/>
          <w:szCs w:val="16"/>
        </w:rPr>
        <w:t>являвшее в</w:t>
      </w:r>
      <w:r>
        <w:rPr>
          <w:rFonts w:ascii="Times New Roman" w:hAnsi="Times New Roman"/>
          <w:color w:val="0070C0"/>
          <w:sz w:val="16"/>
          <w:szCs w:val="16"/>
        </w:rPr>
        <w:t>с</w:t>
      </w:r>
      <w:r w:rsidRPr="009F5089">
        <w:rPr>
          <w:rFonts w:ascii="Times New Roman" w:hAnsi="Times New Roman"/>
          <w:color w:val="0070C0"/>
          <w:sz w:val="16"/>
          <w:szCs w:val="16"/>
        </w:rPr>
        <w:t>е строите</w:t>
      </w:r>
      <w:r>
        <w:rPr>
          <w:rFonts w:ascii="Times New Roman" w:hAnsi="Times New Roman"/>
          <w:color w:val="0070C0"/>
          <w:sz w:val="16"/>
          <w:szCs w:val="16"/>
        </w:rPr>
        <w:t xml:space="preserve">льство и </w:t>
      </w:r>
      <w:r w:rsidRPr="009F5089">
        <w:rPr>
          <w:rFonts w:ascii="Times New Roman" w:hAnsi="Times New Roman"/>
          <w:color w:val="0070C0"/>
          <w:sz w:val="16"/>
          <w:szCs w:val="16"/>
        </w:rPr>
        <w:t>эксплуатацию гражданского воздушного флота особо прив</w:t>
      </w:r>
      <w:r>
        <w:rPr>
          <w:rFonts w:ascii="Times New Roman" w:hAnsi="Times New Roman"/>
          <w:color w:val="0070C0"/>
          <w:sz w:val="16"/>
          <w:szCs w:val="16"/>
        </w:rPr>
        <w:t>илегированными</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отнесенными к внеочередным важнейшим объектам.</w:t>
      </w:r>
      <w:r>
        <w:rPr>
          <w:rFonts w:ascii="Times New Roman" w:hAnsi="Times New Roman"/>
          <w:color w:val="0070C0"/>
          <w:sz w:val="16"/>
          <w:szCs w:val="16"/>
        </w:rPr>
        <w:t xml:space="preserve"> </w:t>
      </w:r>
      <w:r w:rsidRPr="009F5089">
        <w:rPr>
          <w:rFonts w:ascii="Times New Roman" w:hAnsi="Times New Roman"/>
          <w:color w:val="0070C0"/>
          <w:sz w:val="16"/>
          <w:szCs w:val="16"/>
        </w:rPr>
        <w:t>Ряд</w:t>
      </w:r>
      <w:r>
        <w:rPr>
          <w:rFonts w:ascii="Times New Roman" w:hAnsi="Times New Roman"/>
          <w:color w:val="0070C0"/>
          <w:sz w:val="16"/>
          <w:szCs w:val="16"/>
        </w:rPr>
        <w:t xml:space="preserve"> дальнейших </w:t>
      </w:r>
      <w:r w:rsidRPr="009F5089">
        <w:rPr>
          <w:rFonts w:ascii="Times New Roman" w:hAnsi="Times New Roman"/>
          <w:color w:val="0070C0"/>
          <w:sz w:val="16"/>
          <w:szCs w:val="16"/>
        </w:rPr>
        <w:t>постановлений партии и правительства придавал</w:t>
      </w:r>
      <w:r>
        <w:rPr>
          <w:rFonts w:ascii="Times New Roman" w:hAnsi="Times New Roman"/>
          <w:color w:val="0070C0"/>
          <w:sz w:val="16"/>
          <w:szCs w:val="16"/>
        </w:rPr>
        <w:t>и</w:t>
      </w:r>
      <w:r w:rsidRPr="009F5089">
        <w:rPr>
          <w:rFonts w:ascii="Times New Roman" w:hAnsi="Times New Roman"/>
          <w:color w:val="0070C0"/>
          <w:sz w:val="16"/>
          <w:szCs w:val="16"/>
        </w:rPr>
        <w:t xml:space="preserve"> гра</w:t>
      </w:r>
      <w:r>
        <w:rPr>
          <w:rFonts w:ascii="Times New Roman" w:hAnsi="Times New Roman"/>
          <w:color w:val="0070C0"/>
          <w:sz w:val="16"/>
          <w:szCs w:val="16"/>
        </w:rPr>
        <w:t>жданскому</w:t>
      </w:r>
      <w:r w:rsidRPr="009F5089">
        <w:rPr>
          <w:rFonts w:ascii="Times New Roman" w:hAnsi="Times New Roman"/>
          <w:color w:val="0070C0"/>
          <w:sz w:val="16"/>
          <w:szCs w:val="16"/>
        </w:rPr>
        <w:t xml:space="preserve"> воздушному флоту первостепенное значение.</w:t>
      </w:r>
    </w:p>
    <w:p w14:paraId="174594D8" w14:textId="77777777" w:rsidR="00EA061A" w:rsidRDefault="00EA061A" w:rsidP="00EA061A">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/ВВФ,</w:t>
      </w:r>
      <w:r>
        <w:rPr>
          <w:rFonts w:ascii="Times New Roman" w:hAnsi="Times New Roman"/>
          <w:color w:val="0070C0"/>
          <w:sz w:val="16"/>
          <w:szCs w:val="16"/>
        </w:rPr>
        <w:t xml:space="preserve"> </w:t>
      </w:r>
      <w:r w:rsidRPr="009F5089">
        <w:rPr>
          <w:rFonts w:ascii="Times New Roman" w:hAnsi="Times New Roman"/>
          <w:color w:val="0070C0"/>
          <w:sz w:val="16"/>
          <w:szCs w:val="16"/>
        </w:rPr>
        <w:t>1931 № 4,</w:t>
      </w:r>
      <w:r>
        <w:rPr>
          <w:rFonts w:ascii="Times New Roman" w:hAnsi="Times New Roman"/>
          <w:color w:val="0070C0"/>
          <w:sz w:val="16"/>
          <w:szCs w:val="16"/>
        </w:rPr>
        <w:t xml:space="preserve"> </w:t>
      </w:r>
      <w:r w:rsidRPr="009F5089">
        <w:rPr>
          <w:rFonts w:ascii="Times New Roman" w:hAnsi="Times New Roman"/>
          <w:color w:val="0070C0"/>
          <w:sz w:val="16"/>
          <w:szCs w:val="16"/>
        </w:rPr>
        <w:t>стр</w:t>
      </w:r>
      <w:r>
        <w:rPr>
          <w:rFonts w:ascii="Times New Roman" w:hAnsi="Times New Roman"/>
          <w:color w:val="0070C0"/>
          <w:sz w:val="16"/>
          <w:szCs w:val="16"/>
        </w:rPr>
        <w:t xml:space="preserve">. </w:t>
      </w:r>
      <w:r w:rsidRPr="009F5089">
        <w:rPr>
          <w:rFonts w:ascii="Times New Roman" w:hAnsi="Times New Roman"/>
          <w:color w:val="0070C0"/>
          <w:sz w:val="16"/>
          <w:szCs w:val="16"/>
        </w:rPr>
        <w:t>44/</w:t>
      </w:r>
      <w:r>
        <w:rPr>
          <w:rFonts w:ascii="Times New Roman" w:hAnsi="Times New Roman"/>
          <w:color w:val="0070C0"/>
          <w:sz w:val="16"/>
          <w:szCs w:val="16"/>
        </w:rPr>
        <w:t xml:space="preserve"> (23370).</w:t>
      </w:r>
    </w:p>
    <w:p w14:paraId="636BF291" w14:textId="77777777" w:rsidR="00EA061A" w:rsidRPr="009F5089" w:rsidRDefault="00EA061A" w:rsidP="00EA061A">
      <w:pPr>
        <w:spacing w:after="0" w:line="240" w:lineRule="auto"/>
        <w:jc w:val="both"/>
        <w:rPr>
          <w:rFonts w:ascii="Times New Roman" w:hAnsi="Times New Roman"/>
          <w:color w:val="0070C0"/>
          <w:sz w:val="16"/>
          <w:szCs w:val="16"/>
        </w:rPr>
      </w:pPr>
    </w:p>
    <w:p w14:paraId="099B2C35" w14:textId="2C84804B"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января </w:t>
      </w:r>
      <w:r w:rsidR="00EA061A">
        <w:rPr>
          <w:rFonts w:ascii="Times New Roman" w:hAnsi="Times New Roman"/>
          <w:color w:val="000000" w:themeColor="text1"/>
          <w:sz w:val="16"/>
          <w:szCs w:val="16"/>
        </w:rPr>
        <w:t>1931 г. (с</w:t>
      </w:r>
      <w:r w:rsidR="00EA061A" w:rsidRPr="007122AB">
        <w:rPr>
          <w:rFonts w:ascii="Times New Roman" w:hAnsi="Times New Roman"/>
          <w:color w:val="000000" w:themeColor="text1"/>
          <w:sz w:val="16"/>
          <w:szCs w:val="16"/>
        </w:rPr>
        <w:t xml:space="preserve"> 3 декабря 1930 года</w:t>
      </w:r>
      <w:r w:rsidR="00EA061A">
        <w:rPr>
          <w:rFonts w:ascii="Times New Roman" w:hAnsi="Times New Roman"/>
          <w:color w:val="000000" w:themeColor="text1"/>
          <w:sz w:val="16"/>
          <w:szCs w:val="16"/>
        </w:rPr>
        <w:t>)</w:t>
      </w:r>
      <w:r w:rsidR="00EA061A"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rPr>
        <w:t xml:space="preserve">и с 2 марта 1931 года по 22 марта 1931 года в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были проведены испытания опытной партии 2-кг осколочных бомб (3326).</w:t>
      </w:r>
    </w:p>
    <w:p w14:paraId="20FB9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3B4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января 1931 года в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закончились испытания бомб осколочно-химических, корпус стальной; корпус железный, насыпные осколки - бомба осколочная и осколочно-химическая; корпус </w:t>
      </w:r>
      <w:proofErr w:type="spellStart"/>
      <w:r w:rsidRPr="007122AB">
        <w:rPr>
          <w:rFonts w:ascii="Times New Roman" w:hAnsi="Times New Roman"/>
          <w:color w:val="000000" w:themeColor="text1"/>
          <w:sz w:val="16"/>
          <w:szCs w:val="16"/>
        </w:rPr>
        <w:t>сталистого</w:t>
      </w:r>
      <w:proofErr w:type="spellEnd"/>
      <w:r w:rsidRPr="007122AB">
        <w:rPr>
          <w:rFonts w:ascii="Times New Roman" w:hAnsi="Times New Roman"/>
          <w:color w:val="000000" w:themeColor="text1"/>
          <w:sz w:val="16"/>
          <w:szCs w:val="16"/>
        </w:rPr>
        <w:t xml:space="preserve"> чугуна, наружная поверхность корпуса рифленая, которые проходили с 13 декабря 1930 года (3326).</w:t>
      </w:r>
    </w:p>
    <w:p w14:paraId="746BD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5831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года была проведена демонстрация наркому Ворошилову отечественных десантных парашютов Гроховского…………….После демонстрации Баранов поднял вопрос о переводе Гроховского в его распоряжение на что и получил согласие бывшего зампреда Уборевича (6769, 29-31).</w:t>
      </w:r>
    </w:p>
    <w:p w14:paraId="777429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6FC34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0A3C80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63D55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г. С. Гинзбург докладывал в НКВМД:</w:t>
      </w:r>
    </w:p>
    <w:p w14:paraId="7A0099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«...испытанный </w:t>
      </w:r>
      <w:proofErr w:type="spellStart"/>
      <w:r w:rsidRPr="007122AB">
        <w:rPr>
          <w:rFonts w:ascii="Times New Roman" w:hAnsi="Times New Roman"/>
          <w:color w:val="000000" w:themeColor="text1"/>
          <w:sz w:val="16"/>
          <w:szCs w:val="16"/>
        </w:rPr>
        <w:t>англ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ийский</w:t>
      </w:r>
      <w:proofErr w:type="spellEnd"/>
      <w:r w:rsidRPr="007122AB">
        <w:rPr>
          <w:rFonts w:ascii="Times New Roman" w:hAnsi="Times New Roman"/>
          <w:color w:val="000000" w:themeColor="text1"/>
          <w:sz w:val="16"/>
          <w:szCs w:val="16"/>
        </w:rPr>
        <w:t>] В-26 имеет следующие по</w:t>
      </w:r>
      <w:r w:rsidRPr="007122AB">
        <w:rPr>
          <w:rFonts w:ascii="Times New Roman" w:hAnsi="Times New Roman"/>
          <w:color w:val="000000" w:themeColor="text1"/>
          <w:sz w:val="16"/>
          <w:szCs w:val="16"/>
        </w:rPr>
        <w:softHyphen/>
        <w:t>ложительные черты:</w:t>
      </w:r>
    </w:p>
    <w:p w14:paraId="0414EB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мотору: Хорошая приемистость, хорошая смазка, хо</w:t>
      </w:r>
      <w:r w:rsidRPr="007122AB">
        <w:rPr>
          <w:rFonts w:ascii="Times New Roman" w:hAnsi="Times New Roman"/>
          <w:color w:val="000000" w:themeColor="text1"/>
          <w:sz w:val="16"/>
          <w:szCs w:val="16"/>
        </w:rPr>
        <w:softHyphen/>
        <w:t>рошая система питания, наличие воздушного охлаждения, малая высота мотора...</w:t>
      </w:r>
    </w:p>
    <w:p w14:paraId="318929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коробке скоростей: простая схема передач, достаточ</w:t>
      </w:r>
      <w:r w:rsidRPr="007122AB">
        <w:rPr>
          <w:rFonts w:ascii="Times New Roman" w:hAnsi="Times New Roman"/>
          <w:color w:val="000000" w:themeColor="text1"/>
          <w:sz w:val="16"/>
          <w:szCs w:val="16"/>
        </w:rPr>
        <w:softHyphen/>
        <w:t>ное количество скоростей, удобная схема переключения;</w:t>
      </w:r>
    </w:p>
    <w:p w14:paraId="75FEC2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Компактные и надежные бортовые фрикционы..., хорошо У работает движитель вследствие цевочного ведения треков... | Простота и надежность конструкции ведущего колеси, ле</w:t>
      </w:r>
      <w:r w:rsidRPr="007122AB">
        <w:rPr>
          <w:rFonts w:ascii="Times New Roman" w:hAnsi="Times New Roman"/>
          <w:color w:val="000000" w:themeColor="text1"/>
          <w:sz w:val="16"/>
          <w:szCs w:val="16"/>
        </w:rPr>
        <w:softHyphen/>
        <w:t>нивца, тележек подвески и механизма натяжения гусеницы...</w:t>
      </w:r>
    </w:p>
    <w:p w14:paraId="4987D9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корпусу: простая и довольно выгодная в производстве форма корпуса...</w:t>
      </w:r>
    </w:p>
    <w:p w14:paraId="7BC05A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вооружению: хороший оптический прицел, превосходя-Ц' </w:t>
      </w:r>
      <w:proofErr w:type="spellStart"/>
      <w:r w:rsidRPr="007122AB">
        <w:rPr>
          <w:rFonts w:ascii="Times New Roman" w:hAnsi="Times New Roman"/>
          <w:color w:val="000000" w:themeColor="text1"/>
          <w:sz w:val="16"/>
          <w:szCs w:val="16"/>
        </w:rPr>
        <w:t>щий</w:t>
      </w:r>
      <w:proofErr w:type="spellEnd"/>
      <w:r w:rsidRPr="007122AB">
        <w:rPr>
          <w:rFonts w:ascii="Times New Roman" w:hAnsi="Times New Roman"/>
          <w:color w:val="000000" w:themeColor="text1"/>
          <w:sz w:val="16"/>
          <w:szCs w:val="16"/>
        </w:rPr>
        <w:t xml:space="preserve"> имеющийся для вооружения танков Т-18 и Т-19...</w:t>
      </w:r>
    </w:p>
    <w:p w14:paraId="1D56EE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Отрицательные особенности:</w:t>
      </w:r>
    </w:p>
    <w:p w14:paraId="2B154D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Возможность чрезмерного развития оборотов двигателя вследствие отсутствия регулятора оборотов и его контроля...</w:t>
      </w:r>
    </w:p>
    <w:p w14:paraId="6B5684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Невозможность проведения форсирования мотора принятыми методами, без внесения значительных изменений в его конструкцию...</w:t>
      </w:r>
    </w:p>
    <w:p w14:paraId="7136F8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Доступность к обслуживанию механизмов мотора только снаружи, что не позволяет проводить текущий ремонт в бою без риска жизнью членов экипажа.</w:t>
      </w:r>
    </w:p>
    <w:p w14:paraId="64F0D6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Большое время </w:t>
      </w:r>
      <w:proofErr w:type="spellStart"/>
      <w:r w:rsidRPr="007122AB">
        <w:rPr>
          <w:rFonts w:ascii="Times New Roman" w:hAnsi="Times New Roman"/>
          <w:color w:val="000000" w:themeColor="text1"/>
          <w:sz w:val="16"/>
          <w:szCs w:val="16"/>
        </w:rPr>
        <w:t>разбронировки</w:t>
      </w:r>
      <w:proofErr w:type="spellEnd"/>
      <w:r w:rsidRPr="007122AB">
        <w:rPr>
          <w:rFonts w:ascii="Times New Roman" w:hAnsi="Times New Roman"/>
          <w:color w:val="000000" w:themeColor="text1"/>
          <w:sz w:val="16"/>
          <w:szCs w:val="16"/>
        </w:rPr>
        <w:t xml:space="preserve"> для доступа к механизмам двигателя и трансмиссии...</w:t>
      </w:r>
    </w:p>
    <w:p w14:paraId="0650B2E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Имевшиеся случаи обрыва клапанов, как следствие чрез</w:t>
      </w:r>
      <w:r w:rsidRPr="007122AB">
        <w:rPr>
          <w:rFonts w:ascii="Times New Roman" w:hAnsi="Times New Roman"/>
          <w:color w:val="000000" w:themeColor="text1"/>
          <w:sz w:val="16"/>
          <w:szCs w:val="16"/>
        </w:rPr>
        <w:softHyphen/>
        <w:t>мерного развития оборотов двигателя...</w:t>
      </w:r>
    </w:p>
    <w:p w14:paraId="60EB02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Отказ в работе однодискового сцепления после пробега 350-400 км.</w:t>
      </w:r>
    </w:p>
    <w:p w14:paraId="32C831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Отказ в пуске мотора при температуре ниже -7 гр. Пус</w:t>
      </w:r>
      <w:r w:rsidRPr="007122AB">
        <w:rPr>
          <w:rFonts w:ascii="Times New Roman" w:hAnsi="Times New Roman"/>
          <w:color w:val="000000" w:themeColor="text1"/>
          <w:sz w:val="16"/>
          <w:szCs w:val="16"/>
        </w:rPr>
        <w:softHyphen/>
        <w:t>кался только буксировкой... Необходимо усовершенствовать карбюратор и магнето... Периодическое чихание двигателя прирезком изменении оборотов двигателя...</w:t>
      </w:r>
    </w:p>
    <w:p w14:paraId="4510FD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глушении мотора имеет место продолжение его ра</w:t>
      </w:r>
      <w:r w:rsidRPr="007122AB">
        <w:rPr>
          <w:rFonts w:ascii="Times New Roman" w:hAnsi="Times New Roman"/>
          <w:color w:val="000000" w:themeColor="text1"/>
          <w:sz w:val="16"/>
          <w:szCs w:val="16"/>
        </w:rPr>
        <w:softHyphen/>
        <w:t>боты от самовоспламенения смеси от накалившегося корпуса мотора, или окалины...</w:t>
      </w:r>
    </w:p>
    <w:p w14:paraId="37D9FA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Сбрасывает третью скорость: недостаточна ширина шестерен этой передачи и недоработка стопора...</w:t>
      </w:r>
    </w:p>
    <w:p w14:paraId="407697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Забрызгивает маслом тормозные ленты. Масло пробива</w:t>
      </w:r>
      <w:r w:rsidRPr="007122AB">
        <w:rPr>
          <w:rFonts w:ascii="Times New Roman" w:hAnsi="Times New Roman"/>
          <w:color w:val="000000" w:themeColor="text1"/>
          <w:sz w:val="16"/>
          <w:szCs w:val="16"/>
        </w:rPr>
        <w:softHyphen/>
        <w:t>ется через уплотнения коробки ведущего колеса... Сминаются и крошатся концы реборд катков... Слабое сцепление гусени</w:t>
      </w:r>
      <w:r w:rsidRPr="007122AB">
        <w:rPr>
          <w:rFonts w:ascii="Times New Roman" w:hAnsi="Times New Roman"/>
          <w:color w:val="000000" w:themeColor="text1"/>
          <w:sz w:val="16"/>
          <w:szCs w:val="16"/>
        </w:rPr>
        <w:softHyphen/>
        <w:t>цы по снежному покрову — нужны шпоры...</w:t>
      </w:r>
    </w:p>
    <w:p w14:paraId="20B163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Недоработана система обзора из башни — нет кругового обзора. Невозможно установить наблюдательную башенку командира танка...</w:t>
      </w:r>
    </w:p>
    <w:p w14:paraId="503F63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Отсутствует нормальная видимость у водителя при езде с закрытыми передними щитами...</w:t>
      </w:r>
    </w:p>
    <w:p w14:paraId="2AE658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Малая толщина вертикального бронирования танка — 8-12,7 мм...</w:t>
      </w:r>
    </w:p>
    <w:p w14:paraId="61D334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ОБЩИЙ ВЫВОД</w:t>
      </w:r>
    </w:p>
    <w:p w14:paraId="7E9BDD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Движитель и трансмиссия танка при условии их дора</w:t>
      </w:r>
      <w:r w:rsidRPr="007122AB">
        <w:rPr>
          <w:rFonts w:ascii="Times New Roman" w:hAnsi="Times New Roman"/>
          <w:color w:val="000000" w:themeColor="text1"/>
          <w:sz w:val="16"/>
          <w:szCs w:val="16"/>
        </w:rPr>
        <w:softHyphen/>
        <w:t>ботки представляют собой надежные и простые аггрегаты вполне соответствующие требованиям к легким скоростным танкам РККА...</w:t>
      </w:r>
    </w:p>
    <w:p w14:paraId="3C81EE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Очень компактный мотор вследствие затрудненного его обслуживания и доступности при осмотрах и ремонте явля</w:t>
      </w:r>
      <w:r w:rsidRPr="007122AB">
        <w:rPr>
          <w:rFonts w:ascii="Times New Roman" w:hAnsi="Times New Roman"/>
          <w:color w:val="000000" w:themeColor="text1"/>
          <w:sz w:val="16"/>
          <w:szCs w:val="16"/>
        </w:rPr>
        <w:softHyphen/>
        <w:t>ется недостаточно подходящим для установки на танк... Конструкция мотора не позволяет осуществить увеличение его мощности путем форсирования без изменения его конст</w:t>
      </w:r>
      <w:r w:rsidRPr="007122AB">
        <w:rPr>
          <w:rFonts w:ascii="Times New Roman" w:hAnsi="Times New Roman"/>
          <w:color w:val="000000" w:themeColor="text1"/>
          <w:sz w:val="16"/>
          <w:szCs w:val="16"/>
        </w:rPr>
        <w:softHyphen/>
        <w:t>рукции...</w:t>
      </w:r>
    </w:p>
    <w:p w14:paraId="5FB50E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танк В-26, несмотря на рассмотренные недо</w:t>
      </w:r>
      <w:r w:rsidRPr="007122AB">
        <w:rPr>
          <w:rFonts w:ascii="Times New Roman" w:hAnsi="Times New Roman"/>
          <w:color w:val="000000" w:themeColor="text1"/>
          <w:sz w:val="16"/>
          <w:szCs w:val="16"/>
        </w:rPr>
        <w:softHyphen/>
        <w:t>статки, способен развить высокую скорость и маневрен</w:t>
      </w:r>
      <w:r w:rsidRPr="007122AB">
        <w:rPr>
          <w:rFonts w:ascii="Times New Roman" w:hAnsi="Times New Roman"/>
          <w:color w:val="000000" w:themeColor="text1"/>
          <w:sz w:val="16"/>
          <w:szCs w:val="16"/>
        </w:rPr>
        <w:softHyphen/>
        <w:t>ность и является без сомнения лучшим образцом из всех из</w:t>
      </w:r>
      <w:r w:rsidRPr="007122AB">
        <w:rPr>
          <w:rFonts w:ascii="Times New Roman" w:hAnsi="Times New Roman"/>
          <w:color w:val="000000" w:themeColor="text1"/>
          <w:sz w:val="16"/>
          <w:szCs w:val="16"/>
        </w:rPr>
        <w:softHyphen/>
        <w:t>вестных в настоящее время образцов заграничных танков...»</w:t>
      </w:r>
    </w:p>
    <w:p w14:paraId="400637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 о целесообразности производства танка В-26 по результатам испытаний был сделан следующий:</w:t>
      </w:r>
    </w:p>
    <w:p w14:paraId="49977F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в СССР имеются два типа конструк</w:t>
      </w:r>
      <w:r w:rsidRPr="007122AB">
        <w:rPr>
          <w:rFonts w:ascii="Times New Roman" w:hAnsi="Times New Roman"/>
          <w:color w:val="000000" w:themeColor="text1"/>
          <w:sz w:val="16"/>
          <w:szCs w:val="16"/>
        </w:rPr>
        <w:softHyphen/>
        <w:t>ций перспективных малых танков:</w:t>
      </w:r>
    </w:p>
    <w:p w14:paraId="53F2E0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на заводе «Большевик» достраивается танк Т-19;</w:t>
      </w:r>
    </w:p>
    <w:p w14:paraId="2793F9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 В-26, прошедший первый цикл зимних испытаний. При примерно равном весе, скоростных и тяговых воз</w:t>
      </w:r>
      <w:r w:rsidRPr="007122AB">
        <w:rPr>
          <w:rFonts w:ascii="Times New Roman" w:hAnsi="Times New Roman"/>
          <w:color w:val="000000" w:themeColor="text1"/>
          <w:sz w:val="16"/>
          <w:szCs w:val="16"/>
        </w:rPr>
        <w:softHyphen/>
        <w:t>можностях, Т-19 имеет:</w:t>
      </w:r>
    </w:p>
    <w:p w14:paraId="72D5F7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Преимущества:</w:t>
      </w:r>
    </w:p>
    <w:p w14:paraId="158A04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мотор вертикального типа с регулятором в 100 л.с. и весьма удобным расположением, имеющим доступ для обслу</w:t>
      </w:r>
      <w:r w:rsidRPr="007122AB">
        <w:rPr>
          <w:rFonts w:ascii="Times New Roman" w:hAnsi="Times New Roman"/>
          <w:color w:val="000000" w:themeColor="text1"/>
          <w:sz w:val="16"/>
          <w:szCs w:val="16"/>
        </w:rPr>
        <w:softHyphen/>
        <w:t>живания как снаружи, так и изнутри;</w:t>
      </w:r>
    </w:p>
    <w:p w14:paraId="6AEADF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более надежные для танка система двойного зажига</w:t>
      </w:r>
      <w:r w:rsidRPr="007122AB">
        <w:rPr>
          <w:rFonts w:ascii="Times New Roman" w:hAnsi="Times New Roman"/>
          <w:color w:val="000000" w:themeColor="text1"/>
          <w:sz w:val="16"/>
          <w:szCs w:val="16"/>
        </w:rPr>
        <w:softHyphen/>
        <w:t>ния и двойная серия свечей;</w:t>
      </w:r>
    </w:p>
    <w:p w14:paraId="4F9D17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более мощное вооружение и бронирование при той же массе;</w:t>
      </w:r>
    </w:p>
    <w:p w14:paraId="589E87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более быстрая возможность освоения производства, особенно с точки зрения мотора;</w:t>
      </w:r>
    </w:p>
    <w:p w14:paraId="54BFE6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Недостатки:</w:t>
      </w:r>
    </w:p>
    <w:p w14:paraId="60F4E9C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Худшая компактность, недостаточная простота конст</w:t>
      </w:r>
      <w:r w:rsidRPr="007122AB">
        <w:rPr>
          <w:rFonts w:ascii="Times New Roman" w:hAnsi="Times New Roman"/>
          <w:color w:val="000000" w:themeColor="text1"/>
          <w:sz w:val="16"/>
          <w:szCs w:val="16"/>
        </w:rPr>
        <w:softHyphen/>
        <w:t>рукции трансмиссии и подвески, худшие катки, тележки и гусеничные цепи... Больший вес элементов подвески и транс</w:t>
      </w:r>
      <w:r w:rsidRPr="007122AB">
        <w:rPr>
          <w:rFonts w:ascii="Times New Roman" w:hAnsi="Times New Roman"/>
          <w:color w:val="000000" w:themeColor="text1"/>
          <w:sz w:val="16"/>
          <w:szCs w:val="16"/>
        </w:rPr>
        <w:softHyphen/>
        <w:t>миссии.</w:t>
      </w:r>
    </w:p>
    <w:p w14:paraId="2EB964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Представляется наиболее совершенной конструкция малого танка с корпусом и мотором Т-19, а трансмиссией и 'движителем от В-26.</w:t>
      </w:r>
    </w:p>
    <w:p w14:paraId="194D15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Освоение производства В-26 в СССР потребует:</w:t>
      </w:r>
    </w:p>
    <w:p w14:paraId="3D49A8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изготовление нового комплекта чертежей </w:t>
      </w:r>
      <w:proofErr w:type="spellStart"/>
      <w:r w:rsidRPr="007122AB">
        <w:rPr>
          <w:rFonts w:ascii="Times New Roman" w:hAnsi="Times New Roman"/>
          <w:color w:val="000000" w:themeColor="text1"/>
          <w:sz w:val="16"/>
          <w:szCs w:val="16"/>
        </w:rPr>
        <w:t>вмиллиметровом</w:t>
      </w:r>
      <w:proofErr w:type="spellEnd"/>
      <w:r w:rsidRPr="007122AB">
        <w:rPr>
          <w:rFonts w:ascii="Times New Roman" w:hAnsi="Times New Roman"/>
          <w:color w:val="000000" w:themeColor="text1"/>
          <w:sz w:val="16"/>
          <w:szCs w:val="16"/>
        </w:rPr>
        <w:t xml:space="preserve"> масштабе...</w:t>
      </w:r>
    </w:p>
    <w:p w14:paraId="4DD0E5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проектирование и изготовление новой технологической оснастки под отечественные возможности...</w:t>
      </w:r>
    </w:p>
    <w:p w14:paraId="61FC6F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привлечение иностранного опыта для освоения произ</w:t>
      </w:r>
      <w:r w:rsidRPr="007122AB">
        <w:rPr>
          <w:rFonts w:ascii="Times New Roman" w:hAnsi="Times New Roman"/>
          <w:color w:val="000000" w:themeColor="text1"/>
          <w:sz w:val="16"/>
          <w:szCs w:val="16"/>
        </w:rPr>
        <w:softHyphen/>
        <w:t>водства танка и особенно — мотора...</w:t>
      </w:r>
    </w:p>
    <w:p w14:paraId="2C4634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Освоение производства Г-79 в его неизменном виде по</w:t>
      </w:r>
      <w:r w:rsidRPr="007122AB">
        <w:rPr>
          <w:rFonts w:ascii="Times New Roman" w:hAnsi="Times New Roman"/>
          <w:color w:val="000000" w:themeColor="text1"/>
          <w:sz w:val="16"/>
          <w:szCs w:val="16"/>
        </w:rPr>
        <w:softHyphen/>
        <w:t>требует:</w:t>
      </w:r>
    </w:p>
    <w:p w14:paraId="1C567C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проектирования технологического процесса и частично — приспособлений</w:t>
      </w:r>
    </w:p>
    <w:p w14:paraId="3CE9EC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рабочие чертежи и дополнительный опыт производст</w:t>
      </w:r>
      <w:r w:rsidRPr="007122AB">
        <w:rPr>
          <w:rFonts w:ascii="Times New Roman" w:hAnsi="Times New Roman"/>
          <w:color w:val="000000" w:themeColor="text1"/>
          <w:sz w:val="16"/>
          <w:szCs w:val="16"/>
        </w:rPr>
        <w:softHyphen/>
        <w:t>ва будут получены в результате доводки опытной машины...</w:t>
      </w:r>
    </w:p>
    <w:p w14:paraId="75202C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Организация производства нового типа танка по типу двух рассмотренных потребует:</w:t>
      </w:r>
    </w:p>
    <w:p w14:paraId="6E6568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составление проекта танка;</w:t>
      </w:r>
    </w:p>
    <w:p w14:paraId="436532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изготовление рабочих чертежей на подвеску танка В-26 и его трансмиссию;</w:t>
      </w:r>
    </w:p>
    <w:p w14:paraId="1C4CB5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проектирование и изготовление оснастки на производ</w:t>
      </w:r>
      <w:r w:rsidRPr="007122AB">
        <w:rPr>
          <w:rFonts w:ascii="Times New Roman" w:hAnsi="Times New Roman"/>
          <w:color w:val="000000" w:themeColor="text1"/>
          <w:sz w:val="16"/>
          <w:szCs w:val="16"/>
        </w:rPr>
        <w:softHyphen/>
        <w:t>ство.</w:t>
      </w:r>
    </w:p>
    <w:p w14:paraId="45E550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Сравнивая объемы работ следует признать, что по сро</w:t>
      </w:r>
      <w:r w:rsidRPr="007122AB">
        <w:rPr>
          <w:rFonts w:ascii="Times New Roman" w:hAnsi="Times New Roman"/>
          <w:color w:val="000000" w:themeColor="text1"/>
          <w:sz w:val="16"/>
          <w:szCs w:val="16"/>
        </w:rPr>
        <w:softHyphen/>
        <w:t>кам выполнения и стоимости наиболее приемлемо для произ</w:t>
      </w:r>
      <w:r w:rsidRPr="007122AB">
        <w:rPr>
          <w:rFonts w:ascii="Times New Roman" w:hAnsi="Times New Roman"/>
          <w:color w:val="000000" w:themeColor="text1"/>
          <w:sz w:val="16"/>
          <w:szCs w:val="16"/>
        </w:rPr>
        <w:softHyphen/>
        <w:t>водства освоение Т-19, затем — комбинированный танк и са</w:t>
      </w:r>
      <w:r w:rsidRPr="007122AB">
        <w:rPr>
          <w:rFonts w:ascii="Times New Roman" w:hAnsi="Times New Roman"/>
          <w:color w:val="000000" w:themeColor="text1"/>
          <w:sz w:val="16"/>
          <w:szCs w:val="16"/>
        </w:rPr>
        <w:softHyphen/>
        <w:t>мый сложный — танк В-26.</w:t>
      </w:r>
    </w:p>
    <w:p w14:paraId="093C0F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ОБЩИЙ ВЫВОД:</w:t>
      </w:r>
    </w:p>
    <w:p w14:paraId="601C74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Немедленно начать проектирование нового малого танка на основании конструкций танков Т-19 и В-26... В ос</w:t>
      </w:r>
      <w:r w:rsidRPr="007122AB">
        <w:rPr>
          <w:rFonts w:ascii="Times New Roman" w:hAnsi="Times New Roman"/>
          <w:color w:val="000000" w:themeColor="text1"/>
          <w:sz w:val="16"/>
          <w:szCs w:val="16"/>
        </w:rPr>
        <w:softHyphen/>
        <w:t>нове мотор, корпус и вооружение от Т-19, движитель и трансмиссия от В-26;</w:t>
      </w:r>
    </w:p>
    <w:p w14:paraId="3EB1D9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Провести совместные испытания Т-19 и В-26 для более полного выявления их положительных и отрицательных ка</w:t>
      </w:r>
      <w:r w:rsidRPr="007122AB">
        <w:rPr>
          <w:rFonts w:ascii="Times New Roman" w:hAnsi="Times New Roman"/>
          <w:color w:val="000000" w:themeColor="text1"/>
          <w:sz w:val="16"/>
          <w:szCs w:val="16"/>
        </w:rPr>
        <w:softHyphen/>
        <w:t>честв...» (10733,168).</w:t>
      </w:r>
    </w:p>
    <w:p w14:paraId="47FAFE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похожему выводу пришла и группа слушателей ака</w:t>
      </w:r>
      <w:r w:rsidRPr="007122AB">
        <w:rPr>
          <w:rFonts w:ascii="Times New Roman" w:hAnsi="Times New Roman"/>
          <w:color w:val="000000" w:themeColor="text1"/>
          <w:sz w:val="16"/>
          <w:szCs w:val="16"/>
        </w:rPr>
        <w:softHyphen/>
        <w:t>демии ВАММ, которая была ознакомлена с документацией на танк. Однако они обратили внимание в первую очередь на некоторые особенности танка В-26 (правое расположе</w:t>
      </w:r>
      <w:r w:rsidRPr="007122AB">
        <w:rPr>
          <w:rFonts w:ascii="Times New Roman" w:hAnsi="Times New Roman"/>
          <w:color w:val="000000" w:themeColor="text1"/>
          <w:sz w:val="16"/>
          <w:szCs w:val="16"/>
        </w:rPr>
        <w:softHyphen/>
        <w:t>ние водителя, специальный двигатель воздушного охлаж</w:t>
      </w:r>
      <w:r w:rsidRPr="007122AB">
        <w:rPr>
          <w:rFonts w:ascii="Times New Roman" w:hAnsi="Times New Roman"/>
          <w:color w:val="000000" w:themeColor="text1"/>
          <w:sz w:val="16"/>
          <w:szCs w:val="16"/>
        </w:rPr>
        <w:softHyphen/>
        <w:t>дения, который будет плохо работать жарким летом, и дюймовые размеры), «обычные для буржуазной Англии, но нетерпимые для Советской страны...». Академия ВАММ предлагала приступить к «...немедлен</w:t>
      </w:r>
      <w:r w:rsidRPr="007122AB">
        <w:rPr>
          <w:rFonts w:ascii="Times New Roman" w:hAnsi="Times New Roman"/>
          <w:color w:val="000000" w:themeColor="text1"/>
          <w:sz w:val="16"/>
          <w:szCs w:val="16"/>
        </w:rPr>
        <w:softHyphen/>
        <w:t>ному проектированию нового типа танка, с использованием конструкции корпуса В-26, ... с усиленной броней, и с более приемлемым для условий производства в СССР двигателем «Геркулес», или «Франклин» в 100 л.с...».</w:t>
      </w:r>
    </w:p>
    <w:p w14:paraId="02FF82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Среди отзывов об английском танке очень интересным выглядит мнение М. Тухачевского, который, в частности, писал:</w:t>
      </w:r>
    </w:p>
    <w:p w14:paraId="1F3D44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касаемо осмотренного мною недавно </w:t>
      </w:r>
      <w:proofErr w:type="spellStart"/>
      <w:r w:rsidRPr="007122AB">
        <w:rPr>
          <w:rFonts w:ascii="Times New Roman" w:hAnsi="Times New Roman"/>
          <w:color w:val="000000" w:themeColor="text1"/>
          <w:sz w:val="16"/>
          <w:szCs w:val="16"/>
        </w:rPr>
        <w:t>англиского</w:t>
      </w:r>
      <w:proofErr w:type="spellEnd"/>
      <w:r w:rsidRPr="007122AB">
        <w:rPr>
          <w:rFonts w:ascii="Times New Roman" w:hAnsi="Times New Roman"/>
          <w:color w:val="000000" w:themeColor="text1"/>
          <w:sz w:val="16"/>
          <w:szCs w:val="16"/>
        </w:rPr>
        <w:t xml:space="preserve"> тан</w:t>
      </w:r>
      <w:r w:rsidRPr="007122AB">
        <w:rPr>
          <w:rFonts w:ascii="Times New Roman" w:hAnsi="Times New Roman"/>
          <w:color w:val="000000" w:themeColor="text1"/>
          <w:sz w:val="16"/>
          <w:szCs w:val="16"/>
        </w:rPr>
        <w:softHyphen/>
        <w:t xml:space="preserve">ка </w:t>
      </w:r>
      <w:proofErr w:type="spellStart"/>
      <w:r w:rsidRPr="007122AB">
        <w:rPr>
          <w:rFonts w:ascii="Times New Roman" w:hAnsi="Times New Roman"/>
          <w:color w:val="000000" w:themeColor="text1"/>
          <w:sz w:val="16"/>
          <w:szCs w:val="16"/>
        </w:rPr>
        <w:t>Викерса</w:t>
      </w:r>
      <w:proofErr w:type="spellEnd"/>
      <w:r w:rsidRPr="007122AB">
        <w:rPr>
          <w:rFonts w:ascii="Times New Roman" w:hAnsi="Times New Roman"/>
          <w:color w:val="000000" w:themeColor="text1"/>
          <w:sz w:val="16"/>
          <w:szCs w:val="16"/>
        </w:rPr>
        <w:t>, нашел его как нельзя лучше подходящим задаче со</w:t>
      </w:r>
      <w:r w:rsidRPr="007122AB">
        <w:rPr>
          <w:rFonts w:ascii="Times New Roman" w:hAnsi="Times New Roman"/>
          <w:color w:val="000000" w:themeColor="text1"/>
          <w:sz w:val="16"/>
          <w:szCs w:val="16"/>
        </w:rPr>
        <w:softHyphen/>
        <w:t>провождения при атаке вражеских окоп... Расположение ба</w:t>
      </w:r>
      <w:r w:rsidRPr="007122AB">
        <w:rPr>
          <w:rFonts w:ascii="Times New Roman" w:hAnsi="Times New Roman"/>
          <w:color w:val="000000" w:themeColor="text1"/>
          <w:sz w:val="16"/>
          <w:szCs w:val="16"/>
        </w:rPr>
        <w:softHyphen/>
        <w:t xml:space="preserve">шен танка бок-о-бок очень выгодно позволяет танку развить сильный </w:t>
      </w:r>
      <w:proofErr w:type="spellStart"/>
      <w:r w:rsidRPr="007122AB">
        <w:rPr>
          <w:rFonts w:ascii="Times New Roman" w:hAnsi="Times New Roman"/>
          <w:color w:val="000000" w:themeColor="text1"/>
          <w:sz w:val="16"/>
          <w:szCs w:val="16"/>
        </w:rPr>
        <w:t>побортный</w:t>
      </w:r>
      <w:proofErr w:type="spellEnd"/>
      <w:r w:rsidRPr="007122AB">
        <w:rPr>
          <w:rFonts w:ascii="Times New Roman" w:hAnsi="Times New Roman"/>
          <w:color w:val="000000" w:themeColor="text1"/>
          <w:sz w:val="16"/>
          <w:szCs w:val="16"/>
        </w:rPr>
        <w:t xml:space="preserve"> огонь при пересечении окоп и траншей..., от которого никак не укрывает бруствер...</w:t>
      </w:r>
    </w:p>
    <w:p w14:paraId="0C876A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этот ответственный момент танку недостает, как видится, еще одной огневой точки в виде пулемета или легкой пушки, направленной вперед походу для подавления целей (как то: пулемет, пушка) из второй линии обороны...</w:t>
      </w:r>
    </w:p>
    <w:p w14:paraId="4218A1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Нетрудно понять, что двухбашенная и трехбашенная схемы потому и приняты англичанами, что очень перспек</w:t>
      </w:r>
      <w:r w:rsidRPr="007122AB">
        <w:rPr>
          <w:rFonts w:ascii="Times New Roman" w:hAnsi="Times New Roman"/>
          <w:color w:val="000000" w:themeColor="text1"/>
          <w:sz w:val="16"/>
          <w:szCs w:val="16"/>
        </w:rPr>
        <w:softHyphen/>
        <w:t>тивны и наиболее выгодны для преодоления вражеской оборо</w:t>
      </w:r>
      <w:r w:rsidRPr="007122AB">
        <w:rPr>
          <w:rFonts w:ascii="Times New Roman" w:hAnsi="Times New Roman"/>
          <w:color w:val="000000" w:themeColor="text1"/>
          <w:sz w:val="16"/>
          <w:szCs w:val="16"/>
        </w:rPr>
        <w:softHyphen/>
        <w:t>ны среди своей пехоты...» (10733,169).</w:t>
      </w:r>
    </w:p>
    <w:p w14:paraId="45E819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C6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января 1931 Гинзбург предоставил перечень достоинств и недостатков В-26 по сравнению с находящимся в изготовлении перспективным. Не печатая его полностью, мы отметим, что в выводе было отмечено: «Немедленно начать проектирование нового малого танка на основании конструкций Т-19 и В-26..В основе мотор, корпус и вооружение от Т-19, движитель и трансмиссия от В-26». Как видим, специалисты не отдавали явного предпочтения заграничной «диковинке», стараясь скомбинировать лучшие черты отечественной и импортной машин в одной (11809).</w:t>
      </w:r>
    </w:p>
    <w:p w14:paraId="65FF4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AC2EA6" w14:textId="77777777" w:rsidR="000B4A7D" w:rsidRPr="007122AB" w:rsidRDefault="000B4A7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января 1931г. председатель комиссии С. Гинзбург доложил К. Ворошилову о достоинствах и недостатках В-26. При этом были отмечены положительные качества двигателя, коробки скоростей, фрикционов, выгодная для производства форма корпуса, хороший оптический прицел, превосходящий имеющийся для вооружения Т-18 и Т-19. Отрицательным являлось: невозможность форсирования двигателя без существенных его доработок, плохая </w:t>
      </w:r>
      <w:proofErr w:type="spellStart"/>
      <w:r w:rsidRPr="007122AB">
        <w:rPr>
          <w:rFonts w:ascii="Times New Roman" w:hAnsi="Times New Roman"/>
          <w:color w:val="000000" w:themeColor="text1"/>
          <w:sz w:val="16"/>
          <w:szCs w:val="16"/>
        </w:rPr>
        <w:t>ремонтоспособность</w:t>
      </w:r>
      <w:proofErr w:type="spellEnd"/>
      <w:r w:rsidRPr="007122AB">
        <w:rPr>
          <w:rFonts w:ascii="Times New Roman" w:hAnsi="Times New Roman"/>
          <w:color w:val="000000" w:themeColor="text1"/>
          <w:sz w:val="16"/>
          <w:szCs w:val="16"/>
        </w:rPr>
        <w:t>, особенно в боевых условиях, отказ в запуске двигателя при температуре ниже -7°С, отсутствие нормальной видимости у водителя при езде с закрытыми передними щитами, малая толщина вертикального бронирования. Сравнив испытанный танк Т-19 с В-26, Гинзбург предложил спроектировать и изготовить танк-гибрид с корпусом и мотором Т-19, а трансмиссией и ходовой частью от «</w:t>
      </w:r>
      <w:proofErr w:type="spellStart"/>
      <w:r w:rsidRPr="007122AB">
        <w:rPr>
          <w:rFonts w:ascii="Times New Roman" w:hAnsi="Times New Roman"/>
          <w:color w:val="000000" w:themeColor="text1"/>
          <w:sz w:val="16"/>
          <w:szCs w:val="16"/>
        </w:rPr>
        <w:t>виккерса</w:t>
      </w:r>
      <w:proofErr w:type="spellEnd"/>
      <w:r w:rsidRPr="007122AB">
        <w:rPr>
          <w:rFonts w:ascii="Times New Roman" w:hAnsi="Times New Roman"/>
          <w:color w:val="000000" w:themeColor="text1"/>
          <w:sz w:val="16"/>
          <w:szCs w:val="16"/>
        </w:rPr>
        <w:t>». Однако в решение о принятии на вооружение В-26 вмешался случай. Советская разведка узнала о переговорах польского правительства с англичанами о закупке 6-тонного «</w:t>
      </w:r>
      <w:proofErr w:type="spellStart"/>
      <w:r w:rsidRPr="007122AB">
        <w:rPr>
          <w:rFonts w:ascii="Times New Roman" w:hAnsi="Times New Roman"/>
          <w:color w:val="000000" w:themeColor="text1"/>
          <w:sz w:val="16"/>
          <w:szCs w:val="16"/>
        </w:rPr>
        <w:t>виккерса</w:t>
      </w:r>
      <w:proofErr w:type="spellEnd"/>
      <w:r w:rsidRPr="007122AB">
        <w:rPr>
          <w:rFonts w:ascii="Times New Roman" w:hAnsi="Times New Roman"/>
          <w:color w:val="000000" w:themeColor="text1"/>
          <w:sz w:val="16"/>
          <w:szCs w:val="16"/>
        </w:rPr>
        <w:t>» и 10-тонного танка «</w:t>
      </w:r>
      <w:proofErr w:type="spellStart"/>
      <w:r w:rsidRPr="007122AB">
        <w:rPr>
          <w:rFonts w:ascii="Times New Roman" w:hAnsi="Times New Roman"/>
          <w:color w:val="000000" w:themeColor="text1"/>
          <w:sz w:val="16"/>
          <w:szCs w:val="16"/>
        </w:rPr>
        <w:t>кристи</w:t>
      </w:r>
      <w:proofErr w:type="spellEnd"/>
      <w:r w:rsidRPr="007122AB">
        <w:rPr>
          <w:rFonts w:ascii="Times New Roman" w:hAnsi="Times New Roman"/>
          <w:color w:val="000000" w:themeColor="text1"/>
          <w:sz w:val="16"/>
          <w:szCs w:val="16"/>
        </w:rPr>
        <w:t>», и об обязательствах англичан об оказании помощи полякам в производстве 300 танков. В таких обстоятельствах, когда Польша считалась наиболее вероятным противником СССР, РВС принял решение о немедленном начале производства 6-тонного танка «</w:t>
      </w:r>
      <w:proofErr w:type="spellStart"/>
      <w:r w:rsidRPr="007122AB">
        <w:rPr>
          <w:rFonts w:ascii="Times New Roman" w:hAnsi="Times New Roman"/>
          <w:color w:val="000000" w:themeColor="text1"/>
          <w:sz w:val="16"/>
          <w:szCs w:val="16"/>
        </w:rPr>
        <w:t>виккерс</w:t>
      </w:r>
      <w:proofErr w:type="spellEnd"/>
      <w:r w:rsidRPr="007122AB">
        <w:rPr>
          <w:rFonts w:ascii="Times New Roman" w:hAnsi="Times New Roman"/>
          <w:color w:val="000000" w:themeColor="text1"/>
          <w:sz w:val="16"/>
          <w:szCs w:val="16"/>
        </w:rPr>
        <w:t>» без доработок. Танк получил индекс Т-26. Первый экземпляр танка Т-26 был вооружён 37-мм пушкой Б-3; для выпуска 1931 г. характерны клёпаные корпус и башня. Сразу же после принятия Т-26 на вооружение встал вопрос о выделении для его изготовления необходимых производственных мощностей. Единственным предприятием, пригодным для производства Т-26, оказался танковый цех «Большевика», уже имевший опыт изготовления танков МС-1. Впоследствии к производству Т-26 предполагалось подключить строящийся Сталинградский тракторный завод. Первоначальный план по выпуску Т-26 на 1931 г. «Большевику» составлял 500 танков, но затем его сократили до 300. Однако и он оказался нереальным: изготовление Т-26 было значительно сложнее, чем сборка МС-1 (15132).</w:t>
      </w:r>
    </w:p>
    <w:p w14:paraId="21864CB4" w14:textId="77777777" w:rsidR="000B4A7D" w:rsidRPr="007122AB" w:rsidRDefault="000B4A7D" w:rsidP="007122AB">
      <w:pPr>
        <w:spacing w:after="0" w:line="240" w:lineRule="auto"/>
        <w:jc w:val="both"/>
        <w:rPr>
          <w:rFonts w:ascii="Times New Roman" w:hAnsi="Times New Roman"/>
          <w:color w:val="000000" w:themeColor="text1"/>
          <w:sz w:val="16"/>
          <w:szCs w:val="16"/>
        </w:rPr>
      </w:pPr>
    </w:p>
    <w:p w14:paraId="38396A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января 1931 испытательный отдел НИАБТ полигона получил распоряжение о “проведении цикла зимних испытаний для изделия </w:t>
      </w:r>
      <w:proofErr w:type="spellStart"/>
      <w:r w:rsidRPr="007122AB">
        <w:rPr>
          <w:rFonts w:ascii="Times New Roman" w:hAnsi="Times New Roman"/>
          <w:color w:val="000000" w:themeColor="text1"/>
          <w:sz w:val="16"/>
          <w:szCs w:val="16"/>
        </w:rPr>
        <w:t>Бриллинга</w:t>
      </w:r>
      <w:proofErr w:type="spellEnd"/>
      <w:r w:rsidRPr="007122AB">
        <w:rPr>
          <w:rFonts w:ascii="Times New Roman" w:hAnsi="Times New Roman"/>
          <w:color w:val="000000" w:themeColor="text1"/>
          <w:sz w:val="16"/>
          <w:szCs w:val="16"/>
        </w:rPr>
        <w:t>-Кузнецова выпуска Харьковского завода на мотоциклете-одиночке - снегоход на базе Харлея-</w:t>
      </w:r>
      <w:proofErr w:type="spellStart"/>
      <w:r w:rsidRPr="007122AB">
        <w:rPr>
          <w:rFonts w:ascii="Times New Roman" w:hAnsi="Times New Roman"/>
          <w:color w:val="000000" w:themeColor="text1"/>
          <w:sz w:val="16"/>
          <w:szCs w:val="16"/>
        </w:rPr>
        <w:t>Дэвилдсона</w:t>
      </w:r>
      <w:proofErr w:type="spellEnd"/>
      <w:r w:rsidRPr="007122AB">
        <w:rPr>
          <w:rFonts w:ascii="Times New Roman" w:hAnsi="Times New Roman"/>
          <w:color w:val="000000" w:themeColor="text1"/>
          <w:sz w:val="16"/>
          <w:szCs w:val="16"/>
        </w:rPr>
        <w:t xml:space="preserve"> выпуска 1930, двигатель № 11260 с мотором 9.5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приобретенноно</w:t>
      </w:r>
      <w:proofErr w:type="spellEnd"/>
      <w:r w:rsidRPr="007122AB">
        <w:rPr>
          <w:rFonts w:ascii="Times New Roman" w:hAnsi="Times New Roman"/>
          <w:color w:val="000000" w:themeColor="text1"/>
          <w:sz w:val="16"/>
          <w:szCs w:val="16"/>
        </w:rPr>
        <w:t xml:space="preserve"> через Амторг (7690,17).</w:t>
      </w:r>
    </w:p>
    <w:p w14:paraId="0DAF44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BA0879" w14:textId="5EB27136" w:rsidR="00F82D59" w:rsidRDefault="00F82D59"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0B22CC3E" w14:textId="77777777" w:rsidR="00F82D59" w:rsidRDefault="00F82D59"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1022CCE" w14:textId="77777777" w:rsidR="00F82D59" w:rsidRPr="00441F34" w:rsidRDefault="00F82D59" w:rsidP="00F82D5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января 1931 года в США буксируемый грузовиком надувной резиновый пла</w:t>
      </w:r>
      <w:r w:rsidRPr="00441F34">
        <w:rPr>
          <w:rFonts w:ascii="Times New Roman" w:hAnsi="Times New Roman"/>
          <w:color w:val="0070C0"/>
          <w:sz w:val="16"/>
          <w:szCs w:val="16"/>
        </w:rPr>
        <w:softHyphen/>
        <w:t>нер Goodyear поднялся на высоту 25 м, когда пилот потерял управление. Правое крыло ударилось о землю в почти вертикальном положении и согнулось. Когда произошел удар носом, крыло вернулось к своей первоначальной форме. В результате ава</w:t>
      </w:r>
      <w:r w:rsidRPr="00441F34">
        <w:rPr>
          <w:rFonts w:ascii="Times New Roman" w:hAnsi="Times New Roman"/>
          <w:color w:val="0070C0"/>
          <w:sz w:val="16"/>
          <w:szCs w:val="16"/>
        </w:rPr>
        <w:softHyphen/>
        <w:t>рии была порвана только одна растяжка стоимостью около 50 центов, а летчик отделался небольшими ушибами. Всего с 1931 по 1939 годы надувной планер со</w:t>
      </w:r>
      <w:r w:rsidRPr="00441F34">
        <w:rPr>
          <w:rFonts w:ascii="Times New Roman" w:hAnsi="Times New Roman"/>
          <w:color w:val="0070C0"/>
          <w:sz w:val="16"/>
          <w:szCs w:val="16"/>
        </w:rPr>
        <w:softHyphen/>
        <w:t xml:space="preserve">вершил около 30 полетов. Эксперименты </w:t>
      </w:r>
      <w:proofErr w:type="spellStart"/>
      <w:r w:rsidRPr="00441F34">
        <w:rPr>
          <w:rFonts w:ascii="Times New Roman" w:hAnsi="Times New Roman"/>
          <w:color w:val="0070C0"/>
          <w:sz w:val="16"/>
          <w:szCs w:val="16"/>
        </w:rPr>
        <w:t>Макдэниэла</w:t>
      </w:r>
      <w:proofErr w:type="spellEnd"/>
      <w:r w:rsidRPr="00441F34">
        <w:rPr>
          <w:rFonts w:ascii="Times New Roman" w:hAnsi="Times New Roman"/>
          <w:color w:val="0070C0"/>
          <w:sz w:val="16"/>
          <w:szCs w:val="16"/>
        </w:rPr>
        <w:t xml:space="preserve"> были прерваны из-за безде</w:t>
      </w:r>
      <w:r w:rsidRPr="00441F34">
        <w:rPr>
          <w:rFonts w:ascii="Times New Roman" w:hAnsi="Times New Roman"/>
          <w:color w:val="0070C0"/>
          <w:sz w:val="16"/>
          <w:szCs w:val="16"/>
        </w:rPr>
        <w:softHyphen/>
        <w:t>нежья, вызванного Великой депрессией (24143).</w:t>
      </w:r>
    </w:p>
    <w:p w14:paraId="5B7DC336" w14:textId="77777777" w:rsidR="00F82D59" w:rsidRPr="00441F34" w:rsidRDefault="00F82D59" w:rsidP="00F82D59">
      <w:pPr>
        <w:spacing w:after="0" w:line="240" w:lineRule="auto"/>
        <w:jc w:val="both"/>
        <w:rPr>
          <w:rFonts w:ascii="Times New Roman" w:hAnsi="Times New Roman"/>
          <w:color w:val="0070C0"/>
          <w:sz w:val="16"/>
          <w:szCs w:val="16"/>
        </w:rPr>
      </w:pPr>
    </w:p>
    <w:p w14:paraId="17E9246B" w14:textId="47E3D9AE"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626D25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615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 16 января 1931 были подписаны протоколы по осмотру кабин ТБ-4 (1077,172).</w:t>
      </w:r>
    </w:p>
    <w:p w14:paraId="02F40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1C4AD0" w14:textId="77777777" w:rsidR="006E48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66EED52" w14:textId="77777777" w:rsidR="006E4804" w:rsidRPr="007122AB" w:rsidRDefault="006E48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9358E0"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12 января 1931 г. — Письмо наркома по военным и морским делам СССР и председателя Реввоенсовета СССР К. Е. Ворошилова председателю ВСНХ СССР С. Орджоникидзе о неудовлетворительном выполнении программы по военному судостроению</w:t>
      </w:r>
    </w:p>
    <w:p w14:paraId="57C56D67"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4C02F510"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1. РВСС считает выполнение судостроительной программы Морских сил РККА промышленностью неудовлетворительным. Сроки окончания постройки кораблей, назначенные постановлением РЗ СТО от 4 февраля 1929 г.¹*, все сорваны, причем опоздание по многим судам имеется уже больше года.</w:t>
      </w:r>
    </w:p>
    <w:p w14:paraId="28804F30"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Тактические элементы трех построенных судов, полученные на сдаточных испытаниях, ниже заданных. Стоимость кораблей выходит за пределы утвержденных надлежащими органами лимитов.</w:t>
      </w:r>
    </w:p>
    <w:p w14:paraId="5D6ABF40"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2. Подлодка «Декабрист» (</w:t>
      </w:r>
      <w:proofErr w:type="spellStart"/>
      <w:r w:rsidRPr="007122AB">
        <w:rPr>
          <w:color w:val="000000" w:themeColor="text1"/>
          <w:sz w:val="16"/>
          <w:szCs w:val="16"/>
        </w:rPr>
        <w:t>Балтвод</w:t>
      </w:r>
      <w:proofErr w:type="spellEnd"/>
      <w:r w:rsidRPr="007122AB">
        <w:rPr>
          <w:color w:val="000000" w:themeColor="text1"/>
          <w:sz w:val="16"/>
          <w:szCs w:val="16"/>
        </w:rPr>
        <w:t>): а) вступила в строй 19 ноября 1930 г. вместо 1 декабря 1929 г. по плану — опоздание на 12 месяцев; б) надводная скорость 15,3 вместо заданных 16 узлов, подводная скорость 8,7 вместо 9 [узлов].</w:t>
      </w:r>
    </w:p>
    <w:p w14:paraId="6337D9C8"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Подлодка «Революционер» (</w:t>
      </w:r>
      <w:proofErr w:type="spellStart"/>
      <w:r w:rsidRPr="007122AB">
        <w:rPr>
          <w:color w:val="000000" w:themeColor="text1"/>
          <w:sz w:val="16"/>
          <w:szCs w:val="16"/>
        </w:rPr>
        <w:t>Никгосзаводы</w:t>
      </w:r>
      <w:proofErr w:type="spellEnd"/>
      <w:r w:rsidRPr="007122AB">
        <w:rPr>
          <w:color w:val="000000" w:themeColor="text1"/>
          <w:sz w:val="16"/>
          <w:szCs w:val="16"/>
        </w:rPr>
        <w:t>): а) вступила в строй 31 декабря 1930 г. вместо 1 сентября 1929 г., т. е. опоздание на 14 месяцев; б) надводная скорость 14,05 узлов вместо 16, подводная скорость 8,3 узла вместо 9; в) скорость погружения 1 мин 15 с вместо 45 с, даваемых «Декабристом».</w:t>
      </w:r>
    </w:p>
    <w:p w14:paraId="70AABE32" w14:textId="77777777" w:rsidR="006E4804" w:rsidRPr="007122AB" w:rsidRDefault="006E4804" w:rsidP="007122AB">
      <w:pPr>
        <w:pStyle w:val="rtejustify"/>
        <w:spacing w:before="0" w:after="0"/>
        <w:rPr>
          <w:color w:val="000000" w:themeColor="text1"/>
          <w:sz w:val="16"/>
          <w:szCs w:val="16"/>
        </w:rPr>
      </w:pPr>
      <w:proofErr w:type="spellStart"/>
      <w:r w:rsidRPr="007122AB">
        <w:rPr>
          <w:color w:val="000000" w:themeColor="text1"/>
          <w:sz w:val="16"/>
          <w:szCs w:val="16"/>
        </w:rPr>
        <w:t>Сторсудно</w:t>
      </w:r>
      <w:proofErr w:type="spellEnd"/>
      <w:r w:rsidRPr="007122AB">
        <w:rPr>
          <w:color w:val="000000" w:themeColor="text1"/>
          <w:sz w:val="16"/>
          <w:szCs w:val="16"/>
        </w:rPr>
        <w:t xml:space="preserve"> «Ураган»: а) вступил в строй 14 декабря 1930 г. вместо 1 мая 1930 г. по плану, опоздание на 7,5 месяцев. Все остальные сторожевые суда опаздывают больше 12 месяцев; б) скорость судна 26 узлов вместо заданных 29.</w:t>
      </w:r>
    </w:p>
    <w:p w14:paraId="614F7D9F"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 xml:space="preserve">Огромное количество брака, недоброкачественная сборка, отсутствие весовой дисциплины, слабость проектировочных организаций, </w:t>
      </w:r>
      <w:proofErr w:type="spellStart"/>
      <w:r w:rsidRPr="007122AB">
        <w:rPr>
          <w:color w:val="000000" w:themeColor="text1"/>
          <w:sz w:val="16"/>
          <w:szCs w:val="16"/>
        </w:rPr>
        <w:t>невыдерживание</w:t>
      </w:r>
      <w:proofErr w:type="spellEnd"/>
      <w:r w:rsidRPr="007122AB">
        <w:rPr>
          <w:color w:val="000000" w:themeColor="text1"/>
          <w:sz w:val="16"/>
          <w:szCs w:val="16"/>
        </w:rPr>
        <w:t xml:space="preserve"> сроков поставок заводов, изготовляющих отдельные устройства и материалы; и т. п. — вот основные причины, определившие эти регуляторы. Эти причины продолжают действовать и сейчас.</w:t>
      </w:r>
    </w:p>
    <w:p w14:paraId="41932789"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3. РВСС также констатирует, что стоимость кораблей значительно выше твердо расчетных цен, установленных надлежащими органами.</w:t>
      </w:r>
    </w:p>
    <w:p w14:paraId="45608664"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 xml:space="preserve">Стоимость </w:t>
      </w:r>
      <w:proofErr w:type="spellStart"/>
      <w:r w:rsidRPr="007122AB">
        <w:rPr>
          <w:color w:val="000000" w:themeColor="text1"/>
          <w:sz w:val="16"/>
          <w:szCs w:val="16"/>
        </w:rPr>
        <w:t>сторсудна</w:t>
      </w:r>
      <w:proofErr w:type="spellEnd"/>
      <w:r w:rsidRPr="007122AB">
        <w:rPr>
          <w:color w:val="000000" w:themeColor="text1"/>
          <w:sz w:val="16"/>
          <w:szCs w:val="16"/>
        </w:rPr>
        <w:t xml:space="preserve"> определена Комиссией государственных заказов 13 февраля 1928 г. в 1754 тыс. Отчетная калькуляция </w:t>
      </w:r>
      <w:proofErr w:type="spellStart"/>
      <w:r w:rsidRPr="007122AB">
        <w:rPr>
          <w:color w:val="000000" w:themeColor="text1"/>
          <w:sz w:val="16"/>
          <w:szCs w:val="16"/>
        </w:rPr>
        <w:t>Союзверфи</w:t>
      </w:r>
      <w:proofErr w:type="spellEnd"/>
      <w:r w:rsidRPr="007122AB">
        <w:rPr>
          <w:color w:val="000000" w:themeColor="text1"/>
          <w:sz w:val="16"/>
          <w:szCs w:val="16"/>
        </w:rPr>
        <w:t xml:space="preserve"> требует за готовый сторожевик 2220 тыс., т. е. на 25% дороже. Такое же соотношение цен и по подлодкам.</w:t>
      </w:r>
    </w:p>
    <w:p w14:paraId="23107914"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4. Все это заставляет РВСС просить Президиум ВСНХ о производстве обследования промышленности, работающей над выполнением программы в[</w:t>
      </w:r>
      <w:proofErr w:type="spellStart"/>
      <w:r w:rsidRPr="007122AB">
        <w:rPr>
          <w:color w:val="000000" w:themeColor="text1"/>
          <w:sz w:val="16"/>
          <w:szCs w:val="16"/>
        </w:rPr>
        <w:t>оенно</w:t>
      </w:r>
      <w:proofErr w:type="spellEnd"/>
      <w:r w:rsidRPr="007122AB">
        <w:rPr>
          <w:color w:val="000000" w:themeColor="text1"/>
          <w:sz w:val="16"/>
          <w:szCs w:val="16"/>
        </w:rPr>
        <w:t>-]м[орского] судостроения, и принятия решительных мероприятий по ускорению постройки, улучшению качества работы и снижению стоимости.</w:t>
      </w:r>
    </w:p>
    <w:p w14:paraId="4A01CA6F"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5. РВСС требует вступления в строй.</w:t>
      </w:r>
    </w:p>
    <w:p w14:paraId="41BFD9D1"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На Балтийском море: линкора «Марат» — не позже 1 июня 1931 г.; подлодок «Народоволец» и «Красногвардеец» — к 1 июня 1931 г.; подлодки «Л</w:t>
      </w:r>
      <w:r w:rsidRPr="007122AB">
        <w:rPr>
          <w:color w:val="000000" w:themeColor="text1"/>
          <w:sz w:val="16"/>
          <w:szCs w:val="16"/>
        </w:rPr>
        <w:noBreakHyphen/>
        <w:t>55» — к 1 июня 1931 г.; сторожевых судов: «Тайфун», «Смерч», «Циклон» — к 1 июня 1931 г., «Вихрь», «Буря» — к 1 июля 1931 г.</w:t>
      </w:r>
    </w:p>
    <w:p w14:paraId="78140A6D"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На Черном море: подлодок «Спартаковец», «Якобинец» — к 1 апреля 1931 г.; сторожевых судов «Шторм» и «Шквал» — не позже 1 июня 1931 г.; крейсера «Красный Кавказ» — к 1 сентября 1931 г.</w:t>
      </w:r>
    </w:p>
    <w:p w14:paraId="33E10031"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rPr>
        <w:t>6. О принятых мероприятиях прошу поставить меня в известность.</w:t>
      </w:r>
    </w:p>
    <w:p w14:paraId="59D136BC" w14:textId="77777777" w:rsidR="006E4804" w:rsidRPr="007122AB" w:rsidRDefault="006E4804"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Наркомвоенмор и председатель РВС СССР </w:t>
      </w:r>
      <w:hyperlink r:id="rId7" w:history="1">
        <w:r w:rsidRPr="007122AB">
          <w:rPr>
            <w:rStyle w:val="af0"/>
            <w:i w:val="0"/>
            <w:color w:val="000000" w:themeColor="text1"/>
            <w:sz w:val="16"/>
            <w:szCs w:val="16"/>
          </w:rPr>
          <w:t>Ворошилов</w:t>
        </w:r>
      </w:hyperlink>
    </w:p>
    <w:p w14:paraId="4A2DA975" w14:textId="77777777" w:rsidR="006E4804" w:rsidRPr="007122AB" w:rsidRDefault="006E4804"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54CABB34" w14:textId="77777777" w:rsidR="006E4804" w:rsidRPr="007122AB" w:rsidRDefault="006E4804"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w:t>
      </w:r>
      <w:r w:rsidRPr="007122AB">
        <w:rPr>
          <w:rStyle w:val="af0"/>
          <w:i w:val="0"/>
          <w:color w:val="000000" w:themeColor="text1"/>
          <w:sz w:val="16"/>
          <w:szCs w:val="16"/>
        </w:rPr>
        <w:t>4 февраля 1929 г.</w:t>
      </w:r>
      <w:r w:rsidRPr="007122AB">
        <w:rPr>
          <w:color w:val="000000" w:themeColor="text1"/>
          <w:sz w:val="16"/>
          <w:szCs w:val="16"/>
        </w:rPr>
        <w:t xml:space="preserve"> было принято </w:t>
      </w:r>
      <w:r w:rsidRPr="007122AB">
        <w:rPr>
          <w:rStyle w:val="af0"/>
          <w:i w:val="0"/>
          <w:color w:val="000000" w:themeColor="text1"/>
          <w:sz w:val="16"/>
          <w:szCs w:val="16"/>
        </w:rPr>
        <w:t>постановление РЗ СТО СССР «О судостроительной программе НКВМ»</w:t>
      </w:r>
      <w:r w:rsidRPr="007122AB">
        <w:rPr>
          <w:color w:val="000000" w:themeColor="text1"/>
          <w:sz w:val="16"/>
          <w:szCs w:val="16"/>
        </w:rPr>
        <w:t xml:space="preserve"> в развитие постановления РЗ СТО СССР от 17 декабря 1928 г. Эта программа военного судостроения на 1928</w:t>
      </w:r>
      <w:r w:rsidRPr="007122AB">
        <w:rPr>
          <w:color w:val="000000" w:themeColor="text1"/>
          <w:sz w:val="16"/>
          <w:szCs w:val="16"/>
        </w:rPr>
        <w:noBreakHyphen/>
        <w:t xml:space="preserve">1933 гг. предусматривала постройку 84 подводных лодок, 3 эскадренных эсминцев, 18 сторожевых судов, 5 искателей подлодок, 60 торпедных катеров, 3 торпедных катеров волнового управления, 2 речных </w:t>
      </w:r>
      <w:proofErr w:type="spellStart"/>
      <w:r w:rsidRPr="007122AB">
        <w:rPr>
          <w:color w:val="000000" w:themeColor="text1"/>
          <w:sz w:val="16"/>
          <w:szCs w:val="16"/>
        </w:rPr>
        <w:t>канонерных</w:t>
      </w:r>
      <w:proofErr w:type="spellEnd"/>
      <w:r w:rsidRPr="007122AB">
        <w:rPr>
          <w:color w:val="000000" w:themeColor="text1"/>
          <w:sz w:val="16"/>
          <w:szCs w:val="16"/>
        </w:rPr>
        <w:t xml:space="preserve"> лодок; достройку, восстановление и капитальный ремонт 3 эсминцев, достройку легкого крейсера «Красный Кавказ»; капитальный ремонт легких крейсеров «Парижская Коммуна», «Марат», «Октябрьская революция» и др.</w:t>
      </w:r>
    </w:p>
    <w:p w14:paraId="007CA198" w14:textId="77777777" w:rsidR="006E4804" w:rsidRPr="007122AB" w:rsidRDefault="006E4804" w:rsidP="007122AB">
      <w:pPr>
        <w:pStyle w:val="ae"/>
        <w:spacing w:before="0" w:after="0"/>
        <w:jc w:val="both"/>
        <w:rPr>
          <w:color w:val="000000" w:themeColor="text1"/>
          <w:sz w:val="16"/>
          <w:szCs w:val="16"/>
        </w:rPr>
      </w:pPr>
      <w:r w:rsidRPr="007122AB">
        <w:rPr>
          <w:color w:val="000000" w:themeColor="text1"/>
          <w:sz w:val="16"/>
          <w:szCs w:val="16"/>
        </w:rPr>
        <w:t>РГАЭ. Ф. 3429. Оп. 16. Д. 189. Л. 95—94. Подлинник.</w:t>
      </w:r>
    </w:p>
    <w:p w14:paraId="485006AE"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3429. Оп. 16. Д. 189. Л. 95—94. Подлинник. </w:t>
      </w:r>
    </w:p>
    <w:p w14:paraId="411D1F79"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516-517 (12521).</w:t>
      </w:r>
    </w:p>
    <w:p w14:paraId="154D373B" w14:textId="77777777" w:rsidR="006E4804" w:rsidRPr="007122AB" w:rsidRDefault="006E4804" w:rsidP="007122AB">
      <w:pPr>
        <w:spacing w:after="0" w:line="240" w:lineRule="auto"/>
        <w:jc w:val="both"/>
        <w:rPr>
          <w:rFonts w:ascii="Times New Roman" w:hAnsi="Times New Roman"/>
          <w:color w:val="000000" w:themeColor="text1"/>
          <w:sz w:val="16"/>
          <w:szCs w:val="16"/>
        </w:rPr>
      </w:pPr>
    </w:p>
    <w:p w14:paraId="4E4C96D8"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12 января 1931 г. начальник морских сил Р. А. </w:t>
      </w:r>
      <w:proofErr w:type="spellStart"/>
      <w:r w:rsidRPr="007122AB">
        <w:rPr>
          <w:rFonts w:ascii="Times New Roman" w:eastAsia="TimesNewRoman" w:hAnsi="Times New Roman"/>
          <w:color w:val="000000" w:themeColor="text1"/>
          <w:sz w:val="16"/>
          <w:szCs w:val="16"/>
        </w:rPr>
        <w:t>Муклевич</w:t>
      </w:r>
      <w:proofErr w:type="spellEnd"/>
      <w:r w:rsidRPr="007122AB">
        <w:rPr>
          <w:rFonts w:ascii="Times New Roman" w:eastAsia="TimesNewRoman" w:hAnsi="Times New Roman"/>
          <w:color w:val="000000" w:themeColor="text1"/>
          <w:sz w:val="16"/>
          <w:szCs w:val="16"/>
        </w:rPr>
        <w:t xml:space="preserve"> докладывал наркому обороны К. Е. Ворошилову о необходимости скорейшего заказа в Италии предметов вооружения на основании предложений, </w:t>
      </w:r>
      <w:proofErr w:type="spellStart"/>
      <w:r w:rsidRPr="007122AB">
        <w:rPr>
          <w:rFonts w:ascii="Times New Roman" w:eastAsia="TimesNewRoman" w:hAnsi="Times New Roman"/>
          <w:color w:val="000000" w:themeColor="text1"/>
          <w:sz w:val="16"/>
          <w:szCs w:val="16"/>
        </w:rPr>
        <w:t>привезѐ</w:t>
      </w:r>
      <w:r w:rsidRPr="007122AB">
        <w:rPr>
          <w:rFonts w:ascii="Times New Roman" w:eastAsia="MS Mincho" w:hAnsi="Times New Roman"/>
          <w:color w:val="000000" w:themeColor="text1"/>
          <w:sz w:val="16"/>
          <w:szCs w:val="16"/>
        </w:rPr>
        <w:t>н</w:t>
      </w:r>
      <w:r w:rsidRPr="007122AB">
        <w:rPr>
          <w:rFonts w:ascii="Times New Roman" w:eastAsia="TimesNewRoman" w:hAnsi="Times New Roman"/>
          <w:color w:val="000000" w:themeColor="text1"/>
          <w:sz w:val="16"/>
          <w:szCs w:val="16"/>
        </w:rPr>
        <w:t>ных</w:t>
      </w:r>
      <w:proofErr w:type="spellEnd"/>
      <w:r w:rsidRPr="007122AB">
        <w:rPr>
          <w:rFonts w:ascii="Times New Roman" w:eastAsia="TimesNewRoman" w:hAnsi="Times New Roman"/>
          <w:color w:val="000000" w:themeColor="text1"/>
          <w:sz w:val="16"/>
          <w:szCs w:val="16"/>
        </w:rPr>
        <w:t xml:space="preserve"> группой А. К. Сивкова, и вынесении этого вопроса для рассмотрения правительством [Там же, л. 269] (12701).</w:t>
      </w:r>
    </w:p>
    <w:p w14:paraId="6B43B016"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p>
    <w:p w14:paraId="1EC7311C" w14:textId="77777777" w:rsidR="002662B0" w:rsidRPr="007122AB" w:rsidRDefault="002662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января 1931 г. начальник морских сил Р. А. </w:t>
      </w:r>
      <w:proofErr w:type="spellStart"/>
      <w:r w:rsidRPr="007122AB">
        <w:rPr>
          <w:rFonts w:ascii="Times New Roman" w:hAnsi="Times New Roman"/>
          <w:color w:val="000000" w:themeColor="text1"/>
          <w:sz w:val="16"/>
          <w:szCs w:val="16"/>
        </w:rPr>
        <w:t>Муклевич</w:t>
      </w:r>
      <w:proofErr w:type="spellEnd"/>
      <w:r w:rsidRPr="007122AB">
        <w:rPr>
          <w:rFonts w:ascii="Times New Roman" w:hAnsi="Times New Roman"/>
          <w:color w:val="000000" w:themeColor="text1"/>
          <w:sz w:val="16"/>
          <w:szCs w:val="16"/>
        </w:rPr>
        <w:t xml:space="preserve"> докладывал наркому обороны К. Е. Ворошилову о необходимости скорейшего заказа в Италии предметов вооружения на основании предложений, </w:t>
      </w:r>
      <w:proofErr w:type="spellStart"/>
      <w:r w:rsidRPr="007122AB">
        <w:rPr>
          <w:rFonts w:ascii="Times New Roman" w:hAnsi="Times New Roman"/>
          <w:color w:val="000000" w:themeColor="text1"/>
          <w:sz w:val="16"/>
          <w:szCs w:val="16"/>
        </w:rPr>
        <w:t>привезѐнных</w:t>
      </w:r>
      <w:proofErr w:type="spellEnd"/>
      <w:r w:rsidRPr="007122AB">
        <w:rPr>
          <w:rFonts w:ascii="Times New Roman" w:hAnsi="Times New Roman"/>
          <w:color w:val="000000" w:themeColor="text1"/>
          <w:sz w:val="16"/>
          <w:szCs w:val="16"/>
        </w:rPr>
        <w:t xml:space="preserve"> группой А. К. Сивкова, и вынесении этого вопроса для рассмотрения правительством [Там же, л. 269]. После обсуждения в Наркомате обороны (НКО) данного доклада, в Комитет Обороны (КО) Совета Народных Комисаров (СНК) СССР 18 марта 1931 г.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w:t>
      </w:r>
      <w:proofErr w:type="spellStart"/>
      <w:r w:rsidRPr="007122AB">
        <w:rPr>
          <w:rFonts w:ascii="Times New Roman" w:hAnsi="Times New Roman"/>
          <w:color w:val="000000" w:themeColor="text1"/>
          <w:sz w:val="16"/>
          <w:szCs w:val="16"/>
        </w:rPr>
        <w:t>трѐхтрубных</w:t>
      </w:r>
      <w:proofErr w:type="spellEnd"/>
      <w:r w:rsidRPr="007122AB">
        <w:rPr>
          <w:rFonts w:ascii="Times New Roman" w:hAnsi="Times New Roman"/>
          <w:color w:val="000000" w:themeColor="text1"/>
          <w:sz w:val="16"/>
          <w:szCs w:val="16"/>
        </w:rPr>
        <w:t xml:space="preserve"> торпедных аппарата системы завода </w:t>
      </w:r>
      <w:proofErr w:type="spellStart"/>
      <w:r w:rsidRPr="007122AB">
        <w:rPr>
          <w:rFonts w:ascii="Times New Roman" w:hAnsi="Times New Roman"/>
          <w:color w:val="000000" w:themeColor="text1"/>
          <w:sz w:val="16"/>
          <w:szCs w:val="16"/>
        </w:rPr>
        <w:t>Силурифичио</w:t>
      </w:r>
      <w:proofErr w:type="spellEnd"/>
      <w:r w:rsidRPr="007122AB">
        <w:rPr>
          <w:rFonts w:ascii="Times New Roman" w:hAnsi="Times New Roman"/>
          <w:color w:val="000000" w:themeColor="text1"/>
          <w:sz w:val="16"/>
          <w:szCs w:val="16"/>
        </w:rPr>
        <w:t xml:space="preserve"> – на сумму 426 тыс. руб.; по артиллерии – артиллерийские установки системы </w:t>
      </w:r>
      <w:proofErr w:type="spellStart"/>
      <w:r w:rsidRPr="007122AB">
        <w:rPr>
          <w:rFonts w:ascii="Times New Roman" w:hAnsi="Times New Roman"/>
          <w:color w:val="000000" w:themeColor="text1"/>
          <w:sz w:val="16"/>
          <w:szCs w:val="16"/>
        </w:rPr>
        <w:t>Минизини</w:t>
      </w:r>
      <w:proofErr w:type="spellEnd"/>
      <w:r w:rsidRPr="007122AB">
        <w:rPr>
          <w:rFonts w:ascii="Times New Roman" w:hAnsi="Times New Roman"/>
          <w:color w:val="000000" w:themeColor="text1"/>
          <w:sz w:val="16"/>
          <w:szCs w:val="16"/>
        </w:rPr>
        <w:t xml:space="preserve"> (16 орудийных установок), приборы центральной наводки системы Галилео (3 комплекта); механическая трубка для зенитного снаряда системы Галилео; регулятор «</w:t>
      </w:r>
      <w:proofErr w:type="spellStart"/>
      <w:r w:rsidRPr="007122AB">
        <w:rPr>
          <w:rFonts w:ascii="Times New Roman" w:hAnsi="Times New Roman"/>
          <w:color w:val="000000" w:themeColor="text1"/>
          <w:sz w:val="16"/>
          <w:szCs w:val="16"/>
        </w:rPr>
        <w:t>Факини</w:t>
      </w:r>
      <w:proofErr w:type="spellEnd"/>
      <w:r w:rsidRPr="007122AB">
        <w:rPr>
          <w:rFonts w:ascii="Times New Roman" w:hAnsi="Times New Roman"/>
          <w:color w:val="000000" w:themeColor="text1"/>
          <w:sz w:val="16"/>
          <w:szCs w:val="16"/>
        </w:rPr>
        <w:t>» (10 комплектов); дальномеры стерео трехметровый и пятиметровый (10 шт.) – на сумму 2 270 000 руб. (зол.).</w:t>
      </w:r>
    </w:p>
    <w:p w14:paraId="5AB3AF0D" w14:textId="77777777" w:rsidR="002662B0" w:rsidRPr="007122AB" w:rsidRDefault="002662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w:t>
      </w:r>
      <w:proofErr w:type="spellStart"/>
      <w:r w:rsidRPr="007122AB">
        <w:rPr>
          <w:rFonts w:ascii="Times New Roman" w:hAnsi="Times New Roman"/>
          <w:color w:val="000000" w:themeColor="text1"/>
          <w:sz w:val="16"/>
          <w:szCs w:val="16"/>
        </w:rPr>
        <w:t>Муклевича</w:t>
      </w:r>
      <w:proofErr w:type="spellEnd"/>
      <w:r w:rsidRPr="007122AB">
        <w:rPr>
          <w:rFonts w:ascii="Times New Roman" w:hAnsi="Times New Roman"/>
          <w:color w:val="000000" w:themeColor="text1"/>
          <w:sz w:val="16"/>
          <w:szCs w:val="16"/>
        </w:rPr>
        <w:t xml:space="preserve">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w:t>
      </w:r>
      <w:proofErr w:type="spellStart"/>
      <w:r w:rsidRPr="007122AB">
        <w:rPr>
          <w:rFonts w:ascii="Times New Roman" w:hAnsi="Times New Roman"/>
          <w:color w:val="000000" w:themeColor="text1"/>
          <w:sz w:val="16"/>
          <w:szCs w:val="16"/>
        </w:rPr>
        <w:t>вперѐд</w:t>
      </w:r>
      <w:proofErr w:type="spellEnd"/>
      <w:r w:rsidRPr="007122AB">
        <w:rPr>
          <w:rFonts w:ascii="Times New Roman" w:hAnsi="Times New Roman"/>
          <w:color w:val="000000" w:themeColor="text1"/>
          <w:sz w:val="16"/>
          <w:szCs w:val="16"/>
        </w:rPr>
        <w:t xml:space="preserve">.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w:t>
      </w:r>
      <w:proofErr w:type="spellStart"/>
      <w:r w:rsidRPr="007122AB">
        <w:rPr>
          <w:rFonts w:ascii="Times New Roman" w:hAnsi="Times New Roman"/>
          <w:color w:val="000000" w:themeColor="text1"/>
          <w:sz w:val="16"/>
          <w:szCs w:val="16"/>
        </w:rPr>
        <w:t>огнѐм</w:t>
      </w:r>
      <w:proofErr w:type="spellEnd"/>
      <w:r w:rsidRPr="007122AB">
        <w:rPr>
          <w:rFonts w:ascii="Times New Roman" w:hAnsi="Times New Roman"/>
          <w:color w:val="000000" w:themeColor="text1"/>
          <w:sz w:val="16"/>
          <w:szCs w:val="16"/>
        </w:rPr>
        <w:t>.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w:t>
      </w:r>
      <w:proofErr w:type="spellStart"/>
      <w:r w:rsidRPr="007122AB">
        <w:rPr>
          <w:rFonts w:ascii="Times New Roman" w:hAnsi="Times New Roman"/>
          <w:color w:val="000000" w:themeColor="text1"/>
          <w:sz w:val="16"/>
          <w:szCs w:val="16"/>
        </w:rPr>
        <w:t>опвис</w:t>
      </w:r>
      <w:proofErr w:type="spellEnd"/>
      <w:r w:rsidRPr="007122AB">
        <w:rPr>
          <w:rFonts w:ascii="Times New Roman" w:hAnsi="Times New Roman"/>
          <w:color w:val="000000" w:themeColor="text1"/>
          <w:sz w:val="16"/>
          <w:szCs w:val="16"/>
        </w:rPr>
        <w:t xml:space="preserve"> в воздухе‖. Время </w:t>
      </w:r>
      <w:proofErr w:type="spellStart"/>
      <w:r w:rsidRPr="007122AB">
        <w:rPr>
          <w:rFonts w:ascii="Times New Roman" w:hAnsi="Times New Roman"/>
          <w:color w:val="000000" w:themeColor="text1"/>
          <w:sz w:val="16"/>
          <w:szCs w:val="16"/>
        </w:rPr>
        <w:t>идѐт</w:t>
      </w:r>
      <w:proofErr w:type="spellEnd"/>
      <w:r w:rsidRPr="007122AB">
        <w:rPr>
          <w:rFonts w:ascii="Times New Roman" w:hAnsi="Times New Roman"/>
          <w:color w:val="000000" w:themeColor="text1"/>
          <w:sz w:val="16"/>
          <w:szCs w:val="16"/>
        </w:rPr>
        <w:t>,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w:t>
      </w:r>
    </w:p>
    <w:p w14:paraId="3A4F622F" w14:textId="77777777" w:rsidR="002662B0" w:rsidRPr="007122AB" w:rsidRDefault="002662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Данное письмо тут же возымело действие, 5 апреля 1931 г. вышло Постановление КО СНК «Разрешить вести переговоры о заказе в Италии вооружения (торпед, зенитной артиллерии и приборов управления </w:t>
      </w:r>
      <w:proofErr w:type="spellStart"/>
      <w:r w:rsidRPr="007122AB">
        <w:rPr>
          <w:rFonts w:ascii="Times New Roman" w:hAnsi="Times New Roman"/>
          <w:color w:val="000000" w:themeColor="text1"/>
          <w:sz w:val="16"/>
          <w:szCs w:val="16"/>
        </w:rPr>
        <w:t>огнѐм</w:t>
      </w:r>
      <w:proofErr w:type="spellEnd"/>
      <w:r w:rsidRPr="007122AB">
        <w:rPr>
          <w:rFonts w:ascii="Times New Roman" w:hAnsi="Times New Roman"/>
          <w:color w:val="000000" w:themeColor="text1"/>
          <w:sz w:val="16"/>
          <w:szCs w:val="16"/>
        </w:rPr>
        <w:t>).</w:t>
      </w:r>
    </w:p>
    <w:p w14:paraId="12768476" w14:textId="77777777" w:rsidR="002662B0" w:rsidRPr="007122AB" w:rsidRDefault="002662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Сумму определить 4.000.000 руб. сверх существующих контингентов» [Там же, л. 276] (18258).</w:t>
      </w:r>
    </w:p>
    <w:p w14:paraId="67C45F1C" w14:textId="77777777" w:rsidR="002662B0" w:rsidRPr="007122AB" w:rsidRDefault="002662B0" w:rsidP="007122AB">
      <w:pPr>
        <w:spacing w:after="0" w:line="240" w:lineRule="auto"/>
        <w:jc w:val="both"/>
        <w:rPr>
          <w:rFonts w:ascii="Times New Roman" w:hAnsi="Times New Roman"/>
          <w:color w:val="000000" w:themeColor="text1"/>
          <w:sz w:val="16"/>
          <w:szCs w:val="16"/>
        </w:rPr>
      </w:pPr>
    </w:p>
    <w:p w14:paraId="7381908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C91B52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407750"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января 1931 года — первый полёт опытного тяжёлого бомбардировщика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Type 163 </w:t>
      </w:r>
    </w:p>
    <w:p w14:paraId="5D2E3B43"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Спроектирован на базе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Vanox</w:t>
      </w:r>
      <w:proofErr w:type="spellEnd"/>
      <w:r w:rsidRPr="007122AB">
        <w:rPr>
          <w:rFonts w:ascii="Times New Roman" w:hAnsi="Times New Roman"/>
          <w:color w:val="000000" w:themeColor="text1"/>
          <w:sz w:val="16"/>
          <w:szCs w:val="16"/>
        </w:rPr>
        <w:t>, который был увеличен в размерах для возможности установки 4 двигателей в тандеме. Участвовал в конкурсе по спецификациям Министерства авиации Великобритании B.19/27 и C.16/28 на создание двухмоторного ночного бомбардировщика и транспортного самолёта с возможностью использования в качестве бомбардировщика.</w:t>
      </w:r>
    </w:p>
    <w:p w14:paraId="51A45547"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Type 163 успешно прошёл испытания, но военные отказались от него. Конструкторы предложили переделать его в чистый военно-транспортный самолёт, но и этот вариант не заинтересовал Министерство авиации.</w:t>
      </w:r>
    </w:p>
    <w:p w14:paraId="286859C3"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Провалились и попытки создать на базе несостоявшегося бомбардировщика тяжёлый эскортный истребитель с тремя 37-мм пушками.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Type 163 так и остался построенным в 1 экземпляре (22300).</w:t>
      </w:r>
    </w:p>
    <w:p w14:paraId="464866EE" w14:textId="77777777" w:rsidR="00B23E00" w:rsidRPr="007122AB" w:rsidRDefault="00B23E00" w:rsidP="007122AB">
      <w:pPr>
        <w:spacing w:after="0" w:line="240" w:lineRule="auto"/>
        <w:jc w:val="both"/>
        <w:rPr>
          <w:rFonts w:ascii="Times New Roman" w:hAnsi="Times New Roman"/>
          <w:color w:val="000000" w:themeColor="text1"/>
          <w:sz w:val="16"/>
          <w:szCs w:val="16"/>
        </w:rPr>
      </w:pPr>
    </w:p>
    <w:p w14:paraId="62A1912D"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января 1931 - Первый полет бомбардировщика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Type 163.</w:t>
      </w:r>
    </w:p>
    <w:p w14:paraId="6B4B4795"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Тяжелый бомбардировщик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Type 163 был разработан по спецификации B.19/27 Авиационного Министерства Великобритании. Он был оборудован четырьмя двигателями Rolls-Royce FXIVS (мощностью 480 л.с.), объединенных попарно по схеме "тяни-толкай". Бомбовая нагрузка, общим весом до 1361 килограмма, размещалась во внутреннем отсеке (максимально 8 бомб массой 114 кг) и на внешних узлах подвески (до 4 бомб массой   114 кг или две 226 кг). Защитное вооружение состояло из двух 7.7-мм пулеметов </w:t>
      </w:r>
      <w:proofErr w:type="spellStart"/>
      <w:r w:rsidRPr="007122AB">
        <w:rPr>
          <w:rFonts w:ascii="Times New Roman" w:hAnsi="Times New Roman"/>
          <w:color w:val="000000" w:themeColor="text1"/>
          <w:sz w:val="16"/>
          <w:szCs w:val="16"/>
        </w:rPr>
        <w:t>Lewis</w:t>
      </w:r>
      <w:proofErr w:type="spellEnd"/>
      <w:r w:rsidRPr="007122AB">
        <w:rPr>
          <w:rFonts w:ascii="Times New Roman" w:hAnsi="Times New Roman"/>
          <w:color w:val="000000" w:themeColor="text1"/>
          <w:sz w:val="16"/>
          <w:szCs w:val="16"/>
        </w:rPr>
        <w:t xml:space="preserve">, установленных на подвижной турели </w:t>
      </w:r>
      <w:proofErr w:type="spellStart"/>
      <w:r w:rsidRPr="007122AB">
        <w:rPr>
          <w:rFonts w:ascii="Times New Roman" w:hAnsi="Times New Roman"/>
          <w:color w:val="000000" w:themeColor="text1"/>
          <w:sz w:val="16"/>
          <w:szCs w:val="16"/>
        </w:rPr>
        <w:t>Scraff</w:t>
      </w:r>
      <w:proofErr w:type="spellEnd"/>
      <w:r w:rsidRPr="007122AB">
        <w:rPr>
          <w:rFonts w:ascii="Times New Roman" w:hAnsi="Times New Roman"/>
          <w:color w:val="000000" w:themeColor="text1"/>
          <w:sz w:val="16"/>
          <w:szCs w:val="16"/>
        </w:rPr>
        <w:t xml:space="preserve"> в носовой и кормовой части фюзеляжа.</w:t>
      </w:r>
    </w:p>
    <w:p w14:paraId="42060FF9"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успешное завершение испытаний самолет был отвергнут военными. Чтобы полностью использовать потенциал самолета было решено конвертировать Type 163 в военно-транспортный самолета, отвечающий спецификации C.16/28. В этой конфигурации самолет мог перевозить до 21 солдата с полной боевой выкладкой.  Однако и это вариант  не вызвал заинтересованности у заказчиков (22670).</w:t>
      </w:r>
    </w:p>
    <w:p w14:paraId="7D9F8C35" w14:textId="77777777" w:rsidR="00B23E00" w:rsidRPr="007122AB" w:rsidRDefault="00B23E00" w:rsidP="007122AB">
      <w:pPr>
        <w:spacing w:after="0" w:line="240" w:lineRule="auto"/>
        <w:jc w:val="both"/>
        <w:rPr>
          <w:rFonts w:ascii="Times New Roman" w:hAnsi="Times New Roman"/>
          <w:color w:val="000000" w:themeColor="text1"/>
          <w:sz w:val="16"/>
          <w:szCs w:val="16"/>
        </w:rPr>
      </w:pPr>
    </w:p>
    <w:p w14:paraId="0CE05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января 1931 был распущен союзнический Комитет военного контроля (3907,167).</w:t>
      </w:r>
    </w:p>
    <w:p w14:paraId="14E462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A1EC5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6F3695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1C2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13 января по 10 апреля 1931 года на Центральном аэродроме проходили дополнительные испытаниях лыж к самолету ТБ-1 2М-17.</w:t>
      </w:r>
    </w:p>
    <w:p w14:paraId="3938DD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55A6B1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Лыжи облегченные, конструкции завода N 28.</w:t>
      </w:r>
    </w:p>
    <w:p w14:paraId="76F74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Лыжи не облегченные конструкции завода N 25.</w:t>
      </w:r>
    </w:p>
    <w:p w14:paraId="070B8B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произведены с целью:</w:t>
      </w:r>
    </w:p>
    <w:p w14:paraId="60FE7B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уточнения результатов полученных при испытании в зимний период 1929-30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p w14:paraId="1DC77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Изыскания мероприятий, облегчающих сдвиг самолета с места и рулежку.</w:t>
      </w:r>
    </w:p>
    <w:p w14:paraId="095C4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343B3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испытания Центральный аэродром имел твердый укатанный снежный покров, поэтому поведение лыж на глубоком рыхлом снегу не выявлено.</w:t>
      </w:r>
    </w:p>
    <w:p w14:paraId="5F72B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E11FB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произведенных испытаний НИИ считает, что:</w:t>
      </w:r>
    </w:p>
    <w:p w14:paraId="22EC8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667E9F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A944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января 1931 г. на 2-ом опытном N 5 завода N 39 закончились испытания стрелкового вооружения на серийном самолете И-5, которые проводились со 2 декабря 1930 г. (3208).</w:t>
      </w:r>
    </w:p>
    <w:p w14:paraId="52C4A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3B94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января 1931 Камов присутствует при трех полетах по</w:t>
      </w:r>
      <w:r w:rsidRPr="007122AB">
        <w:rPr>
          <w:rFonts w:ascii="Times New Roman" w:hAnsi="Times New Roman"/>
          <w:color w:val="000000" w:themeColor="text1"/>
          <w:sz w:val="16"/>
          <w:szCs w:val="16"/>
        </w:rPr>
        <w:softHyphen/>
        <w:t>ставленного на лыжи КАСКР-2. Пилотировал автожир Кошиц. Продол</w:t>
      </w:r>
      <w:r w:rsidRPr="007122AB">
        <w:rPr>
          <w:rFonts w:ascii="Times New Roman" w:hAnsi="Times New Roman"/>
          <w:color w:val="000000" w:themeColor="text1"/>
          <w:sz w:val="16"/>
          <w:szCs w:val="16"/>
        </w:rPr>
        <w:softHyphen/>
        <w:t>жительность двух пробных полетов составила 20 и 25 секунд, максималь</w:t>
      </w:r>
      <w:r w:rsidRPr="007122AB">
        <w:rPr>
          <w:rFonts w:ascii="Times New Roman" w:hAnsi="Times New Roman"/>
          <w:color w:val="000000" w:themeColor="text1"/>
          <w:sz w:val="16"/>
          <w:szCs w:val="16"/>
        </w:rPr>
        <w:softHyphen/>
        <w:t>ная высота — 5 метров, пробег при посадке — 5-6 метров. После уста</w:t>
      </w:r>
      <w:r w:rsidRPr="007122AB">
        <w:rPr>
          <w:rFonts w:ascii="Times New Roman" w:hAnsi="Times New Roman"/>
          <w:color w:val="000000" w:themeColor="text1"/>
          <w:sz w:val="16"/>
          <w:szCs w:val="16"/>
        </w:rPr>
        <w:softHyphen/>
        <w:t>новки нулевого угла лопастей и стабилизатора Кошиц сделал над аэро</w:t>
      </w:r>
      <w:r w:rsidRPr="007122AB">
        <w:rPr>
          <w:rFonts w:ascii="Times New Roman" w:hAnsi="Times New Roman"/>
          <w:color w:val="000000" w:themeColor="text1"/>
          <w:sz w:val="16"/>
          <w:szCs w:val="16"/>
        </w:rPr>
        <w:softHyphen/>
        <w:t>дромом два полных круга на высоте 100 метров (10224,33).</w:t>
      </w:r>
    </w:p>
    <w:p w14:paraId="74B6B4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285C3B" w14:textId="77777777" w:rsidR="00CB1153" w:rsidRPr="007122AB" w:rsidRDefault="00CB1153"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13 января</w:t>
      </w:r>
      <w:r w:rsidRPr="007122AB">
        <w:rPr>
          <w:rFonts w:ascii="Times New Roman" w:hAnsi="Times New Roman"/>
          <w:color w:val="000000" w:themeColor="text1"/>
          <w:sz w:val="16"/>
          <w:szCs w:val="16"/>
        </w:rPr>
        <w:t xml:space="preserve"> в 1931 году первый полет КАСКР-II с двигателем «Гном-Рон Титан» мощностью 235 л.с., </w:t>
      </w:r>
      <w:proofErr w:type="spellStart"/>
      <w:r w:rsidRPr="007122AB">
        <w:rPr>
          <w:rFonts w:ascii="Times New Roman" w:hAnsi="Times New Roman"/>
          <w:color w:val="000000" w:themeColor="text1"/>
          <w:sz w:val="16"/>
          <w:szCs w:val="16"/>
        </w:rPr>
        <w:t>Д.А.Кошиц</w:t>
      </w:r>
      <w:proofErr w:type="spellEnd"/>
      <w:r w:rsidRPr="007122AB">
        <w:rPr>
          <w:rFonts w:ascii="Times New Roman" w:hAnsi="Times New Roman"/>
          <w:color w:val="000000" w:themeColor="text1"/>
          <w:sz w:val="16"/>
          <w:szCs w:val="16"/>
        </w:rPr>
        <w:t xml:space="preserve"> (15008).</w:t>
      </w:r>
    </w:p>
    <w:p w14:paraId="476716FA" w14:textId="77777777" w:rsidR="00CB1153" w:rsidRPr="007122AB" w:rsidRDefault="00CB1153" w:rsidP="007122AB">
      <w:pPr>
        <w:spacing w:after="0" w:line="240" w:lineRule="auto"/>
        <w:jc w:val="both"/>
        <w:rPr>
          <w:rFonts w:ascii="Times New Roman" w:hAnsi="Times New Roman"/>
          <w:color w:val="000000" w:themeColor="text1"/>
          <w:sz w:val="16"/>
          <w:szCs w:val="16"/>
        </w:rPr>
      </w:pPr>
    </w:p>
    <w:p w14:paraId="58E962F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86780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B72C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января 1932 г. бюро парткома ХПЗ рассмотрело задачи в области дизелестроения. Было отмечено: «... важную роль должен сыг</w:t>
      </w:r>
      <w:r w:rsidRPr="007122AB">
        <w:rPr>
          <w:rFonts w:ascii="Times New Roman" w:hAnsi="Times New Roman"/>
          <w:color w:val="000000" w:themeColor="text1"/>
          <w:sz w:val="16"/>
          <w:szCs w:val="16"/>
        </w:rPr>
        <w:softHyphen/>
        <w:t>рать дизельный отдел в вопросе осуществления директив партии о созда</w:t>
      </w:r>
      <w:r w:rsidRPr="007122AB">
        <w:rPr>
          <w:rFonts w:ascii="Times New Roman" w:hAnsi="Times New Roman"/>
          <w:color w:val="000000" w:themeColor="text1"/>
          <w:sz w:val="16"/>
          <w:szCs w:val="16"/>
        </w:rPr>
        <w:softHyphen/>
        <w:t xml:space="preserve">нии в кратчайший срок </w:t>
      </w:r>
      <w:proofErr w:type="spellStart"/>
      <w:r w:rsidRPr="007122AB">
        <w:rPr>
          <w:rFonts w:ascii="Times New Roman" w:hAnsi="Times New Roman"/>
          <w:color w:val="000000" w:themeColor="text1"/>
          <w:sz w:val="16"/>
          <w:szCs w:val="16"/>
        </w:rPr>
        <w:t>дизельмотора</w:t>
      </w:r>
      <w:proofErr w:type="spellEnd"/>
      <w:r w:rsidRPr="007122AB">
        <w:rPr>
          <w:rFonts w:ascii="Times New Roman" w:hAnsi="Times New Roman"/>
          <w:color w:val="000000" w:themeColor="text1"/>
          <w:sz w:val="16"/>
          <w:szCs w:val="16"/>
        </w:rPr>
        <w:t xml:space="preserve"> для трактора и спецмашины». В принятом решении указано: «... в дизельном отделе на базе существую</w:t>
      </w:r>
      <w:r w:rsidRPr="007122AB">
        <w:rPr>
          <w:rFonts w:ascii="Times New Roman" w:hAnsi="Times New Roman"/>
          <w:color w:val="000000" w:themeColor="text1"/>
          <w:sz w:val="16"/>
          <w:szCs w:val="16"/>
        </w:rPr>
        <w:softHyphen/>
        <w:t>щего КБ создать сильный проектный отдел и сосредоточить в нем все работы по проектированию и исследованию дизель-моторов;... вести ра</w:t>
      </w:r>
      <w:r w:rsidRPr="007122AB">
        <w:rPr>
          <w:rFonts w:ascii="Times New Roman" w:hAnsi="Times New Roman"/>
          <w:color w:val="000000" w:themeColor="text1"/>
          <w:sz w:val="16"/>
          <w:szCs w:val="16"/>
        </w:rPr>
        <w:softHyphen/>
        <w:t>боты по проектированию и исследованию специального дизель-мотора». В докладе директора завода имени Коминтерна на бюро горкома партии в сентябре 1933 года о состоянии дизелестроения на заводе сказано: «...за</w:t>
      </w:r>
      <w:r w:rsidRPr="007122AB">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7122AB">
        <w:rPr>
          <w:rFonts w:ascii="Times New Roman" w:hAnsi="Times New Roman"/>
          <w:color w:val="000000" w:themeColor="text1"/>
          <w:sz w:val="16"/>
          <w:szCs w:val="16"/>
        </w:rPr>
        <w:softHyphen/>
        <w:t>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в разработке и в производстве завода, были переданы на другие предпри</w:t>
      </w:r>
      <w:r w:rsidRPr="007122AB">
        <w:rPr>
          <w:rFonts w:ascii="Times New Roman" w:hAnsi="Times New Roman"/>
          <w:color w:val="000000" w:themeColor="text1"/>
          <w:sz w:val="16"/>
          <w:szCs w:val="16"/>
        </w:rPr>
        <w:softHyphen/>
        <w:t>ятия отрасли дизелестроения (11504).</w:t>
      </w:r>
    </w:p>
    <w:p w14:paraId="1743B3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782AC" w14:textId="77777777" w:rsidR="006E4804" w:rsidRPr="007122AB" w:rsidRDefault="006E4804" w:rsidP="007122AB">
      <w:pPr>
        <w:pStyle w:val="rtejustify"/>
        <w:spacing w:before="0" w:after="0"/>
        <w:rPr>
          <w:color w:val="000000" w:themeColor="text1"/>
          <w:sz w:val="16"/>
          <w:szCs w:val="16"/>
        </w:rPr>
      </w:pPr>
      <w:r w:rsidRPr="007122AB">
        <w:rPr>
          <w:rStyle w:val="af0"/>
          <w:i w:val="0"/>
          <w:color w:val="000000" w:themeColor="text1"/>
          <w:sz w:val="16"/>
          <w:szCs w:val="16"/>
        </w:rPr>
        <w:t>13 января 1931 Протокол Реввоенсовета № 4.</w:t>
      </w:r>
      <w:r w:rsidRPr="007122AB">
        <w:rPr>
          <w:color w:val="000000" w:themeColor="text1"/>
          <w:sz w:val="16"/>
          <w:szCs w:val="16"/>
        </w:rPr>
        <w:t xml:space="preserve"> 7. Система железнодорожного вооружения. (Уборевич, Шапошников). (РГВА. Ф. 4. Оп. 18. Д. 20. Л. 27) (12342).</w:t>
      </w:r>
    </w:p>
    <w:p w14:paraId="073CB71C" w14:textId="77777777" w:rsidR="006E4804" w:rsidRPr="007122AB" w:rsidRDefault="006E4804" w:rsidP="007122AB">
      <w:pPr>
        <w:pStyle w:val="rtejustify"/>
        <w:spacing w:before="0" w:after="0"/>
        <w:rPr>
          <w:color w:val="000000" w:themeColor="text1"/>
          <w:sz w:val="16"/>
          <w:szCs w:val="16"/>
        </w:rPr>
      </w:pPr>
    </w:p>
    <w:p w14:paraId="3F49709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F71D66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3C1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января 1931 Зам. НКО Уборевич получил в копиях записку Тухачевского от 10 (11) января 1930, заключение Шапошникова и другие доклады Тухачевского об артиллерии и саперных войсках, а также июньского и декабрьского писем И.В.С. (9089,136).</w:t>
      </w:r>
    </w:p>
    <w:p w14:paraId="156E8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B7F18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7BAD58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59ED9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13 по 19 января 1931 в Москве состоялось I Всесоюзное совещание по организации труда в колхозах (13-19.01.1931 г) (10687).</w:t>
      </w:r>
    </w:p>
    <w:p w14:paraId="1A14E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8A5593" w14:textId="77777777" w:rsidR="006E48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C01B74E" w14:textId="77777777" w:rsidR="006E4804" w:rsidRPr="007122AB" w:rsidRDefault="006E48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E1E914"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14 января 1931</w:t>
      </w:r>
      <w:r w:rsidRPr="007122AB">
        <w:rPr>
          <w:rFonts w:ascii="Times New Roman" w:hAnsi="Times New Roman"/>
          <w:color w:val="000000" w:themeColor="text1"/>
          <w:sz w:val="16"/>
          <w:szCs w:val="16"/>
        </w:rPr>
        <w:t>СНК принял постановление «О мерах улучшения практики кредитной реформы» (12265).</w:t>
      </w:r>
    </w:p>
    <w:p w14:paraId="4DB77184" w14:textId="77777777" w:rsidR="006E4804" w:rsidRPr="007122AB" w:rsidRDefault="006E48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18AB936" w14:textId="77777777" w:rsidR="00AE3AD4" w:rsidRPr="007122AB" w:rsidRDefault="00AE3AD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1F00172" w14:textId="77777777" w:rsidR="00AE3AD4" w:rsidRPr="007122AB" w:rsidRDefault="00AE3AD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742810"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14 января 1931 г.</w:t>
      </w:r>
    </w:p>
    <w:p w14:paraId="6631C9BF"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В. Н. Баркова Ж. Л. Аренсу с информацией об освещении процесса «Промпартии» во Франции. 14 января 1931 г.</w:t>
      </w:r>
    </w:p>
    <w:p w14:paraId="1F159FB9"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B9D2EF0"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81E5F89"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40440D5F"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6</w:t>
      </w:r>
    </w:p>
    <w:p w14:paraId="0DC1C012" w14:textId="77777777" w:rsidR="00AE3AD4" w:rsidRPr="007122AB" w:rsidRDefault="00AE3AD4" w:rsidP="007122AB">
      <w:pPr>
        <w:pStyle w:val="rteright"/>
        <w:spacing w:before="0" w:after="0"/>
        <w:jc w:val="both"/>
        <w:rPr>
          <w:color w:val="000000" w:themeColor="text1"/>
          <w:sz w:val="16"/>
          <w:szCs w:val="16"/>
        </w:rPr>
      </w:pPr>
      <w:r w:rsidRPr="007122AB">
        <w:rPr>
          <w:color w:val="000000" w:themeColor="text1"/>
          <w:sz w:val="16"/>
          <w:szCs w:val="16"/>
        </w:rPr>
        <w:t>14 января 1931 г.</w:t>
      </w:r>
    </w:p>
    <w:p w14:paraId="5CF21BC0" w14:textId="77777777" w:rsidR="00AE3AD4" w:rsidRPr="007122AB" w:rsidRDefault="00AE3AD4"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4F1F6AD8"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Зав. Отделом Печати Н.К.И.Д.</w:t>
      </w:r>
    </w:p>
    <w:p w14:paraId="0352AEFF"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тов. Ж. Л. АРЕНСУ</w:t>
      </w:r>
    </w:p>
    <w:p w14:paraId="16102DE7"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Москва</w:t>
      </w:r>
    </w:p>
    <w:p w14:paraId="05BDB26B"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59725F87" w14:textId="77777777" w:rsidR="00AE3AD4" w:rsidRPr="007122AB" w:rsidRDefault="00AE3AD4" w:rsidP="007122AB">
      <w:pPr>
        <w:numPr>
          <w:ilvl w:val="0"/>
          <w:numId w:val="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Выясняли через Доминика характер предисловия Валуа. Доминик уверяет, что предисловие будет приемлемое для нас. Кроме того, Доминик предлагает свое посредничество для нашего редакционного вмешательства. С Ривьером и </w:t>
      </w:r>
      <w:proofErr w:type="spellStart"/>
      <w:r w:rsidRPr="007122AB">
        <w:rPr>
          <w:rFonts w:ascii="Times New Roman" w:hAnsi="Times New Roman"/>
          <w:color w:val="000000" w:themeColor="text1"/>
          <w:sz w:val="16"/>
          <w:szCs w:val="16"/>
        </w:rPr>
        <w:t>Дельпешем</w:t>
      </w:r>
      <w:proofErr w:type="spellEnd"/>
      <w:r w:rsidRPr="007122AB">
        <w:rPr>
          <w:rFonts w:ascii="Times New Roman" w:hAnsi="Times New Roman"/>
          <w:color w:val="000000" w:themeColor="text1"/>
          <w:sz w:val="16"/>
          <w:szCs w:val="16"/>
        </w:rPr>
        <w:t xml:space="preserve"> вели переговоры через третьих лиц, с Валуа разговаривали непосредственно. Последнее обстоятельство является добавочным аргументом за издание стенограммы в издательстве Валуа. Принимая во внимание условия, предложенные Валуа, а также вышеперечисленные обстоятельства, тов. Довгалевский является сторонником издания стенограммы у Валуа. Согласны с Вашим предложением организовать перевод здесь. Есть квалифицированные переводчики. Перевод можно сделать в три-четыре недели. Стоимость перевода печатного листа — 300 франков.</w:t>
      </w:r>
    </w:p>
    <w:p w14:paraId="13C7A1C7" w14:textId="77777777" w:rsidR="00AE3AD4" w:rsidRPr="007122AB" w:rsidRDefault="00AE3AD4" w:rsidP="007122AB">
      <w:pPr>
        <w:numPr>
          <w:ilvl w:val="0"/>
          <w:numId w:val="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Ведем переговоры с дружественными газетами о </w:t>
      </w:r>
      <w:proofErr w:type="spellStart"/>
      <w:r w:rsidRPr="007122AB">
        <w:rPr>
          <w:rFonts w:ascii="Times New Roman" w:hAnsi="Times New Roman"/>
          <w:color w:val="000000" w:themeColor="text1"/>
          <w:sz w:val="16"/>
          <w:szCs w:val="16"/>
        </w:rPr>
        <w:t>Луциани</w:t>
      </w:r>
      <w:proofErr w:type="spellEnd"/>
      <w:r w:rsidRPr="007122AB">
        <w:rPr>
          <w:rFonts w:ascii="Times New Roman" w:hAnsi="Times New Roman"/>
          <w:color w:val="000000" w:themeColor="text1"/>
          <w:sz w:val="16"/>
          <w:szCs w:val="16"/>
        </w:rPr>
        <w:t xml:space="preserve">. Они тянут с ответом. Как только получим ответ, телеграфируем. Передайте </w:t>
      </w:r>
      <w:proofErr w:type="spellStart"/>
      <w:r w:rsidRPr="007122AB">
        <w:rPr>
          <w:rFonts w:ascii="Times New Roman" w:hAnsi="Times New Roman"/>
          <w:color w:val="000000" w:themeColor="text1"/>
          <w:sz w:val="16"/>
          <w:szCs w:val="16"/>
        </w:rPr>
        <w:t>Луциани</w:t>
      </w:r>
      <w:proofErr w:type="spellEnd"/>
      <w:r w:rsidRPr="007122AB">
        <w:rPr>
          <w:rFonts w:ascii="Times New Roman" w:hAnsi="Times New Roman"/>
          <w:color w:val="000000" w:themeColor="text1"/>
          <w:sz w:val="16"/>
          <w:szCs w:val="16"/>
        </w:rPr>
        <w:t xml:space="preserve">, чтобы он обратился с предложением сотрудничества в «Эвр». </w:t>
      </w:r>
      <w:proofErr w:type="spellStart"/>
      <w:r w:rsidRPr="007122AB">
        <w:rPr>
          <w:rFonts w:ascii="Times New Roman" w:hAnsi="Times New Roman"/>
          <w:color w:val="000000" w:themeColor="text1"/>
          <w:sz w:val="16"/>
          <w:szCs w:val="16"/>
        </w:rPr>
        <w:t>Транен</w:t>
      </w:r>
      <w:proofErr w:type="spellEnd"/>
      <w:r w:rsidRPr="007122AB">
        <w:rPr>
          <w:rFonts w:ascii="Times New Roman" w:hAnsi="Times New Roman"/>
          <w:color w:val="000000" w:themeColor="text1"/>
          <w:sz w:val="16"/>
          <w:szCs w:val="16"/>
        </w:rPr>
        <w:t xml:space="preserve"> нажимает на дирекцию «Эвр» относительно использования </w:t>
      </w:r>
      <w:proofErr w:type="spellStart"/>
      <w:r w:rsidRPr="007122AB">
        <w:rPr>
          <w:rFonts w:ascii="Times New Roman" w:hAnsi="Times New Roman"/>
          <w:color w:val="000000" w:themeColor="text1"/>
          <w:sz w:val="16"/>
          <w:szCs w:val="16"/>
        </w:rPr>
        <w:t>Луциани</w:t>
      </w:r>
      <w:proofErr w:type="spellEnd"/>
      <w:r w:rsidRPr="007122AB">
        <w:rPr>
          <w:rFonts w:ascii="Times New Roman" w:hAnsi="Times New Roman"/>
          <w:color w:val="000000" w:themeColor="text1"/>
          <w:sz w:val="16"/>
          <w:szCs w:val="16"/>
        </w:rPr>
        <w:t>.</w:t>
      </w:r>
    </w:p>
    <w:p w14:paraId="6C95F9B3" w14:textId="77777777" w:rsidR="00AE3AD4" w:rsidRPr="007122AB" w:rsidRDefault="00AE3AD4" w:rsidP="007122AB">
      <w:pPr>
        <w:numPr>
          <w:ilvl w:val="0"/>
          <w:numId w:val="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10-го января состоялся доклад Рожера Франка о «Мировом Кризисе и Советской экономике» в Сорбонне, организованный «группой по изучению новейших течений в области научной философии». Предполагалось, что Рожер Франк коснется процесса. К сожалению, сотрудник Торгпредства, тов. </w:t>
      </w:r>
      <w:proofErr w:type="spellStart"/>
      <w:r w:rsidRPr="007122AB">
        <w:rPr>
          <w:rFonts w:ascii="Times New Roman" w:hAnsi="Times New Roman"/>
          <w:color w:val="000000" w:themeColor="text1"/>
          <w:sz w:val="16"/>
          <w:szCs w:val="16"/>
        </w:rPr>
        <w:t>Вуевич</w:t>
      </w:r>
      <w:proofErr w:type="spellEnd"/>
      <w:r w:rsidRPr="007122AB">
        <w:rPr>
          <w:rFonts w:ascii="Times New Roman" w:hAnsi="Times New Roman"/>
          <w:color w:val="000000" w:themeColor="text1"/>
          <w:sz w:val="16"/>
          <w:szCs w:val="16"/>
        </w:rPr>
        <w:t>, рассылая приглашения группы, направил одно из них враждебной нам фирме, присовокупив приглашение от имени Торгпредства, написанное на бланке. Фирма передала все это в «Эко де Пари». «Эко де Пари» поместило в день доклада бойкую статейку на тему — «Большевистская пропаганда в Сорбонне», текстуально воспроизведя приглашение Торгпредства. Разумеется, многие из приглашенных, опасаясь скандала, не пришли, а докладчику пришлось опустить почти всю часть о процессе. Все же на докладе присутствовало около 300-т человек. Докладчик имел успех.</w:t>
      </w:r>
    </w:p>
    <w:p w14:paraId="509940E3" w14:textId="77777777" w:rsidR="00AE3AD4" w:rsidRPr="007122AB" w:rsidRDefault="00AE3AD4" w:rsidP="007122AB">
      <w:pPr>
        <w:numPr>
          <w:ilvl w:val="0"/>
          <w:numId w:val="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Очень ждем статью о </w:t>
      </w:r>
      <w:proofErr w:type="spellStart"/>
      <w:r w:rsidRPr="007122AB">
        <w:rPr>
          <w:rFonts w:ascii="Times New Roman" w:hAnsi="Times New Roman"/>
          <w:color w:val="000000" w:themeColor="text1"/>
          <w:sz w:val="16"/>
          <w:szCs w:val="16"/>
        </w:rPr>
        <w:t>Днепрострое</w:t>
      </w:r>
      <w:proofErr w:type="spellEnd"/>
      <w:r w:rsidRPr="007122AB">
        <w:rPr>
          <w:rFonts w:ascii="Times New Roman" w:hAnsi="Times New Roman"/>
          <w:color w:val="000000" w:themeColor="text1"/>
          <w:sz w:val="16"/>
          <w:szCs w:val="16"/>
        </w:rPr>
        <w:t>. Непонятно, почему так долго задерживается статья. Ведь статью должен писать не Розенталь, он должен был лишь поручить заказать статью кому-либо. Выругайте его. Статью ждем со следующей почтой.</w:t>
      </w:r>
    </w:p>
    <w:p w14:paraId="225B1DDB" w14:textId="77777777" w:rsidR="00AE3AD4" w:rsidRPr="007122AB" w:rsidRDefault="00AE3AD4"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1C9528C9" w14:textId="77777777" w:rsidR="00AE3AD4" w:rsidRPr="007122AB" w:rsidRDefault="00AE3AD4" w:rsidP="007122AB">
      <w:pPr>
        <w:pStyle w:val="rtejustify"/>
        <w:spacing w:before="0" w:after="0"/>
        <w:rPr>
          <w:color w:val="000000" w:themeColor="text1"/>
          <w:sz w:val="16"/>
          <w:szCs w:val="16"/>
        </w:rPr>
      </w:pPr>
      <w:r w:rsidRPr="007122AB">
        <w:rPr>
          <w:color w:val="000000" w:themeColor="text1"/>
          <w:sz w:val="16"/>
          <w:szCs w:val="16"/>
        </w:rPr>
        <w:t>В. Барков</w:t>
      </w:r>
    </w:p>
    <w:p w14:paraId="214A72C6" w14:textId="77777777" w:rsidR="00AE3AD4" w:rsidRPr="007122AB" w:rsidRDefault="00AE3AD4" w:rsidP="007122AB">
      <w:pPr>
        <w:pStyle w:val="ae"/>
        <w:spacing w:before="0" w:after="0"/>
        <w:jc w:val="both"/>
        <w:rPr>
          <w:color w:val="000000" w:themeColor="text1"/>
          <w:sz w:val="16"/>
          <w:szCs w:val="16"/>
        </w:rPr>
      </w:pPr>
      <w:r w:rsidRPr="007122AB">
        <w:rPr>
          <w:rStyle w:val="af0"/>
          <w:i w:val="0"/>
          <w:color w:val="000000" w:themeColor="text1"/>
          <w:sz w:val="16"/>
          <w:szCs w:val="16"/>
        </w:rPr>
        <w:lastRenderedPageBreak/>
        <w:t>АВП</w:t>
      </w:r>
      <w:r w:rsidRPr="007122AB">
        <w:rPr>
          <w:rStyle w:val="af0"/>
          <w:i w:val="0"/>
          <w:color w:val="000000" w:themeColor="text1"/>
          <w:sz w:val="16"/>
          <w:szCs w:val="16"/>
          <w:lang w:val="en-US"/>
        </w:rPr>
        <w:t xml:space="preserve"> </w:t>
      </w:r>
      <w:r w:rsidRPr="007122AB">
        <w:rPr>
          <w:rStyle w:val="af0"/>
          <w:i w:val="0"/>
          <w:color w:val="000000" w:themeColor="text1"/>
          <w:sz w:val="16"/>
          <w:szCs w:val="16"/>
        </w:rPr>
        <w:t>РФ</w:t>
      </w:r>
      <w:r w:rsidRPr="007122AB">
        <w:rPr>
          <w:rStyle w:val="af0"/>
          <w:i w:val="0"/>
          <w:color w:val="000000" w:themeColor="text1"/>
          <w:sz w:val="16"/>
          <w:szCs w:val="16"/>
          <w:lang w:val="en-US"/>
        </w:rPr>
        <w:t xml:space="preserve">. </w:t>
      </w:r>
      <w:r w:rsidRPr="007122AB">
        <w:rPr>
          <w:rStyle w:val="af0"/>
          <w:i w:val="0"/>
          <w:color w:val="000000" w:themeColor="text1"/>
          <w:sz w:val="16"/>
          <w:szCs w:val="16"/>
        </w:rPr>
        <w:t>Ф</w:t>
      </w:r>
      <w:r w:rsidRPr="007122AB">
        <w:rPr>
          <w:rStyle w:val="af0"/>
          <w:i w:val="0"/>
          <w:color w:val="000000" w:themeColor="text1"/>
          <w:sz w:val="16"/>
          <w:szCs w:val="16"/>
          <w:lang w:val="en-US"/>
        </w:rPr>
        <w:t xml:space="preserve">. 056. On. 16. </w:t>
      </w:r>
      <w:r w:rsidRPr="007122AB">
        <w:rPr>
          <w:rStyle w:val="af0"/>
          <w:i w:val="0"/>
          <w:color w:val="000000" w:themeColor="text1"/>
          <w:sz w:val="16"/>
          <w:szCs w:val="16"/>
        </w:rPr>
        <w:t>П</w:t>
      </w:r>
      <w:r w:rsidRPr="007122AB">
        <w:rPr>
          <w:rStyle w:val="af0"/>
          <w:i w:val="0"/>
          <w:color w:val="000000" w:themeColor="text1"/>
          <w:sz w:val="16"/>
          <w:szCs w:val="16"/>
          <w:lang w:val="en-US"/>
        </w:rPr>
        <w:t xml:space="preserve">. 34. </w:t>
      </w:r>
      <w:r w:rsidRPr="007122AB">
        <w:rPr>
          <w:rStyle w:val="af0"/>
          <w:i w:val="0"/>
          <w:color w:val="000000" w:themeColor="text1"/>
          <w:sz w:val="16"/>
          <w:szCs w:val="16"/>
        </w:rPr>
        <w:t>Д</w:t>
      </w:r>
      <w:r w:rsidRPr="007122AB">
        <w:rPr>
          <w:rStyle w:val="af0"/>
          <w:i w:val="0"/>
          <w:color w:val="000000" w:themeColor="text1"/>
          <w:sz w:val="16"/>
          <w:szCs w:val="16"/>
          <w:lang w:val="en-US"/>
        </w:rPr>
        <w:t xml:space="preserve">. 14. </w:t>
      </w:r>
      <w:r w:rsidRPr="007122AB">
        <w:rPr>
          <w:rStyle w:val="af0"/>
          <w:i w:val="0"/>
          <w:color w:val="000000" w:themeColor="text1"/>
          <w:sz w:val="16"/>
          <w:szCs w:val="16"/>
        </w:rPr>
        <w:t>Л. 6. Машинописный подлинник на бланке Полпредства СССР во Франции, подпись Баркова — автограф. Вверху справа в графе бланка дата «14 января 1931 г.» (число и месяц машинописью), исходящий номер «№ 28/с» (от руки). Гриф секретности машинописью. Вверху карандашом написаны входящий номер и дата получения документа «19/1-31 г.», ниже помета «Исполнено» (подпись- росчерк, неразборчиво). Внизу слева делопроизводственная помета машинописью (столбцом) «2 экз. 1 — т. Аренсу, 1 — в дело» (18827).</w:t>
      </w:r>
    </w:p>
    <w:p w14:paraId="4021E1E8" w14:textId="77777777" w:rsidR="00AE3AD4" w:rsidRPr="007122AB" w:rsidRDefault="00AE3AD4" w:rsidP="007122AB">
      <w:pPr>
        <w:spacing w:after="0" w:line="240" w:lineRule="auto"/>
        <w:jc w:val="both"/>
        <w:rPr>
          <w:rFonts w:ascii="Times New Roman" w:hAnsi="Times New Roman"/>
          <w:color w:val="000000" w:themeColor="text1"/>
          <w:sz w:val="16"/>
          <w:szCs w:val="16"/>
        </w:rPr>
      </w:pPr>
    </w:p>
    <w:p w14:paraId="6EE4622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A96B9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61D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1931 г. закончились госиспытания М-27, которые проходили с 10 декабря 1930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2C65A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53DB40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18-цилиндровый, рядный </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-образный блочный (блоки под углом 40°), четырехтактный, водяного охлаждения;</w:t>
      </w:r>
    </w:p>
    <w:p w14:paraId="1D4DA5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заданию 700/900 л.с.;</w:t>
      </w:r>
    </w:p>
    <w:p w14:paraId="46E2AC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представлению завода 700/850 л.с. (фактически 707/828 л.с.);</w:t>
      </w:r>
    </w:p>
    <w:p w14:paraId="010BB6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135/160 мм;</w:t>
      </w:r>
    </w:p>
    <w:p w14:paraId="396D9B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41,1 л;</w:t>
      </w:r>
    </w:p>
    <w:p w14:paraId="3D034F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6,4;</w:t>
      </w:r>
    </w:p>
    <w:p w14:paraId="430DD1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042E83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633 кг (без выхлопных патрубков). Известны модификации:</w:t>
      </w:r>
    </w:p>
    <w:p w14:paraId="0785B8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М-27, исходный вариант без редуктора и нагнетателя;</w:t>
      </w:r>
    </w:p>
    <w:p w14:paraId="300BE88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М-27Р, вариант с понижающим редуктором; максимальная мощность 830 л.с. Проектировался в ИАМ в 1931 г.</w:t>
      </w:r>
    </w:p>
    <w:p w14:paraId="53E41E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М-27РН, предполагавшийся вариант с редуктором и нагнетателем. Не разрабатывался.</w:t>
      </w:r>
    </w:p>
    <w:p w14:paraId="716BE7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М-27 сдвоенный для самолета Г-1. Экспериментальная установка ис</w:t>
      </w:r>
      <w:r w:rsidRPr="007122AB">
        <w:rPr>
          <w:rFonts w:ascii="Times New Roman" w:hAnsi="Times New Roman"/>
          <w:color w:val="000000" w:themeColor="text1"/>
          <w:sz w:val="16"/>
          <w:szCs w:val="16"/>
        </w:rPr>
        <w:softHyphen/>
        <w:t>пытывалась в марте — апреле 1933 г.</w:t>
      </w:r>
    </w:p>
    <w:p w14:paraId="53A6F1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469002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DCA57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6338E"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 15 января 1931 г. второй опытный экземпляр мотора М-27 выдержал го</w:t>
      </w:r>
      <w:r w:rsidRPr="007122AB">
        <w:rPr>
          <w:rFonts w:ascii="Times New Roman" w:hAnsi="Times New Roman"/>
          <w:color w:val="000000" w:themeColor="text1"/>
          <w:sz w:val="16"/>
          <w:szCs w:val="16"/>
          <w:lang w:eastAsia="ru-RU" w:bidi="ru-RU"/>
        </w:rPr>
        <w:softHyphen/>
        <w:t>сударственные испытания. И хотя фак</w:t>
      </w:r>
      <w:r w:rsidRPr="007122AB">
        <w:rPr>
          <w:rFonts w:ascii="Times New Roman" w:hAnsi="Times New Roman"/>
          <w:color w:val="000000" w:themeColor="text1"/>
          <w:sz w:val="16"/>
          <w:szCs w:val="16"/>
          <w:lang w:eastAsia="ru-RU" w:bidi="ru-RU"/>
        </w:rPr>
        <w:softHyphen/>
        <w:t>тически полученная мощность М-27 (707/828 л.с.) оказалась ниже заявленной, моторостроители вполне обоснованно рассчитывали в ходе доводки мотора и организации его серийного производства проектные данные все же получить.</w:t>
      </w:r>
    </w:p>
    <w:p w14:paraId="1204C1E7"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Как следствие, было решено приоста</w:t>
      </w:r>
      <w:r w:rsidRPr="007122AB">
        <w:rPr>
          <w:rFonts w:ascii="Times New Roman" w:hAnsi="Times New Roman"/>
          <w:color w:val="000000" w:themeColor="text1"/>
          <w:sz w:val="16"/>
          <w:szCs w:val="16"/>
          <w:lang w:eastAsia="ru-RU" w:bidi="ru-RU"/>
        </w:rPr>
        <w:softHyphen/>
        <w:t>новить постройку войсковой серии ТШ-2 с М-17, «поскольку серийные самолеты должны выходить с мотором М-27».</w:t>
      </w:r>
    </w:p>
    <w:p w14:paraId="5B8F835F"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Одновременно ВАО выдало офици</w:t>
      </w:r>
      <w:r w:rsidRPr="007122AB">
        <w:rPr>
          <w:rFonts w:ascii="Times New Roman" w:hAnsi="Times New Roman"/>
          <w:color w:val="000000" w:themeColor="text1"/>
          <w:sz w:val="16"/>
          <w:szCs w:val="16"/>
          <w:lang w:eastAsia="ru-RU" w:bidi="ru-RU"/>
        </w:rPr>
        <w:softHyphen/>
        <w:t>альное задание ЦКБ построить три эк</w:t>
      </w:r>
      <w:r w:rsidRPr="007122AB">
        <w:rPr>
          <w:rFonts w:ascii="Times New Roman" w:hAnsi="Times New Roman"/>
          <w:color w:val="000000" w:themeColor="text1"/>
          <w:sz w:val="16"/>
          <w:szCs w:val="16"/>
          <w:lang w:eastAsia="ru-RU" w:bidi="ru-RU"/>
        </w:rPr>
        <w:softHyphen/>
        <w:t>земпляра самолета ТШ-2 с мотором М-27, на которых требовалось отладить работу винтомоторной группы и систему вооружения, после чего один из них до</w:t>
      </w:r>
      <w:r w:rsidRPr="007122AB">
        <w:rPr>
          <w:rFonts w:ascii="Times New Roman" w:hAnsi="Times New Roman"/>
          <w:color w:val="000000" w:themeColor="text1"/>
          <w:sz w:val="16"/>
          <w:szCs w:val="16"/>
          <w:lang w:eastAsia="ru-RU" w:bidi="ru-RU"/>
        </w:rPr>
        <w:softHyphen/>
        <w:t>работать до уровня эталона для серии. Поступление ТШ-2 М-27 для прохожде</w:t>
      </w:r>
      <w:r w:rsidRPr="007122AB">
        <w:rPr>
          <w:rFonts w:ascii="Times New Roman" w:hAnsi="Times New Roman"/>
          <w:color w:val="000000" w:themeColor="text1"/>
          <w:sz w:val="16"/>
          <w:szCs w:val="16"/>
          <w:lang w:eastAsia="ru-RU" w:bidi="ru-RU"/>
        </w:rPr>
        <w:softHyphen/>
        <w:t>ния государственных испытаний предпо</w:t>
      </w:r>
      <w:r w:rsidRPr="007122AB">
        <w:rPr>
          <w:rFonts w:ascii="Times New Roman" w:hAnsi="Times New Roman"/>
          <w:color w:val="000000" w:themeColor="text1"/>
          <w:sz w:val="16"/>
          <w:szCs w:val="16"/>
          <w:lang w:eastAsia="ru-RU" w:bidi="ru-RU"/>
        </w:rPr>
        <w:softHyphen/>
        <w:t>лагалось: первый экземпляр - к 20 фев</w:t>
      </w:r>
      <w:r w:rsidRPr="007122AB">
        <w:rPr>
          <w:rFonts w:ascii="Times New Roman" w:hAnsi="Times New Roman"/>
          <w:color w:val="000000" w:themeColor="text1"/>
          <w:sz w:val="16"/>
          <w:szCs w:val="16"/>
          <w:lang w:eastAsia="ru-RU" w:bidi="ru-RU"/>
        </w:rPr>
        <w:softHyphen/>
        <w:t>раля, второй - к 15 мая, и третий - к 1 июля 1931 г. При этом «один самолет строится за счет средств опытного стро</w:t>
      </w:r>
      <w:r w:rsidRPr="007122AB">
        <w:rPr>
          <w:rFonts w:ascii="Times New Roman" w:hAnsi="Times New Roman"/>
          <w:color w:val="000000" w:themeColor="text1"/>
          <w:sz w:val="16"/>
          <w:szCs w:val="16"/>
          <w:lang w:eastAsia="ru-RU" w:bidi="ru-RU"/>
        </w:rPr>
        <w:softHyphen/>
        <w:t>ительства, а остальные два за счет се</w:t>
      </w:r>
      <w:r w:rsidRPr="007122AB">
        <w:rPr>
          <w:rFonts w:ascii="Times New Roman" w:hAnsi="Times New Roman"/>
          <w:color w:val="000000" w:themeColor="text1"/>
          <w:sz w:val="16"/>
          <w:szCs w:val="16"/>
          <w:lang w:eastAsia="ru-RU" w:bidi="ru-RU"/>
        </w:rPr>
        <w:softHyphen/>
        <w:t>рийного заказа».</w:t>
      </w:r>
    </w:p>
    <w:p w14:paraId="2BAFC627"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Параллельно строился более со</w:t>
      </w:r>
      <w:r w:rsidRPr="007122AB">
        <w:rPr>
          <w:rFonts w:ascii="Times New Roman" w:hAnsi="Times New Roman"/>
          <w:color w:val="000000" w:themeColor="text1"/>
          <w:sz w:val="16"/>
          <w:szCs w:val="16"/>
          <w:lang w:eastAsia="ru-RU" w:bidi="ru-RU"/>
        </w:rPr>
        <w:softHyphen/>
        <w:t>вершенный второй опытный экзем</w:t>
      </w:r>
      <w:r w:rsidRPr="007122AB">
        <w:rPr>
          <w:rFonts w:ascii="Times New Roman" w:hAnsi="Times New Roman"/>
          <w:color w:val="000000" w:themeColor="text1"/>
          <w:sz w:val="16"/>
          <w:szCs w:val="16"/>
          <w:lang w:eastAsia="ru-RU" w:bidi="ru-RU"/>
        </w:rPr>
        <w:softHyphen/>
        <w:t>пляр ТШ-2 с мотором М-17 (№ 21 по плану ЦКБ). Главные отличия заключа</w:t>
      </w:r>
      <w:r w:rsidRPr="007122AB">
        <w:rPr>
          <w:rFonts w:ascii="Times New Roman" w:hAnsi="Times New Roman"/>
          <w:color w:val="000000" w:themeColor="text1"/>
          <w:sz w:val="16"/>
          <w:szCs w:val="16"/>
          <w:lang w:eastAsia="ru-RU" w:bidi="ru-RU"/>
        </w:rPr>
        <w:softHyphen/>
        <w:t>лись в следующем. Нижнее крыло имело утолщенный профиль и металлическую конструкцию. Это позволяло разме</w:t>
      </w:r>
      <w:r w:rsidRPr="007122AB">
        <w:rPr>
          <w:rFonts w:ascii="Times New Roman" w:hAnsi="Times New Roman"/>
          <w:color w:val="000000" w:themeColor="text1"/>
          <w:sz w:val="16"/>
          <w:szCs w:val="16"/>
          <w:lang w:eastAsia="ru-RU" w:bidi="ru-RU"/>
        </w:rPr>
        <w:softHyphen/>
        <w:t>стить в крыле пулеметы (по одной бата</w:t>
      </w:r>
      <w:r w:rsidRPr="007122AB">
        <w:rPr>
          <w:rFonts w:ascii="Times New Roman" w:hAnsi="Times New Roman"/>
          <w:color w:val="000000" w:themeColor="text1"/>
          <w:sz w:val="16"/>
          <w:szCs w:val="16"/>
          <w:lang w:eastAsia="ru-RU" w:bidi="ru-RU"/>
        </w:rPr>
        <w:softHyphen/>
        <w:t>реи из четырех ПВ-1 с каждой стороны), бензобаки и фары. Изменили оперение и незначительно схему бронирования, а также выполнили некоторые мелкие доработки. На самолет предполагалось установить тормозные колеса.</w:t>
      </w:r>
    </w:p>
    <w:p w14:paraId="11519C90" w14:textId="77777777" w:rsidR="00B23E00" w:rsidRPr="007122AB" w:rsidRDefault="00B23E00"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Завершить постройку ТШ-2 №2 пла</w:t>
      </w:r>
      <w:r w:rsidRPr="007122AB">
        <w:rPr>
          <w:rFonts w:ascii="Times New Roman" w:hAnsi="Times New Roman"/>
          <w:color w:val="000000" w:themeColor="text1"/>
          <w:sz w:val="16"/>
          <w:szCs w:val="16"/>
          <w:lang w:eastAsia="ru-RU" w:bidi="ru-RU"/>
        </w:rPr>
        <w:softHyphen/>
        <w:t>нировали к 1 декабря 1930 г., но не успели. По состоянию на 1 ноября готов</w:t>
      </w:r>
      <w:r w:rsidRPr="007122AB">
        <w:rPr>
          <w:rFonts w:ascii="Times New Roman" w:hAnsi="Times New Roman"/>
          <w:color w:val="000000" w:themeColor="text1"/>
          <w:sz w:val="16"/>
          <w:szCs w:val="16"/>
          <w:lang w:eastAsia="ru-RU" w:bidi="ru-RU"/>
        </w:rPr>
        <w:softHyphen/>
        <w:t>ность самолета оценивалась только в 40%. Это оказалось к лучшему, так как 30 но</w:t>
      </w:r>
      <w:r w:rsidRPr="007122AB">
        <w:rPr>
          <w:rFonts w:ascii="Times New Roman" w:hAnsi="Times New Roman"/>
          <w:color w:val="000000" w:themeColor="text1"/>
          <w:sz w:val="16"/>
          <w:szCs w:val="16"/>
          <w:lang w:eastAsia="ru-RU" w:bidi="ru-RU"/>
        </w:rPr>
        <w:softHyphen/>
        <w:t xml:space="preserve">ября НТК ВВС утвердило новые </w:t>
      </w:r>
      <w:proofErr w:type="spellStart"/>
      <w:r w:rsidRPr="007122AB">
        <w:rPr>
          <w:rFonts w:ascii="Times New Roman" w:hAnsi="Times New Roman"/>
          <w:color w:val="000000" w:themeColor="text1"/>
          <w:sz w:val="16"/>
          <w:szCs w:val="16"/>
          <w:lang w:eastAsia="ru-RU" w:bidi="ru-RU"/>
        </w:rPr>
        <w:t>тактико</w:t>
      </w:r>
      <w:r w:rsidRPr="007122AB">
        <w:rPr>
          <w:rFonts w:ascii="Times New Roman" w:hAnsi="Times New Roman"/>
          <w:color w:val="000000" w:themeColor="text1"/>
          <w:sz w:val="16"/>
          <w:szCs w:val="16"/>
          <w:lang w:eastAsia="ru-RU" w:bidi="ru-RU"/>
        </w:rPr>
        <w:softHyphen/>
        <w:t>технические</w:t>
      </w:r>
      <w:proofErr w:type="spellEnd"/>
      <w:r w:rsidRPr="007122AB">
        <w:rPr>
          <w:rFonts w:ascii="Times New Roman" w:hAnsi="Times New Roman"/>
          <w:color w:val="000000" w:themeColor="text1"/>
          <w:sz w:val="16"/>
          <w:szCs w:val="16"/>
          <w:lang w:eastAsia="ru-RU" w:bidi="ru-RU"/>
        </w:rPr>
        <w:t xml:space="preserve"> требования к самолету-штур</w:t>
      </w:r>
      <w:r w:rsidRPr="007122AB">
        <w:rPr>
          <w:rFonts w:ascii="Times New Roman" w:hAnsi="Times New Roman"/>
          <w:color w:val="000000" w:themeColor="text1"/>
          <w:sz w:val="16"/>
          <w:szCs w:val="16"/>
          <w:lang w:eastAsia="ru-RU" w:bidi="ru-RU"/>
        </w:rPr>
        <w:softHyphen/>
        <w:t>мовику этого класса (21062).</w:t>
      </w:r>
    </w:p>
    <w:p w14:paraId="02F0045A" w14:textId="77777777" w:rsidR="00B23E00" w:rsidRPr="007122AB" w:rsidRDefault="00B23E00" w:rsidP="007122AB">
      <w:pPr>
        <w:spacing w:after="0" w:line="240" w:lineRule="auto"/>
        <w:jc w:val="both"/>
        <w:rPr>
          <w:rFonts w:ascii="Times New Roman" w:hAnsi="Times New Roman"/>
          <w:color w:val="000000" w:themeColor="text1"/>
          <w:sz w:val="16"/>
          <w:szCs w:val="16"/>
        </w:rPr>
      </w:pPr>
    </w:p>
    <w:p w14:paraId="769883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(сентября) 1931 начался Всесоюзный день дирижабля (шел до 1 февраля). Собирали деньги (438,619).</w:t>
      </w:r>
    </w:p>
    <w:p w14:paraId="53EB99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2EC31B" w14:textId="77777777" w:rsidR="00EA061A" w:rsidRPr="009F5089" w:rsidRDefault="00EA061A" w:rsidP="00EA061A">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15 </w:t>
      </w:r>
      <w:r w:rsidRPr="009F5089">
        <w:rPr>
          <w:rFonts w:ascii="Times New Roman" w:hAnsi="Times New Roman"/>
          <w:color w:val="0070C0"/>
          <w:sz w:val="16"/>
          <w:szCs w:val="16"/>
        </w:rPr>
        <w:t>января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н</w:t>
      </w:r>
      <w:r w:rsidRPr="009F5089">
        <w:rPr>
          <w:rFonts w:ascii="Times New Roman" w:hAnsi="Times New Roman"/>
          <w:color w:val="0070C0"/>
          <w:sz w:val="16"/>
          <w:szCs w:val="16"/>
        </w:rPr>
        <w:t>ачался "Всесоюзный день дирижабля",</w:t>
      </w:r>
      <w:r>
        <w:rPr>
          <w:rFonts w:ascii="Times New Roman" w:hAnsi="Times New Roman"/>
          <w:color w:val="0070C0"/>
          <w:sz w:val="16"/>
          <w:szCs w:val="16"/>
        </w:rPr>
        <w:t xml:space="preserve"> </w:t>
      </w:r>
      <w:r w:rsidRPr="009F5089">
        <w:rPr>
          <w:rFonts w:ascii="Times New Roman" w:hAnsi="Times New Roman"/>
          <w:color w:val="0070C0"/>
          <w:sz w:val="16"/>
          <w:szCs w:val="16"/>
        </w:rPr>
        <w:t>проводимых с це</w:t>
      </w:r>
      <w:r>
        <w:rPr>
          <w:rFonts w:ascii="Times New Roman" w:hAnsi="Times New Roman"/>
          <w:color w:val="0070C0"/>
          <w:sz w:val="16"/>
          <w:szCs w:val="16"/>
        </w:rPr>
        <w:t xml:space="preserve">лью </w:t>
      </w:r>
      <w:r w:rsidRPr="009F5089">
        <w:rPr>
          <w:rFonts w:ascii="Times New Roman" w:hAnsi="Times New Roman"/>
          <w:color w:val="0070C0"/>
          <w:sz w:val="16"/>
          <w:szCs w:val="16"/>
        </w:rPr>
        <w:t>привлечения общественного внимания к вопросам советского д</w:t>
      </w:r>
      <w:r>
        <w:rPr>
          <w:rFonts w:ascii="Times New Roman" w:hAnsi="Times New Roman"/>
          <w:color w:val="0070C0"/>
          <w:sz w:val="16"/>
          <w:szCs w:val="16"/>
        </w:rPr>
        <w:t>и</w:t>
      </w:r>
      <w:r w:rsidRPr="009F5089">
        <w:rPr>
          <w:rFonts w:ascii="Times New Roman" w:hAnsi="Times New Roman"/>
          <w:color w:val="0070C0"/>
          <w:sz w:val="16"/>
          <w:szCs w:val="16"/>
        </w:rPr>
        <w:t>ри</w:t>
      </w:r>
      <w:r>
        <w:rPr>
          <w:rFonts w:ascii="Times New Roman" w:hAnsi="Times New Roman"/>
          <w:color w:val="0070C0"/>
          <w:sz w:val="16"/>
          <w:szCs w:val="16"/>
        </w:rPr>
        <w:t>жаблес</w:t>
      </w:r>
      <w:r w:rsidRPr="009F5089">
        <w:rPr>
          <w:rFonts w:ascii="Times New Roman" w:hAnsi="Times New Roman"/>
          <w:color w:val="0070C0"/>
          <w:sz w:val="16"/>
          <w:szCs w:val="16"/>
        </w:rPr>
        <w:t>троения.</w:t>
      </w:r>
      <w:r>
        <w:rPr>
          <w:rFonts w:ascii="Times New Roman" w:hAnsi="Times New Roman"/>
          <w:color w:val="0070C0"/>
          <w:sz w:val="16"/>
          <w:szCs w:val="16"/>
        </w:rPr>
        <w:t xml:space="preserve"> К</w:t>
      </w:r>
      <w:r w:rsidRPr="009F5089">
        <w:rPr>
          <w:rFonts w:ascii="Times New Roman" w:hAnsi="Times New Roman"/>
          <w:color w:val="0070C0"/>
          <w:sz w:val="16"/>
          <w:szCs w:val="16"/>
        </w:rPr>
        <w:t>ампания по сбору средств на постройку дирижаблей,</w:t>
      </w:r>
      <w:r>
        <w:rPr>
          <w:rFonts w:ascii="Times New Roman" w:hAnsi="Times New Roman"/>
          <w:color w:val="0070C0"/>
          <w:sz w:val="16"/>
          <w:szCs w:val="16"/>
        </w:rPr>
        <w:t xml:space="preserve"> начатая </w:t>
      </w:r>
      <w:r w:rsidRPr="009F5089">
        <w:rPr>
          <w:rFonts w:ascii="Times New Roman" w:hAnsi="Times New Roman"/>
          <w:color w:val="0070C0"/>
          <w:sz w:val="16"/>
          <w:szCs w:val="16"/>
        </w:rPr>
        <w:t>центральными газетами,</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и обращение ЦС </w:t>
      </w:r>
      <w:proofErr w:type="spellStart"/>
      <w:r w:rsidRPr="009F5089">
        <w:rPr>
          <w:rFonts w:ascii="Times New Roman" w:hAnsi="Times New Roman"/>
          <w:color w:val="0070C0"/>
          <w:sz w:val="16"/>
          <w:szCs w:val="16"/>
        </w:rPr>
        <w:t>Осоавкахима</w:t>
      </w:r>
      <w:proofErr w:type="spellEnd"/>
      <w:r>
        <w:rPr>
          <w:rFonts w:ascii="Times New Roman" w:hAnsi="Times New Roman"/>
          <w:color w:val="0070C0"/>
          <w:sz w:val="16"/>
          <w:szCs w:val="16"/>
        </w:rPr>
        <w:t>, нашли</w:t>
      </w:r>
      <w:r w:rsidRPr="009F5089">
        <w:rPr>
          <w:rFonts w:ascii="Times New Roman" w:hAnsi="Times New Roman"/>
          <w:color w:val="0070C0"/>
          <w:sz w:val="16"/>
          <w:szCs w:val="16"/>
        </w:rPr>
        <w:t xml:space="preserve"> поддержку у трудящихся.</w:t>
      </w:r>
      <w:r>
        <w:rPr>
          <w:rFonts w:ascii="Times New Roman" w:hAnsi="Times New Roman"/>
          <w:color w:val="0070C0"/>
          <w:sz w:val="16"/>
          <w:szCs w:val="16"/>
        </w:rPr>
        <w:t xml:space="preserve"> </w:t>
      </w:r>
      <w:r w:rsidRPr="009F5089">
        <w:rPr>
          <w:rFonts w:ascii="Times New Roman" w:hAnsi="Times New Roman"/>
          <w:color w:val="0070C0"/>
          <w:sz w:val="16"/>
          <w:szCs w:val="16"/>
        </w:rPr>
        <w:t>К этому времени в фонд дир</w:t>
      </w:r>
      <w:r>
        <w:rPr>
          <w:rFonts w:ascii="Times New Roman" w:hAnsi="Times New Roman"/>
          <w:color w:val="0070C0"/>
          <w:sz w:val="16"/>
          <w:szCs w:val="16"/>
        </w:rPr>
        <w:t>и</w:t>
      </w:r>
      <w:r w:rsidRPr="009F5089">
        <w:rPr>
          <w:rFonts w:ascii="Times New Roman" w:hAnsi="Times New Roman"/>
          <w:color w:val="0070C0"/>
          <w:sz w:val="16"/>
          <w:szCs w:val="16"/>
        </w:rPr>
        <w:t>жаблестро</w:t>
      </w:r>
      <w:r>
        <w:rPr>
          <w:rFonts w:ascii="Times New Roman" w:hAnsi="Times New Roman"/>
          <w:color w:val="0070C0"/>
          <w:sz w:val="16"/>
          <w:szCs w:val="16"/>
        </w:rPr>
        <w:t>ения</w:t>
      </w:r>
      <w:r w:rsidRPr="009F5089">
        <w:rPr>
          <w:rFonts w:ascii="Times New Roman" w:hAnsi="Times New Roman"/>
          <w:color w:val="0070C0"/>
          <w:sz w:val="16"/>
          <w:szCs w:val="16"/>
        </w:rPr>
        <w:t xml:space="preserve"> поступило 3.600 тысяч рублей,</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из коих 940 тысяч на постройку </w:t>
      </w:r>
      <w:r>
        <w:rPr>
          <w:rFonts w:ascii="Times New Roman" w:hAnsi="Times New Roman"/>
          <w:color w:val="0070C0"/>
          <w:sz w:val="16"/>
          <w:szCs w:val="16"/>
        </w:rPr>
        <w:t>дирижабля</w:t>
      </w:r>
      <w:r w:rsidRPr="009F5089">
        <w:rPr>
          <w:rFonts w:ascii="Times New Roman" w:hAnsi="Times New Roman"/>
          <w:color w:val="0070C0"/>
          <w:sz w:val="16"/>
          <w:szCs w:val="16"/>
        </w:rPr>
        <w:t xml:space="preserve"> «Клим Ворошилов" в связи с приближавшимся 5</w:t>
      </w:r>
      <w:r>
        <w:rPr>
          <w:rFonts w:ascii="Times New Roman" w:hAnsi="Times New Roman"/>
          <w:color w:val="0070C0"/>
          <w:sz w:val="16"/>
          <w:szCs w:val="16"/>
        </w:rPr>
        <w:t>0</w:t>
      </w:r>
      <w:r w:rsidRPr="009F5089">
        <w:rPr>
          <w:rFonts w:ascii="Times New Roman" w:hAnsi="Times New Roman"/>
          <w:color w:val="0070C0"/>
          <w:sz w:val="16"/>
          <w:szCs w:val="16"/>
        </w:rPr>
        <w:t xml:space="preserve">-летнем </w:t>
      </w:r>
      <w:r>
        <w:rPr>
          <w:rFonts w:ascii="Times New Roman" w:hAnsi="Times New Roman"/>
          <w:color w:val="0070C0"/>
          <w:sz w:val="16"/>
          <w:szCs w:val="16"/>
        </w:rPr>
        <w:t>нарком</w:t>
      </w:r>
      <w:r w:rsidRPr="009F5089">
        <w:rPr>
          <w:rFonts w:ascii="Times New Roman" w:hAnsi="Times New Roman"/>
          <w:color w:val="0070C0"/>
          <w:sz w:val="16"/>
          <w:szCs w:val="16"/>
        </w:rPr>
        <w:t xml:space="preserve">а по военным и морским делам </w:t>
      </w:r>
      <w:proofErr w:type="spellStart"/>
      <w:r w:rsidRPr="009F5089">
        <w:rPr>
          <w:rFonts w:ascii="Times New Roman" w:hAnsi="Times New Roman"/>
          <w:color w:val="0070C0"/>
          <w:sz w:val="16"/>
          <w:szCs w:val="16"/>
        </w:rPr>
        <w:t>К.Е.Ворошилова</w:t>
      </w:r>
      <w:proofErr w:type="spellEnd"/>
      <w:r w:rsidRPr="009F5089">
        <w:rPr>
          <w:rFonts w:ascii="Times New Roman" w:hAnsi="Times New Roman"/>
          <w:color w:val="0070C0"/>
          <w:sz w:val="16"/>
          <w:szCs w:val="16"/>
        </w:rPr>
        <w:t>.</w:t>
      </w:r>
    </w:p>
    <w:p w14:paraId="59FFDC31" w14:textId="77777777" w:rsidR="00EA061A" w:rsidRDefault="00EA061A" w:rsidP="00EA061A">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/«Красная звезда</w:t>
      </w:r>
      <w:r>
        <w:rPr>
          <w:rFonts w:ascii="Times New Roman" w:hAnsi="Times New Roman"/>
          <w:color w:val="0070C0"/>
          <w:sz w:val="16"/>
          <w:szCs w:val="16"/>
        </w:rPr>
        <w:t>»</w:t>
      </w:r>
      <w:r w:rsidRPr="009F5089">
        <w:rPr>
          <w:rFonts w:ascii="Times New Roman" w:hAnsi="Times New Roman"/>
          <w:color w:val="0070C0"/>
          <w:sz w:val="16"/>
          <w:szCs w:val="16"/>
        </w:rPr>
        <w:t xml:space="preserve"> за 15 и 17 января 1931 г</w:t>
      </w:r>
      <w:r>
        <w:rPr>
          <w:rFonts w:ascii="Times New Roman" w:hAnsi="Times New Roman"/>
          <w:color w:val="0070C0"/>
          <w:sz w:val="16"/>
          <w:szCs w:val="16"/>
        </w:rPr>
        <w:t>.</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47AF2788" w14:textId="77777777" w:rsidR="00EA061A" w:rsidRPr="009F5089" w:rsidRDefault="00EA061A" w:rsidP="00EA061A">
      <w:pPr>
        <w:spacing w:after="0" w:line="240" w:lineRule="auto"/>
        <w:jc w:val="both"/>
        <w:rPr>
          <w:rFonts w:ascii="Times New Roman" w:hAnsi="Times New Roman"/>
          <w:color w:val="0070C0"/>
          <w:sz w:val="16"/>
          <w:szCs w:val="16"/>
        </w:rPr>
      </w:pPr>
    </w:p>
    <w:p w14:paraId="107631E5"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1931</w:t>
      </w:r>
    </w:p>
    <w:p w14:paraId="2164DB2F"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 23 заседания Политбюро ЦК ВКП(б) от 15 января 1931 г.</w:t>
      </w:r>
    </w:p>
    <w:p w14:paraId="35396E5F"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Заседание Политбюро ЦК ВКП(б) от 15-го января 1931 года.</w:t>
      </w:r>
    </w:p>
    <w:p w14:paraId="774BF33F"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25: О дирижаблестроении</w:t>
      </w:r>
    </w:p>
    <w:p w14:paraId="37BFB5B1"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5.XII.30 г., пр. № 17, п. 21).</w:t>
      </w:r>
    </w:p>
    <w:p w14:paraId="50AA203D"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(Куйбышев, Каганович,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Ворошилов).</w:t>
      </w:r>
    </w:p>
    <w:p w14:paraId="29A3B54E"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Подтвердить ассигнование 15 млн. руб. на дирижаблестроение в 1931 г. с тем, чтобы расходование части этих денег шло на постановку добычи гелия.</w:t>
      </w:r>
    </w:p>
    <w:p w14:paraId="086F2F75"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Эллингов не строить впредь до рассмотрения вопроса о дирижаблестроении в Политбюро (через два месяца).</w:t>
      </w:r>
    </w:p>
    <w:p w14:paraId="2C7C3EDF"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Поручить дальнейшую разработку вопроса о дирижаблестроении комиссии в составе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xml:space="preserve">, Тухачевского, Баранова, Кагановича М., Мартиновича, Прокофьева, Гамарника и </w:t>
      </w:r>
      <w:proofErr w:type="spellStart"/>
      <w:r w:rsidRPr="007122AB">
        <w:rPr>
          <w:rFonts w:ascii="Times New Roman" w:hAnsi="Times New Roman"/>
          <w:color w:val="000000" w:themeColor="text1"/>
          <w:sz w:val="16"/>
          <w:szCs w:val="16"/>
        </w:rPr>
        <w:t>Манцева</w:t>
      </w:r>
      <w:proofErr w:type="spellEnd"/>
      <w:r w:rsidRPr="007122AB">
        <w:rPr>
          <w:rFonts w:ascii="Times New Roman" w:hAnsi="Times New Roman"/>
          <w:color w:val="000000" w:themeColor="text1"/>
          <w:sz w:val="16"/>
          <w:szCs w:val="16"/>
        </w:rPr>
        <w:t>.</w:t>
      </w:r>
    </w:p>
    <w:p w14:paraId="3584C0A9"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Созыв комиссии за т. </w:t>
      </w:r>
      <w:proofErr w:type="spellStart"/>
      <w:r w:rsidRPr="007122AB">
        <w:rPr>
          <w:rFonts w:ascii="Times New Roman" w:hAnsi="Times New Roman"/>
          <w:color w:val="000000" w:themeColor="text1"/>
          <w:sz w:val="16"/>
          <w:szCs w:val="16"/>
        </w:rPr>
        <w:t>Гольцманом</w:t>
      </w:r>
      <w:proofErr w:type="spellEnd"/>
      <w:r w:rsidRPr="007122AB">
        <w:rPr>
          <w:rFonts w:ascii="Times New Roman" w:hAnsi="Times New Roman"/>
          <w:color w:val="000000" w:themeColor="text1"/>
          <w:sz w:val="16"/>
          <w:szCs w:val="16"/>
        </w:rPr>
        <w:t xml:space="preserve"> (18105).</w:t>
      </w:r>
    </w:p>
    <w:p w14:paraId="40DFF075" w14:textId="77777777" w:rsidR="00AE3AD4" w:rsidRPr="007122AB" w:rsidRDefault="00AE3AD4" w:rsidP="007122AB">
      <w:pPr>
        <w:spacing w:after="0" w:line="240" w:lineRule="auto"/>
        <w:jc w:val="both"/>
        <w:rPr>
          <w:rFonts w:ascii="Times New Roman" w:hAnsi="Times New Roman"/>
          <w:color w:val="000000" w:themeColor="text1"/>
          <w:sz w:val="16"/>
          <w:szCs w:val="16"/>
        </w:rPr>
      </w:pPr>
    </w:p>
    <w:p w14:paraId="2BA47304" w14:textId="35B11192" w:rsidR="000E68B0" w:rsidRPr="007122AB" w:rsidRDefault="000E68B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color w:val="000000" w:themeColor="text1"/>
          <w:sz w:val="16"/>
          <w:szCs w:val="16"/>
          <w:lang w:eastAsia="ru-RU" w:bidi="ru-RU"/>
        </w:rPr>
        <w:t xml:space="preserve">15 января 1931 Политбюро, рассмотрев проект на своем заседании, воздержалось от его принятия, хотя бы и с поправками: видимо, что-то в нём принципиально не устраивало партийное руководство, но что именно - неизвестно. Тем не менее выделение 15 млн рублей на 1931 год было подтверждено, а поручение провести «дальнейшую разработку вопроса о дирижаблестроении» дали комиссии в составе </w:t>
      </w:r>
      <w:proofErr w:type="spellStart"/>
      <w:r w:rsidRPr="007122AB">
        <w:rPr>
          <w:rFonts w:ascii="Times New Roman" w:hAnsi="Times New Roman"/>
          <w:color w:val="000000" w:themeColor="text1"/>
          <w:sz w:val="16"/>
          <w:szCs w:val="16"/>
          <w:lang w:eastAsia="ru-RU" w:bidi="ru-RU"/>
        </w:rPr>
        <w:t>Гольцмана</w:t>
      </w:r>
      <w:proofErr w:type="spellEnd"/>
      <w:r w:rsidRPr="007122AB">
        <w:rPr>
          <w:rFonts w:ascii="Times New Roman" w:hAnsi="Times New Roman"/>
          <w:color w:val="000000" w:themeColor="text1"/>
          <w:sz w:val="16"/>
          <w:szCs w:val="16"/>
          <w:lang w:eastAsia="ru-RU" w:bidi="ru-RU"/>
        </w:rPr>
        <w:t>, Тухачевского, Баранова, Мартиновича и нескольких новых участников, представлявших различные ведомства. На это отводилось два месяца (23193).</w:t>
      </w:r>
    </w:p>
    <w:p w14:paraId="5EDD314D" w14:textId="77777777" w:rsidR="000E68B0" w:rsidRPr="007122AB" w:rsidRDefault="000E68B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48727B7"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января 1931 года при Московском авиационном ин</w:t>
      </w:r>
      <w:r w:rsidRPr="00441F34">
        <w:rPr>
          <w:rFonts w:ascii="Times New Roman" w:hAnsi="Times New Roman"/>
          <w:color w:val="0070C0"/>
          <w:sz w:val="16"/>
          <w:szCs w:val="16"/>
        </w:rPr>
        <w:softHyphen/>
        <w:t>ституте была создана секция реактивных двигателей, руково</w:t>
      </w:r>
      <w:r w:rsidRPr="00441F34">
        <w:rPr>
          <w:rFonts w:ascii="Times New Roman" w:hAnsi="Times New Roman"/>
          <w:color w:val="0070C0"/>
          <w:sz w:val="16"/>
          <w:szCs w:val="16"/>
        </w:rPr>
        <w:softHyphen/>
        <w:t>дителем которой стал Цандер. В июне этого же года он обра</w:t>
      </w:r>
      <w:r w:rsidRPr="00441F34">
        <w:rPr>
          <w:rFonts w:ascii="Times New Roman" w:hAnsi="Times New Roman"/>
          <w:color w:val="0070C0"/>
          <w:sz w:val="16"/>
          <w:szCs w:val="16"/>
        </w:rPr>
        <w:softHyphen/>
        <w:t xml:space="preserve">тился в Центральный совет Осоавиахима с предложением об образовании </w:t>
      </w:r>
      <w:proofErr w:type="spellStart"/>
      <w:r w:rsidRPr="00441F34">
        <w:rPr>
          <w:rFonts w:ascii="Times New Roman" w:hAnsi="Times New Roman"/>
          <w:color w:val="0070C0"/>
          <w:sz w:val="16"/>
          <w:szCs w:val="16"/>
        </w:rPr>
        <w:t>БИРДа</w:t>
      </w:r>
      <w:proofErr w:type="spellEnd"/>
      <w:r w:rsidRPr="00441F34">
        <w:rPr>
          <w:rFonts w:ascii="Times New Roman" w:hAnsi="Times New Roman"/>
          <w:color w:val="0070C0"/>
          <w:sz w:val="16"/>
          <w:szCs w:val="16"/>
        </w:rPr>
        <w:t xml:space="preserve"> - Бюро изучения реактивного движения при Осоавиахиме. Предложение нашло поддержку. 18 июля на организационном заседании </w:t>
      </w:r>
      <w:proofErr w:type="spellStart"/>
      <w:r w:rsidRPr="00441F34">
        <w:rPr>
          <w:rFonts w:ascii="Times New Roman" w:hAnsi="Times New Roman"/>
          <w:color w:val="0070C0"/>
          <w:sz w:val="16"/>
          <w:szCs w:val="16"/>
        </w:rPr>
        <w:t>БИРДа</w:t>
      </w:r>
      <w:proofErr w:type="spellEnd"/>
      <w:r w:rsidRPr="00441F34">
        <w:rPr>
          <w:rFonts w:ascii="Times New Roman" w:hAnsi="Times New Roman"/>
          <w:color w:val="0070C0"/>
          <w:sz w:val="16"/>
          <w:szCs w:val="16"/>
        </w:rPr>
        <w:t xml:space="preserve"> был избран президиум, а его председателем - Цандер. Организационно БИРД вошел в подчинение Бюро военной техники при Научно-исследователь</w:t>
      </w:r>
      <w:r w:rsidRPr="00441F34">
        <w:rPr>
          <w:rFonts w:ascii="Times New Roman" w:hAnsi="Times New Roman"/>
          <w:color w:val="0070C0"/>
          <w:sz w:val="16"/>
          <w:szCs w:val="16"/>
        </w:rPr>
        <w:softHyphen/>
        <w:t>ском секторе Центрального Совета Осоавиахима.</w:t>
      </w:r>
    </w:p>
    <w:p w14:paraId="200B670E"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Просуществовал БИРД всего два месяца, к активной ра</w:t>
      </w:r>
      <w:r w:rsidRPr="00441F34">
        <w:rPr>
          <w:rFonts w:ascii="Times New Roman" w:hAnsi="Times New Roman"/>
          <w:color w:val="0070C0"/>
          <w:sz w:val="16"/>
          <w:szCs w:val="16"/>
        </w:rPr>
        <w:softHyphen/>
        <w:t xml:space="preserve">боте члены президиума так и не приступили. 20 сентября 1931 года ответственный секретарь </w:t>
      </w:r>
      <w:proofErr w:type="spellStart"/>
      <w:r w:rsidRPr="00441F34">
        <w:rPr>
          <w:rFonts w:ascii="Times New Roman" w:hAnsi="Times New Roman"/>
          <w:color w:val="0070C0"/>
          <w:sz w:val="16"/>
          <w:szCs w:val="16"/>
        </w:rPr>
        <w:t>БИРДа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И.П.Фортиков</w:t>
      </w:r>
      <w:proofErr w:type="spellEnd"/>
      <w:r w:rsidRPr="00441F34">
        <w:rPr>
          <w:rFonts w:ascii="Times New Roman" w:hAnsi="Times New Roman"/>
          <w:color w:val="0070C0"/>
          <w:sz w:val="16"/>
          <w:szCs w:val="16"/>
        </w:rPr>
        <w:t xml:space="preserve"> на</w:t>
      </w:r>
      <w:r w:rsidRPr="00441F34">
        <w:rPr>
          <w:rFonts w:ascii="Times New Roman" w:hAnsi="Times New Roman"/>
          <w:color w:val="0070C0"/>
          <w:sz w:val="16"/>
          <w:szCs w:val="16"/>
        </w:rPr>
        <w:softHyphen/>
        <w:t xml:space="preserve">правил письмо </w:t>
      </w:r>
      <w:proofErr w:type="spellStart"/>
      <w:r w:rsidRPr="00441F34">
        <w:rPr>
          <w:rFonts w:ascii="Times New Roman" w:hAnsi="Times New Roman"/>
          <w:color w:val="0070C0"/>
          <w:sz w:val="16"/>
          <w:szCs w:val="16"/>
        </w:rPr>
        <w:t>К.Э.Циолковскому</w:t>
      </w:r>
      <w:proofErr w:type="spellEnd"/>
      <w:r w:rsidRPr="00441F34">
        <w:rPr>
          <w:rFonts w:ascii="Times New Roman" w:hAnsi="Times New Roman"/>
          <w:color w:val="0070C0"/>
          <w:sz w:val="16"/>
          <w:szCs w:val="16"/>
        </w:rPr>
        <w:t>, где сообщил об организа</w:t>
      </w:r>
      <w:r w:rsidRPr="00441F34">
        <w:rPr>
          <w:rFonts w:ascii="Times New Roman" w:hAnsi="Times New Roman"/>
          <w:color w:val="0070C0"/>
          <w:sz w:val="16"/>
          <w:szCs w:val="16"/>
        </w:rPr>
        <w:softHyphen/>
        <w:t>ции в Москве при Бюро воздушной техники научно-исследо</w:t>
      </w:r>
      <w:r w:rsidRPr="00441F34">
        <w:rPr>
          <w:rFonts w:ascii="Times New Roman" w:hAnsi="Times New Roman"/>
          <w:color w:val="0070C0"/>
          <w:sz w:val="16"/>
          <w:szCs w:val="16"/>
        </w:rPr>
        <w:softHyphen/>
        <w:t>вательского сектора Центрального совета Осоавиахима Группы по изучению реактивных двигателей и ракетного летания. Эту дату можно считать датой основания новой ракетной органи</w:t>
      </w:r>
      <w:r w:rsidRPr="00441F34">
        <w:rPr>
          <w:rFonts w:ascii="Times New Roman" w:hAnsi="Times New Roman"/>
          <w:color w:val="0070C0"/>
          <w:sz w:val="16"/>
          <w:szCs w:val="16"/>
        </w:rPr>
        <w:softHyphen/>
        <w:t>зации. Вероятно, создана она была несколькими днями ранее, но письменные подтверждения тому отсутствуют. Организа</w:t>
      </w:r>
      <w:r w:rsidRPr="00441F34">
        <w:rPr>
          <w:rFonts w:ascii="Times New Roman" w:hAnsi="Times New Roman"/>
          <w:color w:val="0070C0"/>
          <w:sz w:val="16"/>
          <w:szCs w:val="16"/>
        </w:rPr>
        <w:softHyphen/>
        <w:t xml:space="preserve">торами стали </w:t>
      </w:r>
      <w:proofErr w:type="spellStart"/>
      <w:r w:rsidRPr="00441F34">
        <w:rPr>
          <w:rFonts w:ascii="Times New Roman" w:hAnsi="Times New Roman"/>
          <w:color w:val="0070C0"/>
          <w:sz w:val="16"/>
          <w:szCs w:val="16"/>
        </w:rPr>
        <w:t>Ф.А.Цандер</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С.П.Королев</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Ю.А.Победоносцев</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М.К.Тихонравов</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Б.И.Черановский</w:t>
      </w:r>
      <w:proofErr w:type="spellEnd"/>
      <w:r w:rsidRPr="00441F34">
        <w:rPr>
          <w:rFonts w:ascii="Times New Roman" w:hAnsi="Times New Roman"/>
          <w:color w:val="0070C0"/>
          <w:sz w:val="16"/>
          <w:szCs w:val="16"/>
        </w:rPr>
        <w:t>.</w:t>
      </w:r>
    </w:p>
    <w:p w14:paraId="707D5A2D"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Вскоре эта общественная организация получила уточнен</w:t>
      </w:r>
      <w:r w:rsidRPr="00441F34">
        <w:rPr>
          <w:rFonts w:ascii="Times New Roman" w:hAnsi="Times New Roman"/>
          <w:color w:val="0070C0"/>
          <w:sz w:val="16"/>
          <w:szCs w:val="16"/>
        </w:rPr>
        <w:softHyphen/>
        <w:t xml:space="preserve">ное название ГИРД - Группа изучения реактивного движения. Идеи </w:t>
      </w:r>
      <w:proofErr w:type="spellStart"/>
      <w:r w:rsidRPr="00441F34">
        <w:rPr>
          <w:rFonts w:ascii="Times New Roman" w:hAnsi="Times New Roman"/>
          <w:color w:val="0070C0"/>
          <w:sz w:val="16"/>
          <w:szCs w:val="16"/>
        </w:rPr>
        <w:t>гирдовцев</w:t>
      </w:r>
      <w:proofErr w:type="spellEnd"/>
      <w:r w:rsidRPr="00441F34">
        <w:rPr>
          <w:rFonts w:ascii="Times New Roman" w:hAnsi="Times New Roman"/>
          <w:color w:val="0070C0"/>
          <w:sz w:val="16"/>
          <w:szCs w:val="16"/>
        </w:rPr>
        <w:t xml:space="preserve"> нашли широкий отклик. Началось создание групп по всей стране. Московская группа получила официаль</w:t>
      </w:r>
      <w:r w:rsidRPr="00441F34">
        <w:rPr>
          <w:rFonts w:ascii="Times New Roman" w:hAnsi="Times New Roman"/>
          <w:color w:val="0070C0"/>
          <w:sz w:val="16"/>
          <w:szCs w:val="16"/>
        </w:rPr>
        <w:softHyphen/>
        <w:t xml:space="preserve">ное название </w:t>
      </w:r>
      <w:proofErr w:type="spellStart"/>
      <w:r w:rsidRPr="00441F34">
        <w:rPr>
          <w:rFonts w:ascii="Times New Roman" w:hAnsi="Times New Roman"/>
          <w:color w:val="0070C0"/>
          <w:sz w:val="16"/>
          <w:szCs w:val="16"/>
        </w:rPr>
        <w:t>МосГИРД</w:t>
      </w:r>
      <w:proofErr w:type="spellEnd"/>
      <w:r w:rsidRPr="00441F34">
        <w:rPr>
          <w:rFonts w:ascii="Times New Roman" w:hAnsi="Times New Roman"/>
          <w:color w:val="0070C0"/>
          <w:sz w:val="16"/>
          <w:szCs w:val="16"/>
        </w:rPr>
        <w:t>, но ее участники, подчеркивая первенство и значимость, в обиходе именовали себя иначе - Цен</w:t>
      </w:r>
      <w:r w:rsidRPr="00441F34">
        <w:rPr>
          <w:rFonts w:ascii="Times New Roman" w:hAnsi="Times New Roman"/>
          <w:color w:val="0070C0"/>
          <w:sz w:val="16"/>
          <w:szCs w:val="16"/>
        </w:rPr>
        <w:softHyphen/>
        <w:t>тральный ГИРД или просто ГИРД (23510).</w:t>
      </w:r>
    </w:p>
    <w:p w14:paraId="13F9653D" w14:textId="77777777" w:rsidR="00FE1090" w:rsidRPr="00441F34" w:rsidRDefault="00FE1090" w:rsidP="00FE1090">
      <w:pPr>
        <w:spacing w:after="0" w:line="240" w:lineRule="auto"/>
        <w:jc w:val="both"/>
        <w:rPr>
          <w:rFonts w:ascii="Times New Roman" w:hAnsi="Times New Roman"/>
          <w:color w:val="0070C0"/>
          <w:sz w:val="16"/>
          <w:szCs w:val="16"/>
        </w:rPr>
      </w:pPr>
    </w:p>
    <w:p w14:paraId="6A1882E8" w14:textId="77777777" w:rsidR="006E48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962E648" w14:textId="77777777" w:rsidR="006E4804" w:rsidRPr="007122AB" w:rsidRDefault="006E48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29367D" w14:textId="77777777" w:rsidR="006E4804" w:rsidRPr="007122AB" w:rsidRDefault="006E4804"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января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23. 17. О ходе работ на Сталинградском тракторном заводе (ПБ от 10 декабря 1930 г., пр. № 20, п. 4/10) (Орджоникидзе, </w:t>
      </w:r>
      <w:proofErr w:type="spellStart"/>
      <w:r w:rsidRPr="007122AB">
        <w:rPr>
          <w:rFonts w:ascii="Times New Roman" w:hAnsi="Times New Roman"/>
          <w:color w:val="000000" w:themeColor="text1"/>
          <w:sz w:val="16"/>
          <w:szCs w:val="16"/>
          <w:u w:color="002060"/>
        </w:rPr>
        <w:t>Розенгольц</w:t>
      </w:r>
      <w:proofErr w:type="spellEnd"/>
      <w:r w:rsidRPr="007122AB">
        <w:rPr>
          <w:rFonts w:ascii="Times New Roman" w:hAnsi="Times New Roman"/>
          <w:color w:val="000000" w:themeColor="text1"/>
          <w:sz w:val="16"/>
          <w:szCs w:val="16"/>
          <w:u w:color="002060"/>
        </w:rPr>
        <w:t xml:space="preserve">). 14/19. О танкостроении (ПБ от 30 ноября 1930 г., пр. № 17, п. 19/27) (Орджоникидзе, Ворошилов). — ОП. Постановили: принять предложение т. Ворошилов и Орджоникидзе об образовании комиссии ВСНХ и НКВМ по танкам в составе т. Уборевича, </w:t>
      </w:r>
      <w:proofErr w:type="spellStart"/>
      <w:r w:rsidRPr="007122AB">
        <w:rPr>
          <w:rFonts w:ascii="Times New Roman" w:hAnsi="Times New Roman"/>
          <w:color w:val="000000" w:themeColor="text1"/>
          <w:sz w:val="16"/>
          <w:szCs w:val="16"/>
          <w:u w:color="002060"/>
        </w:rPr>
        <w:t>Павлуновского</w:t>
      </w:r>
      <w:proofErr w:type="spellEnd"/>
      <w:r w:rsidRPr="007122AB">
        <w:rPr>
          <w:rFonts w:ascii="Times New Roman" w:hAnsi="Times New Roman"/>
          <w:color w:val="000000" w:themeColor="text1"/>
          <w:sz w:val="16"/>
          <w:szCs w:val="16"/>
          <w:u w:color="002060"/>
        </w:rPr>
        <w:t xml:space="preserve">, Мартиновича, Тухачевского </w:t>
      </w:r>
      <w:r w:rsidRPr="007122AB">
        <w:rPr>
          <w:rFonts w:ascii="Times New Roman" w:hAnsi="Times New Roman"/>
          <w:color w:val="000000" w:themeColor="text1"/>
          <w:sz w:val="16"/>
          <w:szCs w:val="16"/>
          <w:u w:color="002060"/>
        </w:rPr>
        <w:lastRenderedPageBreak/>
        <w:t xml:space="preserve">и </w:t>
      </w:r>
      <w:proofErr w:type="spellStart"/>
      <w:r w:rsidRPr="007122AB">
        <w:rPr>
          <w:rFonts w:ascii="Times New Roman" w:hAnsi="Times New Roman"/>
          <w:color w:val="000000" w:themeColor="text1"/>
          <w:sz w:val="16"/>
          <w:szCs w:val="16"/>
          <w:u w:color="002060"/>
        </w:rPr>
        <w:t>Халепского</w:t>
      </w:r>
      <w:proofErr w:type="spellEnd"/>
      <w:r w:rsidRPr="007122AB">
        <w:rPr>
          <w:rFonts w:ascii="Times New Roman" w:hAnsi="Times New Roman"/>
          <w:color w:val="000000" w:themeColor="text1"/>
          <w:sz w:val="16"/>
          <w:szCs w:val="16"/>
          <w:u w:color="002060"/>
        </w:rPr>
        <w:t xml:space="preserve"> для предварительного рассмотрения вопроса о развертывании танкостроения на военное время. Созыв комиссии за т. Уборевичем. Срок работы — месячный. (Политбюро... Т. 2. С. 117, 118; РГАСПИ. Ф. 17. Оп. 162. Д. 9. Л. 119) (12416).</w:t>
      </w:r>
    </w:p>
    <w:p w14:paraId="321C4D8D" w14:textId="77777777" w:rsidR="006E4804" w:rsidRPr="007122AB" w:rsidRDefault="006E4804" w:rsidP="007122AB">
      <w:pPr>
        <w:spacing w:after="0" w:line="240" w:lineRule="auto"/>
        <w:jc w:val="both"/>
        <w:rPr>
          <w:rFonts w:ascii="Times New Roman" w:hAnsi="Times New Roman"/>
          <w:color w:val="000000" w:themeColor="text1"/>
          <w:sz w:val="16"/>
          <w:szCs w:val="16"/>
          <w:u w:color="002060"/>
        </w:rPr>
      </w:pPr>
    </w:p>
    <w:p w14:paraId="02D7E2AF"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1931</w:t>
      </w:r>
    </w:p>
    <w:p w14:paraId="2F1FF97D"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14/19: О танкостроении</w:t>
      </w:r>
    </w:p>
    <w:p w14:paraId="78B306CD"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30.XI.30 г., пр. № 17, п. 19/27).</w:t>
      </w:r>
    </w:p>
    <w:p w14:paraId="0718E7E1"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(Орджоникидзе, Ворошилов).</w:t>
      </w:r>
    </w:p>
    <w:p w14:paraId="61844A86"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2B2BE1D4"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Принять предложение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Ворошилова и Орджоникидзе об образовании комиссии ВСНХ и НКВМ по танкам в составе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Уборевича,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Мартиновича, Тухачевского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для предварительного рассмотрения вопроса о развертывании танкостроения на военное время.</w:t>
      </w:r>
    </w:p>
    <w:p w14:paraId="4D83521D"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Созыв комиссии за т. Уборевичем. Срок работы — месячный.</w:t>
      </w:r>
    </w:p>
    <w:p w14:paraId="41F2030B"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7C6B9509"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Орджоникидзе, Ворошилову, Уборевичу, </w:t>
      </w:r>
      <w:proofErr w:type="spellStart"/>
      <w:r w:rsidRPr="007122AB">
        <w:rPr>
          <w:rFonts w:ascii="Times New Roman" w:hAnsi="Times New Roman"/>
          <w:color w:val="000000" w:themeColor="text1"/>
          <w:sz w:val="16"/>
          <w:szCs w:val="16"/>
        </w:rPr>
        <w:t>Павлуновскому</w:t>
      </w:r>
      <w:proofErr w:type="spellEnd"/>
      <w:r w:rsidRPr="007122AB">
        <w:rPr>
          <w:rFonts w:ascii="Times New Roman" w:hAnsi="Times New Roman"/>
          <w:color w:val="000000" w:themeColor="text1"/>
          <w:sz w:val="16"/>
          <w:szCs w:val="16"/>
        </w:rPr>
        <w:t xml:space="preserve">, Мартиновичу, Тухачевскому и </w:t>
      </w:r>
      <w:proofErr w:type="spellStart"/>
      <w:r w:rsidRPr="007122AB">
        <w:rPr>
          <w:rFonts w:ascii="Times New Roman" w:hAnsi="Times New Roman"/>
          <w:color w:val="000000" w:themeColor="text1"/>
          <w:sz w:val="16"/>
          <w:szCs w:val="16"/>
        </w:rPr>
        <w:t>Халепскому</w:t>
      </w:r>
      <w:proofErr w:type="spellEnd"/>
      <w:r w:rsidRPr="007122AB">
        <w:rPr>
          <w:rFonts w:ascii="Times New Roman" w:hAnsi="Times New Roman"/>
          <w:color w:val="000000" w:themeColor="text1"/>
          <w:sz w:val="16"/>
          <w:szCs w:val="16"/>
        </w:rPr>
        <w:t xml:space="preserve"> (18105).</w:t>
      </w:r>
    </w:p>
    <w:p w14:paraId="46416485" w14:textId="77777777" w:rsidR="00AE3AD4" w:rsidRPr="007122AB" w:rsidRDefault="00AE3AD4" w:rsidP="007122AB">
      <w:pPr>
        <w:spacing w:after="0" w:line="240" w:lineRule="auto"/>
        <w:jc w:val="both"/>
        <w:rPr>
          <w:rFonts w:ascii="Times New Roman" w:hAnsi="Times New Roman"/>
          <w:color w:val="000000" w:themeColor="text1"/>
          <w:sz w:val="16"/>
          <w:szCs w:val="16"/>
        </w:rPr>
      </w:pPr>
    </w:p>
    <w:p w14:paraId="1BB2225D" w14:textId="77777777" w:rsidR="00B23E00" w:rsidRPr="007122AB" w:rsidRDefault="00B23E0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15 января 1931 первый Т-19 был собран только на 70 процентов (20740).</w:t>
      </w:r>
    </w:p>
    <w:p w14:paraId="1BDD0176" w14:textId="77777777" w:rsidR="00B23E00" w:rsidRPr="007122AB" w:rsidRDefault="00B23E0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C066A8" w14:textId="16B8F82D" w:rsidR="00EA061A" w:rsidRDefault="00EA061A"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3C829DB6" w14:textId="77777777" w:rsidR="00EA061A" w:rsidRDefault="00EA061A"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1159955" w14:textId="77777777" w:rsidR="00EA061A" w:rsidRDefault="00EA061A" w:rsidP="00EA061A">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15 </w:t>
      </w:r>
      <w:r w:rsidRPr="009F5089">
        <w:rPr>
          <w:rFonts w:ascii="Times New Roman" w:hAnsi="Times New Roman"/>
          <w:color w:val="0070C0"/>
          <w:sz w:val="16"/>
          <w:szCs w:val="16"/>
        </w:rPr>
        <w:t>января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произведен первый набор девушек в школу спецслужб ВВС</w:t>
      </w:r>
      <w:r>
        <w:rPr>
          <w:rFonts w:ascii="Times New Roman" w:hAnsi="Times New Roman"/>
          <w:color w:val="0070C0"/>
          <w:sz w:val="16"/>
          <w:szCs w:val="16"/>
        </w:rPr>
        <w:t>. Б</w:t>
      </w:r>
      <w:r w:rsidRPr="009F5089">
        <w:rPr>
          <w:rFonts w:ascii="Times New Roman" w:hAnsi="Times New Roman"/>
          <w:color w:val="0070C0"/>
          <w:sz w:val="16"/>
          <w:szCs w:val="16"/>
        </w:rPr>
        <w:t xml:space="preserve">ыло </w:t>
      </w:r>
      <w:proofErr w:type="spellStart"/>
      <w:r w:rsidRPr="009F5089">
        <w:rPr>
          <w:rFonts w:ascii="Times New Roman" w:hAnsi="Times New Roman"/>
          <w:color w:val="0070C0"/>
          <w:sz w:val="16"/>
          <w:szCs w:val="16"/>
        </w:rPr>
        <w:t>Ьито</w:t>
      </w:r>
      <w:proofErr w:type="spellEnd"/>
      <w:r w:rsidRPr="009F5089">
        <w:rPr>
          <w:rFonts w:ascii="Times New Roman" w:hAnsi="Times New Roman"/>
          <w:color w:val="0070C0"/>
          <w:sz w:val="16"/>
          <w:szCs w:val="16"/>
        </w:rPr>
        <w:t xml:space="preserve"> 16 девушек </w:t>
      </w:r>
      <w:r>
        <w:rPr>
          <w:rFonts w:ascii="Times New Roman" w:hAnsi="Times New Roman"/>
          <w:color w:val="0070C0"/>
          <w:sz w:val="16"/>
          <w:szCs w:val="16"/>
        </w:rPr>
        <w:t>(23370).</w:t>
      </w:r>
    </w:p>
    <w:p w14:paraId="44A83A8E" w14:textId="77777777" w:rsidR="00EA061A" w:rsidRDefault="00EA061A" w:rsidP="00EA061A">
      <w:pPr>
        <w:spacing w:after="0" w:line="240" w:lineRule="auto"/>
        <w:jc w:val="both"/>
        <w:rPr>
          <w:rFonts w:ascii="Times New Roman" w:hAnsi="Times New Roman"/>
          <w:color w:val="0070C0"/>
          <w:sz w:val="16"/>
          <w:szCs w:val="16"/>
        </w:rPr>
      </w:pPr>
    </w:p>
    <w:p w14:paraId="55BA0BAC" w14:textId="2F2F1698" w:rsidR="00AE3AD4" w:rsidRPr="007122AB" w:rsidRDefault="00AE3AD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5D5E98A7" w14:textId="77777777" w:rsidR="00AE3AD4" w:rsidRPr="007122AB" w:rsidRDefault="00AE3AD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133056"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1931 г.</w:t>
      </w:r>
    </w:p>
    <w:p w14:paraId="28321BC6"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Политбюро ЦК ВКП(б) по вопросу опровержений ряда публикаций в иностранной печати о событиях в СССР. Из протокола № 23 заседания Политбюро, п. 8 от 15 января 1931 г.</w:t>
      </w:r>
    </w:p>
    <w:p w14:paraId="25604E2D"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7AA3E69E"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D3262B"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Архив: </w:t>
      </w:r>
    </w:p>
    <w:p w14:paraId="4B6C39AE"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17. Оп.З.Д.810.Л.2</w:t>
      </w:r>
    </w:p>
    <w:p w14:paraId="11ED9E02"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15 января 1931 г.</w:t>
      </w:r>
    </w:p>
    <w:p w14:paraId="63D36560"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СТРОГО СЕКРЕТНО</w:t>
      </w:r>
    </w:p>
    <w:p w14:paraId="3FE50BFC"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 О заметках в иностранной печати.</w:t>
      </w:r>
    </w:p>
    <w:p w14:paraId="5109A2E7"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 Сталин).</w:t>
      </w:r>
    </w:p>
    <w:p w14:paraId="79BB6862"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Поручить </w:t>
      </w:r>
      <w:proofErr w:type="spellStart"/>
      <w:r w:rsidRPr="007122AB">
        <w:rPr>
          <w:rFonts w:ascii="Times New Roman" w:hAnsi="Times New Roman"/>
          <w:color w:val="000000" w:themeColor="text1"/>
          <w:sz w:val="16"/>
          <w:szCs w:val="16"/>
        </w:rPr>
        <w:t>ТАССу</w:t>
      </w:r>
      <w:proofErr w:type="spellEnd"/>
      <w:r w:rsidRPr="007122AB">
        <w:rPr>
          <w:rFonts w:ascii="Times New Roman" w:hAnsi="Times New Roman"/>
          <w:color w:val="000000" w:themeColor="text1"/>
          <w:sz w:val="16"/>
          <w:szCs w:val="16"/>
        </w:rPr>
        <w:t xml:space="preserve"> дать в иностранной печати опровержения (в два приема): сперва — о восстании на «Профинтерне», затем — о смерти Федотова и Шейна.</w:t>
      </w:r>
    </w:p>
    <w:p w14:paraId="25A06A18"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СЕКРЕТАРЬ ЦК</w:t>
      </w:r>
    </w:p>
    <w:p w14:paraId="1612E32D"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356. Л. 53. Машинописная выписка на бланке ЦК ВКП(б) с напечатанной датой составления выписки «16.1.1931 г.». Номер протокола (№ П23/8-с) и дата (15.1.1931 г.) машинописью в графах бланка.</w:t>
      </w:r>
    </w:p>
    <w:p w14:paraId="6DA2019F" w14:textId="77777777" w:rsidR="000F00CB" w:rsidRPr="007122AB" w:rsidRDefault="000F00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17. Оп.З.Д.810.Л.2. «Подписной» протокол заседаний Политбюро ЦК ВКП(б) от 15 января 1931 г. Машинописная копия того времени, заверенная печатью ЦК ВКП(б), подпись-факсимиле И. В. Сталина (18657).</w:t>
      </w:r>
    </w:p>
    <w:p w14:paraId="7B252D84" w14:textId="77777777" w:rsidR="000F00CB" w:rsidRPr="007122AB" w:rsidRDefault="000F00CB" w:rsidP="007122AB">
      <w:pPr>
        <w:spacing w:after="0" w:line="240" w:lineRule="auto"/>
        <w:jc w:val="both"/>
        <w:rPr>
          <w:rFonts w:ascii="Times New Roman" w:hAnsi="Times New Roman"/>
          <w:color w:val="000000" w:themeColor="text1"/>
          <w:sz w:val="16"/>
          <w:szCs w:val="16"/>
        </w:rPr>
      </w:pPr>
    </w:p>
    <w:p w14:paraId="5C500B6D"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15 января 1931 г.</w:t>
      </w:r>
    </w:p>
    <w:p w14:paraId="05D332C9"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15 января 1931 г.</w:t>
      </w:r>
    </w:p>
    <w:p w14:paraId="125008DD" w14:textId="77777777" w:rsidR="00AE3AD4" w:rsidRPr="007122AB" w:rsidRDefault="00AE3AD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370B079" w14:textId="77777777" w:rsidR="00AE3AD4" w:rsidRPr="007122AB" w:rsidRDefault="00AE3A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2ECF8D" w14:textId="77777777" w:rsidR="00AE3AD4" w:rsidRPr="007122AB" w:rsidRDefault="00AE3AD4" w:rsidP="007122AB">
      <w:pPr>
        <w:pStyle w:val="rteright"/>
        <w:spacing w:before="0" w:after="0"/>
        <w:jc w:val="both"/>
        <w:rPr>
          <w:color w:val="000000" w:themeColor="text1"/>
          <w:sz w:val="16"/>
          <w:szCs w:val="16"/>
        </w:rPr>
      </w:pPr>
      <w:r w:rsidRPr="007122AB">
        <w:rPr>
          <w:color w:val="000000" w:themeColor="text1"/>
          <w:sz w:val="16"/>
          <w:szCs w:val="16"/>
        </w:rPr>
        <w:t>15 января 1931 г.</w:t>
      </w:r>
    </w:p>
    <w:p w14:paraId="5FDD1389" w14:textId="77777777" w:rsidR="00AE3AD4" w:rsidRPr="007122AB" w:rsidRDefault="00AE3AD4"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3F435B44"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Полномочному Представителю СССР во Франции</w:t>
      </w:r>
    </w:p>
    <w:p w14:paraId="16111A25"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тов. В. С. Довгалевскому</w:t>
      </w:r>
    </w:p>
    <w:p w14:paraId="2924BA23" w14:textId="77777777" w:rsidR="00AE3AD4" w:rsidRPr="007122AB" w:rsidRDefault="00AE3AD4" w:rsidP="007122AB">
      <w:pPr>
        <w:pStyle w:val="rtejustify"/>
        <w:spacing w:before="0" w:after="0"/>
        <w:rPr>
          <w:color w:val="000000" w:themeColor="text1"/>
          <w:sz w:val="16"/>
          <w:szCs w:val="16"/>
        </w:rPr>
      </w:pPr>
      <w:r w:rsidRPr="007122AB">
        <w:rPr>
          <w:color w:val="000000" w:themeColor="text1"/>
          <w:sz w:val="16"/>
          <w:szCs w:val="16"/>
        </w:rPr>
        <w:t xml:space="preserve">1.   Мы находимся в полном недоумении по поводу отсутствия какого-либо движения в области нашего протеста по процессу Промпартии. Не может быть, чтобы после Вашего письма дело не было доложено Совету Министров и чтобы не было принято никакого решения. Я одно время предполагал, что </w:t>
      </w:r>
      <w:proofErr w:type="spellStart"/>
      <w:r w:rsidRPr="007122AB">
        <w:rPr>
          <w:color w:val="000000" w:themeColor="text1"/>
          <w:sz w:val="16"/>
          <w:szCs w:val="16"/>
        </w:rPr>
        <w:t>францпра</w:t>
      </w:r>
      <w:proofErr w:type="spellEnd"/>
      <w:r w:rsidRPr="007122AB">
        <w:rPr>
          <w:color w:val="000000" w:themeColor="text1"/>
          <w:sz w:val="16"/>
          <w:szCs w:val="16"/>
        </w:rPr>
        <w:t xml:space="preserve"> выжидает исхода финансовых переговоров с Англией, чтобы выступить с ответом, укрепившись ее поддержкой, но это предположение приходится теперь отбросить. Остается думать, что </w:t>
      </w:r>
      <w:proofErr w:type="spellStart"/>
      <w:r w:rsidRPr="007122AB">
        <w:rPr>
          <w:color w:val="000000" w:themeColor="text1"/>
          <w:sz w:val="16"/>
          <w:szCs w:val="16"/>
        </w:rPr>
        <w:t>Бриан</w:t>
      </w:r>
      <w:proofErr w:type="spellEnd"/>
      <w:r w:rsidRPr="007122AB">
        <w:rPr>
          <w:color w:val="000000" w:themeColor="text1"/>
          <w:sz w:val="16"/>
          <w:szCs w:val="16"/>
        </w:rPr>
        <w:t xml:space="preserve"> решил не реагировать на Ваше письмо, считая его частным документом, исходя формально из непринятия и, следовательно, несуществования нашего протеста. Можно было бы примириться на том, что мы считаем протест заявленным, а французское правительство — не заявленным, если бы был отозван Кифер или если бы Вам было дано обещание об отозвании его через некоторое время. Отсутствие же какого-либо ответа относительно Кифера и оставление его в Москве заставит нас, вероятно, принять какие-либо меры вплоть до насильственной высылки Кифера из Москвы. Каковы Ваши соображения по этому поводу?</w:t>
      </w:r>
    </w:p>
    <w:p w14:paraId="01058924" w14:textId="77777777" w:rsidR="00AE3AD4" w:rsidRPr="007122AB" w:rsidRDefault="00AE3AD4" w:rsidP="007122AB">
      <w:pPr>
        <w:pStyle w:val="rtejustify"/>
        <w:spacing w:before="0" w:after="0"/>
        <w:rPr>
          <w:color w:val="000000" w:themeColor="text1"/>
          <w:sz w:val="16"/>
          <w:szCs w:val="16"/>
        </w:rPr>
      </w:pPr>
      <w:r w:rsidRPr="007122AB">
        <w:rPr>
          <w:color w:val="000000" w:themeColor="text1"/>
          <w:sz w:val="16"/>
          <w:szCs w:val="16"/>
        </w:rPr>
        <w:t>2.   Я уже телеграфировал Вам сегодня, что, ознакомившись с присланной Вами копией письма от 26 декабря, я убедился, что это отнюдь не письмо, в котором, якобы, отсутствует подпись Вертело, а формальная вербальная нота, написанная в третьем лице, как и полагается в таких случаях. Если бы мы это знали вовремя, то мы своему ответу придали бы другой, более официальный характер.</w:t>
      </w:r>
    </w:p>
    <w:p w14:paraId="4C6AD4F0" w14:textId="77777777" w:rsidR="00AE3AD4" w:rsidRPr="007122AB" w:rsidRDefault="00AE3AD4" w:rsidP="007122AB">
      <w:pPr>
        <w:pStyle w:val="rtejustify"/>
        <w:spacing w:before="0" w:after="0"/>
        <w:rPr>
          <w:color w:val="000000" w:themeColor="text1"/>
          <w:sz w:val="16"/>
          <w:szCs w:val="16"/>
        </w:rPr>
      </w:pPr>
      <w:r w:rsidRPr="007122AB">
        <w:rPr>
          <w:color w:val="000000" w:themeColor="text1"/>
          <w:sz w:val="16"/>
          <w:szCs w:val="16"/>
        </w:rPr>
        <w:t>3.   Если бы не дело Кифера, то можно было бы вернуться теперь к экономическим вопросам и вручить ответ на последний меморандум Вертело. Во всяком случае, весь комплекс этих вопросов будет поставлен мною в ближайшее время на обсуждение директивной инстанции.</w:t>
      </w:r>
    </w:p>
    <w:p w14:paraId="3977D122" w14:textId="77777777" w:rsidR="00AE3AD4" w:rsidRPr="007122AB" w:rsidRDefault="00AE3AD4" w:rsidP="007122AB">
      <w:pPr>
        <w:pStyle w:val="rtejustify"/>
        <w:spacing w:before="0" w:after="0"/>
        <w:rPr>
          <w:color w:val="000000" w:themeColor="text1"/>
          <w:sz w:val="16"/>
          <w:szCs w:val="16"/>
        </w:rPr>
      </w:pPr>
      <w:r w:rsidRPr="007122AB">
        <w:rPr>
          <w:color w:val="000000" w:themeColor="text1"/>
          <w:sz w:val="16"/>
          <w:szCs w:val="16"/>
        </w:rPr>
        <w:t xml:space="preserve">4.   О дальнейшей установке </w:t>
      </w:r>
      <w:proofErr w:type="spellStart"/>
      <w:r w:rsidRPr="007122AB">
        <w:rPr>
          <w:color w:val="000000" w:themeColor="text1"/>
          <w:sz w:val="16"/>
          <w:szCs w:val="16"/>
        </w:rPr>
        <w:t>францпра</w:t>
      </w:r>
      <w:proofErr w:type="spellEnd"/>
      <w:r w:rsidRPr="007122AB">
        <w:rPr>
          <w:color w:val="000000" w:themeColor="text1"/>
          <w:sz w:val="16"/>
          <w:szCs w:val="16"/>
        </w:rPr>
        <w:t xml:space="preserve"> в отношении СССР можно будет в некоторой мере судить по линии поведения </w:t>
      </w:r>
      <w:proofErr w:type="spellStart"/>
      <w:r w:rsidRPr="007122AB">
        <w:rPr>
          <w:color w:val="000000" w:themeColor="text1"/>
          <w:sz w:val="16"/>
          <w:szCs w:val="16"/>
        </w:rPr>
        <w:t>Бриана</w:t>
      </w:r>
      <w:proofErr w:type="spellEnd"/>
      <w:r w:rsidRPr="007122AB">
        <w:rPr>
          <w:color w:val="000000" w:themeColor="text1"/>
          <w:sz w:val="16"/>
          <w:szCs w:val="16"/>
        </w:rPr>
        <w:t xml:space="preserve"> при обсуждении вопроса о приглашении СССР в Комиссию по изучению Пан-Европы и о выборе председателя Конференции по разоружению.</w:t>
      </w:r>
    </w:p>
    <w:p w14:paraId="449ED167" w14:textId="77777777" w:rsidR="00AE3AD4" w:rsidRPr="007122AB" w:rsidRDefault="00AE3AD4" w:rsidP="007122AB">
      <w:pPr>
        <w:pStyle w:val="ae"/>
        <w:spacing w:before="0" w:after="0"/>
        <w:jc w:val="both"/>
        <w:rPr>
          <w:color w:val="000000" w:themeColor="text1"/>
          <w:sz w:val="16"/>
          <w:szCs w:val="16"/>
        </w:rPr>
      </w:pPr>
      <w:r w:rsidRPr="007122AB">
        <w:rPr>
          <w:color w:val="000000" w:themeColor="text1"/>
          <w:sz w:val="16"/>
          <w:szCs w:val="16"/>
        </w:rPr>
        <w:t>ЛИТВИНОВ</w:t>
      </w:r>
    </w:p>
    <w:p w14:paraId="1BD44445" w14:textId="77777777" w:rsidR="00AE3AD4" w:rsidRPr="007122AB" w:rsidRDefault="00AE3AD4"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010. On. 2. П. 13а. Д. 232. Л. 4. Машинописная копия того времени. Вверху слева напечатано «Экз. 2» (цифра от руки), справа под грифом секретности (машинописью) напечатаны номер «№ л/21517» и дата. Здесь же штамп Секретариата замнаркома НКИД СССР с вписанными от руки номером и датой получения документа «16 янв. 1931 г.», подпись-росчерк Н. Н. Крестинского «</w:t>
      </w:r>
      <w:proofErr w:type="spellStart"/>
      <w:r w:rsidRPr="007122AB">
        <w:rPr>
          <w:rStyle w:val="af0"/>
          <w:i w:val="0"/>
          <w:color w:val="000000" w:themeColor="text1"/>
          <w:sz w:val="16"/>
          <w:szCs w:val="16"/>
        </w:rPr>
        <w:t>НКр</w:t>
      </w:r>
      <w:proofErr w:type="spellEnd"/>
      <w:r w:rsidRPr="007122AB">
        <w:rPr>
          <w:rStyle w:val="af0"/>
          <w:i w:val="0"/>
          <w:color w:val="000000" w:themeColor="text1"/>
          <w:sz w:val="16"/>
          <w:szCs w:val="16"/>
        </w:rPr>
        <w:t xml:space="preserve">». Внизу слева машинописью делопроизводственная помета о количестве распечатанных экземпляров (6 экз.) и адрес рассылки «1 — Адресат, 2 — </w:t>
      </w:r>
      <w:proofErr w:type="spellStart"/>
      <w:r w:rsidRPr="007122AB">
        <w:rPr>
          <w:rStyle w:val="af0"/>
          <w:i w:val="0"/>
          <w:color w:val="000000" w:themeColor="text1"/>
          <w:sz w:val="16"/>
          <w:szCs w:val="16"/>
        </w:rPr>
        <w:t>Кр</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естинский</w:t>
      </w:r>
      <w:proofErr w:type="spellEnd"/>
      <w:r w:rsidRPr="007122AB">
        <w:rPr>
          <w:rStyle w:val="af0"/>
          <w:i w:val="0"/>
          <w:color w:val="000000" w:themeColor="text1"/>
          <w:sz w:val="16"/>
          <w:szCs w:val="16"/>
        </w:rPr>
        <w:t>], 3 — К[</w:t>
      </w:r>
      <w:proofErr w:type="spellStart"/>
      <w:r w:rsidRPr="007122AB">
        <w:rPr>
          <w:rStyle w:val="af0"/>
          <w:i w:val="0"/>
          <w:color w:val="000000" w:themeColor="text1"/>
          <w:sz w:val="16"/>
          <w:szCs w:val="16"/>
        </w:rPr>
        <w:t>арахан</w:t>
      </w:r>
      <w:proofErr w:type="spellEnd"/>
      <w:r w:rsidRPr="007122AB">
        <w:rPr>
          <w:rStyle w:val="af0"/>
          <w:i w:val="0"/>
          <w:color w:val="000000" w:themeColor="text1"/>
          <w:sz w:val="16"/>
          <w:szCs w:val="16"/>
        </w:rPr>
        <w:t>], 4 — С[</w:t>
      </w:r>
      <w:proofErr w:type="spellStart"/>
      <w:r w:rsidRPr="007122AB">
        <w:rPr>
          <w:rStyle w:val="af0"/>
          <w:i w:val="0"/>
          <w:color w:val="000000" w:themeColor="text1"/>
          <w:sz w:val="16"/>
          <w:szCs w:val="16"/>
        </w:rPr>
        <w:t>томоняков</w:t>
      </w:r>
      <w:proofErr w:type="spellEnd"/>
      <w:r w:rsidRPr="007122AB">
        <w:rPr>
          <w:rStyle w:val="af0"/>
          <w:i w:val="0"/>
          <w:color w:val="000000" w:themeColor="text1"/>
          <w:sz w:val="16"/>
          <w:szCs w:val="16"/>
        </w:rPr>
        <w:t>], 5 — З[</w:t>
      </w:r>
      <w:proofErr w:type="spellStart"/>
      <w:r w:rsidRPr="007122AB">
        <w:rPr>
          <w:rStyle w:val="af0"/>
          <w:i w:val="0"/>
          <w:color w:val="000000" w:themeColor="text1"/>
          <w:sz w:val="16"/>
          <w:szCs w:val="16"/>
        </w:rPr>
        <w:t>ападный</w:t>
      </w:r>
      <w:proofErr w:type="spellEnd"/>
      <w:r w:rsidRPr="007122AB">
        <w:rPr>
          <w:rStyle w:val="af0"/>
          <w:i w:val="0"/>
          <w:color w:val="000000" w:themeColor="text1"/>
          <w:sz w:val="16"/>
          <w:szCs w:val="16"/>
        </w:rPr>
        <w:t xml:space="preserve"> отдел] III, 6 — дело» (18810).</w:t>
      </w:r>
    </w:p>
    <w:p w14:paraId="394BDB77" w14:textId="77777777" w:rsidR="00AE3AD4" w:rsidRPr="007122AB" w:rsidRDefault="00AE3AD4" w:rsidP="007122AB">
      <w:pPr>
        <w:spacing w:after="0" w:line="240" w:lineRule="auto"/>
        <w:jc w:val="both"/>
        <w:rPr>
          <w:rFonts w:ascii="Times New Roman" w:hAnsi="Times New Roman"/>
          <w:color w:val="000000" w:themeColor="text1"/>
          <w:sz w:val="16"/>
          <w:szCs w:val="16"/>
        </w:rPr>
      </w:pPr>
    </w:p>
    <w:p w14:paraId="2E2F3A4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4DA70C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267A96" w14:textId="77777777" w:rsidR="00CB1153" w:rsidRPr="007122AB" w:rsidRDefault="00CB115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января 1931 г. АГОС ЦАГИ получил окончательный вариант технических требований к одноместному истребителю И12-2</w:t>
      </w:r>
      <w:r w:rsidRPr="007122AB">
        <w:rPr>
          <w:rFonts w:ascii="Times New Roman" w:hAnsi="Times New Roman"/>
          <w:color w:val="000000" w:themeColor="text1"/>
          <w:sz w:val="16"/>
          <w:szCs w:val="16"/>
          <w:lang w:val="en-US"/>
        </w:rPr>
        <w:t>IOVI</w:t>
      </w:r>
      <w:r w:rsidRPr="007122AB">
        <w:rPr>
          <w:rFonts w:ascii="Times New Roman" w:hAnsi="Times New Roman"/>
          <w:color w:val="000000" w:themeColor="text1"/>
          <w:sz w:val="16"/>
          <w:szCs w:val="16"/>
        </w:rPr>
        <w:t xml:space="preserve"> металлической конструкции, во</w:t>
      </w:r>
      <w:r w:rsidRPr="007122AB">
        <w:rPr>
          <w:rFonts w:ascii="Times New Roman" w:hAnsi="Times New Roman"/>
          <w:color w:val="000000" w:themeColor="text1"/>
          <w:sz w:val="16"/>
          <w:szCs w:val="16"/>
        </w:rPr>
        <w:softHyphen/>
        <w:t xml:space="preserve">оружённому пушками ДРП (АПК-4 или АПК-76). Этот вариант </w:t>
      </w:r>
      <w:r w:rsidRPr="007122AB">
        <w:rPr>
          <w:rStyle w:val="1pt"/>
          <w:rFonts w:ascii="Times New Roman" w:hAnsi="Times New Roman" w:cs="Times New Roman"/>
          <w:color w:val="000000" w:themeColor="text1"/>
          <w:spacing w:val="0"/>
          <w:sz w:val="16"/>
          <w:szCs w:val="16"/>
        </w:rPr>
        <w:t>III,</w:t>
      </w:r>
      <w:r w:rsidRPr="007122AB">
        <w:rPr>
          <w:rFonts w:ascii="Times New Roman" w:hAnsi="Times New Roman"/>
          <w:color w:val="000000" w:themeColor="text1"/>
          <w:sz w:val="16"/>
          <w:szCs w:val="16"/>
        </w:rPr>
        <w:t xml:space="preserve"> практически не от</w:t>
      </w:r>
      <w:r w:rsidRPr="007122AB">
        <w:rPr>
          <w:rFonts w:ascii="Times New Roman" w:hAnsi="Times New Roman"/>
          <w:color w:val="000000" w:themeColor="text1"/>
          <w:sz w:val="16"/>
          <w:szCs w:val="16"/>
        </w:rPr>
        <w:softHyphen/>
        <w:t>личался от требований к одноместному истребителю И-12 (АНТ-18) (15823).</w:t>
      </w:r>
    </w:p>
    <w:p w14:paraId="7E39879B" w14:textId="77777777" w:rsidR="00CB1153" w:rsidRPr="007122AB" w:rsidRDefault="00CB1153" w:rsidP="007122AB">
      <w:pPr>
        <w:spacing w:after="0" w:line="240" w:lineRule="auto"/>
        <w:jc w:val="both"/>
        <w:rPr>
          <w:rFonts w:ascii="Times New Roman" w:hAnsi="Times New Roman"/>
          <w:color w:val="000000" w:themeColor="text1"/>
          <w:sz w:val="16"/>
          <w:szCs w:val="16"/>
        </w:rPr>
      </w:pPr>
    </w:p>
    <w:p w14:paraId="00145194" w14:textId="77777777" w:rsidR="00BC3DA3" w:rsidRPr="007122AB" w:rsidRDefault="00BC3DA3" w:rsidP="007122AB">
      <w:pPr>
        <w:pStyle w:val="rtejustify"/>
        <w:shd w:val="clear" w:color="auto" w:fill="FFFFFF"/>
        <w:spacing w:before="0" w:after="0"/>
        <w:rPr>
          <w:color w:val="000000" w:themeColor="text1"/>
          <w:sz w:val="16"/>
          <w:szCs w:val="16"/>
        </w:rPr>
      </w:pPr>
      <w:r w:rsidRPr="007122AB">
        <w:rPr>
          <w:color w:val="000000" w:themeColor="text1"/>
          <w:sz w:val="16"/>
          <w:szCs w:val="16"/>
        </w:rPr>
        <w:t>В середине января 1931 года АГОС ЦАГИ получил окончательный вариант технических требований к одноместному истребителю И12 2Ю-VI металлической конструкции, вооруженному пушками ДРП (АПК-4 или АПК-76). Этот вариант ТТТ практически не отличался от требований к одноместному истребителю И-12 (АНТ-18) (19172).</w:t>
      </w:r>
    </w:p>
    <w:p w14:paraId="268A4F71" w14:textId="77777777" w:rsidR="00BC3DA3" w:rsidRPr="007122AB" w:rsidRDefault="00BC3DA3" w:rsidP="007122AB">
      <w:pPr>
        <w:pStyle w:val="rtejustify"/>
        <w:shd w:val="clear" w:color="auto" w:fill="FFFFFF"/>
        <w:spacing w:before="0" w:after="0"/>
        <w:rPr>
          <w:color w:val="000000" w:themeColor="text1"/>
          <w:sz w:val="16"/>
          <w:szCs w:val="16"/>
        </w:rPr>
      </w:pPr>
    </w:p>
    <w:p w14:paraId="23167021" w14:textId="77777777" w:rsidR="00BC3DA3" w:rsidRPr="007122AB" w:rsidRDefault="00BC3DA3"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января 1931 г. приступили к изготовлению рабочих чертежей, а 21 мая уже заложили головной корабль, получивший наименование "Правда" (тип "П" IV серии), и 19 декабря еще два корпуса (10672).</w:t>
      </w:r>
    </w:p>
    <w:p w14:paraId="2ED86D71" w14:textId="77777777" w:rsidR="00BC3DA3" w:rsidRPr="007122AB" w:rsidRDefault="00BC3DA3" w:rsidP="007122AB">
      <w:pPr>
        <w:autoSpaceDE w:val="0"/>
        <w:autoSpaceDN w:val="0"/>
        <w:adjustRightInd w:val="0"/>
        <w:spacing w:after="0" w:line="240" w:lineRule="auto"/>
        <w:jc w:val="both"/>
        <w:rPr>
          <w:rFonts w:ascii="Times New Roman" w:hAnsi="Times New Roman"/>
          <w:color w:val="000000" w:themeColor="text1"/>
          <w:sz w:val="16"/>
          <w:szCs w:val="16"/>
        </w:rPr>
      </w:pPr>
    </w:p>
    <w:p w14:paraId="3FEB5E8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395DF5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A51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16 января 1931 состоялось заседание комиссии под председательством начальника </w:t>
      </w:r>
      <w:proofErr w:type="spellStart"/>
      <w:r w:rsidRPr="007122AB">
        <w:rPr>
          <w:rFonts w:ascii="Times New Roman" w:hAnsi="Times New Roman"/>
          <w:color w:val="000000" w:themeColor="text1"/>
          <w:sz w:val="16"/>
          <w:szCs w:val="16"/>
        </w:rPr>
        <w:t>техуправления</w:t>
      </w:r>
      <w:proofErr w:type="spellEnd"/>
      <w:r w:rsidRPr="007122AB">
        <w:rPr>
          <w:rFonts w:ascii="Times New Roman" w:hAnsi="Times New Roman"/>
          <w:color w:val="000000" w:themeColor="text1"/>
          <w:sz w:val="16"/>
          <w:szCs w:val="16"/>
        </w:rPr>
        <w:t xml:space="preserve"> УММ </w:t>
      </w:r>
      <w:proofErr w:type="spellStart"/>
      <w:r w:rsidRPr="007122AB">
        <w:rPr>
          <w:rFonts w:ascii="Times New Roman" w:hAnsi="Times New Roman"/>
          <w:color w:val="000000" w:themeColor="text1"/>
          <w:sz w:val="16"/>
          <w:szCs w:val="16"/>
        </w:rPr>
        <w:t>Бокиса</w:t>
      </w:r>
      <w:proofErr w:type="spellEnd"/>
      <w:r w:rsidRPr="007122AB">
        <w:rPr>
          <w:rFonts w:ascii="Times New Roman" w:hAnsi="Times New Roman"/>
          <w:color w:val="000000" w:themeColor="text1"/>
          <w:sz w:val="16"/>
          <w:szCs w:val="16"/>
        </w:rPr>
        <w:t>, на котором были рассмотрены все мнения и предложения. 23 января состоялось следующее заседание комиссии, где против отечественных разработок резко выступили представители промышленности.</w:t>
      </w:r>
    </w:p>
    <w:p w14:paraId="44C22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Оригинал протокола РВС СССР, на котором окончательно решался вопрос о принятии на вооружение В-26, пока не найден, но существует письмо-распоряжение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С. Гинзбургу от 26 января 1931 г., которое проливает на многое свет. В нем говорится:</w:t>
      </w:r>
    </w:p>
    <w:p w14:paraId="681C1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192742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Ворошилов, тов. </w:t>
      </w:r>
      <w:proofErr w:type="spellStart"/>
      <w:r w:rsidRPr="007122AB">
        <w:rPr>
          <w:rFonts w:ascii="Times New Roman" w:hAnsi="Times New Roman"/>
          <w:color w:val="000000" w:themeColor="text1"/>
          <w:sz w:val="16"/>
          <w:szCs w:val="16"/>
        </w:rPr>
        <w:t>Эйдеманн</w:t>
      </w:r>
      <w:proofErr w:type="spellEnd"/>
      <w:r w:rsidRPr="007122AB">
        <w:rPr>
          <w:rFonts w:ascii="Times New Roman" w:hAnsi="Times New Roman"/>
          <w:color w:val="000000" w:themeColor="text1"/>
          <w:sz w:val="16"/>
          <w:szCs w:val="16"/>
        </w:rPr>
        <w:t xml:space="preserve">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12271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7FB32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9B4FEA" w14:textId="77777777" w:rsidR="0090798C" w:rsidRPr="007122AB" w:rsidRDefault="0090798C"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января 1931 состоялось рабочее заседание комиссии под председательством начальника технического управления УММ Г. </w:t>
      </w:r>
      <w:proofErr w:type="spellStart"/>
      <w:r w:rsidRPr="007122AB">
        <w:rPr>
          <w:rFonts w:ascii="Times New Roman" w:hAnsi="Times New Roman"/>
          <w:color w:val="000000" w:themeColor="text1"/>
          <w:sz w:val="16"/>
          <w:szCs w:val="16"/>
        </w:rPr>
        <w:t>Бокиса</w:t>
      </w:r>
      <w:proofErr w:type="spellEnd"/>
      <w:r w:rsidRPr="007122AB">
        <w:rPr>
          <w:rFonts w:ascii="Times New Roman" w:hAnsi="Times New Roman"/>
          <w:color w:val="000000" w:themeColor="text1"/>
          <w:sz w:val="16"/>
          <w:szCs w:val="16"/>
        </w:rPr>
        <w:t>, на котором были рассмотрены все мнения и предложения по В-26 (10733,169).</w:t>
      </w:r>
    </w:p>
    <w:p w14:paraId="3C558FC3" w14:textId="77777777" w:rsidR="0090798C" w:rsidRPr="007122AB" w:rsidRDefault="0090798C"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74AAAE" w14:textId="77777777" w:rsidR="00B23E00" w:rsidRPr="007122AB" w:rsidRDefault="00B23E0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16 января 1931 года состоялось совещание с участием руководства СТЗ. На нем рассматривался вопрос освоения В-26 и Т-19. Представители СТЗ прямо заявили, что английский танк имеет ряд преимуществ с точки зрения простоты освоения. На этом фоне потуги "Большевика" и ГКБ ОАТ выглядели совсем запредельными. Т-20 продолжал ездить на моторе Т-18, при этом у него сыпалась ходовая часть. 60-сильный мотор на испытаниях перегревался (20740).</w:t>
      </w:r>
    </w:p>
    <w:p w14:paraId="63C4B172" w14:textId="77777777" w:rsidR="00B23E00" w:rsidRPr="007122AB" w:rsidRDefault="00B23E0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BD85342" w14:textId="77777777" w:rsidR="00B23E00" w:rsidRPr="007122AB" w:rsidRDefault="00B23E00" w:rsidP="007122AB">
      <w:pPr>
        <w:pStyle w:val="article-renderblock"/>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16 января 1931 года состоялось совещание, на котором представители завода СТЗ однозначно заявили о том, что В-26 проще и лучше для освоения. А еще в огонь подлили масла испытания Т-20. Мотор этого танка, разработанный на "Большевике", нормально работать никак не хотел, посему возникал закономерный вопрос, а что будет с мотором Т-19. Итогом стало то, что 28 января 1931 года было образовано КБ-3 ВОАО (Всесоюзное Орудийно-Арсенальное Объединение), куда начальником поставили Гинзбурга. В данное КБ забрали костяк ГКБ ОАТ. Фактически УММ КА создало пожарную команду, первой задачей для которой стало освоение в производстве В-26. Данный танк приняли 13 февраля 1931 года как Т-26, начались работы по организации его выпуска на "Большевике".</w:t>
      </w:r>
    </w:p>
    <w:p w14:paraId="04FED396" w14:textId="77777777" w:rsidR="00B23E00" w:rsidRPr="007122AB" w:rsidRDefault="00B23E00" w:rsidP="007122AB">
      <w:pPr>
        <w:pStyle w:val="article-renderblock"/>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Работы по Т-19 продолжились, но уже в качестве опытного образца. Как показали дальнейшие события, в УММ КА приняли правильное решение, выбрав Т-26. Дело в том, что даже первый опытный образец танка сдавался крайне неспешно (20842).</w:t>
      </w:r>
    </w:p>
    <w:p w14:paraId="3F07D558" w14:textId="77777777" w:rsidR="00B23E00" w:rsidRPr="007122AB" w:rsidRDefault="00B23E00" w:rsidP="007122AB">
      <w:pPr>
        <w:shd w:val="clear" w:color="auto" w:fill="FFFFFF"/>
        <w:spacing w:after="0" w:line="240" w:lineRule="auto"/>
        <w:jc w:val="both"/>
        <w:rPr>
          <w:rFonts w:ascii="Times New Roman" w:hAnsi="Times New Roman"/>
          <w:color w:val="000000" w:themeColor="text1"/>
          <w:sz w:val="16"/>
          <w:szCs w:val="16"/>
        </w:rPr>
      </w:pPr>
    </w:p>
    <w:p w14:paraId="3978F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16 и 22 января 1931. Из протокола заседания Политбюро № 22, 1931 г.</w:t>
      </w:r>
    </w:p>
    <w:p w14:paraId="70C7E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ЦК по натуральному каучуку</w:t>
      </w:r>
    </w:p>
    <w:p w14:paraId="40FAF2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конкурентоспособными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 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гваюла). </w:t>
      </w:r>
    </w:p>
    <w:p w14:paraId="763E52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Расширить производимую в данный момент организацию плантаций по тау-сагызу с тем, чтобы в течение 3-4 лет довести их площади минимум до 60-70 тыс. гектар с выходом сырья в 1935 году для 40-45 тыс. тонн каучука. 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 </w:t>
      </w:r>
    </w:p>
    <w:p w14:paraId="4FEF5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Организовать производство по добыче каучука из кендыря с полной утилизацией его листьев, что должно привести к производству до 10 000 тонн каучука. </w:t>
      </w:r>
    </w:p>
    <w:p w14:paraId="2AEFA5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Создать плантации по гваюле в тот же срок (3-4 года) в пределах 20 000-25 000 гектаров,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гваюлы. </w:t>
      </w:r>
    </w:p>
    <w:p w14:paraId="46AED9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Форсировать создание плантаций гуттаперчевого дерева с тем, чтобы в течение 5-летнего срока довести количество растений до 200 000 штук... </w:t>
      </w:r>
    </w:p>
    <w:p w14:paraId="3CD733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Вследствие того, что флора СССР на </w:t>
      </w:r>
      <w:proofErr w:type="spellStart"/>
      <w:r w:rsidRPr="007122AB">
        <w:rPr>
          <w:rFonts w:ascii="Times New Roman" w:hAnsi="Times New Roman"/>
          <w:color w:val="000000" w:themeColor="text1"/>
          <w:sz w:val="16"/>
          <w:szCs w:val="16"/>
        </w:rPr>
        <w:t>каучуконосность</w:t>
      </w:r>
      <w:proofErr w:type="spellEnd"/>
      <w:r w:rsidRPr="007122AB">
        <w:rPr>
          <w:rFonts w:ascii="Times New Roman" w:hAnsi="Times New Roman"/>
          <w:color w:val="000000" w:themeColor="text1"/>
          <w:sz w:val="16"/>
          <w:szCs w:val="16"/>
        </w:rPr>
        <w:t xml:space="preserve"> не изучена, что при ее исследовании возможны новые обнаружения эффективных каучуконосов, признать необходимым проведение в 1931-1932 гг. изучения растительности Союза... </w:t>
      </w:r>
    </w:p>
    <w:p w14:paraId="26E6B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(11652).</w:t>
      </w:r>
    </w:p>
    <w:p w14:paraId="7BFA556C" w14:textId="6FD842CA"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873C70" w14:textId="07B84B2E" w:rsidR="00B23E00" w:rsidRPr="007122AB" w:rsidRDefault="00B23E00"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6756B81C" w14:textId="77777777" w:rsidR="00B23E00" w:rsidRPr="007122AB" w:rsidRDefault="00B23E00"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22451144"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16 по 26 января 1931 года IX Всесоюзный съезд ВЛКСМ в своем обращении к бойцам, командирам и политработникам ВВС РККА, ко всем комсомольцам Советского Союза подчеркнул: «Грозовые тучи войны нависли над СССР. Как никогда оживилась деятельность мастеров кровавых дел – империалистов. Из-за изысканно-вежливых речей представителей буржуазной дипломатии раздается лязг стали, чувствуется запах пороха». Съезд обратил внимание на то, что грядущая война будет использовать невиданную технику истребления, что в свою очередь потребует высокий уровень подготовки бойцов. Лидеры комсомола продолжали придерживаться идеи мировой революции: «Мы вместе с партией и всем рабочим классом страны ответственны перед пролетариатом мира за оборону СССР и обязаны сделать ее центральной задачей своей работы». На комсомольском съезде было подчеркнуто значение </w:t>
      </w:r>
      <w:proofErr w:type="spellStart"/>
      <w:r w:rsidRPr="007122AB">
        <w:rPr>
          <w:rFonts w:ascii="Times New Roman" w:hAnsi="Times New Roman"/>
          <w:color w:val="000000" w:themeColor="text1"/>
          <w:sz w:val="16"/>
          <w:szCs w:val="16"/>
        </w:rPr>
        <w:t>Военновоздушных</w:t>
      </w:r>
      <w:proofErr w:type="spellEnd"/>
      <w:r w:rsidRPr="007122AB">
        <w:rPr>
          <w:rFonts w:ascii="Times New Roman" w:hAnsi="Times New Roman"/>
          <w:color w:val="000000" w:themeColor="text1"/>
          <w:sz w:val="16"/>
          <w:szCs w:val="16"/>
        </w:rPr>
        <w:t xml:space="preserve"> сил, в связи с чем ВЛКСМ взял шефство над силами авиации: «Комсомолец – на самолет! – вот наш боевой лозунг». Такое шефство предполагало организацию учебно-производственной работы по подготовке кадров будущих летчиков, политико-просветительную работу среди молодежи по укреплению дисциплины, идеологической устойчивости, более высокого уровня боеспособности личного состава Военно-воздушных сил (РГАСПИ. Ф.М – 6. Оп. 9. Д. 11. Л. 79) (21402).</w:t>
      </w:r>
    </w:p>
    <w:p w14:paraId="4EB4240F" w14:textId="77777777" w:rsidR="00B23E00" w:rsidRPr="007122AB" w:rsidRDefault="00B23E00" w:rsidP="007122AB">
      <w:pPr>
        <w:spacing w:after="0" w:line="240" w:lineRule="auto"/>
        <w:jc w:val="both"/>
        <w:rPr>
          <w:rFonts w:ascii="Times New Roman" w:hAnsi="Times New Roman"/>
          <w:color w:val="000000" w:themeColor="text1"/>
          <w:sz w:val="16"/>
          <w:szCs w:val="16"/>
        </w:rPr>
      </w:pPr>
    </w:p>
    <w:p w14:paraId="4DABFCE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A112C4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DBE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16 и 22 января 1931. Из протокола заседания Политбюро № 23, 1931 г.</w:t>
      </w:r>
    </w:p>
    <w:p w14:paraId="13701C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Доме советов </w:t>
      </w:r>
    </w:p>
    <w:p w14:paraId="4F07D7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Приступить к строительству Дома советов в этом (1931) году. </w:t>
      </w:r>
    </w:p>
    <w:p w14:paraId="7AD8E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Утвердить следующие размеры залов для заседаний: один зал на 20 тыс. чел., один зал на 5 тыс. чел., один зал на 3 тыс. чел., два зала на 500 чел. каждый (11652).</w:t>
      </w:r>
    </w:p>
    <w:p w14:paraId="6DD04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4E4A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16 и 22 января 1931. Из протокола заседания Политбюро № 23, 1931 г.</w:t>
      </w:r>
    </w:p>
    <w:p w14:paraId="7B7E6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Заявление т. Куйбышева о газетах "Правда" и "За индустриализацию"</w:t>
      </w:r>
    </w:p>
    <w:p w14:paraId="3BE6E2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Подтвердить прежнее постановление Политбюро о недопустимости сокращений или каких-либо изменений редакциями газет речей членов и кандидатов Политбюро и наркомов без согласования с ними (11652).</w:t>
      </w:r>
    </w:p>
    <w:p w14:paraId="238D3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7FCC6C" w14:textId="77777777" w:rsidR="00BC3DA3" w:rsidRPr="007122AB" w:rsidRDefault="00BC3DA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DD248E3" w14:textId="77777777" w:rsidR="00BC3DA3" w:rsidRPr="007122AB" w:rsidRDefault="00BC3DA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431DD6"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16 января 1931 г.</w:t>
      </w:r>
    </w:p>
    <w:p w14:paraId="04DC4767"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Ж. Л. Аренса В. Н. Баркову о подготовке выпуска стенограммы процесса «Промпартии» во Франции и контроле содержания предисловия к ней. 16 января 1931 г.</w:t>
      </w:r>
    </w:p>
    <w:p w14:paraId="11ABF7CA"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D4DAACC" w14:textId="77777777" w:rsidR="00BC3DA3" w:rsidRPr="007122AB" w:rsidRDefault="00BC3D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9E003D"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37C23D8" w14:textId="77777777" w:rsidR="00BC3DA3" w:rsidRPr="007122AB" w:rsidRDefault="00BC3D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7</w:t>
      </w:r>
    </w:p>
    <w:p w14:paraId="4C77B65D" w14:textId="77777777" w:rsidR="00BC3DA3" w:rsidRPr="007122AB" w:rsidRDefault="00BC3DA3" w:rsidP="007122AB">
      <w:pPr>
        <w:pStyle w:val="rteright"/>
        <w:spacing w:before="0" w:after="0"/>
        <w:jc w:val="both"/>
        <w:rPr>
          <w:color w:val="000000" w:themeColor="text1"/>
          <w:sz w:val="16"/>
          <w:szCs w:val="16"/>
        </w:rPr>
      </w:pPr>
      <w:r w:rsidRPr="007122AB">
        <w:rPr>
          <w:color w:val="000000" w:themeColor="text1"/>
          <w:sz w:val="16"/>
          <w:szCs w:val="16"/>
        </w:rPr>
        <w:t>16 января 1931 г.</w:t>
      </w:r>
    </w:p>
    <w:p w14:paraId="279BDDA9" w14:textId="77777777" w:rsidR="00BC3DA3" w:rsidRPr="007122AB" w:rsidRDefault="00BC3DA3"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21936800"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2F09860B"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16.1.1931 г.</w:t>
      </w:r>
    </w:p>
    <w:p w14:paraId="1B6816C2"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 27026</w:t>
      </w:r>
    </w:p>
    <w:p w14:paraId="033DE440"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Тов. Баркову</w:t>
      </w:r>
    </w:p>
    <w:p w14:paraId="786A2192"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lastRenderedPageBreak/>
        <w:t>Париж</w:t>
      </w:r>
    </w:p>
    <w:p w14:paraId="1A96D255"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 xml:space="preserve">В моем письме от 6-го января с. г. я просил Вас выяснить в разговорах с Домиником и Валуа характер предисловия, которым они собираются снабдить издание стенографических отчетов процесса Промпартии. Вполне понятно, что если эти предисловия будут обесценивать стенограмму и содержать резкие выпады против нас вообще и процесса в частности, тогда мы не можем поручить им издания. В этом случае необходимо будет сговориться с </w:t>
      </w:r>
      <w:proofErr w:type="spellStart"/>
      <w:r w:rsidRPr="007122AB">
        <w:rPr>
          <w:color w:val="000000" w:themeColor="text1"/>
          <w:sz w:val="16"/>
          <w:szCs w:val="16"/>
        </w:rPr>
        <w:t>Ривиер</w:t>
      </w:r>
      <w:proofErr w:type="spellEnd"/>
      <w:r w:rsidRPr="007122AB">
        <w:rPr>
          <w:color w:val="000000" w:themeColor="text1"/>
          <w:sz w:val="16"/>
          <w:szCs w:val="16"/>
        </w:rPr>
        <w:t>: причем желательно было бы, чтобы предисловие, согласованное с нами, было написано Мартелем. Ждем Вашего ответа, чтобы окончательно решить вопрос об издателе.</w:t>
      </w:r>
    </w:p>
    <w:p w14:paraId="270FCDD6"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Приступили ли Вы к переводу стенограмм на французский язык? Сколько это будет стоить? Разрешите напомнить Вам, что во всех разговорах по поводу издания стенограмм процесса необходимо избегать непосредственного контакта полпредства с издателем.</w:t>
      </w:r>
    </w:p>
    <w:p w14:paraId="2458651C"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(Аренс)</w:t>
      </w:r>
    </w:p>
    <w:p w14:paraId="6E2B98E5" w14:textId="77777777" w:rsidR="00BC3DA3" w:rsidRPr="007122AB" w:rsidRDefault="00BC3DA3"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7. Машинописная копия того времени. Исходящий номер документа написан от руки. Гриф секретности машинописью. Внизу слева делопроизводственная помета машинописью (столбцом) «4 экз. 1 -т. Баркову, 1 — т. Литвинову, 1 — т. Крестинскому, 1 — архив» (18828).</w:t>
      </w:r>
    </w:p>
    <w:p w14:paraId="19956C19" w14:textId="77777777" w:rsidR="00BC3DA3" w:rsidRPr="007122AB" w:rsidRDefault="00BC3DA3" w:rsidP="007122AB">
      <w:pPr>
        <w:spacing w:after="0" w:line="240" w:lineRule="auto"/>
        <w:jc w:val="both"/>
        <w:rPr>
          <w:rFonts w:ascii="Times New Roman" w:hAnsi="Times New Roman"/>
          <w:color w:val="000000" w:themeColor="text1"/>
          <w:sz w:val="16"/>
          <w:szCs w:val="16"/>
        </w:rPr>
      </w:pPr>
    </w:p>
    <w:p w14:paraId="1460CBEF"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16 января 1931 г.</w:t>
      </w:r>
    </w:p>
    <w:p w14:paraId="607C42EC"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Б. Д. Виноградова Н. Н. Крестинскому об организации публичного обсуждения «дела “Промпартии”» в городах Германии. 16 января 1931 г.</w:t>
      </w:r>
    </w:p>
    <w:p w14:paraId="1A20534B"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5282BE0" w14:textId="77777777" w:rsidR="00BC3DA3" w:rsidRPr="007122AB" w:rsidRDefault="00BC3D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282317" w14:textId="77777777" w:rsidR="00BC3DA3" w:rsidRPr="007122AB" w:rsidRDefault="00BC3DA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BD706B8" w14:textId="77777777" w:rsidR="00BC3DA3" w:rsidRPr="007122AB" w:rsidRDefault="00BC3D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33. Д. 8. Л. 61-62</w:t>
      </w:r>
    </w:p>
    <w:p w14:paraId="532980C2" w14:textId="77777777" w:rsidR="00BC3DA3" w:rsidRPr="007122AB" w:rsidRDefault="00BC3DA3" w:rsidP="007122AB">
      <w:pPr>
        <w:pStyle w:val="rteright"/>
        <w:spacing w:before="0" w:after="0"/>
        <w:jc w:val="both"/>
        <w:rPr>
          <w:color w:val="000000" w:themeColor="text1"/>
          <w:sz w:val="16"/>
          <w:szCs w:val="16"/>
        </w:rPr>
      </w:pPr>
      <w:r w:rsidRPr="007122AB">
        <w:rPr>
          <w:color w:val="000000" w:themeColor="text1"/>
          <w:sz w:val="16"/>
          <w:szCs w:val="16"/>
        </w:rPr>
        <w:t>16 января 1931 г.</w:t>
      </w:r>
    </w:p>
    <w:p w14:paraId="7A3D69FD" w14:textId="77777777" w:rsidR="00BC3DA3" w:rsidRPr="007122AB" w:rsidRDefault="00BC3DA3"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2118151C"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Н.К.И.Д.</w:t>
      </w:r>
    </w:p>
    <w:p w14:paraId="33EE92F0"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тов. Крестинскому</w:t>
      </w:r>
    </w:p>
    <w:p w14:paraId="6287CAC4"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копии: т. Литвинову</w:t>
      </w:r>
    </w:p>
    <w:p w14:paraId="0E7AA948"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 xml:space="preserve">2-й </w:t>
      </w:r>
      <w:proofErr w:type="spellStart"/>
      <w:r w:rsidRPr="007122AB">
        <w:rPr>
          <w:color w:val="000000" w:themeColor="text1"/>
          <w:sz w:val="16"/>
          <w:szCs w:val="16"/>
        </w:rPr>
        <w:t>Зап</w:t>
      </w:r>
      <w:proofErr w:type="spellEnd"/>
      <w:r w:rsidRPr="007122AB">
        <w:rPr>
          <w:color w:val="000000" w:themeColor="text1"/>
          <w:sz w:val="16"/>
          <w:szCs w:val="16"/>
        </w:rPr>
        <w:t>[</w:t>
      </w:r>
      <w:proofErr w:type="spellStart"/>
      <w:r w:rsidRPr="007122AB">
        <w:rPr>
          <w:color w:val="000000" w:themeColor="text1"/>
          <w:sz w:val="16"/>
          <w:szCs w:val="16"/>
        </w:rPr>
        <w:t>адный</w:t>
      </w:r>
      <w:proofErr w:type="spellEnd"/>
      <w:r w:rsidRPr="007122AB">
        <w:rPr>
          <w:color w:val="000000" w:themeColor="text1"/>
          <w:sz w:val="16"/>
          <w:szCs w:val="16"/>
        </w:rPr>
        <w:t>] Отдел</w:t>
      </w:r>
    </w:p>
    <w:p w14:paraId="12BCEE19"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Отдел Печати БОКС.</w:t>
      </w:r>
    </w:p>
    <w:p w14:paraId="7506FEBC" w14:textId="77777777" w:rsidR="00BC3DA3" w:rsidRPr="007122AB" w:rsidRDefault="00BC3DA3" w:rsidP="007122AB">
      <w:pPr>
        <w:pStyle w:val="ae"/>
        <w:spacing w:before="0" w:after="0"/>
        <w:jc w:val="both"/>
        <w:rPr>
          <w:color w:val="000000" w:themeColor="text1"/>
          <w:sz w:val="16"/>
          <w:szCs w:val="16"/>
        </w:rPr>
      </w:pPr>
      <w:r w:rsidRPr="007122AB">
        <w:rPr>
          <w:color w:val="000000" w:themeColor="text1"/>
          <w:sz w:val="16"/>
          <w:szCs w:val="16"/>
        </w:rPr>
        <w:t>Многоуважаемый Николай Николаевич,</w:t>
      </w:r>
    </w:p>
    <w:p w14:paraId="28676158"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Собрания ОДНР, посвященные процессу «Промпартии», организуются именно в том порядке, о котором я Вам уже писал и который Вы одобрили. Первое собрание после Берлина было созвано в Гамбурге; о нем Вы уже наверное читали на страницах «Известий». Докладчиками были проф. Альфонс Гольдшмидт и коммунистический депутат Рейхстага адвокат Левенталь. На собрании было свыше 1000 человек и оно прошло с большим подъемом. В ближайшее время будет созвано собрание в Кенигсберге.</w:t>
      </w:r>
    </w:p>
    <w:p w14:paraId="210E27F1"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 xml:space="preserve">С Мюнхеном дело обстоит так. С самого начала, устройство собрания в Мюнхене наталкивалось на всяческие препятствия. Меня предупреждали, что подобное собрание в Мюнхене едва ли будет разрешено. Тем не менее, я продолжал попытки продвинуть это дело, с тем чтобы выявить официальное отношение баварских властей к ОДНР и к устройству им таких злободневных собраний. Наконец сегодня я получил сведения о том, что доклад о </w:t>
      </w:r>
      <w:proofErr w:type="spellStart"/>
      <w:r w:rsidRPr="007122AB">
        <w:rPr>
          <w:color w:val="000000" w:themeColor="text1"/>
          <w:sz w:val="16"/>
          <w:szCs w:val="16"/>
        </w:rPr>
        <w:t>рамзинском</w:t>
      </w:r>
      <w:proofErr w:type="spellEnd"/>
      <w:r w:rsidRPr="007122AB">
        <w:rPr>
          <w:color w:val="000000" w:themeColor="text1"/>
          <w:sz w:val="16"/>
          <w:szCs w:val="16"/>
        </w:rPr>
        <w:t xml:space="preserve"> процессе в Мюнхене официально запрещен. В других областях Германии, например Тюрингии, положение ОДНР еще более затруднительно, чем в Мюнхене. Фашистская полиция и Мин[</w:t>
      </w:r>
      <w:proofErr w:type="spellStart"/>
      <w:r w:rsidRPr="007122AB">
        <w:rPr>
          <w:color w:val="000000" w:themeColor="text1"/>
          <w:sz w:val="16"/>
          <w:szCs w:val="16"/>
        </w:rPr>
        <w:t>истерст</w:t>
      </w:r>
      <w:proofErr w:type="spellEnd"/>
      <w:r w:rsidRPr="007122AB">
        <w:rPr>
          <w:color w:val="000000" w:themeColor="text1"/>
          <w:sz w:val="16"/>
          <w:szCs w:val="16"/>
        </w:rPr>
        <w:t>]во Народного просвещения так преследуют ОДНР, что принадлежность к нему грозит для служащего или профессора всяческими репрессиями и даже увольнениями. Несмотря на запрещение доклада о процессе в Мюнхене, я все-таки буду продолжать пытаться организовать там выступление друзей. По[-]видимому, придется просить разрешение для доклада не о процессе &lt;«Промпартии»&gt;, а, например, о пятилетием плане, хотя ручаться за получение полицейского разрешения и в данном случае нельзя.</w:t>
      </w:r>
    </w:p>
    <w:p w14:paraId="371EFA27"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3A6F8D73"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(Виноградов)</w:t>
      </w:r>
    </w:p>
    <w:p w14:paraId="6492421A" w14:textId="77777777" w:rsidR="00BC3DA3" w:rsidRPr="007122AB" w:rsidRDefault="00BC3DA3" w:rsidP="007122AB">
      <w:pPr>
        <w:pStyle w:val="rtejustify"/>
        <w:spacing w:before="0" w:after="0"/>
        <w:rPr>
          <w:color w:val="000000" w:themeColor="text1"/>
          <w:sz w:val="16"/>
          <w:szCs w:val="16"/>
        </w:rPr>
      </w:pPr>
      <w:r w:rsidRPr="007122AB">
        <w:rPr>
          <w:color w:val="000000" w:themeColor="text1"/>
          <w:sz w:val="16"/>
          <w:szCs w:val="16"/>
        </w:rPr>
        <w:t>П. С. 12-го января в Берлине состоялось собрание, посвященное процессу, созванное Интернациональным Юридическим Объединением. Докладчиком был проф. Галле. Присутствовало около 300 человек. Для устройства этого собрания мы отпустили Юридическому Объединению небольшую сумму из специальных ассигнований.</w:t>
      </w:r>
    </w:p>
    <w:p w14:paraId="59FECAAB" w14:textId="77777777" w:rsidR="00BC3DA3" w:rsidRPr="007122AB" w:rsidRDefault="00BC3DA3" w:rsidP="007122AB">
      <w:pPr>
        <w:pStyle w:val="ae"/>
        <w:spacing w:before="0" w:after="0"/>
        <w:jc w:val="both"/>
        <w:rPr>
          <w:color w:val="000000" w:themeColor="text1"/>
          <w:sz w:val="16"/>
          <w:szCs w:val="16"/>
          <w:lang w:val="en-US"/>
        </w:rPr>
      </w:pPr>
      <w:r w:rsidRPr="007122AB">
        <w:rPr>
          <w:color w:val="000000" w:themeColor="text1"/>
          <w:sz w:val="16"/>
          <w:szCs w:val="16"/>
        </w:rPr>
        <w:t>В</w:t>
      </w:r>
      <w:r w:rsidRPr="007122AB">
        <w:rPr>
          <w:color w:val="000000" w:themeColor="text1"/>
          <w:sz w:val="16"/>
          <w:szCs w:val="16"/>
          <w:lang w:val="en-US"/>
        </w:rPr>
        <w:t>.</w:t>
      </w:r>
    </w:p>
    <w:p w14:paraId="1EB1D931" w14:textId="77777777" w:rsidR="00BC3DA3" w:rsidRPr="007122AB" w:rsidRDefault="00BC3DA3" w:rsidP="007122AB">
      <w:pPr>
        <w:pStyle w:val="ae"/>
        <w:spacing w:before="0" w:after="0"/>
        <w:jc w:val="both"/>
        <w:rPr>
          <w:color w:val="000000" w:themeColor="text1"/>
          <w:sz w:val="16"/>
          <w:szCs w:val="16"/>
        </w:rPr>
      </w:pPr>
      <w:r w:rsidRPr="007122AB">
        <w:rPr>
          <w:rStyle w:val="af0"/>
          <w:i w:val="0"/>
          <w:color w:val="000000" w:themeColor="text1"/>
          <w:sz w:val="16"/>
          <w:szCs w:val="16"/>
        </w:rPr>
        <w:t>АВП</w:t>
      </w:r>
      <w:r w:rsidRPr="007122AB">
        <w:rPr>
          <w:rStyle w:val="af0"/>
          <w:i w:val="0"/>
          <w:color w:val="000000" w:themeColor="text1"/>
          <w:sz w:val="16"/>
          <w:szCs w:val="16"/>
          <w:lang w:val="en-US"/>
        </w:rPr>
        <w:t xml:space="preserve"> </w:t>
      </w:r>
      <w:r w:rsidRPr="007122AB">
        <w:rPr>
          <w:rStyle w:val="af0"/>
          <w:i w:val="0"/>
          <w:color w:val="000000" w:themeColor="text1"/>
          <w:sz w:val="16"/>
          <w:szCs w:val="16"/>
        </w:rPr>
        <w:t>РФ</w:t>
      </w:r>
      <w:r w:rsidRPr="007122AB">
        <w:rPr>
          <w:rStyle w:val="af0"/>
          <w:i w:val="0"/>
          <w:color w:val="000000" w:themeColor="text1"/>
          <w:sz w:val="16"/>
          <w:szCs w:val="16"/>
          <w:lang w:val="en-US"/>
        </w:rPr>
        <w:t xml:space="preserve">. </w:t>
      </w:r>
      <w:r w:rsidRPr="007122AB">
        <w:rPr>
          <w:rStyle w:val="af0"/>
          <w:i w:val="0"/>
          <w:color w:val="000000" w:themeColor="text1"/>
          <w:sz w:val="16"/>
          <w:szCs w:val="16"/>
        </w:rPr>
        <w:t>Ф</w:t>
      </w:r>
      <w:r w:rsidRPr="007122AB">
        <w:rPr>
          <w:rStyle w:val="af0"/>
          <w:i w:val="0"/>
          <w:color w:val="000000" w:themeColor="text1"/>
          <w:sz w:val="16"/>
          <w:szCs w:val="16"/>
          <w:lang w:val="en-US"/>
        </w:rPr>
        <w:t xml:space="preserve">. 056. On. 16. </w:t>
      </w:r>
      <w:r w:rsidRPr="007122AB">
        <w:rPr>
          <w:rStyle w:val="af0"/>
          <w:i w:val="0"/>
          <w:color w:val="000000" w:themeColor="text1"/>
          <w:sz w:val="16"/>
          <w:szCs w:val="16"/>
        </w:rPr>
        <w:t>П</w:t>
      </w:r>
      <w:r w:rsidRPr="007122AB">
        <w:rPr>
          <w:rStyle w:val="af0"/>
          <w:i w:val="0"/>
          <w:color w:val="000000" w:themeColor="text1"/>
          <w:sz w:val="16"/>
          <w:szCs w:val="16"/>
          <w:lang w:val="en-US"/>
        </w:rPr>
        <w:t xml:space="preserve">. 33. </w:t>
      </w:r>
      <w:r w:rsidRPr="007122AB">
        <w:rPr>
          <w:rStyle w:val="af0"/>
          <w:i w:val="0"/>
          <w:color w:val="000000" w:themeColor="text1"/>
          <w:sz w:val="16"/>
          <w:szCs w:val="16"/>
        </w:rPr>
        <w:t>Д. 8. Л. 61-62. Машинописная копия того времени. Гриф секретности и дата машинописью, исходящий «№ 115» от руки (Л. 61). Вверху Л. 61 написаны от руки входящий номер и дата получения документа «19/1-31 год», подпись-росчерк Миронова. В адресе (копии) подчеркнуто карандашом «Отдел печати» (18895).</w:t>
      </w:r>
    </w:p>
    <w:p w14:paraId="27E5E2D3" w14:textId="77777777" w:rsidR="00BC3DA3" w:rsidRPr="007122AB" w:rsidRDefault="00BC3DA3" w:rsidP="007122AB">
      <w:pPr>
        <w:spacing w:after="0" w:line="240" w:lineRule="auto"/>
        <w:jc w:val="both"/>
        <w:rPr>
          <w:rFonts w:ascii="Times New Roman" w:hAnsi="Times New Roman"/>
          <w:color w:val="000000" w:themeColor="text1"/>
          <w:sz w:val="16"/>
          <w:szCs w:val="16"/>
        </w:rPr>
      </w:pPr>
    </w:p>
    <w:p w14:paraId="393B9112" w14:textId="77777777" w:rsidR="0090798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391FE7" w14:textId="77777777" w:rsidR="0090798C" w:rsidRPr="007122AB" w:rsidRDefault="0090798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89BBE1" w14:textId="77777777" w:rsidR="0090798C" w:rsidRPr="007122AB" w:rsidRDefault="0090798C"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января 1931 года был предъявлен на гос. испытания мотор М-15. Прошел неудовлетворительно (6918).</w:t>
      </w:r>
    </w:p>
    <w:p w14:paraId="65F99435" w14:textId="77777777" w:rsidR="0090798C" w:rsidRPr="007122AB" w:rsidRDefault="0090798C"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B79D8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92424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9673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января 1931 г., ко</w:t>
      </w:r>
      <w:r w:rsidRPr="007122AB">
        <w:rPr>
          <w:rFonts w:ascii="Times New Roman" w:hAnsi="Times New Roman"/>
          <w:color w:val="000000" w:themeColor="text1"/>
          <w:sz w:val="16"/>
          <w:szCs w:val="16"/>
        </w:rPr>
        <w:softHyphen/>
        <w:t>миссия (заседание которой проходило уже под председа</w:t>
      </w:r>
      <w:r w:rsidRPr="007122AB">
        <w:rPr>
          <w:rFonts w:ascii="Times New Roman" w:hAnsi="Times New Roman"/>
          <w:color w:val="000000" w:themeColor="text1"/>
          <w:sz w:val="16"/>
          <w:szCs w:val="16"/>
        </w:rPr>
        <w:softHyphen/>
        <w:t>тельством Лебедева) выдала два технических задания на проведение работ по новому танку сопровождения РККА с использованием удачных технических решений танка В-26.</w:t>
      </w:r>
    </w:p>
    <w:p w14:paraId="48DE3E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конструкторская группа С. Гинзбурга (в составе трех человек) принялась реализовывать в проекте танк-гибрид, получивший название «Т'-19 улучшенный», к кото</w:t>
      </w:r>
      <w:r w:rsidRPr="007122AB">
        <w:rPr>
          <w:rFonts w:ascii="Times New Roman" w:hAnsi="Times New Roman"/>
          <w:color w:val="000000" w:themeColor="text1"/>
          <w:sz w:val="16"/>
          <w:szCs w:val="16"/>
        </w:rPr>
        <w:softHyphen/>
        <w:t>рому было более предпочтительное отношение. Академия ВАММ принялась за разработку «Танка М.М.» с двигателем «Геркулес», левым расположением водителя и третьей огневой точкой в корпусе (поскольку этот проект курировал лично М. Тухачевский, возможно, что именно с его подачи в танк была добавлена еще одна огневая точка) (10733,169).</w:t>
      </w:r>
    </w:p>
    <w:p w14:paraId="110527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97F2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6205F6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F8B0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января 1931 обвиненный ранее в заговоре бывший член ЦК ВКП(б) М. Рютин освобожден и восстановлен в партии (4962).</w:t>
      </w:r>
    </w:p>
    <w:p w14:paraId="399941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29B26" w14:textId="77777777" w:rsidR="00CB1153" w:rsidRPr="007122AB" w:rsidRDefault="00CB1153"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17 января</w:t>
      </w:r>
      <w:r w:rsidRPr="007122AB">
        <w:rPr>
          <w:rFonts w:ascii="Times New Roman" w:hAnsi="Times New Roman"/>
          <w:color w:val="000000" w:themeColor="text1"/>
          <w:sz w:val="16"/>
          <w:szCs w:val="16"/>
        </w:rPr>
        <w:t xml:space="preserve"> в 1931 году обвиненный ранее в заговоре бывший член ЦК ВКП(б) </w:t>
      </w:r>
      <w:proofErr w:type="spellStart"/>
      <w:r w:rsidRPr="007122AB">
        <w:rPr>
          <w:rFonts w:ascii="Times New Roman" w:hAnsi="Times New Roman"/>
          <w:color w:val="000000" w:themeColor="text1"/>
          <w:sz w:val="16"/>
          <w:szCs w:val="16"/>
        </w:rPr>
        <w:t>Мартемьян</w:t>
      </w:r>
      <w:proofErr w:type="spellEnd"/>
      <w:r w:rsidRPr="007122AB">
        <w:rPr>
          <w:rFonts w:ascii="Times New Roman" w:hAnsi="Times New Roman"/>
          <w:color w:val="000000" w:themeColor="text1"/>
          <w:sz w:val="16"/>
          <w:szCs w:val="16"/>
        </w:rPr>
        <w:t xml:space="preserve"> Рютин освобожден и восстановлен в партии. Но надо полагать ненадолго. В рукописном обращении «Ко всем членам Всесоюзной Коммунистической партии (большевиков) (ВКБ(б))» он обвинил И.В. Сталина в извращении ленинизма, узурпации власти. Через некоторое время вновь был арестован, а затем расстрелян. Реабилитирован посмертно (15012).</w:t>
      </w:r>
    </w:p>
    <w:p w14:paraId="12B6DDDE" w14:textId="77777777" w:rsidR="00CB1153" w:rsidRPr="007122AB" w:rsidRDefault="00CB1153" w:rsidP="007122AB">
      <w:pPr>
        <w:spacing w:after="0" w:line="240" w:lineRule="auto"/>
        <w:jc w:val="both"/>
        <w:rPr>
          <w:rFonts w:ascii="Times New Roman" w:hAnsi="Times New Roman"/>
          <w:color w:val="000000" w:themeColor="text1"/>
          <w:sz w:val="16"/>
          <w:szCs w:val="16"/>
        </w:rPr>
      </w:pPr>
    </w:p>
    <w:p w14:paraId="0C6A580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17-24 января 1931 г.</w:t>
      </w:r>
    </w:p>
    <w:p w14:paraId="66C0D2B9"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Показания В. А. </w:t>
      </w:r>
      <w:proofErr w:type="spellStart"/>
      <w:r w:rsidRPr="007122AB">
        <w:rPr>
          <w:rFonts w:ascii="Times New Roman" w:hAnsi="Times New Roman"/>
          <w:color w:val="000000" w:themeColor="text1"/>
          <w:sz w:val="16"/>
          <w:szCs w:val="16"/>
        </w:rPr>
        <w:t>Гассельблата</w:t>
      </w:r>
      <w:proofErr w:type="spellEnd"/>
      <w:r w:rsidRPr="007122AB">
        <w:rPr>
          <w:rFonts w:ascii="Times New Roman" w:hAnsi="Times New Roman"/>
          <w:color w:val="000000" w:themeColor="text1"/>
          <w:sz w:val="16"/>
          <w:szCs w:val="16"/>
        </w:rPr>
        <w:t xml:space="preserve"> о «вредительстве» в области проектирования и строительства «металлургических и металлообрабатывающих заводов». 17-24 января 1931 г.</w:t>
      </w:r>
    </w:p>
    <w:p w14:paraId="0E60E18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35B95F4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388C8B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17-24 января 1931 г.</w:t>
      </w:r>
    </w:p>
    <w:p w14:paraId="5189B90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2B8B13A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ДОПРОСА</w:t>
      </w:r>
    </w:p>
    <w:p w14:paraId="117D178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главного инженера Магнитостроя</w:t>
      </w:r>
    </w:p>
    <w:p w14:paraId="06FB67B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ГАССЕЛЬБЛАТА Виталия Алексеевича</w:t>
      </w:r>
    </w:p>
    <w:p w14:paraId="75C58AC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17,18,23-24 января 1931 г.</w:t>
      </w:r>
    </w:p>
    <w:p w14:paraId="3669C4D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Прежде чем перейти к вопросу о вредительстве при проектировании и подготовке к строительству новых металлургических и металлообрабатывающих заводов необходимо вкратце остановиться на той обстановке и атмосфере, которая создалась и окружала специалистов, работающих в области металлической промышленности к 1925 году, т. е. к моменту, когда провозглашен был лозунг индустриализации СССР.</w:t>
      </w:r>
    </w:p>
    <w:p w14:paraId="12B1502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После гражданской войны, к началу нэпа, из крупных старых работников металлической промышленности (металлургической и металлообрабатывающей) остались следующие лица:</w:t>
      </w:r>
    </w:p>
    <w:p w14:paraId="375C150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Ленинграду: А. И. БЕЛОНОЖКИН и А. А. БАЧМАНОВ, по Югу:</w:t>
      </w:r>
    </w:p>
    <w:p w14:paraId="629E630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А. СВИЦЫН, И. П. БАРДИН, В. И. ГУЛЫГА, по Уралу: В. А. ГАССЕЛЬБЛАТ, П. М. ВАВИЛОВ, В. П. КРАПИВИН, Б. С. ДУНАЕВ, П. В. ГОНЧАРОВ (до [19]22 года последний был в Сибири на Абаканском заводе).</w:t>
      </w:r>
    </w:p>
    <w:p w14:paraId="714944E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центру: С. А. ХРЕННИКОВ, В. И. ЖДАНОВ, Б. Н. ДОБРОВОЛЬСКИЙ, Н. М. КУТСКИЙ, А. А. МИЛЮКОВ, ВЕЛИКОРЕЦКИЙ (работники </w:t>
      </w:r>
      <w:proofErr w:type="spellStart"/>
      <w:r w:rsidRPr="007122AB">
        <w:rPr>
          <w:rFonts w:ascii="Times New Roman" w:hAnsi="Times New Roman"/>
          <w:color w:val="000000" w:themeColor="text1"/>
          <w:sz w:val="16"/>
          <w:szCs w:val="16"/>
        </w:rPr>
        <w:t>Главметалла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А. КАЛИННИКОВ, Е. А. ТАУБЕ, Р. Я. ГАРТВАН, И. И. ФЕДОРОВИЧ (работники Госплана).</w:t>
      </w:r>
    </w:p>
    <w:p w14:paraId="22E5317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профессуры, которая работала в качестве консультантов и обслуживала металлическую промышленность: по Уралу проф. И. А. СОКОЛОВ, МАКОВЕЦКИЙ; по Югу проф. РУБИН; по Ленинграду проф. М. А. ПАВЛОВ, В. Н. ЛИПИН, Н. П. АСЕЕВ, проф. Т. А. ОБОЛД[З]ЕВ, проф. БАБОШИН, проф. БАЙКОВ; по центру проф. ЧАРНОВСКИЙ, проф. В. Е. ГРУМ-ГРЖИМАЙЛО (с 1923 г. переехал с Урала). Все эти лица при встречах с отдельными лицами и в группах высказывали не только неверие в советскую систему промышленности, но и строили свою работу во вред этой системы. Некоторые проводили линию «академизма», т. е. принципиально не хотели увязывать технику с жизнью заводов и предприятий (проф. ГРУМ-ГРЖИМАЙЛО, ПАВЛОВ, ЛИПИН, ЧАРНОВСКИЙ), другие работали в направлении дезорганизации планирования (работники Госплана ХРЕННИКОВ (до 1924 г.), КАЛИННИКОВ, ТАУБЕ, ГАРТВАН, ФЕДОРОВИЧ), не увязывая отдельных отраслей металлургического хозяйства (топливо, сырье, металл, его производство и потребление). Все перспективные наметки (даже годовые программы), поступавшие с мест, в Госплане деловой критике и серьезному анализу не подвергались. В объединяющем центре металлической промышленности в ВСНХ, куда съезжались работники [с] мест и привозили в большей части материалы дефективного порядка, не только не увязанные с другими отраслями промышленности, но часто составленные под углом зрения защиты интересов старых хозяев, работа протекала хаотически и имела для промышленности вредительский характер. Работники центра, мною вышеперечисленные, давали установки, что не надо вводить новых производств на предприятиях, не надо расширять производства на заводах, так как это послужит усилению советской власти, которую никто не признает.</w:t>
      </w:r>
    </w:p>
    <w:p w14:paraId="4DA6F965"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Эта идеология охватывала всех и связывала. В 1921 году состоялся в Москве первый съезд научных работников по металлургии. На этом съезде в кулуарах все участвующие вели разговоры и пропаганду, что Советская власть не долговечна, что система управления гнилая, что инженер не должен принимать участия в практической жизни страны.</w:t>
      </w:r>
    </w:p>
    <w:p w14:paraId="19BA71C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Характерно, что на съезде ни один из практических вопросов по металлу (производственные программы, новые производства, районирование металлургической промышленности, в частности Урало-Сибирская проблема) не был поставлен.</w:t>
      </w:r>
    </w:p>
    <w:p w14:paraId="20AADFB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1922 и 1923 году специалисты-металлурги встречались главным образом в Госплане и в </w:t>
      </w:r>
      <w:proofErr w:type="spellStart"/>
      <w:r w:rsidRPr="007122AB">
        <w:rPr>
          <w:rFonts w:ascii="Times New Roman" w:hAnsi="Times New Roman"/>
          <w:color w:val="000000" w:themeColor="text1"/>
          <w:sz w:val="16"/>
          <w:szCs w:val="16"/>
        </w:rPr>
        <w:t>Главметалле</w:t>
      </w:r>
      <w:proofErr w:type="spellEnd"/>
      <w:r w:rsidRPr="007122AB">
        <w:rPr>
          <w:rFonts w:ascii="Times New Roman" w:hAnsi="Times New Roman"/>
          <w:color w:val="000000" w:themeColor="text1"/>
          <w:sz w:val="16"/>
          <w:szCs w:val="16"/>
        </w:rPr>
        <w:t xml:space="preserve"> (отделе металла), где исповедовалась и проводилась та же идеология. В Техническом Совете отдела Металла, который возглавлял Р. Я. ГАРТВАН и держал связь между Госпланом и ВСНХ по линии металла, ставились, обычно, вопросы теоретического порядка[,] и все считали, что этот Технический Совет создан в лучшем случае для получения </w:t>
      </w:r>
      <w:proofErr w:type="spellStart"/>
      <w:r w:rsidRPr="007122AB">
        <w:rPr>
          <w:rFonts w:ascii="Times New Roman" w:hAnsi="Times New Roman"/>
          <w:color w:val="000000" w:themeColor="text1"/>
          <w:sz w:val="16"/>
          <w:szCs w:val="16"/>
        </w:rPr>
        <w:t>пожетонных</w:t>
      </w:r>
      <w:proofErr w:type="spellEnd"/>
      <w:r w:rsidRPr="007122AB">
        <w:rPr>
          <w:rFonts w:ascii="Times New Roman" w:hAnsi="Times New Roman"/>
          <w:color w:val="000000" w:themeColor="text1"/>
          <w:sz w:val="16"/>
          <w:szCs w:val="16"/>
        </w:rPr>
        <w:t xml:space="preserve"> или, как тогда говорили, для </w:t>
      </w:r>
      <w:proofErr w:type="spellStart"/>
      <w:r w:rsidRPr="007122AB">
        <w:rPr>
          <w:rFonts w:ascii="Times New Roman" w:hAnsi="Times New Roman"/>
          <w:color w:val="000000" w:themeColor="text1"/>
          <w:sz w:val="16"/>
          <w:szCs w:val="16"/>
        </w:rPr>
        <w:t>подкармливания</w:t>
      </w:r>
      <w:proofErr w:type="spellEnd"/>
      <w:r w:rsidRPr="007122AB">
        <w:rPr>
          <w:rFonts w:ascii="Times New Roman" w:hAnsi="Times New Roman"/>
          <w:color w:val="000000" w:themeColor="text1"/>
          <w:sz w:val="16"/>
          <w:szCs w:val="16"/>
        </w:rPr>
        <w:t xml:space="preserve"> специалистов.</w:t>
      </w:r>
    </w:p>
    <w:p w14:paraId="5654565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В. И. ЖДАНОВА и затем у С. А. ХРЕННИКОВА (после перехода его из Госплана) перед началом бесчисленных заседаний, а также после них велись беседы с приезжающими с мест на тему, что с металлом Советской власти не справиться, да и не надо этого делать, так как власть не прочна.</w:t>
      </w:r>
    </w:p>
    <w:p w14:paraId="7C80A3D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1923 г. при различных встречах и разговорах учитывался и обсуждался «троцкизм», связывая партийные разногласия с возможностью скорого падения Советской власти. Болезнь, затем смерть В. И. Ленина в начале 1924 г. также были предметом постоянного обмена мнений на тему того, что скоро можно ожидать «провала большевиков».</w:t>
      </w:r>
    </w:p>
    <w:p w14:paraId="6E1B3CD5"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1924 г. в мае состоялся второй съезд научных работников по металлургии. Съезд происходил в Ленинграде. На съезде также не было поставлено ни одного практического вопроса, связанного с металлическими перспективами.</w:t>
      </w:r>
    </w:p>
    <w:p w14:paraId="25F9B8C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Президиум съезда (ГРУМ-ГРЖИМАЙЛО) определенно высказывался, что это дело не металлургов, не ученых, пусть большевики этим занимаются. На банкете (на Красном Выборжце) после официальной части отдельные группы обсуждали вопросы на политические темы, о предстоящем металлическом голоде, указывая, что Советская власть не поднимет этого дела. Те же разговоры велись и в клубе ВАИ, где вечер был устроен А. И. БЕЛОНОЖКИНЫМ. Летом 1924 г., будучи в Москве (июль), я был приглашен А. А. БАЧМАНОВЫМ на обед по случаю ухода из Госплана С. А. ХРЕННИКОВА. Обед состоялся за городом (Останкино), где присутствовали ХРЕННИКОВ, ГАРТВАН, ТАУБЕ, ФЕДОРОВИЧ, проф. И. Г. АЛЕКСАНДРОВ, КАЛИННИКОВ, РАБИНОВИЧ, БАЧМАНОВ, ШЕЙН. Всего участвовало человек 15. Других работников Госплана я не помню. Кроме приветственных речей по адресу С. А. ХРЕННИКОВА на тему о том, как много он сделал для Госплана, перешли на политические разговоры: все хозяйство страны строится бессистемно, от случая к случаю, отдельные отрасли промышленности развиваются не </w:t>
      </w:r>
      <w:proofErr w:type="spellStart"/>
      <w:r w:rsidRPr="007122AB">
        <w:rPr>
          <w:rFonts w:ascii="Times New Roman" w:hAnsi="Times New Roman"/>
          <w:color w:val="000000" w:themeColor="text1"/>
          <w:sz w:val="16"/>
          <w:szCs w:val="16"/>
        </w:rPr>
        <w:t>увязанно</w:t>
      </w:r>
      <w:proofErr w:type="spellEnd"/>
      <w:r w:rsidRPr="007122AB">
        <w:rPr>
          <w:rFonts w:ascii="Times New Roman" w:hAnsi="Times New Roman"/>
          <w:color w:val="000000" w:themeColor="text1"/>
          <w:sz w:val="16"/>
          <w:szCs w:val="16"/>
        </w:rPr>
        <w:t xml:space="preserve"> между собой, высказывались против наметившегося тогда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xml:space="preserve">, говорили, что без </w:t>
      </w:r>
      <w:proofErr w:type="spellStart"/>
      <w:r w:rsidRPr="007122AB">
        <w:rPr>
          <w:rFonts w:ascii="Times New Roman" w:hAnsi="Times New Roman"/>
          <w:color w:val="000000" w:themeColor="text1"/>
          <w:sz w:val="16"/>
          <w:szCs w:val="16"/>
        </w:rPr>
        <w:t>влива</w:t>
      </w:r>
      <w:proofErr w:type="spellEnd"/>
      <w:r w:rsidRPr="007122AB">
        <w:rPr>
          <w:rFonts w:ascii="Times New Roman" w:hAnsi="Times New Roman"/>
          <w:color w:val="000000" w:themeColor="text1"/>
          <w:sz w:val="16"/>
          <w:szCs w:val="16"/>
        </w:rPr>
        <w:t xml:space="preserve"> иностранного капитала нечего и думать о строительстве новых заводов. После обеда беседа продолжалась у С. Д. ШЕЙНА, в квартиру которого отправились, на те же темы.</w:t>
      </w:r>
    </w:p>
    <w:p w14:paraId="78329EC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1925 году был провозглашен лозунг индустриализации СССР, каждое отдельное управление ВСНХ, в том числе 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составили краткие записки о новых заводах. Общего серьезного анализа отдельных объектов, увязки с сырьевыми базами, с транспортом, не было сделано. Этими основными вопросами не хотел заниматься ни Госплан, ни ВСНХ. Места же представляли непродуманные записки.</w:t>
      </w:r>
    </w:p>
    <w:p w14:paraId="49032FF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новых металлургических заводах первую записку составил В. И. ЖДАНОВ, где намечалась постройка Магнитогорского завода, Кузнецкого (тогда его называли Тельбес[с]ким), Криворожского и реставрации и расширении Керченского завода. У всех заводов темным местом была рудная база, которую или не знали, или знали, но было неизвестно, как использовать рудные месторождения.</w:t>
      </w:r>
    </w:p>
    <w:p w14:paraId="1A54A6C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центре, как я указывал выше, специалисты-металлурги, постоянно встречаясь, имели достаточно прочную идеологическую связь, из которой вытекала и практика в работе и по планированию[,] и по управлению металлургическими предприятиями Союза. Главными фигурами, вокруг которых вращались работники в Москве[,] были: С. А. ХРЕННИКОВ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А. КАЛИННИКОВ (Госплан).</w:t>
      </w:r>
    </w:p>
    <w:p w14:paraId="3C8FA83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Провинциальные работники, постоянно бывая в Москве (и по линии Госплана[,] и по линии </w:t>
      </w:r>
      <w:proofErr w:type="spellStart"/>
      <w:r w:rsidRPr="007122AB">
        <w:rPr>
          <w:rFonts w:ascii="Times New Roman" w:hAnsi="Times New Roman"/>
          <w:color w:val="000000" w:themeColor="text1"/>
          <w:sz w:val="16"/>
          <w:szCs w:val="16"/>
        </w:rPr>
        <w:t>Главметалла</w:t>
      </w:r>
      <w:proofErr w:type="spellEnd"/>
      <w:r w:rsidRPr="007122AB">
        <w:rPr>
          <w:rFonts w:ascii="Times New Roman" w:hAnsi="Times New Roman"/>
          <w:color w:val="000000" w:themeColor="text1"/>
          <w:sz w:val="16"/>
          <w:szCs w:val="16"/>
        </w:rPr>
        <w:t>), знали московские настроения и направления в работе и, конечно, отражали их.</w:t>
      </w:r>
    </w:p>
    <w:p w14:paraId="6E342F99"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1925 г. встал вопрос о проектировании новых заводов. На Урале было образовано </w:t>
      </w:r>
      <w:proofErr w:type="spellStart"/>
      <w:r w:rsidRPr="007122AB">
        <w:rPr>
          <w:rFonts w:ascii="Times New Roman" w:hAnsi="Times New Roman"/>
          <w:color w:val="000000" w:themeColor="text1"/>
          <w:sz w:val="16"/>
          <w:szCs w:val="16"/>
        </w:rPr>
        <w:t>Уралпроектбюро</w:t>
      </w:r>
      <w:proofErr w:type="spellEnd"/>
      <w:r w:rsidRPr="007122AB">
        <w:rPr>
          <w:rFonts w:ascii="Times New Roman" w:hAnsi="Times New Roman"/>
          <w:color w:val="000000" w:themeColor="text1"/>
          <w:sz w:val="16"/>
          <w:szCs w:val="16"/>
        </w:rPr>
        <w:t>, которому поручено было приступить к проектированию Магнитогорского металлургического, Уральского машиностроительного,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 xml:space="preserve">]-Тагильского вагоностроительного заводов. Ни работников, ни архива, ни технической библиотеки не было. Заданий определенных также не имелось, в технических заданиях (мощность отдельных заводских агрегатов) была </w:t>
      </w:r>
      <w:proofErr w:type="spellStart"/>
      <w:r w:rsidRPr="007122AB">
        <w:rPr>
          <w:rFonts w:ascii="Times New Roman" w:hAnsi="Times New Roman"/>
          <w:color w:val="000000" w:themeColor="text1"/>
          <w:sz w:val="16"/>
          <w:szCs w:val="16"/>
        </w:rPr>
        <w:t>Главметаллом</w:t>
      </w:r>
      <w:proofErr w:type="spellEnd"/>
      <w:r w:rsidRPr="007122AB">
        <w:rPr>
          <w:rFonts w:ascii="Times New Roman" w:hAnsi="Times New Roman"/>
          <w:color w:val="000000" w:themeColor="text1"/>
          <w:sz w:val="16"/>
          <w:szCs w:val="16"/>
        </w:rPr>
        <w:t xml:space="preserve"> дана установка, явно преуменьшенная против тех достижений, которые имела не только Америка, но и европейские страны.</w:t>
      </w:r>
    </w:p>
    <w:p w14:paraId="6312EB9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Суточную выплавку доменной печи В. И. ЖДАНОВ давал 450 тонн, тогда как некоторые заводы Германии уже тогда достигали до 840 тонн, для Мартеновских печей тоннаж давали 75 т., тогда как имелись за границей печи 125-150 т. Нагрузку прокатных станов (блюминг) давали также преуменьшенную; мощность бессемеровских конверторов рекомендовали 15 т., в то время как за границей работали 25[-]тонные реторты.</w:t>
      </w:r>
    </w:p>
    <w:p w14:paraId="67E4754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 эти установки С. А. ХРЕННИКОВ и В. И. ЖДАНОВ мотивировали тем обстоятельством, что русский рабочий никогда не может достичь таких результатов и работать на крупных устройствах, что вся система нашей работы требует не последнего слова техники. Эти же работники </w:t>
      </w:r>
      <w:proofErr w:type="spellStart"/>
      <w:r w:rsidRPr="007122AB">
        <w:rPr>
          <w:rFonts w:ascii="Times New Roman" w:hAnsi="Times New Roman"/>
          <w:color w:val="000000" w:themeColor="text1"/>
          <w:sz w:val="16"/>
          <w:szCs w:val="16"/>
        </w:rPr>
        <w:t>Главметалла</w:t>
      </w:r>
      <w:proofErr w:type="spellEnd"/>
      <w:r w:rsidRPr="007122AB">
        <w:rPr>
          <w:rFonts w:ascii="Times New Roman" w:hAnsi="Times New Roman"/>
          <w:color w:val="000000" w:themeColor="text1"/>
          <w:sz w:val="16"/>
          <w:szCs w:val="16"/>
        </w:rPr>
        <w:t xml:space="preserve"> и работники Госплана указывали (КАЛИННИКОВ, ТАУБЕ, ГАРТВАН и ФЕДОРОВИЧ), что какая бы установка н[и] была, все равно ничего не выйдет из намеченного строительства новых заводов, что это совершенно не под силу современным финансам Союза.</w:t>
      </w:r>
    </w:p>
    <w:p w14:paraId="427480A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вопросах технических коэффициентов группа центра (Госплан 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давала такую установку, не соответствующую возможным достижениям в этой области. Расход горючего в доменных печах Магнитогорского завода сначала давали 1,2 т. на 1 т. чугуна, приводя опять-таки только что достигнутый расход на Южных заводах. Затем давали 1,1 т. и, в конце концов, 1 т. кокса на 1 т. чугуна. Вся эта неразбериха естественно требовала напрасных и больших пересчетов и тормозил[а] проектирование. Подсчеты плавки чугуна в условиях Магнитогорского завода (на Кузнецком коксе) давали расход горючего 0,9 т. кокса на 1 т. чугуна. Заграницей, особенно в Америке, на малосернистом коксе имеются и более низкий расход горючего 0,85 — 0,87.</w:t>
      </w:r>
    </w:p>
    <w:p w14:paraId="0A779E2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(ноябрь-декабрь) 1925 года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вел сначала дискуссию, а затем подготовительную работу для образования центрального проектировочного аппарата. С. А. ХРЕННИКОВ, Б. Н. ДОБРОВОЛЬСКИЙ и А. А. БАЧМАНОВ усиленно настаивали и добивались, чтобы такой аппарат был образован в Ленинграде. Официальными соображениями у них были: в Ленинграде имеются свободные помещения, имеется много </w:t>
      </w:r>
      <w:proofErr w:type="spellStart"/>
      <w:r w:rsidRPr="007122AB">
        <w:rPr>
          <w:rFonts w:ascii="Times New Roman" w:hAnsi="Times New Roman"/>
          <w:color w:val="000000" w:themeColor="text1"/>
          <w:sz w:val="16"/>
          <w:szCs w:val="16"/>
        </w:rPr>
        <w:t>высш</w:t>
      </w:r>
      <w:proofErr w:type="spellEnd"/>
      <w:r w:rsidRPr="007122AB">
        <w:rPr>
          <w:rFonts w:ascii="Times New Roman" w:hAnsi="Times New Roman"/>
          <w:color w:val="000000" w:themeColor="text1"/>
          <w:sz w:val="16"/>
          <w:szCs w:val="16"/>
        </w:rPr>
        <w:t>[их] технических учебных заведений, много незанятой профессуры, богатые технические библиотеки.</w:t>
      </w:r>
    </w:p>
    <w:p w14:paraId="29FABC5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Соображения неофициальные: подальше от начальства, в Ленинграде возможно будет в новом учреждении заниматься академизмом, т. е. затягивать практическое проектирование, следовательно, и строительство, в которое никто не верит.</w:t>
      </w:r>
    </w:p>
    <w:p w14:paraId="1319549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proofErr w:type="spellStart"/>
      <w:r w:rsidRPr="007122AB">
        <w:rPr>
          <w:rFonts w:ascii="Times New Roman" w:hAnsi="Times New Roman"/>
          <w:color w:val="000000" w:themeColor="text1"/>
          <w:sz w:val="16"/>
          <w:szCs w:val="16"/>
        </w:rPr>
        <w:t>течени</w:t>
      </w:r>
      <w:proofErr w:type="spellEnd"/>
      <w:r w:rsidRPr="007122AB">
        <w:rPr>
          <w:rFonts w:ascii="Times New Roman" w:hAnsi="Times New Roman"/>
          <w:color w:val="000000" w:themeColor="text1"/>
          <w:sz w:val="16"/>
          <w:szCs w:val="16"/>
        </w:rPr>
        <w:t>[е] нескольких месяцев идет «волынка» и только в марте- апреле выявляются некоторые формы нового учреждения, которое сначала называли характерно «Гипноз», а затем «Гипромез».</w:t>
      </w:r>
    </w:p>
    <w:p w14:paraId="4DCE002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первое время в Гипромезе играл первую скрипку А. А. БАЧМАНОВ, подбирая и головку и ответственных работников.</w:t>
      </w:r>
    </w:p>
    <w:p w14:paraId="72E91BA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Металлургический отдел Гипромеза был приглашен старый проф. гор[</w:t>
      </w:r>
      <w:proofErr w:type="spellStart"/>
      <w:r w:rsidRPr="007122AB">
        <w:rPr>
          <w:rFonts w:ascii="Times New Roman" w:hAnsi="Times New Roman"/>
          <w:color w:val="000000" w:themeColor="text1"/>
          <w:sz w:val="16"/>
          <w:szCs w:val="16"/>
        </w:rPr>
        <w:t>ный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 Н. ЛИПИН; этот отдел должен был руководить проектированием всех новых металлургических заводов СССР.</w:t>
      </w:r>
    </w:p>
    <w:p w14:paraId="73D6D20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 ЛИПИН при вступлении своем в Гипромез заявил, что в строительство новое при большевистском режиме он не верит и верить не хочет, т. к. поставлены такие грандиозные задачи, которые не под силу решать без влияния иностранного капитала. Достижения иностранной металлургической техники совершенно не достижимы </w:t>
      </w:r>
      <w:r w:rsidRPr="007122AB">
        <w:rPr>
          <w:rFonts w:ascii="Times New Roman" w:hAnsi="Times New Roman"/>
          <w:color w:val="000000" w:themeColor="text1"/>
          <w:sz w:val="16"/>
          <w:szCs w:val="16"/>
        </w:rPr>
        <w:lastRenderedPageBreak/>
        <w:t>у нас в наших условиях, и в этом вопросе он вполне солидарен с В. И. ЖДАНОВЫМ и С.А. ХРЕННИКОВЫМ, категорически протестуя против первоначальных установок: доменные печи Магнитогорского завода с суточной выплавкой в 600 тонн и против расхода горючего 0,9 т. на 1 т. чугуна.</w:t>
      </w:r>
    </w:p>
    <w:p w14:paraId="1345044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 ЛИПИН подбирает себе штат. Помощником берет М. М. БЕРА, который занимается текущей перепиской. М. М. БЕР техники почти не касается, вся его работа уходит, как я наблюдал во время посещений Гипромеза, на хождение по отделам и согласование разных вопросов. Из бесед с М. М. БЕРОМ я понял, что он целиком разделяет мнение В. Н. ЛИПИНА на строительство новых заводов. Доменной группой заведовать ЛИПИН пригласил своего ассистента по Горному Институту Е. А. ЛЕБЕДЕВА, который заявил нам, что он всю работу сведет к критике мест, которые он предполагает часто посещать.</w:t>
      </w:r>
    </w:p>
    <w:p w14:paraId="59C2039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А. ЛЕБЕДЕВ был всегда при В. Н. ЛИПИНЕ и главная его специальность была ругаться и к делу[,] и ни к делу отборными словами. По мартену ЛИПИНЫМ приглашается проф. Политехнического института М. М. КАРНАУХОВ, который в разговорах со мной высказывал мнение, что он только будет заниматься теоретическими вопросами, так как при Советской власти он не мыслит возможности проведения в жизнь намеченной программы индустриализации. В дальнейшей работе по проектированию Магнитогорского завода М. М. КАРНАУХОВ имел дело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В. В. ВОРОБЬЕВЫМ (мартеновец </w:t>
      </w:r>
      <w:proofErr w:type="spellStart"/>
      <w:r w:rsidRPr="007122AB">
        <w:rPr>
          <w:rFonts w:ascii="Times New Roman" w:hAnsi="Times New Roman"/>
          <w:color w:val="000000" w:themeColor="text1"/>
          <w:sz w:val="16"/>
          <w:szCs w:val="16"/>
        </w:rPr>
        <w:t>Уралгипромеза</w:t>
      </w:r>
      <w:proofErr w:type="spellEnd"/>
      <w:r w:rsidRPr="007122AB">
        <w:rPr>
          <w:rFonts w:ascii="Times New Roman" w:hAnsi="Times New Roman"/>
          <w:color w:val="000000" w:themeColor="text1"/>
          <w:sz w:val="16"/>
          <w:szCs w:val="16"/>
        </w:rPr>
        <w:t xml:space="preserve">), который прорабатывал различные варианты мартеновского цеха и всюду с целью затяжки проекта вносил спор, какой лучше тип мартена: немецкий и[ли] американский. Вопрос установки бессемеровского производства на Магнитной также надо рассматривать как затяжку проектирования. В каждый приезд в Гипромез этот вопрос поднимался, затевались споры, но установки, даже в отношении тоннажа конверторов, их количества, определенной не делалось. </w:t>
      </w:r>
      <w:proofErr w:type="spellStart"/>
      <w:r w:rsidRPr="007122AB">
        <w:rPr>
          <w:rFonts w:ascii="Times New Roman" w:hAnsi="Times New Roman"/>
          <w:color w:val="000000" w:themeColor="text1"/>
          <w:sz w:val="16"/>
          <w:szCs w:val="16"/>
        </w:rPr>
        <w:t>Уралгипромез</w:t>
      </w:r>
      <w:proofErr w:type="spellEnd"/>
      <w:r w:rsidRPr="007122AB">
        <w:rPr>
          <w:rFonts w:ascii="Times New Roman" w:hAnsi="Times New Roman"/>
          <w:color w:val="000000" w:themeColor="text1"/>
          <w:sz w:val="16"/>
          <w:szCs w:val="16"/>
        </w:rPr>
        <w:t xml:space="preserve"> тянул этот вопрос, делал студенческие варианты и не имел ни одного специалиста по бессемеровскому производству.</w:t>
      </w:r>
    </w:p>
    <w:p w14:paraId="0311867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прокатному производству В. Н. ЛИПИН пригласил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ТАТАРЧЕНКО, который ничего не хотел делать, он открыто афишировал это: во время работы готовился к лекциям или вел общие рассуждения на тему, что намеченная индустриализация и взятые темпы — детская затея. По отношению к Магнитогорскому проекту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ТАТАРЧЕНКО занял позицию, что надо составлять всевозможные варианты, чтобы затянуть проектирование и строительство. По прокатке В. Н. ЛИПИНЫМ приглашался для консультации ассистент Горного Института Д. Н. БЕНЕШЕВИЧ, который во всех поручаемых ему вопросах старался затянуть дело. В. В. ВОРОБЬЕВ, который имел с ним деловые отношения, докладывал мне, что БЕНЕШЕВИЧ все магнитогорские вопросы (по прокатке) срывает.</w:t>
      </w:r>
    </w:p>
    <w:p w14:paraId="526124D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верховных консультантов В. Н. ЛИПИНЫМ были приглашены проф. М. А. ПАВЛОВ и позднее И. П. БАРДИН (последний приезжал с Днепровского завода, где был главным инженером).</w:t>
      </w:r>
    </w:p>
    <w:p w14:paraId="73CEB46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Идеология М. А. ПАВЛОВА, который считался большим авторитетом в области металлургии среди инженерства (был редактором журнала «Русского Металлургического Общества», инициатором и душой металлургических съездов), была всем известна. Кроме Гипромеза, я встречался с М. А. ПАВЛОВЫМ у проф. ГРУМ-ГРЖИМАЙЛО в Москве, в </w:t>
      </w:r>
      <w:proofErr w:type="spellStart"/>
      <w:r w:rsidRPr="007122AB">
        <w:rPr>
          <w:rFonts w:ascii="Times New Roman" w:hAnsi="Times New Roman"/>
          <w:color w:val="000000" w:themeColor="text1"/>
          <w:sz w:val="16"/>
          <w:szCs w:val="16"/>
        </w:rPr>
        <w:t>Главметалле</w:t>
      </w:r>
      <w:proofErr w:type="spellEnd"/>
      <w:r w:rsidRPr="007122AB">
        <w:rPr>
          <w:rFonts w:ascii="Times New Roman" w:hAnsi="Times New Roman"/>
          <w:color w:val="000000" w:themeColor="text1"/>
          <w:sz w:val="16"/>
          <w:szCs w:val="16"/>
        </w:rPr>
        <w:t xml:space="preserve"> у ХРЕННИКОВА и ЖДАНОВА, на всевозможных заседаниях и совещаниях. В личных и групповых беседах М. А. ПАВЛОВ всегда высказывался с ненавистью к Советской власти, к ее начинаниям, как в области реконструкции высших технических </w:t>
      </w:r>
      <w:proofErr w:type="spellStart"/>
      <w:r w:rsidRPr="007122AB">
        <w:rPr>
          <w:rFonts w:ascii="Times New Roman" w:hAnsi="Times New Roman"/>
          <w:color w:val="000000" w:themeColor="text1"/>
          <w:sz w:val="16"/>
          <w:szCs w:val="16"/>
        </w:rPr>
        <w:t>уч</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ебных</w:t>
      </w:r>
      <w:proofErr w:type="spellEnd"/>
      <w:r w:rsidRPr="007122AB">
        <w:rPr>
          <w:rFonts w:ascii="Times New Roman" w:hAnsi="Times New Roman"/>
          <w:color w:val="000000" w:themeColor="text1"/>
          <w:sz w:val="16"/>
          <w:szCs w:val="16"/>
        </w:rPr>
        <w:t xml:space="preserve">] заведений, так и в области промышленности. М. А. ПАВЛОВ, конечно, не верил в новое строительство, на Гипромез смотрел, как на учреждение, объединяющее распыленных специалистов и как на дополнительный заработок, который дает возможность многим пережить тяжелое время. М. А. ПАВЛОВ считал, что без иностранного капитала не только не построишь новых заводов, но и не восстановишь полностью старых. М. А. ПАВЛОВ через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КАША-КАШВИЛИ и КРАПИВИНА имел связь с Уралом, организуя в Свердловске съезд по доменному производству, и получал от </w:t>
      </w:r>
      <w:proofErr w:type="spellStart"/>
      <w:r w:rsidRPr="007122AB">
        <w:rPr>
          <w:rFonts w:ascii="Times New Roman" w:hAnsi="Times New Roman"/>
          <w:color w:val="000000" w:themeColor="text1"/>
          <w:sz w:val="16"/>
          <w:szCs w:val="16"/>
        </w:rPr>
        <w:t>Уралоблсовнархоза</w:t>
      </w:r>
      <w:proofErr w:type="spellEnd"/>
      <w:r w:rsidRPr="007122AB">
        <w:rPr>
          <w:rFonts w:ascii="Times New Roman" w:hAnsi="Times New Roman"/>
          <w:color w:val="000000" w:themeColor="text1"/>
          <w:sz w:val="16"/>
          <w:szCs w:val="16"/>
        </w:rPr>
        <w:t xml:space="preserve"> материальную поддержку на издание журнала Русского Металлургического общества.</w:t>
      </w:r>
    </w:p>
    <w:p w14:paraId="5BECC18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Журнал этот не отражал, и М. А. ПАВЛОВ это положение отстаивал, современной работы металлургических предприятий СССР и не касался общих проблем металлургии.</w:t>
      </w:r>
    </w:p>
    <w:p w14:paraId="24C8D1F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 БАРДИН в Гипромезе занимал позицию или молчаливо соглашающегося с линией, проводимой металлургическим отделом, или вносившего (по отношению к Магнитогорскому заводу) ряд вопросов, чтобы затянуть проектирование. Из личных моих встреч и бесед (И. П. БАРДИН одно время намечался в главные инженеры Магнитостроя) я определил, что И. П. БАРДИН не верит в прочность Советской власти и считает нереальной и несерьезной программу индустриализации. В темпы строительства не верил.</w:t>
      </w:r>
    </w:p>
    <w:p w14:paraId="472C224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Когда И. П. БАРДИН был назначен глав[</w:t>
      </w:r>
      <w:proofErr w:type="spellStart"/>
      <w:r w:rsidRPr="007122AB">
        <w:rPr>
          <w:rFonts w:ascii="Times New Roman" w:hAnsi="Times New Roman"/>
          <w:color w:val="000000" w:themeColor="text1"/>
          <w:sz w:val="16"/>
          <w:szCs w:val="16"/>
        </w:rPr>
        <w:t>ным</w:t>
      </w:r>
      <w:proofErr w:type="spellEnd"/>
      <w:r w:rsidRPr="007122AB">
        <w:rPr>
          <w:rFonts w:ascii="Times New Roman" w:hAnsi="Times New Roman"/>
          <w:color w:val="000000" w:themeColor="text1"/>
          <w:sz w:val="16"/>
          <w:szCs w:val="16"/>
        </w:rPr>
        <w:t xml:space="preserve">] инженером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 xml:space="preserve">[,] мне С. А. ХРЕННИКОВ говорил, что БАРДИН в Кузнецк везет с собой определенную группу с Юга, которая будет срывать строительство, указывая на одну крупную фигуру в этой группе —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ПОПОВА-АЛЕКСЕЕВА, который является особым ненавистником Советской власти и черносотенцем.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ПОПОВЫМ-АЛЕКСЕЕВЫМ я встречался в Техн. Совете </w:t>
      </w:r>
      <w:proofErr w:type="spellStart"/>
      <w:r w:rsidRPr="007122AB">
        <w:rPr>
          <w:rFonts w:ascii="Times New Roman" w:hAnsi="Times New Roman"/>
          <w:color w:val="000000" w:themeColor="text1"/>
          <w:sz w:val="16"/>
          <w:szCs w:val="16"/>
        </w:rPr>
        <w:t>Главчермета</w:t>
      </w:r>
      <w:proofErr w:type="spellEnd"/>
      <w:r w:rsidRPr="007122AB">
        <w:rPr>
          <w:rFonts w:ascii="Times New Roman" w:hAnsi="Times New Roman"/>
          <w:color w:val="000000" w:themeColor="text1"/>
          <w:sz w:val="16"/>
          <w:szCs w:val="16"/>
        </w:rPr>
        <w:t xml:space="preserve"> и в поезде, в котором я ехал в Москву с Урала, а он из Сибири. ПОПОВ-АЛЕКСЕЕВ рассказывал мне о положении на </w:t>
      </w:r>
      <w:proofErr w:type="spellStart"/>
      <w:r w:rsidRPr="007122AB">
        <w:rPr>
          <w:rFonts w:ascii="Times New Roman" w:hAnsi="Times New Roman"/>
          <w:color w:val="000000" w:themeColor="text1"/>
          <w:sz w:val="16"/>
          <w:szCs w:val="16"/>
        </w:rPr>
        <w:t>Кузнецкстрое</w:t>
      </w:r>
      <w:proofErr w:type="spellEnd"/>
      <w:r w:rsidRPr="007122AB">
        <w:rPr>
          <w:rFonts w:ascii="Times New Roman" w:hAnsi="Times New Roman"/>
          <w:color w:val="000000" w:themeColor="text1"/>
          <w:sz w:val="16"/>
          <w:szCs w:val="16"/>
        </w:rPr>
        <w:t xml:space="preserve">: о не подготовке к строительству, неимении рабочих чертежей, запоздании с заказами, дезорганизации в управлении, причем </w:t>
      </w:r>
      <w:proofErr w:type="spellStart"/>
      <w:r w:rsidRPr="007122AB">
        <w:rPr>
          <w:rFonts w:ascii="Times New Roman" w:hAnsi="Times New Roman"/>
          <w:color w:val="000000" w:themeColor="text1"/>
          <w:sz w:val="16"/>
          <w:szCs w:val="16"/>
        </w:rPr>
        <w:t>подчеркива</w:t>
      </w:r>
      <w:proofErr w:type="spellEnd"/>
      <w:r w:rsidRPr="007122AB">
        <w:rPr>
          <w:rFonts w:ascii="Times New Roman" w:hAnsi="Times New Roman"/>
          <w:color w:val="000000" w:themeColor="text1"/>
          <w:sz w:val="16"/>
          <w:szCs w:val="16"/>
        </w:rPr>
        <w:t>[л], что из всего этого дела ничего не выйдет.</w:t>
      </w:r>
    </w:p>
    <w:p w14:paraId="032D1D4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дал достаточно подробную характеристику работников Металлургического Отдела Гипромеза, чтобы было ясно, какая обстановка создалась в этом учреждении для руководства проектированием и строительством новых металлургических заводов. Системы и методов проектирования металлургический отдел никому не давал. Каждый делал, что хотел и как хотел.</w:t>
      </w:r>
    </w:p>
    <w:p w14:paraId="74C8C17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Магнитогорский проект без специалистов, без конструкторского аппарата, без точных заданий и установок делался в </w:t>
      </w:r>
      <w:proofErr w:type="spellStart"/>
      <w:r w:rsidRPr="007122AB">
        <w:rPr>
          <w:rFonts w:ascii="Times New Roman" w:hAnsi="Times New Roman"/>
          <w:color w:val="000000" w:themeColor="text1"/>
          <w:sz w:val="16"/>
          <w:szCs w:val="16"/>
        </w:rPr>
        <w:t>Уралпроектбюро</w:t>
      </w:r>
      <w:proofErr w:type="spellEnd"/>
      <w:r w:rsidRPr="007122AB">
        <w:rPr>
          <w:rFonts w:ascii="Times New Roman" w:hAnsi="Times New Roman"/>
          <w:color w:val="000000" w:themeColor="text1"/>
          <w:sz w:val="16"/>
          <w:szCs w:val="16"/>
        </w:rPr>
        <w:t xml:space="preserve">, где и проводились исследовательские работы Магнитогорского железорудного месторождения. В Сибири (в Томске) открылось </w:t>
      </w:r>
      <w:proofErr w:type="spellStart"/>
      <w:r w:rsidRPr="007122AB">
        <w:rPr>
          <w:rFonts w:ascii="Times New Roman" w:hAnsi="Times New Roman"/>
          <w:color w:val="000000" w:themeColor="text1"/>
          <w:sz w:val="16"/>
          <w:szCs w:val="16"/>
        </w:rPr>
        <w:t>Тельбессбюро</w:t>
      </w:r>
      <w:proofErr w:type="spellEnd"/>
      <w:r w:rsidRPr="007122AB">
        <w:rPr>
          <w:rFonts w:ascii="Times New Roman" w:hAnsi="Times New Roman"/>
          <w:color w:val="000000" w:themeColor="text1"/>
          <w:sz w:val="16"/>
          <w:szCs w:val="16"/>
        </w:rPr>
        <w:t>, которое приступило к проектированию и разведкам руд для Кузнецкого завода. В Керчи открылось бюро по реконструкции завода. Проектировку металлургического завода на Юге металлургический отдел Гипромеза решил взять сам. Никакой стандартизации главных объектов завода не было установлено.</w:t>
      </w:r>
    </w:p>
    <w:p w14:paraId="54B31DE5"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было направлено к тому, чтобы силы, которых было очень мало (особенно конструкторов)[,] были распылены и для того, чтобы затянуть проектирование.</w:t>
      </w:r>
    </w:p>
    <w:p w14:paraId="768EA9F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Организация Гипромеза с самого начала и, как мне известно, до 1930 года С. А. ХРЕННИКОВЫМ, А. А. БАЧМАНОВЫМ и Б. Н. ДОБРОВОЛЬСКИМ строилась таким порядком, чтобы каждый отдел Гипромеза работал самостоятельно, без всякой технической увязки. Технического директора или главного инженера в Гипромезе не было. В Правлении Гипромеза вопросы решались без достаточной согласованности в отдельных частях сложного металлургического хозяйства. Другие отделы Гипромеза возглавлялись специалистами, членами Правления: БАЧМАНОВ — экономическим, БЕЛОНОЖКИН — машиностроительным, ВЕРЕЩАГИН — электрическим, ШИШКО, затем проф.</w:t>
      </w:r>
    </w:p>
    <w:p w14:paraId="5A1C39E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ГОФМАН — строительным. Горного отдела, являющегося основным при проектировании металлургических] заводов, вначале не было и этому особенно сочувствовал С. А. ХРЕННИКОВ, говоря, что с рудным делом в новых заводах неблагополучно и пусть этим занимается Геолком. Только в конце 1927 года образуется во главе с МУХИНЫМ (вскоре арестованным) слабенький отдел. МУХИНА заменил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КУРБАТОВ.</w:t>
      </w:r>
    </w:p>
    <w:p w14:paraId="07E661C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Геолкомом Гипромез вначале не имел никакой связи. С 1928 года приглашались иногда представители Геолкома (КАТУЛЬСКИЙ, ЗАВАРИЦКИЙ), которые обычно давали самые общие данные. При проектировании металлургических заводов все отделы играли большую роль и приносили тот или иной вред.</w:t>
      </w:r>
    </w:p>
    <w:p w14:paraId="2C43049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1926 года собрался первый технический совет Гипромеза. Состав техн. совета был намечен С. А. ХРЕННИКОВЫМ, В. И. ЖДАНОВЫМ и А. А. БАЧМАНОВЫМ, в него вошли крупные специалисты- производственники и профессора. Председателем Совета выбирается</w:t>
      </w:r>
    </w:p>
    <w:p w14:paraId="2213C5C9"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 ХРЕННИКОВ, заместителем к нему Н. Ф. ЧАРНОВСКИЙ. Совет, кроме пленума, имел секции, возглавляемые: экономическую ГИНЗБУРГОМ (из ВСНХ), металлургическую Е. А. ТАУБЕ, машиностроительную Н. Ф. ЧАРНОВСКИМ, энергетическую проф. ВОРОНОВЫМ и строительную КЛЕВЕЗАЛЕМ (ВСНХ). Сессии технического совета с деловой стороны не приносили никакой пользы, крупные вопросы комкались, некоторые эксперты отдельных частей проекта не только не прорабатывали вопроса, а часто и не знакомились с ним. Напр., проф. М. А. ШАТЕЛЕН при рассмотрении Магнитогорского проекта давал общие заключения по неизученному вопросу. Часто ставились вопросы с целью сорвать проект или оттянуть его (выступление проф. ШАПОШНИКОВА о перенесении Магнитогорского завода в Челябинск). Главная задача, которую преследовали технические советы, по словам С. А. ХРЕННИКОВА, заключалась в объединении крупных специалистов, обмене мнениями работников с мест.</w:t>
      </w:r>
    </w:p>
    <w:p w14:paraId="6B977AF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сессий технических советов устраивались совещания частного порядка у С. А. ХРЕННИКОВА и А. И. БЕЛОНОЖКИНА с участием Н. Ф. ЧАРНОВСКОГО, КАЛИННИКОВА, ТАУБЕ, ГИНЗБУРГА и КЛЕВЕЗАЛЯ, на которых устанавливалась линия поведения, которую нужно держать при том или ином проекте. Приезжавшие работники с мест также в кулуарах и за обедом устраивали беседы, где обсуждали общее положение с новым строительством в связи с политическим положением страны. Металлурги обычно группировались около С. А. ХРЕННИКОВА, В. И. ЖДАНОВА и С. А. ТАУБЕ, где кроме общих вопросов обсуждалось положение с отдельными проектами и намечались установки, затягивающие проектирование. Гипромез и отдельные строительства устраивали банкеты, где[,] кроме официальных торжественных выступлений по случаю прохождения проекта, отдельными группами обсуждались вопросы на политические темы. Гипромез[,] расширяя свою деятельность, открывает новые отделения: в Харькове,</w:t>
      </w:r>
    </w:p>
    <w:p w14:paraId="2D548855"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Москве, Ленинградское отделение. В Днепропетровске было открыто вначале специальное отделение по проектированию коксовых установок. Отделение возглавлял проф. РУБИН. Представляемые им проекты являлись чисто ученическими. Магнитогорская коксовая установка, спроектированная проф. РУБИНЫМ, дефективная.</w:t>
      </w:r>
    </w:p>
    <w:p w14:paraId="1EFEE67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Гипромеза точных функций в смысле обслуживания нового строительства не было. Где кончалось проектирование и начинались исследовательские работы и подготовка к самому строительству, решал[о]</w:t>
      </w:r>
      <w:proofErr w:type="spellStart"/>
      <w:r w:rsidRPr="007122AB">
        <w:rPr>
          <w:rFonts w:ascii="Times New Roman" w:hAnsi="Times New Roman"/>
          <w:color w:val="000000" w:themeColor="text1"/>
          <w:sz w:val="16"/>
          <w:szCs w:val="16"/>
        </w:rPr>
        <w:t>сь</w:t>
      </w:r>
      <w:proofErr w:type="spellEnd"/>
      <w:r w:rsidRPr="007122AB">
        <w:rPr>
          <w:rFonts w:ascii="Times New Roman" w:hAnsi="Times New Roman"/>
          <w:color w:val="000000" w:themeColor="text1"/>
          <w:sz w:val="16"/>
          <w:szCs w:val="16"/>
        </w:rPr>
        <w:t xml:space="preserve"> каждый раз особо.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затем </w:t>
      </w:r>
      <w:proofErr w:type="spellStart"/>
      <w:r w:rsidRPr="007122AB">
        <w:rPr>
          <w:rFonts w:ascii="Times New Roman" w:hAnsi="Times New Roman"/>
          <w:color w:val="000000" w:themeColor="text1"/>
          <w:sz w:val="16"/>
          <w:szCs w:val="16"/>
        </w:rPr>
        <w:t>Главчермет</w:t>
      </w:r>
      <w:proofErr w:type="spellEnd"/>
      <w:r w:rsidRPr="007122AB">
        <w:rPr>
          <w:rFonts w:ascii="Times New Roman" w:hAnsi="Times New Roman"/>
          <w:color w:val="000000" w:themeColor="text1"/>
          <w:sz w:val="16"/>
          <w:szCs w:val="16"/>
        </w:rPr>
        <w:t xml:space="preserve"> финансировали строительства и, следовательно, управляли ими. Во главе этого дела из специалистов стояли: С. А. ХРЕННИКОВ, В. И. ЖДАНОВ, Б. Н. ДОБРОВОЛЬСКИЙ, А. А. МИЛЮКОВ и Н. М. КУТСКИЙ.</w:t>
      </w:r>
    </w:p>
    <w:p w14:paraId="33DB546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Утверждение (окончательное) проектов, утверждение программ строительства, отпуск средств зависело от них.</w:t>
      </w:r>
    </w:p>
    <w:p w14:paraId="00425EC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Третья инстанция, с которой соприкасалось новое строительство — Госплан, где ставились вопросы общего финансирования для внесения на утверждение </w:t>
      </w:r>
      <w:proofErr w:type="spellStart"/>
      <w:r w:rsidRPr="007122AB">
        <w:rPr>
          <w:rFonts w:ascii="Times New Roman" w:hAnsi="Times New Roman"/>
          <w:color w:val="000000" w:themeColor="text1"/>
          <w:sz w:val="16"/>
          <w:szCs w:val="16"/>
        </w:rPr>
        <w:t>СНКа</w:t>
      </w:r>
      <w:proofErr w:type="spellEnd"/>
      <w:r w:rsidRPr="007122AB">
        <w:rPr>
          <w:rFonts w:ascii="Times New Roman" w:hAnsi="Times New Roman"/>
          <w:color w:val="000000" w:themeColor="text1"/>
          <w:sz w:val="16"/>
          <w:szCs w:val="16"/>
        </w:rPr>
        <w:t>.</w:t>
      </w:r>
    </w:p>
    <w:p w14:paraId="0D3A738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Госплане по металлургическим заводам пришлось сталкиваться с И. А. КАЛИННИКОВЫМ, Е. А. ТАУБЕ, Р. Я. ГАРТВАН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xml:space="preserve">. И. ФЕДОРОВИЧЕМ. В показаниях, сделанных мною в ПП ОГПУ в Свердловске, я сообщил, что в конце 1926 года С. А. ХРЕННИКОВ при разговоре со мной на политические темы (внутренние натяжения*1 в партии, финансовые затруднения, возможность интервенции) указал, что всюду в крупных объединениях (Госплан, ВСНХ, отдельных районах — Юг, </w:t>
      </w:r>
      <w:r w:rsidRPr="007122AB">
        <w:rPr>
          <w:rFonts w:ascii="Times New Roman" w:hAnsi="Times New Roman"/>
          <w:color w:val="000000" w:themeColor="text1"/>
          <w:sz w:val="16"/>
          <w:szCs w:val="16"/>
        </w:rPr>
        <w:lastRenderedPageBreak/>
        <w:t>Ленинград) идет организация специалистов в отдельные группы на случай прихода на смену Советской власти интервентов и подготовки к этому. Предлагал образовать такую группу на Урале.</w:t>
      </w:r>
    </w:p>
    <w:p w14:paraId="166DB75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 предложение это принял и, возвратившись на Урал, переговорил с отдельными крупными работниками Урала, это было в начале 1927 г. Работники эти следующие: заведующий промышленной секцией </w:t>
      </w:r>
      <w:proofErr w:type="spellStart"/>
      <w:r w:rsidRPr="007122AB">
        <w:rPr>
          <w:rFonts w:ascii="Times New Roman" w:hAnsi="Times New Roman"/>
          <w:color w:val="000000" w:themeColor="text1"/>
          <w:sz w:val="16"/>
          <w:szCs w:val="16"/>
        </w:rPr>
        <w:t>Уралплана</w:t>
      </w:r>
      <w:proofErr w:type="spellEnd"/>
      <w:r w:rsidRPr="007122AB">
        <w:rPr>
          <w:rFonts w:ascii="Times New Roman" w:hAnsi="Times New Roman"/>
          <w:color w:val="000000" w:themeColor="text1"/>
          <w:sz w:val="16"/>
          <w:szCs w:val="16"/>
        </w:rPr>
        <w:t xml:space="preserve"> М. А. СОЛОВОВ, технический директор и член Правления </w:t>
      </w:r>
      <w:proofErr w:type="spellStart"/>
      <w:r w:rsidRPr="007122AB">
        <w:rPr>
          <w:rFonts w:ascii="Times New Roman" w:hAnsi="Times New Roman"/>
          <w:color w:val="000000" w:themeColor="text1"/>
          <w:sz w:val="16"/>
          <w:szCs w:val="16"/>
        </w:rPr>
        <w:t>Уралмета</w:t>
      </w:r>
      <w:proofErr w:type="spellEnd"/>
      <w:r w:rsidRPr="007122AB">
        <w:rPr>
          <w:rFonts w:ascii="Times New Roman" w:hAnsi="Times New Roman"/>
          <w:color w:val="000000" w:themeColor="text1"/>
          <w:sz w:val="16"/>
          <w:szCs w:val="16"/>
        </w:rPr>
        <w:t xml:space="preserve"> В. П. КРАПИВИН, главный металлург </w:t>
      </w:r>
      <w:proofErr w:type="spellStart"/>
      <w:r w:rsidRPr="007122AB">
        <w:rPr>
          <w:rFonts w:ascii="Times New Roman" w:hAnsi="Times New Roman"/>
          <w:color w:val="000000" w:themeColor="text1"/>
          <w:sz w:val="16"/>
          <w:szCs w:val="16"/>
        </w:rPr>
        <w:t>Уралмета</w:t>
      </w:r>
      <w:proofErr w:type="spellEnd"/>
      <w:r w:rsidRPr="007122AB">
        <w:rPr>
          <w:rFonts w:ascii="Times New Roman" w:hAnsi="Times New Roman"/>
          <w:color w:val="000000" w:themeColor="text1"/>
          <w:sz w:val="16"/>
          <w:szCs w:val="16"/>
        </w:rPr>
        <w:t xml:space="preserve"> И. В. КАША-КАШВИЛИ, технический директор </w:t>
      </w:r>
      <w:proofErr w:type="spellStart"/>
      <w:r w:rsidRPr="007122AB">
        <w:rPr>
          <w:rFonts w:ascii="Times New Roman" w:hAnsi="Times New Roman"/>
          <w:color w:val="000000" w:themeColor="text1"/>
          <w:sz w:val="16"/>
          <w:szCs w:val="16"/>
        </w:rPr>
        <w:t>Уралгорконторы</w:t>
      </w:r>
      <w:proofErr w:type="spellEnd"/>
      <w:r w:rsidRPr="007122AB">
        <w:rPr>
          <w:rFonts w:ascii="Times New Roman" w:hAnsi="Times New Roman"/>
          <w:color w:val="000000" w:themeColor="text1"/>
          <w:sz w:val="16"/>
          <w:szCs w:val="16"/>
        </w:rPr>
        <w:t xml:space="preserve"> И. А. ГИРБАСОВ; член президиума Уральского Областного Совета Народного хозяйства инженер Б. С. ДУНАЕВ и профессор Уральского Политехнического института по кафедре металлургии И. А. СОКОЛОВ. Все указанные инженеры мне заявили, что они уже слышали, каждый по своей отрасли, об организации таких групп в центре и что директивы и указания, получаемые ими по работе от отдельных работников[,] ясно говорят о том, что вредительство принимает организованную форму. На вопрос ко мне, кем возглавляется </w:t>
      </w:r>
      <w:proofErr w:type="spellStart"/>
      <w:r w:rsidRPr="007122AB">
        <w:rPr>
          <w:rFonts w:ascii="Times New Roman" w:hAnsi="Times New Roman"/>
          <w:color w:val="000000" w:themeColor="text1"/>
          <w:sz w:val="16"/>
          <w:szCs w:val="16"/>
        </w:rPr>
        <w:t>контр-революционная</w:t>
      </w:r>
      <w:proofErr w:type="spellEnd"/>
      <w:r w:rsidRPr="007122AB">
        <w:rPr>
          <w:rFonts w:ascii="Times New Roman" w:hAnsi="Times New Roman"/>
          <w:color w:val="000000" w:themeColor="text1"/>
          <w:sz w:val="16"/>
          <w:szCs w:val="16"/>
        </w:rPr>
        <w:t xml:space="preserve"> организация в центре, я ответил, что</w:t>
      </w:r>
    </w:p>
    <w:p w14:paraId="0A20460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 ХРЕННИКОВ мне сказал, что он этого сказать не может, что самая сильная группа в Госплане, где концентрируются все вопросы промышленности и, смеясь[,] мне сказал, что в организации состоит даже заместитель Председателя Госплана профессор ОСАДЧИЙ. С. А. ХРЕННИКОВ на одном из технических советов Гипромеза в Ленинграде (весной 1927 г.), показывая мне на участников пленума совета (где он был председателем, а проф. ЧАРНОВСКИЙ его заместителем) сказал, что этот пленум можно назвать и пленумом </w:t>
      </w:r>
      <w:proofErr w:type="spellStart"/>
      <w:r w:rsidRPr="007122AB">
        <w:rPr>
          <w:rFonts w:ascii="Times New Roman" w:hAnsi="Times New Roman"/>
          <w:color w:val="000000" w:themeColor="text1"/>
          <w:sz w:val="16"/>
          <w:szCs w:val="16"/>
        </w:rPr>
        <w:t>контр-революционной</w:t>
      </w:r>
      <w:proofErr w:type="spellEnd"/>
      <w:r w:rsidRPr="007122AB">
        <w:rPr>
          <w:rFonts w:ascii="Times New Roman" w:hAnsi="Times New Roman"/>
          <w:color w:val="000000" w:themeColor="text1"/>
          <w:sz w:val="16"/>
          <w:szCs w:val="16"/>
        </w:rPr>
        <w:t xml:space="preserve"> организации всего Союза.</w:t>
      </w:r>
    </w:p>
    <w:p w14:paraId="132BC15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 ХРЕННИКОВ сказал мне, что он всех участников Уральской группы знает, что каждый по своей линии связан с центром: КРАПИВИН и КАША-КАШВИЛИ связаны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ЖДАНОВЫМ и им, ХРЕННИКОВЫМ, СОЛОВОВ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КАЛИННИКОВЫМ, ТАУБЕ и ГАРТВАНОМ, ДУНАЕВ с БАЧМАНОВЫМ, ТАУБЕ и ГАРТВАНОМ, ГИРБАСОВ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ВЕЛИКОРЕЦКИМ и проф. И. А. СОКОЛОВ на технических съездах и советах связывается с группой профессуры[;] </w:t>
      </w:r>
      <w:proofErr w:type="spellStart"/>
      <w:r w:rsidRPr="007122AB">
        <w:rPr>
          <w:rFonts w:ascii="Times New Roman" w:hAnsi="Times New Roman"/>
          <w:color w:val="000000" w:themeColor="text1"/>
          <w:sz w:val="16"/>
          <w:szCs w:val="16"/>
        </w:rPr>
        <w:t>называ</w:t>
      </w:r>
      <w:proofErr w:type="spellEnd"/>
      <w:r w:rsidRPr="007122AB">
        <w:rPr>
          <w:rFonts w:ascii="Times New Roman" w:hAnsi="Times New Roman"/>
          <w:color w:val="000000" w:themeColor="text1"/>
          <w:sz w:val="16"/>
          <w:szCs w:val="16"/>
        </w:rPr>
        <w:t>[л] отдельные фигуры: ГРУМ-ГРЖИМАЙЛО, ЧАРНОВСКОГО, ПАВЛОВА М. А. и ЛИПИНА В. Н.</w:t>
      </w:r>
    </w:p>
    <w:p w14:paraId="10A5F92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ХРЕННИКОВ сказал мне, что все работники должны иметь отраслевую связь с центральными работниками. Я по линии строительства (тогда проектирования) был связан с </w:t>
      </w:r>
      <w:proofErr w:type="spellStart"/>
      <w:r w:rsidRPr="007122AB">
        <w:rPr>
          <w:rFonts w:ascii="Times New Roman" w:hAnsi="Times New Roman"/>
          <w:color w:val="000000" w:themeColor="text1"/>
          <w:sz w:val="16"/>
          <w:szCs w:val="16"/>
        </w:rPr>
        <w:t>С</w:t>
      </w:r>
      <w:proofErr w:type="spellEnd"/>
      <w:r w:rsidRPr="007122AB">
        <w:rPr>
          <w:rFonts w:ascii="Times New Roman" w:hAnsi="Times New Roman"/>
          <w:color w:val="000000" w:themeColor="text1"/>
          <w:sz w:val="16"/>
          <w:szCs w:val="16"/>
        </w:rPr>
        <w:t>. А. ХРЕННИКОВЫМ и, впоследствии, кроме него, с группой Гипромеза (БЕЛОНОЖКИН, БАЧМАНОВ, ЛИПИН, ВЕРЕЩАГИН) и группой металлургического отдела (Е. А. ЛЕБЕДЕВЫМ, М. М. БЕРОМ и ТАТАРЧЕНКО). Уральская группа была спаяна прежней общей работой. Директивы, которые получали отдельные работники из центра, были в общем одинаковы и клонились: к задержке проектирования и строительства новых заводов с целью воспрепятствовать программе Правительства по индустриализации страны, задержке реконструкции существующих заводов, уменьшению программы работы заводов, давая не полную нагрузку заводским агрегатам и не вводя в работу некоторые заводы; по планированию Уральской промышленности были даны директивы также искусственно задерживать развитие промышленности, составляя пятилетний план ее в ущемленном виде и в разрезе диспропорции отдельных отраслей промышленности; по горному хозяйству давались указания и директивы, чтобы тормозить и задерживать разведки и исследовательские работы, не вводить в эксплуатацию месторождения руд, в которых заинтересованы прежние владельцы; по строительным материалам давались указания, чтобы не развивать производство таковых с целью срыва как реконструкции, так и строительства новых заводов; по учебной части рекомендовалась борьба против начинаний Советской власти: непрерывной практике и сокращенному прохождению курса во ВТУЗ.</w:t>
      </w:r>
    </w:p>
    <w:p w14:paraId="4A54C9C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Каждый член </w:t>
      </w:r>
      <w:proofErr w:type="spellStart"/>
      <w:r w:rsidRPr="007122AB">
        <w:rPr>
          <w:rFonts w:ascii="Times New Roman" w:hAnsi="Times New Roman"/>
          <w:color w:val="000000" w:themeColor="text1"/>
          <w:sz w:val="16"/>
          <w:szCs w:val="16"/>
        </w:rPr>
        <w:t>контр-революционной</w:t>
      </w:r>
      <w:proofErr w:type="spellEnd"/>
      <w:r w:rsidRPr="007122AB">
        <w:rPr>
          <w:rFonts w:ascii="Times New Roman" w:hAnsi="Times New Roman"/>
          <w:color w:val="000000" w:themeColor="text1"/>
          <w:sz w:val="16"/>
          <w:szCs w:val="16"/>
        </w:rPr>
        <w:t xml:space="preserve"> группы проводил свою линию. Группа пользовалась каждым случаем, чтобы встретиться и поделиться своей работой. Для этого были использованы деловые встречи отдельных работников в разных учреждениях: у меня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Уралплане</w:t>
      </w:r>
      <w:proofErr w:type="spellEnd"/>
      <w:r w:rsidRPr="007122AB">
        <w:rPr>
          <w:rFonts w:ascii="Times New Roman" w:hAnsi="Times New Roman"/>
          <w:color w:val="000000" w:themeColor="text1"/>
          <w:sz w:val="16"/>
          <w:szCs w:val="16"/>
        </w:rPr>
        <w:t xml:space="preserve"> (у СОЛОВОВА), в </w:t>
      </w:r>
      <w:proofErr w:type="spellStart"/>
      <w:r w:rsidRPr="007122AB">
        <w:rPr>
          <w:rFonts w:ascii="Times New Roman" w:hAnsi="Times New Roman"/>
          <w:color w:val="000000" w:themeColor="text1"/>
          <w:sz w:val="16"/>
          <w:szCs w:val="16"/>
        </w:rPr>
        <w:t>Уралмете</w:t>
      </w:r>
      <w:proofErr w:type="spellEnd"/>
      <w:r w:rsidRPr="007122AB">
        <w:rPr>
          <w:rFonts w:ascii="Times New Roman" w:hAnsi="Times New Roman"/>
          <w:color w:val="000000" w:themeColor="text1"/>
          <w:sz w:val="16"/>
          <w:szCs w:val="16"/>
        </w:rPr>
        <w:t xml:space="preserve"> (у КРАПИВИНА), в </w:t>
      </w:r>
      <w:proofErr w:type="spellStart"/>
      <w:r w:rsidRPr="007122AB">
        <w:rPr>
          <w:rFonts w:ascii="Times New Roman" w:hAnsi="Times New Roman"/>
          <w:color w:val="000000" w:themeColor="text1"/>
          <w:sz w:val="16"/>
          <w:szCs w:val="16"/>
        </w:rPr>
        <w:t>Уралсовнархозе</w:t>
      </w:r>
      <w:proofErr w:type="spellEnd"/>
      <w:r w:rsidRPr="007122AB">
        <w:rPr>
          <w:rFonts w:ascii="Times New Roman" w:hAnsi="Times New Roman"/>
          <w:color w:val="000000" w:themeColor="text1"/>
          <w:sz w:val="16"/>
          <w:szCs w:val="16"/>
        </w:rPr>
        <w:t xml:space="preserve"> (у ДУНАЕВА). Собирались перед или после технических совещаний у меня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или у СОЛОВОВА в </w:t>
      </w:r>
      <w:proofErr w:type="spellStart"/>
      <w:r w:rsidRPr="007122AB">
        <w:rPr>
          <w:rFonts w:ascii="Times New Roman" w:hAnsi="Times New Roman"/>
          <w:color w:val="000000" w:themeColor="text1"/>
          <w:sz w:val="16"/>
          <w:szCs w:val="16"/>
        </w:rPr>
        <w:t>Уралплане</w:t>
      </w:r>
      <w:proofErr w:type="spellEnd"/>
      <w:r w:rsidRPr="007122AB">
        <w:rPr>
          <w:rFonts w:ascii="Times New Roman" w:hAnsi="Times New Roman"/>
          <w:color w:val="000000" w:themeColor="text1"/>
          <w:sz w:val="16"/>
          <w:szCs w:val="16"/>
        </w:rPr>
        <w:t>.</w:t>
      </w:r>
    </w:p>
    <w:p w14:paraId="31CE207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всех таких совещаниях в течение 1927, 1928 и половины 1929 года обычно обсуждались сначала вопросы политического порядка и тех новостей, которые каждый имел в результате поездки в центр.</w:t>
      </w:r>
    </w:p>
    <w:p w14:paraId="4BBF46F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внимание в беседах обращалось на положение в партии; каждая дискуссия, выступление отдельных членов партии рассматривал[и]</w:t>
      </w:r>
      <w:proofErr w:type="spellStart"/>
      <w:r w:rsidRPr="007122AB">
        <w:rPr>
          <w:rFonts w:ascii="Times New Roman" w:hAnsi="Times New Roman"/>
          <w:color w:val="000000" w:themeColor="text1"/>
          <w:sz w:val="16"/>
          <w:szCs w:val="16"/>
        </w:rPr>
        <w:t>сь</w:t>
      </w:r>
      <w:proofErr w:type="spellEnd"/>
      <w:r w:rsidRPr="007122AB">
        <w:rPr>
          <w:rFonts w:ascii="Times New Roman" w:hAnsi="Times New Roman"/>
          <w:color w:val="000000" w:themeColor="text1"/>
          <w:sz w:val="16"/>
          <w:szCs w:val="16"/>
        </w:rPr>
        <w:t xml:space="preserve"> как начало разложения партии и делались соответствующие выводы о возможности перемены существующего строя.</w:t>
      </w:r>
    </w:p>
    <w:p w14:paraId="04119F1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Обсуждались вопросы экономики СССР, причем по всем линиям (т. к. все члены организации получали в Москве определенную информацию), выяснялось[,] что экономическое положение, особенно за последнее время в связи с принудительной коллективизацией крестьянского хозяйства, делается катастрофическим и можно в любой момент ждать полного экономического развала. Обсуждались, и довольно горячо, вопросы продовольственного порядка. Большинство считало, что перебои с продовольствием будут усиливаться, и что через 1-2 года наступит естественный конец, как следствие голода, который вызовет голодные восстания и сметет Советскую власть, на смену которой, на первое время, придет интервенция.</w:t>
      </w:r>
    </w:p>
    <w:p w14:paraId="3310DB6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беседах и встречах обсуждались также вопросы, связанные с заграничной командировкой отдельных членов организации (СОЛОВОВ, КРАПИВИН, КАША-КАШВИЛИ и проф. СОКОЛОВ за время 1926-1928 года были заграницей). СОЛОВОВ был в командировке в Харбин[е] с целью привести оттуда инженеров и техников, которые после колчаковщины осели в Маньчжурии. СОЛОВОВ после возвращения в 1927 г. сообщил, что он беседовал с работниками, служившими раньше на Урале (ГАВРИЛОВЫМ, управляющим В[</w:t>
      </w:r>
      <w:proofErr w:type="spellStart"/>
      <w:r w:rsidRPr="007122AB">
        <w:rPr>
          <w:rFonts w:ascii="Times New Roman" w:hAnsi="Times New Roman"/>
          <w:color w:val="000000" w:themeColor="text1"/>
          <w:sz w:val="16"/>
          <w:szCs w:val="16"/>
        </w:rPr>
        <w:t>ерх</w:t>
      </w:r>
      <w:proofErr w:type="spellEnd"/>
      <w:r w:rsidRPr="007122AB">
        <w:rPr>
          <w:rFonts w:ascii="Times New Roman" w:hAnsi="Times New Roman"/>
          <w:color w:val="000000" w:themeColor="text1"/>
          <w:sz w:val="16"/>
          <w:szCs w:val="16"/>
        </w:rPr>
        <w:t xml:space="preserve">]-Исетским заводом, ВЕРТЯЧИХ, инженером Лыс[ь]венского округа,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БОСТРЕМОМ, горным начальником Златоустовского округа, при Колчаке - министр торговли и промышленности). СОЛОВОВ рассказывал, что никто из инженеров не верит в долгое существование Советской власти и считает, что программа нового строительства является сплошной глупостью. СОЛОВОВ никого не привез из крупных работников. С БОСТРЕМОМ он сговорился, что БОСТРЕМ сначала приедет на Урал ознакомиться и после этого решит, возвратится он или нет на Урал. БОСТРЕМ вскоре приехал на Урал, пробыл целый месяц, командировки его оплатили из советских средств, объехал он многие округа Урала и затем уехал, сказав, что подумает. Из Харбина прислал письмо в </w:t>
      </w:r>
      <w:proofErr w:type="spellStart"/>
      <w:r w:rsidRPr="007122AB">
        <w:rPr>
          <w:rFonts w:ascii="Times New Roman" w:hAnsi="Times New Roman"/>
          <w:color w:val="000000" w:themeColor="text1"/>
          <w:sz w:val="16"/>
          <w:szCs w:val="16"/>
        </w:rPr>
        <w:t>Уралсовнархоз</w:t>
      </w:r>
      <w:proofErr w:type="spellEnd"/>
      <w:r w:rsidRPr="007122AB">
        <w:rPr>
          <w:rFonts w:ascii="Times New Roman" w:hAnsi="Times New Roman"/>
          <w:color w:val="000000" w:themeColor="text1"/>
          <w:sz w:val="16"/>
          <w:szCs w:val="16"/>
        </w:rPr>
        <w:t xml:space="preserve"> и СОЛОВОВУ, что он не приедет на Урал. М. А. СОЛОВОВ рассказывал, что он вращался в Харбине в промышленных кругах (лесопромышленник крупный КОВАЛЬСКИЙ, с которым он связан родственными связями) и что настроение в этих кругах такое, что все считают Соввласть непрочной, экономическое положение СССР безнадежным.</w:t>
      </w:r>
    </w:p>
    <w:p w14:paraId="28BE7C3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Инженер КАША-КАШВИЛИ был в 1926 году в командировке в Германии, цель командировки размещение заказов Урала в Германии за счет немецкого кредита (300 мил. марок). КАША-КАШВИЛИ работал вместе с представителями центра и Юга (ХРЕННИКОВ, СВИЦЫН, ГОГОЦКИЙ) и по возвращении рассказал, что обстановка размещения заказов происходила не только неорганизованно, но и хаотически. Берлинское Торгпредство не было подготовлено к этой операции, фирм не знал[о] и относилось к делу не только несерьезно, но и вредительски. Нелепые спецификации, которые давались отдельными заводами[,] никем не анализировались и не увязывались и получались такие трюки, что заказывался и получался заводом станок для металлообработки, который по свои габаритам не мог поместиться в мастерской (этот пример касается Златоуста, куда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ФИДЛЕРОМ он был выписан).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КАША- КАШВИЛИ рассказывал, что тон всей этой работы задавал в Германии С. А. ХРЕННИКОВ, который говорил ему и остальным членам комиссии, что все равно ничего не выйдет из затеянной кредитной операции, когда придет время оплачивать заказы, денег все равно у Советской власти не будет.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КАША-КАШВИЛИ рассказывал в отдельных беседах в то же время, что комиссия[,] посещая заводы, а также в Берлине проводила очень весело время, ежедневно собираясь в ресторанах и вела беседы о положении советской власти в смысле ее непрочности. С. А. ХРЕННИКОВ в 1927 году в Москве мне рассказывал, что группа по размещению заказов в Берлине занималась делом совершенно несерьезно и фирмы большей частью выбирались непервоклассные с целью получить оборудование, которое не будет соответствовать своему назначению.</w:t>
      </w:r>
    </w:p>
    <w:p w14:paraId="2EAF92A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 КРАПИВИН, бывший заграницей с января по июль 1928 г., рассказывал, что он был в Германии с целью ознакомиться с металлургической и металлообрабатывающей промышленностью. КРАПИВИН в конце 1928 года в Свердловске, а также в Ленинграде в декабре 1928 г., где он был на техническом совете Гипромеза, рассказывал мне, что он виделся в Берлине с прежним владельцем (назвав Председателя правления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]-Тагильских заводов РАТЬКОВА-РОЖНОВА), который интересовался положением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]-Тагильского округа, новым строительством, которое намечено на заводах прежнего округа. КРАПИВИН, как он мне передал, рассказывал РАТЬКОВУ-РОЖНОВУ, что он, КРАПИВИН, проводит большое строительство на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]-Салдинском заводе с целью, чтобы этот завод после падения Советской власти перешел к старым владельцам хорошо оборудованным. РАТЬКОВ-РОЖНОВ, как передавал КРАПИВИН, рассказывал ему, что бывшие владельцы надеются на скорое падение Советской власти, что будет интервенция. Для согласования действий существует, как говорил В. П. КРАПИВИН, в Париже организация, именуемая Парижским центром, куда входят бывшие крупные промышленники (НОБЕЛЬ, РЯБУШИНСКИЙ и др.).</w:t>
      </w:r>
    </w:p>
    <w:p w14:paraId="209B1B7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Проф. И. А. СОКОЛОВ, который был в Германии, рассказывал по возвращении из командировки, что в Германии научные работы поставлены хорошо, жизнь высшей школы течет нормально, не так, как у нас в СССР. Проф. СОКОЛОВ рассказал, что профессура Германии не верит в наш строй и ожидает скорого падения Советской власти. В беседах и встречах </w:t>
      </w:r>
      <w:proofErr w:type="spellStart"/>
      <w:r w:rsidRPr="007122AB">
        <w:rPr>
          <w:rFonts w:ascii="Times New Roman" w:hAnsi="Times New Roman"/>
          <w:color w:val="000000" w:themeColor="text1"/>
          <w:sz w:val="16"/>
          <w:szCs w:val="16"/>
        </w:rPr>
        <w:t>контр-революционной</w:t>
      </w:r>
      <w:proofErr w:type="spellEnd"/>
      <w:r w:rsidRPr="007122AB">
        <w:rPr>
          <w:rFonts w:ascii="Times New Roman" w:hAnsi="Times New Roman"/>
          <w:color w:val="000000" w:themeColor="text1"/>
          <w:sz w:val="16"/>
          <w:szCs w:val="16"/>
        </w:rPr>
        <w:t xml:space="preserve"> группы обсуждались вопросы возможной интервенции, причем считали все, что без интервенции не может быть перехода к новому строю, который все мыслили[,] будет демократической республикой, каковая появится в результате решения Учредительного собрания.</w:t>
      </w:r>
    </w:p>
    <w:p w14:paraId="7979808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Участники группы обсуждали вопросы о предприятиях прежних владельцев, причем высказывалось мнение, чтобы предприятия были приведены в наиболее работоспособное состояние, обращая внимание на быстрое расширение их с затратой средств большей, чем на предприятия, принадлежавшие ранее казне.</w:t>
      </w:r>
    </w:p>
    <w:p w14:paraId="454525F1" w14:textId="77777777" w:rsidR="00E10439" w:rsidRPr="007122AB" w:rsidRDefault="00E10439"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Контр-революционная</w:t>
      </w:r>
      <w:proofErr w:type="spellEnd"/>
      <w:r w:rsidRPr="007122AB">
        <w:rPr>
          <w:rFonts w:ascii="Times New Roman" w:hAnsi="Times New Roman"/>
          <w:color w:val="000000" w:themeColor="text1"/>
          <w:sz w:val="16"/>
          <w:szCs w:val="16"/>
        </w:rPr>
        <w:t xml:space="preserve"> группа, получившая оформление в 1927 году, не имела, как я сказал, регулярных или общих собраний, пользовались члены каждым случаем, чтобы поделиться сообщениями и обсудить различные вопросы. Во главе организации стояли: я,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СОЛОВОВ 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КРАПИВИН. У каждого члена организации была особая отрасль работы и своя связь с центральными организациями.</w:t>
      </w:r>
    </w:p>
    <w:p w14:paraId="08CD797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меня было сначала проектирование Уральских новых заводов, затем строительство Магнитогорского завода.</w:t>
      </w:r>
    </w:p>
    <w:p w14:paraId="4DB9F88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своей связи по этой линии я выше делал показания. При образовании </w:t>
      </w:r>
      <w:proofErr w:type="spellStart"/>
      <w:r w:rsidRPr="007122AB">
        <w:rPr>
          <w:rFonts w:ascii="Times New Roman" w:hAnsi="Times New Roman"/>
          <w:color w:val="000000" w:themeColor="text1"/>
          <w:sz w:val="16"/>
          <w:szCs w:val="16"/>
        </w:rPr>
        <w:t>контр-рев</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олюционной</w:t>
      </w:r>
      <w:proofErr w:type="spellEnd"/>
      <w:r w:rsidRPr="007122AB">
        <w:rPr>
          <w:rFonts w:ascii="Times New Roman" w:hAnsi="Times New Roman"/>
          <w:color w:val="000000" w:themeColor="text1"/>
          <w:sz w:val="16"/>
          <w:szCs w:val="16"/>
        </w:rPr>
        <w:t xml:space="preserve">] группы Уральской,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в 1927 году, образовалась самостоятельная </w:t>
      </w:r>
      <w:proofErr w:type="spellStart"/>
      <w:r w:rsidRPr="007122AB">
        <w:rPr>
          <w:rFonts w:ascii="Times New Roman" w:hAnsi="Times New Roman"/>
          <w:color w:val="000000" w:themeColor="text1"/>
          <w:sz w:val="16"/>
          <w:szCs w:val="16"/>
        </w:rPr>
        <w:t>контр-рев</w:t>
      </w:r>
      <w:proofErr w:type="spellEnd"/>
      <w:r w:rsidRPr="007122AB">
        <w:rPr>
          <w:rFonts w:ascii="Times New Roman" w:hAnsi="Times New Roman"/>
          <w:color w:val="000000" w:themeColor="text1"/>
          <w:sz w:val="16"/>
          <w:szCs w:val="16"/>
        </w:rPr>
        <w:t xml:space="preserve">. группа, в которую вошли, кроме меня,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Н. В. СОКОЛОВ (помощник главного инженера), Б.[П]. БОГОЛЮБОВ (зав. горным отделом), В. В. ВОРОБЬЕВ (зав. металлургическим отделом), Н. Н. ШАДРИН (зав. прокатным п/отделом), Ф. Ф. ЭЙХЕ (зав. машиностроительным отделом), В. Ф. ФИДЛЕР (глав[</w:t>
      </w:r>
      <w:proofErr w:type="spellStart"/>
      <w:r w:rsidRPr="007122AB">
        <w:rPr>
          <w:rFonts w:ascii="Times New Roman" w:hAnsi="Times New Roman"/>
          <w:color w:val="000000" w:themeColor="text1"/>
          <w:sz w:val="16"/>
          <w:szCs w:val="16"/>
        </w:rPr>
        <w:t>ный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Уральского Машиностроительного завода, в 1927 г. он занимался проектированием завода), Л. Н. ФОЛЬВАРКОВ, зав. энергетическим отделом, В. Н. ВОЛКОВ, зав. проектированием заводов цветной металлургии и впоследствии в начале 1928 г. Г. Г. ГЕРШЕЛЬМАН, зав. огнеупорным отделом.</w:t>
      </w:r>
    </w:p>
    <w:p w14:paraId="727FA675"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Вся эта группа обсуждала все вопросы со мной, а в мое отсутствие -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Н. В. СОКОЛОВЫМ. В задачи группы входило, согласно директив, получаемых из центра, проводить вредительскую линию в области проектирования: задерживать и тормозить таковое, исполнять все ненужные и вредные распоряжения, касающиеся проектировки заводов, оттягивая и нанося этим вред будущему строительству. Исполнялись не только устные распоряжения, которые получали члены группы при посещении </w:t>
      </w:r>
      <w:proofErr w:type="spellStart"/>
      <w:r w:rsidRPr="007122AB">
        <w:rPr>
          <w:rFonts w:ascii="Times New Roman" w:hAnsi="Times New Roman"/>
          <w:color w:val="000000" w:themeColor="text1"/>
          <w:sz w:val="16"/>
          <w:szCs w:val="16"/>
        </w:rPr>
        <w:t>Главчермета</w:t>
      </w:r>
      <w:proofErr w:type="spellEnd"/>
      <w:r w:rsidRPr="007122AB">
        <w:rPr>
          <w:rFonts w:ascii="Times New Roman" w:hAnsi="Times New Roman"/>
          <w:color w:val="000000" w:themeColor="text1"/>
          <w:sz w:val="16"/>
          <w:szCs w:val="16"/>
        </w:rPr>
        <w:t xml:space="preserve"> (ХРЕННИКОВА, ЖДАНОВА, ДОБРОВОЛЬСКОГО, МИЛЮКОВА и КУТСКОГО) и Гипромеза (БЕЛОНОЖКИНА, БАЧ- МАНОВА, ЛИПИНА, ЛЕБЕДЕВА), но также и указания, которые давались приезжавшими на Урал БАЧМАНОВЫМ, ЛИПИНЫМ, ЛЕБЕДЕВЫМ, БЕЛОНОЖКИНЫМ, ДОБРОВОЛЬСКИМ.</w:t>
      </w:r>
    </w:p>
    <w:p w14:paraId="2621D3C9"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Аппарат </w:t>
      </w:r>
      <w:proofErr w:type="spellStart"/>
      <w:r w:rsidRPr="007122AB">
        <w:rPr>
          <w:rFonts w:ascii="Times New Roman" w:hAnsi="Times New Roman"/>
          <w:color w:val="000000" w:themeColor="text1"/>
          <w:sz w:val="16"/>
          <w:szCs w:val="16"/>
        </w:rPr>
        <w:t>Уралгипромеза</w:t>
      </w:r>
      <w:proofErr w:type="spellEnd"/>
      <w:r w:rsidRPr="007122AB">
        <w:rPr>
          <w:rFonts w:ascii="Times New Roman" w:hAnsi="Times New Roman"/>
          <w:color w:val="000000" w:themeColor="text1"/>
          <w:sz w:val="16"/>
          <w:szCs w:val="16"/>
        </w:rPr>
        <w:t xml:space="preserve"> сколачивался кое-как, работники приглашались без учета квалификации. В 1927 году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находились в работе проекты Магнитогорского завода, Уральского машиностроительного, вариант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 xml:space="preserve">]-Тагильского вагоностроительного, </w:t>
      </w:r>
      <w:proofErr w:type="spellStart"/>
      <w:r w:rsidRPr="007122AB">
        <w:rPr>
          <w:rFonts w:ascii="Times New Roman" w:hAnsi="Times New Roman"/>
          <w:color w:val="000000" w:themeColor="text1"/>
          <w:sz w:val="16"/>
          <w:szCs w:val="16"/>
        </w:rPr>
        <w:t>Богомоловский</w:t>
      </w:r>
      <w:proofErr w:type="spellEnd"/>
      <w:r w:rsidRPr="007122AB">
        <w:rPr>
          <w:rFonts w:ascii="Times New Roman" w:hAnsi="Times New Roman"/>
          <w:color w:val="000000" w:themeColor="text1"/>
          <w:sz w:val="16"/>
          <w:szCs w:val="16"/>
        </w:rPr>
        <w:t xml:space="preserve"> медеплавильный (пиритный вариант) и различные проекты. Проектирование заводов производилось, как я уже указал, несоответствующими своему назначению работниками.</w:t>
      </w:r>
    </w:p>
    <w:p w14:paraId="7AC6947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всем проектам частью исполнялись студентами, которые делали различные учебные варианты, затягивая окончание проектов. Все участники </w:t>
      </w:r>
      <w:proofErr w:type="spellStart"/>
      <w:r w:rsidRPr="007122AB">
        <w:rPr>
          <w:rFonts w:ascii="Times New Roman" w:hAnsi="Times New Roman"/>
          <w:color w:val="000000" w:themeColor="text1"/>
          <w:sz w:val="16"/>
          <w:szCs w:val="16"/>
        </w:rPr>
        <w:t>Уралгипромезовской</w:t>
      </w:r>
      <w:proofErr w:type="spellEnd"/>
      <w:r w:rsidRPr="007122AB">
        <w:rPr>
          <w:rFonts w:ascii="Times New Roman" w:hAnsi="Times New Roman"/>
          <w:color w:val="000000" w:themeColor="text1"/>
          <w:sz w:val="16"/>
          <w:szCs w:val="16"/>
        </w:rPr>
        <w:t xml:space="preserve"> группы строили свою работу с таким расчетом, что директивы центра (С. А. ХРЕННИКОВА) выполнялись. В итоге такой работы проекты Машиностроительного завода на Урале и Магнитогорске могли быть внесены в Технический Совет Гипромеза только в 1928 году (первый в мае и второй в декабре). Вопрос о задержках и вредительских актах по отношению к каждому заводу будет освещен в дальнейшем. В декабре 1928 года проект Магнитогорского завода был одобрен техническим советом Гипромеза, 15 января 192[9] г. СНК СССР заслушал доклад о Магнитострое[,] и 1 марта 1929 г. назначается управление Магнитостроя, главным инженером утверждаюсь я. Встает вопрос о сколачивании аппарата. Первая группа аппарата образуется из работников </w:t>
      </w:r>
      <w:proofErr w:type="spellStart"/>
      <w:r w:rsidRPr="007122AB">
        <w:rPr>
          <w:rFonts w:ascii="Times New Roman" w:hAnsi="Times New Roman"/>
          <w:color w:val="000000" w:themeColor="text1"/>
          <w:sz w:val="16"/>
          <w:szCs w:val="16"/>
        </w:rPr>
        <w:t>Уралгипромеза</w:t>
      </w:r>
      <w:proofErr w:type="spellEnd"/>
      <w:r w:rsidRPr="007122AB">
        <w:rPr>
          <w:rFonts w:ascii="Times New Roman" w:hAnsi="Times New Roman"/>
          <w:color w:val="000000" w:themeColor="text1"/>
          <w:sz w:val="16"/>
          <w:szCs w:val="16"/>
        </w:rPr>
        <w:t xml:space="preserve">, которые работали над Магнитогорским проектом: Н. В. СОКОЛОВ, В. В. ВОРОБЬЕВ, Н. Н. ШАДРИН, Б. П. БОГОЛЮБОВ, Л. И. ФОЛЬВАРКОВ, Г. Г. ГЕРШЕЛЬМАН, вся эта шестерка участвовала во вредительской группе </w:t>
      </w:r>
      <w:proofErr w:type="spellStart"/>
      <w:r w:rsidRPr="007122AB">
        <w:rPr>
          <w:rFonts w:ascii="Times New Roman" w:hAnsi="Times New Roman"/>
          <w:color w:val="000000" w:themeColor="text1"/>
          <w:sz w:val="16"/>
          <w:szCs w:val="16"/>
        </w:rPr>
        <w:t>Уралгипромеза</w:t>
      </w:r>
      <w:proofErr w:type="spellEnd"/>
      <w:r w:rsidRPr="007122AB">
        <w:rPr>
          <w:rFonts w:ascii="Times New Roman" w:hAnsi="Times New Roman"/>
          <w:color w:val="000000" w:themeColor="text1"/>
          <w:sz w:val="16"/>
          <w:szCs w:val="16"/>
        </w:rPr>
        <w:t xml:space="preserve">, зная все директивы центра о задержке проектирования и строительства новых заводов. Еще до официального утверждения Магнитостроя 5-10 февраля 1929 года было у меня в кабинете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первое совещание по Магнитострою, где ставились организационные вопросы. Все присутствующие (Н. В. СОКОЛОВ, ВОРОБЬЕВ, ШАДРИН, БОГОЛЮБОВ, ФОЛЬВАРКОВ и ГЕРШЕЛЬМАН), заслушав мое сообщение о решении правительства пустить первые доменные печи к 1 октября 1931 года[,] заявили, что в этот срок они абсолютно не верят. Говорили о том, что никто заграничных крупных заводов (за последнее время) не видел и что необходимо устроить каждому крупному работнику заграничную командировку. Мной сообщено было на совещании, что в середине января 1929 г. я имел разговор в Москве с </w:t>
      </w:r>
      <w:proofErr w:type="spellStart"/>
      <w:r w:rsidRPr="007122AB">
        <w:rPr>
          <w:rFonts w:ascii="Times New Roman" w:hAnsi="Times New Roman"/>
          <w:color w:val="000000" w:themeColor="text1"/>
          <w:sz w:val="16"/>
          <w:szCs w:val="16"/>
        </w:rPr>
        <w:t>С</w:t>
      </w:r>
      <w:proofErr w:type="spellEnd"/>
      <w:r w:rsidRPr="007122AB">
        <w:rPr>
          <w:rFonts w:ascii="Times New Roman" w:hAnsi="Times New Roman"/>
          <w:color w:val="000000" w:themeColor="text1"/>
          <w:sz w:val="16"/>
          <w:szCs w:val="16"/>
        </w:rPr>
        <w:t>. А. ХРЕННИКОВЫМ (после одобрения Магнитогорского проекта СНК СССР), где он снова давал директивы задерживать строительство с целью отодвинуть пуск крупного металлургического завода, внося диспропорцию в советском хозяйстве в смысле металла.</w:t>
      </w:r>
    </w:p>
    <w:p w14:paraId="2F3AA04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совещании 5-10 февраля обсуждался вопрос организационный и было решено ввиду громадности дела децентрализовать управление, чтобы каждый отдел работал самостоятельно и только принципиально важные вопросы обсуждались с главным инженером. На этом же совещании решено было послать на место строительства Б.[П]. БОГОЛЮБОВА и Г. Г. ГЕРШЕЛЬМАНА с целью рекогносцировки в смысле заготовки строительных материалов. БОГОЛЮБОВ и ГЕРШЕЛЬМАН объехали район и сделали установку в смысле строительных материалов явно вредительскую. ГЕРШЕЛЬМАН базировался на местных организациях и наметил перестройку кирпичного завода в &lt;селе&gt; Чернигове (за 50 км от Магнитной), которую начал осуществлять П[од]/Отдел Троицкого Окрисполкома. ГЕРШЕЛЬМАН знал, что из этой операции ничего не выйдет и делал это с целью затянуть постройку. БОГОЛЮБОВ то же самое проводил с заготовкой песка и леса (последний из Башкирии), зная заранее, что лес получить невозможно, ввиду наступления весенней распутицы, в будущем же с проведением железной дороги гужевая доставка будет нерентабельна.</w:t>
      </w:r>
    </w:p>
    <w:p w14:paraId="77229D6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совещании было решено подбирать штат, причем дана была директива, чтобы каждый по своему отделу самостоятельно комплектовал свой отдел. Это совещание, еще раз повторяю, проходило при полном неверии в осуществление Магнитогорского строительства в поставленные Правительством сроки, особенно учитывая неимение рабочего проекта и те директивы, которые дает центр (С. А. ХРЕННИКОВ) и ту позицию, которую занимает Госплан (КАЛИННИКОВ) в смысле затягивания в решении вопросов о снабжении углем Магнитогорского завода (развитие Кузнецкого бассейна и переустройство Сибирской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дороги для провоза Магнитогорских грузов).</w:t>
      </w:r>
    </w:p>
    <w:p w14:paraId="05FC5BD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Относительно госплановской политики мне в январе 1929 года в Москве говорил С. А. ХРЕННИКОВ, что с целью задержать строительство Госплан (промышленная и транспортная секции) тормозит постановку указанных выше вопросов. В начале марта 1929 г. я был в Москве в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xml:space="preserve">, где решались вопросы об отпуске средств на текущий год и вопрос организации управления строительством. С. А. ХРЕННИКОВ в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xml:space="preserve"> (2-3 марта 1929 г.) говорил мне, что НКПС ветку Карталы -  Магнитная в этом году не построит, что только одни разговоры, что ветка будет готова к августу, следовательно, строительный сезон будет сорван. С. А. ХРЕННИКОВ в смысле отпуска средств проводил линию задержки кредитов, сокращая наши наметки. Организационную схему управления строительством С. А. ХРЕННИКОВ не хотел не только утверждать, но и рассматривать. В этот же мой мартовский (в 1929 г.) приезд С. А. ХРЕННИКОВ рассказал мне о крупной перемене пятилетней программы металлопромышленности (с 10 мил. тонн чугуна в 1932/33 г. до 16,7 мил. тонн). С. А. ХРЕННИКОВ сказал, что он не верит в новую установку, но официально стоит за нее, говоря, что «лучше стоять за 16,7 мил., чем сидеть за 10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В этот же приезд (последняя моя встреча с </w:t>
      </w:r>
      <w:proofErr w:type="spellStart"/>
      <w:r w:rsidRPr="007122AB">
        <w:rPr>
          <w:rFonts w:ascii="Times New Roman" w:hAnsi="Times New Roman"/>
          <w:color w:val="000000" w:themeColor="text1"/>
          <w:sz w:val="16"/>
          <w:szCs w:val="16"/>
        </w:rPr>
        <w:t>С</w:t>
      </w:r>
      <w:proofErr w:type="spellEnd"/>
      <w:r w:rsidRPr="007122AB">
        <w:rPr>
          <w:rFonts w:ascii="Times New Roman" w:hAnsi="Times New Roman"/>
          <w:color w:val="000000" w:themeColor="text1"/>
          <w:sz w:val="16"/>
          <w:szCs w:val="16"/>
        </w:rPr>
        <w:t>. А. ХРЕННИКОВЫМ, который в мае 1929 г. был арестован) ХРЕННИКОВ говорил мне, что Магнитострою в смысле срыва строительства «везет», так как поставлен вопрос о крупном увеличении здания для рудника и завода в связи с увеличенной программой пятилетки.</w:t>
      </w:r>
    </w:p>
    <w:p w14:paraId="3D5B492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Изменение задания в период уже начатых работ спутает все карты, а это на руку вредительским организациям, которые поставили целью задержку в строительстве новых металлургических заводов.</w:t>
      </w:r>
    </w:p>
    <w:p w14:paraId="72122A0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Шестерка, о которой я говорил выше и которая составляла сработавшуюся вредительскую группу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при переходе в Магнитострой явилась вредительской группой. По должностям лица распределялись: Н. В. СОКОЛОВ помощник </w:t>
      </w:r>
      <w:proofErr w:type="spellStart"/>
      <w:r w:rsidRPr="007122AB">
        <w:rPr>
          <w:rFonts w:ascii="Times New Roman" w:hAnsi="Times New Roman"/>
          <w:color w:val="000000" w:themeColor="text1"/>
          <w:sz w:val="16"/>
          <w:szCs w:val="16"/>
        </w:rPr>
        <w:t>главн</w:t>
      </w:r>
      <w:proofErr w:type="spellEnd"/>
      <w:r w:rsidRPr="007122AB">
        <w:rPr>
          <w:rFonts w:ascii="Times New Roman" w:hAnsi="Times New Roman"/>
          <w:color w:val="000000" w:themeColor="text1"/>
          <w:sz w:val="16"/>
          <w:szCs w:val="16"/>
        </w:rPr>
        <w:t xml:space="preserve">[ого] инженера по общетехническим вопросам (у него же отдел заказов - импортных и внутренних), В. В. ВОРОБЬЕВ зав. мартеновским и бессемеровским отделом, Н. Н. ШАДРИН зав. прокатным отделом, Г. Г. ГЕРШЕЛЬМАН [—] отд. силикатных производств (краснокирпичного, шамотного и </w:t>
      </w:r>
      <w:proofErr w:type="spellStart"/>
      <w:r w:rsidRPr="007122AB">
        <w:rPr>
          <w:rFonts w:ascii="Times New Roman" w:hAnsi="Times New Roman"/>
          <w:color w:val="000000" w:themeColor="text1"/>
          <w:sz w:val="16"/>
          <w:szCs w:val="16"/>
        </w:rPr>
        <w:t>динасового</w:t>
      </w:r>
      <w:proofErr w:type="spellEnd"/>
      <w:r w:rsidRPr="007122AB">
        <w:rPr>
          <w:rFonts w:ascii="Times New Roman" w:hAnsi="Times New Roman"/>
          <w:color w:val="000000" w:themeColor="text1"/>
          <w:sz w:val="16"/>
          <w:szCs w:val="16"/>
        </w:rPr>
        <w:t>) и Л. И. ФОЛЬВАРКОВ - энергетическим отделом. Заведующего строительным отделом (помощника главного инженера по строительной части) в управлении не было. По рекомендации Н. В. СОКОЛОВА и В. В. ВОРОБЬЕВА я обратился в Госпроект ВСНХ РСФСР к инженеру Д. П. ЗНАМЕНСКОМУ, который раньше работал в качестве строителя (до революции 1917 г.) в Надеждинском заводе вместе с СОКОЛОВЫМ и ВОРОБЬЕВЫМ. Инженер ЗНАМЕНСКИЙ дал принципиальное согласие, но тянул свой переход с марта 1929 года до моего отъезда заграницу в феврале 1930 г.</w:t>
      </w:r>
    </w:p>
    <w:p w14:paraId="3DE3CFC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 меня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ЗНАМЕНСКИМ, который для ознакомления приезжал на площадку, было несколько бесед и в связи с переходом на Магнитострой и по вопросам проектирования городских зданий для Магнитогорска.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ЗНАМЕНСКИЙ при встречах со мной в сентябре, ноябре 1929 г. и в январе 1930 г. высказывал мнение, что он не верит в темпы Магнитостроя, в постановку вопроса постройки чисто социалистического города на Магнитострое; ЗНАМЕНСКИЙ мне говорил, что этот вопрос поставлен с целью срыва строительства.</w:t>
      </w:r>
    </w:p>
    <w:p w14:paraId="67A6A86F" w14:textId="77777777" w:rsidR="00E10439" w:rsidRPr="007122AB" w:rsidRDefault="00E10439"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ЗНАМЕНСКИЙ с начала переговоров с ним (март 1929 г.) говорил мне в Москве, что на пост главного строителя Магнитостроя подойдет </w:t>
      </w:r>
      <w:proofErr w:type="spellStart"/>
      <w:r w:rsidRPr="007122AB">
        <w:rPr>
          <w:rFonts w:ascii="Times New Roman" w:hAnsi="Times New Roman"/>
          <w:color w:val="000000" w:themeColor="text1"/>
          <w:sz w:val="16"/>
          <w:szCs w:val="16"/>
        </w:rPr>
        <w:t>главн</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ый</w:t>
      </w:r>
      <w:proofErr w:type="spellEnd"/>
      <w:r w:rsidRPr="007122AB">
        <w:rPr>
          <w:rFonts w:ascii="Times New Roman" w:hAnsi="Times New Roman"/>
          <w:color w:val="000000" w:themeColor="text1"/>
          <w:sz w:val="16"/>
          <w:szCs w:val="16"/>
        </w:rPr>
        <w:t xml:space="preserve">] инженер Госпроекта Э. Г. РОЗЕНБЕРГ, с которым ЗНАМЕНСКИЙ меня и познакомил. Э. Г. РОЗЕНБЕРГ был </w:t>
      </w:r>
      <w:proofErr w:type="spellStart"/>
      <w:r w:rsidRPr="007122AB">
        <w:rPr>
          <w:rFonts w:ascii="Times New Roman" w:hAnsi="Times New Roman"/>
          <w:color w:val="000000" w:themeColor="text1"/>
          <w:sz w:val="16"/>
          <w:szCs w:val="16"/>
        </w:rPr>
        <w:t>главн</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ым</w:t>
      </w:r>
      <w:proofErr w:type="spellEnd"/>
      <w:r w:rsidRPr="007122AB">
        <w:rPr>
          <w:rFonts w:ascii="Times New Roman" w:hAnsi="Times New Roman"/>
          <w:color w:val="000000" w:themeColor="text1"/>
          <w:sz w:val="16"/>
          <w:szCs w:val="16"/>
        </w:rPr>
        <w:t>] строителем Нижегородской электростанции и затем в комиссии тов. ЛОБОВА был в 1928 г. в Америке.</w:t>
      </w:r>
    </w:p>
    <w:p w14:paraId="7F988B6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РОЗЕНБЕРГ согласился поступить на Магнитострой, но долго оттягивал свой приезд и приехал на площадку только в июне 1929 г.</w:t>
      </w:r>
    </w:p>
    <w:p w14:paraId="1A29E46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РОЗЕНБЕРГ по ознакомлении с программой и сроками работ имел со мной беседу в июне 1929 г. на строительстве, где он высказал свое политическое кредо, которое заключалось в том, что он не признает Советской власти, является ее противником, считает, что Советская власть недолговечна, особенно после той коллективизации, которая проводится в настоящее время. Будет голод, говорит РОЗЕНБЕРГ, который решит все. РОЗЕНБЕРГ говорил мне, что такие гиганты, как Магнитогорский комбинат, Советской власти совершенно не под силу, ничего не выйдет из этого дела. Я ознакомил Э. Г. РОЗЕНБЕРГА с вредительской группой, которая работает на строительстве; РОЗЕНБЕРГ сказал мне, что такие группы, составленные из сработавшихся старых работников, проникнутые полным неверием в начинания Советской власти, работают везде - в учреждениях и на строительствах. Вся работа таких групп сводится в лучшем случае к казенному отношению к делу, а при нем, конечно, немыслимо никакое новое строительство, которое требует, как говорил РОЗЕНБЕРГ, энтузиазма. РОЗЕНБЕРГ в дальнейшем проявил на строительстве себя в полной мере: составлял строительные графики, явно преуменьшенные, без всякого учета в смысле подготовки к строительству, подбирал штат также неработоспособный и исповедующий его идеологию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ОБОЛЕНСКИЙ,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КРЮКОВ,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СУПРУНЕНКО). У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РОЗЕНБЕРГА иногда и открыто вырывались фразы, указывающие на неприязнь к Советской власти (в вагоне, когда он ехал вместе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СУПРУНЕНКО из Свердловска в Троицк, РОЗЕНБЕРГ сделал сравнение агентов ГПУ с стражниками царского времени). Ехавший представитель ПП О ГПУ на Урале хотел его в Троицке арестовать в мае 1929 г.</w:t>
      </w:r>
    </w:p>
    <w:p w14:paraId="542B735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Вернусь немного назад. В апреле месяце 1929 г. инженеры Н. В. СОКОЛОВ и В. В. ВОРОБЬЕВ были распоряжением ПП ОГПУ на Урале арестованы и затем приговорены на 5 лет с обязательством работать на Магнитострое. Инженера Н. В. СОКОЛОВА, естественно, нельзя было оставлять помощником </w:t>
      </w:r>
      <w:proofErr w:type="spellStart"/>
      <w:r w:rsidRPr="007122AB">
        <w:rPr>
          <w:rFonts w:ascii="Times New Roman" w:hAnsi="Times New Roman"/>
          <w:color w:val="000000" w:themeColor="text1"/>
          <w:sz w:val="16"/>
          <w:szCs w:val="16"/>
        </w:rPr>
        <w:t>главн</w:t>
      </w:r>
      <w:proofErr w:type="spellEnd"/>
      <w:r w:rsidRPr="007122AB">
        <w:rPr>
          <w:rFonts w:ascii="Times New Roman" w:hAnsi="Times New Roman"/>
          <w:color w:val="000000" w:themeColor="text1"/>
          <w:sz w:val="16"/>
          <w:szCs w:val="16"/>
        </w:rPr>
        <w:t xml:space="preserve">[ого] инженера. Я стал подыскивать себе заместителя (он же - главный металлург) и повел переговоры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С. И. АНИТОВЫМ.</w:t>
      </w:r>
    </w:p>
    <w:p w14:paraId="21F3E3F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И. АНИТОВ, работая в 1927 и 1928 г. в </w:t>
      </w:r>
      <w:proofErr w:type="spellStart"/>
      <w:r w:rsidRPr="007122AB">
        <w:rPr>
          <w:rFonts w:ascii="Times New Roman" w:hAnsi="Times New Roman"/>
          <w:color w:val="000000" w:themeColor="text1"/>
          <w:sz w:val="16"/>
          <w:szCs w:val="16"/>
        </w:rPr>
        <w:t>Уралцветмете</w:t>
      </w:r>
      <w:proofErr w:type="spellEnd"/>
      <w:r w:rsidRPr="007122AB">
        <w:rPr>
          <w:rFonts w:ascii="Times New Roman" w:hAnsi="Times New Roman"/>
          <w:color w:val="000000" w:themeColor="text1"/>
          <w:sz w:val="16"/>
          <w:szCs w:val="16"/>
        </w:rPr>
        <w:t xml:space="preserve"> техническим директором, имел связь с </w:t>
      </w:r>
      <w:proofErr w:type="spellStart"/>
      <w:r w:rsidRPr="007122AB">
        <w:rPr>
          <w:rFonts w:ascii="Times New Roman" w:hAnsi="Times New Roman"/>
          <w:color w:val="000000" w:themeColor="text1"/>
          <w:sz w:val="16"/>
          <w:szCs w:val="16"/>
        </w:rPr>
        <w:t>Уралгипромезом</w:t>
      </w:r>
      <w:proofErr w:type="spellEnd"/>
      <w:r w:rsidRPr="007122AB">
        <w:rPr>
          <w:rFonts w:ascii="Times New Roman" w:hAnsi="Times New Roman"/>
          <w:color w:val="000000" w:themeColor="text1"/>
          <w:sz w:val="16"/>
          <w:szCs w:val="16"/>
        </w:rPr>
        <w:t xml:space="preserve">, где горным отделом (Б. П. БОГОЛЮБОВЫМ) изготовлялись проекты рудников для Урал" цветмета. С. И. АНИТОВ часто заходил ко мне и беседовал со мной на политические и современные темы. С. И. АНИТОВ знал, как он мне говорил, о московских настроениях, знал, что существуют отраслевые группы вредительского характера. С. И. АНИТОВ был в хороших отношениях с В. П. КРАПИВИНЫМ, часто у него бывал; АНИТОВ (приблизительно в конце 1927 или начале 1928 г.) рассказал мне, что он также получает директивы снижать выработку меди на Урале, давая преуменьшенные программы. С. И. АНИТОВА я познакомил с </w:t>
      </w:r>
      <w:proofErr w:type="spellStart"/>
      <w:r w:rsidRPr="007122AB">
        <w:rPr>
          <w:rFonts w:ascii="Times New Roman" w:hAnsi="Times New Roman"/>
          <w:color w:val="000000" w:themeColor="text1"/>
          <w:sz w:val="16"/>
          <w:szCs w:val="16"/>
        </w:rPr>
        <w:t>контр-револ</w:t>
      </w:r>
      <w:proofErr w:type="spellEnd"/>
      <w:r w:rsidRPr="007122AB">
        <w:rPr>
          <w:rFonts w:ascii="Times New Roman" w:hAnsi="Times New Roman"/>
          <w:color w:val="000000" w:themeColor="text1"/>
          <w:sz w:val="16"/>
          <w:szCs w:val="16"/>
        </w:rPr>
        <w:t xml:space="preserve">. группой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он был хорошо знаком со всеми участниками. С. И. АНИТОВ в беседах со мной в 1928 году говорил, что в новое строительство (в установленные темпы) он не верит, считая индустриализацию </w:t>
      </w:r>
      <w:r w:rsidRPr="007122AB">
        <w:rPr>
          <w:rFonts w:ascii="Times New Roman" w:hAnsi="Times New Roman"/>
          <w:color w:val="000000" w:themeColor="text1"/>
          <w:sz w:val="16"/>
          <w:szCs w:val="16"/>
        </w:rPr>
        <w:lastRenderedPageBreak/>
        <w:t>делом несерьезным. С. И. АНИТОВ считал, что установка партии на коллективизацию сельского хозяйства ведет к голоду, затем к анархии, что эта политика приблизит смену режима Советской власти на демократическую республику в России.</w:t>
      </w:r>
    </w:p>
    <w:p w14:paraId="247D1FA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И. АНИТОВ поступил моим заместителем (он же главный металлург) в мае 1929 года. Как я выше показывал, С. И. АНИТОВ хорошо знал состав </w:t>
      </w:r>
      <w:proofErr w:type="spellStart"/>
      <w:r w:rsidRPr="007122AB">
        <w:rPr>
          <w:rFonts w:ascii="Times New Roman" w:hAnsi="Times New Roman"/>
          <w:color w:val="000000" w:themeColor="text1"/>
          <w:sz w:val="16"/>
          <w:szCs w:val="16"/>
        </w:rPr>
        <w:t>контр-револ</w:t>
      </w:r>
      <w:proofErr w:type="spellEnd"/>
      <w:r w:rsidRPr="007122AB">
        <w:rPr>
          <w:rFonts w:ascii="Times New Roman" w:hAnsi="Times New Roman"/>
          <w:color w:val="000000" w:themeColor="text1"/>
          <w:sz w:val="16"/>
          <w:szCs w:val="16"/>
        </w:rPr>
        <w:t xml:space="preserve">. группы в управлении Магнитостроя, быстро войдя в контакт с ней. С. И. АНИТОВ во время моего отсутствия (частых отъездов) заменял меня. В июне 1929 г. ознакомившись с работой и посетив место строительства на Магнитной С. И. АНИТОВ, докладывая мне о положении дела, дал следующую характеристику работ: по горной части у Б. П. БОГОЛЮБОВА штат в управлении заполнен работниками (начиная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ДЕМИДОВА - помощник БОГОЛЮБОВА) чисто искусственно, многие ничего не понимают в горном деле, проектировка идет слабо, составляют различные варианты, никому не нужные. На месте работ на Магнитной разведки ведутся безобразно медленно, затягивает их </w:t>
      </w:r>
      <w:proofErr w:type="spellStart"/>
      <w:r w:rsidRPr="007122AB">
        <w:rPr>
          <w:rFonts w:ascii="Times New Roman" w:hAnsi="Times New Roman"/>
          <w:color w:val="000000" w:themeColor="text1"/>
          <w:sz w:val="16"/>
          <w:szCs w:val="16"/>
        </w:rPr>
        <w:t>Уралгортрест</w:t>
      </w:r>
      <w:proofErr w:type="spellEnd"/>
      <w:r w:rsidRPr="007122AB">
        <w:rPr>
          <w:rFonts w:ascii="Times New Roman" w:hAnsi="Times New Roman"/>
          <w:color w:val="000000" w:themeColor="text1"/>
          <w:sz w:val="16"/>
          <w:szCs w:val="16"/>
        </w:rPr>
        <w:t xml:space="preserve"> и персонально технический директор треста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П. А. ГИРБАСОВ, участник </w:t>
      </w:r>
      <w:proofErr w:type="spellStart"/>
      <w:r w:rsidRPr="007122AB">
        <w:rPr>
          <w:rFonts w:ascii="Times New Roman" w:hAnsi="Times New Roman"/>
          <w:color w:val="000000" w:themeColor="text1"/>
          <w:sz w:val="16"/>
          <w:szCs w:val="16"/>
        </w:rPr>
        <w:t>контр-революционной</w:t>
      </w:r>
      <w:proofErr w:type="spellEnd"/>
      <w:r w:rsidRPr="007122AB">
        <w:rPr>
          <w:rFonts w:ascii="Times New Roman" w:hAnsi="Times New Roman"/>
          <w:color w:val="000000" w:themeColor="text1"/>
          <w:sz w:val="16"/>
          <w:szCs w:val="16"/>
        </w:rPr>
        <w:t xml:space="preserve"> Уральской группы. БОГОЛЮБОВ, как докладывал мне С. И. АНИТОВ, до июня месяца не знает, какая будет система горных работ на Магнитной, в смысле обогащения, т. е. какие участки и в какой последовательности будут разрабатываться. АНИТОВ сказал мне (в июне 1929 г.), что разведки на известняки, белые глины, марганцевую руду не производятся. В смысле положения с проектированием металлургических цехов идет неразбериха, почти вся работа делается впустую, как говорил С. И. АНИТОВ [;] по доменному делу вопрос с тоннажем печи все еще не разрешен Гипромезом, по Мартену В. В. ВОРОБЬЕВ продолжает вести волынку, не желая принять американскую систему расположения мартеновского цеха, чем задерживает проектирование. По прокатному цеху Н. Н. ШАДРИН, по словам С. И. АНИТОВА, делает различные варианты, никому ненужные, студенческого типа подсчеты. Характеризуя работу Н. В. СОКОЛОВА (особенно по импортным заявкам), С. И. АНИТОВ говорил мне, что здесь проводится линия вредительства, в некоторых спецификациях дважды были указаны одни и те же предметы (автомобильный транспорт).</w:t>
      </w:r>
    </w:p>
    <w:p w14:paraId="6F34D20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ГЕРШЕЛЬМАНА работа по составлению проектов и по подготовке к строительству исполняется, по словам С. И. АНИТОВА, чрезвычайно слабыми силами, с крупными ошибками. Потребность в кирпиче строительным отделом дается неверная.</w:t>
      </w:r>
    </w:p>
    <w:p w14:paraId="5869B6B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энергетическом отделе у Л. И. ФОЛЬВАРКОВА весь штат занимается составлением в разных вариантах теплового баланса. Л. И. ФОЛЬВАРКОВ, по словам С. И. АНИТОВА, только брюзжит, но до сих пор (до июня) не желает вести подготовительную работу к строительству временной электростанции и к заказам для нее.</w:t>
      </w:r>
    </w:p>
    <w:p w14:paraId="6A92C35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месте работ в смысле строительства до июля месяца 1929 г., времени открытия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xml:space="preserve">. дороги Карталы - Магнитная[,] почти ничего не было сделано, так как не было подвоза строительных материалов. Заготовка строительного камня была отдана </w:t>
      </w:r>
      <w:proofErr w:type="spellStart"/>
      <w:r w:rsidRPr="007122AB">
        <w:rPr>
          <w:rFonts w:ascii="Times New Roman" w:hAnsi="Times New Roman"/>
          <w:color w:val="000000" w:themeColor="text1"/>
          <w:sz w:val="16"/>
          <w:szCs w:val="16"/>
        </w:rPr>
        <w:t>Уралгортресту</w:t>
      </w:r>
      <w:proofErr w:type="spellEnd"/>
      <w:r w:rsidRPr="007122AB">
        <w:rPr>
          <w:rFonts w:ascii="Times New Roman" w:hAnsi="Times New Roman"/>
          <w:color w:val="000000" w:themeColor="text1"/>
          <w:sz w:val="16"/>
          <w:szCs w:val="16"/>
        </w:rPr>
        <w:t xml:space="preserve">, который искусственно задерживал как добычу, так и доставку камня к месту работ[;] этими работами в тресте руководил и бывал на месте работ технический директор </w:t>
      </w:r>
      <w:proofErr w:type="spellStart"/>
      <w:r w:rsidRPr="007122AB">
        <w:rPr>
          <w:rFonts w:ascii="Times New Roman" w:hAnsi="Times New Roman"/>
          <w:color w:val="000000" w:themeColor="text1"/>
          <w:sz w:val="16"/>
          <w:szCs w:val="16"/>
        </w:rPr>
        <w:t>Уралгортреста</w:t>
      </w:r>
      <w:proofErr w:type="spellEnd"/>
      <w:r w:rsidRPr="007122AB">
        <w:rPr>
          <w:rFonts w:ascii="Times New Roman" w:hAnsi="Times New Roman"/>
          <w:color w:val="000000" w:themeColor="text1"/>
          <w:sz w:val="16"/>
          <w:szCs w:val="16"/>
        </w:rPr>
        <w:t xml:space="preserve"> П. А. ГИРБАСОВ, участник </w:t>
      </w:r>
      <w:proofErr w:type="spellStart"/>
      <w:r w:rsidRPr="007122AB">
        <w:rPr>
          <w:rFonts w:ascii="Times New Roman" w:hAnsi="Times New Roman"/>
          <w:color w:val="000000" w:themeColor="text1"/>
          <w:sz w:val="16"/>
          <w:szCs w:val="16"/>
        </w:rPr>
        <w:t>контр-рев</w:t>
      </w:r>
      <w:proofErr w:type="spellEnd"/>
      <w:r w:rsidRPr="007122AB">
        <w:rPr>
          <w:rFonts w:ascii="Times New Roman" w:hAnsi="Times New Roman"/>
          <w:color w:val="000000" w:themeColor="text1"/>
          <w:sz w:val="16"/>
          <w:szCs w:val="16"/>
        </w:rPr>
        <w:t xml:space="preserve">. организации на Урале. С конца мая, начала июня начинается вплоть до моего отъезда заграницу поход со стороны центра против строительства Магнитогорского завода, </w:t>
      </w:r>
      <w:proofErr w:type="spellStart"/>
      <w:r w:rsidRPr="007122AB">
        <w:rPr>
          <w:rFonts w:ascii="Times New Roman" w:hAnsi="Times New Roman"/>
          <w:color w:val="000000" w:themeColor="text1"/>
          <w:sz w:val="16"/>
          <w:szCs w:val="16"/>
        </w:rPr>
        <w:t>котороес</w:t>
      </w:r>
      <w:proofErr w:type="spellEnd"/>
      <w:r w:rsidRPr="007122AB">
        <w:rPr>
          <w:rFonts w:ascii="Times New Roman" w:hAnsi="Times New Roman"/>
          <w:color w:val="000000" w:themeColor="text1"/>
          <w:sz w:val="16"/>
          <w:szCs w:val="16"/>
        </w:rPr>
        <w:t> заключалось, во-первых, в постоянном изменении ассигнований на строительство, что срывало намеченные программы, во-вторых, систематическое затягивание вопроса о постройке тукового комбината при Магнитогорском заводе, в-третьих, в течение 1/2 года (с августа 1929 г. по февраль 1930 г.) изменялось производственное задание для завода и, в-четвертых, задержка в проектировании и строительстве города (какого типа должен быть город).</w:t>
      </w:r>
    </w:p>
    <w:p w14:paraId="1B5E054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Размеры отпуска средств на строительство на 1929 г. все время менялись. Бывало так (в июле), что в течение месяца давали три разных цифры ассигнований. С. Д. АСВАДУРОВ, который работал в московской конторе Магнитостроя, говорил мне, что такую политику, ведущую к неразберихе, постоянной переделке </w:t>
      </w:r>
      <w:proofErr w:type="spellStart"/>
      <w:r w:rsidRPr="007122AB">
        <w:rPr>
          <w:rFonts w:ascii="Times New Roman" w:hAnsi="Times New Roman"/>
          <w:color w:val="000000" w:themeColor="text1"/>
          <w:sz w:val="16"/>
          <w:szCs w:val="16"/>
        </w:rPr>
        <w:t>промфинпланов</w:t>
      </w:r>
      <w:proofErr w:type="spellEnd"/>
      <w:r w:rsidRPr="007122AB">
        <w:rPr>
          <w:rFonts w:ascii="Times New Roman" w:hAnsi="Times New Roman"/>
          <w:color w:val="000000" w:themeColor="text1"/>
          <w:sz w:val="16"/>
          <w:szCs w:val="16"/>
        </w:rPr>
        <w:t xml:space="preserve"> и срыву строительства, проводят все, причем в июле 1929 г. в Москве говорил мне, что после ареста ХРЕННИКОВА в мае в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xml:space="preserve"> обращаться по этому вопросу бесполезно, что П. И. ЕГОРОВ (заведующий металлургическим отделом) говорил ему, АСВАДУРОВУ, что он не принимает никакого участия в этом деле. АСВАДУРОВ тогда же мне сообщил, что к этому вопросу имеет отношение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ЮШКОВ в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который ведает экономикой новых металлургических заводов и имеет большое влияние на распределение ассигнований на строительства. В ПЗУ ВСНХ, которое делает разбивку средств, АСВАДУРОВ в июле 1929 г. в Москве говорил мне, что этим делом ведает БЕЛОЦЕРКОВСКИЙ, от которого зависит распределение ассигнований.</w:t>
      </w:r>
    </w:p>
    <w:p w14:paraId="00FC5E1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1929 г. мне пришлось встретиться в ВСНХ с ЮШКОВЫМ и БЕЛОЦЕРКОВСКИМ, причем этой встрече предшествовали следующие обстоятельства.</w:t>
      </w:r>
    </w:p>
    <w:p w14:paraId="6CB34DA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утверждения Магнитогорского проекта в техническом совете Гипромеза (декабрь 1928 г.) и одобрения его Правлением </w:t>
      </w:r>
      <w:proofErr w:type="spellStart"/>
      <w:r w:rsidRPr="007122AB">
        <w:rPr>
          <w:rFonts w:ascii="Times New Roman" w:hAnsi="Times New Roman"/>
          <w:color w:val="000000" w:themeColor="text1"/>
          <w:sz w:val="16"/>
          <w:szCs w:val="16"/>
        </w:rPr>
        <w:t>Главчермета</w:t>
      </w:r>
      <w:proofErr w:type="spellEnd"/>
      <w:r w:rsidRPr="007122AB">
        <w:rPr>
          <w:rFonts w:ascii="Times New Roman" w:hAnsi="Times New Roman"/>
          <w:color w:val="000000" w:themeColor="text1"/>
          <w:sz w:val="16"/>
          <w:szCs w:val="16"/>
        </w:rPr>
        <w:t xml:space="preserve"> (28-29 декабря 1928 г.) был поставлен вопрос о деталировке некоторых экономических коэффициентов строительства, а также о распределении средств по годам постройки. Подбором всех этих материалов занимался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В. В. ВОРОБЬЕВ, зав. металлургическим отделом </w:t>
      </w:r>
      <w:proofErr w:type="spellStart"/>
      <w:r w:rsidRPr="007122AB">
        <w:rPr>
          <w:rFonts w:ascii="Times New Roman" w:hAnsi="Times New Roman"/>
          <w:color w:val="000000" w:themeColor="text1"/>
          <w:sz w:val="16"/>
          <w:szCs w:val="16"/>
        </w:rPr>
        <w:t>Уралгипромеза</w:t>
      </w:r>
      <w:proofErr w:type="spellEnd"/>
      <w:r w:rsidRPr="007122AB">
        <w:rPr>
          <w:rFonts w:ascii="Times New Roman" w:hAnsi="Times New Roman"/>
          <w:color w:val="000000" w:themeColor="text1"/>
          <w:sz w:val="16"/>
          <w:szCs w:val="16"/>
        </w:rPr>
        <w:t xml:space="preserve"> в то время, затем зав. мартеновским и бессемеровским производством Магнитостроя. В Уральском представительстве экономистом работал в то время ЭВЕНЧИК, который был связан и с экономическими отделами и отдельными экономистами ВСНХ (ГИНЗБУРГОМ, БЕЛОЦЕРКОВСКИМ, ЮШКОВЫМ). ЭВЕНЧИК, который тогда же принимал участие в составлении краткой экономической записки для СНК СССР, рекомендовал ВОРОБЬЕВУ обратиться к БЕЛОЦЕРКОВСКОМУ и ЮШКОВУ для подработки экономических вопросов Магнитогорского завода. ЭВЕНЧИК сначала работал в </w:t>
      </w:r>
      <w:proofErr w:type="spellStart"/>
      <w:r w:rsidRPr="007122AB">
        <w:rPr>
          <w:rFonts w:ascii="Times New Roman" w:hAnsi="Times New Roman"/>
          <w:color w:val="000000" w:themeColor="text1"/>
          <w:sz w:val="16"/>
          <w:szCs w:val="16"/>
        </w:rPr>
        <w:t>Уралплане</w:t>
      </w:r>
      <w:proofErr w:type="spellEnd"/>
      <w:r w:rsidRPr="007122AB">
        <w:rPr>
          <w:rFonts w:ascii="Times New Roman" w:hAnsi="Times New Roman"/>
          <w:color w:val="000000" w:themeColor="text1"/>
          <w:sz w:val="16"/>
          <w:szCs w:val="16"/>
        </w:rPr>
        <w:t xml:space="preserve">, откуда перешел экономистом в представительство </w:t>
      </w:r>
      <w:proofErr w:type="spellStart"/>
      <w:r w:rsidRPr="007122AB">
        <w:rPr>
          <w:rFonts w:ascii="Times New Roman" w:hAnsi="Times New Roman"/>
          <w:color w:val="000000" w:themeColor="text1"/>
          <w:sz w:val="16"/>
          <w:szCs w:val="16"/>
        </w:rPr>
        <w:t>Уралобласти</w:t>
      </w:r>
      <w:proofErr w:type="spellEnd"/>
      <w:r w:rsidRPr="007122AB">
        <w:rPr>
          <w:rFonts w:ascii="Times New Roman" w:hAnsi="Times New Roman"/>
          <w:color w:val="000000" w:themeColor="text1"/>
          <w:sz w:val="16"/>
          <w:szCs w:val="16"/>
        </w:rPr>
        <w:t xml:space="preserve"> в Москве. ЭВЕНЧИК в разговорах со мной в Москве (в декабре 1928 г., в январе и марте 1930 г.) говорил мне, что экономисты, и в том числе и он, не верят в темпы индустриализации СССР, средств не хватит для осуществления строительной программы, что все экономические выводы покоятся на предпосылках несерьезных, что статистические данные, которыми оперируют экономисты, дутые.</w:t>
      </w:r>
    </w:p>
    <w:p w14:paraId="35B71F0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 ВОРОБЬЕВ, ЭВЕНЧИК и я встретились в ВСНХ (2-5 января 1929 г.) с БЕЛОЦЕРКОВСКИМ и ЮШКОВЫМ, где договорились о составлении записки о распределении средств по годам постройки Магнитогорского завода. БЕЛОЦЕРКОВСКИЙ говорил тогда, что вопрос этот будет подработан в таком порядке, чтобы обеспечить строительство необходимыми средствами, но добавлял, что все это не имеет никакого серьезного значения, так как финансовая и материальная обстановка таковы, что все равно все строительство будет сорвано. Работу БЕЛОЦЕРКОВСКИЙ и ЮШКОВ сдали В. В. ВОРОБЬЕВУ, который уплатил им из средств Магнитостроя денежную сумму (размер я не помню, около 500 руб.).</w:t>
      </w:r>
    </w:p>
    <w:p w14:paraId="4D2EB57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АСВАДУРОВ в июле 1929 г. говорил мне в Москве, что в решении при ассигновании средств на новые заводы имеет большое значение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ЧЕРНОМОРДИК из Наркомфина.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ЧЕРНОМОРДИКА я знал с 1923 года, встречал его при рассмотрении производственных программ в </w:t>
      </w:r>
      <w:proofErr w:type="spellStart"/>
      <w:r w:rsidRPr="007122AB">
        <w:rPr>
          <w:rFonts w:ascii="Times New Roman" w:hAnsi="Times New Roman"/>
          <w:color w:val="000000" w:themeColor="text1"/>
          <w:sz w:val="16"/>
          <w:szCs w:val="16"/>
        </w:rPr>
        <w:t>Главметалле</w:t>
      </w:r>
      <w:proofErr w:type="spellEnd"/>
      <w:r w:rsidRPr="007122AB">
        <w:rPr>
          <w:rFonts w:ascii="Times New Roman" w:hAnsi="Times New Roman"/>
          <w:color w:val="000000" w:themeColor="text1"/>
          <w:sz w:val="16"/>
          <w:szCs w:val="16"/>
        </w:rPr>
        <w:t xml:space="preserve">, причем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ЧЕРНОМОРДИК всегда проводил линию, чтобы срезать средства по Уральским заводам.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ЧЕРНОМОРДИК состоял членом технического совета Гипромеза (по экономической секции) и в разговорах со мной высказывал мнение, что программа нового строительства несерьезна, так как средства Наркомфина в высшей степени напряжены. В мае месяце или начале июня 1929 г. энергетик Магнитостроя Л. И. ФОЛЬВАРКОВ был в Москве с целью приглашения сотрудников в свой отдел. Возвратившись на Урал Л. И. ФОЛЬВАРКОВ в июне сообщил мне, что он в Энергострое узнал (от кого не сказал мне), что при новых металлургических заводах, в том числе и Магнитогорском, решено </w:t>
      </w:r>
      <w:proofErr w:type="spellStart"/>
      <w:r w:rsidRPr="007122AB">
        <w:rPr>
          <w:rFonts w:ascii="Times New Roman" w:hAnsi="Times New Roman"/>
          <w:color w:val="000000" w:themeColor="text1"/>
          <w:sz w:val="16"/>
          <w:szCs w:val="16"/>
        </w:rPr>
        <w:t>Главхимом</w:t>
      </w:r>
      <w:proofErr w:type="spellEnd"/>
      <w:r w:rsidRPr="007122AB">
        <w:rPr>
          <w:rFonts w:ascii="Times New Roman" w:hAnsi="Times New Roman"/>
          <w:color w:val="000000" w:themeColor="text1"/>
          <w:sz w:val="16"/>
          <w:szCs w:val="16"/>
        </w:rPr>
        <w:t xml:space="preserve"> ВСНХ построить крупные химические заводы, используя водород коксовальных установок, получать синтетический аммиак, чтобы в мирное время получать, как конечный продукт, туковые продукты для употребления, а во время военных действий — взрывчатые вещества. Л. И. ФОЛЬВАРКОВ тогда же сообщил мне, что этот вопрос совершенно меняет энергетический баланс завода, который надо пересчитывать заново, что эта установка потребует изменения проекта, в смысле электроэнергии, парового и водяного хозяйства и также потребует завоза в завод лишнего твердого минерального топлива. Л. И. ФОЛЬВАРКОВ рассказал мне, что этот вопрос скрывался в </w:t>
      </w:r>
      <w:proofErr w:type="spellStart"/>
      <w:r w:rsidRPr="007122AB">
        <w:rPr>
          <w:rFonts w:ascii="Times New Roman" w:hAnsi="Times New Roman"/>
          <w:color w:val="000000" w:themeColor="text1"/>
          <w:sz w:val="16"/>
          <w:szCs w:val="16"/>
        </w:rPr>
        <w:t>Главхиме</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xml:space="preserve">, но кто участвовал в этом вредительстве персонально, он не знает. В июле 1929 г. при моем посещении Москвы вопрос этот ставился в техническом совете </w:t>
      </w:r>
      <w:proofErr w:type="spellStart"/>
      <w:r w:rsidRPr="007122AB">
        <w:rPr>
          <w:rFonts w:ascii="Times New Roman" w:hAnsi="Times New Roman"/>
          <w:color w:val="000000" w:themeColor="text1"/>
          <w:sz w:val="16"/>
          <w:szCs w:val="16"/>
        </w:rPr>
        <w:t>Главчермета</w:t>
      </w:r>
      <w:proofErr w:type="spellEnd"/>
      <w:r w:rsidRPr="007122AB">
        <w:rPr>
          <w:rFonts w:ascii="Times New Roman" w:hAnsi="Times New Roman"/>
          <w:color w:val="000000" w:themeColor="text1"/>
          <w:sz w:val="16"/>
          <w:szCs w:val="16"/>
        </w:rPr>
        <w:t xml:space="preserve"> под председательством Л. О. ТРАУТМАНА, где представители </w:t>
      </w:r>
      <w:proofErr w:type="spellStart"/>
      <w:r w:rsidRPr="007122AB">
        <w:rPr>
          <w:rFonts w:ascii="Times New Roman" w:hAnsi="Times New Roman"/>
          <w:color w:val="000000" w:themeColor="text1"/>
          <w:sz w:val="16"/>
          <w:szCs w:val="16"/>
        </w:rPr>
        <w:t>Главхима</w:t>
      </w:r>
      <w:proofErr w:type="spellEnd"/>
      <w:r w:rsidRPr="007122AB">
        <w:rPr>
          <w:rFonts w:ascii="Times New Roman" w:hAnsi="Times New Roman"/>
          <w:color w:val="000000" w:themeColor="text1"/>
          <w:sz w:val="16"/>
          <w:szCs w:val="16"/>
        </w:rPr>
        <w:t xml:space="preserve"> (фамилии представителей не помню) не сообщили окончательных технических данных, необходимых для проектирования в связи с постройкой тукового комбината при Магнитострое. Таким образом[,] проектирование электростанции в Энергострое и коксовых установок в </w:t>
      </w:r>
      <w:proofErr w:type="spellStart"/>
      <w:r w:rsidRPr="007122AB">
        <w:rPr>
          <w:rFonts w:ascii="Times New Roman" w:hAnsi="Times New Roman"/>
          <w:color w:val="000000" w:themeColor="text1"/>
          <w:sz w:val="16"/>
          <w:szCs w:val="16"/>
        </w:rPr>
        <w:t>Коксострое</w:t>
      </w:r>
      <w:proofErr w:type="spellEnd"/>
      <w:r w:rsidRPr="007122AB">
        <w:rPr>
          <w:rFonts w:ascii="Times New Roman" w:hAnsi="Times New Roman"/>
          <w:color w:val="000000" w:themeColor="text1"/>
          <w:sz w:val="16"/>
          <w:szCs w:val="16"/>
        </w:rPr>
        <w:t xml:space="preserve"> не могло продолжаться. В августе 1929 года </w:t>
      </w:r>
      <w:proofErr w:type="spellStart"/>
      <w:r w:rsidRPr="007122AB">
        <w:rPr>
          <w:rFonts w:ascii="Times New Roman" w:hAnsi="Times New Roman"/>
          <w:color w:val="000000" w:themeColor="text1"/>
          <w:sz w:val="16"/>
          <w:szCs w:val="16"/>
        </w:rPr>
        <w:t>Главхимом</w:t>
      </w:r>
      <w:proofErr w:type="spellEnd"/>
      <w:r w:rsidRPr="007122AB">
        <w:rPr>
          <w:rFonts w:ascii="Times New Roman" w:hAnsi="Times New Roman"/>
          <w:color w:val="000000" w:themeColor="text1"/>
          <w:sz w:val="16"/>
          <w:szCs w:val="16"/>
        </w:rPr>
        <w:t xml:space="preserve"> была прислана на Магнитную комиссия с целью выяснения различных вопросов, связанных с предполагаемым строительством тукового комбината. Комиссия и на месте строительства не могла дать никаких конкретных данных для проектирования водяного, парового и силового хозяйств Магнитогорского завода. Вопрос с постройкой тукового комбината до моего отъезда заграницу определенно разрешен не был.</w:t>
      </w:r>
    </w:p>
    <w:p w14:paraId="13F5B47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Вопрос с изменением (увеличением) производственного задания для Магнитогорского комбината был поднят вскоре после утверждения проекта техническим советом Гипромеза. Установка, сделанная Гипромезом (В. Н. ЛИПИНЫМ), что доменные печи будут иметь производительность в 600 тонн, не выдержала критики; работники металлургии, побывавшие за последнее время заграницей, привезли конкретные данные, что в Германии, особенно в Америке, имеются доменные печи, дающие суточную выплавку в 1000 тонн. В. Н. ЛИПИН, упрямо отстаивая сначала задание в 450 т., затем в 600 т. соглашается повысить задание до 800 тонн, а вскоре (летом 1929 г.) в «Бюллетене Гипромеза» появляется его статья, трактующая о выплавке в 1000 тонн. В конце августа 1929 г. Магнитострой представил на утверждение </w:t>
      </w:r>
      <w:proofErr w:type="spellStart"/>
      <w:r w:rsidRPr="007122AB">
        <w:rPr>
          <w:rFonts w:ascii="Times New Roman" w:hAnsi="Times New Roman"/>
          <w:color w:val="000000" w:themeColor="text1"/>
          <w:sz w:val="16"/>
          <w:szCs w:val="16"/>
        </w:rPr>
        <w:t>Главчермета</w:t>
      </w:r>
      <w:proofErr w:type="spellEnd"/>
      <w:r w:rsidRPr="007122AB">
        <w:rPr>
          <w:rFonts w:ascii="Times New Roman" w:hAnsi="Times New Roman"/>
          <w:color w:val="000000" w:themeColor="text1"/>
          <w:sz w:val="16"/>
          <w:szCs w:val="16"/>
        </w:rPr>
        <w:t xml:space="preserve"> новую программу Магнитогорского комбината с выпуском 850 тысяч тонн чугуна (вместо прежней программы в 600 тысяч тонн). Как мне сообщил в сентябре 1929 г. в Москве С. Д. АСВАДУРОВ, привезенная Магнитостроем новая программа не принята, так как в Госплане (в промышленной секции) у КАЛИННИКОВА полная чехарда в смысле изменения заданий для новых металлургических заводов, что вся работа в Госплане построена в этом отношении на затягивании и срыве темпов строительства. В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xml:space="preserve"> никакой определенной установки не было, член Правления (по технической части) Л. О. ТРАУТМАН сказал мне, что вопрос увеличения задания для новых заводов передан в Гипромез в Ленинград. Разговор этот с Л. О. ТРАУТМАНОМ был в конце сентября или начале октября 1929 г. в Москве в </w:t>
      </w:r>
      <w:proofErr w:type="spellStart"/>
      <w:r w:rsidRPr="007122AB">
        <w:rPr>
          <w:rFonts w:ascii="Times New Roman" w:hAnsi="Times New Roman"/>
          <w:color w:val="000000" w:themeColor="text1"/>
          <w:sz w:val="16"/>
          <w:szCs w:val="16"/>
        </w:rPr>
        <w:t>Главчермете</w:t>
      </w:r>
      <w:proofErr w:type="spellEnd"/>
      <w:r w:rsidRPr="007122AB">
        <w:rPr>
          <w:rFonts w:ascii="Times New Roman" w:hAnsi="Times New Roman"/>
          <w:color w:val="000000" w:themeColor="text1"/>
          <w:sz w:val="16"/>
          <w:szCs w:val="16"/>
        </w:rPr>
        <w:t xml:space="preserve">. Программу в 850 тыс. тонн </w:t>
      </w:r>
      <w:proofErr w:type="spellStart"/>
      <w:r w:rsidRPr="007122AB">
        <w:rPr>
          <w:rFonts w:ascii="Times New Roman" w:hAnsi="Times New Roman"/>
          <w:color w:val="000000" w:themeColor="text1"/>
          <w:sz w:val="16"/>
          <w:szCs w:val="16"/>
        </w:rPr>
        <w:t>Главчермет</w:t>
      </w:r>
      <w:proofErr w:type="spellEnd"/>
      <w:r w:rsidRPr="007122AB">
        <w:rPr>
          <w:rFonts w:ascii="Times New Roman" w:hAnsi="Times New Roman"/>
          <w:color w:val="000000" w:themeColor="text1"/>
          <w:sz w:val="16"/>
          <w:szCs w:val="16"/>
        </w:rPr>
        <w:t xml:space="preserve"> нашел недостаточной и дал директиву сделать вариант в 1 мил. 100 тыс. тонн выплавки чугуна. Весь аппарат Магнитостроя снова бросает всю нормальную работу и занимается новым вариантом; в разгар этой работы, совершенно ненужной, дается новое задание по выплавке чугуна — 1 мил. 800 тыс. тонн в год. Снова весь аппарат занимается составлением нового варианта[,] и работники управления (АНИТОВ, ВОРОБЬЕВ и ШАДРИН) везут новый проектный материал для рассмотрения и утверждения Гипромезом в Ленинграде. В конце рассмотрения, в ноябре 1929 г., я был в Гипромезе, где мне С. И. АНИТОВ, В. В. ВОРОБЬЕВ и Н. Н. ШАДРИН рассказали, что в Гипромезе как в металлургическом отделе, так и в других к новому варианту отнеслись совершенно несерьезно, заявляя, что этот гигантский вариант возможен только на бумаге. Некоторые отделы как строительный, машиностроительный и энергетический дали заключение, как мне сообщил С. И. АНИТОВ в Ленинграде, в ноябре 1929 г., совершенно не рассматривая проектных материалов по новому варианту. Из переговоров моих в Ленинграде в ноябре 1929 г. с отдельными работниками Гипромеза я выяснил следующее. В. Н. ЛИПИН </w:t>
      </w:r>
      <w:r w:rsidRPr="007122AB">
        <w:rPr>
          <w:rFonts w:ascii="Times New Roman" w:hAnsi="Times New Roman"/>
          <w:color w:val="000000" w:themeColor="text1"/>
          <w:sz w:val="16"/>
          <w:szCs w:val="16"/>
        </w:rPr>
        <w:lastRenderedPageBreak/>
        <w:t xml:space="preserve">говорил мне, что в Гипромезе полный развал, что все новые проекты, все новые варианты прорабатываются несерьезно, что общее положение (продовольственное и крупные аресты) таково, что в ближайшее время не только новые строительства, но и действующие заводы прекратят свою деятельность. На ту же тему и в таком же освещении говорил со мной Е. А. ЛЕБЕДЕВ,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ГРЕЙНЕР (зам. зав. </w:t>
      </w:r>
      <w:proofErr w:type="spellStart"/>
      <w:r w:rsidRPr="007122AB">
        <w:rPr>
          <w:rFonts w:ascii="Times New Roman" w:hAnsi="Times New Roman"/>
          <w:color w:val="000000" w:themeColor="text1"/>
          <w:sz w:val="16"/>
          <w:szCs w:val="16"/>
        </w:rPr>
        <w:t>машиностроит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ельным</w:t>
      </w:r>
      <w:proofErr w:type="spellEnd"/>
      <w:r w:rsidRPr="007122AB">
        <w:rPr>
          <w:rFonts w:ascii="Times New Roman" w:hAnsi="Times New Roman"/>
          <w:color w:val="000000" w:themeColor="text1"/>
          <w:sz w:val="16"/>
          <w:szCs w:val="16"/>
        </w:rPr>
        <w:t xml:space="preserve">] отделом), проф. ВЕРЕЩАГИН (зав. энергетическим отделом), указывая, что дача новых заданий является лучшим вредительским средством для срыва строительств, особенно таких сложных предприятий, как новые металлургические заводы. В декабре 1929 г. </w:t>
      </w:r>
      <w:proofErr w:type="spellStart"/>
      <w:r w:rsidRPr="007122AB">
        <w:rPr>
          <w:rFonts w:ascii="Times New Roman" w:hAnsi="Times New Roman"/>
          <w:color w:val="000000" w:themeColor="text1"/>
          <w:sz w:val="16"/>
          <w:szCs w:val="16"/>
        </w:rPr>
        <w:t>Главчермет</w:t>
      </w:r>
      <w:proofErr w:type="spellEnd"/>
      <w:r w:rsidRPr="007122AB">
        <w:rPr>
          <w:rFonts w:ascii="Times New Roman" w:hAnsi="Times New Roman"/>
          <w:color w:val="000000" w:themeColor="text1"/>
          <w:sz w:val="16"/>
          <w:szCs w:val="16"/>
        </w:rPr>
        <w:t xml:space="preserve"> прекратил свою деятельность и образовалась </w:t>
      </w:r>
      <w:proofErr w:type="spellStart"/>
      <w:r w:rsidRPr="007122AB">
        <w:rPr>
          <w:rFonts w:ascii="Times New Roman" w:hAnsi="Times New Roman"/>
          <w:color w:val="000000" w:themeColor="text1"/>
          <w:sz w:val="16"/>
          <w:szCs w:val="16"/>
        </w:rPr>
        <w:t>Новосталь</w:t>
      </w:r>
      <w:proofErr w:type="spellEnd"/>
      <w:r w:rsidRPr="007122AB">
        <w:rPr>
          <w:rFonts w:ascii="Times New Roman" w:hAnsi="Times New Roman"/>
          <w:color w:val="000000" w:themeColor="text1"/>
          <w:sz w:val="16"/>
          <w:szCs w:val="16"/>
        </w:rPr>
        <w:t xml:space="preserve">. Окончательного задания Магнитострою не давалось. Управлением в Свердловске был проработан вариант на 2,5 мил. тонн чугуна. В декабре в </w:t>
      </w:r>
      <w:proofErr w:type="spellStart"/>
      <w:r w:rsidRPr="007122AB">
        <w:rPr>
          <w:rFonts w:ascii="Times New Roman" w:hAnsi="Times New Roman"/>
          <w:color w:val="000000" w:themeColor="text1"/>
          <w:sz w:val="16"/>
          <w:szCs w:val="16"/>
        </w:rPr>
        <w:t>Новостали</w:t>
      </w:r>
      <w:proofErr w:type="spellEnd"/>
      <w:r w:rsidRPr="007122AB">
        <w:rPr>
          <w:rFonts w:ascii="Times New Roman" w:hAnsi="Times New Roman"/>
          <w:color w:val="000000" w:themeColor="text1"/>
          <w:sz w:val="16"/>
          <w:szCs w:val="16"/>
        </w:rPr>
        <w:t xml:space="preserve">, говоря о варианте в 2,5 мил. тонн, указывали на необходимость в будущем предвидеть расширение завода до 4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тонн. В Гипромезе, куда была направлена для рассмотрения наметка в 2,5 мил. тонн чугуна, с дальнейшим расширением до 4 мил. тонн[,] была передана на экспертизу американских инженеров (фирмы </w:t>
      </w:r>
      <w:proofErr w:type="spellStart"/>
      <w:r w:rsidRPr="007122AB">
        <w:rPr>
          <w:rFonts w:ascii="Times New Roman" w:hAnsi="Times New Roman"/>
          <w:color w:val="000000" w:themeColor="text1"/>
          <w:sz w:val="16"/>
          <w:szCs w:val="16"/>
        </w:rPr>
        <w:t>Фрейн</w:t>
      </w:r>
      <w:proofErr w:type="spellEnd"/>
      <w:r w:rsidRPr="007122AB">
        <w:rPr>
          <w:rFonts w:ascii="Times New Roman" w:hAnsi="Times New Roman"/>
          <w:color w:val="000000" w:themeColor="text1"/>
          <w:sz w:val="16"/>
          <w:szCs w:val="16"/>
        </w:rPr>
        <w:t>), работающих в Гипромезе. 15-16 декабря я был в Ленинграде, где рассматривалась новая наметка варианта в 2,5 мил. тонн чугуна. В. Н. ЛИПИН тогда же указывал мне на несерьезность новой наметки и говорил, что американские инженеры относятся насмешливо к ней, указывая, что таких заводов нет даже в Америке, если не считать завода ГЕРИ, который строился постепенно в течение чуть ли не двух десятилетий.</w:t>
      </w:r>
    </w:p>
    <w:p w14:paraId="5417E45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не такой отзыв В. Н. ЛИПИН все же дал заключение о возможности расположения на Магнитогорской площадке нового варианта; причем основные оси завода поворачиваются на 90° и от бывшего проекта ничего не остается. В январе 1930 г. окончательной установки в смысле производственного задания центр не сделал, что совершенно парализовало нормальную работу в смысле подготовительных работ для наступившего года (составление программы работ, заготовки материалов, рабочей силы и проч.). Работали вслепую: и аппарат в Свердловске и аппарат на месте строительства.</w:t>
      </w:r>
    </w:p>
    <w:p w14:paraId="33A075B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отъездом за границу я имел (24 января 1930 г.) беседу с </w:t>
      </w:r>
      <w:proofErr w:type="spellStart"/>
      <w:r w:rsidRPr="007122AB">
        <w:rPr>
          <w:rFonts w:ascii="Times New Roman" w:hAnsi="Times New Roman"/>
          <w:color w:val="000000" w:themeColor="text1"/>
          <w:sz w:val="16"/>
          <w:szCs w:val="16"/>
        </w:rPr>
        <w:t>С</w:t>
      </w:r>
      <w:proofErr w:type="spellEnd"/>
      <w:r w:rsidRPr="007122AB">
        <w:rPr>
          <w:rFonts w:ascii="Times New Roman" w:hAnsi="Times New Roman"/>
          <w:color w:val="000000" w:themeColor="text1"/>
          <w:sz w:val="16"/>
          <w:szCs w:val="16"/>
        </w:rPr>
        <w:t>. И. АНИТОВЫМ, где выяснена была сложившаяся обстановка на строительстве: твердого задания нет, нет также проекта, подготовительные работы проведены плохо и недостаточно для развертывания строительства, крупного и достаточно квалифицированного персонала на строительстве нет, уезжает начальник строительства, главный инженер, заграницей находится главный энергетик Л. И. ФОЛЬВАРКОВ и заведующий Горным отделом Б. П. БОГОЛЮБОВ.</w:t>
      </w:r>
    </w:p>
    <w:p w14:paraId="2DCFB9B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Вся эта обстановка в связи с ухудшающимся положением с продовольствием, материальным снабжением, денежными затруднениями повлечет срыв строительства Магнитогорского завода, такова была тема нашей последней беседы.</w:t>
      </w:r>
    </w:p>
    <w:p w14:paraId="1514F7C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1930 г. приехал в Свердловск с места строительства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РОЗЕНБЕРГ, который рассказал, что на площадке идет хаотическая работа без плана, без проектов.</w:t>
      </w:r>
    </w:p>
    <w:p w14:paraId="607253A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РОЗЕНБЕРГ уехал в Москву, чтобы проталкивать проектирование отдельных городских зданий у Госпроекта.</w:t>
      </w:r>
    </w:p>
    <w:p w14:paraId="1CFFF6A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это время вопрос с постройкой города совершенно застопорился. Все понимали, что объявленный конкурс сплошная фикция, которая только затягивает строительство.</w:t>
      </w:r>
    </w:p>
    <w:p w14:paraId="22A61500" w14:textId="77777777" w:rsidR="00E10439" w:rsidRPr="007122AB" w:rsidRDefault="00E10439"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ИВАНОВ (Госпроект ВСНХ РСФСР) был особенным сторонником объявления конкурса. С 1927 года связь со мной в смысле вредительства по линии проектирования и строительства Магнитогорского завода, как я уже выше показывал, имел С. А. ХРЕННИКОВ.</w:t>
      </w:r>
    </w:p>
    <w:p w14:paraId="58805A8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 ХРЕННИКОВ в 1927 году в Москве сообщил мне, что в </w:t>
      </w:r>
      <w:proofErr w:type="spellStart"/>
      <w:r w:rsidRPr="007122AB">
        <w:rPr>
          <w:rFonts w:ascii="Times New Roman" w:hAnsi="Times New Roman"/>
          <w:color w:val="000000" w:themeColor="text1"/>
          <w:sz w:val="16"/>
          <w:szCs w:val="16"/>
        </w:rPr>
        <w:t>Главметалле</w:t>
      </w:r>
      <w:proofErr w:type="spellEnd"/>
      <w:r w:rsidRPr="007122AB">
        <w:rPr>
          <w:rFonts w:ascii="Times New Roman" w:hAnsi="Times New Roman"/>
          <w:color w:val="000000" w:themeColor="text1"/>
          <w:sz w:val="16"/>
          <w:szCs w:val="16"/>
        </w:rPr>
        <w:t xml:space="preserve"> существует вредительская группа в составе его, В. И. ЖДАНОВА, Н. М. КУТСКОГО, ВЕЛИКОРЕЦКОГО, ДОБРОВОЛЬСКОГО и МИЛЮКОВА. Вся эта группа не верит в Советскую власть и новое строительство, собирается, обсуждает вопросы на политические темы и поставила целью своей работы срывать новое строительство.</w:t>
      </w:r>
    </w:p>
    <w:p w14:paraId="4F1E738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Гипромезе, как рассказывал мне С. А. ХРЕННИКОВ, вредительская группа, связанная также полным неверием в советские начинания, имеет следующий состав: А. И. БЕЛОНОЖКИН, А. А. БАЧМАНОВ, В. Н. ЛИПИН, Д. И. ВЕРЕЩАГИН. В эту же группу входит Б. Н. ДОБРОВОЛЬСКИЙ и он, С. А. ХРЕННИКОВ для связи Гипромеза с </w:t>
      </w:r>
      <w:proofErr w:type="spellStart"/>
      <w:r w:rsidRPr="007122AB">
        <w:rPr>
          <w:rFonts w:ascii="Times New Roman" w:hAnsi="Times New Roman"/>
          <w:color w:val="000000" w:themeColor="text1"/>
          <w:sz w:val="16"/>
          <w:szCs w:val="16"/>
        </w:rPr>
        <w:t>Главметаллом</w:t>
      </w:r>
      <w:proofErr w:type="spellEnd"/>
      <w:r w:rsidRPr="007122AB">
        <w:rPr>
          <w:rFonts w:ascii="Times New Roman" w:hAnsi="Times New Roman"/>
          <w:color w:val="000000" w:themeColor="text1"/>
          <w:sz w:val="16"/>
          <w:szCs w:val="16"/>
        </w:rPr>
        <w:t xml:space="preserve">. Гипромез, кроме приезда работников с Урала в Ленинград 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кроме встреч в Москве, осуществлял вредительскую связь постоянными приездами на Урал[;] с 1926 по 1930 г. на Урал приезжали: БЕЛОНОЖКИН 2 раза, ЛИПИН 2 раза, ВЕРЕЩАГИН 1 раз, ВЕЛИКОРЕЦКИЙ 2 раза, ДОБРОВОЛЬСКИЙ и ЖДАНОВ по 1 разу.</w:t>
      </w:r>
    </w:p>
    <w:p w14:paraId="5E4273C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Немного истории Магнитогорского дела. Общество Белорецких заводов еще в начале настоящего столетия (в 1908-1909 г.) поставило вопрос постройки Магнитогорского завода, имея в виду связь Магнитной с общей сетью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 (через Уфу или Бердяуш Сам[</w:t>
      </w:r>
      <w:proofErr w:type="spellStart"/>
      <w:r w:rsidRPr="007122AB">
        <w:rPr>
          <w:rFonts w:ascii="Times New Roman" w:hAnsi="Times New Roman"/>
          <w:color w:val="000000" w:themeColor="text1"/>
          <w:sz w:val="16"/>
          <w:szCs w:val="16"/>
        </w:rPr>
        <w:t>аро</w:t>
      </w:r>
      <w:proofErr w:type="spellEnd"/>
      <w:r w:rsidRPr="007122AB">
        <w:rPr>
          <w:rFonts w:ascii="Times New Roman" w:hAnsi="Times New Roman"/>
          <w:color w:val="000000" w:themeColor="text1"/>
          <w:sz w:val="16"/>
          <w:szCs w:val="16"/>
        </w:rPr>
        <w:t>]-Злат[</w:t>
      </w:r>
      <w:proofErr w:type="spellStart"/>
      <w:r w:rsidRPr="007122AB">
        <w:rPr>
          <w:rFonts w:ascii="Times New Roman" w:hAnsi="Times New Roman"/>
          <w:color w:val="000000" w:themeColor="text1"/>
          <w:sz w:val="16"/>
          <w:szCs w:val="16"/>
        </w:rPr>
        <w:t>оустовской</w:t>
      </w:r>
      <w:proofErr w:type="spellEnd"/>
      <w:r w:rsidRPr="007122AB">
        <w:rPr>
          <w:rFonts w:ascii="Times New Roman" w:hAnsi="Times New Roman"/>
          <w:color w:val="000000" w:themeColor="text1"/>
          <w:sz w:val="16"/>
          <w:szCs w:val="16"/>
        </w:rPr>
        <w:t xml:space="preserve">] ж. д.). Предполагалось построить сравнительно небольшой завод с выплавкой около 10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пуд[</w:t>
      </w:r>
      <w:proofErr w:type="spellStart"/>
      <w:r w:rsidRPr="007122AB">
        <w:rPr>
          <w:rFonts w:ascii="Times New Roman" w:hAnsi="Times New Roman"/>
          <w:color w:val="000000" w:themeColor="text1"/>
          <w:sz w:val="16"/>
          <w:szCs w:val="16"/>
        </w:rPr>
        <w:t>ов</w:t>
      </w:r>
      <w:proofErr w:type="spellEnd"/>
      <w:r w:rsidRPr="007122AB">
        <w:rPr>
          <w:rFonts w:ascii="Times New Roman" w:hAnsi="Times New Roman"/>
          <w:color w:val="000000" w:themeColor="text1"/>
          <w:sz w:val="16"/>
          <w:szCs w:val="16"/>
        </w:rPr>
        <w:t>] чугуна на минеральном топливе. Были произведены изыскания проф. А. Н. ЗАВАРИЦКИМ, впоследствии напечатанные в трудах Геологического Комитета. Во время Европейской войны вопрос постройки завода на Магнитной снова всплыл, но остался неразрешенным. В 1918 г. на Магнитной вел магнитометрическую съемку проф. В. И. БАУМАН. В первый период Советской власти в 1919— 1920 году вопрос этот был поднят, конечно, не как задача сегодняшнего дня. Он ставился в связи с Урало-Кузнецким проектом. В 1924-25 году вопрос о постройке Магнитогорского завода ставится уже на практическую почву.</w:t>
      </w:r>
    </w:p>
    <w:p w14:paraId="36619268"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Резюмируя и суммируя вредительские действия, которые были проведены по Магнитогорскому заводу, укажу на следующее:</w:t>
      </w:r>
    </w:p>
    <w:p w14:paraId="583A813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1925 г. по 1927 г. вопрос с топливом для Магнитогорского завода находился в стадии дискуссии, которую поднял и все это время будировал И. И. ФЕДОРОВИЧ. В Сибири до революции существовало акционерное общество под названием «КОПИКУЗ», </w:t>
      </w:r>
      <w:proofErr w:type="spellStart"/>
      <w:r w:rsidRPr="007122AB">
        <w:rPr>
          <w:rFonts w:ascii="Times New Roman" w:hAnsi="Times New Roman"/>
          <w:color w:val="000000" w:themeColor="text1"/>
          <w:sz w:val="16"/>
          <w:szCs w:val="16"/>
        </w:rPr>
        <w:t>эксплоатирующее</w:t>
      </w:r>
      <w:proofErr w:type="spellEnd"/>
      <w:r w:rsidRPr="007122AB">
        <w:rPr>
          <w:rFonts w:ascii="Times New Roman" w:hAnsi="Times New Roman"/>
          <w:color w:val="000000" w:themeColor="text1"/>
          <w:sz w:val="16"/>
          <w:szCs w:val="16"/>
        </w:rPr>
        <w:t xml:space="preserve"> Кузнецкие каменноугольные копи и начавшее проектирование металлургического завода в Кузнецком районе. Управляющим «КО ПИКУ ЗА» был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И. И. ФЕДОРОВИЧ. Как мне сообщил в Москве в 1926 году С. А. ХРЕННИКОВ, И. И. ФЕДОРОВИЧ, соблюдая и защищая интересы старых владельцев, всеми силами противился тому, чтобы кузнецкий уголь в сыром виде отправлялся как для Урала, в целом, так и для Магнитной в частности.</w:t>
      </w:r>
    </w:p>
    <w:p w14:paraId="577AED5F" w14:textId="77777777" w:rsidR="00E10439" w:rsidRPr="007122AB" w:rsidRDefault="00E10439"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ФЕДОРОВИЧЕМ приводились соображения и технического и экономического порядка, он считал, что в виде угля возить горючее нельзя, так как при долгом хранении уголь потеряет часть летучих &lt;веществ&gt;, необходимо уголь коксовать в Сибири и возить на Урал кокс.</w:t>
      </w:r>
    </w:p>
    <w:p w14:paraId="21F134AC"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меняло всю теплотехническую структуру завода. Составлялись разные записки, делались варианты, срывая ход проектирования.</w:t>
      </w:r>
    </w:p>
    <w:p w14:paraId="3D7E782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Ни </w:t>
      </w:r>
      <w:proofErr w:type="spellStart"/>
      <w:r w:rsidRPr="007122AB">
        <w:rPr>
          <w:rFonts w:ascii="Times New Roman" w:hAnsi="Times New Roman"/>
          <w:color w:val="000000" w:themeColor="text1"/>
          <w:sz w:val="16"/>
          <w:szCs w:val="16"/>
        </w:rPr>
        <w:t>Уралгипромез</w:t>
      </w:r>
      <w:proofErr w:type="spellEnd"/>
      <w:r w:rsidRPr="007122AB">
        <w:rPr>
          <w:rFonts w:ascii="Times New Roman" w:hAnsi="Times New Roman"/>
          <w:color w:val="000000" w:themeColor="text1"/>
          <w:sz w:val="16"/>
          <w:szCs w:val="16"/>
        </w:rPr>
        <w:t xml:space="preserve">, ни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ни экономический отдел </w:t>
      </w:r>
      <w:proofErr w:type="spellStart"/>
      <w:r w:rsidRPr="007122AB">
        <w:rPr>
          <w:rFonts w:ascii="Times New Roman" w:hAnsi="Times New Roman"/>
          <w:color w:val="000000" w:themeColor="text1"/>
          <w:sz w:val="16"/>
          <w:szCs w:val="16"/>
        </w:rPr>
        <w:t>Гипро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меза</w:t>
      </w:r>
      <w:proofErr w:type="spellEnd"/>
      <w:r w:rsidRPr="007122AB">
        <w:rPr>
          <w:rFonts w:ascii="Times New Roman" w:hAnsi="Times New Roman"/>
          <w:color w:val="000000" w:themeColor="text1"/>
          <w:sz w:val="16"/>
          <w:szCs w:val="16"/>
        </w:rPr>
        <w:t xml:space="preserve"> не ставили при начале проектирования Магнитогорского завода большого вопроса Урало-Сибирской проблемы. В Госплане (КАЛИННИКОВ и ФЕДОРОВИЧ) считали, что постановка этого вопроса при настоящей ситуации совершенно не нужна, она может быть поставлена только при капиталистическом строе.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(ХРЕННИКОВ и</w:t>
      </w:r>
    </w:p>
    <w:p w14:paraId="37D58AC7"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ЖДАНОВ) считали постройку Магнитогорского завода невозможной и ненужной, следовательно, бесцельно поднимать общий вопрос.</w:t>
      </w:r>
    </w:p>
    <w:p w14:paraId="1639B6C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БАЧМАНОВ (экономический отдел Гипромеза) считал, что проектирование завода затянется на несколько лет и к строительству при Советской власти приступить не придется. С. А. ХРЕННИКОВ, с целью создать разрыв в транспорте, не ставил и не настаивал перед </w:t>
      </w:r>
      <w:proofErr w:type="spellStart"/>
      <w:r w:rsidRPr="007122AB">
        <w:rPr>
          <w:rFonts w:ascii="Times New Roman" w:hAnsi="Times New Roman"/>
          <w:color w:val="000000" w:themeColor="text1"/>
          <w:sz w:val="16"/>
          <w:szCs w:val="16"/>
        </w:rPr>
        <w:t>НКПСом</w:t>
      </w:r>
      <w:proofErr w:type="spellEnd"/>
      <w:r w:rsidRPr="007122AB">
        <w:rPr>
          <w:rFonts w:ascii="Times New Roman" w:hAnsi="Times New Roman"/>
          <w:color w:val="000000" w:themeColor="text1"/>
          <w:sz w:val="16"/>
          <w:szCs w:val="16"/>
        </w:rPr>
        <w:t xml:space="preserve"> о составлении проекта усиления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w:t>
      </w:r>
      <w:proofErr w:type="spellStart"/>
      <w:r w:rsidRPr="007122AB">
        <w:rPr>
          <w:rFonts w:ascii="Times New Roman" w:hAnsi="Times New Roman"/>
          <w:color w:val="000000" w:themeColor="text1"/>
          <w:sz w:val="16"/>
          <w:szCs w:val="16"/>
        </w:rPr>
        <w:t>оги</w:t>
      </w:r>
      <w:proofErr w:type="spellEnd"/>
      <w:r w:rsidRPr="007122AB">
        <w:rPr>
          <w:rFonts w:ascii="Times New Roman" w:hAnsi="Times New Roman"/>
          <w:color w:val="000000" w:themeColor="text1"/>
          <w:sz w:val="16"/>
          <w:szCs w:val="16"/>
        </w:rPr>
        <w:t>] (пропускной способности), учитывая Магнитогорские перевозки.</w:t>
      </w:r>
    </w:p>
    <w:p w14:paraId="3F24E86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Также Гипромез 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в лице тех же работников до самого последнего времени не выработал типа большегрузного вагона для массовых перевозок заводских грузов (угля и руды). Этот вопрос до ноября 1930 г. решен не был и комиссия НКПС, ездившая летом прошлого года в Америку, как мне известно, не остановилась на типе вагона.</w:t>
      </w:r>
    </w:p>
    <w:p w14:paraId="05F371B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Вредительство в транспортном вопросе в Магнитогорском строительстве выразилось в следующем: по настоянию Уральских Областных организаций в 1927 году НКПС приступил к строительству Карталы- Магнитной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 ветки в 145 км. Работа продолжалась весь строительный сезон и, как мне говорили, около 60 % земляных работ было исполнено.</w:t>
      </w:r>
    </w:p>
    <w:p w14:paraId="675D130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Госплан (КАЛИННИКОВ) 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(ХРЕННИКОВ) с целью отсрочки начала строительства завода не просили НКПС включить ассигнование на 1928 г. на окончание ветки. Работу НКПС остановил и заготовленный материал (шпалы и рельсы) увез с места постройки. Часть земляного полотна была размыта в 1928 г. Эта операция жестко ударила строительство в 1929 год[у], когда СНК СССР в январе решил срочно приступить к строительству завода, а связи с общей сетью Магнитная не имела. Дорогу сомкнули только 1 июля 1929 года, т. е. потеряли половину строительного сезона. В 1928 году НКПС в лице инженера ТАУБЕ (путейца) поднял вопрос о варианте подхода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w:t>
      </w:r>
      <w:proofErr w:type="spellStart"/>
      <w:r w:rsidRPr="007122AB">
        <w:rPr>
          <w:rFonts w:ascii="Times New Roman" w:hAnsi="Times New Roman"/>
          <w:color w:val="000000" w:themeColor="text1"/>
          <w:sz w:val="16"/>
          <w:szCs w:val="16"/>
        </w:rPr>
        <w:t>оги</w:t>
      </w:r>
      <w:proofErr w:type="spellEnd"/>
      <w:r w:rsidRPr="007122AB">
        <w:rPr>
          <w:rFonts w:ascii="Times New Roman" w:hAnsi="Times New Roman"/>
          <w:color w:val="000000" w:themeColor="text1"/>
          <w:sz w:val="16"/>
          <w:szCs w:val="16"/>
        </w:rPr>
        <w:t xml:space="preserve">] к заводской площадке. Как мне сообщил С. А. ХРЕННИКОВ, вопрос этот поднят с целью отсрочки постройки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w:t>
      </w:r>
      <w:proofErr w:type="spellStart"/>
      <w:r w:rsidRPr="007122AB">
        <w:rPr>
          <w:rFonts w:ascii="Times New Roman" w:hAnsi="Times New Roman"/>
          <w:color w:val="000000" w:themeColor="text1"/>
          <w:sz w:val="16"/>
          <w:szCs w:val="16"/>
        </w:rPr>
        <w:t>оги</w:t>
      </w:r>
      <w:proofErr w:type="spellEnd"/>
      <w:r w:rsidRPr="007122AB">
        <w:rPr>
          <w:rFonts w:ascii="Times New Roman" w:hAnsi="Times New Roman"/>
          <w:color w:val="000000" w:themeColor="text1"/>
          <w:sz w:val="16"/>
          <w:szCs w:val="16"/>
        </w:rPr>
        <w:t>] к заводу.</w:t>
      </w:r>
    </w:p>
    <w:p w14:paraId="78AECB53" w14:textId="77777777" w:rsidR="00E10439" w:rsidRPr="007122AB" w:rsidRDefault="00E10439"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в лице С. А. ХРЕННИКОВА 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ВЕЛИКОРЕЦКОГО проводили вредительскую линию в смысле питания углем из Кузбасса Магнитогорского завода. Когда закончились споры, поднятые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ФЕДОРОВИЧЕМ, что возить [-] уголь или кокс, необходимо было ставить вопрос, какие угли должны пойти в Магнитогорский завод, особенно считаясь с качеством углей (содержание фосфора). </w:t>
      </w:r>
      <w:proofErr w:type="spellStart"/>
      <w:r w:rsidRPr="007122AB">
        <w:rPr>
          <w:rFonts w:ascii="Times New Roman" w:hAnsi="Times New Roman"/>
          <w:color w:val="000000" w:themeColor="text1"/>
          <w:sz w:val="16"/>
          <w:szCs w:val="16"/>
        </w:rPr>
        <w:t>Главгортоп</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Сибуголь</w:t>
      </w:r>
      <w:proofErr w:type="spellEnd"/>
      <w:r w:rsidRPr="007122AB">
        <w:rPr>
          <w:rFonts w:ascii="Times New Roman" w:hAnsi="Times New Roman"/>
          <w:color w:val="000000" w:themeColor="text1"/>
          <w:sz w:val="16"/>
          <w:szCs w:val="16"/>
        </w:rPr>
        <w:t xml:space="preserve"> не давали определенных ответов. Этот вопрос не был увязан с первоначальной программой завода (650.000 т.), этот же вопрос оставался невыясненным и до октября прошлого года для новой программы в 2,5 мил. тонн, о чем мне сообщил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АНИТОВ (пом. главного]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Магнитостроя) в октябре 1930 г. в Москве.</w:t>
      </w:r>
    </w:p>
    <w:p w14:paraId="64BB37A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Беседы на эту тему в Госплане (с КАЛИННИКОВЫМ) и в Гипромезе (с БАЧМАНОВЫМ 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РУДНИКОВЫМ) кончались тем, что вопросами увязки угольного, как и рудного хозяйства никто заниматься не имеет желания с целью создать диспропорцию между отдельными отраслями промышленности.</w:t>
      </w:r>
    </w:p>
    <w:p w14:paraId="7D53998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Рудный вопрос в Магнитогорском строительстве играет первостепенную роль[.] Вначале, как знаток месторождения[,] был приглашен для общего руководства разведками проф. А. Н. ЗАВАРИЦКИЙ, который заявил, что Геолкому отдавать эту работу не надо. А. Н. ЗАВАРИЦКИЙ отрицал новую организацию Геолкома, считая, что Геолком должен быть научным учреждением, а не разрешать практические вопросы промышленности. А. Н. ЗАВАРИЦКИЙ определенно высказывался, что Магнитогорское строительство при Советской власти не может быть осуществлено и торопиться с разведками не надо. </w:t>
      </w:r>
      <w:proofErr w:type="spellStart"/>
      <w:r w:rsidRPr="007122AB">
        <w:rPr>
          <w:rFonts w:ascii="Times New Roman" w:hAnsi="Times New Roman"/>
          <w:color w:val="000000" w:themeColor="text1"/>
          <w:sz w:val="16"/>
          <w:szCs w:val="16"/>
        </w:rPr>
        <w:t>Уралпроектбюро</w:t>
      </w:r>
      <w:proofErr w:type="spellEnd"/>
      <w:r w:rsidRPr="007122AB">
        <w:rPr>
          <w:rFonts w:ascii="Times New Roman" w:hAnsi="Times New Roman"/>
          <w:color w:val="000000" w:themeColor="text1"/>
          <w:sz w:val="16"/>
          <w:szCs w:val="16"/>
        </w:rPr>
        <w:t xml:space="preserve"> расчленило всю работу: по рекомендации ЗАВАРИЦКОГО, геодезические работы были отданы проф. Горн[ого] Института] КЕЛЛЮ, общая разведка и исследовательские работы Московскому Институту Прикладной Минералогии и Металлургии, алмазное бурение </w:t>
      </w:r>
      <w:proofErr w:type="spellStart"/>
      <w:r w:rsidRPr="007122AB">
        <w:rPr>
          <w:rFonts w:ascii="Times New Roman" w:hAnsi="Times New Roman"/>
          <w:color w:val="000000" w:themeColor="text1"/>
          <w:sz w:val="16"/>
          <w:szCs w:val="16"/>
        </w:rPr>
        <w:t>Уралгорконторе</w:t>
      </w:r>
      <w:proofErr w:type="spellEnd"/>
      <w:r w:rsidRPr="007122AB">
        <w:rPr>
          <w:rFonts w:ascii="Times New Roman" w:hAnsi="Times New Roman"/>
          <w:color w:val="000000" w:themeColor="text1"/>
          <w:sz w:val="16"/>
          <w:szCs w:val="16"/>
        </w:rPr>
        <w:t xml:space="preserve"> и впоследствии магнитометрическую съемку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КУЗНЕЦОВУ из Геолкома. </w:t>
      </w:r>
      <w:proofErr w:type="spellStart"/>
      <w:r w:rsidRPr="007122AB">
        <w:rPr>
          <w:rFonts w:ascii="Times New Roman" w:hAnsi="Times New Roman"/>
          <w:color w:val="000000" w:themeColor="text1"/>
          <w:sz w:val="16"/>
          <w:szCs w:val="16"/>
        </w:rPr>
        <w:t>Инст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итут</w:t>
      </w:r>
      <w:proofErr w:type="spellEnd"/>
      <w:r w:rsidRPr="007122AB">
        <w:rPr>
          <w:rFonts w:ascii="Times New Roman" w:hAnsi="Times New Roman"/>
          <w:color w:val="000000" w:themeColor="text1"/>
          <w:sz w:val="16"/>
          <w:szCs w:val="16"/>
        </w:rPr>
        <w:t>] Прикладной Мин[</w:t>
      </w:r>
      <w:proofErr w:type="spellStart"/>
      <w:r w:rsidRPr="007122AB">
        <w:rPr>
          <w:rFonts w:ascii="Times New Roman" w:hAnsi="Times New Roman"/>
          <w:color w:val="000000" w:themeColor="text1"/>
          <w:sz w:val="16"/>
          <w:szCs w:val="16"/>
        </w:rPr>
        <w:t>ералогии</w:t>
      </w:r>
      <w:proofErr w:type="spellEnd"/>
      <w:r w:rsidRPr="007122AB">
        <w:rPr>
          <w:rFonts w:ascii="Times New Roman" w:hAnsi="Times New Roman"/>
          <w:color w:val="000000" w:themeColor="text1"/>
          <w:sz w:val="16"/>
          <w:szCs w:val="16"/>
        </w:rPr>
        <w:t>] и Металл[</w:t>
      </w:r>
      <w:proofErr w:type="spellStart"/>
      <w:r w:rsidRPr="007122AB">
        <w:rPr>
          <w:rFonts w:ascii="Times New Roman" w:hAnsi="Times New Roman"/>
          <w:color w:val="000000" w:themeColor="text1"/>
          <w:sz w:val="16"/>
          <w:szCs w:val="16"/>
        </w:rPr>
        <w:t>ургии</w:t>
      </w:r>
      <w:proofErr w:type="spellEnd"/>
      <w:r w:rsidRPr="007122AB">
        <w:rPr>
          <w:rFonts w:ascii="Times New Roman" w:hAnsi="Times New Roman"/>
          <w:color w:val="000000" w:themeColor="text1"/>
          <w:sz w:val="16"/>
          <w:szCs w:val="16"/>
        </w:rPr>
        <w:t xml:space="preserve">] работу развивал слабо, глубокое бурение велось также слабо. В итоге за 2 с </w:t>
      </w:r>
      <w:r w:rsidRPr="007122AB">
        <w:rPr>
          <w:rFonts w:ascii="Times New Roman" w:hAnsi="Times New Roman"/>
          <w:color w:val="000000" w:themeColor="text1"/>
          <w:sz w:val="16"/>
          <w:szCs w:val="16"/>
        </w:rPr>
        <w:lastRenderedPageBreak/>
        <w:t>лишним года, к 1928 г. работы не охватили месторождения и если дали некоторые данные о благонадежности месторождения (в смысле количества), то совершенно не осветили качество железных руд. Анализы были произведены наспех, небрежно и в итоге по фосфору получился целый ряд вранья.</w:t>
      </w:r>
    </w:p>
    <w:p w14:paraId="0B3593E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Возглавлял работу от </w:t>
      </w:r>
      <w:proofErr w:type="spellStart"/>
      <w:r w:rsidRPr="007122AB">
        <w:rPr>
          <w:rFonts w:ascii="Times New Roman" w:hAnsi="Times New Roman"/>
          <w:color w:val="000000" w:themeColor="text1"/>
          <w:sz w:val="16"/>
          <w:szCs w:val="16"/>
        </w:rPr>
        <w:t>Инст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итута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Прикл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адной</w:t>
      </w:r>
      <w:proofErr w:type="spellEnd"/>
      <w:r w:rsidRPr="007122AB">
        <w:rPr>
          <w:rFonts w:ascii="Times New Roman" w:hAnsi="Times New Roman"/>
          <w:color w:val="000000" w:themeColor="text1"/>
          <w:sz w:val="16"/>
          <w:szCs w:val="16"/>
        </w:rPr>
        <w:t>] Мин[</w:t>
      </w:r>
      <w:proofErr w:type="spellStart"/>
      <w:r w:rsidRPr="007122AB">
        <w:rPr>
          <w:rFonts w:ascii="Times New Roman" w:hAnsi="Times New Roman"/>
          <w:color w:val="000000" w:themeColor="text1"/>
          <w:sz w:val="16"/>
          <w:szCs w:val="16"/>
        </w:rPr>
        <w:t>ералогии</w:t>
      </w:r>
      <w:proofErr w:type="spellEnd"/>
      <w:r w:rsidRPr="007122AB">
        <w:rPr>
          <w:rFonts w:ascii="Times New Roman" w:hAnsi="Times New Roman"/>
          <w:color w:val="000000" w:themeColor="text1"/>
          <w:sz w:val="16"/>
          <w:szCs w:val="16"/>
        </w:rPr>
        <w:t>] и Металл[</w:t>
      </w:r>
      <w:proofErr w:type="spellStart"/>
      <w:r w:rsidRPr="007122AB">
        <w:rPr>
          <w:rFonts w:ascii="Times New Roman" w:hAnsi="Times New Roman"/>
          <w:color w:val="000000" w:themeColor="text1"/>
          <w:sz w:val="16"/>
          <w:szCs w:val="16"/>
        </w:rPr>
        <w:t>ургии</w:t>
      </w:r>
      <w:proofErr w:type="spellEnd"/>
      <w:r w:rsidRPr="007122AB">
        <w:rPr>
          <w:rFonts w:ascii="Times New Roman" w:hAnsi="Times New Roman"/>
          <w:color w:val="000000" w:themeColor="text1"/>
          <w:sz w:val="16"/>
          <w:szCs w:val="16"/>
        </w:rPr>
        <w:t xml:space="preserve">] геолог ОРЛОВСКИЙ, от </w:t>
      </w:r>
      <w:proofErr w:type="spellStart"/>
      <w:r w:rsidRPr="007122AB">
        <w:rPr>
          <w:rFonts w:ascii="Times New Roman" w:hAnsi="Times New Roman"/>
          <w:color w:val="000000" w:themeColor="text1"/>
          <w:sz w:val="16"/>
          <w:szCs w:val="16"/>
        </w:rPr>
        <w:t>Уралгорконторы</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ТОРБАСОВ. С 1927 г.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горным отделом начал заведовать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Б. П. БОГОЛЮБОВ, который далеко не являлся большим специалистом и, руководя проектом, больше плавал в вариантах. Б. П. БОГОЛЮБОВ близкий родственник проф. ЗАВАРИЦКОГО (сестра БОГОЛЮБОВА замужем за ЗАВАРИЦКИМ) и самостоятельно проводил все горные вопросы с ЗАВАРИЦКИМ.</w:t>
      </w:r>
    </w:p>
    <w:p w14:paraId="2178DAD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Устраивались совещания, в состав которых входили: БОГОЛЮБОВ, ЗАВАРИЦКИЙ, проф. ОРТИН (УПИ), проф. АНДРЕЕВ (Ленинградский Механобр). Приглашался для консультации проф. И. И. ТРУШКОВ (Горн[</w:t>
      </w:r>
      <w:proofErr w:type="spellStart"/>
      <w:r w:rsidRPr="007122AB">
        <w:rPr>
          <w:rFonts w:ascii="Times New Roman" w:hAnsi="Times New Roman"/>
          <w:color w:val="000000" w:themeColor="text1"/>
          <w:sz w:val="16"/>
          <w:szCs w:val="16"/>
        </w:rPr>
        <w:t>ый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итут</w:t>
      </w:r>
      <w:proofErr w:type="spellEnd"/>
      <w:r w:rsidRPr="007122AB">
        <w:rPr>
          <w:rFonts w:ascii="Times New Roman" w:hAnsi="Times New Roman"/>
          <w:color w:val="000000" w:themeColor="text1"/>
          <w:sz w:val="16"/>
          <w:szCs w:val="16"/>
        </w:rPr>
        <w:t xml:space="preserve">] в Ленинграде), который высказывал мнение, что при Соввласти никакого Магнитогорского завода не построить. Вся эта группа профессоров, как сообщал мне Б. П. БОГОЛЮБОВ, настроена против начинаний Соввласти и никто не верит в намеченные темпы индустриализации. БОГОЛЮБОВ для определения схемы обогащения руд раздал работы Механобру и </w:t>
      </w:r>
      <w:proofErr w:type="spellStart"/>
      <w:r w:rsidRPr="007122AB">
        <w:rPr>
          <w:rFonts w:ascii="Times New Roman" w:hAnsi="Times New Roman"/>
          <w:color w:val="000000" w:themeColor="text1"/>
          <w:sz w:val="16"/>
          <w:szCs w:val="16"/>
        </w:rPr>
        <w:t>Уралмеханобру</w:t>
      </w:r>
      <w:proofErr w:type="spellEnd"/>
      <w:r w:rsidRPr="007122AB">
        <w:rPr>
          <w:rFonts w:ascii="Times New Roman" w:hAnsi="Times New Roman"/>
          <w:color w:val="000000" w:themeColor="text1"/>
          <w:sz w:val="16"/>
          <w:szCs w:val="16"/>
        </w:rPr>
        <w:t>, работы институты затянули.</w:t>
      </w:r>
    </w:p>
    <w:p w14:paraId="346F5719"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Лабораторию на месте построили только временную деревянную, в которой до конца 1930 года почти никакой работы проделано не было. Заведовал горным делом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ДЕМИДОВ, так как БОГОЛЮБОВ уехал в октябре 1929 г. заграницу для консультации проекта с иностранными фирмами. БОГОЛЮБОВ не повез достаточного материала по обогащению заграницу и его консультации и работы с фирмой Мак-Ки в этом направлении не достигли никаких результатов.</w:t>
      </w:r>
    </w:p>
    <w:p w14:paraId="2E6D256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уже показал, что задание для Магнит[</w:t>
      </w:r>
      <w:proofErr w:type="spellStart"/>
      <w:r w:rsidRPr="007122AB">
        <w:rPr>
          <w:rFonts w:ascii="Times New Roman" w:hAnsi="Times New Roman"/>
          <w:color w:val="000000" w:themeColor="text1"/>
          <w:sz w:val="16"/>
          <w:szCs w:val="16"/>
        </w:rPr>
        <w:t>огорского</w:t>
      </w:r>
      <w:proofErr w:type="spellEnd"/>
      <w:r w:rsidRPr="007122AB">
        <w:rPr>
          <w:rFonts w:ascii="Times New Roman" w:hAnsi="Times New Roman"/>
          <w:color w:val="000000" w:themeColor="text1"/>
          <w:sz w:val="16"/>
          <w:szCs w:val="16"/>
        </w:rPr>
        <w:t xml:space="preserve">] завода было дано совершенно произвольно, без учета потребности в металле других отраслей промышленности (В. И. ЖДАНОВЫМ). При развитии проектирования вопрос номенклатуры готовых изделий поднимался не один раз с целью затормозить работу. Вносились изменения в программу в смысле прокатки рельс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РУДНИКОВЫМ, дважды ставил вопрос Р. Я. ГАРТВАН о постановке листового стана в новом заводе.</w:t>
      </w:r>
    </w:p>
    <w:p w14:paraId="2C400F7F" w14:textId="77777777" w:rsidR="00E10439" w:rsidRPr="007122AB" w:rsidRDefault="00E10439"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Госплановцы</w:t>
      </w:r>
      <w:proofErr w:type="spellEnd"/>
      <w:r w:rsidRPr="007122AB">
        <w:rPr>
          <w:rFonts w:ascii="Times New Roman" w:hAnsi="Times New Roman"/>
          <w:color w:val="000000" w:themeColor="text1"/>
          <w:sz w:val="16"/>
          <w:szCs w:val="16"/>
        </w:rPr>
        <w:t xml:space="preserve"> — КАЛИННИКОВ, ТАУБЕ, ГАРТВАН заявляли, что программа дана искусственная, не увязанная ни с заданиями проектируемых новых металлургических заводов, ни с потребностью новых металлообрабатывающих и машиностроительных заводов (ни по количеству, ни по качеству металла). На Урале этот вопрос также не получил никакой координации между новыми заводами и уже работающими.</w:t>
      </w:r>
    </w:p>
    <w:p w14:paraId="309F4E62"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Большая программа Магнитогорского завода (2,5 мил. т.) в смысле номенклатуры прокатных изделий до осени 1930 года не получила санкции. Ни Госплан, ни Востоко-Сталь не знают, какие сорта проката потребуются для металлического рынка. На запрос из Америки получена за подписью Л. О. ТРАУТМАНА телеграмма, чтобы в Америке определить номенклатуру проката. Когда разбирался проект в Техническом совете Гипромеза (в декабре 1928 г.) вопрос этот (программа проката) обсуждался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Д. В. АЛЕКСАНДРОВЫМ (ВМС), с ГИНЗБУРГОМ (ВСНХ), которые заявили, что программа произвольная, так как все потребители металла, начиная с </w:t>
      </w:r>
      <w:proofErr w:type="spellStart"/>
      <w:r w:rsidRPr="007122AB">
        <w:rPr>
          <w:rFonts w:ascii="Times New Roman" w:hAnsi="Times New Roman"/>
          <w:color w:val="000000" w:themeColor="text1"/>
          <w:sz w:val="16"/>
          <w:szCs w:val="16"/>
        </w:rPr>
        <w:t>НКПСа</w:t>
      </w:r>
      <w:proofErr w:type="spellEnd"/>
      <w:r w:rsidRPr="007122AB">
        <w:rPr>
          <w:rFonts w:ascii="Times New Roman" w:hAnsi="Times New Roman"/>
          <w:color w:val="000000" w:themeColor="text1"/>
          <w:sz w:val="16"/>
          <w:szCs w:val="16"/>
        </w:rPr>
        <w:t xml:space="preserve"> дают дутые требования и ведут к тому, чтобы получился металлический голод.</w:t>
      </w:r>
    </w:p>
    <w:p w14:paraId="6A8ED7D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Изменение технических коэффициентов и нагрузки отдельных заводских агрегатов за время проектирования, с целью затормозить его, давалось неоднократно В. Н. ЛИПИНЫМ, Е. А. ЛЕБЕДЕВЫМ, М. А. ПАВЛОВЫМ, М. М. БЕРОМ.</w:t>
      </w:r>
    </w:p>
    <w:p w14:paraId="04FC70CA"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Проектируя заводы никто в первое время не знал объема и состава предварительного проекта. Каждый работал наобум. Затем Гипромез выпустил брошюру, указывающую объем и содержание предварительного] проекта. Брошюра была выпущена с целью задержать и внести неразбериху в проектировании. Требования были совершенно ненужные и даже невозможные при составлении предварительного проекта, когда неизвестны точно ни габариты, ни система отдельных установок. Многие требуемые детали могли быть выявлены только при окончательном проекте.</w:t>
      </w:r>
    </w:p>
    <w:p w14:paraId="637FA2A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Экономический отдел Гипромеза изыскивал всякие поводы, чтобы задержать проектирование. На места приезжали представители для собирания никчемных справок, давались указания, противоречащие прежним.</w:t>
      </w:r>
    </w:p>
    <w:p w14:paraId="328F3C5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Строительный отдел давал, главным образом, красивые картинки (работали художники), но общих указаний, общих принципов не давал, в результате чего материал, привозимый с мест, являлся, своего рода, винегретом.</w:t>
      </w:r>
    </w:p>
    <w:p w14:paraId="3C0A38A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Машиностроительный отдел, как подсобный к металлургическому при проектировании подсобных мастерских на новых заводах, давал указания разноречивые с целью затормозить проектирование (механические цеха, кузнечные).</w:t>
      </w:r>
    </w:p>
    <w:p w14:paraId="6F2D671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Энергетический отдел предъявлял требования совершенно ненужные, затягивающие проектирование. Составлялись громадные тетради (целые тома) расчета проводов, характеристик устанавливаемых моторов и пр. Работа эта для предварительного проекта совершенно не нужна и превращала инженеров в простых технических счетоводов.</w:t>
      </w:r>
    </w:p>
    <w:p w14:paraId="3BD7DAAE"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Горного отдела, по существу, не было, и он ограничивал свою работу запросами.</w:t>
      </w:r>
    </w:p>
    <w:p w14:paraId="62ED277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время проектирования Магнитогорского завода, в 1927 и 1928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xml:space="preserve">. с целью затянуть проектирование и отсрочить начало постройки поднята была дискуссия, где надо строить в первую очередь завод (на Урале или на Украине). Во главе этой кампании стоял проф. ДИМАНШТЕЙН, который написал и напечатал полтора десятка брошюр на эту тему и привлек к этому делу некоторых уральцев (технический директор </w:t>
      </w:r>
      <w:proofErr w:type="spellStart"/>
      <w:r w:rsidRPr="007122AB">
        <w:rPr>
          <w:rFonts w:ascii="Times New Roman" w:hAnsi="Times New Roman"/>
          <w:color w:val="000000" w:themeColor="text1"/>
          <w:sz w:val="16"/>
          <w:szCs w:val="16"/>
        </w:rPr>
        <w:t>Уралгортреста</w:t>
      </w:r>
      <w:proofErr w:type="spellEnd"/>
      <w:r w:rsidRPr="007122AB">
        <w:rPr>
          <w:rFonts w:ascii="Times New Roman" w:hAnsi="Times New Roman"/>
          <w:color w:val="000000" w:themeColor="text1"/>
          <w:sz w:val="16"/>
          <w:szCs w:val="16"/>
        </w:rPr>
        <w:t xml:space="preserve"> П. А. ГИРБАСОВ принял участие в этой работе). Как мне сообщал об этом в 1927 году в Москве С. А. ХРЕННИКОВ, вся эта затея была начата с благословения его, ХРЕННИКОВА. В октябре-декабре 1928 года против постройки завода на Магнитной была поднята кампания проф. ШАПОШНИКОВЫМ. Как мне тогда же говорил С. А. ХРЕННИКОВ, эта кампания также имела целью оттянуть утверждение Магнитогорского проекта.</w:t>
      </w:r>
    </w:p>
    <w:p w14:paraId="3F0EF8E9"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Постоянные изменения в производственных заданиях по Магнитогорскому комбинату (по заводу, руднику) в то время, когда строительство уже началось, вносили естественно полную неразбериху и вредительство в работу.</w:t>
      </w:r>
    </w:p>
    <w:p w14:paraId="3C6FDAD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 изменения, проходя через Гипромез, без всякого анализа, санкционировались его работниками, которые мне заявили в октябре-декабре 1929 года в Ленинграде, что это лучший способ спутать все начатые работы и сорвать строительство. Эту мысль высказывали мне В. Н. ЛИПИН, Е. А. ЛЕБЕДЕВ 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ТАТАРЧЕНКО. Консультация с инженерами фирмы ФРЕЙН, работавшими в Гипромезе, созванная</w:t>
      </w:r>
    </w:p>
    <w:p w14:paraId="2A2B1591"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 ЛИПИНЫМ, по вопросу увеличения производительности Магнитогорского завода до 2,5 и даже 4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тонн выплавки чугуна имела несерьезный и поспешный характер, она являлась только формальностью, как мне ЛИПИН сказал 15 декабря 1929 г. в Гипромезе, в Ленинграде.</w:t>
      </w:r>
    </w:p>
    <w:p w14:paraId="51E71CA3"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Вопрос с постройкой города Магнитогорска был с августа-сентября 1929 года специально запутан и заторможен, чтобы сорвать строительство, внеся неразбериху в острый жилищный вопрос на месте постройки. В этом вредительстве приняли участие работники Госпроекта ВСНХ РСФСР: инженер ЗНАМЕНСКИЙ 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ИВАНОВ мне говорили в октябре, ноябре 1929 г. в Москве, что поднятый вопрос постройки чисто социалистического и даже коммунистического типа города есть лучшее средство сорвать темпы строительства. Проф. ЧЕРНЫШЕВ, который затягивал работу по составлению проекта Магнитогорска, передавал мне в Москве в декабре 1929 г., что объявленный конкурс на новый тип города не даст никаких результатов и это есть только проволочка времени и напрасная трата средств.</w:t>
      </w:r>
    </w:p>
    <w:p w14:paraId="2A42859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составлении и проведении в жизнь конкурса принимали особенно живое участие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ИВАНОВ из Госпроекта и С. Д. АСВАДУРОВ, который в это время работал в Московском представительстве Магнитостроя и имел живую связь с работниками Госплана по вопросу о новом типе города (фамилии работников я не знаю).</w:t>
      </w:r>
    </w:p>
    <w:p w14:paraId="550AB1D0"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рабочих чертежей тормозилось и Гипромезом (здание заводоуправления) и Госпроектом ВСНХ РСФСР (здание больницы, школ, хлебозавода), последний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ИВАНОВ) целыми месяцами занимался только сборкой материалов для проектирования. Проектирование рабочих чертежей (строительных), связанных с подготовительным периодом строительства (кирпичных заводов, вспомогательных цехов) </w:t>
      </w:r>
      <w:proofErr w:type="spellStart"/>
      <w:r w:rsidRPr="007122AB">
        <w:rPr>
          <w:rFonts w:ascii="Times New Roman" w:hAnsi="Times New Roman"/>
          <w:color w:val="000000" w:themeColor="text1"/>
          <w:sz w:val="16"/>
          <w:szCs w:val="16"/>
        </w:rPr>
        <w:t>торм</w:t>
      </w:r>
      <w:proofErr w:type="spellEnd"/>
      <w:r w:rsidRPr="007122AB">
        <w:rPr>
          <w:rFonts w:ascii="Times New Roman" w:hAnsi="Times New Roman"/>
          <w:color w:val="000000" w:themeColor="text1"/>
          <w:sz w:val="16"/>
          <w:szCs w:val="16"/>
        </w:rPr>
        <w:t>[о]</w:t>
      </w:r>
      <w:proofErr w:type="spellStart"/>
      <w:r w:rsidRPr="007122AB">
        <w:rPr>
          <w:rFonts w:ascii="Times New Roman" w:hAnsi="Times New Roman"/>
          <w:color w:val="000000" w:themeColor="text1"/>
          <w:sz w:val="16"/>
          <w:szCs w:val="16"/>
        </w:rPr>
        <w:t>зилось</w:t>
      </w:r>
      <w:proofErr w:type="spellEnd"/>
      <w:r w:rsidRPr="007122AB">
        <w:rPr>
          <w:rFonts w:ascii="Times New Roman" w:hAnsi="Times New Roman"/>
          <w:color w:val="000000" w:themeColor="text1"/>
          <w:sz w:val="16"/>
          <w:szCs w:val="16"/>
        </w:rPr>
        <w:t xml:space="preserve"> проектным отделом Магнитостроя.</w:t>
      </w:r>
    </w:p>
    <w:p w14:paraId="165463DD"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Вся организационная и подготовительная работа к строительству: состав и комплектование штата как управленческого аппарата, так и строительного, заготовка строительных материалов, отсутствие плана механизации работ, постройка жилых помещений для рабочих и служащих, постройка вспомогательных учреждений (кирпичные заводы, известковые печи) велась даже для малой программы в 650 тысяч тонн с целью затормозить темпы постройки комбината и принести вред Магнитогорскому строительству.</w:t>
      </w:r>
    </w:p>
    <w:p w14:paraId="3E87CCF5"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Сдача проектирования рабочих чертежей и руководства строительством американской фирме Мак-Ки не дала до момента моего ареста 4 ноября 1930 г. положительных результатов ни в проектировании, ни в руководстве.</w:t>
      </w:r>
    </w:p>
    <w:p w14:paraId="7ACEAB44"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видно из вышесказанного, строительство Магнитогорского завода с самого начала постановки этой проблемы было окружено и все время питалось полным неверием в осуществление этой грандиозной задачи и вредительскими директивами и действиями и проектировочных организаций (Гипромез, </w:t>
      </w:r>
      <w:proofErr w:type="spellStart"/>
      <w:r w:rsidRPr="007122AB">
        <w:rPr>
          <w:rFonts w:ascii="Times New Roman" w:hAnsi="Times New Roman"/>
          <w:color w:val="000000" w:themeColor="text1"/>
          <w:sz w:val="16"/>
          <w:szCs w:val="16"/>
        </w:rPr>
        <w:t>Уралгипромез</w:t>
      </w:r>
      <w:proofErr w:type="spellEnd"/>
      <w:r w:rsidRPr="007122AB">
        <w:rPr>
          <w:rFonts w:ascii="Times New Roman" w:hAnsi="Times New Roman"/>
          <w:color w:val="000000" w:themeColor="text1"/>
          <w:sz w:val="16"/>
          <w:szCs w:val="16"/>
        </w:rPr>
        <w:t>, Госпроект ВСНХ РСФСР)[,] и управленческими органами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Главчермет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Новосталь</w:t>
      </w:r>
      <w:proofErr w:type="spellEnd"/>
      <w:r w:rsidRPr="007122AB">
        <w:rPr>
          <w:rFonts w:ascii="Times New Roman" w:hAnsi="Times New Roman"/>
          <w:color w:val="000000" w:themeColor="text1"/>
          <w:sz w:val="16"/>
          <w:szCs w:val="16"/>
        </w:rPr>
        <w:t>)[,] и плановыми (Госплан) и, наконец, работой на месте строительства.</w:t>
      </w:r>
    </w:p>
    <w:p w14:paraId="658D4EDB"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Записано собственноручно инженер Вит[алий] </w:t>
      </w:r>
      <w:proofErr w:type="spellStart"/>
      <w:r w:rsidRPr="007122AB">
        <w:rPr>
          <w:rFonts w:ascii="Times New Roman" w:hAnsi="Times New Roman"/>
          <w:color w:val="000000" w:themeColor="text1"/>
          <w:sz w:val="16"/>
          <w:szCs w:val="16"/>
        </w:rPr>
        <w:t>Гассельблат</w:t>
      </w:r>
      <w:proofErr w:type="spellEnd"/>
    </w:p>
    <w:p w14:paraId="79170AD6"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ДОПРОСИЛ: УПОЛНОМОЧЕННЫЙ 1 ОТДЕЛЕНИЯ] ЭКУ ОГПУ Майоров</w:t>
      </w:r>
    </w:p>
    <w:p w14:paraId="0407A76F" w14:textId="77777777" w:rsidR="00E10439" w:rsidRPr="007122AB" w:rsidRDefault="00E104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356. Л. 65-109. Машинописный подлинник, подписи на Л. 109 — автографы. Эти и другие показания В. А. </w:t>
      </w:r>
      <w:proofErr w:type="spellStart"/>
      <w:r w:rsidRPr="007122AB">
        <w:rPr>
          <w:rFonts w:ascii="Times New Roman" w:hAnsi="Times New Roman"/>
          <w:color w:val="000000" w:themeColor="text1"/>
          <w:sz w:val="16"/>
          <w:szCs w:val="16"/>
        </w:rPr>
        <w:t>Гасселъблата</w:t>
      </w:r>
      <w:proofErr w:type="spellEnd"/>
      <w:r w:rsidRPr="007122AB">
        <w:rPr>
          <w:rFonts w:ascii="Times New Roman" w:hAnsi="Times New Roman"/>
          <w:color w:val="000000" w:themeColor="text1"/>
          <w:sz w:val="16"/>
          <w:szCs w:val="16"/>
        </w:rPr>
        <w:t xml:space="preserve"> (док. № 356-24) были направлены председателем ОШУ В. Р. Менжинским в ЦК ВКП(б) на имя И. В. Сталина 12 февраля 1931 г. вместе со «Справкой о ликвидированных контрреволюционных организациях на Урале» (док. № 356-26). Сопроводительная записка за подписью В. Р. Менжинского — см. док. №356-25 (18658).</w:t>
      </w:r>
    </w:p>
    <w:p w14:paraId="34AF122F" w14:textId="77777777" w:rsidR="00E10439" w:rsidRPr="007122AB" w:rsidRDefault="00E10439" w:rsidP="007122AB">
      <w:pPr>
        <w:spacing w:after="0" w:line="240" w:lineRule="auto"/>
        <w:jc w:val="both"/>
        <w:rPr>
          <w:rFonts w:ascii="Times New Roman" w:hAnsi="Times New Roman"/>
          <w:color w:val="000000" w:themeColor="text1"/>
          <w:sz w:val="16"/>
          <w:szCs w:val="16"/>
        </w:rPr>
      </w:pPr>
    </w:p>
    <w:p w14:paraId="3B596C2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0967D7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5816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января 1931 в Шанхае китайская полиция арестовала руководителей компартии Китая, собравшихся на секретную встречу (4962).</w:t>
      </w:r>
    </w:p>
    <w:p w14:paraId="46699E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F8E11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DFD0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3F3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18 января 1931 </w:t>
      </w:r>
      <w:proofErr w:type="spellStart"/>
      <w:r w:rsidRPr="007122AB">
        <w:rPr>
          <w:rFonts w:ascii="Times New Roman" w:hAnsi="Times New Roman"/>
          <w:color w:val="000000" w:themeColor="text1"/>
          <w:sz w:val="16"/>
          <w:szCs w:val="16"/>
        </w:rPr>
        <w:t>Ф.А.Цандер</w:t>
      </w:r>
      <w:proofErr w:type="spellEnd"/>
      <w:r w:rsidRPr="007122AB">
        <w:rPr>
          <w:rFonts w:ascii="Times New Roman" w:hAnsi="Times New Roman"/>
          <w:color w:val="000000" w:themeColor="text1"/>
          <w:sz w:val="16"/>
          <w:szCs w:val="16"/>
        </w:rPr>
        <w:t xml:space="preserve"> заключил первый договор с Пред. бюро воздушной техники Осоавиахима </w:t>
      </w:r>
      <w:proofErr w:type="spellStart"/>
      <w:r w:rsidRPr="007122AB">
        <w:rPr>
          <w:rFonts w:ascii="Times New Roman" w:hAnsi="Times New Roman"/>
          <w:color w:val="000000" w:themeColor="text1"/>
          <w:sz w:val="16"/>
          <w:szCs w:val="16"/>
        </w:rPr>
        <w:t>Я.Е.Афанасьевым</w:t>
      </w:r>
      <w:proofErr w:type="spellEnd"/>
      <w:r w:rsidRPr="007122AB">
        <w:rPr>
          <w:rFonts w:ascii="Times New Roman" w:hAnsi="Times New Roman"/>
          <w:color w:val="000000" w:themeColor="text1"/>
          <w:sz w:val="16"/>
          <w:szCs w:val="16"/>
        </w:rPr>
        <w:t xml:space="preserve"> на разработку ракетоплана (1528).</w:t>
      </w:r>
    </w:p>
    <w:p w14:paraId="673C7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6E237D" w14:textId="77777777" w:rsidR="00EA061A" w:rsidRPr="009F5089" w:rsidRDefault="00EA061A" w:rsidP="00EA061A">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18 января 1931 г. </w:t>
      </w:r>
      <w:r w:rsidRPr="009F5089">
        <w:rPr>
          <w:rFonts w:ascii="Times New Roman" w:hAnsi="Times New Roman"/>
          <w:color w:val="0070C0"/>
          <w:sz w:val="16"/>
          <w:szCs w:val="16"/>
        </w:rPr>
        <w:t xml:space="preserve">на 1Х с-езде ВЛКСМ нарком </w:t>
      </w:r>
      <w:proofErr w:type="spellStart"/>
      <w:r w:rsidRPr="009F5089">
        <w:rPr>
          <w:rFonts w:ascii="Times New Roman" w:hAnsi="Times New Roman"/>
          <w:color w:val="0070C0"/>
          <w:sz w:val="16"/>
          <w:szCs w:val="16"/>
        </w:rPr>
        <w:t>К.Е.Воро</w:t>
      </w:r>
      <w:r>
        <w:rPr>
          <w:rFonts w:ascii="Times New Roman" w:hAnsi="Times New Roman"/>
          <w:color w:val="0070C0"/>
          <w:sz w:val="16"/>
          <w:szCs w:val="16"/>
        </w:rPr>
        <w:t>ш</w:t>
      </w:r>
      <w:r w:rsidRPr="009F5089">
        <w:rPr>
          <w:rFonts w:ascii="Times New Roman" w:hAnsi="Times New Roman"/>
          <w:color w:val="0070C0"/>
          <w:sz w:val="16"/>
          <w:szCs w:val="16"/>
        </w:rPr>
        <w:t>илов</w:t>
      </w:r>
      <w:proofErr w:type="spellEnd"/>
      <w:r w:rsidRPr="009F5089">
        <w:rPr>
          <w:rFonts w:ascii="Times New Roman" w:hAnsi="Times New Roman"/>
          <w:color w:val="0070C0"/>
          <w:sz w:val="16"/>
          <w:szCs w:val="16"/>
        </w:rPr>
        <w:t xml:space="preserve"> заяви</w:t>
      </w:r>
      <w:r>
        <w:rPr>
          <w:rFonts w:ascii="Times New Roman" w:hAnsi="Times New Roman"/>
          <w:color w:val="0070C0"/>
          <w:sz w:val="16"/>
          <w:szCs w:val="16"/>
        </w:rPr>
        <w:t>л, что: «..</w:t>
      </w:r>
      <w:r w:rsidRPr="009F5089">
        <w:rPr>
          <w:rFonts w:ascii="Times New Roman" w:hAnsi="Times New Roman"/>
          <w:color w:val="0070C0"/>
          <w:sz w:val="16"/>
          <w:szCs w:val="16"/>
        </w:rPr>
        <w:t xml:space="preserve">.воздушные силы мы начале заново строить </w:t>
      </w:r>
      <w:r>
        <w:rPr>
          <w:rFonts w:ascii="Times New Roman" w:hAnsi="Times New Roman"/>
          <w:color w:val="0070C0"/>
          <w:sz w:val="16"/>
          <w:szCs w:val="16"/>
        </w:rPr>
        <w:t>и</w:t>
      </w:r>
      <w:r w:rsidRPr="009F5089">
        <w:rPr>
          <w:rFonts w:ascii="Times New Roman" w:hAnsi="Times New Roman"/>
          <w:color w:val="0070C0"/>
          <w:sz w:val="16"/>
          <w:szCs w:val="16"/>
        </w:rPr>
        <w:t xml:space="preserve"> строям </w:t>
      </w:r>
      <w:r>
        <w:rPr>
          <w:rFonts w:ascii="Times New Roman" w:hAnsi="Times New Roman"/>
          <w:color w:val="0070C0"/>
          <w:sz w:val="16"/>
          <w:szCs w:val="16"/>
        </w:rPr>
        <w:t xml:space="preserve">на </w:t>
      </w:r>
      <w:r w:rsidRPr="009F5089">
        <w:rPr>
          <w:rFonts w:ascii="Times New Roman" w:hAnsi="Times New Roman"/>
          <w:color w:val="0070C0"/>
          <w:sz w:val="16"/>
          <w:szCs w:val="16"/>
        </w:rPr>
        <w:t>основе достижений мировой техники,</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причем отроим </w:t>
      </w:r>
      <w:r>
        <w:rPr>
          <w:rFonts w:ascii="Times New Roman" w:hAnsi="Times New Roman"/>
          <w:color w:val="0070C0"/>
          <w:sz w:val="16"/>
          <w:szCs w:val="16"/>
        </w:rPr>
        <w:t>с</w:t>
      </w:r>
      <w:r w:rsidRPr="009F5089">
        <w:rPr>
          <w:rFonts w:ascii="Times New Roman" w:hAnsi="Times New Roman"/>
          <w:color w:val="0070C0"/>
          <w:sz w:val="16"/>
          <w:szCs w:val="16"/>
        </w:rPr>
        <w:t xml:space="preserve">о </w:t>
      </w:r>
      <w:r>
        <w:rPr>
          <w:rFonts w:ascii="Times New Roman" w:hAnsi="Times New Roman"/>
          <w:color w:val="0070C0"/>
          <w:sz w:val="16"/>
          <w:szCs w:val="16"/>
        </w:rPr>
        <w:t>з</w:t>
      </w:r>
      <w:r w:rsidRPr="009F5089">
        <w:rPr>
          <w:rFonts w:ascii="Times New Roman" w:hAnsi="Times New Roman"/>
          <w:color w:val="0070C0"/>
          <w:sz w:val="16"/>
          <w:szCs w:val="16"/>
        </w:rPr>
        <w:t>начи</w:t>
      </w:r>
      <w:r>
        <w:rPr>
          <w:rFonts w:ascii="Times New Roman" w:hAnsi="Times New Roman"/>
          <w:color w:val="0070C0"/>
          <w:sz w:val="16"/>
          <w:szCs w:val="16"/>
        </w:rPr>
        <w:t>тельными</w:t>
      </w:r>
      <w:r w:rsidRPr="009F5089">
        <w:rPr>
          <w:rFonts w:ascii="Times New Roman" w:hAnsi="Times New Roman"/>
          <w:color w:val="0070C0"/>
          <w:sz w:val="16"/>
          <w:szCs w:val="16"/>
        </w:rPr>
        <w:t xml:space="preserve"> успехами</w:t>
      </w:r>
      <w:r>
        <w:rPr>
          <w:rFonts w:ascii="Times New Roman" w:hAnsi="Times New Roman"/>
          <w:color w:val="0070C0"/>
          <w:sz w:val="16"/>
          <w:szCs w:val="16"/>
        </w:rPr>
        <w:t>»</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Нарком призывал молодежь к овладению авиа</w:t>
      </w:r>
      <w:r>
        <w:rPr>
          <w:rFonts w:ascii="Times New Roman" w:hAnsi="Times New Roman"/>
          <w:color w:val="0070C0"/>
          <w:sz w:val="16"/>
          <w:szCs w:val="16"/>
        </w:rPr>
        <w:t xml:space="preserve">ционными </w:t>
      </w:r>
      <w:r w:rsidRPr="009F5089">
        <w:rPr>
          <w:rFonts w:ascii="Times New Roman" w:hAnsi="Times New Roman"/>
          <w:color w:val="0070C0"/>
          <w:sz w:val="16"/>
          <w:szCs w:val="16"/>
        </w:rPr>
        <w:t>специальностями,</w:t>
      </w:r>
      <w:r>
        <w:rPr>
          <w:rFonts w:ascii="Times New Roman" w:hAnsi="Times New Roman"/>
          <w:color w:val="0070C0"/>
          <w:sz w:val="16"/>
          <w:szCs w:val="16"/>
        </w:rPr>
        <w:t xml:space="preserve"> </w:t>
      </w:r>
      <w:r w:rsidRPr="009F5089">
        <w:rPr>
          <w:rFonts w:ascii="Times New Roman" w:hAnsi="Times New Roman"/>
          <w:color w:val="0070C0"/>
          <w:sz w:val="16"/>
          <w:szCs w:val="16"/>
        </w:rPr>
        <w:t>на что с</w:t>
      </w:r>
      <w:r>
        <w:rPr>
          <w:rFonts w:ascii="Times New Roman" w:hAnsi="Times New Roman"/>
          <w:color w:val="0070C0"/>
          <w:sz w:val="16"/>
          <w:szCs w:val="16"/>
        </w:rPr>
        <w:t>ъ</w:t>
      </w:r>
      <w:r w:rsidRPr="009F5089">
        <w:rPr>
          <w:rFonts w:ascii="Times New Roman" w:hAnsi="Times New Roman"/>
          <w:color w:val="0070C0"/>
          <w:sz w:val="16"/>
          <w:szCs w:val="16"/>
        </w:rPr>
        <w:t xml:space="preserve">езд ответил принятием </w:t>
      </w:r>
      <w:proofErr w:type="spellStart"/>
      <w:r w:rsidRPr="009F5089">
        <w:rPr>
          <w:rFonts w:ascii="Times New Roman" w:hAnsi="Times New Roman"/>
          <w:color w:val="0070C0"/>
          <w:sz w:val="16"/>
          <w:szCs w:val="16"/>
        </w:rPr>
        <w:t>щефст</w:t>
      </w:r>
      <w:r>
        <w:rPr>
          <w:rFonts w:ascii="Times New Roman" w:hAnsi="Times New Roman"/>
          <w:color w:val="0070C0"/>
          <w:sz w:val="16"/>
          <w:szCs w:val="16"/>
        </w:rPr>
        <w:t>ва</w:t>
      </w:r>
      <w:proofErr w:type="spellEnd"/>
      <w:r>
        <w:rPr>
          <w:rFonts w:ascii="Times New Roman" w:hAnsi="Times New Roman"/>
          <w:color w:val="0070C0"/>
          <w:sz w:val="16"/>
          <w:szCs w:val="16"/>
        </w:rPr>
        <w:t xml:space="preserve"> над </w:t>
      </w:r>
      <w:r w:rsidRPr="009F5089">
        <w:rPr>
          <w:rFonts w:ascii="Times New Roman" w:hAnsi="Times New Roman"/>
          <w:color w:val="0070C0"/>
          <w:sz w:val="16"/>
          <w:szCs w:val="16"/>
        </w:rPr>
        <w:t>военно-воздушными силами.</w:t>
      </w:r>
    </w:p>
    <w:p w14:paraId="465438B1" w14:textId="77777777" w:rsidR="00EA061A" w:rsidRDefault="00EA061A" w:rsidP="00EA061A">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/Ворошилов К.Е.</w:t>
      </w:r>
      <w:r>
        <w:rPr>
          <w:rFonts w:ascii="Times New Roman" w:hAnsi="Times New Roman"/>
          <w:color w:val="0070C0"/>
          <w:sz w:val="16"/>
          <w:szCs w:val="16"/>
        </w:rPr>
        <w:t xml:space="preserve"> </w:t>
      </w:r>
      <w:r w:rsidRPr="009F5089">
        <w:rPr>
          <w:rFonts w:ascii="Times New Roman" w:hAnsi="Times New Roman"/>
          <w:color w:val="0070C0"/>
          <w:sz w:val="16"/>
          <w:szCs w:val="16"/>
        </w:rPr>
        <w:t>Статьи и речи, 1936, стр.</w:t>
      </w:r>
      <w:r>
        <w:rPr>
          <w:rFonts w:ascii="Times New Roman" w:hAnsi="Times New Roman"/>
          <w:color w:val="0070C0"/>
          <w:sz w:val="16"/>
          <w:szCs w:val="16"/>
        </w:rPr>
        <w:t xml:space="preserve"> </w:t>
      </w:r>
      <w:r w:rsidRPr="009F5089">
        <w:rPr>
          <w:rFonts w:ascii="Times New Roman" w:hAnsi="Times New Roman"/>
          <w:color w:val="0070C0"/>
          <w:sz w:val="16"/>
          <w:szCs w:val="16"/>
        </w:rPr>
        <w:t>461/</w:t>
      </w:r>
      <w:r>
        <w:rPr>
          <w:rFonts w:ascii="Times New Roman" w:hAnsi="Times New Roman"/>
          <w:color w:val="0070C0"/>
          <w:sz w:val="16"/>
          <w:szCs w:val="16"/>
        </w:rPr>
        <w:t xml:space="preserve"> (23370).</w:t>
      </w:r>
    </w:p>
    <w:p w14:paraId="280FC6AD" w14:textId="77777777" w:rsidR="00EA061A" w:rsidRPr="009F5089" w:rsidRDefault="00EA061A" w:rsidP="00EA061A">
      <w:pPr>
        <w:spacing w:after="0" w:line="240" w:lineRule="auto"/>
        <w:jc w:val="both"/>
        <w:rPr>
          <w:rFonts w:ascii="Times New Roman" w:hAnsi="Times New Roman"/>
          <w:color w:val="0070C0"/>
          <w:sz w:val="16"/>
          <w:szCs w:val="16"/>
        </w:rPr>
      </w:pPr>
    </w:p>
    <w:p w14:paraId="16CBBF2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170BF3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647379" w14:textId="77777777" w:rsidR="00CB1153" w:rsidRPr="007122AB" w:rsidRDefault="00CB1153" w:rsidP="007122AB">
      <w:pPr>
        <w:pStyle w:val="a3"/>
        <w:rPr>
          <w:color w:val="000000" w:themeColor="text1"/>
          <w:lang w:val="ru-RU"/>
        </w:rPr>
      </w:pPr>
      <w:r w:rsidRPr="007122AB">
        <w:rPr>
          <w:color w:val="000000" w:themeColor="text1"/>
          <w:lang w:val="ru-RU"/>
        </w:rPr>
        <w:t>18 января 1931, после выполнения англичана</w:t>
      </w:r>
      <w:r w:rsidRPr="007122AB">
        <w:rPr>
          <w:color w:val="000000" w:themeColor="text1"/>
          <w:lang w:val="ru-RU"/>
        </w:rPr>
        <w:softHyphen/>
        <w:t>ми всех необходимых ремонтных работ, в ходе пробных испытаний танка наблюдалась неста</w:t>
      </w:r>
      <w:r w:rsidRPr="007122AB">
        <w:rPr>
          <w:color w:val="000000" w:themeColor="text1"/>
          <w:lang w:val="ru-RU"/>
        </w:rPr>
        <w:softHyphen/>
        <w:t>бильная работа и заглохание двигателя на малых оборотах. Пришлось снять и осмотреть магнето. Кроме того, вследствие небрежного монта</w:t>
      </w:r>
      <w:r w:rsidRPr="007122AB">
        <w:rPr>
          <w:color w:val="000000" w:themeColor="text1"/>
          <w:lang w:val="ru-RU"/>
        </w:rPr>
        <w:softHyphen/>
        <w:t>жа потребовалось заменить прокладки соединения выпускной трубы. С 21 по 30 января производились пробные поездки танка с одновремен</w:t>
      </w:r>
      <w:r w:rsidRPr="007122AB">
        <w:rPr>
          <w:color w:val="000000" w:themeColor="text1"/>
          <w:lang w:val="ru-RU"/>
        </w:rPr>
        <w:softHyphen/>
        <w:t>ным устранением выявленных дефектов. При очередном осмотре ма</w:t>
      </w:r>
      <w:r w:rsidRPr="007122AB">
        <w:rPr>
          <w:color w:val="000000" w:themeColor="text1"/>
          <w:lang w:val="ru-RU"/>
        </w:rPr>
        <w:softHyphen/>
        <w:t>шины обнаружили поломку восьми ведомых дисков</w:t>
      </w:r>
      <w:r w:rsidRPr="007122AB">
        <w:rPr>
          <w:rStyle w:val="260"/>
          <w:rFonts w:ascii="Times New Roman" w:hAnsi="Times New Roman" w:cs="Times New Roman"/>
          <w:i w:val="0"/>
          <w:color w:val="000000" w:themeColor="text1"/>
          <w:sz w:val="16"/>
          <w:szCs w:val="16"/>
          <w:lang w:val="ru-RU"/>
        </w:rPr>
        <w:t xml:space="preserve"> «сцепления управ</w:t>
      </w:r>
      <w:r w:rsidRPr="007122AB">
        <w:rPr>
          <w:rStyle w:val="260"/>
          <w:rFonts w:ascii="Times New Roman" w:hAnsi="Times New Roman" w:cs="Times New Roman"/>
          <w:i w:val="0"/>
          <w:color w:val="000000" w:themeColor="text1"/>
          <w:sz w:val="16"/>
          <w:szCs w:val="16"/>
          <w:lang w:val="ru-RU"/>
        </w:rPr>
        <w:softHyphen/>
        <w:t>ления»,</w:t>
      </w:r>
      <w:r w:rsidRPr="007122AB">
        <w:rPr>
          <w:color w:val="000000" w:themeColor="text1"/>
          <w:lang w:val="ru-RU"/>
        </w:rPr>
        <w:t xml:space="preserve"> которые заменили отдельными сегментами, полученными путем шлифовки поломанных стальных дисков.</w:t>
      </w:r>
    </w:p>
    <w:p w14:paraId="11AEE8A3" w14:textId="77777777" w:rsidR="00CB1153" w:rsidRPr="007122AB" w:rsidRDefault="00CB1153" w:rsidP="007122AB">
      <w:pPr>
        <w:pStyle w:val="a3"/>
        <w:rPr>
          <w:color w:val="000000" w:themeColor="text1"/>
          <w:lang w:val="ru-RU"/>
        </w:rPr>
      </w:pPr>
      <w:r w:rsidRPr="007122AB">
        <w:rPr>
          <w:color w:val="000000" w:themeColor="text1"/>
          <w:lang w:val="ru-RU"/>
        </w:rPr>
        <w:t>За первую неделю марта танк №229 (№1) преодолел 220,7 км. Од</w:t>
      </w:r>
      <w:r w:rsidRPr="007122AB">
        <w:rPr>
          <w:color w:val="000000" w:themeColor="text1"/>
          <w:lang w:val="ru-RU"/>
        </w:rPr>
        <w:softHyphen/>
        <w:t>нако 7 марта при движении произошло полное разрушение шлицевого соединения вала «эпициклического</w:t>
      </w:r>
      <w:r w:rsidRPr="007122AB">
        <w:rPr>
          <w:rStyle w:val="260"/>
          <w:rFonts w:ascii="Times New Roman" w:hAnsi="Times New Roman" w:cs="Times New Roman"/>
          <w:i w:val="0"/>
          <w:color w:val="000000" w:themeColor="text1"/>
          <w:sz w:val="16"/>
          <w:szCs w:val="16"/>
          <w:lang w:val="ru-RU"/>
        </w:rPr>
        <w:t xml:space="preserve"> сцепления»,</w:t>
      </w:r>
      <w:r w:rsidRPr="007122AB">
        <w:rPr>
          <w:color w:val="000000" w:themeColor="text1"/>
          <w:lang w:val="ru-RU"/>
        </w:rPr>
        <w:t xml:space="preserve"> поэтому «Виккерс Ме</w:t>
      </w:r>
      <w:r w:rsidRPr="007122AB">
        <w:rPr>
          <w:color w:val="000000" w:themeColor="text1"/>
          <w:lang w:val="ru-RU"/>
        </w:rPr>
        <w:softHyphen/>
        <w:t>диум» пришлось тащить на буксире в гараж, чтобы заменить вал и муфту новыми деталями, присланными из Англии (15745).</w:t>
      </w:r>
    </w:p>
    <w:p w14:paraId="7E1F7C78" w14:textId="77777777" w:rsidR="00CB1153" w:rsidRPr="007122AB" w:rsidRDefault="00CB1153" w:rsidP="007122AB">
      <w:pPr>
        <w:pStyle w:val="a3"/>
        <w:rPr>
          <w:color w:val="000000" w:themeColor="text1"/>
          <w:lang w:val="ru-RU"/>
        </w:rPr>
      </w:pPr>
    </w:p>
    <w:p w14:paraId="18F6FDD5" w14:textId="77777777" w:rsidR="00CB1153" w:rsidRPr="007122AB" w:rsidRDefault="00CB1153"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18 января</w:t>
      </w:r>
      <w:r w:rsidRPr="007122AB">
        <w:rPr>
          <w:rFonts w:ascii="Times New Roman" w:hAnsi="Times New Roman"/>
          <w:color w:val="000000" w:themeColor="text1"/>
          <w:sz w:val="16"/>
          <w:szCs w:val="16"/>
        </w:rPr>
        <w:t xml:space="preserve"> в 1931 году для обеспечения создания боевых надводных кораблей было создано Центральное КБ специального (военного) судостроения (ЦКБС; ныне — ОАО "Невское ПКБ", Санкт-Петербург) — единственный в России головной разработчик авианесущих кораблей океанической зоны, корабельных авиационно-технических средств, взлетно-посадочных блоков, наземных испытательных и учебно-тренировочных комплексов корабельной авиации</w:t>
      </w:r>
    </w:p>
    <w:p w14:paraId="5674A021" w14:textId="77777777" w:rsidR="00CB1153" w:rsidRPr="007122AB" w:rsidRDefault="00CB1153" w:rsidP="007122AB">
      <w:pPr>
        <w:spacing w:after="0" w:line="240" w:lineRule="auto"/>
        <w:jc w:val="both"/>
        <w:rPr>
          <w:rFonts w:ascii="Times New Roman" w:hAnsi="Times New Roman"/>
          <w:color w:val="000000" w:themeColor="text1"/>
          <w:sz w:val="16"/>
          <w:szCs w:val="16"/>
        </w:rPr>
      </w:pPr>
    </w:p>
    <w:p w14:paraId="53300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января 1931 г. из состава Технического бюро Северной верфи выделено самостоятельное БСПС, далее - ЦКБС- 1 (ГС ЦКБ-17 НКОП, НКСП, ГКС, МСП, БСПС, ЦКБС-1 НКТП, Невское Проектно-конструкторское бюро (НПКБ) МСП, ОАО «НПКБ» / г. </w:t>
      </w:r>
      <w:proofErr w:type="spellStart"/>
      <w:r w:rsidRPr="007122AB">
        <w:rPr>
          <w:rFonts w:ascii="Times New Roman" w:hAnsi="Times New Roman"/>
          <w:color w:val="000000" w:themeColor="text1"/>
          <w:sz w:val="16"/>
          <w:szCs w:val="16"/>
        </w:rPr>
        <w:t>Леншпрад</w:t>
      </w:r>
      <w:proofErr w:type="spellEnd"/>
      <w:r w:rsidRPr="007122AB">
        <w:rPr>
          <w:rFonts w:ascii="Times New Roman" w:hAnsi="Times New Roman"/>
          <w:color w:val="000000" w:themeColor="text1"/>
          <w:sz w:val="16"/>
          <w:szCs w:val="16"/>
        </w:rPr>
        <w:t xml:space="preserve">;  г. Казань/ /199106  г. Санкт-Петербург Галерный </w:t>
      </w:r>
      <w:proofErr w:type="spellStart"/>
      <w:r w:rsidRPr="007122AB">
        <w:rPr>
          <w:rFonts w:ascii="Times New Roman" w:hAnsi="Times New Roman"/>
          <w:color w:val="000000" w:themeColor="text1"/>
          <w:sz w:val="16"/>
          <w:szCs w:val="16"/>
        </w:rPr>
        <w:t>пр</w:t>
      </w:r>
      <w:proofErr w:type="spellEnd"/>
      <w:r w:rsidRPr="007122AB">
        <w:rPr>
          <w:rFonts w:ascii="Times New Roman" w:hAnsi="Times New Roman"/>
          <w:color w:val="000000" w:themeColor="text1"/>
          <w:sz w:val="16"/>
          <w:szCs w:val="16"/>
        </w:rPr>
        <w:t xml:space="preserve">-д, 3 тел. 352-05-66/); приказом НКТП№ 808 от 23.11.1933 г. утвержден Устав предприятия. В 12.1936 г. ЦКБС-1 передано в НКОП и по пр.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переименовано в ЦКБ-17, приказом № 216 от 21.06.1937 г. утвержден Устав ГС ЦКБ-17. В 02.1939 г. ЦКБ-17 2ГУ НКОП передано в ведение 1ГУ НКСП, затем - в ведение 5ГУ.</w:t>
      </w:r>
      <w:r w:rsidRPr="007122AB">
        <w:rPr>
          <w:rFonts w:ascii="Times New Roman" w:hAnsi="Times New Roman"/>
          <w:color w:val="000000" w:themeColor="text1"/>
          <w:sz w:val="16"/>
          <w:szCs w:val="16"/>
          <w:vertAlign w:val="superscript"/>
        </w:rPr>
        <w:t>61</w:t>
      </w:r>
    </w:p>
    <w:p w14:paraId="7422EB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1935-36 г. по заданиям УВМС в ЦКБС-1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w:t>
      </w:r>
      <w:proofErr w:type="spellStart"/>
      <w:r w:rsidRPr="007122AB">
        <w:rPr>
          <w:rFonts w:ascii="Times New Roman" w:hAnsi="Times New Roman"/>
          <w:color w:val="000000" w:themeColor="text1"/>
          <w:sz w:val="16"/>
          <w:szCs w:val="16"/>
        </w:rPr>
        <w:t>предэскизный</w:t>
      </w:r>
      <w:proofErr w:type="spellEnd"/>
      <w:r w:rsidRPr="007122AB">
        <w:rPr>
          <w:rFonts w:ascii="Times New Roman" w:hAnsi="Times New Roman"/>
          <w:color w:val="000000" w:themeColor="text1"/>
          <w:sz w:val="16"/>
          <w:szCs w:val="16"/>
        </w:rPr>
        <w:t xml:space="preserve"> проект линкора «Б» (пр. 25), работы по которому продолжены в ЦКБ-17. Летом 1937 г. был разработан технический проект, но затем он был отвергнут, и в 08-09.1937 г. выдано новое задание на линкор «Б». По нему к концу 1937 г. создан эскизный проект линкора пр. 64, но и от него в 1938 г. отказались.</w:t>
      </w:r>
    </w:p>
    <w:p w14:paraId="7AAD7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 КО от 29.06.1938 г. и приказом № 249сс от 17.07.1938 г. утвержден эскизный проект легкого крейсера пр. 68, и начата разработка </w:t>
      </w:r>
      <w:proofErr w:type="spellStart"/>
      <w:r w:rsidRPr="007122AB">
        <w:rPr>
          <w:rFonts w:ascii="Times New Roman" w:hAnsi="Times New Roman"/>
          <w:color w:val="000000" w:themeColor="text1"/>
          <w:sz w:val="16"/>
          <w:szCs w:val="16"/>
        </w:rPr>
        <w:t>техпроекта</w:t>
      </w:r>
      <w:proofErr w:type="spellEnd"/>
      <w:r w:rsidRPr="007122AB">
        <w:rPr>
          <w:rFonts w:ascii="Times New Roman" w:hAnsi="Times New Roman"/>
          <w:color w:val="000000" w:themeColor="text1"/>
          <w:sz w:val="16"/>
          <w:szCs w:val="16"/>
        </w:rPr>
        <w:t xml:space="preserve">. В 04.1945 г. утверждено ТТЗ на крейсер пр. 68К. В 1947 г. разработан </w:t>
      </w:r>
      <w:proofErr w:type="spellStart"/>
      <w:r w:rsidRPr="007122AB">
        <w:rPr>
          <w:rFonts w:ascii="Times New Roman" w:hAnsi="Times New Roman"/>
          <w:color w:val="000000" w:themeColor="text1"/>
          <w:sz w:val="16"/>
          <w:szCs w:val="16"/>
        </w:rPr>
        <w:t>техпроект</w:t>
      </w:r>
      <w:proofErr w:type="spellEnd"/>
      <w:r w:rsidRPr="007122AB">
        <w:rPr>
          <w:rFonts w:ascii="Times New Roman" w:hAnsi="Times New Roman"/>
          <w:color w:val="000000" w:themeColor="text1"/>
          <w:sz w:val="16"/>
          <w:szCs w:val="16"/>
        </w:rPr>
        <w:t xml:space="preserve"> модернизированного пр. 68бис.</w:t>
      </w:r>
    </w:p>
    <w:p w14:paraId="6C90E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исполнение решения правительства № 4сс от 29.06.1938 г. по пр. № 249сс начата разработка эскизного проекта тяжелого крейсера пр. 69, его технический проект утвержден КО 12.04.1940 г. В 10.1940 г. разработан проект крейсера пр. 69И, вооруженного немецкими 380-мм орудиями и ПУС.</w:t>
      </w:r>
    </w:p>
    <w:p w14:paraId="0E493C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444сс от 25.11.1938 г. за ЦКБ закреплено занимаемое им здание бывшей Академии Легкой промышленности.</w:t>
      </w:r>
    </w:p>
    <w:p w14:paraId="2AA34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05.1941 г. начато проектирование тяжелого крейсера пр. 82. В 1944 г. разработано 6 вариантов эскизного проекта с </w:t>
      </w:r>
      <w:proofErr w:type="spellStart"/>
      <w:r w:rsidRPr="007122AB">
        <w:rPr>
          <w:rFonts w:ascii="Times New Roman" w:hAnsi="Times New Roman"/>
          <w:color w:val="000000" w:themeColor="text1"/>
          <w:sz w:val="16"/>
          <w:szCs w:val="16"/>
        </w:rPr>
        <w:t>главньм</w:t>
      </w:r>
      <w:proofErr w:type="spellEnd"/>
      <w:r w:rsidRPr="007122AB">
        <w:rPr>
          <w:rFonts w:ascii="Times New Roman" w:hAnsi="Times New Roman"/>
          <w:color w:val="000000" w:themeColor="text1"/>
          <w:sz w:val="16"/>
          <w:szCs w:val="16"/>
        </w:rPr>
        <w:t xml:space="preserve"> калибром в 220 мм; в соответствии с пост, правительства от 28.01.1947 г. в конце 1947 г. проект переработан под главный калибр 305 мм. 31.08.1948 г. вышло постановление правительства о проектировании и строительстве головного крейсера пр. 82. Для разработки рабочего проекта документацию по пр. 82 в 10.1950 г. передали в ЦКБ-16, туда же переведена группа проектантов по этому кораблю.</w:t>
      </w:r>
    </w:p>
    <w:p w14:paraId="560C0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ЦКБ-17 НКСП эвакуировано в Казань в помещение средней школы.</w:t>
      </w:r>
    </w:p>
    <w:p w14:paraId="273D8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1943 г. организован филиал ЦКБ на заводе № 201. Действовал также филиал на Северной верфи. В 1946 г. он преобразован в самостоятельное ЦКБ-53.</w:t>
      </w:r>
    </w:p>
    <w:p w14:paraId="7F73A4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09.1943 г. в ЦКБ-17 из ЦКБ-4 переданы работы по авианосцу пр. 72, </w:t>
      </w:r>
      <w:proofErr w:type="spellStart"/>
      <w:r w:rsidRPr="007122AB">
        <w:rPr>
          <w:rFonts w:ascii="Times New Roman" w:hAnsi="Times New Roman"/>
          <w:color w:val="000000" w:themeColor="text1"/>
          <w:sz w:val="16"/>
          <w:szCs w:val="16"/>
        </w:rPr>
        <w:t>предэскизный</w:t>
      </w:r>
      <w:proofErr w:type="spellEnd"/>
      <w:r w:rsidRPr="007122AB">
        <w:rPr>
          <w:rFonts w:ascii="Times New Roman" w:hAnsi="Times New Roman"/>
          <w:color w:val="000000" w:themeColor="text1"/>
          <w:sz w:val="16"/>
          <w:szCs w:val="16"/>
        </w:rPr>
        <w:t xml:space="preserve"> проект был готов в 11.1944 г.</w:t>
      </w:r>
    </w:p>
    <w:p w14:paraId="126FA4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1943 г. велось проектирование линкора пр. 24 с главным калибром 406 мм, в 1948 г. работы переданы в специально созданное для этого ЦКБ-Л.</w:t>
      </w:r>
    </w:p>
    <w:p w14:paraId="6016F4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войны разрабатывался проект тральщика пр. 254, затем работы переданы в ЦКБ-50.</w:t>
      </w:r>
    </w:p>
    <w:p w14:paraId="6BBF50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1946 г. совместно с ЦНИИВК велось </w:t>
      </w:r>
      <w:proofErr w:type="spellStart"/>
      <w:r w:rsidRPr="007122AB">
        <w:rPr>
          <w:rFonts w:ascii="Times New Roman" w:hAnsi="Times New Roman"/>
          <w:color w:val="000000" w:themeColor="text1"/>
          <w:sz w:val="16"/>
          <w:szCs w:val="16"/>
        </w:rPr>
        <w:t>предэскизное</w:t>
      </w:r>
      <w:proofErr w:type="spellEnd"/>
      <w:r w:rsidRPr="007122AB">
        <w:rPr>
          <w:rFonts w:ascii="Times New Roman" w:hAnsi="Times New Roman"/>
          <w:color w:val="000000" w:themeColor="text1"/>
          <w:sz w:val="16"/>
          <w:szCs w:val="16"/>
        </w:rPr>
        <w:t xml:space="preserve"> проектирование легкого крейсера пр. 65, в 1947 г. работы прекращены в пользу пр. 68бис и 82.</w:t>
      </w:r>
    </w:p>
    <w:p w14:paraId="25873D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1947 г. разработан </w:t>
      </w:r>
      <w:proofErr w:type="spellStart"/>
      <w:r w:rsidRPr="007122AB">
        <w:rPr>
          <w:rFonts w:ascii="Times New Roman" w:hAnsi="Times New Roman"/>
          <w:color w:val="000000" w:themeColor="text1"/>
          <w:sz w:val="16"/>
          <w:szCs w:val="16"/>
        </w:rPr>
        <w:t>предэскизный</w:t>
      </w:r>
      <w:proofErr w:type="spellEnd"/>
      <w:r w:rsidRPr="007122AB">
        <w:rPr>
          <w:rFonts w:ascii="Times New Roman" w:hAnsi="Times New Roman"/>
          <w:color w:val="000000" w:themeColor="text1"/>
          <w:sz w:val="16"/>
          <w:szCs w:val="16"/>
        </w:rPr>
        <w:t xml:space="preserve"> проект крейсера ЛКР-22, реализован не был. В 09.1952 г. разработан эскизный проект среднего крейсера пр. 66, в 1953 г. работы по нему прекращены. В 1954 г. начато проектирование легкого крейсера пр. 84, пост, правительства от 25.08.1956 г. работы прекращены.</w:t>
      </w:r>
    </w:p>
    <w:p w14:paraId="505FF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05.1953 г. выдано задание на разработку легкого авианосца пр. 85, в 1955 г. проектирование передано в ЦКБ- 16. В 1959-60 г. прорабатывался проект «плавучей базы истребительной авиации» (ПБИА).</w:t>
      </w:r>
    </w:p>
    <w:p w14:paraId="0D8BE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правительства № 2544-1225 от 30.12.1954 г. начаты работы по ракетным крейсерам пр. 67, предусматривавшие перевооружение крейсера пр. 68бис-ЗИФ противокорабельными ракетами. Эскизный проект утвержден в 04.1956 г., </w:t>
      </w:r>
      <w:proofErr w:type="spellStart"/>
      <w:r w:rsidRPr="007122AB">
        <w:rPr>
          <w:rFonts w:ascii="Times New Roman" w:hAnsi="Times New Roman"/>
          <w:color w:val="000000" w:themeColor="text1"/>
          <w:sz w:val="16"/>
          <w:szCs w:val="16"/>
        </w:rPr>
        <w:t>техпроект</w:t>
      </w:r>
      <w:proofErr w:type="spellEnd"/>
      <w:r w:rsidRPr="007122AB">
        <w:rPr>
          <w:rFonts w:ascii="Times New Roman" w:hAnsi="Times New Roman"/>
          <w:color w:val="000000" w:themeColor="text1"/>
          <w:sz w:val="16"/>
          <w:szCs w:val="16"/>
        </w:rPr>
        <w:t xml:space="preserve"> утвержден не был. Работы продолжены по пр. 64. В соответствии с ПСМ № 1601-892 от 25.08.1956 г. начата разработка легкого ракетного крейсера (КРЛ-Р) пр. 63. Постановлениями правительства от 12.1958 г. и от 03.1959 г. работы по пр. 64 и 63 прекращены. В 1959 г. начаты работы по кораблю ПВО пр. 1126. Было проработано 20 вариантов, эскизный проект утвержден в 07.1960 г. Пост, правительства от 06.1961 г. работы прекращены.</w:t>
      </w:r>
    </w:p>
    <w:p w14:paraId="4BA70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1958 г. начато проектирование противолодочных крейсеров (ПКР), с 1963 г. - больших десантных кораблей (БДК), а с 1968 г. - тяжелых авианесущих крейсеров (ТАВКР).</w:t>
      </w:r>
    </w:p>
    <w:p w14:paraId="62DDF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1950-е  г. из ЦКБ-50 преданы работы по проектированию понтона пр. 755. В конце 1950-х-начале 1960-х  г. в ЦКБ-17 переданы из ЦКБ-32 работы по проектированию океанографического судна пр. 514, морских танкеров пр. 577, пр. 1541, плавмастерской пр. 725. Затем проектировалась плавмастерская пр. 725А для АПЛ, работы переданы в ЦКБ-21.</w:t>
      </w:r>
    </w:p>
    <w:p w14:paraId="798EF2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ПСМ от 12.1958 г. начато проектирование корабля ПЛО дальней зоны (с 1965 г. - противолодочного крейсера) с базированием вертолетов пр. 1123 «Кондор», </w:t>
      </w:r>
      <w:proofErr w:type="spellStart"/>
      <w:r w:rsidRPr="007122AB">
        <w:rPr>
          <w:rFonts w:ascii="Times New Roman" w:hAnsi="Times New Roman"/>
          <w:color w:val="000000" w:themeColor="text1"/>
          <w:sz w:val="16"/>
          <w:szCs w:val="16"/>
        </w:rPr>
        <w:t>техпроект</w:t>
      </w:r>
      <w:proofErr w:type="spellEnd"/>
      <w:r w:rsidRPr="007122AB">
        <w:rPr>
          <w:rFonts w:ascii="Times New Roman" w:hAnsi="Times New Roman"/>
          <w:color w:val="000000" w:themeColor="text1"/>
          <w:sz w:val="16"/>
          <w:szCs w:val="16"/>
        </w:rPr>
        <w:t xml:space="preserve"> был утвержден в 01.1962 г. Пост, правительства от 11.1963 г. было задано строительство двух кораблей; пост. № 128-52 от 20.02.1970 г. пр. 1123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Решением ВМФ и МСП в 06.1967 г. было задано к 09.1967 г. разработать улучшенный проект пр. 11233 строительства 3-го корабля. Пост, правительства от 12.1967 г. была задана корректировка проекта с учетом базирования на корабле штурмовика Як-</w:t>
      </w:r>
      <w:proofErr w:type="spellStart"/>
      <w:r w:rsidRPr="007122AB">
        <w:rPr>
          <w:rFonts w:ascii="Times New Roman" w:hAnsi="Times New Roman"/>
          <w:color w:val="000000" w:themeColor="text1"/>
          <w:sz w:val="16"/>
          <w:szCs w:val="16"/>
        </w:rPr>
        <w:t>ЗбМ</w:t>
      </w:r>
      <w:proofErr w:type="spellEnd"/>
      <w:r w:rsidRPr="007122AB">
        <w:rPr>
          <w:rFonts w:ascii="Times New Roman" w:hAnsi="Times New Roman"/>
          <w:color w:val="000000" w:themeColor="text1"/>
          <w:sz w:val="16"/>
          <w:szCs w:val="16"/>
        </w:rPr>
        <w:t xml:space="preserve">. Это привело к разработке нового пр. 1143 «Кречет». </w:t>
      </w:r>
      <w:proofErr w:type="spellStart"/>
      <w:r w:rsidRPr="007122AB">
        <w:rPr>
          <w:rFonts w:ascii="Times New Roman" w:hAnsi="Times New Roman"/>
          <w:color w:val="000000" w:themeColor="text1"/>
          <w:sz w:val="16"/>
          <w:szCs w:val="16"/>
        </w:rPr>
        <w:t>Техпроект</w:t>
      </w:r>
      <w:proofErr w:type="spellEnd"/>
      <w:r w:rsidRPr="007122AB">
        <w:rPr>
          <w:rFonts w:ascii="Times New Roman" w:hAnsi="Times New Roman"/>
          <w:color w:val="000000" w:themeColor="text1"/>
          <w:sz w:val="16"/>
          <w:szCs w:val="16"/>
        </w:rPr>
        <w:t xml:space="preserve"> был утвержден в 04.1970 г. В 10.1978 г. вышло постановление правительства о продолжении строительства ТАКР пр. 1143 с базированием сверхзвукового Як-4]. Эскизный проект 1143.5 был готов в конце 1979 г. В 05.1982 г. вышло постановление правительства об утверждении откорректированного проекта крейсера, несущего Су-27К и МиГ-29К, и его строительстве. В 12.1984 г. ПКБ выдано задание на разработку 7-го ТАКР, в 1986 г. был утвержден эскизный, а в 1987 г. - технический проекты. В 10.1987 г. вышло постановление правительства об утверждении проекта крейсера, несущего до 70 ЛА (Су-27К, МиГ-29К, Як-44, Ка-27), и его строительстве.</w:t>
      </w:r>
    </w:p>
    <w:p w14:paraId="7BF597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правительства от 09.1969 г. велись работы по созданию аванпроекта атомного авианосца пр. 1160 «Орел», завершенного в 1973 г. В 1975 г. начаты работы по авианесущему крейсеру пр. 1153 и проектирование испытательного комплекса НИТКА в Крыму (совместно с Пролетарским заводом). Весной 1976 г. вышло постановление правительства о проектировании атомного авианесущего корабля пр. 1153, в 11.1977 г. это решение было пересмотрено, пост, от 13.10.1978 г. работы прекращены.</w:t>
      </w:r>
    </w:p>
    <w:p w14:paraId="17B5AA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Проектировался </w:t>
      </w:r>
      <w:proofErr w:type="spellStart"/>
      <w:r w:rsidRPr="007122AB">
        <w:rPr>
          <w:rFonts w:ascii="Times New Roman" w:hAnsi="Times New Roman"/>
          <w:color w:val="000000" w:themeColor="text1"/>
          <w:sz w:val="16"/>
          <w:szCs w:val="16"/>
        </w:rPr>
        <w:t>плавдок</w:t>
      </w:r>
      <w:proofErr w:type="spellEnd"/>
      <w:r w:rsidRPr="007122AB">
        <w:rPr>
          <w:rFonts w:ascii="Times New Roman" w:hAnsi="Times New Roman"/>
          <w:color w:val="000000" w:themeColor="text1"/>
          <w:sz w:val="16"/>
          <w:szCs w:val="16"/>
        </w:rPr>
        <w:t xml:space="preserve"> пр. 1753, в начале 1960-х  г. работы переданы в ЦКБ-50.</w:t>
      </w:r>
    </w:p>
    <w:p w14:paraId="2F48E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правительства от 08.1964 г. разработаны эскизные проекты пр. 909 и 1111 размещения на ледокольных транспортах пр. 550 и гидрографических судах ракетных комплексов Д-9.</w:t>
      </w:r>
    </w:p>
    <w:p w14:paraId="1B801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1970-е  г. из Северного ПКБ переданы работы по проекту эскадренного корабля РЛ дозора-вертолетоносца пр. 1077, затем работы прекращены.</w:t>
      </w:r>
    </w:p>
    <w:p w14:paraId="1BC1B9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1970-е  г. проектировался ракетный корабль пр. 1080 с БР «Эльбрус-М».</w:t>
      </w:r>
    </w:p>
    <w:p w14:paraId="7203CB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1979 г. в Николаеве организован 12-й отдел ПКБ - авторского надзора и техпомощи. В 1980-е  г. установленные в ПКБ ЭВМ были соединены в единую сеть с машинами ЧСЗ.</w:t>
      </w:r>
    </w:p>
    <w:p w14:paraId="1696FF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Головное предприятие (2005 г.) по проектированию и модернизации крупных боевых кораблей, кораблей космического флота, крупных судов транспортного флота, корабельных авиационно-технических средств и высадочных устройств десантных кораблей.</w:t>
      </w:r>
    </w:p>
    <w:p w14:paraId="39CDF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(2005 г.): проект авианосца для Китая; обеспечение ремонта и переоборудования ТАВКР «Адмирал Горшков» в авианосец для Индии по пр. 11430; генеральный исполнитель по оказанию помощи Индии в проектировании корабля авиационного прикрытия пр. 071.</w:t>
      </w:r>
    </w:p>
    <w:p w14:paraId="2E488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1966 г. ЦКБ-17 МСП переименовано в Невское ПКБ. По Указу Президента РФ № 1009 от 4.08.2004 г. вошло в число стратегических оборонных предприятий. По Указу Президента РФ от 22.03.2007 г. на базе Невского ПКБ создана Объединенная судостроительная корпорация.</w:t>
      </w:r>
    </w:p>
    <w:p w14:paraId="2EFFE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(-17.10.1937 г.)- В.Л. Бжезинский (снят). Начальник (-08.1938-39 г.-)- Н.П. Дубинин, (08.1945 г.)- В.А. Никитин, (1945-1967 г.)- Б. Г. Чиликин, (1970-е)- Н.В. Максимов, (08.1974-79 г.-&gt; В.Ф. </w:t>
      </w:r>
      <w:proofErr w:type="spellStart"/>
      <w:r w:rsidRPr="007122AB">
        <w:rPr>
          <w:rFonts w:ascii="Times New Roman" w:hAnsi="Times New Roman"/>
          <w:color w:val="000000" w:themeColor="text1"/>
          <w:sz w:val="16"/>
          <w:szCs w:val="16"/>
        </w:rPr>
        <w:t>Аникиев</w:t>
      </w:r>
      <w:proofErr w:type="spellEnd"/>
      <w:r w:rsidRPr="007122AB">
        <w:rPr>
          <w:rFonts w:ascii="Times New Roman" w:hAnsi="Times New Roman"/>
          <w:color w:val="000000" w:themeColor="text1"/>
          <w:sz w:val="16"/>
          <w:szCs w:val="16"/>
        </w:rPr>
        <w:t xml:space="preserve">. Гендиректор (1996-2007 г.-)- А.О. </w:t>
      </w:r>
      <w:proofErr w:type="spellStart"/>
      <w:r w:rsidRPr="007122AB">
        <w:rPr>
          <w:rFonts w:ascii="Times New Roman" w:hAnsi="Times New Roman"/>
          <w:color w:val="000000" w:themeColor="text1"/>
          <w:sz w:val="16"/>
          <w:szCs w:val="16"/>
        </w:rPr>
        <w:t>Виглин</w:t>
      </w:r>
      <w:proofErr w:type="spellEnd"/>
      <w:r w:rsidRPr="007122AB">
        <w:rPr>
          <w:rFonts w:ascii="Times New Roman" w:hAnsi="Times New Roman"/>
          <w:color w:val="000000" w:themeColor="text1"/>
          <w:sz w:val="16"/>
          <w:szCs w:val="16"/>
        </w:rPr>
        <w:t>.</w:t>
      </w:r>
    </w:p>
    <w:p w14:paraId="2951F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гендиректора (1996 г.-)- И.В. </w:t>
      </w:r>
      <w:proofErr w:type="spellStart"/>
      <w:r w:rsidRPr="007122AB">
        <w:rPr>
          <w:rFonts w:ascii="Times New Roman" w:hAnsi="Times New Roman"/>
          <w:color w:val="000000" w:themeColor="text1"/>
          <w:sz w:val="16"/>
          <w:szCs w:val="16"/>
        </w:rPr>
        <w:t>Павлющик</w:t>
      </w:r>
      <w:proofErr w:type="spellEnd"/>
      <w:r w:rsidRPr="007122AB">
        <w:rPr>
          <w:rFonts w:ascii="Times New Roman" w:hAnsi="Times New Roman"/>
          <w:color w:val="000000" w:themeColor="text1"/>
          <w:sz w:val="16"/>
          <w:szCs w:val="16"/>
        </w:rPr>
        <w:t>.</w:t>
      </w:r>
    </w:p>
    <w:p w14:paraId="48353D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(1939 г.)- Н.П. Дубинин, (08.1945 г.)- В.А. Никитин, (1945-1967 г.)- Б. Г. Чиликин, (08.1974 г.-)- В.Ф. </w:t>
      </w:r>
      <w:proofErr w:type="spellStart"/>
      <w:r w:rsidRPr="007122AB">
        <w:rPr>
          <w:rFonts w:ascii="Times New Roman" w:hAnsi="Times New Roman"/>
          <w:color w:val="000000" w:themeColor="text1"/>
          <w:sz w:val="16"/>
          <w:szCs w:val="16"/>
        </w:rPr>
        <w:t>Аникиев</w:t>
      </w:r>
      <w:proofErr w:type="spellEnd"/>
      <w:r w:rsidRPr="007122AB">
        <w:rPr>
          <w:rFonts w:ascii="Times New Roman" w:hAnsi="Times New Roman"/>
          <w:color w:val="000000" w:themeColor="text1"/>
          <w:sz w:val="16"/>
          <w:szCs w:val="16"/>
        </w:rPr>
        <w:t xml:space="preserve">. Ген. конструктор (-2004-05 г.-)- А.О. </w:t>
      </w:r>
      <w:proofErr w:type="spellStart"/>
      <w:r w:rsidRPr="007122AB">
        <w:rPr>
          <w:rFonts w:ascii="Times New Roman" w:hAnsi="Times New Roman"/>
          <w:color w:val="000000" w:themeColor="text1"/>
          <w:sz w:val="16"/>
          <w:szCs w:val="16"/>
        </w:rPr>
        <w:t>Виглин</w:t>
      </w:r>
      <w:proofErr w:type="spellEnd"/>
      <w:r w:rsidRPr="007122AB">
        <w:rPr>
          <w:rFonts w:ascii="Times New Roman" w:hAnsi="Times New Roman"/>
          <w:color w:val="000000" w:themeColor="text1"/>
          <w:sz w:val="16"/>
          <w:szCs w:val="16"/>
        </w:rPr>
        <w:t>.</w:t>
      </w:r>
    </w:p>
    <w:p w14:paraId="3D932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(-09.1938-40 г.-)- В.А. Никитин, (-1945-53 г.-)- В.В. </w:t>
      </w:r>
      <w:proofErr w:type="spellStart"/>
      <w:r w:rsidRPr="007122AB">
        <w:rPr>
          <w:rFonts w:ascii="Times New Roman" w:hAnsi="Times New Roman"/>
          <w:color w:val="000000" w:themeColor="text1"/>
          <w:sz w:val="16"/>
          <w:szCs w:val="16"/>
        </w:rPr>
        <w:t>Ашик</w:t>
      </w:r>
      <w:proofErr w:type="spellEnd"/>
      <w:r w:rsidRPr="007122AB">
        <w:rPr>
          <w:rFonts w:ascii="Times New Roman" w:hAnsi="Times New Roman"/>
          <w:color w:val="000000" w:themeColor="text1"/>
          <w:sz w:val="16"/>
          <w:szCs w:val="16"/>
        </w:rPr>
        <w:t>.</w:t>
      </w:r>
    </w:p>
    <w:p w14:paraId="51A9A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конструкторы: (1938 г.)- А.И. Маслов (пр. 64, пр. 68), (-1938-45 г.-)- В.А. Никитин (пр. 69, пр. 40Н), (1939- 46 г.-)- Ф.Е. </w:t>
      </w:r>
      <w:proofErr w:type="spellStart"/>
      <w:r w:rsidRPr="007122AB">
        <w:rPr>
          <w:rFonts w:ascii="Times New Roman" w:hAnsi="Times New Roman"/>
          <w:color w:val="000000" w:themeColor="text1"/>
          <w:sz w:val="16"/>
          <w:szCs w:val="16"/>
        </w:rPr>
        <w:t>Бесполов</w:t>
      </w:r>
      <w:proofErr w:type="spellEnd"/>
      <w:r w:rsidRPr="007122AB">
        <w:rPr>
          <w:rFonts w:ascii="Times New Roman" w:hAnsi="Times New Roman"/>
          <w:color w:val="000000" w:themeColor="text1"/>
          <w:sz w:val="16"/>
          <w:szCs w:val="16"/>
        </w:rPr>
        <w:t xml:space="preserve"> (пр. 23, 69), (1940 г.)- Н.В. Брезгун (пр. 47), (1943-60 г.-)- В.В. </w:t>
      </w:r>
      <w:proofErr w:type="spellStart"/>
      <w:r w:rsidRPr="007122AB">
        <w:rPr>
          <w:rFonts w:ascii="Times New Roman" w:hAnsi="Times New Roman"/>
          <w:color w:val="000000" w:themeColor="text1"/>
          <w:sz w:val="16"/>
          <w:szCs w:val="16"/>
        </w:rPr>
        <w:t>Ашик</w:t>
      </w:r>
      <w:proofErr w:type="spellEnd"/>
      <w:r w:rsidRPr="007122AB">
        <w:rPr>
          <w:rFonts w:ascii="Times New Roman" w:hAnsi="Times New Roman"/>
          <w:color w:val="000000" w:themeColor="text1"/>
          <w:sz w:val="16"/>
          <w:szCs w:val="16"/>
        </w:rPr>
        <w:t xml:space="preserve"> (пр. 24, 67, 1126, 1128, 1129), (1945 г.)-  Г.М. </w:t>
      </w:r>
      <w:proofErr w:type="spellStart"/>
      <w:r w:rsidRPr="007122AB">
        <w:rPr>
          <w:rFonts w:ascii="Times New Roman" w:hAnsi="Times New Roman"/>
          <w:color w:val="000000" w:themeColor="text1"/>
          <w:sz w:val="16"/>
          <w:szCs w:val="16"/>
        </w:rPr>
        <w:t>Вераксо</w:t>
      </w:r>
      <w:proofErr w:type="spellEnd"/>
      <w:r w:rsidRPr="007122AB">
        <w:rPr>
          <w:rFonts w:ascii="Times New Roman" w:hAnsi="Times New Roman"/>
          <w:color w:val="000000" w:themeColor="text1"/>
          <w:sz w:val="16"/>
          <w:szCs w:val="16"/>
        </w:rPr>
        <w:t xml:space="preserve"> (пр. 254), (-1947-49 г.-&gt; Л.В. </w:t>
      </w:r>
      <w:proofErr w:type="spellStart"/>
      <w:r w:rsidRPr="007122AB">
        <w:rPr>
          <w:rFonts w:ascii="Times New Roman" w:hAnsi="Times New Roman"/>
          <w:color w:val="000000" w:themeColor="text1"/>
          <w:sz w:val="16"/>
          <w:szCs w:val="16"/>
        </w:rPr>
        <w:t>Дикович</w:t>
      </w:r>
      <w:proofErr w:type="spellEnd"/>
      <w:r w:rsidRPr="007122AB">
        <w:rPr>
          <w:rFonts w:ascii="Times New Roman" w:hAnsi="Times New Roman"/>
          <w:color w:val="000000" w:themeColor="text1"/>
          <w:sz w:val="16"/>
          <w:szCs w:val="16"/>
        </w:rPr>
        <w:t xml:space="preserve"> (пр. 82), (-1945-67 г.)- А .С. Савичев (пр. 68К, 68бис, 68бис-ЗИФ, 63, 577, 1123), (1947-52 г.-&gt; Н.А. Киселев (пр. 68К, 66), (1960 г.)- Д.Н. </w:t>
      </w:r>
      <w:proofErr w:type="spellStart"/>
      <w:r w:rsidRPr="007122AB">
        <w:rPr>
          <w:rFonts w:ascii="Times New Roman" w:hAnsi="Times New Roman"/>
          <w:color w:val="000000" w:themeColor="text1"/>
          <w:sz w:val="16"/>
          <w:szCs w:val="16"/>
        </w:rPr>
        <w:t>Загайкевич</w:t>
      </w:r>
      <w:proofErr w:type="spellEnd"/>
      <w:r w:rsidRPr="007122AB">
        <w:rPr>
          <w:rFonts w:ascii="Times New Roman" w:hAnsi="Times New Roman"/>
          <w:color w:val="000000" w:themeColor="text1"/>
          <w:sz w:val="16"/>
          <w:szCs w:val="16"/>
        </w:rPr>
        <w:t xml:space="preserve"> (пр. 514), (1960-64 г.-)- П.П. Милованов (пр. 725, 1126, 1174), (1960-е)- А.Е. Михайлов (пр. 1130, 1917), (1960-е)- П.Ф. Ванюшкин (пр. 1541), (1960-е)- В.Н. </w:t>
      </w:r>
      <w:proofErr w:type="spellStart"/>
      <w:r w:rsidRPr="007122AB">
        <w:rPr>
          <w:rFonts w:ascii="Times New Roman" w:hAnsi="Times New Roman"/>
          <w:color w:val="000000" w:themeColor="text1"/>
          <w:sz w:val="16"/>
          <w:szCs w:val="16"/>
        </w:rPr>
        <w:t>Семидетнов</w:t>
      </w:r>
      <w:proofErr w:type="spellEnd"/>
      <w:r w:rsidRPr="007122AB">
        <w:rPr>
          <w:rFonts w:ascii="Times New Roman" w:hAnsi="Times New Roman"/>
          <w:color w:val="000000" w:themeColor="text1"/>
          <w:sz w:val="16"/>
          <w:szCs w:val="16"/>
        </w:rPr>
        <w:t xml:space="preserve"> (пр. 725А), (1963 г.)-  Г.И. Власов (пр. ЗЗМ), (-1964-70-е)- Ю.А. </w:t>
      </w:r>
      <w:proofErr w:type="spellStart"/>
      <w:r w:rsidRPr="007122AB">
        <w:rPr>
          <w:rFonts w:ascii="Times New Roman" w:hAnsi="Times New Roman"/>
          <w:color w:val="000000" w:themeColor="text1"/>
          <w:sz w:val="16"/>
          <w:szCs w:val="16"/>
        </w:rPr>
        <w:t>Македон</w:t>
      </w:r>
      <w:proofErr w:type="spellEnd"/>
      <w:r w:rsidRPr="007122AB">
        <w:rPr>
          <w:rFonts w:ascii="Times New Roman" w:hAnsi="Times New Roman"/>
          <w:color w:val="000000" w:themeColor="text1"/>
          <w:sz w:val="16"/>
          <w:szCs w:val="16"/>
        </w:rPr>
        <w:t xml:space="preserve"> (пр. 323Б, 333, 909, 1111), (1967-78 г.-)- А.В. Маринич (пр. 1123, 1143), (1971 г.)- К.И. Иванов (пр. 68У1, 68У2), (1972 г.)- А.Б. </w:t>
      </w:r>
      <w:proofErr w:type="spellStart"/>
      <w:r w:rsidRPr="007122AB">
        <w:rPr>
          <w:rFonts w:ascii="Times New Roman" w:hAnsi="Times New Roman"/>
          <w:color w:val="000000" w:themeColor="text1"/>
          <w:sz w:val="16"/>
          <w:szCs w:val="16"/>
        </w:rPr>
        <w:t>Морин</w:t>
      </w:r>
      <w:proofErr w:type="spellEnd"/>
      <w:r w:rsidRPr="007122AB">
        <w:rPr>
          <w:rFonts w:ascii="Times New Roman" w:hAnsi="Times New Roman"/>
          <w:color w:val="000000" w:themeColor="text1"/>
          <w:sz w:val="16"/>
          <w:szCs w:val="16"/>
        </w:rPr>
        <w:t xml:space="preserve"> (пр. 1160), (1974-88 г.)-В.Ф. </w:t>
      </w:r>
      <w:proofErr w:type="spellStart"/>
      <w:r w:rsidRPr="007122AB">
        <w:rPr>
          <w:rFonts w:ascii="Times New Roman" w:hAnsi="Times New Roman"/>
          <w:color w:val="000000" w:themeColor="text1"/>
          <w:sz w:val="16"/>
          <w:szCs w:val="16"/>
        </w:rPr>
        <w:t>Аникиев</w:t>
      </w:r>
      <w:proofErr w:type="spellEnd"/>
      <w:r w:rsidRPr="007122AB">
        <w:rPr>
          <w:rFonts w:ascii="Times New Roman" w:hAnsi="Times New Roman"/>
          <w:color w:val="000000" w:themeColor="text1"/>
          <w:sz w:val="16"/>
          <w:szCs w:val="16"/>
        </w:rPr>
        <w:t xml:space="preserve"> (пр. 1143.3, 1143.4, 1143.5, 1153), (1978 г.)- Б.М. </w:t>
      </w:r>
      <w:proofErr w:type="spellStart"/>
      <w:r w:rsidRPr="007122AB">
        <w:rPr>
          <w:rFonts w:ascii="Times New Roman" w:hAnsi="Times New Roman"/>
          <w:color w:val="000000" w:themeColor="text1"/>
          <w:sz w:val="16"/>
          <w:szCs w:val="16"/>
        </w:rPr>
        <w:t>Пикалкин</w:t>
      </w:r>
      <w:proofErr w:type="spellEnd"/>
      <w:r w:rsidRPr="007122AB">
        <w:rPr>
          <w:rFonts w:ascii="Times New Roman" w:hAnsi="Times New Roman"/>
          <w:color w:val="000000" w:themeColor="text1"/>
          <w:sz w:val="16"/>
          <w:szCs w:val="16"/>
        </w:rPr>
        <w:t xml:space="preserve"> (пр. 1174), (1970-е)-  Г.Д. </w:t>
      </w:r>
      <w:proofErr w:type="spellStart"/>
      <w:r w:rsidRPr="007122AB">
        <w:rPr>
          <w:rFonts w:ascii="Times New Roman" w:hAnsi="Times New Roman"/>
          <w:color w:val="000000" w:themeColor="text1"/>
          <w:sz w:val="16"/>
          <w:szCs w:val="16"/>
        </w:rPr>
        <w:t>Кужельный</w:t>
      </w:r>
      <w:proofErr w:type="spellEnd"/>
      <w:r w:rsidRPr="007122AB">
        <w:rPr>
          <w:rFonts w:ascii="Times New Roman" w:hAnsi="Times New Roman"/>
          <w:color w:val="000000" w:themeColor="text1"/>
          <w:sz w:val="16"/>
          <w:szCs w:val="16"/>
        </w:rPr>
        <w:t xml:space="preserve"> (пр. 933, 1077), (-1984-90 г.-)- Л.В. Белов (пр. 1143.5, 1143.7), (1986-91 г.)- П.А. Соколов (пр. 1143.5, «Варяг»), (1987 г.)- Ю.М. Варфоломеев (пр. 1143.7), (1996-2007 г.-)- К.П. Загородный (авианесущие корабли).</w:t>
      </w:r>
    </w:p>
    <w:p w14:paraId="75361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гл. конструктора: (1970-е)- С.Ф. Петухов (пр. 11433). Зам. гл. конструкторов: (1988 г.)- Ю.М. Варфоломеев (пр. 1143.7), (1974-79 г.)- О.П. Ефимов (пр. 1153), (1986-96 г.)- К.П. Загородный (пр. 11437), (-1957- 86 г.)- Н.Ф. Жуков (пр. 1123, 11437, «Киев»), (1976 г.)- А.Б. </w:t>
      </w:r>
      <w:proofErr w:type="spellStart"/>
      <w:r w:rsidRPr="007122AB">
        <w:rPr>
          <w:rFonts w:ascii="Times New Roman" w:hAnsi="Times New Roman"/>
          <w:color w:val="000000" w:themeColor="text1"/>
          <w:sz w:val="16"/>
          <w:szCs w:val="16"/>
        </w:rPr>
        <w:t>Морин</w:t>
      </w:r>
      <w:proofErr w:type="spellEnd"/>
      <w:r w:rsidRPr="007122AB">
        <w:rPr>
          <w:rFonts w:ascii="Times New Roman" w:hAnsi="Times New Roman"/>
          <w:color w:val="000000" w:themeColor="text1"/>
          <w:sz w:val="16"/>
          <w:szCs w:val="16"/>
        </w:rPr>
        <w:t xml:space="preserve"> (пр. 1143, 1153), (1977 г.)- С.Ф. Петухов («Киев»), (1974 г.-)- П.А. Соколов (пр. 1153), (-1972-88 г.-)- Б.В. Шмелев (пр. 1143, «Баку»).</w:t>
      </w:r>
    </w:p>
    <w:p w14:paraId="3764A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6-го (1938 г.)- Б.С. Фрумкин; 12-го (1979-91 г.)- Ю.Л. Бобков; проектного (1959 г.)- А.Б. </w:t>
      </w:r>
      <w:proofErr w:type="spellStart"/>
      <w:r w:rsidRPr="007122AB">
        <w:rPr>
          <w:rFonts w:ascii="Times New Roman" w:hAnsi="Times New Roman"/>
          <w:color w:val="000000" w:themeColor="text1"/>
          <w:sz w:val="16"/>
          <w:szCs w:val="16"/>
        </w:rPr>
        <w:t>Морин</w:t>
      </w:r>
      <w:proofErr w:type="spellEnd"/>
      <w:r w:rsidRPr="007122AB">
        <w:rPr>
          <w:rFonts w:ascii="Times New Roman" w:hAnsi="Times New Roman"/>
          <w:color w:val="000000" w:themeColor="text1"/>
          <w:sz w:val="16"/>
          <w:szCs w:val="16"/>
        </w:rPr>
        <w:t xml:space="preserve">; авиационно-технических средств (1972 г.)- Ю.Д. Сергеев, (1970-е)- И.В. </w:t>
      </w:r>
      <w:proofErr w:type="spellStart"/>
      <w:r w:rsidRPr="007122AB">
        <w:rPr>
          <w:rFonts w:ascii="Times New Roman" w:hAnsi="Times New Roman"/>
          <w:color w:val="000000" w:themeColor="text1"/>
          <w:sz w:val="16"/>
          <w:szCs w:val="16"/>
        </w:rPr>
        <w:t>Павлющик</w:t>
      </w:r>
      <w:proofErr w:type="spellEnd"/>
      <w:r w:rsidRPr="007122AB">
        <w:rPr>
          <w:rFonts w:ascii="Times New Roman" w:hAnsi="Times New Roman"/>
          <w:color w:val="000000" w:themeColor="text1"/>
          <w:sz w:val="16"/>
          <w:szCs w:val="16"/>
        </w:rPr>
        <w:t xml:space="preserve">; вооружений- Л.К. </w:t>
      </w:r>
      <w:proofErr w:type="spellStart"/>
      <w:r w:rsidRPr="007122AB">
        <w:rPr>
          <w:rFonts w:ascii="Times New Roman" w:hAnsi="Times New Roman"/>
          <w:color w:val="000000" w:themeColor="text1"/>
          <w:sz w:val="16"/>
          <w:szCs w:val="16"/>
        </w:rPr>
        <w:t>Орлович</w:t>
      </w:r>
      <w:proofErr w:type="spellEnd"/>
      <w:r w:rsidRPr="007122AB">
        <w:rPr>
          <w:rFonts w:ascii="Times New Roman" w:hAnsi="Times New Roman"/>
          <w:color w:val="000000" w:themeColor="text1"/>
          <w:sz w:val="16"/>
          <w:szCs w:val="16"/>
        </w:rPr>
        <w:t xml:space="preserve">; внедрения ЭВМ (1980-е)- А.О. </w:t>
      </w:r>
      <w:proofErr w:type="spellStart"/>
      <w:r w:rsidRPr="007122AB">
        <w:rPr>
          <w:rFonts w:ascii="Times New Roman" w:hAnsi="Times New Roman"/>
          <w:color w:val="000000" w:themeColor="text1"/>
          <w:sz w:val="16"/>
          <w:szCs w:val="16"/>
        </w:rPr>
        <w:t>Виглин</w:t>
      </w:r>
      <w:proofErr w:type="spellEnd"/>
      <w:r w:rsidRPr="007122AB">
        <w:rPr>
          <w:rFonts w:ascii="Times New Roman" w:hAnsi="Times New Roman"/>
          <w:color w:val="000000" w:themeColor="text1"/>
          <w:sz w:val="16"/>
          <w:szCs w:val="16"/>
        </w:rPr>
        <w:t>; О.П. Ефимов, (1938 г.)- А.И. Маслов.</w:t>
      </w:r>
    </w:p>
    <w:p w14:paraId="2B839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секторов: проектного 12-го отдела (-1987 г.)- С.М. Хальнов.</w:t>
      </w:r>
      <w:r w:rsidRPr="007122AB">
        <w:rPr>
          <w:rFonts w:ascii="Times New Roman" w:hAnsi="Times New Roman"/>
          <w:color w:val="000000" w:themeColor="text1"/>
          <w:sz w:val="16"/>
          <w:szCs w:val="16"/>
          <w:vertAlign w:val="superscript"/>
        </w:rPr>
        <w:t>142</w:t>
      </w:r>
    </w:p>
    <w:p w14:paraId="72FF02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сектора: турбинного (08.1938 г.)- Д.И. Гусев.</w:t>
      </w:r>
    </w:p>
    <w:p w14:paraId="3C00FF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 xml:space="preserve">Создано: крейсеры: тяжелые пр. 69 (1940), пр. 69и (1941), пр. 82 (1949-53, не реализован); средний пр. 66 (-1953, не реализован); легкие пр. 68 (1938), пр. 68и (1944), пр. 68К (1945), пр. 68бис (1950), пр. 68А (1969), управления пр. 68У1, пр. 68У2 «Бухта» (1971), пр. 84 (1954-56, не реализован); пр. 65 (1946), типа «Москва»; ракетные: экспериментальный с КСС пр. 67ЭП (1955), с ПКР «Стрела» пр. 67СИ (1955-56, не реализован), пр. 67 (1956), пр. 64 (1958, не реализован), легкий пр. 63 (1956-58, не реализован), пр. 1126 (1959-61, не реализован); пр. ЗЗМ переоборудования крейсера пр. 26 «Ворошилов» в опытный ракетный корабль (1963); противолодочные: пр. 1123 «Кондор» (1959-62,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20.02.1970 г.), пр. 11233 (1967, не реализован); ТАВКР: пр. 1143 «Кречет» (1969), пр. 1143.3 «Новороссийск» (1975), пр. 1143.5 «Адмирал Кузнецов», пр. 1143.7 «Ульяновск»; эсминцы: пр. ЗОА (1942), пр. 30 (1943), пр. 30К (1945), пр. </w:t>
      </w:r>
      <w:proofErr w:type="spellStart"/>
      <w:r w:rsidRPr="007122AB">
        <w:rPr>
          <w:rFonts w:ascii="Times New Roman" w:hAnsi="Times New Roman"/>
          <w:color w:val="000000" w:themeColor="text1"/>
          <w:sz w:val="16"/>
          <w:szCs w:val="16"/>
        </w:rPr>
        <w:t>ЗОбис</w:t>
      </w:r>
      <w:proofErr w:type="spellEnd"/>
      <w:r w:rsidRPr="007122AB">
        <w:rPr>
          <w:rFonts w:ascii="Times New Roman" w:hAnsi="Times New Roman"/>
          <w:color w:val="000000" w:themeColor="text1"/>
          <w:sz w:val="16"/>
          <w:szCs w:val="16"/>
        </w:rPr>
        <w:t xml:space="preserve"> (1946), пр. 36 (1944), малый (сторожевой) пр. 37 (1942-44), пр. 40 (1944), пр. 40Н (1944), пр. 41 (1946); бронированный лидер пр. 47 (1940, не реализован); тральщики: III серии пр. 53у (1937), пр. 59 (1943), средний базовый пр. 254 (1945-46), пр. 263 (1942), пр. 264 (1946); БДК: океанской зоны пр. 1174 «Носорог» (1964-68), типа «Саратов», пр. 11711 (2000-е); линкоры: пр. 24 (1945, не реализован), пр. 23 (1946, не реализован); авианосцы: пр. 72 (1945, не реализован),</w:t>
      </w:r>
      <w:r w:rsidRPr="007122AB">
        <w:rPr>
          <w:rFonts w:ascii="Times New Roman" w:hAnsi="Times New Roman"/>
          <w:color w:val="000000" w:themeColor="text1"/>
          <w:sz w:val="16"/>
          <w:szCs w:val="16"/>
          <w:vertAlign w:val="superscript"/>
        </w:rPr>
        <w:t>61</w:t>
      </w:r>
      <w:r w:rsidRPr="007122AB">
        <w:rPr>
          <w:rFonts w:ascii="Times New Roman" w:hAnsi="Times New Roman"/>
          <w:color w:val="000000" w:themeColor="text1"/>
          <w:sz w:val="16"/>
          <w:szCs w:val="16"/>
        </w:rPr>
        <w:t xml:space="preserve"> пр. 1160 «Орел» (1973, не реализован), пр. 1153 «Орел» (1974-78, не реализован); пр. 11430 переоборудования ТАВКР «Адмирал Горшков» в авианосец для Индии "</w:t>
      </w:r>
      <w:r w:rsidRPr="007122AB">
        <w:rPr>
          <w:rFonts w:ascii="Times New Roman" w:hAnsi="Times New Roman"/>
          <w:color w:val="000000" w:themeColor="text1"/>
          <w:sz w:val="16"/>
          <w:szCs w:val="16"/>
          <w:lang w:val="en-US"/>
        </w:rPr>
        <w:t>Vikramaditya</w:t>
      </w:r>
      <w:r w:rsidRPr="007122AB">
        <w:rPr>
          <w:rFonts w:ascii="Times New Roman" w:hAnsi="Times New Roman"/>
          <w:color w:val="000000" w:themeColor="text1"/>
          <w:sz w:val="16"/>
          <w:szCs w:val="16"/>
        </w:rPr>
        <w:t xml:space="preserve">" (2000-е); плавучие КИК: переоборудованные из польских </w:t>
      </w:r>
      <w:proofErr w:type="spellStart"/>
      <w:r w:rsidRPr="007122AB">
        <w:rPr>
          <w:rFonts w:ascii="Times New Roman" w:hAnsi="Times New Roman"/>
          <w:color w:val="000000" w:themeColor="text1"/>
          <w:sz w:val="16"/>
          <w:szCs w:val="16"/>
        </w:rPr>
        <w:t>углерудовозов</w:t>
      </w:r>
      <w:proofErr w:type="spellEnd"/>
      <w:r w:rsidRPr="007122AB">
        <w:rPr>
          <w:rFonts w:ascii="Times New Roman" w:hAnsi="Times New Roman"/>
          <w:color w:val="000000" w:themeColor="text1"/>
          <w:sz w:val="16"/>
          <w:szCs w:val="16"/>
        </w:rPr>
        <w:t xml:space="preserve"> измеритель пр. 1128 (1958), ретрансляторы пр. 1129 (1958), пр. 1129Б (1960-е), КИК пр. ИЗО (1960-е); пр. 1917 «Космонавт Владимир Комаров», переоборудованный из сухогруза пр. 595 (1966); эскадренный корабль </w:t>
      </w:r>
      <w:r w:rsidRPr="007122AB">
        <w:rPr>
          <w:rFonts w:ascii="Times New Roman" w:hAnsi="Times New Roman"/>
          <w:color w:val="000000" w:themeColor="text1"/>
          <w:sz w:val="16"/>
          <w:szCs w:val="16"/>
          <w:lang w:val="en-US"/>
        </w:rPr>
        <w:t>PJI</w:t>
      </w:r>
      <w:r w:rsidRPr="007122AB">
        <w:rPr>
          <w:rFonts w:ascii="Times New Roman" w:hAnsi="Times New Roman"/>
          <w:color w:val="000000" w:themeColor="text1"/>
          <w:sz w:val="16"/>
          <w:szCs w:val="16"/>
        </w:rPr>
        <w:t xml:space="preserve"> дозора- вертолетоносец пр. 1077 (1970-е, не реализован); океанографическое судно пр. 514 (1960); танкеры для ВМФ: пр. 577, для ракетного топлива пр. 1541 (1960-е); плавмастерские пр. 725 (1960), пр. 725А (1964); плавучие базы: ракетно-технические для БР Р-21 пр. 323Б (1969), пр. 323В (1977), ремонтная пр. 333 (1970-е, не реализован); ремонтно-техническая оружия пр. 933 (1970-е, не реализован); понтон пр. 755 (1950-е); </w:t>
      </w:r>
      <w:r w:rsidRPr="007122AB">
        <w:rPr>
          <w:rFonts w:ascii="Times New Roman" w:hAnsi="Times New Roman"/>
          <w:color w:val="000000" w:themeColor="text1"/>
          <w:sz w:val="16"/>
          <w:szCs w:val="16"/>
          <w:vertAlign w:val="superscript"/>
        </w:rPr>
        <w:t>1,6</w:t>
      </w:r>
      <w:r w:rsidRPr="007122AB">
        <w:rPr>
          <w:rFonts w:ascii="Times New Roman" w:hAnsi="Times New Roman"/>
          <w:color w:val="000000" w:themeColor="text1"/>
          <w:sz w:val="16"/>
          <w:szCs w:val="16"/>
        </w:rPr>
        <w:t xml:space="preserve"> испытательный комплекс НИТКА (1977) (11982).</w:t>
      </w:r>
    </w:p>
    <w:p w14:paraId="0D530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90F45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1FAD6D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F11E9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января 1931 К.Е.В. на 9 съезде ВЛКСМ сказал "Мы должны строить дело так, чтобы в предстоящей войне добиться победы "малой кровью" и войну эту провести на территории страны, которая первой поднимет против нас меч" (505,132).</w:t>
      </w:r>
    </w:p>
    <w:p w14:paraId="7D248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Считается, что это первый признак недооценки врага</w:t>
      </w:r>
    </w:p>
    <w:p w14:paraId="7CD507C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9783E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6AC1A7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7F6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января 1931 пилоты В.Л. </w:t>
      </w:r>
      <w:proofErr w:type="spellStart"/>
      <w:r w:rsidRPr="007122AB">
        <w:rPr>
          <w:rFonts w:ascii="Times New Roman" w:hAnsi="Times New Roman"/>
          <w:color w:val="000000" w:themeColor="text1"/>
          <w:sz w:val="16"/>
          <w:szCs w:val="16"/>
        </w:rPr>
        <w:t>Галышев</w:t>
      </w:r>
      <w:proofErr w:type="spellEnd"/>
      <w:r w:rsidRPr="007122AB">
        <w:rPr>
          <w:rFonts w:ascii="Times New Roman" w:hAnsi="Times New Roman"/>
          <w:color w:val="000000" w:themeColor="text1"/>
          <w:sz w:val="16"/>
          <w:szCs w:val="16"/>
        </w:rPr>
        <w:t xml:space="preserve"> и И.В. Доронин с бортмехаником И.М. </w:t>
      </w:r>
      <w:proofErr w:type="spellStart"/>
      <w:r w:rsidRPr="007122AB">
        <w:rPr>
          <w:rFonts w:ascii="Times New Roman" w:hAnsi="Times New Roman"/>
          <w:color w:val="000000" w:themeColor="text1"/>
          <w:sz w:val="16"/>
          <w:szCs w:val="16"/>
        </w:rPr>
        <w:t>Эренпрейсом</w:t>
      </w:r>
      <w:proofErr w:type="spellEnd"/>
      <w:r w:rsidRPr="007122AB">
        <w:rPr>
          <w:rFonts w:ascii="Times New Roman" w:hAnsi="Times New Roman"/>
          <w:color w:val="000000" w:themeColor="text1"/>
          <w:sz w:val="16"/>
          <w:szCs w:val="16"/>
        </w:rPr>
        <w:t xml:space="preserve"> привели из Москвы в Иркутск первый самолет АНТ-9 (11884).</w:t>
      </w:r>
    </w:p>
    <w:p w14:paraId="4977E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77F506" w14:textId="77777777" w:rsidR="00EE11B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FFFA6A4" w14:textId="77777777" w:rsidR="00EE11B9" w:rsidRPr="007122AB" w:rsidRDefault="00EE11B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DA8DC03" w14:textId="77777777" w:rsidR="00EE11B9" w:rsidRPr="007122AB" w:rsidRDefault="00EE11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января 1931 года Департамент вооружение получил М1931 и сразу поставил его на испытания. Был поднят вопрос о закупке этой машины, но никаких гарантий о серийном производстве чиновники не дали, что совершенно не устроило Кристи. В свою очередь военные указывали на слишком высокую стоимость танка. Итог этой коммерческой “схватки” оказался компромиссным – в 1932 году Кристи получил заказ на 7 модифицированных танков </w:t>
      </w:r>
      <w:proofErr w:type="spellStart"/>
      <w:r w:rsidRPr="007122AB">
        <w:rPr>
          <w:rFonts w:ascii="Times New Roman" w:hAnsi="Times New Roman"/>
          <w:color w:val="000000" w:themeColor="text1"/>
          <w:sz w:val="16"/>
          <w:szCs w:val="16"/>
        </w:rPr>
        <w:t>Medium</w:t>
      </w:r>
      <w:proofErr w:type="spellEnd"/>
      <w:r w:rsidRPr="007122AB">
        <w:rPr>
          <w:rFonts w:ascii="Times New Roman" w:hAnsi="Times New Roman"/>
          <w:color w:val="000000" w:themeColor="text1"/>
          <w:sz w:val="16"/>
          <w:szCs w:val="16"/>
        </w:rPr>
        <w:t xml:space="preserve"> T1 на общую сумму 241.500$, что по сегодняшнему курсу превышает 31.000.000 долларов. Три из них передали пехоте, где они обозначались как </w:t>
      </w:r>
      <w:proofErr w:type="spellStart"/>
      <w:r w:rsidRPr="007122AB">
        <w:rPr>
          <w:rFonts w:ascii="Times New Roman" w:hAnsi="Times New Roman"/>
          <w:color w:val="000000" w:themeColor="text1"/>
          <w:sz w:val="16"/>
          <w:szCs w:val="16"/>
        </w:rPr>
        <w:t>Medium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Tank</w:t>
      </w:r>
      <w:proofErr w:type="spellEnd"/>
      <w:r w:rsidRPr="007122AB">
        <w:rPr>
          <w:rFonts w:ascii="Times New Roman" w:hAnsi="Times New Roman"/>
          <w:color w:val="000000" w:themeColor="text1"/>
          <w:sz w:val="16"/>
          <w:szCs w:val="16"/>
        </w:rPr>
        <w:t xml:space="preserve"> T3 и были переданы 67-му пехотному батальону, в то время как четыре </w:t>
      </w:r>
      <w:proofErr w:type="spellStart"/>
      <w:r w:rsidRPr="007122AB">
        <w:rPr>
          <w:rFonts w:ascii="Times New Roman" w:hAnsi="Times New Roman"/>
          <w:color w:val="000000" w:themeColor="text1"/>
          <w:sz w:val="16"/>
          <w:szCs w:val="16"/>
        </w:rPr>
        <w:t>Combat</w:t>
      </w:r>
      <w:proofErr w:type="spellEnd"/>
      <w:r w:rsidRPr="007122AB">
        <w:rPr>
          <w:rFonts w:ascii="Times New Roman" w:hAnsi="Times New Roman"/>
          <w:color w:val="000000" w:themeColor="text1"/>
          <w:sz w:val="16"/>
          <w:szCs w:val="16"/>
        </w:rPr>
        <w:t xml:space="preserve"> Car T1 передали кавалерии. Есть также версия, что пехота перекупила два танка, ранее предназначавшиеся для продажи в Польшу, и обозначала их как Т3Е1. Специально для производства танков Кристи организовал компанию </w:t>
      </w:r>
    </w:p>
    <w:p w14:paraId="120D3170" w14:textId="77777777" w:rsidR="00EE11B9" w:rsidRPr="007122AB" w:rsidRDefault="00EE11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Танки, согласно принятой в кавалерии системой обозначений, получили название </w:t>
      </w:r>
      <w:proofErr w:type="spellStart"/>
      <w:r w:rsidRPr="007122AB">
        <w:rPr>
          <w:rFonts w:ascii="Times New Roman" w:hAnsi="Times New Roman"/>
          <w:color w:val="000000" w:themeColor="text1"/>
          <w:sz w:val="16"/>
          <w:szCs w:val="16"/>
        </w:rPr>
        <w:t>Combat</w:t>
      </w:r>
      <w:proofErr w:type="spellEnd"/>
      <w:r w:rsidRPr="007122AB">
        <w:rPr>
          <w:rFonts w:ascii="Times New Roman" w:hAnsi="Times New Roman"/>
          <w:color w:val="000000" w:themeColor="text1"/>
          <w:sz w:val="16"/>
          <w:szCs w:val="16"/>
        </w:rPr>
        <w:t xml:space="preserve"> Car T1. Дело в том, что в 1920 году армейское руководство решило, что танковые подразделения могут использоваться только для поддержки пехоты, а кавалерия может вполне обойтись одними бронемашинами. Поэтому кавалеристам приходилось хитрить, называя собственные полноценные танки “боевыми машинами” (17214). </w:t>
      </w:r>
    </w:p>
    <w:p w14:paraId="1F2E6111" w14:textId="77777777" w:rsidR="00EE11B9" w:rsidRPr="007122AB" w:rsidRDefault="00EE11B9" w:rsidP="007122AB">
      <w:pPr>
        <w:spacing w:after="0" w:line="240" w:lineRule="auto"/>
        <w:jc w:val="both"/>
        <w:rPr>
          <w:rFonts w:ascii="Times New Roman" w:hAnsi="Times New Roman"/>
          <w:strike/>
          <w:color w:val="000000" w:themeColor="text1"/>
          <w:sz w:val="16"/>
          <w:szCs w:val="16"/>
        </w:rPr>
      </w:pPr>
    </w:p>
    <w:p w14:paraId="514E98AD" w14:textId="77777777" w:rsidR="00B63732" w:rsidRPr="007122AB" w:rsidRDefault="00B6373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19 января 1931 г. Ливия: итальянские войска побеждают бедуинов в решающем сражении у оазиса </w:t>
      </w:r>
      <w:proofErr w:type="spellStart"/>
      <w:r w:rsidRPr="007122AB">
        <w:rPr>
          <w:rFonts w:ascii="Times New Roman" w:eastAsia="Times New Roman" w:hAnsi="Times New Roman"/>
          <w:iCs/>
          <w:color w:val="000000" w:themeColor="text1"/>
          <w:sz w:val="16"/>
          <w:szCs w:val="16"/>
          <w:lang w:eastAsia="ru-RU"/>
        </w:rPr>
        <w:t>Хаври</w:t>
      </w:r>
      <w:proofErr w:type="spellEnd"/>
      <w:r w:rsidRPr="007122AB">
        <w:rPr>
          <w:rFonts w:ascii="Times New Roman" w:eastAsia="Times New Roman" w:hAnsi="Times New Roman"/>
          <w:iCs/>
          <w:color w:val="000000" w:themeColor="text1"/>
          <w:sz w:val="16"/>
          <w:szCs w:val="16"/>
          <w:lang w:eastAsia="ru-RU"/>
        </w:rPr>
        <w:t xml:space="preserve"> (</w:t>
      </w:r>
      <w:proofErr w:type="spellStart"/>
      <w:r w:rsidRPr="007122AB">
        <w:rPr>
          <w:rFonts w:ascii="Times New Roman" w:eastAsia="Times New Roman" w:hAnsi="Times New Roman"/>
          <w:bCs/>
          <w:iCs/>
          <w:color w:val="000000" w:themeColor="text1"/>
          <w:sz w:val="16"/>
          <w:szCs w:val="16"/>
          <w:lang w:eastAsia="ru-RU"/>
        </w:rPr>
        <w:t>А.Егорин</w:t>
      </w:r>
      <w:proofErr w:type="spellEnd"/>
      <w:r w:rsidRPr="007122AB">
        <w:rPr>
          <w:rFonts w:ascii="Times New Roman" w:eastAsia="Times New Roman" w:hAnsi="Times New Roman"/>
          <w:bCs/>
          <w:iCs/>
          <w:color w:val="000000" w:themeColor="text1"/>
          <w:sz w:val="16"/>
          <w:szCs w:val="16"/>
          <w:lang w:eastAsia="ru-RU"/>
        </w:rPr>
        <w:t xml:space="preserve"> «История Ливии. XX век», М., ИВ РАН, 1999):</w:t>
      </w:r>
    </w:p>
    <w:p w14:paraId="4F43F3F9" w14:textId="77777777" w:rsidR="00B63732" w:rsidRPr="007122AB" w:rsidRDefault="00B6373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w:t>
      </w:r>
      <w:r w:rsidRPr="007122AB">
        <w:rPr>
          <w:rFonts w:ascii="Times New Roman" w:eastAsia="Times New Roman" w:hAnsi="Times New Roman"/>
          <w:color w:val="000000" w:themeColor="text1"/>
          <w:sz w:val="16"/>
          <w:szCs w:val="16"/>
          <w:lang w:eastAsia="ru-RU"/>
        </w:rPr>
        <w:t>19 января 1931 г.</w:t>
      </w:r>
      <w:r w:rsidRPr="007122AB">
        <w:rPr>
          <w:rFonts w:ascii="Times New Roman" w:eastAsia="Times New Roman" w:hAnsi="Times New Roman"/>
          <w:bCs/>
          <w:color w:val="000000" w:themeColor="text1"/>
          <w:sz w:val="16"/>
          <w:szCs w:val="16"/>
          <w:lang w:eastAsia="ru-RU"/>
        </w:rPr>
        <w:t xml:space="preserve"> состоялось решающее сражение у оазиса </w:t>
      </w:r>
      <w:proofErr w:type="spellStart"/>
      <w:r w:rsidRPr="007122AB">
        <w:rPr>
          <w:rFonts w:ascii="Times New Roman" w:eastAsia="Times New Roman" w:hAnsi="Times New Roman"/>
          <w:color w:val="000000" w:themeColor="text1"/>
          <w:sz w:val="16"/>
          <w:szCs w:val="16"/>
          <w:lang w:eastAsia="ru-RU"/>
        </w:rPr>
        <w:t>Х</w:t>
      </w:r>
      <w:r w:rsidRPr="007122AB">
        <w:rPr>
          <w:rFonts w:ascii="Times New Roman" w:eastAsia="Times New Roman" w:hAnsi="Times New Roman"/>
          <w:bCs/>
          <w:color w:val="000000" w:themeColor="text1"/>
          <w:sz w:val="16"/>
          <w:szCs w:val="16"/>
          <w:lang w:eastAsia="ru-RU"/>
        </w:rPr>
        <w:t>аври</w:t>
      </w:r>
      <w:proofErr w:type="spellEnd"/>
      <w:r w:rsidRPr="007122AB">
        <w:rPr>
          <w:rFonts w:ascii="Times New Roman" w:eastAsia="Times New Roman" w:hAnsi="Times New Roman"/>
          <w:bCs/>
          <w:color w:val="000000" w:themeColor="text1"/>
          <w:sz w:val="16"/>
          <w:szCs w:val="16"/>
          <w:lang w:eastAsia="ru-RU"/>
        </w:rPr>
        <w:t>, которое возглавлял Сейф ан-Наср (у него было 600 воинов) и в котором патриоты, хотя и потерпели поражение, но показали, что остались несломленными. В отместку за это итальянцы, водрузившие свой флаг 20 января над Эт-Таджем, устроили жестокую расправу над населением оазиса Куфра.» (17325).</w:t>
      </w:r>
    </w:p>
    <w:p w14:paraId="7CF36A19" w14:textId="77777777" w:rsidR="00B63732" w:rsidRPr="007122AB" w:rsidRDefault="00B63732" w:rsidP="007122AB">
      <w:pPr>
        <w:spacing w:after="0" w:line="240" w:lineRule="auto"/>
        <w:jc w:val="both"/>
        <w:rPr>
          <w:rFonts w:ascii="Times New Roman" w:hAnsi="Times New Roman"/>
          <w:strike/>
          <w:color w:val="000000" w:themeColor="text1"/>
          <w:sz w:val="16"/>
          <w:szCs w:val="16"/>
        </w:rPr>
      </w:pPr>
    </w:p>
    <w:p w14:paraId="213A4EB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4E9E83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7D7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января 1931 в Севастополе состоялся первый полет МДР-2 по программе заводских испытаний (1085,107).</w:t>
      </w:r>
    </w:p>
    <w:p w14:paraId="656572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D731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января 1931 состоялось подписание договора о поставке 50 Савойя-62бис и 125 двигателей АССО 750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(8078).</w:t>
      </w:r>
    </w:p>
    <w:p w14:paraId="7D9C7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CA99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января 1931 </w:t>
      </w:r>
      <w:proofErr w:type="spellStart"/>
      <w:r w:rsidRPr="007122AB">
        <w:rPr>
          <w:rFonts w:ascii="Times New Roman" w:hAnsi="Times New Roman"/>
          <w:color w:val="000000" w:themeColor="text1"/>
          <w:sz w:val="16"/>
          <w:szCs w:val="16"/>
        </w:rPr>
        <w:t>С.А.Чаплыгин</w:t>
      </w:r>
      <w:proofErr w:type="spellEnd"/>
      <w:r w:rsidRPr="007122AB">
        <w:rPr>
          <w:rFonts w:ascii="Times New Roman" w:hAnsi="Times New Roman"/>
          <w:color w:val="000000" w:themeColor="text1"/>
          <w:sz w:val="16"/>
          <w:szCs w:val="16"/>
        </w:rPr>
        <w:t xml:space="preserve"> как директор ЦАГИ в письме опять жаловался Наркомвоенмору </w:t>
      </w:r>
      <w:proofErr w:type="spellStart"/>
      <w:r w:rsidRPr="007122AB">
        <w:rPr>
          <w:rFonts w:ascii="Times New Roman" w:hAnsi="Times New Roman"/>
          <w:color w:val="000000" w:themeColor="text1"/>
          <w:sz w:val="16"/>
          <w:szCs w:val="16"/>
        </w:rPr>
        <w:t>К.Е.Ворошилову</w:t>
      </w:r>
      <w:proofErr w:type="spellEnd"/>
      <w:r w:rsidRPr="007122AB">
        <w:rPr>
          <w:rFonts w:ascii="Times New Roman" w:hAnsi="Times New Roman"/>
          <w:color w:val="000000" w:themeColor="text1"/>
          <w:sz w:val="16"/>
          <w:szCs w:val="16"/>
        </w:rPr>
        <w:t xml:space="preserve"> на ВСНХ, затягивающий строительство ЦАГИ (1026,147).</w:t>
      </w:r>
    </w:p>
    <w:p w14:paraId="557F5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81BCD5" w14:textId="77777777" w:rsidR="007E406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935EBFB" w14:textId="77777777" w:rsidR="007E4069" w:rsidRPr="007122AB" w:rsidRDefault="007E406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AAC34A"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20 января 1931</w:t>
      </w:r>
      <w:r w:rsidRPr="007122AB">
        <w:rPr>
          <w:rFonts w:ascii="Times New Roman" w:hAnsi="Times New Roman"/>
          <w:color w:val="000000" w:themeColor="text1"/>
          <w:sz w:val="16"/>
          <w:szCs w:val="16"/>
        </w:rPr>
        <w:t>Политбюро ЦК ВКП (б) признало необходимым опубликовать обращение от имени ЦК ВКП (б) и СНК об экономии топлива; поручило Г.К. Орджоникидзе выступить на Первом совещании хозяйственников с докладом (12265).</w:t>
      </w:r>
    </w:p>
    <w:p w14:paraId="0612D630"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СНК принял постановление «Об увеличении суммы выпуска государственного внутреннего выигрышного займа "Пятилетка в четыре года" для размещения в реализационный период 1930-1931 г.» (12265).</w:t>
      </w:r>
    </w:p>
    <w:p w14:paraId="1BAF9CEC"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C600DA0" w14:textId="77777777" w:rsidR="00B23E00" w:rsidRPr="007122AB" w:rsidRDefault="00B23E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 27 января 1931 постановлением V пленума ВЦСПС профсоюз рабочих-металлистов был разукрупнен на шесть профсоюзов, в числе которых были образованы профсоюз рабочих автотракторной и авиационной промышленности и профсоюз рабочих машиностроительной промышленности (общего машиностроения) (20216).</w:t>
      </w:r>
    </w:p>
    <w:p w14:paraId="2BF77F07" w14:textId="77777777" w:rsidR="00B23E00" w:rsidRPr="007122AB" w:rsidRDefault="00B23E00" w:rsidP="007122AB">
      <w:pPr>
        <w:spacing w:after="0" w:line="240" w:lineRule="auto"/>
        <w:jc w:val="both"/>
        <w:rPr>
          <w:rFonts w:ascii="Times New Roman" w:hAnsi="Times New Roman"/>
          <w:color w:val="000000" w:themeColor="text1"/>
          <w:sz w:val="16"/>
          <w:szCs w:val="16"/>
        </w:rPr>
      </w:pPr>
    </w:p>
    <w:p w14:paraId="3B23C707" w14:textId="77777777" w:rsidR="00BC2229" w:rsidRPr="007122AB" w:rsidRDefault="00BC2229"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Внешняя политика:</w:t>
      </w:r>
    </w:p>
    <w:p w14:paraId="66972158" w14:textId="77777777" w:rsidR="00BC2229" w:rsidRPr="007122AB" w:rsidRDefault="00BC222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E729F3" w14:textId="77777777" w:rsidR="00BC2229" w:rsidRPr="007122AB" w:rsidRDefault="00BC222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20 января 1931 г.</w:t>
      </w:r>
    </w:p>
    <w:p w14:paraId="15412838" w14:textId="77777777" w:rsidR="00BC2229" w:rsidRPr="007122AB" w:rsidRDefault="00BC222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Отчет ВОКС о проведенной кампании «против интервенции» в связи с процессом «Промпартии». 20 января 1931 г.</w:t>
      </w:r>
    </w:p>
    <w:p w14:paraId="7FB0B71E" w14:textId="77777777" w:rsidR="00BC2229" w:rsidRPr="007122AB" w:rsidRDefault="00BC222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396E04BE" w14:textId="77777777" w:rsidR="00BC2229" w:rsidRPr="007122AB" w:rsidRDefault="00BC222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B8B6D4" w14:textId="77777777" w:rsidR="00BC2229" w:rsidRPr="007122AB" w:rsidRDefault="00BC2229" w:rsidP="007122AB">
      <w:pPr>
        <w:pStyle w:val="rteright"/>
        <w:spacing w:before="0" w:after="0"/>
        <w:jc w:val="both"/>
        <w:rPr>
          <w:color w:val="000000" w:themeColor="text1"/>
          <w:sz w:val="16"/>
          <w:szCs w:val="16"/>
        </w:rPr>
      </w:pPr>
      <w:r w:rsidRPr="007122AB">
        <w:rPr>
          <w:color w:val="000000" w:themeColor="text1"/>
          <w:sz w:val="16"/>
          <w:szCs w:val="16"/>
        </w:rPr>
        <w:t>Не ранее 20 января 1931 г.</w:t>
      </w:r>
    </w:p>
    <w:p w14:paraId="654AB9A1"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ОТЧЕТ</w:t>
      </w:r>
    </w:p>
    <w:p w14:paraId="7EC054CA"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по кампании ВОКС против интервенции</w:t>
      </w:r>
    </w:p>
    <w:p w14:paraId="3381BA87"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за период с 20 ноября[1930 г.] по 20 января с. г.</w:t>
      </w:r>
    </w:p>
    <w:p w14:paraId="12DD8B50"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Ввиду того, что процесс «Промпартии» вскрыл всю непосредственность угрозы интервенции, кампания, проводимая </w:t>
      </w:r>
      <w:proofErr w:type="spellStart"/>
      <w:r w:rsidRPr="007122AB">
        <w:rPr>
          <w:color w:val="000000" w:themeColor="text1"/>
          <w:sz w:val="16"/>
          <w:szCs w:val="16"/>
        </w:rPr>
        <w:t>ВОКСом</w:t>
      </w:r>
      <w:proofErr w:type="spellEnd"/>
      <w:r w:rsidRPr="007122AB">
        <w:rPr>
          <w:color w:val="000000" w:themeColor="text1"/>
          <w:sz w:val="16"/>
          <w:szCs w:val="16"/>
        </w:rPr>
        <w:t>, в первую очередь была направлена на мобилизацию заграничной интеллигенции вокруг процесса. При этом вскрывались социальные корни вредительства и подчеркивалось, что вредители были принуждены сделать ставку на интервенцию, так как они не имели поддержки ни в рабочих массах, ни среди интеллигенции СССР. В связи с этим ВОКС усиленно продвигались за границу отклики советской научной и художественной общественности на процесс (см. Бюллетени). По окончании процесса кампания не была ослаблена, а проводится и по настоящее время под лозунгом борьбы против интервенции. За границу в настоящее время усиленно продвигается материал об успешной реализации пятилетки в противопоставлении с растущим мировым кризисом и отражаются те аргументы, которые в последнее время выдвигаются буржуазной прессой против СССР (демпинг, тяжелое положение интеллигенции в СССР и т. д.). На эти темы за последние два месяца заготовлено 34 статьи.</w:t>
      </w:r>
    </w:p>
    <w:p w14:paraId="58362D5D"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За последние 2 месяца была проведена следующая работа:</w:t>
      </w:r>
    </w:p>
    <w:p w14:paraId="3177368E"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По линии печати:</w:t>
      </w:r>
    </w:p>
    <w:p w14:paraId="4574C36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С начала кампании </w:t>
      </w:r>
      <w:proofErr w:type="spellStart"/>
      <w:r w:rsidRPr="007122AB">
        <w:rPr>
          <w:color w:val="000000" w:themeColor="text1"/>
          <w:sz w:val="16"/>
          <w:szCs w:val="16"/>
        </w:rPr>
        <w:t>ВОКСом</w:t>
      </w:r>
      <w:proofErr w:type="spellEnd"/>
      <w:r w:rsidRPr="007122AB">
        <w:rPr>
          <w:color w:val="000000" w:themeColor="text1"/>
          <w:sz w:val="16"/>
          <w:szCs w:val="16"/>
        </w:rPr>
        <w:t xml:space="preserve"> издается стеклографированный бюллетень на четырех языках (тираж — 1.500 экз.). До настоящего времени вышло 5 номеров на каждом языке (прилагаются к отчету). В начале кампании они давали материал, непосредственно связанный с процессом (номера 1-3), но затем переходят к более широкой информации о Достижениях СССР и превращаются в постоянный (декадный) орган </w:t>
      </w:r>
      <w:proofErr w:type="spellStart"/>
      <w:r w:rsidRPr="007122AB">
        <w:rPr>
          <w:color w:val="000000" w:themeColor="text1"/>
          <w:sz w:val="16"/>
          <w:szCs w:val="16"/>
        </w:rPr>
        <w:t>ВОКСа</w:t>
      </w:r>
      <w:proofErr w:type="spellEnd"/>
      <w:r w:rsidRPr="007122AB">
        <w:rPr>
          <w:color w:val="000000" w:themeColor="text1"/>
          <w:sz w:val="16"/>
          <w:szCs w:val="16"/>
        </w:rPr>
        <w:t xml:space="preserve"> в дополнение к журналу. Из-за границы поступило ряд благоприятных отзывов по содержанию бюллетеня (Германия — студент </w:t>
      </w:r>
      <w:proofErr w:type="spellStart"/>
      <w:r w:rsidRPr="007122AB">
        <w:rPr>
          <w:color w:val="000000" w:themeColor="text1"/>
          <w:sz w:val="16"/>
          <w:szCs w:val="16"/>
        </w:rPr>
        <w:t>Кюн</w:t>
      </w:r>
      <w:proofErr w:type="spellEnd"/>
      <w:r w:rsidRPr="007122AB">
        <w:rPr>
          <w:color w:val="000000" w:themeColor="text1"/>
          <w:sz w:val="16"/>
          <w:szCs w:val="16"/>
        </w:rPr>
        <w:t xml:space="preserve">- </w:t>
      </w:r>
      <w:proofErr w:type="spellStart"/>
      <w:r w:rsidRPr="007122AB">
        <w:rPr>
          <w:color w:val="000000" w:themeColor="text1"/>
          <w:sz w:val="16"/>
          <w:szCs w:val="16"/>
        </w:rPr>
        <w:t>келе</w:t>
      </w:r>
      <w:proofErr w:type="spellEnd"/>
      <w:r w:rsidRPr="007122AB">
        <w:rPr>
          <w:color w:val="000000" w:themeColor="text1"/>
          <w:sz w:val="16"/>
          <w:szCs w:val="16"/>
        </w:rPr>
        <w:t xml:space="preserve">, Швейцария — известный проф. </w:t>
      </w:r>
      <w:proofErr w:type="spellStart"/>
      <w:r w:rsidRPr="007122AB">
        <w:rPr>
          <w:color w:val="000000" w:themeColor="text1"/>
          <w:sz w:val="16"/>
          <w:szCs w:val="16"/>
        </w:rPr>
        <w:t>Бауер</w:t>
      </w:r>
      <w:proofErr w:type="spellEnd"/>
      <w:r w:rsidRPr="007122AB">
        <w:rPr>
          <w:color w:val="000000" w:themeColor="text1"/>
          <w:sz w:val="16"/>
          <w:szCs w:val="16"/>
        </w:rPr>
        <w:t xml:space="preserve"> и др.), но отмечается его техническое несовершенство (Италия, Курская — ?), что побуждает ВОКС в этом же квартале перейти к его печатанию типографическим способом. Материалы бюллетеня используются иностранной прессой, обществами сближения и отдельными лицами (например, журналист Пе[д]</w:t>
      </w:r>
      <w:proofErr w:type="spellStart"/>
      <w:r w:rsidRPr="007122AB">
        <w:rPr>
          <w:color w:val="000000" w:themeColor="text1"/>
          <w:sz w:val="16"/>
          <w:szCs w:val="16"/>
        </w:rPr>
        <w:t>ро</w:t>
      </w:r>
      <w:proofErr w:type="spellEnd"/>
      <w:r w:rsidRPr="007122AB">
        <w:rPr>
          <w:color w:val="000000" w:themeColor="text1"/>
          <w:sz w:val="16"/>
          <w:szCs w:val="16"/>
        </w:rPr>
        <w:t xml:space="preserve"> де-</w:t>
      </w:r>
      <w:proofErr w:type="spellStart"/>
      <w:r w:rsidRPr="007122AB">
        <w:rPr>
          <w:color w:val="000000" w:themeColor="text1"/>
          <w:sz w:val="16"/>
          <w:szCs w:val="16"/>
        </w:rPr>
        <w:t>Репиде</w:t>
      </w:r>
      <w:proofErr w:type="spellEnd"/>
      <w:r w:rsidRPr="007122AB">
        <w:rPr>
          <w:color w:val="000000" w:themeColor="text1"/>
          <w:sz w:val="16"/>
          <w:szCs w:val="16"/>
        </w:rPr>
        <w:t xml:space="preserve"> — Испания, </w:t>
      </w:r>
      <w:proofErr w:type="spellStart"/>
      <w:r w:rsidRPr="007122AB">
        <w:rPr>
          <w:color w:val="000000" w:themeColor="text1"/>
          <w:sz w:val="16"/>
          <w:szCs w:val="16"/>
        </w:rPr>
        <w:t>Ксавер</w:t>
      </w:r>
      <w:proofErr w:type="spellEnd"/>
      <w:r w:rsidRPr="007122AB">
        <w:rPr>
          <w:color w:val="000000" w:themeColor="text1"/>
          <w:sz w:val="16"/>
          <w:szCs w:val="16"/>
        </w:rPr>
        <w:t xml:space="preserve"> </w:t>
      </w:r>
      <w:proofErr w:type="spellStart"/>
      <w:r w:rsidRPr="007122AB">
        <w:rPr>
          <w:color w:val="000000" w:themeColor="text1"/>
          <w:sz w:val="16"/>
          <w:szCs w:val="16"/>
        </w:rPr>
        <w:t>Буено</w:t>
      </w:r>
      <w:proofErr w:type="spellEnd"/>
      <w:r w:rsidRPr="007122AB">
        <w:rPr>
          <w:color w:val="000000" w:themeColor="text1"/>
          <w:sz w:val="16"/>
          <w:szCs w:val="16"/>
        </w:rPr>
        <w:t>, испанский журналист, живущий в Женеве и др. использовали их в своих изданиях).</w:t>
      </w:r>
    </w:p>
    <w:p w14:paraId="2B78E36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Кроме Бюллетеней, за границу посылаются статьи в общества, </w:t>
      </w:r>
      <w:proofErr w:type="spellStart"/>
      <w:r w:rsidRPr="007122AB">
        <w:rPr>
          <w:color w:val="000000" w:themeColor="text1"/>
          <w:sz w:val="16"/>
          <w:szCs w:val="16"/>
        </w:rPr>
        <w:t>инопрессу</w:t>
      </w:r>
      <w:proofErr w:type="spellEnd"/>
      <w:r w:rsidRPr="007122AB">
        <w:rPr>
          <w:color w:val="000000" w:themeColor="text1"/>
          <w:sz w:val="16"/>
          <w:szCs w:val="16"/>
        </w:rPr>
        <w:t xml:space="preserve"> и отдельным лицам для выступлений и докладов об СССР. Тематика — итоги 2-х лет пятилетки, ГОЭЛРО, 10-летие[,] положение Красной армии, строительство нац. республик (Белорусская неделя, 10-летие Армении и др.). За последние два месяца за границу было разослано по отдельным вопросам культурного строительства СССР, как новых статей (заготовленных в связи с кампанией), так и прежде имевшихся в </w:t>
      </w:r>
      <w:proofErr w:type="spellStart"/>
      <w:r w:rsidRPr="007122AB">
        <w:rPr>
          <w:color w:val="000000" w:themeColor="text1"/>
          <w:sz w:val="16"/>
          <w:szCs w:val="16"/>
        </w:rPr>
        <w:t>ВОКСе</w:t>
      </w:r>
      <w:proofErr w:type="spellEnd"/>
      <w:r w:rsidRPr="007122AB">
        <w:rPr>
          <w:color w:val="000000" w:themeColor="text1"/>
          <w:sz w:val="16"/>
          <w:szCs w:val="16"/>
        </w:rPr>
        <w:t xml:space="preserve"> — около 500 отдельных статей.</w:t>
      </w:r>
    </w:p>
    <w:p w14:paraId="57B93EA9" w14:textId="77777777" w:rsidR="00BC2229" w:rsidRPr="007122AB" w:rsidRDefault="00BC2229" w:rsidP="007122AB">
      <w:pPr>
        <w:pStyle w:val="rtejustify"/>
        <w:spacing w:before="0" w:after="0"/>
        <w:rPr>
          <w:color w:val="000000" w:themeColor="text1"/>
          <w:sz w:val="16"/>
          <w:szCs w:val="16"/>
        </w:rPr>
      </w:pPr>
      <w:proofErr w:type="spellStart"/>
      <w:r w:rsidRPr="007122AB">
        <w:rPr>
          <w:color w:val="000000" w:themeColor="text1"/>
          <w:sz w:val="16"/>
          <w:szCs w:val="16"/>
        </w:rPr>
        <w:t>ВОКСом</w:t>
      </w:r>
      <w:proofErr w:type="spellEnd"/>
      <w:r w:rsidRPr="007122AB">
        <w:rPr>
          <w:color w:val="000000" w:themeColor="text1"/>
          <w:sz w:val="16"/>
          <w:szCs w:val="16"/>
        </w:rPr>
        <w:t xml:space="preserve"> издается н[оме]р журнала (№ 1 ВОКС за 1931 год) и специальная брошюра, размером в 7 </w:t>
      </w:r>
      <w:proofErr w:type="spellStart"/>
      <w:r w:rsidRPr="007122AB">
        <w:rPr>
          <w:color w:val="000000" w:themeColor="text1"/>
          <w:sz w:val="16"/>
          <w:szCs w:val="16"/>
        </w:rPr>
        <w:t>печ</w:t>
      </w:r>
      <w:proofErr w:type="spellEnd"/>
      <w:r w:rsidRPr="007122AB">
        <w:rPr>
          <w:color w:val="000000" w:themeColor="text1"/>
          <w:sz w:val="16"/>
          <w:szCs w:val="16"/>
        </w:rPr>
        <w:t>. листов, на 3-х иностранных языках, посвященная кампании. Журнал и брошюра содержат следующие статьи: 1) «2 года пятилетки», 2) «Как работает СССР», 3) «В СССР нет безработицы», 4) «Рамзины и интеллигенция СССР», 5) «Процесс «Промпартии», 6) «Отклики общественности на процесс». В настоящее время весь материал находится в верстке.</w:t>
      </w:r>
    </w:p>
    <w:p w14:paraId="78A5BB79"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Для кампании были использованы радио-передачи </w:t>
      </w:r>
      <w:proofErr w:type="spellStart"/>
      <w:r w:rsidRPr="007122AB">
        <w:rPr>
          <w:color w:val="000000" w:themeColor="text1"/>
          <w:sz w:val="16"/>
          <w:szCs w:val="16"/>
        </w:rPr>
        <w:t>ВОКСа</w:t>
      </w:r>
      <w:proofErr w:type="spellEnd"/>
      <w:r w:rsidRPr="007122AB">
        <w:rPr>
          <w:color w:val="000000" w:themeColor="text1"/>
          <w:sz w:val="16"/>
          <w:szCs w:val="16"/>
        </w:rPr>
        <w:t xml:space="preserve">. Систематически передавались информации о процессе, было передано содержание митинга-протеста, организованного </w:t>
      </w:r>
      <w:proofErr w:type="spellStart"/>
      <w:r w:rsidRPr="007122AB">
        <w:rPr>
          <w:color w:val="000000" w:themeColor="text1"/>
          <w:sz w:val="16"/>
          <w:szCs w:val="16"/>
        </w:rPr>
        <w:t>ВОКСом</w:t>
      </w:r>
      <w:proofErr w:type="spellEnd"/>
      <w:r w:rsidRPr="007122AB">
        <w:rPr>
          <w:color w:val="000000" w:themeColor="text1"/>
          <w:sz w:val="16"/>
          <w:szCs w:val="16"/>
        </w:rPr>
        <w:t xml:space="preserve"> в связи с вредительством, а также подготовлен специальный литературно-музыкальный вечер, куда вошли мемуары свидетелей интервенции, отрывки из произведений писателей, ряд вокальных и музыкальных номеров, отражающих прошлую интервенцию. Кроме того, был передан специальный литературно-музыкальный вечер, посвященный произведением современных пролетарских писателей, отображающих текущие политические события.</w:t>
      </w:r>
    </w:p>
    <w:p w14:paraId="0916083F"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По линии Обществ Сближения:</w:t>
      </w:r>
    </w:p>
    <w:p w14:paraId="2D4712F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Ввиду того, что ВОКС смог развернуть кампанию, главным образом, по окончанию процесса, в настоящее время еще невозможно дать окончательный итог по проведению ее за границей. До сих пор продолжают еще поступать все новые и новые сведения об отдельных мероприятиях, которые намечены к проведению по линии Обществ. Так, </w:t>
      </w:r>
      <w:proofErr w:type="spellStart"/>
      <w:r w:rsidRPr="007122AB">
        <w:rPr>
          <w:color w:val="000000" w:themeColor="text1"/>
          <w:sz w:val="16"/>
          <w:szCs w:val="16"/>
        </w:rPr>
        <w:t>ВОКСом</w:t>
      </w:r>
      <w:proofErr w:type="spellEnd"/>
      <w:r w:rsidRPr="007122AB">
        <w:rPr>
          <w:color w:val="000000" w:themeColor="text1"/>
          <w:sz w:val="16"/>
          <w:szCs w:val="16"/>
        </w:rPr>
        <w:t xml:space="preserve"> получено сообщение о выходе в Швейцарии (Женева) отдельной брошюры-обращения Горького — «К гуманистам», который ожидается в ближайшем будущем и т. д. Сообщаемые ниже сведения являются только предварительным итогом по кампании и др.</w:t>
      </w:r>
    </w:p>
    <w:p w14:paraId="1AAF121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С начала кампании </w:t>
      </w:r>
      <w:proofErr w:type="spellStart"/>
      <w:r w:rsidRPr="007122AB">
        <w:rPr>
          <w:color w:val="000000" w:themeColor="text1"/>
          <w:sz w:val="16"/>
          <w:szCs w:val="16"/>
        </w:rPr>
        <w:t>ВОКСом</w:t>
      </w:r>
      <w:proofErr w:type="spellEnd"/>
      <w:r w:rsidRPr="007122AB">
        <w:rPr>
          <w:color w:val="000000" w:themeColor="text1"/>
          <w:sz w:val="16"/>
          <w:szCs w:val="16"/>
        </w:rPr>
        <w:t xml:space="preserve"> были даны директивы уполномоченным о включении Обществ Сближения в кампании против подготовки интервенции (рекомендовалось проводить митинги, ставить доклады, собирать декларации, использовать специальную и общую печать и т. д.) и о тщательном пересмотре состава Обществ под углом зрения исключения пассивных и скрыто-враждебных элементов и привлечения в них новых слоев трудовой интеллигенции.</w:t>
      </w:r>
    </w:p>
    <w:p w14:paraId="4955514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Общества регулярно снабжались всеми выпущенными </w:t>
      </w:r>
      <w:proofErr w:type="spellStart"/>
      <w:r w:rsidRPr="007122AB">
        <w:rPr>
          <w:color w:val="000000" w:themeColor="text1"/>
          <w:sz w:val="16"/>
          <w:szCs w:val="16"/>
        </w:rPr>
        <w:t>ВОКСом</w:t>
      </w:r>
      <w:proofErr w:type="spellEnd"/>
      <w:r w:rsidRPr="007122AB">
        <w:rPr>
          <w:color w:val="000000" w:themeColor="text1"/>
          <w:sz w:val="16"/>
          <w:szCs w:val="16"/>
        </w:rPr>
        <w:t xml:space="preserve"> материалами (статьи, бюллетени и т. д.). Кроме того, ВОКС послал 23 статьи в журналы «Дас </w:t>
      </w:r>
      <w:proofErr w:type="spellStart"/>
      <w:r w:rsidRPr="007122AB">
        <w:rPr>
          <w:color w:val="000000" w:themeColor="text1"/>
          <w:sz w:val="16"/>
          <w:szCs w:val="16"/>
        </w:rPr>
        <w:t>Нойе</w:t>
      </w:r>
      <w:proofErr w:type="spellEnd"/>
      <w:r w:rsidRPr="007122AB">
        <w:rPr>
          <w:color w:val="000000" w:themeColor="text1"/>
          <w:sz w:val="16"/>
          <w:szCs w:val="16"/>
        </w:rPr>
        <w:t xml:space="preserve"> Руссланд», орган Общества Друзей новой России, которые были им использованы, 20 статей в журнал «МОНД». За период кампании Общества усиленно снабжались изданиями, отражающими успешный рост социалистического строительства СССР (были направлены материалы по пятилетке, СССР на стройке, плакаты, фото и т. д.). В библиотеки Обществ выписан ряд периодических изданий на год и т. д.</w:t>
      </w:r>
    </w:p>
    <w:p w14:paraId="691BB342"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Были приняты меры к использованию командируемых за границу ученых для чтения докладов. Проф. Самойлович прочел два доклада в Вене, которым было уделено много внимания. Венская и провинциальная печать поместила интервью проф. Самойловича и ряд благоприятных статей, что несколько разрядило атмосферу, созданную раньше австрийской прессой, в связи с процессом «Промпартии». Одновременно с Самойловичем проф. Визе выступал в Германии (Гамбург, Кенигсберг). Писатель Третьяков прочел ряд докладов в студенческих объединениях Германии (Гейдельберг, Геттинген </w:t>
      </w:r>
      <w:proofErr w:type="spellStart"/>
      <w:r w:rsidRPr="007122AB">
        <w:rPr>
          <w:color w:val="000000" w:themeColor="text1"/>
          <w:sz w:val="16"/>
          <w:szCs w:val="16"/>
        </w:rPr>
        <w:t>ит.д</w:t>
      </w:r>
      <w:proofErr w:type="spellEnd"/>
      <w:r w:rsidRPr="007122AB">
        <w:rPr>
          <w:color w:val="000000" w:themeColor="text1"/>
          <w:sz w:val="16"/>
          <w:szCs w:val="16"/>
        </w:rPr>
        <w:t>.).</w:t>
      </w:r>
    </w:p>
    <w:p w14:paraId="66B8DA18"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 связи с ударной кампанией ряд выставок, находящихся за границей и подлежащих возврату в СССР, были переброшены из одной страны в другую. Так, выставка детской книги в сопровождении т. </w:t>
      </w:r>
      <w:proofErr w:type="spellStart"/>
      <w:r w:rsidRPr="007122AB">
        <w:rPr>
          <w:color w:val="000000" w:themeColor="text1"/>
          <w:sz w:val="16"/>
          <w:szCs w:val="16"/>
        </w:rPr>
        <w:t>Мексина</w:t>
      </w:r>
      <w:proofErr w:type="spellEnd"/>
      <w:r w:rsidRPr="007122AB">
        <w:rPr>
          <w:color w:val="000000" w:themeColor="text1"/>
          <w:sz w:val="16"/>
          <w:szCs w:val="16"/>
        </w:rPr>
        <w:t xml:space="preserve"> из Берлина направлена в Гамбург, откуда она перебрасывается в Прагу. Выставка изобразительных искусств из Венеции направлена в Прагу, выставка живописи из Венеции переброшена в Швейцарию и т. д. В настоящее время </w:t>
      </w:r>
      <w:proofErr w:type="spellStart"/>
      <w:r w:rsidRPr="007122AB">
        <w:rPr>
          <w:color w:val="000000" w:themeColor="text1"/>
          <w:sz w:val="16"/>
          <w:szCs w:val="16"/>
        </w:rPr>
        <w:t>ВОКСом</w:t>
      </w:r>
      <w:proofErr w:type="spellEnd"/>
      <w:r w:rsidRPr="007122AB">
        <w:rPr>
          <w:color w:val="000000" w:themeColor="text1"/>
          <w:sz w:val="16"/>
          <w:szCs w:val="16"/>
        </w:rPr>
        <w:t xml:space="preserve"> проводится усиленная подготовка 20 комплектов выставок-передвижек, которые будут использованы в качестве иллюстративного материала для докладов за границей об СССР. Выставки включают разделы: 1) индустриализация промышленности, 2) коллективизация сельского хозяйства, 3) народное образование, 4) здравоохранение.</w:t>
      </w:r>
    </w:p>
    <w:p w14:paraId="5C93B2DE"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 результате мы имеем следующие мероприятия со стороны Обществ Сближения. Германия — Обществом Друзей новой России проведен 16 декабря в Берлине многолюдный митинг с докладами о процессе «Промпартии». На митинге выступали ряд видных юристов и писателей (юрист — Левенталь, экономист — проф. Гольдшмидт, писатели —  </w:t>
      </w:r>
      <w:proofErr w:type="spellStart"/>
      <w:r w:rsidRPr="007122AB">
        <w:rPr>
          <w:color w:val="000000" w:themeColor="text1"/>
          <w:sz w:val="16"/>
          <w:szCs w:val="16"/>
        </w:rPr>
        <w:t>Голичер</w:t>
      </w:r>
      <w:proofErr w:type="spellEnd"/>
      <w:r w:rsidRPr="007122AB">
        <w:rPr>
          <w:color w:val="000000" w:themeColor="text1"/>
          <w:sz w:val="16"/>
          <w:szCs w:val="16"/>
        </w:rPr>
        <w:t xml:space="preserve">, Киш, Ренн, </w:t>
      </w:r>
      <w:proofErr w:type="spellStart"/>
      <w:r w:rsidRPr="007122AB">
        <w:rPr>
          <w:color w:val="000000" w:themeColor="text1"/>
          <w:sz w:val="16"/>
          <w:szCs w:val="16"/>
        </w:rPr>
        <w:t>Зейгерс</w:t>
      </w:r>
      <w:proofErr w:type="spellEnd"/>
      <w:r w:rsidRPr="007122AB">
        <w:rPr>
          <w:color w:val="000000" w:themeColor="text1"/>
          <w:sz w:val="16"/>
          <w:szCs w:val="16"/>
        </w:rPr>
        <w:t xml:space="preserve"> и др.). Характерно, что буржуазная пресса или умолчала об этом митинге или поместила (белогвардейская газета «Руль») резко-враждебные отзывы. Аналогичный митинг был подготовлен Обществом Сближения в Мюнхене, но он не состоялся в виду запрещения полиции. В Гамбурге имел место доклад Альфонса </w:t>
      </w:r>
      <w:proofErr w:type="spellStart"/>
      <w:r w:rsidRPr="007122AB">
        <w:rPr>
          <w:color w:val="000000" w:themeColor="text1"/>
          <w:sz w:val="16"/>
          <w:szCs w:val="16"/>
        </w:rPr>
        <w:t>Гольтшмидт</w:t>
      </w:r>
      <w:proofErr w:type="spellEnd"/>
      <w:r w:rsidRPr="007122AB">
        <w:rPr>
          <w:color w:val="000000" w:themeColor="text1"/>
          <w:sz w:val="16"/>
          <w:szCs w:val="16"/>
        </w:rPr>
        <w:t xml:space="preserve"> и Левенталь по поводу процесса, в Кенигсберге состоялось выступление на эту тему Людвига Ренна. В декабрьском номере журнала «Дас Нейе Русланд» помещен ряд статей, посвященных кампании, а январский номер целиком посвящен процессу «Промпартии» (половина материалов была послана </w:t>
      </w:r>
      <w:proofErr w:type="spellStart"/>
      <w:r w:rsidRPr="007122AB">
        <w:rPr>
          <w:color w:val="000000" w:themeColor="text1"/>
          <w:sz w:val="16"/>
          <w:szCs w:val="16"/>
        </w:rPr>
        <w:t>ВОКСом</w:t>
      </w:r>
      <w:proofErr w:type="spellEnd"/>
      <w:r w:rsidRPr="007122AB">
        <w:rPr>
          <w:color w:val="000000" w:themeColor="text1"/>
          <w:sz w:val="16"/>
          <w:szCs w:val="16"/>
        </w:rPr>
        <w:t>).</w:t>
      </w:r>
    </w:p>
    <w:p w14:paraId="2941DAE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 Германии за последнее время наблюдается стремление в известной части националистических кругов установить контакт с обществом Сближения.</w:t>
      </w:r>
    </w:p>
    <w:p w14:paraId="5E78554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Дания — 27-го декабря тов. </w:t>
      </w:r>
      <w:proofErr w:type="spellStart"/>
      <w:r w:rsidRPr="007122AB">
        <w:rPr>
          <w:color w:val="000000" w:themeColor="text1"/>
          <w:sz w:val="16"/>
          <w:szCs w:val="16"/>
        </w:rPr>
        <w:t>Кобецкий</w:t>
      </w:r>
      <w:proofErr w:type="spellEnd"/>
      <w:r w:rsidRPr="007122AB">
        <w:rPr>
          <w:color w:val="000000" w:themeColor="text1"/>
          <w:sz w:val="16"/>
          <w:szCs w:val="16"/>
        </w:rPr>
        <w:t xml:space="preserve"> выступил в Датско-Русском обществе с докладом об экономической и культурной связи СССР с Данией, что стоит в связи с кампанией. Доклад внимательно обсуждался в прессе, при чем ряд социал-демократических газет напечатал довольно дружественные отзывы. В конце января Датско-Русское Общество устраивает большой вечер, посвященный вопросам интервенции и подготовляет специальный номер журнала на эту тему.</w:t>
      </w:r>
    </w:p>
    <w:p w14:paraId="496C011F"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Швейцария — состоялся доклад тов. Ремизова (швейцарский журналист, член Общества Сближения) на общем собрании свободомыслящих в Женеве на тему: «Верховный суд рабочих над агентами империализма».</w:t>
      </w:r>
    </w:p>
    <w:p w14:paraId="4F73DFE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Швейцария и Франция — в Женеве, Париже, Лионе состоялся доклад по вопросам защиты СССР против интервенции, журналистки Камиль Древе (член президиума «Интернациональной Лиги Женщин», недавно посетившей СССР).</w:t>
      </w:r>
    </w:p>
    <w:p w14:paraId="2B623C86"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Бельгия — номер журнала Бельгийского Общества Сближения «Ла НЭП», будет целиком посвящен вопросам интервенции и процессу «Промпартии», где будут использованы материалы, посланные </w:t>
      </w:r>
      <w:proofErr w:type="spellStart"/>
      <w:r w:rsidRPr="007122AB">
        <w:rPr>
          <w:color w:val="000000" w:themeColor="text1"/>
          <w:sz w:val="16"/>
          <w:szCs w:val="16"/>
        </w:rPr>
        <w:t>ВОКСом</w:t>
      </w:r>
      <w:proofErr w:type="spellEnd"/>
      <w:r w:rsidRPr="007122AB">
        <w:rPr>
          <w:color w:val="000000" w:themeColor="text1"/>
          <w:sz w:val="16"/>
          <w:szCs w:val="16"/>
        </w:rPr>
        <w:t xml:space="preserve"> (в </w:t>
      </w:r>
      <w:proofErr w:type="spellStart"/>
      <w:r w:rsidRPr="007122AB">
        <w:rPr>
          <w:color w:val="000000" w:themeColor="text1"/>
          <w:sz w:val="16"/>
          <w:szCs w:val="16"/>
        </w:rPr>
        <w:t>ВОКСе</w:t>
      </w:r>
      <w:proofErr w:type="spellEnd"/>
      <w:r w:rsidRPr="007122AB">
        <w:rPr>
          <w:color w:val="000000" w:themeColor="text1"/>
          <w:sz w:val="16"/>
          <w:szCs w:val="16"/>
        </w:rPr>
        <w:t xml:space="preserve"> имеются оттиски этого номера).</w:t>
      </w:r>
    </w:p>
    <w:p w14:paraId="72B8A7B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Из ряда стран (Англия, Америка, Германия, Швейцария) получено много писем от отдельных представителей заграничной интеллигенции (педагогов, профессоров, экономистов и т. д.), где они пишут о получении </w:t>
      </w:r>
      <w:proofErr w:type="spellStart"/>
      <w:r w:rsidRPr="007122AB">
        <w:rPr>
          <w:color w:val="000000" w:themeColor="text1"/>
          <w:sz w:val="16"/>
          <w:szCs w:val="16"/>
        </w:rPr>
        <w:t>воксовских</w:t>
      </w:r>
      <w:proofErr w:type="spellEnd"/>
      <w:r w:rsidRPr="007122AB">
        <w:rPr>
          <w:color w:val="000000" w:themeColor="text1"/>
          <w:sz w:val="16"/>
          <w:szCs w:val="16"/>
        </w:rPr>
        <w:t xml:space="preserve"> материалов и выражают свое негодование по поводу подготовки интервенции. С другой стороны, получены отдельные сообщения и намеки, что посылка бюллетеней и других материалов </w:t>
      </w:r>
      <w:proofErr w:type="spellStart"/>
      <w:r w:rsidRPr="007122AB">
        <w:rPr>
          <w:color w:val="000000" w:themeColor="text1"/>
          <w:sz w:val="16"/>
          <w:szCs w:val="16"/>
        </w:rPr>
        <w:t>ВОКСа</w:t>
      </w:r>
      <w:proofErr w:type="spellEnd"/>
      <w:r w:rsidRPr="007122AB">
        <w:rPr>
          <w:color w:val="000000" w:themeColor="text1"/>
          <w:sz w:val="16"/>
          <w:szCs w:val="16"/>
        </w:rPr>
        <w:t xml:space="preserve"> в связи с кампанией отдельным адресатам </w:t>
      </w:r>
      <w:proofErr w:type="spellStart"/>
      <w:r w:rsidRPr="007122AB">
        <w:rPr>
          <w:color w:val="000000" w:themeColor="text1"/>
          <w:sz w:val="16"/>
          <w:szCs w:val="16"/>
        </w:rPr>
        <w:t>неудобн</w:t>
      </w:r>
      <w:proofErr w:type="spellEnd"/>
      <w:r w:rsidRPr="007122AB">
        <w:rPr>
          <w:color w:val="000000" w:themeColor="text1"/>
          <w:sz w:val="16"/>
          <w:szCs w:val="16"/>
        </w:rPr>
        <w:t>[а].</w:t>
      </w:r>
    </w:p>
    <w:p w14:paraId="3106D27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По работе внутри СССР.</w:t>
      </w:r>
    </w:p>
    <w:p w14:paraId="6DC45DD1" w14:textId="77777777" w:rsidR="00BC2229" w:rsidRPr="007122AB" w:rsidRDefault="00BC2229" w:rsidP="007122AB">
      <w:pPr>
        <w:pStyle w:val="rtejustify"/>
        <w:spacing w:before="0" w:after="0"/>
        <w:rPr>
          <w:color w:val="000000" w:themeColor="text1"/>
          <w:sz w:val="16"/>
          <w:szCs w:val="16"/>
        </w:rPr>
      </w:pPr>
      <w:proofErr w:type="spellStart"/>
      <w:r w:rsidRPr="007122AB">
        <w:rPr>
          <w:color w:val="000000" w:themeColor="text1"/>
          <w:sz w:val="16"/>
          <w:szCs w:val="16"/>
        </w:rPr>
        <w:t>ВОКСом</w:t>
      </w:r>
      <w:proofErr w:type="spellEnd"/>
      <w:r w:rsidRPr="007122AB">
        <w:rPr>
          <w:color w:val="000000" w:themeColor="text1"/>
          <w:sz w:val="16"/>
          <w:szCs w:val="16"/>
        </w:rPr>
        <w:t xml:space="preserve"> был проведен 23-го ноября (в Доме Ученых) митинг представителей науки и искусства СССР против подготовки интервенции с последующим использованием его материалов за границей (печать, радио и т. д.). Под резолюцией этого митинга, содержащей призыв к заграничной общественности выступить против интервенции, был организован сбор подписей как в Москве, так и на периферии. В итоге по одной Москве было собрано около 700 подписей представителей советской общественности, которые передаются за границу (через Бюллетени). Кроме того, было проведено 48 интервью с видными представителями науки и искусства СССР и иностранными специалистами по вопросу их отношения к интервенции, которые также использованы для передачи за границу.</w:t>
      </w:r>
    </w:p>
    <w:p w14:paraId="2150052D"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lastRenderedPageBreak/>
        <w:t xml:space="preserve">В помещении ВОКС организован специальный уголок «Против интервенции», </w:t>
      </w:r>
      <w:proofErr w:type="spellStart"/>
      <w:r w:rsidRPr="007122AB">
        <w:rPr>
          <w:color w:val="000000" w:themeColor="text1"/>
          <w:sz w:val="16"/>
          <w:szCs w:val="16"/>
        </w:rPr>
        <w:t>включающ</w:t>
      </w:r>
      <w:proofErr w:type="spellEnd"/>
      <w:r w:rsidRPr="007122AB">
        <w:rPr>
          <w:color w:val="000000" w:themeColor="text1"/>
          <w:sz w:val="16"/>
          <w:szCs w:val="16"/>
        </w:rPr>
        <w:t>[</w:t>
      </w:r>
      <w:proofErr w:type="spellStart"/>
      <w:r w:rsidRPr="007122AB">
        <w:rPr>
          <w:color w:val="000000" w:themeColor="text1"/>
          <w:sz w:val="16"/>
          <w:szCs w:val="16"/>
        </w:rPr>
        <w:t>ий</w:t>
      </w:r>
      <w:proofErr w:type="spellEnd"/>
      <w:r w:rsidRPr="007122AB">
        <w:rPr>
          <w:color w:val="000000" w:themeColor="text1"/>
          <w:sz w:val="16"/>
          <w:szCs w:val="16"/>
        </w:rPr>
        <w:t>] разделы: 1) Интервенция в [19]18 и [19]19 гг. 2) Процесс Промпартии (сопоставление с моментами строительства СССР), 3) Учет работы ВОКС в общей кампании против интервенции 4) Издание и библиография по интервенции 5) Основные экспонаты: фото-списки, плакаты, бюллетени и т. д.</w:t>
      </w:r>
    </w:p>
    <w:p w14:paraId="15E358B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Все иностранцы, проходящие через ВОКС, систематически знакомятся с материалами Уголка и снабжаются материалами ВОКС в связи с кампанией.</w:t>
      </w:r>
    </w:p>
    <w:p w14:paraId="4DCEC48F"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 целях планомерного обслуживания иностр. специалистов, работающих сейчас в СССР (что является особенно актуальным в связи с кампанией), ВОКС вошел в контакт со всеми организациями, ведущими работу с иностр. специалистами (НК РКИ, Клуб Дзержинского, Западная Торговая] Палата и т. д.) и предложил разработанную им программу обслуживания иностранных специалистов. Программа, включающая цикл лекций, кинопросмотров и экскурсий утверждена и в настоящее время проводится через Клуб Дзержинского.</w:t>
      </w:r>
    </w:p>
    <w:p w14:paraId="1057939E"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Итоги Кампании.</w:t>
      </w:r>
    </w:p>
    <w:p w14:paraId="0AC6DCEF"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Как указывалось выше, материалы данного отчета являются лишь предварительным подведением итогов по кампании. Но они уже дают возможность сказать, что по линии информационно-пропагандистской работы она приняла со стороны </w:t>
      </w:r>
      <w:proofErr w:type="spellStart"/>
      <w:r w:rsidRPr="007122AB">
        <w:rPr>
          <w:color w:val="000000" w:themeColor="text1"/>
          <w:sz w:val="16"/>
          <w:szCs w:val="16"/>
        </w:rPr>
        <w:t>ВОКСа</w:t>
      </w:r>
      <w:proofErr w:type="spellEnd"/>
      <w:r w:rsidRPr="007122AB">
        <w:rPr>
          <w:color w:val="000000" w:themeColor="text1"/>
          <w:sz w:val="16"/>
          <w:szCs w:val="16"/>
        </w:rPr>
        <w:t xml:space="preserve"> широкий размах (рассылка 500 статей, издание 5-ти бюллетеней и т. д.).</w:t>
      </w:r>
    </w:p>
    <w:p w14:paraId="0A1669B6"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Что касается массовой работы самих обществ, то она развернулась до сих пор, главным образом, по Германии. Основным препятствием для ее широкого размаха является социальный состав Обществ Сближения, который не дает возможности развернуть ряд массовых мероприятий.</w:t>
      </w:r>
    </w:p>
    <w:p w14:paraId="18E21707" w14:textId="77777777" w:rsidR="00BC2229" w:rsidRPr="007122AB" w:rsidRDefault="00BC2229" w:rsidP="007122AB">
      <w:pPr>
        <w:pStyle w:val="ae"/>
        <w:spacing w:before="0" w:after="0"/>
        <w:jc w:val="both"/>
        <w:rPr>
          <w:color w:val="000000" w:themeColor="text1"/>
          <w:sz w:val="16"/>
          <w:szCs w:val="16"/>
        </w:rPr>
      </w:pPr>
      <w:r w:rsidRPr="007122AB">
        <w:rPr>
          <w:rStyle w:val="af0"/>
          <w:i w:val="0"/>
          <w:color w:val="000000" w:themeColor="text1"/>
          <w:sz w:val="16"/>
          <w:szCs w:val="16"/>
        </w:rPr>
        <w:t>ГА РФ. Ф. P-5283. On. 1.Д. 139. Л. 108-110 об. Машинописная копия того времени (19953).</w:t>
      </w:r>
    </w:p>
    <w:p w14:paraId="349A2BF4" w14:textId="77777777" w:rsidR="00BC2229" w:rsidRPr="007122AB" w:rsidRDefault="00BC2229" w:rsidP="007122AB">
      <w:pPr>
        <w:spacing w:after="0" w:line="240" w:lineRule="auto"/>
        <w:jc w:val="both"/>
        <w:rPr>
          <w:rFonts w:ascii="Times New Roman" w:hAnsi="Times New Roman"/>
          <w:color w:val="000000" w:themeColor="text1"/>
          <w:sz w:val="16"/>
          <w:szCs w:val="16"/>
        </w:rPr>
      </w:pPr>
    </w:p>
    <w:p w14:paraId="19950343" w14:textId="77777777" w:rsidR="00BC2229" w:rsidRPr="007122AB" w:rsidRDefault="00BC222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20 января 1931 г.</w:t>
      </w:r>
    </w:p>
    <w:p w14:paraId="04AAF018" w14:textId="77777777" w:rsidR="00BC2229" w:rsidRPr="007122AB" w:rsidRDefault="00BC222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Из стенограммы заседания </w:t>
      </w:r>
      <w:proofErr w:type="spellStart"/>
      <w:r w:rsidRPr="007122AB">
        <w:rPr>
          <w:rFonts w:ascii="Times New Roman" w:hAnsi="Times New Roman"/>
          <w:color w:val="000000" w:themeColor="text1"/>
          <w:sz w:val="16"/>
          <w:szCs w:val="16"/>
        </w:rPr>
        <w:t>Агитпропотдела</w:t>
      </w:r>
      <w:proofErr w:type="spellEnd"/>
      <w:r w:rsidRPr="007122AB">
        <w:rPr>
          <w:rFonts w:ascii="Times New Roman" w:hAnsi="Times New Roman"/>
          <w:color w:val="000000" w:themeColor="text1"/>
          <w:sz w:val="16"/>
          <w:szCs w:val="16"/>
        </w:rPr>
        <w:t xml:space="preserve"> Исполкома Коминтерна по обсуждению хода зарубежной кампании вокруг процесса «Промпартии» и возможной военной угрозы для СССР. 20 января 1931 г.</w:t>
      </w:r>
    </w:p>
    <w:p w14:paraId="2CC97886" w14:textId="77777777" w:rsidR="00BC2229" w:rsidRPr="007122AB" w:rsidRDefault="00BC2229"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4821822C" w14:textId="77777777" w:rsidR="00BC2229" w:rsidRPr="007122AB" w:rsidRDefault="00BC222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88BB57D"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20 января 1931 г.</w:t>
      </w:r>
    </w:p>
    <w:p w14:paraId="32BE5EA4"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Секретно</w:t>
      </w:r>
    </w:p>
    <w:p w14:paraId="4C419870"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ЗАСЕДАНИЕ АПО ИККИ</w:t>
      </w:r>
    </w:p>
    <w:p w14:paraId="0B81D8E2"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20 января 1931 г.</w:t>
      </w:r>
    </w:p>
    <w:p w14:paraId="0F6A0190"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Протокол № 2</w:t>
      </w:r>
    </w:p>
    <w:p w14:paraId="70CAB246" w14:textId="77777777" w:rsidR="00BC2229" w:rsidRPr="007122AB" w:rsidRDefault="00BC2229" w:rsidP="007122AB">
      <w:pPr>
        <w:pStyle w:val="ae"/>
        <w:spacing w:before="0" w:after="0"/>
        <w:jc w:val="both"/>
        <w:rPr>
          <w:color w:val="000000" w:themeColor="text1"/>
          <w:sz w:val="16"/>
          <w:szCs w:val="16"/>
        </w:rPr>
      </w:pPr>
      <w:r w:rsidRPr="007122AB">
        <w:rPr>
          <w:color w:val="000000" w:themeColor="text1"/>
          <w:sz w:val="16"/>
          <w:szCs w:val="16"/>
        </w:rPr>
        <w:t>ГОПНЕР</w:t>
      </w:r>
    </w:p>
    <w:p w14:paraId="2B2613C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Товарищи, разрешите собрание открыть. Задачей сегодняшнего собрания является подготовка итогов, формулированных в связи с процессом для доклада на </w:t>
      </w:r>
      <w:proofErr w:type="spellStart"/>
      <w:r w:rsidRPr="007122AB">
        <w:rPr>
          <w:color w:val="000000" w:themeColor="text1"/>
          <w:sz w:val="16"/>
          <w:szCs w:val="16"/>
        </w:rPr>
        <w:t>Политсекретариате</w:t>
      </w:r>
      <w:proofErr w:type="spellEnd"/>
      <w:r w:rsidRPr="007122AB">
        <w:rPr>
          <w:color w:val="000000" w:themeColor="text1"/>
          <w:sz w:val="16"/>
          <w:szCs w:val="16"/>
        </w:rPr>
        <w:t>. По поводу процесса у нас уже было несколько собраний, где были представлены массовые организации, а партии были очень слабо представлены. Задачей сегодняшнего собрания является заслушивать планы массовых организаций, их директивы. Что касается партии, то и относительно этих партий, центр внимания должен быть обращен не на изложение мероприятий партий, их планов и директив, хотя и об этом несколько слов следует сказать, а главное внимание должно быть сконцентрировано вокруг политических итогов этой кампании. По поводу постановки вопроса, как мы должны осветить эту кампанию, с этой стороны я и скажу несколько слов.</w:t>
      </w:r>
    </w:p>
    <w:p w14:paraId="6ED185F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 чем была особенность этой кампании? Она не подготовлялась долгими планами и подробными директивами Коминтерна. Директива была очень краткая по телеграфу. Это не есть традиционная кампания, как 1 мая, 7 ноября, к которым готовятся из года в год, а это была кампания по поводу актуальнейшего события, по поводу вопроса нашей борьбы, имеющего первостепенное значение. На этой кампании наши партии должны были быть проверены с какой точки зрения? В какой мере они подвижны, в какой мере они способны откликаться быстро на всякое событие, в какой мере они могут реализовать свое все более растущее политическое влияние в форме массовых выступлений. Поэтому мы должны сегодня как следует заняться вопросом, каковы были политические акции партий. Конечно, здесь совершенно исключительное значение имеет печать. Если мы планы и все другие внутренние мероприятия партии сегодня можем оставить в тени, не будем о них говорить очень много, то о печати надо говорить много. Почему? Потому что печать отображает не только субъективный фактор, не только то, что делает партия, но также потому, что само выступление печати уже есть большая политическая акция. Но, конечно, если мы считали что выступление печати это все в акции наших партий, то это было бы совершенно неправильно. Мы должны сегодня также большое внимание уделить вопросу о собраниях, митингах и демонстрациях, несмотря на то, что этих демонстраций почти не было[,] и мы должны дать оценку тому факту, что демонстраций было так мало. В такой постановке стоит сегодня этот вопрос. Те доклады, которые нам представлены в письменном виде, далеко не все подытожили в этом вопросе. Анализ имеется более или менее глубокий в отчете тов. </w:t>
      </w:r>
      <w:proofErr w:type="spellStart"/>
      <w:r w:rsidRPr="007122AB">
        <w:rPr>
          <w:color w:val="000000" w:themeColor="text1"/>
          <w:sz w:val="16"/>
          <w:szCs w:val="16"/>
        </w:rPr>
        <w:t>Арнота</w:t>
      </w:r>
      <w:proofErr w:type="spellEnd"/>
      <w:r w:rsidRPr="007122AB">
        <w:rPr>
          <w:color w:val="000000" w:themeColor="text1"/>
          <w:sz w:val="16"/>
          <w:szCs w:val="16"/>
        </w:rPr>
        <w:t xml:space="preserve"> об Америке, немножко в отчете об Англии, не знаю, кто его писал, он не подписан, и в отчете тов. Меринга о Норвегии. Остальные отчеты стараются дать фактическую сторону и избегают или очень мало дают политическую оценку. Этим недостатком страдают почти все письменные доклады, представленные нам. Так что надо дать не только анализ печати, как это делают почти все товарищи, которые воздерживаются от квалификации того, как партии проводили эту кампанию организационно. Кроме того, надо сказать, что целый ряд политических докладов еще не получен. Правда, во многих странах кампания не закончена и мы сами хотим, чтобы она продолжалась. Но тем не менее теперь тем этапам, которые уже прошли, мы можем подвести итоги.</w:t>
      </w:r>
    </w:p>
    <w:p w14:paraId="770C67C8"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 связи с этим я в своем кратком выступлении остановлюсь только на итогах по следующему плану. Прежде всего о том, когда партии начали кампанию. Этот важный вопрос для проверки их способности быстро откликаться на важные случаи, события. Второй вопрос количественный: какое внимание, сколько внимания печать уделяла этой кампании? Третий вопрос — несколько слов об идеологической стороне. Очень кратко мне придется сказать, ибо здесь больше придется говорить представителям партий. Идеологическая сторона тоже дает представление о том, как партии оценивают или недооценивают военную опасность. Об этом очень мало придется говорить. Есть еще много других вопросов о поведении массовых организаций и еще важный вопрос подвести опыт тому, что мы делаем сейчас, т. е. тому, что мы не всегда делали. Мы знаем, что в Коминтерне были мобилизованы значительные силы, целый большой аппарат был поставлен на процесс и эта работа оставила кое-какой след, и нам нужно сделать кое-какие практические выводы о том, что желательно здесь постоянное присутствие корреспондентов иностранных газет. Сегодня надо сосредоточить все внимание на политической оценке того, что сделано и что успели наши партии.</w:t>
      </w:r>
    </w:p>
    <w:p w14:paraId="31F65FF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Первый вопрос — начало кампании. Вы знаете, что первая телеграмма о том, что будет этот процесс, появилась в виде краткой [информации] после годовщины октября, примерно числа 10 или 9 ноября. 11 ноября уже были напечатаны краткие выдержки из обвинительного акта. Это появилось в </w:t>
      </w:r>
      <w:proofErr w:type="spellStart"/>
      <w:r w:rsidRPr="007122AB">
        <w:rPr>
          <w:color w:val="000000" w:themeColor="text1"/>
          <w:sz w:val="16"/>
          <w:szCs w:val="16"/>
        </w:rPr>
        <w:t>инпрекоре</w:t>
      </w:r>
      <w:proofErr w:type="spellEnd"/>
      <w:r w:rsidRPr="007122AB">
        <w:rPr>
          <w:color w:val="000000" w:themeColor="text1"/>
          <w:sz w:val="16"/>
          <w:szCs w:val="16"/>
        </w:rPr>
        <w:t xml:space="preserve"> 14 ноября. В Германии 11, а в других позже. Когда наши партии начали эту кампанию? Я начну с той партии, которая должна быть в центре нашего внимания, с французской коммунистической партии, ибо для вас не секрет, что весь процесс разоблачи[л] роль Франции. Как наша партия вела себя в этой стране, это имеет для нас несомненно большое значение. Так вот, во Франции первое телеграфное сообщение ТАСС появилось 13 ноября. Затем три дня было молчание. 16 была передовая &lt;статья&gt;, 17-го началась систематическая кампания. Но только с начала процесса 25-го числа эта кампания приняла уже характер настоящей систематической сконцентрированной кампании. Провинциальная печать начала, конечно, гораздо позже эту кампанию. В Англии приблизительно в таком же разрезе: по-настоящему кампания начинается только с начала процесса. Первое сообщение 13 ноября, 22 ноября появилось воззвание английской компартии и общества друзей.</w:t>
      </w:r>
    </w:p>
    <w:p w14:paraId="53CC476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Теперь Германия. Германии, как мы уже знаем, надо констатировать недооценку этой кампании. Тут было одно обстоятельство, которое мешало германской компартии вовремя начать эту кампанию — это то, что «Роте Фане» был закрыт, как раз перед началом кампании. Но все же, даже с этой оговоркой, кампания в Германии началась довольно поздно, она началась лишь 23 ноября с передовой. Что касается количественного обслуживания, то мы будем об этом еще говорить. Провинциальная пресса начала еще позже эту кампанию. В Соединенных] Штатах можно считать, что эта кампания началась довольно рано, приблизительно к моменту годовщины 7-го ноября и не прекращалась. 7-го ноября она велась в связи с кампанией против, так называемого, демпинга, а с начала процесса, приблизительно в двадцатых числах ноября, эта кампания начинает вестись довольно интенсивно и приобретает огромную напряженность и ударность — и в таком виде ведется до 6-го декабря.</w:t>
      </w:r>
    </w:p>
    <w:p w14:paraId="5EDBBE2A"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 </w:t>
      </w:r>
      <w:proofErr w:type="spellStart"/>
      <w:r w:rsidRPr="007122AB">
        <w:rPr>
          <w:color w:val="000000" w:themeColor="text1"/>
          <w:sz w:val="16"/>
          <w:szCs w:val="16"/>
        </w:rPr>
        <w:t>Чехо</w:t>
      </w:r>
      <w:proofErr w:type="spellEnd"/>
      <w:r w:rsidRPr="007122AB">
        <w:rPr>
          <w:color w:val="000000" w:themeColor="text1"/>
          <w:sz w:val="16"/>
          <w:szCs w:val="16"/>
        </w:rPr>
        <w:t>-Словакии кампания началась прежде всего в немецкой прессе, а не в чешской. Она началась в «</w:t>
      </w:r>
      <w:proofErr w:type="spellStart"/>
      <w:r w:rsidRPr="007122AB">
        <w:rPr>
          <w:color w:val="000000" w:themeColor="text1"/>
          <w:sz w:val="16"/>
          <w:szCs w:val="16"/>
        </w:rPr>
        <w:t>Форверсте</w:t>
      </w:r>
      <w:proofErr w:type="spellEnd"/>
      <w:r w:rsidRPr="007122AB">
        <w:rPr>
          <w:color w:val="000000" w:themeColor="text1"/>
          <w:sz w:val="16"/>
          <w:szCs w:val="16"/>
        </w:rPr>
        <w:t>» и потом уже перешла в другую печать. В Австрии с 20 ноября. В Бельгии с 21-го, передовая, посвященная процессу, появилась 29-го. В Голландии с 18-го ноября. Что касается Швеции и Норвегии, то кампания начинается довольно поздно — в Норвегии 21 ноября, в Швеции 18-го ноября.</w:t>
      </w:r>
    </w:p>
    <w:p w14:paraId="2F1B2E3F"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Что касается нелегальных стран, то о своевременном начале кампании речи быть не могло потому, что в этих странах вообще кампания в легальной прессе очень слабо освещалась. Тут работа шла по линии агитационных брошюр и листовок.</w:t>
      </w:r>
    </w:p>
    <w:p w14:paraId="40C9EA5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Когда кончилась кампания? Почти все партии поняли таким образом, что как только был опубликован первый приговор и потом отмена смертной казни ЦИКом и комментарии к этому приговору, после этого с кампанией покончили. Она резко оборвалась, пока Коминтерн не дал в те же дни телеграмму, что ее нельзя прекращать ни на один день. Если подсчитать относительно того, когда партии начали кампанию и когда кончили, то какие выводы мы должны сделать относительно эластичности наших партий, относительно недооценки или правильной оценки ими этой кампании? Я думаю, что вывод должен быть не особенно оптимистический. Это показывает следующее, что наши партии ни после первой крошечной заметки о том, что будет такой процесс, ни после первых кратких выписок из обвинительного акта не поняли без директивы Коминтерна, что немедленно надо начать кампанию и только после того, как их отсюда молотом по голове ударили, они раскачались и то с достаточным опозданием. После того, как процесс кончился, каждая партия думала, что ее задача выполнена. Так как вопрос об интервенции стоит остро в центре внимания Коммунистического Интернационала, эти факты показывают, что недооценка этой кампании является общим недостатком всех наших партий.</w:t>
      </w:r>
    </w:p>
    <w:p w14:paraId="1D2F37EA"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lastRenderedPageBreak/>
        <w:t xml:space="preserve">Перехожу ко второму вопросу — о количестве. Возьмем первую страну — Францию. Тогда, когда кампания уже раскачалась, т. е. с достаточно большим опозданием, конечно, «Юманите» гораздо больше других газет уделяла &lt;внимание&gt; этому вопросу в течение 10 дней, кажется, подряд все передовые или почти все передовые были посвящены процессу, печатались почти все наши телеграммы, кажется, без больших сокращений. Были статьи </w:t>
      </w:r>
      <w:proofErr w:type="spellStart"/>
      <w:r w:rsidRPr="007122AB">
        <w:rPr>
          <w:color w:val="000000" w:themeColor="text1"/>
          <w:sz w:val="16"/>
          <w:szCs w:val="16"/>
        </w:rPr>
        <w:t>Кашена</w:t>
      </w:r>
      <w:proofErr w:type="spellEnd"/>
      <w:r w:rsidRPr="007122AB">
        <w:rPr>
          <w:color w:val="000000" w:themeColor="text1"/>
          <w:sz w:val="16"/>
          <w:szCs w:val="16"/>
        </w:rPr>
        <w:t xml:space="preserve"> и очень мало своих статей. Как вам известно, тов. </w:t>
      </w:r>
      <w:proofErr w:type="spellStart"/>
      <w:r w:rsidRPr="007122AB">
        <w:rPr>
          <w:color w:val="000000" w:themeColor="text1"/>
          <w:sz w:val="16"/>
          <w:szCs w:val="16"/>
        </w:rPr>
        <w:t>Кашен</w:t>
      </w:r>
      <w:proofErr w:type="spellEnd"/>
      <w:r w:rsidRPr="007122AB">
        <w:rPr>
          <w:color w:val="000000" w:themeColor="text1"/>
          <w:sz w:val="16"/>
          <w:szCs w:val="16"/>
        </w:rPr>
        <w:t xml:space="preserve"> был вызван сюда, так что его статьи шли отсюда. Таким образом, в количественном отношении мы не можем особенно пожаловаться на «Юманите».</w:t>
      </w:r>
    </w:p>
    <w:p w14:paraId="3780C39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Что касается «Роте Фане», германского центрального органа, то надо прямо сказать, что здесь была сильная недооценка. Во-первых, в течение первой половины процесса статьи не выносились на первую страницу, передовых было очень мало. Мы знаем какая обстановка была в Германии во время этой кампании. В Германии в это время происходили острейшие бои германского масштаба, и об этом будут много говорить.</w:t>
      </w:r>
    </w:p>
    <w:p w14:paraId="61DCE29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Германия не стоит во главе антисоветского похода, не стоит в его центре, это очень важное обстоятельство, и от Франции мы гораздо больше требуем, чем от Германии, но тем не менее германская компартия должна была к этому процессу отнестись не как к кампании, между прочим. А между тем вы увидите, что и митинги, и собрания в Германии очень малочисленные, откликнувшиеся на этот процесс, тоже были митингами и собраниями не созванными специально в связи с этой кампанией, а это были митинги, собрания, конференции, съезды, происходившие по другим очень важным поводам. Весь характер освещения в «Роте Фане» и его идеологический загиб показывает, что в Германии эта кампания недооценивалась. Еще хуже, конечно, освещала провинциальная печать. Она перепечатывала в общем и целом то, что давал «Роте Фане». Все десятки провинциальных газет давали то же самое.</w:t>
      </w:r>
    </w:p>
    <w:p w14:paraId="71EE3138"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Что касается Англии, то нужно сказать, что «Дэйли </w:t>
      </w:r>
      <w:proofErr w:type="spellStart"/>
      <w:r w:rsidRPr="007122AB">
        <w:rPr>
          <w:color w:val="000000" w:themeColor="text1"/>
          <w:sz w:val="16"/>
          <w:szCs w:val="16"/>
        </w:rPr>
        <w:t>Уоркер</w:t>
      </w:r>
      <w:proofErr w:type="spellEnd"/>
      <w:r w:rsidRPr="007122AB">
        <w:rPr>
          <w:color w:val="000000" w:themeColor="text1"/>
          <w:sz w:val="16"/>
          <w:szCs w:val="16"/>
        </w:rPr>
        <w:t xml:space="preserve">» вел кампанию весьма неплохо, можно сказать даже удовлетворительно. Что касается «Дейли </w:t>
      </w:r>
      <w:proofErr w:type="spellStart"/>
      <w:r w:rsidRPr="007122AB">
        <w:rPr>
          <w:color w:val="000000" w:themeColor="text1"/>
          <w:sz w:val="16"/>
          <w:szCs w:val="16"/>
        </w:rPr>
        <w:t>Уоркер</w:t>
      </w:r>
      <w:proofErr w:type="spellEnd"/>
      <w:r w:rsidRPr="007122AB">
        <w:rPr>
          <w:color w:val="000000" w:themeColor="text1"/>
          <w:sz w:val="16"/>
          <w:szCs w:val="16"/>
        </w:rPr>
        <w:t xml:space="preserve">» в </w:t>
      </w:r>
      <w:proofErr w:type="spellStart"/>
      <w:r w:rsidRPr="007122AB">
        <w:rPr>
          <w:color w:val="000000" w:themeColor="text1"/>
          <w:sz w:val="16"/>
          <w:szCs w:val="16"/>
        </w:rPr>
        <w:t>Соед</w:t>
      </w:r>
      <w:proofErr w:type="spellEnd"/>
      <w:r w:rsidRPr="007122AB">
        <w:rPr>
          <w:color w:val="000000" w:themeColor="text1"/>
          <w:sz w:val="16"/>
          <w:szCs w:val="16"/>
        </w:rPr>
        <w:t>[</w:t>
      </w:r>
      <w:proofErr w:type="spellStart"/>
      <w:r w:rsidRPr="007122AB">
        <w:rPr>
          <w:color w:val="000000" w:themeColor="text1"/>
          <w:sz w:val="16"/>
          <w:szCs w:val="16"/>
        </w:rPr>
        <w:t>иненных</w:t>
      </w:r>
      <w:proofErr w:type="spellEnd"/>
      <w:r w:rsidRPr="007122AB">
        <w:rPr>
          <w:color w:val="000000" w:themeColor="text1"/>
          <w:sz w:val="16"/>
          <w:szCs w:val="16"/>
        </w:rPr>
        <w:t xml:space="preserve">] Штатах, то о недооценке говорить не приходится. Кампания велась ярко, напряженно, с громадным темпераментом, систематически и сконцентрировано. В этом отношении эти две газеты, оба «Дэйли </w:t>
      </w:r>
      <w:proofErr w:type="spellStart"/>
      <w:r w:rsidRPr="007122AB">
        <w:rPr>
          <w:color w:val="000000" w:themeColor="text1"/>
          <w:sz w:val="16"/>
          <w:szCs w:val="16"/>
        </w:rPr>
        <w:t>Уоркер</w:t>
      </w:r>
      <w:proofErr w:type="spellEnd"/>
      <w:r w:rsidRPr="007122AB">
        <w:rPr>
          <w:color w:val="000000" w:themeColor="text1"/>
          <w:sz w:val="16"/>
          <w:szCs w:val="16"/>
        </w:rPr>
        <w:t>» в данном случае имели некоторые, может быть, идеологические отступления, но оценка кампании была прекрасная.</w:t>
      </w:r>
    </w:p>
    <w:p w14:paraId="59E3142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Что касается </w:t>
      </w:r>
      <w:proofErr w:type="spellStart"/>
      <w:r w:rsidRPr="007122AB">
        <w:rPr>
          <w:color w:val="000000" w:themeColor="text1"/>
          <w:sz w:val="16"/>
          <w:szCs w:val="16"/>
        </w:rPr>
        <w:t>чехо</w:t>
      </w:r>
      <w:proofErr w:type="spellEnd"/>
      <w:r w:rsidRPr="007122AB">
        <w:rPr>
          <w:color w:val="000000" w:themeColor="text1"/>
          <w:sz w:val="16"/>
          <w:szCs w:val="16"/>
        </w:rPr>
        <w:t>-словацкой печати, то провинциальная печать там была слабее столичной. Что касается центральной печати, то это была ударная кампания, стоящая в центре внимания, в смысле количества мы пожаловаться не можем.</w:t>
      </w:r>
    </w:p>
    <w:p w14:paraId="7789CC4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Скандинавская печать очень недооценила кампанию, в особенности если обратить внимание на то, что шведская буржуазная печать вела исключительно яростную кампанию против нас. Я об этом не сказала в отношении к французской, английской и </w:t>
      </w:r>
      <w:proofErr w:type="spellStart"/>
      <w:r w:rsidRPr="007122AB">
        <w:rPr>
          <w:color w:val="000000" w:themeColor="text1"/>
          <w:sz w:val="16"/>
          <w:szCs w:val="16"/>
        </w:rPr>
        <w:t>чехо</w:t>
      </w:r>
      <w:proofErr w:type="spellEnd"/>
      <w:r w:rsidRPr="007122AB">
        <w:rPr>
          <w:color w:val="000000" w:themeColor="text1"/>
          <w:sz w:val="16"/>
          <w:szCs w:val="16"/>
        </w:rPr>
        <w:t>-словацкой буржуазной печати потому, что всем известно, что там был исключительный натиск на нас. И в скандинавской печати в связи с лесом и спичками против нас в то время была совершенно исключительная яростная кампания и наша печать очень слабо откликалась, почти совсем не откликалась, раскачалась очень поздно, и когда раскачалась наша большая печать и то недостаточно.</w:t>
      </w:r>
    </w:p>
    <w:p w14:paraId="7C6F8A86"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Относительно количества надо было бы еще дать статистику, но, к сожалению, точной статистики нет, относительно воззваний, листовок, манифестов, плакатов и относительно </w:t>
      </w:r>
      <w:proofErr w:type="spellStart"/>
      <w:r w:rsidRPr="007122AB">
        <w:rPr>
          <w:color w:val="000000" w:themeColor="text1"/>
          <w:sz w:val="16"/>
          <w:szCs w:val="16"/>
        </w:rPr>
        <w:t>перепечатания</w:t>
      </w:r>
      <w:proofErr w:type="spellEnd"/>
      <w:r w:rsidRPr="007122AB">
        <w:rPr>
          <w:color w:val="000000" w:themeColor="text1"/>
          <w:sz w:val="16"/>
          <w:szCs w:val="16"/>
        </w:rPr>
        <w:t xml:space="preserve"> такого важного документа, как воззвание Горького, о чем была дана специальная директива отсюда по линии Агитпропа. Точной статистики нет, но нужно сказать, что общее впечатление такое, что воззваний было не мало. Вот, товарищи, относительно количества. Если мы сделаем вывод относительно оценки и недооценки, мы скажем, что за некоторыми исключениями в общем и целом в начале кампании количество тоже было недооценено, материала давали недостаточно. Нечего говорить уже о том, что в такой печати, как австрийская, бельгийская, голландская было совсем плохо вначале, потом несколько поправилось. Только в середине процесса они количественно раскачались и стали давать гораздо больше. Конечно, Франция давала больше других партий.</w:t>
      </w:r>
    </w:p>
    <w:p w14:paraId="5E222DE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Относительно нелегальных партий, то о своевременности мы не можем ничего сказать, потому что у нас не было там такой печати. Однако, все-таки только в начале декабря в легальных органах нашей партии, т. е., считающихся нашими органами, появился ряд статей в Польше, а потом идет </w:t>
      </w:r>
      <w:proofErr w:type="spellStart"/>
      <w:r w:rsidRPr="007122AB">
        <w:rPr>
          <w:color w:val="000000" w:themeColor="text1"/>
          <w:sz w:val="16"/>
          <w:szCs w:val="16"/>
        </w:rPr>
        <w:t>брошюрочная</w:t>
      </w:r>
      <w:proofErr w:type="spellEnd"/>
      <w:r w:rsidRPr="007122AB">
        <w:rPr>
          <w:color w:val="000000" w:themeColor="text1"/>
          <w:sz w:val="16"/>
          <w:szCs w:val="16"/>
        </w:rPr>
        <w:t xml:space="preserve"> литература, которая отчасти печатается. Так что тут никогда не приходится говорить относительно своевременности.</w:t>
      </w:r>
    </w:p>
    <w:p w14:paraId="60475D5E"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Перехожу к идеологии. Я буду говорить очень мало, скажу только главное, — может быть, товарищи меня тут дополнят. Во французской печати нельзя сказать, чтобы была четкая и ясная установка. Вначале была недооценка о важности голоса международного пролетариата, и в особенности французского пролетариата. Очень много говорилось относительно силы Красной армии, очень много говорилось о ГПУ и почему получилось впечатление, что, собственно говоря, против интервенции сделано уже так много, что вывод получался слишком оптимистический. Но французская «Юманите» гораздо раньше, чем «Роте Фане», выправил[а] этот недостаток и очень скоро там появились статьи, где говорилось о том, что французский пролетариат, в первую очередь, и международный пролетариат вообще должен давать отпор </w:t>
      </w:r>
      <w:proofErr w:type="spellStart"/>
      <w:r w:rsidRPr="007122AB">
        <w:rPr>
          <w:color w:val="000000" w:themeColor="text1"/>
          <w:sz w:val="16"/>
          <w:szCs w:val="16"/>
        </w:rPr>
        <w:t>интервенистским</w:t>
      </w:r>
      <w:proofErr w:type="spellEnd"/>
      <w:r w:rsidRPr="007122AB">
        <w:rPr>
          <w:color w:val="000000" w:themeColor="text1"/>
          <w:sz w:val="16"/>
          <w:szCs w:val="16"/>
        </w:rPr>
        <w:t xml:space="preserve"> попыткам. Но все-таки ни в статьях тов. </w:t>
      </w:r>
      <w:proofErr w:type="spellStart"/>
      <w:r w:rsidRPr="007122AB">
        <w:rPr>
          <w:color w:val="000000" w:themeColor="text1"/>
          <w:sz w:val="16"/>
          <w:szCs w:val="16"/>
        </w:rPr>
        <w:t>Кашена</w:t>
      </w:r>
      <w:proofErr w:type="spellEnd"/>
      <w:r w:rsidRPr="007122AB">
        <w:rPr>
          <w:color w:val="000000" w:themeColor="text1"/>
          <w:sz w:val="16"/>
          <w:szCs w:val="16"/>
        </w:rPr>
        <w:t xml:space="preserve">, ни в других статьях, которые появились в «Юманите», большой четкости, тонкости понимания всех сторон процесса, в особенности, фактической стороны мы отметить не могли. Но гораздо больше загибов было в германской печати. Конечно, общая линия, в конце концов, была выправлена, но в первые дни были особенно сильные загибы и достаточно того, что эти загибы были в первые дни, чтобы это отразилось на всей провинциальной печати и на всех массовых митингах и т. д. Все внимание было сконцентрировано вокруг смертной казни: расстрелять, расстрелять, расстрелять. И даже </w:t>
      </w:r>
      <w:proofErr w:type="spellStart"/>
      <w:r w:rsidRPr="007122AB">
        <w:rPr>
          <w:color w:val="000000" w:themeColor="text1"/>
          <w:sz w:val="16"/>
          <w:szCs w:val="16"/>
        </w:rPr>
        <w:t>данцигские</w:t>
      </w:r>
      <w:proofErr w:type="spellEnd"/>
      <w:r w:rsidRPr="007122AB">
        <w:rPr>
          <w:color w:val="000000" w:themeColor="text1"/>
          <w:sz w:val="16"/>
          <w:szCs w:val="16"/>
        </w:rPr>
        <w:t xml:space="preserve"> красные фронтовики вынесли такую резолюцию, что они будут считать почетным поручением или высокой честью, если им дадут выполнить этот смертный приговор над этими самыми контрреволюционерами. И только после директив отсюда это уродство было выправлено. Но это уже имело свое отражение и можно отметить множество резолюций, десятки митингов и собраний, десятки провинциальных газет, которые проводили кампанию под этим знаком, под знаком сконцентрирования внимания вокруг сурового наказания, вокруг расстрела. Вторая ошибка заключалась в том, что русские контрреволюционеры с самого начала были зачислены в фашисты, что это процесс русских фашистов, что эти контрреволюционеры являются фашистами на советской почве.</w:t>
      </w:r>
    </w:p>
    <w:p w14:paraId="2CD5BB50"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Конечно, это было весьма и весьма неосторожно — рассматривать наших контрреволюционеров как фашистов. Потом линия была выправлена и начали появляться статьи относительно роли международного пролетариата в этом деле. Вся печать страдала тем, что она не давала достаточного отпора по всем пунктам, по которым на нас нападала социал-демократическая и буржуазная печать. Прежде всего, эти контрреволюционеры изображались как цвет науки, потом появились всякие клеветнические сообщения о том, что Ворошилов арестовал Сталина и т. д. Всем этим сплетням, которые появлялись в буржуазной и социал-демократической печати, не давался достаточный отпор. Очень яркие факты, которые выявились в процессе, относительно роли II-го Интернационала, относительно того, что группа </w:t>
      </w:r>
      <w:proofErr w:type="spellStart"/>
      <w:r w:rsidRPr="007122AB">
        <w:rPr>
          <w:color w:val="000000" w:themeColor="text1"/>
          <w:sz w:val="16"/>
          <w:szCs w:val="16"/>
        </w:rPr>
        <w:t>Громана</w:t>
      </w:r>
      <w:proofErr w:type="spellEnd"/>
      <w:r w:rsidRPr="007122AB">
        <w:rPr>
          <w:color w:val="000000" w:themeColor="text1"/>
          <w:sz w:val="16"/>
          <w:szCs w:val="16"/>
        </w:rPr>
        <w:t xml:space="preserve"> и Суханова участвовала в этом деле, что </w:t>
      </w:r>
      <w:proofErr w:type="spellStart"/>
      <w:r w:rsidRPr="007122AB">
        <w:rPr>
          <w:color w:val="000000" w:themeColor="text1"/>
          <w:sz w:val="16"/>
          <w:szCs w:val="16"/>
        </w:rPr>
        <w:t>Громан</w:t>
      </w:r>
      <w:proofErr w:type="spellEnd"/>
      <w:r w:rsidRPr="007122AB">
        <w:rPr>
          <w:color w:val="000000" w:themeColor="text1"/>
          <w:sz w:val="16"/>
          <w:szCs w:val="16"/>
        </w:rPr>
        <w:t xml:space="preserve"> сам писал докладные записки для заграничных контрреволюционеров, а эти записки попадали во французский генеральный штаб, все эти факты только после статей отсюда были освещены. А в начале на них обращалось очень мало внимания. Так что борьба с нашими противниками является слабой стороной нашей печати. В польской печати была тоже маленькая ошибка. Они разоблачали буржуазную и социал- демократическую печать, ее нападки больше в отношении других стран, а не печать П.П.С. и </w:t>
      </w:r>
      <w:proofErr w:type="spellStart"/>
      <w:r w:rsidRPr="007122AB">
        <w:rPr>
          <w:color w:val="000000" w:themeColor="text1"/>
          <w:sz w:val="16"/>
          <w:szCs w:val="16"/>
        </w:rPr>
        <w:t>пилсудчиков</w:t>
      </w:r>
      <w:proofErr w:type="spellEnd"/>
      <w:r w:rsidRPr="007122AB">
        <w:rPr>
          <w:color w:val="000000" w:themeColor="text1"/>
          <w:sz w:val="16"/>
          <w:szCs w:val="16"/>
        </w:rPr>
        <w:t>. Наша польская печать больше разоблачала «</w:t>
      </w:r>
      <w:proofErr w:type="spellStart"/>
      <w:r w:rsidRPr="007122AB">
        <w:rPr>
          <w:color w:val="000000" w:themeColor="text1"/>
          <w:sz w:val="16"/>
          <w:szCs w:val="16"/>
        </w:rPr>
        <w:t>Популер</w:t>
      </w:r>
      <w:proofErr w:type="spellEnd"/>
      <w:r w:rsidRPr="007122AB">
        <w:rPr>
          <w:color w:val="000000" w:themeColor="text1"/>
          <w:sz w:val="16"/>
          <w:szCs w:val="16"/>
        </w:rPr>
        <w:t>» и «</w:t>
      </w:r>
      <w:proofErr w:type="spellStart"/>
      <w:r w:rsidRPr="007122AB">
        <w:rPr>
          <w:color w:val="000000" w:themeColor="text1"/>
          <w:sz w:val="16"/>
          <w:szCs w:val="16"/>
        </w:rPr>
        <w:t>Форверст</w:t>
      </w:r>
      <w:proofErr w:type="spellEnd"/>
      <w:r w:rsidRPr="007122AB">
        <w:rPr>
          <w:color w:val="000000" w:themeColor="text1"/>
          <w:sz w:val="16"/>
          <w:szCs w:val="16"/>
        </w:rPr>
        <w:t>», чем свою польскую П. П.С.-</w:t>
      </w:r>
      <w:proofErr w:type="spellStart"/>
      <w:r w:rsidRPr="007122AB">
        <w:rPr>
          <w:color w:val="000000" w:themeColor="text1"/>
          <w:sz w:val="16"/>
          <w:szCs w:val="16"/>
        </w:rPr>
        <w:t>вскую</w:t>
      </w:r>
      <w:proofErr w:type="spellEnd"/>
      <w:r w:rsidRPr="007122AB">
        <w:rPr>
          <w:color w:val="000000" w:themeColor="text1"/>
          <w:sz w:val="16"/>
          <w:szCs w:val="16"/>
        </w:rPr>
        <w:t xml:space="preserve"> и </w:t>
      </w:r>
      <w:proofErr w:type="spellStart"/>
      <w:r w:rsidRPr="007122AB">
        <w:rPr>
          <w:color w:val="000000" w:themeColor="text1"/>
          <w:sz w:val="16"/>
          <w:szCs w:val="16"/>
        </w:rPr>
        <w:t>пилсудческую</w:t>
      </w:r>
      <w:proofErr w:type="spellEnd"/>
      <w:r w:rsidRPr="007122AB">
        <w:rPr>
          <w:color w:val="000000" w:themeColor="text1"/>
          <w:sz w:val="16"/>
          <w:szCs w:val="16"/>
        </w:rPr>
        <w:t xml:space="preserve"> печать. Общие выводы в общем и целом были правильны, но были отдельные погрешности, которые особенно значительны были в Германии. Наиболее слабым местом являлся отпор нашим противникам, а также неумение увязать борьбу против интервенции в связи с процессом, в связи с экономической и политической ежедневной борьбой на месте, которая сейчас ведется во всех странах, неумение увязать эту борьбу с кризисом. Более умело это делала, как раз, американская печать.</w:t>
      </w:r>
    </w:p>
    <w:p w14:paraId="1E7FAF9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О действиях массовых организаций я не буду здесь говорить, во- первых, потому, что их планы и директивы мы заслушивали здесь и дали им оценку, а отчетов, как планы претворены в жизнь, у нас не имеется. Мы хотели бы сегодня от представителей массовых организаций получить, по крайней мере, краткие сведения, причем мы их просим, чтобы они дали нам сведения относительно выступлений, митингов, что мы считаем самым главным, относительно акций масс. Во Франции был сначала объявлен грандиозный план, что во Франции будет организовано 40 больших митингов. Правда, это было рассчитано на длительный срок, кажется, на целый месяц. Эти митинги до сих пор не закончены, они еще продолжаются, но о численности некоторых из этих митингов мы знаем. В Париже был проведен митинг, в котором участвовало 500 человек, в &lt;...&gt; 2.000 человек. Но нужно здесь иметь в виду, как подсчитываются цифры. Так они подсчитывают представительства. Например, считают что было представлено 12.000 рабочих, или что землекопы представляют 3.000 человек, не собралось столько, а представляют 3.000. Например, съезд рабочих электрической промышленности имел 130 делегатов, которые представляли собой 24.000 рабочих. Но, конечно, эти цифры о представительствах не должны вводить нас в заблуждение. Во-первых, надо отметить, что многие из этих собраний были организованы не в связи с опасностью интервенции, а по другим поводам и очень хорошо, конечно, что они вынесли резолюцию и заслушали доклад об интервенции. Центральный митинг в Париже с отчетом тов. </w:t>
      </w:r>
      <w:proofErr w:type="spellStart"/>
      <w:r w:rsidRPr="007122AB">
        <w:rPr>
          <w:color w:val="000000" w:themeColor="text1"/>
          <w:sz w:val="16"/>
          <w:szCs w:val="16"/>
        </w:rPr>
        <w:t>Кашена</w:t>
      </w:r>
      <w:proofErr w:type="spellEnd"/>
      <w:r w:rsidRPr="007122AB">
        <w:rPr>
          <w:color w:val="000000" w:themeColor="text1"/>
          <w:sz w:val="16"/>
          <w:szCs w:val="16"/>
        </w:rPr>
        <w:t xml:space="preserve">, вероятно, был многочисленным. Все большое помещение, где он состоялся, было переполнено. Там присутствовало, вероятно, 1.000 человек и это чуть ли не самый большой митинг. Что касается провинций, то говорят, что в гор. </w:t>
      </w:r>
      <w:proofErr w:type="spellStart"/>
      <w:r w:rsidRPr="007122AB">
        <w:rPr>
          <w:color w:val="000000" w:themeColor="text1"/>
          <w:sz w:val="16"/>
          <w:szCs w:val="16"/>
        </w:rPr>
        <w:t>Велянсьене</w:t>
      </w:r>
      <w:proofErr w:type="spellEnd"/>
      <w:r w:rsidRPr="007122AB">
        <w:rPr>
          <w:color w:val="000000" w:themeColor="text1"/>
          <w:sz w:val="16"/>
          <w:szCs w:val="16"/>
        </w:rPr>
        <w:t xml:space="preserve"> рабочие вышли на улицу с демонстрацией после митинга. Это обычная вещь, после митингов они всегда прогуливаются. Коминтерн не давал прямой директивы относительно демонстрации, но это не должно, конечно, заставить нас сделать такой вывод, что поскольку директив не было, то и требовать нечего. Франция играла в этой кампании совершенно исключительную роль. Громадная кампания со стороны печати должна была вызвать какое- то массовое движение, обязана была вызвать, и эту задачу партия должна была поставить перед собой. Я не знаю, поставила ли французская партия политически перед собой эту задачу, но я должна сказать от себя, что отсутствие демонстраций во Франции является пробелом этой кампании на данной стадии, потому что в любой другой стране могло не быть демонстраций, а во Франции мы могли требовать, чтобы была хотя бы одна внушительная демонстрация. Я на </w:t>
      </w:r>
      <w:proofErr w:type="spellStart"/>
      <w:r w:rsidRPr="007122AB">
        <w:rPr>
          <w:color w:val="000000" w:themeColor="text1"/>
          <w:sz w:val="16"/>
          <w:szCs w:val="16"/>
        </w:rPr>
        <w:t>Политсекретариате</w:t>
      </w:r>
      <w:proofErr w:type="spellEnd"/>
      <w:r w:rsidRPr="007122AB">
        <w:rPr>
          <w:color w:val="000000" w:themeColor="text1"/>
          <w:sz w:val="16"/>
          <w:szCs w:val="16"/>
        </w:rPr>
        <w:t xml:space="preserve"> буду защищать такое мнение, что отсутствие демонстраций во Франции является позором. Мы не имеем пока никаких данных о том, были ли какие-нибудь выступления во Франции со стороны транспортников, матросов, со стороны солдат, со стороны молодежи. Об этом пока никаких данных нет. Это нам надо со всей силой подчеркнуть. Таким образом, оценка кампании во Франции приводит нас к самому пессимистическому выводу.</w:t>
      </w:r>
    </w:p>
    <w:p w14:paraId="237F6722"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Относительно Англии. Там план был такой, когда мы увидели его в газетах, мы были обрадованы. Там был план провести 15 митингов по стране. Однако, в отчете, который у меня лежит, не знаю, кто его писал, он представлен на русском языке, видно, что этот план провалился. Нужно сказать, что там было, кажется, воззвание Центрального Комитета и общества друзей с призывом к демонстрации, но на это воззвание ни один рабочий не откликнулся. А те собрания, которые были, их было, во-первых, числом не 15, а, во-вторых, это были жалкие собрания.</w:t>
      </w:r>
    </w:p>
    <w:p w14:paraId="69A436D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lastRenderedPageBreak/>
        <w:t>Теперь относительно Германии. О Германии у нас нет очень точных данных, но все-таки, очевидно, что десятки, если не больше, собраний и митингов откликнулись на эту кампанию. Были ли демонстрации, я не знаю.</w:t>
      </w:r>
    </w:p>
    <w:p w14:paraId="5BD834B0"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Товарищи, какие выводы можно сделать сегодня? В области собраний и митингов надо сказать, что больше половины, больше 50% этих собраний и митингов были собраниями и митингами созванными по другому поводу, но в порядке дня которых стоял и вопрос об интервенции. Это тоже неплохо, но специальной кампании не было. То, что я видела в отчете германского Агитпропа, говорит о том, что эту кампанию считали кампанией между прочим, эту кампанию считали пристегнутой к другим кампаниям. В докладе АПО КПГ говорится, что кампанию процесса мы связали с кампанией 7-го ноября и там освещали вопрос о войне. Очевидно, конечно, что Германия не стоит в центре антисоветского похода. Это ясно. Она, может быть, будет помогать империалистам, я думаю, что она будет помогать, но она не стоит в центре антисоветского похода. Но нельзя недооценивать роли Германии в этой кампании. Это было бы большой ошибкой. Прежде всего, массы не предупреждены о военной опасности, мы видим, что в Германии, очевидно, не только широкие массы не видят военной опасности, но и коммунисты не видят ее, они свой план построили так, что у нас создалось впечатление, что они этой военной опасности не видят. Относительно откликов надо сказать, что их было много и в Берлине, и в других местах. И в Гамбурге, и в Эссене, и в других районах мы всюду видим, что принимаются резолюции.</w:t>
      </w:r>
    </w:p>
    <w:p w14:paraId="106A1D5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Относительно Соединенных Штатов Северной Америки имеется глухая заметка о том, что в Вашингтоне была демонстрация. В печати кампания велась очень ярко, а относительно массовых акций мы знаем очень мало. Еще менее утешительного мы знаем о других странах. В Австрии было собрание социал-демократов. Есть непроверенные сведения и тов. &lt;...&gt; нам сегодня скажет правильно ли это, что в Роттердаме 3.500 человек безработных были на одном собрании, и к ним пришли работающие рабочие. Но был ли действительно такой факт или нет я не знаю. В Норвегии в трех городах были собрания: в Бергене, в Христиании и &lt;...&gt;. Но ясно, что так как печать не вела кампании, то трудно было ожидать больших массовых акций. Во всех этих странах ничего не говорится о главных слоях рабочего класса, которые должны были в первую голову откликнуться на эту кампанию, — о транспортниках, матросах, солдатах и т. д. Об этом у нас ничего нет. Если мы будем говорить об этих акциях, как демонстрации, то у нас есть следующие факты. Была одна демонстрация в Польше, это единственное, что мы знаем, т. е. в самых трудных условиях одна демонстрация была. Это объясняется традицией. Может быть[,] была или не была, и какой величины, мы тоже не знаем, демонстрация в Вашингтоне. В </w:t>
      </w:r>
      <w:proofErr w:type="spellStart"/>
      <w:r w:rsidRPr="007122AB">
        <w:rPr>
          <w:color w:val="000000" w:themeColor="text1"/>
          <w:sz w:val="16"/>
          <w:szCs w:val="16"/>
        </w:rPr>
        <w:t>Чехо</w:t>
      </w:r>
      <w:proofErr w:type="spellEnd"/>
      <w:r w:rsidRPr="007122AB">
        <w:rPr>
          <w:color w:val="000000" w:themeColor="text1"/>
          <w:sz w:val="16"/>
          <w:szCs w:val="16"/>
        </w:rPr>
        <w:t xml:space="preserve">-Словакии были три демонстрации и очевидно была маленькая демонстрация в гор. </w:t>
      </w:r>
      <w:proofErr w:type="spellStart"/>
      <w:r w:rsidRPr="007122AB">
        <w:rPr>
          <w:color w:val="000000" w:themeColor="text1"/>
          <w:sz w:val="16"/>
          <w:szCs w:val="16"/>
        </w:rPr>
        <w:t>Велянсьене</w:t>
      </w:r>
      <w:proofErr w:type="spellEnd"/>
      <w:r w:rsidRPr="007122AB">
        <w:rPr>
          <w:color w:val="000000" w:themeColor="text1"/>
          <w:sz w:val="16"/>
          <w:szCs w:val="16"/>
        </w:rPr>
        <w:t xml:space="preserve"> во Франции.</w:t>
      </w:r>
    </w:p>
    <w:p w14:paraId="51F3EDBD"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Таким образом, если подвести итог, то надо сказать, что в отношении массовых акций мы имеем колоссальную диспропорцию между нашими усилиями и результатами. Это нужно указать, потому что хотя и с недостатками, но была развернута большая кампания в печати, которая должна была вызвать какую-то более или менее широкую массовую волну, но этого мы не видим. Массовое волнение и возмущение не вышло дальше рамок митингов и собраний. Между тем эта кампания требовала исключительной интенсивности. Это тоже говорит, конечно, о недооценке кампании. Если взять Францию, то это сказывается и в следующем, что там считают эту сторону вообще неважной. Мы послали туда наш издательский план книг, которые у нас издаются, находятся в печати. И мы получили оттуда из издательства письмо, где в семи или восьми пунктах по поводу каждой брошюры доказывается, что она не нужна, причем ссылаются на то, что они выпустили краткий обвинительный акт и полный обвинительный акт с иллюстрациями и опубликовали маленькую книжку, кажется, очень ударную, я ее не читала. И на этом основании они считают не нужным издавать всю эту литературу. Я понимаю, если бы они, учитывая непривычку французских читателей к толстым книжкам, отказались бы от некоторых больших трудов, но они отказываются от всех брошюр. ЦК французской компартии придется обратить на это самое серьезное внимание. Я делаю такой вывод, что экзамен на подвижность, на эластичность, на умение откликаться на величайшие события, а эта кампания есть репетиция, как мы встретим войну, что партии этот экзамен не выдержали, они недооценили эту кампанию и они не постарались использовать этот процесс, все вскрытые им факты, чтобы довести их до сведения более широких масс, чем те, которые мы обслуживали всегда. Конечно, тираж некоторых изданий повысился. Мы знаем про наши нелегальные страны, что там было издано огромное количество массовых изданий. Это надо отметить, как некоторый плюс. Но главная задача этого процесса была показать массам, что эта интервенция будет. Вот эта цель пока </w:t>
      </w:r>
      <w:proofErr w:type="spellStart"/>
      <w:r w:rsidRPr="007122AB">
        <w:rPr>
          <w:color w:val="000000" w:themeColor="text1"/>
          <w:sz w:val="16"/>
          <w:szCs w:val="16"/>
        </w:rPr>
        <w:t>недостигнута</w:t>
      </w:r>
      <w:proofErr w:type="spellEnd"/>
      <w:r w:rsidRPr="007122AB">
        <w:rPr>
          <w:color w:val="000000" w:themeColor="text1"/>
          <w:sz w:val="16"/>
          <w:szCs w:val="16"/>
        </w:rPr>
        <w:t>, и это нам подсказывает, что надо делать дальше.</w:t>
      </w:r>
    </w:p>
    <w:p w14:paraId="15F45DC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Я кратко скажу, что мы ждем от ваших выступлений. Представители партий кое-что должны сказать о директивах, массовые организации не должны тратить время на директивы, ибо мы уже их изучали. Главное дать нам следующие данные — как вообще в прессе отразились главные задачи процесса, фактическая сторона, борьба с противниками, в особенности со II-м Интернационалом, как отразилась эта кампания в печати массовых организаций и все, что вы знаете относительно выступлений масс, относительно митингов, собраний и демонстраций. Затем мы хотели бы, чтобы вы здесь более подробно, чем это сделано в докладах, выявили конкретные ошибки. В особенности мы ждем в первую голову выступления представителей парти[й], а представителям массовых организаций мы дадим слово во вторую очередь. Мы, может быть, нащупаем здесь истинную причину того, почему эта кампания дала такие жалкие результаты. Одна из причин это то, что в некоторых странах проводились другие важнейшие кампании, но это причина не единственная. Затем мы ждем от вас внесения некоторых конкретных предложений, что мы должны предложить </w:t>
      </w:r>
      <w:proofErr w:type="spellStart"/>
      <w:r w:rsidRPr="007122AB">
        <w:rPr>
          <w:color w:val="000000" w:themeColor="text1"/>
          <w:sz w:val="16"/>
          <w:szCs w:val="16"/>
        </w:rPr>
        <w:t>Политсекретариату</w:t>
      </w:r>
      <w:proofErr w:type="spellEnd"/>
      <w:r w:rsidRPr="007122AB">
        <w:rPr>
          <w:color w:val="000000" w:themeColor="text1"/>
          <w:sz w:val="16"/>
          <w:szCs w:val="16"/>
        </w:rPr>
        <w:t>, кроме того, что вытекает из моего вступительного слова относительно дальнейшего проведения кампании, ибо мы ведем ее и дальше, относительно отдельных мероприятий, которые должны проводить партии в настоящее время.</w:t>
      </w:r>
    </w:p>
    <w:p w14:paraId="5ABE674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МИЛЛЕР</w:t>
      </w:r>
    </w:p>
    <w:p w14:paraId="558CA2F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уже осветила, как прошла кампания после интервенции во Франции. Имеются еще некоторые сведения, которые мы получили недавно. Я несколько дополню то, что сказала 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некоторыми чертами, и отмечу те факты, которые имеются. С точки зрения массовых выступлений, демонстраций во Франции мы не имеем полных сведений, но кое-какие сведения у нас есть. Следует отметить, что наша пресса уделяла совершенно недостаточное внимание массовым выступлениям. Я могу указать на тот факт, что конгресс, который работал в Париже, представлявший 20.000 рабочих, он принял резолюцию по поводу интервенции и процесса, но эта резолюция не была напечатана в «Юманите». Этот факт следует отметить, он показывает, что редакция «Юманите» не уделяла этому моменту того внимания, которое он заслуживает. В последнее время мы имели в Лионе, в Парижском округе, на фабриках было организовано около 20 митингов, где этот вопрос об интервенции был поставлен. Но в общем, начиная с 15 декабря, мы видим ослабление этой кампании. «Юманите» поместило статью тов. </w:t>
      </w:r>
      <w:proofErr w:type="spellStart"/>
      <w:r w:rsidRPr="007122AB">
        <w:rPr>
          <w:color w:val="000000" w:themeColor="text1"/>
          <w:sz w:val="16"/>
          <w:szCs w:val="16"/>
        </w:rPr>
        <w:t>Кашена</w:t>
      </w:r>
      <w:proofErr w:type="spellEnd"/>
      <w:r w:rsidRPr="007122AB">
        <w:rPr>
          <w:color w:val="000000" w:themeColor="text1"/>
          <w:sz w:val="16"/>
          <w:szCs w:val="16"/>
        </w:rPr>
        <w:t xml:space="preserve">, воззвание и еще несколько статей, но в общем новейшие события, в частности, относительно займа, который был дан Румынии и который должен был быть связан с процессом, не освещались в печати. Как большую ошибку надо отметить, [что] милитаристический парад, посвященный памяти </w:t>
      </w:r>
      <w:proofErr w:type="spellStart"/>
      <w:r w:rsidRPr="007122AB">
        <w:rPr>
          <w:color w:val="000000" w:themeColor="text1"/>
          <w:sz w:val="16"/>
          <w:szCs w:val="16"/>
        </w:rPr>
        <w:t>Жоффра</w:t>
      </w:r>
      <w:proofErr w:type="spellEnd"/>
      <w:r w:rsidRPr="007122AB">
        <w:rPr>
          <w:color w:val="000000" w:themeColor="text1"/>
          <w:sz w:val="16"/>
          <w:szCs w:val="16"/>
        </w:rPr>
        <w:t>, не был связан с московским процессом и интервенцией. «Юманите» не обратило на это должного внимания. Как общую характеристику, можно сказать, что французская партия недооценила этой кампании, недооценила опасности войны, и резолюция Политбюро ЦК КП Франции, опубликованная 20 декабря п[</w:t>
      </w:r>
      <w:proofErr w:type="spellStart"/>
      <w:r w:rsidRPr="007122AB">
        <w:rPr>
          <w:color w:val="000000" w:themeColor="text1"/>
          <w:sz w:val="16"/>
          <w:szCs w:val="16"/>
        </w:rPr>
        <w:t>рошлого</w:t>
      </w:r>
      <w:proofErr w:type="spellEnd"/>
      <w:r w:rsidRPr="007122AB">
        <w:rPr>
          <w:color w:val="000000" w:themeColor="text1"/>
          <w:sz w:val="16"/>
          <w:szCs w:val="16"/>
        </w:rPr>
        <w:t xml:space="preserve">] г[ода], вопрос об этой опасности не только не выпячивает, но ему уделяется недостаточное внимание. Массовые выступления после окончания процесса все более ослабевают после блестящей прессовой кампании, которую вело «Юманите». С точки зрения идеологической 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уже подчеркнула важнейшие ошибки, что, главным образом, подчеркивалась необходимость расстрела контрреволюционеров, что говорилось много о силе Красной армии и не уделялось достаточное внимание роли международного пролетариата, в частности, французского пролетариата. Потом это было исправлено, но все-таки такие ошибки еще отмечались. Так, например, в связи с приговором, который вызвал большую реакцию у французских рабочих. Они не поняли, почему была отменена смертная казнь, и это не было достаточно объяснено. Тов. </w:t>
      </w:r>
      <w:proofErr w:type="spellStart"/>
      <w:r w:rsidRPr="007122AB">
        <w:rPr>
          <w:color w:val="000000" w:themeColor="text1"/>
          <w:sz w:val="16"/>
          <w:szCs w:val="16"/>
        </w:rPr>
        <w:t>Кашен</w:t>
      </w:r>
      <w:proofErr w:type="spellEnd"/>
      <w:r w:rsidRPr="007122AB">
        <w:rPr>
          <w:color w:val="000000" w:themeColor="text1"/>
          <w:sz w:val="16"/>
          <w:szCs w:val="16"/>
        </w:rPr>
        <w:t xml:space="preserve"> в одной статье объяснял так, что нечего применять такую суровую меру, что в Советском Союзе есть новая религия, которая выражается в энтузиазме социалистического строительства и которая не требует смерти. Потом он пишет, что Коммунистический Интернационал знает, что он делает, что надо иметь к нему полное доверие. Главнейшее в отношении прессовой кампании это то, что не было достаточной полемики с буржуазной прессой, </w:t>
      </w:r>
      <w:proofErr w:type="spellStart"/>
      <w:r w:rsidRPr="007122AB">
        <w:rPr>
          <w:color w:val="000000" w:themeColor="text1"/>
          <w:sz w:val="16"/>
          <w:szCs w:val="16"/>
        </w:rPr>
        <w:t>социалфашистской</w:t>
      </w:r>
      <w:proofErr w:type="spellEnd"/>
      <w:r w:rsidRPr="007122AB">
        <w:rPr>
          <w:color w:val="000000" w:themeColor="text1"/>
          <w:sz w:val="16"/>
          <w:szCs w:val="16"/>
        </w:rPr>
        <w:t xml:space="preserve"> прессой и прессой ренегатов. Фактом является, что буржуазная пресса и </w:t>
      </w:r>
      <w:proofErr w:type="spellStart"/>
      <w:r w:rsidRPr="007122AB">
        <w:rPr>
          <w:color w:val="000000" w:themeColor="text1"/>
          <w:sz w:val="16"/>
          <w:szCs w:val="16"/>
        </w:rPr>
        <w:t>социалфашистская</w:t>
      </w:r>
      <w:proofErr w:type="spellEnd"/>
      <w:r w:rsidRPr="007122AB">
        <w:rPr>
          <w:color w:val="000000" w:themeColor="text1"/>
          <w:sz w:val="16"/>
          <w:szCs w:val="16"/>
        </w:rPr>
        <w:t xml:space="preserve"> пресса, которая вначале хотела совершенно замолчать этот процесс, потом посвятила ему достаточно много внимания. «</w:t>
      </w:r>
      <w:proofErr w:type="spellStart"/>
      <w:r w:rsidRPr="007122AB">
        <w:rPr>
          <w:color w:val="000000" w:themeColor="text1"/>
          <w:sz w:val="16"/>
          <w:szCs w:val="16"/>
        </w:rPr>
        <w:t>Популар</w:t>
      </w:r>
      <w:proofErr w:type="spellEnd"/>
      <w:r w:rsidRPr="007122AB">
        <w:rPr>
          <w:color w:val="000000" w:themeColor="text1"/>
          <w:sz w:val="16"/>
          <w:szCs w:val="16"/>
        </w:rPr>
        <w:t xml:space="preserve">» — центральный орган </w:t>
      </w:r>
      <w:proofErr w:type="spellStart"/>
      <w:r w:rsidRPr="007122AB">
        <w:rPr>
          <w:color w:val="000000" w:themeColor="text1"/>
          <w:sz w:val="16"/>
          <w:szCs w:val="16"/>
        </w:rPr>
        <w:t>социалфашистов</w:t>
      </w:r>
      <w:proofErr w:type="spellEnd"/>
      <w:r w:rsidRPr="007122AB">
        <w:rPr>
          <w:color w:val="000000" w:themeColor="text1"/>
          <w:sz w:val="16"/>
          <w:szCs w:val="16"/>
        </w:rPr>
        <w:t xml:space="preserve"> — опубликовал целый ряд статей, доказывая, что весь процесс является выдумкой, что Рамзин является агентом ОГПУ, что все его выступления заранее согласованы, говорилось о том, что во всем этом деле видна рука Муссолини, что Рамзин является его союзником, что этот процесс выдуман для того, чтобы снять ответственность за &lt;возможный&gt; разрыв дипломатических сношений с Францией. На все это не было достаточного ответа в нашей прессе, не было разоблачений сущности всей этой клеветы. Я отмечу, что орган рабоче-крестьянской партии «...», издаваемый ренегатом, исключенным в прошлом году из компартии, занял в отношении процесса совершенно контрреволюционную позицию. Они говорили, что Рамзин является агентом Кремля, Коминтерна и наши партийные товарищи, в частности, депутаты муниципальных советов, не дали соответствующего ответа, соответствующего разоблачения всей этой клеветнической кампании. Я уже отметил, что была политическая недооценка, которая теперь все более и более находит свое выражение. Вопрос об интервенции во Франции не становится в центре дня и здесь особенно в этой кампании выявилась организационная слабость партии. Хотя в общем отмечается, что «Юманите» вело правильную политическую линию, но недостаточно развивало эту кампанию. Это особенно относится к провинциальной прессе, которая совершенно недостаточно откликнулась на кампанию. Организационная слабость партии выявилась в том, что партия не сумела раскачаться более продолжительное время. Организационная слабость партии и наших профсоюзов выявилась в том, что демонстрации не приняли массового характера. Нам не удалось развить массовое движение. А главное, не удалось оформить организационно того движения, которое было связано с процессом и которое было несомненно реакцией на процесс, вызванной в рабочем классе Франции. В этом отношении друзья СССР и Франции, по имеющимся у нас сведениям, делают всевозможные оговорки, но несомненным является, что они недостаточно использовали эту кампанию для организационного усиления общества «Друзей СССР». Дальше — вопрос об увязке с этой кампанией, с теми кампаниями, которые одновременно происходили. Во Франции было две крайности. Или обращали все внимание на происходящую массовую кампанию, на борьбу с безработицей и т. д., или, с другой стороны, вся кампания была связана с процессом и совершенно не связывалась с актуальной ежедневной борьбой рабочего класса. Это неумение увязать кампанию с актуальнейшими вопросами борьбы, является слабостью французской компартии. В последнее время в «Юманите» ничего не печатается о процессе. Несмотря на то, что были посланы специальные статьи по этому вопросу, мы видим, что кампания там была кончена.</w:t>
      </w:r>
    </w:p>
    <w:p w14:paraId="0F5418CD"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 Бельгии кампания была значительно слабее развита. Я дам маленькую иллюстрацию. 21 ноября появилась маленькая телеграмма </w:t>
      </w:r>
      <w:proofErr w:type="spellStart"/>
      <w:r w:rsidRPr="007122AB">
        <w:rPr>
          <w:color w:val="000000" w:themeColor="text1"/>
          <w:sz w:val="16"/>
          <w:szCs w:val="16"/>
        </w:rPr>
        <w:t>ТАССа</w:t>
      </w:r>
      <w:proofErr w:type="spellEnd"/>
      <w:r w:rsidRPr="007122AB">
        <w:rPr>
          <w:color w:val="000000" w:themeColor="text1"/>
          <w:sz w:val="16"/>
          <w:szCs w:val="16"/>
        </w:rPr>
        <w:t xml:space="preserve">, на следующий день передовой статьи не было, а статья из Москвы была опубликована на совершенно несоответствующем месте и, главное, там не было увязки с повседневной борьбой. Там вопрос о процессе стоял на втором плане. На первом плане освещался вопрос о том, что происходит в Бельгии. Там в это время было отравление большого </w:t>
      </w:r>
      <w:r w:rsidRPr="007122AB">
        <w:rPr>
          <w:color w:val="000000" w:themeColor="text1"/>
          <w:sz w:val="16"/>
          <w:szCs w:val="16"/>
        </w:rPr>
        <w:lastRenderedPageBreak/>
        <w:t>количества рабочих на заводе, производящем ядовитые газы. Эта кампания была поставлена в центре, а о процессе давалось две-три строчки. Теперь относительно дальнейшей кампании партии, как она развивается в смысле актуализации этого процесса и вопроса об интервенции. Мы видим, что этой кампании уделяется недостаточное внимание, к ней относятся как к второстепенной кампании. В выступлении тов. &lt;</w:t>
      </w:r>
      <w:proofErr w:type="spellStart"/>
      <w:r w:rsidRPr="007122AB">
        <w:rPr>
          <w:color w:val="000000" w:themeColor="text1"/>
          <w:sz w:val="16"/>
          <w:szCs w:val="16"/>
        </w:rPr>
        <w:t>Кашена</w:t>
      </w:r>
      <w:proofErr w:type="spellEnd"/>
      <w:r w:rsidRPr="007122AB">
        <w:rPr>
          <w:color w:val="000000" w:themeColor="text1"/>
          <w:sz w:val="16"/>
          <w:szCs w:val="16"/>
        </w:rPr>
        <w:t xml:space="preserve">&gt; в парламенте вопрос об интервенции совершенно не был выдвинут. Тов. </w:t>
      </w:r>
      <w:proofErr w:type="spellStart"/>
      <w:r w:rsidRPr="007122AB">
        <w:rPr>
          <w:color w:val="000000" w:themeColor="text1"/>
          <w:sz w:val="16"/>
          <w:szCs w:val="16"/>
        </w:rPr>
        <w:t>Кашен</w:t>
      </w:r>
      <w:proofErr w:type="spellEnd"/>
      <w:r w:rsidRPr="007122AB">
        <w:rPr>
          <w:color w:val="000000" w:themeColor="text1"/>
          <w:sz w:val="16"/>
          <w:szCs w:val="16"/>
        </w:rPr>
        <w:t xml:space="preserve"> говорил в парламенте о военном бюджете. Он отметил вопрос о займах и там была тоже допущена, до некоторой степени, идеологическая ошибка. Он сказал о том, что эти займы ложатся большой тяжестью на мелких французских рантье, которые теряют все, что они имели, но он не связал вопрос с процессом. Надо сделать такое заключение, что вообще после окончания вопроса французская партия заняла такую позицию, что все это дело уже кончено. Необходимо обратить сугубое внимание партии на то, что вопрос не только не окончен, а что необходимо использовать материалы процесса, чтобы развить дальнейшую кампанию борьбы против подготовки интервенции во Франции, так как буржуазная пресса все более остро ставит вопрос о разрыве сношений с СССР. Как известно, на международной арене все более активно заканчиваются подготовления для нападения на Советский Союз. Троцкисты ведут острую борьбу против интервенции, но они говорят, что этот процесс доказывает правильность их линии, ошибки Сталина и т. д. Следовательно, чтобы ликвидировать эту опасность интервенции, нужно изменить внутренний режим в СССР. Что касается СЖТЮ, то она замалчивает процесс.</w:t>
      </w:r>
    </w:p>
    <w:p w14:paraId="28481FC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БУЛЛЕ</w:t>
      </w:r>
    </w:p>
    <w:p w14:paraId="71F6FA30"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Я хочу несколько дополнить сообщение тов. М[и]</w:t>
      </w:r>
      <w:proofErr w:type="spellStart"/>
      <w:r w:rsidRPr="007122AB">
        <w:rPr>
          <w:color w:val="000000" w:themeColor="text1"/>
          <w:sz w:val="16"/>
          <w:szCs w:val="16"/>
        </w:rPr>
        <w:t>ллера</w:t>
      </w:r>
      <w:proofErr w:type="spellEnd"/>
      <w:r w:rsidRPr="007122AB">
        <w:rPr>
          <w:color w:val="000000" w:themeColor="text1"/>
          <w:sz w:val="16"/>
          <w:szCs w:val="16"/>
        </w:rPr>
        <w:t xml:space="preserve"> что было сделано по линии женской печати. Дело в том, что во Франции в органе работниц «Ля </w:t>
      </w:r>
      <w:proofErr w:type="spellStart"/>
      <w:r w:rsidRPr="007122AB">
        <w:rPr>
          <w:color w:val="000000" w:themeColor="text1"/>
          <w:sz w:val="16"/>
          <w:szCs w:val="16"/>
        </w:rPr>
        <w:t>увриер</w:t>
      </w:r>
      <w:proofErr w:type="spellEnd"/>
      <w:r w:rsidRPr="007122AB">
        <w:rPr>
          <w:color w:val="000000" w:themeColor="text1"/>
          <w:sz w:val="16"/>
          <w:szCs w:val="16"/>
        </w:rPr>
        <w:t>» появились только две статьи об интервенции, но они носили информационный характер. Заключение этих двух статей было то, что мы присоединяемся к русским работницам, которые требуют казни для вредителей. Кроме того, во Франции этот вопрос был поставлен на собрании «братского союза против войны», на котором была принята резолюция, напечатанная в нашей «Правде». Больше никаких сведений у нас нет, как проводилась эта кампания среди работниц.</w:t>
      </w:r>
    </w:p>
    <w:p w14:paraId="2AE903C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(Голос с места: «Что думают рабочие теперь об интервенции?»)</w:t>
      </w:r>
    </w:p>
    <w:p w14:paraId="48433C1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МИЛЛЕР: Вот как стоит вопрос. Вообще надо отметить некоторый психоз войны. Вся буржуазная и социалистическая пресса все время говорит о войне, войне и войне. Но, конечно, вопрос ставится в разной плоскости. Там пишут, что опасность войны угрожает со стороны и большевизма. Это лейтмотив в настоящее время, причем социалисты развивают колоссальную идеологическую кампанию за разоружение. Конечно, кампания против войны ведется одновременно с кампанией против Советского Союза. Французская печать большое внимание уделяет опасности столкновения между фашизмом и большевизмом. Во Франции была опубликована большая статья в органе «...» под заглавием «Война близка». Конечно, надо признать, что вопросу интервенции уделяется совершенно недостаточное внимание со стороны нашей печати. Я скажу больше, что любой вопрос во Франции сейчас более актуален в глазах рабочих, чем вопрос об интервенции и процессе. «Юманите» расходится в количестве 150-160 тыс. экземпляров, но вы не видите непосредственного сознания, что война с Советским Союзом уже близка, а ослабление кампании действует в том же направлении. Надо сказать, что французские рабочие, в частности, коммунистические, не чувствуют, что опасность войны близка и что на них лежит такая большая ответственность. Что касается Германии, то тут и говорить нечего, там вопрос о войне не стоит на первом месте. Профсоюзная печать совершенно не обращала внимания на вопросы интервенции в связи с процессом. Центральный орган ЦЖТЮ опубликовал несколько статей, а что касается провинциальной печати, то там совершенный скандал. Там были только маленькие статьи. Была опубликована статья относительно коллективизации в СССР, где писалось, что в СССР для среднего крестьянина нет уже исхода, что социалистическое наступление приводит его к крайности и что у него единственный исход это социализация. Само собой разумеется, поставить так вопрос о социализации крестьян, как он поставлен в «Юманите» неправильно. Необходимо отметить еще ослабление антимилитаристической деятельности партии. Конечно, во Франции необходимо сконцентрировать внимание на этом вопросе. Относительно митингов я уже сказала, где они были. Что касается выступления солдат и матросов, то у нас сведений нет. Было собрание в &lt;...&gt;, но это было собрание служащих военных учреждений и были ли там солдаты неизвестно.</w:t>
      </w:r>
    </w:p>
    <w:p w14:paraId="5664304A"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ДИТЕРИХ. (Немецкая стенограмма).</w:t>
      </w:r>
    </w:p>
    <w:p w14:paraId="5C9D7819"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БУЛЛЕ</w:t>
      </w:r>
    </w:p>
    <w:p w14:paraId="20154288"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 Германии получилась такая история, что в германской женской коммунистической прессе процесс совершенно не нашел никакого отражения. Что касается вообще работы среди женщин, то мы имеем сведения только о том, что на II-й </w:t>
      </w:r>
      <w:proofErr w:type="spellStart"/>
      <w:r w:rsidRPr="007122AB">
        <w:rPr>
          <w:color w:val="000000" w:themeColor="text1"/>
          <w:sz w:val="16"/>
          <w:szCs w:val="16"/>
        </w:rPr>
        <w:t>Всегерманской</w:t>
      </w:r>
      <w:proofErr w:type="spellEnd"/>
      <w:r w:rsidRPr="007122AB">
        <w:rPr>
          <w:color w:val="000000" w:themeColor="text1"/>
          <w:sz w:val="16"/>
          <w:szCs w:val="16"/>
        </w:rPr>
        <w:t xml:space="preserve"> конференции женщин была принята резолюция, призывающая к общему возмущению против кампании, направленной против Советского Союза и там было упомянуто о процессе. Как была использована эта конференция, нам еще неизвестно.</w:t>
      </w:r>
    </w:p>
    <w:p w14:paraId="6AA6210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АПЛЕТИН</w:t>
      </w:r>
    </w:p>
    <w:p w14:paraId="024D667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 «</w:t>
      </w:r>
      <w:proofErr w:type="spellStart"/>
      <w:r w:rsidRPr="007122AB">
        <w:rPr>
          <w:color w:val="000000" w:themeColor="text1"/>
          <w:sz w:val="16"/>
          <w:szCs w:val="16"/>
        </w:rPr>
        <w:t>Геверкшафт</w:t>
      </w:r>
      <w:proofErr w:type="spellEnd"/>
      <w:r w:rsidRPr="007122AB">
        <w:rPr>
          <w:color w:val="000000" w:themeColor="text1"/>
          <w:sz w:val="16"/>
          <w:szCs w:val="16"/>
        </w:rPr>
        <w:t>» была только одна статья.</w:t>
      </w:r>
    </w:p>
    <w:p w14:paraId="6E612FD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АРНОТ. (Французская стенограмма).</w:t>
      </w:r>
    </w:p>
    <w:p w14:paraId="2175E71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АЛЕКСИС</w:t>
      </w:r>
    </w:p>
    <w:p w14:paraId="432F119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Во-первых, о прессе. У нас в Греции имеется ежедневная газета, в которой были помещены все те телеграммы, которые присылались отсюда. Кроме того, там помещались и телеграммы из других источников, телеграммы буржуазных телеграфных обществ и агентств. Меня поражает то, что в этих телеграммах давалась более или менее объективная картина процесса. Конечно, были моменты и некоторых легких извращений, но в общем давалось содержание речей, выдержки из речей Крыленко и т. д. Относительно увязки всей кампании в прессе 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уже говорила, что одновременно с процессом происходили и другие кампании. В частности у нас происходила кампания против войны, против фашизма и кризиса. Что показывает процесс. Он дал очень серьезный фактический материал для усиления кампании против кризиса, против фашизма и против войны. У нас в это время велась кампания против смертного приговора двум солдатам за коммунистическую агитацию. Почему сейчас в Греции двух солдат приговорили к смертной казни? Именно потому, что подготовляется война, потому что очень близка интервенция.</w:t>
      </w:r>
    </w:p>
    <w:p w14:paraId="7FC24BC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Они могли использовать процесс для усиления этой кампании. Но они, по-моему, очень мало делали с этой точки зрения. Они очень мало увязывали две кампании в прессе и вообще в нашей агитации и пропаганде. Специальных статей по поводу процесса, особенно передовиц, недостаточно. В передовице, в которой говорилось против фашизма и против приговора двух солдат, очень мало говорилось о процессе и опасности прямой интервенции.</w:t>
      </w:r>
    </w:p>
    <w:p w14:paraId="5BE1280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Теперь насчет массовых кампаний. У нас в Пирее в одном из больших городов Греции было закрытое собрание. Там присутствовало более тысячи человек, исключительно рабочих. В поверке дня стоял вопрос о смертном приговоре двум солдатам и вопрос о процессе. Надо сказать, что там на самом деле одно с другим было хорошо увязано. Рабочая публика очень живо интересовалась процессом. Там была принята резолюция против вредителей и против войны. Резолюция эта не имеет ту отрицательную сторону, которая была отмечена в других партиях, там говорится не только о расстреле, но более широко говорится о попытках интервенции. Затем были другие массовые митинги и собрания, которые были созваны не специально в связи с процессом, но на которых тоже говорилось насчет процесса и интервенции. Такие митинги были в Солониках, в Волосе и других городах Греции. Это были разные профсоюзные собрания.</w:t>
      </w:r>
    </w:p>
    <w:p w14:paraId="67C919D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 «У вас там много матросов. Что было сделано в этой области?»)</w:t>
      </w:r>
    </w:p>
    <w:p w14:paraId="28F20928"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Пирея — это первый порт в Греции. Там был митинг матросов, на котором присутствовало много рабочих.</w:t>
      </w:r>
    </w:p>
    <w:p w14:paraId="6855FD26"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 «А там были моряки, вы это знаете?»)</w:t>
      </w:r>
    </w:p>
    <w:p w14:paraId="45DD8EC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Да, были моряки.</w:t>
      </w:r>
    </w:p>
    <w:p w14:paraId="5FBBE27A"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 «О количестве вы не знаете?»)</w:t>
      </w:r>
    </w:p>
    <w:p w14:paraId="45EC4F4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Моряки были, но о количестве я не знаю.</w:t>
      </w:r>
    </w:p>
    <w:p w14:paraId="15A9C19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Мое впечатление такое, что, конечно, наша партия не сделала того, что должна была сделать. Мы всегда говорим об опасности войны и интервенции в общих словах, но даем очень мало конкретного фактического материала. Сейчас у нас в руках были конкретные факты, как подготовляется война и интервенция, но мы очень мало сделали для использования этих конкретных фактов. Это было несомненно недочетом. Второй недостаток то, что партия ограничила эту кампанию только днями процесса. Кампания была начата очень поздно, только за несколько дней. Это тоже и наша вина, потому что отсюда директивы были даны немножко поздно. Необходимо, чтобы Коминтерн посылал свои директивы и указания раньше.</w:t>
      </w:r>
    </w:p>
    <w:p w14:paraId="2C748830"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 «Раньше, чем он знал о процессе?»)</w:t>
      </w:r>
    </w:p>
    <w:p w14:paraId="0D99541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Конечно, нет. Но мы только раскачались в последние дни перед процессом.</w:t>
      </w:r>
    </w:p>
    <w:p w14:paraId="4E3C724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 «По-вашему, о войне мы вообще мало говорили?»)</w:t>
      </w:r>
    </w:p>
    <w:p w14:paraId="7FF8681A"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Нет, не о войне, а я говорю только о процессе.</w:t>
      </w:r>
    </w:p>
    <w:p w14:paraId="77BE9FA2"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Теперь о дальнейшей работе. Я считаю, что необходимо использовать этот колоссальнейший фактический материал в нашей работе. У нас каждый день появляется заметка или передовица, в которой упоминается о процессе, упоминается о том, что дал этот процесс. Таким образом и надо продолжать. Кроме того, можно кампанию 1-го мая специально связать с этим вопросом. Конечно, этот материал можно использовать и до 1-го мая, но потом, в связи с 1-м маем, опять возобновить эту кампанию.</w:t>
      </w:r>
    </w:p>
    <w:p w14:paraId="66FF0329"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(МИЛЛЕР: «Как правые относились к этому?»)</w:t>
      </w:r>
    </w:p>
    <w:p w14:paraId="602918BB"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Сейчас в руководстве партии сидят большинство правых. Я говорю, что не надо ждать до 1-го мая, надо не спать, а работать надо, например, использовать нашу кампанию в борьбе с безработицей, а 1-го мая опять возобновить эту кампанию.</w:t>
      </w:r>
    </w:p>
    <w:p w14:paraId="23A699C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ИСКРОВ</w:t>
      </w:r>
    </w:p>
    <w:p w14:paraId="4966F51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Относительно Болгарии. По вопросу о том, продолжается ли эта кампания или нет, я могу привести такой факт. Там издается серия брошюр, которая несколько опоздала изданием. Наше впечатление, что в смысле печати брошюр кампания продолжается. Эта серия брошюр будет продолжать выходить. Очевидно, имеется в виду издание брошюр с приведением важнейших материалов процесса. Я должен оговориться, что у нас нет полных фактических материалов, но я говорю о </w:t>
      </w:r>
      <w:r w:rsidRPr="007122AB">
        <w:rPr>
          <w:color w:val="000000" w:themeColor="text1"/>
          <w:sz w:val="16"/>
          <w:szCs w:val="16"/>
        </w:rPr>
        <w:lastRenderedPageBreak/>
        <w:t>материалах, которые дает легальная пресса и которые мы успели получить. Относительно специальной кампании, массовой кампании в связи с процессом у нас сведений не имеется. Были ли специальные собрания в связи с процессом? Надо сказать, что вокруг защиты Советского Союза была развернута большая кампания в связи с окружными выборами и с тринадцатой годовщиной пролетарской диктатуры. Во время самих выборов мы имеем все основания сказать, что может быть в этом направлении партией кое-что было сделано. Но последних сведений мы не имеем. 9-го декабря, например, в Софии было общее собрание по текущим вопросам, о современном положении и задачах рабочего класса в данный момент. Это собрание было рабочее, оно было основано нелегальной партией. Там присутствовало человек 1.000. Там была принята резолюция о процессе. Это собрание было использовано для организации демонстрации солидарности рабочих под руководством нашей партии. Затем в Софии 27 ноября была общая стачка угольных рабочих. Собрание, которое было созвано в связи с этой стачкой, было использовано и для этой цели. В речах ораторов имеется упоминание о Советском Союзе, был выдвинут лозунг защиты Советского Союза, но о процессе там не говорилось. Это объясняется может быть тем, что не были еще получены материалы о процессе, а может быть это ошибка, что это собрание не было использовано для заострения этого вопроса.</w:t>
      </w:r>
    </w:p>
    <w:p w14:paraId="0DD6106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Об освещении в нашей собственной прессе я останавливаться не буду, а перейду к легальной прессе. В легальной прессе был дан ряд статей и заметок о процессе. Что касается количества, то по моей оценке на основании тех материалов, которые мы получили, этого было недостаточно. У нас имеется, кроме профсоюзной газеты, газета «Единство», в которой на основании тех номеров, которые мы получили, дается очень мало материала.</w:t>
      </w:r>
    </w:p>
    <w:p w14:paraId="683F57F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(МИЛЛЕР: «Как часто она выходит?»)</w:t>
      </w:r>
    </w:p>
    <w:p w14:paraId="611D984F"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Еженедельная. Затем имеется ежедневная рабочая газета, политическая газета «Эхо». Затем есть еженедельный журнал «Наковальня». Есть орган профсоюзной оппозиции союза железнодорожников, затем профсоюзной оппозиции союза учителей и выходит орган молодежи. В смысле количества материалов, по-моему, было недостаточно.</w:t>
      </w:r>
    </w:p>
    <w:p w14:paraId="4768EDC8"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Что можно сказать относительно идеологической выдержанности, как поставила вопрос 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Я отмечу некоторые ошибки. Во-первых, кампания не была достаточно заострена на французском империализме, который стоит во главе интервенции против Советского Союза. Конечно, говорилось о французском империализме, но общее впечатление, что не был достаточно заострен вопрос на французском империализме как зачинщике интервенции. Тот загиб, который отмечается в германской партии, нашел выражение и у нас. В предисловии к серии брошюр говорится, что непременно приговор будет такой, что виновные будут расстреляны, что иначе быть не может. Затем недостаточная увязка этих материалов с остальными вопросами. Это является общим недостатком всей партийной прессы. Я хочу указать конкретно на недостаточную увязку кампании, кампании против фашизма. Первый «Народ», орган социал-демократической партии, начал кампанию, но ему не было дано достаточного отпора. Был дан отпор измышлениям буржуазных агентов относительно восстания в Москве, ареста Сталина и т. д. В «Эхо» была помещена очень выгодная идеологически статья, которая ответила на это клеветническое выступление. Но это был единичный случай. Во всяком случае увязка с другими кампаниями была недостаточная. О приговоре статья была чисто информационного характера в то время, как она должна была бы носить агитационный характер. В журнале «Наковальня» была дана просто информация о приговоре и относительно решения ЦИКа и ничего больше. Надо здесь отметить ту помощь, которая должна была быть оказана партии со стороны </w:t>
      </w:r>
      <w:proofErr w:type="spellStart"/>
      <w:r w:rsidRPr="007122AB">
        <w:rPr>
          <w:color w:val="000000" w:themeColor="text1"/>
          <w:sz w:val="16"/>
          <w:szCs w:val="16"/>
        </w:rPr>
        <w:t>Загранбюро</w:t>
      </w:r>
      <w:proofErr w:type="spellEnd"/>
      <w:r w:rsidRPr="007122AB">
        <w:rPr>
          <w:color w:val="000000" w:themeColor="text1"/>
          <w:sz w:val="16"/>
          <w:szCs w:val="16"/>
        </w:rPr>
        <w:t xml:space="preserve"> ЦК. В этом отношении давались недостаточные материалы, но насколько были использованы и эти материалы, я сказать не могу потому, что у нас не имеется сведений. Относительно своевременности я тоже сказать не могу. Насколько мне известно, первое письмо было послано перед самым началом процесса. 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говорила об опоздании кампании в других партиях. Я должен сказать, что мы вообще опоздали, поскольку мы начали кампанию только с начала процесса, приблизительно в начале декабря началась кампания по тем сведениям, которые мы могли получить. У нас издается журнал «</w:t>
      </w:r>
      <w:proofErr w:type="spellStart"/>
      <w:r w:rsidRPr="007122AB">
        <w:rPr>
          <w:color w:val="000000" w:themeColor="text1"/>
          <w:sz w:val="16"/>
          <w:szCs w:val="16"/>
        </w:rPr>
        <w:t>Поглед</w:t>
      </w:r>
      <w:proofErr w:type="spellEnd"/>
      <w:r w:rsidRPr="007122AB">
        <w:rPr>
          <w:color w:val="000000" w:themeColor="text1"/>
          <w:sz w:val="16"/>
          <w:szCs w:val="16"/>
        </w:rPr>
        <w:t>», специальный журнал, имеющий целью давать информацию о Советском Союзе, он имеет большое распространение, его тираж, кажется, 16.000. Необходимо тут отметить его роль. Это легальный орган, беспартийный, он специально дает информацию о Советском Союзе и насколько там отразился процесс, я не знаю. Я не получил еще этого журнала.</w:t>
      </w:r>
    </w:p>
    <w:p w14:paraId="1F76FEC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ШИФ. (Немецкая стенограмма).</w:t>
      </w:r>
    </w:p>
    <w:p w14:paraId="3317F79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ДЕФРИС. (Немецкая стенограмма).</w:t>
      </w:r>
    </w:p>
    <w:p w14:paraId="3981847D"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ЯКОБО. (Говорил по-французски, не застенографирован).</w:t>
      </w:r>
    </w:p>
    <w:p w14:paraId="38C4913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w:t>
      </w:r>
    </w:p>
    <w:p w14:paraId="6802E036"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Представители партии закончили свои сообщения. Теперь массовые организации. Кто здесь присутствует? Профинтерн, БОКС, Общество друзей и КИМ. Самый главный Профинтерн, мы его представителю дадим слово, затем представителю друзей СССР, а потом остальным, но только с одной оговоркой, что представители массовых организаций берут слово только в том случае, если у них есть, что сказать о печати и массовых выступлениях, но не о директивах.</w:t>
      </w:r>
    </w:p>
    <w:p w14:paraId="51606889"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АПЛЕТИН</w:t>
      </w:r>
    </w:p>
    <w:p w14:paraId="7A971F5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Я должен сказать, что мы не могли еще сделать сводки выступлений различного рода рабочих организаций и различных групп рабочих по отдельным отраслям производства. Но перечисление этих выступлений у нас имеется, мы не успели их свести, т. е. я не могу еще сказать о том, что металлисты выступали так-то и так-то, транспортники там-то и там-то. Вот этого мы еще не сделали. Но перечисление, какие выступления были по странам, у нас имеется. Я обещаю сделать сводку.</w:t>
      </w:r>
    </w:p>
    <w:p w14:paraId="129A491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Относительно печати. Мы имеем центральную печать. Что касается заводской печати, то мы попытались дать обзор того, что сделано заводской печатью во Франции. Нужно сказать, что мы получили еще очень мало французских заводских газет, но из того количества французских заводских газет, которые мы получили, мы можем установить, что только в одной газете мы имели заметку о процессе. Что касается печати по производствам, то эту печать мы имеем чаще всего месячную, реже — двухнедельную, а в некоторых случаях отдельные номера вышли за два месяца сразу. Что касается печати по производствам, то у нас имелись материалы по таким производствам, как федерация общественных предприятий, федерация связи, союза пищевиков парижского района, федерация парикмахеров, организации медицинских служащих за декабрь и некоторые за ноябрь месяц. Только по этим номерам мы можем пока говорить, потому что январских номеров мы пока не имеем. В журнале «</w:t>
      </w:r>
      <w:proofErr w:type="spellStart"/>
      <w:r w:rsidRPr="007122AB">
        <w:rPr>
          <w:color w:val="000000" w:themeColor="text1"/>
          <w:sz w:val="16"/>
          <w:szCs w:val="16"/>
        </w:rPr>
        <w:t>Акцион</w:t>
      </w:r>
      <w:proofErr w:type="spellEnd"/>
      <w:r w:rsidRPr="007122AB">
        <w:rPr>
          <w:color w:val="000000" w:themeColor="text1"/>
          <w:sz w:val="16"/>
          <w:szCs w:val="16"/>
        </w:rPr>
        <w:t xml:space="preserve">», органе федерации связи за декабрь, органе пищевиков за три номера декабрьских и один январский номер, органе парикмахеров за декабрь, органе медицинских служащих ни одной статьи, ни одного слова нет. В других органах по производствам, в органе федерации печатников и бумажников за ноябрь и декабрь месяц имеется статья «Защитим русскую революцию», в которой даются сведения о процессе, выдержки из показаний Рамзина. Орган союза металлистов парижского района за декабрь и ноябрь больше откликается, чем другие организации. Он дает статью в связи с октябрьской годовщиной «Защита СССР и мобилизация пролетариата». Он дает резолюцию, принятую на митинге металлистов, о защите Советского Союза, от 29 ноября. В органе федерации служащих в декабрьском номере была статья «Экономический кризис развивается», в которой подчеркивается опасность войны против СССР и затем дано 20 строк о процессе. Орган федерации кожевников дает статью «Наш договор соревнования с кожевниками Ленинграда и московский процесс», в которой ставится конкретно задача выполнения пункта договора о защите СССР. Орган федерации деревообделочников январско-февральский номер, они выпустили номер вперед, помещает статью «Защищая СССР, мы боремся против войны». Статья направлена против пацифизма, на защиту СССР. Но никаких конкретных мероприятий, как организовать эту защиту, не указывается. Орган федерации транспортников в декабрьском номере посвящает процессу 5 строчек в передовой статье, посвященной федеральному съезду. Несколько больше процесс освещается в органе союза железнодорожников. Как раз тов. </w:t>
      </w:r>
      <w:proofErr w:type="spellStart"/>
      <w:r w:rsidRPr="007122AB">
        <w:rPr>
          <w:color w:val="000000" w:themeColor="text1"/>
          <w:sz w:val="16"/>
          <w:szCs w:val="16"/>
        </w:rPr>
        <w:t>Гопнер</w:t>
      </w:r>
      <w:proofErr w:type="spellEnd"/>
      <w:r w:rsidRPr="007122AB">
        <w:rPr>
          <w:color w:val="000000" w:themeColor="text1"/>
          <w:sz w:val="16"/>
          <w:szCs w:val="16"/>
        </w:rPr>
        <w:t xml:space="preserve"> интересовалась этим вопросом. Посмотрите, как этот орган организует массы. Там имеется статья тов. </w:t>
      </w:r>
      <w:proofErr w:type="spellStart"/>
      <w:r w:rsidRPr="007122AB">
        <w:rPr>
          <w:color w:val="000000" w:themeColor="text1"/>
          <w:sz w:val="16"/>
          <w:szCs w:val="16"/>
        </w:rPr>
        <w:t>Крапье</w:t>
      </w:r>
      <w:proofErr w:type="spellEnd"/>
      <w:r w:rsidRPr="007122AB">
        <w:rPr>
          <w:color w:val="000000" w:themeColor="text1"/>
          <w:sz w:val="16"/>
          <w:szCs w:val="16"/>
        </w:rPr>
        <w:t>, в которой он пишет: «Мы будем говорить для того, чтобы объявить о своей ненависти к войне...» (читает цитату). А в конце говорится: «Превратим империалистическую войну в гражданскую».</w:t>
      </w:r>
    </w:p>
    <w:p w14:paraId="43F1B96A"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Как это увязывается в их головах, трудно представить. Надо отметить, что этот журнал делает хорошую попытку помещать различные сообщения о письмах железнодорожников с протестом против интервенции против СССР. Эти корреспонденции, если дать им оценку, имеют слишком сентиментальный характер, они очень слабые и, благодаря своей слабости, они не способствуют мобилизации масс на защиту СССР. В январском же номере ничего не говорится о процессе. В органе </w:t>
      </w:r>
      <w:proofErr w:type="spellStart"/>
      <w:r w:rsidRPr="007122AB">
        <w:rPr>
          <w:color w:val="000000" w:themeColor="text1"/>
          <w:sz w:val="16"/>
          <w:szCs w:val="16"/>
        </w:rPr>
        <w:t>Всегерманской</w:t>
      </w:r>
      <w:proofErr w:type="spellEnd"/>
      <w:r w:rsidRPr="007122AB">
        <w:rPr>
          <w:color w:val="000000" w:themeColor="text1"/>
          <w:sz w:val="16"/>
          <w:szCs w:val="16"/>
        </w:rPr>
        <w:t xml:space="preserve"> </w:t>
      </w:r>
      <w:proofErr w:type="spellStart"/>
      <w:r w:rsidRPr="007122AB">
        <w:rPr>
          <w:color w:val="000000" w:themeColor="text1"/>
          <w:sz w:val="16"/>
          <w:szCs w:val="16"/>
        </w:rPr>
        <w:t>профоппозиции</w:t>
      </w:r>
      <w:proofErr w:type="spellEnd"/>
      <w:r w:rsidRPr="007122AB">
        <w:rPr>
          <w:color w:val="000000" w:themeColor="text1"/>
          <w:sz w:val="16"/>
          <w:szCs w:val="16"/>
        </w:rPr>
        <w:t xml:space="preserve"> железнодорожников напечатана очень путаная статья. Эта статья посвящена наводнению. Она дезорганизует массы и не концентрирует внимания на актуальной задаче борьбы с интервенцией, причем в ней не подчеркиваются цели и не указывается, что вопрос об интервенции не снят, что опасность интервенции только отсрочена. Вот этого нет в статье. В этой статье следует отметить такую политическую ошибку. В ней говорится о том, что подсудимые являются организаторами интервенции и не говорится о роли империалистов, в частности и главным образом, французских империалистов, французского генерального штаба в деле подготовки интервенции. Я приведу цитату «...капиталистические наемники из </w:t>
      </w:r>
      <w:proofErr w:type="spellStart"/>
      <w:r w:rsidRPr="007122AB">
        <w:rPr>
          <w:color w:val="000000" w:themeColor="text1"/>
          <w:sz w:val="16"/>
          <w:szCs w:val="16"/>
        </w:rPr>
        <w:t>промпартии</w:t>
      </w:r>
      <w:proofErr w:type="spellEnd"/>
      <w:r w:rsidRPr="007122AB">
        <w:rPr>
          <w:color w:val="000000" w:themeColor="text1"/>
          <w:sz w:val="16"/>
          <w:szCs w:val="16"/>
        </w:rPr>
        <w:t xml:space="preserve">, чтобы Советский Союз оказался обезоруженным и ослабленным ввиду ими же подготовляемой интервенции». Все сваливается на группу </w:t>
      </w:r>
      <w:proofErr w:type="spellStart"/>
      <w:r w:rsidRPr="007122AB">
        <w:rPr>
          <w:color w:val="000000" w:themeColor="text1"/>
          <w:sz w:val="16"/>
          <w:szCs w:val="16"/>
        </w:rPr>
        <w:t>промпартии</w:t>
      </w:r>
      <w:proofErr w:type="spellEnd"/>
      <w:r w:rsidRPr="007122AB">
        <w:rPr>
          <w:color w:val="000000" w:themeColor="text1"/>
          <w:sz w:val="16"/>
          <w:szCs w:val="16"/>
        </w:rPr>
        <w:t xml:space="preserve">. Орган железнодорожников помещает статью, в которой не дает никаких конкретных выводов, а призывает только давать правдивую информацию об СССР. Орган </w:t>
      </w:r>
      <w:proofErr w:type="spellStart"/>
      <w:r w:rsidRPr="007122AB">
        <w:rPr>
          <w:color w:val="000000" w:themeColor="text1"/>
          <w:sz w:val="16"/>
          <w:szCs w:val="16"/>
        </w:rPr>
        <w:t>оппельских</w:t>
      </w:r>
      <w:proofErr w:type="spellEnd"/>
      <w:r w:rsidRPr="007122AB">
        <w:rPr>
          <w:color w:val="000000" w:themeColor="text1"/>
          <w:sz w:val="16"/>
          <w:szCs w:val="16"/>
        </w:rPr>
        <w:t xml:space="preserve"> железнодорожников 17 декабря дает выдержки из речи Крыленко. В этой статье говорится, что процесс уничтожил планы военной интервенции.</w:t>
      </w:r>
    </w:p>
    <w:p w14:paraId="2B62DFBE"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Теперь по поводу центральных органов. Начнем с «Ля </w:t>
      </w:r>
      <w:proofErr w:type="spellStart"/>
      <w:r w:rsidRPr="007122AB">
        <w:rPr>
          <w:color w:val="000000" w:themeColor="text1"/>
          <w:sz w:val="16"/>
          <w:szCs w:val="16"/>
        </w:rPr>
        <w:t>ви</w:t>
      </w:r>
      <w:proofErr w:type="spellEnd"/>
      <w:r w:rsidRPr="007122AB">
        <w:rPr>
          <w:color w:val="000000" w:themeColor="text1"/>
          <w:sz w:val="16"/>
          <w:szCs w:val="16"/>
        </w:rPr>
        <w:t xml:space="preserve"> </w:t>
      </w:r>
      <w:proofErr w:type="spellStart"/>
      <w:r w:rsidRPr="007122AB">
        <w:rPr>
          <w:color w:val="000000" w:themeColor="text1"/>
          <w:sz w:val="16"/>
          <w:szCs w:val="16"/>
        </w:rPr>
        <w:t>увриер</w:t>
      </w:r>
      <w:proofErr w:type="spellEnd"/>
      <w:r w:rsidRPr="007122AB">
        <w:rPr>
          <w:color w:val="000000" w:themeColor="text1"/>
          <w:sz w:val="16"/>
          <w:szCs w:val="16"/>
        </w:rPr>
        <w:t xml:space="preserve">». Газета поместила в общей сложности 8 статей (она выходит еженедельно). Одна из них передовая. И, кроме того, в специальном приложении помещено 8 статей. Газета разъясняет сущность процесса, использует материалы самого процесса, говорит об успехах нашей пятилетки. Как будто бы количественно можно было бы сказать, что она сравнительно удовлетворительно дает материалы. Но если подойти к качеству, насколько достигается задача организации масс, то нужно сказать, что массам разъясняется процесс, но пути, какими должны массы идти массы в борьбе за защиту СССР, в тех статьях, которые имеются у нас, не указывается. Поэтому получается впечатление, что материал имеет информационно-разъяснительный характер, а не агитационный. Германская </w:t>
      </w:r>
      <w:proofErr w:type="spellStart"/>
      <w:r w:rsidRPr="007122AB">
        <w:rPr>
          <w:color w:val="000000" w:themeColor="text1"/>
          <w:sz w:val="16"/>
          <w:szCs w:val="16"/>
        </w:rPr>
        <w:t>профпечать</w:t>
      </w:r>
      <w:proofErr w:type="spellEnd"/>
      <w:r w:rsidRPr="007122AB">
        <w:rPr>
          <w:color w:val="000000" w:themeColor="text1"/>
          <w:sz w:val="16"/>
          <w:szCs w:val="16"/>
        </w:rPr>
        <w:t>. «</w:t>
      </w:r>
      <w:proofErr w:type="spellStart"/>
      <w:r w:rsidRPr="007122AB">
        <w:rPr>
          <w:color w:val="000000" w:themeColor="text1"/>
          <w:sz w:val="16"/>
          <w:szCs w:val="16"/>
        </w:rPr>
        <w:t>Бетриб</w:t>
      </w:r>
      <w:proofErr w:type="spellEnd"/>
      <w:r w:rsidRPr="007122AB">
        <w:rPr>
          <w:color w:val="000000" w:themeColor="text1"/>
          <w:sz w:val="16"/>
          <w:szCs w:val="16"/>
        </w:rPr>
        <w:t xml:space="preserve"> </w:t>
      </w:r>
      <w:proofErr w:type="spellStart"/>
      <w:r w:rsidRPr="007122AB">
        <w:rPr>
          <w:color w:val="000000" w:themeColor="text1"/>
          <w:sz w:val="16"/>
          <w:szCs w:val="16"/>
        </w:rPr>
        <w:t>унд</w:t>
      </w:r>
      <w:proofErr w:type="spellEnd"/>
      <w:r w:rsidRPr="007122AB">
        <w:rPr>
          <w:color w:val="000000" w:themeColor="text1"/>
          <w:sz w:val="16"/>
          <w:szCs w:val="16"/>
        </w:rPr>
        <w:t xml:space="preserve"> </w:t>
      </w:r>
      <w:proofErr w:type="spellStart"/>
      <w:r w:rsidRPr="007122AB">
        <w:rPr>
          <w:color w:val="000000" w:themeColor="text1"/>
          <w:sz w:val="16"/>
          <w:szCs w:val="16"/>
        </w:rPr>
        <w:t>геверкшафт</w:t>
      </w:r>
      <w:proofErr w:type="spellEnd"/>
      <w:r w:rsidRPr="007122AB">
        <w:rPr>
          <w:color w:val="000000" w:themeColor="text1"/>
          <w:sz w:val="16"/>
          <w:szCs w:val="16"/>
        </w:rPr>
        <w:t xml:space="preserve">», центральный орган </w:t>
      </w:r>
      <w:proofErr w:type="spellStart"/>
      <w:r w:rsidRPr="007122AB">
        <w:rPr>
          <w:color w:val="000000" w:themeColor="text1"/>
          <w:sz w:val="16"/>
          <w:szCs w:val="16"/>
        </w:rPr>
        <w:t>профоппозиции</w:t>
      </w:r>
      <w:proofErr w:type="spellEnd"/>
      <w:r w:rsidRPr="007122AB">
        <w:rPr>
          <w:color w:val="000000" w:themeColor="text1"/>
          <w:sz w:val="16"/>
          <w:szCs w:val="16"/>
        </w:rPr>
        <w:t>, поместил только одну статью и то с опозданием. «...» поместил 6 статей, посланных АППО Профинтерна и статью Горького. Эльзасская газета в январском номере поместила одну статью чисто информационного характера.</w:t>
      </w:r>
    </w:p>
    <w:p w14:paraId="0B2E3366"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Теперь по поводу Англии. «</w:t>
      </w:r>
      <w:proofErr w:type="spellStart"/>
      <w:r w:rsidRPr="007122AB">
        <w:rPr>
          <w:color w:val="000000" w:themeColor="text1"/>
          <w:sz w:val="16"/>
          <w:szCs w:val="16"/>
        </w:rPr>
        <w:t>Уоркер</w:t>
      </w:r>
      <w:proofErr w:type="spellEnd"/>
      <w:r w:rsidRPr="007122AB">
        <w:rPr>
          <w:color w:val="000000" w:themeColor="text1"/>
          <w:sz w:val="16"/>
          <w:szCs w:val="16"/>
        </w:rPr>
        <w:t xml:space="preserve">», еженедельный орган движения меньшинства Англии, начал кампанию в защиту СССР с большой статьи «Защищайте Советский Союз», в которой на основе материалов наших советских газет дает информацию о вредительской деятельности </w:t>
      </w:r>
      <w:proofErr w:type="spellStart"/>
      <w:r w:rsidRPr="007122AB">
        <w:rPr>
          <w:color w:val="000000" w:themeColor="text1"/>
          <w:sz w:val="16"/>
          <w:szCs w:val="16"/>
        </w:rPr>
        <w:t>промпартии</w:t>
      </w:r>
      <w:proofErr w:type="spellEnd"/>
      <w:r w:rsidRPr="007122AB">
        <w:rPr>
          <w:color w:val="000000" w:themeColor="text1"/>
          <w:sz w:val="16"/>
          <w:szCs w:val="16"/>
        </w:rPr>
        <w:t xml:space="preserve">, статья помогает массам сделать соответствующие выводы, изучить изменническую деятельность агентов империализма. В пятом номере от декабря специальная страница посвящена процессу, примерно следующего содержания: состав суда, подсудимых, публичный характер процесса, московская демонстрация, роль французского генерального штаба, </w:t>
      </w:r>
      <w:r w:rsidRPr="007122AB">
        <w:rPr>
          <w:color w:val="000000" w:themeColor="text1"/>
          <w:sz w:val="16"/>
          <w:szCs w:val="16"/>
        </w:rPr>
        <w:lastRenderedPageBreak/>
        <w:t>вредительство в металлургической промышленности. В том же номере статья Горького «Если враг не сдается, его уничтожают». В общем из номера в номер дается характеристика подготовляемой интервенции. В одном номере газета специально выступает против буржуазной печати, которая была полна сведениями, как и во всех странах, об аресте Сталина, о восстаниях, которые у нас имеются, она дает опровержения в своей статье. Затем она выступает в связи со статьей Рябушинского, помещенной в «Возрождении». Выступает против «Тан», которая опубликовала статью о русской опасности и т. д.</w:t>
      </w:r>
    </w:p>
    <w:p w14:paraId="06768C73"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ВЫВОДЫ: Несомненно, кампания, которая велась в «</w:t>
      </w:r>
      <w:proofErr w:type="spellStart"/>
      <w:r w:rsidRPr="007122AB">
        <w:rPr>
          <w:color w:val="000000" w:themeColor="text1"/>
          <w:sz w:val="16"/>
          <w:szCs w:val="16"/>
        </w:rPr>
        <w:t>Уоркер</w:t>
      </w:r>
      <w:proofErr w:type="spellEnd"/>
      <w:r w:rsidRPr="007122AB">
        <w:rPr>
          <w:color w:val="000000" w:themeColor="text1"/>
          <w:sz w:val="16"/>
          <w:szCs w:val="16"/>
        </w:rPr>
        <w:t>», имеет &lt;ту&gt; положительную сторону, что она проводится систематически. Когда посмотришь из номера в номер, видно, что имеется система, дается картина вредительства довольно ясная и момент военной опасности. Но тут тот же самый недочет, который имеется в других органах печати — отсутствие связи с конкретной действительностью революционного профдвижения. Правда, нужно иметь ввиду, что революционное движение в Англии чрезвычайно слабо. Движение меньшинства до сих пор не опубликовало даже решений V конгресса Профинтерна и только 3-го января напечатано </w:t>
      </w:r>
      <w:r w:rsidRPr="007122AB">
        <w:rPr>
          <w:color w:val="000000" w:themeColor="text1"/>
          <w:sz w:val="16"/>
          <w:szCs w:val="16"/>
          <w:vertAlign w:val="superscript"/>
        </w:rPr>
        <w:t>2</w:t>
      </w:r>
      <w:r w:rsidRPr="007122AB">
        <w:rPr>
          <w:color w:val="000000" w:themeColor="text1"/>
          <w:sz w:val="16"/>
          <w:szCs w:val="16"/>
        </w:rPr>
        <w:t>/</w:t>
      </w:r>
      <w:r w:rsidRPr="007122AB">
        <w:rPr>
          <w:color w:val="000000" w:themeColor="text1"/>
          <w:sz w:val="16"/>
          <w:szCs w:val="16"/>
          <w:vertAlign w:val="subscript"/>
        </w:rPr>
        <w:t>3</w:t>
      </w:r>
      <w:r w:rsidRPr="007122AB">
        <w:rPr>
          <w:color w:val="000000" w:themeColor="text1"/>
          <w:sz w:val="16"/>
          <w:szCs w:val="16"/>
        </w:rPr>
        <w:t> резолюции, посвященной движению меньшинства. Если учесть эту слабость, то надо сказать, что газета на вопросах интервенции сосредоточила все силы, которые у нее имелись. Но нужно отметить, что она не выступала против лейбористского правительства и вообще против позиции рабочего правительства, маневров левых и т. д.</w:t>
      </w:r>
    </w:p>
    <w:p w14:paraId="0CF6DAB1"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Из Америки мы имеем чрезвычайно мало сведений. «...» выходит очень нерегулярно. В последнем номере, который мы имеем, дается только фотография Крыленко и соответствующая к ней заметка.</w:t>
      </w:r>
    </w:p>
    <w:p w14:paraId="753073A4"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Общий вывод относительно всей профсоюзной печати, который можно сделать, следующий, что работа была, конечно, чрезвычайно недостаточная и в количественном и в качественном отношении. В лучшем случае работа, если говорить об английской и французской печати, в значительной мере сводилась к систематической информации, а некоторые газеты, как видно из примеров, совершенно не поняли значение процесса и допустили целый ряд политических ошибок. Из этого нужно будет сделать соответствующие выводы. У меня имеются еще сведения в отношении отдельных международных комитетов пропаганды и действия, и там картина приблизительно такая же. Причем здесь нужно отметить, что международные комитеты пропаганды, как металлистов, горняков, химиков, интернационал-моряков, транспортников находятся заграницей и они ссылаются на это. Мы их запросили, но еще не могли получить материалов.</w:t>
      </w:r>
    </w:p>
    <w:p w14:paraId="5ED15562"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ГОПНЕР. Есть ли у вас данные о собраниях и митингах, собранных в связи с процессом?</w:t>
      </w:r>
    </w:p>
    <w:p w14:paraId="1FC585B7"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АПЛЕТИН</w:t>
      </w:r>
    </w:p>
    <w:p w14:paraId="77A793A5"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Такие сведения есть, причем речь идет больше о делегатских собраниях и о митингах, на которых тот или другой ответственный товарищ делал доклад. Этот вопрос ставился специально. Я могу вам эти сведения дать в письменном виде.</w:t>
      </w:r>
    </w:p>
    <w:p w14:paraId="72D81CCC" w14:textId="77777777" w:rsidR="00BC2229" w:rsidRPr="007122AB" w:rsidRDefault="00BC2229" w:rsidP="007122AB">
      <w:pPr>
        <w:pStyle w:val="rtejustify"/>
        <w:spacing w:before="0" w:after="0"/>
        <w:rPr>
          <w:color w:val="000000" w:themeColor="text1"/>
          <w:sz w:val="16"/>
          <w:szCs w:val="16"/>
        </w:rPr>
      </w:pPr>
      <w:r w:rsidRPr="007122AB">
        <w:rPr>
          <w:color w:val="000000" w:themeColor="text1"/>
          <w:sz w:val="16"/>
          <w:szCs w:val="16"/>
        </w:rPr>
        <w:t xml:space="preserve">По поводу химиков известно, что генеральный секретарь международного комитета в Германии сделал доклад о вредительстве на расширенном собрании функционеров </w:t>
      </w:r>
      <w:proofErr w:type="spellStart"/>
      <w:r w:rsidRPr="007122AB">
        <w:rPr>
          <w:color w:val="000000" w:themeColor="text1"/>
          <w:sz w:val="16"/>
          <w:szCs w:val="16"/>
        </w:rPr>
        <w:t>профоппозиции</w:t>
      </w:r>
      <w:proofErr w:type="spellEnd"/>
      <w:r w:rsidRPr="007122AB">
        <w:rPr>
          <w:color w:val="000000" w:themeColor="text1"/>
          <w:sz w:val="16"/>
          <w:szCs w:val="16"/>
        </w:rPr>
        <w:t xml:space="preserve">. Германскими химиками была вынесена резолюция протеста против вредительства. Такая же резолюция была вынесена бумажниками Австрии, они тоже относятся к химикам. О </w:t>
      </w:r>
      <w:proofErr w:type="spellStart"/>
      <w:r w:rsidRPr="007122AB">
        <w:rPr>
          <w:color w:val="000000" w:themeColor="text1"/>
          <w:sz w:val="16"/>
          <w:szCs w:val="16"/>
        </w:rPr>
        <w:t>Чехо</w:t>
      </w:r>
      <w:proofErr w:type="spellEnd"/>
      <w:r w:rsidRPr="007122AB">
        <w:rPr>
          <w:color w:val="000000" w:themeColor="text1"/>
          <w:sz w:val="16"/>
          <w:szCs w:val="16"/>
        </w:rPr>
        <w:t>-Словакии сведений нет. Там кампания ведется коммунистической партией и я ничего не могу сказать.</w:t>
      </w:r>
    </w:p>
    <w:p w14:paraId="67D5A1B0" w14:textId="77777777" w:rsidR="00BC2229" w:rsidRPr="007122AB" w:rsidRDefault="00BC2229" w:rsidP="007122AB">
      <w:pPr>
        <w:pStyle w:val="ae"/>
        <w:spacing w:before="0" w:after="0"/>
        <w:jc w:val="both"/>
        <w:rPr>
          <w:color w:val="000000" w:themeColor="text1"/>
          <w:sz w:val="16"/>
          <w:szCs w:val="16"/>
        </w:rPr>
      </w:pPr>
      <w:r w:rsidRPr="007122AB">
        <w:rPr>
          <w:rStyle w:val="af0"/>
          <w:i w:val="0"/>
          <w:color w:val="000000" w:themeColor="text1"/>
          <w:sz w:val="16"/>
          <w:szCs w:val="16"/>
        </w:rPr>
        <w:t>РГАСПИ</w:t>
      </w:r>
      <w:r w:rsidRPr="00F82D59">
        <w:rPr>
          <w:rStyle w:val="af0"/>
          <w:i w:val="0"/>
          <w:color w:val="000000" w:themeColor="text1"/>
          <w:sz w:val="16"/>
          <w:szCs w:val="16"/>
          <w:lang w:val="en-US"/>
        </w:rPr>
        <w:t xml:space="preserve">. </w:t>
      </w:r>
      <w:r w:rsidRPr="007122AB">
        <w:rPr>
          <w:rStyle w:val="af0"/>
          <w:i w:val="0"/>
          <w:color w:val="000000" w:themeColor="text1"/>
          <w:sz w:val="16"/>
          <w:szCs w:val="16"/>
        </w:rPr>
        <w:t>Ф</w:t>
      </w:r>
      <w:r w:rsidRPr="00F82D59">
        <w:rPr>
          <w:rStyle w:val="af0"/>
          <w:i w:val="0"/>
          <w:color w:val="000000" w:themeColor="text1"/>
          <w:sz w:val="16"/>
          <w:szCs w:val="16"/>
          <w:lang w:val="en-US"/>
        </w:rPr>
        <w:t xml:space="preserve">. 495. </w:t>
      </w:r>
      <w:r w:rsidRPr="007122AB">
        <w:rPr>
          <w:rStyle w:val="af0"/>
          <w:i w:val="0"/>
          <w:color w:val="000000" w:themeColor="text1"/>
          <w:sz w:val="16"/>
          <w:szCs w:val="16"/>
          <w:lang w:val="en-US"/>
        </w:rPr>
        <w:t>On</w:t>
      </w:r>
      <w:r w:rsidRPr="00F82D59">
        <w:rPr>
          <w:rStyle w:val="af0"/>
          <w:i w:val="0"/>
          <w:color w:val="000000" w:themeColor="text1"/>
          <w:sz w:val="16"/>
          <w:szCs w:val="16"/>
          <w:lang w:val="en-US"/>
        </w:rPr>
        <w:t xml:space="preserve">. 30. </w:t>
      </w:r>
      <w:r w:rsidRPr="007122AB">
        <w:rPr>
          <w:rStyle w:val="af0"/>
          <w:i w:val="0"/>
          <w:color w:val="000000" w:themeColor="text1"/>
          <w:sz w:val="16"/>
          <w:szCs w:val="16"/>
        </w:rPr>
        <w:t>Д</w:t>
      </w:r>
      <w:r w:rsidRPr="00F82D59">
        <w:rPr>
          <w:rStyle w:val="af0"/>
          <w:i w:val="0"/>
          <w:color w:val="000000" w:themeColor="text1"/>
          <w:sz w:val="16"/>
          <w:szCs w:val="16"/>
          <w:lang w:val="en-US"/>
        </w:rPr>
        <w:t xml:space="preserve">. 706. </w:t>
      </w:r>
      <w:r w:rsidRPr="007122AB">
        <w:rPr>
          <w:rStyle w:val="af0"/>
          <w:i w:val="0"/>
          <w:color w:val="000000" w:themeColor="text1"/>
          <w:sz w:val="16"/>
          <w:szCs w:val="16"/>
        </w:rPr>
        <w:t>Л</w:t>
      </w:r>
      <w:r w:rsidRPr="00F82D59">
        <w:rPr>
          <w:rStyle w:val="af0"/>
          <w:i w:val="0"/>
          <w:color w:val="000000" w:themeColor="text1"/>
          <w:sz w:val="16"/>
          <w:szCs w:val="16"/>
          <w:lang w:val="en-US"/>
        </w:rPr>
        <w:t xml:space="preserve">. 4-40. </w:t>
      </w:r>
      <w:r w:rsidRPr="007122AB">
        <w:rPr>
          <w:rStyle w:val="af0"/>
          <w:i w:val="0"/>
          <w:color w:val="000000" w:themeColor="text1"/>
          <w:sz w:val="16"/>
          <w:szCs w:val="16"/>
        </w:rPr>
        <w:t>Машинописный экземпляр того времени (18904).</w:t>
      </w:r>
    </w:p>
    <w:p w14:paraId="09A8C637" w14:textId="77777777" w:rsidR="00BC2229" w:rsidRPr="007122AB" w:rsidRDefault="00BC2229" w:rsidP="007122AB">
      <w:pPr>
        <w:spacing w:after="0" w:line="240" w:lineRule="auto"/>
        <w:jc w:val="both"/>
        <w:rPr>
          <w:rFonts w:ascii="Times New Roman" w:hAnsi="Times New Roman"/>
          <w:color w:val="000000" w:themeColor="text1"/>
          <w:sz w:val="16"/>
          <w:szCs w:val="16"/>
        </w:rPr>
      </w:pPr>
    </w:p>
    <w:p w14:paraId="2AC8E75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85F2F9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B1C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января 1931 9-й съезд ВЛКСМ вынес постановление о шефстве над ВВС КА. Обратился с призывом: "Комсомолец - на самолет." (438,619).</w:t>
      </w:r>
    </w:p>
    <w:p w14:paraId="1E68E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2AE797" w14:textId="77777777" w:rsidR="00EA061A" w:rsidRPr="009F5089" w:rsidRDefault="00EA061A" w:rsidP="00EA061A">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21 января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IX с</w:t>
      </w:r>
      <w:r>
        <w:rPr>
          <w:rFonts w:ascii="Times New Roman" w:hAnsi="Times New Roman"/>
          <w:color w:val="0070C0"/>
          <w:sz w:val="16"/>
          <w:szCs w:val="16"/>
        </w:rPr>
        <w:t>ъ</w:t>
      </w:r>
      <w:r w:rsidRPr="009F5089">
        <w:rPr>
          <w:rFonts w:ascii="Times New Roman" w:hAnsi="Times New Roman"/>
          <w:color w:val="0070C0"/>
          <w:sz w:val="16"/>
          <w:szCs w:val="16"/>
        </w:rPr>
        <w:t xml:space="preserve">езд </w:t>
      </w:r>
      <w:r>
        <w:rPr>
          <w:rFonts w:ascii="Times New Roman" w:hAnsi="Times New Roman"/>
          <w:color w:val="0070C0"/>
          <w:sz w:val="16"/>
          <w:szCs w:val="16"/>
        </w:rPr>
        <w:t>В</w:t>
      </w:r>
      <w:r w:rsidRPr="009F5089">
        <w:rPr>
          <w:rFonts w:ascii="Times New Roman" w:hAnsi="Times New Roman"/>
          <w:color w:val="0070C0"/>
          <w:sz w:val="16"/>
          <w:szCs w:val="16"/>
        </w:rPr>
        <w:t>ЛКС</w:t>
      </w:r>
      <w:r>
        <w:rPr>
          <w:rFonts w:ascii="Times New Roman" w:hAnsi="Times New Roman"/>
          <w:color w:val="0070C0"/>
          <w:sz w:val="16"/>
          <w:szCs w:val="16"/>
        </w:rPr>
        <w:t>М</w:t>
      </w:r>
      <w:r w:rsidRPr="009F5089">
        <w:rPr>
          <w:rFonts w:ascii="Times New Roman" w:hAnsi="Times New Roman"/>
          <w:color w:val="0070C0"/>
          <w:sz w:val="16"/>
          <w:szCs w:val="16"/>
        </w:rPr>
        <w:t xml:space="preserve"> вынес постановление о принятии </w:t>
      </w:r>
      <w:r>
        <w:rPr>
          <w:rFonts w:ascii="Times New Roman" w:hAnsi="Times New Roman"/>
          <w:color w:val="0070C0"/>
          <w:sz w:val="16"/>
          <w:szCs w:val="16"/>
        </w:rPr>
        <w:t>ш</w:t>
      </w:r>
      <w:r w:rsidRPr="009F5089">
        <w:rPr>
          <w:rFonts w:ascii="Times New Roman" w:hAnsi="Times New Roman"/>
          <w:color w:val="0070C0"/>
          <w:sz w:val="16"/>
          <w:szCs w:val="16"/>
        </w:rPr>
        <w:t>еф</w:t>
      </w:r>
      <w:r>
        <w:rPr>
          <w:rFonts w:ascii="Times New Roman" w:hAnsi="Times New Roman"/>
          <w:color w:val="0070C0"/>
          <w:sz w:val="16"/>
          <w:szCs w:val="16"/>
        </w:rPr>
        <w:t xml:space="preserve">ства </w:t>
      </w:r>
      <w:r w:rsidRPr="009F5089">
        <w:rPr>
          <w:rFonts w:ascii="Times New Roman" w:hAnsi="Times New Roman"/>
          <w:color w:val="0070C0"/>
          <w:sz w:val="16"/>
          <w:szCs w:val="16"/>
        </w:rPr>
        <w:t>над Военно-воздушными силами красной армии.</w:t>
      </w:r>
      <w:r>
        <w:rPr>
          <w:rFonts w:ascii="Times New Roman" w:hAnsi="Times New Roman"/>
          <w:color w:val="0070C0"/>
          <w:sz w:val="16"/>
          <w:szCs w:val="16"/>
        </w:rPr>
        <w:t xml:space="preserve"> </w:t>
      </w:r>
      <w:r w:rsidRPr="009F5089">
        <w:rPr>
          <w:rFonts w:ascii="Times New Roman" w:hAnsi="Times New Roman"/>
          <w:color w:val="0070C0"/>
          <w:sz w:val="16"/>
          <w:szCs w:val="16"/>
        </w:rPr>
        <w:t>С</w:t>
      </w:r>
      <w:r>
        <w:rPr>
          <w:rFonts w:ascii="Times New Roman" w:hAnsi="Times New Roman"/>
          <w:color w:val="0070C0"/>
          <w:sz w:val="16"/>
          <w:szCs w:val="16"/>
        </w:rPr>
        <w:t>ъ</w:t>
      </w:r>
      <w:r w:rsidRPr="009F5089">
        <w:rPr>
          <w:rFonts w:ascii="Times New Roman" w:hAnsi="Times New Roman"/>
          <w:color w:val="0070C0"/>
          <w:sz w:val="16"/>
          <w:szCs w:val="16"/>
        </w:rPr>
        <w:t xml:space="preserve">езд обратился </w:t>
      </w:r>
      <w:r>
        <w:rPr>
          <w:rFonts w:ascii="Times New Roman" w:hAnsi="Times New Roman"/>
          <w:color w:val="0070C0"/>
          <w:sz w:val="16"/>
          <w:szCs w:val="16"/>
        </w:rPr>
        <w:t>к ком</w:t>
      </w:r>
      <w:r w:rsidRPr="009F5089">
        <w:rPr>
          <w:rFonts w:ascii="Times New Roman" w:hAnsi="Times New Roman"/>
          <w:color w:val="0070C0"/>
          <w:sz w:val="16"/>
          <w:szCs w:val="16"/>
        </w:rPr>
        <w:t>со</w:t>
      </w:r>
      <w:r>
        <w:rPr>
          <w:rFonts w:ascii="Times New Roman" w:hAnsi="Times New Roman"/>
          <w:color w:val="0070C0"/>
          <w:sz w:val="16"/>
          <w:szCs w:val="16"/>
        </w:rPr>
        <w:t>м</w:t>
      </w:r>
      <w:r w:rsidRPr="009F5089">
        <w:rPr>
          <w:rFonts w:ascii="Times New Roman" w:hAnsi="Times New Roman"/>
          <w:color w:val="0070C0"/>
          <w:sz w:val="16"/>
          <w:szCs w:val="16"/>
        </w:rPr>
        <w:t xml:space="preserve">ольцам </w:t>
      </w:r>
      <w:r>
        <w:rPr>
          <w:rFonts w:ascii="Times New Roman" w:hAnsi="Times New Roman"/>
          <w:color w:val="0070C0"/>
          <w:sz w:val="16"/>
          <w:szCs w:val="16"/>
        </w:rPr>
        <w:t>с</w:t>
      </w:r>
      <w:r w:rsidRPr="009F5089">
        <w:rPr>
          <w:rFonts w:ascii="Times New Roman" w:hAnsi="Times New Roman"/>
          <w:color w:val="0070C0"/>
          <w:sz w:val="16"/>
          <w:szCs w:val="16"/>
        </w:rPr>
        <w:t xml:space="preserve"> боевым призывом "Комсомолец на самолет!".</w:t>
      </w:r>
      <w:r>
        <w:rPr>
          <w:rFonts w:ascii="Times New Roman" w:hAnsi="Times New Roman"/>
          <w:color w:val="0070C0"/>
          <w:sz w:val="16"/>
          <w:szCs w:val="16"/>
        </w:rPr>
        <w:t xml:space="preserve"> </w:t>
      </w:r>
      <w:r w:rsidRPr="009F5089">
        <w:rPr>
          <w:rFonts w:ascii="Times New Roman" w:hAnsi="Times New Roman"/>
          <w:color w:val="0070C0"/>
          <w:sz w:val="16"/>
          <w:szCs w:val="16"/>
        </w:rPr>
        <w:t>Прика</w:t>
      </w:r>
      <w:r>
        <w:rPr>
          <w:rFonts w:ascii="Times New Roman" w:hAnsi="Times New Roman"/>
          <w:color w:val="0070C0"/>
          <w:sz w:val="16"/>
          <w:szCs w:val="16"/>
        </w:rPr>
        <w:t>зом РВС СССР</w:t>
      </w:r>
      <w:r w:rsidRPr="009F5089">
        <w:rPr>
          <w:rFonts w:ascii="Times New Roman" w:hAnsi="Times New Roman"/>
          <w:color w:val="0070C0"/>
          <w:sz w:val="16"/>
          <w:szCs w:val="16"/>
        </w:rPr>
        <w:t xml:space="preserve"> от 25 января </w:t>
      </w:r>
      <w:r>
        <w:rPr>
          <w:rFonts w:ascii="Times New Roman" w:hAnsi="Times New Roman"/>
          <w:color w:val="0070C0"/>
          <w:sz w:val="16"/>
          <w:szCs w:val="16"/>
        </w:rPr>
        <w:t>№</w:t>
      </w:r>
      <w:r w:rsidRPr="009F5089">
        <w:rPr>
          <w:rFonts w:ascii="Times New Roman" w:hAnsi="Times New Roman"/>
          <w:color w:val="0070C0"/>
          <w:sz w:val="16"/>
          <w:szCs w:val="16"/>
        </w:rPr>
        <w:t xml:space="preserve"> 12 шефство было принято и об</w:t>
      </w:r>
      <w:r>
        <w:rPr>
          <w:rFonts w:ascii="Times New Roman" w:hAnsi="Times New Roman"/>
          <w:color w:val="0070C0"/>
          <w:sz w:val="16"/>
          <w:szCs w:val="16"/>
        </w:rPr>
        <w:t>ъ</w:t>
      </w:r>
      <w:r w:rsidRPr="009F5089">
        <w:rPr>
          <w:rFonts w:ascii="Times New Roman" w:hAnsi="Times New Roman"/>
          <w:color w:val="0070C0"/>
          <w:sz w:val="16"/>
          <w:szCs w:val="16"/>
        </w:rPr>
        <w:t xml:space="preserve">явлено </w:t>
      </w:r>
      <w:r>
        <w:rPr>
          <w:rFonts w:ascii="Times New Roman" w:hAnsi="Times New Roman"/>
          <w:color w:val="0070C0"/>
          <w:sz w:val="16"/>
          <w:szCs w:val="16"/>
        </w:rPr>
        <w:t>ча</w:t>
      </w:r>
      <w:r w:rsidRPr="009F5089">
        <w:rPr>
          <w:rFonts w:ascii="Times New Roman" w:hAnsi="Times New Roman"/>
          <w:color w:val="0070C0"/>
          <w:sz w:val="16"/>
          <w:szCs w:val="16"/>
        </w:rPr>
        <w:t>стям ВВС.</w:t>
      </w:r>
      <w:r>
        <w:rPr>
          <w:rFonts w:ascii="Times New Roman" w:hAnsi="Times New Roman"/>
          <w:color w:val="0070C0"/>
          <w:sz w:val="16"/>
          <w:szCs w:val="16"/>
        </w:rPr>
        <w:t xml:space="preserve"> </w:t>
      </w:r>
      <w:r w:rsidRPr="009F5089">
        <w:rPr>
          <w:rFonts w:ascii="Times New Roman" w:hAnsi="Times New Roman"/>
          <w:color w:val="0070C0"/>
          <w:sz w:val="16"/>
          <w:szCs w:val="16"/>
        </w:rPr>
        <w:t>Свое шефство ВЛКСМ подтвердил делом, направив по</w:t>
      </w:r>
      <w:r>
        <w:rPr>
          <w:rFonts w:ascii="Times New Roman" w:hAnsi="Times New Roman"/>
          <w:color w:val="0070C0"/>
          <w:sz w:val="16"/>
          <w:szCs w:val="16"/>
        </w:rPr>
        <w:t xml:space="preserve"> комсомольским </w:t>
      </w:r>
      <w:r w:rsidRPr="009F5089">
        <w:rPr>
          <w:rFonts w:ascii="Times New Roman" w:hAnsi="Times New Roman"/>
          <w:color w:val="0070C0"/>
          <w:sz w:val="16"/>
          <w:szCs w:val="16"/>
        </w:rPr>
        <w:t>путевкам в школы ВВС тысячи комсомольцев.</w:t>
      </w:r>
      <w:r>
        <w:rPr>
          <w:rFonts w:ascii="Times New Roman" w:hAnsi="Times New Roman"/>
          <w:color w:val="0070C0"/>
          <w:sz w:val="16"/>
          <w:szCs w:val="16"/>
        </w:rPr>
        <w:t xml:space="preserve"> </w:t>
      </w:r>
      <w:r w:rsidRPr="009F5089">
        <w:rPr>
          <w:rFonts w:ascii="Times New Roman" w:hAnsi="Times New Roman"/>
          <w:color w:val="0070C0"/>
          <w:sz w:val="16"/>
          <w:szCs w:val="16"/>
        </w:rPr>
        <w:t>Летчики-</w:t>
      </w:r>
      <w:r>
        <w:rPr>
          <w:rFonts w:ascii="Times New Roman" w:hAnsi="Times New Roman"/>
          <w:color w:val="0070C0"/>
          <w:sz w:val="16"/>
          <w:szCs w:val="16"/>
        </w:rPr>
        <w:t>комсомольцы</w:t>
      </w:r>
      <w:r w:rsidRPr="009F5089">
        <w:rPr>
          <w:rFonts w:ascii="Times New Roman" w:hAnsi="Times New Roman"/>
          <w:color w:val="0070C0"/>
          <w:sz w:val="16"/>
          <w:szCs w:val="16"/>
        </w:rPr>
        <w:t xml:space="preserve"> показывали пример в овладении авиационной техникой, </w:t>
      </w:r>
      <w:r>
        <w:rPr>
          <w:rFonts w:ascii="Times New Roman" w:hAnsi="Times New Roman"/>
          <w:color w:val="0070C0"/>
          <w:sz w:val="16"/>
          <w:szCs w:val="16"/>
        </w:rPr>
        <w:t xml:space="preserve">а в </w:t>
      </w:r>
      <w:r w:rsidRPr="009F5089">
        <w:rPr>
          <w:rFonts w:ascii="Times New Roman" w:hAnsi="Times New Roman"/>
          <w:color w:val="0070C0"/>
          <w:sz w:val="16"/>
          <w:szCs w:val="16"/>
        </w:rPr>
        <w:t xml:space="preserve">годы </w:t>
      </w:r>
      <w:proofErr w:type="spellStart"/>
      <w:r w:rsidRPr="009F5089">
        <w:rPr>
          <w:rFonts w:ascii="Times New Roman" w:hAnsi="Times New Roman"/>
          <w:color w:val="0070C0"/>
          <w:sz w:val="16"/>
          <w:szCs w:val="16"/>
        </w:rPr>
        <w:t>войвы</w:t>
      </w:r>
      <w:proofErr w:type="spellEnd"/>
      <w:r w:rsidRPr="009F5089">
        <w:rPr>
          <w:rFonts w:ascii="Times New Roman" w:hAnsi="Times New Roman"/>
          <w:color w:val="0070C0"/>
          <w:sz w:val="16"/>
          <w:szCs w:val="16"/>
        </w:rPr>
        <w:t xml:space="preserve"> - и образцы беспредельного героизма при защите иго отечества.</w:t>
      </w:r>
    </w:p>
    <w:p w14:paraId="53037D4C" w14:textId="77777777" w:rsidR="00EA061A" w:rsidRDefault="00EA061A" w:rsidP="00EA061A">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ВВФ</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1931</w:t>
      </w:r>
      <w:r>
        <w:rPr>
          <w:rFonts w:ascii="Times New Roman" w:hAnsi="Times New Roman"/>
          <w:color w:val="0070C0"/>
          <w:sz w:val="16"/>
          <w:szCs w:val="16"/>
        </w:rPr>
        <w:t>, № 12</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"Красная звезда" за 25 января 1931 </w:t>
      </w:r>
      <w:r>
        <w:rPr>
          <w:rFonts w:ascii="Times New Roman" w:hAnsi="Times New Roman"/>
          <w:color w:val="0070C0"/>
          <w:sz w:val="16"/>
          <w:szCs w:val="16"/>
        </w:rPr>
        <w:t>г</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47EAA699" w14:textId="77777777" w:rsidR="00EA061A" w:rsidRDefault="00EA061A" w:rsidP="00EA061A">
      <w:pPr>
        <w:spacing w:after="0" w:line="240" w:lineRule="auto"/>
        <w:jc w:val="both"/>
        <w:rPr>
          <w:rFonts w:ascii="Times New Roman" w:hAnsi="Times New Roman"/>
          <w:color w:val="0070C0"/>
          <w:sz w:val="16"/>
          <w:szCs w:val="16"/>
        </w:rPr>
      </w:pPr>
    </w:p>
    <w:p w14:paraId="3958E5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января 1931 г. при авиазаводе №22 в Филях образована летная школа (6395).</w:t>
      </w:r>
    </w:p>
    <w:p w14:paraId="2273E5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AC52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ADB88D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1EA2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января 1931 была одобрена конструкция конической улучшенной башни танка Т-19 под установку спаренного вооружения «немецкого типа» из 37-мм пушки большой мощности ПС-2 и пулемета ДТ. Проектированием башни занимались П. </w:t>
      </w:r>
      <w:proofErr w:type="spellStart"/>
      <w:r w:rsidRPr="007122AB">
        <w:rPr>
          <w:rFonts w:ascii="Times New Roman" w:hAnsi="Times New Roman"/>
          <w:color w:val="000000" w:themeColor="text1"/>
          <w:sz w:val="16"/>
          <w:szCs w:val="16"/>
        </w:rPr>
        <w:t>Сячинтов</w:t>
      </w:r>
      <w:proofErr w:type="spellEnd"/>
      <w:r w:rsidRPr="007122AB">
        <w:rPr>
          <w:rFonts w:ascii="Times New Roman" w:hAnsi="Times New Roman"/>
          <w:color w:val="000000" w:themeColor="text1"/>
          <w:sz w:val="16"/>
          <w:szCs w:val="16"/>
        </w:rPr>
        <w:t xml:space="preserve"> (пушка, прицел и стробоскопи</w:t>
      </w:r>
      <w:r w:rsidRPr="007122AB">
        <w:rPr>
          <w:rFonts w:ascii="Times New Roman" w:hAnsi="Times New Roman"/>
          <w:color w:val="000000" w:themeColor="text1"/>
          <w:sz w:val="16"/>
          <w:szCs w:val="16"/>
        </w:rPr>
        <w:softHyphen/>
        <w:t xml:space="preserve">ческая командирская башенка), А. Александров (установка вооружения и механизмы наводки), В. </w:t>
      </w:r>
      <w:proofErr w:type="spellStart"/>
      <w:r w:rsidRPr="007122AB">
        <w:rPr>
          <w:rFonts w:ascii="Times New Roman" w:hAnsi="Times New Roman"/>
          <w:color w:val="000000" w:themeColor="text1"/>
          <w:sz w:val="16"/>
          <w:szCs w:val="16"/>
        </w:rPr>
        <w:t>Симский</w:t>
      </w:r>
      <w:proofErr w:type="spellEnd"/>
      <w:r w:rsidRPr="007122AB">
        <w:rPr>
          <w:rFonts w:ascii="Times New Roman" w:hAnsi="Times New Roman"/>
          <w:color w:val="000000" w:themeColor="text1"/>
          <w:sz w:val="16"/>
          <w:szCs w:val="16"/>
        </w:rPr>
        <w:t xml:space="preserve"> (общая компоновка) и Д. Ройзман (приспособления и инструмен</w:t>
      </w:r>
      <w:r w:rsidRPr="007122AB">
        <w:rPr>
          <w:rFonts w:ascii="Times New Roman" w:hAnsi="Times New Roman"/>
          <w:color w:val="000000" w:themeColor="text1"/>
          <w:sz w:val="16"/>
          <w:szCs w:val="16"/>
        </w:rPr>
        <w:softHyphen/>
        <w:t>ты). Но на изготовление башни и вооружения средства для нее отпущены не были (10733,170).</w:t>
      </w:r>
    </w:p>
    <w:p w14:paraId="095E89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489E09"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января 1931 по постановлению Президиума ВСНХ СССР институтом для Челябинского трактор</w:t>
      </w:r>
      <w:r w:rsidRPr="007122AB">
        <w:rPr>
          <w:rFonts w:ascii="Times New Roman" w:hAnsi="Times New Roman"/>
          <w:color w:val="000000" w:themeColor="text1"/>
          <w:sz w:val="16"/>
          <w:szCs w:val="16"/>
        </w:rPr>
        <w:softHyphen/>
        <w:t>ного завода начинается выполнение комплекса ра</w:t>
      </w:r>
      <w:r w:rsidRPr="007122AB">
        <w:rPr>
          <w:rFonts w:ascii="Times New Roman" w:hAnsi="Times New Roman"/>
          <w:color w:val="000000" w:themeColor="text1"/>
          <w:sz w:val="16"/>
          <w:szCs w:val="16"/>
        </w:rPr>
        <w:softHyphen/>
        <w:t>бот по переводу бензиновых двигателей Катерпил</w:t>
      </w:r>
      <w:r w:rsidRPr="007122AB">
        <w:rPr>
          <w:rFonts w:ascii="Times New Roman" w:hAnsi="Times New Roman"/>
          <w:color w:val="000000" w:themeColor="text1"/>
          <w:sz w:val="16"/>
          <w:szCs w:val="16"/>
        </w:rPr>
        <w:softHyphen/>
        <w:t>лер и Даймлер-Бенц для работы на нефти (22518).</w:t>
      </w:r>
    </w:p>
    <w:p w14:paraId="66E3A937"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0ADE9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января 1931 г. Приказом № 17 по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7122AB">
        <w:rPr>
          <w:rFonts w:ascii="Times New Roman" w:hAnsi="Times New Roman"/>
          <w:color w:val="000000" w:themeColor="text1"/>
          <w:sz w:val="16"/>
          <w:szCs w:val="16"/>
          <w:lang w:val="en-US"/>
        </w:rPr>
        <w:t>MB</w:t>
      </w:r>
      <w:r w:rsidRPr="007122AB">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xml:space="preserve">,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от было решено приступить к изготовлению компрессорных станций. Для их разработки было создано ПКБ по </w:t>
      </w:r>
      <w:proofErr w:type="spellStart"/>
      <w:r w:rsidRPr="007122AB">
        <w:rPr>
          <w:rFonts w:ascii="Times New Roman" w:hAnsi="Times New Roman"/>
          <w:color w:val="000000" w:themeColor="text1"/>
          <w:sz w:val="16"/>
          <w:szCs w:val="16"/>
        </w:rPr>
        <w:t>компрессоростроению</w:t>
      </w:r>
      <w:proofErr w:type="spellEnd"/>
      <w:r w:rsidRPr="007122AB">
        <w:rPr>
          <w:rFonts w:ascii="Times New Roman" w:hAnsi="Times New Roman"/>
          <w:color w:val="000000" w:themeColor="text1"/>
          <w:sz w:val="16"/>
          <w:szCs w:val="16"/>
        </w:rPr>
        <w:t xml:space="preserve"> (11982).</w:t>
      </w:r>
    </w:p>
    <w:p w14:paraId="192591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3C15F7" w14:textId="77777777" w:rsidR="00F61E12"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923932E" w14:textId="77777777" w:rsidR="00F61E12" w:rsidRPr="007122AB" w:rsidRDefault="00F61E1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D1F526" w14:textId="77777777" w:rsidR="00F61E12" w:rsidRPr="007122AB" w:rsidRDefault="00F61E12"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21 января</w:t>
      </w:r>
      <w:r w:rsidRPr="007122AB">
        <w:rPr>
          <w:rFonts w:ascii="Times New Roman" w:hAnsi="Times New Roman"/>
          <w:color w:val="000000" w:themeColor="text1"/>
          <w:sz w:val="16"/>
          <w:szCs w:val="16"/>
        </w:rPr>
        <w:t xml:space="preserve"> в 1931 году первый полёт прототипа истребителя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«Type 161» «COW </w:t>
      </w:r>
      <w:proofErr w:type="spellStart"/>
      <w:r w:rsidRPr="007122AB">
        <w:rPr>
          <w:rFonts w:ascii="Times New Roman" w:hAnsi="Times New Roman"/>
          <w:color w:val="000000" w:themeColor="text1"/>
          <w:sz w:val="16"/>
          <w:szCs w:val="16"/>
        </w:rPr>
        <w:t>Gun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Fighter</w:t>
      </w:r>
      <w:proofErr w:type="spellEnd"/>
      <w:r w:rsidRPr="007122AB">
        <w:rPr>
          <w:rFonts w:ascii="Times New Roman" w:hAnsi="Times New Roman"/>
          <w:color w:val="000000" w:themeColor="text1"/>
          <w:sz w:val="16"/>
          <w:szCs w:val="16"/>
        </w:rPr>
        <w:t>» («J.9566») (компания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Великобритания). Разработан в рамках создания истребителя бомбардировщиков с тяжелой 37-мм пушкой COW (</w:t>
      </w:r>
      <w:proofErr w:type="spellStart"/>
      <w:r w:rsidRPr="007122AB">
        <w:rPr>
          <w:rFonts w:ascii="Times New Roman" w:hAnsi="Times New Roman"/>
          <w:color w:val="000000" w:themeColor="text1"/>
          <w:sz w:val="16"/>
          <w:szCs w:val="16"/>
        </w:rPr>
        <w:t>Coventry</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Ordnance</w:t>
      </w:r>
      <w:proofErr w:type="spellEnd"/>
      <w:r w:rsidRPr="007122AB">
        <w:rPr>
          <w:rFonts w:ascii="Times New Roman" w:hAnsi="Times New Roman"/>
          <w:color w:val="000000" w:themeColor="text1"/>
          <w:sz w:val="16"/>
          <w:szCs w:val="16"/>
        </w:rPr>
        <w:t xml:space="preserve"> Works) (15016).</w:t>
      </w:r>
    </w:p>
    <w:p w14:paraId="75B67770" w14:textId="77777777" w:rsidR="00F61E12" w:rsidRPr="007122AB" w:rsidRDefault="00F61E12" w:rsidP="007122AB">
      <w:pPr>
        <w:spacing w:after="0" w:line="240" w:lineRule="auto"/>
        <w:jc w:val="both"/>
        <w:rPr>
          <w:rFonts w:ascii="Times New Roman" w:hAnsi="Times New Roman"/>
          <w:color w:val="000000" w:themeColor="text1"/>
          <w:sz w:val="16"/>
          <w:szCs w:val="16"/>
        </w:rPr>
      </w:pPr>
    </w:p>
    <w:p w14:paraId="651C32F9"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января 1931 года — первый полёт истребителя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Type 161. /Великобритания/</w:t>
      </w:r>
    </w:p>
    <w:p w14:paraId="05DC6C6D"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Хотя пушечное вооружение на самолётах появилось ещё во время Первой мировой войны, широкого распространения оно не получило. В 1924 году британское авиационное министерство опубликовало спецификацию F.29/27 на истребитель бомбардировщиков с 37-мм пушкой COW. Одним из проектов по данной спецификации стал Type 161, разработанный компанией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Limited.</w:t>
      </w:r>
    </w:p>
    <w:p w14:paraId="74384FA3"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создании Type 161 конструкторы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вдохновлялись своим успешным истребителем Первой мировой войны — F.B.5 (он же </w:t>
      </w:r>
      <w:proofErr w:type="spellStart"/>
      <w:r w:rsidRPr="007122AB">
        <w:rPr>
          <w:rFonts w:ascii="Times New Roman" w:hAnsi="Times New Roman"/>
          <w:color w:val="000000" w:themeColor="text1"/>
          <w:sz w:val="16"/>
          <w:szCs w:val="16"/>
        </w:rPr>
        <w:t>Gunbus</w:t>
      </w:r>
      <w:proofErr w:type="spellEnd"/>
      <w:r w:rsidRPr="007122AB">
        <w:rPr>
          <w:rFonts w:ascii="Times New Roman" w:hAnsi="Times New Roman"/>
          <w:color w:val="000000" w:themeColor="text1"/>
          <w:sz w:val="16"/>
          <w:szCs w:val="16"/>
        </w:rPr>
        <w:t xml:space="preserve">). В итоге у них получился необычный биплан с толкающим винтом. Установленная в носовой части пушка стреляла вверх под углом в 45°. Т.е. Type 161 должен был лететь ниже своей цели. Двигатель Bristol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VIIF позволял развить скорость до 298 км/ч.</w:t>
      </w:r>
    </w:p>
    <w:p w14:paraId="2F540957"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проблемы с управляемостью. И, хотя после доработок серьёзных замечаний от лётчиков не было, проект в итоге свернули. Построили лишь 1 прототип Type 161 (22300).</w:t>
      </w:r>
    </w:p>
    <w:p w14:paraId="45F72273"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7410EC3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842BC7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441963" w14:textId="77777777" w:rsidR="00F61E12" w:rsidRPr="007122AB" w:rsidRDefault="00F61E12"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22 января</w:t>
      </w:r>
      <w:r w:rsidRPr="007122AB">
        <w:rPr>
          <w:rFonts w:ascii="Times New Roman" w:hAnsi="Times New Roman"/>
          <w:color w:val="000000" w:themeColor="text1"/>
          <w:sz w:val="16"/>
          <w:szCs w:val="16"/>
        </w:rPr>
        <w:t xml:space="preserve"> в 1931 году первый полёт многоцелевого вспомогательного самолета «Bristol» «Type 120» (компания «Bristol», Великобритания). Самолёт был оснащён девятицилиндровым двигателем воздушного охлаждения «Bristol Pegasus» «IM.3» мощностью 650 л.с. Вооружение самолета состояло из синхронизированного переднего 7.7-мм пулемета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установленного сбоку фюзеляжа и подвижного 7.7-мм пулемета «</w:t>
      </w:r>
      <w:proofErr w:type="spellStart"/>
      <w:r w:rsidRPr="007122AB">
        <w:rPr>
          <w:rFonts w:ascii="Times New Roman" w:hAnsi="Times New Roman"/>
          <w:color w:val="000000" w:themeColor="text1"/>
          <w:sz w:val="16"/>
          <w:szCs w:val="16"/>
        </w:rPr>
        <w:t>Lewis</w:t>
      </w:r>
      <w:proofErr w:type="spellEnd"/>
      <w:r w:rsidRPr="007122AB">
        <w:rPr>
          <w:rFonts w:ascii="Times New Roman" w:hAnsi="Times New Roman"/>
          <w:color w:val="000000" w:themeColor="text1"/>
          <w:sz w:val="16"/>
          <w:szCs w:val="16"/>
        </w:rPr>
        <w:t>» в кабине у наблюдателя. Кроме того самолет мог нести две 113-ти килограммовые бомбы. После серии испытаний проект закрыли (15017).</w:t>
      </w:r>
    </w:p>
    <w:p w14:paraId="268EB8BE" w14:textId="77777777" w:rsidR="00F61E12" w:rsidRPr="007122AB" w:rsidRDefault="00F61E12" w:rsidP="007122AB">
      <w:pPr>
        <w:spacing w:after="0" w:line="240" w:lineRule="auto"/>
        <w:jc w:val="both"/>
        <w:rPr>
          <w:rFonts w:ascii="Times New Roman" w:hAnsi="Times New Roman"/>
          <w:color w:val="000000" w:themeColor="text1"/>
          <w:sz w:val="16"/>
          <w:szCs w:val="16"/>
        </w:rPr>
      </w:pPr>
    </w:p>
    <w:p w14:paraId="7467361A"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января 1931 - Первый полет британского многоцелевого вспомогательного самолета Bristol Type 118.</w:t>
      </w:r>
    </w:p>
    <w:p w14:paraId="36936EE5"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 Bristol Type 118 первоначально разрабатывался как двухместный истребитель. Это был биплан с двигателем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XFA мощностью 590 л.с. Вскоре стало ясно, что самолету не удастся превзойти характеристики серийного Bristol </w:t>
      </w:r>
      <w:proofErr w:type="spellStart"/>
      <w:r w:rsidRPr="007122AB">
        <w:rPr>
          <w:rFonts w:ascii="Times New Roman" w:hAnsi="Times New Roman"/>
          <w:color w:val="000000" w:themeColor="text1"/>
          <w:sz w:val="16"/>
          <w:szCs w:val="16"/>
        </w:rPr>
        <w:t>Bulldog</w:t>
      </w:r>
      <w:proofErr w:type="spellEnd"/>
      <w:r w:rsidRPr="007122AB">
        <w:rPr>
          <w:rFonts w:ascii="Times New Roman" w:hAnsi="Times New Roman"/>
          <w:color w:val="000000" w:themeColor="text1"/>
          <w:sz w:val="16"/>
          <w:szCs w:val="16"/>
        </w:rPr>
        <w:t>, да к тому же параллельно уже велись разработки более совершенных машин. Однако работы не были свернуты - было решено переработать проект в многоцелевой вспомогательный армейский самолет. Министерство Авиации Великобритании заказало строительство еще одного прототипа.</w:t>
      </w:r>
    </w:p>
    <w:p w14:paraId="51120CF3"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lastRenderedPageBreak/>
        <w:t xml:space="preserve">Второй, более совершенный экземпляр, оборудованный девятицилиндровым двигателем  воздушного охлаждения Bristol Pegasus IM.3 мощностью 650 л.с., получил обозначение Bristol Type 120.  Вооружение самолета состояло из синхронизированного переднего 7.7-мм пулемета </w:t>
      </w:r>
      <w:proofErr w:type="spellStart"/>
      <w:r w:rsidRPr="007122AB">
        <w:rPr>
          <w:rFonts w:ascii="Times New Roman" w:hAnsi="Times New Roman"/>
          <w:color w:val="000000" w:themeColor="text1"/>
          <w:sz w:val="16"/>
          <w:szCs w:val="16"/>
          <w:shd w:val="clear" w:color="auto" w:fill="FFFFFF"/>
        </w:rPr>
        <w:t>Vickers</w:t>
      </w:r>
      <w:proofErr w:type="spellEnd"/>
      <w:r w:rsidRPr="007122AB">
        <w:rPr>
          <w:rFonts w:ascii="Times New Roman" w:hAnsi="Times New Roman"/>
          <w:color w:val="000000" w:themeColor="text1"/>
          <w:sz w:val="16"/>
          <w:szCs w:val="16"/>
          <w:shd w:val="clear" w:color="auto" w:fill="FFFFFF"/>
        </w:rPr>
        <w:t xml:space="preserve">, установленного сбоку фюзеляжа и подвижного 7.7-мм пулемета </w:t>
      </w:r>
      <w:proofErr w:type="spellStart"/>
      <w:r w:rsidRPr="007122AB">
        <w:rPr>
          <w:rFonts w:ascii="Times New Roman" w:hAnsi="Times New Roman"/>
          <w:color w:val="000000" w:themeColor="text1"/>
          <w:sz w:val="16"/>
          <w:szCs w:val="16"/>
          <w:shd w:val="clear" w:color="auto" w:fill="FFFFFF"/>
        </w:rPr>
        <w:t>Lewis</w:t>
      </w:r>
      <w:proofErr w:type="spellEnd"/>
      <w:r w:rsidRPr="007122AB">
        <w:rPr>
          <w:rFonts w:ascii="Times New Roman" w:hAnsi="Times New Roman"/>
          <w:color w:val="000000" w:themeColor="text1"/>
          <w:sz w:val="16"/>
          <w:szCs w:val="16"/>
          <w:shd w:val="clear" w:color="auto" w:fill="FFFFFF"/>
        </w:rPr>
        <w:t xml:space="preserve"> в кабине у наблюдателя. Кроме того самолет мог нести две 113-ти килограммовые бомбы. Первый полет самолета состоялся 22 января 1931 года.  После серии испытаний проект закрыли</w:t>
      </w:r>
      <w:r w:rsidRPr="007122AB">
        <w:rPr>
          <w:rFonts w:ascii="Times New Roman" w:hAnsi="Times New Roman"/>
          <w:color w:val="000000" w:themeColor="text1"/>
          <w:sz w:val="16"/>
          <w:szCs w:val="16"/>
        </w:rPr>
        <w:t xml:space="preserve"> (22650).</w:t>
      </w:r>
    </w:p>
    <w:p w14:paraId="3C87A43D"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4C5219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января 1931 английские врачи объявили об открытии метода иммунизации против полиомиелита (4962).</w:t>
      </w:r>
    </w:p>
    <w:p w14:paraId="04A290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8392F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1AA6A7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C35BED" w14:textId="77777777" w:rsidR="007E4069" w:rsidRPr="007122AB" w:rsidRDefault="007E4069" w:rsidP="007122AB">
      <w:pPr>
        <w:pStyle w:val="rtejustify"/>
        <w:spacing w:before="0" w:after="0"/>
        <w:rPr>
          <w:color w:val="000000" w:themeColor="text1"/>
          <w:sz w:val="16"/>
          <w:szCs w:val="16"/>
        </w:rPr>
      </w:pPr>
      <w:r w:rsidRPr="007122AB">
        <w:rPr>
          <w:rStyle w:val="af0"/>
          <w:i w:val="0"/>
          <w:color w:val="000000" w:themeColor="text1"/>
          <w:sz w:val="16"/>
          <w:szCs w:val="16"/>
        </w:rPr>
        <w:t>23 января 1931 г. Протокол Реввоенсовета № 6.</w:t>
      </w:r>
      <w:r w:rsidRPr="007122AB">
        <w:rPr>
          <w:color w:val="000000" w:themeColor="text1"/>
          <w:sz w:val="16"/>
          <w:szCs w:val="16"/>
        </w:rPr>
        <w:t xml:space="preserve"> 13. О ходе опытного </w:t>
      </w:r>
      <w:proofErr w:type="spellStart"/>
      <w:r w:rsidRPr="007122AB">
        <w:rPr>
          <w:color w:val="000000" w:themeColor="text1"/>
          <w:sz w:val="16"/>
          <w:szCs w:val="16"/>
        </w:rPr>
        <w:t>самолето</w:t>
      </w:r>
      <w:proofErr w:type="spellEnd"/>
      <w:r w:rsidRPr="007122AB">
        <w:rPr>
          <w:color w:val="000000" w:themeColor="text1"/>
          <w:sz w:val="16"/>
          <w:szCs w:val="16"/>
        </w:rPr>
        <w:t>- и моторостроения (Баранов). 14. Об опытном строительстве гражданской авиации. (Баранов П. И.). 15. Об утверждении технических требований к самолету ТБ</w:t>
      </w:r>
      <w:r w:rsidRPr="007122AB">
        <w:rPr>
          <w:color w:val="000000" w:themeColor="text1"/>
          <w:sz w:val="16"/>
          <w:szCs w:val="16"/>
        </w:rPr>
        <w:noBreakHyphen/>
        <w:t>4 (Баранов П. И.). 16. Включение в план опытного самолетостроения работы конструкторского бюро инженера Калинина (Баранов П. И). 18. Об оставлении в плане С</w:t>
      </w:r>
      <w:r w:rsidRPr="007122AB">
        <w:rPr>
          <w:color w:val="000000" w:themeColor="text1"/>
          <w:sz w:val="16"/>
          <w:szCs w:val="16"/>
        </w:rPr>
        <w:noBreakHyphen/>
        <w:t>30 моторов М</w:t>
      </w:r>
      <w:r w:rsidRPr="007122AB">
        <w:rPr>
          <w:color w:val="000000" w:themeColor="text1"/>
          <w:sz w:val="16"/>
          <w:szCs w:val="16"/>
        </w:rPr>
        <w:noBreakHyphen/>
        <w:t>19 (</w:t>
      </w:r>
      <w:proofErr w:type="spellStart"/>
      <w:r w:rsidRPr="007122AB">
        <w:rPr>
          <w:color w:val="000000" w:themeColor="text1"/>
          <w:sz w:val="16"/>
          <w:szCs w:val="16"/>
        </w:rPr>
        <w:t>Триандафилов</w:t>
      </w:r>
      <w:proofErr w:type="spellEnd"/>
      <w:r w:rsidRPr="007122AB">
        <w:rPr>
          <w:color w:val="000000" w:themeColor="text1"/>
          <w:sz w:val="16"/>
          <w:szCs w:val="16"/>
        </w:rPr>
        <w:t>). (РГВА. Ф. 4. Оп. 18. Д. 20. Л. 38</w:t>
      </w:r>
      <w:r w:rsidRPr="007122AB">
        <w:rPr>
          <w:color w:val="000000" w:themeColor="text1"/>
          <w:sz w:val="16"/>
          <w:szCs w:val="16"/>
        </w:rPr>
        <w:noBreakHyphen/>
        <w:t>39) (12342).</w:t>
      </w:r>
    </w:p>
    <w:p w14:paraId="6EAA873C" w14:textId="77777777" w:rsidR="007E4069" w:rsidRPr="007122AB" w:rsidRDefault="007E4069" w:rsidP="007122AB">
      <w:pPr>
        <w:pStyle w:val="rtejustify"/>
        <w:spacing w:before="0" w:after="0"/>
        <w:rPr>
          <w:color w:val="000000" w:themeColor="text1"/>
          <w:sz w:val="16"/>
          <w:szCs w:val="16"/>
        </w:rPr>
      </w:pPr>
    </w:p>
    <w:p w14:paraId="1F12F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января 1931 года [начальник ВВС].</w:t>
      </w:r>
    </w:p>
    <w:p w14:paraId="35B23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Тезисы доклада</w:t>
      </w:r>
    </w:p>
    <w:p w14:paraId="109E8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РВС по вопросу об авиабомбах</w:t>
      </w:r>
    </w:p>
    <w:p w14:paraId="2CB223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p w14:paraId="4906CA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Обеспеченность ВВС на 1 января 1931 года выражается в создании запаса в 1800 тонн из бомб старых типов, с большими сроками хранения, частично уже негодных.</w:t>
      </w:r>
    </w:p>
    <w:p w14:paraId="248B7F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На 1 мая 1931 года этот запас составляет 12% необходимой 4-х месячной нормы и обеспечивает лишь 3-4 полета ВВС.</w:t>
      </w:r>
    </w:p>
    <w:p w14:paraId="169708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При минимальной потребности ВВС на год ведения войны в 44200 тонн </w:t>
      </w:r>
      <w:proofErr w:type="spellStart"/>
      <w:r w:rsidRPr="007122AB">
        <w:rPr>
          <w:rFonts w:ascii="Times New Roman" w:hAnsi="Times New Roman"/>
          <w:color w:val="000000" w:themeColor="text1"/>
          <w:sz w:val="16"/>
          <w:szCs w:val="16"/>
        </w:rPr>
        <w:t>мобплан</w:t>
      </w:r>
      <w:proofErr w:type="spellEnd"/>
      <w:r w:rsidRPr="007122AB">
        <w:rPr>
          <w:rFonts w:ascii="Times New Roman" w:hAnsi="Times New Roman"/>
          <w:color w:val="000000" w:themeColor="text1"/>
          <w:sz w:val="16"/>
          <w:szCs w:val="16"/>
        </w:rPr>
        <w:t xml:space="preserve"> промышленности С-30 предусматривает подачу лишь 10000 тонн.</w:t>
      </w:r>
    </w:p>
    <w:p w14:paraId="3B26F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Обеспеченность наличных запасов авиабомб взрывателями не превышает 70%.</w:t>
      </w:r>
    </w:p>
    <w:p w14:paraId="607AD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p w14:paraId="63ED5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Единственным выходом из затяжного кризиса с производством авиабомб является немедленное строительство специальных заводов:</w:t>
      </w:r>
    </w:p>
    <w:p w14:paraId="22501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 производству корпусов</w:t>
      </w:r>
    </w:p>
    <w:p w14:paraId="76BDC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 снаряжению авиабомб</w:t>
      </w:r>
    </w:p>
    <w:p w14:paraId="69A4F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 взрывателям.</w:t>
      </w:r>
    </w:p>
    <w:p w14:paraId="779A4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w:t>
      </w:r>
    </w:p>
    <w:p w14:paraId="753F6A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Авиабомбы, принятые системой вооружения, недопустимо медленно внедряются в массовое производство. Заказ 1931 года как по штукам, так и по тоннажу, в основном включает бомбы АО-8, АФ-32 и АФ-82. Зажигательные и светящиеся бомбы из заказа сняты.</w:t>
      </w:r>
    </w:p>
    <w:p w14:paraId="1CE3A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хим. бомб до настоящего времени не вышло из стадии изысканий и опытов.</w:t>
      </w:r>
    </w:p>
    <w:p w14:paraId="649DB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Учитывая крайне слабую обеспеченность ВВС в настоящее время и неудовлетворительные перспективы на 1932 год (не более 20% потребности на развертывание), необходимо предложить начальнику вооружения изыскать все средства для максимального увеличения заказов на авиабомбы в 1931 году, возможно переведя промышленность на военное положение.</w:t>
      </w:r>
    </w:p>
    <w:p w14:paraId="12AAC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также добиться расширения заказов промышленности на новые образцы бомб.</w:t>
      </w:r>
    </w:p>
    <w:p w14:paraId="3DC576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Объем заказов и ассортимент взрывателей по плану 1931 года - неудовлетворителен: не предусмотрена заготовка взрывателей АДЗ и АДП взамен наличных запасов взрывателей, в целях его освежения. Акты осмотра взрывателей свидетельствуют о значительном проценте неисправных взрывателей, не говоря уже о том, что взрыватели АДО (состоящие в </w:t>
      </w:r>
      <w:proofErr w:type="spellStart"/>
      <w:r w:rsidRPr="007122AB">
        <w:rPr>
          <w:rFonts w:ascii="Times New Roman" w:hAnsi="Times New Roman"/>
          <w:color w:val="000000" w:themeColor="text1"/>
          <w:sz w:val="16"/>
          <w:szCs w:val="16"/>
        </w:rPr>
        <w:t>непзапасе</w:t>
      </w:r>
      <w:proofErr w:type="spellEnd"/>
      <w:r w:rsidRPr="007122AB">
        <w:rPr>
          <w:rFonts w:ascii="Times New Roman" w:hAnsi="Times New Roman"/>
          <w:color w:val="000000" w:themeColor="text1"/>
          <w:sz w:val="16"/>
          <w:szCs w:val="16"/>
        </w:rPr>
        <w:t xml:space="preserve"> на 1 января 1931 года) - не дают возможности достаточного использования разрушительного эффекта авиабомб. (3026,13-14).</w:t>
      </w:r>
    </w:p>
    <w:p w14:paraId="5B625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1B99C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BE89A5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7553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января 1931 г. состоялось очередное заседание комиссии под председательством Г. </w:t>
      </w:r>
      <w:proofErr w:type="spellStart"/>
      <w:r w:rsidRPr="007122AB">
        <w:rPr>
          <w:rFonts w:ascii="Times New Roman" w:hAnsi="Times New Roman"/>
          <w:color w:val="000000" w:themeColor="text1"/>
          <w:sz w:val="16"/>
          <w:szCs w:val="16"/>
        </w:rPr>
        <w:t>Бокиса</w:t>
      </w:r>
      <w:proofErr w:type="spellEnd"/>
      <w:r w:rsidRPr="007122AB">
        <w:rPr>
          <w:rFonts w:ascii="Times New Roman" w:hAnsi="Times New Roman"/>
          <w:color w:val="000000" w:themeColor="text1"/>
          <w:sz w:val="16"/>
          <w:szCs w:val="16"/>
        </w:rPr>
        <w:t>. Комиссия дол</w:t>
      </w:r>
      <w:r w:rsidRPr="007122AB">
        <w:rPr>
          <w:rFonts w:ascii="Times New Roman" w:hAnsi="Times New Roman"/>
          <w:color w:val="000000" w:themeColor="text1"/>
          <w:sz w:val="16"/>
          <w:szCs w:val="16"/>
        </w:rPr>
        <w:softHyphen/>
        <w:t>жна была осуществить выбор типа нового танка и опреде</w:t>
      </w:r>
      <w:r w:rsidRPr="007122AB">
        <w:rPr>
          <w:rFonts w:ascii="Times New Roman" w:hAnsi="Times New Roman"/>
          <w:color w:val="000000" w:themeColor="text1"/>
          <w:sz w:val="16"/>
          <w:szCs w:val="16"/>
        </w:rPr>
        <w:softHyphen/>
        <w:t>лить график работ по его изготовлению и освоению вало</w:t>
      </w:r>
      <w:r w:rsidRPr="007122AB">
        <w:rPr>
          <w:rFonts w:ascii="Times New Roman" w:hAnsi="Times New Roman"/>
          <w:color w:val="000000" w:themeColor="text1"/>
          <w:sz w:val="16"/>
          <w:szCs w:val="16"/>
        </w:rPr>
        <w:softHyphen/>
        <w:t>вого производства. На этом совещании против отечественных разработок неожиданно резко выступили представители промышлен</w:t>
      </w:r>
      <w:r w:rsidRPr="007122AB">
        <w:rPr>
          <w:rFonts w:ascii="Times New Roman" w:hAnsi="Times New Roman"/>
          <w:color w:val="000000" w:themeColor="text1"/>
          <w:sz w:val="16"/>
          <w:szCs w:val="16"/>
        </w:rPr>
        <w:softHyphen/>
        <w:t xml:space="preserve">ности (К. </w:t>
      </w:r>
      <w:proofErr w:type="spellStart"/>
      <w:r w:rsidRPr="007122AB">
        <w:rPr>
          <w:rFonts w:ascii="Times New Roman" w:hAnsi="Times New Roman"/>
          <w:color w:val="000000" w:themeColor="text1"/>
          <w:sz w:val="16"/>
          <w:szCs w:val="16"/>
        </w:rPr>
        <w:t>Сиркен</w:t>
      </w:r>
      <w:proofErr w:type="spellEnd"/>
      <w:r w:rsidRPr="007122AB">
        <w:rPr>
          <w:rFonts w:ascii="Times New Roman" w:hAnsi="Times New Roman"/>
          <w:color w:val="000000" w:themeColor="text1"/>
          <w:sz w:val="16"/>
          <w:szCs w:val="16"/>
        </w:rPr>
        <w:t xml:space="preserve"> и Владимиров). Они мотивировали свои выступления тем, что 6-цилиндровый двигатель, преду</w:t>
      </w:r>
      <w:r w:rsidRPr="007122AB">
        <w:rPr>
          <w:rFonts w:ascii="Times New Roman" w:hAnsi="Times New Roman"/>
          <w:color w:val="000000" w:themeColor="text1"/>
          <w:sz w:val="16"/>
          <w:szCs w:val="16"/>
        </w:rPr>
        <w:softHyphen/>
        <w:t>смотренный для установки на Т-19, Т-19 улучшенный, атак-же «танки М.М.», резко усложнит выпуск танков; потребу</w:t>
      </w:r>
      <w:r w:rsidRPr="007122AB">
        <w:rPr>
          <w:rFonts w:ascii="Times New Roman" w:hAnsi="Times New Roman"/>
          <w:color w:val="000000" w:themeColor="text1"/>
          <w:sz w:val="16"/>
          <w:szCs w:val="16"/>
        </w:rPr>
        <w:softHyphen/>
        <w:t>ет дополнительных подгонок в поршневой группе; удоро</w:t>
      </w:r>
      <w:r w:rsidRPr="007122AB">
        <w:rPr>
          <w:rFonts w:ascii="Times New Roman" w:hAnsi="Times New Roman"/>
          <w:color w:val="000000" w:themeColor="text1"/>
          <w:sz w:val="16"/>
          <w:szCs w:val="16"/>
        </w:rPr>
        <w:softHyphen/>
        <w:t>жит производство длинного коленвала, распределительного вала; двойное зажигание потребует двойного комплекта запальных свечей и т.д. С их мнением согласился и пред</w:t>
      </w:r>
      <w:r w:rsidRPr="007122AB">
        <w:rPr>
          <w:rFonts w:ascii="Times New Roman" w:hAnsi="Times New Roman"/>
          <w:color w:val="000000" w:themeColor="text1"/>
          <w:sz w:val="16"/>
          <w:szCs w:val="16"/>
        </w:rPr>
        <w:softHyphen/>
        <w:t xml:space="preserve">ставитель </w:t>
      </w:r>
      <w:proofErr w:type="spellStart"/>
      <w:r w:rsidRPr="007122AB">
        <w:rPr>
          <w:rFonts w:ascii="Times New Roman" w:hAnsi="Times New Roman"/>
          <w:color w:val="000000" w:themeColor="text1"/>
          <w:sz w:val="16"/>
          <w:szCs w:val="16"/>
        </w:rPr>
        <w:t>МобУ</w:t>
      </w:r>
      <w:proofErr w:type="spellEnd"/>
      <w:r w:rsidRPr="007122AB">
        <w:rPr>
          <w:rFonts w:ascii="Times New Roman" w:hAnsi="Times New Roman"/>
          <w:color w:val="000000" w:themeColor="text1"/>
          <w:sz w:val="16"/>
          <w:szCs w:val="16"/>
        </w:rPr>
        <w:t xml:space="preserve"> РККА (10733,171).</w:t>
      </w:r>
    </w:p>
    <w:p w14:paraId="710668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F167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января 1931 состоялось следующее заседание комиссии под председательством начальника </w:t>
      </w:r>
      <w:proofErr w:type="spellStart"/>
      <w:r w:rsidRPr="007122AB">
        <w:rPr>
          <w:rFonts w:ascii="Times New Roman" w:hAnsi="Times New Roman"/>
          <w:color w:val="000000" w:themeColor="text1"/>
          <w:sz w:val="16"/>
          <w:szCs w:val="16"/>
        </w:rPr>
        <w:t>техуправления</w:t>
      </w:r>
      <w:proofErr w:type="spellEnd"/>
      <w:r w:rsidRPr="007122AB">
        <w:rPr>
          <w:rFonts w:ascii="Times New Roman" w:hAnsi="Times New Roman"/>
          <w:color w:val="000000" w:themeColor="text1"/>
          <w:sz w:val="16"/>
          <w:szCs w:val="16"/>
        </w:rPr>
        <w:t xml:space="preserve"> УММ </w:t>
      </w:r>
      <w:proofErr w:type="spellStart"/>
      <w:r w:rsidRPr="007122AB">
        <w:rPr>
          <w:rFonts w:ascii="Times New Roman" w:hAnsi="Times New Roman"/>
          <w:color w:val="000000" w:themeColor="text1"/>
          <w:sz w:val="16"/>
          <w:szCs w:val="16"/>
        </w:rPr>
        <w:t>Бокиса</w:t>
      </w:r>
      <w:proofErr w:type="spellEnd"/>
      <w:r w:rsidRPr="007122AB">
        <w:rPr>
          <w:rFonts w:ascii="Times New Roman" w:hAnsi="Times New Roman"/>
          <w:color w:val="000000" w:themeColor="text1"/>
          <w:sz w:val="16"/>
          <w:szCs w:val="16"/>
        </w:rPr>
        <w:t>, где против отечественных разработок резко выступили представители промышленности.</w:t>
      </w:r>
    </w:p>
    <w:p w14:paraId="5118F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Оригинал протокола РВС СССР, на котором окончательно решался вопрос о принятии на вооружение В-26, пока не найден, но существует письмо-распоряжение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С. Гинзбургу от 26 января 1931 г., которое проливает на многое свет. В нем говорится:</w:t>
      </w:r>
    </w:p>
    <w:p w14:paraId="45B527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51B276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Ворошилов, тов. </w:t>
      </w:r>
      <w:proofErr w:type="spellStart"/>
      <w:r w:rsidRPr="007122AB">
        <w:rPr>
          <w:rFonts w:ascii="Times New Roman" w:hAnsi="Times New Roman"/>
          <w:color w:val="000000" w:themeColor="text1"/>
          <w:sz w:val="16"/>
          <w:szCs w:val="16"/>
        </w:rPr>
        <w:t>Эйдеманн</w:t>
      </w:r>
      <w:proofErr w:type="spellEnd"/>
      <w:r w:rsidRPr="007122AB">
        <w:rPr>
          <w:rFonts w:ascii="Times New Roman" w:hAnsi="Times New Roman"/>
          <w:color w:val="000000" w:themeColor="text1"/>
          <w:sz w:val="16"/>
          <w:szCs w:val="16"/>
        </w:rPr>
        <w:t xml:space="preserve">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46674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02ADB8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96576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BA3CB3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B88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23 и 29 января 1931. Из протокола заседания Политбюро № 24, 1931 г.</w:t>
      </w:r>
    </w:p>
    <w:p w14:paraId="13D9C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экономии газетной бумаги </w:t>
      </w:r>
    </w:p>
    <w:p w14:paraId="25FD7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Признать необходимым прекратить выпуск вкладных листов во всех как в центральных, так и местных газетах, допуская выпуск вкладок лишь в виде исключения, с особого в каждом отдельном случае разрешения ЦК. Иметь в виду необходимость накопления запаса бумаги на расширение газет во время очередного съезда советов. </w:t>
      </w:r>
    </w:p>
    <w:p w14:paraId="0829D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Отменить решение ПБ о вкладном листе газеты "За индустриализацию", предложив ей использовать одну страницу газеты для трактовки вопросов рационализации, технической реконструкции и снижения себестоимости. </w:t>
      </w:r>
    </w:p>
    <w:p w14:paraId="47560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Поручить Оргбюро ЦК направить на бумажные фабрики специальные бригады с заданием поднять производительность труда и увеличить выпуск продукции (11652).</w:t>
      </w:r>
    </w:p>
    <w:p w14:paraId="4AC45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A75AD3" w14:textId="77777777" w:rsidR="00CD2BC2" w:rsidRPr="007122AB" w:rsidRDefault="00CD2BC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23 января 1931 г.</w:t>
      </w:r>
    </w:p>
    <w:p w14:paraId="77545100" w14:textId="77777777" w:rsidR="00CD2BC2" w:rsidRPr="007122AB" w:rsidRDefault="00CD2BC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Заявление в Коллегию ОГПУ Н. А. Доллежаля после окончания следствия по «делу боевой группы». 23 января 1931 г.</w:t>
      </w:r>
    </w:p>
    <w:p w14:paraId="78B472F8" w14:textId="77777777" w:rsidR="00CD2BC2" w:rsidRPr="007122AB" w:rsidRDefault="00CD2BC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3DAB8B9B" w14:textId="77777777" w:rsidR="00CD2BC2" w:rsidRPr="007122AB" w:rsidRDefault="00CD2B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17885B" w14:textId="77777777" w:rsidR="00CD2BC2" w:rsidRPr="007122AB" w:rsidRDefault="00CD2BC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6D6FD1A" w14:textId="77777777" w:rsidR="00CD2BC2" w:rsidRPr="007122AB" w:rsidRDefault="00CD2B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 ФСБ РФ. Ф. Р-42280. Т. 3. Л. 346-348 об.</w:t>
      </w:r>
    </w:p>
    <w:p w14:paraId="50B8939A" w14:textId="77777777" w:rsidR="00CD2BC2" w:rsidRPr="007122AB" w:rsidRDefault="00CD2BC2" w:rsidP="007122AB">
      <w:pPr>
        <w:pStyle w:val="rteright"/>
        <w:spacing w:before="0" w:after="0"/>
        <w:jc w:val="both"/>
        <w:rPr>
          <w:color w:val="000000" w:themeColor="text1"/>
          <w:sz w:val="16"/>
          <w:szCs w:val="16"/>
        </w:rPr>
      </w:pPr>
      <w:r w:rsidRPr="007122AB">
        <w:rPr>
          <w:color w:val="000000" w:themeColor="text1"/>
          <w:sz w:val="16"/>
          <w:szCs w:val="16"/>
        </w:rPr>
        <w:t>23 января 1931 г.</w:t>
      </w:r>
    </w:p>
    <w:p w14:paraId="54036DE2" w14:textId="77777777" w:rsidR="00CD2BC2" w:rsidRPr="007122AB" w:rsidRDefault="00CD2BC2" w:rsidP="007122AB">
      <w:pPr>
        <w:pStyle w:val="ae"/>
        <w:spacing w:before="0" w:after="0"/>
        <w:jc w:val="both"/>
        <w:rPr>
          <w:color w:val="000000" w:themeColor="text1"/>
          <w:sz w:val="16"/>
          <w:szCs w:val="16"/>
        </w:rPr>
      </w:pPr>
      <w:r w:rsidRPr="007122AB">
        <w:rPr>
          <w:color w:val="000000" w:themeColor="text1"/>
          <w:sz w:val="16"/>
          <w:szCs w:val="16"/>
        </w:rPr>
        <w:t>В Коллегию ОГПУ</w:t>
      </w:r>
    </w:p>
    <w:p w14:paraId="229B695F" w14:textId="77777777" w:rsidR="00CD2BC2" w:rsidRPr="007122AB" w:rsidRDefault="00CD2BC2" w:rsidP="007122AB">
      <w:pPr>
        <w:pStyle w:val="ae"/>
        <w:spacing w:before="0" w:after="0"/>
        <w:jc w:val="both"/>
        <w:rPr>
          <w:color w:val="000000" w:themeColor="text1"/>
          <w:sz w:val="16"/>
          <w:szCs w:val="16"/>
        </w:rPr>
      </w:pPr>
      <w:r w:rsidRPr="007122AB">
        <w:rPr>
          <w:color w:val="000000" w:themeColor="text1"/>
          <w:sz w:val="16"/>
          <w:szCs w:val="16"/>
        </w:rPr>
        <w:t>от Доллежаль Николая Антоновича</w:t>
      </w:r>
    </w:p>
    <w:p w14:paraId="3F261510"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В моих показаниях я подробно изложил содержание моей вины перед Советской властью и причины, ее вызвавшие. Настоящим прошу Коллегию ОГПУ при определении мне меры наказания учесть следующее.</w:t>
      </w:r>
    </w:p>
    <w:p w14:paraId="3302DF74"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lastRenderedPageBreak/>
        <w:t xml:space="preserve">Я родился в октябре 1899 года в семье инженера-служащего. Окончив в 1917 году реальное училище в гор. Подольске, я осенью того же года поступил в Московское Высшее Техническое Училище, механический факультет какового и окончил в марте 1923 года. Еще будучи студентом, я работал в различных предприятиях и учреждениях, а именно, в 1918 году на Московско-Курской ж. д. пом. машиниста, а в 1919-1921 [гг.] на сооружении в то время ударного </w:t>
      </w:r>
      <w:proofErr w:type="spellStart"/>
      <w:r w:rsidRPr="007122AB">
        <w:rPr>
          <w:color w:val="000000" w:themeColor="text1"/>
          <w:sz w:val="16"/>
          <w:szCs w:val="16"/>
        </w:rPr>
        <w:t>паровозо</w:t>
      </w:r>
      <w:proofErr w:type="spellEnd"/>
      <w:r w:rsidRPr="007122AB">
        <w:rPr>
          <w:color w:val="000000" w:themeColor="text1"/>
          <w:sz w:val="16"/>
          <w:szCs w:val="16"/>
        </w:rPr>
        <w:t>-ремонтного завода в Подольске в качестве конструктора. Моя деятельность по окончании Московского Высшего Технического Училища протекала в трех направлениях.</w:t>
      </w:r>
    </w:p>
    <w:p w14:paraId="10433A6A"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1. Практическая деятельность. Годы 1923 и 1924 я работал в Теплотехническом отделе «</w:t>
      </w:r>
      <w:proofErr w:type="spellStart"/>
      <w:r w:rsidRPr="007122AB">
        <w:rPr>
          <w:color w:val="000000" w:themeColor="text1"/>
          <w:sz w:val="16"/>
          <w:szCs w:val="16"/>
        </w:rPr>
        <w:t>Москвугля</w:t>
      </w:r>
      <w:proofErr w:type="spellEnd"/>
      <w:r w:rsidRPr="007122AB">
        <w:rPr>
          <w:color w:val="000000" w:themeColor="text1"/>
          <w:sz w:val="16"/>
          <w:szCs w:val="16"/>
        </w:rPr>
        <w:t>» (правление Подмосковного каменноугольного бассейна). Эти годы не знаменовались еще топливным кризисом, наоборот, рынок именно завоевывался дорогим высококачественным топливом, а потому проводить задачу внедрения в промышленность низкосортного подмосковного угля являлось особенно трудным. И лишь сознание бесспорной необходимости базировать местную промышленность на местном топливе заставляла изыскивать способы рационального сжигания подмосковных углей, популяризируя их в журнальных статьях и докладах.</w:t>
      </w:r>
    </w:p>
    <w:p w14:paraId="7E249CBE"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Свертывание Бассейна и ликвидация Отдела заставила меня в мае 1924 года перенести свою практическую деятельность в тогда организовавшееся Акционерное] Об-во «Тепло и Сила», имевшее целью обслуживать нужды тепло-силового хозяйства восстанавливающейся и реконструирующейся промышленности. С первых же дней работы в этом Обществе сопрягались с большими трудностями: не было достаточного опыта, не было достаточно квалифицированного технического персонала. А вместе с тем ответственность чувствовалась огромная, т. к. местный персонал фабрик и заводов подходил к работе Об-</w:t>
      </w:r>
      <w:proofErr w:type="spellStart"/>
      <w:r w:rsidRPr="007122AB">
        <w:rPr>
          <w:color w:val="000000" w:themeColor="text1"/>
          <w:sz w:val="16"/>
          <w:szCs w:val="16"/>
        </w:rPr>
        <w:t>ва</w:t>
      </w:r>
      <w:proofErr w:type="spellEnd"/>
      <w:r w:rsidRPr="007122AB">
        <w:rPr>
          <w:color w:val="000000" w:themeColor="text1"/>
          <w:sz w:val="16"/>
          <w:szCs w:val="16"/>
        </w:rPr>
        <w:t xml:space="preserve"> как к частной фирме и не хотел разделять известной доли ответственности. К тому же неурегулированность финансового положения (денежные затруднения, протесты векселей и т. д.) часто делали невозможным выполнение работ с необходимым эффектом. Это создавало условия, когда работа в Об-</w:t>
      </w:r>
      <w:proofErr w:type="spellStart"/>
      <w:r w:rsidRPr="007122AB">
        <w:rPr>
          <w:color w:val="000000" w:themeColor="text1"/>
          <w:sz w:val="16"/>
          <w:szCs w:val="16"/>
        </w:rPr>
        <w:t>ве</w:t>
      </w:r>
      <w:proofErr w:type="spellEnd"/>
      <w:r w:rsidRPr="007122AB">
        <w:rPr>
          <w:color w:val="000000" w:themeColor="text1"/>
          <w:sz w:val="16"/>
          <w:szCs w:val="16"/>
        </w:rPr>
        <w:t>, а затем и тресте «Тепло и Сила» считалась для инженера, не хотевшего компрометировать своего технического имени, предосудительным. Поэтому был такой довольно длительный период времени, когда лучшие инженеры покидали «Тепло и Силу», а о самом Тресте даже хозяйственники-коммунисты говорили лишь с иронией. Однако я не находил возможным следовать примеру «крыс, покидающих тонущий корабль» и оставался на работе, исключительно считая, что в то время интересам своим должны были быть предпочтены интересы промышленности. А что последняя остро нуждалась в предприятии такого рода, как «Тепло и Сила», чувствовалось на каждом шагу. Действительность подтвердила это тем, чем сделался Трест «Тепло и Сила» к последнему году.</w:t>
      </w:r>
    </w:p>
    <w:p w14:paraId="5D9E139E"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 xml:space="preserve">Занимая с 1927 года непрерывно должность Зав. Проектным Отделом я, в пределах поставленных передо мной задач, стремился проводить в жизнь те последние достижения техники, осуществление которых способствует лучшему </w:t>
      </w:r>
      <w:proofErr w:type="spellStart"/>
      <w:r w:rsidRPr="007122AB">
        <w:rPr>
          <w:color w:val="000000" w:themeColor="text1"/>
          <w:sz w:val="16"/>
          <w:szCs w:val="16"/>
        </w:rPr>
        <w:t>топливоиспользованию</w:t>
      </w:r>
      <w:proofErr w:type="spellEnd"/>
      <w:r w:rsidRPr="007122AB">
        <w:rPr>
          <w:color w:val="000000" w:themeColor="text1"/>
          <w:sz w:val="16"/>
          <w:szCs w:val="16"/>
        </w:rPr>
        <w:t>. Настойчивость в проведении таких идей, как теплофикация и использование отработавшего тепла привела к тому, что если в настоящее время и имеется какая-то организация, занимающаяся практическим осуществлением этих вопросов, то таким окажется Московское отделение «</w:t>
      </w:r>
      <w:proofErr w:type="spellStart"/>
      <w:r w:rsidRPr="007122AB">
        <w:rPr>
          <w:color w:val="000000" w:themeColor="text1"/>
          <w:sz w:val="16"/>
          <w:szCs w:val="16"/>
        </w:rPr>
        <w:t>Котлотурбина</w:t>
      </w:r>
      <w:proofErr w:type="spellEnd"/>
      <w:r w:rsidRPr="007122AB">
        <w:rPr>
          <w:color w:val="000000" w:themeColor="text1"/>
          <w:sz w:val="16"/>
          <w:szCs w:val="16"/>
        </w:rPr>
        <w:t>», бывш. «Тепло и Сила».</w:t>
      </w:r>
    </w:p>
    <w:p w14:paraId="14637223"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 xml:space="preserve">Другой задачей, которую я ставил себе в руководстве Проектным Отделом, было по возможности сведение до необходимого минимума предметов импортного оборудования, о чем свидетельствуют выполненные проекты. Более того, по собственной инициативе я старался доказать возможность, с весьма несложными средствами, организовать производство некоторых предметов оборудования у нас. Таков пример с воздушными </w:t>
      </w:r>
      <w:proofErr w:type="spellStart"/>
      <w:r w:rsidRPr="007122AB">
        <w:rPr>
          <w:color w:val="000000" w:themeColor="text1"/>
          <w:sz w:val="16"/>
          <w:szCs w:val="16"/>
        </w:rPr>
        <w:t>эконометрами</w:t>
      </w:r>
      <w:proofErr w:type="spellEnd"/>
      <w:r w:rsidRPr="007122AB">
        <w:rPr>
          <w:color w:val="000000" w:themeColor="text1"/>
          <w:sz w:val="16"/>
          <w:szCs w:val="16"/>
        </w:rPr>
        <w:t xml:space="preserve"> типа «</w:t>
      </w:r>
      <w:proofErr w:type="spellStart"/>
      <w:r w:rsidRPr="007122AB">
        <w:rPr>
          <w:color w:val="000000" w:themeColor="text1"/>
          <w:sz w:val="16"/>
          <w:szCs w:val="16"/>
        </w:rPr>
        <w:t>Ротостар</w:t>
      </w:r>
      <w:proofErr w:type="spellEnd"/>
      <w:r w:rsidRPr="007122AB">
        <w:rPr>
          <w:color w:val="000000" w:themeColor="text1"/>
          <w:sz w:val="16"/>
          <w:szCs w:val="16"/>
        </w:rPr>
        <w:t xml:space="preserve">», успешно выполненных в количестве </w:t>
      </w:r>
      <w:proofErr w:type="spellStart"/>
      <w:r w:rsidRPr="007122AB">
        <w:rPr>
          <w:color w:val="000000" w:themeColor="text1"/>
          <w:sz w:val="16"/>
          <w:szCs w:val="16"/>
        </w:rPr>
        <w:t>ок</w:t>
      </w:r>
      <w:proofErr w:type="spellEnd"/>
      <w:r w:rsidRPr="007122AB">
        <w:rPr>
          <w:color w:val="000000" w:themeColor="text1"/>
          <w:sz w:val="16"/>
          <w:szCs w:val="16"/>
        </w:rPr>
        <w:t>. 2000 шт. трестом «Тепло и Сила» на своем заводе. Базируясь на этом опыте вероятно в ближайшее время будет организовано производство внутри СССР. Будучи сам еще молодым инженером я старался в своей деятельности базироваться также на молодых инженерах, рассматривая совершенствование их как подготовку необходимых кадров.</w:t>
      </w:r>
    </w:p>
    <w:p w14:paraId="461E651B"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2.  Педагогическая деятельность моя в основном протекала на электропромышленном факультете Института народного хозяйства, а именно с 1923 года в качестве преподавателя и с осени 1929 года в качестве профессора по кафедре «Теплотехника» с поручением курса «Тепловые силовые станции». В 1927 и 1928 году я дважды общими собраниями студентов, преподавателей и профессоров был избран на должность ученого секретаря факультета.</w:t>
      </w:r>
    </w:p>
    <w:p w14:paraId="1719A616"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 xml:space="preserve">Всю свою педагогическую деятельность в Ин-те я посвятил стремлению развить факультет, повысив качество учебной жизни в нем и тем самым поднять квалификацию выпускаемых инженеров, особенно в направлении теплотехники. Исключительно с этими целями была предпринята организация и в 1927 году под моим непосредственным руководством сооружена Теплотехническая лаборатория. Все это совместно с деятельностью ряда других лиц привело к тому, что при организации весной 1930 года Московского Энергетического Института за основу был взят именно электротехнический факультет Института народного хозяйства, а никакого другого </w:t>
      </w:r>
      <w:proofErr w:type="spellStart"/>
      <w:r w:rsidRPr="007122AB">
        <w:rPr>
          <w:color w:val="000000" w:themeColor="text1"/>
          <w:sz w:val="16"/>
          <w:szCs w:val="16"/>
        </w:rPr>
        <w:t>ВТУЗа</w:t>
      </w:r>
      <w:proofErr w:type="spellEnd"/>
      <w:r w:rsidRPr="007122AB">
        <w:rPr>
          <w:color w:val="000000" w:themeColor="text1"/>
          <w:sz w:val="16"/>
          <w:szCs w:val="16"/>
        </w:rPr>
        <w:t xml:space="preserve"> Москвы. В этой сфере программных вопросов теплотехники, в которой влияние для меня было доступным, я проводил тенденции, соответствующие той политике в технике, каковая определялась нашей технической политикой. В частности, вопросы теплофикации трактовались в Институте еще до их практической постановки, в результате чего ряд нынешних наиболее активных поборников идеи плановой теплофикации являются инженерами, окончившими Институт народного хозяйства. Другим примером является промышленная, или т. н. фабрично-заводская энергетика. Как известно, учение о ней имеет в виду совместное рассмотрение энергетики технологического процесса с силовым. Значение практики удовлетворительного решения этих вопросов как уже для существующих предприятий, так и в особенности для вновь сооружаемых, в хозяйственной жизни страны огромно. Поэтому в прежние годы я старался эти вопросы также проводить в учебных занятиях, а с 1930 года, кроме того, принял должность заведующего вновь организуемой специальностью, посвященной этому вопросу.</w:t>
      </w:r>
    </w:p>
    <w:p w14:paraId="4E055556"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3.  Общественно-техническая деятельность. Как практический и научный работник я сознавал, что проведение в жизнь тех или иных достижений или новостей техники может быть с должным успехом осуществлено лишь при условии, что с ними будет детально знакома та основная масса технических работников, каковой придется непосредственно с ними столкнуться на практике. Достигнуть это можно лишь популяризируя эти достижения и новости через литературу, доклады и проч. С этой целью мною было проделано следующее: а) в 1924 году мною была переведена и затем издана книга о пылевидном топливе, являющаяся первым более или менее полно объемлющим этот вопрос на русском языке трудом; по времени это совпадало с моей работой в «</w:t>
      </w:r>
      <w:proofErr w:type="spellStart"/>
      <w:r w:rsidRPr="007122AB">
        <w:rPr>
          <w:color w:val="000000" w:themeColor="text1"/>
          <w:sz w:val="16"/>
          <w:szCs w:val="16"/>
        </w:rPr>
        <w:t>Москвугле</w:t>
      </w:r>
      <w:proofErr w:type="spellEnd"/>
      <w:r w:rsidRPr="007122AB">
        <w:rPr>
          <w:color w:val="000000" w:themeColor="text1"/>
          <w:sz w:val="16"/>
          <w:szCs w:val="16"/>
        </w:rPr>
        <w:t xml:space="preserve">» и должно было, по моему мнению, способствовать развитию применения подмосковного угля; б) в 1925-26 годах под моей редакцией были выпущены две книги на тему о высоком давлении пара, долженствующие, по возможности, полно ответить и ознакомить русских техников с благоприятным положением этого вопроса на Западе (за-границей), не дав, таким образом развиться уже намечавшемуся в то время духу консерватизма: в) в 1927 году под моей редакцией и так же как предыдущие, по моей инициативе была выпущена книга «Использование отработавшего тепла», дающая конкретные указания к осуществлению этого весьма важного в нашем топливном балансе фактора; г) осенью 1930 года </w:t>
      </w:r>
      <w:proofErr w:type="spellStart"/>
      <w:r w:rsidRPr="007122AB">
        <w:rPr>
          <w:color w:val="000000" w:themeColor="text1"/>
          <w:sz w:val="16"/>
          <w:szCs w:val="16"/>
        </w:rPr>
        <w:t>ГИЗу</w:t>
      </w:r>
      <w:proofErr w:type="spellEnd"/>
      <w:r w:rsidRPr="007122AB">
        <w:rPr>
          <w:color w:val="000000" w:themeColor="text1"/>
          <w:sz w:val="16"/>
          <w:szCs w:val="16"/>
        </w:rPr>
        <w:t xml:space="preserve"> мною сдана рукопись «Тепловые силовые станции», являющаяся в основном изложением моих лекций и трактующая этот вопрос в соответствии с постановлением СНК в июне 1930 года о путях практического осуществления теплофикации; д) перечисленные темы освещались мною в ряде статей в технических журналах, дабы по возможности держать мысль техников возбужденной в этом направлении: е) с 1927 года я в общественном порядке становлюсь одним из фактических руководителей журнала «Тепло и Сила», направляя его содержание на те же основные темы; ж) наконец, на происходившем в январе 1930 года в Москве Первом съезде по теплофикации, я был избран членом Президиума сектора по теплофикации Всесоюзного Энергетического Комитета. Одна из задач Сектора — популяризация и способствование практического осуществления теплофикации.</w:t>
      </w:r>
    </w:p>
    <w:p w14:paraId="3DA798B0"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 xml:space="preserve">Тюремное заключение дало мне возможность подвести итоги практического жизненного пути за восемь лет инженерной деятельности. Есть на нем и немало, вероятно, ошибок, совершенных мною, но они </w:t>
      </w:r>
      <w:proofErr w:type="spellStart"/>
      <w:r w:rsidRPr="007122AB">
        <w:rPr>
          <w:color w:val="000000" w:themeColor="text1"/>
          <w:sz w:val="16"/>
          <w:szCs w:val="16"/>
        </w:rPr>
        <w:t>невольны</w:t>
      </w:r>
      <w:proofErr w:type="spellEnd"/>
      <w:r w:rsidRPr="007122AB">
        <w:rPr>
          <w:color w:val="000000" w:themeColor="text1"/>
          <w:sz w:val="16"/>
          <w:szCs w:val="16"/>
        </w:rPr>
        <w:t>. явившиеся следствием или же моей неопытности, или недостаточности знаний в той или иной области. Но это, что отмечено мною выше, позволяет мне гордиться, ибо составляя основу моей практической деятельности, оно совпадает с осуществлением тех частичных задач, через которые Советская власть ведет человечество к социализму.</w:t>
      </w:r>
    </w:p>
    <w:p w14:paraId="6199669C"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И с тем большим для себя позором я расцениваю ту легкость, с каковой нелепость установок «Промпартии» принял за истину, с каковой дефекты окружающих мелочей ошибочно и неосновательно счел признаками неосновательности основной цели — достижение социализма.</w:t>
      </w:r>
    </w:p>
    <w:p w14:paraId="5502643C" w14:textId="77777777" w:rsidR="00CD2BC2" w:rsidRPr="007122AB" w:rsidRDefault="00CD2BC2" w:rsidP="007122AB">
      <w:pPr>
        <w:pStyle w:val="rtejustify"/>
        <w:spacing w:before="0" w:after="0"/>
        <w:rPr>
          <w:color w:val="000000" w:themeColor="text1"/>
          <w:sz w:val="16"/>
          <w:szCs w:val="16"/>
        </w:rPr>
      </w:pPr>
      <w:r w:rsidRPr="007122AB">
        <w:rPr>
          <w:color w:val="000000" w:themeColor="text1"/>
          <w:sz w:val="16"/>
          <w:szCs w:val="16"/>
        </w:rPr>
        <w:t>Прошу Советскую власть в лице Коллегии ОГПУ учесть мое искреннее раскаяние и дать мне возможность честным трудом загладить и искупить ошибку, едва не приведшую меня к преступлению. Впредь обещаю все свои силы и знания направлять исключительно на пользу Советскому Строительству.</w:t>
      </w:r>
    </w:p>
    <w:p w14:paraId="57CC2B69" w14:textId="77777777" w:rsidR="00CD2BC2" w:rsidRPr="007122AB" w:rsidRDefault="00CD2BC2" w:rsidP="007122AB">
      <w:pPr>
        <w:pStyle w:val="ae"/>
        <w:spacing w:before="0" w:after="0"/>
        <w:jc w:val="both"/>
        <w:rPr>
          <w:color w:val="000000" w:themeColor="text1"/>
          <w:sz w:val="16"/>
          <w:szCs w:val="16"/>
        </w:rPr>
      </w:pPr>
      <w:r w:rsidRPr="007122AB">
        <w:rPr>
          <w:color w:val="000000" w:themeColor="text1"/>
          <w:sz w:val="16"/>
          <w:szCs w:val="16"/>
        </w:rPr>
        <w:t>23.1.1931 г.</w:t>
      </w:r>
    </w:p>
    <w:p w14:paraId="4EAA3E46" w14:textId="77777777" w:rsidR="00CD2BC2" w:rsidRPr="007122AB" w:rsidRDefault="00CD2BC2" w:rsidP="007122AB">
      <w:pPr>
        <w:pStyle w:val="ae"/>
        <w:spacing w:before="0" w:after="0"/>
        <w:jc w:val="both"/>
        <w:rPr>
          <w:color w:val="000000" w:themeColor="text1"/>
          <w:sz w:val="16"/>
          <w:szCs w:val="16"/>
        </w:rPr>
      </w:pPr>
      <w:r w:rsidRPr="007122AB">
        <w:rPr>
          <w:color w:val="000000" w:themeColor="text1"/>
          <w:sz w:val="16"/>
          <w:szCs w:val="16"/>
        </w:rPr>
        <w:t>Доллежаль</w:t>
      </w:r>
    </w:p>
    <w:p w14:paraId="7423E92E" w14:textId="77777777" w:rsidR="00CD2BC2" w:rsidRPr="007122AB" w:rsidRDefault="00CD2BC2" w:rsidP="007122AB">
      <w:pPr>
        <w:pStyle w:val="ae"/>
        <w:spacing w:before="0" w:after="0"/>
        <w:jc w:val="both"/>
        <w:rPr>
          <w:color w:val="000000" w:themeColor="text1"/>
          <w:sz w:val="16"/>
          <w:szCs w:val="16"/>
        </w:rPr>
      </w:pPr>
      <w:r w:rsidRPr="007122AB">
        <w:rPr>
          <w:rStyle w:val="af0"/>
          <w:i w:val="0"/>
          <w:color w:val="000000" w:themeColor="text1"/>
          <w:sz w:val="16"/>
          <w:szCs w:val="16"/>
        </w:rPr>
        <w:t>ЦА ФСБ РФ. Ф. Р-42280. Т. 3. Л. 346-348 об. Рукописный подлинник, автограф Н. А. Доллежаля. Подчеркивания в тексте сделаны синим карандашом, видимо, лицом, читавшим заявление (18746).</w:t>
      </w:r>
    </w:p>
    <w:p w14:paraId="20B57D2D" w14:textId="77777777" w:rsidR="00CD2BC2" w:rsidRPr="007122AB" w:rsidRDefault="00CD2BC2" w:rsidP="007122AB">
      <w:pPr>
        <w:spacing w:after="0" w:line="240" w:lineRule="auto"/>
        <w:jc w:val="both"/>
        <w:rPr>
          <w:rFonts w:ascii="Times New Roman" w:hAnsi="Times New Roman"/>
          <w:color w:val="000000" w:themeColor="text1"/>
          <w:sz w:val="16"/>
          <w:szCs w:val="16"/>
        </w:rPr>
      </w:pPr>
    </w:p>
    <w:p w14:paraId="6D8FFDBD" w14:textId="77777777" w:rsidR="00581B54" w:rsidRPr="007122AB" w:rsidRDefault="00581B5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806260F" w14:textId="77777777" w:rsidR="00581B54" w:rsidRPr="007122AB" w:rsidRDefault="00581B5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EEE498" w14:textId="77777777" w:rsidR="00581B54" w:rsidRPr="007122AB" w:rsidRDefault="00581B5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23 января 1931 г.</w:t>
      </w:r>
    </w:p>
    <w:p w14:paraId="1DC45836" w14:textId="77777777" w:rsidR="00581B54" w:rsidRPr="007122AB" w:rsidRDefault="00581B5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В. Н. Баркова Ж. Л. Аренсу с информацией о подготовке издания стенограммы процесса «Промпартии». 23 января 1931 г.</w:t>
      </w:r>
    </w:p>
    <w:p w14:paraId="1078E3EA" w14:textId="77777777" w:rsidR="00581B54" w:rsidRPr="007122AB" w:rsidRDefault="00581B5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8CC48C0" w14:textId="77777777" w:rsidR="00581B54" w:rsidRPr="007122AB" w:rsidRDefault="00581B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00F9ED5" w14:textId="77777777" w:rsidR="00581B54" w:rsidRPr="007122AB" w:rsidRDefault="00581B5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24D03E2" w14:textId="77777777" w:rsidR="00581B54" w:rsidRPr="007122AB" w:rsidRDefault="00581B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12</w:t>
      </w:r>
    </w:p>
    <w:p w14:paraId="2F9AB8EA" w14:textId="77777777" w:rsidR="00581B54" w:rsidRPr="007122AB" w:rsidRDefault="00581B54" w:rsidP="007122AB">
      <w:pPr>
        <w:pStyle w:val="rteright"/>
        <w:spacing w:before="0" w:after="0"/>
        <w:jc w:val="both"/>
        <w:rPr>
          <w:color w:val="000000" w:themeColor="text1"/>
          <w:sz w:val="16"/>
          <w:szCs w:val="16"/>
        </w:rPr>
      </w:pPr>
      <w:r w:rsidRPr="007122AB">
        <w:rPr>
          <w:color w:val="000000" w:themeColor="text1"/>
          <w:sz w:val="16"/>
          <w:szCs w:val="16"/>
        </w:rPr>
        <w:t>23 января 1931 г.</w:t>
      </w:r>
    </w:p>
    <w:p w14:paraId="5DB4AB3E" w14:textId="77777777" w:rsidR="00581B54" w:rsidRPr="007122AB" w:rsidRDefault="00581B54"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771A593D" w14:textId="77777777" w:rsidR="00581B54" w:rsidRPr="007122AB" w:rsidRDefault="00581B54" w:rsidP="007122AB">
      <w:pPr>
        <w:pStyle w:val="ae"/>
        <w:spacing w:before="0" w:after="0"/>
        <w:jc w:val="both"/>
        <w:rPr>
          <w:color w:val="000000" w:themeColor="text1"/>
          <w:sz w:val="16"/>
          <w:szCs w:val="16"/>
        </w:rPr>
      </w:pPr>
      <w:r w:rsidRPr="007122AB">
        <w:rPr>
          <w:color w:val="000000" w:themeColor="text1"/>
          <w:sz w:val="16"/>
          <w:szCs w:val="16"/>
        </w:rPr>
        <w:t>Н.К.И.Д.</w:t>
      </w:r>
    </w:p>
    <w:p w14:paraId="48DE72B2" w14:textId="77777777" w:rsidR="00581B54" w:rsidRPr="007122AB" w:rsidRDefault="00581B54"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18E2E21F" w14:textId="77777777" w:rsidR="00581B54" w:rsidRPr="007122AB" w:rsidRDefault="00581B54" w:rsidP="007122AB">
      <w:pPr>
        <w:pStyle w:val="ae"/>
        <w:spacing w:before="0" w:after="0"/>
        <w:jc w:val="both"/>
        <w:rPr>
          <w:color w:val="000000" w:themeColor="text1"/>
          <w:sz w:val="16"/>
          <w:szCs w:val="16"/>
        </w:rPr>
      </w:pPr>
      <w:r w:rsidRPr="007122AB">
        <w:rPr>
          <w:color w:val="000000" w:themeColor="text1"/>
          <w:sz w:val="16"/>
          <w:szCs w:val="16"/>
        </w:rPr>
        <w:lastRenderedPageBreak/>
        <w:t>Уважаемый товарищ,</w:t>
      </w:r>
    </w:p>
    <w:p w14:paraId="53096F5D" w14:textId="77777777" w:rsidR="00581B54" w:rsidRPr="007122AB" w:rsidRDefault="00581B54" w:rsidP="007122AB">
      <w:pPr>
        <w:pStyle w:val="rtejustify"/>
        <w:spacing w:before="0" w:after="0"/>
        <w:rPr>
          <w:color w:val="000000" w:themeColor="text1"/>
          <w:sz w:val="16"/>
          <w:szCs w:val="16"/>
        </w:rPr>
      </w:pPr>
      <w:r w:rsidRPr="007122AB">
        <w:rPr>
          <w:color w:val="000000" w:themeColor="text1"/>
          <w:sz w:val="16"/>
          <w:szCs w:val="16"/>
        </w:rPr>
        <w:t xml:space="preserve">Относительно предисловия еще раз обстоятельно рас[с]прашивали Доминика. Доминик уверяет, что наши опасения излишни. Предполагается дать два предисловия: одно — более обстоятельное — в сущности, явится переложением [статьи в] «Кайе </w:t>
      </w:r>
      <w:proofErr w:type="spellStart"/>
      <w:r w:rsidRPr="007122AB">
        <w:rPr>
          <w:color w:val="000000" w:themeColor="text1"/>
          <w:sz w:val="16"/>
          <w:szCs w:val="16"/>
        </w:rPr>
        <w:t>Бле</w:t>
      </w:r>
      <w:proofErr w:type="spellEnd"/>
      <w:r w:rsidRPr="007122AB">
        <w:rPr>
          <w:color w:val="000000" w:themeColor="text1"/>
          <w:sz w:val="16"/>
          <w:szCs w:val="16"/>
        </w:rPr>
        <w:t xml:space="preserve">», посвященной процессу и выходящей на днях; другое — небольшое — принадлежащее Валуа. [Статью в] «Кайе </w:t>
      </w:r>
      <w:proofErr w:type="spellStart"/>
      <w:r w:rsidRPr="007122AB">
        <w:rPr>
          <w:color w:val="000000" w:themeColor="text1"/>
          <w:sz w:val="16"/>
          <w:szCs w:val="16"/>
        </w:rPr>
        <w:t>Бле</w:t>
      </w:r>
      <w:proofErr w:type="spellEnd"/>
      <w:r w:rsidRPr="007122AB">
        <w:rPr>
          <w:color w:val="000000" w:themeColor="text1"/>
          <w:sz w:val="16"/>
          <w:szCs w:val="16"/>
        </w:rPr>
        <w:t xml:space="preserve">» Доминик находит «превосходно» составленной, в основу положен обвинительный акт. Переделывать для предисловия [статью из] «Кайе </w:t>
      </w:r>
      <w:proofErr w:type="spellStart"/>
      <w:r w:rsidRPr="007122AB">
        <w:rPr>
          <w:color w:val="000000" w:themeColor="text1"/>
          <w:sz w:val="16"/>
          <w:szCs w:val="16"/>
        </w:rPr>
        <w:t>Бле</w:t>
      </w:r>
      <w:proofErr w:type="spellEnd"/>
      <w:r w:rsidRPr="007122AB">
        <w:rPr>
          <w:color w:val="000000" w:themeColor="text1"/>
          <w:sz w:val="16"/>
          <w:szCs w:val="16"/>
        </w:rPr>
        <w:t>» будет Доминик. В случае нужды, Доминик обещает соответственно выправить предисловие Валуа. Предисловие по типу будет близко к статье Пьера Леграна в [«]</w:t>
      </w:r>
      <w:proofErr w:type="spellStart"/>
      <w:r w:rsidRPr="007122AB">
        <w:rPr>
          <w:color w:val="000000" w:themeColor="text1"/>
          <w:sz w:val="16"/>
          <w:szCs w:val="16"/>
        </w:rPr>
        <w:t>Волонте</w:t>
      </w:r>
      <w:proofErr w:type="spellEnd"/>
      <w:r w:rsidRPr="007122AB">
        <w:rPr>
          <w:color w:val="000000" w:themeColor="text1"/>
          <w:sz w:val="16"/>
          <w:szCs w:val="16"/>
        </w:rPr>
        <w:t>[»]. Учитывая все это[,] решили издавать у Валуа.</w:t>
      </w:r>
    </w:p>
    <w:p w14:paraId="2C023427" w14:textId="77777777" w:rsidR="00581B54" w:rsidRPr="007122AB" w:rsidRDefault="00581B54" w:rsidP="007122AB">
      <w:pPr>
        <w:pStyle w:val="rtejustify"/>
        <w:spacing w:before="0" w:after="0"/>
        <w:rPr>
          <w:color w:val="000000" w:themeColor="text1"/>
          <w:sz w:val="16"/>
          <w:szCs w:val="16"/>
        </w:rPr>
      </w:pPr>
      <w:r w:rsidRPr="007122AB">
        <w:rPr>
          <w:color w:val="000000" w:themeColor="text1"/>
          <w:sz w:val="16"/>
          <w:szCs w:val="16"/>
        </w:rPr>
        <w:t xml:space="preserve">Довольно неожиданно для нас, после своего отъезда, Валуа через своего помощника передал </w:t>
      </w:r>
      <w:proofErr w:type="spellStart"/>
      <w:r w:rsidRPr="007122AB">
        <w:rPr>
          <w:color w:val="000000" w:themeColor="text1"/>
          <w:sz w:val="16"/>
          <w:szCs w:val="16"/>
        </w:rPr>
        <w:t>проэкт</w:t>
      </w:r>
      <w:proofErr w:type="spellEnd"/>
      <w:r w:rsidRPr="007122AB">
        <w:rPr>
          <w:color w:val="000000" w:themeColor="text1"/>
          <w:sz w:val="16"/>
          <w:szCs w:val="16"/>
        </w:rPr>
        <w:t xml:space="preserve"> договора, в котором контрагентом с нашей стороны выступает ОГИЗ. Мы находим привлечение ОГИЗ целесообразным. В качестве представителя ОГИЗ может быть </w:t>
      </w:r>
      <w:proofErr w:type="spellStart"/>
      <w:r w:rsidRPr="007122AB">
        <w:rPr>
          <w:color w:val="000000" w:themeColor="text1"/>
          <w:sz w:val="16"/>
          <w:szCs w:val="16"/>
        </w:rPr>
        <w:t>Мерле</w:t>
      </w:r>
      <w:proofErr w:type="spellEnd"/>
      <w:r w:rsidRPr="007122AB">
        <w:rPr>
          <w:color w:val="000000" w:themeColor="text1"/>
          <w:sz w:val="16"/>
          <w:szCs w:val="16"/>
        </w:rPr>
        <w:t xml:space="preserve">. </w:t>
      </w:r>
      <w:proofErr w:type="spellStart"/>
      <w:r w:rsidRPr="007122AB">
        <w:rPr>
          <w:color w:val="000000" w:themeColor="text1"/>
          <w:sz w:val="16"/>
          <w:szCs w:val="16"/>
        </w:rPr>
        <w:t>Проэкт</w:t>
      </w:r>
      <w:proofErr w:type="spellEnd"/>
      <w:r w:rsidRPr="007122AB">
        <w:rPr>
          <w:color w:val="000000" w:themeColor="text1"/>
          <w:sz w:val="16"/>
          <w:szCs w:val="16"/>
        </w:rPr>
        <w:t xml:space="preserve"> контракта посылаем. Снеситесь с ОГИЗ и телеграфируйте.</w:t>
      </w:r>
    </w:p>
    <w:p w14:paraId="6B978F30" w14:textId="77777777" w:rsidR="00581B54" w:rsidRPr="007122AB" w:rsidRDefault="00581B54" w:rsidP="007122AB">
      <w:pPr>
        <w:pStyle w:val="rtejustify"/>
        <w:spacing w:before="0" w:after="0"/>
        <w:rPr>
          <w:color w:val="000000" w:themeColor="text1"/>
          <w:sz w:val="16"/>
          <w:szCs w:val="16"/>
        </w:rPr>
      </w:pPr>
      <w:r w:rsidRPr="007122AB">
        <w:rPr>
          <w:color w:val="000000" w:themeColor="text1"/>
          <w:sz w:val="16"/>
          <w:szCs w:val="16"/>
        </w:rPr>
        <w:t xml:space="preserve">Не отказываясь пока от предложения Валуа о привлечении ОГИЗ, мы выдвинули </w:t>
      </w:r>
      <w:proofErr w:type="spellStart"/>
      <w:r w:rsidRPr="007122AB">
        <w:rPr>
          <w:color w:val="000000" w:themeColor="text1"/>
          <w:sz w:val="16"/>
          <w:szCs w:val="16"/>
        </w:rPr>
        <w:t>варьянт</w:t>
      </w:r>
      <w:proofErr w:type="spellEnd"/>
      <w:r w:rsidRPr="007122AB">
        <w:rPr>
          <w:color w:val="000000" w:themeColor="text1"/>
          <w:sz w:val="16"/>
          <w:szCs w:val="16"/>
        </w:rPr>
        <w:t xml:space="preserve"> издания без формального договора на тех же условиях. Ждем ответа.</w:t>
      </w:r>
    </w:p>
    <w:p w14:paraId="305D082B" w14:textId="77777777" w:rsidR="00581B54" w:rsidRPr="007122AB" w:rsidRDefault="00581B54" w:rsidP="007122AB">
      <w:pPr>
        <w:pStyle w:val="rtejustify"/>
        <w:spacing w:before="0" w:after="0"/>
        <w:rPr>
          <w:color w:val="000000" w:themeColor="text1"/>
          <w:sz w:val="16"/>
          <w:szCs w:val="16"/>
        </w:rPr>
      </w:pPr>
      <w:r w:rsidRPr="007122AB">
        <w:rPr>
          <w:color w:val="000000" w:themeColor="text1"/>
          <w:sz w:val="16"/>
          <w:szCs w:val="16"/>
        </w:rPr>
        <w:t xml:space="preserve">С тов. </w:t>
      </w:r>
      <w:proofErr w:type="spellStart"/>
      <w:r w:rsidRPr="007122AB">
        <w:rPr>
          <w:color w:val="000000" w:themeColor="text1"/>
          <w:sz w:val="16"/>
          <w:szCs w:val="16"/>
        </w:rPr>
        <w:t>прив</w:t>
      </w:r>
      <w:proofErr w:type="spellEnd"/>
      <w:r w:rsidRPr="007122AB">
        <w:rPr>
          <w:color w:val="000000" w:themeColor="text1"/>
          <w:sz w:val="16"/>
          <w:szCs w:val="16"/>
        </w:rPr>
        <w:t>[</w:t>
      </w:r>
      <w:proofErr w:type="spellStart"/>
      <w:r w:rsidRPr="007122AB">
        <w:rPr>
          <w:color w:val="000000" w:themeColor="text1"/>
          <w:sz w:val="16"/>
          <w:szCs w:val="16"/>
        </w:rPr>
        <w:t>етом</w:t>
      </w:r>
      <w:proofErr w:type="spellEnd"/>
      <w:r w:rsidRPr="007122AB">
        <w:rPr>
          <w:color w:val="000000" w:themeColor="text1"/>
          <w:sz w:val="16"/>
          <w:szCs w:val="16"/>
        </w:rPr>
        <w:t>]</w:t>
      </w:r>
    </w:p>
    <w:p w14:paraId="7C0F2A77" w14:textId="77777777" w:rsidR="00581B54" w:rsidRPr="007122AB" w:rsidRDefault="00581B54" w:rsidP="007122AB">
      <w:pPr>
        <w:pStyle w:val="rtejustify"/>
        <w:spacing w:before="0" w:after="0"/>
        <w:rPr>
          <w:color w:val="000000" w:themeColor="text1"/>
          <w:sz w:val="16"/>
          <w:szCs w:val="16"/>
        </w:rPr>
      </w:pPr>
      <w:r w:rsidRPr="007122AB">
        <w:rPr>
          <w:color w:val="000000" w:themeColor="text1"/>
          <w:sz w:val="16"/>
          <w:szCs w:val="16"/>
        </w:rPr>
        <w:t>В. Барков</w:t>
      </w:r>
    </w:p>
    <w:p w14:paraId="6CDD170E" w14:textId="77777777" w:rsidR="00581B54" w:rsidRPr="007122AB" w:rsidRDefault="00581B54"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12. Машинописный подлинник на бланке Полпредства СССР во Франции, подпись Баркова — автограф. В графе бланка вверху справа дата «23 января 1931 г.» (число и месяц машинописью), исходящий номер «№ 39/с» (от руки). Гриф секретности от руки. Вверху слева написаны от руки входящий номер и дата получения документа «28/1-31 г.». Некоторые слова подчеркнуты карандашом лицом, читавшим письмо. Внизу слева делопроизводственная помета машинописью «2 экз.: 1 — в дело. 1 — т. Аренсу» (фамилия Аренса написана от руки) (18829).</w:t>
      </w:r>
    </w:p>
    <w:p w14:paraId="78CA6FCA" w14:textId="77777777" w:rsidR="00581B54" w:rsidRPr="007122AB" w:rsidRDefault="00581B54" w:rsidP="007122AB">
      <w:pPr>
        <w:spacing w:after="0" w:line="240" w:lineRule="auto"/>
        <w:jc w:val="both"/>
        <w:rPr>
          <w:rFonts w:ascii="Times New Roman" w:hAnsi="Times New Roman"/>
          <w:color w:val="000000" w:themeColor="text1"/>
          <w:sz w:val="16"/>
          <w:szCs w:val="16"/>
        </w:rPr>
      </w:pPr>
    </w:p>
    <w:p w14:paraId="092F946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15C8B7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5FCE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января 1931 было окончено войсковое испытание И-5 73 А.О. 5-й Авиационной бригаде в Киеве, которое проходило с 28 ноября 1930.</w:t>
      </w:r>
    </w:p>
    <w:p w14:paraId="348745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пяти самолетов И5, полученных отрядом программу войсковых испытаний выполняли на 3-х самолетах, а два оставались в резерве.</w:t>
      </w:r>
    </w:p>
    <w:p w14:paraId="44717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06860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может быть принят на вооружение ВВС. (2979,32-58).</w:t>
      </w:r>
    </w:p>
    <w:p w14:paraId="4F5252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НИИ считает, что самолет И5-ЮVI, выполнив полностью программу войсковых испытаний (за исключением стрельб), выдержал последние вполне удовлетворительно и получил благоприятную оценку, как с точки зрения эксплуатационной, так и с тактической, за исключением вопросов, связанных со стрельбами, так как последние не производились (14-40,3290).</w:t>
      </w:r>
    </w:p>
    <w:p w14:paraId="2430D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BC6A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января 1931 г. закончились войсковые испытаний пятерки И-5, которые проходили в 73-М отряде 5-й авиабригады в Киеве с 28 ноября 1930 г. В отчете об их проведении отмеча</w:t>
      </w:r>
      <w:r w:rsidRPr="007122AB">
        <w:rPr>
          <w:rFonts w:ascii="Times New Roman" w:hAnsi="Times New Roman"/>
          <w:color w:val="000000" w:themeColor="text1"/>
          <w:sz w:val="16"/>
          <w:szCs w:val="16"/>
        </w:rPr>
        <w:softHyphen/>
        <w:t>лось, что взлет и посадка просты, что самолет обладает хорошей маневренностью, управляемостью, устойчиво</w:t>
      </w:r>
      <w:r w:rsidRPr="007122AB">
        <w:rPr>
          <w:rFonts w:ascii="Times New Roman" w:hAnsi="Times New Roman"/>
          <w:color w:val="000000" w:themeColor="text1"/>
          <w:sz w:val="16"/>
          <w:szCs w:val="16"/>
        </w:rPr>
        <w:softHyphen/>
        <w:t>стью, может действовать с небольших площадок. Выяви</w:t>
      </w:r>
      <w:r w:rsidRPr="007122AB">
        <w:rPr>
          <w:rFonts w:ascii="Times New Roman" w:hAnsi="Times New Roman"/>
          <w:color w:val="000000" w:themeColor="text1"/>
          <w:sz w:val="16"/>
          <w:szCs w:val="16"/>
        </w:rPr>
        <w:softHyphen/>
        <w:t>лись и недостатки - не очень прочный пол кабины, ее загазованность выхлопными газами и др. Но наиболее неприятной являлась путевая неустойчивость при про</w:t>
      </w:r>
      <w:r w:rsidRPr="007122AB">
        <w:rPr>
          <w:rFonts w:ascii="Times New Roman" w:hAnsi="Times New Roman"/>
          <w:color w:val="000000" w:themeColor="text1"/>
          <w:sz w:val="16"/>
          <w:szCs w:val="16"/>
        </w:rPr>
        <w:softHyphen/>
        <w:t>беге, приводившая к неуправляемому развороту и, зача</w:t>
      </w:r>
      <w:r w:rsidRPr="007122AB">
        <w:rPr>
          <w:rFonts w:ascii="Times New Roman" w:hAnsi="Times New Roman"/>
          <w:color w:val="000000" w:themeColor="text1"/>
          <w:sz w:val="16"/>
          <w:szCs w:val="16"/>
        </w:rPr>
        <w:softHyphen/>
        <w:t xml:space="preserve">стую, к поломке шасси. По предложению летчика и инженера из НИИ ВВС </w:t>
      </w:r>
      <w:proofErr w:type="spellStart"/>
      <w:r w:rsidRPr="007122AB">
        <w:rPr>
          <w:rFonts w:ascii="Times New Roman" w:hAnsi="Times New Roman"/>
          <w:color w:val="000000" w:themeColor="text1"/>
          <w:sz w:val="16"/>
          <w:szCs w:val="16"/>
        </w:rPr>
        <w:t>И.Ф.Петрова</w:t>
      </w:r>
      <w:proofErr w:type="spellEnd"/>
      <w:r w:rsidRPr="007122AB">
        <w:rPr>
          <w:rFonts w:ascii="Times New Roman" w:hAnsi="Times New Roman"/>
          <w:color w:val="000000" w:themeColor="text1"/>
          <w:sz w:val="16"/>
          <w:szCs w:val="16"/>
        </w:rPr>
        <w:t xml:space="preserve"> изменили размеры подкоса и основной стойки, костыль сделали управляе</w:t>
      </w:r>
      <w:r w:rsidRPr="007122AB">
        <w:rPr>
          <w:rFonts w:ascii="Times New Roman" w:hAnsi="Times New Roman"/>
          <w:color w:val="000000" w:themeColor="text1"/>
          <w:sz w:val="16"/>
          <w:szCs w:val="16"/>
        </w:rPr>
        <w:softHyphen/>
        <w:t>мым. Это позволило полностью устранить недоста</w:t>
      </w:r>
      <w:r w:rsidRPr="007122AB">
        <w:rPr>
          <w:rFonts w:ascii="Times New Roman" w:hAnsi="Times New Roman"/>
          <w:color w:val="000000" w:themeColor="text1"/>
          <w:sz w:val="16"/>
          <w:szCs w:val="16"/>
        </w:rPr>
        <w:softHyphen/>
        <w:t>ток. Указанные доработки немедленно внедрили в серийное производство (эталоны 1931, 1932 и 1933 гг.) (10667).</w:t>
      </w:r>
    </w:p>
    <w:p w14:paraId="574D0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166E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января 1931 г. в 73-м авиаотряде 5-й авиабригады в Киеве закончились войсковые испытания первых 7 </w:t>
      </w:r>
      <w:proofErr w:type="spellStart"/>
      <w:r w:rsidRPr="007122AB">
        <w:rPr>
          <w:rFonts w:ascii="Times New Roman" w:hAnsi="Times New Roman"/>
          <w:color w:val="000000" w:themeColor="text1"/>
          <w:sz w:val="16"/>
          <w:szCs w:val="16"/>
        </w:rPr>
        <w:t>верийных</w:t>
      </w:r>
      <w:proofErr w:type="spellEnd"/>
      <w:r w:rsidRPr="007122AB">
        <w:rPr>
          <w:rFonts w:ascii="Times New Roman" w:hAnsi="Times New Roman"/>
          <w:color w:val="000000" w:themeColor="text1"/>
          <w:sz w:val="16"/>
          <w:szCs w:val="16"/>
        </w:rPr>
        <w:t xml:space="preserve"> И-5, которые шли с 28 ноября 1930 г. Это были И-5 производства завода № 39 с двигателями Ю-</w:t>
      </w:r>
      <w:r w:rsidRPr="007122AB">
        <w:rPr>
          <w:rFonts w:ascii="Times New Roman" w:hAnsi="Times New Roman"/>
          <w:color w:val="000000" w:themeColor="text1"/>
          <w:sz w:val="16"/>
          <w:szCs w:val="16"/>
          <w:lang w:val="en-US"/>
        </w:rPr>
        <w:t>VI</w:t>
      </w:r>
      <w:r w:rsidRPr="007122AB">
        <w:rPr>
          <w:rFonts w:ascii="Times New Roman" w:hAnsi="Times New Roman"/>
          <w:color w:val="000000" w:themeColor="text1"/>
          <w:sz w:val="16"/>
          <w:szCs w:val="16"/>
        </w:rPr>
        <w:t xml:space="preserve"> (указывалось, что это французские Гном Рон «Юпитер» VI, изготовленные в Париже в 1930 г.). Погода в начале зимы стояла плохая - туман, снег, дождь. Затем начались порозы, температуры опускались почти до </w:t>
      </w:r>
      <w:proofErr w:type="spellStart"/>
      <w:r w:rsidRPr="007122AB">
        <w:rPr>
          <w:rFonts w:ascii="Times New Roman" w:hAnsi="Times New Roman"/>
          <w:color w:val="000000" w:themeColor="text1"/>
          <w:sz w:val="16"/>
          <w:szCs w:val="16"/>
        </w:rPr>
        <w:t>иинустридцати</w:t>
      </w:r>
      <w:proofErr w:type="spellEnd"/>
      <w:r w:rsidRPr="007122AB">
        <w:rPr>
          <w:rFonts w:ascii="Times New Roman" w:hAnsi="Times New Roman"/>
          <w:color w:val="000000" w:themeColor="text1"/>
          <w:sz w:val="16"/>
          <w:szCs w:val="16"/>
        </w:rPr>
        <w:t xml:space="preserve"> градусов. Тем не менее, летчи</w:t>
      </w:r>
      <w:r w:rsidRPr="007122AB">
        <w:rPr>
          <w:rFonts w:ascii="Times New Roman" w:hAnsi="Times New Roman"/>
          <w:color w:val="000000" w:themeColor="text1"/>
          <w:sz w:val="16"/>
          <w:szCs w:val="16"/>
        </w:rPr>
        <w:softHyphen/>
        <w:t>ки полностью завершили цикл войсковых ис</w:t>
      </w:r>
      <w:r w:rsidRPr="007122AB">
        <w:rPr>
          <w:rFonts w:ascii="Times New Roman" w:hAnsi="Times New Roman"/>
          <w:color w:val="000000" w:themeColor="text1"/>
          <w:sz w:val="16"/>
          <w:szCs w:val="16"/>
        </w:rPr>
        <w:softHyphen/>
        <w:t>пытаний. Летали на трех самолетах, еще два держали в резерве. Было совершено несколь</w:t>
      </w:r>
      <w:r w:rsidRPr="007122AB">
        <w:rPr>
          <w:rFonts w:ascii="Times New Roman" w:hAnsi="Times New Roman"/>
          <w:color w:val="000000" w:themeColor="text1"/>
          <w:sz w:val="16"/>
          <w:szCs w:val="16"/>
        </w:rPr>
        <w:softHyphen/>
        <w:t>ко сотен взлетов и посадок, на каждом И-5 вы</w:t>
      </w:r>
      <w:r w:rsidRPr="007122AB">
        <w:rPr>
          <w:rFonts w:ascii="Times New Roman" w:hAnsi="Times New Roman"/>
          <w:color w:val="000000" w:themeColor="text1"/>
          <w:sz w:val="16"/>
          <w:szCs w:val="16"/>
        </w:rPr>
        <w:softHyphen/>
        <w:t>полнили по две с лишним тысячи фигур выс</w:t>
      </w:r>
      <w:r w:rsidRPr="007122AB">
        <w:rPr>
          <w:rFonts w:ascii="Times New Roman" w:hAnsi="Times New Roman"/>
          <w:color w:val="000000" w:themeColor="text1"/>
          <w:sz w:val="16"/>
          <w:szCs w:val="16"/>
        </w:rPr>
        <w:softHyphen/>
        <w:t>шего пилотажа.</w:t>
      </w:r>
    </w:p>
    <w:p w14:paraId="718B96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7122AB">
        <w:rPr>
          <w:rFonts w:ascii="Times New Roman" w:hAnsi="Times New Roman"/>
          <w:color w:val="000000" w:themeColor="text1"/>
          <w:sz w:val="16"/>
          <w:szCs w:val="16"/>
        </w:rPr>
        <w:softHyphen/>
        <w:t>ет высокими скороподъемностью и маневрен</w:t>
      </w:r>
      <w:r w:rsidRPr="007122AB">
        <w:rPr>
          <w:rFonts w:ascii="Times New Roman" w:hAnsi="Times New Roman"/>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7122AB">
        <w:rPr>
          <w:rFonts w:ascii="Times New Roman" w:hAnsi="Times New Roman"/>
          <w:color w:val="000000" w:themeColor="text1"/>
          <w:sz w:val="16"/>
          <w:szCs w:val="16"/>
        </w:rPr>
        <w:softHyphen/>
        <w:t>том и прицелом «</w:t>
      </w:r>
      <w:proofErr w:type="spellStart"/>
      <w:r w:rsidRPr="007122AB">
        <w:rPr>
          <w:rFonts w:ascii="Times New Roman" w:hAnsi="Times New Roman"/>
          <w:color w:val="000000" w:themeColor="text1"/>
          <w:sz w:val="16"/>
          <w:szCs w:val="16"/>
        </w:rPr>
        <w:t>Альдис</w:t>
      </w:r>
      <w:proofErr w:type="spellEnd"/>
      <w:r w:rsidRPr="007122AB">
        <w:rPr>
          <w:rFonts w:ascii="Times New Roman" w:hAnsi="Times New Roman"/>
          <w:color w:val="000000" w:themeColor="text1"/>
          <w:sz w:val="16"/>
          <w:szCs w:val="16"/>
        </w:rPr>
        <w:t>» заметно затруднял обзор из пилотской кабины.</w:t>
      </w:r>
    </w:p>
    <w:p w14:paraId="132B7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итоговом отчете по испытаниям коман</w:t>
      </w:r>
      <w:r w:rsidRPr="007122AB">
        <w:rPr>
          <w:rFonts w:ascii="Times New Roman" w:hAnsi="Times New Roman"/>
          <w:color w:val="000000" w:themeColor="text1"/>
          <w:sz w:val="16"/>
          <w:szCs w:val="16"/>
        </w:rPr>
        <w:softHyphen/>
        <w:t xml:space="preserve">дир 73-го авиаотряда </w:t>
      </w:r>
      <w:proofErr w:type="spellStart"/>
      <w:r w:rsidRPr="007122AB">
        <w:rPr>
          <w:rFonts w:ascii="Times New Roman" w:hAnsi="Times New Roman"/>
          <w:color w:val="000000" w:themeColor="text1"/>
          <w:sz w:val="16"/>
          <w:szCs w:val="16"/>
        </w:rPr>
        <w:t>Павлушев</w:t>
      </w:r>
      <w:proofErr w:type="spellEnd"/>
      <w:r w:rsidRPr="007122AB">
        <w:rPr>
          <w:rFonts w:ascii="Times New Roman" w:hAnsi="Times New Roman"/>
          <w:color w:val="000000" w:themeColor="text1"/>
          <w:sz w:val="16"/>
          <w:szCs w:val="16"/>
        </w:rPr>
        <w:t xml:space="preserve"> и командир 5-й авиабригады Астахов подписали следую</w:t>
      </w:r>
      <w:r w:rsidRPr="007122AB">
        <w:rPr>
          <w:rFonts w:ascii="Times New Roman" w:hAnsi="Times New Roman"/>
          <w:color w:val="000000" w:themeColor="text1"/>
          <w:sz w:val="16"/>
          <w:szCs w:val="16"/>
        </w:rPr>
        <w:softHyphen/>
        <w:t>щее заключение: «Самолет И-Б может быть принят на вооружение ВВС РККА».</w:t>
      </w:r>
    </w:p>
    <w:p w14:paraId="0680A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принятии решения о серийном про</w:t>
      </w:r>
      <w:r w:rsidRPr="007122AB">
        <w:rPr>
          <w:rFonts w:ascii="Times New Roman" w:hAnsi="Times New Roman"/>
          <w:color w:val="000000" w:themeColor="text1"/>
          <w:sz w:val="16"/>
          <w:szCs w:val="16"/>
        </w:rPr>
        <w:softHyphen/>
        <w:t>изводстве И-5 к процессу предполагалось подключить заводы №1, №39 и №22 (послед</w:t>
      </w:r>
      <w:r w:rsidRPr="007122AB">
        <w:rPr>
          <w:rFonts w:ascii="Times New Roman" w:hAnsi="Times New Roman"/>
          <w:color w:val="000000" w:themeColor="text1"/>
          <w:sz w:val="16"/>
          <w:szCs w:val="16"/>
        </w:rPr>
        <w:softHyphen/>
        <w:t>ний - для изготовления металлических агре</w:t>
      </w:r>
      <w:r w:rsidRPr="007122AB">
        <w:rPr>
          <w:rFonts w:ascii="Times New Roman" w:hAnsi="Times New Roman"/>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 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109430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157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января 1931 г. закончились войсковые испытания И-5 в Киеве в 73-м отряде 5-й авиабригады, которые проходили с 28 ноября 1930 г. На аэродроме уже лежал снег, поэтому колёса заменили на лыжи.</w:t>
      </w:r>
    </w:p>
    <w:p w14:paraId="72493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7DFD8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w:t>
      </w:r>
      <w:proofErr w:type="spellStart"/>
      <w:r w:rsidRPr="007122AB">
        <w:rPr>
          <w:rFonts w:ascii="Times New Roman" w:hAnsi="Times New Roman"/>
          <w:color w:val="000000" w:themeColor="text1"/>
          <w:sz w:val="16"/>
          <w:szCs w:val="16"/>
        </w:rPr>
        <w:t>бензи</w:t>
      </w:r>
      <w:proofErr w:type="spellEnd"/>
      <w:r w:rsidRPr="007122AB">
        <w:rPr>
          <w:rFonts w:ascii="Times New Roman" w:hAnsi="Times New Roman"/>
          <w:color w:val="000000" w:themeColor="text1"/>
          <w:sz w:val="16"/>
          <w:szCs w:val="16"/>
        </w:rPr>
        <w:t>-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02FDA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w:t>
      </w:r>
      <w:proofErr w:type="spellStart"/>
      <w:r w:rsidRPr="007122AB">
        <w:rPr>
          <w:rFonts w:ascii="Times New Roman" w:hAnsi="Times New Roman"/>
          <w:color w:val="000000" w:themeColor="text1"/>
          <w:sz w:val="16"/>
          <w:szCs w:val="16"/>
        </w:rPr>
        <w:t>Страдзин</w:t>
      </w:r>
      <w:proofErr w:type="spellEnd"/>
      <w:r w:rsidRPr="007122AB">
        <w:rPr>
          <w:rFonts w:ascii="Times New Roman" w:hAnsi="Times New Roman"/>
          <w:color w:val="000000" w:themeColor="text1"/>
          <w:sz w:val="16"/>
          <w:szCs w:val="16"/>
        </w:rPr>
        <w:t xml:space="preserve"> в районе Поста- Волынского попытался выполнить петлю на недопустимо низкой высоте (около 150 м) и врезался в землю.</w:t>
      </w:r>
    </w:p>
    <w:p w14:paraId="57C97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66D99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63C3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января 1931 года </w:t>
      </w:r>
      <w:proofErr w:type="spellStart"/>
      <w:r w:rsidRPr="007122AB">
        <w:rPr>
          <w:rFonts w:ascii="Times New Roman" w:hAnsi="Times New Roman"/>
          <w:color w:val="000000" w:themeColor="text1"/>
          <w:sz w:val="16"/>
          <w:szCs w:val="16"/>
        </w:rPr>
        <w:t>Крейдлин</w:t>
      </w:r>
      <w:proofErr w:type="spellEnd"/>
      <w:r w:rsidRPr="007122AB">
        <w:rPr>
          <w:rFonts w:ascii="Times New Roman" w:hAnsi="Times New Roman"/>
          <w:color w:val="000000" w:themeColor="text1"/>
          <w:sz w:val="16"/>
          <w:szCs w:val="16"/>
        </w:rPr>
        <w:t xml:space="preserve"> пишет Камову:</w:t>
      </w:r>
    </w:p>
    <w:p w14:paraId="1F61DA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«Здравствуйте, уважаемый Николай Ильич!</w:t>
      </w:r>
    </w:p>
    <w:p w14:paraId="0801D5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второй день после Вашего отъезда я машину перевез на завод № 1, где сейчас произвожу самым срочным порядком Вам известный ремонт...</w:t>
      </w:r>
    </w:p>
    <w:p w14:paraId="496996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водится по-старому, меня и отсюда выгоняют, но, Николай Иль</w:t>
      </w:r>
      <w:r w:rsidRPr="007122AB">
        <w:rPr>
          <w:rFonts w:ascii="Times New Roman" w:hAnsi="Times New Roman"/>
          <w:color w:val="000000" w:themeColor="text1"/>
          <w:sz w:val="16"/>
          <w:szCs w:val="16"/>
        </w:rPr>
        <w:softHyphen/>
        <w:t>ич, привыкли мы, нам не страшно...» (10224,33).</w:t>
      </w:r>
    </w:p>
    <w:p w14:paraId="72BBB8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779D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1FB111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CB7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января 1931 года 76-мм батальонная мортира завода "Красный Путиловец" вернулась с </w:t>
      </w:r>
      <w:proofErr w:type="spellStart"/>
      <w:r w:rsidRPr="007122AB">
        <w:rPr>
          <w:rFonts w:ascii="Times New Roman" w:hAnsi="Times New Roman"/>
          <w:color w:val="000000" w:themeColor="text1"/>
          <w:sz w:val="16"/>
          <w:szCs w:val="16"/>
        </w:rPr>
        <w:t>НИАПа</w:t>
      </w:r>
      <w:proofErr w:type="spellEnd"/>
      <w:r w:rsidRPr="007122AB">
        <w:rPr>
          <w:rFonts w:ascii="Times New Roman" w:hAnsi="Times New Roman"/>
          <w:color w:val="000000" w:themeColor="text1"/>
          <w:sz w:val="16"/>
          <w:szCs w:val="16"/>
        </w:rPr>
        <w:t xml:space="preserve"> на завод "Красный Путиловец" для ремонта (3861).</w:t>
      </w:r>
    </w:p>
    <w:p w14:paraId="73CFE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CB558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89E0F5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BE4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января 1931 Лига наций обвинила Польшу в нарушении прав национальных меньшинств в Верхней Силезии (2100).</w:t>
      </w:r>
    </w:p>
    <w:p w14:paraId="195112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45529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C7ED82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3733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(21 - 438,619) января 1931 на XI съезде ВЛКСМ появился лозунг "Комсомолец - на самолет" (69,111). В результате возникло шефство над ВВС.</w:t>
      </w:r>
    </w:p>
    <w:p w14:paraId="05CBE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Был опубликован приказ РВС на основе постановления съезда (1053,39).</w:t>
      </w:r>
    </w:p>
    <w:p w14:paraId="7BAE3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в этот день вышел приказ N 12 РВС о принятии шефства, решение о котором было принято 21 января, и объявлено всем частям ВВС (438,619).</w:t>
      </w:r>
    </w:p>
    <w:p w14:paraId="64C5A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D29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января 1931 года был издан приказ народного комиссара по военным и морским делам и председателя Реввоенсовета СССР К. Е. Ворошилова, закрепивший шефство Краснознаменного Ленинского комсомола над ВВС. В январе 1931 года IX съезд ВЛКСМ принял решение о шефстве трехмиллионного комсомола над военно-воздушными силами рабоче-крестьянской Красной Армии. Всей стране, каждому комсомольцу в те годы были знакомы и близки слова героя гражданской войны Клима Ворошилова: «Каждой школе, каждому пионерскому отряду — авиамодельный кружок, каждому заводу, каждой фабрике — кружок планеристов. Каждому промышленному центру — аэроклуб!» (11642).</w:t>
      </w:r>
    </w:p>
    <w:p w14:paraId="63FA6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468091" w14:textId="77777777" w:rsidR="00F61E12" w:rsidRPr="007122AB" w:rsidRDefault="00F61E12"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25 января</w:t>
      </w:r>
      <w:r w:rsidRPr="007122AB">
        <w:rPr>
          <w:rFonts w:ascii="Times New Roman" w:hAnsi="Times New Roman"/>
          <w:color w:val="000000" w:themeColor="text1"/>
          <w:sz w:val="16"/>
          <w:szCs w:val="16"/>
        </w:rPr>
        <w:t xml:space="preserve"> в 1931 году IX съезд ВЛКСМ принял решение о шефстве комсомола над Военно-Воздушным Флотом (15020).</w:t>
      </w:r>
    </w:p>
    <w:p w14:paraId="40BF0AB3" w14:textId="77777777" w:rsidR="00F61E12" w:rsidRPr="007122AB" w:rsidRDefault="00F61E12" w:rsidP="007122AB">
      <w:pPr>
        <w:spacing w:after="0" w:line="240" w:lineRule="auto"/>
        <w:jc w:val="both"/>
        <w:rPr>
          <w:rFonts w:ascii="Times New Roman" w:hAnsi="Times New Roman"/>
          <w:color w:val="000000" w:themeColor="text1"/>
          <w:sz w:val="16"/>
          <w:szCs w:val="16"/>
        </w:rPr>
      </w:pPr>
    </w:p>
    <w:p w14:paraId="7C0A4E9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274ECD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AEB7C4" w14:textId="77777777" w:rsidR="007E4069" w:rsidRPr="007122AB" w:rsidRDefault="007E406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января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24. 4. Доклад ВСНХ о состоянии производств, обслуживающих автотракторную промышленность (ПБ от 30 октября 1930 г., пр. № 14, п. 13/15, из прил. п. 18) (Харитоненко, Каганович, Орджоникидзе). 6а. О ходе работ на Сталинградском тракторном заводе (ПБ от 15 января 1931 г., пр. № 23, п. 17а). (Политбюро... Т. 2. С. 120) (12416).</w:t>
      </w:r>
    </w:p>
    <w:p w14:paraId="2BCCB4DE" w14:textId="77777777" w:rsidR="007E4069" w:rsidRPr="007122AB" w:rsidRDefault="007E4069" w:rsidP="007122AB">
      <w:pPr>
        <w:spacing w:after="0" w:line="240" w:lineRule="auto"/>
        <w:jc w:val="both"/>
        <w:rPr>
          <w:rFonts w:ascii="Times New Roman" w:hAnsi="Times New Roman"/>
          <w:color w:val="000000" w:themeColor="text1"/>
          <w:sz w:val="16"/>
          <w:szCs w:val="16"/>
          <w:u w:color="002060"/>
        </w:rPr>
      </w:pPr>
    </w:p>
    <w:p w14:paraId="67437A3E"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25 января 1931</w:t>
      </w:r>
      <w:r w:rsidRPr="007122AB">
        <w:rPr>
          <w:rFonts w:ascii="Times New Roman" w:hAnsi="Times New Roman"/>
          <w:color w:val="000000" w:themeColor="text1"/>
          <w:sz w:val="16"/>
          <w:szCs w:val="16"/>
        </w:rPr>
        <w:t>Политбюро ЦК ВКП (б) утвердило проект постановления ЦК ВКП (б) «О Магнитострое»; предложило ВСНХ в течение февраля выполнить все заказы на недостающее оборудование для Сталинградского тракторного завода (12265).</w:t>
      </w:r>
    </w:p>
    <w:p w14:paraId="22B5954F" w14:textId="77777777" w:rsidR="00C92E4A" w:rsidRPr="007122AB" w:rsidRDefault="00C92E4A" w:rsidP="007122AB">
      <w:pPr>
        <w:spacing w:after="0" w:line="240" w:lineRule="auto"/>
        <w:jc w:val="both"/>
        <w:rPr>
          <w:rFonts w:ascii="Times New Roman" w:hAnsi="Times New Roman"/>
          <w:color w:val="000000" w:themeColor="text1"/>
          <w:sz w:val="16"/>
          <w:szCs w:val="16"/>
        </w:rPr>
      </w:pPr>
    </w:p>
    <w:p w14:paraId="2B2DCA0C" w14:textId="77777777" w:rsidR="00C92E4A" w:rsidRPr="007122AB" w:rsidRDefault="00C92E4A" w:rsidP="007122AB">
      <w:pPr>
        <w:spacing w:after="0" w:line="240" w:lineRule="auto"/>
        <w:jc w:val="both"/>
        <w:rPr>
          <w:rStyle w:val="fieldset-legend"/>
          <w:rFonts w:ascii="Times New Roman" w:hAnsi="Times New Roman"/>
          <w:color w:val="000000" w:themeColor="text1"/>
          <w:sz w:val="16"/>
          <w:szCs w:val="16"/>
        </w:rPr>
      </w:pPr>
      <w:r w:rsidRPr="007122AB">
        <w:rPr>
          <w:rFonts w:ascii="Times New Roman" w:hAnsi="Times New Roman"/>
          <w:color w:val="000000" w:themeColor="text1"/>
          <w:sz w:val="16"/>
          <w:szCs w:val="16"/>
        </w:rPr>
        <w:t>25 января 1931 года Постановление ЦК ВКП(б) по докладу ВСНХ СССР о строительстве Магнитогорского металлургического завода. Приложение № 1 к п. З, пр. ПБ № 24.</w:t>
      </w:r>
    </w:p>
    <w:p w14:paraId="16ACF9BD" w14:textId="77777777" w:rsidR="00C92E4A" w:rsidRPr="007122AB" w:rsidRDefault="00C92E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Архив:  РГАСПИ. Ф. 17. Оп. 3. Д. 811. Л. 16-20.</w:t>
      </w:r>
    </w:p>
    <w:p w14:paraId="04F5972A" w14:textId="77777777" w:rsidR="00C92E4A" w:rsidRPr="007122AB" w:rsidRDefault="00C92E4A"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1 к п. З, пр. ПБ № 24.</w:t>
      </w:r>
    </w:p>
    <w:p w14:paraId="5CB4CF04"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Выдвинутая ХVI партийным съездом задача создания новой мощной угольно-металлургической базы в виде Урало-Кузнецкого Комбината получает свое практическое разрешение в форсированном строительстве Магнитогорского и Кузнецкого заводов.</w:t>
      </w:r>
    </w:p>
    <w:p w14:paraId="1F76C57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Народно-хозяйственное значение магнитогорского завода, определяемое его производственной мощностью (2,5 млн. тонн чугуна с развитием до 4</w:t>
      </w:r>
      <w:r w:rsidRPr="007122AB">
        <w:rPr>
          <w:color w:val="000000" w:themeColor="text1"/>
          <w:sz w:val="16"/>
          <w:szCs w:val="16"/>
        </w:rPr>
        <w:noBreakHyphen/>
        <w:t xml:space="preserve">х млн. тонн), усиливается его географическим расположением на стыке промышленного Урала, цветной металлургии Востока и </w:t>
      </w:r>
      <w:proofErr w:type="spellStart"/>
      <w:r w:rsidRPr="007122AB">
        <w:rPr>
          <w:color w:val="000000" w:themeColor="text1"/>
          <w:sz w:val="16"/>
          <w:szCs w:val="16"/>
        </w:rPr>
        <w:t>Казакстака</w:t>
      </w:r>
      <w:proofErr w:type="spellEnd"/>
      <w:r w:rsidRPr="007122AB">
        <w:rPr>
          <w:color w:val="000000" w:themeColor="text1"/>
          <w:sz w:val="16"/>
          <w:szCs w:val="16"/>
        </w:rPr>
        <w:t xml:space="preserve"> и огромных земельных площадей сельскохозяйственного назначения в Сибири, Казахстане и Средней Азии.</w:t>
      </w:r>
    </w:p>
    <w:p w14:paraId="2A82271F"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Строительство Магнитогорского завода должно стать практической школой создания новых методов и форм социалистического труда, техники и подготовки кадров для дальнейшей индустриализации Союза.</w:t>
      </w:r>
    </w:p>
    <w:p w14:paraId="5E238F46"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ЦК ВКП(б) отмечает, что строительством Магнитогорского завода до настоящего времена не освоены надлежащие темпы и в организации работ не проведена действительная плановость и единоначалие на всех участках строительства.</w:t>
      </w:r>
    </w:p>
    <w:p w14:paraId="153C676B"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Для изжития этих недостатков и обеспечения пуска завода в срок ЦК ВКП(б) постановляет:</w:t>
      </w:r>
    </w:p>
    <w:p w14:paraId="4958386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1. Установить следующие сроки пуска первой очереди Магнитогорского завода:</w:t>
      </w:r>
    </w:p>
    <w:p w14:paraId="5879B584" w14:textId="77777777" w:rsidR="00C92E4A" w:rsidRPr="007122AB" w:rsidRDefault="00C92E4A"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две доменные печи ............................. 1.X.31 г.</w:t>
      </w:r>
    </w:p>
    <w:p w14:paraId="503575D3" w14:textId="77777777" w:rsidR="00C92E4A" w:rsidRPr="007122AB" w:rsidRDefault="00C92E4A"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7 мартеновских печей и блюминг .............. 1.ХII.31 г.</w:t>
      </w:r>
    </w:p>
    <w:p w14:paraId="2DF5F692" w14:textId="77777777" w:rsidR="00C92E4A" w:rsidRPr="007122AB" w:rsidRDefault="00C92E4A"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Непрерывные заготовительные станы 450 и 500 мм</w:t>
      </w:r>
    </w:p>
    <w:p w14:paraId="50010D7D" w14:textId="77777777" w:rsidR="00C92E4A" w:rsidRPr="007122AB" w:rsidRDefault="00C92E4A"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и крупносортный стан 500 мм ................... 1.I.32 г.</w:t>
      </w:r>
    </w:p>
    <w:p w14:paraId="536F5511" w14:textId="77777777" w:rsidR="00C92E4A" w:rsidRPr="007122AB" w:rsidRDefault="00C92E4A"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2 стана 300 мм и 1 стан 250 мм ............... 1.II.32 г.</w:t>
      </w:r>
    </w:p>
    <w:p w14:paraId="711F532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Поручить ВСНХ в месячный срок разработать окончательные сроки пуска последующих очередей Магнитогорского завода и 1.III.31 г. представить на утверждение ЦК с тем, чтобы к 1.X.32 г. Магнитогорский завод был готов к пуску.</w:t>
      </w:r>
    </w:p>
    <w:p w14:paraId="59C5E12C"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 Обязать ВСНХ обеспечить Магнитогорское строительство как с финансовой стороны, так и со стороны оборудования и материалов в полном объеме, исходя из необходимости окончания строительства в установленные сроки.</w:t>
      </w:r>
    </w:p>
    <w:p w14:paraId="175C454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3. Обязать </w:t>
      </w:r>
      <w:proofErr w:type="spellStart"/>
      <w:r w:rsidRPr="007122AB">
        <w:rPr>
          <w:color w:val="000000" w:themeColor="text1"/>
          <w:sz w:val="16"/>
          <w:szCs w:val="16"/>
        </w:rPr>
        <w:t>Востокосталь</w:t>
      </w:r>
      <w:proofErr w:type="spellEnd"/>
      <w:r w:rsidRPr="007122AB">
        <w:rPr>
          <w:color w:val="000000" w:themeColor="text1"/>
          <w:sz w:val="16"/>
          <w:szCs w:val="16"/>
        </w:rPr>
        <w:t xml:space="preserve"> и начальника Магнитостроя решительно усилить плановую дисциплину на строительстве, установив не позже 15.II. календарный план работ на 1931 г., обеспечивающий пуск 1</w:t>
      </w:r>
      <w:r w:rsidRPr="007122AB">
        <w:rPr>
          <w:color w:val="000000" w:themeColor="text1"/>
          <w:sz w:val="16"/>
          <w:szCs w:val="16"/>
        </w:rPr>
        <w:noBreakHyphen/>
        <w:t>й очереди завода, начиная с 1.Х.31 г.</w:t>
      </w:r>
    </w:p>
    <w:p w14:paraId="49DB7F8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В целях обеспечения необходимых темпов строительства предложить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и начальнику Магнитостроя обратить особое внимание на развитие в течение 1</w:t>
      </w:r>
      <w:r w:rsidRPr="007122AB">
        <w:rPr>
          <w:color w:val="000000" w:themeColor="text1"/>
          <w:sz w:val="16"/>
          <w:szCs w:val="16"/>
        </w:rPr>
        <w:noBreakHyphen/>
        <w:t>го квартала всех необходимых подготовительных и вспомогательных работ (земляные работы, подсобные предприятия, карьеры, водоснабжение и т. д.), а равно двинуть строительство вспомогательных цехов (механического, котельного, кузнечного, литейного и силикатных), добившись в осуществлении этой задачи решительного перелома.</w:t>
      </w:r>
    </w:p>
    <w:p w14:paraId="04B82EBF"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Предложить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разработать не позже 1.III.31 г. план организации работ на Магнитострое на основе максимальной механизации и рационализации работ. Перестройку всей работы Магнитостроя на основе этого плана сделать ударной задачей ближайших 2</w:t>
      </w:r>
      <w:r w:rsidRPr="007122AB">
        <w:rPr>
          <w:color w:val="000000" w:themeColor="text1"/>
          <w:sz w:val="16"/>
          <w:szCs w:val="16"/>
        </w:rPr>
        <w:noBreakHyphen/>
        <w:t>х месяцев.</w:t>
      </w:r>
    </w:p>
    <w:p w14:paraId="28E5FA8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Обязать начальника Магнитостроя в кратчайший срок решительно улучшить использование наличных механизмов и принять меры к проведению единоначалия и хозрасчета во всех частях строительства.</w:t>
      </w:r>
    </w:p>
    <w:p w14:paraId="19C9D0A9"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4. В связи с неудовлетворительным выполнением обязательств фирмой Мак-</w:t>
      </w:r>
      <w:proofErr w:type="spellStart"/>
      <w:r w:rsidRPr="007122AB">
        <w:rPr>
          <w:color w:val="000000" w:themeColor="text1"/>
          <w:sz w:val="16"/>
          <w:szCs w:val="16"/>
        </w:rPr>
        <w:t>ки</w:t>
      </w:r>
      <w:proofErr w:type="spellEnd"/>
      <w:r w:rsidRPr="007122AB">
        <w:rPr>
          <w:color w:val="000000" w:themeColor="text1"/>
          <w:sz w:val="16"/>
          <w:szCs w:val="16"/>
        </w:rPr>
        <w:t xml:space="preserve"> в составлении проекта завода и горного хозяйства подтвердить решение ВСНХ о немедленной организации проектных работ в Союзе по следующим объектам: мартеновские цеха, воздуходувная станция, ЦЭС, подсобные цеха, </w:t>
      </w:r>
      <w:proofErr w:type="spellStart"/>
      <w:r w:rsidRPr="007122AB">
        <w:rPr>
          <w:color w:val="000000" w:themeColor="text1"/>
          <w:sz w:val="16"/>
          <w:szCs w:val="16"/>
        </w:rPr>
        <w:t>газофикация</w:t>
      </w:r>
      <w:proofErr w:type="spellEnd"/>
      <w:r w:rsidRPr="007122AB">
        <w:rPr>
          <w:color w:val="000000" w:themeColor="text1"/>
          <w:sz w:val="16"/>
          <w:szCs w:val="16"/>
        </w:rPr>
        <w:t xml:space="preserve">, паропровод, водопровод, канализация, канализация электротока, электрооборудование завода, внешний и внутризаводской транспорт, для чего привлечь к делу: </w:t>
      </w:r>
      <w:proofErr w:type="spellStart"/>
      <w:r w:rsidRPr="007122AB">
        <w:rPr>
          <w:color w:val="000000" w:themeColor="text1"/>
          <w:sz w:val="16"/>
          <w:szCs w:val="16"/>
        </w:rPr>
        <w:t>Стальпроект</w:t>
      </w:r>
      <w:proofErr w:type="spellEnd"/>
      <w:r w:rsidRPr="007122AB">
        <w:rPr>
          <w:color w:val="000000" w:themeColor="text1"/>
          <w:sz w:val="16"/>
          <w:szCs w:val="16"/>
        </w:rPr>
        <w:t xml:space="preserve">, Гипромез, Энергострой, </w:t>
      </w:r>
      <w:proofErr w:type="spellStart"/>
      <w:r w:rsidRPr="007122AB">
        <w:rPr>
          <w:color w:val="000000" w:themeColor="text1"/>
          <w:sz w:val="16"/>
          <w:szCs w:val="16"/>
        </w:rPr>
        <w:t>Водоканалстрой</w:t>
      </w:r>
      <w:proofErr w:type="spellEnd"/>
      <w:r w:rsidRPr="007122AB">
        <w:rPr>
          <w:color w:val="000000" w:themeColor="text1"/>
          <w:sz w:val="16"/>
          <w:szCs w:val="16"/>
        </w:rPr>
        <w:t xml:space="preserve">, Трансстрой, Госпроект, ВЭО, </w:t>
      </w:r>
      <w:proofErr w:type="spellStart"/>
      <w:r w:rsidRPr="007122AB">
        <w:rPr>
          <w:color w:val="000000" w:themeColor="text1"/>
          <w:sz w:val="16"/>
          <w:szCs w:val="16"/>
        </w:rPr>
        <w:t>Котлотурбина</w:t>
      </w:r>
      <w:proofErr w:type="spellEnd"/>
      <w:r w:rsidRPr="007122AB">
        <w:rPr>
          <w:color w:val="000000" w:themeColor="text1"/>
          <w:sz w:val="16"/>
          <w:szCs w:val="16"/>
        </w:rPr>
        <w:t xml:space="preserve">, </w:t>
      </w:r>
      <w:proofErr w:type="spellStart"/>
      <w:r w:rsidRPr="007122AB">
        <w:rPr>
          <w:color w:val="000000" w:themeColor="text1"/>
          <w:sz w:val="16"/>
          <w:szCs w:val="16"/>
        </w:rPr>
        <w:t>Стальсантехстрой</w:t>
      </w:r>
      <w:proofErr w:type="spellEnd"/>
      <w:r w:rsidRPr="007122AB">
        <w:rPr>
          <w:color w:val="000000" w:themeColor="text1"/>
          <w:sz w:val="16"/>
          <w:szCs w:val="16"/>
        </w:rPr>
        <w:t xml:space="preserve"> и др.</w:t>
      </w:r>
    </w:p>
    <w:p w14:paraId="6E56AA46"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За фирмой Мак-Ки оставить проектирование полностью доменного цеха, насосной станции, горнорудного хозяйства, а также поручить фирме Мак-Ки организовать в Америке проектирование нагревательных печей прокатного цеха.</w:t>
      </w:r>
    </w:p>
    <w:p w14:paraId="0DCF3931"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Проектировку прокатного цеха и отделочной мастерской оставить за фирмой </w:t>
      </w:r>
      <w:proofErr w:type="spellStart"/>
      <w:r w:rsidRPr="007122AB">
        <w:rPr>
          <w:color w:val="000000" w:themeColor="text1"/>
          <w:sz w:val="16"/>
          <w:szCs w:val="16"/>
        </w:rPr>
        <w:t>Демаг</w:t>
      </w:r>
      <w:proofErr w:type="spellEnd"/>
      <w:r w:rsidRPr="007122AB">
        <w:rPr>
          <w:color w:val="000000" w:themeColor="text1"/>
          <w:sz w:val="16"/>
          <w:szCs w:val="16"/>
        </w:rPr>
        <w:t>.</w:t>
      </w:r>
    </w:p>
    <w:p w14:paraId="61D1C6B8"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Обязать т. Иванченко установить такой порядок проектирования, при котором будет достигнуто единое техническое руководство всеми проектными работами, ведущимися в Союзе (на площадке строительства и вне ее) и увязка проектирования в Союзе с проектными работами, выполняемыми заграницей. Обязать ВСНХ СССР представить в ЦК в </w:t>
      </w:r>
      <w:proofErr w:type="spellStart"/>
      <w:r w:rsidRPr="007122AB">
        <w:rPr>
          <w:color w:val="000000" w:themeColor="text1"/>
          <w:sz w:val="16"/>
          <w:szCs w:val="16"/>
        </w:rPr>
        <w:t>двухдекадный</w:t>
      </w:r>
      <w:proofErr w:type="spellEnd"/>
      <w:r w:rsidRPr="007122AB">
        <w:rPr>
          <w:color w:val="000000" w:themeColor="text1"/>
          <w:sz w:val="16"/>
          <w:szCs w:val="16"/>
        </w:rPr>
        <w:t xml:space="preserve"> срок справку об исполнении.</w:t>
      </w:r>
    </w:p>
    <w:p w14:paraId="47C16A58"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Обязать </w:t>
      </w:r>
      <w:proofErr w:type="spellStart"/>
      <w:r w:rsidRPr="007122AB">
        <w:rPr>
          <w:color w:val="000000" w:themeColor="text1"/>
          <w:sz w:val="16"/>
          <w:szCs w:val="16"/>
        </w:rPr>
        <w:t>т.т</w:t>
      </w:r>
      <w:proofErr w:type="spellEnd"/>
      <w:r w:rsidRPr="007122AB">
        <w:rPr>
          <w:color w:val="000000" w:themeColor="text1"/>
          <w:sz w:val="16"/>
          <w:szCs w:val="16"/>
        </w:rPr>
        <w:t>. Иванченко, Колесникова и Постникова, рассмотреть схему внутризаводского транспорта и представить через две недели на утверждение ВСНХ.</w:t>
      </w:r>
    </w:p>
    <w:p w14:paraId="6219823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5. Привлекаемые к делу проектирования организации обязываются в недельный срок составить согласованный со строительством календарный план выполнения проектирования, обеспечивающий своевременное поступление проектов в сроки, установленные строительством, при этом работа по составлению проектов должна производиться во внеочередном порядке.</w:t>
      </w:r>
    </w:p>
    <w:p w14:paraId="07A5666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Личную ответственность за проведение в жизнь пятого пункта постановления возложить на тов. Колесникова.</w:t>
      </w:r>
    </w:p>
    <w:p w14:paraId="6F573365"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6. Отмечая отставание работ по горному хозяйству, поручить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и ГГРУ:</w:t>
      </w:r>
    </w:p>
    <w:p w14:paraId="7F5B94AF"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а) к 15 февраля с. г. уточнить массив малосернистых руд, подлежащий эксплуатации без обогащения и обеспечивающий работу Магнитогорского и Кузнецкого заводов на ближайшие годы;</w:t>
      </w:r>
    </w:p>
    <w:p w14:paraId="77640C76"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б) обеспечить пуск дробильной и промывной фабрик не позже 1 июня с. г.;</w:t>
      </w:r>
    </w:p>
    <w:p w14:paraId="543EF3B1"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в) обеспечить начало промышленной эксплуатации рудника к 15.V. с. г. в размерах, достаточных для работы доменных печей обоих заводов, начиная с 1 октября 1931 г.</w:t>
      </w:r>
    </w:p>
    <w:p w14:paraId="0E17ABA4"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Обратить особое внимание на обеспечение своевременного пуска рудника со стороны проектирования, транспорта и водоснабжения.</w:t>
      </w:r>
    </w:p>
    <w:p w14:paraId="3D2059F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7. ГГРУ к 1.III.31 г. представить Магнитострою данные относительно баз </w:t>
      </w:r>
      <w:proofErr w:type="spellStart"/>
      <w:r w:rsidRPr="007122AB">
        <w:rPr>
          <w:color w:val="000000" w:themeColor="text1"/>
          <w:sz w:val="16"/>
          <w:szCs w:val="16"/>
        </w:rPr>
        <w:t>нерудоископаемых</w:t>
      </w:r>
      <w:proofErr w:type="spellEnd"/>
      <w:r w:rsidRPr="007122AB">
        <w:rPr>
          <w:color w:val="000000" w:themeColor="text1"/>
          <w:sz w:val="16"/>
          <w:szCs w:val="16"/>
        </w:rPr>
        <w:t xml:space="preserve"> (известняк, доломит, хромит, огнеупорные глины, формовочный и др. пески и т. п.), а также марганца на 1931 г. и в 4</w:t>
      </w:r>
      <w:r w:rsidRPr="007122AB">
        <w:rPr>
          <w:color w:val="000000" w:themeColor="text1"/>
          <w:sz w:val="16"/>
          <w:szCs w:val="16"/>
        </w:rPr>
        <w:noBreakHyphen/>
        <w:t>месячный срок произвести поисковые разведки в районе Магнитогорска для обеспечения этими материалами полного производства завода.</w:t>
      </w:r>
    </w:p>
    <w:p w14:paraId="1D292D95"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8. Принимая во внимание близость </w:t>
      </w:r>
      <w:proofErr w:type="spellStart"/>
      <w:r w:rsidRPr="007122AB">
        <w:rPr>
          <w:color w:val="000000" w:themeColor="text1"/>
          <w:sz w:val="16"/>
          <w:szCs w:val="16"/>
        </w:rPr>
        <w:t>Полтаво</w:t>
      </w:r>
      <w:proofErr w:type="spellEnd"/>
      <w:r w:rsidRPr="007122AB">
        <w:rPr>
          <w:color w:val="000000" w:themeColor="text1"/>
          <w:sz w:val="16"/>
          <w:szCs w:val="16"/>
        </w:rPr>
        <w:t>-Брединских угольных копей к Магнитогорскому заводу, предложить ВСНХ приступить к немедленной организации промышленной эксплуатации указанных копей и форсировать разведки указанного месторождения с таким расчетом, чтобы в мае месяце определить место для закладки капитальных шахт.</w:t>
      </w:r>
    </w:p>
    <w:p w14:paraId="4FC66B78"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9. В связи с дополнительно выявившейся большой потребностью в воде, в частности, для организуемых при магнитогорском заводе предприятий (синтез аммиака, совхозы и колхозы) предложить ВСНХ обеспечить своевременное начало работ по второй плотине на реке Урале с тем, чтобы последняя была закончена для сбора вод весеннего паводка 1932 года.</w:t>
      </w:r>
    </w:p>
    <w:p w14:paraId="0A15B93B"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lastRenderedPageBreak/>
        <w:t xml:space="preserve">10. В срочном порядке командировать заграницу комиссию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по размещению заказов на оборудование и контролю за их выполнением.</w:t>
      </w:r>
    </w:p>
    <w:p w14:paraId="7E6FCFB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11. Для своевременного обеспечения Магнитостроя и </w:t>
      </w:r>
      <w:proofErr w:type="spellStart"/>
      <w:r w:rsidRPr="007122AB">
        <w:rPr>
          <w:color w:val="000000" w:themeColor="text1"/>
          <w:sz w:val="16"/>
          <w:szCs w:val="16"/>
        </w:rPr>
        <w:t>Кузнецкстроя</w:t>
      </w:r>
      <w:proofErr w:type="spellEnd"/>
      <w:r w:rsidRPr="007122AB">
        <w:rPr>
          <w:color w:val="000000" w:themeColor="text1"/>
          <w:sz w:val="16"/>
          <w:szCs w:val="16"/>
        </w:rPr>
        <w:t xml:space="preserve"> оборудованием, изготовляемым в Союзе, предложить ВСНХ СССР:</w:t>
      </w:r>
    </w:p>
    <w:p w14:paraId="2280A408"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а) разработать график изготовления и поступления оборудования для первой очереди заводов с точным указанием заводов-поставщиков и сроков завоза оборудования;</w:t>
      </w:r>
    </w:p>
    <w:p w14:paraId="3C2186D2"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б) обратить особое внимание на ускоренное доведение заказов непосредственно до заводов, изготовляющих оборудование, для чего добиться четкой работы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и соответствующих объединений с тем, чтобы в кратчайший срок были оформлены договора с соответствующими поставщиками;</w:t>
      </w:r>
    </w:p>
    <w:p w14:paraId="6D3DFDC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в) немедленно приступить к плановой подготовке размещения заказов на оборудование следующих очередей, выделив особо все оборудование тяжелое или требующее длительных сроков изготовления и монтажа;</w:t>
      </w:r>
    </w:p>
    <w:p w14:paraId="7E3EA7AA"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г) не позже 1.IV составить график с точными сроками размещения, изготовления, завоза и монтажа оборудования на полную производительность Магнитогорского и Кузнецкого заводов;</w:t>
      </w:r>
    </w:p>
    <w:p w14:paraId="44B33140"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д) для проведения этой работы немедленно укрепить </w:t>
      </w:r>
      <w:proofErr w:type="spellStart"/>
      <w:r w:rsidRPr="007122AB">
        <w:rPr>
          <w:color w:val="000000" w:themeColor="text1"/>
          <w:sz w:val="16"/>
          <w:szCs w:val="16"/>
        </w:rPr>
        <w:t>Востокосталь</w:t>
      </w:r>
      <w:proofErr w:type="spellEnd"/>
      <w:r w:rsidRPr="007122AB">
        <w:rPr>
          <w:color w:val="000000" w:themeColor="text1"/>
          <w:sz w:val="16"/>
          <w:szCs w:val="16"/>
        </w:rPr>
        <w:t xml:space="preserve"> квалифицированными специалистами.</w:t>
      </w:r>
    </w:p>
    <w:p w14:paraId="29752DE8"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Придавая особое значение своевременному изготовлению оборудования и конструкций для Магнитостроя и </w:t>
      </w:r>
      <w:proofErr w:type="spellStart"/>
      <w:r w:rsidRPr="007122AB">
        <w:rPr>
          <w:color w:val="000000" w:themeColor="text1"/>
          <w:sz w:val="16"/>
          <w:szCs w:val="16"/>
        </w:rPr>
        <w:t>Кузнецкстроя</w:t>
      </w:r>
      <w:proofErr w:type="spellEnd"/>
      <w:r w:rsidRPr="007122AB">
        <w:rPr>
          <w:color w:val="000000" w:themeColor="text1"/>
          <w:sz w:val="16"/>
          <w:szCs w:val="16"/>
        </w:rPr>
        <w:t xml:space="preserve"> на заводах Союза, ЦК обязывает ВСНХ привлечь к размещению заказов непосредственно директоров заводов и заводские организации.</w:t>
      </w:r>
    </w:p>
    <w:p w14:paraId="0F6EE5F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Одновременно ЦК предлагает заводским, партийным и профсоюзным организациям взять под особое наблюдение изготовление оборудования и конструкций для Магнитостроя и </w:t>
      </w:r>
      <w:proofErr w:type="spellStart"/>
      <w:r w:rsidRPr="007122AB">
        <w:rPr>
          <w:color w:val="000000" w:themeColor="text1"/>
          <w:sz w:val="16"/>
          <w:szCs w:val="16"/>
        </w:rPr>
        <w:t>Кузнецкстроя</w:t>
      </w:r>
      <w:proofErr w:type="spellEnd"/>
      <w:r w:rsidRPr="007122AB">
        <w:rPr>
          <w:color w:val="000000" w:themeColor="text1"/>
          <w:sz w:val="16"/>
          <w:szCs w:val="16"/>
        </w:rPr>
        <w:t>, мобилизовав на это дело ударные бригады, производственные совещания и заводскую печать.</w:t>
      </w:r>
    </w:p>
    <w:p w14:paraId="2C78EF8D"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12. </w:t>
      </w:r>
      <w:proofErr w:type="spellStart"/>
      <w:r w:rsidRPr="007122AB">
        <w:rPr>
          <w:color w:val="000000" w:themeColor="text1"/>
          <w:sz w:val="16"/>
          <w:szCs w:val="16"/>
        </w:rPr>
        <w:t>Наркомтруду</w:t>
      </w:r>
      <w:proofErr w:type="spellEnd"/>
      <w:r w:rsidRPr="007122AB">
        <w:rPr>
          <w:color w:val="000000" w:themeColor="text1"/>
          <w:sz w:val="16"/>
          <w:szCs w:val="16"/>
        </w:rPr>
        <w:t xml:space="preserve"> и ВСНХ принять немедленно меры к подбору и укомплектованию рабочей силой и техперсоналом Магнитостроя к началу 2</w:t>
      </w:r>
      <w:r w:rsidRPr="007122AB">
        <w:rPr>
          <w:color w:val="000000" w:themeColor="text1"/>
          <w:sz w:val="16"/>
          <w:szCs w:val="16"/>
        </w:rPr>
        <w:noBreakHyphen/>
        <w:t xml:space="preserve">го квартала (полное развертывание строительных и монтажных работ), в соответствии с заявкой строительства, которая должна быть представлена </w:t>
      </w:r>
      <w:proofErr w:type="spellStart"/>
      <w:r w:rsidRPr="007122AB">
        <w:rPr>
          <w:color w:val="000000" w:themeColor="text1"/>
          <w:sz w:val="16"/>
          <w:szCs w:val="16"/>
        </w:rPr>
        <w:t>Наркомтруду</w:t>
      </w:r>
      <w:proofErr w:type="spellEnd"/>
      <w:r w:rsidRPr="007122AB">
        <w:rPr>
          <w:color w:val="000000" w:themeColor="text1"/>
          <w:sz w:val="16"/>
          <w:szCs w:val="16"/>
        </w:rPr>
        <w:t xml:space="preserve"> в месячный срок.</w:t>
      </w:r>
    </w:p>
    <w:p w14:paraId="368ABE41"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13. Обязать ВСНХ проверить работу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и Магнитогорского строительства по обеспечению квалифицированной рабочей силой и руководящим персоналом Магнитогорского и Кузнецкого заводов, необходимой для пуска заводов в срок и принять необходимые меры к фактическому обеспечению этих заводов кадрами, не останавливаясь перед переброской необходимого количества старых кадровиков.</w:t>
      </w:r>
    </w:p>
    <w:p w14:paraId="03B188C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14. Командировать заграницу сроком до полугода не менее 100 чел. рабочих и технического персонала для практики на лучших заграничных металлургических предприятиях.</w:t>
      </w:r>
    </w:p>
    <w:p w14:paraId="4CD8E082"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15. Предложить ВСНХ поручить тов. </w:t>
      </w:r>
      <w:proofErr w:type="spellStart"/>
      <w:r w:rsidRPr="007122AB">
        <w:rPr>
          <w:color w:val="000000" w:themeColor="text1"/>
          <w:sz w:val="16"/>
          <w:szCs w:val="16"/>
        </w:rPr>
        <w:t>Межлауку</w:t>
      </w:r>
      <w:proofErr w:type="spellEnd"/>
      <w:r w:rsidRPr="007122AB">
        <w:rPr>
          <w:color w:val="000000" w:themeColor="text1"/>
          <w:sz w:val="16"/>
          <w:szCs w:val="16"/>
        </w:rPr>
        <w:t>, находящемуся в Америке, пригласить 30 человек высококвалифицированных специалистов-американцев, могущих занять руководящие технические должности в цехах магнитогорского завода для руководства пуском и эксплуатацией его с тем, чтобы эти специалисты прибыли на площадку не позже 1.V.31 г.</w:t>
      </w:r>
    </w:p>
    <w:p w14:paraId="3729A721"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16. Предложить ВСНХ поручить отобрать заграницей (Европа, Америка) до 500 квалифицированных рабочих для работы в различных цехах Магнитогорского завода с тем, чтобы они прибыли на площадку за месяц до пуска каждого цеха.</w:t>
      </w:r>
    </w:p>
    <w:p w14:paraId="53FD76E7"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17. Предложить НКПС в месячный срок разрешить вопрос о магистральных путях и путях примыкания к заводу, обеспечивающих перевозку руды и угля для обоих заводов как к Магнитогорску, так и от Магнитогорска до Кузнецка, учитывая необходимость выхода на Белорецк и Уфу.</w:t>
      </w:r>
    </w:p>
    <w:p w14:paraId="3DC7548F"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18. Отмечая совершенно неудовлетворительное состояние провозоспособности ветки Карталы — Магнитная, обязать персонально т. </w:t>
      </w:r>
      <w:proofErr w:type="spellStart"/>
      <w:r w:rsidRPr="007122AB">
        <w:rPr>
          <w:color w:val="000000" w:themeColor="text1"/>
          <w:sz w:val="16"/>
          <w:szCs w:val="16"/>
        </w:rPr>
        <w:t>Рухимовича</w:t>
      </w:r>
      <w:proofErr w:type="spellEnd"/>
      <w:r w:rsidRPr="007122AB">
        <w:rPr>
          <w:color w:val="000000" w:themeColor="text1"/>
          <w:sz w:val="16"/>
          <w:szCs w:val="16"/>
        </w:rPr>
        <w:t xml:space="preserve"> принять все необходимые меры для приведения ветки в рабочее состояние, обеспечивающее бесперебойные перевозки грузов, необходимых для строительства Магнитогорского завода.</w:t>
      </w:r>
    </w:p>
    <w:p w14:paraId="2303C738"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Через месяц доложить ЦК ВКП(б) о принятых мерах в этом отношении и о достигнутых результатах.</w:t>
      </w:r>
    </w:p>
    <w:p w14:paraId="62FE7DF1"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19. Предложить НКПС и ВСНХ преступить к подготовке организации приема и перевозки имеющего в ближайшее время поступить импортного тяжелого оборудования для Магнитостроя, для чего </w:t>
      </w:r>
      <w:proofErr w:type="spellStart"/>
      <w:r w:rsidRPr="007122AB">
        <w:rPr>
          <w:color w:val="000000" w:themeColor="text1"/>
          <w:sz w:val="16"/>
          <w:szCs w:val="16"/>
        </w:rPr>
        <w:t>Востокостали</w:t>
      </w:r>
      <w:proofErr w:type="spellEnd"/>
      <w:r w:rsidRPr="007122AB">
        <w:rPr>
          <w:color w:val="000000" w:themeColor="text1"/>
          <w:sz w:val="16"/>
          <w:szCs w:val="16"/>
        </w:rPr>
        <w:t xml:space="preserve"> представить в НКПС в </w:t>
      </w:r>
      <w:proofErr w:type="spellStart"/>
      <w:r w:rsidRPr="007122AB">
        <w:rPr>
          <w:color w:val="000000" w:themeColor="text1"/>
          <w:sz w:val="16"/>
          <w:szCs w:val="16"/>
        </w:rPr>
        <w:t>двухдекадный</w:t>
      </w:r>
      <w:proofErr w:type="spellEnd"/>
      <w:r w:rsidRPr="007122AB">
        <w:rPr>
          <w:color w:val="000000" w:themeColor="text1"/>
          <w:sz w:val="16"/>
          <w:szCs w:val="16"/>
        </w:rPr>
        <w:t xml:space="preserve"> срок разработанный план направления тяжелых перевозок с указанием объема, веса и единиц тяжелых грузов.</w:t>
      </w:r>
    </w:p>
    <w:p w14:paraId="58327525"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 xml:space="preserve">20. Предложить ВСНХ и НКПС в течение </w:t>
      </w:r>
      <w:proofErr w:type="spellStart"/>
      <w:r w:rsidRPr="007122AB">
        <w:rPr>
          <w:color w:val="000000" w:themeColor="text1"/>
          <w:sz w:val="16"/>
          <w:szCs w:val="16"/>
        </w:rPr>
        <w:t>двухдекадного</w:t>
      </w:r>
      <w:proofErr w:type="spellEnd"/>
      <w:r w:rsidRPr="007122AB">
        <w:rPr>
          <w:color w:val="000000" w:themeColor="text1"/>
          <w:sz w:val="16"/>
          <w:szCs w:val="16"/>
        </w:rPr>
        <w:t xml:space="preserve"> срока определить тип и количество вагонного и паровозного парка на линии Кузнецк — Магнитная для обслуживания перевозок руды и угля.</w:t>
      </w:r>
    </w:p>
    <w:p w14:paraId="22C4EA2E"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21. Считая, что транспортная проблема Кузнецк — Магнитная до сих пор не разработана во всех своих частях с достаточной тщательностью, заслушать в ЦК ВКП(б) в мае месяце 1931 г. специальный доклад НКПС и ВСНХ по этому вопросу.</w:t>
      </w:r>
    </w:p>
    <w:p w14:paraId="7758A31A"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22. Предложить Центросоюзу в 2</w:t>
      </w:r>
      <w:r w:rsidRPr="007122AB">
        <w:rPr>
          <w:color w:val="000000" w:themeColor="text1"/>
          <w:sz w:val="16"/>
          <w:szCs w:val="16"/>
        </w:rPr>
        <w:noBreakHyphen/>
        <w:t>месячный срок перестроить всю работу кооперации Магнитогорска, включив строительство Магнитостроя в первоочередное снабжение.</w:t>
      </w:r>
    </w:p>
    <w:p w14:paraId="1E7605B9"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23. Обязать Наркомздрав обеспечить строительство Магнитогорского завода в срочном порядке надлежащим врачебным персоналом, а равно необходимым оборудованием для усиления медико-санитарной сети на площадке.</w:t>
      </w:r>
    </w:p>
    <w:p w14:paraId="30C645A0"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24. Отмечая недостаточную активность, проявленную парторганизациями Урала в деле помощи Магнитогорскому строительству, ЦК ВКП(б) предлагает Уральскому областному комитету ВКП(б) и местным партийным организациям Магнитогорска принять все необходимые практические меры к осуществлению строительства и широкому разъяснению политического и хозяйственного значения Магнитогорского завода.</w:t>
      </w:r>
    </w:p>
    <w:p w14:paraId="4169E68A"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25. Признать необходимым, чтобы профессиональные организации Урала приняли действительно серьезные меры к вовлечению широких рабочих масс в содействие строительству, внедрению на строительстве новых форм социалистического труда, широкому развертыванию ударничества, соцсоревнования, общественных буксиров, обеспечению активного участия рабочих масс в разработке и выполнении строительных планов, постановке на надлежащую высоту культурно-бытового обслуживания рабочих, решительному прекращению текучести, рвачества и т. д. и т. п.</w:t>
      </w:r>
    </w:p>
    <w:p w14:paraId="16BE06B0"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26. ЦК ВКП(б) считает, что со стороны хозяйственных организаций, связанных в своей оперативной работе со строительством, должно быть достигнуто точное выполнение оперативных заданий по срокам и качеству выполняемой и поставляемой продукции, должно быть изжито казенно-бюрократическое отношение к заказам и поручениям строительства к оказано максимальное техническое содействие строительству в монтаже и эксплуатации поставляемого оборудования в соответствии со сроками пуска завода.</w:t>
      </w:r>
    </w:p>
    <w:p w14:paraId="13135D84" w14:textId="77777777" w:rsidR="00C92E4A" w:rsidRPr="007122AB" w:rsidRDefault="00C92E4A" w:rsidP="007122AB">
      <w:pPr>
        <w:pStyle w:val="rtejustify"/>
        <w:spacing w:before="0" w:after="0"/>
        <w:rPr>
          <w:color w:val="000000" w:themeColor="text1"/>
          <w:sz w:val="16"/>
          <w:szCs w:val="16"/>
        </w:rPr>
      </w:pPr>
      <w:r w:rsidRPr="007122AB">
        <w:rPr>
          <w:color w:val="000000" w:themeColor="text1"/>
          <w:sz w:val="16"/>
          <w:szCs w:val="16"/>
        </w:rPr>
        <w:t>27. Освободить т. Румянцева от обязанностей секретаря райкома (17244).</w:t>
      </w:r>
    </w:p>
    <w:p w14:paraId="68F740AE" w14:textId="77777777" w:rsidR="007E4069" w:rsidRPr="007122AB" w:rsidRDefault="007E4069" w:rsidP="007122AB">
      <w:pPr>
        <w:spacing w:after="0" w:line="240" w:lineRule="auto"/>
        <w:jc w:val="both"/>
        <w:rPr>
          <w:rFonts w:ascii="Times New Roman" w:hAnsi="Times New Roman"/>
          <w:color w:val="000000" w:themeColor="text1"/>
          <w:sz w:val="16"/>
          <w:szCs w:val="16"/>
        </w:rPr>
      </w:pPr>
    </w:p>
    <w:p w14:paraId="70794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января 1931 г. приказом по заводу №7 за № 17 было решено приступить к изготовлению компрессорных станций. Для их разработки было создано ПКБ по </w:t>
      </w:r>
      <w:proofErr w:type="spellStart"/>
      <w:r w:rsidRPr="007122AB">
        <w:rPr>
          <w:rFonts w:ascii="Times New Roman" w:hAnsi="Times New Roman"/>
          <w:color w:val="000000" w:themeColor="text1"/>
          <w:sz w:val="16"/>
          <w:szCs w:val="16"/>
        </w:rPr>
        <w:t>компрессоростроению</w:t>
      </w:r>
      <w:proofErr w:type="spellEnd"/>
      <w:r w:rsidRPr="007122AB">
        <w:rPr>
          <w:rFonts w:ascii="Times New Roman" w:hAnsi="Times New Roman"/>
          <w:color w:val="000000" w:themeColor="text1"/>
          <w:sz w:val="16"/>
          <w:szCs w:val="16"/>
        </w:rPr>
        <w:t>. С 1947 г. производство компрессорных станций для шахт, ГЭС было возобновлено. В 1966 г. начала действовать первая в стране установка по производству жидкого азота высокой чистоты (10776).</w:t>
      </w:r>
    </w:p>
    <w:p w14:paraId="77CFCEB4" w14:textId="00DD98A3"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3553BF" w14:textId="6E697CB7" w:rsidR="00B93B98" w:rsidRPr="007122AB" w:rsidRDefault="00B93B98"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65199B86" w14:textId="77777777" w:rsidR="00B93B98" w:rsidRPr="007122AB" w:rsidRDefault="00B93B98"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00A0757"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января 1931 года начальник ВВС РККА П.И. Баранов огласил приказ Реввоенсовета СССР № 12: «Считать с 25 января 1931 года Краснознаменный Всесоюзный ленинский коммунистический союз молодежи шефом над Военно-воздушными силами РККА», который подписал Нарком по военным и морским делам и председатель РВС СССР К.Е. Ворошилов. Докладывая IX съезду комсомола о состоянии ВВС РККА, П.И. Баранов подчеркнул, что трудность воссоздания военно-воздушной мощи Советской страны преодолевается. При этом он обратил внимание на то, что партийно-комсомольская прослойка среди летного и технического состава возросла с 37% в 1925 году до 70% в 1930 году. При этом в составе летных школ их доля доходила до 90%» (РГАСПИ. Ф.М – 6. Оп. 9. Д. 11. Л. 79 об.) (21402).</w:t>
      </w:r>
    </w:p>
    <w:p w14:paraId="6BC85E7B"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7A39D7AF" w14:textId="77777777" w:rsidR="00D92D75" w:rsidRPr="007122AB" w:rsidRDefault="00D92D7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8143E00" w14:textId="77777777" w:rsidR="00D92D75" w:rsidRPr="007122AB" w:rsidRDefault="00D92D7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9B4F5A" w14:textId="77777777" w:rsidR="00435940" w:rsidRPr="007122AB" w:rsidRDefault="004359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января 1931 г. в приказе РВС СССР за № 12 говорилось: «В связи с единодушно выраженной IX съездом Всесоюзного Ленинского Коммунистического Союза Молодежи волей о принятии со стороны трехмиллионной массы молодых строителей социализма шефства над Военными воздушными силами РККА, Революционный Военный Совет Союза ССР постановляет: «Считать с 25 января 1931 г. Краснознаменный Всесоюзный Ленинский Коммунистический Союз Молодежи шефом над Военными воздушными силами </w:t>
      </w:r>
      <w:proofErr w:type="spellStart"/>
      <w:r w:rsidRPr="007122AB">
        <w:rPr>
          <w:rFonts w:ascii="Times New Roman" w:hAnsi="Times New Roman"/>
          <w:color w:val="000000" w:themeColor="text1"/>
          <w:sz w:val="16"/>
          <w:szCs w:val="16"/>
        </w:rPr>
        <w:t>Рабоче</w:t>
      </w:r>
      <w:proofErr w:type="spellEnd"/>
      <w:r w:rsidRPr="007122AB">
        <w:rPr>
          <w:rFonts w:ascii="Times New Roman" w:hAnsi="Times New Roman"/>
          <w:color w:val="000000" w:themeColor="text1"/>
          <w:sz w:val="16"/>
          <w:szCs w:val="16"/>
        </w:rPr>
        <w:t xml:space="preserve"> Крестьянской Красной Армии» (19566).</w:t>
      </w:r>
    </w:p>
    <w:p w14:paraId="7040293A" w14:textId="77777777" w:rsidR="00435940" w:rsidRPr="007122AB" w:rsidRDefault="00435940" w:rsidP="007122AB">
      <w:pPr>
        <w:spacing w:after="0" w:line="240" w:lineRule="auto"/>
        <w:jc w:val="both"/>
        <w:rPr>
          <w:rFonts w:ascii="Times New Roman" w:hAnsi="Times New Roman"/>
          <w:color w:val="000000" w:themeColor="text1"/>
          <w:sz w:val="16"/>
          <w:szCs w:val="16"/>
        </w:rPr>
      </w:pPr>
    </w:p>
    <w:p w14:paraId="687A87BC" w14:textId="77777777" w:rsidR="00435940" w:rsidRPr="007122AB" w:rsidRDefault="0043594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25 января 1931 г.</w:t>
      </w:r>
    </w:p>
    <w:p w14:paraId="3FB62644" w14:textId="77777777" w:rsidR="00435940" w:rsidRPr="007122AB" w:rsidRDefault="0043594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Из заявления в Коллегию ОГПУ С. А. Предтеченского после окончания следствия по «делу боевой группы». 25 января 1931 г.</w:t>
      </w:r>
    </w:p>
    <w:p w14:paraId="49E6D8EB" w14:textId="77777777" w:rsidR="00435940" w:rsidRPr="007122AB" w:rsidRDefault="0043594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381C7D86" w14:textId="77777777" w:rsidR="00435940" w:rsidRPr="007122AB" w:rsidRDefault="004359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8084277" w14:textId="77777777" w:rsidR="00435940" w:rsidRPr="007122AB" w:rsidRDefault="0043594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2FEA9F55" w14:textId="77777777" w:rsidR="00435940" w:rsidRPr="007122AB" w:rsidRDefault="004359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 ФСБ РФ. Ф. Р-42280. Т. 3. Л. 349-355 об.</w:t>
      </w:r>
    </w:p>
    <w:p w14:paraId="56EF3A06" w14:textId="77777777" w:rsidR="00435940" w:rsidRPr="007122AB" w:rsidRDefault="00435940" w:rsidP="007122AB">
      <w:pPr>
        <w:pStyle w:val="rteright"/>
        <w:spacing w:before="0" w:after="0"/>
        <w:jc w:val="both"/>
        <w:rPr>
          <w:color w:val="000000" w:themeColor="text1"/>
          <w:sz w:val="16"/>
          <w:szCs w:val="16"/>
        </w:rPr>
      </w:pPr>
      <w:r w:rsidRPr="007122AB">
        <w:rPr>
          <w:color w:val="000000" w:themeColor="text1"/>
          <w:sz w:val="16"/>
          <w:szCs w:val="16"/>
        </w:rPr>
        <w:t>25 января 1931 г.</w:t>
      </w:r>
    </w:p>
    <w:p w14:paraId="3291D039"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 Как могло получиться, что я, человек, никогда не имевший собственности, не зараженный ядом капитализма, встретивший революцию в молодом еще возрасте (33 г.), проработавший верой и правдой первые 10 лет Советской Власти пал до активной борьбы с Властью во имя чуждых мне интересов?!</w:t>
      </w:r>
    </w:p>
    <w:p w14:paraId="1EEDDE98"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lastRenderedPageBreak/>
        <w:t>Анализируя теперь уже после ареста в течение четырех месяцев в тюрьме все мое прошлое, я с чувством удовлетворения и гордости отличаю работу в течение первого периода, первого десятилетия Советской Власти, но с тем еще большим стыдом я останавливаюсь на позорной работе моей за последние 2-3 года. Основной причиной моего падения является пагубная история, основанная на делячестве, аполитичности, якобы способной подменить собой подлинную работу с массами, шагать нога в ногу с ними. Отрыв от масс, постоянное противопоставление своей личности воле рабочих масс под флагом нейтральности, вот что и погубило меня.</w:t>
      </w:r>
    </w:p>
    <w:p w14:paraId="2681366D" w14:textId="77777777" w:rsidR="00435940" w:rsidRPr="007122AB" w:rsidRDefault="00435940" w:rsidP="007122AB">
      <w:pPr>
        <w:pStyle w:val="rtejustify"/>
        <w:spacing w:before="0" w:after="0"/>
        <w:rPr>
          <w:color w:val="000000" w:themeColor="text1"/>
          <w:sz w:val="16"/>
          <w:szCs w:val="16"/>
        </w:rPr>
      </w:pPr>
      <w:proofErr w:type="spellStart"/>
      <w:r w:rsidRPr="007122AB">
        <w:rPr>
          <w:color w:val="000000" w:themeColor="text1"/>
          <w:sz w:val="16"/>
          <w:szCs w:val="16"/>
        </w:rPr>
        <w:t>Коммунизация</w:t>
      </w:r>
      <w:proofErr w:type="spellEnd"/>
      <w:r w:rsidRPr="007122AB">
        <w:rPr>
          <w:color w:val="000000" w:themeColor="text1"/>
          <w:sz w:val="16"/>
          <w:szCs w:val="16"/>
        </w:rPr>
        <w:t xml:space="preserve"> аппарата, институт выдвиженчества, чистка </w:t>
      </w:r>
      <w:proofErr w:type="spellStart"/>
      <w:r w:rsidRPr="007122AB">
        <w:rPr>
          <w:color w:val="000000" w:themeColor="text1"/>
          <w:sz w:val="16"/>
          <w:szCs w:val="16"/>
        </w:rPr>
        <w:t>соваппарата</w:t>
      </w:r>
      <w:proofErr w:type="spellEnd"/>
      <w:r w:rsidRPr="007122AB">
        <w:rPr>
          <w:color w:val="000000" w:themeColor="text1"/>
          <w:sz w:val="16"/>
          <w:szCs w:val="16"/>
        </w:rPr>
        <w:t>, словом все проявления классовой борьбы рассматривались мною с точки зрения оторванного от действительности интеллигента, как поход власти против интеллигенции вообще, как ее «раскулачивание» и «уничтожение как класса».</w:t>
      </w:r>
    </w:p>
    <w:p w14:paraId="4611B8D5"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Я забывал о том, что острие этой политики было волей истории направлено не против интеллигенции как таковой, а против тех, кто не сумел свою волю объединить с коллективной волей миллионов.</w:t>
      </w:r>
    </w:p>
    <w:p w14:paraId="30EC96ED"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Забыв обо всем этом и припомнив свою самоотверженную деятельность в первом периоде, я почувствовал себя искренне обиженным за то недоверие, с которым приходилось встречаться все чаще и чаще в повседневной работе.</w:t>
      </w:r>
    </w:p>
    <w:p w14:paraId="7F66C9E0"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На основе этого во всех отношениях ложного чувства обиды, я попал под гипноз все еще интеллигентских представителей, таких же, как и я, оторвавшихся от масс интеллигентов, исповедующих примерно такую формулу: «Сколько ни работай, спасибо не заслужишь», «чем меньше дела берешь на себя, тем больше данных за то, что останешься цел». И т. д. и т. п. К этому прибавилось насильственно против моей воли и вообще вопреки здравому смыслу, под влиянием личных связей, осуществленное осенью 1929 г. стихийное соединение Строительно-Монтажного Бюро с трестом «Тепло и Сила». Я был основателем этого Бюро, директором с первого дня его основания.</w:t>
      </w:r>
    </w:p>
    <w:p w14:paraId="255B9707"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Я вложил в него огромное количество сил и любви и дело это рассматривал как развал. [...] Трест вообще представлял собой болотную организацию, за 6 лет в нем сменилось 26 членов правления. Началась борьба, о деле никто не думал, и оно шло самотеком. Началась переброска треста из одного объединения в другое [...]</w:t>
      </w:r>
    </w:p>
    <w:p w14:paraId="45BDBCBD"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Все это идет помимо меня, решается где-то в порядке личных связей, из руководителя, организатора, из человека, хорошо знающего свое дело, меня превращают в свидетеля гибели организации и неспособного ничего сделать. Исходя из окрепшей во мне уже к тому времени психологии, изложенной мной выше, этот чисто местный, склочный инцидент я распространил на все, и возвел его в систему обезличения и уничтожения инженера от руководства дела с оставлением за ним только ответственности за результат без права оперативно влиять на общий его ход.</w:t>
      </w:r>
    </w:p>
    <w:p w14:paraId="1AFE664B"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Далее мой единственный сын по окончании девятилетки в 1929 г. несмотря на то, что выдержал конкурсные экзамены в МВТУ, несмотря на то, что он сын специалиста, все же не был принят ни в осенний, ни в весенний набор. На почве этих, чисто служебных, чисто личных переживаний выросла и окрепла уверенность в том, что и вся страна переживает то же, и вся страна идет к гибели.</w:t>
      </w:r>
    </w:p>
    <w:p w14:paraId="2CA71799"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Я упорно оставался в таком убеждении, упорно отмахивался от окружающей меня действительности, бурного и грандиозного строительства, а будучи от природы человеком энергичным и деятельным, я не смог уйти в «болото», а постепенно стал изменять сам себе под воздействием авторитета Л. К. Рамзина, стал по ту сторону баррикады и стал в положение активного борца с Советской Властью.</w:t>
      </w:r>
    </w:p>
    <w:p w14:paraId="214125F2"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И теперь, продумав свою жизнь от начала и до конца, я отдаю себе ясный отчет в том, как могуча, непобедима истинно народная власть, Власть Советов, как безумны, ничтожно жалки и преступны все происки «Промпартии» против этой власти.</w:t>
      </w:r>
    </w:p>
    <w:p w14:paraId="5B5974D4"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Разоружившись до конца, признав безоговорочно, целиком и полностью всю тяжесть совершенных мной преступлений, нужно иметь гражданское мужество посмотреть правде в глаза.</w:t>
      </w:r>
    </w:p>
    <w:p w14:paraId="11E3C089"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 xml:space="preserve">Прямыми результатами этой ложной и во многом ошибочной психологии и совершенных на ее основе преступлений, являясь причиной </w:t>
      </w:r>
      <w:proofErr w:type="spellStart"/>
      <w:r w:rsidRPr="007122AB">
        <w:rPr>
          <w:color w:val="000000" w:themeColor="text1"/>
          <w:sz w:val="16"/>
          <w:szCs w:val="16"/>
        </w:rPr>
        <w:t>опозоренности</w:t>
      </w:r>
      <w:proofErr w:type="spellEnd"/>
      <w:r w:rsidRPr="007122AB">
        <w:rPr>
          <w:color w:val="000000" w:themeColor="text1"/>
          <w:sz w:val="16"/>
          <w:szCs w:val="16"/>
        </w:rPr>
        <w:t xml:space="preserve"> ни в чем неповинной семьи, разбита личная и втоптанная в грязь вся предыдущая трудовая жизнь. Два последних года погубили все, что создавалось трудом в течение 44 предыдущих лет.</w:t>
      </w:r>
    </w:p>
    <w:p w14:paraId="695E013D"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Мне ясно, что возврата к прошлому нет, среда из которой пришел я сюда не примет меня из страха скомпрометировать себя связью со мною, в нее я бы не вернулся ни при каких условиях. Советская общественность отбросила меня как тяжкого преступника, для которого нет места среди людей, с верой и энтузиазмом строящих социализм.</w:t>
      </w:r>
    </w:p>
    <w:p w14:paraId="56626736" w14:textId="77777777" w:rsidR="00435940" w:rsidRPr="007122AB" w:rsidRDefault="00435940" w:rsidP="007122AB">
      <w:pPr>
        <w:pStyle w:val="rtejustify"/>
        <w:spacing w:before="0" w:after="0"/>
        <w:rPr>
          <w:color w:val="000000" w:themeColor="text1"/>
          <w:sz w:val="16"/>
          <w:szCs w:val="16"/>
        </w:rPr>
      </w:pPr>
      <w:r w:rsidRPr="007122AB">
        <w:rPr>
          <w:color w:val="000000" w:themeColor="text1"/>
          <w:sz w:val="16"/>
          <w:szCs w:val="16"/>
        </w:rPr>
        <w:t>При таком положении, быть может, самым легким выходом был бы расстрел. Но не только из совершенно понятного чувства самосохранения, я прошу великодушно оставить мне жизнь, я хочу честным трудом при каких угодно условиях отдать себя целиком служению интересов рабочего класса, заслужить его прощение и смыть с себя грязь и позор последних лет своей преступной работы.</w:t>
      </w:r>
    </w:p>
    <w:p w14:paraId="181E6B98" w14:textId="77777777" w:rsidR="00435940" w:rsidRPr="007122AB" w:rsidRDefault="00435940" w:rsidP="007122AB">
      <w:pPr>
        <w:pStyle w:val="ae"/>
        <w:spacing w:before="0" w:after="0"/>
        <w:jc w:val="both"/>
        <w:rPr>
          <w:color w:val="000000" w:themeColor="text1"/>
          <w:sz w:val="16"/>
          <w:szCs w:val="16"/>
        </w:rPr>
      </w:pPr>
      <w:r w:rsidRPr="007122AB">
        <w:rPr>
          <w:color w:val="000000" w:themeColor="text1"/>
          <w:sz w:val="16"/>
          <w:szCs w:val="16"/>
        </w:rPr>
        <w:t>Сергей Алексеевич Предтеченский</w:t>
      </w:r>
    </w:p>
    <w:p w14:paraId="62126C0D" w14:textId="77777777" w:rsidR="00435940" w:rsidRPr="007122AB" w:rsidRDefault="00435940" w:rsidP="007122AB">
      <w:pPr>
        <w:pStyle w:val="ae"/>
        <w:spacing w:before="0" w:after="0"/>
        <w:jc w:val="both"/>
        <w:rPr>
          <w:color w:val="000000" w:themeColor="text1"/>
          <w:sz w:val="16"/>
          <w:szCs w:val="16"/>
        </w:rPr>
      </w:pPr>
      <w:r w:rsidRPr="007122AB">
        <w:rPr>
          <w:color w:val="000000" w:themeColor="text1"/>
          <w:sz w:val="16"/>
          <w:szCs w:val="16"/>
        </w:rPr>
        <w:t>25/1-31 г.</w:t>
      </w:r>
    </w:p>
    <w:p w14:paraId="77C813A6" w14:textId="77777777" w:rsidR="00435940" w:rsidRPr="007122AB" w:rsidRDefault="00435940" w:rsidP="007122AB">
      <w:pPr>
        <w:pStyle w:val="ae"/>
        <w:spacing w:before="0" w:after="0"/>
        <w:jc w:val="both"/>
        <w:rPr>
          <w:color w:val="000000" w:themeColor="text1"/>
          <w:sz w:val="16"/>
          <w:szCs w:val="16"/>
        </w:rPr>
      </w:pPr>
      <w:r w:rsidRPr="007122AB">
        <w:rPr>
          <w:rStyle w:val="af0"/>
          <w:i w:val="0"/>
          <w:color w:val="000000" w:themeColor="text1"/>
          <w:sz w:val="16"/>
          <w:szCs w:val="16"/>
        </w:rPr>
        <w:t>ЦА ФСБ РФ. Ф. Р-42280. Т. 3. Л. 349-355 об. Рукописный подлинник, автограф С. А. Предтеченского (18747).</w:t>
      </w:r>
    </w:p>
    <w:p w14:paraId="51A6BAD8" w14:textId="77777777" w:rsidR="00435940" w:rsidRPr="007122AB" w:rsidRDefault="00435940" w:rsidP="007122AB">
      <w:pPr>
        <w:spacing w:after="0" w:line="240" w:lineRule="auto"/>
        <w:jc w:val="both"/>
        <w:rPr>
          <w:rFonts w:ascii="Times New Roman" w:hAnsi="Times New Roman"/>
          <w:color w:val="000000" w:themeColor="text1"/>
          <w:sz w:val="16"/>
          <w:szCs w:val="16"/>
        </w:rPr>
      </w:pPr>
    </w:p>
    <w:p w14:paraId="045ACDE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A9A042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9E92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января 1931 был принят эскизный проект танка-гибрида, выполненный на основании чертежей Т-19 и В-26. В заключении комиссии го</w:t>
      </w:r>
      <w:r w:rsidRPr="007122AB">
        <w:rPr>
          <w:rFonts w:ascii="Times New Roman" w:hAnsi="Times New Roman"/>
          <w:color w:val="000000" w:themeColor="text1"/>
          <w:sz w:val="16"/>
          <w:szCs w:val="16"/>
        </w:rPr>
        <w:softHyphen/>
        <w:t>ворилось, что изготовление такого танка сделает его не только более мощным, чем В-26, но и «...более дешевым, а также простым в производстве, чем простое копирование уже не новой английской машины...» (10733,169)</w:t>
      </w:r>
    </w:p>
    <w:p w14:paraId="6B6CF0E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1A3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января 1931 г. было написано распоряжение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С. Гинзбургу. В нем, в час</w:t>
      </w:r>
      <w:r w:rsidRPr="007122AB">
        <w:rPr>
          <w:rFonts w:ascii="Times New Roman" w:hAnsi="Times New Roman"/>
          <w:color w:val="000000" w:themeColor="text1"/>
          <w:sz w:val="16"/>
          <w:szCs w:val="16"/>
        </w:rPr>
        <w:softHyphen/>
        <w:t>тности, говорится: «...по имеющимся в штабе агент[</w:t>
      </w:r>
      <w:proofErr w:type="spellStart"/>
      <w:r w:rsidRPr="007122AB">
        <w:rPr>
          <w:rFonts w:ascii="Times New Roman" w:hAnsi="Times New Roman"/>
          <w:color w:val="000000" w:themeColor="text1"/>
          <w:sz w:val="16"/>
          <w:szCs w:val="16"/>
        </w:rPr>
        <w:t>урным</w:t>
      </w:r>
      <w:proofErr w:type="spellEnd"/>
      <w:r w:rsidRPr="007122AB">
        <w:rPr>
          <w:rFonts w:ascii="Times New Roman" w:hAnsi="Times New Roman"/>
          <w:color w:val="000000" w:themeColor="text1"/>
          <w:sz w:val="16"/>
          <w:szCs w:val="16"/>
        </w:rPr>
        <w:t>] данным,... польское правительство ведет закупки образцов 6-тонного танка типа Виккерс и 10-тонного быстроходного танка типа Кристи и усиленно готовится их массовому про</w:t>
      </w:r>
      <w:r w:rsidRPr="007122AB">
        <w:rPr>
          <w:rFonts w:ascii="Times New Roman" w:hAnsi="Times New Roman"/>
          <w:color w:val="000000" w:themeColor="text1"/>
          <w:sz w:val="16"/>
          <w:szCs w:val="16"/>
        </w:rPr>
        <w:softHyphen/>
        <w:t xml:space="preserve">изводству... Тов. Ворошилов, тов. </w:t>
      </w:r>
      <w:proofErr w:type="spellStart"/>
      <w:r w:rsidRPr="007122AB">
        <w:rPr>
          <w:rFonts w:ascii="Times New Roman" w:hAnsi="Times New Roman"/>
          <w:color w:val="000000" w:themeColor="text1"/>
          <w:sz w:val="16"/>
          <w:szCs w:val="16"/>
        </w:rPr>
        <w:t>Эйдеманн</w:t>
      </w:r>
      <w:proofErr w:type="spellEnd"/>
      <w:r w:rsidRPr="007122AB">
        <w:rPr>
          <w:rFonts w:ascii="Times New Roman" w:hAnsi="Times New Roman"/>
          <w:color w:val="000000" w:themeColor="text1"/>
          <w:sz w:val="16"/>
          <w:szCs w:val="16"/>
        </w:rPr>
        <w:t xml:space="preserve"> и тов. Тухачев</w:t>
      </w:r>
      <w:r w:rsidRPr="007122AB">
        <w:rPr>
          <w:rFonts w:ascii="Times New Roman" w:hAnsi="Times New Roman"/>
          <w:color w:val="000000" w:themeColor="text1"/>
          <w:sz w:val="16"/>
          <w:szCs w:val="16"/>
        </w:rPr>
        <w:softHyphen/>
        <w:t xml:space="preserve">ский согласны, что используя </w:t>
      </w:r>
      <w:proofErr w:type="spellStart"/>
      <w:r w:rsidRPr="007122AB">
        <w:rPr>
          <w:rFonts w:ascii="Times New Roman" w:hAnsi="Times New Roman"/>
          <w:color w:val="000000" w:themeColor="text1"/>
          <w:sz w:val="16"/>
          <w:szCs w:val="16"/>
        </w:rPr>
        <w:t>англ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ийско</w:t>
      </w:r>
      <w:proofErr w:type="spellEnd"/>
      <w:r w:rsidRPr="007122AB">
        <w:rPr>
          <w:rFonts w:ascii="Times New Roman" w:hAnsi="Times New Roman"/>
          <w:color w:val="000000" w:themeColor="text1"/>
          <w:sz w:val="16"/>
          <w:szCs w:val="16"/>
        </w:rPr>
        <w:t>] -французскую] помощь поляки в состоянии сделать уже к концу текущего года более 300 шт. легких 6-тонных англ. танков и до 100 шт. средних танков типа Кристи... В следующем году они могут и удвоить это число...</w:t>
      </w:r>
    </w:p>
    <w:p w14:paraId="35D9CF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 может дать им в руки большие козыри с точки </w:t>
      </w:r>
      <w:proofErr w:type="spellStart"/>
      <w:r w:rsidRPr="007122AB">
        <w:rPr>
          <w:rFonts w:ascii="Times New Roman" w:hAnsi="Times New Roman"/>
          <w:color w:val="000000" w:themeColor="text1"/>
          <w:sz w:val="16"/>
          <w:szCs w:val="16"/>
        </w:rPr>
        <w:t>зре</w:t>
      </w:r>
      <w:proofErr w:type="spellEnd"/>
      <w:r w:rsidRPr="007122AB">
        <w:rPr>
          <w:rFonts w:ascii="Times New Roman" w:hAnsi="Times New Roman"/>
          <w:color w:val="000000" w:themeColor="text1"/>
          <w:sz w:val="16"/>
          <w:szCs w:val="16"/>
        </w:rPr>
        <w:t xml:space="preserve">-использования бронесил, которыми они не преминут воспользоваться, [так как] танки типа Кристи... как нельзя лучше подходят для ведения маневренной войны на просторах </w:t>
      </w:r>
      <w:proofErr w:type="spellStart"/>
      <w:r w:rsidRPr="007122AB">
        <w:rPr>
          <w:rFonts w:ascii="Times New Roman" w:hAnsi="Times New Roman"/>
          <w:color w:val="000000" w:themeColor="text1"/>
          <w:sz w:val="16"/>
          <w:szCs w:val="16"/>
        </w:rPr>
        <w:t>СССр</w:t>
      </w:r>
      <w:proofErr w:type="spellEnd"/>
      <w:r w:rsidRPr="007122AB">
        <w:rPr>
          <w:rFonts w:ascii="Times New Roman" w:hAnsi="Times New Roman"/>
          <w:color w:val="000000" w:themeColor="text1"/>
          <w:sz w:val="16"/>
          <w:szCs w:val="16"/>
        </w:rPr>
        <w:t>... Таким образом Совет счел целесообразным... рас</w:t>
      </w:r>
      <w:r w:rsidRPr="007122AB">
        <w:rPr>
          <w:rFonts w:ascii="Times New Roman" w:hAnsi="Times New Roman"/>
          <w:color w:val="000000" w:themeColor="text1"/>
          <w:sz w:val="16"/>
          <w:szCs w:val="16"/>
        </w:rPr>
        <w:softHyphen/>
        <w:t>смотреть вопрос о принятии на вооружение КА вышеозначен</w:t>
      </w:r>
      <w:r w:rsidRPr="007122AB">
        <w:rPr>
          <w:rFonts w:ascii="Times New Roman" w:hAnsi="Times New Roman"/>
          <w:color w:val="000000" w:themeColor="text1"/>
          <w:sz w:val="16"/>
          <w:szCs w:val="16"/>
        </w:rPr>
        <w:softHyphen/>
        <w:t>ных иностранных танков и начать их выпуск немедленно как они есть - не дожидаясь окончания опытных работ, чтобы при необходимости нанести отпор возможной агрессии...» (10733,172).</w:t>
      </w:r>
    </w:p>
    <w:p w14:paraId="0002E1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7F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января 1931 г. вышло письмо-распоряжение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С. Гинзбургу. В нем говорится:</w:t>
      </w:r>
    </w:p>
    <w:p w14:paraId="41050E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7A0E4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Ворошилов, тов. </w:t>
      </w:r>
      <w:proofErr w:type="spellStart"/>
      <w:r w:rsidRPr="007122AB">
        <w:rPr>
          <w:rFonts w:ascii="Times New Roman" w:hAnsi="Times New Roman"/>
          <w:color w:val="000000" w:themeColor="text1"/>
          <w:sz w:val="16"/>
          <w:szCs w:val="16"/>
        </w:rPr>
        <w:t>Эйдеманн</w:t>
      </w:r>
      <w:proofErr w:type="spellEnd"/>
      <w:r w:rsidRPr="007122AB">
        <w:rPr>
          <w:rFonts w:ascii="Times New Roman" w:hAnsi="Times New Roman"/>
          <w:color w:val="000000" w:themeColor="text1"/>
          <w:sz w:val="16"/>
          <w:szCs w:val="16"/>
        </w:rPr>
        <w:t xml:space="preserve">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0FEAE9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420EBF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CB21AF" w14:textId="77777777" w:rsidR="006C4450" w:rsidRPr="007122AB" w:rsidRDefault="006C445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DD81BF3" w14:textId="77777777" w:rsidR="006C4450" w:rsidRPr="007122AB" w:rsidRDefault="006C44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B53044" w14:textId="77777777" w:rsidR="006C4450" w:rsidRPr="007122AB" w:rsidRDefault="006C445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26 января 1931 г.</w:t>
      </w:r>
    </w:p>
    <w:p w14:paraId="40096543" w14:textId="77777777" w:rsidR="006C4450" w:rsidRPr="007122AB" w:rsidRDefault="006C445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заместителя наркома иностранных дел СССР Н. Н. Крестинского полпреду СССР во Франции В. С. Довгалевскому. 26 января 1931 г.</w:t>
      </w:r>
    </w:p>
    <w:p w14:paraId="437E9CE6" w14:textId="77777777" w:rsidR="006C4450" w:rsidRPr="007122AB" w:rsidRDefault="006C445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B55EA0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013EBA" w14:textId="77777777" w:rsidR="006C4450" w:rsidRPr="007122AB" w:rsidRDefault="006C445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7CD05A6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010. On. 2. П. 13а. Д. 232. Л. 6-7</w:t>
      </w:r>
    </w:p>
    <w:p w14:paraId="60284242" w14:textId="77777777" w:rsidR="006C4450" w:rsidRPr="007122AB" w:rsidRDefault="006C4450" w:rsidP="007122AB">
      <w:pPr>
        <w:pStyle w:val="rteright"/>
        <w:spacing w:before="0" w:after="0"/>
        <w:jc w:val="both"/>
        <w:rPr>
          <w:color w:val="000000" w:themeColor="text1"/>
          <w:sz w:val="16"/>
          <w:szCs w:val="16"/>
        </w:rPr>
      </w:pPr>
      <w:r w:rsidRPr="007122AB">
        <w:rPr>
          <w:color w:val="000000" w:themeColor="text1"/>
          <w:sz w:val="16"/>
          <w:szCs w:val="16"/>
        </w:rPr>
        <w:t>26 января 1931 г.</w:t>
      </w:r>
    </w:p>
    <w:p w14:paraId="0382C41C" w14:textId="77777777" w:rsidR="006C4450" w:rsidRPr="007122AB" w:rsidRDefault="006C4450"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4AAA0963" w14:textId="77777777" w:rsidR="006C4450" w:rsidRPr="007122AB" w:rsidRDefault="006C4450" w:rsidP="007122AB">
      <w:pPr>
        <w:pStyle w:val="rteright"/>
        <w:spacing w:before="0" w:after="0"/>
        <w:jc w:val="both"/>
        <w:rPr>
          <w:color w:val="000000" w:themeColor="text1"/>
          <w:sz w:val="16"/>
          <w:szCs w:val="16"/>
        </w:rPr>
      </w:pPr>
      <w:r w:rsidRPr="007122AB">
        <w:rPr>
          <w:color w:val="000000" w:themeColor="text1"/>
          <w:sz w:val="16"/>
          <w:szCs w:val="16"/>
        </w:rPr>
        <w:t>Лично</w:t>
      </w:r>
    </w:p>
    <w:p w14:paraId="7837030A" w14:textId="77777777" w:rsidR="006C4450" w:rsidRPr="007122AB" w:rsidRDefault="006C4450" w:rsidP="007122AB">
      <w:pPr>
        <w:pStyle w:val="ae"/>
        <w:spacing w:before="0" w:after="0"/>
        <w:jc w:val="both"/>
        <w:rPr>
          <w:color w:val="000000" w:themeColor="text1"/>
          <w:sz w:val="16"/>
          <w:szCs w:val="16"/>
        </w:rPr>
      </w:pPr>
      <w:r w:rsidRPr="007122AB">
        <w:rPr>
          <w:color w:val="000000" w:themeColor="text1"/>
          <w:sz w:val="16"/>
          <w:szCs w:val="16"/>
        </w:rPr>
        <w:t>Полномочному Представителю СССР во Франции</w:t>
      </w:r>
    </w:p>
    <w:p w14:paraId="717C7BEF" w14:textId="77777777" w:rsidR="006C4450" w:rsidRPr="007122AB" w:rsidRDefault="006C4450" w:rsidP="007122AB">
      <w:pPr>
        <w:pStyle w:val="ae"/>
        <w:spacing w:before="0" w:after="0"/>
        <w:jc w:val="both"/>
        <w:rPr>
          <w:color w:val="000000" w:themeColor="text1"/>
          <w:sz w:val="16"/>
          <w:szCs w:val="16"/>
        </w:rPr>
      </w:pPr>
      <w:r w:rsidRPr="007122AB">
        <w:rPr>
          <w:color w:val="000000" w:themeColor="text1"/>
          <w:sz w:val="16"/>
          <w:szCs w:val="16"/>
        </w:rPr>
        <w:t>тов. ДОВГАЛЕВСКОМУ</w:t>
      </w:r>
    </w:p>
    <w:p w14:paraId="4FAB6FD7"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t>Многоуважаемый Валериан Савельевич,</w:t>
      </w:r>
    </w:p>
    <w:p w14:paraId="7EEE7A38"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t xml:space="preserve">Вы знаете из телеграммы Максима Максимовича и из посылаемой им Вам записи разговора с </w:t>
      </w:r>
      <w:proofErr w:type="spellStart"/>
      <w:r w:rsidRPr="007122AB">
        <w:rPr>
          <w:color w:val="000000" w:themeColor="text1"/>
          <w:sz w:val="16"/>
          <w:szCs w:val="16"/>
        </w:rPr>
        <w:t>Эрбеттом</w:t>
      </w:r>
      <w:proofErr w:type="spellEnd"/>
      <w:r w:rsidRPr="007122AB">
        <w:rPr>
          <w:color w:val="000000" w:themeColor="text1"/>
          <w:sz w:val="16"/>
          <w:szCs w:val="16"/>
        </w:rPr>
        <w:t xml:space="preserve">, что на днях у него был </w:t>
      </w:r>
      <w:proofErr w:type="spellStart"/>
      <w:r w:rsidRPr="007122AB">
        <w:rPr>
          <w:color w:val="000000" w:themeColor="text1"/>
          <w:sz w:val="16"/>
          <w:szCs w:val="16"/>
        </w:rPr>
        <w:t>Эрбетт</w:t>
      </w:r>
      <w:proofErr w:type="spellEnd"/>
      <w:r w:rsidRPr="007122AB">
        <w:rPr>
          <w:color w:val="000000" w:themeColor="text1"/>
          <w:sz w:val="16"/>
          <w:szCs w:val="16"/>
        </w:rPr>
        <w:t xml:space="preserve">, передавал по поручению </w:t>
      </w:r>
      <w:proofErr w:type="spellStart"/>
      <w:r w:rsidRPr="007122AB">
        <w:rPr>
          <w:color w:val="000000" w:themeColor="text1"/>
          <w:sz w:val="16"/>
          <w:szCs w:val="16"/>
        </w:rPr>
        <w:t>Бриана</w:t>
      </w:r>
      <w:proofErr w:type="spellEnd"/>
      <w:r w:rsidRPr="007122AB">
        <w:rPr>
          <w:color w:val="000000" w:themeColor="text1"/>
          <w:sz w:val="16"/>
          <w:szCs w:val="16"/>
        </w:rPr>
        <w:t xml:space="preserve"> мотивы, по которым </w:t>
      </w:r>
      <w:proofErr w:type="spellStart"/>
      <w:r w:rsidRPr="007122AB">
        <w:rPr>
          <w:color w:val="000000" w:themeColor="text1"/>
          <w:sz w:val="16"/>
          <w:szCs w:val="16"/>
        </w:rPr>
        <w:t>Бриан</w:t>
      </w:r>
      <w:proofErr w:type="spellEnd"/>
      <w:r w:rsidRPr="007122AB">
        <w:rPr>
          <w:color w:val="000000" w:themeColor="text1"/>
          <w:sz w:val="16"/>
          <w:szCs w:val="16"/>
        </w:rPr>
        <w:t xml:space="preserve"> возражал против немедленного приглашения нас в качестве полноправного члена в европейскую комиссию. Мотивы эти того же формального характера, какие мы знали из прессы.</w:t>
      </w:r>
    </w:p>
    <w:p w14:paraId="1DD3C4DC"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lastRenderedPageBreak/>
        <w:t xml:space="preserve">Существующего между нами конфликта в связи с процессом </w:t>
      </w:r>
      <w:proofErr w:type="spellStart"/>
      <w:r w:rsidRPr="007122AB">
        <w:rPr>
          <w:color w:val="000000" w:themeColor="text1"/>
          <w:sz w:val="16"/>
          <w:szCs w:val="16"/>
        </w:rPr>
        <w:t>промпартии</w:t>
      </w:r>
      <w:proofErr w:type="spellEnd"/>
      <w:r w:rsidRPr="007122AB">
        <w:rPr>
          <w:color w:val="000000" w:themeColor="text1"/>
          <w:sz w:val="16"/>
          <w:szCs w:val="16"/>
        </w:rPr>
        <w:t xml:space="preserve"> и нашим требованием об отзыве </w:t>
      </w:r>
      <w:proofErr w:type="spellStart"/>
      <w:r w:rsidRPr="007122AB">
        <w:rPr>
          <w:color w:val="000000" w:themeColor="text1"/>
          <w:sz w:val="16"/>
          <w:szCs w:val="16"/>
        </w:rPr>
        <w:t>Киэфера</w:t>
      </w:r>
      <w:proofErr w:type="spellEnd"/>
      <w:r w:rsidRPr="007122AB">
        <w:rPr>
          <w:color w:val="000000" w:themeColor="text1"/>
          <w:sz w:val="16"/>
          <w:szCs w:val="16"/>
        </w:rPr>
        <w:t xml:space="preserve"> </w:t>
      </w:r>
      <w:proofErr w:type="spellStart"/>
      <w:r w:rsidRPr="007122AB">
        <w:rPr>
          <w:color w:val="000000" w:themeColor="text1"/>
          <w:sz w:val="16"/>
          <w:szCs w:val="16"/>
        </w:rPr>
        <w:t>Эрбетт</w:t>
      </w:r>
      <w:proofErr w:type="spellEnd"/>
      <w:r w:rsidRPr="007122AB">
        <w:rPr>
          <w:color w:val="000000" w:themeColor="text1"/>
          <w:sz w:val="16"/>
          <w:szCs w:val="16"/>
        </w:rPr>
        <w:t xml:space="preserve"> не коснулся.</w:t>
      </w:r>
    </w:p>
    <w:p w14:paraId="6033F1FA"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t>Сегодня он просился ко мне, я его приму завтра, думаю, что разговор будет касаться различных малоинтересных текущих дел.</w:t>
      </w:r>
    </w:p>
    <w:p w14:paraId="43D6FDA7"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t xml:space="preserve">На днях мы дали французам понять, что мы не склонны рассматривать </w:t>
      </w:r>
      <w:proofErr w:type="spellStart"/>
      <w:r w:rsidRPr="007122AB">
        <w:rPr>
          <w:color w:val="000000" w:themeColor="text1"/>
          <w:sz w:val="16"/>
          <w:szCs w:val="16"/>
        </w:rPr>
        <w:t>Киэфера</w:t>
      </w:r>
      <w:proofErr w:type="spellEnd"/>
      <w:r w:rsidRPr="007122AB">
        <w:rPr>
          <w:color w:val="000000" w:themeColor="text1"/>
          <w:sz w:val="16"/>
          <w:szCs w:val="16"/>
        </w:rPr>
        <w:t xml:space="preserve">, как полноправного члена дипкорпуса. У Айви </w:t>
      </w:r>
      <w:proofErr w:type="spellStart"/>
      <w:r w:rsidRPr="007122AB">
        <w:rPr>
          <w:color w:val="000000" w:themeColor="text1"/>
          <w:sz w:val="16"/>
          <w:szCs w:val="16"/>
        </w:rPr>
        <w:t>Вальтеровны</w:t>
      </w:r>
      <w:proofErr w:type="spellEnd"/>
      <w:r w:rsidRPr="007122AB">
        <w:rPr>
          <w:color w:val="000000" w:themeColor="text1"/>
          <w:sz w:val="16"/>
          <w:szCs w:val="16"/>
        </w:rPr>
        <w:t xml:space="preserve"> был чайный прием для дипкорпуса. Обычно в каждое посольство мы посылаем два приглашения — одно для шефа миссии с его женой, другое для всех остальных членов данного посольства. На этот раз мы сделали для французского посольства исключение и послали именные приглашения каждому из членов посольства, за исключением </w:t>
      </w:r>
      <w:proofErr w:type="spellStart"/>
      <w:r w:rsidRPr="007122AB">
        <w:rPr>
          <w:color w:val="000000" w:themeColor="text1"/>
          <w:sz w:val="16"/>
          <w:szCs w:val="16"/>
        </w:rPr>
        <w:t>Киэфера</w:t>
      </w:r>
      <w:proofErr w:type="spellEnd"/>
      <w:r w:rsidRPr="007122AB">
        <w:rPr>
          <w:color w:val="000000" w:themeColor="text1"/>
          <w:sz w:val="16"/>
          <w:szCs w:val="16"/>
        </w:rPr>
        <w:t xml:space="preserve">. Мы допускали, что </w:t>
      </w:r>
      <w:proofErr w:type="spellStart"/>
      <w:r w:rsidRPr="007122AB">
        <w:rPr>
          <w:color w:val="000000" w:themeColor="text1"/>
          <w:sz w:val="16"/>
          <w:szCs w:val="16"/>
        </w:rPr>
        <w:t>Эрбетт</w:t>
      </w:r>
      <w:proofErr w:type="spellEnd"/>
      <w:r w:rsidRPr="007122AB">
        <w:rPr>
          <w:color w:val="000000" w:themeColor="text1"/>
          <w:sz w:val="16"/>
          <w:szCs w:val="16"/>
        </w:rPr>
        <w:t xml:space="preserve"> примет вызов и в виде демонстрации не явится на прием. Он, однако, примирился с изъятием </w:t>
      </w:r>
      <w:proofErr w:type="spellStart"/>
      <w:r w:rsidRPr="007122AB">
        <w:rPr>
          <w:color w:val="000000" w:themeColor="text1"/>
          <w:sz w:val="16"/>
          <w:szCs w:val="16"/>
        </w:rPr>
        <w:t>Киэфера</w:t>
      </w:r>
      <w:proofErr w:type="spellEnd"/>
      <w:r w:rsidRPr="007122AB">
        <w:rPr>
          <w:color w:val="000000" w:themeColor="text1"/>
          <w:sz w:val="16"/>
          <w:szCs w:val="16"/>
        </w:rPr>
        <w:t xml:space="preserve">. Все французское посольство, за исключением </w:t>
      </w:r>
      <w:proofErr w:type="spellStart"/>
      <w:r w:rsidRPr="007122AB">
        <w:rPr>
          <w:color w:val="000000" w:themeColor="text1"/>
          <w:sz w:val="16"/>
          <w:szCs w:val="16"/>
        </w:rPr>
        <w:t>Киэфера</w:t>
      </w:r>
      <w:proofErr w:type="spellEnd"/>
      <w:r w:rsidRPr="007122AB">
        <w:rPr>
          <w:color w:val="000000" w:themeColor="text1"/>
          <w:sz w:val="16"/>
          <w:szCs w:val="16"/>
        </w:rPr>
        <w:t>, в полном составе пришло на прием и держало себя очень скромно.</w:t>
      </w:r>
    </w:p>
    <w:p w14:paraId="29CDD6D9"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t xml:space="preserve">В связи с данным Вам поручением пойти к Вертело и ребром поставить вопрос о </w:t>
      </w:r>
      <w:proofErr w:type="spellStart"/>
      <w:r w:rsidRPr="007122AB">
        <w:rPr>
          <w:color w:val="000000" w:themeColor="text1"/>
          <w:sz w:val="16"/>
          <w:szCs w:val="16"/>
        </w:rPr>
        <w:t>Киэфере</w:t>
      </w:r>
      <w:proofErr w:type="spellEnd"/>
      <w:r w:rsidRPr="007122AB">
        <w:rPr>
          <w:color w:val="000000" w:themeColor="text1"/>
          <w:sz w:val="16"/>
          <w:szCs w:val="16"/>
        </w:rPr>
        <w:t>, можно надеяться, что существующая между нами и Францией неопределенность в отношениях кончится, наконец, в ту или другую сторону.</w:t>
      </w:r>
    </w:p>
    <w:p w14:paraId="58B7FAE1" w14:textId="77777777" w:rsidR="006C4450" w:rsidRPr="007122AB" w:rsidRDefault="006C4450" w:rsidP="007122AB">
      <w:pPr>
        <w:pStyle w:val="rtejustify"/>
        <w:spacing w:before="0" w:after="0"/>
        <w:rPr>
          <w:color w:val="000000" w:themeColor="text1"/>
          <w:sz w:val="16"/>
          <w:szCs w:val="16"/>
        </w:rPr>
      </w:pPr>
      <w:r w:rsidRPr="007122AB">
        <w:rPr>
          <w:color w:val="000000" w:themeColor="text1"/>
          <w:sz w:val="16"/>
          <w:szCs w:val="16"/>
        </w:rPr>
        <w:t xml:space="preserve">Если </w:t>
      </w:r>
      <w:proofErr w:type="spellStart"/>
      <w:r w:rsidRPr="007122AB">
        <w:rPr>
          <w:color w:val="000000" w:themeColor="text1"/>
          <w:sz w:val="16"/>
          <w:szCs w:val="16"/>
        </w:rPr>
        <w:t>францпра</w:t>
      </w:r>
      <w:proofErr w:type="spellEnd"/>
      <w:r w:rsidRPr="007122AB">
        <w:rPr>
          <w:color w:val="000000" w:themeColor="text1"/>
          <w:sz w:val="16"/>
          <w:szCs w:val="16"/>
        </w:rPr>
        <w:t xml:space="preserve"> заявит о своей готовности отозвать </w:t>
      </w:r>
      <w:proofErr w:type="spellStart"/>
      <w:r w:rsidRPr="007122AB">
        <w:rPr>
          <w:color w:val="000000" w:themeColor="text1"/>
          <w:sz w:val="16"/>
          <w:szCs w:val="16"/>
        </w:rPr>
        <w:t>Киэфера</w:t>
      </w:r>
      <w:proofErr w:type="spellEnd"/>
      <w:r w:rsidRPr="007122AB">
        <w:rPr>
          <w:color w:val="000000" w:themeColor="text1"/>
          <w:sz w:val="16"/>
          <w:szCs w:val="16"/>
        </w:rPr>
        <w:t>, можно будет поставить на очередь другие наши дела, в частности дать ответ на французский экономический меморандум от 22 ноября. Ответ у нас уже подготовлен, но мы решили ждать до урегулирования основного вопроса.</w:t>
      </w:r>
    </w:p>
    <w:p w14:paraId="25205E7C" w14:textId="77777777" w:rsidR="006C4450" w:rsidRPr="007122AB" w:rsidRDefault="006C4450" w:rsidP="007122AB">
      <w:pPr>
        <w:pStyle w:val="ae"/>
        <w:spacing w:before="0" w:after="0"/>
        <w:jc w:val="both"/>
        <w:rPr>
          <w:color w:val="000000" w:themeColor="text1"/>
          <w:sz w:val="16"/>
          <w:szCs w:val="16"/>
        </w:rPr>
      </w:pPr>
      <w:r w:rsidRPr="007122AB">
        <w:rPr>
          <w:color w:val="000000" w:themeColor="text1"/>
          <w:sz w:val="16"/>
          <w:szCs w:val="16"/>
        </w:rPr>
        <w:t>В товарищеским приветом</w:t>
      </w:r>
    </w:p>
    <w:p w14:paraId="65D57F3B" w14:textId="77777777" w:rsidR="006C4450" w:rsidRPr="007122AB" w:rsidRDefault="006C4450" w:rsidP="007122AB">
      <w:pPr>
        <w:pStyle w:val="ae"/>
        <w:spacing w:before="0" w:after="0"/>
        <w:jc w:val="both"/>
        <w:rPr>
          <w:color w:val="000000" w:themeColor="text1"/>
          <w:sz w:val="16"/>
          <w:szCs w:val="16"/>
        </w:rPr>
      </w:pPr>
      <w:r w:rsidRPr="007122AB">
        <w:rPr>
          <w:color w:val="000000" w:themeColor="text1"/>
          <w:sz w:val="16"/>
          <w:szCs w:val="16"/>
        </w:rPr>
        <w:t>(Н. Крестинский)</w:t>
      </w:r>
    </w:p>
    <w:p w14:paraId="4A7EDF83" w14:textId="77777777" w:rsidR="006C4450" w:rsidRPr="007122AB" w:rsidRDefault="006C4450" w:rsidP="007122AB">
      <w:pPr>
        <w:pStyle w:val="ae"/>
        <w:spacing w:before="0" w:after="0"/>
        <w:jc w:val="both"/>
        <w:rPr>
          <w:color w:val="000000" w:themeColor="text1"/>
          <w:sz w:val="16"/>
          <w:szCs w:val="16"/>
        </w:rPr>
      </w:pPr>
      <w:r w:rsidRPr="007122AB">
        <w:rPr>
          <w:rStyle w:val="af0"/>
          <w:i w:val="0"/>
          <w:color w:val="000000" w:themeColor="text1"/>
          <w:sz w:val="16"/>
          <w:szCs w:val="16"/>
        </w:rPr>
        <w:t>АВП</w:t>
      </w:r>
      <w:r w:rsidRPr="007122AB">
        <w:rPr>
          <w:rStyle w:val="af0"/>
          <w:i w:val="0"/>
          <w:color w:val="000000" w:themeColor="text1"/>
          <w:sz w:val="16"/>
          <w:szCs w:val="16"/>
          <w:lang w:val="en-US"/>
        </w:rPr>
        <w:t xml:space="preserve"> </w:t>
      </w:r>
      <w:r w:rsidRPr="007122AB">
        <w:rPr>
          <w:rStyle w:val="af0"/>
          <w:i w:val="0"/>
          <w:color w:val="000000" w:themeColor="text1"/>
          <w:sz w:val="16"/>
          <w:szCs w:val="16"/>
        </w:rPr>
        <w:t>РФ</w:t>
      </w:r>
      <w:r w:rsidRPr="007122AB">
        <w:rPr>
          <w:rStyle w:val="af0"/>
          <w:i w:val="0"/>
          <w:color w:val="000000" w:themeColor="text1"/>
          <w:sz w:val="16"/>
          <w:szCs w:val="16"/>
          <w:lang w:val="en-US"/>
        </w:rPr>
        <w:t xml:space="preserve">. </w:t>
      </w:r>
      <w:r w:rsidRPr="007122AB">
        <w:rPr>
          <w:rStyle w:val="af0"/>
          <w:i w:val="0"/>
          <w:color w:val="000000" w:themeColor="text1"/>
          <w:sz w:val="16"/>
          <w:szCs w:val="16"/>
        </w:rPr>
        <w:t>Ф</w:t>
      </w:r>
      <w:r w:rsidRPr="007122AB">
        <w:rPr>
          <w:rStyle w:val="af0"/>
          <w:i w:val="0"/>
          <w:color w:val="000000" w:themeColor="text1"/>
          <w:sz w:val="16"/>
          <w:szCs w:val="16"/>
          <w:lang w:val="en-US"/>
        </w:rPr>
        <w:t xml:space="preserve">. 010. On. 2. </w:t>
      </w:r>
      <w:r w:rsidRPr="007122AB">
        <w:rPr>
          <w:rStyle w:val="af0"/>
          <w:i w:val="0"/>
          <w:color w:val="000000" w:themeColor="text1"/>
          <w:sz w:val="16"/>
          <w:szCs w:val="16"/>
        </w:rPr>
        <w:t>П</w:t>
      </w:r>
      <w:r w:rsidRPr="007122AB">
        <w:rPr>
          <w:rStyle w:val="af0"/>
          <w:i w:val="0"/>
          <w:color w:val="000000" w:themeColor="text1"/>
          <w:sz w:val="16"/>
          <w:szCs w:val="16"/>
          <w:lang w:val="en-US"/>
        </w:rPr>
        <w:t>. 13</w:t>
      </w:r>
      <w:r w:rsidRPr="007122AB">
        <w:rPr>
          <w:rStyle w:val="af0"/>
          <w:i w:val="0"/>
          <w:color w:val="000000" w:themeColor="text1"/>
          <w:sz w:val="16"/>
          <w:szCs w:val="16"/>
        </w:rPr>
        <w:t>а</w:t>
      </w:r>
      <w:r w:rsidRPr="007122AB">
        <w:rPr>
          <w:rStyle w:val="af0"/>
          <w:i w:val="0"/>
          <w:color w:val="000000" w:themeColor="text1"/>
          <w:sz w:val="16"/>
          <w:szCs w:val="16"/>
          <w:lang w:val="en-US"/>
        </w:rPr>
        <w:t xml:space="preserve">. </w:t>
      </w:r>
      <w:r w:rsidRPr="007122AB">
        <w:rPr>
          <w:rStyle w:val="af0"/>
          <w:i w:val="0"/>
          <w:color w:val="000000" w:themeColor="text1"/>
          <w:sz w:val="16"/>
          <w:szCs w:val="16"/>
        </w:rPr>
        <w:t>Д. 232. Л. 6-7. Машинописная копия того времени. На Л. 6 вверху справа напечатаны дата и номер «К/44549», ниже «Секретно» «Лично». Вверху по центру напечатано «Экз. 6» (цифра вписана от руки). На Л. 7 внизу слева машинописью делопроизводственная помета о количестве распечатанных экземпляров (6) и адрес рассылки «1 — адресату, 2 — т. Литвинову], 3 — т. Кар[</w:t>
      </w:r>
      <w:proofErr w:type="spellStart"/>
      <w:r w:rsidRPr="007122AB">
        <w:rPr>
          <w:rStyle w:val="af0"/>
          <w:i w:val="0"/>
          <w:color w:val="000000" w:themeColor="text1"/>
          <w:sz w:val="16"/>
          <w:szCs w:val="16"/>
        </w:rPr>
        <w:t>ахану</w:t>
      </w:r>
      <w:proofErr w:type="spellEnd"/>
      <w:r w:rsidRPr="007122AB">
        <w:rPr>
          <w:rStyle w:val="af0"/>
          <w:i w:val="0"/>
          <w:color w:val="000000" w:themeColor="text1"/>
          <w:sz w:val="16"/>
          <w:szCs w:val="16"/>
        </w:rPr>
        <w:t>], 4 — т. Стом[</w:t>
      </w:r>
      <w:proofErr w:type="spellStart"/>
      <w:r w:rsidRPr="007122AB">
        <w:rPr>
          <w:rStyle w:val="af0"/>
          <w:i w:val="0"/>
          <w:color w:val="000000" w:themeColor="text1"/>
          <w:sz w:val="16"/>
          <w:szCs w:val="16"/>
        </w:rPr>
        <w:t>онякову</w:t>
      </w:r>
      <w:proofErr w:type="spellEnd"/>
      <w:r w:rsidRPr="007122AB">
        <w:rPr>
          <w:rStyle w:val="af0"/>
          <w:i w:val="0"/>
          <w:color w:val="000000" w:themeColor="text1"/>
          <w:sz w:val="16"/>
          <w:szCs w:val="16"/>
        </w:rPr>
        <w:t xml:space="preserve">], 5 — т. </w:t>
      </w:r>
      <w:proofErr w:type="spellStart"/>
      <w:r w:rsidRPr="007122AB">
        <w:rPr>
          <w:rStyle w:val="af0"/>
          <w:i w:val="0"/>
          <w:color w:val="000000" w:themeColor="text1"/>
          <w:sz w:val="16"/>
          <w:szCs w:val="16"/>
        </w:rPr>
        <w:t>Рубинину</w:t>
      </w:r>
      <w:proofErr w:type="spellEnd"/>
      <w:r w:rsidRPr="007122AB">
        <w:rPr>
          <w:rStyle w:val="af0"/>
          <w:i w:val="0"/>
          <w:color w:val="000000" w:themeColor="text1"/>
          <w:sz w:val="16"/>
          <w:szCs w:val="16"/>
        </w:rPr>
        <w:t xml:space="preserve">, 6 — в дело» (перед фамилией </w:t>
      </w:r>
      <w:proofErr w:type="spellStart"/>
      <w:r w:rsidRPr="007122AB">
        <w:rPr>
          <w:rStyle w:val="af0"/>
          <w:i w:val="0"/>
          <w:color w:val="000000" w:themeColor="text1"/>
          <w:sz w:val="16"/>
          <w:szCs w:val="16"/>
        </w:rPr>
        <w:t>Рубинина</w:t>
      </w:r>
      <w:proofErr w:type="spellEnd"/>
      <w:r w:rsidRPr="007122AB">
        <w:rPr>
          <w:rStyle w:val="af0"/>
          <w:i w:val="0"/>
          <w:color w:val="000000" w:themeColor="text1"/>
          <w:sz w:val="16"/>
          <w:szCs w:val="16"/>
        </w:rPr>
        <w:t xml:space="preserve"> забито ранее напечатанное «Штейну ») (18811).</w:t>
      </w:r>
    </w:p>
    <w:p w14:paraId="00517FB5" w14:textId="77777777" w:rsidR="006C4450" w:rsidRPr="007122AB" w:rsidRDefault="006C4450" w:rsidP="007122AB">
      <w:pPr>
        <w:spacing w:after="0" w:line="240" w:lineRule="auto"/>
        <w:jc w:val="both"/>
        <w:rPr>
          <w:rFonts w:ascii="Times New Roman" w:hAnsi="Times New Roman"/>
          <w:color w:val="000000" w:themeColor="text1"/>
          <w:sz w:val="16"/>
          <w:szCs w:val="16"/>
        </w:rPr>
      </w:pPr>
    </w:p>
    <w:p w14:paraId="519CF16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CE70F6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460596" w14:textId="77777777" w:rsidR="00F61E12" w:rsidRPr="007122AB" w:rsidRDefault="00F61E12"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26 января</w:t>
      </w:r>
      <w:r w:rsidRPr="007122AB">
        <w:rPr>
          <w:rFonts w:ascii="Times New Roman" w:hAnsi="Times New Roman"/>
          <w:color w:val="000000" w:themeColor="text1"/>
          <w:sz w:val="16"/>
          <w:szCs w:val="16"/>
        </w:rPr>
        <w:t xml:space="preserve"> в 1931 году прототип чешского разведывательного самолета </w:t>
      </w:r>
      <w:hyperlink r:id="rId8"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xml:space="preserve">» «S-128» </w:t>
        </w:r>
      </w:hyperlink>
      <w:r w:rsidRPr="007122AB">
        <w:rPr>
          <w:rFonts w:ascii="Times New Roman" w:hAnsi="Times New Roman"/>
          <w:color w:val="000000" w:themeColor="text1"/>
          <w:sz w:val="16"/>
          <w:szCs w:val="16"/>
        </w:rPr>
        <w:t>совершил свой первый полет. Всего было выпущено 19 самолетов, из которых 16 в период с 1932 по 1933 гг. приняли на вооружение военно-воздушные силы Чехословакии.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xml:space="preserve">» «S-128» - </w:t>
      </w:r>
      <w:proofErr w:type="spellStart"/>
      <w:r w:rsidRPr="007122AB">
        <w:rPr>
          <w:rFonts w:ascii="Times New Roman" w:hAnsi="Times New Roman"/>
          <w:color w:val="000000" w:themeColor="text1"/>
          <w:sz w:val="16"/>
          <w:szCs w:val="16"/>
        </w:rPr>
        <w:t>лучшенный</w:t>
      </w:r>
      <w:proofErr w:type="spellEnd"/>
      <w:r w:rsidRPr="007122AB">
        <w:rPr>
          <w:rFonts w:ascii="Times New Roman" w:hAnsi="Times New Roman"/>
          <w:color w:val="000000" w:themeColor="text1"/>
          <w:sz w:val="16"/>
          <w:szCs w:val="16"/>
        </w:rPr>
        <w:t xml:space="preserve"> вариант самолета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«S-28», оснащенный двигателем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VI» мощностью 330 кВт (450 л.с.), получил обозначение «S-128». Он был вооружен одним стационарным пулеметом </w:t>
      </w:r>
      <w:proofErr w:type="spellStart"/>
      <w:r w:rsidRPr="007122AB">
        <w:rPr>
          <w:rFonts w:ascii="Times New Roman" w:hAnsi="Times New Roman"/>
          <w:color w:val="000000" w:themeColor="text1"/>
          <w:sz w:val="16"/>
          <w:szCs w:val="16"/>
        </w:rPr>
        <w:t>vz</w:t>
      </w:r>
      <w:proofErr w:type="spellEnd"/>
      <w:r w:rsidRPr="007122AB">
        <w:rPr>
          <w:rFonts w:ascii="Times New Roman" w:hAnsi="Times New Roman"/>
          <w:color w:val="000000" w:themeColor="text1"/>
          <w:sz w:val="16"/>
          <w:szCs w:val="16"/>
        </w:rPr>
        <w:t>. 28 и подвижным сдвоенным пулеметом того же калибра. Конструкция «S-128» не отличалась замечательными нововведениями. Причиной серийного производства были не летно-технические характеристики, не необходимость военно-воздушных сил в машине со сравнительно слабыми боевыми характеристиками. Просто компания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была в очень неблагоприятной ситуации, не было заказов, и заказ был для нее, как и во многих случаях до этого, экстренной помощью (15021).</w:t>
      </w:r>
    </w:p>
    <w:p w14:paraId="7450FCF1" w14:textId="77777777" w:rsidR="00F61E12" w:rsidRPr="007122AB" w:rsidRDefault="00F61E12" w:rsidP="007122AB">
      <w:pPr>
        <w:spacing w:after="0" w:line="240" w:lineRule="auto"/>
        <w:jc w:val="both"/>
        <w:rPr>
          <w:rFonts w:ascii="Times New Roman" w:hAnsi="Times New Roman"/>
          <w:color w:val="000000" w:themeColor="text1"/>
          <w:sz w:val="16"/>
          <w:szCs w:val="16"/>
        </w:rPr>
      </w:pPr>
    </w:p>
    <w:p w14:paraId="5075810C"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января 1931 - Прототип чешского разведывательного самолета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xml:space="preserve"> S-128  совершил свой первый полет. Всего было выпущено 19 самолетов, из которых 16 в период с 1932 по 1933 гг. приняли на вооружение военно-воздушные силы Чехословакии.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xml:space="preserve"> S-128 - </w:t>
      </w:r>
      <w:proofErr w:type="spellStart"/>
      <w:r w:rsidRPr="007122AB">
        <w:rPr>
          <w:rFonts w:ascii="Times New Roman" w:hAnsi="Times New Roman"/>
          <w:color w:val="000000" w:themeColor="text1"/>
          <w:sz w:val="16"/>
          <w:szCs w:val="16"/>
        </w:rPr>
        <w:t>лучшенный</w:t>
      </w:r>
      <w:proofErr w:type="spellEnd"/>
      <w:r w:rsidRPr="007122AB">
        <w:rPr>
          <w:rFonts w:ascii="Times New Roman" w:hAnsi="Times New Roman"/>
          <w:color w:val="000000" w:themeColor="text1"/>
          <w:sz w:val="16"/>
          <w:szCs w:val="16"/>
        </w:rPr>
        <w:t xml:space="preserve"> вариант самолета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xml:space="preserve"> S-28, оснащенный двигателем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VI мощностью 330 кВт (450 л.с.), получил обозначение S-128. Он был вооружен одним стационарным пулеметом </w:t>
      </w:r>
      <w:proofErr w:type="spellStart"/>
      <w:r w:rsidRPr="007122AB">
        <w:rPr>
          <w:rFonts w:ascii="Times New Roman" w:hAnsi="Times New Roman"/>
          <w:color w:val="000000" w:themeColor="text1"/>
          <w:sz w:val="16"/>
          <w:szCs w:val="16"/>
        </w:rPr>
        <w:t>vz</w:t>
      </w:r>
      <w:proofErr w:type="spellEnd"/>
      <w:r w:rsidRPr="007122AB">
        <w:rPr>
          <w:rFonts w:ascii="Times New Roman" w:hAnsi="Times New Roman"/>
          <w:color w:val="000000" w:themeColor="text1"/>
          <w:sz w:val="16"/>
          <w:szCs w:val="16"/>
        </w:rPr>
        <w:t>. 28 и подвижным сдвоенным пулеметом того же калибра.</w:t>
      </w:r>
    </w:p>
    <w:p w14:paraId="46E48778"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Конструкция S-128 не отличалась замечательными нововведениями. Причиной серийного производства были не летно-технические характеристики, не необходимость военно-воздушных сил в машине со сравнительно слабыми боевыми характеристиками. Просто компания </w:t>
      </w:r>
      <w:proofErr w:type="spellStart"/>
      <w:r w:rsidRPr="007122AB">
        <w:rPr>
          <w:rFonts w:ascii="Times New Roman" w:hAnsi="Times New Roman"/>
          <w:color w:val="000000" w:themeColor="text1"/>
          <w:sz w:val="16"/>
          <w:szCs w:val="16"/>
        </w:rPr>
        <w:t>Letov</w:t>
      </w:r>
      <w:proofErr w:type="spellEnd"/>
      <w:r w:rsidRPr="007122AB">
        <w:rPr>
          <w:rFonts w:ascii="Times New Roman" w:hAnsi="Times New Roman"/>
          <w:color w:val="000000" w:themeColor="text1"/>
          <w:sz w:val="16"/>
          <w:szCs w:val="16"/>
        </w:rPr>
        <w:t xml:space="preserve"> была в очень неблагоприятной ситуации, не было заказов, и заказ был для нее, как и во многих случаях до этого, экстренной помощью (22643).</w:t>
      </w:r>
    </w:p>
    <w:p w14:paraId="482DE5D4"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6204A5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января 1931 в Индии </w:t>
      </w:r>
      <w:proofErr w:type="spellStart"/>
      <w:r w:rsidRPr="007122AB">
        <w:rPr>
          <w:rFonts w:ascii="Times New Roman" w:hAnsi="Times New Roman"/>
          <w:color w:val="000000" w:themeColor="text1"/>
          <w:sz w:val="16"/>
          <w:szCs w:val="16"/>
        </w:rPr>
        <w:t>М.Ганди</w:t>
      </w:r>
      <w:proofErr w:type="spellEnd"/>
      <w:r w:rsidRPr="007122AB">
        <w:rPr>
          <w:rFonts w:ascii="Times New Roman" w:hAnsi="Times New Roman"/>
          <w:color w:val="000000" w:themeColor="text1"/>
          <w:sz w:val="16"/>
          <w:szCs w:val="16"/>
        </w:rPr>
        <w:t xml:space="preserve"> был освобожден из Тюрьмы для переговоров с правительством (3907,167).</w:t>
      </w:r>
    </w:p>
    <w:p w14:paraId="6744A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5260D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359F2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A96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января 1931 в составе ЦАГИ появилось БОК и его начальником был назначен </w:t>
      </w:r>
      <w:proofErr w:type="spellStart"/>
      <w:r w:rsidRPr="007122AB">
        <w:rPr>
          <w:rFonts w:ascii="Times New Roman" w:hAnsi="Times New Roman"/>
          <w:color w:val="000000" w:themeColor="text1"/>
          <w:sz w:val="16"/>
          <w:szCs w:val="16"/>
        </w:rPr>
        <w:t>В.А.Чижевский</w:t>
      </w:r>
      <w:proofErr w:type="spellEnd"/>
      <w:r w:rsidRPr="007122AB">
        <w:rPr>
          <w:rFonts w:ascii="Times New Roman" w:hAnsi="Times New Roman"/>
          <w:color w:val="000000" w:themeColor="text1"/>
          <w:sz w:val="16"/>
          <w:szCs w:val="16"/>
        </w:rPr>
        <w:t xml:space="preserve"> - в недавнем выпускник ВВА. Сначала предполагалось передать ему группы </w:t>
      </w:r>
      <w:proofErr w:type="spellStart"/>
      <w:r w:rsidRPr="007122AB">
        <w:rPr>
          <w:rFonts w:ascii="Times New Roman" w:hAnsi="Times New Roman"/>
          <w:color w:val="000000" w:themeColor="text1"/>
          <w:sz w:val="16"/>
          <w:szCs w:val="16"/>
        </w:rPr>
        <w:t>И.К.Скржинского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Н.И.Камова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Б.И.Черановского</w:t>
      </w:r>
      <w:proofErr w:type="spellEnd"/>
      <w:r w:rsidRPr="007122AB">
        <w:rPr>
          <w:rFonts w:ascii="Times New Roman" w:hAnsi="Times New Roman"/>
          <w:color w:val="000000" w:themeColor="text1"/>
          <w:sz w:val="16"/>
          <w:szCs w:val="16"/>
        </w:rPr>
        <w:t xml:space="preserve"> и Кричевского, а в плане на 1931 были темы: самолет по схеме утка (Мосолов), авиетка Горелова и самолет </w:t>
      </w:r>
      <w:proofErr w:type="spellStart"/>
      <w:r w:rsidRPr="007122AB">
        <w:rPr>
          <w:rFonts w:ascii="Times New Roman" w:hAnsi="Times New Roman"/>
          <w:color w:val="000000" w:themeColor="text1"/>
          <w:sz w:val="16"/>
          <w:szCs w:val="16"/>
        </w:rPr>
        <w:t>Б.И.Черановского</w:t>
      </w:r>
      <w:proofErr w:type="spellEnd"/>
      <w:r w:rsidRPr="007122AB">
        <w:rPr>
          <w:rFonts w:ascii="Times New Roman" w:hAnsi="Times New Roman"/>
          <w:color w:val="000000" w:themeColor="text1"/>
          <w:sz w:val="16"/>
          <w:szCs w:val="16"/>
        </w:rPr>
        <w:t xml:space="preserve"> (95,22).</w:t>
      </w:r>
    </w:p>
    <w:p w14:paraId="792E01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Считается, что в подготовке и принятии Реввоенсоветом решения о создании при ЦАГИ Бюро особых конструкций (БОК) принял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(24,53).</w:t>
      </w:r>
    </w:p>
    <w:p w14:paraId="7502A5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В.А.Чижевский</w:t>
      </w:r>
      <w:proofErr w:type="spellEnd"/>
      <w:r w:rsidRPr="007122AB">
        <w:rPr>
          <w:rFonts w:ascii="Times New Roman" w:hAnsi="Times New Roman"/>
          <w:color w:val="000000" w:themeColor="text1"/>
          <w:sz w:val="16"/>
          <w:szCs w:val="16"/>
        </w:rPr>
        <w:t xml:space="preserve"> был однокурсником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w:t>
      </w:r>
    </w:p>
    <w:p w14:paraId="019CE2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Почему и зачем создали БОК и каково отношение БОК к ЦКБ - не вполне ясно, но похоже, это как бы плацдарм ЦКБ УВВС и ОГПУ в ЦАГИ.</w:t>
      </w:r>
    </w:p>
    <w:p w14:paraId="7A9CEF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27 января по 11 марта 1931 состоялся первый дальний перелет Красноярск - Дудинка и обратно на У-2 (272,376). Летали </w:t>
      </w:r>
      <w:proofErr w:type="spellStart"/>
      <w:r w:rsidRPr="007122AB">
        <w:rPr>
          <w:rFonts w:ascii="Times New Roman" w:hAnsi="Times New Roman"/>
          <w:color w:val="000000" w:themeColor="text1"/>
          <w:sz w:val="16"/>
          <w:szCs w:val="16"/>
        </w:rPr>
        <w:t>Ф.Б.Фарих</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В.Б.Цыганов</w:t>
      </w:r>
      <w:proofErr w:type="spellEnd"/>
      <w:r w:rsidRPr="007122AB">
        <w:rPr>
          <w:rFonts w:ascii="Times New Roman" w:hAnsi="Times New Roman"/>
          <w:color w:val="000000" w:themeColor="text1"/>
          <w:sz w:val="16"/>
          <w:szCs w:val="16"/>
        </w:rPr>
        <w:t xml:space="preserve"> и прошли 2492 за 35:00 (2989).</w:t>
      </w:r>
    </w:p>
    <w:p w14:paraId="71A37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F923F1" w14:textId="77777777" w:rsidR="00164C8C" w:rsidRPr="007122AB" w:rsidRDefault="00164C8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27 января 1931 г. появилось Положение о БОК ЦАГИ, в котором </w:t>
      </w:r>
      <w:proofErr w:type="spellStart"/>
      <w:r w:rsidRPr="007122AB">
        <w:rPr>
          <w:rFonts w:ascii="Times New Roman" w:eastAsia="Times New Roman" w:hAnsi="Times New Roman"/>
          <w:color w:val="000000" w:themeColor="text1"/>
          <w:sz w:val="16"/>
          <w:szCs w:val="16"/>
          <w:lang w:eastAsia="ru-RU"/>
        </w:rPr>
        <w:t>говрилась</w:t>
      </w:r>
      <w:proofErr w:type="spellEnd"/>
      <w:r w:rsidR="00000000">
        <w:fldChar w:fldCharType="begin"/>
      </w:r>
      <w:r w:rsidR="00000000">
        <w:instrText>HYPERLINK "http://detectivebooks.ru/book/47013018/?page=30"</w:instrText>
      </w:r>
      <w:r w:rsidR="00000000">
        <w:fldChar w:fldCharType="separate"/>
      </w:r>
      <w:r w:rsidRPr="007122AB">
        <w:rPr>
          <w:rFonts w:ascii="Times New Roman" w:eastAsia="Times New Roman" w:hAnsi="Times New Roman"/>
          <w:color w:val="000000" w:themeColor="text1"/>
          <w:sz w:val="16"/>
          <w:szCs w:val="16"/>
          <w:lang w:eastAsia="ru-RU"/>
        </w:rPr>
        <w:t>[164]</w:t>
      </w:r>
      <w:r w:rsidR="00000000">
        <w:rPr>
          <w:rFonts w:ascii="Times New Roman" w:eastAsia="Times New Roman" w:hAnsi="Times New Roman"/>
          <w:color w:val="000000" w:themeColor="text1"/>
          <w:sz w:val="16"/>
          <w:szCs w:val="16"/>
          <w:lang w:eastAsia="ru-RU"/>
        </w:rPr>
        <w:fldChar w:fldCharType="end"/>
      </w:r>
      <w:r w:rsidRPr="007122AB">
        <w:rPr>
          <w:rFonts w:ascii="Times New Roman" w:hAnsi="Times New Roman"/>
          <w:color w:val="000000" w:themeColor="text1"/>
          <w:sz w:val="16"/>
          <w:szCs w:val="16"/>
        </w:rPr>
        <w:t>:</w:t>
      </w:r>
    </w:p>
    <w:p w14:paraId="1BE49451" w14:textId="77777777" w:rsidR="00164C8C" w:rsidRPr="007122AB" w:rsidRDefault="00164C8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«Бюро Особых Конструкций является объединяющим и руководящим органом ЦАГИ по всем вопросам, возникающим в связи с осуществлением поступающих новых идей технической мысли и изобретений, относящихся к области исследовательской или опытно-производственной работы ЦАГИ, но не укладывающихся в рамки плановой работы отдельных Отделов ЦАГИ»</w:t>
      </w:r>
    </w:p>
    <w:p w14:paraId="2B1AB102" w14:textId="77777777" w:rsidR="00164C8C" w:rsidRPr="007122AB" w:rsidRDefault="00164C8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коллектив бюро Чижевского входили инженеры Н.Н. Каштанов, В.И. </w:t>
      </w:r>
      <w:proofErr w:type="spellStart"/>
      <w:r w:rsidRPr="007122AB">
        <w:rPr>
          <w:rFonts w:ascii="Times New Roman" w:eastAsia="Times New Roman" w:hAnsi="Times New Roman"/>
          <w:color w:val="000000" w:themeColor="text1"/>
          <w:sz w:val="16"/>
          <w:szCs w:val="16"/>
          <w:lang w:eastAsia="ru-RU"/>
        </w:rPr>
        <w:t>Лапчинский</w:t>
      </w:r>
      <w:proofErr w:type="spellEnd"/>
      <w:r w:rsidRPr="007122AB">
        <w:rPr>
          <w:rFonts w:ascii="Times New Roman" w:eastAsia="Times New Roman" w:hAnsi="Times New Roman"/>
          <w:color w:val="000000" w:themeColor="text1"/>
          <w:sz w:val="16"/>
          <w:szCs w:val="16"/>
          <w:lang w:eastAsia="ru-RU"/>
        </w:rPr>
        <w:t>, В.Г. Флоров и др.</w:t>
      </w:r>
    </w:p>
    <w:p w14:paraId="3A055B70" w14:textId="77777777" w:rsidR="00164C8C" w:rsidRPr="007122AB" w:rsidRDefault="00164C8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Но немногочисленному коллективу БОК был не под силу столь широкий круг задач, и там сосредоточились на стратосферных полётах. В 1932 г. под руководством Чижевского была изготовлена герметическая гондола экипажа стратостата «СССР-1», 30 сентября 1933 г. осуществившего полёт на рекордную высоту 19 тыс. м. Теперь дело было за стратопланом (17489).</w:t>
      </w:r>
    </w:p>
    <w:p w14:paraId="7A91BCFD" w14:textId="77777777" w:rsidR="00164C8C" w:rsidRPr="007122AB" w:rsidRDefault="00164C8C" w:rsidP="007122AB">
      <w:pPr>
        <w:spacing w:after="0" w:line="240" w:lineRule="auto"/>
        <w:jc w:val="both"/>
        <w:rPr>
          <w:rFonts w:ascii="Times New Roman" w:eastAsia="Times New Roman" w:hAnsi="Times New Roman"/>
          <w:color w:val="000000" w:themeColor="text1"/>
          <w:sz w:val="16"/>
          <w:szCs w:val="16"/>
          <w:lang w:eastAsia="ru-RU"/>
        </w:rPr>
      </w:pPr>
    </w:p>
    <w:p w14:paraId="2D9BA681" w14:textId="77777777" w:rsidR="00B93B98" w:rsidRPr="007122AB" w:rsidRDefault="00B93B9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января 1931 г. при ЦАГИ создаётся новый отдел – Бюро особых конструкций (БОК), начальником которого стал </w:t>
      </w:r>
      <w:proofErr w:type="spellStart"/>
      <w:r w:rsidRPr="007122AB">
        <w:rPr>
          <w:rFonts w:ascii="Times New Roman" w:hAnsi="Times New Roman"/>
          <w:color w:val="000000" w:themeColor="text1"/>
          <w:sz w:val="16"/>
          <w:szCs w:val="16"/>
        </w:rPr>
        <w:t>В.А.Чижевский</w:t>
      </w:r>
      <w:proofErr w:type="spellEnd"/>
      <w:r w:rsidRPr="007122AB">
        <w:rPr>
          <w:rFonts w:ascii="Times New Roman" w:hAnsi="Times New Roman"/>
          <w:color w:val="000000" w:themeColor="text1"/>
          <w:sz w:val="16"/>
          <w:szCs w:val="16"/>
        </w:rPr>
        <w:t xml:space="preserve"> (он же – руководитель бригады №6 ЦАГИ). Тематика БОК вскоре стала концентрироваться на создании специальных аппаратов для полётов в стратосфере. Первыми такими работами стали разработка стратосферного самолёта (СС) и герметической гондолы для стратостата «СССР». Образование БОК, как отмечает историк </w:t>
      </w:r>
      <w:proofErr w:type="spellStart"/>
      <w:r w:rsidRPr="007122AB">
        <w:rPr>
          <w:rFonts w:ascii="Times New Roman" w:hAnsi="Times New Roman"/>
          <w:color w:val="000000" w:themeColor="text1"/>
          <w:sz w:val="16"/>
          <w:szCs w:val="16"/>
        </w:rPr>
        <w:t>М.Маслов</w:t>
      </w:r>
      <w:proofErr w:type="spellEnd"/>
      <w:r w:rsidRPr="007122AB">
        <w:rPr>
          <w:rFonts w:ascii="Times New Roman" w:hAnsi="Times New Roman"/>
          <w:color w:val="000000" w:themeColor="text1"/>
          <w:sz w:val="16"/>
          <w:szCs w:val="16"/>
        </w:rPr>
        <w:t>, почти совпало с переустройством опытного строительства в структуре советской авиапромышленности. 27 августа 1931 г. Центральное конструкторское бюро (ЦКБ) и ЦАГИ объединили в единую организацию – ЦКБ-ЦАГИ, работавшую под общим патронажем ОГПУ. В связи с этим работы по постройке гондолы аэростата велись на заводе № 39 (ЦКБ), а стратосферный самолёт строился на заводе опытных конструкций (ЗОК) ЦАГИ, вступившем в строй 1 января 1932 г. (19876).</w:t>
      </w:r>
    </w:p>
    <w:p w14:paraId="474F7669" w14:textId="77777777" w:rsidR="00B93B98" w:rsidRPr="007122AB" w:rsidRDefault="00B93B98" w:rsidP="007122AB">
      <w:pPr>
        <w:shd w:val="clear" w:color="auto" w:fill="FFFFFF"/>
        <w:spacing w:after="0" w:line="240" w:lineRule="auto"/>
        <w:jc w:val="both"/>
        <w:rPr>
          <w:rFonts w:ascii="Times New Roman" w:hAnsi="Times New Roman"/>
          <w:color w:val="000000" w:themeColor="text1"/>
          <w:sz w:val="16"/>
          <w:szCs w:val="16"/>
        </w:rPr>
      </w:pPr>
    </w:p>
    <w:p w14:paraId="4E7E61ED"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января 1931 г. постановлением Реввоенсовета Со</w:t>
      </w:r>
      <w:r w:rsidRPr="007122AB">
        <w:rPr>
          <w:rFonts w:ascii="Times New Roman" w:hAnsi="Times New Roman"/>
          <w:color w:val="000000" w:themeColor="text1"/>
          <w:sz w:val="16"/>
          <w:szCs w:val="16"/>
        </w:rPr>
        <w:softHyphen/>
        <w:t>юза ССР, при Центральном аэрогидродинамическом инсти</w:t>
      </w:r>
      <w:r w:rsidRPr="007122AB">
        <w:rPr>
          <w:rFonts w:ascii="Times New Roman" w:hAnsi="Times New Roman"/>
          <w:color w:val="000000" w:themeColor="text1"/>
          <w:sz w:val="16"/>
          <w:szCs w:val="16"/>
        </w:rPr>
        <w:softHyphen/>
        <w:t>туте (ЦАГИ) создается новый отдел - Бюро особых конст</w:t>
      </w:r>
      <w:r w:rsidRPr="007122AB">
        <w:rPr>
          <w:rFonts w:ascii="Times New Roman" w:hAnsi="Times New Roman"/>
          <w:color w:val="000000" w:themeColor="text1"/>
          <w:sz w:val="16"/>
          <w:szCs w:val="16"/>
        </w:rPr>
        <w:softHyphen/>
        <w:t>рукций (БОК). Начальником БОК назначили 32-летнего Вла</w:t>
      </w:r>
      <w:r w:rsidRPr="007122AB">
        <w:rPr>
          <w:rFonts w:ascii="Times New Roman" w:hAnsi="Times New Roman"/>
          <w:color w:val="000000" w:themeColor="text1"/>
          <w:sz w:val="16"/>
          <w:szCs w:val="16"/>
        </w:rPr>
        <w:softHyphen/>
        <w:t>димира Антоновича Чижевского, в 1926 г. закончившего Военно-воздушную академию им. Н.Е. Жуковского и с 1928 г. работающего в ЦАГИ. Помощниками Чижевского ста</w:t>
      </w:r>
      <w:r w:rsidRPr="007122AB">
        <w:rPr>
          <w:rFonts w:ascii="Times New Roman" w:hAnsi="Times New Roman"/>
          <w:color w:val="000000" w:themeColor="text1"/>
          <w:sz w:val="16"/>
          <w:szCs w:val="16"/>
        </w:rPr>
        <w:softHyphen/>
        <w:t xml:space="preserve">ли инженеры Н.Н. Каштанов, Б.И. Карманов, А.Я. Левин, И.И. </w:t>
      </w:r>
      <w:proofErr w:type="spellStart"/>
      <w:r w:rsidRPr="007122AB">
        <w:rPr>
          <w:rFonts w:ascii="Times New Roman" w:hAnsi="Times New Roman"/>
          <w:color w:val="000000" w:themeColor="text1"/>
          <w:sz w:val="16"/>
          <w:szCs w:val="16"/>
        </w:rPr>
        <w:t>Цебриков</w:t>
      </w:r>
      <w:proofErr w:type="spellEnd"/>
      <w:r w:rsidRPr="007122AB">
        <w:rPr>
          <w:rFonts w:ascii="Times New Roman" w:hAnsi="Times New Roman"/>
          <w:color w:val="000000" w:themeColor="text1"/>
          <w:sz w:val="16"/>
          <w:szCs w:val="16"/>
        </w:rPr>
        <w:t xml:space="preserve">, В.И. </w:t>
      </w:r>
      <w:proofErr w:type="spellStart"/>
      <w:r w:rsidRPr="007122AB">
        <w:rPr>
          <w:rFonts w:ascii="Times New Roman" w:hAnsi="Times New Roman"/>
          <w:color w:val="000000" w:themeColor="text1"/>
          <w:sz w:val="16"/>
          <w:szCs w:val="16"/>
        </w:rPr>
        <w:t>Лапинский</w:t>
      </w:r>
      <w:proofErr w:type="spellEnd"/>
      <w:r w:rsidRPr="007122AB">
        <w:rPr>
          <w:rFonts w:ascii="Times New Roman" w:hAnsi="Times New Roman"/>
          <w:color w:val="000000" w:themeColor="text1"/>
          <w:sz w:val="16"/>
          <w:szCs w:val="16"/>
        </w:rPr>
        <w:t>, В.Г. Фролов. Несмотря на пер</w:t>
      </w:r>
      <w:r w:rsidRPr="007122AB">
        <w:rPr>
          <w:rFonts w:ascii="Times New Roman" w:hAnsi="Times New Roman"/>
          <w:color w:val="000000" w:themeColor="text1"/>
          <w:sz w:val="16"/>
          <w:szCs w:val="16"/>
        </w:rPr>
        <w:softHyphen/>
        <w:t>воначальные планы сосредоточить в БОК несколько на</w:t>
      </w:r>
      <w:r w:rsidRPr="007122AB">
        <w:rPr>
          <w:rFonts w:ascii="Times New Roman" w:hAnsi="Times New Roman"/>
          <w:color w:val="000000" w:themeColor="text1"/>
          <w:sz w:val="16"/>
          <w:szCs w:val="16"/>
        </w:rPr>
        <w:softHyphen/>
        <w:t>правлений - проектирование автожиров, исследование схем «утка» и «летающее крыло» - основной деятельностью БОК в последующие годы стало создание специальных ап</w:t>
      </w:r>
      <w:r w:rsidRPr="007122AB">
        <w:rPr>
          <w:rFonts w:ascii="Times New Roman" w:hAnsi="Times New Roman"/>
          <w:color w:val="000000" w:themeColor="text1"/>
          <w:sz w:val="16"/>
          <w:szCs w:val="16"/>
        </w:rPr>
        <w:softHyphen/>
        <w:t>паратов для полетов в стратосфере. Первыми такими рабо</w:t>
      </w:r>
      <w:r w:rsidRPr="007122AB">
        <w:rPr>
          <w:rFonts w:ascii="Times New Roman" w:hAnsi="Times New Roman"/>
          <w:color w:val="000000" w:themeColor="text1"/>
          <w:sz w:val="16"/>
          <w:szCs w:val="16"/>
        </w:rPr>
        <w:softHyphen/>
        <w:t>тами стала разработка стратосферного самолета (СС) и гер</w:t>
      </w:r>
      <w:r w:rsidRPr="007122AB">
        <w:rPr>
          <w:rFonts w:ascii="Times New Roman" w:hAnsi="Times New Roman"/>
          <w:color w:val="000000" w:themeColor="text1"/>
          <w:sz w:val="16"/>
          <w:szCs w:val="16"/>
        </w:rPr>
        <w:softHyphen/>
        <w:t>метичной гондолы экипажа для стратостата «СССР».</w:t>
      </w:r>
    </w:p>
    <w:p w14:paraId="617F9B62"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Образование БОК почти совпало с переустройством опытного строительства в структуре советской авиапро</w:t>
      </w:r>
      <w:r w:rsidRPr="007122AB">
        <w:rPr>
          <w:rFonts w:ascii="Times New Roman" w:hAnsi="Times New Roman"/>
          <w:color w:val="000000" w:themeColor="text1"/>
          <w:sz w:val="16"/>
          <w:szCs w:val="16"/>
        </w:rPr>
        <w:softHyphen/>
        <w:t>мышленности (20363).</w:t>
      </w:r>
    </w:p>
    <w:p w14:paraId="7778FA15"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440C25E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января 1931 г. было начало перелета </w:t>
      </w:r>
      <w:proofErr w:type="spellStart"/>
      <w:r w:rsidRPr="007122AB">
        <w:rPr>
          <w:rFonts w:ascii="Times New Roman" w:hAnsi="Times New Roman"/>
          <w:color w:val="000000" w:themeColor="text1"/>
          <w:sz w:val="16"/>
          <w:szCs w:val="16"/>
        </w:rPr>
        <w:t>Ф.Б.Фариха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В.Б.Цыганова</w:t>
      </w:r>
      <w:proofErr w:type="spellEnd"/>
      <w:r w:rsidRPr="007122AB">
        <w:rPr>
          <w:rFonts w:ascii="Times New Roman" w:hAnsi="Times New Roman"/>
          <w:color w:val="000000" w:themeColor="text1"/>
          <w:sz w:val="16"/>
          <w:szCs w:val="16"/>
        </w:rPr>
        <w:t xml:space="preserve"> на У-2 Красноярск - Дудинка и обратно. До 11 марта У-2 пролетел 4392 км за 35 часов летного времени (6395).</w:t>
      </w:r>
    </w:p>
    <w:p w14:paraId="2117E4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048CC" w14:textId="77777777" w:rsidR="00B93B98" w:rsidRPr="007122AB" w:rsidRDefault="00B93B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января 1931 - Начало перелета </w:t>
      </w:r>
      <w:proofErr w:type="spellStart"/>
      <w:r w:rsidRPr="007122AB">
        <w:rPr>
          <w:rFonts w:ascii="Times New Roman" w:hAnsi="Times New Roman"/>
          <w:color w:val="000000" w:themeColor="text1"/>
          <w:sz w:val="16"/>
          <w:szCs w:val="16"/>
        </w:rPr>
        <w:t>Ф.Б.Фариха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В.Б.Цыганова</w:t>
      </w:r>
      <w:proofErr w:type="spellEnd"/>
      <w:r w:rsidRPr="007122AB">
        <w:rPr>
          <w:rFonts w:ascii="Times New Roman" w:hAnsi="Times New Roman"/>
          <w:color w:val="000000" w:themeColor="text1"/>
          <w:sz w:val="16"/>
          <w:szCs w:val="16"/>
        </w:rPr>
        <w:t xml:space="preserve"> на У-2 Красноярск-Дудинка и обратно. До 11 марта У-2 пролетел 4392 км за 35 ч летного времени — первый дальний перелет легкого самолета в Сибири (22642).</w:t>
      </w:r>
    </w:p>
    <w:p w14:paraId="36158078" w14:textId="77777777" w:rsidR="00B93B98" w:rsidRPr="007122AB" w:rsidRDefault="00B93B98" w:rsidP="007122AB">
      <w:pPr>
        <w:spacing w:after="0" w:line="240" w:lineRule="auto"/>
        <w:jc w:val="both"/>
        <w:rPr>
          <w:rFonts w:ascii="Times New Roman" w:hAnsi="Times New Roman"/>
          <w:color w:val="000000" w:themeColor="text1"/>
          <w:sz w:val="16"/>
          <w:szCs w:val="16"/>
        </w:rPr>
      </w:pPr>
    </w:p>
    <w:p w14:paraId="2C9AFA22" w14:textId="77777777" w:rsidR="007E406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07AB042" w14:textId="77777777" w:rsidR="007E4069" w:rsidRPr="007122AB" w:rsidRDefault="007E406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C8BFE0" w14:textId="77777777" w:rsidR="007E4069" w:rsidRPr="007122AB" w:rsidRDefault="007E406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27 января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13сс о позаимствовании из мобилизационного фонда 22 тыс. т натриевой селитры (ГА РФ. Ф. Р?8418. Оп. 28. Д. 1а. Л. 6) (12415).</w:t>
      </w:r>
    </w:p>
    <w:p w14:paraId="6975BD6E" w14:textId="77777777" w:rsidR="007E4069" w:rsidRPr="007122AB" w:rsidRDefault="007E4069" w:rsidP="007122AB">
      <w:pPr>
        <w:spacing w:after="0" w:line="240" w:lineRule="auto"/>
        <w:jc w:val="both"/>
        <w:rPr>
          <w:rFonts w:ascii="Times New Roman" w:hAnsi="Times New Roman"/>
          <w:color w:val="000000" w:themeColor="text1"/>
          <w:sz w:val="16"/>
          <w:szCs w:val="16"/>
          <w:u w:color="002060"/>
        </w:rPr>
      </w:pPr>
    </w:p>
    <w:p w14:paraId="64F1029F" w14:textId="77777777" w:rsidR="00C41B25" w:rsidRPr="007122AB" w:rsidRDefault="00C41B2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27 января</w:t>
      </w:r>
      <w:r w:rsidRPr="007122AB">
        <w:rPr>
          <w:rFonts w:ascii="Times New Roman" w:hAnsi="Times New Roman"/>
          <w:color w:val="000000" w:themeColor="text1"/>
          <w:sz w:val="16"/>
          <w:szCs w:val="16"/>
        </w:rPr>
        <w:t xml:space="preserve"> в 1931 году в Ленинграде на Ижорском заводе был изготовлен первый советский блюминг (15021).</w:t>
      </w:r>
    </w:p>
    <w:p w14:paraId="0CFE698D" w14:textId="77777777" w:rsidR="00C41B25" w:rsidRPr="007122AB" w:rsidRDefault="00C41B25" w:rsidP="007122AB">
      <w:pPr>
        <w:spacing w:after="0" w:line="240" w:lineRule="auto"/>
        <w:jc w:val="both"/>
        <w:rPr>
          <w:rFonts w:ascii="Times New Roman" w:hAnsi="Times New Roman"/>
          <w:color w:val="000000" w:themeColor="text1"/>
          <w:sz w:val="16"/>
          <w:szCs w:val="16"/>
        </w:rPr>
      </w:pPr>
    </w:p>
    <w:p w14:paraId="17240D4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За рубежом:</w:t>
      </w:r>
    </w:p>
    <w:p w14:paraId="5D1D57F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C3B6E1" w14:textId="77777777" w:rsidR="00C41B25" w:rsidRPr="007122AB" w:rsidRDefault="00C41B2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27 января</w:t>
      </w:r>
      <w:r w:rsidRPr="007122AB">
        <w:rPr>
          <w:rFonts w:ascii="Times New Roman" w:hAnsi="Times New Roman"/>
          <w:color w:val="000000" w:themeColor="text1"/>
          <w:sz w:val="16"/>
          <w:szCs w:val="16"/>
        </w:rPr>
        <w:t xml:space="preserve"> в 1931 году поднялся в воздух первый «Do JII» или "восьмитонный" "Валь"-модернизированный </w:t>
      </w:r>
      <w:hyperlink r:id="rId9" w:tgtFrame="_blank" w:history="1">
        <w:r w:rsidRPr="007122AB">
          <w:rPr>
            <w:rFonts w:ascii="Times New Roman" w:hAnsi="Times New Roman"/>
            <w:color w:val="000000" w:themeColor="text1"/>
            <w:sz w:val="16"/>
            <w:szCs w:val="16"/>
          </w:rPr>
          <w:t xml:space="preserve">«Do J». </w:t>
        </w:r>
      </w:hyperlink>
      <w:r w:rsidRPr="007122AB">
        <w:rPr>
          <w:rFonts w:ascii="Times New Roman" w:hAnsi="Times New Roman"/>
          <w:color w:val="000000" w:themeColor="text1"/>
          <w:sz w:val="16"/>
          <w:szCs w:val="16"/>
        </w:rPr>
        <w:t xml:space="preserve">Внешне гидросамолет изменился мало - носовую часть немного удлинили и слегка изменили ее обводы. Теперь в фюзеляже имелись два пассажирских салона: передний на восемь человек и задний - на шесть. Экипаж состоял из трех человек - двух пилотов и радиста. Крыло и горизонтальное оперение приобрели округлые </w:t>
      </w:r>
      <w:proofErr w:type="spellStart"/>
      <w:r w:rsidRPr="007122AB">
        <w:rPr>
          <w:rFonts w:ascii="Times New Roman" w:hAnsi="Times New Roman"/>
          <w:color w:val="000000" w:themeColor="text1"/>
          <w:sz w:val="16"/>
          <w:szCs w:val="16"/>
        </w:rPr>
        <w:t>законцовки</w:t>
      </w:r>
      <w:proofErr w:type="spellEnd"/>
      <w:r w:rsidRPr="007122AB">
        <w:rPr>
          <w:rFonts w:ascii="Times New Roman" w:hAnsi="Times New Roman"/>
          <w:color w:val="000000" w:themeColor="text1"/>
          <w:sz w:val="16"/>
          <w:szCs w:val="16"/>
        </w:rPr>
        <w:t xml:space="preserve">, за счет чего при той же площади размах увеличился до 23,2 м. Вертикальное оперение стало иметь вид скругленного треугольника. На руле поворота ввели триммер. При установке тех же моторов BMW VI изменился внешний вид </w:t>
      </w:r>
      <w:proofErr w:type="spellStart"/>
      <w:r w:rsidRPr="007122AB">
        <w:rPr>
          <w:rFonts w:ascii="Times New Roman" w:hAnsi="Times New Roman"/>
          <w:color w:val="000000" w:themeColor="text1"/>
          <w:sz w:val="16"/>
          <w:szCs w:val="16"/>
        </w:rPr>
        <w:t>мотогондолы</w:t>
      </w:r>
      <w:proofErr w:type="spellEnd"/>
      <w:r w:rsidRPr="007122AB">
        <w:rPr>
          <w:rFonts w:ascii="Times New Roman" w:hAnsi="Times New Roman"/>
          <w:color w:val="000000" w:themeColor="text1"/>
          <w:sz w:val="16"/>
          <w:szCs w:val="16"/>
        </w:rPr>
        <w:t>: исчезли громоздкие радиаторы, замененные более современными установками туннельного типа. За счет усиления планера и увеличения запаса бензина (дополнительные баки установили в "жабрах") максимальная полетная масса выросла до 8 тонн (15022).</w:t>
      </w:r>
    </w:p>
    <w:p w14:paraId="744BB904" w14:textId="77777777" w:rsidR="00C41B25" w:rsidRPr="007122AB" w:rsidRDefault="00C41B25" w:rsidP="007122AB">
      <w:pPr>
        <w:spacing w:after="0" w:line="240" w:lineRule="auto"/>
        <w:jc w:val="both"/>
        <w:rPr>
          <w:rFonts w:ascii="Times New Roman" w:hAnsi="Times New Roman"/>
          <w:color w:val="000000" w:themeColor="text1"/>
          <w:sz w:val="16"/>
          <w:szCs w:val="16"/>
        </w:rPr>
      </w:pPr>
    </w:p>
    <w:p w14:paraId="1805C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января 1931 </w:t>
      </w:r>
      <w:proofErr w:type="spellStart"/>
      <w:r w:rsidRPr="007122AB">
        <w:rPr>
          <w:rFonts w:ascii="Times New Roman" w:hAnsi="Times New Roman"/>
          <w:color w:val="000000" w:themeColor="text1"/>
          <w:sz w:val="16"/>
          <w:szCs w:val="16"/>
        </w:rPr>
        <w:t>П.Лавиль</w:t>
      </w:r>
      <w:proofErr w:type="spellEnd"/>
      <w:r w:rsidRPr="007122AB">
        <w:rPr>
          <w:rFonts w:ascii="Times New Roman" w:hAnsi="Times New Roman"/>
          <w:color w:val="000000" w:themeColor="text1"/>
          <w:sz w:val="16"/>
          <w:szCs w:val="16"/>
        </w:rPr>
        <w:t xml:space="preserve"> стал премьер-министром Франции (3907,167).</w:t>
      </w:r>
    </w:p>
    <w:p w14:paraId="2FF5CA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5EC30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56D330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94B1F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января 1931 завод № 22 отказался от собственной инициативы переделки серийного АНТ-29 в военный вариант (10542,30).</w:t>
      </w:r>
    </w:p>
    <w:p w14:paraId="41FA01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0B5C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января 1931 г. ус</w:t>
      </w:r>
      <w:r w:rsidRPr="007122AB">
        <w:rPr>
          <w:rFonts w:ascii="Times New Roman" w:hAnsi="Times New Roman"/>
          <w:color w:val="000000" w:themeColor="text1"/>
          <w:sz w:val="16"/>
          <w:szCs w:val="16"/>
        </w:rPr>
        <w:softHyphen/>
        <w:t>тановили на станок и запустили экс</w:t>
      </w:r>
      <w:r w:rsidRPr="007122AB">
        <w:rPr>
          <w:rFonts w:ascii="Times New Roman" w:hAnsi="Times New Roman"/>
          <w:color w:val="000000" w:themeColor="text1"/>
          <w:sz w:val="16"/>
          <w:szCs w:val="16"/>
        </w:rPr>
        <w:softHyphen/>
        <w:t>периментальную установку, на которой собира</w:t>
      </w:r>
      <w:r w:rsidRPr="007122AB">
        <w:rPr>
          <w:rFonts w:ascii="Times New Roman" w:hAnsi="Times New Roman"/>
          <w:color w:val="000000" w:themeColor="text1"/>
          <w:sz w:val="16"/>
          <w:szCs w:val="16"/>
        </w:rPr>
        <w:softHyphen/>
        <w:t xml:space="preserve">лись опробовать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-поршневую группу М-34. При степени сжатия 5,3 (в проекте пре</w:t>
      </w:r>
      <w:r w:rsidRPr="007122AB">
        <w:rPr>
          <w:rFonts w:ascii="Times New Roman" w:hAnsi="Times New Roman"/>
          <w:color w:val="000000" w:themeColor="text1"/>
          <w:sz w:val="16"/>
          <w:szCs w:val="16"/>
        </w:rPr>
        <w:softHyphen/>
        <w:t>дусматривались варианты 5,3 и 6,0) с «половинки» М-34 сняли 300 л.с. В качестве промежуточного ва</w:t>
      </w:r>
      <w:r w:rsidRPr="007122AB">
        <w:rPr>
          <w:rFonts w:ascii="Times New Roman" w:hAnsi="Times New Roman"/>
          <w:color w:val="000000" w:themeColor="text1"/>
          <w:sz w:val="16"/>
          <w:szCs w:val="16"/>
        </w:rPr>
        <w:softHyphen/>
        <w:t>рианта первый изготовленный блок приспособили к картеру немецкого двигателя Юнкере 15 (11848).</w:t>
      </w:r>
    </w:p>
    <w:p w14:paraId="61F62B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D93D8" w14:textId="77777777" w:rsidR="003562F3" w:rsidRPr="007122AB" w:rsidRDefault="003562F3" w:rsidP="007122AB">
      <w:pPr>
        <w:pStyle w:val="a3"/>
        <w:autoSpaceDE/>
        <w:autoSpaceDN/>
        <w:adjustRightInd/>
        <w:rPr>
          <w:color w:val="000000" w:themeColor="text1"/>
          <w:lang w:val="ru-RU"/>
        </w:rPr>
      </w:pPr>
      <w:r w:rsidRPr="007122AB">
        <w:rPr>
          <w:color w:val="000000" w:themeColor="text1"/>
          <w:lang w:val="ru-RU"/>
        </w:rPr>
        <w:t>28 января 1931 г. появилась ура-патриотическая статья в «Правде» о строитель</w:t>
      </w:r>
      <w:r w:rsidRPr="007122AB">
        <w:rPr>
          <w:color w:val="000000" w:themeColor="text1"/>
          <w:lang w:val="ru-RU"/>
        </w:rPr>
        <w:softHyphen/>
        <w:t>стве эскадры дирижаблей им. В.И. Ленина и после нее в эскадрилью помимо четырех кораблей, были включены еще два - «Ленин» и «Старый большевик». Постановлени</w:t>
      </w:r>
      <w:r w:rsidRPr="007122AB">
        <w:rPr>
          <w:color w:val="000000" w:themeColor="text1"/>
          <w:lang w:val="ru-RU"/>
        </w:rPr>
        <w:softHyphen/>
        <w:t xml:space="preserve">ем Совета Труда и Обороны (СТО) от 25 апреля 1931 г. реализация сложнейшей технической задачи была возложена на ВО ГВФ СССР с передачей ему созданной, пока еще на бумаге, Базой опытного строительства и эксплуатации дирижаблей. Начальником БОСЭД с 1 мая был назначен выпускник Рижского реального училища, герой Гражданской войны и недавний дипломатический курьер НКИД СССР П.М. </w:t>
      </w:r>
      <w:proofErr w:type="spellStart"/>
      <w:r w:rsidRPr="007122AB">
        <w:rPr>
          <w:color w:val="000000" w:themeColor="text1"/>
          <w:lang w:val="ru-RU"/>
        </w:rPr>
        <w:t>Пурмаль</w:t>
      </w:r>
      <w:proofErr w:type="spellEnd"/>
      <w:r w:rsidRPr="007122AB">
        <w:rPr>
          <w:color w:val="000000" w:themeColor="text1"/>
          <w:lang w:val="ru-RU"/>
        </w:rPr>
        <w:t xml:space="preserve"> (12732).</w:t>
      </w:r>
    </w:p>
    <w:p w14:paraId="3E7D9950" w14:textId="77777777" w:rsidR="003562F3" w:rsidRPr="007122AB" w:rsidRDefault="003562F3" w:rsidP="007122AB">
      <w:pPr>
        <w:pStyle w:val="a3"/>
        <w:autoSpaceDE/>
        <w:autoSpaceDN/>
        <w:adjustRightInd/>
        <w:rPr>
          <w:color w:val="000000" w:themeColor="text1"/>
          <w:lang w:val="ru-RU"/>
        </w:rPr>
      </w:pPr>
    </w:p>
    <w:p w14:paraId="736F75B7" w14:textId="77777777" w:rsidR="007E406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603DDA7" w14:textId="77777777" w:rsidR="007E4069" w:rsidRPr="007122AB" w:rsidRDefault="007E406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5B0000"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января 1931 г. поступивший на ХПЗ в конце января 1931 г. первый корпус танка с Ижорского завода </w:t>
      </w:r>
      <w:proofErr w:type="spellStart"/>
      <w:r w:rsidRPr="007122AB">
        <w:rPr>
          <w:rFonts w:ascii="Times New Roman" w:hAnsi="Times New Roman"/>
          <w:color w:val="000000" w:themeColor="text1"/>
          <w:sz w:val="16"/>
          <w:szCs w:val="16"/>
        </w:rPr>
        <w:t>бфл</w:t>
      </w:r>
      <w:proofErr w:type="spellEnd"/>
      <w:r w:rsidRPr="007122AB">
        <w:rPr>
          <w:rFonts w:ascii="Times New Roman" w:hAnsi="Times New Roman"/>
          <w:color w:val="000000" w:themeColor="text1"/>
          <w:sz w:val="16"/>
          <w:szCs w:val="16"/>
        </w:rPr>
        <w:t xml:space="preserve"> принят (акт приемки №1 от).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171BB98C" w14:textId="77777777" w:rsidR="007E4069" w:rsidRPr="007122AB" w:rsidRDefault="007E4069" w:rsidP="007122AB">
      <w:pPr>
        <w:spacing w:after="0" w:line="240" w:lineRule="auto"/>
        <w:jc w:val="both"/>
        <w:rPr>
          <w:rFonts w:ascii="Times New Roman" w:hAnsi="Times New Roman"/>
          <w:color w:val="000000" w:themeColor="text1"/>
          <w:sz w:val="16"/>
          <w:szCs w:val="16"/>
        </w:rPr>
      </w:pPr>
    </w:p>
    <w:p w14:paraId="1DA9F685" w14:textId="77777777" w:rsidR="006C4450" w:rsidRPr="007122AB" w:rsidRDefault="006C4450"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января 1931 года, было создано КБ-3 ВОАО, которое возглавил Гинзбург. К огромному неудовольствию </w:t>
      </w:r>
      <w:proofErr w:type="spellStart"/>
      <w:r w:rsidRPr="007122AB">
        <w:rPr>
          <w:rFonts w:ascii="Times New Roman" w:hAnsi="Times New Roman"/>
          <w:color w:val="000000" w:themeColor="text1"/>
          <w:sz w:val="16"/>
          <w:szCs w:val="16"/>
        </w:rPr>
        <w:t>Шукалова</w:t>
      </w:r>
      <w:proofErr w:type="spellEnd"/>
      <w:r w:rsidRPr="007122AB">
        <w:rPr>
          <w:rFonts w:ascii="Times New Roman" w:hAnsi="Times New Roman"/>
          <w:color w:val="000000" w:themeColor="text1"/>
          <w:sz w:val="16"/>
          <w:szCs w:val="16"/>
        </w:rPr>
        <w:t xml:space="preserve">, который направил в адрес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большое письмо, где </w:t>
      </w:r>
      <w:proofErr w:type="spellStart"/>
      <w:r w:rsidRPr="007122AB">
        <w:rPr>
          <w:rFonts w:ascii="Times New Roman" w:hAnsi="Times New Roman"/>
          <w:color w:val="000000" w:themeColor="text1"/>
          <w:sz w:val="16"/>
          <w:szCs w:val="16"/>
        </w:rPr>
        <w:t>ракритиковал</w:t>
      </w:r>
      <w:proofErr w:type="spellEnd"/>
      <w:r w:rsidRPr="007122AB">
        <w:rPr>
          <w:rFonts w:ascii="Times New Roman" w:hAnsi="Times New Roman"/>
          <w:color w:val="000000" w:themeColor="text1"/>
          <w:sz w:val="16"/>
          <w:szCs w:val="16"/>
        </w:rPr>
        <w:t xml:space="preserve"> данную идею в целом и Гинзбурга в частности. Не помогло - под начало Гинзбурга перевели ГКБ ОАТ, включая Заславского и остальных. Решение абсолютно верное, особенно с учетом того, что Гинзбург был человеком УММ. Просуществовало КБ-3 ВОАО не очень долго. В 1932 году стало очевидно, что размещение КБ в Москве, а производства в Ленинграде, не является рациональной идеей. Это же касалось и совмещение на заводе "Большевик" одновременно танкового и артиллерийского производства (19634).</w:t>
      </w:r>
    </w:p>
    <w:p w14:paraId="1C630ACF" w14:textId="77777777" w:rsidR="006C4450" w:rsidRPr="007122AB" w:rsidRDefault="006C4450" w:rsidP="007122AB">
      <w:pPr>
        <w:shd w:val="clear" w:color="auto" w:fill="FFFFFF"/>
        <w:spacing w:after="0" w:line="240" w:lineRule="auto"/>
        <w:jc w:val="both"/>
        <w:rPr>
          <w:rFonts w:ascii="Times New Roman" w:hAnsi="Times New Roman"/>
          <w:color w:val="000000" w:themeColor="text1"/>
          <w:sz w:val="16"/>
          <w:szCs w:val="16"/>
        </w:rPr>
      </w:pPr>
    </w:p>
    <w:p w14:paraId="7090D72F" w14:textId="77777777" w:rsidR="00B93B98" w:rsidRPr="007122AB" w:rsidRDefault="00B93B9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28 января 1931 года было создано КБ-3 ВОАО (Всесоюзное орудийно-арсенальное объединение), которое возглавил Гинзбург. В его состав предавались сотрудники ГКБ ОАТ. </w:t>
      </w:r>
      <w:proofErr w:type="spellStart"/>
      <w:r w:rsidRPr="007122AB">
        <w:rPr>
          <w:rFonts w:ascii="Times New Roman" w:hAnsi="Times New Roman"/>
          <w:color w:val="000000" w:themeColor="text1"/>
          <w:sz w:val="16"/>
          <w:szCs w:val="16"/>
          <w:shd w:val="clear" w:color="auto" w:fill="FFFFFF"/>
        </w:rPr>
        <w:t>Шукалов</w:t>
      </w:r>
      <w:proofErr w:type="spellEnd"/>
      <w:r w:rsidRPr="007122AB">
        <w:rPr>
          <w:rFonts w:ascii="Times New Roman" w:hAnsi="Times New Roman"/>
          <w:color w:val="000000" w:themeColor="text1"/>
          <w:sz w:val="16"/>
          <w:szCs w:val="16"/>
          <w:shd w:val="clear" w:color="auto" w:fill="FFFFFF"/>
        </w:rPr>
        <w:t xml:space="preserve"> по этому поводу разродился гневными письмами, считая назначение Гинзбурга политическим решением. Им предлагалось сделать Гинзбурга либо заместителем </w:t>
      </w:r>
      <w:proofErr w:type="spellStart"/>
      <w:r w:rsidRPr="007122AB">
        <w:rPr>
          <w:rFonts w:ascii="Times New Roman" w:hAnsi="Times New Roman"/>
          <w:color w:val="000000" w:themeColor="text1"/>
          <w:sz w:val="16"/>
          <w:szCs w:val="16"/>
          <w:shd w:val="clear" w:color="auto" w:fill="FFFFFF"/>
        </w:rPr>
        <w:t>Шукалова</w:t>
      </w:r>
      <w:proofErr w:type="spellEnd"/>
      <w:r w:rsidRPr="007122AB">
        <w:rPr>
          <w:rFonts w:ascii="Times New Roman" w:hAnsi="Times New Roman"/>
          <w:color w:val="000000" w:themeColor="text1"/>
          <w:sz w:val="16"/>
          <w:szCs w:val="16"/>
          <w:shd w:val="clear" w:color="auto" w:fill="FFFFFF"/>
        </w:rPr>
        <w:t xml:space="preserve">, либо заместителем Заславского. Ни то, ни другое, естественно, никто делать не стал. Задачей новой структуры, которая подчинялась напрямую УММ КА, стала работа над ошибками, которую пришлось проводить в советском </w:t>
      </w:r>
      <w:proofErr w:type="spellStart"/>
      <w:r w:rsidRPr="007122AB">
        <w:rPr>
          <w:rFonts w:ascii="Times New Roman" w:hAnsi="Times New Roman"/>
          <w:color w:val="000000" w:themeColor="text1"/>
          <w:sz w:val="16"/>
          <w:szCs w:val="16"/>
          <w:shd w:val="clear" w:color="auto" w:fill="FFFFFF"/>
        </w:rPr>
        <w:t>танкопроме</w:t>
      </w:r>
      <w:proofErr w:type="spellEnd"/>
      <w:r w:rsidRPr="007122AB">
        <w:rPr>
          <w:rFonts w:ascii="Times New Roman" w:hAnsi="Times New Roman"/>
          <w:color w:val="000000" w:themeColor="text1"/>
          <w:sz w:val="16"/>
          <w:szCs w:val="16"/>
          <w:shd w:val="clear" w:color="auto" w:fill="FFFFFF"/>
        </w:rPr>
        <w:t>. Она была настолько запущенной, что спровоцировала, в 1929-1930 годах, волну арестов. Первым делом, которое предстояло сделать новому КБ - это организация производства В-26. Данный танк, уже под обозначением Т-26, приняли на вооружение Красной Армии 13 февраля 1931 года. В тот же день приняли на вооружение и переработанный вариант танкетки К-6, он получил обозначение Т-27. И если Т-27 освоили довольно легко (за 1931 год сдали 348 таких танкеток), то с Т-26 дело шло тяжело. Первые танки данного типа, по плану, сдавались 31 июля 1931 года. А за октябрь-декабрь 1931 года сдавалось еще 300 штук. Вот только "Большевик" был загружен по программе Т-18, это не считая работ по темам Т-19, Т-20 и другим. По итогам официально было сдано всего 17 танков (20375).</w:t>
      </w:r>
    </w:p>
    <w:p w14:paraId="7F9C1317" w14:textId="77777777" w:rsidR="00B93B98" w:rsidRPr="007122AB" w:rsidRDefault="00B93B98" w:rsidP="007122AB">
      <w:pPr>
        <w:shd w:val="clear" w:color="auto" w:fill="FFFFFF"/>
        <w:spacing w:after="0" w:line="240" w:lineRule="auto"/>
        <w:jc w:val="both"/>
        <w:rPr>
          <w:rFonts w:ascii="Times New Roman" w:hAnsi="Times New Roman"/>
          <w:color w:val="000000" w:themeColor="text1"/>
          <w:sz w:val="16"/>
          <w:szCs w:val="16"/>
        </w:rPr>
      </w:pPr>
    </w:p>
    <w:p w14:paraId="219564A6" w14:textId="77777777" w:rsidR="00B93B98" w:rsidRPr="007122AB" w:rsidRDefault="00B93B9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28 января 1931 года было образовано КБ-3 ВОАО (Всесоюзное Орудийно-Арсенальное Объединение), его начальником назначили С.А. Гинзбурга. Пламенные речи </w:t>
      </w:r>
      <w:proofErr w:type="spellStart"/>
      <w:r w:rsidRPr="007122AB">
        <w:rPr>
          <w:rFonts w:ascii="Times New Roman" w:eastAsia="Times New Roman" w:hAnsi="Times New Roman"/>
          <w:color w:val="000000" w:themeColor="text1"/>
          <w:sz w:val="16"/>
          <w:szCs w:val="16"/>
          <w:lang w:eastAsia="ru-RU"/>
        </w:rPr>
        <w:t>Шукалова</w:t>
      </w:r>
      <w:proofErr w:type="spellEnd"/>
      <w:r w:rsidRPr="007122AB">
        <w:rPr>
          <w:rFonts w:ascii="Times New Roman" w:eastAsia="Times New Roman" w:hAnsi="Times New Roman"/>
          <w:color w:val="000000" w:themeColor="text1"/>
          <w:sz w:val="16"/>
          <w:szCs w:val="16"/>
          <w:lang w:eastAsia="ru-RU"/>
        </w:rPr>
        <w:t xml:space="preserve"> даже не стали слушать, да и потом они ему сильно аукнулись. Спустя чуть более 2 недель, 13 февраля 1931 года, было принято решение о производстве В-26 на заводе "Большевик". Танк приняли на вооружение Красной Армии как Т-26. Это было единственно верным решением, дальше заниматься </w:t>
      </w:r>
      <w:proofErr w:type="spellStart"/>
      <w:r w:rsidRPr="007122AB">
        <w:rPr>
          <w:rFonts w:ascii="Times New Roman" w:eastAsia="Times New Roman" w:hAnsi="Times New Roman"/>
          <w:color w:val="000000" w:themeColor="text1"/>
          <w:sz w:val="16"/>
          <w:szCs w:val="16"/>
          <w:lang w:eastAsia="ru-RU"/>
        </w:rPr>
        <w:t>заниматься</w:t>
      </w:r>
      <w:proofErr w:type="spellEnd"/>
      <w:r w:rsidRPr="007122AB">
        <w:rPr>
          <w:rFonts w:ascii="Times New Roman" w:eastAsia="Times New Roman" w:hAnsi="Times New Roman"/>
          <w:color w:val="000000" w:themeColor="text1"/>
          <w:sz w:val="16"/>
          <w:szCs w:val="16"/>
          <w:lang w:eastAsia="ru-RU"/>
        </w:rPr>
        <w:t xml:space="preserve"> развитием </w:t>
      </w:r>
      <w:proofErr w:type="spellStart"/>
      <w:r w:rsidRPr="007122AB">
        <w:rPr>
          <w:rFonts w:ascii="Times New Roman" w:eastAsia="Times New Roman" w:hAnsi="Times New Roman"/>
          <w:color w:val="000000" w:themeColor="text1"/>
          <w:sz w:val="16"/>
          <w:szCs w:val="16"/>
          <w:lang w:eastAsia="ru-RU"/>
        </w:rPr>
        <w:t>шукаловских</w:t>
      </w:r>
      <w:proofErr w:type="spellEnd"/>
      <w:r w:rsidRPr="007122AB">
        <w:rPr>
          <w:rFonts w:ascii="Times New Roman" w:eastAsia="Times New Roman" w:hAnsi="Times New Roman"/>
          <w:color w:val="000000" w:themeColor="text1"/>
          <w:sz w:val="16"/>
          <w:szCs w:val="16"/>
          <w:lang w:eastAsia="ru-RU"/>
        </w:rPr>
        <w:t xml:space="preserve"> машин не имело никакого смысла (20740).</w:t>
      </w:r>
    </w:p>
    <w:p w14:paraId="7B43018D" w14:textId="77777777" w:rsidR="00B93B98" w:rsidRPr="007122AB" w:rsidRDefault="00B93B9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A26D69" w14:textId="77777777" w:rsidR="006C4450" w:rsidRPr="007122AB" w:rsidRDefault="006C445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84C1030" w14:textId="77777777" w:rsidR="006C4450" w:rsidRPr="007122AB" w:rsidRDefault="006C44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15E05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28-30 января 1931 г.</w:t>
      </w:r>
    </w:p>
    <w:p w14:paraId="574D7BA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Показания В. А. </w:t>
      </w:r>
      <w:proofErr w:type="spellStart"/>
      <w:r w:rsidRPr="007122AB">
        <w:rPr>
          <w:rFonts w:ascii="Times New Roman" w:hAnsi="Times New Roman"/>
          <w:color w:val="000000" w:themeColor="text1"/>
          <w:sz w:val="16"/>
          <w:szCs w:val="16"/>
        </w:rPr>
        <w:t>Гассельблата</w:t>
      </w:r>
      <w:proofErr w:type="spellEnd"/>
      <w:r w:rsidRPr="007122AB">
        <w:rPr>
          <w:rFonts w:ascii="Times New Roman" w:hAnsi="Times New Roman"/>
          <w:color w:val="000000" w:themeColor="text1"/>
          <w:sz w:val="16"/>
          <w:szCs w:val="16"/>
        </w:rPr>
        <w:t xml:space="preserve"> о «вредительстве» на предприятиях Магнитогорского комбината. 28-30 января 1931 г.</w:t>
      </w:r>
    </w:p>
    <w:p w14:paraId="528E4356"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36BA098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0BED8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28-30 января 1931 г.</w:t>
      </w:r>
    </w:p>
    <w:p w14:paraId="56A47FC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7FC6DB6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ДОПРОСА</w:t>
      </w:r>
    </w:p>
    <w:p w14:paraId="0ADC87D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Главного инженера Магнитостроя</w:t>
      </w:r>
    </w:p>
    <w:p w14:paraId="49531EC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ГАССЕЛЬБЛАТА Виталия Алексеевича.</w:t>
      </w:r>
    </w:p>
    <w:p w14:paraId="14D0F84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28-30 января 1931 г.</w:t>
      </w:r>
    </w:p>
    <w:p w14:paraId="2FD0E3C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АКТЫ ВРЕДИТЕЛЬСТВА ПО МАГНИТОСТРОЮ</w:t>
      </w:r>
    </w:p>
    <w:p w14:paraId="7BBE2C8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МЕРОПРИЯТИЯ ПО ИХ ЛИКВИДАЦИИ.</w:t>
      </w:r>
    </w:p>
    <w:p w14:paraId="49BFAAA2"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Снабжение топливом Магнитогорского комбината. Вредительство в этом вопросе заключалось в том, что и для первоначальной программы завода в 650.000 и для большой программы в 2,5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тонн ни </w:t>
      </w:r>
      <w:proofErr w:type="spellStart"/>
      <w:r w:rsidRPr="007122AB">
        <w:rPr>
          <w:rFonts w:ascii="Times New Roman" w:hAnsi="Times New Roman"/>
          <w:color w:val="000000" w:themeColor="text1"/>
          <w:sz w:val="16"/>
          <w:szCs w:val="16"/>
        </w:rPr>
        <w:t>Уралгипромез</w:t>
      </w:r>
      <w:proofErr w:type="spellEnd"/>
      <w:r w:rsidRPr="007122AB">
        <w:rPr>
          <w:rFonts w:ascii="Times New Roman" w:hAnsi="Times New Roman"/>
          <w:color w:val="000000" w:themeColor="text1"/>
          <w:sz w:val="16"/>
          <w:szCs w:val="16"/>
        </w:rPr>
        <w:t xml:space="preserve">, ни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твердо не поставил этого вопроса в 1927 и 1928 году, и Управление строительством и </w:t>
      </w:r>
      <w:proofErr w:type="spellStart"/>
      <w:r w:rsidRPr="007122AB">
        <w:rPr>
          <w:rFonts w:ascii="Times New Roman" w:hAnsi="Times New Roman"/>
          <w:color w:val="000000" w:themeColor="text1"/>
          <w:sz w:val="16"/>
          <w:szCs w:val="16"/>
        </w:rPr>
        <w:t>Новосталь</w:t>
      </w:r>
      <w:proofErr w:type="spellEnd"/>
      <w:r w:rsidRPr="007122AB">
        <w:rPr>
          <w:rFonts w:ascii="Times New Roman" w:hAnsi="Times New Roman"/>
          <w:color w:val="000000" w:themeColor="text1"/>
          <w:sz w:val="16"/>
          <w:szCs w:val="16"/>
        </w:rPr>
        <w:t xml:space="preserve"> в 1930 г. В результате </w:t>
      </w:r>
      <w:proofErr w:type="spellStart"/>
      <w:r w:rsidRPr="007122AB">
        <w:rPr>
          <w:rFonts w:ascii="Times New Roman" w:hAnsi="Times New Roman"/>
          <w:color w:val="000000" w:themeColor="text1"/>
          <w:sz w:val="16"/>
          <w:szCs w:val="16"/>
        </w:rPr>
        <w:t>невыясненности</w:t>
      </w:r>
      <w:proofErr w:type="spellEnd"/>
      <w:r w:rsidRPr="007122AB">
        <w:rPr>
          <w:rFonts w:ascii="Times New Roman" w:hAnsi="Times New Roman"/>
          <w:color w:val="000000" w:themeColor="text1"/>
          <w:sz w:val="16"/>
          <w:szCs w:val="16"/>
        </w:rPr>
        <w:t xml:space="preserve"> этого вопроса и его затягивания (до ноября 1930 г. не были установлены </w:t>
      </w:r>
      <w:proofErr w:type="spellStart"/>
      <w:r w:rsidRPr="007122AB">
        <w:rPr>
          <w:rFonts w:ascii="Times New Roman" w:hAnsi="Times New Roman"/>
          <w:color w:val="000000" w:themeColor="text1"/>
          <w:sz w:val="16"/>
          <w:szCs w:val="16"/>
        </w:rPr>
        <w:t>Востокуглем</w:t>
      </w:r>
      <w:proofErr w:type="spellEnd"/>
      <w:r w:rsidRPr="007122AB">
        <w:rPr>
          <w:rFonts w:ascii="Times New Roman" w:hAnsi="Times New Roman"/>
          <w:color w:val="000000" w:themeColor="text1"/>
          <w:sz w:val="16"/>
          <w:szCs w:val="16"/>
        </w:rPr>
        <w:t xml:space="preserve"> ни район, откуда будет поступать каменный уголь для Магнитогорского завода, ни программа отправки угля, ни анализы этого угля) получилось, что Магнитострой не имел данных для шихтовки, которая будет принята для коксования углей, ни содержания в золе углей фосфора, что затягивало решение вопроса о введении бессемеровского процесса на Магнитогорском заводе. Переписка и безответственные командировки не помогут. Необходимо срочно ликвидировать этот основной вопрос.</w:t>
      </w:r>
    </w:p>
    <w:p w14:paraId="5901F67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Мероприятия следующие:</w:t>
      </w:r>
    </w:p>
    <w:p w14:paraId="3B594FD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строительством и «</w:t>
      </w:r>
      <w:proofErr w:type="spellStart"/>
      <w:r w:rsidRPr="007122AB">
        <w:rPr>
          <w:rFonts w:ascii="Times New Roman" w:hAnsi="Times New Roman"/>
          <w:color w:val="000000" w:themeColor="text1"/>
          <w:sz w:val="16"/>
          <w:szCs w:val="16"/>
        </w:rPr>
        <w:t>Востоксталь</w:t>
      </w:r>
      <w:proofErr w:type="spellEnd"/>
      <w:r w:rsidRPr="007122AB">
        <w:rPr>
          <w:rFonts w:ascii="Times New Roman" w:hAnsi="Times New Roman"/>
          <w:color w:val="000000" w:themeColor="text1"/>
          <w:sz w:val="16"/>
          <w:szCs w:val="16"/>
        </w:rPr>
        <w:t xml:space="preserve">» должны через Президиум ВСНХ добиться от </w:t>
      </w:r>
      <w:proofErr w:type="spellStart"/>
      <w:r w:rsidRPr="007122AB">
        <w:rPr>
          <w:rFonts w:ascii="Times New Roman" w:hAnsi="Times New Roman"/>
          <w:color w:val="000000" w:themeColor="text1"/>
          <w:sz w:val="16"/>
          <w:szCs w:val="16"/>
        </w:rPr>
        <w:t>Востокугля</w:t>
      </w:r>
      <w:proofErr w:type="spellEnd"/>
      <w:r w:rsidRPr="007122AB">
        <w:rPr>
          <w:rFonts w:ascii="Times New Roman" w:hAnsi="Times New Roman"/>
          <w:color w:val="000000" w:themeColor="text1"/>
          <w:sz w:val="16"/>
          <w:szCs w:val="16"/>
        </w:rPr>
        <w:t>, чтобы дана была ясная и реальная программа снабжения Кузнецким углем Магнитогорского завода, учитывая, что первые партии угля из Сибири потребуются заводу с сентября 1931 г., чтобы до пуска первых двух доменных печей создать запас кокса и пережить в коксовании период [«]детских болезней[»].</w:t>
      </w:r>
    </w:p>
    <w:p w14:paraId="6C5869F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Магнитострой должен получить:</w:t>
      </w:r>
    </w:p>
    <w:p w14:paraId="16E6A69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пятилетнюю программу питания углем завода из Сибири;</w:t>
      </w:r>
    </w:p>
    <w:p w14:paraId="2991B19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характеристику углей в смысле их пропорции (по месторождениям и пластам), которая будет поступать на Магнитогорский завод с полным химическим анализом этих углей;</w:t>
      </w:r>
    </w:p>
    <w:p w14:paraId="5557CE2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особое внимание должно быть обращено на содержание фосфора в углях;</w:t>
      </w:r>
    </w:p>
    <w:p w14:paraId="248D244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должны быть даны сведения о результате коксования, предполагаемые к отправке смесей углей, произведенного в Сибири;</w:t>
      </w:r>
    </w:p>
    <w:p w14:paraId="55B6B8A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д) </w:t>
      </w:r>
      <w:proofErr w:type="spellStart"/>
      <w:r w:rsidRPr="007122AB">
        <w:rPr>
          <w:rFonts w:ascii="Times New Roman" w:hAnsi="Times New Roman"/>
          <w:color w:val="000000" w:themeColor="text1"/>
          <w:sz w:val="16"/>
          <w:szCs w:val="16"/>
        </w:rPr>
        <w:t>Коксострой</w:t>
      </w:r>
      <w:proofErr w:type="spellEnd"/>
      <w:r w:rsidRPr="007122AB">
        <w:rPr>
          <w:rFonts w:ascii="Times New Roman" w:hAnsi="Times New Roman"/>
          <w:color w:val="000000" w:themeColor="text1"/>
          <w:sz w:val="16"/>
          <w:szCs w:val="16"/>
        </w:rPr>
        <w:t xml:space="preserve"> должен организовать опыты, чтобы определить потерю летучих в намеченных для Магнитостроя углях, которая будет получаться за время пробега угля из Сибири в Магнитогорск и время хранения угля до начала коксования;</w:t>
      </w:r>
    </w:p>
    <w:p w14:paraId="5DD5A85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w:t>
      </w:r>
      <w:proofErr w:type="spellStart"/>
      <w:r w:rsidRPr="007122AB">
        <w:rPr>
          <w:rFonts w:ascii="Times New Roman" w:hAnsi="Times New Roman"/>
          <w:color w:val="000000" w:themeColor="text1"/>
          <w:sz w:val="16"/>
          <w:szCs w:val="16"/>
        </w:rPr>
        <w:t>Коксострой</w:t>
      </w:r>
      <w:proofErr w:type="spellEnd"/>
      <w:r w:rsidRPr="007122AB">
        <w:rPr>
          <w:rFonts w:ascii="Times New Roman" w:hAnsi="Times New Roman"/>
          <w:color w:val="000000" w:themeColor="text1"/>
          <w:sz w:val="16"/>
          <w:szCs w:val="16"/>
        </w:rPr>
        <w:t xml:space="preserve"> должен выяснить вопрос о хранении угля на складах (толщина пласта угля на складе), что имеет большое значение в смысле размеров складов.</w:t>
      </w:r>
    </w:p>
    <w:p w14:paraId="68A8FA9C" w14:textId="77777777" w:rsidR="006C4450" w:rsidRPr="007122AB" w:rsidRDefault="006C4450"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Коксострой</w:t>
      </w:r>
      <w:proofErr w:type="spellEnd"/>
      <w:r w:rsidRPr="007122AB">
        <w:rPr>
          <w:rFonts w:ascii="Times New Roman" w:hAnsi="Times New Roman"/>
          <w:color w:val="000000" w:themeColor="text1"/>
          <w:sz w:val="16"/>
          <w:szCs w:val="16"/>
        </w:rPr>
        <w:t xml:space="preserve"> в этом вопросе должен проявить энергию, чтобы побороть старый взгляд на ограниченную высоту хранения углей на складах. Заграничная, особенно американская, практика в этом деле нас учит, что возможно такие угли, как Кузнецкого бассейна[,] хранить на складах большим пластом.</w:t>
      </w:r>
    </w:p>
    <w:p w14:paraId="35A3120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Строительством и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не ограничиваясь вопросом снабжения каменным углем Магнитогорского завода из Кузбасса, должно поставить срочно вопрос о питании углем из более близкого Сибирского месторождения — Карагандинского. Должно быть поручено теперь же особой авторитетной экспедиции выяснить и полностью осветить вопрос Карагандинского каменноугольного месторождения с точки зрения:</w:t>
      </w:r>
    </w:p>
    <w:p w14:paraId="4BF885B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благонадежности месторождения;</w:t>
      </w:r>
    </w:p>
    <w:p w14:paraId="182DB2A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физического и химического состава углей;</w:t>
      </w:r>
    </w:p>
    <w:p w14:paraId="2C2B012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способности коксования с производством опытного коксования (параллельно на Урале в Кизеле и в Кемерове для взаимной проверки);</w:t>
      </w:r>
    </w:p>
    <w:p w14:paraId="08D87BF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содержания в углях фосфора в разных пластах и возможности сортировки таких углей;</w:t>
      </w:r>
    </w:p>
    <w:p w14:paraId="7418155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потери летучих &lt;веществ&gt; при хранении;</w:t>
      </w:r>
    </w:p>
    <w:p w14:paraId="5AF83C7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реальную программу развития Карагандинского каменноугольного месторождения с учетом постройки железной дороги и стоимости провоза углей до Магнитогорска.</w:t>
      </w:r>
    </w:p>
    <w:p w14:paraId="00349D8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Магнитострой должен обратить внимание на </w:t>
      </w:r>
      <w:proofErr w:type="spellStart"/>
      <w:r w:rsidRPr="007122AB">
        <w:rPr>
          <w:rFonts w:ascii="Times New Roman" w:hAnsi="Times New Roman"/>
          <w:color w:val="000000" w:themeColor="text1"/>
          <w:sz w:val="16"/>
          <w:szCs w:val="16"/>
        </w:rPr>
        <w:t>Полтаво</w:t>
      </w:r>
      <w:proofErr w:type="spellEnd"/>
      <w:r w:rsidRPr="007122AB">
        <w:rPr>
          <w:rFonts w:ascii="Times New Roman" w:hAnsi="Times New Roman"/>
          <w:color w:val="000000" w:themeColor="text1"/>
          <w:sz w:val="16"/>
          <w:szCs w:val="16"/>
        </w:rPr>
        <w:t>-Брединское месторождение антрацита: не только на работавшие раньше шахты, но захватить район шире, так как в направлении к югу (Орску) еще до революции были найдены выходы каменного угля.</w:t>
      </w:r>
    </w:p>
    <w:p w14:paraId="7D8C77B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Весь этот район Магнитогорскому заводу необходимо взять в свою орбиту и организовать крупные геологические работы в текущем году, так как положительные результаты могут значительно удешевить топливоснабжение Магнитогорского завода, как для целей металлургических, так и получения энергии.</w:t>
      </w:r>
    </w:p>
    <w:p w14:paraId="10D9BDB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вопросы топливоснабжения Магнитогорского предприятия, начиная с периода проектирования и до ноября 1930 г. не были концентрированы в одном месте (ими занимались Горный Отдел, Металлургический и Энергетический). Особая важность топливной проблемы для Магнитогорского завода, громадные размеры потребления топлива требуют, чтобы в Горном Отделе был приглашен специалист-угольщик, и образована небольшая ячейка, где бы концентрировались все вопросы каменноугольного топлива. В работе этой ячейки принимает деятельное участие геолог Горного отдела.</w:t>
      </w:r>
    </w:p>
    <w:p w14:paraId="0C4FDEB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Железорудный вопрос Магнитогорского комбината. Вредительство в этом вопросе заключалось в том, что разведки и исследовательские работы были поставлены совершенно недостаточно и несерьезно. В результате такой постановки работы в 1930 г. выявилась картина обеспечения рудой (главным образом, с качественной стороны) запутанная, ставящая под удар питание рудой Магнитогорского завода. Разведки, поставленные дополнительно летом и осенью 1930 г., показали, что данные разведок 1927, [19]28 и [19]29 годов не соответствуют действительности в смысле качественных показателей (химического анализа на фосфор и серу) и разбивки месторождения на окисленную и сернистую зоны. В смысле количества руды контрольные разведки 1930 г. подтвердили прежние подсчеты. Исследовательские работы были поставлены таким образом, что не давали никакого конкретного материала для составления и проектирования практической схемы обогащения Магнитогорских руд и, следовательно, учитывая геологическую сложность месторождения (большинство руд должно подвергаться обогащению), не давали никакой системы рудничного хозяйства. В настоящее время уже ликвидируется созданный прорыв в рудном вопросе (разведки). Необходимо Управлению строительством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принять следующие мероприятия:</w:t>
      </w:r>
    </w:p>
    <w:p w14:paraId="6F1ECB2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Проверить как весь материал, так, главным образом, анализы на фосфор и серу разведок 1927, [19]28 и [19]29 годов. На фосфор данные анализы, приведенные в предварительном проекте Магнитогорского завода (в печатном издании) не верны.</w:t>
      </w:r>
    </w:p>
    <w:p w14:paraId="0B652A8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Пригласить крупного геолога на постоянную работу в Магнитострое; до 1930 г. этот вопрос Горным отделом саботировался.</w:t>
      </w:r>
    </w:p>
    <w:p w14:paraId="431D6B4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Продолжать геологические разведки Магнитогорского месторождения, также месторождения горы </w:t>
      </w:r>
      <w:proofErr w:type="spellStart"/>
      <w:r w:rsidRPr="007122AB">
        <w:rPr>
          <w:rFonts w:ascii="Times New Roman" w:hAnsi="Times New Roman"/>
          <w:color w:val="000000" w:themeColor="text1"/>
          <w:sz w:val="16"/>
          <w:szCs w:val="16"/>
        </w:rPr>
        <w:t>Куйбас</w:t>
      </w:r>
      <w:proofErr w:type="spellEnd"/>
      <w:r w:rsidRPr="007122AB">
        <w:rPr>
          <w:rFonts w:ascii="Times New Roman" w:hAnsi="Times New Roman"/>
          <w:color w:val="000000" w:themeColor="text1"/>
          <w:sz w:val="16"/>
          <w:szCs w:val="16"/>
        </w:rPr>
        <w:t xml:space="preserve"> и всего района (выход железных руд встречается около &lt;</w:t>
      </w:r>
      <w:proofErr w:type="spellStart"/>
      <w:r w:rsidRPr="007122AB">
        <w:rPr>
          <w:rFonts w:ascii="Times New Roman" w:hAnsi="Times New Roman"/>
          <w:color w:val="000000" w:themeColor="text1"/>
          <w:sz w:val="16"/>
          <w:szCs w:val="16"/>
        </w:rPr>
        <w:t>Магни</w:t>
      </w:r>
      <w:proofErr w:type="spellEnd"/>
      <w:r w:rsidRPr="007122AB">
        <w:rPr>
          <w:rFonts w:ascii="Times New Roman" w:hAnsi="Times New Roman"/>
          <w:color w:val="000000" w:themeColor="text1"/>
          <w:sz w:val="16"/>
          <w:szCs w:val="16"/>
        </w:rPr>
        <w:t>&gt;</w:t>
      </w:r>
      <w:proofErr w:type="spellStart"/>
      <w:r w:rsidRPr="007122AB">
        <w:rPr>
          <w:rFonts w:ascii="Times New Roman" w:hAnsi="Times New Roman"/>
          <w:color w:val="000000" w:themeColor="text1"/>
          <w:sz w:val="16"/>
          <w:szCs w:val="16"/>
        </w:rPr>
        <w:t>тного</w:t>
      </w:r>
      <w:proofErr w:type="spellEnd"/>
      <w:r w:rsidRPr="007122AB">
        <w:rPr>
          <w:rFonts w:ascii="Times New Roman" w:hAnsi="Times New Roman"/>
          <w:color w:val="000000" w:themeColor="text1"/>
          <w:sz w:val="16"/>
          <w:szCs w:val="16"/>
        </w:rPr>
        <w:t xml:space="preserve"> совхоза). Образец руды в 1929 г. в сентябре мной передан в Горный отдел (Б. П. БОГОЛЮБОВУ).</w:t>
      </w:r>
    </w:p>
    <w:p w14:paraId="5AA8CA9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Срочно оборудовать новую </w:t>
      </w:r>
      <w:proofErr w:type="spellStart"/>
      <w:r w:rsidRPr="007122AB">
        <w:rPr>
          <w:rFonts w:ascii="Times New Roman" w:hAnsi="Times New Roman"/>
          <w:color w:val="000000" w:themeColor="text1"/>
          <w:sz w:val="16"/>
          <w:szCs w:val="16"/>
        </w:rPr>
        <w:t>рудообогатительную</w:t>
      </w:r>
      <w:proofErr w:type="spellEnd"/>
      <w:r w:rsidRPr="007122AB">
        <w:rPr>
          <w:rFonts w:ascii="Times New Roman" w:hAnsi="Times New Roman"/>
          <w:color w:val="000000" w:themeColor="text1"/>
          <w:sz w:val="16"/>
          <w:szCs w:val="16"/>
        </w:rPr>
        <w:t xml:space="preserve"> лабораторию (на Айдырлинском перевале) и поставить там систематические работы по обогащению магнитогорских руд.</w:t>
      </w:r>
    </w:p>
    <w:p w14:paraId="1871209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поставить на эту работу, кроме ответственного партийного работника, хорошего специалиста, молодого, работавшего в институтах механического обогащения руд. Старые горные инженеры в большинстве этих вопросов не знают или вносят в него вредную долю скептицизма.</w:t>
      </w:r>
    </w:p>
    <w:p w14:paraId="46FBB52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Особо обратить внимание на то, чтобы </w:t>
      </w:r>
      <w:proofErr w:type="spellStart"/>
      <w:r w:rsidRPr="007122AB">
        <w:rPr>
          <w:rFonts w:ascii="Times New Roman" w:hAnsi="Times New Roman"/>
          <w:color w:val="000000" w:themeColor="text1"/>
          <w:sz w:val="16"/>
          <w:szCs w:val="16"/>
        </w:rPr>
        <w:t>поступаемый</w:t>
      </w:r>
      <w:proofErr w:type="spellEnd"/>
      <w:r w:rsidRPr="007122AB">
        <w:rPr>
          <w:rFonts w:ascii="Times New Roman" w:hAnsi="Times New Roman"/>
          <w:color w:val="000000" w:themeColor="text1"/>
          <w:sz w:val="16"/>
          <w:szCs w:val="16"/>
        </w:rPr>
        <w:t xml:space="preserve"> в лабораторию материал был в первую очередь из районов, которые будут введены в </w:t>
      </w:r>
      <w:proofErr w:type="spellStart"/>
      <w:r w:rsidRPr="007122AB">
        <w:rPr>
          <w:rFonts w:ascii="Times New Roman" w:hAnsi="Times New Roman"/>
          <w:color w:val="000000" w:themeColor="text1"/>
          <w:sz w:val="16"/>
          <w:szCs w:val="16"/>
        </w:rPr>
        <w:t>эксплоатацию</w:t>
      </w:r>
      <w:proofErr w:type="spellEnd"/>
      <w:r w:rsidRPr="007122AB">
        <w:rPr>
          <w:rFonts w:ascii="Times New Roman" w:hAnsi="Times New Roman"/>
          <w:color w:val="000000" w:themeColor="text1"/>
          <w:sz w:val="16"/>
          <w:szCs w:val="16"/>
        </w:rPr>
        <w:t xml:space="preserve"> с начала развертывания рудника.</w:t>
      </w:r>
    </w:p>
    <w:p w14:paraId="4161FF9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Выбранный на г. </w:t>
      </w:r>
      <w:proofErr w:type="spellStart"/>
      <w:r w:rsidRPr="007122AB">
        <w:rPr>
          <w:rFonts w:ascii="Times New Roman" w:hAnsi="Times New Roman"/>
          <w:color w:val="000000" w:themeColor="text1"/>
          <w:sz w:val="16"/>
          <w:szCs w:val="16"/>
        </w:rPr>
        <w:t>Атач</w:t>
      </w:r>
      <w:proofErr w:type="spellEnd"/>
      <w:r w:rsidRPr="007122AB">
        <w:rPr>
          <w:rFonts w:ascii="Times New Roman" w:hAnsi="Times New Roman"/>
          <w:color w:val="000000" w:themeColor="text1"/>
          <w:sz w:val="16"/>
          <w:szCs w:val="16"/>
        </w:rPr>
        <w:t xml:space="preserve"> участок для первого периода работы рудника (с небольшим содержанием серы) должен быть проверен и на нем должны продолжаться дополнительные разведки. Этот участок необходимо начать разработкой в самое ближайшее время, подвергая добытую руду анализу, чтобы при нормальном масштабе работы можно было установить классификацию (по сере и фосфору) руд.</w:t>
      </w:r>
    </w:p>
    <w:p w14:paraId="679672C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подвергнуть разведке месторождение «</w:t>
      </w:r>
      <w:proofErr w:type="spellStart"/>
      <w:r w:rsidRPr="007122AB">
        <w:rPr>
          <w:rFonts w:ascii="Times New Roman" w:hAnsi="Times New Roman"/>
          <w:color w:val="000000" w:themeColor="text1"/>
          <w:sz w:val="16"/>
          <w:szCs w:val="16"/>
        </w:rPr>
        <w:t>Ежовку</w:t>
      </w:r>
      <w:proofErr w:type="spellEnd"/>
      <w:r w:rsidRPr="007122AB">
        <w:rPr>
          <w:rFonts w:ascii="Times New Roman" w:hAnsi="Times New Roman"/>
          <w:color w:val="000000" w:themeColor="text1"/>
          <w:sz w:val="16"/>
          <w:szCs w:val="16"/>
        </w:rPr>
        <w:t>», которая на первое время может дать некоторый резерв руды, не требующей сложного обогатительного процесса.</w:t>
      </w:r>
    </w:p>
    <w:p w14:paraId="11BE4E5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Форсировать постройку </w:t>
      </w:r>
      <w:proofErr w:type="spellStart"/>
      <w:r w:rsidRPr="007122AB">
        <w:rPr>
          <w:rFonts w:ascii="Times New Roman" w:hAnsi="Times New Roman"/>
          <w:color w:val="000000" w:themeColor="text1"/>
          <w:sz w:val="16"/>
          <w:szCs w:val="16"/>
        </w:rPr>
        <w:t>рудодробильной</w:t>
      </w:r>
      <w:proofErr w:type="spellEnd"/>
      <w:r w:rsidRPr="007122AB">
        <w:rPr>
          <w:rFonts w:ascii="Times New Roman" w:hAnsi="Times New Roman"/>
          <w:color w:val="000000" w:themeColor="text1"/>
          <w:sz w:val="16"/>
          <w:szCs w:val="16"/>
        </w:rPr>
        <w:t xml:space="preserve"> (крупной) фабрики и ее оборудование. Также форсировать проведение к ней железно-дорожного пути.</w:t>
      </w:r>
    </w:p>
    <w:p w14:paraId="4CCFC70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Организовать на Магнитной и в Горном отделе проектировочное небольшое бюро для проектирования горной (</w:t>
      </w:r>
      <w:proofErr w:type="spellStart"/>
      <w:r w:rsidRPr="007122AB">
        <w:rPr>
          <w:rFonts w:ascii="Times New Roman" w:hAnsi="Times New Roman"/>
          <w:color w:val="000000" w:themeColor="text1"/>
          <w:sz w:val="16"/>
          <w:szCs w:val="16"/>
        </w:rPr>
        <w:t>эксплоатационной</w:t>
      </w:r>
      <w:proofErr w:type="spellEnd"/>
      <w:r w:rsidRPr="007122AB">
        <w:rPr>
          <w:rFonts w:ascii="Times New Roman" w:hAnsi="Times New Roman"/>
          <w:color w:val="000000" w:themeColor="text1"/>
          <w:sz w:val="16"/>
          <w:szCs w:val="16"/>
        </w:rPr>
        <w:t xml:space="preserve">) части рудников, так как у Мак-Ки </w:t>
      </w:r>
      <w:proofErr w:type="spellStart"/>
      <w:r w:rsidRPr="007122AB">
        <w:rPr>
          <w:rFonts w:ascii="Times New Roman" w:hAnsi="Times New Roman"/>
          <w:color w:val="000000" w:themeColor="text1"/>
          <w:sz w:val="16"/>
          <w:szCs w:val="16"/>
        </w:rPr>
        <w:t>организо</w:t>
      </w:r>
      <w:proofErr w:type="spellEnd"/>
      <w:r w:rsidRPr="007122AB">
        <w:rPr>
          <w:rFonts w:ascii="Times New Roman" w:hAnsi="Times New Roman"/>
          <w:color w:val="000000" w:themeColor="text1"/>
          <w:sz w:val="16"/>
          <w:szCs w:val="16"/>
        </w:rPr>
        <w:t>&lt;вы&gt;</w:t>
      </w:r>
      <w:proofErr w:type="spellStart"/>
      <w:r w:rsidRPr="007122AB">
        <w:rPr>
          <w:rFonts w:ascii="Times New Roman" w:hAnsi="Times New Roman"/>
          <w:color w:val="000000" w:themeColor="text1"/>
          <w:sz w:val="16"/>
          <w:szCs w:val="16"/>
        </w:rPr>
        <w:t>вать</w:t>
      </w:r>
      <w:proofErr w:type="spellEnd"/>
      <w:r w:rsidRPr="007122AB">
        <w:rPr>
          <w:rFonts w:ascii="Times New Roman" w:hAnsi="Times New Roman"/>
          <w:color w:val="000000" w:themeColor="text1"/>
          <w:sz w:val="16"/>
          <w:szCs w:val="16"/>
        </w:rPr>
        <w:t xml:space="preserve"> его непродуктивно.</w:t>
      </w:r>
    </w:p>
    <w:p w14:paraId="5A13419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зависимости от полученных результатов обогащения руд во временной (деревянной) лаборатории установить предварительную схему обогащения руд и считаю, что для ее консультации желательно пригласить крупного обогатителя (может быть, профессора СВОРТА из Америки, район Верхнего Озера).</w:t>
      </w:r>
    </w:p>
    <w:p w14:paraId="2FC7325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Когда будет одобрена схема обогащения и выбрано и заказано соответствующее обогатительное оборудование, проектировку зданий фабрик поставить у нас в СССР, так как фирма Мак-Ки в этом отношении, как это было до моего отъезда из Америки, не располагала крупными специалистами.</w:t>
      </w:r>
    </w:p>
    <w:p w14:paraId="07E3053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Должна быть развернута работа химической лаборатории, чтобы анализы не отставали от количества получаемых проб, которых будет десятки тысяч. Лаборатория должна возглавляться крупным химиком, чтобы постановка работы была такова, чтобы не было ошибок в анализах, которые имеют слишком ответственное значение.</w:t>
      </w:r>
    </w:p>
    <w:p w14:paraId="2B4B6E5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Горный отдел должен обратить внимание на разведку в районе Магнитогорска (в радиусе до 100 километров) белых глин, марганцевых и хромовых руд, хороших кварцитов и прочих полезных ископаемых.</w:t>
      </w:r>
    </w:p>
    <w:p w14:paraId="07D3C56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составлении детальной производственной программы3 должен быть выявлен срочно список оборудования для рудников (экскаваторы, электровозы, специальные вагоны). Заграничное оборудование должно быть особо проверено.</w:t>
      </w:r>
    </w:p>
    <w:p w14:paraId="6249188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смысле организации аппарата Горного Отдела должно быть обращено особое внимание на использование американских инженеров, заставляя их работать, а не быть безответственными консультантами, как их ставил Горный Отдел до ноября 1930 года.</w:t>
      </w:r>
    </w:p>
    <w:p w14:paraId="293E9C2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Горным Отделом должно быть обращено особое внимание на содержание фосфора в Магнитогорских рудах. Большая часть фосфора должна при обогащении руд уходить в хвосты, следовательно, должны получиться обогащенные руды с небольшим содержанием фосфора, годные для выплавки бессемеровского чугуна.</w:t>
      </w:r>
    </w:p>
    <w:p w14:paraId="61FA5FD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полученных анализов руд (скважины, шурфы, открытые разработки) необходимо теперь же приступить к составлению карты рудника, на которой должна быть дана картина распределения в Магнитогорском месторождении фосфора.</w:t>
      </w:r>
    </w:p>
    <w:p w14:paraId="5D3B676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Получаемые из Америки проекты по рудному хозяйству (дробильной фабрики, складов динамита и пр.) должны быть проверены, так как они не соответствуют нашим нормам по расходу строительных материалов.</w:t>
      </w:r>
    </w:p>
    <w:p w14:paraId="4AFA283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 Транспортный вопрос Магнитогорского комбината.</w:t>
      </w:r>
    </w:p>
    <w:p w14:paraId="79E5AB5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Вредительство в этом вопросе заключалось в том, что все (Госплан, </w:t>
      </w:r>
      <w:proofErr w:type="spellStart"/>
      <w:r w:rsidRPr="007122AB">
        <w:rPr>
          <w:rFonts w:ascii="Times New Roman" w:hAnsi="Times New Roman"/>
          <w:color w:val="000000" w:themeColor="text1"/>
          <w:sz w:val="16"/>
          <w:szCs w:val="16"/>
        </w:rPr>
        <w:t>Главметалл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и Управление строительством) не ставили этого дела на твердую почву. В результате до последнего времени (ноябрь 1930 г.) вопрос доставки грузов (главным образом каменного угля) Магнитогорскому заводу не получил определенного решения. Большая программа Магнитогорского завода в 2,5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тонн выплавки чугуна требовала серьезного подхода в вопросе железнодорожного транспорта, так как одного угля только для коксования потребуется свыше 3,5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тонн. Вопрос усиления пропускной способности Сибирской ж. д. и части Уральских (</w:t>
      </w:r>
      <w:proofErr w:type="spellStart"/>
      <w:r w:rsidRPr="007122AB">
        <w:rPr>
          <w:rFonts w:ascii="Times New Roman" w:hAnsi="Times New Roman"/>
          <w:color w:val="000000" w:themeColor="text1"/>
          <w:sz w:val="16"/>
          <w:szCs w:val="16"/>
        </w:rPr>
        <w:t>Троицко</w:t>
      </w:r>
      <w:proofErr w:type="spellEnd"/>
      <w:r w:rsidRPr="007122AB">
        <w:rPr>
          <w:rFonts w:ascii="Times New Roman" w:hAnsi="Times New Roman"/>
          <w:color w:val="000000" w:themeColor="text1"/>
          <w:sz w:val="16"/>
          <w:szCs w:val="16"/>
        </w:rPr>
        <w:t>-Орской и Карталы-Магнитной) не был поставлен, чем создавалась угроза правильного питания топливом Магнитогорского завода и вывоза готовых грузов с завода.</w:t>
      </w:r>
    </w:p>
    <w:p w14:paraId="7AEBB90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Вопрос подхода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xml:space="preserve">. дороги к заводу в связи с новым заданием для завода и новым ситуационным планом последнего также до последнего времени </w:t>
      </w:r>
      <w:proofErr w:type="spellStart"/>
      <w:r w:rsidRPr="007122AB">
        <w:rPr>
          <w:rFonts w:ascii="Times New Roman" w:hAnsi="Times New Roman"/>
          <w:color w:val="000000" w:themeColor="text1"/>
          <w:sz w:val="16"/>
          <w:szCs w:val="16"/>
        </w:rPr>
        <w:t>НКПСом</w:t>
      </w:r>
      <w:proofErr w:type="spellEnd"/>
      <w:r w:rsidRPr="007122AB">
        <w:rPr>
          <w:rFonts w:ascii="Times New Roman" w:hAnsi="Times New Roman"/>
          <w:color w:val="000000" w:themeColor="text1"/>
          <w:sz w:val="16"/>
          <w:szCs w:val="16"/>
        </w:rPr>
        <w:t xml:space="preserve"> окончательно не решался.</w:t>
      </w:r>
    </w:p>
    <w:p w14:paraId="4026C5E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Управлению Строительством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принять следующие мероприятия:</w:t>
      </w:r>
    </w:p>
    <w:p w14:paraId="2A83AA0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Настаивать перед </w:t>
      </w:r>
      <w:proofErr w:type="spellStart"/>
      <w:r w:rsidRPr="007122AB">
        <w:rPr>
          <w:rFonts w:ascii="Times New Roman" w:hAnsi="Times New Roman"/>
          <w:color w:val="000000" w:themeColor="text1"/>
          <w:sz w:val="16"/>
          <w:szCs w:val="16"/>
        </w:rPr>
        <w:t>НКПСом</w:t>
      </w:r>
      <w:proofErr w:type="spellEnd"/>
      <w:r w:rsidRPr="007122AB">
        <w:rPr>
          <w:rFonts w:ascii="Times New Roman" w:hAnsi="Times New Roman"/>
          <w:color w:val="000000" w:themeColor="text1"/>
          <w:sz w:val="16"/>
          <w:szCs w:val="16"/>
        </w:rPr>
        <w:t>, чтобы он гарантировал правильную доставку грузов и вывоз таковых согласно требований Магнитогорского завода в связи с его развитием.</w:t>
      </w:r>
    </w:p>
    <w:p w14:paraId="181DB5D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Настаивать перед </w:t>
      </w:r>
      <w:proofErr w:type="spellStart"/>
      <w:r w:rsidRPr="007122AB">
        <w:rPr>
          <w:rFonts w:ascii="Times New Roman" w:hAnsi="Times New Roman"/>
          <w:color w:val="000000" w:themeColor="text1"/>
          <w:sz w:val="16"/>
          <w:szCs w:val="16"/>
        </w:rPr>
        <w:t>НКПСом</w:t>
      </w:r>
      <w:proofErr w:type="spellEnd"/>
      <w:r w:rsidRPr="007122AB">
        <w:rPr>
          <w:rFonts w:ascii="Times New Roman" w:hAnsi="Times New Roman"/>
          <w:color w:val="000000" w:themeColor="text1"/>
          <w:sz w:val="16"/>
          <w:szCs w:val="16"/>
        </w:rPr>
        <w:t xml:space="preserve">, чтобы вопрос постройки новой железно-дорожной станции «Магнитогорск» был разрешен срочно с полной увязкой интересов завода, города и будущего выхода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дороги на запад от Магнитогорского завода. К развертыванию Магнитогорского узла необходимо приступить срочно.</w:t>
      </w:r>
    </w:p>
    <w:p w14:paraId="46D5CBE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должна срочно решить вопрос о типе вагона для перевозки угля из Сибири и железной руды с Урала, согласовав это с </w:t>
      </w:r>
      <w:proofErr w:type="spellStart"/>
      <w:r w:rsidRPr="007122AB">
        <w:rPr>
          <w:rFonts w:ascii="Times New Roman" w:hAnsi="Times New Roman"/>
          <w:color w:val="000000" w:themeColor="text1"/>
          <w:sz w:val="16"/>
          <w:szCs w:val="16"/>
        </w:rPr>
        <w:t>НКПСом</w:t>
      </w:r>
      <w:proofErr w:type="spellEnd"/>
      <w:r w:rsidRPr="007122AB">
        <w:rPr>
          <w:rFonts w:ascii="Times New Roman" w:hAnsi="Times New Roman"/>
          <w:color w:val="000000" w:themeColor="text1"/>
          <w:sz w:val="16"/>
          <w:szCs w:val="16"/>
        </w:rPr>
        <w:t>.</w:t>
      </w:r>
    </w:p>
    <w:p w14:paraId="12FC2BB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должна особо подчеркнуть перед НКПС, что перевозки грузов для Магнитогорского завода будут производиться равномерно круглый год, что тяжело будет для Сибирской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дороги во время напряженных хлебных перевозок.</w:t>
      </w:r>
    </w:p>
    <w:p w14:paraId="6F26F52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должна настаивать перед </w:t>
      </w:r>
      <w:proofErr w:type="spellStart"/>
      <w:r w:rsidRPr="007122AB">
        <w:rPr>
          <w:rFonts w:ascii="Times New Roman" w:hAnsi="Times New Roman"/>
          <w:color w:val="000000" w:themeColor="text1"/>
          <w:sz w:val="16"/>
          <w:szCs w:val="16"/>
        </w:rPr>
        <w:t>НКПСом</w:t>
      </w:r>
      <w:proofErr w:type="spellEnd"/>
      <w:r w:rsidRPr="007122AB">
        <w:rPr>
          <w:rFonts w:ascii="Times New Roman" w:hAnsi="Times New Roman"/>
          <w:color w:val="000000" w:themeColor="text1"/>
          <w:sz w:val="16"/>
          <w:szCs w:val="16"/>
        </w:rPr>
        <w:t>, чтобы ветка Карталы — Магнитная была приведена в полную готовность. Должен быть сделан подсчет, выдержит ли одна колея на этой ветке при максимальном грузообороте, когда завод разовьет свою полную мощность.</w:t>
      </w:r>
    </w:p>
    <w:p w14:paraId="4497F74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Магнитогорский завод с существующим подходом железной дороги с севера находится в тупике. Магнитострой и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должны вопрос этот подвергнуть изучению и затем, возможно, поставить на разрешение такой вопрос: дать дополнительный выход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дороги на Юг с заводской площадки (через Сосновые горы). Продолжение южного выхода соединится с веткой на известняки и образует, выходя дальше на линию Карталы — Магнитная[,] замкнутый круг, позволяя часть грузов отправлять или принимать с южной стороны.</w:t>
      </w:r>
    </w:p>
    <w:p w14:paraId="14F5CFBC"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 Вопрос задания Магнитогорскому заводу (номенклатура прокатных изделий).</w:t>
      </w:r>
    </w:p>
    <w:p w14:paraId="352F259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Вредительство в этом вопросе заключалось в том, что к программе прокатки завода Организации центра (</w:t>
      </w:r>
      <w:proofErr w:type="spellStart"/>
      <w:r w:rsidRPr="007122AB">
        <w:rPr>
          <w:rFonts w:ascii="Times New Roman" w:hAnsi="Times New Roman"/>
          <w:color w:val="000000" w:themeColor="text1"/>
          <w:sz w:val="16"/>
          <w:szCs w:val="16"/>
        </w:rPr>
        <w:t>Новосталь</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относились совершенно несерьезно, без всякого учета и увязки с заводами, которые будут потреблять металл Магнитогорского завода. Не только номенклатура проката (без чего нельзя проектировать прокатные станы с точки зрения их специализации и установления максимальной производительности), в смысле профиля, но и качество прокатных изделий до ноября 1930 г. заводу не было продиктовано. Этот вопрос общий для новых заводов, особенно в связи с потреблением специальных профилей и ответственных сортов металла для таких заводов, как новые тракторные (</w:t>
      </w:r>
      <w:proofErr w:type="spellStart"/>
      <w:r w:rsidRPr="007122AB">
        <w:rPr>
          <w:rFonts w:ascii="Times New Roman" w:hAnsi="Times New Roman"/>
          <w:color w:val="000000" w:themeColor="text1"/>
          <w:sz w:val="16"/>
          <w:szCs w:val="16"/>
        </w:rPr>
        <w:t>Челябтракторострой</w:t>
      </w:r>
      <w:proofErr w:type="spellEnd"/>
      <w:r w:rsidRPr="007122AB">
        <w:rPr>
          <w:rFonts w:ascii="Times New Roman" w:hAnsi="Times New Roman"/>
          <w:color w:val="000000" w:themeColor="text1"/>
          <w:sz w:val="16"/>
          <w:szCs w:val="16"/>
        </w:rPr>
        <w:t>).</w:t>
      </w:r>
    </w:p>
    <w:p w14:paraId="6CC18723" w14:textId="77777777" w:rsidR="006C4450" w:rsidRPr="007122AB" w:rsidRDefault="006C4450"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в этот вопрос должна внести определенную ясность, особенно в связи с проектированием прокатного цеха в настоящее время в Германии.</w:t>
      </w:r>
    </w:p>
    <w:p w14:paraId="576A4AE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этот имеет существенную важность в смысле приготовления парка прокатных валков, к которому надо приступать в ближайшее время.</w:t>
      </w:r>
    </w:p>
    <w:p w14:paraId="23C7EC5D"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о снабжении завода прокатными валками до ноября 1930 г. не был решен, между тем это является крупной задачей, которую надо разрешить и осуществить.</w:t>
      </w:r>
    </w:p>
    <w:p w14:paraId="47C375F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Вопрос энергетического хозяйства Магнитогорского завода.</w:t>
      </w:r>
    </w:p>
    <w:p w14:paraId="309157D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Вредительство в этом вопросе заключалось в том, что электрификация такого крупного завода, как Магнитогорский, рассматривалась обособленно, вне плана электрификации Урала (так подходили к этому вопросу и Госплан, и Гипромез и </w:t>
      </w:r>
      <w:proofErr w:type="spellStart"/>
      <w:r w:rsidRPr="007122AB">
        <w:rPr>
          <w:rFonts w:ascii="Times New Roman" w:hAnsi="Times New Roman"/>
          <w:color w:val="000000" w:themeColor="text1"/>
          <w:sz w:val="16"/>
          <w:szCs w:val="16"/>
        </w:rPr>
        <w:t>Уралгипромез</w:t>
      </w:r>
      <w:proofErr w:type="spellEnd"/>
      <w:r w:rsidRPr="007122AB">
        <w:rPr>
          <w:rFonts w:ascii="Times New Roman" w:hAnsi="Times New Roman"/>
          <w:color w:val="000000" w:themeColor="text1"/>
          <w:sz w:val="16"/>
          <w:szCs w:val="16"/>
        </w:rPr>
        <w:t>). С мая 1929 г. вопрос электроснабжения Магнитогорского завода запутывается наметкой постройки рядом с заводом крупного тукового комбината (причем производственная программа и технические коэффициенты потребления энергии туковым комбинатом не были выяснены). Изменения задания для Магнитогорского завода сводят всю работу к составлению различных вариантов. Увязки проектирования электростанции между Энергостроем и американской фирмой Мак-Ки не было.</w:t>
      </w:r>
    </w:p>
    <w:p w14:paraId="52E3245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Американская комиссия, работавшая в Кливленде, до сентября не знала даже размера мощности электростанции в Магнитогорском заводе.</w:t>
      </w:r>
    </w:p>
    <w:p w14:paraId="6EF65D5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изменением в первое время способа сталеделательного производства Магнитогорского завода (вместо установки бессемеровского процесса </w:t>
      </w:r>
      <w:proofErr w:type="spellStart"/>
      <w:r w:rsidRPr="007122AB">
        <w:rPr>
          <w:rFonts w:ascii="Times New Roman" w:hAnsi="Times New Roman"/>
          <w:color w:val="000000" w:themeColor="text1"/>
          <w:sz w:val="16"/>
          <w:szCs w:val="16"/>
        </w:rPr>
        <w:t>Мартенования</w:t>
      </w:r>
      <w:proofErr w:type="spellEnd"/>
      <w:r w:rsidRPr="007122AB">
        <w:rPr>
          <w:rFonts w:ascii="Times New Roman" w:hAnsi="Times New Roman"/>
          <w:color w:val="000000" w:themeColor="text1"/>
          <w:sz w:val="16"/>
          <w:szCs w:val="16"/>
        </w:rPr>
        <w:t xml:space="preserve">) должен измениться и энергетический цикл металлургического хозяйства завода в сторону нехватки, против намеченного (при бессемеровании) ранее, количества тепловой энергии. Вопрос </w:t>
      </w:r>
      <w:proofErr w:type="spellStart"/>
      <w:r w:rsidRPr="007122AB">
        <w:rPr>
          <w:rFonts w:ascii="Times New Roman" w:hAnsi="Times New Roman"/>
          <w:color w:val="000000" w:themeColor="text1"/>
          <w:sz w:val="16"/>
          <w:szCs w:val="16"/>
        </w:rPr>
        <w:t>электрофикации</w:t>
      </w:r>
      <w:proofErr w:type="spellEnd"/>
      <w:r w:rsidRPr="007122AB">
        <w:rPr>
          <w:rFonts w:ascii="Times New Roman" w:hAnsi="Times New Roman"/>
          <w:color w:val="000000" w:themeColor="text1"/>
          <w:sz w:val="16"/>
          <w:szCs w:val="16"/>
        </w:rPr>
        <w:t xml:space="preserve"> завода и рудника до ноября 1930 г. был совершенно темным, так как проектов не было. Электростанция Магнитогорского завода (установочная мощность, как я узнал в октябре 1930 г. в Москве[,] 250.000 киловатт) является самой большой установкой (паровой) в СССР и, естественно, требует особого внимания к этому строительству, чтобы не наделать крупных ошибок.</w:t>
      </w:r>
    </w:p>
    <w:p w14:paraId="7C67F23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Управлению строительством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в срочном порядке принять следующие мероприятия:</w:t>
      </w:r>
    </w:p>
    <w:p w14:paraId="3AC38AD6"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Должен быть проанализирован и пересчитан энергетический баланс завода и рудника, при чем должна быть внесена ясность со стороны ВСНХ (</w:t>
      </w:r>
      <w:proofErr w:type="spellStart"/>
      <w:r w:rsidRPr="007122AB">
        <w:rPr>
          <w:rFonts w:ascii="Times New Roman" w:hAnsi="Times New Roman"/>
          <w:color w:val="000000" w:themeColor="text1"/>
          <w:sz w:val="16"/>
          <w:szCs w:val="16"/>
        </w:rPr>
        <w:t>Главхимпрома</w:t>
      </w:r>
      <w:proofErr w:type="spellEnd"/>
      <w:r w:rsidRPr="007122AB">
        <w:rPr>
          <w:rFonts w:ascii="Times New Roman" w:hAnsi="Times New Roman"/>
          <w:color w:val="000000" w:themeColor="text1"/>
          <w:sz w:val="16"/>
          <w:szCs w:val="16"/>
        </w:rPr>
        <w:t>) в смысле постройки при Магнитогорском заводе тукового комбината. Тепловой баланс завода считается при условии одного мартеновского производства стали.</w:t>
      </w:r>
    </w:p>
    <w:p w14:paraId="7AB1F46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электростанции Магнитогорского завода должна быть увязана с программой «Большого Урала» в смысле кустования этой крупнейшей установки с другими Уральскими централями (Челябинской), а также с возможными будущими потребителями электротока в новом индустриальном Магнитогорском районе. Этот вопрос должен быть кроме Уральских организаций (</w:t>
      </w:r>
      <w:proofErr w:type="spellStart"/>
      <w:r w:rsidRPr="007122AB">
        <w:rPr>
          <w:rFonts w:ascii="Times New Roman" w:hAnsi="Times New Roman"/>
          <w:color w:val="000000" w:themeColor="text1"/>
          <w:sz w:val="16"/>
          <w:szCs w:val="16"/>
        </w:rPr>
        <w:t>Уралплана</w:t>
      </w:r>
      <w:proofErr w:type="spellEnd"/>
      <w:r w:rsidRPr="007122AB">
        <w:rPr>
          <w:rFonts w:ascii="Times New Roman" w:hAnsi="Times New Roman"/>
          <w:color w:val="000000" w:themeColor="text1"/>
          <w:sz w:val="16"/>
          <w:szCs w:val="16"/>
        </w:rPr>
        <w:t>), как особо важный и крупный, рассмотрен и Госпланом СССР.</w:t>
      </w:r>
    </w:p>
    <w:p w14:paraId="17FA0A42"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передачей части проектирования прокатного цеха и заказов на основное прокатное оборудование в Германии (фирме </w:t>
      </w:r>
      <w:proofErr w:type="spellStart"/>
      <w:r w:rsidRPr="007122AB">
        <w:rPr>
          <w:rFonts w:ascii="Times New Roman" w:hAnsi="Times New Roman"/>
          <w:color w:val="000000" w:themeColor="text1"/>
          <w:sz w:val="16"/>
          <w:szCs w:val="16"/>
        </w:rPr>
        <w:t>Демаг</w:t>
      </w:r>
      <w:proofErr w:type="spellEnd"/>
      <w:r w:rsidRPr="007122AB">
        <w:rPr>
          <w:rFonts w:ascii="Times New Roman" w:hAnsi="Times New Roman"/>
          <w:color w:val="000000" w:themeColor="text1"/>
          <w:sz w:val="16"/>
          <w:szCs w:val="16"/>
        </w:rPr>
        <w:t>) необходимо срочно разрешить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вопрос о месте заказа крупного электрооборудования для Магнитогорского завода (в Америке или Европе), иначе, не зная габаритов и технической характеристики машин, проектирование будет носить предварительный характер — по таким проектам к постройке приступать нельзя.</w:t>
      </w:r>
    </w:p>
    <w:p w14:paraId="6E683CB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Прокатный цех является главным потребителем энергии и проектируется в Германии, Мартеновский цех проектируется в СССР.</w:t>
      </w:r>
    </w:p>
    <w:p w14:paraId="2FEF632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Учитывая эту ситуацию, необходимо решить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вопрос, где и как организовать проектирование электроснабжения заводов (канализацию тока, установку моторов).</w:t>
      </w:r>
    </w:p>
    <w:p w14:paraId="0DBA804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Считаю, что к этому делу необходимо привлечь нашу союзную проектировочную организацию (Энергострой, </w:t>
      </w:r>
      <w:proofErr w:type="spellStart"/>
      <w:r w:rsidRPr="007122AB">
        <w:rPr>
          <w:rFonts w:ascii="Times New Roman" w:hAnsi="Times New Roman"/>
          <w:color w:val="000000" w:themeColor="text1"/>
          <w:sz w:val="16"/>
          <w:szCs w:val="16"/>
        </w:rPr>
        <w:t>Уралгипромез</w:t>
      </w:r>
      <w:proofErr w:type="spellEnd"/>
      <w:r w:rsidRPr="007122AB">
        <w:rPr>
          <w:rFonts w:ascii="Times New Roman" w:hAnsi="Times New Roman"/>
          <w:color w:val="000000" w:themeColor="text1"/>
          <w:sz w:val="16"/>
          <w:szCs w:val="16"/>
        </w:rPr>
        <w:t>), так как в процессе строительства возникнет немало вопросов, которые придется разрешать совместно с Управлением строительства и разрешать срочно.</w:t>
      </w:r>
    </w:p>
    <w:p w14:paraId="46D8838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строительством при содействии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должно пригласить крупного специалиста-электрика, который должен ведать проектированием и затем установкой всего электрооборудования рудника и завода. Это специальное дело должно быть отделено от строительства и будущей </w:t>
      </w:r>
      <w:proofErr w:type="spellStart"/>
      <w:r w:rsidRPr="007122AB">
        <w:rPr>
          <w:rFonts w:ascii="Times New Roman" w:hAnsi="Times New Roman"/>
          <w:color w:val="000000" w:themeColor="text1"/>
          <w:sz w:val="16"/>
          <w:szCs w:val="16"/>
        </w:rPr>
        <w:t>эксплоатации</w:t>
      </w:r>
      <w:proofErr w:type="spellEnd"/>
      <w:r w:rsidRPr="007122AB">
        <w:rPr>
          <w:rFonts w:ascii="Times New Roman" w:hAnsi="Times New Roman"/>
          <w:color w:val="000000" w:themeColor="text1"/>
          <w:sz w:val="16"/>
          <w:szCs w:val="16"/>
        </w:rPr>
        <w:t xml:space="preserve"> электростанции. В зависимости от того, где будет заказано главное электрооборудование; если в Германии, можно пригласить хорошего немца-электрика.</w:t>
      </w:r>
    </w:p>
    <w:p w14:paraId="7B3ABA6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Вопросы импортного и союзного электрооборудования в смысле размещения заказов на таковое должны быть «</w:t>
      </w:r>
      <w:proofErr w:type="spellStart"/>
      <w:r w:rsidRPr="007122AB">
        <w:rPr>
          <w:rFonts w:ascii="Times New Roman" w:hAnsi="Times New Roman"/>
          <w:color w:val="000000" w:themeColor="text1"/>
          <w:sz w:val="16"/>
          <w:szCs w:val="16"/>
        </w:rPr>
        <w:t>Востокосталью</w:t>
      </w:r>
      <w:proofErr w:type="spellEnd"/>
      <w:r w:rsidRPr="007122AB">
        <w:rPr>
          <w:rFonts w:ascii="Times New Roman" w:hAnsi="Times New Roman"/>
          <w:color w:val="000000" w:themeColor="text1"/>
          <w:sz w:val="16"/>
          <w:szCs w:val="16"/>
        </w:rPr>
        <w:t>» выделены особо, учитывая, что сроки исполнения заказов на электрооборудование даются фирмами большие.</w:t>
      </w:r>
    </w:p>
    <w:p w14:paraId="170E75B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ноября 1930 г. вопрос с заказом котлов для воздуходувной станции доменного цеха оставался нерешенным. Как мне передавали в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Судотрест</w:t>
      </w:r>
      <w:proofErr w:type="spellEnd"/>
      <w:r w:rsidRPr="007122AB">
        <w:rPr>
          <w:rFonts w:ascii="Times New Roman" w:hAnsi="Times New Roman"/>
          <w:color w:val="000000" w:themeColor="text1"/>
          <w:sz w:val="16"/>
          <w:szCs w:val="16"/>
        </w:rPr>
        <w:t xml:space="preserve"> (бывший Николаевский завод) не может выполнить заказа на котлы. Если котлы не заказаны и теперь, этот вопрос надо срочно разрешить, так как воздуходувные машины (первые две) заказаны в Германии.</w:t>
      </w:r>
    </w:p>
    <w:p w14:paraId="20C59A1C"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выяснить вопрос о приобретении трубопроводов для передачи пара высокого давления; с этим делом обычно сталкиваются и спотыкаются все строители, так как такие паропроводы (трубы и арматуру) в СССР достать крайне трудно.</w:t>
      </w:r>
    </w:p>
    <w:p w14:paraId="57B5EE5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воздуходувной станции доменного цеха должно быть проведено у нас в СССР — это будет скорее и надежнее.</w:t>
      </w:r>
    </w:p>
    <w:p w14:paraId="7985C5C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Временная электростанция. Должны быть проверены и тщательно заявки на электроэнергию до пуска в ход первого турбогенератора на постоянной электроцентрали.</w:t>
      </w:r>
    </w:p>
    <w:p w14:paraId="1C01C11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мне сообщали в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в октябре 1930 г., турбогенераторы, намеченные к переброске в Магнитострой из Баку, не имеют котлов (котлы очень изношенные).</w:t>
      </w:r>
    </w:p>
    <w:p w14:paraId="0A590F4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учесть, какое время будет затрачено на демонтаж турбогенераторов и их переброску и установку на Магнитной и где они будут установлены. Считаю, что надо форсировать всеми мерами строительство постоянной электростанции и установку котлов и первого турбогенератора, чтобы получить своевременно необходимую энергию. Считаю, что предложенный вариант установки временных турбогенераторов в здании постоянной станции едва ли является рациональным, так как, если будет готово здание, можно особо форсировать установку и монтаж постоянного турбогенератора, и тогда не получится разрыва между пуском временных машин и постоянного турбогенератора.</w:t>
      </w:r>
    </w:p>
    <w:p w14:paraId="15AC100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 Вопрос с постройкой города Магнитогорска.</w:t>
      </w:r>
    </w:p>
    <w:p w14:paraId="04EFB25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Вредительство в этом вопросе заключалось в том, что в течение целого года продолжалась дискуссия о типе города, имевшая целью задержать строительство. Строительство завода за это время шло и Управление строительством принуждено было затрачивать не мало энергии и средств, чтобы развернуть временное строительство бараков. В итоге, к ноябрю 1930 г. ни одной готовой постройки на месте постоянного города Магнитогорска сделано не было. До моего отъезда за границу, в феврале 1930 г. проектирование городских зданий, также больницы, школ, хлебозавода, магазинов и пр. было передано Госпроекту ВСНХ СССР и продвигалось чрезвычайно медленно.</w:t>
      </w:r>
    </w:p>
    <w:p w14:paraId="7A99664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возвращении из-за границы, в сентябре-октябре 1930 г. мне говорили в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что строительство Магнитогорска выделено в особую единицу.</w:t>
      </w:r>
    </w:p>
    <w:p w14:paraId="69F4C3B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Считаю, что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должна иметь наблюдение и надзор за постройкой города, который неразрывно связан с заводом, так как режим завода будет отзываться на жизни города, технические учебные заведения будут также связующим звеном между заводом и городом.</w:t>
      </w:r>
    </w:p>
    <w:p w14:paraId="6E0570A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строительстве начальник такового должен не только быть в курсе работ на постройке города, но также санкционировать все основные, принципиально важные установки.</w:t>
      </w:r>
    </w:p>
    <w:p w14:paraId="61BF14A6"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 Металлургические цеха Магнитогорского завода.</w:t>
      </w:r>
    </w:p>
    <w:p w14:paraId="7A8812D2"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Вредительство в этом вопросе заключалось в том, что в доменном цехе проектировались вначале доменные печи с малой производительностью, но в Америке этот вопрос был перерешен и по проекту Мак-Ки, который в доменном деле является достаточным специалистом, дана установка на выплавку в 1000 тонн для каждой доменной печи.</w:t>
      </w:r>
    </w:p>
    <w:p w14:paraId="5146FF6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мартеновскому и бессемеровскому процессам Магнитогорского завода велись бесконечные споры. Горный отдел Магнитостроя дал неверные данные о фосфоре в рудах. В Америки фирма Мак-Ки, базируясь на привезенных нами материалах, начала проектировать в первую очередь бессемеровский передел чугуна в сталь; затем, в итоге переписки с Москвой, бессемеровское проектирование было остановлено и начато мартеновское. Кроме этого спора продолжался спор, какого типа устанавливать мартеновскую фабрику (немецкого или американского), в результате чего проект Мартеновского цеха отличался от проекта Кузнецкого завода и от стандарта, который разработан был в Гипромезе (разница главным образом заключалась в пролете разливочного отделения), но в итоге использовать указанные проекты нельзя было, так как надо было перепроектировать все здание. При опоздании проектирования мартеновского цеха у фирмы Мак-Ки вопрос этот был разрешен таким образом, чтобы использовать проект Гипромеза.</w:t>
      </w:r>
    </w:p>
    <w:p w14:paraId="2BC192E6"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прокатном цехе, после провала проектирования у фирмы Мак-Ки, после долгих споров решено было остановиться на едином прокатном цехе (у Мак-Ки вся прокатка была расположена в двух отдельных цехах).</w:t>
      </w:r>
    </w:p>
    <w:p w14:paraId="3C2D520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проектированию и строительству металлургических цехов Магнитогорского завода необходимо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и управлению Магнитостроя принять следующие мероприятия:</w:t>
      </w:r>
    </w:p>
    <w:p w14:paraId="31B0B38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доменному цеху: а) форсировать все заказы на металлические конструкции,</w:t>
      </w:r>
    </w:p>
    <w:p w14:paraId="62E42BD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на оборудование по имеющимся спецификациям, в) форсировать заказ на огнеупорный кирпич, который до ноября 1930 г. не был «</w:t>
      </w:r>
      <w:proofErr w:type="spellStart"/>
      <w:r w:rsidRPr="007122AB">
        <w:rPr>
          <w:rFonts w:ascii="Times New Roman" w:hAnsi="Times New Roman"/>
          <w:color w:val="000000" w:themeColor="text1"/>
          <w:sz w:val="16"/>
          <w:szCs w:val="16"/>
        </w:rPr>
        <w:t>Востокосталью</w:t>
      </w:r>
      <w:proofErr w:type="spellEnd"/>
      <w:r w:rsidRPr="007122AB">
        <w:rPr>
          <w:rFonts w:ascii="Times New Roman" w:hAnsi="Times New Roman"/>
          <w:color w:val="000000" w:themeColor="text1"/>
          <w:sz w:val="16"/>
          <w:szCs w:val="16"/>
        </w:rPr>
        <w:t xml:space="preserve">» заказан; г) заказать котлы и паропроводы, как я уже выше говорил, для воздуходувной станции доменного цеха; д) решить вопрос о системе очистки доменного газа (считаю, что для первых доменных печей надо поставить очистку </w:t>
      </w:r>
      <w:proofErr w:type="spellStart"/>
      <w:r w:rsidRPr="007122AB">
        <w:rPr>
          <w:rFonts w:ascii="Times New Roman" w:hAnsi="Times New Roman"/>
          <w:color w:val="000000" w:themeColor="text1"/>
          <w:sz w:val="16"/>
          <w:szCs w:val="16"/>
        </w:rPr>
        <w:t>тейзенами</w:t>
      </w:r>
      <w:proofErr w:type="spellEnd"/>
      <w:r w:rsidRPr="007122AB">
        <w:rPr>
          <w:rFonts w:ascii="Times New Roman" w:hAnsi="Times New Roman"/>
          <w:color w:val="000000" w:themeColor="text1"/>
          <w:sz w:val="16"/>
          <w:szCs w:val="16"/>
        </w:rPr>
        <w:t xml:space="preserve">, так как электростатическая не получила еще широкого применения, американская доменная техника совсем ее не знает; е) строительством Магнитостроя должен быть срочно приглашен крупный специалист по доменному делу с строительной практикой постройки доменных печей. До сих пор Магнитострой пользовался временным </w:t>
      </w:r>
      <w:proofErr w:type="spellStart"/>
      <w:r w:rsidRPr="007122AB">
        <w:rPr>
          <w:rFonts w:ascii="Times New Roman" w:hAnsi="Times New Roman"/>
          <w:color w:val="000000" w:themeColor="text1"/>
          <w:sz w:val="16"/>
          <w:szCs w:val="16"/>
        </w:rPr>
        <w:t>консультанством</w:t>
      </w:r>
      <w:proofErr w:type="spellEnd"/>
      <w:r w:rsidRPr="007122AB">
        <w:rPr>
          <w:rFonts w:ascii="Times New Roman" w:hAnsi="Times New Roman"/>
          <w:color w:val="000000" w:themeColor="text1"/>
          <w:sz w:val="16"/>
          <w:szCs w:val="16"/>
        </w:rPr>
        <w:t xml:space="preserve"> профессора И. А. СОКОЛОВА, доменным же отделом заведовал молодой, совершенно неопытный инженер, никогда не работавший на крупных доменных печах; ж) Магнитостроем и </w:t>
      </w:r>
      <w:proofErr w:type="spellStart"/>
      <w:r w:rsidRPr="007122AB">
        <w:rPr>
          <w:rFonts w:ascii="Times New Roman" w:hAnsi="Times New Roman"/>
          <w:color w:val="000000" w:themeColor="text1"/>
          <w:sz w:val="16"/>
          <w:szCs w:val="16"/>
        </w:rPr>
        <w:t>Востокосталью</w:t>
      </w:r>
      <w:proofErr w:type="spellEnd"/>
      <w:r w:rsidRPr="007122AB">
        <w:rPr>
          <w:rFonts w:ascii="Times New Roman" w:hAnsi="Times New Roman"/>
          <w:color w:val="000000" w:themeColor="text1"/>
          <w:sz w:val="16"/>
          <w:szCs w:val="16"/>
        </w:rPr>
        <w:t xml:space="preserve"> должны быть поставлены опыты (длительные) выплавки чугуна на Магнитогорской руде на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]-Салдинском заводе. Опыты эти должны быть поставлены в особые условия и возглавляться лицом, не заинтересованным в результатах, т. е. не магнитогорцем. Представитель Магнитостроя должен участвовать в этой работе в качестве контролера.</w:t>
      </w:r>
    </w:p>
    <w:p w14:paraId="6672C33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мартеновскому и бессемеровскому производствам:</w:t>
      </w:r>
    </w:p>
    <w:p w14:paraId="5BB8660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Принимая для первой очереди мартеновский передел, необходимо Магнитострою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вопрос о возможности бессемеровского процесса форсировать, выясняя </w:t>
      </w:r>
      <w:proofErr w:type="spellStart"/>
      <w:r w:rsidRPr="007122AB">
        <w:rPr>
          <w:rFonts w:ascii="Times New Roman" w:hAnsi="Times New Roman"/>
          <w:color w:val="000000" w:themeColor="text1"/>
          <w:sz w:val="16"/>
          <w:szCs w:val="16"/>
        </w:rPr>
        <w:t>безфосфористость</w:t>
      </w:r>
      <w:proofErr w:type="spellEnd"/>
      <w:r w:rsidRPr="007122AB">
        <w:rPr>
          <w:rFonts w:ascii="Times New Roman" w:hAnsi="Times New Roman"/>
          <w:color w:val="000000" w:themeColor="text1"/>
          <w:sz w:val="16"/>
          <w:szCs w:val="16"/>
        </w:rPr>
        <w:t xml:space="preserve"> Кузнецких и Карагандинских углей (как мной указано в разделе топлива) и проводя работы по выяснению </w:t>
      </w:r>
      <w:proofErr w:type="spellStart"/>
      <w:r w:rsidRPr="007122AB">
        <w:rPr>
          <w:rFonts w:ascii="Times New Roman" w:hAnsi="Times New Roman"/>
          <w:color w:val="000000" w:themeColor="text1"/>
          <w:sz w:val="16"/>
          <w:szCs w:val="16"/>
        </w:rPr>
        <w:t>безфосфористых</w:t>
      </w:r>
      <w:proofErr w:type="spellEnd"/>
      <w:r w:rsidRPr="007122AB">
        <w:rPr>
          <w:rFonts w:ascii="Times New Roman" w:hAnsi="Times New Roman"/>
          <w:color w:val="000000" w:themeColor="text1"/>
          <w:sz w:val="16"/>
          <w:szCs w:val="16"/>
        </w:rPr>
        <w:t xml:space="preserve"> районов магнитогорского месторождения и результатов обогащения руд. Чтобы этот вопрос не заглох среди других крупных вопросов, необходимо выделить для этой проблемы отдельного товарища, так как среди технического персонала строительства это дело не пользуется вниманием и должным сочувствием. Бессемеровский процесс дает меньшие капитальные затраты сравнительно с </w:t>
      </w:r>
      <w:proofErr w:type="spellStart"/>
      <w:r w:rsidRPr="007122AB">
        <w:rPr>
          <w:rFonts w:ascii="Times New Roman" w:hAnsi="Times New Roman"/>
          <w:color w:val="000000" w:themeColor="text1"/>
          <w:sz w:val="16"/>
          <w:szCs w:val="16"/>
        </w:rPr>
        <w:t>мартенованием</w:t>
      </w:r>
      <w:proofErr w:type="spellEnd"/>
      <w:r w:rsidRPr="007122AB">
        <w:rPr>
          <w:rFonts w:ascii="Times New Roman" w:hAnsi="Times New Roman"/>
          <w:color w:val="000000" w:themeColor="text1"/>
          <w:sz w:val="16"/>
          <w:szCs w:val="16"/>
        </w:rPr>
        <w:t>, и постройка бессемеровской фабрики занимает меньше времени.</w:t>
      </w:r>
    </w:p>
    <w:p w14:paraId="4C2F123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В смысле проектирования мартеновской фабрики необходимо использовать часть проектных материалов, имеющихся уже у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 так как мощность печей у него одинакова с Магнитостроем.</w:t>
      </w:r>
    </w:p>
    <w:p w14:paraId="44DA31CD"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 октябре 1930 г. был решен вопрос использовать для Магнитостроя проект (стандартный) Гипромеза. Необходимо в этом деле проявить больше согласованности и уступчивости со стороны технического персонала Магнитостроя, который до ноября 1930 г. проявлял ненужное и вредное упрямство. Время споров и дискуссий, которые можно вести бесконечно, надо мартеновцам прекратить.</w:t>
      </w:r>
    </w:p>
    <w:p w14:paraId="01B5684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Форсировать заказы на металлические конструкции здания и печей, краны, ковши и другое оборудование, форсируя составление необходимых спецификаций. Часть спецификаций можно использовать у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w:t>
      </w:r>
    </w:p>
    <w:p w14:paraId="276F423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Считаю, что в мартеновском строительстве обоих заводов с целью экономии в работе необходимо провести самое тесное кооперирование Магнитостроя и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w:t>
      </w:r>
    </w:p>
    <w:p w14:paraId="724C159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Форсировать заказ на огнеупорный кирпич для мартеновской фабрики.</w:t>
      </w:r>
    </w:p>
    <w:p w14:paraId="6BE4477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Магнитострой должен решить вопрос о месте постройки мартеновской фабрики первой очереди в связи с исследованием грунтовых вод на площадке.</w:t>
      </w:r>
    </w:p>
    <w:p w14:paraId="2F97BBA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 прокатному производству:</w:t>
      </w:r>
    </w:p>
    <w:p w14:paraId="6B072B3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форсировать проектирование первой очереди прокатного производства Магнитостроя в Германии.</w:t>
      </w:r>
    </w:p>
    <w:p w14:paraId="0D11E19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Форсировать размещение заказов на прокатное оборудование, расчленив его на импортное и союзное.</w:t>
      </w:r>
    </w:p>
    <w:p w14:paraId="0208BE4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Необходимо для такого крупнейшего прокатного цеха, какой будет в Магнитогорске, срочно иметь ответственное и технически грамотное лицо. До последнего времени прокатчик Магнитостроя (Н. Н. ШАДРИН) был переведен в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а прокатчик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(тов. ЗАРОЩИНСКИЙ) в конце октября 1930 г. при переговорах со мной о переходе на Магнитострой заявил, что он на эту работу не пойдет. Считаю, что вопрос этот имеет большую важность и срочность, так как задачи по заказам оборудования, строительства цеха, монтажа и пуска цеха в </w:t>
      </w:r>
      <w:proofErr w:type="spellStart"/>
      <w:r w:rsidRPr="007122AB">
        <w:rPr>
          <w:rFonts w:ascii="Times New Roman" w:hAnsi="Times New Roman"/>
          <w:color w:val="000000" w:themeColor="text1"/>
          <w:sz w:val="16"/>
          <w:szCs w:val="16"/>
        </w:rPr>
        <w:t>эксплоатацию</w:t>
      </w:r>
      <w:proofErr w:type="spellEnd"/>
      <w:r w:rsidRPr="007122AB">
        <w:rPr>
          <w:rFonts w:ascii="Times New Roman" w:hAnsi="Times New Roman"/>
          <w:color w:val="000000" w:themeColor="text1"/>
          <w:sz w:val="16"/>
          <w:szCs w:val="16"/>
        </w:rPr>
        <w:t xml:space="preserve"> чрезвычайно сложны и ответственны.</w:t>
      </w:r>
    </w:p>
    <w:p w14:paraId="24781112"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Вопрос с питанием валками Магнитогорского завода, затронутый мной в разделе четвертом (задания для завода), необходимо срочно поставить и решить, так как парк валков придется создавать также срочно.</w:t>
      </w:r>
    </w:p>
    <w:p w14:paraId="2D33954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Вопросы прокатного производства (оборудование нагревательных колодцев, нагревательных печей, кранов, оборудование отделения стрипперов) необходимо кооперировать с </w:t>
      </w:r>
      <w:proofErr w:type="spellStart"/>
      <w:r w:rsidRPr="007122AB">
        <w:rPr>
          <w:rFonts w:ascii="Times New Roman" w:hAnsi="Times New Roman"/>
          <w:color w:val="000000" w:themeColor="text1"/>
          <w:sz w:val="16"/>
          <w:szCs w:val="16"/>
        </w:rPr>
        <w:t>Кузнецкстроем</w:t>
      </w:r>
      <w:proofErr w:type="spellEnd"/>
      <w:r w:rsidRPr="007122AB">
        <w:rPr>
          <w:rFonts w:ascii="Times New Roman" w:hAnsi="Times New Roman"/>
          <w:color w:val="000000" w:themeColor="text1"/>
          <w:sz w:val="16"/>
          <w:szCs w:val="16"/>
        </w:rPr>
        <w:t>, поскольку у последнего вопросы эти разработаны.</w:t>
      </w:r>
    </w:p>
    <w:p w14:paraId="2EF2254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VIII. Водоснабжение завода.</w:t>
      </w:r>
    </w:p>
    <w:p w14:paraId="1A8BD00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Вредительство в этом вопросе заключалось в том, что в Магнитострое к этому делу не было проявлено серьезного отношения. Водоканал строй, которому была поручена разработка вопроса, затягивал решение, часто по вине Магнитостроя, который не давал необходимых для проектировки данных.</w:t>
      </w:r>
    </w:p>
    <w:p w14:paraId="00B89D3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Магнитострою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необходимо провести следующие мероприятия:</w:t>
      </w:r>
    </w:p>
    <w:p w14:paraId="45735C48"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Проанализировать все имеющиеся подсчеты потребления воды заводом, городом и другими потребителями, которые будут находиться в районе завода (в том числе совхозы, которые будут обслуживать Магнитогорск).</w:t>
      </w:r>
    </w:p>
    <w:p w14:paraId="75A81D2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Выяснить, хватит ли резервуара магнитогорского пруда для указанных выше целей. Если нет, то необходимо поставить вопрос о постройке в будущем второго (верхнего) пруда, произведя для этого исследовательские работы.</w:t>
      </w:r>
    </w:p>
    <w:p w14:paraId="4D74700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Выяснить вопрос о питьевой воде и способе ее очистки. В октябре 1930 г. на Магнитострое мне говорили, что этот вопрос окончательного решения не получил.</w:t>
      </w:r>
    </w:p>
    <w:p w14:paraId="06F9F82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октября 1930 г. не было проекта главной насосной станции на берегу пруда. Необходимо с строительством станции и заказом оборудования для нее спешить, иначе электростанция и завод останутся без воды.</w:t>
      </w:r>
    </w:p>
    <w:p w14:paraId="3EB1106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IX. Огнеупорные цеха Магнитогорского завода.</w:t>
      </w:r>
    </w:p>
    <w:p w14:paraId="29CF60B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Вредительство в этом вопросе заключалось в том, что как проектирование, так и заказы велись Магнитостроем бессистемно и лицом, совершенно не соответствующим своему назначению. Необходимо форсировать проектирование и строительство шамотного и </w:t>
      </w:r>
      <w:proofErr w:type="spellStart"/>
      <w:r w:rsidRPr="007122AB">
        <w:rPr>
          <w:rFonts w:ascii="Times New Roman" w:hAnsi="Times New Roman"/>
          <w:color w:val="000000" w:themeColor="text1"/>
          <w:sz w:val="16"/>
          <w:szCs w:val="16"/>
        </w:rPr>
        <w:t>динасового</w:t>
      </w:r>
      <w:proofErr w:type="spellEnd"/>
      <w:r w:rsidRPr="007122AB">
        <w:rPr>
          <w:rFonts w:ascii="Times New Roman" w:hAnsi="Times New Roman"/>
          <w:color w:val="000000" w:themeColor="text1"/>
          <w:sz w:val="16"/>
          <w:szCs w:val="16"/>
        </w:rPr>
        <w:t xml:space="preserve"> цехов. В этом вопросе в течение года велась ненужная переписка между </w:t>
      </w:r>
      <w:proofErr w:type="spellStart"/>
      <w:r w:rsidRPr="007122AB">
        <w:rPr>
          <w:rFonts w:ascii="Times New Roman" w:hAnsi="Times New Roman"/>
          <w:color w:val="000000" w:themeColor="text1"/>
          <w:sz w:val="16"/>
          <w:szCs w:val="16"/>
        </w:rPr>
        <w:t>Востокосталью</w:t>
      </w:r>
      <w:proofErr w:type="spellEnd"/>
      <w:r w:rsidRPr="007122AB">
        <w:rPr>
          <w:rFonts w:ascii="Times New Roman" w:hAnsi="Times New Roman"/>
          <w:color w:val="000000" w:themeColor="text1"/>
          <w:sz w:val="16"/>
          <w:szCs w:val="16"/>
        </w:rPr>
        <w:t xml:space="preserve"> и комиссией в Америк[е] на тему, кто должен проектировать огнеупорные цеха, несмотря на то, что председатель комиссии в Америке известил строительство, что фирма Мак-Ки проекта делать не будет.</w:t>
      </w:r>
    </w:p>
    <w:p w14:paraId="13BF0F46"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Мне известно было, что Магнитострой обращался к немецкой фирме, чтобы она взяла проектирование огнеупорных цехов, но какая фирма и что из этого обращения получилось, не знаю.</w:t>
      </w:r>
    </w:p>
    <w:p w14:paraId="23B9B76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 Вспомогательные цеха Магнитогорского завода.</w:t>
      </w:r>
    </w:p>
    <w:p w14:paraId="26BD2B5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Вредительство в этом вопросе заключалось в том, что проектирование в </w:t>
      </w:r>
      <w:proofErr w:type="spellStart"/>
      <w:r w:rsidRPr="007122AB">
        <w:rPr>
          <w:rFonts w:ascii="Times New Roman" w:hAnsi="Times New Roman"/>
          <w:color w:val="000000" w:themeColor="text1"/>
          <w:sz w:val="16"/>
          <w:szCs w:val="16"/>
        </w:rPr>
        <w:t>Уралгипромезе</w:t>
      </w:r>
      <w:proofErr w:type="spellEnd"/>
      <w:r w:rsidRPr="007122AB">
        <w:rPr>
          <w:rFonts w:ascii="Times New Roman" w:hAnsi="Times New Roman"/>
          <w:color w:val="000000" w:themeColor="text1"/>
          <w:sz w:val="16"/>
          <w:szCs w:val="16"/>
        </w:rPr>
        <w:t xml:space="preserve"> и Магнитострое велось по этим цехам (Механический цех, Литейная № 1, Литейная для отливки изложниц, Модельная, Деревообделочная, Кузница, Электроремонтная, заводский магазин) бессистемно и неквалифицированными работниками. Эти цеха должны были быть построены в первую очередь с расчетом, чтобы они явились подсобными во время строительства.</w:t>
      </w:r>
    </w:p>
    <w:p w14:paraId="4234119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Фирма Мак-Ки запоздала с проектами вспомогательных цехов и дала первый цех (Механический) совершенно без всяких технических расчетов, как обычно дают американские фирмы (согласно американской практике).</w:t>
      </w:r>
    </w:p>
    <w:p w14:paraId="629423D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Магнитострою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необходимо:</w:t>
      </w:r>
    </w:p>
    <w:p w14:paraId="6830330A"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Подвергнуть рассмотрению американские проекты с точки зрения их технологической приемлемости и строительной целесообразности.</w:t>
      </w:r>
    </w:p>
    <w:p w14:paraId="1C23067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Если нет проектов из Америки, для ускорения работы использовать готовые уже проекты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 xml:space="preserve"> или других заводов (южных) таких мастерских, как Механическая, кузница, литейные.</w:t>
      </w:r>
    </w:p>
    <w:p w14:paraId="06BBB21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Механический цех, Кузнечный и Литейные необходимо строить немедленно. Начать подготовительные работы (копку котлованов) сейчас, чтобы с начала строительного сезона развернуть форсированно работы.</w:t>
      </w:r>
    </w:p>
    <w:p w14:paraId="69AAD77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должна форсировать размещение заказов на оборудование вспомогательных цехов (главным образом на различные станки), проверив особенно тщательно американские спецификации и сравнив их с кузнецкими.</w:t>
      </w:r>
    </w:p>
    <w:p w14:paraId="5A17FCC4"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XI. В связи с создавшимся положением с проектированием (его расчленением: Доменный цех в Америке, Мартен в СССР и прокатка в Германии) в конце октября 1930 г. возник еще вопрос об общей увязке проектирования, об изменении генерального плана завода, так как ситуация прокатного цеха изменилась (вместо двух цехов, как намечено было у Мак-Ки,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приняла проект расположения всего прокатного производства в одном цехе). В зависимости от изменения прокатного цеха несколько меняется и расположение сталеделательных цехов. При изменении генерального плана должно измениться и все кровообращение завода: железнодорожная внутренняя связь, водоснабжение, канализация, распределение пара, электросвязь. В первую очередь, должен быть поставлен вопрос в генеральном плане завода в смысле окончательной увязки цехов и внутреннего транспорта. В октябре 1930 г., как я уже сказал, этот вопрос был поставлен. Если он не проведен в жизнь, то Магнитострой и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должны срочно сделать это дело. Я считаю, этот вопрос должен разрабатываться в небольшом бюро, возглавляемом помощником главного инженера, в него должны войти (1 или 2) работника, достаточно знающие внутризаводской транспорт. Бюро это предполагалось образовать в Москве, где быстрее можно найти работников и где скорее могут быть разрешены вопросы размещения на ситуационном плане цехов и мастерских заводов. В Москве же предполагалась увязка всех технических вопросов в связи с разбивкой проектирования в разных пунктах, а также техническая консультация при размещении заказов «</w:t>
      </w:r>
      <w:proofErr w:type="spellStart"/>
      <w:r w:rsidRPr="007122AB">
        <w:rPr>
          <w:rFonts w:ascii="Times New Roman" w:hAnsi="Times New Roman"/>
          <w:color w:val="000000" w:themeColor="text1"/>
          <w:sz w:val="16"/>
          <w:szCs w:val="16"/>
        </w:rPr>
        <w:t>Востокосталью</w:t>
      </w:r>
      <w:proofErr w:type="spellEnd"/>
      <w:r w:rsidRPr="007122AB">
        <w:rPr>
          <w:rFonts w:ascii="Times New Roman" w:hAnsi="Times New Roman"/>
          <w:color w:val="000000" w:themeColor="text1"/>
          <w:sz w:val="16"/>
          <w:szCs w:val="16"/>
        </w:rPr>
        <w:t>», так как последняя в своем отделе заказов не располагает грамотным техническим персоналом и так как приходится часто изменять данные, указанные в спецификациях.</w:t>
      </w:r>
    </w:p>
    <w:p w14:paraId="6548C89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Считаю, что такая общетехническая ячейка должна существовать при главном инженере, учитывая вышеуказанное обстоятельство, так как вопросов общей увязки, общего координирования будет чрезвычайно много и они будут иметь особую срочность. Ввиду расчленения проектирования (как это было в октябре 1930 г.) при </w:t>
      </w:r>
      <w:r w:rsidRPr="007122AB">
        <w:rPr>
          <w:rFonts w:ascii="Times New Roman" w:hAnsi="Times New Roman"/>
          <w:color w:val="000000" w:themeColor="text1"/>
          <w:sz w:val="16"/>
          <w:szCs w:val="16"/>
        </w:rPr>
        <w:lastRenderedPageBreak/>
        <w:t>общетехническом бюро у главного инженера должен быть и небольшой проектировочный отдел, где должны рассматриваться и приниматься все поступающие на строительство проекты и составляться проекты обще-заводских устройств (железно-дорожное хозяйство, канализация пара, воды, электротока), если они не переданы для исполнения какой[-]</w:t>
      </w:r>
      <w:proofErr w:type="spellStart"/>
      <w:r w:rsidRPr="007122AB">
        <w:rPr>
          <w:rFonts w:ascii="Times New Roman" w:hAnsi="Times New Roman"/>
          <w:color w:val="000000" w:themeColor="text1"/>
          <w:sz w:val="16"/>
          <w:szCs w:val="16"/>
        </w:rPr>
        <w:t>нибудь</w:t>
      </w:r>
      <w:proofErr w:type="spellEnd"/>
      <w:r w:rsidRPr="007122AB">
        <w:rPr>
          <w:rFonts w:ascii="Times New Roman" w:hAnsi="Times New Roman"/>
          <w:color w:val="000000" w:themeColor="text1"/>
          <w:sz w:val="16"/>
          <w:szCs w:val="16"/>
        </w:rPr>
        <w:t xml:space="preserve"> проектировочной организации. В случае исполнения их на стороне, проектировочный отдел при главном инженере рассматривает и утверждает их в процессе работы (а это потребуется), вносит в них соответствующие изменения.</w:t>
      </w:r>
    </w:p>
    <w:p w14:paraId="3443229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Указанная организация общетехнического и проектировочного характера при главном инженере только на время составления генерального плана завода и увязки главных вопросов проектирования основных цехов работает первое время в Москве при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затем она должна работать на месте строительства.</w:t>
      </w:r>
    </w:p>
    <w:p w14:paraId="0E92D260"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XII. Организационный вопрос Магнитостроя.</w:t>
      </w:r>
    </w:p>
    <w:p w14:paraId="319D665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Магнитогорское строительство (завод, рудник, город) по своему масштабу, сложности и особенно темпам не имеет прецедента в мировой промышленной практике. Американские фирмы и отдельные американские инженеры не верят в принятый нами срок строительства даже в условиях Америки[,] и только отдельные объекты строительств (плотина на Магнитогорском заводе построена в 100 дней) заставляют иностранцев (мистера Мак-Ки, который приезжал в октябре в СССР и был в Магнитострое) менять мнение о наших темпах.</w:t>
      </w:r>
    </w:p>
    <w:p w14:paraId="7E6C240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же факт грандиозности строительства остается и при организационных формах, которые должны быть на постройке, никогда этого упускать нельзя.</w:t>
      </w:r>
    </w:p>
    <w:p w14:paraId="15AEBCC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организации управления строительством должна быть проведена децентрализация работы, так как отдельные части строительства являются слишком крупными и специальными единицами. Таких участков я намечаю двенадцать на Магнитострое: 1) город, 2) горное хозяйство и разведки, 3) коксовальный завод, 4) доменный цех, 5) сталеделательные цеха, 6) прокатный цех, 7) постоянные вспомогательные цеха, 8) электроцентраль комбината, 9) </w:t>
      </w:r>
      <w:proofErr w:type="spellStart"/>
      <w:r w:rsidRPr="007122AB">
        <w:rPr>
          <w:rFonts w:ascii="Times New Roman" w:hAnsi="Times New Roman"/>
          <w:color w:val="000000" w:themeColor="text1"/>
          <w:sz w:val="16"/>
          <w:szCs w:val="16"/>
        </w:rPr>
        <w:t>электрофикация</w:t>
      </w:r>
      <w:proofErr w:type="spellEnd"/>
      <w:r w:rsidRPr="007122AB">
        <w:rPr>
          <w:rFonts w:ascii="Times New Roman" w:hAnsi="Times New Roman"/>
          <w:color w:val="000000" w:themeColor="text1"/>
          <w:sz w:val="16"/>
          <w:szCs w:val="16"/>
        </w:rPr>
        <w:t xml:space="preserve"> комбината, 10) водоснабжение и канализация завода, рудника и города, 11) транспорт комбината и 12) огнеупорные цеха завода.</w:t>
      </w:r>
    </w:p>
    <w:p w14:paraId="6B8D7DA7"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Также в отдельную единицу выделяются на время строительства подсобные, общие для всего строительства, предприятия (карьеры строительных материалов, кирпичные заводы, лесопилка и временные мастерские).</w:t>
      </w:r>
    </w:p>
    <w:p w14:paraId="2E1A5B91"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 отдельные участки строительства должны управляться самостоятельно и начальник строительства только координирует и направляет работу отдельных частей, увязывая их с общей линией строительства.</w:t>
      </w:r>
    </w:p>
    <w:p w14:paraId="443792B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каждого самостоятельного директора и его технического помощника отдельного участка вырабатывается положение, где четко очерчены права, обязанности и ответственность каждого. В схеме организации управления строительством должно быть отведено должное место главному инженеру, чтобы последний действительно отвечал своему назначению, т. е. отвечал бы за всю техническую работу на строительстве.</w:t>
      </w:r>
    </w:p>
    <w:p w14:paraId="2304ED9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Главный инженер должен являться помощником начальника Магнитостроя, увязывая все технические вопросы, не исключая и строительных. Главный строитель является помощником главного инженера, иначе распыляется всякая ответственность. У главного строителя имеются крупные производители строительных работ на указанных выше отдельных участках строительства; производители работ имеют полный контакт и увязку в работе с директорами и техническими руководителями, работающими на отдельных участках.</w:t>
      </w:r>
    </w:p>
    <w:p w14:paraId="0F1BBC02"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вопросам организации относится вопрос правильного использования технического персонала, присланного фирмой Мак-Ки согласно договора, который заключен с фирмой в марте 1930 г. Фирма Мак-Ки, кроме проектирования, обязана руководить строительством на месте постройки через командируемых инженеров и техников. В мае 1930 г. фирма Мак-Ки прислала на Магнитострой первую партию технического персонала во главе с мистером Мак-Муррей, которого фирма наметила во главу американской технической группы. Первая группа американцев состояла из 10 человек.</w:t>
      </w:r>
    </w:p>
    <w:p w14:paraId="36085FC2"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Мак-Муррей, согласно договора, должен быть начальником строительного отдела Магнитостроя и за полной ответственностью фирмы должен был руководить строительством. Конечно, ответственность фирмы, как и во всех иностранных договорах, была проблематичная, так как материальной ответственности фирма не несла. Остальные инженеры должны были, согласно договора, возглавлять работу на отдельных участках; у американского инженера должен быть в качестве помощника наш инженер, также намечался и партийный работник.</w:t>
      </w:r>
    </w:p>
    <w:p w14:paraId="7A4E76CE"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ноября 1930 г. ни Мак-Муррей, ни другие американские инженеры совершенно не были использованы в строительстве, ни согласно договора, заключенного с фирмой, ни по существу всей работы.</w:t>
      </w:r>
    </w:p>
    <w:p w14:paraId="2F30BB2B"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Вся американская группа (в августе приехала вторая партия американских инженеров), как мне говорили на строительстве в начале (1-4) октября 1930 г., принимала участие в лучшем случае в качестве консультантов. Часть инженеров, присланных фирмой, оказалась несостоятельной (двух за пьянство отправили обратно в Америку).</w:t>
      </w:r>
    </w:p>
    <w:p w14:paraId="7B891DA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Американские специалисты получают крупные оклады (Мак- Муррей — 20.000 долларов в год).</w:t>
      </w:r>
    </w:p>
    <w:p w14:paraId="5644C43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Магнитострою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этот вопрос срочно обсудить и решить его в смысле правильного и продуктивного использования иностранных специалистов, получив от них полную отдачу.</w:t>
      </w:r>
    </w:p>
    <w:p w14:paraId="2727BBA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Строительство до ноября 1930 г. не получило никакой сметы на строительство завода и рудника, не считая небольшой колонки цифр, которые ни коим образом нельзя считать хотя бы сметными соображениями.</w:t>
      </w:r>
    </w:p>
    <w:p w14:paraId="3A5701C9"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Магнитострою 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необходимо организовать сметный отдел на строительстве, так как дальше продолжать работу, не имея сметы, невозможно.</w:t>
      </w:r>
    </w:p>
    <w:p w14:paraId="36EC491F"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Записано собственноручно.</w:t>
      </w:r>
    </w:p>
    <w:p w14:paraId="21BE0095"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Инженер Вит [алий] </w:t>
      </w:r>
      <w:proofErr w:type="spellStart"/>
      <w:r w:rsidRPr="007122AB">
        <w:rPr>
          <w:rFonts w:ascii="Times New Roman" w:hAnsi="Times New Roman"/>
          <w:color w:val="000000" w:themeColor="text1"/>
          <w:sz w:val="16"/>
          <w:szCs w:val="16"/>
        </w:rPr>
        <w:t>Гассельблат</w:t>
      </w:r>
      <w:proofErr w:type="spellEnd"/>
    </w:p>
    <w:p w14:paraId="1129113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Допросил:</w:t>
      </w:r>
    </w:p>
    <w:p w14:paraId="6F85866D"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Уполномоченный 1 Отделения ЭКУ ОГПУ Майоров</w:t>
      </w:r>
    </w:p>
    <w:p w14:paraId="7082E693" w14:textId="77777777" w:rsidR="006C4450" w:rsidRPr="007122AB" w:rsidRDefault="006C44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356. Л. 110-134. Машинописный подлинник, подписи на Л. 134 — автографы. Эти и другие показания В. А. </w:t>
      </w:r>
      <w:proofErr w:type="spellStart"/>
      <w:r w:rsidRPr="007122AB">
        <w:rPr>
          <w:rFonts w:ascii="Times New Roman" w:hAnsi="Times New Roman"/>
          <w:color w:val="000000" w:themeColor="text1"/>
          <w:sz w:val="16"/>
          <w:szCs w:val="16"/>
        </w:rPr>
        <w:t>Гассельблата</w:t>
      </w:r>
      <w:proofErr w:type="spellEnd"/>
      <w:r w:rsidRPr="007122AB">
        <w:rPr>
          <w:rFonts w:ascii="Times New Roman" w:hAnsi="Times New Roman"/>
          <w:color w:val="000000" w:themeColor="text1"/>
          <w:sz w:val="16"/>
          <w:szCs w:val="16"/>
        </w:rPr>
        <w:t xml:space="preserve"> (док. № 356-23) были направлены председателем ОГПУ В. Р. Менжинским в ЦК ВКП(б) на имя И. В. Сталина 12 февраля 1931 г. вместе со «Справкой о ликвидированных контрреволюционных организациях на Урале» (док. № 356-26). Сопроводительную записку за подписью В. Р. Менжинского — см. док. М 356-25 (18659).</w:t>
      </w:r>
    </w:p>
    <w:p w14:paraId="68D493A8" w14:textId="77777777" w:rsidR="006C4450" w:rsidRPr="007122AB" w:rsidRDefault="006C4450" w:rsidP="007122AB">
      <w:pPr>
        <w:spacing w:after="0" w:line="240" w:lineRule="auto"/>
        <w:jc w:val="both"/>
        <w:rPr>
          <w:rFonts w:ascii="Times New Roman" w:hAnsi="Times New Roman"/>
          <w:color w:val="000000" w:themeColor="text1"/>
          <w:sz w:val="16"/>
          <w:szCs w:val="16"/>
        </w:rPr>
      </w:pPr>
    </w:p>
    <w:p w14:paraId="3E31706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9B2914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7C84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января 1931 управляющие Банка США были преданы суду (2100).</w:t>
      </w:r>
    </w:p>
    <w:p w14:paraId="1DEA3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A055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7F5534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8878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января 1931 г. был первый полет летающей лодки МДР-2 (АНТ-8) (6395). Летал </w:t>
      </w:r>
      <w:proofErr w:type="spellStart"/>
      <w:r w:rsidRPr="007122AB">
        <w:rPr>
          <w:rFonts w:ascii="Times New Roman" w:hAnsi="Times New Roman"/>
          <w:color w:val="000000" w:themeColor="text1"/>
          <w:sz w:val="16"/>
          <w:szCs w:val="16"/>
        </w:rPr>
        <w:t>С.Т.Рыбальчук</w:t>
      </w:r>
      <w:proofErr w:type="spellEnd"/>
      <w:r w:rsidRPr="007122AB">
        <w:rPr>
          <w:rFonts w:ascii="Times New Roman" w:hAnsi="Times New Roman"/>
          <w:color w:val="000000" w:themeColor="text1"/>
          <w:sz w:val="16"/>
          <w:szCs w:val="16"/>
        </w:rPr>
        <w:t>, л, который до этого облетывал лодки Д.П.Г. - МДР-1, МР-3, МР-5 (7610, 33).</w:t>
      </w:r>
    </w:p>
    <w:p w14:paraId="537AF9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28ACC" w14:textId="77777777" w:rsidR="00C41B25" w:rsidRPr="007122AB" w:rsidRDefault="00C41B2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30 января</w:t>
      </w:r>
      <w:r w:rsidRPr="007122AB">
        <w:rPr>
          <w:rFonts w:ascii="Times New Roman" w:hAnsi="Times New Roman"/>
          <w:color w:val="000000" w:themeColor="text1"/>
          <w:sz w:val="16"/>
          <w:szCs w:val="16"/>
        </w:rPr>
        <w:t xml:space="preserve"> в 1931 году первый полет летающей лодки </w:t>
      </w:r>
      <w:hyperlink r:id="rId10" w:tgtFrame="_blank" w:history="1">
        <w:r w:rsidRPr="007122AB">
          <w:rPr>
            <w:rFonts w:ascii="Times New Roman" w:hAnsi="Times New Roman"/>
            <w:color w:val="000000" w:themeColor="text1"/>
            <w:sz w:val="16"/>
            <w:szCs w:val="16"/>
          </w:rPr>
          <w:t xml:space="preserve">«МДР-2» («АНТ-8»), </w:t>
        </w:r>
      </w:hyperlink>
      <w:r w:rsidRPr="007122AB">
        <w:rPr>
          <w:rFonts w:ascii="Times New Roman" w:hAnsi="Times New Roman"/>
          <w:color w:val="000000" w:themeColor="text1"/>
          <w:sz w:val="16"/>
          <w:szCs w:val="16"/>
        </w:rPr>
        <w:t xml:space="preserve">экипаж </w:t>
      </w:r>
      <w:proofErr w:type="spellStart"/>
      <w:r w:rsidRPr="007122AB">
        <w:rPr>
          <w:rFonts w:ascii="Times New Roman" w:hAnsi="Times New Roman"/>
          <w:color w:val="000000" w:themeColor="text1"/>
          <w:sz w:val="16"/>
          <w:szCs w:val="16"/>
        </w:rPr>
        <w:t>С.Т.Рыбальчука</w:t>
      </w:r>
      <w:proofErr w:type="spellEnd"/>
      <w:r w:rsidRPr="007122AB">
        <w:rPr>
          <w:rFonts w:ascii="Times New Roman" w:hAnsi="Times New Roman"/>
          <w:color w:val="000000" w:themeColor="text1"/>
          <w:sz w:val="16"/>
          <w:szCs w:val="16"/>
        </w:rPr>
        <w:t xml:space="preserve">. «МДР-2» - </w:t>
      </w:r>
      <w:proofErr w:type="spellStart"/>
      <w:r w:rsidRPr="007122AB">
        <w:rPr>
          <w:rFonts w:ascii="Times New Roman" w:hAnsi="Times New Roman"/>
          <w:color w:val="000000" w:themeColor="text1"/>
          <w:sz w:val="16"/>
          <w:szCs w:val="16"/>
        </w:rPr>
        <w:t>однолодочный</w:t>
      </w:r>
      <w:proofErr w:type="spellEnd"/>
      <w:r w:rsidRPr="007122AB">
        <w:rPr>
          <w:rFonts w:ascii="Times New Roman" w:hAnsi="Times New Roman"/>
          <w:color w:val="000000" w:themeColor="text1"/>
          <w:sz w:val="16"/>
          <w:szCs w:val="16"/>
        </w:rPr>
        <w:t xml:space="preserve"> морской дальний разведчик, первый цельнометаллический гидросамолет. Два двигателя у него были расположены на стойках на крыле, имели толкающие винты. В серии самолет не строился (15025).</w:t>
      </w:r>
    </w:p>
    <w:p w14:paraId="6F838AB9" w14:textId="77777777" w:rsidR="00C41B25" w:rsidRPr="007122AB" w:rsidRDefault="00C41B25" w:rsidP="007122AB">
      <w:pPr>
        <w:spacing w:after="0" w:line="240" w:lineRule="auto"/>
        <w:jc w:val="both"/>
        <w:rPr>
          <w:rFonts w:ascii="Times New Roman" w:hAnsi="Times New Roman"/>
          <w:color w:val="000000" w:themeColor="text1"/>
          <w:sz w:val="16"/>
          <w:szCs w:val="16"/>
        </w:rPr>
      </w:pPr>
    </w:p>
    <w:p w14:paraId="246DD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января 1931 в Севастополе состоялись сдаточные (заводские) испытания МДР-2 (АНТ-8) в течение 3 час. 47 мин. (1017,212).</w:t>
      </w:r>
    </w:p>
    <w:p w14:paraId="25649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другим данным 30 января 1931 состоялся первый вылет МДР-2 (АНТ-8) А.Н.Т. (92,355) и летал </w:t>
      </w:r>
      <w:proofErr w:type="spellStart"/>
      <w:r w:rsidRPr="007122AB">
        <w:rPr>
          <w:rFonts w:ascii="Times New Roman" w:hAnsi="Times New Roman"/>
          <w:color w:val="000000" w:themeColor="text1"/>
          <w:sz w:val="16"/>
          <w:szCs w:val="16"/>
        </w:rPr>
        <w:t>С.Т.Рыбальчук</w:t>
      </w:r>
      <w:proofErr w:type="spellEnd"/>
      <w:r w:rsidRPr="007122AB">
        <w:rPr>
          <w:rFonts w:ascii="Times New Roman" w:hAnsi="Times New Roman"/>
          <w:color w:val="000000" w:themeColor="text1"/>
          <w:sz w:val="16"/>
          <w:szCs w:val="16"/>
        </w:rPr>
        <w:t xml:space="preserve"> (1852,48).</w:t>
      </w:r>
    </w:p>
    <w:p w14:paraId="201F40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FA3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января 1931 г. самолет АНТ-8 после испытаний на рулежку пошел первый раз в воздух. Заводские испытания продолжались всего 3 час. 47 мин., после чего самолет был предъявлен на гос. испытания.</w:t>
      </w:r>
    </w:p>
    <w:p w14:paraId="3EADE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были произведены для двух нагрузок:</w:t>
      </w:r>
    </w:p>
    <w:p w14:paraId="3064E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Нагрузка согласно ТУ в 2105 кг и</w:t>
      </w:r>
    </w:p>
    <w:p w14:paraId="29CD06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нагрузка увеличенная в 2360 кг.</w:t>
      </w:r>
    </w:p>
    <w:p w14:paraId="39813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гос. испытания удалось провести в 11 полетных дней.</w:t>
      </w:r>
    </w:p>
    <w:p w14:paraId="2D7840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о самолете МДР-2</w:t>
      </w:r>
    </w:p>
    <w:p w14:paraId="795B1F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приказа НВВС N 6/1 произведены испытания самолета МДР-2.</w:t>
      </w:r>
    </w:p>
    <w:p w14:paraId="37C29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w:t>
      </w:r>
    </w:p>
    <w:p w14:paraId="3EC04D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полученным летным данным самолет МДР-2 примерно равен самолету ДВ с данной нагрузкой.</w:t>
      </w:r>
    </w:p>
    <w:p w14:paraId="727866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Размещение вооружения, снаряжения и действие ими лучше, нежели на самолете ДВ (3279).</w:t>
      </w:r>
    </w:p>
    <w:p w14:paraId="10027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E4C911"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января 1931 года опытный самолет АНТ-8 вышел на испытания и  состоялся первый полет. Государственные испыта</w:t>
      </w:r>
      <w:r w:rsidRPr="00441F34">
        <w:rPr>
          <w:rFonts w:ascii="Times New Roman" w:hAnsi="Times New Roman"/>
          <w:color w:val="0070C0"/>
          <w:sz w:val="16"/>
          <w:szCs w:val="16"/>
        </w:rPr>
        <w:softHyphen/>
        <w:t xml:space="preserve">ния проходили там же, в Севастополе, с 15 февраля по 20 марта. Проводил их летчик С.Т </w:t>
      </w:r>
      <w:proofErr w:type="spellStart"/>
      <w:r w:rsidRPr="00441F34">
        <w:rPr>
          <w:rFonts w:ascii="Times New Roman" w:hAnsi="Times New Roman"/>
          <w:color w:val="0070C0"/>
          <w:sz w:val="16"/>
          <w:szCs w:val="16"/>
        </w:rPr>
        <w:t>Рыбальчук</w:t>
      </w:r>
      <w:proofErr w:type="spellEnd"/>
      <w:r w:rsidRPr="00441F34">
        <w:rPr>
          <w:rFonts w:ascii="Times New Roman" w:hAnsi="Times New Roman"/>
          <w:color w:val="0070C0"/>
          <w:sz w:val="16"/>
          <w:szCs w:val="16"/>
        </w:rPr>
        <w:t xml:space="preserve"> с двумя вариан</w:t>
      </w:r>
      <w:r w:rsidRPr="00441F34">
        <w:rPr>
          <w:rFonts w:ascii="Times New Roman" w:hAnsi="Times New Roman"/>
          <w:color w:val="0070C0"/>
          <w:sz w:val="16"/>
          <w:szCs w:val="16"/>
        </w:rPr>
        <w:softHyphen/>
        <w:t>тами полетной массы — 6665 и 6920 кг. Определяли крейсерскую скорость и ра</w:t>
      </w:r>
      <w:r w:rsidRPr="00441F34">
        <w:rPr>
          <w:rFonts w:ascii="Times New Roman" w:hAnsi="Times New Roman"/>
          <w:color w:val="0070C0"/>
          <w:sz w:val="16"/>
          <w:szCs w:val="16"/>
        </w:rPr>
        <w:softHyphen/>
        <w:t>диус действия.</w:t>
      </w:r>
    </w:p>
    <w:p w14:paraId="5A0281B8"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АНТ—8 соответствовал «требованиям сегодняшнего дня», но серийно не строился.</w:t>
      </w:r>
    </w:p>
    <w:p w14:paraId="2D374317"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Эта машина осталась в истории как первая отечественная летающая лодка.</w:t>
      </w:r>
    </w:p>
    <w:p w14:paraId="3C159BA1"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Основные характеристики самолета АНТ-8</w:t>
      </w:r>
    </w:p>
    <w:tbl>
      <w:tblPr>
        <w:tblOverlap w:val="never"/>
        <w:tblW w:w="0" w:type="auto"/>
        <w:tblLayout w:type="fixed"/>
        <w:tblCellMar>
          <w:left w:w="10" w:type="dxa"/>
          <w:right w:w="10" w:type="dxa"/>
        </w:tblCellMar>
        <w:tblLook w:val="04A0" w:firstRow="1" w:lastRow="0" w:firstColumn="1" w:lastColumn="0" w:noHBand="0" w:noVBand="1"/>
      </w:tblPr>
      <w:tblGrid>
        <w:gridCol w:w="3682"/>
        <w:gridCol w:w="1992"/>
      </w:tblGrid>
      <w:tr w:rsidR="00FE1090" w:rsidRPr="00441F34" w14:paraId="7732D718" w14:textId="77777777" w:rsidTr="004B2EA4">
        <w:trPr>
          <w:trHeight w:val="269"/>
        </w:trPr>
        <w:tc>
          <w:tcPr>
            <w:tcW w:w="3682" w:type="dxa"/>
            <w:tcBorders>
              <w:top w:val="single" w:sz="4" w:space="0" w:color="auto"/>
              <w:left w:val="single" w:sz="4" w:space="0" w:color="auto"/>
            </w:tcBorders>
            <w:shd w:val="clear" w:color="auto" w:fill="auto"/>
            <w:vAlign w:val="bottom"/>
          </w:tcPr>
          <w:p w14:paraId="240033E6"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Число и тип двигателя</w:t>
            </w:r>
          </w:p>
        </w:tc>
        <w:tc>
          <w:tcPr>
            <w:tcW w:w="1992" w:type="dxa"/>
            <w:tcBorders>
              <w:top w:val="single" w:sz="4" w:space="0" w:color="auto"/>
              <w:right w:val="single" w:sz="4" w:space="0" w:color="auto"/>
            </w:tcBorders>
            <w:shd w:val="clear" w:color="auto" w:fill="auto"/>
            <w:vAlign w:val="bottom"/>
          </w:tcPr>
          <w:p w14:paraId="36D3D22D"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2xBMW VI</w:t>
            </w:r>
          </w:p>
        </w:tc>
      </w:tr>
      <w:tr w:rsidR="00FE1090" w:rsidRPr="00441F34" w14:paraId="30588859" w14:textId="77777777" w:rsidTr="004B2EA4">
        <w:trPr>
          <w:trHeight w:val="221"/>
        </w:trPr>
        <w:tc>
          <w:tcPr>
            <w:tcW w:w="3682" w:type="dxa"/>
            <w:tcBorders>
              <w:left w:val="single" w:sz="4" w:space="0" w:color="auto"/>
            </w:tcBorders>
            <w:shd w:val="clear" w:color="auto" w:fill="auto"/>
            <w:vAlign w:val="bottom"/>
          </w:tcPr>
          <w:p w14:paraId="7472B03F"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Мощность, л. с.</w:t>
            </w:r>
          </w:p>
        </w:tc>
        <w:tc>
          <w:tcPr>
            <w:tcW w:w="1992" w:type="dxa"/>
            <w:tcBorders>
              <w:right w:val="single" w:sz="4" w:space="0" w:color="auto"/>
            </w:tcBorders>
            <w:shd w:val="clear" w:color="auto" w:fill="auto"/>
          </w:tcPr>
          <w:p w14:paraId="6EE05CE4" w14:textId="77777777" w:rsidR="00FE1090" w:rsidRPr="00441F34" w:rsidRDefault="00FE1090" w:rsidP="004B2EA4">
            <w:pPr>
              <w:spacing w:after="0" w:line="240" w:lineRule="auto"/>
              <w:jc w:val="both"/>
              <w:rPr>
                <w:rFonts w:ascii="Times New Roman" w:hAnsi="Times New Roman"/>
                <w:color w:val="0070C0"/>
                <w:sz w:val="16"/>
                <w:szCs w:val="16"/>
              </w:rPr>
            </w:pPr>
          </w:p>
        </w:tc>
      </w:tr>
      <w:tr w:rsidR="00FE1090" w:rsidRPr="00441F34" w14:paraId="415770E8" w14:textId="77777777" w:rsidTr="004B2EA4">
        <w:trPr>
          <w:trHeight w:val="211"/>
        </w:trPr>
        <w:tc>
          <w:tcPr>
            <w:tcW w:w="3682" w:type="dxa"/>
            <w:tcBorders>
              <w:left w:val="single" w:sz="4" w:space="0" w:color="auto"/>
            </w:tcBorders>
            <w:shd w:val="clear" w:color="auto" w:fill="auto"/>
            <w:vAlign w:val="bottom"/>
          </w:tcPr>
          <w:p w14:paraId="4F737900"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w:t>
            </w:r>
          </w:p>
        </w:tc>
        <w:tc>
          <w:tcPr>
            <w:tcW w:w="1992" w:type="dxa"/>
            <w:tcBorders>
              <w:right w:val="single" w:sz="4" w:space="0" w:color="auto"/>
            </w:tcBorders>
            <w:shd w:val="clear" w:color="auto" w:fill="auto"/>
            <w:vAlign w:val="bottom"/>
          </w:tcPr>
          <w:p w14:paraId="1BF5D775"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r>
      <w:tr w:rsidR="00FE1090" w:rsidRPr="00441F34" w14:paraId="42DB6CA9" w14:textId="77777777" w:rsidTr="004B2EA4">
        <w:trPr>
          <w:trHeight w:val="221"/>
        </w:trPr>
        <w:tc>
          <w:tcPr>
            <w:tcW w:w="3682" w:type="dxa"/>
            <w:tcBorders>
              <w:left w:val="single" w:sz="4" w:space="0" w:color="auto"/>
            </w:tcBorders>
            <w:shd w:val="clear" w:color="auto" w:fill="auto"/>
            <w:vAlign w:val="bottom"/>
          </w:tcPr>
          <w:p w14:paraId="5293401C"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номинальная</w:t>
            </w:r>
          </w:p>
        </w:tc>
        <w:tc>
          <w:tcPr>
            <w:tcW w:w="1992" w:type="dxa"/>
            <w:tcBorders>
              <w:right w:val="single" w:sz="4" w:space="0" w:color="auto"/>
            </w:tcBorders>
            <w:shd w:val="clear" w:color="auto" w:fill="auto"/>
            <w:vAlign w:val="bottom"/>
          </w:tcPr>
          <w:p w14:paraId="760F451D"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2x500</w:t>
            </w:r>
          </w:p>
        </w:tc>
      </w:tr>
      <w:tr w:rsidR="00FE1090" w:rsidRPr="00441F34" w14:paraId="6F060021" w14:textId="77777777" w:rsidTr="004B2EA4">
        <w:trPr>
          <w:trHeight w:val="226"/>
        </w:trPr>
        <w:tc>
          <w:tcPr>
            <w:tcW w:w="3682" w:type="dxa"/>
            <w:tcBorders>
              <w:left w:val="single" w:sz="4" w:space="0" w:color="auto"/>
            </w:tcBorders>
            <w:shd w:val="clear" w:color="auto" w:fill="auto"/>
            <w:vAlign w:val="bottom"/>
          </w:tcPr>
          <w:p w14:paraId="76E4646F"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самолета, м</w:t>
            </w:r>
          </w:p>
        </w:tc>
        <w:tc>
          <w:tcPr>
            <w:tcW w:w="1992" w:type="dxa"/>
            <w:tcBorders>
              <w:right w:val="single" w:sz="4" w:space="0" w:color="auto"/>
            </w:tcBorders>
            <w:shd w:val="clear" w:color="auto" w:fill="auto"/>
            <w:vAlign w:val="bottom"/>
          </w:tcPr>
          <w:p w14:paraId="32EDFCBF"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17,03</w:t>
            </w:r>
          </w:p>
        </w:tc>
      </w:tr>
      <w:tr w:rsidR="00FE1090" w:rsidRPr="00441F34" w14:paraId="5BEF17AF" w14:textId="77777777" w:rsidTr="004B2EA4">
        <w:trPr>
          <w:trHeight w:val="230"/>
        </w:trPr>
        <w:tc>
          <w:tcPr>
            <w:tcW w:w="3682" w:type="dxa"/>
            <w:tcBorders>
              <w:left w:val="single" w:sz="4" w:space="0" w:color="auto"/>
            </w:tcBorders>
            <w:shd w:val="clear" w:color="auto" w:fill="auto"/>
          </w:tcPr>
          <w:p w14:paraId="543FDC89"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Размах крыла, м</w:t>
            </w:r>
          </w:p>
        </w:tc>
        <w:tc>
          <w:tcPr>
            <w:tcW w:w="1992" w:type="dxa"/>
            <w:tcBorders>
              <w:right w:val="single" w:sz="4" w:space="0" w:color="auto"/>
            </w:tcBorders>
            <w:shd w:val="clear" w:color="auto" w:fill="auto"/>
          </w:tcPr>
          <w:p w14:paraId="30FC5900"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23,70</w:t>
            </w:r>
          </w:p>
        </w:tc>
      </w:tr>
      <w:tr w:rsidR="00FE1090" w:rsidRPr="00441F34" w14:paraId="32894F25" w14:textId="77777777" w:rsidTr="004B2EA4">
        <w:trPr>
          <w:trHeight w:val="202"/>
        </w:trPr>
        <w:tc>
          <w:tcPr>
            <w:tcW w:w="3682" w:type="dxa"/>
            <w:tcBorders>
              <w:left w:val="single" w:sz="4" w:space="0" w:color="auto"/>
            </w:tcBorders>
            <w:shd w:val="clear" w:color="auto" w:fill="auto"/>
          </w:tcPr>
          <w:p w14:paraId="7E6C87BC"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Высота самолета на стоянке, м</w:t>
            </w:r>
          </w:p>
        </w:tc>
        <w:tc>
          <w:tcPr>
            <w:tcW w:w="1992" w:type="dxa"/>
            <w:tcBorders>
              <w:right w:val="single" w:sz="4" w:space="0" w:color="auto"/>
            </w:tcBorders>
            <w:shd w:val="clear" w:color="auto" w:fill="auto"/>
          </w:tcPr>
          <w:p w14:paraId="24A03E78"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5,67</w:t>
            </w:r>
          </w:p>
        </w:tc>
      </w:tr>
      <w:tr w:rsidR="00FE1090" w:rsidRPr="00441F34" w14:paraId="15E45B84" w14:textId="77777777" w:rsidTr="004B2EA4">
        <w:trPr>
          <w:trHeight w:val="226"/>
        </w:trPr>
        <w:tc>
          <w:tcPr>
            <w:tcW w:w="3682" w:type="dxa"/>
            <w:tcBorders>
              <w:left w:val="single" w:sz="4" w:space="0" w:color="auto"/>
            </w:tcBorders>
            <w:shd w:val="clear" w:color="auto" w:fill="auto"/>
            <w:vAlign w:val="bottom"/>
          </w:tcPr>
          <w:p w14:paraId="58AE1834"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Площадь, м2</w:t>
            </w:r>
          </w:p>
        </w:tc>
        <w:tc>
          <w:tcPr>
            <w:tcW w:w="1992" w:type="dxa"/>
            <w:tcBorders>
              <w:right w:val="single" w:sz="4" w:space="0" w:color="auto"/>
            </w:tcBorders>
            <w:shd w:val="clear" w:color="auto" w:fill="auto"/>
          </w:tcPr>
          <w:p w14:paraId="29E373F6" w14:textId="77777777" w:rsidR="00FE1090" w:rsidRPr="00441F34" w:rsidRDefault="00FE1090" w:rsidP="004B2EA4">
            <w:pPr>
              <w:spacing w:after="0" w:line="240" w:lineRule="auto"/>
              <w:jc w:val="both"/>
              <w:rPr>
                <w:rFonts w:ascii="Times New Roman" w:hAnsi="Times New Roman"/>
                <w:color w:val="0070C0"/>
                <w:sz w:val="16"/>
                <w:szCs w:val="16"/>
              </w:rPr>
            </w:pPr>
          </w:p>
        </w:tc>
      </w:tr>
      <w:tr w:rsidR="00FE1090" w:rsidRPr="00441F34" w14:paraId="50E70CE7" w14:textId="77777777" w:rsidTr="004B2EA4">
        <w:trPr>
          <w:trHeight w:val="240"/>
        </w:trPr>
        <w:tc>
          <w:tcPr>
            <w:tcW w:w="3682" w:type="dxa"/>
            <w:tcBorders>
              <w:left w:val="single" w:sz="4" w:space="0" w:color="auto"/>
            </w:tcBorders>
            <w:shd w:val="clear" w:color="auto" w:fill="auto"/>
            <w:vAlign w:val="bottom"/>
          </w:tcPr>
          <w:p w14:paraId="7497A4CD"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крыла</w:t>
            </w:r>
          </w:p>
        </w:tc>
        <w:tc>
          <w:tcPr>
            <w:tcW w:w="1992" w:type="dxa"/>
            <w:tcBorders>
              <w:right w:val="single" w:sz="4" w:space="0" w:color="auto"/>
            </w:tcBorders>
            <w:shd w:val="clear" w:color="auto" w:fill="auto"/>
            <w:vAlign w:val="bottom"/>
          </w:tcPr>
          <w:p w14:paraId="789A421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83,96</w:t>
            </w:r>
          </w:p>
        </w:tc>
      </w:tr>
      <w:tr w:rsidR="00FE1090" w:rsidRPr="00441F34" w14:paraId="1D8EEE35" w14:textId="77777777" w:rsidTr="004B2EA4">
        <w:trPr>
          <w:trHeight w:val="221"/>
        </w:trPr>
        <w:tc>
          <w:tcPr>
            <w:tcW w:w="3682" w:type="dxa"/>
            <w:tcBorders>
              <w:left w:val="single" w:sz="4" w:space="0" w:color="auto"/>
            </w:tcBorders>
            <w:shd w:val="clear" w:color="auto" w:fill="auto"/>
          </w:tcPr>
          <w:p w14:paraId="4AE6E6F0"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горизонтального оперения</w:t>
            </w:r>
          </w:p>
        </w:tc>
        <w:tc>
          <w:tcPr>
            <w:tcW w:w="1992" w:type="dxa"/>
            <w:tcBorders>
              <w:right w:val="single" w:sz="4" w:space="0" w:color="auto"/>
            </w:tcBorders>
            <w:shd w:val="clear" w:color="auto" w:fill="auto"/>
          </w:tcPr>
          <w:p w14:paraId="17366A0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12,89</w:t>
            </w:r>
          </w:p>
        </w:tc>
      </w:tr>
      <w:tr w:rsidR="00FE1090" w:rsidRPr="00441F34" w14:paraId="4EAF5FA8" w14:textId="77777777" w:rsidTr="004B2EA4">
        <w:trPr>
          <w:trHeight w:val="211"/>
        </w:trPr>
        <w:tc>
          <w:tcPr>
            <w:tcW w:w="3682" w:type="dxa"/>
            <w:tcBorders>
              <w:left w:val="single" w:sz="4" w:space="0" w:color="auto"/>
            </w:tcBorders>
            <w:shd w:val="clear" w:color="auto" w:fill="auto"/>
          </w:tcPr>
          <w:p w14:paraId="0F55224D"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вертикального оперения</w:t>
            </w:r>
          </w:p>
        </w:tc>
        <w:tc>
          <w:tcPr>
            <w:tcW w:w="1992" w:type="dxa"/>
            <w:tcBorders>
              <w:right w:val="single" w:sz="4" w:space="0" w:color="auto"/>
            </w:tcBorders>
            <w:shd w:val="clear" w:color="auto" w:fill="auto"/>
          </w:tcPr>
          <w:p w14:paraId="50119C8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5,59</w:t>
            </w:r>
          </w:p>
        </w:tc>
      </w:tr>
      <w:tr w:rsidR="00FE1090" w:rsidRPr="00441F34" w14:paraId="45396DAD" w14:textId="77777777" w:rsidTr="004B2EA4">
        <w:trPr>
          <w:trHeight w:val="206"/>
        </w:trPr>
        <w:tc>
          <w:tcPr>
            <w:tcW w:w="3682" w:type="dxa"/>
            <w:tcBorders>
              <w:left w:val="single" w:sz="4" w:space="0" w:color="auto"/>
            </w:tcBorders>
            <w:shd w:val="clear" w:color="auto" w:fill="auto"/>
          </w:tcPr>
          <w:p w14:paraId="38F57DBC"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Взлетная масса, кг</w:t>
            </w:r>
          </w:p>
        </w:tc>
        <w:tc>
          <w:tcPr>
            <w:tcW w:w="1992" w:type="dxa"/>
            <w:tcBorders>
              <w:right w:val="single" w:sz="4" w:space="0" w:color="auto"/>
            </w:tcBorders>
            <w:shd w:val="clear" w:color="auto" w:fill="auto"/>
          </w:tcPr>
          <w:p w14:paraId="3CE556A3" w14:textId="77777777" w:rsidR="00FE1090" w:rsidRPr="00441F34" w:rsidRDefault="00FE1090" w:rsidP="004B2EA4">
            <w:pPr>
              <w:spacing w:after="0" w:line="240" w:lineRule="auto"/>
              <w:jc w:val="both"/>
              <w:rPr>
                <w:rFonts w:ascii="Times New Roman" w:hAnsi="Times New Roman"/>
                <w:color w:val="0070C0"/>
                <w:sz w:val="16"/>
                <w:szCs w:val="16"/>
              </w:rPr>
            </w:pPr>
          </w:p>
        </w:tc>
      </w:tr>
      <w:tr w:rsidR="00FE1090" w:rsidRPr="00441F34" w14:paraId="6DC8059C" w14:textId="77777777" w:rsidTr="004B2EA4">
        <w:trPr>
          <w:trHeight w:val="235"/>
        </w:trPr>
        <w:tc>
          <w:tcPr>
            <w:tcW w:w="3682" w:type="dxa"/>
            <w:tcBorders>
              <w:left w:val="single" w:sz="4" w:space="0" w:color="auto"/>
            </w:tcBorders>
            <w:shd w:val="clear" w:color="auto" w:fill="auto"/>
            <w:vAlign w:val="bottom"/>
          </w:tcPr>
          <w:p w14:paraId="4731641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нормальная</w:t>
            </w:r>
          </w:p>
        </w:tc>
        <w:tc>
          <w:tcPr>
            <w:tcW w:w="1992" w:type="dxa"/>
            <w:tcBorders>
              <w:right w:val="single" w:sz="4" w:space="0" w:color="auto"/>
            </w:tcBorders>
            <w:shd w:val="clear" w:color="auto" w:fill="auto"/>
            <w:vAlign w:val="bottom"/>
          </w:tcPr>
          <w:p w14:paraId="4CDA4CF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6665</w:t>
            </w:r>
          </w:p>
        </w:tc>
      </w:tr>
      <w:tr w:rsidR="00FE1090" w:rsidRPr="00441F34" w14:paraId="718B164A" w14:textId="77777777" w:rsidTr="004B2EA4">
        <w:trPr>
          <w:trHeight w:val="211"/>
        </w:trPr>
        <w:tc>
          <w:tcPr>
            <w:tcW w:w="3682" w:type="dxa"/>
            <w:tcBorders>
              <w:left w:val="single" w:sz="4" w:space="0" w:color="auto"/>
            </w:tcBorders>
            <w:shd w:val="clear" w:color="auto" w:fill="auto"/>
          </w:tcPr>
          <w:p w14:paraId="2D8C1601"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пустого самолета, кг</w:t>
            </w:r>
          </w:p>
        </w:tc>
        <w:tc>
          <w:tcPr>
            <w:tcW w:w="1992" w:type="dxa"/>
            <w:tcBorders>
              <w:right w:val="single" w:sz="4" w:space="0" w:color="auto"/>
            </w:tcBorders>
            <w:shd w:val="clear" w:color="auto" w:fill="auto"/>
          </w:tcPr>
          <w:p w14:paraId="7234E03A"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4560</w:t>
            </w:r>
          </w:p>
        </w:tc>
      </w:tr>
      <w:tr w:rsidR="00FE1090" w:rsidRPr="00441F34" w14:paraId="719DF347" w14:textId="77777777" w:rsidTr="004B2EA4">
        <w:trPr>
          <w:trHeight w:val="216"/>
        </w:trPr>
        <w:tc>
          <w:tcPr>
            <w:tcW w:w="3682" w:type="dxa"/>
            <w:tcBorders>
              <w:left w:val="single" w:sz="4" w:space="0" w:color="auto"/>
            </w:tcBorders>
            <w:shd w:val="clear" w:color="auto" w:fill="auto"/>
          </w:tcPr>
          <w:p w14:paraId="7FE31395"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топлива, кг</w:t>
            </w:r>
          </w:p>
        </w:tc>
        <w:tc>
          <w:tcPr>
            <w:tcW w:w="1992" w:type="dxa"/>
            <w:tcBorders>
              <w:right w:val="single" w:sz="4" w:space="0" w:color="auto"/>
            </w:tcBorders>
            <w:shd w:val="clear" w:color="auto" w:fill="auto"/>
          </w:tcPr>
          <w:p w14:paraId="45734153"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1100</w:t>
            </w:r>
          </w:p>
        </w:tc>
      </w:tr>
      <w:tr w:rsidR="00FE1090" w:rsidRPr="00441F34" w14:paraId="52FC4F8E" w14:textId="77777777" w:rsidTr="004B2EA4">
        <w:trPr>
          <w:trHeight w:val="221"/>
        </w:trPr>
        <w:tc>
          <w:tcPr>
            <w:tcW w:w="3682" w:type="dxa"/>
            <w:tcBorders>
              <w:left w:val="single" w:sz="4" w:space="0" w:color="auto"/>
            </w:tcBorders>
            <w:shd w:val="clear" w:color="auto" w:fill="auto"/>
          </w:tcPr>
          <w:p w14:paraId="538ADABC"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полезной нагрузки, кг</w:t>
            </w:r>
          </w:p>
        </w:tc>
        <w:tc>
          <w:tcPr>
            <w:tcW w:w="1992" w:type="dxa"/>
            <w:tcBorders>
              <w:right w:val="single" w:sz="4" w:space="0" w:color="auto"/>
            </w:tcBorders>
            <w:shd w:val="clear" w:color="auto" w:fill="auto"/>
          </w:tcPr>
          <w:p w14:paraId="10F64686"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915</w:t>
            </w:r>
          </w:p>
        </w:tc>
      </w:tr>
      <w:tr w:rsidR="00FE1090" w:rsidRPr="00441F34" w14:paraId="606FBF1E" w14:textId="77777777" w:rsidTr="004B2EA4">
        <w:trPr>
          <w:trHeight w:val="226"/>
        </w:trPr>
        <w:tc>
          <w:tcPr>
            <w:tcW w:w="3682" w:type="dxa"/>
            <w:tcBorders>
              <w:left w:val="single" w:sz="4" w:space="0" w:color="auto"/>
            </w:tcBorders>
            <w:shd w:val="clear" w:color="auto" w:fill="auto"/>
            <w:vAlign w:val="bottom"/>
          </w:tcPr>
          <w:p w14:paraId="3484E25D"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 скорость, км/ч</w:t>
            </w:r>
          </w:p>
        </w:tc>
        <w:tc>
          <w:tcPr>
            <w:tcW w:w="1992" w:type="dxa"/>
            <w:tcBorders>
              <w:right w:val="single" w:sz="4" w:space="0" w:color="auto"/>
            </w:tcBorders>
            <w:shd w:val="clear" w:color="auto" w:fill="auto"/>
          </w:tcPr>
          <w:p w14:paraId="68ECD336" w14:textId="77777777" w:rsidR="00FE1090" w:rsidRPr="00441F34" w:rsidRDefault="00FE1090" w:rsidP="004B2EA4">
            <w:pPr>
              <w:spacing w:after="0" w:line="240" w:lineRule="auto"/>
              <w:jc w:val="both"/>
              <w:rPr>
                <w:rFonts w:ascii="Times New Roman" w:hAnsi="Times New Roman"/>
                <w:color w:val="0070C0"/>
                <w:sz w:val="16"/>
                <w:szCs w:val="16"/>
              </w:rPr>
            </w:pPr>
          </w:p>
        </w:tc>
      </w:tr>
      <w:tr w:rsidR="00FE1090" w:rsidRPr="00441F34" w14:paraId="31B74684" w14:textId="77777777" w:rsidTr="004B2EA4">
        <w:trPr>
          <w:trHeight w:val="206"/>
        </w:trPr>
        <w:tc>
          <w:tcPr>
            <w:tcW w:w="3682" w:type="dxa"/>
            <w:tcBorders>
              <w:left w:val="single" w:sz="4" w:space="0" w:color="auto"/>
            </w:tcBorders>
            <w:shd w:val="clear" w:color="auto" w:fill="auto"/>
            <w:vAlign w:val="bottom"/>
          </w:tcPr>
          <w:p w14:paraId="3A03CF72"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 земли</w:t>
            </w:r>
          </w:p>
        </w:tc>
        <w:tc>
          <w:tcPr>
            <w:tcW w:w="1992" w:type="dxa"/>
            <w:tcBorders>
              <w:right w:val="single" w:sz="4" w:space="0" w:color="auto"/>
            </w:tcBorders>
            <w:shd w:val="clear" w:color="auto" w:fill="auto"/>
            <w:vAlign w:val="bottom"/>
          </w:tcPr>
          <w:p w14:paraId="3F3A1152"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202</w:t>
            </w:r>
          </w:p>
        </w:tc>
      </w:tr>
      <w:tr w:rsidR="00FE1090" w:rsidRPr="00441F34" w14:paraId="49344B5F" w14:textId="77777777" w:rsidTr="004B2EA4">
        <w:trPr>
          <w:trHeight w:val="235"/>
        </w:trPr>
        <w:tc>
          <w:tcPr>
            <w:tcW w:w="3682" w:type="dxa"/>
            <w:tcBorders>
              <w:left w:val="single" w:sz="4" w:space="0" w:color="auto"/>
            </w:tcBorders>
            <w:shd w:val="clear" w:color="auto" w:fill="auto"/>
            <w:vAlign w:val="bottom"/>
          </w:tcPr>
          <w:p w14:paraId="5F18F39E"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высоте, м</w:t>
            </w:r>
          </w:p>
        </w:tc>
        <w:tc>
          <w:tcPr>
            <w:tcW w:w="1992" w:type="dxa"/>
            <w:tcBorders>
              <w:right w:val="single" w:sz="4" w:space="0" w:color="auto"/>
            </w:tcBorders>
            <w:shd w:val="clear" w:color="auto" w:fill="auto"/>
            <w:vAlign w:val="bottom"/>
          </w:tcPr>
          <w:p w14:paraId="5B46E10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186/3000</w:t>
            </w:r>
          </w:p>
        </w:tc>
      </w:tr>
      <w:tr w:rsidR="00FE1090" w:rsidRPr="00441F34" w14:paraId="3FF06331" w14:textId="77777777" w:rsidTr="004B2EA4">
        <w:trPr>
          <w:trHeight w:val="221"/>
        </w:trPr>
        <w:tc>
          <w:tcPr>
            <w:tcW w:w="3682" w:type="dxa"/>
            <w:tcBorders>
              <w:left w:val="single" w:sz="4" w:space="0" w:color="auto"/>
            </w:tcBorders>
            <w:shd w:val="clear" w:color="auto" w:fill="auto"/>
          </w:tcPr>
          <w:p w14:paraId="763C5652"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Крейсерская скорость, км/ч</w:t>
            </w:r>
          </w:p>
        </w:tc>
        <w:tc>
          <w:tcPr>
            <w:tcW w:w="1992" w:type="dxa"/>
            <w:tcBorders>
              <w:right w:val="single" w:sz="4" w:space="0" w:color="auto"/>
            </w:tcBorders>
            <w:shd w:val="clear" w:color="auto" w:fill="auto"/>
          </w:tcPr>
          <w:p w14:paraId="03C88DB1"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166</w:t>
            </w:r>
          </w:p>
        </w:tc>
      </w:tr>
      <w:tr w:rsidR="00FE1090" w:rsidRPr="00441F34" w14:paraId="2F8EC750" w14:textId="77777777" w:rsidTr="004B2EA4">
        <w:trPr>
          <w:trHeight w:val="211"/>
        </w:trPr>
        <w:tc>
          <w:tcPr>
            <w:tcW w:w="3682" w:type="dxa"/>
            <w:tcBorders>
              <w:left w:val="single" w:sz="4" w:space="0" w:color="auto"/>
            </w:tcBorders>
            <w:shd w:val="clear" w:color="auto" w:fill="auto"/>
            <w:vAlign w:val="bottom"/>
          </w:tcPr>
          <w:p w14:paraId="041A28DE"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набора высоты, мин</w:t>
            </w:r>
          </w:p>
        </w:tc>
        <w:tc>
          <w:tcPr>
            <w:tcW w:w="1992" w:type="dxa"/>
            <w:tcBorders>
              <w:right w:val="single" w:sz="4" w:space="0" w:color="auto"/>
            </w:tcBorders>
            <w:shd w:val="clear" w:color="auto" w:fill="auto"/>
            <w:vAlign w:val="bottom"/>
          </w:tcPr>
          <w:p w14:paraId="7A9E8CDC"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10,67/1000</w:t>
            </w:r>
          </w:p>
        </w:tc>
      </w:tr>
      <w:tr w:rsidR="00FE1090" w:rsidRPr="00441F34" w14:paraId="7C16CD8C" w14:textId="77777777" w:rsidTr="004B2EA4">
        <w:trPr>
          <w:trHeight w:val="226"/>
        </w:trPr>
        <w:tc>
          <w:tcPr>
            <w:tcW w:w="3682" w:type="dxa"/>
            <w:tcBorders>
              <w:left w:val="single" w:sz="4" w:space="0" w:color="auto"/>
            </w:tcBorders>
            <w:shd w:val="clear" w:color="auto" w:fill="auto"/>
          </w:tcPr>
          <w:p w14:paraId="1381176A" w14:textId="77777777" w:rsidR="00FE1090" w:rsidRPr="00441F34" w:rsidRDefault="00FE1090" w:rsidP="004B2EA4">
            <w:pPr>
              <w:spacing w:after="0" w:line="240" w:lineRule="auto"/>
              <w:jc w:val="both"/>
              <w:rPr>
                <w:rFonts w:ascii="Times New Roman" w:hAnsi="Times New Roman"/>
                <w:color w:val="0070C0"/>
                <w:sz w:val="16"/>
                <w:szCs w:val="16"/>
              </w:rPr>
            </w:pPr>
          </w:p>
        </w:tc>
        <w:tc>
          <w:tcPr>
            <w:tcW w:w="1992" w:type="dxa"/>
            <w:tcBorders>
              <w:right w:val="single" w:sz="4" w:space="0" w:color="auto"/>
            </w:tcBorders>
            <w:shd w:val="clear" w:color="auto" w:fill="auto"/>
            <w:vAlign w:val="bottom"/>
          </w:tcPr>
          <w:p w14:paraId="5A6BFEB2"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39,20/3000</w:t>
            </w:r>
          </w:p>
        </w:tc>
      </w:tr>
      <w:tr w:rsidR="00FE1090" w:rsidRPr="00441F34" w14:paraId="5AE364F5" w14:textId="77777777" w:rsidTr="004B2EA4">
        <w:trPr>
          <w:trHeight w:val="221"/>
        </w:trPr>
        <w:tc>
          <w:tcPr>
            <w:tcW w:w="3682" w:type="dxa"/>
            <w:tcBorders>
              <w:left w:val="single" w:sz="4" w:space="0" w:color="auto"/>
            </w:tcBorders>
            <w:shd w:val="clear" w:color="auto" w:fill="auto"/>
          </w:tcPr>
          <w:p w14:paraId="11D880BA"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Посадочная скорость, км/ч</w:t>
            </w:r>
          </w:p>
        </w:tc>
        <w:tc>
          <w:tcPr>
            <w:tcW w:w="1992" w:type="dxa"/>
            <w:tcBorders>
              <w:right w:val="single" w:sz="4" w:space="0" w:color="auto"/>
            </w:tcBorders>
            <w:shd w:val="clear" w:color="auto" w:fill="auto"/>
          </w:tcPr>
          <w:p w14:paraId="39CF25A1"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112</w:t>
            </w:r>
          </w:p>
        </w:tc>
      </w:tr>
      <w:tr w:rsidR="00FE1090" w:rsidRPr="00441F34" w14:paraId="165D5302" w14:textId="77777777" w:rsidTr="004B2EA4">
        <w:trPr>
          <w:trHeight w:val="216"/>
        </w:trPr>
        <w:tc>
          <w:tcPr>
            <w:tcW w:w="3682" w:type="dxa"/>
            <w:tcBorders>
              <w:left w:val="single" w:sz="4" w:space="0" w:color="auto"/>
            </w:tcBorders>
            <w:shd w:val="clear" w:color="auto" w:fill="auto"/>
          </w:tcPr>
          <w:p w14:paraId="60A4F22E"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Практический потолок, м</w:t>
            </w:r>
          </w:p>
        </w:tc>
        <w:tc>
          <w:tcPr>
            <w:tcW w:w="1992" w:type="dxa"/>
            <w:tcBorders>
              <w:right w:val="single" w:sz="4" w:space="0" w:color="auto"/>
            </w:tcBorders>
            <w:shd w:val="clear" w:color="auto" w:fill="auto"/>
          </w:tcPr>
          <w:p w14:paraId="32EBAD1F"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3580</w:t>
            </w:r>
          </w:p>
        </w:tc>
      </w:tr>
      <w:tr w:rsidR="00FE1090" w:rsidRPr="00441F34" w14:paraId="27FCF652" w14:textId="77777777" w:rsidTr="004B2EA4">
        <w:trPr>
          <w:trHeight w:val="216"/>
        </w:trPr>
        <w:tc>
          <w:tcPr>
            <w:tcW w:w="3682" w:type="dxa"/>
            <w:tcBorders>
              <w:left w:val="single" w:sz="4" w:space="0" w:color="auto"/>
            </w:tcBorders>
            <w:shd w:val="clear" w:color="auto" w:fill="auto"/>
          </w:tcPr>
          <w:p w14:paraId="154637EA"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Дальность полета, км</w:t>
            </w:r>
          </w:p>
        </w:tc>
        <w:tc>
          <w:tcPr>
            <w:tcW w:w="1992" w:type="dxa"/>
            <w:tcBorders>
              <w:right w:val="single" w:sz="4" w:space="0" w:color="auto"/>
            </w:tcBorders>
            <w:shd w:val="clear" w:color="auto" w:fill="auto"/>
          </w:tcPr>
          <w:p w14:paraId="41DBCAB9"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695</w:t>
            </w:r>
          </w:p>
        </w:tc>
      </w:tr>
      <w:tr w:rsidR="00FE1090" w:rsidRPr="00441F34" w14:paraId="7E84B847" w14:textId="77777777" w:rsidTr="004B2EA4">
        <w:trPr>
          <w:trHeight w:val="226"/>
        </w:trPr>
        <w:tc>
          <w:tcPr>
            <w:tcW w:w="3682" w:type="dxa"/>
            <w:tcBorders>
              <w:left w:val="single" w:sz="4" w:space="0" w:color="auto"/>
            </w:tcBorders>
            <w:shd w:val="clear" w:color="auto" w:fill="auto"/>
            <w:vAlign w:val="bottom"/>
          </w:tcPr>
          <w:p w14:paraId="2E827CD6"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Вооружение</w:t>
            </w:r>
          </w:p>
        </w:tc>
        <w:tc>
          <w:tcPr>
            <w:tcW w:w="1992" w:type="dxa"/>
            <w:tcBorders>
              <w:right w:val="single" w:sz="4" w:space="0" w:color="auto"/>
            </w:tcBorders>
            <w:shd w:val="clear" w:color="auto" w:fill="auto"/>
          </w:tcPr>
          <w:p w14:paraId="5EFBD76F" w14:textId="77777777" w:rsidR="00FE1090" w:rsidRPr="00441F34" w:rsidRDefault="00FE1090" w:rsidP="004B2EA4">
            <w:pPr>
              <w:spacing w:after="0" w:line="240" w:lineRule="auto"/>
              <w:jc w:val="both"/>
              <w:rPr>
                <w:rFonts w:ascii="Times New Roman" w:hAnsi="Times New Roman"/>
                <w:color w:val="0070C0"/>
                <w:sz w:val="16"/>
                <w:szCs w:val="16"/>
              </w:rPr>
            </w:pPr>
          </w:p>
        </w:tc>
      </w:tr>
      <w:tr w:rsidR="00FE1090" w:rsidRPr="00441F34" w14:paraId="263D790C" w14:textId="77777777" w:rsidTr="004B2EA4">
        <w:trPr>
          <w:trHeight w:val="216"/>
        </w:trPr>
        <w:tc>
          <w:tcPr>
            <w:tcW w:w="3682" w:type="dxa"/>
            <w:tcBorders>
              <w:left w:val="single" w:sz="4" w:space="0" w:color="auto"/>
            </w:tcBorders>
            <w:shd w:val="clear" w:color="auto" w:fill="auto"/>
          </w:tcPr>
          <w:p w14:paraId="449E7EC5"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стрелковое (число х калибр, мм)</w:t>
            </w:r>
          </w:p>
        </w:tc>
        <w:tc>
          <w:tcPr>
            <w:tcW w:w="1992" w:type="dxa"/>
            <w:tcBorders>
              <w:right w:val="single" w:sz="4" w:space="0" w:color="auto"/>
            </w:tcBorders>
            <w:shd w:val="clear" w:color="auto" w:fill="auto"/>
          </w:tcPr>
          <w:p w14:paraId="0F721287"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5x7,62</w:t>
            </w:r>
          </w:p>
        </w:tc>
      </w:tr>
      <w:tr w:rsidR="00FE1090" w:rsidRPr="00441F34" w14:paraId="443DAF9E" w14:textId="77777777" w:rsidTr="004B2EA4">
        <w:trPr>
          <w:trHeight w:val="221"/>
        </w:trPr>
        <w:tc>
          <w:tcPr>
            <w:tcW w:w="3682" w:type="dxa"/>
            <w:tcBorders>
              <w:left w:val="single" w:sz="4" w:space="0" w:color="auto"/>
            </w:tcBorders>
            <w:shd w:val="clear" w:color="auto" w:fill="auto"/>
          </w:tcPr>
          <w:p w14:paraId="1F597716"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бомбовой нагрузки, кг</w:t>
            </w:r>
          </w:p>
        </w:tc>
        <w:tc>
          <w:tcPr>
            <w:tcW w:w="1992" w:type="dxa"/>
            <w:tcBorders>
              <w:right w:val="single" w:sz="4" w:space="0" w:color="auto"/>
            </w:tcBorders>
            <w:shd w:val="clear" w:color="auto" w:fill="auto"/>
          </w:tcPr>
          <w:p w14:paraId="463A4389"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900</w:t>
            </w:r>
          </w:p>
        </w:tc>
      </w:tr>
      <w:tr w:rsidR="00FE1090" w:rsidRPr="00441F34" w14:paraId="506A1E50" w14:textId="77777777" w:rsidTr="004B2EA4">
        <w:trPr>
          <w:trHeight w:val="326"/>
        </w:trPr>
        <w:tc>
          <w:tcPr>
            <w:tcW w:w="3682" w:type="dxa"/>
            <w:tcBorders>
              <w:left w:val="single" w:sz="4" w:space="0" w:color="auto"/>
              <w:bottom w:val="single" w:sz="4" w:space="0" w:color="auto"/>
            </w:tcBorders>
            <w:shd w:val="clear" w:color="auto" w:fill="auto"/>
          </w:tcPr>
          <w:p w14:paraId="0D8719DE"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Экипаж, чел.</w:t>
            </w:r>
          </w:p>
        </w:tc>
        <w:tc>
          <w:tcPr>
            <w:tcW w:w="1992" w:type="dxa"/>
            <w:tcBorders>
              <w:bottom w:val="single" w:sz="4" w:space="0" w:color="auto"/>
              <w:right w:val="single" w:sz="4" w:space="0" w:color="auto"/>
            </w:tcBorders>
            <w:shd w:val="clear" w:color="auto" w:fill="auto"/>
          </w:tcPr>
          <w:p w14:paraId="12F8087B" w14:textId="77777777" w:rsidR="00FE1090" w:rsidRPr="00441F34" w:rsidRDefault="00FE1090"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w:t>
            </w:r>
          </w:p>
        </w:tc>
      </w:tr>
    </w:tbl>
    <w:p w14:paraId="1219D5C8" w14:textId="77777777" w:rsidR="00FE1090" w:rsidRPr="00441F34" w:rsidRDefault="00FE1090" w:rsidP="00FE109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(23474).</w:t>
      </w:r>
    </w:p>
    <w:p w14:paraId="042B10A8" w14:textId="77777777" w:rsidR="00FE1090" w:rsidRPr="00441F34" w:rsidRDefault="00FE1090" w:rsidP="00FE1090">
      <w:pPr>
        <w:spacing w:after="0" w:line="240" w:lineRule="auto"/>
        <w:jc w:val="both"/>
        <w:rPr>
          <w:rFonts w:ascii="Times New Roman" w:hAnsi="Times New Roman"/>
          <w:color w:val="0070C0"/>
          <w:sz w:val="16"/>
          <w:szCs w:val="16"/>
        </w:rPr>
      </w:pPr>
    </w:p>
    <w:p w14:paraId="4AE7A9B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467BED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10BE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января 1931 г. на базе Всесоюзному объедине</w:t>
      </w:r>
      <w:r w:rsidRPr="007122AB">
        <w:rPr>
          <w:rFonts w:ascii="Times New Roman" w:hAnsi="Times New Roman"/>
          <w:color w:val="000000" w:themeColor="text1"/>
          <w:sz w:val="16"/>
          <w:szCs w:val="16"/>
        </w:rPr>
        <w:softHyphen/>
        <w:t>нию морского транспорта в составе НКПС постановлением ЦИК и СНК СССР был создан общесоюзный Наркомат водного транспорта (</w:t>
      </w:r>
      <w:proofErr w:type="spellStart"/>
      <w:r w:rsidRPr="007122AB">
        <w:rPr>
          <w:rFonts w:ascii="Times New Roman" w:hAnsi="Times New Roman"/>
          <w:color w:val="000000" w:themeColor="text1"/>
          <w:sz w:val="16"/>
          <w:szCs w:val="16"/>
        </w:rPr>
        <w:t>Наркомвод</w:t>
      </w:r>
      <w:proofErr w:type="spellEnd"/>
      <w:r w:rsidRPr="007122AB">
        <w:rPr>
          <w:rFonts w:ascii="Times New Roman" w:hAnsi="Times New Roman"/>
          <w:color w:val="000000" w:themeColor="text1"/>
          <w:sz w:val="16"/>
          <w:szCs w:val="16"/>
        </w:rPr>
        <w:t>) (3898).</w:t>
      </w:r>
    </w:p>
    <w:p w14:paraId="1C798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B89DC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E89927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C3C6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30 января 1931 г. на </w:t>
      </w:r>
      <w:proofErr w:type="spellStart"/>
      <w:r w:rsidRPr="007122AB">
        <w:rPr>
          <w:rFonts w:ascii="Times New Roman" w:hAnsi="Times New Roman"/>
          <w:color w:val="000000" w:themeColor="text1"/>
          <w:sz w:val="16"/>
          <w:szCs w:val="16"/>
        </w:rPr>
        <w:t>военскладах</w:t>
      </w:r>
      <w:proofErr w:type="spellEnd"/>
      <w:r w:rsidRPr="007122AB">
        <w:rPr>
          <w:rFonts w:ascii="Times New Roman" w:hAnsi="Times New Roman"/>
          <w:color w:val="000000" w:themeColor="text1"/>
          <w:sz w:val="16"/>
          <w:szCs w:val="16"/>
        </w:rPr>
        <w:t xml:space="preserve"> и в учебных заведениях РККА имелось танков типа «Б» - 44 шт. (из которых 9 шт. снятые с вооружения), типа «С» - 12 шт. (все сняты с вооружения), «Русский «Рено» - 15 шт. (все сняты с вооружения), французский «Рено» - 13 шт. (все сняты с вооружения) (10733,58).</w:t>
      </w:r>
    </w:p>
    <w:p w14:paraId="67B25B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614789"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30 января 1931 г., согласно «Справке о наличии танков старых систем», в РККА имелось следующее количество машин периода Гражданской войны:</w:t>
      </w:r>
    </w:p>
    <w:p w14:paraId="6F021959"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«Рикардо»:</w:t>
      </w:r>
    </w:p>
    <w:p w14:paraId="3E936F95"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Отдельный учебный танковый полк 12 шт.,</w:t>
      </w:r>
    </w:p>
    <w:p w14:paraId="392C7189"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Склад №37 - 28 (из них 6 на ходу),</w:t>
      </w:r>
    </w:p>
    <w:p w14:paraId="790C5667"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w:t>
      </w:r>
      <w:proofErr w:type="spellStart"/>
      <w:r w:rsidRPr="007122AB">
        <w:rPr>
          <w:rFonts w:ascii="Times New Roman" w:eastAsia="Times New Roman" w:hAnsi="Times New Roman"/>
          <w:color w:val="000000" w:themeColor="text1"/>
          <w:sz w:val="16"/>
          <w:szCs w:val="16"/>
          <w:lang w:eastAsia="ru-RU"/>
        </w:rPr>
        <w:t>Бронекомандные</w:t>
      </w:r>
      <w:proofErr w:type="spellEnd"/>
      <w:r w:rsidRPr="007122AB">
        <w:rPr>
          <w:rFonts w:ascii="Times New Roman" w:eastAsia="Times New Roman" w:hAnsi="Times New Roman"/>
          <w:color w:val="000000" w:themeColor="text1"/>
          <w:sz w:val="16"/>
          <w:szCs w:val="16"/>
          <w:lang w:eastAsia="ru-RU"/>
        </w:rPr>
        <w:t xml:space="preserve"> курсы -1шт.,</w:t>
      </w:r>
    </w:p>
    <w:p w14:paraId="695BB21D"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4. Военно-техническая академия -1шт.,</w:t>
      </w:r>
    </w:p>
    <w:p w14:paraId="7DCCF6BF"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5. Орловская танковая школа - 1шт.,</w:t>
      </w:r>
    </w:p>
    <w:p w14:paraId="3B22F306"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6. Научно-испытательный полигон - 1 шт.</w:t>
      </w:r>
    </w:p>
    <w:p w14:paraId="46D20DE9"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Всего 44 шт. (из них 9 шт. по Постановлению РВС с вооружения сняты).</w:t>
      </w:r>
    </w:p>
    <w:p w14:paraId="036C9098"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Примечание. Из числа «Рикардо», находящихся на складе, необходимо выдать 5 шт. полигонам и частям.</w:t>
      </w:r>
    </w:p>
    <w:p w14:paraId="76F3CEBD"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«Тейлор»:</w:t>
      </w:r>
    </w:p>
    <w:p w14:paraId="024F195B"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Склад №37 -8 шт.,</w:t>
      </w:r>
    </w:p>
    <w:p w14:paraId="2F8C72BB"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Военно-техническая академия - 1 шт.,</w:t>
      </w:r>
    </w:p>
    <w:p w14:paraId="3A1A2C07"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Орловская танковая школа - 1 шт.,</w:t>
      </w:r>
    </w:p>
    <w:p w14:paraId="1917ECF3"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4. </w:t>
      </w:r>
      <w:proofErr w:type="spellStart"/>
      <w:r w:rsidRPr="007122AB">
        <w:rPr>
          <w:rFonts w:ascii="Times New Roman" w:eastAsia="Times New Roman" w:hAnsi="Times New Roman"/>
          <w:color w:val="000000" w:themeColor="text1"/>
          <w:sz w:val="16"/>
          <w:szCs w:val="16"/>
          <w:lang w:eastAsia="ru-RU"/>
        </w:rPr>
        <w:t>Бронекомандные</w:t>
      </w:r>
      <w:proofErr w:type="spellEnd"/>
      <w:r w:rsidRPr="007122AB">
        <w:rPr>
          <w:rFonts w:ascii="Times New Roman" w:eastAsia="Times New Roman" w:hAnsi="Times New Roman"/>
          <w:color w:val="000000" w:themeColor="text1"/>
          <w:sz w:val="16"/>
          <w:szCs w:val="16"/>
          <w:lang w:eastAsia="ru-RU"/>
        </w:rPr>
        <w:t xml:space="preserve"> курсы - 1 шт.,</w:t>
      </w:r>
    </w:p>
    <w:p w14:paraId="45E9E90A"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5. 11-я авиабригада - 1 шт.</w:t>
      </w:r>
    </w:p>
    <w:p w14:paraId="399DF867"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Всего 12 шт.(с вооружения сняты).</w:t>
      </w:r>
    </w:p>
    <w:p w14:paraId="7C4F641A"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Примечание. Из числа «Тейлор», находящихся на складе №37 необходимо выдать 8 шт. полигонам и частям.</w:t>
      </w:r>
    </w:p>
    <w:p w14:paraId="0CC02DBD"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«Рено»-русский:</w:t>
      </w:r>
    </w:p>
    <w:p w14:paraId="43A75B8A"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w:t>
      </w:r>
      <w:proofErr w:type="spellStart"/>
      <w:r w:rsidRPr="007122AB">
        <w:rPr>
          <w:rFonts w:ascii="Times New Roman" w:eastAsia="Times New Roman" w:hAnsi="Times New Roman"/>
          <w:color w:val="000000" w:themeColor="text1"/>
          <w:sz w:val="16"/>
          <w:szCs w:val="16"/>
          <w:lang w:eastAsia="ru-RU"/>
        </w:rPr>
        <w:t>Бронекомандные</w:t>
      </w:r>
      <w:proofErr w:type="spellEnd"/>
      <w:r w:rsidRPr="007122AB">
        <w:rPr>
          <w:rFonts w:ascii="Times New Roman" w:eastAsia="Times New Roman" w:hAnsi="Times New Roman"/>
          <w:color w:val="000000" w:themeColor="text1"/>
          <w:sz w:val="16"/>
          <w:szCs w:val="16"/>
          <w:lang w:eastAsia="ru-RU"/>
        </w:rPr>
        <w:t xml:space="preserve"> курсы - 1 шт.,</w:t>
      </w:r>
    </w:p>
    <w:p w14:paraId="066F9999"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Гражданские ВУЗы -9 шт.,</w:t>
      </w:r>
    </w:p>
    <w:p w14:paraId="02643B9B"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2-й танковый полк - 1шт.,</w:t>
      </w:r>
    </w:p>
    <w:p w14:paraId="5A4F658D"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4. Военно-техническая академия - 2 шт.,</w:t>
      </w:r>
    </w:p>
    <w:p w14:paraId="32F7AD90"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5. Орловская танковая школа - 1 шт.,</w:t>
      </w:r>
    </w:p>
    <w:p w14:paraId="62CA47E6"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6. ВЭО ЦЛПС. - 1 шт.</w:t>
      </w:r>
    </w:p>
    <w:p w14:paraId="0535338D"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Всего 15 шт. (с вооружения сняты).</w:t>
      </w:r>
    </w:p>
    <w:p w14:paraId="65075866"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«Рено» - французский:</w:t>
      </w:r>
    </w:p>
    <w:p w14:paraId="65D73963"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Гражданские ВУЗы - 1шт.,</w:t>
      </w:r>
    </w:p>
    <w:p w14:paraId="0CC1803B"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Орловская танковая школа -1шт.,</w:t>
      </w:r>
    </w:p>
    <w:p w14:paraId="7661152C"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Осоавиахим -5 шт.,</w:t>
      </w:r>
    </w:p>
    <w:p w14:paraId="05762C9A"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4.11-я авиабригада - 1 шт.,</w:t>
      </w:r>
    </w:p>
    <w:p w14:paraId="2199CDEA"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5. Научно-испытательный полигон - 1шт.,</w:t>
      </w:r>
    </w:p>
    <w:p w14:paraId="247D45CD"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6. Склад №37 - 3 шт. (из них один для обучения начсостава).</w:t>
      </w:r>
    </w:p>
    <w:p w14:paraId="74EBA15C"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Всего 13 шт. (с вооружения сняты).</w:t>
      </w:r>
    </w:p>
    <w:p w14:paraId="0E9A491A" w14:textId="77777777" w:rsidR="00164C8C" w:rsidRPr="007122AB" w:rsidRDefault="00164C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Примечание. Из 3 шт. «Рено» французский, находящихся на складе, необходимо выдать полигонам и частям - 2 шт.» (17731).</w:t>
      </w:r>
    </w:p>
    <w:p w14:paraId="4FF31587" w14:textId="77777777" w:rsidR="00164C8C" w:rsidRPr="007122AB" w:rsidRDefault="00164C8C" w:rsidP="007122AB">
      <w:pPr>
        <w:spacing w:after="0" w:line="240" w:lineRule="auto"/>
        <w:jc w:val="both"/>
        <w:rPr>
          <w:rFonts w:ascii="Times New Roman" w:hAnsi="Times New Roman"/>
          <w:color w:val="000000" w:themeColor="text1"/>
          <w:sz w:val="16"/>
          <w:szCs w:val="16"/>
        </w:rPr>
      </w:pPr>
    </w:p>
    <w:p w14:paraId="3B8DC6E4" w14:textId="77777777" w:rsidR="00164C8C" w:rsidRPr="007122AB" w:rsidRDefault="00164C8C" w:rsidP="007122AB">
      <w:pPr>
        <w:pStyle w:val="ae"/>
        <w:spacing w:before="0" w:after="0"/>
        <w:jc w:val="both"/>
        <w:textAlignment w:val="baseline"/>
        <w:rPr>
          <w:color w:val="000000" w:themeColor="text1"/>
          <w:sz w:val="16"/>
          <w:szCs w:val="16"/>
        </w:rPr>
      </w:pPr>
      <w:r w:rsidRPr="007122AB">
        <w:rPr>
          <w:color w:val="000000" w:themeColor="text1"/>
          <w:sz w:val="16"/>
          <w:szCs w:val="16"/>
        </w:rPr>
        <w:lastRenderedPageBreak/>
        <w:t>К 30 января 1931 года все «Рено-русские» были сняты с вооружения и распределены по училищам в качестве наглядных пособий (17714)</w:t>
      </w:r>
    </w:p>
    <w:p w14:paraId="4913F36B" w14:textId="77777777" w:rsidR="00164C8C" w:rsidRPr="007122AB" w:rsidRDefault="00164C8C" w:rsidP="007122AB">
      <w:pPr>
        <w:spacing w:after="0" w:line="240" w:lineRule="auto"/>
        <w:jc w:val="both"/>
        <w:rPr>
          <w:rFonts w:ascii="Times New Roman" w:hAnsi="Times New Roman"/>
          <w:color w:val="000000" w:themeColor="text1"/>
          <w:sz w:val="16"/>
          <w:szCs w:val="16"/>
        </w:rPr>
      </w:pPr>
    </w:p>
    <w:p w14:paraId="1D6E1A81" w14:textId="77777777" w:rsidR="00C41B2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3FB770B" w14:textId="77777777" w:rsidR="00C41B25" w:rsidRPr="007122AB" w:rsidRDefault="00C41B2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12B2F9" w14:textId="77777777" w:rsidR="00C41B25" w:rsidRPr="007122AB" w:rsidRDefault="00C41B2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30 января</w:t>
      </w:r>
      <w:r w:rsidRPr="007122AB">
        <w:rPr>
          <w:rFonts w:ascii="Times New Roman" w:hAnsi="Times New Roman"/>
          <w:color w:val="000000" w:themeColor="text1"/>
          <w:sz w:val="16"/>
          <w:szCs w:val="16"/>
        </w:rPr>
        <w:t xml:space="preserve"> в 1931 году прототип </w:t>
      </w:r>
      <w:hyperlink r:id="rId11" w:tgtFrame="_blank" w:history="1">
        <w:r w:rsidRPr="007122AB">
          <w:rPr>
            <w:rFonts w:ascii="Times New Roman" w:hAnsi="Times New Roman"/>
            <w:color w:val="000000" w:themeColor="text1"/>
            <w:sz w:val="16"/>
            <w:szCs w:val="16"/>
          </w:rPr>
          <w:t xml:space="preserve">«Bre.391T» </w:t>
        </w:r>
      </w:hyperlink>
      <w:r w:rsidRPr="007122AB">
        <w:rPr>
          <w:rFonts w:ascii="Times New Roman" w:hAnsi="Times New Roman"/>
          <w:color w:val="000000" w:themeColor="text1"/>
          <w:sz w:val="16"/>
          <w:szCs w:val="16"/>
        </w:rPr>
        <w:t>впервые поднялся в воздух. Летал недолго и 3 июля разбился.</w:t>
      </w:r>
    </w:p>
    <w:p w14:paraId="4568A2FE" w14:textId="77777777" w:rsidR="00C41B25" w:rsidRPr="007122AB" w:rsidRDefault="00C41B2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Прототип «Bre.391T» имел цельнометаллический фюзеляж. Трёхмоторный полутораплан классической схемы смешанной конструкции. Фюзеляж - прямоугольного сечения. Каркас металлический. Обшивка передней части дюралевая, остальная полотняная. Впереди моторный отсек, двигатель закрыт капотом «NACA». Далее закрытая 2-х местная пилотская кабина. За ней 10-местный пассажирский салон. По два кресла в ряду, между ними проход. Крыло - прямоугольное. Каркас металлический. Обшивка гладкая дюралевая. Двигатель - три поршневых двигателя, один установлен в носу, два на нижнем крыле: «</w:t>
      </w:r>
      <w:proofErr w:type="spellStart"/>
      <w:r w:rsidRPr="007122AB">
        <w:rPr>
          <w:rFonts w:ascii="Times New Roman" w:hAnsi="Times New Roman"/>
          <w:color w:val="000000" w:themeColor="text1"/>
          <w:sz w:val="16"/>
          <w:szCs w:val="16"/>
        </w:rPr>
        <w:t>Gnôme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Rhône</w:t>
      </w:r>
      <w:proofErr w:type="spellEnd"/>
      <w:r w:rsidRPr="007122AB">
        <w:rPr>
          <w:rFonts w:ascii="Times New Roman" w:hAnsi="Times New Roman"/>
          <w:color w:val="000000" w:themeColor="text1"/>
          <w:sz w:val="16"/>
          <w:szCs w:val="16"/>
        </w:rPr>
        <w:t>» «5Kd» «Titan» - 238 л.с./ 176 кВт - звёздообразный («Bre.391T»);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«9Qc» - 300 л.с./ 224 кВт - (Bre.392T) винт двухлопастный цельнометаллический. Оперение - однокилевое с двумя стабилизаторами. Шасси - двухстоечное с хвостовым колесом. По одному колесу на каждой стойке. Колёса покрыты обтекателями. Лишь третий прототип – «Bre.393T» («F-ANEH») с двигателем «</w:t>
      </w:r>
      <w:proofErr w:type="spellStart"/>
      <w:r w:rsidRPr="007122AB">
        <w:rPr>
          <w:rFonts w:ascii="Times New Roman" w:hAnsi="Times New Roman"/>
          <w:color w:val="000000" w:themeColor="text1"/>
          <w:sz w:val="16"/>
          <w:szCs w:val="16"/>
        </w:rPr>
        <w:t>Gnôme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Rhône</w:t>
      </w:r>
      <w:proofErr w:type="spellEnd"/>
      <w:r w:rsidRPr="007122AB">
        <w:rPr>
          <w:rFonts w:ascii="Times New Roman" w:hAnsi="Times New Roman"/>
          <w:color w:val="000000" w:themeColor="text1"/>
          <w:sz w:val="16"/>
          <w:szCs w:val="16"/>
        </w:rPr>
        <w:t xml:space="preserve">» «7Kd» «Titan Major» - 350 л.с./ 257 кВт – звёздообразный, получился конструктивно удачным. Металлическую обшивку фюзеляжа заменили на полотняную, переделали </w:t>
      </w:r>
      <w:proofErr w:type="spellStart"/>
      <w:r w:rsidRPr="007122AB">
        <w:rPr>
          <w:rFonts w:ascii="Times New Roman" w:hAnsi="Times New Roman"/>
          <w:color w:val="000000" w:themeColor="text1"/>
          <w:sz w:val="16"/>
          <w:szCs w:val="16"/>
        </w:rPr>
        <w:t>межкрыльевые</w:t>
      </w:r>
      <w:proofErr w:type="spellEnd"/>
      <w:r w:rsidRPr="007122AB">
        <w:rPr>
          <w:rFonts w:ascii="Times New Roman" w:hAnsi="Times New Roman"/>
          <w:color w:val="000000" w:themeColor="text1"/>
          <w:sz w:val="16"/>
          <w:szCs w:val="16"/>
        </w:rPr>
        <w:t xml:space="preserve"> подкосы, установили хвостовое колесо и обтекатели на колёса главных стоек шасси (15025).</w:t>
      </w:r>
    </w:p>
    <w:p w14:paraId="5A41CE61" w14:textId="77777777" w:rsidR="00C41B25" w:rsidRPr="007122AB" w:rsidRDefault="00C41B25" w:rsidP="007122AB">
      <w:pPr>
        <w:spacing w:after="0" w:line="240" w:lineRule="auto"/>
        <w:jc w:val="both"/>
        <w:rPr>
          <w:rFonts w:ascii="Times New Roman" w:hAnsi="Times New Roman"/>
          <w:color w:val="000000" w:themeColor="text1"/>
          <w:sz w:val="16"/>
          <w:szCs w:val="16"/>
        </w:rPr>
      </w:pPr>
    </w:p>
    <w:p w14:paraId="299737F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94A67E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7FED38"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января 1931 г. ЦАГИ запросил из НИИ ВВС истребитель И-4, на котором предпола</w:t>
      </w:r>
      <w:r w:rsidRPr="007122AB">
        <w:rPr>
          <w:rFonts w:ascii="Times New Roman" w:hAnsi="Times New Roman"/>
          <w:color w:val="000000" w:themeColor="text1"/>
          <w:sz w:val="16"/>
          <w:szCs w:val="16"/>
        </w:rPr>
        <w:softHyphen/>
        <w:t>галось произвести все необходимые усовер</w:t>
      </w:r>
      <w:r w:rsidRPr="007122AB">
        <w:rPr>
          <w:rFonts w:ascii="Times New Roman" w:hAnsi="Times New Roman"/>
          <w:color w:val="000000" w:themeColor="text1"/>
          <w:sz w:val="16"/>
          <w:szCs w:val="16"/>
        </w:rPr>
        <w:softHyphen/>
        <w:t>шенствования и изменения. Был выделен И-4 (зав. №1502), который по причине за</w:t>
      </w:r>
      <w:r w:rsidRPr="007122AB">
        <w:rPr>
          <w:rFonts w:ascii="Times New Roman" w:hAnsi="Times New Roman"/>
          <w:color w:val="000000" w:themeColor="text1"/>
          <w:sz w:val="16"/>
          <w:szCs w:val="16"/>
        </w:rPr>
        <w:softHyphen/>
        <w:t>метного износа участвовал лишь в наземных опытах и отработках системы. Для практиче</w:t>
      </w:r>
      <w:r w:rsidRPr="007122AB">
        <w:rPr>
          <w:rFonts w:ascii="Times New Roman" w:hAnsi="Times New Roman"/>
          <w:color w:val="000000" w:themeColor="text1"/>
          <w:sz w:val="16"/>
          <w:szCs w:val="16"/>
        </w:rPr>
        <w:softHyphen/>
        <w:t>ских полетов использовались другие маши</w:t>
      </w:r>
      <w:r w:rsidRPr="007122AB">
        <w:rPr>
          <w:rFonts w:ascii="Times New Roman" w:hAnsi="Times New Roman"/>
          <w:color w:val="000000" w:themeColor="text1"/>
          <w:sz w:val="16"/>
          <w:szCs w:val="16"/>
        </w:rPr>
        <w:softHyphen/>
        <w:t>ны: два достаточно новых серийных И-4 — №1651 и №1655, и ТБ-1 №651.</w:t>
      </w:r>
    </w:p>
    <w:p w14:paraId="14BC45F4"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Изменения, вносимые в конструкцию са</w:t>
      </w:r>
      <w:r w:rsidRPr="007122AB">
        <w:rPr>
          <w:rFonts w:ascii="Times New Roman" w:hAnsi="Times New Roman"/>
          <w:color w:val="000000" w:themeColor="text1"/>
          <w:sz w:val="16"/>
          <w:szCs w:val="16"/>
        </w:rPr>
        <w:softHyphen/>
        <w:t>молетов, произвели в основном на ТБ-1. На крыле бомбардировщика для установки ис</w:t>
      </w:r>
      <w:r w:rsidRPr="007122AB">
        <w:rPr>
          <w:rFonts w:ascii="Times New Roman" w:hAnsi="Times New Roman"/>
          <w:color w:val="000000" w:themeColor="text1"/>
          <w:sz w:val="16"/>
          <w:szCs w:val="16"/>
        </w:rPr>
        <w:softHyphen/>
        <w:t>требителей с каждой стороны оборудова</w:t>
      </w:r>
      <w:r w:rsidRPr="007122AB">
        <w:rPr>
          <w:rFonts w:ascii="Times New Roman" w:hAnsi="Times New Roman"/>
          <w:color w:val="000000" w:themeColor="text1"/>
          <w:sz w:val="16"/>
          <w:szCs w:val="16"/>
        </w:rPr>
        <w:softHyphen/>
        <w:t>ли по три пирамиды. Две передние пирами</w:t>
      </w:r>
      <w:r w:rsidRPr="007122AB">
        <w:rPr>
          <w:rFonts w:ascii="Times New Roman" w:hAnsi="Times New Roman"/>
          <w:color w:val="000000" w:themeColor="text1"/>
          <w:sz w:val="16"/>
          <w:szCs w:val="16"/>
        </w:rPr>
        <w:softHyphen/>
        <w:t>ды, на которых закреплялись шасси И-4, бы</w:t>
      </w:r>
      <w:r w:rsidRPr="007122AB">
        <w:rPr>
          <w:rFonts w:ascii="Times New Roman" w:hAnsi="Times New Roman"/>
          <w:color w:val="000000" w:themeColor="text1"/>
          <w:sz w:val="16"/>
          <w:szCs w:val="16"/>
        </w:rPr>
        <w:softHyphen/>
        <w:t>ли установлены по оси переднего лонжеро</w:t>
      </w:r>
      <w:r w:rsidRPr="007122AB">
        <w:rPr>
          <w:rFonts w:ascii="Times New Roman" w:hAnsi="Times New Roman"/>
          <w:color w:val="000000" w:themeColor="text1"/>
          <w:sz w:val="16"/>
          <w:szCs w:val="16"/>
        </w:rPr>
        <w:softHyphen/>
        <w:t>на ТБ-1. Каждая пирамида имела специаль</w:t>
      </w:r>
      <w:r w:rsidRPr="007122AB">
        <w:rPr>
          <w:rFonts w:ascii="Times New Roman" w:hAnsi="Times New Roman"/>
          <w:color w:val="000000" w:themeColor="text1"/>
          <w:sz w:val="16"/>
          <w:szCs w:val="16"/>
        </w:rPr>
        <w:softHyphen/>
        <w:t>ный фасонный ложемент (замок), в который входил соответствующий элемент, оборудо</w:t>
      </w:r>
      <w:r w:rsidRPr="007122AB">
        <w:rPr>
          <w:rFonts w:ascii="Times New Roman" w:hAnsi="Times New Roman"/>
          <w:color w:val="000000" w:themeColor="text1"/>
          <w:sz w:val="16"/>
          <w:szCs w:val="16"/>
        </w:rPr>
        <w:softHyphen/>
        <w:t>ванный на шасси истребителя. Третья пира</w:t>
      </w:r>
      <w:r w:rsidRPr="007122AB">
        <w:rPr>
          <w:rFonts w:ascii="Times New Roman" w:hAnsi="Times New Roman"/>
          <w:color w:val="000000" w:themeColor="text1"/>
          <w:sz w:val="16"/>
          <w:szCs w:val="16"/>
        </w:rPr>
        <w:softHyphen/>
        <w:t>мида с расцепляющим замком поддерживала фюзеляж И-4 в районе его 3-й силовой рамы. Так как истребители устанавливались вбли</w:t>
      </w:r>
      <w:r w:rsidRPr="007122AB">
        <w:rPr>
          <w:rFonts w:ascii="Times New Roman" w:hAnsi="Times New Roman"/>
          <w:color w:val="000000" w:themeColor="text1"/>
          <w:sz w:val="16"/>
          <w:szCs w:val="16"/>
        </w:rPr>
        <w:softHyphen/>
        <w:t>зи диска вращающегося воздушного винта бомбардировщика (продольная ось И-4 про</w:t>
      </w:r>
      <w:r w:rsidRPr="007122AB">
        <w:rPr>
          <w:rFonts w:ascii="Times New Roman" w:hAnsi="Times New Roman"/>
          <w:color w:val="000000" w:themeColor="text1"/>
          <w:sz w:val="16"/>
          <w:szCs w:val="16"/>
        </w:rPr>
        <w:softHyphen/>
        <w:t>ходила на расстоянии 307 мм от оси разъема крыла ТБ-1 по направлению к продольной оси последнего) небольшое нижнее крыло на них было снято. Закатывались истребители на крыло самолета-носителя по специально</w:t>
      </w:r>
      <w:r w:rsidRPr="007122AB">
        <w:rPr>
          <w:rFonts w:ascii="Times New Roman" w:hAnsi="Times New Roman"/>
          <w:color w:val="000000" w:themeColor="text1"/>
          <w:sz w:val="16"/>
          <w:szCs w:val="16"/>
        </w:rPr>
        <w:softHyphen/>
        <w:t>му помосту (рампе), снабженному деревян</w:t>
      </w:r>
      <w:r w:rsidRPr="007122AB">
        <w:rPr>
          <w:rFonts w:ascii="Times New Roman" w:hAnsi="Times New Roman"/>
          <w:color w:val="000000" w:themeColor="text1"/>
          <w:sz w:val="16"/>
          <w:szCs w:val="16"/>
        </w:rPr>
        <w:softHyphen/>
        <w:t>ными желобами.</w:t>
      </w:r>
    </w:p>
    <w:p w14:paraId="15D4557E" w14:textId="77777777" w:rsidR="007E4069" w:rsidRPr="007122AB" w:rsidRDefault="007E406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Первое испытание системы «Самолет-звено-1» (СЗ-1) состоялось 3 декабря 1931 года на аэродроме 17-й авиабригады в подмосков</w:t>
      </w:r>
      <w:r w:rsidRPr="007122AB">
        <w:rPr>
          <w:rFonts w:ascii="Times New Roman" w:hAnsi="Times New Roman"/>
          <w:color w:val="000000" w:themeColor="text1"/>
          <w:sz w:val="16"/>
          <w:szCs w:val="16"/>
        </w:rPr>
        <w:softHyphen/>
        <w:t>ном Монино. Первым делом при стоянке на земле были запущены и прогреты двигате</w:t>
      </w:r>
      <w:r w:rsidRPr="007122AB">
        <w:rPr>
          <w:rFonts w:ascii="Times New Roman" w:hAnsi="Times New Roman"/>
          <w:color w:val="000000" w:themeColor="text1"/>
          <w:sz w:val="16"/>
          <w:szCs w:val="16"/>
        </w:rPr>
        <w:softHyphen/>
        <w:t>ли обоих истребителей И-4, после чего аэ</w:t>
      </w:r>
      <w:r w:rsidRPr="007122AB">
        <w:rPr>
          <w:rFonts w:ascii="Times New Roman" w:hAnsi="Times New Roman"/>
          <w:color w:val="000000" w:themeColor="text1"/>
          <w:sz w:val="16"/>
          <w:szCs w:val="16"/>
        </w:rPr>
        <w:softHyphen/>
        <w:t>родромная команда по наклонной рампе за</w:t>
      </w:r>
      <w:r w:rsidRPr="007122AB">
        <w:rPr>
          <w:rFonts w:ascii="Times New Roman" w:hAnsi="Times New Roman"/>
          <w:color w:val="000000" w:themeColor="text1"/>
          <w:sz w:val="16"/>
          <w:szCs w:val="16"/>
        </w:rPr>
        <w:softHyphen/>
        <w:t>катила их на крыло ТБ-1. После соединения всех систем и последующей их тщательной проверки начались пробежки по аэродрому на различных режимах работы двигателей. В 14 часов 30 минут был произведен первый взлет СЗ-1, стартовый вес которого составил 8180 кг (ТБ-1 5640 кг + 2 И-4 2x1270 кг). В ТБ-1 на левом командирском кресле нахо</w:t>
      </w:r>
      <w:r w:rsidRPr="007122AB">
        <w:rPr>
          <w:rFonts w:ascii="Times New Roman" w:hAnsi="Times New Roman"/>
          <w:color w:val="000000" w:themeColor="text1"/>
          <w:sz w:val="16"/>
          <w:szCs w:val="16"/>
        </w:rPr>
        <w:softHyphen/>
        <w:t xml:space="preserve">дился летчик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Андрей Шара</w:t>
      </w:r>
      <w:r w:rsidRPr="007122AB">
        <w:rPr>
          <w:rFonts w:ascii="Times New Roman" w:hAnsi="Times New Roman"/>
          <w:color w:val="000000" w:themeColor="text1"/>
          <w:sz w:val="16"/>
          <w:szCs w:val="16"/>
        </w:rPr>
        <w:softHyphen/>
        <w:t>пов занимал правое сидение носителя, кон</w:t>
      </w:r>
      <w:r w:rsidRPr="007122AB">
        <w:rPr>
          <w:rFonts w:ascii="Times New Roman" w:hAnsi="Times New Roman"/>
          <w:color w:val="000000" w:themeColor="text1"/>
          <w:sz w:val="16"/>
          <w:szCs w:val="16"/>
        </w:rPr>
        <w:softHyphen/>
        <w:t xml:space="preserve">структор Вахмистров — в 1-м люке кормовых стрелков, инженер Морозов - во 2-м люке. Левым И-4 управлял летчик Валерий Чкалов, правым— Александр Анисимов. Взлет СЗ-1 с аэродрома произошел на скорости 140 км/ч без осложнений.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вибраций и излишних давлений на органы управле</w:t>
      </w:r>
      <w:r w:rsidRPr="007122AB">
        <w:rPr>
          <w:rFonts w:ascii="Times New Roman" w:hAnsi="Times New Roman"/>
          <w:color w:val="000000" w:themeColor="text1"/>
          <w:sz w:val="16"/>
          <w:szCs w:val="16"/>
        </w:rPr>
        <w:softHyphen/>
        <w:t>ния при выполнении старта и наборе высо</w:t>
      </w:r>
      <w:r w:rsidRPr="007122AB">
        <w:rPr>
          <w:rFonts w:ascii="Times New Roman" w:hAnsi="Times New Roman"/>
          <w:color w:val="000000" w:themeColor="text1"/>
          <w:sz w:val="16"/>
          <w:szCs w:val="16"/>
        </w:rPr>
        <w:softHyphen/>
        <w:t>ты не отметил. На высоте 1000 м при скоро</w:t>
      </w:r>
      <w:r w:rsidRPr="007122AB">
        <w:rPr>
          <w:rFonts w:ascii="Times New Roman" w:hAnsi="Times New Roman"/>
          <w:color w:val="000000" w:themeColor="text1"/>
          <w:sz w:val="16"/>
          <w:szCs w:val="16"/>
        </w:rPr>
        <w:softHyphen/>
        <w:t>сти 160 км/ч был произведен первый отрыв самолетов от носителя. При этом И-4 Анисимова отцепился с поднятым хвостом, не имея достаточной подъемной силы, поэто</w:t>
      </w:r>
      <w:r w:rsidRPr="007122AB">
        <w:rPr>
          <w:rFonts w:ascii="Times New Roman" w:hAnsi="Times New Roman"/>
          <w:color w:val="000000" w:themeColor="text1"/>
          <w:sz w:val="16"/>
          <w:szCs w:val="16"/>
        </w:rPr>
        <w:softHyphen/>
        <w:t>му соскочил с пирамид, ударился колесом о 3-й лонжерон крыла ТБ-1 и пробил гофри</w:t>
      </w:r>
      <w:r w:rsidRPr="007122AB">
        <w:rPr>
          <w:rFonts w:ascii="Times New Roman" w:hAnsi="Times New Roman"/>
          <w:color w:val="000000" w:themeColor="text1"/>
          <w:sz w:val="16"/>
          <w:szCs w:val="16"/>
        </w:rPr>
        <w:softHyphen/>
        <w:t>рованную обшивку. Воздушный винт истре</w:t>
      </w:r>
      <w:r w:rsidRPr="007122AB">
        <w:rPr>
          <w:rFonts w:ascii="Times New Roman" w:hAnsi="Times New Roman"/>
          <w:color w:val="000000" w:themeColor="text1"/>
          <w:sz w:val="16"/>
          <w:szCs w:val="16"/>
        </w:rPr>
        <w:softHyphen/>
        <w:t>бителя в ходе этого нештатного отцепления задел пирамиду крепления, в результате че</w:t>
      </w:r>
      <w:r w:rsidRPr="007122AB">
        <w:rPr>
          <w:rFonts w:ascii="Times New Roman" w:hAnsi="Times New Roman"/>
          <w:color w:val="000000" w:themeColor="text1"/>
          <w:sz w:val="16"/>
          <w:szCs w:val="16"/>
        </w:rPr>
        <w:softHyphen/>
        <w:t>го лопасть винта и сама пирамида оказались повреждены. Тем не менее эта небольшая не</w:t>
      </w:r>
      <w:r w:rsidRPr="007122AB">
        <w:rPr>
          <w:rFonts w:ascii="Times New Roman" w:hAnsi="Times New Roman"/>
          <w:color w:val="000000" w:themeColor="text1"/>
          <w:sz w:val="16"/>
          <w:szCs w:val="16"/>
        </w:rPr>
        <w:softHyphen/>
        <w:t>приятность не помешала благополучному за</w:t>
      </w:r>
      <w:r w:rsidRPr="007122AB">
        <w:rPr>
          <w:rFonts w:ascii="Times New Roman" w:hAnsi="Times New Roman"/>
          <w:color w:val="000000" w:themeColor="text1"/>
          <w:sz w:val="16"/>
          <w:szCs w:val="16"/>
        </w:rPr>
        <w:softHyphen/>
        <w:t xml:space="preserve">вершению эксперимента — все три самолета успешно приземлились на </w:t>
      </w:r>
      <w:proofErr w:type="spellStart"/>
      <w:r w:rsidRPr="007122AB">
        <w:rPr>
          <w:rFonts w:ascii="Times New Roman" w:hAnsi="Times New Roman"/>
          <w:color w:val="000000" w:themeColor="text1"/>
          <w:sz w:val="16"/>
          <w:szCs w:val="16"/>
        </w:rPr>
        <w:t>Монинском</w:t>
      </w:r>
      <w:proofErr w:type="spellEnd"/>
      <w:r w:rsidRPr="007122AB">
        <w:rPr>
          <w:rFonts w:ascii="Times New Roman" w:hAnsi="Times New Roman"/>
          <w:color w:val="000000" w:themeColor="text1"/>
          <w:sz w:val="16"/>
          <w:szCs w:val="16"/>
        </w:rPr>
        <w:t xml:space="preserve"> аэро</w:t>
      </w:r>
      <w:r w:rsidRPr="007122AB">
        <w:rPr>
          <w:rFonts w:ascii="Times New Roman" w:hAnsi="Times New Roman"/>
          <w:color w:val="000000" w:themeColor="text1"/>
          <w:sz w:val="16"/>
          <w:szCs w:val="16"/>
        </w:rPr>
        <w:softHyphen/>
        <w:t>дроме (12295).</w:t>
      </w:r>
    </w:p>
    <w:p w14:paraId="0DE090ED" w14:textId="77777777" w:rsidR="007E4069" w:rsidRPr="007122AB" w:rsidRDefault="007E4069" w:rsidP="007122AB">
      <w:pPr>
        <w:spacing w:after="0" w:line="240" w:lineRule="auto"/>
        <w:jc w:val="both"/>
        <w:rPr>
          <w:rFonts w:ascii="Times New Roman" w:hAnsi="Times New Roman"/>
          <w:color w:val="000000" w:themeColor="text1"/>
          <w:sz w:val="16"/>
          <w:szCs w:val="16"/>
        </w:rPr>
      </w:pPr>
    </w:p>
    <w:p w14:paraId="38FA5420" w14:textId="77777777" w:rsidR="008D3AB5" w:rsidRPr="007122AB" w:rsidRDefault="008D3A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января 1931 г. ЦАГИ запросил из НИИ ВВС истреби</w:t>
      </w:r>
      <w:r w:rsidRPr="007122AB">
        <w:rPr>
          <w:rFonts w:ascii="Times New Roman" w:hAnsi="Times New Roman"/>
          <w:color w:val="000000" w:themeColor="text1"/>
          <w:sz w:val="16"/>
          <w:szCs w:val="16"/>
        </w:rPr>
        <w:softHyphen/>
        <w:t>тель И-4, на котором предполагалось произвести все не</w:t>
      </w:r>
      <w:r w:rsidRPr="007122AB">
        <w:rPr>
          <w:rFonts w:ascii="Times New Roman" w:hAnsi="Times New Roman"/>
          <w:color w:val="000000" w:themeColor="text1"/>
          <w:sz w:val="16"/>
          <w:szCs w:val="16"/>
        </w:rPr>
        <w:softHyphen/>
        <w:t>обходимые усовершенствования и изменения. Был выде</w:t>
      </w:r>
      <w:r w:rsidRPr="007122AB">
        <w:rPr>
          <w:rFonts w:ascii="Times New Roman" w:hAnsi="Times New Roman"/>
          <w:color w:val="000000" w:themeColor="text1"/>
          <w:sz w:val="16"/>
          <w:szCs w:val="16"/>
        </w:rPr>
        <w:softHyphen/>
        <w:t>лен И-4 (зав. №1502), который по причине заметного из</w:t>
      </w:r>
      <w:r w:rsidRPr="007122AB">
        <w:rPr>
          <w:rFonts w:ascii="Times New Roman" w:hAnsi="Times New Roman"/>
          <w:color w:val="000000" w:themeColor="text1"/>
          <w:sz w:val="16"/>
          <w:szCs w:val="16"/>
        </w:rPr>
        <w:softHyphen/>
        <w:t>носа планера участвовал лишь в наземных опытах и отработках системы. Для практических полетов использо</w:t>
      </w:r>
      <w:r w:rsidRPr="007122AB">
        <w:rPr>
          <w:rFonts w:ascii="Times New Roman" w:hAnsi="Times New Roman"/>
          <w:color w:val="000000" w:themeColor="text1"/>
          <w:sz w:val="16"/>
          <w:szCs w:val="16"/>
        </w:rPr>
        <w:softHyphen/>
        <w:t>вались другие летающие машины: два достаточно новых серийных И-4 (№1651 и №1655) и ТБ-1 №651.</w:t>
      </w:r>
    </w:p>
    <w:p w14:paraId="767A1B26" w14:textId="77777777" w:rsidR="008D3AB5" w:rsidRPr="007122AB" w:rsidRDefault="008D3A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Изменения, вносимые в конструкцию самолетов, произ</w:t>
      </w:r>
      <w:r w:rsidRPr="007122AB">
        <w:rPr>
          <w:rFonts w:ascii="Times New Roman" w:hAnsi="Times New Roman"/>
          <w:color w:val="000000" w:themeColor="text1"/>
          <w:sz w:val="16"/>
          <w:szCs w:val="16"/>
        </w:rPr>
        <w:softHyphen/>
        <w:t>вели в основном на ТБ-1. На крыле бомбардировщика для установки истребителей с каждой стороны оборудо</w:t>
      </w:r>
      <w:r w:rsidRPr="007122AB">
        <w:rPr>
          <w:rFonts w:ascii="Times New Roman" w:hAnsi="Times New Roman"/>
          <w:color w:val="000000" w:themeColor="text1"/>
          <w:sz w:val="16"/>
          <w:szCs w:val="16"/>
        </w:rPr>
        <w:softHyphen/>
        <w:t>вали по три пирамиды. Две передние пирамиды, на кото</w:t>
      </w:r>
      <w:r w:rsidRPr="007122AB">
        <w:rPr>
          <w:rFonts w:ascii="Times New Roman" w:hAnsi="Times New Roman"/>
          <w:color w:val="000000" w:themeColor="text1"/>
          <w:sz w:val="16"/>
          <w:szCs w:val="16"/>
        </w:rPr>
        <w:softHyphen/>
        <w:t>рых закреплялись шасси И-4, были установлены по оси пе</w:t>
      </w:r>
      <w:r w:rsidRPr="007122AB">
        <w:rPr>
          <w:rFonts w:ascii="Times New Roman" w:hAnsi="Times New Roman"/>
          <w:color w:val="000000" w:themeColor="text1"/>
          <w:sz w:val="16"/>
          <w:szCs w:val="16"/>
        </w:rPr>
        <w:softHyphen/>
        <w:t>реднего лонжерона ТБ-1. Каждая пирамида имела специ</w:t>
      </w:r>
      <w:r w:rsidRPr="007122AB">
        <w:rPr>
          <w:rFonts w:ascii="Times New Roman" w:hAnsi="Times New Roman"/>
          <w:color w:val="000000" w:themeColor="text1"/>
          <w:sz w:val="16"/>
          <w:szCs w:val="16"/>
        </w:rPr>
        <w:softHyphen/>
        <w:t>альный фасонный ложемент (замок), в который входил со</w:t>
      </w:r>
      <w:r w:rsidRPr="007122AB">
        <w:rPr>
          <w:rFonts w:ascii="Times New Roman" w:hAnsi="Times New Roman"/>
          <w:color w:val="000000" w:themeColor="text1"/>
          <w:sz w:val="16"/>
          <w:szCs w:val="16"/>
        </w:rPr>
        <w:softHyphen/>
        <w:t>ответствующий элемент, установленный на шасси истре</w:t>
      </w:r>
      <w:r w:rsidRPr="007122AB">
        <w:rPr>
          <w:rFonts w:ascii="Times New Roman" w:hAnsi="Times New Roman"/>
          <w:color w:val="000000" w:themeColor="text1"/>
          <w:sz w:val="16"/>
          <w:szCs w:val="16"/>
        </w:rPr>
        <w:softHyphen/>
        <w:t>бителя. Третья пирамида с расцепляющим замком поддер</w:t>
      </w:r>
      <w:r w:rsidRPr="007122AB">
        <w:rPr>
          <w:rFonts w:ascii="Times New Roman" w:hAnsi="Times New Roman"/>
          <w:color w:val="000000" w:themeColor="text1"/>
          <w:sz w:val="16"/>
          <w:szCs w:val="16"/>
        </w:rPr>
        <w:softHyphen/>
        <w:t>живала фюзеляж И-4 в районе его 3-й силовой рамы. Так как истребители устанавливались вблизи диска вращаю</w:t>
      </w:r>
      <w:r w:rsidRPr="007122AB">
        <w:rPr>
          <w:rFonts w:ascii="Times New Roman" w:hAnsi="Times New Roman"/>
          <w:color w:val="000000" w:themeColor="text1"/>
          <w:sz w:val="16"/>
          <w:szCs w:val="16"/>
        </w:rPr>
        <w:softHyphen/>
        <w:t>щегося воздушного винта бомбардировщика (продоль</w:t>
      </w:r>
      <w:r w:rsidRPr="007122AB">
        <w:rPr>
          <w:rFonts w:ascii="Times New Roman" w:hAnsi="Times New Roman"/>
          <w:color w:val="000000" w:themeColor="text1"/>
          <w:sz w:val="16"/>
          <w:szCs w:val="16"/>
        </w:rPr>
        <w:softHyphen/>
        <w:t>ная ось И-4 проходила на расстоянии 307 мм от оси разъ</w:t>
      </w:r>
      <w:r w:rsidRPr="007122AB">
        <w:rPr>
          <w:rFonts w:ascii="Times New Roman" w:hAnsi="Times New Roman"/>
          <w:color w:val="000000" w:themeColor="text1"/>
          <w:sz w:val="16"/>
          <w:szCs w:val="16"/>
        </w:rPr>
        <w:softHyphen/>
        <w:t>ема крыла ТБ-1 по направлению к продольной оси послед</w:t>
      </w:r>
      <w:r w:rsidRPr="007122AB">
        <w:rPr>
          <w:rFonts w:ascii="Times New Roman" w:hAnsi="Times New Roman"/>
          <w:color w:val="000000" w:themeColor="text1"/>
          <w:sz w:val="16"/>
          <w:szCs w:val="16"/>
        </w:rPr>
        <w:softHyphen/>
        <w:t>него), небольшое нижнее крыло на них было снято (20345).</w:t>
      </w:r>
    </w:p>
    <w:p w14:paraId="4570849B" w14:textId="77777777" w:rsidR="008D3AB5" w:rsidRPr="007122AB" w:rsidRDefault="008D3AB5" w:rsidP="007122AB">
      <w:pPr>
        <w:spacing w:after="0" w:line="240" w:lineRule="auto"/>
        <w:jc w:val="both"/>
        <w:rPr>
          <w:rFonts w:ascii="Times New Roman" w:hAnsi="Times New Roman"/>
          <w:color w:val="000000" w:themeColor="text1"/>
          <w:sz w:val="16"/>
          <w:szCs w:val="16"/>
        </w:rPr>
      </w:pPr>
    </w:p>
    <w:p w14:paraId="0D910ED0" w14:textId="77777777" w:rsidR="00B43403" w:rsidRPr="00441F34" w:rsidRDefault="00B43403" w:rsidP="00B4340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31 января 1931 г. ЦАГИ запросил из НИИ ВВС истребитель И-4, на котором предполагалось произ</w:t>
      </w:r>
      <w:r w:rsidRPr="00441F34">
        <w:rPr>
          <w:rFonts w:ascii="Times New Roman" w:hAnsi="Times New Roman"/>
          <w:color w:val="0070C0"/>
          <w:sz w:val="16"/>
          <w:szCs w:val="16"/>
        </w:rPr>
        <w:softHyphen/>
        <w:t>вести все необходимые усовершенствования и изме</w:t>
      </w:r>
      <w:r w:rsidRPr="00441F34">
        <w:rPr>
          <w:rFonts w:ascii="Times New Roman" w:hAnsi="Times New Roman"/>
          <w:color w:val="0070C0"/>
          <w:sz w:val="16"/>
          <w:szCs w:val="16"/>
        </w:rPr>
        <w:softHyphen/>
        <w:t>нения для проекта Вахмистрова. Был выделен И-4 (зав. №1502), который по причине заметного износа планера участвовал лишь в наземных опытах и отработках системы. Для прак</w:t>
      </w:r>
      <w:r w:rsidRPr="00441F34">
        <w:rPr>
          <w:rFonts w:ascii="Times New Roman" w:hAnsi="Times New Roman"/>
          <w:color w:val="0070C0"/>
          <w:sz w:val="16"/>
          <w:szCs w:val="16"/>
        </w:rPr>
        <w:softHyphen/>
        <w:t>тических полетов использовались другие летающие машины: два достаточно новых серийных И-4 — №1651 и №1655 и ТБ-1 №651.</w:t>
      </w:r>
    </w:p>
    <w:p w14:paraId="10F20CCB" w14:textId="77777777" w:rsidR="00B43403" w:rsidRPr="00441F34" w:rsidRDefault="00B43403" w:rsidP="00B4340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Изменения, вносимые в конструкцию самолетов, произвели в основном на ТБ-1. На крыле бомбарди</w:t>
      </w:r>
      <w:r w:rsidRPr="00441F34">
        <w:rPr>
          <w:rFonts w:ascii="Times New Roman" w:hAnsi="Times New Roman"/>
          <w:color w:val="0070C0"/>
          <w:sz w:val="16"/>
          <w:szCs w:val="16"/>
        </w:rPr>
        <w:softHyphen/>
        <w:t>ровщика для установки истребителей с каждой сто</w:t>
      </w:r>
      <w:r w:rsidRPr="00441F34">
        <w:rPr>
          <w:rFonts w:ascii="Times New Roman" w:hAnsi="Times New Roman"/>
          <w:color w:val="0070C0"/>
          <w:sz w:val="16"/>
          <w:szCs w:val="16"/>
        </w:rPr>
        <w:softHyphen/>
        <w:t>роны оборудовали по три пирамиды. Две передние пирамиды, на которых закреплялось шасси И-4, бы</w:t>
      </w:r>
      <w:r w:rsidRPr="00441F34">
        <w:rPr>
          <w:rFonts w:ascii="Times New Roman" w:hAnsi="Times New Roman"/>
          <w:color w:val="0070C0"/>
          <w:sz w:val="16"/>
          <w:szCs w:val="16"/>
        </w:rPr>
        <w:softHyphen/>
        <w:t>ли установлены по оси переднего лонжерона ТБ-1. Каждая пирамида имела специальный фасонный ло</w:t>
      </w:r>
      <w:r w:rsidRPr="00441F34">
        <w:rPr>
          <w:rFonts w:ascii="Times New Roman" w:hAnsi="Times New Roman"/>
          <w:color w:val="0070C0"/>
          <w:sz w:val="16"/>
          <w:szCs w:val="16"/>
        </w:rPr>
        <w:softHyphen/>
        <w:t>жемент (замок), в который входил соответствующий элемент, оборудованный на шасси истребителя. Тре</w:t>
      </w:r>
      <w:r w:rsidRPr="00441F34">
        <w:rPr>
          <w:rFonts w:ascii="Times New Roman" w:hAnsi="Times New Roman"/>
          <w:color w:val="0070C0"/>
          <w:sz w:val="16"/>
          <w:szCs w:val="16"/>
        </w:rPr>
        <w:softHyphen/>
        <w:t>тья пирамида с расцепляющим замком поддерживала фюзеляж И-4 в районе его 3-й силовой рамы. Так как истребители устанавливались вблизи диска вра</w:t>
      </w:r>
      <w:r w:rsidRPr="00441F34">
        <w:rPr>
          <w:rFonts w:ascii="Times New Roman" w:hAnsi="Times New Roman"/>
          <w:color w:val="0070C0"/>
          <w:sz w:val="16"/>
          <w:szCs w:val="16"/>
        </w:rPr>
        <w:softHyphen/>
        <w:t>щающегося воздушного винта бомбардировщика (продольная ось И-4 проходила на расстоянии 307 мм от оси разъема крыла ТБ-1 по направлению к продольной оси последнего), небольшое нижнее крыло на них было снято (23378).</w:t>
      </w:r>
    </w:p>
    <w:p w14:paraId="30E1894F" w14:textId="77777777" w:rsidR="00B43403" w:rsidRPr="00441F34" w:rsidRDefault="00B43403" w:rsidP="00B43403">
      <w:pPr>
        <w:spacing w:after="0" w:line="240" w:lineRule="auto"/>
        <w:jc w:val="both"/>
        <w:rPr>
          <w:rFonts w:ascii="Times New Roman" w:hAnsi="Times New Roman"/>
          <w:color w:val="0070C0"/>
          <w:sz w:val="16"/>
          <w:szCs w:val="16"/>
        </w:rPr>
      </w:pPr>
    </w:p>
    <w:p w14:paraId="7B249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31 января по 6 марта 1931 </w:t>
      </w:r>
      <w:proofErr w:type="spellStart"/>
      <w:r w:rsidRPr="007122AB">
        <w:rPr>
          <w:rFonts w:ascii="Times New Roman" w:hAnsi="Times New Roman"/>
          <w:color w:val="000000" w:themeColor="text1"/>
          <w:sz w:val="16"/>
          <w:szCs w:val="16"/>
        </w:rPr>
        <w:t>И.В.Михеев</w:t>
      </w:r>
      <w:proofErr w:type="spellEnd"/>
      <w:r w:rsidRPr="007122AB">
        <w:rPr>
          <w:rFonts w:ascii="Times New Roman" w:hAnsi="Times New Roman"/>
          <w:color w:val="000000" w:themeColor="text1"/>
          <w:sz w:val="16"/>
          <w:szCs w:val="16"/>
        </w:rPr>
        <w:t xml:space="preserve"> с механиком </w:t>
      </w:r>
      <w:proofErr w:type="spellStart"/>
      <w:r w:rsidRPr="007122AB">
        <w:rPr>
          <w:rFonts w:ascii="Times New Roman" w:hAnsi="Times New Roman"/>
          <w:color w:val="000000" w:themeColor="text1"/>
          <w:sz w:val="16"/>
          <w:szCs w:val="16"/>
        </w:rPr>
        <w:t>В.И.Монаховым</w:t>
      </w:r>
      <w:proofErr w:type="spellEnd"/>
      <w:r w:rsidRPr="007122AB">
        <w:rPr>
          <w:rFonts w:ascii="Times New Roman" w:hAnsi="Times New Roman"/>
          <w:color w:val="000000" w:themeColor="text1"/>
          <w:sz w:val="16"/>
          <w:szCs w:val="16"/>
        </w:rPr>
        <w:t xml:space="preserve"> на АНТ-9 выполнил перелет из Москвы в Обдорск и обратно для вывозки пушнины (272,376).</w:t>
      </w:r>
    </w:p>
    <w:p w14:paraId="4609E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D11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января 1931 г. С.П. Королев вместе с С.Н. Люшиным и Н. Малиновским (фамилия названа предположительно) завершил проект нового планера с размахом крыла 30 м. На выбор конструктивных характеристик этого планера оказали влияние сведения о выдающихся достижениях австрийского планериста </w:t>
      </w:r>
      <w:proofErr w:type="spellStart"/>
      <w:r w:rsidRPr="007122AB">
        <w:rPr>
          <w:rFonts w:ascii="Times New Roman" w:hAnsi="Times New Roman"/>
          <w:color w:val="000000" w:themeColor="text1"/>
          <w:sz w:val="16"/>
          <w:szCs w:val="16"/>
        </w:rPr>
        <w:t>Кронфельда</w:t>
      </w:r>
      <w:proofErr w:type="spellEnd"/>
      <w:r w:rsidRPr="007122AB">
        <w:rPr>
          <w:rFonts w:ascii="Times New Roman" w:hAnsi="Times New Roman"/>
          <w:color w:val="000000" w:themeColor="text1"/>
          <w:sz w:val="16"/>
          <w:szCs w:val="16"/>
        </w:rPr>
        <w:t>, установившего мировой рекорд дальности полета (161 км) на планере "Австрия", созданном австрийским конструктором Киннером. Планер "Австрия" называли чудом конструкторской мысли. Отличительной его особенностью был размах крыла — 30 м.</w:t>
      </w:r>
    </w:p>
    <w:p w14:paraId="63D6F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конструкции нового планера-парителя отчетливо просматривалось стремление превзойти показатели знаменитого австрийского планера. Равенство размахов облегчало сравнение этих двух планеров. Значение качества австрийского планера было 28,4, планера-парителя — 33,3. При конструировании любого планера важно было добиваться как можно меньшей скорости снижения аппарата. Достижению этой цели подчиняется выбор его конструктивных параметров: размаха, профиля крыла, удлинения. Лучший советский планер того периода "Город Ленина" (конструктор О.К. Антонов) имел скорость снижения 0,68 м/с, планер "Австрия" (расчетные данные О.К. Антонова) — 0,68 м/с, а планер-паритель — 0,423 м/с (по расчетным данным).</w:t>
      </w:r>
    </w:p>
    <w:p w14:paraId="48FBE2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 и площадь крыла у "Австрии" (26,1; 34,97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и планера-парителя (26; 34,4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были примерно одинаковыми. Однако вес парителя был заметно больше (385 кг против 263 кг у "Австрии"). Отчасти это объяснялось тем, что австрийские планеры, как и немецкие, рассчитывались на 6-кратный запас прочности, а наши — на 7-кратный. 23 марта 1931 г. видные авиационные специалисты С.В. Ильюшин и Б.Н. Юрьев рекомендовали новый планер-паритель (основной вариант) к реализации. Его постройка была отложена до пуска планерного завода, но так и не состоялась. Одновременно авторы представили дополнительный вариант планера такого же класса с несколько измененными данными.</w:t>
      </w:r>
    </w:p>
    <w:p w14:paraId="023A1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Конструктивные данные планера-парителя: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70"/>
        <w:gridCol w:w="900"/>
        <w:gridCol w:w="900"/>
      </w:tblGrid>
      <w:tr w:rsidR="00EA061A" w:rsidRPr="007122AB" w14:paraId="0C17D6AB" w14:textId="77777777">
        <w:tc>
          <w:tcPr>
            <w:tcW w:w="2970" w:type="dxa"/>
            <w:tcBorders>
              <w:top w:val="single" w:sz="12" w:space="0" w:color="auto"/>
              <w:bottom w:val="single" w:sz="12" w:space="0" w:color="auto"/>
            </w:tcBorders>
          </w:tcPr>
          <w:p w14:paraId="0A44F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D0F5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6B4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м</w:t>
            </w:r>
          </w:p>
          <w:p w14:paraId="65DC1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Несущая поверхность, м</w:t>
            </w:r>
            <w:r w:rsidRPr="007122AB">
              <w:rPr>
                <w:rFonts w:ascii="Times New Roman" w:hAnsi="Times New Roman"/>
                <w:color w:val="000000" w:themeColor="text1"/>
                <w:sz w:val="16"/>
                <w:szCs w:val="16"/>
                <w:vertAlign w:val="superscript"/>
              </w:rPr>
              <w:t>2</w:t>
            </w:r>
          </w:p>
          <w:p w14:paraId="47F23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p w14:paraId="313C82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 кг </w:t>
            </w:r>
          </w:p>
          <w:p w14:paraId="797507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полете </w:t>
            </w:r>
          </w:p>
          <w:p w14:paraId="19A49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конструкции</w:t>
            </w:r>
          </w:p>
          <w:p w14:paraId="5965E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Нагрузка на крыло, кг/м</w:t>
            </w:r>
            <w:r w:rsidRPr="007122AB">
              <w:rPr>
                <w:rFonts w:ascii="Times New Roman" w:hAnsi="Times New Roman"/>
                <w:color w:val="000000" w:themeColor="text1"/>
                <w:sz w:val="16"/>
                <w:szCs w:val="16"/>
                <w:vertAlign w:val="superscript"/>
              </w:rPr>
              <w:t>2</w:t>
            </w:r>
          </w:p>
          <w:p w14:paraId="3682C1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Показатель летучести</w:t>
            </w:r>
          </w:p>
          <w:p w14:paraId="5158B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Максимальное качество</w:t>
            </w:r>
          </w:p>
          <w:p w14:paraId="5385F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Минимальная скорость снижения, м/с</w:t>
            </w:r>
          </w:p>
          <w:p w14:paraId="568343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Скорость, м/с </w:t>
            </w:r>
          </w:p>
          <w:p w14:paraId="04CB4F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горизонтального полета </w:t>
            </w:r>
          </w:p>
          <w:p w14:paraId="06C256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посадочная</w:t>
            </w:r>
          </w:p>
        </w:tc>
        <w:tc>
          <w:tcPr>
            <w:tcW w:w="900" w:type="dxa"/>
            <w:tcBorders>
              <w:top w:val="single" w:sz="12" w:space="0" w:color="auto"/>
              <w:bottom w:val="single" w:sz="12" w:space="0" w:color="auto"/>
            </w:tcBorders>
          </w:tcPr>
          <w:p w14:paraId="687D4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Основной </w:t>
            </w:r>
          </w:p>
          <w:p w14:paraId="29482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w:t>
            </w:r>
          </w:p>
          <w:p w14:paraId="4FE859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BC6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w:t>
            </w:r>
          </w:p>
          <w:p w14:paraId="19FCC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34,4</w:t>
            </w:r>
          </w:p>
          <w:p w14:paraId="111C8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p w14:paraId="0D6F5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F3A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p w14:paraId="367EDA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385</w:t>
            </w:r>
          </w:p>
          <w:p w14:paraId="3B814D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p w14:paraId="6A756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0,54</w:t>
            </w:r>
          </w:p>
          <w:p w14:paraId="358A3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w:t>
            </w:r>
          </w:p>
          <w:p w14:paraId="11F43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0,423</w:t>
            </w:r>
          </w:p>
          <w:p w14:paraId="61EA9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DB0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p w14:paraId="34CE95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900" w:type="dxa"/>
            <w:tcBorders>
              <w:top w:val="single" w:sz="12" w:space="0" w:color="auto"/>
              <w:bottom w:val="single" w:sz="12" w:space="0" w:color="auto"/>
            </w:tcBorders>
          </w:tcPr>
          <w:p w14:paraId="7455D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Дополнительный вариант </w:t>
            </w:r>
          </w:p>
          <w:p w14:paraId="1C4D56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F71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26,6 </w:t>
            </w:r>
          </w:p>
          <w:p w14:paraId="6AF1BF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34,4</w:t>
            </w:r>
          </w:p>
          <w:p w14:paraId="574D1D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20,6</w:t>
            </w:r>
          </w:p>
          <w:p w14:paraId="447DC6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2D36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430 </w:t>
            </w:r>
          </w:p>
          <w:p w14:paraId="6994F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340 </w:t>
            </w:r>
          </w:p>
          <w:p w14:paraId="13283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12,5</w:t>
            </w:r>
          </w:p>
          <w:p w14:paraId="08349B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0,6 </w:t>
            </w:r>
          </w:p>
          <w:p w14:paraId="652D66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29,7 </w:t>
            </w:r>
          </w:p>
          <w:p w14:paraId="19C49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0,456</w:t>
            </w:r>
          </w:p>
          <w:p w14:paraId="255C8D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ACE0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w:t>
            </w:r>
          </w:p>
          <w:p w14:paraId="0528DF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r>
    </w:tbl>
    <w:p w14:paraId="09931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(10676).</w:t>
      </w:r>
    </w:p>
    <w:p w14:paraId="6A7008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98E41D" w14:textId="77777777" w:rsidR="00B43403" w:rsidRPr="00441F34" w:rsidRDefault="00B43403" w:rsidP="00B4340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31 января по 6 марта 1931 г. на АНТ-9 были выполнены первые в истории стра</w:t>
      </w:r>
      <w:r w:rsidRPr="00441F34">
        <w:rPr>
          <w:rFonts w:ascii="Times New Roman" w:hAnsi="Times New Roman"/>
          <w:color w:val="0070C0"/>
          <w:sz w:val="16"/>
          <w:szCs w:val="16"/>
        </w:rPr>
        <w:softHyphen/>
        <w:t>ны полеты в Заполярье, подтвердившие отличные качества машины.</w:t>
      </w:r>
    </w:p>
    <w:p w14:paraId="10742E8A" w14:textId="77777777" w:rsidR="00B43403" w:rsidRPr="00441F34" w:rsidRDefault="00B43403" w:rsidP="00B4340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Зимой 1931 г. возникла необходи</w:t>
      </w:r>
      <w:r w:rsidRPr="00441F34">
        <w:rPr>
          <w:rFonts w:ascii="Times New Roman" w:hAnsi="Times New Roman"/>
          <w:color w:val="0070C0"/>
          <w:sz w:val="16"/>
          <w:szCs w:val="16"/>
        </w:rPr>
        <w:softHyphen/>
        <w:t>мость срочной доставки пушнины из Обдорска на международный пушной аукцион. Для этого выделили самолет АНТ—9. В экипаж входили пилот И. Ми</w:t>
      </w:r>
      <w:r w:rsidRPr="00441F34">
        <w:rPr>
          <w:rFonts w:ascii="Times New Roman" w:hAnsi="Times New Roman"/>
          <w:color w:val="0070C0"/>
          <w:sz w:val="16"/>
          <w:szCs w:val="16"/>
        </w:rPr>
        <w:softHyphen/>
        <w:t>хеев и бортмеханик Г. Шамшев. Полет про</w:t>
      </w:r>
      <w:r w:rsidRPr="00441F34">
        <w:rPr>
          <w:rFonts w:ascii="Times New Roman" w:hAnsi="Times New Roman"/>
          <w:color w:val="0070C0"/>
          <w:sz w:val="16"/>
          <w:szCs w:val="16"/>
        </w:rPr>
        <w:softHyphen/>
        <w:t xml:space="preserve">ходил по маршруту Москва — Казань — Свердловск — Тобольск — </w:t>
      </w:r>
      <w:proofErr w:type="spellStart"/>
      <w:r w:rsidRPr="00441F34">
        <w:rPr>
          <w:rFonts w:ascii="Times New Roman" w:hAnsi="Times New Roman"/>
          <w:color w:val="0070C0"/>
          <w:sz w:val="16"/>
          <w:szCs w:val="16"/>
        </w:rPr>
        <w:t>Самарово</w:t>
      </w:r>
      <w:proofErr w:type="spellEnd"/>
      <w:r w:rsidRPr="00441F34">
        <w:rPr>
          <w:rFonts w:ascii="Times New Roman" w:hAnsi="Times New Roman"/>
          <w:color w:val="0070C0"/>
          <w:sz w:val="16"/>
          <w:szCs w:val="16"/>
        </w:rPr>
        <w:t xml:space="preserve"> — Обдорск, над глухими таежными местами (23474).</w:t>
      </w:r>
    </w:p>
    <w:p w14:paraId="542A1D4D" w14:textId="77777777" w:rsidR="00B43403" w:rsidRPr="00441F34" w:rsidRDefault="00B43403" w:rsidP="00B43403">
      <w:pPr>
        <w:spacing w:after="0" w:line="240" w:lineRule="auto"/>
        <w:jc w:val="both"/>
        <w:rPr>
          <w:rFonts w:ascii="Times New Roman" w:hAnsi="Times New Roman"/>
          <w:color w:val="0070C0"/>
          <w:sz w:val="16"/>
          <w:szCs w:val="16"/>
        </w:rPr>
      </w:pPr>
    </w:p>
    <w:p w14:paraId="66F92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января 1931 был завершен предварительный проект экспериментального парителя (см. Приложение 1). Авторы: СПК, С.Н. Люшин, Н.М.... [подпись неразборчива]. Заключение С.В. Ильюшина и Б.Н. Юрьева: "Планер одобрить. Постройку отложить до начала работы планерного завода 22.111 1931 г." (АМЖ, ф. 5300, № 7) (10676).</w:t>
      </w:r>
    </w:p>
    <w:p w14:paraId="7F24D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94500C" w14:textId="77777777" w:rsidR="00767B04" w:rsidRPr="007122AB" w:rsidRDefault="00767B0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ECFB5E6" w14:textId="77777777" w:rsidR="00767B04" w:rsidRPr="007122AB" w:rsidRDefault="00767B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8214B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31 января/1 февраля 1931 </w:t>
      </w:r>
    </w:p>
    <w:p w14:paraId="46619A5B"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2 Дело 82 лист 30</w:t>
      </w:r>
    </w:p>
    <w:p w14:paraId="296B61C9"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ГН/ГХ 31.1.31 </w:t>
      </w:r>
    </w:p>
    <w:p w14:paraId="179335D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Секретно. </w:t>
      </w:r>
    </w:p>
    <w:p w14:paraId="05860A99"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Экз. № 1 </w:t>
      </w:r>
    </w:p>
    <w:p w14:paraId="0251429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31/1 февраля 1931 г. </w:t>
      </w:r>
    </w:p>
    <w:p w14:paraId="027528E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 208/135с </w:t>
      </w:r>
    </w:p>
    <w:p w14:paraId="63AECB4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НАЧАЛЬНИКУ УПРАВЛЕНИЯ МЕХАНИЗАЦИИ И МОТОРИЗАЦИИ РККА</w:t>
      </w:r>
    </w:p>
    <w:p w14:paraId="43BA78A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Сообщаю, что 24.XII.30 г. 2 машины Кристи ушли на Новороссийск английским пароходом и в ближайшие дни будут в Москве. </w:t>
      </w:r>
    </w:p>
    <w:p w14:paraId="63B45505"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Опоздание поставки, против срока, предусмотренного договором, объясняется тем, что фирма находилась в затруднительном финансовом положении и не могла своевременно платить за материалы, рабочую силу и т.д., кроме того, фирма изготовляет кроме нашего заказа еще две машины: одну для Американского Военного Министерства и одну для Польши; принимая также во внимание наше общее политическое положение в Америке – нельзя было формально подходить к взаимным обязательствам по договору. </w:t>
      </w:r>
    </w:p>
    <w:p w14:paraId="182E884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Подробный технический отчет привезет т. </w:t>
      </w:r>
      <w:proofErr w:type="spellStart"/>
      <w:r w:rsidRPr="007122AB">
        <w:rPr>
          <w:rFonts w:ascii="Times New Roman" w:eastAsia="Times New Roman" w:hAnsi="Times New Roman"/>
          <w:color w:val="000000" w:themeColor="text1"/>
          <w:sz w:val="16"/>
          <w:szCs w:val="16"/>
          <w:lang w:eastAsia="ru-RU"/>
        </w:rPr>
        <w:t>Тоскин</w:t>
      </w:r>
      <w:proofErr w:type="spellEnd"/>
      <w:r w:rsidRPr="007122AB">
        <w:rPr>
          <w:rFonts w:ascii="Times New Roman" w:eastAsia="Times New Roman" w:hAnsi="Times New Roman"/>
          <w:color w:val="000000" w:themeColor="text1"/>
          <w:sz w:val="16"/>
          <w:szCs w:val="16"/>
          <w:lang w:eastAsia="ru-RU"/>
        </w:rPr>
        <w:t xml:space="preserve">, наблюдавший за выполнением заказа. Краткие же данные прилагаются. </w:t>
      </w:r>
    </w:p>
    <w:p w14:paraId="4C2F792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 договору мы можем требовать или приезда самого Кристи или техника водителя Андерсона; прошу сообщить считаете ли Вы необходимым приезд одного из них и в положительном случае желательное время их приезда. </w:t>
      </w:r>
    </w:p>
    <w:p w14:paraId="54482AE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УПОЛНОМОЧЕННЫЙ НКВМ ПРИ НКТОРГЕ СССР подпись (ГИТТИС)</w:t>
      </w:r>
    </w:p>
    <w:p w14:paraId="6FA1E5C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КОНСУЛЬТАНТ подпись (НЕЛИДОВ)</w:t>
      </w:r>
    </w:p>
    <w:p w14:paraId="30F9270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Приложение на "3" лист. </w:t>
      </w:r>
    </w:p>
    <w:p w14:paraId="615A7395"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Отп</w:t>
      </w:r>
      <w:proofErr w:type="spellEnd"/>
      <w:r w:rsidRPr="007122AB">
        <w:rPr>
          <w:rFonts w:ascii="Times New Roman" w:eastAsia="Times New Roman" w:hAnsi="Times New Roman"/>
          <w:color w:val="000000" w:themeColor="text1"/>
          <w:sz w:val="16"/>
          <w:szCs w:val="16"/>
          <w:lang w:eastAsia="ru-RU"/>
        </w:rPr>
        <w:t xml:space="preserve">. 2 экз. </w:t>
      </w:r>
    </w:p>
    <w:p w14:paraId="6610FEA2"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 1 – УММ </w:t>
      </w:r>
    </w:p>
    <w:p w14:paraId="35056F15"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 2 – в д. </w:t>
      </w:r>
    </w:p>
    <w:p w14:paraId="2C83577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2 Дело 82 лист 31 – 33</w:t>
      </w:r>
    </w:p>
    <w:p w14:paraId="45C02E9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ГН/ГХ 31.1.31 </w:t>
      </w:r>
    </w:p>
    <w:p w14:paraId="78C89BC4"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Копия</w:t>
      </w:r>
    </w:p>
    <w:p w14:paraId="430C958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u w:val="single"/>
          <w:lang w:eastAsia="ru-RU"/>
        </w:rPr>
        <w:t>МАШИНЫ:</w:t>
      </w:r>
      <w:r w:rsidRPr="007122AB">
        <w:rPr>
          <w:rFonts w:ascii="Times New Roman" w:eastAsia="Times New Roman" w:hAnsi="Times New Roman"/>
          <w:color w:val="000000" w:themeColor="text1"/>
          <w:sz w:val="16"/>
          <w:szCs w:val="16"/>
          <w:lang w:eastAsia="ru-RU"/>
        </w:rPr>
        <w:t xml:space="preserve"> </w:t>
      </w:r>
    </w:p>
    <w:p w14:paraId="54D1487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основном построены по спецификации и если проследить спецификацию Кристи по пунктам, то выполнение ее рисуется в следующем виде: </w:t>
      </w:r>
    </w:p>
    <w:p w14:paraId="7BD5D0B2"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 – выполнен. </w:t>
      </w:r>
    </w:p>
    <w:p w14:paraId="54B44A34"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 – выполнен. </w:t>
      </w:r>
    </w:p>
    <w:p w14:paraId="238F8B6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 – ширина танка больше указанной в спецификации на 37 см. (по спецификации 1,87 </w:t>
      </w:r>
      <w:proofErr w:type="spellStart"/>
      <w:r w:rsidRPr="007122AB">
        <w:rPr>
          <w:rFonts w:ascii="Times New Roman" w:eastAsia="Times New Roman" w:hAnsi="Times New Roman"/>
          <w:color w:val="000000" w:themeColor="text1"/>
          <w:sz w:val="16"/>
          <w:szCs w:val="16"/>
          <w:lang w:eastAsia="ru-RU"/>
        </w:rPr>
        <w:t>мт</w:t>
      </w:r>
      <w:proofErr w:type="spellEnd"/>
      <w:r w:rsidRPr="007122AB">
        <w:rPr>
          <w:rFonts w:ascii="Times New Roman" w:eastAsia="Times New Roman" w:hAnsi="Times New Roman"/>
          <w:color w:val="000000" w:themeColor="text1"/>
          <w:sz w:val="16"/>
          <w:szCs w:val="16"/>
          <w:lang w:eastAsia="ru-RU"/>
        </w:rPr>
        <w:t xml:space="preserve">. выполнено 2,20 </w:t>
      </w:r>
      <w:proofErr w:type="spellStart"/>
      <w:r w:rsidRPr="007122AB">
        <w:rPr>
          <w:rFonts w:ascii="Times New Roman" w:eastAsia="Times New Roman" w:hAnsi="Times New Roman"/>
          <w:color w:val="000000" w:themeColor="text1"/>
          <w:sz w:val="16"/>
          <w:szCs w:val="16"/>
          <w:lang w:eastAsia="ru-RU"/>
        </w:rPr>
        <w:t>мт</w:t>
      </w:r>
      <w:proofErr w:type="spellEnd"/>
      <w:r w:rsidRPr="007122AB">
        <w:rPr>
          <w:rFonts w:ascii="Times New Roman" w:eastAsia="Times New Roman" w:hAnsi="Times New Roman"/>
          <w:color w:val="000000" w:themeColor="text1"/>
          <w:sz w:val="16"/>
          <w:szCs w:val="16"/>
          <w:lang w:eastAsia="ru-RU"/>
        </w:rPr>
        <w:t xml:space="preserve">.). </w:t>
      </w:r>
    </w:p>
    <w:p w14:paraId="54E2BD9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4 – не известно, т.к. нет башни, высота без башни 1,68 </w:t>
      </w:r>
      <w:proofErr w:type="spellStart"/>
      <w:r w:rsidRPr="007122AB">
        <w:rPr>
          <w:rFonts w:ascii="Times New Roman" w:eastAsia="Times New Roman" w:hAnsi="Times New Roman"/>
          <w:color w:val="000000" w:themeColor="text1"/>
          <w:sz w:val="16"/>
          <w:szCs w:val="16"/>
          <w:lang w:eastAsia="ru-RU"/>
        </w:rPr>
        <w:t>мт</w:t>
      </w:r>
      <w:proofErr w:type="spellEnd"/>
      <w:r w:rsidRPr="007122AB">
        <w:rPr>
          <w:rFonts w:ascii="Times New Roman" w:eastAsia="Times New Roman" w:hAnsi="Times New Roman"/>
          <w:color w:val="000000" w:themeColor="text1"/>
          <w:sz w:val="16"/>
          <w:szCs w:val="16"/>
          <w:lang w:eastAsia="ru-RU"/>
        </w:rPr>
        <w:t xml:space="preserve">. и приблизительно с башней 2,38 </w:t>
      </w:r>
      <w:proofErr w:type="spellStart"/>
      <w:r w:rsidRPr="007122AB">
        <w:rPr>
          <w:rFonts w:ascii="Times New Roman" w:eastAsia="Times New Roman" w:hAnsi="Times New Roman"/>
          <w:color w:val="000000" w:themeColor="text1"/>
          <w:sz w:val="16"/>
          <w:szCs w:val="16"/>
          <w:lang w:eastAsia="ru-RU"/>
        </w:rPr>
        <w:t>мт</w:t>
      </w:r>
      <w:proofErr w:type="spellEnd"/>
      <w:r w:rsidRPr="007122AB">
        <w:rPr>
          <w:rFonts w:ascii="Times New Roman" w:eastAsia="Times New Roman" w:hAnsi="Times New Roman"/>
          <w:color w:val="000000" w:themeColor="text1"/>
          <w:sz w:val="16"/>
          <w:szCs w:val="16"/>
          <w:lang w:eastAsia="ru-RU"/>
        </w:rPr>
        <w:t xml:space="preserve">. </w:t>
      </w:r>
    </w:p>
    <w:p w14:paraId="199009E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5 – вес на гусеницах с горючим, смазкой и водой, но без амуниции, боеприпасов, башни и команды приблизительно 8000 </w:t>
      </w:r>
      <w:proofErr w:type="spellStart"/>
      <w:r w:rsidRPr="007122AB">
        <w:rPr>
          <w:rFonts w:ascii="Times New Roman" w:eastAsia="Times New Roman" w:hAnsi="Times New Roman"/>
          <w:color w:val="000000" w:themeColor="text1"/>
          <w:sz w:val="16"/>
          <w:szCs w:val="16"/>
          <w:lang w:eastAsia="ru-RU"/>
        </w:rPr>
        <w:t>клгр</w:t>
      </w:r>
      <w:proofErr w:type="spellEnd"/>
      <w:r w:rsidRPr="007122AB">
        <w:rPr>
          <w:rFonts w:ascii="Times New Roman" w:eastAsia="Times New Roman" w:hAnsi="Times New Roman"/>
          <w:color w:val="000000" w:themeColor="text1"/>
          <w:sz w:val="16"/>
          <w:szCs w:val="16"/>
          <w:lang w:eastAsia="ru-RU"/>
        </w:rPr>
        <w:t xml:space="preserve">, без гусениц приблизительно 7000 </w:t>
      </w:r>
      <w:proofErr w:type="spellStart"/>
      <w:r w:rsidRPr="007122AB">
        <w:rPr>
          <w:rFonts w:ascii="Times New Roman" w:eastAsia="Times New Roman" w:hAnsi="Times New Roman"/>
          <w:color w:val="000000" w:themeColor="text1"/>
          <w:sz w:val="16"/>
          <w:szCs w:val="16"/>
          <w:lang w:eastAsia="ru-RU"/>
        </w:rPr>
        <w:t>клгр</w:t>
      </w:r>
      <w:proofErr w:type="spellEnd"/>
      <w:r w:rsidRPr="007122AB">
        <w:rPr>
          <w:rFonts w:ascii="Times New Roman" w:eastAsia="Times New Roman" w:hAnsi="Times New Roman"/>
          <w:color w:val="000000" w:themeColor="text1"/>
          <w:sz w:val="16"/>
          <w:szCs w:val="16"/>
          <w:lang w:eastAsia="ru-RU"/>
        </w:rPr>
        <w:t xml:space="preserve">. </w:t>
      </w:r>
    </w:p>
    <w:p w14:paraId="45D961D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6 – удельное давление 0,52 </w:t>
      </w:r>
      <w:proofErr w:type="spellStart"/>
      <w:r w:rsidRPr="007122AB">
        <w:rPr>
          <w:rFonts w:ascii="Times New Roman" w:eastAsia="Times New Roman" w:hAnsi="Times New Roman"/>
          <w:color w:val="000000" w:themeColor="text1"/>
          <w:sz w:val="16"/>
          <w:szCs w:val="16"/>
          <w:lang w:eastAsia="ru-RU"/>
        </w:rPr>
        <w:t>клгр</w:t>
      </w:r>
      <w:proofErr w:type="spellEnd"/>
      <w:r w:rsidRPr="007122AB">
        <w:rPr>
          <w:rFonts w:ascii="Times New Roman" w:eastAsia="Times New Roman" w:hAnsi="Times New Roman"/>
          <w:color w:val="000000" w:themeColor="text1"/>
          <w:sz w:val="16"/>
          <w:szCs w:val="16"/>
          <w:lang w:eastAsia="ru-RU"/>
        </w:rPr>
        <w:t xml:space="preserve">/см. при погружении 100 мм если полагать что нагрузка распределена равномерно на всю гусеницу, если же принимать, что нагрузка передается через 8 колес на 8 звеньев, то удельно давление достигает 2 </w:t>
      </w:r>
      <w:proofErr w:type="spellStart"/>
      <w:r w:rsidRPr="007122AB">
        <w:rPr>
          <w:rFonts w:ascii="Times New Roman" w:eastAsia="Times New Roman" w:hAnsi="Times New Roman"/>
          <w:color w:val="000000" w:themeColor="text1"/>
          <w:sz w:val="16"/>
          <w:szCs w:val="16"/>
          <w:lang w:eastAsia="ru-RU"/>
        </w:rPr>
        <w:t>клгр</w:t>
      </w:r>
      <w:proofErr w:type="spellEnd"/>
      <w:r w:rsidRPr="007122AB">
        <w:rPr>
          <w:rFonts w:ascii="Times New Roman" w:eastAsia="Times New Roman" w:hAnsi="Times New Roman"/>
          <w:color w:val="000000" w:themeColor="text1"/>
          <w:sz w:val="16"/>
          <w:szCs w:val="16"/>
          <w:lang w:eastAsia="ru-RU"/>
        </w:rPr>
        <w:t xml:space="preserve">/см (последнее наиболее соответствует действительности); удельное давление при движении на колесах 7,4 </w:t>
      </w:r>
      <w:proofErr w:type="spellStart"/>
      <w:r w:rsidRPr="007122AB">
        <w:rPr>
          <w:rFonts w:ascii="Times New Roman" w:eastAsia="Times New Roman" w:hAnsi="Times New Roman"/>
          <w:color w:val="000000" w:themeColor="text1"/>
          <w:sz w:val="16"/>
          <w:szCs w:val="16"/>
          <w:lang w:eastAsia="ru-RU"/>
        </w:rPr>
        <w:t>клгр</w:t>
      </w:r>
      <w:proofErr w:type="spellEnd"/>
      <w:r w:rsidRPr="007122AB">
        <w:rPr>
          <w:rFonts w:ascii="Times New Roman" w:eastAsia="Times New Roman" w:hAnsi="Times New Roman"/>
          <w:color w:val="000000" w:themeColor="text1"/>
          <w:sz w:val="16"/>
          <w:szCs w:val="16"/>
          <w:lang w:eastAsia="ru-RU"/>
        </w:rPr>
        <w:t xml:space="preserve">/см максим. д/ведущих колес. </w:t>
      </w:r>
    </w:p>
    <w:p w14:paraId="3F8AB33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7 – Число скоростей соответствует спецификации; расчетные скорости – I – 7,2; II – 13,9; III – 27,2; IV – 52,3 на гусеницах и на колесах: I – 10,15; II – 19,6; III – 38,4; IV – 73,7. </w:t>
      </w:r>
    </w:p>
    <w:p w14:paraId="470B385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8 – Частично не выполнен; вместо задней и верхней брони поставлено 8 – 10 мм сталь; окно водителя не забронировано; передняя броня 14 мм, боковая 12 мм, передняя броня в углах сварена, боковая прикреплена болтами. </w:t>
      </w:r>
    </w:p>
    <w:p w14:paraId="147CAA1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9 – Соответствует спецификации. </w:t>
      </w:r>
    </w:p>
    <w:p w14:paraId="0D95D0FB"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10 – Соответствует спецификации. </w:t>
      </w:r>
    </w:p>
    <w:p w14:paraId="477EEF7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11 – Гусеницы соответствуют спецификации, но 27 звеньев гусеницы (из них добавочных 16) имеют втулки и проушины на 0,007" больше нормы, количество втулок на указанные звенья Кристи дает дополнительно; крепление гусениц, когда они не в употреблении не удовлетворительно, соответствующая сумма с Кристи вычтена. </w:t>
      </w:r>
    </w:p>
    <w:p w14:paraId="6BB6AB75"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12 – Не проверено. </w:t>
      </w:r>
    </w:p>
    <w:p w14:paraId="59DC9CE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13 – размещение водителя соответствует спецификации, поле зрения водителя неизвестно в виду того, что не закончена амбразура водителя. </w:t>
      </w:r>
    </w:p>
    <w:p w14:paraId="7F7CAF1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14 – Стреляющий размещен за водителем, устойчивость при стрельбе не выяснена, но думаю, что она будет удовлетворительна. </w:t>
      </w:r>
    </w:p>
    <w:p w14:paraId="6D572A9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15 – Машинное отделение расположено согласно спецификации, но к карбюраторам подобраться из машинного отделенья нельзя, необходимо снимать верхнюю плиту. </w:t>
      </w:r>
    </w:p>
    <w:p w14:paraId="440A36F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16 – а) тонкая разборная алюминиевая перегородка от удушливых газов не защищает, за машинным отделением наблюдать (через отверстие 7×10 см с заслонкой) трудно; </w:t>
      </w:r>
    </w:p>
    <w:p w14:paraId="56EBF75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б) резиновых буферов нет; </w:t>
      </w:r>
    </w:p>
    <w:p w14:paraId="357D0C1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место для одного водителя и одного стреляющего соответствует спецификации, башни нет, но место для башни соответствующего диаметра, причем горизонтальная проекция его захватывает машинную переборку на 4 см. </w:t>
      </w:r>
    </w:p>
    <w:p w14:paraId="1944AFE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г) проверить нельзя т.к. помещение для команды не оборудовано. </w:t>
      </w:r>
    </w:p>
    <w:p w14:paraId="7B1C446B"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 отверстий нет; </w:t>
      </w:r>
    </w:p>
    <w:p w14:paraId="0679BC7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е) соответствует чертежу </w:t>
      </w:r>
    </w:p>
    <w:p w14:paraId="074054B0"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ж) дверей нет, в передней броне имеется окно для водителя, пролезть в которое трудно; </w:t>
      </w:r>
    </w:p>
    <w:p w14:paraId="49FD9889"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17 – Не выполнен, щелей нет. </w:t>
      </w:r>
    </w:p>
    <w:p w14:paraId="20D1AD3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18 – Мотор согласно спецификации, но сколько мотор проработал до постановки его на машину установить точно не удалось. Кристи заявляет, что мотор в </w:t>
      </w:r>
      <w:proofErr w:type="spellStart"/>
      <w:r w:rsidRPr="007122AB">
        <w:rPr>
          <w:rFonts w:ascii="Times New Roman" w:eastAsia="Times New Roman" w:hAnsi="Times New Roman"/>
          <w:color w:val="000000" w:themeColor="text1"/>
          <w:sz w:val="16"/>
          <w:szCs w:val="16"/>
          <w:lang w:eastAsia="ru-RU"/>
        </w:rPr>
        <w:t>эксплоатации</w:t>
      </w:r>
      <w:proofErr w:type="spellEnd"/>
      <w:r w:rsidRPr="007122AB">
        <w:rPr>
          <w:rFonts w:ascii="Times New Roman" w:eastAsia="Times New Roman" w:hAnsi="Times New Roman"/>
          <w:color w:val="000000" w:themeColor="text1"/>
          <w:sz w:val="16"/>
          <w:szCs w:val="16"/>
          <w:lang w:eastAsia="ru-RU"/>
        </w:rPr>
        <w:t xml:space="preserve"> не был, подача горючего принудительная, обеспечивает при всех уклонах; </w:t>
      </w:r>
    </w:p>
    <w:p w14:paraId="26EFE57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а) выполнен; </w:t>
      </w:r>
    </w:p>
    <w:p w14:paraId="5C42B3B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б) резервуар для масла обеспечивает работу на 4 часа при полной нагрузке </w:t>
      </w:r>
    </w:p>
    <w:p w14:paraId="05F530C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соответствует </w:t>
      </w:r>
    </w:p>
    <w:p w14:paraId="2A5CE5B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lastRenderedPageBreak/>
        <w:t xml:space="preserve">г) не проверена, теоретически при жаркой погоде система охлаждения будет неудовлетворительной, во время испытаний температура воды в радиаторе не поднималась выше 70° при наружной температуре в 10°. </w:t>
      </w:r>
    </w:p>
    <w:p w14:paraId="48E633E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 регулятора нет. </w:t>
      </w:r>
    </w:p>
    <w:p w14:paraId="426270F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е) соответствует спецификации </w:t>
      </w:r>
    </w:p>
    <w:p w14:paraId="5593E50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ж) 1. соответствует спецификации </w:t>
      </w:r>
    </w:p>
    <w:p w14:paraId="25C72E9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соответствует спецификации </w:t>
      </w:r>
    </w:p>
    <w:p w14:paraId="65523A6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соответствует спецификации </w:t>
      </w:r>
    </w:p>
    <w:p w14:paraId="1E97776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4. не поставлен, но указатель температуры с полным приводом прилагается к машине, за установку вычтены деньги. </w:t>
      </w:r>
    </w:p>
    <w:p w14:paraId="33CD940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5. не установлен, но приложены 2 спидометра с полным приводом. </w:t>
      </w:r>
    </w:p>
    <w:p w14:paraId="70B47495"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з) фильтр для горючего поставлен в баке. </w:t>
      </w:r>
    </w:p>
    <w:p w14:paraId="55E9602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и) указатель количества горючего в баке не имеется. </w:t>
      </w:r>
    </w:p>
    <w:p w14:paraId="7519B052"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19 – Соответствует спецификации. </w:t>
      </w:r>
    </w:p>
    <w:p w14:paraId="758E2DE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20 – башни нет. </w:t>
      </w:r>
    </w:p>
    <w:p w14:paraId="6A84CBE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21 – Гнезд нет. </w:t>
      </w:r>
    </w:p>
    <w:p w14:paraId="038FC2B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22 – соответствует. </w:t>
      </w:r>
    </w:p>
    <w:p w14:paraId="3D2E109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23 – вместо крюков 2 петли спереди и сзади, причем передняя петля выступает за гусеницы, что мешает преодолению вертикальных препятствий; </w:t>
      </w:r>
    </w:p>
    <w:p w14:paraId="2B3E70F4"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24 – Не проверено, ввиду того, что не было места для укладки гусениц; </w:t>
      </w:r>
    </w:p>
    <w:p w14:paraId="15801829"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25 – Конструкция корпуса позволяет преодолеть брод в 3 фута. </w:t>
      </w:r>
    </w:p>
    <w:p w14:paraId="6E2B965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26 – Для проверки этого пункта был насыпан холм земли с подъемом 23° и 35° приблизительно, преодоление склона в 23° без затруднений и на подъеме в 35°, в виду того, что земля была рыхлая, гусеницы на середине подъема забуксовали и танк скатился вниз, другого подобного склона с твердым грунтом не было, поэтому проверить не удалось. </w:t>
      </w:r>
    </w:p>
    <w:p w14:paraId="193453D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27 – Управление производится одним человеком при всех условиях: </w:t>
      </w:r>
    </w:p>
    <w:p w14:paraId="078121D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а) разворачивание на гусеницах удовлетворяет спецификации </w:t>
      </w:r>
    </w:p>
    <w:p w14:paraId="7FFD156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б) разворачивание на колесах на дороге значительно уступает нашим требованиям, наименьший радиус поворота 8,5 метр. </w:t>
      </w:r>
    </w:p>
    <w:p w14:paraId="2B2B868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28 – Не проверено, но считаю, что этот пункт будет удовлетворен. </w:t>
      </w:r>
    </w:p>
    <w:p w14:paraId="3FD5E9F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29 – Специальных тормозов нет, выполненные тормоза обеспечивают остановку при 20 мил/час на ровной дороге на расстоянии 50 футов и застопоривание на подъем в 35°, причем в последнем случае требуется заменить поперечину рычага тормозной лентой, за это вычтена определенная сумма денег; при скорости в 60 мил/час застопоривание на расстоянии в 35 метр. </w:t>
      </w:r>
    </w:p>
    <w:p w14:paraId="0C7CEC7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30 – Электрооборудование монтировано на одной машине, к другой приложен комплект электрооборудования согласно спецификации. </w:t>
      </w:r>
    </w:p>
    <w:p w14:paraId="2F894FC0"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31 – К машинам приданы огнетушители, но крепление не сделано. </w:t>
      </w:r>
    </w:p>
    <w:p w14:paraId="41C55882"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32 – Не выполнено, т.к. крепить нечего. </w:t>
      </w:r>
    </w:p>
    <w:p w14:paraId="4AE1524F"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33 – Вместо защитной, окраска выполнена снаружи серой краской, а внутри белой. </w:t>
      </w:r>
    </w:p>
    <w:p w14:paraId="411F8DC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34 – Инструмент к обеим машинам придан только специальный, пневматического инструмента для смазки не имеется (за это вычтены деньги). </w:t>
      </w:r>
    </w:p>
    <w:p w14:paraId="728F909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35 – Не выполнен; из танка можно вынуть или двигатель с главным сцеплением, или коробку скоростей с обеими фрикционами и передачей на колеса. </w:t>
      </w:r>
    </w:p>
    <w:p w14:paraId="08A9F32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36 – Не выяснено. </w:t>
      </w:r>
    </w:p>
    <w:p w14:paraId="7AE0F48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37 – Пока не заказно. </w:t>
      </w:r>
    </w:p>
    <w:p w14:paraId="2312D4F0"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38 – Испытания не производилось вследствие возражения Амторга, все же машины были опробованы на колесах в общей сложности 20 миль, причем максимальная скорость приблизительно 50 – 55 мил/час на ровной хорошей дороге; на гусеницах всего пройдено 10 миль, максимальная скорость на ровной местности 25 – 30 мил/час. Скорость на 10° подъеме не была проверена из-за отсутствия вблизи соответствующего рельефа. </w:t>
      </w:r>
    </w:p>
    <w:p w14:paraId="247FBDA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общем по машине нужно сказать, что мы безусловно получили последнюю и наиболее совершенную модель из сделанных Кристи и если она конструктивно окончательно не доработана – что безусловно так – то это значит, что на сегодня Кристи ничего большего дать не может. Американское Военное Министерство получает точно такую же модель. </w:t>
      </w:r>
    </w:p>
    <w:p w14:paraId="539B6790"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u w:val="single"/>
          <w:lang w:eastAsia="ru-RU"/>
        </w:rPr>
        <w:t>ТЕХ-ПОМОЩЬ.</w:t>
      </w:r>
      <w:r w:rsidRPr="007122AB">
        <w:rPr>
          <w:rFonts w:ascii="Times New Roman" w:eastAsia="Times New Roman" w:hAnsi="Times New Roman"/>
          <w:color w:val="000000" w:themeColor="text1"/>
          <w:sz w:val="16"/>
          <w:szCs w:val="16"/>
          <w:lang w:eastAsia="ru-RU"/>
        </w:rPr>
        <w:t xml:space="preserve"> </w:t>
      </w:r>
    </w:p>
    <w:p w14:paraId="0BE0EC7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 техпомощи мы получаем все, что Кристи фактически мог дать, т.е. все те чертежи, которые у него были ко дню отгрузки машин. Это далеко от того, что предусмотрено договором, но, однако, надо полагать, что с материалами, которые сумел получить тов. </w:t>
      </w:r>
      <w:proofErr w:type="spellStart"/>
      <w:r w:rsidRPr="007122AB">
        <w:rPr>
          <w:rFonts w:ascii="Times New Roman" w:eastAsia="Times New Roman" w:hAnsi="Times New Roman"/>
          <w:color w:val="000000" w:themeColor="text1"/>
          <w:sz w:val="16"/>
          <w:szCs w:val="16"/>
          <w:lang w:eastAsia="ru-RU"/>
        </w:rPr>
        <w:t>Тоскин</w:t>
      </w:r>
      <w:proofErr w:type="spellEnd"/>
      <w:r w:rsidRPr="007122AB">
        <w:rPr>
          <w:rFonts w:ascii="Times New Roman" w:eastAsia="Times New Roman" w:hAnsi="Times New Roman"/>
          <w:color w:val="000000" w:themeColor="text1"/>
          <w:sz w:val="16"/>
          <w:szCs w:val="16"/>
          <w:lang w:eastAsia="ru-RU"/>
        </w:rPr>
        <w:t xml:space="preserve"> будет достаточно для восстановления конструкции. Все основные главные детали есть. В дальнейшем Кристи обещал, по мере того, как чертежи будут изготовляться, их нам давать. </w:t>
      </w:r>
    </w:p>
    <w:p w14:paraId="4EDD1D79"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Выполнение пар. 10 договора рисуется в следующем виде: </w:t>
      </w:r>
    </w:p>
    <w:p w14:paraId="13C08F4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Пункт 10 – а, б, в, г) кальки и синьки сборочных и рабочих чертежей доставлены не полностью, а именно: </w:t>
      </w:r>
    </w:p>
    <w:p w14:paraId="5D45C5A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сборочных и установочных чертежей предъявлено 18, требуется 31 – однако недостает чертежей второстепенного характера; </w:t>
      </w:r>
    </w:p>
    <w:p w14:paraId="58BD55B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рабочих чертежей предъявлено 169, требуется 265 (исключая детали механизмов, которые совсем еще не спроектированы) – недодано по сборочным – 40 %, по рабочим – 36,3 %, причем требуют замены или исправления по про предъявленным сборочным чертежам 77,7 %, по рабочим чертежам – 21, 3 %; на большинстве чертежей указан номер материала по стандарту А.Е. [на] специальные детали, как-то: рессоры, звенья, гусеницы, втулки, где и соединительные болты, спецификации нет. </w:t>
      </w:r>
    </w:p>
    <w:p w14:paraId="728F0FF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 фирмой инструкции по управлению и ходу не предъявлены; </w:t>
      </w:r>
    </w:p>
    <w:p w14:paraId="756494E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е) производственных данных фирмой не предъявлено; </w:t>
      </w:r>
    </w:p>
    <w:p w14:paraId="2EB14CD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ж) чертежи имеют визу автора. </w:t>
      </w:r>
    </w:p>
    <w:p w14:paraId="62DDB5B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Не хватает следующих сборочных чертежей: </w:t>
      </w:r>
    </w:p>
    <w:p w14:paraId="6E91E122"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Сборочный чертеж вентилятора </w:t>
      </w:r>
    </w:p>
    <w:p w14:paraId="6D76CE82"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Подвеска среднего поддерживающего колеса </w:t>
      </w:r>
    </w:p>
    <w:p w14:paraId="01DD467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Подвеска переднего колеса </w:t>
      </w:r>
    </w:p>
    <w:p w14:paraId="20E60D97"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4) Сборочный чертеж гусеницы (в 2 звена) </w:t>
      </w:r>
    </w:p>
    <w:p w14:paraId="34A42E14"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5) Сборочный и установочный чертеж башни </w:t>
      </w:r>
    </w:p>
    <w:p w14:paraId="1988860A"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6) Сборочный и установочный чертеж укладки и боеприпасов </w:t>
      </w:r>
    </w:p>
    <w:p w14:paraId="258B002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7) Сборочный и установочный чертеж окна водителя с механизмом для открывания и закрывания </w:t>
      </w:r>
    </w:p>
    <w:p w14:paraId="6090CB4D"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8) Сборочный и установочный чертеж сидения водителя </w:t>
      </w:r>
    </w:p>
    <w:p w14:paraId="2DD4369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9) Установочные чертежи радиаторов, масляного бака, топливного бака и батареи </w:t>
      </w:r>
    </w:p>
    <w:p w14:paraId="413F3518"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10) Сборочные и установочные чертежи верхней и задней брони </w:t>
      </w:r>
    </w:p>
    <w:p w14:paraId="30E4A553"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11) Схема </w:t>
      </w:r>
      <w:proofErr w:type="spellStart"/>
      <w:r w:rsidRPr="007122AB">
        <w:rPr>
          <w:rFonts w:ascii="Times New Roman" w:eastAsia="Times New Roman" w:hAnsi="Times New Roman"/>
          <w:color w:val="000000" w:themeColor="text1"/>
          <w:sz w:val="16"/>
          <w:szCs w:val="16"/>
          <w:lang w:eastAsia="ru-RU"/>
        </w:rPr>
        <w:t>бензинопроводки</w:t>
      </w:r>
      <w:proofErr w:type="spellEnd"/>
      <w:r w:rsidRPr="007122AB">
        <w:rPr>
          <w:rFonts w:ascii="Times New Roman" w:eastAsia="Times New Roman" w:hAnsi="Times New Roman"/>
          <w:color w:val="000000" w:themeColor="text1"/>
          <w:sz w:val="16"/>
          <w:szCs w:val="16"/>
          <w:lang w:eastAsia="ru-RU"/>
        </w:rPr>
        <w:t xml:space="preserve"> </w:t>
      </w:r>
    </w:p>
    <w:p w14:paraId="4EA71F31"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12) Схема электропроводки и установочные чертежи электроосвещения и стартера </w:t>
      </w:r>
    </w:p>
    <w:p w14:paraId="7C6483E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13) Схема </w:t>
      </w:r>
      <w:proofErr w:type="spellStart"/>
      <w:r w:rsidRPr="007122AB">
        <w:rPr>
          <w:rFonts w:ascii="Times New Roman" w:eastAsia="Times New Roman" w:hAnsi="Times New Roman"/>
          <w:color w:val="000000" w:themeColor="text1"/>
          <w:sz w:val="16"/>
          <w:szCs w:val="16"/>
          <w:lang w:eastAsia="ru-RU"/>
        </w:rPr>
        <w:t>маслопроводки</w:t>
      </w:r>
      <w:proofErr w:type="spellEnd"/>
      <w:r w:rsidRPr="007122AB">
        <w:rPr>
          <w:rFonts w:ascii="Times New Roman" w:eastAsia="Times New Roman" w:hAnsi="Times New Roman"/>
          <w:color w:val="000000" w:themeColor="text1"/>
          <w:sz w:val="16"/>
          <w:szCs w:val="16"/>
          <w:lang w:eastAsia="ru-RU"/>
        </w:rPr>
        <w:t xml:space="preserve"> и водяных трубопроводов. </w:t>
      </w:r>
    </w:p>
    <w:p w14:paraId="3725EEDE"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Производственных данных на вещи, которые Кристи заказывает на стороне он дать не может – т.к. ему их самому не дают. Амторг сейчас пытается получить информации по гусеницам и поддерживающим пружинам и др. нестандартным деталям. </w:t>
      </w:r>
    </w:p>
    <w:p w14:paraId="4549977C"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От испытаний машин Амторг принужден был отказаться по соображениям общего порядка – ограничившись лишь небольшими пробегами у завода Кристи – в общей сложности сделано 20 миль на гусеницах и 20 миль на колесах. Вопрос об оформлении вывоза машин разрешился вполне благополучно и получено письмо Министерства Иностранных Дел, которое вместе с письмами фирмы вполне легализуют наш заказ Кристи. </w:t>
      </w:r>
    </w:p>
    <w:p w14:paraId="33454BE9"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Отп</w:t>
      </w:r>
      <w:proofErr w:type="spellEnd"/>
      <w:r w:rsidRPr="007122AB">
        <w:rPr>
          <w:rFonts w:ascii="Times New Roman" w:eastAsia="Times New Roman" w:hAnsi="Times New Roman"/>
          <w:color w:val="000000" w:themeColor="text1"/>
          <w:sz w:val="16"/>
          <w:szCs w:val="16"/>
          <w:lang w:eastAsia="ru-RU"/>
        </w:rPr>
        <w:t xml:space="preserve">. 2 экз. </w:t>
      </w:r>
    </w:p>
    <w:p w14:paraId="047DF7A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Верно: подпись консультанта Нелидова (19765).</w:t>
      </w:r>
    </w:p>
    <w:p w14:paraId="6F925226" w14:textId="77777777" w:rsidR="00040508" w:rsidRPr="007122AB" w:rsidRDefault="00040508" w:rsidP="007122AB">
      <w:pPr>
        <w:spacing w:after="0" w:line="240" w:lineRule="auto"/>
        <w:jc w:val="both"/>
        <w:rPr>
          <w:rFonts w:ascii="Times New Roman" w:eastAsia="Times New Roman" w:hAnsi="Times New Roman"/>
          <w:color w:val="000000" w:themeColor="text1"/>
          <w:sz w:val="16"/>
          <w:szCs w:val="16"/>
          <w:lang w:eastAsia="ru-RU"/>
        </w:rPr>
      </w:pPr>
    </w:p>
    <w:p w14:paraId="5B667A8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576AD1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D9FE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января 1931 вышел первый номер журнала "Знамя" (4962).</w:t>
      </w:r>
    </w:p>
    <w:p w14:paraId="2A055D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DFD7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января 1931 "Ленинградская правда" сообщила о новой услуге абонентам телефонной сети города: с 9 часов утра до 9 вечера начала работу телефонная служба точного времени. Плата за пользование услугой составляла 50 копеек в месяц (10739).</w:t>
      </w:r>
    </w:p>
    <w:p w14:paraId="684DD8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680443" w14:textId="77777777" w:rsidR="00C41B2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За рубежом:</w:t>
      </w:r>
    </w:p>
    <w:p w14:paraId="6A783543" w14:textId="77777777" w:rsidR="00C41B25" w:rsidRPr="007122AB" w:rsidRDefault="00C41B2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A02AA7" w14:textId="77777777" w:rsidR="00C41B25" w:rsidRPr="007122AB" w:rsidRDefault="00C41B2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31 января</w:t>
      </w:r>
      <w:r w:rsidRPr="007122AB">
        <w:rPr>
          <w:rFonts w:ascii="Times New Roman" w:hAnsi="Times New Roman"/>
          <w:color w:val="000000" w:themeColor="text1"/>
          <w:sz w:val="16"/>
          <w:szCs w:val="16"/>
        </w:rPr>
        <w:t xml:space="preserve"> в 1931 году на «Twin City Auto Show» был продемонстрирован </w:t>
      </w:r>
      <w:proofErr w:type="spellStart"/>
      <w:r w:rsidRPr="007122AB">
        <w:rPr>
          <w:rFonts w:ascii="Times New Roman" w:hAnsi="Times New Roman"/>
          <w:color w:val="000000" w:themeColor="text1"/>
          <w:sz w:val="16"/>
          <w:szCs w:val="16"/>
        </w:rPr>
        <w:t>Психограф</w:t>
      </w:r>
      <w:proofErr w:type="spellEnd"/>
      <w:r w:rsidRPr="007122AB">
        <w:rPr>
          <w:rFonts w:ascii="Times New Roman" w:hAnsi="Times New Roman"/>
          <w:color w:val="000000" w:themeColor="text1"/>
          <w:sz w:val="16"/>
          <w:szCs w:val="16"/>
        </w:rPr>
        <w:t xml:space="preserve"> – особое устройство, состоявшее из каски и подвижных стержней, размещенных так, чтобы производить измерение в 32 различных точках черепа. Устройство представляло собой попытку автоматизировать френологию (15026).</w:t>
      </w:r>
    </w:p>
    <w:p w14:paraId="3B90FDF1" w14:textId="77777777" w:rsidR="00C41B25" w:rsidRPr="007122AB" w:rsidRDefault="00C41B25" w:rsidP="007122AB">
      <w:pPr>
        <w:spacing w:after="0" w:line="240" w:lineRule="auto"/>
        <w:jc w:val="both"/>
        <w:rPr>
          <w:rFonts w:ascii="Times New Roman" w:hAnsi="Times New Roman"/>
          <w:color w:val="000000" w:themeColor="text1"/>
          <w:sz w:val="16"/>
          <w:szCs w:val="16"/>
        </w:rPr>
      </w:pPr>
    </w:p>
    <w:p w14:paraId="446AE60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406C44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A59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января 1931 Цандер разработал в ИАМ, куда пришел 20 декабря 1930, "План, порядок и сроки работ по РД и смету по производству опытных работ по РД" (388,57).</w:t>
      </w:r>
    </w:p>
    <w:p w14:paraId="45593C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7CD504" w14:textId="77777777" w:rsidR="001522B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F04BB91" w14:textId="77777777" w:rsidR="001522BB" w:rsidRPr="007122AB" w:rsidRDefault="001522B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9C7D99"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января 1931 г. первый корпус танка с Ижорского завода на ХПЗ (акт приемки №1 от 28 января 1931 г.).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258B1AD8" w14:textId="77777777" w:rsidR="001522BB" w:rsidRPr="007122AB" w:rsidRDefault="001522BB" w:rsidP="007122AB">
      <w:pPr>
        <w:spacing w:after="0" w:line="240" w:lineRule="auto"/>
        <w:jc w:val="both"/>
        <w:rPr>
          <w:rFonts w:ascii="Times New Roman" w:hAnsi="Times New Roman"/>
          <w:color w:val="000000" w:themeColor="text1"/>
          <w:sz w:val="16"/>
          <w:szCs w:val="16"/>
        </w:rPr>
      </w:pPr>
    </w:p>
    <w:p w14:paraId="6491962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03A2D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E35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Первые два ТШ-1 вывели на аэродром в январе 1931 (92,419) и испытали </w:t>
      </w:r>
      <w:proofErr w:type="spellStart"/>
      <w:r w:rsidRPr="007122AB">
        <w:rPr>
          <w:rFonts w:ascii="Times New Roman" w:hAnsi="Times New Roman"/>
          <w:color w:val="000000" w:themeColor="text1"/>
          <w:sz w:val="16"/>
          <w:szCs w:val="16"/>
        </w:rPr>
        <w:t>Ю.И.Пионтковский</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и др. (437,129).</w:t>
      </w:r>
    </w:p>
    <w:p w14:paraId="360000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23D3EF" w14:textId="77777777" w:rsidR="00B642B8" w:rsidRPr="007122AB" w:rsidRDefault="00B642B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года начались летные испытания ТШ-1, которые выполняли заводские летчики Б.Л. Бухгольц, Ю.И. Пионтковский, затем М.А. </w:t>
      </w:r>
      <w:proofErr w:type="spellStart"/>
      <w:r w:rsidRPr="007122AB">
        <w:rPr>
          <w:rFonts w:ascii="Times New Roman" w:hAnsi="Times New Roman"/>
          <w:color w:val="000000" w:themeColor="text1"/>
          <w:sz w:val="16"/>
          <w:szCs w:val="16"/>
        </w:rPr>
        <w:t>Волковойнов</w:t>
      </w:r>
      <w:proofErr w:type="spellEnd"/>
      <w:r w:rsidRPr="007122AB">
        <w:rPr>
          <w:rFonts w:ascii="Times New Roman" w:hAnsi="Times New Roman"/>
          <w:color w:val="000000" w:themeColor="text1"/>
          <w:sz w:val="16"/>
          <w:szCs w:val="16"/>
        </w:rPr>
        <w:t xml:space="preserve"> и другие летчики из НИИ ВВС. Испытания показали, что в принципе ТШ-1 отвечает своему назначению. Однако, из-за большого взлетного веса (около 4 т), разбег и пробег были очень велики. Угловатая </w:t>
      </w:r>
      <w:proofErr w:type="spellStart"/>
      <w:r w:rsidRPr="007122AB">
        <w:rPr>
          <w:rFonts w:ascii="Times New Roman" w:hAnsi="Times New Roman"/>
          <w:color w:val="000000" w:themeColor="text1"/>
          <w:sz w:val="16"/>
          <w:szCs w:val="16"/>
        </w:rPr>
        <w:t>бронекоробка</w:t>
      </w:r>
      <w:proofErr w:type="spellEnd"/>
      <w:r w:rsidRPr="007122AB">
        <w:rPr>
          <w:rFonts w:ascii="Times New Roman" w:hAnsi="Times New Roman"/>
          <w:color w:val="000000" w:themeColor="text1"/>
          <w:sz w:val="16"/>
          <w:szCs w:val="16"/>
        </w:rPr>
        <w:t xml:space="preserve"> ухудшала аэродинамику, самолет медленно набирал высоту. Сильно грелся под броней двигатель, а место для размещения радиатора было ограничено. По причине близости двигателя, находившегося под броней, в пилотской кабине было очень жарко. После 3-4-х посадок приходилось менять амортизаторы шасси. Вскоре была переделана система </w:t>
      </w:r>
      <w:proofErr w:type="spellStart"/>
      <w:r w:rsidRPr="007122AB">
        <w:rPr>
          <w:rFonts w:ascii="Times New Roman" w:hAnsi="Times New Roman"/>
          <w:color w:val="000000" w:themeColor="text1"/>
          <w:sz w:val="16"/>
          <w:szCs w:val="16"/>
        </w:rPr>
        <w:t>маслопитания</w:t>
      </w:r>
      <w:proofErr w:type="spellEnd"/>
      <w:r w:rsidRPr="007122AB">
        <w:rPr>
          <w:rFonts w:ascii="Times New Roman" w:hAnsi="Times New Roman"/>
          <w:color w:val="000000" w:themeColor="text1"/>
          <w:sz w:val="16"/>
          <w:szCs w:val="16"/>
        </w:rPr>
        <w:t xml:space="preserve">, и решено было испробовать этиленгликолевое охлаждение. Для этого впервые в СССР были проведены соответствующие исследовательские работы и испытания. Охлаждение стало работать хорошо, но разъедались </w:t>
      </w:r>
      <w:proofErr w:type="spellStart"/>
      <w:r w:rsidRPr="007122AB">
        <w:rPr>
          <w:rFonts w:ascii="Times New Roman" w:hAnsi="Times New Roman"/>
          <w:color w:val="000000" w:themeColor="text1"/>
          <w:sz w:val="16"/>
          <w:szCs w:val="16"/>
        </w:rPr>
        <w:t>дюритовые</w:t>
      </w:r>
      <w:proofErr w:type="spellEnd"/>
      <w:r w:rsidRPr="007122AB">
        <w:rPr>
          <w:rFonts w:ascii="Times New Roman" w:hAnsi="Times New Roman"/>
          <w:color w:val="000000" w:themeColor="text1"/>
          <w:sz w:val="16"/>
          <w:szCs w:val="16"/>
        </w:rPr>
        <w:t xml:space="preserve"> рукава между цилиндрами, в других стыках и возникала течь. После недолгих поисков был найден другой сорт резины и утечки этиленгликоля прекратились (18393).</w:t>
      </w:r>
    </w:p>
    <w:p w14:paraId="2E86564F" w14:textId="77777777" w:rsidR="00B642B8" w:rsidRPr="007122AB" w:rsidRDefault="00B642B8" w:rsidP="007122AB">
      <w:pPr>
        <w:spacing w:after="0" w:line="240" w:lineRule="auto"/>
        <w:jc w:val="both"/>
        <w:rPr>
          <w:rFonts w:ascii="Times New Roman" w:hAnsi="Times New Roman"/>
          <w:color w:val="000000" w:themeColor="text1"/>
          <w:sz w:val="16"/>
          <w:szCs w:val="16"/>
        </w:rPr>
      </w:pPr>
    </w:p>
    <w:p w14:paraId="72A9F0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первые два штурмовика ТШ-1 вывели на аэродром. Самолеты вели себя в воздухе нормально, хотя имелись трудности с системой охлаждения двига</w:t>
      </w:r>
      <w:r w:rsidRPr="007122AB">
        <w:rPr>
          <w:rFonts w:ascii="Times New Roman" w:hAnsi="Times New Roman"/>
          <w:color w:val="000000" w:themeColor="text1"/>
          <w:sz w:val="16"/>
          <w:szCs w:val="16"/>
        </w:rPr>
        <w:softHyphen/>
        <w:t>теля. Многие замечания к конструкции ТШ-1 учли в моди</w:t>
      </w:r>
      <w:r w:rsidRPr="007122AB">
        <w:rPr>
          <w:rFonts w:ascii="Times New Roman" w:hAnsi="Times New Roman"/>
          <w:color w:val="000000" w:themeColor="text1"/>
          <w:sz w:val="16"/>
          <w:szCs w:val="16"/>
        </w:rPr>
        <w:softHyphen/>
        <w:t>фикации ТШ-2 с БМВ-У1, после доводок рекомендован</w:t>
      </w:r>
      <w:r w:rsidRPr="007122AB">
        <w:rPr>
          <w:rFonts w:ascii="Times New Roman" w:hAnsi="Times New Roman"/>
          <w:color w:val="000000" w:themeColor="text1"/>
          <w:sz w:val="16"/>
          <w:szCs w:val="16"/>
        </w:rPr>
        <w:softHyphen/>
        <w:t>ной к серийной постройке. При полетном весе 3225 кг самолет развивал у земли максимальную скорость 213,5 км/ч, на высоте 3000 м - 192 км/ч. В дальнейшем на нем предполагалось установить новые отечественные моторы М-18 и М-27. Всего выпущено около десяти ТШ-2 (10667).</w:t>
      </w:r>
    </w:p>
    <w:p w14:paraId="7C78D2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331091" w14:textId="77777777" w:rsidR="00CF1B85" w:rsidRPr="007122AB" w:rsidRDefault="00CF1B8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года начались летные испытания ТШ-1, которые выполняли заводские летчики Б.Л. Бухгольц, Ю.И. Пионтковский, затем М.А. </w:t>
      </w:r>
      <w:proofErr w:type="spellStart"/>
      <w:r w:rsidRPr="007122AB">
        <w:rPr>
          <w:rFonts w:ascii="Times New Roman" w:hAnsi="Times New Roman"/>
          <w:color w:val="000000" w:themeColor="text1"/>
          <w:sz w:val="16"/>
          <w:szCs w:val="16"/>
        </w:rPr>
        <w:t>Волковойнов</w:t>
      </w:r>
      <w:proofErr w:type="spellEnd"/>
      <w:r w:rsidRPr="007122AB">
        <w:rPr>
          <w:rFonts w:ascii="Times New Roman" w:hAnsi="Times New Roman"/>
          <w:color w:val="000000" w:themeColor="text1"/>
          <w:sz w:val="16"/>
          <w:szCs w:val="16"/>
        </w:rPr>
        <w:t xml:space="preserve"> и другие летчики из НИИ ВВС. Испытания показали, что в принципе ТШ-1 отвечает своему назначению. Однако, из-за большого взлетного веса (около 4 т), разбег и пробег были очень велики. Угловатая </w:t>
      </w:r>
      <w:proofErr w:type="spellStart"/>
      <w:r w:rsidRPr="007122AB">
        <w:rPr>
          <w:rFonts w:ascii="Times New Roman" w:hAnsi="Times New Roman"/>
          <w:color w:val="000000" w:themeColor="text1"/>
          <w:sz w:val="16"/>
          <w:szCs w:val="16"/>
        </w:rPr>
        <w:t>бронекоробка</w:t>
      </w:r>
      <w:proofErr w:type="spellEnd"/>
      <w:r w:rsidRPr="007122AB">
        <w:rPr>
          <w:rFonts w:ascii="Times New Roman" w:hAnsi="Times New Roman"/>
          <w:color w:val="000000" w:themeColor="text1"/>
          <w:sz w:val="16"/>
          <w:szCs w:val="16"/>
        </w:rPr>
        <w:t xml:space="preserve"> ухудшала аэродинамику, самолет медленно набирал высоту. Сильно грелся под броней двигатель, а место для размещения радиатора было ограничено. По причине близости двигателя, находившегося под броней, в пилотской кабине было очень жарко. После 3-4-х посадок приходилось менять амортизаторы шасси. Вскоре была переделана система </w:t>
      </w:r>
      <w:proofErr w:type="spellStart"/>
      <w:r w:rsidRPr="007122AB">
        <w:rPr>
          <w:rFonts w:ascii="Times New Roman" w:hAnsi="Times New Roman"/>
          <w:color w:val="000000" w:themeColor="text1"/>
          <w:sz w:val="16"/>
          <w:szCs w:val="16"/>
        </w:rPr>
        <w:t>маслопитания</w:t>
      </w:r>
      <w:proofErr w:type="spellEnd"/>
      <w:r w:rsidRPr="007122AB">
        <w:rPr>
          <w:rFonts w:ascii="Times New Roman" w:hAnsi="Times New Roman"/>
          <w:color w:val="000000" w:themeColor="text1"/>
          <w:sz w:val="16"/>
          <w:szCs w:val="16"/>
        </w:rPr>
        <w:t xml:space="preserve">, и решено было испробовать этиленгликолевое охлаждение. Для этого впервые в СССР были проведены соответствующие исследовательские работы и испытания. Охлаждение стало работать хорошо, но разъедались </w:t>
      </w:r>
      <w:proofErr w:type="spellStart"/>
      <w:r w:rsidRPr="007122AB">
        <w:rPr>
          <w:rFonts w:ascii="Times New Roman" w:hAnsi="Times New Roman"/>
          <w:color w:val="000000" w:themeColor="text1"/>
          <w:sz w:val="16"/>
          <w:szCs w:val="16"/>
        </w:rPr>
        <w:t>дюритовые</w:t>
      </w:r>
      <w:proofErr w:type="spellEnd"/>
      <w:r w:rsidRPr="007122AB">
        <w:rPr>
          <w:rFonts w:ascii="Times New Roman" w:hAnsi="Times New Roman"/>
          <w:color w:val="000000" w:themeColor="text1"/>
          <w:sz w:val="16"/>
          <w:szCs w:val="16"/>
        </w:rPr>
        <w:t xml:space="preserve"> рукава между цилиндрами, в других стыках и возникала течь. После недолгих поисков был найден другой сорт резины и утечки этиленгликоля прекратились (15223).</w:t>
      </w:r>
    </w:p>
    <w:p w14:paraId="3C0F6950" w14:textId="77777777" w:rsidR="00CF1B85" w:rsidRPr="007122AB" w:rsidRDefault="00CF1B85" w:rsidP="007122AB">
      <w:pPr>
        <w:shd w:val="clear" w:color="auto" w:fill="FFFFFF"/>
        <w:spacing w:after="0" w:line="240" w:lineRule="auto"/>
        <w:jc w:val="both"/>
        <w:rPr>
          <w:rFonts w:ascii="Times New Roman" w:hAnsi="Times New Roman"/>
          <w:color w:val="000000" w:themeColor="text1"/>
          <w:sz w:val="16"/>
          <w:szCs w:val="16"/>
        </w:rPr>
      </w:pPr>
    </w:p>
    <w:p w14:paraId="1B9DFD04"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Начиная с ян</w:t>
      </w:r>
      <w:r w:rsidRPr="007122AB">
        <w:rPr>
          <w:rFonts w:ascii="Times New Roman" w:hAnsi="Times New Roman"/>
          <w:color w:val="000000" w:themeColor="text1"/>
          <w:sz w:val="16"/>
          <w:szCs w:val="16"/>
          <w:lang w:eastAsia="ru-RU" w:bidi="ru-RU"/>
        </w:rPr>
        <w:softHyphen/>
        <w:t>варя 1931 г., судя по документам, работы по ТШ-1 резко замед</w:t>
      </w:r>
      <w:r w:rsidRPr="007122AB">
        <w:rPr>
          <w:rFonts w:ascii="Times New Roman" w:hAnsi="Times New Roman"/>
          <w:color w:val="000000" w:themeColor="text1"/>
          <w:sz w:val="16"/>
          <w:szCs w:val="16"/>
          <w:lang w:eastAsia="ru-RU" w:bidi="ru-RU"/>
        </w:rPr>
        <w:softHyphen/>
        <w:t>лились, а вскоре и вовсе прекратились. Несмотря на большой объем изы</w:t>
      </w:r>
      <w:r w:rsidRPr="007122AB">
        <w:rPr>
          <w:rFonts w:ascii="Times New Roman" w:hAnsi="Times New Roman"/>
          <w:color w:val="000000" w:themeColor="text1"/>
          <w:sz w:val="16"/>
          <w:szCs w:val="16"/>
          <w:lang w:eastAsia="ru-RU" w:bidi="ru-RU"/>
        </w:rPr>
        <w:softHyphen/>
        <w:t>скательской работы и значительные уси</w:t>
      </w:r>
      <w:r w:rsidRPr="007122AB">
        <w:rPr>
          <w:rFonts w:ascii="Times New Roman" w:hAnsi="Times New Roman"/>
          <w:color w:val="000000" w:themeColor="text1"/>
          <w:sz w:val="16"/>
          <w:szCs w:val="16"/>
          <w:lang w:eastAsia="ru-RU" w:bidi="ru-RU"/>
        </w:rPr>
        <w:softHyphen/>
        <w:t>лия конструкторов, облик ТШ-1 (и про</w:t>
      </w:r>
      <w:r w:rsidRPr="007122AB">
        <w:rPr>
          <w:rFonts w:ascii="Times New Roman" w:hAnsi="Times New Roman"/>
          <w:color w:val="000000" w:themeColor="text1"/>
          <w:sz w:val="16"/>
          <w:szCs w:val="16"/>
          <w:lang w:eastAsia="ru-RU" w:bidi="ru-RU"/>
        </w:rPr>
        <w:softHyphen/>
        <w:t>ект) не складывался. Мощности моторов, удельные весовые и прочностные харак</w:t>
      </w:r>
      <w:r w:rsidRPr="007122AB">
        <w:rPr>
          <w:rFonts w:ascii="Times New Roman" w:hAnsi="Times New Roman"/>
          <w:color w:val="000000" w:themeColor="text1"/>
          <w:sz w:val="16"/>
          <w:szCs w:val="16"/>
          <w:lang w:eastAsia="ru-RU" w:bidi="ru-RU"/>
        </w:rPr>
        <w:softHyphen/>
        <w:t>теристики брони и других конструкцион</w:t>
      </w:r>
      <w:r w:rsidRPr="007122AB">
        <w:rPr>
          <w:rFonts w:ascii="Times New Roman" w:hAnsi="Times New Roman"/>
          <w:color w:val="000000" w:themeColor="text1"/>
          <w:sz w:val="16"/>
          <w:szCs w:val="16"/>
          <w:lang w:eastAsia="ru-RU" w:bidi="ru-RU"/>
        </w:rPr>
        <w:softHyphen/>
        <w:t>ных материалов того времени явно не со</w:t>
      </w:r>
      <w:r w:rsidRPr="007122AB">
        <w:rPr>
          <w:rFonts w:ascii="Times New Roman" w:hAnsi="Times New Roman"/>
          <w:color w:val="000000" w:themeColor="text1"/>
          <w:sz w:val="16"/>
          <w:szCs w:val="16"/>
          <w:lang w:eastAsia="ru-RU" w:bidi="ru-RU"/>
        </w:rPr>
        <w:softHyphen/>
        <w:t>ответствовали поставленной задаче. По</w:t>
      </w:r>
      <w:r w:rsidRPr="007122AB">
        <w:rPr>
          <w:rFonts w:ascii="Times New Roman" w:hAnsi="Times New Roman"/>
          <w:color w:val="000000" w:themeColor="text1"/>
          <w:sz w:val="16"/>
          <w:szCs w:val="16"/>
          <w:lang w:eastAsia="ru-RU" w:bidi="ru-RU"/>
        </w:rPr>
        <w:softHyphen/>
        <w:t>этому трудности, встреченные конструк</w:t>
      </w:r>
      <w:r w:rsidRPr="007122AB">
        <w:rPr>
          <w:rFonts w:ascii="Times New Roman" w:hAnsi="Times New Roman"/>
          <w:color w:val="000000" w:themeColor="text1"/>
          <w:sz w:val="16"/>
          <w:szCs w:val="16"/>
          <w:lang w:eastAsia="ru-RU" w:bidi="ru-RU"/>
        </w:rPr>
        <w:softHyphen/>
        <w:t>торами, казались непреодолимыми. Требовалось кардинально «уточнить» летно-боевые данные тяжелого штурмо</w:t>
      </w:r>
      <w:r w:rsidRPr="007122AB">
        <w:rPr>
          <w:rFonts w:ascii="Times New Roman" w:hAnsi="Times New Roman"/>
          <w:color w:val="000000" w:themeColor="text1"/>
          <w:sz w:val="16"/>
          <w:szCs w:val="16"/>
          <w:lang w:eastAsia="ru-RU" w:bidi="ru-RU"/>
        </w:rPr>
        <w:softHyphen/>
        <w:t>вика, что упиралось в необходимость кор</w:t>
      </w:r>
      <w:r w:rsidRPr="007122AB">
        <w:rPr>
          <w:rFonts w:ascii="Times New Roman" w:hAnsi="Times New Roman"/>
          <w:color w:val="000000" w:themeColor="text1"/>
          <w:sz w:val="16"/>
          <w:szCs w:val="16"/>
          <w:lang w:eastAsia="ru-RU" w:bidi="ru-RU"/>
        </w:rPr>
        <w:softHyphen/>
        <w:t>ректировать утвержденную систему воо</w:t>
      </w:r>
      <w:r w:rsidRPr="007122AB">
        <w:rPr>
          <w:rFonts w:ascii="Times New Roman" w:hAnsi="Times New Roman"/>
          <w:color w:val="000000" w:themeColor="text1"/>
          <w:sz w:val="16"/>
          <w:szCs w:val="16"/>
          <w:lang w:eastAsia="ru-RU" w:bidi="ru-RU"/>
        </w:rPr>
        <w:softHyphen/>
        <w:t>ружений ВВС КА (21062).</w:t>
      </w:r>
    </w:p>
    <w:p w14:paraId="17004FB5" w14:textId="77777777" w:rsidR="00BE087B" w:rsidRPr="007122AB" w:rsidRDefault="00BE087B" w:rsidP="007122AB">
      <w:pPr>
        <w:spacing w:after="0" w:line="240" w:lineRule="auto"/>
        <w:jc w:val="both"/>
        <w:rPr>
          <w:rFonts w:ascii="Times New Roman" w:hAnsi="Times New Roman"/>
          <w:color w:val="000000" w:themeColor="text1"/>
          <w:sz w:val="16"/>
          <w:szCs w:val="16"/>
          <w:lang w:eastAsia="ru-RU" w:bidi="ru-RU"/>
        </w:rPr>
      </w:pPr>
    </w:p>
    <w:p w14:paraId="3647E5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года был подготовлен отчет по испытаниям самолета ТШ-2.</w:t>
      </w:r>
    </w:p>
    <w:p w14:paraId="7F3665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ТШ-2, постройки ЦКБ мотор БМВ VI - 7,3 N 17010 - 500/730 НР. Винт Д=3,35 м Н-2,45 м.</w:t>
      </w:r>
    </w:p>
    <w:p w14:paraId="64E15F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350C52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Получение основных характеристик самолета, данного типа и накопление опыты для постройки следующих.</w:t>
      </w:r>
    </w:p>
    <w:p w14:paraId="34B5A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A061A" w:rsidRPr="007122AB" w14:paraId="35A5CE80" w14:textId="77777777">
        <w:tc>
          <w:tcPr>
            <w:tcW w:w="3757" w:type="dxa"/>
          </w:tcPr>
          <w:p w14:paraId="38C323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w:t>
            </w:r>
          </w:p>
        </w:tc>
        <w:tc>
          <w:tcPr>
            <w:tcW w:w="3757" w:type="dxa"/>
          </w:tcPr>
          <w:p w14:paraId="31236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3225 кг</w:t>
            </w:r>
          </w:p>
        </w:tc>
      </w:tr>
      <w:tr w:rsidR="00EA061A" w:rsidRPr="007122AB" w14:paraId="0F0E3ABD" w14:textId="77777777">
        <w:tc>
          <w:tcPr>
            <w:tcW w:w="3757" w:type="dxa"/>
          </w:tcPr>
          <w:p w14:paraId="34EFE7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(включая броню)</w:t>
            </w:r>
          </w:p>
        </w:tc>
        <w:tc>
          <w:tcPr>
            <w:tcW w:w="3757" w:type="dxa"/>
          </w:tcPr>
          <w:p w14:paraId="72931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1545 кг</w:t>
            </w:r>
          </w:p>
        </w:tc>
      </w:tr>
      <w:tr w:rsidR="00B65F32" w:rsidRPr="007122AB" w14:paraId="05F8D50B" w14:textId="77777777">
        <w:tc>
          <w:tcPr>
            <w:tcW w:w="3757" w:type="dxa"/>
          </w:tcPr>
          <w:p w14:paraId="2FF014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Несущая поверхность</w:t>
            </w:r>
          </w:p>
        </w:tc>
        <w:tc>
          <w:tcPr>
            <w:tcW w:w="3757" w:type="dxa"/>
          </w:tcPr>
          <w:p w14:paraId="28454F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48,53 м кв.</w:t>
            </w:r>
          </w:p>
        </w:tc>
      </w:tr>
      <w:tr w:rsidR="00B65F32" w:rsidRPr="007122AB" w14:paraId="26606A46" w14:textId="77777777">
        <w:tc>
          <w:tcPr>
            <w:tcW w:w="3757" w:type="dxa"/>
          </w:tcPr>
          <w:p w14:paraId="3611C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м кв.</w:t>
            </w:r>
          </w:p>
        </w:tc>
        <w:tc>
          <w:tcPr>
            <w:tcW w:w="3757" w:type="dxa"/>
          </w:tcPr>
          <w:p w14:paraId="62425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66,5 кг/м кв.</w:t>
            </w:r>
          </w:p>
        </w:tc>
      </w:tr>
      <w:tr w:rsidR="00B65F32" w:rsidRPr="007122AB" w14:paraId="56B3CCF3" w14:textId="77777777">
        <w:tc>
          <w:tcPr>
            <w:tcW w:w="3757" w:type="dxa"/>
          </w:tcPr>
          <w:p w14:paraId="5BD9CB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НР</w:t>
            </w:r>
          </w:p>
        </w:tc>
        <w:tc>
          <w:tcPr>
            <w:tcW w:w="3757" w:type="dxa"/>
          </w:tcPr>
          <w:p w14:paraId="4D65D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6,46/4,43 кг/НР</w:t>
            </w:r>
          </w:p>
        </w:tc>
      </w:tr>
      <w:tr w:rsidR="00B65F32" w:rsidRPr="007122AB" w14:paraId="1ACB34EA" w14:textId="77777777">
        <w:tc>
          <w:tcPr>
            <w:tcW w:w="3757" w:type="dxa"/>
          </w:tcPr>
          <w:p w14:paraId="4ACA5D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(с высотным газом) у земли</w:t>
            </w:r>
          </w:p>
        </w:tc>
        <w:tc>
          <w:tcPr>
            <w:tcW w:w="3757" w:type="dxa"/>
          </w:tcPr>
          <w:p w14:paraId="50605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213,5-1600 об/мин.</w:t>
            </w:r>
          </w:p>
        </w:tc>
      </w:tr>
      <w:tr w:rsidR="00B65F32" w:rsidRPr="007122AB" w14:paraId="1350419E" w14:textId="77777777">
        <w:tc>
          <w:tcPr>
            <w:tcW w:w="3757" w:type="dxa"/>
          </w:tcPr>
          <w:p w14:paraId="00B9B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1000 м</w:t>
            </w:r>
          </w:p>
        </w:tc>
        <w:tc>
          <w:tcPr>
            <w:tcW w:w="3757" w:type="dxa"/>
          </w:tcPr>
          <w:p w14:paraId="6F365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209,0-1560 -"-</w:t>
            </w:r>
          </w:p>
        </w:tc>
      </w:tr>
      <w:tr w:rsidR="00B65F32" w:rsidRPr="007122AB" w14:paraId="2299D6A3" w14:textId="77777777">
        <w:tc>
          <w:tcPr>
            <w:tcW w:w="3757" w:type="dxa"/>
          </w:tcPr>
          <w:p w14:paraId="08F21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3000 м</w:t>
            </w:r>
          </w:p>
        </w:tc>
        <w:tc>
          <w:tcPr>
            <w:tcW w:w="3757" w:type="dxa"/>
          </w:tcPr>
          <w:p w14:paraId="496E2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192,0-1540 -"-</w:t>
            </w:r>
          </w:p>
        </w:tc>
      </w:tr>
      <w:tr w:rsidR="00B65F32" w:rsidRPr="007122AB" w14:paraId="6D254E2D" w14:textId="77777777">
        <w:tc>
          <w:tcPr>
            <w:tcW w:w="3757" w:type="dxa"/>
          </w:tcPr>
          <w:p w14:paraId="02CBE3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 на 3000 м (</w:t>
            </w:r>
            <w:proofErr w:type="spellStart"/>
            <w:r w:rsidRPr="007122AB">
              <w:rPr>
                <w:rFonts w:ascii="Times New Roman" w:hAnsi="Times New Roman"/>
                <w:color w:val="000000" w:themeColor="text1"/>
                <w:sz w:val="16"/>
                <w:szCs w:val="16"/>
              </w:rPr>
              <w:t>норм.обороты</w:t>
            </w:r>
            <w:proofErr w:type="spellEnd"/>
            <w:r w:rsidRPr="007122AB">
              <w:rPr>
                <w:rFonts w:ascii="Times New Roman" w:hAnsi="Times New Roman"/>
                <w:color w:val="000000" w:themeColor="text1"/>
                <w:sz w:val="16"/>
                <w:szCs w:val="16"/>
              </w:rPr>
              <w:t>)</w:t>
            </w:r>
          </w:p>
        </w:tc>
        <w:tc>
          <w:tcPr>
            <w:tcW w:w="3757" w:type="dxa"/>
          </w:tcPr>
          <w:p w14:paraId="62DA5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 мин.</w:t>
            </w:r>
          </w:p>
        </w:tc>
      </w:tr>
      <w:tr w:rsidR="00B65F32" w:rsidRPr="007122AB" w14:paraId="77C00897" w14:textId="77777777">
        <w:tc>
          <w:tcPr>
            <w:tcW w:w="3757" w:type="dxa"/>
          </w:tcPr>
          <w:p w14:paraId="4B3510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виража</w:t>
            </w:r>
          </w:p>
        </w:tc>
        <w:tc>
          <w:tcPr>
            <w:tcW w:w="3757" w:type="dxa"/>
          </w:tcPr>
          <w:p w14:paraId="4DC41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17,0-17,5 сек.</w:t>
            </w:r>
          </w:p>
        </w:tc>
      </w:tr>
      <w:tr w:rsidR="00B65F32" w:rsidRPr="007122AB" w14:paraId="2F78078F" w14:textId="77777777">
        <w:tc>
          <w:tcPr>
            <w:tcW w:w="3757" w:type="dxa"/>
          </w:tcPr>
          <w:p w14:paraId="1D168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восьмерки</w:t>
            </w:r>
          </w:p>
        </w:tc>
        <w:tc>
          <w:tcPr>
            <w:tcW w:w="3757" w:type="dxa"/>
          </w:tcPr>
          <w:p w14:paraId="05808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 сек.</w:t>
            </w:r>
          </w:p>
        </w:tc>
      </w:tr>
      <w:tr w:rsidR="00B65F32" w:rsidRPr="007122AB" w14:paraId="06742198" w14:textId="77777777">
        <w:tc>
          <w:tcPr>
            <w:tcW w:w="3757" w:type="dxa"/>
          </w:tcPr>
          <w:p w14:paraId="2AC6BB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Разбег</w:t>
            </w:r>
          </w:p>
        </w:tc>
        <w:tc>
          <w:tcPr>
            <w:tcW w:w="3757" w:type="dxa"/>
          </w:tcPr>
          <w:p w14:paraId="251089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12-13 сек. - 160-180 м</w:t>
            </w:r>
          </w:p>
        </w:tc>
      </w:tr>
      <w:tr w:rsidR="00B65F32" w:rsidRPr="007122AB" w14:paraId="4CE3E734" w14:textId="77777777">
        <w:tc>
          <w:tcPr>
            <w:tcW w:w="3757" w:type="dxa"/>
          </w:tcPr>
          <w:p w14:paraId="30396A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Пробег</w:t>
            </w:r>
          </w:p>
        </w:tc>
        <w:tc>
          <w:tcPr>
            <w:tcW w:w="3757" w:type="dxa"/>
          </w:tcPr>
          <w:p w14:paraId="25AF3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сек. - 120-130 м</w:t>
            </w:r>
          </w:p>
        </w:tc>
      </w:tr>
    </w:tbl>
    <w:p w14:paraId="5E298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вывод</w:t>
      </w:r>
    </w:p>
    <w:p w14:paraId="7B310D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 в настоящем виде не может быть принят на вооружение частей ВВС.</w:t>
      </w:r>
    </w:p>
    <w:p w14:paraId="23F1B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Возвратить самолет в ЦКБ для доделки вооружения и прочих спецслужб.</w:t>
      </w:r>
    </w:p>
    <w:p w14:paraId="0AA7FD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журнал прохождения работ</w:t>
      </w:r>
    </w:p>
    <w:p w14:paraId="69A3E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Распоряжением зам. нач. УВВС испытание самолета производилось совместно с ЦКБ.</w:t>
      </w:r>
    </w:p>
    <w:p w14:paraId="4F60F7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2 ноября 1930 г.</w:t>
      </w:r>
    </w:p>
    <w:p w14:paraId="5601C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окончено 26 декабря 1930 г.</w:t>
      </w:r>
    </w:p>
    <w:p w14:paraId="1E3CF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Пребывание самолета в НИИ - 28 дней</w:t>
      </w:r>
    </w:p>
    <w:p w14:paraId="236DDD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Пребывание самолета в ЦКБ - 27 дней</w:t>
      </w:r>
    </w:p>
    <w:p w14:paraId="48CB86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10</w:t>
      </w:r>
    </w:p>
    <w:p w14:paraId="42FE6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Описание</w:t>
      </w:r>
    </w:p>
    <w:p w14:paraId="340DE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самолета: двухместный бронированный штурмовик.</w:t>
      </w:r>
    </w:p>
    <w:p w14:paraId="156D8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Краткое описание конструкции самолета</w:t>
      </w:r>
    </w:p>
    <w:p w14:paraId="2513B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самолет - биплан с выносом верхнего крыла.</w:t>
      </w:r>
    </w:p>
    <w:p w14:paraId="7FFB4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верхних и нижних плоскостей одинакова. Размах верхних плоскостей на 1200 мм больше нижних. Коробка планов с N образными стойками расчалена стальными лентами. Элероны имеются на верхних и нижних плоскостях.</w:t>
      </w:r>
    </w:p>
    <w:p w14:paraId="65ACD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Мотор и передняя часть фюзеляжа, включая сидение наблюдателя бронированы. Броня служит остовом фюзеляжа. Задняя часть фюзеляжа из стальных сваренных труб с расчалками. Плоскости имеют деревянные лонжероны. Покрытие всего самолета полотняное. Шасси из стальных труб. Амортизация из резиновых колец на передних ногах шасси. Костыль управляемый.</w:t>
      </w:r>
    </w:p>
    <w:p w14:paraId="336546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Винтомоторная группа.</w:t>
      </w:r>
    </w:p>
    <w:p w14:paraId="4F4D90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самолета служит основой моторной рамы.</w:t>
      </w:r>
    </w:p>
    <w:p w14:paraId="6DB46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имеется три бензиновых бака. 1-й центральный расположен в ногах летчика, закрыт броней.</w:t>
      </w:r>
    </w:p>
    <w:p w14:paraId="3CACE7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2-а сбрасывающиеся - расположены у корней нижних крыльев.</w:t>
      </w:r>
    </w:p>
    <w:p w14:paraId="50324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Масляный бак перед сидением летчика тоже закрыт бронею. Охлаждение мотора этиленгликолем. Радиатор расположен впереди под мотором - сотовый из двух секций. Радиатор регулируется бронированными жалюзи.</w:t>
      </w:r>
    </w:p>
    <w:p w14:paraId="33AD62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Система охлаждения герметична.</w:t>
      </w:r>
    </w:p>
    <w:p w14:paraId="1DB25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расширительном бачке имеется два клапана - редукционный поддерживающий давление в схеме и обратный, уничтожающий вакуум при остывании смеси.</w:t>
      </w:r>
    </w:p>
    <w:p w14:paraId="5E65A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Вооружение самолета.</w:t>
      </w:r>
    </w:p>
    <w:p w14:paraId="7DB762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2 пулемета для стрельбы через винт.</w:t>
      </w:r>
    </w:p>
    <w:p w14:paraId="7F404E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Задняя турель с пулеметом ПВ-Ф.</w:t>
      </w:r>
    </w:p>
    <w:p w14:paraId="611BA8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Пул. батареи на нижних плоскостях по 4 пулемета на крыле: всего 8 штук.</w:t>
      </w:r>
    </w:p>
    <w:p w14:paraId="7D0F85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Предусмотрена установка кассетного бомбодержателя под сидением летчика.</w:t>
      </w:r>
    </w:p>
    <w:p w14:paraId="5781D1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Программа краткого летного испытания.</w:t>
      </w:r>
    </w:p>
    <w:p w14:paraId="2A4181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Определение скороподъемности.</w:t>
      </w:r>
    </w:p>
    <w:p w14:paraId="2E171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Определение горизонтальных скоростей.</w:t>
      </w:r>
    </w:p>
    <w:p w14:paraId="466ABA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Определение управляемости на 1000 м и 200 м.</w:t>
      </w:r>
    </w:p>
    <w:p w14:paraId="077A17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Определение устойчивости.</w:t>
      </w:r>
    </w:p>
    <w:p w14:paraId="71D724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Определение преемственности к различным режимам на высоте 25-50 м.</w:t>
      </w:r>
    </w:p>
    <w:p w14:paraId="65A72E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Облет летчиками НИИ.</w:t>
      </w:r>
    </w:p>
    <w:p w14:paraId="59B0F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 Результаты произведенных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B65F32" w:rsidRPr="007122AB" w14:paraId="6D2FAEC5" w14:textId="77777777">
        <w:tc>
          <w:tcPr>
            <w:tcW w:w="2254" w:type="dxa"/>
          </w:tcPr>
          <w:p w14:paraId="7468C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самолета</w:t>
            </w:r>
          </w:p>
        </w:tc>
        <w:tc>
          <w:tcPr>
            <w:tcW w:w="2254" w:type="dxa"/>
          </w:tcPr>
          <w:p w14:paraId="73786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9,53 м</w:t>
            </w:r>
          </w:p>
        </w:tc>
      </w:tr>
      <w:tr w:rsidR="00B65F32" w:rsidRPr="007122AB" w14:paraId="37606512" w14:textId="77777777">
        <w:tc>
          <w:tcPr>
            <w:tcW w:w="2254" w:type="dxa"/>
          </w:tcPr>
          <w:p w14:paraId="5950A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самолета</w:t>
            </w:r>
          </w:p>
        </w:tc>
        <w:tc>
          <w:tcPr>
            <w:tcW w:w="2254" w:type="dxa"/>
          </w:tcPr>
          <w:p w14:paraId="07071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 м</w:t>
            </w:r>
          </w:p>
        </w:tc>
      </w:tr>
      <w:tr w:rsidR="00B65F32" w:rsidRPr="007122AB" w14:paraId="036D8E48" w14:textId="77777777">
        <w:tc>
          <w:tcPr>
            <w:tcW w:w="2254" w:type="dxa"/>
          </w:tcPr>
          <w:p w14:paraId="081230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верхней плоскости</w:t>
            </w:r>
          </w:p>
        </w:tc>
        <w:tc>
          <w:tcPr>
            <w:tcW w:w="2254" w:type="dxa"/>
          </w:tcPr>
          <w:p w14:paraId="3CCF9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14,2 м</w:t>
            </w:r>
          </w:p>
        </w:tc>
      </w:tr>
      <w:tr w:rsidR="00B65F32" w:rsidRPr="007122AB" w14:paraId="4DF20445" w14:textId="77777777">
        <w:tc>
          <w:tcPr>
            <w:tcW w:w="2254" w:type="dxa"/>
          </w:tcPr>
          <w:p w14:paraId="1CF812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нижней плоскости</w:t>
            </w:r>
          </w:p>
        </w:tc>
        <w:tc>
          <w:tcPr>
            <w:tcW w:w="2254" w:type="dxa"/>
          </w:tcPr>
          <w:p w14:paraId="73F66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 м</w:t>
            </w:r>
          </w:p>
        </w:tc>
      </w:tr>
      <w:tr w:rsidR="00B65F32" w:rsidRPr="007122AB" w14:paraId="17B50DCB" w14:textId="77777777">
        <w:tc>
          <w:tcPr>
            <w:tcW w:w="2254" w:type="dxa"/>
          </w:tcPr>
          <w:p w14:paraId="589ABB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Хорда верхнего крыла</w:t>
            </w:r>
          </w:p>
        </w:tc>
        <w:tc>
          <w:tcPr>
            <w:tcW w:w="2254" w:type="dxa"/>
          </w:tcPr>
          <w:p w14:paraId="431F02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 м</w:t>
            </w:r>
          </w:p>
        </w:tc>
      </w:tr>
      <w:tr w:rsidR="00B65F32" w:rsidRPr="007122AB" w14:paraId="6CC07357" w14:textId="77777777">
        <w:tc>
          <w:tcPr>
            <w:tcW w:w="2254" w:type="dxa"/>
          </w:tcPr>
          <w:p w14:paraId="17DEF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Расстояние между планами</w:t>
            </w:r>
          </w:p>
        </w:tc>
        <w:tc>
          <w:tcPr>
            <w:tcW w:w="2254" w:type="dxa"/>
          </w:tcPr>
          <w:p w14:paraId="5EEE08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w:t>
            </w:r>
          </w:p>
        </w:tc>
      </w:tr>
      <w:tr w:rsidR="00B65F32" w:rsidRPr="007122AB" w14:paraId="7D6BFCBD" w14:textId="77777777">
        <w:tc>
          <w:tcPr>
            <w:tcW w:w="2254" w:type="dxa"/>
          </w:tcPr>
          <w:p w14:paraId="2E15D1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Несущая поверхность</w:t>
            </w:r>
          </w:p>
        </w:tc>
        <w:tc>
          <w:tcPr>
            <w:tcW w:w="2254" w:type="dxa"/>
          </w:tcPr>
          <w:p w14:paraId="1620A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48,53 м кв.</w:t>
            </w:r>
          </w:p>
        </w:tc>
      </w:tr>
      <w:tr w:rsidR="00B65F32" w:rsidRPr="007122AB" w14:paraId="04D3A893" w14:textId="77777777">
        <w:tc>
          <w:tcPr>
            <w:tcW w:w="2254" w:type="dxa"/>
          </w:tcPr>
          <w:p w14:paraId="32CBD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верхнего крыла</w:t>
            </w:r>
          </w:p>
        </w:tc>
        <w:tc>
          <w:tcPr>
            <w:tcW w:w="2254" w:type="dxa"/>
          </w:tcPr>
          <w:p w14:paraId="509F28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7122AB" w14:paraId="21ADD412" w14:textId="77777777">
        <w:tc>
          <w:tcPr>
            <w:tcW w:w="2254" w:type="dxa"/>
          </w:tcPr>
          <w:p w14:paraId="46F6CB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элеронами)</w:t>
            </w:r>
          </w:p>
        </w:tc>
        <w:tc>
          <w:tcPr>
            <w:tcW w:w="2254" w:type="dxa"/>
          </w:tcPr>
          <w:p w14:paraId="04E6B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 м</w:t>
            </w:r>
          </w:p>
        </w:tc>
      </w:tr>
      <w:tr w:rsidR="00B65F32" w:rsidRPr="007122AB" w14:paraId="1A6366A4" w14:textId="77777777">
        <w:tc>
          <w:tcPr>
            <w:tcW w:w="2254" w:type="dxa"/>
          </w:tcPr>
          <w:p w14:paraId="24AD8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элеронов</w:t>
            </w:r>
          </w:p>
        </w:tc>
        <w:tc>
          <w:tcPr>
            <w:tcW w:w="2254" w:type="dxa"/>
          </w:tcPr>
          <w:p w14:paraId="3071D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2,48 м</w:t>
            </w:r>
          </w:p>
        </w:tc>
      </w:tr>
      <w:tr w:rsidR="00B65F32" w:rsidRPr="007122AB" w14:paraId="1C408108" w14:textId="77777777">
        <w:tc>
          <w:tcPr>
            <w:tcW w:w="2254" w:type="dxa"/>
          </w:tcPr>
          <w:p w14:paraId="72657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Площадь нижнего крыла </w:t>
            </w:r>
          </w:p>
        </w:tc>
        <w:tc>
          <w:tcPr>
            <w:tcW w:w="2254" w:type="dxa"/>
          </w:tcPr>
          <w:p w14:paraId="38CC9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7122AB" w14:paraId="2D22F785" w14:textId="77777777">
        <w:tc>
          <w:tcPr>
            <w:tcW w:w="2254" w:type="dxa"/>
          </w:tcPr>
          <w:p w14:paraId="71A2E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элеронами)</w:t>
            </w:r>
          </w:p>
        </w:tc>
        <w:tc>
          <w:tcPr>
            <w:tcW w:w="2254" w:type="dxa"/>
          </w:tcPr>
          <w:p w14:paraId="10D74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22,74 м</w:t>
            </w:r>
          </w:p>
        </w:tc>
      </w:tr>
      <w:tr w:rsidR="00B65F32" w:rsidRPr="007122AB" w14:paraId="2835951C" w14:textId="77777777">
        <w:tc>
          <w:tcPr>
            <w:tcW w:w="2254" w:type="dxa"/>
          </w:tcPr>
          <w:p w14:paraId="317E8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элеронов</w:t>
            </w:r>
          </w:p>
        </w:tc>
        <w:tc>
          <w:tcPr>
            <w:tcW w:w="2254" w:type="dxa"/>
          </w:tcPr>
          <w:p w14:paraId="5D15C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2,27 м</w:t>
            </w:r>
          </w:p>
        </w:tc>
      </w:tr>
      <w:tr w:rsidR="00B65F32" w:rsidRPr="007122AB" w14:paraId="7F019B4F" w14:textId="77777777">
        <w:tc>
          <w:tcPr>
            <w:tcW w:w="2254" w:type="dxa"/>
          </w:tcPr>
          <w:p w14:paraId="2AA614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горизонтального</w:t>
            </w:r>
          </w:p>
        </w:tc>
        <w:tc>
          <w:tcPr>
            <w:tcW w:w="2254" w:type="dxa"/>
          </w:tcPr>
          <w:p w14:paraId="40650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6,60 м</w:t>
            </w:r>
          </w:p>
        </w:tc>
      </w:tr>
      <w:tr w:rsidR="00B65F32" w:rsidRPr="007122AB" w14:paraId="697F5578" w14:textId="77777777">
        <w:tc>
          <w:tcPr>
            <w:tcW w:w="2254" w:type="dxa"/>
          </w:tcPr>
          <w:p w14:paraId="7BB01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оперения</w:t>
            </w:r>
          </w:p>
        </w:tc>
        <w:tc>
          <w:tcPr>
            <w:tcW w:w="2254" w:type="dxa"/>
          </w:tcPr>
          <w:p w14:paraId="2CA5A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7122AB" w14:paraId="226060F8" w14:textId="77777777">
        <w:tc>
          <w:tcPr>
            <w:tcW w:w="2254" w:type="dxa"/>
          </w:tcPr>
          <w:p w14:paraId="54FEDE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стабилизатора</w:t>
            </w:r>
          </w:p>
        </w:tc>
        <w:tc>
          <w:tcPr>
            <w:tcW w:w="2254" w:type="dxa"/>
          </w:tcPr>
          <w:p w14:paraId="509FED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 м</w:t>
            </w:r>
          </w:p>
        </w:tc>
      </w:tr>
      <w:tr w:rsidR="00B65F32" w:rsidRPr="007122AB" w14:paraId="75B32515" w14:textId="77777777">
        <w:tc>
          <w:tcPr>
            <w:tcW w:w="2254" w:type="dxa"/>
          </w:tcPr>
          <w:p w14:paraId="6674D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руля глубины</w:t>
            </w:r>
          </w:p>
        </w:tc>
        <w:tc>
          <w:tcPr>
            <w:tcW w:w="2254" w:type="dxa"/>
          </w:tcPr>
          <w:p w14:paraId="2CACA1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 м</w:t>
            </w:r>
          </w:p>
        </w:tc>
      </w:tr>
      <w:tr w:rsidR="00B65F32" w:rsidRPr="007122AB" w14:paraId="3270CEF5" w14:textId="77777777">
        <w:tc>
          <w:tcPr>
            <w:tcW w:w="2254" w:type="dxa"/>
          </w:tcPr>
          <w:p w14:paraId="74A29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вертикального</w:t>
            </w:r>
          </w:p>
        </w:tc>
        <w:tc>
          <w:tcPr>
            <w:tcW w:w="2254" w:type="dxa"/>
          </w:tcPr>
          <w:p w14:paraId="1D251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7122AB" w14:paraId="7A7D3A10" w14:textId="77777777">
        <w:tc>
          <w:tcPr>
            <w:tcW w:w="2254" w:type="dxa"/>
          </w:tcPr>
          <w:p w14:paraId="2CC05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оперения</w:t>
            </w:r>
          </w:p>
        </w:tc>
        <w:tc>
          <w:tcPr>
            <w:tcW w:w="2254" w:type="dxa"/>
          </w:tcPr>
          <w:p w14:paraId="68F783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м</w:t>
            </w:r>
          </w:p>
        </w:tc>
      </w:tr>
      <w:tr w:rsidR="00B65F32" w:rsidRPr="007122AB" w14:paraId="1A6322E3" w14:textId="77777777">
        <w:tc>
          <w:tcPr>
            <w:tcW w:w="2254" w:type="dxa"/>
          </w:tcPr>
          <w:p w14:paraId="31297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киля</w:t>
            </w:r>
          </w:p>
        </w:tc>
        <w:tc>
          <w:tcPr>
            <w:tcW w:w="2254" w:type="dxa"/>
          </w:tcPr>
          <w:p w14:paraId="1E360B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 м</w:t>
            </w:r>
          </w:p>
        </w:tc>
      </w:tr>
      <w:tr w:rsidR="00B65F32" w:rsidRPr="007122AB" w14:paraId="58AB1E10" w14:textId="77777777">
        <w:tc>
          <w:tcPr>
            <w:tcW w:w="2254" w:type="dxa"/>
          </w:tcPr>
          <w:p w14:paraId="683E10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руля поворота</w:t>
            </w:r>
          </w:p>
        </w:tc>
        <w:tc>
          <w:tcPr>
            <w:tcW w:w="2254" w:type="dxa"/>
          </w:tcPr>
          <w:p w14:paraId="300F5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 м</w:t>
            </w:r>
          </w:p>
        </w:tc>
      </w:tr>
      <w:tr w:rsidR="00B65F32" w:rsidRPr="007122AB" w14:paraId="3F9CD8CD" w14:textId="77777777">
        <w:tc>
          <w:tcPr>
            <w:tcW w:w="2254" w:type="dxa"/>
          </w:tcPr>
          <w:p w14:paraId="37AD3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колеи</w:t>
            </w:r>
          </w:p>
        </w:tc>
        <w:tc>
          <w:tcPr>
            <w:tcW w:w="2254" w:type="dxa"/>
          </w:tcPr>
          <w:p w14:paraId="0B89C6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w:t>
            </w:r>
          </w:p>
        </w:tc>
      </w:tr>
      <w:tr w:rsidR="00B65F32" w:rsidRPr="007122AB" w14:paraId="11783CC8" w14:textId="77777777">
        <w:tc>
          <w:tcPr>
            <w:tcW w:w="2254" w:type="dxa"/>
          </w:tcPr>
          <w:p w14:paraId="7F3615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Размер колес</w:t>
            </w:r>
          </w:p>
        </w:tc>
        <w:tc>
          <w:tcPr>
            <w:tcW w:w="2254" w:type="dxa"/>
          </w:tcPr>
          <w:p w14:paraId="58F6DC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900х200</w:t>
            </w:r>
          </w:p>
        </w:tc>
      </w:tr>
      <w:tr w:rsidR="00B65F32" w:rsidRPr="007122AB" w14:paraId="493FA6E1" w14:textId="77777777">
        <w:tc>
          <w:tcPr>
            <w:tcW w:w="2254" w:type="dxa"/>
          </w:tcPr>
          <w:p w14:paraId="4CC08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Размер втулки колеса</w:t>
            </w:r>
          </w:p>
        </w:tc>
        <w:tc>
          <w:tcPr>
            <w:tcW w:w="2254" w:type="dxa"/>
          </w:tcPr>
          <w:p w14:paraId="1228F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d=80 мм; Z=220 мм</w:t>
            </w:r>
          </w:p>
        </w:tc>
      </w:tr>
      <w:tr w:rsidR="00B65F32" w:rsidRPr="007122AB" w14:paraId="1C504982" w14:textId="77777777">
        <w:tc>
          <w:tcPr>
            <w:tcW w:w="2254" w:type="dxa"/>
          </w:tcPr>
          <w:p w14:paraId="29F1D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самолета</w:t>
            </w:r>
          </w:p>
        </w:tc>
        <w:tc>
          <w:tcPr>
            <w:tcW w:w="2254" w:type="dxa"/>
          </w:tcPr>
          <w:p w14:paraId="3CE79B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7122AB" w14:paraId="6EC5675B" w14:textId="77777777">
        <w:tc>
          <w:tcPr>
            <w:tcW w:w="2254" w:type="dxa"/>
          </w:tcPr>
          <w:p w14:paraId="4F20D1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Горючее</w:t>
            </w:r>
          </w:p>
        </w:tc>
        <w:tc>
          <w:tcPr>
            <w:tcW w:w="2254" w:type="dxa"/>
          </w:tcPr>
          <w:p w14:paraId="391B7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 кг</w:t>
            </w:r>
          </w:p>
        </w:tc>
      </w:tr>
      <w:tr w:rsidR="00B65F32" w:rsidRPr="007122AB" w14:paraId="63242FFF" w14:textId="77777777">
        <w:tc>
          <w:tcPr>
            <w:tcW w:w="2254" w:type="dxa"/>
          </w:tcPr>
          <w:p w14:paraId="261AFF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Масла</w:t>
            </w:r>
          </w:p>
        </w:tc>
        <w:tc>
          <w:tcPr>
            <w:tcW w:w="2254" w:type="dxa"/>
          </w:tcPr>
          <w:p w14:paraId="74C5CB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 кг</w:t>
            </w:r>
          </w:p>
        </w:tc>
      </w:tr>
      <w:tr w:rsidR="00B65F32" w:rsidRPr="007122AB" w14:paraId="3EF47513" w14:textId="77777777">
        <w:tc>
          <w:tcPr>
            <w:tcW w:w="2254" w:type="dxa"/>
          </w:tcPr>
          <w:p w14:paraId="7E523C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с парашютом</w:t>
            </w:r>
          </w:p>
        </w:tc>
        <w:tc>
          <w:tcPr>
            <w:tcW w:w="2254" w:type="dxa"/>
          </w:tcPr>
          <w:p w14:paraId="33EDA5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176,0 кг</w:t>
            </w:r>
          </w:p>
        </w:tc>
      </w:tr>
      <w:tr w:rsidR="00B65F32" w:rsidRPr="007122AB" w14:paraId="4530D5EB" w14:textId="77777777">
        <w:tc>
          <w:tcPr>
            <w:tcW w:w="2254" w:type="dxa"/>
          </w:tcPr>
          <w:p w14:paraId="433C4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w:t>
            </w:r>
          </w:p>
        </w:tc>
        <w:tc>
          <w:tcPr>
            <w:tcW w:w="2254" w:type="dxa"/>
          </w:tcPr>
          <w:p w14:paraId="7990D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532,0 кг</w:t>
            </w:r>
          </w:p>
        </w:tc>
      </w:tr>
      <w:tr w:rsidR="00B65F32" w:rsidRPr="007122AB" w14:paraId="392320AE" w14:textId="77777777">
        <w:tc>
          <w:tcPr>
            <w:tcW w:w="2254" w:type="dxa"/>
          </w:tcPr>
          <w:p w14:paraId="7D8B8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т.д.</w:t>
            </w:r>
          </w:p>
        </w:tc>
        <w:tc>
          <w:tcPr>
            <w:tcW w:w="2254" w:type="dxa"/>
          </w:tcPr>
          <w:p w14:paraId="6BFF38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7122AB" w14:paraId="1DFDBFD6" w14:textId="77777777">
        <w:tc>
          <w:tcPr>
            <w:tcW w:w="2254" w:type="dxa"/>
          </w:tcPr>
          <w:p w14:paraId="13A99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w:t>
            </w:r>
          </w:p>
        </w:tc>
        <w:tc>
          <w:tcPr>
            <w:tcW w:w="2254" w:type="dxa"/>
          </w:tcPr>
          <w:p w14:paraId="6B1EF7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3225 кг (3234)</w:t>
            </w:r>
          </w:p>
        </w:tc>
      </w:tr>
    </w:tbl>
    <w:p w14:paraId="2AB52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962DFA"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январе 1931 г. выпущен на испытания легкий штурмовик ЛШ (ЦКБ-5) положивший начало семейству самолетов-штурмовиков разработки ЦКБ (23559).</w:t>
      </w:r>
    </w:p>
    <w:p w14:paraId="2B6EB413" w14:textId="77777777" w:rsidR="00E252B8" w:rsidRPr="00441F34" w:rsidRDefault="00E252B8" w:rsidP="00E252B8">
      <w:pPr>
        <w:spacing w:after="0" w:line="240" w:lineRule="auto"/>
        <w:jc w:val="both"/>
        <w:rPr>
          <w:rFonts w:ascii="Times New Roman" w:hAnsi="Times New Roman"/>
          <w:color w:val="0070C0"/>
          <w:sz w:val="16"/>
          <w:szCs w:val="16"/>
        </w:rPr>
      </w:pPr>
    </w:p>
    <w:p w14:paraId="03CBF2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были закончены войсковые испытания самолета И-5, давшие вполне удовлетворительные результаты. В процессе испытаний выявлены дефекты тяг управления и масляного бака, устраняемые в серийной постройке. Были усилены капоты (6918).</w:t>
      </w:r>
    </w:p>
    <w:p w14:paraId="42320B7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DB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И-5 закончились войсковые испытания в </w:t>
      </w:r>
      <w:proofErr w:type="spellStart"/>
      <w:r w:rsidRPr="007122AB">
        <w:rPr>
          <w:rFonts w:ascii="Times New Roman" w:hAnsi="Times New Roman"/>
          <w:color w:val="000000" w:themeColor="text1"/>
          <w:sz w:val="16"/>
          <w:szCs w:val="16"/>
        </w:rPr>
        <w:t>в</w:t>
      </w:r>
      <w:proofErr w:type="spellEnd"/>
      <w:r w:rsidRPr="007122AB">
        <w:rPr>
          <w:rFonts w:ascii="Times New Roman" w:hAnsi="Times New Roman"/>
          <w:color w:val="000000" w:themeColor="text1"/>
          <w:sz w:val="16"/>
          <w:szCs w:val="16"/>
        </w:rPr>
        <w:t xml:space="preserve"> 73-м авиаотряде 5-й авиабригады в Киеве, которые </w:t>
      </w:r>
      <w:proofErr w:type="spellStart"/>
      <w:r w:rsidRPr="007122AB">
        <w:rPr>
          <w:rFonts w:ascii="Times New Roman" w:hAnsi="Times New Roman"/>
          <w:color w:val="000000" w:themeColor="text1"/>
          <w:sz w:val="16"/>
          <w:szCs w:val="16"/>
        </w:rPr>
        <w:t>прлоходили</w:t>
      </w:r>
      <w:proofErr w:type="spellEnd"/>
      <w:r w:rsidRPr="007122AB">
        <w:rPr>
          <w:rFonts w:ascii="Times New Roman" w:hAnsi="Times New Roman"/>
          <w:color w:val="000000" w:themeColor="text1"/>
          <w:sz w:val="16"/>
          <w:szCs w:val="16"/>
        </w:rPr>
        <w:t xml:space="preserve"> с ноября 1930. Летали на лыжах. Вывод - с-т </w:t>
      </w:r>
      <w:proofErr w:type="spellStart"/>
      <w:r w:rsidRPr="007122AB">
        <w:rPr>
          <w:rFonts w:ascii="Times New Roman" w:hAnsi="Times New Roman"/>
          <w:color w:val="000000" w:themeColor="text1"/>
          <w:sz w:val="16"/>
          <w:szCs w:val="16"/>
        </w:rPr>
        <w:t>м.б.</w:t>
      </w:r>
      <w:proofErr w:type="spellEnd"/>
      <w:r w:rsidRPr="007122AB">
        <w:rPr>
          <w:rFonts w:ascii="Times New Roman" w:hAnsi="Times New Roman"/>
          <w:color w:val="000000" w:themeColor="text1"/>
          <w:sz w:val="16"/>
          <w:szCs w:val="16"/>
        </w:rPr>
        <w:t xml:space="preserve"> принят на снабжение ВВС (7498, 28).</w:t>
      </w:r>
    </w:p>
    <w:p w14:paraId="7E710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05CACD"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завод заложил эту первую серию из пяти самолётов. Сперва стали делать только две машины - с номерами 2201 и 2202. На них </w:t>
      </w:r>
      <w:proofErr w:type="spellStart"/>
      <w:r w:rsidRPr="007122AB">
        <w:rPr>
          <w:rFonts w:ascii="Times New Roman" w:hAnsi="Times New Roman"/>
          <w:color w:val="000000" w:themeColor="text1"/>
          <w:sz w:val="16"/>
          <w:szCs w:val="16"/>
        </w:rPr>
        <w:t>собира-лись</w:t>
      </w:r>
      <w:proofErr w:type="spellEnd"/>
      <w:r w:rsidRPr="007122AB">
        <w:rPr>
          <w:rFonts w:ascii="Times New Roman" w:hAnsi="Times New Roman"/>
          <w:color w:val="000000" w:themeColor="text1"/>
          <w:sz w:val="16"/>
          <w:szCs w:val="16"/>
        </w:rPr>
        <w:t xml:space="preserve"> отработать окончательную схему размещения оборудования и вооружения, так и не определённую до сих пор заказчиком. Тогда это считалось нормой: ждать некогда, надо давать план! (12264).</w:t>
      </w:r>
    </w:p>
    <w:p w14:paraId="664202FF" w14:textId="77777777" w:rsidR="001522BB" w:rsidRPr="007122AB" w:rsidRDefault="001522BB" w:rsidP="007122AB">
      <w:pPr>
        <w:spacing w:after="0" w:line="240" w:lineRule="auto"/>
        <w:jc w:val="both"/>
        <w:rPr>
          <w:rFonts w:ascii="Times New Roman" w:hAnsi="Times New Roman"/>
          <w:color w:val="000000" w:themeColor="text1"/>
          <w:sz w:val="16"/>
          <w:szCs w:val="16"/>
        </w:rPr>
      </w:pPr>
    </w:p>
    <w:p w14:paraId="0D79D964"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года авиазавод сдавал первые И-5. При принятии решения о серийном произ</w:t>
      </w:r>
      <w:r w:rsidRPr="007122AB">
        <w:rPr>
          <w:rFonts w:ascii="Times New Roman" w:hAnsi="Times New Roman"/>
          <w:color w:val="000000" w:themeColor="text1"/>
          <w:sz w:val="16"/>
          <w:szCs w:val="16"/>
        </w:rPr>
        <w:softHyphen/>
        <w:t>водстве И-5 к процессу предполагалось под</w:t>
      </w:r>
      <w:r w:rsidRPr="007122AB">
        <w:rPr>
          <w:rFonts w:ascii="Times New Roman" w:hAnsi="Times New Roman"/>
          <w:color w:val="000000" w:themeColor="text1"/>
          <w:sz w:val="16"/>
          <w:szCs w:val="16"/>
        </w:rPr>
        <w:softHyphen/>
        <w:t>ключить заводы №1, №39 и №22 (послед</w:t>
      </w:r>
      <w:r w:rsidRPr="007122AB">
        <w:rPr>
          <w:rFonts w:ascii="Times New Roman" w:hAnsi="Times New Roman"/>
          <w:color w:val="000000" w:themeColor="text1"/>
          <w:sz w:val="16"/>
          <w:szCs w:val="16"/>
        </w:rPr>
        <w:softHyphen/>
        <w:t>ний для изготовления металлических агрега</w:t>
      </w:r>
      <w:r w:rsidRPr="007122AB">
        <w:rPr>
          <w:rFonts w:ascii="Times New Roman" w:hAnsi="Times New Roman"/>
          <w:color w:val="000000" w:themeColor="text1"/>
          <w:sz w:val="16"/>
          <w:szCs w:val="16"/>
        </w:rPr>
        <w:softHyphen/>
        <w:t>тов). Однако до конца года единственными построенными И-5 стали указанные уже ис</w:t>
      </w:r>
      <w:r w:rsidRPr="007122AB">
        <w:rPr>
          <w:rFonts w:ascii="Times New Roman" w:hAnsi="Times New Roman"/>
          <w:color w:val="000000" w:themeColor="text1"/>
          <w:sz w:val="16"/>
          <w:szCs w:val="16"/>
        </w:rPr>
        <w:softHyphen/>
        <w:t xml:space="preserve">требители 39-го завода. </w:t>
      </w:r>
    </w:p>
    <w:p w14:paraId="16958242"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в декабре 1930 г. руководству ВВС пришлось признать, что «...Производство самолетов находится в за</w:t>
      </w:r>
      <w:r w:rsidRPr="007122AB">
        <w:rPr>
          <w:rFonts w:ascii="Times New Roman" w:hAnsi="Times New Roman"/>
          <w:color w:val="000000" w:themeColor="text1"/>
          <w:sz w:val="16"/>
          <w:szCs w:val="16"/>
        </w:rPr>
        <w:softHyphen/>
        <w:t>чаточном состоянии».</w:t>
      </w:r>
    </w:p>
    <w:p w14:paraId="00B2E8E9"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года завод №39 сдал </w:t>
      </w: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че</w:t>
      </w:r>
      <w:r w:rsidRPr="007122AB">
        <w:rPr>
          <w:rFonts w:ascii="Times New Roman" w:hAnsi="Times New Roman"/>
          <w:color w:val="000000" w:themeColor="text1"/>
          <w:sz w:val="16"/>
          <w:szCs w:val="16"/>
        </w:rPr>
        <w:softHyphen/>
        <w:t>тыре серийные машины из первого заказа — таким образом, общее количество изготов</w:t>
      </w:r>
      <w:r w:rsidRPr="007122AB">
        <w:rPr>
          <w:rFonts w:ascii="Times New Roman" w:hAnsi="Times New Roman"/>
          <w:color w:val="000000" w:themeColor="text1"/>
          <w:sz w:val="16"/>
          <w:szCs w:val="16"/>
        </w:rPr>
        <w:softHyphen/>
        <w:t>ленных здесь И-5 составило 12 экземпляров.</w:t>
      </w:r>
    </w:p>
    <w:p w14:paraId="6A9DD855"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Хотя выпуск И-5 в 1931 году почти полно</w:t>
      </w:r>
      <w:r w:rsidRPr="007122AB">
        <w:rPr>
          <w:rFonts w:ascii="Times New Roman" w:hAnsi="Times New Roman"/>
          <w:color w:val="000000" w:themeColor="text1"/>
          <w:sz w:val="16"/>
          <w:szCs w:val="16"/>
        </w:rPr>
        <w:softHyphen/>
        <w:t>стью перешел на завод №1, вся техническая поддержка по-прежнему осуществлялась отде</w:t>
      </w:r>
      <w:r w:rsidRPr="007122AB">
        <w:rPr>
          <w:rFonts w:ascii="Times New Roman" w:hAnsi="Times New Roman"/>
          <w:color w:val="000000" w:themeColor="text1"/>
          <w:sz w:val="16"/>
          <w:szCs w:val="16"/>
        </w:rPr>
        <w:softHyphen/>
        <w:t>лом доводок (отделом №9) ЦКБ, то есть спе</w:t>
      </w:r>
      <w:r w:rsidRPr="007122AB">
        <w:rPr>
          <w:rFonts w:ascii="Times New Roman" w:hAnsi="Times New Roman"/>
          <w:color w:val="000000" w:themeColor="text1"/>
          <w:sz w:val="16"/>
          <w:szCs w:val="16"/>
        </w:rPr>
        <w:softHyphen/>
        <w:t>циалистами завода №39. Начальником ЦКБ являлся С.В. Ильюшин, его замом (помощни</w:t>
      </w:r>
      <w:r w:rsidRPr="007122AB">
        <w:rPr>
          <w:rFonts w:ascii="Times New Roman" w:hAnsi="Times New Roman"/>
          <w:color w:val="000000" w:themeColor="text1"/>
          <w:sz w:val="16"/>
          <w:szCs w:val="16"/>
        </w:rPr>
        <w:softHyphen/>
        <w:t xml:space="preserve">ком) — А.В.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В.С. Вахмистров — начальником бригады вооружения, И.П. Тол</w:t>
      </w:r>
      <w:r w:rsidRPr="007122AB">
        <w:rPr>
          <w:rFonts w:ascii="Times New Roman" w:hAnsi="Times New Roman"/>
          <w:color w:val="000000" w:themeColor="text1"/>
          <w:sz w:val="16"/>
          <w:szCs w:val="16"/>
        </w:rPr>
        <w:softHyphen/>
        <w:t>стых — начальником секции оборудования.</w:t>
      </w:r>
    </w:p>
    <w:p w14:paraId="44811CBB"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События 1931 года в деле строительства И-5 закончились скромными достижениями (за год построили 66 экземпляров). Все эти самолеты в основном соответствовали аппа</w:t>
      </w:r>
      <w:r w:rsidRPr="007122AB">
        <w:rPr>
          <w:rFonts w:ascii="Times New Roman" w:hAnsi="Times New Roman"/>
          <w:color w:val="000000" w:themeColor="text1"/>
          <w:sz w:val="16"/>
          <w:szCs w:val="16"/>
        </w:rPr>
        <w:softHyphen/>
        <w:t>рату «Клим Ворошилов», внешне отличались увеличенными отверстиями охлаждения и боковыми прорезями (жабрами) в обтекате</w:t>
      </w:r>
      <w:r w:rsidRPr="007122AB">
        <w:rPr>
          <w:rFonts w:ascii="Times New Roman" w:hAnsi="Times New Roman"/>
          <w:color w:val="000000" w:themeColor="text1"/>
          <w:sz w:val="16"/>
          <w:szCs w:val="16"/>
        </w:rPr>
        <w:softHyphen/>
        <w:t>лях головок цилиндров двигателя (12295).</w:t>
      </w:r>
    </w:p>
    <w:p w14:paraId="28380DCC" w14:textId="77777777" w:rsidR="001522BB" w:rsidRPr="007122AB" w:rsidRDefault="001522BB" w:rsidP="007122AB">
      <w:pPr>
        <w:spacing w:after="0" w:line="240" w:lineRule="auto"/>
        <w:jc w:val="both"/>
        <w:rPr>
          <w:rFonts w:ascii="Times New Roman" w:hAnsi="Times New Roman"/>
          <w:color w:val="000000" w:themeColor="text1"/>
          <w:sz w:val="16"/>
          <w:szCs w:val="16"/>
        </w:rPr>
      </w:pPr>
    </w:p>
    <w:p w14:paraId="09761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состоялся первый полет АНТ-8 (МБР-2) А.Н.Т. Обводы оказались удачными (4269,18).</w:t>
      </w:r>
    </w:p>
    <w:p w14:paraId="12AE2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B69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январе 1931 был готов эталон для серии Р-6 и завод 22 готовился (346,35).</w:t>
      </w:r>
    </w:p>
    <w:p w14:paraId="21894C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34FC4B"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январе 1931 г. все необходимое для начала серийной постройки АНТ-7 было готово. Опытный самолет отработали до состоя</w:t>
      </w:r>
      <w:r w:rsidRPr="00441F34">
        <w:rPr>
          <w:rFonts w:ascii="Times New Roman" w:hAnsi="Times New Roman"/>
          <w:color w:val="0070C0"/>
          <w:sz w:val="16"/>
          <w:szCs w:val="16"/>
        </w:rPr>
        <w:softHyphen/>
        <w:t>ния эталона. Завод №22 заканчивал вы</w:t>
      </w:r>
      <w:r w:rsidRPr="00441F34">
        <w:rPr>
          <w:rFonts w:ascii="Times New Roman" w:hAnsi="Times New Roman"/>
          <w:color w:val="0070C0"/>
          <w:sz w:val="16"/>
          <w:szCs w:val="16"/>
        </w:rPr>
        <w:softHyphen/>
        <w:t>пуск необходимых чертежей и готовился к серийному производству (23474).</w:t>
      </w:r>
    </w:p>
    <w:p w14:paraId="4BBF9200" w14:textId="77777777" w:rsidR="00E252B8" w:rsidRPr="00441F34" w:rsidRDefault="00E252B8" w:rsidP="00E252B8">
      <w:pPr>
        <w:spacing w:after="0" w:line="240" w:lineRule="auto"/>
        <w:jc w:val="both"/>
        <w:rPr>
          <w:rFonts w:ascii="Times New Roman" w:hAnsi="Times New Roman"/>
          <w:color w:val="0070C0"/>
          <w:sz w:val="16"/>
          <w:szCs w:val="16"/>
        </w:rPr>
      </w:pPr>
    </w:p>
    <w:p w14:paraId="0F50F227"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январе 1931 г. для АНТ-7 остановились на пушке калибра 20 мм. Документы о реализации этого проекта пока не найдены (23474).</w:t>
      </w:r>
    </w:p>
    <w:p w14:paraId="2F668814" w14:textId="77777777" w:rsidR="00E252B8" w:rsidRPr="00441F34" w:rsidRDefault="00E252B8" w:rsidP="00E252B8">
      <w:pPr>
        <w:spacing w:after="0" w:line="240" w:lineRule="auto"/>
        <w:jc w:val="both"/>
        <w:rPr>
          <w:rFonts w:ascii="Times New Roman" w:hAnsi="Times New Roman"/>
          <w:color w:val="0070C0"/>
          <w:sz w:val="16"/>
          <w:szCs w:val="16"/>
        </w:rPr>
      </w:pPr>
    </w:p>
    <w:p w14:paraId="2B4151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УВВС и ЦАГИ согласовали состав оборонительного вооружения для АНТ-16 (ТБ-4) с учетом экипажа из 12 чел.: две установки по 2 20 мм пушки, пять установок под спаренные ПВ-1. </w:t>
      </w:r>
      <w:proofErr w:type="spellStart"/>
      <w:r w:rsidRPr="007122AB">
        <w:rPr>
          <w:rFonts w:ascii="Times New Roman" w:hAnsi="Times New Roman"/>
          <w:color w:val="000000" w:themeColor="text1"/>
          <w:sz w:val="16"/>
          <w:szCs w:val="16"/>
        </w:rPr>
        <w:t>Бободержатели</w:t>
      </w:r>
      <w:proofErr w:type="spellEnd"/>
      <w:r w:rsidRPr="007122AB">
        <w:rPr>
          <w:rFonts w:ascii="Times New Roman" w:hAnsi="Times New Roman"/>
          <w:color w:val="000000" w:themeColor="text1"/>
          <w:sz w:val="16"/>
          <w:szCs w:val="16"/>
        </w:rPr>
        <w:t xml:space="preserve"> для 4-х250 или 20х500 бомб внутри, одно 1000 или 2000 снаружи (7388, 7).</w:t>
      </w:r>
    </w:p>
    <w:p w14:paraId="03EB52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D27B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после проверки обводов модели в ЦАГИ начали строить МДР-3 4 БМВ-6, разработанный </w:t>
      </w:r>
      <w:proofErr w:type="spellStart"/>
      <w:r w:rsidRPr="007122AB">
        <w:rPr>
          <w:rFonts w:ascii="Times New Roman" w:hAnsi="Times New Roman"/>
          <w:color w:val="000000" w:themeColor="text1"/>
          <w:sz w:val="16"/>
          <w:szCs w:val="16"/>
        </w:rPr>
        <w:t>И.В.Четвериковым</w:t>
      </w:r>
      <w:proofErr w:type="spellEnd"/>
      <w:r w:rsidRPr="007122AB">
        <w:rPr>
          <w:rFonts w:ascii="Times New Roman" w:hAnsi="Times New Roman"/>
          <w:color w:val="000000" w:themeColor="text1"/>
          <w:sz w:val="16"/>
          <w:szCs w:val="16"/>
        </w:rPr>
        <w:t xml:space="preserve"> в морском отделе ЦКБ (1085,111).</w:t>
      </w:r>
    </w:p>
    <w:p w14:paraId="26DB78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AA3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модель МДР-3 испытали в недавно </w:t>
      </w:r>
      <w:proofErr w:type="spellStart"/>
      <w:r w:rsidRPr="007122AB">
        <w:rPr>
          <w:rFonts w:ascii="Times New Roman" w:hAnsi="Times New Roman"/>
          <w:color w:val="000000" w:themeColor="text1"/>
          <w:sz w:val="16"/>
          <w:szCs w:val="16"/>
        </w:rPr>
        <w:t>построеннном</w:t>
      </w:r>
      <w:proofErr w:type="spellEnd"/>
      <w:r w:rsidRPr="007122AB">
        <w:rPr>
          <w:rFonts w:ascii="Times New Roman" w:hAnsi="Times New Roman"/>
          <w:color w:val="000000" w:themeColor="text1"/>
          <w:sz w:val="16"/>
          <w:szCs w:val="16"/>
        </w:rPr>
        <w:t xml:space="preserve"> гидроканале ЦАГИ (6472, 31).</w:t>
      </w:r>
    </w:p>
    <w:p w14:paraId="38CD33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4F00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после проверки в гидроканале ЦАГИ МДР-3 </w:t>
      </w:r>
      <w:proofErr w:type="spellStart"/>
      <w:r w:rsidRPr="007122AB">
        <w:rPr>
          <w:rFonts w:ascii="Times New Roman" w:hAnsi="Times New Roman"/>
          <w:color w:val="000000" w:themeColor="text1"/>
          <w:sz w:val="16"/>
          <w:szCs w:val="16"/>
        </w:rPr>
        <w:t>И.В.Четверикова</w:t>
      </w:r>
      <w:proofErr w:type="spellEnd"/>
      <w:r w:rsidRPr="007122AB">
        <w:rPr>
          <w:rFonts w:ascii="Times New Roman" w:hAnsi="Times New Roman"/>
          <w:color w:val="000000" w:themeColor="text1"/>
          <w:sz w:val="16"/>
          <w:szCs w:val="16"/>
        </w:rPr>
        <w:t xml:space="preserve"> приступили к постройке с 4хБМВ-6 (1085,111).</w:t>
      </w:r>
    </w:p>
    <w:p w14:paraId="78CBF3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52DB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w:t>
      </w:r>
      <w:proofErr w:type="spellStart"/>
      <w:r w:rsidRPr="007122AB">
        <w:rPr>
          <w:rFonts w:ascii="Times New Roman" w:hAnsi="Times New Roman"/>
          <w:color w:val="000000" w:themeColor="text1"/>
          <w:sz w:val="16"/>
          <w:szCs w:val="16"/>
        </w:rPr>
        <w:t>Скржинский</w:t>
      </w:r>
      <w:proofErr w:type="spellEnd"/>
      <w:r w:rsidRPr="007122AB">
        <w:rPr>
          <w:rFonts w:ascii="Times New Roman" w:hAnsi="Times New Roman"/>
          <w:color w:val="000000" w:themeColor="text1"/>
          <w:sz w:val="16"/>
          <w:szCs w:val="16"/>
        </w:rPr>
        <w:t xml:space="preserve"> писал Камову:</w:t>
      </w:r>
    </w:p>
    <w:p w14:paraId="5CC713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«Дорогой Николай Ильич! Что Вы сидите в Севастополе? Как скоро вернетесь?.. Нас слили с ЦАГИ. Я назначен зам нач. сухопутного отде</w:t>
      </w:r>
      <w:r w:rsidRPr="007122AB">
        <w:rPr>
          <w:rFonts w:ascii="Times New Roman" w:hAnsi="Times New Roman"/>
          <w:color w:val="000000" w:themeColor="text1"/>
          <w:sz w:val="16"/>
          <w:szCs w:val="16"/>
        </w:rPr>
        <w:softHyphen/>
        <w:t xml:space="preserve">ла. Нач. </w:t>
      </w:r>
      <w:proofErr w:type="spellStart"/>
      <w:r w:rsidRPr="007122AB">
        <w:rPr>
          <w:rFonts w:ascii="Times New Roman" w:hAnsi="Times New Roman"/>
          <w:color w:val="000000" w:themeColor="text1"/>
          <w:sz w:val="16"/>
          <w:szCs w:val="16"/>
        </w:rPr>
        <w:t>Чупилко</w:t>
      </w:r>
      <w:proofErr w:type="spellEnd"/>
      <w:r w:rsidRPr="007122AB">
        <w:rPr>
          <w:rFonts w:ascii="Times New Roman" w:hAnsi="Times New Roman"/>
          <w:color w:val="000000" w:themeColor="text1"/>
          <w:sz w:val="16"/>
          <w:szCs w:val="16"/>
        </w:rPr>
        <w:t>» (10224,33).</w:t>
      </w:r>
    </w:p>
    <w:p w14:paraId="5C3964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00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года ЦАГИ во исполнение декабрьского решения РВС организовал Бюро особых конструкций (БОК). БОК охватывая общую тенденцию развития авиации, изучая и применяя новые принципы летания, должен был разрабатывать, конструировать, строить и </w:t>
      </w:r>
      <w:proofErr w:type="spellStart"/>
      <w:r w:rsidRPr="007122AB">
        <w:rPr>
          <w:rFonts w:ascii="Times New Roman" w:hAnsi="Times New Roman"/>
          <w:color w:val="000000" w:themeColor="text1"/>
          <w:sz w:val="16"/>
          <w:szCs w:val="16"/>
        </w:rPr>
        <w:t>испытываьб</w:t>
      </w:r>
      <w:proofErr w:type="spellEnd"/>
      <w:r w:rsidRPr="007122AB">
        <w:rPr>
          <w:rFonts w:ascii="Times New Roman" w:hAnsi="Times New Roman"/>
          <w:color w:val="000000" w:themeColor="text1"/>
          <w:sz w:val="16"/>
          <w:szCs w:val="16"/>
        </w:rPr>
        <w:t xml:space="preserve"> экспериментальные машины. ЦАГИ, выделив формально начальником Бюро Чижевского В.А., реальной помощи в течении всего 1931 года не оказывало (7508, 54-58).</w:t>
      </w:r>
    </w:p>
    <w:p w14:paraId="00FC7C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2F8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года для закупки летающих лодок «Савойя С-62 бис» в Италию была направлена группа представителей ВВС РККА во главе с инженером технического бюро торгпредства СССР в Берлине И.С. </w:t>
      </w:r>
      <w:proofErr w:type="spellStart"/>
      <w:r w:rsidRPr="007122AB">
        <w:rPr>
          <w:rFonts w:ascii="Times New Roman" w:hAnsi="Times New Roman"/>
          <w:color w:val="000000" w:themeColor="text1"/>
          <w:sz w:val="16"/>
          <w:szCs w:val="16"/>
        </w:rPr>
        <w:t>Вейцером</w:t>
      </w:r>
      <w:proofErr w:type="spellEnd"/>
      <w:r w:rsidRPr="007122AB">
        <w:rPr>
          <w:rFonts w:ascii="Times New Roman" w:hAnsi="Times New Roman"/>
          <w:color w:val="000000" w:themeColor="text1"/>
          <w:sz w:val="16"/>
          <w:szCs w:val="16"/>
        </w:rPr>
        <w:t>, находившимся в то время в Италии. Архивные источники не содержат информации о точном количестве закупленных летающих лодок, но, по мнению В.Б. Шаврова, как минимум одна трехместная машина была приобретена как образец для серийной постройки в Советском Союзе (</w:t>
      </w:r>
      <w:r w:rsidRPr="007122AB">
        <w:rPr>
          <w:rFonts w:ascii="Times New Roman" w:hAnsi="Times New Roman"/>
          <w:iCs/>
          <w:color w:val="000000" w:themeColor="text1"/>
          <w:sz w:val="16"/>
          <w:szCs w:val="16"/>
        </w:rPr>
        <w:t xml:space="preserve">Шавров В.Б. </w:t>
      </w:r>
      <w:r w:rsidRPr="007122AB">
        <w:rPr>
          <w:rFonts w:ascii="Times New Roman" w:hAnsi="Times New Roman"/>
          <w:color w:val="000000" w:themeColor="text1"/>
          <w:sz w:val="16"/>
          <w:szCs w:val="16"/>
        </w:rPr>
        <w:t>Указ. соч. С. 441.). В 1932—1933 гг. в СССР были построены 22 самолета этого типа и 29 самолетов с незначительными конструктивными изменениями с советским наименованием МБР-4 (морской ближний разведчик). Эти самолеты состояли на вооружении в морской авиации ВМФ до 1936 года (11174).</w:t>
      </w:r>
    </w:p>
    <w:p w14:paraId="47736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A937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января 1931 г. начали сдавать серийные моторы М-15.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7122AB">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43C547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025528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9-цилиндровый,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180F2E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450/660 л.с.;</w:t>
      </w:r>
    </w:p>
    <w:p w14:paraId="197B16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150/170 мм;</w:t>
      </w:r>
    </w:p>
    <w:p w14:paraId="221432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27,02 л;</w:t>
      </w:r>
    </w:p>
    <w:p w14:paraId="7BF011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5,4 (фактически 5,5-5,7);</w:t>
      </w:r>
    </w:p>
    <w:p w14:paraId="43D8F4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751ABA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 и серии;</w:t>
      </w:r>
    </w:p>
    <w:p w14:paraId="1D6FE8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имел ПЦН и синхронизатор. Известны варианты:</w:t>
      </w:r>
    </w:p>
    <w:p w14:paraId="6945D9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М-15, первоначальный вариант. Изготовлен в двух опытных экзем</w:t>
      </w:r>
      <w:r w:rsidRPr="007122AB">
        <w:rPr>
          <w:rFonts w:ascii="Times New Roman" w:hAnsi="Times New Roman"/>
          <w:color w:val="000000" w:themeColor="text1"/>
          <w:sz w:val="16"/>
          <w:szCs w:val="16"/>
        </w:rPr>
        <w:softHyphen/>
        <w:t>плярах. Мощность по проекту 500/600 л.с., вес 420 кг.</w:t>
      </w:r>
    </w:p>
    <w:p w14:paraId="37B8D4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2М-15, второй вариант конструкции с усиленными головками цилин</w:t>
      </w:r>
      <w:r w:rsidRPr="007122AB">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122AB">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48BAA6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устанавливался на самолетах К-5, И-5 (опытные образцы), пред</w:t>
      </w:r>
      <w:r w:rsidRPr="007122AB">
        <w:rPr>
          <w:rFonts w:ascii="Times New Roman" w:hAnsi="Times New Roman"/>
          <w:color w:val="000000" w:themeColor="text1"/>
          <w:sz w:val="16"/>
          <w:szCs w:val="16"/>
        </w:rPr>
        <w:softHyphen/>
        <w:t>лагался для установки на И-4 (11852).</w:t>
      </w:r>
    </w:p>
    <w:p w14:paraId="3B821B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DCAD20"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январе 1931 г. при ЦАГИ было создано Бюро особых конструкций (БОК), которое возглавил выпускник Военно-воздушной академии имени </w:t>
      </w:r>
      <w:proofErr w:type="spellStart"/>
      <w:r w:rsidRPr="00441F34">
        <w:rPr>
          <w:rFonts w:ascii="Times New Roman" w:hAnsi="Times New Roman"/>
          <w:color w:val="0070C0"/>
          <w:sz w:val="16"/>
          <w:szCs w:val="16"/>
        </w:rPr>
        <w:t>Н.Е.Жуковского</w:t>
      </w:r>
      <w:proofErr w:type="spellEnd"/>
      <w:r w:rsidRPr="00441F34">
        <w:rPr>
          <w:rFonts w:ascii="Times New Roman" w:hAnsi="Times New Roman"/>
          <w:color w:val="0070C0"/>
          <w:sz w:val="16"/>
          <w:szCs w:val="16"/>
        </w:rPr>
        <w:t>, инженер-конструктор ЦАГИ Владимир Антонович Чижевский. Тематика этого КБ была разнообразной, но главное место в ней отводилось созданию летательных аппаратов с герметическими кабинами. Новое КБ первоначально базировалось на заводе опытных конструкций (ЗОК) ЦАГИ, в феврале 1933 г. оно было переведено в ЦКБ на территорию завода № 39, а летом 1934 г. было перебазировано на авиазавод №35 в Смоленске (24287).</w:t>
      </w:r>
    </w:p>
    <w:p w14:paraId="29EA7B9E" w14:textId="77777777" w:rsidR="00E252B8" w:rsidRPr="00441F34" w:rsidRDefault="00E252B8" w:rsidP="00E252B8">
      <w:pPr>
        <w:spacing w:after="0" w:line="240" w:lineRule="auto"/>
        <w:jc w:val="both"/>
        <w:rPr>
          <w:rFonts w:ascii="Times New Roman" w:hAnsi="Times New Roman"/>
          <w:color w:val="0070C0"/>
          <w:sz w:val="16"/>
          <w:szCs w:val="16"/>
        </w:rPr>
      </w:pPr>
    </w:p>
    <w:p w14:paraId="09657C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18-цилиндровый W- образный (трехрядный) М-27 водяного охлаждения - конкурент М-34 - успешно прошел государственные испытания, показав номинальную мощность 700 л.с. и максимальную - 850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то есть примерно то же, что и двигатель Микулина, но при немного большем весе - 633 кг. Предпочтение отдали М-34, уже подготовленное серийное производство М-27 остановили (12036).</w:t>
      </w:r>
    </w:p>
    <w:p w14:paraId="156713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5187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в ИАМ велась проработка коловратного дви</w:t>
      </w:r>
      <w:r w:rsidRPr="007122AB">
        <w:rPr>
          <w:rFonts w:ascii="Times New Roman" w:hAnsi="Times New Roman"/>
          <w:color w:val="000000" w:themeColor="text1"/>
          <w:sz w:val="16"/>
          <w:szCs w:val="16"/>
        </w:rPr>
        <w:softHyphen/>
        <w:t xml:space="preserve">гателя, автором которой являлся М.С. </w:t>
      </w:r>
      <w:proofErr w:type="spellStart"/>
      <w:r w:rsidRPr="007122AB">
        <w:rPr>
          <w:rFonts w:ascii="Times New Roman" w:hAnsi="Times New Roman"/>
          <w:color w:val="000000" w:themeColor="text1"/>
          <w:sz w:val="16"/>
          <w:szCs w:val="16"/>
        </w:rPr>
        <w:t>Курневич</w:t>
      </w:r>
      <w:proofErr w:type="spellEnd"/>
      <w:r w:rsidRPr="007122AB">
        <w:rPr>
          <w:rFonts w:ascii="Times New Roman" w:hAnsi="Times New Roman"/>
          <w:color w:val="000000" w:themeColor="text1"/>
          <w:sz w:val="16"/>
          <w:szCs w:val="16"/>
        </w:rPr>
        <w:t>. Но дальше рас</w:t>
      </w:r>
      <w:r w:rsidRPr="007122AB">
        <w:rPr>
          <w:rFonts w:ascii="Times New Roman" w:hAnsi="Times New Roman"/>
          <w:color w:val="000000" w:themeColor="text1"/>
          <w:sz w:val="16"/>
          <w:szCs w:val="16"/>
        </w:rPr>
        <w:softHyphen/>
        <w:t>четов и чертежей в обоих случаях не ушли. Неоднократно возникали идеи о создании мотора коловратной схемы. В середине 20-х годов УВВС был предложен проект коловратного дви</w:t>
      </w:r>
      <w:r w:rsidRPr="007122AB">
        <w:rPr>
          <w:rFonts w:ascii="Times New Roman" w:hAnsi="Times New Roman"/>
          <w:color w:val="000000" w:themeColor="text1"/>
          <w:sz w:val="16"/>
          <w:szCs w:val="16"/>
        </w:rPr>
        <w:softHyphen/>
        <w:t>гателя Прохорова (11852).</w:t>
      </w:r>
    </w:p>
    <w:p w14:paraId="08CFB2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55D5A" w14:textId="77777777" w:rsidR="006427C9" w:rsidRPr="007122AB" w:rsidRDefault="006427C9"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январе 1931 г. начал строиться завод № 16 в Воронеже. По первоначальным планам этот завод предполагалось использовать для ремонта самолетов и моторов. К осени этого года завод находился в той стадии строи</w:t>
      </w:r>
      <w:r w:rsidRPr="007122AB">
        <w:rPr>
          <w:rFonts w:ascii="Times New Roman" w:hAnsi="Times New Roman"/>
          <w:color w:val="000000" w:themeColor="text1"/>
          <w:sz w:val="16"/>
          <w:szCs w:val="16"/>
          <w:lang w:eastAsia="ru-RU" w:bidi="ru-RU"/>
        </w:rPr>
        <w:softHyphen/>
        <w:t>тельства, когда еще имелась возможность «довернуть» его под самолетостроитель</w:t>
      </w:r>
      <w:r w:rsidRPr="007122AB">
        <w:rPr>
          <w:rFonts w:ascii="Times New Roman" w:hAnsi="Times New Roman"/>
          <w:color w:val="000000" w:themeColor="text1"/>
          <w:sz w:val="16"/>
          <w:szCs w:val="16"/>
          <w:lang w:eastAsia="ru-RU" w:bidi="ru-RU"/>
        </w:rPr>
        <w:softHyphen/>
        <w:t>ный профиль. В этой связи по распоряже</w:t>
      </w:r>
      <w:r w:rsidRPr="007122AB">
        <w:rPr>
          <w:rFonts w:ascii="Times New Roman" w:hAnsi="Times New Roman"/>
          <w:color w:val="000000" w:themeColor="text1"/>
          <w:sz w:val="16"/>
          <w:szCs w:val="16"/>
          <w:lang w:eastAsia="ru-RU" w:bidi="ru-RU"/>
        </w:rPr>
        <w:softHyphen/>
        <w:t>нию ВАО уже с конца ноября 1931 г. раз</w:t>
      </w:r>
      <w:r w:rsidRPr="007122AB">
        <w:rPr>
          <w:rFonts w:ascii="Times New Roman" w:hAnsi="Times New Roman"/>
          <w:color w:val="000000" w:themeColor="text1"/>
          <w:sz w:val="16"/>
          <w:szCs w:val="16"/>
          <w:lang w:eastAsia="ru-RU" w:bidi="ru-RU"/>
        </w:rPr>
        <w:softHyphen/>
        <w:t>вернулись работы по перепроектированию завода №16 под выпуск самолетов с годо</w:t>
      </w:r>
      <w:r w:rsidRPr="007122AB">
        <w:rPr>
          <w:rFonts w:ascii="Times New Roman" w:hAnsi="Times New Roman"/>
          <w:color w:val="000000" w:themeColor="text1"/>
          <w:sz w:val="16"/>
          <w:szCs w:val="16"/>
          <w:lang w:eastAsia="ru-RU" w:bidi="ru-RU"/>
        </w:rPr>
        <w:softHyphen/>
        <w:t>вой производственной мощностью в 1600 легких штурмовиков типа ЛШ-4 и 200 тя</w:t>
      </w:r>
      <w:r w:rsidRPr="007122AB">
        <w:rPr>
          <w:rFonts w:ascii="Times New Roman" w:hAnsi="Times New Roman"/>
          <w:color w:val="000000" w:themeColor="text1"/>
          <w:sz w:val="16"/>
          <w:szCs w:val="16"/>
          <w:lang w:eastAsia="ru-RU" w:bidi="ru-RU"/>
        </w:rPr>
        <w:softHyphen/>
        <w:t>желых штурмовиков типа ТШ-2 и ТШ-3 (21062).</w:t>
      </w:r>
    </w:p>
    <w:p w14:paraId="37AB4A2B" w14:textId="77777777" w:rsidR="006427C9" w:rsidRPr="007122AB" w:rsidRDefault="006427C9" w:rsidP="007122AB">
      <w:pPr>
        <w:spacing w:after="0" w:line="240" w:lineRule="auto"/>
        <w:jc w:val="both"/>
        <w:rPr>
          <w:rFonts w:ascii="Times New Roman" w:hAnsi="Times New Roman"/>
          <w:color w:val="000000" w:themeColor="text1"/>
          <w:sz w:val="16"/>
          <w:szCs w:val="16"/>
        </w:rPr>
      </w:pPr>
    </w:p>
    <w:p w14:paraId="23017A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в Москве подписывается Соглашение между Военно-строительным Управлением РККА и Всесоюзным объединением авиационной промышленности о передаче для постройки завода земельного участка площадью 71 га, расположенного на территории бывшего завода «Взрыватель». Новый завод планировалось использовать для ремонта самолетов и двигателей. Первым директором назначается Степан Поликарпович Галкин. Подготовка кадров проходила на московских заводах. В октябре 1931 г. завод реконструируется под строительство самолетов, а в 1932 г. начинается выпуск серии штурмовиков ТШ-2 конструкции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С.А.</w:t>
      </w:r>
    </w:p>
    <w:p w14:paraId="0AC571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ТШ-2 представлял собой биплан смешанной конструкции с усиленным бронированием. Его носовая часть выполнялась в виде </w:t>
      </w:r>
      <w:proofErr w:type="spellStart"/>
      <w:r w:rsidRPr="007122AB">
        <w:rPr>
          <w:rFonts w:ascii="Times New Roman" w:hAnsi="Times New Roman"/>
          <w:color w:val="000000" w:themeColor="text1"/>
          <w:sz w:val="16"/>
          <w:szCs w:val="16"/>
        </w:rPr>
        <w:t>бронекоробки</w:t>
      </w:r>
      <w:proofErr w:type="spellEnd"/>
      <w:r w:rsidRPr="007122AB">
        <w:rPr>
          <w:rFonts w:ascii="Times New Roman" w:hAnsi="Times New Roman"/>
          <w:color w:val="000000" w:themeColor="text1"/>
          <w:sz w:val="16"/>
          <w:szCs w:val="16"/>
        </w:rPr>
        <w:t>,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w:t>
      </w:r>
    </w:p>
    <w:p w14:paraId="53B10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49080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37A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январе 1931 в Москве начались переговоры с б. сотрудником Цеппелина </w:t>
      </w:r>
      <w:proofErr w:type="spellStart"/>
      <w:r w:rsidRPr="007122AB">
        <w:rPr>
          <w:rFonts w:ascii="Times New Roman" w:hAnsi="Times New Roman"/>
          <w:color w:val="000000" w:themeColor="text1"/>
          <w:sz w:val="16"/>
          <w:szCs w:val="16"/>
        </w:rPr>
        <w:t>О.Вильке</w:t>
      </w:r>
      <w:proofErr w:type="spellEnd"/>
      <w:r w:rsidRPr="007122AB">
        <w:rPr>
          <w:rFonts w:ascii="Times New Roman" w:hAnsi="Times New Roman"/>
          <w:color w:val="000000" w:themeColor="text1"/>
          <w:sz w:val="16"/>
          <w:szCs w:val="16"/>
        </w:rPr>
        <w:t xml:space="preserve">, а затем в Германию на встречу с </w:t>
      </w:r>
      <w:proofErr w:type="spellStart"/>
      <w:r w:rsidRPr="007122AB">
        <w:rPr>
          <w:rFonts w:ascii="Times New Roman" w:hAnsi="Times New Roman"/>
          <w:color w:val="000000" w:themeColor="text1"/>
          <w:sz w:val="16"/>
          <w:szCs w:val="16"/>
        </w:rPr>
        <w:t>Г.Эккенером</w:t>
      </w:r>
      <w:proofErr w:type="spellEnd"/>
      <w:r w:rsidRPr="007122AB">
        <w:rPr>
          <w:rFonts w:ascii="Times New Roman" w:hAnsi="Times New Roman"/>
          <w:color w:val="000000" w:themeColor="text1"/>
          <w:sz w:val="16"/>
          <w:szCs w:val="16"/>
        </w:rPr>
        <w:t xml:space="preserve"> - руководителем фирмы </w:t>
      </w:r>
      <w:proofErr w:type="spellStart"/>
      <w:r w:rsidRPr="007122AB">
        <w:rPr>
          <w:rFonts w:ascii="Times New Roman" w:hAnsi="Times New Roman"/>
          <w:color w:val="000000" w:themeColor="text1"/>
          <w:sz w:val="16"/>
          <w:szCs w:val="16"/>
        </w:rPr>
        <w:t>Люфтшифтбау</w:t>
      </w:r>
      <w:proofErr w:type="spellEnd"/>
      <w:r w:rsidRPr="007122AB">
        <w:rPr>
          <w:rFonts w:ascii="Times New Roman" w:hAnsi="Times New Roman"/>
          <w:color w:val="000000" w:themeColor="text1"/>
          <w:sz w:val="16"/>
          <w:szCs w:val="16"/>
        </w:rPr>
        <w:t xml:space="preserve"> Цеппелин два раза выезжали представители авиапрома (1795,29).</w:t>
      </w:r>
    </w:p>
    <w:p w14:paraId="19151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FEB22D"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январе 1931 года между военно-строительным управлением РККА и ВАО был подписан договор о передаче для постройки завода земельного участка площадью 71 га, расположенного на территории «Взрывателя». 19 апреля 1931 года по договору от 1 марта 1931 года, заключенному с военно-строительным управлением РККА, и с согласия НКО от 6 марта 1931 года завод № 16 был передан ВАО с оставлением части зданий в эксплуатации 11-й авиабригады. Первым директором назначен С. П. Галкин. По утверждению ряда исследователей, официальным днем рождения завода следует считать 10 августа 1931 года.</w:t>
      </w:r>
    </w:p>
    <w:p w14:paraId="6B0655BE"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управлении военно-воздушных сил страны на новый завод возлагали особые надежды, причем, с изменением его статуса (24153).</w:t>
      </w:r>
    </w:p>
    <w:p w14:paraId="6D143B5A" w14:textId="77777777" w:rsidR="00E252B8" w:rsidRPr="00441F34" w:rsidRDefault="00E252B8" w:rsidP="00E252B8">
      <w:pPr>
        <w:spacing w:after="0" w:line="240" w:lineRule="auto"/>
        <w:jc w:val="both"/>
        <w:rPr>
          <w:rFonts w:ascii="Times New Roman" w:hAnsi="Times New Roman"/>
          <w:color w:val="0070C0"/>
          <w:sz w:val="16"/>
          <w:szCs w:val="16"/>
        </w:rPr>
      </w:pPr>
    </w:p>
    <w:p w14:paraId="4B4D6570" w14:textId="77777777" w:rsidR="0064217F" w:rsidRPr="007122AB" w:rsidRDefault="006421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когда Москву посетил бывший сотрудник Цеп</w:t>
      </w:r>
      <w:r w:rsidRPr="007122AB">
        <w:rPr>
          <w:rFonts w:ascii="Times New Roman" w:hAnsi="Times New Roman"/>
          <w:color w:val="000000" w:themeColor="text1"/>
          <w:sz w:val="16"/>
          <w:szCs w:val="16"/>
        </w:rPr>
        <w:softHyphen/>
        <w:t xml:space="preserve">пелина О. </w:t>
      </w:r>
      <w:proofErr w:type="spellStart"/>
      <w:r w:rsidRPr="007122AB">
        <w:rPr>
          <w:rFonts w:ascii="Times New Roman" w:hAnsi="Times New Roman"/>
          <w:color w:val="000000" w:themeColor="text1"/>
          <w:sz w:val="16"/>
          <w:szCs w:val="16"/>
        </w:rPr>
        <w:t>Вильке</w:t>
      </w:r>
      <w:proofErr w:type="spellEnd"/>
      <w:r w:rsidRPr="007122AB">
        <w:rPr>
          <w:rFonts w:ascii="Times New Roman" w:hAnsi="Times New Roman"/>
          <w:color w:val="000000" w:themeColor="text1"/>
          <w:sz w:val="16"/>
          <w:szCs w:val="16"/>
        </w:rPr>
        <w:t xml:space="preserve">, переговоры продолжились. Для встречи с Г. </w:t>
      </w:r>
      <w:proofErr w:type="spellStart"/>
      <w:r w:rsidRPr="007122AB">
        <w:rPr>
          <w:rFonts w:ascii="Times New Roman" w:hAnsi="Times New Roman"/>
          <w:color w:val="000000" w:themeColor="text1"/>
          <w:sz w:val="16"/>
          <w:szCs w:val="16"/>
        </w:rPr>
        <w:t>Эккенером</w:t>
      </w:r>
      <w:proofErr w:type="spellEnd"/>
      <w:r w:rsidRPr="007122AB">
        <w:rPr>
          <w:rFonts w:ascii="Times New Roman" w:hAnsi="Times New Roman"/>
          <w:color w:val="000000" w:themeColor="text1"/>
          <w:sz w:val="16"/>
          <w:szCs w:val="16"/>
        </w:rPr>
        <w:t xml:space="preserve"> в Германию дважды выезжали начальник ВО ГВФ А.З.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и заместитель начальника «</w:t>
      </w:r>
      <w:proofErr w:type="spellStart"/>
      <w:r w:rsidRPr="007122AB">
        <w:rPr>
          <w:rFonts w:ascii="Times New Roman" w:hAnsi="Times New Roman"/>
          <w:color w:val="000000" w:themeColor="text1"/>
          <w:sz w:val="16"/>
          <w:szCs w:val="16"/>
        </w:rPr>
        <w:t>Дири</w:t>
      </w:r>
      <w:r w:rsidRPr="007122AB">
        <w:rPr>
          <w:rFonts w:ascii="Times New Roman" w:hAnsi="Times New Roman"/>
          <w:color w:val="000000" w:themeColor="text1"/>
          <w:sz w:val="16"/>
          <w:szCs w:val="16"/>
        </w:rPr>
        <w:softHyphen/>
        <w:t>жаблестроя</w:t>
      </w:r>
      <w:proofErr w:type="spellEnd"/>
      <w:r w:rsidRPr="007122AB">
        <w:rPr>
          <w:rFonts w:ascii="Times New Roman" w:hAnsi="Times New Roman"/>
          <w:color w:val="000000" w:themeColor="text1"/>
          <w:sz w:val="16"/>
          <w:szCs w:val="16"/>
        </w:rPr>
        <w:t xml:space="preserve">» А.Н. </w:t>
      </w:r>
      <w:proofErr w:type="spellStart"/>
      <w:r w:rsidRPr="007122AB">
        <w:rPr>
          <w:rFonts w:ascii="Times New Roman" w:hAnsi="Times New Roman"/>
          <w:color w:val="000000" w:themeColor="text1"/>
          <w:sz w:val="16"/>
          <w:szCs w:val="16"/>
        </w:rPr>
        <w:t>Флаксерман</w:t>
      </w:r>
      <w:proofErr w:type="spellEnd"/>
      <w:r w:rsidRPr="007122AB">
        <w:rPr>
          <w:rFonts w:ascii="Times New Roman" w:hAnsi="Times New Roman"/>
          <w:color w:val="000000" w:themeColor="text1"/>
          <w:sz w:val="16"/>
          <w:szCs w:val="16"/>
        </w:rPr>
        <w:t xml:space="preserve"> (20120).</w:t>
      </w:r>
    </w:p>
    <w:p w14:paraId="73396428" w14:textId="77777777" w:rsidR="0064217F" w:rsidRPr="007122AB" w:rsidRDefault="0064217F" w:rsidP="007122AB">
      <w:pPr>
        <w:spacing w:after="0" w:line="240" w:lineRule="auto"/>
        <w:jc w:val="both"/>
        <w:rPr>
          <w:rFonts w:ascii="Times New Roman" w:hAnsi="Times New Roman"/>
          <w:color w:val="000000" w:themeColor="text1"/>
          <w:sz w:val="16"/>
          <w:szCs w:val="16"/>
        </w:rPr>
      </w:pPr>
    </w:p>
    <w:p w14:paraId="585ECF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в Москву прибыл бывший сотрудник Цеп</w:t>
      </w:r>
      <w:r w:rsidRPr="007122AB">
        <w:rPr>
          <w:rFonts w:ascii="Times New Roman" w:hAnsi="Times New Roman"/>
          <w:color w:val="000000" w:themeColor="text1"/>
          <w:sz w:val="16"/>
          <w:szCs w:val="16"/>
        </w:rPr>
        <w:softHyphen/>
        <w:t xml:space="preserve">пелина </w:t>
      </w:r>
      <w:proofErr w:type="spellStart"/>
      <w:r w:rsidRPr="007122AB">
        <w:rPr>
          <w:rFonts w:ascii="Times New Roman" w:hAnsi="Times New Roman"/>
          <w:color w:val="000000" w:themeColor="text1"/>
          <w:sz w:val="16"/>
          <w:szCs w:val="16"/>
        </w:rPr>
        <w:t>О.Вильке</w:t>
      </w:r>
      <w:proofErr w:type="spellEnd"/>
      <w:r w:rsidRPr="007122AB">
        <w:rPr>
          <w:rFonts w:ascii="Times New Roman" w:hAnsi="Times New Roman"/>
          <w:color w:val="000000" w:themeColor="text1"/>
          <w:sz w:val="16"/>
          <w:szCs w:val="16"/>
        </w:rPr>
        <w:t>, с которым начались переговоры о научно-технической помощи в области дирижаблестроения (10670,143).</w:t>
      </w:r>
    </w:p>
    <w:p w14:paraId="483AFB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CB36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вышло постановление СНК, которым строительство и оборудование новых объектов ГВФ отнесли к группе внеочередных и важнейших (333,39).</w:t>
      </w:r>
    </w:p>
    <w:p w14:paraId="23EFB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90B2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О.К.А. направляют в Москву для организации Центрального бюро планерных конструкций Осоавиахима (7483, 7).</w:t>
      </w:r>
    </w:p>
    <w:p w14:paraId="2D2C72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FB5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января 1931 </w:t>
      </w:r>
      <w:proofErr w:type="spellStart"/>
      <w:r w:rsidRPr="007122AB">
        <w:rPr>
          <w:rFonts w:ascii="Times New Roman" w:hAnsi="Times New Roman"/>
          <w:color w:val="000000" w:themeColor="text1"/>
          <w:sz w:val="16"/>
          <w:szCs w:val="16"/>
        </w:rPr>
        <w:t>И.С.Уншлихт</w:t>
      </w:r>
      <w:proofErr w:type="spellEnd"/>
      <w:r w:rsidRPr="007122AB">
        <w:rPr>
          <w:rFonts w:ascii="Times New Roman" w:hAnsi="Times New Roman"/>
          <w:color w:val="000000" w:themeColor="text1"/>
          <w:sz w:val="16"/>
          <w:szCs w:val="16"/>
        </w:rPr>
        <w:t xml:space="preserve"> стал председателем Совета Осоавиахима (117,6).</w:t>
      </w:r>
    </w:p>
    <w:p w14:paraId="4A60C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5CDE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января 1931-го </w:t>
      </w:r>
      <w:proofErr w:type="spellStart"/>
      <w:r w:rsidRPr="007122AB">
        <w:rPr>
          <w:rFonts w:ascii="Times New Roman" w:hAnsi="Times New Roman"/>
          <w:color w:val="000000" w:themeColor="text1"/>
          <w:sz w:val="16"/>
          <w:szCs w:val="16"/>
        </w:rPr>
        <w:t>С.Н.Анохин</w:t>
      </w:r>
      <w:proofErr w:type="spellEnd"/>
      <w:r w:rsidRPr="007122AB">
        <w:rPr>
          <w:rFonts w:ascii="Times New Roman" w:hAnsi="Times New Roman"/>
          <w:color w:val="000000" w:themeColor="text1"/>
          <w:sz w:val="16"/>
          <w:szCs w:val="16"/>
        </w:rPr>
        <w:t xml:space="preserve"> работал в Высшей лётно-планерной школе (ВЛПШ) в Коктебеле (5996).</w:t>
      </w:r>
    </w:p>
    <w:p w14:paraId="6EDAFC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1527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командарм Уборевич внес предложение изготавливать ПБМ и ЗАМ и Майзеля на заводе № 39. При этом завод занимался бы только сборкой из деталей, изготовленных на других предприятиях (8908,36).</w:t>
      </w:r>
    </w:p>
    <w:p w14:paraId="60A65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CC16BD" w14:textId="77777777" w:rsidR="0064217F" w:rsidRPr="007122AB" w:rsidRDefault="006421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в Советском Союзе начинается строительство ленинградского аэропорта Шоссейная (будущего аэропорта Пулково) (20804).</w:t>
      </w:r>
    </w:p>
    <w:p w14:paraId="569149E5" w14:textId="77777777" w:rsidR="0064217F" w:rsidRPr="007122AB" w:rsidRDefault="0064217F" w:rsidP="007122AB">
      <w:pPr>
        <w:spacing w:after="0" w:line="240" w:lineRule="auto"/>
        <w:jc w:val="both"/>
        <w:rPr>
          <w:rFonts w:ascii="Times New Roman" w:hAnsi="Times New Roman"/>
          <w:color w:val="000000" w:themeColor="text1"/>
          <w:sz w:val="16"/>
          <w:szCs w:val="16"/>
        </w:rPr>
      </w:pPr>
    </w:p>
    <w:p w14:paraId="4C6F876A" w14:textId="77777777" w:rsidR="0064217F" w:rsidRPr="007122AB" w:rsidRDefault="006421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на основе КБ </w:t>
      </w:r>
      <w:proofErr w:type="spellStart"/>
      <w:r w:rsidRPr="007122AB">
        <w:rPr>
          <w:rFonts w:ascii="Times New Roman" w:hAnsi="Times New Roman"/>
          <w:color w:val="000000" w:themeColor="text1"/>
          <w:sz w:val="16"/>
          <w:szCs w:val="16"/>
        </w:rPr>
        <w:t>БОСЭД'а</w:t>
      </w:r>
      <w:proofErr w:type="spellEnd"/>
      <w:r w:rsidRPr="007122AB">
        <w:rPr>
          <w:rFonts w:ascii="Times New Roman" w:hAnsi="Times New Roman"/>
          <w:color w:val="000000" w:themeColor="text1"/>
          <w:sz w:val="16"/>
          <w:szCs w:val="16"/>
        </w:rPr>
        <w:t xml:space="preserve"> (Ле</w:t>
      </w:r>
      <w:r w:rsidRPr="007122AB">
        <w:rPr>
          <w:rFonts w:ascii="Times New Roman" w:hAnsi="Times New Roman"/>
          <w:color w:val="000000" w:themeColor="text1"/>
          <w:sz w:val="16"/>
          <w:szCs w:val="16"/>
        </w:rPr>
        <w:softHyphen/>
        <w:t xml:space="preserve">нинград) и Управления </w:t>
      </w:r>
      <w:proofErr w:type="spellStart"/>
      <w:r w:rsidRPr="007122AB">
        <w:rPr>
          <w:rFonts w:ascii="Times New Roman" w:hAnsi="Times New Roman"/>
          <w:color w:val="000000" w:themeColor="text1"/>
          <w:sz w:val="16"/>
          <w:szCs w:val="16"/>
        </w:rPr>
        <w:t>БОСЭД'а</w:t>
      </w:r>
      <w:proofErr w:type="spellEnd"/>
      <w:r w:rsidRPr="007122AB">
        <w:rPr>
          <w:rFonts w:ascii="Times New Roman" w:hAnsi="Times New Roman"/>
          <w:color w:val="000000" w:themeColor="text1"/>
          <w:sz w:val="16"/>
          <w:szCs w:val="16"/>
        </w:rPr>
        <w:t xml:space="preserve"> (Москва) в Ле</w:t>
      </w:r>
      <w:r w:rsidRPr="007122AB">
        <w:rPr>
          <w:rFonts w:ascii="Times New Roman" w:hAnsi="Times New Roman"/>
          <w:color w:val="000000" w:themeColor="text1"/>
          <w:sz w:val="16"/>
          <w:szCs w:val="16"/>
        </w:rPr>
        <w:softHyphen/>
        <w:t>нинграде организовали Научно-исследователь</w:t>
      </w:r>
      <w:r w:rsidRPr="007122AB">
        <w:rPr>
          <w:rFonts w:ascii="Times New Roman" w:hAnsi="Times New Roman"/>
          <w:color w:val="000000" w:themeColor="text1"/>
          <w:sz w:val="16"/>
          <w:szCs w:val="16"/>
        </w:rPr>
        <w:softHyphen/>
        <w:t xml:space="preserve">ский институт по строительству и эксплуатации дирижаблей (НИИ СЭД). Директором института назначили Г.В. </w:t>
      </w:r>
      <w:proofErr w:type="spellStart"/>
      <w:r w:rsidRPr="007122AB">
        <w:rPr>
          <w:rFonts w:ascii="Times New Roman" w:hAnsi="Times New Roman"/>
          <w:color w:val="000000" w:themeColor="text1"/>
          <w:sz w:val="16"/>
          <w:szCs w:val="16"/>
        </w:rPr>
        <w:t>Тарапкина</w:t>
      </w:r>
      <w:proofErr w:type="spellEnd"/>
      <w:r w:rsidRPr="007122AB">
        <w:rPr>
          <w:rFonts w:ascii="Times New Roman" w:hAnsi="Times New Roman"/>
          <w:color w:val="000000" w:themeColor="text1"/>
          <w:sz w:val="16"/>
          <w:szCs w:val="16"/>
        </w:rPr>
        <w:t>, главным конструк</w:t>
      </w:r>
      <w:r w:rsidRPr="007122AB">
        <w:rPr>
          <w:rFonts w:ascii="Times New Roman" w:hAnsi="Times New Roman"/>
          <w:color w:val="000000" w:themeColor="text1"/>
          <w:sz w:val="16"/>
          <w:szCs w:val="16"/>
        </w:rPr>
        <w:softHyphen/>
        <w:t>тором — А.Г. Воробьёва. Там вели работы по проектированию дирижаблей, включавшие раз</w:t>
      </w:r>
      <w:r w:rsidRPr="007122AB">
        <w:rPr>
          <w:rFonts w:ascii="Times New Roman" w:hAnsi="Times New Roman"/>
          <w:color w:val="000000" w:themeColor="text1"/>
          <w:sz w:val="16"/>
          <w:szCs w:val="16"/>
        </w:rPr>
        <w:softHyphen/>
        <w:t>работку методов раскроя оболочек, расчёты по определению форм поперечных сечений, дефор</w:t>
      </w:r>
      <w:r w:rsidRPr="007122AB">
        <w:rPr>
          <w:rFonts w:ascii="Times New Roman" w:hAnsi="Times New Roman"/>
          <w:color w:val="000000" w:themeColor="text1"/>
          <w:sz w:val="16"/>
          <w:szCs w:val="16"/>
        </w:rPr>
        <w:softHyphen/>
        <w:t>мации корпуса, конструирование и расчёт киля, гондол, оперения и клапанов (20120).</w:t>
      </w:r>
    </w:p>
    <w:p w14:paraId="6DAADCEC" w14:textId="77777777" w:rsidR="0064217F" w:rsidRPr="007122AB" w:rsidRDefault="0064217F" w:rsidP="007122AB">
      <w:pPr>
        <w:spacing w:after="0" w:line="240" w:lineRule="auto"/>
        <w:jc w:val="both"/>
        <w:rPr>
          <w:rFonts w:ascii="Times New Roman" w:hAnsi="Times New Roman"/>
          <w:color w:val="000000" w:themeColor="text1"/>
          <w:sz w:val="16"/>
          <w:szCs w:val="16"/>
        </w:rPr>
      </w:pPr>
    </w:p>
    <w:p w14:paraId="68EF2E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AD2DD9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660E5F" w14:textId="77777777" w:rsidR="0064217F" w:rsidRPr="007122AB" w:rsidRDefault="006421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инженерами группы «Д» были проведены 6 стрельб из 81-мм трофейного миномета Стокса, по результатам которых Н. А. </w:t>
      </w:r>
      <w:proofErr w:type="spellStart"/>
      <w:r w:rsidRPr="007122AB">
        <w:rPr>
          <w:rFonts w:ascii="Times New Roman" w:hAnsi="Times New Roman"/>
          <w:color w:val="000000" w:themeColor="text1"/>
          <w:sz w:val="16"/>
          <w:szCs w:val="16"/>
        </w:rPr>
        <w:t>Доровлевым</w:t>
      </w:r>
      <w:proofErr w:type="spellEnd"/>
      <w:r w:rsidRPr="007122AB">
        <w:rPr>
          <w:rFonts w:ascii="Times New Roman" w:hAnsi="Times New Roman"/>
          <w:color w:val="000000" w:themeColor="text1"/>
          <w:sz w:val="16"/>
          <w:szCs w:val="16"/>
        </w:rPr>
        <w:t xml:space="preserve"> в рапорте, направленном в НТК АУ, указывалось на нецелесообразность принятия его на вооружение РККА в том виде, каким он был. Выявленные недостатки (отсутствие подъемного и поворотного механизмов, прицельного приспособления, недостаточное качество мин и наличие капсюля недостаточной чувствительности) он планировал устранить в конструкции разрабатываемого группой гладкоствольного батальонного 76-мм миномета.184 (20074)</w:t>
      </w:r>
    </w:p>
    <w:p w14:paraId="7242417A" w14:textId="77777777" w:rsidR="0064217F" w:rsidRPr="007122AB" w:rsidRDefault="0064217F" w:rsidP="007122AB">
      <w:pPr>
        <w:spacing w:after="0" w:line="240" w:lineRule="auto"/>
        <w:jc w:val="both"/>
        <w:rPr>
          <w:rFonts w:ascii="Times New Roman" w:hAnsi="Times New Roman"/>
          <w:color w:val="000000" w:themeColor="text1"/>
          <w:sz w:val="16"/>
          <w:szCs w:val="16"/>
        </w:rPr>
      </w:pPr>
    </w:p>
    <w:p w14:paraId="468B8C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года 76,2-мм батальонная мортира КБ НТК Ау. Вариант I была отправлена на завод "Красный Путиловец" (3861).</w:t>
      </w:r>
    </w:p>
    <w:p w14:paraId="729E9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AF9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чертежи 57 мм танковой пушки </w:t>
      </w:r>
      <w:proofErr w:type="spellStart"/>
      <w:r w:rsidRPr="007122AB">
        <w:rPr>
          <w:rFonts w:ascii="Times New Roman" w:hAnsi="Times New Roman"/>
          <w:color w:val="000000" w:themeColor="text1"/>
          <w:sz w:val="16"/>
          <w:szCs w:val="16"/>
        </w:rPr>
        <w:t>П.Сячинтова</w:t>
      </w:r>
      <w:proofErr w:type="spellEnd"/>
      <w:r w:rsidRPr="007122AB">
        <w:rPr>
          <w:rFonts w:ascii="Times New Roman" w:hAnsi="Times New Roman"/>
          <w:color w:val="000000" w:themeColor="text1"/>
          <w:sz w:val="16"/>
          <w:szCs w:val="16"/>
        </w:rPr>
        <w:t xml:space="preserve"> были переданы на артиллерийский завод в Подлипках для изготовления опытного образца. Но до лета работы по изготовлению орудия начаты не были, а в сентябре 1931 г. заказ по непонятной причине был отменен (6208, 42).</w:t>
      </w:r>
    </w:p>
    <w:p w14:paraId="1366D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A71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была сформулирована пересмотренная танковая программа военного времени, в основу которой легло ноябрьское решение ПБ, предусматривающее достижение уровня мощностей военного времени к весне 1932 (9089,152).</w:t>
      </w:r>
    </w:p>
    <w:p w14:paraId="04659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F8B3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прошли сравнительные испытания Т-20 и Т-В-26 и приняли Т-26, а вместо Т-20 стали выпускать модернизированные Т-18 (9527,87).</w:t>
      </w:r>
    </w:p>
    <w:p w14:paraId="2B0E3D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4C31AB"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задание на производство Т-24 с ЧТЗ, на котором помимо ХПЗ планировалось развернуть производство танка Т-24, было снято (12303).</w:t>
      </w:r>
    </w:p>
    <w:p w14:paraId="721A51AC" w14:textId="77777777" w:rsidR="001522BB" w:rsidRPr="007122AB" w:rsidRDefault="001522BB" w:rsidP="007122AB">
      <w:pPr>
        <w:spacing w:after="0" w:line="240" w:lineRule="auto"/>
        <w:jc w:val="both"/>
        <w:rPr>
          <w:rFonts w:ascii="Times New Roman" w:hAnsi="Times New Roman"/>
          <w:color w:val="000000" w:themeColor="text1"/>
          <w:sz w:val="16"/>
          <w:szCs w:val="16"/>
        </w:rPr>
      </w:pPr>
    </w:p>
    <w:p w14:paraId="667BDC1B" w14:textId="77777777" w:rsidR="0064217F" w:rsidRPr="007122AB" w:rsidRDefault="0064217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январе 1931 года С.А, Гинзбург предлагал "скрестить" Т-26 и Т-19. От 26-го предлагалось взять ходовую часть и трансмиссию. Впрочем, долго эта идея не прожила, хотя идея смены английского мотора витала чуть ли не всё время производства танка (20740).</w:t>
      </w:r>
    </w:p>
    <w:p w14:paraId="38B7D2EC" w14:textId="77777777" w:rsidR="0064217F" w:rsidRPr="007122AB" w:rsidRDefault="0064217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F237CC6" w14:textId="77777777" w:rsidR="0064217F" w:rsidRPr="007122AB" w:rsidRDefault="0064217F" w:rsidP="007122AB">
      <w:pPr>
        <w:pStyle w:val="article-renderblock"/>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В январе 1931 года всё сложилось против Т-19. Дело в том, что выпуск данного танка предполагался еще и на СТЗ (20842).</w:t>
      </w:r>
    </w:p>
    <w:p w14:paraId="0F76BE5B" w14:textId="77777777" w:rsidR="0064217F" w:rsidRPr="007122AB" w:rsidRDefault="0064217F" w:rsidP="007122AB">
      <w:pPr>
        <w:pStyle w:val="article-renderblock"/>
        <w:shd w:val="clear" w:color="auto" w:fill="FFFFFF"/>
        <w:spacing w:before="0" w:beforeAutospacing="0" w:after="0" w:afterAutospacing="0"/>
        <w:jc w:val="both"/>
        <w:rPr>
          <w:color w:val="000000" w:themeColor="text1"/>
          <w:sz w:val="16"/>
          <w:szCs w:val="16"/>
        </w:rPr>
      </w:pPr>
    </w:p>
    <w:p w14:paraId="76BC2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на факультете ММ ВТА им. Дзержинского под руководством </w:t>
      </w:r>
      <w:proofErr w:type="spellStart"/>
      <w:r w:rsidRPr="007122AB">
        <w:rPr>
          <w:rFonts w:ascii="Times New Roman" w:hAnsi="Times New Roman"/>
          <w:color w:val="000000" w:themeColor="text1"/>
          <w:sz w:val="16"/>
          <w:szCs w:val="16"/>
        </w:rPr>
        <w:t>Вершинана</w:t>
      </w:r>
      <w:proofErr w:type="spellEnd"/>
      <w:r w:rsidRPr="007122AB">
        <w:rPr>
          <w:rFonts w:ascii="Times New Roman" w:hAnsi="Times New Roman"/>
          <w:color w:val="000000" w:themeColor="text1"/>
          <w:sz w:val="16"/>
          <w:szCs w:val="16"/>
        </w:rPr>
        <w:t xml:space="preserve"> был разработан танк ТММ-2 - версия Виккерс (9527,90).</w:t>
      </w:r>
    </w:p>
    <w:p w14:paraId="2BB908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867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на Ижорском заводе был изготовлен опытный образец танка </w:t>
      </w:r>
      <w:proofErr w:type="spellStart"/>
      <w:r w:rsidRPr="007122AB">
        <w:rPr>
          <w:rFonts w:ascii="Times New Roman" w:hAnsi="Times New Roman"/>
          <w:color w:val="000000" w:themeColor="text1"/>
          <w:sz w:val="16"/>
          <w:szCs w:val="16"/>
        </w:rPr>
        <w:t>ОКиИБ</w:t>
      </w:r>
      <w:proofErr w:type="spellEnd"/>
      <w:r w:rsidRPr="007122AB">
        <w:rPr>
          <w:rFonts w:ascii="Times New Roman" w:hAnsi="Times New Roman"/>
          <w:color w:val="000000" w:themeColor="text1"/>
          <w:sz w:val="16"/>
          <w:szCs w:val="16"/>
        </w:rPr>
        <w:t xml:space="preserve"> УММ РККА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Не прошел заводские испытания и был разобран и использовался для изготовления Д-5 (9527,119).</w:t>
      </w:r>
    </w:p>
    <w:p w14:paraId="6636CF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B268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опытный образец Т-27 ОКМО был уже практически готов. Он отличался от прото</w:t>
      </w:r>
      <w:r w:rsidRPr="007122AB">
        <w:rPr>
          <w:rFonts w:ascii="Times New Roman" w:hAnsi="Times New Roman"/>
          <w:color w:val="000000" w:themeColor="text1"/>
          <w:sz w:val="16"/>
          <w:szCs w:val="16"/>
        </w:rPr>
        <w:softHyphen/>
        <w:t>типов новым моторно-силовым агрегатом, выполненным на основе двигателя ГАЗ-АА, увеличенной емкостью топ</w:t>
      </w:r>
      <w:r w:rsidRPr="007122AB">
        <w:rPr>
          <w:rFonts w:ascii="Times New Roman" w:hAnsi="Times New Roman"/>
          <w:color w:val="000000" w:themeColor="text1"/>
          <w:sz w:val="16"/>
          <w:szCs w:val="16"/>
        </w:rPr>
        <w:softHyphen/>
        <w:t>ливного бака, немного увеличенными габаритами и более толстой броней (10733,144).</w:t>
      </w:r>
    </w:p>
    <w:p w14:paraId="5A5E53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C69BDD"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изготовили Опытный образец Т-27, а 13 февраля 1931 г. танкетку ещё до завершения государственных испытании приняли на вооружение. Корпус машины собирался из катаных броневых листов толщиной 6-10 мм. Двигатель четырёхтактный четырёхцилиндровый «Форд-АА» («ГАЗ-АА») (15132).</w:t>
      </w:r>
    </w:p>
    <w:p w14:paraId="31565549" w14:textId="77777777" w:rsidR="00045E46" w:rsidRPr="007122AB" w:rsidRDefault="00045E46" w:rsidP="007122AB">
      <w:pPr>
        <w:spacing w:after="0" w:line="240" w:lineRule="auto"/>
        <w:jc w:val="both"/>
        <w:rPr>
          <w:rFonts w:ascii="Times New Roman" w:hAnsi="Times New Roman"/>
          <w:color w:val="000000" w:themeColor="text1"/>
          <w:sz w:val="16"/>
          <w:szCs w:val="16"/>
        </w:rPr>
      </w:pPr>
    </w:p>
    <w:p w14:paraId="5812AFDA" w14:textId="77777777" w:rsidR="0037523F" w:rsidRPr="007122AB" w:rsidRDefault="00375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был изготовлен </w:t>
      </w:r>
      <w:proofErr w:type="spellStart"/>
      <w:r w:rsidRPr="007122AB">
        <w:rPr>
          <w:rFonts w:ascii="Times New Roman" w:hAnsi="Times New Roman"/>
          <w:color w:val="000000" w:themeColor="text1"/>
          <w:sz w:val="16"/>
          <w:szCs w:val="16"/>
        </w:rPr>
        <w:t>апытный</w:t>
      </w:r>
      <w:proofErr w:type="spellEnd"/>
      <w:r w:rsidRPr="007122AB">
        <w:rPr>
          <w:rFonts w:ascii="Times New Roman" w:hAnsi="Times New Roman"/>
          <w:color w:val="000000" w:themeColor="text1"/>
          <w:sz w:val="16"/>
          <w:szCs w:val="16"/>
        </w:rPr>
        <w:t xml:space="preserve"> образец Т-27, а 13 февраля 1931 г. она, еще до завершения государственных испытаний, была принята на вооружение. Корпус машины собирался из катаных броневых листов толщиной 6–10 мм. Двигатель четырехтактный, четырехцилиндровый «Форд-АА» («ГАЗ-АА»). Первые 45 машин «Большевик» изготовил в 1931 г.,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молодежи. В 1929–31 гг. работы по созданию тяжелого танка ограничились теоретической проработкой вопроса. В 1929 г. УММ РККА выдало ТТТ на разработку тяжелого танка массой 60 т с броней 30–50 мм, максимальной скоростью 20–25 км/час и вооружением из двух 76,2-мм пушек, одной 37-мм пушки и шести пулеметов. В соответствии с этими требованиями ОКМО «Большевика» в 1930–31 гг. разработало проект тяжелого танка Т-30. В 1932 г. изготовили деревянную модель танка. На танк предполагалось установить авиационный карбюраторный двигатель АМ6 мощностью 750 л.с., при этом его расчетная скорость должна была составить 30 км/час. Конструкцию танка посчитали чрезвычайно сложной и дальнейшие работы над ним были прекращены (18975). </w:t>
      </w:r>
    </w:p>
    <w:p w14:paraId="5FF13255" w14:textId="77777777" w:rsidR="0037523F" w:rsidRPr="007122AB" w:rsidRDefault="0037523F" w:rsidP="007122AB">
      <w:pPr>
        <w:spacing w:after="0" w:line="240" w:lineRule="auto"/>
        <w:jc w:val="both"/>
        <w:rPr>
          <w:rFonts w:ascii="Times New Roman" w:hAnsi="Times New Roman"/>
          <w:color w:val="000000" w:themeColor="text1"/>
          <w:sz w:val="16"/>
          <w:szCs w:val="16"/>
        </w:rPr>
      </w:pPr>
    </w:p>
    <w:p w14:paraId="4324D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на Ижорском заводе закончилось изготовление трех опытных образцов бронированных автомобилей на базе Форда-А - Форда-А с броней или колесных танкеток, которое велось с сентября 1930 и было задержано из-за загруженности завода текущими заказами УММ и нехватки кадров (3947,14).</w:t>
      </w:r>
    </w:p>
    <w:p w14:paraId="77214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B6B2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го</w:t>
      </w:r>
      <w:r w:rsidRPr="007122AB">
        <w:rPr>
          <w:rFonts w:ascii="Times New Roman" w:hAnsi="Times New Roman"/>
          <w:color w:val="000000" w:themeColor="text1"/>
          <w:sz w:val="16"/>
          <w:szCs w:val="16"/>
        </w:rPr>
        <w:softHyphen/>
        <w:t>да прошли кратковременные испытания колесных танкеток, изготовленных на Ижорском заводе и на Экспери</w:t>
      </w:r>
      <w:r w:rsidRPr="007122AB">
        <w:rPr>
          <w:rFonts w:ascii="Times New Roman" w:hAnsi="Times New Roman"/>
          <w:color w:val="000000" w:themeColor="text1"/>
          <w:sz w:val="16"/>
          <w:szCs w:val="16"/>
        </w:rPr>
        <w:softHyphen/>
        <w:t>ментальном заводе НКПС и обе машины предъявили заказчику — представителям управления механизации и моторизации. Учитывая отсут</w:t>
      </w:r>
      <w:r w:rsidRPr="007122AB">
        <w:rPr>
          <w:rFonts w:ascii="Times New Roman" w:hAnsi="Times New Roman"/>
          <w:color w:val="000000" w:themeColor="text1"/>
          <w:sz w:val="16"/>
          <w:szCs w:val="16"/>
        </w:rPr>
        <w:softHyphen/>
        <w:t>ствие машин подобного класса в Красной Армии, руко</w:t>
      </w:r>
      <w:r w:rsidRPr="007122AB">
        <w:rPr>
          <w:rFonts w:ascii="Times New Roman" w:hAnsi="Times New Roman"/>
          <w:color w:val="000000" w:themeColor="text1"/>
          <w:sz w:val="16"/>
          <w:szCs w:val="16"/>
        </w:rPr>
        <w:softHyphen/>
        <w:t>водство УММ РККА возбудило вопрос о принятии «ко</w:t>
      </w:r>
      <w:r w:rsidRPr="007122AB">
        <w:rPr>
          <w:rFonts w:ascii="Times New Roman" w:hAnsi="Times New Roman"/>
          <w:color w:val="000000" w:themeColor="text1"/>
          <w:sz w:val="16"/>
          <w:szCs w:val="16"/>
        </w:rPr>
        <w:softHyphen/>
        <w:t>лесных танкеток» на вооружение в качестве машин для разведки и связи. Однако к этому времени на Экспери</w:t>
      </w:r>
      <w:r w:rsidRPr="007122AB">
        <w:rPr>
          <w:rFonts w:ascii="Times New Roman" w:hAnsi="Times New Roman"/>
          <w:color w:val="000000" w:themeColor="text1"/>
          <w:sz w:val="16"/>
          <w:szCs w:val="16"/>
        </w:rPr>
        <w:softHyphen/>
        <w:t xml:space="preserve">ментальном заводе НКПС по проекту Н.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изго</w:t>
      </w:r>
      <w:r w:rsidRPr="007122AB">
        <w:rPr>
          <w:rFonts w:ascii="Times New Roman" w:hAnsi="Times New Roman"/>
          <w:color w:val="000000" w:themeColor="text1"/>
          <w:sz w:val="16"/>
          <w:szCs w:val="16"/>
        </w:rPr>
        <w:softHyphen/>
        <w:t xml:space="preserve">товили два полностью бронированных автомобиля на шасси «Форд-А» - Д-8 и Д-12. История появления </w:t>
      </w:r>
      <w:r w:rsidRPr="007122AB">
        <w:rPr>
          <w:rFonts w:ascii="Times New Roman" w:hAnsi="Times New Roman"/>
          <w:color w:val="000000" w:themeColor="text1"/>
          <w:sz w:val="16"/>
          <w:szCs w:val="16"/>
        </w:rPr>
        <w:lastRenderedPageBreak/>
        <w:t>бронеавтомобиля Д-8, изготов</w:t>
      </w:r>
      <w:r w:rsidRPr="007122AB">
        <w:rPr>
          <w:rFonts w:ascii="Times New Roman" w:hAnsi="Times New Roman"/>
          <w:color w:val="000000" w:themeColor="text1"/>
          <w:sz w:val="16"/>
          <w:szCs w:val="16"/>
        </w:rPr>
        <w:softHyphen/>
        <w:t xml:space="preserve">ленного по проекту изобретателя Николая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во многих отечественных публикациях носит некий элемент авантюризма — якобы машина появилась всего за одну ночь. Вот как описывает </w:t>
      </w:r>
      <w:proofErr w:type="spellStart"/>
      <w:r w:rsidRPr="007122AB">
        <w:rPr>
          <w:rFonts w:ascii="Times New Roman" w:hAnsi="Times New Roman"/>
          <w:color w:val="000000" w:themeColor="text1"/>
          <w:sz w:val="16"/>
          <w:szCs w:val="16"/>
        </w:rPr>
        <w:t>эт'о</w:t>
      </w:r>
      <w:proofErr w:type="spellEnd"/>
      <w:r w:rsidRPr="007122AB">
        <w:rPr>
          <w:rFonts w:ascii="Times New Roman" w:hAnsi="Times New Roman"/>
          <w:color w:val="000000" w:themeColor="text1"/>
          <w:sz w:val="16"/>
          <w:szCs w:val="16"/>
        </w:rPr>
        <w:t xml:space="preserve"> событие известный историк российского и советского автомобилестроения Лев Ми</w:t>
      </w:r>
      <w:r w:rsidRPr="007122AB">
        <w:rPr>
          <w:rFonts w:ascii="Times New Roman" w:hAnsi="Times New Roman"/>
          <w:color w:val="000000" w:themeColor="text1"/>
          <w:sz w:val="16"/>
          <w:szCs w:val="16"/>
        </w:rPr>
        <w:softHyphen/>
        <w:t>хайлович Шугуров в своей книге «Автомобили России и СССР»:</w:t>
      </w:r>
    </w:p>
    <w:p w14:paraId="68FBD7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«Активную роль в создании новых бронеавтомобилей играл на Ижорском заводе Н.И.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Человек с не</w:t>
      </w:r>
      <w:r w:rsidRPr="007122AB">
        <w:rPr>
          <w:rFonts w:ascii="Times New Roman" w:hAnsi="Times New Roman"/>
          <w:color w:val="000000" w:themeColor="text1"/>
          <w:sz w:val="16"/>
          <w:szCs w:val="16"/>
        </w:rPr>
        <w:softHyphen/>
        <w:t>дюжинной смекалкой он очень оперативно находил нуж</w:t>
      </w:r>
      <w:r w:rsidRPr="007122AB">
        <w:rPr>
          <w:rFonts w:ascii="Times New Roman" w:hAnsi="Times New Roman"/>
          <w:color w:val="000000" w:themeColor="text1"/>
          <w:sz w:val="16"/>
          <w:szCs w:val="16"/>
        </w:rPr>
        <w:softHyphen/>
        <w:t>ные технические решения. Так, во время визита на завод одного из заместителей наркома обороны в 1931 г., тот, про</w:t>
      </w:r>
      <w:r w:rsidRPr="007122AB">
        <w:rPr>
          <w:rFonts w:ascii="Times New Roman" w:hAnsi="Times New Roman"/>
          <w:color w:val="000000" w:themeColor="text1"/>
          <w:sz w:val="16"/>
          <w:szCs w:val="16"/>
        </w:rPr>
        <w:softHyphen/>
        <w:t xml:space="preserve">сматривая в кабинете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американский армейский журнал «Армии </w:t>
      </w:r>
      <w:proofErr w:type="spellStart"/>
      <w:r w:rsidRPr="007122AB">
        <w:rPr>
          <w:rFonts w:ascii="Times New Roman" w:hAnsi="Times New Roman"/>
          <w:color w:val="000000" w:themeColor="text1"/>
          <w:sz w:val="16"/>
          <w:szCs w:val="16"/>
        </w:rPr>
        <w:t>Орднанс</w:t>
      </w:r>
      <w:proofErr w:type="spellEnd"/>
      <w:r w:rsidRPr="007122AB">
        <w:rPr>
          <w:rFonts w:ascii="Times New Roman" w:hAnsi="Times New Roman"/>
          <w:color w:val="000000" w:themeColor="text1"/>
          <w:sz w:val="16"/>
          <w:szCs w:val="16"/>
        </w:rPr>
        <w:t>», обратил внимание хозяина ка</w:t>
      </w:r>
      <w:r w:rsidRPr="007122AB">
        <w:rPr>
          <w:rFonts w:ascii="Times New Roman" w:hAnsi="Times New Roman"/>
          <w:color w:val="000000" w:themeColor="text1"/>
          <w:sz w:val="16"/>
          <w:szCs w:val="16"/>
        </w:rPr>
        <w:softHyphen/>
        <w:t xml:space="preserve">бинета на последние модели бронеавтомобилей США. Они имели низкий силуэт и сильно наклонные броневые листы, способствующие </w:t>
      </w:r>
      <w:proofErr w:type="spellStart"/>
      <w:r w:rsidRPr="007122AB">
        <w:rPr>
          <w:rFonts w:ascii="Times New Roman" w:hAnsi="Times New Roman"/>
          <w:color w:val="000000" w:themeColor="text1"/>
          <w:sz w:val="16"/>
          <w:szCs w:val="16"/>
        </w:rPr>
        <w:t>рикошетированию</w:t>
      </w:r>
      <w:proofErr w:type="spellEnd"/>
      <w:r w:rsidRPr="007122AB">
        <w:rPr>
          <w:rFonts w:ascii="Times New Roman" w:hAnsi="Times New Roman"/>
          <w:color w:val="000000" w:themeColor="text1"/>
          <w:sz w:val="16"/>
          <w:szCs w:val="16"/>
        </w:rPr>
        <w:t xml:space="preserve"> пуль.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отве</w:t>
      </w:r>
      <w:r w:rsidRPr="007122AB">
        <w:rPr>
          <w:rFonts w:ascii="Times New Roman" w:hAnsi="Times New Roman"/>
          <w:color w:val="000000" w:themeColor="text1"/>
          <w:sz w:val="16"/>
          <w:szCs w:val="16"/>
        </w:rPr>
        <w:softHyphen/>
        <w:t>тил, что работа над подобной моделью у него уже идет и за</w:t>
      </w:r>
      <w:r w:rsidRPr="007122AB">
        <w:rPr>
          <w:rFonts w:ascii="Times New Roman" w:hAnsi="Times New Roman"/>
          <w:color w:val="000000" w:themeColor="text1"/>
          <w:sz w:val="16"/>
          <w:szCs w:val="16"/>
        </w:rPr>
        <w:softHyphen/>
        <w:t>втра он готов ее продемонстрировать.</w:t>
      </w:r>
    </w:p>
    <w:p w14:paraId="208C6D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ухода гостя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распорядился снять лег</w:t>
      </w:r>
      <w:r w:rsidRPr="007122AB">
        <w:rPr>
          <w:rFonts w:ascii="Times New Roman" w:hAnsi="Times New Roman"/>
          <w:color w:val="000000" w:themeColor="text1"/>
          <w:sz w:val="16"/>
          <w:szCs w:val="16"/>
        </w:rPr>
        <w:softHyphen/>
        <w:t xml:space="preserve">ковой кузов со своего служебного автомобиля, </w:t>
      </w:r>
      <w:proofErr w:type="spellStart"/>
      <w:r w:rsidRPr="007122AB">
        <w:rPr>
          <w:rFonts w:ascii="Times New Roman" w:hAnsi="Times New Roman"/>
          <w:color w:val="000000" w:themeColor="text1"/>
          <w:sz w:val="16"/>
          <w:szCs w:val="16"/>
        </w:rPr>
        <w:t>вызвач</w:t>
      </w:r>
      <w:proofErr w:type="spellEnd"/>
      <w:r w:rsidRPr="007122AB">
        <w:rPr>
          <w:rFonts w:ascii="Times New Roman" w:hAnsi="Times New Roman"/>
          <w:color w:val="000000" w:themeColor="text1"/>
          <w:sz w:val="16"/>
          <w:szCs w:val="16"/>
        </w:rPr>
        <w:t xml:space="preserve"> плотника, и к вечеру на шасси уже стоял фанерный макет со следами карандаша, которым изобретательный инже</w:t>
      </w:r>
      <w:r w:rsidRPr="007122AB">
        <w:rPr>
          <w:rFonts w:ascii="Times New Roman" w:hAnsi="Times New Roman"/>
          <w:color w:val="000000" w:themeColor="text1"/>
          <w:sz w:val="16"/>
          <w:szCs w:val="16"/>
        </w:rPr>
        <w:softHyphen/>
        <w:t>нер размечал выкройки прямо по листам фанеры. Затем подогнанный по шасси макет разобрали и по импровизи</w:t>
      </w:r>
      <w:r w:rsidRPr="007122AB">
        <w:rPr>
          <w:rFonts w:ascii="Times New Roman" w:hAnsi="Times New Roman"/>
          <w:color w:val="000000" w:themeColor="text1"/>
          <w:sz w:val="16"/>
          <w:szCs w:val="16"/>
        </w:rPr>
        <w:softHyphen/>
        <w:t xml:space="preserve">рованным фанерным лекалам вырезали из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панели, собрали из них на каркасе кузов, установили на шасси.</w:t>
      </w:r>
    </w:p>
    <w:p w14:paraId="464C91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Самым трудоемким процессом оказалась сушка окра</w:t>
      </w:r>
      <w:r w:rsidRPr="007122AB">
        <w:rPr>
          <w:rFonts w:ascii="Times New Roman" w:hAnsi="Times New Roman"/>
          <w:color w:val="000000" w:themeColor="text1"/>
          <w:sz w:val="16"/>
          <w:szCs w:val="16"/>
        </w:rPr>
        <w:softHyphen/>
        <w:t xml:space="preserve">шенного масляной краской броневика посредством паяльных ламп. Но к полудню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смог представить высо</w:t>
      </w:r>
      <w:r w:rsidRPr="007122AB">
        <w:rPr>
          <w:rFonts w:ascii="Times New Roman" w:hAnsi="Times New Roman"/>
          <w:color w:val="000000" w:themeColor="text1"/>
          <w:sz w:val="16"/>
          <w:szCs w:val="16"/>
        </w:rPr>
        <w:softHyphen/>
        <w:t>кому гостю готовый для пробных стрельб корпус Д-8, смон</w:t>
      </w:r>
      <w:r w:rsidRPr="007122AB">
        <w:rPr>
          <w:rFonts w:ascii="Times New Roman" w:hAnsi="Times New Roman"/>
          <w:color w:val="000000" w:themeColor="text1"/>
          <w:sz w:val="16"/>
          <w:szCs w:val="16"/>
        </w:rPr>
        <w:softHyphen/>
        <w:t>тированный на шасси». (11284).</w:t>
      </w:r>
    </w:p>
    <w:p w14:paraId="026C5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136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на заводе "Красный Октябрь" начали серийное производство мотоциклов Л-300 (Ленинградские, с двигателем рабочим объёмом 300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разработанного Можаровым в </w:t>
      </w:r>
      <w:proofErr w:type="spellStart"/>
      <w:r w:rsidRPr="007122AB">
        <w:rPr>
          <w:rFonts w:ascii="Times New Roman" w:hAnsi="Times New Roman"/>
          <w:color w:val="000000" w:themeColor="text1"/>
          <w:sz w:val="16"/>
          <w:szCs w:val="16"/>
        </w:rPr>
        <w:t>Тремас</w:t>
      </w:r>
      <w:proofErr w:type="spellEnd"/>
      <w:r w:rsidRPr="007122AB">
        <w:rPr>
          <w:rFonts w:ascii="Times New Roman" w:hAnsi="Times New Roman"/>
          <w:color w:val="000000" w:themeColor="text1"/>
          <w:sz w:val="16"/>
          <w:szCs w:val="16"/>
        </w:rPr>
        <w:t xml:space="preserve"> на основе "Тремасс-300". На этом миссия Можарова в Ленинграде завершилась (11397).</w:t>
      </w:r>
    </w:p>
    <w:p w14:paraId="30030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2A91D6" w14:textId="77777777" w:rsidR="0037523F" w:rsidRPr="007122AB" w:rsidRDefault="003752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shd w:val="clear" w:color="auto" w:fill="FFFFFF"/>
        </w:rPr>
        <w:t xml:space="preserve">В январе 1931 начинается производство достаточно массового в свое время мотоцикла Л-300 (Ленинградский, </w:t>
      </w:r>
      <w:proofErr w:type="spellStart"/>
      <w:r w:rsidRPr="007122AB">
        <w:rPr>
          <w:rFonts w:ascii="Times New Roman" w:hAnsi="Times New Roman"/>
          <w:color w:val="000000" w:themeColor="text1"/>
          <w:sz w:val="16"/>
          <w:szCs w:val="16"/>
          <w:shd w:val="clear" w:color="auto" w:fill="FFFFFF"/>
        </w:rPr>
        <w:t>обьем</w:t>
      </w:r>
      <w:proofErr w:type="spellEnd"/>
      <w:r w:rsidRPr="007122AB">
        <w:rPr>
          <w:rFonts w:ascii="Times New Roman" w:hAnsi="Times New Roman"/>
          <w:color w:val="000000" w:themeColor="text1"/>
          <w:sz w:val="16"/>
          <w:szCs w:val="16"/>
          <w:shd w:val="clear" w:color="auto" w:fill="FFFFFF"/>
        </w:rPr>
        <w:t xml:space="preserve"> 300 см3) на заводе «Красный Октябрь», по 1939 г. (также была статья о Л-300 в </w:t>
      </w:r>
      <w:proofErr w:type="spellStart"/>
      <w:r w:rsidRPr="007122AB">
        <w:rPr>
          <w:rFonts w:ascii="Times New Roman" w:hAnsi="Times New Roman"/>
          <w:color w:val="000000" w:themeColor="text1"/>
          <w:sz w:val="16"/>
          <w:szCs w:val="16"/>
          <w:shd w:val="clear" w:color="auto" w:fill="FFFFFF"/>
        </w:rPr>
        <w:t>Байкпосте</w:t>
      </w:r>
      <w:proofErr w:type="spellEnd"/>
      <w:r w:rsidRPr="007122AB">
        <w:rPr>
          <w:rFonts w:ascii="Times New Roman" w:hAnsi="Times New Roman"/>
          <w:color w:val="000000" w:themeColor="text1"/>
          <w:sz w:val="16"/>
          <w:szCs w:val="16"/>
          <w:shd w:val="clear" w:color="auto" w:fill="FFFFFF"/>
        </w:rPr>
        <w:t xml:space="preserve">). В июле 1931 г. на 3-м Всесоюзном пробеге советских мотоциклов сравнивали три машины Тремасс-300 с тремя Л-300. Последние оказались лучшими. Спустя год была опубликована книга П.В. Можарова «Советский мотоцикл Л-300», в которой есть такие </w:t>
      </w:r>
      <w:proofErr w:type="spellStart"/>
      <w:r w:rsidRPr="007122AB">
        <w:rPr>
          <w:rFonts w:ascii="Times New Roman" w:hAnsi="Times New Roman"/>
          <w:color w:val="000000" w:themeColor="text1"/>
          <w:sz w:val="16"/>
          <w:szCs w:val="16"/>
          <w:shd w:val="clear" w:color="auto" w:fill="FFFFFF"/>
        </w:rPr>
        <w:t>слова:«Машина</w:t>
      </w:r>
      <w:proofErr w:type="spellEnd"/>
      <w:r w:rsidRPr="007122AB">
        <w:rPr>
          <w:rFonts w:ascii="Times New Roman" w:hAnsi="Times New Roman"/>
          <w:color w:val="000000" w:themeColor="text1"/>
          <w:sz w:val="16"/>
          <w:szCs w:val="16"/>
          <w:shd w:val="clear" w:color="auto" w:fill="FFFFFF"/>
        </w:rPr>
        <w:t xml:space="preserve"> Л-300, мотоцикл легкого типа, наиболее необходимый и для государственной службы, и для индивидуального пользования в СССР. Эта модель наиболее экономична, т.к. при наименьших затратах обеспечивает наилучшие результаты…» (19148).</w:t>
      </w:r>
    </w:p>
    <w:p w14:paraId="1F29CB3C" w14:textId="77777777" w:rsidR="0037523F" w:rsidRPr="007122AB" w:rsidRDefault="0037523F" w:rsidP="007122AB">
      <w:pPr>
        <w:spacing w:after="0" w:line="240" w:lineRule="auto"/>
        <w:jc w:val="both"/>
        <w:rPr>
          <w:rFonts w:ascii="Times New Roman" w:eastAsia="Times New Roman" w:hAnsi="Times New Roman"/>
          <w:color w:val="000000" w:themeColor="text1"/>
          <w:sz w:val="16"/>
          <w:szCs w:val="16"/>
          <w:lang w:eastAsia="ru-RU"/>
        </w:rPr>
      </w:pPr>
    </w:p>
    <w:p w14:paraId="216686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фабрика «Радиодеталь», созданная в мае 1929 г. на базе мастерской по изготовлению радиодеталей в ведении губернского Совета общества друзей радио, основанной 14 июня 1927, была передана в </w:t>
      </w:r>
      <w:proofErr w:type="spellStart"/>
      <w:r w:rsidRPr="007122AB">
        <w:rPr>
          <w:rFonts w:ascii="Times New Roman" w:hAnsi="Times New Roman"/>
          <w:color w:val="000000" w:themeColor="text1"/>
          <w:sz w:val="16"/>
          <w:szCs w:val="16"/>
        </w:rPr>
        <w:t>НКПиТ</w:t>
      </w:r>
      <w:proofErr w:type="spellEnd"/>
      <w:r w:rsidRPr="007122AB">
        <w:rPr>
          <w:rFonts w:ascii="Times New Roman" w:hAnsi="Times New Roman"/>
          <w:color w:val="000000" w:themeColor="text1"/>
          <w:sz w:val="16"/>
          <w:szCs w:val="16"/>
        </w:rPr>
        <w:t xml:space="preserve"> и преобразована в ГС завод № 7. Производство электроакустических устройств. В 1931 г. разработан первый радиоприемник прямого усиления. В 1934 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7540D8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53CAD1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26D2D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(1927г.)- 37 чел., (1929г.)- 74 чел.</w:t>
      </w:r>
      <w:r w:rsidRPr="007122AB">
        <w:rPr>
          <w:rFonts w:ascii="Times New Roman" w:hAnsi="Times New Roman"/>
          <w:color w:val="000000" w:themeColor="text1"/>
          <w:sz w:val="16"/>
          <w:szCs w:val="16"/>
          <w:vertAlign w:val="superscript"/>
        </w:rPr>
        <w:t>101</w:t>
      </w:r>
    </w:p>
    <w:p w14:paraId="01DE0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Создано:</w:t>
      </w:r>
      <w:r w:rsidRPr="007122AB">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3DBD1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19B55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Тульский радиозавод, Тульский завод «Октава» МПСС, ОАО «Октава»</w:t>
      </w:r>
    </w:p>
    <w:p w14:paraId="5DBDDC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/300000 г. Тула ул. Каминского, 24 тел. 20-00-04, 36-01-77/</w:t>
      </w:r>
    </w:p>
    <w:p w14:paraId="57CAD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1CF8E0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1943г. завод- в ведении НКЭП. В 1946г. получил название Тульский завод «Октава».</w:t>
      </w:r>
    </w:p>
    <w:p w14:paraId="12BC8E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66B51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4B6BA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7B01D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(2005г.): электроакустические преобразователи (микрофоны, телефоны, гарнитуры, </w:t>
      </w:r>
      <w:proofErr w:type="spellStart"/>
      <w:r w:rsidRPr="007122AB">
        <w:rPr>
          <w:rFonts w:ascii="Times New Roman" w:hAnsi="Times New Roman"/>
          <w:color w:val="000000" w:themeColor="text1"/>
          <w:sz w:val="16"/>
          <w:szCs w:val="16"/>
        </w:rPr>
        <w:t>сейсмодатчики</w:t>
      </w:r>
      <w:proofErr w:type="spellEnd"/>
      <w:r w:rsidRPr="007122AB">
        <w:rPr>
          <w:rFonts w:ascii="Times New Roman" w:hAnsi="Times New Roman"/>
          <w:color w:val="000000" w:themeColor="text1"/>
          <w:sz w:val="16"/>
          <w:szCs w:val="16"/>
        </w:rPr>
        <w:t xml:space="preserve">); освоение выпуска </w:t>
      </w:r>
      <w:proofErr w:type="spellStart"/>
      <w:r w:rsidRPr="007122AB">
        <w:rPr>
          <w:rFonts w:ascii="Times New Roman" w:hAnsi="Times New Roman"/>
          <w:color w:val="000000" w:themeColor="text1"/>
          <w:sz w:val="16"/>
          <w:szCs w:val="16"/>
        </w:rPr>
        <w:t>внутриушного</w:t>
      </w:r>
      <w:proofErr w:type="spellEnd"/>
      <w:r w:rsidRPr="007122AB">
        <w:rPr>
          <w:rFonts w:ascii="Times New Roman" w:hAnsi="Times New Roman"/>
          <w:color w:val="000000" w:themeColor="text1"/>
          <w:sz w:val="16"/>
          <w:szCs w:val="16"/>
        </w:rPr>
        <w:t xml:space="preserve"> слухового аппарата В-01.</w:t>
      </w:r>
    </w:p>
    <w:p w14:paraId="109407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(2007г.)- 1200 чел.</w:t>
      </w:r>
    </w:p>
    <w:p w14:paraId="19F477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(1941 г.-)- К.А. Глазков, (1967г.)- С.М. Шалашников, (1980-е)- М.А. </w:t>
      </w:r>
      <w:proofErr w:type="spellStart"/>
      <w:r w:rsidRPr="007122AB">
        <w:rPr>
          <w:rFonts w:ascii="Times New Roman" w:hAnsi="Times New Roman"/>
          <w:color w:val="000000" w:themeColor="text1"/>
          <w:sz w:val="16"/>
          <w:szCs w:val="16"/>
        </w:rPr>
        <w:t>Макжанов</w:t>
      </w:r>
      <w:proofErr w:type="spellEnd"/>
      <w:r w:rsidRPr="007122AB">
        <w:rPr>
          <w:rFonts w:ascii="Times New Roman" w:hAnsi="Times New Roman"/>
          <w:color w:val="000000" w:themeColor="text1"/>
          <w:sz w:val="16"/>
          <w:szCs w:val="16"/>
        </w:rPr>
        <w:t>. Гендиректор (1990- е)- Г.И. Ульянов, (2007г.)- С.Н. Беляев.</w:t>
      </w:r>
    </w:p>
    <w:p w14:paraId="5296CB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7DF755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(1942-45г.-)- А.И. Верба.</w:t>
      </w:r>
    </w:p>
    <w:p w14:paraId="149DF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отдела сбыта (2007г.)- Н.Ю. Ермакова.</w:t>
      </w:r>
    </w:p>
    <w:p w14:paraId="0BD4A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Создано:</w:t>
      </w:r>
      <w:r w:rsidRPr="007122AB">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77D66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7122AB">
        <w:rPr>
          <w:rFonts w:ascii="Times New Roman" w:hAnsi="Times New Roman"/>
          <w:iCs/>
          <w:color w:val="000000" w:themeColor="text1"/>
          <w:sz w:val="16"/>
          <w:szCs w:val="16"/>
        </w:rPr>
        <w:t xml:space="preserve"> микрофоны:</w:t>
      </w:r>
      <w:r w:rsidRPr="007122AB">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w:t>
      </w:r>
      <w:proofErr w:type="spellStart"/>
      <w:r w:rsidRPr="007122AB">
        <w:rPr>
          <w:rFonts w:ascii="Times New Roman" w:hAnsi="Times New Roman"/>
          <w:color w:val="000000" w:themeColor="text1"/>
          <w:sz w:val="16"/>
          <w:szCs w:val="16"/>
        </w:rPr>
        <w:t>шумостойкий</w:t>
      </w:r>
      <w:proofErr w:type="spellEnd"/>
      <w:r w:rsidRPr="007122AB">
        <w:rPr>
          <w:rFonts w:ascii="Times New Roman" w:hAnsi="Times New Roman"/>
          <w:color w:val="000000" w:themeColor="text1"/>
          <w:sz w:val="16"/>
          <w:szCs w:val="16"/>
        </w:rPr>
        <w:t xml:space="preserve"> МДМ, ламповые МКЛ-100 (2007), МКЛ-319А (2007), МКЛ-4000 (2007), МКЛ-5000 (2004-07-), конденсаторные МК-13 (1968), -319 (2007), -219 (1994-2007-), -220 (2007), -100, -101 (2004-), -102 (2005-), -103 (2007), -104 (2007), -105 (2007), -011 (2007), -012 (2007), конденсаторные </w:t>
      </w:r>
      <w:proofErr w:type="spellStart"/>
      <w:r w:rsidRPr="007122AB">
        <w:rPr>
          <w:rFonts w:ascii="Times New Roman" w:hAnsi="Times New Roman"/>
          <w:color w:val="000000" w:themeColor="text1"/>
          <w:sz w:val="16"/>
          <w:szCs w:val="16"/>
        </w:rPr>
        <w:t>элекгретные</w:t>
      </w:r>
      <w:proofErr w:type="spellEnd"/>
      <w:r w:rsidRPr="007122AB">
        <w:rPr>
          <w:rFonts w:ascii="Times New Roman" w:hAnsi="Times New Roman"/>
          <w:color w:val="000000" w:themeColor="text1"/>
          <w:sz w:val="16"/>
          <w:szCs w:val="16"/>
        </w:rPr>
        <w:t xml:space="preserve"> МКЭ-2 (2007), -3, -9, -15А (2007), -204У (2007); стереофоническая микрофонная система МДС-200; микрофонно-телефонные гарнитуры ТМГ-4, ТМГ-5, ТМГ-8 (1970-е), ГБШ (1990-е) ;</w:t>
      </w:r>
      <w:r w:rsidRPr="007122AB">
        <w:rPr>
          <w:rFonts w:ascii="Times New Roman" w:hAnsi="Times New Roman"/>
          <w:iCs/>
          <w:color w:val="000000" w:themeColor="text1"/>
          <w:sz w:val="16"/>
          <w:szCs w:val="16"/>
        </w:rPr>
        <w:t xml:space="preserve"> телефоны:</w:t>
      </w:r>
      <w:r w:rsidRPr="007122AB">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7122AB">
        <w:rPr>
          <w:rFonts w:ascii="Times New Roman" w:hAnsi="Times New Roman"/>
          <w:color w:val="000000" w:themeColor="text1"/>
          <w:sz w:val="16"/>
          <w:szCs w:val="16"/>
          <w:vertAlign w:val="superscript"/>
        </w:rPr>
        <w:t>101</w:t>
      </w:r>
      <w:r w:rsidRPr="007122AB">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785A74DF" w14:textId="77777777" w:rsidR="00F80904" w:rsidRPr="007122AB" w:rsidRDefault="00F80904" w:rsidP="007122AB">
      <w:pPr>
        <w:autoSpaceDE w:val="0"/>
        <w:autoSpaceDN w:val="0"/>
        <w:adjustRightInd w:val="0"/>
        <w:spacing w:after="0" w:line="240" w:lineRule="auto"/>
        <w:jc w:val="both"/>
        <w:rPr>
          <w:rFonts w:ascii="Times New Roman" w:hAnsi="Times New Roman"/>
          <w:color w:val="000000" w:themeColor="text1"/>
          <w:sz w:val="16"/>
          <w:szCs w:val="16"/>
        </w:rPr>
      </w:pPr>
    </w:p>
    <w:p w14:paraId="167BA27B" w14:textId="77777777" w:rsidR="0064217F" w:rsidRPr="007122AB" w:rsidRDefault="006421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w:t>
      </w:r>
      <w:r w:rsidRPr="007122AB">
        <w:rPr>
          <w:rFonts w:ascii="Times New Roman" w:hAnsi="Times New Roman"/>
          <w:color w:val="000000" w:themeColor="text1"/>
          <w:sz w:val="16"/>
          <w:szCs w:val="16"/>
        </w:rPr>
        <w:softHyphen/>
        <w:t>варе 1931 г. ЛИИ ГВФ организовал экспедицию Молчанова в Мурманск для испытания радио</w:t>
      </w:r>
      <w:r w:rsidRPr="007122AB">
        <w:rPr>
          <w:rFonts w:ascii="Times New Roman" w:hAnsi="Times New Roman"/>
          <w:color w:val="000000" w:themeColor="text1"/>
          <w:sz w:val="16"/>
          <w:szCs w:val="16"/>
        </w:rPr>
        <w:softHyphen/>
        <w:t>зондов в условиях Арктики. В июле 1931 г. радио</w:t>
      </w:r>
      <w:r w:rsidRPr="007122AB">
        <w:rPr>
          <w:rFonts w:ascii="Times New Roman" w:hAnsi="Times New Roman"/>
          <w:color w:val="000000" w:themeColor="text1"/>
          <w:sz w:val="16"/>
          <w:szCs w:val="16"/>
        </w:rPr>
        <w:softHyphen/>
        <w:t>зонды Молчанова применили во время междуна</w:t>
      </w:r>
      <w:r w:rsidRPr="007122AB">
        <w:rPr>
          <w:rFonts w:ascii="Times New Roman" w:hAnsi="Times New Roman"/>
          <w:color w:val="000000" w:themeColor="text1"/>
          <w:sz w:val="16"/>
          <w:szCs w:val="16"/>
        </w:rPr>
        <w:softHyphen/>
        <w:t>родного арктического рейса немецкого дирижа</w:t>
      </w:r>
      <w:r w:rsidRPr="007122AB">
        <w:rPr>
          <w:rFonts w:ascii="Times New Roman" w:hAnsi="Times New Roman"/>
          <w:color w:val="000000" w:themeColor="text1"/>
          <w:sz w:val="16"/>
          <w:szCs w:val="16"/>
        </w:rPr>
        <w:softHyphen/>
        <w:t>бля «Граф Цеппелин». При проведении II Меж</w:t>
      </w:r>
      <w:r w:rsidRPr="007122AB">
        <w:rPr>
          <w:rFonts w:ascii="Times New Roman" w:hAnsi="Times New Roman"/>
          <w:color w:val="000000" w:themeColor="text1"/>
          <w:sz w:val="16"/>
          <w:szCs w:val="16"/>
        </w:rPr>
        <w:softHyphen/>
        <w:t>дународного полярного года (1932-1933 гг.) оте</w:t>
      </w:r>
      <w:r w:rsidRPr="007122AB">
        <w:rPr>
          <w:rFonts w:ascii="Times New Roman" w:hAnsi="Times New Roman"/>
          <w:color w:val="000000" w:themeColor="text1"/>
          <w:sz w:val="16"/>
          <w:szCs w:val="16"/>
        </w:rPr>
        <w:softHyphen/>
        <w:t>чественные радиозонды выпускались на четырёх советских и ряде зарубежных станциях (20120).</w:t>
      </w:r>
    </w:p>
    <w:p w14:paraId="2014FB6A" w14:textId="77777777" w:rsidR="0064217F" w:rsidRPr="007122AB" w:rsidRDefault="0064217F" w:rsidP="007122AB">
      <w:pPr>
        <w:spacing w:after="0" w:line="240" w:lineRule="auto"/>
        <w:jc w:val="both"/>
        <w:rPr>
          <w:rFonts w:ascii="Times New Roman" w:hAnsi="Times New Roman"/>
          <w:color w:val="000000" w:themeColor="text1"/>
          <w:sz w:val="16"/>
          <w:szCs w:val="16"/>
        </w:rPr>
      </w:pPr>
    </w:p>
    <w:p w14:paraId="41429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появился первый советский промышленный синтетический каучук, но нефтяной метод </w:t>
      </w:r>
      <w:proofErr w:type="spellStart"/>
      <w:r w:rsidRPr="007122AB">
        <w:rPr>
          <w:rFonts w:ascii="Times New Roman" w:hAnsi="Times New Roman"/>
          <w:color w:val="000000" w:themeColor="text1"/>
          <w:sz w:val="16"/>
          <w:szCs w:val="16"/>
        </w:rPr>
        <w:t>Б.В.Бызова</w:t>
      </w:r>
      <w:proofErr w:type="spellEnd"/>
      <w:r w:rsidRPr="007122AB">
        <w:rPr>
          <w:rFonts w:ascii="Times New Roman" w:hAnsi="Times New Roman"/>
          <w:color w:val="000000" w:themeColor="text1"/>
          <w:sz w:val="16"/>
          <w:szCs w:val="16"/>
        </w:rPr>
        <w:t xml:space="preserve"> оказался хуже спиртового </w:t>
      </w:r>
      <w:proofErr w:type="spellStart"/>
      <w:r w:rsidRPr="007122AB">
        <w:rPr>
          <w:rFonts w:ascii="Times New Roman" w:hAnsi="Times New Roman"/>
          <w:color w:val="000000" w:themeColor="text1"/>
          <w:sz w:val="16"/>
          <w:szCs w:val="16"/>
        </w:rPr>
        <w:t>С.В.Лебедева</w:t>
      </w:r>
      <w:proofErr w:type="spellEnd"/>
      <w:r w:rsidRPr="007122AB">
        <w:rPr>
          <w:rFonts w:ascii="Times New Roman" w:hAnsi="Times New Roman"/>
          <w:color w:val="000000" w:themeColor="text1"/>
          <w:sz w:val="16"/>
          <w:szCs w:val="16"/>
        </w:rPr>
        <w:t xml:space="preserve"> (423,153).</w:t>
      </w:r>
    </w:p>
    <w:p w14:paraId="3251B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3915D7"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разрозненные и немногочисленные цехи и заводы по производству пластических масс были наконец объединены в общесоюзный трест "</w:t>
      </w:r>
      <w:proofErr w:type="spellStart"/>
      <w:r w:rsidRPr="007122AB">
        <w:rPr>
          <w:rFonts w:ascii="Times New Roman" w:hAnsi="Times New Roman"/>
          <w:color w:val="000000" w:themeColor="text1"/>
          <w:sz w:val="16"/>
          <w:szCs w:val="16"/>
        </w:rPr>
        <w:t>Союзхимпластмасс</w:t>
      </w:r>
      <w:proofErr w:type="spellEnd"/>
      <w:r w:rsidRPr="007122AB">
        <w:rPr>
          <w:rFonts w:ascii="Times New Roman" w:hAnsi="Times New Roman"/>
          <w:color w:val="000000" w:themeColor="text1"/>
          <w:sz w:val="16"/>
          <w:szCs w:val="16"/>
        </w:rPr>
        <w:t>". Создание треста укрепило организационные основы новой важной отрасли индустрии и дало толчок к ее планомерному развитию (18301).</w:t>
      </w:r>
    </w:p>
    <w:p w14:paraId="1D079892" w14:textId="77777777" w:rsidR="00713D89" w:rsidRPr="007122AB" w:rsidRDefault="00713D89" w:rsidP="007122AB">
      <w:pPr>
        <w:spacing w:after="0" w:line="240" w:lineRule="auto"/>
        <w:jc w:val="both"/>
        <w:rPr>
          <w:rFonts w:ascii="Times New Roman" w:hAnsi="Times New Roman"/>
          <w:color w:val="000000" w:themeColor="text1"/>
          <w:sz w:val="16"/>
          <w:szCs w:val="16"/>
        </w:rPr>
      </w:pPr>
    </w:p>
    <w:p w14:paraId="4774ED1C"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w:t>
      </w:r>
      <w:proofErr w:type="spellStart"/>
      <w:r w:rsidRPr="007122AB">
        <w:rPr>
          <w:rFonts w:ascii="Times New Roman" w:hAnsi="Times New Roman"/>
          <w:color w:val="000000" w:themeColor="text1"/>
          <w:sz w:val="16"/>
          <w:szCs w:val="16"/>
        </w:rPr>
        <w:t>г.с</w:t>
      </w:r>
      <w:proofErr w:type="spellEnd"/>
      <w:r w:rsidRPr="007122AB">
        <w:rPr>
          <w:rFonts w:ascii="Times New Roman" w:hAnsi="Times New Roman"/>
          <w:color w:val="000000" w:themeColor="text1"/>
          <w:sz w:val="16"/>
          <w:szCs w:val="16"/>
        </w:rPr>
        <w:t xml:space="preserve"> целью получения объективно проверенных материалов для проектирования заводов синтетического каучука, ВСНХ организовал экспертную комиссию для оценки состояния работ на опытных заводах в составе П.П. Горбунова (председатель), А.Е. Фаворского, О.А. </w:t>
      </w:r>
      <w:proofErr w:type="spellStart"/>
      <w:r w:rsidRPr="007122AB">
        <w:rPr>
          <w:rFonts w:ascii="Times New Roman" w:hAnsi="Times New Roman"/>
          <w:color w:val="000000" w:themeColor="text1"/>
          <w:sz w:val="16"/>
          <w:szCs w:val="16"/>
        </w:rPr>
        <w:t>Зейде</w:t>
      </w:r>
      <w:proofErr w:type="spellEnd"/>
      <w:r w:rsidRPr="007122AB">
        <w:rPr>
          <w:rFonts w:ascii="Times New Roman" w:hAnsi="Times New Roman"/>
          <w:color w:val="000000" w:themeColor="text1"/>
          <w:sz w:val="16"/>
          <w:szCs w:val="16"/>
        </w:rPr>
        <w:t xml:space="preserve">, А.П. Карцева, С.Л. </w:t>
      </w:r>
      <w:proofErr w:type="spellStart"/>
      <w:r w:rsidRPr="007122AB">
        <w:rPr>
          <w:rFonts w:ascii="Times New Roman" w:hAnsi="Times New Roman"/>
          <w:color w:val="000000" w:themeColor="text1"/>
          <w:sz w:val="16"/>
          <w:szCs w:val="16"/>
        </w:rPr>
        <w:t>Либинсона</w:t>
      </w:r>
      <w:proofErr w:type="spellEnd"/>
      <w:r w:rsidRPr="007122AB">
        <w:rPr>
          <w:rFonts w:ascii="Times New Roman" w:hAnsi="Times New Roman"/>
          <w:color w:val="000000" w:themeColor="text1"/>
          <w:sz w:val="16"/>
          <w:szCs w:val="16"/>
        </w:rPr>
        <w:t xml:space="preserve"> (последние двое – в качество экспертов по заводу «Литер А») и др.</w:t>
      </w:r>
    </w:p>
    <w:p w14:paraId="6BB91D5E"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по заводу «Литер А» не было принято из-за недостатка материалов.</w:t>
      </w:r>
    </w:p>
    <w:p w14:paraId="37A882F4"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заключении по заводу «Литер Б» комиссия отметила реальную возможность получения синтетического каучука по способу С.В. Лебедева в заводском масштабе, а так же возможность замены НК синтетическим каучуком в производстве резиновых изделий.</w:t>
      </w:r>
    </w:p>
    <w:p w14:paraId="56B4A261"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Экспертная комиссия отметила необходимость и неотложность продолжения на опытном заводе экспериментальных работ для получения дополнительных данных для проектирования промышленных заводов (18298).</w:t>
      </w:r>
    </w:p>
    <w:p w14:paraId="6AC657F9" w14:textId="77777777" w:rsidR="00713D89" w:rsidRPr="007122AB" w:rsidRDefault="00713D89" w:rsidP="007122AB">
      <w:pPr>
        <w:spacing w:after="0" w:line="240" w:lineRule="auto"/>
        <w:jc w:val="both"/>
        <w:rPr>
          <w:rFonts w:ascii="Times New Roman" w:hAnsi="Times New Roman"/>
          <w:color w:val="000000" w:themeColor="text1"/>
          <w:sz w:val="16"/>
          <w:szCs w:val="16"/>
        </w:rPr>
      </w:pPr>
    </w:p>
    <w:p w14:paraId="5629EB82"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СТО принял решение о строительстве трех заводов по производству синтетического каучука по методу С.В. Лебедева. Учитывая большое значение создания в стране промышленности синтетического каучука, ВСНХ отнес строительство заводов к числу </w:t>
      </w:r>
      <w:proofErr w:type="spellStart"/>
      <w:r w:rsidRPr="007122AB">
        <w:rPr>
          <w:rFonts w:ascii="Times New Roman" w:hAnsi="Times New Roman"/>
          <w:color w:val="000000" w:themeColor="text1"/>
          <w:sz w:val="16"/>
          <w:szCs w:val="16"/>
        </w:rPr>
        <w:t>сверхударных</w:t>
      </w:r>
      <w:proofErr w:type="spellEnd"/>
      <w:r w:rsidRPr="007122AB">
        <w:rPr>
          <w:rFonts w:ascii="Times New Roman" w:hAnsi="Times New Roman"/>
          <w:color w:val="000000" w:themeColor="text1"/>
          <w:sz w:val="16"/>
          <w:szCs w:val="16"/>
        </w:rPr>
        <w:t xml:space="preserve"> строек.</w:t>
      </w:r>
    </w:p>
    <w:p w14:paraId="213CC467"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ВСНХ назначил особо уполномоченным по строительству заводов СК О.П. Осипова-Шмидта.</w:t>
      </w:r>
    </w:p>
    <w:p w14:paraId="334765A8" w14:textId="77777777" w:rsidR="00713D89" w:rsidRPr="007122AB" w:rsidRDefault="00713D8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Бюро СК при </w:t>
      </w:r>
      <w:proofErr w:type="spellStart"/>
      <w:r w:rsidRPr="007122AB">
        <w:rPr>
          <w:rFonts w:ascii="Times New Roman" w:hAnsi="Times New Roman"/>
          <w:color w:val="000000" w:themeColor="text1"/>
          <w:sz w:val="16"/>
          <w:szCs w:val="16"/>
        </w:rPr>
        <w:t>Резинообъединении</w:t>
      </w:r>
      <w:proofErr w:type="spellEnd"/>
      <w:r w:rsidRPr="007122AB">
        <w:rPr>
          <w:rFonts w:ascii="Times New Roman" w:hAnsi="Times New Roman"/>
          <w:color w:val="000000" w:themeColor="text1"/>
          <w:sz w:val="16"/>
          <w:szCs w:val="16"/>
        </w:rPr>
        <w:t xml:space="preserve"> было реорганизовано в Управление СК во главе с Осиповым-Шмидтом, подчиненное непосредственно Президиуму BCHX (18298).</w:t>
      </w:r>
    </w:p>
    <w:p w14:paraId="5513A763" w14:textId="77777777" w:rsidR="00713D89" w:rsidRPr="007122AB" w:rsidRDefault="00713D89" w:rsidP="007122AB">
      <w:pPr>
        <w:spacing w:after="0" w:line="240" w:lineRule="auto"/>
        <w:jc w:val="both"/>
        <w:rPr>
          <w:rFonts w:ascii="Times New Roman" w:hAnsi="Times New Roman"/>
          <w:color w:val="000000" w:themeColor="text1"/>
          <w:sz w:val="16"/>
          <w:szCs w:val="16"/>
        </w:rPr>
      </w:pPr>
    </w:p>
    <w:p w14:paraId="6E095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 началась разработка рабочих чертежей для закладки трех подводных лодок IV серии на Балтийском заводе в Ленинграде (3898).</w:t>
      </w:r>
    </w:p>
    <w:p w14:paraId="76ED8E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6E1E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1931-го ЭПРОН была передана из органов в ведение Наркомата путей сообщения. В феврале 1930-го Захаров обратился с просьбой уволить его </w:t>
      </w:r>
      <w:proofErr w:type="spellStart"/>
      <w:r w:rsidRPr="007122AB">
        <w:rPr>
          <w:rFonts w:ascii="Times New Roman" w:hAnsi="Times New Roman"/>
          <w:color w:val="000000" w:themeColor="text1"/>
          <w:sz w:val="16"/>
          <w:szCs w:val="16"/>
        </w:rPr>
        <w:t>or</w:t>
      </w:r>
      <w:proofErr w:type="spellEnd"/>
      <w:r w:rsidRPr="007122AB">
        <w:rPr>
          <w:rFonts w:ascii="Times New Roman" w:hAnsi="Times New Roman"/>
          <w:color w:val="000000" w:themeColor="text1"/>
          <w:sz w:val="16"/>
          <w:szCs w:val="16"/>
        </w:rPr>
        <w:t xml:space="preserve"> чекистской работы и оставить только на </w:t>
      </w:r>
      <w:proofErr w:type="spellStart"/>
      <w:r w:rsidRPr="007122AB">
        <w:rPr>
          <w:rFonts w:ascii="Times New Roman" w:hAnsi="Times New Roman"/>
          <w:color w:val="000000" w:themeColor="text1"/>
          <w:sz w:val="16"/>
          <w:szCs w:val="16"/>
        </w:rPr>
        <w:t>ЭПРОНе</w:t>
      </w:r>
      <w:proofErr w:type="spellEnd"/>
      <w:r w:rsidRPr="007122AB">
        <w:rPr>
          <w:rFonts w:ascii="Times New Roman" w:hAnsi="Times New Roman"/>
          <w:color w:val="000000" w:themeColor="text1"/>
          <w:sz w:val="16"/>
          <w:szCs w:val="16"/>
        </w:rPr>
        <w:t>. Подача рапорта имела неожиданные для Льва Николаевича последствия. 28 июня 1930 года приказом по управлению его освободили от должности руководителя Особой экспедиции.</w:t>
      </w:r>
    </w:p>
    <w:p w14:paraId="2591E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Один из старейших сотрудников Я.М. </w:t>
      </w:r>
      <w:proofErr w:type="spellStart"/>
      <w:r w:rsidRPr="007122AB">
        <w:rPr>
          <w:rFonts w:ascii="Times New Roman" w:hAnsi="Times New Roman"/>
          <w:color w:val="000000" w:themeColor="text1"/>
          <w:sz w:val="16"/>
          <w:szCs w:val="16"/>
        </w:rPr>
        <w:t>Хорошилкин</w:t>
      </w:r>
      <w:proofErr w:type="spellEnd"/>
      <w:r w:rsidRPr="007122AB">
        <w:rPr>
          <w:rFonts w:ascii="Times New Roman" w:hAnsi="Times New Roman"/>
          <w:color w:val="000000" w:themeColor="text1"/>
          <w:sz w:val="16"/>
          <w:szCs w:val="16"/>
        </w:rPr>
        <w:t xml:space="preserve"> так описывал (хорошим литературным языком) ситуацию в марте 1931 года: "...Положительно все упали духом. Работа валится из рук. Все ожидают какого-то "миссию". Дела идут плохо. С ремонтом опоздание; много аварийных случаев: Э-4 сломал мачту и повредил рубку; только исправили это, как он врезался в борт Э-32; после разбил водолазный баркас. Баржа "</w:t>
      </w:r>
      <w:proofErr w:type="spellStart"/>
      <w:r w:rsidRPr="007122AB">
        <w:rPr>
          <w:rFonts w:ascii="Times New Roman" w:hAnsi="Times New Roman"/>
          <w:color w:val="000000" w:themeColor="text1"/>
          <w:sz w:val="16"/>
          <w:szCs w:val="16"/>
        </w:rPr>
        <w:t>Евстафьевская</w:t>
      </w:r>
      <w:proofErr w:type="spellEnd"/>
      <w:r w:rsidRPr="007122AB">
        <w:rPr>
          <w:rFonts w:ascii="Times New Roman" w:hAnsi="Times New Roman"/>
          <w:color w:val="000000" w:themeColor="text1"/>
          <w:sz w:val="16"/>
          <w:szCs w:val="16"/>
        </w:rPr>
        <w:t xml:space="preserve">" разбилась в Стрелецкой о понтоны и едва не затонула. На судах отсутствует уголь; не на чем плавать и работать. ЭЗО не отапливается. Дисциплины совершенно нет, ходят, в чем попало. На территории хаос и бесхозяйственность. Все основные кадровики в панике. В благоприятный исход летнего оперативного сезона никто не верит... Массовая демобилизация по болезни водолазов - 10 человек сразу. Ко мне целое паломничество, приходят в институт, в столовую, на квартиру - облегчают боль, и страдание наболевшей души. Все жалеют Вас и верят в возвращение, иначе через год от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xml:space="preserve"> ничего не останется. Разделят, раздергают по частям".</w:t>
      </w:r>
    </w:p>
    <w:p w14:paraId="6A9EBC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Еще более мрачную картину рисовало следующее письмо того же автора от 11 апреля 31-го: "Здесь творится нечто невиданное, все старые </w:t>
      </w:r>
      <w:proofErr w:type="spellStart"/>
      <w:r w:rsidRPr="007122AB">
        <w:rPr>
          <w:rFonts w:ascii="Times New Roman" w:hAnsi="Times New Roman"/>
          <w:color w:val="000000" w:themeColor="text1"/>
          <w:sz w:val="16"/>
          <w:szCs w:val="16"/>
        </w:rPr>
        <w:t>эпроновцы</w:t>
      </w:r>
      <w:proofErr w:type="spellEnd"/>
      <w:r w:rsidRPr="007122AB">
        <w:rPr>
          <w:rFonts w:ascii="Times New Roman" w:hAnsi="Times New Roman"/>
          <w:color w:val="000000" w:themeColor="text1"/>
          <w:sz w:val="16"/>
          <w:szCs w:val="16"/>
        </w:rPr>
        <w:t xml:space="preserve"> бегут, а новое руководство как будто бы этому и радо: мол, не страшно, сами справимся. Набирают новых "своих" людей и "справляются". Все положительно гробят. Что ни распоряжение, то головотяпство... Ежедневные жалобы, заметки в газетах, тяжба с прокуратурой и прочее. Описать всего невозможно, даже трудно это все передать, это надо видеть, чтобы сразу убедиться, что дело ведется, может быть, даже умышленно к развалу..." (11628).</w:t>
      </w:r>
    </w:p>
    <w:p w14:paraId="66BDC522" w14:textId="7536616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439325" w14:textId="567F3FD8" w:rsidR="0064217F" w:rsidRPr="007122AB" w:rsidRDefault="0064217F"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4387B5C2" w14:textId="77777777" w:rsidR="0064217F" w:rsidRPr="007122AB" w:rsidRDefault="0064217F"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AA60C60" w14:textId="77777777" w:rsidR="0064217F" w:rsidRPr="007122AB" w:rsidRDefault="006421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В январе 1931 г. РВС СССР утвердил календарный план строительства РККА на 1931 - 1933 гг. Это завершило разработку научно обоснованного плана военного строительства, положенного в основу всей работы по технической реконструкции армии (9089).</w:t>
      </w:r>
    </w:p>
    <w:p w14:paraId="6F359231" w14:textId="77777777" w:rsidR="0064217F" w:rsidRPr="007122AB" w:rsidRDefault="0064217F" w:rsidP="007122AB">
      <w:pPr>
        <w:spacing w:after="0" w:line="240" w:lineRule="auto"/>
        <w:jc w:val="both"/>
        <w:rPr>
          <w:rFonts w:ascii="Times New Roman" w:hAnsi="Times New Roman"/>
          <w:color w:val="000000" w:themeColor="text1"/>
          <w:sz w:val="16"/>
          <w:szCs w:val="16"/>
        </w:rPr>
      </w:pPr>
    </w:p>
    <w:p w14:paraId="1940A031" w14:textId="77777777" w:rsidR="00F8090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F4E2E6C" w14:textId="77777777" w:rsidR="00F80904" w:rsidRPr="007122AB" w:rsidRDefault="00F809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57CF08" w14:textId="77777777" w:rsidR="00F80904" w:rsidRPr="007122AB" w:rsidRDefault="00F8090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в провинции рубль обладал покупательной способностью 8 довоенных копеек. Выступая с докладом в Свердловске на Втором </w:t>
      </w:r>
      <w:proofErr w:type="spellStart"/>
      <w:r w:rsidRPr="007122AB">
        <w:rPr>
          <w:rFonts w:ascii="Times New Roman" w:hAnsi="Times New Roman"/>
          <w:color w:val="000000" w:themeColor="text1"/>
          <w:sz w:val="16"/>
          <w:szCs w:val="16"/>
        </w:rPr>
        <w:t>всеуральском</w:t>
      </w:r>
      <w:proofErr w:type="spellEnd"/>
      <w:r w:rsidRPr="007122AB">
        <w:rPr>
          <w:rFonts w:ascii="Times New Roman" w:hAnsi="Times New Roman"/>
          <w:color w:val="000000" w:themeColor="text1"/>
          <w:sz w:val="16"/>
          <w:szCs w:val="16"/>
        </w:rPr>
        <w:t xml:space="preserve"> слете ударников финансового фронта Г.Ф. Гринько говорил о финансовых затруднениях </w:t>
      </w:r>
      <w:r w:rsidRPr="007122AB">
        <w:rPr>
          <w:rStyle w:val="highlight"/>
          <w:rFonts w:ascii="Times New Roman" w:hAnsi="Times New Roman"/>
          <w:color w:val="000000" w:themeColor="text1"/>
          <w:sz w:val="16"/>
          <w:szCs w:val="16"/>
        </w:rPr>
        <w:t> 1930 </w:t>
      </w:r>
      <w:r w:rsidRPr="007122AB">
        <w:rPr>
          <w:rFonts w:ascii="Times New Roman" w:hAnsi="Times New Roman"/>
          <w:color w:val="000000" w:themeColor="text1"/>
          <w:sz w:val="16"/>
          <w:szCs w:val="16"/>
        </w:rPr>
        <w:t xml:space="preserve"> г.: «Удар нашему финансовому хозяйству был нанесен тогда одновременно с двух сторон – во первых, со стороны автоматизма банковского кредитования и связанной с этим чрезмерной эмиссией, и во вторых, со стороны замораживания товарооборота» (17240).</w:t>
      </w:r>
    </w:p>
    <w:p w14:paraId="24AE5208" w14:textId="77777777" w:rsidR="00F80904" w:rsidRPr="007122AB" w:rsidRDefault="00F80904" w:rsidP="007122AB">
      <w:pPr>
        <w:autoSpaceDE w:val="0"/>
        <w:autoSpaceDN w:val="0"/>
        <w:adjustRightInd w:val="0"/>
        <w:spacing w:after="0" w:line="240" w:lineRule="auto"/>
        <w:jc w:val="both"/>
        <w:rPr>
          <w:rFonts w:ascii="Times New Roman" w:hAnsi="Times New Roman"/>
          <w:color w:val="000000" w:themeColor="text1"/>
          <w:sz w:val="16"/>
          <w:szCs w:val="16"/>
        </w:rPr>
      </w:pPr>
    </w:p>
    <w:p w14:paraId="10EC978E" w14:textId="77777777" w:rsidR="007E6FB4" w:rsidRPr="007122AB" w:rsidRDefault="007E6FB4"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 января 1931 года все научно-исследовательские, геологоразведочные и производственные работы по добыче и переработке газов должны были решаться трестом «Стройгаз». Эта организация была создана в составе объединения «</w:t>
      </w:r>
      <w:proofErr w:type="spellStart"/>
      <w:r w:rsidRPr="007122AB">
        <w:rPr>
          <w:rFonts w:ascii="Times New Roman" w:eastAsia="Times New Roman" w:hAnsi="Times New Roman"/>
          <w:color w:val="000000" w:themeColor="text1"/>
          <w:sz w:val="16"/>
          <w:szCs w:val="16"/>
          <w:lang w:eastAsia="ru-RU"/>
        </w:rPr>
        <w:t>Всехимпром</w:t>
      </w:r>
      <w:proofErr w:type="spellEnd"/>
      <w:r w:rsidRPr="007122AB">
        <w:rPr>
          <w:rFonts w:ascii="Times New Roman" w:eastAsia="Times New Roman" w:hAnsi="Times New Roman"/>
          <w:color w:val="000000" w:themeColor="text1"/>
          <w:sz w:val="16"/>
          <w:szCs w:val="16"/>
          <w:lang w:eastAsia="ru-RU"/>
        </w:rPr>
        <w:t>» и полное её название звучало как Контора по химическому использованию природных газов на территории Союза ССР. Вскоре её преобразовали в первый газодобывающий и перерабатывающий трест «</w:t>
      </w:r>
      <w:proofErr w:type="spellStart"/>
      <w:r w:rsidRPr="007122AB">
        <w:rPr>
          <w:rFonts w:ascii="Times New Roman" w:eastAsia="Times New Roman" w:hAnsi="Times New Roman"/>
          <w:color w:val="000000" w:themeColor="text1"/>
          <w:sz w:val="16"/>
          <w:szCs w:val="16"/>
          <w:lang w:eastAsia="ru-RU"/>
        </w:rPr>
        <w:t>Союзгаз</w:t>
      </w:r>
      <w:proofErr w:type="spellEnd"/>
      <w:r w:rsidRPr="007122AB">
        <w:rPr>
          <w:rFonts w:ascii="Times New Roman" w:eastAsia="Times New Roman" w:hAnsi="Times New Roman"/>
          <w:color w:val="000000" w:themeColor="text1"/>
          <w:sz w:val="16"/>
          <w:szCs w:val="16"/>
          <w:lang w:eastAsia="ru-RU"/>
        </w:rPr>
        <w:t>».</w:t>
      </w:r>
    </w:p>
    <w:p w14:paraId="5F7EDF5A" w14:textId="77777777" w:rsidR="007E6FB4" w:rsidRPr="007122AB" w:rsidRDefault="007E6FB4"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Первой и основной задачей организации стала подготовка обустройства газодобывающего промысла и строительства опытного гелиевого завода в Мельниково.</w:t>
      </w:r>
    </w:p>
    <w:p w14:paraId="214B6573" w14:textId="77777777" w:rsidR="007E6FB4" w:rsidRPr="007122AB" w:rsidRDefault="007E6FB4"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И тут нам стоит вспомнить о методе Фокина–Клюквина, который предполагал, что основным продуктом </w:t>
      </w:r>
      <w:proofErr w:type="spellStart"/>
      <w:r w:rsidRPr="007122AB">
        <w:rPr>
          <w:rFonts w:ascii="Times New Roman" w:eastAsia="Times New Roman" w:hAnsi="Times New Roman"/>
          <w:color w:val="000000" w:themeColor="text1"/>
          <w:sz w:val="16"/>
          <w:szCs w:val="16"/>
          <w:lang w:eastAsia="ru-RU"/>
        </w:rPr>
        <w:t>Мельниковского</w:t>
      </w:r>
      <w:proofErr w:type="spellEnd"/>
      <w:r w:rsidRPr="007122AB">
        <w:rPr>
          <w:rFonts w:ascii="Times New Roman" w:eastAsia="Times New Roman" w:hAnsi="Times New Roman"/>
          <w:color w:val="000000" w:themeColor="text1"/>
          <w:sz w:val="16"/>
          <w:szCs w:val="16"/>
          <w:lang w:eastAsia="ru-RU"/>
        </w:rPr>
        <w:t xml:space="preserve"> завода будет аммиак, а гелий – побочным. Этот метод был взят за основу при обустройстве промысла. Но вскоре обнаружился неприятный сюрприз – запасы месторождения оказались слишком малы. Всего 100–125 млн куб. м природного газа. Строить крупный газохимический комбинат при таких условиях было бессмысленно (21251).</w:t>
      </w:r>
    </w:p>
    <w:p w14:paraId="647FB9E0" w14:textId="77777777" w:rsidR="007E6FB4" w:rsidRPr="007122AB" w:rsidRDefault="007E6FB4" w:rsidP="007122AB">
      <w:pPr>
        <w:spacing w:after="0" w:line="240" w:lineRule="auto"/>
        <w:jc w:val="both"/>
        <w:rPr>
          <w:rFonts w:ascii="Times New Roman" w:hAnsi="Times New Roman"/>
          <w:color w:val="000000" w:themeColor="text1"/>
          <w:sz w:val="16"/>
          <w:szCs w:val="16"/>
        </w:rPr>
      </w:pPr>
    </w:p>
    <w:p w14:paraId="4E8DB48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D528A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945639"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Департамент вооружений получил опытный экземпляр Christie M1931, и он сразу был отправлен на Абердинский полигон, где прошел двухмесячные испытания. По их итогам, в июле 1931 г. между фирмой U.S. </w:t>
      </w:r>
      <w:proofErr w:type="spellStart"/>
      <w:r w:rsidRPr="007122AB">
        <w:rPr>
          <w:rFonts w:ascii="Times New Roman" w:hAnsi="Times New Roman"/>
          <w:color w:val="000000" w:themeColor="text1"/>
          <w:sz w:val="16"/>
          <w:szCs w:val="16"/>
        </w:rPr>
        <w:t>Wheel</w:t>
      </w:r>
      <w:proofErr w:type="spellEnd"/>
      <w:r w:rsidRPr="007122AB">
        <w:rPr>
          <w:rFonts w:ascii="Times New Roman" w:hAnsi="Times New Roman"/>
          <w:color w:val="000000" w:themeColor="text1"/>
          <w:sz w:val="16"/>
          <w:szCs w:val="16"/>
        </w:rPr>
        <w:t xml:space="preserve"> Track Layer Corporation и Управлением вооружений был подписан контракт на изготовление серии из семи танков Christie M1931, цена одного танка составляла 34,5 тыс. долл. Первый M1931 был «отгружен» в сентябре 1931 г. Последняя, седьмая машина была получена военными в марте 1932 г. Четыре танка достались кавалерии, еще три — пехоте. Танки, доставшиеся пехоте, получили обозначение </w:t>
      </w:r>
      <w:proofErr w:type="spellStart"/>
      <w:r w:rsidRPr="007122AB">
        <w:rPr>
          <w:rFonts w:ascii="Times New Roman" w:hAnsi="Times New Roman"/>
          <w:color w:val="000000" w:themeColor="text1"/>
          <w:sz w:val="16"/>
          <w:szCs w:val="16"/>
        </w:rPr>
        <w:t>Convertible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Medium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Tank</w:t>
      </w:r>
      <w:proofErr w:type="spellEnd"/>
      <w:r w:rsidRPr="007122AB">
        <w:rPr>
          <w:rFonts w:ascii="Times New Roman" w:hAnsi="Times New Roman"/>
          <w:color w:val="000000" w:themeColor="text1"/>
          <w:sz w:val="16"/>
          <w:szCs w:val="16"/>
        </w:rPr>
        <w:t xml:space="preserve"> T3. В кавалерии в соответствии с принятой здесь системой обозначений, машины получили название </w:t>
      </w:r>
      <w:proofErr w:type="spellStart"/>
      <w:r w:rsidRPr="007122AB">
        <w:rPr>
          <w:rFonts w:ascii="Times New Roman" w:hAnsi="Times New Roman"/>
          <w:color w:val="000000" w:themeColor="text1"/>
          <w:sz w:val="16"/>
          <w:szCs w:val="16"/>
        </w:rPr>
        <w:t>Combat</w:t>
      </w:r>
      <w:proofErr w:type="spellEnd"/>
      <w:r w:rsidRPr="007122AB">
        <w:rPr>
          <w:rFonts w:ascii="Times New Roman" w:hAnsi="Times New Roman"/>
          <w:color w:val="000000" w:themeColor="text1"/>
          <w:sz w:val="16"/>
          <w:szCs w:val="16"/>
        </w:rPr>
        <w:t xml:space="preserve"> Car T1. Дело в том, что с момента расформирования Танкового корпуса в 1920 г. армейское руководство решило, что танковые подразделения могут использоваться только для поддержки пехоты, а кавалерия может обойтись одними бронемашинами. Поэтому кавалеристам приходилось хитрить, называя собственные полноценные танки </w:t>
      </w:r>
      <w:proofErr w:type="spellStart"/>
      <w:r w:rsidRPr="007122AB">
        <w:rPr>
          <w:rFonts w:ascii="Times New Roman" w:hAnsi="Times New Roman"/>
          <w:color w:val="000000" w:themeColor="text1"/>
          <w:sz w:val="16"/>
          <w:szCs w:val="16"/>
        </w:rPr>
        <w:t>Combat</w:t>
      </w:r>
      <w:proofErr w:type="spellEnd"/>
      <w:r w:rsidRPr="007122AB">
        <w:rPr>
          <w:rFonts w:ascii="Times New Roman" w:hAnsi="Times New Roman"/>
          <w:color w:val="000000" w:themeColor="text1"/>
          <w:sz w:val="16"/>
          <w:szCs w:val="16"/>
        </w:rPr>
        <w:t xml:space="preserve"> Car («Боевая машина»). Местом базирования кавалерийских машин был выбран Форт-Нокс, а пехотные поступили в Форт-Беннинг. Здесь M1931 подверглись активным испытаниям и заслужили как у пехотинцев, так и у кавалеристов позитивную оценку. Помимо высокой маневренности, отмечались достаточная мощь вооружения, а также удобство управления.</w:t>
      </w:r>
    </w:p>
    <w:p w14:paraId="20BC9762"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Пехотный совет рекомендовал немедленно стандартизировать (принять на вооружение) </w:t>
      </w:r>
      <w:proofErr w:type="spellStart"/>
      <w:r w:rsidRPr="007122AB">
        <w:rPr>
          <w:rFonts w:ascii="Times New Roman" w:hAnsi="Times New Roman"/>
          <w:color w:val="000000" w:themeColor="text1"/>
          <w:sz w:val="16"/>
          <w:szCs w:val="16"/>
        </w:rPr>
        <w:t>Convertible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Medium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Tank</w:t>
      </w:r>
      <w:proofErr w:type="spellEnd"/>
      <w:r w:rsidRPr="007122AB">
        <w:rPr>
          <w:rFonts w:ascii="Times New Roman" w:hAnsi="Times New Roman"/>
          <w:color w:val="000000" w:themeColor="text1"/>
          <w:sz w:val="16"/>
          <w:szCs w:val="16"/>
        </w:rPr>
        <w:t xml:space="preserve"> T3. Тем не менее большого контракта на производство </w:t>
      </w:r>
      <w:proofErr w:type="spellStart"/>
      <w:r w:rsidRPr="007122AB">
        <w:rPr>
          <w:rFonts w:ascii="Times New Roman" w:hAnsi="Times New Roman"/>
          <w:color w:val="000000" w:themeColor="text1"/>
          <w:sz w:val="16"/>
          <w:szCs w:val="16"/>
        </w:rPr>
        <w:t>Convertible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Medium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Tank</w:t>
      </w:r>
      <w:proofErr w:type="spellEnd"/>
      <w:r w:rsidRPr="007122AB">
        <w:rPr>
          <w:rFonts w:ascii="Times New Roman" w:hAnsi="Times New Roman"/>
          <w:color w:val="000000" w:themeColor="text1"/>
          <w:sz w:val="16"/>
          <w:szCs w:val="16"/>
        </w:rPr>
        <w:t xml:space="preserve"> T3/</w:t>
      </w:r>
      <w:proofErr w:type="spellStart"/>
      <w:r w:rsidRPr="007122AB">
        <w:rPr>
          <w:rFonts w:ascii="Times New Roman" w:hAnsi="Times New Roman"/>
          <w:color w:val="000000" w:themeColor="text1"/>
          <w:sz w:val="16"/>
          <w:szCs w:val="16"/>
        </w:rPr>
        <w:t>Combat</w:t>
      </w:r>
      <w:proofErr w:type="spellEnd"/>
      <w:r w:rsidRPr="007122AB">
        <w:rPr>
          <w:rFonts w:ascii="Times New Roman" w:hAnsi="Times New Roman"/>
          <w:color w:val="000000" w:themeColor="text1"/>
          <w:sz w:val="16"/>
          <w:szCs w:val="16"/>
        </w:rPr>
        <w:t xml:space="preserve"> Car T1 Кристи так и не получил. США вступили в период Великой депрессии, и финансы, которыми располагали военные, не позволяли закупать танки в необходимых количествах. Свою роль сыграла и вражда, возникшая между отдельными генералами и вспыльчивым и резким Джоном Кристи (22884).</w:t>
      </w:r>
    </w:p>
    <w:p w14:paraId="7E0859CC" w14:textId="77777777" w:rsidR="00BE087B" w:rsidRPr="007122AB" w:rsidRDefault="00BE087B" w:rsidP="007122AB">
      <w:pPr>
        <w:spacing w:after="0" w:line="240" w:lineRule="auto"/>
        <w:jc w:val="both"/>
        <w:rPr>
          <w:rFonts w:ascii="Times New Roman" w:hAnsi="Times New Roman"/>
          <w:color w:val="000000" w:themeColor="text1"/>
          <w:sz w:val="16"/>
          <w:szCs w:val="16"/>
        </w:rPr>
      </w:pPr>
    </w:p>
    <w:p w14:paraId="528B2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к власти во Франции пришел П. Лаваль. Министром иностранных дел в его кабинете остался «несменяемый» А.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Однако главную скрипку во внешней политике Франции стал играть сам Лаваль, считавший своей главной задачей достижение согласия и взаимопонимания с Германией. Именно этому были посвящены его переговоры с германским канцлером Х. </w:t>
      </w:r>
      <w:proofErr w:type="spellStart"/>
      <w:r w:rsidRPr="007122AB">
        <w:rPr>
          <w:rFonts w:ascii="Times New Roman" w:hAnsi="Times New Roman"/>
          <w:color w:val="000000" w:themeColor="text1"/>
          <w:sz w:val="16"/>
          <w:szCs w:val="16"/>
        </w:rPr>
        <w:t>Брюнингрм</w:t>
      </w:r>
      <w:proofErr w:type="spellEnd"/>
      <w:r w:rsidRPr="007122AB">
        <w:rPr>
          <w:rFonts w:ascii="Times New Roman" w:hAnsi="Times New Roman"/>
          <w:color w:val="000000" w:themeColor="text1"/>
          <w:sz w:val="16"/>
          <w:szCs w:val="16"/>
        </w:rPr>
        <w:t xml:space="preserve"> в Париже и Берлине в июле и сентябре 1931 г. В обмен на крупную финансовую помощь Франция потребовала от Германии «политического перемирия» и </w:t>
      </w:r>
      <w:proofErr w:type="spellStart"/>
      <w:r w:rsidRPr="007122AB">
        <w:rPr>
          <w:rFonts w:ascii="Times New Roman" w:hAnsi="Times New Roman"/>
          <w:color w:val="000000" w:themeColor="text1"/>
          <w:sz w:val="16"/>
          <w:szCs w:val="16"/>
        </w:rPr>
        <w:t>неувеличения</w:t>
      </w:r>
      <w:proofErr w:type="spellEnd"/>
      <w:r w:rsidRPr="007122AB">
        <w:rPr>
          <w:rFonts w:ascii="Times New Roman" w:hAnsi="Times New Roman"/>
          <w:color w:val="000000" w:themeColor="text1"/>
          <w:sz w:val="16"/>
          <w:szCs w:val="16"/>
        </w:rPr>
        <w:t xml:space="preserve"> Берлином своих военных расходов. 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w:t>
      </w:r>
      <w:proofErr w:type="spellStart"/>
      <w:r w:rsidRPr="007122AB">
        <w:rPr>
          <w:rFonts w:ascii="Times New Roman" w:hAnsi="Times New Roman"/>
          <w:color w:val="000000" w:themeColor="text1"/>
          <w:sz w:val="16"/>
          <w:szCs w:val="16"/>
        </w:rPr>
        <w:t>Брианом</w:t>
      </w:r>
      <w:proofErr w:type="spellEnd"/>
      <w:r w:rsidRPr="007122AB">
        <w:rPr>
          <w:rFonts w:ascii="Times New Roman" w:hAnsi="Times New Roman"/>
          <w:color w:val="000000" w:themeColor="text1"/>
          <w:sz w:val="16"/>
          <w:szCs w:val="16"/>
        </w:rPr>
        <w:t xml:space="preserve"> министр иностранных дел Германии Ю. </w:t>
      </w:r>
      <w:proofErr w:type="spellStart"/>
      <w:r w:rsidRPr="007122AB">
        <w:rPr>
          <w:rFonts w:ascii="Times New Roman" w:hAnsi="Times New Roman"/>
          <w:color w:val="000000" w:themeColor="text1"/>
          <w:sz w:val="16"/>
          <w:szCs w:val="16"/>
        </w:rPr>
        <w:t>Курциус</w:t>
      </w:r>
      <w:proofErr w:type="spellEnd"/>
      <w:r w:rsidRPr="007122AB">
        <w:rPr>
          <w:rFonts w:ascii="Times New Roman" w:hAnsi="Times New Roman"/>
          <w:color w:val="000000" w:themeColor="text1"/>
          <w:sz w:val="16"/>
          <w:szCs w:val="16"/>
        </w:rPr>
        <w:t xml:space="preserve"> сделал вывод: «У меня сложилось впечатление, что для французов прежде всего важно оттеснить нас от России»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соч., с. 278.). Встречное движение было и со стороны Германии. Так, Ф. фон </w:t>
      </w:r>
      <w:proofErr w:type="spellStart"/>
      <w:r w:rsidRPr="007122AB">
        <w:rPr>
          <w:rFonts w:ascii="Times New Roman" w:hAnsi="Times New Roman"/>
          <w:color w:val="000000" w:themeColor="text1"/>
          <w:sz w:val="16"/>
          <w:szCs w:val="16"/>
        </w:rPr>
        <w:t>Папен</w:t>
      </w:r>
      <w:proofErr w:type="spellEnd"/>
      <w:r w:rsidRPr="007122AB">
        <w:rPr>
          <w:rFonts w:ascii="Times New Roman" w:hAnsi="Times New Roman"/>
          <w:color w:val="000000" w:themeColor="text1"/>
          <w:sz w:val="16"/>
          <w:szCs w:val="16"/>
        </w:rPr>
        <w:t xml:space="preserve">, сменивший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на посту канцлера Германии 4 июля 1932 г., предложил французам «германо-франко-польский союз для захвата Украины»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В дни завершения работы Лозаннской конференции в июле 1932 г. </w:t>
      </w:r>
      <w:proofErr w:type="spellStart"/>
      <w:r w:rsidRPr="007122AB">
        <w:rPr>
          <w:rFonts w:ascii="Times New Roman" w:hAnsi="Times New Roman"/>
          <w:color w:val="000000" w:themeColor="text1"/>
          <w:sz w:val="16"/>
          <w:szCs w:val="16"/>
        </w:rPr>
        <w:t>Папен</w:t>
      </w:r>
      <w:proofErr w:type="spellEnd"/>
      <w:r w:rsidRPr="007122AB">
        <w:rPr>
          <w:rFonts w:ascii="Times New Roman" w:hAnsi="Times New Roman"/>
          <w:color w:val="000000" w:themeColor="text1"/>
          <w:sz w:val="16"/>
          <w:szCs w:val="16"/>
        </w:rPr>
        <w:t xml:space="preserve">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в своих мемуарах по этому поводу писал: «С весны 1931 года французы то и дело безрезультатно пытались отколоть от нас Россию»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Симптоматичны в этой связи следующие слова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w:t>
      </w:r>
      <w:proofErr w:type="spellStart"/>
      <w:r w:rsidRPr="007122AB">
        <w:rPr>
          <w:rFonts w:ascii="Times New Roman" w:hAnsi="Times New Roman"/>
          <w:color w:val="000000" w:themeColor="text1"/>
          <w:sz w:val="16"/>
          <w:szCs w:val="16"/>
        </w:rPr>
        <w:t>соч</w:t>
      </w:r>
      <w:proofErr w:type="spellEnd"/>
      <w:r w:rsidRPr="007122AB">
        <w:rPr>
          <w:rFonts w:ascii="Times New Roman" w:hAnsi="Times New Roman"/>
          <w:color w:val="000000" w:themeColor="text1"/>
          <w:sz w:val="16"/>
          <w:szCs w:val="16"/>
        </w:rPr>
        <w:t>,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EE97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C702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года (</w:t>
      </w:r>
      <w:proofErr w:type="spellStart"/>
      <w:r w:rsidRPr="007122AB">
        <w:rPr>
          <w:rFonts w:ascii="Times New Roman" w:hAnsi="Times New Roman"/>
          <w:color w:val="000000" w:themeColor="text1"/>
          <w:sz w:val="16"/>
          <w:szCs w:val="16"/>
        </w:rPr>
        <w:t>Даллин</w:t>
      </w:r>
      <w:proofErr w:type="spellEnd"/>
      <w:r w:rsidRPr="007122AB">
        <w:rPr>
          <w:rFonts w:ascii="Times New Roman" w:hAnsi="Times New Roman"/>
          <w:color w:val="000000" w:themeColor="text1"/>
          <w:sz w:val="16"/>
          <w:szCs w:val="16"/>
        </w:rPr>
        <w:t xml:space="preserve"> Д. Шпионаж по-советски. — М., 2001, с. 105—106.) был арестован Инженер В. Рихтер, работник цементного завода «</w:t>
      </w:r>
      <w:proofErr w:type="spellStart"/>
      <w:r w:rsidRPr="007122AB">
        <w:rPr>
          <w:rFonts w:ascii="Times New Roman" w:hAnsi="Times New Roman"/>
          <w:color w:val="000000" w:themeColor="text1"/>
          <w:sz w:val="16"/>
          <w:szCs w:val="16"/>
        </w:rPr>
        <w:t>Полизиус</w:t>
      </w:r>
      <w:proofErr w:type="spellEnd"/>
      <w:r w:rsidRPr="007122AB">
        <w:rPr>
          <w:rFonts w:ascii="Times New Roman" w:hAnsi="Times New Roman"/>
          <w:color w:val="000000" w:themeColor="text1"/>
          <w:sz w:val="16"/>
          <w:szCs w:val="16"/>
        </w:rPr>
        <w:t>» вблизи Дессау, передал секретные планы и чертежи для завода, который планировали построить в пригороде Москвы. Кроме передачи необходимых документов, он сам регулярно посещал Советский Союз (11765).</w:t>
      </w:r>
    </w:p>
    <w:p w14:paraId="76A497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582A50"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года закончили второй прототип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52/1mde (заводской номер 4002). Основными его отличиями были: усиленное крыло, улучшенные закрылки и двигатель “Леопард” фирмы </w:t>
      </w:r>
      <w:proofErr w:type="spellStart"/>
      <w:r w:rsidRPr="007122AB">
        <w:rPr>
          <w:rFonts w:ascii="Times New Roman" w:hAnsi="Times New Roman"/>
          <w:color w:val="000000" w:themeColor="text1"/>
          <w:sz w:val="16"/>
          <w:szCs w:val="16"/>
        </w:rPr>
        <w:t>Armstrong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Siddeley</w:t>
      </w:r>
      <w:proofErr w:type="spellEnd"/>
      <w:r w:rsidRPr="007122AB">
        <w:rPr>
          <w:rFonts w:ascii="Times New Roman" w:hAnsi="Times New Roman"/>
          <w:color w:val="000000" w:themeColor="text1"/>
          <w:sz w:val="16"/>
          <w:szCs w:val="16"/>
        </w:rPr>
        <w:t xml:space="preserve"> мощностью 800 л.с. Поставки двигателя задерживались. Конструкторы ждали аж до 10 марта, а после установили испытанный BMW </w:t>
      </w:r>
      <w:proofErr w:type="spellStart"/>
      <w:r w:rsidRPr="007122AB">
        <w:rPr>
          <w:rFonts w:ascii="Times New Roman" w:hAnsi="Times New Roman"/>
          <w:color w:val="000000" w:themeColor="text1"/>
          <w:sz w:val="16"/>
          <w:szCs w:val="16"/>
        </w:rPr>
        <w:t>VIIaU</w:t>
      </w:r>
      <w:proofErr w:type="spellEnd"/>
      <w:r w:rsidRPr="007122AB">
        <w:rPr>
          <w:rFonts w:ascii="Times New Roman" w:hAnsi="Times New Roman"/>
          <w:color w:val="000000" w:themeColor="text1"/>
          <w:sz w:val="16"/>
          <w:szCs w:val="16"/>
        </w:rPr>
        <w:t xml:space="preserve">. Вскоре после начала испытаний, в качестве эксперимента, машину поставили на цельнометаллические поплавки, превратив ее в гидросамолет. 17 июля 1931 года Циммерман взлетел на ней с поверхности реки Эльба и Самолеты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52/3m авиакомпании Lufthansa в Берлинском аэропорту остался доволен ее характеристиками. Самолету присвоили регистрационный номер D-2133 и перегнали в </w:t>
      </w:r>
      <w:proofErr w:type="spellStart"/>
      <w:r w:rsidRPr="007122AB">
        <w:rPr>
          <w:rFonts w:ascii="Times New Roman" w:hAnsi="Times New Roman"/>
          <w:color w:val="000000" w:themeColor="text1"/>
          <w:sz w:val="16"/>
          <w:szCs w:val="16"/>
        </w:rPr>
        <w:t>Травемюнде</w:t>
      </w:r>
      <w:proofErr w:type="spellEnd"/>
      <w:r w:rsidRPr="007122AB">
        <w:rPr>
          <w:rFonts w:ascii="Times New Roman" w:hAnsi="Times New Roman"/>
          <w:color w:val="000000" w:themeColor="text1"/>
          <w:sz w:val="16"/>
          <w:szCs w:val="16"/>
        </w:rPr>
        <w:t xml:space="preserve"> для дальнейших испытаний (19012).</w:t>
      </w:r>
    </w:p>
    <w:p w14:paraId="085C0A38"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4E00C0F0"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1931 г. к власти во Франции пришел П. Лаваль. Министром иностранных дел в его кабинете остался «несменяемый» А.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Однако главную скрипку во внешней политике Франции стал играть сам Лаваль, считавший своей главной задачей достижение согласия и взаимопонимания с Германией. Именно этому были посвящены его переговоры с германским канцлером Х. </w:t>
      </w:r>
      <w:proofErr w:type="spellStart"/>
      <w:r w:rsidRPr="007122AB">
        <w:rPr>
          <w:rFonts w:ascii="Times New Roman" w:hAnsi="Times New Roman"/>
          <w:color w:val="000000" w:themeColor="text1"/>
          <w:sz w:val="16"/>
          <w:szCs w:val="16"/>
        </w:rPr>
        <w:t>Брюнингом</w:t>
      </w:r>
      <w:proofErr w:type="spellEnd"/>
      <w:r w:rsidRPr="007122AB">
        <w:rPr>
          <w:rFonts w:ascii="Times New Roman" w:hAnsi="Times New Roman"/>
          <w:color w:val="000000" w:themeColor="text1"/>
          <w:sz w:val="16"/>
          <w:szCs w:val="16"/>
        </w:rPr>
        <w:t xml:space="preserve"> в Париже и Берлине в июле и сентябре 1931 г. В обмен на крупную финансовую помощь Франция потребовала от Германии «политического перемирия» и </w:t>
      </w:r>
      <w:proofErr w:type="spellStart"/>
      <w:r w:rsidRPr="007122AB">
        <w:rPr>
          <w:rFonts w:ascii="Times New Roman" w:hAnsi="Times New Roman"/>
          <w:color w:val="000000" w:themeColor="text1"/>
          <w:sz w:val="16"/>
          <w:szCs w:val="16"/>
        </w:rPr>
        <w:t>неувеличения</w:t>
      </w:r>
      <w:proofErr w:type="spellEnd"/>
      <w:r w:rsidRPr="007122AB">
        <w:rPr>
          <w:rFonts w:ascii="Times New Roman" w:hAnsi="Times New Roman"/>
          <w:color w:val="000000" w:themeColor="text1"/>
          <w:sz w:val="16"/>
          <w:szCs w:val="16"/>
        </w:rPr>
        <w:t xml:space="preserve"> Берлином своих военных расходов.</w:t>
      </w:r>
    </w:p>
    <w:p w14:paraId="0DF692AE"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w:t>
      </w:r>
      <w:proofErr w:type="spellStart"/>
      <w:r w:rsidRPr="007122AB">
        <w:rPr>
          <w:rFonts w:ascii="Times New Roman" w:hAnsi="Times New Roman"/>
          <w:color w:val="000000" w:themeColor="text1"/>
          <w:sz w:val="16"/>
          <w:szCs w:val="16"/>
        </w:rPr>
        <w:t>Брианом</w:t>
      </w:r>
      <w:proofErr w:type="spellEnd"/>
      <w:r w:rsidRPr="007122AB">
        <w:rPr>
          <w:rFonts w:ascii="Times New Roman" w:hAnsi="Times New Roman"/>
          <w:color w:val="000000" w:themeColor="text1"/>
          <w:sz w:val="16"/>
          <w:szCs w:val="16"/>
        </w:rPr>
        <w:t xml:space="preserve"> министр иностранных дел Германии Ю. </w:t>
      </w:r>
      <w:proofErr w:type="spellStart"/>
      <w:r w:rsidRPr="007122AB">
        <w:rPr>
          <w:rFonts w:ascii="Times New Roman" w:hAnsi="Times New Roman"/>
          <w:color w:val="000000" w:themeColor="text1"/>
          <w:sz w:val="16"/>
          <w:szCs w:val="16"/>
        </w:rPr>
        <w:t>Курциус</w:t>
      </w:r>
      <w:proofErr w:type="spellEnd"/>
      <w:r w:rsidRPr="007122AB">
        <w:rPr>
          <w:rFonts w:ascii="Times New Roman" w:hAnsi="Times New Roman"/>
          <w:color w:val="000000" w:themeColor="text1"/>
          <w:sz w:val="16"/>
          <w:szCs w:val="16"/>
        </w:rPr>
        <w:t xml:space="preserve"> сделал вывод: «У меня сложилось впечатление, что для французов прежде всего важно оттеснить нас от России» (18265).</w:t>
      </w:r>
    </w:p>
    <w:p w14:paraId="4765C85F"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26C4AFF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29F6D3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2D0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январе-марте 1931 года рабочие расчистили от леса площадки будущих цехов НТМК (мартеновский, доменный, шамотный цеха и коксовая батарея), а весной соорудили несколько первых бараков, куда из землянок переселилась часть строителей. Работа шла при том, что сам проект строительства НТМК был утвержден Гипромезом лишь в июле 1931 года. До конца того же года были построены щебеночный карьер, бетонный заводик и лесопилка. На стройку, общая стоимость которой была определена почти в 440 млн. рублей, планировалось закупить несколько мощных американских экскаваторов, однако сделка сорвалась, и вместо них было приобретено только 6 устаревших и слабых английских машин. Изначально строительство НТМК велось в авральном режиме, было слабо проработано, что вообще было характерно для всех объектов советской индустриализации тех лет, где участие иностранцев было или минимальным или же оно вообще отсутствовало. Первой проблемой – после отсутствия единого плана, стала нехватка рабочей силы. В результате чего темпы строительства оказались в два раза ниже, и в 1931 году удалось освоить лишь 18 из 30 млн. рублей, заложенных в финансирование проекта (11514).</w:t>
      </w:r>
    </w:p>
    <w:p w14:paraId="6FAD1C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28655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BC4185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CE78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начались летные испытания ТШ-2 (летали Б. Л. Бухгольц, Ю. И. Пионтковский и М. А. </w:t>
      </w:r>
      <w:proofErr w:type="spellStart"/>
      <w:r w:rsidRPr="007122AB">
        <w:rPr>
          <w:rFonts w:ascii="Times New Roman" w:hAnsi="Times New Roman"/>
          <w:color w:val="000000" w:themeColor="text1"/>
          <w:sz w:val="16"/>
          <w:szCs w:val="16"/>
        </w:rPr>
        <w:t>Волковойнов</w:t>
      </w:r>
      <w:proofErr w:type="spellEnd"/>
      <w:r w:rsidRPr="007122AB">
        <w:rPr>
          <w:rFonts w:ascii="Times New Roman" w:hAnsi="Times New Roman"/>
          <w:color w:val="000000" w:themeColor="text1"/>
          <w:sz w:val="16"/>
          <w:szCs w:val="16"/>
        </w:rPr>
        <w:t xml:space="preserve"> - все из НИИ ВВС КА), на которых последний при полетном весе 3300 кг показал максимальную скорость полета 180 км/ч, что было явно недостаточно для самолета поля боя.</w:t>
      </w:r>
    </w:p>
    <w:p w14:paraId="78564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в полете сильно грелся мотор (температура масла доходила до 82°, что было опасно, а этилен-гликоля - до 125-130°), давления на рули были значительны, а в кабинах экипажа было очень жарко, велик был разбег и низкая скороподъемность.</w:t>
      </w:r>
    </w:p>
    <w:p w14:paraId="214C62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3-4 посадок приходилось менять амортизаторы шасси. Вооружение штурмовика оказалось недоведенным. Штурмовик был возвращен на завод для проведения необходимых доработок (9649).</w:t>
      </w:r>
    </w:p>
    <w:p w14:paraId="0A5A3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BA6B83"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возник вопрос о создании нового эталона ТШ-2 с металлическим крылом, внутри которого предполагалась батарея пулеметов, бомбоотсеки и бензо</w:t>
      </w:r>
      <w:r w:rsidRPr="007122AB">
        <w:rPr>
          <w:rFonts w:ascii="Times New Roman" w:hAnsi="Times New Roman"/>
          <w:color w:val="000000" w:themeColor="text1"/>
          <w:sz w:val="16"/>
          <w:szCs w:val="16"/>
        </w:rPr>
        <w:softHyphen/>
        <w:t>баки. И, главное, нужен был другой, значительно более мощный двигатель.</w:t>
      </w:r>
    </w:p>
    <w:p w14:paraId="5ABB303E"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Далее конструкторы бригады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продолжили за</w:t>
      </w:r>
      <w:r w:rsidRPr="007122AB">
        <w:rPr>
          <w:rFonts w:ascii="Times New Roman" w:hAnsi="Times New Roman"/>
          <w:color w:val="000000" w:themeColor="text1"/>
          <w:sz w:val="16"/>
          <w:szCs w:val="16"/>
        </w:rPr>
        <w:softHyphen/>
        <w:t>ниматься подготовкой улучшенного штурмовика, который определяли как «самолет №21» с двигателем М-27. «Са</w:t>
      </w:r>
      <w:r w:rsidRPr="007122AB">
        <w:rPr>
          <w:rFonts w:ascii="Times New Roman" w:hAnsi="Times New Roman"/>
          <w:color w:val="000000" w:themeColor="text1"/>
          <w:sz w:val="16"/>
          <w:szCs w:val="16"/>
        </w:rPr>
        <w:softHyphen/>
        <w:t>молет №21» строился больше года и как-то затерялся затем во времени, то есть уточненных сведений о нем об</w:t>
      </w:r>
      <w:r w:rsidRPr="007122AB">
        <w:rPr>
          <w:rFonts w:ascii="Times New Roman" w:hAnsi="Times New Roman"/>
          <w:color w:val="000000" w:themeColor="text1"/>
          <w:sz w:val="16"/>
          <w:szCs w:val="16"/>
        </w:rPr>
        <w:softHyphen/>
        <w:t>наружить не удалось.</w:t>
      </w:r>
    </w:p>
    <w:p w14:paraId="5A36A871"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Судя по всему, именно двигатель М-27 «навел тумана» в истории штурмовика ТШ-2. После того как опытные эк</w:t>
      </w:r>
      <w:r w:rsidRPr="007122AB">
        <w:rPr>
          <w:rFonts w:ascii="Times New Roman" w:hAnsi="Times New Roman"/>
          <w:color w:val="000000" w:themeColor="text1"/>
          <w:sz w:val="16"/>
          <w:szCs w:val="16"/>
        </w:rPr>
        <w:softHyphen/>
        <w:t>земпляры с М-17 облетали и окончательно убедились в не</w:t>
      </w:r>
      <w:r w:rsidRPr="007122AB">
        <w:rPr>
          <w:rFonts w:ascii="Times New Roman" w:hAnsi="Times New Roman"/>
          <w:color w:val="000000" w:themeColor="text1"/>
          <w:sz w:val="16"/>
          <w:szCs w:val="16"/>
        </w:rPr>
        <w:softHyphen/>
        <w:t>достаточной его мощности, взоры обратили на ожидаемый М-27. Этот 18-цилиндровый W-образный рядный двигатель жидкостного охлаждения создавался в конструкторском бюро завода №24 под руководством А.А. Бессонова. За</w:t>
      </w:r>
      <w:r w:rsidRPr="007122AB">
        <w:rPr>
          <w:rFonts w:ascii="Times New Roman" w:hAnsi="Times New Roman"/>
          <w:color w:val="000000" w:themeColor="text1"/>
          <w:sz w:val="16"/>
          <w:szCs w:val="16"/>
        </w:rPr>
        <w:softHyphen/>
        <w:t>явленная проектная мощность М-27 составляла 700-900 л.с. (в обозримом будущем даже мечтали о 1000 л.с.). Опытный двигатель проходил испытания на переломе 1930-31 гг. Он даже начал внедряться в небольшую серию на заводе №24 в Москве. Очевидно, надежды были имен</w:t>
      </w:r>
      <w:r w:rsidRPr="007122AB">
        <w:rPr>
          <w:rFonts w:ascii="Times New Roman" w:hAnsi="Times New Roman"/>
          <w:color w:val="000000" w:themeColor="text1"/>
          <w:sz w:val="16"/>
          <w:szCs w:val="16"/>
        </w:rPr>
        <w:softHyphen/>
        <w:t>но на двигатель, ибо в течение 1931 г. наблюдалось неко</w:t>
      </w:r>
      <w:r w:rsidRPr="007122AB">
        <w:rPr>
          <w:rFonts w:ascii="Times New Roman" w:hAnsi="Times New Roman"/>
          <w:color w:val="000000" w:themeColor="text1"/>
          <w:sz w:val="16"/>
          <w:szCs w:val="16"/>
        </w:rPr>
        <w:softHyphen/>
        <w:t>торое затишье с самим самолетом ТШ-2. Существуют сведения, что М-27 даже испытывался на ТШ-2, однако ни</w:t>
      </w:r>
      <w:r w:rsidRPr="007122AB">
        <w:rPr>
          <w:rFonts w:ascii="Times New Roman" w:hAnsi="Times New Roman"/>
          <w:color w:val="000000" w:themeColor="text1"/>
          <w:sz w:val="16"/>
          <w:szCs w:val="16"/>
        </w:rPr>
        <w:softHyphen/>
        <w:t>каких подтверждений этого факта автором не обнаруже</w:t>
      </w:r>
      <w:r w:rsidRPr="007122AB">
        <w:rPr>
          <w:rFonts w:ascii="Times New Roman" w:hAnsi="Times New Roman"/>
          <w:color w:val="000000" w:themeColor="text1"/>
          <w:sz w:val="16"/>
          <w:szCs w:val="16"/>
        </w:rPr>
        <w:softHyphen/>
        <w:t>но. Впрочем, в начале 1932 г. вся деятельность по М-27 прекратилась, его сняли с программы, ибо уже имелся бо</w:t>
      </w:r>
      <w:r w:rsidRPr="007122AB">
        <w:rPr>
          <w:rFonts w:ascii="Times New Roman" w:hAnsi="Times New Roman"/>
          <w:color w:val="000000" w:themeColor="text1"/>
          <w:sz w:val="16"/>
          <w:szCs w:val="16"/>
        </w:rPr>
        <w:softHyphen/>
        <w:t>лее реальный двигатель М-34 (20362).</w:t>
      </w:r>
    </w:p>
    <w:p w14:paraId="7DE8E2CB" w14:textId="77777777" w:rsidR="00BE087B" w:rsidRPr="007122AB" w:rsidRDefault="00BE087B" w:rsidP="007122AB">
      <w:pPr>
        <w:shd w:val="clear" w:color="auto" w:fill="FFFFFF"/>
        <w:spacing w:after="0" w:line="240" w:lineRule="auto"/>
        <w:jc w:val="both"/>
        <w:rPr>
          <w:rFonts w:ascii="Times New Roman" w:hAnsi="Times New Roman"/>
          <w:color w:val="000000" w:themeColor="text1"/>
          <w:sz w:val="16"/>
          <w:szCs w:val="16"/>
        </w:rPr>
      </w:pPr>
    </w:p>
    <w:p w14:paraId="6A518D97" w14:textId="77777777" w:rsidR="00BE087B" w:rsidRPr="007122AB" w:rsidRDefault="00BE087B"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rPr>
        <w:t>В начале 1931 г. испытания прототипа ТШ-2 Н.Н.П, показали недостаточность его летных качеств (максимальная скорость, в частности, не превышала 180 км/ч) и эксплуатационных характеристик (перегрев двигателя из-за плохой вентиляции в бронированном кожухе, быстрый износ амортизаторов). Самолет вернули на завод для доработок. При этом для улучшения аэродинамики пулеметные батареи перенесли из-под крыла в утолщенную часть нижнего крыла, изменили схему бронирования и постарались улучшить условия охлаждения двигателя. Испытания, проведенные в ноябре — декабре 1931 г., показали повышение летных качеств (максимальная скорость возросла до 213 км/ч), и самолет решили внедрить в серийное производство на воронежском авиазаводе № 16 (21241).</w:t>
      </w:r>
    </w:p>
    <w:p w14:paraId="55B1BFD5" w14:textId="77777777" w:rsidR="00BE087B" w:rsidRPr="007122AB" w:rsidRDefault="00BE087B" w:rsidP="007122AB">
      <w:pPr>
        <w:spacing w:after="0" w:line="240" w:lineRule="auto"/>
        <w:jc w:val="both"/>
        <w:rPr>
          <w:rFonts w:ascii="Times New Roman" w:hAnsi="Times New Roman"/>
          <w:color w:val="000000" w:themeColor="text1"/>
          <w:sz w:val="16"/>
          <w:szCs w:val="16"/>
          <w:lang w:eastAsia="ru-RU" w:bidi="ru-RU"/>
        </w:rPr>
      </w:pPr>
    </w:p>
    <w:p w14:paraId="41584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Алкснис отправил на завод № I распоряжение: "Настоящим предписываю немедленно приступить к подготовке 3 самолетов Р-5 (без вооружения, радио, фото) для участия в Весеннем конкурсе, который состоится в Персии в первых числах мая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Команду выполнили. Несмотря на участие представителей фирм "</w:t>
      </w:r>
      <w:proofErr w:type="spellStart"/>
      <w:r w:rsidRPr="007122AB">
        <w:rPr>
          <w:rFonts w:ascii="Times New Roman" w:hAnsi="Times New Roman"/>
          <w:color w:val="000000" w:themeColor="text1"/>
          <w:sz w:val="16"/>
          <w:szCs w:val="16"/>
        </w:rPr>
        <w:t>Хаукер</w:t>
      </w:r>
      <w:proofErr w:type="spellEnd"/>
      <w:r w:rsidRPr="007122AB">
        <w:rPr>
          <w:rFonts w:ascii="Times New Roman" w:hAnsi="Times New Roman"/>
          <w:color w:val="000000" w:themeColor="text1"/>
          <w:sz w:val="16"/>
          <w:szCs w:val="16"/>
        </w:rPr>
        <w:t>" из Англии и "Фоккер" из Нидерландов, конкурс выиграли.</w:t>
      </w:r>
    </w:p>
    <w:p w14:paraId="73A12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заказа не последовало. Иранцев не устраивало, что в качестве аванса наши хотели получить две трети денег. В беседе с советским военным атташе Бенедиктовым в декабре 1931 г. министр двора сказал: "Ваш самолет нам нравится и мы думаем его купить, но мы должны еще посоветоваться...".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w:t>
      </w:r>
      <w:proofErr w:type="spellStart"/>
      <w:r w:rsidRPr="007122AB">
        <w:rPr>
          <w:rFonts w:ascii="Times New Roman" w:hAnsi="Times New Roman"/>
          <w:color w:val="000000" w:themeColor="text1"/>
          <w:sz w:val="16"/>
          <w:szCs w:val="16"/>
        </w:rPr>
        <w:t>поликарповских</w:t>
      </w:r>
      <w:proofErr w:type="spellEnd"/>
      <w:r w:rsidRPr="007122AB">
        <w:rPr>
          <w:rFonts w:ascii="Times New Roman" w:hAnsi="Times New Roman"/>
          <w:color w:val="000000" w:themeColor="text1"/>
          <w:sz w:val="16"/>
          <w:szCs w:val="16"/>
        </w:rPr>
        <w:t xml:space="preserve"> бипланов на месте отклонили.</w:t>
      </w:r>
    </w:p>
    <w:p w14:paraId="0878F0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229FC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самолет доставили в Иран по воздуху. На нем иранский летчик А. </w:t>
      </w:r>
      <w:proofErr w:type="spellStart"/>
      <w:r w:rsidRPr="007122AB">
        <w:rPr>
          <w:rFonts w:ascii="Times New Roman" w:hAnsi="Times New Roman"/>
          <w:color w:val="000000" w:themeColor="text1"/>
          <w:sz w:val="16"/>
          <w:szCs w:val="16"/>
        </w:rPr>
        <w:t>Макуи</w:t>
      </w:r>
      <w:proofErr w:type="spellEnd"/>
      <w:r w:rsidRPr="007122AB">
        <w:rPr>
          <w:rFonts w:ascii="Times New Roman" w:hAnsi="Times New Roman"/>
          <w:color w:val="000000" w:themeColor="text1"/>
          <w:sz w:val="16"/>
          <w:szCs w:val="16"/>
        </w:rPr>
        <w:t>,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67D1CD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76B4A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A1986F" w14:textId="77777777" w:rsidR="00B642B8" w:rsidRPr="007122AB" w:rsidRDefault="00B642B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w:t>
      </w:r>
      <w:proofErr w:type="spellStart"/>
      <w:r w:rsidRPr="007122AB">
        <w:rPr>
          <w:rFonts w:ascii="Times New Roman" w:hAnsi="Times New Roman"/>
          <w:color w:val="000000" w:themeColor="text1"/>
          <w:sz w:val="16"/>
          <w:szCs w:val="16"/>
        </w:rPr>
        <w:t>Макуи</w:t>
      </w:r>
      <w:proofErr w:type="spellEnd"/>
      <w:r w:rsidRPr="007122AB">
        <w:rPr>
          <w:rFonts w:ascii="Times New Roman" w:hAnsi="Times New Roman"/>
          <w:color w:val="000000" w:themeColor="text1"/>
          <w:sz w:val="16"/>
          <w:szCs w:val="16"/>
        </w:rPr>
        <w:t>,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г.77 Гораздо дольше Р-5 служили в Иране в качестве тренировочных машин (18512).</w:t>
      </w:r>
    </w:p>
    <w:p w14:paraId="746198E3" w14:textId="77777777" w:rsidR="00B642B8" w:rsidRPr="007122AB" w:rsidRDefault="00B642B8" w:rsidP="007122AB">
      <w:pPr>
        <w:spacing w:after="0" w:line="240" w:lineRule="auto"/>
        <w:jc w:val="both"/>
        <w:rPr>
          <w:rFonts w:ascii="Times New Roman" w:hAnsi="Times New Roman"/>
          <w:color w:val="000000" w:themeColor="text1"/>
          <w:sz w:val="16"/>
          <w:szCs w:val="16"/>
        </w:rPr>
      </w:pPr>
    </w:p>
    <w:p w14:paraId="5F33300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w:t>
      </w:r>
      <w:r w:rsidRPr="007122AB">
        <w:rPr>
          <w:rFonts w:ascii="Times New Roman" w:hAnsi="Times New Roman"/>
          <w:color w:val="000000" w:themeColor="text1"/>
          <w:sz w:val="16"/>
          <w:szCs w:val="16"/>
        </w:rPr>
        <w:lastRenderedPageBreak/>
        <w:t xml:space="preserve">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w:t>
      </w:r>
      <w:proofErr w:type="spellStart"/>
      <w:r w:rsidRPr="007122AB">
        <w:rPr>
          <w:rFonts w:ascii="Times New Roman" w:hAnsi="Times New Roman"/>
          <w:color w:val="000000" w:themeColor="text1"/>
          <w:sz w:val="16"/>
          <w:szCs w:val="16"/>
        </w:rPr>
        <w:t>Макуи</w:t>
      </w:r>
      <w:proofErr w:type="spellEnd"/>
      <w:r w:rsidRPr="007122AB">
        <w:rPr>
          <w:rFonts w:ascii="Times New Roman" w:hAnsi="Times New Roman"/>
          <w:color w:val="000000" w:themeColor="text1"/>
          <w:sz w:val="16"/>
          <w:szCs w:val="16"/>
        </w:rPr>
        <w:t>,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49C573CC"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3012576F" w14:textId="77777777" w:rsidR="00EB19FC" w:rsidRPr="00441F34" w:rsidRDefault="00EB19FC" w:rsidP="00EB1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(24334).</w:t>
      </w:r>
    </w:p>
    <w:p w14:paraId="4AB10C26" w14:textId="77777777" w:rsidR="00EB19FC" w:rsidRPr="00441F34" w:rsidRDefault="00EB19FC" w:rsidP="00EB19FC">
      <w:pPr>
        <w:spacing w:after="0" w:line="240" w:lineRule="auto"/>
        <w:jc w:val="both"/>
        <w:rPr>
          <w:rFonts w:ascii="Times New Roman" w:hAnsi="Times New Roman"/>
          <w:color w:val="0070C0"/>
          <w:sz w:val="16"/>
          <w:szCs w:val="16"/>
        </w:rPr>
      </w:pPr>
    </w:p>
    <w:p w14:paraId="36F8465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были подготовлены</w:t>
      </w:r>
    </w:p>
    <w:p w14:paraId="6DAFE47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Списки военных заводов, входящих в объединение трестов ГВПУ</w:t>
      </w:r>
    </w:p>
    <w:p w14:paraId="0FDC165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Главное военно-промышленное управление (ГВПУ) ВСНХ СССР</w:t>
      </w:r>
    </w:p>
    <w:p w14:paraId="095236D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1929-1930 гг.</w:t>
      </w:r>
    </w:p>
    <w:p w14:paraId="320F90A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Химический завод № 1 Москва, п/я 702</w:t>
      </w:r>
    </w:p>
    <w:p w14:paraId="1A2D44B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Химический завод № 2 Троицк Самарской губернии, п\я 2</w:t>
      </w:r>
    </w:p>
    <w:p w14:paraId="55B2D9F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Патрубтрест</w:t>
      </w:r>
      <w:proofErr w:type="spellEnd"/>
      <w:r w:rsidRPr="007122AB">
        <w:rPr>
          <w:rFonts w:ascii="Times New Roman" w:hAnsi="Times New Roman"/>
          <w:color w:val="000000" w:themeColor="text1"/>
          <w:sz w:val="16"/>
          <w:szCs w:val="16"/>
        </w:rPr>
        <w:t>»</w:t>
      </w:r>
    </w:p>
    <w:p w14:paraId="49614B6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Тульский патронный завод </w:t>
      </w:r>
    </w:p>
    <w:p w14:paraId="349754E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Ильин Ф.В.</w:t>
      </w:r>
    </w:p>
    <w:p w14:paraId="2CA05C7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Винтовки, </w:t>
      </w:r>
      <w:proofErr w:type="spellStart"/>
      <w:r w:rsidRPr="007122AB">
        <w:rPr>
          <w:rFonts w:ascii="Times New Roman" w:hAnsi="Times New Roman"/>
          <w:color w:val="000000" w:themeColor="text1"/>
          <w:sz w:val="16"/>
          <w:szCs w:val="16"/>
        </w:rPr>
        <w:t>ревпатроны</w:t>
      </w:r>
      <w:proofErr w:type="spellEnd"/>
      <w:r w:rsidRPr="007122AB">
        <w:rPr>
          <w:rFonts w:ascii="Times New Roman" w:hAnsi="Times New Roman"/>
          <w:color w:val="000000" w:themeColor="text1"/>
          <w:sz w:val="16"/>
          <w:szCs w:val="16"/>
        </w:rPr>
        <w:t>, пушечные гильзы, патронная латунь, мельхиор</w:t>
      </w:r>
    </w:p>
    <w:p w14:paraId="1F07E61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Малокалиберные патроны, примуса, самовары и пр.</w:t>
      </w:r>
    </w:p>
    <w:p w14:paraId="0D130EA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Тула, п/я 37</w:t>
      </w:r>
    </w:p>
    <w:p w14:paraId="2F25A74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1932 года присвоен номер - №10, на незначительный период)</w:t>
      </w:r>
    </w:p>
    <w:p w14:paraId="5290539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 № 3 им. Володарского</w:t>
      </w:r>
    </w:p>
    <w:p w14:paraId="05E3DC8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Меняйло М.Л,</w:t>
      </w:r>
    </w:p>
    <w:p w14:paraId="118F75D1"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Винтпатроны</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ревпатроны</w:t>
      </w:r>
      <w:proofErr w:type="spellEnd"/>
    </w:p>
    <w:p w14:paraId="47A79FC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Ульяновск, п/я 19</w:t>
      </w:r>
    </w:p>
    <w:p w14:paraId="04AA634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 № 17</w:t>
      </w:r>
    </w:p>
    <w:p w14:paraId="17AE57A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Дорофеев А.Н.</w:t>
      </w:r>
    </w:p>
    <w:p w14:paraId="1666885A"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Винтпатроны</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ревпатроны</w:t>
      </w:r>
      <w:proofErr w:type="spellEnd"/>
    </w:p>
    <w:p w14:paraId="7689ABE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Малокалиберные патроны</w:t>
      </w:r>
    </w:p>
    <w:p w14:paraId="1A939FA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Подольск, п/я 17</w:t>
      </w:r>
    </w:p>
    <w:p w14:paraId="2C604CB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 № 60</w:t>
      </w:r>
    </w:p>
    <w:p w14:paraId="056CD9A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Мальцев П.И.</w:t>
      </w:r>
    </w:p>
    <w:p w14:paraId="3BE6EA8F"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Винтпатроны</w:t>
      </w:r>
      <w:proofErr w:type="spellEnd"/>
    </w:p>
    <w:p w14:paraId="24C1325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Станки для патронного производства</w:t>
      </w:r>
    </w:p>
    <w:p w14:paraId="22B4E48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Луганск, п/я 27</w:t>
      </w:r>
    </w:p>
    <w:p w14:paraId="10B026B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Московский дроболитейный завод</w:t>
      </w:r>
    </w:p>
    <w:p w14:paraId="50C96D1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Перфильев Н.А.</w:t>
      </w:r>
    </w:p>
    <w:p w14:paraId="5A6A801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Осветительные патроны</w:t>
      </w:r>
    </w:p>
    <w:p w14:paraId="42C1CF4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Охотничьи патроны, дробь, картечь, пыжи, кожевенные изделия</w:t>
      </w:r>
    </w:p>
    <w:p w14:paraId="203A6CA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 Дроболитейный пер.</w:t>
      </w:r>
    </w:p>
    <w:p w14:paraId="7C66240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(Позже Завод №58 им. Ворошилова).</w:t>
      </w:r>
    </w:p>
    <w:p w14:paraId="7581A5B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 № 4 им. Всероссийского старосты т. Калинина</w:t>
      </w:r>
    </w:p>
    <w:p w14:paraId="09C04BA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Холодилин</w:t>
      </w:r>
      <w:proofErr w:type="spellEnd"/>
      <w:r w:rsidRPr="007122AB">
        <w:rPr>
          <w:rFonts w:ascii="Times New Roman" w:hAnsi="Times New Roman"/>
          <w:color w:val="000000" w:themeColor="text1"/>
          <w:sz w:val="16"/>
          <w:szCs w:val="16"/>
        </w:rPr>
        <w:t xml:space="preserve"> Ф.И.</w:t>
      </w:r>
    </w:p>
    <w:p w14:paraId="3123399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Взрыватели, </w:t>
      </w:r>
      <w:proofErr w:type="spellStart"/>
      <w:r w:rsidRPr="007122AB">
        <w:rPr>
          <w:rFonts w:ascii="Times New Roman" w:hAnsi="Times New Roman"/>
          <w:color w:val="000000" w:themeColor="text1"/>
          <w:sz w:val="16"/>
          <w:szCs w:val="16"/>
        </w:rPr>
        <w:t>руж</w:t>
      </w:r>
      <w:proofErr w:type="spellEnd"/>
      <w:r w:rsidRPr="007122AB">
        <w:rPr>
          <w:rFonts w:ascii="Times New Roman" w:hAnsi="Times New Roman"/>
          <w:color w:val="000000" w:themeColor="text1"/>
          <w:sz w:val="16"/>
          <w:szCs w:val="16"/>
        </w:rPr>
        <w:t>. гранаты Дьяконова и пр.</w:t>
      </w:r>
    </w:p>
    <w:p w14:paraId="2F64E2E5"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Автоавиатракторные</w:t>
      </w:r>
      <w:proofErr w:type="spellEnd"/>
      <w:r w:rsidRPr="007122AB">
        <w:rPr>
          <w:rFonts w:ascii="Times New Roman" w:hAnsi="Times New Roman"/>
          <w:color w:val="000000" w:themeColor="text1"/>
          <w:sz w:val="16"/>
          <w:szCs w:val="16"/>
        </w:rPr>
        <w:t xml:space="preserve"> свечи, мясорубки, детали текстильных машин, станкостроение</w:t>
      </w:r>
    </w:p>
    <w:p w14:paraId="4C6135E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Ленинград, п/я 18</w:t>
      </w:r>
    </w:p>
    <w:p w14:paraId="485D6FB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 № 42 им. Масленникова</w:t>
      </w:r>
    </w:p>
    <w:p w14:paraId="43931A3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Шмырев</w:t>
      </w:r>
      <w:proofErr w:type="spellEnd"/>
      <w:r w:rsidRPr="007122AB">
        <w:rPr>
          <w:rFonts w:ascii="Times New Roman" w:hAnsi="Times New Roman"/>
          <w:color w:val="000000" w:themeColor="text1"/>
          <w:sz w:val="16"/>
          <w:szCs w:val="16"/>
        </w:rPr>
        <w:t xml:space="preserve"> И.И.</w:t>
      </w:r>
    </w:p>
    <w:p w14:paraId="7D628BC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и «Д» трубы, капсюльная втулка, запалы Ковешникова и пр.</w:t>
      </w:r>
    </w:p>
    <w:p w14:paraId="4899F1B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Электроарматура, </w:t>
      </w:r>
      <w:proofErr w:type="spellStart"/>
      <w:r w:rsidRPr="007122AB">
        <w:rPr>
          <w:rFonts w:ascii="Times New Roman" w:hAnsi="Times New Roman"/>
          <w:color w:val="000000" w:themeColor="text1"/>
          <w:sz w:val="16"/>
          <w:szCs w:val="16"/>
        </w:rPr>
        <w:t>пароарматура</w:t>
      </w:r>
      <w:proofErr w:type="spellEnd"/>
    </w:p>
    <w:p w14:paraId="54D9F26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Самара, п\я 59</w:t>
      </w:r>
    </w:p>
    <w:p w14:paraId="483486B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 № 50 (Пензенский велосипедный завод) им. Фрунзе</w:t>
      </w:r>
    </w:p>
    <w:p w14:paraId="2220467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Дмитриев М.Е.</w:t>
      </w:r>
    </w:p>
    <w:p w14:paraId="4B3CEB7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Взрыватели и пр.</w:t>
      </w:r>
    </w:p>
    <w:p w14:paraId="7B2348E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Велосипеды</w:t>
      </w:r>
    </w:p>
    <w:p w14:paraId="13B13AC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Пенза, п/я 25</w:t>
      </w:r>
    </w:p>
    <w:p w14:paraId="1128FB9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Оружейно-пулеметный</w:t>
      </w:r>
    </w:p>
    <w:p w14:paraId="6C4805F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Первые оружейные заводы в Туле</w:t>
      </w:r>
    </w:p>
    <w:p w14:paraId="221A1DE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Ситников В.Н.</w:t>
      </w:r>
    </w:p>
    <w:p w14:paraId="5EFA689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Винтовки, пулеметы и револьверы «Наган»</w:t>
      </w:r>
    </w:p>
    <w:p w14:paraId="478BF0E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Охотничье и малокалиберное оружие, инструмент, текстильное машиностроение, станкостроение</w:t>
      </w:r>
    </w:p>
    <w:p w14:paraId="5EA5ABA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Тула, п/я №№ 86 и 87</w:t>
      </w:r>
    </w:p>
    <w:p w14:paraId="14B7086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Ижевские оружейный и сталелитейный заводы</w:t>
      </w:r>
    </w:p>
    <w:p w14:paraId="4CCB008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Ершов М.И.</w:t>
      </w:r>
    </w:p>
    <w:p w14:paraId="22DF5CE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Винтовки и </w:t>
      </w:r>
      <w:proofErr w:type="spellStart"/>
      <w:r w:rsidRPr="007122AB">
        <w:rPr>
          <w:rFonts w:ascii="Times New Roman" w:hAnsi="Times New Roman"/>
          <w:color w:val="000000" w:themeColor="text1"/>
          <w:sz w:val="16"/>
          <w:szCs w:val="16"/>
        </w:rPr>
        <w:t>авиапоковки</w:t>
      </w:r>
      <w:proofErr w:type="spellEnd"/>
    </w:p>
    <w:p w14:paraId="6DFD114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Сталь, инструмент (включая напильники), </w:t>
      </w:r>
      <w:proofErr w:type="spellStart"/>
      <w:r w:rsidRPr="007122AB">
        <w:rPr>
          <w:rFonts w:ascii="Times New Roman" w:hAnsi="Times New Roman"/>
          <w:color w:val="000000" w:themeColor="text1"/>
          <w:sz w:val="16"/>
          <w:szCs w:val="16"/>
        </w:rPr>
        <w:t>охотружья</w:t>
      </w:r>
      <w:proofErr w:type="spellEnd"/>
      <w:r w:rsidRPr="007122AB">
        <w:rPr>
          <w:rFonts w:ascii="Times New Roman" w:hAnsi="Times New Roman"/>
          <w:color w:val="000000" w:themeColor="text1"/>
          <w:sz w:val="16"/>
          <w:szCs w:val="16"/>
        </w:rPr>
        <w:t>, станкостроение</w:t>
      </w:r>
    </w:p>
    <w:p w14:paraId="208C52B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Ижевск, п/я 11</w:t>
      </w:r>
    </w:p>
    <w:p w14:paraId="424F125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Сестрорецкий завод им. Воскова</w:t>
      </w:r>
    </w:p>
    <w:p w14:paraId="6E80AE0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Жбаков</w:t>
      </w:r>
      <w:proofErr w:type="spellEnd"/>
      <w:r w:rsidRPr="007122AB">
        <w:rPr>
          <w:rFonts w:ascii="Times New Roman" w:hAnsi="Times New Roman"/>
          <w:color w:val="000000" w:themeColor="text1"/>
          <w:sz w:val="16"/>
          <w:szCs w:val="16"/>
        </w:rPr>
        <w:t xml:space="preserve"> П.И.</w:t>
      </w:r>
    </w:p>
    <w:p w14:paraId="59A276B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Принадлежность к винтовке</w:t>
      </w:r>
    </w:p>
    <w:p w14:paraId="48B0979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Мерительный инструмент</w:t>
      </w:r>
    </w:p>
    <w:p w14:paraId="39B4E25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Сестрорецк, пл. Свободы</w:t>
      </w:r>
    </w:p>
    <w:p w14:paraId="6B5BCC9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Инструментальный завод № 2</w:t>
      </w:r>
    </w:p>
    <w:p w14:paraId="3BC4A46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Бурухин</w:t>
      </w:r>
      <w:proofErr w:type="spellEnd"/>
      <w:r w:rsidRPr="007122AB">
        <w:rPr>
          <w:rFonts w:ascii="Times New Roman" w:hAnsi="Times New Roman"/>
          <w:color w:val="000000" w:themeColor="text1"/>
          <w:sz w:val="16"/>
          <w:szCs w:val="16"/>
        </w:rPr>
        <w:t xml:space="preserve"> А.М.</w:t>
      </w:r>
    </w:p>
    <w:p w14:paraId="01E404D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Пулеметы ручные, авиационные и танковые</w:t>
      </w:r>
    </w:p>
    <w:p w14:paraId="2399BA5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Ковров Владимирской области, п/я 9</w:t>
      </w:r>
    </w:p>
    <w:p w14:paraId="5B8F65F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«Красногвардеец»</w:t>
      </w:r>
    </w:p>
    <w:p w14:paraId="27479FF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Шахов А.И.</w:t>
      </w:r>
    </w:p>
    <w:p w14:paraId="01D02AB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хирургического инструмента, примусы</w:t>
      </w:r>
    </w:p>
    <w:p w14:paraId="2A033E2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 п/я 1, Аптекарский остров</w:t>
      </w:r>
    </w:p>
    <w:p w14:paraId="5973C37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Военно-химический трест</w:t>
      </w:r>
    </w:p>
    <w:p w14:paraId="491FB68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40 им. Ленина</w:t>
      </w:r>
    </w:p>
    <w:p w14:paraId="60A944C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Чупшев</w:t>
      </w:r>
      <w:proofErr w:type="spellEnd"/>
      <w:r w:rsidRPr="007122AB">
        <w:rPr>
          <w:rFonts w:ascii="Times New Roman" w:hAnsi="Times New Roman"/>
          <w:color w:val="000000" w:themeColor="text1"/>
          <w:sz w:val="16"/>
          <w:szCs w:val="16"/>
        </w:rPr>
        <w:t xml:space="preserve"> Г.И.</w:t>
      </w:r>
    </w:p>
    <w:p w14:paraId="58BFB4C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Бездымный порох</w:t>
      </w:r>
    </w:p>
    <w:p w14:paraId="4D86D1C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Ставится производство искусственного шелка</w:t>
      </w:r>
    </w:p>
    <w:p w14:paraId="482B259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Казань, п\я 101</w:t>
      </w:r>
    </w:p>
    <w:p w14:paraId="3A4F2C8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им. Свердлова № 80</w:t>
      </w:r>
    </w:p>
    <w:p w14:paraId="0A6C739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Кетура</w:t>
      </w:r>
      <w:proofErr w:type="spellEnd"/>
      <w:r w:rsidRPr="007122AB">
        <w:rPr>
          <w:rFonts w:ascii="Times New Roman" w:hAnsi="Times New Roman"/>
          <w:color w:val="000000" w:themeColor="text1"/>
          <w:sz w:val="16"/>
          <w:szCs w:val="16"/>
        </w:rPr>
        <w:t xml:space="preserve"> Н.Г.</w:t>
      </w:r>
    </w:p>
    <w:p w14:paraId="7D9A357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Тротил и снаряжение снарядов</w:t>
      </w:r>
    </w:p>
    <w:p w14:paraId="20016A5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Медный купорос, ставится производство аммоналов и полупродуктов красочной промышленности</w:t>
      </w:r>
    </w:p>
    <w:p w14:paraId="7158BB34"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Растяпино</w:t>
      </w:r>
      <w:proofErr w:type="spellEnd"/>
      <w:r w:rsidRPr="007122AB">
        <w:rPr>
          <w:rFonts w:ascii="Times New Roman" w:hAnsi="Times New Roman"/>
          <w:color w:val="000000" w:themeColor="text1"/>
          <w:sz w:val="16"/>
          <w:szCs w:val="16"/>
        </w:rPr>
        <w:t>, п/я 5</w:t>
      </w:r>
    </w:p>
    <w:p w14:paraId="7412BDE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Сергиевский завод № 11 (Сергиевский Посад, Сергиев (1919г))</w:t>
      </w:r>
    </w:p>
    <w:p w14:paraId="0E0C95F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Жиляев Н.Д,</w:t>
      </w:r>
    </w:p>
    <w:p w14:paraId="13E139F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Снаряжение ручных гранат, капсюля, сигнальные гранаты, снаряжение ВВ, инструмент.</w:t>
      </w:r>
    </w:p>
    <w:p w14:paraId="42794C1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Ж\д петарды и пр.</w:t>
      </w:r>
    </w:p>
    <w:p w14:paraId="4267D66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Сергиев, Московской губернии, п/я 3</w:t>
      </w:r>
    </w:p>
    <w:p w14:paraId="24993065"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Шостенский</w:t>
      </w:r>
      <w:proofErr w:type="spellEnd"/>
      <w:r w:rsidRPr="007122AB">
        <w:rPr>
          <w:rFonts w:ascii="Times New Roman" w:hAnsi="Times New Roman"/>
          <w:color w:val="000000" w:themeColor="text1"/>
          <w:sz w:val="16"/>
          <w:szCs w:val="16"/>
        </w:rPr>
        <w:t xml:space="preserve"> завод № 9</w:t>
      </w:r>
    </w:p>
    <w:p w14:paraId="23E259A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Урицкий С.Б.</w:t>
      </w:r>
    </w:p>
    <w:p w14:paraId="3D960FA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Капсюльное производство и может делать бездымный и дымный порох</w:t>
      </w:r>
    </w:p>
    <w:p w14:paraId="40E3EF3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Медный купорос, детонаторы, картонное производство и пр. </w:t>
      </w:r>
    </w:p>
    <w:p w14:paraId="035CA72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Устанавливается производство фото-кинопленки</w:t>
      </w:r>
    </w:p>
    <w:p w14:paraId="1485A0B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Шостка, Сумская обл. Украина. </w:t>
      </w:r>
    </w:p>
    <w:p w14:paraId="6574727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им. Косякова</w:t>
      </w:r>
    </w:p>
    <w:p w14:paraId="3F58FA9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Алексеев К.А.</w:t>
      </w:r>
    </w:p>
    <w:p w14:paraId="5392D3F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Бездымный порох</w:t>
      </w:r>
    </w:p>
    <w:p w14:paraId="42D990E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Серный эфир</w:t>
      </w:r>
    </w:p>
    <w:p w14:paraId="2F98CB4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Рошаль, Московской губернии, п/я 4</w:t>
      </w:r>
    </w:p>
    <w:p w14:paraId="13BB491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Богородский завод № 12</w:t>
      </w:r>
    </w:p>
    <w:p w14:paraId="12EF0F0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Титов А.Е.</w:t>
      </w:r>
    </w:p>
    <w:p w14:paraId="78216BE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Снаряжение снарядов, </w:t>
      </w:r>
      <w:proofErr w:type="spellStart"/>
      <w:r w:rsidRPr="007122AB">
        <w:rPr>
          <w:rFonts w:ascii="Times New Roman" w:hAnsi="Times New Roman"/>
          <w:color w:val="000000" w:themeColor="text1"/>
          <w:sz w:val="16"/>
          <w:szCs w:val="16"/>
        </w:rPr>
        <w:t>аэробомб</w:t>
      </w:r>
      <w:proofErr w:type="spellEnd"/>
      <w:r w:rsidRPr="007122AB">
        <w:rPr>
          <w:rFonts w:ascii="Times New Roman" w:hAnsi="Times New Roman"/>
          <w:color w:val="000000" w:themeColor="text1"/>
          <w:sz w:val="16"/>
          <w:szCs w:val="16"/>
        </w:rPr>
        <w:t>, противогазов, производство активированного угля</w:t>
      </w:r>
    </w:p>
    <w:p w14:paraId="3535FC6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Богородск Московской губернии, п/я 1</w:t>
      </w:r>
    </w:p>
    <w:p w14:paraId="7321A45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Ленинградский Ульяновский завод</w:t>
      </w:r>
    </w:p>
    <w:p w14:paraId="6CAB313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Ходулев</w:t>
      </w:r>
      <w:proofErr w:type="spellEnd"/>
      <w:r w:rsidRPr="007122AB">
        <w:rPr>
          <w:rFonts w:ascii="Times New Roman" w:hAnsi="Times New Roman"/>
          <w:color w:val="000000" w:themeColor="text1"/>
          <w:sz w:val="16"/>
          <w:szCs w:val="16"/>
        </w:rPr>
        <w:t xml:space="preserve"> Ф.Т.</w:t>
      </w:r>
    </w:p>
    <w:p w14:paraId="7E8B01A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Дымный порох для трубок</w:t>
      </w:r>
    </w:p>
    <w:p w14:paraId="35CAA62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Бикфордов шнур, охотничий порох</w:t>
      </w:r>
    </w:p>
    <w:p w14:paraId="3A54FB3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 Саблино Ленинградской области</w:t>
      </w:r>
    </w:p>
    <w:p w14:paraId="693626A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«Красный боевик» № 25</w:t>
      </w:r>
    </w:p>
    <w:p w14:paraId="5D768F7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Мосеев Ф.Л.</w:t>
      </w:r>
    </w:p>
    <w:p w14:paraId="2869BEA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Подготовляется к производству бездымного пороха</w:t>
      </w:r>
    </w:p>
    <w:p w14:paraId="7BC446B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Будет ставиться производство </w:t>
      </w:r>
      <w:proofErr w:type="spellStart"/>
      <w:r w:rsidRPr="007122AB">
        <w:rPr>
          <w:rFonts w:ascii="Times New Roman" w:hAnsi="Times New Roman"/>
          <w:color w:val="000000" w:themeColor="text1"/>
          <w:sz w:val="16"/>
          <w:szCs w:val="16"/>
        </w:rPr>
        <w:t>целлулойда</w:t>
      </w:r>
      <w:proofErr w:type="spellEnd"/>
    </w:p>
    <w:p w14:paraId="33D9B4D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Тамбов</w:t>
      </w:r>
    </w:p>
    <w:p w14:paraId="41FB9EB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«Краснознаменец»</w:t>
      </w:r>
    </w:p>
    <w:p w14:paraId="6D04503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Абрамов Г.А.</w:t>
      </w:r>
    </w:p>
    <w:p w14:paraId="5986D66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Револьверные и трубочные капсюли, зажигательные снаряды</w:t>
      </w:r>
    </w:p>
    <w:p w14:paraId="24DC07B5"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Капсюлированные</w:t>
      </w:r>
      <w:proofErr w:type="spellEnd"/>
      <w:r w:rsidRPr="007122AB">
        <w:rPr>
          <w:rFonts w:ascii="Times New Roman" w:hAnsi="Times New Roman"/>
          <w:color w:val="000000" w:themeColor="text1"/>
          <w:sz w:val="16"/>
          <w:szCs w:val="16"/>
        </w:rPr>
        <w:t xml:space="preserve"> детонаторы для горных работ и охотничьи капсюли</w:t>
      </w:r>
    </w:p>
    <w:p w14:paraId="28207FE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 п/я 1</w:t>
      </w:r>
    </w:p>
    <w:p w14:paraId="01D6750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Шлиссельбургский завод им. Морозова</w:t>
      </w:r>
    </w:p>
    <w:p w14:paraId="1B54D11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Волостнов П.И.</w:t>
      </w:r>
    </w:p>
    <w:p w14:paraId="1FE6D5C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Револьверный порох, минный порох</w:t>
      </w:r>
    </w:p>
    <w:p w14:paraId="75A4CD8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Самарский завод № 15</w:t>
      </w:r>
    </w:p>
    <w:p w14:paraId="4E6E56E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Козловский П.А.</w:t>
      </w:r>
    </w:p>
    <w:p w14:paraId="7A092DF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Троицк Самарской области, п\я 15</w:t>
      </w:r>
    </w:p>
    <w:p w14:paraId="4D3455B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ЦНИЛ № 84</w:t>
      </w:r>
    </w:p>
    <w:p w14:paraId="6BC8F4F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Никитин М.А.</w:t>
      </w:r>
    </w:p>
    <w:p w14:paraId="176A9D5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w:t>
      </w:r>
    </w:p>
    <w:p w14:paraId="7023FFE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Орудийно-арсенальный</w:t>
      </w:r>
    </w:p>
    <w:p w14:paraId="301C47A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«Большевик»</w:t>
      </w:r>
    </w:p>
    <w:p w14:paraId="47F6E29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Григорьев Н.С.</w:t>
      </w:r>
    </w:p>
    <w:p w14:paraId="656052E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Орудийное производство (новое, ремонт и запчасти), оптика, танки, тракторы, авиамоторы</w:t>
      </w:r>
    </w:p>
    <w:p w14:paraId="3B5A99F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Металлургия, литье, поковки, прокат, оптика и точная механика</w:t>
      </w:r>
    </w:p>
    <w:p w14:paraId="1DD1EF0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w:t>
      </w:r>
    </w:p>
    <w:p w14:paraId="19CBA5E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w:t>
      </w:r>
      <w:proofErr w:type="spellStart"/>
      <w:r w:rsidRPr="007122AB">
        <w:rPr>
          <w:rFonts w:ascii="Times New Roman" w:hAnsi="Times New Roman"/>
          <w:color w:val="000000" w:themeColor="text1"/>
          <w:sz w:val="16"/>
          <w:szCs w:val="16"/>
        </w:rPr>
        <w:t>Мастяжарт</w:t>
      </w:r>
      <w:proofErr w:type="spellEnd"/>
      <w:r w:rsidRPr="007122AB">
        <w:rPr>
          <w:rFonts w:ascii="Times New Roman" w:hAnsi="Times New Roman"/>
          <w:color w:val="000000" w:themeColor="text1"/>
          <w:sz w:val="16"/>
          <w:szCs w:val="16"/>
        </w:rPr>
        <w:t>»</w:t>
      </w:r>
    </w:p>
    <w:p w14:paraId="34A857E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Кузьмичев Г.Т.</w:t>
      </w:r>
    </w:p>
    <w:p w14:paraId="3940E93F" w14:textId="77777777" w:rsidR="009A3E3D" w:rsidRPr="007122AB" w:rsidRDefault="009A3E3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Аэробомбы</w:t>
      </w:r>
      <w:proofErr w:type="spellEnd"/>
      <w:r w:rsidRPr="007122AB">
        <w:rPr>
          <w:rFonts w:ascii="Times New Roman" w:hAnsi="Times New Roman"/>
          <w:color w:val="000000" w:themeColor="text1"/>
          <w:sz w:val="16"/>
          <w:szCs w:val="16"/>
        </w:rPr>
        <w:t>, противогазы, корпуса ручных гранат</w:t>
      </w:r>
    </w:p>
    <w:p w14:paraId="0A40F5C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Разные изделия из жести, котельные работы и пр.</w:t>
      </w:r>
    </w:p>
    <w:p w14:paraId="792259C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 58, п/я 1, Семеновская застава, ул. Вельяминовская, 32</w:t>
      </w:r>
    </w:p>
    <w:p w14:paraId="35DA990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точной механики № 19</w:t>
      </w:r>
    </w:p>
    <w:p w14:paraId="1E2E9AC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Титов И.Т.</w:t>
      </w:r>
    </w:p>
    <w:p w14:paraId="7CF5C02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Оптическое производство: стереотрубы, бинокли, панорамы и ремонт оптики</w:t>
      </w:r>
    </w:p>
    <w:p w14:paraId="7ADA7B6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Линзы и оправы очковые, объективы и лупы разные</w:t>
      </w:r>
    </w:p>
    <w:p w14:paraId="2ABCFE6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Павшино, п/я 2</w:t>
      </w:r>
    </w:p>
    <w:p w14:paraId="2F78831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Механический завод № 13</w:t>
      </w:r>
    </w:p>
    <w:p w14:paraId="3D4AFD9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Иванов К.В.</w:t>
      </w:r>
    </w:p>
    <w:p w14:paraId="00EFBF6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Арсенальное производство: </w:t>
      </w:r>
      <w:proofErr w:type="spellStart"/>
      <w:r w:rsidRPr="007122AB">
        <w:rPr>
          <w:rFonts w:ascii="Times New Roman" w:hAnsi="Times New Roman"/>
          <w:color w:val="000000" w:themeColor="text1"/>
          <w:sz w:val="16"/>
          <w:szCs w:val="16"/>
        </w:rPr>
        <w:t>аммуниция</w:t>
      </w:r>
      <w:proofErr w:type="spellEnd"/>
      <w:r w:rsidRPr="007122AB">
        <w:rPr>
          <w:rFonts w:ascii="Times New Roman" w:hAnsi="Times New Roman"/>
          <w:color w:val="000000" w:themeColor="text1"/>
          <w:sz w:val="16"/>
          <w:szCs w:val="16"/>
        </w:rPr>
        <w:t xml:space="preserve">, снарядные прицепки, </w:t>
      </w:r>
      <w:proofErr w:type="spellStart"/>
      <w:r w:rsidRPr="007122AB">
        <w:rPr>
          <w:rFonts w:ascii="Times New Roman" w:hAnsi="Times New Roman"/>
          <w:color w:val="000000" w:themeColor="text1"/>
          <w:sz w:val="16"/>
          <w:szCs w:val="16"/>
        </w:rPr>
        <w:t>перестволение</w:t>
      </w:r>
      <w:proofErr w:type="spellEnd"/>
      <w:r w:rsidRPr="007122AB">
        <w:rPr>
          <w:rFonts w:ascii="Times New Roman" w:hAnsi="Times New Roman"/>
          <w:color w:val="000000" w:themeColor="text1"/>
          <w:sz w:val="16"/>
          <w:szCs w:val="16"/>
        </w:rPr>
        <w:t>, повозки конной тяги, механические тяги</w:t>
      </w:r>
    </w:p>
    <w:p w14:paraId="088ED70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Текстильное машиностроение</w:t>
      </w:r>
    </w:p>
    <w:p w14:paraId="6ADC87C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Брянск, п/я 6</w:t>
      </w:r>
    </w:p>
    <w:p w14:paraId="2952C1C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8 им. Калинина</w:t>
      </w:r>
    </w:p>
    <w:p w14:paraId="66E048D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w:t>
      </w:r>
      <w:proofErr w:type="spellStart"/>
      <w:r w:rsidRPr="007122AB">
        <w:rPr>
          <w:rFonts w:ascii="Times New Roman" w:hAnsi="Times New Roman"/>
          <w:color w:val="000000" w:themeColor="text1"/>
          <w:sz w:val="16"/>
          <w:szCs w:val="16"/>
        </w:rPr>
        <w:t>Гузаков</w:t>
      </w:r>
      <w:proofErr w:type="spellEnd"/>
      <w:r w:rsidRPr="007122AB">
        <w:rPr>
          <w:rFonts w:ascii="Times New Roman" w:hAnsi="Times New Roman"/>
          <w:color w:val="000000" w:themeColor="text1"/>
          <w:sz w:val="16"/>
          <w:szCs w:val="16"/>
        </w:rPr>
        <w:t xml:space="preserve"> П.В.</w:t>
      </w:r>
    </w:p>
    <w:p w14:paraId="4557CC6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Орудийное производство (новое, ремонт и запчасти) и точная механика</w:t>
      </w:r>
    </w:p>
    <w:p w14:paraId="544A6DC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Пресс Гагарина</w:t>
      </w:r>
    </w:p>
    <w:p w14:paraId="46615E2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Мытищи Московской губернии, п/я 1</w:t>
      </w:r>
    </w:p>
    <w:p w14:paraId="2064E9B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Мотовилихинский машиностроительный завод</w:t>
      </w:r>
    </w:p>
    <w:p w14:paraId="5A67B1A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Кустов А.Я.</w:t>
      </w:r>
    </w:p>
    <w:p w14:paraId="5717442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Орудийное производство (новое, ремонт и запчасти), снаряды, поковки, </w:t>
      </w:r>
      <w:proofErr w:type="spellStart"/>
      <w:r w:rsidRPr="007122AB">
        <w:rPr>
          <w:rFonts w:ascii="Times New Roman" w:hAnsi="Times New Roman"/>
          <w:color w:val="000000" w:themeColor="text1"/>
          <w:sz w:val="16"/>
          <w:szCs w:val="16"/>
        </w:rPr>
        <w:t>авиапоковки</w:t>
      </w:r>
      <w:proofErr w:type="spellEnd"/>
      <w:r w:rsidRPr="007122AB">
        <w:rPr>
          <w:rFonts w:ascii="Times New Roman" w:hAnsi="Times New Roman"/>
          <w:color w:val="000000" w:themeColor="text1"/>
          <w:sz w:val="16"/>
          <w:szCs w:val="16"/>
        </w:rPr>
        <w:t xml:space="preserve">: валы, втулки и цилиндры, танки, </w:t>
      </w:r>
      <w:proofErr w:type="spellStart"/>
      <w:r w:rsidRPr="007122AB">
        <w:rPr>
          <w:rFonts w:ascii="Times New Roman" w:hAnsi="Times New Roman"/>
          <w:color w:val="000000" w:themeColor="text1"/>
          <w:sz w:val="16"/>
          <w:szCs w:val="16"/>
        </w:rPr>
        <w:t>перестволение</w:t>
      </w:r>
      <w:proofErr w:type="spellEnd"/>
    </w:p>
    <w:p w14:paraId="329DBED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Поковки, литье, двигатели </w:t>
      </w:r>
      <w:proofErr w:type="spellStart"/>
      <w:r w:rsidRPr="007122AB">
        <w:rPr>
          <w:rFonts w:ascii="Times New Roman" w:hAnsi="Times New Roman"/>
          <w:color w:val="000000" w:themeColor="text1"/>
          <w:sz w:val="16"/>
          <w:szCs w:val="16"/>
        </w:rPr>
        <w:t>Болиндра</w:t>
      </w:r>
      <w:proofErr w:type="spellEnd"/>
      <w:r w:rsidRPr="007122AB">
        <w:rPr>
          <w:rFonts w:ascii="Times New Roman" w:hAnsi="Times New Roman"/>
          <w:color w:val="000000" w:themeColor="text1"/>
          <w:sz w:val="16"/>
          <w:szCs w:val="16"/>
        </w:rPr>
        <w:t>, инструмент, драги, прокат и обжатая заготовка</w:t>
      </w:r>
    </w:p>
    <w:p w14:paraId="68AF2CE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Киевский краснознаменный завод</w:t>
      </w:r>
    </w:p>
    <w:p w14:paraId="235B4C6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Чернышев Ф.М.</w:t>
      </w:r>
    </w:p>
    <w:p w14:paraId="008DD54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Арсенальное производство: передки, лафеты, колеса боевые, ремонт, запчасти, пулемет тачанки, </w:t>
      </w:r>
      <w:proofErr w:type="spellStart"/>
      <w:r w:rsidRPr="007122AB">
        <w:rPr>
          <w:rFonts w:ascii="Times New Roman" w:hAnsi="Times New Roman"/>
          <w:color w:val="000000" w:themeColor="text1"/>
          <w:sz w:val="16"/>
          <w:szCs w:val="16"/>
        </w:rPr>
        <w:t>аэробомбы</w:t>
      </w:r>
      <w:proofErr w:type="spellEnd"/>
      <w:r w:rsidRPr="007122AB">
        <w:rPr>
          <w:rFonts w:ascii="Times New Roman" w:hAnsi="Times New Roman"/>
          <w:color w:val="000000" w:themeColor="text1"/>
          <w:sz w:val="16"/>
          <w:szCs w:val="16"/>
        </w:rPr>
        <w:t>, двуколки патронные, повозки парные, колеса обозные</w:t>
      </w:r>
    </w:p>
    <w:p w14:paraId="5C3B7C1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Текстильное машиностроение, станки и валки </w:t>
      </w:r>
      <w:proofErr w:type="spellStart"/>
      <w:r w:rsidRPr="007122AB">
        <w:rPr>
          <w:rFonts w:ascii="Times New Roman" w:hAnsi="Times New Roman"/>
          <w:color w:val="000000" w:themeColor="text1"/>
          <w:sz w:val="16"/>
          <w:szCs w:val="16"/>
        </w:rPr>
        <w:t>мелничные</w:t>
      </w:r>
      <w:proofErr w:type="spellEnd"/>
      <w:r w:rsidRPr="007122AB">
        <w:rPr>
          <w:rFonts w:ascii="Times New Roman" w:hAnsi="Times New Roman"/>
          <w:color w:val="000000" w:themeColor="text1"/>
          <w:sz w:val="16"/>
          <w:szCs w:val="16"/>
        </w:rPr>
        <w:t>, веялки</w:t>
      </w:r>
    </w:p>
    <w:p w14:paraId="7114C89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Киев 2, п/я 1</w:t>
      </w:r>
    </w:p>
    <w:p w14:paraId="4560115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Механический завод № 7</w:t>
      </w:r>
    </w:p>
    <w:p w14:paraId="1184F66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Руда И.П.</w:t>
      </w:r>
    </w:p>
    <w:p w14:paraId="34EE1DD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Арсенальное производство: ремонт и запчасти артиллерии, колеса, седла, снарядные прицепки, прицепные повозки, зарядные ящики и </w:t>
      </w:r>
      <w:proofErr w:type="spellStart"/>
      <w:r w:rsidRPr="007122AB">
        <w:rPr>
          <w:rFonts w:ascii="Times New Roman" w:hAnsi="Times New Roman"/>
          <w:color w:val="000000" w:themeColor="text1"/>
          <w:sz w:val="16"/>
          <w:szCs w:val="16"/>
        </w:rPr>
        <w:t>аэробомбы</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авиахимбомбы</w:t>
      </w:r>
      <w:proofErr w:type="spellEnd"/>
      <w:r w:rsidRPr="007122AB">
        <w:rPr>
          <w:rFonts w:ascii="Times New Roman" w:hAnsi="Times New Roman"/>
          <w:color w:val="000000" w:themeColor="text1"/>
          <w:sz w:val="16"/>
          <w:szCs w:val="16"/>
        </w:rPr>
        <w:t>, хлебопекарни</w:t>
      </w:r>
    </w:p>
    <w:p w14:paraId="2DFCB3E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Банкоброши, ленточные машины, ткацкие автоматы и запчасти к текстильным машинам</w:t>
      </w:r>
    </w:p>
    <w:p w14:paraId="528F629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 9, п/я 1</w:t>
      </w:r>
    </w:p>
    <w:p w14:paraId="61C700D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«ЛЕНЗОС»</w:t>
      </w:r>
    </w:p>
    <w:p w14:paraId="2A792AB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Иванов В.И.</w:t>
      </w:r>
    </w:p>
    <w:p w14:paraId="0567FE0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 12, п/я 1</w:t>
      </w:r>
    </w:p>
    <w:p w14:paraId="0188323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«Баррикады»</w:t>
      </w:r>
    </w:p>
    <w:p w14:paraId="60FA8D1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Зотов Г.Т.</w:t>
      </w:r>
    </w:p>
    <w:p w14:paraId="07039EE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оборудования для нефтяной, писчебумажной и силикатной промышленности, поковки, литье</w:t>
      </w:r>
    </w:p>
    <w:p w14:paraId="30F39FF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Сталинград, п/я 113</w:t>
      </w:r>
    </w:p>
    <w:p w14:paraId="0D4BB7D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Изюмский завод оптического стекла им. Дзержинского</w:t>
      </w:r>
    </w:p>
    <w:p w14:paraId="2CD8A46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Виксне Я.П.</w:t>
      </w:r>
    </w:p>
    <w:p w14:paraId="0E27A91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Оптическое стекло</w:t>
      </w:r>
    </w:p>
    <w:p w14:paraId="228F58A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Очковые стекла и огнеупорные изделия</w:t>
      </w:r>
    </w:p>
    <w:p w14:paraId="70491BC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Изюм, п/я 24 (18629).</w:t>
      </w:r>
    </w:p>
    <w:p w14:paraId="3FBC10C4"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2CDBF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на 22 заводе заложили первую серию из 5 АНТ-7 (Р-6). Первыми стали делать машины 2201 и 2202 с тем, чтобы на них отработать окончательную схему размещения оборудования и вооружения (2671,14).</w:t>
      </w:r>
    </w:p>
    <w:p w14:paraId="0D965C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0A8FB6"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1931 г., на заводе №1 была запущена в производство первая партия документации на самолет И-7 и началось изготовление первых деталей и узлов. В это время на заводе уже завершался серийный выпуск отечественных самолетов И-3, налажено крупносерийное производство Р-5 и приступили к серийному производству И-5 (24331)</w:t>
      </w:r>
    </w:p>
    <w:p w14:paraId="1F380519" w14:textId="77777777" w:rsidR="00E252B8" w:rsidRPr="00441F34" w:rsidRDefault="00E252B8" w:rsidP="00E252B8">
      <w:pPr>
        <w:spacing w:after="0" w:line="240" w:lineRule="auto"/>
        <w:jc w:val="both"/>
        <w:rPr>
          <w:rFonts w:ascii="Times New Roman" w:hAnsi="Times New Roman"/>
          <w:color w:val="0070C0"/>
          <w:sz w:val="16"/>
          <w:szCs w:val="16"/>
        </w:rPr>
      </w:pPr>
    </w:p>
    <w:p w14:paraId="5C5CD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на заводе № 22 в Филях, где делали ТБ-1, конструктивно и технологически очень близкий к "крейсеру", заложили первую серию из пяти самолетов Р-6. Фактически она разделялась на две. На первых двух машинах собирались отработать окончательную схему размещения оборудования и вооружения, так и не определенную до сих пор заказчиком. Это тогда было нормой: ждать некогда, надо выполнять план!</w:t>
      </w:r>
    </w:p>
    <w:p w14:paraId="70DE8F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последнему уточненному плану головной Р-6 должен был быть предъявлен на испытания 7 сентября 1931 г.; фактически он прибыл в НИИ ВВС 3 октября. Задержка в основном связывалась с несвоевременной поставкой оборудования.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w:t>
      </w:r>
      <w:proofErr w:type="spellStart"/>
      <w:r w:rsidRPr="007122AB">
        <w:rPr>
          <w:rFonts w:ascii="Times New Roman" w:hAnsi="Times New Roman"/>
          <w:color w:val="000000" w:themeColor="text1"/>
          <w:sz w:val="16"/>
          <w:szCs w:val="16"/>
        </w:rPr>
        <w:t>перекомпоновать</w:t>
      </w:r>
      <w:proofErr w:type="spellEnd"/>
      <w:r w:rsidRPr="007122AB">
        <w:rPr>
          <w:rFonts w:ascii="Times New Roman" w:hAnsi="Times New Roman"/>
          <w:color w:val="000000" w:themeColor="text1"/>
          <w:sz w:val="16"/>
          <w:szCs w:val="16"/>
        </w:rPr>
        <w:t xml:space="preserve">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252DD7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B6A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НИИ ВВС занимался вопросами заправки ТБ-1 в воздухе. Сначала с Р-5, в котором был установлен бак. Р-5 летел сверху. Техник Р-5 через люк выпускал, механик на ТБ-1 - ловил руками. В 1933-1935 в-и </w:t>
      </w:r>
      <w:proofErr w:type="spellStart"/>
      <w:r w:rsidRPr="007122AB">
        <w:rPr>
          <w:rFonts w:ascii="Times New Roman" w:hAnsi="Times New Roman"/>
          <w:color w:val="000000" w:themeColor="text1"/>
          <w:sz w:val="16"/>
          <w:szCs w:val="16"/>
        </w:rPr>
        <w:t>А.К.Запанованный</w:t>
      </w:r>
      <w:proofErr w:type="spellEnd"/>
      <w:r w:rsidRPr="007122AB">
        <w:rPr>
          <w:rFonts w:ascii="Times New Roman" w:hAnsi="Times New Roman"/>
          <w:color w:val="000000" w:themeColor="text1"/>
          <w:sz w:val="16"/>
          <w:szCs w:val="16"/>
        </w:rPr>
        <w:t xml:space="preserve"> и летчик </w:t>
      </w:r>
      <w:proofErr w:type="spellStart"/>
      <w:r w:rsidRPr="007122AB">
        <w:rPr>
          <w:rFonts w:ascii="Times New Roman" w:hAnsi="Times New Roman"/>
          <w:color w:val="000000" w:themeColor="text1"/>
          <w:sz w:val="16"/>
          <w:szCs w:val="16"/>
        </w:rPr>
        <w:t>И.Белозеров</w:t>
      </w:r>
      <w:proofErr w:type="spellEnd"/>
      <w:r w:rsidRPr="007122AB">
        <w:rPr>
          <w:rFonts w:ascii="Times New Roman" w:hAnsi="Times New Roman"/>
          <w:color w:val="000000" w:themeColor="text1"/>
          <w:sz w:val="16"/>
          <w:szCs w:val="16"/>
        </w:rPr>
        <w:t xml:space="preserve"> продолжили работу с ТБ-1 на ТБ-1 (346,17).</w:t>
      </w:r>
    </w:p>
    <w:p w14:paraId="7B9B94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9CE8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завод №39 сдал еще четы</w:t>
      </w:r>
      <w:r w:rsidRPr="007122AB">
        <w:rPr>
          <w:rFonts w:ascii="Times New Roman" w:hAnsi="Times New Roman"/>
          <w:color w:val="000000" w:themeColor="text1"/>
          <w:sz w:val="16"/>
          <w:szCs w:val="16"/>
        </w:rPr>
        <w:softHyphen/>
        <w:t>ре серийные машины из первого заказа: таким образом, общее количество изготовленных здесь И-5 составило 12 экземпляров. Хотя выпуск И-5 в 1931 г. почти полностью перешел на завод №1, вся техническая под</w:t>
      </w:r>
      <w:r w:rsidRPr="007122AB">
        <w:rPr>
          <w:rFonts w:ascii="Times New Roman" w:hAnsi="Times New Roman"/>
          <w:color w:val="000000" w:themeColor="text1"/>
          <w:sz w:val="16"/>
          <w:szCs w:val="16"/>
        </w:rPr>
        <w:softHyphen/>
        <w:t>держка по-прежнему осуществлялась отделом доводок (отделом №9) ЦКБ, то есть специали</w:t>
      </w:r>
      <w:r w:rsidRPr="007122AB">
        <w:rPr>
          <w:rFonts w:ascii="Times New Roman" w:hAnsi="Times New Roman"/>
          <w:color w:val="000000" w:themeColor="text1"/>
          <w:sz w:val="16"/>
          <w:szCs w:val="16"/>
        </w:rPr>
        <w:softHyphen/>
        <w:t xml:space="preserve">стами завода №39. Начальником ЦКБ являлся С.В. Ильюшин, его замом (помощником) -А.В.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Вахмистров - начальник бригады вооружения </w:t>
      </w:r>
      <w:proofErr w:type="spellStart"/>
      <w:r w:rsidRPr="007122AB">
        <w:rPr>
          <w:rFonts w:ascii="Times New Roman" w:hAnsi="Times New Roman"/>
          <w:color w:val="000000" w:themeColor="text1"/>
          <w:sz w:val="16"/>
          <w:szCs w:val="16"/>
        </w:rPr>
        <w:t>И.Л.Толстых</w:t>
      </w:r>
      <w:proofErr w:type="spellEnd"/>
      <w:r w:rsidRPr="007122AB">
        <w:rPr>
          <w:rFonts w:ascii="Times New Roman" w:hAnsi="Times New Roman"/>
          <w:color w:val="000000" w:themeColor="text1"/>
          <w:sz w:val="16"/>
          <w:szCs w:val="16"/>
        </w:rPr>
        <w:t xml:space="preserve"> - начальник секции оборудования (11974).</w:t>
      </w:r>
    </w:p>
    <w:p w14:paraId="10A205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CB1A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 летчика-истребителя — направили в отряд НИИ ВВС, испытывавше</w:t>
      </w:r>
      <w:r w:rsidRPr="007122AB">
        <w:rPr>
          <w:rFonts w:ascii="Times New Roman" w:hAnsi="Times New Roman"/>
          <w:color w:val="000000" w:themeColor="text1"/>
          <w:sz w:val="16"/>
          <w:szCs w:val="16"/>
        </w:rPr>
        <w:softHyphen/>
        <w:t>го бомбардировщики, а инструктором наз</w:t>
      </w:r>
      <w:r w:rsidRPr="007122AB">
        <w:rPr>
          <w:rFonts w:ascii="Times New Roman" w:hAnsi="Times New Roman"/>
          <w:color w:val="000000" w:themeColor="text1"/>
          <w:sz w:val="16"/>
          <w:szCs w:val="16"/>
        </w:rPr>
        <w:softHyphen/>
        <w:t xml:space="preserve">начили </w:t>
      </w:r>
      <w:proofErr w:type="spellStart"/>
      <w:r w:rsidRPr="007122AB">
        <w:rPr>
          <w:rFonts w:ascii="Times New Roman" w:hAnsi="Times New Roman"/>
          <w:color w:val="000000" w:themeColor="text1"/>
          <w:sz w:val="16"/>
          <w:szCs w:val="16"/>
        </w:rPr>
        <w:t>В.П.Чкалова</w:t>
      </w:r>
      <w:proofErr w:type="spellEnd"/>
      <w:r w:rsidRPr="007122AB">
        <w:rPr>
          <w:rFonts w:ascii="Times New Roman" w:hAnsi="Times New Roman"/>
          <w:color w:val="000000" w:themeColor="text1"/>
          <w:sz w:val="16"/>
          <w:szCs w:val="16"/>
        </w:rPr>
        <w:t>.</w:t>
      </w:r>
    </w:p>
    <w:p w14:paraId="34BC48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взлете Валерий Павлович плавно прибавил оборотов обоим моторам, и тя</w:t>
      </w:r>
      <w:r w:rsidRPr="007122AB">
        <w:rPr>
          <w:rFonts w:ascii="Times New Roman" w:hAnsi="Times New Roman"/>
          <w:color w:val="000000" w:themeColor="text1"/>
          <w:sz w:val="16"/>
          <w:szCs w:val="16"/>
        </w:rPr>
        <w:softHyphen/>
        <w:t>желая машина легко, без напряжения под</w:t>
      </w:r>
      <w:r w:rsidRPr="007122AB">
        <w:rPr>
          <w:rFonts w:ascii="Times New Roman" w:hAnsi="Times New Roman"/>
          <w:color w:val="000000" w:themeColor="text1"/>
          <w:sz w:val="16"/>
          <w:szCs w:val="16"/>
        </w:rPr>
        <w:softHyphen/>
        <w:t>нялась в воздух. За штурвалом Чкалов си</w:t>
      </w:r>
      <w:r w:rsidRPr="007122AB">
        <w:rPr>
          <w:rFonts w:ascii="Times New Roman" w:hAnsi="Times New Roman"/>
          <w:color w:val="000000" w:themeColor="text1"/>
          <w:sz w:val="16"/>
          <w:szCs w:val="16"/>
        </w:rPr>
        <w:softHyphen/>
        <w:t>дел спокойно, словно за чашкой чая. Оно и понятно, — подумал я, — к чему волновать</w:t>
      </w:r>
      <w:r w:rsidRPr="007122AB">
        <w:rPr>
          <w:rFonts w:ascii="Times New Roman" w:hAnsi="Times New Roman"/>
          <w:color w:val="000000" w:themeColor="text1"/>
          <w:sz w:val="16"/>
          <w:szCs w:val="16"/>
        </w:rPr>
        <w:softHyphen/>
        <w:t>ся: бомбардировщик устойчив в воздухе, не вильнет, не кувыркнется, как ястребок...</w:t>
      </w:r>
    </w:p>
    <w:p w14:paraId="363BD1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неожиданно самолет во</w:t>
      </w:r>
      <w:r w:rsidRPr="007122AB">
        <w:rPr>
          <w:rFonts w:ascii="Times New Roman" w:hAnsi="Times New Roman"/>
          <w:color w:val="000000" w:themeColor="text1"/>
          <w:sz w:val="16"/>
          <w:szCs w:val="16"/>
        </w:rPr>
        <w:softHyphen/>
        <w:t>шел в глубокий вираж. А до земли было метров триста, не больше. Безупречно вы</w:t>
      </w:r>
      <w:r w:rsidRPr="007122AB">
        <w:rPr>
          <w:rFonts w:ascii="Times New Roman" w:hAnsi="Times New Roman"/>
          <w:color w:val="000000" w:themeColor="text1"/>
          <w:sz w:val="16"/>
          <w:szCs w:val="16"/>
        </w:rPr>
        <w:softHyphen/>
        <w:t>полнив несколько фигур, Чкалов резко под</w:t>
      </w:r>
      <w:r w:rsidRPr="007122AB">
        <w:rPr>
          <w:rFonts w:ascii="Times New Roman" w:hAnsi="Times New Roman"/>
          <w:color w:val="000000" w:themeColor="text1"/>
          <w:sz w:val="16"/>
          <w:szCs w:val="16"/>
        </w:rPr>
        <w:softHyphen/>
        <w:t>нял нос корабля, плавно убрал газ и пере</w:t>
      </w:r>
      <w:r w:rsidRPr="007122AB">
        <w:rPr>
          <w:rFonts w:ascii="Times New Roman" w:hAnsi="Times New Roman"/>
          <w:color w:val="000000" w:themeColor="text1"/>
          <w:sz w:val="16"/>
          <w:szCs w:val="16"/>
        </w:rPr>
        <w:softHyphen/>
        <w:t>вел машину в крутое пикирование. Что он делает, черт! Земля стремительно прибли</w:t>
      </w:r>
      <w:r w:rsidRPr="007122AB">
        <w:rPr>
          <w:rFonts w:ascii="Times New Roman" w:hAnsi="Times New Roman"/>
          <w:color w:val="000000" w:themeColor="text1"/>
          <w:sz w:val="16"/>
          <w:szCs w:val="16"/>
        </w:rPr>
        <w:softHyphen/>
        <w:t>жается. С беспокойством и укором смотрю на своего инструктора: мы ведь не на ист</w:t>
      </w:r>
      <w:r w:rsidRPr="007122AB">
        <w:rPr>
          <w:rFonts w:ascii="Times New Roman" w:hAnsi="Times New Roman"/>
          <w:color w:val="000000" w:themeColor="text1"/>
          <w:sz w:val="16"/>
          <w:szCs w:val="16"/>
        </w:rPr>
        <w:softHyphen/>
        <w:t>ребителе! А он «пьет чай».</w:t>
      </w:r>
    </w:p>
    <w:p w14:paraId="2FEFB3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уже до земли не более пятидесяти метров... Деревенские домишки, разраста</w:t>
      </w:r>
      <w:r w:rsidRPr="007122AB">
        <w:rPr>
          <w:rFonts w:ascii="Times New Roman" w:hAnsi="Times New Roman"/>
          <w:color w:val="000000" w:themeColor="text1"/>
          <w:sz w:val="16"/>
          <w:szCs w:val="16"/>
        </w:rPr>
        <w:softHyphen/>
        <w:t>ясь, лезут в глаза. Еще секунда — и...</w:t>
      </w:r>
    </w:p>
    <w:p w14:paraId="19B9AA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Взревев моторами, самолет рванулся вверх, легко развернулся и перешел в гори</w:t>
      </w:r>
      <w:r w:rsidRPr="007122AB">
        <w:rPr>
          <w:rFonts w:ascii="Times New Roman" w:hAnsi="Times New Roman"/>
          <w:color w:val="000000" w:themeColor="text1"/>
          <w:sz w:val="16"/>
          <w:szCs w:val="16"/>
        </w:rPr>
        <w:softHyphen/>
        <w:t>зонтальный полет.</w:t>
      </w:r>
    </w:p>
    <w:p w14:paraId="02D492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голове у меня сумбур. Бомбардиров</w:t>
      </w:r>
      <w:r w:rsidRPr="007122AB">
        <w:rPr>
          <w:rFonts w:ascii="Times New Roman" w:hAnsi="Times New Roman"/>
          <w:color w:val="000000" w:themeColor="text1"/>
          <w:sz w:val="16"/>
          <w:szCs w:val="16"/>
        </w:rPr>
        <w:softHyphen/>
        <w:t>щик, а такой маневренный! С восхищением смотрю на Чкалова.</w:t>
      </w:r>
    </w:p>
    <w:p w14:paraId="2FFE42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Понял? — спрашивает он, широко улыбаясь. В ответ согласно киваю головой.</w:t>
      </w:r>
    </w:p>
    <w:p w14:paraId="4856C6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Давай сам.</w:t>
      </w:r>
    </w:p>
    <w:p w14:paraId="440C63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сразу? А инструктор уже полностью освободил штурвал:</w:t>
      </w:r>
    </w:p>
    <w:p w14:paraId="2A4C09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—Ну!</w:t>
      </w:r>
    </w:p>
    <w:p w14:paraId="421268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 триста метров. Закладываю не менее глубокие виражи, потом подни</w:t>
      </w:r>
      <w:r w:rsidRPr="007122AB">
        <w:rPr>
          <w:rFonts w:ascii="Times New Roman" w:hAnsi="Times New Roman"/>
          <w:color w:val="000000" w:themeColor="text1"/>
          <w:sz w:val="16"/>
          <w:szCs w:val="16"/>
        </w:rPr>
        <w:softHyphen/>
        <w:t>маю нос самолета, плавно сбрасываю газ и по-чкаловски энергично бросаю машину в пикирование. Кажется, не самолет несется вниз, а сама земля мчится ему навстречу. Не ощущаю ни громадных размеров, ни тя</w:t>
      </w:r>
      <w:r w:rsidRPr="007122AB">
        <w:rPr>
          <w:rFonts w:ascii="Times New Roman" w:hAnsi="Times New Roman"/>
          <w:color w:val="000000" w:themeColor="text1"/>
          <w:sz w:val="16"/>
          <w:szCs w:val="16"/>
        </w:rPr>
        <w:softHyphen/>
        <w:t>жести корабля. Высота уже сто пятьдесят, сто метров... Пора! Самолет пружинисто ломает кривую полета и взмывает вверх.</w:t>
      </w:r>
    </w:p>
    <w:p w14:paraId="572C93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Хорошо! — по-волжски окая, одобрил Валерий Павлович. — Понял. Иди на посадку.</w:t>
      </w:r>
    </w:p>
    <w:p w14:paraId="642FFE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второй посадки Чкалов освобо</w:t>
      </w:r>
      <w:r w:rsidRPr="007122AB">
        <w:rPr>
          <w:rFonts w:ascii="Times New Roman" w:hAnsi="Times New Roman"/>
          <w:color w:val="000000" w:themeColor="text1"/>
          <w:sz w:val="16"/>
          <w:szCs w:val="16"/>
        </w:rPr>
        <w:softHyphen/>
        <w:t>дил командирское кресло, и лицо его снова расплылось в улыбке.</w:t>
      </w:r>
    </w:p>
    <w:p w14:paraId="205500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Лети сам, — сказал он. — Мне тут де</w:t>
      </w:r>
      <w:r w:rsidRPr="007122AB">
        <w:rPr>
          <w:rFonts w:ascii="Times New Roman" w:hAnsi="Times New Roman"/>
          <w:color w:val="000000" w:themeColor="text1"/>
          <w:sz w:val="16"/>
          <w:szCs w:val="16"/>
        </w:rPr>
        <w:softHyphen/>
        <w:t>лать нечего.</w:t>
      </w:r>
    </w:p>
    <w:p w14:paraId="77F2C6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я стал летать на тяжелых воздушных кораблях» (11286).</w:t>
      </w:r>
    </w:p>
    <w:p w14:paraId="37C49E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6C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в Севастополь привезли ТОМ-1 </w:t>
      </w:r>
      <w:proofErr w:type="spellStart"/>
      <w:r w:rsidRPr="007122AB">
        <w:rPr>
          <w:rFonts w:ascii="Times New Roman" w:hAnsi="Times New Roman"/>
          <w:color w:val="000000" w:themeColor="text1"/>
          <w:sz w:val="16"/>
          <w:szCs w:val="16"/>
        </w:rPr>
        <w:t>П.Ришара</w:t>
      </w:r>
      <w:proofErr w:type="spellEnd"/>
      <w:r w:rsidRPr="007122AB">
        <w:rPr>
          <w:rFonts w:ascii="Times New Roman" w:hAnsi="Times New Roman"/>
          <w:color w:val="000000" w:themeColor="text1"/>
          <w:sz w:val="16"/>
          <w:szCs w:val="16"/>
        </w:rPr>
        <w:t xml:space="preserve"> и испытывали до августа 1931 (553,164).</w:t>
      </w:r>
    </w:p>
    <w:p w14:paraId="73382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977C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одновременно с доработка</w:t>
      </w:r>
      <w:r w:rsidRPr="007122AB">
        <w:rPr>
          <w:rFonts w:ascii="Times New Roman" w:hAnsi="Times New Roman"/>
          <w:color w:val="000000" w:themeColor="text1"/>
          <w:sz w:val="16"/>
          <w:szCs w:val="16"/>
        </w:rPr>
        <w:softHyphen/>
        <w:t>ми самолета КР-1 началась установка вооружения. Пулемет ПВ-1 калибра 7,62 мм разместили перед летчиком слева в специальной выемке фю</w:t>
      </w:r>
      <w:r w:rsidRPr="007122AB">
        <w:rPr>
          <w:rFonts w:ascii="Times New Roman" w:hAnsi="Times New Roman"/>
          <w:color w:val="000000" w:themeColor="text1"/>
          <w:sz w:val="16"/>
          <w:szCs w:val="16"/>
        </w:rPr>
        <w:softHyphen/>
        <w:t>зеляжа. Стандартную оборонительную турель ТУР-б поначалу предполагалось оснастить одним пулеметом ДА (Дегтярева, авиационный) калибра 7,62 мм, однако позднее все самолеты оснастили штатной спаренной установкой пулеметов ДА.</w:t>
      </w:r>
    </w:p>
    <w:p w14:paraId="6A8D18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зимний период КР-1 устанавливался на лыжи. Боковые поплавки при этом снимались и заменялись предохранитель</w:t>
      </w:r>
      <w:r w:rsidRPr="007122AB">
        <w:rPr>
          <w:rFonts w:ascii="Times New Roman" w:hAnsi="Times New Roman"/>
          <w:color w:val="000000" w:themeColor="text1"/>
          <w:sz w:val="16"/>
          <w:szCs w:val="16"/>
        </w:rPr>
        <w:softHyphen/>
        <w:t>ными дугами. Две основные лыжи крепились к сквозной тру</w:t>
      </w:r>
      <w:r w:rsidRPr="007122AB">
        <w:rPr>
          <w:rFonts w:ascii="Times New Roman" w:hAnsi="Times New Roman"/>
          <w:color w:val="000000" w:themeColor="text1"/>
          <w:sz w:val="16"/>
          <w:szCs w:val="16"/>
        </w:rPr>
        <w:softHyphen/>
        <w:t>бе, проходящей через корпус лодки, маленькая хвостовая лы</w:t>
      </w:r>
      <w:r w:rsidRPr="007122AB">
        <w:rPr>
          <w:rFonts w:ascii="Times New Roman" w:hAnsi="Times New Roman"/>
          <w:color w:val="000000" w:themeColor="text1"/>
          <w:sz w:val="16"/>
          <w:szCs w:val="16"/>
        </w:rPr>
        <w:softHyphen/>
        <w:t>жа крепилась на специально предусмотренном кронштейне. Лыжи конструкции Жохова, изготовленные на московском авиазаводе №28 испытывали весной 1931 г. Позднее все КР-1 Балтийского флота на зиму были снабжены комплектом та</w:t>
      </w:r>
      <w:r w:rsidRPr="007122AB">
        <w:rPr>
          <w:rFonts w:ascii="Times New Roman" w:hAnsi="Times New Roman"/>
          <w:color w:val="000000" w:themeColor="text1"/>
          <w:sz w:val="16"/>
          <w:szCs w:val="16"/>
        </w:rPr>
        <w:softHyphen/>
        <w:t>ких лыж.</w:t>
      </w:r>
    </w:p>
    <w:p w14:paraId="41F285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Известно, что один КР-1, заводской №348, в 1935 г. переда</w:t>
      </w:r>
      <w:r w:rsidRPr="007122AB">
        <w:rPr>
          <w:rFonts w:ascii="Times New Roman" w:hAnsi="Times New Roman"/>
          <w:color w:val="000000" w:themeColor="text1"/>
          <w:sz w:val="16"/>
          <w:szCs w:val="16"/>
        </w:rPr>
        <w:softHyphen/>
        <w:t>ли Управлению полярной авиации. С опознавательным зна</w:t>
      </w:r>
      <w:r w:rsidRPr="007122AB">
        <w:rPr>
          <w:rFonts w:ascii="Times New Roman" w:hAnsi="Times New Roman"/>
          <w:color w:val="000000" w:themeColor="text1"/>
          <w:sz w:val="16"/>
          <w:szCs w:val="16"/>
        </w:rPr>
        <w:softHyphen/>
        <w:t>ком СССР-Н133 самолет эпизодически использовали для ве</w:t>
      </w:r>
      <w:r w:rsidRPr="007122AB">
        <w:rPr>
          <w:rFonts w:ascii="Times New Roman" w:hAnsi="Times New Roman"/>
          <w:color w:val="000000" w:themeColor="text1"/>
          <w:sz w:val="16"/>
          <w:szCs w:val="16"/>
        </w:rPr>
        <w:softHyphen/>
        <w:t>дения ледовой разведки (11107).</w:t>
      </w:r>
    </w:p>
    <w:p w14:paraId="0FFD26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4E6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началу 1931 г. ВВС аннулировали задание на И-9. В целом пятилетие с октября 1924 г. до октября 1929 г. было очень плодотворными для Поликарпова. За это время под его руководством разработали свыше 100 про</w:t>
      </w:r>
      <w:r w:rsidRPr="007122AB">
        <w:rPr>
          <w:rFonts w:ascii="Times New Roman" w:hAnsi="Times New Roman"/>
          <w:color w:val="000000" w:themeColor="text1"/>
          <w:sz w:val="16"/>
          <w:szCs w:val="16"/>
        </w:rPr>
        <w:softHyphen/>
        <w:t>ектов самолетов различного назначения, оборудования, вооружения. Были построены и прошли летные испыта</w:t>
      </w:r>
      <w:r w:rsidRPr="007122AB">
        <w:rPr>
          <w:rFonts w:ascii="Times New Roman" w:hAnsi="Times New Roman"/>
          <w:color w:val="000000" w:themeColor="text1"/>
          <w:sz w:val="16"/>
          <w:szCs w:val="16"/>
        </w:rPr>
        <w:softHyphen/>
        <w:t>ния разведчики Р-1 (5 модификаций), МР-1, Р-4, Р-5, учебные и переходные самолеты 2УБ-3, П-1, П-2, У-2 (2 экземпляра), пассажирский самолет П-2 (ПМ-1), бом</w:t>
      </w:r>
      <w:r w:rsidRPr="007122AB">
        <w:rPr>
          <w:rFonts w:ascii="Times New Roman" w:hAnsi="Times New Roman"/>
          <w:color w:val="000000" w:themeColor="text1"/>
          <w:sz w:val="16"/>
          <w:szCs w:val="16"/>
        </w:rPr>
        <w:softHyphen/>
        <w:t xml:space="preserve">бардировщики Б-2, ТБ-2, истребители ИЛ-3, И-1, 2ИН-1, И-3, Д-2, И-6. </w:t>
      </w:r>
      <w:proofErr w:type="spellStart"/>
      <w:r w:rsidRPr="007122AB">
        <w:rPr>
          <w:rFonts w:ascii="Times New Roman" w:hAnsi="Times New Roman"/>
          <w:color w:val="000000" w:themeColor="text1"/>
          <w:sz w:val="16"/>
          <w:szCs w:val="16"/>
        </w:rPr>
        <w:t>Турельные</w:t>
      </w:r>
      <w:proofErr w:type="spellEnd"/>
      <w:r w:rsidRPr="007122AB">
        <w:rPr>
          <w:rFonts w:ascii="Times New Roman" w:hAnsi="Times New Roman"/>
          <w:color w:val="000000" w:themeColor="text1"/>
          <w:sz w:val="16"/>
          <w:szCs w:val="16"/>
        </w:rPr>
        <w:t xml:space="preserve"> установки, созданные в ОКБ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нашли применение не только в отече</w:t>
      </w:r>
      <w:r w:rsidRPr="007122AB">
        <w:rPr>
          <w:rFonts w:ascii="Times New Roman" w:hAnsi="Times New Roman"/>
          <w:color w:val="000000" w:themeColor="text1"/>
          <w:sz w:val="16"/>
          <w:szCs w:val="16"/>
        </w:rPr>
        <w:softHyphen/>
        <w:t>ственной авиации, но и на флоте. Пожалуй, ни одно КБ не работало столь эффективно. Накопив знания, опыт, конструкторское бюро под руководством Николая Нико</w:t>
      </w:r>
      <w:r w:rsidRPr="007122AB">
        <w:rPr>
          <w:rFonts w:ascii="Times New Roman" w:hAnsi="Times New Roman"/>
          <w:color w:val="000000" w:themeColor="text1"/>
          <w:sz w:val="16"/>
          <w:szCs w:val="16"/>
        </w:rPr>
        <w:softHyphen/>
        <w:t>лаевича было способно быстро и качественно проектиро</w:t>
      </w:r>
      <w:r w:rsidRPr="007122AB">
        <w:rPr>
          <w:rFonts w:ascii="Times New Roman" w:hAnsi="Times New Roman"/>
          <w:color w:val="000000" w:themeColor="text1"/>
          <w:sz w:val="16"/>
          <w:szCs w:val="16"/>
        </w:rPr>
        <w:softHyphen/>
        <w:t xml:space="preserve">вать самолеты различных типов и назначений, составляя серьезную конкуренцию другим конструкторским бюро. В июле 1927 г. на заседании Технического совета </w:t>
      </w:r>
      <w:proofErr w:type="spellStart"/>
      <w:r w:rsidRPr="007122AB">
        <w:rPr>
          <w:rFonts w:ascii="Times New Roman" w:hAnsi="Times New Roman"/>
          <w:color w:val="000000" w:themeColor="text1"/>
          <w:sz w:val="16"/>
          <w:szCs w:val="16"/>
        </w:rPr>
        <w:t>Авиатре</w:t>
      </w:r>
      <w:r w:rsidRPr="007122AB">
        <w:rPr>
          <w:rFonts w:ascii="Times New Roman" w:hAnsi="Times New Roman"/>
          <w:color w:val="000000" w:themeColor="text1"/>
          <w:sz w:val="16"/>
          <w:szCs w:val="16"/>
        </w:rPr>
        <w:softHyphen/>
        <w:t>ста</w:t>
      </w:r>
      <w:proofErr w:type="spellEnd"/>
      <w:r w:rsidRPr="007122AB">
        <w:rPr>
          <w:rFonts w:ascii="Times New Roman" w:hAnsi="Times New Roman"/>
          <w:color w:val="000000" w:themeColor="text1"/>
          <w:sz w:val="16"/>
          <w:szCs w:val="16"/>
        </w:rPr>
        <w:t xml:space="preserve"> при обсуждении плана работ ОСС ЦКБ </w:t>
      </w:r>
      <w:proofErr w:type="spellStart"/>
      <w:r w:rsidRPr="007122AB">
        <w:rPr>
          <w:rFonts w:ascii="Times New Roman" w:hAnsi="Times New Roman"/>
          <w:color w:val="000000" w:themeColor="text1"/>
          <w:sz w:val="16"/>
          <w:szCs w:val="16"/>
        </w:rPr>
        <w:t>А.Н.Туполев</w:t>
      </w:r>
      <w:proofErr w:type="spellEnd"/>
      <w:r w:rsidRPr="007122AB">
        <w:rPr>
          <w:rFonts w:ascii="Times New Roman" w:hAnsi="Times New Roman"/>
          <w:color w:val="000000" w:themeColor="text1"/>
          <w:sz w:val="16"/>
          <w:szCs w:val="16"/>
        </w:rPr>
        <w:t xml:space="preserve"> (10667).</w:t>
      </w:r>
    </w:p>
    <w:p w14:paraId="05C3DB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BC715E"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начале 1931 года в СССР Отделом особых конструкций ЦАГИ была начата систематически работа по автожирам. 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6955EE13"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093EB0E"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1931 года в ЦАГИ стартовало про</w:t>
      </w:r>
      <w:r w:rsidRPr="00441F34">
        <w:rPr>
          <w:rFonts w:ascii="Times New Roman" w:hAnsi="Times New Roman"/>
          <w:color w:val="0070C0"/>
          <w:sz w:val="16"/>
          <w:szCs w:val="16"/>
        </w:rPr>
        <w:softHyphen/>
        <w:t>ектирование аппарата 2ЭА аппарата 2ЭА, но, если можно так выра</w:t>
      </w:r>
      <w:r w:rsidRPr="00441F34">
        <w:rPr>
          <w:rFonts w:ascii="Times New Roman" w:hAnsi="Times New Roman"/>
          <w:color w:val="0070C0"/>
          <w:sz w:val="16"/>
          <w:szCs w:val="16"/>
        </w:rPr>
        <w:softHyphen/>
        <w:t>зиться, только в эпистолярной его части. Многие количественные параметры и число</w:t>
      </w:r>
      <w:r w:rsidRPr="00441F34">
        <w:rPr>
          <w:rFonts w:ascii="Times New Roman" w:hAnsi="Times New Roman"/>
          <w:color w:val="0070C0"/>
          <w:sz w:val="16"/>
          <w:szCs w:val="16"/>
        </w:rPr>
        <w:softHyphen/>
        <w:t>вые характеристики у советского автожира заметно отличались. Основную причину та</w:t>
      </w:r>
      <w:r w:rsidRPr="00441F34">
        <w:rPr>
          <w:rFonts w:ascii="Times New Roman" w:hAnsi="Times New Roman"/>
          <w:color w:val="0070C0"/>
          <w:sz w:val="16"/>
          <w:szCs w:val="16"/>
        </w:rPr>
        <w:softHyphen/>
        <w:t>кого положения дел в январе 1932 года Алек</w:t>
      </w:r>
      <w:r w:rsidRPr="00441F34">
        <w:rPr>
          <w:rFonts w:ascii="Times New Roman" w:hAnsi="Times New Roman"/>
          <w:color w:val="0070C0"/>
          <w:sz w:val="16"/>
          <w:szCs w:val="16"/>
        </w:rPr>
        <w:softHyphen/>
        <w:t xml:space="preserve">сандр Михайлович </w:t>
      </w:r>
      <w:proofErr w:type="spellStart"/>
      <w:r w:rsidRPr="00441F34">
        <w:rPr>
          <w:rFonts w:ascii="Times New Roman" w:hAnsi="Times New Roman"/>
          <w:color w:val="0070C0"/>
          <w:sz w:val="16"/>
          <w:szCs w:val="16"/>
        </w:rPr>
        <w:t>Изаксон</w:t>
      </w:r>
      <w:proofErr w:type="spellEnd"/>
      <w:r w:rsidRPr="00441F34">
        <w:rPr>
          <w:rFonts w:ascii="Times New Roman" w:hAnsi="Times New Roman"/>
          <w:color w:val="0070C0"/>
          <w:sz w:val="16"/>
          <w:szCs w:val="16"/>
        </w:rPr>
        <w:t xml:space="preserve"> - тогда замначальника ЭАО ЦАГИ - сформулировал так: «Литературных источников хватило лишь по линии внешнего черчения машины. Всю же конструкцию аппарата приходилось созда</w:t>
      </w:r>
      <w:r w:rsidRPr="00441F34">
        <w:rPr>
          <w:rFonts w:ascii="Times New Roman" w:hAnsi="Times New Roman"/>
          <w:color w:val="0070C0"/>
          <w:sz w:val="16"/>
          <w:szCs w:val="16"/>
        </w:rPr>
        <w:softHyphen/>
        <w:t>вать самим и в этом отношении она отличает</w:t>
      </w:r>
      <w:r w:rsidRPr="00441F34">
        <w:rPr>
          <w:rFonts w:ascii="Times New Roman" w:hAnsi="Times New Roman"/>
          <w:color w:val="0070C0"/>
          <w:sz w:val="16"/>
          <w:szCs w:val="16"/>
        </w:rPr>
        <w:softHyphen/>
        <w:t>ся от английского аппарата. Проектирование аппарата, помимо конструктивной разработ</w:t>
      </w:r>
      <w:r w:rsidRPr="00441F34">
        <w:rPr>
          <w:rFonts w:ascii="Times New Roman" w:hAnsi="Times New Roman"/>
          <w:color w:val="0070C0"/>
          <w:sz w:val="16"/>
          <w:szCs w:val="16"/>
        </w:rPr>
        <w:softHyphen/>
        <w:t>ки, сопровождалось весьма тщательным аэродинамическим расчетом и целым рядом аэродинамических экспериментов в аэроди</w:t>
      </w:r>
      <w:r w:rsidRPr="00441F34">
        <w:rPr>
          <w:rFonts w:ascii="Times New Roman" w:hAnsi="Times New Roman"/>
          <w:color w:val="0070C0"/>
          <w:sz w:val="16"/>
          <w:szCs w:val="16"/>
        </w:rPr>
        <w:softHyphen/>
        <w:t>намической трубе».</w:t>
      </w:r>
    </w:p>
    <w:p w14:paraId="35AD5586"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Поскольку сразу было очевидно, что точ</w:t>
      </w:r>
      <w:r w:rsidRPr="00441F34">
        <w:rPr>
          <w:rFonts w:ascii="Times New Roman" w:hAnsi="Times New Roman"/>
          <w:color w:val="0070C0"/>
          <w:sz w:val="16"/>
          <w:szCs w:val="16"/>
        </w:rPr>
        <w:softHyphen/>
        <w:t>ную копию С-19 построить не удастся, было принято решение предусмотреть возмож</w:t>
      </w:r>
      <w:r w:rsidRPr="00441F34">
        <w:rPr>
          <w:rFonts w:ascii="Times New Roman" w:hAnsi="Times New Roman"/>
          <w:color w:val="0070C0"/>
          <w:sz w:val="16"/>
          <w:szCs w:val="16"/>
        </w:rPr>
        <w:softHyphen/>
        <w:t>ность путем незначительного изменения кон</w:t>
      </w:r>
      <w:r w:rsidRPr="00441F34">
        <w:rPr>
          <w:rFonts w:ascii="Times New Roman" w:hAnsi="Times New Roman"/>
          <w:color w:val="0070C0"/>
          <w:sz w:val="16"/>
          <w:szCs w:val="16"/>
        </w:rPr>
        <w:softHyphen/>
        <w:t>струкции создать два варианта машины. На втором этапе испытаний специалисты ЦАГИ рассчитывали опробовать механическую раскрутку ротора от маршевого двигателя. С этой целью фюзеляж решили проектировать с отъемной хвостовой частью, что позволило бы установить нормальное хвостовое опере</w:t>
      </w:r>
      <w:r w:rsidRPr="00441F34">
        <w:rPr>
          <w:rFonts w:ascii="Times New Roman" w:hAnsi="Times New Roman"/>
          <w:color w:val="0070C0"/>
          <w:sz w:val="16"/>
          <w:szCs w:val="16"/>
        </w:rPr>
        <w:softHyphen/>
        <w:t>ние, более подходящее в таком случае.</w:t>
      </w:r>
    </w:p>
    <w:p w14:paraId="55B6BC90" w14:textId="77777777" w:rsidR="00E252B8" w:rsidRPr="00441F34" w:rsidRDefault="00E252B8" w:rsidP="00E252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учетом планировавшихся изменений и реальных характеристик отечественных ма</w:t>
      </w:r>
      <w:r w:rsidRPr="00441F34">
        <w:rPr>
          <w:rFonts w:ascii="Times New Roman" w:hAnsi="Times New Roman"/>
          <w:color w:val="0070C0"/>
          <w:sz w:val="16"/>
          <w:szCs w:val="16"/>
        </w:rPr>
        <w:softHyphen/>
        <w:t>териалов было решено установить более мощный двигатель, хотя в серийном про</w:t>
      </w:r>
      <w:r w:rsidRPr="00441F34">
        <w:rPr>
          <w:rFonts w:ascii="Times New Roman" w:hAnsi="Times New Roman"/>
          <w:color w:val="0070C0"/>
          <w:sz w:val="16"/>
          <w:szCs w:val="16"/>
        </w:rPr>
        <w:softHyphen/>
        <w:t>изводстве находился отечественный мотор М-11 вполне эквивалентный английскому  (23518).</w:t>
      </w:r>
    </w:p>
    <w:p w14:paraId="5E6CB3B5" w14:textId="77777777" w:rsidR="00E252B8" w:rsidRPr="00441F34" w:rsidRDefault="00E252B8" w:rsidP="00E252B8">
      <w:pPr>
        <w:spacing w:after="0" w:line="240" w:lineRule="auto"/>
        <w:jc w:val="both"/>
        <w:rPr>
          <w:rFonts w:ascii="Times New Roman" w:hAnsi="Times New Roman"/>
          <w:color w:val="0070C0"/>
          <w:sz w:val="16"/>
          <w:szCs w:val="16"/>
        </w:rPr>
      </w:pPr>
    </w:p>
    <w:p w14:paraId="209B41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23 завод КЛ получил заказ Ленгорисполкома (через Осоавиахим) спроектировать и построить легкий самолет-аэробус для связи города и Кронштадта в распутицу. Взялся </w:t>
      </w:r>
      <w:proofErr w:type="spellStart"/>
      <w:r w:rsidRPr="007122AB">
        <w:rPr>
          <w:rFonts w:ascii="Times New Roman" w:hAnsi="Times New Roman"/>
          <w:color w:val="000000" w:themeColor="text1"/>
          <w:sz w:val="16"/>
          <w:szCs w:val="16"/>
        </w:rPr>
        <w:t>А.Москалев</w:t>
      </w:r>
      <w:proofErr w:type="spellEnd"/>
      <w:r w:rsidRPr="007122AB">
        <w:rPr>
          <w:rFonts w:ascii="Times New Roman" w:hAnsi="Times New Roman"/>
          <w:color w:val="000000" w:themeColor="text1"/>
          <w:sz w:val="16"/>
          <w:szCs w:val="16"/>
        </w:rPr>
        <w:t xml:space="preserve">, который к тому времени уже спроектировал и построил МУ-3 на 23 заводе, проигравший конкурс Ш-2 В.Б.Ш. Решил делать на 10-12 чел. под 2хМ-11 как подкосный моноплан с высоко расположенным деревянным крылом. Проект был принят, сделали макет фюзеляжа, чертежи и запустили в производство. Не был закончен, т.к. </w:t>
      </w:r>
      <w:proofErr w:type="spellStart"/>
      <w:r w:rsidRPr="007122AB">
        <w:rPr>
          <w:rFonts w:ascii="Times New Roman" w:hAnsi="Times New Roman"/>
          <w:color w:val="000000" w:themeColor="text1"/>
          <w:sz w:val="16"/>
          <w:szCs w:val="16"/>
        </w:rPr>
        <w:t>А.Москалев</w:t>
      </w:r>
      <w:proofErr w:type="spellEnd"/>
      <w:r w:rsidRPr="007122AB">
        <w:rPr>
          <w:rFonts w:ascii="Times New Roman" w:hAnsi="Times New Roman"/>
          <w:color w:val="000000" w:themeColor="text1"/>
          <w:sz w:val="16"/>
          <w:szCs w:val="16"/>
        </w:rPr>
        <w:t xml:space="preserve"> заболел скоротечной чахоткой и уехал в Воронеж зам. нач. серийного КО (2889,19).</w:t>
      </w:r>
    </w:p>
    <w:p w14:paraId="7F25A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B57C30" w14:textId="77777777" w:rsidR="00F52FEE" w:rsidRPr="007122AB" w:rsidRDefault="00F52FEE" w:rsidP="007122AB">
      <w:pPr>
        <w:pStyle w:val="a3"/>
        <w:rPr>
          <w:color w:val="000000" w:themeColor="text1"/>
          <w:lang w:val="ru-RU"/>
        </w:rPr>
      </w:pPr>
      <w:r w:rsidRPr="007122AB">
        <w:rPr>
          <w:rStyle w:val="ArialNarrow17"/>
          <w:rFonts w:ascii="Times New Roman" w:hAnsi="Times New Roman" w:cs="Times New Roman"/>
          <w:b w:val="0"/>
          <w:color w:val="000000" w:themeColor="text1"/>
          <w:sz w:val="16"/>
          <w:szCs w:val="16"/>
          <w:lang w:val="ru-RU"/>
        </w:rPr>
        <w:t>В начале</w:t>
      </w:r>
      <w:r w:rsidRPr="007122AB">
        <w:rPr>
          <w:color w:val="000000" w:themeColor="text1"/>
          <w:lang w:val="ru-RU"/>
        </w:rPr>
        <w:t xml:space="preserve"> 1931 г. работавший в НИИ ВВС</w:t>
      </w:r>
      <w:r w:rsidRPr="007122AB">
        <w:rPr>
          <w:rStyle w:val="ArialNarrow17"/>
          <w:rFonts w:ascii="Times New Roman" w:hAnsi="Times New Roman" w:cs="Times New Roman"/>
          <w:b w:val="0"/>
          <w:color w:val="000000" w:themeColor="text1"/>
          <w:sz w:val="16"/>
          <w:szCs w:val="16"/>
          <w:lang w:val="ru-RU"/>
        </w:rPr>
        <w:t xml:space="preserve"> военный</w:t>
      </w:r>
      <w:r w:rsidRPr="007122AB">
        <w:rPr>
          <w:color w:val="000000" w:themeColor="text1"/>
          <w:lang w:val="ru-RU"/>
        </w:rPr>
        <w:t xml:space="preserve"> инженер </w:t>
      </w:r>
      <w:r w:rsidRPr="007122AB">
        <w:rPr>
          <w:color w:val="000000" w:themeColor="text1"/>
        </w:rPr>
        <w:t>B</w:t>
      </w:r>
      <w:r w:rsidRPr="007122AB">
        <w:rPr>
          <w:color w:val="000000" w:themeColor="text1"/>
          <w:lang w:val="ru-RU"/>
        </w:rPr>
        <w:t>.</w:t>
      </w:r>
      <w:r w:rsidRPr="007122AB">
        <w:rPr>
          <w:color w:val="000000" w:themeColor="text1"/>
        </w:rPr>
        <w:t>C</w:t>
      </w:r>
      <w:r w:rsidRPr="007122AB">
        <w:rPr>
          <w:color w:val="000000" w:themeColor="text1"/>
          <w:lang w:val="ru-RU"/>
        </w:rPr>
        <w:t>. Вахми</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стров,</w:t>
      </w:r>
      <w:r w:rsidRPr="007122AB">
        <w:rPr>
          <w:rStyle w:val="ArialNarrow17"/>
          <w:rFonts w:ascii="Times New Roman" w:hAnsi="Times New Roman" w:cs="Times New Roman"/>
          <w:b w:val="0"/>
          <w:color w:val="000000" w:themeColor="text1"/>
          <w:sz w:val="16"/>
          <w:szCs w:val="16"/>
          <w:lang w:val="ru-RU"/>
        </w:rPr>
        <w:t xml:space="preserve"> выпускник</w:t>
      </w:r>
      <w:r w:rsidRPr="007122AB">
        <w:rPr>
          <w:color w:val="000000" w:themeColor="text1"/>
          <w:lang w:val="ru-RU"/>
        </w:rPr>
        <w:t xml:space="preserve"> Военно-воздушной ака</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демии,</w:t>
      </w:r>
      <w:r w:rsidRPr="007122AB">
        <w:rPr>
          <w:rStyle w:val="ArialNarrow17"/>
          <w:rFonts w:ascii="Times New Roman" w:hAnsi="Times New Roman" w:cs="Times New Roman"/>
          <w:b w:val="0"/>
          <w:color w:val="000000" w:themeColor="text1"/>
          <w:sz w:val="16"/>
          <w:szCs w:val="16"/>
          <w:lang w:val="ru-RU"/>
        </w:rPr>
        <w:t xml:space="preserve"> предложил</w:t>
      </w:r>
      <w:r w:rsidRPr="007122AB">
        <w:rPr>
          <w:color w:val="000000" w:themeColor="text1"/>
          <w:lang w:val="ru-RU"/>
        </w:rPr>
        <w:t xml:space="preserve"> оригинальную идею - </w:t>
      </w:r>
      <w:r w:rsidRPr="007122AB">
        <w:rPr>
          <w:rStyle w:val="Tahoma"/>
          <w:rFonts w:ascii="Times New Roman" w:hAnsi="Times New Roman" w:cs="Times New Roman"/>
          <w:b w:val="0"/>
          <w:color w:val="000000" w:themeColor="text1"/>
          <w:spacing w:val="0"/>
          <w:sz w:val="16"/>
          <w:szCs w:val="16"/>
          <w:lang w:val="ru-RU"/>
        </w:rPr>
        <w:t>самолет</w:t>
      </w:r>
      <w:r w:rsidRPr="007122AB">
        <w:rPr>
          <w:color w:val="000000" w:themeColor="text1"/>
          <w:lang w:val="ru-RU"/>
        </w:rPr>
        <w:t>-авианосец. В то время уже счита</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лось</w:t>
      </w:r>
      <w:r w:rsidRPr="007122AB">
        <w:rPr>
          <w:rStyle w:val="ArialNarrow17"/>
          <w:rFonts w:ascii="Times New Roman" w:hAnsi="Times New Roman" w:cs="Times New Roman"/>
          <w:b w:val="0"/>
          <w:color w:val="000000" w:themeColor="text1"/>
          <w:sz w:val="16"/>
          <w:szCs w:val="16"/>
          <w:lang w:val="ru-RU"/>
        </w:rPr>
        <w:t xml:space="preserve"> реальным</w:t>
      </w:r>
      <w:r w:rsidRPr="007122AB">
        <w:rPr>
          <w:color w:val="000000" w:themeColor="text1"/>
          <w:lang w:val="ru-RU"/>
        </w:rPr>
        <w:t xml:space="preserve"> размещение летательных </w:t>
      </w:r>
      <w:r w:rsidRPr="007122AB">
        <w:rPr>
          <w:rStyle w:val="ArialNarrow17"/>
          <w:rFonts w:ascii="Times New Roman" w:hAnsi="Times New Roman" w:cs="Times New Roman"/>
          <w:b w:val="0"/>
          <w:color w:val="000000" w:themeColor="text1"/>
          <w:sz w:val="16"/>
          <w:szCs w:val="16"/>
          <w:lang w:val="ru-RU"/>
        </w:rPr>
        <w:t>аппаратов</w:t>
      </w:r>
      <w:r w:rsidRPr="007122AB">
        <w:rPr>
          <w:color w:val="000000" w:themeColor="text1"/>
          <w:lang w:val="ru-RU"/>
        </w:rPr>
        <w:t xml:space="preserve"> на дирижабле. Немцы экспе</w:t>
      </w:r>
      <w:r w:rsidRPr="007122AB">
        <w:rPr>
          <w:color w:val="000000" w:themeColor="text1"/>
          <w:lang w:val="ru-RU"/>
        </w:rPr>
        <w:softHyphen/>
        <w:t xml:space="preserve">риментировали как с планерами, так и с </w:t>
      </w:r>
      <w:r w:rsidRPr="007122AB">
        <w:rPr>
          <w:rStyle w:val="Tahoma"/>
          <w:rFonts w:ascii="Times New Roman" w:hAnsi="Times New Roman" w:cs="Times New Roman"/>
          <w:b w:val="0"/>
          <w:color w:val="000000" w:themeColor="text1"/>
          <w:spacing w:val="0"/>
          <w:sz w:val="16"/>
          <w:szCs w:val="16"/>
          <w:lang w:val="ru-RU"/>
        </w:rPr>
        <w:t>легкими</w:t>
      </w:r>
      <w:r w:rsidRPr="007122AB">
        <w:rPr>
          <w:color w:val="000000" w:themeColor="text1"/>
          <w:lang w:val="ru-RU"/>
        </w:rPr>
        <w:t xml:space="preserve"> самолетами, а в США близили</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сь к</w:t>
      </w:r>
      <w:r w:rsidRPr="007122AB">
        <w:rPr>
          <w:rStyle w:val="ArialNarrow17"/>
          <w:rFonts w:ascii="Times New Roman" w:hAnsi="Times New Roman" w:cs="Times New Roman"/>
          <w:b w:val="0"/>
          <w:color w:val="000000" w:themeColor="text1"/>
          <w:sz w:val="16"/>
          <w:szCs w:val="16"/>
          <w:lang w:val="ru-RU"/>
        </w:rPr>
        <w:t xml:space="preserve"> завершению</w:t>
      </w:r>
      <w:r w:rsidRPr="007122AB">
        <w:rPr>
          <w:color w:val="000000" w:themeColor="text1"/>
          <w:lang w:val="ru-RU"/>
        </w:rPr>
        <w:t xml:space="preserve"> огромные дирижабли </w:t>
      </w:r>
      <w:r w:rsidRPr="007122AB">
        <w:rPr>
          <w:rStyle w:val="Tahoma"/>
          <w:rFonts w:ascii="Times New Roman" w:hAnsi="Times New Roman" w:cs="Times New Roman"/>
          <w:b w:val="0"/>
          <w:color w:val="000000" w:themeColor="text1"/>
          <w:spacing w:val="0"/>
          <w:sz w:val="16"/>
          <w:szCs w:val="16"/>
          <w:lang w:val="ru-RU"/>
        </w:rPr>
        <w:t>«Акрон»</w:t>
      </w:r>
      <w:r w:rsidRPr="007122AB">
        <w:rPr>
          <w:color w:val="000000" w:themeColor="text1"/>
          <w:lang w:val="ru-RU"/>
        </w:rPr>
        <w:t xml:space="preserve"> и «</w:t>
      </w:r>
      <w:proofErr w:type="spellStart"/>
      <w:r w:rsidRPr="007122AB">
        <w:rPr>
          <w:color w:val="000000" w:themeColor="text1"/>
          <w:lang w:val="ru-RU"/>
        </w:rPr>
        <w:t>Мекон</w:t>
      </w:r>
      <w:proofErr w:type="spellEnd"/>
      <w:r w:rsidRPr="007122AB">
        <w:rPr>
          <w:color w:val="000000" w:themeColor="text1"/>
          <w:lang w:val="ru-RU"/>
        </w:rPr>
        <w:t xml:space="preserve">», каждый из которых </w:t>
      </w:r>
      <w:r w:rsidRPr="007122AB">
        <w:rPr>
          <w:rStyle w:val="Tahoma"/>
          <w:rFonts w:ascii="Times New Roman" w:hAnsi="Times New Roman" w:cs="Times New Roman"/>
          <w:b w:val="0"/>
          <w:color w:val="000000" w:themeColor="text1"/>
          <w:spacing w:val="0"/>
          <w:sz w:val="16"/>
          <w:szCs w:val="16"/>
          <w:lang w:val="ru-RU"/>
        </w:rPr>
        <w:t>нес по пять</w:t>
      </w:r>
      <w:r w:rsidRPr="007122AB">
        <w:rPr>
          <w:color w:val="000000" w:themeColor="text1"/>
          <w:lang w:val="ru-RU"/>
        </w:rPr>
        <w:t xml:space="preserve"> истребителей. При этом аме</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риканцы</w:t>
      </w:r>
      <w:r w:rsidRPr="007122AB">
        <w:rPr>
          <w:color w:val="000000" w:themeColor="text1"/>
          <w:lang w:val="ru-RU"/>
        </w:rPr>
        <w:t xml:space="preserve"> могли как запустить самолеты с </w:t>
      </w:r>
      <w:r w:rsidRPr="007122AB">
        <w:rPr>
          <w:rStyle w:val="Tahoma"/>
          <w:rFonts w:ascii="Times New Roman" w:hAnsi="Times New Roman" w:cs="Times New Roman"/>
          <w:b w:val="0"/>
          <w:color w:val="000000" w:themeColor="text1"/>
          <w:spacing w:val="0"/>
          <w:sz w:val="16"/>
          <w:szCs w:val="16"/>
          <w:lang w:val="ru-RU"/>
        </w:rPr>
        <w:t>носителя,</w:t>
      </w:r>
      <w:r w:rsidRPr="007122AB">
        <w:rPr>
          <w:rStyle w:val="ArialNarrow17"/>
          <w:rFonts w:ascii="Times New Roman" w:hAnsi="Times New Roman" w:cs="Times New Roman"/>
          <w:b w:val="0"/>
          <w:color w:val="000000" w:themeColor="text1"/>
          <w:sz w:val="16"/>
          <w:szCs w:val="16"/>
          <w:lang w:val="ru-RU"/>
        </w:rPr>
        <w:t xml:space="preserve"> так и</w:t>
      </w:r>
      <w:r w:rsidRPr="007122AB">
        <w:rPr>
          <w:color w:val="000000" w:themeColor="text1"/>
          <w:lang w:val="ru-RU"/>
        </w:rPr>
        <w:t xml:space="preserve"> принять их обратно.</w:t>
      </w:r>
    </w:p>
    <w:p w14:paraId="676A39E4" w14:textId="77777777" w:rsidR="00F52FEE" w:rsidRPr="007122AB" w:rsidRDefault="00F52FEE" w:rsidP="007122AB">
      <w:pPr>
        <w:pStyle w:val="a3"/>
        <w:rPr>
          <w:color w:val="000000" w:themeColor="text1"/>
          <w:lang w:val="ru-RU"/>
        </w:rPr>
      </w:pPr>
      <w:r w:rsidRPr="007122AB">
        <w:rPr>
          <w:rStyle w:val="ArialNarrow17"/>
          <w:rFonts w:ascii="Times New Roman" w:hAnsi="Times New Roman" w:cs="Times New Roman"/>
          <w:b w:val="0"/>
          <w:color w:val="000000" w:themeColor="text1"/>
          <w:sz w:val="16"/>
          <w:szCs w:val="16"/>
          <w:lang w:val="ru-RU"/>
        </w:rPr>
        <w:t>Самолет мог</w:t>
      </w:r>
      <w:r w:rsidRPr="007122AB">
        <w:rPr>
          <w:color w:val="000000" w:themeColor="text1"/>
          <w:lang w:val="ru-RU"/>
        </w:rPr>
        <w:t xml:space="preserve"> лететь</w:t>
      </w:r>
      <w:r w:rsidRPr="007122AB">
        <w:rPr>
          <w:color w:val="000000" w:themeColor="text1"/>
          <w:vertAlign w:val="subscript"/>
          <w:lang w:val="ru-RU"/>
        </w:rPr>
        <w:t>4</w:t>
      </w:r>
      <w:r w:rsidRPr="007122AB">
        <w:rPr>
          <w:color w:val="000000" w:themeColor="text1"/>
          <w:lang w:val="ru-RU"/>
        </w:rPr>
        <w:t>быстрее, чем ди</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рижабль,</w:t>
      </w:r>
      <w:r w:rsidRPr="007122AB">
        <w:rPr>
          <w:color w:val="000000" w:themeColor="text1"/>
          <w:lang w:val="ru-RU"/>
        </w:rPr>
        <w:t xml:space="preserve"> занимал намного меньше места </w:t>
      </w:r>
      <w:r w:rsidRPr="007122AB">
        <w:rPr>
          <w:rStyle w:val="Tahoma"/>
          <w:rFonts w:ascii="Times New Roman" w:hAnsi="Times New Roman" w:cs="Times New Roman"/>
          <w:b w:val="0"/>
          <w:color w:val="000000" w:themeColor="text1"/>
          <w:spacing w:val="0"/>
          <w:sz w:val="16"/>
          <w:szCs w:val="16"/>
          <w:lang w:val="ru-RU"/>
        </w:rPr>
        <w:t>и</w:t>
      </w:r>
      <w:r w:rsidRPr="007122AB">
        <w:rPr>
          <w:rStyle w:val="ArialNarrow17"/>
          <w:rFonts w:ascii="Times New Roman" w:hAnsi="Times New Roman" w:cs="Times New Roman"/>
          <w:b w:val="0"/>
          <w:color w:val="000000" w:themeColor="text1"/>
          <w:sz w:val="16"/>
          <w:szCs w:val="16"/>
          <w:lang w:val="ru-RU"/>
        </w:rPr>
        <w:t xml:space="preserve"> не</w:t>
      </w:r>
      <w:r w:rsidRPr="007122AB">
        <w:rPr>
          <w:color w:val="000000" w:themeColor="text1"/>
          <w:lang w:val="ru-RU"/>
        </w:rPr>
        <w:t xml:space="preserve"> представлял из себя столь неуклю</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жую</w:t>
      </w:r>
      <w:r w:rsidRPr="007122AB">
        <w:rPr>
          <w:rStyle w:val="ArialNarrow17"/>
          <w:rFonts w:ascii="Times New Roman" w:hAnsi="Times New Roman" w:cs="Times New Roman"/>
          <w:b w:val="0"/>
          <w:color w:val="000000" w:themeColor="text1"/>
          <w:sz w:val="16"/>
          <w:szCs w:val="16"/>
          <w:lang w:val="ru-RU"/>
        </w:rPr>
        <w:t xml:space="preserve"> мишень.</w:t>
      </w:r>
      <w:r w:rsidRPr="007122AB">
        <w:rPr>
          <w:color w:val="000000" w:themeColor="text1"/>
          <w:lang w:val="ru-RU"/>
        </w:rPr>
        <w:t xml:space="preserve"> При использовании в воен</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ных целях</w:t>
      </w:r>
      <w:r w:rsidRPr="007122AB">
        <w:rPr>
          <w:color w:val="000000" w:themeColor="text1"/>
          <w:lang w:val="ru-RU"/>
        </w:rPr>
        <w:t xml:space="preserve"> это казалось существенными </w:t>
      </w:r>
      <w:proofErr w:type="spellStart"/>
      <w:r w:rsidRPr="007122AB">
        <w:rPr>
          <w:rStyle w:val="ArialNarrow17"/>
          <w:rFonts w:ascii="Times New Roman" w:hAnsi="Times New Roman" w:cs="Times New Roman"/>
          <w:b w:val="0"/>
          <w:color w:val="000000" w:themeColor="text1"/>
          <w:sz w:val="16"/>
          <w:szCs w:val="16"/>
          <w:lang w:val="ru-RU"/>
        </w:rPr>
        <w:t>ппосами</w:t>
      </w:r>
      <w:proofErr w:type="spellEnd"/>
      <w:r w:rsidRPr="007122AB">
        <w:rPr>
          <w:rStyle w:val="ArialNarrow17"/>
          <w:rFonts w:ascii="Times New Roman" w:hAnsi="Times New Roman" w:cs="Times New Roman"/>
          <w:b w:val="0"/>
          <w:color w:val="000000" w:themeColor="text1"/>
          <w:sz w:val="16"/>
          <w:szCs w:val="16"/>
          <w:lang w:val="ru-RU"/>
        </w:rPr>
        <w:t>.</w:t>
      </w:r>
    </w:p>
    <w:p w14:paraId="713BD4B7" w14:textId="77777777" w:rsidR="00F52FEE" w:rsidRPr="007122AB" w:rsidRDefault="00F52FEE" w:rsidP="007122AB">
      <w:pPr>
        <w:pStyle w:val="a3"/>
        <w:rPr>
          <w:color w:val="000000" w:themeColor="text1"/>
          <w:lang w:val="ru-RU"/>
        </w:rPr>
      </w:pPr>
      <w:r w:rsidRPr="007122AB">
        <w:rPr>
          <w:rStyle w:val="ArialNarrow17"/>
          <w:rFonts w:ascii="Times New Roman" w:hAnsi="Times New Roman" w:cs="Times New Roman"/>
          <w:b w:val="0"/>
          <w:color w:val="000000" w:themeColor="text1"/>
          <w:sz w:val="16"/>
          <w:szCs w:val="16"/>
          <w:lang w:val="ru-RU"/>
        </w:rPr>
        <w:t>Но</w:t>
      </w:r>
      <w:r w:rsidRPr="007122AB">
        <w:rPr>
          <w:color w:val="000000" w:themeColor="text1"/>
          <w:lang w:val="ru-RU"/>
        </w:rPr>
        <w:t xml:space="preserve"> грузоподъемность дирижаблей </w:t>
      </w:r>
      <w:r w:rsidRPr="007122AB">
        <w:rPr>
          <w:rStyle w:val="Tahoma"/>
          <w:rFonts w:ascii="Times New Roman" w:hAnsi="Times New Roman" w:cs="Times New Roman"/>
          <w:b w:val="0"/>
          <w:color w:val="000000" w:themeColor="text1"/>
          <w:spacing w:val="0"/>
          <w:sz w:val="16"/>
          <w:szCs w:val="16"/>
          <w:lang w:val="ru-RU"/>
        </w:rPr>
        <w:t>и</w:t>
      </w:r>
      <w:r w:rsidRPr="007122AB">
        <w:rPr>
          <w:rStyle w:val="ArialNarrow17"/>
          <w:rFonts w:ascii="Times New Roman" w:hAnsi="Times New Roman" w:cs="Times New Roman"/>
          <w:b w:val="0"/>
          <w:color w:val="000000" w:themeColor="text1"/>
          <w:sz w:val="16"/>
          <w:szCs w:val="16"/>
          <w:lang w:val="ru-RU"/>
        </w:rPr>
        <w:t xml:space="preserve"> самолетов</w:t>
      </w:r>
      <w:r w:rsidRPr="007122AB">
        <w:rPr>
          <w:color w:val="000000" w:themeColor="text1"/>
          <w:lang w:val="ru-RU"/>
        </w:rPr>
        <w:t xml:space="preserve"> в то время была несоизме</w:t>
      </w:r>
      <w:r w:rsidRPr="007122AB">
        <w:rPr>
          <w:color w:val="000000" w:themeColor="text1"/>
          <w:lang w:val="ru-RU"/>
        </w:rPr>
        <w:softHyphen/>
      </w:r>
      <w:r w:rsidRPr="007122AB">
        <w:rPr>
          <w:rStyle w:val="Tahoma"/>
          <w:rFonts w:ascii="Times New Roman" w:hAnsi="Times New Roman" w:cs="Times New Roman"/>
          <w:b w:val="0"/>
          <w:color w:val="000000" w:themeColor="text1"/>
          <w:spacing w:val="0"/>
          <w:sz w:val="16"/>
          <w:szCs w:val="16"/>
          <w:lang w:val="ru-RU"/>
        </w:rPr>
        <w:t>рима.</w:t>
      </w:r>
      <w:r w:rsidRPr="007122AB">
        <w:rPr>
          <w:color w:val="000000" w:themeColor="text1"/>
          <w:lang w:val="ru-RU"/>
        </w:rPr>
        <w:t xml:space="preserve"> Соответственно, и предложение </w:t>
      </w:r>
      <w:r w:rsidRPr="007122AB">
        <w:rPr>
          <w:rStyle w:val="ArialNarrow17"/>
          <w:rFonts w:ascii="Times New Roman" w:hAnsi="Times New Roman" w:cs="Times New Roman"/>
          <w:b w:val="0"/>
          <w:color w:val="000000" w:themeColor="text1"/>
          <w:sz w:val="16"/>
          <w:szCs w:val="16"/>
          <w:lang w:val="ru-RU"/>
        </w:rPr>
        <w:t>Вахмистрова</w:t>
      </w:r>
      <w:r w:rsidRPr="007122AB">
        <w:rPr>
          <w:color w:val="000000" w:themeColor="text1"/>
          <w:lang w:val="ru-RU"/>
        </w:rPr>
        <w:t xml:space="preserve"> выглядело куда скромнее. </w:t>
      </w:r>
      <w:r w:rsidRPr="007122AB">
        <w:rPr>
          <w:rStyle w:val="ArialNarrow17"/>
          <w:rFonts w:ascii="Times New Roman" w:hAnsi="Times New Roman" w:cs="Times New Roman"/>
          <w:b w:val="0"/>
          <w:color w:val="000000" w:themeColor="text1"/>
          <w:sz w:val="16"/>
          <w:szCs w:val="16"/>
          <w:lang w:val="ru-RU"/>
        </w:rPr>
        <w:t>В качестве</w:t>
      </w:r>
      <w:r w:rsidRPr="007122AB">
        <w:rPr>
          <w:color w:val="000000" w:themeColor="text1"/>
          <w:lang w:val="ru-RU"/>
        </w:rPr>
        <w:t xml:space="preserve"> носителя он взял двухмотор</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ный</w:t>
      </w:r>
      <w:r w:rsidRPr="007122AB">
        <w:rPr>
          <w:color w:val="000000" w:themeColor="text1"/>
          <w:lang w:val="ru-RU"/>
        </w:rPr>
        <w:t xml:space="preserve"> бомбардировщик ТБ-1. Впрочем, и </w:t>
      </w:r>
      <w:r w:rsidRPr="007122AB">
        <w:rPr>
          <w:rStyle w:val="ArialNarrow17"/>
          <w:rFonts w:ascii="Times New Roman" w:hAnsi="Times New Roman" w:cs="Times New Roman"/>
          <w:b w:val="0"/>
          <w:color w:val="000000" w:themeColor="text1"/>
          <w:sz w:val="16"/>
          <w:szCs w:val="16"/>
          <w:lang w:val="ru-RU"/>
        </w:rPr>
        <w:t>выбора</w:t>
      </w:r>
      <w:r w:rsidRPr="007122AB">
        <w:rPr>
          <w:color w:val="000000" w:themeColor="text1"/>
          <w:lang w:val="ru-RU"/>
        </w:rPr>
        <w:t xml:space="preserve"> у конструктора никакого не было. </w:t>
      </w:r>
      <w:r w:rsidRPr="007122AB">
        <w:rPr>
          <w:rStyle w:val="ArialNarrow17"/>
          <w:rFonts w:ascii="Times New Roman" w:hAnsi="Times New Roman" w:cs="Times New Roman"/>
          <w:b w:val="0"/>
          <w:color w:val="000000" w:themeColor="text1"/>
          <w:sz w:val="16"/>
          <w:szCs w:val="16"/>
          <w:lang w:val="ru-RU"/>
        </w:rPr>
        <w:t>ТБ-1</w:t>
      </w:r>
      <w:r w:rsidRPr="007122AB">
        <w:rPr>
          <w:color w:val="000000" w:themeColor="text1"/>
          <w:lang w:val="ru-RU"/>
        </w:rPr>
        <w:t xml:space="preserve"> тогда являлся единственной маши</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ной со</w:t>
      </w:r>
      <w:r w:rsidRPr="007122AB">
        <w:rPr>
          <w:color w:val="000000" w:themeColor="text1"/>
          <w:lang w:val="ru-RU"/>
        </w:rPr>
        <w:t xml:space="preserve"> сколь-нибудь приемлемой грузо</w:t>
      </w:r>
      <w:r w:rsidRPr="007122AB">
        <w:rPr>
          <w:color w:val="000000" w:themeColor="text1"/>
          <w:lang w:val="ru-RU"/>
        </w:rPr>
        <w:softHyphen/>
        <w:t>подъемностью (четырехмоторный ТБ-3 существовал в единственном экземпля</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ре, только</w:t>
      </w:r>
      <w:r w:rsidRPr="007122AB">
        <w:rPr>
          <w:color w:val="000000" w:themeColor="text1"/>
          <w:lang w:val="ru-RU"/>
        </w:rPr>
        <w:t xml:space="preserve"> проходившем испытания). При предельном облегчении ТБ-1 мог под</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нять в</w:t>
      </w:r>
      <w:r w:rsidRPr="007122AB">
        <w:rPr>
          <w:color w:val="000000" w:themeColor="text1"/>
          <w:lang w:val="ru-RU"/>
        </w:rPr>
        <w:t xml:space="preserve"> воздух два истребителя И-4. Эти маленькие полуторапланы, видимо, вы</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брали</w:t>
      </w:r>
      <w:r w:rsidRPr="007122AB">
        <w:rPr>
          <w:color w:val="000000" w:themeColor="text1"/>
          <w:lang w:val="ru-RU"/>
        </w:rPr>
        <w:t xml:space="preserve"> за выдающуюся прочность - тогда </w:t>
      </w:r>
      <w:r w:rsidRPr="007122AB">
        <w:rPr>
          <w:rStyle w:val="ArialNarrow17"/>
          <w:rFonts w:ascii="Times New Roman" w:hAnsi="Times New Roman" w:cs="Times New Roman"/>
          <w:b w:val="0"/>
          <w:color w:val="000000" w:themeColor="text1"/>
          <w:sz w:val="16"/>
          <w:szCs w:val="16"/>
          <w:lang w:val="ru-RU"/>
        </w:rPr>
        <w:t>это</w:t>
      </w:r>
      <w:r w:rsidRPr="007122AB">
        <w:rPr>
          <w:color w:val="000000" w:themeColor="text1"/>
          <w:lang w:val="ru-RU"/>
        </w:rPr>
        <w:t xml:space="preserve"> были единственные отечественные цельнометаллические истребители. Лет</w:t>
      </w:r>
      <w:r w:rsidRPr="007122AB">
        <w:rPr>
          <w:color w:val="000000" w:themeColor="text1"/>
          <w:lang w:val="ru-RU"/>
        </w:rPr>
        <w:softHyphen/>
      </w:r>
      <w:r w:rsidRPr="007122AB">
        <w:rPr>
          <w:rStyle w:val="ArialNarrow17"/>
          <w:rFonts w:ascii="Times New Roman" w:hAnsi="Times New Roman" w:cs="Times New Roman"/>
          <w:b w:val="0"/>
          <w:color w:val="000000" w:themeColor="text1"/>
          <w:sz w:val="16"/>
          <w:szCs w:val="16"/>
          <w:lang w:val="ru-RU"/>
        </w:rPr>
        <w:t>ные</w:t>
      </w:r>
      <w:r w:rsidRPr="007122AB">
        <w:rPr>
          <w:color w:val="000000" w:themeColor="text1"/>
          <w:lang w:val="ru-RU"/>
        </w:rPr>
        <w:t xml:space="preserve"> же данные их выглядели довольно посредственными.</w:t>
      </w:r>
    </w:p>
    <w:p w14:paraId="1F5C581C" w14:textId="77777777" w:rsidR="00F52FEE" w:rsidRPr="007122AB" w:rsidRDefault="00F52FEE" w:rsidP="007122AB">
      <w:pPr>
        <w:pStyle w:val="a3"/>
        <w:rPr>
          <w:color w:val="000000" w:themeColor="text1"/>
          <w:lang w:val="ru-RU"/>
        </w:rPr>
      </w:pPr>
      <w:r w:rsidRPr="007122AB">
        <w:rPr>
          <w:color w:val="000000" w:themeColor="text1"/>
          <w:lang w:val="ru-RU"/>
        </w:rPr>
        <w:t>И-4 с «летающего авианосца» пред</w:t>
      </w:r>
      <w:r w:rsidRPr="007122AB">
        <w:rPr>
          <w:color w:val="000000" w:themeColor="text1"/>
          <w:lang w:val="ru-RU"/>
        </w:rPr>
        <w:softHyphen/>
        <w:t>полагалось использовать за пределами радиуса действия истребителей, стартую</w:t>
      </w:r>
      <w:r w:rsidRPr="007122AB">
        <w:rPr>
          <w:color w:val="000000" w:themeColor="text1"/>
          <w:lang w:val="ru-RU"/>
        </w:rPr>
        <w:softHyphen/>
        <w:t>щих с земли, - над открытым морем или в глубоком тылу противника. Дальность полета двухмоторного бомбардировщика больше, чем у маленького одномоторно</w:t>
      </w:r>
      <w:r w:rsidRPr="007122AB">
        <w:rPr>
          <w:color w:val="000000" w:themeColor="text1"/>
          <w:lang w:val="ru-RU"/>
        </w:rPr>
        <w:softHyphen/>
        <w:t>го истребителя. При полетах на полный радиус ТБ-1 с определенного момента лишался истребительного прикрытия.</w:t>
      </w:r>
    </w:p>
    <w:p w14:paraId="34ACE5BE" w14:textId="77777777" w:rsidR="00F52FEE" w:rsidRPr="007122AB" w:rsidRDefault="00F52FEE" w:rsidP="007122AB">
      <w:pPr>
        <w:pStyle w:val="a3"/>
        <w:rPr>
          <w:color w:val="000000" w:themeColor="text1"/>
          <w:lang w:val="ru-RU"/>
        </w:rPr>
      </w:pPr>
      <w:r w:rsidRPr="007122AB">
        <w:rPr>
          <w:color w:val="000000" w:themeColor="text1"/>
          <w:lang w:val="ru-RU"/>
        </w:rPr>
        <w:t>Эскорт вынужден был оставить бомбар</w:t>
      </w:r>
      <w:r w:rsidRPr="007122AB">
        <w:rPr>
          <w:color w:val="000000" w:themeColor="text1"/>
          <w:lang w:val="ru-RU"/>
        </w:rPr>
        <w:softHyphen/>
        <w:t>дировщики и лечь на обратный курс. Вот тогда и вступали в действие летающие авианосцы, идущие в составе группы. Стартовавшие с них самолеты обеспечи</w:t>
      </w:r>
      <w:r w:rsidRPr="007122AB">
        <w:rPr>
          <w:color w:val="000000" w:themeColor="text1"/>
          <w:lang w:val="ru-RU"/>
        </w:rPr>
        <w:softHyphen/>
        <w:t>вали сопровождение бомбардировщи</w:t>
      </w:r>
      <w:r w:rsidRPr="007122AB">
        <w:rPr>
          <w:color w:val="000000" w:themeColor="text1"/>
          <w:lang w:val="ru-RU"/>
        </w:rPr>
        <w:softHyphen/>
        <w:t>ков вплоть до самой цели и на обратном пути, при необходимости вступая в воз</w:t>
      </w:r>
      <w:r w:rsidRPr="007122AB">
        <w:rPr>
          <w:color w:val="000000" w:themeColor="text1"/>
          <w:lang w:val="ru-RU"/>
        </w:rPr>
        <w:softHyphen/>
        <w:t>душный бой с истребителями противника. По прикидкам конструктора, радиус дей</w:t>
      </w:r>
      <w:r w:rsidRPr="007122AB">
        <w:rPr>
          <w:color w:val="000000" w:themeColor="text1"/>
          <w:lang w:val="ru-RU"/>
        </w:rPr>
        <w:softHyphen/>
        <w:t>ствия И-4, запускаемых с самолета-носи</w:t>
      </w:r>
      <w:r w:rsidRPr="007122AB">
        <w:rPr>
          <w:color w:val="000000" w:themeColor="text1"/>
          <w:lang w:val="ru-RU"/>
        </w:rPr>
        <w:softHyphen/>
        <w:t>теля, увеличивался вдвое.</w:t>
      </w:r>
    </w:p>
    <w:p w14:paraId="67F66D02" w14:textId="77777777" w:rsidR="00F52FEE" w:rsidRPr="007122AB" w:rsidRDefault="00F52FEE" w:rsidP="007122AB">
      <w:pPr>
        <w:pStyle w:val="a3"/>
        <w:rPr>
          <w:color w:val="000000" w:themeColor="text1"/>
          <w:lang w:val="ru-RU"/>
        </w:rPr>
      </w:pPr>
      <w:r w:rsidRPr="007122AB">
        <w:rPr>
          <w:color w:val="000000" w:themeColor="text1"/>
          <w:lang w:val="ru-RU"/>
        </w:rPr>
        <w:t>В частности, просчитывался налет на Варшаву с приграничных аэродро</w:t>
      </w:r>
      <w:r w:rsidRPr="007122AB">
        <w:rPr>
          <w:color w:val="000000" w:themeColor="text1"/>
          <w:lang w:val="ru-RU"/>
        </w:rPr>
        <w:softHyphen/>
        <w:t>мов. Взлет должен был проходить ночью, с восходом солнца истребители отцепля</w:t>
      </w:r>
      <w:r w:rsidRPr="007122AB">
        <w:rPr>
          <w:color w:val="000000" w:themeColor="text1"/>
          <w:lang w:val="ru-RU"/>
        </w:rPr>
        <w:softHyphen/>
        <w:t>лись и занимали места вокруг соедине</w:t>
      </w:r>
      <w:r w:rsidRPr="007122AB">
        <w:rPr>
          <w:color w:val="000000" w:themeColor="text1"/>
          <w:lang w:val="ru-RU"/>
        </w:rPr>
        <w:softHyphen/>
        <w:t>ния бомбардировщиков.</w:t>
      </w:r>
    </w:p>
    <w:p w14:paraId="73C0CE66" w14:textId="77777777" w:rsidR="00F52FEE" w:rsidRPr="007122AB" w:rsidRDefault="00F52FEE" w:rsidP="007122AB">
      <w:pPr>
        <w:pStyle w:val="a3"/>
        <w:rPr>
          <w:color w:val="000000" w:themeColor="text1"/>
          <w:lang w:val="ru-RU"/>
        </w:rPr>
      </w:pPr>
      <w:r w:rsidRPr="007122AB">
        <w:rPr>
          <w:color w:val="000000" w:themeColor="text1"/>
          <w:lang w:val="ru-RU"/>
        </w:rPr>
        <w:t>Охранением функции этих машин не ограничивались. Вахмистров предлагал использовать их также для подавления зенитных батарей, постановки ослепля</w:t>
      </w:r>
      <w:r w:rsidRPr="007122AB">
        <w:rPr>
          <w:color w:val="000000" w:themeColor="text1"/>
          <w:lang w:val="ru-RU"/>
        </w:rPr>
        <w:softHyphen/>
        <w:t>ющих дымовых завес. Уйдя вперед от охраняемого для определения положения самолетов на больших расстояниях (радиолокато</w:t>
      </w:r>
      <w:r w:rsidRPr="007122AB">
        <w:rPr>
          <w:color w:val="000000" w:themeColor="text1"/>
          <w:lang w:val="ru-RU"/>
        </w:rPr>
        <w:softHyphen/>
        <w:t>ров еще не существовало).</w:t>
      </w:r>
    </w:p>
    <w:p w14:paraId="46BB15BE" w14:textId="77777777" w:rsidR="00F52FEE" w:rsidRPr="007122AB" w:rsidRDefault="00F52FEE" w:rsidP="007122AB">
      <w:pPr>
        <w:pStyle w:val="610"/>
        <w:framePr w:h="271" w:wrap="around" w:vAnchor="text" w:hAnchor="margin" w:x="3730" w:y="1691"/>
        <w:shd w:val="clear" w:color="auto" w:fill="auto"/>
        <w:spacing w:line="240" w:lineRule="auto"/>
        <w:jc w:val="both"/>
        <w:rPr>
          <w:rFonts w:ascii="Times New Roman" w:hAnsi="Times New Roman" w:cs="Times New Roman"/>
          <w:color w:val="000000" w:themeColor="text1"/>
          <w:sz w:val="16"/>
          <w:szCs w:val="16"/>
        </w:rPr>
      </w:pPr>
      <w:proofErr w:type="spellStart"/>
      <w:r w:rsidRPr="007122AB">
        <w:rPr>
          <w:rFonts w:ascii="Times New Roman" w:hAnsi="Times New Roman" w:cs="Times New Roman"/>
          <w:color w:val="000000" w:themeColor="text1"/>
          <w:sz w:val="16"/>
          <w:szCs w:val="16"/>
        </w:rPr>
        <w:t>ft</w:t>
      </w:r>
      <w:proofErr w:type="spellEnd"/>
    </w:p>
    <w:p w14:paraId="123DE913" w14:textId="77777777" w:rsidR="00F52FEE" w:rsidRPr="007122AB" w:rsidRDefault="00F52FEE" w:rsidP="007122AB">
      <w:pPr>
        <w:pStyle w:val="a3"/>
        <w:rPr>
          <w:color w:val="000000" w:themeColor="text1"/>
          <w:lang w:val="ru-RU"/>
        </w:rPr>
      </w:pPr>
      <w:r w:rsidRPr="007122AB">
        <w:rPr>
          <w:color w:val="000000" w:themeColor="text1"/>
          <w:lang w:val="ru-RU"/>
        </w:rPr>
        <w:t>Летающие авианосцы могли бы по</w:t>
      </w:r>
      <w:r w:rsidRPr="007122AB">
        <w:rPr>
          <w:color w:val="000000" w:themeColor="text1"/>
          <w:lang w:val="ru-RU"/>
        </w:rPr>
        <w:softHyphen/>
        <w:t>мочь в отражении массированных нале</w:t>
      </w:r>
      <w:r w:rsidRPr="007122AB">
        <w:rPr>
          <w:color w:val="000000" w:themeColor="text1"/>
          <w:lang w:val="ru-RU"/>
        </w:rPr>
        <w:softHyphen/>
        <w:t>тов вражеской авиации, встречая группы бомбардировщиков вдали от охраняе</w:t>
      </w:r>
      <w:r w:rsidRPr="007122AB">
        <w:rPr>
          <w:color w:val="000000" w:themeColor="text1"/>
          <w:lang w:val="ru-RU"/>
        </w:rPr>
        <w:softHyphen/>
        <w:t>мого объекта. В перспективе предпо</w:t>
      </w:r>
      <w:r w:rsidRPr="007122AB">
        <w:rPr>
          <w:color w:val="000000" w:themeColor="text1"/>
          <w:lang w:val="ru-RU"/>
        </w:rPr>
        <w:softHyphen/>
        <w:t>лагалось несение телемеханических (радиоуправляемых) машин, груженых взрывчаткой и применяемых как мощные управляемые крылатые бомбы. Ими соби</w:t>
      </w:r>
      <w:r w:rsidRPr="007122AB">
        <w:rPr>
          <w:color w:val="000000" w:themeColor="text1"/>
          <w:lang w:val="ru-RU"/>
        </w:rPr>
        <w:softHyphen/>
        <w:t>рались поражать крупные промышленные объекты и большие боевые корабли - крейсера и линкоры. Оператор управле</w:t>
      </w:r>
      <w:r w:rsidRPr="007122AB">
        <w:rPr>
          <w:color w:val="000000" w:themeColor="text1"/>
          <w:lang w:val="ru-RU"/>
        </w:rPr>
        <w:softHyphen/>
        <w:t>ния при этом размещался на самолете- носителе. За счет демонтажа кресла, при</w:t>
      </w:r>
      <w:r w:rsidRPr="007122AB">
        <w:rPr>
          <w:color w:val="000000" w:themeColor="text1"/>
          <w:lang w:val="ru-RU"/>
        </w:rPr>
        <w:softHyphen/>
        <w:t>борной доски, стрелкового вооружения вес боевой части Вахмистров собирался довести до 625 кг (значительно больше, чем у бомб и торпед того времени). Та</w:t>
      </w:r>
      <w:r w:rsidRPr="007122AB">
        <w:rPr>
          <w:color w:val="000000" w:themeColor="text1"/>
          <w:lang w:val="ru-RU"/>
        </w:rPr>
        <w:softHyphen/>
        <w:t>кую цифру получали еще за счет мини</w:t>
      </w:r>
      <w:r w:rsidRPr="007122AB">
        <w:rPr>
          <w:color w:val="000000" w:themeColor="text1"/>
          <w:lang w:val="ru-RU"/>
        </w:rPr>
        <w:softHyphen/>
        <w:t>мального запаса горючего - ведь дале</w:t>
      </w:r>
      <w:r w:rsidRPr="007122AB">
        <w:rPr>
          <w:color w:val="000000" w:themeColor="text1"/>
          <w:lang w:val="ru-RU"/>
        </w:rPr>
        <w:softHyphen/>
        <w:t>ко лететь крылатой бомбе не придется, всего несколько километров, она должна оставаться в пределах видимости для оператора. Подобными аппаратами наме</w:t>
      </w:r>
      <w:r w:rsidRPr="007122AB">
        <w:rPr>
          <w:color w:val="000000" w:themeColor="text1"/>
          <w:lang w:val="ru-RU"/>
        </w:rPr>
        <w:softHyphen/>
        <w:t>ревались поражать также бомбардиров</w:t>
      </w:r>
      <w:r w:rsidRPr="007122AB">
        <w:rPr>
          <w:color w:val="000000" w:themeColor="text1"/>
          <w:lang w:val="ru-RU"/>
        </w:rPr>
        <w:softHyphen/>
        <w:t>щики, идущие в плотном строю. Предпо</w:t>
      </w:r>
      <w:r w:rsidRPr="007122AB">
        <w:rPr>
          <w:color w:val="000000" w:themeColor="text1"/>
          <w:lang w:val="ru-RU"/>
        </w:rPr>
        <w:softHyphen/>
        <w:t>лагалось, что радиус поражения составит около 100 м. Эти же радиоуправляемые самолеты могли использоваться как воз</w:t>
      </w:r>
      <w:r w:rsidRPr="007122AB">
        <w:rPr>
          <w:color w:val="000000" w:themeColor="text1"/>
          <w:lang w:val="ru-RU"/>
        </w:rPr>
        <w:softHyphen/>
        <w:t>душные мишени для обучения зенитчи</w:t>
      </w:r>
      <w:r w:rsidRPr="007122AB">
        <w:rPr>
          <w:color w:val="000000" w:themeColor="text1"/>
          <w:lang w:val="ru-RU"/>
        </w:rPr>
        <w:softHyphen/>
        <w:t>ков и воздушных стрелков (17741).</w:t>
      </w:r>
    </w:p>
    <w:p w14:paraId="6C234994" w14:textId="77777777" w:rsidR="00F52FEE" w:rsidRPr="007122AB" w:rsidRDefault="00F52FEE" w:rsidP="007122AB">
      <w:pPr>
        <w:spacing w:after="0" w:line="240" w:lineRule="auto"/>
        <w:jc w:val="both"/>
        <w:rPr>
          <w:rFonts w:ascii="Times New Roman" w:hAnsi="Times New Roman"/>
          <w:color w:val="000000" w:themeColor="text1"/>
          <w:sz w:val="16"/>
          <w:szCs w:val="16"/>
        </w:rPr>
      </w:pPr>
    </w:p>
    <w:p w14:paraId="20CA9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проверили состояние строительства завода “Сибсельмаш”. Западно-Сибирская контрольная комиссия ВКП(б) и отдел рабоче-крестьянской инспекции рекомендовали ВСНХ СССР, </w:t>
      </w:r>
      <w:proofErr w:type="spellStart"/>
      <w:r w:rsidRPr="007122AB">
        <w:rPr>
          <w:rFonts w:ascii="Times New Roman" w:hAnsi="Times New Roman"/>
          <w:color w:val="000000" w:themeColor="text1"/>
          <w:sz w:val="16"/>
          <w:szCs w:val="16"/>
        </w:rPr>
        <w:t>Союзсельмашу</w:t>
      </w:r>
      <w:proofErr w:type="spellEnd"/>
      <w:r w:rsidRPr="007122AB">
        <w:rPr>
          <w:rFonts w:ascii="Times New Roman" w:hAnsi="Times New Roman"/>
          <w:color w:val="000000" w:themeColor="text1"/>
          <w:sz w:val="16"/>
          <w:szCs w:val="16"/>
        </w:rPr>
        <w:t xml:space="preserve">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w:t>
      </w:r>
      <w:proofErr w:type="spellStart"/>
      <w:r w:rsidRPr="007122AB">
        <w:rPr>
          <w:rFonts w:ascii="Times New Roman" w:hAnsi="Times New Roman"/>
          <w:color w:val="000000" w:themeColor="text1"/>
          <w:sz w:val="16"/>
          <w:szCs w:val="16"/>
        </w:rPr>
        <w:t>Кузнецкстрой</w:t>
      </w:r>
      <w:proofErr w:type="spellEnd"/>
      <w:r w:rsidRPr="007122AB">
        <w:rPr>
          <w:rFonts w:ascii="Times New Roman" w:hAnsi="Times New Roman"/>
          <w:color w:val="000000" w:themeColor="text1"/>
          <w:sz w:val="16"/>
          <w:szCs w:val="16"/>
        </w:rPr>
        <w:t xml:space="preserve"> и др.), подпадающих, к тому же, под действие закона об отдельных местностях (9684).</w:t>
      </w:r>
    </w:p>
    <w:p w14:paraId="18218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B00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пущена первая очередь завода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w:t>
      </w:r>
      <w:proofErr w:type="spellStart"/>
      <w:r w:rsidRPr="007122AB">
        <w:rPr>
          <w:rFonts w:ascii="Times New Roman" w:hAnsi="Times New Roman"/>
          <w:color w:val="000000" w:themeColor="text1"/>
          <w:sz w:val="16"/>
          <w:szCs w:val="16"/>
        </w:rPr>
        <w:t>Омскагрегат</w:t>
      </w:r>
      <w:proofErr w:type="spellEnd"/>
      <w:r w:rsidRPr="007122AB">
        <w:rPr>
          <w:rFonts w:ascii="Times New Roman" w:hAnsi="Times New Roman"/>
          <w:color w:val="000000" w:themeColor="text1"/>
          <w:sz w:val="16"/>
          <w:szCs w:val="16"/>
        </w:rPr>
        <w:t xml:space="preserve">» / г. Москва </w:t>
      </w:r>
      <w:proofErr w:type="spellStart"/>
      <w:r w:rsidRPr="007122AB">
        <w:rPr>
          <w:rFonts w:ascii="Times New Roman" w:hAnsi="Times New Roman"/>
          <w:color w:val="000000" w:themeColor="text1"/>
          <w:sz w:val="16"/>
          <w:szCs w:val="16"/>
        </w:rPr>
        <w:t>Старопетровский</w:t>
      </w:r>
      <w:proofErr w:type="spellEnd"/>
      <w:r w:rsidRPr="007122AB">
        <w:rPr>
          <w:rFonts w:ascii="Times New Roman" w:hAnsi="Times New Roman"/>
          <w:color w:val="000000" w:themeColor="text1"/>
          <w:sz w:val="16"/>
          <w:szCs w:val="16"/>
        </w:rPr>
        <w:t xml:space="preserve"> пр., 41;  г. Омск/ /644007  г. Омск ул. Герцена, 48 тел. 25-05-88,25-12-97/), с 09.1931 г. - производство нормалей и водяных насосов для М- 17, бензонасосов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 xml:space="preserve">».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w:t>
      </w:r>
      <w:proofErr w:type="spellStart"/>
      <w:r w:rsidRPr="007122AB">
        <w:rPr>
          <w:rFonts w:ascii="Times New Roman" w:hAnsi="Times New Roman"/>
          <w:color w:val="000000" w:themeColor="text1"/>
          <w:sz w:val="16"/>
          <w:szCs w:val="16"/>
        </w:rPr>
        <w:t>предвоеннй</w:t>
      </w:r>
      <w:proofErr w:type="spellEnd"/>
      <w:r w:rsidRPr="007122AB">
        <w:rPr>
          <w:rFonts w:ascii="Times New Roman" w:hAnsi="Times New Roman"/>
          <w:color w:val="000000" w:themeColor="text1"/>
          <w:sz w:val="16"/>
          <w:szCs w:val="16"/>
        </w:rPr>
        <w:t xml:space="preserve">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7122AB">
        <w:rPr>
          <w:rFonts w:ascii="Times New Roman" w:hAnsi="Times New Roman"/>
          <w:color w:val="000000" w:themeColor="text1"/>
          <w:sz w:val="16"/>
          <w:szCs w:val="16"/>
          <w:lang w:val="en-US"/>
        </w:rPr>
        <w:t>Wright</w:t>
      </w:r>
      <w:r w:rsidRPr="007122AB">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51C3CB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F74A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1895F3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войной в распоряжение завода переданы помещения расположенного рядом </w:t>
      </w:r>
      <w:proofErr w:type="spellStart"/>
      <w:r w:rsidRPr="007122AB">
        <w:rPr>
          <w:rFonts w:ascii="Times New Roman" w:hAnsi="Times New Roman"/>
          <w:color w:val="000000" w:themeColor="text1"/>
          <w:sz w:val="16"/>
          <w:szCs w:val="16"/>
        </w:rPr>
        <w:t>лесотарного</w:t>
      </w:r>
      <w:proofErr w:type="spellEnd"/>
      <w:r w:rsidRPr="007122AB">
        <w:rPr>
          <w:rFonts w:ascii="Times New Roman" w:hAnsi="Times New Roman"/>
          <w:color w:val="000000" w:themeColor="text1"/>
          <w:sz w:val="16"/>
          <w:szCs w:val="16"/>
        </w:rPr>
        <w:t xml:space="preserve"> завода НКПП (</w:t>
      </w:r>
      <w:proofErr w:type="spellStart"/>
      <w:r w:rsidRPr="007122AB">
        <w:rPr>
          <w:rFonts w:ascii="Times New Roman" w:hAnsi="Times New Roman"/>
          <w:color w:val="000000" w:themeColor="text1"/>
          <w:sz w:val="16"/>
          <w:szCs w:val="16"/>
        </w:rPr>
        <w:t>Старопетровский</w:t>
      </w:r>
      <w:proofErr w:type="spellEnd"/>
      <w:r w:rsidRPr="007122AB">
        <w:rPr>
          <w:rFonts w:ascii="Times New Roman" w:hAnsi="Times New Roman"/>
          <w:color w:val="000000" w:themeColor="text1"/>
          <w:sz w:val="16"/>
          <w:szCs w:val="16"/>
        </w:rPr>
        <w:t xml:space="preserve"> пр., 3).</w:t>
      </w:r>
    </w:p>
    <w:p w14:paraId="4BBD9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43DA5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2AECB3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w:t>
      </w:r>
      <w:proofErr w:type="spellStart"/>
      <w:r w:rsidRPr="007122AB">
        <w:rPr>
          <w:rFonts w:ascii="Times New Roman" w:hAnsi="Times New Roman"/>
          <w:color w:val="000000" w:themeColor="text1"/>
          <w:sz w:val="16"/>
          <w:szCs w:val="16"/>
        </w:rPr>
        <w:t>лесотарного</w:t>
      </w:r>
      <w:proofErr w:type="spellEnd"/>
      <w:r w:rsidRPr="007122AB">
        <w:rPr>
          <w:rFonts w:ascii="Times New Roman" w:hAnsi="Times New Roman"/>
          <w:color w:val="000000" w:themeColor="text1"/>
          <w:sz w:val="16"/>
          <w:szCs w:val="16"/>
        </w:rPr>
        <w:t xml:space="preserve"> завода (</w:t>
      </w:r>
      <w:proofErr w:type="spellStart"/>
      <w:r w:rsidRPr="007122AB">
        <w:rPr>
          <w:rFonts w:ascii="Times New Roman" w:hAnsi="Times New Roman"/>
          <w:color w:val="000000" w:themeColor="text1"/>
          <w:sz w:val="16"/>
          <w:szCs w:val="16"/>
        </w:rPr>
        <w:t>Старопетровский</w:t>
      </w:r>
      <w:proofErr w:type="spellEnd"/>
      <w:r w:rsidRPr="007122AB">
        <w:rPr>
          <w:rFonts w:ascii="Times New Roman" w:hAnsi="Times New Roman"/>
          <w:color w:val="000000" w:themeColor="text1"/>
          <w:sz w:val="16"/>
          <w:szCs w:val="16"/>
        </w:rPr>
        <w:t xml:space="preserve"> пр., 3) переданы обратно в НКПП для налаживания производства корпусов авиабомб.</w:t>
      </w:r>
    </w:p>
    <w:p w14:paraId="55AFD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55013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1953 г. завод переведен из 4ГУ во 2ГУ, с 1.05.1956 г.- в ЗГУ. В соответствии с пост. СМ СССР № 713-342 от 26.06.1957 г. передан в ведение управления </w:t>
      </w:r>
      <w:proofErr w:type="spellStart"/>
      <w:r w:rsidRPr="007122AB">
        <w:rPr>
          <w:rFonts w:ascii="Times New Roman" w:hAnsi="Times New Roman"/>
          <w:color w:val="000000" w:themeColor="text1"/>
          <w:sz w:val="16"/>
          <w:szCs w:val="16"/>
        </w:rPr>
        <w:t>агрегатостроения</w:t>
      </w:r>
      <w:proofErr w:type="spellEnd"/>
      <w:r w:rsidRPr="007122AB">
        <w:rPr>
          <w:rFonts w:ascii="Times New Roman" w:hAnsi="Times New Roman"/>
          <w:color w:val="000000" w:themeColor="text1"/>
          <w:sz w:val="16"/>
          <w:szCs w:val="16"/>
        </w:rPr>
        <w:t xml:space="preserve"> Западно-Сибирского СНХ РСФСР (и в 1962 г.).</w:t>
      </w:r>
    </w:p>
    <w:p w14:paraId="2BE724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 1980-м  г. завод стал крупнейшим в стране по изготовлению топливной автоматики для авиадвигателей и гидросистем </w:t>
      </w:r>
      <w:r w:rsidRPr="007122AB">
        <w:rPr>
          <w:rFonts w:ascii="Times New Roman" w:hAnsi="Times New Roman"/>
          <w:color w:val="000000" w:themeColor="text1"/>
          <w:sz w:val="16"/>
          <w:szCs w:val="16"/>
          <w:lang w:val="en-US"/>
        </w:rPr>
        <w:t>JIA</w:t>
      </w:r>
      <w:r w:rsidRPr="007122AB">
        <w:rPr>
          <w:rFonts w:ascii="Times New Roman" w:hAnsi="Times New Roman"/>
          <w:color w:val="000000" w:themeColor="text1"/>
          <w:sz w:val="16"/>
          <w:szCs w:val="16"/>
        </w:rPr>
        <w:t>.</w:t>
      </w:r>
    </w:p>
    <w:p w14:paraId="5D5CED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10EC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E6BF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(1964 г.)- 7025 чел., (1.01.2001 г.)- 5500 чел.</w:t>
      </w:r>
    </w:p>
    <w:p w14:paraId="4E8547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Ивайкин</w:t>
      </w:r>
      <w:proofErr w:type="spellEnd"/>
      <w:r w:rsidRPr="007122AB">
        <w:rPr>
          <w:rFonts w:ascii="Times New Roman" w:hAnsi="Times New Roman"/>
          <w:color w:val="000000" w:themeColor="text1"/>
          <w:sz w:val="16"/>
          <w:szCs w:val="16"/>
        </w:rPr>
        <w:t xml:space="preserve">, (09.1943 г.)- Ермоленко, (-12.1943-02.1944 г.-)- Н.Н. Кругленин, (1946 г.)- </w:t>
      </w:r>
      <w:proofErr w:type="spellStart"/>
      <w:r w:rsidRPr="007122AB">
        <w:rPr>
          <w:rFonts w:ascii="Times New Roman" w:hAnsi="Times New Roman"/>
          <w:color w:val="000000" w:themeColor="text1"/>
          <w:sz w:val="16"/>
          <w:szCs w:val="16"/>
        </w:rPr>
        <w:t>Сибиркин</w:t>
      </w:r>
      <w:proofErr w:type="spellEnd"/>
      <w:r w:rsidRPr="007122AB">
        <w:rPr>
          <w:rFonts w:ascii="Times New Roman" w:hAnsi="Times New Roman"/>
          <w:color w:val="000000" w:themeColor="text1"/>
          <w:sz w:val="16"/>
          <w:szCs w:val="16"/>
        </w:rPr>
        <w:t>, (1979 г.)- Иванов. Гендиректор (1988-90 г.)- А.А. Кульков, (-1992-2002 г.-)- Е. Г. Руденко, (-10.2004-06 г.-&gt; С.А. Морев.</w:t>
      </w:r>
    </w:p>
    <w:p w14:paraId="6A1FC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Помощник директора: по </w:t>
      </w:r>
      <w:proofErr w:type="spellStart"/>
      <w:r w:rsidRPr="007122AB">
        <w:rPr>
          <w:rFonts w:ascii="Times New Roman" w:hAnsi="Times New Roman"/>
          <w:color w:val="000000" w:themeColor="text1"/>
          <w:sz w:val="16"/>
          <w:szCs w:val="16"/>
        </w:rPr>
        <w:t>техчасти</w:t>
      </w:r>
      <w:proofErr w:type="spellEnd"/>
      <w:r w:rsidRPr="007122AB">
        <w:rPr>
          <w:rFonts w:ascii="Times New Roman" w:hAnsi="Times New Roman"/>
          <w:color w:val="000000" w:themeColor="text1"/>
          <w:sz w:val="16"/>
          <w:szCs w:val="16"/>
        </w:rPr>
        <w:t xml:space="preserve"> (1930 г.)- Е.Н. </w:t>
      </w:r>
      <w:proofErr w:type="spellStart"/>
      <w:r w:rsidRPr="007122AB">
        <w:rPr>
          <w:rFonts w:ascii="Times New Roman" w:hAnsi="Times New Roman"/>
          <w:color w:val="000000" w:themeColor="text1"/>
          <w:sz w:val="16"/>
          <w:szCs w:val="16"/>
        </w:rPr>
        <w:t>Дмитревский</w:t>
      </w:r>
      <w:proofErr w:type="spellEnd"/>
      <w:r w:rsidRPr="007122AB">
        <w:rPr>
          <w:rFonts w:ascii="Times New Roman" w:hAnsi="Times New Roman"/>
          <w:color w:val="000000" w:themeColor="text1"/>
          <w:sz w:val="16"/>
          <w:szCs w:val="16"/>
        </w:rPr>
        <w:t>; по найму и увольнению (-06.1937-7.12.1938 г.)- А.П. Гусев, (7.12.1938 г.-)- И.А. Уваров.</w:t>
      </w:r>
    </w:p>
    <w:p w14:paraId="6030B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(10.1940-46 г.-)- П.Н. Тарасов, (1988-90 г.)- А.А. Кульков.</w:t>
      </w:r>
    </w:p>
    <w:p w14:paraId="487031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1326A8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(12.1937 г.)- </w:t>
      </w:r>
      <w:proofErr w:type="spellStart"/>
      <w:r w:rsidRPr="007122AB">
        <w:rPr>
          <w:rFonts w:ascii="Times New Roman" w:hAnsi="Times New Roman"/>
          <w:color w:val="000000" w:themeColor="text1"/>
          <w:sz w:val="16"/>
          <w:szCs w:val="16"/>
        </w:rPr>
        <w:t>Боцковский</w:t>
      </w:r>
      <w:proofErr w:type="spellEnd"/>
      <w:r w:rsidRPr="007122AB">
        <w:rPr>
          <w:rFonts w:ascii="Times New Roman" w:hAnsi="Times New Roman"/>
          <w:color w:val="000000" w:themeColor="text1"/>
          <w:sz w:val="16"/>
          <w:szCs w:val="16"/>
        </w:rPr>
        <w:t>, (1941 г.)- Ф.С. Деменюк.</w:t>
      </w:r>
    </w:p>
    <w:p w14:paraId="4D184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(1941 г.)- Ф.С. Деменюк; по МФВ (1941 г.)-  Г.С. Телегин. Зам. гендиректора по производству (1990-е)- В.Ф. Беляев, М.А. </w:t>
      </w:r>
      <w:proofErr w:type="spellStart"/>
      <w:r w:rsidRPr="007122AB">
        <w:rPr>
          <w:rFonts w:ascii="Times New Roman" w:hAnsi="Times New Roman"/>
          <w:color w:val="000000" w:themeColor="text1"/>
          <w:sz w:val="16"/>
          <w:szCs w:val="16"/>
        </w:rPr>
        <w:t>Пыхаев</w:t>
      </w:r>
      <w:proofErr w:type="spellEnd"/>
      <w:r w:rsidRPr="007122AB">
        <w:rPr>
          <w:rFonts w:ascii="Times New Roman" w:hAnsi="Times New Roman"/>
          <w:color w:val="000000" w:themeColor="text1"/>
          <w:sz w:val="16"/>
          <w:szCs w:val="16"/>
        </w:rPr>
        <w:t>; (2006 г.)- С.К. Малиновский.</w:t>
      </w:r>
    </w:p>
    <w:p w14:paraId="36E820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7122AB">
        <w:rPr>
          <w:rFonts w:ascii="Times New Roman" w:hAnsi="Times New Roman"/>
          <w:color w:val="000000" w:themeColor="text1"/>
          <w:sz w:val="16"/>
          <w:szCs w:val="16"/>
          <w:vertAlign w:val="superscript"/>
        </w:rPr>
        <w:t>69</w:t>
      </w:r>
    </w:p>
    <w:p w14:paraId="022B2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инструментального (-07.1938 г.)- М.И. Горячев; перспективного развития (10.2004 г.)- Н.А. </w:t>
      </w:r>
      <w:proofErr w:type="spellStart"/>
      <w:r w:rsidRPr="007122AB">
        <w:rPr>
          <w:rFonts w:ascii="Times New Roman" w:hAnsi="Times New Roman"/>
          <w:color w:val="000000" w:themeColor="text1"/>
          <w:sz w:val="16"/>
          <w:szCs w:val="16"/>
        </w:rPr>
        <w:t>Раат</w:t>
      </w:r>
      <w:proofErr w:type="spellEnd"/>
      <w:r w:rsidRPr="007122AB">
        <w:rPr>
          <w:rFonts w:ascii="Times New Roman" w:hAnsi="Times New Roman"/>
          <w:color w:val="000000" w:themeColor="text1"/>
          <w:sz w:val="16"/>
          <w:szCs w:val="16"/>
        </w:rPr>
        <w:t>.</w:t>
      </w:r>
    </w:p>
    <w:p w14:paraId="4DDCE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детали для </w:t>
      </w:r>
      <w:r w:rsidRPr="007122AB">
        <w:rPr>
          <w:rFonts w:ascii="Times New Roman" w:hAnsi="Times New Roman"/>
          <w:color w:val="000000" w:themeColor="text1"/>
          <w:sz w:val="16"/>
          <w:szCs w:val="16"/>
          <w:lang w:val="en-US"/>
        </w:rPr>
        <w:t>PC</w:t>
      </w:r>
      <w:r w:rsidRPr="007122AB">
        <w:rPr>
          <w:rFonts w:ascii="Times New Roman" w:hAnsi="Times New Roman"/>
          <w:color w:val="000000" w:themeColor="text1"/>
          <w:sz w:val="16"/>
          <w:szCs w:val="16"/>
        </w:rPr>
        <w:t xml:space="preserve"> М-13 (1942) (11982).</w:t>
      </w:r>
    </w:p>
    <w:p w14:paraId="2DD0C2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BA3872" w14:textId="77777777" w:rsidR="00B642B8" w:rsidRPr="007122AB" w:rsidRDefault="00B642B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начале 1931 года в бюро воздушной техники при Ленинградском областном ОСОАВИАХИМе поступило предложение о постройке аэростата СА-1 (стратосферный аэростат, первый). Стратостат был создан в Бюро воздушной техники Ленинградского областного совета ОСОАВИАХИМа. Если стратостат </w:t>
      </w:r>
      <w:r w:rsidRPr="007122AB">
        <w:rPr>
          <w:rFonts w:ascii="Times New Roman" w:hAnsi="Times New Roman"/>
          <w:color w:val="000000" w:themeColor="text1"/>
          <w:sz w:val="16"/>
          <w:szCs w:val="16"/>
          <w:shd w:val="clear" w:color="auto" w:fill="FFFFFF"/>
          <w:lang w:val="en-US"/>
        </w:rPr>
        <w:t>CCCH</w:t>
      </w:r>
      <w:r w:rsidRPr="007122AB">
        <w:rPr>
          <w:rFonts w:ascii="Times New Roman" w:hAnsi="Times New Roman"/>
          <w:color w:val="000000" w:themeColor="text1"/>
          <w:sz w:val="16"/>
          <w:szCs w:val="16"/>
          <w:shd w:val="clear" w:color="auto" w:fill="FFFFFF"/>
        </w:rPr>
        <w:t>-1 строился по линии ВВС, т.е. по государственному заказу, то его ленинградский аналог создавался общественной организацией, что в известной степени сказалось на качестве проектных решений.</w:t>
      </w:r>
    </w:p>
    <w:p w14:paraId="4F1443A8"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Проектирование велось под руководством </w:t>
      </w:r>
      <w:proofErr w:type="spellStart"/>
      <w:r w:rsidRPr="007122AB">
        <w:rPr>
          <w:color w:val="000000" w:themeColor="text1"/>
          <w:sz w:val="16"/>
          <w:szCs w:val="16"/>
        </w:rPr>
        <w:t>А.Б.Васенко</w:t>
      </w:r>
      <w:proofErr w:type="spellEnd"/>
      <w:r w:rsidRPr="007122AB">
        <w:rPr>
          <w:color w:val="000000" w:themeColor="text1"/>
          <w:sz w:val="16"/>
          <w:szCs w:val="16"/>
        </w:rPr>
        <w:t xml:space="preserve">. В бригаду вошли инженер </w:t>
      </w:r>
      <w:proofErr w:type="spellStart"/>
      <w:r w:rsidRPr="007122AB">
        <w:rPr>
          <w:color w:val="000000" w:themeColor="text1"/>
          <w:sz w:val="16"/>
          <w:szCs w:val="16"/>
        </w:rPr>
        <w:t>Е.Е.Чертовский</w:t>
      </w:r>
      <w:proofErr w:type="spellEnd"/>
      <w:r w:rsidRPr="007122AB">
        <w:rPr>
          <w:color w:val="000000" w:themeColor="text1"/>
          <w:sz w:val="16"/>
          <w:szCs w:val="16"/>
        </w:rPr>
        <w:t xml:space="preserve">, занимавшийся конструированием гондолы, инженер </w:t>
      </w:r>
      <w:proofErr w:type="spellStart"/>
      <w:r w:rsidRPr="007122AB">
        <w:rPr>
          <w:color w:val="000000" w:themeColor="text1"/>
          <w:sz w:val="16"/>
          <w:szCs w:val="16"/>
        </w:rPr>
        <w:t>К.С.Кирпичников</w:t>
      </w:r>
      <w:proofErr w:type="spellEnd"/>
      <w:r w:rsidRPr="007122AB">
        <w:rPr>
          <w:color w:val="000000" w:themeColor="text1"/>
          <w:sz w:val="16"/>
          <w:szCs w:val="16"/>
        </w:rPr>
        <w:t xml:space="preserve">, осуществлявший вместе с Васенко расчет оболочки и такелажа, и техники-конструкторы Чепик и Лутохин. Проектные разработки консультировал известный специалист в области воздухоплавания профессор </w:t>
      </w:r>
      <w:proofErr w:type="spellStart"/>
      <w:r w:rsidRPr="007122AB">
        <w:rPr>
          <w:color w:val="000000" w:themeColor="text1"/>
          <w:sz w:val="16"/>
          <w:szCs w:val="16"/>
        </w:rPr>
        <w:t>Н.А.Рынин</w:t>
      </w:r>
      <w:proofErr w:type="spellEnd"/>
      <w:r w:rsidRPr="007122AB">
        <w:rPr>
          <w:color w:val="000000" w:themeColor="text1"/>
          <w:sz w:val="16"/>
          <w:szCs w:val="16"/>
        </w:rPr>
        <w:t xml:space="preserve">. Расчет полета производился инженером </w:t>
      </w:r>
      <w:proofErr w:type="spellStart"/>
      <w:r w:rsidRPr="007122AB">
        <w:rPr>
          <w:color w:val="000000" w:themeColor="text1"/>
          <w:sz w:val="16"/>
          <w:szCs w:val="16"/>
        </w:rPr>
        <w:t>П.Ф.Федосеенко</w:t>
      </w:r>
      <w:proofErr w:type="spellEnd"/>
      <w:r w:rsidRPr="007122AB">
        <w:rPr>
          <w:color w:val="000000" w:themeColor="text1"/>
          <w:sz w:val="16"/>
          <w:szCs w:val="16"/>
        </w:rPr>
        <w:t xml:space="preserve">. Метеорологическое обеспечение было возложено на изобретателя радиозонда профессора </w:t>
      </w:r>
      <w:proofErr w:type="spellStart"/>
      <w:r w:rsidRPr="007122AB">
        <w:rPr>
          <w:color w:val="000000" w:themeColor="text1"/>
          <w:sz w:val="16"/>
          <w:szCs w:val="16"/>
        </w:rPr>
        <w:t>П.А.Молчанова</w:t>
      </w:r>
      <w:proofErr w:type="spellEnd"/>
      <w:r w:rsidRPr="007122AB">
        <w:rPr>
          <w:color w:val="000000" w:themeColor="text1"/>
          <w:sz w:val="16"/>
          <w:szCs w:val="16"/>
        </w:rPr>
        <w:t xml:space="preserve">. Руководство научной программой полета осуществлял академик </w:t>
      </w:r>
      <w:proofErr w:type="spellStart"/>
      <w:r w:rsidRPr="007122AB">
        <w:rPr>
          <w:color w:val="000000" w:themeColor="text1"/>
          <w:sz w:val="16"/>
          <w:szCs w:val="16"/>
        </w:rPr>
        <w:t>А.Ф.Иоффе</w:t>
      </w:r>
      <w:proofErr w:type="spellEnd"/>
      <w:r w:rsidRPr="007122AB">
        <w:rPr>
          <w:color w:val="000000" w:themeColor="text1"/>
          <w:sz w:val="16"/>
          <w:szCs w:val="16"/>
        </w:rPr>
        <w:t>.</w:t>
      </w:r>
    </w:p>
    <w:p w14:paraId="5774607E"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Стратостат имел максимальный объем оболочки при полном наполнении 22500 м3. Герметичная гондола для размещения трех стратонавтов в первом варианте представляла собой четырехугольник с закругленными углами. Конструктивно была выполнена в виде ферменного каркаса, обшитого сверху тонкой нержавеющей сталью толщиной 0,5 мм для устранения влияния на показания приборов. Обшивка сварная, на случай появления трещин в сварных швах внутри имелась дополнительная оболочка. По четырем сторонам плоских бортов кабины и в полу были установлены герметичные иллюминаторы. Снизу крепился амортизатор, выполненный в виде камышовой корзины. Для уменьшения перегрева кабина была окрашена в серый цвет. Впрочем, данное описание гондолы было представлено в период строительства стратостата. Позднее эта герметичная кабина была переработана и выполнена в виде сферы – по типу гондолы стратостата «СССР-1».</w:t>
      </w:r>
    </w:p>
    <w:p w14:paraId="26A6A129"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Летом 1933 года, когда ленинградские создатели стратостата «ОСОАВИАХИМ-1» доложили правительству о завершении строительства стратостата и готовности к полету, из Москвы приехала комиссия для проверки готовности и конструкции аэростата, прежде всего его гондолы. Ознакомившись на месте с гондолой ленинградского стратостата, комиссия составила официальный акт и доложила свои соображения на собрании ленинградского отделения ОСОАВИАХИМа, на котором присутствовали руководство организации (Иванов) и все участники строительства. Общий вывод комиссии гласил: гондола имеет существенные конструктивные недостатки и выпускать ее в таком состоянии в полет с людьми нельзя. Важнейшие недостатки гондолы были связаны с обеспечением безопасности полета и аварийного спуска.</w:t>
      </w:r>
    </w:p>
    <w:p w14:paraId="61815E23"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Прежде всего, это была неудачная конструкция единственного люка гондолы «ОСОАВИАХИМ-1». В гондоле стратостата «СССР-1» было два люка, причем открывание их производилось поворотом штурвала в его центре в течение 5-6 с. В гондоле стратостата «ОСОАВИАХИМ» крышка единственного люка имела по окружности 24 отверстия, а на кольце обшивки гондолы было 24 шпильки. Крышка поднималась руками и надевалась отверстиями на шпильки, на которые затем навертывались барашковые гайки, прижимавшие крышку к кольцу обшивки. Для открывания люка нужно было отвернуть 24 гайки, а затем снять крышку со шпилек. Даже в наземных условиях для этого требовалось несколько минут. Кроме того, люк находился в самой верхней части гондолы, а выход в него осуществлялся при помощи веревочной лестницы.</w:t>
      </w:r>
    </w:p>
    <w:p w14:paraId="3B05400E"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Столь же неудовлетворительно был решен вопрос с балластом. Балласт, необходимый для безопасного спуска аэростата (1 т мелкой свинцовой дроби) помещался внутри гондолы. Для сбрасывания в гондоле имелось устройство в виде воронки и специального кармана с трубой, проходившей через обшивку наружу. Дробь зачерпывалась совком и засыпалась в воронку, из нее пересыпаясь в расположенный ниже карман. После этого закрывался кран между воронкой и карманом, и открывался кран между карманом и трубкой. Таким образом, дробь через трубку высыпалась наружу без нарушения герметичности гондолы. Скорость сбрасывания балласта была очень незначительной, поэтому для освобождения от тонны балласта требовалось больше часа времени. (Для сравнения, на «СССР-1» на это уходило всего 1-2 минуты.) Таким образом, было невозможно быстро сбросить балласт при опасном возрастании скорости спуска.</w:t>
      </w:r>
    </w:p>
    <w:p w14:paraId="53771CAC"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Помимо этих недостатков были и другие. Гондола шарообразной формы, сваренная из листовой стали толщиной 0,8 мм, не имела никакого каркаса. Ее обшивка, помимо избыточного давления изнутри, воспринимала также все местные нагрузки от веса балласта, оборудования, экипажа, что могло вызвать местные деформации. Гондола охватывалась веревочной сеткой, подведенной под ее днище, которая крепилась к стропам оболочки не двадцатью четырьмя, а восемью веревками. Хотя каждая из этих веревок была настолько прочной, что одна могла выдержать тяжесть гондолы, такое крепление гондолы не гарантировало ее от произвольного поворота в сетке под действием местных нагрузок. Концы веревок разделялись на несколько ветвей, и уже концы этих ветвей прикреплялись к оболочке посредством особых лап, пришитых к оболочке. Веревки крепились к разветвлениям не узлом, а посредством петель. В случае обрыва ветки петля сползала и освобождала веревку. Амортизатором при посадке служила резиновая камера, прикрепленная снизу к сетке, охватывающей гондолу. Небольшое сечение камеры не могло обеспечить при посадке сколько-нибудь существенное смягчение удара.</w:t>
      </w:r>
    </w:p>
    <w:p w14:paraId="1B93C62F"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Полет аэростата «ОСОАВИАХИМ-1» задержали, но исправить отмеченные комиссией недостатки не удалось. Тем не менее было все же решено совершить полет на стратостате. По сегодняшним представлениям такое решение было ошибочным, вызванным лишь стремлением побить мировой рекорд. Но нельзя игнорировать общий настрой людей того времени, которые, стремясь к победе, «экономили» на средствах спасения.</w:t>
      </w:r>
    </w:p>
    <w:p w14:paraId="0F26A86F"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Стратостат должен был стартовать 30 сентября 1933 года, в тот же день, что и «СССР-1». Однако поднявшийся ветер помешал полету. Плохая погода не позволила выпустить стратостат ОСОАВИАХИМа до января 1934 года. В конце этого месяца условия оказались более благоприятными, и решено было произвести исследование стратосферы в зимних условиях.</w:t>
      </w:r>
    </w:p>
    <w:p w14:paraId="59185602" w14:textId="77777777" w:rsidR="00B642B8" w:rsidRPr="007122AB" w:rsidRDefault="00B642B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Старт стратостата «ОСОАВИАХИМ» (иногда его определяли как «ОСОАВИАХИМ-1») состоялся 30 января 1934 года в 9 часов 07 минут в поселке Кунцево под Москвой. Экипаж стратостата состоял из трех человек: командира — военного воздухоплавателя-инженера </w:t>
      </w:r>
      <w:proofErr w:type="spellStart"/>
      <w:r w:rsidRPr="007122AB">
        <w:rPr>
          <w:rFonts w:ascii="Times New Roman" w:hAnsi="Times New Roman"/>
          <w:color w:val="000000" w:themeColor="text1"/>
          <w:sz w:val="16"/>
          <w:szCs w:val="16"/>
          <w:shd w:val="clear" w:color="auto" w:fill="FFFFFF"/>
        </w:rPr>
        <w:t>П.Ф.Федосеенко</w:t>
      </w:r>
      <w:proofErr w:type="spellEnd"/>
      <w:r w:rsidRPr="007122AB">
        <w:rPr>
          <w:rFonts w:ascii="Times New Roman" w:hAnsi="Times New Roman"/>
          <w:color w:val="000000" w:themeColor="text1"/>
          <w:sz w:val="16"/>
          <w:szCs w:val="16"/>
          <w:shd w:val="clear" w:color="auto" w:fill="FFFFFF"/>
        </w:rPr>
        <w:t xml:space="preserve">, инженера </w:t>
      </w:r>
      <w:proofErr w:type="spellStart"/>
      <w:r w:rsidRPr="007122AB">
        <w:rPr>
          <w:rFonts w:ascii="Times New Roman" w:hAnsi="Times New Roman"/>
          <w:color w:val="000000" w:themeColor="text1"/>
          <w:sz w:val="16"/>
          <w:szCs w:val="16"/>
          <w:shd w:val="clear" w:color="auto" w:fill="FFFFFF"/>
        </w:rPr>
        <w:t>А.Б.Васенко</w:t>
      </w:r>
      <w:proofErr w:type="spellEnd"/>
      <w:r w:rsidRPr="007122AB">
        <w:rPr>
          <w:rFonts w:ascii="Times New Roman" w:hAnsi="Times New Roman"/>
          <w:color w:val="000000" w:themeColor="text1"/>
          <w:sz w:val="16"/>
          <w:szCs w:val="16"/>
          <w:shd w:val="clear" w:color="auto" w:fill="FFFFFF"/>
        </w:rPr>
        <w:t xml:space="preserve"> и научного сотрудника </w:t>
      </w:r>
      <w:proofErr w:type="spellStart"/>
      <w:r w:rsidRPr="007122AB">
        <w:rPr>
          <w:rFonts w:ascii="Times New Roman" w:hAnsi="Times New Roman"/>
          <w:color w:val="000000" w:themeColor="text1"/>
          <w:sz w:val="16"/>
          <w:szCs w:val="16"/>
          <w:shd w:val="clear" w:color="auto" w:fill="FFFFFF"/>
        </w:rPr>
        <w:t>И.Д.Усыскина</w:t>
      </w:r>
      <w:proofErr w:type="spellEnd"/>
      <w:r w:rsidRPr="007122AB">
        <w:rPr>
          <w:rFonts w:ascii="Times New Roman" w:hAnsi="Times New Roman"/>
          <w:color w:val="000000" w:themeColor="text1"/>
          <w:sz w:val="16"/>
          <w:szCs w:val="16"/>
          <w:shd w:val="clear" w:color="auto" w:fill="FFFFFF"/>
        </w:rPr>
        <w:t>. Для осуществления непрерывной радиосвязи с землей имел позывной «Сириус».</w:t>
      </w:r>
    </w:p>
    <w:p w14:paraId="15A86099" w14:textId="77777777" w:rsidR="00B642B8" w:rsidRPr="007122AB" w:rsidRDefault="00B642B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После успеха стратостата «СССР-1» имелись надежды на благополучное завершение и этого полета. Кроме того, создатели данного стратостата ориентировались на достижение максимальной высоты не менее 20 км, то есть основной его целью являлось достижение нового мирового рекорда. Именно поэтому вокруг полета стратостата «ОСОАВИАХИМ» сложилась весьма торжественная обстановка. Сообщения об этапах полета почти непрерывно транслировались через радиостанцию им. Коминтерна. На борт постоянно поступали различные радиограммы с поздравлениями.</w:t>
      </w:r>
    </w:p>
    <w:p w14:paraId="778E8733"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«11.42. Говорит «Сириус»! Высота 20600 м. Слушайте, слушайте! Передаём радиограмму XVII съезду партии…»</w:t>
      </w:r>
    </w:p>
    <w:p w14:paraId="31E5A384"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«11.49. Говорит «Сириус»! Производим непрерывные наблюдения и опыты… для изучения космических лучей… Алло! Говорит «Сириус»! Временно прекращаем приём и передачу, для того чтобы включить патроны для поглощения углекислоты…»</w:t>
      </w:r>
    </w:p>
    <w:p w14:paraId="51BEDFAF"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В 11.49 передача сведений со стратостата прекратилась. Научный сотрудник Ленинградского физико-технического института </w:t>
      </w:r>
      <w:proofErr w:type="spellStart"/>
      <w:r w:rsidRPr="007122AB">
        <w:rPr>
          <w:color w:val="000000" w:themeColor="text1"/>
          <w:sz w:val="16"/>
          <w:szCs w:val="16"/>
        </w:rPr>
        <w:t>Усыскин</w:t>
      </w:r>
      <w:proofErr w:type="spellEnd"/>
      <w:r w:rsidRPr="007122AB">
        <w:rPr>
          <w:color w:val="000000" w:themeColor="text1"/>
          <w:sz w:val="16"/>
          <w:szCs w:val="16"/>
        </w:rPr>
        <w:t xml:space="preserve"> производил наблюдения за космическими лучами. Поэтому перерыв в радиосвязи со стратостатом не вызывал беспокойства. На земле полагали, что он мог быть вызван порчей радиопередатчика, истощением аккумулятора и другими причинами. Действительно, пилоты, как оказалось впоследствии, перешли на работу с приборами, поглощавшими углекислоту. После этого, около 13.00, они снова передавали некоторые сведения, но в Москве их уже не было слышно вследствие большого удаления. Как выяснилось из дневников, они достигли высоты в 22000 м.</w:t>
      </w:r>
    </w:p>
    <w:p w14:paraId="22982986"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Стратостат «ОСОАВИАХИМ-1» потерпел катастрофу в 16 км от станции </w:t>
      </w:r>
      <w:proofErr w:type="spellStart"/>
      <w:r w:rsidRPr="007122AB">
        <w:rPr>
          <w:color w:val="000000" w:themeColor="text1"/>
          <w:sz w:val="16"/>
          <w:szCs w:val="16"/>
        </w:rPr>
        <w:t>Кадошкино</w:t>
      </w:r>
      <w:proofErr w:type="spellEnd"/>
      <w:r w:rsidRPr="007122AB">
        <w:rPr>
          <w:color w:val="000000" w:themeColor="text1"/>
          <w:sz w:val="16"/>
          <w:szCs w:val="16"/>
        </w:rPr>
        <w:t xml:space="preserve">, Московско-Казанской железной дороги, около деревни </w:t>
      </w:r>
      <w:proofErr w:type="spellStart"/>
      <w:r w:rsidRPr="007122AB">
        <w:rPr>
          <w:color w:val="000000" w:themeColor="text1"/>
          <w:sz w:val="16"/>
          <w:szCs w:val="16"/>
        </w:rPr>
        <w:t>Потиж</w:t>
      </w:r>
      <w:proofErr w:type="spellEnd"/>
      <w:r w:rsidRPr="007122AB">
        <w:rPr>
          <w:color w:val="000000" w:themeColor="text1"/>
          <w:sz w:val="16"/>
          <w:szCs w:val="16"/>
        </w:rPr>
        <w:t>-Острог, Инсарского района, Мордовской автономной области. В гондоле, ударившейся со страшной силой о землю, были найдены тела погибших стратонавтов.</w:t>
      </w:r>
    </w:p>
    <w:p w14:paraId="427DB134"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6B03E238"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lastRenderedPageBreak/>
        <w:t>«В результате работы комиссии на месте катастрофы в настоящее время можно считать установленным нижеследующее:</w:t>
      </w:r>
    </w:p>
    <w:p w14:paraId="0F0A5F61"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 xml:space="preserve">1. Гондола стратостата упала вблизи деревни </w:t>
      </w:r>
      <w:proofErr w:type="spellStart"/>
      <w:r w:rsidRPr="007122AB">
        <w:rPr>
          <w:rStyle w:val="af0"/>
          <w:i w:val="0"/>
          <w:color w:val="000000" w:themeColor="text1"/>
          <w:sz w:val="16"/>
          <w:szCs w:val="16"/>
        </w:rPr>
        <w:t>Потиж</w:t>
      </w:r>
      <w:proofErr w:type="spellEnd"/>
      <w:r w:rsidRPr="007122AB">
        <w:rPr>
          <w:rStyle w:val="af0"/>
          <w:i w:val="0"/>
          <w:color w:val="000000" w:themeColor="text1"/>
          <w:sz w:val="16"/>
          <w:szCs w:val="16"/>
        </w:rPr>
        <w:t xml:space="preserve">-Острог, Инсарского района в 16 км на восток от ст. </w:t>
      </w:r>
      <w:proofErr w:type="spellStart"/>
      <w:r w:rsidRPr="007122AB">
        <w:rPr>
          <w:rStyle w:val="af0"/>
          <w:i w:val="0"/>
          <w:color w:val="000000" w:themeColor="text1"/>
          <w:sz w:val="16"/>
          <w:szCs w:val="16"/>
        </w:rPr>
        <w:t>Кадошкино</w:t>
      </w:r>
      <w:proofErr w:type="spellEnd"/>
      <w:r w:rsidRPr="007122AB">
        <w:rPr>
          <w:rStyle w:val="af0"/>
          <w:i w:val="0"/>
          <w:color w:val="000000" w:themeColor="text1"/>
          <w:sz w:val="16"/>
          <w:szCs w:val="16"/>
        </w:rPr>
        <w:t xml:space="preserve">, </w:t>
      </w:r>
      <w:proofErr w:type="spellStart"/>
      <w:r w:rsidRPr="007122AB">
        <w:rPr>
          <w:rStyle w:val="af0"/>
          <w:i w:val="0"/>
          <w:color w:val="000000" w:themeColor="text1"/>
          <w:sz w:val="16"/>
          <w:szCs w:val="16"/>
        </w:rPr>
        <w:t>Моск</w:t>
      </w:r>
      <w:proofErr w:type="spellEnd"/>
      <w:r w:rsidRPr="007122AB">
        <w:rPr>
          <w:rStyle w:val="af0"/>
          <w:i w:val="0"/>
          <w:color w:val="000000" w:themeColor="text1"/>
          <w:sz w:val="16"/>
          <w:szCs w:val="16"/>
        </w:rPr>
        <w:t xml:space="preserve">. — Каз. ж. д. (в 40 км от ст. Рузаевки). Экипаж в составе тт. Федосеенко П.Ф., Васенко А.Б. и </w:t>
      </w:r>
      <w:proofErr w:type="spellStart"/>
      <w:r w:rsidRPr="007122AB">
        <w:rPr>
          <w:rStyle w:val="af0"/>
          <w:i w:val="0"/>
          <w:color w:val="000000" w:themeColor="text1"/>
          <w:sz w:val="16"/>
          <w:szCs w:val="16"/>
        </w:rPr>
        <w:t>Усыскина</w:t>
      </w:r>
      <w:proofErr w:type="spellEnd"/>
      <w:r w:rsidRPr="007122AB">
        <w:rPr>
          <w:rStyle w:val="af0"/>
          <w:i w:val="0"/>
          <w:color w:val="000000" w:themeColor="text1"/>
          <w:sz w:val="16"/>
          <w:szCs w:val="16"/>
        </w:rPr>
        <w:t xml:space="preserve"> И.Д. найден в гондоле мертвым.</w:t>
      </w:r>
    </w:p>
    <w:p w14:paraId="1BF9C869"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588A1226"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На основании найденных и тщательно исследованных материалов Комиссия устанавливает:</w:t>
      </w:r>
    </w:p>
    <w:p w14:paraId="43E729E0"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163E49B3"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6E9E0AE7"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40152692"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06758330"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65367B3D"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7622B2D7"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2C33E096"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5D3BA558" w14:textId="77777777" w:rsidR="00B642B8" w:rsidRPr="007122AB" w:rsidRDefault="00B642B8"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54430C6A"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На основании работы аварийной комиссии было установлено:</w:t>
      </w:r>
    </w:p>
    <w:p w14:paraId="2B402A7B"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57AA80B5"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4318794B"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1CF20E69"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0D1F95A9"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После изучения всех материалов и, в частности, записей, сделанных в бортовом журнале погибшими стратонавтами, причины катастрофы удалось уточнить. </w:t>
      </w:r>
      <w:proofErr w:type="spellStart"/>
      <w:r w:rsidRPr="007122AB">
        <w:rPr>
          <w:color w:val="000000" w:themeColor="text1"/>
          <w:sz w:val="16"/>
          <w:szCs w:val="16"/>
        </w:rPr>
        <w:t>Г.А.Прокофьев</w:t>
      </w:r>
      <w:proofErr w:type="spellEnd"/>
      <w:r w:rsidRPr="007122AB">
        <w:rPr>
          <w:color w:val="000000" w:themeColor="text1"/>
          <w:sz w:val="16"/>
          <w:szCs w:val="16"/>
        </w:rPr>
        <w:t xml:space="preserve"> в своем докладе от 22 февраля 1934 года отмечал следующее:</w:t>
      </w:r>
    </w:p>
    <w:p w14:paraId="0FBD1AC3" w14:textId="77777777" w:rsidR="00B642B8" w:rsidRPr="007122AB" w:rsidRDefault="00B642B8" w:rsidP="007122AB">
      <w:pPr>
        <w:pStyle w:val="ae"/>
        <w:shd w:val="clear" w:color="auto" w:fill="FFFFFF"/>
        <w:spacing w:before="0" w:after="0"/>
        <w:jc w:val="both"/>
        <w:rPr>
          <w:color w:val="000000" w:themeColor="text1"/>
          <w:sz w:val="16"/>
          <w:szCs w:val="16"/>
        </w:rPr>
      </w:pPr>
      <w:r w:rsidRPr="007122AB">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64B85E50" w14:textId="77777777" w:rsidR="00B642B8" w:rsidRPr="007122AB" w:rsidRDefault="00B642B8" w:rsidP="007122AB">
      <w:pPr>
        <w:spacing w:after="0" w:line="240" w:lineRule="auto"/>
        <w:jc w:val="both"/>
        <w:rPr>
          <w:rFonts w:ascii="Times New Roman" w:hAnsi="Times New Roman"/>
          <w:color w:val="000000" w:themeColor="text1"/>
          <w:sz w:val="16"/>
          <w:szCs w:val="16"/>
        </w:rPr>
      </w:pPr>
    </w:p>
    <w:p w14:paraId="10071B1A"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 начале 1931 г. работавший в НИИ ВВС военный инженер В.С. Вахмистров, выпускник Военно-воздушной академии, предложил оригинальную идею - самолет-авианосец. В то время уже считалось реальным размещение летательных аппаратов на дирижабле. Немцы экспериментировали как с планерами, так и с легкими самолетами, а в США близились к завершению огромные дирижабли «Акрон» и «</w:t>
      </w:r>
      <w:proofErr w:type="spellStart"/>
      <w:r w:rsidRPr="007122AB">
        <w:rPr>
          <w:rFonts w:ascii="Times New Roman" w:hAnsi="Times New Roman" w:cs="Times New Roman"/>
          <w:color w:val="000000" w:themeColor="text1"/>
        </w:rPr>
        <w:t>Мекон</w:t>
      </w:r>
      <w:proofErr w:type="spellEnd"/>
      <w:r w:rsidRPr="007122AB">
        <w:rPr>
          <w:rFonts w:ascii="Times New Roman" w:hAnsi="Times New Roman" w:cs="Times New Roman"/>
          <w:color w:val="000000" w:themeColor="text1"/>
        </w:rPr>
        <w:t>», каждый из которых нес по пять истребителей. При этом американцы могли как запустить самолеты с носителя, так и принять их обратно.</w:t>
      </w:r>
    </w:p>
    <w:p w14:paraId="7BA76778"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Самолет мог лететь быстрее, чем дирижабль, занимал намного меньше места и не представлял из себя столь неуклюжую мишень. При использовании в военных целях это казалось существенными плюсами.</w:t>
      </w:r>
    </w:p>
    <w:p w14:paraId="60395B2E"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Но грузоподъемность дирижаблей и самолетов в то время была несоизмерима. Соответственно, и предложение Вахмистрова выглядело куда скромнее. В качестве носителя он взял двухмоторный бомбардировщик ТБ-1. Впрочем, выбирать конструктору не приходилось: ТБ-1 тогда являлся единственной машиной со сколь-нибудь приемлемой грузоподъемностью, четырехмоторный ТБ-3 существовал в единственном экземпляре, только проходившем испытания. При предельном облегчении ТБ-1 мог поднять в воздух два истребителя И-4.</w:t>
      </w:r>
    </w:p>
    <w:p w14:paraId="136BE5D4"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И-4 с «летающего авианосца» предполагалось использовать за пределами радиуса действия истребителей, стартующих с земли, - над открытым морем или в глубоком тылу противника. Дальность полета двухмоторного бомбардировщика превосходила возможности маленького одномоторного истребителя. При полетах на полный радиус ТБ-1 с определенного момента лишался истребительного прикрытия. Эскорт вынужден был оставить бомбардировщики и лечь на обратный курс. Вот тогда и вступали в действие летающие авианосцы, идущие в составе группы. Стартовавшие с них самолеты обеспечивали сопровождение бомбардировщиков вплоть до самой цели и на обратном пути, при необходимости вступая в воздушный бой с истребителями противника. По прикидкам конструктора, радиус действия И-4, запускаемых с самолета-носителя, увеличивался вдвое.</w:t>
      </w:r>
    </w:p>
    <w:p w14:paraId="2D5CC1FF"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 частности, просчитывался налет на Варшаву с приграничных аэродромов. Взлет предполагался ночью, с восходом солнца истребители отцеплялись и занимали места вокруг соединения бомбардировщиков.</w:t>
      </w:r>
    </w:p>
    <w:p w14:paraId="5A8B0E28"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Охранением функции этих машин не ограничивались. Вахмистров предлагал использовать их также для подавления зенитных батарей, постановки ослепляющих дымовых завес. Уйдя вперед от охраняемого соединения бомбардировщиков, истребители могли глушить </w:t>
      </w:r>
      <w:proofErr w:type="spellStart"/>
      <w:r w:rsidRPr="007122AB">
        <w:rPr>
          <w:rFonts w:ascii="Times New Roman" w:hAnsi="Times New Roman" w:cs="Times New Roman"/>
          <w:color w:val="000000" w:themeColor="text1"/>
        </w:rPr>
        <w:t>звукопеленгаторы</w:t>
      </w:r>
      <w:proofErr w:type="spellEnd"/>
      <w:r w:rsidRPr="007122AB">
        <w:rPr>
          <w:rFonts w:ascii="Times New Roman" w:hAnsi="Times New Roman" w:cs="Times New Roman"/>
          <w:color w:val="000000" w:themeColor="text1"/>
        </w:rPr>
        <w:t>, применявшиеся в то время для определения положения самолетов на больших расстояниях (радиолокаторов еще не существовало).</w:t>
      </w:r>
    </w:p>
    <w:p w14:paraId="23AAE90D"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Летающие авианосцы могли бы помочь в отражении массированных налетов вражеской авиации, встречая группы бомбардировщиков вдали от охраняемого объекта. В перспективе предполагалось несение телемеханических (радиоуправляемых) машин, груженых взрывчаткой и применяемых как мощные управляемые крылатые бомбы. Ими собирались поражать крупные промышленные объекты и большие боевые корабли - крейсера и линкоры. Оператор управления при этом размещался на самолете-носителе. За счет демонтажа кресла, приборной доски, стрелкового вооружения вес боевой части Вахмистров собирался довести до 625 кг (значительно больше, чем у бомб и торпед того времени). Такую цифру получали еще за счет минимального запаса горючего - ведь далеко лететь крылатой бомбе не придется, всего несколько километров, она должна оставаться в пределах видимости для оператора. Подобными аппаратами намеревались поражать также бомбардировщики, идущие в плотном строю. Предполагалось, что радиус поражения составит около 100 м. Эти же радиоуправляемые самолеты могли использоваться как воздушные мишени для обучения зенитчиков и воздушных стрелков.</w:t>
      </w:r>
    </w:p>
    <w:p w14:paraId="6EBB6D5D"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Надо сказать, что для ТБ-1 пара И-4 являлась нагрузкой нелегкой. Бомбовая нагрузка этого самолета равнялась 900 кг, а взлетный вес каждого истребителя составлял около 1430 кг. Отсюда следовало, что все машины требовалось существенно облегчать. Взлетать предусматривалось с работающими моторами всех трех самолетов.</w:t>
      </w:r>
    </w:p>
    <w:p w14:paraId="275F7A3A"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По расчетам Вахмистрова получалось, что на таком режиме скорость и скороподъемность всей сцепки не уменьшатся по сравнению с обычным ТБ-1 с бомбами, а, наоборот, возрастут на 5 - 7%. Это происходило за счет того, что у истребителей отношение мощности двигателя к взлетному весу было существенно больше, чем у бомбардировщика. Следовательно, тяговооруженность всего комплекта вырастала.</w:t>
      </w:r>
    </w:p>
    <w:p w14:paraId="14E0DD36" w14:textId="77777777" w:rsidR="00B642B8" w:rsidRPr="007122AB" w:rsidRDefault="00B642B8"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В первоначальном варианте проекта сцепка именуется «самолетом-звеном Вахмистрова», сокращенно - СЗВ. Позже этот тип «летающего авианосца» стал известен как «Звено-1». В мастерских НИИ ВВС столяры изготовили модель всей сцепки, которую потом продули в аэродинамической трубе ЦАГИ. Больше всего боялись, что для управления «звеном» у бомбардировщика не хватит площади рулей. Однако размещение истребителей на крыле носителя не вызвало нежелательных эффектов - ни чрезмерного </w:t>
      </w:r>
      <w:proofErr w:type="spellStart"/>
      <w:r w:rsidRPr="007122AB">
        <w:rPr>
          <w:rFonts w:ascii="Times New Roman" w:hAnsi="Times New Roman" w:cs="Times New Roman"/>
          <w:color w:val="000000" w:themeColor="text1"/>
        </w:rPr>
        <w:t>вихреоб</w:t>
      </w:r>
      <w:proofErr w:type="spellEnd"/>
      <w:r w:rsidRPr="007122AB">
        <w:rPr>
          <w:rFonts w:ascii="Times New Roman" w:hAnsi="Times New Roman" w:cs="Times New Roman"/>
          <w:color w:val="000000" w:themeColor="text1"/>
        </w:rPr>
        <w:t xml:space="preserve">- </w:t>
      </w:r>
      <w:proofErr w:type="spellStart"/>
      <w:r w:rsidRPr="007122AB">
        <w:rPr>
          <w:rFonts w:ascii="Times New Roman" w:hAnsi="Times New Roman" w:cs="Times New Roman"/>
          <w:color w:val="000000" w:themeColor="text1"/>
        </w:rPr>
        <w:t>разования</w:t>
      </w:r>
      <w:proofErr w:type="spellEnd"/>
      <w:r w:rsidRPr="007122AB">
        <w:rPr>
          <w:rFonts w:ascii="Times New Roman" w:hAnsi="Times New Roman" w:cs="Times New Roman"/>
          <w:color w:val="000000" w:themeColor="text1"/>
        </w:rPr>
        <w:t>, ни «затенения» оперения не выявили. Отчасти этому способствовали малые скорости самолетов того времени (19100).</w:t>
      </w:r>
    </w:p>
    <w:p w14:paraId="119327CD" w14:textId="77777777" w:rsidR="00B642B8" w:rsidRPr="007122AB" w:rsidRDefault="00B642B8" w:rsidP="007122AB">
      <w:pPr>
        <w:pStyle w:val="a8"/>
        <w:jc w:val="both"/>
        <w:rPr>
          <w:rFonts w:ascii="Times New Roman" w:hAnsi="Times New Roman" w:cs="Times New Roman"/>
          <w:color w:val="000000" w:themeColor="text1"/>
        </w:rPr>
      </w:pPr>
    </w:p>
    <w:p w14:paraId="7CB634EF" w14:textId="77777777" w:rsidR="00EB19FC" w:rsidRPr="00441F34" w:rsidRDefault="00EB19FC" w:rsidP="00EB1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1931 г. НИИ ВВС занимался вопросом заправки ТБ—1 в воздухе. В ка</w:t>
      </w:r>
      <w:r w:rsidRPr="00441F34">
        <w:rPr>
          <w:rFonts w:ascii="Times New Roman" w:hAnsi="Times New Roman"/>
          <w:color w:val="0070C0"/>
          <w:sz w:val="16"/>
          <w:szCs w:val="16"/>
        </w:rPr>
        <w:softHyphen/>
        <w:t>честве заправщика-танкера в первых опы</w:t>
      </w:r>
      <w:r w:rsidRPr="00441F34">
        <w:rPr>
          <w:rFonts w:ascii="Times New Roman" w:hAnsi="Times New Roman"/>
          <w:color w:val="0070C0"/>
          <w:sz w:val="16"/>
          <w:szCs w:val="16"/>
        </w:rPr>
        <w:softHyphen/>
        <w:t>тах использовался самолет Р—5. В его фю</w:t>
      </w:r>
      <w:r w:rsidRPr="00441F34">
        <w:rPr>
          <w:rFonts w:ascii="Times New Roman" w:hAnsi="Times New Roman"/>
          <w:color w:val="0070C0"/>
          <w:sz w:val="16"/>
          <w:szCs w:val="16"/>
        </w:rPr>
        <w:softHyphen/>
        <w:t>зеляже разместили дополнительный бак, из которого выходил шланг. Свободный конец шланга был намотан на барабан. Р—5 летел над ТБ—1, и техник через отвер</w:t>
      </w:r>
      <w:r w:rsidRPr="00441F34">
        <w:rPr>
          <w:rFonts w:ascii="Times New Roman" w:hAnsi="Times New Roman"/>
          <w:color w:val="0070C0"/>
          <w:sz w:val="16"/>
          <w:szCs w:val="16"/>
        </w:rPr>
        <w:softHyphen/>
        <w:t>стие в фюзеляже выпускал шланг. Механик на ТБ—1, находясь в кабине верхнего стрелка, ловил «конец» и присоединял к топливной системе. Знак рукой — и с Р—5 самотеком начинал поступать бензин. Военный инженер А.К. Запакованный и летчик И. Белозеров в 1933—1935 гг. про</w:t>
      </w:r>
      <w:r w:rsidRPr="00441F34">
        <w:rPr>
          <w:rFonts w:ascii="Times New Roman" w:hAnsi="Times New Roman"/>
          <w:color w:val="0070C0"/>
          <w:sz w:val="16"/>
          <w:szCs w:val="16"/>
        </w:rPr>
        <w:softHyphen/>
        <w:t>водили такие эксперименты, совершен</w:t>
      </w:r>
      <w:r w:rsidRPr="00441F34">
        <w:rPr>
          <w:rFonts w:ascii="Times New Roman" w:hAnsi="Times New Roman"/>
          <w:color w:val="0070C0"/>
          <w:sz w:val="16"/>
          <w:szCs w:val="16"/>
        </w:rPr>
        <w:softHyphen/>
        <w:t>ствуя технику дозаправки. На сей раз ТБ—1 выполнял при необходимости роль и танкера и заправляемого самолета (23474).</w:t>
      </w:r>
    </w:p>
    <w:p w14:paraId="7519A18B" w14:textId="77777777" w:rsidR="00EB19FC" w:rsidRPr="00441F34" w:rsidRDefault="00EB19FC" w:rsidP="00EB19FC">
      <w:pPr>
        <w:spacing w:after="0" w:line="240" w:lineRule="auto"/>
        <w:jc w:val="both"/>
        <w:rPr>
          <w:rFonts w:ascii="Times New Roman" w:hAnsi="Times New Roman"/>
          <w:color w:val="0070C0"/>
          <w:sz w:val="16"/>
          <w:szCs w:val="16"/>
        </w:rPr>
      </w:pPr>
    </w:p>
    <w:p w14:paraId="7A0E252C"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начале 1931 г. БОСЭД развернул рабо</w:t>
      </w:r>
      <w:r w:rsidRPr="007122AB">
        <w:rPr>
          <w:rFonts w:ascii="Times New Roman" w:hAnsi="Times New Roman"/>
          <w:color w:val="000000" w:themeColor="text1"/>
          <w:sz w:val="16"/>
          <w:szCs w:val="16"/>
        </w:rPr>
        <w:softHyphen/>
        <w:t>ты по поиску места для строительства Дирижа</w:t>
      </w:r>
      <w:r w:rsidRPr="007122AB">
        <w:rPr>
          <w:rFonts w:ascii="Times New Roman" w:hAnsi="Times New Roman"/>
          <w:color w:val="000000" w:themeColor="text1"/>
          <w:sz w:val="16"/>
          <w:szCs w:val="16"/>
        </w:rPr>
        <w:softHyphen/>
        <w:t>бельной верфи и Испытательного центра — базы создания советского дирижаблестроения. Так как разрешение на строительство базы на берегу Плещеева озера вблизи г. Переславль-Залесский получить не удалось, то подыскали другую пло</w:t>
      </w:r>
      <w:r w:rsidRPr="007122AB">
        <w:rPr>
          <w:rFonts w:ascii="Times New Roman" w:hAnsi="Times New Roman"/>
          <w:color w:val="000000" w:themeColor="text1"/>
          <w:sz w:val="16"/>
          <w:szCs w:val="16"/>
        </w:rPr>
        <w:softHyphen/>
        <w:t xml:space="preserve">щадку, вблизи Москвы, у платформы </w:t>
      </w:r>
      <w:proofErr w:type="spellStart"/>
      <w:r w:rsidRPr="007122AB">
        <w:rPr>
          <w:rFonts w:ascii="Times New Roman" w:hAnsi="Times New Roman"/>
          <w:color w:val="000000" w:themeColor="text1"/>
          <w:sz w:val="16"/>
          <w:szCs w:val="16"/>
        </w:rPr>
        <w:t>Долгопруд</w:t>
      </w:r>
      <w:r w:rsidRPr="007122AB">
        <w:rPr>
          <w:rFonts w:ascii="Times New Roman" w:hAnsi="Times New Roman"/>
          <w:color w:val="000000" w:themeColor="text1"/>
          <w:sz w:val="16"/>
          <w:szCs w:val="16"/>
        </w:rPr>
        <w:softHyphen/>
        <w:t>ная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Савёловской</w:t>
      </w:r>
      <w:proofErr w:type="spellEnd"/>
      <w:r w:rsidRPr="007122AB">
        <w:rPr>
          <w:rFonts w:ascii="Times New Roman" w:hAnsi="Times New Roman"/>
          <w:color w:val="000000" w:themeColor="text1"/>
          <w:sz w:val="16"/>
          <w:szCs w:val="16"/>
        </w:rPr>
        <w:t xml:space="preserve"> линии Северной </w:t>
      </w:r>
      <w:proofErr w:type="spellStart"/>
      <w:r w:rsidRPr="007122AB">
        <w:rPr>
          <w:rFonts w:ascii="Times New Roman" w:hAnsi="Times New Roman"/>
          <w:color w:val="000000" w:themeColor="text1"/>
          <w:sz w:val="16"/>
          <w:szCs w:val="16"/>
        </w:rPr>
        <w:t>ж.д</w:t>
      </w:r>
      <w:proofErr w:type="spellEnd"/>
      <w:r w:rsidRPr="007122AB">
        <w:rPr>
          <w:rFonts w:ascii="Times New Roman" w:hAnsi="Times New Roman"/>
          <w:color w:val="000000" w:themeColor="text1"/>
          <w:sz w:val="16"/>
          <w:szCs w:val="16"/>
        </w:rPr>
        <w:t xml:space="preserve">. На этой площадке, выбранной в мае 1931 г. командиром дирижабля «Комсомольская правда» Е.М. </w:t>
      </w:r>
      <w:proofErr w:type="spellStart"/>
      <w:r w:rsidRPr="007122AB">
        <w:rPr>
          <w:rFonts w:ascii="Times New Roman" w:hAnsi="Times New Roman"/>
          <w:color w:val="000000" w:themeColor="text1"/>
          <w:sz w:val="16"/>
          <w:szCs w:val="16"/>
        </w:rPr>
        <w:t>Опп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маном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такелажмейстером</w:t>
      </w:r>
      <w:proofErr w:type="spellEnd"/>
      <w:r w:rsidRPr="007122AB">
        <w:rPr>
          <w:rFonts w:ascii="Times New Roman" w:hAnsi="Times New Roman"/>
          <w:color w:val="000000" w:themeColor="text1"/>
          <w:sz w:val="16"/>
          <w:szCs w:val="16"/>
        </w:rPr>
        <w:t xml:space="preserve"> И.В. Гузеевым, наме</w:t>
      </w:r>
      <w:r w:rsidRPr="007122AB">
        <w:rPr>
          <w:rFonts w:ascii="Times New Roman" w:hAnsi="Times New Roman"/>
          <w:color w:val="000000" w:themeColor="text1"/>
          <w:sz w:val="16"/>
          <w:szCs w:val="16"/>
        </w:rPr>
        <w:softHyphen/>
        <w:t xml:space="preserve">чалось построить эллинг для этого дирижабля, базировавшегося в 1930-1933 годах в овраге под </w:t>
      </w:r>
      <w:proofErr w:type="spellStart"/>
      <w:r w:rsidRPr="007122AB">
        <w:rPr>
          <w:rFonts w:ascii="Times New Roman" w:hAnsi="Times New Roman"/>
          <w:color w:val="000000" w:themeColor="text1"/>
          <w:sz w:val="16"/>
          <w:szCs w:val="16"/>
        </w:rPr>
        <w:t>Кунцевым</w:t>
      </w:r>
      <w:proofErr w:type="spellEnd"/>
      <w:r w:rsidRPr="007122AB">
        <w:rPr>
          <w:rFonts w:ascii="Times New Roman" w:hAnsi="Times New Roman"/>
          <w:color w:val="000000" w:themeColor="text1"/>
          <w:sz w:val="16"/>
          <w:szCs w:val="16"/>
        </w:rPr>
        <w:t xml:space="preserve"> (20120).</w:t>
      </w:r>
    </w:p>
    <w:p w14:paraId="0BB4F137" w14:textId="77777777" w:rsidR="00BE087B" w:rsidRPr="007122AB" w:rsidRDefault="00BE087B" w:rsidP="007122AB">
      <w:pPr>
        <w:spacing w:after="0" w:line="240" w:lineRule="auto"/>
        <w:jc w:val="both"/>
        <w:rPr>
          <w:rFonts w:ascii="Times New Roman" w:hAnsi="Times New Roman"/>
          <w:color w:val="000000" w:themeColor="text1"/>
          <w:sz w:val="16"/>
          <w:szCs w:val="16"/>
        </w:rPr>
      </w:pPr>
    </w:p>
    <w:p w14:paraId="19194031" w14:textId="7ADA77C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В начале 1931 года из-за затянувшейся неопределённости </w:t>
      </w:r>
      <w:proofErr w:type="spellStart"/>
      <w:r w:rsidRPr="007122AB">
        <w:rPr>
          <w:rFonts w:ascii="Times New Roman" w:hAnsi="Times New Roman"/>
          <w:color w:val="000000" w:themeColor="text1"/>
          <w:sz w:val="16"/>
          <w:szCs w:val="16"/>
          <w:lang w:eastAsia="ru-RU" w:bidi="ru-RU"/>
        </w:rPr>
        <w:t>дирижаблестроители</w:t>
      </w:r>
      <w:proofErr w:type="spellEnd"/>
      <w:r w:rsidRPr="007122AB">
        <w:rPr>
          <w:rFonts w:ascii="Times New Roman" w:hAnsi="Times New Roman"/>
          <w:color w:val="000000" w:themeColor="text1"/>
          <w:sz w:val="16"/>
          <w:szCs w:val="16"/>
          <w:lang w:eastAsia="ru-RU" w:bidi="ru-RU"/>
        </w:rPr>
        <w:t xml:space="preserve"> пребывали в сложном положении. Время, и без того крайне ограниченное, неумолимо уходило - это вынуждало идти вперёд. Однако любой шаг, имеющий долгосрочные последствия, мог задним числом войти в противоречие с основополагающими установками, которые рано или поздно должны были поступить из высших инстанций.</w:t>
      </w:r>
    </w:p>
    <w:p w14:paraId="78C04893"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Не видя подвижек в течение полугода, начала проявлять беспокойство воздухоплавательная общественность. Её настроения отражает проект документа под названием «Генеральная линия комитета содействия дирижаблестроению»:</w:t>
      </w:r>
    </w:p>
    <w:p w14:paraId="03AD3920"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отношении... развития дирижаблестроения ВОГВФ хранит молчание. И это молчание не может быть объяснено никакими серьёзными мотивами.</w:t>
      </w:r>
    </w:p>
    <w:p w14:paraId="27752EB5"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Все наши гиганты индустрии рождались под самым широким контролем пролетариата. Наши гиганты воздуха тоже должны строиться при широкой поддержке общественности.</w:t>
      </w:r>
    </w:p>
    <w:p w14:paraId="558DA46D"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Не может быть такого положения, чтобы трудящиеся Союза не знали основных решений ВОГВФ о применении дирижаблей в деле обслуживания нужд народного хозяйства, чтобы они не знали, где, как и когда оказать помощь строительству дирижаблей.</w:t>
      </w:r>
    </w:p>
    <w:p w14:paraId="35E9DF29"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Общественность имела право спрашивать: к этому времени в фонд постройки советских гигантов воздуха собрали уже 10 млн рублей, и трудящиеся хотели знать, на что пойдут их деньги.</w:t>
      </w:r>
    </w:p>
    <w:p w14:paraId="68230182"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По-видимому, давление ощущалось не только снизу, но и сверху: в марте истекали два месяца, которые Политбюро отвело на подготовку решения о дирижаблестроении.</w:t>
      </w:r>
    </w:p>
    <w:p w14:paraId="21FDBB5C" w14:textId="77777777" w:rsidR="00370FDB" w:rsidRPr="007122AB" w:rsidRDefault="00370FD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Выход, рекомендованный </w:t>
      </w:r>
      <w:proofErr w:type="spellStart"/>
      <w:r w:rsidRPr="007122AB">
        <w:rPr>
          <w:rFonts w:ascii="Times New Roman" w:hAnsi="Times New Roman"/>
          <w:color w:val="000000" w:themeColor="text1"/>
          <w:sz w:val="16"/>
          <w:szCs w:val="16"/>
          <w:lang w:eastAsia="ru-RU" w:bidi="ru-RU"/>
        </w:rPr>
        <w:t>Гольцману</w:t>
      </w:r>
      <w:proofErr w:type="spellEnd"/>
      <w:r w:rsidRPr="007122AB">
        <w:rPr>
          <w:rFonts w:ascii="Times New Roman" w:hAnsi="Times New Roman"/>
          <w:color w:val="000000" w:themeColor="text1"/>
          <w:sz w:val="16"/>
          <w:szCs w:val="16"/>
          <w:lang w:eastAsia="ru-RU" w:bidi="ru-RU"/>
        </w:rPr>
        <w:t xml:space="preserve"> советниками, заключался в том, чтобы объявить 1931 год подготовительным этапом, периодом «малого» дирижаблестроения, осуществляемого по отдельной краткосрочной программе с небольшими затратами, без необратимых решений. Это позволяло заниматься делом, сохраняя возможность всё переиграть в случае, если полученные указания будут отличаться от предполагаемых.</w:t>
      </w:r>
    </w:p>
    <w:p w14:paraId="1E0977D0" w14:textId="0869F58E" w:rsidR="00370FDB" w:rsidRPr="007122AB" w:rsidRDefault="00370FDB"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Одновременно начальнику ВОГВФ рекомендовали как наилучшее место для «малой» дирижаблестроительной базы Ленинград: на судостроительном заводе им. Андре Марти пустовали два старых корабельных дока, которые можно было использовать для изготовления и сборки дирижаблей объёмом до 25 тыс. кубометров, там же имелось необходимое производственное оборудование. Проектирование первых воздушных кораблей предлагалось организовать силами конструкторского бюро, создаваемого в Ленинградском институте гражданского воздушного флота (ЛИГВФ)</w:t>
      </w:r>
      <w:r w:rsidR="0019470D" w:rsidRPr="007122AB">
        <w:rPr>
          <w:rFonts w:ascii="Times New Roman" w:hAnsi="Times New Roman"/>
          <w:color w:val="000000" w:themeColor="text1"/>
          <w:sz w:val="16"/>
          <w:szCs w:val="16"/>
          <w:lang w:eastAsia="ru-RU" w:bidi="ru-RU"/>
        </w:rPr>
        <w:t xml:space="preserve"> (23192)</w:t>
      </w:r>
      <w:r w:rsidRPr="007122AB">
        <w:rPr>
          <w:rFonts w:ascii="Times New Roman" w:hAnsi="Times New Roman"/>
          <w:color w:val="000000" w:themeColor="text1"/>
          <w:sz w:val="16"/>
          <w:szCs w:val="16"/>
          <w:lang w:eastAsia="ru-RU" w:bidi="ru-RU"/>
        </w:rPr>
        <w:t>.</w:t>
      </w:r>
    </w:p>
    <w:p w14:paraId="36F5E7C8" w14:textId="77777777" w:rsidR="0019470D" w:rsidRPr="007122AB" w:rsidRDefault="0019470D" w:rsidP="007122AB">
      <w:pPr>
        <w:spacing w:after="0" w:line="240" w:lineRule="auto"/>
        <w:jc w:val="both"/>
        <w:rPr>
          <w:rFonts w:ascii="Times New Roman" w:hAnsi="Times New Roman"/>
          <w:color w:val="000000" w:themeColor="text1"/>
          <w:sz w:val="16"/>
          <w:szCs w:val="16"/>
        </w:rPr>
      </w:pPr>
    </w:p>
    <w:p w14:paraId="556AAC60" w14:textId="5D2D42C6"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863D4F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098EEC"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Также в начале 1931 г. группой «Д» были представлены в НТК АУ проекты мин к 76-мм миномету Стокса двух видов – из </w:t>
      </w:r>
      <w:proofErr w:type="spellStart"/>
      <w:r w:rsidRPr="007122AB">
        <w:rPr>
          <w:rFonts w:ascii="Times New Roman" w:hAnsi="Times New Roman"/>
          <w:color w:val="000000" w:themeColor="text1"/>
          <w:sz w:val="16"/>
          <w:szCs w:val="16"/>
        </w:rPr>
        <w:t>сталистого</w:t>
      </w:r>
      <w:proofErr w:type="spellEnd"/>
      <w:r w:rsidRPr="007122AB">
        <w:rPr>
          <w:rFonts w:ascii="Times New Roman" w:hAnsi="Times New Roman"/>
          <w:color w:val="000000" w:themeColor="text1"/>
          <w:sz w:val="16"/>
          <w:szCs w:val="16"/>
        </w:rPr>
        <w:t xml:space="preserve"> чугуна и стальная, каждая из которых была разработана с тремя вариантами стабилизатора (с целью определения его оптимальной длины).18 (20074)</w:t>
      </w:r>
    </w:p>
    <w:p w14:paraId="46BCEACC" w14:textId="77777777" w:rsidR="00BE087B" w:rsidRPr="007122AB" w:rsidRDefault="00BE087B" w:rsidP="007122AB">
      <w:pPr>
        <w:spacing w:after="0" w:line="240" w:lineRule="auto"/>
        <w:jc w:val="both"/>
        <w:rPr>
          <w:rFonts w:ascii="Times New Roman" w:hAnsi="Times New Roman"/>
          <w:color w:val="000000" w:themeColor="text1"/>
          <w:sz w:val="16"/>
          <w:szCs w:val="16"/>
        </w:rPr>
      </w:pPr>
    </w:p>
    <w:p w14:paraId="28EDC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года был изготовлен на заводе "Большевик" первый опытный образец 203-мм гаубицы Б-4 (3861).</w:t>
      </w:r>
    </w:p>
    <w:p w14:paraId="44BAA0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A8CB7D" w14:textId="77777777" w:rsidR="00252EFE" w:rsidRPr="007122AB" w:rsidRDefault="00252EFE" w:rsidP="007122AB">
      <w:pPr>
        <w:pStyle w:val="ae"/>
        <w:spacing w:before="0" w:after="0"/>
        <w:jc w:val="both"/>
        <w:rPr>
          <w:color w:val="000000" w:themeColor="text1"/>
          <w:sz w:val="16"/>
          <w:szCs w:val="16"/>
        </w:rPr>
      </w:pPr>
      <w:r w:rsidRPr="007122AB">
        <w:rPr>
          <w:color w:val="000000" w:themeColor="text1"/>
          <w:sz w:val="16"/>
          <w:szCs w:val="16"/>
        </w:rPr>
        <w:t>В начале 1931 г. заводом «Большевик» заводом «</w:t>
      </w:r>
      <w:proofErr w:type="spellStart"/>
      <w:r w:rsidRPr="007122AB">
        <w:rPr>
          <w:color w:val="000000" w:themeColor="text1"/>
          <w:sz w:val="16"/>
          <w:szCs w:val="16"/>
        </w:rPr>
        <w:t>Большевик»первый</w:t>
      </w:r>
      <w:proofErr w:type="spellEnd"/>
      <w:r w:rsidRPr="007122AB">
        <w:rPr>
          <w:color w:val="000000" w:themeColor="text1"/>
          <w:sz w:val="16"/>
          <w:szCs w:val="16"/>
        </w:rPr>
        <w:t xml:space="preserve"> опытный экземпляр гаубицы был изготовлен </w:t>
      </w:r>
    </w:p>
    <w:p w14:paraId="5493511A" w14:textId="77777777" w:rsidR="00252EFE" w:rsidRPr="007122AB" w:rsidRDefault="00252EFE" w:rsidP="007122AB">
      <w:pPr>
        <w:pStyle w:val="ae"/>
        <w:spacing w:before="0" w:after="0"/>
        <w:jc w:val="both"/>
        <w:rPr>
          <w:color w:val="000000" w:themeColor="text1"/>
          <w:sz w:val="16"/>
          <w:szCs w:val="16"/>
        </w:rPr>
      </w:pPr>
      <w:r w:rsidRPr="007122AB">
        <w:rPr>
          <w:color w:val="000000" w:themeColor="text1"/>
          <w:sz w:val="16"/>
          <w:szCs w:val="16"/>
        </w:rPr>
        <w:t>Тактико-технические данные гаубицы Б-4:</w:t>
      </w:r>
    </w:p>
    <w:p w14:paraId="329B325B" w14:textId="77777777" w:rsidR="00252EFE" w:rsidRPr="007122AB" w:rsidRDefault="00000000" w:rsidP="007122AB">
      <w:pPr>
        <w:pStyle w:val="ae"/>
        <w:spacing w:before="0" w:after="0"/>
        <w:jc w:val="both"/>
        <w:rPr>
          <w:color w:val="000000" w:themeColor="text1"/>
          <w:sz w:val="16"/>
          <w:szCs w:val="16"/>
        </w:rPr>
      </w:pPr>
      <w:hyperlink r:id="rId12" w:anchor="bookmark113" w:history="1">
        <w:r w:rsidR="00252EFE" w:rsidRPr="007122AB">
          <w:rPr>
            <w:rStyle w:val="a5"/>
            <w:rFonts w:eastAsia="Times New Roman"/>
            <w:color w:val="000000" w:themeColor="text1"/>
            <w:sz w:val="16"/>
            <w:szCs w:val="16"/>
            <w:u w:val="none"/>
          </w:rPr>
          <w:t>Калибр, мм.............................. 203,4</w:t>
        </w:r>
      </w:hyperlink>
    </w:p>
    <w:p w14:paraId="06E793B8" w14:textId="77777777" w:rsidR="00252EFE" w:rsidRPr="007122AB" w:rsidRDefault="00252EFE" w:rsidP="007122AB">
      <w:pPr>
        <w:pStyle w:val="ae"/>
        <w:spacing w:before="0" w:after="0"/>
        <w:jc w:val="both"/>
        <w:rPr>
          <w:color w:val="000000" w:themeColor="text1"/>
          <w:sz w:val="16"/>
          <w:szCs w:val="16"/>
        </w:rPr>
      </w:pPr>
      <w:r w:rsidRPr="007122AB">
        <w:rPr>
          <w:color w:val="000000" w:themeColor="text1"/>
          <w:sz w:val="16"/>
          <w:szCs w:val="16"/>
        </w:rPr>
        <w:t>Длина ствола, мм/</w:t>
      </w:r>
      <w:proofErr w:type="spellStart"/>
      <w:r w:rsidRPr="007122AB">
        <w:rPr>
          <w:color w:val="000000" w:themeColor="text1"/>
          <w:sz w:val="16"/>
          <w:szCs w:val="16"/>
        </w:rPr>
        <w:t>клб</w:t>
      </w:r>
      <w:proofErr w:type="spellEnd"/>
      <w:r w:rsidRPr="007122AB">
        <w:rPr>
          <w:color w:val="000000" w:themeColor="text1"/>
          <w:sz w:val="16"/>
          <w:szCs w:val="16"/>
        </w:rPr>
        <w:t>................ 4617/22,7</w:t>
      </w:r>
    </w:p>
    <w:p w14:paraId="7D1AB855" w14:textId="77777777" w:rsidR="00252EFE" w:rsidRPr="007122AB" w:rsidRDefault="00252EFE" w:rsidP="007122AB">
      <w:pPr>
        <w:pStyle w:val="ae"/>
        <w:spacing w:before="0" w:after="0"/>
        <w:jc w:val="both"/>
        <w:rPr>
          <w:color w:val="000000" w:themeColor="text1"/>
          <w:sz w:val="16"/>
          <w:szCs w:val="16"/>
        </w:rPr>
      </w:pPr>
      <w:r w:rsidRPr="007122AB">
        <w:rPr>
          <w:color w:val="000000" w:themeColor="text1"/>
          <w:sz w:val="16"/>
          <w:szCs w:val="16"/>
        </w:rPr>
        <w:t xml:space="preserve">Крутизна нарезов, </w:t>
      </w:r>
      <w:proofErr w:type="spellStart"/>
      <w:r w:rsidRPr="007122AB">
        <w:rPr>
          <w:color w:val="000000" w:themeColor="text1"/>
          <w:sz w:val="16"/>
          <w:szCs w:val="16"/>
        </w:rPr>
        <w:t>клб</w:t>
      </w:r>
      <w:proofErr w:type="spellEnd"/>
      <w:r w:rsidRPr="007122AB">
        <w:rPr>
          <w:color w:val="000000" w:themeColor="text1"/>
          <w:sz w:val="16"/>
          <w:szCs w:val="16"/>
        </w:rPr>
        <w:t>/град............25/7°10&gt;</w:t>
      </w:r>
    </w:p>
    <w:p w14:paraId="051E8174" w14:textId="77777777" w:rsidR="00252EFE" w:rsidRPr="007122AB" w:rsidRDefault="00000000" w:rsidP="007122AB">
      <w:pPr>
        <w:pStyle w:val="ae"/>
        <w:spacing w:before="0" w:after="0"/>
        <w:jc w:val="both"/>
        <w:rPr>
          <w:color w:val="000000" w:themeColor="text1"/>
          <w:sz w:val="16"/>
          <w:szCs w:val="16"/>
        </w:rPr>
      </w:pPr>
      <w:hyperlink r:id="rId13" w:anchor="bookmark114" w:history="1">
        <w:r w:rsidR="00252EFE" w:rsidRPr="007122AB">
          <w:rPr>
            <w:rStyle w:val="a5"/>
            <w:rFonts w:eastAsia="Times New Roman"/>
            <w:color w:val="000000" w:themeColor="text1"/>
            <w:sz w:val="16"/>
            <w:szCs w:val="16"/>
            <w:u w:val="none"/>
          </w:rPr>
          <w:t>Число нарезов..............................68</w:t>
        </w:r>
      </w:hyperlink>
    </w:p>
    <w:p w14:paraId="7E58FA41" w14:textId="77777777" w:rsidR="00252EFE" w:rsidRPr="007122AB" w:rsidRDefault="00000000" w:rsidP="007122AB">
      <w:pPr>
        <w:pStyle w:val="ae"/>
        <w:spacing w:before="0" w:after="0"/>
        <w:jc w:val="both"/>
        <w:rPr>
          <w:color w:val="000000" w:themeColor="text1"/>
          <w:sz w:val="16"/>
          <w:szCs w:val="16"/>
        </w:rPr>
      </w:pPr>
      <w:hyperlink r:id="rId14" w:anchor="bookmark115" w:history="1">
        <w:r w:rsidR="00252EFE" w:rsidRPr="007122AB">
          <w:rPr>
            <w:rStyle w:val="a5"/>
            <w:rFonts w:eastAsia="Times New Roman"/>
            <w:color w:val="000000" w:themeColor="text1"/>
            <w:sz w:val="16"/>
            <w:szCs w:val="16"/>
            <w:u w:val="none"/>
          </w:rPr>
          <w:t>Глубина нареза, мм........................2,0</w:t>
        </w:r>
      </w:hyperlink>
    </w:p>
    <w:p w14:paraId="36859BE1" w14:textId="77777777" w:rsidR="00252EFE" w:rsidRPr="007122AB" w:rsidRDefault="00000000" w:rsidP="007122AB">
      <w:pPr>
        <w:pStyle w:val="ae"/>
        <w:spacing w:before="0" w:after="0"/>
        <w:jc w:val="both"/>
        <w:rPr>
          <w:color w:val="000000" w:themeColor="text1"/>
          <w:sz w:val="16"/>
          <w:szCs w:val="16"/>
        </w:rPr>
      </w:pPr>
      <w:hyperlink r:id="rId15" w:anchor="bookmark116" w:history="1">
        <w:r w:rsidR="00252EFE" w:rsidRPr="007122AB">
          <w:rPr>
            <w:rStyle w:val="a5"/>
            <w:rFonts w:eastAsia="Times New Roman"/>
            <w:color w:val="000000" w:themeColor="text1"/>
            <w:sz w:val="16"/>
            <w:szCs w:val="16"/>
            <w:u w:val="none"/>
          </w:rPr>
          <w:t>Угол вертикального наведения, град.........+60</w:t>
        </w:r>
      </w:hyperlink>
    </w:p>
    <w:p w14:paraId="3EB9E1C7" w14:textId="77777777" w:rsidR="00252EFE" w:rsidRPr="007122AB" w:rsidRDefault="00000000" w:rsidP="007122AB">
      <w:pPr>
        <w:pStyle w:val="ae"/>
        <w:spacing w:before="0" w:after="0"/>
        <w:jc w:val="both"/>
        <w:rPr>
          <w:color w:val="000000" w:themeColor="text1"/>
          <w:sz w:val="16"/>
          <w:szCs w:val="16"/>
        </w:rPr>
      </w:pPr>
      <w:hyperlink r:id="rId16" w:anchor="bookmark117" w:history="1">
        <w:r w:rsidR="00252EFE" w:rsidRPr="007122AB">
          <w:rPr>
            <w:rStyle w:val="a5"/>
            <w:rFonts w:eastAsia="Times New Roman"/>
            <w:color w:val="000000" w:themeColor="text1"/>
            <w:sz w:val="16"/>
            <w:szCs w:val="16"/>
            <w:u w:val="none"/>
          </w:rPr>
          <w:t>Высота линии огня, мм...................2000</w:t>
        </w:r>
      </w:hyperlink>
    </w:p>
    <w:p w14:paraId="7C175D5D" w14:textId="77777777" w:rsidR="00252EFE" w:rsidRPr="007122AB" w:rsidRDefault="00000000" w:rsidP="007122AB">
      <w:pPr>
        <w:spacing w:after="0" w:line="240" w:lineRule="auto"/>
        <w:jc w:val="both"/>
        <w:rPr>
          <w:rStyle w:val="a5"/>
          <w:rFonts w:ascii="Times New Roman" w:eastAsia="Times New Roman" w:hAnsi="Times New Roman"/>
          <w:color w:val="000000" w:themeColor="text1"/>
          <w:sz w:val="16"/>
          <w:szCs w:val="16"/>
          <w:u w:val="none"/>
        </w:rPr>
      </w:pPr>
      <w:hyperlink r:id="rId17" w:anchor="bookmark118" w:history="1">
        <w:r w:rsidR="00252EFE" w:rsidRPr="007122AB">
          <w:rPr>
            <w:rStyle w:val="a5"/>
            <w:rFonts w:ascii="Times New Roman" w:eastAsia="Times New Roman" w:hAnsi="Times New Roman"/>
            <w:color w:val="000000" w:themeColor="text1"/>
            <w:sz w:val="16"/>
            <w:szCs w:val="16"/>
            <w:u w:val="none"/>
          </w:rPr>
          <w:t>Ширина хода, мм.........................1930</w:t>
        </w:r>
      </w:hyperlink>
      <w:r w:rsidR="00252EFE" w:rsidRPr="007122AB">
        <w:rPr>
          <w:rStyle w:val="a5"/>
          <w:rFonts w:ascii="Times New Roman" w:eastAsia="Times New Roman" w:hAnsi="Times New Roman"/>
          <w:color w:val="000000" w:themeColor="text1"/>
          <w:sz w:val="16"/>
          <w:szCs w:val="16"/>
          <w:u w:val="none"/>
        </w:rPr>
        <w:t xml:space="preserve"> (15132).</w:t>
      </w:r>
    </w:p>
    <w:p w14:paraId="2765C354" w14:textId="77777777" w:rsidR="00252EFE" w:rsidRPr="007122AB" w:rsidRDefault="00252EFE" w:rsidP="007122AB">
      <w:pPr>
        <w:spacing w:after="0" w:line="240" w:lineRule="auto"/>
        <w:jc w:val="both"/>
        <w:rPr>
          <w:rStyle w:val="a5"/>
          <w:rFonts w:ascii="Times New Roman" w:eastAsia="Times New Roman" w:hAnsi="Times New Roman"/>
          <w:color w:val="000000" w:themeColor="text1"/>
          <w:sz w:val="16"/>
          <w:szCs w:val="16"/>
          <w:u w:val="none"/>
        </w:rPr>
      </w:pPr>
    </w:p>
    <w:p w14:paraId="06034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46008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Данные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w:t>
      </w:r>
    </w:p>
    <w:p w14:paraId="1DA02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23EE8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без воронки,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605/8</w:t>
      </w:r>
    </w:p>
    <w:p w14:paraId="1118E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(сопла), мм — 550</w:t>
      </w:r>
    </w:p>
    <w:p w14:paraId="04168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ВН, град — ?10°; +60°</w:t>
      </w:r>
    </w:p>
    <w:p w14:paraId="6E666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4°30?</w:t>
      </w:r>
    </w:p>
    <w:p w14:paraId="69322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боевом и походном (на руках) положении, мм — 750</w:t>
      </w:r>
    </w:p>
    <w:p w14:paraId="4317F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станин (длина станка от оси до края), мм — 900</w:t>
      </w:r>
    </w:p>
    <w:p w14:paraId="0ABBD8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хода, мм — 510</w:t>
      </w:r>
    </w:p>
    <w:p w14:paraId="63740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колеса, мм — 300</w:t>
      </w:r>
    </w:p>
    <w:p w14:paraId="759CD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сложенном положении, мм — 490</w:t>
      </w:r>
    </w:p>
    <w:p w14:paraId="1C680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с воронкой, кг — 21,2</w:t>
      </w:r>
    </w:p>
    <w:p w14:paraId="5DD585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воронки (сопло), кг — 4,20</w:t>
      </w:r>
    </w:p>
    <w:p w14:paraId="6361D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прицела, кг — 1,5</w:t>
      </w:r>
    </w:p>
    <w:p w14:paraId="3C4C1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14,15</w:t>
      </w:r>
    </w:p>
    <w:p w14:paraId="4E4B89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системы, кг — 38</w:t>
      </w:r>
    </w:p>
    <w:p w14:paraId="42F8E1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расчетная — 10–12</w:t>
      </w:r>
    </w:p>
    <w:p w14:paraId="60FB9F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практическая — 8</w:t>
      </w:r>
    </w:p>
    <w:p w14:paraId="30251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боевого положения в походное, с — 20–30</w:t>
      </w:r>
    </w:p>
    <w:p w14:paraId="19F8E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Собственно, ЛМК и мортирой назвать нельзя. Видимо,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7C3FD1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стрельбе из мортиры использовались опытные легкие снаряды весом от 3,2 до 4 кг. Выстрел унитарный. Заряд 320 г пороха ВЛ помещался в сгорающую гильзу из </w:t>
      </w:r>
      <w:proofErr w:type="spellStart"/>
      <w:r w:rsidRPr="007122AB">
        <w:rPr>
          <w:rFonts w:ascii="Times New Roman" w:hAnsi="Times New Roman"/>
          <w:color w:val="000000" w:themeColor="text1"/>
          <w:sz w:val="16"/>
          <w:szCs w:val="16"/>
        </w:rPr>
        <w:t>нитроткани</w:t>
      </w:r>
      <w:proofErr w:type="spellEnd"/>
      <w:r w:rsidRPr="007122AB">
        <w:rPr>
          <w:rFonts w:ascii="Times New Roman" w:hAnsi="Times New Roman"/>
          <w:color w:val="000000" w:themeColor="text1"/>
          <w:sz w:val="16"/>
          <w:szCs w:val="16"/>
        </w:rPr>
        <w:t xml:space="preserve"> с деревянным поддоном. Длина гильзы 112 мм.</w:t>
      </w:r>
    </w:p>
    <w:p w14:paraId="374E43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Максимальное давление в канале составляло 1800 кг/см2.</w:t>
      </w:r>
    </w:p>
    <w:p w14:paraId="50750B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образец 76-мм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35346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28A365"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2D11279E" w14:textId="77777777" w:rsidR="00045E46" w:rsidRPr="007122AB" w:rsidRDefault="00045E46" w:rsidP="007122AB">
      <w:pPr>
        <w:spacing w:after="0" w:line="240" w:lineRule="auto"/>
        <w:jc w:val="both"/>
        <w:rPr>
          <w:rFonts w:ascii="Times New Roman" w:hAnsi="Times New Roman"/>
          <w:color w:val="000000" w:themeColor="text1"/>
          <w:sz w:val="16"/>
          <w:szCs w:val="16"/>
        </w:rPr>
      </w:pPr>
      <w:bookmarkStart w:id="0" w:name="label42"/>
      <w:bookmarkEnd w:id="0"/>
      <w:r w:rsidRPr="007122AB">
        <w:rPr>
          <w:rFonts w:ascii="Times New Roman" w:hAnsi="Times New Roman"/>
          <w:color w:val="000000" w:themeColor="text1"/>
          <w:sz w:val="16"/>
          <w:szCs w:val="16"/>
        </w:rPr>
        <w:t xml:space="preserve">С 14 по 22 августа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из ЛМК было сделано 102 выстрела. 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0629AEA5" w14:textId="77777777" w:rsidR="00045E46" w:rsidRPr="007122AB" w:rsidRDefault="00045E4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 xml:space="preserve">Данные легкой мортиры </w:t>
      </w:r>
      <w:proofErr w:type="spellStart"/>
      <w:r w:rsidRPr="007122AB">
        <w:rPr>
          <w:rFonts w:ascii="Times New Roman" w:hAnsi="Times New Roman"/>
          <w:bCs/>
          <w:color w:val="000000" w:themeColor="text1"/>
          <w:sz w:val="16"/>
          <w:szCs w:val="16"/>
        </w:rPr>
        <w:t>Курчевского</w:t>
      </w:r>
      <w:proofErr w:type="spellEnd"/>
    </w:p>
    <w:p w14:paraId="081DA60B"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7477AD03"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без воронки,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605/8</w:t>
      </w:r>
    </w:p>
    <w:p w14:paraId="2E35550F"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(сопла), мм …… 550</w:t>
      </w:r>
    </w:p>
    <w:p w14:paraId="4F0CFBC9"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Угол ВН, град …… -10°; +60°</w:t>
      </w:r>
    </w:p>
    <w:p w14:paraId="402437F8"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±4°30'</w:t>
      </w:r>
    </w:p>
    <w:p w14:paraId="4883F8CA"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боевом и походном (на руках) положении, мм …… 750</w:t>
      </w:r>
    </w:p>
    <w:p w14:paraId="09EC331B"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станин (длина станка от оси до края), мм …… 900</w:t>
      </w:r>
    </w:p>
    <w:p w14:paraId="45713E7E"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хода, мм …… 510</w:t>
      </w:r>
    </w:p>
    <w:p w14:paraId="24773DA5"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колеса, мм …… 300</w:t>
      </w:r>
    </w:p>
    <w:p w14:paraId="0D849C91"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сложенном положении, мм …… 490</w:t>
      </w:r>
    </w:p>
    <w:p w14:paraId="33770DF0"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с воронкой, кг …… 21,2</w:t>
      </w:r>
    </w:p>
    <w:p w14:paraId="795E90EB"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воронки (сопло), кг …… 4,20</w:t>
      </w:r>
    </w:p>
    <w:p w14:paraId="3BEA7451"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прицела, кг …… 1,5</w:t>
      </w:r>
    </w:p>
    <w:p w14:paraId="2C7D2576"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14,15</w:t>
      </w:r>
    </w:p>
    <w:p w14:paraId="5812F822"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системы, кг …… 38</w:t>
      </w:r>
    </w:p>
    <w:p w14:paraId="6AC60924"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w:t>
      </w:r>
    </w:p>
    <w:p w14:paraId="4A598D48"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расчетная …… 10—12</w:t>
      </w:r>
    </w:p>
    <w:p w14:paraId="688DEFE0"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практическая …… 8</w:t>
      </w:r>
    </w:p>
    <w:p w14:paraId="283853B8"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боевого положения в походное, с …… 20—30</w:t>
      </w:r>
    </w:p>
    <w:p w14:paraId="13F0908A"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Собственно ЛМК и мортирой назвать нельзя. Видимо,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EE5B7AE"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стрельбе из мортиры использовались опытные легкие снаряды весом от 3,2 до 4 кг. Выстрел унитарный. Заряд 320 г пороха ВЛ помещался в сгорающую гильзу из </w:t>
      </w:r>
      <w:proofErr w:type="spellStart"/>
      <w:r w:rsidRPr="007122AB">
        <w:rPr>
          <w:rFonts w:ascii="Times New Roman" w:hAnsi="Times New Roman"/>
          <w:color w:val="000000" w:themeColor="text1"/>
          <w:sz w:val="16"/>
          <w:szCs w:val="16"/>
        </w:rPr>
        <w:t>нитроткани</w:t>
      </w:r>
      <w:proofErr w:type="spellEnd"/>
      <w:r w:rsidRPr="007122AB">
        <w:rPr>
          <w:rFonts w:ascii="Times New Roman" w:hAnsi="Times New Roman"/>
          <w:color w:val="000000" w:themeColor="text1"/>
          <w:sz w:val="16"/>
          <w:szCs w:val="16"/>
        </w:rPr>
        <w:t xml:space="preserve"> с деревянным поддоном. Длина гильзы 112 мм.</w:t>
      </w:r>
    </w:p>
    <w:p w14:paraId="1DC454DF" w14:textId="77777777" w:rsidR="00045E46" w:rsidRPr="007122AB" w:rsidRDefault="00045E46" w:rsidP="007122AB">
      <w:pPr>
        <w:spacing w:after="0" w:line="240" w:lineRule="auto"/>
        <w:jc w:val="both"/>
        <w:rPr>
          <w:rFonts w:ascii="Times New Roman" w:hAnsi="Times New Roman"/>
          <w:bCs/>
          <w:color w:val="000000" w:themeColor="text1"/>
          <w:sz w:val="16"/>
          <w:szCs w:val="16"/>
        </w:rPr>
      </w:pPr>
      <w:bookmarkStart w:id="1" w:name="label43"/>
      <w:bookmarkStart w:id="2" w:name="label44"/>
      <w:bookmarkEnd w:id="1"/>
      <w:bookmarkEnd w:id="2"/>
      <w:r w:rsidRPr="007122AB">
        <w:rPr>
          <w:rFonts w:ascii="Times New Roman" w:hAnsi="Times New Roman"/>
          <w:bCs/>
          <w:color w:val="000000" w:themeColor="text1"/>
          <w:sz w:val="16"/>
          <w:szCs w:val="16"/>
        </w:rPr>
        <w:t>Баллистические данные, полученные на испытаниях</w:t>
      </w:r>
    </w:p>
    <w:p w14:paraId="0FF8AD81" w14:textId="77777777" w:rsidR="00045E46" w:rsidRPr="007122AB" w:rsidRDefault="00045E46" w:rsidP="007122AB">
      <w:pPr>
        <w:spacing w:after="0" w:line="240" w:lineRule="auto"/>
        <w:jc w:val="both"/>
        <w:rPr>
          <w:rFonts w:ascii="Times New Roman" w:hAnsi="Times New Roman"/>
          <w:bCs/>
          <w:color w:val="000000" w:themeColor="text1"/>
          <w:sz w:val="16"/>
          <w:szCs w:val="16"/>
        </w:rPr>
      </w:pPr>
      <w:bookmarkStart w:id="3" w:name="label45"/>
      <w:bookmarkEnd w:id="3"/>
      <w:r w:rsidRPr="007122AB">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5224F412"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3,9 …… 173,6 — 1200 — 15° </w:t>
      </w:r>
    </w:p>
    <w:p w14:paraId="6EB437F1"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3,2 …… 205,2 — 3000 — 35° </w:t>
      </w:r>
    </w:p>
    <w:p w14:paraId="12D31DDA"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 170 — 2200 — 41º — 1600</w:t>
      </w:r>
    </w:p>
    <w:p w14:paraId="482CED11"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Максимальное давление в канале составляло 1800 кг/см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7E8F79D7"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образец 76-мм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(15117).</w:t>
      </w:r>
    </w:p>
    <w:p w14:paraId="6142370C" w14:textId="77777777" w:rsidR="00045E46" w:rsidRPr="007122AB" w:rsidRDefault="00045E46" w:rsidP="007122AB">
      <w:pPr>
        <w:spacing w:after="0" w:line="240" w:lineRule="auto"/>
        <w:jc w:val="both"/>
        <w:rPr>
          <w:rFonts w:ascii="Times New Roman" w:hAnsi="Times New Roman"/>
          <w:color w:val="000000" w:themeColor="text1"/>
          <w:sz w:val="16"/>
          <w:szCs w:val="16"/>
        </w:rPr>
      </w:pPr>
    </w:p>
    <w:p w14:paraId="4446B0A2"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была спроектирована 76-мм мотоциклетная пушка (МПК)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66F3188E" w14:textId="77777777" w:rsidR="00045E46" w:rsidRPr="007122AB" w:rsidRDefault="00045E46" w:rsidP="007122AB">
      <w:pPr>
        <w:spacing w:after="0" w:line="240" w:lineRule="auto"/>
        <w:jc w:val="both"/>
        <w:rPr>
          <w:rFonts w:ascii="Times New Roman" w:hAnsi="Times New Roman"/>
          <w:bCs/>
          <w:color w:val="000000" w:themeColor="text1"/>
          <w:sz w:val="16"/>
          <w:szCs w:val="16"/>
        </w:rPr>
      </w:pPr>
      <w:bookmarkStart w:id="4" w:name="label59"/>
      <w:bookmarkEnd w:id="4"/>
      <w:r w:rsidRPr="007122AB">
        <w:rPr>
          <w:rFonts w:ascii="Times New Roman" w:hAnsi="Times New Roman"/>
          <w:bCs/>
          <w:color w:val="000000" w:themeColor="text1"/>
          <w:sz w:val="16"/>
          <w:szCs w:val="16"/>
        </w:rPr>
        <w:t>Данные МПК</w:t>
      </w:r>
    </w:p>
    <w:p w14:paraId="1701FA65"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Ствол</w:t>
      </w:r>
    </w:p>
    <w:p w14:paraId="41EFC35E"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2626BC59"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с воронкой,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2060/27</w:t>
      </w:r>
    </w:p>
    <w:p w14:paraId="37147BF2"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сопла (внутренний), мм …… 62</w:t>
      </w:r>
    </w:p>
    <w:p w14:paraId="27E3D60C"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Объем каморы, дм</w:t>
      </w:r>
      <w:r w:rsidRPr="007122AB">
        <w:rPr>
          <w:rFonts w:ascii="Times New Roman" w:hAnsi="Times New Roman"/>
          <w:color w:val="000000" w:themeColor="text1"/>
          <w:sz w:val="16"/>
          <w:szCs w:val="16"/>
          <w:vertAlign w:val="superscript"/>
        </w:rPr>
        <w:t>3</w:t>
      </w:r>
      <w:r w:rsidRPr="007122AB">
        <w:rPr>
          <w:rFonts w:ascii="Times New Roman" w:hAnsi="Times New Roman"/>
          <w:color w:val="000000" w:themeColor="text1"/>
          <w:sz w:val="16"/>
          <w:szCs w:val="16"/>
        </w:rPr>
        <w:t xml:space="preserve"> …… 1,6</w:t>
      </w:r>
    </w:p>
    <w:p w14:paraId="6A9749BF"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нарезов, мм …… 0,76</w:t>
      </w:r>
    </w:p>
    <w:p w14:paraId="48F517DA"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Лафет </w:t>
      </w:r>
    </w:p>
    <w:p w14:paraId="7DA0DC82"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Верхнее положение …… Угол BH, град. +37°40'; Угол ГН, град. -6° (влево); +7°10' (вправо)</w:t>
      </w:r>
    </w:p>
    <w:p w14:paraId="1F387106"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Нижнее положение …… Угол BH, град. +12º; Угол ГН, град. -2° (влево); +6° (вправо)</w:t>
      </w:r>
    </w:p>
    <w:p w14:paraId="5354A827"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мм: в походном положении …… 550</w:t>
      </w:r>
    </w:p>
    <w:p w14:paraId="71C3CA1D"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боевом положении при угле 0° …… 920</w:t>
      </w:r>
    </w:p>
    <w:p w14:paraId="7F2DB497"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без затвора, кг …… 78,1</w:t>
      </w:r>
    </w:p>
    <w:p w14:paraId="17760104"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затвора, кг ……4,9</w:t>
      </w:r>
    </w:p>
    <w:p w14:paraId="2511A92E"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трубы, кг …… 9,4</w:t>
      </w:r>
    </w:p>
    <w:p w14:paraId="3194226D"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61,6</w:t>
      </w:r>
    </w:p>
    <w:p w14:paraId="1AF98BD6"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всей установки (без мотоцикла), кг …… 170,4</w:t>
      </w:r>
    </w:p>
    <w:p w14:paraId="72765B38"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 шоссе, км/час …… 60</w:t>
      </w:r>
    </w:p>
    <w:p w14:paraId="41966250"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 4—6</w:t>
      </w:r>
    </w:p>
    <w:p w14:paraId="4146715A"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Расчет, чел …… 2</w:t>
      </w:r>
    </w:p>
    <w:p w14:paraId="46775ED0"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патронов, возимый на мотоцикле …… 6</w:t>
      </w:r>
    </w:p>
    <w:p w14:paraId="6C7D3896"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Время перехода из походного: </w:t>
      </w:r>
    </w:p>
    <w:p w14:paraId="1AF0C955"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боевое (верхнее) положение, с …… 40—60</w:t>
      </w:r>
    </w:p>
    <w:p w14:paraId="226878A7"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нижнее положение, с …… 30</w:t>
      </w:r>
    </w:p>
    <w:p w14:paraId="1CE9700B"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верхнего положения в походное, с …… 30—40</w:t>
      </w:r>
    </w:p>
    <w:p w14:paraId="427C1383"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легкие снаряды: осколочный весом 4,5 кг и бронебойный весом 3,5 кг. Для всех снарядов использовался одинаковый штатный заряд 0,95 кг пороха ПКО.</w:t>
      </w:r>
    </w:p>
    <w:p w14:paraId="2D05674D"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4358BF3A"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w:t>
      </w:r>
    </w:p>
    <w:p w14:paraId="3EACEE22" w14:textId="77777777" w:rsidR="00045E46" w:rsidRPr="007122AB" w:rsidRDefault="00045E46" w:rsidP="007122AB">
      <w:pPr>
        <w:spacing w:after="0" w:line="240" w:lineRule="auto"/>
        <w:jc w:val="both"/>
        <w:rPr>
          <w:rFonts w:ascii="Times New Roman" w:hAnsi="Times New Roman"/>
          <w:bCs/>
          <w:color w:val="000000" w:themeColor="text1"/>
          <w:sz w:val="16"/>
          <w:szCs w:val="16"/>
        </w:rPr>
      </w:pPr>
      <w:bookmarkStart w:id="5" w:name="label60"/>
      <w:bookmarkStart w:id="6" w:name="label61"/>
      <w:bookmarkEnd w:id="5"/>
      <w:bookmarkEnd w:id="6"/>
      <w:r w:rsidRPr="007122AB">
        <w:rPr>
          <w:rFonts w:ascii="Times New Roman" w:hAnsi="Times New Roman"/>
          <w:bCs/>
          <w:color w:val="000000" w:themeColor="text1"/>
          <w:sz w:val="16"/>
          <w:szCs w:val="16"/>
        </w:rPr>
        <w:t>Баллистические данные 76-мм пушек МПК и СПК по данным испытаний при заряде 0,95 кг пороха ПКО</w:t>
      </w:r>
    </w:p>
    <w:p w14:paraId="0B3874EF"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Первая 76-мм система МПК прибыла на НИАП без мотоцикла и с 12 сентября 1931 г. по 15 декабря 1931 г. была испытана 109 выстрелами зарядом 0,95 кг ленточного пороха ПКО. Снаряды: бронебойный весом 3,5 кг и осколочный весом 4,575 кг с 22-секундной трубкой.</w:t>
      </w:r>
    </w:p>
    <w:p w14:paraId="0FEA9B7E"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ходе испытаний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365BD9C3"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7CBDCF06"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вооружение система не принята ввиду малой проходимости мотоцикла. («Харлей </w:t>
      </w:r>
      <w:proofErr w:type="spellStart"/>
      <w:r w:rsidRPr="007122AB">
        <w:rPr>
          <w:rFonts w:ascii="Times New Roman" w:hAnsi="Times New Roman"/>
          <w:color w:val="000000" w:themeColor="text1"/>
          <w:sz w:val="16"/>
          <w:szCs w:val="16"/>
        </w:rPr>
        <w:t>Давидсон</w:t>
      </w:r>
      <w:proofErr w:type="spellEnd"/>
      <w:r w:rsidRPr="007122AB">
        <w:rPr>
          <w:rFonts w:ascii="Times New Roman" w:hAnsi="Times New Roman"/>
          <w:color w:val="000000" w:themeColor="text1"/>
          <w:sz w:val="16"/>
          <w:szCs w:val="16"/>
        </w:rPr>
        <w:t>» проектировался как полицейский мотоцикл с мощным двигателем, но обладал малой проходимостью).</w:t>
      </w:r>
    </w:p>
    <w:p w14:paraId="18BC1A6F" w14:textId="77777777" w:rsidR="00045E46" w:rsidRPr="007122AB" w:rsidRDefault="00045E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 г. заводу № 7 выдали заказ на 25 МПК. В1932 г. было изготовлено 22 МПК, а сдано 14. Больше заказы на МПК не выдавались (15117).</w:t>
      </w:r>
    </w:p>
    <w:p w14:paraId="034ED48B" w14:textId="77777777" w:rsidR="00045E46" w:rsidRPr="007122AB" w:rsidRDefault="00045E46" w:rsidP="007122AB">
      <w:pPr>
        <w:spacing w:after="0" w:line="240" w:lineRule="auto"/>
        <w:jc w:val="both"/>
        <w:rPr>
          <w:rFonts w:ascii="Times New Roman" w:hAnsi="Times New Roman"/>
          <w:color w:val="000000" w:themeColor="text1"/>
          <w:sz w:val="16"/>
          <w:szCs w:val="16"/>
        </w:rPr>
      </w:pPr>
    </w:p>
    <w:p w14:paraId="023C7F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была спроектирована76-мм мотоциклетная пушка (МПК)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65E717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Данные МПК </w:t>
      </w:r>
    </w:p>
    <w:p w14:paraId="6D73A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w:t>
      </w:r>
    </w:p>
    <w:p w14:paraId="086A37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6DCFF3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Длина ствола с воронкой,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2060/27</w:t>
      </w:r>
    </w:p>
    <w:p w14:paraId="5DCBA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сопла (внутренний), мм — 62</w:t>
      </w:r>
    </w:p>
    <w:p w14:paraId="695E6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Объем каморы, дм3 — 31,6</w:t>
      </w:r>
    </w:p>
    <w:p w14:paraId="659D0D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нарезов, мм — 0,76</w:t>
      </w:r>
    </w:p>
    <w:p w14:paraId="5528DD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Лафет — Верхнее положение — Нижнее положение</w:t>
      </w:r>
    </w:p>
    <w:p w14:paraId="1BD89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ВН, град — +37°40? — +12</w:t>
      </w:r>
    </w:p>
    <w:p w14:paraId="5F1B9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?6 (влево); +7°10? (вправо) — ?2(влево); +6 (вправо)</w:t>
      </w:r>
    </w:p>
    <w:p w14:paraId="41B3D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мм: в походном положении — 550</w:t>
      </w:r>
    </w:p>
    <w:p w14:paraId="2B1F0B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боевом положении при угле 0° — 920</w:t>
      </w:r>
    </w:p>
    <w:p w14:paraId="611BF1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без затвора, кг — 78,1</w:t>
      </w:r>
    </w:p>
    <w:p w14:paraId="080421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затвора, кг — 4,9</w:t>
      </w:r>
    </w:p>
    <w:p w14:paraId="217713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трубы, кг — 9,4</w:t>
      </w:r>
    </w:p>
    <w:p w14:paraId="703C97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61,6</w:t>
      </w:r>
    </w:p>
    <w:p w14:paraId="5F83F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всей установки (без мотоцикла), кг — 170,4</w:t>
      </w:r>
    </w:p>
    <w:p w14:paraId="65A48D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 шоссе, км/час — 60</w:t>
      </w:r>
    </w:p>
    <w:p w14:paraId="74DB2C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 4–6</w:t>
      </w:r>
    </w:p>
    <w:p w14:paraId="1756E0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Расчет, чел — 2</w:t>
      </w:r>
    </w:p>
    <w:p w14:paraId="7AEBAF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патронов, возимый на мотоцикле — 6</w:t>
      </w:r>
    </w:p>
    <w:p w14:paraId="3EC04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походного: в боевое (верхнее) положение, с — 40–60</w:t>
      </w:r>
    </w:p>
    <w:p w14:paraId="72B7BE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нижнее положение, с — 30</w:t>
      </w:r>
    </w:p>
    <w:p w14:paraId="0E0C0B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верхнего положения в походное, с — 30–40</w:t>
      </w:r>
    </w:p>
    <w:p w14:paraId="7F1B6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легкие снаряды: осколочный весом 4,5 кг и бронебойный весом 3,5 кг. Для всех снарядов использовался одинаковый штатный заряд 0,95 кг пороха ПКО.</w:t>
      </w:r>
    </w:p>
    <w:p w14:paraId="591058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632B9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w:t>
      </w:r>
    </w:p>
    <w:p w14:paraId="1962E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Первая 76-мм система МПК прибыла на НИАП без мотоцикла и с 12 сентября 1931 г. по 15 декабря 1931 г. была испытана 109 выстрелами зарядом 0,95 кг ленточного пороха ПКО. Снаряды: бронебойный весом 3,5 кг и осколочный весом 4,575 кг с 22-секундной трубкой.</w:t>
      </w:r>
    </w:p>
    <w:p w14:paraId="02059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ходе испытаний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2C4101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54D072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вооружение система не принята ввиду малой проходимости мотоцикла. («Харлей </w:t>
      </w:r>
      <w:proofErr w:type="spellStart"/>
      <w:r w:rsidRPr="007122AB">
        <w:rPr>
          <w:rFonts w:ascii="Times New Roman" w:hAnsi="Times New Roman"/>
          <w:color w:val="000000" w:themeColor="text1"/>
          <w:sz w:val="16"/>
          <w:szCs w:val="16"/>
        </w:rPr>
        <w:t>Давидсон</w:t>
      </w:r>
      <w:proofErr w:type="spellEnd"/>
      <w:r w:rsidRPr="007122AB">
        <w:rPr>
          <w:rFonts w:ascii="Times New Roman" w:hAnsi="Times New Roman"/>
          <w:color w:val="000000" w:themeColor="text1"/>
          <w:sz w:val="16"/>
          <w:szCs w:val="16"/>
        </w:rPr>
        <w:t>» проектировался как полицейский мотоцикл с мощным двигателем, но обладал малой проходимостью.)</w:t>
      </w:r>
    </w:p>
    <w:p w14:paraId="5BC4D7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29990F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05A3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были проведены сравнительные испыта</w:t>
      </w:r>
      <w:r w:rsidRPr="007122AB">
        <w:rPr>
          <w:rFonts w:ascii="Times New Roman" w:hAnsi="Times New Roman"/>
          <w:color w:val="000000" w:themeColor="text1"/>
          <w:sz w:val="16"/>
          <w:szCs w:val="16"/>
        </w:rPr>
        <w:softHyphen/>
        <w:t xml:space="preserve">ния крупнокалиберных пулеметов Дегтярева и </w:t>
      </w:r>
      <w:proofErr w:type="spellStart"/>
      <w:r w:rsidRPr="007122AB">
        <w:rPr>
          <w:rFonts w:ascii="Times New Roman" w:hAnsi="Times New Roman"/>
          <w:color w:val="000000" w:themeColor="text1"/>
          <w:sz w:val="16"/>
          <w:szCs w:val="16"/>
        </w:rPr>
        <w:t>Дрейзе</w:t>
      </w:r>
      <w:proofErr w:type="spellEnd"/>
      <w:r w:rsidRPr="007122AB">
        <w:rPr>
          <w:rFonts w:ascii="Times New Roman" w:hAnsi="Times New Roman"/>
          <w:color w:val="000000" w:themeColor="text1"/>
          <w:sz w:val="16"/>
          <w:szCs w:val="16"/>
        </w:rPr>
        <w:t xml:space="preserve"> (10670,204).</w:t>
      </w:r>
    </w:p>
    <w:p w14:paraId="23636D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0E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Западно-Сибирская контрольная комиссия ВКП(б) и отдел рабоче-крестьянской инспекции проверили состояние строительства завода </w:t>
      </w:r>
      <w:proofErr w:type="spellStart"/>
      <w:r w:rsidRPr="007122AB">
        <w:rPr>
          <w:rFonts w:ascii="Times New Roman" w:hAnsi="Times New Roman"/>
          <w:color w:val="000000" w:themeColor="text1"/>
          <w:sz w:val="16"/>
          <w:szCs w:val="16"/>
        </w:rPr>
        <w:t>Сибкомбайн</w:t>
      </w:r>
      <w:proofErr w:type="spellEnd"/>
      <w:r w:rsidRPr="007122AB">
        <w:rPr>
          <w:rFonts w:ascii="Times New Roman" w:hAnsi="Times New Roman"/>
          <w:color w:val="000000" w:themeColor="text1"/>
          <w:sz w:val="16"/>
          <w:szCs w:val="16"/>
        </w:rPr>
        <w:t xml:space="preserve"> и рекомендовали ВСНХ СССР, </w:t>
      </w:r>
      <w:proofErr w:type="spellStart"/>
      <w:r w:rsidRPr="007122AB">
        <w:rPr>
          <w:rFonts w:ascii="Times New Roman" w:hAnsi="Times New Roman"/>
          <w:color w:val="000000" w:themeColor="text1"/>
          <w:sz w:val="16"/>
          <w:szCs w:val="16"/>
        </w:rPr>
        <w:t>Союзсельмашу</w:t>
      </w:r>
      <w:proofErr w:type="spellEnd"/>
      <w:r w:rsidRPr="007122AB">
        <w:rPr>
          <w:rFonts w:ascii="Times New Roman" w:hAnsi="Times New Roman"/>
          <w:color w:val="000000" w:themeColor="text1"/>
          <w:sz w:val="16"/>
          <w:szCs w:val="16"/>
        </w:rPr>
        <w:t xml:space="preserve">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w:t>
      </w:r>
      <w:proofErr w:type="spellStart"/>
      <w:r w:rsidRPr="007122AB">
        <w:rPr>
          <w:rFonts w:ascii="Times New Roman" w:hAnsi="Times New Roman"/>
          <w:color w:val="000000" w:themeColor="text1"/>
          <w:sz w:val="16"/>
          <w:szCs w:val="16"/>
        </w:rPr>
        <w:t>Кузнецкстрой</w:t>
      </w:r>
      <w:proofErr w:type="spellEnd"/>
      <w:r w:rsidRPr="007122AB">
        <w:rPr>
          <w:rFonts w:ascii="Times New Roman" w:hAnsi="Times New Roman"/>
          <w:color w:val="000000" w:themeColor="text1"/>
          <w:sz w:val="16"/>
          <w:szCs w:val="16"/>
        </w:rPr>
        <w:t xml:space="preserve"> и др.), подпадающих, к тому же, под действие закона об отдельных местностях. Строительство завода осуществлялось неравномерно — то развивалось, то прекращалось — по причине неоднозначного отношения правительственных структур, поэтому было много проблем с выделением капитальных вложений, снабжением строительными материалами и техникой, обеспечением стройки инженерно-техническими кадрами. Вместе с тем, первый комбайн был изготовлен к началу уборки 1931 г.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 (11591).</w:t>
      </w:r>
    </w:p>
    <w:p w14:paraId="79978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9DF8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на полигоне в Кубинке провели сравнительные испытания импортных танков с танками собственной конструкции Т-19 и Т-20, а также с "гибридными" танками ТММ. Лучше всего себя показал танк Т-20, однако он приводился в движение двигателем, не выпускавшимся серийно (3862).</w:t>
      </w:r>
    </w:p>
    <w:p w14:paraId="58413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184771" w14:textId="77777777" w:rsidR="00BE087B" w:rsidRPr="007122AB" w:rsidRDefault="00BE087B"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начале 1931 года было понятно, что Т-24 "не жилец". Единственный вопрос заключался в том, кто будет его заменой. Поднимался вопрос об организации на ХПЗ выпуска </w:t>
      </w:r>
      <w:proofErr w:type="spellStart"/>
      <w:r w:rsidRPr="007122AB">
        <w:rPr>
          <w:rFonts w:ascii="Times New Roman" w:hAnsi="Times New Roman"/>
          <w:color w:val="000000" w:themeColor="text1"/>
          <w:sz w:val="16"/>
          <w:szCs w:val="16"/>
          <w:shd w:val="clear" w:color="auto" w:fill="FFFFFF"/>
        </w:rPr>
        <w:t>Medium</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Tank</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Mk.II</w:t>
      </w:r>
      <w:proofErr w:type="spellEnd"/>
      <w:r w:rsidRPr="007122AB">
        <w:rPr>
          <w:rFonts w:ascii="Times New Roman" w:hAnsi="Times New Roman"/>
          <w:color w:val="000000" w:themeColor="text1"/>
          <w:sz w:val="16"/>
          <w:szCs w:val="16"/>
          <w:shd w:val="clear" w:color="auto" w:fill="FFFFFF"/>
        </w:rPr>
        <w:t>, но эту идею отвергли. Английский танк был чересчур сложным, да и порядком устарел. Еще одной кандидатурой был ТГ-1 конструкции Эдварда Гроте, но и с этой машиной как-то не получилось. Наконец, 23 мая 1931 года на заседании Комиссии Обороны СССР было решено организовать на ХПЗ выпуск танков Б-Т. Это стало итогом изучения образцов танка Кристи, которые были закуплены для Советского Союза (20375).</w:t>
      </w:r>
    </w:p>
    <w:p w14:paraId="2179A1FA" w14:textId="77777777" w:rsidR="00BE087B" w:rsidRPr="007122AB" w:rsidRDefault="00BE087B" w:rsidP="007122AB">
      <w:pPr>
        <w:shd w:val="clear" w:color="auto" w:fill="FFFFFF"/>
        <w:spacing w:after="0" w:line="240" w:lineRule="auto"/>
        <w:jc w:val="both"/>
        <w:rPr>
          <w:rFonts w:ascii="Times New Roman" w:hAnsi="Times New Roman"/>
          <w:color w:val="000000" w:themeColor="text1"/>
          <w:sz w:val="16"/>
          <w:szCs w:val="16"/>
        </w:rPr>
      </w:pPr>
    </w:p>
    <w:p w14:paraId="57F1B0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ОКМО занимался доработкой танкетки при активном участии конструкторской группы Н. Козырева, преобразованной в КБ. ОКБ Н.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также готовило свой проект танкетки Д-7, которая была ко-</w:t>
      </w:r>
      <w:proofErr w:type="spellStart"/>
      <w:r w:rsidRPr="007122AB">
        <w:rPr>
          <w:rFonts w:ascii="Times New Roman" w:hAnsi="Times New Roman"/>
          <w:color w:val="000000" w:themeColor="text1"/>
          <w:sz w:val="16"/>
          <w:szCs w:val="16"/>
        </w:rPr>
        <w:t>лесно</w:t>
      </w:r>
      <w:proofErr w:type="spellEnd"/>
      <w:r w:rsidRPr="007122AB">
        <w:rPr>
          <w:rFonts w:ascii="Times New Roman" w:hAnsi="Times New Roman"/>
          <w:color w:val="000000" w:themeColor="text1"/>
          <w:sz w:val="16"/>
          <w:szCs w:val="16"/>
        </w:rPr>
        <w:t>-гусеничной и, по мнению изобретателя, как нельзя лучше соответствовала требованиям «Системы...». Однако после рассмотрения документации на Д-7 было отмечено, что проект выполнен неграмотно и без каких бы то ни было расчетов. Что компоновка моторного отделения танкетки выполнена крайне неудачно, а рабочие места членов экипа</w:t>
      </w:r>
      <w:r w:rsidRPr="007122AB">
        <w:rPr>
          <w:rFonts w:ascii="Times New Roman" w:hAnsi="Times New Roman"/>
          <w:color w:val="000000" w:themeColor="text1"/>
          <w:sz w:val="16"/>
          <w:szCs w:val="16"/>
        </w:rPr>
        <w:softHyphen/>
        <w:t>жа не позволяют, находясь на них, нормально вести машину и стрелять из пулемета. Проект был отклонен (10733,144).</w:t>
      </w:r>
    </w:p>
    <w:p w14:paraId="6E11C4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EAB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w:t>
      </w:r>
      <w:r w:rsidRPr="007122AB">
        <w:rPr>
          <w:rFonts w:ascii="Times New Roman" w:hAnsi="Times New Roman"/>
          <w:color w:val="000000" w:themeColor="text1"/>
          <w:sz w:val="16"/>
          <w:szCs w:val="16"/>
        </w:rPr>
        <w:softHyphen/>
        <w:t>ле 1931 г. ЭКО ОГПУ ориентировало группу конструкторов под руководством В. Асафова на совершенствование идей Э. Гроте в плане снижения сложности и стоимости танка (10733,255).</w:t>
      </w:r>
    </w:p>
    <w:p w14:paraId="59F114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C48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в СССР прибыли оба танка Кристи (3879,4).</w:t>
      </w:r>
    </w:p>
    <w:p w14:paraId="56A13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647C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года, выступая на заводской партийной конференции начальник дизельного отдела ХПЗ Константин Федорович </w:t>
      </w:r>
      <w:proofErr w:type="spellStart"/>
      <w:r w:rsidRPr="007122AB">
        <w:rPr>
          <w:rFonts w:ascii="Times New Roman" w:hAnsi="Times New Roman"/>
          <w:color w:val="000000" w:themeColor="text1"/>
          <w:sz w:val="16"/>
          <w:szCs w:val="16"/>
        </w:rPr>
        <w:t>Челпан</w:t>
      </w:r>
      <w:proofErr w:type="spellEnd"/>
      <w:r w:rsidRPr="007122AB">
        <w:rPr>
          <w:rFonts w:ascii="Times New Roman" w:hAnsi="Times New Roman"/>
          <w:color w:val="000000" w:themeColor="text1"/>
          <w:sz w:val="16"/>
          <w:szCs w:val="16"/>
        </w:rPr>
        <w:t xml:space="preserve"> от имени коллектива отдела сообщил о том, что конструкторы-дизелисты решили начать работы по созданию быстроходного дизеля собственной конструкции. 13 января 1932 г. бюро парткома завода рассмотрело задачи в области дизелестроения. Было отмечено: «... важную роль должен сыг</w:t>
      </w:r>
      <w:r w:rsidRPr="007122AB">
        <w:rPr>
          <w:rFonts w:ascii="Times New Roman" w:hAnsi="Times New Roman"/>
          <w:color w:val="000000" w:themeColor="text1"/>
          <w:sz w:val="16"/>
          <w:szCs w:val="16"/>
        </w:rPr>
        <w:softHyphen/>
        <w:t>рать дизельный отдел в вопросе осуществления директив партии о созда</w:t>
      </w:r>
      <w:r w:rsidRPr="007122AB">
        <w:rPr>
          <w:rFonts w:ascii="Times New Roman" w:hAnsi="Times New Roman"/>
          <w:color w:val="000000" w:themeColor="text1"/>
          <w:sz w:val="16"/>
          <w:szCs w:val="16"/>
        </w:rPr>
        <w:softHyphen/>
        <w:t xml:space="preserve">нии в кратчайший срок </w:t>
      </w:r>
      <w:proofErr w:type="spellStart"/>
      <w:r w:rsidRPr="007122AB">
        <w:rPr>
          <w:rFonts w:ascii="Times New Roman" w:hAnsi="Times New Roman"/>
          <w:color w:val="000000" w:themeColor="text1"/>
          <w:sz w:val="16"/>
          <w:szCs w:val="16"/>
        </w:rPr>
        <w:t>дизельмотора</w:t>
      </w:r>
      <w:proofErr w:type="spellEnd"/>
      <w:r w:rsidRPr="007122AB">
        <w:rPr>
          <w:rFonts w:ascii="Times New Roman" w:hAnsi="Times New Roman"/>
          <w:color w:val="000000" w:themeColor="text1"/>
          <w:sz w:val="16"/>
          <w:szCs w:val="16"/>
        </w:rPr>
        <w:t xml:space="preserve"> для трактора и спецмашины». В принятом решении указано: «... в дизельном отделе на базе существую</w:t>
      </w:r>
      <w:r w:rsidRPr="007122AB">
        <w:rPr>
          <w:rFonts w:ascii="Times New Roman" w:hAnsi="Times New Roman"/>
          <w:color w:val="000000" w:themeColor="text1"/>
          <w:sz w:val="16"/>
          <w:szCs w:val="16"/>
        </w:rPr>
        <w:softHyphen/>
        <w:t>щего КБ создать сильный проектный отдел и сосредоточить в нем все работы по проектированию и исследованию дизель-моторов;... вести ра</w:t>
      </w:r>
      <w:r w:rsidRPr="007122AB">
        <w:rPr>
          <w:rFonts w:ascii="Times New Roman" w:hAnsi="Times New Roman"/>
          <w:color w:val="000000" w:themeColor="text1"/>
          <w:sz w:val="16"/>
          <w:szCs w:val="16"/>
        </w:rPr>
        <w:softHyphen/>
        <w:t>боты по проектированию и исследованию специального дизель-мотора». В докладе директора завода имени Коминтерна на бюро горкома партии в сентябре 1933 года о состоянии дизелестроения на заводе сказано: «...за</w:t>
      </w:r>
      <w:r w:rsidRPr="007122AB">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7122AB">
        <w:rPr>
          <w:rFonts w:ascii="Times New Roman" w:hAnsi="Times New Roman"/>
          <w:color w:val="000000" w:themeColor="text1"/>
          <w:sz w:val="16"/>
          <w:szCs w:val="16"/>
        </w:rPr>
        <w:softHyphen/>
        <w:t xml:space="preserve">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w:t>
      </w:r>
      <w:r w:rsidRPr="007122AB">
        <w:rPr>
          <w:rFonts w:ascii="Times New Roman" w:hAnsi="Times New Roman"/>
          <w:color w:val="000000" w:themeColor="text1"/>
          <w:sz w:val="16"/>
          <w:szCs w:val="16"/>
          <w:vertAlign w:val="superscript"/>
        </w:rPr>
        <w:t>в</w:t>
      </w:r>
      <w:r w:rsidRPr="007122AB">
        <w:rPr>
          <w:rFonts w:ascii="Times New Roman" w:hAnsi="Times New Roman"/>
          <w:color w:val="000000" w:themeColor="text1"/>
          <w:sz w:val="16"/>
          <w:szCs w:val="16"/>
        </w:rPr>
        <w:t xml:space="preserve"> разработке и в производстве завода, были переданы на другие предпри</w:t>
      </w:r>
      <w:r w:rsidRPr="007122AB">
        <w:rPr>
          <w:rFonts w:ascii="Times New Roman" w:hAnsi="Times New Roman"/>
          <w:color w:val="000000" w:themeColor="text1"/>
          <w:sz w:val="16"/>
          <w:szCs w:val="16"/>
        </w:rPr>
        <w:softHyphen/>
        <w:t>ятия отрасли дизелестроения (11504).</w:t>
      </w:r>
    </w:p>
    <w:p w14:paraId="64028B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866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на Ижорском заводе под руководством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был разработан и изготовлен ба Д-8 на шасси Форд-А. Приняли на вооружение и в 1932-34 изготовили 25. Также изготовили ба Д-12 и тоже выпустили 25 (9527,297).</w:t>
      </w:r>
    </w:p>
    <w:p w14:paraId="677F3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72E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начале 1931 года опытно-конструкторское и испытательное бюро было переведено в Москву и разместилось на территории Московского железнодорожного ремонтного завода, сокращенно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(ныне это литейно-механический завод в Люблино) (10291).</w:t>
      </w:r>
    </w:p>
    <w:p w14:paraId="735DB0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323D3C" w14:textId="77777777" w:rsidR="00EB19FC" w:rsidRPr="00441F34" w:rsidRDefault="00EB19FC" w:rsidP="00EB1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1931 г. на правительственном уровне впервые был рассмотрен вопрос об оснащении танков двигателями, работающими на тяжелом топливе (24856)</w:t>
      </w:r>
    </w:p>
    <w:p w14:paraId="4A64122B" w14:textId="77777777" w:rsidR="00EB19FC" w:rsidRPr="00441F34" w:rsidRDefault="00EB19FC" w:rsidP="00EB19FC">
      <w:pPr>
        <w:spacing w:after="0" w:line="240" w:lineRule="auto"/>
        <w:jc w:val="both"/>
        <w:rPr>
          <w:rFonts w:ascii="Times New Roman" w:hAnsi="Times New Roman"/>
          <w:color w:val="0070C0"/>
          <w:sz w:val="16"/>
          <w:szCs w:val="16"/>
        </w:rPr>
      </w:pPr>
    </w:p>
    <w:p w14:paraId="6C3E5C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года небольшое конструкторское бюро из «врагов народа», занимавшееся проектированием различных образцов боевой техники — от танков до самолетов и катеров, входящее в структуру технического отделе</w:t>
      </w:r>
      <w:r w:rsidRPr="007122AB">
        <w:rPr>
          <w:rFonts w:ascii="Times New Roman" w:hAnsi="Times New Roman"/>
          <w:color w:val="000000" w:themeColor="text1"/>
          <w:sz w:val="16"/>
          <w:szCs w:val="16"/>
        </w:rPr>
        <w:softHyphen/>
        <w:t>ния экономического отдела полномочного представитель</w:t>
      </w:r>
      <w:r w:rsidRPr="007122AB">
        <w:rPr>
          <w:rFonts w:ascii="Times New Roman" w:hAnsi="Times New Roman"/>
          <w:color w:val="000000" w:themeColor="text1"/>
          <w:sz w:val="16"/>
          <w:szCs w:val="16"/>
        </w:rPr>
        <w:softHyphen/>
        <w:t>ства (ТО ЭКО ПП) ОГПУ в Ленинградском военном окру</w:t>
      </w:r>
      <w:r w:rsidRPr="007122AB">
        <w:rPr>
          <w:rFonts w:ascii="Times New Roman" w:hAnsi="Times New Roman"/>
          <w:color w:val="000000" w:themeColor="text1"/>
          <w:sz w:val="16"/>
          <w:szCs w:val="16"/>
        </w:rPr>
        <w:softHyphen/>
        <w:t>ге (ЛВО), изготовило железнодорожные бандажи для грузового ав</w:t>
      </w:r>
      <w:r w:rsidRPr="007122AB">
        <w:rPr>
          <w:rFonts w:ascii="Times New Roman" w:hAnsi="Times New Roman"/>
          <w:color w:val="000000" w:themeColor="text1"/>
          <w:sz w:val="16"/>
          <w:szCs w:val="16"/>
        </w:rPr>
        <w:softHyphen/>
        <w:t>томобиля «Форд-АА», превратив его в дрезину. Проведен</w:t>
      </w:r>
      <w:r w:rsidRPr="007122AB">
        <w:rPr>
          <w:rFonts w:ascii="Times New Roman" w:hAnsi="Times New Roman"/>
          <w:color w:val="000000" w:themeColor="text1"/>
          <w:sz w:val="16"/>
          <w:szCs w:val="16"/>
        </w:rPr>
        <w:softHyphen/>
        <w:t>ные испытания показали хорошие результаты: скорость с 15 пассажирами составляла 80 км/ч, а время перехода с автомобильных колес на железнодорожные составляло всего 20 минут. В сопроводительной записке конструкто</w:t>
      </w:r>
      <w:r w:rsidRPr="007122AB">
        <w:rPr>
          <w:rFonts w:ascii="Times New Roman" w:hAnsi="Times New Roman"/>
          <w:color w:val="000000" w:themeColor="text1"/>
          <w:sz w:val="16"/>
          <w:szCs w:val="16"/>
        </w:rPr>
        <w:softHyphen/>
        <w:t>ры писали: «При такой малой затрате времени можно до</w:t>
      </w:r>
      <w:r w:rsidRPr="007122AB">
        <w:rPr>
          <w:rFonts w:ascii="Times New Roman" w:hAnsi="Times New Roman"/>
          <w:color w:val="000000" w:themeColor="text1"/>
          <w:sz w:val="16"/>
          <w:szCs w:val="16"/>
        </w:rPr>
        <w:softHyphen/>
        <w:t>стигнуть конвейеризации в переброски войск на авто-</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-дрезинах. Машина, выезжая из казарм с войсками подъезжает к железнодорожному полотну, моментально поднимается на домкрате, одевает стальной ход, подъез</w:t>
      </w:r>
      <w:r w:rsidRPr="007122AB">
        <w:rPr>
          <w:rFonts w:ascii="Times New Roman" w:hAnsi="Times New Roman"/>
          <w:color w:val="000000" w:themeColor="text1"/>
          <w:sz w:val="16"/>
          <w:szCs w:val="16"/>
        </w:rPr>
        <w:softHyphen/>
        <w:t>жает вторая машина, обслуживающая команда садится в первую машину, уже подготовленную к отправке и уез</w:t>
      </w:r>
      <w:r w:rsidRPr="007122AB">
        <w:rPr>
          <w:rFonts w:ascii="Times New Roman" w:hAnsi="Times New Roman"/>
          <w:color w:val="000000" w:themeColor="text1"/>
          <w:sz w:val="16"/>
          <w:szCs w:val="16"/>
        </w:rPr>
        <w:softHyphen/>
        <w:t>жает, подошедшая же в свою очередь становится на рельсы и так далее. Одна за другой машины становятся на стальную паутину рельс и летят на боевые участки со ско</w:t>
      </w:r>
      <w:r w:rsidRPr="007122AB">
        <w:rPr>
          <w:rFonts w:ascii="Times New Roman" w:hAnsi="Times New Roman"/>
          <w:color w:val="000000" w:themeColor="text1"/>
          <w:sz w:val="16"/>
          <w:szCs w:val="16"/>
        </w:rPr>
        <w:softHyphen/>
        <w:t>ростью 80 км/ч. Но этого недостаточно. Нужно было сде</w:t>
      </w:r>
      <w:r w:rsidRPr="007122AB">
        <w:rPr>
          <w:rFonts w:ascii="Times New Roman" w:hAnsi="Times New Roman"/>
          <w:color w:val="000000" w:themeColor="text1"/>
          <w:sz w:val="16"/>
          <w:szCs w:val="16"/>
        </w:rPr>
        <w:softHyphen/>
        <w:t>лать «Форд» броневой машиной» (11284).</w:t>
      </w:r>
    </w:p>
    <w:p w14:paraId="2F7A82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8AA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началу 1931 года были изготовлены две колесные танкетки - одна на Ижорском заводе, вторая на Экспери</w:t>
      </w:r>
      <w:r w:rsidRPr="007122AB">
        <w:rPr>
          <w:rFonts w:ascii="Times New Roman" w:hAnsi="Times New Roman"/>
          <w:color w:val="000000" w:themeColor="text1"/>
          <w:sz w:val="16"/>
          <w:szCs w:val="16"/>
        </w:rPr>
        <w:softHyphen/>
        <w:t>ментальном заводе НКПС. И по конструкции, и по воору</w:t>
      </w:r>
      <w:r w:rsidRPr="007122AB">
        <w:rPr>
          <w:rFonts w:ascii="Times New Roman" w:hAnsi="Times New Roman"/>
          <w:color w:val="000000" w:themeColor="text1"/>
          <w:sz w:val="16"/>
          <w:szCs w:val="16"/>
        </w:rPr>
        <w:softHyphen/>
        <w:t>жению обе машины были очень похожи — они были изго</w:t>
      </w:r>
      <w:r w:rsidRPr="007122AB">
        <w:rPr>
          <w:rFonts w:ascii="Times New Roman" w:hAnsi="Times New Roman"/>
          <w:color w:val="000000" w:themeColor="text1"/>
          <w:sz w:val="16"/>
          <w:szCs w:val="16"/>
        </w:rPr>
        <w:softHyphen/>
        <w:t>товлены по проекту А. Рожкова. Главное их отличие заклю</w:t>
      </w:r>
      <w:r w:rsidRPr="007122AB">
        <w:rPr>
          <w:rFonts w:ascii="Times New Roman" w:hAnsi="Times New Roman"/>
          <w:color w:val="000000" w:themeColor="text1"/>
          <w:sz w:val="16"/>
          <w:szCs w:val="16"/>
        </w:rPr>
        <w:softHyphen/>
        <w:t>чалось в технологии изготовления бронекорпусов — на машине Ижорского завода он был клепаный, а на второй машине сварной (11284).</w:t>
      </w:r>
    </w:p>
    <w:p w14:paraId="3DEA02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AED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Политбюро ЦК ВКП (б) приняло секретную Танковую программу, согласно которой 20—25% производственных мощностей Нижегородского автозавода отводилось для выпуска танкеток с мотором от грузового Форда. В следующем году, чтобы сэкономить валюту, большевистские руководители страны решили ограничиться закупками заводского оборудования.</w:t>
      </w:r>
    </w:p>
    <w:p w14:paraId="022CF1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бизнеса в СССР компания Форда понесла убытки — по минимальным оценкам в 578 000 долларов, но эта цифра не идет ни в какое сравнение с многомиллионными потерями от Великой депрессии и неблагоприятной ситуации на европейских рынках.</w:t>
      </w:r>
    </w:p>
    <w:p w14:paraId="1148B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Бизнес компании Форда в советской России в 1920—1930-е гг. можно расценить как помощь, которая если и не приносила прибыль, то способствовала, по убеждению основателя фирмы, всеобщему улучшению жизни. Американский бизнес, считал Форд, от этого только выигрывал, поскольку бедные и экономически неразвитые страны, зависящие от импорта готовой продукции, не могут равноправно участвовать в масштабных деловых отношениях (11506).</w:t>
      </w:r>
    </w:p>
    <w:p w14:paraId="2D5BA1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4F525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году кредиты для ХАСЗ были задержаны: объяснили это тем, что завод пока еще не нужен. Подумывали даже о роспуске с таким трудом собран-</w:t>
      </w:r>
      <w:proofErr w:type="spellStart"/>
      <w:r w:rsidRPr="007122AB">
        <w:rPr>
          <w:rFonts w:ascii="Times New Roman" w:hAnsi="Times New Roman"/>
          <w:color w:val="000000" w:themeColor="text1"/>
          <w:sz w:val="16"/>
          <w:szCs w:val="16"/>
        </w:rPr>
        <w:t>ных</w:t>
      </w:r>
      <w:proofErr w:type="spellEnd"/>
      <w:r w:rsidRPr="007122AB">
        <w:rPr>
          <w:rFonts w:ascii="Times New Roman" w:hAnsi="Times New Roman"/>
          <w:color w:val="000000" w:themeColor="text1"/>
          <w:sz w:val="16"/>
          <w:szCs w:val="16"/>
        </w:rPr>
        <w:t xml:space="preserve"> и обученных специалистов, полной остановке предприятия...</w:t>
      </w:r>
    </w:p>
    <w:p w14:paraId="1115A45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в этот момент возникла идея начать производство мотоциклов. Состоялось техническое совещание, созванное с согласия ВСНХ УССР. Инициативу под-держали в "верхах". Выбрали тип машины, наиболее отвечающей насущным требованиям, и </w:t>
      </w:r>
      <w:proofErr w:type="spellStart"/>
      <w:r w:rsidRPr="007122AB">
        <w:rPr>
          <w:rFonts w:ascii="Times New Roman" w:hAnsi="Times New Roman"/>
          <w:color w:val="000000" w:themeColor="text1"/>
          <w:sz w:val="16"/>
          <w:szCs w:val="16"/>
        </w:rPr>
        <w:t>нача</w:t>
      </w:r>
      <w:proofErr w:type="spellEnd"/>
      <w:r w:rsidRPr="007122AB">
        <w:rPr>
          <w:rFonts w:ascii="Times New Roman" w:hAnsi="Times New Roman"/>
          <w:color w:val="000000" w:themeColor="text1"/>
          <w:sz w:val="16"/>
          <w:szCs w:val="16"/>
        </w:rPr>
        <w:t>-ли работы (11602).</w:t>
      </w:r>
    </w:p>
    <w:p w14:paraId="064EC9A5"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A74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провели работы по организации испытательной базы НАМИ: обследовали территорию, на которой возможно сооружение </w:t>
      </w:r>
      <w:proofErr w:type="spellStart"/>
      <w:r w:rsidRPr="007122AB">
        <w:rPr>
          <w:rFonts w:ascii="Times New Roman" w:hAnsi="Times New Roman"/>
          <w:color w:val="000000" w:themeColor="text1"/>
          <w:sz w:val="16"/>
          <w:szCs w:val="16"/>
        </w:rPr>
        <w:t>спецдорог</w:t>
      </w:r>
      <w:proofErr w:type="spellEnd"/>
      <w:r w:rsidRPr="007122AB">
        <w:rPr>
          <w:rFonts w:ascii="Times New Roman" w:hAnsi="Times New Roman"/>
          <w:color w:val="000000" w:themeColor="text1"/>
          <w:sz w:val="16"/>
          <w:szCs w:val="16"/>
        </w:rPr>
        <w:t>, подъемов и прочего, необходимого для полноценных испытаний автотехники. В феврале 1933, по предварительному решению, институту отвели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нем уже имелись небольшие помещения механических мастерских и жилой поселок на несколько десятков семей, а на реке Сходня стояла гидроэлектростанция. Однако окончательного разрешения на отвод земельного участка под полигон так и не получили из-за непосредственной близости к Москве. В конце 1931 г. первая испытательная станция прекратила свою работу.</w:t>
      </w:r>
    </w:p>
    <w:p w14:paraId="1B6941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30004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16ED94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68F5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правительством принято решение о строительстве верфи деревянного катеростроения </w:t>
      </w:r>
      <w:proofErr w:type="spellStart"/>
      <w:r w:rsidRPr="007122AB">
        <w:rPr>
          <w:rFonts w:ascii="Times New Roman" w:hAnsi="Times New Roman"/>
          <w:color w:val="000000" w:themeColor="text1"/>
          <w:sz w:val="16"/>
          <w:szCs w:val="16"/>
        </w:rPr>
        <w:t>Морпогранохраны</w:t>
      </w:r>
      <w:proofErr w:type="spellEnd"/>
      <w:r w:rsidRPr="007122AB">
        <w:rPr>
          <w:rFonts w:ascii="Times New Roman" w:hAnsi="Times New Roman"/>
          <w:color w:val="000000" w:themeColor="text1"/>
          <w:sz w:val="16"/>
          <w:szCs w:val="16"/>
        </w:rPr>
        <w:t xml:space="preserve"> ОГПУ для выпуска катеров ГК. По решению Ленгорисполкома № 021-38 от 23.02.1931 г. для строительства верфи был выделен участок земли на Петровском острове за фабрикой «Канат», 5.07.1931 г. Госпланом были выделены фонды на строительство. Проект верфи разработан в ОКТБ-2 НКВД. Верфь вступила в строй 23.02.1933г.,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7122AB">
        <w:rPr>
          <w:rFonts w:ascii="Times New Roman" w:hAnsi="Times New Roman"/>
          <w:color w:val="000000" w:themeColor="text1"/>
          <w:sz w:val="16"/>
          <w:szCs w:val="16"/>
          <w:vertAlign w:val="superscript"/>
        </w:rPr>
        <w:t>131</w:t>
      </w:r>
      <w:r w:rsidRPr="007122AB">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5CAEBB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Бывшая верфь Золотова преобразована в Государственную судостроительную мастерскую для постройки пограничных судов и стала отделением верфи </w:t>
      </w:r>
      <w:proofErr w:type="spellStart"/>
      <w:r w:rsidRPr="007122AB">
        <w:rPr>
          <w:rFonts w:ascii="Times New Roman" w:hAnsi="Times New Roman"/>
          <w:color w:val="000000" w:themeColor="text1"/>
          <w:sz w:val="16"/>
          <w:szCs w:val="16"/>
        </w:rPr>
        <w:t>Морпогранохраны</w:t>
      </w:r>
      <w:proofErr w:type="spellEnd"/>
      <w:r w:rsidRPr="007122AB">
        <w:rPr>
          <w:rFonts w:ascii="Times New Roman" w:hAnsi="Times New Roman"/>
          <w:color w:val="000000" w:themeColor="text1"/>
          <w:sz w:val="16"/>
          <w:szCs w:val="16"/>
        </w:rPr>
        <w:t xml:space="preserve"> ОГПУ. В 1931 г. на строящейся верфи по инициативе Д.Л. Блинова организовано собственное КБ.</w:t>
      </w:r>
    </w:p>
    <w:p w14:paraId="36682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54E2CB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деревообрабатывающий, монтажно-сдаточный (840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механический, кузнечный, литейная мастерская.</w:t>
      </w:r>
    </w:p>
    <w:p w14:paraId="1B9F8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52EBE6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3EF02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1D503D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7122AB">
        <w:rPr>
          <w:rFonts w:ascii="Times New Roman" w:hAnsi="Times New Roman"/>
          <w:color w:val="000000" w:themeColor="text1"/>
          <w:sz w:val="16"/>
          <w:szCs w:val="16"/>
          <w:lang w:val="en-US"/>
        </w:rPr>
        <w:t>JICO</w:t>
      </w:r>
      <w:r w:rsidRPr="007122AB">
        <w:rPr>
          <w:rFonts w:ascii="Times New Roman" w:hAnsi="Times New Roman"/>
          <w:color w:val="000000" w:themeColor="text1"/>
          <w:sz w:val="16"/>
          <w:szCs w:val="16"/>
        </w:rPr>
        <w:t>, а с 1.10.1991 г. - СО «Алмаз». 20.03.1991 г. объединение преобразовано в СФ «Алмаз».</w:t>
      </w:r>
    </w:p>
    <w:p w14:paraId="2A518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7122AB">
        <w:rPr>
          <w:rFonts w:ascii="Times New Roman" w:hAnsi="Times New Roman"/>
          <w:color w:val="000000" w:themeColor="text1"/>
          <w:sz w:val="16"/>
          <w:szCs w:val="16"/>
          <w:vertAlign w:val="superscript"/>
        </w:rPr>
        <w:t>3</w:t>
      </w:r>
    </w:p>
    <w:p w14:paraId="13E1CB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58485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6A8724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w:t>
      </w:r>
      <w:proofErr w:type="spellStart"/>
      <w:r w:rsidRPr="007122AB">
        <w:rPr>
          <w:rFonts w:ascii="Times New Roman" w:hAnsi="Times New Roman"/>
          <w:color w:val="000000" w:themeColor="text1"/>
          <w:sz w:val="16"/>
          <w:szCs w:val="16"/>
        </w:rPr>
        <w:t>корпусообработки</w:t>
      </w:r>
      <w:proofErr w:type="spellEnd"/>
    </w:p>
    <w:p w14:paraId="5D9F98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4EA44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103AFF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w:t>
      </w:r>
      <w:proofErr w:type="spellStart"/>
      <w:r w:rsidRPr="007122AB">
        <w:rPr>
          <w:rFonts w:ascii="Times New Roman" w:hAnsi="Times New Roman"/>
          <w:color w:val="000000" w:themeColor="text1"/>
          <w:sz w:val="16"/>
          <w:szCs w:val="16"/>
        </w:rPr>
        <w:t>Грабовцу</w:t>
      </w:r>
      <w:proofErr w:type="spellEnd"/>
      <w:r w:rsidRPr="007122AB">
        <w:rPr>
          <w:rFonts w:ascii="Times New Roman" w:hAnsi="Times New Roman"/>
          <w:color w:val="000000" w:themeColor="text1"/>
          <w:sz w:val="16"/>
          <w:szCs w:val="16"/>
        </w:rPr>
        <w:t>, в 07.2006г. продано ПО «Ленстройматериалы». В 02.2007г. планировалось слияние СФ «Алмаз» с МЗ «Алмаз».</w:t>
      </w:r>
    </w:p>
    <w:p w14:paraId="42752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239DCC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77AAB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6B5D68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к 2005г. построено более 1000 кораблей и катеров.</w:t>
      </w:r>
    </w:p>
    <w:p w14:paraId="7970F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Имелось Московское представительство (зам. директора (2006г.)- И. Вишняков).</w:t>
      </w:r>
    </w:p>
    <w:p w14:paraId="7EB907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территории (2006г.)- 16,5 га; застройки (2006г.)- около 50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производственная (2009г.)- 30,4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1B5E3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(06.1941 г.)- 2845 чел., (12.1941 г.)- 730 чел., (2009г.)- более 1000 чел.</w:t>
      </w:r>
    </w:p>
    <w:p w14:paraId="0934C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Владелец (08.2005г.-)- Л.Г. </w:t>
      </w:r>
      <w:proofErr w:type="spellStart"/>
      <w:r w:rsidRPr="007122AB">
        <w:rPr>
          <w:rFonts w:ascii="Times New Roman" w:hAnsi="Times New Roman"/>
          <w:color w:val="000000" w:themeColor="text1"/>
          <w:sz w:val="16"/>
          <w:szCs w:val="16"/>
        </w:rPr>
        <w:t>Грабовец</w:t>
      </w:r>
      <w:proofErr w:type="spellEnd"/>
      <w:r w:rsidRPr="007122AB">
        <w:rPr>
          <w:rFonts w:ascii="Times New Roman" w:hAnsi="Times New Roman"/>
          <w:color w:val="000000" w:themeColor="text1"/>
          <w:sz w:val="16"/>
          <w:szCs w:val="16"/>
        </w:rPr>
        <w:t>.</w:t>
      </w:r>
    </w:p>
    <w:p w14:paraId="48AF1B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(1932-33г.)- Д.Л. Блинов, (1933-34г.)- А.В. Крюков, (1934г.)- М.А. </w:t>
      </w:r>
      <w:proofErr w:type="spellStart"/>
      <w:r w:rsidRPr="007122AB">
        <w:rPr>
          <w:rFonts w:ascii="Times New Roman" w:hAnsi="Times New Roman"/>
          <w:color w:val="000000" w:themeColor="text1"/>
          <w:sz w:val="16"/>
          <w:szCs w:val="16"/>
        </w:rPr>
        <w:t>Цикановский</w:t>
      </w:r>
      <w:proofErr w:type="spellEnd"/>
      <w:r w:rsidRPr="007122AB">
        <w:rPr>
          <w:rFonts w:ascii="Times New Roman" w:hAnsi="Times New Roman"/>
          <w:color w:val="000000" w:themeColor="text1"/>
          <w:sz w:val="16"/>
          <w:szCs w:val="16"/>
        </w:rPr>
        <w:t xml:space="preserve">, (1935-37г.)- Ф.Н. Глушко, (05.1937г.-)- Е.Я. Локшин. Директор (-1949г.)- Е.Я. Локшин, (1949-56г.)- И.Д. Яблоков, (1956-67г.)- В.Д. </w:t>
      </w:r>
      <w:proofErr w:type="spellStart"/>
      <w:r w:rsidRPr="007122AB">
        <w:rPr>
          <w:rFonts w:ascii="Times New Roman" w:hAnsi="Times New Roman"/>
          <w:color w:val="000000" w:themeColor="text1"/>
          <w:sz w:val="16"/>
          <w:szCs w:val="16"/>
        </w:rPr>
        <w:t>Колечицкий</w:t>
      </w:r>
      <w:proofErr w:type="spellEnd"/>
      <w:r w:rsidRPr="007122AB">
        <w:rPr>
          <w:rFonts w:ascii="Times New Roman" w:hAnsi="Times New Roman"/>
          <w:color w:val="000000" w:themeColor="text1"/>
          <w:sz w:val="16"/>
          <w:szCs w:val="16"/>
        </w:rPr>
        <w:t xml:space="preserve">, (1967-70 г.)- Ю.П. Кузьмин. Гендиректор (1970-71 г.)- Е.И. Юхнин, (1972-76г.)- Ю.Г. Полухин, (1976- 86г.)- В.К. Косенков, (1986-2001 г.)- А.П. Королев, (2001-07г.-)- Л.Г. </w:t>
      </w:r>
      <w:proofErr w:type="spellStart"/>
      <w:r w:rsidRPr="007122AB">
        <w:rPr>
          <w:rFonts w:ascii="Times New Roman" w:hAnsi="Times New Roman"/>
          <w:color w:val="000000" w:themeColor="text1"/>
          <w:sz w:val="16"/>
          <w:szCs w:val="16"/>
        </w:rPr>
        <w:t>Грабовец</w:t>
      </w:r>
      <w:proofErr w:type="spellEnd"/>
      <w:r w:rsidRPr="007122AB">
        <w:rPr>
          <w:rFonts w:ascii="Times New Roman" w:hAnsi="Times New Roman"/>
          <w:color w:val="000000" w:themeColor="text1"/>
          <w:sz w:val="16"/>
          <w:szCs w:val="16"/>
        </w:rPr>
        <w:t>.</w:t>
      </w:r>
    </w:p>
    <w:p w14:paraId="00AC93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77AF7C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(1933г.)- В.Е. Бурачек, (1941 г.)- И.К. Силин, (1944г.)- А.Ф. </w:t>
      </w:r>
      <w:proofErr w:type="spellStart"/>
      <w:r w:rsidRPr="007122AB">
        <w:rPr>
          <w:rFonts w:ascii="Times New Roman" w:hAnsi="Times New Roman"/>
          <w:color w:val="000000" w:themeColor="text1"/>
          <w:sz w:val="16"/>
          <w:szCs w:val="16"/>
        </w:rPr>
        <w:t>Симин</w:t>
      </w:r>
      <w:proofErr w:type="spellEnd"/>
      <w:r w:rsidRPr="007122AB">
        <w:rPr>
          <w:rFonts w:ascii="Times New Roman" w:hAnsi="Times New Roman"/>
          <w:color w:val="000000" w:themeColor="text1"/>
          <w:sz w:val="16"/>
          <w:szCs w:val="16"/>
        </w:rPr>
        <w:t>, (1970-е)- А.А. Пономарев.</w:t>
      </w:r>
    </w:p>
    <w:p w14:paraId="223D01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(2000 г.)- М.С. Каримова.</w:t>
      </w:r>
    </w:p>
    <w:p w14:paraId="197B07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строители: (1943-45г.)- А.Д. </w:t>
      </w:r>
      <w:proofErr w:type="spellStart"/>
      <w:r w:rsidRPr="007122AB">
        <w:rPr>
          <w:rFonts w:ascii="Times New Roman" w:hAnsi="Times New Roman"/>
          <w:color w:val="000000" w:themeColor="text1"/>
          <w:sz w:val="16"/>
          <w:szCs w:val="16"/>
        </w:rPr>
        <w:t>Симин</w:t>
      </w:r>
      <w:proofErr w:type="spellEnd"/>
      <w:r w:rsidRPr="007122AB">
        <w:rPr>
          <w:rFonts w:ascii="Times New Roman" w:hAnsi="Times New Roman"/>
          <w:color w:val="000000" w:themeColor="text1"/>
          <w:sz w:val="16"/>
          <w:szCs w:val="16"/>
        </w:rPr>
        <w:t xml:space="preserve">, (1957г.)- Н.И. </w:t>
      </w:r>
      <w:proofErr w:type="spellStart"/>
      <w:r w:rsidRPr="007122AB">
        <w:rPr>
          <w:rFonts w:ascii="Times New Roman" w:hAnsi="Times New Roman"/>
          <w:color w:val="000000" w:themeColor="text1"/>
          <w:sz w:val="16"/>
          <w:szCs w:val="16"/>
        </w:rPr>
        <w:t>Мартынычев</w:t>
      </w:r>
      <w:proofErr w:type="spellEnd"/>
      <w:r w:rsidRPr="007122AB">
        <w:rPr>
          <w:rFonts w:ascii="Times New Roman" w:hAnsi="Times New Roman"/>
          <w:color w:val="000000" w:themeColor="text1"/>
          <w:sz w:val="16"/>
          <w:szCs w:val="16"/>
        </w:rPr>
        <w:t>.</w:t>
      </w:r>
    </w:p>
    <w:p w14:paraId="1FD37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Строители судов: (ВОВ)- Л.Н. Одинцов, (07.1941 г.)- А.А. Тимофеев, (1967г.)- Б.П. </w:t>
      </w:r>
      <w:proofErr w:type="spellStart"/>
      <w:r w:rsidRPr="007122AB">
        <w:rPr>
          <w:rFonts w:ascii="Times New Roman" w:hAnsi="Times New Roman"/>
          <w:color w:val="000000" w:themeColor="text1"/>
          <w:sz w:val="16"/>
          <w:szCs w:val="16"/>
        </w:rPr>
        <w:t>Дитятьев</w:t>
      </w:r>
      <w:proofErr w:type="spellEnd"/>
      <w:r w:rsidRPr="007122AB">
        <w:rPr>
          <w:rFonts w:ascii="Times New Roman" w:hAnsi="Times New Roman"/>
          <w:color w:val="000000" w:themeColor="text1"/>
          <w:sz w:val="16"/>
          <w:szCs w:val="16"/>
        </w:rPr>
        <w:t xml:space="preserve"> (пр. 1234), (1970- е&gt; И.И. Костинский, (1970-е)- В.И. Мерцалов, (1970-е)- В.И. Сибирцев, (1970-е)- М.И. Тузов, (1970-е)- М.И. Украинский.</w:t>
      </w:r>
    </w:p>
    <w:p w14:paraId="0EBCD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w:t>
      </w:r>
      <w:proofErr w:type="spellStart"/>
      <w:r w:rsidRPr="007122AB">
        <w:rPr>
          <w:rFonts w:ascii="Times New Roman" w:hAnsi="Times New Roman"/>
          <w:color w:val="000000" w:themeColor="text1"/>
          <w:sz w:val="16"/>
          <w:szCs w:val="16"/>
        </w:rPr>
        <w:t>Воспер</w:t>
      </w:r>
      <w:proofErr w:type="spellEnd"/>
      <w:r w:rsidRPr="007122AB">
        <w:rPr>
          <w:rFonts w:ascii="Times New Roman" w:hAnsi="Times New Roman"/>
          <w:color w:val="000000" w:themeColor="text1"/>
          <w:sz w:val="16"/>
          <w:szCs w:val="16"/>
        </w:rPr>
        <w:t>»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7122AB">
        <w:rPr>
          <w:rFonts w:ascii="Times New Roman" w:hAnsi="Times New Roman"/>
          <w:color w:val="000000" w:themeColor="text1"/>
          <w:sz w:val="16"/>
          <w:szCs w:val="16"/>
          <w:vertAlign w:val="superscript"/>
        </w:rPr>
        <w:t>115</w:t>
      </w:r>
      <w:r w:rsidRPr="007122AB">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7122AB">
        <w:rPr>
          <w:rFonts w:ascii="Times New Roman" w:hAnsi="Times New Roman"/>
          <w:color w:val="000000" w:themeColor="text1"/>
          <w:sz w:val="16"/>
          <w:szCs w:val="16"/>
          <w:vertAlign w:val="subscript"/>
        </w:rPr>
        <w:t>60</w:t>
      </w:r>
      <w:r w:rsidR="002629BF" w:rsidRPr="007122AB">
        <w:rPr>
          <w:rFonts w:ascii="Times New Roman" w:hAnsi="Times New Roman"/>
          <w:color w:val="000000" w:themeColor="text1"/>
          <w:sz w:val="16"/>
          <w:szCs w:val="16"/>
        </w:rPr>
        <w:fldChar w:fldCharType="begin"/>
      </w:r>
      <w:r w:rsidR="002629BF" w:rsidRPr="007122AB">
        <w:rPr>
          <w:rFonts w:ascii="Times New Roman" w:hAnsi="Times New Roman"/>
          <w:color w:val="000000" w:themeColor="text1"/>
          <w:sz w:val="16"/>
          <w:szCs w:val="16"/>
        </w:rPr>
        <w:instrText xml:space="preserve">ref  HYPERLINK "http://www.aimazmfo"  \* MERGEFORMAT </w:instrText>
      </w:r>
      <w:r w:rsidR="002629BF" w:rsidRPr="007122AB">
        <w:rPr>
          <w:rFonts w:ascii="Times New Roman" w:hAnsi="Times New Roman"/>
          <w:color w:val="000000" w:themeColor="text1"/>
          <w:sz w:val="16"/>
          <w:szCs w:val="16"/>
        </w:rPr>
        <w:fldChar w:fldCharType="separate"/>
      </w:r>
      <w:r w:rsidRPr="007122AB">
        <w:rPr>
          <w:rFonts w:ascii="Times New Roman" w:hAnsi="Times New Roman"/>
          <w:color w:val="000000" w:themeColor="text1"/>
          <w:sz w:val="16"/>
          <w:szCs w:val="16"/>
          <w:lang w:val="en-US"/>
        </w:rPr>
        <w:t>www</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lang w:val="en-US"/>
        </w:rPr>
        <w:t>aimazmfo</w:t>
      </w:r>
      <w:proofErr w:type="spellEnd"/>
      <w:r w:rsidR="002629BF" w:rsidRPr="007122AB">
        <w:rPr>
          <w:rFonts w:ascii="Times New Roman" w:hAnsi="Times New Roman"/>
          <w:color w:val="000000" w:themeColor="text1"/>
          <w:sz w:val="16"/>
          <w:szCs w:val="16"/>
          <w:lang w:val="en-US"/>
        </w:rPr>
        <w:fldChar w:fldCharType="end"/>
      </w:r>
      <w:r w:rsidRPr="007122AB">
        <w:rPr>
          <w:rFonts w:ascii="Times New Roman" w:hAnsi="Times New Roman"/>
          <w:color w:val="000000" w:themeColor="text1"/>
          <w:sz w:val="16"/>
          <w:szCs w:val="16"/>
          <w:vertAlign w:val="subscript"/>
        </w:rPr>
        <w:t>); щ 2</w:t>
      </w:r>
      <w:r w:rsidRPr="007122AB">
        <w:rPr>
          <w:rFonts w:ascii="Times New Roman" w:hAnsi="Times New Roman"/>
          <w:color w:val="000000" w:themeColor="text1"/>
          <w:sz w:val="16"/>
          <w:szCs w:val="16"/>
          <w:vertAlign w:val="subscript"/>
          <w:lang w:val="en-US"/>
        </w:rPr>
        <w:t>Q</w:t>
      </w:r>
      <w:r w:rsidRPr="007122AB">
        <w:rPr>
          <w:rFonts w:ascii="Times New Roman" w:hAnsi="Times New Roman"/>
          <w:color w:val="000000" w:themeColor="text1"/>
          <w:sz w:val="16"/>
          <w:szCs w:val="16"/>
          <w:vertAlign w:val="subscript"/>
        </w:rPr>
        <w:t>5 (1959</w:t>
      </w:r>
      <w:r w:rsidRPr="007122AB">
        <w:rPr>
          <w:rFonts w:ascii="Times New Roman" w:hAnsi="Times New Roman"/>
          <w:color w:val="000000" w:themeColor="text1"/>
          <w:sz w:val="16"/>
          <w:szCs w:val="16"/>
        </w:rPr>
        <w:t>_</w:t>
      </w:r>
      <w:r w:rsidRPr="007122AB">
        <w:rPr>
          <w:rFonts w:ascii="Times New Roman" w:hAnsi="Times New Roman"/>
          <w:color w:val="000000" w:themeColor="text1"/>
          <w:sz w:val="16"/>
          <w:szCs w:val="16"/>
          <w:vertAlign w:val="subscript"/>
        </w:rPr>
        <w:t>66)</w:t>
      </w:r>
      <w:r w:rsidRPr="007122AB">
        <w:rPr>
          <w:rFonts w:ascii="Times New Roman" w:hAnsi="Times New Roman"/>
          <w:color w:val="000000" w:themeColor="text1"/>
          <w:sz w:val="16"/>
          <w:szCs w:val="16"/>
        </w:rPr>
        <w:t xml:space="preserve">_ </w:t>
      </w:r>
      <w:r w:rsidRPr="007122AB">
        <w:rPr>
          <w:rFonts w:ascii="Times New Roman" w:hAnsi="Times New Roman"/>
          <w:color w:val="000000" w:themeColor="text1"/>
          <w:sz w:val="16"/>
          <w:szCs w:val="16"/>
          <w:vertAlign w:val="subscript"/>
        </w:rPr>
        <w:t xml:space="preserve">68? </w:t>
      </w:r>
      <w:proofErr w:type="spellStart"/>
      <w:r w:rsidRPr="007122AB">
        <w:rPr>
          <w:rFonts w:ascii="Times New Roman" w:hAnsi="Times New Roman"/>
          <w:color w:val="000000" w:themeColor="text1"/>
          <w:sz w:val="16"/>
          <w:szCs w:val="16"/>
          <w:vertAlign w:val="subscript"/>
        </w:rPr>
        <w:t>пр</w:t>
      </w:r>
      <w:proofErr w:type="spellEnd"/>
      <w:r w:rsidRPr="007122AB">
        <w:rPr>
          <w:rFonts w:ascii="Times New Roman" w:hAnsi="Times New Roman"/>
          <w:color w:val="000000" w:themeColor="text1"/>
          <w:sz w:val="16"/>
          <w:szCs w:val="16"/>
          <w:vertAlign w:val="subscript"/>
        </w:rPr>
        <w:t xml:space="preserve"> 2</w:t>
      </w:r>
      <w:r w:rsidRPr="007122AB">
        <w:rPr>
          <w:rFonts w:ascii="Times New Roman" w:hAnsi="Times New Roman"/>
          <w:color w:val="000000" w:themeColor="text1"/>
          <w:sz w:val="16"/>
          <w:szCs w:val="16"/>
        </w:rPr>
        <w:t>05У (1965-72)- 19 (по другим данным, всего 89</w:t>
      </w:r>
      <w:proofErr w:type="spellStart"/>
      <w:r w:rsidRPr="007122AB">
        <w:rPr>
          <w:rFonts w:ascii="Times New Roman" w:hAnsi="Times New Roman"/>
          <w:color w:val="000000" w:themeColor="text1"/>
          <w:sz w:val="16"/>
          <w:szCs w:val="16"/>
          <w:vertAlign w:val="superscript"/>
          <w:lang w:val="en-US"/>
        </w:rPr>
        <w:t>wwwa</w:t>
      </w:r>
      <w:proofErr w:type="spellEnd"/>
      <w:r w:rsidRPr="007122AB">
        <w:rPr>
          <w:rFonts w:ascii="Times New Roman" w:hAnsi="Times New Roman"/>
          <w:color w:val="000000" w:themeColor="text1"/>
          <w:sz w:val="16"/>
          <w:szCs w:val="16"/>
          <w:vertAlign w:val="superscript"/>
        </w:rPr>
        <w:t>]</w:t>
      </w:r>
      <w:proofErr w:type="spellStart"/>
      <w:r w:rsidRPr="007122AB">
        <w:rPr>
          <w:rFonts w:ascii="Times New Roman" w:hAnsi="Times New Roman"/>
          <w:color w:val="000000" w:themeColor="text1"/>
          <w:sz w:val="16"/>
          <w:szCs w:val="16"/>
          <w:vertAlign w:val="superscript"/>
          <w:lang w:val="en-US"/>
        </w:rPr>
        <w:t>mazspbru</w:t>
      </w:r>
      <w:proofErr w:type="spellEnd"/>
      <w:r w:rsidRPr="007122AB">
        <w:rPr>
          <w:rFonts w:ascii="Times New Roman" w:hAnsi="Times New Roman"/>
          <w:color w:val="000000" w:themeColor="text1"/>
          <w:sz w:val="16"/>
          <w:szCs w:val="16"/>
        </w:rPr>
        <w:t>); пр. 12411 «Молния-1» с ПКР «Термит» (1979-80)- 1, (1982)- 1, (1983)-1; пограничный пр. 205П (1967-89)- 111,</w:t>
      </w:r>
    </w:p>
    <w:p w14:paraId="7EDEA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proofErr w:type="spellStart"/>
      <w:r w:rsidRPr="007122AB">
        <w:rPr>
          <w:rFonts w:ascii="Times New Roman" w:hAnsi="Times New Roman"/>
          <w:color w:val="000000" w:themeColor="text1"/>
          <w:sz w:val="16"/>
          <w:szCs w:val="16"/>
          <w:lang w:val="en-US"/>
        </w:rPr>
        <w:t>VijayDurg</w:t>
      </w:r>
      <w:proofErr w:type="spellEnd"/>
      <w:r w:rsidRPr="007122AB">
        <w:rPr>
          <w:rFonts w:ascii="Times New Roman" w:hAnsi="Times New Roman"/>
          <w:color w:val="000000" w:themeColor="text1"/>
          <w:sz w:val="16"/>
          <w:szCs w:val="16"/>
        </w:rPr>
        <w:t>"), «Прибой» ("</w:t>
      </w:r>
      <w:proofErr w:type="spellStart"/>
      <w:r w:rsidRPr="007122AB">
        <w:rPr>
          <w:rFonts w:ascii="Times New Roman" w:hAnsi="Times New Roman"/>
          <w:color w:val="000000" w:themeColor="text1"/>
          <w:sz w:val="16"/>
          <w:szCs w:val="16"/>
          <w:lang w:val="en-US"/>
        </w:rPr>
        <w:t>SihdhuDurg</w:t>
      </w:r>
      <w:proofErr w:type="spellEnd"/>
      <w:r w:rsidRPr="007122AB">
        <w:rPr>
          <w:rFonts w:ascii="Times New Roman" w:hAnsi="Times New Roman"/>
          <w:color w:val="000000" w:themeColor="text1"/>
          <w:sz w:val="16"/>
          <w:szCs w:val="16"/>
        </w:rPr>
        <w:t>"), «Прилив» ("</w:t>
      </w:r>
      <w:proofErr w:type="spellStart"/>
      <w:r w:rsidRPr="007122AB">
        <w:rPr>
          <w:rFonts w:ascii="Times New Roman" w:hAnsi="Times New Roman"/>
          <w:color w:val="000000" w:themeColor="text1"/>
          <w:sz w:val="16"/>
          <w:szCs w:val="16"/>
          <w:lang w:val="en-US"/>
        </w:rPr>
        <w:t>HosDurg</w:t>
      </w:r>
      <w:proofErr w:type="spellEnd"/>
      <w:r w:rsidRPr="007122AB">
        <w:rPr>
          <w:rFonts w:ascii="Times New Roman" w:hAnsi="Times New Roman"/>
          <w:color w:val="000000" w:themeColor="text1"/>
          <w:sz w:val="16"/>
          <w:szCs w:val="16"/>
        </w:rPr>
        <w:t>"), для Алжира МРК-21 ("</w:t>
      </w:r>
      <w:proofErr w:type="spellStart"/>
      <w:r w:rsidRPr="007122AB">
        <w:rPr>
          <w:rFonts w:ascii="Times New Roman" w:hAnsi="Times New Roman"/>
          <w:color w:val="000000" w:themeColor="text1"/>
          <w:sz w:val="16"/>
          <w:szCs w:val="16"/>
          <w:lang w:val="en-US"/>
        </w:rPr>
        <w:t>RasHamidou</w:t>
      </w:r>
      <w:proofErr w:type="spellEnd"/>
      <w:r w:rsidRPr="007122AB">
        <w:rPr>
          <w:rFonts w:ascii="Times New Roman" w:hAnsi="Times New Roman"/>
          <w:color w:val="000000" w:themeColor="text1"/>
          <w:sz w:val="16"/>
          <w:szCs w:val="16"/>
        </w:rPr>
        <w:t>"), МРК-22 ("</w:t>
      </w:r>
      <w:proofErr w:type="spellStart"/>
      <w:r w:rsidRPr="007122AB">
        <w:rPr>
          <w:rFonts w:ascii="Times New Roman" w:hAnsi="Times New Roman"/>
          <w:color w:val="000000" w:themeColor="text1"/>
          <w:sz w:val="16"/>
          <w:szCs w:val="16"/>
          <w:lang w:val="en-US"/>
        </w:rPr>
        <w:t>ReisAli</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-23 ("</w:t>
      </w:r>
      <w:proofErr w:type="spellStart"/>
      <w:r w:rsidRPr="007122AB">
        <w:rPr>
          <w:rFonts w:ascii="Times New Roman" w:hAnsi="Times New Roman"/>
          <w:color w:val="000000" w:themeColor="text1"/>
          <w:sz w:val="16"/>
          <w:szCs w:val="16"/>
          <w:lang w:val="en-US"/>
        </w:rPr>
        <w:t>SalahReis</w:t>
      </w:r>
      <w:proofErr w:type="spellEnd"/>
      <w:r w:rsidRPr="007122AB">
        <w:rPr>
          <w:rFonts w:ascii="Times New Roman" w:hAnsi="Times New Roman"/>
          <w:color w:val="000000" w:themeColor="text1"/>
          <w:sz w:val="16"/>
          <w:szCs w:val="16"/>
        </w:rPr>
        <w:t xml:space="preserve">"), для Ливии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-9 ("</w:t>
      </w:r>
      <w:proofErr w:type="spellStart"/>
      <w:r w:rsidRPr="007122AB">
        <w:rPr>
          <w:rFonts w:ascii="Times New Roman" w:hAnsi="Times New Roman"/>
          <w:color w:val="000000" w:themeColor="text1"/>
          <w:sz w:val="16"/>
          <w:szCs w:val="16"/>
          <w:lang w:val="en-US"/>
        </w:rPr>
        <w:t>EanMara</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-15 ("</w:t>
      </w:r>
      <w:proofErr w:type="spellStart"/>
      <w:r w:rsidRPr="007122AB">
        <w:rPr>
          <w:rFonts w:ascii="Times New Roman" w:hAnsi="Times New Roman"/>
          <w:color w:val="000000" w:themeColor="text1"/>
          <w:sz w:val="16"/>
          <w:szCs w:val="16"/>
          <w:lang w:val="en-US"/>
        </w:rPr>
        <w:t>EanZaquit</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-24 ("</w:t>
      </w:r>
      <w:r w:rsidRPr="007122AB">
        <w:rPr>
          <w:rFonts w:ascii="Times New Roman" w:hAnsi="Times New Roman"/>
          <w:color w:val="000000" w:themeColor="text1"/>
          <w:sz w:val="16"/>
          <w:szCs w:val="16"/>
          <w:lang w:val="en-US"/>
        </w:rPr>
        <w:t>EanA</w:t>
      </w:r>
      <w:r w:rsidRPr="007122AB">
        <w:rPr>
          <w:rFonts w:ascii="Times New Roman" w:hAnsi="Times New Roman"/>
          <w:color w:val="000000" w:themeColor="text1"/>
          <w:sz w:val="16"/>
          <w:szCs w:val="16"/>
        </w:rPr>
        <w:t xml:space="preserve">1 </w:t>
      </w:r>
      <w:r w:rsidRPr="007122AB">
        <w:rPr>
          <w:rFonts w:ascii="Times New Roman" w:hAnsi="Times New Roman"/>
          <w:color w:val="000000" w:themeColor="text1"/>
          <w:sz w:val="16"/>
          <w:szCs w:val="16"/>
          <w:lang w:val="en-US"/>
        </w:rPr>
        <w:t>Gazala</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-25 ("</w:t>
      </w:r>
      <w:proofErr w:type="spellStart"/>
      <w:r w:rsidRPr="007122AB">
        <w:rPr>
          <w:rFonts w:ascii="Times New Roman" w:hAnsi="Times New Roman"/>
          <w:color w:val="000000" w:themeColor="text1"/>
          <w:sz w:val="16"/>
          <w:szCs w:val="16"/>
          <w:lang w:val="en-US"/>
        </w:rPr>
        <w:t>EanZara</w:t>
      </w:r>
      <w:proofErr w:type="spellEnd"/>
      <w:r w:rsidRPr="007122AB">
        <w:rPr>
          <w:rFonts w:ascii="Times New Roman" w:hAnsi="Times New Roman"/>
          <w:color w:val="000000" w:themeColor="text1"/>
          <w:sz w:val="16"/>
          <w:szCs w:val="16"/>
        </w:rPr>
        <w:t>") (1976-84)- 10;</w:t>
      </w:r>
      <w:r w:rsidRPr="007122AB">
        <w:rPr>
          <w:rFonts w:ascii="Times New Roman" w:hAnsi="Times New Roman"/>
          <w:color w:val="000000" w:themeColor="text1"/>
          <w:sz w:val="16"/>
          <w:szCs w:val="16"/>
          <w:vertAlign w:val="superscript"/>
        </w:rPr>
        <w:t>3</w:t>
      </w:r>
      <w:r w:rsidRPr="007122AB">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w:t>
      </w:r>
      <w:proofErr w:type="spellStart"/>
      <w:r w:rsidRPr="007122AB">
        <w:rPr>
          <w:rFonts w:ascii="Times New Roman" w:hAnsi="Times New Roman"/>
          <w:color w:val="000000" w:themeColor="text1"/>
          <w:sz w:val="16"/>
          <w:szCs w:val="16"/>
        </w:rPr>
        <w:t>Ямалец</w:t>
      </w:r>
      <w:proofErr w:type="spellEnd"/>
      <w:r w:rsidRPr="007122AB">
        <w:rPr>
          <w:rFonts w:ascii="Times New Roman" w:hAnsi="Times New Roman"/>
          <w:color w:val="000000" w:themeColor="text1"/>
          <w:sz w:val="16"/>
          <w:szCs w:val="16"/>
        </w:rPr>
        <w:t xml:space="preserve">» (2004),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 310 (2000-е)- всего 10; пр. 10412 «Светляк» для Вьетнама (-08.2002)-1, (-09.2002)- 1; пр. 22460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w:t>
      </w:r>
      <w:proofErr w:type="spellStart"/>
      <w:r w:rsidRPr="007122AB">
        <w:rPr>
          <w:rFonts w:ascii="Times New Roman" w:hAnsi="Times New Roman"/>
          <w:color w:val="000000" w:themeColor="text1"/>
          <w:sz w:val="16"/>
          <w:szCs w:val="16"/>
        </w:rPr>
        <w:t>Кефаллиния</w:t>
      </w:r>
      <w:proofErr w:type="spellEnd"/>
      <w:r w:rsidRPr="007122AB">
        <w:rPr>
          <w:rFonts w:ascii="Times New Roman" w:hAnsi="Times New Roman"/>
          <w:color w:val="000000" w:themeColor="text1"/>
          <w:sz w:val="16"/>
          <w:szCs w:val="16"/>
        </w:rPr>
        <w:t>» (05-10.2000), «</w:t>
      </w:r>
      <w:proofErr w:type="spellStart"/>
      <w:r w:rsidRPr="007122AB">
        <w:rPr>
          <w:rFonts w:ascii="Times New Roman" w:hAnsi="Times New Roman"/>
          <w:color w:val="000000" w:themeColor="text1"/>
          <w:sz w:val="16"/>
          <w:szCs w:val="16"/>
        </w:rPr>
        <w:t>Закинтос</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 107, -05.2001), «</w:t>
      </w:r>
      <w:proofErr w:type="spellStart"/>
      <w:r w:rsidRPr="007122AB">
        <w:rPr>
          <w:rFonts w:ascii="Times New Roman" w:hAnsi="Times New Roman"/>
          <w:color w:val="000000" w:themeColor="text1"/>
          <w:sz w:val="16"/>
          <w:szCs w:val="16"/>
        </w:rPr>
        <w:t>Керкир</w:t>
      </w:r>
      <w:proofErr w:type="spellEnd"/>
      <w:r w:rsidRPr="007122AB">
        <w:rPr>
          <w:rFonts w:ascii="Times New Roman" w:hAnsi="Times New Roman"/>
          <w:color w:val="000000" w:themeColor="text1"/>
          <w:sz w:val="16"/>
          <w:szCs w:val="16"/>
        </w:rPr>
        <w:t xml:space="preserve">»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proofErr w:type="spellStart"/>
      <w:r w:rsidRPr="007122AB">
        <w:rPr>
          <w:rFonts w:ascii="Times New Roman" w:hAnsi="Times New Roman"/>
          <w:color w:val="000000" w:themeColor="text1"/>
          <w:sz w:val="16"/>
          <w:szCs w:val="16"/>
          <w:lang w:val="en-US"/>
        </w:rPr>
        <w:t>SeaHorse</w:t>
      </w:r>
      <w:proofErr w:type="spellEnd"/>
      <w:r w:rsidRPr="007122AB">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3F081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341DE4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w:t>
      </w:r>
      <w:proofErr w:type="spellStart"/>
      <w:r w:rsidRPr="007122AB">
        <w:rPr>
          <w:rFonts w:ascii="Times New Roman" w:hAnsi="Times New Roman"/>
          <w:color w:val="000000" w:themeColor="text1"/>
          <w:sz w:val="16"/>
          <w:szCs w:val="16"/>
        </w:rPr>
        <w:t>Лаймарита</w:t>
      </w:r>
      <w:proofErr w:type="spellEnd"/>
      <w:r w:rsidRPr="007122AB">
        <w:rPr>
          <w:rFonts w:ascii="Times New Roman" w:hAnsi="Times New Roman"/>
          <w:color w:val="000000" w:themeColor="text1"/>
          <w:sz w:val="16"/>
          <w:szCs w:val="16"/>
        </w:rPr>
        <w:t>» (-06.2000) (11982).</w:t>
      </w:r>
    </w:p>
    <w:p w14:paraId="79C8785A" w14:textId="77777777" w:rsidR="004121BA" w:rsidRPr="007122AB" w:rsidRDefault="004121BA" w:rsidP="007122AB">
      <w:pPr>
        <w:spacing w:after="0" w:line="240" w:lineRule="auto"/>
        <w:jc w:val="both"/>
        <w:rPr>
          <w:rFonts w:ascii="Times New Roman" w:hAnsi="Times New Roman"/>
          <w:color w:val="000000" w:themeColor="text1"/>
          <w:sz w:val="16"/>
          <w:szCs w:val="16"/>
        </w:rPr>
      </w:pPr>
    </w:p>
    <w:p w14:paraId="1ABE1041" w14:textId="77777777" w:rsidR="00DB1931" w:rsidRPr="007122AB" w:rsidRDefault="00DB193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в ходе подготовки рабочих чертежей ПЛ серии IV возникли серьезные разногласия между автором проекта и многими специалистами подводного плавания. Для достижения большой надводной скорости </w:t>
      </w:r>
      <w:proofErr w:type="spellStart"/>
      <w:r w:rsidRPr="007122AB">
        <w:rPr>
          <w:rFonts w:ascii="Times New Roman" w:hAnsi="Times New Roman"/>
          <w:color w:val="000000" w:themeColor="text1"/>
          <w:sz w:val="16"/>
          <w:szCs w:val="16"/>
        </w:rPr>
        <w:t>А.Н.Асафов</w:t>
      </w:r>
      <w:proofErr w:type="spellEnd"/>
      <w:r w:rsidRPr="007122AB">
        <w:rPr>
          <w:rFonts w:ascii="Times New Roman" w:hAnsi="Times New Roman"/>
          <w:color w:val="000000" w:themeColor="text1"/>
          <w:sz w:val="16"/>
          <w:szCs w:val="16"/>
        </w:rPr>
        <w:t xml:space="preserve"> постарался придать ПЛ обводы эскадренного миноносца - наиболее быстроходного в то время из надводных кораблей. Но для миноносцев характерны отношение длины к ширине и ширины к осадке, абсолютно не свойственные ПЛ.</w:t>
      </w:r>
    </w:p>
    <w:p w14:paraId="08825553" w14:textId="77777777" w:rsidR="00DB1931" w:rsidRPr="007122AB" w:rsidRDefault="00DB193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Автор проекта считал, что для улучшения мореходных качеств ПЛ, которой предстоит действовать совместно с надводными кораблями, следует значительно уменьшить ее осадку. Поэтому запас плавучести ПЛ оказался необычным - 92 %. Но это резко увеличило ее массу и затруднило процесс погружения и всплытия. ПЛ получила чрезвычайно высокий надводный борт. Между тем артиллерия продолжала оставаться одним из главнейших средств борьбы с ПЛ, а способность их к быстрому погружению являлась важнейшим тактическим элементом ПЛ.</w:t>
      </w:r>
    </w:p>
    <w:p w14:paraId="0B0FFE1D" w14:textId="77777777" w:rsidR="00DB1931" w:rsidRPr="007122AB" w:rsidRDefault="00DB193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Складывалось впечатление, что прообразом проекта </w:t>
      </w:r>
      <w:proofErr w:type="spellStart"/>
      <w:r w:rsidRPr="007122AB">
        <w:rPr>
          <w:rFonts w:ascii="Times New Roman" w:hAnsi="Times New Roman"/>
          <w:color w:val="000000" w:themeColor="text1"/>
          <w:sz w:val="16"/>
          <w:szCs w:val="16"/>
        </w:rPr>
        <w:t>А.Н.Асафова</w:t>
      </w:r>
      <w:proofErr w:type="spellEnd"/>
      <w:r w:rsidRPr="007122AB">
        <w:rPr>
          <w:rFonts w:ascii="Times New Roman" w:hAnsi="Times New Roman"/>
          <w:color w:val="000000" w:themeColor="text1"/>
          <w:sz w:val="16"/>
          <w:szCs w:val="16"/>
        </w:rPr>
        <w:t xml:space="preserve">, по сути дела, послужил незавершенный </w:t>
      </w:r>
      <w:proofErr w:type="spellStart"/>
      <w:r w:rsidRPr="007122AB">
        <w:rPr>
          <w:rFonts w:ascii="Times New Roman" w:hAnsi="Times New Roman"/>
          <w:color w:val="000000" w:themeColor="text1"/>
          <w:sz w:val="16"/>
          <w:szCs w:val="16"/>
        </w:rPr>
        <w:t>И.Г.Бубновым</w:t>
      </w:r>
      <w:proofErr w:type="spellEnd"/>
      <w:r w:rsidRPr="007122AB">
        <w:rPr>
          <w:rFonts w:ascii="Times New Roman" w:hAnsi="Times New Roman"/>
          <w:color w:val="000000" w:themeColor="text1"/>
          <w:sz w:val="16"/>
          <w:szCs w:val="16"/>
        </w:rPr>
        <w:t xml:space="preserve"> проект ПЛ водоизмещением 950 т (1914 г.), забракованный в свое время. При этом </w:t>
      </w:r>
      <w:proofErr w:type="spellStart"/>
      <w:r w:rsidRPr="007122AB">
        <w:rPr>
          <w:rFonts w:ascii="Times New Roman" w:hAnsi="Times New Roman"/>
          <w:color w:val="000000" w:themeColor="text1"/>
          <w:sz w:val="16"/>
          <w:szCs w:val="16"/>
        </w:rPr>
        <w:t>А.Н.Асафов</w:t>
      </w:r>
      <w:proofErr w:type="spellEnd"/>
      <w:r w:rsidRPr="007122AB">
        <w:rPr>
          <w:rFonts w:ascii="Times New Roman" w:hAnsi="Times New Roman"/>
          <w:color w:val="000000" w:themeColor="text1"/>
          <w:sz w:val="16"/>
          <w:szCs w:val="16"/>
        </w:rPr>
        <w:t xml:space="preserve"> не только не увеличил водоизмещение предложенной им ПЛ по сравнению с прототипом, но, наоборот, несколько уменьшил его.</w:t>
      </w:r>
    </w:p>
    <w:p w14:paraId="7F945168" w14:textId="77777777" w:rsidR="00DB1931" w:rsidRPr="007122AB" w:rsidRDefault="00DB193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Избранная им глубина погружения (50-60 м), к тому времени превзойденная почти вдвое на ПЛ советской постройки, при длине ПЛ серии IV 90 м затрудняла маневрирование под водой. Более того, даже такая ограниченная глубина погружения не была обеспечена расчетами прочности.</w:t>
      </w:r>
    </w:p>
    <w:p w14:paraId="78040FCB" w14:textId="77777777" w:rsidR="00DB1931" w:rsidRPr="007122AB" w:rsidRDefault="00DB193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Специалисты НТКМ считали, что выполненные расчеты фактически соответствуют погружению ПЛ лишь до глубины 40 - 50 м, тогда как требовались иные пределы - 75 - 100 м. Такие авторитетнейшие специалисты, как </w:t>
      </w:r>
      <w:proofErr w:type="spellStart"/>
      <w:r w:rsidRPr="007122AB">
        <w:rPr>
          <w:rFonts w:ascii="Times New Roman" w:hAnsi="Times New Roman"/>
          <w:color w:val="000000" w:themeColor="text1"/>
          <w:sz w:val="16"/>
          <w:szCs w:val="16"/>
        </w:rPr>
        <w:t>А.Н.Крылов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П.Ф.Папкович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В.Л.Поздюнин</w:t>
      </w:r>
      <w:proofErr w:type="spellEnd"/>
      <w:r w:rsidRPr="007122AB">
        <w:rPr>
          <w:rFonts w:ascii="Times New Roman" w:hAnsi="Times New Roman"/>
          <w:color w:val="000000" w:themeColor="text1"/>
          <w:sz w:val="16"/>
          <w:szCs w:val="16"/>
        </w:rPr>
        <w:t>, полагали, что рабочая и предельная глубина погружения ПЛ, судя по их контрольным расчетам, не превысит 35 м и 45 м (12719).</w:t>
      </w:r>
    </w:p>
    <w:p w14:paraId="4EDED941" w14:textId="77777777" w:rsidR="00DB1931" w:rsidRPr="007122AB" w:rsidRDefault="00DB1931" w:rsidP="007122AB">
      <w:pPr>
        <w:spacing w:after="0" w:line="240" w:lineRule="auto"/>
        <w:jc w:val="both"/>
        <w:rPr>
          <w:rFonts w:ascii="Times New Roman" w:hAnsi="Times New Roman"/>
          <w:color w:val="000000" w:themeColor="text1"/>
          <w:sz w:val="16"/>
          <w:szCs w:val="16"/>
        </w:rPr>
      </w:pPr>
    </w:p>
    <w:p w14:paraId="56416BD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года состоящее из репрессированных судостроителей Особое конструкторское бюро в Ленинграде закончило проект эскадренной подводной лодки водоизмещением 900 тонн. Была разработана и экспериментально проверена теория погружения и всплытия подводных лодок большого водоизмещения. На Балтийском заводе спроектировали и построили эскадренные подводные лодки типа «Правда», серию прибрежных подводных лодок типа «М» и боевых катеров (18728).</w:t>
      </w:r>
    </w:p>
    <w:p w14:paraId="26D370D9"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189D08D4" w14:textId="77777777" w:rsidR="0023773B" w:rsidRPr="007122AB" w:rsidRDefault="0023773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B68783E" w14:textId="77777777" w:rsidR="0023773B" w:rsidRPr="007122AB" w:rsidRDefault="0023773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D9CA7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начале 1931 г. (Техническо-эксплуатационная инспекция) ТЭИ была передана в состав НИИ ВВС. А.П. Смолин был назначен Главным инспектором НИИ ВВС с непосредственным подчинением начальнику НИИ ВВС. Было также организовано отделение учета и статистики, которое стало заниматься разработкой учетно-отчетной документации, сбором информации об отказах и неисправностях авиатехники и передачей ее в промышленность и в строевые части (19566).</w:t>
      </w:r>
    </w:p>
    <w:p w14:paraId="2B387525"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2FF2DE57"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по указанию ЦК ВКП(б) был проведен набор четырех тысяч коммунистов в летные школы ВВС. В том же году началась плановая подготовка политических кадров ВВС. В Военно-политической академии был создан воздушный факультет, комплектовавшийся летчиками и штурманами из строевых частей. Политработники среднего звена готовились в военно-политических училищах, а также на курсах при некоторых летных вузах (19566).</w:t>
      </w:r>
    </w:p>
    <w:p w14:paraId="1348778A"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5E1EAAFE"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из журнала «Вестник воздушного флота»</w:t>
      </w:r>
    </w:p>
    <w:p w14:paraId="5992C583"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Изотов. «Некоторые выводы из летней учебы». Опыт показывает, что авиационные штабы в смысле постановки работы штаба как органа управления командования еще не достигли совершенства. Самостоятельная оценка начальником штаба земной и воздушной обстановки, подсчет сил и средств, устройство и организация тыла и прочие вопросы, тесно связанные к принятием командованием оперативного решения и, как выводы из всего, право предложения того или иного варианта решения – все это обычное в работе начальника штаба земных войск – к сожалению, еще не чувствуется в работе у некоторой группы начальников штабов авиасоединений. Фактически роль начальника штаба сводится к технической передаче подчиненным частям принятого командованием решения. (…) Правильна ли такая постановка дела в условиях возрастающих технических возможностей, а вместе с ним и усложняющихся решением сложных самостоятельных задач Воздушного флота? Сможет ли сейчас охватить командир авиасоединения типа бригады все мелочи проведения принятого им решения в жизнь? Сможет ли командир авиачасти предусмотреть целый ряд таких вопросов, самих по себе, на первый взгляд, маловажных, но в случае невнимательного их разрешения дающих себя довольно остро почувствовать на успешности боевой работы. Безусловно, нет. Вот здесь-то роль штаба велика и ответственна. Штаб авиачасти собирает все мелочи по воздушной и земной обстановке, анализируя их, дает командованию в своем докладе тот готовый материал, на основе которого последнее, разгруженное от мелочей, охватывает всю обстановку в целом, принимая то или иное решение по боевому использованию вверенных ему частей. После принятия решения для штаба начинается вторая ответственная работа – проведение решения командования в жизнь. Мы нарочно разделили так резко эти две важнейшие функции штаба, чтобы нагляднее показать то обширное поле деятельности штаба, на котором он может и должен проявить творчество и инициативу» (Изотов. Некоторые выводы из летней учебы // Вестник воздушного флота. – 1931. – № 1. – С. 10 – 11) (19566). </w:t>
      </w:r>
    </w:p>
    <w:p w14:paraId="6EB01A5D"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74F05193"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1931 из журнала «Вестник воздушного флота»</w:t>
      </w:r>
    </w:p>
    <w:p w14:paraId="427674E8"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 Михайлов. «К </w:t>
      </w:r>
      <w:proofErr w:type="spellStart"/>
      <w:r w:rsidRPr="007122AB">
        <w:rPr>
          <w:rFonts w:ascii="Times New Roman" w:hAnsi="Times New Roman"/>
          <w:color w:val="000000" w:themeColor="text1"/>
          <w:sz w:val="16"/>
          <w:szCs w:val="16"/>
        </w:rPr>
        <w:t>партполитработе</w:t>
      </w:r>
      <w:proofErr w:type="spellEnd"/>
      <w:r w:rsidRPr="007122AB">
        <w:rPr>
          <w:rFonts w:ascii="Times New Roman" w:hAnsi="Times New Roman"/>
          <w:color w:val="000000" w:themeColor="text1"/>
          <w:sz w:val="16"/>
          <w:szCs w:val="16"/>
        </w:rPr>
        <w:t xml:space="preserve"> на летний период». Третье Всеармейское совещание секретарей ячеек, дифференцируя свою работу по родам войск, в том числе и по авиации, дало следующую общую оценку состояния партийно-политической работы в авиачастях: «Политорганы и партийные ячейки частей ВВС полностью еще не повернулись лицом к боевой подготовке. Налицо ряд случаев отставания от растущих требований и недостаточного умения приспособить </w:t>
      </w:r>
      <w:proofErr w:type="spellStart"/>
      <w:r w:rsidRPr="007122AB">
        <w:rPr>
          <w:rFonts w:ascii="Times New Roman" w:hAnsi="Times New Roman"/>
          <w:color w:val="000000" w:themeColor="text1"/>
          <w:sz w:val="16"/>
          <w:szCs w:val="16"/>
        </w:rPr>
        <w:t>партполитработу</w:t>
      </w:r>
      <w:proofErr w:type="spellEnd"/>
      <w:r w:rsidRPr="007122AB">
        <w:rPr>
          <w:rFonts w:ascii="Times New Roman" w:hAnsi="Times New Roman"/>
          <w:color w:val="000000" w:themeColor="text1"/>
          <w:sz w:val="16"/>
          <w:szCs w:val="16"/>
        </w:rPr>
        <w:t xml:space="preserve"> к особенностям Военно-Воздушного флота». Остановлюсь на отдельных моментах партийно-политической работы в авиачастях в период летней учебы. Первый из них – дальнейшее укрепление отрядной ячейки. (…) Второй - овладение техникой и ее боевым применением. Третий вопрос - о дисциплине. Должна быть единая дисциплина – воинская. Четвертый вопрос – о боевой подготовке. Пятый вопрос – о партийно-политической работе на аэродроме (на старте). Шестой вопрос – о командирской учебе (омоложение личного состава требует повышения качества кадров ВВС). Седьмой вопрос – о рационализации и изобретательстве. (…) Восьмой вопрос – о соцсоревновании и ударничестве. Последний вопрос – о </w:t>
      </w:r>
      <w:proofErr w:type="spellStart"/>
      <w:r w:rsidRPr="007122AB">
        <w:rPr>
          <w:rFonts w:ascii="Times New Roman" w:hAnsi="Times New Roman"/>
          <w:color w:val="000000" w:themeColor="text1"/>
          <w:sz w:val="16"/>
          <w:szCs w:val="16"/>
        </w:rPr>
        <w:t>партполитработе</w:t>
      </w:r>
      <w:proofErr w:type="spellEnd"/>
      <w:r w:rsidRPr="007122AB">
        <w:rPr>
          <w:rFonts w:ascii="Times New Roman" w:hAnsi="Times New Roman"/>
          <w:color w:val="000000" w:themeColor="text1"/>
          <w:sz w:val="16"/>
          <w:szCs w:val="16"/>
        </w:rPr>
        <w:t xml:space="preserve"> в авиачастях. Особенности </w:t>
      </w:r>
      <w:proofErr w:type="spellStart"/>
      <w:r w:rsidRPr="007122AB">
        <w:rPr>
          <w:rFonts w:ascii="Times New Roman" w:hAnsi="Times New Roman"/>
          <w:color w:val="000000" w:themeColor="text1"/>
          <w:sz w:val="16"/>
          <w:szCs w:val="16"/>
        </w:rPr>
        <w:t>партполитработы</w:t>
      </w:r>
      <w:proofErr w:type="spellEnd"/>
      <w:r w:rsidRPr="007122AB">
        <w:rPr>
          <w:rFonts w:ascii="Times New Roman" w:hAnsi="Times New Roman"/>
          <w:color w:val="000000" w:themeColor="text1"/>
          <w:sz w:val="16"/>
          <w:szCs w:val="16"/>
        </w:rPr>
        <w:t xml:space="preserve"> в авиачастях есть. Но некоторые сваливают на специфичность. Однако опыт </w:t>
      </w:r>
      <w:proofErr w:type="spellStart"/>
      <w:r w:rsidRPr="007122AB">
        <w:rPr>
          <w:rFonts w:ascii="Times New Roman" w:hAnsi="Times New Roman"/>
          <w:color w:val="000000" w:themeColor="text1"/>
          <w:sz w:val="16"/>
          <w:szCs w:val="16"/>
        </w:rPr>
        <w:t>партполитработы</w:t>
      </w:r>
      <w:proofErr w:type="spellEnd"/>
      <w:r w:rsidRPr="007122AB">
        <w:rPr>
          <w:rFonts w:ascii="Times New Roman" w:hAnsi="Times New Roman"/>
          <w:color w:val="000000" w:themeColor="text1"/>
          <w:sz w:val="16"/>
          <w:szCs w:val="16"/>
        </w:rPr>
        <w:t xml:space="preserve"> в стрелковых частях полностью должен быть привит и проведен в авиачастях» (Михайлов Н. К </w:t>
      </w:r>
      <w:proofErr w:type="spellStart"/>
      <w:r w:rsidRPr="007122AB">
        <w:rPr>
          <w:rFonts w:ascii="Times New Roman" w:hAnsi="Times New Roman"/>
          <w:color w:val="000000" w:themeColor="text1"/>
          <w:sz w:val="16"/>
          <w:szCs w:val="16"/>
        </w:rPr>
        <w:t>партполитработе</w:t>
      </w:r>
      <w:proofErr w:type="spellEnd"/>
      <w:r w:rsidRPr="007122AB">
        <w:rPr>
          <w:rFonts w:ascii="Times New Roman" w:hAnsi="Times New Roman"/>
          <w:color w:val="000000" w:themeColor="text1"/>
          <w:sz w:val="16"/>
          <w:szCs w:val="16"/>
        </w:rPr>
        <w:t xml:space="preserve"> на летний период // Вестник воздушного флота. – 1931. – № 5 – 6. С. 4 – 6.) (19566).</w:t>
      </w:r>
    </w:p>
    <w:p w14:paraId="556FAF89"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38AE110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8CF455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16629F"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1931 г. произошло окончательное оформление всесоюзной карточной системы. Рабочие повсеместно снабжались по карточкам в первую очередь. Особо выделялись Москва и Ленинград. Рабочие ведущих предприятий имели преимущества перед теми, кто работал на второстепенных объектах.</w:t>
      </w:r>
    </w:p>
    <w:p w14:paraId="59D23E9C" w14:textId="77777777" w:rsidR="00BE087B" w:rsidRPr="007122AB" w:rsidRDefault="00BE08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Вместе с тем государство явно не справлялось со снабжением населения. Большие различия в заработной плате мало что значили при покупке товаров на «черном рынке» за высокие цены, т.е. в смысле реальной зарплаты. Трудно было убедить работника повышать интенсивность труда, если это мало что давало на практике. Негативные последствия этого сказывались также на передвижениях рабочих. Слухи о предприятиях, лучше обеспеченных, способствовали текучести. Бесконечное стояние в очередях отрицательно влияло на состояние трудовой дисциплины на предприятиях, способствовало прогулам и опозданиям. (21332).</w:t>
      </w:r>
    </w:p>
    <w:p w14:paraId="71B8C022" w14:textId="77777777" w:rsidR="00BE087B" w:rsidRPr="007122AB" w:rsidRDefault="00BE087B" w:rsidP="007122AB">
      <w:pPr>
        <w:spacing w:after="0" w:line="240" w:lineRule="auto"/>
        <w:jc w:val="both"/>
        <w:rPr>
          <w:rFonts w:ascii="Times New Roman" w:hAnsi="Times New Roman"/>
          <w:color w:val="000000" w:themeColor="text1"/>
          <w:sz w:val="16"/>
          <w:szCs w:val="16"/>
        </w:rPr>
      </w:pPr>
    </w:p>
    <w:p w14:paraId="24ADA504" w14:textId="77777777" w:rsidR="00BE087B" w:rsidRPr="007122AB" w:rsidRDefault="00BE087B"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34A063B2" w14:textId="77777777" w:rsidR="00BE087B" w:rsidRPr="007122AB" w:rsidRDefault="00BE087B" w:rsidP="007122AB">
      <w:pPr>
        <w:autoSpaceDE w:val="0"/>
        <w:autoSpaceDN w:val="0"/>
        <w:adjustRightInd w:val="0"/>
        <w:spacing w:after="0" w:line="240" w:lineRule="auto"/>
        <w:jc w:val="both"/>
        <w:rPr>
          <w:rFonts w:ascii="Times New Roman" w:hAnsi="Times New Roman"/>
          <w:color w:val="000000" w:themeColor="text1"/>
          <w:sz w:val="16"/>
          <w:szCs w:val="16"/>
        </w:rPr>
      </w:pPr>
    </w:p>
    <w:p w14:paraId="12A38BEC" w14:textId="77777777" w:rsidR="0023773B" w:rsidRPr="007122AB" w:rsidRDefault="0023773B" w:rsidP="007122AB">
      <w:pPr>
        <w:pStyle w:val="b-articletext"/>
        <w:shd w:val="clear" w:color="auto" w:fill="FFFFFF"/>
        <w:spacing w:before="0" w:beforeAutospacing="0" w:after="0" w:afterAutospacing="0"/>
        <w:jc w:val="both"/>
        <w:textAlignment w:val="baseline"/>
        <w:rPr>
          <w:color w:val="000000" w:themeColor="text1"/>
          <w:sz w:val="16"/>
          <w:szCs w:val="16"/>
        </w:rPr>
      </w:pPr>
      <w:r w:rsidRPr="007122AB">
        <w:rPr>
          <w:color w:val="000000" w:themeColor="text1"/>
          <w:sz w:val="16"/>
          <w:szCs w:val="16"/>
        </w:rPr>
        <w:t>С начала 1931 года страна снабжалась по четырем спискам: особый, первый, второй и третий. «Преимущества в снабжении имели особый и первый списки, куда вошли ведущие индустриальные предприятия Москвы, Ленинграда, Баку, Донбасса, Караганды, Восточной Сибири, Дальнего Востока, Урала,— утверждает автор книги “За фасадом сталинского изобилия” Елена Осокина.— Жители этих промышленных центров должны были получать из фондов централизованного снабжения хлеб, муку, крупу, мясо, рыбу, масло, сахар, чай, яйца в первую очередь и по более высоким нормам. Потребители особого и первого списков составляли только 40% в числе снабжаемых, но получали львиную долю государственного снабжения — 70–80% поступавших в торговлю фондов».</w:t>
      </w:r>
    </w:p>
    <w:p w14:paraId="273B9F7F" w14:textId="77777777" w:rsidR="0023773B" w:rsidRPr="007122AB" w:rsidRDefault="0023773B" w:rsidP="007122AB">
      <w:pPr>
        <w:pStyle w:val="b-articletext"/>
        <w:shd w:val="clear" w:color="auto" w:fill="FFFFFF"/>
        <w:spacing w:before="0" w:beforeAutospacing="0" w:after="0" w:afterAutospacing="0"/>
        <w:jc w:val="both"/>
        <w:textAlignment w:val="baseline"/>
        <w:rPr>
          <w:color w:val="000000" w:themeColor="text1"/>
          <w:sz w:val="16"/>
          <w:szCs w:val="16"/>
        </w:rPr>
      </w:pPr>
      <w:r w:rsidRPr="007122AB">
        <w:rPr>
          <w:color w:val="000000" w:themeColor="text1"/>
          <w:sz w:val="16"/>
          <w:szCs w:val="16"/>
        </w:rPr>
        <w:t>Во второй и третий списки попали небольшие, не имевшие крупной промышленности города, мелкие предприятия, артели, типографии и т. д. Из центрального фонда снабжения они получали только хлеб, сахар, крупу и чай, да и то по сниженным нормам. А всеми остальными продуктами должны были обеспечивать себя сами.</w:t>
      </w:r>
    </w:p>
    <w:p w14:paraId="35629EE8" w14:textId="77777777" w:rsidR="0023773B" w:rsidRPr="007122AB" w:rsidRDefault="0023773B" w:rsidP="007122AB">
      <w:pPr>
        <w:pStyle w:val="b-articletext"/>
        <w:shd w:val="clear" w:color="auto" w:fill="FFFFFF"/>
        <w:spacing w:before="0" w:beforeAutospacing="0" w:after="0" w:afterAutospacing="0"/>
        <w:jc w:val="both"/>
        <w:textAlignment w:val="baseline"/>
        <w:rPr>
          <w:color w:val="000000" w:themeColor="text1"/>
          <w:sz w:val="16"/>
          <w:szCs w:val="16"/>
        </w:rPr>
      </w:pPr>
      <w:r w:rsidRPr="007122AB">
        <w:rPr>
          <w:color w:val="000000" w:themeColor="text1"/>
          <w:sz w:val="16"/>
          <w:szCs w:val="16"/>
        </w:rPr>
        <w:t>«Внутри каждого из четырех списков существовали разные стандарты снабжения, которые зависели от производственного статуса людей,— продолжает Елена Осокина.— Высшую категорию в каждом из списков представляли нормы индустриальных рабочих. К их числу относились рабочие фабрично-заводских предприятий и транспорта. Нормы прочих рабочих и лиц физического труда, не занятых на фабрично-заводском производстве, представляли вторую категорию снабжения» (19550).</w:t>
      </w:r>
    </w:p>
    <w:p w14:paraId="237706F8"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59996FE9" w14:textId="77777777" w:rsidR="00EC287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E671D07"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D17827"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К началу 1931 года боевая масса проектируемого легкого танка выросла до 3,5 тонн. На разработку </w:t>
      </w:r>
      <w:proofErr w:type="spellStart"/>
      <w:r w:rsidRPr="007122AB">
        <w:rPr>
          <w:color w:val="000000" w:themeColor="text1"/>
          <w:sz w:val="16"/>
          <w:szCs w:val="16"/>
        </w:rPr>
        <w:t>Kleinetraktor</w:t>
      </w:r>
      <w:proofErr w:type="spellEnd"/>
      <w:r w:rsidRPr="007122AB">
        <w:rPr>
          <w:color w:val="000000" w:themeColor="text1"/>
          <w:sz w:val="16"/>
          <w:szCs w:val="16"/>
        </w:rPr>
        <w:t xml:space="preserve"> </w:t>
      </w:r>
      <w:proofErr w:type="spellStart"/>
      <w:r w:rsidRPr="007122AB">
        <w:rPr>
          <w:color w:val="000000" w:themeColor="text1"/>
          <w:sz w:val="16"/>
          <w:szCs w:val="16"/>
        </w:rPr>
        <w:t>Krupp</w:t>
      </w:r>
      <w:proofErr w:type="spellEnd"/>
      <w:r w:rsidRPr="007122AB">
        <w:rPr>
          <w:color w:val="000000" w:themeColor="text1"/>
          <w:sz w:val="16"/>
          <w:szCs w:val="16"/>
        </w:rPr>
        <w:t xml:space="preserve">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w:t>
      </w:r>
      <w:proofErr w:type="spellStart"/>
      <w:r w:rsidRPr="007122AB">
        <w:rPr>
          <w:color w:val="000000" w:themeColor="text1"/>
          <w:sz w:val="16"/>
          <w:szCs w:val="16"/>
        </w:rPr>
        <w:t>Kleinetraktor</w:t>
      </w:r>
      <w:proofErr w:type="spellEnd"/>
      <w:r w:rsidRPr="007122AB">
        <w:rPr>
          <w:color w:val="000000" w:themeColor="text1"/>
          <w:sz w:val="16"/>
          <w:szCs w:val="16"/>
        </w:rPr>
        <w:t xml:space="preserve"> по цене 50 тысяч рейхсмарок за штуку (17463).</w:t>
      </w:r>
    </w:p>
    <w:p w14:paraId="72FB2524" w14:textId="77777777" w:rsidR="00EC2876" w:rsidRPr="007122AB" w:rsidRDefault="00EC2876" w:rsidP="007122AB">
      <w:pPr>
        <w:pStyle w:val="ae"/>
        <w:shd w:val="clear" w:color="auto" w:fill="FFFFFF"/>
        <w:spacing w:before="0" w:after="0"/>
        <w:jc w:val="both"/>
        <w:rPr>
          <w:color w:val="000000" w:themeColor="text1"/>
          <w:sz w:val="16"/>
          <w:szCs w:val="16"/>
        </w:rPr>
      </w:pPr>
    </w:p>
    <w:p w14:paraId="27CCC007" w14:textId="77777777" w:rsidR="0023773B" w:rsidRPr="007122AB" w:rsidRDefault="002377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началу 1931 г. автотранспортных дизелей еще не было, то через три года в Германии насчитывалось уже 16 000 автомобилей с дизельными двигателями, в Англии – 8 000, а во всех остальных странах еще порядка 10 000. Лидером в производстве автомобильных дизелей в начале 1930-х гг. была, безусловно, Германия, где 75 % выпускаемых грузовиков и автобусов оснащались этими двигателями (19149).</w:t>
      </w:r>
    </w:p>
    <w:p w14:paraId="74EFA063" w14:textId="77777777" w:rsidR="0023773B" w:rsidRPr="007122AB" w:rsidRDefault="0023773B" w:rsidP="007122AB">
      <w:pPr>
        <w:spacing w:after="0" w:line="240" w:lineRule="auto"/>
        <w:jc w:val="both"/>
        <w:rPr>
          <w:rFonts w:ascii="Times New Roman" w:hAnsi="Times New Roman"/>
          <w:color w:val="000000" w:themeColor="text1"/>
          <w:sz w:val="16"/>
          <w:szCs w:val="16"/>
        </w:rPr>
      </w:pPr>
    </w:p>
    <w:p w14:paraId="27E8D9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AF172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CABB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февралю 1931 НИИ ВВС разработал ТТТ для нового многоцелевого самолета, получившего наименование войскового (70,257).</w:t>
      </w:r>
    </w:p>
    <w:p w14:paraId="7B7618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A8AD9E" w14:textId="77777777" w:rsidR="004121BA" w:rsidRPr="007122AB" w:rsidRDefault="004121B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февралю 1931 года НИИ ВВС разработало тактико-технические требования для нового самолета, получившего название “войскового”. А 4 июля 1932 года Совет Труда и Обороны поручил проектирование и строительство такой машины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(15552).</w:t>
      </w:r>
    </w:p>
    <w:p w14:paraId="6E198A32" w14:textId="77777777" w:rsidR="004121BA" w:rsidRPr="007122AB" w:rsidRDefault="004121BA" w:rsidP="007122AB">
      <w:pPr>
        <w:spacing w:after="0" w:line="240" w:lineRule="auto"/>
        <w:jc w:val="both"/>
        <w:rPr>
          <w:rFonts w:ascii="Times New Roman" w:hAnsi="Times New Roman"/>
          <w:color w:val="000000" w:themeColor="text1"/>
          <w:sz w:val="16"/>
          <w:szCs w:val="16"/>
        </w:rPr>
      </w:pPr>
    </w:p>
    <w:p w14:paraId="64D78D7C" w14:textId="77777777" w:rsidR="002E524B" w:rsidRPr="007122AB" w:rsidRDefault="002E524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C5BA87C" w14:textId="77777777" w:rsidR="002E524B" w:rsidRPr="007122AB" w:rsidRDefault="002E524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5B801B" w14:textId="77777777" w:rsidR="002E524B" w:rsidRPr="007122AB" w:rsidRDefault="002E524B"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К февралю 1931 года было принято решение о начале производства Т-26 на «Большевике». Из-за постоянных изменений плана по выпуску танков разобраться в этом хитросплетении очень сложно. Например, «Большевик» планировал произвести 370 танков, но со второй половины 1931 года Т-18 вообще пропадает из программы </w:t>
      </w:r>
      <w:r w:rsidRPr="007122AB">
        <w:rPr>
          <w:color w:val="000000" w:themeColor="text1"/>
          <w:sz w:val="16"/>
          <w:szCs w:val="16"/>
        </w:rPr>
        <w:lastRenderedPageBreak/>
        <w:t>завода. В реальности же 1931 год стал самым «урожайным» для Т-18. 4-я серия стала самой массовой. Было заказано 430 танков, и все они были предъявлены на испытания к 1 января 1932 года. А вот заводские документы свидетельствуют о производстве в этот период от 750 до 790 танков. Этого не может быть физически, поскольку к 15 марта 1932 года в Красной армии числилось всего 959 Т-18 (17724).</w:t>
      </w:r>
    </w:p>
    <w:p w14:paraId="084E443C" w14:textId="77777777" w:rsidR="002E524B" w:rsidRPr="007122AB" w:rsidRDefault="002E524B" w:rsidP="007122AB">
      <w:pPr>
        <w:spacing w:after="0" w:line="240" w:lineRule="auto"/>
        <w:jc w:val="both"/>
        <w:rPr>
          <w:rFonts w:ascii="Times New Roman" w:eastAsia="Times New Roman" w:hAnsi="Times New Roman"/>
          <w:color w:val="000000" w:themeColor="text1"/>
          <w:sz w:val="16"/>
          <w:szCs w:val="16"/>
          <w:lang w:eastAsia="ru-RU"/>
        </w:rPr>
      </w:pPr>
    </w:p>
    <w:p w14:paraId="3D9C5CA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29B6E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FD2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начались работы над АНТ-16 (ТБ-4) (514).</w:t>
      </w:r>
    </w:p>
    <w:p w14:paraId="7EC3D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4167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февраля 1931 г. по 26 февраля 1931 г. на 1-м серийном самолете N 4273 завода N 1 проводились испытания стрелкового вооружения на серийном самолете И-5 (3208).</w:t>
      </w:r>
    </w:p>
    <w:p w14:paraId="57291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6D7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г. из-за неисправности мотора были прерваны гос. испытания самолета И5-М15, которые шли с 12 декабря 1930 г. За указанный период произведено всего 8 полетов. Испытание самолета было продолжено при вторичном получении самолета с новым мотором 6 мая 1931 г. (3290,42-58).</w:t>
      </w:r>
    </w:p>
    <w:p w14:paraId="4BFA6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744AB2"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февраля 1931 года, после выполнения всего 8 полетов </w:t>
      </w:r>
      <w:proofErr w:type="spellStart"/>
      <w:r w:rsidRPr="007122AB">
        <w:rPr>
          <w:rFonts w:ascii="Times New Roman" w:hAnsi="Times New Roman"/>
          <w:color w:val="000000" w:themeColor="text1"/>
          <w:sz w:val="16"/>
          <w:szCs w:val="16"/>
        </w:rPr>
        <w:t>госиспытани</w:t>
      </w:r>
      <w:proofErr w:type="spellEnd"/>
      <w:r w:rsidRPr="007122AB">
        <w:rPr>
          <w:rFonts w:ascii="Times New Roman" w:hAnsi="Times New Roman"/>
          <w:color w:val="000000" w:themeColor="text1"/>
          <w:sz w:val="16"/>
          <w:szCs w:val="16"/>
        </w:rPr>
        <w:t xml:space="preserve"> И-5 “подарок” прекратили вовсе, опять же по причине отказа М-15. Но основные выводы были уже сделаны. В частности, И-5 М-15 даже с макетным вооружением оказал</w:t>
      </w:r>
      <w:r w:rsidRPr="007122AB">
        <w:rPr>
          <w:rFonts w:ascii="Times New Roman" w:hAnsi="Times New Roman"/>
          <w:color w:val="000000" w:themeColor="text1"/>
          <w:sz w:val="16"/>
          <w:szCs w:val="16"/>
        </w:rPr>
        <w:softHyphen/>
        <w:t>ся тяжелее на 80 кг, чем И-5 с «Юпитер» VI. Кроме того, летчикам не понравился новый капот, который заметно уменьшал обзор из кабины вперед.</w:t>
      </w:r>
    </w:p>
    <w:p w14:paraId="68627D2E"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последовал второй этап испытаний И-5 №3 с двигателем М-15, который прохо</w:t>
      </w:r>
      <w:r w:rsidRPr="007122AB">
        <w:rPr>
          <w:rFonts w:ascii="Times New Roman" w:hAnsi="Times New Roman"/>
          <w:color w:val="000000" w:themeColor="text1"/>
          <w:sz w:val="16"/>
          <w:szCs w:val="16"/>
        </w:rPr>
        <w:softHyphen/>
        <w:t>дил в период 6 мая - 15 июня 1931 года. Од</w:t>
      </w:r>
      <w:r w:rsidRPr="007122AB">
        <w:rPr>
          <w:rFonts w:ascii="Times New Roman" w:hAnsi="Times New Roman"/>
          <w:color w:val="000000" w:themeColor="text1"/>
          <w:sz w:val="16"/>
          <w:szCs w:val="16"/>
        </w:rPr>
        <w:softHyphen/>
        <w:t>нако этот самолет по-прежнему не имел во</w:t>
      </w:r>
      <w:r w:rsidRPr="007122AB">
        <w:rPr>
          <w:rFonts w:ascii="Times New Roman" w:hAnsi="Times New Roman"/>
          <w:color w:val="000000" w:themeColor="text1"/>
          <w:sz w:val="16"/>
          <w:szCs w:val="16"/>
        </w:rPr>
        <w:softHyphen/>
        <w:t>оружения и обладал множеством отличий от серийных образцов с индивидуальными об</w:t>
      </w:r>
      <w:r w:rsidRPr="007122AB">
        <w:rPr>
          <w:rFonts w:ascii="Times New Roman" w:hAnsi="Times New Roman"/>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7122AB">
        <w:rPr>
          <w:rFonts w:ascii="Times New Roman" w:hAnsi="Times New Roman"/>
          <w:color w:val="000000" w:themeColor="text1"/>
          <w:sz w:val="16"/>
          <w:szCs w:val="16"/>
        </w:rPr>
        <w:softHyphen/>
        <w:t>вторял серийные машины завода №1. Фо</w:t>
      </w:r>
      <w:r w:rsidRPr="007122AB">
        <w:rPr>
          <w:rFonts w:ascii="Times New Roman" w:hAnsi="Times New Roman"/>
          <w:color w:val="000000" w:themeColor="text1"/>
          <w:sz w:val="16"/>
          <w:szCs w:val="16"/>
        </w:rPr>
        <w:softHyphen/>
        <w:t>тографий этого самолета видеть не прихо</w:t>
      </w:r>
      <w:r w:rsidRPr="007122AB">
        <w:rPr>
          <w:rFonts w:ascii="Times New Roman" w:hAnsi="Times New Roman"/>
          <w:color w:val="000000" w:themeColor="text1"/>
          <w:sz w:val="16"/>
          <w:szCs w:val="16"/>
        </w:rPr>
        <w:softHyphen/>
        <w:t>дилось, однако в ряде документов указыва</w:t>
      </w:r>
      <w:r w:rsidRPr="007122AB">
        <w:rPr>
          <w:rFonts w:ascii="Times New Roman" w:hAnsi="Times New Roman"/>
          <w:color w:val="000000" w:themeColor="text1"/>
          <w:sz w:val="16"/>
          <w:szCs w:val="16"/>
        </w:rPr>
        <w:softHyphen/>
        <w:t>лось, что «данный экземпляр отличается из</w:t>
      </w:r>
      <w:r w:rsidRPr="007122AB">
        <w:rPr>
          <w:rFonts w:ascii="Times New Roman" w:hAnsi="Times New Roman"/>
          <w:color w:val="000000" w:themeColor="text1"/>
          <w:sz w:val="16"/>
          <w:szCs w:val="16"/>
        </w:rPr>
        <w:softHyphen/>
        <w:t xml:space="preserve">мененной головной частью». Возможно, на этом И-5 впервые использовали кольцо Та- </w:t>
      </w:r>
      <w:proofErr w:type="spellStart"/>
      <w:r w:rsidRPr="007122AB">
        <w:rPr>
          <w:rFonts w:ascii="Times New Roman" w:hAnsi="Times New Roman"/>
          <w:color w:val="000000" w:themeColor="text1"/>
          <w:sz w:val="16"/>
          <w:szCs w:val="16"/>
        </w:rPr>
        <w:t>уненда</w:t>
      </w:r>
      <w:proofErr w:type="spellEnd"/>
      <w:r w:rsidRPr="007122AB">
        <w:rPr>
          <w:rFonts w:ascii="Times New Roman" w:hAnsi="Times New Roman"/>
          <w:color w:val="000000" w:themeColor="text1"/>
          <w:sz w:val="16"/>
          <w:szCs w:val="16"/>
        </w:rPr>
        <w:t>. Другим отличием этого образца, из</w:t>
      </w:r>
      <w:r w:rsidRPr="007122AB">
        <w:rPr>
          <w:rFonts w:ascii="Times New Roman" w:hAnsi="Times New Roman"/>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7122AB">
        <w:rPr>
          <w:rFonts w:ascii="Times New Roman" w:hAnsi="Times New Roman"/>
          <w:color w:val="000000" w:themeColor="text1"/>
          <w:sz w:val="16"/>
          <w:szCs w:val="16"/>
        </w:rPr>
        <w:softHyphen/>
        <w:t xml:space="preserve">тания в НИИ ВВС И-5 № 18 с двигателем М-15 №6 начались 30 июля и были прерваны 15 августа 1931 года по причине поломки </w:t>
      </w:r>
      <w:proofErr w:type="spellStart"/>
      <w:r w:rsidRPr="007122AB">
        <w:rPr>
          <w:rFonts w:ascii="Times New Roman" w:hAnsi="Times New Roman"/>
          <w:color w:val="000000" w:themeColor="text1"/>
          <w:sz w:val="16"/>
          <w:szCs w:val="16"/>
        </w:rPr>
        <w:t>мо</w:t>
      </w:r>
      <w:r w:rsidRPr="007122AB">
        <w:rPr>
          <w:rFonts w:ascii="Times New Roman" w:hAnsi="Times New Roman"/>
          <w:color w:val="000000" w:themeColor="text1"/>
          <w:sz w:val="16"/>
          <w:szCs w:val="16"/>
        </w:rPr>
        <w:softHyphen/>
        <w:t>торамы</w:t>
      </w:r>
      <w:proofErr w:type="spellEnd"/>
      <w:r w:rsidRPr="007122AB">
        <w:rPr>
          <w:rFonts w:ascii="Times New Roman" w:hAnsi="Times New Roman"/>
          <w:color w:val="000000" w:themeColor="text1"/>
          <w:sz w:val="16"/>
          <w:szCs w:val="16"/>
        </w:rPr>
        <w:t>. После ремонта самолет предъявили к тестированию с новым двигателем - М-15 №24109. Полеты начались 10 октября, а че</w:t>
      </w:r>
      <w:r w:rsidRPr="007122AB">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7122AB">
        <w:rPr>
          <w:rFonts w:ascii="Times New Roman" w:hAnsi="Times New Roman"/>
          <w:color w:val="000000" w:themeColor="text1"/>
          <w:sz w:val="16"/>
          <w:szCs w:val="16"/>
        </w:rPr>
        <w:softHyphen/>
        <w:t>ки. Дальнейшая судьба машины не просле</w:t>
      </w:r>
      <w:r w:rsidRPr="007122AB">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25694AD8" w14:textId="77777777" w:rsidR="001522BB" w:rsidRPr="007122AB" w:rsidRDefault="001522BB" w:rsidP="007122AB">
      <w:pPr>
        <w:spacing w:after="0" w:line="240" w:lineRule="auto"/>
        <w:jc w:val="both"/>
        <w:rPr>
          <w:rFonts w:ascii="Times New Roman" w:hAnsi="Times New Roman"/>
          <w:color w:val="000000" w:themeColor="text1"/>
          <w:sz w:val="16"/>
          <w:szCs w:val="16"/>
        </w:rPr>
      </w:pPr>
    </w:p>
    <w:p w14:paraId="536900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в НИИ ВВС закончились испытания И5 № 3 с мотором М15, которые проходили с 12 декабря 1930.</w:t>
      </w:r>
    </w:p>
    <w:p w14:paraId="7E5786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 (образца для серии) самолета И5 № 18 с мотором М15</w:t>
      </w:r>
    </w:p>
    <w:p w14:paraId="7EBFB8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1C2392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1BBF17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0CF247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сообщению завода № 39 данный самолет в сравнении с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xml:space="preserve"> VI усилен ………….</w:t>
      </w:r>
    </w:p>
    <w:p w14:paraId="45AECF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5E688E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6C2DAA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2EFB1F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 испытания</w:t>
      </w:r>
    </w:p>
    <w:p w14:paraId="72F8FB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первого испытания самолет И5 № 18 произвел следующие полеты:</w:t>
      </w:r>
    </w:p>
    <w:p w14:paraId="54D102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716CB8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72E31B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DA4AB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второго испытания произведены следующие полеты:</w:t>
      </w:r>
    </w:p>
    <w:p w14:paraId="0153CE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71F1F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501845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E1ED2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w:t>
      </w:r>
      <w:proofErr w:type="spellStart"/>
      <w:r w:rsidRPr="007122AB">
        <w:rPr>
          <w:rFonts w:ascii="Times New Roman" w:hAnsi="Times New Roman"/>
          <w:color w:val="000000" w:themeColor="text1"/>
          <w:sz w:val="16"/>
          <w:szCs w:val="16"/>
        </w:rPr>
        <w:t>ЮпVI</w:t>
      </w:r>
      <w:proofErr w:type="spellEnd"/>
      <w:r w:rsidRPr="007122AB">
        <w:rPr>
          <w:rFonts w:ascii="Times New Roman" w:hAnsi="Times New Roman"/>
          <w:color w:val="000000" w:themeColor="text1"/>
          <w:sz w:val="16"/>
          <w:szCs w:val="16"/>
        </w:rPr>
        <w:t xml:space="preserve"> (6964, 32-40).</w:t>
      </w:r>
    </w:p>
    <w:p w14:paraId="0F8E37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F2D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w:t>
      </w:r>
      <w:r w:rsidRPr="007122AB">
        <w:rPr>
          <w:rFonts w:ascii="Times New Roman" w:hAnsi="Times New Roman"/>
          <w:color w:val="000000" w:themeColor="text1"/>
          <w:sz w:val="16"/>
          <w:szCs w:val="16"/>
        </w:rPr>
        <w:softHyphen/>
        <w:t>ли 1931 г., после выполнения всего 8 полетов, испытания И-5-3 с М-15 прекратили вовсе, опять же по причине отказа М-15. Но основные выводы были уже сде</w:t>
      </w:r>
      <w:r w:rsidRPr="007122AB">
        <w:rPr>
          <w:rFonts w:ascii="Times New Roman" w:hAnsi="Times New Roman"/>
          <w:color w:val="000000" w:themeColor="text1"/>
          <w:sz w:val="16"/>
          <w:szCs w:val="16"/>
        </w:rPr>
        <w:softHyphen/>
        <w:t>ланы. В частности, И-5 М-15 даже с макетным вооружением оказался тяжелее на 80 кг, чем И-5 с «Юпитер» VI. Летчикам не понравился новый капот, который заметно уменьшал обзор из кабины вперед.</w:t>
      </w:r>
    </w:p>
    <w:p w14:paraId="4807B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Третий опытный образец истребителя, из</w:t>
      </w:r>
      <w:r w:rsidRPr="007122AB">
        <w:rPr>
          <w:rFonts w:ascii="Times New Roman" w:hAnsi="Times New Roman"/>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7122AB">
        <w:rPr>
          <w:rFonts w:ascii="Times New Roman" w:hAnsi="Times New Roman"/>
          <w:color w:val="000000" w:themeColor="text1"/>
          <w:sz w:val="16"/>
          <w:szCs w:val="16"/>
        </w:rPr>
        <w:softHyphen/>
        <w:t xml:space="preserve">ского капота типа </w:t>
      </w:r>
      <w:r w:rsidRPr="007122AB">
        <w:rPr>
          <w:rFonts w:ascii="Times New Roman" w:hAnsi="Times New Roman"/>
          <w:color w:val="000000" w:themeColor="text1"/>
          <w:sz w:val="16"/>
          <w:szCs w:val="16"/>
          <w:lang w:val="en-US"/>
        </w:rPr>
        <w:t>NACA</w:t>
      </w:r>
      <w:r w:rsidRPr="007122AB">
        <w:rPr>
          <w:rFonts w:ascii="Times New Roman" w:hAnsi="Times New Roman"/>
          <w:color w:val="000000" w:themeColor="text1"/>
          <w:sz w:val="16"/>
          <w:szCs w:val="16"/>
        </w:rPr>
        <w:t>. Особыми его внешни</w:t>
      </w:r>
      <w:r w:rsidRPr="007122AB">
        <w:rPr>
          <w:rFonts w:ascii="Times New Roman" w:hAnsi="Times New Roman"/>
          <w:color w:val="000000" w:themeColor="text1"/>
          <w:sz w:val="16"/>
          <w:szCs w:val="16"/>
        </w:rPr>
        <w:softHyphen/>
        <w:t>ми отличиями были: надпись на борту фюзе</w:t>
      </w:r>
      <w:r w:rsidRPr="007122AB">
        <w:rPr>
          <w:rFonts w:ascii="Times New Roman" w:hAnsi="Times New Roman"/>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7122AB">
        <w:rPr>
          <w:rFonts w:ascii="Times New Roman" w:hAnsi="Times New Roman"/>
          <w:color w:val="000000" w:themeColor="text1"/>
          <w:sz w:val="16"/>
          <w:szCs w:val="16"/>
        </w:rPr>
        <w:softHyphen/>
        <w:t>рота.</w:t>
      </w:r>
    </w:p>
    <w:p w14:paraId="6B87C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последовал второй этап испытаний И-5 №3 с двигателем М-15, который проходил в период 6 мая - 15 июня 1931 г. Однако этот ополет по-прежнему не имел вооружения и обладал множеством отличий от серийных об</w:t>
      </w:r>
      <w:r w:rsidRPr="007122AB">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7122AB">
        <w:rPr>
          <w:rFonts w:ascii="Times New Roman" w:hAnsi="Times New Roman"/>
          <w:color w:val="000000" w:themeColor="text1"/>
          <w:sz w:val="16"/>
          <w:szCs w:val="16"/>
        </w:rPr>
        <w:softHyphen/>
        <w:t xml:space="preserve">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Другим отличи</w:t>
      </w:r>
      <w:r w:rsidRPr="007122AB">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7122AB">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7122AB">
        <w:rPr>
          <w:rFonts w:ascii="Times New Roman" w:hAnsi="Times New Roman"/>
          <w:color w:val="000000" w:themeColor="text1"/>
          <w:sz w:val="16"/>
          <w:szCs w:val="16"/>
        </w:rPr>
        <w:softHyphen/>
        <w:t xml:space="preserve">ломки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После ремонта самолет предъявили к тестированию с новым двигате</w:t>
      </w:r>
      <w:r w:rsidRPr="007122AB">
        <w:rPr>
          <w:rFonts w:ascii="Times New Roman" w:hAnsi="Times New Roman"/>
          <w:color w:val="000000" w:themeColor="text1"/>
          <w:sz w:val="16"/>
          <w:szCs w:val="16"/>
        </w:rPr>
        <w:softHyphen/>
        <w:t>лем - М-15 № 24109. Полеты начались 10 ок</w:t>
      </w:r>
      <w:r w:rsidRPr="007122AB">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7122AB">
        <w:rPr>
          <w:rFonts w:ascii="Times New Roman" w:hAnsi="Times New Roman"/>
          <w:color w:val="000000" w:themeColor="text1"/>
          <w:sz w:val="16"/>
          <w:szCs w:val="16"/>
        </w:rPr>
        <w:softHyphen/>
        <w:t xml:space="preserve">садки. Дальнейшая судьба машины не </w:t>
      </w:r>
      <w:proofErr w:type="spellStart"/>
      <w:r w:rsidRPr="007122AB">
        <w:rPr>
          <w:rFonts w:ascii="Times New Roman" w:hAnsi="Times New Roman"/>
          <w:color w:val="000000" w:themeColor="text1"/>
          <w:sz w:val="16"/>
          <w:szCs w:val="16"/>
        </w:rPr>
        <w:t>просле</w:t>
      </w:r>
      <w:proofErr w:type="spellEnd"/>
      <w:r w:rsidRPr="007122AB">
        <w:rPr>
          <w:rFonts w:ascii="Times New Roman" w:hAnsi="Times New Roman"/>
          <w:color w:val="000000" w:themeColor="text1"/>
          <w:sz w:val="16"/>
          <w:szCs w:val="16"/>
        </w:rPr>
        <w:t xml:space="preserve"> живется, однако из переписки завода №39 известно, что какой-то И-5 с М-15 потерпел аварию и не восстанавливался (вероятно это был И-5 №18).</w:t>
      </w:r>
    </w:p>
    <w:p w14:paraId="524E34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смотря на аварию, основные выводы в отношении </w:t>
      </w:r>
      <w:proofErr w:type="spellStart"/>
      <w:r w:rsidRPr="007122AB">
        <w:rPr>
          <w:rFonts w:ascii="Times New Roman" w:hAnsi="Times New Roman"/>
          <w:color w:val="000000" w:themeColor="text1"/>
          <w:sz w:val="16"/>
          <w:szCs w:val="16"/>
        </w:rPr>
        <w:t>испытывавшегося</w:t>
      </w:r>
      <w:proofErr w:type="spellEnd"/>
      <w:r w:rsidRPr="007122AB">
        <w:rPr>
          <w:rFonts w:ascii="Times New Roman" w:hAnsi="Times New Roman"/>
          <w:color w:val="000000" w:themeColor="text1"/>
          <w:sz w:val="16"/>
          <w:szCs w:val="16"/>
        </w:rPr>
        <w:t xml:space="preserve"> самолета были, получены. В частности, указывалось, что се</w:t>
      </w:r>
      <w:r w:rsidRPr="007122AB">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7122AB">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7122AB">
        <w:rPr>
          <w:rFonts w:ascii="Times New Roman" w:hAnsi="Times New Roman"/>
          <w:color w:val="000000" w:themeColor="text1"/>
          <w:sz w:val="16"/>
          <w:szCs w:val="16"/>
        </w:rPr>
        <w:softHyphen/>
        <w:t>ность чуть ниже, чем у второго опытного эк</w:t>
      </w:r>
      <w:r w:rsidRPr="007122AB">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65F32" w:rsidRPr="007122AB" w14:paraId="34CE244D" w14:textId="77777777">
        <w:tc>
          <w:tcPr>
            <w:tcW w:w="3736" w:type="dxa"/>
            <w:tcBorders>
              <w:top w:val="single" w:sz="12" w:space="0" w:color="auto"/>
            </w:tcBorders>
          </w:tcPr>
          <w:p w14:paraId="1D4B6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03F8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М-15</w:t>
            </w:r>
          </w:p>
        </w:tc>
        <w:tc>
          <w:tcPr>
            <w:tcW w:w="3736" w:type="dxa"/>
            <w:tcBorders>
              <w:top w:val="single" w:sz="12" w:space="0" w:color="auto"/>
            </w:tcBorders>
          </w:tcPr>
          <w:p w14:paraId="501AF2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w:t>
            </w:r>
            <w:r w:rsidRPr="007122AB">
              <w:rPr>
                <w:rFonts w:ascii="Times New Roman" w:hAnsi="Times New Roman"/>
                <w:color w:val="000000" w:themeColor="text1"/>
                <w:sz w:val="16"/>
                <w:szCs w:val="16"/>
                <w:lang w:val="en-US"/>
              </w:rPr>
              <w:t>-VI</w:t>
            </w:r>
          </w:p>
        </w:tc>
      </w:tr>
      <w:tr w:rsidR="00B65F32" w:rsidRPr="007122AB" w14:paraId="07FE7317" w14:textId="77777777">
        <w:tc>
          <w:tcPr>
            <w:tcW w:w="3736" w:type="dxa"/>
          </w:tcPr>
          <w:p w14:paraId="63537D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1000 м (км/ч)</w:t>
            </w:r>
          </w:p>
        </w:tc>
        <w:tc>
          <w:tcPr>
            <w:tcW w:w="3736" w:type="dxa"/>
          </w:tcPr>
          <w:p w14:paraId="15110D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3736" w:type="dxa"/>
          </w:tcPr>
          <w:p w14:paraId="4A49B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r>
      <w:tr w:rsidR="00B65F32" w:rsidRPr="007122AB" w14:paraId="39B7E83E" w14:textId="77777777">
        <w:tc>
          <w:tcPr>
            <w:tcW w:w="3736" w:type="dxa"/>
            <w:tcBorders>
              <w:bottom w:val="single" w:sz="12" w:space="0" w:color="auto"/>
            </w:tcBorders>
          </w:tcPr>
          <w:p w14:paraId="4791F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559CB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3736" w:type="dxa"/>
            <w:tcBorders>
              <w:bottom w:val="single" w:sz="12" w:space="0" w:color="auto"/>
            </w:tcBorders>
          </w:tcPr>
          <w:p w14:paraId="20F38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w:t>
            </w:r>
          </w:p>
        </w:tc>
      </w:tr>
    </w:tbl>
    <w:p w14:paraId="5F555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значительные усилия, потра</w:t>
      </w:r>
      <w:r w:rsidRPr="007122AB">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7122AB">
        <w:rPr>
          <w:rFonts w:ascii="Times New Roman" w:hAnsi="Times New Roman"/>
          <w:color w:val="000000" w:themeColor="text1"/>
          <w:sz w:val="16"/>
          <w:szCs w:val="16"/>
        </w:rPr>
        <w:softHyphen/>
        <w:t>должение работ по его внедрению. Было ре</w:t>
      </w:r>
      <w:r w:rsidRPr="007122AB">
        <w:rPr>
          <w:rFonts w:ascii="Times New Roman" w:hAnsi="Times New Roman"/>
          <w:color w:val="000000" w:themeColor="text1"/>
          <w:sz w:val="16"/>
          <w:szCs w:val="16"/>
        </w:rPr>
        <w:softHyphen/>
        <w:t xml:space="preserve">шено, что в числе первой сотни серийных истребителей должны быть 10 машин с М-15, поэтому еще один самолет оснастили таким двигателем. Он прибыл </w:t>
      </w:r>
      <w:r w:rsidRPr="007122AB">
        <w:rPr>
          <w:rFonts w:ascii="Times New Roman" w:hAnsi="Times New Roman"/>
          <w:color w:val="000000" w:themeColor="text1"/>
          <w:sz w:val="16"/>
          <w:szCs w:val="16"/>
        </w:rPr>
        <w:lastRenderedPageBreak/>
        <w:t>на аэродром 25 но</w:t>
      </w:r>
      <w:r w:rsidRPr="007122AB">
        <w:rPr>
          <w:rFonts w:ascii="Times New Roman" w:hAnsi="Times New Roman"/>
          <w:color w:val="000000" w:themeColor="text1"/>
          <w:sz w:val="16"/>
          <w:szCs w:val="16"/>
        </w:rPr>
        <w:softHyphen/>
        <w:t xml:space="preserve">ября 1931 г.,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677F0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4B5F91" w14:textId="77777777" w:rsidR="00777DEF" w:rsidRDefault="00777DEF" w:rsidP="00777DEF">
      <w:pPr>
        <w:spacing w:after="0" w:line="240" w:lineRule="auto"/>
        <w:jc w:val="both"/>
        <w:rPr>
          <w:rFonts w:ascii="Times New Roman" w:hAnsi="Times New Roman"/>
          <w:color w:val="0070C0"/>
          <w:sz w:val="16"/>
          <w:szCs w:val="16"/>
        </w:rPr>
      </w:pPr>
      <w:r>
        <w:rPr>
          <w:rFonts w:ascii="Times New Roman" w:hAnsi="Times New Roman"/>
          <w:color w:val="0070C0"/>
          <w:sz w:val="16"/>
          <w:szCs w:val="16"/>
        </w:rPr>
        <w:t>1 фев</w:t>
      </w:r>
      <w:r w:rsidRPr="009F5089">
        <w:rPr>
          <w:rFonts w:ascii="Times New Roman" w:hAnsi="Times New Roman"/>
          <w:color w:val="0070C0"/>
          <w:sz w:val="16"/>
          <w:szCs w:val="16"/>
        </w:rPr>
        <w:t>р</w:t>
      </w:r>
      <w:r>
        <w:rPr>
          <w:rFonts w:ascii="Times New Roman" w:hAnsi="Times New Roman"/>
          <w:color w:val="0070C0"/>
          <w:sz w:val="16"/>
          <w:szCs w:val="16"/>
        </w:rPr>
        <w:t>а</w:t>
      </w:r>
      <w:r w:rsidRPr="009F5089">
        <w:rPr>
          <w:rFonts w:ascii="Times New Roman" w:hAnsi="Times New Roman"/>
          <w:color w:val="0070C0"/>
          <w:sz w:val="16"/>
          <w:szCs w:val="16"/>
        </w:rPr>
        <w:t>ля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п</w:t>
      </w:r>
      <w:r w:rsidRPr="009F5089">
        <w:rPr>
          <w:rFonts w:ascii="Times New Roman" w:hAnsi="Times New Roman"/>
          <w:color w:val="0070C0"/>
          <w:sz w:val="16"/>
          <w:szCs w:val="16"/>
        </w:rPr>
        <w:t>р</w:t>
      </w:r>
      <w:r>
        <w:rPr>
          <w:rFonts w:ascii="Times New Roman" w:hAnsi="Times New Roman"/>
          <w:color w:val="0070C0"/>
          <w:sz w:val="16"/>
          <w:szCs w:val="16"/>
        </w:rPr>
        <w:t>и</w:t>
      </w:r>
      <w:r w:rsidRPr="009F5089">
        <w:rPr>
          <w:rFonts w:ascii="Times New Roman" w:hAnsi="Times New Roman"/>
          <w:color w:val="0070C0"/>
          <w:sz w:val="16"/>
          <w:szCs w:val="16"/>
        </w:rPr>
        <w:t xml:space="preserve"> центральном конструкторском бюро </w:t>
      </w:r>
      <w:r>
        <w:rPr>
          <w:rFonts w:ascii="Times New Roman" w:hAnsi="Times New Roman"/>
          <w:color w:val="0070C0"/>
          <w:sz w:val="16"/>
          <w:szCs w:val="16"/>
        </w:rPr>
        <w:t>/Ц</w:t>
      </w:r>
      <w:r w:rsidRPr="009F5089">
        <w:rPr>
          <w:rFonts w:ascii="Times New Roman" w:hAnsi="Times New Roman"/>
          <w:color w:val="0070C0"/>
          <w:sz w:val="16"/>
          <w:szCs w:val="16"/>
        </w:rPr>
        <w:t>К</w:t>
      </w:r>
      <w:r>
        <w:rPr>
          <w:rFonts w:ascii="Times New Roman" w:hAnsi="Times New Roman"/>
          <w:color w:val="0070C0"/>
          <w:sz w:val="16"/>
          <w:szCs w:val="16"/>
        </w:rPr>
        <w:t>Б</w:t>
      </w:r>
      <w:r w:rsidRPr="009F5089">
        <w:rPr>
          <w:rFonts w:ascii="Times New Roman" w:hAnsi="Times New Roman"/>
          <w:color w:val="0070C0"/>
          <w:sz w:val="16"/>
          <w:szCs w:val="16"/>
        </w:rPr>
        <w:t>/ органи</w:t>
      </w:r>
      <w:r>
        <w:rPr>
          <w:rFonts w:ascii="Times New Roman" w:hAnsi="Times New Roman"/>
          <w:color w:val="0070C0"/>
          <w:sz w:val="16"/>
          <w:szCs w:val="16"/>
        </w:rPr>
        <w:t>зован</w:t>
      </w:r>
      <w:r w:rsidRPr="009F5089">
        <w:rPr>
          <w:rFonts w:ascii="Times New Roman" w:hAnsi="Times New Roman"/>
          <w:color w:val="0070C0"/>
          <w:sz w:val="16"/>
          <w:szCs w:val="16"/>
        </w:rPr>
        <w:t xml:space="preserve"> 5-</w:t>
      </w:r>
      <w:r>
        <w:rPr>
          <w:rFonts w:ascii="Times New Roman" w:hAnsi="Times New Roman"/>
          <w:color w:val="0070C0"/>
          <w:sz w:val="16"/>
          <w:szCs w:val="16"/>
        </w:rPr>
        <w:t>й</w:t>
      </w:r>
      <w:r w:rsidRPr="009F5089">
        <w:rPr>
          <w:rFonts w:ascii="Times New Roman" w:hAnsi="Times New Roman"/>
          <w:color w:val="0070C0"/>
          <w:sz w:val="16"/>
          <w:szCs w:val="16"/>
        </w:rPr>
        <w:t xml:space="preserve"> /морской/ отдел,</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котором были </w:t>
      </w:r>
      <w:proofErr w:type="spellStart"/>
      <w:r w:rsidRPr="009F5089">
        <w:rPr>
          <w:rFonts w:ascii="Times New Roman" w:hAnsi="Times New Roman"/>
          <w:color w:val="0070C0"/>
          <w:sz w:val="16"/>
          <w:szCs w:val="16"/>
        </w:rPr>
        <w:t>об</w:t>
      </w:r>
      <w:r>
        <w:rPr>
          <w:rFonts w:ascii="Times New Roman" w:hAnsi="Times New Roman"/>
          <w:color w:val="0070C0"/>
          <w:sz w:val="16"/>
          <w:szCs w:val="16"/>
        </w:rPr>
        <w:t>ъ</w:t>
      </w:r>
      <w:r w:rsidRPr="009F5089">
        <w:rPr>
          <w:rFonts w:ascii="Times New Roman" w:hAnsi="Times New Roman"/>
          <w:color w:val="0070C0"/>
          <w:sz w:val="16"/>
          <w:szCs w:val="16"/>
        </w:rPr>
        <w:t>едиие</w:t>
      </w:r>
      <w:r>
        <w:rPr>
          <w:rFonts w:ascii="Times New Roman" w:hAnsi="Times New Roman"/>
          <w:color w:val="0070C0"/>
          <w:sz w:val="16"/>
          <w:szCs w:val="16"/>
        </w:rPr>
        <w:t>н</w:t>
      </w:r>
      <w:r w:rsidRPr="009F5089">
        <w:rPr>
          <w:rFonts w:ascii="Times New Roman" w:hAnsi="Times New Roman"/>
          <w:color w:val="0070C0"/>
          <w:sz w:val="16"/>
          <w:szCs w:val="16"/>
        </w:rPr>
        <w:t>ы</w:t>
      </w:r>
      <w:proofErr w:type="spellEnd"/>
      <w:r w:rsidRPr="009F5089">
        <w:rPr>
          <w:rFonts w:ascii="Times New Roman" w:hAnsi="Times New Roman"/>
          <w:color w:val="0070C0"/>
          <w:sz w:val="16"/>
          <w:szCs w:val="16"/>
        </w:rPr>
        <w:t xml:space="preserve"> все работы </w:t>
      </w:r>
      <w:r>
        <w:rPr>
          <w:rFonts w:ascii="Times New Roman" w:hAnsi="Times New Roman"/>
          <w:color w:val="0070C0"/>
          <w:sz w:val="16"/>
          <w:szCs w:val="16"/>
        </w:rPr>
        <w:t>по гидро</w:t>
      </w:r>
      <w:r w:rsidRPr="009F5089">
        <w:rPr>
          <w:rFonts w:ascii="Times New Roman" w:hAnsi="Times New Roman"/>
          <w:color w:val="0070C0"/>
          <w:sz w:val="16"/>
          <w:szCs w:val="16"/>
        </w:rPr>
        <w:t>самолетам. Отдел б</w:t>
      </w:r>
      <w:r>
        <w:rPr>
          <w:rFonts w:ascii="Times New Roman" w:hAnsi="Times New Roman"/>
          <w:color w:val="0070C0"/>
          <w:sz w:val="16"/>
          <w:szCs w:val="16"/>
        </w:rPr>
        <w:t>ы</w:t>
      </w:r>
      <w:r w:rsidRPr="009F5089">
        <w:rPr>
          <w:rFonts w:ascii="Times New Roman" w:hAnsi="Times New Roman"/>
          <w:color w:val="0070C0"/>
          <w:sz w:val="16"/>
          <w:szCs w:val="16"/>
        </w:rPr>
        <w:t xml:space="preserve">л организован по инициативе инженера </w:t>
      </w:r>
      <w:r>
        <w:rPr>
          <w:rFonts w:ascii="Times New Roman" w:hAnsi="Times New Roman"/>
          <w:color w:val="0070C0"/>
          <w:sz w:val="16"/>
          <w:szCs w:val="16"/>
        </w:rPr>
        <w:t xml:space="preserve">Игоря </w:t>
      </w:r>
      <w:r w:rsidRPr="009F5089">
        <w:rPr>
          <w:rFonts w:ascii="Times New Roman" w:hAnsi="Times New Roman"/>
          <w:color w:val="0070C0"/>
          <w:sz w:val="16"/>
          <w:szCs w:val="16"/>
        </w:rPr>
        <w:t>Вячеславовича Четверикова, ставшего его начальником.</w:t>
      </w:r>
      <w:r>
        <w:rPr>
          <w:rFonts w:ascii="Times New Roman" w:hAnsi="Times New Roman"/>
          <w:color w:val="0070C0"/>
          <w:sz w:val="16"/>
          <w:szCs w:val="16"/>
        </w:rPr>
        <w:t xml:space="preserve"> З</w:t>
      </w:r>
      <w:r w:rsidRPr="009F5089">
        <w:rPr>
          <w:rFonts w:ascii="Times New Roman" w:hAnsi="Times New Roman"/>
          <w:color w:val="0070C0"/>
          <w:sz w:val="16"/>
          <w:szCs w:val="16"/>
        </w:rPr>
        <w:t>а вре</w:t>
      </w:r>
      <w:r>
        <w:rPr>
          <w:rFonts w:ascii="Times New Roman" w:hAnsi="Times New Roman"/>
          <w:color w:val="0070C0"/>
          <w:sz w:val="16"/>
          <w:szCs w:val="16"/>
        </w:rPr>
        <w:t>мя</w:t>
      </w:r>
      <w:r w:rsidRPr="009F5089">
        <w:rPr>
          <w:rFonts w:ascii="Times New Roman" w:hAnsi="Times New Roman"/>
          <w:color w:val="0070C0"/>
          <w:sz w:val="16"/>
          <w:szCs w:val="16"/>
        </w:rPr>
        <w:t xml:space="preserve"> своего существования отдел построил летающие лодки МБР-2, МБР-3</w:t>
      </w:r>
      <w:r>
        <w:rPr>
          <w:rFonts w:ascii="Times New Roman" w:hAnsi="Times New Roman"/>
          <w:color w:val="0070C0"/>
          <w:sz w:val="16"/>
          <w:szCs w:val="16"/>
        </w:rPr>
        <w:t>, поплавк</w:t>
      </w:r>
      <w:r w:rsidRPr="009F5089">
        <w:rPr>
          <w:rFonts w:ascii="Times New Roman" w:hAnsi="Times New Roman"/>
          <w:color w:val="0070C0"/>
          <w:sz w:val="16"/>
          <w:szCs w:val="16"/>
        </w:rPr>
        <w:t>овый Р-5 и др.</w:t>
      </w:r>
    </w:p>
    <w:p w14:paraId="529E2334" w14:textId="11056F9E" w:rsidR="00777DEF" w:rsidRDefault="00777DEF" w:rsidP="00777DEF">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/по материалам </w:t>
      </w:r>
      <w:proofErr w:type="spellStart"/>
      <w:r>
        <w:rPr>
          <w:rFonts w:ascii="Times New Roman" w:hAnsi="Times New Roman"/>
          <w:color w:val="0070C0"/>
          <w:sz w:val="16"/>
          <w:szCs w:val="16"/>
        </w:rPr>
        <w:t>В.Б.Шаврова</w:t>
      </w:r>
      <w:proofErr w:type="spellEnd"/>
      <w:r>
        <w:rPr>
          <w:rFonts w:ascii="Times New Roman" w:hAnsi="Times New Roman"/>
          <w:color w:val="0070C0"/>
          <w:sz w:val="16"/>
          <w:szCs w:val="16"/>
        </w:rPr>
        <w:t>/ (23370).</w:t>
      </w:r>
    </w:p>
    <w:p w14:paraId="1897AC3C" w14:textId="77777777" w:rsidR="00777DEF" w:rsidRDefault="00777DEF" w:rsidP="00777DEF">
      <w:pPr>
        <w:spacing w:after="0" w:line="240" w:lineRule="auto"/>
        <w:jc w:val="both"/>
        <w:rPr>
          <w:rFonts w:ascii="Times New Roman" w:hAnsi="Times New Roman"/>
          <w:color w:val="0070C0"/>
          <w:sz w:val="16"/>
          <w:szCs w:val="16"/>
        </w:rPr>
      </w:pPr>
    </w:p>
    <w:p w14:paraId="0F5908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на седьмом часу ра</w:t>
      </w:r>
      <w:r w:rsidRPr="007122AB">
        <w:rPr>
          <w:rFonts w:ascii="Times New Roman" w:hAnsi="Times New Roman"/>
          <w:color w:val="000000" w:themeColor="text1"/>
          <w:sz w:val="16"/>
          <w:szCs w:val="16"/>
        </w:rPr>
        <w:softHyphen/>
        <w:t xml:space="preserve">боты «гибрид»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-поршневой группы М-34 и картера Юнкерса 15, испытывающийся на станке в Рыбинске с 28 января 1931, вышел из строя. Но он принес немало пользы: в частно</w:t>
      </w:r>
      <w:r w:rsidRPr="007122AB">
        <w:rPr>
          <w:rFonts w:ascii="Times New Roman" w:hAnsi="Times New Roman"/>
          <w:color w:val="000000" w:themeColor="text1"/>
          <w:sz w:val="16"/>
          <w:szCs w:val="16"/>
        </w:rPr>
        <w:softHyphen/>
        <w:t>сти, учитывая его недостатки, изме</w:t>
      </w:r>
      <w:r w:rsidRPr="007122AB">
        <w:rPr>
          <w:rFonts w:ascii="Times New Roman" w:hAnsi="Times New Roman"/>
          <w:color w:val="000000" w:themeColor="text1"/>
          <w:sz w:val="16"/>
          <w:szCs w:val="16"/>
        </w:rPr>
        <w:softHyphen/>
        <w:t>нили головку блока. Отремонтиро</w:t>
      </w:r>
      <w:r w:rsidRPr="007122AB">
        <w:rPr>
          <w:rFonts w:ascii="Times New Roman" w:hAnsi="Times New Roman"/>
          <w:color w:val="000000" w:themeColor="text1"/>
          <w:sz w:val="16"/>
          <w:szCs w:val="16"/>
        </w:rPr>
        <w:softHyphen/>
        <w:t>ванная «половинка» испытывалась, по крайней мере, до конца мая (11848).</w:t>
      </w:r>
    </w:p>
    <w:p w14:paraId="65AD8F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817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49C1CB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405B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февраля 1931 торжественно открыли Центральную фабрику </w:t>
      </w:r>
      <w:proofErr w:type="spellStart"/>
      <w:r w:rsidRPr="007122AB">
        <w:rPr>
          <w:rFonts w:ascii="Times New Roman" w:hAnsi="Times New Roman"/>
          <w:color w:val="000000" w:themeColor="text1"/>
          <w:sz w:val="16"/>
          <w:szCs w:val="16"/>
        </w:rPr>
        <w:t>Союзкино</w:t>
      </w:r>
      <w:proofErr w:type="spellEnd"/>
      <w:r w:rsidRPr="007122AB">
        <w:rPr>
          <w:rFonts w:ascii="Times New Roman" w:hAnsi="Times New Roman"/>
          <w:color w:val="000000" w:themeColor="text1"/>
          <w:sz w:val="16"/>
          <w:szCs w:val="16"/>
        </w:rPr>
        <w:t xml:space="preserve"> - Мосфильм (3960,45).</w:t>
      </w:r>
    </w:p>
    <w:p w14:paraId="3ADCE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DDDB06"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 февраля 1931 </w:t>
      </w:r>
      <w:r w:rsidRPr="007122AB">
        <w:rPr>
          <w:rFonts w:ascii="Times New Roman" w:hAnsi="Times New Roman"/>
          <w:color w:val="000000" w:themeColor="text1"/>
          <w:sz w:val="16"/>
          <w:szCs w:val="16"/>
        </w:rPr>
        <w:t>СНК приняло постановление «О работе сберегательных касс и развитии сберегательного дела» (12265).</w:t>
      </w:r>
    </w:p>
    <w:p w14:paraId="482846A0" w14:textId="77777777" w:rsidR="001522BB" w:rsidRPr="007122AB" w:rsidRDefault="001522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C2A52F9" w14:textId="77777777" w:rsidR="0084298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EBDF50C" w14:textId="77777777" w:rsidR="0084298A" w:rsidRPr="007122AB" w:rsidRDefault="0084298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6E97FD" w14:textId="77777777" w:rsidR="0084298A" w:rsidRPr="007122AB" w:rsidRDefault="008429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февраля</w:t>
      </w:r>
      <w:r w:rsidRPr="007122AB">
        <w:rPr>
          <w:rFonts w:ascii="Times New Roman" w:hAnsi="Times New Roman"/>
          <w:color w:val="000000" w:themeColor="text1"/>
          <w:sz w:val="16"/>
          <w:szCs w:val="16"/>
        </w:rPr>
        <w:t xml:space="preserve"> в 1931 году в этот день на легком многоцелевом самолете </w:t>
      </w:r>
      <w:hyperlink r:id="rId18" w:tgtFrame="_blank" w:history="1">
        <w:r w:rsidRPr="007122AB">
          <w:rPr>
            <w:rFonts w:ascii="Times New Roman" w:hAnsi="Times New Roman"/>
            <w:color w:val="000000" w:themeColor="text1"/>
            <w:sz w:val="16"/>
            <w:szCs w:val="16"/>
          </w:rPr>
          <w:t xml:space="preserve">«L-2» </w:t>
        </w:r>
      </w:hyperlink>
      <w:r w:rsidRPr="007122AB">
        <w:rPr>
          <w:rFonts w:ascii="Times New Roman" w:hAnsi="Times New Roman"/>
          <w:color w:val="000000" w:themeColor="text1"/>
          <w:sz w:val="16"/>
          <w:szCs w:val="16"/>
        </w:rPr>
        <w:t xml:space="preserve">(с регистрационными SP-AFA) польские авиаторы капитан </w:t>
      </w:r>
      <w:proofErr w:type="spellStart"/>
      <w:r w:rsidRPr="007122AB">
        <w:rPr>
          <w:rFonts w:ascii="Times New Roman" w:hAnsi="Times New Roman"/>
          <w:color w:val="000000" w:themeColor="text1"/>
          <w:sz w:val="16"/>
          <w:szCs w:val="16"/>
        </w:rPr>
        <w:t>Скаржинский</w:t>
      </w:r>
      <w:proofErr w:type="spellEnd"/>
      <w:r w:rsidRPr="007122AB">
        <w:rPr>
          <w:rFonts w:ascii="Times New Roman" w:hAnsi="Times New Roman"/>
          <w:color w:val="000000" w:themeColor="text1"/>
          <w:sz w:val="16"/>
          <w:szCs w:val="16"/>
        </w:rPr>
        <w:t xml:space="preserve"> и поручик Андрей </w:t>
      </w:r>
      <w:proofErr w:type="spellStart"/>
      <w:r w:rsidRPr="007122AB">
        <w:rPr>
          <w:rFonts w:ascii="Times New Roman" w:hAnsi="Times New Roman"/>
          <w:color w:val="000000" w:themeColor="text1"/>
          <w:sz w:val="16"/>
          <w:szCs w:val="16"/>
        </w:rPr>
        <w:t>Маркиевич</w:t>
      </w:r>
      <w:proofErr w:type="spellEnd"/>
      <w:r w:rsidRPr="007122AB">
        <w:rPr>
          <w:rFonts w:ascii="Times New Roman" w:hAnsi="Times New Roman"/>
          <w:color w:val="000000" w:themeColor="text1"/>
          <w:sz w:val="16"/>
          <w:szCs w:val="16"/>
        </w:rPr>
        <w:t xml:space="preserve"> вылетели в направлении Африки. За этот полет самолет получил наименование "</w:t>
      </w:r>
      <w:proofErr w:type="spellStart"/>
      <w:r w:rsidRPr="007122AB">
        <w:rPr>
          <w:rFonts w:ascii="Times New Roman" w:hAnsi="Times New Roman"/>
          <w:color w:val="000000" w:themeColor="text1"/>
          <w:sz w:val="16"/>
          <w:szCs w:val="16"/>
        </w:rPr>
        <w:t>Afrykanka</w:t>
      </w:r>
      <w:proofErr w:type="spellEnd"/>
      <w:r w:rsidRPr="007122AB">
        <w:rPr>
          <w:rFonts w:ascii="Times New Roman" w:hAnsi="Times New Roman"/>
          <w:color w:val="000000" w:themeColor="text1"/>
          <w:sz w:val="16"/>
          <w:szCs w:val="16"/>
        </w:rPr>
        <w:t>" (15027).</w:t>
      </w:r>
    </w:p>
    <w:p w14:paraId="35C99B74" w14:textId="77777777" w:rsidR="0084298A" w:rsidRPr="007122AB" w:rsidRDefault="0084298A" w:rsidP="007122AB">
      <w:pPr>
        <w:spacing w:after="0" w:line="240" w:lineRule="auto"/>
        <w:jc w:val="both"/>
        <w:rPr>
          <w:rFonts w:ascii="Times New Roman" w:hAnsi="Times New Roman"/>
          <w:color w:val="000000" w:themeColor="text1"/>
          <w:sz w:val="16"/>
          <w:szCs w:val="16"/>
        </w:rPr>
      </w:pPr>
    </w:p>
    <w:p w14:paraId="19EE7E1B"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февраля 1931 польский пилот Станислав </w:t>
      </w:r>
      <w:proofErr w:type="spellStart"/>
      <w:r w:rsidRPr="007122AB">
        <w:rPr>
          <w:rFonts w:ascii="Times New Roman" w:hAnsi="Times New Roman"/>
          <w:color w:val="000000" w:themeColor="text1"/>
          <w:sz w:val="16"/>
          <w:szCs w:val="16"/>
        </w:rPr>
        <w:t>Скаржиньски</w:t>
      </w:r>
      <w:proofErr w:type="spellEnd"/>
      <w:r w:rsidRPr="007122AB">
        <w:rPr>
          <w:rFonts w:ascii="Times New Roman" w:hAnsi="Times New Roman"/>
          <w:color w:val="000000" w:themeColor="text1"/>
          <w:sz w:val="16"/>
          <w:szCs w:val="16"/>
        </w:rPr>
        <w:t xml:space="preserve"> начинает путешествие длиной 25050 километров (15560 миль) вокруг Африки на PZL Ł.2 . Завершит он его 5 мая (20804).</w:t>
      </w:r>
    </w:p>
    <w:p w14:paraId="6D689EFB"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61A806D5"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года — первый полёт бомбардировщика-разведчика SPCA 30 (он же SPCA Type III)</w:t>
      </w:r>
    </w:p>
    <w:p w14:paraId="061AF8C4"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1928 году правительство Франции начало программу разработки многоместного многоцелевого боевого самолёта. В конкурсе приняли участие все крупнейшие производители — Breguet,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Blériot</w:t>
      </w:r>
      <w:proofErr w:type="spellEnd"/>
      <w:r w:rsidRPr="007122AB">
        <w:rPr>
          <w:rFonts w:ascii="Times New Roman" w:hAnsi="Times New Roman"/>
          <w:color w:val="000000" w:themeColor="text1"/>
          <w:sz w:val="16"/>
          <w:szCs w:val="16"/>
        </w:rPr>
        <w:t> и другие. Предложила свой проект и компания </w:t>
      </w:r>
      <w:proofErr w:type="spellStart"/>
      <w:r w:rsidRPr="007122AB">
        <w:rPr>
          <w:rFonts w:ascii="Times New Roman" w:hAnsi="Times New Roman"/>
          <w:color w:val="000000" w:themeColor="text1"/>
          <w:sz w:val="16"/>
          <w:szCs w:val="16"/>
        </w:rPr>
        <w:t>Société</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Provençale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Constructions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Aéronautiques</w:t>
      </w:r>
      <w:proofErr w:type="spellEnd"/>
      <w:r w:rsidRPr="007122AB">
        <w:rPr>
          <w:rFonts w:ascii="Times New Roman" w:hAnsi="Times New Roman"/>
          <w:color w:val="000000" w:themeColor="text1"/>
          <w:sz w:val="16"/>
          <w:szCs w:val="16"/>
        </w:rPr>
        <w:t xml:space="preserve"> (SPCA), которая до этого в основном занималась самолётами для флота.</w:t>
      </w:r>
    </w:p>
    <w:p w14:paraId="53C63372"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Оригинальная двухбалочная конструкция была призвана снизить число мёртвых зон при стрельбе назад и вниз. Позиции стрелков находились в носовой части и в каждой из балок. SPCA Type III стал первым цельнометаллическим самолётом компании.</w:t>
      </w:r>
    </w:p>
    <w:p w14:paraId="75B077C0"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бомбардировщик получился неудачным. При полёте на полной мощности двигателей проявлялось скручивание крыла, что отрицательно влияло на управляемость. Все попытки инженеров компании устранить недостатки успехом не увенчались. Проект SPCA 30 закрыли, построив 2 опытных экземпляра (22300).</w:t>
      </w:r>
    </w:p>
    <w:p w14:paraId="0DEEEAB4"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125D831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87BBE7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458C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февраля 1931 постановлением РВС были утверждены основные данные нагрузок ТБ-4 6М-34, принято решение об установке 4хМ-35 или 6М-34 с установкой на опытный 6РР с НХП и постройке 2-х вариантов: дюралевого с площадью крыльев 410 м и стального с площадью 340 м (3029).</w:t>
      </w:r>
    </w:p>
    <w:p w14:paraId="3D2925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856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февраля 1931 на заводе 45 в Севастополе утвердили эталонный образец доработанного HD.55 под обозначением КР-1. В течение сентября переделали три машины (1083,7).</w:t>
      </w:r>
    </w:p>
    <w:p w14:paraId="0FAE82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C5BA9D" w14:textId="77777777" w:rsidR="0084298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094FBF1" w14:textId="77777777" w:rsidR="0084298A" w:rsidRPr="007122AB" w:rsidRDefault="0084298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8E0F46"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февраля 1931 состоялся первый полет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350 (20804).</w:t>
      </w:r>
    </w:p>
    <w:p w14:paraId="05ECA21C"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6213D00E"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февраля 1931 года — первый полёт пассажирского самолёта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35-0. /Франция/</w:t>
      </w:r>
    </w:p>
    <w:p w14:paraId="2D2198A8"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успеха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28 компания </w:t>
      </w:r>
      <w:proofErr w:type="spellStart"/>
      <w:r w:rsidRPr="007122AB">
        <w:rPr>
          <w:rFonts w:ascii="Times New Roman" w:hAnsi="Times New Roman"/>
          <w:color w:val="000000" w:themeColor="text1"/>
          <w:sz w:val="16"/>
          <w:szCs w:val="16"/>
        </w:rPr>
        <w:t>Forges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et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Ateliers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Construction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решила разработать на его базе новый пассажирский самолёт. Он должен быть более вместительным и достаточно надёжным для ночных полётов. Проект получил обозначение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35-0.</w:t>
      </w:r>
    </w:p>
    <w:p w14:paraId="7CEA2A43"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и его предшественник,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35-0 был высокопланом смешанной конструкции (дерево, сталь и алюминий) с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 Оснащался 3 × двигателями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12Jb (400 л.с.) Крейсерская скорость — 200 км/ч, дальность полёта — 800 км. В комфортном салоне размещалось 10 пассажиров. Экипаж состоял из 2-3 человек.</w:t>
      </w:r>
    </w:p>
    <w:p w14:paraId="3E644640"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первый полёт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35-0 поднял известный лётчик и писатель Антуан де Сент-Экзюпери. Но успешным самолёт не стал. Он был перетяжелён на 30% и мощности двигателей стало не хватать. Не удалось достичь и запланированной максимальной скорости. Проект был закрыт в 1933 году (22300).</w:t>
      </w:r>
    </w:p>
    <w:p w14:paraId="27E7CD1C"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02B46612"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февраля 1931 - Первый полет транспортного самолета Late-35, разработанного французской фирмой Societe </w:t>
      </w:r>
      <w:proofErr w:type="spellStart"/>
      <w:r w:rsidRPr="007122AB">
        <w:rPr>
          <w:rFonts w:ascii="Times New Roman" w:hAnsi="Times New Roman"/>
          <w:color w:val="000000" w:themeColor="text1"/>
          <w:sz w:val="16"/>
          <w:szCs w:val="16"/>
        </w:rPr>
        <w:t>Industrielle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d'Aviation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Latecoere</w:t>
      </w:r>
      <w:proofErr w:type="spellEnd"/>
      <w:r w:rsidRPr="007122AB">
        <w:rPr>
          <w:rFonts w:ascii="Times New Roman" w:hAnsi="Times New Roman"/>
          <w:color w:val="000000" w:themeColor="text1"/>
          <w:sz w:val="16"/>
          <w:szCs w:val="16"/>
        </w:rPr>
        <w:t xml:space="preserve">, оборудованного двигателями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12Jb мощностью 400 л.с. (22636).</w:t>
      </w:r>
    </w:p>
    <w:p w14:paraId="5DBC6B2C"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0E921D67" w14:textId="77777777" w:rsidR="0084298A" w:rsidRPr="007122AB" w:rsidRDefault="008429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 февраля</w:t>
      </w:r>
      <w:r w:rsidRPr="007122AB">
        <w:rPr>
          <w:rFonts w:ascii="Times New Roman" w:hAnsi="Times New Roman"/>
          <w:color w:val="000000" w:themeColor="text1"/>
          <w:sz w:val="16"/>
          <w:szCs w:val="16"/>
        </w:rPr>
        <w:t xml:space="preserve"> в 1931 году впервые в мире была осуществлена </w:t>
      </w:r>
      <w:hyperlink r:id="rId19" w:tgtFrame="_blank" w:history="1">
        <w:r w:rsidRPr="007122AB">
          <w:rPr>
            <w:rFonts w:ascii="Times New Roman" w:hAnsi="Times New Roman"/>
            <w:color w:val="000000" w:themeColor="text1"/>
            <w:sz w:val="16"/>
            <w:szCs w:val="16"/>
          </w:rPr>
          <w:t xml:space="preserve">доставка почты с помощью почтовой ракеты. </w:t>
        </w:r>
      </w:hyperlink>
      <w:r w:rsidRPr="007122AB">
        <w:rPr>
          <w:rFonts w:ascii="Times New Roman" w:hAnsi="Times New Roman"/>
          <w:color w:val="000000" w:themeColor="text1"/>
          <w:sz w:val="16"/>
          <w:szCs w:val="16"/>
        </w:rPr>
        <w:t xml:space="preserve">Было доставлено 102 письма. Австрийский инженер Фридрих </w:t>
      </w:r>
      <w:proofErr w:type="spellStart"/>
      <w:r w:rsidRPr="007122AB">
        <w:rPr>
          <w:rFonts w:ascii="Times New Roman" w:hAnsi="Times New Roman"/>
          <w:color w:val="000000" w:themeColor="text1"/>
          <w:sz w:val="16"/>
          <w:szCs w:val="16"/>
        </w:rPr>
        <w:t>Шмидль</w:t>
      </w:r>
      <w:proofErr w:type="spellEnd"/>
      <w:r w:rsidRPr="007122AB">
        <w:rPr>
          <w:rFonts w:ascii="Times New Roman" w:hAnsi="Times New Roman"/>
          <w:color w:val="000000" w:themeColor="text1"/>
          <w:sz w:val="16"/>
          <w:szCs w:val="16"/>
        </w:rPr>
        <w:t xml:space="preserve"> организовал ракетную почту в Штирии (Австрия), между населенными пунктами </w:t>
      </w:r>
      <w:proofErr w:type="spellStart"/>
      <w:r w:rsidRPr="007122AB">
        <w:rPr>
          <w:rFonts w:ascii="Times New Roman" w:hAnsi="Times New Roman"/>
          <w:color w:val="000000" w:themeColor="text1"/>
          <w:sz w:val="16"/>
          <w:szCs w:val="16"/>
        </w:rPr>
        <w:t>Шёккель</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Радегунд</w:t>
      </w:r>
      <w:proofErr w:type="spellEnd"/>
      <w:r w:rsidRPr="007122AB">
        <w:rPr>
          <w:rFonts w:ascii="Times New Roman" w:hAnsi="Times New Roman"/>
          <w:color w:val="000000" w:themeColor="text1"/>
          <w:sz w:val="16"/>
          <w:szCs w:val="16"/>
        </w:rPr>
        <w:t>. Он использовал для этого 2-м пороховые ракеты собственного производства, которые незадолго до падения выбрасывали снабженный парашютом почтовый мешок (15028).</w:t>
      </w:r>
    </w:p>
    <w:p w14:paraId="167EAB86" w14:textId="77777777" w:rsidR="0084298A" w:rsidRPr="007122AB" w:rsidRDefault="0084298A" w:rsidP="007122AB">
      <w:pPr>
        <w:spacing w:after="0" w:line="240" w:lineRule="auto"/>
        <w:jc w:val="both"/>
        <w:rPr>
          <w:rFonts w:ascii="Times New Roman" w:hAnsi="Times New Roman"/>
          <w:color w:val="000000" w:themeColor="text1"/>
          <w:sz w:val="16"/>
          <w:szCs w:val="16"/>
        </w:rPr>
      </w:pPr>
    </w:p>
    <w:p w14:paraId="1486E28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5AC833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32EE10" w14:textId="77777777" w:rsidR="001522BB" w:rsidRPr="007122AB" w:rsidRDefault="001522BB" w:rsidP="007122AB">
      <w:pPr>
        <w:pStyle w:val="rtejustify"/>
        <w:spacing w:before="0" w:after="0"/>
        <w:rPr>
          <w:color w:val="000000" w:themeColor="text1"/>
          <w:sz w:val="16"/>
          <w:szCs w:val="16"/>
        </w:rPr>
      </w:pPr>
      <w:r w:rsidRPr="007122AB">
        <w:rPr>
          <w:rStyle w:val="af0"/>
          <w:i w:val="0"/>
          <w:color w:val="000000" w:themeColor="text1"/>
          <w:sz w:val="16"/>
          <w:szCs w:val="16"/>
        </w:rPr>
        <w:t>3 февраля 1931 г. Протокол Реввоенсовета № </w:t>
      </w:r>
      <w:r w:rsidRPr="007122AB">
        <w:rPr>
          <w:color w:val="000000" w:themeColor="text1"/>
          <w:sz w:val="16"/>
          <w:szCs w:val="16"/>
        </w:rPr>
        <w:t>7. 2. Утверждение технических требований к самолету ТБ</w:t>
      </w:r>
      <w:r w:rsidRPr="007122AB">
        <w:rPr>
          <w:color w:val="000000" w:themeColor="text1"/>
          <w:sz w:val="16"/>
          <w:szCs w:val="16"/>
        </w:rPr>
        <w:noBreakHyphen/>
        <w:t>4 (Туполев). 3. О мощном самолете инженера Калинина К</w:t>
      </w:r>
      <w:r w:rsidRPr="007122AB">
        <w:rPr>
          <w:color w:val="000000" w:themeColor="text1"/>
          <w:sz w:val="16"/>
          <w:szCs w:val="16"/>
        </w:rPr>
        <w:noBreakHyphen/>
        <w:t>7. (Калинин). 6. О ходе работ по реализации системы связи РККА. (Синявский). 7. О ходе работ по взрывчатым веществам (</w:t>
      </w:r>
      <w:proofErr w:type="spellStart"/>
      <w:r w:rsidRPr="007122AB">
        <w:rPr>
          <w:color w:val="000000" w:themeColor="text1"/>
          <w:sz w:val="16"/>
          <w:szCs w:val="16"/>
        </w:rPr>
        <w:t>Козиницкий</w:t>
      </w:r>
      <w:proofErr w:type="spellEnd"/>
      <w:r w:rsidRPr="007122AB">
        <w:rPr>
          <w:color w:val="000000" w:themeColor="text1"/>
          <w:sz w:val="16"/>
          <w:szCs w:val="16"/>
        </w:rPr>
        <w:t>). 8. О высокосортных сталях (Уборевич). 10. Об авиабомбах (Уборевич). (РГВА. Ф. 4. Оп. 18. Д. 20. Л. 68, 69, 70, 71) (12342).</w:t>
      </w:r>
    </w:p>
    <w:p w14:paraId="3AE392CF" w14:textId="77777777" w:rsidR="001522BB" w:rsidRPr="007122AB" w:rsidRDefault="001522BB" w:rsidP="007122AB">
      <w:pPr>
        <w:pStyle w:val="rtejustify"/>
        <w:spacing w:before="0" w:after="0"/>
        <w:rPr>
          <w:color w:val="000000" w:themeColor="text1"/>
          <w:sz w:val="16"/>
          <w:szCs w:val="16"/>
        </w:rPr>
      </w:pPr>
    </w:p>
    <w:p w14:paraId="4783F5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февраля 1931 года Постановлением РВС от утверждены основные данные нагрузок самолета ТБ-4, принято решение о проектировании самолета под 4хМ35 или 6хМ34 с установкой на опытный самолет 6 моторов </w:t>
      </w:r>
      <w:proofErr w:type="spellStart"/>
      <w:r w:rsidRPr="007122AB">
        <w:rPr>
          <w:rFonts w:ascii="Times New Roman" w:hAnsi="Times New Roman"/>
          <w:color w:val="000000" w:themeColor="text1"/>
          <w:sz w:val="16"/>
          <w:szCs w:val="16"/>
        </w:rPr>
        <w:t>Роллс</w:t>
      </w:r>
      <w:proofErr w:type="spellEnd"/>
      <w:r w:rsidRPr="007122AB">
        <w:rPr>
          <w:rFonts w:ascii="Times New Roman" w:hAnsi="Times New Roman"/>
          <w:color w:val="000000" w:themeColor="text1"/>
          <w:sz w:val="16"/>
          <w:szCs w:val="16"/>
        </w:rPr>
        <w:t xml:space="preserve"> Ройс с НХII и о постройке двух вариантов первого </w:t>
      </w:r>
      <w:proofErr w:type="spellStart"/>
      <w:r w:rsidRPr="007122AB">
        <w:rPr>
          <w:rFonts w:ascii="Times New Roman" w:hAnsi="Times New Roman"/>
          <w:color w:val="000000" w:themeColor="text1"/>
          <w:sz w:val="16"/>
          <w:szCs w:val="16"/>
        </w:rPr>
        <w:t>дюр</w:t>
      </w:r>
      <w:proofErr w:type="spellEnd"/>
      <w:r w:rsidRPr="007122AB">
        <w:rPr>
          <w:rFonts w:ascii="Times New Roman" w:hAnsi="Times New Roman"/>
          <w:color w:val="000000" w:themeColor="text1"/>
          <w:sz w:val="16"/>
          <w:szCs w:val="16"/>
        </w:rPr>
        <w:t xml:space="preserve"> алюминиевого с площадью крыльев 410 м кв. и второго стального с площадью крыльев 340 м кв (6918).</w:t>
      </w:r>
    </w:p>
    <w:p w14:paraId="2C6D20D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9191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февраля 1931 г. Реввоенсовет СССР утвердил данные предварительных расчетов и принял решение строить опытную дюралевую машину ТБ-4 с крылом площадью 410 м2.</w:t>
      </w:r>
    </w:p>
    <w:p w14:paraId="788A9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Конструкция ТБ-4 была и похожа, и не похожа на ТБ-3. Принципиально это был такой же </w:t>
      </w:r>
      <w:proofErr w:type="spellStart"/>
      <w:r w:rsidRPr="007122AB">
        <w:rPr>
          <w:rFonts w:ascii="Times New Roman" w:hAnsi="Times New Roman"/>
          <w:color w:val="000000" w:themeColor="text1"/>
          <w:sz w:val="16"/>
          <w:szCs w:val="16"/>
        </w:rPr>
        <w:t>свободнонесуший</w:t>
      </w:r>
      <w:proofErr w:type="spellEnd"/>
      <w:r w:rsidRPr="007122AB">
        <w:rPr>
          <w:rFonts w:ascii="Times New Roman" w:hAnsi="Times New Roman"/>
          <w:color w:val="000000" w:themeColor="text1"/>
          <w:sz w:val="16"/>
          <w:szCs w:val="16"/>
        </w:rPr>
        <w:t xml:space="preserve"> моноплан с </w:t>
      </w:r>
      <w:proofErr w:type="spellStart"/>
      <w:r w:rsidRPr="007122AB">
        <w:rPr>
          <w:rFonts w:ascii="Times New Roman" w:hAnsi="Times New Roman"/>
          <w:color w:val="000000" w:themeColor="text1"/>
          <w:sz w:val="16"/>
          <w:szCs w:val="16"/>
        </w:rPr>
        <w:t>неубираю</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щимся</w:t>
      </w:r>
      <w:proofErr w:type="spellEnd"/>
      <w:r w:rsidRPr="007122AB">
        <w:rPr>
          <w:rFonts w:ascii="Times New Roman" w:hAnsi="Times New Roman"/>
          <w:color w:val="000000" w:themeColor="text1"/>
          <w:sz w:val="16"/>
          <w:szCs w:val="16"/>
        </w:rPr>
        <w:t xml:space="preserve"> шасси, тихоходный гофрированный гигант с крылом толстого профиля. Аэродинамическая компоновка и облик большинства узлов повторяли ТБ-3.</w:t>
      </w:r>
    </w:p>
    <w:p w14:paraId="78543D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имелись и отличия. Отказавшись от членения машины на узлы, укладывающиеся в железнодорожный габарит, крыло разбили всего на три части - центроплан и две консоли. Да и внутри крыло стало несколько иным. Число лонжеронов сократилось до трех. Их раскосы делали не из труб, а клепали из листа.</w:t>
      </w:r>
    </w:p>
    <w:p w14:paraId="52BF2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Фюзеляж принципиально не отличался от ТБ-3, но включал не один, а два </w:t>
      </w:r>
      <w:proofErr w:type="spellStart"/>
      <w:r w:rsidRPr="007122AB">
        <w:rPr>
          <w:rFonts w:ascii="Times New Roman" w:hAnsi="Times New Roman"/>
          <w:color w:val="000000" w:themeColor="text1"/>
          <w:sz w:val="16"/>
          <w:szCs w:val="16"/>
        </w:rPr>
        <w:t>бомбоотсе</w:t>
      </w:r>
      <w:proofErr w:type="spellEnd"/>
      <w:r w:rsidRPr="007122AB">
        <w:rPr>
          <w:rFonts w:ascii="Times New Roman" w:hAnsi="Times New Roman"/>
          <w:color w:val="000000" w:themeColor="text1"/>
          <w:sz w:val="16"/>
          <w:szCs w:val="16"/>
        </w:rPr>
        <w:t>- ка. Интересно, что вопреки плану опытных работ и заданию, самолет проектировали под бомбовую нагрузку 10 000 кг в соответствии с первоначальными прикидками. При этом полностью проигнорировали то, что машина с нагрузкой 10 ООО кг, являвшаяся следующим шагом вверх по лестнице гигантомании после ТБ-4, к этому времени уже была исключена из всех планов. Но, очевидно, уже сделанные чертежи Туполев не пожелал выбрасывать в корзину.</w:t>
      </w:r>
    </w:p>
    <w:p w14:paraId="0B433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Бомбоотсеки позволяли подвеску в восьми кассетах КД-3 (Дер-18) бомб калибром до 500 кг. Общая нагрузка складывалась из 20 бомб по 500 кг или 40 бомб по 250 кг. Каждая пара кассет имела свой люк для сбрасывания бомб. Внутренняя подвеска боеприпасов более крупных калибров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которую мог нести АНТ-16, как и у ТБ-3, являлась АФ-1000 весом в тонну. Такие бомбы вешались на наружных бомбодержателях под центропланом.</w:t>
      </w:r>
    </w:p>
    <w:p w14:paraId="2CB86C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носовой части самолета размещались передний артиллерист, бомбардир и штурман. Для бомбардира предусматривалась установка оптического прицела ОПБ-2 (советская копия немецкого "Герц-Бойков"), Два пилота сидели в полузакрытой кабине сверху перед крылом. Места летчиков разделялись широким проходом с металлической крышей над ним. Подобное решение встречалось на самолетах фирмы "Юнкере". Компоновку носовой части и ее кабин отработали на макете, утвержденном в апреле 1931 г. Места двух бортмехаников находились в центроплане. Согласно заданию, они могли в полете перемещаться внутри крыла и через специальные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находилась кабина радиста с радиостанцией 11-СК, так называемая общая кабина и отдельная кабина для установки радиопеленгатора (примитивного радиокомпаса).</w:t>
      </w:r>
    </w:p>
    <w:p w14:paraId="3A2C2E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Оперение по очертаниям было очень сходно с тем, которое позже ввели на серийных ТБ-3 с моторами М-34Р, но отличалось значительно большими габаритами. Несмотря на размеры рулей и, соответственно, нагрузки на органы управления, рули приводились в действие без сервомеханизмов, по жесткой схеме. Пилотам помогал только электропривод изменения угла установки стабилизатора. Его можно было отклонять в полете на небольшой угол.</w:t>
      </w:r>
    </w:p>
    <w:p w14:paraId="4C1352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Шасси новой машины на ТБ-3 было совершенно не похоже. Иначе выполнили саму стойку, ввели масляно-</w:t>
      </w:r>
      <w:proofErr w:type="spellStart"/>
      <w:r w:rsidRPr="007122AB">
        <w:rPr>
          <w:rFonts w:ascii="Times New Roman" w:hAnsi="Times New Roman"/>
          <w:color w:val="000000" w:themeColor="text1"/>
          <w:sz w:val="16"/>
          <w:szCs w:val="16"/>
        </w:rPr>
        <w:t>пневматичес</w:t>
      </w:r>
      <w:proofErr w:type="spellEnd"/>
      <w:r w:rsidRPr="007122AB">
        <w:rPr>
          <w:rFonts w:ascii="Times New Roman" w:hAnsi="Times New Roman"/>
          <w:color w:val="000000" w:themeColor="text1"/>
          <w:sz w:val="16"/>
          <w:szCs w:val="16"/>
        </w:rPr>
        <w:t xml:space="preserve">- кую амортизацию (на ранних модификациях ТБ-3 для этой цели применяли резиновые буфера), а спаренные колеса разместили не в тележке-тандем, а рядом друг с другом. </w:t>
      </w:r>
      <w:proofErr w:type="spellStart"/>
      <w:r w:rsidRPr="007122AB">
        <w:rPr>
          <w:rFonts w:ascii="Times New Roman" w:hAnsi="Times New Roman"/>
          <w:color w:val="000000" w:themeColor="text1"/>
          <w:sz w:val="16"/>
          <w:szCs w:val="16"/>
        </w:rPr>
        <w:t>Спицованные</w:t>
      </w:r>
      <w:proofErr w:type="spellEnd"/>
      <w:r w:rsidRPr="007122AB">
        <w:rPr>
          <w:rFonts w:ascii="Times New Roman" w:hAnsi="Times New Roman"/>
          <w:color w:val="000000" w:themeColor="text1"/>
          <w:sz w:val="16"/>
          <w:szCs w:val="16"/>
        </w:rPr>
        <w:t xml:space="preserve"> колеса снабдили импортными барабанными тормозами "</w:t>
      </w:r>
      <w:proofErr w:type="spellStart"/>
      <w:r w:rsidRPr="007122AB">
        <w:rPr>
          <w:rFonts w:ascii="Times New Roman" w:hAnsi="Times New Roman"/>
          <w:color w:val="000000" w:themeColor="text1"/>
          <w:sz w:val="16"/>
          <w:szCs w:val="16"/>
        </w:rPr>
        <w:t>Фаст</w:t>
      </w:r>
      <w:proofErr w:type="spellEnd"/>
      <w:r w:rsidRPr="007122AB">
        <w:rPr>
          <w:rFonts w:ascii="Times New Roman" w:hAnsi="Times New Roman"/>
          <w:color w:val="000000" w:themeColor="text1"/>
          <w:sz w:val="16"/>
          <w:szCs w:val="16"/>
        </w:rPr>
        <w:t>". Проектом предусматривалось закрытие стоек вместе с колесами обтекателями-"штанами". Но на других эскизах видны большие каплевидные обтекатели, закрывающие только колеса. Хвостовой опорой являлся нетрадиционный для того времени костыль (стоявший на ТБ-1 и всех ранних модификациях ТБ-3), а ориентирующееся колесо.</w:t>
      </w:r>
    </w:p>
    <w:p w14:paraId="1C5EA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Долгая утряска ситуации с двигателями явно наложила свой отпечаток на компоновку </w:t>
      </w:r>
      <w:proofErr w:type="spellStart"/>
      <w:r w:rsidRPr="007122AB">
        <w:rPr>
          <w:rFonts w:ascii="Times New Roman" w:hAnsi="Times New Roman"/>
          <w:color w:val="000000" w:themeColor="text1"/>
          <w:sz w:val="16"/>
          <w:szCs w:val="16"/>
        </w:rPr>
        <w:t>мотоустановки</w:t>
      </w:r>
      <w:proofErr w:type="spellEnd"/>
      <w:r w:rsidRPr="007122AB">
        <w:rPr>
          <w:rFonts w:ascii="Times New Roman" w:hAnsi="Times New Roman"/>
          <w:color w:val="000000" w:themeColor="text1"/>
          <w:sz w:val="16"/>
          <w:szCs w:val="16"/>
        </w:rPr>
        <w:t>. Четыре мотора стояли в ряд на крыле, а еще два - в специальной гондоле на фермах над фюзеляжем. В этой гондоле М-34 располагались тандемом - один с тянущим, а другой - с толкающим винтом. Туполев явно использовал установку, ранее спроектированную для гидросамолета, - там надо приподнимать моторы и винты повыше, чтобы уберечь их от водяных брызг на взлете и посадке. Похоже, что такое решение считалось временным. Если бы удалось заполучить двигатели большей мощности, то их бы установили вместо М-34 на крыле, а верхнюю установку-ликвидировали. Предусматривался и седьмой мотор - вспомогательный, приводивший так называемую "центральную электростанцию" фирмы "Сименс". Двухтактный мотор от мотоцикла мощностью 7 л.с. крутил вал генератора. Это давало возможность использовать все электрооборудование и радиостанцию на земле, при неработающих основных двигателях. Ранее для этих целей применяли генераторы с ветрянками, раскручивающимися набегающим потоком. Ток они обеспечивали только в полете.</w:t>
      </w:r>
    </w:p>
    <w:p w14:paraId="77813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современным меркам "центральная электростанция" давала совсем мало - 2,5 кВт. На серийных ТБ-4 собирались использовать отечественный двигатель от мотоцикла J1-300 (скопированный с английского) и копию же генератора "Сименс", которую делал завод им. Лепсе.</w:t>
      </w:r>
    </w:p>
    <w:p w14:paraId="33360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двигатели самолета питались из бензобаков в крыле. Всего баков имелось восемь - два в центроплане и шесть в консолях. Общая их емкость равнялась 8500 л. Для подачи горючего к моторам верхней тандемной установки предусмотрели электронасос и запасной ручной ("</w:t>
      </w:r>
      <w:proofErr w:type="spellStart"/>
      <w:r w:rsidRPr="007122AB">
        <w:rPr>
          <w:rFonts w:ascii="Times New Roman" w:hAnsi="Times New Roman"/>
          <w:color w:val="000000" w:themeColor="text1"/>
          <w:sz w:val="16"/>
          <w:szCs w:val="16"/>
        </w:rPr>
        <w:t>альвейер</w:t>
      </w:r>
      <w:proofErr w:type="spellEnd"/>
      <w:r w:rsidRPr="007122AB">
        <w:rPr>
          <w:rFonts w:ascii="Times New Roman" w:hAnsi="Times New Roman"/>
          <w:color w:val="000000" w:themeColor="text1"/>
          <w:sz w:val="16"/>
          <w:szCs w:val="16"/>
        </w:rPr>
        <w:t>").</w:t>
      </w:r>
    </w:p>
    <w:p w14:paraId="3A2254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перспективе рассчитывали оборудовать самолет системой дозаправки в воздухе. Это значительно увеличило бы радиус действия бомбардировщика. В качестве танкера ("бен- </w:t>
      </w:r>
      <w:proofErr w:type="spellStart"/>
      <w:r w:rsidRPr="007122AB">
        <w:rPr>
          <w:rFonts w:ascii="Times New Roman" w:hAnsi="Times New Roman"/>
          <w:color w:val="000000" w:themeColor="text1"/>
          <w:sz w:val="16"/>
          <w:szCs w:val="16"/>
        </w:rPr>
        <w:t>зиноносца</w:t>
      </w:r>
      <w:proofErr w:type="spellEnd"/>
      <w:r w:rsidRPr="007122AB">
        <w:rPr>
          <w:rFonts w:ascii="Times New Roman" w:hAnsi="Times New Roman"/>
          <w:color w:val="000000" w:themeColor="text1"/>
          <w:sz w:val="16"/>
          <w:szCs w:val="16"/>
        </w:rPr>
        <w:t xml:space="preserve">") собирались использовать тоже не маленький </w:t>
      </w:r>
      <w:proofErr w:type="spellStart"/>
      <w:r w:rsidRPr="007122AB">
        <w:rPr>
          <w:rFonts w:ascii="Times New Roman" w:hAnsi="Times New Roman"/>
          <w:color w:val="000000" w:themeColor="text1"/>
          <w:sz w:val="16"/>
          <w:szCs w:val="16"/>
        </w:rPr>
        <w:t>пятимоторный</w:t>
      </w:r>
      <w:proofErr w:type="spellEnd"/>
      <w:r w:rsidRPr="007122AB">
        <w:rPr>
          <w:rFonts w:ascii="Times New Roman" w:hAnsi="Times New Roman"/>
          <w:color w:val="000000" w:themeColor="text1"/>
          <w:sz w:val="16"/>
          <w:szCs w:val="16"/>
        </w:rPr>
        <w:t xml:space="preserve"> АНТ-14 (эта машина реально была построена в единственном экземпляре).</w:t>
      </w:r>
    </w:p>
    <w:p w14:paraId="51FDE7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Количество и размещение стрелковых точек в ходе проектирования неоднократно менялось. Так, в феврале 1931 г. Управлением ВВС были представлены два варианта, отличавшиеся расположением огневых точек на крыле. По расположению турелей на фюзеляже оба совпадали. В носовой части самолета стояла 20-мм пушка, наверху за крылом - турель с 37-мм пушкой, в корме под рулем направления - спаренный 7,62-мм пулемет. Вооружение на крыльях подразделялось </w:t>
      </w:r>
      <w:proofErr w:type="spellStart"/>
      <w:r w:rsidRPr="007122AB">
        <w:rPr>
          <w:rFonts w:ascii="Times New Roman" w:hAnsi="Times New Roman"/>
          <w:color w:val="000000" w:themeColor="text1"/>
          <w:sz w:val="16"/>
          <w:szCs w:val="16"/>
        </w:rPr>
        <w:t>по-ко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рабельному</w:t>
      </w:r>
      <w:proofErr w:type="spellEnd"/>
      <w:r w:rsidRPr="007122AB">
        <w:rPr>
          <w:rFonts w:ascii="Times New Roman" w:hAnsi="Times New Roman"/>
          <w:color w:val="000000" w:themeColor="text1"/>
          <w:sz w:val="16"/>
          <w:szCs w:val="16"/>
        </w:rPr>
        <w:t xml:space="preserve"> на два "плутонга" - левый и правый. По первому варианту каждый плутонг состоял из трех установок. За крайним мотором на передней кромке крыла имелся выступ с открытой турелью (видимо, типа Тур-6) под спаренный пулемет. На одной с ней оси на верхней поверхности плоскости находилась башня с 20-мм пушкой. Она должна была быть выдвижной: "стакан" с кольцом турели выдвигался вверх из обтекателя- зализа. Третья установка располагалась в </w:t>
      </w:r>
      <w:proofErr w:type="spellStart"/>
      <w:r w:rsidRPr="007122AB">
        <w:rPr>
          <w:rFonts w:ascii="Times New Roman" w:hAnsi="Times New Roman"/>
          <w:color w:val="000000" w:themeColor="text1"/>
          <w:sz w:val="16"/>
          <w:szCs w:val="16"/>
        </w:rPr>
        <w:t>ро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гообразном</w:t>
      </w:r>
      <w:proofErr w:type="spellEnd"/>
      <w:r w:rsidRPr="007122AB">
        <w:rPr>
          <w:rFonts w:ascii="Times New Roman" w:hAnsi="Times New Roman"/>
          <w:color w:val="000000" w:themeColor="text1"/>
          <w:sz w:val="16"/>
          <w:szCs w:val="16"/>
        </w:rPr>
        <w:t xml:space="preserve"> выступе под крылом в плоскости крайнего мотора. Она тоже была открытой; в ней стояли два пулемета. По второму варианту передняя и задняя установки являлись экранированными. Экраны имели вид цилиндров с коническими секциями сверху и снизу. Застеклять их должны были целлулоидом. Стволы пулеметов торчали через вертикальные щели экранов, так что влево-вправо оружие перемещалось вместе с экраном. Верхняя башня во втором варианте отсутствовала. Интересно, что по заданию на бомбардировщике должны были стоять пулеметы ПВ-1 в ту- </w:t>
      </w:r>
      <w:proofErr w:type="spellStart"/>
      <w:r w:rsidRPr="007122AB">
        <w:rPr>
          <w:rFonts w:ascii="Times New Roman" w:hAnsi="Times New Roman"/>
          <w:color w:val="000000" w:themeColor="text1"/>
          <w:sz w:val="16"/>
          <w:szCs w:val="16"/>
        </w:rPr>
        <w:t>рельном</w:t>
      </w:r>
      <w:proofErr w:type="spellEnd"/>
      <w:r w:rsidRPr="007122AB">
        <w:rPr>
          <w:rFonts w:ascii="Times New Roman" w:hAnsi="Times New Roman"/>
          <w:color w:val="000000" w:themeColor="text1"/>
          <w:sz w:val="16"/>
          <w:szCs w:val="16"/>
        </w:rPr>
        <w:t xml:space="preserve"> исполнении (реально не существовавшем).</w:t>
      </w:r>
    </w:p>
    <w:p w14:paraId="149AC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Позднее в ходе проектирования могучий арсенал несколько </w:t>
      </w:r>
      <w:proofErr w:type="spellStart"/>
      <w:r w:rsidRPr="007122AB">
        <w:rPr>
          <w:rFonts w:ascii="Times New Roman" w:hAnsi="Times New Roman"/>
          <w:color w:val="000000" w:themeColor="text1"/>
          <w:sz w:val="16"/>
          <w:szCs w:val="16"/>
        </w:rPr>
        <w:t>подсократился</w:t>
      </w:r>
      <w:proofErr w:type="spellEnd"/>
      <w:r w:rsidRPr="007122AB">
        <w:rPr>
          <w:rFonts w:ascii="Times New Roman" w:hAnsi="Times New Roman"/>
          <w:color w:val="000000" w:themeColor="text1"/>
          <w:sz w:val="16"/>
          <w:szCs w:val="16"/>
        </w:rPr>
        <w:t xml:space="preserve"> и пришел в соответствие с техническим заданием: две пушки и восемь пулеметов. 20-мм пушки "</w:t>
      </w:r>
      <w:proofErr w:type="spellStart"/>
      <w:r w:rsidRPr="007122AB">
        <w:rPr>
          <w:rFonts w:ascii="Times New Roman" w:hAnsi="Times New Roman"/>
          <w:color w:val="000000" w:themeColor="text1"/>
          <w:sz w:val="16"/>
          <w:szCs w:val="16"/>
        </w:rPr>
        <w:t>Эрликон</w:t>
      </w:r>
      <w:proofErr w:type="spellEnd"/>
      <w:r w:rsidRPr="007122AB">
        <w:rPr>
          <w:rFonts w:ascii="Times New Roman" w:hAnsi="Times New Roman"/>
          <w:color w:val="000000" w:themeColor="text1"/>
          <w:sz w:val="16"/>
          <w:szCs w:val="16"/>
        </w:rPr>
        <w:t xml:space="preserve">" должны были размещаться в двух открытых турелях на фюзеляже - носовой и средней. Последняя стояла на специальной тележке и могла перекатываться с борта на борт, увеличивая поле обстрела. Для каждой пушки предусматривался боезапас в 150 патронов в сменных магазинах. Два пулемета монтировались в кормовой установке. </w:t>
      </w: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четыре пары пулеметов хотели поставить на крыльях - спереди и сзади. Большая толщина крыла позволяла стрелкам в полете свободно перемещаться из фюзеляжа к своим позициям в консолях по внутренним коридорам. Поскольку ПВ-1 в </w:t>
      </w:r>
      <w:proofErr w:type="spellStart"/>
      <w:r w:rsidRPr="007122AB">
        <w:rPr>
          <w:rFonts w:ascii="Times New Roman" w:hAnsi="Times New Roman"/>
          <w:color w:val="000000" w:themeColor="text1"/>
          <w:sz w:val="16"/>
          <w:szCs w:val="16"/>
        </w:rPr>
        <w:t>турельном</w:t>
      </w:r>
      <w:proofErr w:type="spellEnd"/>
      <w:r w:rsidRPr="007122AB">
        <w:rPr>
          <w:rFonts w:ascii="Times New Roman" w:hAnsi="Times New Roman"/>
          <w:color w:val="000000" w:themeColor="text1"/>
          <w:sz w:val="16"/>
          <w:szCs w:val="16"/>
        </w:rPr>
        <w:t xml:space="preserve"> варианте не появились, вполне логично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вооружения". При этом на машине реально имелась только одна установка ДА-2 с боезапасом в 24 диска.</w:t>
      </w:r>
    </w:p>
    <w:p w14:paraId="10A02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рассчитывался на обслуживание экипажем из десяти человек. В него входили передний артиллерист (артиллерийский техник, он же запасной бомбардир), командир самолета (штурман), главный бомбардир (второй штурман), два пилота, старший техник и два младших (одновременно являвшихся стрелками), радист-"</w:t>
      </w:r>
      <w:proofErr w:type="spellStart"/>
      <w:r w:rsidRPr="007122AB">
        <w:rPr>
          <w:rFonts w:ascii="Times New Roman" w:hAnsi="Times New Roman"/>
          <w:color w:val="000000" w:themeColor="text1"/>
          <w:sz w:val="16"/>
          <w:szCs w:val="16"/>
        </w:rPr>
        <w:t>фотист</w:t>
      </w:r>
      <w:proofErr w:type="spellEnd"/>
      <w:r w:rsidRPr="007122AB">
        <w:rPr>
          <w:rFonts w:ascii="Times New Roman" w:hAnsi="Times New Roman"/>
          <w:color w:val="000000" w:themeColor="text1"/>
          <w:sz w:val="16"/>
          <w:szCs w:val="16"/>
        </w:rPr>
        <w:t>" (то есть фотограф, на ТБ-4 должен был стоять плановый фотоаппарат "Поттэ-1Б") и еще один артиллерист.</w:t>
      </w:r>
    </w:p>
    <w:p w14:paraId="6B0F4C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Завершение проектирования шло фактически параллельно с постройкой опытного образца самолета (12024).</w:t>
      </w:r>
    </w:p>
    <w:p w14:paraId="44F57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2CC8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февраля 1931 г. Реввоенсовет СССР утвердил данные предварительных расчетов и принял решение строить опытную дюралевую машину с крылом площадью 410 м2. </w:t>
      </w:r>
    </w:p>
    <w:p w14:paraId="6616BD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Конструкция ТБ-4 была и похожа, и не похожа на ТБ-3. Принципиально это был такой же свободнонесущий моноплан с </w:t>
      </w:r>
      <w:proofErr w:type="spellStart"/>
      <w:r w:rsidRPr="007122AB">
        <w:rPr>
          <w:rFonts w:ascii="Times New Roman" w:hAnsi="Times New Roman"/>
          <w:color w:val="000000" w:themeColor="text1"/>
          <w:sz w:val="16"/>
          <w:szCs w:val="16"/>
        </w:rPr>
        <w:t>неубираюшимся</w:t>
      </w:r>
      <w:proofErr w:type="spellEnd"/>
      <w:r w:rsidRPr="007122AB">
        <w:rPr>
          <w:rFonts w:ascii="Times New Roman" w:hAnsi="Times New Roman"/>
          <w:color w:val="000000" w:themeColor="text1"/>
          <w:sz w:val="16"/>
          <w:szCs w:val="16"/>
        </w:rPr>
        <w:t xml:space="preserve"> шасси, тихоходный гофрированный гиганте крылом толстого профиля. Аэродинамическая компоновка и облик большинства узлов повторяли ТБ-3.</w:t>
      </w:r>
    </w:p>
    <w:p w14:paraId="116B61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имелись и отличия. Отказавшись от членения машины на узлы, укладывающиеся в железнодорожный габарит, крыло разбили всего на три части - центроплан и две консоли. Да и внутри крыло стало несколько иным. Число лонжеронов сократилось до трех. Их раскосы делали не из труб, а клепали из листа.</w:t>
      </w:r>
    </w:p>
    <w:p w14:paraId="5F789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Фюзеляж принципиально не отличался от ТБ-3, но включал не один, а два бомбоотсека. Интересно, что вопреки плану опытных работ и заданию, самолет проектировали под бомбовую нагрузку 10 ООО кг в соответствии с первоначальными прикидками. При этом полностью проигнорировали то, что машина с нагрузкой 10 ООО кг, являвшаяся следующим шагом после ТБ-4, к этому времени уже была исключена из всех планов. Но, очевидно, уже сделанные чертежи Туполев не желал выбрасывать в корзину.</w:t>
      </w:r>
    </w:p>
    <w:p w14:paraId="2FD4E2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Бомбоотсеки позволяли подвеску в восьми кассетах КД-3 (Дер-18) бомб калибром до 500 кг. Общая нагрузка складывалась из 20 бомб по 500 кг или 40 бомб по 250 кг. Каждая пара кассет имела свой люк для сбрасывания бомб. Внутренняя подвеска боеприпасов более крупных калибров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которую мог нести АНТ-16, являлась АФ-1000 весом в тонну. Такие бомбы вешались на наружных бомбодержателях под центропланом.</w:t>
      </w:r>
    </w:p>
    <w:p w14:paraId="14F229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носовой части самолета размещались передний артиллерист, бомбардир и штурман. Для бомбардира предусматривалась установка оптического прицела ОПБ-2 (копия немецкого "Герц-Бойков"). Два пилота сидели в полузакрытой кабине перед крылом. Места летчиков разделялись широким проходом с металлической крышей над ним. Нечто подобное встречалось на самолетах фирмы "Юнкере". Компоновку носовой части и ее кабин отработали на макете, утвержденном в апреле 1931 г. Места двух бортмехаников находились в центроплане. Согласно заданию, они могли в полете перемешаться </w:t>
      </w:r>
      <w:proofErr w:type="spellStart"/>
      <w:r w:rsidRPr="007122AB">
        <w:rPr>
          <w:rFonts w:ascii="Times New Roman" w:hAnsi="Times New Roman"/>
          <w:color w:val="000000" w:themeColor="text1"/>
          <w:sz w:val="16"/>
          <w:szCs w:val="16"/>
        </w:rPr>
        <w:t>внугри</w:t>
      </w:r>
      <w:proofErr w:type="spellEnd"/>
      <w:r w:rsidRPr="007122AB">
        <w:rPr>
          <w:rFonts w:ascii="Times New Roman" w:hAnsi="Times New Roman"/>
          <w:color w:val="000000" w:themeColor="text1"/>
          <w:sz w:val="16"/>
          <w:szCs w:val="16"/>
        </w:rPr>
        <w:t xml:space="preserve"> крыла и через специальные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находилась кабина радиста с радиостанцией 11 -СК, так называемая общая кабина и отдельная кабина для установки радиопеленгатора (примитивного радиокомпаса).</w:t>
      </w:r>
    </w:p>
    <w:p w14:paraId="29266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Оперение было очень сходно с тем, которое позже ввели на ТБ-3 с моторами М-34Р, но отличалось значительно большими габаритами. Несмотря на размеры рулей и, соответственно, нагрузки на органы управления, рули приводились в действие без сервомеханизмов, по жесткой схеме. Пилотам помогал только электропривод изменения угла установки стабилизатора.</w:t>
      </w:r>
    </w:p>
    <w:p w14:paraId="41496B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Шасси на ТБ-3 было совершенно не похоже. Иначе выполнили саму стойку, ввели масляно-пневматическую амортизацию (на ранних модификациях ТБ-3 для этой цели применяли резиновые буфера), а спаренные колеса разместили не </w:t>
      </w:r>
      <w:proofErr w:type="spellStart"/>
      <w:r w:rsidRPr="007122AB">
        <w:rPr>
          <w:rFonts w:ascii="Times New Roman" w:hAnsi="Times New Roman"/>
          <w:color w:val="000000" w:themeColor="text1"/>
          <w:sz w:val="16"/>
          <w:szCs w:val="16"/>
        </w:rPr>
        <w:t>втележке</w:t>
      </w:r>
      <w:proofErr w:type="spellEnd"/>
      <w:r w:rsidRPr="007122AB">
        <w:rPr>
          <w:rFonts w:ascii="Times New Roman" w:hAnsi="Times New Roman"/>
          <w:color w:val="000000" w:themeColor="text1"/>
          <w:sz w:val="16"/>
          <w:szCs w:val="16"/>
        </w:rPr>
        <w:t xml:space="preserve">-тандем, а рядом друге другом. </w:t>
      </w:r>
      <w:proofErr w:type="spellStart"/>
      <w:r w:rsidRPr="007122AB">
        <w:rPr>
          <w:rFonts w:ascii="Times New Roman" w:hAnsi="Times New Roman"/>
          <w:color w:val="000000" w:themeColor="text1"/>
          <w:sz w:val="16"/>
          <w:szCs w:val="16"/>
        </w:rPr>
        <w:t>Спицован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ные</w:t>
      </w:r>
      <w:proofErr w:type="spellEnd"/>
      <w:r w:rsidRPr="007122AB">
        <w:rPr>
          <w:rFonts w:ascii="Times New Roman" w:hAnsi="Times New Roman"/>
          <w:color w:val="000000" w:themeColor="text1"/>
          <w:sz w:val="16"/>
          <w:szCs w:val="16"/>
        </w:rPr>
        <w:t xml:space="preserve"> колеса снабдили импортными барабанными тормозами "</w:t>
      </w:r>
      <w:proofErr w:type="spellStart"/>
      <w:r w:rsidRPr="007122AB">
        <w:rPr>
          <w:rFonts w:ascii="Times New Roman" w:hAnsi="Times New Roman"/>
          <w:color w:val="000000" w:themeColor="text1"/>
          <w:sz w:val="16"/>
          <w:szCs w:val="16"/>
        </w:rPr>
        <w:t>Фаст</w:t>
      </w:r>
      <w:proofErr w:type="spellEnd"/>
      <w:r w:rsidRPr="007122AB">
        <w:rPr>
          <w:rFonts w:ascii="Times New Roman" w:hAnsi="Times New Roman"/>
          <w:color w:val="000000" w:themeColor="text1"/>
          <w:sz w:val="16"/>
          <w:szCs w:val="16"/>
        </w:rPr>
        <w:t>". Проектом предусматривалось закрытие стоек вместе с колесами обтекателями-"штанами". Но на других эскизах видны большие каплевидные обтекатели, закрывающие только колеса. Хвостовой опорой являлся не традиционный для того времени костыль, а ориентирующееся колесо.</w:t>
      </w:r>
    </w:p>
    <w:p w14:paraId="389B9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Долгая утряска ситуации с двигателями явно наложила свой отпечаток на компоновку </w:t>
      </w:r>
      <w:proofErr w:type="spellStart"/>
      <w:r w:rsidRPr="007122AB">
        <w:rPr>
          <w:rFonts w:ascii="Times New Roman" w:hAnsi="Times New Roman"/>
          <w:color w:val="000000" w:themeColor="text1"/>
          <w:sz w:val="16"/>
          <w:szCs w:val="16"/>
        </w:rPr>
        <w:t>мотоустановки</w:t>
      </w:r>
      <w:proofErr w:type="spellEnd"/>
      <w:r w:rsidRPr="007122AB">
        <w:rPr>
          <w:rFonts w:ascii="Times New Roman" w:hAnsi="Times New Roman"/>
          <w:color w:val="000000" w:themeColor="text1"/>
          <w:sz w:val="16"/>
          <w:szCs w:val="16"/>
        </w:rPr>
        <w:t xml:space="preserve">. Четыре мотора стояли в ряд на крыле, а еще два - в специальной гондоле на фермах над фюзеляжем. В этой гондоле М-34 располагались тандемом - один с тянущим, а другой - с толкающим винтом. Туполев явно использовал установку, ранее спроектированную для гидросамолета, - там надо приподнимать моторы и винты повыше, чтобы уберечь их от водяных брызг на взлете и посадке. </w:t>
      </w:r>
      <w:r w:rsidRPr="007122AB">
        <w:rPr>
          <w:rFonts w:ascii="Times New Roman" w:hAnsi="Times New Roman"/>
          <w:color w:val="000000" w:themeColor="text1"/>
          <w:sz w:val="16"/>
          <w:szCs w:val="16"/>
        </w:rPr>
        <w:lastRenderedPageBreak/>
        <w:t>Похоже, что такое решение считалось временным. Если бы удалось заполучить двигатели большей мощности, то их бы установили вместо М-34 на крыле, а верхнюю установку - ликвидировали. Предусматривался и седьмой мотор - вспомогательный, приводивший так называемую "центральную электростанцию" фирмы "Сименс". Двухтактный мотор от мотоцикла мощностью 7 л.с. крутил вал генератора. По современным меркам "центральная электростанция" давала совсем мало - 2,5 КВт. На серийных ТБ-4 собирались использовать отечественный двигатель от мотоцикла J1-300 (скопированный с английского) и копию же генератора "Сименс", которую делал завод им. Лепсе.</w:t>
      </w:r>
    </w:p>
    <w:p w14:paraId="43CBE4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 двигатели самолета питались из бензобаков в крыле. Всего баков имелось восемь - два в центроплане и шесть в консолях. </w:t>
      </w:r>
      <w:proofErr w:type="spellStart"/>
      <w:r w:rsidRPr="007122AB">
        <w:rPr>
          <w:rFonts w:ascii="Times New Roman" w:hAnsi="Times New Roman"/>
          <w:color w:val="000000" w:themeColor="text1"/>
          <w:sz w:val="16"/>
          <w:szCs w:val="16"/>
        </w:rPr>
        <w:t>Обшая</w:t>
      </w:r>
      <w:proofErr w:type="spellEnd"/>
      <w:r w:rsidRPr="007122AB">
        <w:rPr>
          <w:rFonts w:ascii="Times New Roman" w:hAnsi="Times New Roman"/>
          <w:color w:val="000000" w:themeColor="text1"/>
          <w:sz w:val="16"/>
          <w:szCs w:val="16"/>
        </w:rPr>
        <w:t xml:space="preserve"> их емкость равнялась 8500 л. Для подачи горючего к моторам верхней тандемной установки предусмотрели электронасос и запасной ручной ("</w:t>
      </w:r>
      <w:proofErr w:type="spellStart"/>
      <w:r w:rsidRPr="007122AB">
        <w:rPr>
          <w:rFonts w:ascii="Times New Roman" w:hAnsi="Times New Roman"/>
          <w:color w:val="000000" w:themeColor="text1"/>
          <w:sz w:val="16"/>
          <w:szCs w:val="16"/>
        </w:rPr>
        <w:t>альвейер</w:t>
      </w:r>
      <w:proofErr w:type="spellEnd"/>
      <w:r w:rsidRPr="007122AB">
        <w:rPr>
          <w:rFonts w:ascii="Times New Roman" w:hAnsi="Times New Roman"/>
          <w:color w:val="000000" w:themeColor="text1"/>
          <w:sz w:val="16"/>
          <w:szCs w:val="16"/>
        </w:rPr>
        <w:t>").</w:t>
      </w:r>
    </w:p>
    <w:p w14:paraId="000AC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перспективе рассчитывали оборудовать самолет системой дозаправки в воздухе. Это значительно увеличило бы радиус действия бомбардировщика. В качестве танкера ("</w:t>
      </w:r>
      <w:proofErr w:type="spellStart"/>
      <w:r w:rsidRPr="007122AB">
        <w:rPr>
          <w:rFonts w:ascii="Times New Roman" w:hAnsi="Times New Roman"/>
          <w:color w:val="000000" w:themeColor="text1"/>
          <w:sz w:val="16"/>
          <w:szCs w:val="16"/>
        </w:rPr>
        <w:t>бензиноносца</w:t>
      </w:r>
      <w:proofErr w:type="spellEnd"/>
      <w:r w:rsidRPr="007122AB">
        <w:rPr>
          <w:rFonts w:ascii="Times New Roman" w:hAnsi="Times New Roman"/>
          <w:color w:val="000000" w:themeColor="text1"/>
          <w:sz w:val="16"/>
          <w:szCs w:val="16"/>
        </w:rPr>
        <w:t xml:space="preserve">") собирались использовать тоже не маленький </w:t>
      </w:r>
      <w:proofErr w:type="spellStart"/>
      <w:r w:rsidRPr="007122AB">
        <w:rPr>
          <w:rFonts w:ascii="Times New Roman" w:hAnsi="Times New Roman"/>
          <w:color w:val="000000" w:themeColor="text1"/>
          <w:sz w:val="16"/>
          <w:szCs w:val="16"/>
        </w:rPr>
        <w:t>пятимоторный</w:t>
      </w:r>
      <w:proofErr w:type="spellEnd"/>
      <w:r w:rsidRPr="007122AB">
        <w:rPr>
          <w:rFonts w:ascii="Times New Roman" w:hAnsi="Times New Roman"/>
          <w:color w:val="000000" w:themeColor="text1"/>
          <w:sz w:val="16"/>
          <w:szCs w:val="16"/>
        </w:rPr>
        <w:t xml:space="preserve"> АНТ-14 (о нем будет рассказано позже).</w:t>
      </w:r>
    </w:p>
    <w:p w14:paraId="399B6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Количество и размещение стрелковых точек в ходе проектирования неоднократно менялось. Так. в феврале 1931 г. УВВС были представлены два варианта, отличавшиеся расположением огневых точек на крыле. По расположению турелей на фюзеляже оба совпадали. В носовой части самолета стояла 20-мм пушка, наверху за крылом - турель с 37-мм пушкой, в корме под рулем направления - спаренный 7,62-мм пулемет. Вооружение на крыльях подразделялось по-корабельному на два "плутонга" - левый и правый. По первому варианту каждый плутонг состоял из трех установок. За крайним мотором на передней кромке крыла имелся выступ с открытой турелью (видимо, типа Тур-6) под спаренный пулемет. На одной с ней оси на верхней поверхности плоскости находилась башня с 20-мм пушкой. Она должна была быть выдвижной: "стакан" с кольцом турели выдвигался вверх из обтекателя-зализа. Третья установка располагалась в рогообразном выступе под крылом в плоскости крайнего мотора. Она тоже была открытой; в ней стояли два пулемета. По второму варианту передняя и задняя установки являлись экранированными. Экраны имели вид цилиндров с коническими секциями сверху и снизу. Застеклять их должны были целлулоидом. Стволы пулеметов торчали через вертикальные щели экранов, так что влево-вправо оружие перемещалось вместе с экраном. Верхняя башня отсутствовала. Интересно, что по заданию на бомбардировщике должны были стоять упоминавшиеся ранее пулеметы ПВ-1 в </w:t>
      </w:r>
      <w:proofErr w:type="spellStart"/>
      <w:r w:rsidRPr="007122AB">
        <w:rPr>
          <w:rFonts w:ascii="Times New Roman" w:hAnsi="Times New Roman"/>
          <w:color w:val="000000" w:themeColor="text1"/>
          <w:sz w:val="16"/>
          <w:szCs w:val="16"/>
        </w:rPr>
        <w:t>турельном</w:t>
      </w:r>
      <w:proofErr w:type="spellEnd"/>
      <w:r w:rsidRPr="007122AB">
        <w:rPr>
          <w:rFonts w:ascii="Times New Roman" w:hAnsi="Times New Roman"/>
          <w:color w:val="000000" w:themeColor="text1"/>
          <w:sz w:val="16"/>
          <w:szCs w:val="16"/>
        </w:rPr>
        <w:t xml:space="preserve"> исполнении (реально не существовавшем).</w:t>
      </w:r>
    </w:p>
    <w:p w14:paraId="1993D3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Позднее в ходе проектирования могучий арсенал несколько </w:t>
      </w:r>
      <w:proofErr w:type="spellStart"/>
      <w:r w:rsidRPr="007122AB">
        <w:rPr>
          <w:rFonts w:ascii="Times New Roman" w:hAnsi="Times New Roman"/>
          <w:color w:val="000000" w:themeColor="text1"/>
          <w:sz w:val="16"/>
          <w:szCs w:val="16"/>
        </w:rPr>
        <w:t>подсократился</w:t>
      </w:r>
      <w:proofErr w:type="spellEnd"/>
      <w:r w:rsidRPr="007122AB">
        <w:rPr>
          <w:rFonts w:ascii="Times New Roman" w:hAnsi="Times New Roman"/>
          <w:color w:val="000000" w:themeColor="text1"/>
          <w:sz w:val="16"/>
          <w:szCs w:val="16"/>
        </w:rPr>
        <w:t xml:space="preserve"> и пришел в соответствие с техническим заданием: две пушки и восемь пулеметов. 20-мм пушки "</w:t>
      </w:r>
      <w:proofErr w:type="spellStart"/>
      <w:r w:rsidRPr="007122AB">
        <w:rPr>
          <w:rFonts w:ascii="Times New Roman" w:hAnsi="Times New Roman"/>
          <w:color w:val="000000" w:themeColor="text1"/>
          <w:sz w:val="16"/>
          <w:szCs w:val="16"/>
        </w:rPr>
        <w:t>Эрликон</w:t>
      </w:r>
      <w:proofErr w:type="spellEnd"/>
      <w:r w:rsidRPr="007122AB">
        <w:rPr>
          <w:rFonts w:ascii="Times New Roman" w:hAnsi="Times New Roman"/>
          <w:color w:val="000000" w:themeColor="text1"/>
          <w:sz w:val="16"/>
          <w:szCs w:val="16"/>
        </w:rPr>
        <w:t xml:space="preserve">" должны были размешаться в двух открытых турелях на фюзеляже - носовой и средней. Последняя стояла на специальной тележке и могла перекатываться с борта на борт, увеличивая поле обстрела. Для каждой пушки предусматривается боезапас в 150 патронов в сменных магазинах. Два пулемета монтировались в кормовой установке. Еще четыре пары пулеметов хотели поставить на крыльях - спереди и сзади. Большая толщина крыла позволяла стрелкам в полете свободно перемещаться из фюзеляжа к своим позициям в консолях по внутренним коридорам. Поскольку ПВ-1 в </w:t>
      </w:r>
      <w:proofErr w:type="spellStart"/>
      <w:r w:rsidRPr="007122AB">
        <w:rPr>
          <w:rFonts w:ascii="Times New Roman" w:hAnsi="Times New Roman"/>
          <w:color w:val="000000" w:themeColor="text1"/>
          <w:sz w:val="16"/>
          <w:szCs w:val="16"/>
        </w:rPr>
        <w:t>турельном</w:t>
      </w:r>
      <w:proofErr w:type="spellEnd"/>
      <w:r w:rsidRPr="007122AB">
        <w:rPr>
          <w:rFonts w:ascii="Times New Roman" w:hAnsi="Times New Roman"/>
          <w:color w:val="000000" w:themeColor="text1"/>
          <w:sz w:val="16"/>
          <w:szCs w:val="16"/>
        </w:rPr>
        <w:t xml:space="preserve"> варианте не появились, вполне логично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вооружения". При этом имелась только одна установка ДА-2 с боезапасом в 24 диска.</w:t>
      </w:r>
    </w:p>
    <w:p w14:paraId="57137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рассчитывался на обслуживание экипажем из десяти человек. В него входили передний артиллерист (артиллерийский техник, он же запасной бомбардир), командир самолета (штурман), главный бомбардир (второй штурман), два пилота, старший техник и два младших (одновременно являвшихся стрелками), радист-"</w:t>
      </w:r>
      <w:proofErr w:type="spellStart"/>
      <w:r w:rsidRPr="007122AB">
        <w:rPr>
          <w:rFonts w:ascii="Times New Roman" w:hAnsi="Times New Roman"/>
          <w:color w:val="000000" w:themeColor="text1"/>
          <w:sz w:val="16"/>
          <w:szCs w:val="16"/>
        </w:rPr>
        <w:t>фотист</w:t>
      </w:r>
      <w:proofErr w:type="spellEnd"/>
      <w:r w:rsidRPr="007122AB">
        <w:rPr>
          <w:rFonts w:ascii="Times New Roman" w:hAnsi="Times New Roman"/>
          <w:color w:val="000000" w:themeColor="text1"/>
          <w:sz w:val="16"/>
          <w:szCs w:val="16"/>
        </w:rPr>
        <w:t>" (то есть фотограф, на ТБ-4 должен был стоять аппарат "</w:t>
      </w:r>
      <w:proofErr w:type="spellStart"/>
      <w:r w:rsidRPr="007122AB">
        <w:rPr>
          <w:rFonts w:ascii="Times New Roman" w:hAnsi="Times New Roman"/>
          <w:color w:val="000000" w:themeColor="text1"/>
          <w:sz w:val="16"/>
          <w:szCs w:val="16"/>
        </w:rPr>
        <w:t>Поттэ</w:t>
      </w:r>
      <w:proofErr w:type="spellEnd"/>
      <w:r w:rsidRPr="007122AB">
        <w:rPr>
          <w:rFonts w:ascii="Times New Roman" w:hAnsi="Times New Roman"/>
          <w:color w:val="000000" w:themeColor="text1"/>
          <w:sz w:val="16"/>
          <w:szCs w:val="16"/>
        </w:rPr>
        <w:t>- 1 Б") и еще один артиллерист.</w:t>
      </w:r>
    </w:p>
    <w:p w14:paraId="21D0B5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Завершение проектирования шло фактически параллельно с постройкой опытного образца самолета (12036).</w:t>
      </w:r>
    </w:p>
    <w:p w14:paraId="5EBE49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14B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3 по 5 февраля 1931 проходило испытание лыж к самолету ТБ-3 (3226,6-10).</w:t>
      </w:r>
    </w:p>
    <w:p w14:paraId="465F04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Выполнено 5 полетов.</w:t>
      </w:r>
    </w:p>
    <w:p w14:paraId="4635B7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Лыжи для самолета ТБ-3 деревянной конструкции с металлическими козелками, закрытыми обтекателями, постройки завода N 28.</w:t>
      </w:r>
    </w:p>
    <w:p w14:paraId="15BE1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387F31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считает, что для полного заключения по лыжам к самолету ТБ3, проведенных испытаний недостаточно, так как не выявлено поведение лыж на различных снежных покровах и при увеличенной нагрузке. Однако, принимая во внимание, что по своим основным размерным данным лыжи ТБ3 близки к таковым же других тяжелых самолетов и выдержали полетные испытания, считать возможным допустить их серийное производство, устранив указанные в отчете недочеты (3236,6-10).</w:t>
      </w:r>
    </w:p>
    <w:p w14:paraId="02958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98371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08755C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F1FE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февраля 1931 г. Постановлением ЦИК и СНК СССР милиция приравнена в отношении важнейших льгот и преимуществ к военнослужащим (10303).</w:t>
      </w:r>
    </w:p>
    <w:p w14:paraId="68CA7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81F833" w14:textId="77777777" w:rsidR="00FA5373" w:rsidRPr="007122AB" w:rsidRDefault="00FA537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71B9C36" w14:textId="77777777" w:rsidR="00FA5373" w:rsidRPr="007122AB" w:rsidRDefault="00FA537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449BBB"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3 февраля 1931 г.</w:t>
      </w:r>
    </w:p>
    <w:p w14:paraId="08174627"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В. Н. Баркова Ж. Л. Аренсу с информацией о публикациях о процессе «Промпартии» во французской прессе и ходе перевода стенограммы процесса. 3 февраля 1931 г.</w:t>
      </w:r>
    </w:p>
    <w:p w14:paraId="7FEB0B40"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71B8238" w14:textId="77777777" w:rsidR="00FA5373" w:rsidRPr="007122AB" w:rsidRDefault="00FA53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5F94CD"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EDC836A" w14:textId="77777777" w:rsidR="00FA5373" w:rsidRPr="007122AB" w:rsidRDefault="00FA53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АВП РФ. Ф. 056.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16. П. 34. Д. 14. Л. 18</w:t>
      </w:r>
    </w:p>
    <w:p w14:paraId="1CAA7EF5"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3 февраля 1931 г.</w:t>
      </w:r>
    </w:p>
    <w:p w14:paraId="53D543CF"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СЕКРЕТНО</w:t>
      </w:r>
    </w:p>
    <w:p w14:paraId="37974EFD"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Н.К.И.Д. ОТДЕЛ ПЕЧАТИ</w:t>
      </w:r>
    </w:p>
    <w:p w14:paraId="42BE243D"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13811A52"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5ADB6D51"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1.   Перевод двигается. Будет окончен в конце февраля.</w:t>
      </w:r>
    </w:p>
    <w:p w14:paraId="2EFD98BD"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 xml:space="preserve">2.    Вышел очередной номер «Кайе </w:t>
      </w:r>
      <w:proofErr w:type="spellStart"/>
      <w:r w:rsidRPr="007122AB">
        <w:rPr>
          <w:color w:val="000000" w:themeColor="text1"/>
          <w:sz w:val="16"/>
          <w:szCs w:val="16"/>
        </w:rPr>
        <w:t>Бле</w:t>
      </w:r>
      <w:proofErr w:type="spellEnd"/>
      <w:r w:rsidRPr="007122AB">
        <w:rPr>
          <w:color w:val="000000" w:themeColor="text1"/>
          <w:sz w:val="16"/>
          <w:szCs w:val="16"/>
        </w:rPr>
        <w:t>» о процессе. Посылаем.</w:t>
      </w:r>
    </w:p>
    <w:p w14:paraId="51D95C1B"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 xml:space="preserve">3.   Обратился к нам </w:t>
      </w:r>
      <w:proofErr w:type="spellStart"/>
      <w:r w:rsidRPr="007122AB">
        <w:rPr>
          <w:color w:val="000000" w:themeColor="text1"/>
          <w:sz w:val="16"/>
          <w:szCs w:val="16"/>
        </w:rPr>
        <w:t>Дволайцкий</w:t>
      </w:r>
      <w:proofErr w:type="spellEnd"/>
      <w:r w:rsidRPr="007122AB">
        <w:rPr>
          <w:color w:val="000000" w:themeColor="text1"/>
          <w:sz w:val="16"/>
          <w:szCs w:val="16"/>
        </w:rPr>
        <w:t xml:space="preserve"> с просьбой посылать ему регулярно 2 экз. наших бюллетеней. Просим санкции со стороны НКИД. Известите о решение.</w:t>
      </w:r>
    </w:p>
    <w:p w14:paraId="1AAF62A9"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4.   Как решен вопрос о специальном номере «</w:t>
      </w:r>
      <w:proofErr w:type="spellStart"/>
      <w:r w:rsidRPr="007122AB">
        <w:rPr>
          <w:color w:val="000000" w:themeColor="text1"/>
          <w:sz w:val="16"/>
          <w:szCs w:val="16"/>
        </w:rPr>
        <w:t>Эроп</w:t>
      </w:r>
      <w:proofErr w:type="spellEnd"/>
      <w:r w:rsidRPr="007122AB">
        <w:rPr>
          <w:color w:val="000000" w:themeColor="text1"/>
          <w:sz w:val="16"/>
          <w:szCs w:val="16"/>
        </w:rPr>
        <w:t xml:space="preserve"> </w:t>
      </w:r>
      <w:proofErr w:type="spellStart"/>
      <w:r w:rsidRPr="007122AB">
        <w:rPr>
          <w:color w:val="000000" w:themeColor="text1"/>
          <w:sz w:val="16"/>
          <w:szCs w:val="16"/>
        </w:rPr>
        <w:t>Нувелль</w:t>
      </w:r>
      <w:proofErr w:type="spellEnd"/>
      <w:r w:rsidRPr="007122AB">
        <w:rPr>
          <w:color w:val="000000" w:themeColor="text1"/>
          <w:sz w:val="16"/>
          <w:szCs w:val="16"/>
        </w:rPr>
        <w:t>», посвященном пятилетке. Луиза Вейс вернулась из поездки по Европе. Увижусь с ней 7-го февраля. Остается ли в силе Ваше предложение о специальном номере, посвященном процессу?</w:t>
      </w:r>
    </w:p>
    <w:p w14:paraId="5568A19E"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5.    Передайте в первый западный, что в прессу ничего не проникло о т. н. «балтийских завтраках». Вообще нам ничего не известно о них.</w:t>
      </w:r>
    </w:p>
    <w:p w14:paraId="2A0D1B64"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6.   Постараемся пустить в прессу материалы о зверствах Польского Правительства в Западной Галиции. Пресса упорно молчит о них.</w:t>
      </w:r>
    </w:p>
    <w:p w14:paraId="53E0A1DF"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7.    Книжку Рене Мартеля посылаем.</w:t>
      </w:r>
    </w:p>
    <w:p w14:paraId="6BAEB9FB"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8.   У нас скопились комплекты журналов за прошлый год. Не найдете ли целесообразным переслать их в Москву в какую-нибудь библиотеку, напр., имени Ленина.</w:t>
      </w:r>
    </w:p>
    <w:p w14:paraId="2921C773"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 xml:space="preserve">С тов. </w:t>
      </w:r>
      <w:proofErr w:type="spellStart"/>
      <w:r w:rsidRPr="007122AB">
        <w:rPr>
          <w:color w:val="000000" w:themeColor="text1"/>
          <w:sz w:val="16"/>
          <w:szCs w:val="16"/>
        </w:rPr>
        <w:t>прив</w:t>
      </w:r>
      <w:proofErr w:type="spellEnd"/>
      <w:r w:rsidRPr="007122AB">
        <w:rPr>
          <w:color w:val="000000" w:themeColor="text1"/>
          <w:sz w:val="16"/>
          <w:szCs w:val="16"/>
        </w:rPr>
        <w:t>[</w:t>
      </w:r>
      <w:proofErr w:type="spellStart"/>
      <w:r w:rsidRPr="007122AB">
        <w:rPr>
          <w:color w:val="000000" w:themeColor="text1"/>
          <w:sz w:val="16"/>
          <w:szCs w:val="16"/>
        </w:rPr>
        <w:t>етом</w:t>
      </w:r>
      <w:proofErr w:type="spellEnd"/>
      <w:r w:rsidRPr="007122AB">
        <w:rPr>
          <w:color w:val="000000" w:themeColor="text1"/>
          <w:sz w:val="16"/>
          <w:szCs w:val="16"/>
        </w:rPr>
        <w:t>] В. Барков</w:t>
      </w:r>
    </w:p>
    <w:p w14:paraId="0FED4499" w14:textId="77777777" w:rsidR="00FA5373" w:rsidRPr="007122AB" w:rsidRDefault="00FA5373"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АВП РФ. Ф. 056.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16. П. 34. Д. 14. Л. 18. Машинописный подлинник на бланке Полпредства СССР во Франции, подпись Баркова — автограф. Вверху справа в графе бланка дата «3 февраля 1931 г.» (число и месяц машинописью) и номер «46/с» (от руки). Гриф секретности машинописью. Вверху слева написаны от руки входящий номер и дата получения документа «8/II-31 г.», ниже рукописная помета: «Взято на заметку». Внизу слева делопроизводственная помета машинописью (столбцом) «2 экз.: — т. Аренсу. 1 — в дело» (18830).</w:t>
      </w:r>
    </w:p>
    <w:p w14:paraId="1C6D4F71" w14:textId="77777777" w:rsidR="00FA5373" w:rsidRPr="007122AB" w:rsidRDefault="00FA5373" w:rsidP="007122AB">
      <w:pPr>
        <w:spacing w:after="0" w:line="240" w:lineRule="auto"/>
        <w:jc w:val="both"/>
        <w:rPr>
          <w:rFonts w:ascii="Times New Roman" w:hAnsi="Times New Roman"/>
          <w:color w:val="000000" w:themeColor="text1"/>
          <w:sz w:val="16"/>
          <w:szCs w:val="16"/>
        </w:rPr>
      </w:pPr>
    </w:p>
    <w:p w14:paraId="288D5BD2" w14:textId="77777777" w:rsidR="00FA5373" w:rsidRPr="007122AB" w:rsidRDefault="00FA53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февраля 1931 г.</w:t>
      </w:r>
    </w:p>
    <w:p w14:paraId="520862DA"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Письмо Б. Д. Виноградова в отдел печати НКИД СССР с информацией о пребывании в Германии Б. А. Пильняка. </w:t>
      </w:r>
    </w:p>
    <w:p w14:paraId="26C51DB0"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310B044" w14:textId="77777777" w:rsidR="00FA5373" w:rsidRPr="007122AB" w:rsidRDefault="00FA53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471DE8" w14:textId="77777777" w:rsidR="00FA5373" w:rsidRPr="007122AB" w:rsidRDefault="00FA5373"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5D533B33" w14:textId="77777777" w:rsidR="00FA5373" w:rsidRPr="007122AB" w:rsidRDefault="00FA53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Папка 33. Д. 8. Л. 111-111 об.</w:t>
      </w:r>
    </w:p>
    <w:p w14:paraId="5D12FF46" w14:textId="77777777" w:rsidR="00FA5373" w:rsidRPr="007122AB" w:rsidRDefault="00FA5373" w:rsidP="007122AB">
      <w:pPr>
        <w:pStyle w:val="rteright"/>
        <w:spacing w:before="0" w:after="0"/>
        <w:jc w:val="both"/>
        <w:rPr>
          <w:color w:val="000000" w:themeColor="text1"/>
          <w:sz w:val="16"/>
          <w:szCs w:val="16"/>
        </w:rPr>
      </w:pPr>
      <w:r w:rsidRPr="007122AB">
        <w:rPr>
          <w:color w:val="000000" w:themeColor="text1"/>
          <w:sz w:val="16"/>
          <w:szCs w:val="16"/>
        </w:rPr>
        <w:t>3 февраля 1931 г.</w:t>
      </w:r>
    </w:p>
    <w:p w14:paraId="3CD801E9" w14:textId="77777777" w:rsidR="00FA5373" w:rsidRPr="007122AB" w:rsidRDefault="00FA5373"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45CE2D8C"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11B62EE7"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1531FBA2"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t>Москва</w:t>
      </w:r>
    </w:p>
    <w:p w14:paraId="398F33AB" w14:textId="77777777" w:rsidR="00FA5373" w:rsidRPr="007122AB" w:rsidRDefault="00FA5373" w:rsidP="007122AB">
      <w:pPr>
        <w:pStyle w:val="ae"/>
        <w:spacing w:before="0" w:after="0"/>
        <w:jc w:val="both"/>
        <w:rPr>
          <w:color w:val="000000" w:themeColor="text1"/>
          <w:sz w:val="16"/>
          <w:szCs w:val="16"/>
        </w:rPr>
      </w:pPr>
      <w:r w:rsidRPr="007122AB">
        <w:rPr>
          <w:color w:val="000000" w:themeColor="text1"/>
          <w:sz w:val="16"/>
          <w:szCs w:val="16"/>
        </w:rPr>
        <w:lastRenderedPageBreak/>
        <w:t>Уважаемый Товарищ,</w:t>
      </w:r>
    </w:p>
    <w:p w14:paraId="45BDFB57"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 xml:space="preserve">Так как от Вас поступило несколько писем с предупреждением о приезде Пильняка, то я хочу Вам в нескольких словах написать об его пребывании в Германии. Использовать Пильняка для какой-либо культурной пропаганды очень трудно. Он не говорит ни на одном иностранном языке, а когда дело доходит до докладов на русском[,] заявляет, что «я не оратор». Мы его здесь «показывали» на двух приемах (на прессе </w:t>
      </w:r>
      <w:proofErr w:type="spellStart"/>
      <w:r w:rsidRPr="007122AB">
        <w:rPr>
          <w:color w:val="000000" w:themeColor="text1"/>
          <w:sz w:val="16"/>
          <w:szCs w:val="16"/>
        </w:rPr>
        <w:t>бирабенде</w:t>
      </w:r>
      <w:proofErr w:type="spellEnd"/>
      <w:r w:rsidRPr="007122AB">
        <w:rPr>
          <w:color w:val="000000" w:themeColor="text1"/>
          <w:sz w:val="16"/>
          <w:szCs w:val="16"/>
        </w:rPr>
        <w:t xml:space="preserve"> и на втором специально устроенном для наших приезжих писателей). Кроме того, на докладе т. Третьякова, собравшем многочисленную аудиторию в ОДНР, Пильняк был представлен и сказал несколько несвязных слов. Наконец, Пильняк выступал в Союзе Пролетарских Писателей. </w:t>
      </w:r>
      <w:proofErr w:type="spellStart"/>
      <w:r w:rsidRPr="007122AB">
        <w:rPr>
          <w:color w:val="000000" w:themeColor="text1"/>
          <w:sz w:val="16"/>
          <w:szCs w:val="16"/>
        </w:rPr>
        <w:t>ТАССовский</w:t>
      </w:r>
      <w:proofErr w:type="spellEnd"/>
      <w:r w:rsidRPr="007122AB">
        <w:rPr>
          <w:color w:val="000000" w:themeColor="text1"/>
          <w:sz w:val="16"/>
          <w:szCs w:val="16"/>
        </w:rPr>
        <w:t xml:space="preserve"> отчет об этом выступлении прилагаю, хотя Вы, возможно, уже его читали. Употребляя слова отчета, можно сказать, что это был для Пильняка, действительно, тяжелый вечер. Возможно, что Пильняк за время своего путешествия наберется впечатлений и потом сможет написать интересный роман. Но, говоря откровенно, я мало надеюсь на такой результат.</w:t>
      </w:r>
    </w:p>
    <w:p w14:paraId="246018BE"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15A1E63A"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Б. Виноградов</w:t>
      </w:r>
    </w:p>
    <w:p w14:paraId="7F09F132" w14:textId="77777777" w:rsidR="00FA5373" w:rsidRPr="007122AB" w:rsidRDefault="00FA5373" w:rsidP="007122AB">
      <w:pPr>
        <w:pStyle w:val="rtejustify"/>
        <w:spacing w:before="0" w:after="0"/>
        <w:rPr>
          <w:color w:val="000000" w:themeColor="text1"/>
          <w:sz w:val="16"/>
          <w:szCs w:val="16"/>
        </w:rPr>
      </w:pPr>
      <w:r w:rsidRPr="007122AB">
        <w:rPr>
          <w:color w:val="000000" w:themeColor="text1"/>
          <w:sz w:val="16"/>
          <w:szCs w:val="16"/>
        </w:rPr>
        <w:t>П. С. О злоключениях статьи т. Луначарского Вам пишет т. Штерн, так что я к этому вопросу возвращаться не буду. Статья, по[-]видимому, появится в «</w:t>
      </w:r>
      <w:proofErr w:type="spellStart"/>
      <w:r w:rsidRPr="007122AB">
        <w:rPr>
          <w:color w:val="000000" w:themeColor="text1"/>
          <w:sz w:val="16"/>
          <w:szCs w:val="16"/>
        </w:rPr>
        <w:t>Цейтшрифт</w:t>
      </w:r>
      <w:proofErr w:type="spellEnd"/>
      <w:r w:rsidRPr="007122AB">
        <w:rPr>
          <w:color w:val="000000" w:themeColor="text1"/>
          <w:sz w:val="16"/>
          <w:szCs w:val="16"/>
        </w:rPr>
        <w:t xml:space="preserve"> </w:t>
      </w:r>
      <w:proofErr w:type="spellStart"/>
      <w:r w:rsidRPr="007122AB">
        <w:rPr>
          <w:color w:val="000000" w:themeColor="text1"/>
          <w:sz w:val="16"/>
          <w:szCs w:val="16"/>
        </w:rPr>
        <w:t>фюр</w:t>
      </w:r>
      <w:proofErr w:type="spellEnd"/>
      <w:r w:rsidRPr="007122AB">
        <w:rPr>
          <w:color w:val="000000" w:themeColor="text1"/>
          <w:sz w:val="16"/>
          <w:szCs w:val="16"/>
        </w:rPr>
        <w:t xml:space="preserve"> Политик» в середине февраля.</w:t>
      </w:r>
    </w:p>
    <w:p w14:paraId="3B76F8DC" w14:textId="77777777" w:rsidR="00FA5373" w:rsidRPr="007122AB" w:rsidRDefault="00FA5373" w:rsidP="007122AB">
      <w:pPr>
        <w:pStyle w:val="rtejustify"/>
        <w:spacing w:before="0" w:after="0"/>
        <w:rPr>
          <w:color w:val="000000" w:themeColor="text1"/>
          <w:sz w:val="16"/>
          <w:szCs w:val="16"/>
          <w:lang w:val="en-US"/>
        </w:rPr>
      </w:pPr>
      <w:r w:rsidRPr="007122AB">
        <w:rPr>
          <w:color w:val="000000" w:themeColor="text1"/>
          <w:sz w:val="16"/>
          <w:szCs w:val="16"/>
        </w:rPr>
        <w:t>Б</w:t>
      </w:r>
      <w:r w:rsidRPr="007122AB">
        <w:rPr>
          <w:color w:val="000000" w:themeColor="text1"/>
          <w:sz w:val="16"/>
          <w:szCs w:val="16"/>
          <w:lang w:val="en-US"/>
        </w:rPr>
        <w:t xml:space="preserve">. </w:t>
      </w:r>
      <w:r w:rsidRPr="007122AB">
        <w:rPr>
          <w:color w:val="000000" w:themeColor="text1"/>
          <w:sz w:val="16"/>
          <w:szCs w:val="16"/>
        </w:rPr>
        <w:t>В</w:t>
      </w:r>
      <w:r w:rsidRPr="007122AB">
        <w:rPr>
          <w:color w:val="000000" w:themeColor="text1"/>
          <w:sz w:val="16"/>
          <w:szCs w:val="16"/>
          <w:lang w:val="en-US"/>
        </w:rPr>
        <w:t>.</w:t>
      </w:r>
    </w:p>
    <w:p w14:paraId="5E35E6C3" w14:textId="77777777" w:rsidR="00FA5373" w:rsidRPr="007122AB" w:rsidRDefault="00FA5373" w:rsidP="007122AB">
      <w:pPr>
        <w:pStyle w:val="ae"/>
        <w:spacing w:before="0" w:after="0"/>
        <w:jc w:val="both"/>
        <w:rPr>
          <w:color w:val="000000" w:themeColor="text1"/>
          <w:sz w:val="16"/>
          <w:szCs w:val="16"/>
        </w:rPr>
      </w:pPr>
      <w:r w:rsidRPr="007122AB">
        <w:rPr>
          <w:rStyle w:val="af0"/>
          <w:i w:val="0"/>
          <w:color w:val="000000" w:themeColor="text1"/>
          <w:sz w:val="16"/>
          <w:szCs w:val="16"/>
        </w:rPr>
        <w:t>АВП</w:t>
      </w:r>
      <w:r w:rsidRPr="007122AB">
        <w:rPr>
          <w:rStyle w:val="af0"/>
          <w:i w:val="0"/>
          <w:color w:val="000000" w:themeColor="text1"/>
          <w:sz w:val="16"/>
          <w:szCs w:val="16"/>
          <w:lang w:val="en-US"/>
        </w:rPr>
        <w:t xml:space="preserve"> </w:t>
      </w:r>
      <w:r w:rsidRPr="007122AB">
        <w:rPr>
          <w:rStyle w:val="af0"/>
          <w:i w:val="0"/>
          <w:color w:val="000000" w:themeColor="text1"/>
          <w:sz w:val="16"/>
          <w:szCs w:val="16"/>
        </w:rPr>
        <w:t>РФ</w:t>
      </w:r>
      <w:r w:rsidRPr="007122AB">
        <w:rPr>
          <w:rStyle w:val="af0"/>
          <w:i w:val="0"/>
          <w:color w:val="000000" w:themeColor="text1"/>
          <w:sz w:val="16"/>
          <w:szCs w:val="16"/>
          <w:lang w:val="en-US"/>
        </w:rPr>
        <w:t xml:space="preserve">. </w:t>
      </w:r>
      <w:r w:rsidRPr="007122AB">
        <w:rPr>
          <w:rStyle w:val="af0"/>
          <w:i w:val="0"/>
          <w:color w:val="000000" w:themeColor="text1"/>
          <w:sz w:val="16"/>
          <w:szCs w:val="16"/>
        </w:rPr>
        <w:t>Ф</w:t>
      </w:r>
      <w:r w:rsidRPr="007122AB">
        <w:rPr>
          <w:rStyle w:val="af0"/>
          <w:i w:val="0"/>
          <w:color w:val="000000" w:themeColor="text1"/>
          <w:sz w:val="16"/>
          <w:szCs w:val="16"/>
          <w:lang w:val="en-US"/>
        </w:rPr>
        <w:t xml:space="preserve">. 056. On. 16. </w:t>
      </w:r>
      <w:r w:rsidRPr="007122AB">
        <w:rPr>
          <w:rStyle w:val="af0"/>
          <w:i w:val="0"/>
          <w:color w:val="000000" w:themeColor="text1"/>
          <w:sz w:val="16"/>
          <w:szCs w:val="16"/>
        </w:rPr>
        <w:t>Папка 33. Д. 8. Л. 111-111 об. Машинописный подлинник, на бланке Полпредства СССР в Германии, подпись Виноградова — автограф. Гриф секретности и дата машинописью, исходящий «№ 226» в графе бланка. Вверху Л. 111 написаны от руки входящий «№ 172» и дата получения документа «18/11-31 г.», подпись-росчерк Миронова с пометой «архив» (18900).</w:t>
      </w:r>
    </w:p>
    <w:p w14:paraId="54E2B4AF" w14:textId="77777777" w:rsidR="00FA5373" w:rsidRPr="007122AB" w:rsidRDefault="00FA5373" w:rsidP="007122AB">
      <w:pPr>
        <w:spacing w:after="0" w:line="240" w:lineRule="auto"/>
        <w:jc w:val="both"/>
        <w:rPr>
          <w:rFonts w:ascii="Times New Roman" w:hAnsi="Times New Roman"/>
          <w:color w:val="000000" w:themeColor="text1"/>
          <w:sz w:val="16"/>
          <w:szCs w:val="16"/>
        </w:rPr>
      </w:pPr>
    </w:p>
    <w:p w14:paraId="183A82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Жизнь</w:t>
      </w:r>
      <w:r w:rsidR="002E524B"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и</w:t>
      </w:r>
      <w:r w:rsidR="002E524B"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внутренняя</w:t>
      </w:r>
      <w:r w:rsidR="002E524B"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политика</w:t>
      </w:r>
      <w:r w:rsidRPr="007122AB">
        <w:rPr>
          <w:rFonts w:ascii="Times New Roman" w:hAnsi="Times New Roman"/>
          <w:i/>
          <w:iCs/>
          <w:color w:val="000000" w:themeColor="text1"/>
          <w:sz w:val="16"/>
          <w:szCs w:val="16"/>
          <w:lang w:val="en-US"/>
        </w:rPr>
        <w:t>:</w:t>
      </w:r>
    </w:p>
    <w:p w14:paraId="17A79C4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423F5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On February 4, 1931, Stalin explained why the country had to maintain the extremely rapid rate of industrialization: `Do you want our socialist fatherland to be beaten and lose its independence? `We are fifty to hundred years behind the advanced countries. We must make good this distance in ten years. Either we do this or they crush us (1065).</w:t>
      </w:r>
    </w:p>
    <w:p w14:paraId="42801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481646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февраля 1931 И.В.С. объяснил, почему требуются сверхбыстрые темпы индустриализации (1065).</w:t>
      </w:r>
    </w:p>
    <w:p w14:paraId="198C82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766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февраля 1931 года в речи "О задачах хозяйственников" </w:t>
      </w:r>
      <w:proofErr w:type="spellStart"/>
      <w:r w:rsidRPr="007122AB">
        <w:rPr>
          <w:rFonts w:ascii="Times New Roman" w:hAnsi="Times New Roman"/>
          <w:color w:val="000000" w:themeColor="text1"/>
          <w:sz w:val="16"/>
          <w:szCs w:val="16"/>
        </w:rPr>
        <w:t>И.В.Сталин</w:t>
      </w:r>
      <w:proofErr w:type="spellEnd"/>
      <w:r w:rsidRPr="007122AB">
        <w:rPr>
          <w:rFonts w:ascii="Times New Roman" w:hAnsi="Times New Roman"/>
          <w:color w:val="000000" w:themeColor="text1"/>
          <w:sz w:val="16"/>
          <w:szCs w:val="16"/>
        </w:rPr>
        <w:t xml:space="preserve"> признал, что в 1930 году прирост промышленной продукции составил 25 % вместо 32 % по годовому плану. Тем не менее он по-прежнему призывал обеспечить в 1931 году 45 % прироста и добиться выполнения пятилетки за 4 года, а в основных, решающих отраслях промышленности - за 3 года (9492).</w:t>
      </w:r>
    </w:p>
    <w:p w14:paraId="5F864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665C92" w14:textId="77777777" w:rsidR="007510B4" w:rsidRPr="007122AB" w:rsidRDefault="007510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февраля 1931 г. на первой Всесоюзной конференции работников социалистической промышленности, И.В. Сталин сказал: «Мы отстали от передовых стран на 50 – 100 лет. Мы должны пробежать это расстояние в десять лет. Либо мы сделаем это, либо нас сомнут. (…) Для этого есть у нас все «объективные» возможности. Не хватает только уменья использовать по-настоящему эти возможности» (19566).</w:t>
      </w:r>
    </w:p>
    <w:p w14:paraId="77FA30D7" w14:textId="77777777" w:rsidR="007510B4" w:rsidRPr="007122AB" w:rsidRDefault="007510B4" w:rsidP="007122AB">
      <w:pPr>
        <w:spacing w:after="0" w:line="240" w:lineRule="auto"/>
        <w:jc w:val="both"/>
        <w:rPr>
          <w:rFonts w:ascii="Times New Roman" w:hAnsi="Times New Roman"/>
          <w:color w:val="000000" w:themeColor="text1"/>
          <w:sz w:val="16"/>
          <w:szCs w:val="16"/>
        </w:rPr>
      </w:pPr>
    </w:p>
    <w:p w14:paraId="5430A63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февраля 1931 г. из выступления И.В. Сталина: «Мы отстали от передовых стран на 50-100 лет. Мы должны пробежать это расстояние в десять лет. Либо мы это сделаем, либо нас сомнут» (18272).</w:t>
      </w:r>
    </w:p>
    <w:p w14:paraId="69653411"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6A8B50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февраля 1931 года, выступая на первой Всесоюзной конференции работников социалистической промышленности, Сталин заявил: </w:t>
      </w:r>
      <w:r w:rsidRPr="007122AB">
        <w:rPr>
          <w:rFonts w:ascii="Times New Roman" w:hAnsi="Times New Roman"/>
          <w:iCs/>
          <w:color w:val="000000" w:themeColor="text1"/>
          <w:sz w:val="16"/>
          <w:szCs w:val="16"/>
        </w:rPr>
        <w:t>«Мы отстали от передовых стран на 50-100 лет. Мы должны пробежать это расстояние в десять лет. Либо мы сделаем это, либо нас сомнут».</w:t>
      </w:r>
    </w:p>
    <w:p w14:paraId="7DA8E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Говоря так, Иосиф Виссарионович нисколько не преувеличивал. Отставание России проявилось во всей своей красе уже в ходе 1-й мировой войны. Как писал летом 1915 года командир 29-го корпуса генерал Д. П. Зуев военному министру генералу А. А. Поливанову: </w:t>
      </w:r>
    </w:p>
    <w:p w14:paraId="52DA421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«Немцы вспахивают поля сражений градом металла и ровняют с землёй всякие окопы и сооружения, заваливая часто их защитников с землёю. Они тратят металл, мы — человеческую жизнь. Они идут вперёд, окрылённые успехом и потому дерзают; мы, ценою тяжких потерь и пролитой крови, лишь отбиваемся и отходим».</w:t>
      </w:r>
    </w:p>
    <w:p w14:paraId="1A2550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Увы, подобная картина не выглядит удивительной, если сравнить количество вооружений, произведённых за время 1-й мировой войны странами-участницами: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536"/>
        <w:gridCol w:w="1344"/>
        <w:gridCol w:w="1152"/>
        <w:gridCol w:w="1152"/>
      </w:tblGrid>
      <w:tr w:rsidR="00B65F32" w:rsidRPr="007122AB" w14:paraId="3C6187E4" w14:textId="77777777">
        <w:tc>
          <w:tcPr>
            <w:tcW w:w="2880" w:type="dxa"/>
            <w:tcBorders>
              <w:top w:val="single" w:sz="12" w:space="0" w:color="000000"/>
            </w:tcBorders>
          </w:tcPr>
          <w:p w14:paraId="247FE6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Боевые средства</w:t>
            </w:r>
          </w:p>
        </w:tc>
        <w:tc>
          <w:tcPr>
            <w:tcW w:w="1536" w:type="dxa"/>
            <w:tcBorders>
              <w:top w:val="single" w:sz="12" w:space="0" w:color="000000"/>
            </w:tcBorders>
          </w:tcPr>
          <w:p w14:paraId="59BC3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Германия</w:t>
            </w:r>
          </w:p>
        </w:tc>
        <w:tc>
          <w:tcPr>
            <w:tcW w:w="1344" w:type="dxa"/>
            <w:tcBorders>
              <w:top w:val="single" w:sz="12" w:space="0" w:color="000000"/>
            </w:tcBorders>
          </w:tcPr>
          <w:p w14:paraId="2404D0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Франция</w:t>
            </w:r>
          </w:p>
        </w:tc>
        <w:tc>
          <w:tcPr>
            <w:tcW w:w="1152" w:type="dxa"/>
            <w:tcBorders>
              <w:top w:val="single" w:sz="12" w:space="0" w:color="000000"/>
            </w:tcBorders>
          </w:tcPr>
          <w:p w14:paraId="67C6F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Англия</w:t>
            </w:r>
          </w:p>
        </w:tc>
        <w:tc>
          <w:tcPr>
            <w:tcW w:w="1152" w:type="dxa"/>
            <w:tcBorders>
              <w:top w:val="single" w:sz="12" w:space="0" w:color="000000"/>
            </w:tcBorders>
          </w:tcPr>
          <w:p w14:paraId="56816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Россия</w:t>
            </w:r>
          </w:p>
        </w:tc>
      </w:tr>
      <w:tr w:rsidR="00B65F32" w:rsidRPr="007122AB" w14:paraId="76B8214E" w14:textId="77777777">
        <w:tc>
          <w:tcPr>
            <w:tcW w:w="2880" w:type="dxa"/>
          </w:tcPr>
          <w:p w14:paraId="04A716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Пулемёты, тыс.</w:t>
            </w:r>
          </w:p>
        </w:tc>
        <w:tc>
          <w:tcPr>
            <w:tcW w:w="1536" w:type="dxa"/>
          </w:tcPr>
          <w:p w14:paraId="19053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280,0</w:t>
            </w:r>
          </w:p>
        </w:tc>
        <w:tc>
          <w:tcPr>
            <w:tcW w:w="1344" w:type="dxa"/>
          </w:tcPr>
          <w:p w14:paraId="78874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312,0</w:t>
            </w:r>
          </w:p>
        </w:tc>
        <w:tc>
          <w:tcPr>
            <w:tcW w:w="1152" w:type="dxa"/>
          </w:tcPr>
          <w:p w14:paraId="77F5C3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239,0</w:t>
            </w:r>
          </w:p>
        </w:tc>
        <w:tc>
          <w:tcPr>
            <w:tcW w:w="1152" w:type="dxa"/>
          </w:tcPr>
          <w:p w14:paraId="2A4D68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r>
      <w:tr w:rsidR="00B65F32" w:rsidRPr="007122AB" w14:paraId="436AC51C" w14:textId="77777777">
        <w:tc>
          <w:tcPr>
            <w:tcW w:w="2880" w:type="dxa"/>
          </w:tcPr>
          <w:p w14:paraId="10E29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Орудия, тыс.</w:t>
            </w:r>
          </w:p>
        </w:tc>
        <w:tc>
          <w:tcPr>
            <w:tcW w:w="1536" w:type="dxa"/>
          </w:tcPr>
          <w:p w14:paraId="5FC15F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w:t>
            </w:r>
          </w:p>
        </w:tc>
        <w:tc>
          <w:tcPr>
            <w:tcW w:w="1344" w:type="dxa"/>
          </w:tcPr>
          <w:p w14:paraId="188C5B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23,2</w:t>
            </w:r>
          </w:p>
        </w:tc>
        <w:tc>
          <w:tcPr>
            <w:tcW w:w="1152" w:type="dxa"/>
          </w:tcPr>
          <w:p w14:paraId="5B998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w:t>
            </w:r>
          </w:p>
        </w:tc>
        <w:tc>
          <w:tcPr>
            <w:tcW w:w="1152" w:type="dxa"/>
          </w:tcPr>
          <w:p w14:paraId="2B1799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11,7</w:t>
            </w:r>
          </w:p>
        </w:tc>
      </w:tr>
      <w:tr w:rsidR="00B65F32" w:rsidRPr="007122AB" w14:paraId="5747D75E" w14:textId="77777777">
        <w:tc>
          <w:tcPr>
            <w:tcW w:w="2880" w:type="dxa"/>
          </w:tcPr>
          <w:p w14:paraId="7218AB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Снаряды, млн</w:t>
            </w:r>
          </w:p>
        </w:tc>
        <w:tc>
          <w:tcPr>
            <w:tcW w:w="1536" w:type="dxa"/>
          </w:tcPr>
          <w:p w14:paraId="378854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306,0</w:t>
            </w:r>
          </w:p>
        </w:tc>
        <w:tc>
          <w:tcPr>
            <w:tcW w:w="1344" w:type="dxa"/>
          </w:tcPr>
          <w:p w14:paraId="040C5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290,0</w:t>
            </w:r>
          </w:p>
        </w:tc>
        <w:tc>
          <w:tcPr>
            <w:tcW w:w="1152" w:type="dxa"/>
          </w:tcPr>
          <w:p w14:paraId="6920DC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218,0</w:t>
            </w:r>
          </w:p>
        </w:tc>
        <w:tc>
          <w:tcPr>
            <w:tcW w:w="1152" w:type="dxa"/>
          </w:tcPr>
          <w:p w14:paraId="2CC687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67,0</w:t>
            </w:r>
          </w:p>
        </w:tc>
      </w:tr>
      <w:tr w:rsidR="00365C94" w:rsidRPr="007122AB" w14:paraId="6754BA49" w14:textId="77777777">
        <w:tc>
          <w:tcPr>
            <w:tcW w:w="2880" w:type="dxa"/>
            <w:tcBorders>
              <w:bottom w:val="single" w:sz="12" w:space="0" w:color="000000"/>
            </w:tcBorders>
          </w:tcPr>
          <w:p w14:paraId="7A1E0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Самолёты, тыс.</w:t>
            </w:r>
          </w:p>
        </w:tc>
        <w:tc>
          <w:tcPr>
            <w:tcW w:w="1536" w:type="dxa"/>
            <w:tcBorders>
              <w:bottom w:val="single" w:sz="12" w:space="0" w:color="000000"/>
            </w:tcBorders>
          </w:tcPr>
          <w:p w14:paraId="6C7EA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47,3</w:t>
            </w:r>
          </w:p>
        </w:tc>
        <w:tc>
          <w:tcPr>
            <w:tcW w:w="1344" w:type="dxa"/>
            <w:tcBorders>
              <w:bottom w:val="single" w:sz="12" w:space="0" w:color="000000"/>
            </w:tcBorders>
          </w:tcPr>
          <w:p w14:paraId="52566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52,1</w:t>
            </w:r>
          </w:p>
        </w:tc>
        <w:tc>
          <w:tcPr>
            <w:tcW w:w="1152" w:type="dxa"/>
            <w:tcBorders>
              <w:bottom w:val="single" w:sz="12" w:space="0" w:color="000000"/>
            </w:tcBorders>
          </w:tcPr>
          <w:p w14:paraId="58A966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47,8</w:t>
            </w:r>
          </w:p>
        </w:tc>
        <w:tc>
          <w:tcPr>
            <w:tcW w:w="1152" w:type="dxa"/>
            <w:tcBorders>
              <w:bottom w:val="single" w:sz="12" w:space="0" w:color="000000"/>
            </w:tcBorders>
          </w:tcPr>
          <w:p w14:paraId="75D77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 (11208)</w:t>
            </w:r>
          </w:p>
        </w:tc>
      </w:tr>
    </w:tbl>
    <w:p w14:paraId="387B6C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EEABEF" w14:textId="77777777" w:rsidR="0084298A" w:rsidRPr="007122AB" w:rsidRDefault="008429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февраля 1931 была речь Сталина на первой Всесоюзной конференции работников социалистической промышленности: «…мы не хотим оказаться битыми. Нет, не хотим! История старой России состояла, между прочим, в том, что ее непрерывно били за отсталость. Били монгольские ханы. Били турецкие беки. Били шведские феодалы. Били польско</w:t>
      </w:r>
      <w:r w:rsidRPr="007122AB">
        <w:rPr>
          <w:rFonts w:ascii="Times New Roman" w:hAnsi="Times New Roman"/>
          <w:color w:val="000000" w:themeColor="text1"/>
          <w:sz w:val="16"/>
          <w:szCs w:val="16"/>
        </w:rPr>
        <w:noBreakHyphen/>
        <w:t>литовские паны. Били англо</w:t>
      </w:r>
      <w:r w:rsidRPr="007122AB">
        <w:rPr>
          <w:rFonts w:ascii="Times New Roman" w:hAnsi="Times New Roman"/>
          <w:color w:val="000000" w:themeColor="text1"/>
          <w:sz w:val="16"/>
          <w:szCs w:val="16"/>
        </w:rPr>
        <w:noBreakHyphen/>
        <w:t>французские капиталисты. Били японские бароны. Били все – за отсталость. За отсталость военную, за отсталость культурную, за отсталость государственную, за отсталость промышленную, за отсталость сельскохозяйственную. Били потому, что это было выгодно, доходно и сходило безнаказанно… Таков уж волчий закон эксплуататоров – бить отсталых и слабых. Волчий закон капитализма. Ты отстал, ты слаб, значит, ты неправ, стало быть, тебя можно бить и порабощать. Ты могуч – значит, ты прав, стало быть, тебя надо остерегаться. Вот почему нам нельзя больше отставать… Мы отстали от передовых стран на 50–100 лет. Мы должны пробежать это расстояние в десять лет. Либо мы сделаем это, либо нас сомнут» (12629).</w:t>
      </w:r>
    </w:p>
    <w:p w14:paraId="6C46DA25" w14:textId="77777777" w:rsidR="0084298A" w:rsidRPr="007122AB" w:rsidRDefault="0084298A" w:rsidP="007122AB">
      <w:pPr>
        <w:autoSpaceDE w:val="0"/>
        <w:autoSpaceDN w:val="0"/>
        <w:adjustRightInd w:val="0"/>
        <w:spacing w:after="0" w:line="240" w:lineRule="auto"/>
        <w:jc w:val="both"/>
        <w:rPr>
          <w:rFonts w:ascii="Times New Roman" w:hAnsi="Times New Roman"/>
          <w:color w:val="000000" w:themeColor="text1"/>
          <w:sz w:val="16"/>
          <w:szCs w:val="16"/>
        </w:rPr>
      </w:pPr>
    </w:p>
    <w:p w14:paraId="79644CCC"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февраля 1931 г. И.В. Сталин в своей речи "О задачах хозяйственников" на Первой Всесоюзной конференции работников социалистической промышленности сказал: "Мы отстали от передовых стран на 50–100 лет. Мы должны пробежать это расстояние в десять лет. Либо мы сделаем это, либо нас сомнут.</w:t>
      </w:r>
    </w:p>
    <w:p w14:paraId="17E316F0"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что диктуют нам наши обязательства перед рабочими и крестьянами СССР.</w:t>
      </w:r>
    </w:p>
    <w:p w14:paraId="7DF3AD28"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846CBAD"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Максимум в десять лет мы должны пробежать то расстояние, на которое мы отстали от передовых стран капитализма. Для этого есть у нас все “объективные” возможности. Не хватает только уменья использовать по-настоящему эти возможности. А это зависит от нас. Только от нас!</w:t>
      </w:r>
    </w:p>
    <w:p w14:paraId="1F004DF1"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9BAE2D3"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Говорят, что трудно овладеть техникой. Неверно! Нет таких крепостей, которых большевики не могли бы взять. Мы решили ряд труднейших задач. Мы свергли капитализм. Мы взяли власть. Мы построили крупнейшую социалистическую индустрию. Мы повернули середняка на путь социализма. Самое важное с точки [c.41] зрения строительства мы уже сделали. Нам осталось немного: изучить технику, овладеть наукой. И когда мы сделаем это, у нас пойдут такие темпы, о которых сейчас мы не смеем и мечтать.</w:t>
      </w:r>
    </w:p>
    <w:p w14:paraId="419CB568" w14:textId="77777777" w:rsidR="009A487A" w:rsidRPr="007122AB" w:rsidRDefault="009A48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мы это сделаем, если захотим этого по-настоящему!" “Правда” № 35,5 февраля 1931 г.) (21166).</w:t>
      </w:r>
    </w:p>
    <w:p w14:paraId="33E8412E"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701958DA" w14:textId="77777777" w:rsidR="009A487A" w:rsidRPr="007122AB" w:rsidRDefault="009A487A"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4 февраля 1931 г. на первой Всесоюзной конференции работников соци</w:t>
      </w:r>
      <w:r w:rsidRPr="007122AB">
        <w:rPr>
          <w:rFonts w:ascii="Times New Roman" w:hAnsi="Times New Roman"/>
          <w:color w:val="000000" w:themeColor="text1"/>
          <w:sz w:val="16"/>
          <w:szCs w:val="16"/>
          <w:lang w:eastAsia="ru-RU" w:bidi="ru-RU"/>
        </w:rPr>
        <w:softHyphen/>
        <w:t>алистической промышленности И.В.С. сказал: «Мы от</w:t>
      </w:r>
      <w:r w:rsidRPr="007122AB">
        <w:rPr>
          <w:rFonts w:ascii="Times New Roman" w:hAnsi="Times New Roman"/>
          <w:color w:val="000000" w:themeColor="text1"/>
          <w:sz w:val="16"/>
          <w:szCs w:val="16"/>
          <w:lang w:eastAsia="ru-RU" w:bidi="ru-RU"/>
        </w:rPr>
        <w:softHyphen/>
        <w:t>стали от передовых стран на 50—100 лет. Мы должны про</w:t>
      </w:r>
      <w:r w:rsidRPr="007122AB">
        <w:rPr>
          <w:rFonts w:ascii="Times New Roman" w:hAnsi="Times New Roman"/>
          <w:color w:val="000000" w:themeColor="text1"/>
          <w:sz w:val="16"/>
          <w:szCs w:val="16"/>
          <w:lang w:eastAsia="ru-RU" w:bidi="ru-RU"/>
        </w:rPr>
        <w:softHyphen/>
        <w:t>бежать это расстояние в десять лет. Либо мы сделаем это, либо нас сомнут» (20325).</w:t>
      </w:r>
    </w:p>
    <w:p w14:paraId="1772868E"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1FA0A3AB"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4 февраля 1931 года Сталин выступил на Всесоюзной конференции работников социалистической промышленности. И, воспользовавшись тем, провозгласил новый курс нового правительства, объяснив его предельно просто и ясно, доходчиво для всех: «В истории государств, в истории стран, в истории армий бывали случаи, когда имелись все возможности для успеха, для победы, но они, эти возможности, остались втуне, так как руководители не замечали этих возможностей, не умели воспользоваться ими, и армии терпели поражение…</w:t>
      </w:r>
    </w:p>
    <w:p w14:paraId="70B3A5CB"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Да, такие возможности у нас есть.</w:t>
      </w:r>
    </w:p>
    <w:p w14:paraId="36EC524F"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чем состоят эти возможности, что требуется для того, чтобы эти возможности существовали в реальности?</w:t>
      </w:r>
    </w:p>
    <w:p w14:paraId="231E7A64"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Прежде всего требуются достаточные природные богатства в стране: железная руда, уголь, нефть, хлеб, хлопок.</w:t>
      </w:r>
    </w:p>
    <w:p w14:paraId="634A1210"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Есть ли они у нас? Есть. Есть больше, чем в любой другой стране…</w:t>
      </w:r>
    </w:p>
    <w:p w14:paraId="2BA3D172"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У нас имеется в стране все, кроме разве каучука. Но через год-два и каучук мы будем иметь в своем распоряжении.</w:t>
      </w:r>
    </w:p>
    <w:p w14:paraId="46A6CFE4"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 этой стороны, со стороны природных богатств, мы обеспечены полностью. Их у нас даже больше, чем нужно…</w:t>
      </w:r>
    </w:p>
    <w:p w14:paraId="088230A1"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Иногда спрашивают, нельзя ли несколько замедлить темпы, придержать движение. Нет, нельзя, товарищи! Нельзя снижать темпы! Наоборот, по мере сил и возможностей их надо увеличивать.</w:t>
      </w:r>
    </w:p>
    <w:p w14:paraId="059038F4"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lastRenderedPageBreak/>
        <w:t>Задержать темпы — это значит отстать. А отсталых бьют. Но мы не хотим оказаться битыми. Нет, не хотим!</w:t>
      </w:r>
    </w:p>
    <w:p w14:paraId="08E59F6B"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История старой России состояла, между прочим, в том, что ее непрерывно били за отсталость. Били монгольские ханы. Били турецкие беки. Били шведские феодалы. Били польско-литовские паны. Били англо-французские капиталисты. Били японские бароны. Били все — за отсталость. За отсталость военную, за отсталость культурную, за отсталость государственную, за отсталость промышленную, за отсталость сельскохозяйственную. Били потому, что это было доходно и сходило безнаказанно.</w:t>
      </w:r>
    </w:p>
    <w:p w14:paraId="6C2176E1"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Помните слова дореволюционного поэта: «Ты и убогая, ты и обильная, ты и могучая, ты и бессильная, матушка Русь». Эти слова старого поэта хорошо заучили эти господа. Они били и приговаривали: «Ты обильная» — стало быть, можно на твой счет поживиться. Они били и приговаривали: «Ты убогая, бессильная» — стало быть, можно бить и грабить тебя безнаказанно.</w:t>
      </w:r>
    </w:p>
    <w:p w14:paraId="5ADA799E"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Таков уж закон эксплуататоров — бить отсталых и слабых. Волчий закон капитализма. Ты отстал, ты слаб — значит, ты не прав, стало быть, тебя можно бить и порабощать. Ты могуч — значит, ты прав, стало быть, тебя надо остерегаться.</w:t>
      </w:r>
    </w:p>
    <w:p w14:paraId="0A788130"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Вот почему нельзя нам больше отставать…</w:t>
      </w:r>
    </w:p>
    <w:p w14:paraId="4C00B94C" w14:textId="77777777" w:rsidR="009A487A" w:rsidRPr="007122AB" w:rsidRDefault="009A487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Мы отстали от передовых стран на 50—100 лет. Мы должны пробежать это расстояние в десять лет. Либо мы сделаем это, либо нас сомнут» (20467).</w:t>
      </w:r>
    </w:p>
    <w:p w14:paraId="52D16E8D" w14:textId="77777777" w:rsidR="009A487A" w:rsidRPr="007122AB" w:rsidRDefault="009A487A" w:rsidP="007122AB">
      <w:pPr>
        <w:spacing w:after="0" w:line="240" w:lineRule="auto"/>
        <w:jc w:val="both"/>
        <w:rPr>
          <w:rFonts w:ascii="Times New Roman" w:hAnsi="Times New Roman"/>
          <w:color w:val="000000" w:themeColor="text1"/>
          <w:sz w:val="16"/>
          <w:szCs w:val="16"/>
        </w:rPr>
      </w:pPr>
    </w:p>
    <w:p w14:paraId="752BB40D" w14:textId="77777777" w:rsidR="005E747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8A7453E" w14:textId="77777777" w:rsidR="005E7475" w:rsidRPr="007122AB" w:rsidRDefault="005E747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18325E" w14:textId="77777777" w:rsidR="005E7475" w:rsidRPr="007122AB" w:rsidRDefault="005E747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февраля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25. 9. Проект постановления по докладу ВСНХ о состоянии производств, обслуживающих автотракторную промышленность (ПБ от 25 января 1931 г., пр. № 24, п. 4). 26. О ходе работ на Сталинградском тракторном заводе (ПБ от 10 декабря 1930 г., пр. № 20, п. 4/10). Решения ПБ от 30 января 1931 г. 8/13. О заказах в Италии. 9/14. О запродажах в Западный Китай (</w:t>
      </w:r>
      <w:proofErr w:type="spellStart"/>
      <w:r w:rsidRPr="007122AB">
        <w:rPr>
          <w:rFonts w:ascii="Times New Roman" w:hAnsi="Times New Roman"/>
          <w:color w:val="000000" w:themeColor="text1"/>
          <w:sz w:val="16"/>
          <w:szCs w:val="16"/>
          <w:u w:color="002060"/>
        </w:rPr>
        <w:t>Розенгольц</w:t>
      </w:r>
      <w:proofErr w:type="spellEnd"/>
      <w:r w:rsidRPr="007122AB">
        <w:rPr>
          <w:rFonts w:ascii="Times New Roman" w:hAnsi="Times New Roman"/>
          <w:color w:val="000000" w:themeColor="text1"/>
          <w:sz w:val="16"/>
          <w:szCs w:val="16"/>
          <w:u w:color="002060"/>
        </w:rPr>
        <w:t>, Ворошилов, Карахан) [о предварительных переговорах о поставках изделий военной промышленности]. — ОП. (Политбюро... Т. 2. С. 123, 124) (12416).</w:t>
      </w:r>
    </w:p>
    <w:p w14:paraId="1F5107A2" w14:textId="77777777" w:rsidR="005E7475" w:rsidRPr="007122AB" w:rsidRDefault="005E7475" w:rsidP="007122AB">
      <w:pPr>
        <w:spacing w:after="0" w:line="240" w:lineRule="auto"/>
        <w:jc w:val="both"/>
        <w:rPr>
          <w:rFonts w:ascii="Times New Roman" w:hAnsi="Times New Roman"/>
          <w:color w:val="000000" w:themeColor="text1"/>
          <w:sz w:val="16"/>
          <w:szCs w:val="16"/>
          <w:u w:color="002060"/>
        </w:rPr>
      </w:pPr>
    </w:p>
    <w:p w14:paraId="029E904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5 февраля 1931</w:t>
      </w:r>
      <w:r w:rsidRPr="007122AB">
        <w:rPr>
          <w:rFonts w:ascii="Times New Roman" w:hAnsi="Times New Roman"/>
          <w:color w:val="000000" w:themeColor="text1"/>
          <w:sz w:val="16"/>
          <w:szCs w:val="16"/>
        </w:rPr>
        <w:t xml:space="preserve">Политбюро ЦК ВКП (б) предложило ВСНХ приступить к проектированию </w:t>
      </w:r>
      <w:proofErr w:type="spellStart"/>
      <w:r w:rsidRPr="007122AB">
        <w:rPr>
          <w:rFonts w:ascii="Times New Roman" w:hAnsi="Times New Roman"/>
          <w:color w:val="000000" w:themeColor="text1"/>
          <w:sz w:val="16"/>
          <w:szCs w:val="16"/>
        </w:rPr>
        <w:t>Чирчикского</w:t>
      </w:r>
      <w:proofErr w:type="spellEnd"/>
      <w:r w:rsidRPr="007122AB">
        <w:rPr>
          <w:rFonts w:ascii="Times New Roman" w:hAnsi="Times New Roman"/>
          <w:color w:val="000000" w:themeColor="text1"/>
          <w:sz w:val="16"/>
          <w:szCs w:val="16"/>
        </w:rPr>
        <w:t xml:space="preserve"> азотнотукового комбината (12265).</w:t>
      </w:r>
    </w:p>
    <w:p w14:paraId="1811664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FBD905C" w14:textId="77777777" w:rsidR="00F67992" w:rsidRPr="007122AB" w:rsidRDefault="00F6799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657D058" w14:textId="77777777" w:rsidR="00F67992" w:rsidRPr="007122AB" w:rsidRDefault="00F6799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47B9684" w14:textId="77777777" w:rsidR="00F67992" w:rsidRPr="007122AB" w:rsidRDefault="00F67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6 февраля 1931 г. в Таганрог перегнали летающую лодку</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val="en-US" w:bidi="en-US"/>
        </w:rPr>
        <w:t>S</w:t>
      </w:r>
      <w:r w:rsidRPr="007122AB">
        <w:rPr>
          <w:rFonts w:ascii="Times New Roman" w:hAnsi="Times New Roman"/>
          <w:color w:val="000000" w:themeColor="text1"/>
          <w:sz w:val="16"/>
          <w:szCs w:val="16"/>
          <w:lang w:bidi="en-US"/>
        </w:rPr>
        <w:t>-62</w:t>
      </w:r>
      <w:r w:rsidRPr="007122AB">
        <w:rPr>
          <w:rFonts w:ascii="Times New Roman" w:hAnsi="Times New Roman"/>
          <w:color w:val="000000" w:themeColor="text1"/>
          <w:sz w:val="16"/>
          <w:szCs w:val="16"/>
          <w:lang w:val="en-US" w:bidi="en-US"/>
        </w:rPr>
        <w:t>bis</w:t>
      </w:r>
      <w:r w:rsidRPr="007122AB">
        <w:rPr>
          <w:rFonts w:ascii="Times New Roman" w:hAnsi="Times New Roman"/>
          <w:color w:val="000000" w:themeColor="text1"/>
          <w:sz w:val="16"/>
          <w:szCs w:val="16"/>
          <w:lang w:eastAsia="ru-RU" w:bidi="ru-RU"/>
        </w:rPr>
        <w:t>, закуплен</w:t>
      </w:r>
      <w:r w:rsidRPr="007122AB">
        <w:rPr>
          <w:rFonts w:ascii="Times New Roman" w:hAnsi="Times New Roman"/>
          <w:color w:val="000000" w:themeColor="text1"/>
          <w:sz w:val="16"/>
          <w:szCs w:val="16"/>
          <w:lang w:eastAsia="ru-RU" w:bidi="ru-RU"/>
        </w:rPr>
        <w:softHyphen/>
        <w:t xml:space="preserve">ную в качестве образца и </w:t>
      </w:r>
      <w:proofErr w:type="spellStart"/>
      <w:r w:rsidRPr="007122AB">
        <w:rPr>
          <w:rFonts w:ascii="Times New Roman" w:hAnsi="Times New Roman"/>
          <w:color w:val="000000" w:themeColor="text1"/>
          <w:sz w:val="16"/>
          <w:szCs w:val="16"/>
          <w:lang w:eastAsia="ru-RU" w:bidi="ru-RU"/>
        </w:rPr>
        <w:t>испытывавшуюся</w:t>
      </w:r>
      <w:proofErr w:type="spellEnd"/>
      <w:r w:rsidRPr="007122AB">
        <w:rPr>
          <w:rFonts w:ascii="Times New Roman" w:hAnsi="Times New Roman"/>
          <w:color w:val="000000" w:themeColor="text1"/>
          <w:sz w:val="16"/>
          <w:szCs w:val="16"/>
          <w:lang w:eastAsia="ru-RU" w:bidi="ru-RU"/>
        </w:rPr>
        <w:t xml:space="preserve"> ранее в Сева</w:t>
      </w:r>
      <w:r w:rsidRPr="007122AB">
        <w:rPr>
          <w:rFonts w:ascii="Times New Roman" w:hAnsi="Times New Roman"/>
          <w:color w:val="000000" w:themeColor="text1"/>
          <w:sz w:val="16"/>
          <w:szCs w:val="16"/>
          <w:lang w:eastAsia="ru-RU" w:bidi="ru-RU"/>
        </w:rPr>
        <w:softHyphen/>
        <w:t>стополе. На год заводу выдали план на 80 лодок.</w:t>
      </w:r>
    </w:p>
    <w:p w14:paraId="6449FF6C" w14:textId="77777777" w:rsidR="00F67992" w:rsidRPr="007122AB" w:rsidRDefault="00F67992" w:rsidP="007122AB">
      <w:pPr>
        <w:spacing w:after="0" w:line="240" w:lineRule="auto"/>
        <w:jc w:val="both"/>
        <w:rPr>
          <w:rFonts w:ascii="Times New Roman" w:hAnsi="Times New Roman"/>
          <w:color w:val="000000" w:themeColor="text1"/>
          <w:sz w:val="16"/>
          <w:szCs w:val="16"/>
          <w:lang w:eastAsia="ru-RU" w:bidi="ru-RU"/>
        </w:rPr>
      </w:pPr>
    </w:p>
    <w:p w14:paraId="05D8B84A" w14:textId="77777777" w:rsidR="00F67992" w:rsidRPr="007122AB" w:rsidRDefault="00F67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февраля 1931 г. в Таганрог передали как образец самолет С-62Б, испытывавшийся ранее в Севастополе. На год предприятию выдали план на 80 лодок. Поскольку чертежи из Италии задерживались (РГВА. Ф. 29. Оп. 76. Д. 927. Отчеты опытных головных серийных и летных испытаний самолета С-62 и переписке с УСС ВВС о поставке самолетов из Италии. Л. 43.), директор предприятия был вынужден приказать обмерить образцовую машину, снять с нее чертежи и по ним запустить в производство установочную серию из пяти самолетов. К апрелю их уже начали собирать. Однако постройка серии лодок без нормального комплекта документации испытывала серьезные трудности. Завод обратился в трест с просьбой уменьшить план до 30 самолетов, а пять первых считать опытными (это позволяло существенно отклоняться от требований к серийным машинам). Руководство главка согласилось, зато на следующий 1932 г. от предприятия потребовали уже 110 лодок, причем первые 50 должны были оснащаться импортными моторами Ассо 750, 10–20 следующих – новыми отечественными М-27 (максимальной мощностью 830 л.с.), а все остальные – М-34 (800 л.с.)353 . Машины с М-27 предназначались для гражданской авиации, с М-34 – для ВВС (21410).</w:t>
      </w:r>
    </w:p>
    <w:p w14:paraId="6622B17E" w14:textId="77777777" w:rsidR="00F67992" w:rsidRPr="007122AB" w:rsidRDefault="00F67992" w:rsidP="007122AB">
      <w:pPr>
        <w:spacing w:after="0" w:line="240" w:lineRule="auto"/>
        <w:jc w:val="both"/>
        <w:rPr>
          <w:rFonts w:ascii="Times New Roman" w:hAnsi="Times New Roman"/>
          <w:color w:val="000000" w:themeColor="text1"/>
          <w:sz w:val="16"/>
          <w:szCs w:val="16"/>
        </w:rPr>
      </w:pPr>
    </w:p>
    <w:p w14:paraId="6E8EA3DD" w14:textId="77777777" w:rsidR="0084298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1314AD8" w14:textId="77777777" w:rsidR="0084298A" w:rsidRPr="007122AB" w:rsidRDefault="0084298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114086"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5"/>
          <w:rFonts w:ascii="Times New Roman" w:eastAsia="Arial Unicode MS" w:hAnsi="Times New Roman" w:cs="Times New Roman"/>
          <w:i w:val="0"/>
          <w:iCs w:val="0"/>
          <w:color w:val="000000" w:themeColor="text1"/>
          <w:sz w:val="16"/>
          <w:szCs w:val="16"/>
        </w:rPr>
        <w:t>6 февраля 1931 г. со склада №37 в Испытательную группу прибыл второй образец – 12-тонного Виккерса - танк №230 (№2). Основное внимание в ходе пробегов уделялось ведомым дискам сцепления.</w:t>
      </w:r>
      <w:r w:rsidRPr="007122AB">
        <w:rPr>
          <w:rFonts w:ascii="Times New Roman" w:hAnsi="Times New Roman" w:cs="Times New Roman"/>
          <w:i w:val="0"/>
          <w:color w:val="000000" w:themeColor="text1"/>
          <w:sz w:val="16"/>
          <w:szCs w:val="16"/>
        </w:rPr>
        <w:t xml:space="preserve"> «...После ремонта при пробеге танка в движении были поломаны шпильки пружин сцепления управле</w:t>
      </w:r>
      <w:r w:rsidRPr="007122AB">
        <w:rPr>
          <w:rFonts w:ascii="Times New Roman" w:hAnsi="Times New Roman" w:cs="Times New Roman"/>
          <w:i w:val="0"/>
          <w:color w:val="000000" w:themeColor="text1"/>
          <w:sz w:val="16"/>
          <w:szCs w:val="16"/>
        </w:rPr>
        <w:softHyphen/>
        <w:t>ния РАКГАМ. Разобранное сцепление оказалось с поломанными ведо</w:t>
      </w:r>
      <w:r w:rsidRPr="007122AB">
        <w:rPr>
          <w:rFonts w:ascii="Times New Roman" w:hAnsi="Times New Roman" w:cs="Times New Roman"/>
          <w:i w:val="0"/>
          <w:color w:val="000000" w:themeColor="text1"/>
          <w:sz w:val="16"/>
          <w:szCs w:val="16"/>
        </w:rPr>
        <w:softHyphen/>
        <w:t>мыми стальными дисками. Диски были заменены отдельными сегмен</w:t>
      </w:r>
      <w:r w:rsidRPr="007122AB">
        <w:rPr>
          <w:rFonts w:ascii="Times New Roman" w:hAnsi="Times New Roman" w:cs="Times New Roman"/>
          <w:i w:val="0"/>
          <w:color w:val="000000" w:themeColor="text1"/>
          <w:sz w:val="16"/>
          <w:szCs w:val="16"/>
        </w:rPr>
        <w:softHyphen/>
        <w:t>тами, и сцепление в таком виде работало до окончания испытаний».</w:t>
      </w:r>
    </w:p>
    <w:p w14:paraId="2FE5187E" w14:textId="77777777" w:rsidR="0084298A" w:rsidRPr="007122AB" w:rsidRDefault="0084298A" w:rsidP="007122AB">
      <w:pPr>
        <w:pStyle w:val="a3"/>
        <w:rPr>
          <w:color w:val="000000" w:themeColor="text1"/>
          <w:lang w:val="ru-RU"/>
        </w:rPr>
      </w:pPr>
      <w:r w:rsidRPr="007122AB">
        <w:rPr>
          <w:color w:val="000000" w:themeColor="text1"/>
          <w:lang w:val="ru-RU"/>
        </w:rPr>
        <w:t>Парадоксально, но даже с таким дефектом сцепление танка функци</w:t>
      </w:r>
      <w:r w:rsidRPr="007122AB">
        <w:rPr>
          <w:color w:val="000000" w:themeColor="text1"/>
          <w:lang w:val="ru-RU"/>
        </w:rPr>
        <w:softHyphen/>
        <w:t>онировало нормально. Весьма интересная информация об этом приве</w:t>
      </w:r>
      <w:r w:rsidRPr="007122AB">
        <w:rPr>
          <w:color w:val="000000" w:themeColor="text1"/>
          <w:lang w:val="ru-RU"/>
        </w:rPr>
        <w:softHyphen/>
        <w:t>дена в отчетах майора Одди:</w:t>
      </w:r>
    </w:p>
    <w:p w14:paraId="02E95C04"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«Каждый из дисков сцепления... был разломан на несколько частей, все трещины приходились к месту, где диск прорезан, и в добавление к этому у каждого прореза, который еще не был сломан, была отчетливо видимая трещина. Фактически все диски были или сломаны, или у про</w:t>
      </w:r>
      <w:r w:rsidRPr="007122AB">
        <w:rPr>
          <w:rFonts w:ascii="Times New Roman" w:hAnsi="Times New Roman" w:cs="Times New Roman"/>
          <w:i w:val="0"/>
          <w:color w:val="000000" w:themeColor="text1"/>
          <w:sz w:val="16"/>
          <w:szCs w:val="16"/>
        </w:rPr>
        <w:softHyphen/>
        <w:t>резов имелись трещины.</w:t>
      </w:r>
    </w:p>
    <w:p w14:paraId="4D7BA872"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Все поломки</w:t>
      </w:r>
      <w:r w:rsidRPr="007122AB">
        <w:rPr>
          <w:rStyle w:val="1013"/>
          <w:rFonts w:ascii="Times New Roman" w:eastAsia="Arial Unicode MS" w:hAnsi="Times New Roman" w:cs="Times New Roman"/>
          <w:b w:val="0"/>
          <w:iCs/>
          <w:color w:val="000000" w:themeColor="text1"/>
          <w:sz w:val="16"/>
          <w:szCs w:val="16"/>
        </w:rPr>
        <w:t xml:space="preserve"> были</w:t>
      </w:r>
      <w:r w:rsidRPr="007122AB">
        <w:rPr>
          <w:rFonts w:ascii="Times New Roman" w:hAnsi="Times New Roman" w:cs="Times New Roman"/>
          <w:i w:val="0"/>
          <w:color w:val="000000" w:themeColor="text1"/>
          <w:sz w:val="16"/>
          <w:szCs w:val="16"/>
        </w:rPr>
        <w:t xml:space="preserve"> давнишними, ни одна из трещин не оказалась не</w:t>
      </w:r>
      <w:r w:rsidRPr="007122AB">
        <w:rPr>
          <w:rFonts w:ascii="Times New Roman" w:hAnsi="Times New Roman" w:cs="Times New Roman"/>
          <w:i w:val="0"/>
          <w:color w:val="000000" w:themeColor="text1"/>
          <w:sz w:val="16"/>
          <w:szCs w:val="16"/>
        </w:rPr>
        <w:softHyphen/>
        <w:t>давней.</w:t>
      </w:r>
    </w:p>
    <w:p w14:paraId="1BF9F097"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Я исследовал</w:t>
      </w:r>
      <w:r w:rsidRPr="007122AB">
        <w:rPr>
          <w:rStyle w:val="1013"/>
          <w:rFonts w:ascii="Times New Roman" w:eastAsia="Arial Unicode MS" w:hAnsi="Times New Roman" w:cs="Times New Roman"/>
          <w:b w:val="0"/>
          <w:iCs/>
          <w:color w:val="000000" w:themeColor="text1"/>
          <w:sz w:val="16"/>
          <w:szCs w:val="16"/>
        </w:rPr>
        <w:t xml:space="preserve"> левое</w:t>
      </w:r>
      <w:r w:rsidRPr="007122AB">
        <w:rPr>
          <w:rFonts w:ascii="Times New Roman" w:hAnsi="Times New Roman" w:cs="Times New Roman"/>
          <w:i w:val="0"/>
          <w:color w:val="000000" w:themeColor="text1"/>
          <w:sz w:val="16"/>
          <w:szCs w:val="16"/>
        </w:rPr>
        <w:t xml:space="preserve"> сцепление, но оно оказалось в порядке.</w:t>
      </w:r>
    </w:p>
    <w:p w14:paraId="5E8F8CCC"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Я объяснил</w:t>
      </w:r>
      <w:r w:rsidRPr="007122AB">
        <w:rPr>
          <w:rStyle w:val="1013"/>
          <w:rFonts w:ascii="Times New Roman" w:eastAsia="Arial Unicode MS" w:hAnsi="Times New Roman" w:cs="Times New Roman"/>
          <w:b w:val="0"/>
          <w:iCs/>
          <w:color w:val="000000" w:themeColor="text1"/>
          <w:sz w:val="16"/>
          <w:szCs w:val="16"/>
        </w:rPr>
        <w:t xml:space="preserve"> русской</w:t>
      </w:r>
      <w:r w:rsidRPr="007122AB">
        <w:rPr>
          <w:rFonts w:ascii="Times New Roman" w:hAnsi="Times New Roman" w:cs="Times New Roman"/>
          <w:i w:val="0"/>
          <w:color w:val="000000" w:themeColor="text1"/>
          <w:sz w:val="16"/>
          <w:szCs w:val="16"/>
        </w:rPr>
        <w:t xml:space="preserve"> комиссии, что я не знал причины вышеуказан</w:t>
      </w:r>
      <w:r w:rsidRPr="007122AB">
        <w:rPr>
          <w:rFonts w:ascii="Times New Roman" w:hAnsi="Times New Roman" w:cs="Times New Roman"/>
          <w:i w:val="0"/>
          <w:color w:val="000000" w:themeColor="text1"/>
          <w:sz w:val="16"/>
          <w:szCs w:val="16"/>
        </w:rPr>
        <w:softHyphen/>
        <w:t>ного, так как в</w:t>
      </w:r>
      <w:r w:rsidRPr="007122AB">
        <w:rPr>
          <w:rStyle w:val="1013"/>
          <w:rFonts w:ascii="Times New Roman" w:eastAsia="Arial Unicode MS" w:hAnsi="Times New Roman" w:cs="Times New Roman"/>
          <w:b w:val="0"/>
          <w:iCs/>
          <w:color w:val="000000" w:themeColor="text1"/>
          <w:sz w:val="16"/>
          <w:szCs w:val="16"/>
        </w:rPr>
        <w:t xml:space="preserve"> нашей практике</w:t>
      </w:r>
      <w:r w:rsidRPr="007122AB">
        <w:rPr>
          <w:rFonts w:ascii="Times New Roman" w:hAnsi="Times New Roman" w:cs="Times New Roman"/>
          <w:i w:val="0"/>
          <w:color w:val="000000" w:themeColor="text1"/>
          <w:sz w:val="16"/>
          <w:szCs w:val="16"/>
        </w:rPr>
        <w:t xml:space="preserve"> этого раньше не было.</w:t>
      </w:r>
    </w:p>
    <w:p w14:paraId="441953F0"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Я объяснил</w:t>
      </w:r>
      <w:r w:rsidRPr="007122AB">
        <w:rPr>
          <w:rStyle w:val="1013"/>
          <w:rFonts w:ascii="Times New Roman" w:eastAsia="Arial Unicode MS" w:hAnsi="Times New Roman" w:cs="Times New Roman"/>
          <w:b w:val="0"/>
          <w:iCs/>
          <w:color w:val="000000" w:themeColor="text1"/>
          <w:sz w:val="16"/>
          <w:szCs w:val="16"/>
        </w:rPr>
        <w:t xml:space="preserve"> русской комиссии,</w:t>
      </w:r>
      <w:r w:rsidRPr="007122AB">
        <w:rPr>
          <w:rFonts w:ascii="Times New Roman" w:hAnsi="Times New Roman" w:cs="Times New Roman"/>
          <w:i w:val="0"/>
          <w:color w:val="000000" w:themeColor="text1"/>
          <w:sz w:val="16"/>
          <w:szCs w:val="16"/>
        </w:rPr>
        <w:t xml:space="preserve"> что не является необходимым снятие ведущих дисков</w:t>
      </w:r>
      <w:r w:rsidRPr="007122AB">
        <w:rPr>
          <w:rStyle w:val="1013"/>
          <w:rFonts w:ascii="Times New Roman" w:eastAsia="Arial Unicode MS" w:hAnsi="Times New Roman" w:cs="Times New Roman"/>
          <w:b w:val="0"/>
          <w:iCs/>
          <w:color w:val="000000" w:themeColor="text1"/>
          <w:sz w:val="16"/>
          <w:szCs w:val="16"/>
        </w:rPr>
        <w:t xml:space="preserve"> сцеплении, когда</w:t>
      </w:r>
      <w:r w:rsidRPr="007122AB">
        <w:rPr>
          <w:rFonts w:ascii="Times New Roman" w:hAnsi="Times New Roman" w:cs="Times New Roman"/>
          <w:i w:val="0"/>
          <w:color w:val="000000" w:themeColor="text1"/>
          <w:sz w:val="16"/>
          <w:szCs w:val="16"/>
        </w:rPr>
        <w:t xml:space="preserve"> они поломаны, т.к. эти диски будут ра</w:t>
      </w:r>
      <w:r w:rsidRPr="007122AB">
        <w:rPr>
          <w:rFonts w:ascii="Times New Roman" w:hAnsi="Times New Roman" w:cs="Times New Roman"/>
          <w:i w:val="0"/>
          <w:color w:val="000000" w:themeColor="text1"/>
          <w:sz w:val="16"/>
          <w:szCs w:val="16"/>
        </w:rPr>
        <w:softHyphen/>
        <w:t>ботать</w:t>
      </w:r>
      <w:r w:rsidRPr="007122AB">
        <w:rPr>
          <w:rStyle w:val="1012"/>
          <w:rFonts w:ascii="Times New Roman" w:eastAsia="Arial Unicode MS" w:hAnsi="Times New Roman" w:cs="Times New Roman"/>
          <w:b w:val="0"/>
          <w:i w:val="0"/>
          <w:iCs w:val="0"/>
          <w:color w:val="000000" w:themeColor="text1"/>
          <w:sz w:val="16"/>
          <w:szCs w:val="16"/>
        </w:rPr>
        <w:t xml:space="preserve"> удовлетворительно даже</w:t>
      </w:r>
      <w:r w:rsidRPr="007122AB">
        <w:rPr>
          <w:rStyle w:val="1013"/>
          <w:rFonts w:ascii="Times New Roman" w:eastAsia="Arial Unicode MS" w:hAnsi="Times New Roman" w:cs="Times New Roman"/>
          <w:b w:val="0"/>
          <w:iCs/>
          <w:color w:val="000000" w:themeColor="text1"/>
          <w:sz w:val="16"/>
          <w:szCs w:val="16"/>
        </w:rPr>
        <w:t xml:space="preserve"> и</w:t>
      </w:r>
      <w:r w:rsidRPr="007122AB">
        <w:rPr>
          <w:rFonts w:ascii="Times New Roman" w:hAnsi="Times New Roman" w:cs="Times New Roman"/>
          <w:i w:val="0"/>
          <w:color w:val="000000" w:themeColor="text1"/>
          <w:sz w:val="16"/>
          <w:szCs w:val="16"/>
        </w:rPr>
        <w:t xml:space="preserve"> тогда, когда они сломаны (расколоты) на части или</w:t>
      </w:r>
      <w:r w:rsidRPr="007122AB">
        <w:rPr>
          <w:rStyle w:val="1013"/>
          <w:rFonts w:ascii="Times New Roman" w:eastAsia="Arial Unicode MS" w:hAnsi="Times New Roman" w:cs="Times New Roman"/>
          <w:b w:val="0"/>
          <w:iCs/>
          <w:color w:val="000000" w:themeColor="text1"/>
          <w:sz w:val="16"/>
          <w:szCs w:val="16"/>
        </w:rPr>
        <w:t xml:space="preserve"> сегменты,</w:t>
      </w:r>
      <w:r w:rsidRPr="007122AB">
        <w:rPr>
          <w:rStyle w:val="10MicrosoftSansSerif2"/>
          <w:rFonts w:ascii="Times New Roman" w:eastAsia="Arial Unicode MS" w:hAnsi="Times New Roman" w:cs="Times New Roman"/>
          <w:b w:val="0"/>
          <w:iCs/>
          <w:color w:val="000000" w:themeColor="text1"/>
          <w:sz w:val="16"/>
          <w:szCs w:val="16"/>
        </w:rPr>
        <w:t xml:space="preserve"> при</w:t>
      </w:r>
      <w:r w:rsidRPr="007122AB">
        <w:rPr>
          <w:rStyle w:val="1013"/>
          <w:rFonts w:ascii="Times New Roman" w:eastAsia="Arial Unicode MS" w:hAnsi="Times New Roman" w:cs="Times New Roman"/>
          <w:b w:val="0"/>
          <w:iCs/>
          <w:color w:val="000000" w:themeColor="text1"/>
          <w:sz w:val="16"/>
          <w:szCs w:val="16"/>
        </w:rPr>
        <w:t xml:space="preserve"> условии,</w:t>
      </w:r>
      <w:r w:rsidRPr="007122AB">
        <w:rPr>
          <w:rFonts w:ascii="Times New Roman" w:hAnsi="Times New Roman" w:cs="Times New Roman"/>
          <w:i w:val="0"/>
          <w:color w:val="000000" w:themeColor="text1"/>
          <w:sz w:val="16"/>
          <w:szCs w:val="16"/>
        </w:rPr>
        <w:t xml:space="preserve"> что каждый сегмент изготовлен, </w:t>
      </w:r>
      <w:proofErr w:type="spellStart"/>
      <w:r w:rsidRPr="007122AB">
        <w:rPr>
          <w:rFonts w:ascii="Times New Roman" w:hAnsi="Times New Roman" w:cs="Times New Roman"/>
          <w:i w:val="0"/>
          <w:color w:val="000000" w:themeColor="text1"/>
          <w:sz w:val="16"/>
          <w:szCs w:val="16"/>
        </w:rPr>
        <w:t>какуказано</w:t>
      </w:r>
      <w:proofErr w:type="spellEnd"/>
      <w:r w:rsidRPr="007122AB">
        <w:rPr>
          <w:rFonts w:ascii="Times New Roman" w:hAnsi="Times New Roman" w:cs="Times New Roman"/>
          <w:i w:val="0"/>
          <w:color w:val="000000" w:themeColor="text1"/>
          <w:sz w:val="16"/>
          <w:szCs w:val="16"/>
        </w:rPr>
        <w:t xml:space="preserve"> ниже,</w:t>
      </w:r>
      <w:r w:rsidRPr="007122AB">
        <w:rPr>
          <w:rStyle w:val="1013"/>
          <w:rFonts w:ascii="Times New Roman" w:eastAsia="Arial Unicode MS" w:hAnsi="Times New Roman" w:cs="Times New Roman"/>
          <w:b w:val="0"/>
          <w:iCs/>
          <w:color w:val="000000" w:themeColor="text1"/>
          <w:sz w:val="16"/>
          <w:szCs w:val="16"/>
        </w:rPr>
        <w:t xml:space="preserve"> раньше, чем производить</w:t>
      </w:r>
      <w:r w:rsidRPr="007122AB">
        <w:rPr>
          <w:rFonts w:ascii="Times New Roman" w:hAnsi="Times New Roman" w:cs="Times New Roman"/>
          <w:i w:val="0"/>
          <w:color w:val="000000" w:themeColor="text1"/>
          <w:sz w:val="16"/>
          <w:szCs w:val="16"/>
        </w:rPr>
        <w:t xml:space="preserve"> сборку сцепления.</w:t>
      </w:r>
    </w:p>
    <w:p w14:paraId="1AB5F242" w14:textId="77777777" w:rsidR="0084298A" w:rsidRPr="007122AB" w:rsidRDefault="0084298A" w:rsidP="007122AB">
      <w:pPr>
        <w:pStyle w:val="1340"/>
        <w:shd w:val="clear" w:color="auto" w:fill="auto"/>
        <w:tabs>
          <w:tab w:val="left" w:pos="495"/>
        </w:tabs>
        <w:spacing w:line="240" w:lineRule="auto"/>
        <w:ind w:firstLine="0"/>
        <w:rPr>
          <w:rFonts w:ascii="Times New Roman" w:hAnsi="Times New Roman" w:cs="Times New Roman"/>
          <w:i w:val="0"/>
          <w:color w:val="000000" w:themeColor="text1"/>
          <w:sz w:val="16"/>
          <w:szCs w:val="16"/>
        </w:rPr>
      </w:pPr>
      <w:bookmarkStart w:id="7" w:name="bookmark40"/>
      <w:r w:rsidRPr="007122AB">
        <w:rPr>
          <w:rFonts w:ascii="Times New Roman" w:hAnsi="Times New Roman" w:cs="Times New Roman"/>
          <w:i w:val="0"/>
          <w:color w:val="000000" w:themeColor="text1"/>
          <w:sz w:val="16"/>
          <w:szCs w:val="16"/>
        </w:rPr>
        <w:t>1. Каждый</w:t>
      </w:r>
      <w:r w:rsidRPr="007122AB">
        <w:rPr>
          <w:rStyle w:val="1341"/>
          <w:rFonts w:ascii="Times New Roman" w:hAnsi="Times New Roman" w:cs="Times New Roman"/>
          <w:b w:val="0"/>
          <w:iCs/>
          <w:color w:val="000000" w:themeColor="text1"/>
          <w:sz w:val="16"/>
          <w:szCs w:val="16"/>
        </w:rPr>
        <w:t xml:space="preserve"> сегмент</w:t>
      </w:r>
      <w:r w:rsidRPr="007122AB">
        <w:rPr>
          <w:rStyle w:val="134FranklinGothicBook"/>
          <w:rFonts w:ascii="Times New Roman" w:hAnsi="Times New Roman" w:cs="Times New Roman"/>
          <w:b w:val="0"/>
          <w:iCs/>
          <w:color w:val="000000" w:themeColor="text1"/>
          <w:spacing w:val="0"/>
          <w:sz w:val="16"/>
          <w:szCs w:val="16"/>
        </w:rPr>
        <w:t xml:space="preserve"> должен</w:t>
      </w:r>
      <w:r w:rsidRPr="007122AB">
        <w:rPr>
          <w:rStyle w:val="1341"/>
          <w:rFonts w:ascii="Times New Roman" w:hAnsi="Times New Roman" w:cs="Times New Roman"/>
          <w:b w:val="0"/>
          <w:iCs/>
          <w:color w:val="000000" w:themeColor="text1"/>
          <w:sz w:val="16"/>
          <w:szCs w:val="16"/>
        </w:rPr>
        <w:t xml:space="preserve"> быть</w:t>
      </w:r>
      <w:r w:rsidRPr="007122AB">
        <w:rPr>
          <w:rFonts w:ascii="Times New Roman" w:hAnsi="Times New Roman" w:cs="Times New Roman"/>
          <w:i w:val="0"/>
          <w:color w:val="000000" w:themeColor="text1"/>
          <w:sz w:val="16"/>
          <w:szCs w:val="16"/>
        </w:rPr>
        <w:t xml:space="preserve"> слегка укорочен, с тем чтобы пре</w:t>
      </w:r>
      <w:r w:rsidRPr="007122AB">
        <w:rPr>
          <w:rFonts w:ascii="Times New Roman" w:hAnsi="Times New Roman" w:cs="Times New Roman"/>
          <w:i w:val="0"/>
          <w:color w:val="000000" w:themeColor="text1"/>
          <w:sz w:val="16"/>
          <w:szCs w:val="16"/>
        </w:rPr>
        <w:softHyphen/>
        <w:t>дотвратить</w:t>
      </w:r>
      <w:r w:rsidRPr="007122AB">
        <w:rPr>
          <w:rStyle w:val="1341"/>
          <w:rFonts w:ascii="Times New Roman" w:hAnsi="Times New Roman" w:cs="Times New Roman"/>
          <w:b w:val="0"/>
          <w:iCs/>
          <w:color w:val="000000" w:themeColor="text1"/>
          <w:sz w:val="16"/>
          <w:szCs w:val="16"/>
        </w:rPr>
        <w:t xml:space="preserve"> </w:t>
      </w:r>
      <w:proofErr w:type="spellStart"/>
      <w:r w:rsidRPr="007122AB">
        <w:rPr>
          <w:rStyle w:val="1341"/>
          <w:rFonts w:ascii="Times New Roman" w:hAnsi="Times New Roman" w:cs="Times New Roman"/>
          <w:b w:val="0"/>
          <w:iCs/>
          <w:color w:val="000000" w:themeColor="text1"/>
          <w:sz w:val="16"/>
          <w:szCs w:val="16"/>
        </w:rPr>
        <w:t>наползания</w:t>
      </w:r>
      <w:proofErr w:type="spellEnd"/>
      <w:r w:rsidRPr="007122AB">
        <w:rPr>
          <w:rStyle w:val="134FranklinGothicBook"/>
          <w:rFonts w:ascii="Times New Roman" w:hAnsi="Times New Roman" w:cs="Times New Roman"/>
          <w:b w:val="0"/>
          <w:iCs/>
          <w:color w:val="000000" w:themeColor="text1"/>
          <w:spacing w:val="0"/>
          <w:sz w:val="16"/>
          <w:szCs w:val="16"/>
        </w:rPr>
        <w:t xml:space="preserve"> друг </w:t>
      </w:r>
      <w:proofErr w:type="spellStart"/>
      <w:r w:rsidRPr="007122AB">
        <w:rPr>
          <w:rStyle w:val="134FranklinGothicBook"/>
          <w:rFonts w:ascii="Times New Roman" w:hAnsi="Times New Roman" w:cs="Times New Roman"/>
          <w:b w:val="0"/>
          <w:iCs/>
          <w:color w:val="000000" w:themeColor="text1"/>
          <w:spacing w:val="0"/>
          <w:sz w:val="16"/>
          <w:szCs w:val="16"/>
        </w:rPr>
        <w:t>иа</w:t>
      </w:r>
      <w:proofErr w:type="spellEnd"/>
      <w:r w:rsidRPr="007122AB">
        <w:rPr>
          <w:rStyle w:val="134FranklinGothicBook"/>
          <w:rFonts w:ascii="Times New Roman" w:hAnsi="Times New Roman" w:cs="Times New Roman"/>
          <w:b w:val="0"/>
          <w:iCs/>
          <w:color w:val="000000" w:themeColor="text1"/>
          <w:spacing w:val="0"/>
          <w:sz w:val="16"/>
          <w:szCs w:val="16"/>
        </w:rPr>
        <w:t xml:space="preserve"> друга.</w:t>
      </w:r>
      <w:bookmarkEnd w:id="7"/>
    </w:p>
    <w:p w14:paraId="511BA02C" w14:textId="77777777" w:rsidR="0084298A" w:rsidRPr="007122AB" w:rsidRDefault="0084298A" w:rsidP="007122AB">
      <w:pPr>
        <w:pStyle w:val="1340"/>
        <w:shd w:val="clear" w:color="auto" w:fill="auto"/>
        <w:tabs>
          <w:tab w:val="left" w:pos="500"/>
        </w:tabs>
        <w:spacing w:line="240" w:lineRule="auto"/>
        <w:ind w:firstLine="0"/>
        <w:rPr>
          <w:rFonts w:ascii="Times New Roman" w:hAnsi="Times New Roman" w:cs="Times New Roman"/>
          <w:i w:val="0"/>
          <w:color w:val="000000" w:themeColor="text1"/>
          <w:sz w:val="16"/>
          <w:szCs w:val="16"/>
        </w:rPr>
      </w:pPr>
      <w:bookmarkStart w:id="8" w:name="bookmark41"/>
      <w:r w:rsidRPr="007122AB">
        <w:rPr>
          <w:rFonts w:ascii="Times New Roman" w:hAnsi="Times New Roman" w:cs="Times New Roman"/>
          <w:i w:val="0"/>
          <w:color w:val="000000" w:themeColor="text1"/>
          <w:sz w:val="16"/>
          <w:szCs w:val="16"/>
        </w:rPr>
        <w:t>2. Острые</w:t>
      </w:r>
      <w:r w:rsidRPr="007122AB">
        <w:rPr>
          <w:rStyle w:val="1341"/>
          <w:rFonts w:ascii="Times New Roman" w:hAnsi="Times New Roman" w:cs="Times New Roman"/>
          <w:b w:val="0"/>
          <w:iCs/>
          <w:color w:val="000000" w:themeColor="text1"/>
          <w:sz w:val="16"/>
          <w:szCs w:val="16"/>
        </w:rPr>
        <w:t xml:space="preserve"> края</w:t>
      </w:r>
      <w:r w:rsidRPr="007122AB">
        <w:rPr>
          <w:rStyle w:val="134MicrosoftSansSerif"/>
          <w:rFonts w:ascii="Times New Roman" w:hAnsi="Times New Roman" w:cs="Times New Roman"/>
          <w:b w:val="0"/>
          <w:iCs/>
          <w:color w:val="000000" w:themeColor="text1"/>
          <w:sz w:val="16"/>
          <w:szCs w:val="16"/>
        </w:rPr>
        <w:t xml:space="preserve"> каждого сегмента</w:t>
      </w:r>
      <w:r w:rsidRPr="007122AB">
        <w:rPr>
          <w:rFonts w:ascii="Times New Roman" w:hAnsi="Times New Roman" w:cs="Times New Roman"/>
          <w:i w:val="0"/>
          <w:color w:val="000000" w:themeColor="text1"/>
          <w:sz w:val="16"/>
          <w:szCs w:val="16"/>
        </w:rPr>
        <w:t xml:space="preserve"> должны быть сняты с двух сто</w:t>
      </w:r>
      <w:r w:rsidRPr="007122AB">
        <w:rPr>
          <w:rFonts w:ascii="Times New Roman" w:hAnsi="Times New Roman" w:cs="Times New Roman"/>
          <w:i w:val="0"/>
          <w:color w:val="000000" w:themeColor="text1"/>
          <w:sz w:val="16"/>
          <w:szCs w:val="16"/>
        </w:rPr>
        <w:softHyphen/>
        <w:t>рон, чтобы</w:t>
      </w:r>
      <w:r w:rsidRPr="007122AB">
        <w:rPr>
          <w:rStyle w:val="1341"/>
          <w:rFonts w:ascii="Times New Roman" w:hAnsi="Times New Roman" w:cs="Times New Roman"/>
          <w:b w:val="0"/>
          <w:iCs/>
          <w:color w:val="000000" w:themeColor="text1"/>
          <w:sz w:val="16"/>
          <w:szCs w:val="16"/>
        </w:rPr>
        <w:t xml:space="preserve"> предохранил</w:t>
      </w:r>
      <w:r w:rsidRPr="007122AB">
        <w:rPr>
          <w:rStyle w:val="1342"/>
          <w:rFonts w:ascii="Times New Roman" w:hAnsi="Times New Roman" w:cs="Times New Roman"/>
          <w:i w:val="0"/>
          <w:iCs w:val="0"/>
          <w:color w:val="000000" w:themeColor="text1"/>
          <w:sz w:val="16"/>
          <w:szCs w:val="16"/>
        </w:rPr>
        <w:t xml:space="preserve"> </w:t>
      </w:r>
      <w:proofErr w:type="spellStart"/>
      <w:r w:rsidRPr="007122AB">
        <w:rPr>
          <w:rStyle w:val="1342"/>
          <w:rFonts w:ascii="Times New Roman" w:hAnsi="Times New Roman" w:cs="Times New Roman"/>
          <w:i w:val="0"/>
          <w:iCs w:val="0"/>
          <w:color w:val="000000" w:themeColor="text1"/>
          <w:sz w:val="16"/>
          <w:szCs w:val="16"/>
        </w:rPr>
        <w:t>црггвдгу</w:t>
      </w:r>
      <w:proofErr w:type="spellEnd"/>
      <w:r w:rsidRPr="007122AB">
        <w:rPr>
          <w:rStyle w:val="1341"/>
          <w:rFonts w:ascii="Times New Roman" w:hAnsi="Times New Roman" w:cs="Times New Roman"/>
          <w:b w:val="0"/>
          <w:iCs/>
          <w:color w:val="000000" w:themeColor="text1"/>
          <w:sz w:val="16"/>
          <w:szCs w:val="16"/>
        </w:rPr>
        <w:t xml:space="preserve"> на</w:t>
      </w:r>
      <w:r w:rsidRPr="007122AB">
        <w:rPr>
          <w:rFonts w:ascii="Times New Roman" w:hAnsi="Times New Roman" w:cs="Times New Roman"/>
          <w:i w:val="0"/>
          <w:color w:val="000000" w:themeColor="text1"/>
          <w:sz w:val="16"/>
          <w:szCs w:val="16"/>
        </w:rPr>
        <w:t xml:space="preserve"> ведущих дисках от порезов и разрыва.</w:t>
      </w:r>
      <w:bookmarkEnd w:id="8"/>
    </w:p>
    <w:p w14:paraId="2BDC9BCA"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3. Оба угла каждого сегмента должны быть закруглены по радиусу (по внутреннему диаметру или радиусу), чтобы предохранить от поре</w:t>
      </w:r>
      <w:r w:rsidRPr="007122AB">
        <w:rPr>
          <w:rFonts w:ascii="Times New Roman" w:hAnsi="Times New Roman" w:cs="Times New Roman"/>
          <w:i w:val="0"/>
          <w:color w:val="000000" w:themeColor="text1"/>
          <w:sz w:val="16"/>
          <w:szCs w:val="16"/>
        </w:rPr>
        <w:softHyphen/>
        <w:t>зов барабан сцепления во всякое время (внутренний).</w:t>
      </w:r>
    </w:p>
    <w:p w14:paraId="49516C20"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Относительно вышеуказанного я объяснил, что хотя ведущие диски сцепления были сломаны, сцепление очевидно работало хорошо, а все вышеуказанные диски были сломаны некоторое время тому назад и ма</w:t>
      </w:r>
      <w:r w:rsidRPr="007122AB">
        <w:rPr>
          <w:rFonts w:ascii="Times New Roman" w:hAnsi="Times New Roman" w:cs="Times New Roman"/>
          <w:i w:val="0"/>
          <w:color w:val="000000" w:themeColor="text1"/>
          <w:sz w:val="16"/>
          <w:szCs w:val="16"/>
        </w:rPr>
        <w:softHyphen/>
        <w:t>шина с тех пор проделала значительную работу.</w:t>
      </w:r>
    </w:p>
    <w:p w14:paraId="53ADD600"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Я осмотрел сцепление на первом </w:t>
      </w:r>
      <w:proofErr w:type="spellStart"/>
      <w:r w:rsidRPr="007122AB">
        <w:rPr>
          <w:rFonts w:ascii="Times New Roman" w:hAnsi="Times New Roman" w:cs="Times New Roman"/>
          <w:i w:val="0"/>
          <w:color w:val="000000" w:themeColor="text1"/>
          <w:sz w:val="16"/>
          <w:szCs w:val="16"/>
        </w:rPr>
        <w:t>двенадцатитонном</w:t>
      </w:r>
      <w:proofErr w:type="spellEnd"/>
      <w:r w:rsidRPr="007122AB">
        <w:rPr>
          <w:rFonts w:ascii="Times New Roman" w:hAnsi="Times New Roman" w:cs="Times New Roman"/>
          <w:i w:val="0"/>
          <w:color w:val="000000" w:themeColor="text1"/>
          <w:sz w:val="16"/>
          <w:szCs w:val="16"/>
        </w:rPr>
        <w:t xml:space="preserve"> танке, и было обнаружено, что хотя два ведомых диска сцепления были сломаны на части (на сегменты)... сцепление не причинило недоразумения и рабо</w:t>
      </w:r>
      <w:r w:rsidRPr="007122AB">
        <w:rPr>
          <w:rFonts w:ascii="Times New Roman" w:hAnsi="Times New Roman" w:cs="Times New Roman"/>
          <w:i w:val="0"/>
          <w:color w:val="000000" w:themeColor="text1"/>
          <w:sz w:val="16"/>
          <w:szCs w:val="16"/>
        </w:rPr>
        <w:softHyphen/>
        <w:t>тало удовлетворительно.</w:t>
      </w:r>
    </w:p>
    <w:p w14:paraId="4EF797B0"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Эти диски также были сломаны уже значительное время и все же они не предоставили каких-либо затруднений».</w:t>
      </w:r>
    </w:p>
    <w:p w14:paraId="0B83250A" w14:textId="77777777" w:rsidR="0084298A" w:rsidRPr="007122AB" w:rsidRDefault="0084298A" w:rsidP="007122AB">
      <w:pPr>
        <w:pStyle w:val="a3"/>
        <w:rPr>
          <w:color w:val="000000" w:themeColor="text1"/>
          <w:lang w:val="ru-RU"/>
        </w:rPr>
      </w:pPr>
      <w:r w:rsidRPr="007122AB">
        <w:rPr>
          <w:color w:val="000000" w:themeColor="text1"/>
          <w:lang w:val="ru-RU"/>
        </w:rPr>
        <w:t>Вновь обратимся к отчетам майора:</w:t>
      </w:r>
    </w:p>
    <w:p w14:paraId="4130ABE7"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«Второй 12-ти тонный танк проделал пробег в 502 км</w:t>
      </w:r>
      <w:r w:rsidRPr="007122AB">
        <w:rPr>
          <w:rStyle w:val="1013"/>
          <w:rFonts w:ascii="Times New Roman" w:eastAsia="Arial Unicode MS" w:hAnsi="Times New Roman" w:cs="Times New Roman"/>
          <w:b w:val="0"/>
          <w:iCs/>
          <w:color w:val="000000" w:themeColor="text1"/>
          <w:sz w:val="16"/>
          <w:szCs w:val="16"/>
        </w:rPr>
        <w:t xml:space="preserve"> (314</w:t>
      </w:r>
      <w:r w:rsidRPr="007122AB">
        <w:rPr>
          <w:rFonts w:ascii="Times New Roman" w:hAnsi="Times New Roman" w:cs="Times New Roman"/>
          <w:i w:val="0"/>
          <w:color w:val="000000" w:themeColor="text1"/>
          <w:sz w:val="16"/>
          <w:szCs w:val="16"/>
        </w:rPr>
        <w:t xml:space="preserve"> миль)</w:t>
      </w:r>
      <w:r w:rsidRPr="007122AB">
        <w:rPr>
          <w:rStyle w:val="1013"/>
          <w:rFonts w:ascii="Times New Roman" w:eastAsia="Arial Unicode MS" w:hAnsi="Times New Roman" w:cs="Times New Roman"/>
          <w:b w:val="0"/>
          <w:iCs/>
          <w:color w:val="000000" w:themeColor="text1"/>
          <w:sz w:val="16"/>
          <w:szCs w:val="16"/>
        </w:rPr>
        <w:t xml:space="preserve"> с </w:t>
      </w:r>
      <w:r w:rsidRPr="007122AB">
        <w:rPr>
          <w:rFonts w:ascii="Times New Roman" w:hAnsi="Times New Roman" w:cs="Times New Roman"/>
          <w:i w:val="0"/>
          <w:color w:val="000000" w:themeColor="text1"/>
          <w:sz w:val="16"/>
          <w:szCs w:val="16"/>
        </w:rPr>
        <w:t xml:space="preserve">ведомыми дисками, в одном сцеплении </w:t>
      </w:r>
      <w:proofErr w:type="spellStart"/>
      <w:r w:rsidRPr="007122AB">
        <w:rPr>
          <w:rFonts w:ascii="Times New Roman" w:hAnsi="Times New Roman" w:cs="Times New Roman"/>
          <w:i w:val="0"/>
          <w:color w:val="000000" w:themeColor="text1"/>
          <w:sz w:val="16"/>
          <w:szCs w:val="16"/>
        </w:rPr>
        <w:t>Ракгама</w:t>
      </w:r>
      <w:proofErr w:type="spellEnd"/>
      <w:r w:rsidRPr="007122AB">
        <w:rPr>
          <w:rFonts w:ascii="Times New Roman" w:hAnsi="Times New Roman" w:cs="Times New Roman"/>
          <w:i w:val="0"/>
          <w:color w:val="000000" w:themeColor="text1"/>
          <w:sz w:val="16"/>
          <w:szCs w:val="16"/>
        </w:rPr>
        <w:t>, разделенными на шесть сегментов каждый.</w:t>
      </w:r>
    </w:p>
    <w:p w14:paraId="033F8A66"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Первый 12-ти тонный танк проделал пробег в 212</w:t>
      </w:r>
      <w:r w:rsidRPr="007122AB">
        <w:rPr>
          <w:rStyle w:val="1013"/>
          <w:rFonts w:ascii="Times New Roman" w:eastAsia="Arial Unicode MS" w:hAnsi="Times New Roman" w:cs="Times New Roman"/>
          <w:b w:val="0"/>
          <w:iCs/>
          <w:color w:val="000000" w:themeColor="text1"/>
          <w:sz w:val="16"/>
          <w:szCs w:val="16"/>
        </w:rPr>
        <w:t xml:space="preserve"> километров </w:t>
      </w:r>
      <w:r w:rsidRPr="007122AB">
        <w:rPr>
          <w:rFonts w:ascii="Times New Roman" w:hAnsi="Times New Roman" w:cs="Times New Roman"/>
          <w:i w:val="0"/>
          <w:color w:val="000000" w:themeColor="text1"/>
          <w:sz w:val="16"/>
          <w:szCs w:val="16"/>
        </w:rPr>
        <w:t>(134 мили) с 7 из ведомых дисков, разделенными на шесть</w:t>
      </w:r>
      <w:r w:rsidRPr="007122AB">
        <w:rPr>
          <w:rStyle w:val="1013"/>
          <w:rFonts w:ascii="Times New Roman" w:eastAsia="Arial Unicode MS" w:hAnsi="Times New Roman" w:cs="Times New Roman"/>
          <w:b w:val="0"/>
          <w:iCs/>
          <w:color w:val="000000" w:themeColor="text1"/>
          <w:sz w:val="16"/>
          <w:szCs w:val="16"/>
        </w:rPr>
        <w:t xml:space="preserve"> сегментов </w:t>
      </w:r>
      <w:r w:rsidRPr="007122AB">
        <w:rPr>
          <w:rFonts w:ascii="Times New Roman" w:hAnsi="Times New Roman" w:cs="Times New Roman"/>
          <w:i w:val="0"/>
          <w:color w:val="000000" w:themeColor="text1"/>
          <w:sz w:val="16"/>
          <w:szCs w:val="16"/>
        </w:rPr>
        <w:t>каждый.</w:t>
      </w:r>
    </w:p>
    <w:p w14:paraId="37AD177D"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Ни одна из машин не дала каких-либо затруднений в</w:t>
      </w:r>
      <w:r w:rsidRPr="007122AB">
        <w:rPr>
          <w:rStyle w:val="1013"/>
          <w:rFonts w:ascii="Times New Roman" w:eastAsia="Arial Unicode MS" w:hAnsi="Times New Roman" w:cs="Times New Roman"/>
          <w:b w:val="0"/>
          <w:iCs/>
          <w:color w:val="000000" w:themeColor="text1"/>
          <w:sz w:val="16"/>
          <w:szCs w:val="16"/>
        </w:rPr>
        <w:t xml:space="preserve"> этом отно</w:t>
      </w:r>
      <w:r w:rsidRPr="007122AB">
        <w:rPr>
          <w:rStyle w:val="1013"/>
          <w:rFonts w:ascii="Times New Roman" w:eastAsia="Arial Unicode MS" w:hAnsi="Times New Roman" w:cs="Times New Roman"/>
          <w:b w:val="0"/>
          <w:iCs/>
          <w:color w:val="000000" w:themeColor="text1"/>
          <w:sz w:val="16"/>
          <w:szCs w:val="16"/>
        </w:rPr>
        <w:softHyphen/>
      </w:r>
      <w:r w:rsidRPr="007122AB">
        <w:rPr>
          <w:rFonts w:ascii="Times New Roman" w:hAnsi="Times New Roman" w:cs="Times New Roman"/>
          <w:i w:val="0"/>
          <w:color w:val="000000" w:themeColor="text1"/>
          <w:sz w:val="16"/>
          <w:szCs w:val="16"/>
        </w:rPr>
        <w:t>шении, хотя большинство из этого пробега было произведено</w:t>
      </w:r>
      <w:r w:rsidRPr="007122AB">
        <w:rPr>
          <w:rStyle w:val="1013"/>
          <w:rFonts w:ascii="Times New Roman" w:eastAsia="Arial Unicode MS" w:hAnsi="Times New Roman" w:cs="Times New Roman"/>
          <w:b w:val="0"/>
          <w:iCs/>
          <w:color w:val="000000" w:themeColor="text1"/>
          <w:sz w:val="16"/>
          <w:szCs w:val="16"/>
        </w:rPr>
        <w:t xml:space="preserve"> на пе</w:t>
      </w:r>
      <w:r w:rsidRPr="007122AB">
        <w:rPr>
          <w:rStyle w:val="1013"/>
          <w:rFonts w:ascii="Times New Roman" w:eastAsia="Arial Unicode MS" w:hAnsi="Times New Roman" w:cs="Times New Roman"/>
          <w:b w:val="0"/>
          <w:iCs/>
          <w:color w:val="000000" w:themeColor="text1"/>
          <w:sz w:val="16"/>
          <w:szCs w:val="16"/>
        </w:rPr>
        <w:softHyphen/>
      </w:r>
      <w:r w:rsidRPr="007122AB">
        <w:rPr>
          <w:rFonts w:ascii="Times New Roman" w:hAnsi="Times New Roman" w:cs="Times New Roman"/>
          <w:i w:val="0"/>
          <w:color w:val="000000" w:themeColor="text1"/>
          <w:sz w:val="16"/>
          <w:szCs w:val="16"/>
        </w:rPr>
        <w:t>ресеченной местности, что вызывало необходимость более</w:t>
      </w:r>
      <w:r w:rsidRPr="007122AB">
        <w:rPr>
          <w:rStyle w:val="1013"/>
          <w:rFonts w:ascii="Times New Roman" w:eastAsia="Arial Unicode MS" w:hAnsi="Times New Roman" w:cs="Times New Roman"/>
          <w:b w:val="0"/>
          <w:iCs/>
          <w:color w:val="000000" w:themeColor="text1"/>
          <w:sz w:val="16"/>
          <w:szCs w:val="16"/>
        </w:rPr>
        <w:t xml:space="preserve"> частого</w:t>
      </w:r>
      <w:r w:rsidRPr="007122AB">
        <w:rPr>
          <w:rStyle w:val="1012"/>
          <w:rFonts w:ascii="Times New Roman" w:eastAsia="Arial Unicode MS" w:hAnsi="Times New Roman" w:cs="Times New Roman"/>
          <w:b w:val="0"/>
          <w:i w:val="0"/>
          <w:iCs w:val="0"/>
          <w:color w:val="000000" w:themeColor="text1"/>
          <w:sz w:val="16"/>
          <w:szCs w:val="16"/>
        </w:rPr>
        <w:t xml:space="preserve"> и </w:t>
      </w:r>
      <w:r w:rsidRPr="007122AB">
        <w:rPr>
          <w:rFonts w:ascii="Times New Roman" w:hAnsi="Times New Roman" w:cs="Times New Roman"/>
          <w:i w:val="0"/>
          <w:color w:val="000000" w:themeColor="text1"/>
          <w:sz w:val="16"/>
          <w:szCs w:val="16"/>
        </w:rPr>
        <w:t xml:space="preserve">усиленного употребления управления сцепления </w:t>
      </w:r>
      <w:proofErr w:type="spellStart"/>
      <w:r w:rsidRPr="007122AB">
        <w:rPr>
          <w:rFonts w:ascii="Times New Roman" w:hAnsi="Times New Roman" w:cs="Times New Roman"/>
          <w:i w:val="0"/>
          <w:color w:val="000000" w:themeColor="text1"/>
          <w:sz w:val="16"/>
          <w:szCs w:val="16"/>
        </w:rPr>
        <w:t>Ракгама</w:t>
      </w:r>
      <w:proofErr w:type="spellEnd"/>
      <w:r w:rsidRPr="007122AB">
        <w:rPr>
          <w:rFonts w:ascii="Times New Roman" w:hAnsi="Times New Roman" w:cs="Times New Roman"/>
          <w:i w:val="0"/>
          <w:color w:val="000000" w:themeColor="text1"/>
          <w:sz w:val="16"/>
          <w:szCs w:val="16"/>
        </w:rPr>
        <w:t>,</w:t>
      </w:r>
      <w:r w:rsidRPr="007122AB">
        <w:rPr>
          <w:rStyle w:val="1013"/>
          <w:rFonts w:ascii="Times New Roman" w:eastAsia="Arial Unicode MS" w:hAnsi="Times New Roman" w:cs="Times New Roman"/>
          <w:b w:val="0"/>
          <w:iCs/>
          <w:color w:val="000000" w:themeColor="text1"/>
          <w:sz w:val="16"/>
          <w:szCs w:val="16"/>
        </w:rPr>
        <w:t xml:space="preserve"> чем</w:t>
      </w:r>
      <w:r w:rsidRPr="007122AB">
        <w:rPr>
          <w:rStyle w:val="1012"/>
          <w:rFonts w:ascii="Times New Roman" w:eastAsia="Arial Unicode MS" w:hAnsi="Times New Roman" w:cs="Times New Roman"/>
          <w:b w:val="0"/>
          <w:i w:val="0"/>
          <w:iCs w:val="0"/>
          <w:color w:val="000000" w:themeColor="text1"/>
          <w:sz w:val="16"/>
          <w:szCs w:val="16"/>
        </w:rPr>
        <w:t xml:space="preserve"> этого </w:t>
      </w:r>
      <w:r w:rsidRPr="007122AB">
        <w:rPr>
          <w:rFonts w:ascii="Times New Roman" w:hAnsi="Times New Roman" w:cs="Times New Roman"/>
          <w:i w:val="0"/>
          <w:color w:val="000000" w:themeColor="text1"/>
          <w:sz w:val="16"/>
          <w:szCs w:val="16"/>
        </w:rPr>
        <w:t>требует пробег по дороге.</w:t>
      </w:r>
    </w:p>
    <w:p w14:paraId="066AE53E"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Русская комиссия соглашается, что если какой-либо из</w:t>
      </w:r>
      <w:r w:rsidRPr="007122AB">
        <w:rPr>
          <w:rStyle w:val="1013"/>
          <w:rFonts w:ascii="Times New Roman" w:eastAsia="Arial Unicode MS" w:hAnsi="Times New Roman" w:cs="Times New Roman"/>
          <w:b w:val="0"/>
          <w:iCs/>
          <w:color w:val="000000" w:themeColor="text1"/>
          <w:sz w:val="16"/>
          <w:szCs w:val="16"/>
        </w:rPr>
        <w:t xml:space="preserve"> ведомых ди</w:t>
      </w:r>
      <w:r w:rsidRPr="007122AB">
        <w:rPr>
          <w:rStyle w:val="1013"/>
          <w:rFonts w:ascii="Times New Roman" w:eastAsia="Arial Unicode MS" w:hAnsi="Times New Roman" w:cs="Times New Roman"/>
          <w:b w:val="0"/>
          <w:iCs/>
          <w:color w:val="000000" w:themeColor="text1"/>
          <w:sz w:val="16"/>
          <w:szCs w:val="16"/>
        </w:rPr>
        <w:softHyphen/>
      </w:r>
      <w:r w:rsidRPr="007122AB">
        <w:rPr>
          <w:rFonts w:ascii="Times New Roman" w:hAnsi="Times New Roman" w:cs="Times New Roman"/>
          <w:i w:val="0"/>
          <w:color w:val="000000" w:themeColor="text1"/>
          <w:sz w:val="16"/>
          <w:szCs w:val="16"/>
        </w:rPr>
        <w:t>сков сцепления будет найден поломанным или сломается</w:t>
      </w:r>
      <w:r w:rsidRPr="007122AB">
        <w:rPr>
          <w:rStyle w:val="1013"/>
          <w:rFonts w:ascii="Times New Roman" w:eastAsia="Arial Unicode MS" w:hAnsi="Times New Roman" w:cs="Times New Roman"/>
          <w:b w:val="0"/>
          <w:iCs/>
          <w:color w:val="000000" w:themeColor="text1"/>
          <w:sz w:val="16"/>
          <w:szCs w:val="16"/>
        </w:rPr>
        <w:t xml:space="preserve"> на любом из </w:t>
      </w:r>
      <w:r w:rsidRPr="007122AB">
        <w:rPr>
          <w:rFonts w:ascii="Times New Roman" w:hAnsi="Times New Roman" w:cs="Times New Roman"/>
          <w:i w:val="0"/>
          <w:color w:val="000000" w:themeColor="text1"/>
          <w:sz w:val="16"/>
          <w:szCs w:val="16"/>
        </w:rPr>
        <w:t>дальнейших 12 тонных танках, то они пересоберут эти</w:t>
      </w:r>
      <w:r w:rsidRPr="007122AB">
        <w:rPr>
          <w:rStyle w:val="1013"/>
          <w:rFonts w:ascii="Times New Roman" w:eastAsia="Arial Unicode MS" w:hAnsi="Times New Roman" w:cs="Times New Roman"/>
          <w:b w:val="0"/>
          <w:iCs/>
          <w:color w:val="000000" w:themeColor="text1"/>
          <w:sz w:val="16"/>
          <w:szCs w:val="16"/>
        </w:rPr>
        <w:t xml:space="preserve"> сломанные</w:t>
      </w:r>
      <w:r w:rsidRPr="007122AB">
        <w:rPr>
          <w:rStyle w:val="1012"/>
          <w:rFonts w:ascii="Times New Roman" w:eastAsia="Arial Unicode MS" w:hAnsi="Times New Roman" w:cs="Times New Roman"/>
          <w:b w:val="0"/>
          <w:i w:val="0"/>
          <w:iCs w:val="0"/>
          <w:color w:val="000000" w:themeColor="text1"/>
          <w:sz w:val="16"/>
          <w:szCs w:val="16"/>
        </w:rPr>
        <w:t xml:space="preserve"> ведо</w:t>
      </w:r>
      <w:r w:rsidRPr="007122AB">
        <w:rPr>
          <w:rStyle w:val="1012"/>
          <w:rFonts w:ascii="Times New Roman" w:eastAsia="Arial Unicode MS" w:hAnsi="Times New Roman" w:cs="Times New Roman"/>
          <w:b w:val="0"/>
          <w:i w:val="0"/>
          <w:iCs w:val="0"/>
          <w:color w:val="000000" w:themeColor="text1"/>
          <w:sz w:val="16"/>
          <w:szCs w:val="16"/>
        </w:rPr>
        <w:softHyphen/>
        <w:t>мые</w:t>
      </w:r>
      <w:r w:rsidRPr="007122AB">
        <w:rPr>
          <w:rFonts w:ascii="Times New Roman" w:hAnsi="Times New Roman" w:cs="Times New Roman"/>
          <w:i w:val="0"/>
          <w:color w:val="000000" w:themeColor="text1"/>
          <w:sz w:val="16"/>
          <w:szCs w:val="16"/>
        </w:rPr>
        <w:t xml:space="preserve"> диски сцепления ...на шесть сегментов.</w:t>
      </w:r>
    </w:p>
    <w:p w14:paraId="4DE922EF"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5"/>
          <w:rFonts w:ascii="Times New Roman" w:eastAsia="Arial Unicode MS" w:hAnsi="Times New Roman" w:cs="Times New Roman"/>
          <w:i w:val="0"/>
          <w:iCs w:val="0"/>
          <w:color w:val="000000" w:themeColor="text1"/>
          <w:sz w:val="16"/>
          <w:szCs w:val="16"/>
        </w:rPr>
        <w:t>Сцепление</w:t>
      </w:r>
      <w:r w:rsidRPr="007122AB">
        <w:rPr>
          <w:rFonts w:ascii="Times New Roman" w:hAnsi="Times New Roman" w:cs="Times New Roman"/>
          <w:i w:val="0"/>
          <w:color w:val="000000" w:themeColor="text1"/>
          <w:sz w:val="16"/>
          <w:szCs w:val="16"/>
        </w:rPr>
        <w:t xml:space="preserve"> РАКГАМА (с дисками, разделенными на</w:t>
      </w:r>
      <w:r w:rsidRPr="007122AB">
        <w:rPr>
          <w:rStyle w:val="1013"/>
          <w:rFonts w:ascii="Times New Roman" w:eastAsia="Arial Unicode MS" w:hAnsi="Times New Roman" w:cs="Times New Roman"/>
          <w:b w:val="0"/>
          <w:iCs/>
          <w:color w:val="000000" w:themeColor="text1"/>
          <w:sz w:val="16"/>
          <w:szCs w:val="16"/>
        </w:rPr>
        <w:t xml:space="preserve"> шесть сегмен</w:t>
      </w:r>
      <w:r w:rsidRPr="007122AB">
        <w:rPr>
          <w:rFonts w:ascii="Times New Roman" w:hAnsi="Times New Roman" w:cs="Times New Roman"/>
          <w:i w:val="0"/>
          <w:color w:val="000000" w:themeColor="text1"/>
          <w:sz w:val="16"/>
          <w:szCs w:val="16"/>
        </w:rPr>
        <w:t>тов) на 2-м 12-ти тонном танке было снято и осмотрено</w:t>
      </w:r>
      <w:r w:rsidRPr="007122AB">
        <w:rPr>
          <w:rStyle w:val="1013"/>
          <w:rFonts w:ascii="Times New Roman" w:eastAsia="Arial Unicode MS" w:hAnsi="Times New Roman" w:cs="Times New Roman"/>
          <w:b w:val="0"/>
          <w:iCs/>
          <w:color w:val="000000" w:themeColor="text1"/>
          <w:sz w:val="16"/>
          <w:szCs w:val="16"/>
        </w:rPr>
        <w:t xml:space="preserve"> после </w:t>
      </w:r>
      <w:r w:rsidRPr="007122AB">
        <w:rPr>
          <w:rFonts w:ascii="Times New Roman" w:hAnsi="Times New Roman" w:cs="Times New Roman"/>
          <w:i w:val="0"/>
          <w:color w:val="000000" w:themeColor="text1"/>
          <w:sz w:val="16"/>
          <w:szCs w:val="16"/>
        </w:rPr>
        <w:t>были закончены испытания и как ведомые диски</w:t>
      </w:r>
      <w:r w:rsidRPr="007122AB">
        <w:rPr>
          <w:rStyle w:val="1013"/>
          <w:rFonts w:ascii="Times New Roman" w:eastAsia="Arial Unicode MS" w:hAnsi="Times New Roman" w:cs="Times New Roman"/>
          <w:b w:val="0"/>
          <w:iCs/>
          <w:color w:val="000000" w:themeColor="text1"/>
          <w:sz w:val="16"/>
          <w:szCs w:val="16"/>
        </w:rPr>
        <w:t xml:space="preserve"> сцепления (с проклад</w:t>
      </w:r>
      <w:r w:rsidRPr="007122AB">
        <w:rPr>
          <w:rFonts w:ascii="Times New Roman" w:hAnsi="Times New Roman" w:cs="Times New Roman"/>
          <w:i w:val="0"/>
          <w:color w:val="000000" w:themeColor="text1"/>
          <w:sz w:val="16"/>
          <w:szCs w:val="16"/>
        </w:rPr>
        <w:t xml:space="preserve">кой </w:t>
      </w:r>
      <w:proofErr w:type="spellStart"/>
      <w:r w:rsidRPr="007122AB">
        <w:rPr>
          <w:rFonts w:ascii="Times New Roman" w:hAnsi="Times New Roman" w:cs="Times New Roman"/>
          <w:i w:val="0"/>
          <w:color w:val="000000" w:themeColor="text1"/>
          <w:sz w:val="16"/>
          <w:szCs w:val="16"/>
        </w:rPr>
        <w:t>ферродо</w:t>
      </w:r>
      <w:proofErr w:type="spellEnd"/>
      <w:r w:rsidRPr="007122AB">
        <w:rPr>
          <w:rFonts w:ascii="Times New Roman" w:hAnsi="Times New Roman" w:cs="Times New Roman"/>
          <w:i w:val="0"/>
          <w:color w:val="000000" w:themeColor="text1"/>
          <w:sz w:val="16"/>
          <w:szCs w:val="16"/>
        </w:rPr>
        <w:t>), так и ведущие диски сцепления (в</w:t>
      </w:r>
      <w:r w:rsidRPr="007122AB">
        <w:rPr>
          <w:rStyle w:val="1013"/>
          <w:rFonts w:ascii="Times New Roman" w:eastAsia="Arial Unicode MS" w:hAnsi="Times New Roman" w:cs="Times New Roman"/>
          <w:b w:val="0"/>
          <w:iCs/>
          <w:color w:val="000000" w:themeColor="text1"/>
          <w:sz w:val="16"/>
          <w:szCs w:val="16"/>
        </w:rPr>
        <w:t xml:space="preserve"> шести </w:t>
      </w:r>
      <w:proofErr w:type="spellStart"/>
      <w:r w:rsidRPr="007122AB">
        <w:rPr>
          <w:rStyle w:val="1013"/>
          <w:rFonts w:ascii="Times New Roman" w:eastAsia="Arial Unicode MS" w:hAnsi="Times New Roman" w:cs="Times New Roman"/>
          <w:b w:val="0"/>
          <w:iCs/>
          <w:color w:val="000000" w:themeColor="text1"/>
          <w:sz w:val="16"/>
          <w:szCs w:val="16"/>
        </w:rPr>
        <w:t>кегментах</w:t>
      </w:r>
      <w:proofErr w:type="spellEnd"/>
      <w:r w:rsidRPr="007122AB">
        <w:rPr>
          <w:rStyle w:val="1013"/>
          <w:rFonts w:ascii="Times New Roman" w:eastAsia="Arial Unicode MS" w:hAnsi="Times New Roman" w:cs="Times New Roman"/>
          <w:b w:val="0"/>
          <w:iCs/>
          <w:color w:val="000000" w:themeColor="text1"/>
          <w:sz w:val="16"/>
          <w:szCs w:val="16"/>
        </w:rPr>
        <w:t xml:space="preserve"> каж</w:t>
      </w:r>
      <w:r w:rsidRPr="007122AB">
        <w:rPr>
          <w:rFonts w:ascii="Times New Roman" w:hAnsi="Times New Roman" w:cs="Times New Roman"/>
          <w:i w:val="0"/>
          <w:color w:val="000000" w:themeColor="text1"/>
          <w:sz w:val="16"/>
          <w:szCs w:val="16"/>
        </w:rPr>
        <w:t>дый) были найдены в прекрасном состоянии.</w:t>
      </w:r>
    </w:p>
    <w:p w14:paraId="03EE197F" w14:textId="77777777" w:rsidR="0084298A" w:rsidRPr="007122AB" w:rsidRDefault="0084298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Я объяснил русской комиссии, что нет </w:t>
      </w:r>
      <w:proofErr w:type="spellStart"/>
      <w:r w:rsidRPr="007122AB">
        <w:rPr>
          <w:rFonts w:ascii="Times New Roman" w:hAnsi="Times New Roman" w:cs="Times New Roman"/>
          <w:i w:val="0"/>
          <w:color w:val="000000" w:themeColor="text1"/>
          <w:sz w:val="16"/>
          <w:szCs w:val="16"/>
        </w:rPr>
        <w:t>причинц</w:t>
      </w:r>
      <w:proofErr w:type="spellEnd"/>
      <w:r w:rsidRPr="007122AB">
        <w:rPr>
          <w:rFonts w:ascii="Times New Roman" w:hAnsi="Times New Roman" w:cs="Times New Roman"/>
          <w:i w:val="0"/>
          <w:color w:val="000000" w:themeColor="text1"/>
          <w:sz w:val="16"/>
          <w:szCs w:val="16"/>
        </w:rPr>
        <w:t xml:space="preserve"> ~ </w:t>
      </w:r>
      <w:proofErr w:type="spellStart"/>
      <w:r w:rsidRPr="007122AB">
        <w:rPr>
          <w:rFonts w:ascii="Times New Roman" w:hAnsi="Times New Roman" w:cs="Times New Roman"/>
          <w:i w:val="0"/>
          <w:color w:val="000000" w:themeColor="text1"/>
          <w:sz w:val="16"/>
          <w:szCs w:val="16"/>
        </w:rPr>
        <w:t>мые</w:t>
      </w:r>
      <w:proofErr w:type="spellEnd"/>
      <w:r w:rsidRPr="007122AB">
        <w:rPr>
          <w:rFonts w:ascii="Times New Roman" w:hAnsi="Times New Roman" w:cs="Times New Roman"/>
          <w:i w:val="0"/>
          <w:color w:val="000000" w:themeColor="text1"/>
          <w:sz w:val="16"/>
          <w:szCs w:val="16"/>
        </w:rPr>
        <w:t xml:space="preserve"> диски сцепления не должны быть разделены щ при первой сборке сцепления в Англии, и что</w:t>
      </w:r>
      <w:r w:rsidRPr="007122AB">
        <w:rPr>
          <w:rStyle w:val="10MicrosoftSansSerif2"/>
          <w:rFonts w:ascii="Times New Roman" w:eastAsia="Arial Unicode MS" w:hAnsi="Times New Roman" w:cs="Times New Roman"/>
          <w:b w:val="0"/>
          <w:iCs/>
          <w:color w:val="000000" w:themeColor="text1"/>
          <w:sz w:val="16"/>
          <w:szCs w:val="16"/>
        </w:rPr>
        <w:t xml:space="preserve"> я</w:t>
      </w:r>
      <w:r w:rsidRPr="007122AB">
        <w:rPr>
          <w:rFonts w:ascii="Times New Roman" w:hAnsi="Times New Roman" w:cs="Times New Roman"/>
          <w:i w:val="0"/>
          <w:color w:val="000000" w:themeColor="text1"/>
          <w:sz w:val="16"/>
          <w:szCs w:val="16"/>
        </w:rPr>
        <w:t xml:space="preserve"> г внимание, когда приеду в Англию».</w:t>
      </w:r>
    </w:p>
    <w:p w14:paraId="6054DB7A" w14:textId="77777777" w:rsidR="0084298A" w:rsidRPr="007122AB" w:rsidRDefault="0084298A" w:rsidP="007122AB">
      <w:pPr>
        <w:pStyle w:val="a3"/>
        <w:rPr>
          <w:color w:val="000000" w:themeColor="text1"/>
          <w:lang w:val="ru-RU"/>
        </w:rPr>
      </w:pPr>
      <w:r w:rsidRPr="007122AB">
        <w:rPr>
          <w:color w:val="000000" w:themeColor="text1"/>
          <w:lang w:val="ru-RU"/>
        </w:rPr>
        <w:t>Фирма «Виккерс Армстронг» обязалась внедрить такую конструкцию ведомых дисков сцепления на оставшихся танках (15745).</w:t>
      </w:r>
    </w:p>
    <w:p w14:paraId="3274B5F5" w14:textId="77777777" w:rsidR="0084298A" w:rsidRPr="007122AB" w:rsidRDefault="0084298A" w:rsidP="007122AB">
      <w:pPr>
        <w:pStyle w:val="1a"/>
        <w:shd w:val="clear" w:color="auto" w:fill="auto"/>
        <w:spacing w:line="240" w:lineRule="auto"/>
        <w:ind w:firstLine="0"/>
        <w:jc w:val="both"/>
        <w:rPr>
          <w:rFonts w:ascii="Times New Roman" w:hAnsi="Times New Roman" w:cs="Times New Roman"/>
          <w:b w:val="0"/>
          <w:color w:val="000000" w:themeColor="text1"/>
          <w:sz w:val="16"/>
          <w:szCs w:val="16"/>
        </w:rPr>
      </w:pPr>
    </w:p>
    <w:p w14:paraId="42753B4A" w14:textId="77777777" w:rsidR="007510B4" w:rsidRPr="007122AB" w:rsidRDefault="007510B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6706412" w14:textId="77777777" w:rsidR="007510B4" w:rsidRPr="007122AB" w:rsidRDefault="007510B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BBC661"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6 и 12 февраля 1931. Из протокола заседания Политбюро № 26, 1931 г.</w:t>
      </w:r>
    </w:p>
    <w:p w14:paraId="7EB647C8"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Беломорском канале </w:t>
      </w:r>
    </w:p>
    <w:p w14:paraId="31ECCDFA"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Утвердить план постройки Беломорско-Балтийского канала, исходя из следующих положений: </w:t>
      </w:r>
    </w:p>
    <w:p w14:paraId="64A6AF48"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Глубина канала — не более 10-12 футов; </w:t>
      </w:r>
    </w:p>
    <w:p w14:paraId="699F5796"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Затраты на канал — 60-70 млн руб. (ни одной копейки валюты); </w:t>
      </w:r>
    </w:p>
    <w:p w14:paraId="20F00E0E"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Срок окончания — не позже конца 1932 г. (11652).</w:t>
      </w:r>
    </w:p>
    <w:p w14:paraId="3457EC87" w14:textId="77777777" w:rsidR="007510B4" w:rsidRPr="007122AB" w:rsidRDefault="007510B4" w:rsidP="007122AB">
      <w:pPr>
        <w:autoSpaceDE w:val="0"/>
        <w:autoSpaceDN w:val="0"/>
        <w:adjustRightInd w:val="0"/>
        <w:spacing w:after="0" w:line="240" w:lineRule="auto"/>
        <w:jc w:val="both"/>
        <w:rPr>
          <w:rFonts w:ascii="Times New Roman" w:hAnsi="Times New Roman"/>
          <w:color w:val="000000" w:themeColor="text1"/>
          <w:sz w:val="16"/>
          <w:szCs w:val="16"/>
        </w:rPr>
      </w:pPr>
    </w:p>
    <w:p w14:paraId="2C19CEC9" w14:textId="77777777" w:rsidR="007510B4" w:rsidRPr="007122AB" w:rsidRDefault="007510B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51EC364" w14:textId="77777777" w:rsidR="007510B4" w:rsidRPr="007122AB" w:rsidRDefault="007510B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3AD362" w14:textId="77777777" w:rsidR="007510B4" w:rsidRPr="007122AB" w:rsidRDefault="007510B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6 февраля 1931 г.</w:t>
      </w:r>
    </w:p>
    <w:p w14:paraId="43CC1A69" w14:textId="77777777" w:rsidR="007510B4" w:rsidRPr="007122AB" w:rsidRDefault="007510B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lastRenderedPageBreak/>
        <w:t>Письмо Ж. Л. Аренса В. Н. Баркову с информацией о ходе подготовки к заключению договора об издании стенограммы процесса «Промпартии» с французским издательством. 6 февраля 1931 г.</w:t>
      </w:r>
    </w:p>
    <w:p w14:paraId="081E16C0" w14:textId="77777777" w:rsidR="007510B4" w:rsidRPr="007122AB" w:rsidRDefault="007510B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55B66BF" w14:textId="77777777" w:rsidR="007510B4" w:rsidRPr="007122AB" w:rsidRDefault="007510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815A32" w14:textId="77777777" w:rsidR="007510B4" w:rsidRPr="007122AB" w:rsidRDefault="007510B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36DFB77" w14:textId="77777777" w:rsidR="007510B4" w:rsidRPr="007122AB" w:rsidRDefault="007510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Оп. 16. П. 34. Д. 14. Л. 20</w:t>
      </w:r>
    </w:p>
    <w:p w14:paraId="0D54F321" w14:textId="77777777" w:rsidR="007510B4" w:rsidRPr="007122AB" w:rsidRDefault="007510B4" w:rsidP="007122AB">
      <w:pPr>
        <w:pStyle w:val="rteright"/>
        <w:spacing w:before="0" w:after="0"/>
        <w:jc w:val="both"/>
        <w:rPr>
          <w:color w:val="000000" w:themeColor="text1"/>
          <w:sz w:val="16"/>
          <w:szCs w:val="16"/>
        </w:rPr>
      </w:pPr>
      <w:r w:rsidRPr="007122AB">
        <w:rPr>
          <w:color w:val="000000" w:themeColor="text1"/>
          <w:sz w:val="16"/>
          <w:szCs w:val="16"/>
        </w:rPr>
        <w:t>6 февраля 1931 г.</w:t>
      </w:r>
    </w:p>
    <w:p w14:paraId="0EFFE5E0" w14:textId="77777777" w:rsidR="007510B4" w:rsidRPr="007122AB" w:rsidRDefault="007510B4"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0A226E49" w14:textId="77777777" w:rsidR="007510B4" w:rsidRPr="007122AB" w:rsidRDefault="007510B4"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65EDAAED" w14:textId="77777777" w:rsidR="007510B4" w:rsidRPr="007122AB" w:rsidRDefault="007510B4" w:rsidP="007122AB">
      <w:pPr>
        <w:pStyle w:val="ae"/>
        <w:spacing w:before="0" w:after="0"/>
        <w:jc w:val="both"/>
        <w:rPr>
          <w:color w:val="000000" w:themeColor="text1"/>
          <w:sz w:val="16"/>
          <w:szCs w:val="16"/>
        </w:rPr>
      </w:pPr>
      <w:r w:rsidRPr="007122AB">
        <w:rPr>
          <w:color w:val="000000" w:themeColor="text1"/>
          <w:sz w:val="16"/>
          <w:szCs w:val="16"/>
        </w:rPr>
        <w:t>6.II.1931 г.</w:t>
      </w:r>
    </w:p>
    <w:p w14:paraId="69C34014" w14:textId="77777777" w:rsidR="007510B4" w:rsidRPr="007122AB" w:rsidRDefault="007510B4" w:rsidP="007122AB">
      <w:pPr>
        <w:pStyle w:val="ae"/>
        <w:spacing w:before="0" w:after="0"/>
        <w:jc w:val="both"/>
        <w:rPr>
          <w:color w:val="000000" w:themeColor="text1"/>
          <w:sz w:val="16"/>
          <w:szCs w:val="16"/>
        </w:rPr>
      </w:pPr>
      <w:r w:rsidRPr="007122AB">
        <w:rPr>
          <w:color w:val="000000" w:themeColor="text1"/>
          <w:sz w:val="16"/>
          <w:szCs w:val="16"/>
        </w:rPr>
        <w:t>№ 27059</w:t>
      </w:r>
    </w:p>
    <w:p w14:paraId="027E3462" w14:textId="77777777" w:rsidR="007510B4" w:rsidRPr="007122AB" w:rsidRDefault="007510B4" w:rsidP="007122AB">
      <w:pPr>
        <w:pStyle w:val="ae"/>
        <w:spacing w:before="0" w:after="0"/>
        <w:jc w:val="both"/>
        <w:rPr>
          <w:color w:val="000000" w:themeColor="text1"/>
          <w:sz w:val="16"/>
          <w:szCs w:val="16"/>
        </w:rPr>
      </w:pPr>
      <w:r w:rsidRPr="007122AB">
        <w:rPr>
          <w:color w:val="000000" w:themeColor="text1"/>
          <w:sz w:val="16"/>
          <w:szCs w:val="16"/>
        </w:rPr>
        <w:t>Тов. Баркову</w:t>
      </w:r>
    </w:p>
    <w:p w14:paraId="3EAC4368" w14:textId="77777777" w:rsidR="007510B4" w:rsidRPr="007122AB" w:rsidRDefault="007510B4" w:rsidP="007122AB">
      <w:pPr>
        <w:pStyle w:val="ae"/>
        <w:spacing w:before="0" w:after="0"/>
        <w:jc w:val="both"/>
        <w:rPr>
          <w:color w:val="000000" w:themeColor="text1"/>
          <w:sz w:val="16"/>
          <w:szCs w:val="16"/>
        </w:rPr>
      </w:pPr>
      <w:r w:rsidRPr="007122AB">
        <w:rPr>
          <w:color w:val="000000" w:themeColor="text1"/>
          <w:sz w:val="16"/>
          <w:szCs w:val="16"/>
        </w:rPr>
        <w:t>Париж</w:t>
      </w:r>
    </w:p>
    <w:p w14:paraId="71A2C246" w14:textId="77777777" w:rsidR="007510B4" w:rsidRPr="007122AB" w:rsidRDefault="007510B4" w:rsidP="007122AB">
      <w:pPr>
        <w:pStyle w:val="rtejustify"/>
        <w:spacing w:before="0" w:after="0"/>
        <w:rPr>
          <w:color w:val="000000" w:themeColor="text1"/>
          <w:sz w:val="16"/>
          <w:szCs w:val="16"/>
        </w:rPr>
      </w:pPr>
      <w:r w:rsidRPr="007122AB">
        <w:rPr>
          <w:color w:val="000000" w:themeColor="text1"/>
          <w:sz w:val="16"/>
          <w:szCs w:val="16"/>
        </w:rPr>
        <w:t xml:space="preserve">1)   Считая заключение договора между </w:t>
      </w:r>
      <w:proofErr w:type="spellStart"/>
      <w:r w:rsidRPr="007122AB">
        <w:rPr>
          <w:color w:val="000000" w:themeColor="text1"/>
          <w:sz w:val="16"/>
          <w:szCs w:val="16"/>
        </w:rPr>
        <w:t>ОГИЗом</w:t>
      </w:r>
      <w:proofErr w:type="spellEnd"/>
      <w:r w:rsidRPr="007122AB">
        <w:rPr>
          <w:color w:val="000000" w:themeColor="text1"/>
          <w:sz w:val="16"/>
          <w:szCs w:val="16"/>
        </w:rPr>
        <w:t xml:space="preserve"> и </w:t>
      </w:r>
      <w:proofErr w:type="spellStart"/>
      <w:r w:rsidRPr="007122AB">
        <w:rPr>
          <w:color w:val="000000" w:themeColor="text1"/>
          <w:sz w:val="16"/>
          <w:szCs w:val="16"/>
        </w:rPr>
        <w:t>Валюа</w:t>
      </w:r>
      <w:proofErr w:type="spellEnd"/>
      <w:r w:rsidRPr="007122AB">
        <w:rPr>
          <w:color w:val="000000" w:themeColor="text1"/>
          <w:sz w:val="16"/>
          <w:szCs w:val="16"/>
        </w:rPr>
        <w:t xml:space="preserve"> полезным, мы получили на это согласие </w:t>
      </w:r>
      <w:proofErr w:type="spellStart"/>
      <w:r w:rsidRPr="007122AB">
        <w:rPr>
          <w:color w:val="000000" w:themeColor="text1"/>
          <w:sz w:val="16"/>
          <w:szCs w:val="16"/>
        </w:rPr>
        <w:t>ОГИЗа</w:t>
      </w:r>
      <w:proofErr w:type="spellEnd"/>
      <w:r w:rsidRPr="007122AB">
        <w:rPr>
          <w:color w:val="000000" w:themeColor="text1"/>
          <w:sz w:val="16"/>
          <w:szCs w:val="16"/>
        </w:rPr>
        <w:t xml:space="preserve">, который нам пишет следующее: «Ввиду того, что издательством “Советского Законодательства” в настоящий момент заканчивается подготовка к печати названного судебного отчета, ОГИЗ будет иметь возможность за несколько дней до выхода в свет советского издания отчета передать Вам один экземпляр этого текста для пересылки в Парижское Полпредство, где, очевидно, и будет сделан перевод текста на французский язык. Точно также </w:t>
      </w:r>
      <w:proofErr w:type="spellStart"/>
      <w:r w:rsidRPr="007122AB">
        <w:rPr>
          <w:color w:val="000000" w:themeColor="text1"/>
          <w:sz w:val="16"/>
          <w:szCs w:val="16"/>
        </w:rPr>
        <w:t>ОГИЗом</w:t>
      </w:r>
      <w:proofErr w:type="spellEnd"/>
      <w:r w:rsidRPr="007122AB">
        <w:rPr>
          <w:color w:val="000000" w:themeColor="text1"/>
          <w:sz w:val="16"/>
          <w:szCs w:val="16"/>
        </w:rPr>
        <w:t xml:space="preserve"> будут выполнены все соответствующие формальности по заключению договора с упомянутым французским издательством».</w:t>
      </w:r>
    </w:p>
    <w:p w14:paraId="0C03F1F1" w14:textId="77777777" w:rsidR="007510B4" w:rsidRPr="007122AB" w:rsidRDefault="007510B4" w:rsidP="007122AB">
      <w:pPr>
        <w:pStyle w:val="rtejustify"/>
        <w:spacing w:before="0" w:after="0"/>
        <w:rPr>
          <w:color w:val="000000" w:themeColor="text1"/>
          <w:sz w:val="16"/>
          <w:szCs w:val="16"/>
        </w:rPr>
      </w:pPr>
      <w:r w:rsidRPr="007122AB">
        <w:rPr>
          <w:color w:val="000000" w:themeColor="text1"/>
          <w:sz w:val="16"/>
          <w:szCs w:val="16"/>
        </w:rPr>
        <w:t>Считаем необходимым вставить, в связи с этим, во 2-ом абзаце 1-го параграфа договора вместо слов «&lt;</w:t>
      </w:r>
      <w:proofErr w:type="spellStart"/>
      <w:r w:rsidRPr="007122AB">
        <w:rPr>
          <w:color w:val="000000" w:themeColor="text1"/>
          <w:sz w:val="16"/>
          <w:szCs w:val="16"/>
        </w:rPr>
        <w:t>des</w:t>
      </w:r>
      <w:proofErr w:type="spellEnd"/>
      <w:r w:rsidRPr="007122AB">
        <w:rPr>
          <w:color w:val="000000" w:themeColor="text1"/>
          <w:sz w:val="16"/>
          <w:szCs w:val="16"/>
        </w:rPr>
        <w:t xml:space="preserve"> </w:t>
      </w:r>
      <w:proofErr w:type="spellStart"/>
      <w:r w:rsidRPr="007122AB">
        <w:rPr>
          <w:color w:val="000000" w:themeColor="text1"/>
          <w:sz w:val="16"/>
          <w:szCs w:val="16"/>
        </w:rPr>
        <w:t>autorites</w:t>
      </w:r>
      <w:proofErr w:type="spellEnd"/>
      <w:r w:rsidRPr="007122AB">
        <w:rPr>
          <w:color w:val="000000" w:themeColor="text1"/>
          <w:sz w:val="16"/>
          <w:szCs w:val="16"/>
        </w:rPr>
        <w:t xml:space="preserve"> </w:t>
      </w:r>
      <w:proofErr w:type="spellStart"/>
      <w:r w:rsidRPr="007122AB">
        <w:rPr>
          <w:color w:val="000000" w:themeColor="text1"/>
          <w:sz w:val="16"/>
          <w:szCs w:val="16"/>
        </w:rPr>
        <w:t>judiciaries</w:t>
      </w:r>
      <w:proofErr w:type="spellEnd"/>
      <w:r w:rsidRPr="007122AB">
        <w:rPr>
          <w:color w:val="000000" w:themeColor="text1"/>
          <w:sz w:val="16"/>
          <w:szCs w:val="16"/>
        </w:rPr>
        <w:t xml:space="preserve"> </w:t>
      </w:r>
      <w:proofErr w:type="spellStart"/>
      <w:r w:rsidRPr="007122AB">
        <w:rPr>
          <w:color w:val="000000" w:themeColor="text1"/>
          <w:sz w:val="16"/>
          <w:szCs w:val="16"/>
        </w:rPr>
        <w:t>de</w:t>
      </w:r>
      <w:proofErr w:type="spellEnd"/>
      <w:r w:rsidRPr="007122AB">
        <w:rPr>
          <w:color w:val="000000" w:themeColor="text1"/>
          <w:sz w:val="16"/>
          <w:szCs w:val="16"/>
        </w:rPr>
        <w:t xml:space="preserve"> </w:t>
      </w:r>
      <w:proofErr w:type="spellStart"/>
      <w:r w:rsidRPr="007122AB">
        <w:rPr>
          <w:color w:val="000000" w:themeColor="text1"/>
          <w:sz w:val="16"/>
          <w:szCs w:val="16"/>
        </w:rPr>
        <w:t>Pe</w:t>
      </w:r>
      <w:proofErr w:type="spellEnd"/>
      <w:r w:rsidRPr="007122AB">
        <w:rPr>
          <w:color w:val="000000" w:themeColor="text1"/>
          <w:sz w:val="16"/>
          <w:szCs w:val="16"/>
        </w:rPr>
        <w:t xml:space="preserve"> U.R.S.S.&gt;» издательство «Советское Законодательство». Поручить тов. </w:t>
      </w:r>
      <w:proofErr w:type="spellStart"/>
      <w:r w:rsidRPr="007122AB">
        <w:rPr>
          <w:color w:val="000000" w:themeColor="text1"/>
          <w:sz w:val="16"/>
          <w:szCs w:val="16"/>
        </w:rPr>
        <w:t>Мерле</w:t>
      </w:r>
      <w:proofErr w:type="spellEnd"/>
      <w:r w:rsidRPr="007122AB">
        <w:rPr>
          <w:color w:val="000000" w:themeColor="text1"/>
          <w:sz w:val="16"/>
          <w:szCs w:val="16"/>
        </w:rPr>
        <w:t xml:space="preserve"> подписать договор от имени </w:t>
      </w:r>
      <w:proofErr w:type="spellStart"/>
      <w:r w:rsidRPr="007122AB">
        <w:rPr>
          <w:color w:val="000000" w:themeColor="text1"/>
          <w:sz w:val="16"/>
          <w:szCs w:val="16"/>
        </w:rPr>
        <w:t>ОГИЗа</w:t>
      </w:r>
      <w:proofErr w:type="spellEnd"/>
      <w:r w:rsidRPr="007122AB">
        <w:rPr>
          <w:color w:val="000000" w:themeColor="text1"/>
          <w:sz w:val="16"/>
          <w:szCs w:val="16"/>
        </w:rPr>
        <w:t xml:space="preserve"> не считаем подходящим, ввиду того, что он работает в Полпредстве. Было бы более целесообразным, если бы договор с </w:t>
      </w:r>
      <w:proofErr w:type="spellStart"/>
      <w:r w:rsidRPr="007122AB">
        <w:rPr>
          <w:color w:val="000000" w:themeColor="text1"/>
          <w:sz w:val="16"/>
          <w:szCs w:val="16"/>
        </w:rPr>
        <w:t>Валюа</w:t>
      </w:r>
      <w:proofErr w:type="spellEnd"/>
      <w:r w:rsidRPr="007122AB">
        <w:rPr>
          <w:color w:val="000000" w:themeColor="text1"/>
          <w:sz w:val="16"/>
          <w:szCs w:val="16"/>
        </w:rPr>
        <w:t xml:space="preserve"> подписал кто[-]</w:t>
      </w:r>
      <w:proofErr w:type="spellStart"/>
      <w:r w:rsidRPr="007122AB">
        <w:rPr>
          <w:color w:val="000000" w:themeColor="text1"/>
          <w:sz w:val="16"/>
          <w:szCs w:val="16"/>
        </w:rPr>
        <w:t>нибудь</w:t>
      </w:r>
      <w:proofErr w:type="spellEnd"/>
      <w:r w:rsidRPr="007122AB">
        <w:rPr>
          <w:color w:val="000000" w:themeColor="text1"/>
          <w:sz w:val="16"/>
          <w:szCs w:val="16"/>
        </w:rPr>
        <w:t xml:space="preserve"> из Торгпредства, в частности, представитель «Международной Книги» в Париже. Этим придается чисто коммерческий характер всей этой сделке.</w:t>
      </w:r>
    </w:p>
    <w:p w14:paraId="0E655D6E" w14:textId="77777777" w:rsidR="007510B4" w:rsidRPr="007122AB" w:rsidRDefault="007510B4" w:rsidP="007122AB">
      <w:pPr>
        <w:pStyle w:val="rtejustify"/>
        <w:spacing w:before="0" w:after="0"/>
        <w:rPr>
          <w:color w:val="000000" w:themeColor="text1"/>
          <w:sz w:val="16"/>
          <w:szCs w:val="16"/>
        </w:rPr>
      </w:pPr>
      <w:r w:rsidRPr="007122AB">
        <w:rPr>
          <w:color w:val="000000" w:themeColor="text1"/>
          <w:sz w:val="16"/>
          <w:szCs w:val="16"/>
        </w:rPr>
        <w:t xml:space="preserve">2)   В Вашем письме Вы упоминаете о «Кайе </w:t>
      </w:r>
      <w:proofErr w:type="spellStart"/>
      <w:r w:rsidRPr="007122AB">
        <w:rPr>
          <w:color w:val="000000" w:themeColor="text1"/>
          <w:sz w:val="16"/>
          <w:szCs w:val="16"/>
        </w:rPr>
        <w:t>Бле</w:t>
      </w:r>
      <w:proofErr w:type="spellEnd"/>
      <w:r w:rsidRPr="007122AB">
        <w:rPr>
          <w:color w:val="000000" w:themeColor="text1"/>
          <w:sz w:val="16"/>
          <w:szCs w:val="16"/>
        </w:rPr>
        <w:t xml:space="preserve">», посвященной процессу. Мы ничего об этом не знаем. Пришлите нам несколько экземпляров «Кайе </w:t>
      </w:r>
      <w:proofErr w:type="spellStart"/>
      <w:r w:rsidRPr="007122AB">
        <w:rPr>
          <w:color w:val="000000" w:themeColor="text1"/>
          <w:sz w:val="16"/>
          <w:szCs w:val="16"/>
        </w:rPr>
        <w:t>Бле</w:t>
      </w:r>
      <w:proofErr w:type="spellEnd"/>
      <w:r w:rsidRPr="007122AB">
        <w:rPr>
          <w:color w:val="000000" w:themeColor="text1"/>
          <w:sz w:val="16"/>
          <w:szCs w:val="16"/>
        </w:rPr>
        <w:t xml:space="preserve">», а также все, что вышло или выйдет по поводу процесса как в газетах, так и в журналах. Кто составлял «Кайе </w:t>
      </w:r>
      <w:proofErr w:type="spellStart"/>
      <w:r w:rsidRPr="007122AB">
        <w:rPr>
          <w:color w:val="000000" w:themeColor="text1"/>
          <w:sz w:val="16"/>
          <w:szCs w:val="16"/>
        </w:rPr>
        <w:t>Бле</w:t>
      </w:r>
      <w:proofErr w:type="spellEnd"/>
      <w:r w:rsidRPr="007122AB">
        <w:rPr>
          <w:color w:val="000000" w:themeColor="text1"/>
          <w:sz w:val="16"/>
          <w:szCs w:val="16"/>
        </w:rPr>
        <w:t>»[?]</w:t>
      </w:r>
    </w:p>
    <w:p w14:paraId="61BE053F" w14:textId="77777777" w:rsidR="007510B4" w:rsidRPr="007122AB" w:rsidRDefault="007510B4" w:rsidP="007122AB">
      <w:pPr>
        <w:pStyle w:val="rtejustify"/>
        <w:spacing w:before="0" w:after="0"/>
        <w:rPr>
          <w:color w:val="000000" w:themeColor="text1"/>
          <w:sz w:val="16"/>
          <w:szCs w:val="16"/>
        </w:rPr>
      </w:pPr>
      <w:r w:rsidRPr="007122AB">
        <w:rPr>
          <w:color w:val="000000" w:themeColor="text1"/>
          <w:sz w:val="16"/>
          <w:szCs w:val="16"/>
        </w:rPr>
        <w:t>3)   Не откажите выслать книжку Андрэ Зигфрида о политических партиях во Франции.</w:t>
      </w:r>
    </w:p>
    <w:p w14:paraId="51DC3C3E" w14:textId="77777777" w:rsidR="007510B4" w:rsidRPr="007122AB" w:rsidRDefault="007510B4" w:rsidP="007122AB">
      <w:pPr>
        <w:pStyle w:val="ae"/>
        <w:spacing w:before="0" w:after="0"/>
        <w:jc w:val="both"/>
        <w:rPr>
          <w:color w:val="000000" w:themeColor="text1"/>
          <w:sz w:val="16"/>
          <w:szCs w:val="16"/>
        </w:rPr>
      </w:pPr>
      <w:r w:rsidRPr="007122AB">
        <w:rPr>
          <w:color w:val="000000" w:themeColor="text1"/>
          <w:sz w:val="16"/>
          <w:szCs w:val="16"/>
        </w:rPr>
        <w:t>(Аренс)</w:t>
      </w:r>
    </w:p>
    <w:p w14:paraId="0900081E" w14:textId="77777777" w:rsidR="007510B4" w:rsidRPr="007122AB" w:rsidRDefault="007510B4"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Оп. 16. П. 34. Д. 14. Л. 20. Машинописная копия того времени. Исходящий номер вписан от руки. Гриф секретности машинописью. Внизу слева делопроизводственная помета машинописью (столбцом) «1 - т. Баркову 1 - т. Литвинову 1 - т. Крестинскому. 1 - архив. 4 экз.» (18831).</w:t>
      </w:r>
    </w:p>
    <w:p w14:paraId="61442876" w14:textId="77777777" w:rsidR="007510B4" w:rsidRPr="007122AB" w:rsidRDefault="007510B4" w:rsidP="007122AB">
      <w:pPr>
        <w:spacing w:after="0" w:line="240" w:lineRule="auto"/>
        <w:jc w:val="both"/>
        <w:rPr>
          <w:rFonts w:ascii="Times New Roman" w:hAnsi="Times New Roman"/>
          <w:color w:val="000000" w:themeColor="text1"/>
          <w:sz w:val="16"/>
          <w:szCs w:val="16"/>
        </w:rPr>
      </w:pPr>
    </w:p>
    <w:p w14:paraId="0ED10E3D" w14:textId="77777777" w:rsidR="0084298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51BE5B3" w14:textId="77777777" w:rsidR="0084298A" w:rsidRPr="007122AB" w:rsidRDefault="0084298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47A599" w14:textId="77777777" w:rsidR="0084298A" w:rsidRPr="007122AB" w:rsidRDefault="008429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6 февраля</w:t>
      </w:r>
      <w:r w:rsidRPr="007122AB">
        <w:rPr>
          <w:rFonts w:ascii="Times New Roman" w:hAnsi="Times New Roman"/>
          <w:color w:val="000000" w:themeColor="text1"/>
          <w:sz w:val="16"/>
          <w:szCs w:val="16"/>
        </w:rPr>
        <w:t xml:space="preserve"> в 1931 году получен сертификат типа коммерческого самолёта ATC № 389 для всего семейства «</w:t>
      </w:r>
      <w:proofErr w:type="spellStart"/>
      <w:r w:rsidRPr="007122AB">
        <w:rPr>
          <w:rFonts w:ascii="Times New Roman" w:hAnsi="Times New Roman"/>
          <w:color w:val="000000" w:themeColor="text1"/>
          <w:sz w:val="16"/>
          <w:szCs w:val="16"/>
        </w:rPr>
        <w:t>Gee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Bee</w:t>
      </w:r>
      <w:proofErr w:type="spellEnd"/>
      <w:r w:rsidRPr="007122AB">
        <w:rPr>
          <w:rFonts w:ascii="Times New Roman" w:hAnsi="Times New Roman"/>
          <w:color w:val="000000" w:themeColor="text1"/>
          <w:sz w:val="16"/>
          <w:szCs w:val="16"/>
        </w:rPr>
        <w:t>» «Model E» «</w:t>
      </w:r>
      <w:proofErr w:type="spellStart"/>
      <w:r w:rsidRPr="007122AB">
        <w:rPr>
          <w:rFonts w:ascii="Times New Roman" w:hAnsi="Times New Roman"/>
          <w:color w:val="000000" w:themeColor="text1"/>
          <w:sz w:val="16"/>
          <w:szCs w:val="16"/>
        </w:rPr>
        <w:t>Sportste</w:t>
      </w:r>
      <w:proofErr w:type="spellEnd"/>
      <w:r w:rsidR="00A96708" w:rsidRPr="007122AB">
        <w:rPr>
          <w:rFonts w:ascii="Times New Roman" w:hAnsi="Times New Roman"/>
          <w:color w:val="000000" w:themeColor="text1"/>
          <w:sz w:val="16"/>
          <w:szCs w:val="16"/>
          <w:lang w:val="en-US"/>
        </w:rPr>
        <w:t>r</w:t>
      </w:r>
      <w:r w:rsidRPr="007122AB">
        <w:rPr>
          <w:rFonts w:ascii="Times New Roman" w:hAnsi="Times New Roman"/>
          <w:color w:val="000000" w:themeColor="text1"/>
          <w:sz w:val="16"/>
          <w:szCs w:val="16"/>
        </w:rPr>
        <w:t xml:space="preserve">», после чего к регистрационному номеру добавился вожделенный префикс NC. Именно на этом самолёте в феврале 1934 года разбился основатель компании, </w:t>
      </w:r>
      <w:proofErr w:type="spellStart"/>
      <w:r w:rsidRPr="007122AB">
        <w:rPr>
          <w:rFonts w:ascii="Times New Roman" w:hAnsi="Times New Roman"/>
          <w:color w:val="000000" w:themeColor="text1"/>
          <w:sz w:val="16"/>
          <w:szCs w:val="16"/>
        </w:rPr>
        <w:t>Зэнтфорд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Грэнвил</w:t>
      </w:r>
      <w:proofErr w:type="spellEnd"/>
      <w:r w:rsidRPr="007122AB">
        <w:rPr>
          <w:rFonts w:ascii="Times New Roman" w:hAnsi="Times New Roman"/>
          <w:color w:val="000000" w:themeColor="text1"/>
          <w:sz w:val="16"/>
          <w:szCs w:val="16"/>
        </w:rPr>
        <w:t xml:space="preserve">. При посадке у самолёта отказал двигатель, и попытка избежать столкновения с работавшими на полосе аэродрома </w:t>
      </w:r>
      <w:proofErr w:type="spellStart"/>
      <w:r w:rsidRPr="007122AB">
        <w:rPr>
          <w:rFonts w:ascii="Times New Roman" w:hAnsi="Times New Roman"/>
          <w:color w:val="000000" w:themeColor="text1"/>
          <w:sz w:val="16"/>
          <w:szCs w:val="16"/>
        </w:rPr>
        <w:t>Spatanburg</w:t>
      </w:r>
      <w:proofErr w:type="spellEnd"/>
      <w:r w:rsidRPr="007122AB">
        <w:rPr>
          <w:rFonts w:ascii="Times New Roman" w:hAnsi="Times New Roman"/>
          <w:color w:val="000000" w:themeColor="text1"/>
          <w:sz w:val="16"/>
          <w:szCs w:val="16"/>
        </w:rPr>
        <w:t xml:space="preserve"> людьми привела к катастрофе. </w:t>
      </w:r>
      <w:proofErr w:type="spellStart"/>
      <w:r w:rsidRPr="007122AB">
        <w:rPr>
          <w:rFonts w:ascii="Times New Roman" w:hAnsi="Times New Roman"/>
          <w:color w:val="000000" w:themeColor="text1"/>
          <w:sz w:val="16"/>
          <w:szCs w:val="16"/>
        </w:rPr>
        <w:t>Зентфорду</w:t>
      </w:r>
      <w:proofErr w:type="spellEnd"/>
      <w:r w:rsidRPr="007122AB">
        <w:rPr>
          <w:rFonts w:ascii="Times New Roman" w:hAnsi="Times New Roman"/>
          <w:color w:val="000000" w:themeColor="text1"/>
          <w:sz w:val="16"/>
          <w:szCs w:val="16"/>
        </w:rPr>
        <w:t xml:space="preserve"> на тот момент было 32 года. Было построено всего четыре «Model E» (15032).</w:t>
      </w:r>
    </w:p>
    <w:p w14:paraId="49A8A072" w14:textId="77777777" w:rsidR="0084298A" w:rsidRPr="007122AB" w:rsidRDefault="0084298A" w:rsidP="007122AB">
      <w:pPr>
        <w:spacing w:after="0" w:line="240" w:lineRule="auto"/>
        <w:jc w:val="both"/>
        <w:rPr>
          <w:rFonts w:ascii="Times New Roman" w:hAnsi="Times New Roman"/>
          <w:color w:val="000000" w:themeColor="text1"/>
          <w:sz w:val="16"/>
          <w:szCs w:val="16"/>
        </w:rPr>
      </w:pPr>
    </w:p>
    <w:p w14:paraId="7D3008BB" w14:textId="77777777" w:rsidR="00403219" w:rsidRPr="007122AB" w:rsidRDefault="004032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февраля - 1 марта 1931, пролетая на </w:t>
      </w:r>
      <w:proofErr w:type="spellStart"/>
      <w:r w:rsidRPr="007122AB">
        <w:rPr>
          <w:rFonts w:ascii="Times New Roman" w:hAnsi="Times New Roman"/>
          <w:color w:val="000000" w:themeColor="text1"/>
          <w:sz w:val="16"/>
          <w:szCs w:val="16"/>
        </w:rPr>
        <w:t>Blériot</w:t>
      </w:r>
      <w:proofErr w:type="spellEnd"/>
      <w:r w:rsidRPr="007122AB">
        <w:rPr>
          <w:rFonts w:ascii="Times New Roman" w:hAnsi="Times New Roman"/>
          <w:color w:val="000000" w:themeColor="text1"/>
          <w:sz w:val="16"/>
          <w:szCs w:val="16"/>
        </w:rPr>
        <w:t xml:space="preserve"> 110 по замкнутой трассе во французском Алжире, французский летчик Морис Росси устанавливает рекорд дальности полета без дозаправки в 8 822 км (5 478 миль). Самолет находится в воздухе более 75 часов 23 минуты (20804).</w:t>
      </w:r>
    </w:p>
    <w:p w14:paraId="36CBFBC6" w14:textId="77777777" w:rsidR="00403219" w:rsidRPr="007122AB" w:rsidRDefault="00403219" w:rsidP="007122AB">
      <w:pPr>
        <w:spacing w:after="0" w:line="240" w:lineRule="auto"/>
        <w:jc w:val="both"/>
        <w:rPr>
          <w:rFonts w:ascii="Times New Roman" w:hAnsi="Times New Roman"/>
          <w:color w:val="000000" w:themeColor="text1"/>
          <w:sz w:val="16"/>
          <w:szCs w:val="16"/>
        </w:rPr>
      </w:pPr>
    </w:p>
    <w:p w14:paraId="6520024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804B8A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2CF4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февраля 1931 на московском заводе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был построен опытный образец танков Д-10 (на шасси Коммунар) и Д-11 (на шасси Катерпиллер)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(9527,88).</w:t>
      </w:r>
    </w:p>
    <w:p w14:paraId="3FB91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925EE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950995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187A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февраля 1931 ВАО из Наркомвоенмора опять перевели в ВСНХ.</w:t>
      </w:r>
    </w:p>
    <w:p w14:paraId="5A2EA10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E4E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февраля 1931 г. объединение вернули в систему ВСНХ (11852).</w:t>
      </w:r>
    </w:p>
    <w:p w14:paraId="6DD631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29196F" w14:textId="77777777" w:rsidR="00D42A4D" w:rsidRPr="007122AB" w:rsidRDefault="00D42A4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февраля 1931 г. ВАО было возвращено в ВСНХ, а 28 декабря 1931 г. вместо него было образовано Главное управление авиационной промышленности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 xml:space="preserve"> или ГУАП). Освободившийся окончательно от всех дел в ВВС П.И. Баранов 28 июня 1931 г. был назначен Начальником ВАО (с декабря – ГУАП). Он сумел организовать подъем авиационной 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 (19566).</w:t>
      </w:r>
    </w:p>
    <w:p w14:paraId="3CC196DC" w14:textId="77777777" w:rsidR="00D42A4D" w:rsidRPr="007122AB" w:rsidRDefault="00D42A4D" w:rsidP="007122AB">
      <w:pPr>
        <w:spacing w:after="0" w:line="240" w:lineRule="auto"/>
        <w:jc w:val="both"/>
        <w:rPr>
          <w:rFonts w:ascii="Times New Roman" w:hAnsi="Times New Roman"/>
          <w:color w:val="000000" w:themeColor="text1"/>
          <w:sz w:val="16"/>
          <w:szCs w:val="16"/>
        </w:rPr>
      </w:pPr>
    </w:p>
    <w:p w14:paraId="69C5401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F38F88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A3B0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февраля 1931 г. Решением Главного управления рабоче-крестьянской милиции в Москве создана Центральная высшая школа. В 1942 г. она была реорганизована в Высшую школу НКВД СССР, в 1954 г. получила название высшей школы МВД СССР, а 21.09.73 г. преобразована в Академию МВД СССР. Ныне - Академия управления МВД Российской Федерации (10303).</w:t>
      </w:r>
    </w:p>
    <w:p w14:paraId="3DC3A8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120DC8" w14:textId="77777777" w:rsidR="00A9670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DA76116" w14:textId="77777777" w:rsidR="00A96708" w:rsidRPr="007122AB" w:rsidRDefault="00A9670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9446202" w14:textId="77777777" w:rsidR="00A96708" w:rsidRPr="007122AB" w:rsidRDefault="00A9670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7 февраля</w:t>
      </w:r>
      <w:r w:rsidRPr="007122AB">
        <w:rPr>
          <w:rFonts w:ascii="Times New Roman" w:hAnsi="Times New Roman"/>
          <w:color w:val="000000" w:themeColor="text1"/>
          <w:sz w:val="16"/>
          <w:szCs w:val="16"/>
        </w:rPr>
        <w:t xml:space="preserve"> в 1931 году разбился единственный экземпляр истребителя </w:t>
      </w:r>
      <w:hyperlink r:id="rId20" w:tgtFrame="_blank" w:history="1">
        <w:r w:rsidRPr="007122AB">
          <w:rPr>
            <w:rFonts w:ascii="Times New Roman" w:hAnsi="Times New Roman"/>
            <w:color w:val="000000" w:themeColor="text1"/>
            <w:sz w:val="16"/>
            <w:szCs w:val="16"/>
          </w:rPr>
          <w:t xml:space="preserve">«Boeing» «Model 202» («XP-15»). </w:t>
        </w:r>
      </w:hyperlink>
      <w:r w:rsidRPr="007122AB">
        <w:rPr>
          <w:rFonts w:ascii="Times New Roman" w:hAnsi="Times New Roman"/>
          <w:color w:val="000000" w:themeColor="text1"/>
          <w:sz w:val="16"/>
          <w:szCs w:val="16"/>
        </w:rPr>
        <w:t>«P-15» - истребитель, разработанный американской фирмой Boeing. В 1929 году компания Boeing предложила Авиационному корпусу Армии США модернизированную версию истребителя «P-12E». Модернизация главным состояла в установки на истребитель новых крыльев. Установка новых крыльев позволила улучшить маневренность истребителя. Первый полет самолета состоялся в январе 1930 года. Новый истребитель «Boeing» «Model 202», получивший обозначение «ХP-15», не заинтересовал командование Авиационного корпуса, так как его остальные летные характеристики незначительно отличались от уже состоящих на вооружение истребителей «P-12». Единственный экземпляр самолет разбился 7 февраля 1931 года. Так же была создана палубная модификация самолета, получившая обозначение «F5B». Но и он не был принят на вооружение ВМС США (15033).</w:t>
      </w:r>
    </w:p>
    <w:p w14:paraId="3F70B879" w14:textId="77777777" w:rsidR="00A96708" w:rsidRPr="007122AB" w:rsidRDefault="00A96708" w:rsidP="007122AB">
      <w:pPr>
        <w:spacing w:after="0" w:line="240" w:lineRule="auto"/>
        <w:jc w:val="both"/>
        <w:rPr>
          <w:rFonts w:ascii="Times New Roman" w:hAnsi="Times New Roman"/>
          <w:color w:val="000000" w:themeColor="text1"/>
          <w:sz w:val="16"/>
          <w:szCs w:val="16"/>
        </w:rPr>
      </w:pPr>
    </w:p>
    <w:p w14:paraId="6261DA5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F011F8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237088" w14:textId="77777777" w:rsidR="00A96708" w:rsidRPr="007122AB" w:rsidRDefault="00A9670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8 февраля</w:t>
      </w:r>
      <w:r w:rsidRPr="007122AB">
        <w:rPr>
          <w:rFonts w:ascii="Times New Roman" w:hAnsi="Times New Roman"/>
          <w:color w:val="000000" w:themeColor="text1"/>
          <w:sz w:val="16"/>
          <w:szCs w:val="16"/>
        </w:rPr>
        <w:t xml:space="preserve"> в 1931 году после опробования машины в воздухе, летчик-испытатель </w:t>
      </w:r>
      <w:proofErr w:type="spellStart"/>
      <w:r w:rsidRPr="007122AB">
        <w:rPr>
          <w:rFonts w:ascii="Times New Roman" w:hAnsi="Times New Roman"/>
          <w:color w:val="000000" w:themeColor="text1"/>
          <w:sz w:val="16"/>
          <w:szCs w:val="16"/>
        </w:rPr>
        <w:t>И.Ф.Козлов</w:t>
      </w:r>
      <w:proofErr w:type="spellEnd"/>
      <w:r w:rsidRPr="007122AB">
        <w:rPr>
          <w:rFonts w:ascii="Times New Roman" w:hAnsi="Times New Roman"/>
          <w:color w:val="000000" w:themeColor="text1"/>
          <w:sz w:val="16"/>
          <w:szCs w:val="16"/>
        </w:rPr>
        <w:t xml:space="preserve"> перегнал истребитель </w:t>
      </w:r>
      <w:hyperlink r:id="rId21" w:tgtFrame="_blank" w:history="1">
        <w:r w:rsidRPr="007122AB">
          <w:rPr>
            <w:rFonts w:ascii="Times New Roman" w:hAnsi="Times New Roman"/>
            <w:color w:val="000000" w:themeColor="text1"/>
            <w:sz w:val="16"/>
            <w:szCs w:val="16"/>
          </w:rPr>
          <w:t xml:space="preserve">«И-12» </w:t>
        </w:r>
      </w:hyperlink>
      <w:r w:rsidRPr="007122AB">
        <w:rPr>
          <w:rFonts w:ascii="Times New Roman" w:hAnsi="Times New Roman"/>
          <w:color w:val="000000" w:themeColor="text1"/>
          <w:sz w:val="16"/>
          <w:szCs w:val="16"/>
        </w:rPr>
        <w:t xml:space="preserve">в Монино, где продолжились наземные огневые испытания. Первые наземные стрельбы состоялись 11 ноября на аэродроме НИИ ВВС. Отстрелялись вполне успешно, однако при возвращении в Москву самолет подломал костыли. «И-12» («АНТ-23») - один из первых истребителей, разработанных специально под динамо-реактивные («безоткатные») орудия «АПК-4» калибра 76,2 мм. </w:t>
      </w:r>
      <w:proofErr w:type="spellStart"/>
      <w:r w:rsidRPr="007122AB">
        <w:rPr>
          <w:rFonts w:ascii="Times New Roman" w:hAnsi="Times New Roman"/>
          <w:color w:val="000000" w:themeColor="text1"/>
          <w:sz w:val="16"/>
          <w:szCs w:val="16"/>
        </w:rPr>
        <w:t>Л.В.Курчевского</w:t>
      </w:r>
      <w:proofErr w:type="spellEnd"/>
      <w:r w:rsidRPr="007122AB">
        <w:rPr>
          <w:rFonts w:ascii="Times New Roman" w:hAnsi="Times New Roman"/>
          <w:color w:val="000000" w:themeColor="text1"/>
          <w:sz w:val="16"/>
          <w:szCs w:val="16"/>
        </w:rPr>
        <w:t xml:space="preserve"> (15034).</w:t>
      </w:r>
    </w:p>
    <w:p w14:paraId="6FA10039" w14:textId="77777777" w:rsidR="00A96708" w:rsidRPr="007122AB" w:rsidRDefault="00A96708" w:rsidP="007122AB">
      <w:pPr>
        <w:spacing w:after="0" w:line="240" w:lineRule="auto"/>
        <w:jc w:val="both"/>
        <w:rPr>
          <w:rFonts w:ascii="Times New Roman" w:hAnsi="Times New Roman"/>
          <w:color w:val="000000" w:themeColor="text1"/>
          <w:sz w:val="16"/>
          <w:szCs w:val="16"/>
        </w:rPr>
      </w:pPr>
    </w:p>
    <w:p w14:paraId="6B94A913" w14:textId="77777777" w:rsidR="00403219" w:rsidRPr="007122AB" w:rsidRDefault="004032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февраля 1931 года лётчик-испытатель Центрального аэрогидродинамического института Иван Фролович Козлов посадил самолёт И-12 (АНТ-23), специально разработанный инженерами конструкторским бюро АГОС ЦАГИ под </w:t>
      </w:r>
      <w:proofErr w:type="spellStart"/>
      <w:r w:rsidRPr="007122AB">
        <w:rPr>
          <w:rFonts w:ascii="Times New Roman" w:hAnsi="Times New Roman"/>
          <w:color w:val="000000" w:themeColor="text1"/>
          <w:sz w:val="16"/>
          <w:szCs w:val="16"/>
        </w:rPr>
        <w:t>динамореактивные</w:t>
      </w:r>
      <w:proofErr w:type="spellEnd"/>
      <w:r w:rsidRPr="007122AB">
        <w:rPr>
          <w:rFonts w:ascii="Times New Roman" w:hAnsi="Times New Roman"/>
          <w:color w:val="000000" w:themeColor="text1"/>
          <w:sz w:val="16"/>
          <w:szCs w:val="16"/>
        </w:rPr>
        <w:t xml:space="preserve"> авиационные пушки Леонида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аэрподром</w:t>
      </w:r>
      <w:proofErr w:type="spellEnd"/>
      <w:r w:rsidRPr="007122AB">
        <w:rPr>
          <w:rFonts w:ascii="Times New Roman" w:hAnsi="Times New Roman"/>
          <w:color w:val="000000" w:themeColor="text1"/>
          <w:sz w:val="16"/>
          <w:szCs w:val="16"/>
        </w:rPr>
        <w:t xml:space="preserve"> в Монино. Здесь со специальных деревянных помостов из нового вида оружия были проведены наземные стрельбы. В процессе их проведения было выявлено наличие значительных нагрузок, разрушающих непосредственно саму конструкцию самолёта – носителя артиллерийской системы (21535).</w:t>
      </w:r>
    </w:p>
    <w:p w14:paraId="41273BA2" w14:textId="77777777" w:rsidR="00403219" w:rsidRPr="007122AB" w:rsidRDefault="00403219" w:rsidP="007122AB">
      <w:pPr>
        <w:spacing w:after="0" w:line="240" w:lineRule="auto"/>
        <w:jc w:val="both"/>
        <w:rPr>
          <w:rFonts w:ascii="Times New Roman" w:hAnsi="Times New Roman"/>
          <w:color w:val="000000" w:themeColor="text1"/>
          <w:sz w:val="16"/>
          <w:szCs w:val="16"/>
        </w:rPr>
      </w:pPr>
    </w:p>
    <w:p w14:paraId="0E927D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февраля 1931 состоялось техническое совещание руководителей групп отдела АГОС о ходе работ по АНТ-16 (1077,173).</w:t>
      </w:r>
    </w:p>
    <w:p w14:paraId="24DF95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858459" w14:textId="77777777" w:rsidR="005E747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Другие оборонные отрасли:</w:t>
      </w:r>
    </w:p>
    <w:p w14:paraId="0D33193C" w14:textId="77777777" w:rsidR="005E7475" w:rsidRPr="007122AB" w:rsidRDefault="005E747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5BD089" w14:textId="77777777" w:rsidR="005E7475" w:rsidRPr="007122AB" w:rsidRDefault="005E7475" w:rsidP="007122AB">
      <w:pPr>
        <w:pStyle w:val="a3"/>
        <w:rPr>
          <w:color w:val="000000" w:themeColor="text1"/>
          <w:lang w:val="ru-RU"/>
        </w:rPr>
      </w:pPr>
      <w:r w:rsidRPr="007122AB">
        <w:rPr>
          <w:color w:val="000000" w:themeColor="text1"/>
          <w:lang w:val="ru-RU"/>
        </w:rPr>
        <w:t>8 февраля 1931 г. в ходе специ</w:t>
      </w:r>
      <w:r w:rsidRPr="007122AB">
        <w:rPr>
          <w:color w:val="000000" w:themeColor="text1"/>
          <w:lang w:val="ru-RU"/>
        </w:rPr>
        <w:softHyphen/>
        <w:t>ального совещания под председательством Уборевича заводу для выпуска во время войны был определен танк Т-26. Организацией, ответ</w:t>
      </w:r>
      <w:r w:rsidRPr="007122AB">
        <w:rPr>
          <w:color w:val="000000" w:themeColor="text1"/>
          <w:lang w:val="ru-RU"/>
        </w:rPr>
        <w:softHyphen/>
        <w:t xml:space="preserve">ственной за реконструкцию завода с учетом его мобилизационных возможностей, утвердили </w:t>
      </w:r>
      <w:proofErr w:type="spellStart"/>
      <w:r w:rsidRPr="007122AB">
        <w:rPr>
          <w:color w:val="000000" w:themeColor="text1"/>
          <w:lang w:val="ru-RU"/>
        </w:rPr>
        <w:t>Гипроспецпроект</w:t>
      </w:r>
      <w:proofErr w:type="spellEnd"/>
      <w:r w:rsidRPr="007122AB">
        <w:rPr>
          <w:color w:val="000000" w:themeColor="text1"/>
          <w:lang w:val="ru-RU"/>
        </w:rPr>
        <w:t>. Мобилизационно-плановому отделу ВСНХ поручили подготовить для СТЗ со</w:t>
      </w:r>
      <w:r w:rsidRPr="007122AB">
        <w:rPr>
          <w:color w:val="000000" w:themeColor="text1"/>
          <w:lang w:val="ru-RU"/>
        </w:rPr>
        <w:softHyphen/>
        <w:t xml:space="preserve">ответствующее </w:t>
      </w:r>
      <w:proofErr w:type="spellStart"/>
      <w:r w:rsidRPr="007122AB">
        <w:rPr>
          <w:color w:val="000000" w:themeColor="text1"/>
          <w:lang w:val="ru-RU"/>
        </w:rPr>
        <w:t>промзадание</w:t>
      </w:r>
      <w:proofErr w:type="spellEnd"/>
      <w:r w:rsidRPr="007122AB">
        <w:rPr>
          <w:color w:val="000000" w:themeColor="text1"/>
          <w:lang w:val="ru-RU"/>
        </w:rPr>
        <w:t>.</w:t>
      </w:r>
    </w:p>
    <w:p w14:paraId="695C0B62" w14:textId="77777777" w:rsidR="005E7475" w:rsidRPr="007122AB" w:rsidRDefault="005E7475" w:rsidP="007122AB">
      <w:pPr>
        <w:pStyle w:val="a3"/>
        <w:rPr>
          <w:color w:val="000000" w:themeColor="text1"/>
          <w:lang w:val="ru-RU"/>
        </w:rPr>
      </w:pPr>
      <w:r w:rsidRPr="007122AB">
        <w:rPr>
          <w:color w:val="000000" w:themeColor="text1"/>
          <w:lang w:val="ru-RU"/>
        </w:rPr>
        <w:t>17 февраля 1931 г. Всесоюзное автотрак</w:t>
      </w:r>
      <w:r w:rsidRPr="007122AB">
        <w:rPr>
          <w:color w:val="000000" w:themeColor="text1"/>
          <w:lang w:val="ru-RU"/>
        </w:rPr>
        <w:softHyphen/>
        <w:t xml:space="preserve">торное объединение (ВАТО) получило от МПО ВСНХ письмом №883/сс </w:t>
      </w:r>
      <w:proofErr w:type="spellStart"/>
      <w:r w:rsidRPr="007122AB">
        <w:rPr>
          <w:color w:val="000000" w:themeColor="text1"/>
          <w:lang w:val="ru-RU"/>
        </w:rPr>
        <w:t>промзадание</w:t>
      </w:r>
      <w:proofErr w:type="spellEnd"/>
      <w:r w:rsidRPr="007122AB">
        <w:rPr>
          <w:color w:val="000000" w:themeColor="text1"/>
          <w:lang w:val="ru-RU"/>
        </w:rPr>
        <w:t xml:space="preserve"> для СТЗ, предполагавшее выпуск в первый год войны 12000 танков Т-26 с комплектами запчастей, эквивалентных 6000 танкам, и создание к 1 апреля 1932 г. базы по фасонному стальному литью мощностью 55000 т из расчета выпуска специального литья: для малых танков — 12000 единиц, для средних танков — 2000 единиц и для танкеток — 4000 единиц.</w:t>
      </w:r>
    </w:p>
    <w:p w14:paraId="0B2D92EF" w14:textId="77777777" w:rsidR="005E7475" w:rsidRPr="007122AB" w:rsidRDefault="005E7475" w:rsidP="007122AB">
      <w:pPr>
        <w:pStyle w:val="a3"/>
        <w:rPr>
          <w:color w:val="000000" w:themeColor="text1"/>
          <w:lang w:val="ru-RU"/>
        </w:rPr>
      </w:pPr>
      <w:r w:rsidRPr="007122AB">
        <w:rPr>
          <w:color w:val="000000" w:themeColor="text1"/>
          <w:lang w:val="ru-RU"/>
        </w:rPr>
        <w:t>Для обеспечения потребности Народно</w:t>
      </w:r>
      <w:r w:rsidRPr="007122AB">
        <w:rPr>
          <w:color w:val="000000" w:themeColor="text1"/>
          <w:lang w:val="ru-RU"/>
        </w:rPr>
        <w:softHyphen/>
        <w:t>го комиссариата по военным и морским делам (НКВМ) в танках мирного времени и подготовки кадров танкостроителей на СТЗ следовало орга</w:t>
      </w:r>
      <w:r w:rsidRPr="007122AB">
        <w:rPr>
          <w:color w:val="000000" w:themeColor="text1"/>
          <w:lang w:val="ru-RU"/>
        </w:rPr>
        <w:softHyphen/>
        <w:t>низовать опытный цех с пропускной способно</w:t>
      </w:r>
      <w:r w:rsidRPr="007122AB">
        <w:rPr>
          <w:color w:val="000000" w:themeColor="text1"/>
          <w:lang w:val="ru-RU"/>
        </w:rPr>
        <w:softHyphen/>
        <w:t>стью 100 танков в год при односменной работе (12622).</w:t>
      </w:r>
    </w:p>
    <w:p w14:paraId="6E6A969D" w14:textId="77777777" w:rsidR="005E7475" w:rsidRPr="007122AB" w:rsidRDefault="005E7475" w:rsidP="007122AB">
      <w:pPr>
        <w:pStyle w:val="a3"/>
        <w:rPr>
          <w:color w:val="000000" w:themeColor="text1"/>
          <w:lang w:val="ru-RU"/>
        </w:rPr>
      </w:pPr>
    </w:p>
    <w:p w14:paraId="0A21034B" w14:textId="77777777" w:rsidR="005E747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F880A45" w14:textId="77777777" w:rsidR="005E7475" w:rsidRPr="007122AB" w:rsidRDefault="005E747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FED17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8 февраля 1931 </w:t>
      </w:r>
      <w:r w:rsidRPr="007122AB">
        <w:rPr>
          <w:rFonts w:ascii="Times New Roman" w:hAnsi="Times New Roman"/>
          <w:color w:val="000000" w:themeColor="text1"/>
          <w:sz w:val="16"/>
          <w:szCs w:val="16"/>
        </w:rPr>
        <w:t>ЦИК и СНК приняли постановление «О Госплане СССР» (12265).</w:t>
      </w:r>
    </w:p>
    <w:p w14:paraId="1AB7426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37B911D" w14:textId="77777777" w:rsidR="00D42A4D" w:rsidRPr="007122AB" w:rsidRDefault="00D42A4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367AA648" w14:textId="77777777" w:rsidR="00D42A4D" w:rsidRPr="007122AB" w:rsidRDefault="00D42A4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49DA19" w14:textId="77777777" w:rsidR="00D42A4D" w:rsidRPr="007122AB" w:rsidRDefault="00D42A4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8 февраля 1931 г.</w:t>
      </w:r>
    </w:p>
    <w:p w14:paraId="1E409E91" w14:textId="77777777" w:rsidR="00D42A4D" w:rsidRPr="007122AB" w:rsidRDefault="00D42A4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Д. Г. Штерна Ж. Л. Аренсу о проблемах с освещением процесса «Промпартии» в германской печати. 8 февраля 1931 г.</w:t>
      </w:r>
    </w:p>
    <w:p w14:paraId="300FDDF8" w14:textId="77777777" w:rsidR="00D42A4D" w:rsidRPr="007122AB" w:rsidRDefault="00D42A4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BC33CE5" w14:textId="77777777" w:rsidR="00D42A4D" w:rsidRPr="007122AB" w:rsidRDefault="00D42A4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041A2C" w14:textId="77777777" w:rsidR="00D42A4D" w:rsidRPr="007122AB" w:rsidRDefault="00D42A4D" w:rsidP="007122AB">
      <w:pPr>
        <w:pStyle w:val="rteright"/>
        <w:spacing w:before="0" w:after="0"/>
        <w:jc w:val="both"/>
        <w:rPr>
          <w:color w:val="000000" w:themeColor="text1"/>
          <w:sz w:val="16"/>
          <w:szCs w:val="16"/>
        </w:rPr>
      </w:pPr>
      <w:r w:rsidRPr="007122AB">
        <w:rPr>
          <w:color w:val="000000" w:themeColor="text1"/>
          <w:sz w:val="16"/>
          <w:szCs w:val="16"/>
        </w:rPr>
        <w:t>8 февраля 1931 г.</w:t>
      </w:r>
    </w:p>
    <w:p w14:paraId="046CE2EE" w14:textId="77777777" w:rsidR="00D42A4D" w:rsidRPr="007122AB" w:rsidRDefault="00D42A4D"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604A68E0" w14:textId="77777777" w:rsidR="00D42A4D" w:rsidRPr="007122AB" w:rsidRDefault="00D42A4D"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21A63DDB" w14:textId="77777777" w:rsidR="00D42A4D" w:rsidRPr="007122AB" w:rsidRDefault="00D42A4D" w:rsidP="007122AB">
      <w:pPr>
        <w:pStyle w:val="ae"/>
        <w:spacing w:before="0" w:after="0"/>
        <w:jc w:val="both"/>
        <w:rPr>
          <w:color w:val="000000" w:themeColor="text1"/>
          <w:sz w:val="16"/>
          <w:szCs w:val="16"/>
        </w:rPr>
      </w:pPr>
      <w:r w:rsidRPr="007122AB">
        <w:rPr>
          <w:color w:val="000000" w:themeColor="text1"/>
          <w:sz w:val="16"/>
          <w:szCs w:val="16"/>
        </w:rPr>
        <w:t>копии: тт. Литвинову, Крестинскому</w:t>
      </w:r>
    </w:p>
    <w:p w14:paraId="019FC44B" w14:textId="77777777" w:rsidR="00D42A4D" w:rsidRPr="007122AB" w:rsidRDefault="00D42A4D"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693A1A88" w14:textId="77777777" w:rsidR="00D42A4D" w:rsidRPr="007122AB" w:rsidRDefault="00D42A4D" w:rsidP="007122AB">
      <w:pPr>
        <w:numPr>
          <w:ilvl w:val="0"/>
          <w:numId w:val="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Спешу внести некоторую ясность в вопрос «моих злоключений» с [«]Ост </w:t>
      </w:r>
      <w:proofErr w:type="spellStart"/>
      <w:r w:rsidRPr="007122AB">
        <w:rPr>
          <w:rFonts w:ascii="Times New Roman" w:hAnsi="Times New Roman"/>
          <w:color w:val="000000" w:themeColor="text1"/>
          <w:sz w:val="16"/>
          <w:szCs w:val="16"/>
        </w:rPr>
        <w:t>Ейропой</w:t>
      </w:r>
      <w:proofErr w:type="spellEnd"/>
      <w:r w:rsidRPr="007122AB">
        <w:rPr>
          <w:rFonts w:ascii="Times New Roman" w:hAnsi="Times New Roman"/>
          <w:color w:val="000000" w:themeColor="text1"/>
          <w:sz w:val="16"/>
          <w:szCs w:val="16"/>
        </w:rPr>
        <w:t xml:space="preserve">[»]. Считаю необходимым в первую очередь напомнить Вам, что контакт с [«]Ост </w:t>
      </w:r>
      <w:proofErr w:type="spellStart"/>
      <w:r w:rsidRPr="007122AB">
        <w:rPr>
          <w:rFonts w:ascii="Times New Roman" w:hAnsi="Times New Roman"/>
          <w:color w:val="000000" w:themeColor="text1"/>
          <w:sz w:val="16"/>
          <w:szCs w:val="16"/>
        </w:rPr>
        <w:t>Ейропой</w:t>
      </w:r>
      <w:proofErr w:type="spellEnd"/>
      <w:r w:rsidRPr="007122AB">
        <w:rPr>
          <w:rFonts w:ascii="Times New Roman" w:hAnsi="Times New Roman"/>
          <w:color w:val="000000" w:themeColor="text1"/>
          <w:sz w:val="16"/>
          <w:szCs w:val="16"/>
        </w:rPr>
        <w:t xml:space="preserve">[»] поддерживаю не я, а тов. Виноградов. Моя роль в деле статьи Луначарского выразилась лишь в том, что я вследствие болезни тов. Виноградова передал статью </w:t>
      </w:r>
      <w:proofErr w:type="spellStart"/>
      <w:r w:rsidRPr="007122AB">
        <w:rPr>
          <w:rFonts w:ascii="Times New Roman" w:hAnsi="Times New Roman"/>
          <w:color w:val="000000" w:themeColor="text1"/>
          <w:sz w:val="16"/>
          <w:szCs w:val="16"/>
        </w:rPr>
        <w:t>Шиллерту</w:t>
      </w:r>
      <w:proofErr w:type="spellEnd"/>
      <w:r w:rsidRPr="007122AB">
        <w:rPr>
          <w:rFonts w:ascii="Times New Roman" w:hAnsi="Times New Roman"/>
          <w:color w:val="000000" w:themeColor="text1"/>
          <w:sz w:val="16"/>
          <w:szCs w:val="16"/>
        </w:rPr>
        <w:t xml:space="preserve">, из [«]Ост </w:t>
      </w:r>
      <w:proofErr w:type="spellStart"/>
      <w:r w:rsidRPr="007122AB">
        <w:rPr>
          <w:rFonts w:ascii="Times New Roman" w:hAnsi="Times New Roman"/>
          <w:color w:val="000000" w:themeColor="text1"/>
          <w:sz w:val="16"/>
          <w:szCs w:val="16"/>
        </w:rPr>
        <w:t>Ейропы</w:t>
      </w:r>
      <w:proofErr w:type="spellEnd"/>
      <w:r w:rsidRPr="007122AB">
        <w:rPr>
          <w:rFonts w:ascii="Times New Roman" w:hAnsi="Times New Roman"/>
          <w:color w:val="000000" w:themeColor="text1"/>
          <w:sz w:val="16"/>
          <w:szCs w:val="16"/>
        </w:rPr>
        <w:t xml:space="preserve">[»]. Все дальнейшие переговоры с [«]Ост </w:t>
      </w:r>
      <w:proofErr w:type="spellStart"/>
      <w:r w:rsidRPr="007122AB">
        <w:rPr>
          <w:rFonts w:ascii="Times New Roman" w:hAnsi="Times New Roman"/>
          <w:color w:val="000000" w:themeColor="text1"/>
          <w:sz w:val="16"/>
          <w:szCs w:val="16"/>
        </w:rPr>
        <w:t>Ейропой</w:t>
      </w:r>
      <w:proofErr w:type="spellEnd"/>
      <w:r w:rsidRPr="007122AB">
        <w:rPr>
          <w:rFonts w:ascii="Times New Roman" w:hAnsi="Times New Roman"/>
          <w:color w:val="000000" w:themeColor="text1"/>
          <w:sz w:val="16"/>
          <w:szCs w:val="16"/>
        </w:rPr>
        <w:t xml:space="preserve">[»] вел тов. Виноградов, при полном отсутствии какого[-]либо касательства к ним с моей стороны. Со слов тов. Виноградова я понял, что редакция [«]Ост </w:t>
      </w:r>
      <w:proofErr w:type="spellStart"/>
      <w:r w:rsidRPr="007122AB">
        <w:rPr>
          <w:rFonts w:ascii="Times New Roman" w:hAnsi="Times New Roman"/>
          <w:color w:val="000000" w:themeColor="text1"/>
          <w:sz w:val="16"/>
          <w:szCs w:val="16"/>
        </w:rPr>
        <w:t>Ейропы</w:t>
      </w:r>
      <w:proofErr w:type="spellEnd"/>
      <w:r w:rsidRPr="007122AB">
        <w:rPr>
          <w:rFonts w:ascii="Times New Roman" w:hAnsi="Times New Roman"/>
          <w:color w:val="000000" w:themeColor="text1"/>
          <w:sz w:val="16"/>
          <w:szCs w:val="16"/>
        </w:rPr>
        <w:t>[»] признала невозможной для себя поместить статью и сообщила тов. Виноградову, что передала ее Грабовскому. Как статья фактически попала к Грабовскому, установить точно трудно, однако, по[-]видимому, дело обстояло след[</w:t>
      </w:r>
      <w:proofErr w:type="spellStart"/>
      <w:r w:rsidRPr="007122AB">
        <w:rPr>
          <w:rFonts w:ascii="Times New Roman" w:hAnsi="Times New Roman"/>
          <w:color w:val="000000" w:themeColor="text1"/>
          <w:sz w:val="16"/>
          <w:szCs w:val="16"/>
        </w:rPr>
        <w:t>ующим</w:t>
      </w:r>
      <w:proofErr w:type="spellEnd"/>
      <w:r w:rsidRPr="007122AB">
        <w:rPr>
          <w:rFonts w:ascii="Times New Roman" w:hAnsi="Times New Roman"/>
          <w:color w:val="000000" w:themeColor="text1"/>
          <w:sz w:val="16"/>
          <w:szCs w:val="16"/>
        </w:rPr>
        <w:t xml:space="preserve">] образом: редакция [«]Ост </w:t>
      </w:r>
      <w:proofErr w:type="spellStart"/>
      <w:r w:rsidRPr="007122AB">
        <w:rPr>
          <w:rFonts w:ascii="Times New Roman" w:hAnsi="Times New Roman"/>
          <w:color w:val="000000" w:themeColor="text1"/>
          <w:sz w:val="16"/>
          <w:szCs w:val="16"/>
        </w:rPr>
        <w:t>Ейропы</w:t>
      </w:r>
      <w:proofErr w:type="spellEnd"/>
      <w:r w:rsidRPr="007122AB">
        <w:rPr>
          <w:rFonts w:ascii="Times New Roman" w:hAnsi="Times New Roman"/>
          <w:color w:val="000000" w:themeColor="text1"/>
          <w:sz w:val="16"/>
          <w:szCs w:val="16"/>
        </w:rPr>
        <w:t xml:space="preserve">[»] обратилась в </w:t>
      </w:r>
      <w:proofErr w:type="spellStart"/>
      <w:r w:rsidRPr="007122AB">
        <w:rPr>
          <w:rFonts w:ascii="Times New Roman" w:hAnsi="Times New Roman"/>
          <w:color w:val="000000" w:themeColor="text1"/>
          <w:sz w:val="16"/>
          <w:szCs w:val="16"/>
        </w:rPr>
        <w:t>Аусамт</w:t>
      </w:r>
      <w:proofErr w:type="spellEnd"/>
      <w:r w:rsidRPr="007122AB">
        <w:rPr>
          <w:rFonts w:ascii="Times New Roman" w:hAnsi="Times New Roman"/>
          <w:color w:val="000000" w:themeColor="text1"/>
          <w:sz w:val="16"/>
          <w:szCs w:val="16"/>
        </w:rPr>
        <w:t xml:space="preserve"> с заявлением, что не может использовать эту статью, тогда в </w:t>
      </w:r>
      <w:proofErr w:type="spellStart"/>
      <w:r w:rsidRPr="007122AB">
        <w:rPr>
          <w:rFonts w:ascii="Times New Roman" w:hAnsi="Times New Roman"/>
          <w:color w:val="000000" w:themeColor="text1"/>
          <w:sz w:val="16"/>
          <w:szCs w:val="16"/>
        </w:rPr>
        <w:t>Аусамте</w:t>
      </w:r>
      <w:proofErr w:type="spellEnd"/>
      <w:r w:rsidRPr="007122AB">
        <w:rPr>
          <w:rFonts w:ascii="Times New Roman" w:hAnsi="Times New Roman"/>
          <w:color w:val="000000" w:themeColor="text1"/>
          <w:sz w:val="16"/>
          <w:szCs w:val="16"/>
        </w:rPr>
        <w:t xml:space="preserve"> решили привлечь к этому делу Грабовского, для чего </w:t>
      </w:r>
      <w:proofErr w:type="spellStart"/>
      <w:r w:rsidRPr="007122AB">
        <w:rPr>
          <w:rFonts w:ascii="Times New Roman" w:hAnsi="Times New Roman"/>
          <w:color w:val="000000" w:themeColor="text1"/>
          <w:sz w:val="16"/>
          <w:szCs w:val="16"/>
        </w:rPr>
        <w:t>Траутман</w:t>
      </w:r>
      <w:proofErr w:type="spellEnd"/>
      <w:r w:rsidRPr="007122AB">
        <w:rPr>
          <w:rFonts w:ascii="Times New Roman" w:hAnsi="Times New Roman"/>
          <w:color w:val="000000" w:themeColor="text1"/>
          <w:sz w:val="16"/>
          <w:szCs w:val="16"/>
        </w:rPr>
        <w:t xml:space="preserve"> его вызывал. Полагаю что вышеизложенное объясняет Вам, почему я[,] передав запись беседы с Грабовским, не излагал сущности и перипетий переговоров в связи со статьей Луначарского, к которым[,] повторяю[,] не имел отношения.</w:t>
      </w:r>
    </w:p>
    <w:p w14:paraId="7518B077" w14:textId="77777777" w:rsidR="00D42A4D" w:rsidRPr="007122AB" w:rsidRDefault="00D42A4D" w:rsidP="007122AB">
      <w:pPr>
        <w:numPr>
          <w:ilvl w:val="0"/>
          <w:numId w:val="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 касается малой статьи Луначарского, то я ознакомил с ее содержанием сначала Дитмара, а потом </w:t>
      </w:r>
      <w:proofErr w:type="spellStart"/>
      <w:r w:rsidRPr="007122AB">
        <w:rPr>
          <w:rFonts w:ascii="Times New Roman" w:hAnsi="Times New Roman"/>
          <w:color w:val="000000" w:themeColor="text1"/>
          <w:sz w:val="16"/>
          <w:szCs w:val="16"/>
        </w:rPr>
        <w:t>Кирхера</w:t>
      </w:r>
      <w:proofErr w:type="spellEnd"/>
      <w:r w:rsidRPr="007122AB">
        <w:rPr>
          <w:rFonts w:ascii="Times New Roman" w:hAnsi="Times New Roman"/>
          <w:color w:val="000000" w:themeColor="text1"/>
          <w:sz w:val="16"/>
          <w:szCs w:val="16"/>
        </w:rPr>
        <w:t>, и оба они заявили, что в настоящий момент можно о процессе лишь упоминать в статье, но давать статью, в которой процесс Промпартии является основным, совершенно немыслимо.</w:t>
      </w:r>
    </w:p>
    <w:p w14:paraId="4F36C176" w14:textId="77777777" w:rsidR="00D42A4D" w:rsidRPr="007122AB" w:rsidRDefault="00D42A4D" w:rsidP="007122AB">
      <w:pPr>
        <w:numPr>
          <w:ilvl w:val="0"/>
          <w:numId w:val="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Мною написана статья, посвященная противоречиям между версальской системой и Сов. Союзом, в которой много места уделяется процессу Промпартии. Эта статья мною написана для журнала «Ди Тат», кстати[,] для Вашего сведения[,] являющегося в настоящее время самым серьезным и влиятельным журналом в Германии (его тираж превышает 13 тыс. экз.). Статья будет подписана псевдонимом «</w:t>
      </w:r>
      <w:proofErr w:type="spellStart"/>
      <w:r w:rsidRPr="007122AB">
        <w:rPr>
          <w:rFonts w:ascii="Times New Roman" w:hAnsi="Times New Roman"/>
          <w:color w:val="000000" w:themeColor="text1"/>
          <w:sz w:val="16"/>
          <w:szCs w:val="16"/>
        </w:rPr>
        <w:t>Германикус</w:t>
      </w:r>
      <w:proofErr w:type="spellEnd"/>
      <w:r w:rsidRPr="007122AB">
        <w:rPr>
          <w:rFonts w:ascii="Times New Roman" w:hAnsi="Times New Roman"/>
          <w:color w:val="000000" w:themeColor="text1"/>
          <w:sz w:val="16"/>
          <w:szCs w:val="16"/>
        </w:rPr>
        <w:t>». На днях должен буду получить от Церера ответ, приемлема ли для журнала «Тат» моя установка.</w:t>
      </w:r>
    </w:p>
    <w:p w14:paraId="02A8AC01" w14:textId="77777777" w:rsidR="00D42A4D" w:rsidRPr="007122AB" w:rsidRDefault="00D42A4D" w:rsidP="007122AB">
      <w:pPr>
        <w:numPr>
          <w:ilvl w:val="0"/>
          <w:numId w:val="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Относительно Свен фон Мюллера я в первую очередь буду говорить с </w:t>
      </w:r>
      <w:proofErr w:type="spellStart"/>
      <w:r w:rsidRPr="007122AB">
        <w:rPr>
          <w:rFonts w:ascii="Times New Roman" w:hAnsi="Times New Roman"/>
          <w:color w:val="000000" w:themeColor="text1"/>
          <w:sz w:val="16"/>
          <w:szCs w:val="16"/>
        </w:rPr>
        <w:t>Мишем</w:t>
      </w:r>
      <w:proofErr w:type="spellEnd"/>
      <w:r w:rsidRPr="007122AB">
        <w:rPr>
          <w:rFonts w:ascii="Times New Roman" w:hAnsi="Times New Roman"/>
          <w:color w:val="000000" w:themeColor="text1"/>
          <w:sz w:val="16"/>
          <w:szCs w:val="16"/>
        </w:rPr>
        <w:t>, однако, мне еще не ясно[,] следует ли ставить вопрос в резкой форме, так как в этом случае может оказаться необходимым довести дело до принципиального решения. При этом надо учитывать, как я Вам неоднократно писал, очень сильные позиции Свен фон Мюллера. Я в настоящий момент продумываю возможности использования в отношении Свена правой прессы. Как Вы помните, в свое время некоторый урон получил Бирнбаум и с тех пор корреспонденции из Варшавы носят совершенно иной характер.</w:t>
      </w:r>
    </w:p>
    <w:p w14:paraId="1BDB5791" w14:textId="77777777" w:rsidR="00D42A4D" w:rsidRPr="007122AB" w:rsidRDefault="00D42A4D" w:rsidP="007122AB">
      <w:pPr>
        <w:numPr>
          <w:ilvl w:val="0"/>
          <w:numId w:val="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до получения Вашего последнего письма я составил доклад о внутри политическом положении Германии, однако, мне пришлось его закончить в спешном порядке и поэтому я не имел возможности подробно остановиться на перспективах. Сделаю это в ближайшее время. Одновременно я готовлю доклад о внешне-политических тенденциях Германии.</w:t>
      </w:r>
    </w:p>
    <w:p w14:paraId="48BB07CE" w14:textId="77777777" w:rsidR="00D42A4D" w:rsidRPr="007122AB" w:rsidRDefault="00D42A4D" w:rsidP="007122AB">
      <w:pPr>
        <w:numPr>
          <w:ilvl w:val="0"/>
          <w:numId w:val="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области фото работы я смог бы довольно много сделать, в случае получения фото-материала.</w:t>
      </w:r>
    </w:p>
    <w:p w14:paraId="4A27482C" w14:textId="77777777" w:rsidR="00D42A4D" w:rsidRPr="007122AB" w:rsidRDefault="00D42A4D" w:rsidP="007122AB">
      <w:pPr>
        <w:pStyle w:val="ae"/>
        <w:spacing w:before="0" w:after="0"/>
        <w:jc w:val="both"/>
        <w:rPr>
          <w:color w:val="000000" w:themeColor="text1"/>
          <w:sz w:val="16"/>
          <w:szCs w:val="16"/>
        </w:rPr>
      </w:pPr>
      <w:r w:rsidRPr="007122AB">
        <w:rPr>
          <w:color w:val="000000" w:themeColor="text1"/>
          <w:sz w:val="16"/>
          <w:szCs w:val="16"/>
        </w:rPr>
        <w:t>С тов. приветом</w:t>
      </w:r>
    </w:p>
    <w:p w14:paraId="60088DC2" w14:textId="77777777" w:rsidR="00D42A4D" w:rsidRPr="007122AB" w:rsidRDefault="00D42A4D" w:rsidP="007122AB">
      <w:pPr>
        <w:pStyle w:val="ae"/>
        <w:spacing w:before="0" w:after="0"/>
        <w:jc w:val="both"/>
        <w:rPr>
          <w:color w:val="000000" w:themeColor="text1"/>
          <w:sz w:val="16"/>
          <w:szCs w:val="16"/>
        </w:rPr>
      </w:pPr>
      <w:r w:rsidRPr="007122AB">
        <w:rPr>
          <w:color w:val="000000" w:themeColor="text1"/>
          <w:sz w:val="16"/>
          <w:szCs w:val="16"/>
        </w:rPr>
        <w:t>Д. Штерн</w:t>
      </w:r>
    </w:p>
    <w:p w14:paraId="43333A25" w14:textId="77777777" w:rsidR="00D42A4D" w:rsidRPr="007122AB" w:rsidRDefault="00D42A4D"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33. Д. 8. Л. 127—127 об. Машинописный подлинник на бланке Полпредства СССР в Германии. Гриф секретности и дата машинописью, исходящий номер «№ 259» от руки в графе бланка. Вверху Л. 127 написаны от руки входящий номер и дата получения документа «10/11-31 г.», рукописная помета «архив», подпись-росчерк Миронова (18896).</w:t>
      </w:r>
    </w:p>
    <w:p w14:paraId="1F4A8226" w14:textId="77777777" w:rsidR="00D42A4D" w:rsidRPr="007122AB" w:rsidRDefault="00D42A4D" w:rsidP="007122AB">
      <w:pPr>
        <w:spacing w:after="0" w:line="240" w:lineRule="auto"/>
        <w:jc w:val="both"/>
        <w:rPr>
          <w:rFonts w:ascii="Times New Roman" w:hAnsi="Times New Roman"/>
          <w:color w:val="000000" w:themeColor="text1"/>
          <w:sz w:val="16"/>
          <w:szCs w:val="16"/>
        </w:rPr>
      </w:pPr>
    </w:p>
    <w:p w14:paraId="086FA41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DF6568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633D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февраля 1931 из-за взрыва и пожара на шахте в Манчжурии погибло до 3 тысяч шахтеров (4962).</w:t>
      </w:r>
    </w:p>
    <w:p w14:paraId="3037A4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128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февраля 1931 папа римский Пий XI издал энциклику против любых форм контроля за рождаемость (4962).</w:t>
      </w:r>
    </w:p>
    <w:p w14:paraId="4A2C04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C20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февраля 1931 состоялось торжественно открытие новой столицы Индии - Нью-Дели (4962).</w:t>
      </w:r>
    </w:p>
    <w:p w14:paraId="6D2AB1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423C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03CF95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3617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февраля 1931 вышло постановление Правительства о разработке крупнокалиберного авиационного пулемета калибра 12ю7 мм под патрон 12ю7 мм армейского пулемета ДК (3996, 74).</w:t>
      </w:r>
    </w:p>
    <w:p w14:paraId="1C356E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E5CF5" w14:textId="77777777" w:rsidR="00A96708" w:rsidRPr="007122AB" w:rsidRDefault="00A96708"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февраля 1931 г. в соответствии с пост. правительства на ТОЗ начата разработка авиационного крупнокалиберного пулемета под 12,7-мм патрон армейского пулемета ДК, в 1934г. пулемет ШВАК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(11982).</w:t>
      </w:r>
    </w:p>
    <w:p w14:paraId="7B71066E" w14:textId="77777777" w:rsidR="00A96708" w:rsidRPr="007122AB" w:rsidRDefault="00A96708" w:rsidP="007122AB">
      <w:pPr>
        <w:autoSpaceDE w:val="0"/>
        <w:autoSpaceDN w:val="0"/>
        <w:adjustRightInd w:val="0"/>
        <w:spacing w:after="0" w:line="240" w:lineRule="auto"/>
        <w:jc w:val="both"/>
        <w:rPr>
          <w:rFonts w:ascii="Times New Roman" w:hAnsi="Times New Roman"/>
          <w:color w:val="000000" w:themeColor="text1"/>
          <w:sz w:val="16"/>
          <w:szCs w:val="16"/>
        </w:rPr>
      </w:pPr>
    </w:p>
    <w:p w14:paraId="3A10AB96" w14:textId="77777777" w:rsidR="00A96708" w:rsidRPr="007122AB" w:rsidRDefault="00A9670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9 февраля</w:t>
      </w:r>
      <w:r w:rsidRPr="007122AB">
        <w:rPr>
          <w:rFonts w:ascii="Times New Roman" w:hAnsi="Times New Roman"/>
          <w:color w:val="000000" w:themeColor="text1"/>
          <w:sz w:val="16"/>
          <w:szCs w:val="16"/>
        </w:rPr>
        <w:t xml:space="preserve"> в 1931 году вышло постановление правительства о разработке крупнокалиберного авиационного пулемёта калибра 12,7 мм под патрон 12,7-мм армейского пулемёта ДК. Такой пулемёт был спроектирован </w:t>
      </w:r>
      <w:proofErr w:type="spellStart"/>
      <w:r w:rsidRPr="007122AB">
        <w:rPr>
          <w:rFonts w:ascii="Times New Roman" w:hAnsi="Times New Roman"/>
          <w:color w:val="000000" w:themeColor="text1"/>
          <w:sz w:val="16"/>
          <w:szCs w:val="16"/>
        </w:rPr>
        <w:t>С.В.Владимировым</w:t>
      </w:r>
      <w:proofErr w:type="spellEnd"/>
      <w:r w:rsidRPr="007122AB">
        <w:rPr>
          <w:rFonts w:ascii="Times New Roman" w:hAnsi="Times New Roman"/>
          <w:color w:val="000000" w:themeColor="text1"/>
          <w:sz w:val="16"/>
          <w:szCs w:val="16"/>
        </w:rPr>
        <w:t xml:space="preserve">, конструктором ПКБ (пулеметное КБ) в г. Тула и в 1934 г. был принят на вооружение под названием </w:t>
      </w:r>
      <w:hyperlink r:id="rId22" w:tgtFrame="_blank" w:history="1">
        <w:r w:rsidRPr="007122AB">
          <w:rPr>
            <w:rFonts w:ascii="Times New Roman" w:hAnsi="Times New Roman"/>
            <w:color w:val="000000" w:themeColor="text1"/>
            <w:sz w:val="16"/>
            <w:szCs w:val="16"/>
          </w:rPr>
          <w:t xml:space="preserve">"12,7-мм авиационный пулемет системы </w:t>
        </w:r>
        <w:proofErr w:type="spellStart"/>
        <w:r w:rsidRPr="007122AB">
          <w:rPr>
            <w:rFonts w:ascii="Times New Roman" w:hAnsi="Times New Roman"/>
            <w:color w:val="000000" w:themeColor="text1"/>
            <w:sz w:val="16"/>
            <w:szCs w:val="16"/>
          </w:rPr>
          <w:t>Шпитального</w:t>
        </w:r>
        <w:proofErr w:type="spellEnd"/>
        <w:r w:rsidRPr="007122AB">
          <w:rPr>
            <w:rFonts w:ascii="Times New Roman" w:hAnsi="Times New Roman"/>
            <w:color w:val="000000" w:themeColor="text1"/>
            <w:sz w:val="16"/>
            <w:szCs w:val="16"/>
          </w:rPr>
          <w:t xml:space="preserve"> и Владимирова" - ШВАК (</w:t>
        </w:r>
        <w:proofErr w:type="spellStart"/>
        <w:r w:rsidRPr="007122AB">
          <w:rPr>
            <w:rFonts w:ascii="Times New Roman" w:hAnsi="Times New Roman"/>
            <w:color w:val="000000" w:themeColor="text1"/>
            <w:sz w:val="16"/>
            <w:szCs w:val="16"/>
          </w:rPr>
          <w:t>Шпитальный</w:t>
        </w:r>
        <w:proofErr w:type="spellEnd"/>
        <w:r w:rsidRPr="007122AB">
          <w:rPr>
            <w:rFonts w:ascii="Times New Roman" w:hAnsi="Times New Roman"/>
            <w:color w:val="000000" w:themeColor="text1"/>
            <w:sz w:val="16"/>
            <w:szCs w:val="16"/>
          </w:rPr>
          <w:t xml:space="preserve"> - Владимиров - авиационный - крупнокалиберный) (15035).</w:t>
        </w:r>
      </w:hyperlink>
    </w:p>
    <w:p w14:paraId="2C937CA0" w14:textId="77777777" w:rsidR="00A96708" w:rsidRPr="007122AB" w:rsidRDefault="00A96708" w:rsidP="007122AB">
      <w:pPr>
        <w:spacing w:after="0" w:line="240" w:lineRule="auto"/>
        <w:jc w:val="both"/>
        <w:rPr>
          <w:rFonts w:ascii="Times New Roman" w:hAnsi="Times New Roman"/>
          <w:color w:val="000000" w:themeColor="text1"/>
          <w:sz w:val="16"/>
          <w:szCs w:val="16"/>
        </w:rPr>
      </w:pPr>
    </w:p>
    <w:p w14:paraId="3120C584" w14:textId="77777777" w:rsidR="00A96708" w:rsidRPr="007122AB" w:rsidRDefault="00A96708" w:rsidP="007122AB">
      <w:pPr>
        <w:pStyle w:val="rtejustify"/>
        <w:spacing w:before="0" w:after="0"/>
        <w:rPr>
          <w:color w:val="000000" w:themeColor="text1"/>
          <w:sz w:val="16"/>
          <w:szCs w:val="16"/>
        </w:rPr>
      </w:pPr>
      <w:r w:rsidRPr="007122AB">
        <w:rPr>
          <w:color w:val="000000" w:themeColor="text1"/>
          <w:sz w:val="16"/>
          <w:szCs w:val="16"/>
        </w:rPr>
        <w:t>9 февраля 1931 г. СТО принял постановление о разработке крупнокалиберного авиационного пулемета калибра 12,7 мм под патрон 12,7</w:t>
      </w:r>
      <w:r w:rsidRPr="007122AB">
        <w:rPr>
          <w:color w:val="000000" w:themeColor="text1"/>
          <w:sz w:val="16"/>
          <w:szCs w:val="16"/>
        </w:rPr>
        <w:noBreakHyphen/>
        <w:t>мм армейского пулемета ДК (Дегтярев крупнокалиберный)</w:t>
      </w:r>
      <w:r w:rsidRPr="007122AB">
        <w:rPr>
          <w:rStyle w:val="af0"/>
          <w:bCs/>
          <w:i w:val="0"/>
          <w:color w:val="000000" w:themeColor="text1"/>
          <w:sz w:val="16"/>
          <w:szCs w:val="16"/>
        </w:rPr>
        <w:t xml:space="preserve"> ШВАК (</w:t>
      </w:r>
      <w:proofErr w:type="spellStart"/>
      <w:r w:rsidRPr="007122AB">
        <w:rPr>
          <w:rStyle w:val="af0"/>
          <w:bCs/>
          <w:i w:val="0"/>
          <w:color w:val="000000" w:themeColor="text1"/>
          <w:sz w:val="16"/>
          <w:szCs w:val="16"/>
        </w:rPr>
        <w:t>Шпиталъный</w:t>
      </w:r>
      <w:proofErr w:type="spellEnd"/>
      <w:r w:rsidRPr="007122AB">
        <w:rPr>
          <w:rStyle w:val="af0"/>
          <w:bCs/>
          <w:i w:val="0"/>
          <w:color w:val="000000" w:themeColor="text1"/>
          <w:sz w:val="16"/>
          <w:szCs w:val="16"/>
        </w:rPr>
        <w:t>-Владимиров авиационный крупнокалиберный)</w:t>
      </w:r>
      <w:r w:rsidRPr="007122AB">
        <w:rPr>
          <w:color w:val="000000" w:themeColor="text1"/>
          <w:sz w:val="16"/>
          <w:szCs w:val="16"/>
        </w:rPr>
        <w:t>. Такой пулемет был спроектирован С. В. Владимировым, конструктором пулеметного КБ в Туле. Патроны 12,7</w:t>
      </w:r>
      <w:r w:rsidRPr="007122AB">
        <w:rPr>
          <w:color w:val="000000" w:themeColor="text1"/>
          <w:sz w:val="16"/>
          <w:szCs w:val="16"/>
        </w:rPr>
        <w:noBreakHyphen/>
        <w:t>мм ШВАК производились с теми же типами пуль, что и 12,7</w:t>
      </w:r>
      <w:r w:rsidRPr="007122AB">
        <w:rPr>
          <w:color w:val="000000" w:themeColor="text1"/>
          <w:sz w:val="16"/>
          <w:szCs w:val="16"/>
        </w:rPr>
        <w:noBreakHyphen/>
        <w:t xml:space="preserve">мм патроны ДК. Пулемет ШВАК изготавливался в крыльевом, </w:t>
      </w:r>
      <w:proofErr w:type="spellStart"/>
      <w:r w:rsidRPr="007122AB">
        <w:rPr>
          <w:color w:val="000000" w:themeColor="text1"/>
          <w:sz w:val="16"/>
          <w:szCs w:val="16"/>
        </w:rPr>
        <w:t>турельном</w:t>
      </w:r>
      <w:proofErr w:type="spellEnd"/>
      <w:r w:rsidRPr="007122AB">
        <w:rPr>
          <w:color w:val="000000" w:themeColor="text1"/>
          <w:sz w:val="16"/>
          <w:szCs w:val="16"/>
        </w:rPr>
        <w:t>, синхронном и моторном вариантах. Он оказался довольно эффективным оружием, однако, имел ряд недостатков. Главными из них были: большая сложность устройства отдельных узлов, что создавало проблемы при разборке и сборке. Своеобразие конструкции пулемета весьма усложнило его производство. В 1935</w:t>
      </w:r>
      <w:r w:rsidRPr="007122AB">
        <w:rPr>
          <w:color w:val="000000" w:themeColor="text1"/>
          <w:sz w:val="16"/>
          <w:szCs w:val="16"/>
        </w:rPr>
        <w:noBreakHyphen/>
        <w:t>1936 гг. на базе 12,7</w:t>
      </w:r>
      <w:r w:rsidRPr="007122AB">
        <w:rPr>
          <w:color w:val="000000" w:themeColor="text1"/>
          <w:sz w:val="16"/>
          <w:szCs w:val="16"/>
        </w:rPr>
        <w:noBreakHyphen/>
        <w:t>мм пулемета ШВАК была создана 20</w:t>
      </w:r>
      <w:r w:rsidRPr="007122AB">
        <w:rPr>
          <w:color w:val="000000" w:themeColor="text1"/>
          <w:sz w:val="16"/>
          <w:szCs w:val="16"/>
        </w:rPr>
        <w:noBreakHyphen/>
        <w:t>мм пушка ШВАК, запущенная в серийное производство в 1936 г. Через несколько месяцев после этого 12,7</w:t>
      </w:r>
      <w:r w:rsidRPr="007122AB">
        <w:rPr>
          <w:color w:val="000000" w:themeColor="text1"/>
          <w:sz w:val="16"/>
          <w:szCs w:val="16"/>
        </w:rPr>
        <w:noBreakHyphen/>
        <w:t>мм пулемет ШВАК был снят с производства (15276).</w:t>
      </w:r>
    </w:p>
    <w:p w14:paraId="5146260E" w14:textId="77777777" w:rsidR="00A96708" w:rsidRPr="007122AB" w:rsidRDefault="00A96708" w:rsidP="007122AB">
      <w:pPr>
        <w:pStyle w:val="rtejustify"/>
        <w:spacing w:before="0" w:after="0"/>
        <w:rPr>
          <w:color w:val="000000" w:themeColor="text1"/>
          <w:sz w:val="16"/>
          <w:szCs w:val="16"/>
        </w:rPr>
      </w:pPr>
    </w:p>
    <w:p w14:paraId="0B2EBD68" w14:textId="77777777" w:rsidR="005C4849" w:rsidRPr="007122AB" w:rsidRDefault="00874B1E"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B24FB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4DE8F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9 февраля 1931 года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который рьяно взялся за работу, смог предъявить представителям УММ РККА три броне</w:t>
      </w:r>
      <w:r w:rsidRPr="007122AB">
        <w:rPr>
          <w:rFonts w:ascii="Times New Roman" w:hAnsi="Times New Roman"/>
          <w:color w:val="000000" w:themeColor="text1"/>
          <w:sz w:val="16"/>
          <w:szCs w:val="16"/>
        </w:rPr>
        <w:softHyphen/>
        <w:t>вых машины: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изготовленный по проекту Ижорского завода,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и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собст</w:t>
      </w:r>
      <w:r w:rsidRPr="007122AB">
        <w:rPr>
          <w:rFonts w:ascii="Times New Roman" w:hAnsi="Times New Roman"/>
          <w:color w:val="000000" w:themeColor="text1"/>
          <w:sz w:val="16"/>
          <w:szCs w:val="16"/>
        </w:rPr>
        <w:softHyphen/>
        <w:t>венной конструкции. Причем последние предъявлялись «вчерне»: корпуса на них были только «наживлены» свар</w:t>
      </w:r>
      <w:r w:rsidRPr="007122AB">
        <w:rPr>
          <w:rFonts w:ascii="Times New Roman" w:hAnsi="Times New Roman"/>
          <w:color w:val="000000" w:themeColor="text1"/>
          <w:sz w:val="16"/>
          <w:szCs w:val="16"/>
        </w:rPr>
        <w:softHyphen/>
        <w:t xml:space="preserve">кой, бронировка двигателей и башни находились в </w:t>
      </w:r>
      <w:proofErr w:type="spellStart"/>
      <w:r w:rsidRPr="007122AB">
        <w:rPr>
          <w:rFonts w:ascii="Times New Roman" w:hAnsi="Times New Roman"/>
          <w:color w:val="000000" w:themeColor="text1"/>
          <w:sz w:val="16"/>
          <w:szCs w:val="16"/>
        </w:rPr>
        <w:t>полуза</w:t>
      </w:r>
      <w:r w:rsidRPr="007122AB">
        <w:rPr>
          <w:rFonts w:ascii="Times New Roman" w:hAnsi="Times New Roman"/>
          <w:color w:val="000000" w:themeColor="text1"/>
          <w:sz w:val="16"/>
          <w:szCs w:val="16"/>
        </w:rPr>
        <w:softHyphen/>
        <w:t>конченном</w:t>
      </w:r>
      <w:proofErr w:type="spellEnd"/>
      <w:r w:rsidRPr="007122AB">
        <w:rPr>
          <w:rFonts w:ascii="Times New Roman" w:hAnsi="Times New Roman"/>
          <w:color w:val="000000" w:themeColor="text1"/>
          <w:sz w:val="16"/>
          <w:szCs w:val="16"/>
        </w:rPr>
        <w:t xml:space="preserve"> виде. Вооружение «Форд-</w:t>
      </w:r>
      <w:proofErr w:type="spellStart"/>
      <w:r w:rsidRPr="007122AB">
        <w:rPr>
          <w:rFonts w:ascii="Times New Roman" w:hAnsi="Times New Roman"/>
          <w:color w:val="000000" w:themeColor="text1"/>
          <w:sz w:val="16"/>
          <w:szCs w:val="16"/>
        </w:rPr>
        <w:t>Тимкена</w:t>
      </w:r>
      <w:proofErr w:type="spellEnd"/>
      <w:r w:rsidRPr="007122AB">
        <w:rPr>
          <w:rFonts w:ascii="Times New Roman" w:hAnsi="Times New Roman"/>
          <w:color w:val="000000" w:themeColor="text1"/>
          <w:sz w:val="16"/>
          <w:szCs w:val="16"/>
        </w:rPr>
        <w:t xml:space="preserve">» состояло из 37-мм пушки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xml:space="preserve"> и двух пулеметов ДТ (с четырьмя гнездами для них), на «</w:t>
      </w:r>
      <w:proofErr w:type="spellStart"/>
      <w:r w:rsidRPr="007122AB">
        <w:rPr>
          <w:rFonts w:ascii="Times New Roman" w:hAnsi="Times New Roman"/>
          <w:color w:val="000000" w:themeColor="text1"/>
          <w:sz w:val="16"/>
          <w:szCs w:val="16"/>
        </w:rPr>
        <w:t>Мореланде</w:t>
      </w:r>
      <w:proofErr w:type="spellEnd"/>
      <w:r w:rsidRPr="007122AB">
        <w:rPr>
          <w:rFonts w:ascii="Times New Roman" w:hAnsi="Times New Roman"/>
          <w:color w:val="000000" w:themeColor="text1"/>
          <w:sz w:val="16"/>
          <w:szCs w:val="16"/>
        </w:rPr>
        <w:t>» планировалось устано</w:t>
      </w:r>
      <w:r w:rsidRPr="007122AB">
        <w:rPr>
          <w:rFonts w:ascii="Times New Roman" w:hAnsi="Times New Roman"/>
          <w:color w:val="000000" w:themeColor="text1"/>
          <w:sz w:val="16"/>
          <w:szCs w:val="16"/>
        </w:rPr>
        <w:softHyphen/>
        <w:t xml:space="preserve">вить 20-мм автоматическую пушку или 37-мм пушку Б-3 образца 1930 года, 4 пулемета ДТ и </w:t>
      </w:r>
      <w:proofErr w:type="spellStart"/>
      <w:r w:rsidRPr="007122AB">
        <w:rPr>
          <w:rFonts w:ascii="Times New Roman" w:hAnsi="Times New Roman"/>
          <w:color w:val="000000" w:themeColor="text1"/>
          <w:sz w:val="16"/>
          <w:szCs w:val="16"/>
        </w:rPr>
        <w:t>авиатурель</w:t>
      </w:r>
      <w:proofErr w:type="spellEnd"/>
      <w:r w:rsidRPr="007122AB">
        <w:rPr>
          <w:rFonts w:ascii="Times New Roman" w:hAnsi="Times New Roman"/>
          <w:color w:val="000000" w:themeColor="text1"/>
          <w:sz w:val="16"/>
          <w:szCs w:val="16"/>
        </w:rPr>
        <w:t>.</w:t>
      </w:r>
    </w:p>
    <w:p w14:paraId="19246E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проекта Ижорского завода представ</w:t>
      </w:r>
      <w:r w:rsidRPr="007122AB">
        <w:rPr>
          <w:rFonts w:ascii="Times New Roman" w:hAnsi="Times New Roman"/>
          <w:color w:val="000000" w:themeColor="text1"/>
          <w:sz w:val="16"/>
          <w:szCs w:val="16"/>
        </w:rPr>
        <w:softHyphen/>
        <w:t>лял собой бронеавтомобиль с корпусом прямоугольной формы, за что в документах того времени был прозван «со</w:t>
      </w:r>
      <w:r w:rsidRPr="007122AB">
        <w:rPr>
          <w:rFonts w:ascii="Times New Roman" w:hAnsi="Times New Roman"/>
          <w:color w:val="000000" w:themeColor="text1"/>
          <w:sz w:val="16"/>
          <w:szCs w:val="16"/>
        </w:rPr>
        <w:softHyphen/>
        <w:t>бачий ящик». При изготовлении машины вместо брони использовалась обычная сталь толщиной 4—8 мм. Из-за от</w:t>
      </w:r>
      <w:r w:rsidRPr="007122AB">
        <w:rPr>
          <w:rFonts w:ascii="Times New Roman" w:hAnsi="Times New Roman"/>
          <w:color w:val="000000" w:themeColor="text1"/>
          <w:sz w:val="16"/>
          <w:szCs w:val="16"/>
        </w:rPr>
        <w:softHyphen/>
        <w:t xml:space="preserve">сутствия вооружения — 12,7-мм пулемета и 20-мм пушки — башня так и не была сделана, поэтому по распоряжению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на броневик установили башню от БА-27. По</w:t>
      </w:r>
      <w:r w:rsidRPr="007122AB">
        <w:rPr>
          <w:rFonts w:ascii="Times New Roman" w:hAnsi="Times New Roman"/>
          <w:color w:val="000000" w:themeColor="text1"/>
          <w:sz w:val="16"/>
          <w:szCs w:val="16"/>
        </w:rPr>
        <w:softHyphen/>
        <w:t>сле осмотра машины военные отмечали «плохую видимость для водителя, неудобную его посадку, при езде водитель ударяется головой в потолок». Поэтому было предложено ее доработать.</w:t>
      </w:r>
    </w:p>
    <w:p w14:paraId="25B7A0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Бронемашины собственной конструкции на шасси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и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предъявил воен</w:t>
      </w:r>
      <w:r w:rsidRPr="007122AB">
        <w:rPr>
          <w:rFonts w:ascii="Times New Roman" w:hAnsi="Times New Roman"/>
          <w:color w:val="000000" w:themeColor="text1"/>
          <w:sz w:val="16"/>
          <w:szCs w:val="16"/>
        </w:rPr>
        <w:softHyphen/>
        <w:t>ным только в мае 1931 года. Броневики получили обозначе</w:t>
      </w:r>
      <w:r w:rsidRPr="007122AB">
        <w:rPr>
          <w:rFonts w:ascii="Times New Roman" w:hAnsi="Times New Roman"/>
          <w:color w:val="000000" w:themeColor="text1"/>
          <w:sz w:val="16"/>
          <w:szCs w:val="16"/>
        </w:rPr>
        <w:softHyphen/>
        <w:t xml:space="preserve">ния Д-13 и Д-9 (Д -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w:t>
      </w:r>
    </w:p>
    <w:p w14:paraId="10A533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Корпуса обеих машин собирались из 4—6 мм броневых листов при помощи сварки, что было передовым для того времени. Основное вооружение — 37-мм пушка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xml:space="preserve"> и пулемет ДТ — размещалось в раздельных установках во вращающейся башне. Конструкция последней на Д-9 и Д-13 была аналогичной. Кроме того, каждый броневик имел пулеметы ДТ в шаровых установках корпуса: Д-13 — 6 таких установок (по две на борт и по одной в лобовом и кор</w:t>
      </w:r>
      <w:r w:rsidRPr="007122AB">
        <w:rPr>
          <w:rFonts w:ascii="Times New Roman" w:hAnsi="Times New Roman"/>
          <w:color w:val="000000" w:themeColor="text1"/>
          <w:sz w:val="16"/>
          <w:szCs w:val="16"/>
        </w:rPr>
        <w:softHyphen/>
        <w:t>мовом листах), а Д-9 — 8 (по три на борт и по одной в кор</w:t>
      </w:r>
      <w:r w:rsidRPr="007122AB">
        <w:rPr>
          <w:rFonts w:ascii="Times New Roman" w:hAnsi="Times New Roman"/>
          <w:color w:val="000000" w:themeColor="text1"/>
          <w:sz w:val="16"/>
          <w:szCs w:val="16"/>
        </w:rPr>
        <w:softHyphen/>
        <w:t>мовом и лобовом листах). Для защиты от атак с воздуха бро</w:t>
      </w:r>
      <w:r w:rsidRPr="007122AB">
        <w:rPr>
          <w:rFonts w:ascii="Times New Roman" w:hAnsi="Times New Roman"/>
          <w:color w:val="000000" w:themeColor="text1"/>
          <w:sz w:val="16"/>
          <w:szCs w:val="16"/>
        </w:rPr>
        <w:softHyphen/>
        <w:t>невики оснащались авиационной турелью, расположенной на крыше корпуса за башней. Запасные колеса Д-13, уста</w:t>
      </w:r>
      <w:r w:rsidRPr="007122AB">
        <w:rPr>
          <w:rFonts w:ascii="Times New Roman" w:hAnsi="Times New Roman"/>
          <w:color w:val="000000" w:themeColor="text1"/>
          <w:sz w:val="16"/>
          <w:szCs w:val="16"/>
        </w:rPr>
        <w:softHyphen/>
        <w:t>новленные по бортам корпуса, могли вращаться и служили дополнительной опорой при преодолении броневиком вер</w:t>
      </w:r>
      <w:r w:rsidRPr="007122AB">
        <w:rPr>
          <w:rFonts w:ascii="Times New Roman" w:hAnsi="Times New Roman"/>
          <w:color w:val="000000" w:themeColor="text1"/>
          <w:sz w:val="16"/>
          <w:szCs w:val="16"/>
        </w:rPr>
        <w:softHyphen/>
        <w:t>тикальных препятствий и канав (11284).</w:t>
      </w:r>
    </w:p>
    <w:p w14:paraId="2CBC92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AB4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февраля 1931 года в докладе о ходе опытных работ в опытно-конструкторском и испытательном бюро говорилось:</w:t>
      </w:r>
    </w:p>
    <w:p w14:paraId="3C31B8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«...Инженер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сверх плана выполнил ра</w:t>
      </w:r>
      <w:r w:rsidRPr="007122AB">
        <w:rPr>
          <w:rFonts w:ascii="Times New Roman" w:hAnsi="Times New Roman"/>
          <w:color w:val="000000" w:themeColor="text1"/>
          <w:sz w:val="16"/>
          <w:szCs w:val="16"/>
        </w:rPr>
        <w:softHyphen/>
        <w:t>боты:</w:t>
      </w:r>
    </w:p>
    <w:p w14:paraId="5A79F8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«Форд-А» — работа выполнена полностью. Машина имеет следующее вооружение: 1 пулемет ДТ (пулеметных гнезд 4), 6000 патронов;</w:t>
      </w:r>
    </w:p>
    <w:p w14:paraId="1450CB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«Форд-А» - второй вариант, расширена бронировка задней части машины и установлена авиационная турель на крыше этого бронеавтомобиля. Работа предъявляется вчерне» (11284).</w:t>
      </w:r>
    </w:p>
    <w:p w14:paraId="7AAB7B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22B4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февраля 1931 г. — Доклад научно-исследовательской группы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об основных этапах развития военной техники</w:t>
      </w:r>
    </w:p>
    <w:p w14:paraId="1133E6C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0F29A79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Контрольные точки пятилетнего плана развития научно-исследовательских работ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в связи с задачами реконструкции</w:t>
      </w:r>
    </w:p>
    <w:p w14:paraId="4C0F9F14"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Развитие видов военной техники, обслуживать которые призвано </w:t>
      </w:r>
      <w:proofErr w:type="spellStart"/>
      <w:r w:rsidRPr="007122AB">
        <w:rPr>
          <w:color w:val="000000" w:themeColor="text1"/>
          <w:sz w:val="16"/>
          <w:szCs w:val="16"/>
        </w:rPr>
        <w:t>Оружобъединение</w:t>
      </w:r>
      <w:proofErr w:type="spellEnd"/>
      <w:r w:rsidRPr="007122AB">
        <w:rPr>
          <w:color w:val="000000" w:themeColor="text1"/>
          <w:sz w:val="16"/>
          <w:szCs w:val="16"/>
        </w:rPr>
        <w:t>, характеризуется следующей динамикой, если остановиться хотя бы только на двух основных показателях — дальнобойность и скорострельность для огнестрельного оружия.</w:t>
      </w:r>
    </w:p>
    <w:p w14:paraId="0E569DD5" w14:textId="77777777" w:rsidR="005E7475" w:rsidRPr="007122AB" w:rsidRDefault="005E7475" w:rsidP="007122AB">
      <w:pPr>
        <w:pStyle w:val="ae"/>
        <w:spacing w:before="0" w:after="0"/>
        <w:jc w:val="both"/>
        <w:rPr>
          <w:color w:val="000000" w:themeColor="text1"/>
          <w:sz w:val="16"/>
          <w:szCs w:val="16"/>
        </w:rPr>
      </w:pPr>
      <w:r w:rsidRPr="007122AB">
        <w:rPr>
          <w:rStyle w:val="a7"/>
          <w:b w:val="0"/>
          <w:color w:val="000000" w:themeColor="text1"/>
          <w:sz w:val="16"/>
          <w:szCs w:val="16"/>
        </w:rPr>
        <w:t>Сравнительная таблица прогресса военного оружия с 1914 по 1929 гг.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17"/>
        <w:gridCol w:w="3100"/>
        <w:gridCol w:w="2805"/>
      </w:tblGrid>
      <w:tr w:rsidR="00B65F32" w:rsidRPr="007122AB" w14:paraId="66DEA25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BF1A68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Название оружия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D908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Дальнобойность,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94CC" w14:textId="77777777" w:rsidR="005E7475" w:rsidRPr="007122AB" w:rsidRDefault="005E747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Скоростр</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ельность</w:t>
            </w:r>
            <w:proofErr w:type="spellEnd"/>
            <w:r w:rsidRPr="007122AB">
              <w:rPr>
                <w:rFonts w:ascii="Times New Roman" w:hAnsi="Times New Roman"/>
                <w:color w:val="000000" w:themeColor="text1"/>
                <w:sz w:val="16"/>
                <w:szCs w:val="16"/>
              </w:rPr>
              <w:t>]</w:t>
            </w:r>
          </w:p>
          <w:p w14:paraId="5F2BF74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w:t>
            </w:r>
            <w:proofErr w:type="spellStart"/>
            <w:r w:rsidRPr="007122AB">
              <w:rPr>
                <w:rFonts w:ascii="Times New Roman" w:hAnsi="Times New Roman"/>
                <w:color w:val="000000" w:themeColor="text1"/>
                <w:sz w:val="16"/>
                <w:szCs w:val="16"/>
              </w:rPr>
              <w:t>колич</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еством</w:t>
            </w:r>
            <w:proofErr w:type="spellEnd"/>
            <w:r w:rsidRPr="007122AB">
              <w:rPr>
                <w:rFonts w:ascii="Times New Roman" w:hAnsi="Times New Roman"/>
                <w:color w:val="000000" w:themeColor="text1"/>
                <w:sz w:val="16"/>
                <w:szCs w:val="16"/>
              </w:rPr>
              <w:t>]</w:t>
            </w:r>
          </w:p>
          <w:p w14:paraId="34BB30B9" w14:textId="77777777" w:rsidR="005E7475" w:rsidRPr="007122AB" w:rsidRDefault="005E747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елов</w:t>
            </w:r>
            <w:proofErr w:type="spellEnd"/>
            <w:r w:rsidRPr="007122AB">
              <w:rPr>
                <w:rFonts w:ascii="Times New Roman" w:hAnsi="Times New Roman"/>
                <w:color w:val="000000" w:themeColor="text1"/>
                <w:sz w:val="16"/>
                <w:szCs w:val="16"/>
              </w:rPr>
              <w:t>]</w:t>
            </w:r>
          </w:p>
          <w:p w14:paraId="0C48FB5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минуту</w:t>
            </w:r>
          </w:p>
        </w:tc>
      </w:tr>
      <w:tr w:rsidR="00B65F32" w:rsidRPr="007122AB" w14:paraId="5833ABC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607329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I. Винтовка 1914 г. 7,66 мм²*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B65F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F87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20-25</w:t>
            </w:r>
          </w:p>
        </w:tc>
      </w:tr>
      <w:tr w:rsidR="00B65F32" w:rsidRPr="007122AB" w14:paraId="30A8AC92"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150C48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F8E5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359C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20-25</w:t>
            </w:r>
          </w:p>
        </w:tc>
      </w:tr>
      <w:tr w:rsidR="00B65F32" w:rsidRPr="007122AB" w14:paraId="180315E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1F11F3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 1914 г. 7,62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D04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10B1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510-750</w:t>
            </w:r>
          </w:p>
        </w:tc>
      </w:tr>
      <w:tr w:rsidR="00B65F32" w:rsidRPr="007122AB" w14:paraId="54CFA93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96CCAC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68D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0036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1200-1500</w:t>
            </w:r>
          </w:p>
        </w:tc>
      </w:tr>
      <w:tr w:rsidR="00B65F32" w:rsidRPr="007122AB" w14:paraId="5E8FDB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9C57A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 1914 г. 7,62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CBC3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CD26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510-750</w:t>
            </w:r>
          </w:p>
        </w:tc>
      </w:tr>
      <w:tr w:rsidR="00B65F32" w:rsidRPr="007122AB" w14:paraId="675E9D3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FF7190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9050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1C5D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1200-1500</w:t>
            </w:r>
          </w:p>
        </w:tc>
      </w:tr>
      <w:tr w:rsidR="00B65F32" w:rsidRPr="007122AB" w14:paraId="410352CC"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3C2535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II. Дивизионная артиллерия</w:t>
            </w:r>
          </w:p>
        </w:tc>
      </w:tr>
      <w:tr w:rsidR="00B65F32" w:rsidRPr="007122AB" w14:paraId="1626B65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78C261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Дивизион[ная] пушка 75,77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D185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C9ED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B65F32" w:rsidRPr="007122AB" w14:paraId="689B63A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62EC4D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2F2C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99C3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20-25</w:t>
            </w:r>
          </w:p>
        </w:tc>
      </w:tr>
      <w:tr w:rsidR="00B65F32" w:rsidRPr="007122AB" w14:paraId="18DA213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C4A6D1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Дивизионная гаубица 105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89F8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D5F3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B65F32" w:rsidRPr="007122AB" w14:paraId="0B12DDB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338EDD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9E83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E50E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—⁴*</w:t>
            </w:r>
          </w:p>
        </w:tc>
      </w:tr>
      <w:tr w:rsidR="00B65F32" w:rsidRPr="007122AB" w14:paraId="5ED5CEC9"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DCFFAC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III. Корпусная артиллерия</w:t>
            </w:r>
          </w:p>
        </w:tc>
      </w:tr>
      <w:tr w:rsidR="00B65F32" w:rsidRPr="007122AB" w14:paraId="64B2DB5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B6ACAF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Корпусная пушка 105</w:t>
            </w:r>
            <w:r w:rsidRPr="007122AB">
              <w:rPr>
                <w:rFonts w:ascii="Times New Roman" w:hAnsi="Times New Roman"/>
                <w:color w:val="000000" w:themeColor="text1"/>
                <w:sz w:val="16"/>
                <w:szCs w:val="16"/>
              </w:rPr>
              <w:noBreakHyphen/>
              <w:t>107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265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FE14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B65F32" w:rsidRPr="007122AB" w14:paraId="6A59E97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C95F51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96F8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8F3B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464DC8A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65DCF4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Гаубица 150</w:t>
            </w:r>
            <w:r w:rsidRPr="007122AB">
              <w:rPr>
                <w:rFonts w:ascii="Times New Roman" w:hAnsi="Times New Roman"/>
                <w:color w:val="000000" w:themeColor="text1"/>
                <w:sz w:val="16"/>
                <w:szCs w:val="16"/>
              </w:rPr>
              <w:noBreakHyphen/>
              <w:t>152 см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6D6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EE2C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w:t>
            </w:r>
          </w:p>
        </w:tc>
      </w:tr>
      <w:tr w:rsidR="007122AB" w:rsidRPr="007122AB" w14:paraId="261DAD3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1176D8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1E37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FCC4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5-6⁵*</w:t>
            </w:r>
          </w:p>
        </w:tc>
      </w:tr>
      <w:tr w:rsidR="007122AB" w:rsidRPr="007122AB" w14:paraId="013920EF"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B8B11D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IV. Артиллерийский резерв Главного командования</w:t>
            </w:r>
          </w:p>
        </w:tc>
      </w:tr>
      <w:tr w:rsidR="007122AB" w:rsidRPr="007122AB" w14:paraId="60759D4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7B1158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 150</w:t>
            </w:r>
            <w:r w:rsidRPr="007122AB">
              <w:rPr>
                <w:rFonts w:ascii="Times New Roman" w:hAnsi="Times New Roman"/>
                <w:color w:val="000000" w:themeColor="text1"/>
                <w:sz w:val="16"/>
                <w:szCs w:val="16"/>
              </w:rPr>
              <w:noBreakHyphen/>
              <w:t>152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4292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A755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7122AB" w:rsidRPr="007122AB" w14:paraId="09131F1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B20AF2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26C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9D6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З⁶*</w:t>
            </w:r>
          </w:p>
        </w:tc>
      </w:tr>
      <w:tr w:rsidR="007122AB" w:rsidRPr="007122AB" w14:paraId="4A5E176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9D5E1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w:t>
            </w:r>
            <w:r w:rsidRPr="007122AB">
              <w:rPr>
                <w:rFonts w:ascii="Times New Roman" w:hAnsi="Times New Roman"/>
                <w:color w:val="000000" w:themeColor="text1"/>
                <w:sz w:val="16"/>
                <w:szCs w:val="16"/>
              </w:rPr>
              <w:noBreakHyphen/>
              <w:t>220</w:t>
            </w:r>
            <w:r w:rsidRPr="007122AB">
              <w:rPr>
                <w:rFonts w:ascii="Times New Roman" w:hAnsi="Times New Roman"/>
                <w:color w:val="000000" w:themeColor="text1"/>
                <w:sz w:val="16"/>
                <w:szCs w:val="16"/>
              </w:rPr>
              <w:noBreakHyphen/>
              <w:t>мм гаубица 1914 г. и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EBDC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F14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⅓ до 2</w:t>
            </w:r>
          </w:p>
        </w:tc>
      </w:tr>
      <w:tr w:rsidR="007122AB" w:rsidRPr="007122AB" w14:paraId="6254AB6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6B51E6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B6D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2787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54B20A1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540420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305</w:t>
            </w:r>
            <w:r w:rsidRPr="007122AB">
              <w:rPr>
                <w:rFonts w:ascii="Times New Roman" w:hAnsi="Times New Roman"/>
                <w:color w:val="000000" w:themeColor="text1"/>
                <w:sz w:val="16"/>
                <w:szCs w:val="16"/>
              </w:rPr>
              <w:noBreakHyphen/>
              <w:t>мм гаубица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2969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8A6C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⅓</w:t>
            </w:r>
          </w:p>
        </w:tc>
      </w:tr>
      <w:tr w:rsidR="007122AB" w:rsidRPr="007122AB" w14:paraId="594EB83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D38DA6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C1E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0E49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около 3</w:t>
            </w:r>
          </w:p>
        </w:tc>
      </w:tr>
      <w:tr w:rsidR="007122AB" w:rsidRPr="007122AB" w14:paraId="5ECCB39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BFD1E3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355</w:t>
            </w:r>
            <w:r w:rsidRPr="007122AB">
              <w:rPr>
                <w:rFonts w:ascii="Times New Roman" w:hAnsi="Times New Roman"/>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26A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EF29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3104311B"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11840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V. Зенитные орудия</w:t>
            </w:r>
          </w:p>
        </w:tc>
      </w:tr>
      <w:tr w:rsidR="007122AB" w:rsidRPr="007122AB" w14:paraId="67DA60B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8DCA3D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75-77</w:t>
            </w:r>
            <w:r w:rsidRPr="007122AB">
              <w:rPr>
                <w:rFonts w:ascii="Times New Roman" w:hAnsi="Times New Roman"/>
                <w:color w:val="000000" w:themeColor="text1"/>
                <w:sz w:val="16"/>
                <w:szCs w:val="16"/>
              </w:rPr>
              <w:noBreakHyphen/>
              <w:t>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5359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11/8-9/7⁷*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578D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7122AB" w:rsidRPr="007122AB" w14:paraId="10A4F0A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FBC5F4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140F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8FA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r>
      <w:tr w:rsidR="007122AB" w:rsidRPr="007122AB" w14:paraId="7BA58C5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2B1219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Орудие 100—105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27F6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ECC0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r>
      <w:tr w:rsidR="007122AB" w:rsidRPr="007122AB" w14:paraId="2B07395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906F55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F334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EB30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r>
      <w:tr w:rsidR="007122AB" w:rsidRPr="007122AB" w14:paraId="0C8E95D3"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F30573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VI. Железнодорожная артиллерия</w:t>
            </w:r>
          </w:p>
        </w:tc>
      </w:tr>
      <w:tr w:rsidR="007122AB" w:rsidRPr="007122AB" w14:paraId="38E1365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516860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305</w:t>
            </w:r>
            <w:r w:rsidRPr="007122AB">
              <w:rPr>
                <w:rFonts w:ascii="Times New Roman" w:hAnsi="Times New Roman"/>
                <w:color w:val="000000" w:themeColor="text1"/>
                <w:sz w:val="16"/>
                <w:szCs w:val="16"/>
              </w:rPr>
              <w:noBreakHyphen/>
              <w:t>мм пушка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FEA1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8B3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r>
      <w:tr w:rsidR="007122AB" w:rsidRPr="007122AB" w14:paraId="7F3D06B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2EE94A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8A2F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3D6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1A66501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338393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305</w:t>
            </w:r>
            <w:r w:rsidRPr="007122AB">
              <w:rPr>
                <w:rFonts w:ascii="Times New Roman" w:hAnsi="Times New Roman"/>
                <w:color w:val="000000" w:themeColor="text1"/>
                <w:sz w:val="16"/>
                <w:szCs w:val="16"/>
              </w:rPr>
              <w:noBreakHyphen/>
              <w:t>мм пушка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86BA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753C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7AA39EF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21C394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5E3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7D7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r>
      <w:tr w:rsidR="007122AB" w:rsidRPr="007122AB" w14:paraId="0AB3169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215536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w:t>
            </w:r>
            <w:r w:rsidRPr="007122AB">
              <w:rPr>
                <w:rFonts w:ascii="Times New Roman" w:hAnsi="Times New Roman"/>
                <w:color w:val="000000" w:themeColor="text1"/>
                <w:sz w:val="16"/>
                <w:szCs w:val="16"/>
              </w:rPr>
              <w:noBreakHyphen/>
              <w:t>мм пушка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53B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5D1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573FB69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3778E6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356</w:t>
            </w:r>
            <w:r w:rsidRPr="007122AB">
              <w:rPr>
                <w:rFonts w:ascii="Times New Roman" w:hAnsi="Times New Roman"/>
                <w:color w:val="000000" w:themeColor="text1"/>
                <w:sz w:val="16"/>
                <w:szCs w:val="16"/>
              </w:rPr>
              <w:noBreakHyphen/>
              <w:t>мм пушка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DF70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BA96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42E62AD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24D236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37DF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3F68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1C91621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305FC4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C13E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2BC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0AB86E3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06CE78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380</w:t>
            </w:r>
            <w:r w:rsidRPr="007122AB">
              <w:rPr>
                <w:rFonts w:ascii="Times New Roman" w:hAnsi="Times New Roman"/>
                <w:color w:val="000000" w:themeColor="text1"/>
                <w:sz w:val="16"/>
                <w:szCs w:val="16"/>
              </w:rPr>
              <w:noBreakHyphen/>
              <w:t>мм пушка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9B8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9A62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7122AB" w:rsidRPr="007122AB" w14:paraId="3002A62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069802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VII. Сверхдальнобойная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7D9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A5E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7122AB" w:rsidRPr="007122AB" w14:paraId="2842E64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0ABE23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w:t>
            </w:r>
            <w:r w:rsidRPr="007122AB">
              <w:rPr>
                <w:rFonts w:ascii="Times New Roman" w:hAnsi="Times New Roman"/>
                <w:color w:val="000000" w:themeColor="text1"/>
                <w:sz w:val="16"/>
                <w:szCs w:val="16"/>
              </w:rPr>
              <w:noBreakHyphen/>
              <w:t>мм пушка 1917 и 1920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2CBA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102-120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6D7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029782D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98974F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9A1B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CDB5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21862871"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983D4C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VIII. Морская артиллерия</w:t>
            </w:r>
          </w:p>
        </w:tc>
      </w:tr>
      <w:tr w:rsidR="007122AB" w:rsidRPr="007122AB" w14:paraId="4377A8A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2CA3B3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r w:rsidRPr="007122AB">
              <w:rPr>
                <w:rFonts w:ascii="Times New Roman" w:hAnsi="Times New Roman"/>
                <w:color w:val="000000" w:themeColor="text1"/>
                <w:sz w:val="16"/>
                <w:szCs w:val="16"/>
              </w:rPr>
              <w:noBreakHyphen/>
              <w:t>мм орудие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F5E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18 до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C683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r>
      <w:tr w:rsidR="007122AB" w:rsidRPr="007122AB" w14:paraId="41276FA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08E624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w:t>
            </w:r>
            <w:r w:rsidRPr="007122AB">
              <w:rPr>
                <w:rFonts w:ascii="Times New Roman" w:hAnsi="Times New Roman"/>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CA2B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C3D4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r>
      <w:tr w:rsidR="007122AB" w:rsidRPr="007122AB" w14:paraId="19D5061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0F2857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305</w:t>
            </w:r>
            <w:r w:rsidRPr="007122AB">
              <w:rPr>
                <w:rFonts w:ascii="Times New Roman" w:hAnsi="Times New Roman"/>
                <w:color w:val="000000" w:themeColor="text1"/>
                <w:sz w:val="16"/>
                <w:szCs w:val="16"/>
              </w:rPr>
              <w:noBreakHyphen/>
              <w:t>мм (50 кал[</w:t>
            </w:r>
            <w:proofErr w:type="spellStart"/>
            <w:r w:rsidRPr="007122AB">
              <w:rPr>
                <w:rFonts w:ascii="Times New Roman" w:hAnsi="Times New Roman"/>
                <w:color w:val="000000" w:themeColor="text1"/>
                <w:sz w:val="16"/>
                <w:szCs w:val="16"/>
              </w:rPr>
              <w:t>ибров</w:t>
            </w:r>
            <w:proofErr w:type="spellEnd"/>
            <w:r w:rsidRPr="007122AB">
              <w:rPr>
                <w:rFonts w:ascii="Times New Roman" w:hAnsi="Times New Roman"/>
                <w:color w:val="000000" w:themeColor="text1"/>
                <w:sz w:val="16"/>
                <w:szCs w:val="16"/>
              </w:rPr>
              <w:t>], 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605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23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A17F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0E8A60B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C585BA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356</w:t>
            </w:r>
            <w:r w:rsidRPr="007122AB">
              <w:rPr>
                <w:rFonts w:ascii="Times New Roman" w:hAnsi="Times New Roman"/>
                <w:color w:val="000000" w:themeColor="text1"/>
                <w:sz w:val="16"/>
                <w:szCs w:val="16"/>
              </w:rPr>
              <w:noBreakHyphen/>
              <w:t>мм (50 кал[</w:t>
            </w:r>
            <w:proofErr w:type="spellStart"/>
            <w:r w:rsidRPr="007122AB">
              <w:rPr>
                <w:rFonts w:ascii="Times New Roman" w:hAnsi="Times New Roman"/>
                <w:color w:val="000000" w:themeColor="text1"/>
                <w:sz w:val="16"/>
                <w:szCs w:val="16"/>
              </w:rPr>
              <w:t>ибров</w:t>
            </w:r>
            <w:proofErr w:type="spellEnd"/>
            <w:r w:rsidRPr="007122AB">
              <w:rPr>
                <w:rFonts w:ascii="Times New Roman" w:hAnsi="Times New Roman"/>
                <w:color w:val="000000" w:themeColor="text1"/>
                <w:sz w:val="16"/>
                <w:szCs w:val="16"/>
              </w:rPr>
              <w:t>], 14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FCB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30 до 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B092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0D5E775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DAC9CE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406</w:t>
            </w:r>
            <w:r w:rsidRPr="007122AB">
              <w:rPr>
                <w:rFonts w:ascii="Times New Roman" w:hAnsi="Times New Roman"/>
                <w:color w:val="000000" w:themeColor="text1"/>
                <w:sz w:val="16"/>
                <w:szCs w:val="16"/>
              </w:rPr>
              <w:noBreakHyphen/>
              <w:t>мм (50 кал[</w:t>
            </w:r>
            <w:proofErr w:type="spellStart"/>
            <w:r w:rsidRPr="007122AB">
              <w:rPr>
                <w:rFonts w:ascii="Times New Roman" w:hAnsi="Times New Roman"/>
                <w:color w:val="000000" w:themeColor="text1"/>
                <w:sz w:val="16"/>
                <w:szCs w:val="16"/>
              </w:rPr>
              <w:t>ибров</w:t>
            </w:r>
            <w:proofErr w:type="spellEnd"/>
            <w:r w:rsidRPr="007122AB">
              <w:rPr>
                <w:rFonts w:ascii="Times New Roman" w:hAnsi="Times New Roman"/>
                <w:color w:val="000000" w:themeColor="text1"/>
                <w:sz w:val="16"/>
                <w:szCs w:val="16"/>
              </w:rPr>
              <w:t>], 16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C16A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91C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7122AB" w:rsidRPr="007122AB" w14:paraId="5B492B4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C14AB0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457</w:t>
            </w:r>
            <w:r w:rsidRPr="007122AB">
              <w:rPr>
                <w:rFonts w:ascii="Times New Roman" w:hAnsi="Times New Roman"/>
                <w:color w:val="000000" w:themeColor="text1"/>
                <w:sz w:val="16"/>
                <w:szCs w:val="16"/>
              </w:rPr>
              <w:noBreakHyphen/>
              <w:t>мм (50 кал[</w:t>
            </w:r>
            <w:proofErr w:type="spellStart"/>
            <w:r w:rsidRPr="007122AB">
              <w:rPr>
                <w:rFonts w:ascii="Times New Roman" w:hAnsi="Times New Roman"/>
                <w:color w:val="000000" w:themeColor="text1"/>
                <w:sz w:val="16"/>
                <w:szCs w:val="16"/>
              </w:rPr>
              <w:t>ибров</w:t>
            </w:r>
            <w:proofErr w:type="spellEnd"/>
            <w:r w:rsidRPr="007122AB">
              <w:rPr>
                <w:rFonts w:ascii="Times New Roman" w:hAnsi="Times New Roman"/>
                <w:color w:val="000000" w:themeColor="text1"/>
                <w:sz w:val="16"/>
                <w:szCs w:val="16"/>
              </w:rPr>
              <w:t>], 18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3144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C9EE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7122AB" w:rsidRPr="007122AB" w14:paraId="1429C36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10F477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508</w:t>
            </w:r>
            <w:r w:rsidRPr="007122AB">
              <w:rPr>
                <w:rFonts w:ascii="Times New Roman" w:hAnsi="Times New Roman"/>
                <w:color w:val="000000" w:themeColor="text1"/>
                <w:sz w:val="16"/>
                <w:szCs w:val="16"/>
              </w:rPr>
              <w:noBreakHyphen/>
              <w:t>мм (50 кал[</w:t>
            </w:r>
            <w:proofErr w:type="spellStart"/>
            <w:r w:rsidRPr="007122AB">
              <w:rPr>
                <w:rFonts w:ascii="Times New Roman" w:hAnsi="Times New Roman"/>
                <w:color w:val="000000" w:themeColor="text1"/>
                <w:sz w:val="16"/>
                <w:szCs w:val="16"/>
              </w:rPr>
              <w:t>ибров</w:t>
            </w:r>
            <w:proofErr w:type="spellEnd"/>
            <w:r w:rsidRPr="007122AB">
              <w:rPr>
                <w:rFonts w:ascii="Times New Roman" w:hAnsi="Times New Roman"/>
                <w:color w:val="000000" w:themeColor="text1"/>
                <w:sz w:val="16"/>
                <w:szCs w:val="16"/>
              </w:rPr>
              <w:t>], 20 дюймов)⁹*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C0C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4360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2139E883"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Как видно, эволюция в дальнобойности и скорострельности поразительная, дающая в среднем приращение по сравнению с 1914 г. По винтовке дальнобойность прямого выстрела в 6 раз. Скорострельность осталась без изменения¹⁰*. По пулеметам дальнобойность прямого выстрела — в 6 раз, скорострельность — в 2</w:t>
      </w:r>
      <w:r w:rsidRPr="007122AB">
        <w:rPr>
          <w:color w:val="000000" w:themeColor="text1"/>
          <w:sz w:val="16"/>
          <w:szCs w:val="16"/>
        </w:rPr>
        <w:noBreakHyphen/>
        <w:t>3 раза.</w:t>
      </w:r>
    </w:p>
    <w:p w14:paraId="4599B5DE"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В дивизионной артиллерии приращение дальнобойности в 1,5 раза с тенденцией к 2</w:t>
      </w:r>
      <w:r w:rsidRPr="007122AB">
        <w:rPr>
          <w:color w:val="000000" w:themeColor="text1"/>
          <w:sz w:val="16"/>
          <w:szCs w:val="16"/>
        </w:rPr>
        <w:noBreakHyphen/>
        <w:t>м, скорострельности — в 2 раза. Особенно бросается в глаза дальнобойность 77</w:t>
      </w:r>
      <w:r w:rsidRPr="007122AB">
        <w:rPr>
          <w:color w:val="000000" w:themeColor="text1"/>
          <w:sz w:val="16"/>
          <w:szCs w:val="16"/>
        </w:rPr>
        <w:noBreakHyphen/>
        <w:t>мм¹¹* морской японской [пушки] — 30 км. Увеличение дальнобойности корпусных орудий также стремится к 2, а скорострельности, если основываться на соответствующих морских калибрах, то к 4¹²*.</w:t>
      </w:r>
    </w:p>
    <w:p w14:paraId="34E2DC0B"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То же самое должно быть отмечено и по орудиям артиллерийского резерва Главного командования. То же в отношении зенитной артиллерии, которая, по данным на 1929 г., достигла рекордной цифры по </w:t>
      </w:r>
      <w:proofErr w:type="spellStart"/>
      <w:r w:rsidRPr="007122AB">
        <w:rPr>
          <w:color w:val="000000" w:themeColor="text1"/>
          <w:sz w:val="16"/>
          <w:szCs w:val="16"/>
        </w:rPr>
        <w:t>высотобойности</w:t>
      </w:r>
      <w:proofErr w:type="spellEnd"/>
      <w:r w:rsidRPr="007122AB">
        <w:rPr>
          <w:color w:val="000000" w:themeColor="text1"/>
          <w:sz w:val="16"/>
          <w:szCs w:val="16"/>
        </w:rPr>
        <w:t> — 17 км при скорострельности 15 выстрелов в минуту. Для 105</w:t>
      </w:r>
      <w:r w:rsidRPr="007122AB">
        <w:rPr>
          <w:color w:val="000000" w:themeColor="text1"/>
          <w:sz w:val="16"/>
          <w:szCs w:val="16"/>
        </w:rPr>
        <w:noBreakHyphen/>
        <w:t xml:space="preserve">мм орудий — </w:t>
      </w:r>
      <w:proofErr w:type="spellStart"/>
      <w:r w:rsidRPr="007122AB">
        <w:rPr>
          <w:color w:val="000000" w:themeColor="text1"/>
          <w:sz w:val="16"/>
          <w:szCs w:val="16"/>
        </w:rPr>
        <w:t>высотобойности</w:t>
      </w:r>
      <w:proofErr w:type="spellEnd"/>
      <w:r w:rsidRPr="007122AB">
        <w:rPr>
          <w:color w:val="000000" w:themeColor="text1"/>
          <w:sz w:val="16"/>
          <w:szCs w:val="16"/>
        </w:rPr>
        <w:t xml:space="preserve"> 13 км, скорострельности 50 выстрелов в минуту для 76</w:t>
      </w:r>
      <w:r w:rsidRPr="007122AB">
        <w:rPr>
          <w:color w:val="000000" w:themeColor="text1"/>
          <w:sz w:val="16"/>
          <w:szCs w:val="16"/>
        </w:rPr>
        <w:noBreakHyphen/>
        <w:t xml:space="preserve">мм калибра при </w:t>
      </w:r>
      <w:proofErr w:type="spellStart"/>
      <w:r w:rsidRPr="007122AB">
        <w:rPr>
          <w:color w:val="000000" w:themeColor="text1"/>
          <w:sz w:val="16"/>
          <w:szCs w:val="16"/>
        </w:rPr>
        <w:t>высотобойности</w:t>
      </w:r>
      <w:proofErr w:type="spellEnd"/>
      <w:r w:rsidRPr="007122AB">
        <w:rPr>
          <w:color w:val="000000" w:themeColor="text1"/>
          <w:sz w:val="16"/>
          <w:szCs w:val="16"/>
        </w:rPr>
        <w:t xml:space="preserve"> 13 км.</w:t>
      </w:r>
    </w:p>
    <w:p w14:paraId="7E205607"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По железнодорожной артиллерии бросается в глаза достигнутая еще в 1914 г. большая скорострельность таких крупных орудий, как 305 мм — 4 выстрела в минуту. Из этой группы особенно следует отметить 380</w:t>
      </w:r>
      <w:r w:rsidRPr="007122AB">
        <w:rPr>
          <w:color w:val="000000" w:themeColor="text1"/>
          <w:sz w:val="16"/>
          <w:szCs w:val="16"/>
        </w:rPr>
        <w:noBreakHyphen/>
        <w:t xml:space="preserve">мм </w:t>
      </w:r>
      <w:proofErr w:type="spellStart"/>
      <w:r w:rsidRPr="007122AB">
        <w:rPr>
          <w:color w:val="000000" w:themeColor="text1"/>
          <w:sz w:val="16"/>
          <w:szCs w:val="16"/>
        </w:rPr>
        <w:t>крупповскую</w:t>
      </w:r>
      <w:proofErr w:type="spellEnd"/>
      <w:r w:rsidRPr="007122AB">
        <w:rPr>
          <w:color w:val="000000" w:themeColor="text1"/>
          <w:sz w:val="16"/>
          <w:szCs w:val="16"/>
        </w:rPr>
        <w:t>, которая стреляла на дистанции 55 км при скорострельности 3 выстрела в минуту.</w:t>
      </w:r>
    </w:p>
    <w:p w14:paraId="3991480C"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Сверхдальнобойная артиллерия, будучи в свое время своего рода техническим трюком, по мнению Италии, должна стать серьезным орудием войны и имеет эволюцию дальности до 200 км.</w:t>
      </w:r>
    </w:p>
    <w:p w14:paraId="1585D7CB"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Из группы морских и береговых орудий особенно следует отметить 18</w:t>
      </w:r>
      <w:r w:rsidRPr="007122AB">
        <w:rPr>
          <w:color w:val="000000" w:themeColor="text1"/>
          <w:sz w:val="16"/>
          <w:szCs w:val="16"/>
        </w:rPr>
        <w:noBreakHyphen/>
        <w:t>дюймовые и 20</w:t>
      </w:r>
      <w:r w:rsidRPr="007122AB">
        <w:rPr>
          <w:color w:val="000000" w:themeColor="text1"/>
          <w:sz w:val="16"/>
          <w:szCs w:val="16"/>
        </w:rPr>
        <w:noBreakHyphen/>
        <w:t>дюймовые орудия. По Вашингтонской конференции на вооружении флотов не должно находиться орудие выше 16 дюймов, но в береговой артиллерии державы себя этим калибром не считают связанными, и Америка экспериментирует с 18</w:t>
      </w:r>
      <w:r w:rsidRPr="007122AB">
        <w:rPr>
          <w:color w:val="000000" w:themeColor="text1"/>
          <w:sz w:val="16"/>
          <w:szCs w:val="16"/>
        </w:rPr>
        <w:noBreakHyphen/>
        <w:t>дюймовым орудием. С точки зрения артиллерийской техники, и в особенности для металлургии, исключительный интерес и важность представляет 20</w:t>
      </w:r>
      <w:r w:rsidRPr="007122AB">
        <w:rPr>
          <w:color w:val="000000" w:themeColor="text1"/>
          <w:sz w:val="16"/>
          <w:szCs w:val="16"/>
        </w:rPr>
        <w:noBreakHyphen/>
        <w:t>дюймовая пушка. Этот калибр Крупп приготовил в виде особого сюрприза, рассчитывая на внезапность, к концу империалистической войны. Данные по эволюции танкового дела даются отдельно.</w:t>
      </w:r>
    </w:p>
    <w:p w14:paraId="4AB43BA5"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Уже эти скудные сведения должны дать производству очень серьезный материал для размышления, и можно с полной определенностью сказать, что если будет учтена эта самая эволюция, то все проектирование наших артиллерийских цехов, начиная с орудийных, а в особенности по затвору и лафетам, должно выглядеть совершенно иначе, чем это имеет место сейчас у нас.</w:t>
      </w:r>
    </w:p>
    <w:p w14:paraId="7F610BEB"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Однако указанных двух показателей дальнобойности и скорострельности для проведения необходимых изменений в производство недостаточно, и нам желательно было бы иметь на первое время разработанный материал хотя бы по следующим основным показателям: 1) по скорострельности; 2) по дальнобойности; 3) по подвижности, понимая под последней вес системы в боевом и походном положении и скорость движения — км/ч; 4) мощность (дульная энергия); 5) коэффициент использования металла. (Дульная энергия, разделенная как на вес системы — по орудию и лафету в боевом положении, так и отдельно по основным элементам — по орудию и лафету); 6) живучести, подразумевая под последней количество выстрелов, которые делает система до потери меткости в заданных пределах и наконец 7) надежность системы в работе.</w:t>
      </w:r>
    </w:p>
    <w:p w14:paraId="4913348D"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С точки зрения задания металлургии, необходимо здесь остановиться на одном важном факторе — живучесть, по данным, относящимся ко времени мировой войны; орудия русской артиллерии в отношении продолжительности «жизни» находились на одном из последних мест. Так, например, предельный срок пушки указанного периода характеризуется следующим средним числом выстрелов: 1) Германия — 76</w:t>
      </w:r>
      <w:r w:rsidRPr="007122AB">
        <w:rPr>
          <w:color w:val="000000" w:themeColor="text1"/>
          <w:sz w:val="16"/>
          <w:szCs w:val="16"/>
        </w:rPr>
        <w:noBreakHyphen/>
        <w:t>мм пушка образца 1896 г./А — 15 тыс. выстрелов; 2) Франция — 75</w:t>
      </w:r>
      <w:r w:rsidRPr="007122AB">
        <w:rPr>
          <w:color w:val="000000" w:themeColor="text1"/>
          <w:sz w:val="16"/>
          <w:szCs w:val="16"/>
        </w:rPr>
        <w:noBreakHyphen/>
        <w:t>мм [пушка] образца 1897 г. — 8 тыс. выстрелов; 3) Россия — 3</w:t>
      </w:r>
      <w:r w:rsidRPr="007122AB">
        <w:rPr>
          <w:color w:val="000000" w:themeColor="text1"/>
          <w:sz w:val="16"/>
          <w:szCs w:val="16"/>
        </w:rPr>
        <w:noBreakHyphen/>
        <w:t>дюймовая пушка образца 1902 г. — 6 тыс. выстрелов; 4) Австрия — 76</w:t>
      </w:r>
      <w:r w:rsidRPr="007122AB">
        <w:rPr>
          <w:color w:val="000000" w:themeColor="text1"/>
          <w:sz w:val="16"/>
          <w:szCs w:val="16"/>
        </w:rPr>
        <w:noBreakHyphen/>
        <w:t>мм пушка — 4,5 тыс. выстрелов.</w:t>
      </w:r>
    </w:p>
    <w:p w14:paraId="00D3DA92"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Продолжительность службы пулеметных стволов может в отдельных случаях достигать 70 тыс. выстрелов, но средние данные меньше этого в несколько раз. В части танкового дела мы имеем следующую картину: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08"/>
        <w:gridCol w:w="1440"/>
        <w:gridCol w:w="4841"/>
        <w:gridCol w:w="1785"/>
        <w:gridCol w:w="948"/>
      </w:tblGrid>
      <w:tr w:rsidR="007122AB" w:rsidRPr="007122AB" w14:paraId="7B96AA9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A74C23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Название</w:t>
            </w:r>
          </w:p>
          <w:p w14:paraId="4C4CAEF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2563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Район</w:t>
            </w:r>
          </w:p>
          <w:p w14:paraId="6A122CD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D1B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Подвижное число,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B69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p w14:paraId="439B99C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AE4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т</w:t>
            </w:r>
          </w:p>
        </w:tc>
      </w:tr>
      <w:tr w:rsidR="007122AB" w:rsidRPr="007122AB" w14:paraId="02FADEE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E1B754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Танкетка¹³*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6E88D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4A9D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 на гусенице, 150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3D7F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0460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r w:rsidRPr="007122AB">
              <w:rPr>
                <w:rFonts w:ascii="Times New Roman" w:hAnsi="Times New Roman"/>
                <w:color w:val="000000" w:themeColor="text1"/>
                <w:sz w:val="16"/>
                <w:szCs w:val="16"/>
              </w:rPr>
              <w:noBreakHyphen/>
              <w:t>2</w:t>
            </w:r>
          </w:p>
        </w:tc>
      </w:tr>
      <w:tr w:rsidR="007122AB" w:rsidRPr="007122AB" w14:paraId="2F4321E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D45D00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малый¹⁴*</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4B9343" w14:textId="77777777" w:rsidR="005E7475" w:rsidRPr="007122AB" w:rsidRDefault="005E7475" w:rsidP="007122AB">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4A9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самое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2F66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3AD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r>
      <w:tr w:rsidR="007122AB" w:rsidRPr="007122AB" w14:paraId="6CEAF65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77764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средний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023F57" w14:textId="77777777" w:rsidR="005E7475" w:rsidRPr="007122AB" w:rsidRDefault="005E7475" w:rsidP="007122AB">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4BE8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 гусеница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D22C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ADF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7122AB" w:rsidRPr="007122AB" w14:paraId="4DCC863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CF902A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большой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E7C777" w14:textId="77777777" w:rsidR="005E7475" w:rsidRPr="007122AB" w:rsidRDefault="005E7475" w:rsidP="007122AB">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DBF14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 гусеница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5055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C9C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r>
    </w:tbl>
    <w:p w14:paraId="3A464739"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Кроме того, по имеющимся сведениям во Франции изготовлен танк весом в 120 т; других данных нет.</w:t>
      </w:r>
    </w:p>
    <w:p w14:paraId="35271B9E"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В части противогазов мы имеем непрерывное появление новых ОВ, причем производство противогазов должно непрерывно приспособляться к тому, чтобы противогазы отвечали своему назначению во всех случаях и выдержали бы длительное воздействие ОВ, не коррозируя и не разрушаясь, а также продержались без изменения своих свойств хранения в течение нескольких лет. По имеющимся данным, американские противогазы выдерживают хранение до 8 лет. Удовлетворить требованиям снабжения нашей артиллерии новыми образцами призвано </w:t>
      </w:r>
      <w:proofErr w:type="spellStart"/>
      <w:r w:rsidRPr="007122AB">
        <w:rPr>
          <w:color w:val="000000" w:themeColor="text1"/>
          <w:sz w:val="16"/>
          <w:szCs w:val="16"/>
        </w:rPr>
        <w:t>Оружобъединение</w:t>
      </w:r>
      <w:proofErr w:type="spellEnd"/>
      <w:r w:rsidRPr="007122AB">
        <w:rPr>
          <w:color w:val="000000" w:themeColor="text1"/>
          <w:sz w:val="16"/>
          <w:szCs w:val="16"/>
        </w:rPr>
        <w:t>. Необходимо выявить условия достижения рекордных цифр и обеспечить постановку новых рекордов. Одновременно научно-исследовательская работа, в широком смысле этого слова, должна ответить на вопрос, как перевести эту поразительную динамику на язык конструкторов в части геометрических размеров, на язык поставщиков материалов — в части технических требований к ним.</w:t>
      </w:r>
    </w:p>
    <w:p w14:paraId="385B41EF"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Но, помимо придания предметам вооружения новых замечательных свойств, увеличивающих его могущество, современная военная техника колоссально увеличила насыщенность строевых единиц военной техникой, например: САСШ, пулеметов на дивизию: 1914 г. — 24, 1930 г. — 947. Чрезвычайно возросли производственные возможности держав </w:t>
      </w:r>
      <w:proofErr w:type="spellStart"/>
      <w:r w:rsidRPr="007122AB">
        <w:rPr>
          <w:color w:val="000000" w:themeColor="text1"/>
          <w:sz w:val="16"/>
          <w:szCs w:val="16"/>
        </w:rPr>
        <w:t>капит</w:t>
      </w:r>
      <w:proofErr w:type="spellEnd"/>
      <w:r w:rsidRPr="007122AB">
        <w:rPr>
          <w:color w:val="000000" w:themeColor="text1"/>
          <w:sz w:val="16"/>
          <w:szCs w:val="16"/>
        </w:rPr>
        <w:t>[</w:t>
      </w:r>
      <w:proofErr w:type="spellStart"/>
      <w:r w:rsidRPr="007122AB">
        <w:rPr>
          <w:color w:val="000000" w:themeColor="text1"/>
          <w:sz w:val="16"/>
          <w:szCs w:val="16"/>
        </w:rPr>
        <w:t>алистических</w:t>
      </w:r>
      <w:proofErr w:type="spellEnd"/>
      <w:r w:rsidRPr="007122AB">
        <w:rPr>
          <w:color w:val="000000" w:themeColor="text1"/>
          <w:sz w:val="16"/>
          <w:szCs w:val="16"/>
        </w:rPr>
        <w:t>] стран. Так, например, Франция увеличила месячный свой выпуск.</w:t>
      </w:r>
    </w:p>
    <w:p w14:paraId="1FFD36E2" w14:textId="77777777" w:rsidR="005E7475" w:rsidRPr="007122AB" w:rsidRDefault="005E7475" w:rsidP="007122AB">
      <w:pPr>
        <w:pStyle w:val="ae"/>
        <w:spacing w:before="0" w:after="0"/>
        <w:jc w:val="both"/>
        <w:rPr>
          <w:color w:val="000000" w:themeColor="text1"/>
          <w:sz w:val="16"/>
          <w:szCs w:val="16"/>
        </w:rPr>
      </w:pPr>
      <w:r w:rsidRPr="007122AB">
        <w:rPr>
          <w:rStyle w:val="a7"/>
          <w:b w:val="0"/>
          <w:color w:val="000000" w:themeColor="text1"/>
          <w:sz w:val="16"/>
          <w:szCs w:val="16"/>
        </w:rPr>
        <w:t>Развитие военных производств во Франции: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4"/>
        <w:gridCol w:w="4293"/>
        <w:gridCol w:w="1678"/>
        <w:gridCol w:w="1551"/>
        <w:gridCol w:w="2316"/>
      </w:tblGrid>
      <w:tr w:rsidR="007122AB" w:rsidRPr="007122AB" w14:paraId="16F5E51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02F336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ABD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Пулеметов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4447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4C3D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9A6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w:t>
            </w:r>
          </w:p>
        </w:tc>
      </w:tr>
      <w:tr w:rsidR="007122AB" w:rsidRPr="007122AB" w14:paraId="2554C4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2639F7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8F5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C6BC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E5D5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EF1F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7122AB" w:rsidRPr="007122AB" w14:paraId="647846A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015928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E12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4005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DD06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13EF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bl>
    <w:p w14:paraId="753B6578"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Отсюда вытекают новые требования к производству и к капитальному строительству количественного и качественного порядка, и последние ставят дополнительные вопросы конструкторам:</w:t>
      </w:r>
    </w:p>
    <w:p w14:paraId="02B0AB3A"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а) каковы будут геометрические размеры (линейные размеры, площади, объем);</w:t>
      </w:r>
    </w:p>
    <w:p w14:paraId="4EA582A5"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б) каковы будут веса главнейших составных частей артиллерии и новых предметов вооружений в целом;</w:t>
      </w:r>
    </w:p>
    <w:p w14:paraId="3E91E51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в) каков процент внедрения специальных и конструкционных сталей и специальных легких сплавов в новую военную технику.</w:t>
      </w:r>
    </w:p>
    <w:p w14:paraId="7E0E521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Третья группа вопросов¹⁵*</w:t>
      </w:r>
    </w:p>
    <w:p w14:paraId="0670E334"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Изучение технологических процессов получения металлов новых свойств, которые также потерпели большую эволюцию. Для иллюстрации приводится сравнительная таблица требований и углеродистой стали пушечной и в спецстали категории “Б”: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4"/>
        <w:gridCol w:w="2242"/>
        <w:gridCol w:w="4575"/>
        <w:gridCol w:w="2841"/>
      </w:tblGrid>
      <w:tr w:rsidR="007122AB" w:rsidRPr="007122AB" w14:paraId="36F520A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3C8EC1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78D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Предел упругости, кд/мм²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A4F3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Сужение площади </w:t>
            </w:r>
            <w:proofErr w:type="spellStart"/>
            <w:r w:rsidRPr="007122AB">
              <w:rPr>
                <w:rFonts w:ascii="Times New Roman" w:hAnsi="Times New Roman"/>
                <w:color w:val="000000" w:themeColor="text1"/>
                <w:sz w:val="16"/>
                <w:szCs w:val="16"/>
              </w:rPr>
              <w:t>поперечн</w:t>
            </w:r>
            <w:proofErr w:type="spellEnd"/>
            <w:r w:rsidRPr="007122AB">
              <w:rPr>
                <w:rFonts w:ascii="Times New Roman" w:hAnsi="Times New Roman"/>
                <w:color w:val="000000" w:themeColor="text1"/>
                <w:sz w:val="16"/>
                <w:szCs w:val="16"/>
              </w:rPr>
              <w:t>[ого] сеч[</w:t>
            </w:r>
            <w:proofErr w:type="spellStart"/>
            <w:r w:rsidRPr="007122AB">
              <w:rPr>
                <w:rFonts w:ascii="Times New Roman" w:hAnsi="Times New Roman"/>
                <w:color w:val="000000" w:themeColor="text1"/>
                <w:sz w:val="16"/>
                <w:szCs w:val="16"/>
              </w:rPr>
              <w:t>ения</w:t>
            </w:r>
            <w:proofErr w:type="spellEnd"/>
            <w:r w:rsidRPr="007122AB">
              <w:rPr>
                <w:rFonts w:ascii="Times New Roman" w:hAnsi="Times New Roman"/>
                <w:color w:val="000000" w:themeColor="text1"/>
                <w:sz w:val="16"/>
                <w:szCs w:val="16"/>
              </w:rPr>
              <w:t>] бруска,%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9D4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Ударная проба по Шарпи, кд/см²</w:t>
            </w:r>
          </w:p>
        </w:tc>
      </w:tr>
      <w:tr w:rsidR="007122AB" w:rsidRPr="007122AB" w14:paraId="5847528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4F3BCA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Углеродистая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84B4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C8DB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5F57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7122AB" w:rsidRPr="007122AB" w14:paraId="67008212"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3355BE8" w14:textId="77777777" w:rsidR="005E7475" w:rsidRPr="007122AB" w:rsidRDefault="005E747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Спецкатегории</w:t>
            </w:r>
            <w:proofErr w:type="spellEnd"/>
            <w:r w:rsidRPr="007122AB">
              <w:rPr>
                <w:rFonts w:ascii="Times New Roman" w:hAnsi="Times New Roman"/>
                <w:color w:val="000000" w:themeColor="text1"/>
                <w:sz w:val="16"/>
                <w:szCs w:val="16"/>
              </w:rPr>
              <w:t>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3B7D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5D7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D83A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7122AB" w:rsidRPr="007122AB" w14:paraId="6FA1CCEE" w14:textId="77777777" w:rsidTr="00083CD8">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98AD5A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возросли вдвое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3AE8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B4DB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bl>
    <w:p w14:paraId="2D3FCA09"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Требуется разрешить задачу, как эту сталь получить и как обеспечить ее исходными материалами, и в каком направлении модернизировать оборудование цехов (новые виды печей в части технологических процессов и в части геометрических размеров; новые размеры и мощность прессового и ковочного оборудования; новые размеры и мощность механического оборудования в связи с появлением новых высоких сопротивлений материалов и новых способов резания).</w:t>
      </w:r>
    </w:p>
    <w:p w14:paraId="0336939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Четвертая группа вопросов</w:t>
      </w:r>
    </w:p>
    <w:p w14:paraId="5FC9A76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Учитывая размер нашей территории и расстояние между поставщиками сырья и полуфабрикатов для наших военных заводов и потребителями их, с одной стороны, и могущество авиационных средств нападения, с другой стороны, ставится дополнительная группа вопросов: а) как приблизить базу снабжения к наши заводам и в первую очередь по линии черных металлов; б) какие меры предпринять, чтобы использовать более близкие пункты получения сырья во время войны, хотя бы суррогат, использовав для улучшения его дополнительные методы облагораживания (сортировка и агломерация железных руд, сортировка и мойка каменного угля для получения </w:t>
      </w:r>
      <w:proofErr w:type="spellStart"/>
      <w:r w:rsidRPr="007122AB">
        <w:rPr>
          <w:rFonts w:ascii="Times New Roman" w:hAnsi="Times New Roman"/>
          <w:color w:val="000000" w:themeColor="text1"/>
          <w:sz w:val="16"/>
          <w:szCs w:val="16"/>
        </w:rPr>
        <w:t>бессернистого</w:t>
      </w:r>
      <w:proofErr w:type="spellEnd"/>
      <w:r w:rsidRPr="007122AB">
        <w:rPr>
          <w:rFonts w:ascii="Times New Roman" w:hAnsi="Times New Roman"/>
          <w:color w:val="000000" w:themeColor="text1"/>
          <w:sz w:val="16"/>
          <w:szCs w:val="16"/>
        </w:rPr>
        <w:t xml:space="preserve"> угля и </w:t>
      </w:r>
      <w:proofErr w:type="spellStart"/>
      <w:r w:rsidRPr="007122AB">
        <w:rPr>
          <w:rFonts w:ascii="Times New Roman" w:hAnsi="Times New Roman"/>
          <w:color w:val="000000" w:themeColor="text1"/>
          <w:sz w:val="16"/>
          <w:szCs w:val="16"/>
        </w:rPr>
        <w:t>бессернистого</w:t>
      </w:r>
      <w:proofErr w:type="spellEnd"/>
      <w:r w:rsidRPr="007122AB">
        <w:rPr>
          <w:rFonts w:ascii="Times New Roman" w:hAnsi="Times New Roman"/>
          <w:color w:val="000000" w:themeColor="text1"/>
          <w:sz w:val="16"/>
          <w:szCs w:val="16"/>
        </w:rPr>
        <w:t xml:space="preserve"> или малосернистого, электроплавка и пр.). Как обеспечить переброску из центра производства на периферию наиболее громоздких предметов оборудования, вооружения и полуфабрикатов для них.</w:t>
      </w:r>
    </w:p>
    <w:p w14:paraId="5629060C"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 </w:t>
      </w:r>
      <w:proofErr w:type="spellStart"/>
      <w:r w:rsidRPr="007122AB">
        <w:rPr>
          <w:rFonts w:ascii="Times New Roman" w:hAnsi="Times New Roman"/>
          <w:color w:val="000000" w:themeColor="text1"/>
          <w:sz w:val="16"/>
          <w:szCs w:val="16"/>
        </w:rPr>
        <w:t>суррогатирование</w:t>
      </w:r>
      <w:proofErr w:type="spellEnd"/>
      <w:r w:rsidRPr="007122AB">
        <w:rPr>
          <w:rFonts w:ascii="Times New Roman" w:hAnsi="Times New Roman"/>
          <w:color w:val="000000" w:themeColor="text1"/>
          <w:sz w:val="16"/>
          <w:szCs w:val="16"/>
        </w:rPr>
        <w:t xml:space="preserve">. Кооперирование с гражданской </w:t>
      </w:r>
      <w:proofErr w:type="spellStart"/>
      <w:r w:rsidRPr="007122AB">
        <w:rPr>
          <w:rFonts w:ascii="Times New Roman" w:hAnsi="Times New Roman"/>
          <w:color w:val="000000" w:themeColor="text1"/>
          <w:sz w:val="16"/>
          <w:szCs w:val="16"/>
        </w:rPr>
        <w:t>пром</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ышленностью</w:t>
      </w:r>
      <w:proofErr w:type="spellEnd"/>
      <w:r w:rsidRPr="007122AB">
        <w:rPr>
          <w:rFonts w:ascii="Times New Roman" w:hAnsi="Times New Roman"/>
          <w:color w:val="000000" w:themeColor="text1"/>
          <w:sz w:val="16"/>
          <w:szCs w:val="16"/>
        </w:rPr>
        <w:t>]</w:t>
      </w:r>
    </w:p>
    <w:p w14:paraId="7ED9D817"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эти основные вопросы надо промышленности получить ответ. А поэтому тематический план научно-исследовательских работ, в широком смысле этого слова, должен их собой охватить. Наконец, при обсуждении тематического плана надо отдельно остановиться на металлургии и других проблемах, связанных с орудиями калибром свыше 14 дюймов и сверхдальнобойной артиллерией, а равно на стали для пулеметов. С точки зрения производства, они представляют исключительную трудность. Путем исследования заграничных образцов и получая соответствующие указания от конструкторов, необходимо иметь ответ, по каким линиям должно </w:t>
      </w:r>
      <w:r w:rsidRPr="007122AB">
        <w:rPr>
          <w:rFonts w:ascii="Times New Roman" w:hAnsi="Times New Roman"/>
          <w:color w:val="000000" w:themeColor="text1"/>
          <w:sz w:val="16"/>
          <w:szCs w:val="16"/>
        </w:rPr>
        <w:lastRenderedPageBreak/>
        <w:t xml:space="preserve">идти увеличение столь большего могущества для металла: а) путем ли особо </w:t>
      </w:r>
      <w:proofErr w:type="spellStart"/>
      <w:r w:rsidRPr="007122AB">
        <w:rPr>
          <w:rFonts w:ascii="Times New Roman" w:hAnsi="Times New Roman"/>
          <w:color w:val="000000" w:themeColor="text1"/>
          <w:sz w:val="16"/>
          <w:szCs w:val="16"/>
        </w:rPr>
        <w:t>высокомеханических</w:t>
      </w:r>
      <w:proofErr w:type="spellEnd"/>
      <w:r w:rsidRPr="007122AB">
        <w:rPr>
          <w:rFonts w:ascii="Times New Roman" w:hAnsi="Times New Roman"/>
          <w:color w:val="000000" w:themeColor="text1"/>
          <w:sz w:val="16"/>
          <w:szCs w:val="16"/>
        </w:rPr>
        <w:t xml:space="preserve"> качеств; б) путем ли большой однородности свойств металла; в) или путем уменьшения чрезмерных запасов прочности со стороны конструкторов.</w:t>
      </w:r>
    </w:p>
    <w:p w14:paraId="0643F37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как оказывается, что наши конструктора и заграничные рассчитывают прочность орудий по различным формулам, а из-за этого получается для одних и тех же свойств системы артиллерии в отношении могущества различные геометрические размеры.</w:t>
      </w:r>
    </w:p>
    <w:p w14:paraId="77E0526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Темпы научно-</w:t>
      </w:r>
      <w:proofErr w:type="spellStart"/>
      <w:r w:rsidRPr="007122AB">
        <w:rPr>
          <w:rFonts w:ascii="Times New Roman" w:hAnsi="Times New Roman"/>
          <w:color w:val="000000" w:themeColor="text1"/>
          <w:sz w:val="16"/>
          <w:szCs w:val="16"/>
        </w:rPr>
        <w:t>иссл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едовательских</w:t>
      </w:r>
      <w:proofErr w:type="spellEnd"/>
      <w:r w:rsidRPr="007122AB">
        <w:rPr>
          <w:rFonts w:ascii="Times New Roman" w:hAnsi="Times New Roman"/>
          <w:color w:val="000000" w:themeColor="text1"/>
          <w:sz w:val="16"/>
          <w:szCs w:val="16"/>
        </w:rPr>
        <w:t>] работ</w:t>
      </w:r>
    </w:p>
    <w:p w14:paraId="73C542E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вся научно-исследовательская работа будет иметь очень небольшую относительную ценность, если она не будет вести[</w:t>
      </w:r>
      <w:proofErr w:type="spellStart"/>
      <w:r w:rsidRPr="007122AB">
        <w:rPr>
          <w:rFonts w:ascii="Times New Roman" w:hAnsi="Times New Roman"/>
          <w:color w:val="000000" w:themeColor="text1"/>
          <w:sz w:val="16"/>
          <w:szCs w:val="16"/>
        </w:rPr>
        <w:t>сь</w:t>
      </w:r>
      <w:proofErr w:type="spellEnd"/>
      <w:r w:rsidRPr="007122AB">
        <w:rPr>
          <w:rFonts w:ascii="Times New Roman" w:hAnsi="Times New Roman"/>
          <w:color w:val="000000" w:themeColor="text1"/>
          <w:sz w:val="16"/>
          <w:szCs w:val="16"/>
        </w:rPr>
        <w:t>] соответствующими темпами. Недостаточно будет ограничиться поставкой задания, не сказав, на каких отрезках времени должна быть разрешена задача.</w:t>
      </w:r>
    </w:p>
    <w:p w14:paraId="71A3A47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Мы имеем две установки партии и правительства, подтвержденные и расширенные решениями XVI съезда ВКП(б): 1) догнать и перегнать; 2) пятилетка — в 4 года. В соответствии с этим должны строиться темпы нашей работы.</w:t>
      </w:r>
    </w:p>
    <w:p w14:paraId="2DE8D39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Наше решение по этому вопросу должно найти, прежде всего, отражение в тематическом плане, общем по объединению, и, в частности, по исполнителям и в общей динамике развития научно-исследовательской работы.</w:t>
      </w:r>
    </w:p>
    <w:p w14:paraId="58099BB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Динамика</w:t>
      </w:r>
    </w:p>
    <w:p w14:paraId="03A7E29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научно-исследовательских работ по годам, отражая в себе реконструктивный период СССР, намечается в денежном выражении следующими цифрами и темпами: старая пятилетка Орудийно-арсенального треста должна быть закончена в основном в 1931 г., а на отрезке остающихся двух лет должен быть выполнен объем н[</w:t>
      </w:r>
      <w:proofErr w:type="spellStart"/>
      <w:r w:rsidRPr="007122AB">
        <w:rPr>
          <w:rFonts w:ascii="Times New Roman" w:hAnsi="Times New Roman"/>
          <w:color w:val="000000" w:themeColor="text1"/>
          <w:sz w:val="16"/>
          <w:szCs w:val="16"/>
        </w:rPr>
        <w:t>аучно</w:t>
      </w:r>
      <w:proofErr w:type="spellEnd"/>
      <w:r w:rsidRPr="007122AB">
        <w:rPr>
          <w:rFonts w:ascii="Times New Roman" w:hAnsi="Times New Roman"/>
          <w:color w:val="000000" w:themeColor="text1"/>
          <w:sz w:val="16"/>
          <w:szCs w:val="16"/>
        </w:rPr>
        <w:t>-]и[</w:t>
      </w:r>
      <w:proofErr w:type="spellStart"/>
      <w:r w:rsidRPr="007122AB">
        <w:rPr>
          <w:rFonts w:ascii="Times New Roman" w:hAnsi="Times New Roman"/>
          <w:color w:val="000000" w:themeColor="text1"/>
          <w:sz w:val="16"/>
          <w:szCs w:val="16"/>
        </w:rPr>
        <w:t>сследовательских</w:t>
      </w:r>
      <w:proofErr w:type="spellEnd"/>
      <w:r w:rsidRPr="007122AB">
        <w:rPr>
          <w:rFonts w:ascii="Times New Roman" w:hAnsi="Times New Roman"/>
          <w:color w:val="000000" w:themeColor="text1"/>
          <w:sz w:val="16"/>
          <w:szCs w:val="16"/>
        </w:rPr>
        <w:t xml:space="preserve">] работ, равный трем старым пятилеткам. Цифра </w:t>
      </w:r>
      <w:proofErr w:type="spellStart"/>
      <w:r w:rsidRPr="007122AB">
        <w:rPr>
          <w:rFonts w:ascii="Times New Roman" w:hAnsi="Times New Roman"/>
          <w:color w:val="000000" w:themeColor="text1"/>
          <w:sz w:val="16"/>
          <w:szCs w:val="16"/>
        </w:rPr>
        <w:t>капит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альных</w:t>
      </w:r>
      <w:proofErr w:type="spellEnd"/>
      <w:r w:rsidRPr="007122AB">
        <w:rPr>
          <w:rFonts w:ascii="Times New Roman" w:hAnsi="Times New Roman"/>
          <w:color w:val="000000" w:themeColor="text1"/>
          <w:sz w:val="16"/>
          <w:szCs w:val="16"/>
        </w:rPr>
        <w:t>] затрат по старой пятилетке — 4 млн. руб., по новой — 16 млн. руб.</w:t>
      </w:r>
    </w:p>
    <w:p w14:paraId="5AABD72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посмотреть на диаграммы, которыми иллюстрируются эти самые цифры, то мы увидим, какое огромное развитие должна получить в нашем объединении научно-исследовательская работа и как незначительны те шаги, которые нами в этом направлении на сегодняшний день предприняты. Кажущийся на первое время огромным (16 млн. руб.) объем научно-исследовательских работ при составлении с объемом продукции по пятилетке, вернее по 1 января 1932 г., является весьма незначительным. В отношении к старой пятилетке эта сумма затрат составляет около 2%. Старая пятилетка составлена была со значительным преуменьшением возможности заводов и с очень малым использованием основного капитала, то при надлежащей постановке производства расходы на научно-исследовательскую работу в запроектированном объеме не превысят 1%¹⁶*. А поэтому на эти цифры надо смотреть не как на астрономические, а как на вполне обоснованный уровень, достигнуть которого нужно, минуя все препятствия. Расшифровка цифр проведена в тематическом плане работ.</w:t>
      </w:r>
    </w:p>
    <w:p w14:paraId="0D68C98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Кадры</w:t>
      </w:r>
    </w:p>
    <w:p w14:paraId="0808374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попытаться перевести в самом грубом приближении эту динамику на язык потребных для этих целей работников, которую можно получить делением цифры затрат на научно-исследовательские работы (без капитального строительства) на производительность в рублевом выражении одного работника, то ориентируясь на расчеты комиссии, работавшей по этому вопросу, требуется за три года втянуть в работу 2155 чел., причем по годам динамика втягивания такая: 1931 г. — 435 чел.; 1932 г. — 770 чел.; 1933 г. — 950 чел.; подробности в таблице (приложение №¹⁷*).</w:t>
      </w:r>
    </w:p>
    <w:p w14:paraId="3E3C921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ориентировки приводится сравнительная таблица структуры затрат ГФТИ, завода «Баррикады» и Ижевских заводов на научно-исследовательскую работу. «Баррикады»: зарплата — 17, цех[</w:t>
      </w:r>
      <w:proofErr w:type="spellStart"/>
      <w:r w:rsidRPr="007122AB">
        <w:rPr>
          <w:rFonts w:ascii="Times New Roman" w:hAnsi="Times New Roman"/>
          <w:color w:val="000000" w:themeColor="text1"/>
          <w:sz w:val="16"/>
          <w:szCs w:val="16"/>
        </w:rPr>
        <w:t>овые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расх</w:t>
      </w:r>
      <w:proofErr w:type="spellEnd"/>
      <w:r w:rsidRPr="007122AB">
        <w:rPr>
          <w:rFonts w:ascii="Times New Roman" w:hAnsi="Times New Roman"/>
          <w:color w:val="000000" w:themeColor="text1"/>
          <w:sz w:val="16"/>
          <w:szCs w:val="16"/>
        </w:rPr>
        <w:t>[оды] — 33 ([вместе] — 50%), материал — 45, прочее — 5, [итого] — 100%; ГФТИ: а) зарплата — 49%, б) эксперимент[</w:t>
      </w:r>
      <w:proofErr w:type="spellStart"/>
      <w:r w:rsidRPr="007122AB">
        <w:rPr>
          <w:rFonts w:ascii="Times New Roman" w:hAnsi="Times New Roman"/>
          <w:color w:val="000000" w:themeColor="text1"/>
          <w:sz w:val="16"/>
          <w:szCs w:val="16"/>
        </w:rPr>
        <w:t>альные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расх</w:t>
      </w:r>
      <w:proofErr w:type="spellEnd"/>
      <w:r w:rsidRPr="007122AB">
        <w:rPr>
          <w:rFonts w:ascii="Times New Roman" w:hAnsi="Times New Roman"/>
          <w:color w:val="000000" w:themeColor="text1"/>
          <w:sz w:val="16"/>
          <w:szCs w:val="16"/>
        </w:rPr>
        <w:t xml:space="preserve">[оды] — 20%, в) текущее </w:t>
      </w:r>
      <w:proofErr w:type="spellStart"/>
      <w:r w:rsidRPr="007122AB">
        <w:rPr>
          <w:rFonts w:ascii="Times New Roman" w:hAnsi="Times New Roman"/>
          <w:color w:val="000000" w:themeColor="text1"/>
          <w:sz w:val="16"/>
          <w:szCs w:val="16"/>
        </w:rPr>
        <w:t>оборудов</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ание</w:t>
      </w:r>
      <w:proofErr w:type="spellEnd"/>
      <w:r w:rsidRPr="007122AB">
        <w:rPr>
          <w:rFonts w:ascii="Times New Roman" w:hAnsi="Times New Roman"/>
          <w:color w:val="000000" w:themeColor="text1"/>
          <w:sz w:val="16"/>
          <w:szCs w:val="16"/>
        </w:rPr>
        <w:t>] — 23%, г) </w:t>
      </w:r>
      <w:proofErr w:type="spellStart"/>
      <w:r w:rsidRPr="007122AB">
        <w:rPr>
          <w:rFonts w:ascii="Times New Roman" w:hAnsi="Times New Roman"/>
          <w:color w:val="000000" w:themeColor="text1"/>
          <w:sz w:val="16"/>
          <w:szCs w:val="16"/>
        </w:rPr>
        <w:t>канц</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елярские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расх</w:t>
      </w:r>
      <w:proofErr w:type="spellEnd"/>
      <w:r w:rsidRPr="007122AB">
        <w:rPr>
          <w:rFonts w:ascii="Times New Roman" w:hAnsi="Times New Roman"/>
          <w:color w:val="000000" w:themeColor="text1"/>
          <w:sz w:val="16"/>
          <w:szCs w:val="16"/>
        </w:rPr>
        <w:t xml:space="preserve">[оды], путевое довольствие, </w:t>
      </w:r>
      <w:proofErr w:type="spellStart"/>
      <w:r w:rsidRPr="007122AB">
        <w:rPr>
          <w:rFonts w:ascii="Times New Roman" w:hAnsi="Times New Roman"/>
          <w:color w:val="000000" w:themeColor="text1"/>
          <w:sz w:val="16"/>
          <w:szCs w:val="16"/>
        </w:rPr>
        <w:t>капит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альный</w:t>
      </w:r>
      <w:proofErr w:type="spellEnd"/>
      <w:r w:rsidRPr="007122AB">
        <w:rPr>
          <w:rFonts w:ascii="Times New Roman" w:hAnsi="Times New Roman"/>
          <w:color w:val="000000" w:themeColor="text1"/>
          <w:sz w:val="16"/>
          <w:szCs w:val="16"/>
        </w:rPr>
        <w:t xml:space="preserve">] ремонт, разные расходы и прочее — 8%, всего — 100%; схема ИОЗ: зарплата — 17, цеховые </w:t>
      </w:r>
      <w:proofErr w:type="spellStart"/>
      <w:r w:rsidRPr="007122AB">
        <w:rPr>
          <w:rFonts w:ascii="Times New Roman" w:hAnsi="Times New Roman"/>
          <w:color w:val="000000" w:themeColor="text1"/>
          <w:sz w:val="16"/>
          <w:szCs w:val="16"/>
        </w:rPr>
        <w:t>расх</w:t>
      </w:r>
      <w:proofErr w:type="spellEnd"/>
      <w:r w:rsidRPr="007122AB">
        <w:rPr>
          <w:rFonts w:ascii="Times New Roman" w:hAnsi="Times New Roman"/>
          <w:color w:val="000000" w:themeColor="text1"/>
          <w:sz w:val="16"/>
          <w:szCs w:val="16"/>
        </w:rPr>
        <w:t xml:space="preserve">[оды] — 33 ([вместе] — 50%), материал — 45, прочие </w:t>
      </w:r>
      <w:proofErr w:type="spellStart"/>
      <w:r w:rsidRPr="007122AB">
        <w:rPr>
          <w:rFonts w:ascii="Times New Roman" w:hAnsi="Times New Roman"/>
          <w:color w:val="000000" w:themeColor="text1"/>
          <w:sz w:val="16"/>
          <w:szCs w:val="16"/>
        </w:rPr>
        <w:t>расх</w:t>
      </w:r>
      <w:proofErr w:type="spellEnd"/>
      <w:r w:rsidRPr="007122AB">
        <w:rPr>
          <w:rFonts w:ascii="Times New Roman" w:hAnsi="Times New Roman"/>
          <w:color w:val="000000" w:themeColor="text1"/>
          <w:sz w:val="16"/>
          <w:szCs w:val="16"/>
        </w:rPr>
        <w:t>[оды] — 5, [итого] — 100%</w:t>
      </w:r>
    </w:p>
    <w:p w14:paraId="34BCDE7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наших условиях для разных предприятий и разных работ при соотношении будут колебаться с расчетом увеличения стоимости экспериментальных расходов и затрат на текущее оборудование. А поэтому ориентироваться на ГФТИ можно только в качестве первого приближения.</w:t>
      </w:r>
    </w:p>
    <w:p w14:paraId="4CAF1C8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Научно-исследовательские институты</w:t>
      </w:r>
    </w:p>
    <w:p w14:paraId="74E526D9"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Обращаясь к вопросу о сотрудничестве с другими научно-исследовательскими организациями и собственных центральных и заводских исследовательских лабораториях отметим, что курс берется на самое тесное сотрудничество с научно-исследовательскими институтами, причем на долю Всесоюзного института металлов (ВИМ) и, в особенности, его специального отдела выпадает ответственейшая задача.</w:t>
      </w:r>
    </w:p>
    <w:p w14:paraId="1610568F"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Если взять роль отдельных институтов так, как она проектируется в намеченных точках, то работа отдельных институтов выражается следующей таблицей: Институт им. Карпова — 1,7%; институт НАМИ — 16,7%; ЦАГИ и Институт древесины — 1,7%; </w:t>
      </w:r>
      <w:proofErr w:type="spellStart"/>
      <w:r w:rsidRPr="007122AB">
        <w:rPr>
          <w:color w:val="000000" w:themeColor="text1"/>
          <w:sz w:val="16"/>
          <w:szCs w:val="16"/>
        </w:rPr>
        <w:t>Гипроспецмет</w:t>
      </w:r>
      <w:proofErr w:type="spellEnd"/>
      <w:r w:rsidRPr="007122AB">
        <w:rPr>
          <w:color w:val="000000" w:themeColor="text1"/>
          <w:sz w:val="16"/>
          <w:szCs w:val="16"/>
        </w:rPr>
        <w:t> — 3,3%; всего — 100%.</w:t>
      </w:r>
    </w:p>
    <w:p w14:paraId="0BD56C04"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Мы не ошибемся, если скажем, что специальный отдел ВИМ по мысли Объединения должен, слившись с лабораторией завода «Большевик», вырасти в Центральный научно-исследовательский институт объединения с его филиалом в Сталинграде и ружейно-пулеметного дела в Ижевске. Второго порядка филиалы — лаборатории на отдельных предприятиях. Кроме того, лаборатория завода № 8 в Мытищах должна развернуться в Институт машиностроения специального уклона.</w:t>
      </w:r>
    </w:p>
    <w:p w14:paraId="159D948C"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Особым стоит вопрос о лаборатории завода </w:t>
      </w:r>
      <w:proofErr w:type="spellStart"/>
      <w:r w:rsidRPr="007122AB">
        <w:rPr>
          <w:color w:val="000000" w:themeColor="text1"/>
          <w:sz w:val="16"/>
          <w:szCs w:val="16"/>
        </w:rPr>
        <w:t>Мастяжарт</w:t>
      </w:r>
      <w:proofErr w:type="spellEnd"/>
      <w:r w:rsidRPr="007122AB">
        <w:rPr>
          <w:color w:val="000000" w:themeColor="text1"/>
          <w:sz w:val="16"/>
          <w:szCs w:val="16"/>
        </w:rPr>
        <w:t xml:space="preserve">, которая должна в первую очередь обеспечить себя шефством и руководством Института химической обороны в специальных заданиях, а в работах по металлу опираться на специальный отдел того же </w:t>
      </w:r>
      <w:proofErr w:type="spellStart"/>
      <w:r w:rsidRPr="007122AB">
        <w:rPr>
          <w:color w:val="000000" w:themeColor="text1"/>
          <w:sz w:val="16"/>
          <w:szCs w:val="16"/>
        </w:rPr>
        <w:t>ВИМа</w:t>
      </w:r>
      <w:proofErr w:type="spellEnd"/>
      <w:r w:rsidRPr="007122AB">
        <w:rPr>
          <w:color w:val="000000" w:themeColor="text1"/>
          <w:sz w:val="16"/>
          <w:szCs w:val="16"/>
        </w:rPr>
        <w:t>.</w:t>
      </w:r>
    </w:p>
    <w:p w14:paraId="5958701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Следующая по заданию крупная роль должна принадлежать Артиллерийскому научно-исследовательскому институту (АНИИ), Военно-технической академии и НАМИ. Весьма важную роль должен играть также в идейном руководстве исследовательскими работами для нашего производства Институт машиностроения, в особенности в области резания и инструментов.</w:t>
      </w:r>
    </w:p>
    <w:p w14:paraId="30D0E2CC"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Лаборатории ГФТИ, ЦАГИ, Института древесины и </w:t>
      </w:r>
      <w:proofErr w:type="spellStart"/>
      <w:r w:rsidRPr="007122AB">
        <w:rPr>
          <w:color w:val="000000" w:themeColor="text1"/>
          <w:sz w:val="16"/>
          <w:szCs w:val="16"/>
        </w:rPr>
        <w:t>Гинцветмет</w:t>
      </w:r>
      <w:proofErr w:type="spellEnd"/>
      <w:r w:rsidRPr="007122AB">
        <w:rPr>
          <w:color w:val="000000" w:themeColor="text1"/>
          <w:sz w:val="16"/>
          <w:szCs w:val="16"/>
        </w:rPr>
        <w:t>, Института Карпова, Нефтяного института — этим лабораториям принадлежит также ответственная и почетная роль в научном руководстве исследовательскими работами объединения.</w:t>
      </w:r>
    </w:p>
    <w:p w14:paraId="589967AD"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В заключение необходимо остановиться на работах по кооперированию с гражданский промышленностью для расширения базы объединения по полуфабрикатам для нашего производства.</w:t>
      </w:r>
    </w:p>
    <w:p w14:paraId="102B4133"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Характерной чертой работ промышленности САСШ в минувшую войну и теперь является поставка гражданскими заводами военным заводам в САСШ и в Европу термически обработанных поковок и заготовок как для орудий, включая самые крупные калибры, так и для других предметов вооружения.</w:t>
      </w:r>
    </w:p>
    <w:p w14:paraId="667103D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Кроме этого, необходимо решительно приблизить сырьевую базу ко всем нашим заводам, идя по пути создания, по возможности, замкнутой базы для предприятий центрального района, для предприятий Северо-западной области, для Уральской области, для </w:t>
      </w:r>
      <w:proofErr w:type="spellStart"/>
      <w:r w:rsidRPr="007122AB">
        <w:rPr>
          <w:color w:val="000000" w:themeColor="text1"/>
          <w:sz w:val="16"/>
          <w:szCs w:val="16"/>
        </w:rPr>
        <w:t>Брянско</w:t>
      </w:r>
      <w:proofErr w:type="spellEnd"/>
      <w:r w:rsidRPr="007122AB">
        <w:rPr>
          <w:color w:val="000000" w:themeColor="text1"/>
          <w:sz w:val="16"/>
          <w:szCs w:val="16"/>
        </w:rPr>
        <w:t xml:space="preserve">-Киевского района и для Сталинграда. Основная картина кооперирования дана в проекте тематического плана пятилетки. Вот в основном задачи работ </w:t>
      </w:r>
      <w:proofErr w:type="spellStart"/>
      <w:r w:rsidRPr="007122AB">
        <w:rPr>
          <w:color w:val="000000" w:themeColor="text1"/>
          <w:sz w:val="16"/>
          <w:szCs w:val="16"/>
        </w:rPr>
        <w:t>Оружобъединения</w:t>
      </w:r>
      <w:proofErr w:type="spellEnd"/>
      <w:r w:rsidRPr="007122AB">
        <w:rPr>
          <w:color w:val="000000" w:themeColor="text1"/>
          <w:sz w:val="16"/>
          <w:szCs w:val="16"/>
        </w:rPr>
        <w:t>.</w:t>
      </w:r>
    </w:p>
    <w:p w14:paraId="18AD1F6E"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Приложение¹⁸*: 1) контрольные точки научно-исследовательских работ </w:t>
      </w:r>
      <w:proofErr w:type="spellStart"/>
      <w:r w:rsidRPr="007122AB">
        <w:rPr>
          <w:color w:val="000000" w:themeColor="text1"/>
          <w:sz w:val="16"/>
          <w:szCs w:val="16"/>
        </w:rPr>
        <w:t>Оружобъединения</w:t>
      </w:r>
      <w:proofErr w:type="spellEnd"/>
      <w:r w:rsidRPr="007122AB">
        <w:rPr>
          <w:color w:val="000000" w:themeColor="text1"/>
          <w:sz w:val="16"/>
          <w:szCs w:val="16"/>
        </w:rPr>
        <w:t xml:space="preserve">; 2) список исполнителей-участников, кооперирующих свою работу; 3) таблица по кадрам; 4) диаграмма динамики </w:t>
      </w:r>
      <w:proofErr w:type="spellStart"/>
      <w:r w:rsidRPr="007122AB">
        <w:rPr>
          <w:color w:val="000000" w:themeColor="text1"/>
          <w:sz w:val="16"/>
          <w:szCs w:val="16"/>
        </w:rPr>
        <w:t>разворач</w:t>
      </w:r>
      <w:proofErr w:type="spellEnd"/>
      <w:r w:rsidRPr="007122AB">
        <w:rPr>
          <w:color w:val="000000" w:themeColor="text1"/>
          <w:sz w:val="16"/>
          <w:szCs w:val="16"/>
        </w:rPr>
        <w:t>[</w:t>
      </w:r>
      <w:proofErr w:type="spellStart"/>
      <w:r w:rsidRPr="007122AB">
        <w:rPr>
          <w:color w:val="000000" w:themeColor="text1"/>
          <w:sz w:val="16"/>
          <w:szCs w:val="16"/>
        </w:rPr>
        <w:t>иваемых</w:t>
      </w:r>
      <w:proofErr w:type="spellEnd"/>
      <w:r w:rsidRPr="007122AB">
        <w:rPr>
          <w:color w:val="000000" w:themeColor="text1"/>
          <w:sz w:val="16"/>
          <w:szCs w:val="16"/>
        </w:rPr>
        <w:t>] н[</w:t>
      </w:r>
      <w:proofErr w:type="spellStart"/>
      <w:r w:rsidRPr="007122AB">
        <w:rPr>
          <w:color w:val="000000" w:themeColor="text1"/>
          <w:sz w:val="16"/>
          <w:szCs w:val="16"/>
        </w:rPr>
        <w:t>аучно</w:t>
      </w:r>
      <w:proofErr w:type="spellEnd"/>
      <w:r w:rsidRPr="007122AB">
        <w:rPr>
          <w:color w:val="000000" w:themeColor="text1"/>
          <w:sz w:val="16"/>
          <w:szCs w:val="16"/>
        </w:rPr>
        <w:t>-]и[</w:t>
      </w:r>
      <w:proofErr w:type="spellStart"/>
      <w:r w:rsidRPr="007122AB">
        <w:rPr>
          <w:color w:val="000000" w:themeColor="text1"/>
          <w:sz w:val="16"/>
          <w:szCs w:val="16"/>
        </w:rPr>
        <w:t>сследовательских</w:t>
      </w:r>
      <w:proofErr w:type="spellEnd"/>
      <w:r w:rsidRPr="007122AB">
        <w:rPr>
          <w:color w:val="000000" w:themeColor="text1"/>
          <w:sz w:val="16"/>
          <w:szCs w:val="16"/>
        </w:rPr>
        <w:t>] работ.</w:t>
      </w:r>
    </w:p>
    <w:p w14:paraId="449B8E03" w14:textId="77777777" w:rsidR="005E7475" w:rsidRPr="007122AB" w:rsidRDefault="005E7475" w:rsidP="007122AB">
      <w:pPr>
        <w:pStyle w:val="ae"/>
        <w:spacing w:before="0" w:after="0"/>
        <w:jc w:val="both"/>
        <w:rPr>
          <w:color w:val="000000" w:themeColor="text1"/>
          <w:sz w:val="16"/>
          <w:szCs w:val="16"/>
        </w:rPr>
      </w:pPr>
      <w:r w:rsidRPr="007122AB">
        <w:rPr>
          <w:rStyle w:val="af0"/>
          <w:i w:val="0"/>
          <w:color w:val="000000" w:themeColor="text1"/>
          <w:sz w:val="16"/>
          <w:szCs w:val="16"/>
        </w:rPr>
        <w:t>Начальник научно-исследовательских работ Тарновский</w:t>
      </w:r>
    </w:p>
    <w:p w14:paraId="1EA3D4C5" w14:textId="77777777" w:rsidR="005E7475" w:rsidRPr="007122AB" w:rsidRDefault="005E7475"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0E264E94"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Публикуемый экземпляр доклада был направлен в Сектор обороны Госплана СССР.</w:t>
      </w:r>
    </w:p>
    <w:p w14:paraId="6EA14267"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Прямой выстрел, настильность (</w:t>
      </w:r>
      <w:r w:rsidRPr="007122AB">
        <w:rPr>
          <w:rStyle w:val="af0"/>
          <w:i w:val="0"/>
          <w:color w:val="000000" w:themeColor="text1"/>
          <w:sz w:val="16"/>
          <w:szCs w:val="16"/>
        </w:rPr>
        <w:t>Прим. док</w:t>
      </w:r>
      <w:r w:rsidRPr="007122AB">
        <w:rPr>
          <w:color w:val="000000" w:themeColor="text1"/>
          <w:sz w:val="16"/>
          <w:szCs w:val="16"/>
        </w:rPr>
        <w:t>.).</w:t>
      </w:r>
    </w:p>
    <w:p w14:paraId="3B7D63ED"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xml:space="preserve">* Среди </w:t>
      </w:r>
      <w:proofErr w:type="spellStart"/>
      <w:r w:rsidRPr="007122AB">
        <w:rPr>
          <w:color w:val="000000" w:themeColor="text1"/>
          <w:sz w:val="16"/>
          <w:szCs w:val="16"/>
        </w:rPr>
        <w:t>морск</w:t>
      </w:r>
      <w:proofErr w:type="spellEnd"/>
      <w:r w:rsidRPr="007122AB">
        <w:rPr>
          <w:color w:val="000000" w:themeColor="text1"/>
          <w:sz w:val="16"/>
          <w:szCs w:val="16"/>
        </w:rPr>
        <w:t xml:space="preserve">[их] </w:t>
      </w:r>
      <w:proofErr w:type="spellStart"/>
      <w:r w:rsidRPr="007122AB">
        <w:rPr>
          <w:color w:val="000000" w:themeColor="text1"/>
          <w:sz w:val="16"/>
          <w:szCs w:val="16"/>
        </w:rPr>
        <w:t>оруд</w:t>
      </w:r>
      <w:proofErr w:type="spellEnd"/>
      <w:r w:rsidRPr="007122AB">
        <w:rPr>
          <w:color w:val="000000" w:themeColor="text1"/>
          <w:sz w:val="16"/>
          <w:szCs w:val="16"/>
        </w:rPr>
        <w:t>[</w:t>
      </w:r>
      <w:proofErr w:type="spellStart"/>
      <w:r w:rsidRPr="007122AB">
        <w:rPr>
          <w:color w:val="000000" w:themeColor="text1"/>
          <w:sz w:val="16"/>
          <w:szCs w:val="16"/>
        </w:rPr>
        <w:t>ий</w:t>
      </w:r>
      <w:proofErr w:type="spellEnd"/>
      <w:r w:rsidRPr="007122AB">
        <w:rPr>
          <w:color w:val="000000" w:themeColor="text1"/>
          <w:sz w:val="16"/>
          <w:szCs w:val="16"/>
        </w:rPr>
        <w:t xml:space="preserve">] </w:t>
      </w:r>
      <w:proofErr w:type="spellStart"/>
      <w:r w:rsidRPr="007122AB">
        <w:rPr>
          <w:color w:val="000000" w:themeColor="text1"/>
          <w:sz w:val="16"/>
          <w:szCs w:val="16"/>
        </w:rPr>
        <w:t>японск</w:t>
      </w:r>
      <w:proofErr w:type="spellEnd"/>
      <w:r w:rsidRPr="007122AB">
        <w:rPr>
          <w:color w:val="000000" w:themeColor="text1"/>
          <w:sz w:val="16"/>
          <w:szCs w:val="16"/>
        </w:rPr>
        <w:t>[ого] флота имеется 76</w:t>
      </w:r>
      <w:r w:rsidRPr="007122AB">
        <w:rPr>
          <w:color w:val="000000" w:themeColor="text1"/>
          <w:sz w:val="16"/>
          <w:szCs w:val="16"/>
        </w:rPr>
        <w:noBreakHyphen/>
        <w:t xml:space="preserve">мм пушка, стреляющая на дистанцию 30 км со </w:t>
      </w:r>
      <w:proofErr w:type="spellStart"/>
      <w:r w:rsidRPr="007122AB">
        <w:rPr>
          <w:color w:val="000000" w:themeColor="text1"/>
          <w:sz w:val="16"/>
          <w:szCs w:val="16"/>
        </w:rPr>
        <w:t>скорост</w:t>
      </w:r>
      <w:proofErr w:type="spellEnd"/>
      <w:r w:rsidRPr="007122AB">
        <w:rPr>
          <w:color w:val="000000" w:themeColor="text1"/>
          <w:sz w:val="16"/>
          <w:szCs w:val="16"/>
        </w:rPr>
        <w:t>[ной] реальностью 4 выстрела в минуту (</w:t>
      </w:r>
      <w:r w:rsidRPr="007122AB">
        <w:rPr>
          <w:rStyle w:val="af0"/>
          <w:i w:val="0"/>
          <w:color w:val="000000" w:themeColor="text1"/>
          <w:sz w:val="16"/>
          <w:szCs w:val="16"/>
        </w:rPr>
        <w:t>Прим. док</w:t>
      </w:r>
      <w:r w:rsidRPr="007122AB">
        <w:rPr>
          <w:color w:val="000000" w:themeColor="text1"/>
          <w:sz w:val="16"/>
          <w:szCs w:val="16"/>
        </w:rPr>
        <w:t>.).</w:t>
      </w:r>
    </w:p>
    <w:p w14:paraId="546F545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4</w:t>
      </w:r>
      <w:r w:rsidRPr="007122AB">
        <w:rPr>
          <w:color w:val="000000" w:themeColor="text1"/>
          <w:sz w:val="16"/>
          <w:szCs w:val="16"/>
        </w:rPr>
        <w:t>* По данным ГКБ, около 12 (</w:t>
      </w:r>
      <w:r w:rsidRPr="007122AB">
        <w:rPr>
          <w:rStyle w:val="af0"/>
          <w:i w:val="0"/>
          <w:color w:val="000000" w:themeColor="text1"/>
          <w:sz w:val="16"/>
          <w:szCs w:val="16"/>
        </w:rPr>
        <w:t>Прим. док</w:t>
      </w:r>
      <w:r w:rsidRPr="007122AB">
        <w:rPr>
          <w:color w:val="000000" w:themeColor="text1"/>
          <w:sz w:val="16"/>
          <w:szCs w:val="16"/>
        </w:rPr>
        <w:t>.).</w:t>
      </w:r>
    </w:p>
    <w:p w14:paraId="4E034DE5"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5</w:t>
      </w:r>
      <w:r w:rsidRPr="007122AB">
        <w:rPr>
          <w:color w:val="000000" w:themeColor="text1"/>
          <w:sz w:val="16"/>
          <w:szCs w:val="16"/>
        </w:rPr>
        <w:t>* По данным ГКБ (</w:t>
      </w:r>
      <w:r w:rsidRPr="007122AB">
        <w:rPr>
          <w:rStyle w:val="af0"/>
          <w:i w:val="0"/>
          <w:color w:val="000000" w:themeColor="text1"/>
          <w:sz w:val="16"/>
          <w:szCs w:val="16"/>
        </w:rPr>
        <w:t>Прим. док</w:t>
      </w:r>
      <w:r w:rsidRPr="007122AB">
        <w:rPr>
          <w:color w:val="000000" w:themeColor="text1"/>
          <w:sz w:val="16"/>
          <w:szCs w:val="16"/>
        </w:rPr>
        <w:t>.).</w:t>
      </w:r>
    </w:p>
    <w:p w14:paraId="6FD01E2F"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6</w:t>
      </w:r>
      <w:r w:rsidRPr="007122AB">
        <w:rPr>
          <w:color w:val="000000" w:themeColor="text1"/>
          <w:sz w:val="16"/>
          <w:szCs w:val="16"/>
        </w:rPr>
        <w:t>* По данным ГКБ (</w:t>
      </w:r>
      <w:r w:rsidRPr="007122AB">
        <w:rPr>
          <w:rStyle w:val="af0"/>
          <w:i w:val="0"/>
          <w:color w:val="000000" w:themeColor="text1"/>
          <w:sz w:val="16"/>
          <w:szCs w:val="16"/>
        </w:rPr>
        <w:t>Прим. док</w:t>
      </w:r>
      <w:r w:rsidRPr="007122AB">
        <w:rPr>
          <w:color w:val="000000" w:themeColor="text1"/>
          <w:sz w:val="16"/>
          <w:szCs w:val="16"/>
        </w:rPr>
        <w:t>.).</w:t>
      </w:r>
    </w:p>
    <w:p w14:paraId="1E22E2AB"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7</w:t>
      </w:r>
      <w:r w:rsidRPr="007122AB">
        <w:rPr>
          <w:color w:val="000000" w:themeColor="text1"/>
          <w:sz w:val="16"/>
          <w:szCs w:val="16"/>
        </w:rPr>
        <w:t xml:space="preserve">* В </w:t>
      </w:r>
      <w:proofErr w:type="spellStart"/>
      <w:r w:rsidRPr="007122AB">
        <w:rPr>
          <w:color w:val="000000" w:themeColor="text1"/>
          <w:sz w:val="16"/>
          <w:szCs w:val="16"/>
        </w:rPr>
        <w:t>числ</w:t>
      </w:r>
      <w:proofErr w:type="spellEnd"/>
      <w:r w:rsidRPr="007122AB">
        <w:rPr>
          <w:color w:val="000000" w:themeColor="text1"/>
          <w:sz w:val="16"/>
          <w:szCs w:val="16"/>
        </w:rPr>
        <w:t>[</w:t>
      </w:r>
      <w:proofErr w:type="spellStart"/>
      <w:r w:rsidRPr="007122AB">
        <w:rPr>
          <w:color w:val="000000" w:themeColor="text1"/>
          <w:sz w:val="16"/>
          <w:szCs w:val="16"/>
        </w:rPr>
        <w:t>ителе</w:t>
      </w:r>
      <w:proofErr w:type="spellEnd"/>
      <w:r w:rsidRPr="007122AB">
        <w:rPr>
          <w:color w:val="000000" w:themeColor="text1"/>
          <w:sz w:val="16"/>
          <w:szCs w:val="16"/>
        </w:rPr>
        <w:t xml:space="preserve">] показана дальнобойность по </w:t>
      </w:r>
      <w:proofErr w:type="spellStart"/>
      <w:r w:rsidRPr="007122AB">
        <w:rPr>
          <w:color w:val="000000" w:themeColor="text1"/>
          <w:sz w:val="16"/>
          <w:szCs w:val="16"/>
        </w:rPr>
        <w:t>гориз</w:t>
      </w:r>
      <w:proofErr w:type="spellEnd"/>
      <w:r w:rsidRPr="007122AB">
        <w:rPr>
          <w:color w:val="000000" w:themeColor="text1"/>
          <w:sz w:val="16"/>
          <w:szCs w:val="16"/>
        </w:rPr>
        <w:t>[</w:t>
      </w:r>
      <w:proofErr w:type="spellStart"/>
      <w:r w:rsidRPr="007122AB">
        <w:rPr>
          <w:color w:val="000000" w:themeColor="text1"/>
          <w:sz w:val="16"/>
          <w:szCs w:val="16"/>
        </w:rPr>
        <w:t>онтальному</w:t>
      </w:r>
      <w:proofErr w:type="spellEnd"/>
      <w:r w:rsidRPr="007122AB">
        <w:rPr>
          <w:color w:val="000000" w:themeColor="text1"/>
          <w:sz w:val="16"/>
          <w:szCs w:val="16"/>
        </w:rPr>
        <w:t>] направлению, в знамен[</w:t>
      </w:r>
      <w:proofErr w:type="spellStart"/>
      <w:r w:rsidRPr="007122AB">
        <w:rPr>
          <w:color w:val="000000" w:themeColor="text1"/>
          <w:sz w:val="16"/>
          <w:szCs w:val="16"/>
        </w:rPr>
        <w:t>ателе</w:t>
      </w:r>
      <w:proofErr w:type="spellEnd"/>
      <w:r w:rsidRPr="007122AB">
        <w:rPr>
          <w:color w:val="000000" w:themeColor="text1"/>
          <w:sz w:val="16"/>
          <w:szCs w:val="16"/>
        </w:rPr>
        <w:t xml:space="preserve">] — по </w:t>
      </w:r>
      <w:proofErr w:type="spellStart"/>
      <w:r w:rsidRPr="007122AB">
        <w:rPr>
          <w:color w:val="000000" w:themeColor="text1"/>
          <w:sz w:val="16"/>
          <w:szCs w:val="16"/>
        </w:rPr>
        <w:t>вертикальн</w:t>
      </w:r>
      <w:proofErr w:type="spellEnd"/>
      <w:r w:rsidRPr="007122AB">
        <w:rPr>
          <w:color w:val="000000" w:themeColor="text1"/>
          <w:sz w:val="16"/>
          <w:szCs w:val="16"/>
        </w:rPr>
        <w:t>[ому] направлению (</w:t>
      </w:r>
      <w:r w:rsidRPr="007122AB">
        <w:rPr>
          <w:rStyle w:val="af0"/>
          <w:i w:val="0"/>
          <w:color w:val="000000" w:themeColor="text1"/>
          <w:sz w:val="16"/>
          <w:szCs w:val="16"/>
        </w:rPr>
        <w:t>Прим. док</w:t>
      </w:r>
      <w:r w:rsidRPr="007122AB">
        <w:rPr>
          <w:color w:val="000000" w:themeColor="text1"/>
          <w:sz w:val="16"/>
          <w:szCs w:val="16"/>
        </w:rPr>
        <w:t>.).</w:t>
      </w:r>
    </w:p>
    <w:p w14:paraId="3B5E7BAF"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8</w:t>
      </w:r>
      <w:r w:rsidRPr="007122AB">
        <w:rPr>
          <w:color w:val="000000" w:themeColor="text1"/>
          <w:sz w:val="16"/>
          <w:szCs w:val="16"/>
        </w:rPr>
        <w:t xml:space="preserve">* Трофейная </w:t>
      </w:r>
      <w:proofErr w:type="spellStart"/>
      <w:r w:rsidRPr="007122AB">
        <w:rPr>
          <w:color w:val="000000" w:themeColor="text1"/>
          <w:sz w:val="16"/>
          <w:szCs w:val="16"/>
        </w:rPr>
        <w:t>крупповская</w:t>
      </w:r>
      <w:proofErr w:type="spellEnd"/>
      <w:r w:rsidRPr="007122AB">
        <w:rPr>
          <w:color w:val="000000" w:themeColor="text1"/>
          <w:sz w:val="16"/>
          <w:szCs w:val="16"/>
        </w:rPr>
        <w:t>, по германским данным (</w:t>
      </w:r>
      <w:r w:rsidRPr="007122AB">
        <w:rPr>
          <w:rStyle w:val="af0"/>
          <w:i w:val="0"/>
          <w:color w:val="000000" w:themeColor="text1"/>
          <w:sz w:val="16"/>
          <w:szCs w:val="16"/>
        </w:rPr>
        <w:t>Прим. док</w:t>
      </w:r>
      <w:r w:rsidRPr="007122AB">
        <w:rPr>
          <w:color w:val="000000" w:themeColor="text1"/>
          <w:sz w:val="16"/>
          <w:szCs w:val="16"/>
        </w:rPr>
        <w:t>.).</w:t>
      </w:r>
    </w:p>
    <w:p w14:paraId="32BBBFF1"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9</w:t>
      </w:r>
      <w:r w:rsidRPr="007122AB">
        <w:rPr>
          <w:color w:val="000000" w:themeColor="text1"/>
          <w:sz w:val="16"/>
          <w:szCs w:val="16"/>
        </w:rPr>
        <w:t xml:space="preserve">* По </w:t>
      </w:r>
      <w:proofErr w:type="spellStart"/>
      <w:r w:rsidRPr="007122AB">
        <w:rPr>
          <w:color w:val="000000" w:themeColor="text1"/>
          <w:sz w:val="16"/>
          <w:szCs w:val="16"/>
        </w:rPr>
        <w:t>теоретич</w:t>
      </w:r>
      <w:proofErr w:type="spellEnd"/>
      <w:r w:rsidRPr="007122AB">
        <w:rPr>
          <w:color w:val="000000" w:themeColor="text1"/>
          <w:sz w:val="16"/>
          <w:szCs w:val="16"/>
        </w:rPr>
        <w:t>[</w:t>
      </w:r>
      <w:proofErr w:type="spellStart"/>
      <w:r w:rsidRPr="007122AB">
        <w:rPr>
          <w:color w:val="000000" w:themeColor="text1"/>
          <w:sz w:val="16"/>
          <w:szCs w:val="16"/>
        </w:rPr>
        <w:t>еским</w:t>
      </w:r>
      <w:proofErr w:type="spellEnd"/>
      <w:r w:rsidRPr="007122AB">
        <w:rPr>
          <w:color w:val="000000" w:themeColor="text1"/>
          <w:sz w:val="16"/>
          <w:szCs w:val="16"/>
        </w:rPr>
        <w:t xml:space="preserve">] подсчетам </w:t>
      </w:r>
      <w:proofErr w:type="spellStart"/>
      <w:r w:rsidRPr="007122AB">
        <w:rPr>
          <w:color w:val="000000" w:themeColor="text1"/>
          <w:sz w:val="16"/>
          <w:szCs w:val="16"/>
        </w:rPr>
        <w:t>дальноб</w:t>
      </w:r>
      <w:proofErr w:type="spellEnd"/>
      <w:r w:rsidRPr="007122AB">
        <w:rPr>
          <w:color w:val="000000" w:themeColor="text1"/>
          <w:sz w:val="16"/>
          <w:szCs w:val="16"/>
        </w:rPr>
        <w:t>[</w:t>
      </w:r>
      <w:proofErr w:type="spellStart"/>
      <w:r w:rsidRPr="007122AB">
        <w:rPr>
          <w:color w:val="000000" w:themeColor="text1"/>
          <w:sz w:val="16"/>
          <w:szCs w:val="16"/>
        </w:rPr>
        <w:t>ойность</w:t>
      </w:r>
      <w:proofErr w:type="spellEnd"/>
      <w:r w:rsidRPr="007122AB">
        <w:rPr>
          <w:color w:val="000000" w:themeColor="text1"/>
          <w:sz w:val="16"/>
          <w:szCs w:val="16"/>
        </w:rPr>
        <w:t xml:space="preserve">] при </w:t>
      </w:r>
      <w:proofErr w:type="spellStart"/>
      <w:r w:rsidRPr="007122AB">
        <w:rPr>
          <w:color w:val="000000" w:themeColor="text1"/>
          <w:sz w:val="16"/>
          <w:szCs w:val="16"/>
        </w:rPr>
        <w:t>нач</w:t>
      </w:r>
      <w:proofErr w:type="spellEnd"/>
      <w:r w:rsidRPr="007122AB">
        <w:rPr>
          <w:color w:val="000000" w:themeColor="text1"/>
          <w:sz w:val="16"/>
          <w:szCs w:val="16"/>
        </w:rPr>
        <w:t>[</w:t>
      </w:r>
      <w:proofErr w:type="spellStart"/>
      <w:r w:rsidRPr="007122AB">
        <w:rPr>
          <w:color w:val="000000" w:themeColor="text1"/>
          <w:sz w:val="16"/>
          <w:szCs w:val="16"/>
        </w:rPr>
        <w:t>альной</w:t>
      </w:r>
      <w:proofErr w:type="spellEnd"/>
      <w:r w:rsidRPr="007122AB">
        <w:rPr>
          <w:color w:val="000000" w:themeColor="text1"/>
          <w:sz w:val="16"/>
          <w:szCs w:val="16"/>
        </w:rPr>
        <w:t>] скор[ости] 875 м/сек д[</w:t>
      </w:r>
      <w:proofErr w:type="spellStart"/>
      <w:r w:rsidRPr="007122AB">
        <w:rPr>
          <w:color w:val="000000" w:themeColor="text1"/>
          <w:sz w:val="16"/>
          <w:szCs w:val="16"/>
        </w:rPr>
        <w:t>олжна</w:t>
      </w:r>
      <w:proofErr w:type="spellEnd"/>
      <w:r w:rsidRPr="007122AB">
        <w:rPr>
          <w:color w:val="000000" w:themeColor="text1"/>
          <w:sz w:val="16"/>
          <w:szCs w:val="16"/>
        </w:rPr>
        <w:t>] быть 75 км (</w:t>
      </w:r>
      <w:r w:rsidRPr="007122AB">
        <w:rPr>
          <w:rStyle w:val="af0"/>
          <w:i w:val="0"/>
          <w:color w:val="000000" w:themeColor="text1"/>
          <w:sz w:val="16"/>
          <w:szCs w:val="16"/>
        </w:rPr>
        <w:t>Прим. док</w:t>
      </w:r>
      <w:r w:rsidRPr="007122AB">
        <w:rPr>
          <w:color w:val="000000" w:themeColor="text1"/>
          <w:sz w:val="16"/>
          <w:szCs w:val="16"/>
        </w:rPr>
        <w:t>.).</w:t>
      </w:r>
    </w:p>
    <w:p w14:paraId="67BF5272"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10</w:t>
      </w:r>
      <w:r w:rsidRPr="007122AB">
        <w:rPr>
          <w:color w:val="000000" w:themeColor="text1"/>
          <w:sz w:val="16"/>
          <w:szCs w:val="16"/>
        </w:rPr>
        <w:t xml:space="preserve">* В Англии появилась винтовка Виккерса — </w:t>
      </w:r>
      <w:proofErr w:type="spellStart"/>
      <w:r w:rsidRPr="007122AB">
        <w:rPr>
          <w:color w:val="000000" w:themeColor="text1"/>
          <w:sz w:val="16"/>
          <w:szCs w:val="16"/>
        </w:rPr>
        <w:t>Бертис</w:t>
      </w:r>
      <w:proofErr w:type="spellEnd"/>
      <w:r w:rsidRPr="007122AB">
        <w:rPr>
          <w:color w:val="000000" w:themeColor="text1"/>
          <w:sz w:val="16"/>
          <w:szCs w:val="16"/>
        </w:rPr>
        <w:t>, дающая 450 </w:t>
      </w:r>
      <w:proofErr w:type="spellStart"/>
      <w:r w:rsidRPr="007122AB">
        <w:rPr>
          <w:color w:val="000000" w:themeColor="text1"/>
          <w:sz w:val="16"/>
          <w:szCs w:val="16"/>
        </w:rPr>
        <w:t>выстр</w:t>
      </w:r>
      <w:proofErr w:type="spellEnd"/>
      <w:r w:rsidRPr="007122AB">
        <w:rPr>
          <w:color w:val="000000" w:themeColor="text1"/>
          <w:sz w:val="16"/>
          <w:szCs w:val="16"/>
        </w:rPr>
        <w:t>[</w:t>
      </w:r>
      <w:proofErr w:type="spellStart"/>
      <w:r w:rsidRPr="007122AB">
        <w:rPr>
          <w:color w:val="000000" w:themeColor="text1"/>
          <w:sz w:val="16"/>
          <w:szCs w:val="16"/>
        </w:rPr>
        <w:t>елов</w:t>
      </w:r>
      <w:proofErr w:type="spellEnd"/>
      <w:r w:rsidRPr="007122AB">
        <w:rPr>
          <w:color w:val="000000" w:themeColor="text1"/>
          <w:sz w:val="16"/>
          <w:szCs w:val="16"/>
        </w:rPr>
        <w:t xml:space="preserve">] в минуту при постоянном воздушном охлаждении, и 2 тыс. </w:t>
      </w:r>
      <w:proofErr w:type="spellStart"/>
      <w:r w:rsidRPr="007122AB">
        <w:rPr>
          <w:color w:val="000000" w:themeColor="text1"/>
          <w:sz w:val="16"/>
          <w:szCs w:val="16"/>
        </w:rPr>
        <w:t>выстр</w:t>
      </w:r>
      <w:proofErr w:type="spellEnd"/>
      <w:r w:rsidRPr="007122AB">
        <w:rPr>
          <w:color w:val="000000" w:themeColor="text1"/>
          <w:sz w:val="16"/>
          <w:szCs w:val="16"/>
        </w:rPr>
        <w:t>[</w:t>
      </w:r>
      <w:proofErr w:type="spellStart"/>
      <w:r w:rsidRPr="007122AB">
        <w:rPr>
          <w:color w:val="000000" w:themeColor="text1"/>
          <w:sz w:val="16"/>
          <w:szCs w:val="16"/>
        </w:rPr>
        <w:t>елов</w:t>
      </w:r>
      <w:proofErr w:type="spellEnd"/>
      <w:r w:rsidRPr="007122AB">
        <w:rPr>
          <w:color w:val="000000" w:themeColor="text1"/>
          <w:sz w:val="16"/>
          <w:szCs w:val="16"/>
        </w:rPr>
        <w:t>] при стрельбе в течение нескольких минут (</w:t>
      </w:r>
      <w:r w:rsidRPr="007122AB">
        <w:rPr>
          <w:rStyle w:val="af0"/>
          <w:i w:val="0"/>
          <w:color w:val="000000" w:themeColor="text1"/>
          <w:sz w:val="16"/>
          <w:szCs w:val="16"/>
        </w:rPr>
        <w:t>Прим. док</w:t>
      </w:r>
      <w:r w:rsidRPr="007122AB">
        <w:rPr>
          <w:color w:val="000000" w:themeColor="text1"/>
          <w:sz w:val="16"/>
          <w:szCs w:val="16"/>
        </w:rPr>
        <w:t>.).</w:t>
      </w:r>
    </w:p>
    <w:p w14:paraId="31CACDB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11</w:t>
      </w:r>
      <w:r w:rsidRPr="007122AB">
        <w:rPr>
          <w:color w:val="000000" w:themeColor="text1"/>
          <w:sz w:val="16"/>
          <w:szCs w:val="16"/>
        </w:rPr>
        <w:t>* В тексте, видимо, ошибочно указано 77 мм вместо 76 (см. выше примечание к таблице).</w:t>
      </w:r>
    </w:p>
    <w:p w14:paraId="4C4280FB"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12</w:t>
      </w:r>
      <w:r w:rsidRPr="007122AB">
        <w:rPr>
          <w:color w:val="000000" w:themeColor="text1"/>
          <w:sz w:val="16"/>
          <w:szCs w:val="16"/>
        </w:rPr>
        <w:t>* Япония 2/50 — 140 мм — 12 выстрелов в минуту, Англия 2/50 — 102 мм, — 16 выстрелов в минуту, Италия 2/50 —120 мм — 16 выстрелов в минуту (</w:t>
      </w:r>
      <w:r w:rsidRPr="007122AB">
        <w:rPr>
          <w:rStyle w:val="af0"/>
          <w:i w:val="0"/>
          <w:color w:val="000000" w:themeColor="text1"/>
          <w:sz w:val="16"/>
          <w:szCs w:val="16"/>
        </w:rPr>
        <w:t>Прим. док</w:t>
      </w:r>
      <w:r w:rsidRPr="007122AB">
        <w:rPr>
          <w:color w:val="000000" w:themeColor="text1"/>
          <w:sz w:val="16"/>
          <w:szCs w:val="16"/>
        </w:rPr>
        <w:t>.).</w:t>
      </w:r>
    </w:p>
    <w:p w14:paraId="2E5AEA10"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13</w:t>
      </w:r>
      <w:r w:rsidRPr="007122AB">
        <w:rPr>
          <w:color w:val="000000" w:themeColor="text1"/>
          <w:sz w:val="16"/>
          <w:szCs w:val="16"/>
        </w:rPr>
        <w:t>* В части металл[</w:t>
      </w:r>
      <w:proofErr w:type="spellStart"/>
      <w:r w:rsidRPr="007122AB">
        <w:rPr>
          <w:color w:val="000000" w:themeColor="text1"/>
          <w:sz w:val="16"/>
          <w:szCs w:val="16"/>
        </w:rPr>
        <w:t>ической</w:t>
      </w:r>
      <w:proofErr w:type="spellEnd"/>
      <w:r w:rsidRPr="007122AB">
        <w:rPr>
          <w:color w:val="000000" w:themeColor="text1"/>
          <w:sz w:val="16"/>
          <w:szCs w:val="16"/>
        </w:rPr>
        <w:t xml:space="preserve">] надлежит </w:t>
      </w:r>
      <w:proofErr w:type="spellStart"/>
      <w:r w:rsidRPr="007122AB">
        <w:rPr>
          <w:color w:val="000000" w:themeColor="text1"/>
          <w:sz w:val="16"/>
          <w:szCs w:val="16"/>
        </w:rPr>
        <w:t>ориент</w:t>
      </w:r>
      <w:proofErr w:type="spellEnd"/>
      <w:r w:rsidRPr="007122AB">
        <w:rPr>
          <w:color w:val="000000" w:themeColor="text1"/>
          <w:sz w:val="16"/>
          <w:szCs w:val="16"/>
        </w:rPr>
        <w:t>[</w:t>
      </w:r>
      <w:proofErr w:type="spellStart"/>
      <w:r w:rsidRPr="007122AB">
        <w:rPr>
          <w:color w:val="000000" w:themeColor="text1"/>
          <w:sz w:val="16"/>
          <w:szCs w:val="16"/>
        </w:rPr>
        <w:t>ироваться</w:t>
      </w:r>
      <w:proofErr w:type="spellEnd"/>
      <w:r w:rsidRPr="007122AB">
        <w:rPr>
          <w:color w:val="000000" w:themeColor="text1"/>
          <w:sz w:val="16"/>
          <w:szCs w:val="16"/>
        </w:rPr>
        <w:t>] на требования авиамоторостроения (</w:t>
      </w:r>
      <w:proofErr w:type="spellStart"/>
      <w:r w:rsidRPr="007122AB">
        <w:rPr>
          <w:rStyle w:val="af0"/>
          <w:i w:val="0"/>
          <w:color w:val="000000" w:themeColor="text1"/>
          <w:sz w:val="16"/>
          <w:szCs w:val="16"/>
        </w:rPr>
        <w:t>Прим.док</w:t>
      </w:r>
      <w:proofErr w:type="spellEnd"/>
      <w:r w:rsidRPr="007122AB">
        <w:rPr>
          <w:color w:val="000000" w:themeColor="text1"/>
          <w:sz w:val="16"/>
          <w:szCs w:val="16"/>
        </w:rPr>
        <w:t>.)</w:t>
      </w:r>
    </w:p>
    <w:p w14:paraId="70D22939"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14</w:t>
      </w:r>
      <w:r w:rsidRPr="007122AB">
        <w:rPr>
          <w:color w:val="000000" w:themeColor="text1"/>
          <w:sz w:val="16"/>
          <w:szCs w:val="16"/>
        </w:rPr>
        <w:t>* Однако для мотор[</w:t>
      </w:r>
      <w:proofErr w:type="spellStart"/>
      <w:r w:rsidRPr="007122AB">
        <w:rPr>
          <w:color w:val="000000" w:themeColor="text1"/>
          <w:sz w:val="16"/>
          <w:szCs w:val="16"/>
        </w:rPr>
        <w:t>ов</w:t>
      </w:r>
      <w:proofErr w:type="spellEnd"/>
      <w:r w:rsidRPr="007122AB">
        <w:rPr>
          <w:color w:val="000000" w:themeColor="text1"/>
          <w:sz w:val="16"/>
          <w:szCs w:val="16"/>
        </w:rPr>
        <w:t xml:space="preserve">] </w:t>
      </w:r>
      <w:proofErr w:type="spellStart"/>
      <w:r w:rsidRPr="007122AB">
        <w:rPr>
          <w:color w:val="000000" w:themeColor="text1"/>
          <w:sz w:val="16"/>
          <w:szCs w:val="16"/>
        </w:rPr>
        <w:t>услов</w:t>
      </w:r>
      <w:proofErr w:type="spellEnd"/>
      <w:r w:rsidRPr="007122AB">
        <w:rPr>
          <w:color w:val="000000" w:themeColor="text1"/>
          <w:sz w:val="16"/>
          <w:szCs w:val="16"/>
        </w:rPr>
        <w:t>[</w:t>
      </w:r>
      <w:proofErr w:type="spellStart"/>
      <w:r w:rsidRPr="007122AB">
        <w:rPr>
          <w:color w:val="000000" w:themeColor="text1"/>
          <w:sz w:val="16"/>
          <w:szCs w:val="16"/>
        </w:rPr>
        <w:t>ия</w:t>
      </w:r>
      <w:proofErr w:type="spellEnd"/>
      <w:r w:rsidRPr="007122AB">
        <w:rPr>
          <w:color w:val="000000" w:themeColor="text1"/>
          <w:sz w:val="16"/>
          <w:szCs w:val="16"/>
        </w:rPr>
        <w:t>] охлажден[</w:t>
      </w:r>
      <w:proofErr w:type="spellStart"/>
      <w:r w:rsidRPr="007122AB">
        <w:rPr>
          <w:color w:val="000000" w:themeColor="text1"/>
          <w:sz w:val="16"/>
          <w:szCs w:val="16"/>
        </w:rPr>
        <w:t>ия</w:t>
      </w:r>
      <w:proofErr w:type="spellEnd"/>
      <w:r w:rsidRPr="007122AB">
        <w:rPr>
          <w:color w:val="000000" w:themeColor="text1"/>
          <w:sz w:val="16"/>
          <w:szCs w:val="16"/>
        </w:rPr>
        <w:t>] для танков более тяжелые (</w:t>
      </w:r>
      <w:proofErr w:type="spellStart"/>
      <w:r w:rsidRPr="007122AB">
        <w:rPr>
          <w:rStyle w:val="af0"/>
          <w:i w:val="0"/>
          <w:color w:val="000000" w:themeColor="text1"/>
          <w:sz w:val="16"/>
          <w:szCs w:val="16"/>
        </w:rPr>
        <w:t>Прим.док</w:t>
      </w:r>
      <w:proofErr w:type="spellEnd"/>
      <w:r w:rsidRPr="007122AB">
        <w:rPr>
          <w:color w:val="000000" w:themeColor="text1"/>
          <w:sz w:val="16"/>
          <w:szCs w:val="16"/>
        </w:rPr>
        <w:t>.).</w:t>
      </w:r>
    </w:p>
    <w:p w14:paraId="49845F80"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15</w:t>
      </w:r>
      <w:r w:rsidRPr="007122AB">
        <w:rPr>
          <w:color w:val="000000" w:themeColor="text1"/>
          <w:sz w:val="16"/>
          <w:szCs w:val="16"/>
        </w:rPr>
        <w:t>* Так в тексте.</w:t>
      </w:r>
    </w:p>
    <w:p w14:paraId="76508BA3"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16</w:t>
      </w:r>
      <w:r w:rsidRPr="007122AB">
        <w:rPr>
          <w:color w:val="000000" w:themeColor="text1"/>
          <w:sz w:val="16"/>
          <w:szCs w:val="16"/>
        </w:rPr>
        <w:t>* Согласно последним данным о развитии мощностей наших заводов запроектированный объем научно-исследовательских работ составит в 1932 г. около 0,3% и в 1933 г. около 0,6% (</w:t>
      </w:r>
      <w:r w:rsidRPr="007122AB">
        <w:rPr>
          <w:rStyle w:val="af0"/>
          <w:i w:val="0"/>
          <w:color w:val="000000" w:themeColor="text1"/>
          <w:sz w:val="16"/>
          <w:szCs w:val="16"/>
        </w:rPr>
        <w:t>Прим. док., написано от руки</w:t>
      </w:r>
      <w:r w:rsidRPr="007122AB">
        <w:rPr>
          <w:color w:val="000000" w:themeColor="text1"/>
          <w:sz w:val="16"/>
          <w:szCs w:val="16"/>
        </w:rPr>
        <w:t>).</w:t>
      </w:r>
    </w:p>
    <w:p w14:paraId="0B09D9C3"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17</w:t>
      </w:r>
      <w:r w:rsidRPr="007122AB">
        <w:rPr>
          <w:color w:val="000000" w:themeColor="text1"/>
          <w:sz w:val="16"/>
          <w:szCs w:val="16"/>
        </w:rPr>
        <w:t>* Номер не указан.</w:t>
      </w:r>
    </w:p>
    <w:p w14:paraId="13F3D6E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vertAlign w:val="superscript"/>
        </w:rPr>
        <w:t>18</w:t>
      </w:r>
      <w:r w:rsidRPr="007122AB">
        <w:rPr>
          <w:color w:val="000000" w:themeColor="text1"/>
          <w:sz w:val="16"/>
          <w:szCs w:val="16"/>
        </w:rPr>
        <w:t>* Приложения не публикуются, см. там же, л. 112</w:t>
      </w:r>
      <w:r w:rsidRPr="007122AB">
        <w:rPr>
          <w:color w:val="000000" w:themeColor="text1"/>
          <w:sz w:val="16"/>
          <w:szCs w:val="16"/>
        </w:rPr>
        <w:noBreakHyphen/>
        <w:t>111 об., 109</w:t>
      </w:r>
      <w:r w:rsidRPr="007122AB">
        <w:rPr>
          <w:color w:val="000000" w:themeColor="text1"/>
          <w:sz w:val="16"/>
          <w:szCs w:val="16"/>
        </w:rPr>
        <w:noBreakHyphen/>
        <w:t>66 об., 55</w:t>
      </w:r>
      <w:r w:rsidRPr="007122AB">
        <w:rPr>
          <w:color w:val="000000" w:themeColor="text1"/>
          <w:sz w:val="16"/>
          <w:szCs w:val="16"/>
        </w:rPr>
        <w:noBreakHyphen/>
        <w:t>54. Приложение № 2 в деле не обнаружено.</w:t>
      </w:r>
    </w:p>
    <w:p w14:paraId="0C87ECDB" w14:textId="77777777" w:rsidR="005E7475" w:rsidRPr="007122AB" w:rsidRDefault="005E7475" w:rsidP="007122AB">
      <w:pPr>
        <w:pStyle w:val="ae"/>
        <w:spacing w:before="0" w:after="0"/>
        <w:jc w:val="both"/>
        <w:rPr>
          <w:color w:val="000000" w:themeColor="text1"/>
          <w:sz w:val="16"/>
          <w:szCs w:val="16"/>
        </w:rPr>
      </w:pPr>
      <w:r w:rsidRPr="007122AB">
        <w:rPr>
          <w:color w:val="000000" w:themeColor="text1"/>
          <w:sz w:val="16"/>
          <w:szCs w:val="16"/>
        </w:rPr>
        <w:t>РГАЭ. Ф. 4372. Оп. 91. Д. 422. Л. 118—113. Заверенная копия.</w:t>
      </w:r>
    </w:p>
    <w:p w14:paraId="559642FB"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422. Л. 118—113. Заверенная копия. </w:t>
      </w:r>
    </w:p>
    <w:p w14:paraId="00948495"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517-525 (12522).</w:t>
      </w:r>
    </w:p>
    <w:p w14:paraId="5CAF0319" w14:textId="49B956D3" w:rsidR="005E7475" w:rsidRPr="007122AB" w:rsidRDefault="005E7475" w:rsidP="007122AB">
      <w:pPr>
        <w:spacing w:after="0" w:line="240" w:lineRule="auto"/>
        <w:jc w:val="both"/>
        <w:rPr>
          <w:rFonts w:ascii="Times New Roman" w:hAnsi="Times New Roman"/>
          <w:color w:val="000000" w:themeColor="text1"/>
          <w:sz w:val="16"/>
          <w:szCs w:val="16"/>
        </w:rPr>
      </w:pPr>
    </w:p>
    <w:p w14:paraId="6644C999" w14:textId="3192C01D" w:rsidR="00403219" w:rsidRPr="007122AB" w:rsidRDefault="00403219"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52A855EC" w14:textId="77777777" w:rsidR="00403219" w:rsidRPr="007122AB" w:rsidRDefault="00403219" w:rsidP="007122AB">
      <w:pPr>
        <w:spacing w:after="0" w:line="240" w:lineRule="auto"/>
        <w:jc w:val="both"/>
        <w:rPr>
          <w:rFonts w:ascii="Times New Roman" w:hAnsi="Times New Roman"/>
          <w:i/>
          <w:iCs/>
          <w:color w:val="000000" w:themeColor="text1"/>
          <w:sz w:val="16"/>
          <w:szCs w:val="16"/>
        </w:rPr>
      </w:pPr>
    </w:p>
    <w:p w14:paraId="286E0738" w14:textId="77777777" w:rsidR="00403219" w:rsidRPr="007122AB" w:rsidRDefault="0040321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9 февраля 1931 г. начальник ВВС РККА Я.И. Алкснис запретил учебные прыжки на боевых парашютах. Новички стали пользоваться учебными «Ирвинами». Последние имели два купола в двух отдельных ранцах: основной, побольше, размещался на спине, запасной, поменьше, вешался на живот. Интересно, что сброс основного купола при его смятии или перехлесте стропами американцами не предусматривался. Парашютист должен был резать стропы, а потом выпускать запасной (21505).</w:t>
      </w:r>
    </w:p>
    <w:p w14:paraId="2017BCF9" w14:textId="77777777" w:rsidR="00403219" w:rsidRPr="007122AB" w:rsidRDefault="00403219" w:rsidP="007122AB">
      <w:pPr>
        <w:spacing w:after="0" w:line="240" w:lineRule="auto"/>
        <w:jc w:val="both"/>
        <w:rPr>
          <w:rFonts w:ascii="Times New Roman" w:hAnsi="Times New Roman"/>
          <w:color w:val="000000" w:themeColor="text1"/>
          <w:sz w:val="16"/>
          <w:szCs w:val="16"/>
        </w:rPr>
      </w:pPr>
    </w:p>
    <w:p w14:paraId="4116AE0D" w14:textId="77777777" w:rsidR="00093149" w:rsidRPr="007122AB" w:rsidRDefault="00093149"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E1FF11B" w14:textId="77777777" w:rsidR="00093149" w:rsidRPr="007122AB" w:rsidRDefault="000931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715E1E" w14:textId="77777777" w:rsidR="00093149" w:rsidRPr="007122AB" w:rsidRDefault="0009314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февраля 1931 г. партийное руководство Москвы вынесло впечатление, что хотя трамвайное дело нуждается в основательной реорганизации, однако одного этого недостаточно для исправления тяжелой ситуации на городском транспорте. Комиссия под председательством Рындина разработала решение, утвержденное 5 марта 1931 г. Бюро МГК, согласно которому Моссовету совместно с областными плановыми органами и МГЖД поручалось в течение 6 месяцев разработать концепцию реконструкции транспортной системы города, причем определить «тип дополнительных средств сообщения (метрополитен, проведение железных дорог внутрь города), новые кольцевые линии трамвая и автобуса»{309} (18299).</w:t>
      </w:r>
    </w:p>
    <w:p w14:paraId="7A347F69" w14:textId="77777777" w:rsidR="00093149" w:rsidRPr="007122AB" w:rsidRDefault="00093149" w:rsidP="007122AB">
      <w:pPr>
        <w:spacing w:after="0" w:line="240" w:lineRule="auto"/>
        <w:jc w:val="both"/>
        <w:rPr>
          <w:rFonts w:ascii="Times New Roman" w:hAnsi="Times New Roman"/>
          <w:color w:val="000000" w:themeColor="text1"/>
          <w:sz w:val="16"/>
          <w:szCs w:val="16"/>
        </w:rPr>
      </w:pPr>
    </w:p>
    <w:p w14:paraId="4B08C92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B1A515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B00E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февраля 1931 русский певец Ф. Шаляпин отсудил 10 тысяч франков у Советского Коммерческого Бюро в Париже за пиратское тиражирование в СССР его песен (4962).</w:t>
      </w:r>
    </w:p>
    <w:p w14:paraId="1C3BCE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2C05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079917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CE3D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февраля 1931 вышло письмо НИИ ВВС в ЦАГИ по поводу договоренности В.М.П. об окончании переделки ТБ-3 (АНТ-6) под БМВ-6 к 20 марта 1931 при условии, что самолет будет получен 20 февраля 1931 (1077,122).</w:t>
      </w:r>
    </w:p>
    <w:p w14:paraId="5D0BC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A94C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февраля 1931 года самолет ТБ3-4Кертис </w:t>
      </w:r>
      <w:proofErr w:type="spellStart"/>
      <w:r w:rsidRPr="007122AB">
        <w:rPr>
          <w:rFonts w:ascii="Times New Roman" w:hAnsi="Times New Roman"/>
          <w:color w:val="000000" w:themeColor="text1"/>
          <w:sz w:val="16"/>
          <w:szCs w:val="16"/>
        </w:rPr>
        <w:t>Конкверрер</w:t>
      </w:r>
      <w:proofErr w:type="spellEnd"/>
      <w:r w:rsidRPr="007122AB">
        <w:rPr>
          <w:rFonts w:ascii="Times New Roman" w:hAnsi="Times New Roman"/>
          <w:color w:val="000000" w:themeColor="text1"/>
          <w:sz w:val="16"/>
          <w:szCs w:val="16"/>
        </w:rPr>
        <w:t xml:space="preserve"> был передан из НИИ ВВС в ЦАГИ для установки на него моторов БМВVI Е=7,3 и переделки элеронов, руля высоты, руля направления и костыля (6918).</w:t>
      </w:r>
    </w:p>
    <w:p w14:paraId="24DBB4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9D44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февраля 1931 ТБ-3 4КК был передан в ЦАГИ для установки моторов БМВ-6 и переделки РВ, РН и элеронов, т.к. нагрузки на рули и педали были излишне высоки. Потом еще несколько раз переделывали (3029,211).</w:t>
      </w:r>
    </w:p>
    <w:p w14:paraId="7B467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A8A63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5FD4FA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E52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февраля 1931 СНК обязал гос. предприятия снабжать ГВФ по ценам, установленным для армии и флота (356,417).</w:t>
      </w:r>
    </w:p>
    <w:p w14:paraId="5E391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CE377C"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февраля 1931 г.</w:t>
      </w:r>
    </w:p>
    <w:p w14:paraId="4733488B"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ДОКЛАДНАЯ ЗАПИСКА ЗАМЕСТИТЕЛЯ ЗАВЕДУЮЩЕГО III ЗАПАДНЫМ ОТДЕЛОМ НКИД СССР И.Л. АРЕНСА НАРОДНОМУ КОМИССАРУ ИНОСТРАННЫХ ДЕЛ СССР М.М. ЛИТВИНОВУ О ПОЛЯРНОМ ПЕРЕЛЕТЕ ДИРИЖАБЛЯ «ГРАФ ЦЕППЕЛИН»1 11</w:t>
      </w:r>
    </w:p>
    <w:p w14:paraId="1572D4B1"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февраля 1931 г.</w:t>
      </w:r>
    </w:p>
    <w:p w14:paraId="715635C2"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13593ACE"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предполагающимся воздушным полярным перелетом на «Графе Цеппелине» по линии </w:t>
      </w:r>
      <w:proofErr w:type="spellStart"/>
      <w:r w:rsidRPr="007122AB">
        <w:rPr>
          <w:rFonts w:ascii="Times New Roman" w:hAnsi="Times New Roman"/>
          <w:color w:val="000000" w:themeColor="text1"/>
          <w:sz w:val="16"/>
          <w:szCs w:val="16"/>
        </w:rPr>
        <w:t>Фридрихсгафен</w:t>
      </w:r>
      <w:proofErr w:type="spellEnd"/>
      <w:r w:rsidRPr="007122AB">
        <w:rPr>
          <w:rFonts w:ascii="Times New Roman" w:hAnsi="Times New Roman"/>
          <w:color w:val="000000" w:themeColor="text1"/>
          <w:sz w:val="16"/>
          <w:szCs w:val="16"/>
        </w:rPr>
        <w:t xml:space="preserve"> - Ленинград - Земля Франца Иосифа —Северная Земля — Москва — </w:t>
      </w:r>
      <w:proofErr w:type="spellStart"/>
      <w:r w:rsidRPr="007122AB">
        <w:rPr>
          <w:rFonts w:ascii="Times New Roman" w:hAnsi="Times New Roman"/>
          <w:color w:val="000000" w:themeColor="text1"/>
          <w:sz w:val="16"/>
          <w:szCs w:val="16"/>
        </w:rPr>
        <w:t>Фридрихсгафен</w:t>
      </w:r>
      <w:proofErr w:type="spellEnd"/>
      <w:r w:rsidRPr="007122AB">
        <w:rPr>
          <w:rFonts w:ascii="Times New Roman" w:hAnsi="Times New Roman"/>
          <w:color w:val="000000" w:themeColor="text1"/>
          <w:sz w:val="16"/>
          <w:szCs w:val="16"/>
        </w:rPr>
        <w:t xml:space="preserve"> профессор Р.Л. Самойлович сообщает следующее: начальником экспедиции был избран Р.Л. Самойлович, командиром корабля доктор </w:t>
      </w:r>
      <w:proofErr w:type="spellStart"/>
      <w:r w:rsidRPr="007122AB">
        <w:rPr>
          <w:rFonts w:ascii="Times New Roman" w:hAnsi="Times New Roman"/>
          <w:color w:val="000000" w:themeColor="text1"/>
          <w:sz w:val="16"/>
          <w:szCs w:val="16"/>
        </w:rPr>
        <w:t>Эккенер</w:t>
      </w:r>
      <w:proofErr w:type="spellEnd"/>
      <w:r w:rsidRPr="007122AB">
        <w:rPr>
          <w:rFonts w:ascii="Times New Roman" w:hAnsi="Times New Roman"/>
          <w:color w:val="000000" w:themeColor="text1"/>
          <w:sz w:val="16"/>
          <w:szCs w:val="16"/>
        </w:rPr>
        <w:t xml:space="preserve">. Перелет намечен на начало июля — август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6131B6E4"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согласования вопросов, связанных с означенным перелетом, 15-го февраля приезжает в Москву генеральный секретарь Международного общества по изучению Арктики Брунс. Ему придется выяснить следующие вопросы:</w:t>
      </w:r>
    </w:p>
    <w:p w14:paraId="4B4242A9"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ли советское правительство на означенный перелет.</w:t>
      </w:r>
    </w:p>
    <w:p w14:paraId="48043492"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Утверждение начальником экспедиции </w:t>
      </w:r>
      <w:proofErr w:type="spellStart"/>
      <w:r w:rsidRPr="007122AB">
        <w:rPr>
          <w:rFonts w:ascii="Times New Roman" w:hAnsi="Times New Roman"/>
          <w:color w:val="000000" w:themeColor="text1"/>
          <w:sz w:val="16"/>
          <w:szCs w:val="16"/>
        </w:rPr>
        <w:t>РЛ.Самойловича</w:t>
      </w:r>
      <w:proofErr w:type="spellEnd"/>
      <w:r w:rsidRPr="007122AB">
        <w:rPr>
          <w:rFonts w:ascii="Times New Roman" w:hAnsi="Times New Roman"/>
          <w:color w:val="000000" w:themeColor="text1"/>
          <w:sz w:val="16"/>
          <w:szCs w:val="16"/>
        </w:rPr>
        <w:t xml:space="preserve"> и личного состава экспедиции со стороны СССР. С нашей стороны должны принять участие двое ученых (в том числе проф. Самойлович), один радиотелеграфист, один представитель прессы и два воздухоплавателя. Для сведения сообщаю, что команда «Цеппелина» состоит из 32-х чел. и 10-12 чел. будут принимать участие в качестве ученых, журналистов, кино- и фоторепортеров и т.д.</w:t>
      </w:r>
    </w:p>
    <w:p w14:paraId="6461A372"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Финансовый вопрос. По последнему вопросу дело представляется следующим образом: с нашей стороны не потребуется больших расходов на эту экспедицию, так как она будет финансироваться концерном Херста в Америке; последний получит за это, понятно, монопольное право на газетные сведения, фото- и </w:t>
      </w:r>
      <w:proofErr w:type="spellStart"/>
      <w:r w:rsidRPr="007122AB">
        <w:rPr>
          <w:rFonts w:ascii="Times New Roman" w:hAnsi="Times New Roman"/>
          <w:color w:val="000000" w:themeColor="text1"/>
          <w:sz w:val="16"/>
          <w:szCs w:val="16"/>
        </w:rPr>
        <w:t>киноинформацию</w:t>
      </w:r>
      <w:proofErr w:type="spellEnd"/>
      <w:r w:rsidRPr="007122AB">
        <w:rPr>
          <w:rFonts w:ascii="Times New Roman" w:hAnsi="Times New Roman"/>
          <w:color w:val="000000" w:themeColor="text1"/>
          <w:sz w:val="16"/>
          <w:szCs w:val="16"/>
        </w:rPr>
        <w:t xml:space="preserve"> о перелете. Наша помощь выразится в обслуживании перелета сведениями метеорологического характера и оказании всяческой помощи во время пребывания в Ленинграде.</w:t>
      </w:r>
    </w:p>
    <w:p w14:paraId="10C84786"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Ввиду того, что финансирование перелета связано с монопольными правами концерна Херста, возникает вопрос о характере работы нашего представителя печати во время перелета. Со своей стороны предлагаю следующее: послать представителя ТАСС с правом снабжать информацией ТАСС исключительно для СССР. Его телеграммы будут передаваться непосредственно после </w:t>
      </w:r>
      <w:proofErr w:type="spellStart"/>
      <w:r w:rsidRPr="007122AB">
        <w:rPr>
          <w:rFonts w:ascii="Times New Roman" w:hAnsi="Times New Roman"/>
          <w:color w:val="000000" w:themeColor="text1"/>
          <w:sz w:val="16"/>
          <w:szCs w:val="16"/>
        </w:rPr>
        <w:t>херстовских</w:t>
      </w:r>
      <w:proofErr w:type="spellEnd"/>
      <w:r w:rsidRPr="007122AB">
        <w:rPr>
          <w:rFonts w:ascii="Times New Roman" w:hAnsi="Times New Roman"/>
          <w:color w:val="000000" w:themeColor="text1"/>
          <w:sz w:val="16"/>
          <w:szCs w:val="16"/>
        </w:rPr>
        <w:t>. ТАСС не будет иметь право передавать телеграмм своего корреспондента за границу. Этим путем мы не ставим нашу информацию в зависимость от Херста и одновременно не мешаем их деятельности за границей.</w:t>
      </w:r>
    </w:p>
    <w:p w14:paraId="6E6CA3DD"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В связи с приездом Брунса, при Арктической комиссии СССР4, находящейся под председательством </w:t>
      </w:r>
      <w:proofErr w:type="spellStart"/>
      <w:r w:rsidRPr="007122AB">
        <w:rPr>
          <w:rFonts w:ascii="Times New Roman" w:hAnsi="Times New Roman"/>
          <w:color w:val="000000" w:themeColor="text1"/>
          <w:sz w:val="16"/>
          <w:szCs w:val="16"/>
        </w:rPr>
        <w:t>С.С.Каменева</w:t>
      </w:r>
      <w:proofErr w:type="spellEnd"/>
      <w:r w:rsidRPr="007122AB">
        <w:rPr>
          <w:rFonts w:ascii="Times New Roman" w:hAnsi="Times New Roman"/>
          <w:color w:val="000000" w:themeColor="text1"/>
          <w:sz w:val="16"/>
          <w:szCs w:val="16"/>
        </w:rPr>
        <w:t>, создается комиссия, в которую должен войти представитель НКИД.</w:t>
      </w:r>
    </w:p>
    <w:p w14:paraId="58D73A5D"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Прошу все вопросы, связанные с предполагаемым перелетом «Графа Цеппелина», поставить на ближайшем заседании Коллегии.</w:t>
      </w:r>
    </w:p>
    <w:p w14:paraId="53E6DCF9"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АРЕНС</w:t>
      </w:r>
    </w:p>
    <w:p w14:paraId="5AB81878" w14:textId="77777777" w:rsidR="00D74271" w:rsidRPr="007122AB" w:rsidRDefault="00D742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027а. On. 1. П. 14. Д. 74. Л. 158 + оборот. Подлинник (21049).</w:t>
      </w:r>
    </w:p>
    <w:p w14:paraId="638F8F87" w14:textId="77777777" w:rsidR="00D74271" w:rsidRPr="007122AB" w:rsidRDefault="00D74271" w:rsidP="007122AB">
      <w:pPr>
        <w:spacing w:after="0" w:line="240" w:lineRule="auto"/>
        <w:jc w:val="both"/>
        <w:rPr>
          <w:rFonts w:ascii="Times New Roman" w:hAnsi="Times New Roman"/>
          <w:color w:val="000000" w:themeColor="text1"/>
          <w:sz w:val="16"/>
          <w:szCs w:val="16"/>
        </w:rPr>
      </w:pPr>
    </w:p>
    <w:p w14:paraId="4F858CA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172E7E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381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февраля 1931 г. для выполнения работ по совершенствованию структуры ЭКУ, В. Р. Менжинский просит Сталина вернуть в центральную структуру ЭКУ Льва Григорьевича Миронова, направленного в 1926 г. Полномочным представителем ЭКУ в Средней Азии. </w:t>
      </w:r>
    </w:p>
    <w:p w14:paraId="42686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w:t>
      </w:r>
    </w:p>
    <w:p w14:paraId="3B056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день следует считать днем рождения шарашек (12107).</w:t>
      </w:r>
    </w:p>
    <w:p w14:paraId="58E949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AF4F7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февраля 1931 г. В. Р. Менжинский просит Сталина вернуть в центральную структуру ЭКУ Льва Григорьевича Миронова, направленного в 1926 г. Полномочным представителем ЭКУ в Средней Азии. 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Этот день следует считать днем рождения шарашек (18668).</w:t>
      </w:r>
    </w:p>
    <w:p w14:paraId="48897A27"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5D1FF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февраля 1931 года вышел приказ № 151 по Всесоюзному объединению химической промышленности</w:t>
      </w:r>
    </w:p>
    <w:p w14:paraId="2EE502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Центральную научно-исследовательскую лабораторию пластических масс </w:t>
      </w:r>
      <w:proofErr w:type="spellStart"/>
      <w:r w:rsidRPr="007122AB">
        <w:rPr>
          <w:rFonts w:ascii="Times New Roman" w:hAnsi="Times New Roman"/>
          <w:color w:val="000000" w:themeColor="text1"/>
          <w:sz w:val="16"/>
          <w:szCs w:val="16"/>
        </w:rPr>
        <w:t>ВСЕХИМПРОМа</w:t>
      </w:r>
      <w:proofErr w:type="spellEnd"/>
      <w:r w:rsidRPr="007122AB">
        <w:rPr>
          <w:rFonts w:ascii="Times New Roman" w:hAnsi="Times New Roman"/>
          <w:color w:val="000000" w:themeColor="text1"/>
          <w:sz w:val="16"/>
          <w:szCs w:val="16"/>
        </w:rPr>
        <w:t xml:space="preserve"> реорганизовать в НИИ пластмасс (7705)</w:t>
      </w:r>
    </w:p>
    <w:p w14:paraId="22964BE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EA56B2" w14:textId="77777777" w:rsidR="00935E1C" w:rsidRPr="007122AB" w:rsidRDefault="00935E1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11 февраля 1931 г. Трудовые книжки были введены для промышленных и транспортных рабочих и 20 декабря 1938 г. для всех других рабочих. Эти книжки нужно предъявлять </w:t>
      </w:r>
      <w:bookmarkStart w:id="9" w:name="YANDEX_10"/>
      <w:bookmarkEnd w:id="9"/>
      <w:r w:rsidRPr="007122AB">
        <w:rPr>
          <w:rFonts w:ascii="Times New Roman" w:eastAsia="Times New Roman" w:hAnsi="Times New Roman"/>
          <w:color w:val="000000" w:themeColor="text1"/>
          <w:sz w:val="16"/>
          <w:szCs w:val="16"/>
          <w:lang w:eastAsia="ru-RU"/>
        </w:rPr>
        <w:t xml:space="preserve"> директору  предприятия при поступлении на работу. Директора обязаны указывать в книжке причину увольнения рабочего. Ни один рабочий не может быть принят на новую работу до тех пор, пока он не предъявит своей трудовой книжки. К какой порочной практике приводила подобная система, показывает Виктор Серж, приводя следующие факты: «Паспорт визируется по месту работы. При каждой перемене места работы причина перехода вносится в паспорт. Я знаю факты, </w:t>
      </w:r>
      <w:r w:rsidRPr="007122AB">
        <w:rPr>
          <w:rFonts w:ascii="Times New Roman" w:eastAsia="Times New Roman" w:hAnsi="Times New Roman"/>
          <w:color w:val="000000" w:themeColor="text1"/>
          <w:sz w:val="16"/>
          <w:szCs w:val="16"/>
          <w:lang w:eastAsia="ru-RU"/>
        </w:rPr>
        <w:lastRenderedPageBreak/>
        <w:t>когда рабочим, уволенным за неявку в выходной день для участия в «добровольной» (и, естественно, не оплачиваемой) работе, в паспортах делалась отметка: «Уволен за срыв производственного плана».</w:t>
      </w:r>
    </w:p>
    <w:p w14:paraId="0B0CE7F3" w14:textId="77777777" w:rsidR="00935E1C" w:rsidRPr="007122AB" w:rsidRDefault="00935E1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 закону от 15 ноября </w:t>
      </w:r>
      <w:bookmarkStart w:id="10" w:name="YANDEX_11"/>
      <w:bookmarkEnd w:id="10"/>
      <w:r w:rsidRPr="007122AB">
        <w:rPr>
          <w:rFonts w:ascii="Times New Roman" w:eastAsia="Times New Roman" w:hAnsi="Times New Roman"/>
          <w:color w:val="000000" w:themeColor="text1"/>
          <w:sz w:val="16"/>
          <w:szCs w:val="16"/>
          <w:lang w:eastAsia="ru-RU"/>
        </w:rPr>
        <w:t> 1932  г. рабочий, отсутствовавший на работе в течение одного дня без уважительной причины, подлежит увольнению и - что является значительно более серьезной угрозой в русских условиях - подлежит выселению из квартиры, если он проживает в ведомственном доме (55), а это, как правило, обычно для промышленных рабочих, шахтеров и т. д.</w:t>
      </w:r>
    </w:p>
    <w:p w14:paraId="092AFD5E" w14:textId="77777777" w:rsidR="00935E1C" w:rsidRPr="007122AB" w:rsidRDefault="00935E1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4 декабря </w:t>
      </w:r>
      <w:bookmarkStart w:id="11" w:name="YANDEX_12"/>
      <w:bookmarkEnd w:id="11"/>
      <w:r w:rsidRPr="007122AB">
        <w:rPr>
          <w:rFonts w:ascii="Times New Roman" w:eastAsia="Times New Roman" w:hAnsi="Times New Roman"/>
          <w:color w:val="000000" w:themeColor="text1"/>
          <w:sz w:val="16"/>
          <w:szCs w:val="16"/>
          <w:lang w:eastAsia="ru-RU"/>
        </w:rPr>
        <w:t xml:space="preserve"> 1932  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 </w:t>
      </w:r>
      <w:bookmarkStart w:id="12" w:name="YANDEX_13"/>
      <w:bookmarkEnd w:id="12"/>
      <w:r w:rsidRPr="007122AB">
        <w:rPr>
          <w:rFonts w:ascii="Times New Roman" w:eastAsia="Times New Roman" w:hAnsi="Times New Roman"/>
          <w:color w:val="000000" w:themeColor="text1"/>
          <w:sz w:val="16"/>
          <w:szCs w:val="16"/>
          <w:lang w:eastAsia="ru-RU"/>
        </w:rPr>
        <w:t xml:space="preserve"> директоров  </w:t>
      </w:r>
      <w:bookmarkStart w:id="13" w:name="YANDEX_14"/>
      <w:bookmarkEnd w:id="13"/>
      <w:r w:rsidRPr="007122AB">
        <w:rPr>
          <w:rFonts w:ascii="Times New Roman" w:eastAsia="Times New Roman" w:hAnsi="Times New Roman"/>
          <w:color w:val="000000" w:themeColor="text1"/>
          <w:sz w:val="16"/>
          <w:szCs w:val="16"/>
          <w:lang w:eastAsia="ru-RU"/>
        </w:rPr>
        <w:t> заводов  (17248).</w:t>
      </w:r>
    </w:p>
    <w:p w14:paraId="5146B971" w14:textId="77777777" w:rsidR="00935E1C" w:rsidRPr="007122AB" w:rsidRDefault="00935E1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450A0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09E908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1C3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года руко</w:t>
      </w:r>
      <w:r w:rsidRPr="007122AB">
        <w:rPr>
          <w:rFonts w:ascii="Times New Roman" w:hAnsi="Times New Roman"/>
          <w:color w:val="000000" w:themeColor="text1"/>
          <w:sz w:val="16"/>
          <w:szCs w:val="16"/>
        </w:rPr>
        <w:softHyphen/>
        <w:t>водство УММ РККА представило революционно-военно</w:t>
      </w:r>
      <w:r w:rsidRPr="007122AB">
        <w:rPr>
          <w:rFonts w:ascii="Times New Roman" w:hAnsi="Times New Roman"/>
          <w:color w:val="000000" w:themeColor="text1"/>
          <w:sz w:val="16"/>
          <w:szCs w:val="16"/>
        </w:rPr>
        <w:softHyphen/>
        <w:t>му совету СССР «доклад о положении по опытным образ</w:t>
      </w:r>
      <w:r w:rsidRPr="007122AB">
        <w:rPr>
          <w:rFonts w:ascii="Times New Roman" w:hAnsi="Times New Roman"/>
          <w:color w:val="000000" w:themeColor="text1"/>
          <w:sz w:val="16"/>
          <w:szCs w:val="16"/>
        </w:rPr>
        <w:softHyphen/>
        <w:t xml:space="preserve">цам </w:t>
      </w:r>
      <w:proofErr w:type="spellStart"/>
      <w:r w:rsidRPr="007122AB">
        <w:rPr>
          <w:rFonts w:ascii="Times New Roman" w:hAnsi="Times New Roman"/>
          <w:color w:val="000000" w:themeColor="text1"/>
          <w:sz w:val="16"/>
          <w:szCs w:val="16"/>
        </w:rPr>
        <w:t>автоброневооружения</w:t>
      </w:r>
      <w:proofErr w:type="spellEnd"/>
      <w:r w:rsidRPr="007122AB">
        <w:rPr>
          <w:rFonts w:ascii="Times New Roman" w:hAnsi="Times New Roman"/>
          <w:color w:val="000000" w:themeColor="text1"/>
          <w:sz w:val="16"/>
          <w:szCs w:val="16"/>
        </w:rPr>
        <w:t>», в котором был следующий пункт: «Бронированный «Форд-А». В основном законче</w:t>
      </w:r>
      <w:r w:rsidRPr="007122AB">
        <w:rPr>
          <w:rFonts w:ascii="Times New Roman" w:hAnsi="Times New Roman"/>
          <w:color w:val="000000" w:themeColor="text1"/>
          <w:sz w:val="16"/>
          <w:szCs w:val="16"/>
        </w:rPr>
        <w:softHyphen/>
        <w:t>ны изготовлением четыре опытных образца. Зампредом принято решение остановиться на двух образцах брони</w:t>
      </w:r>
      <w:r w:rsidRPr="007122AB">
        <w:rPr>
          <w:rFonts w:ascii="Times New Roman" w:hAnsi="Times New Roman"/>
          <w:color w:val="000000" w:themeColor="text1"/>
          <w:sz w:val="16"/>
          <w:szCs w:val="16"/>
        </w:rPr>
        <w:softHyphen/>
        <w:t xml:space="preserve">ровки т.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(11284).</w:t>
      </w:r>
    </w:p>
    <w:p w14:paraId="6C171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197B7C" w14:textId="77777777" w:rsidR="009A3E3D" w:rsidRPr="007122AB" w:rsidRDefault="009A3E3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8A331F8" w14:textId="77777777" w:rsidR="009A3E3D" w:rsidRPr="007122AB" w:rsidRDefault="009A3E3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C0BC7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w:t>
      </w:r>
    </w:p>
    <w:p w14:paraId="380B75C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Сопроводительная записка председателя ОГПУ В. Р. Менжинского в связи с отправкой в ЦК ВКП(б) материалов «о ходе следствия» по «делу» Уральского областного комитета «Промпартии». 12 февраля 1931 г.</w:t>
      </w:r>
    </w:p>
    <w:p w14:paraId="2AB31F7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34CA60C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EFC8F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w:t>
      </w:r>
    </w:p>
    <w:p w14:paraId="53FDDD0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4D148CC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 ВКП(б).</w:t>
      </w:r>
    </w:p>
    <w:p w14:paraId="2869ECE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СЕКРЕТАРЮ — тов. СТАЛИНУ.</w:t>
      </w:r>
    </w:p>
    <w:p w14:paraId="02B2841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Препровождаю, для Вашего сведения, справку о ходе следствия по Уральскому Областному Комитету «Промышленной Партии» и показания основного руководителя этой организации — б. главного инженера Магнитостроя — Г[А]ССЕЛЬБЛАТА с характеристикой как деятельности организации в целом, так и по вопросу о вредительских актах на Магнитогорском строительстве.</w:t>
      </w:r>
    </w:p>
    <w:p w14:paraId="1581E08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О.Г.П.У. В. Менжинский</w:t>
      </w:r>
    </w:p>
    <w:p w14:paraId="328ED4F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 S. Значительная часть лиц, проходящих по делу, еще не арестована.</w:t>
      </w:r>
    </w:p>
    <w:p w14:paraId="2C8DBEC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356. Л. 54. Машинописный подлинник на бланке ОГПУ при СНК СССР, подпись — автограф. Дата и номер документа вписаны от руки в угловой штамп бланка. Гриф секретности машинописью. Постскриптум написан рукой В. Р. Менжинского (18660).</w:t>
      </w:r>
    </w:p>
    <w:p w14:paraId="54DBF1F1"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14DD7FB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w:t>
      </w:r>
    </w:p>
    <w:p w14:paraId="107A8A0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 о деятельности «вредительских организаций» в промышленности Урала. 12 февраля 1931 г.</w:t>
      </w:r>
    </w:p>
    <w:p w14:paraId="480DAE2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4FDF84F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FD777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w:t>
      </w:r>
    </w:p>
    <w:p w14:paraId="32DCC16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59F3AC6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w:t>
      </w:r>
    </w:p>
    <w:p w14:paraId="742B046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ЛИКВИДИРОВАННЫХ К.-Р. ОРГАНИЗАЦИЯХ НА УРАЛЕ.</w:t>
      </w:r>
    </w:p>
    <w:p w14:paraId="3153BFD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О.Г.П.У. за последнее время вскрыты и ликвидированы на Урале целый ряд к.-р. организаций, охвативших активной вредительской деятельностью все основные участки Уральской промышленности.</w:t>
      </w:r>
    </w:p>
    <w:p w14:paraId="74F3D41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следствие ведется по следующим отраслям промышленности: черная металлургия, строительство Магнитогорского завода, цветная металлургия, каменно-угольная промышленность, машиностроение, строительство электро-станций, бывший геологический комитет, сельхозмашиностроение, промышленность строительных материалов, лесная и химическая промышленность.</w:t>
      </w:r>
    </w:p>
    <w:p w14:paraId="491CD55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 группы вскрыты также в научно-исследовательских институтах и </w:t>
      </w:r>
      <w:proofErr w:type="spellStart"/>
      <w:r w:rsidRPr="007122AB">
        <w:rPr>
          <w:rFonts w:ascii="Times New Roman" w:hAnsi="Times New Roman"/>
          <w:color w:val="000000" w:themeColor="text1"/>
          <w:sz w:val="16"/>
          <w:szCs w:val="16"/>
        </w:rPr>
        <w:t>ВТУЗах</w:t>
      </w:r>
      <w:proofErr w:type="spellEnd"/>
      <w:r w:rsidRPr="007122AB">
        <w:rPr>
          <w:rFonts w:ascii="Times New Roman" w:hAnsi="Times New Roman"/>
          <w:color w:val="000000" w:themeColor="text1"/>
          <w:sz w:val="16"/>
          <w:szCs w:val="16"/>
        </w:rPr>
        <w:t xml:space="preserve"> Урала.</w:t>
      </w:r>
    </w:p>
    <w:p w14:paraId="72315A0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Следствием установлено, что вредительские организации на &lt;Урале&gt; [</w:t>
      </w:r>
      <w:proofErr w:type="spellStart"/>
      <w:r w:rsidRPr="007122AB">
        <w:rPr>
          <w:rFonts w:ascii="Times New Roman" w:hAnsi="Times New Roman"/>
          <w:color w:val="000000" w:themeColor="text1"/>
          <w:sz w:val="16"/>
          <w:szCs w:val="16"/>
        </w:rPr>
        <w:t>руко</w:t>
      </w:r>
      <w:proofErr w:type="spellEnd"/>
      <w:r w:rsidRPr="007122AB">
        <w:rPr>
          <w:rFonts w:ascii="Times New Roman" w:hAnsi="Times New Roman"/>
          <w:color w:val="000000" w:themeColor="text1"/>
          <w:sz w:val="16"/>
          <w:szCs w:val="16"/>
        </w:rPr>
        <w:t>]водились в своей деятельности указаниями Уральского Областного Центра «Промпартии», связанного, в свою очередь, с ЦК Промпартии в Москве.</w:t>
      </w:r>
    </w:p>
    <w:p w14:paraId="6A5775D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главе Уральского Областного вредительского центра стояли:</w:t>
      </w:r>
    </w:p>
    <w:p w14:paraId="3850950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ГАССЕЛЬБЛАТ — б. главный инженер </w:t>
      </w:r>
      <w:proofErr w:type="spellStart"/>
      <w:r w:rsidRPr="007122AB">
        <w:rPr>
          <w:rFonts w:ascii="Times New Roman" w:hAnsi="Times New Roman"/>
          <w:color w:val="000000" w:themeColor="text1"/>
          <w:sz w:val="16"/>
          <w:szCs w:val="16"/>
        </w:rPr>
        <w:t>УралГипромеза</w:t>
      </w:r>
      <w:proofErr w:type="spellEnd"/>
      <w:r w:rsidRPr="007122AB">
        <w:rPr>
          <w:rFonts w:ascii="Times New Roman" w:hAnsi="Times New Roman"/>
          <w:color w:val="000000" w:themeColor="text1"/>
          <w:sz w:val="16"/>
          <w:szCs w:val="16"/>
        </w:rPr>
        <w:t xml:space="preserve"> и главный инженер Магнитостроя.</w:t>
      </w:r>
    </w:p>
    <w:p w14:paraId="06729BF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КРАПИВИН — б. технический руководитель треста «</w:t>
      </w:r>
      <w:proofErr w:type="spellStart"/>
      <w:r w:rsidRPr="007122AB">
        <w:rPr>
          <w:rFonts w:ascii="Times New Roman" w:hAnsi="Times New Roman"/>
          <w:color w:val="000000" w:themeColor="text1"/>
          <w:sz w:val="16"/>
          <w:szCs w:val="16"/>
        </w:rPr>
        <w:t>Уралмет</w:t>
      </w:r>
      <w:proofErr w:type="spellEnd"/>
      <w:r w:rsidRPr="007122AB">
        <w:rPr>
          <w:rFonts w:ascii="Times New Roman" w:hAnsi="Times New Roman"/>
          <w:color w:val="000000" w:themeColor="text1"/>
          <w:sz w:val="16"/>
          <w:szCs w:val="16"/>
        </w:rPr>
        <w:t>».</w:t>
      </w:r>
    </w:p>
    <w:p w14:paraId="75D62BD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ГИРБАСОВ — б. технический директор «</w:t>
      </w:r>
      <w:proofErr w:type="spellStart"/>
      <w:r w:rsidRPr="007122AB">
        <w:rPr>
          <w:rFonts w:ascii="Times New Roman" w:hAnsi="Times New Roman"/>
          <w:color w:val="000000" w:themeColor="text1"/>
          <w:sz w:val="16"/>
          <w:szCs w:val="16"/>
        </w:rPr>
        <w:t>Уралгостреста</w:t>
      </w:r>
      <w:proofErr w:type="spellEnd"/>
      <w:r w:rsidRPr="007122AB">
        <w:rPr>
          <w:rFonts w:ascii="Times New Roman" w:hAnsi="Times New Roman"/>
          <w:color w:val="000000" w:themeColor="text1"/>
          <w:sz w:val="16"/>
          <w:szCs w:val="16"/>
        </w:rPr>
        <w:t xml:space="preserve">» и консультант </w:t>
      </w:r>
      <w:proofErr w:type="spellStart"/>
      <w:r w:rsidRPr="007122AB">
        <w:rPr>
          <w:rFonts w:ascii="Times New Roman" w:hAnsi="Times New Roman"/>
          <w:color w:val="000000" w:themeColor="text1"/>
          <w:sz w:val="16"/>
          <w:szCs w:val="16"/>
        </w:rPr>
        <w:t>Уралгеолкома</w:t>
      </w:r>
      <w:proofErr w:type="spellEnd"/>
      <w:r w:rsidRPr="007122AB">
        <w:rPr>
          <w:rFonts w:ascii="Times New Roman" w:hAnsi="Times New Roman"/>
          <w:color w:val="000000" w:themeColor="text1"/>
          <w:sz w:val="16"/>
          <w:szCs w:val="16"/>
        </w:rPr>
        <w:t>.</w:t>
      </w:r>
    </w:p>
    <w:p w14:paraId="345BF00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ДУНАЕВ — член Президиума </w:t>
      </w:r>
      <w:proofErr w:type="spellStart"/>
      <w:r w:rsidRPr="007122AB">
        <w:rPr>
          <w:rFonts w:ascii="Times New Roman" w:hAnsi="Times New Roman"/>
          <w:color w:val="000000" w:themeColor="text1"/>
          <w:sz w:val="16"/>
          <w:szCs w:val="16"/>
        </w:rPr>
        <w:t>Уралоблсовнархоза</w:t>
      </w:r>
      <w:proofErr w:type="spellEnd"/>
      <w:r w:rsidRPr="007122AB">
        <w:rPr>
          <w:rFonts w:ascii="Times New Roman" w:hAnsi="Times New Roman"/>
          <w:color w:val="000000" w:themeColor="text1"/>
          <w:sz w:val="16"/>
          <w:szCs w:val="16"/>
        </w:rPr>
        <w:t xml:space="preserve"> и</w:t>
      </w:r>
    </w:p>
    <w:p w14:paraId="4613329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СОЛОВОВ — б. председатель </w:t>
      </w:r>
      <w:proofErr w:type="spellStart"/>
      <w:r w:rsidRPr="007122AB">
        <w:rPr>
          <w:rFonts w:ascii="Times New Roman" w:hAnsi="Times New Roman"/>
          <w:color w:val="000000" w:themeColor="text1"/>
          <w:sz w:val="16"/>
          <w:szCs w:val="16"/>
        </w:rPr>
        <w:t>промсекции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Уралплана</w:t>
      </w:r>
      <w:proofErr w:type="spellEnd"/>
      <w:r w:rsidRPr="007122AB">
        <w:rPr>
          <w:rFonts w:ascii="Times New Roman" w:hAnsi="Times New Roman"/>
          <w:color w:val="000000" w:themeColor="text1"/>
          <w:sz w:val="16"/>
          <w:szCs w:val="16"/>
        </w:rPr>
        <w:t>.</w:t>
      </w:r>
    </w:p>
    <w:p w14:paraId="6989086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начала 1930 г. в составе вредительских организаций на Урале были созданы специальные военные и диверсантские ячейки. В настоящее время вскрыты и ликвидируются следующие военно-диверсантские ячейки:</w:t>
      </w:r>
    </w:p>
    <w:p w14:paraId="4915063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 электро-станциях: Челябинской, Свердловской, Пермской, Губахинской, Кизеловской и Кушвинской.</w:t>
      </w:r>
    </w:p>
    <w:p w14:paraId="469BD31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на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xml:space="preserve">.-дор. узлах: Свердловском, Пермском, Челябинском, </w:t>
      </w:r>
      <w:proofErr w:type="spellStart"/>
      <w:r w:rsidRPr="007122AB">
        <w:rPr>
          <w:rFonts w:ascii="Times New Roman" w:hAnsi="Times New Roman"/>
          <w:color w:val="000000" w:themeColor="text1"/>
          <w:sz w:val="16"/>
          <w:szCs w:val="16"/>
        </w:rPr>
        <w:t>Луньевско</w:t>
      </w:r>
      <w:proofErr w:type="spellEnd"/>
      <w:r w:rsidRPr="007122AB">
        <w:rPr>
          <w:rFonts w:ascii="Times New Roman" w:hAnsi="Times New Roman"/>
          <w:color w:val="000000" w:themeColor="text1"/>
          <w:sz w:val="16"/>
          <w:szCs w:val="16"/>
        </w:rPr>
        <w:t xml:space="preserve">-Чусовской ж.-д. ветке и на переправах через р. Каму у Перми и </w:t>
      </w:r>
      <w:proofErr w:type="spellStart"/>
      <w:r w:rsidRPr="007122AB">
        <w:rPr>
          <w:rFonts w:ascii="Times New Roman" w:hAnsi="Times New Roman"/>
          <w:color w:val="000000" w:themeColor="text1"/>
          <w:sz w:val="16"/>
          <w:szCs w:val="16"/>
        </w:rPr>
        <w:t>Сарапуля</w:t>
      </w:r>
      <w:proofErr w:type="spellEnd"/>
      <w:r w:rsidRPr="007122AB">
        <w:rPr>
          <w:rFonts w:ascii="Times New Roman" w:hAnsi="Times New Roman"/>
          <w:color w:val="000000" w:themeColor="text1"/>
          <w:sz w:val="16"/>
          <w:szCs w:val="16"/>
        </w:rPr>
        <w:t>.</w:t>
      </w:r>
    </w:p>
    <w:p w14:paraId="62FE80F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Военно-диверсантские ячейки состояли в своем большинстве из б. офицеров царской и белой армии. Их задачей являлось на случай интервенции парализовать деятельность уральской промышленности.</w:t>
      </w:r>
    </w:p>
    <w:p w14:paraId="58A6222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ЧЕРНОЙ МЕТАЛЛУРГИИ.</w:t>
      </w:r>
    </w:p>
    <w:p w14:paraId="7879024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Наиболее мощной к.-р. организацией на Урале являлась организация черной металлургии. Благодаря деятельности последней сорвана реконструкция металлургических заводов Урала и тормозится развитие машиностроения:</w:t>
      </w:r>
    </w:p>
    <w:p w14:paraId="5558CB3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Сорвана своевременная реконструкция Златоустовского, Н[</w:t>
      </w:r>
      <w:proofErr w:type="spellStart"/>
      <w:r w:rsidRPr="007122AB">
        <w:rPr>
          <w:rFonts w:ascii="Times New Roman" w:hAnsi="Times New Roman"/>
          <w:color w:val="000000" w:themeColor="text1"/>
          <w:sz w:val="16"/>
          <w:szCs w:val="16"/>
        </w:rPr>
        <w:t>ижне</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Салд</w:t>
      </w:r>
      <w:proofErr w:type="spellEnd"/>
      <w:r w:rsidRPr="007122AB">
        <w:rPr>
          <w:rFonts w:ascii="Times New Roman" w:hAnsi="Times New Roman"/>
          <w:color w:val="000000" w:themeColor="text1"/>
          <w:sz w:val="16"/>
          <w:szCs w:val="16"/>
        </w:rPr>
        <w:t>[и]</w:t>
      </w:r>
      <w:proofErr w:type="spellStart"/>
      <w:r w:rsidRPr="007122AB">
        <w:rPr>
          <w:rFonts w:ascii="Times New Roman" w:hAnsi="Times New Roman"/>
          <w:color w:val="000000" w:themeColor="text1"/>
          <w:sz w:val="16"/>
          <w:szCs w:val="16"/>
        </w:rPr>
        <w:t>нского</w:t>
      </w:r>
      <w:proofErr w:type="spellEnd"/>
      <w:r w:rsidRPr="007122AB">
        <w:rPr>
          <w:rFonts w:ascii="Times New Roman" w:hAnsi="Times New Roman"/>
          <w:color w:val="000000" w:themeColor="text1"/>
          <w:sz w:val="16"/>
          <w:szCs w:val="16"/>
        </w:rPr>
        <w:t>, Чусовского, Алапаевского и Кушвинского з-</w:t>
      </w:r>
      <w:proofErr w:type="spellStart"/>
      <w:r w:rsidRPr="007122AB">
        <w:rPr>
          <w:rFonts w:ascii="Times New Roman" w:hAnsi="Times New Roman"/>
          <w:color w:val="000000" w:themeColor="text1"/>
          <w:sz w:val="16"/>
          <w:szCs w:val="16"/>
        </w:rPr>
        <w:t>дов</w:t>
      </w:r>
      <w:proofErr w:type="spellEnd"/>
      <w:r w:rsidRPr="007122AB">
        <w:rPr>
          <w:rFonts w:ascii="Times New Roman" w:hAnsi="Times New Roman"/>
          <w:color w:val="000000" w:themeColor="text1"/>
          <w:sz w:val="16"/>
          <w:szCs w:val="16"/>
        </w:rPr>
        <w:t>. Златоустовский з-д имеет все данные для того, чтобы быть развернутым в крупную металлургическую единицу по производству высоко-сортных сталей и изделий. До настоящего времени вопрос о реконструкции этого завода не разрешен.</w:t>
      </w:r>
    </w:p>
    <w:p w14:paraId="4A78AEA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Консервировались железо-рудные месторождения с богатыми запасами руды, как-то: северные рудники Богословского общества, </w:t>
      </w:r>
      <w:proofErr w:type="spellStart"/>
      <w:r w:rsidRPr="007122AB">
        <w:rPr>
          <w:rFonts w:ascii="Times New Roman" w:hAnsi="Times New Roman"/>
          <w:color w:val="000000" w:themeColor="text1"/>
          <w:sz w:val="16"/>
          <w:szCs w:val="16"/>
        </w:rPr>
        <w:t>Синатские</w:t>
      </w:r>
      <w:proofErr w:type="spellEnd"/>
      <w:r w:rsidRPr="007122AB">
        <w:rPr>
          <w:rFonts w:ascii="Times New Roman" w:hAnsi="Times New Roman"/>
          <w:color w:val="000000" w:themeColor="text1"/>
          <w:sz w:val="16"/>
          <w:szCs w:val="16"/>
        </w:rPr>
        <w:t xml:space="preserve"> рудники.</w:t>
      </w:r>
    </w:p>
    <w:p w14:paraId="12D14D4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Задерживалась и срывалась проблема использования кизеловского угля для коксования.</w:t>
      </w:r>
    </w:p>
    <w:p w14:paraId="028E8C5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Срывалась программа механизации (собственных) лесозаготовок, что привело к срыву заготовки дров и древесного угля для металлургических заводов.</w:t>
      </w:r>
    </w:p>
    <w:p w14:paraId="31AB910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Завозилось, но не </w:t>
      </w:r>
      <w:proofErr w:type="spellStart"/>
      <w:r w:rsidRPr="007122AB">
        <w:rPr>
          <w:rFonts w:ascii="Times New Roman" w:hAnsi="Times New Roman"/>
          <w:color w:val="000000" w:themeColor="text1"/>
          <w:sz w:val="16"/>
          <w:szCs w:val="16"/>
        </w:rPr>
        <w:t>использовывалось</w:t>
      </w:r>
      <w:proofErr w:type="spellEnd"/>
      <w:r w:rsidRPr="007122AB">
        <w:rPr>
          <w:rFonts w:ascii="Times New Roman" w:hAnsi="Times New Roman"/>
          <w:color w:val="000000" w:themeColor="text1"/>
          <w:sz w:val="16"/>
          <w:szCs w:val="16"/>
        </w:rPr>
        <w:t xml:space="preserve"> дорогостоящее импортное оборудование. Часть этого оборудования лежит и в настоящее время без использования на Златоустовском заводе.</w:t>
      </w:r>
    </w:p>
    <w:p w14:paraId="1DE7405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пятилетием плане развития на Урале было намечено незначительное развитие доменного хозяйства Надеждинского района, вполне обеспеченного рудными запасами. По делу арестовано 27 человек.</w:t>
      </w:r>
    </w:p>
    <w:p w14:paraId="4B9D0E9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НОВОСТАЛИ И В МАГНИТОГОРСКЕ.</w:t>
      </w:r>
    </w:p>
    <w:p w14:paraId="6344C84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момента создания специального объединения для руководства строительством новых металлургических заводов (</w:t>
      </w:r>
      <w:proofErr w:type="spellStart"/>
      <w:r w:rsidRPr="007122AB">
        <w:rPr>
          <w:rFonts w:ascii="Times New Roman" w:hAnsi="Times New Roman"/>
          <w:color w:val="000000" w:themeColor="text1"/>
          <w:sz w:val="16"/>
          <w:szCs w:val="16"/>
        </w:rPr>
        <w:t>Магнито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Кузнецкстрой</w:t>
      </w:r>
      <w:proofErr w:type="spellEnd"/>
      <w:r w:rsidRPr="007122AB">
        <w:rPr>
          <w:rFonts w:ascii="Times New Roman" w:hAnsi="Times New Roman"/>
          <w:color w:val="000000" w:themeColor="text1"/>
          <w:sz w:val="16"/>
          <w:szCs w:val="16"/>
        </w:rPr>
        <w:t>) как само объединение (</w:t>
      </w:r>
      <w:proofErr w:type="spellStart"/>
      <w:r w:rsidRPr="007122AB">
        <w:rPr>
          <w:rFonts w:ascii="Times New Roman" w:hAnsi="Times New Roman"/>
          <w:color w:val="000000" w:themeColor="text1"/>
          <w:sz w:val="16"/>
          <w:szCs w:val="16"/>
        </w:rPr>
        <w:t>Новосталь</w:t>
      </w:r>
      <w:proofErr w:type="spellEnd"/>
      <w:r w:rsidRPr="007122AB">
        <w:rPr>
          <w:rFonts w:ascii="Times New Roman" w:hAnsi="Times New Roman"/>
          <w:color w:val="000000" w:themeColor="text1"/>
          <w:sz w:val="16"/>
          <w:szCs w:val="16"/>
        </w:rPr>
        <w:t xml:space="preserve">, затем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так и техническое руководство этими строительствами было захвачено вредительской организацией. Вредительскую организацию на Магнитогорском строительстве возглавлял главный инженер ГАССЕЛЬБЛАТ. Основной задачей к.-р. организации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являлось сорвать строительство металлургических гигантов.</w:t>
      </w:r>
    </w:p>
    <w:p w14:paraId="60C3884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Проверенными агентурными материалами устанавливается, что в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вредительская работа продолжается и в настоящее время. Вредительская группа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xml:space="preserve"> (инженеры ЕМЕЛЬЯНОВ, ПИСАРЕВ и др.) продолжает срывать своевременную выдачу заказов для Магнитостроя.</w:t>
      </w:r>
    </w:p>
    <w:p w14:paraId="4850191C"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целях срыва строительства Магнитогорского завода к.-р. организацией были проведены следующие основные вредительские акты.</w:t>
      </w:r>
    </w:p>
    <w:p w14:paraId="43E010A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До конца 1930 г. не был разрешен вопрос о топливной базе и в результате не известны данные для шихтовки, которая будет принята для изготовления углей, нет точных данных о содержании фосфора в угле.</w:t>
      </w:r>
    </w:p>
    <w:p w14:paraId="05EC9DF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Вредительским способом велись разведки и исследовательская работа по определению состояния железо-рудной базы. Данные разведок 1927, 1928 и 1929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не соответствуют действительности в части качественных показателей. Были даны неправильные химические анализы на фосфор и серу. Исследовательские работы в целом велись таким образом, что не дали возможности составить проект обогащения магнитогорских руд.</w:t>
      </w:r>
    </w:p>
    <w:p w14:paraId="6174831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До самого последнего времени не разрешен вопрос доставки грузов Магнитогорскому заводу. Совершенно не был поставлен вопрос об усилении пропускной способности Сибирской ж.-д. и части Уральских дорог, чем создана угроза правильному питанию топливом Магнитогорского з-да и вывозу готовых грузов с завода.</w:t>
      </w:r>
    </w:p>
    <w:p w14:paraId="4DD4EC7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Задание Магнитогорскому заводу по номенклатуре прокатных изделий дано без учета и увязки с заводами, которые будут потреблять металл Магнитогорского з[</w:t>
      </w:r>
      <w:proofErr w:type="spellStart"/>
      <w:r w:rsidRPr="007122AB">
        <w:rPr>
          <w:rFonts w:ascii="Times New Roman" w:hAnsi="Times New Roman"/>
          <w:color w:val="000000" w:themeColor="text1"/>
          <w:sz w:val="16"/>
          <w:szCs w:val="16"/>
        </w:rPr>
        <w:t>аво</w:t>
      </w:r>
      <w:proofErr w:type="spellEnd"/>
      <w:r w:rsidRPr="007122AB">
        <w:rPr>
          <w:rFonts w:ascii="Times New Roman" w:hAnsi="Times New Roman"/>
          <w:color w:val="000000" w:themeColor="text1"/>
          <w:sz w:val="16"/>
          <w:szCs w:val="16"/>
        </w:rPr>
        <w:t>]да. Поэтому задержано проектирование прокатных станов с точки зрения их специализации и установления максимальной производительности. Качество прокатных изделий вовсе не определено.</w:t>
      </w:r>
    </w:p>
    <w:p w14:paraId="7C8010B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Не разработан проект строительства крупнейшей электростанции (250.000 </w:t>
      </w:r>
      <w:proofErr w:type="spellStart"/>
      <w:r w:rsidRPr="007122AB">
        <w:rPr>
          <w:rFonts w:ascii="Times New Roman" w:hAnsi="Times New Roman"/>
          <w:color w:val="000000" w:themeColor="text1"/>
          <w:sz w:val="16"/>
          <w:szCs w:val="16"/>
        </w:rPr>
        <w:t>клв</w:t>
      </w:r>
      <w:proofErr w:type="spellEnd"/>
      <w:r w:rsidRPr="007122AB">
        <w:rPr>
          <w:rFonts w:ascii="Times New Roman" w:hAnsi="Times New Roman"/>
          <w:color w:val="000000" w:themeColor="text1"/>
          <w:sz w:val="16"/>
          <w:szCs w:val="16"/>
        </w:rPr>
        <w:t>.) при заводе. Заграничная комиссия Энергостроя, работавшая под руководством член[а] вредительской организации проф. СУШКИНА, заказала заграницей совершенно неиспытанные топки к котлам, что должно было сорвать своевременный пуск станции.</w:t>
      </w:r>
    </w:p>
    <w:p w14:paraId="580DBF2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Не разрешен вопрос водоснабжения завода и города.</w:t>
      </w:r>
    </w:p>
    <w:p w14:paraId="226C0FD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Сорвано строительство вспомогательных цехов.</w:t>
      </w:r>
    </w:p>
    <w:p w14:paraId="26A98E6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делу Магнитогорского з-да проходят 10 чел., арестовано 5 ч[ел].</w:t>
      </w:r>
    </w:p>
    <w:p w14:paraId="51C95F6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ЦВЕТНОЙ МЕТАЛЛУРГИИ.</w:t>
      </w:r>
    </w:p>
    <w:p w14:paraId="355D1B8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интересах срыва развития цветной металлургии проведены следующие вредительские акты:</w:t>
      </w:r>
    </w:p>
    <w:p w14:paraId="4FF4E2B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Законсервированы крупные медные месторождения — </w:t>
      </w:r>
      <w:proofErr w:type="spellStart"/>
      <w:r w:rsidRPr="007122AB">
        <w:rPr>
          <w:rFonts w:ascii="Times New Roman" w:hAnsi="Times New Roman"/>
          <w:color w:val="000000" w:themeColor="text1"/>
          <w:sz w:val="16"/>
          <w:szCs w:val="16"/>
        </w:rPr>
        <w:t>Икшмино</w:t>
      </w:r>
      <w:proofErr w:type="spellEnd"/>
      <w:r w:rsidRPr="007122AB">
        <w:rPr>
          <w:rFonts w:ascii="Times New Roman" w:hAnsi="Times New Roman"/>
          <w:color w:val="000000" w:themeColor="text1"/>
          <w:sz w:val="16"/>
          <w:szCs w:val="16"/>
        </w:rPr>
        <w:t>-Ключевское, Богословское и не разрабатывалось Карабашское.</w:t>
      </w:r>
    </w:p>
    <w:p w14:paraId="00AAE2A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Проект нового </w:t>
      </w:r>
      <w:proofErr w:type="spellStart"/>
      <w:r w:rsidRPr="007122AB">
        <w:rPr>
          <w:rFonts w:ascii="Times New Roman" w:hAnsi="Times New Roman"/>
          <w:color w:val="000000" w:themeColor="text1"/>
          <w:sz w:val="16"/>
          <w:szCs w:val="16"/>
        </w:rPr>
        <w:t>Богомоловского</w:t>
      </w:r>
      <w:proofErr w:type="spellEnd"/>
      <w:r w:rsidRPr="007122AB">
        <w:rPr>
          <w:rFonts w:ascii="Times New Roman" w:hAnsi="Times New Roman"/>
          <w:color w:val="000000" w:themeColor="text1"/>
          <w:sz w:val="16"/>
          <w:szCs w:val="16"/>
        </w:rPr>
        <w:t xml:space="preserve"> медеплавильного з-да умышленно разрабатывался три года.</w:t>
      </w:r>
    </w:p>
    <w:p w14:paraId="36C4BA9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Вопрос о флотации медных руд распространен на медно-колчеданные месторождения в Калате и Карабаше, где строятся новые обогатительные фабрики. Руды этих месторождений на флотацию не испытаны.</w:t>
      </w:r>
    </w:p>
    <w:p w14:paraId="3436071F"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Разведки медных месторождений не производившиеся в предыдущие годы в пятилетием плане также получили слабое отражение. Разведки известных месторождений (Калата, Карабаш, Богомол, С[а]н-Донато и др.) по пятилетке затушевываются и в то же время выдвинут вопрос о разведках Пермских медистых песчаников, совершенно не изученных.</w:t>
      </w:r>
    </w:p>
    <w:p w14:paraId="17BC094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Подготовительные работы на рудниках запущены, и добыча руды для текущей плавки меди проходит в исключительно напряженных условиях. Не подготовленные рудники — </w:t>
      </w:r>
      <w:proofErr w:type="spellStart"/>
      <w:r w:rsidRPr="007122AB">
        <w:rPr>
          <w:rFonts w:ascii="Times New Roman" w:hAnsi="Times New Roman"/>
          <w:color w:val="000000" w:themeColor="text1"/>
          <w:sz w:val="16"/>
          <w:szCs w:val="16"/>
        </w:rPr>
        <w:t>Рыковский</w:t>
      </w:r>
      <w:proofErr w:type="spellEnd"/>
      <w:r w:rsidRPr="007122AB">
        <w:rPr>
          <w:rFonts w:ascii="Times New Roman" w:hAnsi="Times New Roman"/>
          <w:color w:val="000000" w:themeColor="text1"/>
          <w:sz w:val="16"/>
          <w:szCs w:val="16"/>
        </w:rPr>
        <w:t xml:space="preserve"> и Первомайские в Карабаше, </w:t>
      </w:r>
      <w:proofErr w:type="spellStart"/>
      <w:r w:rsidRPr="007122AB">
        <w:rPr>
          <w:rFonts w:ascii="Times New Roman" w:hAnsi="Times New Roman"/>
          <w:color w:val="000000" w:themeColor="text1"/>
          <w:sz w:val="16"/>
          <w:szCs w:val="16"/>
        </w:rPr>
        <w:t>Калатинский</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Картушинский</w:t>
      </w:r>
      <w:proofErr w:type="spellEnd"/>
      <w:r w:rsidRPr="007122AB">
        <w:rPr>
          <w:rFonts w:ascii="Times New Roman" w:hAnsi="Times New Roman"/>
          <w:color w:val="000000" w:themeColor="text1"/>
          <w:sz w:val="16"/>
          <w:szCs w:val="16"/>
        </w:rPr>
        <w:t xml:space="preserve"> в Калате.</w:t>
      </w:r>
    </w:p>
    <w:p w14:paraId="23BCBA8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делу арестовано 4 человека.</w:t>
      </w:r>
    </w:p>
    <w:p w14:paraId="1A4D207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КАМЕННО-УГОЛЬНОЙ</w:t>
      </w:r>
    </w:p>
    <w:p w14:paraId="1BE44BE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ПРОМЫШЛЕННОСТИ.</w:t>
      </w:r>
    </w:p>
    <w:p w14:paraId="203FC2D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вредительские акты:</w:t>
      </w:r>
    </w:p>
    <w:p w14:paraId="4923871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Горные работы проводились в местах, не содержащих угля.</w:t>
      </w:r>
    </w:p>
    <w:p w14:paraId="7302E31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Добыча была сосредоточена на загрязненных низкосортных пластах.</w:t>
      </w:r>
    </w:p>
    <w:p w14:paraId="50CE996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Шахты с богатыми залежами углей разрабатывались неправильно и потом закрывались.</w:t>
      </w:r>
    </w:p>
    <w:p w14:paraId="20DF2F1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Задерживались проходкой и постройкой новые шахты из-за отсутствия оборудования. В то же время имеющееся оборудование направлялось не незначительные работы.</w:t>
      </w:r>
    </w:p>
    <w:p w14:paraId="2D1DCA0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Разведками скрывались богатые залежи угля и не показывались документами.</w:t>
      </w:r>
    </w:p>
    <w:p w14:paraId="6ADBB45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делу арестовано 9 человек.</w:t>
      </w:r>
    </w:p>
    <w:p w14:paraId="09A1A8D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МАШИНОСТРОЕНИИ.</w:t>
      </w:r>
    </w:p>
    <w:p w14:paraId="19D6640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До 1929 г. машиностроительные з-</w:t>
      </w:r>
      <w:proofErr w:type="spellStart"/>
      <w:r w:rsidRPr="007122AB">
        <w:rPr>
          <w:rFonts w:ascii="Times New Roman" w:hAnsi="Times New Roman"/>
          <w:color w:val="000000" w:themeColor="text1"/>
          <w:sz w:val="16"/>
          <w:szCs w:val="16"/>
        </w:rPr>
        <w:t>ды</w:t>
      </w:r>
      <w:proofErr w:type="spellEnd"/>
      <w:r w:rsidRPr="007122AB">
        <w:rPr>
          <w:rFonts w:ascii="Times New Roman" w:hAnsi="Times New Roman"/>
          <w:color w:val="000000" w:themeColor="text1"/>
          <w:sz w:val="16"/>
          <w:szCs w:val="16"/>
        </w:rPr>
        <w:t xml:space="preserve"> Урала не были объединены и находились в составе отдельных металлургических заводов, как подсобные цеха. Производственная мощность цехов умышленно не учитывалась и полностью не использовалась. Разработанной вредителями пятилеткой было намечено к выпуску продукции </w:t>
      </w:r>
      <w:proofErr w:type="spellStart"/>
      <w:r w:rsidRPr="007122AB">
        <w:rPr>
          <w:rFonts w:ascii="Times New Roman" w:hAnsi="Times New Roman"/>
          <w:color w:val="000000" w:themeColor="text1"/>
          <w:sz w:val="16"/>
          <w:szCs w:val="16"/>
        </w:rPr>
        <w:t>Уралмаштрестом</w:t>
      </w:r>
      <w:proofErr w:type="spellEnd"/>
      <w:r w:rsidRPr="007122AB">
        <w:rPr>
          <w:rFonts w:ascii="Times New Roman" w:hAnsi="Times New Roman"/>
          <w:color w:val="000000" w:themeColor="text1"/>
          <w:sz w:val="16"/>
          <w:szCs w:val="16"/>
        </w:rPr>
        <w:t xml:space="preserve"> на 4 миллиона рублей. Фактически в 1929/30 г. заводы дали продукции на 12.000.000 рублей.</w:t>
      </w:r>
    </w:p>
    <w:p w14:paraId="50C7E49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Работа заводов дезорганизовывалась изменением номенклатуры изделий. Вместо крайне необходимых буровых станков вводилось производство стиральных машин. Работа цехов между собой не увязывалась.</w:t>
      </w:r>
    </w:p>
    <w:p w14:paraId="1F99475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Строительство Свердловского машиностроительного завода затянуто на 2 года. Выстроенный в 1929 г. цех металлических конструкций около года стоял без использования.</w:t>
      </w:r>
    </w:p>
    <w:p w14:paraId="5653210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не разрешен вопрос о номенклатуре изделий, которые должен производить Уральский машиностроительный завод.</w:t>
      </w:r>
    </w:p>
    <w:p w14:paraId="4E263759"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руководящую к.-р. группу входило 3 человека.</w:t>
      </w:r>
    </w:p>
    <w:p w14:paraId="2B26213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ЭЛЕКТРОСТРОИТЕЛЬСТВЕ.</w:t>
      </w:r>
    </w:p>
    <w:p w14:paraId="70D4B9D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Сорвано строительство районных электро-станций. Это повлекло задержку развития тяжелой индустрии (металлургия, химия и др.). По плану ГОЭРЛО к 1931 г. предполагалось построить 4 станции мощностью в 165.000. </w:t>
      </w:r>
      <w:proofErr w:type="spellStart"/>
      <w:r w:rsidRPr="007122AB">
        <w:rPr>
          <w:rFonts w:ascii="Times New Roman" w:hAnsi="Times New Roman"/>
          <w:color w:val="000000" w:themeColor="text1"/>
          <w:sz w:val="16"/>
          <w:szCs w:val="16"/>
        </w:rPr>
        <w:t>клв</w:t>
      </w:r>
      <w:proofErr w:type="spellEnd"/>
      <w:r w:rsidRPr="007122AB">
        <w:rPr>
          <w:rFonts w:ascii="Times New Roman" w:hAnsi="Times New Roman"/>
          <w:color w:val="000000" w:themeColor="text1"/>
          <w:sz w:val="16"/>
          <w:szCs w:val="16"/>
        </w:rPr>
        <w:t>. На 1/I-1931 г. выполнено 30 т[</w:t>
      </w:r>
      <w:proofErr w:type="spellStart"/>
      <w:r w:rsidRPr="007122AB">
        <w:rPr>
          <w:rFonts w:ascii="Times New Roman" w:hAnsi="Times New Roman"/>
          <w:color w:val="000000" w:themeColor="text1"/>
          <w:sz w:val="16"/>
          <w:szCs w:val="16"/>
        </w:rPr>
        <w:t>ыс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клв</w:t>
      </w:r>
      <w:proofErr w:type="spellEnd"/>
      <w:r w:rsidRPr="007122AB">
        <w:rPr>
          <w:rFonts w:ascii="Times New Roman" w:hAnsi="Times New Roman"/>
          <w:color w:val="000000" w:themeColor="text1"/>
          <w:sz w:val="16"/>
          <w:szCs w:val="16"/>
        </w:rPr>
        <w:t>., или 19 %. Кизеловская станция начата постройкой в 1921 г. До сих пор имеет мощность в 6 т[</w:t>
      </w:r>
      <w:proofErr w:type="spellStart"/>
      <w:r w:rsidRPr="007122AB">
        <w:rPr>
          <w:rFonts w:ascii="Times New Roman" w:hAnsi="Times New Roman"/>
          <w:color w:val="000000" w:themeColor="text1"/>
          <w:sz w:val="16"/>
          <w:szCs w:val="16"/>
        </w:rPr>
        <w:t>ыс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клв</w:t>
      </w:r>
      <w:proofErr w:type="spellEnd"/>
      <w:r w:rsidRPr="007122AB">
        <w:rPr>
          <w:rFonts w:ascii="Times New Roman" w:hAnsi="Times New Roman"/>
          <w:color w:val="000000" w:themeColor="text1"/>
          <w:sz w:val="16"/>
          <w:szCs w:val="16"/>
        </w:rPr>
        <w:t>. В 1924 г. было начато дальнейшее расширение станции, но в 1927 г. строительство станции из разряда районной переводится в местную и снимаются кредиты. Этот акт привел к полному разгрому станции. Последнее решение по расширению станции так же срывалось путем несвоевременной выдачи заказов на импорт.</w:t>
      </w:r>
    </w:p>
    <w:p w14:paraId="2BEAEAF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намечено к пуску на этой станции 5 генераторов мощностью в 94 т[</w:t>
      </w:r>
      <w:proofErr w:type="spellStart"/>
      <w:r w:rsidRPr="007122AB">
        <w:rPr>
          <w:rFonts w:ascii="Times New Roman" w:hAnsi="Times New Roman"/>
          <w:color w:val="000000" w:themeColor="text1"/>
          <w:sz w:val="16"/>
          <w:szCs w:val="16"/>
        </w:rPr>
        <w:t>ыс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клв</w:t>
      </w:r>
      <w:proofErr w:type="spellEnd"/>
      <w:r w:rsidRPr="007122AB">
        <w:rPr>
          <w:rFonts w:ascii="Times New Roman" w:hAnsi="Times New Roman"/>
          <w:color w:val="000000" w:themeColor="text1"/>
          <w:sz w:val="16"/>
          <w:szCs w:val="16"/>
        </w:rPr>
        <w:t>. Выясняется, что это не обеспечено оборудованием по срокам.</w:t>
      </w:r>
    </w:p>
    <w:p w14:paraId="6E44C87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Постройка Челябинской станции задержана из-за отсутствия геологических данных. Оборудование для этой станции могло быть заказано внутри Союза. Этого не сделали и заказы были выданы на импорт. Несвоевременная выдача заказов привела также к созданию разрыва между котельной и турбинной мощностью. Строительством были представлены явно преуменьшенные заявки на цемент, что привело в разгар строительного сезона к остановке работ.</w:t>
      </w:r>
    </w:p>
    <w:p w14:paraId="5FCC5D8B"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месте по делу арестовано 2 чел., проходят — 9 чел.</w:t>
      </w:r>
    </w:p>
    <w:p w14:paraId="3E2D7A5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УРАЛЬСКОМ ГГРУ.</w:t>
      </w:r>
    </w:p>
    <w:p w14:paraId="71BAEABD"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Вредительская организация проводила политику преуменьшения подсчета запасов минерального топлива, железных и медных руд в недрах Урала. Такая политика задержала подготовку уральской сырьевой базы.</w:t>
      </w:r>
    </w:p>
    <w:p w14:paraId="2ACC490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Программа разведочных работ умышленно составлялась по многочисленным объектам и таким образом распыляли ассигнованные средства, что привело к затяжке разведочных работ на важнейших участках капитального строительства.</w:t>
      </w:r>
    </w:p>
    <w:p w14:paraId="7A1A487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Задерживались разведки на более важных имеющих первостепенное значение </w:t>
      </w:r>
      <w:proofErr w:type="spellStart"/>
      <w:r w:rsidRPr="007122AB">
        <w:rPr>
          <w:rFonts w:ascii="Times New Roman" w:hAnsi="Times New Roman"/>
          <w:color w:val="000000" w:themeColor="text1"/>
          <w:sz w:val="16"/>
          <w:szCs w:val="16"/>
        </w:rPr>
        <w:t>участк</w:t>
      </w:r>
      <w:proofErr w:type="spellEnd"/>
      <w:r w:rsidRPr="007122AB">
        <w:rPr>
          <w:rFonts w:ascii="Times New Roman" w:hAnsi="Times New Roman"/>
          <w:color w:val="000000" w:themeColor="text1"/>
          <w:sz w:val="16"/>
          <w:szCs w:val="16"/>
        </w:rPr>
        <w:t>[ах], за счет форсирования работ на участках, имеющих второстепенное значение, эта вредительская установка нашла полное отражение в планах и программах работ, в распределении оборудования и кадров геологов на Урале.</w:t>
      </w:r>
    </w:p>
    <w:p w14:paraId="5D5ADC8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Задержано развитие Кизеловского каменно-угольного бассейна[;] отсутствие геологической карты привело к тому, что до сих пор не имеется твердых данных для промышленной оценки бассейна, а также тормозится производство уже намеченных разведочных работ. Благодаря вредительской задержке изучения этого важнейшего угольного центра Урала невозможно новое шахтное строительство, т. к. неизвестны даже приблизительно те пункты, где должны быть заложены шахты.</w:t>
      </w:r>
    </w:p>
    <w:p w14:paraId="01CB75C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Задержаны на 3 года геологические разведки в Челябинском районе.</w:t>
      </w:r>
    </w:p>
    <w:p w14:paraId="7571E60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Задержано на год начало буровых работ в Брединском районе.</w:t>
      </w:r>
    </w:p>
    <w:p w14:paraId="2D925DC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Задержаны разведки на бурые угли на восточном склоне Урала.</w:t>
      </w:r>
    </w:p>
    <w:p w14:paraId="6323A35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Вредительски составленный план организационных] разведок железных руд привел к срыву постройки нового Алапаевского з[</w:t>
      </w:r>
      <w:proofErr w:type="spellStart"/>
      <w:r w:rsidRPr="007122AB">
        <w:rPr>
          <w:rFonts w:ascii="Times New Roman" w:hAnsi="Times New Roman"/>
          <w:color w:val="000000" w:themeColor="text1"/>
          <w:sz w:val="16"/>
          <w:szCs w:val="16"/>
        </w:rPr>
        <w:t>аво</w:t>
      </w:r>
      <w:proofErr w:type="spellEnd"/>
      <w:r w:rsidRPr="007122AB">
        <w:rPr>
          <w:rFonts w:ascii="Times New Roman" w:hAnsi="Times New Roman"/>
          <w:color w:val="000000" w:themeColor="text1"/>
          <w:sz w:val="16"/>
          <w:szCs w:val="16"/>
        </w:rPr>
        <w:t>]да.</w:t>
      </w:r>
    </w:p>
    <w:p w14:paraId="693DD52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Вредительская организация по директивам геолого-разведочного вредительского центра (Ленинград) преуменьшила медно-рудные ресурсы Урала. Умалчивая о незаконченных разведках рудников </w:t>
      </w:r>
      <w:proofErr w:type="spellStart"/>
      <w:r w:rsidRPr="007122AB">
        <w:rPr>
          <w:rFonts w:ascii="Times New Roman" w:hAnsi="Times New Roman"/>
          <w:color w:val="000000" w:themeColor="text1"/>
          <w:sz w:val="16"/>
          <w:szCs w:val="16"/>
        </w:rPr>
        <w:t>Калатинского</w:t>
      </w:r>
      <w:proofErr w:type="spellEnd"/>
      <w:r w:rsidRPr="007122AB">
        <w:rPr>
          <w:rFonts w:ascii="Times New Roman" w:hAnsi="Times New Roman"/>
          <w:color w:val="000000" w:themeColor="text1"/>
          <w:sz w:val="16"/>
          <w:szCs w:val="16"/>
        </w:rPr>
        <w:t xml:space="preserve"> комбината, дано было необоснованное заключение о быстром прекращении разработки рудников этого комбината.</w:t>
      </w:r>
    </w:p>
    <w:p w14:paraId="042670B7"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Широкие перспективы разработки колчеданных месторождений в Нижне-Тагильском округе, а также медных магнезитов и месторождений, типа Волковских и сульфидных вкрапленников, либо совершенно замалчивается, либо отрицается их промышленная ценность.</w:t>
      </w:r>
    </w:p>
    <w:p w14:paraId="51BEDD8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делу арестовано 4 человека.</w:t>
      </w:r>
    </w:p>
    <w:p w14:paraId="2245044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ОРГАНИЗАЦИЯ В СЕЛЬХОЗМАШИНОСТРОЕНИИ.</w:t>
      </w:r>
    </w:p>
    <w:p w14:paraId="4CC1937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Основной завод сельхозмашиностроение на Урале — Челябинский плужный. В связи с неоднократным изменением программы и номенклатуры подвергался несколько раз переоборудованию.</w:t>
      </w:r>
    </w:p>
    <w:p w14:paraId="3942681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Во[т]</w:t>
      </w:r>
      <w:proofErr w:type="spellStart"/>
      <w:r w:rsidRPr="007122AB">
        <w:rPr>
          <w:rFonts w:ascii="Times New Roman" w:hAnsi="Times New Roman"/>
          <w:color w:val="000000" w:themeColor="text1"/>
          <w:sz w:val="16"/>
          <w:szCs w:val="16"/>
        </w:rPr>
        <w:t>кинском</w:t>
      </w:r>
      <w:proofErr w:type="spellEnd"/>
      <w:r w:rsidRPr="007122AB">
        <w:rPr>
          <w:rFonts w:ascii="Times New Roman" w:hAnsi="Times New Roman"/>
          <w:color w:val="000000" w:themeColor="text1"/>
          <w:sz w:val="16"/>
          <w:szCs w:val="16"/>
        </w:rPr>
        <w:t xml:space="preserve"> з-де имеющийся механический цех, могущий выполнять крупные заказы металлургических заводов Урала, был использован от 10 до 30 %. Оборудование паровозного цеха этого же завода разрушено и самый цех ликвидирован.</w:t>
      </w:r>
    </w:p>
    <w:p w14:paraId="439FEE8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з-де «Сепаратор» в течение последних лет дезорганизовано производство взрывателей.</w:t>
      </w:r>
    </w:p>
    <w:p w14:paraId="698DB4E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Вредительская группа состояла из 5 человек.</w:t>
      </w:r>
    </w:p>
    <w:p w14:paraId="7C614320"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К..-Р. ОРГАНИЗАЦИЯ В ХИМИЧЕСКОЙ ПРОМЫШЛЕННОСТИ.</w:t>
      </w:r>
    </w:p>
    <w:p w14:paraId="3A591A9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Сырьевая база основной химической промышленности (серно-кислотной) не подготовлена. Не проведены разведки на месторождениях серных колчеданов и других мест химического сырья. До сего времени ничего не сделано для использования и утилизации отходов сернистых газов на медеплавильных заводах в Калате и Карабаше.</w:t>
      </w:r>
    </w:p>
    <w:p w14:paraId="075DBEF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Березниковское строительство ведется по проектам </w:t>
      </w:r>
      <w:proofErr w:type="spellStart"/>
      <w:r w:rsidRPr="007122AB">
        <w:rPr>
          <w:rFonts w:ascii="Times New Roman" w:hAnsi="Times New Roman"/>
          <w:color w:val="000000" w:themeColor="text1"/>
          <w:sz w:val="16"/>
          <w:szCs w:val="16"/>
        </w:rPr>
        <w:t>Бондюжского</w:t>
      </w:r>
      <w:proofErr w:type="spellEnd"/>
      <w:r w:rsidRPr="007122AB">
        <w:rPr>
          <w:rFonts w:ascii="Times New Roman" w:hAnsi="Times New Roman"/>
          <w:color w:val="000000" w:themeColor="text1"/>
          <w:sz w:val="16"/>
          <w:szCs w:val="16"/>
        </w:rPr>
        <w:t xml:space="preserve"> завода со всеми включенными в него вредительскими расчетами: недостаточная площадь и размеры здания для размещения аппаратуры, неверная установка вентиляции и др.</w:t>
      </w:r>
    </w:p>
    <w:p w14:paraId="3274C93A"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Развертывание химических комбинатов в таких пунктах, как </w:t>
      </w:r>
      <w:proofErr w:type="spellStart"/>
      <w:r w:rsidRPr="007122AB">
        <w:rPr>
          <w:rFonts w:ascii="Times New Roman" w:hAnsi="Times New Roman"/>
          <w:color w:val="000000" w:themeColor="text1"/>
          <w:sz w:val="16"/>
          <w:szCs w:val="16"/>
        </w:rPr>
        <w:t>Богомоловский</w:t>
      </w:r>
      <w:proofErr w:type="spellEnd"/>
      <w:r w:rsidRPr="007122AB">
        <w:rPr>
          <w:rFonts w:ascii="Times New Roman" w:hAnsi="Times New Roman"/>
          <w:color w:val="000000" w:themeColor="text1"/>
          <w:sz w:val="16"/>
          <w:szCs w:val="16"/>
        </w:rPr>
        <w:t xml:space="preserve"> завод и Карабаш — задержано.</w:t>
      </w:r>
    </w:p>
    <w:p w14:paraId="45587D54"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делу проходят 5 человек.</w:t>
      </w:r>
    </w:p>
    <w:p w14:paraId="6ECCCF63"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 ОРАГАНИЗАЦИЯ В ПРОМЫШЛЕННОСТИ</w:t>
      </w:r>
    </w:p>
    <w:p w14:paraId="423CFAE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СТРОИТЕЛЬНЫХ МАТЕРИАЛОВ.</w:t>
      </w:r>
    </w:p>
    <w:p w14:paraId="387360F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Строящиеся новые кирпичные заводы имеют резкий разрыв между силовыми установками, количеством выпускаемого кирпича и приспособленных площадей для сушки кирпича. Имеющиеся старые кирпичные з-</w:t>
      </w:r>
      <w:proofErr w:type="spellStart"/>
      <w:r w:rsidRPr="007122AB">
        <w:rPr>
          <w:rFonts w:ascii="Times New Roman" w:hAnsi="Times New Roman"/>
          <w:color w:val="000000" w:themeColor="text1"/>
          <w:sz w:val="16"/>
          <w:szCs w:val="16"/>
        </w:rPr>
        <w:t>ды</w:t>
      </w:r>
      <w:proofErr w:type="spellEnd"/>
      <w:r w:rsidRPr="007122AB">
        <w:rPr>
          <w:rFonts w:ascii="Times New Roman" w:hAnsi="Times New Roman"/>
          <w:color w:val="000000" w:themeColor="text1"/>
          <w:sz w:val="16"/>
          <w:szCs w:val="16"/>
        </w:rPr>
        <w:t>, несмотря на возможности[,] не расширялись.</w:t>
      </w:r>
    </w:p>
    <w:p w14:paraId="3D5AC74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расширялись также цементные заводы — Невьянский и Катав- Ивановский, несмотря на наличие сырьевой базы. Работа Невьянского з-да дезорганизована, благодаря неправильной работе печей, мельниц и неправильного составления смеси для размола.</w:t>
      </w:r>
    </w:p>
    <w:p w14:paraId="5E9BE4C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Сухоложский цементный завод до 1928 г. задерживался достройкой в надежде сдачи его в концессию бывшему владельцу Мешкову.</w:t>
      </w:r>
    </w:p>
    <w:p w14:paraId="1DA58FE6"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Законченная в настоящее время первая очередь Сухоложского з-да не может приступить к работе, т. к. карьеры сырья не подготовлены и часть строительных работ (упоры, трансмиссии от мельниц) требуют переделки и укрепления их колоннами.</w:t>
      </w:r>
    </w:p>
    <w:p w14:paraId="738E34F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Руководящая вредительская группа состоит из 5 человек.</w:t>
      </w:r>
    </w:p>
    <w:p w14:paraId="31928301"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же касается строительства Челябинского тракторного з-да, то в виду того, что оно находится в самой первоначальной стадии (в основном жилстроительство) — О.Г.П.У. приняты меры агентурного обслуживания, т. к., несомненно, этот крупный объект в будущем привлечет внимание вредителей.</w:t>
      </w:r>
    </w:p>
    <w:p w14:paraId="5CB89BB2"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уже арестованных в настоящее время — по делу уральской к.-р. вредительской организации проходит еще 100 инженеров.</w:t>
      </w:r>
    </w:p>
    <w:p w14:paraId="3139EFCE"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 </w:t>
      </w:r>
      <w:proofErr w:type="spellStart"/>
      <w:r w:rsidRPr="007122AB">
        <w:rPr>
          <w:rFonts w:ascii="Times New Roman" w:hAnsi="Times New Roman"/>
          <w:color w:val="000000" w:themeColor="text1"/>
          <w:sz w:val="16"/>
          <w:szCs w:val="16"/>
        </w:rPr>
        <w:t>ЭКОНОМУПРа</w:t>
      </w:r>
      <w:proofErr w:type="spellEnd"/>
      <w:r w:rsidRPr="007122AB">
        <w:rPr>
          <w:rFonts w:ascii="Times New Roman" w:hAnsi="Times New Roman"/>
          <w:color w:val="000000" w:themeColor="text1"/>
          <w:sz w:val="16"/>
          <w:szCs w:val="16"/>
        </w:rPr>
        <w:t xml:space="preserve"> ОГПУ Г. Прокофьев</w:t>
      </w:r>
    </w:p>
    <w:p w14:paraId="16B17A25"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w:t>
      </w:r>
    </w:p>
    <w:p w14:paraId="31A79BC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356. Л. 55-64. Машинописный подлинник, подпись — автограф. Число в дате (Л. 64) вписано от руки (18672).</w:t>
      </w:r>
    </w:p>
    <w:p w14:paraId="0610264B"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3499CE88" w14:textId="77777777" w:rsidR="00EA767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B951598" w14:textId="77777777" w:rsidR="00EA7676" w:rsidRPr="007122AB" w:rsidRDefault="00EA76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6A280E"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12 февраля</w:t>
      </w:r>
      <w:r w:rsidRPr="007122AB">
        <w:rPr>
          <w:rFonts w:ascii="Times New Roman" w:hAnsi="Times New Roman"/>
          <w:color w:val="000000" w:themeColor="text1"/>
          <w:sz w:val="16"/>
          <w:szCs w:val="16"/>
        </w:rPr>
        <w:t xml:space="preserve"> в 1931 году первый полёт опытного многоцелевого истребителя </w:t>
      </w:r>
      <w:hyperlink r:id="rId23" w:tgtFrame="_blank" w:history="1">
        <w:r w:rsidRPr="007122AB">
          <w:rPr>
            <w:rFonts w:ascii="Times New Roman" w:hAnsi="Times New Roman"/>
            <w:color w:val="000000" w:themeColor="text1"/>
            <w:sz w:val="16"/>
            <w:szCs w:val="16"/>
          </w:rPr>
          <w:t>«F9C» «</w:t>
        </w:r>
        <w:proofErr w:type="spellStart"/>
        <w:r w:rsidRPr="007122AB">
          <w:rPr>
            <w:rFonts w:ascii="Times New Roman" w:hAnsi="Times New Roman"/>
            <w:color w:val="000000" w:themeColor="text1"/>
            <w:sz w:val="16"/>
            <w:szCs w:val="16"/>
          </w:rPr>
          <w:t>Sparrowhawk</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(компания 2Curtiss», США). Опытному экземпляру присвоили регистрационный номер ВМФ А8731. Самолёт имел передовую на то время цельнометаллическую конструкцию фюзеляжа и металлические крылья, обтянутые тканью. Биплан был оснащен девятицилиндровой "звездой" «</w:t>
      </w:r>
      <w:proofErr w:type="spellStart"/>
      <w:r w:rsidRPr="007122AB">
        <w:rPr>
          <w:rFonts w:ascii="Times New Roman" w:hAnsi="Times New Roman"/>
          <w:color w:val="000000" w:themeColor="text1"/>
          <w:sz w:val="16"/>
          <w:szCs w:val="16"/>
        </w:rPr>
        <w:t>Wright</w:t>
      </w:r>
      <w:proofErr w:type="spellEnd"/>
      <w:r w:rsidRPr="007122AB">
        <w:rPr>
          <w:rFonts w:ascii="Times New Roman" w:hAnsi="Times New Roman"/>
          <w:color w:val="000000" w:themeColor="text1"/>
          <w:sz w:val="16"/>
          <w:szCs w:val="16"/>
        </w:rPr>
        <w:t>» «R-975C» «</w:t>
      </w:r>
      <w:proofErr w:type="spellStart"/>
      <w:r w:rsidRPr="007122AB">
        <w:rPr>
          <w:rFonts w:ascii="Times New Roman" w:hAnsi="Times New Roman"/>
          <w:color w:val="000000" w:themeColor="text1"/>
          <w:sz w:val="16"/>
          <w:szCs w:val="16"/>
        </w:rPr>
        <w:t>Whirlwind</w:t>
      </w:r>
      <w:proofErr w:type="spellEnd"/>
      <w:r w:rsidRPr="007122AB">
        <w:rPr>
          <w:rFonts w:ascii="Times New Roman" w:hAnsi="Times New Roman"/>
          <w:color w:val="000000" w:themeColor="text1"/>
          <w:sz w:val="16"/>
          <w:szCs w:val="16"/>
        </w:rPr>
        <w:t xml:space="preserve">» мощностью 400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xml:space="preserve">, цилиндры которой закрывались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xml:space="preserve"> (15038).</w:t>
      </w:r>
    </w:p>
    <w:p w14:paraId="108F9800"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063ADA6F" w14:textId="77777777" w:rsidR="004F3165" w:rsidRPr="007122AB" w:rsidRDefault="004F31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февраля 1931 года — первый полёт поршневого истребителя-биплана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F9C </w:t>
      </w:r>
      <w:proofErr w:type="spellStart"/>
      <w:r w:rsidRPr="007122AB">
        <w:rPr>
          <w:rFonts w:ascii="Times New Roman" w:hAnsi="Times New Roman"/>
          <w:color w:val="000000" w:themeColor="text1"/>
          <w:sz w:val="16"/>
          <w:szCs w:val="16"/>
        </w:rPr>
        <w:t>Sparrowhawk</w:t>
      </w:r>
      <w:proofErr w:type="spellEnd"/>
      <w:r w:rsidRPr="007122AB">
        <w:rPr>
          <w:rFonts w:ascii="Times New Roman" w:hAnsi="Times New Roman"/>
          <w:color w:val="000000" w:themeColor="text1"/>
          <w:sz w:val="16"/>
          <w:szCs w:val="16"/>
        </w:rPr>
        <w:t>.</w:t>
      </w:r>
    </w:p>
    <w:p w14:paraId="1ADA96B7" w14:textId="77777777" w:rsidR="004F3165" w:rsidRPr="007122AB" w:rsidRDefault="004F31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Изначально </w:t>
      </w:r>
      <w:proofErr w:type="spellStart"/>
      <w:r w:rsidRPr="007122AB">
        <w:rPr>
          <w:rFonts w:ascii="Times New Roman" w:hAnsi="Times New Roman"/>
          <w:color w:val="000000" w:themeColor="text1"/>
          <w:sz w:val="16"/>
          <w:szCs w:val="16"/>
        </w:rPr>
        <w:t>Sparrowhawk</w:t>
      </w:r>
      <w:proofErr w:type="spellEnd"/>
      <w:r w:rsidRPr="007122AB">
        <w:rPr>
          <w:rFonts w:ascii="Times New Roman" w:hAnsi="Times New Roman"/>
          <w:color w:val="000000" w:themeColor="text1"/>
          <w:sz w:val="16"/>
          <w:szCs w:val="16"/>
        </w:rPr>
        <w:t xml:space="preserve"> разрабатывался в рамках программы постройки лёгкого палубного истребителя. Но послужить на авианосцах морских ему не довелось. Самолёт стал единственным в истории ВМС США, эксплуатировавшимся с авианосцев воздушных — жёстких дирижаблей USS </w:t>
      </w:r>
      <w:proofErr w:type="spellStart"/>
      <w:r w:rsidRPr="007122AB">
        <w:rPr>
          <w:rFonts w:ascii="Times New Roman" w:hAnsi="Times New Roman"/>
          <w:color w:val="000000" w:themeColor="text1"/>
          <w:sz w:val="16"/>
          <w:szCs w:val="16"/>
        </w:rPr>
        <w:t>Akron</w:t>
      </w:r>
      <w:proofErr w:type="spellEnd"/>
      <w:r w:rsidRPr="007122AB">
        <w:rPr>
          <w:rFonts w:ascii="Times New Roman" w:hAnsi="Times New Roman"/>
          <w:color w:val="000000" w:themeColor="text1"/>
          <w:sz w:val="16"/>
          <w:szCs w:val="16"/>
        </w:rPr>
        <w:t xml:space="preserve"> (ZRS-4) и USS </w:t>
      </w:r>
      <w:proofErr w:type="spellStart"/>
      <w:r w:rsidRPr="007122AB">
        <w:rPr>
          <w:rFonts w:ascii="Times New Roman" w:hAnsi="Times New Roman"/>
          <w:color w:val="000000" w:themeColor="text1"/>
          <w:sz w:val="16"/>
          <w:szCs w:val="16"/>
        </w:rPr>
        <w:t>Macon</w:t>
      </w:r>
      <w:proofErr w:type="spellEnd"/>
      <w:r w:rsidRPr="007122AB">
        <w:rPr>
          <w:rFonts w:ascii="Times New Roman" w:hAnsi="Times New Roman"/>
          <w:color w:val="000000" w:themeColor="text1"/>
          <w:sz w:val="16"/>
          <w:szCs w:val="16"/>
        </w:rPr>
        <w:t xml:space="preserve"> (ZRS-5). Предполагалось, что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F9C будут защищать дирижабли от вражеской авиации и выполнять воздушную разведку.</w:t>
      </w:r>
    </w:p>
    <w:p w14:paraId="4ED49B68" w14:textId="77777777" w:rsidR="004F3165" w:rsidRPr="007122AB" w:rsidRDefault="004F31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Конструктивно это был типичный для своего времени цельнометаллический биплан. Главной особенностью было наличие устройства для запуска и сцепки с дирижаблем. Взлёт осуществлялся через люк в нижней части дирижабля, куда из ангара с помощью лебёдок спускали самолёт. Истребители, приписанные к USS </w:t>
      </w:r>
      <w:proofErr w:type="spellStart"/>
      <w:r w:rsidRPr="007122AB">
        <w:rPr>
          <w:rFonts w:ascii="Times New Roman" w:hAnsi="Times New Roman"/>
          <w:color w:val="000000" w:themeColor="text1"/>
          <w:sz w:val="16"/>
          <w:szCs w:val="16"/>
        </w:rPr>
        <w:t>Macon</w:t>
      </w:r>
      <w:proofErr w:type="spellEnd"/>
      <w:r w:rsidRPr="007122AB">
        <w:rPr>
          <w:rFonts w:ascii="Times New Roman" w:hAnsi="Times New Roman"/>
          <w:color w:val="000000" w:themeColor="text1"/>
          <w:sz w:val="16"/>
          <w:szCs w:val="16"/>
        </w:rPr>
        <w:t>, часто летали без шасси — для увеличения скорости.</w:t>
      </w:r>
    </w:p>
    <w:p w14:paraId="4D5AD613" w14:textId="77777777" w:rsidR="004F3165" w:rsidRPr="007122AB" w:rsidRDefault="004F31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было построено 8 единиц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F9C </w:t>
      </w:r>
      <w:proofErr w:type="spellStart"/>
      <w:r w:rsidRPr="007122AB">
        <w:rPr>
          <w:rFonts w:ascii="Times New Roman" w:hAnsi="Times New Roman"/>
          <w:color w:val="000000" w:themeColor="text1"/>
          <w:sz w:val="16"/>
          <w:szCs w:val="16"/>
        </w:rPr>
        <w:t>Sparrowhawk</w:t>
      </w:r>
      <w:proofErr w:type="spellEnd"/>
      <w:r w:rsidRPr="007122AB">
        <w:rPr>
          <w:rFonts w:ascii="Times New Roman" w:hAnsi="Times New Roman"/>
          <w:color w:val="000000" w:themeColor="text1"/>
          <w:sz w:val="16"/>
          <w:szCs w:val="16"/>
        </w:rPr>
        <w:t xml:space="preserve">. Но служили они недолго. В феврале 1935 года разбился USS </w:t>
      </w:r>
      <w:proofErr w:type="spellStart"/>
      <w:r w:rsidRPr="007122AB">
        <w:rPr>
          <w:rFonts w:ascii="Times New Roman" w:hAnsi="Times New Roman"/>
          <w:color w:val="000000" w:themeColor="text1"/>
          <w:sz w:val="16"/>
          <w:szCs w:val="16"/>
        </w:rPr>
        <w:t>Macon</w:t>
      </w:r>
      <w:proofErr w:type="spellEnd"/>
      <w:r w:rsidRPr="007122AB">
        <w:rPr>
          <w:rFonts w:ascii="Times New Roman" w:hAnsi="Times New Roman"/>
          <w:color w:val="000000" w:themeColor="text1"/>
          <w:sz w:val="16"/>
          <w:szCs w:val="16"/>
        </w:rPr>
        <w:t>, а с ним и 4 истребителя. Оставшиеся были списаны через год. (22300).</w:t>
      </w:r>
    </w:p>
    <w:p w14:paraId="30D362F5" w14:textId="77777777" w:rsidR="004F3165" w:rsidRPr="007122AB" w:rsidRDefault="004F3165" w:rsidP="007122AB">
      <w:pPr>
        <w:spacing w:after="0" w:line="240" w:lineRule="auto"/>
        <w:jc w:val="both"/>
        <w:rPr>
          <w:rFonts w:ascii="Times New Roman" w:hAnsi="Times New Roman"/>
          <w:color w:val="000000" w:themeColor="text1"/>
          <w:sz w:val="16"/>
          <w:szCs w:val="16"/>
        </w:rPr>
      </w:pPr>
    </w:p>
    <w:p w14:paraId="70233A00" w14:textId="77777777" w:rsidR="004F3165" w:rsidRPr="007122AB" w:rsidRDefault="004F31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февраля 1931 Detroit News размещает заказ на автожир </w:t>
      </w:r>
      <w:proofErr w:type="spellStart"/>
      <w:r w:rsidRPr="007122AB">
        <w:rPr>
          <w:rFonts w:ascii="Times New Roman" w:hAnsi="Times New Roman"/>
          <w:color w:val="000000" w:themeColor="text1"/>
          <w:sz w:val="16"/>
          <w:szCs w:val="16"/>
        </w:rPr>
        <w:t>Pitcairn</w:t>
      </w:r>
      <w:proofErr w:type="spellEnd"/>
      <w:r w:rsidRPr="007122AB">
        <w:rPr>
          <w:rFonts w:ascii="Times New Roman" w:hAnsi="Times New Roman"/>
          <w:color w:val="000000" w:themeColor="text1"/>
          <w:sz w:val="16"/>
          <w:szCs w:val="16"/>
        </w:rPr>
        <w:t xml:space="preserve"> PCA-2 у компании </w:t>
      </w:r>
      <w:proofErr w:type="spellStart"/>
      <w:r w:rsidRPr="007122AB">
        <w:rPr>
          <w:rFonts w:ascii="Times New Roman" w:hAnsi="Times New Roman"/>
          <w:color w:val="000000" w:themeColor="text1"/>
          <w:sz w:val="16"/>
          <w:szCs w:val="16"/>
        </w:rPr>
        <w:t>Pitcairn</w:t>
      </w:r>
      <w:proofErr w:type="spellEnd"/>
      <w:r w:rsidRPr="007122AB">
        <w:rPr>
          <w:rFonts w:ascii="Times New Roman" w:hAnsi="Times New Roman"/>
          <w:color w:val="000000" w:themeColor="text1"/>
          <w:sz w:val="16"/>
          <w:szCs w:val="16"/>
        </w:rPr>
        <w:t xml:space="preserve"> Aircraft Company. Это первый коммерческий заказ на автожир в США (20804).</w:t>
      </w:r>
    </w:p>
    <w:p w14:paraId="1274FFEC" w14:textId="77777777" w:rsidR="004F3165" w:rsidRPr="007122AB" w:rsidRDefault="004F3165" w:rsidP="007122AB">
      <w:pPr>
        <w:spacing w:after="0" w:line="240" w:lineRule="auto"/>
        <w:jc w:val="both"/>
        <w:rPr>
          <w:rFonts w:ascii="Times New Roman" w:hAnsi="Times New Roman"/>
          <w:color w:val="000000" w:themeColor="text1"/>
          <w:sz w:val="16"/>
          <w:szCs w:val="16"/>
        </w:rPr>
      </w:pPr>
    </w:p>
    <w:p w14:paraId="6FC6F5AA" w14:textId="77777777" w:rsidR="00EA767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ECB6767" w14:textId="77777777" w:rsidR="00EA7676" w:rsidRPr="007122AB" w:rsidRDefault="00EA76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C4AC2F2" w14:textId="77777777" w:rsidR="00EA7676" w:rsidRPr="007122AB" w:rsidRDefault="00EA7676"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МДР-2 походили с 15 февраля по 17 (20 - 1017,212) (13 - 1085,107) марта 1931. Потребовались повторные (92,355) c 8 октября по 14 ноября 1931 (1076,888).</w:t>
      </w:r>
    </w:p>
    <w:p w14:paraId="7B25804C" w14:textId="77777777" w:rsidR="00EA7676" w:rsidRPr="007122AB" w:rsidRDefault="00EA7676"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Проводил л </w:t>
      </w:r>
      <w:proofErr w:type="spellStart"/>
      <w:r w:rsidRPr="007122AB">
        <w:rPr>
          <w:rFonts w:ascii="Times New Roman" w:hAnsi="Times New Roman"/>
          <w:color w:val="000000" w:themeColor="text1"/>
          <w:sz w:val="16"/>
          <w:szCs w:val="16"/>
        </w:rPr>
        <w:t>С.Т.Рыбальчук</w:t>
      </w:r>
      <w:proofErr w:type="spellEnd"/>
      <w:r w:rsidRPr="007122AB">
        <w:rPr>
          <w:rFonts w:ascii="Times New Roman" w:hAnsi="Times New Roman"/>
          <w:color w:val="000000" w:themeColor="text1"/>
          <w:sz w:val="16"/>
          <w:szCs w:val="16"/>
        </w:rPr>
        <w:t>. Оказалось неудовлетворительной поперечная устойчивость (346,40).</w:t>
      </w:r>
    </w:p>
    <w:p w14:paraId="68B7E143" w14:textId="77777777" w:rsidR="00EA7676" w:rsidRPr="007122AB" w:rsidRDefault="00EA7676" w:rsidP="007122AB">
      <w:pPr>
        <w:autoSpaceDE w:val="0"/>
        <w:autoSpaceDN w:val="0"/>
        <w:adjustRightInd w:val="0"/>
        <w:spacing w:after="0" w:line="240" w:lineRule="auto"/>
        <w:jc w:val="both"/>
        <w:rPr>
          <w:rFonts w:ascii="Times New Roman" w:hAnsi="Times New Roman"/>
          <w:color w:val="000000" w:themeColor="text1"/>
          <w:sz w:val="16"/>
          <w:szCs w:val="16"/>
        </w:rPr>
      </w:pPr>
    </w:p>
    <w:p w14:paraId="7149B8B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43FCA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52F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 на вооружение РККА была принята под названием "37-мм противотанковая пушка обр. 1930 года" 37-мм противотанковая пушка, полученная от </w:t>
      </w:r>
      <w:proofErr w:type="spellStart"/>
      <w:r w:rsidRPr="007122AB">
        <w:rPr>
          <w:rFonts w:ascii="Times New Roman" w:hAnsi="Times New Roman"/>
          <w:color w:val="000000" w:themeColor="text1"/>
          <w:sz w:val="16"/>
          <w:szCs w:val="16"/>
        </w:rPr>
        <w:t>Рейнметалла</w:t>
      </w:r>
      <w:proofErr w:type="spellEnd"/>
      <w:r w:rsidRPr="007122AB">
        <w:rPr>
          <w:rFonts w:ascii="Times New Roman" w:hAnsi="Times New Roman"/>
          <w:color w:val="000000" w:themeColor="text1"/>
          <w:sz w:val="16"/>
          <w:szCs w:val="16"/>
        </w:rPr>
        <w:t xml:space="preserve"> по договору от 28 августа 1930. Инженер </w:t>
      </w:r>
      <w:proofErr w:type="spellStart"/>
      <w:r w:rsidRPr="007122AB">
        <w:rPr>
          <w:rFonts w:ascii="Times New Roman" w:hAnsi="Times New Roman"/>
          <w:color w:val="000000" w:themeColor="text1"/>
          <w:sz w:val="16"/>
          <w:szCs w:val="16"/>
        </w:rPr>
        <w:t>Сячентов</w:t>
      </w:r>
      <w:proofErr w:type="spellEnd"/>
      <w:r w:rsidRPr="007122AB">
        <w:rPr>
          <w:rFonts w:ascii="Times New Roman" w:hAnsi="Times New Roman"/>
          <w:color w:val="000000" w:themeColor="text1"/>
          <w:sz w:val="16"/>
          <w:szCs w:val="16"/>
        </w:rPr>
        <w:t xml:space="preserve"> разработал проект установки качающейся части 37-мм пушки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xml:space="preserve">" в танк. Пушка получила индекс ПС-2 (пушка </w:t>
      </w:r>
      <w:proofErr w:type="spellStart"/>
      <w:r w:rsidRPr="007122AB">
        <w:rPr>
          <w:rFonts w:ascii="Times New Roman" w:hAnsi="Times New Roman"/>
          <w:color w:val="000000" w:themeColor="text1"/>
          <w:sz w:val="16"/>
          <w:szCs w:val="16"/>
        </w:rPr>
        <w:t>Сячентова</w:t>
      </w:r>
      <w:proofErr w:type="spellEnd"/>
      <w:r w:rsidRPr="007122AB">
        <w:rPr>
          <w:rFonts w:ascii="Times New Roman" w:hAnsi="Times New Roman"/>
          <w:color w:val="000000" w:themeColor="text1"/>
          <w:sz w:val="16"/>
          <w:szCs w:val="16"/>
        </w:rPr>
        <w:t>) и была принята на вооружение под названием "37-мм танковая пушка обр. 1930 г.".</w:t>
      </w:r>
    </w:p>
    <w:p w14:paraId="1F0DB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Пушку ПС-2 устанавливали в серийных двухбашенных танках Т-26 выпуска 1932 года, танках БТ-2 и опытном образце танка Т-35 (3861).</w:t>
      </w:r>
    </w:p>
    <w:p w14:paraId="6B5291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9605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приказом Реввоенсовета на вооружение приняли 37-мм противотанковую пушку образца 1930 (1073,30).</w:t>
      </w:r>
    </w:p>
    <w:p w14:paraId="6B52D63C"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63F1B20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года 37-мм пушка фирмы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xml:space="preserve">» приказом РВС была принята на вооружение под названием «37-мм противотанковая пушка обр. 1930 г. (1К)». В Германии это же орудие после небольшой модернизации было принято на вооружение под названием «3,7-см Рак 35/36» и стало основной противотанковой пушкой вермахта в начальный период войны. Рак 35/36 успешно воевала на первом этапе Второй мировой войны, хотя после встреч с французскими тяжелыми танками </w:t>
      </w:r>
      <w:proofErr w:type="spellStart"/>
      <w:r w:rsidRPr="007122AB">
        <w:rPr>
          <w:rFonts w:ascii="Times New Roman" w:hAnsi="Times New Roman"/>
          <w:color w:val="000000" w:themeColor="text1"/>
          <w:sz w:val="16"/>
          <w:szCs w:val="16"/>
        </w:rPr>
        <w:t>Bl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bis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Somua</w:t>
      </w:r>
      <w:proofErr w:type="spellEnd"/>
      <w:r w:rsidRPr="007122AB">
        <w:rPr>
          <w:rFonts w:ascii="Times New Roman" w:hAnsi="Times New Roman"/>
          <w:color w:val="000000" w:themeColor="text1"/>
          <w:sz w:val="16"/>
          <w:szCs w:val="16"/>
        </w:rPr>
        <w:t xml:space="preserve"> S-35, британскими «Матильдами» и отечественными Т-34 и KB солдаты прозвали ее «армейской колотушкой» и «дверным молотком» за полную бесполезность. В СССР было решено провести модернизацию немецкой пушки в соответствии с предложением Симонова (соединить отечественный ствол с немецким лафетом). Работа была поручена группе инженеров завода № 8 под руководством Г. Беринга. В старый кожух «</w:t>
      </w:r>
      <w:proofErr w:type="spellStart"/>
      <w:r w:rsidRPr="007122AB">
        <w:rPr>
          <w:rFonts w:ascii="Times New Roman" w:hAnsi="Times New Roman"/>
          <w:color w:val="000000" w:themeColor="text1"/>
          <w:sz w:val="16"/>
          <w:szCs w:val="16"/>
        </w:rPr>
        <w:t>Рейнметалла</w:t>
      </w:r>
      <w:proofErr w:type="spellEnd"/>
      <w:r w:rsidRPr="007122AB">
        <w:rPr>
          <w:rFonts w:ascii="Times New Roman" w:hAnsi="Times New Roman"/>
          <w:color w:val="000000" w:themeColor="text1"/>
          <w:sz w:val="16"/>
          <w:szCs w:val="16"/>
        </w:rPr>
        <w:t xml:space="preserve">» установили новый 45-мм ствол с полуавтоматическим клиновым затвором, добавили </w:t>
      </w:r>
      <w:proofErr w:type="spellStart"/>
      <w:r w:rsidRPr="007122AB">
        <w:rPr>
          <w:rFonts w:ascii="Times New Roman" w:hAnsi="Times New Roman"/>
          <w:color w:val="000000" w:themeColor="text1"/>
          <w:sz w:val="16"/>
          <w:szCs w:val="16"/>
        </w:rPr>
        <w:t>подрессоривание</w:t>
      </w:r>
      <w:proofErr w:type="spellEnd"/>
      <w:r w:rsidRPr="007122AB">
        <w:rPr>
          <w:rFonts w:ascii="Times New Roman" w:hAnsi="Times New Roman"/>
          <w:color w:val="000000" w:themeColor="text1"/>
          <w:sz w:val="16"/>
          <w:szCs w:val="16"/>
        </w:rPr>
        <w:t xml:space="preserve"> и колеса от автомобиля ГАЗ-АА. В результате получилась знаменитая 45-мм противотанковая пушка 19 К образца 1932 года, выпускавшаяся вплоть до января 1942 года (всего был изготовлен 16 621 экземпляр). На базе этого орудия на заводе №8 была создана 45-мм танковая пушка 20 К, которой было вооружено подавляющее большинство отечественных легких танков и бронеавтомобилей (Т-26, БТ-5, БТ-7, Т-35, Т-70 и Т-80, Ба-3, Ба-6, Ба-10, БК-11 и ПБ-4). До 1943 года было изготовлено 32 453 пушки 20 К (18263).</w:t>
      </w:r>
    </w:p>
    <w:p w14:paraId="4A47CF06"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3FDDE528"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 Реввоенсовет СССР рассматривал вопрос серий</w:t>
      </w:r>
      <w:r w:rsidRPr="007122AB">
        <w:rPr>
          <w:rFonts w:ascii="Times New Roman" w:hAnsi="Times New Roman"/>
          <w:color w:val="000000" w:themeColor="text1"/>
          <w:sz w:val="16"/>
          <w:szCs w:val="16"/>
        </w:rPr>
        <w:softHyphen/>
        <w:t xml:space="preserve">ного заказа пистолет-пулемета </w:t>
      </w:r>
      <w:proofErr w:type="spellStart"/>
      <w:r w:rsidRPr="007122AB">
        <w:rPr>
          <w:rFonts w:ascii="Times New Roman" w:hAnsi="Times New Roman"/>
          <w:color w:val="000000" w:themeColor="text1"/>
          <w:sz w:val="16"/>
          <w:szCs w:val="16"/>
        </w:rPr>
        <w:t>токарева</w:t>
      </w:r>
      <w:proofErr w:type="spellEnd"/>
      <w:r w:rsidRPr="007122AB">
        <w:rPr>
          <w:rFonts w:ascii="Times New Roman" w:hAnsi="Times New Roman"/>
          <w:color w:val="000000" w:themeColor="text1"/>
          <w:sz w:val="16"/>
          <w:szCs w:val="16"/>
        </w:rPr>
        <w:t xml:space="preserve"> (15766)</w:t>
      </w:r>
    </w:p>
    <w:p w14:paraId="3EAD106A"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105B8708"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13 февраля</w:t>
      </w:r>
      <w:r w:rsidRPr="007122AB">
        <w:rPr>
          <w:rFonts w:ascii="Times New Roman" w:hAnsi="Times New Roman"/>
          <w:color w:val="000000" w:themeColor="text1"/>
          <w:sz w:val="16"/>
          <w:szCs w:val="16"/>
        </w:rPr>
        <w:t xml:space="preserve"> в 1931 году Реввоенсовет СССР постановил изготовить тысячу пистолетов системы </w:t>
      </w:r>
      <w:proofErr w:type="spellStart"/>
      <w:r w:rsidRPr="007122AB">
        <w:rPr>
          <w:rFonts w:ascii="Times New Roman" w:hAnsi="Times New Roman"/>
          <w:color w:val="000000" w:themeColor="text1"/>
          <w:sz w:val="16"/>
          <w:szCs w:val="16"/>
        </w:rPr>
        <w:t>В.Ф.Токарева</w:t>
      </w:r>
      <w:proofErr w:type="spellEnd"/>
      <w:r w:rsidRPr="007122AB">
        <w:rPr>
          <w:rFonts w:ascii="Times New Roman" w:hAnsi="Times New Roman"/>
          <w:color w:val="000000" w:themeColor="text1"/>
          <w:sz w:val="16"/>
          <w:szCs w:val="16"/>
        </w:rPr>
        <w:t>. Фактически пистолет принимается на вооружение и получает название "7,62-мм пистолет Токарева образца 1930 г". Во всем мире он известен как ТТ - "Тула, Токарев» (15039).</w:t>
      </w:r>
    </w:p>
    <w:p w14:paraId="2257ED30"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223315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года приказом Реввоенсовета СССР еще до изготовления опытного образца танкетка Т-27 была принята на вооружение (3861).</w:t>
      </w:r>
    </w:p>
    <w:p w14:paraId="1CCD42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8DF72A" w14:textId="77777777" w:rsidR="00EA7676" w:rsidRPr="007122AB" w:rsidRDefault="00EA7676"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на вооружение Красной Армии была принята танкетка Т-27, бывшая доработанным вариантом английской машины «Карден-Ллойд </w:t>
      </w:r>
      <w:proofErr w:type="spellStart"/>
      <w:r w:rsidRPr="007122AB">
        <w:rPr>
          <w:rFonts w:ascii="Times New Roman" w:hAnsi="Times New Roman"/>
          <w:color w:val="000000" w:themeColor="text1"/>
          <w:sz w:val="16"/>
          <w:szCs w:val="16"/>
          <w:lang w:val="en-US"/>
        </w:rPr>
        <w:t>MkVI</w:t>
      </w:r>
      <w:proofErr w:type="spellEnd"/>
      <w:r w:rsidRPr="007122AB">
        <w:rPr>
          <w:rFonts w:ascii="Times New Roman" w:hAnsi="Times New Roman"/>
          <w:color w:val="000000" w:themeColor="text1"/>
          <w:sz w:val="16"/>
          <w:szCs w:val="16"/>
        </w:rPr>
        <w:t xml:space="preserve">», закупленной Советским правительством. Именно она стала первенцем бронетанковой продукции нижегородцев. Выпуск Т-27 на автосборочном заводе №1, входившем в систему Нижегородского автозавода, предполагалось начать с февраля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xml:space="preserve">. и до конца марта собрать 120 машин. Однако техническое управление Управления по механизации и моторизации РККА заключает договор с нижегородцами о поставке 2000 Т-27 только 11 марта 1932 года, соответственно изменились и сроки выпуска. Общая стоимость заказа составляла 21,5 млн. руб., а одной танкетки – 10 тысяч рублей. На практике цена ее выросла до 13 тыс., а себестоимость оказалась еще выше. К работе было решено подключить Опытные мастерские завода. Большие проблемы вызвала кооперация с другими заводами страны: бронекорпуса поступали из Подольска; среди заводов-смежников были «Красный треугольник» из Москвы, местные «Красная Этна» и «Красный якорь». В </w:t>
      </w:r>
      <w:r w:rsidRPr="007122AB">
        <w:rPr>
          <w:rFonts w:ascii="Times New Roman" w:hAnsi="Times New Roman"/>
          <w:color w:val="000000" w:themeColor="text1"/>
          <w:sz w:val="16"/>
          <w:szCs w:val="16"/>
        </w:rPr>
        <w:lastRenderedPageBreak/>
        <w:t xml:space="preserve">конструкции машины широко использовались автомобильные узлы и детали: двигатель, коробка передач и др. Первые пять Т-27 были собраны в Опытных мастерских в апреле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xml:space="preserve">., но вся партия была возвращена заказчиком ввиду многочисленных дефектов. Планы и сроки выпуска постоянно срывались по многим причинам. Начальник Опытных мастерских </w:t>
      </w:r>
      <w:proofErr w:type="spellStart"/>
      <w:r w:rsidRPr="007122AB">
        <w:rPr>
          <w:rFonts w:ascii="Times New Roman" w:hAnsi="Times New Roman"/>
          <w:color w:val="000000" w:themeColor="text1"/>
          <w:sz w:val="16"/>
          <w:szCs w:val="16"/>
        </w:rPr>
        <w:t>Коско</w:t>
      </w:r>
      <w:proofErr w:type="spellEnd"/>
      <w:r w:rsidRPr="007122AB">
        <w:rPr>
          <w:rFonts w:ascii="Times New Roman" w:hAnsi="Times New Roman"/>
          <w:color w:val="000000" w:themeColor="text1"/>
          <w:sz w:val="16"/>
          <w:szCs w:val="16"/>
        </w:rPr>
        <w:t xml:space="preserve"> утверждал, что руководство завода, занятое освоением производства автомашин, не уделяет должного внимания выпуску Т-27. Мастерские не имели необходимого оборудования и инструментов, снабжение деталями шло с перебоями, ощущался острый дефицит рабочей силы – все основные усилия завод направляет на главный сборочный конвейер. Не способствовало выполнению задания и низкое качество поставляемой смежниками продукции. Поэтому было решено с 1 июля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xml:space="preserve">. прекратить сборку Т-27 в Опытных мастерских и передать ее на автосборочный завод. Однако выполнение решения затянулось, и до сентября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сборка продолжалась на старом месте. Всего собрали 41 танкетку (15218).</w:t>
      </w:r>
    </w:p>
    <w:p w14:paraId="264FB10B" w14:textId="77777777" w:rsidR="00EA7676" w:rsidRPr="007122AB" w:rsidRDefault="00EA7676" w:rsidP="007122AB">
      <w:pPr>
        <w:widowControl w:val="0"/>
        <w:spacing w:after="0" w:line="240" w:lineRule="auto"/>
        <w:jc w:val="both"/>
        <w:rPr>
          <w:rFonts w:ascii="Times New Roman" w:hAnsi="Times New Roman"/>
          <w:color w:val="000000" w:themeColor="text1"/>
          <w:sz w:val="16"/>
          <w:szCs w:val="16"/>
        </w:rPr>
      </w:pPr>
    </w:p>
    <w:p w14:paraId="5A47C1F8" w14:textId="77777777" w:rsidR="009A3E3D" w:rsidRPr="007122AB" w:rsidRDefault="009A3E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 Т-27 еще до завершения государственных испытаний, была принята на вооружение. Корпус машины собирался из катаных броневых листов толщиной 6–10 мм. Двигатель четырехтактный, четырехцилиндровый «Форд-АА» («ГАЗ-АА»). Первые 45 машин «Большевик» изготовил в 1931 г.,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молодежи. В 1929–31 гг. работы по созданию тяжелого танка ограничились теоретической проработкой вопроса. В 1929 г. УММ РККА выдало ТТТ на разработку тяжелого танка массой 60 т с броней 30–50 мм, максимальной скоростью 20–25 км/час и вооружением из двух 76,2-мм пушек, одной 37-мм пушки и шести пулеметов. В соответствии с этими требованиями ОКМО «Большевика» в 1930–31 гг. разработало проект тяжелого танка Т-30. В 1932 г. изготовили деревянную модель танка. На танк предполагалось установить авиационный карбюраторный двигатель АМ6 мощностью 750 л.с., при этом его расчетная скорость должна была составить 30 км/час. Конструкцию танка посчитали чрезвычайно сложной и дальнейшие работы над ним были прекращены (18975). </w:t>
      </w:r>
    </w:p>
    <w:p w14:paraId="0DE9322B" w14:textId="77777777" w:rsidR="009A3E3D" w:rsidRPr="007122AB" w:rsidRDefault="009A3E3D" w:rsidP="007122AB">
      <w:pPr>
        <w:spacing w:after="0" w:line="240" w:lineRule="auto"/>
        <w:jc w:val="both"/>
        <w:rPr>
          <w:rFonts w:ascii="Times New Roman" w:hAnsi="Times New Roman"/>
          <w:color w:val="000000" w:themeColor="text1"/>
          <w:sz w:val="16"/>
          <w:szCs w:val="16"/>
        </w:rPr>
      </w:pPr>
    </w:p>
    <w:p w14:paraId="463664C0"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 танкетку ещё до завершения государственных испытании Т-27 приняли на вооружение. Корпус машины собирался из катаных броневых листов толщиной 6-10 мм. Двигатель четырёхтактный четырёхцилиндровый «Форд-АА» («ГАЗ-АА»). Первые 45 машин изготовил в 1931 г. «Большевик»,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молодёжи (15132).</w:t>
      </w:r>
    </w:p>
    <w:p w14:paraId="2FC3FE61"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0D02A6E8"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 еще до окончания испытаний танкетка Т-27 была принята на вооружение.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39C9D9B0"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0FB11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года постановлением РВС СССР будущий танк был принят на вооружение под индексом БТ-2 (9366).</w:t>
      </w:r>
    </w:p>
    <w:p w14:paraId="17291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CEFE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 по докладу И.А.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Реввоенсовет СССР, не ожидая изготовления опытного образца, издал приказ о принятии на вооружение РККА легкого танка Т-26 (3861).</w:t>
      </w:r>
    </w:p>
    <w:p w14:paraId="28FF98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9D1159" w14:textId="77777777" w:rsidR="004F3165" w:rsidRPr="007122AB" w:rsidRDefault="004F316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13 февраля 1931 года, было принято решение о производстве В-26 на заводе "Большевик". Танк приняли на вооружение Красной Армии как Т-26. Это было единственно верным решением, дальше заниматься </w:t>
      </w:r>
      <w:proofErr w:type="spellStart"/>
      <w:r w:rsidRPr="007122AB">
        <w:rPr>
          <w:rFonts w:ascii="Times New Roman" w:eastAsia="Times New Roman" w:hAnsi="Times New Roman"/>
          <w:color w:val="000000" w:themeColor="text1"/>
          <w:sz w:val="16"/>
          <w:szCs w:val="16"/>
          <w:lang w:eastAsia="ru-RU"/>
        </w:rPr>
        <w:t>заниматься</w:t>
      </w:r>
      <w:proofErr w:type="spellEnd"/>
      <w:r w:rsidRPr="007122AB">
        <w:rPr>
          <w:rFonts w:ascii="Times New Roman" w:eastAsia="Times New Roman" w:hAnsi="Times New Roman"/>
          <w:color w:val="000000" w:themeColor="text1"/>
          <w:sz w:val="16"/>
          <w:szCs w:val="16"/>
          <w:lang w:eastAsia="ru-RU"/>
        </w:rPr>
        <w:t xml:space="preserve"> развитием </w:t>
      </w:r>
      <w:proofErr w:type="spellStart"/>
      <w:r w:rsidRPr="007122AB">
        <w:rPr>
          <w:rFonts w:ascii="Times New Roman" w:eastAsia="Times New Roman" w:hAnsi="Times New Roman"/>
          <w:color w:val="000000" w:themeColor="text1"/>
          <w:sz w:val="16"/>
          <w:szCs w:val="16"/>
          <w:lang w:eastAsia="ru-RU"/>
        </w:rPr>
        <w:t>шукаловских</w:t>
      </w:r>
      <w:proofErr w:type="spellEnd"/>
      <w:r w:rsidRPr="007122AB">
        <w:rPr>
          <w:rFonts w:ascii="Times New Roman" w:eastAsia="Times New Roman" w:hAnsi="Times New Roman"/>
          <w:color w:val="000000" w:themeColor="text1"/>
          <w:sz w:val="16"/>
          <w:szCs w:val="16"/>
          <w:lang w:eastAsia="ru-RU"/>
        </w:rPr>
        <w:t xml:space="preserve"> машин не имело никакого смысла (20740).</w:t>
      </w:r>
    </w:p>
    <w:p w14:paraId="75AF2C8A" w14:textId="77777777" w:rsidR="004F3165" w:rsidRPr="007122AB" w:rsidRDefault="004F316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C4CA696" w14:textId="77777777" w:rsidR="004F3165" w:rsidRPr="007122AB" w:rsidRDefault="004F316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13 февраля 1931 года на вооружение Красной Армии был принят танк сопровождения Т-26, его производство организовывалось на "Большевике". Т-18 четвертой производственной серии, который изначально предполагался временным решением, стал самым массовым из МС-1. Правда, пушки Б-3 он так и не дождался. Что же касается Т-20, то он разделил судьбу своего собрата - Т-19. Машину достроили, но с указанием "закончить и в музей", точнее в академию ВАММ. Доводили танк, который своей башни так и не дождался, до конца 1931 года. 60-сильный мотор упорно не хотел работать положенный ресурс, так что и про планы модернизации Т-18 пришлось забыть. Помимо опытного Т-20, был также изготовлен сварной корпус. Впрочем, его изображений не сохранилось, да и сам Т-20 пока что известен в виде проектной документации и единственной фотографии из альбома 1932 года. История этого танка прекрасно показывает, что покупка </w:t>
      </w:r>
      <w:proofErr w:type="spellStart"/>
      <w:r w:rsidRPr="007122AB">
        <w:rPr>
          <w:rFonts w:ascii="Times New Roman" w:eastAsia="Times New Roman" w:hAnsi="Times New Roman"/>
          <w:color w:val="000000" w:themeColor="text1"/>
          <w:sz w:val="16"/>
          <w:szCs w:val="16"/>
          <w:lang w:eastAsia="ru-RU"/>
        </w:rPr>
        <w:t>Vickers</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Mk.E</w:t>
      </w:r>
      <w:proofErr w:type="spellEnd"/>
      <w:r w:rsidRPr="007122AB">
        <w:rPr>
          <w:rFonts w:ascii="Times New Roman" w:eastAsia="Times New Roman" w:hAnsi="Times New Roman"/>
          <w:color w:val="000000" w:themeColor="text1"/>
          <w:sz w:val="16"/>
          <w:szCs w:val="16"/>
          <w:lang w:eastAsia="ru-RU"/>
        </w:rPr>
        <w:t xml:space="preserve"> оказалась очень своевременной, а постановка данной машины в серию - правильным решением. Без Т-26 существовал риск завала программы оснащения РККА современными танками сопровождения (20852).</w:t>
      </w:r>
    </w:p>
    <w:p w14:paraId="039FBD76" w14:textId="77777777" w:rsidR="004F3165" w:rsidRPr="007122AB" w:rsidRDefault="004F3165" w:rsidP="007122AB">
      <w:pPr>
        <w:spacing w:after="0" w:line="240" w:lineRule="auto"/>
        <w:jc w:val="both"/>
        <w:rPr>
          <w:rFonts w:ascii="Times New Roman" w:hAnsi="Times New Roman"/>
          <w:color w:val="000000" w:themeColor="text1"/>
          <w:sz w:val="16"/>
          <w:szCs w:val="16"/>
          <w:shd w:val="clear" w:color="auto" w:fill="FFFFFF"/>
        </w:rPr>
      </w:pPr>
    </w:p>
    <w:p w14:paraId="70800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 Т-26 принят на вооружение, а с осени началось серийное производство на ленинградском заводе им. Ворошилова. Первый вариант имел, как и прототип, две пулеметные башни. Но боевая масса его возросла до 8 т против 5,4 т у британской машины. Бронирование было противопульное, недифференцированное (лоб, борт, корма - 15 мм). С августа 1933 г. на танк ставили 45-мм пушку в цилиндрической башне и пулемет 7,62 мм. Экипаж составлял 3 человека. Боевая масса возросла до 10,3 т, а двигатель остался прежний, мощностью 90 л. с. Энерговооруженность была явно недостаточной. С февраля 1939 г. выпускалась последняя модификация Т-26 с наклонным расположением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подбашенной коробки. А во время Финской войны Т-26 оснастили экранной броней на лобовых листах корпуса. Всего за 1931-1940 гг. выпустили более 11000 машин 23 модификаций. Это была крупнейшая предвоенная серия танков в мире (11224).</w:t>
      </w:r>
    </w:p>
    <w:p w14:paraId="7A8EA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CDF1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 танкетка Т-27 была принята на вооружение РККА поста</w:t>
      </w:r>
      <w:r w:rsidRPr="007122AB">
        <w:rPr>
          <w:rFonts w:ascii="Times New Roman" w:hAnsi="Times New Roman"/>
          <w:color w:val="000000" w:themeColor="text1"/>
          <w:sz w:val="16"/>
          <w:szCs w:val="16"/>
        </w:rPr>
        <w:softHyphen/>
        <w:t>новлением РВС СССР от, несмотря на то, что государственные испытания машины к этому вре</w:t>
      </w:r>
      <w:r w:rsidRPr="007122AB">
        <w:rPr>
          <w:rFonts w:ascii="Times New Roman" w:hAnsi="Times New Roman"/>
          <w:color w:val="000000" w:themeColor="text1"/>
          <w:sz w:val="16"/>
          <w:szCs w:val="16"/>
        </w:rPr>
        <w:softHyphen/>
        <w:t>мени завершены не были. Против ожидания, серийное производство танкетки не вызвало таких проблем, как выпуск Т-26 и БТ. Видимо, сказывалось широкое использование узлов и агрегатов гру</w:t>
      </w:r>
      <w:r w:rsidRPr="007122AB">
        <w:rPr>
          <w:rFonts w:ascii="Times New Roman" w:hAnsi="Times New Roman"/>
          <w:color w:val="000000" w:themeColor="text1"/>
          <w:sz w:val="16"/>
          <w:szCs w:val="16"/>
        </w:rPr>
        <w:softHyphen/>
        <w:t>зового автомобиля «Форд-АА», выпускаемого в СССР на заводе ГАЗ (в то время еще носившего название НАЗ). Общая компоновка танкетки предусматривала разме</w:t>
      </w:r>
      <w:r w:rsidRPr="007122AB">
        <w:rPr>
          <w:rFonts w:ascii="Times New Roman" w:hAnsi="Times New Roman"/>
          <w:color w:val="000000" w:themeColor="text1"/>
          <w:sz w:val="16"/>
          <w:szCs w:val="16"/>
        </w:rPr>
        <w:softHyphen/>
        <w:t>щение силового агрегата, вооружения и экипажа в одном корпусе. Причем двигатель с системами питания и охлаж</w:t>
      </w:r>
      <w:r w:rsidRPr="007122AB">
        <w:rPr>
          <w:rFonts w:ascii="Times New Roman" w:hAnsi="Times New Roman"/>
          <w:color w:val="000000" w:themeColor="text1"/>
          <w:sz w:val="16"/>
          <w:szCs w:val="16"/>
        </w:rPr>
        <w:softHyphen/>
        <w:t>дения находился в его средней части, трансмиссия впере</w:t>
      </w:r>
      <w:r w:rsidRPr="007122AB">
        <w:rPr>
          <w:rFonts w:ascii="Times New Roman" w:hAnsi="Times New Roman"/>
          <w:color w:val="000000" w:themeColor="text1"/>
          <w:sz w:val="16"/>
          <w:szCs w:val="16"/>
        </w:rPr>
        <w:softHyphen/>
        <w:t>ди, а экипаж - сзади. Корпус Т-27 собирался из катаных броневых листов тол</w:t>
      </w:r>
      <w:r w:rsidRPr="007122AB">
        <w:rPr>
          <w:rFonts w:ascii="Times New Roman" w:hAnsi="Times New Roman"/>
          <w:color w:val="000000" w:themeColor="text1"/>
          <w:sz w:val="16"/>
          <w:szCs w:val="16"/>
        </w:rPr>
        <w:softHyphen/>
        <w:t>щиной 6—10 мм на уголковом каркасе болтами и заклепка</w:t>
      </w:r>
      <w:r w:rsidRPr="007122AB">
        <w:rPr>
          <w:rFonts w:ascii="Times New Roman" w:hAnsi="Times New Roman"/>
          <w:color w:val="000000" w:themeColor="text1"/>
          <w:sz w:val="16"/>
          <w:szCs w:val="16"/>
        </w:rPr>
        <w:softHyphen/>
        <w:t>ми. Правда, на машинах последнего года выпуска уже применялась электросварка. Швы корпуса в нижней части на высоту до 400 мм имели холщовую прокладку на сурике, которая обеспечивала водонепроницаемость корпуса при преодолении водных преград. В верхнем лобовом листе корпуса имелся люк для доступа к тормозным валикам, закрывавшийся броневой крышкой с гайками на шпильках. Кроме того, на верхнем и нижнем лобовых листах бол</w:t>
      </w:r>
      <w:r w:rsidRPr="007122AB">
        <w:rPr>
          <w:rFonts w:ascii="Times New Roman" w:hAnsi="Times New Roman"/>
          <w:color w:val="000000" w:themeColor="text1"/>
          <w:sz w:val="16"/>
          <w:szCs w:val="16"/>
        </w:rPr>
        <w:softHyphen/>
        <w:t xml:space="preserve">идами крепился броневой кожух, закрывавший выступающую часть картера дифференциала. На большинстве танкеток этот кожух крепился на заклепках и снимался только месте с лобовыми листами. На верхнем, наклонном листе </w:t>
      </w:r>
      <w:proofErr w:type="spellStart"/>
      <w:r w:rsidRPr="007122AB">
        <w:rPr>
          <w:rFonts w:ascii="Times New Roman" w:hAnsi="Times New Roman"/>
          <w:color w:val="000000" w:themeColor="text1"/>
          <w:sz w:val="16"/>
          <w:szCs w:val="16"/>
        </w:rPr>
        <w:t>ансмиссионного</w:t>
      </w:r>
      <w:proofErr w:type="spellEnd"/>
      <w:r w:rsidRPr="007122AB">
        <w:rPr>
          <w:rFonts w:ascii="Times New Roman" w:hAnsi="Times New Roman"/>
          <w:color w:val="000000" w:themeColor="text1"/>
          <w:sz w:val="16"/>
          <w:szCs w:val="16"/>
        </w:rPr>
        <w:t xml:space="preserve"> отделения находился люк с броневой </w:t>
      </w:r>
      <w:proofErr w:type="spellStart"/>
      <w:r w:rsidRPr="007122AB">
        <w:rPr>
          <w:rFonts w:ascii="Times New Roman" w:hAnsi="Times New Roman"/>
          <w:color w:val="000000" w:themeColor="text1"/>
          <w:sz w:val="16"/>
          <w:szCs w:val="16"/>
        </w:rPr>
        <w:t>рышкой</w:t>
      </w:r>
      <w:proofErr w:type="spellEnd"/>
      <w:r w:rsidRPr="007122AB">
        <w:rPr>
          <w:rFonts w:ascii="Times New Roman" w:hAnsi="Times New Roman"/>
          <w:color w:val="000000" w:themeColor="text1"/>
          <w:sz w:val="16"/>
          <w:szCs w:val="16"/>
        </w:rPr>
        <w:t xml:space="preserve"> на петлях, который обеспечивал доступ к коробку передач и приводам управления. Кроме того, с правой </w:t>
      </w:r>
      <w:proofErr w:type="spellStart"/>
      <w:r w:rsidRPr="007122AB">
        <w:rPr>
          <w:rFonts w:ascii="Times New Roman" w:hAnsi="Times New Roman"/>
          <w:color w:val="000000" w:themeColor="text1"/>
          <w:sz w:val="16"/>
          <w:szCs w:val="16"/>
        </w:rPr>
        <w:t>ороны</w:t>
      </w:r>
      <w:proofErr w:type="spellEnd"/>
      <w:r w:rsidRPr="007122AB">
        <w:rPr>
          <w:rFonts w:ascii="Times New Roman" w:hAnsi="Times New Roman"/>
          <w:color w:val="000000" w:themeColor="text1"/>
          <w:sz w:val="16"/>
          <w:szCs w:val="16"/>
        </w:rPr>
        <w:t xml:space="preserve"> имелось специальное отверстие для крепления </w:t>
      </w:r>
      <w:proofErr w:type="spellStart"/>
      <w:r w:rsidRPr="007122AB">
        <w:rPr>
          <w:rFonts w:ascii="Times New Roman" w:hAnsi="Times New Roman"/>
          <w:color w:val="000000" w:themeColor="text1"/>
          <w:sz w:val="16"/>
          <w:szCs w:val="16"/>
        </w:rPr>
        <w:t>яеметной</w:t>
      </w:r>
      <w:proofErr w:type="spellEnd"/>
      <w:r w:rsidRPr="007122AB">
        <w:rPr>
          <w:rFonts w:ascii="Times New Roman" w:hAnsi="Times New Roman"/>
          <w:color w:val="000000" w:themeColor="text1"/>
          <w:sz w:val="16"/>
          <w:szCs w:val="16"/>
        </w:rPr>
        <w:t xml:space="preserve"> установки (10733,145).</w:t>
      </w:r>
    </w:p>
    <w:p w14:paraId="13C779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90D4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 РВС СССР, заслушав доклад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о ходе работ по новым танкам, постановил принять «6-тонный танк Виккерса типа В-26» на вооружение РККА как основной танк сопровождения общевойсковых частей и соединений, также танковых и мехчастей РГК. Новый танк, в соответствии с планами УММ, получил индекс Т-26 (10733,173).</w:t>
      </w:r>
    </w:p>
    <w:p w14:paraId="5D39C3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FD4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 РВС СССР, заслушав доклад </w:t>
      </w:r>
      <w:proofErr w:type="spellStart"/>
      <w:r w:rsidRPr="007122AB">
        <w:rPr>
          <w:rFonts w:ascii="Times New Roman" w:hAnsi="Times New Roman"/>
          <w:color w:val="000000" w:themeColor="text1"/>
          <w:sz w:val="16"/>
          <w:szCs w:val="16"/>
        </w:rPr>
        <w:t>И.Халепского</w:t>
      </w:r>
      <w:proofErr w:type="spellEnd"/>
      <w:r w:rsidRPr="007122AB">
        <w:rPr>
          <w:rFonts w:ascii="Times New Roman" w:hAnsi="Times New Roman"/>
          <w:color w:val="000000" w:themeColor="text1"/>
          <w:sz w:val="16"/>
          <w:szCs w:val="16"/>
        </w:rPr>
        <w:t xml:space="preserve"> о ходе работ над новыми танками, постановил принять «6-тонный танк Виккерса типа В-26» на вооружение бронесил РККА, как «... танк сопровождения общевойсковых частей и соединений, а также в качестве танка для </w:t>
      </w:r>
      <w:proofErr w:type="spellStart"/>
      <w:r w:rsidRPr="007122AB">
        <w:rPr>
          <w:rFonts w:ascii="Times New Roman" w:hAnsi="Times New Roman"/>
          <w:color w:val="000000" w:themeColor="text1"/>
          <w:sz w:val="16"/>
          <w:szCs w:val="16"/>
        </w:rPr>
        <w:t>бронесш</w:t>
      </w:r>
      <w:proofErr w:type="spellEnd"/>
      <w:r w:rsidRPr="007122AB">
        <w:rPr>
          <w:rFonts w:ascii="Times New Roman" w:hAnsi="Times New Roman"/>
          <w:color w:val="000000" w:themeColor="text1"/>
          <w:sz w:val="16"/>
          <w:szCs w:val="16"/>
        </w:rPr>
        <w:t xml:space="preserve"> КА». Этот танк получил индекс Т-26. Весьма интересным для советской стороны был тот факт, что купленный у фирмы «Виккерс» танк был одним из триплекса, в составе которого тоже предусматривался «танк огневой поддержки», вооруженный 47-мм пушкой (6469, 12).</w:t>
      </w:r>
    </w:p>
    <w:p w14:paraId="70827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BD53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года РВС СССР постановил принять на вооружение Красной Армии танк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xml:space="preserve"> Е под обозначением Т-26 (в те годы этот танк также называли "истребитель малой мощности") и рекомендовал начать серийный выпуск этой машины. Главным производителем танков должен был стать Сталинградский тракторный завод, ежегодно предполагали выпускать по 13800 танков этого типа! Однако к тому времени СТЗ еще не был введен в строй, поэтому заказ временно разместили на заводе "Большевик" в Ленинграде. Вскоре танковое отделение завода выделилось в самостоятельный Завод N 174 им. </w:t>
      </w:r>
      <w:proofErr w:type="spellStart"/>
      <w:r w:rsidRPr="007122AB">
        <w:rPr>
          <w:rFonts w:ascii="Times New Roman" w:hAnsi="Times New Roman"/>
          <w:color w:val="000000" w:themeColor="text1"/>
          <w:sz w:val="16"/>
          <w:szCs w:val="16"/>
        </w:rPr>
        <w:t>К.Е.Ворошилова</w:t>
      </w:r>
      <w:proofErr w:type="spellEnd"/>
      <w:r w:rsidRPr="007122AB">
        <w:rPr>
          <w:rFonts w:ascii="Times New Roman" w:hAnsi="Times New Roman"/>
          <w:color w:val="000000" w:themeColor="text1"/>
          <w:sz w:val="16"/>
          <w:szCs w:val="16"/>
        </w:rPr>
        <w:t>. На этом заводе действительно построили 12000 танков Т-26, но не за год, а за 10 лет - последние машины этого типа покинули сборочный цех в начале 1941 года (3862).</w:t>
      </w:r>
    </w:p>
    <w:p w14:paraId="72281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5D6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на вооружение приняли танк Т-26 (176,25) и Т-27, которые начали производить под Москвой в Черкизово (3547) на з имени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 xml:space="preserve"> и до 1933 сделали 3.3 тыс. (1124,9).</w:t>
      </w:r>
    </w:p>
    <w:p w14:paraId="0148F8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Т-26 делали на заводе Большевик (б. Обуховском) (1127,9).</w:t>
      </w:r>
    </w:p>
    <w:p w14:paraId="676CB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в тот же день на вооружение был прият и БТ-2 (2118).</w:t>
      </w:r>
    </w:p>
    <w:p w14:paraId="506FF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2995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13 февраля 1931 года приказом Реввоенсовета СССР были приняты на вооружение Красной Армии танкетка Т-27 и легкий танк Т-26, а 23 мая 1931 года, еще до изготовления опытного образца, был принят на вооружение и легкий быстроходный танк БТ-2 (11504).</w:t>
      </w:r>
    </w:p>
    <w:p w14:paraId="4064A7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24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февраля 1931 года РВС СССР постановил принять на вооружение Красной Армии танк "</w:t>
      </w:r>
      <w:proofErr w:type="spellStart"/>
      <w:r w:rsidRPr="007122AB">
        <w:rPr>
          <w:rFonts w:ascii="Times New Roman" w:hAnsi="Times New Roman"/>
          <w:color w:val="000000" w:themeColor="text1"/>
          <w:sz w:val="16"/>
          <w:szCs w:val="16"/>
        </w:rPr>
        <w:t>Викерс</w:t>
      </w:r>
      <w:proofErr w:type="spellEnd"/>
      <w:r w:rsidRPr="007122AB">
        <w:rPr>
          <w:rFonts w:ascii="Times New Roman" w:hAnsi="Times New Roman"/>
          <w:color w:val="000000" w:themeColor="text1"/>
          <w:sz w:val="16"/>
          <w:szCs w:val="16"/>
        </w:rPr>
        <w:t xml:space="preserve"> Е" под обозначением Т-26 и рекомендовал начать серийный выпуск этой машины. На первых танках Т-26 устанавливались импортируемые английские двигатели </w:t>
      </w:r>
      <w:proofErr w:type="spellStart"/>
      <w:r w:rsidRPr="007122AB">
        <w:rPr>
          <w:rFonts w:ascii="Times New Roman" w:hAnsi="Times New Roman"/>
          <w:color w:val="000000" w:themeColor="text1"/>
          <w:sz w:val="16"/>
          <w:szCs w:val="16"/>
        </w:rPr>
        <w:t>Armstrong-Siddeley</w:t>
      </w:r>
      <w:proofErr w:type="spellEnd"/>
      <w:r w:rsidRPr="007122AB">
        <w:rPr>
          <w:rFonts w:ascii="Times New Roman" w:hAnsi="Times New Roman"/>
          <w:color w:val="000000" w:themeColor="text1"/>
          <w:sz w:val="16"/>
          <w:szCs w:val="16"/>
        </w:rPr>
        <w:t xml:space="preserve"> (11553). </w:t>
      </w:r>
    </w:p>
    <w:p w14:paraId="515549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F6A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изобретатель-самоучка </w:t>
      </w:r>
      <w:proofErr w:type="spellStart"/>
      <w:r w:rsidRPr="007122AB">
        <w:rPr>
          <w:rFonts w:ascii="Times New Roman" w:hAnsi="Times New Roman"/>
          <w:color w:val="000000" w:themeColor="text1"/>
          <w:sz w:val="16"/>
          <w:szCs w:val="16"/>
        </w:rPr>
        <w:t>Н.И.Дыренков</w:t>
      </w:r>
      <w:proofErr w:type="spellEnd"/>
      <w:r w:rsidRPr="007122AB">
        <w:rPr>
          <w:rFonts w:ascii="Times New Roman" w:hAnsi="Times New Roman"/>
          <w:color w:val="000000" w:themeColor="text1"/>
          <w:sz w:val="16"/>
          <w:szCs w:val="16"/>
        </w:rPr>
        <w:t xml:space="preserve">, который на московском заводе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бронировал 4 трактора разных типов писал Нач. УММ РККА </w:t>
      </w:r>
      <w:proofErr w:type="spellStart"/>
      <w:r w:rsidRPr="007122AB">
        <w:rPr>
          <w:rFonts w:ascii="Times New Roman" w:hAnsi="Times New Roman"/>
          <w:color w:val="000000" w:themeColor="text1"/>
          <w:sz w:val="16"/>
          <w:szCs w:val="16"/>
        </w:rPr>
        <w:t>И.Халепскому</w:t>
      </w:r>
      <w:proofErr w:type="spellEnd"/>
      <w:r w:rsidRPr="007122AB">
        <w:rPr>
          <w:rFonts w:ascii="Times New Roman" w:hAnsi="Times New Roman"/>
          <w:color w:val="000000" w:themeColor="text1"/>
          <w:sz w:val="16"/>
          <w:szCs w:val="16"/>
        </w:rPr>
        <w:t>: “На основании полученных от Вас заданий мною разработаны и построены следующие образцы:</w:t>
      </w:r>
    </w:p>
    <w:p w14:paraId="45533C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на шасси трактора Коммунар - </w:t>
      </w:r>
      <w:proofErr w:type="spellStart"/>
      <w:r w:rsidRPr="007122AB">
        <w:rPr>
          <w:rFonts w:ascii="Times New Roman" w:hAnsi="Times New Roman"/>
          <w:color w:val="000000" w:themeColor="text1"/>
          <w:sz w:val="16"/>
          <w:szCs w:val="16"/>
        </w:rPr>
        <w:t>суррогативный</w:t>
      </w:r>
      <w:proofErr w:type="spellEnd"/>
      <w:r w:rsidRPr="007122AB">
        <w:rPr>
          <w:rFonts w:ascii="Times New Roman" w:hAnsi="Times New Roman"/>
          <w:color w:val="000000" w:themeColor="text1"/>
          <w:sz w:val="16"/>
          <w:szCs w:val="16"/>
        </w:rPr>
        <w:t xml:space="preserve"> танк с одной 76-мм полковой пушкой, двумя ДТ при двух запасных с четырьмя шаровыми установками (Д-10).</w:t>
      </w:r>
    </w:p>
    <w:p w14:paraId="254707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на шасси трактора Катерпиллер - </w:t>
      </w:r>
      <w:proofErr w:type="spellStart"/>
      <w:r w:rsidRPr="007122AB">
        <w:rPr>
          <w:rFonts w:ascii="Times New Roman" w:hAnsi="Times New Roman"/>
          <w:color w:val="000000" w:themeColor="text1"/>
          <w:sz w:val="16"/>
          <w:szCs w:val="16"/>
        </w:rPr>
        <w:t>суррогативный</w:t>
      </w:r>
      <w:proofErr w:type="spellEnd"/>
      <w:r w:rsidRPr="007122AB">
        <w:rPr>
          <w:rFonts w:ascii="Times New Roman" w:hAnsi="Times New Roman"/>
          <w:color w:val="000000" w:themeColor="text1"/>
          <w:sz w:val="16"/>
          <w:szCs w:val="16"/>
        </w:rPr>
        <w:t xml:space="preserve"> танк с одной 76-мм полковой пушкой, двумя ДТ при двух запасных с четырьмя шаровыми установками (Д-11).</w:t>
      </w:r>
    </w:p>
    <w:p w14:paraId="30F1D3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на шасси трактора Коммунар - бронированный десантный танк для 15 стрелков с двумя ДТ при двух запасных с четырьмя шаровыми установками (Д-14).</w:t>
      </w:r>
    </w:p>
    <w:p w14:paraId="484C8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на шасси трактора Коммунар - танк химического нападения с двумя резервуарами на 4000 л с двумя распылителями при одном ДТ и при четырех шаровых установках (Д-15). Д-10 и Д-11 изготовлены к 8 февраля, Д—14 и 15 начаты постройкой.” (4306).</w:t>
      </w:r>
    </w:p>
    <w:p w14:paraId="3C086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4615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февраля 1931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направил </w:t>
      </w:r>
      <w:proofErr w:type="spellStart"/>
      <w:r w:rsidRPr="007122AB">
        <w:rPr>
          <w:rFonts w:ascii="Times New Roman" w:hAnsi="Times New Roman"/>
          <w:color w:val="000000" w:themeColor="text1"/>
          <w:sz w:val="16"/>
          <w:szCs w:val="16"/>
        </w:rPr>
        <w:t>Халепскому</w:t>
      </w:r>
      <w:proofErr w:type="spellEnd"/>
      <w:r w:rsidRPr="007122AB">
        <w:rPr>
          <w:rFonts w:ascii="Times New Roman" w:hAnsi="Times New Roman"/>
          <w:color w:val="000000" w:themeColor="text1"/>
          <w:sz w:val="16"/>
          <w:szCs w:val="16"/>
        </w:rPr>
        <w:t xml:space="preserve"> отчет о выполнении работ. В числе прочих, речь шла и о новых разведывательных броневиках, причем в этом документе впервые упоминалось обозначение ма</w:t>
      </w:r>
      <w:r w:rsidRPr="007122AB">
        <w:rPr>
          <w:rFonts w:ascii="Times New Roman" w:hAnsi="Times New Roman"/>
          <w:color w:val="000000" w:themeColor="text1"/>
          <w:sz w:val="16"/>
          <w:szCs w:val="16"/>
        </w:rPr>
        <w:softHyphen/>
        <w:t>шин:</w:t>
      </w:r>
    </w:p>
    <w:p w14:paraId="5DAE3C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полученного от Вас задания мною разработаны и построены следующие образцы брониро</w:t>
      </w:r>
      <w:r w:rsidRPr="007122AB">
        <w:rPr>
          <w:rFonts w:ascii="Times New Roman" w:hAnsi="Times New Roman"/>
          <w:color w:val="000000" w:themeColor="text1"/>
          <w:sz w:val="16"/>
          <w:szCs w:val="16"/>
        </w:rPr>
        <w:softHyphen/>
        <w:t>вания:</w:t>
      </w:r>
    </w:p>
    <w:p w14:paraId="00557D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 легковом шасси «Форд-А» разведывательный двухместный бронеавтомобиль при одном пулемете дейст</w:t>
      </w:r>
      <w:r w:rsidRPr="007122AB">
        <w:rPr>
          <w:rFonts w:ascii="Times New Roman" w:hAnsi="Times New Roman"/>
          <w:color w:val="000000" w:themeColor="text1"/>
          <w:sz w:val="16"/>
          <w:szCs w:val="16"/>
        </w:rPr>
        <w:softHyphen/>
        <w:t>вующем, одном запасном и четырех огневых точках. Обо</w:t>
      </w:r>
      <w:r w:rsidRPr="007122AB">
        <w:rPr>
          <w:rFonts w:ascii="Times New Roman" w:hAnsi="Times New Roman"/>
          <w:color w:val="000000" w:themeColor="text1"/>
          <w:sz w:val="16"/>
          <w:szCs w:val="16"/>
        </w:rPr>
        <w:softHyphen/>
        <w:t>значение Д-8р.</w:t>
      </w:r>
    </w:p>
    <w:p w14:paraId="6AB601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 таком же шасси при таком же вооружении, но с несколько удлиненным кузовом и добавленной уста</w:t>
      </w:r>
      <w:r w:rsidRPr="007122AB">
        <w:rPr>
          <w:rFonts w:ascii="Times New Roman" w:hAnsi="Times New Roman"/>
          <w:color w:val="000000" w:themeColor="text1"/>
          <w:sz w:val="16"/>
          <w:szCs w:val="16"/>
        </w:rPr>
        <w:softHyphen/>
        <w:t xml:space="preserve">новкой стандартной зенитной </w:t>
      </w:r>
      <w:proofErr w:type="spellStart"/>
      <w:r w:rsidRPr="007122AB">
        <w:rPr>
          <w:rFonts w:ascii="Times New Roman" w:hAnsi="Times New Roman"/>
          <w:color w:val="000000" w:themeColor="text1"/>
          <w:sz w:val="16"/>
          <w:szCs w:val="16"/>
        </w:rPr>
        <w:t>авиатурели</w:t>
      </w:r>
      <w:proofErr w:type="spellEnd"/>
      <w:r w:rsidRPr="007122AB">
        <w:rPr>
          <w:rFonts w:ascii="Times New Roman" w:hAnsi="Times New Roman"/>
          <w:color w:val="000000" w:themeColor="text1"/>
          <w:sz w:val="16"/>
          <w:szCs w:val="16"/>
        </w:rPr>
        <w:t>. Обозначение Д-12р».</w:t>
      </w:r>
    </w:p>
    <w:p w14:paraId="636DA4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Конструктивно обе машины были очень похожи -они имели сварные корпуса из 3—7 мм листов незакален</w:t>
      </w:r>
      <w:r w:rsidRPr="007122AB">
        <w:rPr>
          <w:rFonts w:ascii="Times New Roman" w:hAnsi="Times New Roman"/>
          <w:color w:val="000000" w:themeColor="text1"/>
          <w:sz w:val="16"/>
          <w:szCs w:val="16"/>
        </w:rPr>
        <w:softHyphen/>
        <w:t>ной броневой стали, установленные под большими угла</w:t>
      </w:r>
      <w:r w:rsidRPr="007122AB">
        <w:rPr>
          <w:rFonts w:ascii="Times New Roman" w:hAnsi="Times New Roman"/>
          <w:color w:val="000000" w:themeColor="text1"/>
          <w:sz w:val="16"/>
          <w:szCs w:val="16"/>
        </w:rPr>
        <w:softHyphen/>
        <w:t>ми наклона с расчетом на рикошет пуль. Для посадки экипажа из двух человек служили две двери в бортах. В крыше Д-8 имелся люк для наблюдения, а у Д-12 -авиационная турель с пулеметом Максима. Основное во</w:t>
      </w:r>
      <w:r w:rsidRPr="007122AB">
        <w:rPr>
          <w:rFonts w:ascii="Times New Roman" w:hAnsi="Times New Roman"/>
          <w:color w:val="000000" w:themeColor="text1"/>
          <w:sz w:val="16"/>
          <w:szCs w:val="16"/>
        </w:rPr>
        <w:softHyphen/>
        <w:t xml:space="preserve">оружение броневиков состояло из одного пулемета ДТ, для обеспечения кругового обстрела которого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запроектировал четыре шаровых установки — в лобовом, кормовом и бортовых листах. Боекомплект Д-8 состоял из 2709 патронов (43 магазина), а Д-12 - из 2079 патро</w:t>
      </w:r>
      <w:r w:rsidRPr="007122AB">
        <w:rPr>
          <w:rFonts w:ascii="Times New Roman" w:hAnsi="Times New Roman"/>
          <w:color w:val="000000" w:themeColor="text1"/>
          <w:sz w:val="16"/>
          <w:szCs w:val="16"/>
        </w:rPr>
        <w:softHyphen/>
        <w:t>нов к ДТ (33 магазина) и 1000 к Максиму (4 коробки). Благодаря небольшим габаритным размерам и плотной компоновке бронемашины имели небольшую массу — 1,6—1,65 т — и по проходимости немногим уступали базо</w:t>
      </w:r>
      <w:r w:rsidRPr="007122AB">
        <w:rPr>
          <w:rFonts w:ascii="Times New Roman" w:hAnsi="Times New Roman"/>
          <w:color w:val="000000" w:themeColor="text1"/>
          <w:sz w:val="16"/>
          <w:szCs w:val="16"/>
        </w:rPr>
        <w:softHyphen/>
        <w:t>вой модели.</w:t>
      </w:r>
    </w:p>
    <w:p w14:paraId="003A65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доделок опытные образцы новых бронемашин предъявили на испытания, выявившие целый ряд недостат</w:t>
      </w:r>
      <w:r w:rsidRPr="007122AB">
        <w:rPr>
          <w:rFonts w:ascii="Times New Roman" w:hAnsi="Times New Roman"/>
          <w:color w:val="000000" w:themeColor="text1"/>
          <w:sz w:val="16"/>
          <w:szCs w:val="16"/>
        </w:rPr>
        <w:softHyphen/>
        <w:t>ков (11284).</w:t>
      </w:r>
    </w:p>
    <w:p w14:paraId="5B5F56D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933DE3" w14:textId="77777777" w:rsidR="005E7475" w:rsidRPr="007122AB" w:rsidRDefault="005E7475" w:rsidP="007122AB">
      <w:pPr>
        <w:pStyle w:val="rtejustify"/>
        <w:spacing w:before="0" w:after="0"/>
        <w:rPr>
          <w:color w:val="000000" w:themeColor="text1"/>
          <w:sz w:val="16"/>
          <w:szCs w:val="16"/>
        </w:rPr>
      </w:pPr>
      <w:r w:rsidRPr="007122AB">
        <w:rPr>
          <w:rStyle w:val="af0"/>
          <w:i w:val="0"/>
          <w:color w:val="000000" w:themeColor="text1"/>
          <w:sz w:val="16"/>
          <w:szCs w:val="16"/>
        </w:rPr>
        <w:t xml:space="preserve">13 февраля 1931 г. Протокол Реввоенсовета №8. </w:t>
      </w:r>
      <w:r w:rsidRPr="007122AB">
        <w:rPr>
          <w:color w:val="000000" w:themeColor="text1"/>
          <w:sz w:val="16"/>
          <w:szCs w:val="16"/>
        </w:rPr>
        <w:t>2. О ходе осуществления системы авто-броне-танкового вооружения. (</w:t>
      </w:r>
      <w:proofErr w:type="spellStart"/>
      <w:r w:rsidRPr="007122AB">
        <w:rPr>
          <w:color w:val="000000" w:themeColor="text1"/>
          <w:sz w:val="16"/>
          <w:szCs w:val="16"/>
        </w:rPr>
        <w:t>Халепский</w:t>
      </w:r>
      <w:proofErr w:type="spellEnd"/>
      <w:r w:rsidRPr="007122AB">
        <w:rPr>
          <w:color w:val="000000" w:themeColor="text1"/>
          <w:sz w:val="16"/>
          <w:szCs w:val="16"/>
        </w:rPr>
        <w:t>). 3. а) Мероприятия МПУ, обеспечивающие своевременное изготовление корпусов танков на Ижорском заводе (</w:t>
      </w:r>
      <w:proofErr w:type="spellStart"/>
      <w:r w:rsidRPr="007122AB">
        <w:rPr>
          <w:color w:val="000000" w:themeColor="text1"/>
          <w:sz w:val="16"/>
          <w:szCs w:val="16"/>
        </w:rPr>
        <w:t>Халепский</w:t>
      </w:r>
      <w:proofErr w:type="spellEnd"/>
      <w:r w:rsidRPr="007122AB">
        <w:rPr>
          <w:color w:val="000000" w:themeColor="text1"/>
          <w:sz w:val="16"/>
          <w:szCs w:val="16"/>
        </w:rPr>
        <w:t>). б) Прицепки (</w:t>
      </w:r>
      <w:proofErr w:type="spellStart"/>
      <w:r w:rsidRPr="007122AB">
        <w:rPr>
          <w:color w:val="000000" w:themeColor="text1"/>
          <w:sz w:val="16"/>
          <w:szCs w:val="16"/>
        </w:rPr>
        <w:t>Халепский</w:t>
      </w:r>
      <w:proofErr w:type="spellEnd"/>
      <w:r w:rsidRPr="007122AB">
        <w:rPr>
          <w:color w:val="000000" w:themeColor="text1"/>
          <w:sz w:val="16"/>
          <w:szCs w:val="16"/>
        </w:rPr>
        <w:t>). 4. О введении на вооружение: а) 37</w:t>
      </w:r>
      <w:r w:rsidRPr="007122AB">
        <w:rPr>
          <w:color w:val="000000" w:themeColor="text1"/>
          <w:sz w:val="16"/>
          <w:szCs w:val="16"/>
        </w:rPr>
        <w:noBreakHyphen/>
        <w:t>мм танковой пушки; б) 45</w:t>
      </w:r>
      <w:r w:rsidRPr="007122AB">
        <w:rPr>
          <w:color w:val="000000" w:themeColor="text1"/>
          <w:sz w:val="16"/>
          <w:szCs w:val="16"/>
        </w:rPr>
        <w:noBreakHyphen/>
        <w:t>мм танковой пушки; в) 76</w:t>
      </w:r>
      <w:r w:rsidRPr="007122AB">
        <w:rPr>
          <w:color w:val="000000" w:themeColor="text1"/>
          <w:sz w:val="16"/>
          <w:szCs w:val="16"/>
        </w:rPr>
        <w:noBreakHyphen/>
        <w:t>мм зенитной пушки 1915/28 г.; г) строенной пулеметной, зенитной установки; д) зарядного ящика, передка и лотка полковой пушки; е) осветительных и сигнальных патронов; ж) </w:t>
      </w:r>
      <w:proofErr w:type="spellStart"/>
      <w:r w:rsidRPr="007122AB">
        <w:rPr>
          <w:color w:val="000000" w:themeColor="text1"/>
          <w:sz w:val="16"/>
          <w:szCs w:val="16"/>
        </w:rPr>
        <w:t>селитро</w:t>
      </w:r>
      <w:proofErr w:type="spellEnd"/>
      <w:r w:rsidRPr="007122AB">
        <w:rPr>
          <w:color w:val="000000" w:themeColor="text1"/>
          <w:sz w:val="16"/>
          <w:szCs w:val="16"/>
        </w:rPr>
        <w:t>-угольных добавков к 76</w:t>
      </w:r>
      <w:r w:rsidRPr="007122AB">
        <w:rPr>
          <w:color w:val="000000" w:themeColor="text1"/>
          <w:sz w:val="16"/>
          <w:szCs w:val="16"/>
        </w:rPr>
        <w:noBreakHyphen/>
        <w:t>мм полевой пушке и 152</w:t>
      </w:r>
      <w:r w:rsidRPr="007122AB">
        <w:rPr>
          <w:color w:val="000000" w:themeColor="text1"/>
          <w:sz w:val="16"/>
          <w:szCs w:val="16"/>
        </w:rPr>
        <w:noBreakHyphen/>
        <w:t>мм гаубице; з) 122</w:t>
      </w:r>
      <w:r w:rsidRPr="007122AB">
        <w:rPr>
          <w:color w:val="000000" w:themeColor="text1"/>
          <w:sz w:val="16"/>
          <w:szCs w:val="16"/>
        </w:rPr>
        <w:noBreakHyphen/>
        <w:t xml:space="preserve">мм снаряда </w:t>
      </w:r>
      <w:proofErr w:type="spellStart"/>
      <w:r w:rsidRPr="007122AB">
        <w:rPr>
          <w:color w:val="000000" w:themeColor="text1"/>
          <w:sz w:val="16"/>
          <w:szCs w:val="16"/>
        </w:rPr>
        <w:t>сталистого</w:t>
      </w:r>
      <w:proofErr w:type="spellEnd"/>
      <w:r w:rsidRPr="007122AB">
        <w:rPr>
          <w:color w:val="000000" w:themeColor="text1"/>
          <w:sz w:val="16"/>
          <w:szCs w:val="16"/>
        </w:rPr>
        <w:t xml:space="preserve"> чугуна; и) 107</w:t>
      </w:r>
      <w:r w:rsidRPr="007122AB">
        <w:rPr>
          <w:color w:val="000000" w:themeColor="text1"/>
          <w:sz w:val="16"/>
          <w:szCs w:val="16"/>
        </w:rPr>
        <w:noBreakHyphen/>
        <w:t xml:space="preserve">мм снаряда </w:t>
      </w:r>
      <w:proofErr w:type="spellStart"/>
      <w:r w:rsidRPr="007122AB">
        <w:rPr>
          <w:color w:val="000000" w:themeColor="text1"/>
          <w:sz w:val="16"/>
          <w:szCs w:val="16"/>
        </w:rPr>
        <w:t>сталистого</w:t>
      </w:r>
      <w:proofErr w:type="spellEnd"/>
      <w:r w:rsidRPr="007122AB">
        <w:rPr>
          <w:color w:val="000000" w:themeColor="text1"/>
          <w:sz w:val="16"/>
          <w:szCs w:val="16"/>
        </w:rPr>
        <w:t xml:space="preserve"> чугуна; л) 7,62</w:t>
      </w:r>
      <w:r w:rsidRPr="007122AB">
        <w:rPr>
          <w:color w:val="000000" w:themeColor="text1"/>
          <w:sz w:val="16"/>
          <w:szCs w:val="16"/>
        </w:rPr>
        <w:noBreakHyphen/>
        <w:t>мм пуль — тяжелой, бронебойной и трассирующей. (Уборевич). 5. О разрешении на валовые и серийные заказы: а) 203</w:t>
      </w:r>
      <w:r w:rsidRPr="007122AB">
        <w:rPr>
          <w:color w:val="000000" w:themeColor="text1"/>
          <w:sz w:val="16"/>
          <w:szCs w:val="16"/>
        </w:rPr>
        <w:noBreakHyphen/>
        <w:t>мм гаубицы «</w:t>
      </w:r>
      <w:proofErr w:type="spellStart"/>
      <w:r w:rsidRPr="007122AB">
        <w:rPr>
          <w:color w:val="000000" w:themeColor="text1"/>
          <w:sz w:val="16"/>
          <w:szCs w:val="16"/>
        </w:rPr>
        <w:t>Кр</w:t>
      </w:r>
      <w:proofErr w:type="spellEnd"/>
      <w:r w:rsidRPr="007122AB">
        <w:rPr>
          <w:color w:val="000000" w:themeColor="text1"/>
          <w:sz w:val="16"/>
          <w:szCs w:val="16"/>
        </w:rPr>
        <w:t>[</w:t>
      </w:r>
      <w:proofErr w:type="spellStart"/>
      <w:r w:rsidRPr="007122AB">
        <w:rPr>
          <w:color w:val="000000" w:themeColor="text1"/>
          <w:sz w:val="16"/>
          <w:szCs w:val="16"/>
        </w:rPr>
        <w:t>асный</w:t>
      </w:r>
      <w:proofErr w:type="spellEnd"/>
      <w:r w:rsidRPr="007122AB">
        <w:rPr>
          <w:color w:val="000000" w:themeColor="text1"/>
          <w:sz w:val="16"/>
          <w:szCs w:val="16"/>
        </w:rPr>
        <w:t>] Путиловец»; б) 203</w:t>
      </w:r>
      <w:r w:rsidRPr="007122AB">
        <w:rPr>
          <w:color w:val="000000" w:themeColor="text1"/>
          <w:sz w:val="16"/>
          <w:szCs w:val="16"/>
        </w:rPr>
        <w:noBreakHyphen/>
        <w:t>мм гаубицы «Большевик»; в) 20</w:t>
      </w:r>
      <w:r w:rsidRPr="007122AB">
        <w:rPr>
          <w:color w:val="000000" w:themeColor="text1"/>
          <w:sz w:val="16"/>
          <w:szCs w:val="16"/>
        </w:rPr>
        <w:noBreakHyphen/>
        <w:t>мм автоматической пушки; г) 37</w:t>
      </w:r>
      <w:r w:rsidRPr="007122AB">
        <w:rPr>
          <w:color w:val="000000" w:themeColor="text1"/>
          <w:sz w:val="16"/>
          <w:szCs w:val="16"/>
        </w:rPr>
        <w:noBreakHyphen/>
        <w:t>мм батальонной пушки; д) 76</w:t>
      </w:r>
      <w:r w:rsidRPr="007122AB">
        <w:rPr>
          <w:color w:val="000000" w:themeColor="text1"/>
          <w:sz w:val="16"/>
          <w:szCs w:val="16"/>
        </w:rPr>
        <w:noBreakHyphen/>
        <w:t>мм дивизионной пушки «</w:t>
      </w:r>
      <w:proofErr w:type="spellStart"/>
      <w:r w:rsidRPr="007122AB">
        <w:rPr>
          <w:color w:val="000000" w:themeColor="text1"/>
          <w:sz w:val="16"/>
          <w:szCs w:val="16"/>
        </w:rPr>
        <w:t>Бофорс</w:t>
      </w:r>
      <w:proofErr w:type="spellEnd"/>
      <w:r w:rsidRPr="007122AB">
        <w:rPr>
          <w:color w:val="000000" w:themeColor="text1"/>
          <w:sz w:val="16"/>
          <w:szCs w:val="16"/>
        </w:rPr>
        <w:t>»; е) прибора «ПУАЗО» системы Крузе; ж) спаренной пулеметной установки на тачанке; з) взрывателя КАТ</w:t>
      </w:r>
      <w:r w:rsidRPr="007122AB">
        <w:rPr>
          <w:color w:val="000000" w:themeColor="text1"/>
          <w:sz w:val="16"/>
          <w:szCs w:val="16"/>
        </w:rPr>
        <w:noBreakHyphen/>
        <w:t>10; и) 7,62</w:t>
      </w:r>
      <w:r w:rsidRPr="007122AB">
        <w:rPr>
          <w:color w:val="000000" w:themeColor="text1"/>
          <w:sz w:val="16"/>
          <w:szCs w:val="16"/>
        </w:rPr>
        <w:noBreakHyphen/>
        <w:t>мм малого пистолета; к) 12,7</w:t>
      </w:r>
      <w:r w:rsidRPr="007122AB">
        <w:rPr>
          <w:color w:val="000000" w:themeColor="text1"/>
          <w:sz w:val="16"/>
          <w:szCs w:val="16"/>
        </w:rPr>
        <w:noBreakHyphen/>
        <w:t>мм крупнокалиберного пулемета; л) 7,62</w:t>
      </w:r>
      <w:r w:rsidRPr="007122AB">
        <w:rPr>
          <w:color w:val="000000" w:themeColor="text1"/>
          <w:sz w:val="16"/>
          <w:szCs w:val="16"/>
        </w:rPr>
        <w:noBreakHyphen/>
        <w:t xml:space="preserve">мм самозарядной винтовки </w:t>
      </w:r>
      <w:proofErr w:type="spellStart"/>
      <w:r w:rsidRPr="007122AB">
        <w:rPr>
          <w:color w:val="000000" w:themeColor="text1"/>
          <w:sz w:val="16"/>
          <w:szCs w:val="16"/>
        </w:rPr>
        <w:t>Ковр</w:t>
      </w:r>
      <w:proofErr w:type="spellEnd"/>
      <w:r w:rsidRPr="007122AB">
        <w:rPr>
          <w:color w:val="000000" w:themeColor="text1"/>
          <w:sz w:val="16"/>
          <w:szCs w:val="16"/>
        </w:rPr>
        <w:t>. Кол.; м) 7,62</w:t>
      </w:r>
      <w:r w:rsidRPr="007122AB">
        <w:rPr>
          <w:color w:val="000000" w:themeColor="text1"/>
          <w:sz w:val="16"/>
          <w:szCs w:val="16"/>
        </w:rPr>
        <w:noBreakHyphen/>
        <w:t>мм легкого пулемета Дегтярева; п) оптического пулеметного прицела; о) 7,62</w:t>
      </w:r>
      <w:r w:rsidRPr="007122AB">
        <w:rPr>
          <w:color w:val="000000" w:themeColor="text1"/>
          <w:sz w:val="16"/>
          <w:szCs w:val="16"/>
        </w:rPr>
        <w:noBreakHyphen/>
        <w:t>мм пистолета-пулемета Токарева; п) о батальонных мортирах. (Уборевич). (РГВА. Ф. 4. Оп. 18. Д. 20. Л. 83</w:t>
      </w:r>
      <w:r w:rsidRPr="007122AB">
        <w:rPr>
          <w:color w:val="000000" w:themeColor="text1"/>
          <w:sz w:val="16"/>
          <w:szCs w:val="16"/>
        </w:rPr>
        <w:noBreakHyphen/>
        <w:t>86) (12342).</w:t>
      </w:r>
    </w:p>
    <w:p w14:paraId="72BA1623" w14:textId="77777777" w:rsidR="005E7475" w:rsidRPr="007122AB" w:rsidRDefault="005E7475" w:rsidP="007122AB">
      <w:pPr>
        <w:pStyle w:val="rtejustify"/>
        <w:spacing w:before="0" w:after="0"/>
        <w:rPr>
          <w:color w:val="000000" w:themeColor="text1"/>
          <w:sz w:val="16"/>
          <w:szCs w:val="16"/>
        </w:rPr>
      </w:pPr>
    </w:p>
    <w:p w14:paraId="43F3405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13 февраля 1931 г. Реввоенсовет СССР, заслушав доклад И.А. </w:t>
      </w:r>
      <w:proofErr w:type="spellStart"/>
      <w:r w:rsidRPr="00441F34">
        <w:rPr>
          <w:rFonts w:ascii="Times New Roman" w:hAnsi="Times New Roman"/>
          <w:color w:val="0070C0"/>
          <w:sz w:val="16"/>
          <w:szCs w:val="16"/>
        </w:rPr>
        <w:t>Халепского</w:t>
      </w:r>
      <w:proofErr w:type="spellEnd"/>
      <w:r w:rsidRPr="00441F34">
        <w:rPr>
          <w:rFonts w:ascii="Times New Roman" w:hAnsi="Times New Roman"/>
          <w:color w:val="0070C0"/>
          <w:sz w:val="16"/>
          <w:szCs w:val="16"/>
        </w:rPr>
        <w:t xml:space="preserve"> о ходе работ по новым танкам, постановил принять 6-тонный танк «Виккерс» на вооружение Красной армии как «основной танк сопровождения общевойсковых частей и соединений, а также танковых частей Резерва Главного Командования»[53].</w:t>
      </w:r>
    </w:p>
    <w:p w14:paraId="65F94F3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Производство этого танка начал ленинградский завод «Большевик», который в течение 1931 г. должен был перейти с танка Т-18 на новую программу[54]. Первоначально Т-26 выпускался в двухбашенной модификации, вооруженный пулеметами. Однобашенный вариант танка был разработан КБ завода «Большевик» под руководством С.А. Гинзбурга в 1931-1932 гг. и отличался от предыдущих образцов танка Т-26 установкой пушки 20К калибра 45 мм и спаренного с ней пулемета ДТ во вращающейся цилиндрической башне. Сборочное и моторное производство были организованы на ленинградском заводе № 174 им.</w:t>
      </w:r>
    </w:p>
    <w:p w14:paraId="286178A8"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Ворошилова, созданного в 1932-1933 гг. на основе танкового производства завода «Большевик»[55]. Т-26 стал самым массовым советским танком и в разных модификациях выпускался вплоть до 1941 года. Всего было выпущено более 11,2 тыс. машин[56] (23536).</w:t>
      </w:r>
    </w:p>
    <w:p w14:paraId="3E5E7FED" w14:textId="77777777" w:rsidR="00225E06" w:rsidRPr="00441F34" w:rsidRDefault="00225E06" w:rsidP="00225E06">
      <w:pPr>
        <w:spacing w:after="0" w:line="240" w:lineRule="auto"/>
        <w:jc w:val="both"/>
        <w:rPr>
          <w:rFonts w:ascii="Times New Roman" w:hAnsi="Times New Roman"/>
          <w:color w:val="0070C0"/>
          <w:sz w:val="16"/>
          <w:szCs w:val="16"/>
        </w:rPr>
      </w:pPr>
    </w:p>
    <w:p w14:paraId="67F0337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4F3A56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1DA2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13 и 19 февраля 1931. Из протокола заседания Политбюро № 26, 1931 г.</w:t>
      </w:r>
    </w:p>
    <w:p w14:paraId="15DDF4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Записка тов. Радека </w:t>
      </w:r>
    </w:p>
    <w:p w14:paraId="7EFAE7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ответ на лживую кампанию буржуазной прессы о принудительном труде в СССР развернуть в прессе, особенно в "Известиях", кампанию по вопросам: а) о социалистической организации труда в СССР; б) об эксплуатации и условиях труда в капиталистических странах, в) о рабстве в колониях Англии, Франции и др. Странах (11652).</w:t>
      </w:r>
    </w:p>
    <w:p w14:paraId="7A86D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0E9AB7"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13 февраля 1931 г.</w:t>
      </w:r>
    </w:p>
    <w:p w14:paraId="25523579"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В. Н. Баркова Ж. Л. Аренсу относительно публикаций о процессе «Промпартии» во французской прессе и переводе стенограммы процесса. 13 февраля 1931 г.</w:t>
      </w:r>
    </w:p>
    <w:p w14:paraId="5DDA3860"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7B1976A" w14:textId="77777777" w:rsidR="00DB6472" w:rsidRPr="007122AB" w:rsidRDefault="00DB64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0A7D80"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47D4FA0" w14:textId="77777777" w:rsidR="00DB6472" w:rsidRPr="007122AB" w:rsidRDefault="00DB64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21-21 об.</w:t>
      </w:r>
    </w:p>
    <w:p w14:paraId="2664627A" w14:textId="77777777" w:rsidR="00DB6472" w:rsidRPr="007122AB" w:rsidRDefault="00DB6472" w:rsidP="007122AB">
      <w:pPr>
        <w:pStyle w:val="rteright"/>
        <w:spacing w:before="0" w:after="0"/>
        <w:jc w:val="both"/>
        <w:rPr>
          <w:color w:val="000000" w:themeColor="text1"/>
          <w:sz w:val="16"/>
          <w:szCs w:val="16"/>
        </w:rPr>
      </w:pPr>
      <w:r w:rsidRPr="007122AB">
        <w:rPr>
          <w:color w:val="000000" w:themeColor="text1"/>
          <w:sz w:val="16"/>
          <w:szCs w:val="16"/>
        </w:rPr>
        <w:t>13 февраля 1931 г.</w:t>
      </w:r>
    </w:p>
    <w:p w14:paraId="7422A262" w14:textId="77777777" w:rsidR="00DB6472" w:rsidRPr="007122AB" w:rsidRDefault="00DB6472"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6FBC6F0D"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Н.К.И.Д.</w:t>
      </w:r>
    </w:p>
    <w:p w14:paraId="2AFD43D4"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ОТДЕЛ ПЕЧАТИ тов. АРЕНСУ</w:t>
      </w:r>
    </w:p>
    <w:p w14:paraId="511FEA77"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5072B7E3"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Перевод стенограммы процесса будет закончен своевременно. Что же касается подписания договора с ВАЛУА, к сожалению у нас представителя «Международной Книги» нет. Считаем целесообразным доверить заключение договора Алексею Алексеевичу Игнатьеву (&lt;...&gt;). С ним еще не договорились, но можно быть уверенным, что он согласится. Пусть Госиздат пришлет доверенность на его имя.</w:t>
      </w:r>
    </w:p>
    <w:p w14:paraId="5C056571"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Прилагаю несколько экз. текста протеста для сбора подписей против интервенции. </w:t>
      </w:r>
      <w:proofErr w:type="spellStart"/>
      <w:r w:rsidRPr="007122AB">
        <w:rPr>
          <w:rFonts w:ascii="Times New Roman" w:hAnsi="Times New Roman"/>
          <w:color w:val="000000" w:themeColor="text1"/>
          <w:sz w:val="16"/>
          <w:szCs w:val="16"/>
        </w:rPr>
        <w:t>Дюшен</w:t>
      </w:r>
      <w:proofErr w:type="spellEnd"/>
      <w:r w:rsidRPr="007122AB">
        <w:rPr>
          <w:rFonts w:ascii="Times New Roman" w:hAnsi="Times New Roman"/>
          <w:color w:val="000000" w:themeColor="text1"/>
          <w:sz w:val="16"/>
          <w:szCs w:val="16"/>
        </w:rPr>
        <w:t xml:space="preserve"> организовала сбор подписей. «Пари Миди» уже напечатала информацию об этом.</w:t>
      </w:r>
    </w:p>
    <w:p w14:paraId="5611820E"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Луиза Вейс согласна опубликовать часть обвинительной речи т. Крыленко. Ей уже сообщено о нашем решении. В одном из ближайших номеров материалы процесса будут опубликованы.</w:t>
      </w:r>
    </w:p>
    <w:p w14:paraId="78B74366"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Расходы на перевод стенограммы и на покупку стенографического отчета в издании Валуа исчерпают все средства особого фонда, поэтому издержки по публикации материалов о процессе в «</w:t>
      </w:r>
      <w:proofErr w:type="spellStart"/>
      <w:r w:rsidRPr="007122AB">
        <w:rPr>
          <w:rFonts w:ascii="Times New Roman" w:hAnsi="Times New Roman"/>
          <w:color w:val="000000" w:themeColor="text1"/>
          <w:sz w:val="16"/>
          <w:szCs w:val="16"/>
        </w:rPr>
        <w:t>Эроп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Нувелль</w:t>
      </w:r>
      <w:proofErr w:type="spellEnd"/>
      <w:r w:rsidRPr="007122AB">
        <w:rPr>
          <w:rFonts w:ascii="Times New Roman" w:hAnsi="Times New Roman"/>
          <w:color w:val="000000" w:themeColor="text1"/>
          <w:sz w:val="16"/>
          <w:szCs w:val="16"/>
        </w:rPr>
        <w:t>» должны быть покрыты специальным ассигнованием, которое просим незамедлительно произвести.</w:t>
      </w:r>
    </w:p>
    <w:p w14:paraId="29A1AAF9"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 </w:t>
      </w:r>
      <w:proofErr w:type="spellStart"/>
      <w:r w:rsidRPr="007122AB">
        <w:rPr>
          <w:rFonts w:ascii="Times New Roman" w:hAnsi="Times New Roman"/>
          <w:color w:val="000000" w:themeColor="text1"/>
          <w:sz w:val="16"/>
          <w:szCs w:val="16"/>
        </w:rPr>
        <w:t>Позина</w:t>
      </w:r>
      <w:proofErr w:type="spellEnd"/>
      <w:r w:rsidRPr="007122AB">
        <w:rPr>
          <w:rFonts w:ascii="Times New Roman" w:hAnsi="Times New Roman"/>
          <w:color w:val="000000" w:themeColor="text1"/>
          <w:sz w:val="16"/>
          <w:szCs w:val="16"/>
        </w:rPr>
        <w:t xml:space="preserve"> заканчивает большую статью о Пятилетке для журнала «Знание и Жизнь». Эта же статья в переработанном виде пойдет в «</w:t>
      </w:r>
      <w:proofErr w:type="spellStart"/>
      <w:r w:rsidRPr="007122AB">
        <w:rPr>
          <w:rFonts w:ascii="Times New Roman" w:hAnsi="Times New Roman"/>
          <w:color w:val="000000" w:themeColor="text1"/>
          <w:sz w:val="16"/>
          <w:szCs w:val="16"/>
        </w:rPr>
        <w:t>Эроп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Нувелль</w:t>
      </w:r>
      <w:proofErr w:type="spellEnd"/>
      <w:r w:rsidRPr="007122AB">
        <w:rPr>
          <w:rFonts w:ascii="Times New Roman" w:hAnsi="Times New Roman"/>
          <w:color w:val="000000" w:themeColor="text1"/>
          <w:sz w:val="16"/>
          <w:szCs w:val="16"/>
        </w:rPr>
        <w:t xml:space="preserve">». Тов. </w:t>
      </w:r>
      <w:proofErr w:type="spellStart"/>
      <w:r w:rsidRPr="007122AB">
        <w:rPr>
          <w:rFonts w:ascii="Times New Roman" w:hAnsi="Times New Roman"/>
          <w:color w:val="000000" w:themeColor="text1"/>
          <w:sz w:val="16"/>
          <w:szCs w:val="16"/>
        </w:rPr>
        <w:t>Позина</w:t>
      </w:r>
      <w:proofErr w:type="spellEnd"/>
      <w:r w:rsidRPr="007122AB">
        <w:rPr>
          <w:rFonts w:ascii="Times New Roman" w:hAnsi="Times New Roman"/>
          <w:color w:val="000000" w:themeColor="text1"/>
          <w:sz w:val="16"/>
          <w:szCs w:val="16"/>
        </w:rPr>
        <w:t xml:space="preserve"> поэтому освобождена от составления очередного реферата, — статья нужна срочно.</w:t>
      </w:r>
    </w:p>
    <w:p w14:paraId="3A28E34E"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«Кайе </w:t>
      </w:r>
      <w:proofErr w:type="spellStart"/>
      <w:r w:rsidRPr="007122AB">
        <w:rPr>
          <w:rFonts w:ascii="Times New Roman" w:hAnsi="Times New Roman"/>
          <w:color w:val="000000" w:themeColor="text1"/>
          <w:sz w:val="16"/>
          <w:szCs w:val="16"/>
        </w:rPr>
        <w:t>Бле</w:t>
      </w:r>
      <w:proofErr w:type="spellEnd"/>
      <w:r w:rsidRPr="007122AB">
        <w:rPr>
          <w:rFonts w:ascii="Times New Roman" w:hAnsi="Times New Roman"/>
          <w:color w:val="000000" w:themeColor="text1"/>
          <w:sz w:val="16"/>
          <w:szCs w:val="16"/>
        </w:rPr>
        <w:t>» послан Вам в одном экз. с последней почтой. Посылаем еще 10 экз. Имя составителя — на обложке. Собираем о нем сведения.</w:t>
      </w:r>
    </w:p>
    <w:p w14:paraId="4DA500CD"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Посылаю небольшое письмецо </w:t>
      </w:r>
      <w:proofErr w:type="spellStart"/>
      <w:r w:rsidRPr="007122AB">
        <w:rPr>
          <w:rFonts w:ascii="Times New Roman" w:hAnsi="Times New Roman"/>
          <w:color w:val="000000" w:themeColor="text1"/>
          <w:sz w:val="16"/>
          <w:szCs w:val="16"/>
        </w:rPr>
        <w:t>Алланди</w:t>
      </w:r>
      <w:proofErr w:type="spellEnd"/>
      <w:r w:rsidRPr="007122AB">
        <w:rPr>
          <w:rFonts w:ascii="Times New Roman" w:hAnsi="Times New Roman"/>
          <w:color w:val="000000" w:themeColor="text1"/>
          <w:sz w:val="16"/>
          <w:szCs w:val="16"/>
        </w:rPr>
        <w:t xml:space="preserve"> с конкретизацией вопросов, которые его интересуют.</w:t>
      </w:r>
    </w:p>
    <w:p w14:paraId="4E1C8DAA"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Статью Арагона отказались напечатать все журналы, с которыми мы связаны. Наконец, журнал «</w:t>
      </w:r>
      <w:proofErr w:type="spellStart"/>
      <w:r w:rsidRPr="007122AB">
        <w:rPr>
          <w:rFonts w:ascii="Times New Roman" w:hAnsi="Times New Roman"/>
          <w:color w:val="000000" w:themeColor="text1"/>
          <w:sz w:val="16"/>
          <w:szCs w:val="16"/>
        </w:rPr>
        <w:t>Нувелль</w:t>
      </w:r>
      <w:proofErr w:type="spellEnd"/>
      <w:r w:rsidRPr="007122AB">
        <w:rPr>
          <w:rFonts w:ascii="Times New Roman" w:hAnsi="Times New Roman"/>
          <w:color w:val="000000" w:themeColor="text1"/>
          <w:sz w:val="16"/>
          <w:szCs w:val="16"/>
        </w:rPr>
        <w:t xml:space="preserve"> Аж» согласился пустить статью, однако Арагон категорически отказался иметь дело с этим журналом.</w:t>
      </w:r>
    </w:p>
    <w:p w14:paraId="3873A0C1"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Пришлите документацию, тезисы для статей о так наз. «принудительном» труде в СССР.</w:t>
      </w:r>
    </w:p>
    <w:p w14:paraId="46EAD877" w14:textId="77777777" w:rsidR="00DB6472" w:rsidRPr="007122AB" w:rsidRDefault="00DB6472" w:rsidP="007122AB">
      <w:pPr>
        <w:numPr>
          <w:ilvl w:val="0"/>
          <w:numId w:val="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Книжку Зигфрида посылаем обычной почтой.</w:t>
      </w:r>
    </w:p>
    <w:p w14:paraId="3A7F2A97"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С тов. приветом В. Барков</w:t>
      </w:r>
    </w:p>
    <w:p w14:paraId="3B91C922"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 xml:space="preserve">ПРИЛОЖЕНИЕ: 1) 10 экз. «протеста», 2) письмо </w:t>
      </w:r>
      <w:proofErr w:type="spellStart"/>
      <w:r w:rsidRPr="007122AB">
        <w:rPr>
          <w:color w:val="000000" w:themeColor="text1"/>
          <w:sz w:val="16"/>
          <w:szCs w:val="16"/>
        </w:rPr>
        <w:t>Алланди</w:t>
      </w:r>
      <w:proofErr w:type="spellEnd"/>
      <w:r w:rsidRPr="007122AB">
        <w:rPr>
          <w:color w:val="000000" w:themeColor="text1"/>
          <w:sz w:val="16"/>
          <w:szCs w:val="16"/>
        </w:rPr>
        <w:t>.</w:t>
      </w:r>
    </w:p>
    <w:p w14:paraId="62DDF4DE" w14:textId="77777777" w:rsidR="00DB6472" w:rsidRPr="007122AB" w:rsidRDefault="00DB6472"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21-21 об. Машинописный подлинник, подпись Баркова — автограф. На Л. 21 вверху справа напечатано «Париж, 13.11.1931 г.», ниже исходящий номер «№ 75/с» (от руки). Гриф секретности машинописью. Вверху листа слева написаны от руки карандашом входящий номер и дата получения документа «18/II-31 г.», ниже «К делу. 25/II» (подпись-росчерк, неразборчиво). На Л. 21 об. рядом с пунктом 10 (о книге Зигфрида) рукописная помета «не получено &lt;Аре&gt;</w:t>
      </w:r>
      <w:proofErr w:type="spellStart"/>
      <w:r w:rsidRPr="007122AB">
        <w:rPr>
          <w:rStyle w:val="af0"/>
          <w:i w:val="0"/>
          <w:color w:val="000000" w:themeColor="text1"/>
          <w:sz w:val="16"/>
          <w:szCs w:val="16"/>
        </w:rPr>
        <w:t>нс</w:t>
      </w:r>
      <w:proofErr w:type="spellEnd"/>
      <w:r w:rsidRPr="007122AB">
        <w:rPr>
          <w:rStyle w:val="af0"/>
          <w:i w:val="0"/>
          <w:color w:val="000000" w:themeColor="text1"/>
          <w:sz w:val="16"/>
          <w:szCs w:val="16"/>
        </w:rPr>
        <w:t>». Внизу листа слева делопроизводственная помета машинописью (столбцом ) «2 экз.: 1 — т. Аренсу 1 — в дело» (18832).</w:t>
      </w:r>
    </w:p>
    <w:p w14:paraId="7807C87B" w14:textId="77777777" w:rsidR="00DB6472" w:rsidRPr="007122AB" w:rsidRDefault="00DB6472" w:rsidP="007122AB">
      <w:pPr>
        <w:spacing w:after="0" w:line="240" w:lineRule="auto"/>
        <w:jc w:val="both"/>
        <w:rPr>
          <w:rFonts w:ascii="Times New Roman" w:hAnsi="Times New Roman"/>
          <w:color w:val="000000" w:themeColor="text1"/>
          <w:sz w:val="16"/>
          <w:szCs w:val="16"/>
        </w:rPr>
      </w:pPr>
    </w:p>
    <w:p w14:paraId="5DA2FCBC"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13 февраля 1931 г.</w:t>
      </w:r>
    </w:p>
    <w:p w14:paraId="50C6A16C"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Д. Г. Штерна Ж. Л. Аренсу с информацией о проделанной работе по освещению процесса «Промпартии» в германской печати. 13 февраля 1931 г.</w:t>
      </w:r>
    </w:p>
    <w:p w14:paraId="6F2B8000"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2DA830C" w14:textId="77777777" w:rsidR="00DB6472" w:rsidRPr="007122AB" w:rsidRDefault="00DB64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E257B9" w14:textId="77777777" w:rsidR="00DB6472" w:rsidRPr="007122AB" w:rsidRDefault="00DB6472" w:rsidP="007122AB">
      <w:pPr>
        <w:pStyle w:val="rteright"/>
        <w:spacing w:before="0" w:after="0"/>
        <w:jc w:val="both"/>
        <w:rPr>
          <w:color w:val="000000" w:themeColor="text1"/>
          <w:sz w:val="16"/>
          <w:szCs w:val="16"/>
        </w:rPr>
      </w:pPr>
      <w:r w:rsidRPr="007122AB">
        <w:rPr>
          <w:color w:val="000000" w:themeColor="text1"/>
          <w:sz w:val="16"/>
          <w:szCs w:val="16"/>
        </w:rPr>
        <w:t>13 февраля 1931 г.</w:t>
      </w:r>
    </w:p>
    <w:p w14:paraId="5D4C317E" w14:textId="77777777" w:rsidR="00DB6472" w:rsidRPr="007122AB" w:rsidRDefault="00DB6472"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4F138E15"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3C3E9744"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483DEB29"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Копии: т. Литвинову, Крестинскому, Штейну</w:t>
      </w:r>
    </w:p>
    <w:p w14:paraId="0A736D79"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093B6BD0"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Согласно Вашему предложению даю краткую сводку всего того, что было достигнуто нами в области процесса «</w:t>
      </w:r>
      <w:proofErr w:type="spellStart"/>
      <w:r w:rsidRPr="007122AB">
        <w:rPr>
          <w:color w:val="000000" w:themeColor="text1"/>
          <w:sz w:val="16"/>
          <w:szCs w:val="16"/>
        </w:rPr>
        <w:t>промпартии</w:t>
      </w:r>
      <w:proofErr w:type="spellEnd"/>
      <w:r w:rsidRPr="007122AB">
        <w:rPr>
          <w:color w:val="000000" w:themeColor="text1"/>
          <w:sz w:val="16"/>
          <w:szCs w:val="16"/>
        </w:rPr>
        <w:t>»[,] причем на попытках, окончившихся безрезультатно, я не останавливаюсь:</w:t>
      </w:r>
    </w:p>
    <w:p w14:paraId="47A3CE86"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1.   Нами была подготовлена поездка Гака, статьи которого в «</w:t>
      </w:r>
      <w:proofErr w:type="spellStart"/>
      <w:r w:rsidRPr="007122AB">
        <w:rPr>
          <w:color w:val="000000" w:themeColor="text1"/>
          <w:sz w:val="16"/>
          <w:szCs w:val="16"/>
        </w:rPr>
        <w:t>Дейтче</w:t>
      </w:r>
      <w:proofErr w:type="spellEnd"/>
      <w:r w:rsidRPr="007122AB">
        <w:rPr>
          <w:color w:val="000000" w:themeColor="text1"/>
          <w:sz w:val="16"/>
          <w:szCs w:val="16"/>
        </w:rPr>
        <w:t xml:space="preserve"> </w:t>
      </w:r>
      <w:proofErr w:type="spellStart"/>
      <w:r w:rsidRPr="007122AB">
        <w:rPr>
          <w:color w:val="000000" w:themeColor="text1"/>
          <w:sz w:val="16"/>
          <w:szCs w:val="16"/>
        </w:rPr>
        <w:t>Тагесцейтунг</w:t>
      </w:r>
      <w:proofErr w:type="spellEnd"/>
      <w:r w:rsidRPr="007122AB">
        <w:rPr>
          <w:color w:val="000000" w:themeColor="text1"/>
          <w:sz w:val="16"/>
          <w:szCs w:val="16"/>
        </w:rPr>
        <w:t>» имели безусловно положительный эффект.</w:t>
      </w:r>
    </w:p>
    <w:p w14:paraId="7236BADA"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2.   Аналогичное относится к Вейнбергу, давшему три корреспонденции в «</w:t>
      </w:r>
      <w:proofErr w:type="spellStart"/>
      <w:r w:rsidRPr="007122AB">
        <w:rPr>
          <w:color w:val="000000" w:themeColor="text1"/>
          <w:sz w:val="16"/>
          <w:szCs w:val="16"/>
        </w:rPr>
        <w:t>Дорт</w:t>
      </w:r>
      <w:proofErr w:type="spellEnd"/>
      <w:r w:rsidRPr="007122AB">
        <w:rPr>
          <w:color w:val="000000" w:themeColor="text1"/>
          <w:sz w:val="16"/>
          <w:szCs w:val="16"/>
        </w:rPr>
        <w:t>[</w:t>
      </w:r>
      <w:proofErr w:type="spellStart"/>
      <w:r w:rsidRPr="007122AB">
        <w:rPr>
          <w:color w:val="000000" w:themeColor="text1"/>
          <w:sz w:val="16"/>
          <w:szCs w:val="16"/>
        </w:rPr>
        <w:t>мундер</w:t>
      </w:r>
      <w:proofErr w:type="spellEnd"/>
      <w:r w:rsidRPr="007122AB">
        <w:rPr>
          <w:color w:val="000000" w:themeColor="text1"/>
          <w:sz w:val="16"/>
          <w:szCs w:val="16"/>
        </w:rPr>
        <w:t>] Ген[</w:t>
      </w:r>
      <w:proofErr w:type="spellStart"/>
      <w:r w:rsidRPr="007122AB">
        <w:rPr>
          <w:color w:val="000000" w:themeColor="text1"/>
          <w:sz w:val="16"/>
          <w:szCs w:val="16"/>
        </w:rPr>
        <w:t>ераль</w:t>
      </w:r>
      <w:proofErr w:type="spellEnd"/>
      <w:r w:rsidRPr="007122AB">
        <w:rPr>
          <w:color w:val="000000" w:themeColor="text1"/>
          <w:sz w:val="16"/>
          <w:szCs w:val="16"/>
        </w:rPr>
        <w:t xml:space="preserve">] </w:t>
      </w:r>
      <w:proofErr w:type="spellStart"/>
      <w:r w:rsidRPr="007122AB">
        <w:rPr>
          <w:color w:val="000000" w:themeColor="text1"/>
          <w:sz w:val="16"/>
          <w:szCs w:val="16"/>
        </w:rPr>
        <w:t>Анц</w:t>
      </w:r>
      <w:proofErr w:type="spellEnd"/>
      <w:r w:rsidRPr="007122AB">
        <w:rPr>
          <w:color w:val="000000" w:themeColor="text1"/>
          <w:sz w:val="16"/>
          <w:szCs w:val="16"/>
        </w:rPr>
        <w:t>[</w:t>
      </w:r>
      <w:proofErr w:type="spellStart"/>
      <w:r w:rsidRPr="007122AB">
        <w:rPr>
          <w:color w:val="000000" w:themeColor="text1"/>
          <w:sz w:val="16"/>
          <w:szCs w:val="16"/>
        </w:rPr>
        <w:t>ейгер</w:t>
      </w:r>
      <w:proofErr w:type="spellEnd"/>
      <w:r w:rsidRPr="007122AB">
        <w:rPr>
          <w:color w:val="000000" w:themeColor="text1"/>
          <w:sz w:val="16"/>
          <w:szCs w:val="16"/>
        </w:rPr>
        <w:t>]» и уделяющему место процессу в печатающейся теперь серии статей.</w:t>
      </w:r>
    </w:p>
    <w:p w14:paraId="38AB24AC"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3.   Подготовлена к изданию брошюра Вейнберга, заключительная часть которой посвящена процессу.</w:t>
      </w:r>
    </w:p>
    <w:p w14:paraId="18AAAE7B"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4.   Пишется роман, к изданию которого уже предприняты предварительные шаги. Затяжка произошла не по нашей вине, т. к. окончательное одобрение было получено нами лишь в начале этого месяца. Роман, вероятнее всего, будет также помещен в какой-нибудь правой газете в качестве фельетона.</w:t>
      </w:r>
    </w:p>
    <w:p w14:paraId="66F46FE9"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 xml:space="preserve">5.   В мартовском номере журнала «Ди Тат» будет напечатана статья </w:t>
      </w:r>
      <w:proofErr w:type="spellStart"/>
      <w:r w:rsidRPr="007122AB">
        <w:rPr>
          <w:color w:val="000000" w:themeColor="text1"/>
          <w:sz w:val="16"/>
          <w:szCs w:val="16"/>
        </w:rPr>
        <w:t>Германикуса</w:t>
      </w:r>
      <w:proofErr w:type="spellEnd"/>
      <w:r w:rsidRPr="007122AB">
        <w:rPr>
          <w:color w:val="000000" w:themeColor="text1"/>
          <w:sz w:val="16"/>
          <w:szCs w:val="16"/>
        </w:rPr>
        <w:t>, в которой центральное место занимает процесс «</w:t>
      </w:r>
      <w:proofErr w:type="spellStart"/>
      <w:r w:rsidRPr="007122AB">
        <w:rPr>
          <w:color w:val="000000" w:themeColor="text1"/>
          <w:sz w:val="16"/>
          <w:szCs w:val="16"/>
        </w:rPr>
        <w:t>промпартии</w:t>
      </w:r>
      <w:proofErr w:type="spellEnd"/>
      <w:r w:rsidRPr="007122AB">
        <w:rPr>
          <w:color w:val="000000" w:themeColor="text1"/>
          <w:sz w:val="16"/>
          <w:szCs w:val="16"/>
        </w:rPr>
        <w:t>».</w:t>
      </w:r>
    </w:p>
    <w:p w14:paraId="4A762592"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6.   Журнал «</w:t>
      </w:r>
      <w:proofErr w:type="spellStart"/>
      <w:r w:rsidRPr="007122AB">
        <w:rPr>
          <w:color w:val="000000" w:themeColor="text1"/>
          <w:sz w:val="16"/>
          <w:szCs w:val="16"/>
        </w:rPr>
        <w:t>Дейтче</w:t>
      </w:r>
      <w:proofErr w:type="spellEnd"/>
      <w:r w:rsidRPr="007122AB">
        <w:rPr>
          <w:color w:val="000000" w:themeColor="text1"/>
          <w:sz w:val="16"/>
          <w:szCs w:val="16"/>
        </w:rPr>
        <w:t xml:space="preserve"> </w:t>
      </w:r>
      <w:proofErr w:type="spellStart"/>
      <w:r w:rsidRPr="007122AB">
        <w:rPr>
          <w:color w:val="000000" w:themeColor="text1"/>
          <w:sz w:val="16"/>
          <w:szCs w:val="16"/>
        </w:rPr>
        <w:t>Републик</w:t>
      </w:r>
      <w:proofErr w:type="spellEnd"/>
      <w:r w:rsidRPr="007122AB">
        <w:rPr>
          <w:color w:val="000000" w:themeColor="text1"/>
          <w:sz w:val="16"/>
          <w:szCs w:val="16"/>
        </w:rPr>
        <w:t>» поместил весьма положительную статью, пущенную по нашему каналу.</w:t>
      </w:r>
    </w:p>
    <w:p w14:paraId="318C2968"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7.   Статья о процессе была напечатана в правом органе «</w:t>
      </w:r>
      <w:proofErr w:type="spellStart"/>
      <w:r w:rsidRPr="007122AB">
        <w:rPr>
          <w:color w:val="000000" w:themeColor="text1"/>
          <w:sz w:val="16"/>
          <w:szCs w:val="16"/>
        </w:rPr>
        <w:t>Дейтче</w:t>
      </w:r>
      <w:proofErr w:type="spellEnd"/>
      <w:r w:rsidRPr="007122AB">
        <w:rPr>
          <w:color w:val="000000" w:themeColor="text1"/>
          <w:sz w:val="16"/>
          <w:szCs w:val="16"/>
        </w:rPr>
        <w:t xml:space="preserve"> </w:t>
      </w:r>
      <w:proofErr w:type="spellStart"/>
      <w:r w:rsidRPr="007122AB">
        <w:rPr>
          <w:color w:val="000000" w:themeColor="text1"/>
          <w:sz w:val="16"/>
          <w:szCs w:val="16"/>
        </w:rPr>
        <w:t>Форвертс</w:t>
      </w:r>
      <w:proofErr w:type="spellEnd"/>
      <w:r w:rsidRPr="007122AB">
        <w:rPr>
          <w:color w:val="000000" w:themeColor="text1"/>
          <w:sz w:val="16"/>
          <w:szCs w:val="16"/>
        </w:rPr>
        <w:t>».</w:t>
      </w:r>
    </w:p>
    <w:p w14:paraId="691D4CAD"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8.   Журнал «</w:t>
      </w:r>
      <w:proofErr w:type="spellStart"/>
      <w:r w:rsidRPr="007122AB">
        <w:rPr>
          <w:color w:val="000000" w:themeColor="text1"/>
          <w:sz w:val="16"/>
          <w:szCs w:val="16"/>
        </w:rPr>
        <w:t>Цейтшрифт</w:t>
      </w:r>
      <w:proofErr w:type="spellEnd"/>
      <w:r w:rsidRPr="007122AB">
        <w:rPr>
          <w:color w:val="000000" w:themeColor="text1"/>
          <w:sz w:val="16"/>
          <w:szCs w:val="16"/>
        </w:rPr>
        <w:t xml:space="preserve"> </w:t>
      </w:r>
      <w:proofErr w:type="spellStart"/>
      <w:r w:rsidRPr="007122AB">
        <w:rPr>
          <w:color w:val="000000" w:themeColor="text1"/>
          <w:sz w:val="16"/>
          <w:szCs w:val="16"/>
        </w:rPr>
        <w:t>фюр</w:t>
      </w:r>
      <w:proofErr w:type="spellEnd"/>
      <w:r w:rsidRPr="007122AB">
        <w:rPr>
          <w:color w:val="000000" w:themeColor="text1"/>
          <w:sz w:val="16"/>
          <w:szCs w:val="16"/>
        </w:rPr>
        <w:t xml:space="preserve"> политик» поместит статью тов. Луначарского (в ближайшем номере). Статья первоначально предназначалась т. Виноградовым для [«]Ост </w:t>
      </w:r>
      <w:proofErr w:type="spellStart"/>
      <w:r w:rsidRPr="007122AB">
        <w:rPr>
          <w:color w:val="000000" w:themeColor="text1"/>
          <w:sz w:val="16"/>
          <w:szCs w:val="16"/>
        </w:rPr>
        <w:t>Еуропы</w:t>
      </w:r>
      <w:proofErr w:type="spellEnd"/>
      <w:r w:rsidRPr="007122AB">
        <w:rPr>
          <w:color w:val="000000" w:themeColor="text1"/>
          <w:sz w:val="16"/>
          <w:szCs w:val="16"/>
        </w:rPr>
        <w:t>[»] и с его согласия будет напечатана в журнале Грабовского.</w:t>
      </w:r>
    </w:p>
    <w:p w14:paraId="24137725"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9.   Одновременно следует отметить, что во время и после процесса мною была произведена большая работа по индивидуальному разъяснению смысла процесса ряду серьезных журналистов.</w:t>
      </w:r>
    </w:p>
    <w:p w14:paraId="19CE884E"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10.   Параллельно с этим необходимо отметить, что материалы, полученные нами из Москвы[,] прибыли с большим опозданием и вследствие своего сухого и академического характера не могли быть нами использованы.</w:t>
      </w:r>
    </w:p>
    <w:p w14:paraId="234FE537"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4B193064"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Д. Штерн</w:t>
      </w:r>
    </w:p>
    <w:p w14:paraId="20625C20" w14:textId="77777777" w:rsidR="00DB6472" w:rsidRPr="007122AB" w:rsidRDefault="00DB6472"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33. Д. 8. Л. 148. Машинописный подлинник на бланке Полпредства СССР в Германии, подпись Штерна — автограф. Гриф секретности и дата «Берлин, 13 февраля 31 г.» машинописью, исходящий «№ 299» от руки в графе бланка. Вверху листа написаны от руки входящий номер и дата получения документа «16/11-31 г.», подпись-росчерк Миронова. На поле слева вверху рукописная помета «</w:t>
      </w:r>
      <w:proofErr w:type="spellStart"/>
      <w:r w:rsidRPr="007122AB">
        <w:rPr>
          <w:rStyle w:val="af0"/>
          <w:i w:val="0"/>
          <w:color w:val="000000" w:themeColor="text1"/>
          <w:sz w:val="16"/>
          <w:szCs w:val="16"/>
        </w:rPr>
        <w:t>Проц</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есс</w:t>
      </w:r>
      <w:proofErr w:type="spellEnd"/>
      <w:r w:rsidRPr="007122AB">
        <w:rPr>
          <w:rStyle w:val="af0"/>
          <w:i w:val="0"/>
          <w:color w:val="000000" w:themeColor="text1"/>
          <w:sz w:val="16"/>
          <w:szCs w:val="16"/>
        </w:rPr>
        <w:t>]» и нечитаемая резолюция Аренса (?) карандашом напротив последнего абзаца письма (18897).</w:t>
      </w:r>
    </w:p>
    <w:p w14:paraId="7874EB66" w14:textId="77777777" w:rsidR="00DB6472" w:rsidRPr="007122AB" w:rsidRDefault="00DB6472" w:rsidP="007122AB">
      <w:pPr>
        <w:spacing w:after="0" w:line="240" w:lineRule="auto"/>
        <w:jc w:val="both"/>
        <w:rPr>
          <w:rFonts w:ascii="Times New Roman" w:hAnsi="Times New Roman"/>
          <w:color w:val="000000" w:themeColor="text1"/>
          <w:sz w:val="16"/>
          <w:szCs w:val="16"/>
        </w:rPr>
      </w:pPr>
    </w:p>
    <w:p w14:paraId="3877959A"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13 февраля 1931 г.</w:t>
      </w:r>
    </w:p>
    <w:p w14:paraId="5EB2FE00"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Д. Г. Штерна Ж. Л. Аренсу о политических правках текста брошюры Вейнберга. 13 февраля 1931 г.</w:t>
      </w:r>
    </w:p>
    <w:p w14:paraId="13C723AA" w14:textId="77777777" w:rsidR="00DB6472" w:rsidRPr="007122AB" w:rsidRDefault="00DB647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59AFE62E" w14:textId="77777777" w:rsidR="00DB6472" w:rsidRPr="007122AB" w:rsidRDefault="00DB64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1E601B" w14:textId="77777777" w:rsidR="00DB6472" w:rsidRPr="007122AB" w:rsidRDefault="00DB6472" w:rsidP="007122AB">
      <w:pPr>
        <w:pStyle w:val="rteright"/>
        <w:spacing w:before="0" w:after="0"/>
        <w:jc w:val="both"/>
        <w:rPr>
          <w:color w:val="000000" w:themeColor="text1"/>
          <w:sz w:val="16"/>
          <w:szCs w:val="16"/>
        </w:rPr>
      </w:pPr>
      <w:r w:rsidRPr="007122AB">
        <w:rPr>
          <w:color w:val="000000" w:themeColor="text1"/>
          <w:sz w:val="16"/>
          <w:szCs w:val="16"/>
        </w:rPr>
        <w:t>13 февраля 1931 г.</w:t>
      </w:r>
    </w:p>
    <w:p w14:paraId="4459CD24" w14:textId="77777777" w:rsidR="00DB6472" w:rsidRPr="007122AB" w:rsidRDefault="00DB6472"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441FB60B"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0F97A748"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тов. Аренсу</w:t>
      </w:r>
    </w:p>
    <w:p w14:paraId="47F91C1E"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Копия: т. Крестинскому </w:t>
      </w:r>
    </w:p>
    <w:p w14:paraId="3AB8961F" w14:textId="77777777" w:rsidR="00DB6472" w:rsidRPr="007122AB" w:rsidRDefault="00DB6472"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5663FA54"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Брошюра Вейнберга уже начинает принимать конкретный характер. В[</w:t>
      </w:r>
      <w:proofErr w:type="spellStart"/>
      <w:r w:rsidRPr="007122AB">
        <w:rPr>
          <w:color w:val="000000" w:themeColor="text1"/>
          <w:sz w:val="16"/>
          <w:szCs w:val="16"/>
        </w:rPr>
        <w:t>ейнберг</w:t>
      </w:r>
      <w:proofErr w:type="spellEnd"/>
      <w:r w:rsidRPr="007122AB">
        <w:rPr>
          <w:color w:val="000000" w:themeColor="text1"/>
          <w:sz w:val="16"/>
          <w:szCs w:val="16"/>
        </w:rPr>
        <w:t>] в первую очередь помещает серию статей в «</w:t>
      </w:r>
      <w:proofErr w:type="spellStart"/>
      <w:r w:rsidRPr="007122AB">
        <w:rPr>
          <w:color w:val="000000" w:themeColor="text1"/>
          <w:sz w:val="16"/>
          <w:szCs w:val="16"/>
        </w:rPr>
        <w:t>Дортмундер</w:t>
      </w:r>
      <w:proofErr w:type="spellEnd"/>
      <w:r w:rsidRPr="007122AB">
        <w:rPr>
          <w:color w:val="000000" w:themeColor="text1"/>
          <w:sz w:val="16"/>
          <w:szCs w:val="16"/>
        </w:rPr>
        <w:t xml:space="preserve"> </w:t>
      </w:r>
      <w:proofErr w:type="spellStart"/>
      <w:r w:rsidRPr="007122AB">
        <w:rPr>
          <w:color w:val="000000" w:themeColor="text1"/>
          <w:sz w:val="16"/>
          <w:szCs w:val="16"/>
        </w:rPr>
        <w:t>Генераль</w:t>
      </w:r>
      <w:proofErr w:type="spellEnd"/>
      <w:r w:rsidRPr="007122AB">
        <w:rPr>
          <w:color w:val="000000" w:themeColor="text1"/>
          <w:sz w:val="16"/>
          <w:szCs w:val="16"/>
        </w:rPr>
        <w:t xml:space="preserve"> </w:t>
      </w:r>
      <w:proofErr w:type="spellStart"/>
      <w:r w:rsidRPr="007122AB">
        <w:rPr>
          <w:color w:val="000000" w:themeColor="text1"/>
          <w:sz w:val="16"/>
          <w:szCs w:val="16"/>
        </w:rPr>
        <w:t>Анцейгер</w:t>
      </w:r>
      <w:proofErr w:type="spellEnd"/>
      <w:r w:rsidRPr="007122AB">
        <w:rPr>
          <w:color w:val="000000" w:themeColor="text1"/>
          <w:sz w:val="16"/>
          <w:szCs w:val="16"/>
        </w:rPr>
        <w:t>», причем брошюра явится несколько расширенным воспроизведением этой серии. Манускрипт брошюры находится у меня в руках и пересылается Вам с этой почтой. Манускрипт передан мне самим В[</w:t>
      </w:r>
      <w:proofErr w:type="spellStart"/>
      <w:r w:rsidRPr="007122AB">
        <w:rPr>
          <w:color w:val="000000" w:themeColor="text1"/>
          <w:sz w:val="16"/>
          <w:szCs w:val="16"/>
        </w:rPr>
        <w:t>ейнбергом</w:t>
      </w:r>
      <w:proofErr w:type="spellEnd"/>
      <w:r w:rsidRPr="007122AB">
        <w:rPr>
          <w:color w:val="000000" w:themeColor="text1"/>
          <w:sz w:val="16"/>
          <w:szCs w:val="16"/>
        </w:rPr>
        <w:t>], сегодня приехавшим в Берлин. Об общей структуре брошюры у меня была с ним договоренность и брошюра в общем удовлетворительна. Первые ее главы описывают советские бытовые условия в достаточно мрачных красках, однако, я согласен с В[</w:t>
      </w:r>
      <w:proofErr w:type="spellStart"/>
      <w:r w:rsidRPr="007122AB">
        <w:rPr>
          <w:color w:val="000000" w:themeColor="text1"/>
          <w:sz w:val="16"/>
          <w:szCs w:val="16"/>
        </w:rPr>
        <w:t>ейнбергом</w:t>
      </w:r>
      <w:proofErr w:type="spellEnd"/>
      <w:r w:rsidRPr="007122AB">
        <w:rPr>
          <w:color w:val="000000" w:themeColor="text1"/>
          <w:sz w:val="16"/>
          <w:szCs w:val="16"/>
        </w:rPr>
        <w:t>], что в противном случае брошюра была бы заподозрена в тенденциозности.</w:t>
      </w:r>
    </w:p>
    <w:p w14:paraId="548744E7"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Дальнейшие главы представляю[т], по[-]моему, положительный интерес, в частности глава о положении женщины и ликвидации религии. Процессу в брошюре уделено 8 страниц (печатных, вероятно, 15, т. е. около 20 % всего издания). В этой главе я признал неприемлемыми два места. Одно из них находится на 30 стр., в конце ее. В этом месте В[</w:t>
      </w:r>
      <w:proofErr w:type="spellStart"/>
      <w:r w:rsidRPr="007122AB">
        <w:rPr>
          <w:color w:val="000000" w:themeColor="text1"/>
          <w:sz w:val="16"/>
          <w:szCs w:val="16"/>
        </w:rPr>
        <w:t>ейнберг</w:t>
      </w:r>
      <w:proofErr w:type="spellEnd"/>
      <w:r w:rsidRPr="007122AB">
        <w:rPr>
          <w:color w:val="000000" w:themeColor="text1"/>
          <w:sz w:val="16"/>
          <w:szCs w:val="16"/>
        </w:rPr>
        <w:t>] описывает, как к нему подошел во время процесса человек, назвавшийся американским журналистом и оказавшийся[,] по твердым убеждениям В[</w:t>
      </w:r>
      <w:proofErr w:type="spellStart"/>
      <w:r w:rsidRPr="007122AB">
        <w:rPr>
          <w:color w:val="000000" w:themeColor="text1"/>
          <w:sz w:val="16"/>
          <w:szCs w:val="16"/>
        </w:rPr>
        <w:t>ейнберга</w:t>
      </w:r>
      <w:proofErr w:type="spellEnd"/>
      <w:r w:rsidRPr="007122AB">
        <w:rPr>
          <w:color w:val="000000" w:themeColor="text1"/>
          <w:sz w:val="16"/>
          <w:szCs w:val="16"/>
        </w:rPr>
        <w:t>,] агентом ГПУ. Это место после долгих споров В[</w:t>
      </w:r>
      <w:proofErr w:type="spellStart"/>
      <w:r w:rsidRPr="007122AB">
        <w:rPr>
          <w:color w:val="000000" w:themeColor="text1"/>
          <w:sz w:val="16"/>
          <w:szCs w:val="16"/>
        </w:rPr>
        <w:t>ейнбергом</w:t>
      </w:r>
      <w:proofErr w:type="spellEnd"/>
      <w:r w:rsidRPr="007122AB">
        <w:rPr>
          <w:color w:val="000000" w:themeColor="text1"/>
          <w:sz w:val="16"/>
          <w:szCs w:val="16"/>
        </w:rPr>
        <w:t>] вычеркнуто (в пересылаемой Вам рукописи это место взято в скобки). Далее в конце 35-ой стр., опять-таки, вычеркнуто место, в котором В[</w:t>
      </w:r>
      <w:proofErr w:type="spellStart"/>
      <w:r w:rsidRPr="007122AB">
        <w:rPr>
          <w:color w:val="000000" w:themeColor="text1"/>
          <w:sz w:val="16"/>
          <w:szCs w:val="16"/>
        </w:rPr>
        <w:t>ейнберг</w:t>
      </w:r>
      <w:proofErr w:type="spellEnd"/>
      <w:r w:rsidRPr="007122AB">
        <w:rPr>
          <w:color w:val="000000" w:themeColor="text1"/>
          <w:sz w:val="16"/>
          <w:szCs w:val="16"/>
        </w:rPr>
        <w:t>] считает не исключенным, что Рамзин являлся агентом ГПУ. Кроме того, несколько выше мною вставлены два слова, меняющие смысл.</w:t>
      </w:r>
    </w:p>
    <w:p w14:paraId="646B2A55"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Просьба в срочном порядке сообщить мне Ваше мнение о произведении Вейнберга. Мне лично оно представляется в общем приемлемым.</w:t>
      </w:r>
    </w:p>
    <w:p w14:paraId="7E43E59A"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Что касается издания брошюры, то В[</w:t>
      </w:r>
      <w:proofErr w:type="spellStart"/>
      <w:r w:rsidRPr="007122AB">
        <w:rPr>
          <w:color w:val="000000" w:themeColor="text1"/>
          <w:sz w:val="16"/>
          <w:szCs w:val="16"/>
        </w:rPr>
        <w:t>ейнберг</w:t>
      </w:r>
      <w:proofErr w:type="spellEnd"/>
      <w:r w:rsidRPr="007122AB">
        <w:rPr>
          <w:color w:val="000000" w:themeColor="text1"/>
          <w:sz w:val="16"/>
          <w:szCs w:val="16"/>
        </w:rPr>
        <w:t xml:space="preserve">] сегодня начинает переговоры с </w:t>
      </w:r>
      <w:proofErr w:type="spellStart"/>
      <w:r w:rsidRPr="007122AB">
        <w:rPr>
          <w:color w:val="000000" w:themeColor="text1"/>
          <w:sz w:val="16"/>
          <w:szCs w:val="16"/>
        </w:rPr>
        <w:t>Ровольтом</w:t>
      </w:r>
      <w:proofErr w:type="spellEnd"/>
      <w:r w:rsidRPr="007122AB">
        <w:rPr>
          <w:color w:val="000000" w:themeColor="text1"/>
          <w:sz w:val="16"/>
          <w:szCs w:val="16"/>
        </w:rPr>
        <w:t xml:space="preserve">, Фишером и </w:t>
      </w:r>
      <w:proofErr w:type="spellStart"/>
      <w:r w:rsidRPr="007122AB">
        <w:rPr>
          <w:color w:val="000000" w:themeColor="text1"/>
          <w:sz w:val="16"/>
          <w:szCs w:val="16"/>
        </w:rPr>
        <w:t>Кипенгоером</w:t>
      </w:r>
      <w:proofErr w:type="spellEnd"/>
      <w:r w:rsidRPr="007122AB">
        <w:rPr>
          <w:color w:val="000000" w:themeColor="text1"/>
          <w:sz w:val="16"/>
          <w:szCs w:val="16"/>
        </w:rPr>
        <w:t xml:space="preserve">. Брошюра в продаже должна стоить очень дешево, ориентировочно 60-70 </w:t>
      </w:r>
      <w:proofErr w:type="spellStart"/>
      <w:r w:rsidRPr="007122AB">
        <w:rPr>
          <w:color w:val="000000" w:themeColor="text1"/>
          <w:sz w:val="16"/>
          <w:szCs w:val="16"/>
        </w:rPr>
        <w:t>пф</w:t>
      </w:r>
      <w:proofErr w:type="spellEnd"/>
      <w:r w:rsidRPr="007122AB">
        <w:rPr>
          <w:color w:val="000000" w:themeColor="text1"/>
          <w:sz w:val="16"/>
          <w:szCs w:val="16"/>
        </w:rPr>
        <w:t>[</w:t>
      </w:r>
      <w:proofErr w:type="spellStart"/>
      <w:r w:rsidRPr="007122AB">
        <w:rPr>
          <w:color w:val="000000" w:themeColor="text1"/>
          <w:sz w:val="16"/>
          <w:szCs w:val="16"/>
        </w:rPr>
        <w:t>енингов</w:t>
      </w:r>
      <w:proofErr w:type="spellEnd"/>
      <w:r w:rsidRPr="007122AB">
        <w:rPr>
          <w:color w:val="000000" w:themeColor="text1"/>
          <w:sz w:val="16"/>
          <w:szCs w:val="16"/>
        </w:rPr>
        <w:t>]. Что касается нашего участия в расходах по изданию, то пока точных данных у меня нет, но предполагаю, что речь должна будет идти приблизительно о 800-1000 марок.</w:t>
      </w:r>
    </w:p>
    <w:p w14:paraId="0DCC4646"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На мой вопрос, откуда В[</w:t>
      </w:r>
      <w:proofErr w:type="spellStart"/>
      <w:r w:rsidRPr="007122AB">
        <w:rPr>
          <w:color w:val="000000" w:themeColor="text1"/>
          <w:sz w:val="16"/>
          <w:szCs w:val="16"/>
        </w:rPr>
        <w:t>ейнберг</w:t>
      </w:r>
      <w:proofErr w:type="spellEnd"/>
      <w:r w:rsidRPr="007122AB">
        <w:rPr>
          <w:color w:val="000000" w:themeColor="text1"/>
          <w:sz w:val="16"/>
          <w:szCs w:val="16"/>
        </w:rPr>
        <w:t>] взял, что подходивший к нему на процессе американец является агентом ГПУ, В[</w:t>
      </w:r>
      <w:proofErr w:type="spellStart"/>
      <w:r w:rsidRPr="007122AB">
        <w:rPr>
          <w:color w:val="000000" w:themeColor="text1"/>
          <w:sz w:val="16"/>
          <w:szCs w:val="16"/>
        </w:rPr>
        <w:t>ейнберг</w:t>
      </w:r>
      <w:proofErr w:type="spellEnd"/>
      <w:r w:rsidRPr="007122AB">
        <w:rPr>
          <w:color w:val="000000" w:themeColor="text1"/>
          <w:sz w:val="16"/>
          <w:szCs w:val="16"/>
        </w:rPr>
        <w:t>] ответил следующее: американец, по фамилии G. А. Трон, назвавший себя представителем «</w:t>
      </w:r>
      <w:proofErr w:type="spellStart"/>
      <w:r w:rsidRPr="007122AB">
        <w:rPr>
          <w:color w:val="000000" w:themeColor="text1"/>
          <w:sz w:val="16"/>
          <w:szCs w:val="16"/>
        </w:rPr>
        <w:t>Ньюиорк</w:t>
      </w:r>
      <w:proofErr w:type="spellEnd"/>
      <w:r w:rsidRPr="007122AB">
        <w:rPr>
          <w:color w:val="000000" w:themeColor="text1"/>
          <w:sz w:val="16"/>
          <w:szCs w:val="16"/>
        </w:rPr>
        <w:t xml:space="preserve"> Геральд»[,] позже дал В[</w:t>
      </w:r>
      <w:proofErr w:type="spellStart"/>
      <w:r w:rsidRPr="007122AB">
        <w:rPr>
          <w:color w:val="000000" w:themeColor="text1"/>
          <w:sz w:val="16"/>
          <w:szCs w:val="16"/>
        </w:rPr>
        <w:t>ейнбергу</w:t>
      </w:r>
      <w:proofErr w:type="spellEnd"/>
      <w:r w:rsidRPr="007122AB">
        <w:rPr>
          <w:color w:val="000000" w:themeColor="text1"/>
          <w:sz w:val="16"/>
          <w:szCs w:val="16"/>
        </w:rPr>
        <w:t>] визитную карточку, где назывался представителем «</w:t>
      </w:r>
      <w:proofErr w:type="spellStart"/>
      <w:r w:rsidRPr="007122AB">
        <w:rPr>
          <w:color w:val="000000" w:themeColor="text1"/>
          <w:sz w:val="16"/>
          <w:szCs w:val="16"/>
        </w:rPr>
        <w:t>Инт</w:t>
      </w:r>
      <w:proofErr w:type="spellEnd"/>
      <w:r w:rsidRPr="007122AB">
        <w:rPr>
          <w:color w:val="000000" w:themeColor="text1"/>
          <w:sz w:val="16"/>
          <w:szCs w:val="16"/>
        </w:rPr>
        <w:t>[</w:t>
      </w:r>
      <w:proofErr w:type="spellStart"/>
      <w:r w:rsidRPr="007122AB">
        <w:rPr>
          <w:color w:val="000000" w:themeColor="text1"/>
          <w:sz w:val="16"/>
          <w:szCs w:val="16"/>
        </w:rPr>
        <w:t>ернешнл</w:t>
      </w:r>
      <w:proofErr w:type="spellEnd"/>
      <w:r w:rsidRPr="007122AB">
        <w:rPr>
          <w:color w:val="000000" w:themeColor="text1"/>
          <w:sz w:val="16"/>
          <w:szCs w:val="16"/>
        </w:rPr>
        <w:t xml:space="preserve">] </w:t>
      </w:r>
      <w:proofErr w:type="spellStart"/>
      <w:r w:rsidRPr="007122AB">
        <w:rPr>
          <w:color w:val="000000" w:themeColor="text1"/>
          <w:sz w:val="16"/>
          <w:szCs w:val="16"/>
        </w:rPr>
        <w:t>Дженераль</w:t>
      </w:r>
      <w:proofErr w:type="spellEnd"/>
      <w:r w:rsidRPr="007122AB">
        <w:rPr>
          <w:color w:val="000000" w:themeColor="text1"/>
          <w:sz w:val="16"/>
          <w:szCs w:val="16"/>
        </w:rPr>
        <w:t xml:space="preserve"> Электрик». Свой адрес он указал Гранд Отель, коми. 501. Я высмеял В[</w:t>
      </w:r>
      <w:proofErr w:type="spellStart"/>
      <w:r w:rsidRPr="007122AB">
        <w:rPr>
          <w:color w:val="000000" w:themeColor="text1"/>
          <w:sz w:val="16"/>
          <w:szCs w:val="16"/>
        </w:rPr>
        <w:t>ейнберга</w:t>
      </w:r>
      <w:proofErr w:type="spellEnd"/>
      <w:r w:rsidRPr="007122AB">
        <w:rPr>
          <w:color w:val="000000" w:themeColor="text1"/>
          <w:sz w:val="16"/>
          <w:szCs w:val="16"/>
        </w:rPr>
        <w:t>] и его подозрительность.</w:t>
      </w:r>
    </w:p>
    <w:p w14:paraId="70B0B2AF"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Жду от Вас срочного ответа относительно брошюры, предпочтительно телеграфного.</w:t>
      </w:r>
    </w:p>
    <w:p w14:paraId="45C3D9D0"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0587CC52" w14:textId="77777777" w:rsidR="00DB6472" w:rsidRPr="007122AB" w:rsidRDefault="00DB6472" w:rsidP="007122AB">
      <w:pPr>
        <w:pStyle w:val="rtejustify"/>
        <w:spacing w:before="0" w:after="0"/>
        <w:rPr>
          <w:color w:val="000000" w:themeColor="text1"/>
          <w:sz w:val="16"/>
          <w:szCs w:val="16"/>
        </w:rPr>
      </w:pPr>
      <w:r w:rsidRPr="007122AB">
        <w:rPr>
          <w:color w:val="000000" w:themeColor="text1"/>
          <w:sz w:val="16"/>
          <w:szCs w:val="16"/>
        </w:rPr>
        <w:t>Д. Штерн</w:t>
      </w:r>
    </w:p>
    <w:p w14:paraId="45B60B67" w14:textId="77777777" w:rsidR="00DB6472" w:rsidRPr="007122AB" w:rsidRDefault="00DB6472"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33. Д. 8. Л. 147. Машинописный подлинник, на бланке Полпредства СССР в Германии, подпись Штерна — автограф. Гриф секретности и дата «Берлин, 13.11.31 т.» машинописью, исходящий «№ 300» от руки в графе бланка. Вверху листа написаны от руки входящий номер и дата получения документа «16/11-31 г.» (18898).</w:t>
      </w:r>
    </w:p>
    <w:p w14:paraId="73E04F4C" w14:textId="77777777" w:rsidR="00DB6472" w:rsidRPr="007122AB" w:rsidRDefault="00DB6472" w:rsidP="007122AB">
      <w:pPr>
        <w:spacing w:after="0" w:line="240" w:lineRule="auto"/>
        <w:jc w:val="both"/>
        <w:rPr>
          <w:rFonts w:ascii="Times New Roman" w:hAnsi="Times New Roman"/>
          <w:color w:val="000000" w:themeColor="text1"/>
          <w:sz w:val="16"/>
          <w:szCs w:val="16"/>
        </w:rPr>
      </w:pPr>
    </w:p>
    <w:p w14:paraId="7F4F117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75EE46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6DA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февраля 1931 состоялся Первый полет пассажирского самолета К-5 с двигателем М-22 (10674).</w:t>
      </w:r>
    </w:p>
    <w:p w14:paraId="3FD3C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BE4D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EA4956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04C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14 февраля 1931 в Испании правительство г </w:t>
      </w:r>
      <w:proofErr w:type="spellStart"/>
      <w:r w:rsidRPr="007122AB">
        <w:rPr>
          <w:rFonts w:ascii="Times New Roman" w:hAnsi="Times New Roman"/>
          <w:color w:val="000000" w:themeColor="text1"/>
          <w:sz w:val="16"/>
          <w:szCs w:val="16"/>
        </w:rPr>
        <w:t>Беренгера</w:t>
      </w:r>
      <w:proofErr w:type="spellEnd"/>
      <w:r w:rsidRPr="007122AB">
        <w:rPr>
          <w:rFonts w:ascii="Times New Roman" w:hAnsi="Times New Roman"/>
          <w:color w:val="000000" w:themeColor="text1"/>
          <w:sz w:val="16"/>
          <w:szCs w:val="16"/>
        </w:rPr>
        <w:t xml:space="preserve"> ушло в отставку и новым премьер-министром стал а </w:t>
      </w:r>
      <w:proofErr w:type="spellStart"/>
      <w:r w:rsidRPr="007122AB">
        <w:rPr>
          <w:rFonts w:ascii="Times New Roman" w:hAnsi="Times New Roman"/>
          <w:color w:val="000000" w:themeColor="text1"/>
          <w:sz w:val="16"/>
          <w:szCs w:val="16"/>
        </w:rPr>
        <w:t>Аснар</w:t>
      </w:r>
      <w:proofErr w:type="spellEnd"/>
      <w:r w:rsidRPr="007122AB">
        <w:rPr>
          <w:rFonts w:ascii="Times New Roman" w:hAnsi="Times New Roman"/>
          <w:color w:val="000000" w:themeColor="text1"/>
          <w:sz w:val="16"/>
          <w:szCs w:val="16"/>
        </w:rPr>
        <w:t xml:space="preserve"> (3907,167).</w:t>
      </w:r>
    </w:p>
    <w:p w14:paraId="62848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A8A1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D51EF6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5A4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15 февраля по 20 марта 1931 прошли испытания самолета МДР-2-2БМВVI (3043).</w:t>
      </w:r>
    </w:p>
    <w:p w14:paraId="72360E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D1D8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15 февраля по 20 марта 1931 проходили испытания самолета МДР-2 БМВ-VI.</w:t>
      </w:r>
    </w:p>
    <w:p w14:paraId="73631B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МДР-2 БМВ-VI специальной комиссией назначенной начальником ВВС</w:t>
      </w:r>
    </w:p>
    <w:p w14:paraId="3C2498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 дальний разведчик –2 с двумя моторами БМВ-VIZ Е=6</w:t>
      </w:r>
    </w:p>
    <w:p w14:paraId="62EB4F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 произвести типовые испытания самолета с нагрузками 2105 кг и 2360 кг</w:t>
      </w:r>
    </w:p>
    <w:p w14:paraId="785F1E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Начало испытаний 15 февраля 1931 года</w:t>
      </w:r>
    </w:p>
    <w:p w14:paraId="741CB6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Окончание испытаний – 20 марта 1931 года</w:t>
      </w:r>
    </w:p>
    <w:p w14:paraId="0C9892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испытаний – 34 дня, из них летных дней – 11, общий налет – 18 часов 22 минуты</w:t>
      </w:r>
    </w:p>
    <w:p w14:paraId="544153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25 (6956).</w:t>
      </w:r>
    </w:p>
    <w:p w14:paraId="692066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C5ECDD"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15 февраля по 20 марта 1931 г. в Севастополе проходили государственные испыта</w:t>
      </w:r>
      <w:r w:rsidRPr="00441F34">
        <w:rPr>
          <w:rFonts w:ascii="Times New Roman" w:hAnsi="Times New Roman"/>
          <w:color w:val="0070C0"/>
          <w:sz w:val="16"/>
          <w:szCs w:val="16"/>
        </w:rPr>
        <w:softHyphen/>
        <w:t xml:space="preserve">ния АНТ-8. Проводил их летчик С.Т </w:t>
      </w:r>
      <w:proofErr w:type="spellStart"/>
      <w:r w:rsidRPr="00441F34">
        <w:rPr>
          <w:rFonts w:ascii="Times New Roman" w:hAnsi="Times New Roman"/>
          <w:color w:val="0070C0"/>
          <w:sz w:val="16"/>
          <w:szCs w:val="16"/>
        </w:rPr>
        <w:t>Рыбальчук</w:t>
      </w:r>
      <w:proofErr w:type="spellEnd"/>
      <w:r w:rsidRPr="00441F34">
        <w:rPr>
          <w:rFonts w:ascii="Times New Roman" w:hAnsi="Times New Roman"/>
          <w:color w:val="0070C0"/>
          <w:sz w:val="16"/>
          <w:szCs w:val="16"/>
        </w:rPr>
        <w:t xml:space="preserve"> с двумя вариан</w:t>
      </w:r>
      <w:r w:rsidRPr="00441F34">
        <w:rPr>
          <w:rFonts w:ascii="Times New Roman" w:hAnsi="Times New Roman"/>
          <w:color w:val="0070C0"/>
          <w:sz w:val="16"/>
          <w:szCs w:val="16"/>
        </w:rPr>
        <w:softHyphen/>
        <w:t>тами полетной массы — 6665 и 6920 кг. Определяли крейсерскую скорость и ра</w:t>
      </w:r>
      <w:r w:rsidRPr="00441F34">
        <w:rPr>
          <w:rFonts w:ascii="Times New Roman" w:hAnsi="Times New Roman"/>
          <w:color w:val="0070C0"/>
          <w:sz w:val="16"/>
          <w:szCs w:val="16"/>
        </w:rPr>
        <w:softHyphen/>
        <w:t>диус действия.</w:t>
      </w:r>
    </w:p>
    <w:p w14:paraId="691CB997"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основании испытаний НИИ ВВС предложил КБ:</w:t>
      </w:r>
    </w:p>
    <w:p w14:paraId="0E08D7DC"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из-за недостаточной поперечной ос</w:t>
      </w:r>
      <w:r w:rsidRPr="00441F34">
        <w:rPr>
          <w:rFonts w:ascii="Times New Roman" w:hAnsi="Times New Roman"/>
          <w:color w:val="0070C0"/>
          <w:sz w:val="16"/>
          <w:szCs w:val="16"/>
        </w:rPr>
        <w:softHyphen/>
        <w:t>тойчивости машины либо изменить объем поплавков, либо увеличить их колею;</w:t>
      </w:r>
    </w:p>
    <w:p w14:paraId="044DCC05"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установить дополнительные бензо</w:t>
      </w:r>
      <w:r w:rsidRPr="00441F34">
        <w:rPr>
          <w:rFonts w:ascii="Times New Roman" w:hAnsi="Times New Roman"/>
          <w:color w:val="0070C0"/>
          <w:sz w:val="16"/>
          <w:szCs w:val="16"/>
        </w:rPr>
        <w:softHyphen/>
        <w:t>баки емкостью 615 л и масляные баки ем</w:t>
      </w:r>
      <w:r w:rsidRPr="00441F34">
        <w:rPr>
          <w:rFonts w:ascii="Times New Roman" w:hAnsi="Times New Roman"/>
          <w:color w:val="0070C0"/>
          <w:sz w:val="16"/>
          <w:szCs w:val="16"/>
        </w:rPr>
        <w:softHyphen/>
        <w:t>костью 62 л;</w:t>
      </w:r>
    </w:p>
    <w:p w14:paraId="37989F07"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устранить вибрацию передних под</w:t>
      </w:r>
      <w:r w:rsidRPr="00441F34">
        <w:rPr>
          <w:rFonts w:ascii="Times New Roman" w:hAnsi="Times New Roman"/>
          <w:color w:val="0070C0"/>
          <w:sz w:val="16"/>
          <w:szCs w:val="16"/>
        </w:rPr>
        <w:softHyphen/>
        <w:t>косов стабилизатора.</w:t>
      </w:r>
    </w:p>
    <w:p w14:paraId="7519A6C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исправления замеченных де</w:t>
      </w:r>
      <w:r w:rsidRPr="00441F34">
        <w:rPr>
          <w:rFonts w:ascii="Times New Roman" w:hAnsi="Times New Roman"/>
          <w:color w:val="0070C0"/>
          <w:sz w:val="16"/>
          <w:szCs w:val="16"/>
        </w:rPr>
        <w:softHyphen/>
        <w:t>фектов и установки новых поплавков МДР—2 снова предъявили на испыта</w:t>
      </w:r>
      <w:r w:rsidRPr="00441F34">
        <w:rPr>
          <w:rFonts w:ascii="Times New Roman" w:hAnsi="Times New Roman"/>
          <w:color w:val="0070C0"/>
          <w:sz w:val="16"/>
          <w:szCs w:val="16"/>
        </w:rPr>
        <w:softHyphen/>
        <w:t xml:space="preserve">ния. С 8 октября по 13 ноября 1931 г. их проводили М.М. Громов, Б.Л. Бухгольц, Н.Г. </w:t>
      </w:r>
      <w:proofErr w:type="spellStart"/>
      <w:r w:rsidRPr="00441F34">
        <w:rPr>
          <w:rFonts w:ascii="Times New Roman" w:hAnsi="Times New Roman"/>
          <w:color w:val="0070C0"/>
          <w:sz w:val="16"/>
          <w:szCs w:val="16"/>
        </w:rPr>
        <w:t>Кастанаев</w:t>
      </w:r>
      <w:proofErr w:type="spellEnd"/>
      <w:r w:rsidRPr="00441F34">
        <w:rPr>
          <w:rFonts w:ascii="Times New Roman" w:hAnsi="Times New Roman"/>
          <w:color w:val="0070C0"/>
          <w:sz w:val="16"/>
          <w:szCs w:val="16"/>
        </w:rPr>
        <w:t>. Самолет испытывался на взлет, посадку, мореходность и т.д. Мореходность была признана очень хо</w:t>
      </w:r>
      <w:r w:rsidRPr="00441F34">
        <w:rPr>
          <w:rFonts w:ascii="Times New Roman" w:hAnsi="Times New Roman"/>
          <w:color w:val="0070C0"/>
          <w:sz w:val="16"/>
          <w:szCs w:val="16"/>
        </w:rPr>
        <w:softHyphen/>
        <w:t>рошей, самолет мог взлетать и садиться при значительной волне. По общей оценке, он соответствовал «требованиям сегодняшнего дня», был близок по сво</w:t>
      </w:r>
      <w:r w:rsidRPr="00441F34">
        <w:rPr>
          <w:rFonts w:ascii="Times New Roman" w:hAnsi="Times New Roman"/>
          <w:color w:val="0070C0"/>
          <w:sz w:val="16"/>
          <w:szCs w:val="16"/>
        </w:rPr>
        <w:softHyphen/>
        <w:t>им характеристикам к находившемуся на вооружении ВВС немецкому развед</w:t>
      </w:r>
      <w:r w:rsidRPr="00441F34">
        <w:rPr>
          <w:rFonts w:ascii="Times New Roman" w:hAnsi="Times New Roman"/>
          <w:color w:val="0070C0"/>
          <w:sz w:val="16"/>
          <w:szCs w:val="16"/>
        </w:rPr>
        <w:softHyphen/>
        <w:t xml:space="preserve">чику </w:t>
      </w:r>
      <w:proofErr w:type="spellStart"/>
      <w:r w:rsidRPr="00441F34">
        <w:rPr>
          <w:rFonts w:ascii="Times New Roman" w:hAnsi="Times New Roman"/>
          <w:color w:val="0070C0"/>
          <w:sz w:val="16"/>
          <w:szCs w:val="16"/>
        </w:rPr>
        <w:t>Dornier</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Wai</w:t>
      </w:r>
      <w:proofErr w:type="spellEnd"/>
      <w:r w:rsidRPr="00441F34">
        <w:rPr>
          <w:rFonts w:ascii="Times New Roman" w:hAnsi="Times New Roman"/>
          <w:color w:val="0070C0"/>
          <w:sz w:val="16"/>
          <w:szCs w:val="16"/>
        </w:rPr>
        <w:t>, но запускать самолет в серию не стали. К моменту выхода се</w:t>
      </w:r>
      <w:r w:rsidRPr="00441F34">
        <w:rPr>
          <w:rFonts w:ascii="Times New Roman" w:hAnsi="Times New Roman"/>
          <w:color w:val="0070C0"/>
          <w:sz w:val="16"/>
          <w:szCs w:val="16"/>
        </w:rPr>
        <w:softHyphen/>
        <w:t>рийных машин их данные уже не смогли бы удовлетворить военных.</w:t>
      </w:r>
    </w:p>
    <w:p w14:paraId="741F4ACC"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МДР—2 остался в истории как первый отечественный цельнометаллический ги</w:t>
      </w:r>
      <w:r w:rsidRPr="00441F34">
        <w:rPr>
          <w:rFonts w:ascii="Times New Roman" w:hAnsi="Times New Roman"/>
          <w:color w:val="0070C0"/>
          <w:sz w:val="16"/>
          <w:szCs w:val="16"/>
        </w:rPr>
        <w:softHyphen/>
        <w:t>дросамолет.</w:t>
      </w:r>
    </w:p>
    <w:p w14:paraId="6F856AB8"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АНТ—8 соответствовал «требованиям сегодняшнего дня», но серийно не строился. Эта машина осталась в истории как первая отечественная летающая лодка (23474).</w:t>
      </w:r>
    </w:p>
    <w:p w14:paraId="6C5C035C" w14:textId="77777777" w:rsidR="00225E06" w:rsidRPr="00441F34" w:rsidRDefault="00225E06" w:rsidP="00225E06">
      <w:pPr>
        <w:spacing w:after="0" w:line="240" w:lineRule="auto"/>
        <w:jc w:val="both"/>
        <w:rPr>
          <w:rFonts w:ascii="Times New Roman" w:hAnsi="Times New Roman"/>
          <w:color w:val="0070C0"/>
          <w:sz w:val="16"/>
          <w:szCs w:val="16"/>
        </w:rPr>
      </w:pPr>
    </w:p>
    <w:p w14:paraId="1B0AD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15-17 февраля 1931 в Москве прошла 1-я всесоюзная конференция работников ГВФ (438,620).</w:t>
      </w:r>
    </w:p>
    <w:p w14:paraId="0B1DC4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B0A30A" w14:textId="77777777" w:rsidR="00E20577" w:rsidRDefault="00E20577" w:rsidP="00E20577">
      <w:pPr>
        <w:spacing w:after="0" w:line="240" w:lineRule="auto"/>
        <w:jc w:val="both"/>
        <w:rPr>
          <w:rFonts w:ascii="Times New Roman" w:hAnsi="Times New Roman"/>
          <w:color w:val="0070C0"/>
          <w:sz w:val="16"/>
          <w:szCs w:val="16"/>
        </w:rPr>
      </w:pPr>
      <w:r>
        <w:rPr>
          <w:rFonts w:ascii="Times New Roman" w:hAnsi="Times New Roman"/>
          <w:color w:val="0070C0"/>
          <w:sz w:val="16"/>
          <w:szCs w:val="16"/>
        </w:rPr>
        <w:t>15-17 ф</w:t>
      </w:r>
      <w:r w:rsidRPr="009F5089">
        <w:rPr>
          <w:rFonts w:ascii="Times New Roman" w:hAnsi="Times New Roman"/>
          <w:color w:val="0070C0"/>
          <w:sz w:val="16"/>
          <w:szCs w:val="16"/>
        </w:rPr>
        <w:t>евраля</w:t>
      </w:r>
      <w:r>
        <w:rPr>
          <w:rFonts w:ascii="Times New Roman" w:hAnsi="Times New Roman"/>
          <w:color w:val="0070C0"/>
          <w:sz w:val="16"/>
          <w:szCs w:val="16"/>
        </w:rPr>
        <w:t xml:space="preserve"> 1931 г. в</w:t>
      </w:r>
      <w:r w:rsidRPr="009F5089">
        <w:rPr>
          <w:rFonts w:ascii="Times New Roman" w:hAnsi="Times New Roman"/>
          <w:color w:val="0070C0"/>
          <w:sz w:val="16"/>
          <w:szCs w:val="16"/>
        </w:rPr>
        <w:t xml:space="preserve"> Москве состоялась 1-я всесоюзная </w:t>
      </w:r>
      <w:r>
        <w:rPr>
          <w:rFonts w:ascii="Times New Roman" w:hAnsi="Times New Roman"/>
          <w:color w:val="0070C0"/>
          <w:sz w:val="16"/>
          <w:szCs w:val="16"/>
        </w:rPr>
        <w:t>к</w:t>
      </w:r>
      <w:r w:rsidRPr="009F5089">
        <w:rPr>
          <w:rFonts w:ascii="Times New Roman" w:hAnsi="Times New Roman"/>
          <w:color w:val="0070C0"/>
          <w:sz w:val="16"/>
          <w:szCs w:val="16"/>
        </w:rPr>
        <w:t>онфере</w:t>
      </w:r>
      <w:r>
        <w:rPr>
          <w:rFonts w:ascii="Times New Roman" w:hAnsi="Times New Roman"/>
          <w:color w:val="0070C0"/>
          <w:sz w:val="16"/>
          <w:szCs w:val="16"/>
        </w:rPr>
        <w:t>нция работников</w:t>
      </w:r>
      <w:r w:rsidRPr="009F5089">
        <w:rPr>
          <w:rFonts w:ascii="Times New Roman" w:hAnsi="Times New Roman"/>
          <w:color w:val="0070C0"/>
          <w:sz w:val="16"/>
          <w:szCs w:val="16"/>
        </w:rPr>
        <w:t xml:space="preserve"> гражданского, </w:t>
      </w:r>
      <w:proofErr w:type="spellStart"/>
      <w:r w:rsidRPr="009F5089">
        <w:rPr>
          <w:rFonts w:ascii="Times New Roman" w:hAnsi="Times New Roman"/>
          <w:color w:val="0070C0"/>
          <w:sz w:val="16"/>
          <w:szCs w:val="16"/>
        </w:rPr>
        <w:t>в</w:t>
      </w:r>
      <w:r>
        <w:rPr>
          <w:rFonts w:ascii="Times New Roman" w:hAnsi="Times New Roman"/>
          <w:color w:val="0070C0"/>
          <w:sz w:val="16"/>
          <w:szCs w:val="16"/>
        </w:rPr>
        <w:t>оздушнрнр</w:t>
      </w:r>
      <w:proofErr w:type="spellEnd"/>
      <w:r w:rsidRPr="009F5089">
        <w:rPr>
          <w:rFonts w:ascii="Times New Roman" w:hAnsi="Times New Roman"/>
          <w:color w:val="0070C0"/>
          <w:sz w:val="16"/>
          <w:szCs w:val="16"/>
        </w:rPr>
        <w:t xml:space="preserve"> флота.</w:t>
      </w:r>
      <w:r>
        <w:rPr>
          <w:rFonts w:ascii="Times New Roman" w:hAnsi="Times New Roman"/>
          <w:color w:val="0070C0"/>
          <w:sz w:val="16"/>
          <w:szCs w:val="16"/>
        </w:rPr>
        <w:t xml:space="preserve"> Б</w:t>
      </w:r>
      <w:r w:rsidRPr="009F5089">
        <w:rPr>
          <w:rFonts w:ascii="Times New Roman" w:hAnsi="Times New Roman"/>
          <w:color w:val="0070C0"/>
          <w:sz w:val="16"/>
          <w:szCs w:val="16"/>
        </w:rPr>
        <w:t>ыл</w:t>
      </w:r>
      <w:r>
        <w:rPr>
          <w:rFonts w:ascii="Times New Roman" w:hAnsi="Times New Roman"/>
          <w:color w:val="0070C0"/>
          <w:sz w:val="16"/>
          <w:szCs w:val="16"/>
        </w:rPr>
        <w:t>и</w:t>
      </w:r>
      <w:r w:rsidRPr="009F5089">
        <w:rPr>
          <w:rFonts w:ascii="Times New Roman" w:hAnsi="Times New Roman"/>
          <w:color w:val="0070C0"/>
          <w:sz w:val="16"/>
          <w:szCs w:val="16"/>
        </w:rPr>
        <w:t xml:space="preserve"> заслушаны до</w:t>
      </w:r>
      <w:r>
        <w:rPr>
          <w:rFonts w:ascii="Times New Roman" w:hAnsi="Times New Roman"/>
          <w:color w:val="0070C0"/>
          <w:sz w:val="16"/>
          <w:szCs w:val="16"/>
        </w:rPr>
        <w:t>клады</w:t>
      </w:r>
      <w:r w:rsidRPr="009F5089">
        <w:rPr>
          <w:rFonts w:ascii="Times New Roman" w:hAnsi="Times New Roman"/>
          <w:color w:val="0070C0"/>
          <w:sz w:val="16"/>
          <w:szCs w:val="16"/>
        </w:rPr>
        <w:t xml:space="preserve"> о состоянии и </w:t>
      </w:r>
      <w:proofErr w:type="spellStart"/>
      <w:r w:rsidRPr="009F5089">
        <w:rPr>
          <w:rFonts w:ascii="Times New Roman" w:hAnsi="Times New Roman"/>
          <w:color w:val="0070C0"/>
          <w:sz w:val="16"/>
          <w:szCs w:val="16"/>
        </w:rPr>
        <w:t>перспекр</w:t>
      </w:r>
      <w:r>
        <w:rPr>
          <w:rFonts w:ascii="Times New Roman" w:hAnsi="Times New Roman"/>
          <w:color w:val="0070C0"/>
          <w:sz w:val="16"/>
          <w:szCs w:val="16"/>
        </w:rPr>
        <w:t>ивах</w:t>
      </w:r>
      <w:proofErr w:type="spellEnd"/>
      <w:r>
        <w:rPr>
          <w:rFonts w:ascii="Times New Roman" w:hAnsi="Times New Roman"/>
          <w:color w:val="0070C0"/>
          <w:sz w:val="16"/>
          <w:szCs w:val="16"/>
        </w:rPr>
        <w:t xml:space="preserve"> раз</w:t>
      </w:r>
      <w:r w:rsidRPr="009F5089">
        <w:rPr>
          <w:rFonts w:ascii="Times New Roman" w:hAnsi="Times New Roman"/>
          <w:color w:val="0070C0"/>
          <w:sz w:val="16"/>
          <w:szCs w:val="16"/>
        </w:rPr>
        <w:t>вит</w:t>
      </w:r>
      <w:r>
        <w:rPr>
          <w:rFonts w:ascii="Times New Roman" w:hAnsi="Times New Roman"/>
          <w:color w:val="0070C0"/>
          <w:sz w:val="16"/>
          <w:szCs w:val="16"/>
        </w:rPr>
        <w:t>и</w:t>
      </w:r>
      <w:r w:rsidRPr="009F5089">
        <w:rPr>
          <w:rFonts w:ascii="Times New Roman" w:hAnsi="Times New Roman"/>
          <w:color w:val="0070C0"/>
          <w:sz w:val="16"/>
          <w:szCs w:val="16"/>
        </w:rPr>
        <w:t>я Гражданского возду</w:t>
      </w:r>
      <w:r>
        <w:rPr>
          <w:rFonts w:ascii="Times New Roman" w:hAnsi="Times New Roman"/>
          <w:color w:val="0070C0"/>
          <w:sz w:val="16"/>
          <w:szCs w:val="16"/>
        </w:rPr>
        <w:t>ш</w:t>
      </w:r>
      <w:r w:rsidRPr="009F5089">
        <w:rPr>
          <w:rFonts w:ascii="Times New Roman" w:hAnsi="Times New Roman"/>
          <w:color w:val="0070C0"/>
          <w:sz w:val="16"/>
          <w:szCs w:val="16"/>
        </w:rPr>
        <w:t>ного</w:t>
      </w:r>
      <w:r>
        <w:rPr>
          <w:rFonts w:ascii="Times New Roman" w:hAnsi="Times New Roman"/>
          <w:color w:val="0070C0"/>
          <w:sz w:val="16"/>
          <w:szCs w:val="16"/>
        </w:rPr>
        <w:t xml:space="preserve"> флота</w:t>
      </w:r>
      <w:r w:rsidRPr="009F5089">
        <w:rPr>
          <w:rFonts w:ascii="Times New Roman" w:hAnsi="Times New Roman"/>
          <w:color w:val="0070C0"/>
          <w:sz w:val="16"/>
          <w:szCs w:val="16"/>
        </w:rPr>
        <w:t xml:space="preserve"> на ближайшее время, а также об опытно-изыскательной работе</w:t>
      </w:r>
      <w:r>
        <w:rPr>
          <w:rFonts w:ascii="Times New Roman" w:hAnsi="Times New Roman"/>
          <w:color w:val="0070C0"/>
          <w:sz w:val="16"/>
          <w:szCs w:val="16"/>
        </w:rPr>
        <w:t xml:space="preserve"> НИИ ГВФ.</w:t>
      </w:r>
    </w:p>
    <w:p w14:paraId="626B71D3" w14:textId="77777777" w:rsidR="00E20577" w:rsidRPr="009F5089" w:rsidRDefault="00E20577" w:rsidP="00E2057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Конференция наметила ряд мероприятии по скорейшей р</w:t>
      </w:r>
      <w:r>
        <w:rPr>
          <w:rFonts w:ascii="Times New Roman" w:hAnsi="Times New Roman"/>
          <w:color w:val="0070C0"/>
          <w:sz w:val="16"/>
          <w:szCs w:val="16"/>
        </w:rPr>
        <w:t>е</w:t>
      </w:r>
      <w:r w:rsidRPr="009F5089">
        <w:rPr>
          <w:rFonts w:ascii="Times New Roman" w:hAnsi="Times New Roman"/>
          <w:color w:val="0070C0"/>
          <w:sz w:val="16"/>
          <w:szCs w:val="16"/>
        </w:rPr>
        <w:t>а</w:t>
      </w:r>
      <w:r>
        <w:rPr>
          <w:rFonts w:ascii="Times New Roman" w:hAnsi="Times New Roman"/>
          <w:color w:val="0070C0"/>
          <w:sz w:val="16"/>
          <w:szCs w:val="16"/>
        </w:rPr>
        <w:t xml:space="preserve">лизации </w:t>
      </w:r>
      <w:r w:rsidRPr="009F5089">
        <w:rPr>
          <w:rFonts w:ascii="Times New Roman" w:hAnsi="Times New Roman"/>
          <w:color w:val="0070C0"/>
          <w:sz w:val="16"/>
          <w:szCs w:val="16"/>
        </w:rPr>
        <w:t>пр</w:t>
      </w:r>
      <w:r>
        <w:rPr>
          <w:rFonts w:ascii="Times New Roman" w:hAnsi="Times New Roman"/>
          <w:color w:val="0070C0"/>
          <w:sz w:val="16"/>
          <w:szCs w:val="16"/>
        </w:rPr>
        <w:t>ав</w:t>
      </w:r>
      <w:r w:rsidRPr="009F5089">
        <w:rPr>
          <w:rFonts w:ascii="Times New Roman" w:hAnsi="Times New Roman"/>
          <w:color w:val="0070C0"/>
          <w:sz w:val="16"/>
          <w:szCs w:val="16"/>
        </w:rPr>
        <w:t>итель</w:t>
      </w:r>
      <w:r>
        <w:rPr>
          <w:rFonts w:ascii="Times New Roman" w:hAnsi="Times New Roman"/>
          <w:color w:val="0070C0"/>
          <w:sz w:val="16"/>
          <w:szCs w:val="16"/>
        </w:rPr>
        <w:t>с</w:t>
      </w:r>
      <w:r w:rsidRPr="009F5089">
        <w:rPr>
          <w:rFonts w:ascii="Times New Roman" w:hAnsi="Times New Roman"/>
          <w:color w:val="0070C0"/>
          <w:sz w:val="16"/>
          <w:szCs w:val="16"/>
        </w:rPr>
        <w:t>твенных постановлений о развитии гражданского целого флота.</w:t>
      </w:r>
    </w:p>
    <w:p w14:paraId="4EFA9886" w14:textId="77777777" w:rsidR="00E20577" w:rsidRDefault="00E20577" w:rsidP="00E2057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/«Красная звезда</w:t>
      </w:r>
      <w:r>
        <w:rPr>
          <w:rFonts w:ascii="Times New Roman" w:hAnsi="Times New Roman"/>
          <w:color w:val="0070C0"/>
          <w:sz w:val="16"/>
          <w:szCs w:val="16"/>
        </w:rPr>
        <w:t>»</w:t>
      </w:r>
      <w:r w:rsidRPr="009F5089">
        <w:rPr>
          <w:rFonts w:ascii="Times New Roman" w:hAnsi="Times New Roman"/>
          <w:color w:val="0070C0"/>
          <w:sz w:val="16"/>
          <w:szCs w:val="16"/>
        </w:rPr>
        <w:t xml:space="preserve"> за 19 февраля 1931 </w:t>
      </w:r>
      <w:r>
        <w:rPr>
          <w:rFonts w:ascii="Times New Roman" w:hAnsi="Times New Roman"/>
          <w:color w:val="0070C0"/>
          <w:sz w:val="16"/>
          <w:szCs w:val="16"/>
        </w:rPr>
        <w:t>г</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7EBA2398" w14:textId="77777777" w:rsidR="00E20577" w:rsidRPr="009F5089" w:rsidRDefault="00E20577" w:rsidP="00E20577">
      <w:pPr>
        <w:spacing w:after="0" w:line="240" w:lineRule="auto"/>
        <w:jc w:val="both"/>
        <w:rPr>
          <w:rFonts w:ascii="Times New Roman" w:hAnsi="Times New Roman"/>
          <w:color w:val="0070C0"/>
          <w:sz w:val="16"/>
          <w:szCs w:val="16"/>
        </w:rPr>
      </w:pPr>
    </w:p>
    <w:p w14:paraId="1017D7A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DB9775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F25061F" w14:textId="77777777" w:rsidR="00EA7676" w:rsidRPr="007122AB" w:rsidRDefault="00EA7676"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30"/>
          <w:rFonts w:ascii="Times New Roman" w:eastAsia="Arial Unicode MS" w:hAnsi="Times New Roman" w:cs="Times New Roman"/>
          <w:i w:val="0"/>
          <w:iCs w:val="0"/>
          <w:color w:val="000000" w:themeColor="text1"/>
          <w:sz w:val="16"/>
          <w:szCs w:val="16"/>
        </w:rPr>
        <w:t>15 февраля 1931 г. в докладе начальника УММ в Реввоенсовет о «по</w:t>
      </w:r>
      <w:r w:rsidRPr="007122AB">
        <w:rPr>
          <w:rStyle w:val="1030"/>
          <w:rFonts w:ascii="Times New Roman" w:eastAsia="Arial Unicode MS" w:hAnsi="Times New Roman" w:cs="Times New Roman"/>
          <w:i w:val="0"/>
          <w:iCs w:val="0"/>
          <w:color w:val="000000" w:themeColor="text1"/>
          <w:sz w:val="16"/>
          <w:szCs w:val="16"/>
        </w:rPr>
        <w:softHyphen/>
        <w:t>ложении по опытным образцам системы АБТВ» упоминается:</w:t>
      </w:r>
      <w:r w:rsidRPr="007122AB">
        <w:rPr>
          <w:rFonts w:ascii="Times New Roman" w:hAnsi="Times New Roman" w:cs="Times New Roman"/>
          <w:i w:val="0"/>
          <w:color w:val="000000" w:themeColor="text1"/>
          <w:sz w:val="16"/>
          <w:szCs w:val="16"/>
        </w:rPr>
        <w:t xml:space="preserve"> «Танк Виккерс 12 тонный (Постановление РВС СССР от 13 августа 1930 г.). Находится в стадии испытаний» (15744).</w:t>
      </w:r>
    </w:p>
    <w:p w14:paraId="5A68BD49" w14:textId="77777777" w:rsidR="00EA7676" w:rsidRPr="007122AB" w:rsidRDefault="00EA7676" w:rsidP="007122AB">
      <w:pPr>
        <w:pStyle w:val="1010"/>
        <w:shd w:val="clear" w:color="auto" w:fill="auto"/>
        <w:spacing w:line="240" w:lineRule="auto"/>
        <w:ind w:firstLine="0"/>
        <w:rPr>
          <w:rFonts w:ascii="Times New Roman" w:hAnsi="Times New Roman" w:cs="Times New Roman"/>
          <w:i w:val="0"/>
          <w:color w:val="000000" w:themeColor="text1"/>
          <w:sz w:val="16"/>
          <w:szCs w:val="16"/>
        </w:rPr>
      </w:pPr>
    </w:p>
    <w:p w14:paraId="7F32742E" w14:textId="77777777" w:rsidR="005E7475" w:rsidRPr="007122AB" w:rsidRDefault="005E747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февраля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26. 10. Проект постановления по докладу ВСНХ о состоянии производств, обслуживающих автотракторную промышленность (ПБ от 25 января 1931 г., пр. № 24, п. 4) (Орджоникидзе). 11. О ходе работ на Сталинградском тракторном заводе (ПБ от 10 декабря 1930 г., пр. № 20, п. 4/10) (Орджоникидзе, Михайлов-Иванов). Решения ПБ от 10 февраля 1931 г. 4/9. Об организации снарядного дела (ПБ от 30 августа 1930 г., пр. № 6, п. 2/8) (Орджоникидзе, Ворошилов). (Политбюро... Т. 2. С. 126, 127) (12416).</w:t>
      </w:r>
    </w:p>
    <w:p w14:paraId="4DA000AC" w14:textId="77777777" w:rsidR="005E7475" w:rsidRPr="007122AB" w:rsidRDefault="005E7475" w:rsidP="007122AB">
      <w:pPr>
        <w:spacing w:after="0" w:line="240" w:lineRule="auto"/>
        <w:jc w:val="both"/>
        <w:rPr>
          <w:rFonts w:ascii="Times New Roman" w:hAnsi="Times New Roman"/>
          <w:color w:val="000000" w:themeColor="text1"/>
          <w:sz w:val="16"/>
          <w:szCs w:val="16"/>
          <w:u w:color="002060"/>
        </w:rPr>
      </w:pPr>
    </w:p>
    <w:p w14:paraId="0E4698FC"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февраля 1931 О снабжении автотракторной промышленности материалами. (Утверждено Политбюро ЦК ВКП(б) 15.II.31 г.) Приложение № 2 к п. 10 пр. ПБ № 26.Архив: </w:t>
      </w:r>
    </w:p>
    <w:p w14:paraId="4567AE80"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17. Оп. 3. Д. 813. Л. 24.</w:t>
      </w:r>
    </w:p>
    <w:p w14:paraId="359E2BC2"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2 к п. 10 пр. ПБ № 26.</w:t>
      </w:r>
    </w:p>
    <w:p w14:paraId="1001815A" w14:textId="77777777" w:rsidR="00EA7676" w:rsidRPr="007122AB" w:rsidRDefault="00EA7676" w:rsidP="007122AB">
      <w:pPr>
        <w:pStyle w:val="ae"/>
        <w:spacing w:before="0" w:after="0"/>
        <w:jc w:val="both"/>
        <w:rPr>
          <w:color w:val="000000" w:themeColor="text1"/>
          <w:sz w:val="16"/>
          <w:szCs w:val="16"/>
        </w:rPr>
      </w:pPr>
      <w:r w:rsidRPr="007122AB">
        <w:rPr>
          <w:color w:val="000000" w:themeColor="text1"/>
          <w:sz w:val="16"/>
          <w:szCs w:val="16"/>
        </w:rPr>
        <w:t>(Утверждено Политбюро ЦК ВКП(б) 15.II.31 г.).</w:t>
      </w:r>
    </w:p>
    <w:p w14:paraId="24CC254D"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1. Доклад ВСНХ СССР о плане снабжения в 1931 году автотракторной промышленности материалами принять к сведению.</w:t>
      </w:r>
    </w:p>
    <w:p w14:paraId="46BFB903"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2. Принять к сведению решение ВСНХ о том, что завод карбюраторов будет построен в районе Владимир — Ярославль — </w:t>
      </w:r>
      <w:proofErr w:type="spellStart"/>
      <w:r w:rsidRPr="007122AB">
        <w:rPr>
          <w:color w:val="000000" w:themeColor="text1"/>
          <w:sz w:val="16"/>
          <w:szCs w:val="16"/>
        </w:rPr>
        <w:t>Н.Новгород</w:t>
      </w:r>
      <w:proofErr w:type="spellEnd"/>
      <w:r w:rsidRPr="007122AB">
        <w:rPr>
          <w:color w:val="000000" w:themeColor="text1"/>
          <w:sz w:val="16"/>
          <w:szCs w:val="16"/>
        </w:rPr>
        <w:t xml:space="preserve">, производство асбестовых изделий будет развито вместо Ленинграда в Ярославле и Егорьевске (Московской области), производство </w:t>
      </w:r>
      <w:proofErr w:type="spellStart"/>
      <w:r w:rsidRPr="007122AB">
        <w:rPr>
          <w:color w:val="000000" w:themeColor="text1"/>
          <w:sz w:val="16"/>
          <w:szCs w:val="16"/>
        </w:rPr>
        <w:t>автосвечей</w:t>
      </w:r>
      <w:proofErr w:type="spellEnd"/>
      <w:r w:rsidRPr="007122AB">
        <w:rPr>
          <w:color w:val="000000" w:themeColor="text1"/>
          <w:sz w:val="16"/>
          <w:szCs w:val="16"/>
        </w:rPr>
        <w:t xml:space="preserve"> будет развито в Пензе, производство </w:t>
      </w:r>
      <w:proofErr w:type="spellStart"/>
      <w:r w:rsidRPr="007122AB">
        <w:rPr>
          <w:color w:val="000000" w:themeColor="text1"/>
          <w:sz w:val="16"/>
          <w:szCs w:val="16"/>
        </w:rPr>
        <w:t>автоарматуры</w:t>
      </w:r>
      <w:proofErr w:type="spellEnd"/>
      <w:r w:rsidRPr="007122AB">
        <w:rPr>
          <w:color w:val="000000" w:themeColor="text1"/>
          <w:sz w:val="16"/>
          <w:szCs w:val="16"/>
        </w:rPr>
        <w:t xml:space="preserve"> будет развито в районе Мурома.</w:t>
      </w:r>
    </w:p>
    <w:p w14:paraId="44299137"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3. Решение ВСНХ о прикреплении к отдельным автотракторным заводам металлургических баз одобрить и предложить ВСНХ взять под особое наблюдение все работы по реконструкции этих баз.</w:t>
      </w:r>
    </w:p>
    <w:p w14:paraId="09B4BEC1"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4. Предложить ВСНХ разработать вопрос о замене в максимально возможной степени, без ущерба для качества выпускаемых машин, легированных сортов стали (хромоникелевые и др.) углеродистыми, а также легированные сорта с импортным сырьем (никель) сортами стали, содержании металлы, имеющиеся в Союзе (хром, марганец), однако, без снижения качества этих сталей.</w:t>
      </w:r>
    </w:p>
    <w:p w14:paraId="7606A86F"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5. Предложить ВСНХ обследовать и выявить дополнительные производственные возможности в изготовлении качественных сталей для автотракторной промышленности на заводах военной промышленности.</w:t>
      </w:r>
    </w:p>
    <w:p w14:paraId="78789E9C"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6. Отмечая крайне слабый темп развития производства электрооборудования для автотракторной промышленности, предложить ВСНХ повести в 1931 г. работы по развитию этого производства таким темпом, чтобы потребности автотракторной промышленности были в 1932 г. полностью покрыты за счет внутреннего производства.</w:t>
      </w:r>
    </w:p>
    <w:p w14:paraId="4669C347"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7. Предложить </w:t>
      </w:r>
      <w:proofErr w:type="spellStart"/>
      <w:r w:rsidRPr="007122AB">
        <w:rPr>
          <w:color w:val="000000" w:themeColor="text1"/>
          <w:sz w:val="16"/>
          <w:szCs w:val="16"/>
        </w:rPr>
        <w:t>НКВМор</w:t>
      </w:r>
      <w:proofErr w:type="spellEnd"/>
      <w:r w:rsidRPr="007122AB">
        <w:rPr>
          <w:color w:val="000000" w:themeColor="text1"/>
          <w:sz w:val="16"/>
          <w:szCs w:val="16"/>
        </w:rPr>
        <w:t xml:space="preserve"> и ВСНХ в декадный срок пересмотреть вопрос о месте постройки завода авиа и </w:t>
      </w:r>
      <w:proofErr w:type="spellStart"/>
      <w:r w:rsidRPr="007122AB">
        <w:rPr>
          <w:color w:val="000000" w:themeColor="text1"/>
          <w:sz w:val="16"/>
          <w:szCs w:val="16"/>
        </w:rPr>
        <w:t>автоприборов</w:t>
      </w:r>
      <w:proofErr w:type="spellEnd"/>
      <w:r w:rsidRPr="007122AB">
        <w:rPr>
          <w:color w:val="000000" w:themeColor="text1"/>
          <w:sz w:val="16"/>
          <w:szCs w:val="16"/>
        </w:rPr>
        <w:t>.</w:t>
      </w:r>
    </w:p>
    <w:p w14:paraId="62755754"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8. Предложить ВСНХ не позже 1</w:t>
      </w:r>
      <w:r w:rsidRPr="007122AB">
        <w:rPr>
          <w:color w:val="000000" w:themeColor="text1"/>
          <w:sz w:val="16"/>
          <w:szCs w:val="16"/>
        </w:rPr>
        <w:noBreakHyphen/>
        <w:t>го апреля представить в ЦК развернутый план снабжения материалами автотракторной промышленности на 1932 и 1933 годы. При составлении этого плана исходить из того, что постройка новых или реконструкция действующих заводов, снабжающих тракторную промышленность, не должна производиться в районах, близлежащих к пограничной полосе (17115).</w:t>
      </w:r>
    </w:p>
    <w:p w14:paraId="4AA417DE" w14:textId="77777777" w:rsidR="00EA7676" w:rsidRPr="007122AB" w:rsidRDefault="00EA7676" w:rsidP="007122AB">
      <w:pPr>
        <w:shd w:val="clear" w:color="auto" w:fill="FFFFFF"/>
        <w:spacing w:after="0" w:line="240" w:lineRule="auto"/>
        <w:jc w:val="both"/>
        <w:rPr>
          <w:rFonts w:ascii="Times New Roman" w:hAnsi="Times New Roman"/>
          <w:color w:val="000000" w:themeColor="text1"/>
          <w:sz w:val="16"/>
          <w:szCs w:val="16"/>
        </w:rPr>
      </w:pPr>
    </w:p>
    <w:p w14:paraId="14347E23"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февраля 1931 Об организации производства специального инструмента на заводах Станкоинструмент. (Утверждено Политбюро ЦК ВКП(б) 15.II.31 г.) Приложение № 1 к п. 8 пр. ПБ № 26.</w:t>
      </w:r>
    </w:p>
    <w:p w14:paraId="3CD7BA10"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Архив: </w:t>
      </w:r>
    </w:p>
    <w:p w14:paraId="3B09DE3D"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17. Оп. 3. Д. 813. Л. 20-23.</w:t>
      </w:r>
    </w:p>
    <w:p w14:paraId="049FAF9E"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1 к п. 8 пр. ПБ № 26.</w:t>
      </w:r>
    </w:p>
    <w:p w14:paraId="7D20F19F" w14:textId="77777777" w:rsidR="00EA7676" w:rsidRPr="007122AB" w:rsidRDefault="00EA7676" w:rsidP="007122AB">
      <w:pPr>
        <w:pStyle w:val="ae"/>
        <w:spacing w:before="0" w:after="0"/>
        <w:jc w:val="both"/>
        <w:rPr>
          <w:color w:val="000000" w:themeColor="text1"/>
          <w:sz w:val="16"/>
          <w:szCs w:val="16"/>
        </w:rPr>
      </w:pPr>
      <w:r w:rsidRPr="007122AB">
        <w:rPr>
          <w:color w:val="000000" w:themeColor="text1"/>
          <w:sz w:val="16"/>
          <w:szCs w:val="16"/>
        </w:rPr>
        <w:t xml:space="preserve"> (Утверждено Политбюро ЦК ВКП(б) 15.II.31 г.).</w:t>
      </w:r>
    </w:p>
    <w:p w14:paraId="73E26DEC"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Поставленная ХVI</w:t>
      </w:r>
      <w:r w:rsidRPr="007122AB">
        <w:rPr>
          <w:color w:val="000000" w:themeColor="text1"/>
          <w:sz w:val="16"/>
          <w:szCs w:val="16"/>
        </w:rPr>
        <w:noBreakHyphen/>
        <w:t>м партсъездом задача максимального развития машиностроения «и в особенности станкостроения» со всей решительностью выдвинула вопрос развития производства контрольно-мерительного и режущего инструмента и изделий абразивной промышленности. Отсутствие в прошлом самостоятельной технической базы по производству инструмента и недопустимо малое внимание, которое уделялось до сих пор этому вопросу, создало громадный разрыв между потребностью в инструменте и имеющимися производственными возможностями.</w:t>
      </w:r>
    </w:p>
    <w:p w14:paraId="509FFF07"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Темпы развития инструментальной и абразивной промышленности за последние годы отстают от обслуживаемых ею других отраслей народного хозяйства. Особо недопустимым является необеспеченность </w:t>
      </w:r>
      <w:proofErr w:type="spellStart"/>
      <w:r w:rsidRPr="007122AB">
        <w:rPr>
          <w:color w:val="000000" w:themeColor="text1"/>
          <w:sz w:val="16"/>
          <w:szCs w:val="16"/>
        </w:rPr>
        <w:t>мобзапаса</w:t>
      </w:r>
      <w:proofErr w:type="spellEnd"/>
      <w:r w:rsidRPr="007122AB">
        <w:rPr>
          <w:color w:val="000000" w:themeColor="text1"/>
          <w:sz w:val="16"/>
          <w:szCs w:val="16"/>
        </w:rPr>
        <w:t xml:space="preserve"> и текущего производства предметов военного снаряжения необходимым контрольно-мерительным инструментом. Незначительный процент удовлетворения потребности в инструменте еще больше понижается неудовлетворительным его качеством, чем затрудняется использование имеющихся еще значительных, резервов оборудования на существующих заводах, а также быстрое освоение завезенного новейшего импортного оборудования.</w:t>
      </w:r>
    </w:p>
    <w:p w14:paraId="250798F8"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lastRenderedPageBreak/>
        <w:t>Кроме того, дальнейшее развитие инструментальной и абразивной промышленности упирается в отсутствие 5</w:t>
      </w:r>
      <w:r w:rsidRPr="007122AB">
        <w:rPr>
          <w:color w:val="000000" w:themeColor="text1"/>
          <w:sz w:val="16"/>
          <w:szCs w:val="16"/>
        </w:rPr>
        <w:noBreakHyphen/>
        <w:t>летнего плана потребности в инструменте и наждачных кругах, а также в необеспеченности надлежащей сырьевой базы качественной стали.</w:t>
      </w:r>
    </w:p>
    <w:p w14:paraId="2F842B60"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ЦК ВКП(б) отмечает некоторые достижения, выражающиеся в увеличении программы выпуска в 1931 г. режущего инструмента на 90% по сравнению с 29/30 г. и увеличения ассигнования на 1931 г. по капитальному строительству станкоинструментальной промышленности вместо 17,8 миллионов рублей в 29/30 г., 95 млн. руб. в 1931 г. и по импорту вместо 1,5 млн. руб. — 19 млн. руб., что обеспечивает начало создания новой, отвечающей современным требованиям технической базы по производству металлорежущих станков и инструмента.</w:t>
      </w:r>
    </w:p>
    <w:p w14:paraId="7C80CE13"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ЦК ВКП(б) констатирует, что строительство новых инструментальных заводов в Москве, а также окончание реконструкции существующих (Златоуст, МИЗ, ТИЗ, Ильич) протекает без необходимых темпов, подготовка кадров крайне неудовлетворительна, техпомощь и привлечение иностранных специалистов недостаточно.</w:t>
      </w:r>
    </w:p>
    <w:p w14:paraId="746EA4B0"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ЦК ВКП(б) постановляет:</w:t>
      </w:r>
    </w:p>
    <w:p w14:paraId="53B0E275"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1. Обеспечить пуск в эксплуатацию завода режущих инструментов в Москве (“Фрезер”) к 1 апреля 1932 г., а завода мерительных инструментов в Москве (“Калибр”) к 1 июля 1932 г.</w:t>
      </w:r>
    </w:p>
    <w:p w14:paraId="43EC7959"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2. Провести в 1931 г. все необходимые подготовительные работы для строительства в 1932 г. нового инструментального завода на Урале.</w:t>
      </w:r>
    </w:p>
    <w:p w14:paraId="61F812D0"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3. Включить строительство инструментальных заводов в круг ударных строительств в отношении порядка и первоочередности снабжения.</w:t>
      </w:r>
    </w:p>
    <w:p w14:paraId="04F69A58"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Обязать ВСНХ обеспечить строительство этих заводов как с финансовой стороны, так и со стороны оборудования и материалов в полном объеме в соответствии с установленными сроками окончания строительства.</w:t>
      </w:r>
    </w:p>
    <w:p w14:paraId="038BE136"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4. Предложить </w:t>
      </w:r>
      <w:proofErr w:type="spellStart"/>
      <w:r w:rsidRPr="007122AB">
        <w:rPr>
          <w:color w:val="000000" w:themeColor="text1"/>
          <w:sz w:val="16"/>
          <w:szCs w:val="16"/>
        </w:rPr>
        <w:t>Союзстрою</w:t>
      </w:r>
      <w:proofErr w:type="spellEnd"/>
      <w:r w:rsidRPr="007122AB">
        <w:rPr>
          <w:color w:val="000000" w:themeColor="text1"/>
          <w:sz w:val="16"/>
          <w:szCs w:val="16"/>
        </w:rPr>
        <w:t xml:space="preserve"> и Мособлстрою выполнять безоговорочно установленный совместно с </w:t>
      </w:r>
      <w:proofErr w:type="spellStart"/>
      <w:r w:rsidRPr="007122AB">
        <w:rPr>
          <w:color w:val="000000" w:themeColor="text1"/>
          <w:sz w:val="16"/>
          <w:szCs w:val="16"/>
        </w:rPr>
        <w:t>Союзстанкоинструментом</w:t>
      </w:r>
      <w:proofErr w:type="spellEnd"/>
      <w:r w:rsidRPr="007122AB">
        <w:rPr>
          <w:color w:val="000000" w:themeColor="text1"/>
          <w:sz w:val="16"/>
          <w:szCs w:val="16"/>
        </w:rPr>
        <w:t xml:space="preserve"> календарный план строительства указанных заводов.</w:t>
      </w:r>
    </w:p>
    <w:p w14:paraId="284B93C9"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5. ВСНХ и </w:t>
      </w:r>
      <w:proofErr w:type="spellStart"/>
      <w:r w:rsidRPr="007122AB">
        <w:rPr>
          <w:color w:val="000000" w:themeColor="text1"/>
          <w:sz w:val="16"/>
          <w:szCs w:val="16"/>
        </w:rPr>
        <w:t>Наркомвнешторгу</w:t>
      </w:r>
      <w:proofErr w:type="spellEnd"/>
      <w:r w:rsidRPr="007122AB">
        <w:rPr>
          <w:color w:val="000000" w:themeColor="text1"/>
          <w:sz w:val="16"/>
          <w:szCs w:val="16"/>
        </w:rPr>
        <w:t xml:space="preserve"> обеспечить полностью, в пределах отпускаемых контингентов, поступление импортного оборудования, начиная с августа месяца 1931 г. Начать немедленно реализацию контингентов на импортное оборудование по ремонтно-инструментальным цехам этих заводов.</w:t>
      </w:r>
    </w:p>
    <w:p w14:paraId="76713E36"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6. Обеспечить пуск в эксплуатацию 3</w:t>
      </w:r>
      <w:r w:rsidRPr="007122AB">
        <w:rPr>
          <w:color w:val="000000" w:themeColor="text1"/>
          <w:sz w:val="16"/>
          <w:szCs w:val="16"/>
        </w:rPr>
        <w:noBreakHyphen/>
        <w:t>х вновь строящихся лекальных цехов (Златоуст, МИЗ, ТИЗ), не позднее 1.VI.31 г. с тем, чтобы эти цеха в 1932 г. дали продукцию на сумму 18.000.000 руб.</w:t>
      </w:r>
    </w:p>
    <w:p w14:paraId="716CA6A9"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ВСНХ и </w:t>
      </w:r>
      <w:proofErr w:type="spellStart"/>
      <w:r w:rsidRPr="007122AB">
        <w:rPr>
          <w:color w:val="000000" w:themeColor="text1"/>
          <w:sz w:val="16"/>
          <w:szCs w:val="16"/>
        </w:rPr>
        <w:t>Наркомвнешторгу</w:t>
      </w:r>
      <w:proofErr w:type="spellEnd"/>
      <w:r w:rsidRPr="007122AB">
        <w:rPr>
          <w:color w:val="000000" w:themeColor="text1"/>
          <w:sz w:val="16"/>
          <w:szCs w:val="16"/>
        </w:rPr>
        <w:t xml:space="preserve"> обеспечить своевременное поступление назначенного для них импортного оборудования.</w:t>
      </w:r>
    </w:p>
    <w:p w14:paraId="704283C6"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7. Для своевременного обеспечения строительства новых заводов и цехов оборудованием (изготовляемым в Союзе), предложить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w:t>
      </w:r>
    </w:p>
    <w:p w14:paraId="42C62FCD"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а) в месячный срок разработать график изготовления и поступления оборудования, с указанием заводов-поставщиков и сроков завоза;</w:t>
      </w:r>
    </w:p>
    <w:p w14:paraId="4824A277"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б)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добиться доведения в кратчайший срок заказов на оборудование непосредственно до заводов их изготовляющих и оформления договоров с соответствующими поставщиками.</w:t>
      </w:r>
    </w:p>
    <w:p w14:paraId="407984A6"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8. В целях получения в кратчайший срок коренного улучшения качества получаемой продукции, предложить:</w:t>
      </w:r>
    </w:p>
    <w:p w14:paraId="10E2B0D8"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а) ВСНХ обеспечить регулярное снабжение качественной и инструментальной сталью инструментальные заводы, прикрепив их к определенным заводам — поставщикам стали. Заводоуправлениям и местным организациям предприятий, поставляющих инструментальным заводам сталь, взять под особое наблюдение аккуратность и стандартность качества поставляемой стали;</w:t>
      </w:r>
    </w:p>
    <w:p w14:paraId="63A70E75"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б) ВСНХ в 2</w:t>
      </w:r>
      <w:r w:rsidRPr="007122AB">
        <w:rPr>
          <w:color w:val="000000" w:themeColor="text1"/>
          <w:sz w:val="16"/>
          <w:szCs w:val="16"/>
        </w:rPr>
        <w:noBreakHyphen/>
        <w:t xml:space="preserve">х месячный срок установить технические условия на сталь, применяемую для производства инструмента.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проводить в дальнейшем жесткую приемку стали у заводов производителей;</w:t>
      </w:r>
    </w:p>
    <w:p w14:paraId="1AE27CFE"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в)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организовать постоянную строжайшую приемку выпускаемой на заводах инструментальной продукции в соответствии с установленными техническими условиями;</w:t>
      </w:r>
    </w:p>
    <w:p w14:paraId="7DE1D19E"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г) </w:t>
      </w:r>
      <w:proofErr w:type="spellStart"/>
      <w:r w:rsidRPr="007122AB">
        <w:rPr>
          <w:color w:val="000000" w:themeColor="text1"/>
          <w:sz w:val="16"/>
          <w:szCs w:val="16"/>
        </w:rPr>
        <w:t>Наркомвнешторгу</w:t>
      </w:r>
      <w:proofErr w:type="spellEnd"/>
      <w:r w:rsidRPr="007122AB">
        <w:rPr>
          <w:color w:val="000000" w:themeColor="text1"/>
          <w:sz w:val="16"/>
          <w:szCs w:val="16"/>
        </w:rPr>
        <w:t xml:space="preserve"> обеспечить в кратчайший срок приобретение в счет имеющихся контингентов, контрольно-мерительных приборов и инструментов для контрольных отделов лабораторий и термических цехов инструментальных заводов;</w:t>
      </w:r>
    </w:p>
    <w:p w14:paraId="5B33A730"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д) ВСНХ довести в течение 1931 г. до 50% изготовление режущего инструмента из быстрорежущей стали;</w:t>
      </w:r>
    </w:p>
    <w:p w14:paraId="67A1C1F7"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е)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добиться в конце 1931 г. норм режущих свойств инструмента не ниже 80% от режущих свойств инструмента иностранных заводов;</w:t>
      </w:r>
    </w:p>
    <w:p w14:paraId="439AFF4A"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ж) </w:t>
      </w:r>
      <w:proofErr w:type="spellStart"/>
      <w:r w:rsidRPr="007122AB">
        <w:rPr>
          <w:color w:val="000000" w:themeColor="text1"/>
          <w:sz w:val="16"/>
          <w:szCs w:val="16"/>
        </w:rPr>
        <w:t>Военведу</w:t>
      </w:r>
      <w:proofErr w:type="spellEnd"/>
      <w:r w:rsidRPr="007122AB">
        <w:rPr>
          <w:color w:val="000000" w:themeColor="text1"/>
          <w:sz w:val="16"/>
          <w:szCs w:val="16"/>
        </w:rPr>
        <w:t>, при разработке чертежей огнеприпасов, холодного оружия и материальной части артиллерии, твердо руководствоваться установленными стандартами ОСТа.</w:t>
      </w:r>
    </w:p>
    <w:p w14:paraId="2C409C91"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9.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довести в течение 1931 г. коэффициент сменности до 2½ на существующих инструментальных заводах и цехах. Одновременно с этим, предложить ВСНХ дополнительно загрузить инструментальные цеха существующих заводов производством нормального инструмента.</w:t>
      </w:r>
    </w:p>
    <w:p w14:paraId="45C3229E"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В 2</w:t>
      </w:r>
      <w:r w:rsidRPr="007122AB">
        <w:rPr>
          <w:color w:val="000000" w:themeColor="text1"/>
          <w:sz w:val="16"/>
          <w:szCs w:val="16"/>
        </w:rPr>
        <w:noBreakHyphen/>
        <w:t xml:space="preserve">х месячный срок </w:t>
      </w: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разработать конкретный план концентрации производства инструмента по отдельным районам.</w:t>
      </w:r>
    </w:p>
    <w:p w14:paraId="6A13ED39"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10. В целях наилучшего использования оборудования инструментальных цехов на всех заводах, главным образом, на заводах инструментальных, поручить ВСНХ при изготовлении оборудования обратить особое внимание на широкое применение приспособлений.</w:t>
      </w:r>
    </w:p>
    <w:p w14:paraId="19809E24"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Обязать ВСНХ поставить в порядок дня своей работы вопрос о необходимости организации специальных заводов по выработке приспособлений.</w:t>
      </w:r>
    </w:p>
    <w:p w14:paraId="763F9D45"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11. Обязать ВСНХ в декадный срок точно установить добавочный размер необходимых дополнительных ассигнований в 1931 году на подготовку кадров лекальщиков, а также на капитальное строительство по кадрам и при одном из вузов организовать специальный факультет по подготовке специалистов по абразивному делу.</w:t>
      </w:r>
    </w:p>
    <w:p w14:paraId="01816A3D"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12. ВСНХ, совместно с </w:t>
      </w:r>
      <w:proofErr w:type="spellStart"/>
      <w:r w:rsidRPr="007122AB">
        <w:rPr>
          <w:color w:val="000000" w:themeColor="text1"/>
          <w:sz w:val="16"/>
          <w:szCs w:val="16"/>
        </w:rPr>
        <w:t>Наркомвнешторгом</w:t>
      </w:r>
      <w:proofErr w:type="spellEnd"/>
      <w:r w:rsidRPr="007122AB">
        <w:rPr>
          <w:color w:val="000000" w:themeColor="text1"/>
          <w:sz w:val="16"/>
          <w:szCs w:val="16"/>
        </w:rPr>
        <w:t>, в месячный срок рассмотреть и представить на утверждение ЦК конкретное предложение на приобретение одного из действующих заграницей инструментальных заводов по специальному и контрольно-мерительному инструменту.</w:t>
      </w:r>
    </w:p>
    <w:p w14:paraId="5CD55789"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Обеспечить в 1931 г. необходимые суммы для техпомощи по наладке в Союзе производства специально режущего и мерительного инструмента (</w:t>
      </w:r>
      <w:proofErr w:type="spellStart"/>
      <w:r w:rsidRPr="007122AB">
        <w:rPr>
          <w:color w:val="000000" w:themeColor="text1"/>
          <w:sz w:val="16"/>
          <w:szCs w:val="16"/>
        </w:rPr>
        <w:t>долбняки</w:t>
      </w:r>
      <w:proofErr w:type="spellEnd"/>
      <w:r w:rsidRPr="007122AB">
        <w:rPr>
          <w:color w:val="000000" w:themeColor="text1"/>
          <w:sz w:val="16"/>
          <w:szCs w:val="16"/>
        </w:rPr>
        <w:t xml:space="preserve"> к станкам </w:t>
      </w:r>
      <w:proofErr w:type="spellStart"/>
      <w:r w:rsidRPr="007122AB">
        <w:rPr>
          <w:color w:val="000000" w:themeColor="text1"/>
          <w:sz w:val="16"/>
          <w:szCs w:val="16"/>
        </w:rPr>
        <w:t>фелло</w:t>
      </w:r>
      <w:proofErr w:type="spellEnd"/>
      <w:r w:rsidRPr="007122AB">
        <w:rPr>
          <w:color w:val="000000" w:themeColor="text1"/>
          <w:sz w:val="16"/>
          <w:szCs w:val="16"/>
        </w:rPr>
        <w:t xml:space="preserve">, производство плиток </w:t>
      </w:r>
      <w:proofErr w:type="spellStart"/>
      <w:r w:rsidRPr="007122AB">
        <w:rPr>
          <w:color w:val="000000" w:themeColor="text1"/>
          <w:sz w:val="16"/>
          <w:szCs w:val="16"/>
        </w:rPr>
        <w:t>Иогансена</w:t>
      </w:r>
      <w:proofErr w:type="spellEnd"/>
      <w:r w:rsidRPr="007122AB">
        <w:rPr>
          <w:color w:val="000000" w:themeColor="text1"/>
          <w:sz w:val="16"/>
          <w:szCs w:val="16"/>
        </w:rPr>
        <w:t xml:space="preserve"> и проч.) и для завоза иностранных специалистов.</w:t>
      </w:r>
    </w:p>
    <w:p w14:paraId="7F8C1781"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В целях быстрого освоения иностранного опыта изготовления контрольно-мерительного и специального режущего инструмента, командировать заграницу группу рабочих и технического персонала в количестве 100 человек для вновь строящихся инструментальных заводов.</w:t>
      </w:r>
    </w:p>
    <w:p w14:paraId="3C6EBB61"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13. Для полного освобождения к 1933 г. от ввоза из заграницы изделий абразивной промышленности предложить ВСНХ пересмотреть под этим углом зрения план капитальных работ на 1931 г. по абразивной промышленности, а также по разработке и добыче как искусственного, так и естественного сырья для этой промышленности.</w:t>
      </w:r>
    </w:p>
    <w:p w14:paraId="7F175A77"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14. ВСНХ в шестимесячный срок разработать пятилетний план покрытия потребности в контрольно-мерительном и режущем инструменте и абразивных изделиях, учтя в первую очередь, нужды </w:t>
      </w:r>
      <w:proofErr w:type="spellStart"/>
      <w:r w:rsidRPr="007122AB">
        <w:rPr>
          <w:color w:val="000000" w:themeColor="text1"/>
          <w:sz w:val="16"/>
          <w:szCs w:val="16"/>
        </w:rPr>
        <w:t>мобзапаса</w:t>
      </w:r>
      <w:proofErr w:type="spellEnd"/>
      <w:r w:rsidRPr="007122AB">
        <w:rPr>
          <w:color w:val="000000" w:themeColor="text1"/>
          <w:sz w:val="16"/>
          <w:szCs w:val="16"/>
        </w:rPr>
        <w:t>, текущие нужды военного ведомства, нужды автотракторной, авиационной и станко-инструментальной промышленности, тяжелого машиностроения и транспорта. В соответствии с этим, разработать план покрытия потребности в качественных и инструментальных сталях.</w:t>
      </w:r>
    </w:p>
    <w:p w14:paraId="3DF68C74"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15. В целях мобилизации инструментальных средств предприятий:</w:t>
      </w:r>
    </w:p>
    <w:p w14:paraId="3677167B"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а) произвести широкою кампанию за изъятие излишков запасов инструмента и инструментальной стали из рабочих мест;</w:t>
      </w:r>
    </w:p>
    <w:p w14:paraId="11A64C72"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б) установить на предприятиях для каждой профессии минимальный комплект инструмента, находящегося у отдельного рабочего и пересмотреть эти комплекты там, где это уже практикуется;</w:t>
      </w:r>
    </w:p>
    <w:p w14:paraId="33CF6A23"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в) установить регулярное возвращение в кладовую инструмента для его осмотра и исправления.</w:t>
      </w:r>
    </w:p>
    <w:p w14:paraId="37278773"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16. Для обеспечения единого руководства </w:t>
      </w:r>
      <w:proofErr w:type="spellStart"/>
      <w:r w:rsidRPr="007122AB">
        <w:rPr>
          <w:color w:val="000000" w:themeColor="text1"/>
          <w:sz w:val="16"/>
          <w:szCs w:val="16"/>
        </w:rPr>
        <w:t>лекально-калиберным</w:t>
      </w:r>
      <w:proofErr w:type="spellEnd"/>
      <w:r w:rsidRPr="007122AB">
        <w:rPr>
          <w:color w:val="000000" w:themeColor="text1"/>
          <w:sz w:val="16"/>
          <w:szCs w:val="16"/>
        </w:rPr>
        <w:t xml:space="preserve"> делом Союза ВСНХ организовать главное лекальное управление, поручив ему представить в советском порядке соответствующее положение об этом управлении на утверждение. Обязать ВСНХ укомплектовать это управление специалистами по лекальному делу.</w:t>
      </w:r>
    </w:p>
    <w:p w14:paraId="02840C3D"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Считать необходимым укрепить руководящий состав </w:t>
      </w:r>
      <w:proofErr w:type="spellStart"/>
      <w:r w:rsidRPr="007122AB">
        <w:rPr>
          <w:color w:val="000000" w:themeColor="text1"/>
          <w:sz w:val="16"/>
          <w:szCs w:val="16"/>
        </w:rPr>
        <w:t>Союзстанкоинструмента</w:t>
      </w:r>
      <w:proofErr w:type="spellEnd"/>
      <w:r w:rsidRPr="007122AB">
        <w:rPr>
          <w:color w:val="000000" w:themeColor="text1"/>
          <w:sz w:val="16"/>
          <w:szCs w:val="16"/>
        </w:rPr>
        <w:t xml:space="preserve"> необходимыми работниками.</w:t>
      </w:r>
    </w:p>
    <w:p w14:paraId="1ED64240"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ВСНХ принять немедленные меры к укомплектованию инженерно-техническими кадрами двух вновь строящихся инструментальных заводов в Москве.</w:t>
      </w:r>
    </w:p>
    <w:p w14:paraId="1CB84CAC" w14:textId="77777777" w:rsidR="00EA7676" w:rsidRPr="007122AB" w:rsidRDefault="00EA7676" w:rsidP="007122AB">
      <w:pPr>
        <w:pStyle w:val="rtejustify"/>
        <w:spacing w:before="0" w:after="0"/>
        <w:rPr>
          <w:color w:val="000000" w:themeColor="text1"/>
          <w:sz w:val="16"/>
          <w:szCs w:val="16"/>
        </w:rPr>
      </w:pPr>
      <w:proofErr w:type="spellStart"/>
      <w:r w:rsidRPr="007122AB">
        <w:rPr>
          <w:color w:val="000000" w:themeColor="text1"/>
          <w:sz w:val="16"/>
          <w:szCs w:val="16"/>
        </w:rPr>
        <w:t>Союзстанкоинструменту</w:t>
      </w:r>
      <w:proofErr w:type="spellEnd"/>
      <w:r w:rsidRPr="007122AB">
        <w:rPr>
          <w:color w:val="000000" w:themeColor="text1"/>
          <w:sz w:val="16"/>
          <w:szCs w:val="16"/>
        </w:rPr>
        <w:t xml:space="preserve"> представить </w:t>
      </w:r>
      <w:proofErr w:type="spellStart"/>
      <w:r w:rsidRPr="007122AB">
        <w:rPr>
          <w:color w:val="000000" w:themeColor="text1"/>
          <w:sz w:val="16"/>
          <w:szCs w:val="16"/>
        </w:rPr>
        <w:t>Главпромкадру</w:t>
      </w:r>
      <w:proofErr w:type="spellEnd"/>
      <w:r w:rsidRPr="007122AB">
        <w:rPr>
          <w:color w:val="000000" w:themeColor="text1"/>
          <w:sz w:val="16"/>
          <w:szCs w:val="16"/>
        </w:rPr>
        <w:t xml:space="preserve"> подробный календарный план покрытия квалифицированной рабсилой для этих же заводов.</w:t>
      </w:r>
    </w:p>
    <w:p w14:paraId="65622E89" w14:textId="77777777" w:rsidR="00EA7676" w:rsidRPr="007122AB" w:rsidRDefault="00EA7676" w:rsidP="007122AB">
      <w:pPr>
        <w:pStyle w:val="rtejustify"/>
        <w:spacing w:before="0" w:after="0"/>
        <w:rPr>
          <w:color w:val="000000" w:themeColor="text1"/>
          <w:sz w:val="16"/>
          <w:szCs w:val="16"/>
        </w:rPr>
      </w:pPr>
      <w:r w:rsidRPr="007122AB">
        <w:rPr>
          <w:color w:val="000000" w:themeColor="text1"/>
          <w:sz w:val="16"/>
          <w:szCs w:val="16"/>
        </w:rPr>
        <w:t xml:space="preserve">17. В целях закрепления необходимых технических кадров для вновь нарождающейся инструментальной промышленности, считать необходимым освободить </w:t>
      </w:r>
      <w:proofErr w:type="spellStart"/>
      <w:r w:rsidRPr="007122AB">
        <w:rPr>
          <w:color w:val="000000" w:themeColor="text1"/>
          <w:sz w:val="16"/>
          <w:szCs w:val="16"/>
        </w:rPr>
        <w:t>Союзстанкоинструмент</w:t>
      </w:r>
      <w:proofErr w:type="spellEnd"/>
      <w:r w:rsidRPr="007122AB">
        <w:rPr>
          <w:color w:val="000000" w:themeColor="text1"/>
          <w:sz w:val="16"/>
          <w:szCs w:val="16"/>
        </w:rPr>
        <w:t xml:space="preserve"> от различных мобилизаций специалистов, а ВСНХ усилить </w:t>
      </w:r>
      <w:proofErr w:type="spellStart"/>
      <w:r w:rsidRPr="007122AB">
        <w:rPr>
          <w:color w:val="000000" w:themeColor="text1"/>
          <w:sz w:val="16"/>
          <w:szCs w:val="16"/>
        </w:rPr>
        <w:t>Союзстанкоинструмент</w:t>
      </w:r>
      <w:proofErr w:type="spellEnd"/>
      <w:r w:rsidRPr="007122AB">
        <w:rPr>
          <w:color w:val="000000" w:themeColor="text1"/>
          <w:sz w:val="16"/>
          <w:szCs w:val="16"/>
        </w:rPr>
        <w:t xml:space="preserve"> специалистами, работающими в настоящее время не по своей прямой специальности (17114).</w:t>
      </w:r>
    </w:p>
    <w:p w14:paraId="02A025A0" w14:textId="77777777" w:rsidR="00EA7676" w:rsidRPr="007122AB" w:rsidRDefault="00EA7676" w:rsidP="007122AB">
      <w:pPr>
        <w:shd w:val="clear" w:color="auto" w:fill="FFFFFF"/>
        <w:spacing w:after="0" w:line="240" w:lineRule="auto"/>
        <w:jc w:val="both"/>
        <w:rPr>
          <w:rFonts w:ascii="Times New Roman" w:hAnsi="Times New Roman"/>
          <w:color w:val="000000" w:themeColor="text1"/>
          <w:sz w:val="16"/>
          <w:szCs w:val="16"/>
        </w:rPr>
      </w:pPr>
    </w:p>
    <w:p w14:paraId="54D0152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15 февраля 1931</w:t>
      </w:r>
      <w:r w:rsidRPr="007122AB">
        <w:rPr>
          <w:rFonts w:ascii="Times New Roman" w:hAnsi="Times New Roman"/>
          <w:color w:val="000000" w:themeColor="text1"/>
          <w:sz w:val="16"/>
          <w:szCs w:val="16"/>
        </w:rPr>
        <w:t>Политбюро ЦК ВКП (б) приняло постановления: об организации производства специального инструмента, о снабжении материалами автотракторной промышленности; предложило приравнять строительство Ташкентского завода хлопковых машин к ударным стройкам (12265).</w:t>
      </w:r>
    </w:p>
    <w:p w14:paraId="4DC89BE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4123E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февраля 1931 г. был подготовлен ДОКЛАД НАЧАЛЬНИКА УММ В РВСР О ПОЛОЖЕНИИ ПО ОПЫТНЫМ ОБРАЗЦАМ СИСТЕМЫ АБТВ</w:t>
      </w:r>
    </w:p>
    <w:p w14:paraId="6AF723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w:t>
      </w:r>
    </w:p>
    <w:p w14:paraId="26143C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исполнение постановления РВС от 17-18 июля 1929 г., 13 июля 1930 г., 10 декабря 1929 г. и ре</w:t>
      </w:r>
      <w:r w:rsidRPr="007122AB">
        <w:rPr>
          <w:rFonts w:ascii="Times New Roman" w:hAnsi="Times New Roman"/>
          <w:color w:val="000000" w:themeColor="text1"/>
          <w:sz w:val="16"/>
          <w:szCs w:val="16"/>
        </w:rPr>
        <w:softHyphen/>
        <w:t>шений Совещания зампредов от 6 ноября 1930 г. мною был представлен доклад Революционному во</w:t>
      </w:r>
      <w:r w:rsidRPr="007122AB">
        <w:rPr>
          <w:rFonts w:ascii="Times New Roman" w:hAnsi="Times New Roman"/>
          <w:color w:val="000000" w:themeColor="text1"/>
          <w:sz w:val="16"/>
          <w:szCs w:val="16"/>
        </w:rPr>
        <w:softHyphen/>
        <w:t>енному совету 6 января 1931 г. о ходе реализации системы автобронетанкового вооружения.</w:t>
      </w:r>
    </w:p>
    <w:p w14:paraId="715CA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как до 13 февраля РВС не смог заслушать моего доклада и так как за истекший период состо</w:t>
      </w:r>
      <w:r w:rsidRPr="007122AB">
        <w:rPr>
          <w:rFonts w:ascii="Times New Roman" w:hAnsi="Times New Roman"/>
          <w:color w:val="000000" w:themeColor="text1"/>
          <w:sz w:val="16"/>
          <w:szCs w:val="16"/>
        </w:rPr>
        <w:softHyphen/>
        <w:t>яние опытных работ другое чем то, в котором я докладывал 6 января, то представляю настоящий до</w:t>
      </w:r>
      <w:r w:rsidRPr="007122AB">
        <w:rPr>
          <w:rFonts w:ascii="Times New Roman" w:hAnsi="Times New Roman"/>
          <w:color w:val="000000" w:themeColor="text1"/>
          <w:sz w:val="16"/>
          <w:szCs w:val="16"/>
        </w:rPr>
        <w:softHyphen/>
        <w:t>клад о положении по опытным образцам системы автобронетанкового вооружения:</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3651"/>
        <w:gridCol w:w="6"/>
        <w:gridCol w:w="1734"/>
      </w:tblGrid>
      <w:tr w:rsidR="007122AB" w:rsidRPr="007122AB" w14:paraId="468989B6" w14:textId="77777777">
        <w:trPr>
          <w:trHeight w:val="374"/>
        </w:trPr>
        <w:tc>
          <w:tcPr>
            <w:tcW w:w="426" w:type="dxa"/>
            <w:tcBorders>
              <w:top w:val="single" w:sz="6" w:space="0" w:color="auto"/>
              <w:left w:val="single" w:sz="6" w:space="0" w:color="auto"/>
              <w:bottom w:val="single" w:sz="6" w:space="0" w:color="auto"/>
              <w:right w:val="single" w:sz="6" w:space="0" w:color="auto"/>
            </w:tcBorders>
          </w:tcPr>
          <w:p w14:paraId="09B0D8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п/п</w:t>
            </w:r>
          </w:p>
          <w:p w14:paraId="605F56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47907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Перечень вопросов</w:t>
            </w:r>
          </w:p>
          <w:p w14:paraId="723145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67366B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Положение вопроса</w:t>
            </w:r>
          </w:p>
          <w:p w14:paraId="2DC96C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234D6D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6C5CFE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4A7246A" w14:textId="77777777">
        <w:trPr>
          <w:trHeight w:val="1853"/>
        </w:trPr>
        <w:tc>
          <w:tcPr>
            <w:tcW w:w="426" w:type="dxa"/>
            <w:tcBorders>
              <w:top w:val="single" w:sz="6" w:space="0" w:color="auto"/>
              <w:left w:val="single" w:sz="6" w:space="0" w:color="auto"/>
              <w:bottom w:val="single" w:sz="6" w:space="0" w:color="auto"/>
              <w:right w:val="single" w:sz="6" w:space="0" w:color="auto"/>
            </w:tcBorders>
          </w:tcPr>
          <w:p w14:paraId="2574F6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130FBF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E2681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Изготовление опытного образца Т-19. Срок изготовления 1 марта 1931 г. (Постановление </w:t>
            </w:r>
            <w:proofErr w:type="spellStart"/>
            <w:r w:rsidRPr="007122AB">
              <w:rPr>
                <w:rFonts w:ascii="Times New Roman" w:hAnsi="Times New Roman"/>
                <w:color w:val="000000" w:themeColor="text1"/>
                <w:sz w:val="16"/>
                <w:szCs w:val="16"/>
              </w:rPr>
              <w:t>РВССССРот</w:t>
            </w:r>
            <w:proofErr w:type="spellEnd"/>
            <w:r w:rsidRPr="007122AB">
              <w:rPr>
                <w:rFonts w:ascii="Times New Roman" w:hAnsi="Times New Roman"/>
                <w:color w:val="000000" w:themeColor="text1"/>
                <w:sz w:val="16"/>
                <w:szCs w:val="16"/>
              </w:rPr>
              <w:t xml:space="preserve"> 13 июля 1930 г.)</w:t>
            </w:r>
          </w:p>
          <w:p w14:paraId="063B8A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35419D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Корпус танка собран. Мотор находится в стадии сборки. Будет закончен сборкой к 20 февраля. По ходовой части механическая обработка закончена, приступлено к сборке.</w:t>
            </w:r>
          </w:p>
          <w:p w14:paraId="31516E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1C0897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изготовления 1 образца был намечен на январь месяц, но промышленность не выдержала этого срока и по всей вероятности танк будет собран к 1 марта.</w:t>
            </w:r>
          </w:p>
          <w:p w14:paraId="10A492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8236927" w14:textId="77777777">
        <w:trPr>
          <w:trHeight w:val="2198"/>
        </w:trPr>
        <w:tc>
          <w:tcPr>
            <w:tcW w:w="426" w:type="dxa"/>
            <w:tcBorders>
              <w:top w:val="single" w:sz="6" w:space="0" w:color="auto"/>
              <w:left w:val="single" w:sz="6" w:space="0" w:color="auto"/>
              <w:bottom w:val="single" w:sz="6" w:space="0" w:color="auto"/>
              <w:right w:val="single" w:sz="6" w:space="0" w:color="auto"/>
            </w:tcBorders>
          </w:tcPr>
          <w:p w14:paraId="6B2CB4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p w14:paraId="2D1D07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BE36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Изготовление опытного образца танка Т-20. Срок изготовления 1 октября 1930 г. (Постановление РВС СССР от 1 3 августа 1930 г.)</w:t>
            </w:r>
          </w:p>
          <w:p w14:paraId="15311A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17CE31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изготовлен в двух вариантах: модернизированный мотор Т-18 конструкции КБ завода Большевик и новый мотор конструкции ГКБ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Вследствие аварии мотора КБ последний в настоящее время находится в стадии переборки и устранения ряда дефектов. Мотор ГКБ прошел предварительные испытания и показал удовлетворительные результаты. В ближайшие дни оба мотора ставятся на 100 ч. испытание Корпус и ходовая часть собраны. Испытания Т-20 можно ожидать не ранее марта месяца.</w:t>
            </w:r>
          </w:p>
          <w:p w14:paraId="5C3E13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54708F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BD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CF5B7A5" w14:textId="77777777">
        <w:trPr>
          <w:trHeight w:val="1834"/>
        </w:trPr>
        <w:tc>
          <w:tcPr>
            <w:tcW w:w="426" w:type="dxa"/>
            <w:tcBorders>
              <w:top w:val="single" w:sz="6" w:space="0" w:color="auto"/>
              <w:left w:val="single" w:sz="6" w:space="0" w:color="auto"/>
              <w:bottom w:val="single" w:sz="6" w:space="0" w:color="auto"/>
              <w:right w:val="single" w:sz="6" w:space="0" w:color="auto"/>
            </w:tcBorders>
          </w:tcPr>
          <w:p w14:paraId="4185D9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46FDB4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E0BBB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Гусеничная танкетка Т-23. Срок изготовления 1 декабря 1930 г. (Постановление РВС СССР от 13 августа 1930 г.)</w:t>
            </w:r>
          </w:p>
          <w:p w14:paraId="732545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77F8EE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согласно п.2, так как для нее предназначен мотор Т-20 конструкции ГКБ. Корпус склепан, заканчивается изготовление деталей для ходовой части по линии заготовительных цехов. Механическую обработку прошли около 20% деталей. Изготовление опытного образца ожидается во 2-й половине марта. Срок изготовления опытного образца был перенесен на 1 марта ввиду форсирования работ по танку Т-19.</w:t>
            </w:r>
          </w:p>
          <w:p w14:paraId="23E6E2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6B8E8C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C209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10BFCD6"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299329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p w14:paraId="0D9BD3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DFDBF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Гусеничная танкетка Т-27. (Постановление РВС СССР от 13 августа 1930 г.)</w:t>
            </w:r>
          </w:p>
          <w:p w14:paraId="7A9F90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5675C2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образец с моторной установкой Форд-АА с новым корпусом, с новой ходовой частью был закончен изготовлением 5 февраля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Первый опытный образец при заводских испытаниях показал хорошие результаты.</w:t>
            </w:r>
          </w:p>
          <w:p w14:paraId="7EC2EF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1759F5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7B4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5254494" w14:textId="77777777">
        <w:trPr>
          <w:trHeight w:val="3446"/>
        </w:trPr>
        <w:tc>
          <w:tcPr>
            <w:tcW w:w="426" w:type="dxa"/>
            <w:tcBorders>
              <w:top w:val="single" w:sz="6" w:space="0" w:color="auto"/>
              <w:left w:val="single" w:sz="6" w:space="0" w:color="auto"/>
              <w:bottom w:val="single" w:sz="6" w:space="0" w:color="auto"/>
              <w:right w:val="single" w:sz="6" w:space="0" w:color="auto"/>
            </w:tcBorders>
          </w:tcPr>
          <w:p w14:paraId="43EF46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p w14:paraId="4D7935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F7CC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Т-24.</w:t>
            </w:r>
          </w:p>
          <w:p w14:paraId="667181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2B82A7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Изготовлены 3 корпуса и ни одной башни. Заканчивается на ХПЗ изготовление всех механизмов на 1 серию в 15 машин. До настоящего времени не устранен целый ряд конструктивных недостатков: в системе охлаждения выявилась необходимость поставить дополнительные </w:t>
            </w:r>
            <w:proofErr w:type="spellStart"/>
            <w:r w:rsidRPr="007122AB">
              <w:rPr>
                <w:rFonts w:ascii="Times New Roman" w:hAnsi="Times New Roman"/>
                <w:color w:val="000000" w:themeColor="text1"/>
                <w:sz w:val="16"/>
                <w:szCs w:val="16"/>
              </w:rPr>
              <w:t>воздухо</w:t>
            </w:r>
            <w:proofErr w:type="spellEnd"/>
            <w:r w:rsidRPr="007122AB">
              <w:rPr>
                <w:rFonts w:ascii="Times New Roman" w:hAnsi="Times New Roman"/>
                <w:color w:val="000000" w:themeColor="text1"/>
                <w:sz w:val="16"/>
                <w:szCs w:val="16"/>
              </w:rPr>
              <w:t>-отражательные щитки на радиатор, т.к. существующая система охлаждает только нижнюю часть радиатора, в коробке скоростей необходимо переставить фильтр, поставленные железные тормозные ленты греются, т.к. вместо стальных заводом поставлены железные, регулятор мотора работает неисправно. Новая коробка скоростей до сего времени не изготовлена. Завод намечает устранить отмеченные дефекты, за исключением изготовления новой коробки скоростей примерно к началу марта.</w:t>
            </w:r>
          </w:p>
          <w:p w14:paraId="4E4E9D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390F18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D8A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E237B12" w14:textId="77777777">
        <w:trPr>
          <w:trHeight w:val="1142"/>
        </w:trPr>
        <w:tc>
          <w:tcPr>
            <w:tcW w:w="426" w:type="dxa"/>
            <w:tcBorders>
              <w:top w:val="single" w:sz="6" w:space="0" w:color="auto"/>
              <w:left w:val="single" w:sz="6" w:space="0" w:color="auto"/>
              <w:bottom w:val="single" w:sz="6" w:space="0" w:color="auto"/>
              <w:right w:val="single" w:sz="6" w:space="0" w:color="auto"/>
            </w:tcBorders>
          </w:tcPr>
          <w:p w14:paraId="11C4C3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44946D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D26F4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Большой танк. Разработка общего проекта к 1 октября 1 930 г. (Протокол №29 РВС СССР от 17-1 8 июля 1929г.)</w:t>
            </w:r>
          </w:p>
          <w:p w14:paraId="2A88D3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5E27B1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Главное конструкторское бюро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разрабатывает общий проект. Срок окончания март 1931 г.</w:t>
            </w:r>
          </w:p>
          <w:p w14:paraId="33C1B1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28BF5B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559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413E03F" w14:textId="77777777">
        <w:trPr>
          <w:trHeight w:val="1344"/>
        </w:trPr>
        <w:tc>
          <w:tcPr>
            <w:tcW w:w="426" w:type="dxa"/>
            <w:tcBorders>
              <w:top w:val="single" w:sz="6" w:space="0" w:color="auto"/>
              <w:left w:val="single" w:sz="6" w:space="0" w:color="auto"/>
              <w:bottom w:val="single" w:sz="6" w:space="0" w:color="auto"/>
              <w:right w:val="single" w:sz="6" w:space="0" w:color="auto"/>
            </w:tcBorders>
          </w:tcPr>
          <w:p w14:paraId="12353A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p w14:paraId="1F19EB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05C10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Танкетка колесно-гусеничная. (Протокол №29 РВС СССР от 17-1 8 июля 1929г.)</w:t>
            </w:r>
          </w:p>
          <w:p w14:paraId="26DF5A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61A63D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Главным конструкторским бюро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9 февраля представлен проект на рассмотрение. Кроме того, НАТИ приступил к разработке общего проекта с использованием мотора Форд-АА и оформлению идеи Кристи перехода с колесного на гусеничный ход.</w:t>
            </w:r>
          </w:p>
          <w:p w14:paraId="4194CF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04EEE3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плану намечается изготовление опытного образца в ноябре 1930 года.</w:t>
            </w:r>
          </w:p>
          <w:p w14:paraId="5B93E7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FB12B14"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198EBA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p w14:paraId="139F97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C866F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Плавучая танкетка</w:t>
            </w:r>
          </w:p>
          <w:p w14:paraId="7C70EC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13328F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Представлен на рассмотрение НТК проект Конструкторского бюро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с мотором Форд «А»</w:t>
            </w:r>
          </w:p>
          <w:p w14:paraId="15BE48F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00329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D2C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D020CF1" w14:textId="77777777">
        <w:trPr>
          <w:trHeight w:val="1114"/>
        </w:trPr>
        <w:tc>
          <w:tcPr>
            <w:tcW w:w="426" w:type="dxa"/>
            <w:tcBorders>
              <w:top w:val="single" w:sz="6" w:space="0" w:color="auto"/>
              <w:left w:val="single" w:sz="6" w:space="0" w:color="auto"/>
              <w:bottom w:val="single" w:sz="6" w:space="0" w:color="auto"/>
              <w:right w:val="single" w:sz="6" w:space="0" w:color="auto"/>
            </w:tcBorders>
          </w:tcPr>
          <w:p w14:paraId="3ACE6C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p w14:paraId="1C2209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0D942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Радиотанк</w:t>
            </w:r>
            <w:proofErr w:type="spellEnd"/>
            <w:r w:rsidRPr="007122AB">
              <w:rPr>
                <w:rFonts w:ascii="Times New Roman" w:hAnsi="Times New Roman"/>
                <w:color w:val="000000" w:themeColor="text1"/>
                <w:sz w:val="16"/>
                <w:szCs w:val="16"/>
              </w:rPr>
              <w:t>. Проект и постройка опытного образца (Протокол № 29 РВС СССР от 17-1 8 июля 1929 г.)</w:t>
            </w:r>
          </w:p>
          <w:p w14:paraId="09CACC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4413FC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плану работ НТК УММ на 1931 г. для </w:t>
            </w:r>
            <w:proofErr w:type="spellStart"/>
            <w:r w:rsidRPr="007122AB">
              <w:rPr>
                <w:rFonts w:ascii="Times New Roman" w:hAnsi="Times New Roman"/>
                <w:color w:val="000000" w:themeColor="text1"/>
                <w:sz w:val="16"/>
                <w:szCs w:val="16"/>
              </w:rPr>
              <w:t>радиотанка</w:t>
            </w:r>
            <w:proofErr w:type="spellEnd"/>
            <w:r w:rsidRPr="007122AB">
              <w:rPr>
                <w:rFonts w:ascii="Times New Roman" w:hAnsi="Times New Roman"/>
                <w:color w:val="000000" w:themeColor="text1"/>
                <w:sz w:val="16"/>
                <w:szCs w:val="16"/>
              </w:rPr>
              <w:t xml:space="preserve"> назначен малый танк Т-19. Срок готовности опытного образца 1 октября 1931 г. Вопрос об образце подлежит пересмотру, если будет принято решение о переходе на малый танк Т-26.</w:t>
            </w:r>
          </w:p>
          <w:p w14:paraId="4DBE34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14F49A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2FC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414436C"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2B767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10</w:t>
            </w:r>
          </w:p>
          <w:p w14:paraId="3111F1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87BF2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Дымовой и мостовой танк (Протокол № 29 РВС СССР от 17-18 июля 1929г.)</w:t>
            </w:r>
          </w:p>
          <w:p w14:paraId="661CE3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D509C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плану работ НТК УММ на 1931 г. предусмотрена разработка проектов и рабочих чертежей дымового и мостового танка на шасси Т-19 со сроком окончания в декабре 1931 г. Вопрос об образце подлежит пересмотру, если будет принято решение о переходе на малый танк Т-26.</w:t>
            </w:r>
          </w:p>
          <w:p w14:paraId="188A6C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1166D6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0CE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CE3C7EB"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86B31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p w14:paraId="63587A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46F24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Малый танк Т-26 (6 т Виккерс) Постановление РВС СССР от 13 августа 1930 г.</w:t>
            </w:r>
          </w:p>
          <w:p w14:paraId="46DF66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035AF3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танка закончены, результаты представлены на утверждение РВС СССР.</w:t>
            </w:r>
          </w:p>
          <w:p w14:paraId="532B8D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8E7BA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E72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BB2A74A"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97982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p w14:paraId="559E92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F6C20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Виккерс 12 тонный (Постановление РВС СССР от 1 3 августа 1930 г.)</w:t>
            </w:r>
          </w:p>
          <w:p w14:paraId="32304B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01C0BB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Находится в стадии испытаний.</w:t>
            </w:r>
          </w:p>
          <w:p w14:paraId="59E1AE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1E07C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6CB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CDEA7EB" w14:textId="77777777">
        <w:trPr>
          <w:trHeight w:val="941"/>
        </w:trPr>
        <w:tc>
          <w:tcPr>
            <w:tcW w:w="426" w:type="dxa"/>
            <w:tcBorders>
              <w:top w:val="single" w:sz="6" w:space="0" w:color="auto"/>
              <w:left w:val="single" w:sz="6" w:space="0" w:color="auto"/>
              <w:bottom w:val="single" w:sz="6" w:space="0" w:color="auto"/>
              <w:right w:val="single" w:sz="6" w:space="0" w:color="auto"/>
            </w:tcBorders>
          </w:tcPr>
          <w:p w14:paraId="5FC872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p w14:paraId="27E0C0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5450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«Д». Срок испытания 1 5 сентября 1930 г. (Постановление РВС СССР от 13 августа 1930 г.)</w:t>
            </w:r>
          </w:p>
          <w:p w14:paraId="6193CE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E7502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был в опытном заводском пробеге. Опытный образец танка не закончен.</w:t>
            </w:r>
          </w:p>
          <w:p w14:paraId="69E35F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52D3E2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A743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E9EB93A" w14:textId="77777777">
        <w:trPr>
          <w:trHeight w:val="394"/>
        </w:trPr>
        <w:tc>
          <w:tcPr>
            <w:tcW w:w="426" w:type="dxa"/>
            <w:tcBorders>
              <w:top w:val="single" w:sz="6" w:space="0" w:color="auto"/>
              <w:left w:val="single" w:sz="6" w:space="0" w:color="auto"/>
              <w:bottom w:val="single" w:sz="6" w:space="0" w:color="auto"/>
              <w:right w:val="single" w:sz="6" w:space="0" w:color="auto"/>
            </w:tcBorders>
          </w:tcPr>
          <w:p w14:paraId="24DC98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p w14:paraId="3DCC53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2A20F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трактора «Катерпиллер».</w:t>
            </w:r>
          </w:p>
          <w:p w14:paraId="7E3F07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5310B7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Закончена бронировка опытного образца 8 февраля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434AAA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2287BF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BB9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6C92A41" w14:textId="77777777">
        <w:trPr>
          <w:trHeight w:val="403"/>
        </w:trPr>
        <w:tc>
          <w:tcPr>
            <w:tcW w:w="426" w:type="dxa"/>
            <w:tcBorders>
              <w:top w:val="single" w:sz="6" w:space="0" w:color="auto"/>
              <w:left w:val="single" w:sz="6" w:space="0" w:color="auto"/>
              <w:bottom w:val="single" w:sz="6" w:space="0" w:color="auto"/>
              <w:right w:val="single" w:sz="6" w:space="0" w:color="auto"/>
            </w:tcBorders>
          </w:tcPr>
          <w:p w14:paraId="6A34B3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p w14:paraId="02D035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8FC2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трактора «Коммунар»</w:t>
            </w:r>
          </w:p>
          <w:p w14:paraId="0E1961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EAE7B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Закончена бронировка опытного образца 8 февраля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06D4EF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31FE87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838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A7D937C" w14:textId="77777777">
        <w:trPr>
          <w:trHeight w:val="394"/>
        </w:trPr>
        <w:tc>
          <w:tcPr>
            <w:tcW w:w="426" w:type="dxa"/>
            <w:tcBorders>
              <w:top w:val="single" w:sz="6" w:space="0" w:color="auto"/>
              <w:left w:val="single" w:sz="6" w:space="0" w:color="auto"/>
              <w:bottom w:val="single" w:sz="6" w:space="0" w:color="auto"/>
              <w:right w:val="single" w:sz="6" w:space="0" w:color="auto"/>
            </w:tcBorders>
          </w:tcPr>
          <w:p w14:paraId="2E66E8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p w14:paraId="3CF2CE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F510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трактора «Интернационал».</w:t>
            </w:r>
          </w:p>
          <w:p w14:paraId="599913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60929B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Находится в стадии бронирования.</w:t>
            </w:r>
          </w:p>
          <w:p w14:paraId="7366FD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511B639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9959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9E872C6" w14:textId="77777777">
        <w:trPr>
          <w:trHeight w:val="1315"/>
        </w:trPr>
        <w:tc>
          <w:tcPr>
            <w:tcW w:w="426" w:type="dxa"/>
            <w:tcBorders>
              <w:top w:val="single" w:sz="6" w:space="0" w:color="auto"/>
              <w:left w:val="single" w:sz="6" w:space="0" w:color="auto"/>
              <w:bottom w:val="single" w:sz="6" w:space="0" w:color="auto"/>
              <w:right w:val="single" w:sz="6" w:space="0" w:color="auto"/>
            </w:tcBorders>
          </w:tcPr>
          <w:p w14:paraId="2E8FC1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p w14:paraId="5C051A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AC564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6-ти колесный Форд-АА (Протокол РВС СССР от 10 декабря 1929г.)</w:t>
            </w:r>
          </w:p>
          <w:p w14:paraId="11B22A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B0D1C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 общий проект. Ввиду категорического отказа ВАТО изготовить опытный образец на своих заводах эта работа передана Киевскому и Одесскому энергетическим институтам со сроком окончания к 1 мая 1931 г. (заказано 2 опытных образца).</w:t>
            </w:r>
          </w:p>
          <w:p w14:paraId="41071B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8B3B1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564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114A4A8" w14:textId="77777777">
        <w:trPr>
          <w:trHeight w:val="3110"/>
        </w:trPr>
        <w:tc>
          <w:tcPr>
            <w:tcW w:w="426" w:type="dxa"/>
            <w:tcBorders>
              <w:top w:val="single" w:sz="6" w:space="0" w:color="auto"/>
              <w:left w:val="single" w:sz="6" w:space="0" w:color="auto"/>
              <w:bottom w:val="single" w:sz="6" w:space="0" w:color="auto"/>
              <w:right w:val="single" w:sz="6" w:space="0" w:color="auto"/>
            </w:tcBorders>
          </w:tcPr>
          <w:p w14:paraId="2587E4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p w14:paraId="69489E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1ED22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6-ти колесный Форд-АА (Решение совещания зампредов от 6 сентября 1930 г.). Изготовление опытного образца к 1 декабря 1930 г.</w:t>
            </w:r>
          </w:p>
          <w:p w14:paraId="215143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4584EB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Выполнены опытные образцы: 1) Форд </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xml:space="preserve">, 2) Форд НАМИ и 3) Форд конструкции Главной фордовской лаборатории в Дирборне. Форд </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xml:space="preserve"> испытан, дал хорошие результаты и задние мосты к нему заказываются в Америке. Форд НАМИ испытан и дал хорошие результаты. Прибытие образца Главной фордовской лаборатории ожидается через несколько дней.</w:t>
            </w:r>
          </w:p>
          <w:p w14:paraId="174517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0B22A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УММ считает, что для отечественного производства имеется не законченная конструкция 6-ти колесного Форд-АА и категорически настаивает на организации производства 6-ти колесных машин в конце 1931 г. параллельно с пуском Нижегородского завода.</w:t>
            </w:r>
          </w:p>
          <w:p w14:paraId="5E16F0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90F612B" w14:textId="77777777">
        <w:trPr>
          <w:trHeight w:val="1286"/>
        </w:trPr>
        <w:tc>
          <w:tcPr>
            <w:tcW w:w="426" w:type="dxa"/>
            <w:tcBorders>
              <w:top w:val="single" w:sz="6" w:space="0" w:color="auto"/>
              <w:left w:val="single" w:sz="6" w:space="0" w:color="auto"/>
              <w:bottom w:val="single" w:sz="6" w:space="0" w:color="auto"/>
              <w:right w:val="single" w:sz="6" w:space="0" w:color="auto"/>
            </w:tcBorders>
          </w:tcPr>
          <w:p w14:paraId="7FFD92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p w14:paraId="3DDDBD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EC2CD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6-ти колесный автомобиль АМО-2 (Решение совещания зампредов от 6 сентября 1930 г.) Изготовление опытного образца к 1 мая 1931 г.</w:t>
            </w:r>
          </w:p>
          <w:p w14:paraId="125DE2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36BAB4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 образцы испытаны на износ и переданы на завод АМО для необходимых конструктивных изменений. Заводом АМО срок переработки конструкции установлен - 1 марта. Изготовление рабочих чертежей - 2 мая. Пуск в производство - 1 ноября.</w:t>
            </w:r>
          </w:p>
          <w:p w14:paraId="33BA28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07AEC8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37D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C38494C" w14:textId="77777777">
        <w:trPr>
          <w:trHeight w:val="576"/>
        </w:trPr>
        <w:tc>
          <w:tcPr>
            <w:tcW w:w="426" w:type="dxa"/>
            <w:tcBorders>
              <w:top w:val="single" w:sz="6" w:space="0" w:color="auto"/>
              <w:left w:val="single" w:sz="6" w:space="0" w:color="auto"/>
              <w:bottom w:val="single" w:sz="6" w:space="0" w:color="auto"/>
              <w:right w:val="single" w:sz="6" w:space="0" w:color="auto"/>
            </w:tcBorders>
          </w:tcPr>
          <w:p w14:paraId="1E0F94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p w14:paraId="56B074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A71EC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6-ти колесный автомобиль Я-5</w:t>
            </w:r>
          </w:p>
          <w:p w14:paraId="0F8DA5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480C97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УММ скомпонован опытный образец с использованием ходовой части автомобиля </w:t>
            </w:r>
            <w:proofErr w:type="spellStart"/>
            <w:r w:rsidRPr="007122AB">
              <w:rPr>
                <w:rFonts w:ascii="Times New Roman" w:hAnsi="Times New Roman"/>
                <w:color w:val="000000" w:themeColor="text1"/>
                <w:sz w:val="16"/>
                <w:szCs w:val="16"/>
              </w:rPr>
              <w:t>Морелэнд</w:t>
            </w:r>
            <w:proofErr w:type="spellEnd"/>
            <w:r w:rsidRPr="007122AB">
              <w:rPr>
                <w:rFonts w:ascii="Times New Roman" w:hAnsi="Times New Roman"/>
                <w:color w:val="000000" w:themeColor="text1"/>
                <w:sz w:val="16"/>
                <w:szCs w:val="16"/>
              </w:rPr>
              <w:t>. Образец еще не испытан.</w:t>
            </w:r>
          </w:p>
          <w:p w14:paraId="261274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2D1593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07C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BEAD05C"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660D3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p w14:paraId="0BB129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688CA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Форд-А.</w:t>
            </w:r>
          </w:p>
          <w:p w14:paraId="68CB99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65C080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основном закончено изготовление 4 опытных образцов. Зампредом принято решение остановиться на 2 образцах бронировки т.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w:t>
            </w:r>
          </w:p>
          <w:p w14:paraId="25006C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1C605C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A6E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FBCBCE8" w14:textId="77777777">
        <w:trPr>
          <w:trHeight w:val="931"/>
        </w:trPr>
        <w:tc>
          <w:tcPr>
            <w:tcW w:w="426" w:type="dxa"/>
            <w:tcBorders>
              <w:top w:val="single" w:sz="6" w:space="0" w:color="auto"/>
              <w:left w:val="single" w:sz="6" w:space="0" w:color="auto"/>
              <w:bottom w:val="single" w:sz="6" w:space="0" w:color="auto"/>
              <w:right w:val="single" w:sz="6" w:space="0" w:color="auto"/>
            </w:tcBorders>
          </w:tcPr>
          <w:p w14:paraId="2A485BE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p w14:paraId="34F95C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7154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шасси Форд-АА. (Постановление РВС СССР от 17-1 8 июля 1929 г.) средний бронеавтомобиль.</w:t>
            </w:r>
          </w:p>
          <w:p w14:paraId="5FB3CB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0F9A67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Сварен и установлен кузов на шасси. Не изготовлена башня. Опытный образец будет закончен к 1 марта, как это и требовалось совещанием зампредов от 6 сентября 1930 г.</w:t>
            </w:r>
          </w:p>
          <w:p w14:paraId="31851C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AAA90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2EB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1B595BC"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6A7F3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24</w:t>
            </w:r>
          </w:p>
          <w:p w14:paraId="344328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F6708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Бронирование 6-ти колесного шасси </w:t>
            </w:r>
            <w:proofErr w:type="spellStart"/>
            <w:r w:rsidRPr="007122AB">
              <w:rPr>
                <w:rFonts w:ascii="Times New Roman" w:hAnsi="Times New Roman"/>
                <w:color w:val="000000" w:themeColor="text1"/>
                <w:sz w:val="16"/>
                <w:szCs w:val="16"/>
              </w:rPr>
              <w:t>Морелэнд</w:t>
            </w:r>
            <w:proofErr w:type="spellEnd"/>
            <w:r w:rsidRPr="007122AB">
              <w:rPr>
                <w:rFonts w:ascii="Times New Roman" w:hAnsi="Times New Roman"/>
                <w:color w:val="000000" w:themeColor="text1"/>
                <w:sz w:val="16"/>
                <w:szCs w:val="16"/>
              </w:rPr>
              <w:t>.</w:t>
            </w:r>
          </w:p>
          <w:p w14:paraId="7EAAC0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77AA48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Заканчивается сварка кузова для опытного образца. К изготовлению башни не приступлено. Опытный образец будет закончен в первых числах марта.</w:t>
            </w:r>
          </w:p>
          <w:p w14:paraId="5ABE71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71989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50C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6D98643" w14:textId="77777777">
        <w:trPr>
          <w:trHeight w:val="1478"/>
        </w:trPr>
        <w:tc>
          <w:tcPr>
            <w:tcW w:w="426" w:type="dxa"/>
            <w:tcBorders>
              <w:top w:val="single" w:sz="6" w:space="0" w:color="auto"/>
              <w:left w:val="single" w:sz="6" w:space="0" w:color="auto"/>
              <w:bottom w:val="single" w:sz="6" w:space="0" w:color="auto"/>
              <w:right w:val="single" w:sz="6" w:space="0" w:color="auto"/>
            </w:tcBorders>
          </w:tcPr>
          <w:p w14:paraId="2E3E0B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p w14:paraId="1D400B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0AEC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трактор Интернационал на гусенице. Изготовление опытного образца к 1 декабря 1930 г. (Решение совещания зампредов от 6 сентября 1930 г.)</w:t>
            </w:r>
          </w:p>
          <w:p w14:paraId="6711F3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36C887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 выполнен. Но так как ВАТО отказалось изготовить опытный образец, то эта работа передана Одесскому энергетическому Институту со сроком окончания в июле 1931 г. Кроме того, по получении от ВТУ гусеничных придатков каковые будут поставлены на трактор Интернационал и испытаны.</w:t>
            </w:r>
          </w:p>
          <w:p w14:paraId="45F296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068697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878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90E76BC" w14:textId="77777777">
        <w:trPr>
          <w:trHeight w:val="1498"/>
        </w:trPr>
        <w:tc>
          <w:tcPr>
            <w:tcW w:w="426" w:type="dxa"/>
            <w:tcBorders>
              <w:top w:val="single" w:sz="6" w:space="0" w:color="auto"/>
              <w:left w:val="single" w:sz="6" w:space="0" w:color="auto"/>
              <w:bottom w:val="single" w:sz="6" w:space="0" w:color="auto"/>
              <w:right w:val="single" w:sz="6" w:space="0" w:color="auto"/>
            </w:tcBorders>
          </w:tcPr>
          <w:p w14:paraId="4200AA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p w14:paraId="2EA955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149C8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Средний трактор Коммунар 100 НР и скорость 20 км/ч. Срок изготовления опытного образца 1 января 1931 г. (Решение совещания зампредов от 6 сентября 1930 г.) (11210)</w:t>
            </w:r>
          </w:p>
          <w:p w14:paraId="76AD69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75B1C8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 находится в производстве на ГХПЗ. Окончание 3 опытных образцов ожидается в апреле 1931 г.</w:t>
            </w:r>
          </w:p>
          <w:p w14:paraId="405350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74F41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68F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EDC1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Тяжелый трактор (Протокол РВС СССР № 29 от 17-18 июля 1929г.)</w:t>
      </w:r>
    </w:p>
    <w:p w14:paraId="7E28C0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Средний трактор Катерпиллер</w:t>
      </w:r>
    </w:p>
    <w:p w14:paraId="7C5AD3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Общий проект тяжелого трактора с использованием агрегатов и деталей трактора Катерпиллер выполнен.</w:t>
      </w:r>
    </w:p>
    <w:p w14:paraId="437A9A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Разработан проект модернизации трактора Катерпиллер (увеличена скорость до 12 км в час и введена 4-х скоростная коробка) и заказаны 2 опытных образца на Челябинском опытном тракторном заводе со сроком изготовления 1 - к 15 марта 1931 г. и 2 - к 15 мая 1931 г. Состояние работ обеспечивает изготовление опытных образцов в эти сроки.</w:t>
      </w:r>
    </w:p>
    <w:p w14:paraId="5191CF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УММ считает, что организация производства тяжелых тракторов нецелесообразна как по дорожным </w:t>
      </w:r>
      <w:proofErr w:type="spellStart"/>
      <w:r w:rsidRPr="007122AB">
        <w:rPr>
          <w:rFonts w:ascii="Times New Roman" w:hAnsi="Times New Roman"/>
          <w:color w:val="000000" w:themeColor="text1"/>
          <w:sz w:val="16"/>
          <w:szCs w:val="16"/>
        </w:rPr>
        <w:t>условиям,так</w:t>
      </w:r>
      <w:proofErr w:type="spellEnd"/>
      <w:r w:rsidRPr="007122AB">
        <w:rPr>
          <w:rFonts w:ascii="Times New Roman" w:hAnsi="Times New Roman"/>
          <w:color w:val="000000" w:themeColor="text1"/>
          <w:sz w:val="16"/>
          <w:szCs w:val="16"/>
        </w:rPr>
        <w:t xml:space="preserve"> и по весу грузов, подлежащих перевозке на тракторах.</w:t>
      </w:r>
    </w:p>
    <w:p w14:paraId="61C841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Управления по механизации и моторизации РККА </w:t>
      </w:r>
      <w:proofErr w:type="spellStart"/>
      <w:r w:rsidRPr="007122AB">
        <w:rPr>
          <w:rFonts w:ascii="Times New Roman" w:hAnsi="Times New Roman"/>
          <w:color w:val="000000" w:themeColor="text1"/>
          <w:sz w:val="16"/>
          <w:szCs w:val="16"/>
        </w:rPr>
        <w:t>Халепский</w:t>
      </w:r>
      <w:proofErr w:type="spellEnd"/>
    </w:p>
    <w:p w14:paraId="5A822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РГВА.Ф. 31811. Оп. 1. Д. 141. Л. 1 -3. Копия (11210).</w:t>
      </w:r>
    </w:p>
    <w:p w14:paraId="4D6C9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A6CD01"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15 февраля</w:t>
      </w:r>
      <w:r w:rsidRPr="007122AB">
        <w:rPr>
          <w:rFonts w:ascii="Times New Roman" w:hAnsi="Times New Roman"/>
          <w:color w:val="000000" w:themeColor="text1"/>
          <w:sz w:val="16"/>
          <w:szCs w:val="16"/>
        </w:rPr>
        <w:t xml:space="preserve"> в 1931 году из ворот Опытного завода ЧТЗ (Челябинск) выехал первый советский гусеничный трактор «С-60» (15041).</w:t>
      </w:r>
    </w:p>
    <w:p w14:paraId="4C138D82"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25288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февраля 1931 на опытном заводе в Ленинграде под руководством </w:t>
      </w:r>
      <w:proofErr w:type="spellStart"/>
      <w:r w:rsidRPr="007122AB">
        <w:rPr>
          <w:rFonts w:ascii="Times New Roman" w:hAnsi="Times New Roman"/>
          <w:color w:val="000000" w:themeColor="text1"/>
          <w:sz w:val="16"/>
          <w:szCs w:val="16"/>
        </w:rPr>
        <w:t>С.В.Лебедева</w:t>
      </w:r>
      <w:proofErr w:type="spellEnd"/>
      <w:r w:rsidRPr="007122AB">
        <w:rPr>
          <w:rFonts w:ascii="Times New Roman" w:hAnsi="Times New Roman"/>
          <w:color w:val="000000" w:themeColor="text1"/>
          <w:sz w:val="16"/>
          <w:szCs w:val="16"/>
        </w:rPr>
        <w:t xml:space="preserve"> был получен первый в СССР блок искусственного каучук (3960,64).</w:t>
      </w:r>
    </w:p>
    <w:p w14:paraId="1FF03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E42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36C22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51FE2D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1F2F8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8838D4" w14:textId="77777777" w:rsidR="00EA7676" w:rsidRPr="007122AB" w:rsidRDefault="00EA76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15 февраля</w:t>
      </w:r>
      <w:r w:rsidRPr="007122AB">
        <w:rPr>
          <w:rFonts w:ascii="Times New Roman" w:hAnsi="Times New Roman"/>
          <w:color w:val="000000" w:themeColor="text1"/>
          <w:sz w:val="16"/>
          <w:szCs w:val="16"/>
        </w:rPr>
        <w:t xml:space="preserve"> в 1931 году на опытном заводе в Ленинграде под руководством </w:t>
      </w:r>
      <w:proofErr w:type="spellStart"/>
      <w:r w:rsidRPr="007122AB">
        <w:rPr>
          <w:rFonts w:ascii="Times New Roman" w:hAnsi="Times New Roman"/>
          <w:color w:val="000000" w:themeColor="text1"/>
          <w:sz w:val="16"/>
          <w:szCs w:val="16"/>
        </w:rPr>
        <w:t>С.В.Лебедева</w:t>
      </w:r>
      <w:proofErr w:type="spellEnd"/>
      <w:r w:rsidRPr="007122AB">
        <w:rPr>
          <w:rFonts w:ascii="Times New Roman" w:hAnsi="Times New Roman"/>
          <w:color w:val="000000" w:themeColor="text1"/>
          <w:sz w:val="16"/>
          <w:szCs w:val="16"/>
        </w:rPr>
        <w:t xml:space="preserve"> получен первый в СССР блок синтетического каучука весом 265 кг (15041).</w:t>
      </w:r>
    </w:p>
    <w:p w14:paraId="6DF92156" w14:textId="77777777" w:rsidR="00EA7676" w:rsidRPr="007122AB" w:rsidRDefault="00EA7676" w:rsidP="007122AB">
      <w:pPr>
        <w:spacing w:after="0" w:line="240" w:lineRule="auto"/>
        <w:jc w:val="both"/>
        <w:rPr>
          <w:rFonts w:ascii="Times New Roman" w:hAnsi="Times New Roman"/>
          <w:color w:val="000000" w:themeColor="text1"/>
          <w:sz w:val="16"/>
          <w:szCs w:val="16"/>
        </w:rPr>
      </w:pPr>
    </w:p>
    <w:p w14:paraId="0980D80E" w14:textId="77777777" w:rsidR="00EA7676" w:rsidRPr="007122AB" w:rsidRDefault="00EA767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15 февраля 1931 г.</w:t>
      </w:r>
      <w:r w:rsidRPr="007122AB">
        <w:rPr>
          <w:rFonts w:ascii="Times New Roman" w:hAnsi="Times New Roman"/>
          <w:color w:val="000000" w:themeColor="text1"/>
          <w:sz w:val="16"/>
          <w:szCs w:val="16"/>
        </w:rPr>
        <w:t xml:space="preserve"> Начало работы Опытного сектора химического завода № 1 (</w:t>
      </w:r>
      <w:proofErr w:type="spellStart"/>
      <w:r w:rsidRPr="007122AB">
        <w:rPr>
          <w:rFonts w:ascii="Times New Roman" w:hAnsi="Times New Roman"/>
          <w:color w:val="000000" w:themeColor="text1"/>
          <w:sz w:val="16"/>
          <w:szCs w:val="16"/>
        </w:rPr>
        <w:t>г.Москва</w:t>
      </w:r>
      <w:proofErr w:type="spellEnd"/>
      <w:r w:rsidRPr="007122AB">
        <w:rPr>
          <w:rFonts w:ascii="Times New Roman" w:hAnsi="Times New Roman"/>
          <w:color w:val="000000" w:themeColor="text1"/>
          <w:sz w:val="16"/>
          <w:szCs w:val="16"/>
        </w:rPr>
        <w:t xml:space="preserve">, Владимирский тракт, впоследствии — шоссе Энтузиастов; другие названия: Ольгинский завод, </w:t>
      </w:r>
      <w:proofErr w:type="spellStart"/>
      <w:r w:rsidRPr="007122AB">
        <w:rPr>
          <w:rFonts w:ascii="Times New Roman" w:hAnsi="Times New Roman"/>
          <w:color w:val="000000" w:themeColor="text1"/>
          <w:sz w:val="16"/>
          <w:szCs w:val="16"/>
        </w:rPr>
        <w:t>Эксольхим</w:t>
      </w:r>
      <w:proofErr w:type="spellEnd"/>
      <w:r w:rsidRPr="007122AB">
        <w:rPr>
          <w:rFonts w:ascii="Times New Roman" w:hAnsi="Times New Roman"/>
          <w:color w:val="000000" w:themeColor="text1"/>
          <w:sz w:val="16"/>
          <w:szCs w:val="16"/>
        </w:rPr>
        <w:t xml:space="preserve">, химический завод № 51, ГСНИИ-42, ГСНИИ-403, п/я 702, ГСНИИОХТ) — первое организационное решение в последовательном преобразовании завода по промышленному выпуску ОВ (с ЦНИЛ и опытным производством) в нынешний ГСНИИОХТ (головной Институт по химии и технологии ОВ с опытным производством ОВ). С 1926 г. на заводе работала установка по производству хлорацетофенона (выпуск: 1931 г. — 21,7 тонн, 1932 г. — 14,7 тонн) и фосгена. С конца 1926 г. действовала установка по выпуску </w:t>
      </w:r>
      <w:proofErr w:type="spellStart"/>
      <w:r w:rsidRPr="007122AB">
        <w:rPr>
          <w:rFonts w:ascii="Times New Roman" w:hAnsi="Times New Roman"/>
          <w:color w:val="000000" w:themeColor="text1"/>
          <w:sz w:val="16"/>
          <w:szCs w:val="16"/>
        </w:rPr>
        <w:t>дифенилхлорарсина</w:t>
      </w:r>
      <w:proofErr w:type="spellEnd"/>
      <w:r w:rsidRPr="007122AB">
        <w:rPr>
          <w:rFonts w:ascii="Times New Roman" w:hAnsi="Times New Roman"/>
          <w:color w:val="000000" w:themeColor="text1"/>
          <w:sz w:val="16"/>
          <w:szCs w:val="16"/>
        </w:rPr>
        <w:t xml:space="preserve"> с суточной производительностью 4-5 пудов. Мощность установок по производства иприта в 1932-1934 гг. составляла 2000 тонн в год, в 1935-1941 гг. — 2250-2500 тонн в год (фактический выпуск иприта составил в 1931 г. — 61,2 тонны, в 1932 г. — 754,4 тонны, и он продолжался до самой войны). В 1931 г. в опытном секторе завода работало 11 установок, в 1932 г. 23 установки, в том числе по выпуску </w:t>
      </w:r>
      <w:proofErr w:type="spellStart"/>
      <w:r w:rsidRPr="007122AB">
        <w:rPr>
          <w:rFonts w:ascii="Times New Roman" w:hAnsi="Times New Roman"/>
          <w:color w:val="000000" w:themeColor="text1"/>
          <w:sz w:val="16"/>
          <w:szCs w:val="16"/>
        </w:rPr>
        <w:t>бромбензилцинида</w:t>
      </w:r>
      <w:proofErr w:type="spellEnd"/>
      <w:r w:rsidRPr="007122AB">
        <w:rPr>
          <w:rFonts w:ascii="Times New Roman" w:hAnsi="Times New Roman"/>
          <w:color w:val="000000" w:themeColor="text1"/>
          <w:sz w:val="16"/>
          <w:szCs w:val="16"/>
        </w:rPr>
        <w:t xml:space="preserve">, синильной кислоты, хлорциана, также разнообразных </w:t>
      </w:r>
      <w:proofErr w:type="spellStart"/>
      <w:r w:rsidRPr="007122AB">
        <w:rPr>
          <w:rFonts w:ascii="Times New Roman" w:hAnsi="Times New Roman"/>
          <w:color w:val="000000" w:themeColor="text1"/>
          <w:sz w:val="16"/>
          <w:szCs w:val="16"/>
        </w:rPr>
        <w:t>мышьяксодержащих</w:t>
      </w:r>
      <w:proofErr w:type="spellEnd"/>
      <w:r w:rsidRPr="007122AB">
        <w:rPr>
          <w:rFonts w:ascii="Times New Roman" w:hAnsi="Times New Roman"/>
          <w:color w:val="000000" w:themeColor="text1"/>
          <w:sz w:val="16"/>
          <w:szCs w:val="16"/>
        </w:rPr>
        <w:t xml:space="preserve"> ОВ — люизита (мощность на 1 июня 1937 г. .- 210 тонн в год), </w:t>
      </w:r>
      <w:proofErr w:type="spellStart"/>
      <w:r w:rsidRPr="007122AB">
        <w:rPr>
          <w:rFonts w:ascii="Times New Roman" w:hAnsi="Times New Roman"/>
          <w:color w:val="000000" w:themeColor="text1"/>
          <w:sz w:val="16"/>
          <w:szCs w:val="16"/>
        </w:rPr>
        <w:t>дифенилхлорарсина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дифенилцианарсина</w:t>
      </w:r>
      <w:proofErr w:type="spellEnd"/>
      <w:r w:rsidRPr="007122AB">
        <w:rPr>
          <w:rFonts w:ascii="Times New Roman" w:hAnsi="Times New Roman"/>
          <w:color w:val="000000" w:themeColor="text1"/>
          <w:sz w:val="16"/>
          <w:szCs w:val="16"/>
        </w:rPr>
        <w:t xml:space="preserve"> и т.д. В 1934 г. уже велись работы по созданию азотистого иприта, иприта Мейера, незамерзающих и вязких ипритов, смесевых ОВ (синильная кислота- хлорциан, синильная кислота с фтористым водородом и т.д.), ОВ наркотического действия, ОВ, способных «пробивать» противогаз, и т.д. Отходы производств ОВ в основном захоранивались на территории полигоне в Кузьминках (Москва) (17133).</w:t>
      </w:r>
    </w:p>
    <w:p w14:paraId="2EED55A6" w14:textId="77777777" w:rsidR="00EA7676" w:rsidRPr="007122AB" w:rsidRDefault="00EA7676" w:rsidP="007122AB">
      <w:pPr>
        <w:shd w:val="clear" w:color="auto" w:fill="FFFFFF"/>
        <w:spacing w:after="0" w:line="240" w:lineRule="auto"/>
        <w:jc w:val="both"/>
        <w:rPr>
          <w:rFonts w:ascii="Times New Roman" w:hAnsi="Times New Roman"/>
          <w:color w:val="000000" w:themeColor="text1"/>
          <w:sz w:val="16"/>
          <w:szCs w:val="16"/>
        </w:rPr>
      </w:pPr>
    </w:p>
    <w:p w14:paraId="61FB7C7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7E4010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0780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февраля 1931 приказом по ОГПУ N 73/37 было создано ГУ лагерей (ГУЛАГ (3398,75).</w:t>
      </w:r>
    </w:p>
    <w:p w14:paraId="27DF0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51C4F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5FEDD8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853F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февраля 1931 план завода Большевик был скорректирован до 300 шт. Т-26 со сдачей первого танка не позднее 1 мая. Но и это количест</w:t>
      </w:r>
      <w:r w:rsidRPr="007122AB">
        <w:rPr>
          <w:rFonts w:ascii="Times New Roman" w:hAnsi="Times New Roman"/>
          <w:color w:val="000000" w:themeColor="text1"/>
          <w:sz w:val="16"/>
          <w:szCs w:val="16"/>
        </w:rPr>
        <w:softHyphen/>
        <w:t>во оказалось нереальным (10733,175).</w:t>
      </w:r>
    </w:p>
    <w:p w14:paraId="1BE90C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06B61" w14:textId="77777777" w:rsidR="005E747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3445F4C" w14:textId="77777777" w:rsidR="005E7475" w:rsidRPr="007122AB" w:rsidRDefault="005E747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08D880" w14:textId="77777777" w:rsidR="005E7475" w:rsidRPr="007122AB" w:rsidRDefault="005E747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16 февраля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 57 СТО СССР о порядке производства расчетов по судостроению (ГА РФ. Ф. 5674. Оп. 1. Д. 44. Л. 121?122) (12415).</w:t>
      </w:r>
    </w:p>
    <w:p w14:paraId="5B6683EF" w14:textId="77777777" w:rsidR="005E7475" w:rsidRPr="007122AB" w:rsidRDefault="005E7475" w:rsidP="007122AB">
      <w:pPr>
        <w:spacing w:after="0" w:line="240" w:lineRule="auto"/>
        <w:jc w:val="both"/>
        <w:rPr>
          <w:rFonts w:ascii="Times New Roman" w:hAnsi="Times New Roman"/>
          <w:color w:val="000000" w:themeColor="text1"/>
          <w:sz w:val="16"/>
          <w:szCs w:val="16"/>
          <w:u w:color="002060"/>
        </w:rPr>
      </w:pPr>
    </w:p>
    <w:p w14:paraId="06E0551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72C66E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75BF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февраля 1931 вышло постановление СТО, а 20 февраля 1931 вышел приказ N 51 Наркомвоенмора о передаче ВАО назад из состава Наркомвоенмора в ведение ВСНХ СССР (1647,5).</w:t>
      </w:r>
    </w:p>
    <w:p w14:paraId="192E7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CF3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февраля 1931 состоялось совещание руководителей и техперсонала АГОС по АНТ-16 (1077,173).</w:t>
      </w:r>
    </w:p>
    <w:p w14:paraId="763348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63F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февраля 1931 в присутствии немцев с линкора Парижской Коммуны с отремонтированной и доработанной катапульты произвели сразу 4 взлета. Л </w:t>
      </w:r>
      <w:proofErr w:type="spellStart"/>
      <w:r w:rsidRPr="007122AB">
        <w:rPr>
          <w:rFonts w:ascii="Times New Roman" w:hAnsi="Times New Roman"/>
          <w:color w:val="000000" w:themeColor="text1"/>
          <w:sz w:val="16"/>
          <w:szCs w:val="16"/>
        </w:rPr>
        <w:t>Ганулич</w:t>
      </w:r>
      <w:proofErr w:type="spellEnd"/>
      <w:r w:rsidRPr="007122AB">
        <w:rPr>
          <w:rFonts w:ascii="Times New Roman" w:hAnsi="Times New Roman"/>
          <w:color w:val="000000" w:themeColor="text1"/>
          <w:sz w:val="16"/>
          <w:szCs w:val="16"/>
        </w:rPr>
        <w:t xml:space="preserve"> и второй - </w:t>
      </w:r>
      <w:proofErr w:type="spellStart"/>
      <w:r w:rsidRPr="007122AB">
        <w:rPr>
          <w:rFonts w:ascii="Times New Roman" w:hAnsi="Times New Roman"/>
          <w:color w:val="000000" w:themeColor="text1"/>
          <w:sz w:val="16"/>
          <w:szCs w:val="16"/>
        </w:rPr>
        <w:t>Валтонен</w:t>
      </w:r>
      <w:proofErr w:type="spellEnd"/>
      <w:r w:rsidRPr="007122AB">
        <w:rPr>
          <w:rFonts w:ascii="Times New Roman" w:hAnsi="Times New Roman"/>
          <w:color w:val="000000" w:themeColor="text1"/>
          <w:sz w:val="16"/>
          <w:szCs w:val="16"/>
        </w:rPr>
        <w:t xml:space="preserve"> (1083,7).</w:t>
      </w:r>
    </w:p>
    <w:p w14:paraId="1E74F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91FDFB" w14:textId="77777777" w:rsidR="00C02F0A" w:rsidRPr="007122AB" w:rsidRDefault="00C02F0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17 февраля</w:t>
      </w:r>
      <w:r w:rsidRPr="007122AB">
        <w:rPr>
          <w:rFonts w:ascii="Times New Roman" w:hAnsi="Times New Roman"/>
          <w:color w:val="000000" w:themeColor="text1"/>
          <w:sz w:val="16"/>
          <w:szCs w:val="16"/>
        </w:rPr>
        <w:t xml:space="preserve"> в 1931 году с линкора «Марат» летающая лодка «Do-55» (доработанная до «КР-1») совершила с помощью катапульты 4 взлета с посадкой на воду. Двадцатиметровая пневматическая катапульта «К-3» могла разогнать самолет весом до 3,5 т до скорости 130 км/ч. Доработку самолета до «КР-1» на Черном море вел завод N45 в Севастополе. Спереди на кронштейнах устанавливался в </w:t>
      </w:r>
      <w:proofErr w:type="spellStart"/>
      <w:r w:rsidRPr="007122AB">
        <w:rPr>
          <w:rFonts w:ascii="Times New Roman" w:hAnsi="Times New Roman"/>
          <w:color w:val="000000" w:themeColor="text1"/>
          <w:sz w:val="16"/>
          <w:szCs w:val="16"/>
        </w:rPr>
        <w:t>полуутопленном</w:t>
      </w:r>
      <w:proofErr w:type="spellEnd"/>
      <w:r w:rsidRPr="007122AB">
        <w:rPr>
          <w:rFonts w:ascii="Times New Roman" w:hAnsi="Times New Roman"/>
          <w:color w:val="000000" w:themeColor="text1"/>
          <w:sz w:val="16"/>
          <w:szCs w:val="16"/>
        </w:rPr>
        <w:t xml:space="preserve"> положении пулемет ПВ-1 с патронным ящиком по образцу самолета «МР-1». Гашетка ПВ-1 находилась на штурвале, спуск осуществлялся с помощью тросика. Перезаряжание же происходило совсем просто - затвор пулемета выходил в кабину. Летчик прицеливался через простой кольцевой складывающийся прицел. Сзади ставилась турель Тур-6 с парой пулеметов ДА. Под турель, чтобы она свободно двигалась, пришлось подложить деревянный круг толщиной 30 мм. Чтобы козырек задней кабины не мешал вращению, его сместили вперед на 60 мм. Попутно внесли </w:t>
      </w:r>
      <w:r w:rsidRPr="007122AB">
        <w:rPr>
          <w:rFonts w:ascii="Times New Roman" w:hAnsi="Times New Roman"/>
          <w:color w:val="000000" w:themeColor="text1"/>
          <w:sz w:val="16"/>
          <w:szCs w:val="16"/>
        </w:rPr>
        <w:lastRenderedPageBreak/>
        <w:t xml:space="preserve">еще некоторые мелкие изменения - переделали козырек у пилота, сделав его несимметричным (это сочли более удобным, так как летчик сидел не по оси), надели коробку на компенсатор турели и т. д. Пилотировал машину пилот </w:t>
      </w:r>
      <w:proofErr w:type="spellStart"/>
      <w:r w:rsidRPr="007122AB">
        <w:rPr>
          <w:rFonts w:ascii="Times New Roman" w:hAnsi="Times New Roman"/>
          <w:color w:val="000000" w:themeColor="text1"/>
          <w:sz w:val="16"/>
          <w:szCs w:val="16"/>
        </w:rPr>
        <w:t>Ганулич</w:t>
      </w:r>
      <w:proofErr w:type="spellEnd"/>
      <w:r w:rsidRPr="007122AB">
        <w:rPr>
          <w:rFonts w:ascii="Times New Roman" w:hAnsi="Times New Roman"/>
          <w:color w:val="000000" w:themeColor="text1"/>
          <w:sz w:val="16"/>
          <w:szCs w:val="16"/>
        </w:rPr>
        <w:t xml:space="preserve"> (15043).</w:t>
      </w:r>
    </w:p>
    <w:p w14:paraId="63C933D0" w14:textId="77777777" w:rsidR="00C02F0A" w:rsidRPr="007122AB" w:rsidRDefault="00C02F0A" w:rsidP="007122AB">
      <w:pPr>
        <w:spacing w:after="0" w:line="240" w:lineRule="auto"/>
        <w:jc w:val="both"/>
        <w:rPr>
          <w:rFonts w:ascii="Times New Roman" w:hAnsi="Times New Roman"/>
          <w:color w:val="000000" w:themeColor="text1"/>
          <w:sz w:val="16"/>
          <w:szCs w:val="16"/>
        </w:rPr>
      </w:pPr>
    </w:p>
    <w:p w14:paraId="38D5A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февраля 1931 в Москве открыли Центральную авиамодельную лабораторию (271,125).</w:t>
      </w:r>
    </w:p>
    <w:p w14:paraId="770754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31F41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A6DC20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B9CF94" w14:textId="77777777" w:rsidR="005E7475" w:rsidRPr="007122AB" w:rsidRDefault="005E7475" w:rsidP="007122AB">
      <w:pPr>
        <w:pStyle w:val="a3"/>
        <w:rPr>
          <w:color w:val="000000" w:themeColor="text1"/>
          <w:lang w:val="ru-RU"/>
        </w:rPr>
      </w:pPr>
      <w:r w:rsidRPr="007122AB">
        <w:rPr>
          <w:color w:val="000000" w:themeColor="text1"/>
          <w:lang w:val="ru-RU"/>
        </w:rPr>
        <w:t>17 февраля 1931 г. Всесоюзное автотрак</w:t>
      </w:r>
      <w:r w:rsidRPr="007122AB">
        <w:rPr>
          <w:color w:val="000000" w:themeColor="text1"/>
          <w:lang w:val="ru-RU"/>
        </w:rPr>
        <w:softHyphen/>
        <w:t xml:space="preserve">торное объединение (ВАТО) получило от МПО ВСНХ письмом №883/сс </w:t>
      </w:r>
      <w:proofErr w:type="spellStart"/>
      <w:r w:rsidRPr="007122AB">
        <w:rPr>
          <w:color w:val="000000" w:themeColor="text1"/>
          <w:lang w:val="ru-RU"/>
        </w:rPr>
        <w:t>промзадание</w:t>
      </w:r>
      <w:proofErr w:type="spellEnd"/>
      <w:r w:rsidRPr="007122AB">
        <w:rPr>
          <w:color w:val="000000" w:themeColor="text1"/>
          <w:lang w:val="ru-RU"/>
        </w:rPr>
        <w:t xml:space="preserve"> для СТЗ, предполагавшее выпуск в первый год войны 12000 танков Т-26 с комплектами запчастей, эквивалентных 6000 танкам, и создание к 1 апреля 1932 г. базы по фасонному стальному литью мощностью 55000 т из расчета выпуска специального литья: для малых танков — 12000 единиц, для средних танков — 2000 единиц и для танкеток — 4000 единиц.</w:t>
      </w:r>
    </w:p>
    <w:p w14:paraId="665D215A" w14:textId="77777777" w:rsidR="005E7475" w:rsidRPr="007122AB" w:rsidRDefault="005E7475" w:rsidP="007122AB">
      <w:pPr>
        <w:pStyle w:val="a3"/>
        <w:rPr>
          <w:color w:val="000000" w:themeColor="text1"/>
          <w:lang w:val="ru-RU"/>
        </w:rPr>
      </w:pPr>
      <w:r w:rsidRPr="007122AB">
        <w:rPr>
          <w:color w:val="000000" w:themeColor="text1"/>
          <w:lang w:val="ru-RU"/>
        </w:rPr>
        <w:t>Для обеспечения потребности Народно</w:t>
      </w:r>
      <w:r w:rsidRPr="007122AB">
        <w:rPr>
          <w:color w:val="000000" w:themeColor="text1"/>
          <w:lang w:val="ru-RU"/>
        </w:rPr>
        <w:softHyphen/>
        <w:t>го комиссариата по военным и морским делам (НКВМ) в танках мирного времени и подготовки кадров танкостроителей на СТЗ следовало орга</w:t>
      </w:r>
      <w:r w:rsidRPr="007122AB">
        <w:rPr>
          <w:color w:val="000000" w:themeColor="text1"/>
          <w:lang w:val="ru-RU"/>
        </w:rPr>
        <w:softHyphen/>
        <w:t>низовать опытный цех с пропускной способно</w:t>
      </w:r>
      <w:r w:rsidRPr="007122AB">
        <w:rPr>
          <w:color w:val="000000" w:themeColor="text1"/>
          <w:lang w:val="ru-RU"/>
        </w:rPr>
        <w:softHyphen/>
        <w:t>стью 100 танков в год при односменной работе (12622).</w:t>
      </w:r>
    </w:p>
    <w:p w14:paraId="1DD56991" w14:textId="77777777" w:rsidR="005E7475" w:rsidRPr="007122AB" w:rsidRDefault="005E7475" w:rsidP="007122AB">
      <w:pPr>
        <w:pStyle w:val="a3"/>
        <w:rPr>
          <w:color w:val="000000" w:themeColor="text1"/>
          <w:lang w:val="ru-RU"/>
        </w:rPr>
      </w:pPr>
    </w:p>
    <w:p w14:paraId="1F3F9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февраля 1931 г. решением правления Государственного всесоюзного объединения тяжелого машиностроения "ВОМТ" ВСНХ СССР был создан Отраслевой институт химического машиностроения при Научно-исследовательском институте машиностроения "НИИМАШ" в г. Москве. Приказом ВОМТ от 6 апреля 1931 г. институт выделен в самостоятельный Государственный научно-исследовательский институт химического машиностроения (ГНИИХМ), реорганизованный в 1933 г. в Экспериментально-конструкторский институт химического машиностроения "</w:t>
      </w:r>
      <w:proofErr w:type="spellStart"/>
      <w:r w:rsidRPr="007122AB">
        <w:rPr>
          <w:rFonts w:ascii="Times New Roman" w:hAnsi="Times New Roman"/>
          <w:color w:val="000000" w:themeColor="text1"/>
          <w:sz w:val="16"/>
          <w:szCs w:val="16"/>
        </w:rPr>
        <w:t>ЭКИхиммаш</w:t>
      </w:r>
      <w:proofErr w:type="spellEnd"/>
      <w:r w:rsidRPr="007122AB">
        <w:rPr>
          <w:rFonts w:ascii="Times New Roman" w:hAnsi="Times New Roman"/>
          <w:color w:val="000000" w:themeColor="text1"/>
          <w:sz w:val="16"/>
          <w:szCs w:val="16"/>
        </w:rPr>
        <w:t xml:space="preserve">". В 1935 г. институт переведен в </w:t>
      </w:r>
      <w:proofErr w:type="spellStart"/>
      <w:r w:rsidRPr="007122AB">
        <w:rPr>
          <w:rFonts w:ascii="Times New Roman" w:hAnsi="Times New Roman"/>
          <w:color w:val="000000" w:themeColor="text1"/>
          <w:sz w:val="16"/>
          <w:szCs w:val="16"/>
        </w:rPr>
        <w:t>гХарьков</w:t>
      </w:r>
      <w:proofErr w:type="spellEnd"/>
      <w:r w:rsidRPr="007122AB">
        <w:rPr>
          <w:rFonts w:ascii="Times New Roman" w:hAnsi="Times New Roman"/>
          <w:color w:val="000000" w:themeColor="text1"/>
          <w:sz w:val="16"/>
          <w:szCs w:val="16"/>
        </w:rPr>
        <w:t xml:space="preserve">, в 1941 г. эвакуирован в г. Златоуст Челябинской обл. Приказом Наркомата минометного вооружения СССР от 18 августа 1942 г. на базе </w:t>
      </w:r>
      <w:proofErr w:type="spellStart"/>
      <w:r w:rsidRPr="007122AB">
        <w:rPr>
          <w:rFonts w:ascii="Times New Roman" w:hAnsi="Times New Roman"/>
          <w:color w:val="000000" w:themeColor="text1"/>
          <w:sz w:val="16"/>
          <w:szCs w:val="16"/>
        </w:rPr>
        <w:t>ЭКИхиммаша</w:t>
      </w:r>
      <w:proofErr w:type="spellEnd"/>
      <w:r w:rsidRPr="007122AB">
        <w:rPr>
          <w:rFonts w:ascii="Times New Roman" w:hAnsi="Times New Roman"/>
          <w:color w:val="000000" w:themeColor="text1"/>
          <w:sz w:val="16"/>
          <w:szCs w:val="16"/>
        </w:rPr>
        <w:t>, Государственного института химического и бумажного машиностроения "</w:t>
      </w:r>
      <w:proofErr w:type="spellStart"/>
      <w:r w:rsidRPr="007122AB">
        <w:rPr>
          <w:rFonts w:ascii="Times New Roman" w:hAnsi="Times New Roman"/>
          <w:color w:val="000000" w:themeColor="text1"/>
          <w:sz w:val="16"/>
          <w:szCs w:val="16"/>
        </w:rPr>
        <w:t>Гипрохимбуммаш</w:t>
      </w:r>
      <w:proofErr w:type="spellEnd"/>
      <w:r w:rsidRPr="007122AB">
        <w:rPr>
          <w:rFonts w:ascii="Times New Roman" w:hAnsi="Times New Roman"/>
          <w:color w:val="000000" w:themeColor="text1"/>
          <w:sz w:val="16"/>
          <w:szCs w:val="16"/>
        </w:rPr>
        <w:t>" и Конструкторского бюро Киевского завода "Большевик" организован Научно-исследовательский институт химического машиностроения "</w:t>
      </w:r>
      <w:proofErr w:type="spellStart"/>
      <w:r w:rsidRPr="007122AB">
        <w:rPr>
          <w:rFonts w:ascii="Times New Roman" w:hAnsi="Times New Roman"/>
          <w:color w:val="000000" w:themeColor="text1"/>
          <w:sz w:val="16"/>
          <w:szCs w:val="16"/>
        </w:rPr>
        <w:t>НИИхиммаш</w:t>
      </w:r>
      <w:proofErr w:type="spellEnd"/>
      <w:r w:rsidRPr="007122AB">
        <w:rPr>
          <w:rFonts w:ascii="Times New Roman" w:hAnsi="Times New Roman"/>
          <w:color w:val="000000" w:themeColor="text1"/>
          <w:sz w:val="16"/>
          <w:szCs w:val="16"/>
        </w:rPr>
        <w:t>" (12102).</w:t>
      </w:r>
    </w:p>
    <w:p w14:paraId="6613E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2A00E4" w14:textId="77777777" w:rsidR="003B4AB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A70F707" w14:textId="77777777" w:rsidR="003B4AB7" w:rsidRPr="007122AB" w:rsidRDefault="003B4AB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C1BD54" w14:textId="77777777" w:rsidR="003B4AB7" w:rsidRPr="007122AB" w:rsidRDefault="003B4AB7"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февраля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в целях дальнейшей централизации управления строительством приказом ВСНХ СССР, подписанном Г.К. Орджоникидзе, создавалось единое управление, которому подчинялись все строительные контрагенты: </w:t>
      </w:r>
      <w:proofErr w:type="spellStart"/>
      <w:r w:rsidRPr="007122AB">
        <w:rPr>
          <w:rFonts w:ascii="Times New Roman" w:hAnsi="Times New Roman"/>
          <w:color w:val="000000" w:themeColor="text1"/>
          <w:sz w:val="16"/>
          <w:szCs w:val="16"/>
        </w:rPr>
        <w:t>Водоканалстрой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Промсантехстрой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Малярстрой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Кровельстрой</w:t>
      </w:r>
      <w:proofErr w:type="spellEnd"/>
      <w:r w:rsidRPr="007122AB">
        <w:rPr>
          <w:rFonts w:ascii="Times New Roman" w:hAnsi="Times New Roman"/>
          <w:color w:val="000000" w:themeColor="text1"/>
          <w:sz w:val="16"/>
          <w:szCs w:val="16"/>
        </w:rPr>
        <w:t xml:space="preserve"> и Всесоюзное </w:t>
      </w:r>
      <w:proofErr w:type="spellStart"/>
      <w:r w:rsidRPr="007122AB">
        <w:rPr>
          <w:rFonts w:ascii="Times New Roman" w:hAnsi="Times New Roman"/>
          <w:color w:val="000000" w:themeColor="text1"/>
          <w:sz w:val="16"/>
          <w:szCs w:val="16"/>
        </w:rPr>
        <w:t>электрообъединение</w:t>
      </w:r>
      <w:proofErr w:type="spellEnd"/>
      <w:r w:rsidRPr="007122AB">
        <w:rPr>
          <w:rFonts w:ascii="Times New Roman" w:hAnsi="Times New Roman"/>
          <w:color w:val="000000" w:themeColor="text1"/>
          <w:sz w:val="16"/>
          <w:szCs w:val="16"/>
        </w:rPr>
        <w:t xml:space="preserve"> (ВЭО). Начальником строительного управления, получившего название 13-го </w:t>
      </w:r>
      <w:proofErr w:type="spellStart"/>
      <w:r w:rsidRPr="007122AB">
        <w:rPr>
          <w:rFonts w:ascii="Times New Roman" w:hAnsi="Times New Roman"/>
          <w:color w:val="000000" w:themeColor="text1"/>
          <w:sz w:val="16"/>
          <w:szCs w:val="16"/>
        </w:rPr>
        <w:t>Госстройтреста</w:t>
      </w:r>
      <w:proofErr w:type="spellEnd"/>
      <w:r w:rsidRPr="007122AB">
        <w:rPr>
          <w:rFonts w:ascii="Times New Roman" w:hAnsi="Times New Roman"/>
          <w:color w:val="000000" w:themeColor="text1"/>
          <w:sz w:val="16"/>
          <w:szCs w:val="16"/>
        </w:rPr>
        <w:t xml:space="preserve">, был назначен М.М. Царевский. Одновременно он являлся заместителем начальника управления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(15218).</w:t>
      </w:r>
    </w:p>
    <w:p w14:paraId="55892E09" w14:textId="77777777" w:rsidR="003B4AB7" w:rsidRPr="007122AB" w:rsidRDefault="003B4AB7" w:rsidP="007122AB">
      <w:pPr>
        <w:widowControl w:val="0"/>
        <w:spacing w:after="0" w:line="240" w:lineRule="auto"/>
        <w:jc w:val="both"/>
        <w:rPr>
          <w:rFonts w:ascii="Times New Roman" w:hAnsi="Times New Roman"/>
          <w:color w:val="000000" w:themeColor="text1"/>
          <w:sz w:val="16"/>
          <w:szCs w:val="16"/>
        </w:rPr>
      </w:pPr>
    </w:p>
    <w:p w14:paraId="0AB7E60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C00CE2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F14A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февраля 1931 в Нью-Йорке в разгар Великой депрессии была основана фирма </w:t>
      </w:r>
      <w:proofErr w:type="spellStart"/>
      <w:r w:rsidRPr="007122AB">
        <w:rPr>
          <w:rFonts w:ascii="Times New Roman" w:hAnsi="Times New Roman"/>
          <w:color w:val="000000" w:themeColor="text1"/>
          <w:sz w:val="16"/>
          <w:szCs w:val="16"/>
        </w:rPr>
        <w:t>Seversky</w:t>
      </w:r>
      <w:proofErr w:type="spellEnd"/>
      <w:r w:rsidRPr="007122AB">
        <w:rPr>
          <w:rFonts w:ascii="Times New Roman" w:hAnsi="Times New Roman"/>
          <w:color w:val="000000" w:themeColor="text1"/>
          <w:sz w:val="16"/>
          <w:szCs w:val="16"/>
        </w:rPr>
        <w:t xml:space="preserve"> Aircraft Corp. во главе с президентом </w:t>
      </w:r>
      <w:proofErr w:type="spellStart"/>
      <w:r w:rsidRPr="007122AB">
        <w:rPr>
          <w:rFonts w:ascii="Times New Roman" w:hAnsi="Times New Roman"/>
          <w:color w:val="000000" w:themeColor="text1"/>
          <w:sz w:val="16"/>
          <w:szCs w:val="16"/>
        </w:rPr>
        <w:t>А.Н.Прокофьевым</w:t>
      </w:r>
      <w:proofErr w:type="spellEnd"/>
      <w:r w:rsidRPr="007122AB">
        <w:rPr>
          <w:rFonts w:ascii="Times New Roman" w:hAnsi="Times New Roman"/>
          <w:color w:val="000000" w:themeColor="text1"/>
          <w:sz w:val="16"/>
          <w:szCs w:val="16"/>
        </w:rPr>
        <w:t>-Северским. На фирме работало много русских эмигрантов (1609,31).</w:t>
      </w:r>
    </w:p>
    <w:p w14:paraId="24BDD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EBDD78"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 февраля 1931 г. на аэродроме Берлин-</w:t>
      </w:r>
      <w:proofErr w:type="spellStart"/>
      <w:r w:rsidRPr="00441F34">
        <w:rPr>
          <w:rFonts w:ascii="Times New Roman" w:hAnsi="Times New Roman"/>
          <w:color w:val="0070C0"/>
          <w:sz w:val="16"/>
          <w:szCs w:val="16"/>
        </w:rPr>
        <w:t>Темпельхоф</w:t>
      </w:r>
      <w:proofErr w:type="spellEnd"/>
      <w:r w:rsidRPr="00441F34">
        <w:rPr>
          <w:rFonts w:ascii="Times New Roman" w:hAnsi="Times New Roman"/>
          <w:color w:val="0070C0"/>
          <w:sz w:val="16"/>
          <w:szCs w:val="16"/>
        </w:rPr>
        <w:t xml:space="preserve"> прототип самолета Ju-52 (D-1974,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Mr. 4001) впервые был продемонстрирован публично. Самолет был оснащен одним двигателем жидкостного охлаждения BMW-</w:t>
      </w:r>
      <w:proofErr w:type="spellStart"/>
      <w:r w:rsidRPr="00441F34">
        <w:rPr>
          <w:rFonts w:ascii="Times New Roman" w:hAnsi="Times New Roman"/>
          <w:color w:val="0070C0"/>
          <w:sz w:val="16"/>
          <w:szCs w:val="16"/>
        </w:rPr>
        <w:t>VlIaU</w:t>
      </w:r>
      <w:proofErr w:type="spellEnd"/>
      <w:r w:rsidRPr="00441F34">
        <w:rPr>
          <w:rFonts w:ascii="Times New Roman" w:hAnsi="Times New Roman"/>
          <w:color w:val="0070C0"/>
          <w:sz w:val="16"/>
          <w:szCs w:val="16"/>
        </w:rPr>
        <w:t xml:space="preserve"> мощностью 685 л.с. Обратите внимание на круглые иллюминаторы.</w:t>
      </w:r>
    </w:p>
    <w:p w14:paraId="489C1943"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Параметры нового самолета, получившего обозначение Ju-52, определял </w:t>
      </w:r>
      <w:proofErr w:type="spellStart"/>
      <w:r w:rsidRPr="00441F34">
        <w:rPr>
          <w:rFonts w:ascii="Times New Roman" w:hAnsi="Times New Roman"/>
          <w:color w:val="0070C0"/>
          <w:sz w:val="16"/>
          <w:szCs w:val="16"/>
        </w:rPr>
        <w:t>Готхард</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Зашенбург</w:t>
      </w:r>
      <w:proofErr w:type="spellEnd"/>
      <w:r w:rsidRPr="00441F34">
        <w:rPr>
          <w:rFonts w:ascii="Times New Roman" w:hAnsi="Times New Roman"/>
          <w:color w:val="0070C0"/>
          <w:sz w:val="16"/>
          <w:szCs w:val="16"/>
        </w:rPr>
        <w:t>, один из ведущих сотрудников Юнкерса. Самолет должен был обладать способностью перевозить груз массой 2,2 т на расстояние 800 км. Максимальная скорость полета — всего 120 км/ч, но этот параметр в те годы не считался для транспортных самолетов критичным. Критичными являлись эксплуатационные расходы, снижению которых на фирме постарались уделить максимум внимания.</w:t>
      </w:r>
    </w:p>
    <w:p w14:paraId="278202EC"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Непосредственно за проектирование самолета Ju-52 отвечал дипломированный инженер Эрнст </w:t>
      </w:r>
      <w:proofErr w:type="spellStart"/>
      <w:r w:rsidRPr="00441F34">
        <w:rPr>
          <w:rFonts w:ascii="Times New Roman" w:hAnsi="Times New Roman"/>
          <w:color w:val="0070C0"/>
          <w:sz w:val="16"/>
          <w:szCs w:val="16"/>
        </w:rPr>
        <w:t>Циндель</w:t>
      </w:r>
      <w:proofErr w:type="spellEnd"/>
      <w:r w:rsidRPr="00441F34">
        <w:rPr>
          <w:rFonts w:ascii="Times New Roman" w:hAnsi="Times New Roman"/>
          <w:color w:val="0070C0"/>
          <w:sz w:val="16"/>
          <w:szCs w:val="16"/>
        </w:rPr>
        <w:t>. За основу конструкторы взяли самолет W-33, увеличив его размеры. Размах крыла прототипа Ju-52 составил 29 м, на 11 м больше, чем у W-33. Длина прототипа Ju-52 — 18, м, высота — 6,1 м, в то время как длина W-33 составляла 10,5 м, а высота 3,5 м.</w:t>
      </w:r>
    </w:p>
    <w:p w14:paraId="41B6DA9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Самолет Ju-52 представлял собой низкоплан </w:t>
      </w:r>
      <w:proofErr w:type="spellStart"/>
      <w:r w:rsidRPr="00441F34">
        <w:rPr>
          <w:rFonts w:ascii="Times New Roman" w:hAnsi="Times New Roman"/>
          <w:color w:val="0070C0"/>
          <w:sz w:val="16"/>
          <w:szCs w:val="16"/>
        </w:rPr>
        <w:t>полумонококовой</w:t>
      </w:r>
      <w:proofErr w:type="spellEnd"/>
      <w:r w:rsidRPr="00441F34">
        <w:rPr>
          <w:rFonts w:ascii="Times New Roman" w:hAnsi="Times New Roman"/>
          <w:color w:val="0070C0"/>
          <w:sz w:val="16"/>
          <w:szCs w:val="16"/>
        </w:rPr>
        <w:t xml:space="preserve"> конструкции с </w:t>
      </w:r>
      <w:proofErr w:type="spellStart"/>
      <w:r w:rsidRPr="00441F34">
        <w:rPr>
          <w:rFonts w:ascii="Times New Roman" w:hAnsi="Times New Roman"/>
          <w:color w:val="0070C0"/>
          <w:sz w:val="16"/>
          <w:szCs w:val="16"/>
        </w:rPr>
        <w:t>четырехлонжеронным</w:t>
      </w:r>
      <w:proofErr w:type="spellEnd"/>
      <w:r w:rsidRPr="00441F34">
        <w:rPr>
          <w:rFonts w:ascii="Times New Roman" w:hAnsi="Times New Roman"/>
          <w:color w:val="0070C0"/>
          <w:sz w:val="16"/>
          <w:szCs w:val="16"/>
        </w:rPr>
        <w:t xml:space="preserve"> крылом, лонжероны — стальные трубы.</w:t>
      </w:r>
    </w:p>
    <w:p w14:paraId="1EEBEDC8"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Большие грузовые двери-люки в бортах в крыше фюзеляжа позволяли использовать на погрузочно-разгрузочных работах кран. Размеры грузовой кабины самолета были следующими: длина 6, м, ширина 1,6 м, высота 1,9 м, объем грузовой кабины 16,7 м3. На Ju-52, как и на его предшественнике, самолете W-33, могли быть установлены разные типы шасси — колесное, лыжное, поплавки. Экипаж состоял из пилота и второго пилота, управление самолетом двойное. На самолете стоял один 12-цилиндровый двигатель жидкостного охлаждения Юнкере L/88 мощностью 800 л.с. Двигатель приводил во вращение четырехлопастный металлический воздушный винт.</w:t>
      </w:r>
    </w:p>
    <w:p w14:paraId="5C0DC3D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Сборка первого прототипа Ju-52ba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Nummer</w:t>
      </w:r>
      <w:proofErr w:type="spellEnd"/>
      <w:r w:rsidRPr="00441F34">
        <w:rPr>
          <w:rFonts w:ascii="Times New Roman" w:hAnsi="Times New Roman"/>
          <w:color w:val="0070C0"/>
          <w:sz w:val="16"/>
          <w:szCs w:val="16"/>
        </w:rPr>
        <w:t xml:space="preserve"> 4001) началась в первом квартале 1930 г. Впервые самолет поднял в воздух с заводского аэродрома в Дессау 13 октября 1930 г. старший летчик-испытатель фирмы Вильгельм Циммерман. Уже в первых полетах выявилась ненадежная работа двигателя L88, который пришлось менять на мотор BMW </w:t>
      </w:r>
      <w:proofErr w:type="spellStart"/>
      <w:r w:rsidRPr="00441F34">
        <w:rPr>
          <w:rFonts w:ascii="Times New Roman" w:hAnsi="Times New Roman"/>
          <w:color w:val="0070C0"/>
          <w:sz w:val="16"/>
          <w:szCs w:val="16"/>
        </w:rPr>
        <w:t>VIIaU</w:t>
      </w:r>
      <w:proofErr w:type="spellEnd"/>
      <w:r w:rsidRPr="00441F34">
        <w:rPr>
          <w:rFonts w:ascii="Times New Roman" w:hAnsi="Times New Roman"/>
          <w:color w:val="0070C0"/>
          <w:sz w:val="16"/>
          <w:szCs w:val="16"/>
        </w:rPr>
        <w:t xml:space="preserve"> мощностью 685 л.с. Двигатель BMW </w:t>
      </w:r>
      <w:proofErr w:type="spellStart"/>
      <w:r w:rsidRPr="00441F34">
        <w:rPr>
          <w:rFonts w:ascii="Times New Roman" w:hAnsi="Times New Roman"/>
          <w:color w:val="0070C0"/>
          <w:sz w:val="16"/>
          <w:szCs w:val="16"/>
        </w:rPr>
        <w:t>VIIaU</w:t>
      </w:r>
      <w:proofErr w:type="spellEnd"/>
      <w:r w:rsidRPr="00441F34">
        <w:rPr>
          <w:rFonts w:ascii="Times New Roman" w:hAnsi="Times New Roman"/>
          <w:color w:val="0070C0"/>
          <w:sz w:val="16"/>
          <w:szCs w:val="16"/>
        </w:rPr>
        <w:t xml:space="preserve"> комплектовался двухлопастным деревянным воздушным винтом (24200)..</w:t>
      </w:r>
    </w:p>
    <w:p w14:paraId="171F9D3A" w14:textId="77777777" w:rsidR="00225E06" w:rsidRPr="00441F34" w:rsidRDefault="00225E06" w:rsidP="00225E06">
      <w:pPr>
        <w:spacing w:after="0" w:line="240" w:lineRule="auto"/>
        <w:jc w:val="both"/>
        <w:rPr>
          <w:rFonts w:ascii="Times New Roman" w:hAnsi="Times New Roman"/>
          <w:color w:val="0070C0"/>
          <w:sz w:val="16"/>
          <w:szCs w:val="16"/>
        </w:rPr>
      </w:pPr>
    </w:p>
    <w:p w14:paraId="2101646E" w14:textId="77777777" w:rsidR="00B63732" w:rsidRPr="007122AB" w:rsidRDefault="00B6373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17 февраля 1931 г. Махатма Ганди начинает переговоры о судьбе </w:t>
      </w:r>
      <w:proofErr w:type="spellStart"/>
      <w:r w:rsidRPr="007122AB">
        <w:rPr>
          <w:rFonts w:ascii="Times New Roman" w:eastAsia="Times New Roman" w:hAnsi="Times New Roman"/>
          <w:color w:val="000000" w:themeColor="text1"/>
          <w:sz w:val="16"/>
          <w:szCs w:val="16"/>
          <w:lang w:eastAsia="ru-RU"/>
        </w:rPr>
        <w:t>страныт</w:t>
      </w:r>
      <w:proofErr w:type="spellEnd"/>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bCs/>
          <w:iCs/>
          <w:color w:val="000000" w:themeColor="text1"/>
          <w:sz w:val="16"/>
          <w:szCs w:val="16"/>
          <w:lang w:eastAsia="ru-RU"/>
        </w:rPr>
        <w:t>А. Горев «Неру»):</w:t>
      </w:r>
    </w:p>
    <w:p w14:paraId="4D769CC3" w14:textId="77777777" w:rsidR="00B63732" w:rsidRPr="007122AB" w:rsidRDefault="00B6373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«Переговоры Ганди с вице-королем Индии лордом Ирвином начались </w:t>
      </w:r>
      <w:r w:rsidRPr="007122AB">
        <w:rPr>
          <w:rFonts w:ascii="Times New Roman" w:eastAsia="Times New Roman" w:hAnsi="Times New Roman"/>
          <w:color w:val="000000" w:themeColor="text1"/>
          <w:sz w:val="16"/>
          <w:szCs w:val="16"/>
          <w:lang w:eastAsia="ru-RU"/>
        </w:rPr>
        <w:t>17 февраля 1931 года.»</w:t>
      </w:r>
      <w:r w:rsidRPr="007122AB">
        <w:rPr>
          <w:rFonts w:ascii="Times New Roman" w:eastAsia="Times New Roman" w:hAnsi="Times New Roman"/>
          <w:bCs/>
          <w:color w:val="000000" w:themeColor="text1"/>
          <w:sz w:val="16"/>
          <w:szCs w:val="16"/>
          <w:lang w:eastAsia="ru-RU"/>
        </w:rPr>
        <w:t xml:space="preserve"> «Три недели длились переговоры Ганди с лордом Ирвином. Обычно Махатма находился в вице-королевском дворце до глубокого вечера. Невзирая на усталость и позднее время, Ганди непременно рассказывал членам Рабочего комитета о ходе переговоров. Выслушивая ежедневные отчеты Ганди, Джавахарлал склонялся к мысли, что позиция Махатмы, похоже, становилась все более компромиссной, нежели это первоначально предусматривалось.» (17325).</w:t>
      </w:r>
    </w:p>
    <w:p w14:paraId="5A68C5A5" w14:textId="77777777" w:rsidR="00B63732" w:rsidRPr="007122AB" w:rsidRDefault="00B63732" w:rsidP="007122AB">
      <w:pPr>
        <w:autoSpaceDE w:val="0"/>
        <w:autoSpaceDN w:val="0"/>
        <w:adjustRightInd w:val="0"/>
        <w:spacing w:after="0" w:line="240" w:lineRule="auto"/>
        <w:jc w:val="both"/>
        <w:rPr>
          <w:rFonts w:ascii="Times New Roman" w:hAnsi="Times New Roman"/>
          <w:color w:val="000000" w:themeColor="text1"/>
          <w:sz w:val="16"/>
          <w:szCs w:val="16"/>
        </w:rPr>
      </w:pPr>
    </w:p>
    <w:p w14:paraId="00733EDC" w14:textId="77777777" w:rsidR="00D306B4" w:rsidRPr="007122AB" w:rsidRDefault="00D306B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03F3152" w14:textId="77777777" w:rsidR="00D306B4" w:rsidRPr="007122AB" w:rsidRDefault="00D306B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5407DB" w14:textId="77777777" w:rsidR="00D306B4" w:rsidRPr="007122AB" w:rsidRDefault="00D306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февраля 1931. Газета "Вечерняя Москва" сообщала: "Советский инженер СП. Королев сконструировал тип легкого двухмоторного самолета. Постройка опытного образца уже закончена, и на нем совершено несколько опытных полетов. Новая машина показала хорошие летные качества" (18724).</w:t>
      </w:r>
    </w:p>
    <w:p w14:paraId="79BE4588" w14:textId="77777777" w:rsidR="00D306B4" w:rsidRPr="007122AB" w:rsidRDefault="00D306B4" w:rsidP="007122AB">
      <w:pPr>
        <w:spacing w:after="0" w:line="240" w:lineRule="auto"/>
        <w:jc w:val="both"/>
        <w:rPr>
          <w:rFonts w:ascii="Times New Roman" w:hAnsi="Times New Roman"/>
          <w:color w:val="000000" w:themeColor="text1"/>
          <w:sz w:val="16"/>
          <w:szCs w:val="16"/>
        </w:rPr>
      </w:pPr>
    </w:p>
    <w:p w14:paraId="137E5EA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202FED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F68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февраля по 2 апреля 1931 года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была испытана первая 180-мм пушка Б-1-К. Заказ на изготовление первой 180/60-мм пушки Б-1-К Обуховскому заводу был выдан еще в 1927 году. Четыре 180-мм пушки Б-1-К были установлены на крейсере "Красный Кавказ" в одноорудийных установках МК-1-180. Испытания и эксплуатация этих орудий и установок выявили массу недостатков. В результате пушки Б-1-К больше никогда не использовались, а в производство была запущена 180/57-мм пушка Б-1-П. Основным ее отличием от Б-1-К был поршневой затвор и картузное заряжание. Баллистика и боеприпасы у Б-1-К и Б-1-П полностью совпадали (3861).</w:t>
      </w:r>
    </w:p>
    <w:p w14:paraId="48BE6C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592C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18 февраля 1931 года в донесении о со</w:t>
      </w:r>
      <w:r w:rsidRPr="007122AB">
        <w:rPr>
          <w:rFonts w:ascii="Times New Roman" w:hAnsi="Times New Roman"/>
          <w:color w:val="000000" w:themeColor="text1"/>
          <w:sz w:val="16"/>
          <w:szCs w:val="16"/>
        </w:rPr>
        <w:softHyphen/>
        <w:t xml:space="preserve">стоянии работ у т.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на представитель УММ РККА докладывал: «...2. «Форд-А» Рожкова (проект УММ РККА) — готов».</w:t>
      </w:r>
    </w:p>
    <w:p w14:paraId="1400D1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бронеавтомобиль (в документах того времени он именовался как «Форд-А» с башней или «Форд-А» Рож</w:t>
      </w:r>
      <w:r w:rsidRPr="007122AB">
        <w:rPr>
          <w:rFonts w:ascii="Times New Roman" w:hAnsi="Times New Roman"/>
          <w:color w:val="000000" w:themeColor="text1"/>
          <w:sz w:val="16"/>
          <w:szCs w:val="16"/>
        </w:rPr>
        <w:softHyphen/>
        <w:t>кова) внешне представлял собой «колесную танкетку» с ус</w:t>
      </w:r>
      <w:r w:rsidRPr="007122AB">
        <w:rPr>
          <w:rFonts w:ascii="Times New Roman" w:hAnsi="Times New Roman"/>
          <w:color w:val="000000" w:themeColor="text1"/>
          <w:sz w:val="16"/>
          <w:szCs w:val="16"/>
        </w:rPr>
        <w:softHyphen/>
        <w:t xml:space="preserve">тановленной на крыше корпуса башней. Корпус машины был изготовлен из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толщиной 4—6 мм, сварен</w:t>
      </w:r>
      <w:r w:rsidRPr="007122AB">
        <w:rPr>
          <w:rFonts w:ascii="Times New Roman" w:hAnsi="Times New Roman"/>
          <w:color w:val="000000" w:themeColor="text1"/>
          <w:sz w:val="16"/>
          <w:szCs w:val="16"/>
        </w:rPr>
        <w:softHyphen/>
        <w:t xml:space="preserve">ных между собой. Для удобства работы водителя крыша над его головой имела полусферическую </w:t>
      </w:r>
      <w:proofErr w:type="spellStart"/>
      <w:r w:rsidRPr="007122AB">
        <w:rPr>
          <w:rFonts w:ascii="Times New Roman" w:hAnsi="Times New Roman"/>
          <w:color w:val="000000" w:themeColor="text1"/>
          <w:sz w:val="16"/>
          <w:szCs w:val="16"/>
        </w:rPr>
        <w:t>выштамповку</w:t>
      </w:r>
      <w:proofErr w:type="spellEnd"/>
      <w:r w:rsidRPr="007122AB">
        <w:rPr>
          <w:rFonts w:ascii="Times New Roman" w:hAnsi="Times New Roman"/>
          <w:color w:val="000000" w:themeColor="text1"/>
          <w:sz w:val="16"/>
          <w:szCs w:val="16"/>
        </w:rPr>
        <w:t>. Посад</w:t>
      </w:r>
      <w:r w:rsidRPr="007122AB">
        <w:rPr>
          <w:rFonts w:ascii="Times New Roman" w:hAnsi="Times New Roman"/>
          <w:color w:val="000000" w:themeColor="text1"/>
          <w:sz w:val="16"/>
          <w:szCs w:val="16"/>
        </w:rPr>
        <w:softHyphen/>
        <w:t>ка экипажа, состоявшего из двух человек, осуществлялась через двери в бортах корпуса. Вооружение машины состоя</w:t>
      </w:r>
      <w:r w:rsidRPr="007122AB">
        <w:rPr>
          <w:rFonts w:ascii="Times New Roman" w:hAnsi="Times New Roman"/>
          <w:color w:val="000000" w:themeColor="text1"/>
          <w:sz w:val="16"/>
          <w:szCs w:val="16"/>
        </w:rPr>
        <w:softHyphen/>
        <w:t>ло из одного пулемета ДТ в башне с круговым обстрелом</w:t>
      </w:r>
    </w:p>
    <w:p w14:paraId="7E73FD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Проведенные кратковременные испытания выявили целый ряд недостатков в конструкции бронемашины, ос</w:t>
      </w:r>
      <w:r w:rsidRPr="007122AB">
        <w:rPr>
          <w:rFonts w:ascii="Times New Roman" w:hAnsi="Times New Roman"/>
          <w:color w:val="000000" w:themeColor="text1"/>
          <w:sz w:val="16"/>
          <w:szCs w:val="16"/>
        </w:rPr>
        <w:softHyphen/>
        <w:t>новными из которых была теснота броневого корпуса, не</w:t>
      </w:r>
      <w:r w:rsidRPr="007122AB">
        <w:rPr>
          <w:rFonts w:ascii="Times New Roman" w:hAnsi="Times New Roman"/>
          <w:color w:val="000000" w:themeColor="text1"/>
          <w:sz w:val="16"/>
          <w:szCs w:val="16"/>
        </w:rPr>
        <w:softHyphen/>
        <w:t>удовлетворительное охлаждение двигателя и неудобство работы с вооружением. Вместе с тем новая машина имела преимущество перед Д-8 и Д-12 в вооружении, имея башню с круговым обстрелом. Несмотря на это, «Форд-А» Рожко</w:t>
      </w:r>
      <w:r w:rsidRPr="007122AB">
        <w:rPr>
          <w:rFonts w:ascii="Times New Roman" w:hAnsi="Times New Roman"/>
          <w:color w:val="000000" w:themeColor="text1"/>
          <w:sz w:val="16"/>
          <w:szCs w:val="16"/>
        </w:rPr>
        <w:softHyphen/>
        <w:t>ва требовал доработки конструкции перед его постановкой на серийное производство (11284).</w:t>
      </w:r>
    </w:p>
    <w:p w14:paraId="42C51B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A36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февраля 1931 г. - ПРОТОКОЛ СОВЕЩАНИЯ УММ О РЕМОНТЕ ТРАКТОРОВ НКВМ В МАСТЕРСКИХ ТРАКТОРОЦЕНТРА</w:t>
      </w:r>
    </w:p>
    <w:p w14:paraId="02FD9D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Карачан;</w:t>
      </w:r>
    </w:p>
    <w:p w14:paraId="568071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Вахонин, </w:t>
      </w:r>
      <w:proofErr w:type="spellStart"/>
      <w:r w:rsidRPr="007122AB">
        <w:rPr>
          <w:rFonts w:ascii="Times New Roman" w:hAnsi="Times New Roman"/>
          <w:color w:val="000000" w:themeColor="text1"/>
          <w:sz w:val="16"/>
          <w:szCs w:val="16"/>
        </w:rPr>
        <w:t>Вейде</w:t>
      </w:r>
      <w:proofErr w:type="spellEnd"/>
      <w:r w:rsidRPr="007122AB">
        <w:rPr>
          <w:rFonts w:ascii="Times New Roman" w:hAnsi="Times New Roman"/>
          <w:color w:val="000000" w:themeColor="text1"/>
          <w:sz w:val="16"/>
          <w:szCs w:val="16"/>
        </w:rPr>
        <w:t>, Петров</w:t>
      </w:r>
    </w:p>
    <w:p w14:paraId="189B3F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Присутствовали: представители 4 отдела — Магидов, Бураков, </w:t>
      </w:r>
      <w:proofErr w:type="spellStart"/>
      <w:r w:rsidRPr="007122AB">
        <w:rPr>
          <w:rFonts w:ascii="Times New Roman" w:hAnsi="Times New Roman"/>
          <w:color w:val="000000" w:themeColor="text1"/>
          <w:sz w:val="16"/>
          <w:szCs w:val="16"/>
        </w:rPr>
        <w:t>Витковский</w:t>
      </w:r>
      <w:proofErr w:type="spellEnd"/>
      <w:r w:rsidRPr="007122AB">
        <w:rPr>
          <w:rFonts w:ascii="Times New Roman" w:hAnsi="Times New Roman"/>
          <w:color w:val="000000" w:themeColor="text1"/>
          <w:sz w:val="16"/>
          <w:szCs w:val="16"/>
        </w:rPr>
        <w:t>;</w:t>
      </w:r>
    </w:p>
    <w:p w14:paraId="16DD74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отдела — Денисов;</w:t>
      </w:r>
    </w:p>
    <w:p w14:paraId="48C61B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отдела — Кашкаров;</w:t>
      </w:r>
    </w:p>
    <w:p w14:paraId="731355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НТК - Карачан;</w:t>
      </w:r>
    </w:p>
    <w:p w14:paraId="47D390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Трактороцентра</w:t>
      </w:r>
      <w:proofErr w:type="spellEnd"/>
      <w:r w:rsidRPr="007122AB">
        <w:rPr>
          <w:rFonts w:ascii="Times New Roman" w:hAnsi="Times New Roman"/>
          <w:color w:val="000000" w:themeColor="text1"/>
          <w:sz w:val="16"/>
          <w:szCs w:val="16"/>
        </w:rPr>
        <w:t xml:space="preserve"> — Вахонин, </w:t>
      </w:r>
      <w:proofErr w:type="spellStart"/>
      <w:r w:rsidRPr="007122AB">
        <w:rPr>
          <w:rFonts w:ascii="Times New Roman" w:hAnsi="Times New Roman"/>
          <w:color w:val="000000" w:themeColor="text1"/>
          <w:sz w:val="16"/>
          <w:szCs w:val="16"/>
        </w:rPr>
        <w:t>Вейде</w:t>
      </w:r>
      <w:proofErr w:type="spellEnd"/>
      <w:r w:rsidRPr="007122AB">
        <w:rPr>
          <w:rFonts w:ascii="Times New Roman" w:hAnsi="Times New Roman"/>
          <w:color w:val="000000" w:themeColor="text1"/>
          <w:sz w:val="16"/>
          <w:szCs w:val="16"/>
        </w:rPr>
        <w:t>, Петров.</w:t>
      </w:r>
    </w:p>
    <w:p w14:paraId="1A66FB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w:t>
      </w:r>
    </w:p>
    <w:p w14:paraId="7BCABD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Доклад т. </w:t>
      </w:r>
      <w:proofErr w:type="spellStart"/>
      <w:r w:rsidRPr="007122AB">
        <w:rPr>
          <w:rFonts w:ascii="Times New Roman" w:hAnsi="Times New Roman"/>
          <w:color w:val="000000" w:themeColor="text1"/>
          <w:sz w:val="16"/>
          <w:szCs w:val="16"/>
        </w:rPr>
        <w:t>Витковского</w:t>
      </w:r>
      <w:proofErr w:type="spellEnd"/>
      <w:r w:rsidRPr="007122AB">
        <w:rPr>
          <w:rFonts w:ascii="Times New Roman" w:hAnsi="Times New Roman"/>
          <w:color w:val="000000" w:themeColor="text1"/>
          <w:sz w:val="16"/>
          <w:szCs w:val="16"/>
        </w:rPr>
        <w:t xml:space="preserve"> и т. Вахонина</w:t>
      </w:r>
    </w:p>
    <w:p w14:paraId="2BCC48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w:t>
      </w:r>
      <w:proofErr w:type="spellStart"/>
      <w:r w:rsidRPr="007122AB">
        <w:rPr>
          <w:rFonts w:ascii="Times New Roman" w:hAnsi="Times New Roman"/>
          <w:color w:val="000000" w:themeColor="text1"/>
          <w:sz w:val="16"/>
          <w:szCs w:val="16"/>
        </w:rPr>
        <w:t>Витковский</w:t>
      </w:r>
      <w:proofErr w:type="spellEnd"/>
      <w:r w:rsidRPr="007122AB">
        <w:rPr>
          <w:rFonts w:ascii="Times New Roman" w:hAnsi="Times New Roman"/>
          <w:color w:val="000000" w:themeColor="text1"/>
          <w:sz w:val="16"/>
          <w:szCs w:val="16"/>
        </w:rPr>
        <w:t xml:space="preserve"> указывает, чтобы ремонтировать трактора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необходимо расширить ворота в соответствии с габаритами машин больших размеров. Увеличить моечную, увеличить регулировочную. Добавить оборудование в механический цех, что потребует расширения площади механического цеха из расчета иметь там ориентировочно 14-15 станков. Предусмотреть термическую обработ</w:t>
      </w:r>
      <w:r w:rsidRPr="007122AB">
        <w:rPr>
          <w:rFonts w:ascii="Times New Roman" w:hAnsi="Times New Roman"/>
          <w:color w:val="000000" w:themeColor="text1"/>
          <w:sz w:val="16"/>
          <w:szCs w:val="16"/>
        </w:rPr>
        <w:softHyphen/>
        <w:t>ку, ремонт электрооборудования, кладовую сортовых материалов и если ремонтировать повозки, то - в колесную мастерскую. И тогда в одну смену, если не будет перебоя в запасных частях, можно будет пропустить через данные мастерские примерно 220-240 машин в год, считая одновременное нахождение в ремонте 8 машин и простой каждой машины от 10-12 рабочих дней.</w:t>
      </w:r>
    </w:p>
    <w:p w14:paraId="57176B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Вахонин указывает, что более удобная схема будет последняя, которая уже утверждена, ко-5 </w:t>
      </w:r>
      <w:proofErr w:type="spellStart"/>
      <w:r w:rsidRPr="007122AB">
        <w:rPr>
          <w:rFonts w:ascii="Times New Roman" w:hAnsi="Times New Roman"/>
          <w:color w:val="000000" w:themeColor="text1"/>
          <w:sz w:val="16"/>
          <w:szCs w:val="16"/>
        </w:rPr>
        <w:t>гда</w:t>
      </w:r>
      <w:proofErr w:type="spellEnd"/>
      <w:r w:rsidRPr="007122AB">
        <w:rPr>
          <w:rFonts w:ascii="Times New Roman" w:hAnsi="Times New Roman"/>
          <w:color w:val="000000" w:themeColor="text1"/>
          <w:sz w:val="16"/>
          <w:szCs w:val="16"/>
        </w:rPr>
        <w:t xml:space="preserve"> расположение сборочных цехов, как для тракторов, так и для сельскохозяйственных машин находятся по соседству. Ворота делаются более широкими, учитывая проезд более крупных машин, а моечную можно будет пристроить для больших машин с другого конца сборочной.</w:t>
      </w:r>
    </w:p>
    <w:p w14:paraId="387ECD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Ремонт агрегатов будет производиться в помещении сборочной. Что же касается расширения площадей, то выходить из габаритов нельзя, так как удорожит стройку, и проект мастерской изменять нежелательно.</w:t>
      </w:r>
    </w:p>
    <w:p w14:paraId="73AC73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Магидов предлагает не предъявлять требования </w:t>
      </w:r>
      <w:proofErr w:type="spellStart"/>
      <w:r w:rsidRPr="007122AB">
        <w:rPr>
          <w:rFonts w:ascii="Times New Roman" w:hAnsi="Times New Roman"/>
          <w:color w:val="000000" w:themeColor="text1"/>
          <w:sz w:val="16"/>
          <w:szCs w:val="16"/>
        </w:rPr>
        <w:t>Трактороцентру</w:t>
      </w:r>
      <w:proofErr w:type="spellEnd"/>
      <w:r w:rsidRPr="007122AB">
        <w:rPr>
          <w:rFonts w:ascii="Times New Roman" w:hAnsi="Times New Roman"/>
          <w:color w:val="000000" w:themeColor="text1"/>
          <w:sz w:val="16"/>
          <w:szCs w:val="16"/>
        </w:rPr>
        <w:t xml:space="preserve">, держать для УММ стан ему не нужные и рассматривать проект с точки зрения приспособления мастерских для целей </w:t>
      </w:r>
      <w:proofErr w:type="spellStart"/>
      <w:r w:rsidRPr="007122AB">
        <w:rPr>
          <w:rFonts w:ascii="Times New Roman" w:hAnsi="Times New Roman"/>
          <w:color w:val="000000" w:themeColor="text1"/>
          <w:sz w:val="16"/>
          <w:szCs w:val="16"/>
        </w:rPr>
        <w:t>Военвед</w:t>
      </w:r>
      <w:proofErr w:type="spellEnd"/>
      <w:r w:rsidRPr="007122AB">
        <w:rPr>
          <w:rFonts w:ascii="Times New Roman" w:hAnsi="Times New Roman"/>
          <w:color w:val="000000" w:themeColor="text1"/>
          <w:sz w:val="16"/>
          <w:szCs w:val="16"/>
        </w:rPr>
        <w:t xml:space="preserve"> без особо больших затрат, которые бы удорожали стоимость мастерских.</w:t>
      </w:r>
    </w:p>
    <w:p w14:paraId="39D8A6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общего рассмотрения проекта т. Магидов предлагает рассмотреть площади по цех уточняя размеры.</w:t>
      </w:r>
    </w:p>
    <w:p w14:paraId="476B3B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77DC37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Считать, что предложенный проект мастерских по своей пропускной способности не </w:t>
      </w:r>
      <w:proofErr w:type="spellStart"/>
      <w:r w:rsidRPr="007122AB">
        <w:rPr>
          <w:rFonts w:ascii="Times New Roman" w:hAnsi="Times New Roman"/>
          <w:color w:val="000000" w:themeColor="text1"/>
          <w:sz w:val="16"/>
          <w:szCs w:val="16"/>
        </w:rPr>
        <w:t>впол</w:t>
      </w:r>
      <w:proofErr w:type="spellEnd"/>
      <w:r w:rsidRPr="007122AB">
        <w:rPr>
          <w:rFonts w:ascii="Times New Roman" w:hAnsi="Times New Roman"/>
          <w:color w:val="000000" w:themeColor="text1"/>
          <w:sz w:val="16"/>
          <w:szCs w:val="16"/>
        </w:rPr>
        <w:t xml:space="preserve"> удовлетворяет нуждам НКВМ. Целесообразнее было бы строить более мощные районные </w:t>
      </w:r>
      <w:proofErr w:type="spellStart"/>
      <w:r w:rsidRPr="007122AB">
        <w:rPr>
          <w:rFonts w:ascii="Times New Roman" w:hAnsi="Times New Roman"/>
          <w:color w:val="000000" w:themeColor="text1"/>
          <w:sz w:val="16"/>
          <w:szCs w:val="16"/>
        </w:rPr>
        <w:t>ремон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ные</w:t>
      </w:r>
      <w:proofErr w:type="spellEnd"/>
      <w:r w:rsidRPr="007122AB">
        <w:rPr>
          <w:rFonts w:ascii="Times New Roman" w:hAnsi="Times New Roman"/>
          <w:color w:val="000000" w:themeColor="text1"/>
          <w:sz w:val="16"/>
          <w:szCs w:val="16"/>
        </w:rPr>
        <w:t xml:space="preserve"> мастерские. Просить </w:t>
      </w:r>
      <w:proofErr w:type="spellStart"/>
      <w:r w:rsidRPr="007122AB">
        <w:rPr>
          <w:rFonts w:ascii="Times New Roman" w:hAnsi="Times New Roman"/>
          <w:color w:val="000000" w:themeColor="text1"/>
          <w:sz w:val="16"/>
          <w:szCs w:val="16"/>
        </w:rPr>
        <w:t>Трактороцентр</w:t>
      </w:r>
      <w:proofErr w:type="spellEnd"/>
      <w:r w:rsidRPr="007122AB">
        <w:rPr>
          <w:rFonts w:ascii="Times New Roman" w:hAnsi="Times New Roman"/>
          <w:color w:val="000000" w:themeColor="text1"/>
          <w:sz w:val="16"/>
          <w:szCs w:val="16"/>
        </w:rPr>
        <w:t xml:space="preserve"> проработать этот вопрос у себя.</w:t>
      </w:r>
    </w:p>
    <w:p w14:paraId="564849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Из представленных 3 вариантов проектов мастерских наиболее подходящим для УММ 5 </w:t>
      </w:r>
      <w:proofErr w:type="spellStart"/>
      <w:r w:rsidRPr="007122AB">
        <w:rPr>
          <w:rFonts w:ascii="Times New Roman" w:hAnsi="Times New Roman"/>
          <w:color w:val="000000" w:themeColor="text1"/>
          <w:sz w:val="16"/>
          <w:szCs w:val="16"/>
        </w:rPr>
        <w:t>ся</w:t>
      </w:r>
      <w:proofErr w:type="spellEnd"/>
      <w:r w:rsidRPr="007122AB">
        <w:rPr>
          <w:rFonts w:ascii="Times New Roman" w:hAnsi="Times New Roman"/>
          <w:color w:val="000000" w:themeColor="text1"/>
          <w:sz w:val="16"/>
          <w:szCs w:val="16"/>
        </w:rPr>
        <w:t xml:space="preserve"> последний 3 вариант, в который нужно внести следующие изменения:</w:t>
      </w:r>
    </w:p>
    <w:p w14:paraId="2E352D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Моечная. Высота ворот должна быть минимум 3 м, ширина тоже не менее 3 м. Моечную} ширить, т.е. взять ширину 5,5 м, длину 7 м, т.е. площадью 5,5 х 7 = 38 кв.м.</w:t>
      </w:r>
    </w:p>
    <w:p w14:paraId="4910A7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Сборочный цех оставить по проекту.</w:t>
      </w:r>
    </w:p>
    <w:p w14:paraId="1F06E2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Регулировочную построить таких же размеров, как и моечную.</w:t>
      </w:r>
    </w:p>
    <w:p w14:paraId="662373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В кузнечном цехе предусмотреть оборудование для термической обработки (печь для </w:t>
      </w:r>
      <w:proofErr w:type="spellStart"/>
      <w:r w:rsidRPr="007122AB">
        <w:rPr>
          <w:rFonts w:ascii="Times New Roman" w:hAnsi="Times New Roman"/>
          <w:color w:val="000000" w:themeColor="text1"/>
          <w:sz w:val="16"/>
          <w:szCs w:val="16"/>
        </w:rPr>
        <w:t>цема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тации</w:t>
      </w:r>
      <w:proofErr w:type="spellEnd"/>
      <w:r w:rsidRPr="007122AB">
        <w:rPr>
          <w:rFonts w:ascii="Times New Roman" w:hAnsi="Times New Roman"/>
          <w:color w:val="000000" w:themeColor="text1"/>
          <w:sz w:val="16"/>
          <w:szCs w:val="16"/>
        </w:rPr>
        <w:t xml:space="preserve"> и закалки).</w:t>
      </w:r>
    </w:p>
    <w:p w14:paraId="791651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Площадь механического цеха запроектированная 103 </w:t>
      </w:r>
      <w:proofErr w:type="spellStart"/>
      <w:r w:rsidRPr="007122AB">
        <w:rPr>
          <w:rFonts w:ascii="Times New Roman" w:hAnsi="Times New Roman"/>
          <w:color w:val="000000" w:themeColor="text1"/>
          <w:sz w:val="16"/>
          <w:szCs w:val="16"/>
        </w:rPr>
        <w:t>кв.м</w:t>
      </w:r>
      <w:proofErr w:type="spellEnd"/>
      <w:r w:rsidRPr="007122AB">
        <w:rPr>
          <w:rFonts w:ascii="Times New Roman" w:hAnsi="Times New Roman"/>
          <w:color w:val="000000" w:themeColor="text1"/>
          <w:sz w:val="16"/>
          <w:szCs w:val="16"/>
        </w:rPr>
        <w:t xml:space="preserve"> недостаток, но есть возможное случае нужды расширить ее за счет кладовой запасных деталей, а для кладовой запасных дета придется предусмотреть площадь особо.</w:t>
      </w:r>
    </w:p>
    <w:p w14:paraId="684A3F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Учитывая, что рассчитывать на полное и бесперебойное снабжение ремонтируемых УММ* шин запасными деталями не приходится, намеченного </w:t>
      </w:r>
      <w:proofErr w:type="spellStart"/>
      <w:r w:rsidRPr="007122AB">
        <w:rPr>
          <w:rFonts w:ascii="Times New Roman" w:hAnsi="Times New Roman"/>
          <w:color w:val="000000" w:themeColor="text1"/>
          <w:sz w:val="16"/>
          <w:szCs w:val="16"/>
        </w:rPr>
        <w:t>Трактороцентром</w:t>
      </w:r>
      <w:proofErr w:type="spellEnd"/>
      <w:r w:rsidRPr="007122AB">
        <w:rPr>
          <w:rFonts w:ascii="Times New Roman" w:hAnsi="Times New Roman"/>
          <w:color w:val="000000" w:themeColor="text1"/>
          <w:sz w:val="16"/>
          <w:szCs w:val="16"/>
        </w:rPr>
        <w:t xml:space="preserve"> оборудования </w:t>
      </w:r>
      <w:proofErr w:type="spellStart"/>
      <w:r w:rsidRPr="007122AB">
        <w:rPr>
          <w:rFonts w:ascii="Times New Roman" w:hAnsi="Times New Roman"/>
          <w:color w:val="000000" w:themeColor="text1"/>
          <w:sz w:val="16"/>
          <w:szCs w:val="16"/>
        </w:rPr>
        <w:t>недоста</w:t>
      </w:r>
      <w:proofErr w:type="spellEnd"/>
      <w:r w:rsidRPr="007122AB">
        <w:rPr>
          <w:rFonts w:ascii="Times New Roman" w:hAnsi="Times New Roman"/>
          <w:color w:val="000000" w:themeColor="text1"/>
          <w:sz w:val="16"/>
          <w:szCs w:val="16"/>
        </w:rPr>
        <w:t xml:space="preserve"> но, следует механический цех оборудовать дополнительно примерно следующими станками:</w:t>
      </w:r>
    </w:p>
    <w:p w14:paraId="037910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Токарный станок 250 х 2000</w:t>
      </w:r>
      <w:r w:rsidRPr="007122AB">
        <w:rPr>
          <w:rFonts w:ascii="Times New Roman" w:hAnsi="Times New Roman"/>
          <w:color w:val="000000" w:themeColor="text1"/>
          <w:sz w:val="16"/>
          <w:szCs w:val="16"/>
        </w:rPr>
        <w:tab/>
        <w:t>1</w:t>
      </w:r>
    </w:p>
    <w:p w14:paraId="56709F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Токарный станок 210 х 1500</w:t>
      </w:r>
      <w:r w:rsidRPr="007122AB">
        <w:rPr>
          <w:rFonts w:ascii="Times New Roman" w:hAnsi="Times New Roman"/>
          <w:color w:val="000000" w:themeColor="text1"/>
          <w:sz w:val="16"/>
          <w:szCs w:val="16"/>
        </w:rPr>
        <w:tab/>
        <w:t>1</w:t>
      </w:r>
    </w:p>
    <w:p w14:paraId="39A297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Токарный станок 150 х 750</w:t>
      </w:r>
      <w:r w:rsidRPr="007122AB">
        <w:rPr>
          <w:rFonts w:ascii="Times New Roman" w:hAnsi="Times New Roman"/>
          <w:color w:val="000000" w:themeColor="text1"/>
          <w:sz w:val="16"/>
          <w:szCs w:val="16"/>
        </w:rPr>
        <w:tab/>
        <w:t>1</w:t>
      </w:r>
    </w:p>
    <w:p w14:paraId="2DAD6C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Револьверных 32 мм</w:t>
      </w:r>
      <w:r w:rsidRPr="007122AB">
        <w:rPr>
          <w:rFonts w:ascii="Times New Roman" w:hAnsi="Times New Roman"/>
          <w:color w:val="000000" w:themeColor="text1"/>
          <w:sz w:val="16"/>
          <w:szCs w:val="16"/>
        </w:rPr>
        <w:tab/>
        <w:t>1</w:t>
      </w:r>
    </w:p>
    <w:p w14:paraId="7132B3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Револьверных 25 мм</w:t>
      </w:r>
      <w:r w:rsidRPr="007122AB">
        <w:rPr>
          <w:rFonts w:ascii="Times New Roman" w:hAnsi="Times New Roman"/>
          <w:color w:val="000000" w:themeColor="text1"/>
          <w:sz w:val="16"/>
          <w:szCs w:val="16"/>
        </w:rPr>
        <w:tab/>
        <w:t>1</w:t>
      </w:r>
    </w:p>
    <w:p w14:paraId="41240C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Сверлильных 30 мм</w:t>
      </w:r>
      <w:r w:rsidRPr="007122AB">
        <w:rPr>
          <w:rFonts w:ascii="Times New Roman" w:hAnsi="Times New Roman"/>
          <w:color w:val="000000" w:themeColor="text1"/>
          <w:sz w:val="16"/>
          <w:szCs w:val="16"/>
        </w:rPr>
        <w:tab/>
        <w:t>1</w:t>
      </w:r>
    </w:p>
    <w:p w14:paraId="1F025E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Точило наждачное на 2 крута</w:t>
      </w:r>
      <w:r w:rsidRPr="007122AB">
        <w:rPr>
          <w:rFonts w:ascii="Times New Roman" w:hAnsi="Times New Roman"/>
          <w:color w:val="000000" w:themeColor="text1"/>
          <w:sz w:val="16"/>
          <w:szCs w:val="16"/>
        </w:rPr>
        <w:tab/>
        <w:t>1</w:t>
      </w:r>
    </w:p>
    <w:p w14:paraId="38E6C6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Точило мокрой точки с приводом</w:t>
      </w:r>
      <w:r w:rsidRPr="007122AB">
        <w:rPr>
          <w:rFonts w:ascii="Times New Roman" w:hAnsi="Times New Roman"/>
          <w:color w:val="000000" w:themeColor="text1"/>
          <w:sz w:val="16"/>
          <w:szCs w:val="16"/>
        </w:rPr>
        <w:tab/>
        <w:t>1</w:t>
      </w:r>
    </w:p>
    <w:p w14:paraId="08496D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Ножовка приводная</w:t>
      </w:r>
      <w:r w:rsidRPr="007122AB">
        <w:rPr>
          <w:rFonts w:ascii="Times New Roman" w:hAnsi="Times New Roman"/>
          <w:color w:val="000000" w:themeColor="text1"/>
          <w:sz w:val="16"/>
          <w:szCs w:val="16"/>
        </w:rPr>
        <w:tab/>
        <w:t>1</w:t>
      </w:r>
    </w:p>
    <w:p w14:paraId="040B82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Приспособление для </w:t>
      </w:r>
      <w:proofErr w:type="spellStart"/>
      <w:r w:rsidRPr="007122AB">
        <w:rPr>
          <w:rFonts w:ascii="Times New Roman" w:hAnsi="Times New Roman"/>
          <w:color w:val="000000" w:themeColor="text1"/>
          <w:sz w:val="16"/>
          <w:szCs w:val="16"/>
        </w:rPr>
        <w:t>расшлифовки</w:t>
      </w:r>
      <w:proofErr w:type="spellEnd"/>
      <w:r w:rsidRPr="007122AB">
        <w:rPr>
          <w:rFonts w:ascii="Times New Roman" w:hAnsi="Times New Roman"/>
          <w:color w:val="000000" w:themeColor="text1"/>
          <w:sz w:val="16"/>
          <w:szCs w:val="16"/>
        </w:rPr>
        <w:t xml:space="preserve"> цилиндров</w:t>
      </w:r>
      <w:r w:rsidRPr="007122AB">
        <w:rPr>
          <w:rFonts w:ascii="Times New Roman" w:hAnsi="Times New Roman"/>
          <w:color w:val="000000" w:themeColor="text1"/>
          <w:sz w:val="16"/>
          <w:szCs w:val="16"/>
        </w:rPr>
        <w:tab/>
        <w:t>1</w:t>
      </w:r>
    </w:p>
    <w:p w14:paraId="489596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для шлифовки коленчатых валов</w:t>
      </w:r>
      <w:r w:rsidRPr="007122AB">
        <w:rPr>
          <w:rFonts w:ascii="Times New Roman" w:hAnsi="Times New Roman"/>
          <w:color w:val="000000" w:themeColor="text1"/>
          <w:sz w:val="16"/>
          <w:szCs w:val="16"/>
        </w:rPr>
        <w:tab/>
        <w:t>1</w:t>
      </w:r>
    </w:p>
    <w:p w14:paraId="2DAF65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Шлифовальные приборы к токарным станкам</w:t>
      </w:r>
      <w:r w:rsidRPr="007122AB">
        <w:rPr>
          <w:rFonts w:ascii="Times New Roman" w:hAnsi="Times New Roman"/>
          <w:color w:val="000000" w:themeColor="text1"/>
          <w:sz w:val="16"/>
          <w:szCs w:val="16"/>
        </w:rPr>
        <w:tab/>
        <w:t>2</w:t>
      </w:r>
    </w:p>
    <w:p w14:paraId="3CE297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Для сборочного цеха иметь:</w:t>
      </w:r>
    </w:p>
    <w:p w14:paraId="5BE01A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Электродрелей - 4 </w:t>
      </w:r>
      <w:proofErr w:type="spellStart"/>
      <w:r w:rsidRPr="007122AB">
        <w:rPr>
          <w:rFonts w:ascii="Times New Roman" w:hAnsi="Times New Roman"/>
          <w:color w:val="000000" w:themeColor="text1"/>
          <w:sz w:val="16"/>
          <w:szCs w:val="16"/>
        </w:rPr>
        <w:t>шт</w:t>
      </w:r>
      <w:proofErr w:type="spellEnd"/>
      <w:r w:rsidRPr="007122AB">
        <w:rPr>
          <w:rFonts w:ascii="Times New Roman" w:hAnsi="Times New Roman"/>
          <w:color w:val="000000" w:themeColor="text1"/>
          <w:sz w:val="16"/>
          <w:szCs w:val="16"/>
        </w:rPr>
        <w:t>;</w:t>
      </w:r>
    </w:p>
    <w:p w14:paraId="3F5F32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Передвижные козлы с талью на 1,5 тонн.</w:t>
      </w:r>
    </w:p>
    <w:p w14:paraId="421105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 случае развёртывания в мастерской ремонта повозок необходимо будет дополнительно I строить колесную мастерскую.</w:t>
      </w:r>
    </w:p>
    <w:p w14:paraId="21FE90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При выборе места для мастерской предусмотреть возможность расширения ее со стороны! рот сборочного цеха сельхозмашин и деревообделочной.</w:t>
      </w:r>
    </w:p>
    <w:p w14:paraId="3E0D17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Предусмотреть противопожарное оборудование.</w:t>
      </w:r>
    </w:p>
    <w:p w14:paraId="173CD8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Мощность силовой от станции при увеличении оборудования механического цеха нужно) </w:t>
      </w:r>
      <w:proofErr w:type="spellStart"/>
      <w:r w:rsidRPr="007122AB">
        <w:rPr>
          <w:rFonts w:ascii="Times New Roman" w:hAnsi="Times New Roman"/>
          <w:color w:val="000000" w:themeColor="text1"/>
          <w:sz w:val="16"/>
          <w:szCs w:val="16"/>
        </w:rPr>
        <w:t>личить</w:t>
      </w:r>
      <w:proofErr w:type="spellEnd"/>
      <w:r w:rsidRPr="007122AB">
        <w:rPr>
          <w:rFonts w:ascii="Times New Roman" w:hAnsi="Times New Roman"/>
          <w:color w:val="000000" w:themeColor="text1"/>
          <w:sz w:val="16"/>
          <w:szCs w:val="16"/>
        </w:rPr>
        <w:t xml:space="preserve"> до 50 кВт.</w:t>
      </w:r>
    </w:p>
    <w:p w14:paraId="144E6B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Магидов</w:t>
      </w:r>
    </w:p>
    <w:p w14:paraId="1F86B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Секретарь Харьков</w:t>
      </w:r>
    </w:p>
    <w:p w14:paraId="0E398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 31811, оп. 2, д. 58, л. 93 (11210).</w:t>
      </w:r>
    </w:p>
    <w:p w14:paraId="50720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8BBCF2" w14:textId="77777777" w:rsidR="002E524B" w:rsidRPr="007122AB" w:rsidRDefault="002E52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февраля 1931 г. вышло постановление ЦИК и СНК СССР № 57/131, в котором указаны следующие меры воздействия для борьбы с нарушениями договорной дисциплины: «1) обязать хозяйственные органы оформлять свои заказы и поставки путем заключения письменных договоров; 2) в случае невыполнения или ненадлежащего выполнения хозяйственными органами принятых на себя обязательств но договорам заказов и поставок для государственной  промышленности, транспорта, обобществленного сектора сельского хозяйства, а также для других отраслей обобществленного сектора народного хозяйства директора заводов и другие должностные лица, ответственные за невыполнение данного заказа или поставки, привлекаются к ответственности, как за должностное преступление». (СЗ СССР. 1931. № 10. Ст. 109. Стр. 166.) (17724).</w:t>
      </w:r>
    </w:p>
    <w:p w14:paraId="4BDC71B2" w14:textId="77777777" w:rsidR="002E524B" w:rsidRPr="007122AB" w:rsidRDefault="002E524B" w:rsidP="007122AB">
      <w:pPr>
        <w:spacing w:after="0" w:line="240" w:lineRule="auto"/>
        <w:jc w:val="both"/>
        <w:rPr>
          <w:rFonts w:ascii="Times New Roman" w:hAnsi="Times New Roman"/>
          <w:color w:val="000000" w:themeColor="text1"/>
          <w:sz w:val="16"/>
          <w:szCs w:val="16"/>
        </w:rPr>
      </w:pPr>
    </w:p>
    <w:p w14:paraId="6302951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51DEAD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C649DE"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18 февраля</w:t>
      </w:r>
      <w:r w:rsidRPr="007122AB">
        <w:rPr>
          <w:rFonts w:ascii="Times New Roman" w:hAnsi="Times New Roman"/>
          <w:color w:val="000000" w:themeColor="text1"/>
          <w:sz w:val="16"/>
          <w:szCs w:val="16"/>
        </w:rPr>
        <w:t xml:space="preserve"> в 1931 году при Радиоуправлении </w:t>
      </w:r>
      <w:proofErr w:type="spellStart"/>
      <w:r w:rsidRPr="007122AB">
        <w:rPr>
          <w:rFonts w:ascii="Times New Roman" w:hAnsi="Times New Roman"/>
          <w:color w:val="000000" w:themeColor="text1"/>
          <w:sz w:val="16"/>
          <w:szCs w:val="16"/>
        </w:rPr>
        <w:t>Наркомпочтеля</w:t>
      </w:r>
      <w:proofErr w:type="spellEnd"/>
      <w:r w:rsidRPr="007122AB">
        <w:rPr>
          <w:rFonts w:ascii="Times New Roman" w:hAnsi="Times New Roman"/>
          <w:color w:val="000000" w:themeColor="text1"/>
          <w:sz w:val="16"/>
          <w:szCs w:val="16"/>
        </w:rPr>
        <w:t xml:space="preserve"> в Москве организована мастерская по записи радиопрограмм на пленку и грампластинки. Позднее реорганизована в Государственную лабораторию звукозаписи ГЛЗ (с 1994 г. ОАО Всероссийский научно-исследовательский институт телевидения и радиовещания) (15044).</w:t>
      </w:r>
    </w:p>
    <w:p w14:paraId="2D0C7987" w14:textId="77777777" w:rsidR="003B4AB7" w:rsidRPr="007122AB" w:rsidRDefault="003B4AB7" w:rsidP="007122AB">
      <w:pPr>
        <w:spacing w:after="0" w:line="240" w:lineRule="auto"/>
        <w:jc w:val="both"/>
        <w:rPr>
          <w:rFonts w:ascii="Times New Roman" w:hAnsi="Times New Roman"/>
          <w:color w:val="000000" w:themeColor="text1"/>
          <w:sz w:val="16"/>
          <w:szCs w:val="16"/>
        </w:rPr>
      </w:pPr>
    </w:p>
    <w:p w14:paraId="529F0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февраля 1931 года Постановлением СНК углубление Беломорско-Балтийского канала устанавливалось в 12 футов с последующим доведением в ходе эксплуатации до 18 футов, а размер шлюзов был принят 100 на 17 метров (9045).</w:t>
      </w:r>
    </w:p>
    <w:p w14:paraId="3AAF9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3DA3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февраля 1931 г. СТО принимает постановление № 24 "Об изменении п. п. "б", "в" и "г" ст.2-й постановления СТО от 3 июня 1930 года о постройке Балтийско-Беломорского канала". </w:t>
      </w:r>
    </w:p>
    <w:p w14:paraId="63B5F41C"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Совет Труда и Обороны постановил: </w:t>
      </w:r>
    </w:p>
    <w:p w14:paraId="5662C032"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глубину Балтийско-Беломорского канала установить в 10–12 футов; </w:t>
      </w:r>
    </w:p>
    <w:p w14:paraId="257418D4"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срок окончания работ не позже конца 1932 года; </w:t>
      </w:r>
    </w:p>
    <w:p w14:paraId="71E94E9C"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затраты на постройку канала определить в 60–70 млн. руб.; </w:t>
      </w:r>
    </w:p>
    <w:p w14:paraId="1E79AF75"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валютных ассигнований не производить. </w:t>
      </w:r>
    </w:p>
    <w:p w14:paraId="3D4CEDD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предложить Комитету по постройке канала представить в СТО не позднее 15 марта 1931 года общую смету и программу работ на 1931 год.</w:t>
      </w:r>
    </w:p>
    <w:p w14:paraId="4B4D8F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Выполнение этих требований ставило перед проектировщиками множество сложных задач, т. к. приходилось изыскивать неординарные технические и инженерные решения. </w:t>
      </w:r>
    </w:p>
    <w:p w14:paraId="7989C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Самое же необычное во всей этой истории заключалось в том, что эскизный проект сооружений канала разрабатывался заключенными. Большая группа инженеров, арестованных по обвинению во вредительстве на водном транспорте и в водном хозяйстве, была доставлена в Проектный отдел </w:t>
      </w:r>
      <w:proofErr w:type="spellStart"/>
      <w:r w:rsidRPr="007122AB">
        <w:rPr>
          <w:rFonts w:ascii="Times New Roman" w:hAnsi="Times New Roman"/>
          <w:color w:val="000000" w:themeColor="text1"/>
          <w:sz w:val="16"/>
          <w:szCs w:val="16"/>
        </w:rPr>
        <w:t>Беломорстроя</w:t>
      </w:r>
      <w:proofErr w:type="spellEnd"/>
      <w:r w:rsidRPr="007122AB">
        <w:rPr>
          <w:rFonts w:ascii="Times New Roman" w:hAnsi="Times New Roman"/>
          <w:color w:val="000000" w:themeColor="text1"/>
          <w:sz w:val="16"/>
          <w:szCs w:val="16"/>
        </w:rPr>
        <w:t xml:space="preserve">, располагавшийся тогда в Москве по адресу </w:t>
      </w:r>
      <w:proofErr w:type="spellStart"/>
      <w:r w:rsidRPr="007122AB">
        <w:rPr>
          <w:rFonts w:ascii="Times New Roman" w:hAnsi="Times New Roman"/>
          <w:color w:val="000000" w:themeColor="text1"/>
          <w:sz w:val="16"/>
          <w:szCs w:val="16"/>
        </w:rPr>
        <w:t>Фуркасовский</w:t>
      </w:r>
      <w:proofErr w:type="spellEnd"/>
      <w:r w:rsidRPr="007122AB">
        <w:rPr>
          <w:rFonts w:ascii="Times New Roman" w:hAnsi="Times New Roman"/>
          <w:color w:val="000000" w:themeColor="text1"/>
          <w:sz w:val="16"/>
          <w:szCs w:val="16"/>
        </w:rPr>
        <w:t xml:space="preserve"> пер., 12, и под техническим руководством вольнонаемного инженера С. Я. Жука занялась разработкой проектов шлюзов и плотин. </w:t>
      </w:r>
    </w:p>
    <w:p w14:paraId="361372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недрах столь необычно рожденного коллектива родилось большинство проектов уникальных гидротехнических сооружений: деревянные ворота шлюзов конструкции профессора В. Н. Маслова, способные выдерживать трехкратное давление воды; ряжевые и земляные плотины конструкции К. М. </w:t>
      </w:r>
      <w:proofErr w:type="spellStart"/>
      <w:r w:rsidRPr="007122AB">
        <w:rPr>
          <w:rFonts w:ascii="Times New Roman" w:hAnsi="Times New Roman"/>
          <w:color w:val="000000" w:themeColor="text1"/>
          <w:sz w:val="16"/>
          <w:szCs w:val="16"/>
        </w:rPr>
        <w:t>Зубрика</w:t>
      </w:r>
      <w:proofErr w:type="spellEnd"/>
      <w:r w:rsidRPr="007122AB">
        <w:rPr>
          <w:rFonts w:ascii="Times New Roman" w:hAnsi="Times New Roman"/>
          <w:color w:val="000000" w:themeColor="text1"/>
          <w:sz w:val="16"/>
          <w:szCs w:val="16"/>
        </w:rPr>
        <w:t xml:space="preserve"> и О. В Вяземского. Все сооружения проектировались из расчета на применение местных материалов, с минимальным использованием стали и бетона. </w:t>
      </w:r>
    </w:p>
    <w:p w14:paraId="230AE2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 шла очень напряженно, иногда по 16 часов в сутки. </w:t>
      </w:r>
    </w:p>
    <w:p w14:paraId="73A594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таком же жестком ритме работал весь проектный отдел, возглавляемый с апреля 1931 г. инженером В. Н. </w:t>
      </w:r>
      <w:proofErr w:type="spellStart"/>
      <w:r w:rsidRPr="007122AB">
        <w:rPr>
          <w:rFonts w:ascii="Times New Roman" w:hAnsi="Times New Roman"/>
          <w:color w:val="000000" w:themeColor="text1"/>
          <w:sz w:val="16"/>
          <w:szCs w:val="16"/>
        </w:rPr>
        <w:t>Могилко</w:t>
      </w:r>
      <w:proofErr w:type="spellEnd"/>
      <w:r w:rsidRPr="007122AB">
        <w:rPr>
          <w:rFonts w:ascii="Times New Roman" w:hAnsi="Times New Roman"/>
          <w:color w:val="000000" w:themeColor="text1"/>
          <w:sz w:val="16"/>
          <w:szCs w:val="16"/>
        </w:rPr>
        <w:t xml:space="preserve"> (12107).</w:t>
      </w:r>
    </w:p>
    <w:p w14:paraId="324B6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D6E96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февраля 1931 г. СТО принимает постановление № 24 "Об изменении п. п. "б", "в" и "г" ст.2-й постановления СТО от 3 июня 1930 года о постройке Балтийско-Беломорского канала". </w:t>
      </w:r>
    </w:p>
    <w:p w14:paraId="59C46CDB" w14:textId="77777777" w:rsidR="005E7475" w:rsidRPr="007122AB" w:rsidRDefault="005E7475" w:rsidP="007122AB">
      <w:pPr>
        <w:pStyle w:val="Blockquote"/>
        <w:spacing w:before="0" w:after="0"/>
        <w:ind w:left="0" w:right="0"/>
        <w:jc w:val="both"/>
        <w:rPr>
          <w:color w:val="000000" w:themeColor="text1"/>
          <w:sz w:val="16"/>
          <w:szCs w:val="16"/>
          <w:lang w:val="ru-RU"/>
        </w:rPr>
      </w:pPr>
      <w:r w:rsidRPr="007122AB">
        <w:rPr>
          <w:color w:val="000000" w:themeColor="text1"/>
          <w:sz w:val="16"/>
          <w:szCs w:val="16"/>
          <w:lang w:val="ru-RU"/>
        </w:rPr>
        <w:t xml:space="preserve">Совет Труда и Обороны постановил: </w:t>
      </w:r>
    </w:p>
    <w:p w14:paraId="5F90EAFE" w14:textId="77777777" w:rsidR="005E7475" w:rsidRPr="007122AB" w:rsidRDefault="005E7475" w:rsidP="007122AB">
      <w:pPr>
        <w:pStyle w:val="Blockquote"/>
        <w:spacing w:before="0" w:after="0"/>
        <w:ind w:left="0" w:right="0"/>
        <w:jc w:val="both"/>
        <w:rPr>
          <w:color w:val="000000" w:themeColor="text1"/>
          <w:sz w:val="16"/>
          <w:szCs w:val="16"/>
          <w:lang w:val="ru-RU"/>
        </w:rPr>
      </w:pPr>
      <w:r w:rsidRPr="007122AB">
        <w:rPr>
          <w:color w:val="000000" w:themeColor="text1"/>
          <w:sz w:val="16"/>
          <w:szCs w:val="16"/>
          <w:lang w:val="ru-RU"/>
        </w:rPr>
        <w:t xml:space="preserve">1) глубину Балтийско-Беломорского канала установить в 10–12 футов; </w:t>
      </w:r>
    </w:p>
    <w:p w14:paraId="5593FF85" w14:textId="77777777" w:rsidR="005E7475" w:rsidRPr="007122AB" w:rsidRDefault="005E7475" w:rsidP="007122AB">
      <w:pPr>
        <w:pStyle w:val="Blockquote"/>
        <w:spacing w:before="0" w:after="0"/>
        <w:ind w:left="0" w:right="0"/>
        <w:jc w:val="both"/>
        <w:rPr>
          <w:color w:val="000000" w:themeColor="text1"/>
          <w:sz w:val="16"/>
          <w:szCs w:val="16"/>
          <w:lang w:val="ru-RU"/>
        </w:rPr>
      </w:pPr>
      <w:r w:rsidRPr="007122AB">
        <w:rPr>
          <w:color w:val="000000" w:themeColor="text1"/>
          <w:sz w:val="16"/>
          <w:szCs w:val="16"/>
          <w:lang w:val="ru-RU"/>
        </w:rPr>
        <w:t xml:space="preserve">2) срок окончания работ не позже конца 1932 года; </w:t>
      </w:r>
    </w:p>
    <w:p w14:paraId="29BE64B7" w14:textId="77777777" w:rsidR="005E7475" w:rsidRPr="007122AB" w:rsidRDefault="005E7475" w:rsidP="007122AB">
      <w:pPr>
        <w:pStyle w:val="Blockquote"/>
        <w:spacing w:before="0" w:after="0"/>
        <w:ind w:left="0" w:right="0"/>
        <w:jc w:val="both"/>
        <w:rPr>
          <w:color w:val="000000" w:themeColor="text1"/>
          <w:sz w:val="16"/>
          <w:szCs w:val="16"/>
          <w:lang w:val="ru-RU"/>
        </w:rPr>
      </w:pPr>
      <w:r w:rsidRPr="007122AB">
        <w:rPr>
          <w:color w:val="000000" w:themeColor="text1"/>
          <w:sz w:val="16"/>
          <w:szCs w:val="16"/>
          <w:lang w:val="ru-RU"/>
        </w:rPr>
        <w:t xml:space="preserve">3) затраты на постройку канала определить в 60–70 млн. руб.; </w:t>
      </w:r>
    </w:p>
    <w:p w14:paraId="082A7A54" w14:textId="77777777" w:rsidR="005E7475" w:rsidRPr="007122AB" w:rsidRDefault="005E7475" w:rsidP="007122AB">
      <w:pPr>
        <w:pStyle w:val="Blockquote"/>
        <w:spacing w:before="0" w:after="0"/>
        <w:ind w:left="0" w:right="0"/>
        <w:jc w:val="both"/>
        <w:rPr>
          <w:color w:val="000000" w:themeColor="text1"/>
          <w:sz w:val="16"/>
          <w:szCs w:val="16"/>
          <w:lang w:val="ru-RU"/>
        </w:rPr>
      </w:pPr>
      <w:r w:rsidRPr="007122AB">
        <w:rPr>
          <w:color w:val="000000" w:themeColor="text1"/>
          <w:sz w:val="16"/>
          <w:szCs w:val="16"/>
          <w:lang w:val="ru-RU"/>
        </w:rPr>
        <w:t xml:space="preserve">4) валютных ассигнований не производить. </w:t>
      </w:r>
    </w:p>
    <w:p w14:paraId="60A3A4AE" w14:textId="77777777" w:rsidR="005E7475" w:rsidRPr="007122AB" w:rsidRDefault="005E7475" w:rsidP="007122AB">
      <w:pPr>
        <w:pStyle w:val="Blockquote"/>
        <w:spacing w:before="0" w:after="0"/>
        <w:ind w:left="0" w:right="0"/>
        <w:jc w:val="both"/>
        <w:rPr>
          <w:color w:val="000000" w:themeColor="text1"/>
          <w:sz w:val="16"/>
          <w:szCs w:val="16"/>
          <w:lang w:val="ru-RU"/>
        </w:rPr>
      </w:pPr>
      <w:r w:rsidRPr="007122AB">
        <w:rPr>
          <w:color w:val="000000" w:themeColor="text1"/>
          <w:sz w:val="16"/>
          <w:szCs w:val="16"/>
          <w:lang w:val="ru-RU"/>
        </w:rPr>
        <w:t>5) предложить Комитету по постройке канала представить в СТО не позднее 15 марта 1931 года общую смету и программу работ на 1931 год.</w:t>
      </w:r>
    </w:p>
    <w:p w14:paraId="00F1A1F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Выполнение этих требований ставило перед проектировщиками множество сложных задач, т. к. приходилось изыскивать неординарные технические и инженерные решения. </w:t>
      </w:r>
    </w:p>
    <w:p w14:paraId="50DE889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Самое же необычное во всей этой истории заключалось в том, что эскизный проект сооружений канала разрабатывался заключенными. Большая группа инженеров, арестованных по обвинению во вредительстве на водном транспорте и в водном хозяйстве, была доставлена в Проектный отдел </w:t>
      </w:r>
      <w:proofErr w:type="spellStart"/>
      <w:r w:rsidRPr="007122AB">
        <w:rPr>
          <w:rFonts w:ascii="Times New Roman" w:hAnsi="Times New Roman"/>
          <w:color w:val="000000" w:themeColor="text1"/>
          <w:sz w:val="16"/>
          <w:szCs w:val="16"/>
        </w:rPr>
        <w:t>Беломорстроя</w:t>
      </w:r>
      <w:proofErr w:type="spellEnd"/>
      <w:r w:rsidRPr="007122AB">
        <w:rPr>
          <w:rFonts w:ascii="Times New Roman" w:hAnsi="Times New Roman"/>
          <w:color w:val="000000" w:themeColor="text1"/>
          <w:sz w:val="16"/>
          <w:szCs w:val="16"/>
        </w:rPr>
        <w:t xml:space="preserve">, располагавшийся тогда в Москве по адресу </w:t>
      </w:r>
      <w:proofErr w:type="spellStart"/>
      <w:r w:rsidRPr="007122AB">
        <w:rPr>
          <w:rFonts w:ascii="Times New Roman" w:hAnsi="Times New Roman"/>
          <w:color w:val="000000" w:themeColor="text1"/>
          <w:sz w:val="16"/>
          <w:szCs w:val="16"/>
        </w:rPr>
        <w:t>Фуркасовский</w:t>
      </w:r>
      <w:proofErr w:type="spellEnd"/>
      <w:r w:rsidRPr="007122AB">
        <w:rPr>
          <w:rFonts w:ascii="Times New Roman" w:hAnsi="Times New Roman"/>
          <w:color w:val="000000" w:themeColor="text1"/>
          <w:sz w:val="16"/>
          <w:szCs w:val="16"/>
        </w:rPr>
        <w:t xml:space="preserve"> пер., 12, и под техническим руководством вольнонаемного инженера С. Я. Жука занялась разработкой проектов шлюзов и плотин.</w:t>
      </w:r>
    </w:p>
    <w:p w14:paraId="042C0F1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недрах столь необычно рожденного коллектива родилось большинство проектов уникальных гидротехнических сооружений: деревянные ворота шлюзов конструкции профессора В. Н. Маслова, способные выдерживать трехкратное давление воды; ряжевые и земляные плотины конструкции К. М. </w:t>
      </w:r>
      <w:proofErr w:type="spellStart"/>
      <w:r w:rsidRPr="007122AB">
        <w:rPr>
          <w:rFonts w:ascii="Times New Roman" w:hAnsi="Times New Roman"/>
          <w:color w:val="000000" w:themeColor="text1"/>
          <w:sz w:val="16"/>
          <w:szCs w:val="16"/>
        </w:rPr>
        <w:t>Зубрика</w:t>
      </w:r>
      <w:proofErr w:type="spellEnd"/>
      <w:r w:rsidRPr="007122AB">
        <w:rPr>
          <w:rFonts w:ascii="Times New Roman" w:hAnsi="Times New Roman"/>
          <w:color w:val="000000" w:themeColor="text1"/>
          <w:sz w:val="16"/>
          <w:szCs w:val="16"/>
        </w:rPr>
        <w:t xml:space="preserve"> и О. В Вяземского. Все сооружения проектировались из расчета на применение местных материалов, с минимальным использованием стали и бетона. </w:t>
      </w:r>
    </w:p>
    <w:p w14:paraId="294B7D5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 шла очень напряженно, иногда по 16 часов в сутки. </w:t>
      </w:r>
    </w:p>
    <w:p w14:paraId="5014048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таком же жестком ритме работал весь проектный отдел, возглавляемый с апреля 1931 г. инженером В. Н. </w:t>
      </w:r>
      <w:proofErr w:type="spellStart"/>
      <w:r w:rsidRPr="007122AB">
        <w:rPr>
          <w:rFonts w:ascii="Times New Roman" w:hAnsi="Times New Roman"/>
          <w:color w:val="000000" w:themeColor="text1"/>
          <w:sz w:val="16"/>
          <w:szCs w:val="16"/>
        </w:rPr>
        <w:t>Могилко</w:t>
      </w:r>
      <w:proofErr w:type="spellEnd"/>
      <w:r w:rsidRPr="007122AB">
        <w:rPr>
          <w:rFonts w:ascii="Times New Roman" w:hAnsi="Times New Roman"/>
          <w:color w:val="000000" w:themeColor="text1"/>
          <w:sz w:val="16"/>
          <w:szCs w:val="16"/>
        </w:rPr>
        <w:t xml:space="preserve">. </w:t>
      </w:r>
    </w:p>
    <w:p w14:paraId="2AFDFF3E"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июля, с двухмесячным опережением графика, проект был готов. </w:t>
      </w:r>
    </w:p>
    <w:p w14:paraId="6D35A55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тот же день Особый комитет утвердил его на своем заседании. В окончательном варианте проект канала предусматривал сооружение транспортного водного пути длиной 227 километров, оборудованного 128 гидротехническими сооружениями. Планировалось сооружение 19 шлюзов (из них восемь составляли т. н. "</w:t>
      </w:r>
      <w:proofErr w:type="spellStart"/>
      <w:r w:rsidRPr="007122AB">
        <w:rPr>
          <w:rFonts w:ascii="Times New Roman" w:hAnsi="Times New Roman"/>
          <w:color w:val="000000" w:themeColor="text1"/>
          <w:sz w:val="16"/>
          <w:szCs w:val="16"/>
        </w:rPr>
        <w:t>Повенчанскую</w:t>
      </w:r>
      <w:proofErr w:type="spellEnd"/>
      <w:r w:rsidRPr="007122AB">
        <w:rPr>
          <w:rFonts w:ascii="Times New Roman" w:hAnsi="Times New Roman"/>
          <w:color w:val="000000" w:themeColor="text1"/>
          <w:sz w:val="16"/>
          <w:szCs w:val="16"/>
        </w:rPr>
        <w:t xml:space="preserve"> лестницу"), 15 плотин, 49 дамб. Общая стоимость работ, согласно финансовому плану, исчислялась в 88 866 600 рублей, из них в 1931 г. планировалось отпустить 32 380 000 рублей, в 1932 (решающем) году - 55 921 000 рублей и в 1933 г. на доделки - 565 800 рублей. Работы должны были быть в основном выполнены за 400 рабочих дней (12129).</w:t>
      </w:r>
    </w:p>
    <w:p w14:paraId="3E15072C" w14:textId="77777777" w:rsidR="005E7475" w:rsidRPr="007122AB" w:rsidRDefault="005E7475" w:rsidP="007122AB">
      <w:pPr>
        <w:spacing w:after="0" w:line="240" w:lineRule="auto"/>
        <w:jc w:val="both"/>
        <w:rPr>
          <w:rFonts w:ascii="Times New Roman" w:hAnsi="Times New Roman"/>
          <w:color w:val="000000" w:themeColor="text1"/>
          <w:sz w:val="16"/>
          <w:szCs w:val="16"/>
        </w:rPr>
      </w:pPr>
    </w:p>
    <w:p w14:paraId="47C0F38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04B8C5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548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C 19 февраля по 24 марта 1931 г. проходило специальное испытание самолета И-3 N 4364 с мотором М-17 N 26191 постройки завода N 1 сер. 9-й - </w:t>
      </w:r>
      <w:proofErr w:type="spellStart"/>
      <w:r w:rsidRPr="007122AB">
        <w:rPr>
          <w:rFonts w:ascii="Times New Roman" w:hAnsi="Times New Roman"/>
          <w:color w:val="000000" w:themeColor="text1"/>
          <w:sz w:val="16"/>
          <w:szCs w:val="16"/>
        </w:rPr>
        <w:t>колич</w:t>
      </w:r>
      <w:proofErr w:type="spellEnd"/>
      <w:r w:rsidRPr="007122AB">
        <w:rPr>
          <w:rFonts w:ascii="Times New Roman" w:hAnsi="Times New Roman"/>
          <w:color w:val="000000" w:themeColor="text1"/>
          <w:sz w:val="16"/>
          <w:szCs w:val="16"/>
        </w:rPr>
        <w:t xml:space="preserve">. 38 шт. Винт зав. N 28, шаг 3615, </w:t>
      </w:r>
      <w:proofErr w:type="spellStart"/>
      <w:r w:rsidRPr="007122AB">
        <w:rPr>
          <w:rFonts w:ascii="Times New Roman" w:hAnsi="Times New Roman"/>
          <w:color w:val="000000" w:themeColor="text1"/>
          <w:sz w:val="16"/>
          <w:szCs w:val="16"/>
        </w:rPr>
        <w:t>диам</w:t>
      </w:r>
      <w:proofErr w:type="spellEnd"/>
      <w:r w:rsidRPr="007122AB">
        <w:rPr>
          <w:rFonts w:ascii="Times New Roman" w:hAnsi="Times New Roman"/>
          <w:color w:val="000000" w:themeColor="text1"/>
          <w:sz w:val="16"/>
          <w:szCs w:val="16"/>
        </w:rPr>
        <w:t>. 2,95. Время закладки 22 июня 1930 г.</w:t>
      </w:r>
    </w:p>
    <w:p w14:paraId="2F692A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70934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результатам взвешивания, определения центра тяжести, скороподъемности, скорости и управляемости, самолеты данной серии могут быть приняты на снабжение ВВС (3251,3-6).</w:t>
      </w:r>
    </w:p>
    <w:p w14:paraId="5D928F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A915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февраля 1931 года вышел приказ № 17/11 ВВС Московского военного округа</w:t>
      </w:r>
    </w:p>
    <w:p w14:paraId="23B804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установлении специальных зон для высшего пилотажа и полетов по кругу на всех аэродромах частей ВВС МВО (6948, 108).</w:t>
      </w:r>
    </w:p>
    <w:p w14:paraId="65A451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9A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февраля 1931 </w:t>
      </w:r>
      <w:proofErr w:type="spellStart"/>
      <w:r w:rsidRPr="007122AB">
        <w:rPr>
          <w:rFonts w:ascii="Times New Roman" w:hAnsi="Times New Roman"/>
          <w:color w:val="000000" w:themeColor="text1"/>
          <w:sz w:val="16"/>
          <w:szCs w:val="16"/>
        </w:rPr>
        <w:t>В.В.Куйбышев</w:t>
      </w:r>
      <w:proofErr w:type="spellEnd"/>
      <w:r w:rsidRPr="007122AB">
        <w:rPr>
          <w:rFonts w:ascii="Times New Roman" w:hAnsi="Times New Roman"/>
          <w:color w:val="000000" w:themeColor="text1"/>
          <w:sz w:val="16"/>
          <w:szCs w:val="16"/>
        </w:rPr>
        <w:t xml:space="preserve"> выступая на 1 Всесоюзной конференции работников ГВФ заявил "Советское правительство считает возможным запроектировать в области ГА огромные темпы, которые не снились ни одному капиталистическому государству" (442,74).</w:t>
      </w:r>
    </w:p>
    <w:p w14:paraId="7D71D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85F9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февраля 1931 г. </w:t>
      </w:r>
      <w:proofErr w:type="spellStart"/>
      <w:r w:rsidRPr="007122AB">
        <w:rPr>
          <w:rFonts w:ascii="Times New Roman" w:hAnsi="Times New Roman"/>
          <w:color w:val="000000" w:themeColor="text1"/>
          <w:sz w:val="16"/>
          <w:szCs w:val="16"/>
        </w:rPr>
        <w:t>В.В.Куйбышев</w:t>
      </w:r>
      <w:proofErr w:type="spellEnd"/>
      <w:r w:rsidRPr="007122AB">
        <w:rPr>
          <w:rFonts w:ascii="Times New Roman" w:hAnsi="Times New Roman"/>
          <w:color w:val="000000" w:themeColor="text1"/>
          <w:sz w:val="16"/>
          <w:szCs w:val="16"/>
        </w:rPr>
        <w:t>, выступая на I Все</w:t>
      </w:r>
      <w:r w:rsidRPr="007122AB">
        <w:rPr>
          <w:rFonts w:ascii="Times New Roman" w:hAnsi="Times New Roman"/>
          <w:color w:val="000000" w:themeColor="text1"/>
          <w:sz w:val="16"/>
          <w:szCs w:val="16"/>
        </w:rPr>
        <w:softHyphen/>
        <w:t>союзной конференции работников гражданского воздушного флота, сказал: "Гражданская авиация - это детище новой техники. Прави</w:t>
      </w:r>
      <w:r w:rsidRPr="007122AB">
        <w:rPr>
          <w:rFonts w:ascii="Times New Roman" w:hAnsi="Times New Roman"/>
          <w:color w:val="000000" w:themeColor="text1"/>
          <w:sz w:val="16"/>
          <w:szCs w:val="16"/>
        </w:rPr>
        <w:softHyphen/>
        <w:t xml:space="preserve">тельство именно поэтому считает возможным запроектировать в области </w:t>
      </w:r>
      <w:proofErr w:type="spellStart"/>
      <w:r w:rsidRPr="007122AB">
        <w:rPr>
          <w:rFonts w:ascii="Times New Roman" w:hAnsi="Times New Roman"/>
          <w:color w:val="000000" w:themeColor="text1"/>
          <w:sz w:val="16"/>
          <w:szCs w:val="16"/>
        </w:rPr>
        <w:t>гражданской.авиации</w:t>
      </w:r>
      <w:proofErr w:type="spellEnd"/>
      <w:r w:rsidRPr="007122AB">
        <w:rPr>
          <w:rFonts w:ascii="Times New Roman" w:hAnsi="Times New Roman"/>
          <w:color w:val="000000" w:themeColor="text1"/>
          <w:sz w:val="16"/>
          <w:szCs w:val="16"/>
        </w:rPr>
        <w:t xml:space="preserve"> огромные темпы, темпы, которые не снились ни </w:t>
      </w:r>
      <w:proofErr w:type="spellStart"/>
      <w:r w:rsidRPr="007122AB">
        <w:rPr>
          <w:rFonts w:ascii="Times New Roman" w:hAnsi="Times New Roman"/>
          <w:color w:val="000000" w:themeColor="text1"/>
          <w:sz w:val="16"/>
          <w:szCs w:val="16"/>
        </w:rPr>
        <w:t>одно.чу</w:t>
      </w:r>
      <w:proofErr w:type="spellEnd"/>
      <w:r w:rsidRPr="007122AB">
        <w:rPr>
          <w:rFonts w:ascii="Times New Roman" w:hAnsi="Times New Roman"/>
          <w:color w:val="000000" w:themeColor="text1"/>
          <w:sz w:val="16"/>
          <w:szCs w:val="16"/>
        </w:rPr>
        <w:t xml:space="preserve"> капиталистическому государству". И дейст</w:t>
      </w:r>
      <w:r w:rsidRPr="007122AB">
        <w:rPr>
          <w:rFonts w:ascii="Times New Roman" w:hAnsi="Times New Roman"/>
          <w:color w:val="000000" w:themeColor="text1"/>
          <w:sz w:val="16"/>
          <w:szCs w:val="16"/>
        </w:rPr>
        <w:softHyphen/>
        <w:t xml:space="preserve">вительно, </w:t>
      </w:r>
      <w:proofErr w:type="spellStart"/>
      <w:r w:rsidRPr="007122AB">
        <w:rPr>
          <w:rFonts w:ascii="Times New Roman" w:hAnsi="Times New Roman"/>
          <w:color w:val="000000" w:themeColor="text1"/>
          <w:sz w:val="16"/>
          <w:szCs w:val="16"/>
        </w:rPr>
        <w:t>уже.к</w:t>
      </w:r>
      <w:proofErr w:type="spellEnd"/>
      <w:r w:rsidRPr="007122AB">
        <w:rPr>
          <w:rFonts w:ascii="Times New Roman" w:hAnsi="Times New Roman"/>
          <w:color w:val="000000" w:themeColor="text1"/>
          <w:sz w:val="16"/>
          <w:szCs w:val="16"/>
        </w:rPr>
        <w:t xml:space="preserve"> концу первой пятилетки Советский Союз занял ведущее место </w:t>
      </w:r>
      <w:proofErr w:type="spellStart"/>
      <w:r w:rsidRPr="007122AB">
        <w:rPr>
          <w:rFonts w:ascii="Times New Roman" w:hAnsi="Times New Roman"/>
          <w:color w:val="000000" w:themeColor="text1"/>
          <w:sz w:val="16"/>
          <w:szCs w:val="16"/>
        </w:rPr>
        <w:t>в.мире</w:t>
      </w:r>
      <w:proofErr w:type="spellEnd"/>
      <w:r w:rsidRPr="007122AB">
        <w:rPr>
          <w:rFonts w:ascii="Times New Roman" w:hAnsi="Times New Roman"/>
          <w:color w:val="000000" w:themeColor="text1"/>
          <w:sz w:val="16"/>
          <w:szCs w:val="16"/>
        </w:rPr>
        <w:t xml:space="preserve"> по темпам развития гражданской авиации (11114).</w:t>
      </w:r>
    </w:p>
    <w:p w14:paraId="15BD65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D54C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4D9EA2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F892D1" w14:textId="77777777" w:rsidR="00D306B4" w:rsidRPr="007122AB" w:rsidRDefault="00D306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февраля 1931 г. комиссия Политбюро ЦК ВКП(б) по танкостроению в докладе Политбюро отметила, что танк «Т-Г» был признан основным типом среднего танка и что было предложено срочно развернуть его производство в Харькове и на Урале. В сентябре 1931 г.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выехал в Германию.</w:t>
      </w:r>
    </w:p>
    <w:p w14:paraId="29251BB1" w14:textId="77777777" w:rsidR="00D306B4" w:rsidRPr="007122AB" w:rsidRDefault="00D306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7122AB">
        <w:rPr>
          <w:rFonts w:ascii="Times New Roman" w:hAnsi="Times New Roman"/>
          <w:color w:val="000000" w:themeColor="text1"/>
          <w:sz w:val="16"/>
          <w:szCs w:val="16"/>
        </w:rPr>
        <w:t>губкома</w:t>
      </w:r>
      <w:proofErr w:type="spellEnd"/>
      <w:r w:rsidRPr="007122AB">
        <w:rPr>
          <w:rFonts w:ascii="Times New Roman" w:hAnsi="Times New Roman"/>
          <w:color w:val="000000" w:themeColor="text1"/>
          <w:sz w:val="16"/>
          <w:szCs w:val="16"/>
        </w:rPr>
        <w:t xml:space="preserve"> (обкома) ВКП(б) в 1926–1934 гг.), с которым Сталин дружил, отправится к нему в Сочи 12 сентября и «о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&lt;. &gt; расскажет &lt;…&gt; всё сам» (18265).</w:t>
      </w:r>
    </w:p>
    <w:p w14:paraId="0FA41EE2" w14:textId="77777777" w:rsidR="00D306B4" w:rsidRPr="007122AB" w:rsidRDefault="00D306B4" w:rsidP="007122AB">
      <w:pPr>
        <w:spacing w:after="0" w:line="240" w:lineRule="auto"/>
        <w:jc w:val="both"/>
        <w:rPr>
          <w:rFonts w:ascii="Times New Roman" w:hAnsi="Times New Roman"/>
          <w:color w:val="000000" w:themeColor="text1"/>
          <w:sz w:val="16"/>
          <w:szCs w:val="16"/>
        </w:rPr>
      </w:pPr>
    </w:p>
    <w:p w14:paraId="26418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февраля 1931 г. комиссия Политбюро ЦК ВКП(б) по танкостроению в докладе Политбюро дала высокую оценку танку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7122AB">
        <w:rPr>
          <w:rFonts w:ascii="Times New Roman" w:hAnsi="Times New Roman"/>
          <w:color w:val="000000" w:themeColor="text1"/>
          <w:sz w:val="16"/>
          <w:szCs w:val="16"/>
        </w:rPr>
        <w:t>губкома</w:t>
      </w:r>
      <w:proofErr w:type="spellEnd"/>
      <w:r w:rsidRPr="007122AB">
        <w:rPr>
          <w:rFonts w:ascii="Times New Roman" w:hAnsi="Times New Roman"/>
          <w:color w:val="000000" w:themeColor="text1"/>
          <w:sz w:val="16"/>
          <w:szCs w:val="16"/>
        </w:rPr>
        <w:t xml:space="preserve"> (обкома) ВКП(б) в 1926 — 1934 гг. ), с которым Сталин дружил, отправится к нему в Сочи 12 сентября и «о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w:t>
      </w:r>
      <w:proofErr w:type="spellStart"/>
      <w:r w:rsidRPr="007122AB">
        <w:rPr>
          <w:rFonts w:ascii="Times New Roman" w:hAnsi="Times New Roman"/>
          <w:color w:val="000000" w:themeColor="text1"/>
          <w:sz w:val="16"/>
          <w:szCs w:val="16"/>
        </w:rPr>
        <w:t>Дирксена</w:t>
      </w:r>
      <w:proofErr w:type="spellEnd"/>
      <w:r w:rsidRPr="007122AB">
        <w:rPr>
          <w:rFonts w:ascii="Times New Roman" w:hAnsi="Times New Roman"/>
          <w:color w:val="000000" w:themeColor="text1"/>
          <w:sz w:val="16"/>
          <w:szCs w:val="16"/>
        </w:rPr>
        <w:t xml:space="preserve"> с наркомом внешней торговли А. И. Микояном и членом коллегии НКИД СССР </w:t>
      </w:r>
      <w:proofErr w:type="spellStart"/>
      <w:r w:rsidRPr="007122AB">
        <w:rPr>
          <w:rFonts w:ascii="Times New Roman" w:hAnsi="Times New Roman"/>
          <w:color w:val="000000" w:themeColor="text1"/>
          <w:sz w:val="16"/>
          <w:szCs w:val="16"/>
        </w:rPr>
        <w:t>Стомоняковым</w:t>
      </w:r>
      <w:proofErr w:type="spellEnd"/>
      <w:r w:rsidRPr="007122AB">
        <w:rPr>
          <w:rFonts w:ascii="Times New Roman" w:hAnsi="Times New Roman"/>
          <w:color w:val="000000" w:themeColor="text1"/>
          <w:sz w:val="16"/>
          <w:szCs w:val="16"/>
        </w:rPr>
        <w:t xml:space="preserve">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w:t>
      </w:r>
      <w:proofErr w:type="spellStart"/>
      <w:r w:rsidRPr="007122AB">
        <w:rPr>
          <w:rFonts w:ascii="Times New Roman" w:hAnsi="Times New Roman"/>
          <w:color w:val="000000" w:themeColor="text1"/>
          <w:sz w:val="16"/>
          <w:szCs w:val="16"/>
        </w:rPr>
        <w:t>Дирксен</w:t>
      </w:r>
      <w:proofErr w:type="spellEnd"/>
      <w:r w:rsidRPr="007122AB">
        <w:rPr>
          <w:rFonts w:ascii="Times New Roman" w:hAnsi="Times New Roman"/>
          <w:color w:val="000000" w:themeColor="text1"/>
          <w:sz w:val="16"/>
          <w:szCs w:val="16"/>
        </w:rPr>
        <w:t xml:space="preserve"> постоянно ставил вопрос о кредитах перед министром иностранных дел </w:t>
      </w:r>
      <w:proofErr w:type="spellStart"/>
      <w:r w:rsidRPr="007122AB">
        <w:rPr>
          <w:rFonts w:ascii="Times New Roman" w:hAnsi="Times New Roman"/>
          <w:color w:val="000000" w:themeColor="text1"/>
          <w:sz w:val="16"/>
          <w:szCs w:val="16"/>
        </w:rPr>
        <w:t>Курциусом</w:t>
      </w:r>
      <w:proofErr w:type="spellEnd"/>
      <w:r w:rsidRPr="007122AB">
        <w:rPr>
          <w:rFonts w:ascii="Times New Roman" w:hAnsi="Times New Roman"/>
          <w:color w:val="000000" w:themeColor="text1"/>
          <w:sz w:val="16"/>
          <w:szCs w:val="16"/>
        </w:rPr>
        <w:t>,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3AB76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324B4E" w14:textId="77777777" w:rsidR="003B4AB7" w:rsidRPr="007122AB" w:rsidRDefault="003B4AB7" w:rsidP="007122AB">
      <w:pPr>
        <w:pStyle w:val="a3"/>
        <w:rPr>
          <w:color w:val="000000" w:themeColor="text1"/>
          <w:lang w:val="ru-RU"/>
        </w:rPr>
      </w:pPr>
      <w:r w:rsidRPr="007122AB">
        <w:rPr>
          <w:color w:val="000000" w:themeColor="text1"/>
          <w:lang w:val="ru-RU"/>
        </w:rPr>
        <w:t>19 февраля 1931 г. 12-тонный танк Виккерс №3 (с вооружением) был отправлен в Мурманск на пароходе «Искра» (15745).</w:t>
      </w:r>
    </w:p>
    <w:p w14:paraId="2C7FB805" w14:textId="77777777" w:rsidR="003B4AB7" w:rsidRPr="007122AB" w:rsidRDefault="003B4AB7" w:rsidP="007122AB">
      <w:pPr>
        <w:pStyle w:val="a3"/>
        <w:rPr>
          <w:color w:val="000000" w:themeColor="text1"/>
          <w:lang w:val="ru-RU"/>
        </w:rPr>
      </w:pPr>
    </w:p>
    <w:p w14:paraId="3AC352A3" w14:textId="77777777" w:rsidR="009D708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246013E" w14:textId="77777777" w:rsidR="009D708C" w:rsidRPr="007122AB" w:rsidRDefault="009D708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AA930D" w14:textId="77777777" w:rsidR="009D708C" w:rsidRPr="007122AB" w:rsidRDefault="009D70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19 февраля 1931 г. статус договорной Абхазской ССР изменен на статус автономной республики. Абхазская АССР присоединена к Грузии (17325).</w:t>
      </w:r>
    </w:p>
    <w:p w14:paraId="64D80002" w14:textId="77777777" w:rsidR="009D708C" w:rsidRPr="007122AB" w:rsidRDefault="009D708C" w:rsidP="007122AB">
      <w:pPr>
        <w:pStyle w:val="a3"/>
        <w:rPr>
          <w:color w:val="000000" w:themeColor="text1"/>
          <w:lang w:val="ru-RU"/>
        </w:rPr>
      </w:pPr>
    </w:p>
    <w:p w14:paraId="4D8545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CD9DB2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CB9A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закончились гос. испытания АНТ-6 (ТБ-3), которые шли с 20 ноября 1930 (1017,169).</w:t>
      </w:r>
    </w:p>
    <w:p w14:paraId="19C38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F1CF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была вынесена оценка ТБ-3 (АНТ-6) НИИ ВВС. Рекомендовали для серии с М-17 и возвратили в АГОС для смены двигателей и т.п. Началось внедрение в серию (92,427).</w:t>
      </w:r>
    </w:p>
    <w:p w14:paraId="63C2ED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Подписал акт гос. испытаний </w:t>
      </w:r>
      <w:proofErr w:type="spellStart"/>
      <w:r w:rsidRPr="007122AB">
        <w:rPr>
          <w:rFonts w:ascii="Times New Roman" w:hAnsi="Times New Roman"/>
          <w:color w:val="000000" w:themeColor="text1"/>
          <w:sz w:val="16"/>
          <w:szCs w:val="16"/>
        </w:rPr>
        <w:t>вл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М.М.Громов</w:t>
      </w:r>
      <w:proofErr w:type="spellEnd"/>
      <w:r w:rsidRPr="007122AB">
        <w:rPr>
          <w:rFonts w:ascii="Times New Roman" w:hAnsi="Times New Roman"/>
          <w:color w:val="000000" w:themeColor="text1"/>
          <w:sz w:val="16"/>
          <w:szCs w:val="16"/>
        </w:rPr>
        <w:t xml:space="preserve"> "Самолет АНТ-6 с моторами Кертис по свои ЛД вполне современный бомбардировщик на уровне лучших иностранных самолетов. Летно-эксплуатационные характеристики позволяют рекомендовать его для серийной постройки с моторами М-17" (172,130).</w:t>
      </w:r>
    </w:p>
    <w:p w14:paraId="48175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Запуск в серию рассматривается как успех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xml:space="preserve"> и А.Н.Т., которые смогли закупить необходимое оборудование. Осваивать начал завод 22, созданный на базе ГАЗ-5 (71,167).</w:t>
      </w:r>
    </w:p>
    <w:p w14:paraId="42CD8C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испытаний ТБ-3 (АНТ-6) перед АП была поставлена задача создать новый высотный самолет, предназначенный для уничтожения объектов в глубоком тылу. Согласно ТТ машина должны была иметь потолок - 7000 м, скорость - 250 км/ч, радиус действия - 1500-2000 км, нагрузку - 1000 кг, экипаж - 10-14 чел. Машина при снятии части бомбовой нагрузки и замене ее стрелковыми точками должна была бы быть и тяжелым крейсером. По реестру ВВС получила обозначение ТБ-7 (232,15).</w:t>
      </w:r>
    </w:p>
    <w:p w14:paraId="6293D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Конечно, никакого АНТ-42 тогда и в заделе не было и ТТТ были совсем другими.</w:t>
      </w:r>
    </w:p>
    <w:p w14:paraId="5D2A80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Есть мнение, что мысли о новом бомбардировщике появились в связи с появлением М-34, гос. испытания которого закончились к ноябрю 1931 (2122).</w:t>
      </w:r>
    </w:p>
    <w:p w14:paraId="4294A2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37A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20 февраля 1931 г. ТБ-3 (АНТ-6) совершили 10 полетов, на колесах и на лыжах. Их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самолета, подобного АНТ-6. Рули признали недостаточно эффективными. Жалюзи водяных радиаторов самопроизвольно открывались и закрывались. После того, как крышки смотровых люков на крыле пару раз открылись в полете, их сняли совсем. Глушители моторов прогорали и трескались. Пожарная сигнализация срабатывала, вызывая ложную тревогу - потом выяснилось, что на датчики подтекала вода из расширительных бачков. Некоторые из мостиков, которые должны были выкидываться из передней кромки крыла для работы мотористов на земле, не открывались совсем, другие, наоборот, открывались, но в рабочем положении запирались весьма ненадежно и наступать на них было страшно. Весьма существенными являлись выявленные дефекты в конструкции амортизации шасси. Машину рекомендовали к серийному производству, но </w:t>
      </w:r>
      <w:proofErr w:type="spellStart"/>
      <w:r w:rsidRPr="007122AB">
        <w:rPr>
          <w:rFonts w:ascii="Times New Roman" w:hAnsi="Times New Roman"/>
          <w:color w:val="000000" w:themeColor="text1"/>
          <w:sz w:val="16"/>
          <w:szCs w:val="16"/>
        </w:rPr>
        <w:t>потоебо</w:t>
      </w:r>
      <w:proofErr w:type="spellEnd"/>
      <w:r w:rsidRPr="007122AB">
        <w:rPr>
          <w:rFonts w:ascii="Times New Roman" w:hAnsi="Times New Roman"/>
          <w:color w:val="000000" w:themeColor="text1"/>
          <w:sz w:val="16"/>
          <w:szCs w:val="16"/>
        </w:rPr>
        <w:t xml:space="preserve">-вали внести в нее ряд существенных изменений. Основным из них стало применение моторов BMW VI. Кроме этого, НТК предписал изменить предусмотренные типы радиостанций и повторно заявил о необходимости смонтировать "подкрыльные башни по типу </w:t>
      </w:r>
      <w:proofErr w:type="spellStart"/>
      <w:r w:rsidRPr="007122AB">
        <w:rPr>
          <w:rFonts w:ascii="Times New Roman" w:hAnsi="Times New Roman"/>
          <w:color w:val="000000" w:themeColor="text1"/>
          <w:sz w:val="16"/>
          <w:szCs w:val="16"/>
        </w:rPr>
        <w:t>подфю-зеляжной</w:t>
      </w:r>
      <w:proofErr w:type="spellEnd"/>
      <w:r w:rsidRPr="007122AB">
        <w:rPr>
          <w:rFonts w:ascii="Times New Roman" w:hAnsi="Times New Roman"/>
          <w:color w:val="000000" w:themeColor="text1"/>
          <w:sz w:val="16"/>
          <w:szCs w:val="16"/>
        </w:rPr>
        <w:t xml:space="preserve"> башни самолета Р-6». Последнее, правда, согласились отнести уже к головной серийной машине (8887).</w:t>
      </w:r>
    </w:p>
    <w:p w14:paraId="021FF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B74926"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 февраля 1931 г. закончились госиспытания АНТ-6. В за</w:t>
      </w:r>
      <w:r w:rsidRPr="00441F34">
        <w:rPr>
          <w:rFonts w:ascii="Times New Roman" w:hAnsi="Times New Roman"/>
          <w:color w:val="0070C0"/>
          <w:sz w:val="16"/>
          <w:szCs w:val="16"/>
        </w:rPr>
        <w:softHyphen/>
        <w:t>ключении НИИ ВВС отмечалось:</w:t>
      </w:r>
    </w:p>
    <w:p w14:paraId="197E0003"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с моторами Кертис стоит на одном уровне с лучшими иностранны</w:t>
      </w:r>
      <w:r w:rsidRPr="00441F34">
        <w:rPr>
          <w:rFonts w:ascii="Times New Roman" w:hAnsi="Times New Roman"/>
          <w:color w:val="0070C0"/>
          <w:sz w:val="16"/>
          <w:szCs w:val="16"/>
        </w:rPr>
        <w:softHyphen/>
        <w:t>ми самолетами;</w:t>
      </w:r>
    </w:p>
    <w:p w14:paraId="11D3385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хорошие летно-эксплуатационные характеристики самолета позволяют реко</w:t>
      </w:r>
      <w:r w:rsidRPr="00441F34">
        <w:rPr>
          <w:rFonts w:ascii="Times New Roman" w:hAnsi="Times New Roman"/>
          <w:color w:val="0070C0"/>
          <w:sz w:val="16"/>
          <w:szCs w:val="16"/>
        </w:rPr>
        <w:softHyphen/>
        <w:t>мендовать его в серию, но при замене иностранных моторов Кертис на отече</w:t>
      </w:r>
      <w:r w:rsidRPr="00441F34">
        <w:rPr>
          <w:rFonts w:ascii="Times New Roman" w:hAnsi="Times New Roman"/>
          <w:color w:val="0070C0"/>
          <w:sz w:val="16"/>
          <w:szCs w:val="16"/>
        </w:rPr>
        <w:softHyphen/>
        <w:t>ственные М—17 (лицензионный двига</w:t>
      </w:r>
      <w:r w:rsidRPr="00441F34">
        <w:rPr>
          <w:rFonts w:ascii="Times New Roman" w:hAnsi="Times New Roman"/>
          <w:color w:val="0070C0"/>
          <w:sz w:val="16"/>
          <w:szCs w:val="16"/>
        </w:rPr>
        <w:softHyphen/>
        <w:t>тель М—17 по типу BMW V] выпускался серийно с 1927 г.);</w:t>
      </w:r>
    </w:p>
    <w:p w14:paraId="6F249BB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после устранения отмеченных де</w:t>
      </w:r>
      <w:r w:rsidRPr="00441F34">
        <w:rPr>
          <w:rFonts w:ascii="Times New Roman" w:hAnsi="Times New Roman"/>
          <w:color w:val="0070C0"/>
          <w:sz w:val="16"/>
          <w:szCs w:val="16"/>
        </w:rPr>
        <w:softHyphen/>
        <w:t>фектов провести повторные испытания с моторами БМВ—VI».</w:t>
      </w:r>
    </w:p>
    <w:p w14:paraId="6A75E9CE"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КБ выполнило все требования заказ</w:t>
      </w:r>
      <w:r w:rsidRPr="00441F34">
        <w:rPr>
          <w:rFonts w:ascii="Times New Roman" w:hAnsi="Times New Roman"/>
          <w:color w:val="0070C0"/>
          <w:sz w:val="16"/>
          <w:szCs w:val="16"/>
        </w:rPr>
        <w:softHyphen/>
        <w:t>чика, и с 29 апреля 1931 г. начался новый этап испытаний опытной машины с че</w:t>
      </w:r>
      <w:r w:rsidRPr="00441F34">
        <w:rPr>
          <w:rFonts w:ascii="Times New Roman" w:hAnsi="Times New Roman"/>
          <w:color w:val="0070C0"/>
          <w:sz w:val="16"/>
          <w:szCs w:val="16"/>
        </w:rPr>
        <w:softHyphen/>
        <w:t>тырьмя моторами BMW VI (23474).</w:t>
      </w:r>
    </w:p>
    <w:p w14:paraId="489784A3" w14:textId="77777777" w:rsidR="00225E06" w:rsidRPr="00441F34" w:rsidRDefault="00225E06" w:rsidP="00225E06">
      <w:pPr>
        <w:spacing w:after="0" w:line="240" w:lineRule="auto"/>
        <w:jc w:val="both"/>
        <w:rPr>
          <w:rFonts w:ascii="Times New Roman" w:hAnsi="Times New Roman"/>
          <w:color w:val="0070C0"/>
          <w:sz w:val="16"/>
          <w:szCs w:val="16"/>
        </w:rPr>
      </w:pPr>
    </w:p>
    <w:p w14:paraId="209138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20 февраля по 19 марта 1931 года производились испытания на мореходность и буксировку самолета МУ-2 N 2259 и мотором М-11 N 7005.</w:t>
      </w:r>
    </w:p>
    <w:p w14:paraId="7E217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к моменту испытания налетал 26 час. 58 мин.</w:t>
      </w:r>
    </w:p>
    <w:p w14:paraId="63D45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к моменту испытания наработал 31 час 00 мин. (3007).</w:t>
      </w:r>
    </w:p>
    <w:p w14:paraId="63C7F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4C4F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мотор для ГА М-26 удовлетворительно прошел 50-часовые гос. испытания (3029,206).</w:t>
      </w:r>
    </w:p>
    <w:p w14:paraId="4F9C88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3A5EE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157594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F08A35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г. — Постановление Политбюро ЦК ВКП(б) «О танковой программе»</w:t>
      </w:r>
    </w:p>
    <w:p w14:paraId="096F942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 танкеток — 4 тыс., малых танков — 13,8 тыс., средних танков — 2 тыс., Политбюро постановляет:</w:t>
      </w:r>
    </w:p>
    <w:p w14:paraId="18928723"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Танкетка</w:t>
      </w:r>
    </w:p>
    <w:p w14:paraId="485718B0"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A. Утвердить тип Т</w:t>
      </w:r>
      <w:r w:rsidRPr="007122AB">
        <w:rPr>
          <w:rFonts w:ascii="Times New Roman" w:hAnsi="Times New Roman"/>
          <w:color w:val="000000" w:themeColor="text1"/>
          <w:sz w:val="16"/>
          <w:szCs w:val="16"/>
        </w:rPr>
        <w:noBreakHyphen/>
        <w:t>27 с мотором «Форд АА» со следующими данными: скорость — 36</w:t>
      </w:r>
      <w:r w:rsidRPr="007122AB">
        <w:rPr>
          <w:rFonts w:ascii="Times New Roman" w:hAnsi="Times New Roman"/>
          <w:color w:val="000000" w:themeColor="text1"/>
          <w:sz w:val="16"/>
          <w:szCs w:val="16"/>
        </w:rPr>
        <w:noBreakHyphen/>
        <w:t>40 км/ч, вес — 2 т, броня — 10</w:t>
      </w:r>
      <w:r w:rsidRPr="007122AB">
        <w:rPr>
          <w:rFonts w:ascii="Times New Roman" w:hAnsi="Times New Roman"/>
          <w:color w:val="000000" w:themeColor="text1"/>
          <w:sz w:val="16"/>
          <w:szCs w:val="16"/>
        </w:rPr>
        <w:noBreakHyphen/>
        <w:t>5 мм, вооружение — 1 пулемет, мотор с водяным охлаждением — 40</w:t>
      </w:r>
      <w:r w:rsidRPr="007122AB">
        <w:rPr>
          <w:rFonts w:ascii="Times New Roman" w:hAnsi="Times New Roman"/>
          <w:color w:val="000000" w:themeColor="text1"/>
          <w:sz w:val="16"/>
          <w:szCs w:val="16"/>
        </w:rPr>
        <w:noBreakHyphen/>
        <w:t>45 л. с.</w:t>
      </w:r>
    </w:p>
    <w:p w14:paraId="505B030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w:t>
      </w:r>
    </w:p>
    <w:p w14:paraId="4E8F533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B. Учитывая, что тип танкетки Т</w:t>
      </w:r>
      <w:r w:rsidRPr="007122AB">
        <w:rPr>
          <w:rFonts w:ascii="Times New Roman" w:hAnsi="Times New Roman"/>
          <w:color w:val="000000" w:themeColor="text1"/>
          <w:sz w:val="16"/>
          <w:szCs w:val="16"/>
        </w:rPr>
        <w:noBreakHyphen/>
        <w:t>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w:t>
      </w:r>
      <w:r w:rsidRPr="007122AB">
        <w:rPr>
          <w:rFonts w:ascii="Times New Roman" w:hAnsi="Times New Roman"/>
          <w:color w:val="000000" w:themeColor="text1"/>
          <w:sz w:val="16"/>
          <w:szCs w:val="16"/>
        </w:rPr>
        <w:noBreakHyphen/>
        <w:t>25% производственной мощности завода.</w:t>
      </w:r>
    </w:p>
    <w:p w14:paraId="6B786FF8"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ВСНХ и НКВМ через два месяца доложить, на какое количество танкеток Нижегородский автозавод может быть подготовлен к весне 1932 г.</w:t>
      </w:r>
    </w:p>
    <w:p w14:paraId="066C7B21"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Малый танк</w:t>
      </w:r>
    </w:p>
    <w:p w14:paraId="0ABC422F"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тип Т</w:t>
      </w:r>
      <w:r w:rsidRPr="007122AB">
        <w:rPr>
          <w:rFonts w:ascii="Times New Roman" w:hAnsi="Times New Roman"/>
          <w:color w:val="000000" w:themeColor="text1"/>
          <w:sz w:val="16"/>
          <w:szCs w:val="16"/>
        </w:rPr>
        <w:noBreakHyphen/>
        <w:t>26 («Виккерс») со следующими данными: скорость по дороге — 35 км/ч, скорость по местности — 20</w:t>
      </w:r>
      <w:r w:rsidRPr="007122AB">
        <w:rPr>
          <w:rFonts w:ascii="Times New Roman" w:hAnsi="Times New Roman"/>
          <w:color w:val="000000" w:themeColor="text1"/>
          <w:sz w:val="16"/>
          <w:szCs w:val="16"/>
        </w:rPr>
        <w:noBreakHyphen/>
        <w:t>25 км/ч, вес — 7,5 т, броня — 13</w:t>
      </w:r>
      <w:r w:rsidRPr="007122AB">
        <w:rPr>
          <w:rFonts w:ascii="Times New Roman" w:hAnsi="Times New Roman"/>
          <w:color w:val="000000" w:themeColor="text1"/>
          <w:sz w:val="16"/>
          <w:szCs w:val="16"/>
        </w:rPr>
        <w:noBreakHyphen/>
        <w:t xml:space="preserve">8 мм, вооружение — 1 пушка калибра 37 мм и 1 пулемет или 2 пулемета, мотор «Армстронг </w:t>
      </w:r>
      <w:proofErr w:type="spellStart"/>
      <w:r w:rsidRPr="007122AB">
        <w:rPr>
          <w:rFonts w:ascii="Times New Roman" w:hAnsi="Times New Roman"/>
          <w:color w:val="000000" w:themeColor="text1"/>
          <w:sz w:val="16"/>
          <w:szCs w:val="16"/>
        </w:rPr>
        <w:t>Сидлей</w:t>
      </w:r>
      <w:proofErr w:type="spellEnd"/>
      <w:r w:rsidRPr="007122AB">
        <w:rPr>
          <w:rFonts w:ascii="Times New Roman" w:hAnsi="Times New Roman"/>
          <w:color w:val="000000" w:themeColor="text1"/>
          <w:sz w:val="16"/>
          <w:szCs w:val="16"/>
        </w:rPr>
        <w:t>» воздушного охлаждения — 84</w:t>
      </w:r>
      <w:r w:rsidRPr="007122AB">
        <w:rPr>
          <w:rFonts w:ascii="Times New Roman" w:hAnsi="Times New Roman"/>
          <w:color w:val="000000" w:themeColor="text1"/>
          <w:sz w:val="16"/>
          <w:szCs w:val="16"/>
        </w:rPr>
        <w:noBreakHyphen/>
        <w:t>93 л. с.</w:t>
      </w:r>
    </w:p>
    <w:p w14:paraId="7343CA74"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Для освоения производства в 1931 г. изготовить на заводе «Большевик» 300 танков этого типа. Вести усиленную подготовку к организации производства на заводах «Большевик» и Сталинградском тракторном собственными инженерно-техническими силами.</w:t>
      </w:r>
    </w:p>
    <w:p w14:paraId="0ABACBF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Базы производства на военное время — завод «Большевик» с подачей 1,5 тыс. танков в год и Сталинградский тракторный завод с подачей 12 тыс.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w:t>
      </w:r>
    </w:p>
    <w:p w14:paraId="3B30688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Средний танк</w:t>
      </w:r>
    </w:p>
    <w:p w14:paraId="4B26BEAF"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 xml:space="preserve">A. Признать основным типом мощный средний танк ТГ </w:t>
      </w:r>
      <w:r w:rsidRPr="007122AB">
        <w:rPr>
          <w:rStyle w:val="af0"/>
          <w:i w:val="0"/>
          <w:color w:val="000000" w:themeColor="text1"/>
          <w:sz w:val="16"/>
          <w:szCs w:val="16"/>
        </w:rPr>
        <w:t>со</w:t>
      </w:r>
      <w:r w:rsidRPr="007122AB">
        <w:rPr>
          <w:color w:val="000000" w:themeColor="text1"/>
          <w:sz w:val="16"/>
          <w:szCs w:val="16"/>
        </w:rPr>
        <w:t xml:space="preserve"> следующими данными (ориентировочно): скорость максимальная — 40 км/ч, скорость средняя — 25 км/ч, вес — около 20 т, броня — 30/20/15 мм, вооружение: 1 — 76</w:t>
      </w:r>
      <w:r w:rsidRPr="007122AB">
        <w:rPr>
          <w:color w:val="000000" w:themeColor="text1"/>
          <w:sz w:val="16"/>
          <w:szCs w:val="16"/>
        </w:rPr>
        <w:noBreakHyphen/>
        <w:t>мм пушка, 1 — 37</w:t>
      </w:r>
      <w:r w:rsidRPr="007122AB">
        <w:rPr>
          <w:color w:val="000000" w:themeColor="text1"/>
          <w:sz w:val="16"/>
          <w:szCs w:val="16"/>
        </w:rPr>
        <w:noBreakHyphen/>
        <w:t>мм пушка, 4</w:t>
      </w:r>
      <w:r w:rsidRPr="007122AB">
        <w:rPr>
          <w:color w:val="000000" w:themeColor="text1"/>
          <w:sz w:val="16"/>
          <w:szCs w:val="16"/>
        </w:rPr>
        <w:noBreakHyphen/>
        <w:t>5 пулеметов, мотор воздушного охлаждения — 240 л. с.</w:t>
      </w:r>
    </w:p>
    <w:p w14:paraId="286E2FE5"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w:t>
      </w:r>
    </w:p>
    <w:p w14:paraId="26302262"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B. Для освоения производства изготовить в 1931 г. первую серию в количестве 50</w:t>
      </w:r>
      <w:r w:rsidRPr="007122AB">
        <w:rPr>
          <w:color w:val="000000" w:themeColor="text1"/>
          <w:sz w:val="16"/>
          <w:szCs w:val="16"/>
        </w:rPr>
        <w:noBreakHyphen/>
        <w:t>75 танков.</w:t>
      </w:r>
    </w:p>
    <w:p w14:paraId="1FA3DA4D"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Г. В связи с боевым значением танка ТГ ВСНХ подготовить производственные возможности к весне 1932 г. на 2 тыс. танков этого типа.</w:t>
      </w:r>
    </w:p>
    <w:p w14:paraId="6BFA877F"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w:t>
      </w:r>
    </w:p>
    <w:p w14:paraId="052D16F1"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Предложить ВСНХ проработать в двухмесячный срок вопрос о создании для танка ТГ, кроме Харькова, вторую базу на Урале.</w:t>
      </w:r>
    </w:p>
    <w:p w14:paraId="2DD5BC25"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Е. Танк Т</w:t>
      </w:r>
      <w:r w:rsidRPr="007122AB">
        <w:rPr>
          <w:color w:val="000000" w:themeColor="text1"/>
          <w:sz w:val="16"/>
          <w:szCs w:val="16"/>
        </w:rPr>
        <w:noBreakHyphen/>
        <w:t>24 после изготовления пущенной в задел партии (80 шт.) с производства снять и вести усиленную подготовку по установке на ХПЗ производства танка ТГ.</w:t>
      </w:r>
    </w:p>
    <w:p w14:paraId="7B9FB1CD"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4. В связи с организацией на Урале второй базы по производству танка ТГ прекратить производство малого танка на ММЗ после использования задела.</w:t>
      </w:r>
    </w:p>
    <w:p w14:paraId="387507EC"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5. Учитывая удовлетворительные результаты по ассимиляции танкетки Т</w:t>
      </w:r>
      <w:r w:rsidRPr="007122AB">
        <w:rPr>
          <w:color w:val="000000" w:themeColor="text1"/>
          <w:sz w:val="16"/>
          <w:szCs w:val="16"/>
        </w:rPr>
        <w:noBreakHyphen/>
        <w:t>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w:t>
      </w:r>
    </w:p>
    <w:p w14:paraId="7CBDCBB6"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6. По моторам. Производственную программу танкостроения обеспечить моторами: а) для танкетки Т</w:t>
      </w:r>
      <w:r w:rsidRPr="007122AB">
        <w:rPr>
          <w:color w:val="000000" w:themeColor="text1"/>
          <w:sz w:val="16"/>
          <w:szCs w:val="16"/>
        </w:rPr>
        <w:noBreakHyphen/>
        <w:t>27 — мотор «Форд АА» Нижегородского автомобильного завода; б) для малого танка Т</w:t>
      </w:r>
      <w:r w:rsidRPr="007122AB">
        <w:rPr>
          <w:color w:val="000000" w:themeColor="text1"/>
          <w:sz w:val="16"/>
          <w:szCs w:val="16"/>
        </w:rPr>
        <w:noBreakHyphen/>
        <w:t xml:space="preserve">26 — мотор «Армстронг </w:t>
      </w:r>
      <w:proofErr w:type="spellStart"/>
      <w:r w:rsidRPr="007122AB">
        <w:rPr>
          <w:color w:val="000000" w:themeColor="text1"/>
          <w:sz w:val="16"/>
          <w:szCs w:val="16"/>
        </w:rPr>
        <w:t>Сидлей</w:t>
      </w:r>
      <w:proofErr w:type="spellEnd"/>
      <w:r w:rsidRPr="007122AB">
        <w:rPr>
          <w:color w:val="000000" w:themeColor="text1"/>
          <w:sz w:val="16"/>
          <w:szCs w:val="16"/>
        </w:rPr>
        <w:t>» производства заводов «Большевик» и Сталинградского тракторного в количестве, соответствующем программе танкостроения на каждом заводе; в) для среднего танка предложить НКВМ максимально ускорить испытания и дать окончательный тип через 1</w:t>
      </w:r>
      <w:r w:rsidRPr="007122AB">
        <w:rPr>
          <w:color w:val="000000" w:themeColor="text1"/>
          <w:sz w:val="16"/>
          <w:szCs w:val="16"/>
        </w:rPr>
        <w:noBreakHyphen/>
        <w:t>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w:t>
      </w:r>
      <w:r w:rsidRPr="007122AB">
        <w:rPr>
          <w:color w:val="000000" w:themeColor="text1"/>
          <w:sz w:val="16"/>
          <w:szCs w:val="16"/>
        </w:rPr>
        <w:noBreakHyphen/>
        <w:t>6 и «</w:t>
      </w:r>
      <w:proofErr w:type="spellStart"/>
      <w:r w:rsidRPr="007122AB">
        <w:rPr>
          <w:color w:val="000000" w:themeColor="text1"/>
          <w:sz w:val="16"/>
          <w:szCs w:val="16"/>
        </w:rPr>
        <w:t>Гротэ</w:t>
      </w:r>
      <w:proofErr w:type="spellEnd"/>
      <w:r w:rsidRPr="007122AB">
        <w:rPr>
          <w:color w:val="000000" w:themeColor="text1"/>
          <w:sz w:val="16"/>
          <w:szCs w:val="16"/>
        </w:rPr>
        <w:t>»; г) предложить ВСНХ, НКВМ и ОГПУ в течение 1931 г. создать образцы мощных дизельных моторов в 240</w:t>
      </w:r>
      <w:r w:rsidRPr="007122AB">
        <w:rPr>
          <w:color w:val="000000" w:themeColor="text1"/>
          <w:sz w:val="16"/>
          <w:szCs w:val="16"/>
        </w:rPr>
        <w:noBreakHyphen/>
        <w:t>300 л. с.</w:t>
      </w:r>
    </w:p>
    <w:p w14:paraId="183D034D"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7. По броне: 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 б) предложить ВСНХ организовать в течение 1931 г. в Сталинграде новую броневую базу на подачу с весны 1932 г. 45 тыс. т обработанной брони; в) учитывая необходимость увеличения программы по мощному среднему танку и танкеткам, а также формирования на автотракторной базе 2</w:t>
      </w:r>
      <w:r w:rsidRPr="007122AB">
        <w:rPr>
          <w:color w:val="000000" w:themeColor="text1"/>
          <w:sz w:val="16"/>
          <w:szCs w:val="16"/>
        </w:rPr>
        <w:noBreakHyphen/>
        <w:t>го эшелона танков сопровождения пехоты, предложить ВСНХ внести в двухмесячный срок конкретные предложения по увеличению программы подачи брони; 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w:t>
      </w:r>
    </w:p>
    <w:p w14:paraId="77B44FF3"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lastRenderedPageBreak/>
        <w:t>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w:t>
      </w:r>
    </w:p>
    <w:p w14:paraId="5B6C1935"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w:t>
      </w:r>
    </w:p>
    <w:p w14:paraId="5D0FF0E0"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Предложить ВСНХ СССР построить в течение 1931 г. базу для недостающего количества литья при Сталинградском тракторном заводе.</w:t>
      </w:r>
    </w:p>
    <w:p w14:paraId="4798AD6C" w14:textId="77777777" w:rsidR="005E7475" w:rsidRPr="007122AB" w:rsidRDefault="005E7475" w:rsidP="007122AB">
      <w:pPr>
        <w:pStyle w:val="rtejustify"/>
        <w:spacing w:before="0" w:after="0"/>
        <w:rPr>
          <w:color w:val="000000" w:themeColor="text1"/>
          <w:sz w:val="16"/>
          <w:szCs w:val="16"/>
        </w:rPr>
      </w:pPr>
      <w:r w:rsidRPr="007122AB">
        <w:rPr>
          <w:color w:val="000000" w:themeColor="text1"/>
          <w:sz w:val="16"/>
          <w:szCs w:val="16"/>
        </w:rPr>
        <w:t>РГАСПИ. Ф. 17. Оп. 162. Д. 9. Л. 151 — 156. Заверенная копия.</w:t>
      </w:r>
    </w:p>
    <w:p w14:paraId="4741DF3A"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РГАСПИ. Ф. 17. Оп. 162. Д. 9. Л. 151 — 156. Заверенная копия. </w:t>
      </w:r>
    </w:p>
    <w:p w14:paraId="451D897D"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525-527 (12523).</w:t>
      </w:r>
    </w:p>
    <w:p w14:paraId="19305CF3" w14:textId="77777777" w:rsidR="005E7475" w:rsidRPr="007122AB" w:rsidRDefault="005E7475" w:rsidP="007122AB">
      <w:pPr>
        <w:spacing w:after="0" w:line="240" w:lineRule="auto"/>
        <w:jc w:val="both"/>
        <w:rPr>
          <w:rFonts w:ascii="Times New Roman" w:hAnsi="Times New Roman"/>
          <w:color w:val="000000" w:themeColor="text1"/>
          <w:sz w:val="16"/>
          <w:szCs w:val="16"/>
        </w:rPr>
      </w:pPr>
    </w:p>
    <w:p w14:paraId="77336C96"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w:t>
      </w:r>
      <w:r>
        <w:rPr>
          <w:rFonts w:ascii="Times New Roman" w:hAnsi="Times New Roman"/>
          <w:color w:val="0070C0"/>
          <w:sz w:val="16"/>
          <w:szCs w:val="16"/>
        </w:rPr>
        <w:t>0</w:t>
      </w:r>
      <w:r w:rsidRPr="00441F34">
        <w:rPr>
          <w:rFonts w:ascii="Times New Roman" w:hAnsi="Times New Roman"/>
          <w:color w:val="0070C0"/>
          <w:sz w:val="16"/>
          <w:szCs w:val="16"/>
        </w:rPr>
        <w:t xml:space="preserve"> февраля 1931 г.</w:t>
      </w:r>
    </w:p>
    <w:p w14:paraId="0AD9B666"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РГАСПИ Фонд 17 Опись 162 Дело 9 листы 151 – 156 </w:t>
      </w:r>
    </w:p>
    <w:p w14:paraId="5D371CED"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СОВ.СЕКРЕТНО </w:t>
      </w:r>
    </w:p>
    <w:p w14:paraId="265DA0F1"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ПОСТАНОВЛЕНИЕ ЦК ВКП(б) </w:t>
      </w:r>
    </w:p>
    <w:p w14:paraId="70F40627"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 танковой программе» </w:t>
      </w:r>
    </w:p>
    <w:p w14:paraId="5C9D06BE"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(Утверждено Политбюро ЦК ВКП(б) 20 февраля 1931 г.)</w:t>
      </w:r>
    </w:p>
    <w:p w14:paraId="0F189B8A"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 танкеток – 4 тыс., малых танков – 13,8 тыс., средних танков – 2 тыс., Политбюро постановляет: </w:t>
      </w:r>
    </w:p>
    <w:p w14:paraId="3E13C1EB"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Танкетка</w:t>
      </w:r>
    </w:p>
    <w:p w14:paraId="17032479"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A. Утвердить тип Т-27 с мотором «Форд АА» со следующими данными: скорость – 36 – 40 км/ч, вес – 2 т, броня – 10 – 5 мм, вооружение – 1 пулемет, мотор с водяным охлаждением – 40 – 45 л. с. </w:t>
      </w:r>
    </w:p>
    <w:p w14:paraId="6E9AF019"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 </w:t>
      </w:r>
    </w:p>
    <w:p w14:paraId="48F9ED7C"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B. Учитывая, что тип танкетки Т-27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 – 25% производственной мощности завода. </w:t>
      </w:r>
    </w:p>
    <w:p w14:paraId="3718985F"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ВСНХ и НКВМ через два месяца доложить, на какое количество танкеток Нижегородский автозавод может быть подготовлен к весне 1932 г. </w:t>
      </w:r>
    </w:p>
    <w:p w14:paraId="459A44AF"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Малый танк</w:t>
      </w:r>
    </w:p>
    <w:p w14:paraId="4A49D50D"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А. Утвердить тип Т-26 («Виккерс») со следующими данными: скорость по дороге – 35 км/ч, скорость по местности – 20 – 25 км/ч, вес – 7,5 т, броня – 13 – 8 мм, вооружение – 1 пушка калибра 37 мм и 1 пулемет или 2 пулемета, мотор «Армстронг </w:t>
      </w:r>
      <w:proofErr w:type="spellStart"/>
      <w:r w:rsidRPr="00441F34">
        <w:rPr>
          <w:rFonts w:ascii="Times New Roman" w:hAnsi="Times New Roman"/>
          <w:color w:val="0070C0"/>
          <w:sz w:val="16"/>
          <w:szCs w:val="16"/>
        </w:rPr>
        <w:t>Сидлей</w:t>
      </w:r>
      <w:proofErr w:type="spellEnd"/>
      <w:r w:rsidRPr="00441F34">
        <w:rPr>
          <w:rFonts w:ascii="Times New Roman" w:hAnsi="Times New Roman"/>
          <w:color w:val="0070C0"/>
          <w:sz w:val="16"/>
          <w:szCs w:val="16"/>
        </w:rPr>
        <w:t xml:space="preserve">» воздушного охлаждения – 84 – 93 л. с. </w:t>
      </w:r>
    </w:p>
    <w:p w14:paraId="0D7F27A5"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Для освоения производства в 1931 г. изготовить на заводе «Большевик» 300 танков этого типа. Вести усиленную подготовку к организации производства на заводах «Большевик» и Сталинградском тракторном собственными инженерно-техническими силами. </w:t>
      </w:r>
    </w:p>
    <w:p w14:paraId="6220A933"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Базы производства на военное время – завод «Большевик» с подачей 1,5 тыс. танков в год и Сталинградский тракторный завод с подачей 12 тыс.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 </w:t>
      </w:r>
    </w:p>
    <w:p w14:paraId="1A07F594"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Средний танк</w:t>
      </w:r>
    </w:p>
    <w:p w14:paraId="3E64DF65"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A. Признать основным типом мощный средний танк Т-Г, со следующими данными (ориентировочно): скорость максимальная – 40 км/ч, скорость средняя – 25 км/ч, вес – около 20 т, броня – 30/20/15 мм, вооружение: 1 – 76-мм пушка, 1 – 37-мм пушка, 4 – 5 пулеметов, мотор воздушного охлаждения – 240 л. с. </w:t>
      </w:r>
    </w:p>
    <w:p w14:paraId="3EDAFB1C"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 </w:t>
      </w:r>
    </w:p>
    <w:p w14:paraId="71E03DB5"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B. Для освоения производства изготовить в 1931 г. первую серию в количестве 50 – 75 танков. </w:t>
      </w:r>
    </w:p>
    <w:p w14:paraId="42AC2F1B"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Г. В связи с боевым значением танка Т-Г ВСНХ подготовить производственные возможности к весне 1932 г. на 2 тыс. танков этого типа. </w:t>
      </w:r>
    </w:p>
    <w:p w14:paraId="6297FD71"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 </w:t>
      </w:r>
    </w:p>
    <w:p w14:paraId="7BE2C1B2"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Предложить ВСНХ проработать в двухмесячный срок вопрос о создании для танка Т-Г, кроме Харькова, вторую базу на Урале. </w:t>
      </w:r>
    </w:p>
    <w:p w14:paraId="452DCE36"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Е. Танк Т-24 после изготовления пущенной в задел партии (80 шт.) с производства снять и вести усиленную подготовку по установке на ХПЗ производства танка Т-Г. </w:t>
      </w:r>
    </w:p>
    <w:p w14:paraId="094CD3E6"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4. В связи с организацией на Урале второй базы по производству танка Т-Г прекратить производство малого танка на ММЗ после использования задела. </w:t>
      </w:r>
    </w:p>
    <w:p w14:paraId="6369CFB5"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Учитывая удовлетворительные результаты по ассимиляции танкетки Т-27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 </w:t>
      </w:r>
    </w:p>
    <w:p w14:paraId="6D523296"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6. По моторам. Производственную программу танкостроения обеспечить моторами: </w:t>
      </w:r>
    </w:p>
    <w:p w14:paraId="056B8A8C"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а) для танкетки Т-27 – мотор «Форд АА» Нижегородского автомобильного завода; </w:t>
      </w:r>
    </w:p>
    <w:p w14:paraId="09AEDFA0"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для малого танка Т-26 – мотор «Армстронг </w:t>
      </w:r>
      <w:proofErr w:type="spellStart"/>
      <w:r w:rsidRPr="00441F34">
        <w:rPr>
          <w:rFonts w:ascii="Times New Roman" w:hAnsi="Times New Roman"/>
          <w:color w:val="0070C0"/>
          <w:sz w:val="16"/>
          <w:szCs w:val="16"/>
        </w:rPr>
        <w:t>Сидлей</w:t>
      </w:r>
      <w:proofErr w:type="spellEnd"/>
      <w:r w:rsidRPr="00441F34">
        <w:rPr>
          <w:rFonts w:ascii="Times New Roman" w:hAnsi="Times New Roman"/>
          <w:color w:val="0070C0"/>
          <w:sz w:val="16"/>
          <w:szCs w:val="16"/>
        </w:rPr>
        <w:t xml:space="preserve">» производства заводов «Большевик» и Сталинградского тракторного в количестве, соответствующем программе танкостроения на каждом заводе; </w:t>
      </w:r>
    </w:p>
    <w:p w14:paraId="14C5AA89"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для среднего танка предложить НКВМ максимально ускорить испытания и дать окончательный тип через 1 – 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М-6 и «</w:t>
      </w:r>
      <w:proofErr w:type="spellStart"/>
      <w:r w:rsidRPr="00441F34">
        <w:rPr>
          <w:rFonts w:ascii="Times New Roman" w:hAnsi="Times New Roman"/>
          <w:color w:val="0070C0"/>
          <w:sz w:val="16"/>
          <w:szCs w:val="16"/>
        </w:rPr>
        <w:t>Гротэ</w:t>
      </w:r>
      <w:proofErr w:type="spellEnd"/>
      <w:r w:rsidRPr="00441F34">
        <w:rPr>
          <w:rFonts w:ascii="Times New Roman" w:hAnsi="Times New Roman"/>
          <w:color w:val="0070C0"/>
          <w:sz w:val="16"/>
          <w:szCs w:val="16"/>
        </w:rPr>
        <w:t xml:space="preserve">»; </w:t>
      </w:r>
    </w:p>
    <w:p w14:paraId="7E2C0017"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г) предложить ВСНХ, НКВМ и ОГПУ в течение 1931 г. создать образцы мощных дизельных моторов в 240 – 300 л. с. </w:t>
      </w:r>
    </w:p>
    <w:p w14:paraId="790C66A4"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7. По броне: </w:t>
      </w:r>
    </w:p>
    <w:p w14:paraId="6BCA9E2E"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 </w:t>
      </w:r>
    </w:p>
    <w:p w14:paraId="57234D9C"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предложить ВСНХ организовать в течение 1931 г. в Сталинграде новую броневую базу на подачу с весны 1932 г. 45 тыс. т обработанной брони; </w:t>
      </w:r>
    </w:p>
    <w:p w14:paraId="0065401A"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учитывая необходимость увеличения программы по мощному среднему танку и танкеткам, а также формирования на автотракторной базе 2-го эшелона танков сопровождения пехоты, предложить ВСНХ внести в двухмесячный срок конкретные предложения по увеличению программы подачи брони; </w:t>
      </w:r>
    </w:p>
    <w:p w14:paraId="4758E489"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 </w:t>
      </w:r>
    </w:p>
    <w:p w14:paraId="3844335D"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 </w:t>
      </w:r>
    </w:p>
    <w:p w14:paraId="2B73459C"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 </w:t>
      </w:r>
    </w:p>
    <w:p w14:paraId="00424ED0"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Предложить ВСНХ СССР построить в течение 1931 г. базу для недостающего количества литья при Сталинградском тракторном заводе. </w:t>
      </w:r>
    </w:p>
    <w:p w14:paraId="0AD62C93" w14:textId="77777777" w:rsidR="00431F83" w:rsidRPr="00441F34" w:rsidRDefault="00431F83" w:rsidP="00431F8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Верно: подпись (24859).</w:t>
      </w:r>
    </w:p>
    <w:p w14:paraId="5578C0EB" w14:textId="77777777" w:rsidR="00431F83" w:rsidRPr="00441F34" w:rsidRDefault="00431F83" w:rsidP="00431F83">
      <w:pPr>
        <w:spacing w:after="0" w:line="240" w:lineRule="auto"/>
        <w:jc w:val="both"/>
        <w:rPr>
          <w:rFonts w:ascii="Times New Roman" w:hAnsi="Times New Roman"/>
          <w:color w:val="0070C0"/>
          <w:sz w:val="16"/>
          <w:szCs w:val="16"/>
        </w:rPr>
      </w:pPr>
    </w:p>
    <w:p w14:paraId="5EAB5C10" w14:textId="77777777" w:rsidR="000B1FE7" w:rsidRPr="007122AB" w:rsidRDefault="000B1FE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20 февраля 1931 были приняты Ворошиловым и Орджоникидзе и утверждены Политбюро Предложения комиссии </w:t>
      </w:r>
      <w:proofErr w:type="spellStart"/>
      <w:r w:rsidRPr="007122AB">
        <w:rPr>
          <w:rFonts w:ascii="Times New Roman" w:eastAsia="Times New Roman" w:hAnsi="Times New Roman"/>
          <w:color w:val="000000" w:themeColor="text1"/>
          <w:sz w:val="16"/>
          <w:szCs w:val="16"/>
          <w:lang w:eastAsia="ru-RU"/>
        </w:rPr>
        <w:t>Убооевича</w:t>
      </w:r>
      <w:proofErr w:type="spellEnd"/>
      <w:r w:rsidRPr="007122AB">
        <w:rPr>
          <w:rFonts w:ascii="Times New Roman" w:eastAsia="Times New Roman" w:hAnsi="Times New Roman"/>
          <w:color w:val="000000" w:themeColor="text1"/>
          <w:sz w:val="16"/>
          <w:szCs w:val="16"/>
          <w:lang w:eastAsia="ru-RU"/>
        </w:rPr>
        <w:t xml:space="preserve">, созданной 10 января, (за исключением пункта "о технической помощи"). Обширное постановление "О танковой программе" устанавливало технические характеристики танкетки, малого и среднего танка, размещение заказов по заводам, объемы потребностей в броне и т. д. Объемы выпуска танков на 1931 г. определялись в точном соответствии с решением Политбюро от 30 ноября 1930 г. (Протокол № 23 заседания Политбюро ЦК ВКП(б) от 15.01.1931 // РГА СПИ. Ф. 17. Оп. 162. Д 9 Л. 119; Протокол № 27 заседания Политбюро ЦК ВКП(б) от 27.02.1931 // Там же. Л. 140; Постановление Политбюро ЦК ВКП(б) "О танковой программе", 20.02.1931 // Там же. Л. 151-156.). Вероятно, несколько позже, весной 1932 г., правительство утвердило </w:t>
      </w:r>
      <w:proofErr w:type="spellStart"/>
      <w:r w:rsidRPr="007122AB">
        <w:rPr>
          <w:rFonts w:ascii="Times New Roman" w:eastAsia="Times New Roman" w:hAnsi="Times New Roman"/>
          <w:color w:val="000000" w:themeColor="text1"/>
          <w:sz w:val="16"/>
          <w:szCs w:val="16"/>
          <w:lang w:eastAsia="ru-RU"/>
        </w:rPr>
        <w:t>мобзаявку</w:t>
      </w:r>
      <w:proofErr w:type="spellEnd"/>
      <w:r w:rsidRPr="007122AB">
        <w:rPr>
          <w:rFonts w:ascii="Times New Roman" w:eastAsia="Times New Roman" w:hAnsi="Times New Roman"/>
          <w:color w:val="000000" w:themeColor="text1"/>
          <w:sz w:val="16"/>
          <w:szCs w:val="16"/>
          <w:lang w:eastAsia="ru-RU"/>
        </w:rPr>
        <w:t xml:space="preserve"> НКВМ, предусматривавшую производство в первый год войны 13 800 малых и 2000 средних танков, 15 000 танкеток (тяжелые танки прорыва разрабатывались, но к лету опытные образцы еще не были изготовлены) (См.: Постановление РВС СССР "О формированиях в военное время", 27.06.1931 // РГВА Ф. 40442. Оп. 2. Д 9. Л. 14. Следуя в русле этих решений, в конце апреля 1931 г. РВСС принял постановление "О танковой программе", которое было предложено заседанию КО 4 мая, а затем вновь рассмотрено Реввоенсоветом (Протокол № 15 заседания РВС СССР от 28.04.1931 // Там </w:t>
      </w:r>
      <w:r w:rsidRPr="007122AB">
        <w:rPr>
          <w:rFonts w:ascii="Times New Roman" w:eastAsia="Times New Roman" w:hAnsi="Times New Roman"/>
          <w:color w:val="000000" w:themeColor="text1"/>
          <w:sz w:val="16"/>
          <w:szCs w:val="16"/>
          <w:lang w:eastAsia="ru-RU"/>
        </w:rPr>
        <w:lastRenderedPageBreak/>
        <w:t>же. Ф. 4. Оп. 18. Д 20. Л. 232; 11ротокол № 16 заседания РВС СССР от 08.05.1931 // Там же. Л. 254. Текст постановления, посвященного в основном номенклатуре образцов танкового вооружения, см. Там же. Л. 259-262)). 22725.</w:t>
      </w:r>
    </w:p>
    <w:p w14:paraId="6EF7C640" w14:textId="77777777" w:rsidR="000B1FE7" w:rsidRPr="007122AB" w:rsidRDefault="000B1FE7" w:rsidP="007122AB">
      <w:pPr>
        <w:spacing w:after="0" w:line="240" w:lineRule="auto"/>
        <w:jc w:val="both"/>
        <w:rPr>
          <w:rFonts w:ascii="Times New Roman" w:hAnsi="Times New Roman"/>
          <w:color w:val="000000" w:themeColor="text1"/>
          <w:sz w:val="16"/>
          <w:szCs w:val="16"/>
        </w:rPr>
      </w:pPr>
    </w:p>
    <w:p w14:paraId="6F6A9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февраля 1931 показатель 20000 танков всех </w:t>
      </w:r>
      <w:proofErr w:type="spellStart"/>
      <w:r w:rsidRPr="007122AB">
        <w:rPr>
          <w:rFonts w:ascii="Times New Roman" w:hAnsi="Times New Roman"/>
          <w:color w:val="000000" w:themeColor="text1"/>
          <w:sz w:val="16"/>
          <w:szCs w:val="16"/>
        </w:rPr>
        <w:t>тпов</w:t>
      </w:r>
      <w:proofErr w:type="spellEnd"/>
      <w:r w:rsidRPr="007122AB">
        <w:rPr>
          <w:rFonts w:ascii="Times New Roman" w:hAnsi="Times New Roman"/>
          <w:color w:val="000000" w:themeColor="text1"/>
          <w:sz w:val="16"/>
          <w:szCs w:val="16"/>
        </w:rPr>
        <w:t xml:space="preserve"> по </w:t>
      </w:r>
      <w:proofErr w:type="spellStart"/>
      <w:r w:rsidRPr="007122AB">
        <w:rPr>
          <w:rFonts w:ascii="Times New Roman" w:hAnsi="Times New Roman"/>
          <w:color w:val="000000" w:themeColor="text1"/>
          <w:sz w:val="16"/>
          <w:szCs w:val="16"/>
        </w:rPr>
        <w:t>мобзапросу</w:t>
      </w:r>
      <w:proofErr w:type="spellEnd"/>
      <w:r w:rsidRPr="007122AB">
        <w:rPr>
          <w:rFonts w:ascii="Times New Roman" w:hAnsi="Times New Roman"/>
          <w:color w:val="000000" w:themeColor="text1"/>
          <w:sz w:val="16"/>
          <w:szCs w:val="16"/>
        </w:rPr>
        <w:t xml:space="preserve"> КО был пересмотрен и к 1933 решили производить 16000 танкеток (Т-17), 13800 легких танков (Т-26) и 2000 средних быстроходных (БТ) для действия в первом эшелоне и 8500 танков поддержки пехоты для действий во втором эшелоне (9089,152).</w:t>
      </w:r>
    </w:p>
    <w:p w14:paraId="67138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CB058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 февраля 1931 г. в Постановлении ПБ ЦК ВКП)б) о танковой программе в разделе касавшемся обеспечения выпуска танков двигателями было записано: «г) предложить ВСНХ, НКВМ и ОГПУ в течение 1931 г. создать образцы мощных дизельных моторов в 240 – 300 л.с.» (24856).</w:t>
      </w:r>
    </w:p>
    <w:p w14:paraId="74A10F45" w14:textId="77777777" w:rsidR="00225E06" w:rsidRPr="00441F34" w:rsidRDefault="00225E06" w:rsidP="00225E06">
      <w:pPr>
        <w:spacing w:after="0" w:line="240" w:lineRule="auto"/>
        <w:jc w:val="both"/>
        <w:rPr>
          <w:rFonts w:ascii="Times New Roman" w:hAnsi="Times New Roman"/>
          <w:color w:val="0070C0"/>
          <w:sz w:val="16"/>
          <w:szCs w:val="16"/>
        </w:rPr>
      </w:pPr>
    </w:p>
    <w:p w14:paraId="741C463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20 февраля 1931</w:t>
      </w:r>
      <w:r w:rsidRPr="007122AB">
        <w:rPr>
          <w:rFonts w:ascii="Times New Roman" w:hAnsi="Times New Roman"/>
          <w:color w:val="000000" w:themeColor="text1"/>
          <w:sz w:val="16"/>
          <w:szCs w:val="16"/>
        </w:rPr>
        <w:t>Политбюро ЦК ВКП (б) приняло постановление о мероприятиях по улучшению строительства Нижегородского автозавода (12265).</w:t>
      </w:r>
    </w:p>
    <w:p w14:paraId="7BBEE619"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58E54C6"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было решение ПБ О Нижегородском Автозаводе. (Утверждено Политбюро ЦК ВКП(б) 20.II.31 г.) Приложение № 6 к п. 43/60, пр. ПБ № 27</w:t>
      </w:r>
    </w:p>
    <w:p w14:paraId="20572E56"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Архив: </w:t>
      </w:r>
    </w:p>
    <w:p w14:paraId="4B995D20"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17. Оп. 3. Д. 814. Л. 32-35.</w:t>
      </w:r>
    </w:p>
    <w:p w14:paraId="55968431"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6 к п. 43/60, пр. ПБ № 27.</w:t>
      </w:r>
    </w:p>
    <w:p w14:paraId="0A5A3767" w14:textId="77777777" w:rsidR="003B4AB7" w:rsidRPr="007122AB" w:rsidRDefault="003B4AB7" w:rsidP="007122AB">
      <w:pPr>
        <w:pStyle w:val="ae"/>
        <w:spacing w:before="0" w:after="0"/>
        <w:jc w:val="both"/>
        <w:rPr>
          <w:color w:val="000000" w:themeColor="text1"/>
          <w:sz w:val="16"/>
          <w:szCs w:val="16"/>
        </w:rPr>
      </w:pPr>
      <w:r w:rsidRPr="007122AB">
        <w:rPr>
          <w:color w:val="000000" w:themeColor="text1"/>
          <w:sz w:val="16"/>
          <w:szCs w:val="16"/>
        </w:rPr>
        <w:t>О Нижегородском Автозаводе.</w:t>
      </w:r>
    </w:p>
    <w:p w14:paraId="420C179A" w14:textId="77777777" w:rsidR="003B4AB7" w:rsidRPr="007122AB" w:rsidRDefault="003B4AB7" w:rsidP="007122AB">
      <w:pPr>
        <w:pStyle w:val="ae"/>
        <w:spacing w:before="0" w:after="0"/>
        <w:jc w:val="both"/>
        <w:rPr>
          <w:color w:val="000000" w:themeColor="text1"/>
          <w:sz w:val="16"/>
          <w:szCs w:val="16"/>
        </w:rPr>
      </w:pPr>
      <w:r w:rsidRPr="007122AB">
        <w:rPr>
          <w:color w:val="000000" w:themeColor="text1"/>
          <w:sz w:val="16"/>
          <w:szCs w:val="16"/>
        </w:rPr>
        <w:t>(Утверждено Политбюро ЦК ВКП(б) 20.II.31 г.)</w:t>
      </w:r>
    </w:p>
    <w:p w14:paraId="64F236BA"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Перестройка сельского хозяйства на основе строительства крупных совхозов и колхозов, бурное развитие промышленности и возрастающий в связи с этим грузооборот в стране выдвигают автотранспорт как одно из важнейших звеньев во всей системе транспорта в Союзе.</w:t>
      </w:r>
    </w:p>
    <w:p w14:paraId="3B2A57DC"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Строящийся в Нижнем Новгороде автомобильный завод должен явиться не только источником снабжения страны грузовыми и легковыми автомобилями (140 тыс. в год), но и практической школой в деле освоения передовой техники и подготовки кадров для дальнейшего развития автопромышленности.</w:t>
      </w:r>
    </w:p>
    <w:p w14:paraId="6279680A"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Отмечая недостаточность существующих темпов работ как на строительстве самого Автозавода, так и в подготовке предприятий, которые должны будут снабжать Автозавод полуфабрикатами и изделиями (сталь, резина, стекло и т. д.).</w:t>
      </w:r>
    </w:p>
    <w:p w14:paraId="66992EA8" w14:textId="77777777" w:rsidR="003B4AB7" w:rsidRPr="007122AB" w:rsidRDefault="003B4AB7" w:rsidP="007122AB">
      <w:pPr>
        <w:pStyle w:val="ae"/>
        <w:spacing w:before="0" w:after="0"/>
        <w:jc w:val="both"/>
        <w:rPr>
          <w:color w:val="000000" w:themeColor="text1"/>
          <w:sz w:val="16"/>
          <w:szCs w:val="16"/>
        </w:rPr>
      </w:pPr>
      <w:r w:rsidRPr="007122AB">
        <w:rPr>
          <w:color w:val="000000" w:themeColor="text1"/>
          <w:sz w:val="16"/>
          <w:szCs w:val="16"/>
        </w:rPr>
        <w:t xml:space="preserve">ЦК ВКП(б) </w:t>
      </w:r>
      <w:r w:rsidRPr="007122AB">
        <w:rPr>
          <w:rStyle w:val="af0"/>
          <w:bCs/>
          <w:i w:val="0"/>
          <w:color w:val="000000" w:themeColor="text1"/>
          <w:sz w:val="16"/>
          <w:szCs w:val="16"/>
        </w:rPr>
        <w:t>постановляет</w:t>
      </w:r>
      <w:r w:rsidRPr="007122AB">
        <w:rPr>
          <w:color w:val="000000" w:themeColor="text1"/>
          <w:sz w:val="16"/>
          <w:szCs w:val="16"/>
        </w:rPr>
        <w:t>:</w:t>
      </w:r>
    </w:p>
    <w:p w14:paraId="1D9FD9DF"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w:t>
      </w:r>
      <w:r w:rsidRPr="007122AB">
        <w:rPr>
          <w:color w:val="000000" w:themeColor="text1"/>
          <w:sz w:val="16"/>
          <w:szCs w:val="16"/>
        </w:rPr>
        <w:t xml:space="preserve">. Исходя из установленного ранее срока о пуске 1.XI.31 г. первой очереди завода, установить следующие сроки пуска основных цехов </w:t>
      </w:r>
      <w:proofErr w:type="spellStart"/>
      <w:r w:rsidRPr="007122AB">
        <w:rPr>
          <w:color w:val="000000" w:themeColor="text1"/>
          <w:sz w:val="16"/>
          <w:szCs w:val="16"/>
        </w:rPr>
        <w:t>Автостроя</w:t>
      </w:r>
      <w:proofErr w:type="spellEnd"/>
      <w:r w:rsidRPr="007122AB">
        <w:rPr>
          <w:color w:val="000000" w:themeColor="text1"/>
          <w:sz w:val="16"/>
          <w:szCs w:val="16"/>
        </w:rPr>
        <w:t>:</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38"/>
        <w:gridCol w:w="2090"/>
      </w:tblGrid>
      <w:tr w:rsidR="007122AB" w:rsidRPr="007122AB" w14:paraId="5204626D" w14:textId="77777777" w:rsidTr="00D93444">
        <w:trPr>
          <w:tblCellSpacing w:w="0" w:type="dxa"/>
        </w:trPr>
        <w:tc>
          <w:tcPr>
            <w:tcW w:w="0" w:type="auto"/>
            <w:vAlign w:val="center"/>
            <w:hideMark/>
          </w:tcPr>
          <w:p w14:paraId="1875F6A3"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деревообделочный и инструментальный</w:t>
            </w:r>
          </w:p>
        </w:tc>
        <w:tc>
          <w:tcPr>
            <w:tcW w:w="0" w:type="auto"/>
            <w:vAlign w:val="center"/>
            <w:hideMark/>
          </w:tcPr>
          <w:p w14:paraId="00838EA8"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1.VI.31 г.</w:t>
            </w:r>
          </w:p>
        </w:tc>
      </w:tr>
      <w:tr w:rsidR="007122AB" w:rsidRPr="007122AB" w14:paraId="3FD2F203" w14:textId="77777777" w:rsidTr="00D93444">
        <w:trPr>
          <w:tblCellSpacing w:w="0" w:type="dxa"/>
        </w:trPr>
        <w:tc>
          <w:tcPr>
            <w:tcW w:w="0" w:type="auto"/>
            <w:vAlign w:val="center"/>
            <w:hideMark/>
          </w:tcPr>
          <w:p w14:paraId="0D40CD90"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ремонтно-механический и ремонтно-кузнечный цеха</w:t>
            </w:r>
          </w:p>
        </w:tc>
        <w:tc>
          <w:tcPr>
            <w:tcW w:w="0" w:type="auto"/>
            <w:vAlign w:val="center"/>
            <w:hideMark/>
          </w:tcPr>
          <w:p w14:paraId="0A1AC3B7"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1.VII.31 г.</w:t>
            </w:r>
          </w:p>
        </w:tc>
      </w:tr>
      <w:tr w:rsidR="007122AB" w:rsidRPr="007122AB" w14:paraId="147DC901" w14:textId="77777777" w:rsidTr="00D93444">
        <w:trPr>
          <w:tblCellSpacing w:w="0" w:type="dxa"/>
        </w:trPr>
        <w:tc>
          <w:tcPr>
            <w:tcW w:w="0" w:type="auto"/>
            <w:vAlign w:val="center"/>
            <w:hideMark/>
          </w:tcPr>
          <w:p w14:paraId="1A9B2F37"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литейный, кузнечный, прессовый цеха</w:t>
            </w:r>
          </w:p>
        </w:tc>
        <w:tc>
          <w:tcPr>
            <w:tcW w:w="0" w:type="auto"/>
            <w:vAlign w:val="center"/>
            <w:hideMark/>
          </w:tcPr>
          <w:p w14:paraId="4E6F0774"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1.Х.31 г.</w:t>
            </w:r>
          </w:p>
        </w:tc>
      </w:tr>
      <w:tr w:rsidR="007122AB" w:rsidRPr="007122AB" w14:paraId="1E03ABFB" w14:textId="77777777" w:rsidTr="00D93444">
        <w:trPr>
          <w:tblCellSpacing w:w="0" w:type="dxa"/>
        </w:trPr>
        <w:tc>
          <w:tcPr>
            <w:tcW w:w="0" w:type="auto"/>
            <w:vAlign w:val="center"/>
            <w:hideMark/>
          </w:tcPr>
          <w:p w14:paraId="3894F95D"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цех моторов, рессорный и прочие цеха</w:t>
            </w:r>
          </w:p>
        </w:tc>
        <w:tc>
          <w:tcPr>
            <w:tcW w:w="0" w:type="auto"/>
            <w:vAlign w:val="center"/>
            <w:hideMark/>
          </w:tcPr>
          <w:p w14:paraId="462F41FF"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1.XI.31 г.</w:t>
            </w:r>
          </w:p>
        </w:tc>
      </w:tr>
    </w:tbl>
    <w:p w14:paraId="0DE97595"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2</w:t>
      </w:r>
      <w:r w:rsidRPr="007122AB">
        <w:rPr>
          <w:color w:val="000000" w:themeColor="text1"/>
          <w:sz w:val="16"/>
          <w:szCs w:val="16"/>
        </w:rPr>
        <w:t>. Считать совершенно недопустимым ведение таких крупнейших работ, как Автозавод, без наличия проработанных смет.</w:t>
      </w:r>
    </w:p>
    <w:p w14:paraId="50508DD9"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 xml:space="preserve">Обязать ВАТО и </w:t>
      </w:r>
      <w:proofErr w:type="spellStart"/>
      <w:r w:rsidRPr="007122AB">
        <w:rPr>
          <w:color w:val="000000" w:themeColor="text1"/>
          <w:sz w:val="16"/>
          <w:szCs w:val="16"/>
        </w:rPr>
        <w:t>Автострой</w:t>
      </w:r>
      <w:proofErr w:type="spellEnd"/>
      <w:r w:rsidRPr="007122AB">
        <w:rPr>
          <w:color w:val="000000" w:themeColor="text1"/>
          <w:sz w:val="16"/>
          <w:szCs w:val="16"/>
        </w:rPr>
        <w:t xml:space="preserve"> проработать сметы по </w:t>
      </w:r>
      <w:proofErr w:type="spellStart"/>
      <w:r w:rsidRPr="007122AB">
        <w:rPr>
          <w:color w:val="000000" w:themeColor="text1"/>
          <w:sz w:val="16"/>
          <w:szCs w:val="16"/>
        </w:rPr>
        <w:t>Автострою</w:t>
      </w:r>
      <w:proofErr w:type="spellEnd"/>
      <w:r w:rsidRPr="007122AB">
        <w:rPr>
          <w:color w:val="000000" w:themeColor="text1"/>
          <w:sz w:val="16"/>
          <w:szCs w:val="16"/>
        </w:rPr>
        <w:t xml:space="preserve"> на 31 г. не позже 1.IV.31 г., а президиуму ВСНХ на основе представленных смет окончательно установить объем затрат на 31 г. по Автозаводу с таким расчетом, чтобы был полностью обеспечен пуск завода первой очереди в намеченные сроки.</w:t>
      </w:r>
    </w:p>
    <w:p w14:paraId="3D5EAAEE"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 xml:space="preserve">Обязать </w:t>
      </w:r>
      <w:proofErr w:type="spellStart"/>
      <w:r w:rsidRPr="007122AB">
        <w:rPr>
          <w:color w:val="000000" w:themeColor="text1"/>
          <w:sz w:val="16"/>
          <w:szCs w:val="16"/>
        </w:rPr>
        <w:t>Автострой</w:t>
      </w:r>
      <w:proofErr w:type="spellEnd"/>
      <w:r w:rsidRPr="007122AB">
        <w:rPr>
          <w:color w:val="000000" w:themeColor="text1"/>
          <w:sz w:val="16"/>
          <w:szCs w:val="16"/>
        </w:rPr>
        <w:t xml:space="preserve"> не позже 25 апреля представить смету полной стоимости Автозавода.</w:t>
      </w:r>
    </w:p>
    <w:p w14:paraId="73D031EB"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3</w:t>
      </w:r>
      <w:r w:rsidRPr="007122AB">
        <w:rPr>
          <w:color w:val="000000" w:themeColor="text1"/>
          <w:sz w:val="16"/>
          <w:szCs w:val="16"/>
        </w:rPr>
        <w:t>. Отмечая неудовлетворительное состояние хода работ по проектированию, обязать ВСНХ увязать работу всех проектных организаций как внутри Союза, так и заграницей, для чего в декадный срок составить календарный план всех проектных работ, обеспечивающий своевременное поступление проектов на строительство.</w:t>
      </w:r>
    </w:p>
    <w:p w14:paraId="1517ECD3"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4</w:t>
      </w:r>
      <w:r w:rsidRPr="007122AB">
        <w:rPr>
          <w:color w:val="000000" w:themeColor="text1"/>
          <w:sz w:val="16"/>
          <w:szCs w:val="16"/>
        </w:rPr>
        <w:t>. Одобрить решение ВСНХ о введении на строительстве чисто подрядного способа работ по определенным твердым ценам с тем, что основным производителем работ должен быть 3</w:t>
      </w:r>
      <w:r w:rsidRPr="007122AB">
        <w:rPr>
          <w:color w:val="000000" w:themeColor="text1"/>
          <w:sz w:val="16"/>
          <w:szCs w:val="16"/>
        </w:rPr>
        <w:noBreakHyphen/>
        <w:t xml:space="preserve">й </w:t>
      </w:r>
      <w:proofErr w:type="spellStart"/>
      <w:r w:rsidRPr="007122AB">
        <w:rPr>
          <w:color w:val="000000" w:themeColor="text1"/>
          <w:sz w:val="16"/>
          <w:szCs w:val="16"/>
        </w:rPr>
        <w:t>Госстройтрест</w:t>
      </w:r>
      <w:proofErr w:type="spellEnd"/>
      <w:r w:rsidRPr="007122AB">
        <w:rPr>
          <w:color w:val="000000" w:themeColor="text1"/>
          <w:sz w:val="16"/>
          <w:szCs w:val="16"/>
        </w:rPr>
        <w:t>, а все остальные стройорганизации ведут работу в качестве подрядчиков 3</w:t>
      </w:r>
      <w:r w:rsidRPr="007122AB">
        <w:rPr>
          <w:color w:val="000000" w:themeColor="text1"/>
          <w:sz w:val="16"/>
          <w:szCs w:val="16"/>
        </w:rPr>
        <w:noBreakHyphen/>
        <w:t xml:space="preserve">го </w:t>
      </w:r>
      <w:proofErr w:type="spellStart"/>
      <w:r w:rsidRPr="007122AB">
        <w:rPr>
          <w:color w:val="000000" w:themeColor="text1"/>
          <w:sz w:val="16"/>
          <w:szCs w:val="16"/>
        </w:rPr>
        <w:t>Госстройтреста</w:t>
      </w:r>
      <w:proofErr w:type="spellEnd"/>
      <w:r w:rsidRPr="007122AB">
        <w:rPr>
          <w:color w:val="000000" w:themeColor="text1"/>
          <w:sz w:val="16"/>
          <w:szCs w:val="16"/>
        </w:rPr>
        <w:t>.</w:t>
      </w:r>
    </w:p>
    <w:p w14:paraId="51E51638"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5</w:t>
      </w:r>
      <w:r w:rsidRPr="007122AB">
        <w:rPr>
          <w:color w:val="000000" w:themeColor="text1"/>
          <w:sz w:val="16"/>
          <w:szCs w:val="16"/>
        </w:rPr>
        <w:t xml:space="preserve">. Отмечая неудовлетворительность работы </w:t>
      </w:r>
      <w:proofErr w:type="spellStart"/>
      <w:r w:rsidRPr="007122AB">
        <w:rPr>
          <w:color w:val="000000" w:themeColor="text1"/>
          <w:sz w:val="16"/>
          <w:szCs w:val="16"/>
        </w:rPr>
        <w:t>Водоканалстроя</w:t>
      </w:r>
      <w:proofErr w:type="spellEnd"/>
      <w:r w:rsidRPr="007122AB">
        <w:rPr>
          <w:color w:val="000000" w:themeColor="text1"/>
          <w:sz w:val="16"/>
          <w:szCs w:val="16"/>
        </w:rPr>
        <w:t xml:space="preserve"> и </w:t>
      </w:r>
      <w:proofErr w:type="spellStart"/>
      <w:r w:rsidRPr="007122AB">
        <w:rPr>
          <w:color w:val="000000" w:themeColor="text1"/>
          <w:sz w:val="16"/>
          <w:szCs w:val="16"/>
        </w:rPr>
        <w:t>Промсантехстроя</w:t>
      </w:r>
      <w:proofErr w:type="spellEnd"/>
      <w:r w:rsidRPr="007122AB">
        <w:rPr>
          <w:color w:val="000000" w:themeColor="text1"/>
          <w:sz w:val="16"/>
          <w:szCs w:val="16"/>
        </w:rPr>
        <w:t>, обязать тов. Комарова (</w:t>
      </w:r>
      <w:proofErr w:type="spellStart"/>
      <w:r w:rsidRPr="007122AB">
        <w:rPr>
          <w:color w:val="000000" w:themeColor="text1"/>
          <w:sz w:val="16"/>
          <w:szCs w:val="16"/>
        </w:rPr>
        <w:t>Союзстрой</w:t>
      </w:r>
      <w:proofErr w:type="spellEnd"/>
      <w:r w:rsidRPr="007122AB">
        <w:rPr>
          <w:color w:val="000000" w:themeColor="text1"/>
          <w:sz w:val="16"/>
          <w:szCs w:val="16"/>
        </w:rPr>
        <w:t xml:space="preserve">) в декадный срок организовать работу </w:t>
      </w:r>
      <w:proofErr w:type="spellStart"/>
      <w:r w:rsidRPr="007122AB">
        <w:rPr>
          <w:color w:val="000000" w:themeColor="text1"/>
          <w:sz w:val="16"/>
          <w:szCs w:val="16"/>
        </w:rPr>
        <w:t>Водоканалстроя</w:t>
      </w:r>
      <w:proofErr w:type="spellEnd"/>
      <w:r w:rsidRPr="007122AB">
        <w:rPr>
          <w:color w:val="000000" w:themeColor="text1"/>
          <w:sz w:val="16"/>
          <w:szCs w:val="16"/>
        </w:rPr>
        <w:t xml:space="preserve"> и </w:t>
      </w:r>
      <w:proofErr w:type="spellStart"/>
      <w:r w:rsidRPr="007122AB">
        <w:rPr>
          <w:color w:val="000000" w:themeColor="text1"/>
          <w:sz w:val="16"/>
          <w:szCs w:val="16"/>
        </w:rPr>
        <w:t>Промсантехстроя</w:t>
      </w:r>
      <w:proofErr w:type="spellEnd"/>
      <w:r w:rsidRPr="007122AB">
        <w:rPr>
          <w:color w:val="000000" w:themeColor="text1"/>
          <w:sz w:val="16"/>
          <w:szCs w:val="16"/>
        </w:rPr>
        <w:t xml:space="preserve"> на площадке </w:t>
      </w:r>
      <w:proofErr w:type="spellStart"/>
      <w:r w:rsidRPr="007122AB">
        <w:rPr>
          <w:color w:val="000000" w:themeColor="text1"/>
          <w:sz w:val="16"/>
          <w:szCs w:val="16"/>
        </w:rPr>
        <w:t>Автостроя</w:t>
      </w:r>
      <w:proofErr w:type="spellEnd"/>
      <w:r w:rsidRPr="007122AB">
        <w:rPr>
          <w:color w:val="000000" w:themeColor="text1"/>
          <w:sz w:val="16"/>
          <w:szCs w:val="16"/>
        </w:rPr>
        <w:t xml:space="preserve"> таким образом, чтобы строительство водопровода, канализации, отопления и вентиляционных устройств было окончено в сроки, предусмотренные планом пуска цехов.</w:t>
      </w:r>
    </w:p>
    <w:p w14:paraId="5C924BB1"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6</w:t>
      </w:r>
      <w:r w:rsidRPr="007122AB">
        <w:rPr>
          <w:color w:val="000000" w:themeColor="text1"/>
          <w:sz w:val="16"/>
          <w:szCs w:val="16"/>
        </w:rPr>
        <w:t>. Одобрить решение президиума ВСНХ СССР о производстве на Нижегородском автозаводе металлических кузовов типа “Форда”.</w:t>
      </w:r>
    </w:p>
    <w:p w14:paraId="736EADF9"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7</w:t>
      </w:r>
      <w:r w:rsidRPr="007122AB">
        <w:rPr>
          <w:color w:val="000000" w:themeColor="text1"/>
          <w:sz w:val="16"/>
          <w:szCs w:val="16"/>
        </w:rPr>
        <w:t>. Обязать т. Иванова (ВАТО) и т. Постникова (НКПС) рассмотреть как схему внутризаводского транспорта, так и вопрос о способах доставки топлива для теплоэлектроцентрали и представить в декадный срок решение по этим вопросам на утверждение ВСНХ.</w:t>
      </w:r>
    </w:p>
    <w:p w14:paraId="78152024"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8</w:t>
      </w:r>
      <w:r w:rsidRPr="007122AB">
        <w:rPr>
          <w:color w:val="000000" w:themeColor="text1"/>
          <w:sz w:val="16"/>
          <w:szCs w:val="16"/>
        </w:rPr>
        <w:t xml:space="preserve">. Обязать </w:t>
      </w:r>
      <w:proofErr w:type="spellStart"/>
      <w:r w:rsidRPr="007122AB">
        <w:rPr>
          <w:color w:val="000000" w:themeColor="text1"/>
          <w:sz w:val="16"/>
          <w:szCs w:val="16"/>
        </w:rPr>
        <w:t>Автострой</w:t>
      </w:r>
      <w:proofErr w:type="spellEnd"/>
      <w:r w:rsidRPr="007122AB">
        <w:rPr>
          <w:color w:val="000000" w:themeColor="text1"/>
          <w:sz w:val="16"/>
          <w:szCs w:val="16"/>
        </w:rPr>
        <w:t xml:space="preserve"> и </w:t>
      </w:r>
      <w:proofErr w:type="spellStart"/>
      <w:r w:rsidRPr="007122AB">
        <w:rPr>
          <w:color w:val="000000" w:themeColor="text1"/>
          <w:sz w:val="16"/>
          <w:szCs w:val="16"/>
        </w:rPr>
        <w:t>Котлотурбину</w:t>
      </w:r>
      <w:proofErr w:type="spellEnd"/>
      <w:r w:rsidRPr="007122AB">
        <w:rPr>
          <w:color w:val="000000" w:themeColor="text1"/>
          <w:sz w:val="16"/>
          <w:szCs w:val="16"/>
        </w:rPr>
        <w:t xml:space="preserve"> в пятидневный срок заключить договор на проектирование и монтаж всех работ по теплофикации, паропроводам и </w:t>
      </w:r>
      <w:proofErr w:type="spellStart"/>
      <w:r w:rsidRPr="007122AB">
        <w:rPr>
          <w:color w:val="000000" w:themeColor="text1"/>
          <w:sz w:val="16"/>
          <w:szCs w:val="16"/>
        </w:rPr>
        <w:t>нефтехозяйству</w:t>
      </w:r>
      <w:proofErr w:type="spellEnd"/>
      <w:r w:rsidRPr="007122AB">
        <w:rPr>
          <w:color w:val="000000" w:themeColor="text1"/>
          <w:sz w:val="16"/>
          <w:szCs w:val="16"/>
        </w:rPr>
        <w:t>.</w:t>
      </w:r>
    </w:p>
    <w:p w14:paraId="5D7EFA7D"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9</w:t>
      </w:r>
      <w:r w:rsidRPr="007122AB">
        <w:rPr>
          <w:color w:val="000000" w:themeColor="text1"/>
          <w:sz w:val="16"/>
          <w:szCs w:val="16"/>
        </w:rPr>
        <w:t xml:space="preserve">. Обязать </w:t>
      </w:r>
      <w:proofErr w:type="spellStart"/>
      <w:r w:rsidRPr="007122AB">
        <w:rPr>
          <w:color w:val="000000" w:themeColor="text1"/>
          <w:sz w:val="16"/>
          <w:szCs w:val="16"/>
        </w:rPr>
        <w:t>Автострой</w:t>
      </w:r>
      <w:proofErr w:type="spellEnd"/>
      <w:r w:rsidRPr="007122AB">
        <w:rPr>
          <w:color w:val="000000" w:themeColor="text1"/>
          <w:sz w:val="16"/>
          <w:szCs w:val="16"/>
        </w:rPr>
        <w:t xml:space="preserve">, ВАТО и </w:t>
      </w:r>
      <w:proofErr w:type="spellStart"/>
      <w:r w:rsidRPr="007122AB">
        <w:rPr>
          <w:color w:val="000000" w:themeColor="text1"/>
          <w:sz w:val="16"/>
          <w:szCs w:val="16"/>
        </w:rPr>
        <w:t>Союзсредмашину</w:t>
      </w:r>
      <w:proofErr w:type="spellEnd"/>
      <w:r w:rsidRPr="007122AB">
        <w:rPr>
          <w:color w:val="000000" w:themeColor="text1"/>
          <w:sz w:val="16"/>
          <w:szCs w:val="16"/>
        </w:rPr>
        <w:t xml:space="preserve"> в десятидневный срок заключить договора на проектирование и изготовление транспортеров и </w:t>
      </w:r>
      <w:proofErr w:type="spellStart"/>
      <w:r w:rsidRPr="007122AB">
        <w:rPr>
          <w:color w:val="000000" w:themeColor="text1"/>
          <w:sz w:val="16"/>
          <w:szCs w:val="16"/>
        </w:rPr>
        <w:t>земледельных</w:t>
      </w:r>
      <w:proofErr w:type="spellEnd"/>
      <w:r w:rsidRPr="007122AB">
        <w:rPr>
          <w:color w:val="000000" w:themeColor="text1"/>
          <w:sz w:val="16"/>
          <w:szCs w:val="16"/>
        </w:rPr>
        <w:t xml:space="preserve"> устройств.</w:t>
      </w:r>
    </w:p>
    <w:p w14:paraId="6B5C7F86"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 xml:space="preserve">Обязать ВЭО и </w:t>
      </w:r>
      <w:proofErr w:type="spellStart"/>
      <w:r w:rsidRPr="007122AB">
        <w:rPr>
          <w:color w:val="000000" w:themeColor="text1"/>
          <w:sz w:val="16"/>
          <w:szCs w:val="16"/>
        </w:rPr>
        <w:t>Союзсредмашину</w:t>
      </w:r>
      <w:proofErr w:type="spellEnd"/>
      <w:r w:rsidRPr="007122AB">
        <w:rPr>
          <w:color w:val="000000" w:themeColor="text1"/>
          <w:sz w:val="16"/>
          <w:szCs w:val="16"/>
        </w:rPr>
        <w:t xml:space="preserve"> заключить договор на проектирование, изготовление оборудования и монтаж топливоподачи для теплоэлектроцентрали </w:t>
      </w:r>
      <w:proofErr w:type="spellStart"/>
      <w:r w:rsidRPr="007122AB">
        <w:rPr>
          <w:color w:val="000000" w:themeColor="text1"/>
          <w:sz w:val="16"/>
          <w:szCs w:val="16"/>
        </w:rPr>
        <w:t>Автостроя</w:t>
      </w:r>
      <w:proofErr w:type="spellEnd"/>
      <w:r w:rsidRPr="007122AB">
        <w:rPr>
          <w:color w:val="000000" w:themeColor="text1"/>
          <w:sz w:val="16"/>
          <w:szCs w:val="16"/>
        </w:rPr>
        <w:t>.</w:t>
      </w:r>
    </w:p>
    <w:p w14:paraId="56952A05"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10</w:t>
      </w:r>
      <w:r w:rsidRPr="007122AB">
        <w:rPr>
          <w:color w:val="000000" w:themeColor="text1"/>
          <w:sz w:val="16"/>
          <w:szCs w:val="16"/>
        </w:rPr>
        <w:t xml:space="preserve">. В целях бесперебойного снабжения лесоматериалами </w:t>
      </w:r>
      <w:proofErr w:type="spellStart"/>
      <w:r w:rsidRPr="007122AB">
        <w:rPr>
          <w:color w:val="000000" w:themeColor="text1"/>
          <w:sz w:val="16"/>
          <w:szCs w:val="16"/>
        </w:rPr>
        <w:t>Автостроя</w:t>
      </w:r>
      <w:proofErr w:type="spellEnd"/>
      <w:r w:rsidRPr="007122AB">
        <w:rPr>
          <w:color w:val="000000" w:themeColor="text1"/>
          <w:sz w:val="16"/>
          <w:szCs w:val="16"/>
        </w:rPr>
        <w:t xml:space="preserve">, предложить ВАТО и </w:t>
      </w:r>
      <w:proofErr w:type="spellStart"/>
      <w:r w:rsidRPr="007122AB">
        <w:rPr>
          <w:color w:val="000000" w:themeColor="text1"/>
          <w:sz w:val="16"/>
          <w:szCs w:val="16"/>
        </w:rPr>
        <w:t>Союзлеспрому</w:t>
      </w:r>
      <w:proofErr w:type="spellEnd"/>
      <w:r w:rsidRPr="007122AB">
        <w:rPr>
          <w:color w:val="000000" w:themeColor="text1"/>
          <w:sz w:val="16"/>
          <w:szCs w:val="16"/>
        </w:rPr>
        <w:t xml:space="preserve"> в пятидневный срок договориться о прикреплении для снабжения </w:t>
      </w:r>
      <w:proofErr w:type="spellStart"/>
      <w:r w:rsidRPr="007122AB">
        <w:rPr>
          <w:color w:val="000000" w:themeColor="text1"/>
          <w:sz w:val="16"/>
          <w:szCs w:val="16"/>
        </w:rPr>
        <w:t>Автостроя</w:t>
      </w:r>
      <w:proofErr w:type="spellEnd"/>
      <w:r w:rsidRPr="007122AB">
        <w:rPr>
          <w:color w:val="000000" w:themeColor="text1"/>
          <w:sz w:val="16"/>
          <w:szCs w:val="16"/>
        </w:rPr>
        <w:t xml:space="preserve"> лесопильного завода “Новая Сосна” с таким расчетом, чтобы последний удовлетворял потребность строительства </w:t>
      </w:r>
      <w:proofErr w:type="spellStart"/>
      <w:r w:rsidRPr="007122AB">
        <w:rPr>
          <w:color w:val="000000" w:themeColor="text1"/>
          <w:sz w:val="16"/>
          <w:szCs w:val="16"/>
        </w:rPr>
        <w:t>Автостроя</w:t>
      </w:r>
      <w:proofErr w:type="spellEnd"/>
      <w:r w:rsidRPr="007122AB">
        <w:rPr>
          <w:color w:val="000000" w:themeColor="text1"/>
          <w:sz w:val="16"/>
          <w:szCs w:val="16"/>
        </w:rPr>
        <w:t xml:space="preserve"> в первую очередь.</w:t>
      </w:r>
    </w:p>
    <w:p w14:paraId="3379E2DA"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11</w:t>
      </w:r>
      <w:r w:rsidRPr="007122AB">
        <w:rPr>
          <w:color w:val="000000" w:themeColor="text1"/>
          <w:sz w:val="16"/>
          <w:szCs w:val="16"/>
        </w:rPr>
        <w:t>. Обязать ВСНХ выделить достаточные фонды строительных материалов, чугунных и железных труб, фасонных частей и других материалов для специальных работ.</w:t>
      </w:r>
    </w:p>
    <w:p w14:paraId="66008149"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12</w:t>
      </w:r>
      <w:r w:rsidRPr="007122AB">
        <w:rPr>
          <w:color w:val="000000" w:themeColor="text1"/>
          <w:sz w:val="16"/>
          <w:szCs w:val="16"/>
        </w:rPr>
        <w:t>. Принимая во внимание, что узким местом как в строительстве, так и в пуске завода является неподготовленность как подъездных путей, так и внутризаводского транспорта — обязать ВСНХ обеспечить в ближайшее время снабжение путей рельсами (42 км), шпалами, скреплениями и подвижным составом.</w:t>
      </w:r>
    </w:p>
    <w:p w14:paraId="3C6CC149"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13</w:t>
      </w:r>
      <w:r w:rsidRPr="007122AB">
        <w:rPr>
          <w:color w:val="000000" w:themeColor="text1"/>
          <w:sz w:val="16"/>
          <w:szCs w:val="16"/>
        </w:rPr>
        <w:t xml:space="preserve">. Придавая особое значение своевременному изготовлению оборудования для </w:t>
      </w:r>
      <w:proofErr w:type="spellStart"/>
      <w:r w:rsidRPr="007122AB">
        <w:rPr>
          <w:color w:val="000000" w:themeColor="text1"/>
          <w:sz w:val="16"/>
          <w:szCs w:val="16"/>
        </w:rPr>
        <w:t>Автостроя</w:t>
      </w:r>
      <w:proofErr w:type="spellEnd"/>
      <w:r w:rsidRPr="007122AB">
        <w:rPr>
          <w:color w:val="000000" w:themeColor="text1"/>
          <w:sz w:val="16"/>
          <w:szCs w:val="16"/>
        </w:rPr>
        <w:t xml:space="preserve"> на заводах Союза, обязать ВСНХ привлечь к размещению заказов управляющих заводами-поставщиками. Одновременно предложить заводским партийным и профсоюзным организациям взять под особое наблюдение изготовление оборудования для </w:t>
      </w:r>
      <w:proofErr w:type="spellStart"/>
      <w:r w:rsidRPr="007122AB">
        <w:rPr>
          <w:color w:val="000000" w:themeColor="text1"/>
          <w:sz w:val="16"/>
          <w:szCs w:val="16"/>
        </w:rPr>
        <w:t>Автостроя</w:t>
      </w:r>
      <w:proofErr w:type="spellEnd"/>
      <w:r w:rsidRPr="007122AB">
        <w:rPr>
          <w:color w:val="000000" w:themeColor="text1"/>
          <w:sz w:val="16"/>
          <w:szCs w:val="16"/>
        </w:rPr>
        <w:t>, мобилизовав на это дело ударные бригады, производственные совещания и заводскую печать.</w:t>
      </w:r>
    </w:p>
    <w:p w14:paraId="333FD959"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14</w:t>
      </w:r>
      <w:r w:rsidRPr="007122AB">
        <w:rPr>
          <w:color w:val="000000" w:themeColor="text1"/>
          <w:sz w:val="16"/>
          <w:szCs w:val="16"/>
        </w:rPr>
        <w:t xml:space="preserve">. Обязать НКПС выделить члена Коллегии ответственного за своевременную подачу вагонов под грузы </w:t>
      </w:r>
      <w:proofErr w:type="spellStart"/>
      <w:r w:rsidRPr="007122AB">
        <w:rPr>
          <w:color w:val="000000" w:themeColor="text1"/>
          <w:sz w:val="16"/>
          <w:szCs w:val="16"/>
        </w:rPr>
        <w:t>Автостроя</w:t>
      </w:r>
      <w:proofErr w:type="spellEnd"/>
      <w:r w:rsidRPr="007122AB">
        <w:rPr>
          <w:color w:val="000000" w:themeColor="text1"/>
          <w:sz w:val="16"/>
          <w:szCs w:val="16"/>
        </w:rPr>
        <w:t>.</w:t>
      </w:r>
    </w:p>
    <w:p w14:paraId="3381FE47"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15</w:t>
      </w:r>
      <w:r w:rsidRPr="007122AB">
        <w:rPr>
          <w:color w:val="000000" w:themeColor="text1"/>
          <w:sz w:val="16"/>
          <w:szCs w:val="16"/>
        </w:rPr>
        <w:t>. Придавая особое значение делу своевременной подготовки производств автопромышленных полуфабрикатов и изделий, считать необходимым наметить на 31 г. следующие базы по снабжению основными материалами Нижегородского завода:</w:t>
      </w:r>
    </w:p>
    <w:p w14:paraId="1D04C68F"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а) по качественным сталям снабжение возлагается:</w:t>
      </w:r>
    </w:p>
    <w:p w14:paraId="5B420A7A"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легированным сталям на “Красный Октябрь”,</w:t>
      </w:r>
    </w:p>
    <w:p w14:paraId="0F98E2CF"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рессорным сталям на Златоустовский завод,</w:t>
      </w:r>
    </w:p>
    <w:p w14:paraId="7741D5AB"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углеродистым на Мариупольский завод и “Серп и Молот”,</w:t>
      </w:r>
    </w:p>
    <w:p w14:paraId="33AF0359"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листовой стали на Мариупольский завод и Лысьвенский;</w:t>
      </w:r>
    </w:p>
    <w:p w14:paraId="5C203B7B"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б) по болтозаклепочным изделиям — на завод "Красная Этна" в Н. Новгороде;</w:t>
      </w:r>
    </w:p>
    <w:p w14:paraId="5B96C8D4"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 xml:space="preserve">в) по шинам — на заводы </w:t>
      </w:r>
      <w:proofErr w:type="spellStart"/>
      <w:r w:rsidRPr="007122AB">
        <w:rPr>
          <w:color w:val="000000" w:themeColor="text1"/>
          <w:sz w:val="16"/>
          <w:szCs w:val="16"/>
        </w:rPr>
        <w:t>Резинообъединения</w:t>
      </w:r>
      <w:proofErr w:type="spellEnd"/>
      <w:r w:rsidRPr="007122AB">
        <w:rPr>
          <w:color w:val="000000" w:themeColor="text1"/>
          <w:sz w:val="16"/>
          <w:szCs w:val="16"/>
        </w:rPr>
        <w:t>;</w:t>
      </w:r>
    </w:p>
    <w:p w14:paraId="42A3637A"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 xml:space="preserve">г) по тормозной ленте и асбестовым изделиям — на заводы </w:t>
      </w:r>
      <w:proofErr w:type="spellStart"/>
      <w:r w:rsidRPr="007122AB">
        <w:rPr>
          <w:color w:val="000000" w:themeColor="text1"/>
          <w:sz w:val="16"/>
          <w:szCs w:val="16"/>
        </w:rPr>
        <w:t>Резинообъединения</w:t>
      </w:r>
      <w:proofErr w:type="spellEnd"/>
      <w:r w:rsidRPr="007122AB">
        <w:rPr>
          <w:color w:val="000000" w:themeColor="text1"/>
          <w:sz w:val="16"/>
          <w:szCs w:val="16"/>
        </w:rPr>
        <w:t>;</w:t>
      </w:r>
    </w:p>
    <w:p w14:paraId="112C1FD5"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д) по фарам, фонарям — на завод “Красный Октябрь” в Киржаче;</w:t>
      </w:r>
    </w:p>
    <w:p w14:paraId="64CDE00E"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е) по фибре — на Кинешемскую фабрику “</w:t>
      </w:r>
      <w:proofErr w:type="spellStart"/>
      <w:r w:rsidRPr="007122AB">
        <w:rPr>
          <w:color w:val="000000" w:themeColor="text1"/>
          <w:sz w:val="16"/>
          <w:szCs w:val="16"/>
        </w:rPr>
        <w:t>Союзбумаги</w:t>
      </w:r>
      <w:proofErr w:type="spellEnd"/>
      <w:r w:rsidRPr="007122AB">
        <w:rPr>
          <w:color w:val="000000" w:themeColor="text1"/>
          <w:sz w:val="16"/>
          <w:szCs w:val="16"/>
        </w:rPr>
        <w:t>”.</w:t>
      </w:r>
    </w:p>
    <w:p w14:paraId="49196356"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Предложить ВСНХ при разработке плана развития на 1932 и 1933 г. производств, обслуживающих автотракторную промышленность, окончательно уточнить базы снабжения Нижегородского завода.</w:t>
      </w:r>
    </w:p>
    <w:p w14:paraId="6E04A372"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16</w:t>
      </w:r>
      <w:r w:rsidRPr="007122AB">
        <w:rPr>
          <w:color w:val="000000" w:themeColor="text1"/>
          <w:sz w:val="16"/>
          <w:szCs w:val="16"/>
        </w:rPr>
        <w:t>. Обязать ВАТО немедленно приступить к размещению заказов на материалы и полуфабрикаты для всей автотракторной промышленности на основе постановления Президиума ВСНХ от 23 января, утвержденного Политбюро 15 февраля 1931 г.</w:t>
      </w:r>
    </w:p>
    <w:p w14:paraId="42FF3803"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17</w:t>
      </w:r>
      <w:r w:rsidRPr="007122AB">
        <w:rPr>
          <w:color w:val="000000" w:themeColor="text1"/>
          <w:sz w:val="16"/>
          <w:szCs w:val="16"/>
        </w:rPr>
        <w:t>. Обязать ВСНХ обеспечить в 1931 г. необходимыми финансовыми и материальными средствами строительство и реконструкцию всех заводов, являющихся базами снабжения Нижегородского завода, приравняв их к ударным стройкам.</w:t>
      </w:r>
    </w:p>
    <w:p w14:paraId="54149EA2"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18</w:t>
      </w:r>
      <w:r w:rsidRPr="007122AB">
        <w:rPr>
          <w:color w:val="000000" w:themeColor="text1"/>
          <w:sz w:val="16"/>
          <w:szCs w:val="16"/>
        </w:rPr>
        <w:t xml:space="preserve">. Обязать ВСНХ и </w:t>
      </w:r>
      <w:proofErr w:type="spellStart"/>
      <w:r w:rsidRPr="007122AB">
        <w:rPr>
          <w:color w:val="000000" w:themeColor="text1"/>
          <w:sz w:val="16"/>
          <w:szCs w:val="16"/>
        </w:rPr>
        <w:t>НКТруд</w:t>
      </w:r>
      <w:proofErr w:type="spellEnd"/>
      <w:r w:rsidRPr="007122AB">
        <w:rPr>
          <w:color w:val="000000" w:themeColor="text1"/>
          <w:sz w:val="16"/>
          <w:szCs w:val="16"/>
        </w:rPr>
        <w:t xml:space="preserve"> принять немедленные меры к укомплектованию Нижегородского завода инструкторскими кадрами в количестве 1080 человек с тем, чтобы к пуску завода эти кадры находились уже на заводе.</w:t>
      </w:r>
    </w:p>
    <w:p w14:paraId="36169AFF"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19</w:t>
      </w:r>
      <w:r w:rsidRPr="007122AB">
        <w:rPr>
          <w:color w:val="000000" w:themeColor="text1"/>
          <w:sz w:val="16"/>
          <w:szCs w:val="16"/>
        </w:rPr>
        <w:t>. Предложить ВСНХ отобрать и пригласить 500 человек иностранных квалифицированных рабочих и мастеров.</w:t>
      </w:r>
    </w:p>
    <w:p w14:paraId="1C4502EE"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20</w:t>
      </w:r>
      <w:r w:rsidRPr="007122AB">
        <w:rPr>
          <w:color w:val="000000" w:themeColor="text1"/>
          <w:sz w:val="16"/>
          <w:szCs w:val="16"/>
        </w:rPr>
        <w:t>. Обязать ВСНХ командировать заграницу для изучения производства в течение 1931 г. 100 человек инженеров, мастеров и квалифицированных рабочих.</w:t>
      </w:r>
    </w:p>
    <w:p w14:paraId="1E8E1338"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21</w:t>
      </w:r>
      <w:r w:rsidRPr="007122AB">
        <w:rPr>
          <w:color w:val="000000" w:themeColor="text1"/>
          <w:sz w:val="16"/>
          <w:szCs w:val="16"/>
        </w:rPr>
        <w:t xml:space="preserve">. Обязать ВСНХ мобилизовать для Нижегородского Автозавода в </w:t>
      </w:r>
      <w:proofErr w:type="spellStart"/>
      <w:r w:rsidRPr="007122AB">
        <w:rPr>
          <w:color w:val="000000" w:themeColor="text1"/>
          <w:sz w:val="16"/>
          <w:szCs w:val="16"/>
        </w:rPr>
        <w:t>двухдекадный</w:t>
      </w:r>
      <w:proofErr w:type="spellEnd"/>
      <w:r w:rsidRPr="007122AB">
        <w:rPr>
          <w:color w:val="000000" w:themeColor="text1"/>
          <w:sz w:val="16"/>
          <w:szCs w:val="16"/>
        </w:rPr>
        <w:t xml:space="preserve"> срок 25 человек высококвалифицированных инженеров и 10 чел. инженерно-технического персонала для строительства.</w:t>
      </w:r>
    </w:p>
    <w:p w14:paraId="4B840C02"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22</w:t>
      </w:r>
      <w:r w:rsidRPr="007122AB">
        <w:rPr>
          <w:color w:val="000000" w:themeColor="text1"/>
          <w:sz w:val="16"/>
          <w:szCs w:val="16"/>
        </w:rPr>
        <w:t>. Обязать ВАТО обеспечить подготовку необходимых для пуска завода 6000 рабочих (2</w:t>
      </w:r>
      <w:r w:rsidRPr="007122AB">
        <w:rPr>
          <w:color w:val="000000" w:themeColor="text1"/>
          <w:sz w:val="16"/>
          <w:szCs w:val="16"/>
        </w:rPr>
        <w:noBreakHyphen/>
        <w:t>4 разряда) как на своих базах, так и в районных школах.</w:t>
      </w:r>
    </w:p>
    <w:p w14:paraId="23CD7934"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lastRenderedPageBreak/>
        <w:t>23</w:t>
      </w:r>
      <w:r w:rsidRPr="007122AB">
        <w:rPr>
          <w:color w:val="000000" w:themeColor="text1"/>
          <w:sz w:val="16"/>
          <w:szCs w:val="16"/>
        </w:rPr>
        <w:t xml:space="preserve">. Поручить Отделу Кадров ЦК ВКП(б) совместно с ВСНХ внести в Секретариат ЦК в </w:t>
      </w:r>
      <w:proofErr w:type="spellStart"/>
      <w:r w:rsidRPr="007122AB">
        <w:rPr>
          <w:color w:val="000000" w:themeColor="text1"/>
          <w:sz w:val="16"/>
          <w:szCs w:val="16"/>
        </w:rPr>
        <w:t>двухдекадный</w:t>
      </w:r>
      <w:proofErr w:type="spellEnd"/>
      <w:r w:rsidRPr="007122AB">
        <w:rPr>
          <w:color w:val="000000" w:themeColor="text1"/>
          <w:sz w:val="16"/>
          <w:szCs w:val="16"/>
        </w:rPr>
        <w:t xml:space="preserve"> срок предложения по укомплектованию Автозавода необходимым количеством руководящего хозяйственного состава (директоров отделов, начальников цехов и т. д.).</w:t>
      </w:r>
    </w:p>
    <w:p w14:paraId="1CAF7684" w14:textId="77777777" w:rsidR="003B4AB7" w:rsidRPr="007122AB" w:rsidRDefault="003B4AB7" w:rsidP="007122AB">
      <w:pPr>
        <w:pStyle w:val="rtejustify"/>
        <w:spacing w:before="0" w:after="0"/>
        <w:rPr>
          <w:color w:val="000000" w:themeColor="text1"/>
          <w:sz w:val="16"/>
          <w:szCs w:val="16"/>
        </w:rPr>
      </w:pPr>
      <w:r w:rsidRPr="007122AB">
        <w:rPr>
          <w:rStyle w:val="a7"/>
          <w:b w:val="0"/>
          <w:color w:val="000000" w:themeColor="text1"/>
          <w:sz w:val="16"/>
          <w:szCs w:val="16"/>
        </w:rPr>
        <w:t>24</w:t>
      </w:r>
      <w:r w:rsidRPr="007122AB">
        <w:rPr>
          <w:color w:val="000000" w:themeColor="text1"/>
          <w:sz w:val="16"/>
          <w:szCs w:val="16"/>
        </w:rPr>
        <w:t>. Предложить партийным и профсоюзным организациям Нижегородского края и Автозавода принять все необходимые меры к осуществлению строительства в установленные сроки. Необходимо обеспечить самое активное участие рабочих масс как в разработке, так и в выполнении всех строительных планов, для чего на строительстве должна быть развернута массовая работа по внедрению новых форм социалистического труда, по широкому развертыванию ударничества и социалистического соревнования.</w:t>
      </w:r>
    </w:p>
    <w:p w14:paraId="12626964" w14:textId="77777777" w:rsidR="003B4AB7" w:rsidRPr="007122AB" w:rsidRDefault="003B4AB7" w:rsidP="007122AB">
      <w:pPr>
        <w:pStyle w:val="rtejustify"/>
        <w:spacing w:before="0" w:after="0"/>
        <w:rPr>
          <w:color w:val="000000" w:themeColor="text1"/>
          <w:sz w:val="16"/>
          <w:szCs w:val="16"/>
        </w:rPr>
      </w:pPr>
      <w:r w:rsidRPr="007122AB">
        <w:rPr>
          <w:color w:val="000000" w:themeColor="text1"/>
          <w:sz w:val="16"/>
          <w:szCs w:val="16"/>
        </w:rPr>
        <w:t>Партийным, профессиональным и хозяйственным организациям обратить особое внимание на культурно-бытовое обслуживание рабочих (17112).</w:t>
      </w:r>
    </w:p>
    <w:p w14:paraId="6471E716" w14:textId="77777777" w:rsidR="003B4AB7" w:rsidRPr="007122AB" w:rsidRDefault="003B4AB7" w:rsidP="007122AB">
      <w:pPr>
        <w:shd w:val="clear" w:color="auto" w:fill="FFFFFF"/>
        <w:spacing w:after="0" w:line="240" w:lineRule="auto"/>
        <w:jc w:val="both"/>
        <w:rPr>
          <w:rFonts w:ascii="Times New Roman" w:hAnsi="Times New Roman"/>
          <w:color w:val="000000" w:themeColor="text1"/>
          <w:sz w:val="16"/>
          <w:szCs w:val="16"/>
        </w:rPr>
      </w:pPr>
    </w:p>
    <w:p w14:paraId="00BB14F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41FA5F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519A99"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20 февраля 1931 Сталин счел необходимым уточнить программу применительно к Арктике. Дополнить новую тактику закрепления за Советским Союзом его полярных областей третьей — после вопросов авиации и дирижаблестроения — составляющей. Направил в Политбюро инициативную записку «Об охране северного побережья»49. В ней учел явную неспособность Ледовитого океана оставаться при современном уровне развития техники непреодолимой преградой для потенциального врага. Предложил сразу же по завершении строительства </w:t>
      </w:r>
      <w:proofErr w:type="spellStart"/>
      <w:r w:rsidRPr="007122AB">
        <w:rPr>
          <w:rFonts w:ascii="Times New Roman" w:hAnsi="Times New Roman"/>
          <w:color w:val="000000" w:themeColor="text1"/>
          <w:sz w:val="16"/>
          <w:szCs w:val="16"/>
          <w:shd w:val="clear" w:color="auto" w:fill="FFFFFF"/>
        </w:rPr>
        <w:t>Беломоро</w:t>
      </w:r>
      <w:proofErr w:type="spellEnd"/>
      <w:r w:rsidRPr="007122AB">
        <w:rPr>
          <w:rFonts w:ascii="Times New Roman" w:hAnsi="Times New Roman"/>
          <w:color w:val="000000" w:themeColor="text1"/>
          <w:sz w:val="16"/>
          <w:szCs w:val="16"/>
          <w:shd w:val="clear" w:color="auto" w:fill="FFFFFF"/>
        </w:rPr>
        <w:t>-Балтийского канала использовать его для перевода некоторого числа кораблей из Балтики в Баренцево море. Остающееся же время даром не терять. Найти в Кольском заливе, неподалеку от Мурманска, связанного железной дорогой с крупнейшими промышленными центрами страны, место для военно-морской базы и начать ее строительство (20467).</w:t>
      </w:r>
    </w:p>
    <w:p w14:paraId="33A4C9E8" w14:textId="77777777" w:rsidR="000B1FE7" w:rsidRPr="007122AB" w:rsidRDefault="000B1FE7" w:rsidP="007122AB">
      <w:pPr>
        <w:spacing w:after="0" w:line="240" w:lineRule="auto"/>
        <w:jc w:val="both"/>
        <w:rPr>
          <w:rFonts w:ascii="Times New Roman" w:hAnsi="Times New Roman"/>
          <w:color w:val="000000" w:themeColor="text1"/>
          <w:sz w:val="16"/>
          <w:szCs w:val="16"/>
        </w:rPr>
      </w:pPr>
    </w:p>
    <w:p w14:paraId="53E29987"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г. появилось новое постановление ВЦИК и СНК о товарищеских судах и их борьбе с нарушениями трудовой дисциплины и пережитками старого быта (пьянством, озорством, хулиганством и пр.). Предусматривались меры воздействия: предупреждение, общественное порицание с опубликованием в заводской печати, штраф не свыше 10 руб., возбуждение вопроса об увольнении, исключение из профсоюза. Товарищеские суды должны были создаваться из лучших рабочих-ударников (21332).</w:t>
      </w:r>
    </w:p>
    <w:p w14:paraId="3728BE7D" w14:textId="77777777" w:rsidR="000B1FE7" w:rsidRPr="007122AB" w:rsidRDefault="000B1FE7" w:rsidP="007122AB">
      <w:pPr>
        <w:spacing w:after="0" w:line="240" w:lineRule="auto"/>
        <w:jc w:val="both"/>
        <w:rPr>
          <w:rFonts w:ascii="Times New Roman" w:hAnsi="Times New Roman"/>
          <w:color w:val="000000" w:themeColor="text1"/>
          <w:sz w:val="16"/>
          <w:szCs w:val="16"/>
        </w:rPr>
      </w:pPr>
    </w:p>
    <w:p w14:paraId="6D2DC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февраля и 5 марта 1931. Из протокола заседания Политбюро № 27, 1931 г.</w:t>
      </w:r>
    </w:p>
    <w:p w14:paraId="0FEF3E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хозяйстве Москвы </w:t>
      </w:r>
    </w:p>
    <w:p w14:paraId="683A4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Предложить бюро МК и президиуму Мособлисполкома в полуторамесячный срок представить в Политбюро свои предложения относительно улучшения хозяйства Москвы в целом. </w:t>
      </w:r>
    </w:p>
    <w:p w14:paraId="1DE22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Признать необходимым выделение Москвы в самостоятельную административно-хозяйственную единицу с собственным бюджетом и провести соответствующее решение через Московский Совет и Московский областной съезд (11652).</w:t>
      </w:r>
    </w:p>
    <w:p w14:paraId="078EB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BC0C19"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г. Политбюро приняло решение направить соответствующую резолюцию в Моссовет и заседавшему в Москве второму съезду областных советов{303},[30]что и было сделано три дня спустя{304}. 24 февраля последовало аналогичное постановление областного комитета партии о парторганизации{305}по метро (18299).</w:t>
      </w:r>
    </w:p>
    <w:p w14:paraId="0E28D275" w14:textId="77777777" w:rsidR="00F202BC" w:rsidRPr="007122AB" w:rsidRDefault="00F202BC" w:rsidP="007122AB">
      <w:pPr>
        <w:spacing w:after="0" w:line="240" w:lineRule="auto"/>
        <w:jc w:val="both"/>
        <w:rPr>
          <w:rFonts w:ascii="Times New Roman" w:hAnsi="Times New Roman"/>
          <w:color w:val="000000" w:themeColor="text1"/>
          <w:sz w:val="16"/>
          <w:szCs w:val="16"/>
        </w:rPr>
      </w:pPr>
    </w:p>
    <w:p w14:paraId="4F1E8EE5"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 г. Политбюро отдало распоряжение Бюро МК и Моссовету в течение двух недель представить свои предложения по улучшению московского хозяйства{310}.Комиссия во главе с Булганиным и Кагановичем подготовила обширный перечень практических мероприятий, который 3 мая 1931 г. был обсужден и с некоторыми изменениями принят на совместном заседании Бюро МК и МГК. По поводу городского транспорта в перечне отмечалось, среди прочего, что предстоит установить «электрическое быстроходное сообщение во вновь осваиваемых промышленным и жилищным строительством районах путем использования и соответствующего приспособления существующих кольцевых и соединительных железнодорожных веток». Следует просить Центральный комитет обязать Наркомат путей сообщения совместно с горисполкомом представить до конца 1931 г. проект сети городских электрифицированных железных дорог. При этом необходимо предусмотреть линию, которая могла бы разрешить транспортную проблему на Каланчевской пл. путем соединения оканчивающихся там железнодорожных линий с Курской и Нижегородской железными дорогами. Помимо этого городские власти должны обсудить с Наркоматом путей сообщения вопрос об организации пассажирского движения по Московской окружной железной дороге{311} (18299).</w:t>
      </w:r>
    </w:p>
    <w:p w14:paraId="625CD077" w14:textId="77777777" w:rsidR="00F202BC" w:rsidRPr="007122AB" w:rsidRDefault="00F202BC" w:rsidP="007122AB">
      <w:pPr>
        <w:spacing w:after="0" w:line="240" w:lineRule="auto"/>
        <w:jc w:val="both"/>
        <w:rPr>
          <w:rFonts w:ascii="Times New Roman" w:hAnsi="Times New Roman"/>
          <w:color w:val="000000" w:themeColor="text1"/>
          <w:sz w:val="16"/>
          <w:szCs w:val="16"/>
        </w:rPr>
      </w:pPr>
    </w:p>
    <w:p w14:paraId="1DB64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февраля и 5 марта 1931. Из протокола заседания Политбюро № 27, 1931 г.</w:t>
      </w:r>
    </w:p>
    <w:p w14:paraId="74CC39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поездке за границу для лечения</w:t>
      </w:r>
    </w:p>
    <w:p w14:paraId="59CBCA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необходимости максимально беречь валюту и ввиду того, что ответственные товарищи нередко и без нужды уезжают за границу полечиться, несмотря на то что они могли бы поправить здоровье в СССР, ЦК постановляет: </w:t>
      </w:r>
    </w:p>
    <w:p w14:paraId="7A256C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Отпускать ответственных работников за границу для лечения лишь в случае крайней необходимости и лишь при наличии проверки медицинских данных о том, что они не могут обойтись без заграничного лечения. </w:t>
      </w:r>
    </w:p>
    <w:p w14:paraId="08BC1F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Выдавать уезжающим за границу для лечения товарищам необходимые деньги с строжайшим соблюдением нормы. </w:t>
      </w:r>
    </w:p>
    <w:p w14:paraId="341FD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Безусловно воспретить органам </w:t>
      </w:r>
      <w:proofErr w:type="spellStart"/>
      <w:r w:rsidRPr="007122AB">
        <w:rPr>
          <w:rFonts w:ascii="Times New Roman" w:hAnsi="Times New Roman"/>
          <w:color w:val="000000" w:themeColor="text1"/>
          <w:sz w:val="16"/>
          <w:szCs w:val="16"/>
        </w:rPr>
        <w:t>НКВнешторга</w:t>
      </w:r>
      <w:proofErr w:type="spellEnd"/>
      <w:r w:rsidRPr="007122AB">
        <w:rPr>
          <w:rFonts w:ascii="Times New Roman" w:hAnsi="Times New Roman"/>
          <w:color w:val="000000" w:themeColor="text1"/>
          <w:sz w:val="16"/>
          <w:szCs w:val="16"/>
        </w:rPr>
        <w:t xml:space="preserve"> и НКИД за границей выдачу дополнительных сумм уезжающим за границу для лечения товарищам без санкции ЦК (11652).</w:t>
      </w:r>
    </w:p>
    <w:p w14:paraId="44590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965754" w14:textId="77777777" w:rsidR="00F202BC" w:rsidRPr="007122AB" w:rsidRDefault="00F202BC"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3A105BD" w14:textId="77777777" w:rsidR="00F202BC" w:rsidRPr="007122AB" w:rsidRDefault="00F202B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65DD6F"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20 февраля 1931 г.</w:t>
      </w:r>
    </w:p>
    <w:p w14:paraId="15ECA087"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Указания отдела печати НКИД СССР Д. Г. Штерну по поводу брошюры Вейнберга и реакции на «антисоветские выступления» в германской прессе. 20 февраля 1931 г.</w:t>
      </w:r>
    </w:p>
    <w:p w14:paraId="31D70D2C"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2211851"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AEB244" w14:textId="77777777" w:rsidR="00F202BC" w:rsidRPr="007122AB" w:rsidRDefault="00F202BC" w:rsidP="007122AB">
      <w:pPr>
        <w:pStyle w:val="rteright"/>
        <w:spacing w:before="0" w:after="0"/>
        <w:jc w:val="both"/>
        <w:rPr>
          <w:color w:val="000000" w:themeColor="text1"/>
          <w:sz w:val="16"/>
          <w:szCs w:val="16"/>
        </w:rPr>
      </w:pPr>
      <w:r w:rsidRPr="007122AB">
        <w:rPr>
          <w:color w:val="000000" w:themeColor="text1"/>
          <w:sz w:val="16"/>
          <w:szCs w:val="16"/>
        </w:rPr>
        <w:t>20 февраля 1931 г.</w:t>
      </w:r>
    </w:p>
    <w:p w14:paraId="4AF9C88C" w14:textId="77777777" w:rsidR="00F202BC" w:rsidRPr="007122AB" w:rsidRDefault="00F202BC"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6B8F87A3"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7C535DD0"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20.11.31 года.</w:t>
      </w:r>
    </w:p>
    <w:p w14:paraId="25430075"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 27087</w:t>
      </w:r>
    </w:p>
    <w:p w14:paraId="167540C7"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Тов. Штерну</w:t>
      </w:r>
    </w:p>
    <w:p w14:paraId="2B42D595"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Берлин</w:t>
      </w:r>
    </w:p>
    <w:p w14:paraId="3E086CF3" w14:textId="77777777" w:rsidR="00F202BC" w:rsidRPr="007122AB" w:rsidRDefault="00F202BC" w:rsidP="007122AB">
      <w:pPr>
        <w:pStyle w:val="rtejustify"/>
        <w:spacing w:before="0" w:after="0"/>
        <w:rPr>
          <w:color w:val="000000" w:themeColor="text1"/>
          <w:sz w:val="16"/>
          <w:szCs w:val="16"/>
        </w:rPr>
      </w:pPr>
      <w:r w:rsidRPr="007122AB">
        <w:rPr>
          <w:color w:val="000000" w:themeColor="text1"/>
          <w:sz w:val="16"/>
          <w:szCs w:val="16"/>
        </w:rPr>
        <w:t>1)   После ознакомления с брошюрой Вайнберга, можем Вам сообщить следующее наше мнение о ней. Содержание ее, действительно, в общем приемлемо. Но брошюра имеет один кардинальный недостаток, на который и Вы сами обратили внимание. Это — то обстоятельство, что максимально 20 % брошюры посвящено процессу. Мы в свое время предупреждали, что нам известно намерение Вайнберга в своей брошюре говорить не столько о процессе, сколько о С.С.С.Р. и что мы считаем такой подход неправильным и нецелесообразным. Совершенно необходимо, чтобы Вайнберг последнюю часть брошюры расширил и дополнил так, чтобы по меньшей мере половина брошюры была посвящена процессу. Тогда получится, что все сказанное о СССР вообще, есть как бы необходимый законный орнамент брошюры о процессе. В настоящем же виде получается брошюра об СССР[,] в которой, между прочим, говорится и о процессе. Такого впечатления надо избегнуть, тем более что финансирование издания брошюры в ее нынешнем виде натолкнется на затруднения соответствующей инстанции.</w:t>
      </w:r>
    </w:p>
    <w:p w14:paraId="64488C7A" w14:textId="77777777" w:rsidR="00F202BC" w:rsidRPr="007122AB" w:rsidRDefault="00F202BC" w:rsidP="007122AB">
      <w:pPr>
        <w:pStyle w:val="rtejustify"/>
        <w:spacing w:before="0" w:after="0"/>
        <w:rPr>
          <w:color w:val="000000" w:themeColor="text1"/>
          <w:sz w:val="16"/>
          <w:szCs w:val="16"/>
        </w:rPr>
      </w:pPr>
      <w:r w:rsidRPr="007122AB">
        <w:rPr>
          <w:color w:val="000000" w:themeColor="text1"/>
          <w:sz w:val="16"/>
          <w:szCs w:val="16"/>
        </w:rPr>
        <w:t xml:space="preserve">2)   Относительно анти-советских выступлений «Гамбургер </w:t>
      </w:r>
      <w:proofErr w:type="spellStart"/>
      <w:r w:rsidRPr="007122AB">
        <w:rPr>
          <w:color w:val="000000" w:themeColor="text1"/>
          <w:sz w:val="16"/>
          <w:szCs w:val="16"/>
        </w:rPr>
        <w:t>Фремдемблатт</w:t>
      </w:r>
      <w:proofErr w:type="spellEnd"/>
      <w:r w:rsidRPr="007122AB">
        <w:rPr>
          <w:color w:val="000000" w:themeColor="text1"/>
          <w:sz w:val="16"/>
          <w:szCs w:val="16"/>
        </w:rPr>
        <w:t xml:space="preserve">», мы будем говорить с местным </w:t>
      </w:r>
      <w:proofErr w:type="spellStart"/>
      <w:r w:rsidRPr="007122AB">
        <w:rPr>
          <w:color w:val="000000" w:themeColor="text1"/>
          <w:sz w:val="16"/>
          <w:szCs w:val="16"/>
        </w:rPr>
        <w:t>корр</w:t>
      </w:r>
      <w:proofErr w:type="spellEnd"/>
      <w:r w:rsidRPr="007122AB">
        <w:rPr>
          <w:color w:val="000000" w:themeColor="text1"/>
          <w:sz w:val="16"/>
          <w:szCs w:val="16"/>
        </w:rPr>
        <w:t>[</w:t>
      </w:r>
      <w:proofErr w:type="spellStart"/>
      <w:r w:rsidRPr="007122AB">
        <w:rPr>
          <w:color w:val="000000" w:themeColor="text1"/>
          <w:sz w:val="16"/>
          <w:szCs w:val="16"/>
        </w:rPr>
        <w:t>еспонден</w:t>
      </w:r>
      <w:proofErr w:type="spellEnd"/>
      <w:r w:rsidRPr="007122AB">
        <w:rPr>
          <w:color w:val="000000" w:themeColor="text1"/>
          <w:sz w:val="16"/>
          <w:szCs w:val="16"/>
        </w:rPr>
        <w:t>]том этой газеты Баумом. Однако, положение таково, что Баум человек сравнительно новый и совершенно не влиятельный в своей редакции. Можно заранее сказать, что он отделается обещаниями и сочувствующими вздохами, а затем все останется по-старому. Поэтому необходимо поговорить с берлинской редакцией газеты, а кроме того снестись с нашим гамбургским генеральным консульством.</w:t>
      </w:r>
    </w:p>
    <w:p w14:paraId="4E421B3B"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Пом. Зав. Отделом Печати (Подольский)</w:t>
      </w:r>
    </w:p>
    <w:p w14:paraId="591B8A63"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Референт (Миронов)</w:t>
      </w:r>
    </w:p>
    <w:p w14:paraId="1098DDA5" w14:textId="77777777" w:rsidR="00F202BC" w:rsidRPr="007122AB" w:rsidRDefault="00F202BC"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15. П. 33. Д. 8. Л. 161. Машинописная копия того времени. Гриф секретности и дата машинописью, исходящий номер от руки. Внизу листа делопроизводственная помета машинописью (столбцом) «4 экз. 1 — т. Штерну 1 — т. Литвинову 1 — т. Крестинскому 1 — архив» (18899).</w:t>
      </w:r>
    </w:p>
    <w:p w14:paraId="537BC913" w14:textId="77777777" w:rsidR="00F202BC" w:rsidRPr="007122AB" w:rsidRDefault="00F202BC" w:rsidP="007122AB">
      <w:pPr>
        <w:spacing w:after="0" w:line="240" w:lineRule="auto"/>
        <w:jc w:val="both"/>
        <w:rPr>
          <w:rFonts w:ascii="Times New Roman" w:hAnsi="Times New Roman"/>
          <w:color w:val="000000" w:themeColor="text1"/>
          <w:sz w:val="16"/>
          <w:szCs w:val="16"/>
        </w:rPr>
      </w:pPr>
    </w:p>
    <w:p w14:paraId="4EDDB857" w14:textId="77777777" w:rsidR="003B4AB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AF5C4AA" w14:textId="77777777" w:rsidR="003B4AB7" w:rsidRPr="007122AB" w:rsidRDefault="003B4AB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86662E" w14:textId="77777777" w:rsidR="003B4AB7" w:rsidRPr="007122AB" w:rsidRDefault="003B4A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20 февраля</w:t>
      </w:r>
      <w:r w:rsidRPr="007122AB">
        <w:rPr>
          <w:rFonts w:ascii="Times New Roman" w:hAnsi="Times New Roman"/>
          <w:color w:val="000000" w:themeColor="text1"/>
          <w:sz w:val="16"/>
          <w:szCs w:val="16"/>
        </w:rPr>
        <w:t xml:space="preserve"> в 1931 году завершился кругосветный перелет миссис Милдред Брюс (с 25 сентября 1930 по 20 февраля 1931 года) на легком самолете </w:t>
      </w:r>
      <w:hyperlink r:id="rId24"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Bluebird</w:t>
        </w:r>
        <w:proofErr w:type="spellEnd"/>
        <w:r w:rsidRPr="007122AB">
          <w:rPr>
            <w:rFonts w:ascii="Times New Roman" w:hAnsi="Times New Roman"/>
            <w:color w:val="000000" w:themeColor="text1"/>
            <w:sz w:val="16"/>
            <w:szCs w:val="16"/>
          </w:rPr>
          <w:t xml:space="preserve"> IV». </w:t>
        </w:r>
      </w:hyperlink>
      <w:r w:rsidRPr="007122AB">
        <w:rPr>
          <w:rFonts w:ascii="Times New Roman" w:hAnsi="Times New Roman"/>
          <w:color w:val="000000" w:themeColor="text1"/>
          <w:sz w:val="16"/>
          <w:szCs w:val="16"/>
        </w:rPr>
        <w:t>Однако следует отметить, что участки маршрута Токио - Сиэтл и Нью-Йорк - Гавр путешественница преодолела на борту корабля. Последний сохранившийся «</w:t>
      </w:r>
      <w:proofErr w:type="spellStart"/>
      <w:r w:rsidRPr="007122AB">
        <w:rPr>
          <w:rFonts w:ascii="Times New Roman" w:hAnsi="Times New Roman"/>
          <w:color w:val="000000" w:themeColor="text1"/>
          <w:sz w:val="16"/>
          <w:szCs w:val="16"/>
        </w:rPr>
        <w:t>Bluebird</w:t>
      </w:r>
      <w:proofErr w:type="spellEnd"/>
      <w:r w:rsidRPr="007122AB">
        <w:rPr>
          <w:rFonts w:ascii="Times New Roman" w:hAnsi="Times New Roman"/>
          <w:color w:val="000000" w:themeColor="text1"/>
          <w:sz w:val="16"/>
          <w:szCs w:val="16"/>
        </w:rPr>
        <w:t>», 11 -я серийная машина, пошел на слом в 1947 году (15046).</w:t>
      </w:r>
    </w:p>
    <w:p w14:paraId="0C0AC3F0" w14:textId="77777777" w:rsidR="003B4AB7" w:rsidRPr="007122AB" w:rsidRDefault="003B4AB7" w:rsidP="007122AB">
      <w:pPr>
        <w:spacing w:after="0" w:line="240" w:lineRule="auto"/>
        <w:jc w:val="both"/>
        <w:rPr>
          <w:rFonts w:ascii="Times New Roman" w:hAnsi="Times New Roman"/>
          <w:color w:val="000000" w:themeColor="text1"/>
          <w:sz w:val="16"/>
          <w:szCs w:val="16"/>
        </w:rPr>
      </w:pPr>
    </w:p>
    <w:p w14:paraId="56F144C6"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февраля 1931 - Завершился кругосветный перелет миссис Милдред Брюс (с 25 сентября 1930 по 20 февраля 1931 года) на легком самолете </w:t>
      </w:r>
      <w:proofErr w:type="spellStart"/>
      <w:r w:rsidRPr="007122AB">
        <w:rPr>
          <w:rFonts w:ascii="Times New Roman" w:hAnsi="Times New Roman"/>
          <w:color w:val="000000" w:themeColor="text1"/>
          <w:sz w:val="16"/>
          <w:szCs w:val="16"/>
        </w:rPr>
        <w:t>Bluebird</w:t>
      </w:r>
      <w:proofErr w:type="spellEnd"/>
      <w:r w:rsidRPr="007122AB">
        <w:rPr>
          <w:rFonts w:ascii="Times New Roman" w:hAnsi="Times New Roman"/>
          <w:color w:val="000000" w:themeColor="text1"/>
          <w:sz w:val="16"/>
          <w:szCs w:val="16"/>
        </w:rPr>
        <w:t xml:space="preserve"> IV. Однако следует отметить, что участки маршрута Токио - Сиэтл и Нью-Йорк - Гавр путешественница преодолела на борту корабля (22582).</w:t>
      </w:r>
    </w:p>
    <w:p w14:paraId="00E848AF" w14:textId="77777777" w:rsidR="000B1FE7" w:rsidRPr="007122AB" w:rsidRDefault="000B1FE7" w:rsidP="007122AB">
      <w:pPr>
        <w:spacing w:after="0" w:line="240" w:lineRule="auto"/>
        <w:jc w:val="both"/>
        <w:rPr>
          <w:rFonts w:ascii="Times New Roman" w:hAnsi="Times New Roman"/>
          <w:color w:val="000000" w:themeColor="text1"/>
          <w:sz w:val="16"/>
          <w:szCs w:val="16"/>
        </w:rPr>
      </w:pPr>
    </w:p>
    <w:p w14:paraId="07E88EE1" w14:textId="77777777" w:rsidR="00BD06CF" w:rsidRPr="00441F34" w:rsidRDefault="00BD06CF" w:rsidP="00BD06C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20  февраля и  31 марта 1931  г. Карл </w:t>
      </w:r>
      <w:proofErr w:type="spellStart"/>
      <w:r w:rsidRPr="00441F34">
        <w:rPr>
          <w:rFonts w:ascii="Times New Roman" w:hAnsi="Times New Roman"/>
          <w:color w:val="0070C0"/>
          <w:sz w:val="16"/>
          <w:szCs w:val="16"/>
        </w:rPr>
        <w:t>Поггензее</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Karl</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Poggensee</w:t>
      </w:r>
      <w:proofErr w:type="spellEnd"/>
      <w:r w:rsidRPr="00441F34">
        <w:rPr>
          <w:rFonts w:ascii="Times New Roman" w:hAnsi="Times New Roman"/>
          <w:color w:val="0070C0"/>
          <w:sz w:val="16"/>
          <w:szCs w:val="16"/>
        </w:rPr>
        <w:t>; 1909–1980) запускал свои ракеты длиной 158 см, диаметром 12,7 см. Он установил в  них двигатель от большой ракеты для фейерверков, оснастил штоками (стержнями) со стабилизаторами. В  нижней части ракеты штоки были соединены обручем. По мнению изобретателя, такая конструкция должны была способствовать подъему ракеты вверх без отклонений от вертикали. В  головную часть ракеты он поместил прибор для измерения скорости, барометр для определения высоты взлета, фотокамеру для съемки показаний приборов в полете. Эту ракету Карл запустил дважды в поле под Берлином. В первый раз она достигла высоты 450 м, во второй — 460 м и  оба раза благополучно опускалась на парашюте (23372).</w:t>
      </w:r>
    </w:p>
    <w:p w14:paraId="7FBDFEF6" w14:textId="77777777" w:rsidR="00BD06CF" w:rsidRPr="00441F34" w:rsidRDefault="00BD06CF" w:rsidP="00BD06CF">
      <w:pPr>
        <w:spacing w:after="0" w:line="240" w:lineRule="auto"/>
        <w:jc w:val="both"/>
        <w:rPr>
          <w:rFonts w:ascii="Times New Roman" w:hAnsi="Times New Roman"/>
          <w:color w:val="0070C0"/>
          <w:sz w:val="16"/>
          <w:szCs w:val="16"/>
        </w:rPr>
      </w:pPr>
    </w:p>
    <w:p w14:paraId="140B7DC5" w14:textId="77777777" w:rsidR="005E747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7E4AF28" w14:textId="77777777" w:rsidR="005E7475" w:rsidRPr="007122AB" w:rsidRDefault="005E747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205B09" w14:textId="77777777" w:rsidR="003B4AB7" w:rsidRPr="007122AB" w:rsidRDefault="003B4AB7"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февраля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Совет Труда и Обороны по докладу председателя Президиума ВСНХ СССР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 xml:space="preserve"> принял специальное постановление, в котором подтверждалось огромное значение строящегося в Нижнем Новгороде автозавода, который явится практической школой в деле освоения передовой техники и подготовки кадров для дальнейшего развития автопромышленности. Оно сыграло большую роль в ускорении темпов строительства и дало толчок к организации по всей стране смежных производств для будущего автозавода. В намеченной программе предусматривалось к ноябрю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завершить промышленное строительство автогиганта. В апреле заказ-наряд был определен в сумме 71 324 тыс. руб. (против 30 млн. руб. в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1930 г</w:t>
        </w:r>
      </w:smartTag>
      <w:r w:rsidRPr="007122AB">
        <w:rPr>
          <w:rFonts w:ascii="Times New Roman" w:hAnsi="Times New Roman"/>
          <w:color w:val="000000" w:themeColor="text1"/>
          <w:sz w:val="16"/>
          <w:szCs w:val="16"/>
        </w:rPr>
        <w:t xml:space="preserve">.). Практический опыт помогал применять различные меры по удешевлению строительства и проведению сложных работ в зимних условиях. Разрабатывалась зимняя рецептура изготовления бетонной массы; составлялась подробная инструкция по каменной кладке на морозе. Так, в соцгороде бутовая и кирпичная кладка шла на морозе в 25 градусов. Готовые работы защищались матами и щитами. В промрайоне часть зданий (понизительная подстанция, мастерские </w:t>
      </w:r>
      <w:proofErr w:type="spellStart"/>
      <w:r w:rsidRPr="007122AB">
        <w:rPr>
          <w:rFonts w:ascii="Times New Roman" w:hAnsi="Times New Roman"/>
          <w:color w:val="000000" w:themeColor="text1"/>
          <w:sz w:val="16"/>
          <w:szCs w:val="16"/>
        </w:rPr>
        <w:t>профтехкомбината</w:t>
      </w:r>
      <w:proofErr w:type="spellEnd"/>
      <w:r w:rsidRPr="007122AB">
        <w:rPr>
          <w:rFonts w:ascii="Times New Roman" w:hAnsi="Times New Roman"/>
          <w:color w:val="000000" w:themeColor="text1"/>
          <w:sz w:val="16"/>
          <w:szCs w:val="16"/>
        </w:rPr>
        <w:t xml:space="preserve">, частично литейная) сооружались в тепляках (тепляк – деревянный каркас, обшитый тесом и толем). Центральный бетонный завод был весь утеплен, в нем могли работать гравиемойки по промывке гравия. Бетон развозился на автомашинах с опрокидываемыми кузовами, снабженными крышками. На </w:t>
      </w:r>
      <w:proofErr w:type="spellStart"/>
      <w:r w:rsidRPr="007122AB">
        <w:rPr>
          <w:rFonts w:ascii="Times New Roman" w:hAnsi="Times New Roman"/>
          <w:color w:val="000000" w:themeColor="text1"/>
          <w:sz w:val="16"/>
          <w:szCs w:val="16"/>
        </w:rPr>
        <w:t>Автострое</w:t>
      </w:r>
      <w:proofErr w:type="spellEnd"/>
      <w:r w:rsidRPr="007122AB">
        <w:rPr>
          <w:rFonts w:ascii="Times New Roman" w:hAnsi="Times New Roman"/>
          <w:color w:val="000000" w:themeColor="text1"/>
          <w:sz w:val="16"/>
          <w:szCs w:val="16"/>
        </w:rPr>
        <w:t xml:space="preserve"> была создана единственная в то время в Нижнем Новгороде и крае полевая лаборатория. Основное оборудование для автозавода было получено из Москвы и Киева. За время строительства автозавода было испытано до 420 тыс. бочек цемента, более 50 тыс. куб. м. гравия, выше 30 тыс. куб. м песка и до 50 тыс. куб. м бетона, что помогло исключить недоброкачественные стройматериалы, а это предотвращало обвалы и разрушения сооружений. Автозаводская лаборатория обслуживала и другие крупные новостройки Нижнего Новгорода. Так впервые на </w:t>
      </w:r>
      <w:proofErr w:type="spellStart"/>
      <w:r w:rsidRPr="007122AB">
        <w:rPr>
          <w:rFonts w:ascii="Times New Roman" w:hAnsi="Times New Roman"/>
          <w:color w:val="000000" w:themeColor="text1"/>
          <w:sz w:val="16"/>
          <w:szCs w:val="16"/>
        </w:rPr>
        <w:t>Автострое</w:t>
      </w:r>
      <w:proofErr w:type="spellEnd"/>
      <w:r w:rsidRPr="007122AB">
        <w:rPr>
          <w:rFonts w:ascii="Times New Roman" w:hAnsi="Times New Roman"/>
          <w:color w:val="000000" w:themeColor="text1"/>
          <w:sz w:val="16"/>
          <w:szCs w:val="16"/>
        </w:rPr>
        <w:t xml:space="preserve"> советская практика опрокинула старое понятие о сезонности. Несмотря на зимнюю стужу, морозы и снежные бураны, коллектив строителей автозавода не прекращал работ не только на сооружении мелких, но и крупных объектов. Напряженно трудились </w:t>
      </w:r>
      <w:proofErr w:type="spellStart"/>
      <w:r w:rsidRPr="007122AB">
        <w:rPr>
          <w:rFonts w:ascii="Times New Roman" w:hAnsi="Times New Roman"/>
          <w:color w:val="000000" w:themeColor="text1"/>
          <w:sz w:val="16"/>
          <w:szCs w:val="16"/>
        </w:rPr>
        <w:t>автостроевцы</w:t>
      </w:r>
      <w:proofErr w:type="spellEnd"/>
      <w:r w:rsidRPr="007122AB">
        <w:rPr>
          <w:rFonts w:ascii="Times New Roman" w:hAnsi="Times New Roman"/>
          <w:color w:val="000000" w:themeColor="text1"/>
          <w:sz w:val="16"/>
          <w:szCs w:val="16"/>
        </w:rPr>
        <w:t xml:space="preserve"> на сооружении водозабора на Оке. Вода автозаводу и соцгороду должна была поступать по трубам к насосным станциям первого и второго подъемов и затем распределяться по трем системам труб: промышленного, бытового и пожарного водопроводов. Работу по укладке труб до станции второго подъема необходимо было провести со льда, до весеннего паводка. На создании водозабора было занято 2 тыс. строителей. По просьбе крайкома ВКП(б) и крайисполкома из местного гарнизона на сооружение водозабора прибыли саперы. Сюда перебросили подъемные краны, экскаваторы, транспортеры, установили прожектор. Работали днем и ночью. Плакаты призывали: «Водозабор в опасности!», «Выведем водозабор из опасного положения!». Строители прорубили лед до середины Оки и забили по бокам толстые шпунтовые сваи, создав коридор, из которого насосами выкачали воду. Образовалась сухая глубокая траншея, в которой монтировали и бетонировали трубы. Комсомольцы Леонид Бронников, Григорий Переходников, братья Яков, Михаил, Иван и Дмитрий Волковы, Иван, Павел и Василий Василины, техники Г. Мочалов, В. </w:t>
      </w:r>
      <w:proofErr w:type="spellStart"/>
      <w:r w:rsidRPr="007122AB">
        <w:rPr>
          <w:rFonts w:ascii="Times New Roman" w:hAnsi="Times New Roman"/>
          <w:color w:val="000000" w:themeColor="text1"/>
          <w:sz w:val="16"/>
          <w:szCs w:val="16"/>
        </w:rPr>
        <w:t>Мурзоев</w:t>
      </w:r>
      <w:proofErr w:type="spellEnd"/>
      <w:r w:rsidRPr="007122AB">
        <w:rPr>
          <w:rFonts w:ascii="Times New Roman" w:hAnsi="Times New Roman"/>
          <w:color w:val="000000" w:themeColor="text1"/>
          <w:sz w:val="16"/>
          <w:szCs w:val="16"/>
        </w:rPr>
        <w:t xml:space="preserve"> и сотни других успешно и в срок построили водозабор. Это была новая крупная победа в борьбе за автозавод (15218).</w:t>
      </w:r>
    </w:p>
    <w:p w14:paraId="63514960" w14:textId="77777777" w:rsidR="003B4AB7" w:rsidRPr="007122AB" w:rsidRDefault="003B4AB7" w:rsidP="007122AB">
      <w:pPr>
        <w:widowControl w:val="0"/>
        <w:spacing w:after="0" w:line="240" w:lineRule="auto"/>
        <w:jc w:val="both"/>
        <w:rPr>
          <w:rFonts w:ascii="Times New Roman" w:hAnsi="Times New Roman"/>
          <w:color w:val="000000" w:themeColor="text1"/>
          <w:sz w:val="16"/>
          <w:szCs w:val="16"/>
        </w:rPr>
      </w:pPr>
    </w:p>
    <w:p w14:paraId="4078D14D" w14:textId="77777777" w:rsidR="000030AF" w:rsidRPr="007122AB" w:rsidRDefault="000030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февраля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Совет Труда и Обороны по докладу председателя Президиума ВСНХ СССР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 xml:space="preserve"> принял специальное постановление, в котором подтверждалось огромное значение строящегося в Нижнем Новгороде автозавода, который явится практической школой в деле освоения передовой техники и подготовки кадров для дальнейшего развития автопромышленности. В намеченной программе предусматривалось к ноябрю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завершить промышленное строительство автогиганта. В апреле заказ-наряд был определен в сумме 71 324 тыс. руб. (против   30 млн. руб. в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1930 г</w:t>
        </w:r>
      </w:smartTag>
      <w:r w:rsidRPr="007122AB">
        <w:rPr>
          <w:rFonts w:ascii="Times New Roman" w:hAnsi="Times New Roman"/>
          <w:color w:val="000000" w:themeColor="text1"/>
          <w:sz w:val="16"/>
          <w:szCs w:val="16"/>
        </w:rPr>
        <w:t>.) (15218).</w:t>
      </w:r>
    </w:p>
    <w:p w14:paraId="76024040" w14:textId="77777777" w:rsidR="000030AF" w:rsidRPr="007122AB" w:rsidRDefault="000030AF" w:rsidP="007122AB">
      <w:pPr>
        <w:spacing w:after="0" w:line="240" w:lineRule="auto"/>
        <w:jc w:val="both"/>
        <w:rPr>
          <w:rFonts w:ascii="Times New Roman" w:hAnsi="Times New Roman"/>
          <w:color w:val="000000" w:themeColor="text1"/>
          <w:sz w:val="16"/>
          <w:szCs w:val="16"/>
        </w:rPr>
      </w:pPr>
    </w:p>
    <w:p w14:paraId="4F67C9D1" w14:textId="77777777" w:rsidR="005E7475" w:rsidRPr="007122AB" w:rsidRDefault="005E7475" w:rsidP="007122AB">
      <w:pPr>
        <w:pStyle w:val="a3"/>
        <w:rPr>
          <w:color w:val="000000" w:themeColor="text1"/>
          <w:lang w:val="ru-RU"/>
        </w:rPr>
      </w:pPr>
      <w:r w:rsidRPr="007122AB">
        <w:rPr>
          <w:color w:val="000000" w:themeColor="text1"/>
          <w:lang w:val="ru-RU"/>
        </w:rPr>
        <w:t>21 февраля 1931 г. подготовка</w:t>
      </w:r>
      <w:r w:rsidRPr="007122AB">
        <w:rPr>
          <w:rStyle w:val="2d"/>
          <w:rFonts w:ascii="Times New Roman" w:hAnsi="Times New Roman" w:cs="Times New Roman"/>
          <w:i w:val="0"/>
          <w:color w:val="000000" w:themeColor="text1"/>
          <w:sz w:val="16"/>
          <w:szCs w:val="16"/>
          <w:lang w:val="ru-RU"/>
        </w:rPr>
        <w:t xml:space="preserve"> «процесса ассимиляции»</w:t>
      </w:r>
      <w:r w:rsidRPr="007122AB">
        <w:rPr>
          <w:color w:val="000000" w:themeColor="text1"/>
          <w:lang w:val="ru-RU"/>
        </w:rPr>
        <w:t xml:space="preserve"> на за</w:t>
      </w:r>
      <w:r w:rsidRPr="007122AB">
        <w:rPr>
          <w:color w:val="000000" w:themeColor="text1"/>
          <w:lang w:val="ru-RU"/>
        </w:rPr>
        <w:softHyphen/>
        <w:t>воде оборонного и народнохозяйственных про</w:t>
      </w:r>
      <w:r w:rsidRPr="007122AB">
        <w:rPr>
          <w:color w:val="000000" w:themeColor="text1"/>
          <w:lang w:val="ru-RU"/>
        </w:rPr>
        <w:softHyphen/>
        <w:t>изводств была возложена на СТЗ предписанием ВАТО №386/сс. Для этого на заводе не позднее 25 февраля следовало организовать работу бюро, руководителем которого еще 1 февраля 1931 г. назначи</w:t>
      </w:r>
      <w:r w:rsidRPr="007122AB">
        <w:rPr>
          <w:color w:val="000000" w:themeColor="text1"/>
          <w:lang w:val="ru-RU"/>
        </w:rPr>
        <w:softHyphen/>
        <w:t>ли инженера Седова. В состав бюро завод должен был вы</w:t>
      </w:r>
      <w:r w:rsidRPr="007122AB">
        <w:rPr>
          <w:color w:val="000000" w:themeColor="text1"/>
          <w:lang w:val="ru-RU"/>
        </w:rPr>
        <w:softHyphen/>
        <w:t>делить опытных специалистов. Кроме того, ВАТО к 25 февраля обязывался направить на СТЗ 14 молодых инженеров из Запо</w:t>
      </w:r>
      <w:r w:rsidRPr="007122AB">
        <w:rPr>
          <w:color w:val="000000" w:themeColor="text1"/>
          <w:lang w:val="ru-RU"/>
        </w:rPr>
        <w:softHyphen/>
        <w:t>рожья, в марте — 23 выпускни</w:t>
      </w:r>
      <w:r w:rsidRPr="007122AB">
        <w:rPr>
          <w:color w:val="000000" w:themeColor="text1"/>
          <w:lang w:val="ru-RU"/>
        </w:rPr>
        <w:softHyphen/>
        <w:t>ков АТИ и до 45 человек, окон</w:t>
      </w:r>
      <w:r w:rsidRPr="007122AB">
        <w:rPr>
          <w:color w:val="000000" w:themeColor="text1"/>
          <w:lang w:val="ru-RU"/>
        </w:rPr>
        <w:softHyphen/>
        <w:t xml:space="preserve">чивших техникум СТЗ. Своим распоряжением от 17 февраля 31 г. ВСНХ обязал </w:t>
      </w:r>
      <w:proofErr w:type="spellStart"/>
      <w:r w:rsidRPr="007122AB">
        <w:rPr>
          <w:color w:val="000000" w:themeColor="text1"/>
          <w:lang w:val="ru-RU"/>
        </w:rPr>
        <w:t>Гипроспецмет</w:t>
      </w:r>
      <w:proofErr w:type="spellEnd"/>
      <w:r w:rsidRPr="007122AB">
        <w:rPr>
          <w:color w:val="000000" w:themeColor="text1"/>
          <w:lang w:val="ru-RU"/>
        </w:rPr>
        <w:t xml:space="preserve"> выделить для завода группу тех</w:t>
      </w:r>
      <w:r w:rsidRPr="007122AB">
        <w:rPr>
          <w:color w:val="000000" w:themeColor="text1"/>
          <w:lang w:val="ru-RU"/>
        </w:rPr>
        <w:softHyphen/>
        <w:t>нических работников.</w:t>
      </w:r>
    </w:p>
    <w:p w14:paraId="5BB6266C" w14:textId="77777777" w:rsidR="005E7475" w:rsidRPr="007122AB" w:rsidRDefault="005E7475" w:rsidP="007122AB">
      <w:pPr>
        <w:pStyle w:val="a3"/>
        <w:rPr>
          <w:color w:val="000000" w:themeColor="text1"/>
          <w:lang w:val="ru-RU"/>
        </w:rPr>
      </w:pPr>
      <w:r w:rsidRPr="007122AB">
        <w:rPr>
          <w:color w:val="000000" w:themeColor="text1"/>
          <w:lang w:val="ru-RU"/>
        </w:rPr>
        <w:t xml:space="preserve">Но ни заводоуправление, ни </w:t>
      </w:r>
      <w:proofErr w:type="spellStart"/>
      <w:r w:rsidRPr="007122AB">
        <w:rPr>
          <w:color w:val="000000" w:themeColor="text1"/>
          <w:lang w:val="ru-RU"/>
        </w:rPr>
        <w:t>Гипроспецмет</w:t>
      </w:r>
      <w:proofErr w:type="spellEnd"/>
      <w:r w:rsidRPr="007122AB">
        <w:rPr>
          <w:color w:val="000000" w:themeColor="text1"/>
          <w:lang w:val="ru-RU"/>
        </w:rPr>
        <w:t xml:space="preserve"> не выделили для проектного бюро ни одного ква</w:t>
      </w:r>
      <w:r w:rsidRPr="007122AB">
        <w:rPr>
          <w:color w:val="000000" w:themeColor="text1"/>
          <w:lang w:val="ru-RU"/>
        </w:rPr>
        <w:softHyphen/>
        <w:t>лифицированного специалиста, и состав бюро формировался Седовым на месте из моло</w:t>
      </w:r>
      <w:r w:rsidRPr="007122AB">
        <w:rPr>
          <w:color w:val="000000" w:themeColor="text1"/>
          <w:lang w:val="ru-RU"/>
        </w:rPr>
        <w:softHyphen/>
        <w:t>дых инженеров, направляемых в отдел кадров завода ВАТО. В результате такого комплекто</w:t>
      </w:r>
      <w:r w:rsidRPr="007122AB">
        <w:rPr>
          <w:color w:val="000000" w:themeColor="text1"/>
          <w:lang w:val="ru-RU"/>
        </w:rPr>
        <w:softHyphen/>
        <w:t>вания специальное проектное бюро, названное «Техническим бюро», насчитывало к 1 марта 5 чел., к 1 апреля — 14 чел., а к 1 октября — 23 чел. Все работ</w:t>
      </w:r>
      <w:r w:rsidRPr="007122AB">
        <w:rPr>
          <w:color w:val="000000" w:themeColor="text1"/>
          <w:lang w:val="ru-RU"/>
        </w:rPr>
        <w:softHyphen/>
        <w:t>ники бюро были молодые инже</w:t>
      </w:r>
      <w:r w:rsidRPr="007122AB">
        <w:rPr>
          <w:color w:val="000000" w:themeColor="text1"/>
          <w:lang w:val="ru-RU"/>
        </w:rPr>
        <w:softHyphen/>
        <w:t>неры без опыта работы, только что окончившие ВУЗы (12622).</w:t>
      </w:r>
    </w:p>
    <w:p w14:paraId="75ECF2B8" w14:textId="77777777" w:rsidR="005E7475" w:rsidRPr="007122AB" w:rsidRDefault="005E7475" w:rsidP="007122AB">
      <w:pPr>
        <w:pStyle w:val="152"/>
        <w:shd w:val="clear" w:color="auto" w:fill="auto"/>
        <w:spacing w:line="240" w:lineRule="auto"/>
        <w:rPr>
          <w:rFonts w:ascii="Times New Roman" w:hAnsi="Times New Roman" w:cs="Times New Roman"/>
          <w:color w:val="000000" w:themeColor="text1"/>
          <w:sz w:val="16"/>
          <w:szCs w:val="16"/>
        </w:rPr>
      </w:pPr>
    </w:p>
    <w:p w14:paraId="1E2875DB" w14:textId="77777777" w:rsidR="005E7475" w:rsidRPr="007122AB" w:rsidRDefault="005E7475" w:rsidP="007122AB">
      <w:pPr>
        <w:pStyle w:val="ae"/>
        <w:spacing w:before="0" w:after="0"/>
        <w:jc w:val="both"/>
        <w:rPr>
          <w:color w:val="000000" w:themeColor="text1"/>
          <w:sz w:val="16"/>
          <w:szCs w:val="16"/>
        </w:rPr>
      </w:pPr>
      <w:r w:rsidRPr="007122AB">
        <w:rPr>
          <w:color w:val="000000" w:themeColor="text1"/>
          <w:sz w:val="16"/>
          <w:szCs w:val="16"/>
        </w:rPr>
        <w:t xml:space="preserve">21 февраля 1931 директором Ковровского завода стал Семен Васильевич Савельев. Заместителем директора и помощником по технической части стал И.А. </w:t>
      </w:r>
      <w:proofErr w:type="spellStart"/>
      <w:r w:rsidRPr="007122AB">
        <w:rPr>
          <w:color w:val="000000" w:themeColor="text1"/>
          <w:sz w:val="16"/>
          <w:szCs w:val="16"/>
        </w:rPr>
        <w:t>Мирзаханов</w:t>
      </w:r>
      <w:proofErr w:type="spellEnd"/>
      <w:r w:rsidRPr="007122AB">
        <w:rPr>
          <w:color w:val="000000" w:themeColor="text1"/>
          <w:sz w:val="16"/>
          <w:szCs w:val="16"/>
        </w:rPr>
        <w:t xml:space="preserve">, 4 апреля ОРПО ВСНХ переводит И.А. </w:t>
      </w:r>
      <w:proofErr w:type="spellStart"/>
      <w:r w:rsidRPr="007122AB">
        <w:rPr>
          <w:color w:val="000000" w:themeColor="text1"/>
          <w:sz w:val="16"/>
          <w:szCs w:val="16"/>
        </w:rPr>
        <w:t>Мирзаханова</w:t>
      </w:r>
      <w:proofErr w:type="spellEnd"/>
      <w:r w:rsidRPr="007122AB">
        <w:rPr>
          <w:color w:val="000000" w:themeColor="text1"/>
          <w:sz w:val="16"/>
          <w:szCs w:val="16"/>
        </w:rPr>
        <w:t xml:space="preserve"> на должность директора завода № 8 имени Калинина в Подмосковье.</w:t>
      </w:r>
    </w:p>
    <w:p w14:paraId="113E1386" w14:textId="77777777" w:rsidR="005E7475" w:rsidRPr="007122AB" w:rsidRDefault="005E7475" w:rsidP="007122AB">
      <w:pPr>
        <w:pStyle w:val="ae"/>
        <w:spacing w:before="0" w:after="0"/>
        <w:jc w:val="both"/>
        <w:rPr>
          <w:color w:val="000000" w:themeColor="text1"/>
          <w:sz w:val="16"/>
          <w:szCs w:val="16"/>
        </w:rPr>
      </w:pPr>
      <w:r w:rsidRPr="007122AB">
        <w:rPr>
          <w:color w:val="000000" w:themeColor="text1"/>
          <w:sz w:val="16"/>
          <w:szCs w:val="16"/>
        </w:rPr>
        <w:t xml:space="preserve">А.Ж. </w:t>
      </w:r>
      <w:proofErr w:type="spellStart"/>
      <w:r w:rsidRPr="007122AB">
        <w:rPr>
          <w:color w:val="000000" w:themeColor="text1"/>
          <w:sz w:val="16"/>
          <w:szCs w:val="16"/>
        </w:rPr>
        <w:t>Бурухин</w:t>
      </w:r>
      <w:proofErr w:type="spellEnd"/>
      <w:r w:rsidRPr="007122AB">
        <w:rPr>
          <w:color w:val="000000" w:themeColor="text1"/>
          <w:sz w:val="16"/>
          <w:szCs w:val="16"/>
        </w:rPr>
        <w:t>, руководивший заводом в 1919-1922 гг. и 1927-1931 гг., переведен в Москву на должность заместителя управляющего Всесоюзным оружейно-пулеметным трестом, затем в Ленинград - директором завода «Большевик». Умер 25 декабря 1932 года (12221).</w:t>
      </w:r>
    </w:p>
    <w:p w14:paraId="157FC1AA" w14:textId="77777777" w:rsidR="005E7475" w:rsidRPr="007122AB" w:rsidRDefault="005E7475" w:rsidP="007122AB">
      <w:pPr>
        <w:pStyle w:val="ae"/>
        <w:spacing w:before="0" w:after="0"/>
        <w:jc w:val="both"/>
        <w:rPr>
          <w:color w:val="000000" w:themeColor="text1"/>
          <w:sz w:val="16"/>
          <w:szCs w:val="16"/>
        </w:rPr>
      </w:pPr>
    </w:p>
    <w:p w14:paraId="61356342"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21 февраля 1930</w:t>
      </w:r>
      <w:r w:rsidRPr="007122AB">
        <w:rPr>
          <w:rFonts w:ascii="Times New Roman" w:hAnsi="Times New Roman"/>
          <w:color w:val="000000" w:themeColor="text1"/>
          <w:sz w:val="16"/>
          <w:szCs w:val="16"/>
        </w:rPr>
        <w:t>СНК принял постановление «О Всесоюзном комитете по стандартизации». СТО принял постановление «О Нижегородском автозаводе» (12265).</w:t>
      </w:r>
    </w:p>
    <w:p w14:paraId="582DC646" w14:textId="77777777" w:rsidR="005E7475" w:rsidRPr="007122AB" w:rsidRDefault="005E74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F1C4976" w14:textId="77777777" w:rsidR="00F202BC" w:rsidRPr="007122AB" w:rsidRDefault="00F202BC"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B3B327F" w14:textId="77777777" w:rsidR="00F202BC" w:rsidRPr="007122AB" w:rsidRDefault="00F202B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0D0B14"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21 февраля 1931 г.</w:t>
      </w:r>
    </w:p>
    <w:p w14:paraId="246EC90C"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Д. Г. Штерна помощнику заведующего отделом печати НКИД СССР Я. Б. Подольскому о достоинствах пропагандистской брошюры Вейнберга. 21 февраля 1931 г.</w:t>
      </w:r>
    </w:p>
    <w:p w14:paraId="49238F7A"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444050C"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82935E" w14:textId="77777777" w:rsidR="00F202BC" w:rsidRPr="007122AB" w:rsidRDefault="00F202B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5C5C80A5"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33. Д. 8. Л. 164-164 об.</w:t>
      </w:r>
    </w:p>
    <w:p w14:paraId="63C031C0" w14:textId="77777777" w:rsidR="00F202BC" w:rsidRPr="007122AB" w:rsidRDefault="00F202BC" w:rsidP="007122AB">
      <w:pPr>
        <w:pStyle w:val="rteright"/>
        <w:spacing w:before="0" w:after="0"/>
        <w:jc w:val="both"/>
        <w:rPr>
          <w:color w:val="000000" w:themeColor="text1"/>
          <w:sz w:val="16"/>
          <w:szCs w:val="16"/>
        </w:rPr>
      </w:pPr>
      <w:r w:rsidRPr="007122AB">
        <w:rPr>
          <w:color w:val="000000" w:themeColor="text1"/>
          <w:sz w:val="16"/>
          <w:szCs w:val="16"/>
        </w:rPr>
        <w:t>21 февраля 1931 г.</w:t>
      </w:r>
    </w:p>
    <w:p w14:paraId="5F417D99" w14:textId="77777777" w:rsidR="00F202BC" w:rsidRPr="007122AB" w:rsidRDefault="00F202BC"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6E7C312B"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Н.К.И.Д.</w:t>
      </w:r>
    </w:p>
    <w:p w14:paraId="2D772F9D"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Отдел Печати тов. Подольскому</w:t>
      </w:r>
    </w:p>
    <w:p w14:paraId="506A7094"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 xml:space="preserve">Копии: </w:t>
      </w:r>
      <w:proofErr w:type="spellStart"/>
      <w:r w:rsidRPr="007122AB">
        <w:rPr>
          <w:color w:val="000000" w:themeColor="text1"/>
          <w:sz w:val="16"/>
          <w:szCs w:val="16"/>
        </w:rPr>
        <w:t>т.т</w:t>
      </w:r>
      <w:proofErr w:type="spellEnd"/>
      <w:r w:rsidRPr="007122AB">
        <w:rPr>
          <w:color w:val="000000" w:themeColor="text1"/>
          <w:sz w:val="16"/>
          <w:szCs w:val="16"/>
        </w:rPr>
        <w:t>. Крестинскому, Аренсу, Штейну</w:t>
      </w:r>
    </w:p>
    <w:p w14:paraId="1E6DAFBD" w14:textId="77777777" w:rsidR="00F202BC" w:rsidRPr="007122AB" w:rsidRDefault="00F202BC"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70FBB48F"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Спешу в последнюю минуту перед уходом почты ответить Вам на Ваше письмо, в связи с брошюрой Вейнберга:</w:t>
      </w:r>
    </w:p>
    <w:p w14:paraId="034AB60F"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первую очередь считаю необходимым отметить, что я[,] указывая на то, что процессу в брошюре уделено около 20 % места, отнюдь не видел в этом недостатка брошюры.</w:t>
      </w:r>
    </w:p>
    <w:p w14:paraId="64370456"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подлежит сомнению, что брошюра, посвященная в основном процессу[,] не найдет в настоящих условиях издателя. Кроме того, я убежден, что с точки зрения наших политических интересов гораздо выгоднее издать брошюру[,] захватывающую более широкую сферу вопросов, в которой тем не менее процессу уделено видно[е] место, нежели отпугивать читателя брошюрой, носящей специфический характер. Брошюра, типа </w:t>
      </w:r>
      <w:proofErr w:type="spellStart"/>
      <w:r w:rsidRPr="007122AB">
        <w:rPr>
          <w:rFonts w:ascii="Times New Roman" w:hAnsi="Times New Roman"/>
          <w:color w:val="000000" w:themeColor="text1"/>
          <w:sz w:val="16"/>
          <w:szCs w:val="16"/>
        </w:rPr>
        <w:t>Вейнберговской</w:t>
      </w:r>
      <w:proofErr w:type="spellEnd"/>
      <w:r w:rsidRPr="007122AB">
        <w:rPr>
          <w:rFonts w:ascii="Times New Roman" w:hAnsi="Times New Roman"/>
          <w:color w:val="000000" w:themeColor="text1"/>
          <w:sz w:val="16"/>
          <w:szCs w:val="16"/>
        </w:rPr>
        <w:t xml:space="preserve">, имеет все основания в глазах </w:t>
      </w:r>
      <w:r w:rsidRPr="007122AB">
        <w:rPr>
          <w:rFonts w:ascii="Times New Roman" w:hAnsi="Times New Roman"/>
          <w:color w:val="000000" w:themeColor="text1"/>
          <w:sz w:val="16"/>
          <w:szCs w:val="16"/>
        </w:rPr>
        <w:lastRenderedPageBreak/>
        <w:t xml:space="preserve">читателя претендовать на объективность, что в данных условиях является основным. Несравненно более выгодно издать брошюру, </w:t>
      </w:r>
      <w:proofErr w:type="spellStart"/>
      <w:r w:rsidRPr="007122AB">
        <w:rPr>
          <w:rFonts w:ascii="Times New Roman" w:hAnsi="Times New Roman"/>
          <w:color w:val="000000" w:themeColor="text1"/>
          <w:sz w:val="16"/>
          <w:szCs w:val="16"/>
        </w:rPr>
        <w:t>найдущую</w:t>
      </w:r>
      <w:proofErr w:type="spellEnd"/>
      <w:r w:rsidRPr="007122AB">
        <w:rPr>
          <w:rFonts w:ascii="Times New Roman" w:hAnsi="Times New Roman"/>
          <w:color w:val="000000" w:themeColor="text1"/>
          <w:sz w:val="16"/>
          <w:szCs w:val="16"/>
        </w:rPr>
        <w:t xml:space="preserve"> широкий крут читателей, нежели посвященную исключительно процессу, которая резонанса не найдет.</w:t>
      </w:r>
    </w:p>
    <w:p w14:paraId="2DAE3B80"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Сверх все[го] сказанного выше, как я уже сообщал, брошюра находится в портфеле трех издательств, т. к. Вашего телеграфного ответа я не получил и поэтому необходимо было использовать пребывание Вейнберга в Берлине, не откладывая переговоров его с издательствами в долгий ящик.</w:t>
      </w:r>
    </w:p>
    <w:p w14:paraId="102D6955"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 касается финансовой стороны дела, то обстановка складывается, по[-]видимому, (не берусь окончательно это утверждать) более благоприятно, чем можно было ожидать и наши расходы выразятся в сумме вряд ли </w:t>
      </w:r>
      <w:proofErr w:type="spellStart"/>
      <w:r w:rsidRPr="007122AB">
        <w:rPr>
          <w:rFonts w:ascii="Times New Roman" w:hAnsi="Times New Roman"/>
          <w:color w:val="000000" w:themeColor="text1"/>
          <w:sz w:val="16"/>
          <w:szCs w:val="16"/>
        </w:rPr>
        <w:t>превышедшей</w:t>
      </w:r>
      <w:proofErr w:type="spellEnd"/>
      <w:r w:rsidRPr="007122AB">
        <w:rPr>
          <w:rFonts w:ascii="Times New Roman" w:hAnsi="Times New Roman"/>
          <w:color w:val="000000" w:themeColor="text1"/>
          <w:sz w:val="16"/>
          <w:szCs w:val="16"/>
        </w:rPr>
        <w:t xml:space="preserve"> 500-600 марок, не считая выданных ему на приезд в Берлин и пребывание здесь 200 марок, что, вероятно, не представит при осуществлении для вас особых трудностей, т. к., судя по словам В[</w:t>
      </w:r>
      <w:proofErr w:type="spellStart"/>
      <w:r w:rsidRPr="007122AB">
        <w:rPr>
          <w:rFonts w:ascii="Times New Roman" w:hAnsi="Times New Roman"/>
          <w:color w:val="000000" w:themeColor="text1"/>
          <w:sz w:val="16"/>
          <w:szCs w:val="16"/>
        </w:rPr>
        <w:t>ейнберга</w:t>
      </w:r>
      <w:proofErr w:type="spellEnd"/>
      <w:r w:rsidRPr="007122AB">
        <w:rPr>
          <w:rFonts w:ascii="Times New Roman" w:hAnsi="Times New Roman"/>
          <w:color w:val="000000" w:themeColor="text1"/>
          <w:sz w:val="16"/>
          <w:szCs w:val="16"/>
        </w:rPr>
        <w:t>], ему в Москве делались очень широкие обещания.</w:t>
      </w:r>
    </w:p>
    <w:p w14:paraId="392E8E76"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с этим считаю необходимым отметить, что серия фельетонов-статей в «</w:t>
      </w:r>
      <w:proofErr w:type="spellStart"/>
      <w:r w:rsidRPr="007122AB">
        <w:rPr>
          <w:rFonts w:ascii="Times New Roman" w:hAnsi="Times New Roman"/>
          <w:color w:val="000000" w:themeColor="text1"/>
          <w:sz w:val="16"/>
          <w:szCs w:val="16"/>
        </w:rPr>
        <w:t>Дорт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мундер</w:t>
      </w:r>
      <w:proofErr w:type="spellEnd"/>
      <w:r w:rsidRPr="007122AB">
        <w:rPr>
          <w:rFonts w:ascii="Times New Roman" w:hAnsi="Times New Roman"/>
          <w:color w:val="000000" w:themeColor="text1"/>
          <w:sz w:val="16"/>
          <w:szCs w:val="16"/>
        </w:rPr>
        <w:t>] Ген[</w:t>
      </w:r>
      <w:proofErr w:type="spellStart"/>
      <w:r w:rsidRPr="007122AB">
        <w:rPr>
          <w:rFonts w:ascii="Times New Roman" w:hAnsi="Times New Roman"/>
          <w:color w:val="000000" w:themeColor="text1"/>
          <w:sz w:val="16"/>
          <w:szCs w:val="16"/>
        </w:rPr>
        <w:t>ераль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Анц</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ейгер</w:t>
      </w:r>
      <w:proofErr w:type="spellEnd"/>
      <w:r w:rsidRPr="007122AB">
        <w:rPr>
          <w:rFonts w:ascii="Times New Roman" w:hAnsi="Times New Roman"/>
          <w:color w:val="000000" w:themeColor="text1"/>
          <w:sz w:val="16"/>
          <w:szCs w:val="16"/>
        </w:rPr>
        <w:t>]», посвященная в значительной степени культурным вопросам в настоящих условиях представляет несомненную ценность.</w:t>
      </w:r>
    </w:p>
    <w:p w14:paraId="4A1C21A1"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Сказанное мною выше является не только моим личным мнением, но разделяется и другими товарищами Полпредства.</w:t>
      </w:r>
    </w:p>
    <w:p w14:paraId="3442F262" w14:textId="77777777" w:rsidR="00F202BC" w:rsidRPr="007122AB" w:rsidRDefault="00F202BC" w:rsidP="007122AB">
      <w:pPr>
        <w:numPr>
          <w:ilvl w:val="0"/>
          <w:numId w:val="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мои соображения не будут признаны убедительными, просьба немедленно сообщить мне об этом для ликвидации этого дела, что, конечно, будет сопровождаться порчей отношений с Вейнбергом.</w:t>
      </w:r>
    </w:p>
    <w:p w14:paraId="07596BBA"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тов. приветом</w:t>
      </w:r>
    </w:p>
    <w:p w14:paraId="0C86750C" w14:textId="77777777" w:rsidR="00F202BC" w:rsidRPr="007122AB" w:rsidRDefault="00F202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Штерн</w:t>
      </w:r>
    </w:p>
    <w:p w14:paraId="1D4502DC" w14:textId="77777777" w:rsidR="00F202BC" w:rsidRPr="007122AB" w:rsidRDefault="00F202BC"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33. Д. 8. Л. 164-164 об. Машинописный подлинник на бланке Полпредства СССР в Германии, подпись Штерна — автограф. Гриф секретности и дата машинописью, исходящий «№ 349» от руки в графе бланка. Вверху Л. 164 написаны от руки входящий номер и дата получения документа «26.11.31 г.» (18901).</w:t>
      </w:r>
    </w:p>
    <w:p w14:paraId="7B8B7FEB" w14:textId="77777777" w:rsidR="00F202BC" w:rsidRPr="007122AB" w:rsidRDefault="00F202BC" w:rsidP="007122AB">
      <w:pPr>
        <w:spacing w:after="0" w:line="240" w:lineRule="auto"/>
        <w:jc w:val="both"/>
        <w:rPr>
          <w:rFonts w:ascii="Times New Roman" w:hAnsi="Times New Roman"/>
          <w:color w:val="000000" w:themeColor="text1"/>
          <w:sz w:val="16"/>
          <w:szCs w:val="16"/>
        </w:rPr>
      </w:pPr>
    </w:p>
    <w:p w14:paraId="31B75DF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29BE54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870A3F"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февраля 1931 после того, как самолет компании </w:t>
      </w:r>
      <w:proofErr w:type="spellStart"/>
      <w:r w:rsidRPr="007122AB">
        <w:rPr>
          <w:rFonts w:ascii="Times New Roman" w:hAnsi="Times New Roman"/>
          <w:color w:val="000000" w:themeColor="text1"/>
          <w:sz w:val="16"/>
          <w:szCs w:val="16"/>
        </w:rPr>
        <w:t>Pan</w:t>
      </w:r>
      <w:proofErr w:type="spellEnd"/>
      <w:r w:rsidRPr="007122AB">
        <w:rPr>
          <w:rFonts w:ascii="Times New Roman" w:hAnsi="Times New Roman"/>
          <w:color w:val="000000" w:themeColor="text1"/>
          <w:sz w:val="16"/>
          <w:szCs w:val="16"/>
        </w:rPr>
        <w:t xml:space="preserve"> American-</w:t>
      </w:r>
      <w:proofErr w:type="spellStart"/>
      <w:r w:rsidRPr="007122AB">
        <w:rPr>
          <w:rFonts w:ascii="Times New Roman" w:hAnsi="Times New Roman"/>
          <w:color w:val="000000" w:themeColor="text1"/>
          <w:sz w:val="16"/>
          <w:szCs w:val="16"/>
        </w:rPr>
        <w:t>Grace</w:t>
      </w:r>
      <w:proofErr w:type="spellEnd"/>
      <w:r w:rsidRPr="007122AB">
        <w:rPr>
          <w:rFonts w:ascii="Times New Roman" w:hAnsi="Times New Roman"/>
          <w:color w:val="000000" w:themeColor="text1"/>
          <w:sz w:val="16"/>
          <w:szCs w:val="16"/>
        </w:rPr>
        <w:t xml:space="preserve"> Airways (</w:t>
      </w:r>
      <w:proofErr w:type="spellStart"/>
      <w:r w:rsidRPr="007122AB">
        <w:rPr>
          <w:rFonts w:ascii="Times New Roman" w:hAnsi="Times New Roman"/>
          <w:color w:val="000000" w:themeColor="text1"/>
          <w:sz w:val="16"/>
          <w:szCs w:val="16"/>
        </w:rPr>
        <w:t>Panagra</w:t>
      </w:r>
      <w:proofErr w:type="spellEnd"/>
      <w:r w:rsidRPr="007122AB">
        <w:rPr>
          <w:rFonts w:ascii="Times New Roman" w:hAnsi="Times New Roman"/>
          <w:color w:val="000000" w:themeColor="text1"/>
          <w:sz w:val="16"/>
          <w:szCs w:val="16"/>
        </w:rPr>
        <w:t xml:space="preserve">) Ford </w:t>
      </w:r>
      <w:proofErr w:type="spellStart"/>
      <w:r w:rsidRPr="007122AB">
        <w:rPr>
          <w:rFonts w:ascii="Times New Roman" w:hAnsi="Times New Roman"/>
          <w:color w:val="000000" w:themeColor="text1"/>
          <w:sz w:val="16"/>
          <w:szCs w:val="16"/>
        </w:rPr>
        <w:t>Trimotor</w:t>
      </w:r>
      <w:proofErr w:type="spellEnd"/>
      <w:r w:rsidRPr="007122AB">
        <w:rPr>
          <w:rFonts w:ascii="Times New Roman" w:hAnsi="Times New Roman"/>
          <w:color w:val="000000" w:themeColor="text1"/>
          <w:sz w:val="16"/>
          <w:szCs w:val="16"/>
        </w:rPr>
        <w:t xml:space="preserve"> приземлился в аэропорту Родригес </w:t>
      </w:r>
      <w:proofErr w:type="spellStart"/>
      <w:r w:rsidRPr="007122AB">
        <w:rPr>
          <w:rFonts w:ascii="Times New Roman" w:hAnsi="Times New Roman"/>
          <w:color w:val="000000" w:themeColor="text1"/>
          <w:sz w:val="16"/>
          <w:szCs w:val="16"/>
        </w:rPr>
        <w:t>Бальон</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Арекипе</w:t>
      </w:r>
      <w:proofErr w:type="spellEnd"/>
      <w:r w:rsidRPr="007122AB">
        <w:rPr>
          <w:rFonts w:ascii="Times New Roman" w:hAnsi="Times New Roman"/>
          <w:color w:val="000000" w:themeColor="text1"/>
          <w:sz w:val="16"/>
          <w:szCs w:val="16"/>
        </w:rPr>
        <w:t>, Перу, его окружают вооруженные солдаты-революционеры. Они требуют, чтобы он доставил их в другое место, но пилот «</w:t>
      </w:r>
      <w:proofErr w:type="spellStart"/>
      <w:r w:rsidRPr="007122AB">
        <w:rPr>
          <w:rFonts w:ascii="Times New Roman" w:hAnsi="Times New Roman"/>
          <w:color w:val="000000" w:themeColor="text1"/>
          <w:sz w:val="16"/>
          <w:szCs w:val="16"/>
        </w:rPr>
        <w:t>Тримотора</w:t>
      </w:r>
      <w:proofErr w:type="spellEnd"/>
      <w:r w:rsidRPr="007122AB">
        <w:rPr>
          <w:rFonts w:ascii="Times New Roman" w:hAnsi="Times New Roman"/>
          <w:color w:val="000000" w:themeColor="text1"/>
          <w:sz w:val="16"/>
          <w:szCs w:val="16"/>
        </w:rPr>
        <w:t>» отказывается. Противостояние продолжается 10 дней, пока 2 марта солдаты внезапно не объявляют, что их сторона выиграла революцию, и отпускают пилота в обмен на то, что он подвезет одного из них до Лимы (20804).</w:t>
      </w:r>
    </w:p>
    <w:p w14:paraId="55A0D8B8" w14:textId="77777777" w:rsidR="000B1FE7" w:rsidRPr="007122AB" w:rsidRDefault="000B1FE7" w:rsidP="007122AB">
      <w:pPr>
        <w:spacing w:after="0" w:line="240" w:lineRule="auto"/>
        <w:jc w:val="both"/>
        <w:rPr>
          <w:rFonts w:ascii="Times New Roman" w:hAnsi="Times New Roman"/>
          <w:color w:val="000000" w:themeColor="text1"/>
          <w:sz w:val="16"/>
          <w:szCs w:val="16"/>
        </w:rPr>
      </w:pPr>
    </w:p>
    <w:p w14:paraId="11B6C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февраля 1931 года на учебном плацу недалеко от города Дессау состоялось первое испытание ракеты </w:t>
      </w:r>
      <w:proofErr w:type="spellStart"/>
      <w:r w:rsidRPr="007122AB">
        <w:rPr>
          <w:rFonts w:ascii="Times New Roman" w:hAnsi="Times New Roman"/>
          <w:color w:val="000000" w:themeColor="text1"/>
          <w:sz w:val="16"/>
          <w:szCs w:val="16"/>
        </w:rPr>
        <w:t>Винкулера</w:t>
      </w:r>
      <w:proofErr w:type="spellEnd"/>
      <w:r w:rsidRPr="007122AB">
        <w:rPr>
          <w:rFonts w:ascii="Times New Roman" w:hAnsi="Times New Roman"/>
          <w:color w:val="000000" w:themeColor="text1"/>
          <w:sz w:val="16"/>
          <w:szCs w:val="16"/>
        </w:rPr>
        <w:t>, но вследствие технической неисправности ракета взлетела всего лишь на три метра от земли. Винклер, который уже не являлся председателем «Общества межпланетных сообщений», но оставался его действительным членом, при финансовой поддержке фабриканта Хюккеля, построил ракету «HWR-1» («ХВР-1», сокращение от «</w:t>
      </w:r>
      <w:proofErr w:type="spellStart"/>
      <w:r w:rsidRPr="007122AB">
        <w:rPr>
          <w:rFonts w:ascii="Times New Roman" w:hAnsi="Times New Roman"/>
          <w:color w:val="000000" w:themeColor="text1"/>
          <w:sz w:val="16"/>
          <w:szCs w:val="16"/>
        </w:rPr>
        <w:t>Huckel-Winkler-Rakete</w:t>
      </w:r>
      <w:proofErr w:type="spellEnd"/>
      <w:r w:rsidRPr="007122AB">
        <w:rPr>
          <w:rFonts w:ascii="Times New Roman" w:hAnsi="Times New Roman"/>
          <w:color w:val="000000" w:themeColor="text1"/>
          <w:sz w:val="16"/>
          <w:szCs w:val="16"/>
        </w:rPr>
        <w:t>») с жидкостным двигателем. Ракета Винклера имела в длину 60 см и весила примерно 5 кг, из которых на долю топливных компонентов приходилось 1,7 кг. Она была похожа на призму, состоявшую из трех трубчатых баков, частично закрытых алюминиевой обшивкой, которая придавала ракете вид коробчатого воздушного змея. В одном баке находился сжиженный метан, в другом – жидкий кислород, а в третьем – «инертный газ под давлением» (так Винклер называл сжатый азот). Двигатель представлял собой кусок цельнотянутой стальной трубы без швов длиной 457 мм, расположенной по оси ракеты (11688).</w:t>
      </w:r>
    </w:p>
    <w:p w14:paraId="2D17F1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9C4151" w14:textId="77777777" w:rsidR="000030AF" w:rsidRPr="007122AB" w:rsidRDefault="000030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21 февраля</w:t>
      </w:r>
      <w:r w:rsidRPr="007122AB">
        <w:rPr>
          <w:rFonts w:ascii="Times New Roman" w:hAnsi="Times New Roman"/>
          <w:color w:val="000000" w:themeColor="text1"/>
          <w:sz w:val="16"/>
          <w:szCs w:val="16"/>
        </w:rPr>
        <w:t xml:space="preserve"> в 1931 году около города Дессау (Германия) был проведен первый испытательный пуск, первой жидкостной ракеты в Европе, "HWR-1" (HWR - Хюккель-Винклер-ракета). Иоганн Винклер, который уже не являлся председателем «Немецкого ракетного общества», но оставался его действительным членом, при финансовой поддержке фабриканта Хюккеля построил и запустил ракету «HWR-1» с жидкостным двигателем, застолбив таким образом свой приоритет на этом поприще. Ракета Винклера имела в длину 60 сантиметров и весила примерно 5 килограммов, из которых на долю топливных компонентов приходилось 1,7 килограмма. Она была похожа на призму, состоявшую из трех трубчатых баков, частично закрытых алюминиевой обшивкой, которая придавала ракете вид коробчатого воздушного змея. В одном баке находился сжиженный метан, в другом — жидкий кислород, а в третьем — «инертный газ под давлением» (так Винклер называл сжатый азот). Двигатель представлял собой кусок цельнотянутой стальной трубы без швов длиной 457 миллиметров, расположенной по оси ракеты. Первое испытание было проведено 21 февраля 1931 года на учебном плацу недалеко от города Дессау, но вследствие технической неисправности ракета взлетела всего лишь на 3 метра от земли. При вторичном испытании, 14 марта 1931 года, ракета Винклера отклонилась от вертикальной траектории и потому не достигла расчетной высоты, которая должна была составить 500 метров, но в остальном эксперимент прошел успешно (15047).</w:t>
      </w:r>
    </w:p>
    <w:p w14:paraId="278285E3" w14:textId="77777777" w:rsidR="000030AF" w:rsidRPr="007122AB" w:rsidRDefault="000030AF" w:rsidP="007122AB">
      <w:pPr>
        <w:spacing w:after="0" w:line="240" w:lineRule="auto"/>
        <w:jc w:val="both"/>
        <w:rPr>
          <w:rFonts w:ascii="Times New Roman" w:hAnsi="Times New Roman"/>
          <w:color w:val="000000" w:themeColor="text1"/>
          <w:sz w:val="16"/>
          <w:szCs w:val="16"/>
        </w:rPr>
      </w:pPr>
    </w:p>
    <w:p w14:paraId="7DA33BBF" w14:textId="7F0D1D57" w:rsidR="00BD06CF" w:rsidRPr="00441F34" w:rsidRDefault="00BD06CF" w:rsidP="00BD06C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 февраля</w:t>
      </w:r>
      <w:r>
        <w:rPr>
          <w:rFonts w:ascii="Times New Roman" w:hAnsi="Times New Roman"/>
          <w:color w:val="0070C0"/>
          <w:sz w:val="16"/>
          <w:szCs w:val="16"/>
        </w:rPr>
        <w:t xml:space="preserve"> 1931 г.</w:t>
      </w:r>
      <w:r w:rsidRPr="00441F34">
        <w:rPr>
          <w:rFonts w:ascii="Times New Roman" w:hAnsi="Times New Roman"/>
          <w:color w:val="0070C0"/>
          <w:sz w:val="16"/>
          <w:szCs w:val="16"/>
        </w:rPr>
        <w:t xml:space="preserve"> </w:t>
      </w:r>
      <w:r w:rsidRPr="00BD06CF">
        <w:rPr>
          <w:rFonts w:ascii="Times New Roman" w:hAnsi="Times New Roman"/>
          <w:color w:val="0070C0"/>
          <w:sz w:val="16"/>
          <w:szCs w:val="16"/>
          <w:u w:val="single"/>
        </w:rPr>
        <w:t>в  окрестностях</w:t>
      </w:r>
      <w:r w:rsidRPr="00441F34">
        <w:rPr>
          <w:rFonts w:ascii="Times New Roman" w:hAnsi="Times New Roman"/>
          <w:color w:val="0070C0"/>
          <w:sz w:val="16"/>
          <w:szCs w:val="16"/>
        </w:rPr>
        <w:t xml:space="preserve"> Дессау Винклер вместе с  Хюккелем и  Бауманом попытался запустить ракету HW-1 (</w:t>
      </w:r>
      <w:proofErr w:type="spellStart"/>
      <w:r w:rsidRPr="00441F34">
        <w:rPr>
          <w:rFonts w:ascii="Times New Roman" w:hAnsi="Times New Roman"/>
          <w:color w:val="0070C0"/>
          <w:sz w:val="16"/>
          <w:szCs w:val="16"/>
        </w:rPr>
        <w:t>Hueckel-Winkler</w:t>
      </w:r>
      <w:proofErr w:type="spellEnd"/>
      <w:r w:rsidRPr="00441F34">
        <w:rPr>
          <w:rFonts w:ascii="Times New Roman" w:hAnsi="Times New Roman"/>
          <w:color w:val="0070C0"/>
          <w:sz w:val="16"/>
          <w:szCs w:val="16"/>
        </w:rPr>
        <w:t>) (Хюккель? Это владелец шляпной фабрики, оказывавший финансовую поддержку Винклеру). Внешне ракета напоминала трехгранную призму, составленную из трех баков в виде труб, частично закрытых алюминиевой обшивкой. В  них находились жидкий метан, жидкий кислород и  сжатый азот, под давлением которого горючее и  окислитель подавались в  камеру сгорания двигателя. Она была расположена между баками по оси ракеты. Сопло двигателя имело керамическое покрытие. Стартовый вес ракеты составил около 5 кг, вес топлива около 1,7 кг. Длина — 60 см, длина ЖРД — 45,7 см. Ракета из-за технических неполадок поднялась всего на 3  метра и  упала на землю. Вскоре после неудачного испытания, 7 марта, Винклер взял двухгодичный отпуск и  покинул лабораторию Юнкерса (где он разрабатывал стартовые ускорителей с ТРД для гидросамолета «Юнкерс-33»), чтобы полностью сосредоточиться на создании и испытаниях ракет. 14 марта 1931  г. на том же поле Винклер запустил ту же ракету, которую оснастил стабилизаторами, прикрепленными к  нижним концам труб (модель HW-1a). По его расчётам, она должна была подняться на высоту 500 м. Однако, достигнув 60 м, ракета отклонилась от вертикали и упала в 200 метрах от места старта. Тем не менее, это был первый в Европе успешный запуск ракеты с ЖРД! Его сняли на кинопленку операторы нью-йоркской кинокомпании «Paramount News» (фильм сохранился до наших дней) (23372)</w:t>
      </w:r>
    </w:p>
    <w:p w14:paraId="7A3816C1" w14:textId="77777777" w:rsidR="00BD06CF" w:rsidRPr="00441F34" w:rsidRDefault="00BD06CF" w:rsidP="00BD06CF">
      <w:pPr>
        <w:spacing w:after="0" w:line="240" w:lineRule="auto"/>
        <w:jc w:val="both"/>
        <w:rPr>
          <w:rFonts w:ascii="Times New Roman" w:hAnsi="Times New Roman"/>
          <w:color w:val="0070C0"/>
          <w:sz w:val="16"/>
          <w:szCs w:val="16"/>
        </w:rPr>
      </w:pPr>
    </w:p>
    <w:p w14:paraId="06010EDE" w14:textId="5E1D8CFB" w:rsidR="00225E06" w:rsidRDefault="00225E06"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3E8DA9FC" w14:textId="77777777" w:rsidR="00225E06" w:rsidRDefault="00225E06"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BBF0C46"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февраля 1931 г. в Мобилизационно-плановой секции ВСНХ СССР состоялось заседание, на котором был разработан план мероприятий по реализации вышеуказанного Постановления Политбюро ЦК ВКП(б). Относительно создания танкового дизеля было принято следующее решение, зафиксированное в Протоколе заседания:</w:t>
      </w:r>
    </w:p>
    <w:p w14:paraId="4B46D091"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Проектирование и изготовление опытного образца дизельного мотора в 240 – 300 </w:t>
      </w:r>
      <w:proofErr w:type="spellStart"/>
      <w:r w:rsidRPr="00441F34">
        <w:rPr>
          <w:rFonts w:ascii="Times New Roman" w:hAnsi="Times New Roman"/>
          <w:color w:val="0070C0"/>
          <w:sz w:val="16"/>
          <w:szCs w:val="16"/>
        </w:rPr>
        <w:t>лош</w:t>
      </w:r>
      <w:proofErr w:type="spellEnd"/>
      <w:r w:rsidRPr="00441F34">
        <w:rPr>
          <w:rFonts w:ascii="Times New Roman" w:hAnsi="Times New Roman"/>
          <w:color w:val="0070C0"/>
          <w:sz w:val="16"/>
          <w:szCs w:val="16"/>
        </w:rPr>
        <w:t>. сил поручить Научно-Авто-тракторному Институту ВАТО.</w:t>
      </w:r>
    </w:p>
    <w:p w14:paraId="76BC1D2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Поручить т. ЛУКИНУ [начальник Специального сектора ВАТО] в 2-х недельный срок установить на каких персонально конструкторов возлагается разработка этого вопроса.</w:t>
      </w:r>
    </w:p>
    <w:p w14:paraId="29B7FA4D"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тов. ЛУКИНУ немедленно закупить заграницей образцы дизель-моторов, в частности, у фирмы МАН, ЮНКЕРС и ДАЙМЛЕР – в Германии и Англии – АЕС. Предложить т. ЛУКИНУ немедленно связаться по этому вопросу с т. </w:t>
      </w:r>
      <w:proofErr w:type="spellStart"/>
      <w:r w:rsidRPr="00441F34">
        <w:rPr>
          <w:rFonts w:ascii="Times New Roman" w:hAnsi="Times New Roman"/>
          <w:color w:val="0070C0"/>
          <w:sz w:val="16"/>
          <w:szCs w:val="16"/>
        </w:rPr>
        <w:t>Лугановским</w:t>
      </w:r>
      <w:proofErr w:type="spellEnd"/>
      <w:r w:rsidRPr="00441F34">
        <w:rPr>
          <w:rFonts w:ascii="Times New Roman" w:hAnsi="Times New Roman"/>
          <w:color w:val="0070C0"/>
          <w:sz w:val="16"/>
          <w:szCs w:val="16"/>
        </w:rPr>
        <w:t>.</w:t>
      </w:r>
    </w:p>
    <w:p w14:paraId="120A233C"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Работу по конструкции дизель-мотора вести с таким расчетом, чтобы 1-й опытный образец мог быть предъявлен к испытанию 1 декабря.</w:t>
      </w:r>
    </w:p>
    <w:p w14:paraId="29F65E4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Ответственным за организацию и надлежащие темпы работы по конструкции дизеля являются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Лукин, Лебедев [председатель НТК УММ] и Зелинский [и.о. директора НАТИ]».</w:t>
      </w:r>
    </w:p>
    <w:p w14:paraId="6B8CC84D"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3429. Оп. 16. Д. 198. Л. 3 об.]</w:t>
      </w:r>
    </w:p>
    <w:p w14:paraId="12ED1661"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Задание на проектирование и изготовление опытного образца танкового дизеля с максимальной мощностью 300 л.с. было выдано Управлением по механизации и моторизации (УММ) РККА, а сам дизель, к проектированию которого приступили в НАТИ, получил название Д-300 (24856).</w:t>
      </w:r>
    </w:p>
    <w:p w14:paraId="2C804A00" w14:textId="77777777" w:rsidR="00225E06" w:rsidRPr="00441F34" w:rsidRDefault="00225E06" w:rsidP="00225E06">
      <w:pPr>
        <w:spacing w:after="0" w:line="240" w:lineRule="auto"/>
        <w:jc w:val="both"/>
        <w:rPr>
          <w:rFonts w:ascii="Times New Roman" w:hAnsi="Times New Roman"/>
          <w:color w:val="0070C0"/>
          <w:sz w:val="16"/>
          <w:szCs w:val="16"/>
        </w:rPr>
      </w:pPr>
    </w:p>
    <w:p w14:paraId="5557178D" w14:textId="71A41384"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92F5E0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3627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февраля 1931 года Директивой На</w:t>
      </w:r>
      <w:r w:rsidRPr="007122AB">
        <w:rPr>
          <w:rFonts w:ascii="Times New Roman" w:hAnsi="Times New Roman"/>
          <w:color w:val="000000" w:themeColor="text1"/>
          <w:sz w:val="16"/>
          <w:szCs w:val="16"/>
        </w:rPr>
        <w:softHyphen/>
        <w:t xml:space="preserve">родного комиссара по военным и морским делам СССР и Революционно-военного совета СССР № 017127/сс на формирование опытной </w:t>
      </w:r>
      <w:proofErr w:type="spellStart"/>
      <w:r w:rsidRPr="007122AB">
        <w:rPr>
          <w:rFonts w:ascii="Times New Roman" w:hAnsi="Times New Roman"/>
          <w:color w:val="000000" w:themeColor="text1"/>
          <w:sz w:val="16"/>
          <w:szCs w:val="16"/>
        </w:rPr>
        <w:t>мехбрига</w:t>
      </w:r>
      <w:r w:rsidRPr="007122AB">
        <w:rPr>
          <w:rFonts w:ascii="Times New Roman" w:hAnsi="Times New Roman"/>
          <w:color w:val="000000" w:themeColor="text1"/>
          <w:sz w:val="16"/>
          <w:szCs w:val="16"/>
        </w:rPr>
        <w:softHyphen/>
        <w:t>ды</w:t>
      </w:r>
      <w:proofErr w:type="spellEnd"/>
      <w:r w:rsidRPr="007122AB">
        <w:rPr>
          <w:rFonts w:ascii="Times New Roman" w:hAnsi="Times New Roman"/>
          <w:color w:val="000000" w:themeColor="text1"/>
          <w:sz w:val="16"/>
          <w:szCs w:val="16"/>
        </w:rPr>
        <w:t xml:space="preserve"> обращался 3-й </w:t>
      </w:r>
      <w:proofErr w:type="spellStart"/>
      <w:r w:rsidRPr="007122AB">
        <w:rPr>
          <w:rFonts w:ascii="Times New Roman" w:hAnsi="Times New Roman"/>
          <w:color w:val="000000" w:themeColor="text1"/>
          <w:sz w:val="16"/>
          <w:szCs w:val="16"/>
        </w:rPr>
        <w:t>автоброневой</w:t>
      </w:r>
      <w:proofErr w:type="spellEnd"/>
      <w:r w:rsidRPr="007122AB">
        <w:rPr>
          <w:rFonts w:ascii="Times New Roman" w:hAnsi="Times New Roman"/>
          <w:color w:val="000000" w:themeColor="text1"/>
          <w:sz w:val="16"/>
          <w:szCs w:val="16"/>
        </w:rPr>
        <w:t xml:space="preserve"> дивизион, расположенный в Москве (11284).</w:t>
      </w:r>
    </w:p>
    <w:p w14:paraId="2DA0C7D9" w14:textId="3389B8ED"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8387C" w14:textId="597AE81A" w:rsidR="000B1FE7" w:rsidRPr="007122AB" w:rsidRDefault="000B1FE7" w:rsidP="007122AB">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11032699" w14:textId="77777777" w:rsidR="000B1FE7" w:rsidRPr="007122AB" w:rsidRDefault="000B1FE7" w:rsidP="007122AB">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7719AA57"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февраля 1931 г.</w:t>
      </w:r>
    </w:p>
    <w:p w14:paraId="2EA8C8D0"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Записка Председателя РВС МНКА </w:t>
      </w:r>
      <w:proofErr w:type="spellStart"/>
      <w:r w:rsidRPr="007122AB">
        <w:rPr>
          <w:rFonts w:ascii="Times New Roman" w:hAnsi="Times New Roman"/>
          <w:color w:val="000000" w:themeColor="text1"/>
          <w:sz w:val="16"/>
          <w:szCs w:val="16"/>
        </w:rPr>
        <w:t>Г.Демида</w:t>
      </w:r>
      <w:proofErr w:type="spellEnd"/>
      <w:r w:rsidRPr="007122AB">
        <w:rPr>
          <w:rFonts w:ascii="Times New Roman" w:hAnsi="Times New Roman"/>
          <w:color w:val="000000" w:themeColor="text1"/>
          <w:sz w:val="16"/>
          <w:szCs w:val="16"/>
        </w:rPr>
        <w:t xml:space="preserve"> начальнику </w:t>
      </w:r>
      <w:proofErr w:type="spellStart"/>
      <w:r w:rsidRPr="007122AB">
        <w:rPr>
          <w:rFonts w:ascii="Times New Roman" w:hAnsi="Times New Roman"/>
          <w:color w:val="000000" w:themeColor="text1"/>
          <w:sz w:val="16"/>
          <w:szCs w:val="16"/>
        </w:rPr>
        <w:t>Разведупра</w:t>
      </w:r>
      <w:proofErr w:type="spellEnd"/>
      <w:r w:rsidRPr="007122AB">
        <w:rPr>
          <w:rFonts w:ascii="Times New Roman" w:hAnsi="Times New Roman"/>
          <w:color w:val="000000" w:themeColor="text1"/>
          <w:sz w:val="16"/>
          <w:szCs w:val="16"/>
        </w:rPr>
        <w:t xml:space="preserve"> Штаба РККА</w:t>
      </w:r>
    </w:p>
    <w:p w14:paraId="1C2C9B1F" w14:textId="77777777" w:rsidR="000B1FE7" w:rsidRPr="007122AB" w:rsidRDefault="000B1FE7"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Я.К.Берзину</w:t>
      </w:r>
      <w:proofErr w:type="spellEnd"/>
      <w:r w:rsidRPr="007122AB">
        <w:rPr>
          <w:rFonts w:ascii="Times New Roman" w:hAnsi="Times New Roman"/>
          <w:color w:val="000000" w:themeColor="text1"/>
          <w:sz w:val="16"/>
          <w:szCs w:val="16"/>
        </w:rPr>
        <w:t xml:space="preserve"> о военных заказах МНР на 1931 - 1933 годы и оплате их в рассрочку</w:t>
      </w:r>
    </w:p>
    <w:p w14:paraId="7647B9A4"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февраля 1931 г.</w:t>
      </w:r>
    </w:p>
    <w:p w14:paraId="38A9D06D"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Дружба и связь Монгольской Красной Армии с Рабоче-Крестьянской Армией СССР укрепляется.</w:t>
      </w:r>
    </w:p>
    <w:p w14:paraId="65ADA536"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 В росте боевой мощи и политической закалки МНКА военно-инструкторский состав сыграл большую роль. В общеармейском строительстве военных инструкторов в особенности усилилось после разгрома правого руководства, которое искусственно создавало ряд препятствий в работе инструкторов. </w:t>
      </w:r>
    </w:p>
    <w:p w14:paraId="51A7EA9F"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созданием левого руководства работа по подготовке армии идет усиленным темпом и инструктора установили деловые взаимоотношения с монгольскими командирами. Есть отдельные факты, тормозящие работу инструкторов, но с ними ведется борьба Правительством и МНРП.</w:t>
      </w:r>
    </w:p>
    <w:p w14:paraId="31E0C615"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Монгольская Народная Красная Армия после VIII съезда строго проводит классовый принцип комплектования бойцов армии. До настоящего времени еще нельзя сказать утвердительно, что классовый принцип полностью проведен в армии, но мы подходим к окончательному его проведению в текущем году (имеющий свыше 100 </w:t>
      </w:r>
      <w:proofErr w:type="spellStart"/>
      <w:r w:rsidRPr="007122AB">
        <w:rPr>
          <w:rFonts w:ascii="Times New Roman" w:hAnsi="Times New Roman"/>
          <w:color w:val="000000" w:themeColor="text1"/>
          <w:sz w:val="16"/>
          <w:szCs w:val="16"/>
        </w:rPr>
        <w:t>бодо</w:t>
      </w:r>
      <w:proofErr w:type="spellEnd"/>
      <w:r w:rsidRPr="007122AB">
        <w:rPr>
          <w:rFonts w:ascii="Times New Roman" w:hAnsi="Times New Roman"/>
          <w:color w:val="000000" w:themeColor="text1"/>
          <w:sz w:val="16"/>
          <w:szCs w:val="16"/>
        </w:rPr>
        <w:t xml:space="preserve"> причисляется к зажиточно-кулацкому элементу, но есть случаи, когда имеющий 100 </w:t>
      </w:r>
      <w:proofErr w:type="spellStart"/>
      <w:r w:rsidRPr="007122AB">
        <w:rPr>
          <w:rFonts w:ascii="Times New Roman" w:hAnsi="Times New Roman"/>
          <w:color w:val="000000" w:themeColor="text1"/>
          <w:sz w:val="16"/>
          <w:szCs w:val="16"/>
        </w:rPr>
        <w:t>бодо</w:t>
      </w:r>
      <w:proofErr w:type="spellEnd"/>
      <w:r w:rsidRPr="007122AB">
        <w:rPr>
          <w:rFonts w:ascii="Times New Roman" w:hAnsi="Times New Roman"/>
          <w:color w:val="000000" w:themeColor="text1"/>
          <w:sz w:val="16"/>
          <w:szCs w:val="16"/>
        </w:rPr>
        <w:t xml:space="preserve"> эксплуатирует монгольских аратов).</w:t>
      </w:r>
    </w:p>
    <w:p w14:paraId="171BD1D2"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Командный состав на 90% состоит из бедняцко-середняцкого </w:t>
      </w:r>
      <w:proofErr w:type="spellStart"/>
      <w:r w:rsidRPr="007122AB">
        <w:rPr>
          <w:rFonts w:ascii="Times New Roman" w:hAnsi="Times New Roman"/>
          <w:color w:val="000000" w:themeColor="text1"/>
          <w:sz w:val="16"/>
          <w:szCs w:val="16"/>
        </w:rPr>
        <w:t>аратства</w:t>
      </w:r>
      <w:proofErr w:type="spellEnd"/>
      <w:r w:rsidRPr="007122AB">
        <w:rPr>
          <w:rFonts w:ascii="Times New Roman" w:hAnsi="Times New Roman"/>
          <w:color w:val="000000" w:themeColor="text1"/>
          <w:sz w:val="16"/>
          <w:szCs w:val="16"/>
        </w:rPr>
        <w:t xml:space="preserve"> и только 10% из чуждой среды по официальному положению, но все они прошли десятилетнюю школу службы в армии и вполне преданы правительству МНР.</w:t>
      </w:r>
    </w:p>
    <w:p w14:paraId="214D35FD"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Наша армия сформировалась в 1921 году. Командный состав и бойцы не имеют достаточного боевого опыта, недостаточную тактическую и политическую подготовку, сейчас является основной задачей усиление боевой мощи армии, увеличение технических средств, не только владея ими, но зная правильно ее использовать. Большую роль в этом деле проводят военные инструктора, проводя техническое образование в армии.</w:t>
      </w:r>
    </w:p>
    <w:p w14:paraId="2A1CF671"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Ограниченные материальные средства, своеобразные условия страны, а также опыт прошлых лет позволяют нам основные силы армии вести по линии территориального строительства. Текущим летом (с 1 мая) МНКА будет иметь 4 территориальных полка. Это позволит нам накопить достаточно кадров военнообязанных и широко развить допризывную подготовку, использовать кадры территориальных полков.</w:t>
      </w:r>
    </w:p>
    <w:p w14:paraId="34270420"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Реввоенсовет МНКА принимает все меры к улучшению бытовых условий бойцов, но это не везде удается, в особенности это сказывается на положении погранчастей МНКА. Отсутствие казарм на границах, а также и строительного материала для постройки таковых на месте вынуждает погранчасти размещать в юртах, порою в районах где недостает воды и топлива. Военсовет МНКА в текущем году провел ряд мер, обеспечивающих улучшение бытовых условий погранчастей, как-то: замена старых юрт новыми, увеличение медицинской помощи в пограничных районах, усиление питания и т. п.</w:t>
      </w:r>
    </w:p>
    <w:p w14:paraId="57D60682"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Проводимые партией и правительством мероприятия по переустройству экономики сельского хозяйства и промышленности МНР, а равно частичная конфискация имущества феодалов и передача на выпас джасского520 скота колхозам и артелям, не могли не вызвать резкого классового расслоения в стране. Это обстоятельство отразилось и на армии. Местами ламы сагитировали отдельных красноармейцев к побегу за рубеж и дезертирству, но это были отдельные случаи.</w:t>
      </w:r>
    </w:p>
    <w:p w14:paraId="48C47C9F"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Оперативный план. Покус сделал доклад РВС МНКА о </w:t>
      </w:r>
      <w:proofErr w:type="spellStart"/>
      <w:r w:rsidRPr="007122AB">
        <w:rPr>
          <w:rFonts w:ascii="Times New Roman" w:hAnsi="Times New Roman"/>
          <w:color w:val="000000" w:themeColor="text1"/>
          <w:sz w:val="16"/>
          <w:szCs w:val="16"/>
        </w:rPr>
        <w:t>пересоставлении</w:t>
      </w:r>
      <w:proofErr w:type="spellEnd"/>
      <w:r w:rsidRPr="007122AB">
        <w:rPr>
          <w:rFonts w:ascii="Times New Roman" w:hAnsi="Times New Roman"/>
          <w:color w:val="000000" w:themeColor="text1"/>
          <w:sz w:val="16"/>
          <w:szCs w:val="16"/>
        </w:rPr>
        <w:t xml:space="preserve"> оперативного] плана.</w:t>
      </w:r>
    </w:p>
    <w:p w14:paraId="34EDBFF8"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Правительство новый оперативный план утвердило, но военный бюджет оставило в прежней норме. </w:t>
      </w:r>
    </w:p>
    <w:p w14:paraId="1FEA6FA0"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Оперативный план должен обеспечиваться соответствующими материальными ресурсами.</w:t>
      </w:r>
    </w:p>
    <w:p w14:paraId="7FC9217E"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Военная угроза вторжения в МНР с каждым годом усиливается. Внутри страны мы также имеем феодально-</w:t>
      </w:r>
      <w:proofErr w:type="spellStart"/>
      <w:r w:rsidRPr="007122AB">
        <w:rPr>
          <w:rFonts w:ascii="Times New Roman" w:hAnsi="Times New Roman"/>
          <w:color w:val="000000" w:themeColor="text1"/>
          <w:sz w:val="16"/>
          <w:szCs w:val="16"/>
        </w:rPr>
        <w:t>ламские</w:t>
      </w:r>
      <w:proofErr w:type="spellEnd"/>
      <w:r w:rsidRPr="007122AB">
        <w:rPr>
          <w:rFonts w:ascii="Times New Roman" w:hAnsi="Times New Roman"/>
          <w:color w:val="000000" w:themeColor="text1"/>
          <w:sz w:val="16"/>
          <w:szCs w:val="16"/>
        </w:rPr>
        <w:t xml:space="preserve"> элементы и зажиточно-кулацкие элементы, которые весьма враждебно настроены к правительству. Ряд контрреволюционных выступлений в прошлом году в МНР и нападение белогвардейцев на наши пограничные посты осенью [19]30 г. свидетельствуют, что японские империалисты поддерживают Панчен-Богдо и ряд белогвардейских группировок на нашей восточной и юго-восточной границах. Наш оперативный план безусловно требует соответствующего материального обеспечения. Поскольку у нас нет своей военной промышленности, мы возлагаем большие надежды на помощь в этом деле Советского Союза. Нами принимаются меры по проведению</w:t>
      </w:r>
    </w:p>
    <w:p w14:paraId="6216CCD7"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экономической подготовки в стране к войне путем проведения соответствующего согласования с другими министерствами, но этот вопрос у нас находится в подготовительной стадии работы.</w:t>
      </w:r>
    </w:p>
    <w:p w14:paraId="1FBD4DDE"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Лично думаю, что необходимо заключить ряд соответствующих договоров о насыщении нашей армии техническим имуществом в развитии нашего </w:t>
      </w:r>
      <w:proofErr w:type="spellStart"/>
      <w:r w:rsidRPr="007122AB">
        <w:rPr>
          <w:rFonts w:ascii="Times New Roman" w:hAnsi="Times New Roman"/>
          <w:color w:val="000000" w:themeColor="text1"/>
          <w:sz w:val="16"/>
          <w:szCs w:val="16"/>
        </w:rPr>
        <w:t>оперплана</w:t>
      </w:r>
      <w:proofErr w:type="spellEnd"/>
      <w:r w:rsidRPr="007122AB">
        <w:rPr>
          <w:rFonts w:ascii="Times New Roman" w:hAnsi="Times New Roman"/>
          <w:color w:val="000000" w:themeColor="text1"/>
          <w:sz w:val="16"/>
          <w:szCs w:val="16"/>
        </w:rPr>
        <w:t xml:space="preserve"> с тем, чтобы </w:t>
      </w:r>
      <w:proofErr w:type="spellStart"/>
      <w:r w:rsidRPr="007122AB">
        <w:rPr>
          <w:rFonts w:ascii="Times New Roman" w:hAnsi="Times New Roman"/>
          <w:color w:val="000000" w:themeColor="text1"/>
          <w:sz w:val="16"/>
          <w:szCs w:val="16"/>
        </w:rPr>
        <w:t>оперплан</w:t>
      </w:r>
      <w:proofErr w:type="spellEnd"/>
      <w:r w:rsidRPr="007122AB">
        <w:rPr>
          <w:rFonts w:ascii="Times New Roman" w:hAnsi="Times New Roman"/>
          <w:color w:val="000000" w:themeColor="text1"/>
          <w:sz w:val="16"/>
          <w:szCs w:val="16"/>
        </w:rPr>
        <w:t xml:space="preserve"> был обоснован на соответствующей материальной военной базе. Я не сомневаюсь, что в этом вопросе мы встретим полную поддержку со стороны СССР. Поскольку мы имеем тесную дружбу с СССР, может быть и не потребуется соответствующего договора, а будет предоставлена соответствующая рассрочка по нашим военным заказам, поскольку они диктуются необходимостью укрепления обороноспособности страны и защитой независимости МНР.</w:t>
      </w:r>
    </w:p>
    <w:p w14:paraId="3C60F77E"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Должен поставить Вас в известность, что оперативный план будет </w:t>
      </w:r>
      <w:proofErr w:type="spellStart"/>
      <w:r w:rsidRPr="007122AB">
        <w:rPr>
          <w:rFonts w:ascii="Times New Roman" w:hAnsi="Times New Roman"/>
          <w:color w:val="000000" w:themeColor="text1"/>
          <w:sz w:val="16"/>
          <w:szCs w:val="16"/>
        </w:rPr>
        <w:t>жизненен</w:t>
      </w:r>
      <w:proofErr w:type="spellEnd"/>
      <w:r w:rsidRPr="007122AB">
        <w:rPr>
          <w:rFonts w:ascii="Times New Roman" w:hAnsi="Times New Roman"/>
          <w:color w:val="000000" w:themeColor="text1"/>
          <w:sz w:val="16"/>
          <w:szCs w:val="16"/>
        </w:rPr>
        <w:t xml:space="preserve"> при условии обеспечения его материальными средствами, а также его согласования со всеми нашими хозяйственными органами и министерствами. Этого еще нами не произведено.</w:t>
      </w:r>
    </w:p>
    <w:p w14:paraId="6F037F4D"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Подготовка командного состава. Средний командный состав подготовляем своими силами в Объединенном военном училище (ОВУ), которое с 1931 года расширено, в него влита школа им. </w:t>
      </w:r>
      <w:proofErr w:type="spellStart"/>
      <w:r w:rsidRPr="007122AB">
        <w:rPr>
          <w:rFonts w:ascii="Times New Roman" w:hAnsi="Times New Roman"/>
          <w:color w:val="000000" w:themeColor="text1"/>
          <w:sz w:val="16"/>
          <w:szCs w:val="16"/>
        </w:rPr>
        <w:t>Сухе</w:t>
      </w:r>
      <w:proofErr w:type="spellEnd"/>
      <w:r w:rsidRPr="007122AB">
        <w:rPr>
          <w:rFonts w:ascii="Times New Roman" w:hAnsi="Times New Roman"/>
          <w:color w:val="000000" w:themeColor="text1"/>
          <w:sz w:val="16"/>
          <w:szCs w:val="16"/>
        </w:rPr>
        <w:t>-Батора, представляющая подготовительные курсу в ОВУ. В настоящем году в ОВУ имеется до 100 человек курсантов при достаточно слаженной учебной работе.</w:t>
      </w:r>
    </w:p>
    <w:p w14:paraId="7437A7B4"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Младший командный состав готовим в полковых школах и в дивизионной </w:t>
      </w:r>
      <w:proofErr w:type="spellStart"/>
      <w:r w:rsidRPr="007122AB">
        <w:rPr>
          <w:rFonts w:ascii="Times New Roman" w:hAnsi="Times New Roman"/>
          <w:color w:val="000000" w:themeColor="text1"/>
          <w:sz w:val="16"/>
          <w:szCs w:val="16"/>
        </w:rPr>
        <w:t>кавшколе</w:t>
      </w:r>
      <w:proofErr w:type="spellEnd"/>
      <w:r w:rsidRPr="007122AB">
        <w:rPr>
          <w:rFonts w:ascii="Times New Roman" w:hAnsi="Times New Roman"/>
          <w:color w:val="000000" w:themeColor="text1"/>
          <w:sz w:val="16"/>
          <w:szCs w:val="16"/>
        </w:rPr>
        <w:t>.</w:t>
      </w:r>
    </w:p>
    <w:p w14:paraId="1629929D"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Наряду с европеизацией армии мы усиливаем и техническую мощь армии. В частности, мы обращаем особенное внимание на авто-</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 xml:space="preserve">-дивизион, сформировали при нем десантный отряд (ударно -сковывающая группа, посаженная на машины). Десантный отряд комплектуем из </w:t>
      </w:r>
      <w:proofErr w:type="spellStart"/>
      <w:r w:rsidRPr="007122AB">
        <w:rPr>
          <w:rFonts w:ascii="Times New Roman" w:hAnsi="Times New Roman"/>
          <w:color w:val="000000" w:themeColor="text1"/>
          <w:sz w:val="16"/>
          <w:szCs w:val="16"/>
        </w:rPr>
        <w:t>ревсомольцев</w:t>
      </w:r>
      <w:proofErr w:type="spellEnd"/>
      <w:r w:rsidRPr="007122AB">
        <w:rPr>
          <w:rFonts w:ascii="Times New Roman" w:hAnsi="Times New Roman"/>
          <w:color w:val="000000" w:themeColor="text1"/>
          <w:sz w:val="16"/>
          <w:szCs w:val="16"/>
        </w:rPr>
        <w:t>, и поставлен лозунг усиления культурно-политической связи с СССР.</w:t>
      </w:r>
    </w:p>
    <w:p w14:paraId="53EA4C01"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 заказах. Имеющаяся задолженность по военным заказам около 3 000 000 рублей предполагаем погасить в 4 года, как это разрешено Советским правительством. В этом, 1931 г., вносим первый взнос 500 000 рублей. Весь долг оплатит правительство в указанные сроки.</w:t>
      </w:r>
    </w:p>
    <w:p w14:paraId="5E729A54"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заказ на сумму ориентировочно 1 300 000 рублей оплатим в следующие сроки: 600 000 в 1931 г., на остальную сумму просим предоставить рассрочку на 1932 - 1933 гг.</w:t>
      </w:r>
    </w:p>
    <w:p w14:paraId="6D976BCB"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новом заказе мы просим 3 самолета, военно-хозяйственное имущество и, частично, </w:t>
      </w:r>
      <w:proofErr w:type="spellStart"/>
      <w:r w:rsidRPr="007122AB">
        <w:rPr>
          <w:rFonts w:ascii="Times New Roman" w:hAnsi="Times New Roman"/>
          <w:color w:val="000000" w:themeColor="text1"/>
          <w:sz w:val="16"/>
          <w:szCs w:val="16"/>
        </w:rPr>
        <w:t>артимущество</w:t>
      </w:r>
      <w:proofErr w:type="spellEnd"/>
      <w:r w:rsidRPr="007122AB">
        <w:rPr>
          <w:rFonts w:ascii="Times New Roman" w:hAnsi="Times New Roman"/>
          <w:color w:val="000000" w:themeColor="text1"/>
          <w:sz w:val="16"/>
          <w:szCs w:val="16"/>
        </w:rPr>
        <w:t>. Потребность в самолетах вызывается тем, что в отряде МНКА имеется три самолета Р-1, с мотором М-5, полученных в 1930 г., и один Юнкере 1929 г., а также 2 машины.</w:t>
      </w:r>
    </w:p>
    <w:p w14:paraId="650F3E6F" w14:textId="77777777" w:rsidR="000B1FE7" w:rsidRPr="007122AB" w:rsidRDefault="000B1FE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 33987. Он. 3. Д. 225. Л. 3. Копия (20014).</w:t>
      </w:r>
    </w:p>
    <w:p w14:paraId="14DB138D" w14:textId="77777777" w:rsidR="000B1FE7" w:rsidRPr="007122AB" w:rsidRDefault="000B1FE7" w:rsidP="007122AB">
      <w:pPr>
        <w:spacing w:after="0" w:line="240" w:lineRule="auto"/>
        <w:jc w:val="both"/>
        <w:rPr>
          <w:rFonts w:ascii="Times New Roman" w:hAnsi="Times New Roman"/>
          <w:color w:val="000000" w:themeColor="text1"/>
          <w:sz w:val="16"/>
          <w:szCs w:val="16"/>
        </w:rPr>
      </w:pPr>
    </w:p>
    <w:p w14:paraId="0C1F9F7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4360EB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E07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февраля 1931 вышел приказ по ВАО N 56:</w:t>
      </w:r>
    </w:p>
    <w:p w14:paraId="779350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наиболее успешной и быстрой постройки опытного самолета ДИ-4 КГ французского и </w:t>
      </w:r>
      <w:proofErr w:type="spellStart"/>
      <w:r w:rsidRPr="007122AB">
        <w:rPr>
          <w:rFonts w:ascii="Times New Roman" w:hAnsi="Times New Roman"/>
          <w:color w:val="000000" w:themeColor="text1"/>
          <w:sz w:val="16"/>
          <w:szCs w:val="16"/>
        </w:rPr>
        <w:t>Лавиль</w:t>
      </w:r>
      <w:proofErr w:type="spellEnd"/>
      <w:r w:rsidRPr="007122AB">
        <w:rPr>
          <w:rFonts w:ascii="Times New Roman" w:hAnsi="Times New Roman"/>
          <w:color w:val="000000" w:themeColor="text1"/>
          <w:sz w:val="16"/>
          <w:szCs w:val="16"/>
        </w:rPr>
        <w:t xml:space="preserve"> передать в непосредственное подчинение Управления опытного строительства ВАО.</w:t>
      </w:r>
    </w:p>
    <w:p w14:paraId="697F9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КГ присвоить название Бюро новых конструкций ВАО (БНК ВАО). При БНК создать самостоятельные производственные мастерские, обеспечивающие постройку опытных образцов." (2354,19).</w:t>
      </w:r>
    </w:p>
    <w:p w14:paraId="5FDACE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1F2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февраля 1931 г. ЭПРОН передан в ведение Народного комиссариата водного транспорта. 11.03.1931 г. при Главном управлении для проработки производственных вопросов, разработки проектов и планов судоподъемных, аварийно-спасательных и водолазно-строительных работ, конструкции приспособлений и усовершенствований производства был организован Научно-технический совет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xml:space="preserve">, в который наряду со специалистами его Главного управления вошли ведущие ученые в области кораблестроения - академик Алексей Николаевич Крылов, члены-корреспонденты АН СССР </w:t>
      </w:r>
      <w:proofErr w:type="spellStart"/>
      <w:r w:rsidRPr="007122AB">
        <w:rPr>
          <w:rFonts w:ascii="Times New Roman" w:hAnsi="Times New Roman"/>
          <w:color w:val="000000" w:themeColor="text1"/>
          <w:sz w:val="16"/>
          <w:szCs w:val="16"/>
        </w:rPr>
        <w:t>Ю.А.Шиманский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П.Ф.Попкович</w:t>
      </w:r>
      <w:proofErr w:type="spellEnd"/>
      <w:r w:rsidRPr="007122AB">
        <w:rPr>
          <w:rFonts w:ascii="Times New Roman" w:hAnsi="Times New Roman"/>
          <w:color w:val="000000" w:themeColor="text1"/>
          <w:sz w:val="16"/>
          <w:szCs w:val="16"/>
        </w:rPr>
        <w:t xml:space="preserve">, профессор </w:t>
      </w:r>
      <w:proofErr w:type="spellStart"/>
      <w:r w:rsidRPr="007122AB">
        <w:rPr>
          <w:rFonts w:ascii="Times New Roman" w:hAnsi="Times New Roman"/>
          <w:color w:val="000000" w:themeColor="text1"/>
          <w:sz w:val="16"/>
          <w:szCs w:val="16"/>
        </w:rPr>
        <w:t>В.Г.Власов</w:t>
      </w:r>
      <w:proofErr w:type="spellEnd"/>
      <w:r w:rsidRPr="007122AB">
        <w:rPr>
          <w:rFonts w:ascii="Times New Roman" w:hAnsi="Times New Roman"/>
          <w:color w:val="000000" w:themeColor="text1"/>
          <w:sz w:val="16"/>
          <w:szCs w:val="16"/>
        </w:rPr>
        <w:t xml:space="preserve"> и в области физиологии водолазного руда академик Леон </w:t>
      </w:r>
      <w:proofErr w:type="spellStart"/>
      <w:r w:rsidRPr="007122AB">
        <w:rPr>
          <w:rFonts w:ascii="Times New Roman" w:hAnsi="Times New Roman"/>
          <w:color w:val="000000" w:themeColor="text1"/>
          <w:sz w:val="16"/>
          <w:szCs w:val="16"/>
        </w:rPr>
        <w:t>Абгарович</w:t>
      </w:r>
      <w:proofErr w:type="spellEnd"/>
      <w:r w:rsidRPr="007122AB">
        <w:rPr>
          <w:rFonts w:ascii="Times New Roman" w:hAnsi="Times New Roman"/>
          <w:color w:val="000000" w:themeColor="text1"/>
          <w:sz w:val="16"/>
          <w:szCs w:val="16"/>
        </w:rPr>
        <w:t xml:space="preserve"> Орбели и член-корреспондент АН СССР Евгений Михайлович Крепе. С 1932 г. Научно-технический совет возглавлял начальник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xml:space="preserve"> Фотий Иванович Крылов. Материалы заседаний Совета и отчеты по наиболее интересным судоподъемным и водолазным работам публиковались в "Сборниках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которые начали издаваться с 1933 г. (11631).</w:t>
      </w:r>
    </w:p>
    <w:p w14:paraId="0DD7B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DBD54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792846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36424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февраля 1931 г.</w:t>
      </w:r>
    </w:p>
    <w:p w14:paraId="4498AA5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РГАЭ Фонд 3429 Опись 16 Дело 198 лист 4 – 3 </w:t>
      </w:r>
    </w:p>
    <w:p w14:paraId="2FCB35E1" w14:textId="77777777" w:rsidR="00225E06" w:rsidRPr="00441F34" w:rsidRDefault="00225E06" w:rsidP="00225E06">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Сов.секретно</w:t>
      </w:r>
      <w:proofErr w:type="spellEnd"/>
      <w:r w:rsidRPr="00441F34">
        <w:rPr>
          <w:rFonts w:ascii="Times New Roman" w:hAnsi="Times New Roman"/>
          <w:color w:val="0070C0"/>
          <w:sz w:val="16"/>
          <w:szCs w:val="16"/>
        </w:rPr>
        <w:t xml:space="preserve">. </w:t>
      </w:r>
    </w:p>
    <w:p w14:paraId="21DEB8A7"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23/II-31 г. </w:t>
      </w:r>
      <w:proofErr w:type="spellStart"/>
      <w:r w:rsidRPr="00441F34">
        <w:rPr>
          <w:rFonts w:ascii="Times New Roman" w:hAnsi="Times New Roman"/>
          <w:color w:val="0070C0"/>
          <w:sz w:val="16"/>
          <w:szCs w:val="16"/>
        </w:rPr>
        <w:t>ааз</w:t>
      </w:r>
      <w:proofErr w:type="spellEnd"/>
      <w:r w:rsidRPr="00441F34">
        <w:rPr>
          <w:rFonts w:ascii="Times New Roman" w:hAnsi="Times New Roman"/>
          <w:color w:val="0070C0"/>
          <w:sz w:val="16"/>
          <w:szCs w:val="16"/>
        </w:rPr>
        <w:t xml:space="preserve"> № 1688 </w:t>
      </w:r>
    </w:p>
    <w:p w14:paraId="785EB62E"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ПРОТОКОЛ № ___ </w:t>
      </w:r>
    </w:p>
    <w:p w14:paraId="648008E8"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ЗАСЕДАНИЯ в М.П.С. ВСНХ С.С.С.Р. </w:t>
      </w:r>
    </w:p>
    <w:p w14:paraId="1EE29269"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 22 Февраля 1931 г.</w:t>
      </w:r>
    </w:p>
    <w:p w14:paraId="75178FB9"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Присутствовали: </w:t>
      </w:r>
    </w:p>
    <w:p w14:paraId="23F19449"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 М.П.С. – т. МАРТИНОВИЧ, ЧЕРИ, УРЕЦКИЙ. </w:t>
      </w:r>
    </w:p>
    <w:p w14:paraId="05D2738A"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 </w:t>
      </w:r>
      <w:proofErr w:type="spellStart"/>
      <w:r w:rsidRPr="00441F34">
        <w:rPr>
          <w:rFonts w:ascii="Times New Roman" w:hAnsi="Times New Roman"/>
          <w:color w:val="0070C0"/>
          <w:sz w:val="16"/>
          <w:szCs w:val="16"/>
        </w:rPr>
        <w:t>Оружобъединения</w:t>
      </w:r>
      <w:proofErr w:type="spellEnd"/>
      <w:r w:rsidRPr="00441F34">
        <w:rPr>
          <w:rFonts w:ascii="Times New Roman" w:hAnsi="Times New Roman"/>
          <w:color w:val="0070C0"/>
          <w:sz w:val="16"/>
          <w:szCs w:val="16"/>
        </w:rPr>
        <w:t xml:space="preserve"> – т. БУДНЯК </w:t>
      </w:r>
    </w:p>
    <w:p w14:paraId="75A71F6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 УММ РККА – т. ХАЛЕПСКИЙ, БОКИС, ЛЕБЕДЕВ. </w:t>
      </w:r>
    </w:p>
    <w:p w14:paraId="276C2A41"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 ВАТО – т. ЛУКИН. </w:t>
      </w:r>
    </w:p>
    <w:p w14:paraId="7B9DBAE1"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 </w:t>
      </w:r>
      <w:proofErr w:type="spellStart"/>
      <w:r w:rsidRPr="00441F34">
        <w:rPr>
          <w:rFonts w:ascii="Times New Roman" w:hAnsi="Times New Roman"/>
          <w:color w:val="0070C0"/>
          <w:sz w:val="16"/>
          <w:szCs w:val="16"/>
        </w:rPr>
        <w:t>Парвагдиза</w:t>
      </w:r>
      <w:proofErr w:type="spellEnd"/>
      <w:r w:rsidRPr="00441F34">
        <w:rPr>
          <w:rFonts w:ascii="Times New Roman" w:hAnsi="Times New Roman"/>
          <w:color w:val="0070C0"/>
          <w:sz w:val="16"/>
          <w:szCs w:val="16"/>
        </w:rPr>
        <w:t xml:space="preserve"> – т. КУРИЦЫН. </w:t>
      </w:r>
    </w:p>
    <w:p w14:paraId="6D173D93"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Председатель – т. МАРТИНОВИЧ. </w:t>
      </w:r>
    </w:p>
    <w:p w14:paraId="2FA229B6"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Слушали:</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О реализации постановления ПБ по танко-строению. </w:t>
      </w:r>
    </w:p>
    <w:p w14:paraId="7B2707F3"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Постановили: </w:t>
      </w:r>
    </w:p>
    <w:p w14:paraId="2368F781"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По танкеткам.</w:t>
      </w:r>
    </w:p>
    <w:p w14:paraId="0CEBDE0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Пункт "в" постановления ПБ в части Нижегородского завода поручить проработать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ЧЕРИ и ЛУКИНУ, с привлечением необходимых работников – в месячный срок. </w:t>
      </w:r>
    </w:p>
    <w:p w14:paraId="4FB1043D"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По малому танку.</w:t>
      </w:r>
    </w:p>
    <w:p w14:paraId="54FC684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Принять к сведению заявление т. БУДНЯК, что к снятию рабочих чертежей завод "Большевик" уже приступил. </w:t>
      </w:r>
    </w:p>
    <w:p w14:paraId="72388C7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Считать необходимым для форсированной разработки чертежей танка Т-26 создать при заводе "Большевик" специальную конструкторскую группу в составе 23 – 24 конструкторов и инженеров и плюс к ним не менее 20 человек копировальщиков. </w:t>
      </w:r>
    </w:p>
    <w:p w14:paraId="7E724916"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Принять к сведению заявление т. ЛУКИНА, что им дано распоряжение Сталинградскому тракторному з-ду о немедленном откомандировании 19-ти чел. инженеров на з-д "Большевик". </w:t>
      </w:r>
    </w:p>
    <w:p w14:paraId="016ABB5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4) Конструкторская группа по снятию и разработке чертежей танка Т-26 должна находиться при з-де "Большевик". Рабочие чертежи по танку Т-26 должны быть полностью закончены к 1-му мая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xml:space="preserve">. </w:t>
      </w:r>
    </w:p>
    <w:p w14:paraId="76A0E2AC"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Разработка технологического процесса для постановки производства Т-26 на заводе "Большевик" (танковый отдел) должна быть закончена к 15-му июня. Проработка технологического процесса поручается Танковому Отделу з-да "Большевик" совместно с конструкторской группой по разработке чертежей. </w:t>
      </w:r>
    </w:p>
    <w:p w14:paraId="1524CEE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Разработка технологического процесса Танковым отделом и снятие рабочих чертежей конструкторской группой должно идти непосредственно под руководством т. ДАНИЛОВА. Снятие рабочих чертежей и разработка технологического процесса должны идти параллельно. </w:t>
      </w:r>
    </w:p>
    <w:p w14:paraId="40235BCD"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Первые два опытных образца танка Т-26 завод "Большевик" должен изготовить и предъявить к испытанию к 1-му августу 31 г. </w:t>
      </w:r>
    </w:p>
    <w:p w14:paraId="27858B0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 мере изготовления рабочих чертежей и проработки технологического процесса немедленно пускать на заводе "Большевик" в задел литье, поковки и т.д. на все 300 машин заказа 31 г. Кроме этого завод "Большевик" должен изготовить заготовки литье и поковки и т.д. на 100 машин для ВАТО с учетом известного процента брака. </w:t>
      </w:r>
    </w:p>
    <w:p w14:paraId="49349225"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Калькуляция по себестоимости на Т-26 на 31 год должна учитывать и установочный расход по этому производству. </w:t>
      </w:r>
    </w:p>
    <w:p w14:paraId="00D76B2A"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Помесячный размер выпуска танков Т-26 в 31 году на заводе "Большевик" определить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БУДНЯКУ и ХАЛЕПСКОМУ. </w:t>
      </w:r>
    </w:p>
    <w:p w14:paraId="6336D5F0"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6) Производство Т-18 на заводе "Большевик" закончить на 400 машине с сохранением производства запасных частей. </w:t>
      </w:r>
    </w:p>
    <w:p w14:paraId="49BA546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СТАЛИНГРАДСКИЙ ТРАКТОРНЫЙ ЗАВОД.</w:t>
      </w:r>
    </w:p>
    <w:p w14:paraId="0C45785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Конструкторская Группа при заводе "Большевик" снимает рабочие чертежи по танку Т-26 не только для завода "Большевик", но и необходимое количество комплектов для Сталинградского тракторного завода. </w:t>
      </w:r>
    </w:p>
    <w:p w14:paraId="6025A765"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Сталинградский тракторный завод по мере получения чертежей с завода "Большевик" немедленно приступает к проработке технологического процесса и планирования самого производства по переводу Сталинградского тракторного завода в случае развертывания с производства тракторов на производство танков. Для проведения этой работы при Сталинградском тракторном заводе немедленно должно быть организовано ВАТО и дирекцией завода проектное бюро и выделено необходимое количество инженеров, чертежников, конструкторов. </w:t>
      </w:r>
    </w:p>
    <w:p w14:paraId="1F93C415"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Принять к сведению заявление т. ЛУКИНА, что непосредственным руководителем Проектного Бюро на Сталинградском тракторном заводе назначается инженер СЕДОВ. Просить Сектор Кадров ВСНХ оформить закрепление инженера СЕДОВА за Сталинградским тракторным заводом. </w:t>
      </w:r>
    </w:p>
    <w:p w14:paraId="02D60CC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усиления Проектного Бюро на Сталинградском тракторном заводе командировать из </w:t>
      </w:r>
      <w:proofErr w:type="spellStart"/>
      <w:r w:rsidRPr="00441F34">
        <w:rPr>
          <w:rFonts w:ascii="Times New Roman" w:hAnsi="Times New Roman"/>
          <w:color w:val="0070C0"/>
          <w:sz w:val="16"/>
          <w:szCs w:val="16"/>
        </w:rPr>
        <w:t>Гипроспецмета</w:t>
      </w:r>
      <w:proofErr w:type="spellEnd"/>
      <w:r w:rsidRPr="00441F34">
        <w:rPr>
          <w:rFonts w:ascii="Times New Roman" w:hAnsi="Times New Roman"/>
          <w:color w:val="0070C0"/>
          <w:sz w:val="16"/>
          <w:szCs w:val="16"/>
        </w:rPr>
        <w:t xml:space="preserve"> в распоряжение руководителя Проектного Бюро группу инженеров и техников в количестве 10 – 15 человек. </w:t>
      </w:r>
    </w:p>
    <w:p w14:paraId="68B616F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Изготовление чертежей на инструмент, приспособления и разработку технологического процесса на Сталинградском тракторном заводе закончить к 15-му августа 31 г. </w:t>
      </w:r>
    </w:p>
    <w:p w14:paraId="2C9D1E8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 1-му апреля 32 г. Сталинградский тракторный завод должен изготовить все необходимые приспособления, инструмент и проч., обеспечивающие выпуск, в случае развертывания, в течение года, начиная с весны 32 г. 12.000 малых танков, плюс запасные части и монтаж вооружения. </w:t>
      </w:r>
    </w:p>
    <w:p w14:paraId="22A86B5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Выпуск 1-й партии в 25 штук танков Т-26 в опытном цехе Сталинградского тракторного завода должен быть завершен к 1-му марта 32 г. </w:t>
      </w:r>
    </w:p>
    <w:p w14:paraId="3229F990"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том случае, если опыт по применению гусениц из ковкого чугуна окажутся удачными, то постановку такового возложить на Люберецкий завод для выполнения текущей программы в 300 шт. в 31 году. </w:t>
      </w:r>
    </w:p>
    <w:p w14:paraId="0F57DBD0"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Средний танк.</w:t>
      </w:r>
    </w:p>
    <w:p w14:paraId="38986D8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порядке разработки чертежей, технологического процесса, сроках и распределении заказов на 31 г. между ММЗ и ХПЗ – этот вопрос разрешить по возвращении из Ленинграда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Мартиновича, </w:t>
      </w:r>
      <w:proofErr w:type="spellStart"/>
      <w:r w:rsidRPr="00441F34">
        <w:rPr>
          <w:rFonts w:ascii="Times New Roman" w:hAnsi="Times New Roman"/>
          <w:color w:val="0070C0"/>
          <w:sz w:val="16"/>
          <w:szCs w:val="16"/>
        </w:rPr>
        <w:t>Будняка</w:t>
      </w:r>
      <w:proofErr w:type="spellEnd"/>
      <w:r w:rsidRPr="00441F34">
        <w:rPr>
          <w:rFonts w:ascii="Times New Roman" w:hAnsi="Times New Roman"/>
          <w:color w:val="0070C0"/>
          <w:sz w:val="16"/>
          <w:szCs w:val="16"/>
        </w:rPr>
        <w:t xml:space="preserve"> и Курицына. </w:t>
      </w:r>
    </w:p>
    <w:p w14:paraId="4AAE2836"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Танки сопровождения.</w:t>
      </w:r>
    </w:p>
    <w:p w14:paraId="16496F7E"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Принять к сведению заявление т. ХАЛЕПСКОГО, что изготовление опытных образцов УММ принимает на себя и изготавливает их в своем опытном цеху (Ижорский завод). </w:t>
      </w:r>
    </w:p>
    <w:p w14:paraId="1A470061"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Образцы предъявляются: Катерпиллер и "Коммунар" – в марте месяце 31 г., АМО-2 и Я-5 к 1-му июля 31 г. В каком комплекте и какие ходовые части должны быть даны ВАТО – этот вопрос надлежит разрешить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ХАЛЕПСКОМУ и ЛУКИНУ. </w:t>
      </w:r>
    </w:p>
    <w:p w14:paraId="30E64748"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По вопросу о состоянии броневой базы в Сталинграде – принять к сведению заявление т. МАРТИНОВИЧ о том, что по этому вопросу дано соответствующее промышленное задание ВАТО, "Стали", Гипромезу и </w:t>
      </w:r>
      <w:proofErr w:type="spellStart"/>
      <w:r w:rsidRPr="00441F34">
        <w:rPr>
          <w:rFonts w:ascii="Times New Roman" w:hAnsi="Times New Roman"/>
          <w:color w:val="0070C0"/>
          <w:sz w:val="16"/>
          <w:szCs w:val="16"/>
        </w:rPr>
        <w:t>Гипроспецмету</w:t>
      </w:r>
      <w:proofErr w:type="spellEnd"/>
      <w:r w:rsidRPr="00441F34">
        <w:rPr>
          <w:rFonts w:ascii="Times New Roman" w:hAnsi="Times New Roman"/>
          <w:color w:val="0070C0"/>
          <w:sz w:val="16"/>
          <w:szCs w:val="16"/>
        </w:rPr>
        <w:t xml:space="preserve">. </w:t>
      </w:r>
    </w:p>
    <w:p w14:paraId="0D4957EC"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Поручить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ЛУКИНУ и ЧЕРИ к 10-му марта разработать вопрос о сроках проектирования броневой базы, календарных сроках постройки и какие организации будут осуществлять строительство. </w:t>
      </w:r>
    </w:p>
    <w:p w14:paraId="51BEA62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4) Поручить МПС в 3-х </w:t>
      </w:r>
      <w:proofErr w:type="spellStart"/>
      <w:r w:rsidRPr="00441F34">
        <w:rPr>
          <w:rFonts w:ascii="Times New Roman" w:hAnsi="Times New Roman"/>
          <w:color w:val="0070C0"/>
          <w:sz w:val="16"/>
          <w:szCs w:val="16"/>
        </w:rPr>
        <w:t>дневный</w:t>
      </w:r>
      <w:proofErr w:type="spellEnd"/>
      <w:r w:rsidRPr="00441F34">
        <w:rPr>
          <w:rFonts w:ascii="Times New Roman" w:hAnsi="Times New Roman"/>
          <w:color w:val="0070C0"/>
          <w:sz w:val="16"/>
          <w:szCs w:val="16"/>
        </w:rPr>
        <w:t xml:space="preserve"> срок уточнить промышленное задание по броне в связи с последним решением ПБ, а также учесть заявление т. КУРИЦЫНА о том, что известная мощность броневых станов должна быть выделена для изготовления необходимых рамных листов для мощных паровозов. </w:t>
      </w:r>
    </w:p>
    <w:p w14:paraId="19F88FC4"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Уточнить промышленное задание по фасонному литью в связи с последним решением ПБ. </w:t>
      </w:r>
    </w:p>
    <w:p w14:paraId="6FB02020"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МОТОРНОМУ ЗАВОДУ В.А.Т.О.</w:t>
      </w:r>
    </w:p>
    <w:p w14:paraId="52CD683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Принять к сведению заявление т. ЛУКИНА что задание на проектировку моторного завода дается </w:t>
      </w:r>
      <w:proofErr w:type="spellStart"/>
      <w:r w:rsidRPr="00441F34">
        <w:rPr>
          <w:rFonts w:ascii="Times New Roman" w:hAnsi="Times New Roman"/>
          <w:color w:val="0070C0"/>
          <w:sz w:val="16"/>
          <w:szCs w:val="16"/>
        </w:rPr>
        <w:t>ГипроВАТО</w:t>
      </w:r>
      <w:proofErr w:type="spellEnd"/>
      <w:r w:rsidRPr="00441F34">
        <w:rPr>
          <w:rFonts w:ascii="Times New Roman" w:hAnsi="Times New Roman"/>
          <w:color w:val="0070C0"/>
          <w:sz w:val="16"/>
          <w:szCs w:val="16"/>
        </w:rPr>
        <w:t xml:space="preserve">. Поручить т. ЛУКИНУ к 15-му марта сообщить МПС, когда будет закончен проект моторного завода, когда будет начато строительство, какая строительная организация будет осуществлять строительство и в какие сроки. </w:t>
      </w:r>
    </w:p>
    <w:p w14:paraId="2D247BF9"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О дизельном моторе в 240 – 300 </w:t>
      </w:r>
      <w:proofErr w:type="spellStart"/>
      <w:r w:rsidRPr="00441F34">
        <w:rPr>
          <w:rFonts w:ascii="Times New Roman" w:hAnsi="Times New Roman"/>
          <w:color w:val="0070C0"/>
          <w:sz w:val="16"/>
          <w:szCs w:val="16"/>
        </w:rPr>
        <w:t>лош</w:t>
      </w:r>
      <w:proofErr w:type="spellEnd"/>
      <w:r w:rsidRPr="00441F34">
        <w:rPr>
          <w:rFonts w:ascii="Times New Roman" w:hAnsi="Times New Roman"/>
          <w:color w:val="0070C0"/>
          <w:sz w:val="16"/>
          <w:szCs w:val="16"/>
        </w:rPr>
        <w:t>. сил.</w:t>
      </w:r>
    </w:p>
    <w:p w14:paraId="6BB4BF72"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Проектирование и изготовление опытного образца дизельного мотора в 240 – 300 </w:t>
      </w:r>
      <w:proofErr w:type="spellStart"/>
      <w:r w:rsidRPr="00441F34">
        <w:rPr>
          <w:rFonts w:ascii="Times New Roman" w:hAnsi="Times New Roman"/>
          <w:color w:val="0070C0"/>
          <w:sz w:val="16"/>
          <w:szCs w:val="16"/>
        </w:rPr>
        <w:t>лош</w:t>
      </w:r>
      <w:proofErr w:type="spellEnd"/>
      <w:r w:rsidRPr="00441F34">
        <w:rPr>
          <w:rFonts w:ascii="Times New Roman" w:hAnsi="Times New Roman"/>
          <w:color w:val="0070C0"/>
          <w:sz w:val="16"/>
          <w:szCs w:val="16"/>
        </w:rPr>
        <w:t xml:space="preserve">. сил поручить Научно-Авто-тракторному Институту ВАТО. </w:t>
      </w:r>
    </w:p>
    <w:p w14:paraId="102156E7"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Поручить т. ЛУКИНУ в 2-х недельный срок установить на каких персонально конструкторов возлагается разработка этого вопроса. </w:t>
      </w:r>
    </w:p>
    <w:p w14:paraId="6A0F9157"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тов. ЛУКИНУ немедленно закупить заграницей образцы дизель-моторов, в частности, у фирмы МАН, ЮНКЕРС и ДАЙМЛЕР – в Германии и Англии – АЕС. Предложить т. ЛУКИНУ немедленно связаться по этому вопросу с т. </w:t>
      </w:r>
      <w:proofErr w:type="spellStart"/>
      <w:r w:rsidRPr="00441F34">
        <w:rPr>
          <w:rFonts w:ascii="Times New Roman" w:hAnsi="Times New Roman"/>
          <w:color w:val="0070C0"/>
          <w:sz w:val="16"/>
          <w:szCs w:val="16"/>
        </w:rPr>
        <w:t>Лугановским</w:t>
      </w:r>
      <w:proofErr w:type="spellEnd"/>
      <w:r w:rsidRPr="00441F34">
        <w:rPr>
          <w:rFonts w:ascii="Times New Roman" w:hAnsi="Times New Roman"/>
          <w:color w:val="0070C0"/>
          <w:sz w:val="16"/>
          <w:szCs w:val="16"/>
        </w:rPr>
        <w:t xml:space="preserve">. </w:t>
      </w:r>
    </w:p>
    <w:p w14:paraId="7247A3F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Работу по конструкции дизель-мотора вести с таким расчетом, чтобы 1-й опытный образец мог быть предъявлен к испытанию 1 декабря. </w:t>
      </w:r>
    </w:p>
    <w:p w14:paraId="416B7555"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Ответственным за организацию и надлежащие темпы работы по конструкции дизеля являются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Лукин, Лебедев и Зелинский. </w:t>
      </w:r>
    </w:p>
    <w:p w14:paraId="528115EB"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Для проработки вопроса о ремонте танков в военное время УММ выделить в МПС – </w:t>
      </w:r>
      <w:proofErr w:type="spellStart"/>
      <w:r w:rsidRPr="00441F34">
        <w:rPr>
          <w:rFonts w:ascii="Times New Roman" w:hAnsi="Times New Roman"/>
          <w:color w:val="0070C0"/>
          <w:sz w:val="16"/>
          <w:szCs w:val="16"/>
        </w:rPr>
        <w:t>т.т</w:t>
      </w:r>
      <w:proofErr w:type="spellEnd"/>
      <w:r w:rsidRPr="00441F34">
        <w:rPr>
          <w:rFonts w:ascii="Times New Roman" w:hAnsi="Times New Roman"/>
          <w:color w:val="0070C0"/>
          <w:sz w:val="16"/>
          <w:szCs w:val="16"/>
        </w:rPr>
        <w:t xml:space="preserve">. ДАВЫДОВА и ВИТКОВСКОГО. Проработку вопроса МПС провести в 2-х месячный срок. </w:t>
      </w:r>
    </w:p>
    <w:p w14:paraId="3D32C29F"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Через две недели собраться в том же составе для проверки хода выполнения постановления ПБ и решений, принятых на настоящем заседании.</w:t>
      </w:r>
    </w:p>
    <w:p w14:paraId="5F6116F7" w14:textId="77777777" w:rsidR="00225E06" w:rsidRPr="00441F34" w:rsidRDefault="00225E06" w:rsidP="00225E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Председатель – (МАРТИНОВИЧ)</w:t>
      </w:r>
    </w:p>
    <w:p w14:paraId="2ABAED54" w14:textId="77777777" w:rsidR="00225E06" w:rsidRPr="00441F34" w:rsidRDefault="00225E06" w:rsidP="00225E06">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w:t>
      </w:r>
      <w:proofErr w:type="spellEnd"/>
      <w:r w:rsidRPr="00441F34">
        <w:rPr>
          <w:rFonts w:ascii="Times New Roman" w:hAnsi="Times New Roman"/>
          <w:color w:val="0070C0"/>
          <w:sz w:val="16"/>
          <w:szCs w:val="16"/>
        </w:rPr>
        <w:t>. 6 экз. (24860).</w:t>
      </w:r>
    </w:p>
    <w:p w14:paraId="602F830F" w14:textId="77777777" w:rsidR="00225E06" w:rsidRPr="00441F34" w:rsidRDefault="00225E06" w:rsidP="00225E06">
      <w:pPr>
        <w:spacing w:after="0" w:line="240" w:lineRule="auto"/>
        <w:jc w:val="both"/>
        <w:rPr>
          <w:rFonts w:ascii="Times New Roman" w:hAnsi="Times New Roman"/>
          <w:color w:val="0070C0"/>
          <w:sz w:val="16"/>
          <w:szCs w:val="16"/>
        </w:rPr>
      </w:pPr>
    </w:p>
    <w:p w14:paraId="0AED2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февраля 1931 г. по решению Ленгорисполкома № 021-38 для строительства верфи деревянного катеростроения </w:t>
      </w:r>
      <w:proofErr w:type="spellStart"/>
      <w:r w:rsidRPr="007122AB">
        <w:rPr>
          <w:rFonts w:ascii="Times New Roman" w:hAnsi="Times New Roman"/>
          <w:color w:val="000000" w:themeColor="text1"/>
          <w:sz w:val="16"/>
          <w:szCs w:val="16"/>
        </w:rPr>
        <w:t>Морпогранохраны</w:t>
      </w:r>
      <w:proofErr w:type="spellEnd"/>
      <w:r w:rsidRPr="007122AB">
        <w:rPr>
          <w:rFonts w:ascii="Times New Roman" w:hAnsi="Times New Roman"/>
          <w:color w:val="000000" w:themeColor="text1"/>
          <w:sz w:val="16"/>
          <w:szCs w:val="16"/>
        </w:rPr>
        <w:t xml:space="preserve"> ОГПУ для выпуска катеров ГК был выделен участок земли на Петровском острове за фабрикой «Канат», 5.07.1931 г. Госпланом были выделены фонды на строительство. Проект верфи разработан в ОКТБ-2 НКВД. Верфь вступила в строй 23.02.1933г.,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7122AB">
        <w:rPr>
          <w:rFonts w:ascii="Times New Roman" w:hAnsi="Times New Roman"/>
          <w:color w:val="000000" w:themeColor="text1"/>
          <w:sz w:val="16"/>
          <w:szCs w:val="16"/>
          <w:vertAlign w:val="superscript"/>
        </w:rPr>
        <w:t>131</w:t>
      </w:r>
      <w:r w:rsidRPr="007122AB">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4602E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Бывшая верфь Золотова преобразована в Государственную судостроительную мастерскую для постройки пограничных судов и стала отделением верфи </w:t>
      </w:r>
      <w:proofErr w:type="spellStart"/>
      <w:r w:rsidRPr="007122AB">
        <w:rPr>
          <w:rFonts w:ascii="Times New Roman" w:hAnsi="Times New Roman"/>
          <w:color w:val="000000" w:themeColor="text1"/>
          <w:sz w:val="16"/>
          <w:szCs w:val="16"/>
        </w:rPr>
        <w:t>Морпогранохраны</w:t>
      </w:r>
      <w:proofErr w:type="spellEnd"/>
      <w:r w:rsidRPr="007122AB">
        <w:rPr>
          <w:rFonts w:ascii="Times New Roman" w:hAnsi="Times New Roman"/>
          <w:color w:val="000000" w:themeColor="text1"/>
          <w:sz w:val="16"/>
          <w:szCs w:val="16"/>
        </w:rPr>
        <w:t xml:space="preserve"> ОГПУ. В 1931 г. на строящейся верфи по инициативе Д.Л. Блинова организовано собственное КБ.</w:t>
      </w:r>
    </w:p>
    <w:p w14:paraId="78E025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4A032B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деревообрабатывающий, монтажно-сдаточный (840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механический, кузнечный, литейная мастерская.</w:t>
      </w:r>
    </w:p>
    <w:p w14:paraId="769C26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5F6E9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315402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7EF621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7122AB">
        <w:rPr>
          <w:rFonts w:ascii="Times New Roman" w:hAnsi="Times New Roman"/>
          <w:color w:val="000000" w:themeColor="text1"/>
          <w:sz w:val="16"/>
          <w:szCs w:val="16"/>
          <w:lang w:val="en-US"/>
        </w:rPr>
        <w:t>JICO</w:t>
      </w:r>
      <w:r w:rsidRPr="007122AB">
        <w:rPr>
          <w:rFonts w:ascii="Times New Roman" w:hAnsi="Times New Roman"/>
          <w:color w:val="000000" w:themeColor="text1"/>
          <w:sz w:val="16"/>
          <w:szCs w:val="16"/>
        </w:rPr>
        <w:t>, а с 1.10.1991 г. - СО «Алмаз». 20.03.1991 г. объединение преобразовано в СФ «Алмаз».</w:t>
      </w:r>
    </w:p>
    <w:p w14:paraId="435EB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7122AB">
        <w:rPr>
          <w:rFonts w:ascii="Times New Roman" w:hAnsi="Times New Roman"/>
          <w:color w:val="000000" w:themeColor="text1"/>
          <w:sz w:val="16"/>
          <w:szCs w:val="16"/>
          <w:vertAlign w:val="superscript"/>
        </w:rPr>
        <w:t>3</w:t>
      </w:r>
    </w:p>
    <w:p w14:paraId="22A75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08A4D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36E571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w:t>
      </w:r>
      <w:proofErr w:type="spellStart"/>
      <w:r w:rsidRPr="007122AB">
        <w:rPr>
          <w:rFonts w:ascii="Times New Roman" w:hAnsi="Times New Roman"/>
          <w:color w:val="000000" w:themeColor="text1"/>
          <w:sz w:val="16"/>
          <w:szCs w:val="16"/>
        </w:rPr>
        <w:t>корпусообработки</w:t>
      </w:r>
      <w:proofErr w:type="spellEnd"/>
    </w:p>
    <w:p w14:paraId="1B4320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7937DB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6EFD46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w:t>
      </w:r>
      <w:proofErr w:type="spellStart"/>
      <w:r w:rsidRPr="007122AB">
        <w:rPr>
          <w:rFonts w:ascii="Times New Roman" w:hAnsi="Times New Roman"/>
          <w:color w:val="000000" w:themeColor="text1"/>
          <w:sz w:val="16"/>
          <w:szCs w:val="16"/>
        </w:rPr>
        <w:t>Грабовцу</w:t>
      </w:r>
      <w:proofErr w:type="spellEnd"/>
      <w:r w:rsidRPr="007122AB">
        <w:rPr>
          <w:rFonts w:ascii="Times New Roman" w:hAnsi="Times New Roman"/>
          <w:color w:val="000000" w:themeColor="text1"/>
          <w:sz w:val="16"/>
          <w:szCs w:val="16"/>
        </w:rPr>
        <w:t>, в 07.2006г. продано ПО «Ленстройматериалы». В 02.2007г. планировалось слияние СФ «Алмаз» с МЗ «Алмаз».</w:t>
      </w:r>
    </w:p>
    <w:p w14:paraId="058B4A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4BA4E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0FDF3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027BB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к 2005г. построено более 1000 кораблей и катеров.</w:t>
      </w:r>
    </w:p>
    <w:p w14:paraId="6016B6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Имелось Московское представительство (зам. директора (2006г.)- И. Вишняков).</w:t>
      </w:r>
    </w:p>
    <w:p w14:paraId="62607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территории (2006г.)- 16,5 га; застройки (2006г.)- около 50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производственная (2009г.)- 30,4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2A7F93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(06.1941 г.)- 2845 чел., (12.1941 г.)- 730 чел., (2009г.)- более 1000 чел.</w:t>
      </w:r>
    </w:p>
    <w:p w14:paraId="7B5BFB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Владелец (08.2005г.-)- Л.Г. </w:t>
      </w:r>
      <w:proofErr w:type="spellStart"/>
      <w:r w:rsidRPr="007122AB">
        <w:rPr>
          <w:rFonts w:ascii="Times New Roman" w:hAnsi="Times New Roman"/>
          <w:color w:val="000000" w:themeColor="text1"/>
          <w:sz w:val="16"/>
          <w:szCs w:val="16"/>
        </w:rPr>
        <w:t>Грабовец</w:t>
      </w:r>
      <w:proofErr w:type="spellEnd"/>
      <w:r w:rsidRPr="007122AB">
        <w:rPr>
          <w:rFonts w:ascii="Times New Roman" w:hAnsi="Times New Roman"/>
          <w:color w:val="000000" w:themeColor="text1"/>
          <w:sz w:val="16"/>
          <w:szCs w:val="16"/>
        </w:rPr>
        <w:t>.</w:t>
      </w:r>
    </w:p>
    <w:p w14:paraId="12D844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(1932-33г.)- Д.Л. Блинов, (1933-34г.)- А.В. Крюков, (1934г.)- М.А. </w:t>
      </w:r>
      <w:proofErr w:type="spellStart"/>
      <w:r w:rsidRPr="007122AB">
        <w:rPr>
          <w:rFonts w:ascii="Times New Roman" w:hAnsi="Times New Roman"/>
          <w:color w:val="000000" w:themeColor="text1"/>
          <w:sz w:val="16"/>
          <w:szCs w:val="16"/>
        </w:rPr>
        <w:t>Цикановский</w:t>
      </w:r>
      <w:proofErr w:type="spellEnd"/>
      <w:r w:rsidRPr="007122AB">
        <w:rPr>
          <w:rFonts w:ascii="Times New Roman" w:hAnsi="Times New Roman"/>
          <w:color w:val="000000" w:themeColor="text1"/>
          <w:sz w:val="16"/>
          <w:szCs w:val="16"/>
        </w:rPr>
        <w:t xml:space="preserve">, (1935-37г.)- Ф.Н. Глушко, (05.1937г.-)- Е.Я. Локшин. Директор (-1949г.)- Е.Я. Локшин, (1949-56г.)- И.Д. Яблоков, (1956-67г.)- В.Д. </w:t>
      </w:r>
      <w:proofErr w:type="spellStart"/>
      <w:r w:rsidRPr="007122AB">
        <w:rPr>
          <w:rFonts w:ascii="Times New Roman" w:hAnsi="Times New Roman"/>
          <w:color w:val="000000" w:themeColor="text1"/>
          <w:sz w:val="16"/>
          <w:szCs w:val="16"/>
        </w:rPr>
        <w:t>Колечицкий</w:t>
      </w:r>
      <w:proofErr w:type="spellEnd"/>
      <w:r w:rsidRPr="007122AB">
        <w:rPr>
          <w:rFonts w:ascii="Times New Roman" w:hAnsi="Times New Roman"/>
          <w:color w:val="000000" w:themeColor="text1"/>
          <w:sz w:val="16"/>
          <w:szCs w:val="16"/>
        </w:rPr>
        <w:t xml:space="preserve">, (1967-70 г.)- Ю.П. Кузьмин. Гендиректор (1970-71 г.)- Е.И. Юхнин, (1972-76г.)- Ю.Г. Полухин, (1976- 86г.)- В.К. Косенков, (1986-2001 г.)- А.П. Королев, (2001-07г.-)- Л.Г. </w:t>
      </w:r>
      <w:proofErr w:type="spellStart"/>
      <w:r w:rsidRPr="007122AB">
        <w:rPr>
          <w:rFonts w:ascii="Times New Roman" w:hAnsi="Times New Roman"/>
          <w:color w:val="000000" w:themeColor="text1"/>
          <w:sz w:val="16"/>
          <w:szCs w:val="16"/>
        </w:rPr>
        <w:t>Грабовец</w:t>
      </w:r>
      <w:proofErr w:type="spellEnd"/>
      <w:r w:rsidRPr="007122AB">
        <w:rPr>
          <w:rFonts w:ascii="Times New Roman" w:hAnsi="Times New Roman"/>
          <w:color w:val="000000" w:themeColor="text1"/>
          <w:sz w:val="16"/>
          <w:szCs w:val="16"/>
        </w:rPr>
        <w:t>.</w:t>
      </w:r>
    </w:p>
    <w:p w14:paraId="0DC089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2E714D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(1933г.)- В.Е. Бурачек, (1941 г.)- И.К. Силин, (1944г.)- А.Ф. </w:t>
      </w:r>
      <w:proofErr w:type="spellStart"/>
      <w:r w:rsidRPr="007122AB">
        <w:rPr>
          <w:rFonts w:ascii="Times New Roman" w:hAnsi="Times New Roman"/>
          <w:color w:val="000000" w:themeColor="text1"/>
          <w:sz w:val="16"/>
          <w:szCs w:val="16"/>
        </w:rPr>
        <w:t>Симин</w:t>
      </w:r>
      <w:proofErr w:type="spellEnd"/>
      <w:r w:rsidRPr="007122AB">
        <w:rPr>
          <w:rFonts w:ascii="Times New Roman" w:hAnsi="Times New Roman"/>
          <w:color w:val="000000" w:themeColor="text1"/>
          <w:sz w:val="16"/>
          <w:szCs w:val="16"/>
        </w:rPr>
        <w:t>, (1970-е)- А.А. Пономарев.</w:t>
      </w:r>
    </w:p>
    <w:p w14:paraId="4BB48E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(2000 г.)- М.С. Каримова.</w:t>
      </w:r>
    </w:p>
    <w:p w14:paraId="68CB32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строители: (1943-45г.)- А.Д. </w:t>
      </w:r>
      <w:proofErr w:type="spellStart"/>
      <w:r w:rsidRPr="007122AB">
        <w:rPr>
          <w:rFonts w:ascii="Times New Roman" w:hAnsi="Times New Roman"/>
          <w:color w:val="000000" w:themeColor="text1"/>
          <w:sz w:val="16"/>
          <w:szCs w:val="16"/>
        </w:rPr>
        <w:t>Симин</w:t>
      </w:r>
      <w:proofErr w:type="spellEnd"/>
      <w:r w:rsidRPr="007122AB">
        <w:rPr>
          <w:rFonts w:ascii="Times New Roman" w:hAnsi="Times New Roman"/>
          <w:color w:val="000000" w:themeColor="text1"/>
          <w:sz w:val="16"/>
          <w:szCs w:val="16"/>
        </w:rPr>
        <w:t xml:space="preserve">, (1957г.)- Н.И. </w:t>
      </w:r>
      <w:proofErr w:type="spellStart"/>
      <w:r w:rsidRPr="007122AB">
        <w:rPr>
          <w:rFonts w:ascii="Times New Roman" w:hAnsi="Times New Roman"/>
          <w:color w:val="000000" w:themeColor="text1"/>
          <w:sz w:val="16"/>
          <w:szCs w:val="16"/>
        </w:rPr>
        <w:t>Мартынычев</w:t>
      </w:r>
      <w:proofErr w:type="spellEnd"/>
      <w:r w:rsidRPr="007122AB">
        <w:rPr>
          <w:rFonts w:ascii="Times New Roman" w:hAnsi="Times New Roman"/>
          <w:color w:val="000000" w:themeColor="text1"/>
          <w:sz w:val="16"/>
          <w:szCs w:val="16"/>
        </w:rPr>
        <w:t>.</w:t>
      </w:r>
    </w:p>
    <w:p w14:paraId="56525B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Строители судов: (ВОВ)- Л.Н. Одинцов, (07.1941 г.)- А.А. Тимофеев, (1967г.)- Б.П. </w:t>
      </w:r>
      <w:proofErr w:type="spellStart"/>
      <w:r w:rsidRPr="007122AB">
        <w:rPr>
          <w:rFonts w:ascii="Times New Roman" w:hAnsi="Times New Roman"/>
          <w:color w:val="000000" w:themeColor="text1"/>
          <w:sz w:val="16"/>
          <w:szCs w:val="16"/>
        </w:rPr>
        <w:t>Дитятьев</w:t>
      </w:r>
      <w:proofErr w:type="spellEnd"/>
      <w:r w:rsidRPr="007122AB">
        <w:rPr>
          <w:rFonts w:ascii="Times New Roman" w:hAnsi="Times New Roman"/>
          <w:color w:val="000000" w:themeColor="text1"/>
          <w:sz w:val="16"/>
          <w:szCs w:val="16"/>
        </w:rPr>
        <w:t xml:space="preserve"> (пр. 1234), (1970- е&gt; И.И. Костинский, (1970-е)- В.И. Мерцалов, (1970-е)- В.И. Сибирцев, (1970-е)- М.И. Тузов, (1970-е)- М.И. Украинский.</w:t>
      </w:r>
    </w:p>
    <w:p w14:paraId="309C3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w:t>
      </w:r>
      <w:proofErr w:type="spellStart"/>
      <w:r w:rsidRPr="007122AB">
        <w:rPr>
          <w:rFonts w:ascii="Times New Roman" w:hAnsi="Times New Roman"/>
          <w:color w:val="000000" w:themeColor="text1"/>
          <w:sz w:val="16"/>
          <w:szCs w:val="16"/>
        </w:rPr>
        <w:t>Воспер</w:t>
      </w:r>
      <w:proofErr w:type="spellEnd"/>
      <w:r w:rsidRPr="007122AB">
        <w:rPr>
          <w:rFonts w:ascii="Times New Roman" w:hAnsi="Times New Roman"/>
          <w:color w:val="000000" w:themeColor="text1"/>
          <w:sz w:val="16"/>
          <w:szCs w:val="16"/>
        </w:rPr>
        <w:t>»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7122AB">
        <w:rPr>
          <w:rFonts w:ascii="Times New Roman" w:hAnsi="Times New Roman"/>
          <w:color w:val="000000" w:themeColor="text1"/>
          <w:sz w:val="16"/>
          <w:szCs w:val="16"/>
          <w:vertAlign w:val="superscript"/>
        </w:rPr>
        <w:t>115</w:t>
      </w:r>
      <w:r w:rsidRPr="007122AB">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7122AB">
        <w:rPr>
          <w:rFonts w:ascii="Times New Roman" w:hAnsi="Times New Roman"/>
          <w:color w:val="000000" w:themeColor="text1"/>
          <w:sz w:val="16"/>
          <w:szCs w:val="16"/>
          <w:vertAlign w:val="subscript"/>
        </w:rPr>
        <w:t>60</w:t>
      </w:r>
      <w:r w:rsidR="002629BF" w:rsidRPr="007122AB">
        <w:rPr>
          <w:rFonts w:ascii="Times New Roman" w:hAnsi="Times New Roman"/>
          <w:color w:val="000000" w:themeColor="text1"/>
          <w:sz w:val="16"/>
          <w:szCs w:val="16"/>
        </w:rPr>
        <w:fldChar w:fldCharType="begin"/>
      </w:r>
      <w:r w:rsidR="002629BF" w:rsidRPr="007122AB">
        <w:rPr>
          <w:rFonts w:ascii="Times New Roman" w:hAnsi="Times New Roman"/>
          <w:color w:val="000000" w:themeColor="text1"/>
          <w:sz w:val="16"/>
          <w:szCs w:val="16"/>
        </w:rPr>
        <w:instrText xml:space="preserve">ref  HYPERLINK "http://www.aimazmfo"  \* MERGEFORMAT </w:instrText>
      </w:r>
      <w:r w:rsidR="002629BF" w:rsidRPr="007122AB">
        <w:rPr>
          <w:rFonts w:ascii="Times New Roman" w:hAnsi="Times New Roman"/>
          <w:color w:val="000000" w:themeColor="text1"/>
          <w:sz w:val="16"/>
          <w:szCs w:val="16"/>
        </w:rPr>
        <w:fldChar w:fldCharType="separate"/>
      </w:r>
      <w:r w:rsidRPr="007122AB">
        <w:rPr>
          <w:rFonts w:ascii="Times New Roman" w:hAnsi="Times New Roman"/>
          <w:color w:val="000000" w:themeColor="text1"/>
          <w:sz w:val="16"/>
          <w:szCs w:val="16"/>
          <w:lang w:val="en-US"/>
        </w:rPr>
        <w:t>www</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lang w:val="en-US"/>
        </w:rPr>
        <w:t>aimazmfo</w:t>
      </w:r>
      <w:proofErr w:type="spellEnd"/>
      <w:r w:rsidR="002629BF" w:rsidRPr="007122AB">
        <w:rPr>
          <w:rFonts w:ascii="Times New Roman" w:hAnsi="Times New Roman"/>
          <w:color w:val="000000" w:themeColor="text1"/>
          <w:sz w:val="16"/>
          <w:szCs w:val="16"/>
          <w:lang w:val="en-US"/>
        </w:rPr>
        <w:fldChar w:fldCharType="end"/>
      </w:r>
      <w:r w:rsidRPr="007122AB">
        <w:rPr>
          <w:rFonts w:ascii="Times New Roman" w:hAnsi="Times New Roman"/>
          <w:color w:val="000000" w:themeColor="text1"/>
          <w:sz w:val="16"/>
          <w:szCs w:val="16"/>
          <w:vertAlign w:val="subscript"/>
        </w:rPr>
        <w:t>); щ 2</w:t>
      </w:r>
      <w:r w:rsidRPr="007122AB">
        <w:rPr>
          <w:rFonts w:ascii="Times New Roman" w:hAnsi="Times New Roman"/>
          <w:color w:val="000000" w:themeColor="text1"/>
          <w:sz w:val="16"/>
          <w:szCs w:val="16"/>
          <w:vertAlign w:val="subscript"/>
          <w:lang w:val="en-US"/>
        </w:rPr>
        <w:t>Q</w:t>
      </w:r>
      <w:r w:rsidRPr="007122AB">
        <w:rPr>
          <w:rFonts w:ascii="Times New Roman" w:hAnsi="Times New Roman"/>
          <w:color w:val="000000" w:themeColor="text1"/>
          <w:sz w:val="16"/>
          <w:szCs w:val="16"/>
          <w:vertAlign w:val="subscript"/>
        </w:rPr>
        <w:t>5 (1959</w:t>
      </w:r>
      <w:r w:rsidRPr="007122AB">
        <w:rPr>
          <w:rFonts w:ascii="Times New Roman" w:hAnsi="Times New Roman"/>
          <w:color w:val="000000" w:themeColor="text1"/>
          <w:sz w:val="16"/>
          <w:szCs w:val="16"/>
        </w:rPr>
        <w:t>_</w:t>
      </w:r>
      <w:r w:rsidRPr="007122AB">
        <w:rPr>
          <w:rFonts w:ascii="Times New Roman" w:hAnsi="Times New Roman"/>
          <w:color w:val="000000" w:themeColor="text1"/>
          <w:sz w:val="16"/>
          <w:szCs w:val="16"/>
          <w:vertAlign w:val="subscript"/>
        </w:rPr>
        <w:t>66)</w:t>
      </w:r>
      <w:r w:rsidRPr="007122AB">
        <w:rPr>
          <w:rFonts w:ascii="Times New Roman" w:hAnsi="Times New Roman"/>
          <w:color w:val="000000" w:themeColor="text1"/>
          <w:sz w:val="16"/>
          <w:szCs w:val="16"/>
        </w:rPr>
        <w:t xml:space="preserve">_ </w:t>
      </w:r>
      <w:r w:rsidRPr="007122AB">
        <w:rPr>
          <w:rFonts w:ascii="Times New Roman" w:hAnsi="Times New Roman"/>
          <w:color w:val="000000" w:themeColor="text1"/>
          <w:sz w:val="16"/>
          <w:szCs w:val="16"/>
          <w:vertAlign w:val="subscript"/>
        </w:rPr>
        <w:t xml:space="preserve">68? </w:t>
      </w:r>
      <w:proofErr w:type="spellStart"/>
      <w:r w:rsidRPr="007122AB">
        <w:rPr>
          <w:rFonts w:ascii="Times New Roman" w:hAnsi="Times New Roman"/>
          <w:color w:val="000000" w:themeColor="text1"/>
          <w:sz w:val="16"/>
          <w:szCs w:val="16"/>
          <w:vertAlign w:val="subscript"/>
        </w:rPr>
        <w:t>пр</w:t>
      </w:r>
      <w:proofErr w:type="spellEnd"/>
      <w:r w:rsidRPr="007122AB">
        <w:rPr>
          <w:rFonts w:ascii="Times New Roman" w:hAnsi="Times New Roman"/>
          <w:color w:val="000000" w:themeColor="text1"/>
          <w:sz w:val="16"/>
          <w:szCs w:val="16"/>
          <w:vertAlign w:val="subscript"/>
        </w:rPr>
        <w:t xml:space="preserve"> 2</w:t>
      </w:r>
      <w:r w:rsidRPr="007122AB">
        <w:rPr>
          <w:rFonts w:ascii="Times New Roman" w:hAnsi="Times New Roman"/>
          <w:color w:val="000000" w:themeColor="text1"/>
          <w:sz w:val="16"/>
          <w:szCs w:val="16"/>
        </w:rPr>
        <w:t>05У (1965-72)- 19 (по другим данным, всего 89</w:t>
      </w:r>
      <w:proofErr w:type="spellStart"/>
      <w:r w:rsidRPr="007122AB">
        <w:rPr>
          <w:rFonts w:ascii="Times New Roman" w:hAnsi="Times New Roman"/>
          <w:color w:val="000000" w:themeColor="text1"/>
          <w:sz w:val="16"/>
          <w:szCs w:val="16"/>
          <w:vertAlign w:val="superscript"/>
          <w:lang w:val="en-US"/>
        </w:rPr>
        <w:t>wwwa</w:t>
      </w:r>
      <w:proofErr w:type="spellEnd"/>
      <w:r w:rsidRPr="007122AB">
        <w:rPr>
          <w:rFonts w:ascii="Times New Roman" w:hAnsi="Times New Roman"/>
          <w:color w:val="000000" w:themeColor="text1"/>
          <w:sz w:val="16"/>
          <w:szCs w:val="16"/>
          <w:vertAlign w:val="superscript"/>
        </w:rPr>
        <w:t>]</w:t>
      </w:r>
      <w:proofErr w:type="spellStart"/>
      <w:r w:rsidRPr="007122AB">
        <w:rPr>
          <w:rFonts w:ascii="Times New Roman" w:hAnsi="Times New Roman"/>
          <w:color w:val="000000" w:themeColor="text1"/>
          <w:sz w:val="16"/>
          <w:szCs w:val="16"/>
          <w:vertAlign w:val="superscript"/>
          <w:lang w:val="en-US"/>
        </w:rPr>
        <w:t>mazspbru</w:t>
      </w:r>
      <w:proofErr w:type="spellEnd"/>
      <w:r w:rsidRPr="007122AB">
        <w:rPr>
          <w:rFonts w:ascii="Times New Roman" w:hAnsi="Times New Roman"/>
          <w:color w:val="000000" w:themeColor="text1"/>
          <w:sz w:val="16"/>
          <w:szCs w:val="16"/>
        </w:rPr>
        <w:t>); пр. 12411 «Молния-1» с ПКР «Термит» (1979-80)- 1, (1982)- 1, (1983)-1; пограничный пр. 205П (1967-89)- 111,</w:t>
      </w:r>
    </w:p>
    <w:p w14:paraId="74683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proofErr w:type="spellStart"/>
      <w:r w:rsidRPr="007122AB">
        <w:rPr>
          <w:rFonts w:ascii="Times New Roman" w:hAnsi="Times New Roman"/>
          <w:color w:val="000000" w:themeColor="text1"/>
          <w:sz w:val="16"/>
          <w:szCs w:val="16"/>
          <w:lang w:val="en-US"/>
        </w:rPr>
        <w:t>VijayDurg</w:t>
      </w:r>
      <w:proofErr w:type="spellEnd"/>
      <w:r w:rsidRPr="007122AB">
        <w:rPr>
          <w:rFonts w:ascii="Times New Roman" w:hAnsi="Times New Roman"/>
          <w:color w:val="000000" w:themeColor="text1"/>
          <w:sz w:val="16"/>
          <w:szCs w:val="16"/>
        </w:rPr>
        <w:t>"), «Прибой» ("</w:t>
      </w:r>
      <w:proofErr w:type="spellStart"/>
      <w:r w:rsidRPr="007122AB">
        <w:rPr>
          <w:rFonts w:ascii="Times New Roman" w:hAnsi="Times New Roman"/>
          <w:color w:val="000000" w:themeColor="text1"/>
          <w:sz w:val="16"/>
          <w:szCs w:val="16"/>
          <w:lang w:val="en-US"/>
        </w:rPr>
        <w:t>SihdhuDurg</w:t>
      </w:r>
      <w:proofErr w:type="spellEnd"/>
      <w:r w:rsidRPr="007122AB">
        <w:rPr>
          <w:rFonts w:ascii="Times New Roman" w:hAnsi="Times New Roman"/>
          <w:color w:val="000000" w:themeColor="text1"/>
          <w:sz w:val="16"/>
          <w:szCs w:val="16"/>
        </w:rPr>
        <w:t>"), «Прилив» ("</w:t>
      </w:r>
      <w:proofErr w:type="spellStart"/>
      <w:r w:rsidRPr="007122AB">
        <w:rPr>
          <w:rFonts w:ascii="Times New Roman" w:hAnsi="Times New Roman"/>
          <w:color w:val="000000" w:themeColor="text1"/>
          <w:sz w:val="16"/>
          <w:szCs w:val="16"/>
          <w:lang w:val="en-US"/>
        </w:rPr>
        <w:t>HosDurg</w:t>
      </w:r>
      <w:proofErr w:type="spellEnd"/>
      <w:r w:rsidRPr="007122AB">
        <w:rPr>
          <w:rFonts w:ascii="Times New Roman" w:hAnsi="Times New Roman"/>
          <w:color w:val="000000" w:themeColor="text1"/>
          <w:sz w:val="16"/>
          <w:szCs w:val="16"/>
        </w:rPr>
        <w:t>"), для Алжира МРК-21 ("</w:t>
      </w:r>
      <w:proofErr w:type="spellStart"/>
      <w:r w:rsidRPr="007122AB">
        <w:rPr>
          <w:rFonts w:ascii="Times New Roman" w:hAnsi="Times New Roman"/>
          <w:color w:val="000000" w:themeColor="text1"/>
          <w:sz w:val="16"/>
          <w:szCs w:val="16"/>
          <w:lang w:val="en-US"/>
        </w:rPr>
        <w:t>RasHamidou</w:t>
      </w:r>
      <w:proofErr w:type="spellEnd"/>
      <w:r w:rsidRPr="007122AB">
        <w:rPr>
          <w:rFonts w:ascii="Times New Roman" w:hAnsi="Times New Roman"/>
          <w:color w:val="000000" w:themeColor="text1"/>
          <w:sz w:val="16"/>
          <w:szCs w:val="16"/>
        </w:rPr>
        <w:t>"), МРК-22 ("</w:t>
      </w:r>
      <w:proofErr w:type="spellStart"/>
      <w:r w:rsidRPr="007122AB">
        <w:rPr>
          <w:rFonts w:ascii="Times New Roman" w:hAnsi="Times New Roman"/>
          <w:color w:val="000000" w:themeColor="text1"/>
          <w:sz w:val="16"/>
          <w:szCs w:val="16"/>
          <w:lang w:val="en-US"/>
        </w:rPr>
        <w:t>ReisAli</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-23 ("</w:t>
      </w:r>
      <w:proofErr w:type="spellStart"/>
      <w:r w:rsidRPr="007122AB">
        <w:rPr>
          <w:rFonts w:ascii="Times New Roman" w:hAnsi="Times New Roman"/>
          <w:color w:val="000000" w:themeColor="text1"/>
          <w:sz w:val="16"/>
          <w:szCs w:val="16"/>
          <w:lang w:val="en-US"/>
        </w:rPr>
        <w:t>SalahReis</w:t>
      </w:r>
      <w:proofErr w:type="spellEnd"/>
      <w:r w:rsidRPr="007122AB">
        <w:rPr>
          <w:rFonts w:ascii="Times New Roman" w:hAnsi="Times New Roman"/>
          <w:color w:val="000000" w:themeColor="text1"/>
          <w:sz w:val="16"/>
          <w:szCs w:val="16"/>
        </w:rPr>
        <w:t xml:space="preserve">"), для Ливии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-9 ("</w:t>
      </w:r>
      <w:proofErr w:type="spellStart"/>
      <w:r w:rsidRPr="007122AB">
        <w:rPr>
          <w:rFonts w:ascii="Times New Roman" w:hAnsi="Times New Roman"/>
          <w:color w:val="000000" w:themeColor="text1"/>
          <w:sz w:val="16"/>
          <w:szCs w:val="16"/>
          <w:lang w:val="en-US"/>
        </w:rPr>
        <w:t>EanMara</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-15 ("</w:t>
      </w:r>
      <w:proofErr w:type="spellStart"/>
      <w:r w:rsidRPr="007122AB">
        <w:rPr>
          <w:rFonts w:ascii="Times New Roman" w:hAnsi="Times New Roman"/>
          <w:color w:val="000000" w:themeColor="text1"/>
          <w:sz w:val="16"/>
          <w:szCs w:val="16"/>
          <w:lang w:val="en-US"/>
        </w:rPr>
        <w:t>EanZaquit</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-24 ("</w:t>
      </w:r>
      <w:r w:rsidRPr="007122AB">
        <w:rPr>
          <w:rFonts w:ascii="Times New Roman" w:hAnsi="Times New Roman"/>
          <w:color w:val="000000" w:themeColor="text1"/>
          <w:sz w:val="16"/>
          <w:szCs w:val="16"/>
          <w:lang w:val="en-US"/>
        </w:rPr>
        <w:t>EanA</w:t>
      </w:r>
      <w:r w:rsidRPr="007122AB">
        <w:rPr>
          <w:rFonts w:ascii="Times New Roman" w:hAnsi="Times New Roman"/>
          <w:color w:val="000000" w:themeColor="text1"/>
          <w:sz w:val="16"/>
          <w:szCs w:val="16"/>
        </w:rPr>
        <w:t xml:space="preserve">1 </w:t>
      </w:r>
      <w:r w:rsidRPr="007122AB">
        <w:rPr>
          <w:rFonts w:ascii="Times New Roman" w:hAnsi="Times New Roman"/>
          <w:color w:val="000000" w:themeColor="text1"/>
          <w:sz w:val="16"/>
          <w:szCs w:val="16"/>
          <w:lang w:val="en-US"/>
        </w:rPr>
        <w:t>Gazala</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MPK</w:t>
      </w:r>
      <w:r w:rsidRPr="007122AB">
        <w:rPr>
          <w:rFonts w:ascii="Times New Roman" w:hAnsi="Times New Roman"/>
          <w:color w:val="000000" w:themeColor="text1"/>
          <w:sz w:val="16"/>
          <w:szCs w:val="16"/>
        </w:rPr>
        <w:t>-25 ("</w:t>
      </w:r>
      <w:proofErr w:type="spellStart"/>
      <w:r w:rsidRPr="007122AB">
        <w:rPr>
          <w:rFonts w:ascii="Times New Roman" w:hAnsi="Times New Roman"/>
          <w:color w:val="000000" w:themeColor="text1"/>
          <w:sz w:val="16"/>
          <w:szCs w:val="16"/>
          <w:lang w:val="en-US"/>
        </w:rPr>
        <w:t>EanZara</w:t>
      </w:r>
      <w:proofErr w:type="spellEnd"/>
      <w:r w:rsidRPr="007122AB">
        <w:rPr>
          <w:rFonts w:ascii="Times New Roman" w:hAnsi="Times New Roman"/>
          <w:color w:val="000000" w:themeColor="text1"/>
          <w:sz w:val="16"/>
          <w:szCs w:val="16"/>
        </w:rPr>
        <w:t>") (1976-84)- 10;</w:t>
      </w:r>
      <w:r w:rsidRPr="007122AB">
        <w:rPr>
          <w:rFonts w:ascii="Times New Roman" w:hAnsi="Times New Roman"/>
          <w:color w:val="000000" w:themeColor="text1"/>
          <w:sz w:val="16"/>
          <w:szCs w:val="16"/>
          <w:vertAlign w:val="superscript"/>
        </w:rPr>
        <w:t>3</w:t>
      </w:r>
      <w:r w:rsidRPr="007122AB">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w:t>
      </w:r>
      <w:proofErr w:type="spellStart"/>
      <w:r w:rsidRPr="007122AB">
        <w:rPr>
          <w:rFonts w:ascii="Times New Roman" w:hAnsi="Times New Roman"/>
          <w:color w:val="000000" w:themeColor="text1"/>
          <w:sz w:val="16"/>
          <w:szCs w:val="16"/>
        </w:rPr>
        <w:t>Ямалец</w:t>
      </w:r>
      <w:proofErr w:type="spellEnd"/>
      <w:r w:rsidRPr="007122AB">
        <w:rPr>
          <w:rFonts w:ascii="Times New Roman" w:hAnsi="Times New Roman"/>
          <w:color w:val="000000" w:themeColor="text1"/>
          <w:sz w:val="16"/>
          <w:szCs w:val="16"/>
        </w:rPr>
        <w:t xml:space="preserve">» (2004),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 310 (2000-е)- всего 10; пр. 10412 «Светляк» для Вьетнама (-08.2002)-1, (-09.2002)- 1; пр. 22460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w:t>
      </w:r>
      <w:proofErr w:type="spellStart"/>
      <w:r w:rsidRPr="007122AB">
        <w:rPr>
          <w:rFonts w:ascii="Times New Roman" w:hAnsi="Times New Roman"/>
          <w:color w:val="000000" w:themeColor="text1"/>
          <w:sz w:val="16"/>
          <w:szCs w:val="16"/>
        </w:rPr>
        <w:t>Кефаллиния</w:t>
      </w:r>
      <w:proofErr w:type="spellEnd"/>
      <w:r w:rsidRPr="007122AB">
        <w:rPr>
          <w:rFonts w:ascii="Times New Roman" w:hAnsi="Times New Roman"/>
          <w:color w:val="000000" w:themeColor="text1"/>
          <w:sz w:val="16"/>
          <w:szCs w:val="16"/>
        </w:rPr>
        <w:t>» (05-10.2000), «</w:t>
      </w:r>
      <w:proofErr w:type="spellStart"/>
      <w:r w:rsidRPr="007122AB">
        <w:rPr>
          <w:rFonts w:ascii="Times New Roman" w:hAnsi="Times New Roman"/>
          <w:color w:val="000000" w:themeColor="text1"/>
          <w:sz w:val="16"/>
          <w:szCs w:val="16"/>
        </w:rPr>
        <w:t>Закинтос</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 107, -05.2001), «</w:t>
      </w:r>
      <w:proofErr w:type="spellStart"/>
      <w:r w:rsidRPr="007122AB">
        <w:rPr>
          <w:rFonts w:ascii="Times New Roman" w:hAnsi="Times New Roman"/>
          <w:color w:val="000000" w:themeColor="text1"/>
          <w:sz w:val="16"/>
          <w:szCs w:val="16"/>
        </w:rPr>
        <w:t>Керкир</w:t>
      </w:r>
      <w:proofErr w:type="spellEnd"/>
      <w:r w:rsidRPr="007122AB">
        <w:rPr>
          <w:rFonts w:ascii="Times New Roman" w:hAnsi="Times New Roman"/>
          <w:color w:val="000000" w:themeColor="text1"/>
          <w:sz w:val="16"/>
          <w:szCs w:val="16"/>
        </w:rPr>
        <w:t xml:space="preserve">»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proofErr w:type="spellStart"/>
      <w:r w:rsidRPr="007122AB">
        <w:rPr>
          <w:rFonts w:ascii="Times New Roman" w:hAnsi="Times New Roman"/>
          <w:color w:val="000000" w:themeColor="text1"/>
          <w:sz w:val="16"/>
          <w:szCs w:val="16"/>
          <w:lang w:val="en-US"/>
        </w:rPr>
        <w:t>SeaHorse</w:t>
      </w:r>
      <w:proofErr w:type="spellEnd"/>
      <w:r w:rsidRPr="007122AB">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5D079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07DC4D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w:t>
      </w:r>
      <w:proofErr w:type="spellStart"/>
      <w:r w:rsidRPr="007122AB">
        <w:rPr>
          <w:rFonts w:ascii="Times New Roman" w:hAnsi="Times New Roman"/>
          <w:color w:val="000000" w:themeColor="text1"/>
          <w:sz w:val="16"/>
          <w:szCs w:val="16"/>
        </w:rPr>
        <w:t>Лаймарита</w:t>
      </w:r>
      <w:proofErr w:type="spellEnd"/>
      <w:r w:rsidRPr="007122AB">
        <w:rPr>
          <w:rFonts w:ascii="Times New Roman" w:hAnsi="Times New Roman"/>
          <w:color w:val="000000" w:themeColor="text1"/>
          <w:sz w:val="16"/>
          <w:szCs w:val="16"/>
        </w:rPr>
        <w:t>» (-06.2000) (11982).</w:t>
      </w:r>
    </w:p>
    <w:p w14:paraId="29980FDD" w14:textId="77777777" w:rsidR="00AC715D" w:rsidRPr="007122AB" w:rsidRDefault="00AC715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A54B81" w14:textId="77777777" w:rsidR="00C90094" w:rsidRPr="007122AB" w:rsidRDefault="00C9009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54E72DF" w14:textId="77777777" w:rsidR="00C90094" w:rsidRPr="007122AB" w:rsidRDefault="00C9009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99BB24"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23 февраля 1931 г.</w:t>
      </w:r>
    </w:p>
    <w:p w14:paraId="5DAD1DA8"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Обзор протестов, направленных в ЦИК СССР в связи с изменением судебного приговора, подготовленный секретариатом М. И. Калинина. 23 февраля 1931 г.</w:t>
      </w:r>
    </w:p>
    <w:p w14:paraId="55579E1B"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D59571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76FBD32"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4B9C97B"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ГА РФ. Ф. P-3316. Оп. 23. Д. 1036. Л. 159-163</w:t>
      </w:r>
    </w:p>
    <w:p w14:paraId="467354DE" w14:textId="77777777" w:rsidR="00C90094" w:rsidRPr="007122AB" w:rsidRDefault="00C90094" w:rsidP="007122AB">
      <w:pPr>
        <w:pStyle w:val="rteright"/>
        <w:spacing w:before="0" w:after="0"/>
        <w:jc w:val="both"/>
        <w:rPr>
          <w:color w:val="000000" w:themeColor="text1"/>
          <w:sz w:val="16"/>
          <w:szCs w:val="16"/>
        </w:rPr>
      </w:pPr>
      <w:r w:rsidRPr="007122AB">
        <w:rPr>
          <w:color w:val="000000" w:themeColor="text1"/>
          <w:sz w:val="16"/>
          <w:szCs w:val="16"/>
        </w:rPr>
        <w:t>23 февраля 1931 г.</w:t>
      </w:r>
    </w:p>
    <w:p w14:paraId="518B92AD"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На имя т. Калинина поступило около сотни писем, главным образом, от рабочих и работниц, а также от красноармейцев, из колхозов, от комсомольцев, от учащихся и т. п. с протестами и упреками против постановления о помиловании осужденных специальным присутствием Верховного Суда главных обвиняемых по процессу Промпартии — к расстрелу. Число этих обращений следует умножить ввиду того, что часть писем поступила за коллективными подписями (от цехов, колхозов, учебных заведений и отдельных групп трудящихся).</w:t>
      </w:r>
    </w:p>
    <w:p w14:paraId="7286E25E"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Авторы писем в значительной части являются членами партии.</w:t>
      </w:r>
    </w:p>
    <w:p w14:paraId="3BA72317"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Общий тон писем усматривает в помиловании признак слабости перед врагом и перед внешним миром; во многих письмах содержатся упреки в игнорировании настроений и требований трудящихся масс Союза и зарубежных стран. Имеются также письма, в которых употреблены резкие формы негодования и выражены опасения насчет присутствия или влияния враждебных элементов на товарищей из руководящих правительственных кругов.</w:t>
      </w:r>
    </w:p>
    <w:p w14:paraId="15F9F569"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Несмотря на недоумение по случаю акта помилования и на протесты, содержащиеся в письмах и обращениях, все письма дышат бодростью и уверенностью, готовностью к дальнейшей борьбе за увеличение темпов строительства, предложениями о разных формах мобилизации сил, средств и т. д.</w:t>
      </w:r>
    </w:p>
    <w:p w14:paraId="31487EA2"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Вот выдержки из некоторых писем, обращений:</w:t>
      </w:r>
    </w:p>
    <w:p w14:paraId="452EDD40"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«...население в акте помилования усматривает мягкотелость, Центральный комитет поощряет целиком и полностью вредительство, наверное, в Центральном Комитете также есть вредители или близкие к ним правые оппортунисты...». Автор интересуется: «...когда выносили постановление о помиловании, участвовал или нет т. Сталин» (товарищ </w:t>
      </w:r>
      <w:proofErr w:type="spellStart"/>
      <w:r w:rsidRPr="007122AB">
        <w:rPr>
          <w:color w:val="000000" w:themeColor="text1"/>
          <w:sz w:val="16"/>
          <w:szCs w:val="16"/>
        </w:rPr>
        <w:t>Малодушев</w:t>
      </w:r>
      <w:proofErr w:type="spellEnd"/>
      <w:r w:rsidRPr="007122AB">
        <w:rPr>
          <w:color w:val="000000" w:themeColor="text1"/>
          <w:sz w:val="16"/>
          <w:szCs w:val="16"/>
        </w:rPr>
        <w:t xml:space="preserve">, член партии с 1926 г. из деревни Климовской, председатель </w:t>
      </w:r>
      <w:proofErr w:type="spellStart"/>
      <w:r w:rsidRPr="007122AB">
        <w:rPr>
          <w:color w:val="000000" w:themeColor="text1"/>
          <w:sz w:val="16"/>
          <w:szCs w:val="16"/>
        </w:rPr>
        <w:t>коопбюро</w:t>
      </w:r>
      <w:proofErr w:type="spellEnd"/>
      <w:r w:rsidRPr="007122AB">
        <w:rPr>
          <w:color w:val="000000" w:themeColor="text1"/>
          <w:sz w:val="16"/>
          <w:szCs w:val="16"/>
        </w:rPr>
        <w:t>).</w:t>
      </w:r>
    </w:p>
    <w:p w14:paraId="31EAB645"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«...На душе было легко, прочитав решение пролетарского суда по делу </w:t>
      </w:r>
      <w:proofErr w:type="spellStart"/>
      <w:r w:rsidRPr="007122AB">
        <w:rPr>
          <w:color w:val="000000" w:themeColor="text1"/>
          <w:sz w:val="16"/>
          <w:szCs w:val="16"/>
        </w:rPr>
        <w:t>контр-революционной</w:t>
      </w:r>
      <w:proofErr w:type="spellEnd"/>
      <w:r w:rsidRPr="007122AB">
        <w:rPr>
          <w:color w:val="000000" w:themeColor="text1"/>
          <w:sz w:val="16"/>
          <w:szCs w:val="16"/>
        </w:rPr>
        <w:t xml:space="preserve"> организации Промпартии, но через день, проглядывая газету, я наткнулся на другое, что вредители помилованы. Здесь сердце рвет на куски, слышится скрежет зубов...». Далее он, сопоставляя товарный кризис, жестокость </w:t>
      </w:r>
      <w:proofErr w:type="spellStart"/>
      <w:r w:rsidRPr="007122AB">
        <w:rPr>
          <w:color w:val="000000" w:themeColor="text1"/>
          <w:sz w:val="16"/>
          <w:szCs w:val="16"/>
        </w:rPr>
        <w:t>хлебо</w:t>
      </w:r>
      <w:proofErr w:type="spellEnd"/>
      <w:r w:rsidRPr="007122AB">
        <w:rPr>
          <w:color w:val="000000" w:themeColor="text1"/>
          <w:sz w:val="16"/>
          <w:szCs w:val="16"/>
        </w:rPr>
        <w:t xml:space="preserve">[-] и других заготовок, суровое преследование за нарушение в этих областях — пишет: «...ваше помилование кучки сволочей напоминает басню Крылова “Волк на псарне”, вы брали во внимание их чистосердечное раскаяние и последние слова на процессе, когда они клялись работать на пользу советской власти, — это равно тому, что волк окружен стадом гончих и чувствуя свой конец, клянется драться с теми, кто будет нападать на стадо...» (Антонов, пограничник </w:t>
      </w:r>
      <w:proofErr w:type="spellStart"/>
      <w:r w:rsidRPr="007122AB">
        <w:rPr>
          <w:color w:val="000000" w:themeColor="text1"/>
          <w:sz w:val="16"/>
          <w:szCs w:val="16"/>
        </w:rPr>
        <w:t>Волочинского</w:t>
      </w:r>
      <w:proofErr w:type="spellEnd"/>
      <w:r w:rsidRPr="007122AB">
        <w:rPr>
          <w:color w:val="000000" w:themeColor="text1"/>
          <w:sz w:val="16"/>
          <w:szCs w:val="16"/>
        </w:rPr>
        <w:t xml:space="preserve"> погранотряда, от 15 декабря).</w:t>
      </w:r>
    </w:p>
    <w:p w14:paraId="145F3CA0"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«...Я не согласен с постановлением ВЦИК насчет Промпартии, так как присутствием специального Верховного Суда был вынесен приговор по делу профессора Рамзина и других вполне правильно, так как этого требовал рабочий класс Советского Союза и даже рабочие Франции и других стран..., а вот вы, как лидеры рабочего класса СССР, не хотите исполнять волю своего класса... А вот когда ГПУ в Москве расстреляло вредителей мясной и рыбной промышленности, то мне это очень понравилось и мне казалось, что действительно мы идем к уничтожению классовых врагов. Я сам бывший красноармеец, участвовал в гражданской войне и хочу заверить советское правительство и партию, что по первому зову готов встать на защиту советских границ» (Поддубный М. И., рабочий Стекольного завода «Дагестанские огни» им. Рыкова — от 11 декабря).</w:t>
      </w:r>
    </w:p>
    <w:p w14:paraId="24A58B83"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«...Приходится </w:t>
      </w:r>
      <w:proofErr w:type="spellStart"/>
      <w:r w:rsidRPr="007122AB">
        <w:rPr>
          <w:color w:val="000000" w:themeColor="text1"/>
          <w:sz w:val="16"/>
          <w:szCs w:val="16"/>
        </w:rPr>
        <w:t>остановливаться</w:t>
      </w:r>
      <w:proofErr w:type="spellEnd"/>
      <w:r w:rsidRPr="007122AB">
        <w:rPr>
          <w:color w:val="000000" w:themeColor="text1"/>
          <w:sz w:val="16"/>
          <w:szCs w:val="16"/>
        </w:rPr>
        <w:t xml:space="preserve"> на одном, что хорошо живется грамотному образованному человеку, только им приходится вести борьбу за власть, только они и </w:t>
      </w:r>
      <w:proofErr w:type="spellStart"/>
      <w:r w:rsidRPr="007122AB">
        <w:rPr>
          <w:color w:val="000000" w:themeColor="text1"/>
          <w:sz w:val="16"/>
          <w:szCs w:val="16"/>
        </w:rPr>
        <w:t>борятся</w:t>
      </w:r>
      <w:proofErr w:type="spellEnd"/>
      <w:r w:rsidRPr="007122AB">
        <w:rPr>
          <w:color w:val="000000" w:themeColor="text1"/>
          <w:sz w:val="16"/>
          <w:szCs w:val="16"/>
        </w:rPr>
        <w:t>, надеясь, что плохих последствий быть не может... Наш суд не мстил, а по заслугам наградил офицеров армии Пуанкаре-война; им не нужно было бы снимать этого наказания» (</w:t>
      </w:r>
      <w:proofErr w:type="spellStart"/>
      <w:r w:rsidRPr="007122AB">
        <w:rPr>
          <w:color w:val="000000" w:themeColor="text1"/>
          <w:sz w:val="16"/>
          <w:szCs w:val="16"/>
        </w:rPr>
        <w:t>Дмитрочков</w:t>
      </w:r>
      <w:proofErr w:type="spellEnd"/>
      <w:r w:rsidRPr="007122AB">
        <w:rPr>
          <w:color w:val="000000" w:themeColor="text1"/>
          <w:sz w:val="16"/>
          <w:szCs w:val="16"/>
        </w:rPr>
        <w:t xml:space="preserve"> Сергей, Себеж, прораб — 19 декабря, дер. </w:t>
      </w:r>
      <w:proofErr w:type="spellStart"/>
      <w:r w:rsidRPr="007122AB">
        <w:rPr>
          <w:color w:val="000000" w:themeColor="text1"/>
          <w:sz w:val="16"/>
          <w:szCs w:val="16"/>
        </w:rPr>
        <w:t>Мидино</w:t>
      </w:r>
      <w:proofErr w:type="spellEnd"/>
      <w:r w:rsidRPr="007122AB">
        <w:rPr>
          <w:color w:val="000000" w:themeColor="text1"/>
          <w:sz w:val="16"/>
          <w:szCs w:val="16"/>
        </w:rPr>
        <w:t>).</w:t>
      </w:r>
    </w:p>
    <w:p w14:paraId="7DE5DBB4"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Рабочий Тагильского завода Лапкин в письме от 17 декабря пишет: «Стоило ли нам останавливаться перед расстрелом Рамзина и его приспешников, когда этого требовал весь рабочий класс земного шара. Зачем Верховный суд записал, что все виновные приговорены к расстрелу, приговор окончательный и обжалованию не подлежит, однако эти изменники, эти продажные душонки были помилованы. Но рабочие и крестьяне и я вместе с ними заявляем, что эту банду вредителей надо было расстрелять. Я заверяю правительство о том, что как только буржуазный мир попытается напасть на границы Советского Союза, то есть вопреки нашего мирного социалистического строительства откроют войну — я по первому зову, как и все рабочие и крестьяне, встанем снова под винтовку для защиты завоеваний Октября».</w:t>
      </w:r>
    </w:p>
    <w:p w14:paraId="762A94A7"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Т. Рожков, слесарь инструментального завода в г. Коврове, ссылаясь на напряженное внимание, с которым он и другие рабочие следили за процессом, за докладами парторганизации о вредителях, говоря об энтузиазме масс, проявленном в ответ на действия вредителей, на увеличение подписки на займы, ударничество и т. п. пишет: «Все рабочие постановления были “отказать в паспорте на жизнь этим гадам”, но ЦИК СССР в этом случае воли масс не выполнил и тем, что их помиловал, это иностранный капитал будет думать, что мы испугались. Проводя по заводу подписку на дополнительный заем, рабочие прямо говорят, что все наши постановления идут на </w:t>
      </w:r>
      <w:proofErr w:type="spellStart"/>
      <w:r w:rsidRPr="007122AB">
        <w:rPr>
          <w:color w:val="000000" w:themeColor="text1"/>
          <w:sz w:val="16"/>
          <w:szCs w:val="16"/>
        </w:rPr>
        <w:t>смарку</w:t>
      </w:r>
      <w:proofErr w:type="spellEnd"/>
      <w:r w:rsidRPr="007122AB">
        <w:rPr>
          <w:color w:val="000000" w:themeColor="text1"/>
          <w:sz w:val="16"/>
          <w:szCs w:val="16"/>
        </w:rPr>
        <w:t xml:space="preserve"> и дать ответ на данный вопрос слишком трудно, ибо нет причин к их помилованию и кроме того, оставить их живыми и желая их использовать, необходим надзор, а это значит, нам быть прислугой у господ профессоров Рамзиных, Ларичевых и других, а они будут лишь только улыбаться, они наверное теперь смеются, ибо им на суде говорить что либо нужно, а жизнь им дороже. Ваше постановление разбирали на вечерней совпартшколе и многие также не согласились».</w:t>
      </w:r>
    </w:p>
    <w:p w14:paraId="5A95CC11"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От имени собрания (107 чел.) рабочих, красноармейцев и студентов получено постановление, в котором пишется: «Зачитав постановление Президиума ЦИКа Союза об отмене приговора Верховного Суда по делу Промпартии... мы, рабочие механического завода, железнодорожники Новочеркасского узла, красноармейцы 30 Краснознаменного Саратовского полка, 5 </w:t>
      </w:r>
      <w:proofErr w:type="spellStart"/>
      <w:r w:rsidRPr="007122AB">
        <w:rPr>
          <w:color w:val="000000" w:themeColor="text1"/>
          <w:sz w:val="16"/>
          <w:szCs w:val="16"/>
        </w:rPr>
        <w:t>Блиновской</w:t>
      </w:r>
      <w:proofErr w:type="spellEnd"/>
      <w:r w:rsidRPr="007122AB">
        <w:rPr>
          <w:color w:val="000000" w:themeColor="text1"/>
          <w:sz w:val="16"/>
          <w:szCs w:val="16"/>
        </w:rPr>
        <w:t xml:space="preserve"> </w:t>
      </w:r>
      <w:proofErr w:type="spellStart"/>
      <w:r w:rsidRPr="007122AB">
        <w:rPr>
          <w:color w:val="000000" w:themeColor="text1"/>
          <w:sz w:val="16"/>
          <w:szCs w:val="16"/>
        </w:rPr>
        <w:t>кавдивизии</w:t>
      </w:r>
      <w:proofErr w:type="spellEnd"/>
      <w:r w:rsidRPr="007122AB">
        <w:rPr>
          <w:color w:val="000000" w:themeColor="text1"/>
          <w:sz w:val="16"/>
          <w:szCs w:val="16"/>
        </w:rPr>
        <w:t xml:space="preserve"> и 29 Сталинградского </w:t>
      </w:r>
      <w:proofErr w:type="spellStart"/>
      <w:r w:rsidRPr="007122AB">
        <w:rPr>
          <w:color w:val="000000" w:themeColor="text1"/>
          <w:sz w:val="16"/>
          <w:szCs w:val="16"/>
        </w:rPr>
        <w:t>Камышевского</w:t>
      </w:r>
      <w:proofErr w:type="spellEnd"/>
      <w:r w:rsidRPr="007122AB">
        <w:rPr>
          <w:color w:val="000000" w:themeColor="text1"/>
          <w:sz w:val="16"/>
          <w:szCs w:val="16"/>
        </w:rPr>
        <w:t xml:space="preserve"> полка, с участием студентов пролетарских ВУЗов г. Новочеркасска, с большим негодованием зачитываем ваше постановление об отмене расстрела от 8 декабря и высказываем наш протест. Мы требуем от вас отменить постановление (о помиловании), подтвердив приговор Верховного Суда, вынесенный по делу этих гадов. Если только это не сделаете, то просим на нас не обижаться, мы пойдем в подполье и будем таких гадов сами приговаривать. Все наши заслуги можете у нас отобрать. Как вы еще не амнистировали Колчака и царя, которые тоже раскаялись. Теряете революционное чутье. Позор. Мы требуем». (СКК, Новочеркасск. От имени 107 рабочих, красноармейцев и студентов: Би- </w:t>
      </w:r>
      <w:proofErr w:type="spellStart"/>
      <w:r w:rsidRPr="007122AB">
        <w:rPr>
          <w:color w:val="000000" w:themeColor="text1"/>
          <w:sz w:val="16"/>
          <w:szCs w:val="16"/>
        </w:rPr>
        <w:t>кетов</w:t>
      </w:r>
      <w:proofErr w:type="spellEnd"/>
      <w:r w:rsidRPr="007122AB">
        <w:rPr>
          <w:color w:val="000000" w:themeColor="text1"/>
          <w:sz w:val="16"/>
          <w:szCs w:val="16"/>
        </w:rPr>
        <w:t xml:space="preserve"> от рабочих, от красноармейцев — Влад&lt;...&gt;, от студентов — Павлов. — 10 декабря 1930 г.)</w:t>
      </w:r>
    </w:p>
    <w:p w14:paraId="3FC29CB1"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Телеграмма из </w:t>
      </w:r>
      <w:proofErr w:type="spellStart"/>
      <w:r w:rsidRPr="007122AB">
        <w:rPr>
          <w:color w:val="000000" w:themeColor="text1"/>
          <w:sz w:val="16"/>
          <w:szCs w:val="16"/>
        </w:rPr>
        <w:t>Горноколыванскова</w:t>
      </w:r>
      <w:proofErr w:type="spellEnd"/>
      <w:r w:rsidRPr="007122AB">
        <w:rPr>
          <w:color w:val="000000" w:themeColor="text1"/>
          <w:sz w:val="16"/>
          <w:szCs w:val="16"/>
        </w:rPr>
        <w:t xml:space="preserve"> «Мы коммунары коммуны “Красный воин” из далекого Алтая Горно-Колыванского района Сибири требуем срочного пересмотра постановления по делу обвинения контрреволюционной организации Промпартии и просим оставить приговор Верховного Суда СССР в силе — Коммуна Красный Воин».</w:t>
      </w:r>
    </w:p>
    <w:p w14:paraId="2801F716"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«...Рабочие возмущаются и недоумевают, что это [-] трусость или гуманность или своего рода политика... На местах иногда применяют высшую меру наказания даже таким преступникам, которые вышли из среды рабочего класса, но просто сбились с пути, а здесь просто исход один — расстрелять — вот чего требовал рабочий класс Союза и других стран, а вы не подчинились голосу масс и самовольно делаете что хотите. Так как я еду со съезда, где массы всего Донбасса высказывали протест, то я считаю, что нам надо объясниться через газету» (Комов, член партии, рабочий Трубного завода в </w:t>
      </w:r>
      <w:proofErr w:type="spellStart"/>
      <w:r w:rsidRPr="007122AB">
        <w:rPr>
          <w:color w:val="000000" w:themeColor="text1"/>
          <w:sz w:val="16"/>
          <w:szCs w:val="16"/>
        </w:rPr>
        <w:t>Харцыске</w:t>
      </w:r>
      <w:proofErr w:type="spellEnd"/>
      <w:r w:rsidRPr="007122AB">
        <w:rPr>
          <w:color w:val="000000" w:themeColor="text1"/>
          <w:sz w:val="16"/>
          <w:szCs w:val="16"/>
        </w:rPr>
        <w:t>).</w:t>
      </w:r>
    </w:p>
    <w:p w14:paraId="6E70D717"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«В самом деле, надо ли жалеть тех, кто сводил на нет рабочую инициативу, кто строил вредительские планы в промышленности, кто тащит последние соки от каждого рабочего, на благополучие французского и других капиталов. Разве можно дать другой приговор этим Рамзиным, разве дорого их раскаяние, да, оно нам было нужно, но оно не должно отменять расстрела...». Далее, считая постановление о помиловании слабостью и противоречащим требованию рабочих масс, автор пишет: «Разве ты не читал и не знал, что говорили миллионы таких, каким был раньше ты, у вас всегда есть оговорка, что мол, это связано с политическими и прочими моментами. Так знайте, что мы перед такими делами не трусим, мы хоть сейчас готовы взять винтовку в руки, чтобы пойти за Октябрь. Передайте эти уверения и Сталину от меня беспартийного рабочего, но с вашим постановлением я не согласен, не согласны и многие, даже все, никто с этим не мирится» (Павел Бондарев, рабочий, Ленинград — 9 декабря).</w:t>
      </w:r>
    </w:p>
    <w:p w14:paraId="79F86DDC"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Эти отрывки писем являются типичными для остальных индивидуальных и коллективных обращений.</w:t>
      </w:r>
    </w:p>
    <w:p w14:paraId="4A9B8F53"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Даты обращений и писем приблизительно все совпадают и относятся к первым неделе — другой после опубликования приговора суда и постановления о помиловании. В дальнейшем приток писем сразу оборвался; это обстоятельство в известной степени позволяет предполагать, что в большинстве случаев протесты и недоумения возникли вследствие того, что партийные организации на местах не успели еще провести широкую политическую кампанию по разъяснению основных мотивов, коими руководствовалось правительство при рассмотрении ходатайства осужденных о помиловании.</w:t>
      </w:r>
    </w:p>
    <w:p w14:paraId="4CD64D7A"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Обращает на себя внимание и то обстоятельство, что в подавляющем большинстве письма и обращения исходят из отдаленных районов, нет протестов и недоуменных вопросов со стороны отдельных лиц и организаций из крупных центров промышленности, а также от крупных колхозов.</w:t>
      </w:r>
    </w:p>
    <w:p w14:paraId="5467117E"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Что же касается невыдержанного по своему содержанию письма из Новочеркасска от имени 107 рабочих, красноармейцев и студентов, то оно оставляет впечатление мистификации и может быть следовало бы в партийном порядке обследовать хотя бы и с запозданием обстоятельство, помешавшее местным партийным органам дать нужное разъяснение на этом собрании, если оно действительно имело место.</w:t>
      </w:r>
    </w:p>
    <w:p w14:paraId="1116F641" w14:textId="77777777" w:rsidR="00C90094" w:rsidRPr="007122AB" w:rsidRDefault="00C90094" w:rsidP="007122AB">
      <w:pPr>
        <w:pStyle w:val="ae"/>
        <w:spacing w:before="0" w:after="0"/>
        <w:jc w:val="both"/>
        <w:rPr>
          <w:color w:val="000000" w:themeColor="text1"/>
          <w:sz w:val="16"/>
          <w:szCs w:val="16"/>
        </w:rPr>
      </w:pPr>
      <w:r w:rsidRPr="007122AB">
        <w:rPr>
          <w:color w:val="000000" w:themeColor="text1"/>
          <w:sz w:val="16"/>
          <w:szCs w:val="16"/>
        </w:rPr>
        <w:t>23/II- 1931 г.</w:t>
      </w:r>
    </w:p>
    <w:p w14:paraId="38F1C92C" w14:textId="77777777" w:rsidR="00C90094" w:rsidRPr="007122AB" w:rsidRDefault="00C90094" w:rsidP="007122AB">
      <w:pPr>
        <w:pStyle w:val="ae"/>
        <w:spacing w:before="0" w:after="0"/>
        <w:jc w:val="both"/>
        <w:rPr>
          <w:color w:val="000000" w:themeColor="text1"/>
          <w:sz w:val="16"/>
          <w:szCs w:val="16"/>
        </w:rPr>
      </w:pPr>
      <w:r w:rsidRPr="007122AB">
        <w:rPr>
          <w:color w:val="000000" w:themeColor="text1"/>
          <w:sz w:val="16"/>
          <w:szCs w:val="16"/>
        </w:rPr>
        <w:t>&lt;</w:t>
      </w:r>
      <w:proofErr w:type="spellStart"/>
      <w:r w:rsidRPr="007122AB">
        <w:rPr>
          <w:color w:val="000000" w:themeColor="text1"/>
          <w:sz w:val="16"/>
          <w:szCs w:val="16"/>
        </w:rPr>
        <w:t>Тарашкин</w:t>
      </w:r>
      <w:proofErr w:type="spellEnd"/>
      <w:r w:rsidRPr="007122AB">
        <w:rPr>
          <w:color w:val="000000" w:themeColor="text1"/>
          <w:sz w:val="16"/>
          <w:szCs w:val="16"/>
        </w:rPr>
        <w:t>&gt;</w:t>
      </w:r>
    </w:p>
    <w:p w14:paraId="2EBF613F" w14:textId="77777777" w:rsidR="00C90094" w:rsidRPr="007122AB" w:rsidRDefault="00C90094" w:rsidP="007122AB">
      <w:pPr>
        <w:pStyle w:val="ae"/>
        <w:spacing w:before="0" w:after="0"/>
        <w:jc w:val="both"/>
        <w:rPr>
          <w:color w:val="000000" w:themeColor="text1"/>
          <w:sz w:val="16"/>
          <w:szCs w:val="16"/>
        </w:rPr>
      </w:pPr>
      <w:r w:rsidRPr="007122AB">
        <w:rPr>
          <w:rStyle w:val="af0"/>
          <w:i w:val="0"/>
          <w:color w:val="000000" w:themeColor="text1"/>
          <w:sz w:val="16"/>
          <w:szCs w:val="16"/>
        </w:rPr>
        <w:t>ГА РФ. Ф. P-3316. Оп. 23. Д. 1036. Л. 159-163. Машинописный подлинник, подпись составителя обзора — автограф. На. Л. 163 вверху слева резолюция (от руки): «В дело вместе с письмами сдать в архив. 4/IV»; справа прямоугольный штамп делопроизводства ЦИК СССР с рукописной пометой «ПР-343.75/3-30 год» (19049).</w:t>
      </w:r>
    </w:p>
    <w:p w14:paraId="7F027391" w14:textId="77777777" w:rsidR="00C90094" w:rsidRPr="007122AB" w:rsidRDefault="00C90094" w:rsidP="007122AB">
      <w:pPr>
        <w:spacing w:after="0" w:line="240" w:lineRule="auto"/>
        <w:jc w:val="both"/>
        <w:rPr>
          <w:rFonts w:ascii="Times New Roman" w:hAnsi="Times New Roman"/>
          <w:color w:val="000000" w:themeColor="text1"/>
          <w:sz w:val="16"/>
          <w:szCs w:val="16"/>
        </w:rPr>
      </w:pPr>
    </w:p>
    <w:p w14:paraId="1C187F09"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февраля 1931. Газета "Вечерняя Москва" сообщала: "ВСФК вводится особый значок "Готов к труду и обороне", которым будут награждаться физкультурники за всестороннее физкультурное развитие" (18724).</w:t>
      </w:r>
    </w:p>
    <w:p w14:paraId="72CE2B66" w14:textId="77777777" w:rsidR="00C90094" w:rsidRPr="007122AB" w:rsidRDefault="00C90094" w:rsidP="007122AB">
      <w:pPr>
        <w:spacing w:after="0" w:line="240" w:lineRule="auto"/>
        <w:jc w:val="both"/>
        <w:rPr>
          <w:rFonts w:ascii="Times New Roman" w:hAnsi="Times New Roman"/>
          <w:color w:val="000000" w:themeColor="text1"/>
          <w:sz w:val="16"/>
          <w:szCs w:val="16"/>
        </w:rPr>
      </w:pPr>
    </w:p>
    <w:p w14:paraId="6A63CB8F" w14:textId="77777777" w:rsidR="00AC715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1850F2F" w14:textId="77777777" w:rsidR="00AC715D" w:rsidRPr="007122AB" w:rsidRDefault="00AC715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A43692" w14:textId="77777777" w:rsidR="00AC715D" w:rsidRPr="007122AB" w:rsidRDefault="00AC71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lastRenderedPageBreak/>
        <w:t>23 февраля</w:t>
      </w:r>
      <w:r w:rsidRPr="007122AB">
        <w:rPr>
          <w:rFonts w:ascii="Times New Roman" w:hAnsi="Times New Roman"/>
          <w:color w:val="000000" w:themeColor="text1"/>
          <w:sz w:val="16"/>
          <w:szCs w:val="16"/>
        </w:rPr>
        <w:t xml:space="preserve"> в 1931 году экипаж самолета </w:t>
      </w:r>
      <w:hyperlink r:id="rId25"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Bernard</w:t>
        </w:r>
        <w:proofErr w:type="spellEnd"/>
        <w:r w:rsidRPr="007122AB">
          <w:rPr>
            <w:rFonts w:ascii="Times New Roman" w:hAnsi="Times New Roman"/>
            <w:color w:val="000000" w:themeColor="text1"/>
            <w:sz w:val="16"/>
            <w:szCs w:val="16"/>
          </w:rPr>
          <w:t xml:space="preserve">» «80GR» </w:t>
        </w:r>
      </w:hyperlink>
      <w:r w:rsidRPr="007122AB">
        <w:rPr>
          <w:rFonts w:ascii="Times New Roman" w:hAnsi="Times New Roman"/>
          <w:color w:val="000000" w:themeColor="text1"/>
          <w:sz w:val="16"/>
          <w:szCs w:val="16"/>
        </w:rPr>
        <w:t>стартовал в попытке установить новый мировой рекорд дальности полета по замкнутому маршруту. Самолет имел регистрационный бортовой код «F-AKEX» и был заправлен 6300 литрами топлива. Вначале полет проходил без особых осложнений. Спустя некоторое время, вдруг выяснилось, что расход топлива в полете гораздо выше предусмотренного в расчетах. 25 февраля пришлось совершить вынужденную посадку. Самолет продержался в воздухе 50 часов и 2 минуты. При этом он пролетел расстояние, равное 8168 километров. Не хватило всего каких-то двадцати километров, чтобы повторить рекорд итальянцев. В последствии выяснилось, что виной всему был плохо отрегулированный винт самолета (15049).</w:t>
      </w:r>
    </w:p>
    <w:p w14:paraId="0ECE573C" w14:textId="77777777" w:rsidR="00AC715D" w:rsidRPr="007122AB" w:rsidRDefault="00AC715D" w:rsidP="007122AB">
      <w:pPr>
        <w:spacing w:after="0" w:line="240" w:lineRule="auto"/>
        <w:jc w:val="both"/>
        <w:rPr>
          <w:rFonts w:ascii="Times New Roman" w:hAnsi="Times New Roman"/>
          <w:color w:val="000000" w:themeColor="text1"/>
          <w:sz w:val="16"/>
          <w:szCs w:val="16"/>
        </w:rPr>
      </w:pPr>
    </w:p>
    <w:p w14:paraId="1CF54442" w14:textId="77777777" w:rsidR="00AC715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84858F1" w14:textId="77777777" w:rsidR="00AC715D" w:rsidRPr="007122AB" w:rsidRDefault="00AC715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88DB88" w14:textId="77777777" w:rsidR="00AC715D" w:rsidRPr="007122AB" w:rsidRDefault="00AC71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24 февраля</w:t>
      </w:r>
      <w:r w:rsidRPr="007122AB">
        <w:rPr>
          <w:rFonts w:ascii="Times New Roman" w:hAnsi="Times New Roman"/>
          <w:color w:val="000000" w:themeColor="text1"/>
          <w:sz w:val="16"/>
          <w:szCs w:val="16"/>
        </w:rPr>
        <w:t xml:space="preserve"> в 1931 году впервые взлетел прототип английской транспортной летающей лодки </w:t>
      </w:r>
      <w:hyperlink r:id="rId26"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«S.17» «</w:t>
        </w:r>
        <w:proofErr w:type="spellStart"/>
        <w:r w:rsidRPr="007122AB">
          <w:rPr>
            <w:rFonts w:ascii="Times New Roman" w:hAnsi="Times New Roman"/>
            <w:color w:val="000000" w:themeColor="text1"/>
            <w:sz w:val="16"/>
            <w:szCs w:val="16"/>
          </w:rPr>
          <w:t>Kent</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названный "</w:t>
      </w:r>
      <w:proofErr w:type="spellStart"/>
      <w:r w:rsidRPr="007122AB">
        <w:rPr>
          <w:rFonts w:ascii="Times New Roman" w:hAnsi="Times New Roman"/>
          <w:color w:val="000000" w:themeColor="text1"/>
          <w:sz w:val="16"/>
          <w:szCs w:val="16"/>
        </w:rPr>
        <w:t>Scipio</w:t>
      </w:r>
      <w:proofErr w:type="spellEnd"/>
      <w:r w:rsidRPr="007122AB">
        <w:rPr>
          <w:rFonts w:ascii="Times New Roman" w:hAnsi="Times New Roman"/>
          <w:color w:val="000000" w:themeColor="text1"/>
          <w:sz w:val="16"/>
          <w:szCs w:val="16"/>
        </w:rPr>
        <w:t>" («G-ABFA»). Успешная эксплуатация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«S.8» «</w:t>
      </w:r>
      <w:proofErr w:type="spellStart"/>
      <w:r w:rsidRPr="007122AB">
        <w:rPr>
          <w:rFonts w:ascii="Times New Roman" w:hAnsi="Times New Roman"/>
          <w:color w:val="000000" w:themeColor="text1"/>
          <w:sz w:val="16"/>
          <w:szCs w:val="16"/>
        </w:rPr>
        <w:t>Calcutta</w:t>
      </w:r>
      <w:proofErr w:type="spellEnd"/>
      <w:r w:rsidRPr="007122AB">
        <w:rPr>
          <w:rFonts w:ascii="Times New Roman" w:hAnsi="Times New Roman"/>
          <w:color w:val="000000" w:themeColor="text1"/>
          <w:sz w:val="16"/>
          <w:szCs w:val="16"/>
        </w:rPr>
        <w:t>» повлияла на решение «Imperial Airways» вновь воспользоваться услугами фирмы братьев Шорт. В конце 1920-х было заказно три новых летающих лодки для замены "Калькутты" на средиземноморском участке имперских авиалиний. Проект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«S.17» «</w:t>
      </w:r>
      <w:proofErr w:type="spellStart"/>
      <w:r w:rsidRPr="007122AB">
        <w:rPr>
          <w:rFonts w:ascii="Times New Roman" w:hAnsi="Times New Roman"/>
          <w:color w:val="000000" w:themeColor="text1"/>
          <w:sz w:val="16"/>
          <w:szCs w:val="16"/>
        </w:rPr>
        <w:t>Kent</w:t>
      </w:r>
      <w:proofErr w:type="spellEnd"/>
      <w:r w:rsidRPr="007122AB">
        <w:rPr>
          <w:rFonts w:ascii="Times New Roman" w:hAnsi="Times New Roman"/>
          <w:color w:val="000000" w:themeColor="text1"/>
          <w:sz w:val="16"/>
          <w:szCs w:val="16"/>
        </w:rPr>
        <w:t>» стал развитием предыдущей модели. У нового самолёта были увеличены размеры фюзеляжа и размах крыльев, установлены четыре более мощных двигателя «Bristol»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XFBM». Пилотская кабина стала закрытой, повысился комфорт пассажирского салона. Были проведены мероприятия по защите от коррозии, вызываемой морской водой. Испытания прототипа происходили настолько гладко, что уже 5 мая 1931 самолёт вышел на линию. 15 мая к нему присоединился второй экземпляр («G-ABFB» "</w:t>
      </w:r>
      <w:proofErr w:type="spellStart"/>
      <w:r w:rsidRPr="007122AB">
        <w:rPr>
          <w:rFonts w:ascii="Times New Roman" w:hAnsi="Times New Roman"/>
          <w:color w:val="000000" w:themeColor="text1"/>
          <w:sz w:val="16"/>
          <w:szCs w:val="16"/>
        </w:rPr>
        <w:t>Sylvanus</w:t>
      </w:r>
      <w:proofErr w:type="spellEnd"/>
      <w:r w:rsidRPr="007122AB">
        <w:rPr>
          <w:rFonts w:ascii="Times New Roman" w:hAnsi="Times New Roman"/>
          <w:color w:val="000000" w:themeColor="text1"/>
          <w:sz w:val="16"/>
          <w:szCs w:val="16"/>
        </w:rPr>
        <w:t>"), а 26 мая третий (G-AFBC "</w:t>
      </w:r>
      <w:proofErr w:type="spellStart"/>
      <w:r w:rsidRPr="007122AB">
        <w:rPr>
          <w:rFonts w:ascii="Times New Roman" w:hAnsi="Times New Roman"/>
          <w:color w:val="000000" w:themeColor="text1"/>
          <w:sz w:val="16"/>
          <w:szCs w:val="16"/>
        </w:rPr>
        <w:t>Satyrus</w:t>
      </w:r>
      <w:proofErr w:type="spellEnd"/>
      <w:r w:rsidRPr="007122AB">
        <w:rPr>
          <w:rFonts w:ascii="Times New Roman" w:hAnsi="Times New Roman"/>
          <w:color w:val="000000" w:themeColor="text1"/>
          <w:sz w:val="16"/>
          <w:szCs w:val="16"/>
        </w:rPr>
        <w:t xml:space="preserve">"). Машины использовались на трассе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w:t>
      </w:r>
      <w:proofErr w:type="spellStart"/>
      <w:r w:rsidRPr="007122AB">
        <w:rPr>
          <w:rFonts w:ascii="Times New Roman" w:hAnsi="Times New Roman"/>
          <w:color w:val="000000" w:themeColor="text1"/>
          <w:sz w:val="16"/>
          <w:szCs w:val="16"/>
        </w:rPr>
        <w:t>Лимассол</w:t>
      </w:r>
      <w:proofErr w:type="spellEnd"/>
      <w:r w:rsidRPr="007122AB">
        <w:rPr>
          <w:rFonts w:ascii="Times New Roman" w:hAnsi="Times New Roman"/>
          <w:color w:val="000000" w:themeColor="text1"/>
          <w:sz w:val="16"/>
          <w:szCs w:val="16"/>
        </w:rPr>
        <w:t xml:space="preserve"> - Хайфа - Александрия. В том же 1932 году все три построенных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«S.17» ("</w:t>
      </w:r>
      <w:proofErr w:type="spellStart"/>
      <w:r w:rsidRPr="007122AB">
        <w:rPr>
          <w:rFonts w:ascii="Times New Roman" w:hAnsi="Times New Roman"/>
          <w:color w:val="000000" w:themeColor="text1"/>
          <w:sz w:val="16"/>
          <w:szCs w:val="16"/>
        </w:rPr>
        <w:t>Scipio</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Sylvanus</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Satyrus</w:t>
      </w:r>
      <w:proofErr w:type="spellEnd"/>
      <w:r w:rsidRPr="007122AB">
        <w:rPr>
          <w:rFonts w:ascii="Times New Roman" w:hAnsi="Times New Roman"/>
          <w:color w:val="000000" w:themeColor="text1"/>
          <w:sz w:val="16"/>
          <w:szCs w:val="16"/>
        </w:rPr>
        <w:t xml:space="preserve">" ) полностью заменили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xml:space="preserve"> S.8 </w:t>
      </w:r>
      <w:proofErr w:type="spellStart"/>
      <w:r w:rsidRPr="007122AB">
        <w:rPr>
          <w:rFonts w:ascii="Times New Roman" w:hAnsi="Times New Roman"/>
          <w:color w:val="000000" w:themeColor="text1"/>
          <w:sz w:val="16"/>
          <w:szCs w:val="16"/>
        </w:rPr>
        <w:t>Calcutta</w:t>
      </w:r>
      <w:proofErr w:type="spellEnd"/>
      <w:r w:rsidRPr="007122AB">
        <w:rPr>
          <w:rFonts w:ascii="Times New Roman" w:hAnsi="Times New Roman"/>
          <w:color w:val="000000" w:themeColor="text1"/>
          <w:sz w:val="16"/>
          <w:szCs w:val="16"/>
        </w:rPr>
        <w:t xml:space="preserve"> на средиземноморской линии. 9 ноября 1935 "</w:t>
      </w:r>
      <w:proofErr w:type="spellStart"/>
      <w:r w:rsidRPr="007122AB">
        <w:rPr>
          <w:rFonts w:ascii="Times New Roman" w:hAnsi="Times New Roman"/>
          <w:color w:val="000000" w:themeColor="text1"/>
          <w:sz w:val="16"/>
          <w:szCs w:val="16"/>
        </w:rPr>
        <w:t>Sylvanus</w:t>
      </w:r>
      <w:proofErr w:type="spellEnd"/>
      <w:r w:rsidRPr="007122AB">
        <w:rPr>
          <w:rFonts w:ascii="Times New Roman" w:hAnsi="Times New Roman"/>
          <w:color w:val="000000" w:themeColor="text1"/>
          <w:sz w:val="16"/>
          <w:szCs w:val="16"/>
        </w:rPr>
        <w:t>" сгорел в Бриндизи в результате террористического акта. 22 августа 1936 в сложных метеоусловиях "</w:t>
      </w:r>
      <w:proofErr w:type="spellStart"/>
      <w:r w:rsidRPr="007122AB">
        <w:rPr>
          <w:rFonts w:ascii="Times New Roman" w:hAnsi="Times New Roman"/>
          <w:color w:val="000000" w:themeColor="text1"/>
          <w:sz w:val="16"/>
          <w:szCs w:val="16"/>
        </w:rPr>
        <w:t>Scipio</w:t>
      </w:r>
      <w:proofErr w:type="spellEnd"/>
      <w:r w:rsidRPr="007122AB">
        <w:rPr>
          <w:rFonts w:ascii="Times New Roman" w:hAnsi="Times New Roman"/>
          <w:color w:val="000000" w:themeColor="text1"/>
          <w:sz w:val="16"/>
          <w:szCs w:val="16"/>
        </w:rPr>
        <w:t xml:space="preserve">" потерпел аварию при посадке в порту </w:t>
      </w:r>
      <w:proofErr w:type="spellStart"/>
      <w:r w:rsidRPr="007122AB">
        <w:rPr>
          <w:rFonts w:ascii="Times New Roman" w:hAnsi="Times New Roman"/>
          <w:color w:val="000000" w:themeColor="text1"/>
          <w:sz w:val="16"/>
          <w:szCs w:val="16"/>
        </w:rPr>
        <w:t>Мирабелла</w:t>
      </w:r>
      <w:proofErr w:type="spellEnd"/>
      <w:r w:rsidRPr="007122AB">
        <w:rPr>
          <w:rFonts w:ascii="Times New Roman" w:hAnsi="Times New Roman"/>
          <w:color w:val="000000" w:themeColor="text1"/>
          <w:sz w:val="16"/>
          <w:szCs w:val="16"/>
        </w:rPr>
        <w:t xml:space="preserve"> на Крите. "</w:t>
      </w:r>
      <w:proofErr w:type="spellStart"/>
      <w:r w:rsidRPr="007122AB">
        <w:rPr>
          <w:rFonts w:ascii="Times New Roman" w:hAnsi="Times New Roman"/>
          <w:color w:val="000000" w:themeColor="text1"/>
          <w:sz w:val="16"/>
          <w:szCs w:val="16"/>
        </w:rPr>
        <w:t>Satyrus</w:t>
      </w:r>
      <w:proofErr w:type="spellEnd"/>
      <w:r w:rsidRPr="007122AB">
        <w:rPr>
          <w:rFonts w:ascii="Times New Roman" w:hAnsi="Times New Roman"/>
          <w:color w:val="000000" w:themeColor="text1"/>
          <w:sz w:val="16"/>
          <w:szCs w:val="16"/>
        </w:rPr>
        <w:t>" же обслуживал линии авиакомпании вплоть до списания в июне 1938 (15050).</w:t>
      </w:r>
    </w:p>
    <w:p w14:paraId="4F5AE345" w14:textId="77777777" w:rsidR="00AC715D" w:rsidRPr="007122AB" w:rsidRDefault="00AC715D" w:rsidP="007122AB">
      <w:pPr>
        <w:spacing w:after="0" w:line="240" w:lineRule="auto"/>
        <w:jc w:val="both"/>
        <w:rPr>
          <w:rFonts w:ascii="Times New Roman" w:hAnsi="Times New Roman"/>
          <w:color w:val="000000" w:themeColor="text1"/>
          <w:sz w:val="16"/>
          <w:szCs w:val="16"/>
        </w:rPr>
      </w:pPr>
    </w:p>
    <w:p w14:paraId="2197D168" w14:textId="77777777" w:rsidR="004742EE" w:rsidRPr="007122AB" w:rsidRDefault="004742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февраля 1931 - Впервые взлетел прототип английской транспортной летающей лодки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xml:space="preserve"> S.17 </w:t>
      </w:r>
      <w:proofErr w:type="spellStart"/>
      <w:r w:rsidRPr="007122AB">
        <w:rPr>
          <w:rFonts w:ascii="Times New Roman" w:hAnsi="Times New Roman"/>
          <w:color w:val="000000" w:themeColor="text1"/>
          <w:sz w:val="16"/>
          <w:szCs w:val="16"/>
        </w:rPr>
        <w:t>Kent</w:t>
      </w:r>
      <w:proofErr w:type="spellEnd"/>
      <w:r w:rsidRPr="007122AB">
        <w:rPr>
          <w:rFonts w:ascii="Times New Roman" w:hAnsi="Times New Roman"/>
          <w:color w:val="000000" w:themeColor="text1"/>
          <w:sz w:val="16"/>
          <w:szCs w:val="16"/>
        </w:rPr>
        <w:t>, названный "</w:t>
      </w:r>
      <w:proofErr w:type="spellStart"/>
      <w:r w:rsidRPr="007122AB">
        <w:rPr>
          <w:rFonts w:ascii="Times New Roman" w:hAnsi="Times New Roman"/>
          <w:color w:val="000000" w:themeColor="text1"/>
          <w:sz w:val="16"/>
          <w:szCs w:val="16"/>
        </w:rPr>
        <w:t>Scipio</w:t>
      </w:r>
      <w:proofErr w:type="spellEnd"/>
      <w:r w:rsidRPr="007122AB">
        <w:rPr>
          <w:rFonts w:ascii="Times New Roman" w:hAnsi="Times New Roman"/>
          <w:color w:val="000000" w:themeColor="text1"/>
          <w:sz w:val="16"/>
          <w:szCs w:val="16"/>
        </w:rPr>
        <w:t xml:space="preserve">" (G-ABFA). Успешная эксплуатация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xml:space="preserve"> S.8 </w:t>
      </w:r>
      <w:proofErr w:type="spellStart"/>
      <w:r w:rsidRPr="007122AB">
        <w:rPr>
          <w:rFonts w:ascii="Times New Roman" w:hAnsi="Times New Roman"/>
          <w:color w:val="000000" w:themeColor="text1"/>
          <w:sz w:val="16"/>
          <w:szCs w:val="16"/>
        </w:rPr>
        <w:t>Calcutta</w:t>
      </w:r>
      <w:proofErr w:type="spellEnd"/>
      <w:r w:rsidRPr="007122AB">
        <w:rPr>
          <w:rFonts w:ascii="Times New Roman" w:hAnsi="Times New Roman"/>
          <w:color w:val="000000" w:themeColor="text1"/>
          <w:sz w:val="16"/>
          <w:szCs w:val="16"/>
        </w:rPr>
        <w:t xml:space="preserve"> повлияла на решение Imperial Airways вновь воспользоваться услугами фирмы братьев Шорт. В конце 1920-х было заказно три новых летающих лодки для замены "Калькутты" на средиземноморском участке имперских авиалиний. Проект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xml:space="preserve"> S.17 </w:t>
      </w:r>
      <w:proofErr w:type="spellStart"/>
      <w:r w:rsidRPr="007122AB">
        <w:rPr>
          <w:rFonts w:ascii="Times New Roman" w:hAnsi="Times New Roman"/>
          <w:color w:val="000000" w:themeColor="text1"/>
          <w:sz w:val="16"/>
          <w:szCs w:val="16"/>
        </w:rPr>
        <w:t>Kent</w:t>
      </w:r>
      <w:proofErr w:type="spellEnd"/>
      <w:r w:rsidRPr="007122AB">
        <w:rPr>
          <w:rFonts w:ascii="Times New Roman" w:hAnsi="Times New Roman"/>
          <w:color w:val="000000" w:themeColor="text1"/>
          <w:sz w:val="16"/>
          <w:szCs w:val="16"/>
        </w:rPr>
        <w:t xml:space="preserve"> стал развитием предыдущей модели. У нового самолёта были увеличены размеры фюзеляжа и размах крыльев, установлены четыре более мощных двигателя Bristol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XFBM. Пилотская кабина стала закрытой, повысился комфорт пассажирского салона. Были проведены мероприятия по защите от коррозии, вызываемой морской водой. Испытания прототипа происходили настолько гладко, что уже 5 мая 1931 самолёт вышел на линию. 15 мая к нему присоединился второй экземпляр (G-ABFB "</w:t>
      </w:r>
      <w:proofErr w:type="spellStart"/>
      <w:r w:rsidRPr="007122AB">
        <w:rPr>
          <w:rFonts w:ascii="Times New Roman" w:hAnsi="Times New Roman"/>
          <w:color w:val="000000" w:themeColor="text1"/>
          <w:sz w:val="16"/>
          <w:szCs w:val="16"/>
        </w:rPr>
        <w:t>Sylvanus</w:t>
      </w:r>
      <w:proofErr w:type="spellEnd"/>
      <w:r w:rsidRPr="007122AB">
        <w:rPr>
          <w:rFonts w:ascii="Times New Roman" w:hAnsi="Times New Roman"/>
          <w:color w:val="000000" w:themeColor="text1"/>
          <w:sz w:val="16"/>
          <w:szCs w:val="16"/>
        </w:rPr>
        <w:t>"), а 26 мая третий (G-AFBC "</w:t>
      </w:r>
      <w:proofErr w:type="spellStart"/>
      <w:r w:rsidRPr="007122AB">
        <w:rPr>
          <w:rFonts w:ascii="Times New Roman" w:hAnsi="Times New Roman"/>
          <w:color w:val="000000" w:themeColor="text1"/>
          <w:sz w:val="16"/>
          <w:szCs w:val="16"/>
        </w:rPr>
        <w:t>Satyrus</w:t>
      </w:r>
      <w:proofErr w:type="spellEnd"/>
      <w:r w:rsidRPr="007122AB">
        <w:rPr>
          <w:rFonts w:ascii="Times New Roman" w:hAnsi="Times New Roman"/>
          <w:color w:val="000000" w:themeColor="text1"/>
          <w:sz w:val="16"/>
          <w:szCs w:val="16"/>
        </w:rPr>
        <w:t xml:space="preserve">"). Машины использовались на трассе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w:t>
      </w:r>
      <w:proofErr w:type="spellStart"/>
      <w:r w:rsidRPr="007122AB">
        <w:rPr>
          <w:rFonts w:ascii="Times New Roman" w:hAnsi="Times New Roman"/>
          <w:color w:val="000000" w:themeColor="text1"/>
          <w:sz w:val="16"/>
          <w:szCs w:val="16"/>
        </w:rPr>
        <w:t>Лимассол</w:t>
      </w:r>
      <w:proofErr w:type="spellEnd"/>
      <w:r w:rsidRPr="007122AB">
        <w:rPr>
          <w:rFonts w:ascii="Times New Roman" w:hAnsi="Times New Roman"/>
          <w:color w:val="000000" w:themeColor="text1"/>
          <w:sz w:val="16"/>
          <w:szCs w:val="16"/>
        </w:rPr>
        <w:t xml:space="preserve"> - Хайфа - Александрия. В том же 1932 году все три построенных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xml:space="preserve"> S.17 ("</w:t>
      </w:r>
      <w:proofErr w:type="spellStart"/>
      <w:r w:rsidRPr="007122AB">
        <w:rPr>
          <w:rFonts w:ascii="Times New Roman" w:hAnsi="Times New Roman"/>
          <w:color w:val="000000" w:themeColor="text1"/>
          <w:sz w:val="16"/>
          <w:szCs w:val="16"/>
        </w:rPr>
        <w:t>Scipio</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Sylvanus</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Satyrus</w:t>
      </w:r>
      <w:proofErr w:type="spellEnd"/>
      <w:r w:rsidRPr="007122AB">
        <w:rPr>
          <w:rFonts w:ascii="Times New Roman" w:hAnsi="Times New Roman"/>
          <w:color w:val="000000" w:themeColor="text1"/>
          <w:sz w:val="16"/>
          <w:szCs w:val="16"/>
        </w:rPr>
        <w:t xml:space="preserve">" ) полностью заменили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xml:space="preserve"> S.8 </w:t>
      </w:r>
      <w:proofErr w:type="spellStart"/>
      <w:r w:rsidRPr="007122AB">
        <w:rPr>
          <w:rFonts w:ascii="Times New Roman" w:hAnsi="Times New Roman"/>
          <w:color w:val="000000" w:themeColor="text1"/>
          <w:sz w:val="16"/>
          <w:szCs w:val="16"/>
        </w:rPr>
        <w:t>Calcutta</w:t>
      </w:r>
      <w:proofErr w:type="spellEnd"/>
      <w:r w:rsidRPr="007122AB">
        <w:rPr>
          <w:rFonts w:ascii="Times New Roman" w:hAnsi="Times New Roman"/>
          <w:color w:val="000000" w:themeColor="text1"/>
          <w:sz w:val="16"/>
          <w:szCs w:val="16"/>
        </w:rPr>
        <w:t xml:space="preserve"> на средиземноморской линии (22588).</w:t>
      </w:r>
    </w:p>
    <w:p w14:paraId="584939ED" w14:textId="77777777" w:rsidR="004742EE" w:rsidRPr="007122AB" w:rsidRDefault="004742EE" w:rsidP="007122AB">
      <w:pPr>
        <w:spacing w:after="0" w:line="240" w:lineRule="auto"/>
        <w:jc w:val="both"/>
        <w:rPr>
          <w:rFonts w:ascii="Times New Roman" w:hAnsi="Times New Roman"/>
          <w:color w:val="000000" w:themeColor="text1"/>
          <w:sz w:val="16"/>
          <w:szCs w:val="16"/>
        </w:rPr>
      </w:pPr>
    </w:p>
    <w:p w14:paraId="6CCDB95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B4D02D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720A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25 февраля по 20 марта 1931 проходили гос. испытания МДР-2 АНТ-8 (1017,212).</w:t>
      </w:r>
    </w:p>
    <w:p w14:paraId="660EA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732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февраля 1931 года гл. инженер по сухопутным самолетам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122с в 3-й отдел УСС.</w:t>
      </w:r>
    </w:p>
    <w:p w14:paraId="0F1DF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отчет по войсковым испытаниям самолета И5 в 73 АО 5-й Авиабригады в г. Киеве и заключение 2 отдела НИИ по войсковым испытаниям.</w:t>
      </w:r>
    </w:p>
    <w:p w14:paraId="0C60A9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Основной целью тактических эксплуатационных испытаний самолетов И5 являлось выявление технико-эксплуатационных и конструктивных особенностей и недостатков, а также выявление тактических свойств самолета.</w:t>
      </w:r>
    </w:p>
    <w:p w14:paraId="734A3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28 ноября 1930 г.</w:t>
      </w:r>
    </w:p>
    <w:p w14:paraId="00570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окончено 24 января 1931 г.</w:t>
      </w:r>
    </w:p>
    <w:p w14:paraId="254FD8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- 25</w:t>
      </w:r>
    </w:p>
    <w:p w14:paraId="033A2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пяти самолетов И5, полученных отрядом программу войсковых испытаний выполняли на 3-х самолетах, а два оставались в резерве.</w:t>
      </w:r>
    </w:p>
    <w:p w14:paraId="694757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2 отдела НИИ</w:t>
      </w:r>
    </w:p>
    <w:p w14:paraId="70F6DA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НИИ считает, что самолет И5-ЮVI, выполнив полностью программу войсковых испытаний (за исключением стрельб), выдержал последние вполне удовлетворительно и получил благоприятную оценку, как с точки зрения эксплуатационной, так и с тактической, за исключением вопросов, связанных со стрельбами, так как последние не производились (3290,14-40).</w:t>
      </w:r>
    </w:p>
    <w:p w14:paraId="492DF6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492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февраля 1931 на совещании в ИАМ с участием представителя НИИ ГВФ, ЦАГИ был обсужден "План, порядок и сроки работ по РД и смету по производству опытных работ по РД", разработанный Цандером (388,57).</w:t>
      </w:r>
    </w:p>
    <w:p w14:paraId="279E4F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6B36A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F1C227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6431CA" w14:textId="77777777" w:rsidR="00FF3124" w:rsidRPr="007122AB" w:rsidRDefault="00FF3124"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февраля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27. 9. О ходе работ на Сталинградском тракторном заводе (ПБ от 10 декабря 1930 г., пр. № 20, п. 4/10). 27. О кадрах командного состава </w:t>
      </w:r>
      <w:proofErr w:type="spellStart"/>
      <w:r w:rsidRPr="007122AB">
        <w:rPr>
          <w:rFonts w:ascii="Times New Roman" w:hAnsi="Times New Roman"/>
          <w:color w:val="000000" w:themeColor="text1"/>
          <w:sz w:val="16"/>
          <w:szCs w:val="16"/>
          <w:u w:color="002060"/>
        </w:rPr>
        <w:t>НКВоенмора</w:t>
      </w:r>
      <w:proofErr w:type="spellEnd"/>
      <w:r w:rsidRPr="007122AB">
        <w:rPr>
          <w:rFonts w:ascii="Times New Roman" w:hAnsi="Times New Roman"/>
          <w:color w:val="000000" w:themeColor="text1"/>
          <w:sz w:val="16"/>
          <w:szCs w:val="16"/>
          <w:u w:color="002060"/>
        </w:rPr>
        <w:t xml:space="preserve"> (Гамарник). — ОП. Решения ПБ от 20 февраля 1931 г. 13/29. О заказах </w:t>
      </w:r>
      <w:proofErr w:type="spellStart"/>
      <w:r w:rsidRPr="007122AB">
        <w:rPr>
          <w:rFonts w:ascii="Times New Roman" w:hAnsi="Times New Roman"/>
          <w:color w:val="000000" w:themeColor="text1"/>
          <w:sz w:val="16"/>
          <w:szCs w:val="16"/>
          <w:u w:color="002060"/>
        </w:rPr>
        <w:t>военведа</w:t>
      </w:r>
      <w:proofErr w:type="spellEnd"/>
      <w:r w:rsidRPr="007122AB">
        <w:rPr>
          <w:rFonts w:ascii="Times New Roman" w:hAnsi="Times New Roman"/>
          <w:color w:val="000000" w:themeColor="text1"/>
          <w:sz w:val="16"/>
          <w:szCs w:val="16"/>
          <w:u w:color="002060"/>
        </w:rPr>
        <w:t xml:space="preserve"> в Италию (ПБ от 30 января 1931 г. пр. 25, п. 8/13). 32/48. О Луганском паровозостроительном заводе (Сталин). 35/51 а) о танкостроении (ПБ от 10 января 1931 г., пр. № 23, п. 14/19) (Уборевич, Мартинович, Тухачевский, </w:t>
      </w:r>
      <w:proofErr w:type="spellStart"/>
      <w:r w:rsidRPr="007122AB">
        <w:rPr>
          <w:rFonts w:ascii="Times New Roman" w:hAnsi="Times New Roman"/>
          <w:color w:val="000000" w:themeColor="text1"/>
          <w:sz w:val="16"/>
          <w:szCs w:val="16"/>
          <w:u w:color="002060"/>
        </w:rPr>
        <w:t>Халепский</w:t>
      </w:r>
      <w:proofErr w:type="spellEnd"/>
      <w:r w:rsidRPr="007122AB">
        <w:rPr>
          <w:rFonts w:ascii="Times New Roman" w:hAnsi="Times New Roman"/>
          <w:color w:val="000000" w:themeColor="text1"/>
          <w:sz w:val="16"/>
          <w:szCs w:val="16"/>
          <w:u w:color="002060"/>
        </w:rPr>
        <w:t>, Михайлов-Иванов). — ОП; б) о танках (Ворошилов, Орджоникидзе). — ОП. Опросом членов ПБ от 21 февраля 1931 г. 61/61. О кадрах командного состава РККА. — ОП. (Политбюро... Т. 2. С. 130, 131, 132, 133). Приложение к п. 35/51. О танковой программе (принято ПБ ЦК ВКП(б) 20 февраля 1931 г.). (РГАСПИ. Ф. 17. Оп. 162. Д. 9. Л. 151?156.) (12416).</w:t>
      </w:r>
    </w:p>
    <w:p w14:paraId="6FD6C914" w14:textId="77777777" w:rsidR="00FF3124" w:rsidRPr="007122AB" w:rsidRDefault="00FF3124" w:rsidP="007122AB">
      <w:pPr>
        <w:spacing w:after="0" w:line="240" w:lineRule="auto"/>
        <w:jc w:val="both"/>
        <w:rPr>
          <w:rFonts w:ascii="Times New Roman" w:hAnsi="Times New Roman"/>
          <w:color w:val="000000" w:themeColor="text1"/>
          <w:sz w:val="16"/>
          <w:szCs w:val="16"/>
          <w:u w:color="002060"/>
        </w:rPr>
      </w:pPr>
    </w:p>
    <w:p w14:paraId="1DECF509"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Style w:val="440"/>
          <w:rFonts w:ascii="Times New Roman" w:cs="Times New Roman"/>
          <w:color w:val="000000" w:themeColor="text1"/>
          <w:sz w:val="16"/>
          <w:szCs w:val="16"/>
          <w:lang w:val="ru-RU"/>
        </w:rPr>
        <w:t xml:space="preserve">25 февраля 1931 </w:t>
      </w:r>
      <w:r w:rsidRPr="007122AB">
        <w:rPr>
          <w:rFonts w:ascii="Times New Roman" w:hAnsi="Times New Roman"/>
          <w:color w:val="000000" w:themeColor="text1"/>
          <w:sz w:val="16"/>
          <w:szCs w:val="16"/>
        </w:rPr>
        <w:t>Политбюро ЦК ВКП (б) одобрило проект постановления СНК о строительстве и реконструкции металлургических заводов в 1931 г., а также решение Комиссии исполнения при СНК о выполнении директив ЦК ВКП (б) и СТО по производству сельскохозяйственных машин в 1931 г (12265).</w:t>
      </w:r>
    </w:p>
    <w:p w14:paraId="26811BFC"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СНК принял постановление «О черной металлургии» (12265).</w:t>
      </w:r>
    </w:p>
    <w:p w14:paraId="421B517D"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Комиссия исполнения при СНК приняла постановление «О выполнении Директив ЦК ВКП (б) и СТО по производству сельскохозяйственных машин в 1931 г., особенно в части обеспечения весенней посевной кампании» (12265).</w:t>
      </w:r>
    </w:p>
    <w:p w14:paraId="2D11F211"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4803EDC" w14:textId="77777777" w:rsidR="00AC715D" w:rsidRPr="007122AB" w:rsidRDefault="00AC71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февраля 1931 О черной металлургии. (Утверждено Политбюро ЦК ВКП(б) 25.II.31 г.) Приложение № 1 к п. 7, пр. ПБ № 27.</w:t>
      </w:r>
    </w:p>
    <w:p w14:paraId="66F838BD" w14:textId="77777777" w:rsidR="00AC715D" w:rsidRPr="007122AB" w:rsidRDefault="00AC71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Архив: </w:t>
      </w:r>
    </w:p>
    <w:p w14:paraId="5BA59B0D" w14:textId="77777777" w:rsidR="00AC715D" w:rsidRPr="007122AB" w:rsidRDefault="00AC715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17. Оп. 3. Д. 814. Л. 23-25.</w:t>
      </w:r>
    </w:p>
    <w:p w14:paraId="7B3A2D3E" w14:textId="77777777" w:rsidR="00AC715D" w:rsidRPr="007122AB" w:rsidRDefault="00AC715D"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1 к п. 7, пр. ПБ № 27.</w:t>
      </w:r>
    </w:p>
    <w:p w14:paraId="01E69678" w14:textId="77777777" w:rsidR="00AC715D" w:rsidRPr="007122AB" w:rsidRDefault="00AC715D" w:rsidP="007122AB">
      <w:pPr>
        <w:pStyle w:val="ae"/>
        <w:spacing w:before="0" w:after="0"/>
        <w:jc w:val="both"/>
        <w:rPr>
          <w:color w:val="000000" w:themeColor="text1"/>
          <w:sz w:val="16"/>
          <w:szCs w:val="16"/>
        </w:rPr>
      </w:pPr>
      <w:r w:rsidRPr="007122AB">
        <w:rPr>
          <w:color w:val="000000" w:themeColor="text1"/>
          <w:sz w:val="16"/>
          <w:szCs w:val="16"/>
        </w:rPr>
        <w:t xml:space="preserve"> (Утверждено Политбюро ЦК ВКП(б) 25.II.31 г.)</w:t>
      </w:r>
    </w:p>
    <w:p w14:paraId="06271F49"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I</w:t>
      </w:r>
      <w:r w:rsidRPr="007122AB">
        <w:rPr>
          <w:color w:val="000000" w:themeColor="text1"/>
          <w:sz w:val="16"/>
          <w:szCs w:val="16"/>
        </w:rPr>
        <w:t>. Выполнение пятилетнего плана по основным решающим отраслям промышленности (уголь, нефть, машиностроение, электротехника) уже в 1931 году предъявляют к черной металлургии требования, превышающие намеченные темпы ее развития.</w:t>
      </w:r>
    </w:p>
    <w:p w14:paraId="25E7F503"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Дальнейшее развитие всех отраслей народного хозяйства требует безусловного немедленного ускорения темпа роста металлургии.</w:t>
      </w:r>
    </w:p>
    <w:p w14:paraId="4EAF351E"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II</w:t>
      </w:r>
      <w:r w:rsidRPr="007122AB">
        <w:rPr>
          <w:color w:val="000000" w:themeColor="text1"/>
          <w:sz w:val="16"/>
          <w:szCs w:val="16"/>
        </w:rPr>
        <w:t xml:space="preserve">. Наряду с ускорением строительства новых заводов черной металлургии (Магнитная, Кузнецк, </w:t>
      </w:r>
      <w:proofErr w:type="spellStart"/>
      <w:r w:rsidRPr="007122AB">
        <w:rPr>
          <w:color w:val="000000" w:themeColor="text1"/>
          <w:sz w:val="16"/>
          <w:szCs w:val="16"/>
        </w:rPr>
        <w:t>Днепросталь</w:t>
      </w:r>
      <w:proofErr w:type="spellEnd"/>
      <w:r w:rsidRPr="007122AB">
        <w:rPr>
          <w:color w:val="000000" w:themeColor="text1"/>
          <w:sz w:val="16"/>
          <w:szCs w:val="16"/>
        </w:rPr>
        <w:t>, Нижний Тагил), особо важное значение для немедленного увеличения производства металлов в кратчайший срок приобретает форсированная реконструкция заводов Юга и окончание реконструкции Уральских заводов в 1932 году.</w:t>
      </w:r>
    </w:p>
    <w:p w14:paraId="3295A3F7"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III</w:t>
      </w:r>
      <w:r w:rsidRPr="007122AB">
        <w:rPr>
          <w:color w:val="000000" w:themeColor="text1"/>
          <w:sz w:val="16"/>
          <w:szCs w:val="16"/>
        </w:rPr>
        <w:t>. Отмечая, что несмотря на решение ЦК ВКП(б) от 15.V.30 г. реконструкция действующих металлургических заводов Урала осуществляется слишком медленно, ЦК подтверждает, что действующие древесно-угольные металлургические заводы Урала уже в 1932 г. должны явиться главной базой снабжения качественным и высококачественным металлом.</w:t>
      </w:r>
    </w:p>
    <w:p w14:paraId="31C017A5"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IV</w:t>
      </w:r>
      <w:r w:rsidRPr="007122AB">
        <w:rPr>
          <w:color w:val="000000" w:themeColor="text1"/>
          <w:sz w:val="16"/>
          <w:szCs w:val="16"/>
        </w:rPr>
        <w:t>. ЦК предлагает ВСНХ:</w:t>
      </w:r>
    </w:p>
    <w:p w14:paraId="3157D169"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1) Приступить в 1931 г. к строительству на заводах Украины, сверх включенных в план 1931 г., пяти новых доменных печей общей производительностью в 1,400.000</w:t>
      </w:r>
      <w:r w:rsidRPr="007122AB">
        <w:rPr>
          <w:color w:val="000000" w:themeColor="text1"/>
          <w:sz w:val="16"/>
          <w:szCs w:val="16"/>
        </w:rPr>
        <w:noBreakHyphen/>
        <w:t>1.500.000 тонн чугуна в год и соответствующему расширению мартеновских и прокатных цехов.</w:t>
      </w:r>
    </w:p>
    <w:p w14:paraId="11097307"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2) Обеспечить такой темп реконструкции древесно-угольных заводов Урала (Златоустовского, Надеждинского, Чусовского, Белорецкого, Аша-Балашовского и Верхне-Исетского), чтобы на этих заводах было произведено в 1933 году не менее 700 тыс. тонн качественного и высококачественного прокатного металла.</w:t>
      </w:r>
    </w:p>
    <w:p w14:paraId="328E8AC4"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3) В соответствии с постановлением ЦК от 15.V.30 г. включить в план работ на 1931 год строительство мартеновского цеха на Н.</w:t>
      </w:r>
      <w:r w:rsidRPr="007122AB">
        <w:rPr>
          <w:color w:val="000000" w:themeColor="text1"/>
          <w:sz w:val="16"/>
          <w:szCs w:val="16"/>
        </w:rPr>
        <w:noBreakHyphen/>
        <w:t>Салдинском заводе.</w:t>
      </w:r>
    </w:p>
    <w:p w14:paraId="216E5606"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lastRenderedPageBreak/>
        <w:t>4) Закончить проектирование рудников и обогатительных фабрик на горе Высокой, Благодати и Бакалу не позже 1.VI.31 г.</w:t>
      </w:r>
    </w:p>
    <w:p w14:paraId="20E6EF56"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5) Осуществить в течение 1931 года механизацию действующих рудников Урала в объеме, обеспечивающем добычу в 1931 году 3,1 млн. тонн руды, и подготовку к росту добычи в 1932 году.</w:t>
      </w:r>
    </w:p>
    <w:p w14:paraId="567870D6"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 xml:space="preserve">6) Закончить детальные разведки по Высокой и Бакалу в 1931 году; в течение 1931 года форсировать разведки в районе Надеждинского завода в объеме, достаточном для определения перспектив этого завода, а также форсировать разведки в районе </w:t>
      </w:r>
      <w:proofErr w:type="spellStart"/>
      <w:r w:rsidRPr="007122AB">
        <w:rPr>
          <w:color w:val="000000" w:themeColor="text1"/>
          <w:sz w:val="16"/>
          <w:szCs w:val="16"/>
        </w:rPr>
        <w:t>Зигазино</w:t>
      </w:r>
      <w:proofErr w:type="spellEnd"/>
      <w:r w:rsidRPr="007122AB">
        <w:rPr>
          <w:color w:val="000000" w:themeColor="text1"/>
          <w:sz w:val="16"/>
          <w:szCs w:val="16"/>
        </w:rPr>
        <w:t>-Комаровских месторождений. При развертывании разведочных работ использовать опыт организации разведочного дела по горе Магнитной.</w:t>
      </w:r>
    </w:p>
    <w:p w14:paraId="658D9D3A"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 xml:space="preserve">7) В двухмесячный срок представить план развития крупной промышленности в Башкирии, особенно в районе </w:t>
      </w:r>
      <w:proofErr w:type="spellStart"/>
      <w:r w:rsidRPr="007122AB">
        <w:rPr>
          <w:color w:val="000000" w:themeColor="text1"/>
          <w:sz w:val="16"/>
          <w:szCs w:val="16"/>
        </w:rPr>
        <w:t>Зигазино</w:t>
      </w:r>
      <w:proofErr w:type="spellEnd"/>
      <w:r w:rsidRPr="007122AB">
        <w:rPr>
          <w:color w:val="000000" w:themeColor="text1"/>
          <w:sz w:val="16"/>
          <w:szCs w:val="16"/>
        </w:rPr>
        <w:t>-Комаровского рудного месторождения.</w:t>
      </w:r>
    </w:p>
    <w:p w14:paraId="04D5B1F6"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V</w:t>
      </w:r>
      <w:r w:rsidRPr="007122AB">
        <w:rPr>
          <w:color w:val="000000" w:themeColor="text1"/>
          <w:sz w:val="16"/>
          <w:szCs w:val="16"/>
        </w:rPr>
        <w:t>. Недостаток литейного чугуна требует в дополнение к развернутому новому строительству приступить немедленно к постройке заводов литейного чугуна средних размеров на достаточно разведанных и изученных рудных месторождениях с тем, чтобы они вступили к концу 1932 года в эксплуатацию на полную свою производительность.</w:t>
      </w:r>
    </w:p>
    <w:p w14:paraId="1518CF76"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 xml:space="preserve">ЦК ВКП(б) предлагает ВСНХ начать в 1931 году и закончить в 1932 году строительство следующих заводов литейного чугуне общей производительностью в 1.050.000 тонн чугуна в год: Синарского на Урале, на </w:t>
      </w:r>
      <w:proofErr w:type="spellStart"/>
      <w:r w:rsidRPr="007122AB">
        <w:rPr>
          <w:color w:val="000000" w:themeColor="text1"/>
          <w:sz w:val="16"/>
          <w:szCs w:val="16"/>
        </w:rPr>
        <w:t>Каменско</w:t>
      </w:r>
      <w:proofErr w:type="spellEnd"/>
      <w:r w:rsidRPr="007122AB">
        <w:rPr>
          <w:color w:val="000000" w:themeColor="text1"/>
          <w:sz w:val="16"/>
          <w:szCs w:val="16"/>
        </w:rPr>
        <w:t>-Синарском горнорудном месторождении, Липецкого — на рудах Липецкого района; Тульского — на рудах Тульского района с производительностью каждого в 350 тыс. тонн.</w:t>
      </w:r>
    </w:p>
    <w:p w14:paraId="73DB91F8"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ЦК отмечает громадные задачи, которые возлагает строительство этих трех заводов на местные советские, хозяйственные, партийные и профсоюзные организации.</w:t>
      </w:r>
    </w:p>
    <w:p w14:paraId="497BC876"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VI</w:t>
      </w:r>
      <w:r w:rsidRPr="007122AB">
        <w:rPr>
          <w:color w:val="000000" w:themeColor="text1"/>
          <w:sz w:val="16"/>
          <w:szCs w:val="16"/>
        </w:rPr>
        <w:t xml:space="preserve">. Наряду со строительством заводов литейного чугуна, ЦК поручает ВСНХ в двухмесячный срок проработать вопрос о строительстве </w:t>
      </w:r>
      <w:proofErr w:type="spellStart"/>
      <w:r w:rsidRPr="007122AB">
        <w:rPr>
          <w:color w:val="000000" w:themeColor="text1"/>
          <w:sz w:val="16"/>
          <w:szCs w:val="16"/>
        </w:rPr>
        <w:t>передельных</w:t>
      </w:r>
      <w:proofErr w:type="spellEnd"/>
      <w:r w:rsidRPr="007122AB">
        <w:rPr>
          <w:color w:val="000000" w:themeColor="text1"/>
          <w:sz w:val="16"/>
          <w:szCs w:val="16"/>
        </w:rPr>
        <w:t xml:space="preserve"> заводов средних размеров для производства как ходового проката, так и специальных профилей для машиностроения.</w:t>
      </w:r>
    </w:p>
    <w:p w14:paraId="2CC629F7"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VII</w:t>
      </w:r>
      <w:r w:rsidRPr="007122AB">
        <w:rPr>
          <w:color w:val="000000" w:themeColor="text1"/>
          <w:sz w:val="16"/>
          <w:szCs w:val="16"/>
        </w:rPr>
        <w:t>. Для осуществления указанных выше работ ЦК поручает СТО:</w:t>
      </w:r>
    </w:p>
    <w:p w14:paraId="4944AD11"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 xml:space="preserve">1. Увеличить ассигнование на черную металлургию в 31 г. на 350 млн. руб., в частности: дополнительно к ассигнованиям, предусмотренным планом на 31 год, на ускорение строительства Магнитостроя — 80 млн. руб., </w:t>
      </w:r>
      <w:proofErr w:type="spellStart"/>
      <w:r w:rsidRPr="007122AB">
        <w:rPr>
          <w:color w:val="000000" w:themeColor="text1"/>
          <w:sz w:val="16"/>
          <w:szCs w:val="16"/>
        </w:rPr>
        <w:t>Кузнецкстроя</w:t>
      </w:r>
      <w:proofErr w:type="spellEnd"/>
      <w:r w:rsidRPr="007122AB">
        <w:rPr>
          <w:color w:val="000000" w:themeColor="text1"/>
          <w:sz w:val="16"/>
          <w:szCs w:val="16"/>
        </w:rPr>
        <w:t xml:space="preserve"> — 15 млн. руб., на начале постройки пяти новых доменных печей и на ускорение работ по реконструкции заводов на Украине — 90 млн. руб., на Нижнетагильский завод — 12 млн. руб., на ускорение реконструкции действующих заводов Урала — 30 млн. руб. и 123 млн. руб. на строительство заводов литейного чугуна (Синар, Тула, Липецк), форсирование строительства </w:t>
      </w:r>
      <w:proofErr w:type="spellStart"/>
      <w:r w:rsidRPr="007122AB">
        <w:rPr>
          <w:color w:val="000000" w:themeColor="text1"/>
          <w:sz w:val="16"/>
          <w:szCs w:val="16"/>
        </w:rPr>
        <w:t>Днепростали</w:t>
      </w:r>
      <w:proofErr w:type="spellEnd"/>
      <w:r w:rsidRPr="007122AB">
        <w:rPr>
          <w:color w:val="000000" w:themeColor="text1"/>
          <w:sz w:val="16"/>
          <w:szCs w:val="16"/>
        </w:rPr>
        <w:t xml:space="preserve"> и усиление разведок. Из 350 млн. руб. 20 млн. руб. зарезервировать для строительства металлургического завода в районе </w:t>
      </w:r>
      <w:proofErr w:type="spellStart"/>
      <w:r w:rsidRPr="007122AB">
        <w:rPr>
          <w:color w:val="000000" w:themeColor="text1"/>
          <w:sz w:val="16"/>
          <w:szCs w:val="16"/>
        </w:rPr>
        <w:t>Зигазино</w:t>
      </w:r>
      <w:proofErr w:type="spellEnd"/>
      <w:r w:rsidRPr="007122AB">
        <w:rPr>
          <w:color w:val="000000" w:themeColor="text1"/>
          <w:sz w:val="16"/>
          <w:szCs w:val="16"/>
        </w:rPr>
        <w:t>-Комаровских месторождений.</w:t>
      </w:r>
    </w:p>
    <w:p w14:paraId="6AB031D3"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2. Дополнительные ассигнования покрыть за счет резерва ВСНХ — 120 млн. руб. и за счет резерва СНК — 230 млн. рублей.</w:t>
      </w:r>
    </w:p>
    <w:p w14:paraId="047464E4"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3. Пересмотреть материальные фонды всех ведомств на 31 год с тем, чтобы обеспечить намеченные дополнительные работы по черной металлургии.</w:t>
      </w:r>
    </w:p>
    <w:p w14:paraId="004F2E43"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4. В соответствии с увеличенными лимитами капитальных затрат — установить по докладу ВСНХ в месячный срок размер дополнительного импортного контингента на 1931 год.</w:t>
      </w:r>
    </w:p>
    <w:p w14:paraId="78AE72FD"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5.Указанные работы по черной металлургии вести в порядке ударных строительств.</w:t>
      </w:r>
    </w:p>
    <w:p w14:paraId="577E4C05"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VIII</w:t>
      </w:r>
      <w:r w:rsidRPr="007122AB">
        <w:rPr>
          <w:color w:val="000000" w:themeColor="text1"/>
          <w:sz w:val="16"/>
          <w:szCs w:val="16"/>
        </w:rPr>
        <w:t>. Поручить ОГПУ оказать максимальную помощь ВСНХ как в организации разведок, так и по эксплуатации рудников в районе Вишеры.</w:t>
      </w:r>
    </w:p>
    <w:p w14:paraId="23374AA3"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IX</w:t>
      </w:r>
      <w:r w:rsidRPr="007122AB">
        <w:rPr>
          <w:color w:val="000000" w:themeColor="text1"/>
          <w:sz w:val="16"/>
          <w:szCs w:val="16"/>
        </w:rPr>
        <w:t>. Поручить НКПС в двухмесячный срок представить в ЦК доклад о постройке железной дороги Магнитогорск — Белорецк — Уфа.</w:t>
      </w:r>
    </w:p>
    <w:p w14:paraId="1B371B7F"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X</w:t>
      </w:r>
      <w:r w:rsidRPr="007122AB">
        <w:rPr>
          <w:color w:val="000000" w:themeColor="text1"/>
          <w:sz w:val="16"/>
          <w:szCs w:val="16"/>
        </w:rPr>
        <w:t>. Поручить ВСНХ пересмотреть план развития коксохимической промышленности и обеспечить выжиг кокса в соответствии с производственной программой черной металлургии.</w:t>
      </w:r>
    </w:p>
    <w:p w14:paraId="2C26872B" w14:textId="77777777" w:rsidR="00AC715D" w:rsidRPr="007122AB" w:rsidRDefault="00AC715D" w:rsidP="007122AB">
      <w:pPr>
        <w:pStyle w:val="rtejustify"/>
        <w:spacing w:before="0" w:after="0"/>
        <w:rPr>
          <w:color w:val="000000" w:themeColor="text1"/>
          <w:sz w:val="16"/>
          <w:szCs w:val="16"/>
        </w:rPr>
      </w:pPr>
      <w:r w:rsidRPr="007122AB">
        <w:rPr>
          <w:rStyle w:val="a7"/>
          <w:b w:val="0"/>
          <w:color w:val="000000" w:themeColor="text1"/>
          <w:sz w:val="16"/>
          <w:szCs w:val="16"/>
        </w:rPr>
        <w:t>XI</w:t>
      </w:r>
      <w:r w:rsidRPr="007122AB">
        <w:rPr>
          <w:color w:val="000000" w:themeColor="text1"/>
          <w:sz w:val="16"/>
          <w:szCs w:val="16"/>
        </w:rPr>
        <w:t>. ЦК обязывает хозяйственные, партийные и профсоюзные организации в кратчайший срок добиться решающего перелома в строительстве и в производстве заводов черной металлургии и безусловно обеспечить выполнение плана 1931 года (17113).</w:t>
      </w:r>
    </w:p>
    <w:p w14:paraId="5D1C40A8" w14:textId="77777777" w:rsidR="00AC715D" w:rsidRPr="007122AB" w:rsidRDefault="00AC715D" w:rsidP="007122AB">
      <w:pPr>
        <w:shd w:val="clear" w:color="auto" w:fill="FFFFFF"/>
        <w:spacing w:after="0" w:line="240" w:lineRule="auto"/>
        <w:jc w:val="both"/>
        <w:rPr>
          <w:rFonts w:ascii="Times New Roman" w:hAnsi="Times New Roman"/>
          <w:color w:val="000000" w:themeColor="text1"/>
          <w:sz w:val="16"/>
          <w:szCs w:val="16"/>
        </w:rPr>
      </w:pPr>
    </w:p>
    <w:p w14:paraId="1FE94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февраля 1931 введен в строй завод киноаппаратуры </w:t>
      </w:r>
      <w:proofErr w:type="spellStart"/>
      <w:r w:rsidRPr="007122AB">
        <w:rPr>
          <w:rFonts w:ascii="Times New Roman" w:hAnsi="Times New Roman"/>
          <w:color w:val="000000" w:themeColor="text1"/>
          <w:sz w:val="16"/>
          <w:szCs w:val="16"/>
        </w:rPr>
        <w:t>Ленкинап</w:t>
      </w:r>
      <w:proofErr w:type="spellEnd"/>
      <w:r w:rsidRPr="007122AB">
        <w:rPr>
          <w:rFonts w:ascii="Times New Roman" w:hAnsi="Times New Roman"/>
          <w:color w:val="000000" w:themeColor="text1"/>
          <w:sz w:val="16"/>
          <w:szCs w:val="16"/>
        </w:rPr>
        <w:t xml:space="preserve"> (3960, 78).</w:t>
      </w:r>
    </w:p>
    <w:p w14:paraId="52E92F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C9F0E6" w14:textId="77777777" w:rsidR="00C90094" w:rsidRPr="007122AB" w:rsidRDefault="00C9009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C2B8EA9" w14:textId="77777777" w:rsidR="00C90094" w:rsidRPr="007122AB" w:rsidRDefault="00C9009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0C9A79"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25 февраля 1931 г.</w:t>
      </w:r>
    </w:p>
    <w:p w14:paraId="548EECD2"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В. Н. Баркова Ж. Л. Аренсу о публикациях, посвященных процессу «Промпартии», во французской прессе и их стоимости. 25 февраля 1931 г.</w:t>
      </w:r>
    </w:p>
    <w:p w14:paraId="0A201E77" w14:textId="77777777" w:rsidR="00C90094" w:rsidRPr="007122AB" w:rsidRDefault="00C90094"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D3D7D78"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032DF4" w14:textId="77777777" w:rsidR="00C90094" w:rsidRPr="007122AB" w:rsidRDefault="00C90094" w:rsidP="007122AB">
      <w:pPr>
        <w:pStyle w:val="rteright"/>
        <w:spacing w:before="0" w:after="0"/>
        <w:jc w:val="both"/>
        <w:rPr>
          <w:color w:val="000000" w:themeColor="text1"/>
          <w:sz w:val="16"/>
          <w:szCs w:val="16"/>
        </w:rPr>
      </w:pPr>
      <w:r w:rsidRPr="007122AB">
        <w:rPr>
          <w:color w:val="000000" w:themeColor="text1"/>
          <w:sz w:val="16"/>
          <w:szCs w:val="16"/>
        </w:rPr>
        <w:t>25 февраля 1931 г.</w:t>
      </w:r>
    </w:p>
    <w:p w14:paraId="14069673" w14:textId="77777777" w:rsidR="00C90094" w:rsidRPr="007122AB" w:rsidRDefault="00C90094"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5BC68514" w14:textId="77777777" w:rsidR="00C90094" w:rsidRPr="007122AB" w:rsidRDefault="00C90094" w:rsidP="007122AB">
      <w:pPr>
        <w:pStyle w:val="ae"/>
        <w:spacing w:before="0" w:after="0"/>
        <w:jc w:val="both"/>
        <w:rPr>
          <w:color w:val="000000" w:themeColor="text1"/>
          <w:sz w:val="16"/>
          <w:szCs w:val="16"/>
        </w:rPr>
      </w:pPr>
      <w:r w:rsidRPr="007122AB">
        <w:rPr>
          <w:color w:val="000000" w:themeColor="text1"/>
          <w:sz w:val="16"/>
          <w:szCs w:val="16"/>
        </w:rPr>
        <w:t>Зав. Отделом Печати НКИД</w:t>
      </w:r>
    </w:p>
    <w:p w14:paraId="69EC3F28" w14:textId="77777777" w:rsidR="00C90094" w:rsidRPr="007122AB" w:rsidRDefault="00C90094" w:rsidP="007122AB">
      <w:pPr>
        <w:pStyle w:val="ae"/>
        <w:spacing w:before="0" w:after="0"/>
        <w:jc w:val="both"/>
        <w:rPr>
          <w:color w:val="000000" w:themeColor="text1"/>
          <w:sz w:val="16"/>
          <w:szCs w:val="16"/>
        </w:rPr>
      </w:pPr>
      <w:r w:rsidRPr="007122AB">
        <w:rPr>
          <w:color w:val="000000" w:themeColor="text1"/>
          <w:sz w:val="16"/>
          <w:szCs w:val="16"/>
        </w:rPr>
        <w:t>Тов. Ж. Л. АРЕНСУ</w:t>
      </w:r>
    </w:p>
    <w:p w14:paraId="273FDB24" w14:textId="77777777" w:rsidR="00C90094" w:rsidRPr="007122AB" w:rsidRDefault="00C90094" w:rsidP="007122AB">
      <w:pPr>
        <w:pStyle w:val="ae"/>
        <w:spacing w:before="0" w:after="0"/>
        <w:jc w:val="both"/>
        <w:rPr>
          <w:color w:val="000000" w:themeColor="text1"/>
          <w:sz w:val="16"/>
          <w:szCs w:val="16"/>
        </w:rPr>
      </w:pPr>
      <w:r w:rsidRPr="007122AB">
        <w:rPr>
          <w:color w:val="000000" w:themeColor="text1"/>
          <w:sz w:val="16"/>
          <w:szCs w:val="16"/>
        </w:rPr>
        <w:t>Москва</w:t>
      </w:r>
    </w:p>
    <w:p w14:paraId="57C6C659" w14:textId="77777777" w:rsidR="00C90094" w:rsidRPr="007122AB" w:rsidRDefault="00C90094"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7FB42F1A"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1.  Договор с Валуа еще не подписан, ибо он еще не ответил из Африки на телеграфный запрос об изменениях в тексте договора. Перевод близится к концу.</w:t>
      </w:r>
    </w:p>
    <w:p w14:paraId="3E7FF26E"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2.  Мы уже писали о состоянии фонда, выделенного для «процесса». Если вы считаете необходимым произвести расходы на «Кайе </w:t>
      </w:r>
      <w:proofErr w:type="spellStart"/>
      <w:r w:rsidRPr="007122AB">
        <w:rPr>
          <w:color w:val="000000" w:themeColor="text1"/>
          <w:sz w:val="16"/>
          <w:szCs w:val="16"/>
        </w:rPr>
        <w:t>блэ</w:t>
      </w:r>
      <w:proofErr w:type="spellEnd"/>
      <w:r w:rsidRPr="007122AB">
        <w:rPr>
          <w:color w:val="000000" w:themeColor="text1"/>
          <w:sz w:val="16"/>
          <w:szCs w:val="16"/>
        </w:rPr>
        <w:t xml:space="preserve">», надо сделать дополнительные ассигнования (один экземпляр стоит 1 фр. 50 сантимов). Кроме того, на той неделе выходит книга о процессе, издаваемая </w:t>
      </w:r>
      <w:proofErr w:type="spellStart"/>
      <w:r w:rsidRPr="007122AB">
        <w:rPr>
          <w:color w:val="000000" w:themeColor="text1"/>
          <w:sz w:val="16"/>
          <w:szCs w:val="16"/>
        </w:rPr>
        <w:t>Дюшен</w:t>
      </w:r>
      <w:proofErr w:type="spellEnd"/>
      <w:r w:rsidRPr="007122AB">
        <w:rPr>
          <w:color w:val="000000" w:themeColor="text1"/>
          <w:sz w:val="16"/>
          <w:szCs w:val="16"/>
        </w:rPr>
        <w:t xml:space="preserve">. Экземпляр стоит 4 франка. М-м </w:t>
      </w:r>
      <w:proofErr w:type="spellStart"/>
      <w:r w:rsidRPr="007122AB">
        <w:rPr>
          <w:color w:val="000000" w:themeColor="text1"/>
          <w:sz w:val="16"/>
          <w:szCs w:val="16"/>
        </w:rPr>
        <w:t>Дюшен</w:t>
      </w:r>
      <w:proofErr w:type="spellEnd"/>
      <w:r w:rsidRPr="007122AB">
        <w:rPr>
          <w:color w:val="000000" w:themeColor="text1"/>
          <w:sz w:val="16"/>
          <w:szCs w:val="16"/>
        </w:rPr>
        <w:t xml:space="preserve"> спрашивала у меня, сколько экземпляров мы возьмем. Ответа ей не дал. Может быть на эту книжку даст деньги БОКС? Переговорите с ними.</w:t>
      </w:r>
    </w:p>
    <w:p w14:paraId="4D8434B6"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3.  Так и не удалось получить исчерпывающих сведений об американском журналисте Р. </w:t>
      </w:r>
      <w:proofErr w:type="spellStart"/>
      <w:r w:rsidRPr="007122AB">
        <w:rPr>
          <w:color w:val="000000" w:themeColor="text1"/>
          <w:sz w:val="16"/>
          <w:szCs w:val="16"/>
        </w:rPr>
        <w:t>Ферлине</w:t>
      </w:r>
      <w:proofErr w:type="spellEnd"/>
      <w:r w:rsidRPr="007122AB">
        <w:rPr>
          <w:color w:val="000000" w:themeColor="text1"/>
          <w:sz w:val="16"/>
          <w:szCs w:val="16"/>
        </w:rPr>
        <w:t xml:space="preserve">. Известно, что агентство, которое его посылает — очень крупное агентство. На </w:t>
      </w:r>
      <w:proofErr w:type="spellStart"/>
      <w:r w:rsidRPr="007122AB">
        <w:rPr>
          <w:color w:val="000000" w:themeColor="text1"/>
          <w:sz w:val="16"/>
          <w:szCs w:val="16"/>
        </w:rPr>
        <w:t>Мерлэ</w:t>
      </w:r>
      <w:proofErr w:type="spellEnd"/>
      <w:r w:rsidRPr="007122AB">
        <w:rPr>
          <w:color w:val="000000" w:themeColor="text1"/>
          <w:sz w:val="16"/>
          <w:szCs w:val="16"/>
        </w:rPr>
        <w:t xml:space="preserve"> он произвел благоприятное впечатление. Во всяком случае, у нас нет никаких оснований возражать против его поездки в СССР.</w:t>
      </w:r>
    </w:p>
    <w:p w14:paraId="63E70048"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 xml:space="preserve">4.  Обратилась с просьбой Клод </w:t>
      </w:r>
      <w:proofErr w:type="spellStart"/>
      <w:r w:rsidRPr="007122AB">
        <w:rPr>
          <w:color w:val="000000" w:themeColor="text1"/>
          <w:sz w:val="16"/>
          <w:szCs w:val="16"/>
        </w:rPr>
        <w:t>Шовьер</w:t>
      </w:r>
      <w:proofErr w:type="spellEnd"/>
      <w:r w:rsidRPr="007122AB">
        <w:rPr>
          <w:color w:val="000000" w:themeColor="text1"/>
          <w:sz w:val="16"/>
          <w:szCs w:val="16"/>
        </w:rPr>
        <w:t xml:space="preserve"> помочь ей привлечь к участию в сборнике, посвященном французской писательнице Колетт, какого-нибудь советского критика. Я думаю, следует привлечь Петра Семеновича Когана. Материалы ей нужны к 10-му марта. Работа срочная. </w:t>
      </w:r>
      <w:proofErr w:type="spellStart"/>
      <w:r w:rsidRPr="007122AB">
        <w:rPr>
          <w:color w:val="000000" w:themeColor="text1"/>
          <w:sz w:val="16"/>
          <w:szCs w:val="16"/>
        </w:rPr>
        <w:t>Муссинак</w:t>
      </w:r>
      <w:proofErr w:type="spellEnd"/>
      <w:r w:rsidRPr="007122AB">
        <w:rPr>
          <w:color w:val="000000" w:themeColor="text1"/>
          <w:sz w:val="16"/>
          <w:szCs w:val="16"/>
        </w:rPr>
        <w:t xml:space="preserve"> очень просил ей помочь. Сделайте все возможное. Проспект работы прилагаем.</w:t>
      </w:r>
    </w:p>
    <w:p w14:paraId="3002C604"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С товарищеским приветом</w:t>
      </w:r>
    </w:p>
    <w:p w14:paraId="75734497" w14:textId="77777777" w:rsidR="00C90094" w:rsidRPr="007122AB" w:rsidRDefault="00C90094" w:rsidP="007122AB">
      <w:pPr>
        <w:pStyle w:val="rtejustify"/>
        <w:spacing w:before="0" w:after="0"/>
        <w:rPr>
          <w:color w:val="000000" w:themeColor="text1"/>
          <w:sz w:val="16"/>
          <w:szCs w:val="16"/>
        </w:rPr>
      </w:pPr>
      <w:r w:rsidRPr="007122AB">
        <w:rPr>
          <w:color w:val="000000" w:themeColor="text1"/>
          <w:sz w:val="16"/>
          <w:szCs w:val="16"/>
        </w:rPr>
        <w:t>В. Барков</w:t>
      </w:r>
    </w:p>
    <w:p w14:paraId="621B5D73" w14:textId="77777777" w:rsidR="00C90094" w:rsidRPr="007122AB" w:rsidRDefault="00C90094"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26. Машинописный подлинник на бланке Полпредства СССР во Франции, подпись Баркова — автограф. Вверху справа в графе бланка дата «25 февраля 1931 г.» (число и месяц машинописью) и номер «№ 89/с» (от руки). Вверху слева написаны карандашом входящий номер и дата получения документа «3/III-31 г.». Внизу слева делопроизводственная помета машинописью (столбцом) «2 экз. 1 — т. Аренсу, 1 -в дело» (18833).</w:t>
      </w:r>
    </w:p>
    <w:p w14:paraId="4EDCE3B6" w14:textId="77777777" w:rsidR="00C90094" w:rsidRPr="007122AB" w:rsidRDefault="00C90094" w:rsidP="007122AB">
      <w:pPr>
        <w:spacing w:after="0" w:line="240" w:lineRule="auto"/>
        <w:jc w:val="both"/>
        <w:rPr>
          <w:rFonts w:ascii="Times New Roman" w:hAnsi="Times New Roman"/>
          <w:color w:val="000000" w:themeColor="text1"/>
          <w:sz w:val="16"/>
          <w:szCs w:val="16"/>
        </w:rPr>
      </w:pPr>
    </w:p>
    <w:p w14:paraId="0B189C4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A301D7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E85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февраля 1931 г. на 1-м серийном самолете N 4273 завода N 1 закончились испытания стрелкового вооружения на серийном самолете И-5, которые проводились с 1 февраля 1931 г. (3208).</w:t>
      </w:r>
    </w:p>
    <w:p w14:paraId="15B0D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DFDA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февраля 1931 на НИАП была испытана АПК-5 для И-12 для определения баллистических данных. Начальная скорость - 397 м/сек (3996, 96).</w:t>
      </w:r>
    </w:p>
    <w:p w14:paraId="15DE30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EB212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263200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D128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26 февраля по 5 марта 1931 в Москве шел 15-й Всероссийский съезд Советов, который подвел итоги первых двух лет пятилетки и признал необходимым обязательное начальное обучение и ликвидацию неграмотности (1348,148).</w:t>
      </w:r>
    </w:p>
    <w:p w14:paraId="65FE38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B973C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99AD14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5BC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период с 26 февраля по 1 марта 1931 г. самолет Блерио- 110, пилотируемый летчиками </w:t>
      </w:r>
      <w:proofErr w:type="spellStart"/>
      <w:r w:rsidRPr="007122AB">
        <w:rPr>
          <w:rFonts w:ascii="Times New Roman" w:hAnsi="Times New Roman"/>
          <w:color w:val="000000" w:themeColor="text1"/>
          <w:sz w:val="16"/>
          <w:szCs w:val="16"/>
        </w:rPr>
        <w:t>Боссутро</w:t>
      </w:r>
      <w:proofErr w:type="spellEnd"/>
      <w:r w:rsidRPr="007122AB">
        <w:rPr>
          <w:rFonts w:ascii="Times New Roman" w:hAnsi="Times New Roman"/>
          <w:color w:val="000000" w:themeColor="text1"/>
          <w:sz w:val="16"/>
          <w:szCs w:val="16"/>
        </w:rPr>
        <w:t xml:space="preserve"> и Росси, продержался в воздухе 75 часов 23 минуты, пролетев 8805 км. В период 5-7 августа 1933 г. французские пилоты Росси и </w:t>
      </w:r>
      <w:proofErr w:type="spellStart"/>
      <w:r w:rsidRPr="007122AB">
        <w:rPr>
          <w:rFonts w:ascii="Times New Roman" w:hAnsi="Times New Roman"/>
          <w:color w:val="000000" w:themeColor="text1"/>
          <w:sz w:val="16"/>
          <w:szCs w:val="16"/>
        </w:rPr>
        <w:t>Кодос</w:t>
      </w:r>
      <w:proofErr w:type="spellEnd"/>
      <w:r w:rsidRPr="007122AB">
        <w:rPr>
          <w:rFonts w:ascii="Times New Roman" w:hAnsi="Times New Roman"/>
          <w:color w:val="000000" w:themeColor="text1"/>
          <w:sz w:val="16"/>
          <w:szCs w:val="16"/>
        </w:rPr>
        <w:t xml:space="preserve"> осуществили на Блерио-110 рекордный перелет из Нью-Йорка в сирийский город </w:t>
      </w:r>
      <w:proofErr w:type="spellStart"/>
      <w:r w:rsidRPr="007122AB">
        <w:rPr>
          <w:rFonts w:ascii="Times New Roman" w:hAnsi="Times New Roman"/>
          <w:color w:val="000000" w:themeColor="text1"/>
          <w:sz w:val="16"/>
          <w:szCs w:val="16"/>
        </w:rPr>
        <w:t>Райак</w:t>
      </w:r>
      <w:proofErr w:type="spellEnd"/>
      <w:r w:rsidRPr="007122AB">
        <w:rPr>
          <w:rFonts w:ascii="Times New Roman" w:hAnsi="Times New Roman"/>
          <w:color w:val="000000" w:themeColor="text1"/>
          <w:sz w:val="16"/>
          <w:szCs w:val="16"/>
        </w:rPr>
        <w:t xml:space="preserve"> (французская территория в Сирии) протяженностью 9104 км за 56 часов. В 1930 г. первым выпустили цельнодеревянный высокоплан Блерио- 110. Его крыло с размахом 26,5 метров поддерживалось расчалками, в плане имело почти эллиптическую форму, в его сечении использовался выпукло-вогнутый профиль, который помимо прочего снижал неприятные явления изменения центровки по мере выработки горючего из фюзеляжных баков. Фюзеляж Блерио-110 деревянный, типа "монокок", почти треугольного сечения, что позволяло наиболее эффективно крепить поддерживающие крыльевые расчалки. Кабина пилотов не имела выступа из фюзеляжа, поэтому для получения необходимого обзора на взлете и посадке высокоплан Блерио оборудовали специальным перископом. Двигатель "Испано-</w:t>
      </w:r>
      <w:proofErr w:type="spellStart"/>
      <w:r w:rsidRPr="007122AB">
        <w:rPr>
          <w:rFonts w:ascii="Times New Roman" w:hAnsi="Times New Roman"/>
          <w:color w:val="000000" w:themeColor="text1"/>
          <w:sz w:val="16"/>
          <w:szCs w:val="16"/>
        </w:rPr>
        <w:t>Сюза</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rPr>
        <w:lastRenderedPageBreak/>
        <w:t xml:space="preserve">12 </w:t>
      </w:r>
      <w:proofErr w:type="spellStart"/>
      <w:r w:rsidRPr="007122AB">
        <w:rPr>
          <w:rFonts w:ascii="Times New Roman" w:hAnsi="Times New Roman"/>
          <w:color w:val="000000" w:themeColor="text1"/>
          <w:sz w:val="16"/>
          <w:szCs w:val="16"/>
        </w:rPr>
        <w:t>МЬг</w:t>
      </w:r>
      <w:proofErr w:type="spellEnd"/>
      <w:r w:rsidRPr="007122AB">
        <w:rPr>
          <w:rFonts w:ascii="Times New Roman" w:hAnsi="Times New Roman"/>
          <w:color w:val="000000" w:themeColor="text1"/>
          <w:sz w:val="16"/>
          <w:szCs w:val="16"/>
        </w:rPr>
        <w:t xml:space="preserve"> мощностью 500 л. е., был снабжен лобовым радиатором. Горючее общей емкостью 7855 литров размещалось в 8 крыльевых топливных баках и в 4 фюзеляжных. Шасси </w:t>
      </w:r>
      <w:proofErr w:type="spellStart"/>
      <w:r w:rsidRPr="007122AB">
        <w:rPr>
          <w:rFonts w:ascii="Times New Roman" w:hAnsi="Times New Roman"/>
          <w:color w:val="000000" w:themeColor="text1"/>
          <w:sz w:val="16"/>
          <w:szCs w:val="16"/>
        </w:rPr>
        <w:t>неубираемое</w:t>
      </w:r>
      <w:proofErr w:type="spellEnd"/>
      <w:r w:rsidRPr="007122AB">
        <w:rPr>
          <w:rFonts w:ascii="Times New Roman" w:hAnsi="Times New Roman"/>
          <w:color w:val="000000" w:themeColor="text1"/>
          <w:sz w:val="16"/>
          <w:szCs w:val="16"/>
        </w:rPr>
        <w:t>, на пирамидальных стойках, снабжено резиновой амортизацией. Несмотря на очевидную архаичность конструкции, именно Блерио- 110 смог добиться наиболее впечатляющих успехов (11941).</w:t>
      </w:r>
    </w:p>
    <w:p w14:paraId="73229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7122AB" w:rsidRPr="007122AB" w14:paraId="7805B0F7" w14:textId="77777777">
        <w:tc>
          <w:tcPr>
            <w:tcW w:w="1145" w:type="dxa"/>
            <w:tcBorders>
              <w:top w:val="single" w:sz="12" w:space="0" w:color="auto"/>
            </w:tcBorders>
          </w:tcPr>
          <w:p w14:paraId="114A5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145" w:type="dxa"/>
            <w:tcBorders>
              <w:top w:val="single" w:sz="12" w:space="0" w:color="auto"/>
            </w:tcBorders>
          </w:tcPr>
          <w:p w14:paraId="6BB6CE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Двигатель(л.с.)</w:t>
            </w:r>
          </w:p>
        </w:tc>
        <w:tc>
          <w:tcPr>
            <w:tcW w:w="1145" w:type="dxa"/>
            <w:tcBorders>
              <w:top w:val="single" w:sz="12" w:space="0" w:color="auto"/>
            </w:tcBorders>
          </w:tcPr>
          <w:p w14:paraId="5F19F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(м)</w:t>
            </w:r>
          </w:p>
        </w:tc>
        <w:tc>
          <w:tcPr>
            <w:tcW w:w="1145" w:type="dxa"/>
            <w:tcBorders>
              <w:top w:val="single" w:sz="12" w:space="0" w:color="auto"/>
            </w:tcBorders>
          </w:tcPr>
          <w:p w14:paraId="032199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(мг)</w:t>
            </w:r>
          </w:p>
        </w:tc>
        <w:tc>
          <w:tcPr>
            <w:tcW w:w="1145" w:type="dxa"/>
            <w:tcBorders>
              <w:top w:val="single" w:sz="12" w:space="0" w:color="auto"/>
            </w:tcBorders>
          </w:tcPr>
          <w:p w14:paraId="3AFAD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tc>
        <w:tc>
          <w:tcPr>
            <w:tcW w:w="1145" w:type="dxa"/>
            <w:tcBorders>
              <w:top w:val="single" w:sz="12" w:space="0" w:color="auto"/>
            </w:tcBorders>
          </w:tcPr>
          <w:p w14:paraId="437EC5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145" w:type="dxa"/>
            <w:tcBorders>
              <w:top w:val="single" w:sz="12" w:space="0" w:color="auto"/>
            </w:tcBorders>
          </w:tcPr>
          <w:p w14:paraId="716330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145" w:type="dxa"/>
            <w:tcBorders>
              <w:top w:val="single" w:sz="12" w:space="0" w:color="auto"/>
            </w:tcBorders>
          </w:tcPr>
          <w:p w14:paraId="0553F3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00B342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(кг/м2)</w:t>
            </w:r>
          </w:p>
        </w:tc>
      </w:tr>
      <w:tr w:rsidR="007122AB" w:rsidRPr="007122AB" w14:paraId="37B6C3E2" w14:textId="77777777">
        <w:tc>
          <w:tcPr>
            <w:tcW w:w="1145" w:type="dxa"/>
          </w:tcPr>
          <w:p w14:paraId="0D62E3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5AB5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8829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4EF0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0D90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1A8A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D72E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C8EA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6A9B5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0B77C72" w14:textId="77777777">
        <w:tc>
          <w:tcPr>
            <w:tcW w:w="1145" w:type="dxa"/>
          </w:tcPr>
          <w:p w14:paraId="798598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Фэйри</w:t>
            </w:r>
            <w:proofErr w:type="spellEnd"/>
            <w:r w:rsidRPr="007122AB">
              <w:rPr>
                <w:rFonts w:ascii="Times New Roman" w:hAnsi="Times New Roman"/>
                <w:color w:val="000000" w:themeColor="text1"/>
                <w:sz w:val="16"/>
                <w:szCs w:val="16"/>
              </w:rPr>
              <w:t xml:space="preserve"> LR</w:t>
            </w:r>
          </w:p>
        </w:tc>
        <w:tc>
          <w:tcPr>
            <w:tcW w:w="1145" w:type="dxa"/>
          </w:tcPr>
          <w:p w14:paraId="1530D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Нэпир</w:t>
            </w:r>
            <w:proofErr w:type="spellEnd"/>
            <w:r w:rsidRPr="007122AB">
              <w:rPr>
                <w:rFonts w:ascii="Times New Roman" w:hAnsi="Times New Roman"/>
                <w:color w:val="000000" w:themeColor="text1"/>
                <w:sz w:val="16"/>
                <w:szCs w:val="16"/>
              </w:rPr>
              <w:t xml:space="preserve"> XI (530)</w:t>
            </w:r>
          </w:p>
        </w:tc>
        <w:tc>
          <w:tcPr>
            <w:tcW w:w="1145" w:type="dxa"/>
          </w:tcPr>
          <w:p w14:paraId="0D6A69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145" w:type="dxa"/>
          </w:tcPr>
          <w:p w14:paraId="465E5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w:t>
            </w:r>
          </w:p>
        </w:tc>
        <w:tc>
          <w:tcPr>
            <w:tcW w:w="1145" w:type="dxa"/>
          </w:tcPr>
          <w:p w14:paraId="2C508B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145" w:type="dxa"/>
          </w:tcPr>
          <w:p w14:paraId="29034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145" w:type="dxa"/>
          </w:tcPr>
          <w:p w14:paraId="7CF97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w:t>
            </w:r>
          </w:p>
        </w:tc>
        <w:tc>
          <w:tcPr>
            <w:tcW w:w="1145" w:type="dxa"/>
          </w:tcPr>
          <w:p w14:paraId="098EF8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1145" w:type="dxa"/>
          </w:tcPr>
          <w:p w14:paraId="4CDEF7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95,0</w:t>
            </w:r>
          </w:p>
        </w:tc>
      </w:tr>
      <w:tr w:rsidR="007122AB" w:rsidRPr="007122AB" w14:paraId="49831C09" w14:textId="77777777">
        <w:tc>
          <w:tcPr>
            <w:tcW w:w="1145" w:type="dxa"/>
          </w:tcPr>
          <w:p w14:paraId="3A2DD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 S-64</w:t>
            </w:r>
          </w:p>
        </w:tc>
        <w:tc>
          <w:tcPr>
            <w:tcW w:w="1145" w:type="dxa"/>
          </w:tcPr>
          <w:p w14:paraId="0CABB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Фиат А-22Т (620)</w:t>
            </w:r>
          </w:p>
        </w:tc>
        <w:tc>
          <w:tcPr>
            <w:tcW w:w="1145" w:type="dxa"/>
          </w:tcPr>
          <w:p w14:paraId="31A77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145" w:type="dxa"/>
          </w:tcPr>
          <w:p w14:paraId="01AEB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145" w:type="dxa"/>
          </w:tcPr>
          <w:p w14:paraId="278D7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w:t>
            </w:r>
          </w:p>
        </w:tc>
        <w:tc>
          <w:tcPr>
            <w:tcW w:w="1145" w:type="dxa"/>
          </w:tcPr>
          <w:p w14:paraId="79D55E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2670</w:t>
            </w:r>
          </w:p>
        </w:tc>
        <w:tc>
          <w:tcPr>
            <w:tcW w:w="1145" w:type="dxa"/>
          </w:tcPr>
          <w:p w14:paraId="099DBC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7200</w:t>
            </w:r>
          </w:p>
        </w:tc>
        <w:tc>
          <w:tcPr>
            <w:tcW w:w="1145" w:type="dxa"/>
          </w:tcPr>
          <w:p w14:paraId="034FE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4550</w:t>
            </w:r>
          </w:p>
        </w:tc>
        <w:tc>
          <w:tcPr>
            <w:tcW w:w="1145" w:type="dxa"/>
          </w:tcPr>
          <w:p w14:paraId="2A7E4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7122AB" w:rsidRPr="007122AB" w14:paraId="5CF5F5E6" w14:textId="77777777">
        <w:tc>
          <w:tcPr>
            <w:tcW w:w="1145" w:type="dxa"/>
          </w:tcPr>
          <w:p w14:paraId="45D770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Блерио-110</w:t>
            </w:r>
          </w:p>
        </w:tc>
        <w:tc>
          <w:tcPr>
            <w:tcW w:w="1145" w:type="dxa"/>
          </w:tcPr>
          <w:p w14:paraId="750EE8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12МЬг (500)</w:t>
            </w:r>
          </w:p>
        </w:tc>
        <w:tc>
          <w:tcPr>
            <w:tcW w:w="1145" w:type="dxa"/>
          </w:tcPr>
          <w:p w14:paraId="57F38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26,5</w:t>
            </w:r>
          </w:p>
        </w:tc>
        <w:tc>
          <w:tcPr>
            <w:tcW w:w="1145" w:type="dxa"/>
          </w:tcPr>
          <w:p w14:paraId="341DE7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145" w:type="dxa"/>
          </w:tcPr>
          <w:p w14:paraId="7A36A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8,65</w:t>
            </w:r>
          </w:p>
        </w:tc>
        <w:tc>
          <w:tcPr>
            <w:tcW w:w="1145" w:type="dxa"/>
          </w:tcPr>
          <w:p w14:paraId="1D2BA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c>
          <w:tcPr>
            <w:tcW w:w="1145" w:type="dxa"/>
          </w:tcPr>
          <w:p w14:paraId="2F1B86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8500</w:t>
            </w:r>
          </w:p>
        </w:tc>
        <w:tc>
          <w:tcPr>
            <w:tcW w:w="1145" w:type="dxa"/>
          </w:tcPr>
          <w:p w14:paraId="4E0BB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145" w:type="dxa"/>
          </w:tcPr>
          <w:p w14:paraId="33C9BA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104,5</w:t>
            </w:r>
          </w:p>
        </w:tc>
      </w:tr>
      <w:tr w:rsidR="007122AB" w:rsidRPr="007122AB" w14:paraId="376CC746" w14:textId="77777777">
        <w:tc>
          <w:tcPr>
            <w:tcW w:w="1145" w:type="dxa"/>
          </w:tcPr>
          <w:p w14:paraId="62E77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w:t>
            </w:r>
          </w:p>
        </w:tc>
        <w:tc>
          <w:tcPr>
            <w:tcW w:w="1145" w:type="dxa"/>
          </w:tcPr>
          <w:p w14:paraId="64360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Pr>
          <w:p w14:paraId="079027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145" w:type="dxa"/>
          </w:tcPr>
          <w:p w14:paraId="40485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w:t>
            </w:r>
          </w:p>
        </w:tc>
        <w:tc>
          <w:tcPr>
            <w:tcW w:w="1145" w:type="dxa"/>
          </w:tcPr>
          <w:p w14:paraId="32640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1145" w:type="dxa"/>
          </w:tcPr>
          <w:p w14:paraId="41D55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Pr>
          <w:p w14:paraId="312C6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9200</w:t>
            </w:r>
          </w:p>
        </w:tc>
        <w:tc>
          <w:tcPr>
            <w:tcW w:w="1145" w:type="dxa"/>
          </w:tcPr>
          <w:p w14:paraId="0F899D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5600</w:t>
            </w:r>
          </w:p>
        </w:tc>
        <w:tc>
          <w:tcPr>
            <w:tcW w:w="1145" w:type="dxa"/>
          </w:tcPr>
          <w:p w14:paraId="2D5F2D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117,5</w:t>
            </w:r>
          </w:p>
        </w:tc>
      </w:tr>
      <w:tr w:rsidR="007122AB" w:rsidRPr="007122AB" w14:paraId="3BB84270" w14:textId="77777777">
        <w:tc>
          <w:tcPr>
            <w:tcW w:w="1145" w:type="dxa"/>
            <w:tcBorders>
              <w:bottom w:val="single" w:sz="12" w:space="0" w:color="auto"/>
            </w:tcBorders>
          </w:tcPr>
          <w:p w14:paraId="63258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Бернар-80</w:t>
            </w:r>
          </w:p>
        </w:tc>
        <w:tc>
          <w:tcPr>
            <w:tcW w:w="1145" w:type="dxa"/>
            <w:tcBorders>
              <w:bottom w:val="single" w:sz="12" w:space="0" w:color="auto"/>
            </w:tcBorders>
          </w:tcPr>
          <w:p w14:paraId="32766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Borders>
              <w:bottom w:val="single" w:sz="12" w:space="0" w:color="auto"/>
            </w:tcBorders>
          </w:tcPr>
          <w:p w14:paraId="03B1A2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145" w:type="dxa"/>
            <w:tcBorders>
              <w:bottom w:val="single" w:sz="12" w:space="0" w:color="auto"/>
            </w:tcBorders>
          </w:tcPr>
          <w:p w14:paraId="50B8F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145" w:type="dxa"/>
            <w:tcBorders>
              <w:bottom w:val="single" w:sz="12" w:space="0" w:color="auto"/>
            </w:tcBorders>
          </w:tcPr>
          <w:p w14:paraId="623CD8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w:t>
            </w:r>
          </w:p>
        </w:tc>
        <w:tc>
          <w:tcPr>
            <w:tcW w:w="1145" w:type="dxa"/>
            <w:tcBorders>
              <w:bottom w:val="single" w:sz="12" w:space="0" w:color="auto"/>
            </w:tcBorders>
          </w:tcPr>
          <w:p w14:paraId="5339F8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Borders>
              <w:bottom w:val="single" w:sz="12" w:space="0" w:color="auto"/>
            </w:tcBorders>
          </w:tcPr>
          <w:p w14:paraId="72094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8625</w:t>
            </w:r>
          </w:p>
        </w:tc>
        <w:tc>
          <w:tcPr>
            <w:tcW w:w="1145" w:type="dxa"/>
            <w:tcBorders>
              <w:bottom w:val="single" w:sz="12" w:space="0" w:color="auto"/>
            </w:tcBorders>
          </w:tcPr>
          <w:p w14:paraId="685A7C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145" w:type="dxa"/>
            <w:tcBorders>
              <w:bottom w:val="single" w:sz="12" w:space="0" w:color="auto"/>
            </w:tcBorders>
          </w:tcPr>
          <w:p w14:paraId="72798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w:t>
            </w:r>
          </w:p>
        </w:tc>
      </w:tr>
    </w:tbl>
    <w:p w14:paraId="26D99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037F4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0034D3" w14:textId="77777777" w:rsidR="004742EE" w:rsidRPr="007122AB" w:rsidRDefault="004742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февраля 1931 Imperial Airways начинает регулярные рейсы между Англией и Африкой с использованием </w:t>
      </w:r>
      <w:proofErr w:type="spellStart"/>
      <w:r w:rsidRPr="007122AB">
        <w:rPr>
          <w:rFonts w:ascii="Times New Roman" w:hAnsi="Times New Roman"/>
          <w:color w:val="000000" w:themeColor="text1"/>
          <w:sz w:val="16"/>
          <w:szCs w:val="16"/>
        </w:rPr>
        <w:t>Armstrong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Whitworth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Argosys</w:t>
      </w:r>
      <w:proofErr w:type="spellEnd"/>
      <w:r w:rsidRPr="007122AB">
        <w:rPr>
          <w:rFonts w:ascii="Times New Roman" w:hAnsi="Times New Roman"/>
          <w:color w:val="000000" w:themeColor="text1"/>
          <w:sz w:val="16"/>
          <w:szCs w:val="16"/>
        </w:rPr>
        <w:t xml:space="preserve"> (20804).</w:t>
      </w:r>
    </w:p>
    <w:p w14:paraId="06F761AA" w14:textId="77777777" w:rsidR="004742EE" w:rsidRPr="007122AB" w:rsidRDefault="004742EE" w:rsidP="007122AB">
      <w:pPr>
        <w:spacing w:after="0" w:line="240" w:lineRule="auto"/>
        <w:jc w:val="both"/>
        <w:rPr>
          <w:rFonts w:ascii="Times New Roman" w:hAnsi="Times New Roman"/>
          <w:color w:val="000000" w:themeColor="text1"/>
          <w:sz w:val="16"/>
          <w:szCs w:val="16"/>
        </w:rPr>
      </w:pPr>
    </w:p>
    <w:p w14:paraId="45DD47CD" w14:textId="77777777" w:rsidR="00C90094" w:rsidRPr="007122AB" w:rsidRDefault="00C9009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51860FB" w14:textId="77777777" w:rsidR="00C90094" w:rsidRPr="007122AB" w:rsidRDefault="00C9009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4D7166"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февраля 1931</w:t>
      </w:r>
    </w:p>
    <w:p w14:paraId="6D042554"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 27 заседания Политбюро ЦК ВКП(б) от 25 февраля 1931 г.</w:t>
      </w:r>
    </w:p>
    <w:p w14:paraId="5318E819"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Заседание Политбюро ЦК ВКП(б) от 25-го февраля 1931 года.</w:t>
      </w:r>
    </w:p>
    <w:p w14:paraId="7D8CE62A"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35/51: а) О танкостроении</w:t>
      </w:r>
    </w:p>
    <w:p w14:paraId="2166C65B"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10.I.31 г., пр. № 23, п. 14/19).</w:t>
      </w:r>
    </w:p>
    <w:p w14:paraId="7ED45683"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(Уборевич, Мартинович, Тухачевский,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Михайлов-Иванов).</w:t>
      </w:r>
    </w:p>
    <w:p w14:paraId="3307EE67"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35/51: б) О танках</w:t>
      </w:r>
    </w:p>
    <w:p w14:paraId="5251C759"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(Ворошилов, Орджоникидзе).</w:t>
      </w:r>
    </w:p>
    <w:p w14:paraId="26598AA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542A1DE3"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предложения комиссии т. Уборевича, за исключением пункта о технической помощи (</w:t>
      </w:r>
      <w:hyperlink r:id="rId27" w:history="1">
        <w:r w:rsidRPr="007122AB">
          <w:rPr>
            <w:rStyle w:val="a5"/>
            <w:rFonts w:ascii="Times New Roman" w:hAnsi="Times New Roman"/>
            <w:color w:val="000000" w:themeColor="text1"/>
            <w:sz w:val="16"/>
            <w:szCs w:val="16"/>
            <w:u w:val="none"/>
          </w:rPr>
          <w:t>см. приложение № 4</w:t>
        </w:r>
        <w:r w:rsidRPr="007122AB">
          <w:rPr>
            <w:rStyle w:val="a5"/>
            <w:rFonts w:ascii="Times New Roman" w:hAnsi="Times New Roman"/>
            <w:color w:val="000000" w:themeColor="text1"/>
            <w:sz w:val="16"/>
            <w:szCs w:val="16"/>
            <w:u w:val="none"/>
          </w:rPr>
          <w:noBreakHyphen/>
          <w:t>ОП</w:t>
        </w:r>
      </w:hyperlink>
      <w:r w:rsidRPr="007122AB">
        <w:rPr>
          <w:rFonts w:ascii="Times New Roman" w:hAnsi="Times New Roman"/>
          <w:color w:val="000000" w:themeColor="text1"/>
          <w:sz w:val="16"/>
          <w:szCs w:val="16"/>
        </w:rPr>
        <w:t>).</w:t>
      </w:r>
    </w:p>
    <w:p w14:paraId="6EC95DC9"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4-ОП</w:t>
      </w:r>
    </w:p>
    <w:p w14:paraId="3E1FDD6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35/51 (о. п.) пр. ПБ № 27.</w:t>
      </w:r>
    </w:p>
    <w:p w14:paraId="677EB713"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танковой программе</w:t>
      </w:r>
    </w:p>
    <w:p w14:paraId="0342463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(Принято Политбюро ЦК ВКП(б) 20.II.1931 года).</w:t>
      </w:r>
    </w:p>
    <w:p w14:paraId="208D9968"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w:t>
      </w:r>
    </w:p>
    <w:p w14:paraId="7342FF4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танкеток ............ —  4.000</w:t>
      </w:r>
    </w:p>
    <w:p w14:paraId="6C49199E"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малых танков ........ — 13.000</w:t>
      </w:r>
    </w:p>
    <w:p w14:paraId="4B68AAEC"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средних танков ...... —  2.000</w:t>
      </w:r>
    </w:p>
    <w:p w14:paraId="09720890"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Политбюро постановляет:</w:t>
      </w:r>
    </w:p>
    <w:p w14:paraId="76BF3435"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Танкетка</w:t>
      </w:r>
    </w:p>
    <w:p w14:paraId="2042C26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A. Утвердить тип Т</w:t>
      </w:r>
      <w:r w:rsidRPr="007122AB">
        <w:rPr>
          <w:rFonts w:ascii="Times New Roman" w:hAnsi="Times New Roman"/>
          <w:color w:val="000000" w:themeColor="text1"/>
          <w:sz w:val="16"/>
          <w:szCs w:val="16"/>
        </w:rPr>
        <w:noBreakHyphen/>
        <w:t>27 с мотором Форда АА со следующими данными:</w:t>
      </w:r>
    </w:p>
    <w:p w14:paraId="3C299C1A"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 36</w:t>
      </w:r>
      <w:r w:rsidRPr="007122AB">
        <w:rPr>
          <w:rFonts w:ascii="Times New Roman" w:hAnsi="Times New Roman"/>
          <w:color w:val="000000" w:themeColor="text1"/>
          <w:sz w:val="16"/>
          <w:szCs w:val="16"/>
        </w:rPr>
        <w:noBreakHyphen/>
        <w:t>40 км/ч,</w:t>
      </w:r>
    </w:p>
    <w:p w14:paraId="23565662"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 2 т,</w:t>
      </w:r>
    </w:p>
    <w:p w14:paraId="423CA546"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 10</w:t>
      </w:r>
      <w:r w:rsidRPr="007122AB">
        <w:rPr>
          <w:rFonts w:ascii="Times New Roman" w:hAnsi="Times New Roman"/>
          <w:color w:val="000000" w:themeColor="text1"/>
          <w:sz w:val="16"/>
          <w:szCs w:val="16"/>
        </w:rPr>
        <w:noBreakHyphen/>
        <w:t>5 мм,</w:t>
      </w:r>
    </w:p>
    <w:p w14:paraId="2B9D46B2"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 1 пулемет,</w:t>
      </w:r>
    </w:p>
    <w:p w14:paraId="4BADF374"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с водяным охлаждением — 40</w:t>
      </w:r>
      <w:r w:rsidRPr="007122AB">
        <w:rPr>
          <w:rFonts w:ascii="Times New Roman" w:hAnsi="Times New Roman"/>
          <w:color w:val="000000" w:themeColor="text1"/>
          <w:sz w:val="16"/>
          <w:szCs w:val="16"/>
        </w:rPr>
        <w:noBreakHyphen/>
        <w:t>45 л. с.</w:t>
      </w:r>
    </w:p>
    <w:p w14:paraId="6B618C58"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w:t>
      </w:r>
    </w:p>
    <w:p w14:paraId="1851F8B1"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B. Учитывая, что тип танкетки Т</w:t>
      </w:r>
      <w:r w:rsidRPr="007122AB">
        <w:rPr>
          <w:rFonts w:ascii="Times New Roman" w:hAnsi="Times New Roman"/>
          <w:color w:val="000000" w:themeColor="text1"/>
          <w:sz w:val="16"/>
          <w:szCs w:val="16"/>
        </w:rPr>
        <w:noBreakHyphen/>
        <w:t>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w:t>
      </w:r>
      <w:r w:rsidRPr="007122AB">
        <w:rPr>
          <w:rFonts w:ascii="Times New Roman" w:hAnsi="Times New Roman"/>
          <w:color w:val="000000" w:themeColor="text1"/>
          <w:sz w:val="16"/>
          <w:szCs w:val="16"/>
        </w:rPr>
        <w:noBreakHyphen/>
        <w:t>25% производственной мощности завода.</w:t>
      </w:r>
    </w:p>
    <w:p w14:paraId="1BBE675C"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ВСНХ и НКВМ через два месяца доложить, на какое количество танкеток Нижегородский автозавод может быть подготовлен к весне 1932 г.</w:t>
      </w:r>
    </w:p>
    <w:p w14:paraId="728FEBB7"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Малый танк</w:t>
      </w:r>
    </w:p>
    <w:p w14:paraId="1652CDA2"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тип Т</w:t>
      </w:r>
      <w:r w:rsidRPr="007122AB">
        <w:rPr>
          <w:rFonts w:ascii="Times New Roman" w:hAnsi="Times New Roman"/>
          <w:color w:val="000000" w:themeColor="text1"/>
          <w:sz w:val="16"/>
          <w:szCs w:val="16"/>
        </w:rPr>
        <w:noBreakHyphen/>
        <w:t>26 (“Виккерс”) со следующими данными:</w:t>
      </w:r>
    </w:p>
    <w:p w14:paraId="01A786F6"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 дороге — 35 км/ч,</w:t>
      </w:r>
    </w:p>
    <w:p w14:paraId="12F14D4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 местности — 20</w:t>
      </w:r>
      <w:r w:rsidRPr="007122AB">
        <w:rPr>
          <w:rFonts w:ascii="Times New Roman" w:hAnsi="Times New Roman"/>
          <w:color w:val="000000" w:themeColor="text1"/>
          <w:sz w:val="16"/>
          <w:szCs w:val="16"/>
        </w:rPr>
        <w:noBreakHyphen/>
        <w:t>25 км/ч,</w:t>
      </w:r>
    </w:p>
    <w:p w14:paraId="4E2F7D2E"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 7,5 т,</w:t>
      </w:r>
    </w:p>
    <w:p w14:paraId="0EE23CD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 13</w:t>
      </w:r>
      <w:r w:rsidRPr="007122AB">
        <w:rPr>
          <w:rFonts w:ascii="Times New Roman" w:hAnsi="Times New Roman"/>
          <w:color w:val="000000" w:themeColor="text1"/>
          <w:sz w:val="16"/>
          <w:szCs w:val="16"/>
        </w:rPr>
        <w:noBreakHyphen/>
        <w:t>8 мм,</w:t>
      </w:r>
    </w:p>
    <w:p w14:paraId="1845E911"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 1 пушка калибра 37 мм и 1 пулемет или 2 пулемета,</w:t>
      </w:r>
    </w:p>
    <w:p w14:paraId="4D0AF18A"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Армстронг </w:t>
      </w:r>
      <w:proofErr w:type="spellStart"/>
      <w:r w:rsidRPr="007122AB">
        <w:rPr>
          <w:rFonts w:ascii="Times New Roman" w:hAnsi="Times New Roman"/>
          <w:color w:val="000000" w:themeColor="text1"/>
          <w:sz w:val="16"/>
          <w:szCs w:val="16"/>
        </w:rPr>
        <w:t>Сидлей</w:t>
      </w:r>
      <w:proofErr w:type="spellEnd"/>
      <w:r w:rsidRPr="007122AB">
        <w:rPr>
          <w:rFonts w:ascii="Times New Roman" w:hAnsi="Times New Roman"/>
          <w:color w:val="000000" w:themeColor="text1"/>
          <w:sz w:val="16"/>
          <w:szCs w:val="16"/>
        </w:rPr>
        <w:t xml:space="preserve"> воздушного охлаждения — 84</w:t>
      </w:r>
      <w:r w:rsidRPr="007122AB">
        <w:rPr>
          <w:rFonts w:ascii="Times New Roman" w:hAnsi="Times New Roman"/>
          <w:color w:val="000000" w:themeColor="text1"/>
          <w:sz w:val="16"/>
          <w:szCs w:val="16"/>
        </w:rPr>
        <w:noBreakHyphen/>
        <w:t>93 л. с.</w:t>
      </w:r>
    </w:p>
    <w:p w14:paraId="37E11619"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Для освоения производства в 1931 г. изготовить на заводе “Большевик” 300 танков этого типа.</w:t>
      </w:r>
    </w:p>
    <w:p w14:paraId="51198430"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Вести усиленную подготовку к организации производства на заводах “Большевик” и Сталинградском тракторном собственными инженерно-техническими силами.</w:t>
      </w:r>
    </w:p>
    <w:p w14:paraId="5AF10DB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Базы производства на военное время — завод “Большевик” с подачей 1.500 танков в год и Сталинградский тракторный завод с подачей 12.000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w:t>
      </w:r>
    </w:p>
    <w:p w14:paraId="6CA8DF81"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Средний танк</w:t>
      </w:r>
    </w:p>
    <w:p w14:paraId="25933B85"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A. Признать основным типом мощный средний танк ТГ со следующими данными (ориентировочно):</w:t>
      </w:r>
    </w:p>
    <w:p w14:paraId="1C5F2746"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 40 км/ч,</w:t>
      </w:r>
    </w:p>
    <w:p w14:paraId="097266A0"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средняя — 25 км/ч,</w:t>
      </w:r>
    </w:p>
    <w:p w14:paraId="04D7B277"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 около 20 т,</w:t>
      </w:r>
    </w:p>
    <w:p w14:paraId="61E62465"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 30/20/15 мм,</w:t>
      </w:r>
    </w:p>
    <w:p w14:paraId="550F1420"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1 — 76</w:t>
      </w:r>
      <w:r w:rsidRPr="007122AB">
        <w:rPr>
          <w:rFonts w:ascii="Times New Roman" w:hAnsi="Times New Roman"/>
          <w:color w:val="000000" w:themeColor="text1"/>
          <w:sz w:val="16"/>
          <w:szCs w:val="16"/>
        </w:rPr>
        <w:noBreakHyphen/>
        <w:t>мм пушка, 1 — 37</w:t>
      </w:r>
      <w:r w:rsidRPr="007122AB">
        <w:rPr>
          <w:rFonts w:ascii="Times New Roman" w:hAnsi="Times New Roman"/>
          <w:color w:val="000000" w:themeColor="text1"/>
          <w:sz w:val="16"/>
          <w:szCs w:val="16"/>
        </w:rPr>
        <w:noBreakHyphen/>
        <w:t>мм пушка, 4</w:t>
      </w:r>
      <w:r w:rsidRPr="007122AB">
        <w:rPr>
          <w:rFonts w:ascii="Times New Roman" w:hAnsi="Times New Roman"/>
          <w:color w:val="000000" w:themeColor="text1"/>
          <w:sz w:val="16"/>
          <w:szCs w:val="16"/>
        </w:rPr>
        <w:noBreakHyphen/>
        <w:t>5 пулеметов,</w:t>
      </w:r>
    </w:p>
    <w:p w14:paraId="3E83FCD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воздушного охлаждения — 240 л. с.</w:t>
      </w:r>
    </w:p>
    <w:p w14:paraId="6888CA68"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w:t>
      </w:r>
    </w:p>
    <w:p w14:paraId="62C9D7F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B. Для освоения производства изготовить в 1931 г. первую серию в количестве 50</w:t>
      </w:r>
      <w:r w:rsidRPr="007122AB">
        <w:rPr>
          <w:rFonts w:ascii="Times New Roman" w:hAnsi="Times New Roman"/>
          <w:color w:val="000000" w:themeColor="text1"/>
          <w:sz w:val="16"/>
          <w:szCs w:val="16"/>
        </w:rPr>
        <w:noBreakHyphen/>
        <w:t>75 танков.</w:t>
      </w:r>
    </w:p>
    <w:p w14:paraId="746FE770"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 связи с боевым значением танка Т</w:t>
      </w:r>
      <w:r w:rsidRPr="007122AB">
        <w:rPr>
          <w:rFonts w:ascii="Times New Roman" w:hAnsi="Times New Roman"/>
          <w:color w:val="000000" w:themeColor="text1"/>
          <w:sz w:val="16"/>
          <w:szCs w:val="16"/>
        </w:rPr>
        <w:noBreakHyphen/>
        <w:t>Г ВСНХ подготовить производственные возможности к весне 1932 г. на 2.000 танков этого типа.</w:t>
      </w:r>
    </w:p>
    <w:p w14:paraId="040EAE6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w:t>
      </w:r>
    </w:p>
    <w:p w14:paraId="42462D17"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ВСНХ проработать в двухмесячный срок вопрос о создании для танка Т</w:t>
      </w:r>
      <w:r w:rsidRPr="007122AB">
        <w:rPr>
          <w:rFonts w:ascii="Times New Roman" w:hAnsi="Times New Roman"/>
          <w:color w:val="000000" w:themeColor="text1"/>
          <w:sz w:val="16"/>
          <w:szCs w:val="16"/>
        </w:rPr>
        <w:noBreakHyphen/>
        <w:t>Г, кроме Харькова, вторую базу на Урале.</w:t>
      </w:r>
    </w:p>
    <w:p w14:paraId="193CAC9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Танк Т</w:t>
      </w:r>
      <w:r w:rsidRPr="007122AB">
        <w:rPr>
          <w:rFonts w:ascii="Times New Roman" w:hAnsi="Times New Roman"/>
          <w:color w:val="000000" w:themeColor="text1"/>
          <w:sz w:val="16"/>
          <w:szCs w:val="16"/>
        </w:rPr>
        <w:noBreakHyphen/>
        <w:t>24 после изготовления пущенной в задел партии (80 шт.) с производства снять и вести усиленную подготовку по установке на ХПЗ производства танка Т</w:t>
      </w:r>
      <w:r w:rsidRPr="007122AB">
        <w:rPr>
          <w:rFonts w:ascii="Times New Roman" w:hAnsi="Times New Roman"/>
          <w:color w:val="000000" w:themeColor="text1"/>
          <w:sz w:val="16"/>
          <w:szCs w:val="16"/>
        </w:rPr>
        <w:noBreakHyphen/>
        <w:t>Г.</w:t>
      </w:r>
    </w:p>
    <w:p w14:paraId="47B6D408"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 связи с организацией на Урале второй базы по производству танка Т</w:t>
      </w:r>
      <w:r w:rsidRPr="007122AB">
        <w:rPr>
          <w:rFonts w:ascii="Times New Roman" w:hAnsi="Times New Roman"/>
          <w:color w:val="000000" w:themeColor="text1"/>
          <w:sz w:val="16"/>
          <w:szCs w:val="16"/>
        </w:rPr>
        <w:noBreakHyphen/>
        <w:t>Г прекратить производство малого танка на ММЗ после использования задела.</w:t>
      </w:r>
    </w:p>
    <w:p w14:paraId="4BF11E4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Учитывая удовлетворительные результаты по ассимиляции танкетки Т</w:t>
      </w:r>
      <w:r w:rsidRPr="007122AB">
        <w:rPr>
          <w:rFonts w:ascii="Times New Roman" w:hAnsi="Times New Roman"/>
          <w:color w:val="000000" w:themeColor="text1"/>
          <w:sz w:val="16"/>
          <w:szCs w:val="16"/>
        </w:rPr>
        <w:noBreakHyphen/>
        <w:t>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w:t>
      </w:r>
    </w:p>
    <w:p w14:paraId="7C2489A6"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По моторам. Производственную программу танкостроения обеспечить моторами:</w:t>
      </w:r>
    </w:p>
    <w:p w14:paraId="20C1940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для танкетки Т</w:t>
      </w:r>
      <w:r w:rsidRPr="007122AB">
        <w:rPr>
          <w:rFonts w:ascii="Times New Roman" w:hAnsi="Times New Roman"/>
          <w:color w:val="000000" w:themeColor="text1"/>
          <w:sz w:val="16"/>
          <w:szCs w:val="16"/>
        </w:rPr>
        <w:noBreakHyphen/>
        <w:t>27 — мотор Форд АА Нижегородского автомобильного завода;</w:t>
      </w:r>
    </w:p>
    <w:p w14:paraId="3D597C2F"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для малого танка Т</w:t>
      </w:r>
      <w:r w:rsidRPr="007122AB">
        <w:rPr>
          <w:rFonts w:ascii="Times New Roman" w:hAnsi="Times New Roman"/>
          <w:color w:val="000000" w:themeColor="text1"/>
          <w:sz w:val="16"/>
          <w:szCs w:val="16"/>
        </w:rPr>
        <w:noBreakHyphen/>
        <w:t xml:space="preserve">26 — мотор Армстронг </w:t>
      </w:r>
      <w:proofErr w:type="spellStart"/>
      <w:r w:rsidRPr="007122AB">
        <w:rPr>
          <w:rFonts w:ascii="Times New Roman" w:hAnsi="Times New Roman"/>
          <w:color w:val="000000" w:themeColor="text1"/>
          <w:sz w:val="16"/>
          <w:szCs w:val="16"/>
        </w:rPr>
        <w:t>Сидлей</w:t>
      </w:r>
      <w:proofErr w:type="spellEnd"/>
      <w:r w:rsidRPr="007122AB">
        <w:rPr>
          <w:rFonts w:ascii="Times New Roman" w:hAnsi="Times New Roman"/>
          <w:color w:val="000000" w:themeColor="text1"/>
          <w:sz w:val="16"/>
          <w:szCs w:val="16"/>
        </w:rPr>
        <w:t xml:space="preserve"> производства заводов “Большевик” и Сталинградского тракторного в количестве, соответствующем программе танкостроения на каждом заводе;</w:t>
      </w:r>
    </w:p>
    <w:p w14:paraId="2CFDD92A"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для среднего танка предложить НКВМ максимально ускорить испытания и дать окончательный тип через 1</w:t>
      </w:r>
      <w:r w:rsidRPr="007122AB">
        <w:rPr>
          <w:rFonts w:ascii="Times New Roman" w:hAnsi="Times New Roman"/>
          <w:color w:val="000000" w:themeColor="text1"/>
          <w:sz w:val="16"/>
          <w:szCs w:val="16"/>
        </w:rPr>
        <w:noBreakHyphen/>
        <w:t>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w:t>
      </w:r>
      <w:r w:rsidRPr="007122AB">
        <w:rPr>
          <w:rFonts w:ascii="Times New Roman" w:hAnsi="Times New Roman"/>
          <w:color w:val="000000" w:themeColor="text1"/>
          <w:sz w:val="16"/>
          <w:szCs w:val="16"/>
        </w:rPr>
        <w:noBreakHyphen/>
        <w:t xml:space="preserve">6 и </w:t>
      </w:r>
      <w:proofErr w:type="spellStart"/>
      <w:r w:rsidRPr="007122AB">
        <w:rPr>
          <w:rFonts w:ascii="Times New Roman" w:hAnsi="Times New Roman"/>
          <w:color w:val="000000" w:themeColor="text1"/>
          <w:sz w:val="16"/>
          <w:szCs w:val="16"/>
        </w:rPr>
        <w:t>Гротэ</w:t>
      </w:r>
      <w:proofErr w:type="spellEnd"/>
      <w:r w:rsidRPr="007122AB">
        <w:rPr>
          <w:rFonts w:ascii="Times New Roman" w:hAnsi="Times New Roman"/>
          <w:color w:val="000000" w:themeColor="text1"/>
          <w:sz w:val="16"/>
          <w:szCs w:val="16"/>
        </w:rPr>
        <w:t>;</w:t>
      </w:r>
    </w:p>
    <w:p w14:paraId="2180DBAE"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предложить ВСНХ, НКВМ и ОГПУ в течение 1931 г. создать образцы мощных дизельных моторов в 240</w:t>
      </w:r>
      <w:r w:rsidRPr="007122AB">
        <w:rPr>
          <w:rFonts w:ascii="Times New Roman" w:hAnsi="Times New Roman"/>
          <w:color w:val="000000" w:themeColor="text1"/>
          <w:sz w:val="16"/>
          <w:szCs w:val="16"/>
        </w:rPr>
        <w:noBreakHyphen/>
        <w:t>300 л. с.</w:t>
      </w:r>
    </w:p>
    <w:p w14:paraId="67785742"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По броне:</w:t>
      </w:r>
    </w:p>
    <w:p w14:paraId="0EB86FE6"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w:t>
      </w:r>
    </w:p>
    <w:p w14:paraId="54A973C4"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предложить ВСНХ организовать в течение 1931 г. в Сталинграде новую броневую базу на подачу с весны 1932 г. 45 тыс. т обработанной брони;</w:t>
      </w:r>
    </w:p>
    <w:p w14:paraId="03CAFC4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учитывая необходимость увеличения программы по мощному среднему танку и танкеткам, а также формирования на автотракторной базе 2</w:t>
      </w:r>
      <w:r w:rsidRPr="007122AB">
        <w:rPr>
          <w:rFonts w:ascii="Times New Roman" w:hAnsi="Times New Roman"/>
          <w:color w:val="000000" w:themeColor="text1"/>
          <w:sz w:val="16"/>
          <w:szCs w:val="16"/>
        </w:rPr>
        <w:noBreakHyphen/>
        <w:t>го эшелона танков сопровождения пехоты, предложить ВСНХ внести в двухмесячный срок конкретные предложения по увеличению программы подачи брони;</w:t>
      </w:r>
    </w:p>
    <w:p w14:paraId="1D3DBE23"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w:t>
      </w:r>
    </w:p>
    <w:p w14:paraId="64B405FA"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w:t>
      </w:r>
    </w:p>
    <w:p w14:paraId="695629AD"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w:t>
      </w:r>
    </w:p>
    <w:p w14:paraId="2989B43B"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ВСНХ СССР построить в течение 1931 г. базу для недостающего количества литья при Сталинградском тракторном заводе.</w:t>
      </w:r>
    </w:p>
    <w:p w14:paraId="22D401DE" w14:textId="77777777" w:rsidR="00C90094" w:rsidRPr="007122AB" w:rsidRDefault="00C9009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(18108).</w:t>
      </w:r>
    </w:p>
    <w:p w14:paraId="3A587199" w14:textId="77777777" w:rsidR="00C90094" w:rsidRPr="007122AB" w:rsidRDefault="00C90094" w:rsidP="007122AB">
      <w:pPr>
        <w:spacing w:after="0" w:line="240" w:lineRule="auto"/>
        <w:jc w:val="both"/>
        <w:rPr>
          <w:rFonts w:ascii="Times New Roman" w:hAnsi="Times New Roman"/>
          <w:color w:val="000000" w:themeColor="text1"/>
          <w:sz w:val="16"/>
          <w:szCs w:val="16"/>
        </w:rPr>
      </w:pPr>
    </w:p>
    <w:p w14:paraId="6E0ACD27" w14:textId="77777777" w:rsidR="00FF312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F6D3174" w14:textId="77777777" w:rsidR="00FF3124" w:rsidRPr="007122AB" w:rsidRDefault="00FF312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0EF25B" w14:textId="77777777" w:rsidR="00FF3124" w:rsidRPr="007122AB" w:rsidRDefault="00FF3124" w:rsidP="007122AB">
      <w:pPr>
        <w:pStyle w:val="rtejustify"/>
        <w:spacing w:before="0" w:after="0"/>
        <w:rPr>
          <w:color w:val="000000" w:themeColor="text1"/>
          <w:sz w:val="16"/>
          <w:szCs w:val="16"/>
        </w:rPr>
      </w:pPr>
      <w:r w:rsidRPr="007122AB">
        <w:rPr>
          <w:rStyle w:val="af0"/>
          <w:i w:val="0"/>
          <w:color w:val="000000" w:themeColor="text1"/>
          <w:sz w:val="16"/>
          <w:szCs w:val="16"/>
        </w:rPr>
        <w:t>28 февраля 1931 г. Протокол Реввоенсовета № 11.</w:t>
      </w:r>
      <w:r w:rsidRPr="007122AB">
        <w:rPr>
          <w:color w:val="000000" w:themeColor="text1"/>
          <w:sz w:val="16"/>
          <w:szCs w:val="16"/>
        </w:rPr>
        <w:t xml:space="preserve"> 1. О пулеметном вооружении ВВС и опытном строительстве этого вооружения. (Симонов). 2. О ходе работ по взрывчатым веществам (</w:t>
      </w:r>
      <w:proofErr w:type="spellStart"/>
      <w:r w:rsidRPr="007122AB">
        <w:rPr>
          <w:color w:val="000000" w:themeColor="text1"/>
          <w:sz w:val="16"/>
          <w:szCs w:val="16"/>
        </w:rPr>
        <w:t>Козиницкий</w:t>
      </w:r>
      <w:proofErr w:type="spellEnd"/>
      <w:r w:rsidRPr="007122AB">
        <w:rPr>
          <w:color w:val="000000" w:themeColor="text1"/>
          <w:sz w:val="16"/>
          <w:szCs w:val="16"/>
        </w:rPr>
        <w:t>). (РГВА. Ф. 4. Оп. 18. Д. 20. Л. 119</w:t>
      </w:r>
      <w:r w:rsidRPr="007122AB">
        <w:rPr>
          <w:color w:val="000000" w:themeColor="text1"/>
          <w:sz w:val="16"/>
          <w:szCs w:val="16"/>
        </w:rPr>
        <w:noBreakHyphen/>
        <w:t>121) (12342).</w:t>
      </w:r>
    </w:p>
    <w:p w14:paraId="57743DE9" w14:textId="77777777" w:rsidR="00FF3124" w:rsidRPr="007122AB" w:rsidRDefault="00FF3124" w:rsidP="007122AB">
      <w:pPr>
        <w:pStyle w:val="rtejustify"/>
        <w:spacing w:before="0" w:after="0"/>
        <w:rPr>
          <w:color w:val="000000" w:themeColor="text1"/>
          <w:sz w:val="16"/>
          <w:szCs w:val="16"/>
        </w:rPr>
      </w:pPr>
    </w:p>
    <w:p w14:paraId="2177FDF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356E34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598F2F" w14:textId="77777777" w:rsidR="00AC715D" w:rsidRPr="007122AB" w:rsidRDefault="00AC715D" w:rsidP="007122AB">
      <w:pPr>
        <w:pStyle w:val="a3"/>
        <w:rPr>
          <w:color w:val="000000" w:themeColor="text1"/>
          <w:lang w:val="ru-RU"/>
        </w:rPr>
      </w:pPr>
      <w:r w:rsidRPr="007122AB">
        <w:rPr>
          <w:color w:val="000000" w:themeColor="text1"/>
          <w:lang w:val="ru-RU"/>
        </w:rPr>
        <w:t>28 февраля 1931 г., после</w:t>
      </w:r>
      <w:r w:rsidRPr="007122AB">
        <w:rPr>
          <w:rStyle w:val="391"/>
          <w:rFonts w:ascii="Times New Roman" w:hAnsi="Times New Roman" w:cs="Times New Roman"/>
          <w:b w:val="0"/>
          <w:color w:val="000000" w:themeColor="text1"/>
          <w:sz w:val="16"/>
          <w:szCs w:val="16"/>
          <w:lang w:val="ru-RU"/>
        </w:rPr>
        <w:t xml:space="preserve"> устранений выявленных дефектов </w:t>
      </w:r>
      <w:r w:rsidRPr="007122AB">
        <w:rPr>
          <w:color w:val="000000" w:themeColor="text1"/>
          <w:lang w:val="ru-RU"/>
        </w:rPr>
        <w:t>стоялось испытание танка №2 на</w:t>
      </w:r>
      <w:r w:rsidRPr="007122AB">
        <w:rPr>
          <w:rStyle w:val="391"/>
          <w:rFonts w:ascii="Times New Roman" w:hAnsi="Times New Roman" w:cs="Times New Roman"/>
          <w:b w:val="0"/>
          <w:color w:val="000000" w:themeColor="text1"/>
          <w:sz w:val="16"/>
          <w:szCs w:val="16"/>
          <w:lang w:val="ru-RU"/>
        </w:rPr>
        <w:t xml:space="preserve"> «слаженность работы </w:t>
      </w:r>
      <w:r w:rsidRPr="007122AB">
        <w:rPr>
          <w:rStyle w:val="260"/>
          <w:rFonts w:ascii="Times New Roman" w:hAnsi="Times New Roman" w:cs="Times New Roman"/>
          <w:i w:val="0"/>
          <w:color w:val="000000" w:themeColor="text1"/>
          <w:sz w:val="16"/>
          <w:szCs w:val="16"/>
          <w:lang w:val="ru-RU"/>
        </w:rPr>
        <w:t>двигателя»</w:t>
      </w:r>
      <w:r w:rsidRPr="007122AB">
        <w:rPr>
          <w:color w:val="000000" w:themeColor="text1"/>
          <w:lang w:val="ru-RU"/>
        </w:rPr>
        <w:t xml:space="preserve"> в течение длительного</w:t>
      </w:r>
      <w:r w:rsidRPr="007122AB">
        <w:rPr>
          <w:rStyle w:val="391"/>
          <w:rFonts w:ascii="Times New Roman" w:hAnsi="Times New Roman" w:cs="Times New Roman"/>
          <w:b w:val="0"/>
          <w:color w:val="000000" w:themeColor="text1"/>
          <w:sz w:val="16"/>
          <w:szCs w:val="16"/>
          <w:lang w:val="ru-RU"/>
        </w:rPr>
        <w:t xml:space="preserve"> пробега по шоссе и про</w:t>
      </w:r>
      <w:r w:rsidRPr="007122AB">
        <w:rPr>
          <w:color w:val="000000" w:themeColor="text1"/>
          <w:lang w:val="ru-RU"/>
        </w:rPr>
        <w:t>селочной дороге (глубина</w:t>
      </w:r>
      <w:r w:rsidRPr="007122AB">
        <w:rPr>
          <w:rStyle w:val="391"/>
          <w:rFonts w:ascii="Times New Roman" w:hAnsi="Times New Roman" w:cs="Times New Roman"/>
          <w:b w:val="0"/>
          <w:color w:val="000000" w:themeColor="text1"/>
          <w:sz w:val="16"/>
          <w:szCs w:val="16"/>
          <w:lang w:val="ru-RU"/>
        </w:rPr>
        <w:t xml:space="preserve"> снега –</w:t>
      </w:r>
      <w:r w:rsidRPr="007122AB">
        <w:rPr>
          <w:rStyle w:val="912"/>
          <w:rFonts w:ascii="Times New Roman" w:hAnsi="Times New Roman" w:cs="Times New Roman"/>
          <w:b w:val="0"/>
          <w:color w:val="000000" w:themeColor="text1"/>
          <w:spacing w:val="0"/>
          <w:sz w:val="16"/>
          <w:szCs w:val="16"/>
          <w:lang w:val="ru-RU"/>
        </w:rPr>
        <w:t xml:space="preserve"> до 50 см.) Пробег протяженностью </w:t>
      </w:r>
      <w:r w:rsidRPr="007122AB">
        <w:rPr>
          <w:color w:val="000000" w:themeColor="text1"/>
          <w:lang w:val="ru-RU"/>
        </w:rPr>
        <w:t>104 км, занявший чуть больше 6</w:t>
      </w:r>
      <w:r w:rsidRPr="007122AB">
        <w:rPr>
          <w:rStyle w:val="391"/>
          <w:rFonts w:ascii="Times New Roman" w:hAnsi="Times New Roman" w:cs="Times New Roman"/>
          <w:b w:val="0"/>
          <w:color w:val="000000" w:themeColor="text1"/>
          <w:sz w:val="16"/>
          <w:szCs w:val="16"/>
          <w:lang w:val="ru-RU"/>
        </w:rPr>
        <w:t xml:space="preserve"> ч, проходил в условиях сильного ветра, </w:t>
      </w:r>
      <w:r w:rsidRPr="007122AB">
        <w:rPr>
          <w:color w:val="000000" w:themeColor="text1"/>
          <w:lang w:val="ru-RU"/>
        </w:rPr>
        <w:t>короткие остановки</w:t>
      </w:r>
      <w:r w:rsidRPr="007122AB">
        <w:rPr>
          <w:rStyle w:val="391"/>
          <w:rFonts w:ascii="Times New Roman" w:hAnsi="Times New Roman" w:cs="Times New Roman"/>
          <w:b w:val="0"/>
          <w:color w:val="000000" w:themeColor="text1"/>
          <w:sz w:val="16"/>
          <w:szCs w:val="16"/>
          <w:lang w:val="ru-RU"/>
        </w:rPr>
        <w:t xml:space="preserve"> совершались для осмотра машины и отдыха испытателей</w:t>
      </w:r>
      <w:r w:rsidRPr="007122AB">
        <w:rPr>
          <w:color w:val="000000" w:themeColor="text1"/>
          <w:lang w:val="ru-RU"/>
        </w:rPr>
        <w:t>. Шпоры не</w:t>
      </w:r>
      <w:r w:rsidRPr="007122AB">
        <w:rPr>
          <w:rStyle w:val="391"/>
          <w:rFonts w:ascii="Times New Roman" w:hAnsi="Times New Roman" w:cs="Times New Roman"/>
          <w:b w:val="0"/>
          <w:color w:val="000000" w:themeColor="text1"/>
          <w:sz w:val="16"/>
          <w:szCs w:val="16"/>
          <w:lang w:val="ru-RU"/>
        </w:rPr>
        <w:t xml:space="preserve"> надевались.</w:t>
      </w:r>
      <w:r w:rsidRPr="007122AB">
        <w:rPr>
          <w:rStyle w:val="912"/>
          <w:rFonts w:ascii="Times New Roman" w:hAnsi="Times New Roman" w:cs="Times New Roman"/>
          <w:b w:val="0"/>
          <w:color w:val="000000" w:themeColor="text1"/>
          <w:spacing w:val="0"/>
          <w:sz w:val="16"/>
          <w:szCs w:val="16"/>
          <w:lang w:val="ru-RU"/>
        </w:rPr>
        <w:t xml:space="preserve"> По шоссе танк прошел 80 км., показав </w:t>
      </w:r>
      <w:r w:rsidRPr="007122AB">
        <w:rPr>
          <w:color w:val="000000" w:themeColor="text1"/>
          <w:lang w:val="ru-RU"/>
        </w:rPr>
        <w:t>среднюю скорость 18,9 км/ч, а по проселочной дороге - 24 км со сред</w:t>
      </w:r>
      <w:r w:rsidRPr="007122AB">
        <w:rPr>
          <w:color w:val="000000" w:themeColor="text1"/>
          <w:lang w:val="ru-RU"/>
        </w:rPr>
        <w:softHyphen/>
        <w:t>ней скоростью 17,8 км/ч.</w:t>
      </w:r>
    </w:p>
    <w:p w14:paraId="11D6ABA2" w14:textId="77777777" w:rsidR="00AC715D" w:rsidRPr="007122AB" w:rsidRDefault="00AC715D" w:rsidP="007122AB">
      <w:pPr>
        <w:pStyle w:val="a3"/>
        <w:rPr>
          <w:color w:val="000000" w:themeColor="text1"/>
          <w:lang w:val="ru-RU"/>
        </w:rPr>
      </w:pPr>
      <w:r w:rsidRPr="007122AB">
        <w:rPr>
          <w:color w:val="000000" w:themeColor="text1"/>
          <w:lang w:val="ru-RU"/>
        </w:rPr>
        <w:t>Работа элементов трансмиссии и двигателя не вызвала нареканий. Управляемость и маневренность танка на всех скоростях испытатели признали хорошими. Однако недостаточное сцепление гусениц при дви</w:t>
      </w:r>
      <w:r w:rsidRPr="007122AB">
        <w:rPr>
          <w:color w:val="000000" w:themeColor="text1"/>
          <w:lang w:val="ru-RU"/>
        </w:rPr>
        <w:softHyphen/>
        <w:t>жении танка по обледенелым участкам дороги приводило к заносам, по</w:t>
      </w:r>
      <w:r w:rsidRPr="007122AB">
        <w:rPr>
          <w:color w:val="000000" w:themeColor="text1"/>
          <w:lang w:val="ru-RU"/>
        </w:rPr>
        <w:softHyphen/>
        <w:t>этому приходилось снижать скорость (15745).</w:t>
      </w:r>
    </w:p>
    <w:p w14:paraId="73832A1C" w14:textId="77777777" w:rsidR="00AC715D" w:rsidRPr="007122AB" w:rsidRDefault="00AC715D" w:rsidP="007122AB">
      <w:pPr>
        <w:pStyle w:val="a3"/>
        <w:rPr>
          <w:color w:val="000000" w:themeColor="text1"/>
          <w:lang w:val="ru-RU"/>
        </w:rPr>
      </w:pPr>
    </w:p>
    <w:p w14:paraId="09F360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февраля 1931 года Совнарком все-таки постановил: наряду с Липецким и Тульским строить и Синарский комбинат... Замышлялось, что новый гигант объединит все металлургические переделы: на входе - железорудное сырье, на выходе - трубы, литье, прокат. Возведением </w:t>
      </w:r>
      <w:proofErr w:type="spellStart"/>
      <w:r w:rsidRPr="007122AB">
        <w:rPr>
          <w:rFonts w:ascii="Times New Roman" w:hAnsi="Times New Roman"/>
          <w:color w:val="000000" w:themeColor="text1"/>
          <w:sz w:val="16"/>
          <w:szCs w:val="16"/>
        </w:rPr>
        <w:t>Каменско</w:t>
      </w:r>
      <w:proofErr w:type="spellEnd"/>
      <w:r w:rsidRPr="007122AB">
        <w:rPr>
          <w:rFonts w:ascii="Times New Roman" w:hAnsi="Times New Roman"/>
          <w:color w:val="000000" w:themeColor="text1"/>
          <w:sz w:val="16"/>
          <w:szCs w:val="16"/>
        </w:rPr>
        <w:t xml:space="preserve">-Синарского металлурги </w:t>
      </w:r>
      <w:proofErr w:type="spellStart"/>
      <w:r w:rsidRPr="007122AB">
        <w:rPr>
          <w:rFonts w:ascii="Times New Roman" w:hAnsi="Times New Roman"/>
          <w:color w:val="000000" w:themeColor="text1"/>
          <w:sz w:val="16"/>
          <w:szCs w:val="16"/>
        </w:rPr>
        <w:t>ческого</w:t>
      </w:r>
      <w:proofErr w:type="spellEnd"/>
      <w:r w:rsidRPr="007122AB">
        <w:rPr>
          <w:rFonts w:ascii="Times New Roman" w:hAnsi="Times New Roman"/>
          <w:color w:val="000000" w:themeColor="text1"/>
          <w:sz w:val="16"/>
          <w:szCs w:val="16"/>
        </w:rPr>
        <w:t xml:space="preserve"> комбината должна была непосредственно заняться организация </w:t>
      </w:r>
      <w:proofErr w:type="spellStart"/>
      <w:r w:rsidRPr="007122AB">
        <w:rPr>
          <w:rFonts w:ascii="Times New Roman" w:hAnsi="Times New Roman"/>
          <w:color w:val="000000" w:themeColor="text1"/>
          <w:sz w:val="16"/>
          <w:szCs w:val="16"/>
        </w:rPr>
        <w:t>Синарстрой</w:t>
      </w:r>
      <w:proofErr w:type="spellEnd"/>
      <w:r w:rsidRPr="007122AB">
        <w:rPr>
          <w:rFonts w:ascii="Times New Roman" w:hAnsi="Times New Roman"/>
          <w:color w:val="000000" w:themeColor="text1"/>
          <w:sz w:val="16"/>
          <w:szCs w:val="16"/>
        </w:rPr>
        <w:t>, структурно входившая в трест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xml:space="preserve">", под крылом которого сосредоточились все стройки металлургической, железорудной и марганцевой промышленности на востоке СССР. В апреле 1931 года образован штаб стройки, пуск же завода правление треста запланировало в 1933-м (11515). </w:t>
      </w:r>
    </w:p>
    <w:p w14:paraId="58BF1B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8E4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февраля 1931 г. была спущена на воду Головная лодка "Ленинец" и вступила в строй 22 октября 1933 г. Параллельно с ней строилась и вся серия. На создание пяти лодок было затрачено око</w:t>
      </w:r>
      <w:r w:rsidRPr="007122AB">
        <w:rPr>
          <w:rFonts w:ascii="Times New Roman" w:hAnsi="Times New Roman"/>
          <w:color w:val="000000" w:themeColor="text1"/>
          <w:sz w:val="16"/>
          <w:szCs w:val="16"/>
        </w:rPr>
        <w:softHyphen/>
        <w:t>ло 50 мес., только готовность "Карбонария" задержалась до мая 1935 г. (3898).</w:t>
      </w:r>
    </w:p>
    <w:p w14:paraId="0B560EB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F7F4337" w14:textId="77777777" w:rsidR="00AC715D" w:rsidRPr="007122AB" w:rsidRDefault="00AC715D" w:rsidP="007122AB">
      <w:pPr>
        <w:pStyle w:val="rtejustify"/>
        <w:spacing w:before="0" w:after="0"/>
        <w:rPr>
          <w:color w:val="000000" w:themeColor="text1"/>
          <w:sz w:val="16"/>
          <w:szCs w:val="16"/>
        </w:rPr>
      </w:pPr>
      <w:r w:rsidRPr="007122AB">
        <w:rPr>
          <w:color w:val="000000" w:themeColor="text1"/>
          <w:sz w:val="16"/>
          <w:szCs w:val="16"/>
        </w:rPr>
        <w:t xml:space="preserve">28 февраля 1931 г. Головная лодка «Ленинец» была спущена на воду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w:t>
      </w:r>
      <w:proofErr w:type="spellStart"/>
      <w:r w:rsidRPr="007122AB">
        <w:rPr>
          <w:color w:val="000000" w:themeColor="text1"/>
          <w:sz w:val="16"/>
          <w:szCs w:val="16"/>
        </w:rPr>
        <w:t>беспузырной</w:t>
      </w:r>
      <w:proofErr w:type="spellEnd"/>
      <w:r w:rsidRPr="007122AB">
        <w:rPr>
          <w:color w:val="000000" w:themeColor="text1"/>
          <w:sz w:val="16"/>
          <w:szCs w:val="16"/>
        </w:rPr>
        <w:t xml:space="preserve">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7122AB">
        <w:rPr>
          <w:color w:val="000000" w:themeColor="text1"/>
          <w:sz w:val="16"/>
          <w:szCs w:val="16"/>
        </w:rPr>
        <w:noBreakHyphen/>
        <w:t>бис, а затем к XI серии. «</w:t>
      </w:r>
      <w:proofErr w:type="spellStart"/>
      <w:r w:rsidRPr="007122AB">
        <w:rPr>
          <w:color w:val="000000" w:themeColor="text1"/>
          <w:sz w:val="16"/>
          <w:szCs w:val="16"/>
        </w:rPr>
        <w:t>Ворошиловец</w:t>
      </w:r>
      <w:proofErr w:type="spellEnd"/>
      <w:r w:rsidRPr="007122AB">
        <w:rPr>
          <w:color w:val="000000" w:themeColor="text1"/>
          <w:sz w:val="16"/>
          <w:szCs w:val="16"/>
        </w:rPr>
        <w:t>»,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w:t>
      </w:r>
      <w:proofErr w:type="spellStart"/>
      <w:r w:rsidRPr="007122AB">
        <w:rPr>
          <w:color w:val="000000" w:themeColor="text1"/>
          <w:sz w:val="16"/>
          <w:szCs w:val="16"/>
        </w:rPr>
        <w:t>Менжинец</w:t>
      </w:r>
      <w:proofErr w:type="spellEnd"/>
      <w:r w:rsidRPr="007122AB">
        <w:rPr>
          <w:color w:val="000000" w:themeColor="text1"/>
          <w:sz w:val="16"/>
          <w:szCs w:val="16"/>
        </w:rPr>
        <w:t>»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7122AB">
        <w:rPr>
          <w:color w:val="000000" w:themeColor="text1"/>
          <w:sz w:val="16"/>
          <w:szCs w:val="16"/>
        </w:rPr>
        <w:noBreakHyphen/>
        <w:t>11 и Л</w:t>
      </w:r>
      <w:r w:rsidRPr="007122AB">
        <w:rPr>
          <w:color w:val="000000" w:themeColor="text1"/>
          <w:sz w:val="16"/>
          <w:szCs w:val="16"/>
        </w:rPr>
        <w:noBreakHyphen/>
        <w:t>12 были собраны на еще строящейся Амурской верфи в Комсомольске-на-Амуре и вступили в строй в конце 1938 г. (15280).</w:t>
      </w:r>
    </w:p>
    <w:p w14:paraId="504292C9" w14:textId="77777777" w:rsidR="00AC715D" w:rsidRPr="007122AB" w:rsidRDefault="00AC715D" w:rsidP="007122AB">
      <w:pPr>
        <w:pStyle w:val="rtejustify"/>
        <w:spacing w:before="0" w:after="0"/>
        <w:rPr>
          <w:color w:val="000000" w:themeColor="text1"/>
          <w:sz w:val="16"/>
          <w:szCs w:val="16"/>
        </w:rPr>
      </w:pPr>
    </w:p>
    <w:p w14:paraId="250601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286052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8040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сентября 1931 г. в советском меморандуме от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(ДВП СССР, т. XIV, с. 821-822.). Протоколом от 22 декабря 1931 г. </w:t>
      </w:r>
      <w:proofErr w:type="spellStart"/>
      <w:r w:rsidRPr="007122AB">
        <w:rPr>
          <w:rFonts w:ascii="Times New Roman" w:hAnsi="Times New Roman"/>
          <w:color w:val="000000" w:themeColor="text1"/>
          <w:sz w:val="16"/>
          <w:szCs w:val="16"/>
        </w:rPr>
        <w:t>Хинчук</w:t>
      </w:r>
      <w:proofErr w:type="spellEnd"/>
      <w:r w:rsidRPr="007122AB">
        <w:rPr>
          <w:rFonts w:ascii="Times New Roman" w:hAnsi="Times New Roman"/>
          <w:color w:val="000000" w:themeColor="text1"/>
          <w:sz w:val="16"/>
          <w:szCs w:val="16"/>
        </w:rPr>
        <w:t xml:space="preserve"> и германский министр экономики X. </w:t>
      </w:r>
      <w:proofErr w:type="spellStart"/>
      <w:r w:rsidRPr="007122AB">
        <w:rPr>
          <w:rFonts w:ascii="Times New Roman" w:hAnsi="Times New Roman"/>
          <w:color w:val="000000" w:themeColor="text1"/>
          <w:sz w:val="16"/>
          <w:szCs w:val="16"/>
        </w:rPr>
        <w:t>Вармбольд</w:t>
      </w:r>
      <w:proofErr w:type="spellEnd"/>
      <w:r w:rsidRPr="007122AB">
        <w:rPr>
          <w:rFonts w:ascii="Times New Roman" w:hAnsi="Times New Roman"/>
          <w:color w:val="000000" w:themeColor="text1"/>
          <w:sz w:val="16"/>
          <w:szCs w:val="16"/>
        </w:rPr>
        <w:t xml:space="preserve">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45476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5BEF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50971B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5B5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февраля 1931 в Великобритании </w:t>
      </w:r>
      <w:proofErr w:type="spellStart"/>
      <w:r w:rsidRPr="007122AB">
        <w:rPr>
          <w:rFonts w:ascii="Times New Roman" w:hAnsi="Times New Roman"/>
          <w:color w:val="000000" w:themeColor="text1"/>
          <w:sz w:val="16"/>
          <w:szCs w:val="16"/>
        </w:rPr>
        <w:t>О.Мосли</w:t>
      </w:r>
      <w:proofErr w:type="spellEnd"/>
      <w:r w:rsidRPr="007122AB">
        <w:rPr>
          <w:rFonts w:ascii="Times New Roman" w:hAnsi="Times New Roman"/>
          <w:color w:val="000000" w:themeColor="text1"/>
          <w:sz w:val="16"/>
          <w:szCs w:val="16"/>
        </w:rPr>
        <w:t>, который 20 января вышел из Лейбористской партии, объявил о создании Новой партии - фашистской (3907,167).</w:t>
      </w:r>
    </w:p>
    <w:p w14:paraId="6A3509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C3AE1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0FB848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18C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третий экз. И-5 истребитель потерпел аварию (разрушился нагнетатель мотора) и был отправлен на ремонт. Как и следовало ожидать, ВТ-11 с высотным "Юпитером" VII (снабжённым нагнетателем) проигрывал в скорости у земли, но обгонял соперников на высотах более 3000 м. "Подарок" имел большой потолок - 8200 м, выигрывал по скорости выполнения виража, но уступал двум другим машинам по дальности полёта (2М-15 оказался "прожорлив"). Самым перспективным сочли второй экземпляр, который имел неплохие характеристики и у земли, и на средних высотах. По скорости он существенно опережал состоящий </w:t>
      </w:r>
      <w:r w:rsidRPr="007122AB">
        <w:rPr>
          <w:rFonts w:ascii="Times New Roman" w:hAnsi="Times New Roman"/>
          <w:color w:val="000000" w:themeColor="text1"/>
          <w:sz w:val="16"/>
          <w:szCs w:val="16"/>
        </w:rPr>
        <w:lastRenderedPageBreak/>
        <w:t>на вооружении ВВС РККА цельнометаллический истребитель И-4 во всех диапазонах высот, а по сравнению с более тяжёлым И-3 выигрывал в манёвренности. НИИ ВВС дало в отношении BT-12 заключение: "После устранения недостатков может быть принят на вооружение" (11997).</w:t>
      </w:r>
    </w:p>
    <w:p w14:paraId="4E53E7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D71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w:t>
      </w:r>
      <w:proofErr w:type="spellStart"/>
      <w:r w:rsidRPr="007122AB">
        <w:rPr>
          <w:rFonts w:ascii="Times New Roman" w:hAnsi="Times New Roman"/>
          <w:color w:val="000000" w:themeColor="text1"/>
          <w:sz w:val="16"/>
          <w:szCs w:val="16"/>
        </w:rPr>
        <w:t>И.В.Четвериков</w:t>
      </w:r>
      <w:proofErr w:type="spellEnd"/>
      <w:r w:rsidRPr="007122AB">
        <w:rPr>
          <w:rFonts w:ascii="Times New Roman" w:hAnsi="Times New Roman"/>
          <w:color w:val="000000" w:themeColor="text1"/>
          <w:sz w:val="16"/>
          <w:szCs w:val="16"/>
        </w:rPr>
        <w:t>, работая в ЦКБ (то есть в старом), получил задание на МДР-3 с М-17 и должен был к декабрю 1931 завершить строительство 63,85).</w:t>
      </w:r>
    </w:p>
    <w:p w14:paraId="6CCF7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есть ЦКБ - не такая уж и глупость, хотя работа была начата не в ЦАГИ, ЦАГИ ее по-видимому погубил.</w:t>
      </w:r>
    </w:p>
    <w:p w14:paraId="6E345A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Туда в ЦКБ, где </w:t>
      </w:r>
      <w:proofErr w:type="spellStart"/>
      <w:r w:rsidRPr="007122AB">
        <w:rPr>
          <w:rFonts w:ascii="Times New Roman" w:hAnsi="Times New Roman"/>
          <w:color w:val="000000" w:themeColor="text1"/>
          <w:sz w:val="16"/>
          <w:szCs w:val="16"/>
        </w:rPr>
        <w:t>Д.П.Григорович</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xml:space="preserve"> сидели на тюремном положении в ангаре 7 в 1931 пришел А.С.Я. Сначала назначили в бригаду </w:t>
      </w:r>
      <w:proofErr w:type="spellStart"/>
      <w:r w:rsidRPr="007122AB">
        <w:rPr>
          <w:rFonts w:ascii="Times New Roman" w:hAnsi="Times New Roman"/>
          <w:color w:val="000000" w:themeColor="text1"/>
          <w:sz w:val="16"/>
          <w:szCs w:val="16"/>
        </w:rPr>
        <w:t>С.А.Кочеригина</w:t>
      </w:r>
      <w:proofErr w:type="spellEnd"/>
      <w:r w:rsidRPr="007122AB">
        <w:rPr>
          <w:rFonts w:ascii="Times New Roman" w:hAnsi="Times New Roman"/>
          <w:color w:val="000000" w:themeColor="text1"/>
          <w:sz w:val="16"/>
          <w:szCs w:val="16"/>
        </w:rPr>
        <w:t xml:space="preserve">, который как и </w:t>
      </w:r>
      <w:proofErr w:type="spellStart"/>
      <w:r w:rsidRPr="007122AB">
        <w:rPr>
          <w:rFonts w:ascii="Times New Roman" w:hAnsi="Times New Roman"/>
          <w:color w:val="000000" w:themeColor="text1"/>
          <w:sz w:val="16"/>
          <w:szCs w:val="16"/>
        </w:rPr>
        <w:t>А.Н.Рафаэлянц</w:t>
      </w:r>
      <w:proofErr w:type="spellEnd"/>
      <w:r w:rsidRPr="007122AB">
        <w:rPr>
          <w:rFonts w:ascii="Times New Roman" w:hAnsi="Times New Roman"/>
          <w:color w:val="000000" w:themeColor="text1"/>
          <w:sz w:val="16"/>
          <w:szCs w:val="16"/>
        </w:rPr>
        <w:t xml:space="preserve"> - были вольными. А.С.Я. - отказался (испугался стать узким специалистом) и пошел на производство якобы инженером (74,60).</w:t>
      </w:r>
    </w:p>
    <w:p w14:paraId="69887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ЦКБ было в ведении техотдела ГПУ под руководством </w:t>
      </w:r>
      <w:proofErr w:type="spellStart"/>
      <w:r w:rsidRPr="007122AB">
        <w:rPr>
          <w:rFonts w:ascii="Times New Roman" w:hAnsi="Times New Roman"/>
          <w:color w:val="000000" w:themeColor="text1"/>
          <w:sz w:val="16"/>
          <w:szCs w:val="16"/>
        </w:rPr>
        <w:t>Горьянова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был директором завода 39 им. Менжинского (74,60). А.С.Я. как-то все время получал деньги Осоавиахима - вряд ли случайно.</w:t>
      </w:r>
    </w:p>
    <w:p w14:paraId="32D11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ходе весенней реорганизации ЦКБ Н.Н.П. был назначен начальником бригады 3 и приступил к разработке истребителя И-11 (228,82).</w:t>
      </w:r>
    </w:p>
    <w:p w14:paraId="1A99A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ACA8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специальная комиссия ВВС РККА приступила к гос. испытаниям АНТ-8 МДР-2 А.Н.Т. в Севастополе и испытания шли до 20 марта (4269,18).</w:t>
      </w:r>
    </w:p>
    <w:p w14:paraId="04CCF3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FF416F" w14:textId="77777777" w:rsidR="004742EE" w:rsidRPr="007122AB" w:rsidRDefault="004742EE"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феврале 1931 г. заводские специалисты завода № 31, выехавшие для знаком</w:t>
      </w:r>
      <w:r w:rsidRPr="007122AB">
        <w:rPr>
          <w:rFonts w:ascii="Times New Roman" w:hAnsi="Times New Roman"/>
          <w:color w:val="000000" w:themeColor="text1"/>
          <w:sz w:val="16"/>
          <w:szCs w:val="16"/>
          <w:lang w:eastAsia="ru-RU" w:bidi="ru-RU"/>
        </w:rPr>
        <w:softHyphen/>
        <w:t>ства с самолетом и технологией выехала во главе с заведующим монтажным участ</w:t>
      </w:r>
      <w:r w:rsidRPr="007122AB">
        <w:rPr>
          <w:rFonts w:ascii="Times New Roman" w:hAnsi="Times New Roman"/>
          <w:color w:val="000000" w:themeColor="text1"/>
          <w:sz w:val="16"/>
          <w:szCs w:val="16"/>
          <w:lang w:eastAsia="ru-RU" w:bidi="ru-RU"/>
        </w:rPr>
        <w:softHyphen/>
        <w:t xml:space="preserve">ком инженером Г. И. </w:t>
      </w:r>
      <w:proofErr w:type="spellStart"/>
      <w:r w:rsidRPr="007122AB">
        <w:rPr>
          <w:rFonts w:ascii="Times New Roman" w:hAnsi="Times New Roman"/>
          <w:color w:val="000000" w:themeColor="text1"/>
          <w:sz w:val="16"/>
          <w:szCs w:val="16"/>
          <w:lang w:eastAsia="ru-RU" w:bidi="ru-RU"/>
        </w:rPr>
        <w:t>Трутко</w:t>
      </w:r>
      <w:proofErr w:type="spellEnd"/>
      <w:r w:rsidRPr="007122AB">
        <w:rPr>
          <w:rFonts w:ascii="Times New Roman" w:hAnsi="Times New Roman"/>
          <w:color w:val="000000" w:themeColor="text1"/>
          <w:sz w:val="16"/>
          <w:szCs w:val="16"/>
          <w:lang w:eastAsia="ru-RU" w:bidi="ru-RU"/>
        </w:rPr>
        <w:t>, прибыли на фирму в Геную. Однако получение чертежей и технологии, а также шаблонов, приспособлений, таблиц нормалей, специальных клеев и мастик и прочего шло крайне мед</w:t>
      </w:r>
      <w:r w:rsidRPr="007122AB">
        <w:rPr>
          <w:rFonts w:ascii="Times New Roman" w:hAnsi="Times New Roman"/>
          <w:color w:val="000000" w:themeColor="text1"/>
          <w:sz w:val="16"/>
          <w:szCs w:val="16"/>
          <w:lang w:eastAsia="ru-RU" w:bidi="ru-RU"/>
        </w:rPr>
        <w:softHyphen/>
        <w:t>ленно. Ко всему прочему, никто в группе не знал итальян</w:t>
      </w:r>
      <w:r w:rsidRPr="007122AB">
        <w:rPr>
          <w:rFonts w:ascii="Times New Roman" w:hAnsi="Times New Roman"/>
          <w:color w:val="000000" w:themeColor="text1"/>
          <w:sz w:val="16"/>
          <w:szCs w:val="16"/>
          <w:lang w:eastAsia="ru-RU" w:bidi="ru-RU"/>
        </w:rPr>
        <w:softHyphen/>
        <w:t>ского языка, денег же на переводчика или просто учите</w:t>
      </w:r>
      <w:r w:rsidRPr="007122AB">
        <w:rPr>
          <w:rFonts w:ascii="Times New Roman" w:hAnsi="Times New Roman"/>
          <w:color w:val="000000" w:themeColor="text1"/>
          <w:sz w:val="16"/>
          <w:szCs w:val="16"/>
          <w:lang w:eastAsia="ru-RU" w:bidi="ru-RU"/>
        </w:rPr>
        <w:softHyphen/>
        <w:t>ля не выделили. Поэтому объясняться с итальянцами ча</w:t>
      </w:r>
      <w:r w:rsidRPr="007122AB">
        <w:rPr>
          <w:rFonts w:ascii="Times New Roman" w:hAnsi="Times New Roman"/>
          <w:color w:val="000000" w:themeColor="text1"/>
          <w:sz w:val="16"/>
          <w:szCs w:val="16"/>
          <w:lang w:eastAsia="ru-RU" w:bidi="ru-RU"/>
        </w:rPr>
        <w:softHyphen/>
        <w:t>сто приходилось просто «на пальцах» (20325).</w:t>
      </w:r>
    </w:p>
    <w:p w14:paraId="007E2FCC" w14:textId="77777777" w:rsidR="004742EE" w:rsidRPr="007122AB" w:rsidRDefault="004742EE" w:rsidP="007122AB">
      <w:pPr>
        <w:spacing w:after="0" w:line="240" w:lineRule="auto"/>
        <w:jc w:val="both"/>
        <w:rPr>
          <w:rFonts w:ascii="Times New Roman" w:hAnsi="Times New Roman"/>
          <w:color w:val="000000" w:themeColor="text1"/>
          <w:sz w:val="16"/>
          <w:szCs w:val="16"/>
          <w:lang w:eastAsia="ru-RU" w:bidi="ru-RU"/>
        </w:rPr>
      </w:pPr>
    </w:p>
    <w:p w14:paraId="45A4D5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испытания продолжи</w:t>
      </w:r>
      <w:r w:rsidRPr="007122AB">
        <w:rPr>
          <w:rFonts w:ascii="Times New Roman" w:hAnsi="Times New Roman"/>
          <w:color w:val="000000" w:themeColor="text1"/>
          <w:sz w:val="16"/>
          <w:szCs w:val="16"/>
        </w:rPr>
        <w:softHyphen/>
        <w:t>лись, после чего К-3 успешно эксплуатировалась в тече</w:t>
      </w:r>
      <w:r w:rsidRPr="007122AB">
        <w:rPr>
          <w:rFonts w:ascii="Times New Roman" w:hAnsi="Times New Roman"/>
          <w:color w:val="000000" w:themeColor="text1"/>
          <w:sz w:val="16"/>
          <w:szCs w:val="16"/>
        </w:rPr>
        <w:softHyphen/>
        <w:t>ние нескольких лет. Катапульта находилась на линкоре «Парижская Коммуна» до 1935 г., затем ее перенесли на крейсер «Красный Кавказ», считавшийся самым совре</w:t>
      </w:r>
      <w:r w:rsidRPr="007122AB">
        <w:rPr>
          <w:rFonts w:ascii="Times New Roman" w:hAnsi="Times New Roman"/>
          <w:color w:val="000000" w:themeColor="text1"/>
          <w:sz w:val="16"/>
          <w:szCs w:val="16"/>
        </w:rPr>
        <w:softHyphen/>
        <w:t>менным кораблем Черноморского флота. На нем ката</w:t>
      </w:r>
      <w:r w:rsidRPr="007122AB">
        <w:rPr>
          <w:rFonts w:ascii="Times New Roman" w:hAnsi="Times New Roman"/>
          <w:color w:val="000000" w:themeColor="text1"/>
          <w:sz w:val="16"/>
          <w:szCs w:val="16"/>
        </w:rPr>
        <w:softHyphen/>
        <w:t>пульта находилась до 1941 г. (11107).</w:t>
      </w:r>
    </w:p>
    <w:p w14:paraId="5FA71A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05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фотография "нового советского самолета дальнего действия конструкции т. С. П. Королева" СК-4 и заметка о конструктивных особенностях самолета (журн. "Вестник воздушного флота". 1931. № 2) (10676).</w:t>
      </w:r>
    </w:p>
    <w:p w14:paraId="2AB2C2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D701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был принят документ “Система вооружения ВВС РККА на 1932-34 гг.), в которой были как носители ЗАМ и Майзеля ДИП-1 и ДИП-2, самолет-таран (ТА-1), “бронированный истребитель-миноносец” М-1. ДИП-1 и ДИП-2 брали по два ЗАМ в перегрузку, а М-1 - 4. По М-1 написано: “Полет </w:t>
      </w:r>
      <w:proofErr w:type="spellStart"/>
      <w:r w:rsidRPr="007122AB">
        <w:rPr>
          <w:rFonts w:ascii="Times New Roman" w:hAnsi="Times New Roman"/>
          <w:color w:val="000000" w:themeColor="text1"/>
          <w:sz w:val="16"/>
          <w:szCs w:val="16"/>
        </w:rPr>
        <w:t>олиночный</w:t>
      </w:r>
      <w:proofErr w:type="spellEnd"/>
      <w:r w:rsidRPr="007122AB">
        <w:rPr>
          <w:rFonts w:ascii="Times New Roman" w:hAnsi="Times New Roman"/>
          <w:color w:val="000000" w:themeColor="text1"/>
          <w:sz w:val="16"/>
          <w:szCs w:val="16"/>
        </w:rPr>
        <w:t xml:space="preserve">, выпуск по строю противника ЗАМ с </w:t>
      </w:r>
      <w:proofErr w:type="spellStart"/>
      <w:r w:rsidRPr="007122AB">
        <w:rPr>
          <w:rFonts w:ascii="Times New Roman" w:hAnsi="Times New Roman"/>
          <w:color w:val="000000" w:themeColor="text1"/>
          <w:sz w:val="16"/>
          <w:szCs w:val="16"/>
        </w:rPr>
        <w:t>дальтних</w:t>
      </w:r>
      <w:proofErr w:type="spellEnd"/>
      <w:r w:rsidRPr="007122AB">
        <w:rPr>
          <w:rFonts w:ascii="Times New Roman" w:hAnsi="Times New Roman"/>
          <w:color w:val="000000" w:themeColor="text1"/>
          <w:sz w:val="16"/>
          <w:szCs w:val="16"/>
        </w:rPr>
        <w:t xml:space="preserve"> (до 4 км) дистанций ы целях расстройства строя и поражения”. </w:t>
      </w:r>
      <w:proofErr w:type="spellStart"/>
      <w:r w:rsidRPr="007122AB">
        <w:rPr>
          <w:rFonts w:ascii="Times New Roman" w:hAnsi="Times New Roman"/>
          <w:color w:val="000000" w:themeColor="text1"/>
          <w:sz w:val="16"/>
          <w:szCs w:val="16"/>
        </w:rPr>
        <w:t>Лл</w:t>
      </w:r>
      <w:proofErr w:type="spellEnd"/>
      <w:r w:rsidRPr="007122AB">
        <w:rPr>
          <w:rFonts w:ascii="Times New Roman" w:hAnsi="Times New Roman"/>
          <w:color w:val="000000" w:themeColor="text1"/>
          <w:sz w:val="16"/>
          <w:szCs w:val="16"/>
        </w:rPr>
        <w:t xml:space="preserve"> МК-2 </w:t>
      </w:r>
      <w:proofErr w:type="spellStart"/>
      <w:r w:rsidRPr="007122AB">
        <w:rPr>
          <w:rFonts w:ascii="Times New Roman" w:hAnsi="Times New Roman"/>
          <w:color w:val="000000" w:themeColor="text1"/>
          <w:sz w:val="16"/>
          <w:szCs w:val="16"/>
        </w:rPr>
        <w:t>д.б</w:t>
      </w:r>
      <w:proofErr w:type="spellEnd"/>
      <w:r w:rsidRPr="007122AB">
        <w:rPr>
          <w:rFonts w:ascii="Times New Roman" w:hAnsi="Times New Roman"/>
          <w:color w:val="000000" w:themeColor="text1"/>
          <w:sz w:val="16"/>
          <w:szCs w:val="16"/>
        </w:rPr>
        <w:t xml:space="preserve">. брать и </w:t>
      </w:r>
      <w:proofErr w:type="spellStart"/>
      <w:r w:rsidRPr="007122AB">
        <w:rPr>
          <w:rFonts w:ascii="Times New Roman" w:hAnsi="Times New Roman"/>
          <w:color w:val="000000" w:themeColor="text1"/>
          <w:sz w:val="16"/>
          <w:szCs w:val="16"/>
        </w:rPr>
        <w:t>ЗАМы</w:t>
      </w:r>
      <w:proofErr w:type="spellEnd"/>
      <w:r w:rsidRPr="007122AB">
        <w:rPr>
          <w:rFonts w:ascii="Times New Roman" w:hAnsi="Times New Roman"/>
          <w:color w:val="000000" w:themeColor="text1"/>
          <w:sz w:val="16"/>
          <w:szCs w:val="16"/>
        </w:rPr>
        <w:t xml:space="preserve"> и ПБМ “Многоместный-истребитель-крейсер - развитие МИ-3 - имел в составе вооружения 4 ПБМ. Потом, более поздний вариант (от марта 1931) - на всех </w:t>
      </w:r>
      <w:proofErr w:type="spellStart"/>
      <w:r w:rsidRPr="007122AB">
        <w:rPr>
          <w:rFonts w:ascii="Times New Roman" w:hAnsi="Times New Roman"/>
          <w:color w:val="000000" w:themeColor="text1"/>
          <w:sz w:val="16"/>
          <w:szCs w:val="16"/>
        </w:rPr>
        <w:t>юомбардировщиках</w:t>
      </w:r>
      <w:proofErr w:type="spellEnd"/>
      <w:r w:rsidRPr="007122AB">
        <w:rPr>
          <w:rFonts w:ascii="Times New Roman" w:hAnsi="Times New Roman"/>
          <w:color w:val="000000" w:themeColor="text1"/>
          <w:sz w:val="16"/>
          <w:szCs w:val="16"/>
        </w:rPr>
        <w:t xml:space="preserve"> с нагрузкой менее 10 т (8908,36).</w:t>
      </w:r>
    </w:p>
    <w:p w14:paraId="217414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336D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ВАО передано из НКВМД в ВСНХ (7383, 5).</w:t>
      </w:r>
    </w:p>
    <w:p w14:paraId="38F41C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E6E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ВАО вновь передали в ВСНХ. Улуч</w:t>
      </w:r>
      <w:r w:rsidRPr="007122AB">
        <w:rPr>
          <w:rFonts w:ascii="Times New Roman" w:hAnsi="Times New Roman"/>
          <w:color w:val="000000" w:themeColor="text1"/>
          <w:sz w:val="16"/>
          <w:szCs w:val="16"/>
        </w:rPr>
        <w:softHyphen/>
        <w:t>шилась связь авиационной промышленности с другими отраслями народного хозяйства. В результате реоргани</w:t>
      </w:r>
      <w:r w:rsidRPr="007122AB">
        <w:rPr>
          <w:rFonts w:ascii="Times New Roman" w:hAnsi="Times New Roman"/>
          <w:color w:val="000000" w:themeColor="text1"/>
          <w:sz w:val="16"/>
          <w:szCs w:val="16"/>
        </w:rPr>
        <w:softHyphen/>
        <w:t>зации ЦКБ были сформированы конструкторские бри</w:t>
      </w:r>
      <w:r w:rsidRPr="007122AB">
        <w:rPr>
          <w:rFonts w:ascii="Times New Roman" w:hAnsi="Times New Roman"/>
          <w:color w:val="000000" w:themeColor="text1"/>
          <w:sz w:val="16"/>
          <w:szCs w:val="16"/>
        </w:rPr>
        <w:softHyphen/>
        <w:t>гады постоянного состава, которые получили право курировать весь процесс проектирования и изготовле</w:t>
      </w:r>
      <w:r w:rsidRPr="007122AB">
        <w:rPr>
          <w:rFonts w:ascii="Times New Roman" w:hAnsi="Times New Roman"/>
          <w:color w:val="000000" w:themeColor="text1"/>
          <w:sz w:val="16"/>
          <w:szCs w:val="16"/>
        </w:rPr>
        <w:softHyphen/>
        <w:t>ния опытных машин. Николая Николаевича назначили начальником бригады № 3 (10667).</w:t>
      </w:r>
    </w:p>
    <w:p w14:paraId="41221E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4BE77C" w14:textId="77777777" w:rsidR="00BD06CF" w:rsidRPr="00441F34" w:rsidRDefault="00BD06CF" w:rsidP="00BD06C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феврале 1931 года ВАО вновь было передано в ВСНХ. Улучши</w:t>
      </w:r>
      <w:r w:rsidRPr="00441F34">
        <w:rPr>
          <w:rFonts w:ascii="Times New Roman" w:hAnsi="Times New Roman"/>
          <w:color w:val="0070C0"/>
          <w:sz w:val="16"/>
          <w:szCs w:val="16"/>
        </w:rPr>
        <w:softHyphen/>
        <w:t>лась связь авиационной промыш</w:t>
      </w:r>
      <w:r w:rsidRPr="00441F34">
        <w:rPr>
          <w:rFonts w:ascii="Times New Roman" w:hAnsi="Times New Roman"/>
          <w:color w:val="0070C0"/>
          <w:sz w:val="16"/>
          <w:szCs w:val="16"/>
        </w:rPr>
        <w:softHyphen/>
        <w:t>ленности с другими отраслями народного хозяйства.</w:t>
      </w:r>
    </w:p>
    <w:p w14:paraId="37FC7D7A" w14:textId="77777777" w:rsidR="00BD06CF" w:rsidRPr="00441F34" w:rsidRDefault="00BD06CF" w:rsidP="00BD06C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результате реорганизации ЦКБ были сформированы кон</w:t>
      </w:r>
      <w:r w:rsidRPr="00441F34">
        <w:rPr>
          <w:rFonts w:ascii="Times New Roman" w:hAnsi="Times New Roman"/>
          <w:color w:val="0070C0"/>
          <w:sz w:val="16"/>
          <w:szCs w:val="16"/>
        </w:rPr>
        <w:softHyphen/>
        <w:t>структорские бригады постоянного состава, которые получили право курировать весь процесс проекти</w:t>
      </w:r>
      <w:r w:rsidRPr="00441F34">
        <w:rPr>
          <w:rFonts w:ascii="Times New Roman" w:hAnsi="Times New Roman"/>
          <w:color w:val="0070C0"/>
          <w:sz w:val="16"/>
          <w:szCs w:val="16"/>
        </w:rPr>
        <w:softHyphen/>
        <w:t>рования и изготовления опытных машин, тогда же Николая Нико</w:t>
      </w:r>
      <w:r w:rsidRPr="00441F34">
        <w:rPr>
          <w:rFonts w:ascii="Times New Roman" w:hAnsi="Times New Roman"/>
          <w:color w:val="0070C0"/>
          <w:sz w:val="16"/>
          <w:szCs w:val="16"/>
        </w:rPr>
        <w:softHyphen/>
        <w:t>лаевича назначили начальником бригады №3 (23406).</w:t>
      </w:r>
    </w:p>
    <w:p w14:paraId="6C668DB4" w14:textId="77777777" w:rsidR="00BD06CF" w:rsidRPr="00441F34" w:rsidRDefault="00BD06CF" w:rsidP="00BD06CF">
      <w:pPr>
        <w:spacing w:after="0" w:line="240" w:lineRule="auto"/>
        <w:jc w:val="both"/>
        <w:rPr>
          <w:rFonts w:ascii="Times New Roman" w:hAnsi="Times New Roman"/>
          <w:color w:val="0070C0"/>
          <w:sz w:val="16"/>
          <w:szCs w:val="16"/>
        </w:rPr>
      </w:pPr>
    </w:p>
    <w:p w14:paraId="3557312C" w14:textId="77777777" w:rsidR="00BD06CF" w:rsidRPr="00441F34" w:rsidRDefault="00BD06CF" w:rsidP="00BD06C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феврале 1931 С.А.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 xml:space="preserve"> во главе ОПО сменил Семен Иосифович </w:t>
      </w:r>
      <w:proofErr w:type="spellStart"/>
      <w:r w:rsidRPr="00441F34">
        <w:rPr>
          <w:rFonts w:ascii="Times New Roman" w:hAnsi="Times New Roman"/>
          <w:color w:val="0070C0"/>
          <w:sz w:val="16"/>
          <w:szCs w:val="16"/>
        </w:rPr>
        <w:t>Зоншайн</w:t>
      </w:r>
      <w:proofErr w:type="spellEnd"/>
      <w:r w:rsidRPr="00441F34">
        <w:rPr>
          <w:rFonts w:ascii="Times New Roman" w:hAnsi="Times New Roman"/>
          <w:color w:val="0070C0"/>
          <w:sz w:val="16"/>
          <w:szCs w:val="16"/>
        </w:rPr>
        <w:t xml:space="preserve"> - сотрудник ОСС ЦКБ, единственным явным преимуществом которого перед </w:t>
      </w:r>
      <w:proofErr w:type="spellStart"/>
      <w:r w:rsidRPr="00441F34">
        <w:rPr>
          <w:rFonts w:ascii="Times New Roman" w:hAnsi="Times New Roman"/>
          <w:color w:val="0070C0"/>
          <w:sz w:val="16"/>
          <w:szCs w:val="16"/>
        </w:rPr>
        <w:t>Кочеригиным</w:t>
      </w:r>
      <w:proofErr w:type="spellEnd"/>
      <w:r w:rsidRPr="00441F34">
        <w:rPr>
          <w:rFonts w:ascii="Times New Roman" w:hAnsi="Times New Roman"/>
          <w:color w:val="0070C0"/>
          <w:sz w:val="16"/>
          <w:szCs w:val="16"/>
        </w:rPr>
        <w:t xml:space="preserve"> был больший на год стаж работы в КБ Н.Н. Поликарпова. Что привело его на этот пост - личные амбиции, внутренние интриги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или «пожелания» ОГПУ - пока не известно. Под руководством </w:t>
      </w:r>
      <w:proofErr w:type="spellStart"/>
      <w:r w:rsidRPr="00441F34">
        <w:rPr>
          <w:rFonts w:ascii="Times New Roman" w:hAnsi="Times New Roman"/>
          <w:color w:val="0070C0"/>
          <w:sz w:val="16"/>
          <w:szCs w:val="16"/>
        </w:rPr>
        <w:t>Зоншайна</w:t>
      </w:r>
      <w:proofErr w:type="spellEnd"/>
      <w:r w:rsidRPr="00441F34">
        <w:rPr>
          <w:rFonts w:ascii="Times New Roman" w:hAnsi="Times New Roman"/>
          <w:color w:val="0070C0"/>
          <w:sz w:val="16"/>
          <w:szCs w:val="16"/>
        </w:rPr>
        <w:t xml:space="preserve"> вначале была свернута основная масса пер</w:t>
      </w:r>
      <w:r w:rsidRPr="00441F34">
        <w:rPr>
          <w:rFonts w:ascii="Times New Roman" w:hAnsi="Times New Roman"/>
          <w:color w:val="0070C0"/>
          <w:sz w:val="16"/>
          <w:szCs w:val="16"/>
        </w:rPr>
        <w:softHyphen/>
        <w:t>спективных тем КБ, а затем подготовлена ликвидация авиазавода № 25 и ОСС ЦКБ. 1 июля 1930 года он фактически сложил с себя полномочия технического директора и к концу года «перешел на преподавательскую работу». Хотя в дальнейшем Семен Иосифо</w:t>
      </w:r>
      <w:r w:rsidRPr="00441F34">
        <w:rPr>
          <w:rFonts w:ascii="Times New Roman" w:hAnsi="Times New Roman"/>
          <w:color w:val="0070C0"/>
          <w:sz w:val="16"/>
          <w:szCs w:val="16"/>
        </w:rPr>
        <w:softHyphen/>
        <w:t xml:space="preserve">вич </w:t>
      </w:r>
      <w:proofErr w:type="spellStart"/>
      <w:r w:rsidRPr="00441F34">
        <w:rPr>
          <w:rFonts w:ascii="Times New Roman" w:hAnsi="Times New Roman"/>
          <w:color w:val="0070C0"/>
          <w:sz w:val="16"/>
          <w:szCs w:val="16"/>
        </w:rPr>
        <w:t>Зоншайн</w:t>
      </w:r>
      <w:proofErr w:type="spellEnd"/>
      <w:r w:rsidRPr="00441F34">
        <w:rPr>
          <w:rFonts w:ascii="Times New Roman" w:hAnsi="Times New Roman"/>
          <w:color w:val="0070C0"/>
          <w:sz w:val="16"/>
          <w:szCs w:val="16"/>
        </w:rPr>
        <w:t xml:space="preserve"> сыграл известную роль в ста</w:t>
      </w:r>
      <w:r w:rsidRPr="00441F34">
        <w:rPr>
          <w:rFonts w:ascii="Times New Roman" w:hAnsi="Times New Roman"/>
          <w:color w:val="0070C0"/>
          <w:sz w:val="16"/>
          <w:szCs w:val="16"/>
        </w:rPr>
        <w:softHyphen/>
        <w:t>новлении ведущих авиационных вузов СССР МАИ и МАТИ, но в области практического са</w:t>
      </w:r>
      <w:r w:rsidRPr="00441F34">
        <w:rPr>
          <w:rFonts w:ascii="Times New Roman" w:hAnsi="Times New Roman"/>
          <w:color w:val="0070C0"/>
          <w:sz w:val="16"/>
          <w:szCs w:val="16"/>
        </w:rPr>
        <w:softHyphen/>
        <w:t>молетостроения он стал могильщиком КБ По</w:t>
      </w:r>
      <w:r w:rsidRPr="00441F34">
        <w:rPr>
          <w:rFonts w:ascii="Times New Roman" w:hAnsi="Times New Roman"/>
          <w:color w:val="0070C0"/>
          <w:sz w:val="16"/>
          <w:szCs w:val="16"/>
        </w:rPr>
        <w:softHyphen/>
        <w:t>ликарпова (23344).</w:t>
      </w:r>
    </w:p>
    <w:p w14:paraId="6D062558" w14:textId="77777777" w:rsidR="00BD06CF" w:rsidRPr="00441F34" w:rsidRDefault="00BD06CF" w:rsidP="00BD06CF">
      <w:pPr>
        <w:spacing w:after="0" w:line="240" w:lineRule="auto"/>
        <w:jc w:val="both"/>
        <w:rPr>
          <w:rFonts w:ascii="Times New Roman" w:hAnsi="Times New Roman"/>
          <w:color w:val="0070C0"/>
          <w:sz w:val="16"/>
          <w:szCs w:val="16"/>
        </w:rPr>
      </w:pPr>
    </w:p>
    <w:p w14:paraId="54E91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при калининском КБ создали опытный завод. Структуру назвали "Гражданское опытное самолетостроение" (ГРОС). Она стала основой Харьковского авиазавода опытного самолетостроения (70,169).</w:t>
      </w:r>
    </w:p>
    <w:p w14:paraId="0DD36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38F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НИИ ВВС разработал ТТТ для нового многоцелевого самолета, получившего название "войскового" (70,257) или к февралю (7570, 2).</w:t>
      </w:r>
    </w:p>
    <w:p w14:paraId="0121A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6A5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 получено задание начальника ГУАП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xml:space="preserve"> начать проектные работы под модернизацией К-5 под М-22 (70,169).</w:t>
      </w:r>
    </w:p>
    <w:p w14:paraId="217543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стал еще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начальником ГУАП да и ГУАП еще не было.</w:t>
      </w:r>
    </w:p>
    <w:p w14:paraId="2A9A05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D71C9F" w14:textId="77777777" w:rsidR="00996BD8" w:rsidRPr="007122AB" w:rsidRDefault="00996B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февраля 1931 г., после ухода С. А. Чаплыгина, ЦАГИ сменил трех начальников. В августе институт возглавил директор завода №39 им. Менжинского, чекист Н. Е. 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Приказом начальника ВАО №265 от 27 августа 1931 г. предписывалось объединить в единое целое ЦАГИ и Центральное конструкторское бюро (ЦКБ) с заводом №39 им. Менжинского (19727).</w:t>
      </w:r>
    </w:p>
    <w:p w14:paraId="6471FADE" w14:textId="77777777" w:rsidR="00996BD8" w:rsidRPr="007122AB" w:rsidRDefault="00996BD8" w:rsidP="007122AB">
      <w:pPr>
        <w:spacing w:after="0" w:line="240" w:lineRule="auto"/>
        <w:jc w:val="both"/>
        <w:rPr>
          <w:rFonts w:ascii="Times New Roman" w:hAnsi="Times New Roman"/>
          <w:color w:val="000000" w:themeColor="text1"/>
          <w:sz w:val="16"/>
          <w:szCs w:val="16"/>
        </w:rPr>
      </w:pPr>
    </w:p>
    <w:p w14:paraId="03B20147" w14:textId="77777777" w:rsidR="00996BD8" w:rsidRPr="007122AB" w:rsidRDefault="00996B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завод Красный летчик № 23 передан в состав Государственного всесоюзного объединения авиационной промышленности ВСНХ СССР. Дальнейшая подведомственность: 1932 г. Главного управления авиационной промышленности Наркомата тяжелой промышленности СССР, 1937 г. Наркомата оборонной промышленности СССР, январь 1939 г. Наркомата авиационной промышленности СССР (18255).</w:t>
      </w:r>
    </w:p>
    <w:p w14:paraId="5EE7A01D" w14:textId="77777777" w:rsidR="00996BD8" w:rsidRPr="007122AB" w:rsidRDefault="00996BD8" w:rsidP="007122AB">
      <w:pPr>
        <w:spacing w:after="0" w:line="240" w:lineRule="auto"/>
        <w:jc w:val="both"/>
        <w:rPr>
          <w:rFonts w:ascii="Times New Roman" w:hAnsi="Times New Roman"/>
          <w:color w:val="000000" w:themeColor="text1"/>
          <w:sz w:val="16"/>
          <w:szCs w:val="16"/>
        </w:rPr>
      </w:pPr>
    </w:p>
    <w:p w14:paraId="76F64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февраля 1931 по 1932 на 45 заводе пытались доработать один из Дорнье Валей. Эта работа была заказана после испытания в филиале НИИ ВВС машины, доработанной еще в конце 1930 также на 45 заводе (2543,13).</w:t>
      </w:r>
    </w:p>
    <w:p w14:paraId="6255C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386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началась постройка автожира ЭА-2 и продолжалась по май 1932 (1017,276).</w:t>
      </w:r>
    </w:p>
    <w:p w14:paraId="0123E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B2370D"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года </w:t>
      </w:r>
      <w:proofErr w:type="spellStart"/>
      <w:r w:rsidRPr="007122AB">
        <w:rPr>
          <w:rFonts w:ascii="Times New Roman" w:hAnsi="Times New Roman"/>
          <w:color w:val="000000" w:themeColor="text1"/>
          <w:sz w:val="16"/>
          <w:szCs w:val="16"/>
        </w:rPr>
        <w:t>И.В.Сталин</w:t>
      </w:r>
      <w:proofErr w:type="spellEnd"/>
      <w:r w:rsidRPr="007122AB">
        <w:rPr>
          <w:rFonts w:ascii="Times New Roman" w:hAnsi="Times New Roman"/>
          <w:color w:val="000000" w:themeColor="text1"/>
          <w:sz w:val="16"/>
          <w:szCs w:val="16"/>
        </w:rPr>
        <w:t xml:space="preserve"> заявил </w:t>
      </w:r>
      <w:r w:rsidRPr="007122AB">
        <w:rPr>
          <w:rStyle w:val="aff5"/>
          <w:rFonts w:ascii="Times New Roman" w:hAnsi="Times New Roman" w:cs="Times New Roman"/>
          <w:i w:val="0"/>
          <w:color w:val="000000" w:themeColor="text1"/>
        </w:rPr>
        <w:t>«Мы отстали от передовых стран на 50—100лет и должны пробежать это расстояние в 10лет, иначе нас сомнут». В</w:t>
      </w:r>
      <w:r w:rsidRPr="007122AB">
        <w:rPr>
          <w:rFonts w:ascii="Times New Roman" w:hAnsi="Times New Roman"/>
          <w:color w:val="000000" w:themeColor="text1"/>
          <w:sz w:val="16"/>
          <w:szCs w:val="16"/>
        </w:rPr>
        <w:t xml:space="preserve"> авиации «гон</w:t>
      </w:r>
      <w:r w:rsidRPr="007122AB">
        <w:rPr>
          <w:rFonts w:ascii="Times New Roman" w:hAnsi="Times New Roman"/>
          <w:color w:val="000000" w:themeColor="text1"/>
          <w:sz w:val="16"/>
          <w:szCs w:val="16"/>
        </w:rPr>
        <w:softHyphen/>
        <w:t>ка за лидером» вышла на финишную прямую: если первые советские серийные истребите</w:t>
      </w:r>
      <w:r w:rsidRPr="007122AB">
        <w:rPr>
          <w:rFonts w:ascii="Times New Roman" w:hAnsi="Times New Roman"/>
          <w:color w:val="000000" w:themeColor="text1"/>
          <w:sz w:val="16"/>
          <w:szCs w:val="16"/>
        </w:rPr>
        <w:softHyphen/>
        <w:t>ли И-1 и И-2, созданные в середине двадцатых, не смогли стать достойной заменой «им</w:t>
      </w:r>
      <w:r w:rsidRPr="007122AB">
        <w:rPr>
          <w:rFonts w:ascii="Times New Roman" w:hAnsi="Times New Roman"/>
          <w:color w:val="000000" w:themeColor="text1"/>
          <w:sz w:val="16"/>
          <w:szCs w:val="16"/>
        </w:rPr>
        <w:softHyphen/>
        <w:t>портным» «Фоккерам», «</w:t>
      </w:r>
      <w:proofErr w:type="spellStart"/>
      <w:r w:rsidRPr="007122AB">
        <w:rPr>
          <w:rFonts w:ascii="Times New Roman" w:hAnsi="Times New Roman"/>
          <w:color w:val="000000" w:themeColor="text1"/>
          <w:sz w:val="16"/>
          <w:szCs w:val="16"/>
        </w:rPr>
        <w:t>Мартинсайдам</w:t>
      </w:r>
      <w:proofErr w:type="spellEnd"/>
      <w:r w:rsidRPr="007122AB">
        <w:rPr>
          <w:rFonts w:ascii="Times New Roman" w:hAnsi="Times New Roman"/>
          <w:color w:val="000000" w:themeColor="text1"/>
          <w:sz w:val="16"/>
          <w:szCs w:val="16"/>
        </w:rPr>
        <w:t>» и «</w:t>
      </w:r>
      <w:proofErr w:type="spellStart"/>
      <w:r w:rsidRPr="007122AB">
        <w:rPr>
          <w:rFonts w:ascii="Times New Roman" w:hAnsi="Times New Roman"/>
          <w:color w:val="000000" w:themeColor="text1"/>
          <w:sz w:val="16"/>
          <w:szCs w:val="16"/>
        </w:rPr>
        <w:t>Балиллам</w:t>
      </w:r>
      <w:proofErr w:type="spellEnd"/>
      <w:r w:rsidRPr="007122AB">
        <w:rPr>
          <w:rFonts w:ascii="Times New Roman" w:hAnsi="Times New Roman"/>
          <w:color w:val="000000" w:themeColor="text1"/>
          <w:sz w:val="16"/>
          <w:szCs w:val="16"/>
        </w:rPr>
        <w:t>», то уже И-5 соответствовал луч</w:t>
      </w:r>
      <w:r w:rsidRPr="007122AB">
        <w:rPr>
          <w:rFonts w:ascii="Times New Roman" w:hAnsi="Times New Roman"/>
          <w:color w:val="000000" w:themeColor="text1"/>
          <w:sz w:val="16"/>
          <w:szCs w:val="16"/>
        </w:rPr>
        <w:softHyphen/>
        <w:t>шим мировым стандартам. Спроектированный в рекордные сроки (меньше, чем за два ме</w:t>
      </w:r>
      <w:r w:rsidRPr="007122AB">
        <w:rPr>
          <w:rFonts w:ascii="Times New Roman" w:hAnsi="Times New Roman"/>
          <w:color w:val="000000" w:themeColor="text1"/>
          <w:sz w:val="16"/>
          <w:szCs w:val="16"/>
        </w:rPr>
        <w:softHyphen/>
        <w:t>сяца!) в первой отечественной «шарашке» под руководством заключенных Н.Н. Поликар</w:t>
      </w:r>
      <w:r w:rsidRPr="007122AB">
        <w:rPr>
          <w:rFonts w:ascii="Times New Roman" w:hAnsi="Times New Roman"/>
          <w:color w:val="000000" w:themeColor="text1"/>
          <w:sz w:val="16"/>
          <w:szCs w:val="16"/>
        </w:rPr>
        <w:softHyphen/>
        <w:t>пова и Д.П. Григоровича, этот истребитель-</w:t>
      </w:r>
      <w:proofErr w:type="spellStart"/>
      <w:r w:rsidRPr="007122AB">
        <w:rPr>
          <w:rFonts w:ascii="Times New Roman" w:hAnsi="Times New Roman"/>
          <w:color w:val="000000" w:themeColor="text1"/>
          <w:sz w:val="16"/>
          <w:szCs w:val="16"/>
        </w:rPr>
        <w:t>полутороплан</w:t>
      </w:r>
      <w:proofErr w:type="spellEnd"/>
      <w:r w:rsidRPr="007122AB">
        <w:rPr>
          <w:rFonts w:ascii="Times New Roman" w:hAnsi="Times New Roman"/>
          <w:color w:val="000000" w:themeColor="text1"/>
          <w:sz w:val="16"/>
          <w:szCs w:val="16"/>
        </w:rPr>
        <w:t xml:space="preserve"> закончил войсковые испытания в том же 1931 году, за несколько дней до речи Сталина, но боевое крещение принял лишь 10 лет спустя, в начале Великой Отечественной, когда огромные потери заставили вернуть в строй не только учебные, но даже списанные машины. И хотя к тому времени «пятерки» уже безнадежно устарели, они привлекались к боевым дежурствам в разгар немецких нале</w:t>
      </w:r>
      <w:r w:rsidRPr="007122AB">
        <w:rPr>
          <w:rFonts w:ascii="Times New Roman" w:hAnsi="Times New Roman"/>
          <w:color w:val="000000" w:themeColor="text1"/>
          <w:sz w:val="16"/>
          <w:szCs w:val="16"/>
        </w:rPr>
        <w:softHyphen/>
        <w:t>тов на Москву, а в качестве штурмовиков и легких ночных бомбардировщиков воевали до 1942 года, мало того — зафиксированы случаи, когда древние И-5 сбивали новейшие «мес</w:t>
      </w:r>
      <w:r w:rsidRPr="007122AB">
        <w:rPr>
          <w:rFonts w:ascii="Times New Roman" w:hAnsi="Times New Roman"/>
          <w:color w:val="000000" w:themeColor="text1"/>
          <w:sz w:val="16"/>
          <w:szCs w:val="16"/>
        </w:rPr>
        <w:softHyphen/>
        <w:t>серы»!..(12295).</w:t>
      </w:r>
    </w:p>
    <w:p w14:paraId="01F6C971" w14:textId="77777777" w:rsidR="00FF3124" w:rsidRPr="007122AB" w:rsidRDefault="00FF3124" w:rsidP="007122AB">
      <w:pPr>
        <w:spacing w:after="0" w:line="240" w:lineRule="auto"/>
        <w:jc w:val="both"/>
        <w:rPr>
          <w:rFonts w:ascii="Times New Roman" w:hAnsi="Times New Roman"/>
          <w:color w:val="000000" w:themeColor="text1"/>
          <w:sz w:val="16"/>
          <w:szCs w:val="16"/>
        </w:rPr>
      </w:pPr>
    </w:p>
    <w:p w14:paraId="739A99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февраля 1931 часть моторов М-17, производимых в Рыбинске, стали комплектовать коленвалами, отко</w:t>
      </w:r>
      <w:r w:rsidRPr="007122AB">
        <w:rPr>
          <w:rFonts w:ascii="Times New Roman" w:hAnsi="Times New Roman"/>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 xml:space="preserve"> У1Ь (новые седла клапанов, коленчатый вал с измененным хвостовиком, гофрированные ру</w:t>
      </w:r>
      <w:r w:rsidRPr="007122AB">
        <w:rPr>
          <w:rFonts w:ascii="Times New Roman" w:hAnsi="Times New Roman"/>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7122AB">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7122AB">
        <w:rPr>
          <w:rFonts w:ascii="Times New Roman" w:hAnsi="Times New Roman"/>
          <w:color w:val="000000" w:themeColor="text1"/>
          <w:sz w:val="16"/>
          <w:szCs w:val="16"/>
        </w:rPr>
        <w:softHyphen/>
        <w:t xml:space="preserve">лись целые серии высотных двигателей. Например, все моторы, </w:t>
      </w:r>
      <w:r w:rsidRPr="007122AB">
        <w:rPr>
          <w:rFonts w:ascii="Times New Roman" w:hAnsi="Times New Roman"/>
          <w:color w:val="000000" w:themeColor="text1"/>
          <w:sz w:val="16"/>
          <w:szCs w:val="16"/>
        </w:rPr>
        <w:lastRenderedPageBreak/>
        <w:t>входив</w:t>
      </w:r>
      <w:r w:rsidRPr="007122AB">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7122AB">
        <w:rPr>
          <w:rFonts w:ascii="Times New Roman" w:hAnsi="Times New Roman"/>
          <w:color w:val="000000" w:themeColor="text1"/>
          <w:sz w:val="16"/>
          <w:szCs w:val="16"/>
        </w:rPr>
        <w:softHyphen/>
        <w:t>лись планы его последующей модернизации. При этом не только следова</w:t>
      </w:r>
      <w:r w:rsidRPr="007122AB">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7122AB">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7122AB">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7122AB">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7122AB">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0CF4B0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20D6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и в июне 1930 г. М-26 дважды представлялся на госиспытания. Во втором случае прошел их успешно. Се</w:t>
      </w:r>
      <w:r w:rsidRPr="007122AB">
        <w:rPr>
          <w:rFonts w:ascii="Times New Roman" w:hAnsi="Times New Roman"/>
          <w:color w:val="000000" w:themeColor="text1"/>
          <w:sz w:val="16"/>
          <w:szCs w:val="16"/>
        </w:rPr>
        <w:softHyphen/>
        <w:t>рийное производство велось на заводе № 24 (Москва) в 1931-1933 гг. Вы</w:t>
      </w:r>
      <w:r w:rsidRPr="007122AB">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60DB9A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63CEB1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7-цилиндровый,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0B8A74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270/300 л.с. (по проекту 300/350 л.с.);</w:t>
      </w:r>
    </w:p>
    <w:p w14:paraId="5994FD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150/170 мм;</w:t>
      </w:r>
    </w:p>
    <w:p w14:paraId="43C2CC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21,0 л;</w:t>
      </w:r>
    </w:p>
    <w:p w14:paraId="232A04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5,4;</w:t>
      </w:r>
    </w:p>
    <w:p w14:paraId="1DF61A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055751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по проекту 300 кг, фактический — 375 кг (без втулки винта);</w:t>
      </w:r>
    </w:p>
    <w:p w14:paraId="01F069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имел ПЦН.</w:t>
      </w:r>
    </w:p>
    <w:p w14:paraId="7F013F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6DFA10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62FA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февраля 1931 г. проектирование М-32 велось в ИАМ под руководством В.М. Яков</w:t>
      </w:r>
      <w:r w:rsidRPr="007122AB">
        <w:rPr>
          <w:rFonts w:ascii="Times New Roman" w:hAnsi="Times New Roman"/>
          <w:color w:val="000000" w:themeColor="text1"/>
          <w:sz w:val="16"/>
          <w:szCs w:val="16"/>
        </w:rPr>
        <w:softHyphen/>
        <w:t>лева. Передача М-32 в НАМ затормозила работу над двигателем. На несколь</w:t>
      </w:r>
      <w:r w:rsidRPr="007122AB">
        <w:rPr>
          <w:rFonts w:ascii="Times New Roman" w:hAnsi="Times New Roman"/>
          <w:color w:val="000000" w:themeColor="text1"/>
          <w:sz w:val="16"/>
          <w:szCs w:val="16"/>
        </w:rPr>
        <w:softHyphen/>
        <w:t>ко месяцев он «завис». Лишь в феврале 1931 г. от завода приняли уже выполненные чертежи и расчеты. Проектирование закончено в марте 1931 г.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7122AB">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7122AB">
        <w:rPr>
          <w:rFonts w:ascii="Times New Roman" w:hAnsi="Times New Roman"/>
          <w:color w:val="000000" w:themeColor="text1"/>
          <w:sz w:val="16"/>
          <w:szCs w:val="16"/>
        </w:rPr>
        <w:softHyphen/>
        <w:t>шипников и головок блоков. Со второго экзем</w:t>
      </w:r>
      <w:r w:rsidRPr="007122AB">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7122AB">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492F5C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Известны модификации:</w:t>
      </w:r>
    </w:p>
    <w:p w14:paraId="38EB61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М-32, первоначальный вариант без редук</w:t>
      </w:r>
      <w:r w:rsidRPr="007122AB">
        <w:rPr>
          <w:rFonts w:ascii="Times New Roman" w:hAnsi="Times New Roman"/>
          <w:color w:val="000000" w:themeColor="text1"/>
          <w:sz w:val="16"/>
          <w:szCs w:val="16"/>
        </w:rPr>
        <w:softHyphen/>
        <w:t>тора и ПЦН, изготовлен в одном экзем</w:t>
      </w:r>
      <w:r w:rsidRPr="007122AB">
        <w:rPr>
          <w:rFonts w:ascii="Times New Roman" w:hAnsi="Times New Roman"/>
          <w:color w:val="000000" w:themeColor="text1"/>
          <w:sz w:val="16"/>
          <w:szCs w:val="16"/>
        </w:rPr>
        <w:softHyphen/>
        <w:t>пляре. Вес по заданию 400 кг, фактически 430 кг.</w:t>
      </w:r>
    </w:p>
    <w:p w14:paraId="38F8D8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М-32РН, вариант с редуктором и одно-скоростным ПЦН. В дальнейшем предпо</w:t>
      </w:r>
      <w:r w:rsidRPr="007122AB">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3D840C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0DEB54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16-цилиндровый, рядный У-образный, че</w:t>
      </w:r>
      <w:r w:rsidRPr="007122AB">
        <w:rPr>
          <w:rFonts w:ascii="Times New Roman" w:hAnsi="Times New Roman"/>
          <w:color w:val="000000" w:themeColor="text1"/>
          <w:sz w:val="16"/>
          <w:szCs w:val="16"/>
        </w:rPr>
        <w:softHyphen/>
        <w:t>тырехтактный, водяного охлаждения;</w:t>
      </w:r>
    </w:p>
    <w:p w14:paraId="18068E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600/750 л.с. (по заданию 650/700 л.с.);</w:t>
      </w:r>
    </w:p>
    <w:p w14:paraId="4EA476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120/120 мм;</w:t>
      </w:r>
    </w:p>
    <w:p w14:paraId="166AA1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21,7 л;</w:t>
      </w:r>
    </w:p>
    <w:p w14:paraId="13D0B0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w:t>
      </w:r>
    </w:p>
    <w:p w14:paraId="481477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543D90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Предлагался для истребителей И-9, И-13, ДИ-6.</w:t>
      </w:r>
    </w:p>
    <w:p w14:paraId="58D146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6F7FC8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476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документацию по двигателю М-38 при</w:t>
      </w:r>
      <w:r w:rsidRPr="007122AB">
        <w:rPr>
          <w:rFonts w:ascii="Times New Roman" w:hAnsi="Times New Roman"/>
          <w:color w:val="000000" w:themeColor="text1"/>
          <w:sz w:val="16"/>
          <w:szCs w:val="16"/>
        </w:rPr>
        <w:softHyphen/>
        <w:t>нял ИАМ. В мае проект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7122AB">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12547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7122AB">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4CCCFD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мощности двигателя заданию и превышения веса (по заданию не более 400 кг).</w:t>
      </w:r>
    </w:p>
    <w:p w14:paraId="6F3829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588AB6C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9-цилиндровый,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5C92C3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056FD6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проекту 570/600 л.с. (фактически получено 575 л.с.);</w:t>
      </w:r>
    </w:p>
    <w:p w14:paraId="2E939C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460 кг (по заданию 450 кг);</w:t>
      </w:r>
    </w:p>
    <w:p w14:paraId="6FF16D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135/160 мм;</w:t>
      </w:r>
    </w:p>
    <w:p w14:paraId="1BF857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30,7 л;</w:t>
      </w:r>
    </w:p>
    <w:p w14:paraId="21401A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Проектировались несколько модификаций:</w:t>
      </w:r>
    </w:p>
    <w:p w14:paraId="334238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 без редуктора и нагнетателя.</w:t>
      </w:r>
    </w:p>
    <w:p w14:paraId="0E7CEC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М-38Н с односкоростным ПЦН.</w:t>
      </w:r>
    </w:p>
    <w:p w14:paraId="698B7C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М-38Г (М-38Гр) для гражданских самолетов на базе М-38Н.</w:t>
      </w:r>
    </w:p>
    <w:p w14:paraId="2746F6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7122AB">
        <w:rPr>
          <w:rFonts w:ascii="Times New Roman" w:hAnsi="Times New Roman"/>
          <w:color w:val="000000" w:themeColor="text1"/>
          <w:sz w:val="16"/>
          <w:szCs w:val="16"/>
        </w:rPr>
        <w:softHyphen/>
        <w:t>ведчика КР-2 (11852).</w:t>
      </w:r>
    </w:p>
    <w:p w14:paraId="687387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581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 в ИАМ на базе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-поршневой группы экспериментального одноцилиндрового мотора М-170 (впоследствии известный также как М-170/44) с уравнове</w:t>
      </w:r>
      <w:r w:rsidRPr="007122AB">
        <w:rPr>
          <w:rFonts w:ascii="Times New Roman" w:hAnsi="Times New Roman"/>
          <w:color w:val="000000" w:themeColor="text1"/>
          <w:sz w:val="16"/>
          <w:szCs w:val="16"/>
        </w:rPr>
        <w:softHyphen/>
        <w:t>шивающим механизмом, спроектированном в ВМО ЦАГИ в 1927-1929 гг. для проверки возможность создания авиамотора с цилиндрами большого диаметра (222 мм), с которого хотели снять 170 л.с. на цилиндр, начали проектировать 12-цилиндровый двигатель М-44, предназначенный для тяжелых бомбардировщиков. Его хотели монтиро</w:t>
      </w:r>
      <w:r w:rsidRPr="007122AB">
        <w:rPr>
          <w:rFonts w:ascii="Times New Roman" w:hAnsi="Times New Roman"/>
          <w:color w:val="000000" w:themeColor="text1"/>
          <w:sz w:val="16"/>
          <w:szCs w:val="16"/>
        </w:rPr>
        <w:softHyphen/>
        <w:t>вать на огромных «бомбовозах» ТБ-6 и ТБ-7, заложенных в план развития ВВС РККА. В мае 1931 г. проект в основном был готов. Но в план опытных работ на 1932 г. двигатель внесли как второочередной, ожидая окончания до</w:t>
      </w:r>
      <w:r w:rsidRPr="007122AB">
        <w:rPr>
          <w:rFonts w:ascii="Times New Roman" w:hAnsi="Times New Roman"/>
          <w:color w:val="000000" w:themeColor="text1"/>
          <w:sz w:val="16"/>
          <w:szCs w:val="16"/>
        </w:rPr>
        <w:softHyphen/>
        <w:t>водки М-170/44. По мере проработки проекта М-44 изменялось задание — допустимый вес с 1500 кг поднялся до 1800 кг. Лишь с начала 1933 г. приступили к изготовлению опытных образцов двигателя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7122AB">
        <w:rPr>
          <w:rFonts w:ascii="Times New Roman" w:hAnsi="Times New Roman"/>
          <w:color w:val="000000" w:themeColor="text1"/>
          <w:sz w:val="16"/>
          <w:szCs w:val="16"/>
        </w:rPr>
        <w:softHyphen/>
        <w:t>дины 1936 г. Но его также не запустили в серийное производство.</w:t>
      </w:r>
    </w:p>
    <w:p w14:paraId="5B2033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7122AB">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7D6FA2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Существовали модификации:</w:t>
      </w:r>
    </w:p>
    <w:p w14:paraId="3EB331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М-44, авиационный вариант. Изготовлен в двух экземплярах. Мощ</w:t>
      </w:r>
      <w:r w:rsidRPr="007122AB">
        <w:rPr>
          <w:rFonts w:ascii="Times New Roman" w:hAnsi="Times New Roman"/>
          <w:color w:val="000000" w:themeColor="text1"/>
          <w:sz w:val="16"/>
          <w:szCs w:val="16"/>
        </w:rPr>
        <w:softHyphen/>
        <w:t>ность 1700/2000 л.с., вес 1700 кг (по другим данным — 1800 кг).</w:t>
      </w:r>
    </w:p>
    <w:p w14:paraId="7B6FA2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4B877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33DD06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41617C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53FD0E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.редукторный;</w:t>
      </w:r>
    </w:p>
    <w:p w14:paraId="2E1A6D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w:t>
      </w:r>
    </w:p>
    <w:p w14:paraId="46DFE7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222/286 мм;</w:t>
      </w:r>
    </w:p>
    <w:p w14:paraId="16CDAD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132,8 л;</w:t>
      </w:r>
    </w:p>
    <w:p w14:paraId="6B83C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3A07F2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FDD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 приступили к проектированию М-44, а в мае уже закончили; руководил работой Н.П. Сердюков. Однако изготовление опытных образцов задержали, поскольку хотели в максимальной степени отладить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-поршневую группу, испытывая ее на М-170/44. Интересно, что в плане института на 1932 г. работа по М-44 числилась "второочередной".</w:t>
      </w:r>
    </w:p>
    <w:p w14:paraId="6DE89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0E798D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682EF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6CEFC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46670B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1E62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 приступили к проектированию М-44, а в мае уже закончили; руководил работой Н.П. Сердюков. Изготовление опытных образцов задержали, поскольку хотели в максимальной степени отладить </w:t>
      </w:r>
      <w:proofErr w:type="spellStart"/>
      <w:r w:rsidRPr="007122AB">
        <w:rPr>
          <w:rFonts w:ascii="Times New Roman" w:hAnsi="Times New Roman"/>
          <w:color w:val="000000" w:themeColor="text1"/>
          <w:sz w:val="16"/>
          <w:szCs w:val="16"/>
        </w:rPr>
        <w:t>пилиндро</w:t>
      </w:r>
      <w:proofErr w:type="spellEnd"/>
      <w:r w:rsidRPr="007122AB">
        <w:rPr>
          <w:rFonts w:ascii="Times New Roman" w:hAnsi="Times New Roman"/>
          <w:color w:val="000000" w:themeColor="text1"/>
          <w:sz w:val="16"/>
          <w:szCs w:val="16"/>
        </w:rPr>
        <w:t>-поршневую группу, испытывая ее на М-170/44. Интересно, что в плане института на 1932 г. работа по М-44 числилась "второочередной".</w:t>
      </w:r>
    </w:p>
    <w:p w14:paraId="7ABD93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55DC9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0BE5A4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 (12036).</w:t>
      </w:r>
    </w:p>
    <w:p w14:paraId="03EC8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3D8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года испытания на НИО – полигоне показали, что при весе снаряда АПК-4 калибр 76,2 мм 3 кг и порохе марки "МСК" начальная скорость получена 347 м/сек. при уменьшенном заряде = 560 гр., при нормальном заряде 600 гр. начальная скорость = 397 м/сек. и при увеличенном заряде 650 гр. начальная скорость = 433 м/сек (7470, 244).</w:t>
      </w:r>
    </w:p>
    <w:p w14:paraId="0A5200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EC9BC5" w14:textId="545924DF" w:rsidR="0019470D" w:rsidRPr="007122AB" w:rsidRDefault="001947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В феврале 1931 года московский БОСЭД пал жертвой аппаратных интриг и был ликвидирован, а вместо него в Ленинграде возник Научно-исследовательский институт строительства и эксплуатации дирижаблей (НИИСЭД), который к середине марта подготовил программу и смету «малого» дирижаблестроения на 1931 год. Как и план, представленный </w:t>
      </w:r>
      <w:proofErr w:type="spellStart"/>
      <w:r w:rsidRPr="007122AB">
        <w:rPr>
          <w:rFonts w:ascii="Times New Roman" w:hAnsi="Times New Roman"/>
          <w:color w:val="000000" w:themeColor="text1"/>
          <w:sz w:val="16"/>
          <w:szCs w:val="16"/>
          <w:lang w:eastAsia="ru-RU" w:bidi="ru-RU"/>
        </w:rPr>
        <w:t>Гольцманом</w:t>
      </w:r>
      <w:proofErr w:type="spellEnd"/>
      <w:r w:rsidRPr="007122AB">
        <w:rPr>
          <w:rFonts w:ascii="Times New Roman" w:hAnsi="Times New Roman"/>
          <w:color w:val="000000" w:themeColor="text1"/>
          <w:sz w:val="16"/>
          <w:szCs w:val="16"/>
          <w:lang w:eastAsia="ru-RU" w:bidi="ru-RU"/>
        </w:rPr>
        <w:t xml:space="preserve"> двумя месяцами раньше в комиссии Куйбышева, программа предусматривала одновременное проектирование и начало строительства одного мягкого дирижабля, двух полужёстких объёмом в 7,5 тыс. и 20 тыс. кубометров и жёсткого </w:t>
      </w:r>
      <w:proofErr w:type="spellStart"/>
      <w:r w:rsidRPr="007122AB">
        <w:rPr>
          <w:rFonts w:ascii="Times New Roman" w:hAnsi="Times New Roman"/>
          <w:color w:val="000000" w:themeColor="text1"/>
          <w:sz w:val="16"/>
          <w:szCs w:val="16"/>
          <w:lang w:eastAsia="ru-RU" w:bidi="ru-RU"/>
        </w:rPr>
        <w:t>цеппелиновского</w:t>
      </w:r>
      <w:proofErr w:type="spellEnd"/>
      <w:r w:rsidRPr="007122AB">
        <w:rPr>
          <w:rFonts w:ascii="Times New Roman" w:hAnsi="Times New Roman"/>
          <w:color w:val="000000" w:themeColor="text1"/>
          <w:sz w:val="16"/>
          <w:szCs w:val="16"/>
          <w:lang w:eastAsia="ru-RU" w:bidi="ru-RU"/>
        </w:rPr>
        <w:t xml:space="preserve"> корабля объёмом не менее 20 тыс. кубометров. Мягкий и меньший полужёсткий дирижабли планировалось сдать уже в 1931 году, два других - в следующем. При этом предполагалось также вести опытные работы по двум цельнометаллическим дирижаблям - каркасному и бескаркасному системы Циолковского. Сумма затрат на предстоящий год определялась в 5,2 млн рублей.</w:t>
      </w:r>
    </w:p>
    <w:p w14:paraId="7D20C554" w14:textId="4252E973" w:rsidR="0019470D" w:rsidRPr="007122AB" w:rsidRDefault="001947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Очень похоже, что сторонники дирижаблестроения, готовя свой стомиллионный план для Политбюро, слабо верили в его утверждение, а когда это вдруг случилось, растерялись: не оказалось ни людей, ни иностранных технических партнёров, ни понимания, с чего и как начинать. И если обычно инициаторам бюджетных программ приходится урезать свои желания, втискивая их в рамки недостаточных ассигнований, то здесь произошло обратное: сами исполнители попросили усечь им план и уменьшить годовой объём финансирования до 5 % суммы, выделенной на трёхлетие (23192).</w:t>
      </w:r>
    </w:p>
    <w:p w14:paraId="2D02D713" w14:textId="77777777" w:rsidR="0019470D" w:rsidRPr="007122AB" w:rsidRDefault="0019470D"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6E58FB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FC7FAD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015394" w14:textId="77777777" w:rsidR="004742EE" w:rsidRPr="007122AB" w:rsidRDefault="004742EE"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группой «Д» на утверждение заказчика были направлены рабочие чертежи проекта 107-мм миномета типа Стокса и мин к нему (</w:t>
      </w:r>
      <w:proofErr w:type="spellStart"/>
      <w:r w:rsidRPr="007122AB">
        <w:rPr>
          <w:rFonts w:ascii="Times New Roman" w:hAnsi="Times New Roman"/>
          <w:color w:val="000000" w:themeColor="text1"/>
          <w:sz w:val="16"/>
          <w:szCs w:val="16"/>
        </w:rPr>
        <w:t>сталистого</w:t>
      </w:r>
      <w:proofErr w:type="spellEnd"/>
      <w:r w:rsidRPr="007122AB">
        <w:rPr>
          <w:rFonts w:ascii="Times New Roman" w:hAnsi="Times New Roman"/>
          <w:color w:val="000000" w:themeColor="text1"/>
          <w:sz w:val="16"/>
          <w:szCs w:val="16"/>
        </w:rPr>
        <w:t xml:space="preserve"> чугуна – 2 варианта и стальная – 1 вариант).376 Изготовление 107-мм мин для МС-107 в 1930 г. было освоено на заводе им. Ленина (г. Днепропетровск).377 Следует отметить, что в июне 1931 г. при баллонном цехе спецпроизводства завода решением ВСНХ было организовано конструкторское бюро для разработки новых типов тары для отравляющих веществ и мин. По указанию НТК ВОХИМУ представители нового КБ были направлены в АНИИ для знакомства с документацией проектирования и расчетов.378 </w:t>
      </w:r>
    </w:p>
    <w:p w14:paraId="50F041A3" w14:textId="77777777" w:rsidR="004742EE" w:rsidRPr="007122AB" w:rsidRDefault="004742EE"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Изготовление станка и сборка опытного образца МС-107 осуществлялись на заводе №7 и были закончены к середине июля 1931 г.379 (20074).</w:t>
      </w:r>
    </w:p>
    <w:p w14:paraId="2C12E122" w14:textId="77777777" w:rsidR="004742EE" w:rsidRPr="007122AB" w:rsidRDefault="004742EE" w:rsidP="007122AB">
      <w:pPr>
        <w:spacing w:after="0" w:line="240" w:lineRule="auto"/>
        <w:jc w:val="both"/>
        <w:rPr>
          <w:rFonts w:ascii="Times New Roman" w:eastAsia="TimesNewRomanPSMT" w:hAnsi="Times New Roman"/>
          <w:color w:val="000000" w:themeColor="text1"/>
          <w:sz w:val="16"/>
          <w:szCs w:val="16"/>
        </w:rPr>
      </w:pPr>
    </w:p>
    <w:p w14:paraId="25EFA2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w:t>
      </w:r>
      <w:r w:rsidRPr="007122AB">
        <w:rPr>
          <w:rFonts w:ascii="Times New Roman" w:hAnsi="Times New Roman"/>
          <w:color w:val="000000" w:themeColor="text1"/>
          <w:sz w:val="16"/>
          <w:szCs w:val="16"/>
        </w:rPr>
        <w:softHyphen/>
        <w:t xml:space="preserve">рале 1931 заместитель председателя Реввоенсовета И. П. Уборевич докладывал Ворошилову: «Изготовлено 2 крупнокалиберных пулемета — 12,7-мм системы </w:t>
      </w:r>
      <w:proofErr w:type="spellStart"/>
      <w:r w:rsidRPr="007122AB">
        <w:rPr>
          <w:rFonts w:ascii="Times New Roman" w:hAnsi="Times New Roman"/>
          <w:color w:val="000000" w:themeColor="text1"/>
          <w:sz w:val="16"/>
          <w:szCs w:val="16"/>
        </w:rPr>
        <w:t>Дрейзе</w:t>
      </w:r>
      <w:proofErr w:type="spellEnd"/>
      <w:r w:rsidRPr="007122AB">
        <w:rPr>
          <w:rFonts w:ascii="Times New Roman" w:hAnsi="Times New Roman"/>
          <w:color w:val="000000" w:themeColor="text1"/>
          <w:sz w:val="16"/>
          <w:szCs w:val="16"/>
        </w:rPr>
        <w:t xml:space="preserve"> изготовления ТОЗ на станке Прилуцкого и пулемет системы </w:t>
      </w:r>
      <w:proofErr w:type="spellStart"/>
      <w:r w:rsidRPr="007122AB">
        <w:rPr>
          <w:rFonts w:ascii="Times New Roman" w:hAnsi="Times New Roman"/>
          <w:color w:val="000000" w:themeColor="text1"/>
          <w:sz w:val="16"/>
          <w:szCs w:val="16"/>
        </w:rPr>
        <w:t>Дрейзе</w:t>
      </w:r>
      <w:proofErr w:type="spellEnd"/>
      <w:r w:rsidRPr="007122AB">
        <w:rPr>
          <w:rFonts w:ascii="Times New Roman" w:hAnsi="Times New Roman"/>
          <w:color w:val="000000" w:themeColor="text1"/>
          <w:sz w:val="16"/>
          <w:szCs w:val="16"/>
        </w:rPr>
        <w:t xml:space="preserve"> на универсаль</w:t>
      </w:r>
      <w:r w:rsidRPr="007122AB">
        <w:rPr>
          <w:rFonts w:ascii="Times New Roman" w:hAnsi="Times New Roman"/>
          <w:color w:val="000000" w:themeColor="text1"/>
          <w:sz w:val="16"/>
          <w:szCs w:val="16"/>
        </w:rPr>
        <w:softHyphen/>
        <w:t xml:space="preserve">ном станке Колесникова... При демонстрировании РВС СССР оба пулемета работали удовлетворительно. Темп стрельбы 350—400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 xml:space="preserve">./мин. </w:t>
      </w:r>
      <w:proofErr w:type="spellStart"/>
      <w:r w:rsidRPr="007122AB">
        <w:rPr>
          <w:rFonts w:ascii="Times New Roman" w:hAnsi="Times New Roman"/>
          <w:color w:val="000000" w:themeColor="text1"/>
          <w:sz w:val="16"/>
          <w:szCs w:val="16"/>
        </w:rPr>
        <w:t>Бронепробиваемость</w:t>
      </w:r>
      <w:proofErr w:type="spellEnd"/>
      <w:r w:rsidRPr="007122AB">
        <w:rPr>
          <w:rFonts w:ascii="Times New Roman" w:hAnsi="Times New Roman"/>
          <w:color w:val="000000" w:themeColor="text1"/>
          <w:sz w:val="16"/>
          <w:szCs w:val="16"/>
        </w:rPr>
        <w:t xml:space="preserve"> — 16-мм танко</w:t>
      </w:r>
      <w:r w:rsidRPr="007122AB">
        <w:rPr>
          <w:rFonts w:ascii="Times New Roman" w:hAnsi="Times New Roman"/>
          <w:color w:val="000000" w:themeColor="text1"/>
          <w:sz w:val="16"/>
          <w:szCs w:val="16"/>
        </w:rPr>
        <w:softHyphen/>
        <w:t xml:space="preserve">вая броня при угле встречи 90° на 300 м системы Дегтярева 100%, </w:t>
      </w:r>
      <w:proofErr w:type="spellStart"/>
      <w:r w:rsidRPr="007122AB">
        <w:rPr>
          <w:rFonts w:ascii="Times New Roman" w:hAnsi="Times New Roman"/>
          <w:color w:val="000000" w:themeColor="text1"/>
          <w:sz w:val="16"/>
          <w:szCs w:val="16"/>
        </w:rPr>
        <w:t>Дрейзе</w:t>
      </w:r>
      <w:proofErr w:type="spellEnd"/>
      <w:r w:rsidRPr="007122AB">
        <w:rPr>
          <w:rFonts w:ascii="Times New Roman" w:hAnsi="Times New Roman"/>
          <w:color w:val="000000" w:themeColor="text1"/>
          <w:sz w:val="16"/>
          <w:szCs w:val="16"/>
        </w:rPr>
        <w:t xml:space="preserve"> — 80%. По сравнению с иностранным пулеме</w:t>
      </w:r>
      <w:r w:rsidRPr="007122AB">
        <w:rPr>
          <w:rFonts w:ascii="Times New Roman" w:hAnsi="Times New Roman"/>
          <w:color w:val="000000" w:themeColor="text1"/>
          <w:sz w:val="16"/>
          <w:szCs w:val="16"/>
        </w:rPr>
        <w:softHyphen/>
        <w:t>том Браунинга пулеметы обладают большей мощностью, имея начальную скорость пули 810 м/с против 760 м/с Браунинга. Пулеметы дорабатываются, и после окончания испытаний предположено заказать в 1931 г. 50 пулеметов системы Дег</w:t>
      </w:r>
      <w:r w:rsidRPr="007122AB">
        <w:rPr>
          <w:rFonts w:ascii="Times New Roman" w:hAnsi="Times New Roman"/>
          <w:color w:val="000000" w:themeColor="text1"/>
          <w:sz w:val="16"/>
          <w:szCs w:val="16"/>
        </w:rPr>
        <w:softHyphen/>
        <w:t>тярева, как более легкого и простого в изготовлении и допус</w:t>
      </w:r>
      <w:r w:rsidRPr="007122AB">
        <w:rPr>
          <w:rFonts w:ascii="Times New Roman" w:hAnsi="Times New Roman"/>
          <w:color w:val="000000" w:themeColor="text1"/>
          <w:sz w:val="16"/>
          <w:szCs w:val="16"/>
        </w:rPr>
        <w:softHyphen/>
        <w:t>кающего в дальнейшем постановку ленты» (10670,204).</w:t>
      </w:r>
    </w:p>
    <w:p w14:paraId="753683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B0180D" w14:textId="77777777" w:rsidR="004742EE" w:rsidRPr="007122AB" w:rsidRDefault="004742EE"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В феврале 1931 года индекс БТ стал официальным, при этом американский танк стал именоваться "БТ Кристи", а его отечественный вариант, соответственно, в дальнейшем стал БТ-2 (появился этот индекс позднее) (20339). </w:t>
      </w:r>
    </w:p>
    <w:p w14:paraId="3E979007" w14:textId="77777777" w:rsidR="004742EE" w:rsidRPr="007122AB" w:rsidRDefault="004742EE" w:rsidP="007122AB">
      <w:pPr>
        <w:shd w:val="clear" w:color="auto" w:fill="FFFFFF"/>
        <w:spacing w:after="0" w:line="240" w:lineRule="auto"/>
        <w:jc w:val="both"/>
        <w:rPr>
          <w:rFonts w:ascii="Times New Roman" w:hAnsi="Times New Roman"/>
          <w:color w:val="000000" w:themeColor="text1"/>
          <w:sz w:val="16"/>
          <w:szCs w:val="16"/>
        </w:rPr>
      </w:pPr>
    </w:p>
    <w:p w14:paraId="476CA5F2"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 Комиссией обороны задача модернизацию существующего серийного образца была поставлена </w:t>
      </w:r>
      <w:hyperlink r:id="rId2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овому отделу ХПЗ, московскому КБ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и НАТИ. В результате проведенных работ были разработаны варианты установки в </w:t>
      </w:r>
      <w:hyperlink r:id="rId2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76,2-мм пушки </w:t>
      </w:r>
      <w:proofErr w:type="spellStart"/>
      <w:r w:rsidRPr="007122AB">
        <w:rPr>
          <w:rFonts w:ascii="Times New Roman" w:hAnsi="Times New Roman"/>
          <w:color w:val="000000" w:themeColor="text1"/>
          <w:sz w:val="16"/>
          <w:szCs w:val="16"/>
        </w:rPr>
        <w:t>Гарфорда</w:t>
      </w:r>
      <w:proofErr w:type="spellEnd"/>
      <w:r w:rsidRPr="007122AB">
        <w:rPr>
          <w:rFonts w:ascii="Times New Roman" w:hAnsi="Times New Roman"/>
          <w:color w:val="000000" w:themeColor="text1"/>
          <w:sz w:val="16"/>
          <w:szCs w:val="16"/>
        </w:rPr>
        <w:t xml:space="preserve">, а также четырех 7,62-мм пулеметов ДТ. Боекомплект </w:t>
      </w:r>
      <w:hyperlink r:id="rId3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составлял 60 снарядов и 6000 патронов. Бронирование корпуса и башни было усилено за счет использования броневых листов толщиной 20, 25 и 45 мм. Ход дальнейших работ по этому направлению неизвестен (15619).</w:t>
      </w:r>
    </w:p>
    <w:p w14:paraId="2E2722D6" w14:textId="77777777" w:rsidR="0046076A" w:rsidRPr="007122AB" w:rsidRDefault="0046076A" w:rsidP="007122AB">
      <w:pPr>
        <w:spacing w:after="0" w:line="240" w:lineRule="auto"/>
        <w:jc w:val="both"/>
        <w:rPr>
          <w:rFonts w:ascii="Times New Roman" w:hAnsi="Times New Roman"/>
          <w:color w:val="000000" w:themeColor="text1"/>
          <w:sz w:val="16"/>
          <w:szCs w:val="16"/>
        </w:rPr>
      </w:pPr>
    </w:p>
    <w:p w14:paraId="2E703121"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постановлением РВС на вооружение РККА приняли танкетку Т-27. До 1934 г. на заводах промышленности было изготовлено более 3000 таких машин. Опыт эксплуатации танкетки показал необходимость ее совершенствования. Мероприятия по модернизации Т-27 провели на танкетке с заводским номером 452. В период с 22 марта 1932 г. по 11 февраля 1933 г. она прошла полигонные испытания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w:t>
      </w:r>
    </w:p>
    <w:p w14:paraId="21197A1C"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конструкцию танкетки Т-27 были внесены следующие изменения:</w:t>
      </w:r>
    </w:p>
    <w:p w14:paraId="696E43B5"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46287828"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б. Поставлены задние крылья над гусеницами.</w:t>
      </w:r>
    </w:p>
    <w:p w14:paraId="1996649C"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399E727D"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0E9AF9A2"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Снят канал приточного воздуха.</w:t>
      </w:r>
    </w:p>
    <w:p w14:paraId="6A67759E"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Сделан макет бронировки козырька над радиатором.</w:t>
      </w:r>
    </w:p>
    <w:p w14:paraId="1E183054"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Сделано новое крепление АКБ с поддоном.</w:t>
      </w:r>
    </w:p>
    <w:p w14:paraId="2102B8A5"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Правый тормозной валик поставлен усиленный, увеличенного диаметра.</w:t>
      </w:r>
    </w:p>
    <w:p w14:paraId="00725947"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3DD7A946"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Поставлены пружины и сделаны другие петли крышек лазов.</w:t>
      </w:r>
    </w:p>
    <w:p w14:paraId="1585A9EA"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 Поставлен налобник для водителя.</w:t>
      </w:r>
    </w:p>
    <w:p w14:paraId="43D43FE3"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 Изменены крышки сальника.</w:t>
      </w:r>
    </w:p>
    <w:p w14:paraId="40A3C50D"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65CB588A"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Сиденье механика-водителя обшито сзади асбестом, а спереди войлоком.</w:t>
      </w:r>
    </w:p>
    <w:p w14:paraId="451097A6"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28969C43" w14:textId="77777777" w:rsidR="00FF3124" w:rsidRPr="007122AB" w:rsidRDefault="00FF31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 Каретка подачи магазинов поставлена сварная без роликов» (12138).</w:t>
      </w:r>
    </w:p>
    <w:p w14:paraId="34F591D4" w14:textId="77777777" w:rsidR="00FF3124" w:rsidRPr="007122AB" w:rsidRDefault="00FF3124" w:rsidP="007122AB">
      <w:pPr>
        <w:spacing w:after="0" w:line="240" w:lineRule="auto"/>
        <w:jc w:val="both"/>
        <w:rPr>
          <w:rFonts w:ascii="Times New Roman" w:hAnsi="Times New Roman"/>
          <w:color w:val="000000" w:themeColor="text1"/>
          <w:sz w:val="16"/>
          <w:szCs w:val="16"/>
        </w:rPr>
      </w:pPr>
    </w:p>
    <w:p w14:paraId="0F1638A0" w14:textId="77777777" w:rsidR="004742EE" w:rsidRPr="007122AB" w:rsidRDefault="004742EE"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когда уже уверенно гово</w:t>
      </w:r>
      <w:r w:rsidRPr="007122AB">
        <w:rPr>
          <w:rFonts w:ascii="Times New Roman" w:hAnsi="Times New Roman"/>
          <w:color w:val="000000" w:themeColor="text1"/>
          <w:sz w:val="16"/>
          <w:szCs w:val="16"/>
        </w:rPr>
        <w:softHyphen/>
        <w:t>рили о серийном производстве Т-26 и Т-27 и продолжали метания со средним таком - «признать основным типом мощный средний танк ТГ (танк Гроте)» - о выпуске большого танка речь все еще не шла. Внятные требова</w:t>
      </w:r>
      <w:r w:rsidRPr="007122AB">
        <w:rPr>
          <w:rFonts w:ascii="Times New Roman" w:hAnsi="Times New Roman"/>
          <w:color w:val="000000" w:themeColor="text1"/>
          <w:sz w:val="16"/>
          <w:szCs w:val="16"/>
        </w:rPr>
        <w:softHyphen/>
        <w:t>ния к «тяжелому танку» были зафиксирова</w:t>
      </w:r>
      <w:r w:rsidRPr="007122AB">
        <w:rPr>
          <w:rFonts w:ascii="Times New Roman" w:hAnsi="Times New Roman"/>
          <w:color w:val="000000" w:themeColor="text1"/>
          <w:sz w:val="16"/>
          <w:szCs w:val="16"/>
        </w:rPr>
        <w:softHyphen/>
        <w:t>ны только через полтора года в мае 1932-го. К этому времени уже изменилась сама систе</w:t>
      </w:r>
      <w:r w:rsidRPr="007122AB">
        <w:rPr>
          <w:rFonts w:ascii="Times New Roman" w:hAnsi="Times New Roman"/>
          <w:color w:val="000000" w:themeColor="text1"/>
          <w:sz w:val="16"/>
          <w:szCs w:val="16"/>
        </w:rPr>
        <w:softHyphen/>
        <w:t>ма вооружений (19859)</w:t>
      </w:r>
    </w:p>
    <w:p w14:paraId="628715B5" w14:textId="77777777" w:rsidR="004742EE" w:rsidRPr="007122AB" w:rsidRDefault="004742EE" w:rsidP="007122AB">
      <w:pPr>
        <w:shd w:val="clear" w:color="auto" w:fill="FFFFFF"/>
        <w:spacing w:after="0" w:line="240" w:lineRule="auto"/>
        <w:jc w:val="both"/>
        <w:rPr>
          <w:rFonts w:ascii="Times New Roman" w:hAnsi="Times New Roman"/>
          <w:color w:val="000000" w:themeColor="text1"/>
          <w:sz w:val="16"/>
          <w:szCs w:val="16"/>
        </w:rPr>
      </w:pPr>
    </w:p>
    <w:p w14:paraId="7358BACF" w14:textId="77777777" w:rsidR="004742EE" w:rsidRPr="007122AB" w:rsidRDefault="004742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по предварительному решению, отве</w:t>
      </w:r>
      <w:r w:rsidRPr="007122AB">
        <w:rPr>
          <w:rFonts w:ascii="Times New Roman" w:hAnsi="Times New Roman"/>
          <w:color w:val="000000" w:themeColor="text1"/>
          <w:sz w:val="16"/>
          <w:szCs w:val="16"/>
        </w:rPr>
        <w:softHyphen/>
        <w:t>ден участок для испытательной станции НАМИ на землях подмосковных совхозов «Машкино» и «Соколово», расположенный в 7,5 км от станции Химки и в 3,5 км от Ленинградского шоссе. На участке располагались небольшие помещения механических мастерских и жилой поселок на несколько десятков семей, а на реке Сходня имелась гидроэлектростанция.</w:t>
      </w:r>
    </w:p>
    <w:p w14:paraId="2E039348" w14:textId="77777777" w:rsidR="004742EE" w:rsidRPr="007122AB" w:rsidRDefault="004742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Небольшой коллектив испытателей (началь</w:t>
      </w:r>
      <w:r w:rsidRPr="007122AB">
        <w:rPr>
          <w:rFonts w:ascii="Times New Roman" w:hAnsi="Times New Roman"/>
          <w:color w:val="000000" w:themeColor="text1"/>
          <w:sz w:val="16"/>
          <w:szCs w:val="16"/>
        </w:rPr>
        <w:softHyphen/>
        <w:t xml:space="preserve">ник Д.П. Новоспасский, инженеры П.О. Зарецкий, А.И. Пяткин, Ф.П. Фомин, старшие механики С.В. </w:t>
      </w:r>
      <w:proofErr w:type="spellStart"/>
      <w:r w:rsidRPr="007122AB">
        <w:rPr>
          <w:rFonts w:ascii="Times New Roman" w:hAnsi="Times New Roman"/>
          <w:color w:val="000000" w:themeColor="text1"/>
          <w:sz w:val="16"/>
          <w:szCs w:val="16"/>
        </w:rPr>
        <w:t>Звездин</w:t>
      </w:r>
      <w:proofErr w:type="spellEnd"/>
      <w:r w:rsidRPr="007122AB">
        <w:rPr>
          <w:rFonts w:ascii="Times New Roman" w:hAnsi="Times New Roman"/>
          <w:color w:val="000000" w:themeColor="text1"/>
          <w:sz w:val="16"/>
          <w:szCs w:val="16"/>
        </w:rPr>
        <w:t>, П.П. Прокофьев и др.) провел испы</w:t>
      </w:r>
      <w:r w:rsidRPr="007122AB">
        <w:rPr>
          <w:rFonts w:ascii="Times New Roman" w:hAnsi="Times New Roman"/>
          <w:color w:val="000000" w:themeColor="text1"/>
          <w:sz w:val="16"/>
          <w:szCs w:val="16"/>
        </w:rPr>
        <w:softHyphen/>
        <w:t>тания автомобилей Форд-А и Форд-АА, АМО-3, Я-5,Я-4.</w:t>
      </w:r>
    </w:p>
    <w:p w14:paraId="5A360334" w14:textId="77777777" w:rsidR="004742EE" w:rsidRPr="007122AB" w:rsidRDefault="004742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окончательного разрешения на отвод зе</w:t>
      </w:r>
      <w:r w:rsidRPr="007122AB">
        <w:rPr>
          <w:rFonts w:ascii="Times New Roman" w:hAnsi="Times New Roman"/>
          <w:color w:val="000000" w:themeColor="text1"/>
          <w:sz w:val="16"/>
          <w:szCs w:val="16"/>
        </w:rPr>
        <w:softHyphen/>
        <w:t>мельного участка под полигон не было получено в связи с непосредственной близостью к Москве. В кон</w:t>
      </w:r>
      <w:r w:rsidRPr="007122AB">
        <w:rPr>
          <w:rFonts w:ascii="Times New Roman" w:hAnsi="Times New Roman"/>
          <w:color w:val="000000" w:themeColor="text1"/>
          <w:sz w:val="16"/>
          <w:szCs w:val="16"/>
        </w:rPr>
        <w:softHyphen/>
        <w:t>це года испытательная станция прекратила работу (22518).</w:t>
      </w:r>
    </w:p>
    <w:p w14:paraId="6525B7C2" w14:textId="77777777" w:rsidR="004742EE" w:rsidRPr="007122AB" w:rsidRDefault="004742EE" w:rsidP="007122AB">
      <w:pPr>
        <w:spacing w:after="0" w:line="240" w:lineRule="auto"/>
        <w:jc w:val="both"/>
        <w:rPr>
          <w:rFonts w:ascii="Times New Roman" w:hAnsi="Times New Roman"/>
          <w:color w:val="000000" w:themeColor="text1"/>
          <w:sz w:val="16"/>
          <w:szCs w:val="16"/>
        </w:rPr>
      </w:pPr>
    </w:p>
    <w:p w14:paraId="4BE843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на базе мастерских создан завод киноаппаратуры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Союзкино</w:t>
      </w:r>
      <w:proofErr w:type="spellEnd"/>
      <w:r w:rsidRPr="007122AB">
        <w:rPr>
          <w:rFonts w:ascii="Times New Roman" w:hAnsi="Times New Roman"/>
          <w:color w:val="000000" w:themeColor="text1"/>
          <w:sz w:val="16"/>
          <w:szCs w:val="16"/>
        </w:rPr>
        <w:t xml:space="preserve"> (Завод киноаппаратуры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Ленинградский государственный завод киноаппаратуры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xml:space="preserve">» («Л </w:t>
      </w:r>
      <w:proofErr w:type="spellStart"/>
      <w:r w:rsidRPr="007122AB">
        <w:rPr>
          <w:rFonts w:ascii="Times New Roman" w:hAnsi="Times New Roman"/>
          <w:color w:val="000000" w:themeColor="text1"/>
          <w:sz w:val="16"/>
          <w:szCs w:val="16"/>
        </w:rPr>
        <w:t>енкинап</w:t>
      </w:r>
      <w:proofErr w:type="spellEnd"/>
      <w:r w:rsidRPr="007122AB">
        <w:rPr>
          <w:rFonts w:ascii="Times New Roman" w:hAnsi="Times New Roman"/>
          <w:color w:val="000000" w:themeColor="text1"/>
          <w:sz w:val="16"/>
          <w:szCs w:val="16"/>
        </w:rPr>
        <w:t>») /г. Ленинград Кондратьевский пр., 21/).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w:t>
      </w:r>
      <w:proofErr w:type="spellStart"/>
      <w:r w:rsidRPr="007122AB">
        <w:rPr>
          <w:rFonts w:ascii="Times New Roman" w:hAnsi="Times New Roman"/>
          <w:color w:val="000000" w:themeColor="text1"/>
          <w:sz w:val="16"/>
          <w:szCs w:val="16"/>
        </w:rPr>
        <w:t>Киномехпром</w:t>
      </w:r>
      <w:proofErr w:type="spellEnd"/>
      <w:r w:rsidRPr="007122AB">
        <w:rPr>
          <w:rFonts w:ascii="Times New Roman" w:hAnsi="Times New Roman"/>
          <w:color w:val="000000" w:themeColor="text1"/>
          <w:sz w:val="16"/>
          <w:szCs w:val="16"/>
        </w:rPr>
        <w:t>», в 1939 г. - ГУ киномеханической промышленности Комитета по делам кинематографии.</w:t>
      </w:r>
    </w:p>
    <w:p w14:paraId="2873D0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7E15E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1942 г. завод полностью эвакуирован в города Белово (по другой информации-  г. Басов'</w:t>
      </w:r>
      <w:r w:rsidRPr="007122AB">
        <w:rPr>
          <w:rFonts w:ascii="Times New Roman" w:hAnsi="Times New Roman"/>
          <w:color w:val="000000" w:themeColor="text1"/>
          <w:sz w:val="16"/>
          <w:szCs w:val="16"/>
          <w:vertAlign w:val="superscript"/>
        </w:rPr>
        <w:t>31</w:t>
      </w:r>
      <w:r w:rsidRPr="007122AB">
        <w:rPr>
          <w:rFonts w:ascii="Times New Roman" w:hAnsi="Times New Roman"/>
          <w:color w:val="000000" w:themeColor="text1"/>
          <w:sz w:val="16"/>
          <w:szCs w:val="16"/>
        </w:rPr>
        <w:t>) и Самарканд. В 1944 г., после снятия блокады, завод начал восстанавливаться.</w:t>
      </w:r>
    </w:p>
    <w:p w14:paraId="28640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1946 г. Ленинградский государственный завод киноаппаратуры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xml:space="preserve">» - в ведении Министерства кинематографии, с 1953 г. - Министерства культуры, с 06.1957 г. - Управления приборостроительной промышленности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xml:space="preserve">, далее - Управления машиностроения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w:t>
      </w:r>
    </w:p>
    <w:p w14:paraId="20A1F7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1952 г. при заводе сформировано Опытное Конструкторско-технологическое бюро (ОКТБ).</w:t>
      </w:r>
    </w:p>
    <w:p w14:paraId="00A4E0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1959 г. в состав завода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вошел ЛОМЗ (бывший Химико-фармацевтический завод № 2). 2.10.1962 г. завод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вошел в Ленинградское объединение оптико-механических производств (ЛООМП).</w:t>
      </w:r>
    </w:p>
    <w:p w14:paraId="503279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1960-х  г. выпущен комплект </w:t>
      </w:r>
      <w:proofErr w:type="spellStart"/>
      <w:r w:rsidRPr="007122AB">
        <w:rPr>
          <w:rFonts w:ascii="Times New Roman" w:hAnsi="Times New Roman"/>
          <w:color w:val="000000" w:themeColor="text1"/>
          <w:sz w:val="16"/>
          <w:szCs w:val="16"/>
        </w:rPr>
        <w:t>звукотехнического</w:t>
      </w:r>
      <w:proofErr w:type="spellEnd"/>
      <w:r w:rsidRPr="007122AB">
        <w:rPr>
          <w:rFonts w:ascii="Times New Roman" w:hAnsi="Times New Roman"/>
          <w:color w:val="000000" w:themeColor="text1"/>
          <w:sz w:val="16"/>
          <w:szCs w:val="16"/>
        </w:rPr>
        <w:t xml:space="preserve"> оборудования для Дворца съездов (</w:t>
      </w:r>
      <w:r w:rsidRPr="007122AB">
        <w:rPr>
          <w:rFonts w:ascii="Times New Roman" w:hAnsi="Times New Roman"/>
          <w:color w:val="000000" w:themeColor="text1"/>
          <w:sz w:val="16"/>
          <w:szCs w:val="16"/>
          <w:lang w:val="en-US"/>
        </w:rPr>
        <w:t>P</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Кашерининов</w:t>
      </w:r>
      <w:proofErr w:type="spellEnd"/>
      <w:r w:rsidRPr="007122AB">
        <w:rPr>
          <w:rFonts w:ascii="Times New Roman" w:hAnsi="Times New Roman"/>
          <w:color w:val="000000" w:themeColor="text1"/>
          <w:sz w:val="16"/>
          <w:szCs w:val="16"/>
        </w:rPr>
        <w:t>, Н.Т. Гордиенко).</w:t>
      </w:r>
    </w:p>
    <w:p w14:paraId="3B6751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(1932 г.)- 300 чел.</w:t>
      </w:r>
    </w:p>
    <w:p w14:paraId="059F80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(1931-34 г.)- В.Ф. Сакман, (1939-40 г.)- Д.Е. Тесленко, (1945-49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Балабанович</w:t>
      </w:r>
      <w:proofErr w:type="spellEnd"/>
      <w:r w:rsidRPr="007122AB">
        <w:rPr>
          <w:rFonts w:ascii="Times New Roman" w:hAnsi="Times New Roman"/>
          <w:color w:val="000000" w:themeColor="text1"/>
          <w:sz w:val="16"/>
          <w:szCs w:val="16"/>
        </w:rPr>
        <w:t>, (1950-62 г.)- С.М. Кузнецов.</w:t>
      </w:r>
    </w:p>
    <w:p w14:paraId="530ECC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(1930-е  г.)-</w:t>
      </w:r>
      <w:r w:rsidRPr="007122AB">
        <w:rPr>
          <w:rFonts w:ascii="Times New Roman" w:hAnsi="Times New Roman"/>
          <w:iCs/>
          <w:color w:val="000000" w:themeColor="text1"/>
          <w:sz w:val="16"/>
          <w:szCs w:val="16"/>
        </w:rPr>
        <w:t xml:space="preserve"> ИМ.</w:t>
      </w:r>
      <w:r w:rsidRPr="007122AB">
        <w:rPr>
          <w:rFonts w:ascii="Times New Roman" w:hAnsi="Times New Roman"/>
          <w:color w:val="000000" w:themeColor="text1"/>
          <w:sz w:val="16"/>
          <w:szCs w:val="16"/>
        </w:rPr>
        <w:t xml:space="preserve"> Саенко, (1960-е  г.)- </w:t>
      </w:r>
      <w:r w:rsidRPr="007122AB">
        <w:rPr>
          <w:rFonts w:ascii="Times New Roman" w:hAnsi="Times New Roman"/>
          <w:color w:val="000000" w:themeColor="text1"/>
          <w:sz w:val="16"/>
          <w:szCs w:val="16"/>
          <w:lang w:val="en-US"/>
        </w:rPr>
        <w:t>P</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Кашерининов</w:t>
      </w:r>
      <w:proofErr w:type="spellEnd"/>
      <w:r w:rsidRPr="007122AB">
        <w:rPr>
          <w:rFonts w:ascii="Times New Roman" w:hAnsi="Times New Roman"/>
          <w:color w:val="000000" w:themeColor="text1"/>
          <w:sz w:val="16"/>
          <w:szCs w:val="16"/>
        </w:rPr>
        <w:t>.</w:t>
      </w:r>
    </w:p>
    <w:p w14:paraId="79D9BA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звукозаписывающие аппараты: СГК-7 (1932),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D0F4BC" w14:textId="77777777" w:rsidR="0046076A" w:rsidRPr="007122AB" w:rsidRDefault="0046076A"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Опытное Конструкторско-технологическое бюро (ОКТБ) при заводе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w:t>
      </w:r>
    </w:p>
    <w:p w14:paraId="5B499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3175F0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1956 г. ОКТБ вошло в состав ОКБ-283 МАП.</w:t>
      </w:r>
    </w:p>
    <w:p w14:paraId="14940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(-1957 г.)- А.Н. </w:t>
      </w:r>
      <w:proofErr w:type="spellStart"/>
      <w:r w:rsidRPr="007122AB">
        <w:rPr>
          <w:rFonts w:ascii="Times New Roman" w:hAnsi="Times New Roman"/>
          <w:color w:val="000000" w:themeColor="text1"/>
          <w:sz w:val="16"/>
          <w:szCs w:val="16"/>
        </w:rPr>
        <w:t>Амромин</w:t>
      </w:r>
      <w:proofErr w:type="spellEnd"/>
      <w:r w:rsidRPr="007122AB">
        <w:rPr>
          <w:rFonts w:ascii="Times New Roman" w:hAnsi="Times New Roman"/>
          <w:color w:val="000000" w:themeColor="text1"/>
          <w:sz w:val="16"/>
          <w:szCs w:val="16"/>
        </w:rPr>
        <w:t xml:space="preserve"> (11982).</w:t>
      </w:r>
    </w:p>
    <w:p w14:paraId="0D393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091CAA"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года на Экспериментальном заводе НКПС в Люблино изготовили опытный образец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639D891C"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конструкции Д-2 сильно напоминал увеличенный в размерах Д-3. Его корпус также имел толщину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w:t>
      </w:r>
    </w:p>
    <w:p w14:paraId="2DA1F1D5"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w:t>
      </w:r>
      <w:proofErr w:type="spellStart"/>
      <w:r w:rsidRPr="007122AB">
        <w:rPr>
          <w:rFonts w:ascii="Times New Roman" w:hAnsi="Times New Roman"/>
          <w:color w:val="000000" w:themeColor="text1"/>
          <w:sz w:val="16"/>
          <w:szCs w:val="16"/>
        </w:rPr>
        <w:t>Гарфорд</w:t>
      </w:r>
      <w:proofErr w:type="spellEnd"/>
      <w:r w:rsidRPr="007122AB">
        <w:rPr>
          <w:rFonts w:ascii="Times New Roman" w:hAnsi="Times New Roman"/>
          <w:color w:val="000000" w:themeColor="text1"/>
          <w:sz w:val="16"/>
          <w:szCs w:val="16"/>
        </w:rPr>
        <w:t>» (их производство велось на Путиловском заводе еще в годы Первой Мировой войны).</w:t>
      </w:r>
    </w:p>
    <w:p w14:paraId="38C7391E"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проведения заводских испытаний и устранения выявленных недостатков, </w:t>
      </w:r>
      <w:proofErr w:type="spellStart"/>
      <w:r w:rsidRPr="007122AB">
        <w:rPr>
          <w:rFonts w:ascii="Times New Roman" w:hAnsi="Times New Roman"/>
          <w:color w:val="000000" w:themeColor="text1"/>
          <w:sz w:val="16"/>
          <w:szCs w:val="16"/>
        </w:rPr>
        <w:t>мотоброневагоны</w:t>
      </w:r>
      <w:proofErr w:type="spellEnd"/>
      <w:r w:rsidRPr="007122AB">
        <w:rPr>
          <w:rFonts w:ascii="Times New Roman" w:hAnsi="Times New Roman"/>
          <w:color w:val="000000" w:themeColor="text1"/>
          <w:sz w:val="16"/>
          <w:szCs w:val="16"/>
        </w:rPr>
        <w:t xml:space="preserve"> Д-2 и Д-3 поступили на вооружение </w:t>
      </w:r>
      <w:proofErr w:type="spellStart"/>
      <w:r w:rsidRPr="007122AB">
        <w:rPr>
          <w:rFonts w:ascii="Times New Roman" w:hAnsi="Times New Roman"/>
          <w:color w:val="000000" w:themeColor="text1"/>
          <w:sz w:val="16"/>
          <w:szCs w:val="16"/>
        </w:rPr>
        <w:t>бронедивизиоиа</w:t>
      </w:r>
      <w:proofErr w:type="spellEnd"/>
      <w:r w:rsidRPr="007122AB">
        <w:rPr>
          <w:rFonts w:ascii="Times New Roman" w:hAnsi="Times New Roman"/>
          <w:color w:val="000000" w:themeColor="text1"/>
          <w:sz w:val="16"/>
          <w:szCs w:val="16"/>
        </w:rPr>
        <w:t xml:space="preserve"> центральных транспортных курсов ОПТУ, который в то время располагался недалеко от Белорусского вокзала в Москве (15624).</w:t>
      </w:r>
    </w:p>
    <w:p w14:paraId="4DE70B57" w14:textId="77777777" w:rsidR="0046076A" w:rsidRPr="007122AB" w:rsidRDefault="0046076A" w:rsidP="007122AB">
      <w:pPr>
        <w:spacing w:after="0" w:line="240" w:lineRule="auto"/>
        <w:jc w:val="both"/>
        <w:rPr>
          <w:rFonts w:ascii="Times New Roman" w:hAnsi="Times New Roman"/>
          <w:color w:val="000000" w:themeColor="text1"/>
          <w:sz w:val="16"/>
          <w:szCs w:val="16"/>
        </w:rPr>
      </w:pPr>
    </w:p>
    <w:p w14:paraId="33AAE179"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года машины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Д-8 и Д-12 были осмотрены комиссией НТК УММ РККА.</w:t>
      </w:r>
    </w:p>
    <w:p w14:paraId="3D98A2C5"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время визита на завод одного из заместителей наркома обороны в 1931 году тот, просматривая в кабинете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американский журнал «Арми </w:t>
      </w:r>
      <w:proofErr w:type="spellStart"/>
      <w:r w:rsidRPr="007122AB">
        <w:rPr>
          <w:rFonts w:ascii="Times New Roman" w:hAnsi="Times New Roman"/>
          <w:color w:val="000000" w:themeColor="text1"/>
          <w:sz w:val="16"/>
          <w:szCs w:val="16"/>
        </w:rPr>
        <w:t>Орднанс</w:t>
      </w:r>
      <w:proofErr w:type="spellEnd"/>
      <w:r w:rsidRPr="007122AB">
        <w:rPr>
          <w:rFonts w:ascii="Times New Roman" w:hAnsi="Times New Roman"/>
          <w:color w:val="000000" w:themeColor="text1"/>
          <w:sz w:val="16"/>
          <w:szCs w:val="16"/>
        </w:rPr>
        <w:t xml:space="preserve">», обратил внимание хозяина кабинета на последние модели бронеавтомобилей США. Они имели низкий силуэт и сильно наклоненные броневые листы, способствующие </w:t>
      </w:r>
      <w:proofErr w:type="spellStart"/>
      <w:r w:rsidRPr="007122AB">
        <w:rPr>
          <w:rFonts w:ascii="Times New Roman" w:hAnsi="Times New Roman"/>
          <w:color w:val="000000" w:themeColor="text1"/>
          <w:sz w:val="16"/>
          <w:szCs w:val="16"/>
        </w:rPr>
        <w:t>рикошетированию</w:t>
      </w:r>
      <w:proofErr w:type="spellEnd"/>
      <w:r w:rsidRPr="007122AB">
        <w:rPr>
          <w:rFonts w:ascii="Times New Roman" w:hAnsi="Times New Roman"/>
          <w:color w:val="000000" w:themeColor="text1"/>
          <w:sz w:val="16"/>
          <w:szCs w:val="16"/>
        </w:rPr>
        <w:t xml:space="preserve"> пуль.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ответил, что работа над подобной моделью у него уже идет и завтра он готов ее продемонстрировать.</w:t>
      </w:r>
    </w:p>
    <w:p w14:paraId="23A921CE"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ухода гостя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распорядился снять кузов со своего служебного автомобиля, вызвал плотника и уже к вечеру на шасси стоял фанерный макет со следами карандаша, которым изобретательный инженер размечал выкройки прямо по листам фанеры. Затем подогнанный по шасси макет разобрали и по импровизированным фанерным лекалам вырезали из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панели, собрали из них кузов, установили его на шасси. Самым трудоемким оказалась сушка окрашенного масляной краской броневика посредством паяльных ламп. Но к полудню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смог представить высокому гостю готовый для пробных стрельб корпус Д-8, смонтированный на шасси ГАЗ-А.</w:t>
      </w:r>
    </w:p>
    <w:p w14:paraId="2A82A531"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Стремясь облегчить и уменьшить машину, сделать ее незаметней и в то же время обеспечить надежной бронезащитой,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отказался от традиционной башни и разместил вооружение внутри приземистого корпуса. Оно состояло из пулемета ДТ с запасом патронов в 2079 шт. (в том числе 756 бронебойных), расположенного в правом лобовом листе, рядом с водителем, и такого же запасного пулемета, для которого, по предложению К.Е. Ворошилова в кормовой части была предусмотрена дополнительная огневая точка. Поскольку в боковых стенках еще имелись бойницы, снабженные бронезаслонками, экипаж Д-8 (который состоял из двух человек: водителя и командира, который одновременно выполнял обязанности пулеметчика) в случае необходимости мог вести почти круговой обстрел. При стрельбе использовался простой механический прицел.</w:t>
      </w:r>
    </w:p>
    <w:p w14:paraId="71081BF8"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Корпус броневика, набранный из </w:t>
      </w:r>
      <w:proofErr w:type="spellStart"/>
      <w:r w:rsidRPr="007122AB">
        <w:rPr>
          <w:rFonts w:ascii="Times New Roman" w:hAnsi="Times New Roman"/>
          <w:color w:val="000000" w:themeColor="text1"/>
          <w:sz w:val="16"/>
          <w:szCs w:val="16"/>
        </w:rPr>
        <w:t>термообработанных</w:t>
      </w:r>
      <w:proofErr w:type="spellEnd"/>
      <w:r w:rsidRPr="007122AB">
        <w:rPr>
          <w:rFonts w:ascii="Times New Roman" w:hAnsi="Times New Roman"/>
          <w:color w:val="000000" w:themeColor="text1"/>
          <w:sz w:val="16"/>
          <w:szCs w:val="16"/>
        </w:rPr>
        <w:t xml:space="preserve"> плоских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различной формы толщиной 3–7 мм соединявшихся между собой заклепками, предохранял экипаж и двигатель от поражения обычными пулями и осколками снарядов. </w:t>
      </w:r>
      <w:proofErr w:type="spellStart"/>
      <w:r w:rsidRPr="007122AB">
        <w:rPr>
          <w:rFonts w:ascii="Times New Roman" w:hAnsi="Times New Roman"/>
          <w:color w:val="000000" w:themeColor="text1"/>
          <w:sz w:val="16"/>
          <w:szCs w:val="16"/>
        </w:rPr>
        <w:t>Бронекапот</w:t>
      </w:r>
      <w:proofErr w:type="spellEnd"/>
      <w:r w:rsidRPr="007122AB">
        <w:rPr>
          <w:rFonts w:ascii="Times New Roman" w:hAnsi="Times New Roman"/>
          <w:color w:val="000000" w:themeColor="text1"/>
          <w:sz w:val="16"/>
          <w:szCs w:val="16"/>
        </w:rPr>
        <w:t xml:space="preserve"> с откидывающимися боковыми складными дверцами впереди имел жалюзи, через которые к радиатору подавался воздух. В боевой обстановке эти жалюзи закрывались, а воздух шел через наклонный </w:t>
      </w:r>
      <w:proofErr w:type="spellStart"/>
      <w:r w:rsidRPr="007122AB">
        <w:rPr>
          <w:rFonts w:ascii="Times New Roman" w:hAnsi="Times New Roman"/>
          <w:color w:val="000000" w:themeColor="text1"/>
          <w:sz w:val="16"/>
          <w:szCs w:val="16"/>
        </w:rPr>
        <w:t>бронелоток</w:t>
      </w:r>
      <w:proofErr w:type="spellEnd"/>
      <w:r w:rsidRPr="007122AB">
        <w:rPr>
          <w:rFonts w:ascii="Times New Roman" w:hAnsi="Times New Roman"/>
          <w:color w:val="000000" w:themeColor="text1"/>
          <w:sz w:val="16"/>
          <w:szCs w:val="16"/>
        </w:rPr>
        <w:t>, защищавший переднюю ось и картер. Привод осуществлялся на заднюю ось, колеса были с проволочными спицами, шины пневматические.</w:t>
      </w:r>
    </w:p>
    <w:p w14:paraId="5F25EAC2"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бронеавтомобиле устанавливался четырехтактный четырехцилиндровый двигатель «Форд-А» (ГАЗ-А) мощностью 40 л.с. (29 кВт) с карбюратором «Форд-Зенит». Пуск двигателя производился с помощью электростартера «</w:t>
      </w:r>
      <w:proofErr w:type="spellStart"/>
      <w:r w:rsidRPr="007122AB">
        <w:rPr>
          <w:rFonts w:ascii="Times New Roman" w:hAnsi="Times New Roman"/>
          <w:color w:val="000000" w:themeColor="text1"/>
          <w:sz w:val="16"/>
          <w:szCs w:val="16"/>
        </w:rPr>
        <w:t>Автолайт</w:t>
      </w:r>
      <w:proofErr w:type="spellEnd"/>
      <w:r w:rsidRPr="007122AB">
        <w:rPr>
          <w:rFonts w:ascii="Times New Roman" w:hAnsi="Times New Roman"/>
          <w:color w:val="000000" w:themeColor="text1"/>
          <w:sz w:val="16"/>
          <w:szCs w:val="16"/>
        </w:rPr>
        <w:t xml:space="preserve"> МАФ» мощностью 0,8 л.с. (0,6 кВт).</w:t>
      </w:r>
    </w:p>
    <w:p w14:paraId="4CAC0372"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батарейной контактной системе зажигания использовались индукционная катушка (бобина) и распределитель с прерывателем. Емкость топливных баков составляла 40 л. Запас хода бронеавтомобиля по шоссе достигал 225 км.</w:t>
      </w:r>
    </w:p>
    <w:p w14:paraId="7E0D06A0"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 трансмиссии входили: однодисковое сцепление с накладками из </w:t>
      </w:r>
      <w:proofErr w:type="spellStart"/>
      <w:r w:rsidRPr="007122AB">
        <w:rPr>
          <w:rFonts w:ascii="Times New Roman" w:hAnsi="Times New Roman"/>
          <w:color w:val="000000" w:themeColor="text1"/>
          <w:sz w:val="16"/>
          <w:szCs w:val="16"/>
        </w:rPr>
        <w:t>феродо</w:t>
      </w:r>
      <w:proofErr w:type="spellEnd"/>
      <w:r w:rsidRPr="007122AB">
        <w:rPr>
          <w:rFonts w:ascii="Times New Roman" w:hAnsi="Times New Roman"/>
          <w:color w:val="000000" w:themeColor="text1"/>
          <w:sz w:val="16"/>
          <w:szCs w:val="16"/>
        </w:rPr>
        <w:t>, механическая коробка передач, обеспечивавшая три передачи переднего и одну передачу заднего хода, и главная коническая передача с дифференциалом. Бронеавтомобиль имел колесную формулу 4x2. Зависимая подвеска машины, состоявшая из поперечно расположенных полуэллиптических листовых рессор, обеспечивала возможность движения по грунтовым дорогам с достаточно высокой средней скоростью — до 30 км/ч. Колеса с проволочными спицами, расположенными в три ряда, обладали большой жесткостью в продольной и поперечной плоскостях.</w:t>
      </w:r>
    </w:p>
    <w:p w14:paraId="54C41CA3"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Электрооборудование машины было выполнено по однопроводной схеме. Напряжение бортовой сети составляло 6 В. В качестве источников электроэнергии использовались аккумуляторная батарея емкостью 80 </w:t>
      </w:r>
      <w:proofErr w:type="spellStart"/>
      <w:r w:rsidRPr="007122AB">
        <w:rPr>
          <w:rFonts w:ascii="Times New Roman" w:hAnsi="Times New Roman"/>
          <w:color w:val="000000" w:themeColor="text1"/>
          <w:sz w:val="16"/>
          <w:szCs w:val="16"/>
        </w:rPr>
        <w:t>А·ч</w:t>
      </w:r>
      <w:proofErr w:type="spellEnd"/>
      <w:r w:rsidRPr="007122AB">
        <w:rPr>
          <w:rFonts w:ascii="Times New Roman" w:hAnsi="Times New Roman"/>
          <w:color w:val="000000" w:themeColor="text1"/>
          <w:sz w:val="16"/>
          <w:szCs w:val="16"/>
        </w:rPr>
        <w:t xml:space="preserve"> и генератор мощностью 100 Вт.</w:t>
      </w:r>
    </w:p>
    <w:p w14:paraId="028B8471"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с Д-8 был разработан и построен его вариант Д-12, вооруженный еще и зенитным пулеметом системы «Максим». Он устанавливался на авиационной турели на крыше бронекорпуса. Стрельба из него велась с остановок. Из-за этого корпус в задней части пришлось изменить, увеличив объем боевого отделения и уменьшив угол наклона кормовых листов брони. Задний пулемет ДТ на машине Д-12 уже не устанавливался. После всех этих переделок высота машины увеличилась до 2015 мм, а боевая масса возросла на 70 кг, что, впрочем, не повлияло на подвижность и проходимость броневика. В частности, средняя скорость на проселочной дороге составляла 30 км/ч. При движении по снегу и грязи экипаж использовал старое средство — браслетные цепи противоскольжения.</w:t>
      </w:r>
    </w:p>
    <w:p w14:paraId="3D6493C1"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заключении комиссии говорилось: «Признать, что бронеавтомобили Д-8 и Д-12 не удовлетворяют требованиям, предъявляемым к легким разведывательным автомобилям ввиду неудобства пользования вооружением, плохой видимости для водителя и перегрузки передней оси...» Тем не менее, после небольших доработок эти бронеавтомобили были рекомендованы для серийного производства — ведь ничего другого просто не было, а армия нуждалась в новой технике.</w:t>
      </w:r>
    </w:p>
    <w:p w14:paraId="56852F80"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небольшой партии в 25 машин было организованно на Ижорском заводе в 1932–1934 гг. Однако через некоторое время Д-8 модернизировали, установив на нем поворотную башню с пулеметом ДТ в шаровой установке. А в 1932 году на основе Д-8 и на том же шасси (позже замененном аналогичным отечественным ГАЗ-А), был построен бронеавтомобиль ФАИ.</w:t>
      </w:r>
    </w:p>
    <w:p w14:paraId="4E7C30EB"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Части, оснащенные Д-8, принимали участие в Зимней войне с Финляндией. Часть этих </w:t>
      </w:r>
      <w:proofErr w:type="spellStart"/>
      <w:r w:rsidRPr="007122AB">
        <w:rPr>
          <w:rFonts w:ascii="Times New Roman" w:hAnsi="Times New Roman"/>
          <w:color w:val="000000" w:themeColor="text1"/>
          <w:sz w:val="16"/>
          <w:szCs w:val="16"/>
        </w:rPr>
        <w:t>бронеавтомомбилей</w:t>
      </w:r>
      <w:proofErr w:type="spellEnd"/>
      <w:r w:rsidRPr="007122AB">
        <w:rPr>
          <w:rFonts w:ascii="Times New Roman" w:hAnsi="Times New Roman"/>
          <w:color w:val="000000" w:themeColor="text1"/>
          <w:sz w:val="16"/>
          <w:szCs w:val="16"/>
        </w:rPr>
        <w:t xml:space="preserve"> досталась противнику и была восстановлена. Прослужили эти машины в Финской Армии до 1943 года.</w:t>
      </w:r>
    </w:p>
    <w:tbl>
      <w:tblPr>
        <w:tblW w:w="5000" w:type="pct"/>
        <w:tblBorders>
          <w:top w:val="single" w:sz="6" w:space="0" w:color="5E4B39"/>
          <w:left w:val="single" w:sz="6" w:space="0" w:color="5E4B39"/>
          <w:bottom w:val="single" w:sz="6" w:space="0" w:color="5E4B39"/>
          <w:right w:val="single" w:sz="6" w:space="0" w:color="5E4B39"/>
        </w:tblBorders>
        <w:tblCellMar>
          <w:left w:w="0" w:type="dxa"/>
          <w:right w:w="0" w:type="dxa"/>
        </w:tblCellMar>
        <w:tblLook w:val="04A0" w:firstRow="1" w:lastRow="0" w:firstColumn="1" w:lastColumn="0" w:noHBand="0" w:noVBand="1"/>
      </w:tblPr>
      <w:tblGrid>
        <w:gridCol w:w="6175"/>
        <w:gridCol w:w="5147"/>
      </w:tblGrid>
      <w:tr w:rsidR="007122AB" w:rsidRPr="007122AB" w14:paraId="2684F6B3"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D6D8509"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Масса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D955FB2"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1580 кг</w:t>
            </w:r>
          </w:p>
        </w:tc>
      </w:tr>
      <w:tr w:rsidR="007122AB" w:rsidRPr="007122AB" w14:paraId="2BB3903A"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5F8EBFF"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9826D9A"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человека</w:t>
            </w:r>
          </w:p>
        </w:tc>
      </w:tr>
      <w:tr w:rsidR="007122AB" w:rsidRPr="007122AB" w14:paraId="15365F14"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2B0CE66"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3EAE3E9"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3540 мм</w:t>
            </w:r>
          </w:p>
        </w:tc>
      </w:tr>
      <w:tr w:rsidR="007122AB" w:rsidRPr="007122AB" w14:paraId="710EE91D"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61EA3870"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1840709"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1705 мм</w:t>
            </w:r>
          </w:p>
        </w:tc>
      </w:tr>
      <w:tr w:rsidR="007122AB" w:rsidRPr="007122AB" w14:paraId="6475F04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6411FFAF"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18ACA0C"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1680 мм</w:t>
            </w:r>
          </w:p>
        </w:tc>
      </w:tr>
      <w:tr w:rsidR="007122AB" w:rsidRPr="007122AB" w14:paraId="0CD44B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B906775"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Клиренс</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DDDB0CC"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224 мм</w:t>
            </w:r>
          </w:p>
        </w:tc>
      </w:tr>
      <w:tr w:rsidR="007122AB" w:rsidRPr="007122AB" w14:paraId="69A6D3F4"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77126A0"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двигателя</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AE3A110"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 л.с.</w:t>
            </w:r>
          </w:p>
        </w:tc>
      </w:tr>
      <w:tr w:rsidR="007122AB" w:rsidRPr="007122AB" w14:paraId="7D2BD1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01E1C1F"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 шоссе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E299AFD"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85 км/ч</w:t>
            </w:r>
          </w:p>
        </w:tc>
      </w:tr>
      <w:tr w:rsidR="007122AB" w:rsidRPr="007122AB" w14:paraId="13615456"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52127CC"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по шоссе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40087AA"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 км</w:t>
            </w:r>
          </w:p>
        </w:tc>
      </w:tr>
      <w:tr w:rsidR="007122AB" w:rsidRPr="007122AB" w14:paraId="293FB0D0"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7ED16F9"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по грунту</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D971CFA"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 км</w:t>
            </w:r>
          </w:p>
        </w:tc>
      </w:tr>
      <w:tr w:rsidR="007122AB" w:rsidRPr="007122AB" w14:paraId="4EDA29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B6ED722"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63FF657"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два 7,62-мм пулемета ДТ</w:t>
            </w:r>
          </w:p>
        </w:tc>
      </w:tr>
      <w:tr w:rsidR="007122AB" w:rsidRPr="007122AB" w14:paraId="20ED3329"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286ECB2"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Боекомплект</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D3337B7"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2079 патронов</w:t>
            </w:r>
          </w:p>
        </w:tc>
      </w:tr>
      <w:tr w:rsidR="007122AB" w:rsidRPr="007122AB" w14:paraId="15165BE2"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6D070E7"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58832EC"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 мм</w:t>
            </w:r>
          </w:p>
        </w:tc>
      </w:tr>
    </w:tbl>
    <w:p w14:paraId="15CF9FE8"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(15626).</w:t>
      </w:r>
    </w:p>
    <w:p w14:paraId="5936409A" w14:textId="77777777" w:rsidR="0046076A" w:rsidRPr="007122AB" w:rsidRDefault="0046076A" w:rsidP="007122AB">
      <w:pPr>
        <w:spacing w:after="0" w:line="240" w:lineRule="auto"/>
        <w:jc w:val="both"/>
        <w:rPr>
          <w:rFonts w:ascii="Times New Roman" w:hAnsi="Times New Roman"/>
          <w:color w:val="000000" w:themeColor="text1"/>
          <w:sz w:val="16"/>
          <w:szCs w:val="16"/>
        </w:rPr>
      </w:pPr>
    </w:p>
    <w:p w14:paraId="11592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комиссия НТК УММ РККА рассмотрела бронеавтомобили по проекту </w:t>
      </w:r>
      <w:proofErr w:type="spellStart"/>
      <w:r w:rsidRPr="007122AB">
        <w:rPr>
          <w:rFonts w:ascii="Times New Roman" w:hAnsi="Times New Roman"/>
          <w:color w:val="000000" w:themeColor="text1"/>
          <w:sz w:val="16"/>
          <w:szCs w:val="16"/>
        </w:rPr>
        <w:t>Н.Дыренкова</w:t>
      </w:r>
      <w:proofErr w:type="spellEnd"/>
      <w:r w:rsidRPr="007122AB">
        <w:rPr>
          <w:rFonts w:ascii="Times New Roman" w:hAnsi="Times New Roman"/>
          <w:color w:val="000000" w:themeColor="text1"/>
          <w:sz w:val="16"/>
          <w:szCs w:val="16"/>
        </w:rPr>
        <w:t xml:space="preserve"> - руководителя опытно-конструкторского и испытательного бюро - Д-8 и Д-12, которые различались установкой вооружения. Д-8 имел ДТ, устанавливаемый в одно из 4-х гнезд, а Д-12 - еще и авиационную турель с зенитным пулеметом на крыше корпуса. Изготавливались на Ижорском заводе параллельно с изготовление трех опытных образцов бронированных автомобилей на базе Форда-А - Форда-А с броней или колесных танкеток, которое велось с сентября 1930 и было задержано из-за загруженности завода текущими заказами УММ и нехватки кадров. В заключении было записано: “Признать, что бронеавтомобили Д-8 и Д-12 не удовлетворяют требованиям, предъявляемым к легким разведывательным бронеавтомобилям ввиду неудобства пользования вооружением, плохой видимости для водителя и перегрузки передней оси.... Тем не менее, после небольших переделок рекомендовали в серию (3947,14).</w:t>
      </w:r>
    </w:p>
    <w:p w14:paraId="24FC2C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4A6134" w14:textId="77777777" w:rsidR="00BE22D4" w:rsidRPr="007122AB" w:rsidRDefault="00BE22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года на Экспериментальном заводе НКПС изготовили опытный образец бронедрезины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357FF3DD" w14:textId="77777777" w:rsidR="00BE22D4" w:rsidRPr="007122AB" w:rsidRDefault="00BE22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конструкции Д-2 сильно напоминал увеличенный в размерах Д-3. Его корпус также имел толщину </w:t>
      </w:r>
      <w:proofErr w:type="spellStart"/>
      <w:r w:rsidRPr="007122AB">
        <w:rPr>
          <w:rFonts w:ascii="Times New Roman" w:hAnsi="Times New Roman"/>
          <w:color w:val="000000" w:themeColor="text1"/>
          <w:sz w:val="16"/>
          <w:szCs w:val="16"/>
        </w:rPr>
        <w:t>бронелистов</w:t>
      </w:r>
      <w:proofErr w:type="spellEnd"/>
      <w:r w:rsidRPr="007122AB">
        <w:rPr>
          <w:rFonts w:ascii="Times New Roman" w:hAnsi="Times New Roman"/>
          <w:color w:val="000000" w:themeColor="text1"/>
          <w:sz w:val="16"/>
          <w:szCs w:val="16"/>
        </w:rPr>
        <w:t xml:space="preserve">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 </w:t>
      </w:r>
    </w:p>
    <w:p w14:paraId="08BB3563" w14:textId="77777777" w:rsidR="00BE22D4" w:rsidRPr="007122AB" w:rsidRDefault="00BE22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w:t>
      </w:r>
      <w:proofErr w:type="spellStart"/>
      <w:r w:rsidRPr="007122AB">
        <w:rPr>
          <w:rFonts w:ascii="Times New Roman" w:hAnsi="Times New Roman"/>
          <w:color w:val="000000" w:themeColor="text1"/>
          <w:sz w:val="16"/>
          <w:szCs w:val="16"/>
        </w:rPr>
        <w:t>Гарфорд</w:t>
      </w:r>
      <w:proofErr w:type="spellEnd"/>
      <w:r w:rsidRPr="007122AB">
        <w:rPr>
          <w:rFonts w:ascii="Times New Roman" w:hAnsi="Times New Roman"/>
          <w:color w:val="000000" w:themeColor="text1"/>
          <w:sz w:val="16"/>
          <w:szCs w:val="16"/>
        </w:rPr>
        <w:t>» (их производство велось на Путиловском заводе еще в годы Первой Мировой войны). </w:t>
      </w:r>
    </w:p>
    <w:p w14:paraId="10FBD11D" w14:textId="77777777" w:rsidR="00BE22D4" w:rsidRPr="007122AB" w:rsidRDefault="00BE22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проведения заводских испытаний и устранения выявленных недостатков,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-броневагоны Д-2 и Д-3 поступили на вооружение бронедивизиона центральных транспортных курсов ОПТУ, который в то время располагался недалеко от Белорусского вокзала в Москве (18626).</w:t>
      </w:r>
    </w:p>
    <w:p w14:paraId="2791F737" w14:textId="77777777" w:rsidR="00BE22D4" w:rsidRPr="007122AB" w:rsidRDefault="00BE22D4" w:rsidP="007122AB">
      <w:pPr>
        <w:spacing w:after="0" w:line="240" w:lineRule="auto"/>
        <w:jc w:val="both"/>
        <w:rPr>
          <w:rFonts w:ascii="Times New Roman" w:hAnsi="Times New Roman"/>
          <w:color w:val="000000" w:themeColor="text1"/>
          <w:sz w:val="16"/>
          <w:szCs w:val="16"/>
        </w:rPr>
      </w:pPr>
    </w:p>
    <w:p w14:paraId="25C5B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по предварительному решению НАМИ отвели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нем уже имелись небольшие помещения механических мастерских и жилой поселок на несколько десятков семей, а на реке Сходня стояла гидроэлектростанция. Однако окончательного разрешения на отвод земельного участка под полигон так и не получили из-за непосредственной близости к Москве. В конце 1931 г. первая испытательная станция прекратила свою работу. 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2DEB59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38E2EB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7C9E4A" w14:textId="77777777" w:rsidR="00EB5899" w:rsidRPr="007122AB" w:rsidRDefault="00EB58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в Ленинграде возник первый в СССР Научно-исследовательский институт пластических масс, объединивший 180 научных работников, а спустя два месяца в Москве был открыт его филиал 46 . Одновременно под Москвой было организовано производство формалина - важнейшего сырья для промышленности пластмасс. В Ленинграде развернулось строительство завода "Комсомольская правда". Реконструировался, а вернее, заново создавался завод "Карболит". Эти предприятия должны были специализироваться на выпуске различных изделий из пластических масс. Значительные средства выделялись для сооружения мощного комбината пластмасс во Владимире. Строительство перечисленных объектов требовало больших затрат, и объем капиталовложений непрерывно рос. Если в 1927/28 г. он составил всего 1,5 млн. руб., то в 1932 г. уже превысил 20,5 млн. рублей. Менее чем за пять лет стройки объединения "</w:t>
      </w:r>
      <w:proofErr w:type="spellStart"/>
      <w:r w:rsidRPr="007122AB">
        <w:rPr>
          <w:rFonts w:ascii="Times New Roman" w:hAnsi="Times New Roman"/>
          <w:color w:val="000000" w:themeColor="text1"/>
          <w:sz w:val="16"/>
          <w:szCs w:val="16"/>
        </w:rPr>
        <w:t>Союзхимпластмасс</w:t>
      </w:r>
      <w:proofErr w:type="spellEnd"/>
      <w:r w:rsidRPr="007122AB">
        <w:rPr>
          <w:rFonts w:ascii="Times New Roman" w:hAnsi="Times New Roman"/>
          <w:color w:val="000000" w:themeColor="text1"/>
          <w:sz w:val="16"/>
          <w:szCs w:val="16"/>
        </w:rPr>
        <w:t>" на капитальные вложения получили около 44 млн. рублей (18301).</w:t>
      </w:r>
    </w:p>
    <w:p w14:paraId="6BD16B06" w14:textId="77777777" w:rsidR="00EB5899" w:rsidRPr="007122AB" w:rsidRDefault="00EB5899" w:rsidP="007122AB">
      <w:pPr>
        <w:spacing w:after="0" w:line="240" w:lineRule="auto"/>
        <w:jc w:val="both"/>
        <w:rPr>
          <w:rFonts w:ascii="Times New Roman" w:hAnsi="Times New Roman"/>
          <w:color w:val="000000" w:themeColor="text1"/>
          <w:sz w:val="16"/>
          <w:szCs w:val="16"/>
        </w:rPr>
      </w:pPr>
    </w:p>
    <w:p w14:paraId="5C03C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февраля 1931 г. на Московском Ольгинском заводе начал работать опытный сектор, и к 1932 г. в нем работало уже 23 опытных установки (</w:t>
      </w:r>
      <w:proofErr w:type="spellStart"/>
      <w:r w:rsidRPr="007122AB">
        <w:rPr>
          <w:rFonts w:ascii="Times New Roman" w:hAnsi="Times New Roman"/>
          <w:color w:val="000000" w:themeColor="text1"/>
          <w:sz w:val="16"/>
          <w:szCs w:val="16"/>
        </w:rPr>
        <w:t>дифенилцианарсин</w:t>
      </w:r>
      <w:proofErr w:type="spellEnd"/>
      <w:r w:rsidRPr="007122AB">
        <w:rPr>
          <w:rFonts w:ascii="Times New Roman" w:hAnsi="Times New Roman"/>
          <w:color w:val="000000" w:themeColor="text1"/>
          <w:sz w:val="16"/>
          <w:szCs w:val="16"/>
        </w:rPr>
        <w:t xml:space="preserve">, хлорциан, </w:t>
      </w:r>
      <w:proofErr w:type="spellStart"/>
      <w:r w:rsidRPr="007122AB">
        <w:rPr>
          <w:rFonts w:ascii="Times New Roman" w:hAnsi="Times New Roman"/>
          <w:color w:val="000000" w:themeColor="text1"/>
          <w:sz w:val="16"/>
          <w:szCs w:val="16"/>
        </w:rPr>
        <w:t>бромбензилцианид</w:t>
      </w:r>
      <w:proofErr w:type="spellEnd"/>
      <w:r w:rsidRPr="007122AB">
        <w:rPr>
          <w:rFonts w:ascii="Times New Roman" w:hAnsi="Times New Roman"/>
          <w:color w:val="000000" w:themeColor="text1"/>
          <w:sz w:val="16"/>
          <w:szCs w:val="16"/>
        </w:rPr>
        <w:t xml:space="preserve">, синильная кислота, люизит, иприты, газ "циклон", </w:t>
      </w:r>
      <w:proofErr w:type="spellStart"/>
      <w:r w:rsidRPr="007122AB">
        <w:rPr>
          <w:rFonts w:ascii="Times New Roman" w:hAnsi="Times New Roman"/>
          <w:color w:val="000000" w:themeColor="text1"/>
          <w:sz w:val="16"/>
          <w:szCs w:val="16"/>
        </w:rPr>
        <w:t>хлорфенолы</w:t>
      </w:r>
      <w:proofErr w:type="spellEnd"/>
      <w:r w:rsidRPr="007122AB">
        <w:rPr>
          <w:rFonts w:ascii="Times New Roman" w:hAnsi="Times New Roman"/>
          <w:color w:val="000000" w:themeColor="text1"/>
          <w:sz w:val="16"/>
          <w:szCs w:val="16"/>
        </w:rPr>
        <w:t xml:space="preserve"> и т.д.). Численность персонала Ольгинского завода в 1931 г. составляла 665 человек, из которых 438 работали на заводе, остальные - на опытном производстве. Источником сырья служил расположенный рядом завод "Нефтегаз" (9066).</w:t>
      </w:r>
    </w:p>
    <w:p w14:paraId="17CF11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D80FD0" w14:textId="77777777" w:rsidR="00EB5899" w:rsidRPr="007122AB" w:rsidRDefault="00EB58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возник вопрос о том, какое предприятие будет заниматься установкой радиостанций, которые должен был серийно выпустить завод им. Козицкого. Традиционно, еще с дореволюционных времен, установкой аппаратуры на кораблях занимался завод им. Коминтерна.</w:t>
      </w:r>
    </w:p>
    <w:p w14:paraId="64E39206" w14:textId="77777777" w:rsidR="00EB5899" w:rsidRPr="007122AB" w:rsidRDefault="00EB58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количество этих работ никогда не достигало такого уровня, с которым заводу пришлось столкнуться при выполнении заказа «Блокада». Только для установки собственной серийной продукции (радиостанции «Зарница» и пеленгаторы) заводу им. Коминтерна требовалось создать пять монтажных бригад для одновременной работы на судах МС БМ, МС ЧМ, Северной, Днепровской и Дальневосточной флотилий1. И даже эту задачу предприятие решить не смогло: из 45 изготовленных в 1931 г. «Зарниц» были установлены всего 13, а из 43 «Штилей» – 152.</w:t>
      </w:r>
    </w:p>
    <w:p w14:paraId="0965ECF0" w14:textId="77777777" w:rsidR="00EB5899" w:rsidRPr="007122AB" w:rsidRDefault="00EB58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таким положением завода им. Коминтерна в мае 1931 г. возникла идея возложить монтаж радиоустановок на одну из действовавших в составе ВЭО монтажных организаций – «</w:t>
      </w:r>
      <w:proofErr w:type="spellStart"/>
      <w:r w:rsidRPr="007122AB">
        <w:rPr>
          <w:rFonts w:ascii="Times New Roman" w:hAnsi="Times New Roman"/>
          <w:color w:val="000000" w:themeColor="text1"/>
          <w:sz w:val="16"/>
          <w:szCs w:val="16"/>
        </w:rPr>
        <w:t>Электроморстрой</w:t>
      </w:r>
      <w:proofErr w:type="spellEnd"/>
      <w:r w:rsidRPr="007122AB">
        <w:rPr>
          <w:rFonts w:ascii="Times New Roman" w:hAnsi="Times New Roman"/>
          <w:color w:val="000000" w:themeColor="text1"/>
          <w:sz w:val="16"/>
          <w:szCs w:val="16"/>
        </w:rPr>
        <w:t>» (Центральное проектно-монтажное управление по электрооборудованию морских, речных и сухопутных сооружений) или «</w:t>
      </w:r>
      <w:proofErr w:type="spellStart"/>
      <w:r w:rsidRPr="007122AB">
        <w:rPr>
          <w:rFonts w:ascii="Times New Roman" w:hAnsi="Times New Roman"/>
          <w:color w:val="000000" w:themeColor="text1"/>
          <w:sz w:val="16"/>
          <w:szCs w:val="16"/>
        </w:rPr>
        <w:t>Электросвязьстрой</w:t>
      </w:r>
      <w:proofErr w:type="spellEnd"/>
      <w:r w:rsidRPr="007122AB">
        <w:rPr>
          <w:rFonts w:ascii="Times New Roman" w:hAnsi="Times New Roman"/>
          <w:color w:val="000000" w:themeColor="text1"/>
          <w:sz w:val="16"/>
          <w:szCs w:val="16"/>
        </w:rPr>
        <w:t>» (Монтажно-строительное управление сооружениями электротехнической связи и сигнализации). Выбор пал на последнюю, причем предполагалось, что «</w:t>
      </w:r>
      <w:proofErr w:type="spellStart"/>
      <w:r w:rsidRPr="007122AB">
        <w:rPr>
          <w:rFonts w:ascii="Times New Roman" w:hAnsi="Times New Roman"/>
          <w:color w:val="000000" w:themeColor="text1"/>
          <w:sz w:val="16"/>
          <w:szCs w:val="16"/>
        </w:rPr>
        <w:t>Электросвязьстрой</w:t>
      </w:r>
      <w:proofErr w:type="spellEnd"/>
      <w:r w:rsidRPr="007122AB">
        <w:rPr>
          <w:rFonts w:ascii="Times New Roman" w:hAnsi="Times New Roman"/>
          <w:color w:val="000000" w:themeColor="text1"/>
          <w:sz w:val="16"/>
          <w:szCs w:val="16"/>
        </w:rPr>
        <w:t>» уже с 1932 г. возьмет на себя установку всех серийные изделий по заказу «Блокада».</w:t>
      </w:r>
    </w:p>
    <w:p w14:paraId="263F7739" w14:textId="77777777" w:rsidR="00EB5899" w:rsidRPr="007122AB" w:rsidRDefault="00EB58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против такого решения решительно выступили представители </w:t>
      </w:r>
      <w:proofErr w:type="spellStart"/>
      <w:r w:rsidRPr="007122AB">
        <w:rPr>
          <w:rFonts w:ascii="Times New Roman" w:hAnsi="Times New Roman"/>
          <w:color w:val="000000" w:themeColor="text1"/>
          <w:sz w:val="16"/>
          <w:szCs w:val="16"/>
        </w:rPr>
        <w:t>Ленкомнаба</w:t>
      </w:r>
      <w:proofErr w:type="spellEnd"/>
      <w:r w:rsidRPr="007122AB">
        <w:rPr>
          <w:rFonts w:ascii="Times New Roman" w:hAnsi="Times New Roman"/>
          <w:color w:val="000000" w:themeColor="text1"/>
          <w:sz w:val="16"/>
          <w:szCs w:val="16"/>
        </w:rPr>
        <w:t>, которые не без оснований полагали, что «</w:t>
      </w:r>
      <w:proofErr w:type="spellStart"/>
      <w:r w:rsidRPr="007122AB">
        <w:rPr>
          <w:rFonts w:ascii="Times New Roman" w:hAnsi="Times New Roman"/>
          <w:color w:val="000000" w:themeColor="text1"/>
          <w:sz w:val="16"/>
          <w:szCs w:val="16"/>
        </w:rPr>
        <w:t>Электросвязьстрою</w:t>
      </w:r>
      <w:proofErr w:type="spellEnd"/>
      <w:r w:rsidRPr="007122AB">
        <w:rPr>
          <w:rFonts w:ascii="Times New Roman" w:hAnsi="Times New Roman"/>
          <w:color w:val="000000" w:themeColor="text1"/>
          <w:sz w:val="16"/>
          <w:szCs w:val="16"/>
        </w:rPr>
        <w:t>» не по плечу выполнить такого рода задачу, не имея для этого ни соответствующего опыта, ни сил, ни средств. Дело было передано на рассмотрение Сектору проверки исполнения ВСНХ, при посредничестве которого в течение лета 1931 г. был проведен ряд совещаний на ленинградских предприятиях с участием заинтересованных сторон. В результате было решено поручить монтаж радиоустановок все же заводу им. Коминтерна (18297).</w:t>
      </w:r>
    </w:p>
    <w:p w14:paraId="6BCD9CD9" w14:textId="77777777" w:rsidR="00EB5899" w:rsidRPr="007122AB" w:rsidRDefault="00EB5899" w:rsidP="007122AB">
      <w:pPr>
        <w:spacing w:after="0" w:line="240" w:lineRule="auto"/>
        <w:jc w:val="both"/>
        <w:rPr>
          <w:rFonts w:ascii="Times New Roman" w:hAnsi="Times New Roman"/>
          <w:color w:val="000000" w:themeColor="text1"/>
          <w:sz w:val="16"/>
          <w:szCs w:val="16"/>
        </w:rPr>
      </w:pPr>
    </w:p>
    <w:p w14:paraId="4A071430" w14:textId="77777777" w:rsidR="0046076A" w:rsidRPr="007122AB" w:rsidRDefault="004607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года испытания системы телеуправления Шорина решили перенести на Черное море. Аппаратуру демонтировали и отправили в Севастополь. Установку аппаратуры на выделенном самолете типа “Дорнье-</w:t>
      </w:r>
      <w:proofErr w:type="spellStart"/>
      <w:r w:rsidRPr="007122AB">
        <w:rPr>
          <w:rFonts w:ascii="Times New Roman" w:hAnsi="Times New Roman"/>
          <w:color w:val="000000" w:themeColor="text1"/>
          <w:sz w:val="16"/>
          <w:szCs w:val="16"/>
        </w:rPr>
        <w:t>Валль</w:t>
      </w:r>
      <w:proofErr w:type="spellEnd"/>
      <w:r w:rsidRPr="007122AB">
        <w:rPr>
          <w:rFonts w:ascii="Times New Roman" w:hAnsi="Times New Roman"/>
          <w:color w:val="000000" w:themeColor="text1"/>
          <w:sz w:val="16"/>
          <w:szCs w:val="16"/>
        </w:rPr>
        <w:t xml:space="preserve">” и торпедном катере Ш-4 провели быстро — П.П. </w:t>
      </w:r>
      <w:proofErr w:type="spellStart"/>
      <w:r w:rsidRPr="007122AB">
        <w:rPr>
          <w:rFonts w:ascii="Times New Roman" w:hAnsi="Times New Roman"/>
          <w:color w:val="000000" w:themeColor="text1"/>
          <w:sz w:val="16"/>
          <w:szCs w:val="16"/>
        </w:rPr>
        <w:t>Литвинским</w:t>
      </w:r>
      <w:proofErr w:type="spellEnd"/>
      <w:r w:rsidRPr="007122AB">
        <w:rPr>
          <w:rFonts w:ascii="Times New Roman" w:hAnsi="Times New Roman"/>
          <w:color w:val="000000" w:themeColor="text1"/>
          <w:sz w:val="16"/>
          <w:szCs w:val="16"/>
        </w:rPr>
        <w:t xml:space="preserve"> еще в проекте было предусмотрено размещение приборов на всех катерах и самолетах, имевшихся на вооружении Морских Сил. В. первые дни на самолете с летчиком В. </w:t>
      </w:r>
      <w:proofErr w:type="spellStart"/>
      <w:r w:rsidRPr="007122AB">
        <w:rPr>
          <w:rFonts w:ascii="Times New Roman" w:hAnsi="Times New Roman"/>
          <w:color w:val="000000" w:themeColor="text1"/>
          <w:sz w:val="16"/>
          <w:szCs w:val="16"/>
        </w:rPr>
        <w:t>Бортновским</w:t>
      </w:r>
      <w:proofErr w:type="spellEnd"/>
      <w:r w:rsidRPr="007122AB">
        <w:rPr>
          <w:rFonts w:ascii="Times New Roman" w:hAnsi="Times New Roman"/>
          <w:color w:val="000000" w:themeColor="text1"/>
          <w:sz w:val="16"/>
          <w:szCs w:val="16"/>
        </w:rPr>
        <w:t xml:space="preserve"> вылетали М. Морозов и радист Н. Михаленко. Управлял катером М. Морозов. На следующем этапе испытаний в Севастополь приехал П.П. </w:t>
      </w:r>
      <w:proofErr w:type="spellStart"/>
      <w:r w:rsidRPr="007122AB">
        <w:rPr>
          <w:rFonts w:ascii="Times New Roman" w:hAnsi="Times New Roman"/>
          <w:color w:val="000000" w:themeColor="text1"/>
          <w:sz w:val="16"/>
          <w:szCs w:val="16"/>
        </w:rPr>
        <w:t>Литвинский</w:t>
      </w:r>
      <w:proofErr w:type="spellEnd"/>
      <w:r w:rsidRPr="007122AB">
        <w:rPr>
          <w:rFonts w:ascii="Times New Roman" w:hAnsi="Times New Roman"/>
          <w:color w:val="000000" w:themeColor="text1"/>
          <w:sz w:val="16"/>
          <w:szCs w:val="16"/>
        </w:rPr>
        <w:t xml:space="preserve"> и привез сконструированные и изготовленные в лаборатории А.Ф. Шорина приборы стабилизации курса катера, запуска и реверсирования двигателей. Начался их монтаж, настройка. Особенно много пришлось повозиться, добиваясь надежной стабилизации курса катера. Оригинальный прибор для этой цели сконструировал П.П. </w:t>
      </w:r>
      <w:proofErr w:type="spellStart"/>
      <w:r w:rsidRPr="007122AB">
        <w:rPr>
          <w:rFonts w:ascii="Times New Roman" w:hAnsi="Times New Roman"/>
          <w:color w:val="000000" w:themeColor="text1"/>
          <w:sz w:val="16"/>
          <w:szCs w:val="16"/>
        </w:rPr>
        <w:t>Литвинский</w:t>
      </w:r>
      <w:proofErr w:type="spellEnd"/>
      <w:r w:rsidRPr="007122AB">
        <w:rPr>
          <w:rFonts w:ascii="Times New Roman" w:hAnsi="Times New Roman"/>
          <w:color w:val="000000" w:themeColor="text1"/>
          <w:sz w:val="16"/>
          <w:szCs w:val="16"/>
        </w:rPr>
        <w:t xml:space="preserve">, использовав гироскопическое устройство торпеды — прибор Обри. Это было новое слово в технике; прообраз авторулевого, который в дальнейшем нашел применение на катерах и подводных лодках, послужил основой для разработки автопилота. Работу новых приборов тщательно проверили на выходах в море. Тогда же определили и наибольшие расстояния, на которых можно управлять катером с самолета. После нескольких контрольных выходов в присутствии прибывшего в Севастополь сотрудника НТК Р.Б. Шварцберга всю аппаратуру отправили в Ленинград. Испытания дали удовлетворительные результаты. Теперь Шорин приступил к работе над модификацией всего комплекса радиоуправления, с тем чтобы обеспечить одновременное управление с одного самолета двумя катерами. А доставленную с Черного моря аппаратуру лаборатория стала готовить к государственным испытаниям. К таким же испытаниям готовило свою аппаратуру и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Здесь от НТК наблюдение за ходом работы вел Я.И. Румянцев. Общим в комплексах А.Ф. Шорина и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был принцип управления торпедным катером по радио. Но имелись й некоторые отличия. Во-первых, командир-оператор и станция управления у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размещались на корабле, а не в воздухе — флот для этого выделил миноносец “Конструктор”. Во-вторых,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включило в состав станции управления специальный счетно-решающий прибор. Выйти в торпедную атаку не так-то просто. Ведь корабль противника маневрирует, а катеру нужно дать торпедный залп на расстоянии всего лишь около одного километра от цели. Но для этого нужно занять такую позицию торпедного залпа, чтобы цель не успела уклониться от несущихся к ней двух торпед. Для выхода в эту позицию командир катера все время делает необходимые расчеты.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решил автоматизировать эти расчеты. В счетно-решающий прибор вводились расстояния и курсовые углы. По ним прибор определял курс и скорость противника и вырабатывал курс выхода торпедного катера в атаку. Оставалось снять с него показания и передать на катер по радио соответствующие команды. Таким образом, в комплексе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курс выхода в атаку катера определялся прибором, а в комплексе А.Ф. Шорина его нужно было рассчитывать самому оператору — на карте или планшете. Создание счетно-решающего прибора для того времени было значительным техническим достижением. Его теоретические основы разработал профессор Военно-морской академии Л.Г. Гончаров, известный специалист в области счетно-решающих устройств (15117).</w:t>
      </w:r>
    </w:p>
    <w:p w14:paraId="0C9E49E3" w14:textId="77777777" w:rsidR="0046076A" w:rsidRPr="007122AB" w:rsidRDefault="0046076A" w:rsidP="007122AB">
      <w:pPr>
        <w:spacing w:after="0" w:line="240" w:lineRule="auto"/>
        <w:jc w:val="both"/>
        <w:rPr>
          <w:rFonts w:ascii="Times New Roman" w:hAnsi="Times New Roman"/>
          <w:color w:val="000000" w:themeColor="text1"/>
          <w:sz w:val="16"/>
          <w:szCs w:val="16"/>
        </w:rPr>
      </w:pPr>
    </w:p>
    <w:p w14:paraId="2F8531C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3D36E7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42B164" w14:textId="77777777" w:rsidR="00B8294A" w:rsidRPr="007122AB" w:rsidRDefault="00B829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как бы в ответ на сталинскую формулу в «Вестнике воздушного флота» появляется статья Н. Хмелевского: «Воздушные силы в третьем году пятилетки». Она была выдержана в духе новых задач, поставленных Наркомвоенмором. Вот некоторые выдержки из нее: «Вооруженные силы пролетарского государства вступили в реконструктивный период своего строительства, в полосу быстрого совершенствования своей боевой подготовки, на базе новой техники и нового «человеческого материала». (…) Третий год пятилетки ставит и ряд практических задач, выдвигает жесткие требования: вести самую решительную борьбу с аварийностью и недисциплинированностью (…). Надо развертыванием (…) самокритики, социалистического соревнования и ударничества, рационализаторского движения и изобретательства путем мобилизации творческой активности (…) – в третьем – решающем году пятилетки добиться и решающих успехов в строительстве и боевом совершенствовании Военных Воздушных сил РККА» (19566).</w:t>
      </w:r>
    </w:p>
    <w:p w14:paraId="769C0618" w14:textId="77777777" w:rsidR="00B8294A" w:rsidRPr="007122AB" w:rsidRDefault="00B8294A" w:rsidP="007122AB">
      <w:pPr>
        <w:spacing w:after="0" w:line="240" w:lineRule="auto"/>
        <w:jc w:val="both"/>
        <w:rPr>
          <w:rFonts w:ascii="Times New Roman" w:hAnsi="Times New Roman"/>
          <w:color w:val="000000" w:themeColor="text1"/>
          <w:sz w:val="16"/>
          <w:szCs w:val="16"/>
        </w:rPr>
      </w:pPr>
    </w:p>
    <w:p w14:paraId="5AA2A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была подготовлена "Система вооружения ВВС РККА на 1932-34 гг." представляла  сумму перспективных заданий на новые самолеты, двигатели, оборудование и вооружение для них. Аналогично были расставлены акценты и в плане опытного самолетостроения и авиационного моторостроения, принятом Реввоенсоветом СССР весной 1931 г.</w:t>
      </w:r>
    </w:p>
    <w:p w14:paraId="2DBF76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первом из этих документов говорилось: "Основной идеей системы стратегической авиации является базирование на тяжелом бомбардировщике с весом 15 - 18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2535A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Таким образом, предполагался постепенный переход ко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еще больший по размерам, но по заданию тоже четырехмоторный (на деле его выполнили </w:t>
      </w:r>
      <w:proofErr w:type="spellStart"/>
      <w:r w:rsidRPr="007122AB">
        <w:rPr>
          <w:rFonts w:ascii="Times New Roman" w:hAnsi="Times New Roman"/>
          <w:color w:val="000000" w:themeColor="text1"/>
          <w:sz w:val="16"/>
          <w:szCs w:val="16"/>
        </w:rPr>
        <w:t>шестимоторным</w:t>
      </w:r>
      <w:proofErr w:type="spellEnd"/>
      <w:r w:rsidRPr="007122AB">
        <w:rPr>
          <w:rFonts w:ascii="Times New Roman" w:hAnsi="Times New Roman"/>
          <w:color w:val="000000" w:themeColor="text1"/>
          <w:sz w:val="16"/>
          <w:szCs w:val="16"/>
        </w:rPr>
        <w:t>) ТБ-4 - "линкор 1-го класса", также являвшийся детищем А.Н. Туполева. "Дублером" ТБ-4 считался К-7, создававшийся в Харькове под руководством К.А. Калинина.</w:t>
      </w:r>
    </w:p>
    <w:p w14:paraId="15689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w:t>
      </w:r>
      <w:proofErr w:type="spellStart"/>
      <w:r w:rsidRPr="007122AB">
        <w:rPr>
          <w:rFonts w:ascii="Times New Roman" w:hAnsi="Times New Roman"/>
          <w:color w:val="000000" w:themeColor="text1"/>
          <w:sz w:val="16"/>
          <w:szCs w:val="16"/>
        </w:rPr>
        <w:t>суперлинкорами</w:t>
      </w:r>
      <w:proofErr w:type="spellEnd"/>
      <w:r w:rsidRPr="007122AB">
        <w:rPr>
          <w:rFonts w:ascii="Times New Roman" w:hAnsi="Times New Roman"/>
          <w:color w:val="000000" w:themeColor="text1"/>
          <w:sz w:val="16"/>
          <w:szCs w:val="16"/>
        </w:rPr>
        <w:t xml:space="preserve">" или "дредноутами". В качестве таковых рассматривались туполевский ТБ-6 либо конкурировавший с ним </w:t>
      </w:r>
      <w:proofErr w:type="spellStart"/>
      <w:r w:rsidRPr="007122AB">
        <w:rPr>
          <w:rFonts w:ascii="Times New Roman" w:hAnsi="Times New Roman"/>
          <w:color w:val="000000" w:themeColor="text1"/>
          <w:sz w:val="16"/>
          <w:szCs w:val="16"/>
        </w:rPr>
        <w:t>десятимоторный</w:t>
      </w:r>
      <w:proofErr w:type="spellEnd"/>
      <w:r w:rsidRPr="007122AB">
        <w:rPr>
          <w:rFonts w:ascii="Times New Roman" w:hAnsi="Times New Roman"/>
          <w:color w:val="000000" w:themeColor="text1"/>
          <w:sz w:val="16"/>
          <w:szCs w:val="16"/>
        </w:rPr>
        <w:t xml:space="preserve"> (по заданию, реально - </w:t>
      </w:r>
      <w:proofErr w:type="spellStart"/>
      <w:r w:rsidRPr="007122AB">
        <w:rPr>
          <w:rFonts w:ascii="Times New Roman" w:hAnsi="Times New Roman"/>
          <w:color w:val="000000" w:themeColor="text1"/>
          <w:sz w:val="16"/>
          <w:szCs w:val="16"/>
        </w:rPr>
        <w:t>двенадцатимоторный</w:t>
      </w:r>
      <w:proofErr w:type="spellEnd"/>
      <w:r w:rsidRPr="007122AB">
        <w:rPr>
          <w:rFonts w:ascii="Times New Roman" w:hAnsi="Times New Roman"/>
          <w:color w:val="000000" w:themeColor="text1"/>
          <w:sz w:val="16"/>
          <w:szCs w:val="16"/>
        </w:rPr>
        <w:t>) Д-l (он же Г-1), разрабатывавшийся в Военно-воздушной академии имени Жуковского. Готовились технические задания на еще большие машины. "Основное развитие бомбардировщиков должно идти по линии стратегической авиации", - указывалось в докладе о перспективах ВВС во 2-й пятилетке (март 1933 г.).</w:t>
      </w:r>
    </w:p>
    <w:p w14:paraId="68E0EF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184AB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военно-транспортные машины или бомбардировщики. Это были ГТБ (бомбовая нагрузка семь тонн), ГТБТ (десять тонн), 9ТБТ (15 тонн) и ГТБ-5 (три тонны).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тонн бомб.</w:t>
      </w:r>
    </w:p>
    <w:p w14:paraId="05DB7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Система стратегической авиации предполагалась двухчленной. В паре с бомбардиров- </w:t>
      </w:r>
      <w:proofErr w:type="spellStart"/>
      <w:r w:rsidRPr="007122AB">
        <w:rPr>
          <w:rFonts w:ascii="Times New Roman" w:hAnsi="Times New Roman"/>
          <w:color w:val="000000" w:themeColor="text1"/>
          <w:sz w:val="16"/>
          <w:szCs w:val="16"/>
        </w:rPr>
        <w:t>щиком</w:t>
      </w:r>
      <w:proofErr w:type="spellEnd"/>
      <w:r w:rsidRPr="007122AB">
        <w:rPr>
          <w:rFonts w:ascii="Times New Roman" w:hAnsi="Times New Roman"/>
          <w:color w:val="000000" w:themeColor="text1"/>
          <w:sz w:val="16"/>
          <w:szCs w:val="16"/>
        </w:rPr>
        <w:t xml:space="preserve">-"линкором" должен был создаваться "крейсер" - неманевренный самолет сопровождения. "Крейсера" имели мощное пуле- </w:t>
      </w:r>
      <w:proofErr w:type="spellStart"/>
      <w:r w:rsidRPr="007122AB">
        <w:rPr>
          <w:rFonts w:ascii="Times New Roman" w:hAnsi="Times New Roman"/>
          <w:color w:val="000000" w:themeColor="text1"/>
          <w:sz w:val="16"/>
          <w:szCs w:val="16"/>
        </w:rPr>
        <w:t>метно</w:t>
      </w:r>
      <w:proofErr w:type="spellEnd"/>
      <w:r w:rsidRPr="007122AB">
        <w:rPr>
          <w:rFonts w:ascii="Times New Roman" w:hAnsi="Times New Roman"/>
          <w:color w:val="000000" w:themeColor="text1"/>
          <w:sz w:val="16"/>
          <w:szCs w:val="16"/>
        </w:rPr>
        <w:t xml:space="preserve">-пушечное вооружение и минимальную бомбовую нагрузку. Такие машины при операциях днем хотели расположить по краям строя бомбардировщиков. Они должны были создавать огневой заслон на пути атакующих истребителей. При отсутствии таковых "крейсера" могли мелкими бомбами или пулеметным огнем подавлять зенитную артиллерию. Предусматривались действия и отдельно от общего строя: на них также возлагались функции доразведки целей и </w:t>
      </w:r>
      <w:proofErr w:type="spellStart"/>
      <w:r w:rsidRPr="007122AB">
        <w:rPr>
          <w:rFonts w:ascii="Times New Roman" w:hAnsi="Times New Roman"/>
          <w:color w:val="000000" w:themeColor="text1"/>
          <w:sz w:val="16"/>
          <w:szCs w:val="16"/>
        </w:rPr>
        <w:t>метеоразведки</w:t>
      </w:r>
      <w:proofErr w:type="spellEnd"/>
      <w:r w:rsidRPr="007122AB">
        <w:rPr>
          <w:rFonts w:ascii="Times New Roman" w:hAnsi="Times New Roman"/>
          <w:color w:val="000000" w:themeColor="text1"/>
          <w:sz w:val="16"/>
          <w:szCs w:val="16"/>
        </w:rPr>
        <w:t xml:space="preserve">. Эти самолеты несли также дозорно- сторожевую службу. Радиолокаторов тогда еще не существовало; </w:t>
      </w:r>
      <w:proofErr w:type="spellStart"/>
      <w:r w:rsidRPr="007122AB">
        <w:rPr>
          <w:rFonts w:ascii="Times New Roman" w:hAnsi="Times New Roman"/>
          <w:color w:val="000000" w:themeColor="text1"/>
          <w:sz w:val="16"/>
          <w:szCs w:val="16"/>
        </w:rPr>
        <w:t>звукопеленгатор</w:t>
      </w:r>
      <w:proofErr w:type="spellEnd"/>
      <w:r w:rsidRPr="007122AB">
        <w:rPr>
          <w:rFonts w:ascii="Times New Roman" w:hAnsi="Times New Roman"/>
          <w:color w:val="000000" w:themeColor="text1"/>
          <w:sz w:val="16"/>
          <w:szCs w:val="16"/>
        </w:rPr>
        <w:t>, применявшийся зенитчиками на земле, на борту был бесполезен из-за шума моторов и винтов. Оставалось выслать вперед и по бокам основного строя тяжелых бомбардировщиков машины охранения, с которых наблюдатели будут докладывать по радио о приближении истребителей противника.</w:t>
      </w:r>
    </w:p>
    <w:p w14:paraId="508B78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базе ТБ-3. Самый маленький "крейсер", для прикрытия самих ТБ-3, унифицировался с двухмоторным бомбардировщиком войсковой авиации.</w:t>
      </w:r>
    </w:p>
    <w:p w14:paraId="11A226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конечном итоге, по мнению Управления ВВС, на вооружении стратегической авиации должны были находиться гиганты с взлетным весом 140- 150 т (этот тип Бузанов именовал собственно "тяжелыми бомбардировщиками"), затем "средние" (с весом 15 - 18 т, примерно как ТБ-3) и "крейсера"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бомбардировщиков, по своим данным примерно соответствовавших ТБ-4 (12024).</w:t>
      </w:r>
    </w:p>
    <w:p w14:paraId="14A6DE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C42B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был принят документ “Система вооружения ВВС РККА на 1932-34 гг.), в которой говорилось: "Основной идеей системы стратегической авиации является базирование на тяжелом бомбардировщике с весом 15-18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60CC8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Таким образом, предполагался постепенный переход к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w:t>
      </w: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больший по размерам, но тоже четырехмоторный (на деле его выполнили </w:t>
      </w:r>
      <w:proofErr w:type="spellStart"/>
      <w:r w:rsidRPr="007122AB">
        <w:rPr>
          <w:rFonts w:ascii="Times New Roman" w:hAnsi="Times New Roman"/>
          <w:color w:val="000000" w:themeColor="text1"/>
          <w:sz w:val="16"/>
          <w:szCs w:val="16"/>
        </w:rPr>
        <w:t>шестимоторным</w:t>
      </w:r>
      <w:proofErr w:type="spellEnd"/>
      <w:r w:rsidRPr="007122AB">
        <w:rPr>
          <w:rFonts w:ascii="Times New Roman" w:hAnsi="Times New Roman"/>
          <w:color w:val="000000" w:themeColor="text1"/>
          <w:sz w:val="16"/>
          <w:szCs w:val="16"/>
        </w:rPr>
        <w:t>) ТБ-4 - "линкор 1-го класса", также являвшийся детищем А.Н. Туполева. "Дублером" ТБ-4 считался К-7, создававшийся в Харькове под руководством К.А. Калинина.</w:t>
      </w:r>
    </w:p>
    <w:p w14:paraId="208D7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w:t>
      </w:r>
      <w:proofErr w:type="spellStart"/>
      <w:r w:rsidRPr="007122AB">
        <w:rPr>
          <w:rFonts w:ascii="Times New Roman" w:hAnsi="Times New Roman"/>
          <w:color w:val="000000" w:themeColor="text1"/>
          <w:sz w:val="16"/>
          <w:szCs w:val="16"/>
        </w:rPr>
        <w:t>суперлинкорами</w:t>
      </w:r>
      <w:proofErr w:type="spellEnd"/>
      <w:r w:rsidRPr="007122AB">
        <w:rPr>
          <w:rFonts w:ascii="Times New Roman" w:hAnsi="Times New Roman"/>
          <w:color w:val="000000" w:themeColor="text1"/>
          <w:sz w:val="16"/>
          <w:szCs w:val="16"/>
        </w:rPr>
        <w:t xml:space="preserve">" или "дредноутами". В качестве таковых рассматривались туполевский ТБ-6 либо конкурировавший с ним </w:t>
      </w:r>
      <w:proofErr w:type="spellStart"/>
      <w:r w:rsidRPr="007122AB">
        <w:rPr>
          <w:rFonts w:ascii="Times New Roman" w:hAnsi="Times New Roman"/>
          <w:color w:val="000000" w:themeColor="text1"/>
          <w:sz w:val="16"/>
          <w:szCs w:val="16"/>
        </w:rPr>
        <w:t>десятимоторный</w:t>
      </w:r>
      <w:proofErr w:type="spellEnd"/>
      <w:r w:rsidRPr="007122AB">
        <w:rPr>
          <w:rFonts w:ascii="Times New Roman" w:hAnsi="Times New Roman"/>
          <w:color w:val="000000" w:themeColor="text1"/>
          <w:sz w:val="16"/>
          <w:szCs w:val="16"/>
        </w:rPr>
        <w:t xml:space="preserve"> (реально - две- </w:t>
      </w:r>
      <w:proofErr w:type="spellStart"/>
      <w:r w:rsidRPr="007122AB">
        <w:rPr>
          <w:rFonts w:ascii="Times New Roman" w:hAnsi="Times New Roman"/>
          <w:color w:val="000000" w:themeColor="text1"/>
          <w:sz w:val="16"/>
          <w:szCs w:val="16"/>
        </w:rPr>
        <w:t>надцатимоторный</w:t>
      </w:r>
      <w:proofErr w:type="spellEnd"/>
      <w:r w:rsidRPr="007122AB">
        <w:rPr>
          <w:rFonts w:ascii="Times New Roman" w:hAnsi="Times New Roman"/>
          <w:color w:val="000000" w:themeColor="text1"/>
          <w:sz w:val="16"/>
          <w:szCs w:val="16"/>
        </w:rPr>
        <w:t>) Д-l (он же Г-1), разрабатывавшийся в Военно-воздушной академии (12036).</w:t>
      </w:r>
    </w:p>
    <w:p w14:paraId="6D785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F8A31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6946A1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6B5C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года И.В.С. провозгласил: «</w:t>
      </w:r>
      <w:r w:rsidRPr="007122AB">
        <w:rPr>
          <w:rFonts w:ascii="Times New Roman" w:hAnsi="Times New Roman"/>
          <w:iCs/>
          <w:color w:val="000000" w:themeColor="text1"/>
          <w:sz w:val="16"/>
          <w:szCs w:val="16"/>
        </w:rPr>
        <w:t xml:space="preserve">Мы отстали от передовых стран на 50-100 лет. Мы должны пробежать это расстояние в десять лет. Либо мы сделаем это, либо нас сомнут». </w:t>
      </w:r>
      <w:r w:rsidRPr="007122AB">
        <w:rPr>
          <w:rFonts w:ascii="Times New Roman" w:hAnsi="Times New Roman"/>
          <w:color w:val="000000" w:themeColor="text1"/>
          <w:sz w:val="16"/>
          <w:szCs w:val="16"/>
        </w:rPr>
        <w:t>Эта знаменитая декларация призвана была идеологически подкрепить амбициозный сталинский проект индустриализации страны. Выдвинутый им лозунг «</w:t>
      </w:r>
      <w:r w:rsidRPr="007122AB">
        <w:rPr>
          <w:rFonts w:ascii="Times New Roman" w:hAnsi="Times New Roman"/>
          <w:iCs/>
          <w:color w:val="000000" w:themeColor="text1"/>
          <w:sz w:val="16"/>
          <w:szCs w:val="16"/>
        </w:rPr>
        <w:t xml:space="preserve">Техника в период реконструкции решает всё» </w:t>
      </w:r>
      <w:r w:rsidRPr="007122AB">
        <w:rPr>
          <w:rFonts w:ascii="Times New Roman" w:hAnsi="Times New Roman"/>
          <w:color w:val="000000" w:themeColor="text1"/>
          <w:sz w:val="16"/>
          <w:szCs w:val="16"/>
        </w:rPr>
        <w:t>действительно стал реальным знамением того времени (12018).</w:t>
      </w:r>
    </w:p>
    <w:p w14:paraId="076283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5662CB" w14:textId="77777777" w:rsidR="00FF3124" w:rsidRPr="007122AB" w:rsidRDefault="00FF3124" w:rsidP="007122AB">
      <w:pPr>
        <w:pStyle w:val="rtejustify"/>
        <w:spacing w:before="0" w:after="0"/>
        <w:rPr>
          <w:color w:val="000000" w:themeColor="text1"/>
          <w:sz w:val="16"/>
          <w:szCs w:val="16"/>
        </w:rPr>
      </w:pPr>
      <w:r w:rsidRPr="007122AB">
        <w:rPr>
          <w:color w:val="000000" w:themeColor="text1"/>
          <w:sz w:val="16"/>
          <w:szCs w:val="16"/>
        </w:rPr>
        <w:t>В феврале 1931 г. из НКПС СССР в самостоятельную отрасль выделился водный транспорт. Был создан Наркомат водного транспорта СССР (</w:t>
      </w:r>
      <w:proofErr w:type="spellStart"/>
      <w:r w:rsidRPr="007122AB">
        <w:rPr>
          <w:color w:val="000000" w:themeColor="text1"/>
          <w:sz w:val="16"/>
          <w:szCs w:val="16"/>
        </w:rPr>
        <w:t>Наркомвод</w:t>
      </w:r>
      <w:proofErr w:type="spellEnd"/>
      <w:r w:rsidRPr="007122AB">
        <w:rPr>
          <w:color w:val="000000" w:themeColor="text1"/>
          <w:sz w:val="16"/>
          <w:szCs w:val="16"/>
        </w:rPr>
        <w:t>), на который было возложено руководство речным и морским транспортом СССР, под его начало поступили все судоходные пути, торговый флот и Экспедиция подводных работ особого назначения. В этом же, 1931 г., из НКПС в самостоятельную отрасль управления были выделены автотранспорт и дороги, создано Всесоюзное центральное управление шоссейных и грунтовых дорог и автомобильного транспорта (</w:t>
      </w:r>
      <w:proofErr w:type="spellStart"/>
      <w:r w:rsidRPr="007122AB">
        <w:rPr>
          <w:color w:val="000000" w:themeColor="text1"/>
          <w:sz w:val="16"/>
          <w:szCs w:val="16"/>
        </w:rPr>
        <w:t>Цудортранс</w:t>
      </w:r>
      <w:proofErr w:type="spellEnd"/>
      <w:r w:rsidRPr="007122AB">
        <w:rPr>
          <w:color w:val="000000" w:themeColor="text1"/>
          <w:sz w:val="16"/>
          <w:szCs w:val="16"/>
        </w:rPr>
        <w:t>) при СНК СССР (12268).</w:t>
      </w:r>
    </w:p>
    <w:p w14:paraId="3219080C" w14:textId="77777777" w:rsidR="00FF3124" w:rsidRPr="007122AB" w:rsidRDefault="00FF3124" w:rsidP="007122AB">
      <w:pPr>
        <w:pStyle w:val="rtejustify"/>
        <w:spacing w:before="0" w:after="0"/>
        <w:rPr>
          <w:color w:val="000000" w:themeColor="text1"/>
          <w:sz w:val="16"/>
          <w:szCs w:val="16"/>
        </w:rPr>
      </w:pPr>
    </w:p>
    <w:p w14:paraId="055689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ввели обязательные трудовые книжки (1348,199).</w:t>
      </w:r>
    </w:p>
    <w:p w14:paraId="63DF3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F1F707" w14:textId="77777777" w:rsidR="00B8294A" w:rsidRPr="007122AB" w:rsidRDefault="00B829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Февраль 1931. Введение трудовых книжек для работающих в промышленности (18724).</w:t>
      </w:r>
    </w:p>
    <w:p w14:paraId="519E7D6A" w14:textId="77777777" w:rsidR="00B8294A" w:rsidRPr="007122AB" w:rsidRDefault="00B8294A" w:rsidP="007122AB">
      <w:pPr>
        <w:spacing w:after="0" w:line="240" w:lineRule="auto"/>
        <w:jc w:val="both"/>
        <w:rPr>
          <w:rFonts w:ascii="Times New Roman" w:hAnsi="Times New Roman"/>
          <w:color w:val="000000" w:themeColor="text1"/>
          <w:sz w:val="16"/>
          <w:szCs w:val="16"/>
        </w:rPr>
      </w:pPr>
    </w:p>
    <w:p w14:paraId="483E3C5A" w14:textId="77777777" w:rsidR="00B03615" w:rsidRPr="007122AB" w:rsidRDefault="00B03615"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1932 введены трудовые книжки для промышленных рабочих (12629).</w:t>
      </w:r>
    </w:p>
    <w:p w14:paraId="169E114E" w14:textId="77777777" w:rsidR="00B8294A" w:rsidRPr="007122AB" w:rsidRDefault="00B8294A" w:rsidP="007122AB">
      <w:pPr>
        <w:autoSpaceDE w:val="0"/>
        <w:autoSpaceDN w:val="0"/>
        <w:adjustRightInd w:val="0"/>
        <w:spacing w:after="0" w:line="240" w:lineRule="auto"/>
        <w:jc w:val="both"/>
        <w:rPr>
          <w:rFonts w:ascii="Times New Roman" w:hAnsi="Times New Roman"/>
          <w:color w:val="000000" w:themeColor="text1"/>
          <w:sz w:val="16"/>
          <w:szCs w:val="16"/>
        </w:rPr>
      </w:pPr>
    </w:p>
    <w:p w14:paraId="490A9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было дело "Украинского национального центра". Основные обвинения К.А.К. - связь с Директорией и </w:t>
      </w:r>
      <w:proofErr w:type="spellStart"/>
      <w:r w:rsidRPr="007122AB">
        <w:rPr>
          <w:rFonts w:ascii="Times New Roman" w:hAnsi="Times New Roman"/>
          <w:color w:val="000000" w:themeColor="text1"/>
          <w:sz w:val="16"/>
          <w:szCs w:val="16"/>
        </w:rPr>
        <w:t>эсерство</w:t>
      </w:r>
      <w:proofErr w:type="spellEnd"/>
      <w:r w:rsidRPr="007122AB">
        <w:rPr>
          <w:rFonts w:ascii="Times New Roman" w:hAnsi="Times New Roman"/>
          <w:color w:val="000000" w:themeColor="text1"/>
          <w:sz w:val="16"/>
          <w:szCs w:val="16"/>
        </w:rPr>
        <w:t xml:space="preserve"> (70,219).</w:t>
      </w:r>
    </w:p>
    <w:p w14:paraId="3570A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99E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года руководство чекистской работой в лагерях ОГПУ передано СОУ ОГПУ (8983).</w:t>
      </w:r>
    </w:p>
    <w:p w14:paraId="30722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5C6D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5DC14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FBED5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французы на построенном в 1930 году «Блерио» 110» выполнили по</w:t>
      </w:r>
      <w:r w:rsidRPr="007122AB">
        <w:rPr>
          <w:rFonts w:ascii="Times New Roman" w:hAnsi="Times New Roman"/>
          <w:color w:val="000000" w:themeColor="text1"/>
          <w:sz w:val="16"/>
          <w:szCs w:val="16"/>
        </w:rPr>
        <w:softHyphen/>
        <w:t>лет по замкнутому маршруту на расстояние 8822,325 км (12725).</w:t>
      </w:r>
    </w:p>
    <w:tbl>
      <w:tblPr>
        <w:tblW w:w="0" w:type="auto"/>
        <w:tblLayout w:type="fixed"/>
        <w:tblCellMar>
          <w:left w:w="10" w:type="dxa"/>
          <w:right w:w="10" w:type="dxa"/>
        </w:tblCellMar>
        <w:tblLook w:val="04A0" w:firstRow="1" w:lastRow="0" w:firstColumn="1" w:lastColumn="0" w:noHBand="0" w:noVBand="1"/>
      </w:tblPr>
      <w:tblGrid>
        <w:gridCol w:w="2988"/>
        <w:gridCol w:w="1530"/>
        <w:gridCol w:w="1530"/>
        <w:gridCol w:w="1534"/>
      </w:tblGrid>
      <w:tr w:rsidR="007122AB" w:rsidRPr="007122AB" w14:paraId="0EA80827" w14:textId="77777777" w:rsidTr="003562F3">
        <w:trPr>
          <w:trHeight w:val="30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9CC9F15" w14:textId="77777777" w:rsidR="003562F3" w:rsidRPr="007122AB" w:rsidRDefault="003562F3"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Самолет</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9FFD43A" w14:textId="77777777" w:rsidR="003562F3" w:rsidRPr="007122AB" w:rsidRDefault="003562F3"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«Блерио 110»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7D889D" w14:textId="77777777" w:rsidR="003562F3" w:rsidRPr="007122AB" w:rsidRDefault="003562F3"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«Бернар 80»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48EEDD2E" w14:textId="77777777" w:rsidR="003562F3" w:rsidRPr="007122AB" w:rsidRDefault="003562F3"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w:t>
            </w:r>
            <w:proofErr w:type="spellStart"/>
            <w:r w:rsidRPr="007122AB">
              <w:rPr>
                <w:rFonts w:ascii="Times New Roman" w:hAnsi="Times New Roman" w:cs="Times New Roman"/>
                <w:color w:val="000000" w:themeColor="text1"/>
              </w:rPr>
              <w:t>Девуатин</w:t>
            </w:r>
            <w:proofErr w:type="spellEnd"/>
            <w:r w:rsidRPr="007122AB">
              <w:rPr>
                <w:rFonts w:ascii="Times New Roman" w:hAnsi="Times New Roman" w:cs="Times New Roman"/>
                <w:color w:val="000000" w:themeColor="text1"/>
              </w:rPr>
              <w:t>» Д-33</w:t>
            </w:r>
          </w:p>
        </w:tc>
      </w:tr>
      <w:tr w:rsidR="007122AB" w:rsidRPr="007122AB" w14:paraId="067E95CC" w14:textId="77777777" w:rsidTr="003562F3">
        <w:trPr>
          <w:trHeight w:val="29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F4D7CDC"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Год</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ABBE2B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4F50AFA"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57B2EEC3"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w:t>
            </w:r>
          </w:p>
        </w:tc>
      </w:tr>
      <w:tr w:rsidR="007122AB" w:rsidRPr="007122AB" w14:paraId="6202AA7B"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1455640"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w:t>
            </w:r>
          </w:p>
        </w:tc>
        <w:tc>
          <w:tcPr>
            <w:tcW w:w="4594" w:type="dxa"/>
            <w:gridSpan w:val="3"/>
            <w:tcBorders>
              <w:top w:val="single" w:sz="4" w:space="0" w:color="auto"/>
              <w:left w:val="single" w:sz="4" w:space="0" w:color="auto"/>
              <w:bottom w:val="single" w:sz="4" w:space="0" w:color="auto"/>
              <w:right w:val="single" w:sz="4" w:space="0" w:color="auto"/>
            </w:tcBorders>
            <w:shd w:val="clear" w:color="auto" w:fill="FFFFFF"/>
          </w:tcPr>
          <w:p w14:paraId="1C0AB65C"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12Nbrs</w:t>
            </w:r>
          </w:p>
        </w:tc>
      </w:tr>
      <w:tr w:rsidR="007122AB" w:rsidRPr="007122AB" w14:paraId="04F0A08E"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1B532054"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л.с.</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0C02B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AD11C44"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3364B38"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r>
      <w:tr w:rsidR="007122AB" w:rsidRPr="007122AB" w14:paraId="140C90BA" w14:textId="77777777" w:rsidTr="003562F3">
        <w:trPr>
          <w:trHeight w:val="30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1E4C08C8"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крыла, 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5F9A60A"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26,5</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563AF1E"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25,5</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4C41D170"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w:t>
            </w:r>
          </w:p>
        </w:tc>
      </w:tr>
      <w:tr w:rsidR="007122AB" w:rsidRPr="007122AB" w14:paraId="018A277E"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118FDA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Площадь крыла, м</w:t>
            </w:r>
            <w:r w:rsidRPr="007122AB">
              <w:rPr>
                <w:rFonts w:ascii="Times New Roman" w:hAnsi="Times New Roman"/>
                <w:color w:val="000000" w:themeColor="text1"/>
                <w:sz w:val="16"/>
                <w:szCs w:val="16"/>
                <w:vertAlign w:val="superscript"/>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C7871E"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97847B"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52C242D1"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78,3</w:t>
            </w:r>
          </w:p>
        </w:tc>
      </w:tr>
      <w:tr w:rsidR="007122AB" w:rsidRPr="007122AB" w14:paraId="4DA1AC54" w14:textId="77777777" w:rsidTr="003562F3">
        <w:trPr>
          <w:trHeight w:val="270"/>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2C19BEE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2BD6B40"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8600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7C8589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0BFB957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9800"</w:t>
            </w:r>
          </w:p>
        </w:tc>
      </w:tr>
      <w:tr w:rsidR="007122AB" w:rsidRPr="007122AB" w14:paraId="28A82373" w14:textId="77777777" w:rsidTr="003562F3">
        <w:trPr>
          <w:trHeight w:val="263"/>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E5CF1E6"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EB8E729" w14:textId="77777777" w:rsidR="003562F3" w:rsidRPr="007122AB" w:rsidRDefault="003562F3" w:rsidP="007122AB">
            <w:pPr>
              <w:pStyle w:val="213"/>
              <w:shd w:val="clear" w:color="auto" w:fill="auto"/>
              <w:spacing w:after="0" w:line="240" w:lineRule="auto"/>
              <w:jc w:val="both"/>
              <w:rPr>
                <w:rFonts w:ascii="Times New Roman" w:hAnsi="Times New Roman"/>
                <w:color w:val="000000" w:themeColor="text1"/>
                <w:szCs w:val="16"/>
              </w:rPr>
            </w:pPr>
            <w:r w:rsidRPr="007122AB">
              <w:rPr>
                <w:rFonts w:ascii="Times New Roman" w:hAnsi="Times New Roman"/>
                <w:color w:val="000000" w:themeColor="text1"/>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88EB3B"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DB52061"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r>
      <w:tr w:rsidR="007122AB" w:rsidRPr="007122AB" w14:paraId="41F33D79"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564B02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топлива,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2C64C38"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C66AC7A"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69F39DA2"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6340-'</w:t>
            </w:r>
          </w:p>
        </w:tc>
      </w:tr>
      <w:tr w:rsidR="007122AB" w:rsidRPr="007122AB" w14:paraId="50CD134F" w14:textId="77777777" w:rsidTr="003562F3">
        <w:trPr>
          <w:trHeight w:val="48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2B8A1AD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w:t>
            </w:r>
          </w:p>
          <w:p w14:paraId="6C3428FB"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у земли, км/ч</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815099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A1DA89E"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6EDA892A"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r>
      <w:tr w:rsidR="007122AB" w:rsidRPr="007122AB" w14:paraId="2F4DA010"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666A8BB3"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высоты, мин.</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07E2F3E"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3E70F81"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24A8141"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53/6000 м</w:t>
            </w:r>
          </w:p>
        </w:tc>
      </w:tr>
      <w:tr w:rsidR="007122AB" w:rsidRPr="007122AB" w14:paraId="438AFE51" w14:textId="77777777" w:rsidTr="003562F3">
        <w:trPr>
          <w:trHeight w:val="263"/>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0024C9E"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расчетная, км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3423C31"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13 000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F0BE1C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13 000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25E0FE5D"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11 000</w:t>
            </w:r>
          </w:p>
        </w:tc>
      </w:tr>
      <w:tr w:rsidR="007122AB" w:rsidRPr="007122AB" w14:paraId="6F0C8CBD" w14:textId="77777777" w:rsidTr="003562F3">
        <w:trPr>
          <w:trHeight w:val="270"/>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64B3CAC"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Разбег, 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F6364C1"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31D2AE3" w14:textId="77777777" w:rsidR="003562F3" w:rsidRPr="007122AB" w:rsidRDefault="003562F3" w:rsidP="007122AB">
            <w:pPr>
              <w:pStyle w:val="221"/>
              <w:shd w:val="clear" w:color="auto" w:fill="auto"/>
              <w:spacing w:line="240" w:lineRule="auto"/>
              <w:jc w:val="both"/>
              <w:rPr>
                <w:color w:val="000000" w:themeColor="text1"/>
                <w:sz w:val="16"/>
                <w:szCs w:val="16"/>
              </w:rPr>
            </w:pPr>
            <w:r w:rsidRPr="007122AB">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01031A1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1700</w:t>
            </w:r>
          </w:p>
        </w:tc>
      </w:tr>
      <w:tr w:rsidR="007122AB" w:rsidRPr="007122AB" w14:paraId="54149945" w14:textId="77777777" w:rsidTr="003562F3">
        <w:trPr>
          <w:trHeight w:val="281"/>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F802B31"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чел.</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305D7D6"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235E8D6"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39322725"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bl>
    <w:p w14:paraId="3548DC4F" w14:textId="77777777" w:rsidR="003562F3" w:rsidRPr="007122AB" w:rsidRDefault="003562F3" w:rsidP="007122AB">
      <w:pPr>
        <w:pStyle w:val="aff1"/>
        <w:shd w:val="clear" w:color="auto" w:fill="auto"/>
        <w:spacing w:line="240" w:lineRule="auto"/>
        <w:rPr>
          <w:rFonts w:ascii="Times New Roman" w:hAnsi="Times New Roman" w:cs="Times New Roman"/>
          <w:i w:val="0"/>
          <w:color w:val="000000" w:themeColor="text1"/>
          <w:sz w:val="16"/>
          <w:szCs w:val="16"/>
          <w:lang w:val="ru-RU"/>
        </w:rPr>
      </w:pPr>
      <w:r w:rsidRPr="007122AB">
        <w:rPr>
          <w:rFonts w:ascii="Times New Roman" w:hAnsi="Times New Roman" w:cs="Times New Roman"/>
          <w:i w:val="0"/>
          <w:color w:val="000000" w:themeColor="text1"/>
          <w:sz w:val="16"/>
          <w:szCs w:val="16"/>
          <w:lang w:val="ru-RU"/>
        </w:rPr>
        <w:t>Примечания: 1) — по другим данным, 9200. 2) — по другим данным, 5600 кг (12725).</w:t>
      </w:r>
    </w:p>
    <w:p w14:paraId="4738A049" w14:textId="77777777" w:rsidR="003562F3" w:rsidRPr="007122AB" w:rsidRDefault="003562F3" w:rsidP="007122AB">
      <w:pPr>
        <w:spacing w:after="0" w:line="240" w:lineRule="auto"/>
        <w:jc w:val="both"/>
        <w:rPr>
          <w:rFonts w:ascii="Times New Roman" w:hAnsi="Times New Roman"/>
          <w:color w:val="000000" w:themeColor="text1"/>
          <w:sz w:val="16"/>
          <w:szCs w:val="16"/>
        </w:rPr>
      </w:pPr>
    </w:p>
    <w:p w14:paraId="1484CC07" w14:textId="77777777" w:rsidR="004742EE" w:rsidRPr="007122AB" w:rsidRDefault="004742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1931, вылетев из Орана во французском Алжире, французские авиаторы Антуан </w:t>
      </w:r>
      <w:proofErr w:type="spellStart"/>
      <w:r w:rsidRPr="007122AB">
        <w:rPr>
          <w:rFonts w:ascii="Times New Roman" w:hAnsi="Times New Roman"/>
          <w:color w:val="000000" w:themeColor="text1"/>
          <w:sz w:val="16"/>
          <w:szCs w:val="16"/>
        </w:rPr>
        <w:t>Пайяр</w:t>
      </w:r>
      <w:proofErr w:type="spellEnd"/>
      <w:r w:rsidRPr="007122AB">
        <w:rPr>
          <w:rFonts w:ascii="Times New Roman" w:hAnsi="Times New Roman"/>
          <w:color w:val="000000" w:themeColor="text1"/>
          <w:sz w:val="16"/>
          <w:szCs w:val="16"/>
        </w:rPr>
        <w:t xml:space="preserve"> и Луи </w:t>
      </w:r>
      <w:proofErr w:type="spellStart"/>
      <w:r w:rsidRPr="007122AB">
        <w:rPr>
          <w:rFonts w:ascii="Times New Roman" w:hAnsi="Times New Roman"/>
          <w:color w:val="000000" w:themeColor="text1"/>
          <w:sz w:val="16"/>
          <w:szCs w:val="16"/>
        </w:rPr>
        <w:t>Майлу</w:t>
      </w:r>
      <w:proofErr w:type="spellEnd"/>
      <w:r w:rsidRPr="007122AB">
        <w:rPr>
          <w:rFonts w:ascii="Times New Roman" w:hAnsi="Times New Roman"/>
          <w:color w:val="000000" w:themeColor="text1"/>
          <w:sz w:val="16"/>
          <w:szCs w:val="16"/>
        </w:rPr>
        <w:t xml:space="preserve"> пролетели 15 километров (9,3 мили) по кругу более 50 часов на </w:t>
      </w:r>
      <w:proofErr w:type="spellStart"/>
      <w:r w:rsidRPr="007122AB">
        <w:rPr>
          <w:rFonts w:ascii="Times New Roman" w:hAnsi="Times New Roman"/>
          <w:color w:val="000000" w:themeColor="text1"/>
          <w:sz w:val="16"/>
          <w:szCs w:val="16"/>
        </w:rPr>
        <w:t>Bernard</w:t>
      </w:r>
      <w:proofErr w:type="spellEnd"/>
      <w:r w:rsidRPr="007122AB">
        <w:rPr>
          <w:rFonts w:ascii="Times New Roman" w:hAnsi="Times New Roman"/>
          <w:color w:val="000000" w:themeColor="text1"/>
          <w:sz w:val="16"/>
          <w:szCs w:val="16"/>
        </w:rPr>
        <w:t xml:space="preserve"> 80 GR, пытаясь установить новый мировой рекорд дальности без дозаправки без остановок на замкнутой трассе. Они преодолевают 8168 километров (5076 миль), прежде чем из-за более высокого, чем ожидалось, расхода топлива они приземляются всего на 20 километров (12,4 мили) меньше рекорда (20804).</w:t>
      </w:r>
    </w:p>
    <w:p w14:paraId="4593E11D" w14:textId="77777777" w:rsidR="004742EE" w:rsidRPr="007122AB" w:rsidRDefault="004742EE" w:rsidP="007122AB">
      <w:pPr>
        <w:spacing w:after="0" w:line="240" w:lineRule="auto"/>
        <w:jc w:val="both"/>
        <w:rPr>
          <w:rFonts w:ascii="Times New Roman" w:hAnsi="Times New Roman"/>
          <w:color w:val="000000" w:themeColor="text1"/>
          <w:sz w:val="16"/>
          <w:szCs w:val="16"/>
        </w:rPr>
      </w:pPr>
    </w:p>
    <w:p w14:paraId="6269E5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года «Лос-Анджелес» принял участие в больших маневрах тихоокеанского флота у западного берега Панамского канала. Дирижабль действовал с причальной вышки танкера «Патока». «Лос-Анджелес» отличился: ему удалось обнаружить соединение «вражеских» кораблей, которые хотели напасть на канал и скрытно наблюдать за кораблями в течение нескольких часов. Но как только он сам был обнаружен, «вражеские» самолеты не оставили ему никаких шансов. Один из [425] них набрал высоту и стремительно атаковал ZR-3 сверху, имитировав сброс бомбы столь правдоподобно, что посредники признали дирижабль «уничтоженным» (11324).</w:t>
      </w:r>
    </w:p>
    <w:p w14:paraId="139005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39C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период по 1931 с 1923 </w:t>
      </w:r>
      <w:proofErr w:type="spellStart"/>
      <w:r w:rsidRPr="007122AB">
        <w:rPr>
          <w:rFonts w:ascii="Times New Roman" w:hAnsi="Times New Roman"/>
          <w:color w:val="000000" w:themeColor="text1"/>
          <w:sz w:val="16"/>
          <w:szCs w:val="16"/>
        </w:rPr>
        <w:t>годп</w:t>
      </w:r>
      <w:proofErr w:type="spellEnd"/>
      <w:r w:rsidRPr="007122AB">
        <w:rPr>
          <w:rFonts w:ascii="Times New Roman" w:hAnsi="Times New Roman"/>
          <w:color w:val="000000" w:themeColor="text1"/>
          <w:sz w:val="16"/>
          <w:szCs w:val="16"/>
        </w:rPr>
        <w:t xml:space="preserve"> американские ВМФ имели на вооружении практически два боеготовых воздушных корабля — «Шенандоа» и «Лос-Анджелес». Их основным назначением было повышение выучки экипажей в управлении большими дирижаблями и совершенствование тактики совместного применения дирижаблей и кораблей. Однако большинство драгоценных летных часов было истрачено на показательные полеты, участие в торжествах и праздниках. Эти пропагандистские мероприятия имели и свою позитивную сторону. Несмотря на катастрофы, которые впоследствии произошли с «Шенандоа» и ZR-2 (R.38), такие выступления поддерживали внимание общественности к воздухоплаванию. </w:t>
      </w:r>
    </w:p>
    <w:p w14:paraId="1E31B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Командование американского военно-морского флота видело в больших дирижаблях единственное средство для контроля Тихого океана, средство, которое не было ограничено действующими международными соглашениями о морском вооружении. Вашингтонская конференция по морским силам, которая состоялась в 1922 году, установила соотношение сил между тремя великими морскими державами — Великобританией, США и Японией в пропорции — 5:5:3. Огромное океаническое пространство от </w:t>
      </w:r>
      <w:proofErr w:type="spellStart"/>
      <w:r w:rsidRPr="007122AB">
        <w:rPr>
          <w:rFonts w:ascii="Times New Roman" w:hAnsi="Times New Roman"/>
          <w:color w:val="000000" w:themeColor="text1"/>
          <w:sz w:val="16"/>
          <w:szCs w:val="16"/>
        </w:rPr>
        <w:t>Пирл</w:t>
      </w:r>
      <w:proofErr w:type="spellEnd"/>
      <w:r w:rsidRPr="007122AB">
        <w:rPr>
          <w:rFonts w:ascii="Times New Roman" w:hAnsi="Times New Roman"/>
          <w:color w:val="000000" w:themeColor="text1"/>
          <w:sz w:val="16"/>
          <w:szCs w:val="16"/>
        </w:rPr>
        <w:t xml:space="preserve">-Харбора до японских островов контролировали всего десять крейсеров типа «Омаха» вместо необходимых сорока, что было явно недостаточно, учитывая геополитические интересы Соединенных Штатов. </w:t>
      </w:r>
    </w:p>
    <w:p w14:paraId="737F4A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со взглядами того времени флотилия морских дирижаблей [426] могла бы эффективно заменить корабли в деле дальней морской разведки, а так как дирижабли не фигурировали в таблицах боевых кораблей, то не были бы нарушены и Вашингтонские соглашения (11324).</w:t>
      </w:r>
    </w:p>
    <w:p w14:paraId="7549F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AC06A3" w14:textId="77777777" w:rsidR="00BD06CF" w:rsidRPr="00441F34" w:rsidRDefault="00BD06CF" w:rsidP="00BD06C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феврале 1931 г. Министерство транспорта Рейха (</w:t>
      </w:r>
      <w:proofErr w:type="spellStart"/>
      <w:r w:rsidRPr="00441F34">
        <w:rPr>
          <w:rFonts w:ascii="Times New Roman" w:hAnsi="Times New Roman"/>
          <w:color w:val="0070C0"/>
          <w:sz w:val="16"/>
          <w:szCs w:val="16"/>
        </w:rPr>
        <w:t>Reichsverkehrsministerium</w:t>
      </w:r>
      <w:proofErr w:type="spellEnd"/>
      <w:r w:rsidRPr="00441F34">
        <w:rPr>
          <w:rFonts w:ascii="Times New Roman" w:hAnsi="Times New Roman"/>
          <w:color w:val="0070C0"/>
          <w:sz w:val="16"/>
          <w:szCs w:val="16"/>
        </w:rPr>
        <w:t>, RVM) выдало сертификат летной годности самолету Ju-52, одновременно присвоив ему гражданский регистрационный номер D-1974. Новейший транспортный самолет был представлен прессе 17 февраля 1931 г. на аэродроме Берлин-</w:t>
      </w:r>
      <w:proofErr w:type="spellStart"/>
      <w:r w:rsidRPr="00441F34">
        <w:rPr>
          <w:rFonts w:ascii="Times New Roman" w:hAnsi="Times New Roman"/>
          <w:color w:val="0070C0"/>
          <w:sz w:val="16"/>
          <w:szCs w:val="16"/>
        </w:rPr>
        <w:t>Темпельхоф</w:t>
      </w:r>
      <w:proofErr w:type="spellEnd"/>
      <w:r w:rsidRPr="00441F34">
        <w:rPr>
          <w:rFonts w:ascii="Times New Roman" w:hAnsi="Times New Roman"/>
          <w:color w:val="0070C0"/>
          <w:sz w:val="16"/>
          <w:szCs w:val="16"/>
        </w:rPr>
        <w:t>, машину подавали как «летающий товарный вагон». Самолет получил в печати прекрасные отзывы, но коммерческий успех машины не состоялся по причине всемирного экономического кризиса начала 30-х годов. Не было получено ни одного заказа от авиакомпаний (24200).</w:t>
      </w:r>
    </w:p>
    <w:p w14:paraId="63879978" w14:textId="77777777" w:rsidR="00BD06CF" w:rsidRPr="00441F34" w:rsidRDefault="00BD06CF" w:rsidP="00BD06CF">
      <w:pPr>
        <w:spacing w:after="0" w:line="240" w:lineRule="auto"/>
        <w:jc w:val="both"/>
        <w:rPr>
          <w:rFonts w:ascii="Times New Roman" w:hAnsi="Times New Roman"/>
          <w:color w:val="0070C0"/>
          <w:sz w:val="16"/>
          <w:szCs w:val="16"/>
        </w:rPr>
      </w:pPr>
    </w:p>
    <w:p w14:paraId="31F36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1931 г. в Испании было восстановлено действие Конституции (3871).</w:t>
      </w:r>
    </w:p>
    <w:p w14:paraId="60DB6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59ED9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0FC99D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5A69A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феврале-марте 1931 г. был подготовлен документ «Система вооруже</w:t>
      </w:r>
      <w:r w:rsidRPr="007122AB">
        <w:rPr>
          <w:rFonts w:ascii="Times New Roman" w:hAnsi="Times New Roman"/>
          <w:color w:val="000000" w:themeColor="text1"/>
          <w:sz w:val="16"/>
          <w:szCs w:val="16"/>
        </w:rPr>
        <w:softHyphen/>
        <w:t>ния ВВС РККА на 1932-34 гг.» предус</w:t>
      </w:r>
      <w:r w:rsidRPr="007122AB">
        <w:rPr>
          <w:rFonts w:ascii="Times New Roman" w:hAnsi="Times New Roman"/>
          <w:color w:val="000000" w:themeColor="text1"/>
          <w:sz w:val="16"/>
          <w:szCs w:val="16"/>
        </w:rPr>
        <w:softHyphen/>
        <w:t>матривалось проектирование целой гаммы гигантских бомбовозов с бомбо</w:t>
      </w:r>
      <w:r w:rsidRPr="007122AB">
        <w:rPr>
          <w:rFonts w:ascii="Times New Roman" w:hAnsi="Times New Roman"/>
          <w:color w:val="000000" w:themeColor="text1"/>
          <w:sz w:val="16"/>
          <w:szCs w:val="16"/>
        </w:rPr>
        <w:softHyphen/>
        <w:t>вой нагрузкой до 30 т. Вершиной этой концепции явилось задание на сверхтя</w:t>
      </w:r>
      <w:r w:rsidRPr="007122AB">
        <w:rPr>
          <w:rFonts w:ascii="Times New Roman" w:hAnsi="Times New Roman"/>
          <w:color w:val="000000" w:themeColor="text1"/>
          <w:sz w:val="16"/>
          <w:szCs w:val="16"/>
        </w:rPr>
        <w:softHyphen/>
        <w:t>желый бомбардировщик («летающее крыло») СТБ с нормальным радиусом действия не менее 2500 км. На эту ма</w:t>
      </w:r>
      <w:r w:rsidRPr="007122AB">
        <w:rPr>
          <w:rFonts w:ascii="Times New Roman" w:hAnsi="Times New Roman"/>
          <w:color w:val="000000" w:themeColor="text1"/>
          <w:sz w:val="16"/>
          <w:szCs w:val="16"/>
        </w:rPr>
        <w:softHyphen/>
        <w:t>шину возлагалась задача «разрушения и уничтожения объектов противника исключительной важности (Мальта, Суэц...)». В рамках этой программы строились опытные многомоторные бомбардировщики ТБ-4 и К-7, проек</w:t>
      </w:r>
      <w:r w:rsidRPr="007122AB">
        <w:rPr>
          <w:rFonts w:ascii="Times New Roman" w:hAnsi="Times New Roman"/>
          <w:color w:val="000000" w:themeColor="text1"/>
          <w:sz w:val="16"/>
          <w:szCs w:val="16"/>
        </w:rPr>
        <w:softHyphen/>
        <w:t>тировались еще большие ТБ-6 и ТБ-7. В начале 30-х годов такой категории, как «дальний бомбардировщик», в со</w:t>
      </w:r>
      <w:r w:rsidRPr="007122AB">
        <w:rPr>
          <w:rFonts w:ascii="Times New Roman" w:hAnsi="Times New Roman"/>
          <w:color w:val="000000" w:themeColor="text1"/>
          <w:sz w:val="16"/>
          <w:szCs w:val="16"/>
        </w:rPr>
        <w:softHyphen/>
        <w:t>ставе советской авиации не было. На</w:t>
      </w:r>
      <w:r w:rsidRPr="007122AB">
        <w:rPr>
          <w:rFonts w:ascii="Times New Roman" w:hAnsi="Times New Roman"/>
          <w:color w:val="000000" w:themeColor="text1"/>
          <w:sz w:val="16"/>
          <w:szCs w:val="16"/>
        </w:rPr>
        <w:softHyphen/>
        <w:t>несение ударов по целям в глубоком ты</w:t>
      </w:r>
      <w:r w:rsidRPr="007122AB">
        <w:rPr>
          <w:rFonts w:ascii="Times New Roman" w:hAnsi="Times New Roman"/>
          <w:color w:val="000000" w:themeColor="text1"/>
          <w:sz w:val="16"/>
          <w:szCs w:val="16"/>
        </w:rPr>
        <w:softHyphen/>
        <w:t>лу противника возлагалось на соедине</w:t>
      </w:r>
      <w:r w:rsidRPr="007122AB">
        <w:rPr>
          <w:rFonts w:ascii="Times New Roman" w:hAnsi="Times New Roman"/>
          <w:color w:val="000000" w:themeColor="text1"/>
          <w:sz w:val="16"/>
          <w:szCs w:val="16"/>
        </w:rPr>
        <w:softHyphen/>
        <w:t>ния тяжелых бомбардировщиков. Ос</w:t>
      </w:r>
      <w:r w:rsidRPr="007122AB">
        <w:rPr>
          <w:rFonts w:ascii="Times New Roman" w:hAnsi="Times New Roman"/>
          <w:color w:val="000000" w:themeColor="text1"/>
          <w:sz w:val="16"/>
          <w:szCs w:val="16"/>
        </w:rPr>
        <w:softHyphen/>
        <w:t>новную массу их составляли четырех</w:t>
      </w:r>
      <w:r w:rsidRPr="007122AB">
        <w:rPr>
          <w:rFonts w:ascii="Times New Roman" w:hAnsi="Times New Roman"/>
          <w:color w:val="000000" w:themeColor="text1"/>
          <w:sz w:val="16"/>
          <w:szCs w:val="16"/>
        </w:rPr>
        <w:softHyphen/>
        <w:t>моторные ТБ—3. Реальный радиус дей</w:t>
      </w:r>
      <w:r w:rsidRPr="007122AB">
        <w:rPr>
          <w:rFonts w:ascii="Times New Roman" w:hAnsi="Times New Roman"/>
          <w:color w:val="000000" w:themeColor="text1"/>
          <w:sz w:val="16"/>
          <w:szCs w:val="16"/>
        </w:rPr>
        <w:softHyphen/>
        <w:t>ствия у них составлял 1100-1200 км. За его увеличение боролись разными спо</w:t>
      </w:r>
      <w:r w:rsidRPr="007122AB">
        <w:rPr>
          <w:rFonts w:ascii="Times New Roman" w:hAnsi="Times New Roman"/>
          <w:color w:val="000000" w:themeColor="text1"/>
          <w:sz w:val="16"/>
          <w:szCs w:val="16"/>
        </w:rPr>
        <w:softHyphen/>
        <w:t>собами: переходили на новые сорта топ</w:t>
      </w:r>
      <w:r w:rsidRPr="007122AB">
        <w:rPr>
          <w:rFonts w:ascii="Times New Roman" w:hAnsi="Times New Roman"/>
          <w:color w:val="000000" w:themeColor="text1"/>
          <w:sz w:val="16"/>
          <w:szCs w:val="16"/>
        </w:rPr>
        <w:softHyphen/>
        <w:t>лива, облегчали самолеты за счет сня</w:t>
      </w:r>
      <w:r w:rsidRPr="007122AB">
        <w:rPr>
          <w:rFonts w:ascii="Times New Roman" w:hAnsi="Times New Roman"/>
          <w:color w:val="000000" w:themeColor="text1"/>
          <w:sz w:val="16"/>
          <w:szCs w:val="16"/>
        </w:rPr>
        <w:softHyphen/>
        <w:t>тия второстепенного оборудования, пробовали внедрять более экономич</w:t>
      </w:r>
      <w:r w:rsidRPr="007122AB">
        <w:rPr>
          <w:rFonts w:ascii="Times New Roman" w:hAnsi="Times New Roman"/>
          <w:color w:val="000000" w:themeColor="text1"/>
          <w:sz w:val="16"/>
          <w:szCs w:val="16"/>
        </w:rPr>
        <w:softHyphen/>
        <w:t>ные дизельные двигатели. Этот путь считался основным. Хотя советская пропаганда критико</w:t>
      </w:r>
      <w:r w:rsidRPr="007122AB">
        <w:rPr>
          <w:rFonts w:ascii="Times New Roman" w:hAnsi="Times New Roman"/>
          <w:color w:val="000000" w:themeColor="text1"/>
          <w:sz w:val="16"/>
          <w:szCs w:val="16"/>
        </w:rPr>
        <w:softHyphen/>
        <w:t>вала модную тогда на Западе «доктрину Дуэ», «глубинная стратегия» ВВС РККА в значительной мере являлась ее отражением. Как говорил в своем до</w:t>
      </w:r>
      <w:r w:rsidRPr="007122AB">
        <w:rPr>
          <w:rFonts w:ascii="Times New Roman" w:hAnsi="Times New Roman"/>
          <w:color w:val="000000" w:themeColor="text1"/>
          <w:sz w:val="16"/>
          <w:szCs w:val="16"/>
        </w:rPr>
        <w:softHyphen/>
        <w:t>кладе начальник НИИ ВВС Бузанов, эволюция советской авиации «...должна быть целеустремлена в сторону разви</w:t>
      </w:r>
      <w:r w:rsidRPr="007122AB">
        <w:rPr>
          <w:rFonts w:ascii="Times New Roman" w:hAnsi="Times New Roman"/>
          <w:color w:val="000000" w:themeColor="text1"/>
          <w:sz w:val="16"/>
          <w:szCs w:val="16"/>
        </w:rPr>
        <w:softHyphen/>
        <w:t>тия наступательных средств...». Ударной силой ВВС должна была стать «страте</w:t>
      </w:r>
      <w:r w:rsidRPr="007122AB">
        <w:rPr>
          <w:rFonts w:ascii="Times New Roman" w:hAnsi="Times New Roman"/>
          <w:color w:val="000000" w:themeColor="text1"/>
          <w:sz w:val="16"/>
          <w:szCs w:val="16"/>
        </w:rPr>
        <w:softHyphen/>
        <w:t>гическая авиация» из соединений тяже</w:t>
      </w:r>
      <w:r w:rsidRPr="007122AB">
        <w:rPr>
          <w:rFonts w:ascii="Times New Roman" w:hAnsi="Times New Roman"/>
          <w:color w:val="000000" w:themeColor="text1"/>
          <w:sz w:val="16"/>
          <w:szCs w:val="16"/>
        </w:rPr>
        <w:softHyphen/>
        <w:t>лых бомбардировщиков-«линкоров» и «крейсеров» — самолетов сопровож</w:t>
      </w:r>
      <w:r w:rsidRPr="007122AB">
        <w:rPr>
          <w:rFonts w:ascii="Times New Roman" w:hAnsi="Times New Roman"/>
          <w:color w:val="000000" w:themeColor="text1"/>
          <w:sz w:val="16"/>
          <w:szCs w:val="16"/>
        </w:rPr>
        <w:softHyphen/>
        <w:t>дения. Ей предстояло разрушать города, порты, аэродромы, высаживать десан</w:t>
      </w:r>
      <w:r w:rsidRPr="007122AB">
        <w:rPr>
          <w:rFonts w:ascii="Times New Roman" w:hAnsi="Times New Roman"/>
          <w:color w:val="000000" w:themeColor="text1"/>
          <w:sz w:val="16"/>
          <w:szCs w:val="16"/>
        </w:rPr>
        <w:softHyphen/>
        <w:t>ты в тылу противника и, в духе времени, «оказывать помощь революционным восстаниям». При этом дальнейшая эволюция бом</w:t>
      </w:r>
      <w:r w:rsidRPr="007122AB">
        <w:rPr>
          <w:rFonts w:ascii="Times New Roman" w:hAnsi="Times New Roman"/>
          <w:color w:val="000000" w:themeColor="text1"/>
          <w:sz w:val="16"/>
          <w:szCs w:val="16"/>
        </w:rPr>
        <w:softHyphen/>
        <w:t>бардировочной авиации направлялась на рост размеров и веса машин. Они должны были нести все больше бомб, пушек и пулеметов. Экипажи станови</w:t>
      </w:r>
      <w:r w:rsidRPr="007122AB">
        <w:rPr>
          <w:rFonts w:ascii="Times New Roman" w:hAnsi="Times New Roman"/>
          <w:color w:val="000000" w:themeColor="text1"/>
          <w:sz w:val="16"/>
          <w:szCs w:val="16"/>
        </w:rPr>
        <w:softHyphen/>
        <w:t>лись все более многочисленными, на</w:t>
      </w:r>
      <w:r w:rsidRPr="007122AB">
        <w:rPr>
          <w:rFonts w:ascii="Times New Roman" w:hAnsi="Times New Roman"/>
          <w:color w:val="000000" w:themeColor="text1"/>
          <w:sz w:val="16"/>
          <w:szCs w:val="16"/>
        </w:rPr>
        <w:softHyphen/>
        <w:t>поминая по структуре команды боевых кораблей. При этом самолеты остава</w:t>
      </w:r>
      <w:r w:rsidRPr="007122AB">
        <w:rPr>
          <w:rFonts w:ascii="Times New Roman" w:hAnsi="Times New Roman"/>
          <w:color w:val="000000" w:themeColor="text1"/>
          <w:sz w:val="16"/>
          <w:szCs w:val="16"/>
        </w:rPr>
        <w:softHyphen/>
        <w:t xml:space="preserve">лись тихоходными, </w:t>
      </w:r>
      <w:proofErr w:type="spellStart"/>
      <w:r w:rsidRPr="007122AB">
        <w:rPr>
          <w:rFonts w:ascii="Times New Roman" w:hAnsi="Times New Roman"/>
          <w:color w:val="000000" w:themeColor="text1"/>
          <w:sz w:val="16"/>
          <w:szCs w:val="16"/>
        </w:rPr>
        <w:t>низковысотными</w:t>
      </w:r>
      <w:proofErr w:type="spellEnd"/>
      <w:r w:rsidRPr="007122AB">
        <w:rPr>
          <w:rFonts w:ascii="Times New Roman" w:hAnsi="Times New Roman"/>
          <w:color w:val="000000" w:themeColor="text1"/>
          <w:sz w:val="16"/>
          <w:szCs w:val="16"/>
        </w:rPr>
        <w:t xml:space="preserve"> и по мере роста размеров все больше те</w:t>
      </w:r>
      <w:r w:rsidRPr="007122AB">
        <w:rPr>
          <w:rFonts w:ascii="Times New Roman" w:hAnsi="Times New Roman"/>
          <w:color w:val="000000" w:themeColor="text1"/>
          <w:sz w:val="16"/>
          <w:szCs w:val="16"/>
        </w:rPr>
        <w:softHyphen/>
        <w:t>ряли в маневренности. Считалось, что лучшей защитой медленно летящей ар</w:t>
      </w:r>
      <w:r w:rsidRPr="007122AB">
        <w:rPr>
          <w:rFonts w:ascii="Times New Roman" w:hAnsi="Times New Roman"/>
          <w:color w:val="000000" w:themeColor="text1"/>
          <w:sz w:val="16"/>
          <w:szCs w:val="16"/>
        </w:rPr>
        <w:softHyphen/>
        <w:t>мады бомбовозов станут их пушки и пулеметы плюс огневая мощь «крейсе</w:t>
      </w:r>
      <w:r w:rsidRPr="007122AB">
        <w:rPr>
          <w:rFonts w:ascii="Times New Roman" w:hAnsi="Times New Roman"/>
          <w:color w:val="000000" w:themeColor="text1"/>
          <w:sz w:val="16"/>
          <w:szCs w:val="16"/>
        </w:rPr>
        <w:softHyphen/>
        <w:t>ров». По воззрениям стратегов того времени, для успешной атаки тяжелого бомбардировщика требовалось больше истребителей, чем у него имеется огне</w:t>
      </w:r>
      <w:r w:rsidRPr="007122AB">
        <w:rPr>
          <w:rFonts w:ascii="Times New Roman" w:hAnsi="Times New Roman"/>
          <w:color w:val="000000" w:themeColor="text1"/>
          <w:sz w:val="16"/>
          <w:szCs w:val="16"/>
        </w:rPr>
        <w:softHyphen/>
        <w:t>вых точек. Во главу угла ставился вес перевозимых самолетом бомб. В числе «главнейших идей» перспективного плана опытного самолетостроения на период до 1934 г. записан был пункт: «резкое повышение тоннажа бомбар</w:t>
      </w:r>
      <w:r w:rsidRPr="007122AB">
        <w:rPr>
          <w:rFonts w:ascii="Times New Roman" w:hAnsi="Times New Roman"/>
          <w:color w:val="000000" w:themeColor="text1"/>
          <w:sz w:val="16"/>
          <w:szCs w:val="16"/>
        </w:rPr>
        <w:softHyphen/>
        <w:t>дировщиков, доводя сбрасываемый бомбовый груз до 10, 15 и 25 тон, при соответственном увеличении радиусов действия до 2000 и 2500 км». Но в 1931 г. в коллективе Туполева предложили иную концепцию с упором именно на дальность. ДБ-1, военный вариант знаменитого рекордного само</w:t>
      </w:r>
      <w:r w:rsidRPr="007122AB">
        <w:rPr>
          <w:rFonts w:ascii="Times New Roman" w:hAnsi="Times New Roman"/>
          <w:color w:val="000000" w:themeColor="text1"/>
          <w:sz w:val="16"/>
          <w:szCs w:val="16"/>
        </w:rPr>
        <w:softHyphen/>
        <w:t xml:space="preserve">лета АНТ-25 (РД), по расчетам вдвое уступал ТБ-3 по бомбовой нагрузке, но впятеро превосходил по радиусу действия. </w:t>
      </w:r>
      <w:proofErr w:type="spellStart"/>
      <w:r w:rsidRPr="007122AB">
        <w:rPr>
          <w:rFonts w:ascii="Times New Roman" w:hAnsi="Times New Roman"/>
          <w:color w:val="000000" w:themeColor="text1"/>
          <w:sz w:val="16"/>
          <w:szCs w:val="16"/>
        </w:rPr>
        <w:t>Одномоторный,моноплан</w:t>
      </w:r>
      <w:proofErr w:type="spellEnd"/>
      <w:r w:rsidRPr="007122AB">
        <w:rPr>
          <w:rFonts w:ascii="Times New Roman" w:hAnsi="Times New Roman"/>
          <w:color w:val="000000" w:themeColor="text1"/>
          <w:sz w:val="16"/>
          <w:szCs w:val="16"/>
        </w:rPr>
        <w:t xml:space="preserve"> с длин</w:t>
      </w:r>
      <w:r w:rsidRPr="007122AB">
        <w:rPr>
          <w:rFonts w:ascii="Times New Roman" w:hAnsi="Times New Roman"/>
          <w:color w:val="000000" w:themeColor="text1"/>
          <w:sz w:val="16"/>
          <w:szCs w:val="16"/>
        </w:rPr>
        <w:softHyphen/>
        <w:t>ным и узким крылом огромного разма</w:t>
      </w:r>
      <w:r w:rsidRPr="007122AB">
        <w:rPr>
          <w:rFonts w:ascii="Times New Roman" w:hAnsi="Times New Roman"/>
          <w:color w:val="000000" w:themeColor="text1"/>
          <w:sz w:val="16"/>
          <w:szCs w:val="16"/>
        </w:rPr>
        <w:softHyphen/>
        <w:t>ха, он был столь же тихоходен, как и ТБ-3, и отличался такими же низкими показателями маневренности. Эти ма</w:t>
      </w:r>
      <w:r w:rsidRPr="007122AB">
        <w:rPr>
          <w:rFonts w:ascii="Times New Roman" w:hAnsi="Times New Roman"/>
          <w:color w:val="000000" w:themeColor="text1"/>
          <w:sz w:val="16"/>
          <w:szCs w:val="16"/>
        </w:rPr>
        <w:softHyphen/>
        <w:t>шины предназначали, в первую оче</w:t>
      </w:r>
      <w:r w:rsidRPr="007122AB">
        <w:rPr>
          <w:rFonts w:ascii="Times New Roman" w:hAnsi="Times New Roman"/>
          <w:color w:val="000000" w:themeColor="text1"/>
          <w:sz w:val="16"/>
          <w:szCs w:val="16"/>
        </w:rPr>
        <w:softHyphen/>
        <w:t>редь, для Дальнего Востока. Самолеты подобной схемы и назначения строи</w:t>
      </w:r>
      <w:r w:rsidRPr="007122AB">
        <w:rPr>
          <w:rFonts w:ascii="Times New Roman" w:hAnsi="Times New Roman"/>
          <w:color w:val="000000" w:themeColor="text1"/>
          <w:sz w:val="16"/>
          <w:szCs w:val="16"/>
        </w:rPr>
        <w:softHyphen/>
        <w:t>лись и за рубежом. Можно напомнить, например, английский Виккерс «</w:t>
      </w:r>
      <w:proofErr w:type="spellStart"/>
      <w:r w:rsidRPr="007122AB">
        <w:rPr>
          <w:rFonts w:ascii="Times New Roman" w:hAnsi="Times New Roman"/>
          <w:color w:val="000000" w:themeColor="text1"/>
          <w:sz w:val="16"/>
          <w:szCs w:val="16"/>
        </w:rPr>
        <w:t>Уэлл-сли</w:t>
      </w:r>
      <w:proofErr w:type="spellEnd"/>
      <w:r w:rsidRPr="007122AB">
        <w:rPr>
          <w:rFonts w:ascii="Times New Roman" w:hAnsi="Times New Roman"/>
          <w:color w:val="000000" w:themeColor="text1"/>
          <w:sz w:val="16"/>
          <w:szCs w:val="16"/>
        </w:rPr>
        <w:t>», дошедший до стадии серийного производства и состоявший на воору</w:t>
      </w:r>
      <w:r w:rsidRPr="007122AB">
        <w:rPr>
          <w:rFonts w:ascii="Times New Roman" w:hAnsi="Times New Roman"/>
          <w:color w:val="000000" w:themeColor="text1"/>
          <w:sz w:val="16"/>
          <w:szCs w:val="16"/>
        </w:rPr>
        <w:softHyphen/>
        <w:t>жении Королевских ВВС. Но низкие летные данные, очень ма</w:t>
      </w:r>
      <w:r w:rsidRPr="007122AB">
        <w:rPr>
          <w:rFonts w:ascii="Times New Roman" w:hAnsi="Times New Roman"/>
          <w:color w:val="000000" w:themeColor="text1"/>
          <w:sz w:val="16"/>
          <w:szCs w:val="16"/>
        </w:rPr>
        <w:softHyphen/>
        <w:t>ленькая бомбовая нагрузка и, главное, неспособность работать с обычных по</w:t>
      </w:r>
      <w:r w:rsidRPr="007122AB">
        <w:rPr>
          <w:rFonts w:ascii="Times New Roman" w:hAnsi="Times New Roman"/>
          <w:color w:val="000000" w:themeColor="text1"/>
          <w:sz w:val="16"/>
          <w:szCs w:val="16"/>
        </w:rPr>
        <w:softHyphen/>
        <w:t>левых аэродромов привели к свертыва</w:t>
      </w:r>
      <w:r w:rsidRPr="007122AB">
        <w:rPr>
          <w:rFonts w:ascii="Times New Roman" w:hAnsi="Times New Roman"/>
          <w:color w:val="000000" w:themeColor="text1"/>
          <w:sz w:val="16"/>
          <w:szCs w:val="16"/>
        </w:rPr>
        <w:softHyphen/>
        <w:t>нию уже начатого серийного производ</w:t>
      </w:r>
      <w:r w:rsidRPr="007122AB">
        <w:rPr>
          <w:rFonts w:ascii="Times New Roman" w:hAnsi="Times New Roman"/>
          <w:color w:val="000000" w:themeColor="text1"/>
          <w:sz w:val="16"/>
          <w:szCs w:val="16"/>
        </w:rPr>
        <w:softHyphen/>
        <w:t>ства ДБ-1. Малая серия построенных машин после войсковых испытаний осела в 1-й авиационной армии особого назначения, дислоцировавшейся в Под</w:t>
      </w:r>
      <w:r w:rsidRPr="007122AB">
        <w:rPr>
          <w:rFonts w:ascii="Times New Roman" w:hAnsi="Times New Roman"/>
          <w:color w:val="000000" w:themeColor="text1"/>
          <w:sz w:val="16"/>
          <w:szCs w:val="16"/>
        </w:rPr>
        <w:softHyphen/>
        <w:t>московье. Сочли, что как бомбардиров</w:t>
      </w:r>
      <w:r w:rsidRPr="007122AB">
        <w:rPr>
          <w:rFonts w:ascii="Times New Roman" w:hAnsi="Times New Roman"/>
          <w:color w:val="000000" w:themeColor="text1"/>
          <w:sz w:val="16"/>
          <w:szCs w:val="16"/>
        </w:rPr>
        <w:softHyphen/>
        <w:t>щики они малопригодны, но могут сой</w:t>
      </w:r>
      <w:r w:rsidRPr="007122AB">
        <w:rPr>
          <w:rFonts w:ascii="Times New Roman" w:hAnsi="Times New Roman"/>
          <w:color w:val="000000" w:themeColor="text1"/>
          <w:sz w:val="16"/>
          <w:szCs w:val="16"/>
        </w:rPr>
        <w:softHyphen/>
        <w:t>ти в качестве дальних разведчиков. Дальнейшим развитием концепции ДБ-1 должны были стать самолеты АНТ-36 и АНТ-37. Первый из них пред</w:t>
      </w:r>
      <w:r w:rsidRPr="007122AB">
        <w:rPr>
          <w:rFonts w:ascii="Times New Roman" w:hAnsi="Times New Roman"/>
          <w:color w:val="000000" w:themeColor="text1"/>
          <w:sz w:val="16"/>
          <w:szCs w:val="16"/>
        </w:rPr>
        <w:softHyphen/>
        <w:t>ставлял собой тот же АНТ-25, но с ди</w:t>
      </w:r>
      <w:r w:rsidRPr="007122AB">
        <w:rPr>
          <w:rFonts w:ascii="Times New Roman" w:hAnsi="Times New Roman"/>
          <w:color w:val="000000" w:themeColor="text1"/>
          <w:sz w:val="16"/>
          <w:szCs w:val="16"/>
        </w:rPr>
        <w:softHyphen/>
        <w:t>зелем вместо карбюраторного мотора М-34Р Второй создавался по заданию на дальний бомбардировщик ДБ-2. В плане опытного строительства на 1934-35 годы в разделе второстепенных ра</w:t>
      </w:r>
      <w:r w:rsidRPr="007122AB">
        <w:rPr>
          <w:rFonts w:ascii="Times New Roman" w:hAnsi="Times New Roman"/>
          <w:color w:val="000000" w:themeColor="text1"/>
          <w:sz w:val="16"/>
          <w:szCs w:val="16"/>
        </w:rPr>
        <w:softHyphen/>
        <w:t>бот стоял «дальний бомбардировщик ДБ-2РЦ». Предполагалось, что это бу</w:t>
      </w:r>
      <w:r w:rsidRPr="007122AB">
        <w:rPr>
          <w:rFonts w:ascii="Times New Roman" w:hAnsi="Times New Roman"/>
          <w:color w:val="000000" w:themeColor="text1"/>
          <w:sz w:val="16"/>
          <w:szCs w:val="16"/>
        </w:rPr>
        <w:softHyphen/>
        <w:t>дет модификация того же АНТ-25 под два мотора «Циклон». Военные счита</w:t>
      </w:r>
      <w:r w:rsidRPr="007122AB">
        <w:rPr>
          <w:rFonts w:ascii="Times New Roman" w:hAnsi="Times New Roman"/>
          <w:color w:val="000000" w:themeColor="text1"/>
          <w:sz w:val="16"/>
          <w:szCs w:val="16"/>
        </w:rPr>
        <w:softHyphen/>
        <w:t>ли эту тему не очень актуальной. Туполев обладал немалым влиянием и мог надеяться «протолкнуть» самолет в производство, несмотря на позицию не</w:t>
      </w:r>
      <w:r w:rsidRPr="007122AB">
        <w:rPr>
          <w:rFonts w:ascii="Times New Roman" w:hAnsi="Times New Roman"/>
          <w:color w:val="000000" w:themeColor="text1"/>
          <w:sz w:val="16"/>
          <w:szCs w:val="16"/>
        </w:rPr>
        <w:softHyphen/>
        <w:t>которых руководителей ВВС (10734,4).</w:t>
      </w:r>
    </w:p>
    <w:p w14:paraId="138AD8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6E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феврале-марте 1931 г. был подготовлен документ "Система вооружения ВВС РККА на 1932-34 гг.", в котором предусматривалось проектирование целой гаммы гигантских бомбовозов с бомбовой нагрузкой до 30 т. Вершиной этой концепции явилось задание на сверхтяжелый бомбардировщик ("летающее крыло") СТБ с нормальным радиусом действия не менее 2500 км. На эту машину возлагалась задача "разрушения и уничтожения объектов противника исключительной важности (Мальта, Суэц)". В рамках этой программы строились опытные многомоторные бомбардировщики ТБ-4 и К-7, проектировались еще большие ТБ-6 и ТБ-7.</w:t>
      </w:r>
    </w:p>
    <w:p w14:paraId="2E780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Но в 1931 г. в коллективе Туполева предложили иную концепцию с упором именно - образец дальнего рекордного самолета АНТ-25 (РД), по бомбардировщика расчетам вдвое уступал ТБ-3 по бомбовой на- ДБ-2 (АНТ-37) грузке, но впятеро превосходил по радиусу действия. Одномоторный моноплан с длинным и узким крылом огромного размаха, он был столь же тихоходен, как и ТБ-3, и отличался такими же низкими показателями маневренности. Эти машины предназначали, в первую очередь, для Дальнего Востока. Самолеты подобной схемы и назначения строились и за рубежом. Можно напомнить, например, английский Виккерс "</w:t>
      </w:r>
      <w:proofErr w:type="spellStart"/>
      <w:r w:rsidRPr="007122AB">
        <w:rPr>
          <w:rFonts w:ascii="Times New Roman" w:hAnsi="Times New Roman"/>
          <w:color w:val="000000" w:themeColor="text1"/>
          <w:sz w:val="16"/>
          <w:szCs w:val="16"/>
        </w:rPr>
        <w:t>Уэллсли</w:t>
      </w:r>
      <w:proofErr w:type="spellEnd"/>
      <w:r w:rsidRPr="007122AB">
        <w:rPr>
          <w:rFonts w:ascii="Times New Roman" w:hAnsi="Times New Roman"/>
          <w:color w:val="000000" w:themeColor="text1"/>
          <w:sz w:val="16"/>
          <w:szCs w:val="16"/>
        </w:rPr>
        <w:t>", дошедший до стадии серийного производства и состоявший на вооружении Королевских ВВС.</w:t>
      </w:r>
    </w:p>
    <w:p w14:paraId="4E06F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низкие летные данные, очень маленькая бомбовая нагрузка и, главное, неспособность работать с обычных полевых аэродромов привели к свертыванию уже начатого серийного производства ДБ-1. Малая серия построенных машин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w:t>
      </w:r>
    </w:p>
    <w:p w14:paraId="7BD23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Дальнейшим развитием концепции ДБ-1 должны были стать самолеты АНТ-36 и АНТ- 37. Первый из них представлял собой тот же АНТ-25, но с дизелем вместо карбюраторного мотора М-34Р. Второй создавался по заданию на дальний бомбардировщик ДБ-2. В плане опытного строительства на 1934-35 годы в разделе второстепенных работ стоял "дальний бомбардировщик ДБ-2РЦ". Предполагалось, что это будет модификация того же АНТ-25 под два мотора "Циклон". Военные считали эту тему не очень актуальной.</w:t>
      </w:r>
    </w:p>
    <w:p w14:paraId="49A40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Туполев обладал немалым влиянием и мог надеяться "протолкнуть" самолет в производство, несмотря на позицию некоторых руководителей ВВС. ДБ-2, спроектированный бригадой П.О. Сухого, вышел на испытания в июне 1935 г.</w:t>
      </w:r>
    </w:p>
    <w:p w14:paraId="340FF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Вопреки заданию, </w:t>
      </w:r>
      <w:proofErr w:type="spellStart"/>
      <w:r w:rsidRPr="007122AB">
        <w:rPr>
          <w:rFonts w:ascii="Times New Roman" w:hAnsi="Times New Roman"/>
          <w:color w:val="000000" w:themeColor="text1"/>
          <w:sz w:val="16"/>
          <w:szCs w:val="16"/>
        </w:rPr>
        <w:t>туполевцы</w:t>
      </w:r>
      <w:proofErr w:type="spellEnd"/>
      <w:r w:rsidRPr="007122AB">
        <w:rPr>
          <w:rFonts w:ascii="Times New Roman" w:hAnsi="Times New Roman"/>
          <w:color w:val="000000" w:themeColor="text1"/>
          <w:sz w:val="16"/>
          <w:szCs w:val="16"/>
        </w:rPr>
        <w:t xml:space="preserve"> сделали ставку на те же моторы "Гном-Рон". В АНТ- 37 использовали многие уже проверенные на АНТ-25 конструктивные решения, следуя в целом той же концепции, что у ДБ-1 - "дальность превыше всего". Самолет Сухого имел узкое крыло большого удлинения с довольно толстым аэродинамическим профилем, считавшееся </w:t>
      </w:r>
      <w:proofErr w:type="spellStart"/>
      <w:r w:rsidRPr="007122AB">
        <w:rPr>
          <w:rFonts w:ascii="Times New Roman" w:hAnsi="Times New Roman"/>
          <w:color w:val="000000" w:themeColor="text1"/>
          <w:sz w:val="16"/>
          <w:szCs w:val="16"/>
        </w:rPr>
        <w:t>наивыгоднейшим</w:t>
      </w:r>
      <w:proofErr w:type="spellEnd"/>
      <w:r w:rsidRPr="007122AB">
        <w:rPr>
          <w:rFonts w:ascii="Times New Roman" w:hAnsi="Times New Roman"/>
          <w:color w:val="000000" w:themeColor="text1"/>
          <w:sz w:val="16"/>
          <w:szCs w:val="16"/>
        </w:rPr>
        <w:t xml:space="preserve"> для достижения большой дальности.</w:t>
      </w:r>
    </w:p>
    <w:p w14:paraId="6344D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Руководство ГУАП еще до окончания испытаний приняло решение о запуске его в серию. Завод № 39 начал готовить оснастку для его производства - ему поставили задачу выпустить в 1936 г. головной серийный ДБ-2. Освоение выпуска этой машины намечалось </w:t>
      </w: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на двух заводах: № 18 в Воронеже и № 126 в Комсомольске-на-Амуре.</w:t>
      </w:r>
    </w:p>
    <w:p w14:paraId="635474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ДБ-2 в серию не пошел. "Ножку" ему подставили два обстоятельства. В июле 1935 г., через месяц после первого полета, опытный АНТ-37 разрушился в воздухе. Причиной явился бафтинг хвостового оперения. Опасная тряска проявлялась и на дублере АНТ-37, выпущенном в начале 1936 г. Устранение бафтинга, в те годы довольно плохо изученного, было непростым делом. Из-за многочисленных дефектов НИИ ВВС отказался принять эту машину на госиспытания. А вторым обстоятельством, "похоронившим" ДБ-2, стали успехи коллектива, возглавлявшегося Ильюшиным (12021). </w:t>
      </w:r>
    </w:p>
    <w:p w14:paraId="39FF40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6BE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феврале-июне 1931 г. конструкторы завода № 29 начали с М-51. Проект его подготовили За основу взяли М-11В. Высотные характеристики улучшили путем включения в конструкцию приводного центробежного нагнетателя (ПЦН). Это позволило довести максимальную мощность до 145 л.с. Обкатка моторов велась с марта 1932 г.,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16C9D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4A87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 июне 1931 г. в КБ завода № 29 (Запорожье) под руководством А.С. Наза</w:t>
      </w:r>
      <w:r w:rsidRPr="007122AB">
        <w:rPr>
          <w:rFonts w:ascii="Times New Roman" w:hAnsi="Times New Roman"/>
          <w:color w:val="000000" w:themeColor="text1"/>
          <w:sz w:val="16"/>
          <w:szCs w:val="16"/>
        </w:rPr>
        <w:softHyphen/>
        <w:t>рова был разработан двигатель М-51. Являлся дальнейшим развитием известно</w:t>
      </w:r>
      <w:r w:rsidRPr="007122AB">
        <w:rPr>
          <w:rFonts w:ascii="Times New Roman" w:hAnsi="Times New Roman"/>
          <w:color w:val="000000" w:themeColor="text1"/>
          <w:sz w:val="16"/>
          <w:szCs w:val="16"/>
        </w:rPr>
        <w:softHyphen/>
        <w:t>го мотора М-11. Отличался в основном наличием ПЦН и использованием одной кулачковой шайбы вместо пяти кулачковых валиков. Использовал часть узлов и агрегатов двигателя М-11В и унифицировался с мото</w:t>
      </w:r>
      <w:r w:rsidRPr="007122AB">
        <w:rPr>
          <w:rFonts w:ascii="Times New Roman" w:hAnsi="Times New Roman"/>
          <w:color w:val="000000" w:themeColor="text1"/>
          <w:sz w:val="16"/>
          <w:szCs w:val="16"/>
        </w:rPr>
        <w:softHyphen/>
        <w:t>рами М-48 и М-49, входившими в то же семейство. По сравнению с М-11В были упрощены сборка и монтаж агрегатов. Коленвал уста</w:t>
      </w:r>
      <w:r w:rsidRPr="007122AB">
        <w:rPr>
          <w:rFonts w:ascii="Times New Roman" w:hAnsi="Times New Roman"/>
          <w:color w:val="000000" w:themeColor="text1"/>
          <w:sz w:val="16"/>
          <w:szCs w:val="16"/>
        </w:rPr>
        <w:softHyphen/>
        <w:t>новлен на роликовых подшипниках. Втулка винта шлицевая. Изготовле</w:t>
      </w:r>
      <w:r w:rsidRPr="007122AB">
        <w:rPr>
          <w:rFonts w:ascii="Times New Roman" w:hAnsi="Times New Roman"/>
          <w:color w:val="000000" w:themeColor="text1"/>
          <w:sz w:val="16"/>
          <w:szCs w:val="16"/>
        </w:rPr>
        <w:softHyphen/>
        <w:t>ны и испытаны опытные образцы. Обкатка велась с марта 1932 г., в мае — июне того же года мотор проходил госиспытания с цилин</w:t>
      </w:r>
      <w:r w:rsidRPr="007122AB">
        <w:rPr>
          <w:rFonts w:ascii="Times New Roman" w:hAnsi="Times New Roman"/>
          <w:color w:val="000000" w:themeColor="text1"/>
          <w:sz w:val="16"/>
          <w:szCs w:val="16"/>
        </w:rPr>
        <w:softHyphen/>
        <w:t>драми от М-11, а в октябре — со своими оригинальными цилиндра</w:t>
      </w:r>
      <w:r w:rsidRPr="007122AB">
        <w:rPr>
          <w:rFonts w:ascii="Times New Roman" w:hAnsi="Times New Roman"/>
          <w:color w:val="000000" w:themeColor="text1"/>
          <w:sz w:val="16"/>
          <w:szCs w:val="16"/>
        </w:rPr>
        <w:softHyphen/>
        <w:t>ми. Однако в обоих случаях ис</w:t>
      </w:r>
      <w:r w:rsidRPr="007122AB">
        <w:rPr>
          <w:rFonts w:ascii="Times New Roman" w:hAnsi="Times New Roman"/>
          <w:color w:val="000000" w:themeColor="text1"/>
          <w:sz w:val="16"/>
          <w:szCs w:val="16"/>
        </w:rPr>
        <w:softHyphen/>
        <w:t>пытания закончились неудачно. В июне 1933 г. испытывался на са</w:t>
      </w:r>
      <w:r w:rsidRPr="007122AB">
        <w:rPr>
          <w:rFonts w:ascii="Times New Roman" w:hAnsi="Times New Roman"/>
          <w:color w:val="000000" w:themeColor="text1"/>
          <w:sz w:val="16"/>
          <w:szCs w:val="16"/>
        </w:rPr>
        <w:softHyphen/>
        <w:t>молете У-2. Планировался серий</w:t>
      </w:r>
      <w:r w:rsidRPr="007122AB">
        <w:rPr>
          <w:rFonts w:ascii="Times New Roman" w:hAnsi="Times New Roman"/>
          <w:color w:val="000000" w:themeColor="text1"/>
          <w:sz w:val="16"/>
          <w:szCs w:val="16"/>
        </w:rPr>
        <w:softHyphen/>
        <w:t>ный выпуск в 1933 г.. но в серийное производство М-51 не запускался. Впоследствии стал прототипом для мотора МГ-11. Характеристики:</w:t>
      </w:r>
    </w:p>
    <w:p w14:paraId="3E44B0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5-цилиндровый,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 с ПЦН;</w:t>
      </w:r>
    </w:p>
    <w:p w14:paraId="6C2C3E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125/145 л.с.;</w:t>
      </w:r>
    </w:p>
    <w:p w14:paraId="786209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125/140 мм;</w:t>
      </w:r>
    </w:p>
    <w:p w14:paraId="64089E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8,6 л;</w:t>
      </w:r>
    </w:p>
    <w:p w14:paraId="39B3C4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5,0;</w:t>
      </w:r>
    </w:p>
    <w:p w14:paraId="408FAF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150 кг (позднее 155 кг).</w:t>
      </w:r>
    </w:p>
    <w:p w14:paraId="6359F73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Известен также двигатель 1947 г. под тем же обозначением (11852).</w:t>
      </w:r>
    </w:p>
    <w:p w14:paraId="0D6DD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8DE4D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09082F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FD116E"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феврале-апреле 1931 г. первая 180-мм пушка Б-1-К была испытана на </w:t>
      </w:r>
      <w:proofErr w:type="spellStart"/>
      <w:r w:rsidRPr="007122AB">
        <w:rPr>
          <w:rFonts w:ascii="Times New Roman" w:hAnsi="Times New Roman"/>
          <w:color w:val="000000" w:themeColor="text1"/>
          <w:sz w:val="16"/>
          <w:szCs w:val="16"/>
        </w:rPr>
        <w:t>НИМАПе</w:t>
      </w:r>
      <w:proofErr w:type="spellEnd"/>
      <w:r w:rsidRPr="007122AB">
        <w:rPr>
          <w:rFonts w:ascii="Times New Roman" w:hAnsi="Times New Roman"/>
          <w:color w:val="000000" w:themeColor="text1"/>
          <w:sz w:val="16"/>
          <w:szCs w:val="16"/>
        </w:rPr>
        <w:t>. Орудие было принято на вооружение. Четыре пушки Б-1-К были установлены на крейсере «Красный Кавказ» в одноорудийных башенных установках МК-1-180. Для управления стрельбой заводом спроектирован, изготовлен и установлен на крейсере один командно-дальномерный пост Б-8. Пост оборудован 6-метровым дальномером ДМ-6 с визиром наводки и 5-метровой стереотрубой с визиром наводки. Рабочие чертежи установки были разработаны КБ ЛМЗ под руководством Р. Вульфа. Она имела гидравлический компрессор веретённого типа, накатник гидропневматический. Верхняя подача снарядов производилась штанговым элеватором, снабжённым электроприводом. Подача зарядов производилась через зарядный штанговый элеватор. Испытания и эксплуатация орудий Б-1-К выявили массу недостатков. В результате в производство была запущена 180/57-мм пушка Б-1-П. Основным отличием её от Б-1-К был поршневой затвор и картузное заряжание. Баллистика и боеприпасы пушек совпадали (15132).</w:t>
      </w:r>
    </w:p>
    <w:p w14:paraId="41925851"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2652ED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феврале-марте 1931 г. один танк (номера не установлены) Виккерс был от</w:t>
      </w:r>
      <w:r w:rsidRPr="007122AB">
        <w:rPr>
          <w:rFonts w:ascii="Times New Roman" w:hAnsi="Times New Roman"/>
          <w:color w:val="000000" w:themeColor="text1"/>
          <w:sz w:val="16"/>
          <w:szCs w:val="16"/>
        </w:rPr>
        <w:softHyphen/>
        <w:t>правлен для ознакомления в Харь</w:t>
      </w:r>
      <w:r w:rsidRPr="007122AB">
        <w:rPr>
          <w:rFonts w:ascii="Times New Roman" w:hAnsi="Times New Roman"/>
          <w:color w:val="000000" w:themeColor="text1"/>
          <w:sz w:val="16"/>
          <w:szCs w:val="16"/>
        </w:rPr>
        <w:softHyphen/>
        <w:t>ков и один — в Ленинград (10733,173).</w:t>
      </w:r>
    </w:p>
    <w:p w14:paraId="566D27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DC6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 сентябре 1931 года (с нескольки</w:t>
      </w:r>
      <w:r w:rsidRPr="007122AB">
        <w:rPr>
          <w:rFonts w:ascii="Times New Roman" w:hAnsi="Times New Roman"/>
          <w:color w:val="000000" w:themeColor="text1"/>
          <w:sz w:val="16"/>
          <w:szCs w:val="16"/>
        </w:rPr>
        <w:softHyphen/>
        <w:t>ми перерывами) по распоряжению председателя НТК УММ РККА были проведены широкомасштабные ис</w:t>
      </w:r>
      <w:r w:rsidRPr="007122AB">
        <w:rPr>
          <w:rFonts w:ascii="Times New Roman" w:hAnsi="Times New Roman"/>
          <w:color w:val="000000" w:themeColor="text1"/>
          <w:sz w:val="16"/>
          <w:szCs w:val="16"/>
        </w:rPr>
        <w:softHyphen/>
        <w:t>пытания «колесных танкеток». В отчете, составленном в октябре, говорилось следующее:</w:t>
      </w:r>
    </w:p>
    <w:p w14:paraId="23E58D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Удобство наблюдения за дорогой при открытом и закрытом люке водителя вполне удовлетворительное.</w:t>
      </w:r>
    </w:p>
    <w:p w14:paraId="386997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Управление автомобилем просто и удобно, но необ</w:t>
      </w:r>
      <w:r w:rsidRPr="007122AB">
        <w:rPr>
          <w:rFonts w:ascii="Times New Roman" w:hAnsi="Times New Roman"/>
          <w:color w:val="000000" w:themeColor="text1"/>
          <w:sz w:val="16"/>
          <w:szCs w:val="16"/>
        </w:rPr>
        <w:softHyphen/>
        <w:t>ходимо сиденья водителя и пулеметчика закрепить на</w:t>
      </w:r>
      <w:r w:rsidRPr="007122AB">
        <w:rPr>
          <w:rFonts w:ascii="Times New Roman" w:hAnsi="Times New Roman"/>
          <w:color w:val="000000" w:themeColor="text1"/>
          <w:sz w:val="16"/>
          <w:szCs w:val="16"/>
        </w:rPr>
        <w:softHyphen/>
        <w:t>мертво.</w:t>
      </w:r>
    </w:p>
    <w:p w14:paraId="45D60C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Для посадки команды в 3 человека без оружия, но в шубах, требуется 5-7 с, для выхода - 4-5 с. Посадка и выход производятся водителем и передним пулеметчиком через борт, а заднего через дверцу.</w:t>
      </w:r>
    </w:p>
    <w:p w14:paraId="3FBC68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При испытании пробегом выяснилось, что разницы в проходимости по снежному шоссе с автомобилем «Форд» нормального типа почти нет. Надежно может работать на укатанном шоссе, на шоссе с заносами (на коротких участ</w:t>
      </w:r>
      <w:r w:rsidRPr="007122AB">
        <w:rPr>
          <w:rFonts w:ascii="Times New Roman" w:hAnsi="Times New Roman"/>
          <w:color w:val="000000" w:themeColor="text1"/>
          <w:sz w:val="16"/>
          <w:szCs w:val="16"/>
        </w:rPr>
        <w:softHyphen/>
        <w:t>ках) и на шоссе, покрытом слоем снега до 10—15 см.</w:t>
      </w:r>
    </w:p>
    <w:p w14:paraId="39F277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при полной нагрузке на гори</w:t>
      </w:r>
      <w:r w:rsidRPr="007122AB">
        <w:rPr>
          <w:rFonts w:ascii="Times New Roman" w:hAnsi="Times New Roman"/>
          <w:color w:val="000000" w:themeColor="text1"/>
          <w:sz w:val="16"/>
          <w:szCs w:val="16"/>
        </w:rPr>
        <w:softHyphen/>
        <w:t>зонтальном участке по спидометру 80—88 км/ч (50— 55 миль в час). Средняя скорость при полной нагрузке на хорошо укатанном шоссе — 45—50 км/ч, средняя скорость на занесенном снегом шоссе — 30—35 км/ч.</w:t>
      </w:r>
    </w:p>
    <w:p w14:paraId="25DB68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Автомобиль прост по конструкции и ухо</w:t>
      </w:r>
      <w:r w:rsidRPr="007122AB">
        <w:rPr>
          <w:rFonts w:ascii="Times New Roman" w:hAnsi="Times New Roman"/>
          <w:color w:val="000000" w:themeColor="text1"/>
          <w:sz w:val="16"/>
          <w:szCs w:val="16"/>
        </w:rPr>
        <w:softHyphen/>
        <w:t>ду, быстроходен и поворотлив, с большим запасом мощно</w:t>
      </w:r>
      <w:r w:rsidRPr="007122AB">
        <w:rPr>
          <w:rFonts w:ascii="Times New Roman" w:hAnsi="Times New Roman"/>
          <w:color w:val="000000" w:themeColor="text1"/>
          <w:sz w:val="16"/>
          <w:szCs w:val="16"/>
        </w:rPr>
        <w:softHyphen/>
        <w:t>сти и ускорения. Для работы в летних условиях необходимо усилить охлаждение. По имеющимся в испытательной группе материалам, недостаточно прочен при работе в лет</w:t>
      </w:r>
      <w:r w:rsidRPr="007122AB">
        <w:rPr>
          <w:rFonts w:ascii="Times New Roman" w:hAnsi="Times New Roman"/>
          <w:color w:val="000000" w:themeColor="text1"/>
          <w:sz w:val="16"/>
          <w:szCs w:val="16"/>
        </w:rPr>
        <w:softHyphen/>
        <w:t xml:space="preserve">них условиях на </w:t>
      </w:r>
      <w:proofErr w:type="spellStart"/>
      <w:r w:rsidRPr="007122AB">
        <w:rPr>
          <w:rFonts w:ascii="Times New Roman" w:hAnsi="Times New Roman"/>
          <w:color w:val="000000" w:themeColor="text1"/>
          <w:sz w:val="16"/>
          <w:szCs w:val="16"/>
        </w:rPr>
        <w:t>гусматиках</w:t>
      </w:r>
      <w:proofErr w:type="spellEnd"/>
      <w:r w:rsidRPr="007122AB">
        <w:rPr>
          <w:rFonts w:ascii="Times New Roman" w:hAnsi="Times New Roman"/>
          <w:color w:val="000000" w:themeColor="text1"/>
          <w:sz w:val="16"/>
          <w:szCs w:val="16"/>
        </w:rPr>
        <w:t xml:space="preserve">. В настоящее время автомобиль испытывается группой для определения прочности на </w:t>
      </w:r>
      <w:proofErr w:type="spellStart"/>
      <w:r w:rsidRPr="007122AB">
        <w:rPr>
          <w:rFonts w:ascii="Times New Roman" w:hAnsi="Times New Roman"/>
          <w:color w:val="000000" w:themeColor="text1"/>
          <w:sz w:val="16"/>
          <w:szCs w:val="16"/>
        </w:rPr>
        <w:t>гус</w:t>
      </w:r>
      <w:r w:rsidRPr="007122AB">
        <w:rPr>
          <w:rFonts w:ascii="Times New Roman" w:hAnsi="Times New Roman"/>
          <w:color w:val="000000" w:themeColor="text1"/>
          <w:sz w:val="16"/>
          <w:szCs w:val="16"/>
        </w:rPr>
        <w:softHyphen/>
        <w:t>матиках</w:t>
      </w:r>
      <w:proofErr w:type="spellEnd"/>
      <w:r w:rsidRPr="007122AB">
        <w:rPr>
          <w:rFonts w:ascii="Times New Roman" w:hAnsi="Times New Roman"/>
          <w:color w:val="000000" w:themeColor="text1"/>
          <w:sz w:val="16"/>
          <w:szCs w:val="16"/>
        </w:rPr>
        <w:t>» (11284).</w:t>
      </w:r>
    </w:p>
    <w:p w14:paraId="6D48F9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37D0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C30C61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2B67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феврале-марте 1931 г. по приглашению СНК и ВСНХ СССР в Советский Союз прибыла представительная делегация германских деловых кругов. Возглавлял ее глава концерна «</w:t>
      </w:r>
      <w:proofErr w:type="spellStart"/>
      <w:r w:rsidRPr="007122AB">
        <w:rPr>
          <w:rFonts w:ascii="Times New Roman" w:hAnsi="Times New Roman"/>
          <w:color w:val="000000" w:themeColor="text1"/>
          <w:sz w:val="16"/>
          <w:szCs w:val="16"/>
        </w:rPr>
        <w:t>Клекнер</w:t>
      </w:r>
      <w:proofErr w:type="spellEnd"/>
      <w:r w:rsidRPr="007122AB">
        <w:rPr>
          <w:rFonts w:ascii="Times New Roman" w:hAnsi="Times New Roman"/>
          <w:color w:val="000000" w:themeColor="text1"/>
          <w:sz w:val="16"/>
          <w:szCs w:val="16"/>
        </w:rPr>
        <w:t xml:space="preserve">-Верке» о П. </w:t>
      </w:r>
      <w:proofErr w:type="spellStart"/>
      <w:r w:rsidRPr="007122AB">
        <w:rPr>
          <w:rFonts w:ascii="Times New Roman" w:hAnsi="Times New Roman"/>
          <w:color w:val="000000" w:themeColor="text1"/>
          <w:sz w:val="16"/>
          <w:szCs w:val="16"/>
        </w:rPr>
        <w:t>Клекнер</w:t>
      </w:r>
      <w:proofErr w:type="spellEnd"/>
      <w:r w:rsidRPr="007122AB">
        <w:rPr>
          <w:rFonts w:ascii="Times New Roman" w:hAnsi="Times New Roman"/>
          <w:color w:val="000000" w:themeColor="text1"/>
          <w:sz w:val="16"/>
          <w:szCs w:val="16"/>
        </w:rPr>
        <w:t>. В ее состав входили и представители ВПК Германии: гендиректора фирм «Фридрих Крупп», «</w:t>
      </w:r>
      <w:proofErr w:type="spellStart"/>
      <w:r w:rsidRPr="007122AB">
        <w:rPr>
          <w:rFonts w:ascii="Times New Roman" w:hAnsi="Times New Roman"/>
          <w:color w:val="000000" w:themeColor="text1"/>
          <w:sz w:val="16"/>
          <w:szCs w:val="16"/>
        </w:rPr>
        <w:t>Ферайнихте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Штальверке</w:t>
      </w:r>
      <w:proofErr w:type="spellEnd"/>
      <w:r w:rsidRPr="007122AB">
        <w:rPr>
          <w:rFonts w:ascii="Times New Roman" w:hAnsi="Times New Roman"/>
          <w:color w:val="000000" w:themeColor="text1"/>
          <w:sz w:val="16"/>
          <w:szCs w:val="16"/>
        </w:rPr>
        <w:t xml:space="preserve">», «Отто </w:t>
      </w:r>
      <w:proofErr w:type="spellStart"/>
      <w:r w:rsidRPr="007122AB">
        <w:rPr>
          <w:rFonts w:ascii="Times New Roman" w:hAnsi="Times New Roman"/>
          <w:color w:val="000000" w:themeColor="text1"/>
          <w:sz w:val="16"/>
          <w:szCs w:val="16"/>
        </w:rPr>
        <w:t>Вольфф</w:t>
      </w:r>
      <w:proofErr w:type="spellEnd"/>
      <w:r w:rsidRPr="007122AB">
        <w:rPr>
          <w:rFonts w:ascii="Times New Roman" w:hAnsi="Times New Roman"/>
          <w:color w:val="000000" w:themeColor="text1"/>
          <w:sz w:val="16"/>
          <w:szCs w:val="16"/>
        </w:rPr>
        <w:t>», «Сименс», АЭГ, «</w:t>
      </w:r>
      <w:proofErr w:type="spellStart"/>
      <w:r w:rsidRPr="007122AB">
        <w:rPr>
          <w:rFonts w:ascii="Times New Roman" w:hAnsi="Times New Roman"/>
          <w:color w:val="000000" w:themeColor="text1"/>
          <w:sz w:val="16"/>
          <w:szCs w:val="16"/>
        </w:rPr>
        <w:t>Борзиг</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Шихау</w:t>
      </w:r>
      <w:proofErr w:type="spellEnd"/>
      <w:r w:rsidRPr="007122AB">
        <w:rPr>
          <w:rFonts w:ascii="Times New Roman" w:hAnsi="Times New Roman"/>
          <w:color w:val="000000" w:themeColor="text1"/>
          <w:sz w:val="16"/>
          <w:szCs w:val="16"/>
        </w:rPr>
        <w:t xml:space="preserve">» (верфь в Данциге), МАН, ГХХ, «ИГ </w:t>
      </w:r>
      <w:proofErr w:type="spellStart"/>
      <w:r w:rsidRPr="007122AB">
        <w:rPr>
          <w:rFonts w:ascii="Times New Roman" w:hAnsi="Times New Roman"/>
          <w:color w:val="000000" w:themeColor="text1"/>
          <w:sz w:val="16"/>
          <w:szCs w:val="16"/>
        </w:rPr>
        <w:t>Фарбен</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Металльгезелыпафт</w:t>
      </w:r>
      <w:proofErr w:type="spellEnd"/>
      <w:r w:rsidRPr="007122AB">
        <w:rPr>
          <w:rFonts w:ascii="Times New Roman" w:hAnsi="Times New Roman"/>
          <w:color w:val="000000" w:themeColor="text1"/>
          <w:sz w:val="16"/>
          <w:szCs w:val="16"/>
        </w:rPr>
        <w:t>», «Линке Хоффман-Буш», «</w:t>
      </w:r>
      <w:proofErr w:type="spellStart"/>
      <w:r w:rsidRPr="007122AB">
        <w:rPr>
          <w:rFonts w:ascii="Times New Roman" w:hAnsi="Times New Roman"/>
          <w:color w:val="000000" w:themeColor="text1"/>
          <w:sz w:val="16"/>
          <w:szCs w:val="16"/>
        </w:rPr>
        <w:t>Райникер</w:t>
      </w:r>
      <w:proofErr w:type="spellEnd"/>
      <w:r w:rsidRPr="007122AB">
        <w:rPr>
          <w:rFonts w:ascii="Times New Roman" w:hAnsi="Times New Roman"/>
          <w:color w:val="000000" w:themeColor="text1"/>
          <w:sz w:val="16"/>
          <w:szCs w:val="16"/>
        </w:rPr>
        <w:t>», ДЕМАГ. 28 февраля 1931 г. их принял председатель ВСНХ Г. К. Орджоникидзе. Он предложил удвоить советские заказы немцам. Но для этого требовались большие кредиты. Переговоры завершились на мажорной ноте — была достигнута принципиальная договоренность о предоставлении экспортного кредита и наращивании поставок оборудования в СССР (ДВП СССР, т. XIV, с. 118, с. 778-781.) (11784).</w:t>
      </w:r>
    </w:p>
    <w:p w14:paraId="6A2B6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1F5971" w14:textId="77777777" w:rsidR="00B8294A" w:rsidRPr="007122AB" w:rsidRDefault="00B829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феврале-марте 1931 г. по приглашению СНК и ВСНХ СССР в Советский Союз прибыла представительная делегация германских деловых кругов. Возглавлял ее глава концерна «</w:t>
      </w:r>
      <w:proofErr w:type="spellStart"/>
      <w:r w:rsidRPr="007122AB">
        <w:rPr>
          <w:rFonts w:ascii="Times New Roman" w:hAnsi="Times New Roman"/>
          <w:color w:val="000000" w:themeColor="text1"/>
          <w:sz w:val="16"/>
          <w:szCs w:val="16"/>
        </w:rPr>
        <w:t>Клекнер</w:t>
      </w:r>
      <w:proofErr w:type="spellEnd"/>
      <w:r w:rsidRPr="007122AB">
        <w:rPr>
          <w:rFonts w:ascii="Times New Roman" w:hAnsi="Times New Roman"/>
          <w:color w:val="000000" w:themeColor="text1"/>
          <w:sz w:val="16"/>
          <w:szCs w:val="16"/>
        </w:rPr>
        <w:t xml:space="preserve">-Верке» о П. </w:t>
      </w:r>
      <w:proofErr w:type="spellStart"/>
      <w:r w:rsidRPr="007122AB">
        <w:rPr>
          <w:rFonts w:ascii="Times New Roman" w:hAnsi="Times New Roman"/>
          <w:color w:val="000000" w:themeColor="text1"/>
          <w:sz w:val="16"/>
          <w:szCs w:val="16"/>
        </w:rPr>
        <w:t>Клекнер</w:t>
      </w:r>
      <w:proofErr w:type="spellEnd"/>
      <w:r w:rsidRPr="007122AB">
        <w:rPr>
          <w:rFonts w:ascii="Times New Roman" w:hAnsi="Times New Roman"/>
          <w:color w:val="000000" w:themeColor="text1"/>
          <w:sz w:val="16"/>
          <w:szCs w:val="16"/>
        </w:rPr>
        <w:t>. В ее состав входили и представители ВПК Германии: гендиректора фирм «Фридрих Крупп», «</w:t>
      </w:r>
      <w:proofErr w:type="spellStart"/>
      <w:r w:rsidRPr="007122AB">
        <w:rPr>
          <w:rFonts w:ascii="Times New Roman" w:hAnsi="Times New Roman"/>
          <w:color w:val="000000" w:themeColor="text1"/>
          <w:sz w:val="16"/>
          <w:szCs w:val="16"/>
        </w:rPr>
        <w:t>Ферайнихте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Штальверке</w:t>
      </w:r>
      <w:proofErr w:type="spellEnd"/>
      <w:r w:rsidRPr="007122AB">
        <w:rPr>
          <w:rFonts w:ascii="Times New Roman" w:hAnsi="Times New Roman"/>
          <w:color w:val="000000" w:themeColor="text1"/>
          <w:sz w:val="16"/>
          <w:szCs w:val="16"/>
        </w:rPr>
        <w:t xml:space="preserve">», «Отто </w:t>
      </w:r>
      <w:proofErr w:type="spellStart"/>
      <w:r w:rsidRPr="007122AB">
        <w:rPr>
          <w:rFonts w:ascii="Times New Roman" w:hAnsi="Times New Roman"/>
          <w:color w:val="000000" w:themeColor="text1"/>
          <w:sz w:val="16"/>
          <w:szCs w:val="16"/>
        </w:rPr>
        <w:t>Вольфф</w:t>
      </w:r>
      <w:proofErr w:type="spellEnd"/>
      <w:r w:rsidRPr="007122AB">
        <w:rPr>
          <w:rFonts w:ascii="Times New Roman" w:hAnsi="Times New Roman"/>
          <w:color w:val="000000" w:themeColor="text1"/>
          <w:sz w:val="16"/>
          <w:szCs w:val="16"/>
        </w:rPr>
        <w:t>», «Сименс», АЭГ, «</w:t>
      </w:r>
      <w:proofErr w:type="spellStart"/>
      <w:r w:rsidRPr="007122AB">
        <w:rPr>
          <w:rFonts w:ascii="Times New Roman" w:hAnsi="Times New Roman"/>
          <w:color w:val="000000" w:themeColor="text1"/>
          <w:sz w:val="16"/>
          <w:szCs w:val="16"/>
        </w:rPr>
        <w:t>Борзиг</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Шихау</w:t>
      </w:r>
      <w:proofErr w:type="spellEnd"/>
      <w:r w:rsidRPr="007122AB">
        <w:rPr>
          <w:rFonts w:ascii="Times New Roman" w:hAnsi="Times New Roman"/>
          <w:color w:val="000000" w:themeColor="text1"/>
          <w:sz w:val="16"/>
          <w:szCs w:val="16"/>
        </w:rPr>
        <w:t xml:space="preserve">» (верфь в Данциге), МАН, ГХХ, «ИГ </w:t>
      </w:r>
      <w:proofErr w:type="spellStart"/>
      <w:r w:rsidRPr="007122AB">
        <w:rPr>
          <w:rFonts w:ascii="Times New Roman" w:hAnsi="Times New Roman"/>
          <w:color w:val="000000" w:themeColor="text1"/>
          <w:sz w:val="16"/>
          <w:szCs w:val="16"/>
        </w:rPr>
        <w:t>Фарбен</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Металльгезелыпафт</w:t>
      </w:r>
      <w:proofErr w:type="spellEnd"/>
      <w:r w:rsidRPr="007122AB">
        <w:rPr>
          <w:rFonts w:ascii="Times New Roman" w:hAnsi="Times New Roman"/>
          <w:color w:val="000000" w:themeColor="text1"/>
          <w:sz w:val="16"/>
          <w:szCs w:val="16"/>
        </w:rPr>
        <w:t>», «Линке Хоффман-Буш», «</w:t>
      </w:r>
      <w:proofErr w:type="spellStart"/>
      <w:r w:rsidRPr="007122AB">
        <w:rPr>
          <w:rFonts w:ascii="Times New Roman" w:hAnsi="Times New Roman"/>
          <w:color w:val="000000" w:themeColor="text1"/>
          <w:sz w:val="16"/>
          <w:szCs w:val="16"/>
        </w:rPr>
        <w:t>Райникер</w:t>
      </w:r>
      <w:proofErr w:type="spellEnd"/>
      <w:r w:rsidRPr="007122AB">
        <w:rPr>
          <w:rFonts w:ascii="Times New Roman" w:hAnsi="Times New Roman"/>
          <w:color w:val="000000" w:themeColor="text1"/>
          <w:sz w:val="16"/>
          <w:szCs w:val="16"/>
        </w:rPr>
        <w:t xml:space="preserve">», ДЕМАГ. 28 февраля 1931 г. их принял председатель ВСНХ Г. К. Орджоникидзе. Он предложил удвоить советские заказы немцам. Но для этого </w:t>
      </w:r>
      <w:r w:rsidRPr="007122AB">
        <w:rPr>
          <w:rFonts w:ascii="Times New Roman" w:hAnsi="Times New Roman"/>
          <w:color w:val="000000" w:themeColor="text1"/>
          <w:sz w:val="16"/>
          <w:szCs w:val="16"/>
        </w:rPr>
        <w:lastRenderedPageBreak/>
        <w:t>требовались большие кредиты. Переговоры завершились на мажорной ноте — была достигнута принципиальная договоренность о предоставлении экспортного кредита и наращивании поставок оборудования в СССР (18265).</w:t>
      </w:r>
    </w:p>
    <w:p w14:paraId="10B6F7FB" w14:textId="77777777" w:rsidR="00B8294A" w:rsidRPr="007122AB" w:rsidRDefault="00B8294A" w:rsidP="007122AB">
      <w:pPr>
        <w:spacing w:after="0" w:line="240" w:lineRule="auto"/>
        <w:jc w:val="both"/>
        <w:rPr>
          <w:rFonts w:ascii="Times New Roman" w:hAnsi="Times New Roman"/>
          <w:color w:val="000000" w:themeColor="text1"/>
          <w:sz w:val="16"/>
          <w:szCs w:val="16"/>
        </w:rPr>
      </w:pPr>
    </w:p>
    <w:p w14:paraId="25D7EDC6" w14:textId="77777777" w:rsidR="00063F82" w:rsidRPr="007122AB" w:rsidRDefault="00063F8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7C99134" w14:textId="77777777" w:rsidR="00063F82" w:rsidRPr="007122AB" w:rsidRDefault="00063F8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81D202" w14:textId="77777777" w:rsidR="00063F82" w:rsidRPr="007122AB" w:rsidRDefault="00063F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весне 1931 "Большевик" оказался загружен работами по теме Т-26, а задание по Т-23 отодвигали. В итоге опытный образец всё же собрали, но случилось это 31 октября 1931 (22492)</w:t>
      </w:r>
    </w:p>
    <w:p w14:paraId="0B625E96" w14:textId="77777777" w:rsidR="00063F82" w:rsidRPr="007122AB" w:rsidRDefault="00063F82" w:rsidP="007122AB">
      <w:pPr>
        <w:shd w:val="clear" w:color="auto" w:fill="FFFFFF"/>
        <w:spacing w:after="0" w:line="240" w:lineRule="auto"/>
        <w:jc w:val="both"/>
        <w:rPr>
          <w:rFonts w:ascii="Times New Roman" w:hAnsi="Times New Roman"/>
          <w:color w:val="000000" w:themeColor="text1"/>
          <w:sz w:val="16"/>
          <w:szCs w:val="16"/>
        </w:rPr>
      </w:pPr>
    </w:p>
    <w:p w14:paraId="565406F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09B0C3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306A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марта 1931 КБ ЦАГИ приступило к проектированию АНТ-21 (МИ-3) - первой машины А.Н.Т. с убирающимся шасси и из-за этого задержались (2072,67).</w:t>
      </w:r>
    </w:p>
    <w:p w14:paraId="6770C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работы по МИ-3 начали с 1 июня 1931 (2072,68).</w:t>
      </w:r>
    </w:p>
    <w:p w14:paraId="6BB39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5154D0"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 марта 1931 г., основываясь на ТТТ УВВС, достаточно высоких для своего времени (в 1931 г. УВВС наконец утвердило ТТТ к двум тяжелым истребителям: многоместному МИ—3, вооруженному скорострельными пуле</w:t>
      </w:r>
      <w:r w:rsidRPr="00441F34">
        <w:rPr>
          <w:rFonts w:ascii="Times New Roman" w:hAnsi="Times New Roman"/>
          <w:color w:val="0070C0"/>
          <w:sz w:val="16"/>
          <w:szCs w:val="16"/>
        </w:rPr>
        <w:softHyphen/>
        <w:t>метами, и пушечному истребителю ДИП. Создание обеих машин решили поручить ЦАГИ), КБ приступи</w:t>
      </w:r>
      <w:r w:rsidRPr="00441F34">
        <w:rPr>
          <w:rFonts w:ascii="Times New Roman" w:hAnsi="Times New Roman"/>
          <w:color w:val="0070C0"/>
          <w:sz w:val="16"/>
          <w:szCs w:val="16"/>
        </w:rPr>
        <w:softHyphen/>
        <w:t>ло к проектированию, а уже в июле представило на рассмотрение НИИ ВВС эскизный проект истребителя МИ-3 (заводское обозначение АНТ—21). Проект был утвержден, несмотря на не</w:t>
      </w:r>
      <w:r w:rsidRPr="00441F34">
        <w:rPr>
          <w:rFonts w:ascii="Times New Roman" w:hAnsi="Times New Roman"/>
          <w:color w:val="0070C0"/>
          <w:sz w:val="16"/>
          <w:szCs w:val="16"/>
        </w:rPr>
        <w:softHyphen/>
        <w:t>которые отклонения от требований ВВС:</w:t>
      </w:r>
    </w:p>
    <w:p w14:paraId="062FB0F8"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w:t>
      </w:r>
    </w:p>
    <w:tbl>
      <w:tblPr>
        <w:tblOverlap w:val="never"/>
        <w:tblW w:w="0" w:type="auto"/>
        <w:tblLayout w:type="fixed"/>
        <w:tblCellMar>
          <w:left w:w="10" w:type="dxa"/>
          <w:right w:w="10" w:type="dxa"/>
        </w:tblCellMar>
        <w:tblLook w:val="04A0" w:firstRow="1" w:lastRow="0" w:firstColumn="1" w:lastColumn="0" w:noHBand="0" w:noVBand="1"/>
      </w:tblPr>
      <w:tblGrid>
        <w:gridCol w:w="2045"/>
        <w:gridCol w:w="811"/>
        <w:gridCol w:w="562"/>
      </w:tblGrid>
      <w:tr w:rsidR="004F1F65" w:rsidRPr="00441F34" w14:paraId="04DA2F91" w14:textId="77777777" w:rsidTr="004B2EA4">
        <w:trPr>
          <w:trHeight w:val="235"/>
        </w:trPr>
        <w:tc>
          <w:tcPr>
            <w:tcW w:w="2045" w:type="dxa"/>
            <w:shd w:val="clear" w:color="auto" w:fill="auto"/>
          </w:tcPr>
          <w:p w14:paraId="6EA4C1E1"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скорость, км/ч</w:t>
            </w:r>
          </w:p>
        </w:tc>
        <w:tc>
          <w:tcPr>
            <w:tcW w:w="811" w:type="dxa"/>
            <w:shd w:val="clear" w:color="auto" w:fill="auto"/>
          </w:tcPr>
          <w:p w14:paraId="41AEBFE3"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300</w:t>
            </w:r>
          </w:p>
        </w:tc>
        <w:tc>
          <w:tcPr>
            <w:tcW w:w="562" w:type="dxa"/>
            <w:shd w:val="clear" w:color="auto" w:fill="auto"/>
          </w:tcPr>
          <w:p w14:paraId="680437B6"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320</w:t>
            </w:r>
          </w:p>
        </w:tc>
      </w:tr>
      <w:tr w:rsidR="004F1F65" w:rsidRPr="00441F34" w14:paraId="5472B517" w14:textId="77777777" w:rsidTr="004B2EA4">
        <w:trPr>
          <w:trHeight w:val="643"/>
        </w:trPr>
        <w:tc>
          <w:tcPr>
            <w:tcW w:w="2045" w:type="dxa"/>
            <w:shd w:val="clear" w:color="auto" w:fill="auto"/>
            <w:vAlign w:val="bottom"/>
          </w:tcPr>
          <w:p w14:paraId="415F771D"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скорость</w:t>
            </w:r>
          </w:p>
          <w:p w14:paraId="0669582C"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посадочная, км/ч время набора высоты</w:t>
            </w:r>
          </w:p>
        </w:tc>
        <w:tc>
          <w:tcPr>
            <w:tcW w:w="811" w:type="dxa"/>
            <w:shd w:val="clear" w:color="auto" w:fill="auto"/>
            <w:vAlign w:val="center"/>
          </w:tcPr>
          <w:p w14:paraId="12685226"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90-100</w:t>
            </w:r>
          </w:p>
        </w:tc>
        <w:tc>
          <w:tcPr>
            <w:tcW w:w="562" w:type="dxa"/>
            <w:shd w:val="clear" w:color="auto" w:fill="auto"/>
            <w:vAlign w:val="center"/>
          </w:tcPr>
          <w:p w14:paraId="47243E31"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w:t>
            </w:r>
          </w:p>
        </w:tc>
      </w:tr>
      <w:tr w:rsidR="004F1F65" w:rsidRPr="00441F34" w14:paraId="7F029D0A" w14:textId="77777777" w:rsidTr="004B2EA4">
        <w:trPr>
          <w:trHeight w:val="206"/>
        </w:trPr>
        <w:tc>
          <w:tcPr>
            <w:tcW w:w="2045" w:type="dxa"/>
            <w:shd w:val="clear" w:color="auto" w:fill="auto"/>
          </w:tcPr>
          <w:p w14:paraId="4F9A24A5"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5000 м, мин</w:t>
            </w:r>
          </w:p>
        </w:tc>
        <w:tc>
          <w:tcPr>
            <w:tcW w:w="811" w:type="dxa"/>
            <w:shd w:val="clear" w:color="auto" w:fill="auto"/>
          </w:tcPr>
          <w:p w14:paraId="677CC05B"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12-14</w:t>
            </w:r>
          </w:p>
        </w:tc>
        <w:tc>
          <w:tcPr>
            <w:tcW w:w="562" w:type="dxa"/>
            <w:shd w:val="clear" w:color="auto" w:fill="auto"/>
          </w:tcPr>
          <w:p w14:paraId="37EC4AE9"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w:t>
            </w:r>
          </w:p>
        </w:tc>
      </w:tr>
      <w:tr w:rsidR="004F1F65" w:rsidRPr="00441F34" w14:paraId="4CD01D70" w14:textId="77777777" w:rsidTr="004B2EA4">
        <w:trPr>
          <w:trHeight w:val="221"/>
        </w:trPr>
        <w:tc>
          <w:tcPr>
            <w:tcW w:w="2045" w:type="dxa"/>
            <w:shd w:val="clear" w:color="auto" w:fill="auto"/>
            <w:vAlign w:val="bottom"/>
          </w:tcPr>
          <w:p w14:paraId="224F8504"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потолок, м</w:t>
            </w:r>
          </w:p>
        </w:tc>
        <w:tc>
          <w:tcPr>
            <w:tcW w:w="811" w:type="dxa"/>
            <w:shd w:val="clear" w:color="auto" w:fill="auto"/>
            <w:vAlign w:val="bottom"/>
          </w:tcPr>
          <w:p w14:paraId="5FAEB202"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7000</w:t>
            </w:r>
          </w:p>
        </w:tc>
        <w:tc>
          <w:tcPr>
            <w:tcW w:w="562" w:type="dxa"/>
            <w:shd w:val="clear" w:color="auto" w:fill="auto"/>
            <w:vAlign w:val="bottom"/>
          </w:tcPr>
          <w:p w14:paraId="4BEFE279"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8300</w:t>
            </w:r>
          </w:p>
        </w:tc>
      </w:tr>
      <w:tr w:rsidR="004F1F65" w:rsidRPr="00441F34" w14:paraId="7290FE08" w14:textId="77777777" w:rsidTr="004B2EA4">
        <w:trPr>
          <w:trHeight w:val="221"/>
        </w:trPr>
        <w:tc>
          <w:tcPr>
            <w:tcW w:w="2045" w:type="dxa"/>
            <w:shd w:val="clear" w:color="auto" w:fill="auto"/>
            <w:vAlign w:val="bottom"/>
          </w:tcPr>
          <w:p w14:paraId="67063797"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дальность, км</w:t>
            </w:r>
          </w:p>
        </w:tc>
        <w:tc>
          <w:tcPr>
            <w:tcW w:w="811" w:type="dxa"/>
            <w:shd w:val="clear" w:color="auto" w:fill="auto"/>
            <w:vAlign w:val="bottom"/>
          </w:tcPr>
          <w:p w14:paraId="748F76E4" w14:textId="77777777" w:rsidR="004F1F65" w:rsidRPr="00441F34" w:rsidRDefault="004F1F65" w:rsidP="004B2EA4">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юоо</w:t>
            </w:r>
            <w:proofErr w:type="spellEnd"/>
          </w:p>
        </w:tc>
        <w:tc>
          <w:tcPr>
            <w:tcW w:w="562" w:type="dxa"/>
            <w:shd w:val="clear" w:color="auto" w:fill="auto"/>
            <w:vAlign w:val="bottom"/>
          </w:tcPr>
          <w:p w14:paraId="3ED0FD44"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ЮОО</w:t>
            </w:r>
          </w:p>
        </w:tc>
      </w:tr>
      <w:tr w:rsidR="004F1F65" w:rsidRPr="00441F34" w14:paraId="360AAB9F" w14:textId="77777777" w:rsidTr="004B2EA4">
        <w:trPr>
          <w:trHeight w:val="226"/>
        </w:trPr>
        <w:tc>
          <w:tcPr>
            <w:tcW w:w="2045" w:type="dxa"/>
            <w:shd w:val="clear" w:color="auto" w:fill="auto"/>
          </w:tcPr>
          <w:p w14:paraId="3F6E5B10"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разбег, м</w:t>
            </w:r>
          </w:p>
        </w:tc>
        <w:tc>
          <w:tcPr>
            <w:tcW w:w="811" w:type="dxa"/>
            <w:shd w:val="clear" w:color="auto" w:fill="auto"/>
          </w:tcPr>
          <w:p w14:paraId="07A84CDB"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w:t>
            </w:r>
          </w:p>
        </w:tc>
        <w:tc>
          <w:tcPr>
            <w:tcW w:w="562" w:type="dxa"/>
            <w:shd w:val="clear" w:color="auto" w:fill="auto"/>
          </w:tcPr>
          <w:p w14:paraId="5E993171"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130</w:t>
            </w:r>
          </w:p>
        </w:tc>
      </w:tr>
      <w:tr w:rsidR="004F1F65" w:rsidRPr="00441F34" w14:paraId="11FB62DA" w14:textId="77777777" w:rsidTr="004B2EA4">
        <w:trPr>
          <w:trHeight w:val="221"/>
        </w:trPr>
        <w:tc>
          <w:tcPr>
            <w:tcW w:w="2045" w:type="dxa"/>
            <w:shd w:val="clear" w:color="auto" w:fill="auto"/>
          </w:tcPr>
          <w:p w14:paraId="5266B7FF"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пробег (с тормозами), м</w:t>
            </w:r>
          </w:p>
        </w:tc>
        <w:tc>
          <w:tcPr>
            <w:tcW w:w="811" w:type="dxa"/>
            <w:shd w:val="clear" w:color="auto" w:fill="auto"/>
          </w:tcPr>
          <w:p w14:paraId="49AD852E"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w:t>
            </w:r>
          </w:p>
        </w:tc>
        <w:tc>
          <w:tcPr>
            <w:tcW w:w="562" w:type="dxa"/>
            <w:shd w:val="clear" w:color="auto" w:fill="auto"/>
          </w:tcPr>
          <w:p w14:paraId="20DB23DC" w14:textId="77777777" w:rsidR="004F1F65" w:rsidRPr="00441F34" w:rsidRDefault="004F1F6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315</w:t>
            </w:r>
          </w:p>
        </w:tc>
      </w:tr>
    </w:tbl>
    <w:p w14:paraId="740BF3F3"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(23474).</w:t>
      </w:r>
    </w:p>
    <w:p w14:paraId="099A984F" w14:textId="77777777" w:rsidR="004F1F65" w:rsidRPr="00441F34" w:rsidRDefault="004F1F65" w:rsidP="004F1F65">
      <w:pPr>
        <w:spacing w:after="0" w:line="240" w:lineRule="auto"/>
        <w:jc w:val="both"/>
        <w:rPr>
          <w:rFonts w:ascii="Times New Roman" w:hAnsi="Times New Roman"/>
          <w:color w:val="0070C0"/>
          <w:sz w:val="16"/>
          <w:szCs w:val="16"/>
        </w:rPr>
      </w:pPr>
    </w:p>
    <w:p w14:paraId="0AD1B8E3"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1-го марта 1931г. ЦАГИ приступил к проектированию самолета МИ-3 (АНТ-21) (24197).</w:t>
      </w:r>
    </w:p>
    <w:p w14:paraId="2AAE9A0F" w14:textId="77777777" w:rsidR="004F1F65" w:rsidRPr="00441F34" w:rsidRDefault="004F1F65" w:rsidP="004F1F65">
      <w:pPr>
        <w:spacing w:after="0" w:line="240" w:lineRule="auto"/>
        <w:jc w:val="both"/>
        <w:rPr>
          <w:rFonts w:ascii="Times New Roman" w:hAnsi="Times New Roman"/>
          <w:color w:val="0070C0"/>
          <w:sz w:val="16"/>
          <w:szCs w:val="16"/>
        </w:rPr>
      </w:pPr>
    </w:p>
    <w:p w14:paraId="0E758CD8" w14:textId="77777777" w:rsidR="00917E36" w:rsidRPr="007122AB" w:rsidRDefault="00917E36"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На 1 марта 1931 в сводке НИИ ВВС по опытному самоле</w:t>
      </w:r>
      <w:r w:rsidRPr="007122AB">
        <w:rPr>
          <w:rFonts w:ascii="Times New Roman" w:hAnsi="Times New Roman"/>
          <w:color w:val="000000" w:themeColor="text1"/>
          <w:sz w:val="16"/>
          <w:szCs w:val="16"/>
          <w:lang w:eastAsia="ru-RU" w:bidi="ru-RU"/>
        </w:rPr>
        <w:softHyphen/>
        <w:t>тостроению отмечается, что работы по ТШ-1 2М-34 не ведутся, «так как нерешенными остаются тактические требования к самолету» (21062).</w:t>
      </w:r>
    </w:p>
    <w:p w14:paraId="4EA8FA15" w14:textId="77777777" w:rsidR="00917E36" w:rsidRPr="007122AB" w:rsidRDefault="00917E36" w:rsidP="007122AB">
      <w:pPr>
        <w:spacing w:after="0" w:line="240" w:lineRule="auto"/>
        <w:jc w:val="both"/>
        <w:rPr>
          <w:rFonts w:ascii="Times New Roman" w:hAnsi="Times New Roman"/>
          <w:color w:val="000000" w:themeColor="text1"/>
          <w:sz w:val="16"/>
          <w:szCs w:val="16"/>
        </w:rPr>
      </w:pPr>
    </w:p>
    <w:p w14:paraId="661FB22C" w14:textId="77777777" w:rsidR="00917E36" w:rsidRPr="007122AB" w:rsidRDefault="00917E3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903390B" w14:textId="77777777" w:rsidR="00917E36" w:rsidRPr="007122AB" w:rsidRDefault="00917E3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FB3923" w14:textId="77777777" w:rsidR="00132B05" w:rsidRPr="007122AB" w:rsidRDefault="00132B05" w:rsidP="007122AB">
      <w:pPr>
        <w:pStyle w:val="a3"/>
        <w:rPr>
          <w:color w:val="000000" w:themeColor="text1"/>
          <w:lang w:val="ru-RU"/>
        </w:rPr>
      </w:pPr>
      <w:r w:rsidRPr="007122AB">
        <w:rPr>
          <w:color w:val="000000" w:themeColor="text1"/>
          <w:lang w:val="ru-RU"/>
        </w:rPr>
        <w:t>1 марта 1931 были организованы испытания по преодолению естествен</w:t>
      </w:r>
      <w:r w:rsidRPr="007122AB">
        <w:rPr>
          <w:color w:val="000000" w:themeColor="text1"/>
          <w:lang w:val="ru-RU"/>
        </w:rPr>
        <w:softHyphen/>
        <w:t>ных препятствий при движении на пересеченной местности. После съе</w:t>
      </w:r>
      <w:r w:rsidRPr="007122AB">
        <w:rPr>
          <w:color w:val="000000" w:themeColor="text1"/>
          <w:lang w:val="ru-RU"/>
        </w:rPr>
        <w:softHyphen/>
        <w:t>зда с Волоколамского шоссе на бездорожье на танк №230 надели шпо</w:t>
      </w:r>
      <w:r w:rsidRPr="007122AB">
        <w:rPr>
          <w:color w:val="000000" w:themeColor="text1"/>
          <w:lang w:val="ru-RU"/>
        </w:rPr>
        <w:softHyphen/>
        <w:t>ры. Эта процедура заняла у четырех человек около 1 ч (на снятие шпор потребовалось 20 мин). Затем маршрут движения танка пролегал до д. Чернове. Местность изобиловала подъемами до 15' и была покрыта снегом глубиной до 1м.</w:t>
      </w:r>
    </w:p>
    <w:p w14:paraId="5ACBD27F" w14:textId="77777777" w:rsidR="00132B05" w:rsidRPr="007122AB" w:rsidRDefault="00132B05" w:rsidP="007122AB">
      <w:pPr>
        <w:pStyle w:val="a3"/>
        <w:rPr>
          <w:color w:val="000000" w:themeColor="text1"/>
          <w:lang w:val="ru-RU"/>
        </w:rPr>
      </w:pPr>
      <w:r w:rsidRPr="007122AB">
        <w:rPr>
          <w:color w:val="000000" w:themeColor="text1"/>
          <w:lang w:val="ru-RU"/>
        </w:rPr>
        <w:t xml:space="preserve">Весь маршрут протяженностью 50 км был преодолен за 3 ч 43 мин без каких-либо серьезных замечаний. Отмечалось, правда, излишняя высота шпор, что привело к разрушению элементов крепления </w:t>
      </w:r>
      <w:proofErr w:type="spellStart"/>
      <w:r w:rsidRPr="007122AB">
        <w:rPr>
          <w:color w:val="000000" w:themeColor="text1"/>
          <w:lang w:val="ru-RU"/>
        </w:rPr>
        <w:t>надгусеничных</w:t>
      </w:r>
      <w:proofErr w:type="spellEnd"/>
      <w:r w:rsidRPr="007122AB">
        <w:rPr>
          <w:color w:val="000000" w:themeColor="text1"/>
          <w:lang w:val="ru-RU"/>
        </w:rPr>
        <w:t xml:space="preserve"> полок. Использование шпор при движении по твердому покры</w:t>
      </w:r>
      <w:r w:rsidRPr="007122AB">
        <w:rPr>
          <w:color w:val="000000" w:themeColor="text1"/>
          <w:lang w:val="ru-RU"/>
        </w:rPr>
        <w:softHyphen/>
        <w:t>тию вызывало сильную вибрацию танка и вынуждало снижать скорость движения до предельно малой величины.</w:t>
      </w:r>
    </w:p>
    <w:p w14:paraId="585749B9" w14:textId="77777777" w:rsidR="00132B05" w:rsidRPr="007122AB" w:rsidRDefault="00132B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4"/>
          <w:rFonts w:ascii="Times New Roman" w:eastAsia="Arial Unicode MS" w:hAnsi="Times New Roman" w:cs="Times New Roman"/>
          <w:i w:val="0"/>
          <w:iCs w:val="0"/>
          <w:color w:val="000000" w:themeColor="text1"/>
          <w:sz w:val="16"/>
          <w:szCs w:val="16"/>
        </w:rPr>
        <w:t>Майор Одди заметил в своем отчете:</w:t>
      </w:r>
      <w:r w:rsidRPr="007122AB">
        <w:rPr>
          <w:rFonts w:ascii="Times New Roman" w:hAnsi="Times New Roman" w:cs="Times New Roman"/>
          <w:i w:val="0"/>
          <w:color w:val="000000" w:themeColor="text1"/>
          <w:sz w:val="16"/>
          <w:szCs w:val="16"/>
        </w:rPr>
        <w:t xml:space="preserve"> «Шпоры мы применит только раз, на коротком, но очень жестоком пробеге по пересеченной местно</w:t>
      </w:r>
      <w:r w:rsidRPr="007122AB">
        <w:rPr>
          <w:rFonts w:ascii="Times New Roman" w:hAnsi="Times New Roman" w:cs="Times New Roman"/>
          <w:i w:val="0"/>
          <w:color w:val="000000" w:themeColor="text1"/>
          <w:sz w:val="16"/>
          <w:szCs w:val="16"/>
        </w:rPr>
        <w:softHyphen/>
        <w:t>сти (через очень глубокий снег) с многочисленными подъемами и т.д.</w:t>
      </w:r>
    </w:p>
    <w:p w14:paraId="27B41427" w14:textId="77777777" w:rsidR="00132B05" w:rsidRPr="007122AB" w:rsidRDefault="00132B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Мы имели также еще более жестокое испытание по пересеченной местности, когда снег во многих местах достигал глубины 2 фут. 6 дюй</w:t>
      </w:r>
      <w:r w:rsidRPr="007122AB">
        <w:rPr>
          <w:rFonts w:ascii="Times New Roman" w:hAnsi="Times New Roman" w:cs="Times New Roman"/>
          <w:i w:val="0"/>
          <w:color w:val="000000" w:themeColor="text1"/>
          <w:sz w:val="16"/>
          <w:szCs w:val="16"/>
        </w:rPr>
        <w:softHyphen/>
        <w:t>мов и 3 футами и местность изобиловала многочисленными пнями (по</w:t>
      </w:r>
      <w:r w:rsidRPr="007122AB">
        <w:rPr>
          <w:rFonts w:ascii="Times New Roman" w:hAnsi="Times New Roman" w:cs="Times New Roman"/>
          <w:i w:val="0"/>
          <w:color w:val="000000" w:themeColor="text1"/>
          <w:sz w:val="16"/>
          <w:szCs w:val="16"/>
        </w:rPr>
        <w:softHyphen/>
        <w:t>крытыми снегом), включая также препятствия, подъемы и канавы.</w:t>
      </w:r>
    </w:p>
    <w:p w14:paraId="4275DCC2" w14:textId="77777777" w:rsidR="00132B05" w:rsidRPr="007122AB" w:rsidRDefault="00132B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Машина выполнила это прекрасно и произвела все это испытание без шпор».</w:t>
      </w:r>
    </w:p>
    <w:p w14:paraId="3EA2C7FB" w14:textId="77777777" w:rsidR="00132B05" w:rsidRPr="007122AB" w:rsidRDefault="00132B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4"/>
          <w:rFonts w:ascii="Times New Roman" w:eastAsia="Arial Unicode MS" w:hAnsi="Times New Roman" w:cs="Times New Roman"/>
          <w:i w:val="0"/>
          <w:iCs w:val="0"/>
          <w:color w:val="000000" w:themeColor="text1"/>
          <w:sz w:val="16"/>
          <w:szCs w:val="16"/>
        </w:rPr>
        <w:t>Двигатель при кренах до 18' работал</w:t>
      </w:r>
      <w:r w:rsidRPr="007122AB">
        <w:rPr>
          <w:rFonts w:ascii="Times New Roman" w:hAnsi="Times New Roman" w:cs="Times New Roman"/>
          <w:i w:val="0"/>
          <w:color w:val="000000" w:themeColor="text1"/>
          <w:sz w:val="16"/>
          <w:szCs w:val="16"/>
        </w:rPr>
        <w:t xml:space="preserve"> «четко, как и на горизонтальной дороге».</w:t>
      </w:r>
    </w:p>
    <w:p w14:paraId="05DEC94B" w14:textId="77777777" w:rsidR="00132B05" w:rsidRPr="007122AB" w:rsidRDefault="00132B05" w:rsidP="007122AB">
      <w:pPr>
        <w:pStyle w:val="a3"/>
        <w:rPr>
          <w:color w:val="000000" w:themeColor="text1"/>
          <w:lang w:val="ru-RU"/>
        </w:rPr>
      </w:pPr>
      <w:r w:rsidRPr="007122AB">
        <w:rPr>
          <w:color w:val="000000" w:themeColor="text1"/>
          <w:lang w:val="ru-RU"/>
        </w:rPr>
        <w:t>При испытаниях по определению скоростей движения танка получи</w:t>
      </w:r>
      <w:r w:rsidRPr="007122AB">
        <w:rPr>
          <w:color w:val="000000" w:themeColor="text1"/>
          <w:lang w:val="ru-RU"/>
        </w:rPr>
        <w:softHyphen/>
        <w:t>ли следующие результаты: максимальная скорость по шоссе - 32 км/ч, на грунтовой дороге со снежным покровом до 40 см - 20 км/ч, по снеж</w:t>
      </w:r>
      <w:r w:rsidRPr="007122AB">
        <w:rPr>
          <w:color w:val="000000" w:themeColor="text1"/>
          <w:lang w:val="ru-RU"/>
        </w:rPr>
        <w:softHyphen/>
        <w:t xml:space="preserve">ной целине со снежным покровом до 40 см - 14 км/ч. Средние скорости движения составили: по шоссе - 21 км/ч, </w:t>
      </w:r>
      <w:proofErr w:type="spellStart"/>
      <w:r w:rsidRPr="007122AB">
        <w:rPr>
          <w:color w:val="000000" w:themeColor="text1"/>
          <w:lang w:val="ru-RU"/>
        </w:rPr>
        <w:t>попроселку</w:t>
      </w:r>
      <w:proofErr w:type="spellEnd"/>
      <w:r w:rsidRPr="007122AB">
        <w:rPr>
          <w:color w:val="000000" w:themeColor="text1"/>
          <w:lang w:val="ru-RU"/>
        </w:rPr>
        <w:t>- 17,8км/ч (15745).</w:t>
      </w:r>
    </w:p>
    <w:p w14:paraId="4EDD054E" w14:textId="77777777" w:rsidR="00132B05" w:rsidRPr="007122AB" w:rsidRDefault="00132B05" w:rsidP="007122AB">
      <w:pPr>
        <w:pStyle w:val="a3"/>
        <w:rPr>
          <w:color w:val="000000" w:themeColor="text1"/>
          <w:lang w:val="ru-RU"/>
        </w:rPr>
      </w:pPr>
    </w:p>
    <w:p w14:paraId="102170FB" w14:textId="77777777" w:rsidR="00132B05" w:rsidRPr="007122AB" w:rsidRDefault="00132B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 марта-23 марта 1931 г.</w:t>
      </w:r>
      <w:r w:rsidRPr="007122AB">
        <w:rPr>
          <w:rFonts w:ascii="Times New Roman" w:hAnsi="Times New Roman"/>
          <w:color w:val="000000" w:themeColor="text1"/>
          <w:sz w:val="16"/>
          <w:szCs w:val="16"/>
        </w:rPr>
        <w:t xml:space="preserve"> Большие зимние полевые испытания ядовито-дымных шашек в районе Ново-Орска (Оренбургская область). Выполнено 20 ЯД-пусков шашек ЯМ-21 (адамсит) и 9 пусков шашек ЯМ-11 (хлорацетофенон). Израсходовано: 7020 шашек с адамситом и 2810 шашек с хлорацетофеноном. Доказана «</w:t>
      </w:r>
      <w:r w:rsidRPr="007122AB">
        <w:rPr>
          <w:rFonts w:ascii="Times New Roman" w:hAnsi="Times New Roman"/>
          <w:iCs/>
          <w:color w:val="000000" w:themeColor="text1"/>
          <w:sz w:val="16"/>
          <w:szCs w:val="16"/>
        </w:rPr>
        <w:t>значительная боевая эффективность</w:t>
      </w:r>
      <w:r w:rsidRPr="007122AB">
        <w:rPr>
          <w:rFonts w:ascii="Times New Roman" w:hAnsi="Times New Roman"/>
          <w:color w:val="000000" w:themeColor="text1"/>
          <w:sz w:val="16"/>
          <w:szCs w:val="16"/>
        </w:rPr>
        <w:t>» испытанных ЯД-шашек, в том числе возможность распространения волн ядовитого дыма на основе адамсита на расстояния 80 км и больше. «</w:t>
      </w:r>
      <w:r w:rsidRPr="007122AB">
        <w:rPr>
          <w:rFonts w:ascii="Times New Roman" w:hAnsi="Times New Roman"/>
          <w:iCs/>
          <w:color w:val="000000" w:themeColor="text1"/>
          <w:sz w:val="16"/>
          <w:szCs w:val="16"/>
        </w:rPr>
        <w:t>Случаи сверхдальнего распространения ЯД-волн свидетельствуют о том, что ЯД-средства являются не только важным фактором тактического порядка, но и химическими средствами оперативного значения</w:t>
      </w:r>
      <w:r w:rsidRPr="007122AB">
        <w:rPr>
          <w:rFonts w:ascii="Times New Roman" w:hAnsi="Times New Roman"/>
          <w:color w:val="000000" w:themeColor="text1"/>
          <w:sz w:val="16"/>
          <w:szCs w:val="16"/>
        </w:rPr>
        <w:t>». Для определения расстояний, куда распространялись ЯД-волны, были использованы подопытные люди (17133).</w:t>
      </w:r>
    </w:p>
    <w:p w14:paraId="6DF81962" w14:textId="77777777" w:rsidR="00132B05" w:rsidRPr="007122AB" w:rsidRDefault="00132B05" w:rsidP="007122AB">
      <w:pPr>
        <w:shd w:val="clear" w:color="auto" w:fill="FFFFFF"/>
        <w:spacing w:after="0" w:line="240" w:lineRule="auto"/>
        <w:jc w:val="both"/>
        <w:rPr>
          <w:rFonts w:ascii="Times New Roman" w:hAnsi="Times New Roman"/>
          <w:color w:val="000000" w:themeColor="text1"/>
          <w:sz w:val="16"/>
          <w:szCs w:val="16"/>
        </w:rPr>
      </w:pPr>
    </w:p>
    <w:p w14:paraId="61F2BA6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7E5567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33A9D0" w14:textId="77777777" w:rsidR="00293FAB" w:rsidRPr="007122AB" w:rsidRDefault="00293FAB" w:rsidP="007122AB">
      <w:pPr>
        <w:pStyle w:val="ae"/>
        <w:shd w:val="clear" w:color="auto" w:fill="FFFFFF"/>
        <w:spacing w:before="0" w:after="0"/>
        <w:jc w:val="both"/>
        <w:rPr>
          <w:color w:val="000000" w:themeColor="text1"/>
          <w:sz w:val="16"/>
          <w:szCs w:val="16"/>
        </w:rPr>
      </w:pPr>
      <w:r w:rsidRPr="007122AB">
        <w:rPr>
          <w:color w:val="000000" w:themeColor="text1"/>
          <w:sz w:val="16"/>
          <w:szCs w:val="16"/>
        </w:rPr>
        <w:t>К 1 марта 1931 года количество Т-18 в частях перевалило за 500 штук. Наибольшее количество имелось в Отдельном учебном танковом полку Московского военного округа (103 танка) и 2-м танковом полку Ленинградского военного округа (104 танка). Эти машины стали «учебной партой» для советских танкистов. Несмотря на свои многочисленные недостатки, Т-18 стал первой по-настоящему массовой машиной, благодаря которой появилась возможность готовить кадры для танковых войск. Следует отметить, что большинство зарубежных танков аналогичного класса того времени были не лучше советской машины.</w:t>
      </w:r>
    </w:p>
    <w:p w14:paraId="7D067770" w14:textId="77777777" w:rsidR="00293FAB" w:rsidRPr="007122AB" w:rsidRDefault="00293FAB"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Пик карьеры Т-18 пришёлся на весну 1932 года, когда численность этих танков достигла 959 штук. Больше всего этих машин (141 штука) имелось во 2-м танковом полку Дальневосточного военного округа (17724).</w:t>
      </w:r>
    </w:p>
    <w:p w14:paraId="7C20ECA9" w14:textId="77777777" w:rsidR="00293FAB" w:rsidRPr="007122AB" w:rsidRDefault="00293FAB" w:rsidP="007122AB">
      <w:pPr>
        <w:spacing w:after="0" w:line="240" w:lineRule="auto"/>
        <w:jc w:val="both"/>
        <w:rPr>
          <w:rFonts w:ascii="Times New Roman" w:eastAsia="Times New Roman" w:hAnsi="Times New Roman"/>
          <w:color w:val="000000" w:themeColor="text1"/>
          <w:sz w:val="16"/>
          <w:szCs w:val="16"/>
          <w:lang w:eastAsia="ru-RU"/>
        </w:rPr>
      </w:pPr>
    </w:p>
    <w:p w14:paraId="1623FB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марте 1931 в РККА было 180 ба БА-27 (9527,316).</w:t>
      </w:r>
    </w:p>
    <w:p w14:paraId="7D7A94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A899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Сведения о наличии бронеавтомобилей в частях Красной Армии по состоянию на 1 марта 1931 года:</w:t>
      </w:r>
    </w:p>
    <w:tbl>
      <w:tblPr>
        <w:tblW w:w="0" w:type="auto"/>
        <w:tblInd w:w="40" w:type="dxa"/>
        <w:tblLayout w:type="fixed"/>
        <w:tblCellMar>
          <w:left w:w="40" w:type="dxa"/>
          <w:right w:w="40" w:type="dxa"/>
        </w:tblCellMar>
        <w:tblLook w:val="0000" w:firstRow="0" w:lastRow="0" w:firstColumn="0" w:lastColumn="0" w:noHBand="0" w:noVBand="0"/>
      </w:tblPr>
      <w:tblGrid>
        <w:gridCol w:w="2707"/>
        <w:gridCol w:w="422"/>
        <w:gridCol w:w="547"/>
        <w:gridCol w:w="490"/>
        <w:gridCol w:w="1258"/>
      </w:tblGrid>
      <w:tr w:rsidR="007122AB" w:rsidRPr="007122AB" w14:paraId="2A7A9CA5" w14:textId="77777777">
        <w:trPr>
          <w:trHeight w:val="202"/>
        </w:trPr>
        <w:tc>
          <w:tcPr>
            <w:tcW w:w="2707" w:type="dxa"/>
            <w:tcBorders>
              <w:top w:val="single" w:sz="6" w:space="0" w:color="auto"/>
              <w:left w:val="single" w:sz="6" w:space="0" w:color="auto"/>
              <w:bottom w:val="single" w:sz="6" w:space="0" w:color="auto"/>
              <w:right w:val="single" w:sz="6" w:space="0" w:color="auto"/>
            </w:tcBorders>
          </w:tcPr>
          <w:p w14:paraId="792725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DD821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БА-27</w:t>
            </w:r>
          </w:p>
        </w:tc>
        <w:tc>
          <w:tcPr>
            <w:tcW w:w="547" w:type="dxa"/>
            <w:tcBorders>
              <w:top w:val="single" w:sz="6" w:space="0" w:color="auto"/>
              <w:left w:val="single" w:sz="6" w:space="0" w:color="auto"/>
              <w:bottom w:val="single" w:sz="6" w:space="0" w:color="auto"/>
              <w:right w:val="single" w:sz="6" w:space="0" w:color="auto"/>
            </w:tcBorders>
          </w:tcPr>
          <w:p w14:paraId="179014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«Остин»</w:t>
            </w:r>
          </w:p>
        </w:tc>
        <w:tc>
          <w:tcPr>
            <w:tcW w:w="490" w:type="dxa"/>
            <w:tcBorders>
              <w:top w:val="single" w:sz="6" w:space="0" w:color="auto"/>
              <w:left w:val="single" w:sz="6" w:space="0" w:color="auto"/>
              <w:bottom w:val="single" w:sz="6" w:space="0" w:color="auto"/>
              <w:right w:val="single" w:sz="6" w:space="0" w:color="auto"/>
            </w:tcBorders>
          </w:tcPr>
          <w:p w14:paraId="0D5E37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«Фиат»</w:t>
            </w:r>
          </w:p>
        </w:tc>
        <w:tc>
          <w:tcPr>
            <w:tcW w:w="1258" w:type="dxa"/>
            <w:tcBorders>
              <w:top w:val="single" w:sz="6" w:space="0" w:color="auto"/>
              <w:left w:val="single" w:sz="6" w:space="0" w:color="auto"/>
              <w:bottom w:val="single" w:sz="6" w:space="0" w:color="auto"/>
              <w:right w:val="single" w:sz="6" w:space="0" w:color="auto"/>
            </w:tcBorders>
          </w:tcPr>
          <w:p w14:paraId="7290723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r>
      <w:tr w:rsidR="007122AB" w:rsidRPr="007122AB" w14:paraId="0CC94FF5" w14:textId="77777777">
        <w:trPr>
          <w:trHeight w:val="355"/>
        </w:trPr>
        <w:tc>
          <w:tcPr>
            <w:tcW w:w="2707" w:type="dxa"/>
            <w:tcBorders>
              <w:top w:val="single" w:sz="6" w:space="0" w:color="auto"/>
              <w:left w:val="single" w:sz="6" w:space="0" w:color="auto"/>
              <w:bottom w:val="single" w:sz="6" w:space="0" w:color="auto"/>
              <w:right w:val="single" w:sz="6" w:space="0" w:color="auto"/>
            </w:tcBorders>
          </w:tcPr>
          <w:p w14:paraId="3CD838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1-йавтобронедивизион Кавказской Краснознаменной армии</w:t>
            </w:r>
          </w:p>
        </w:tc>
        <w:tc>
          <w:tcPr>
            <w:tcW w:w="422" w:type="dxa"/>
            <w:tcBorders>
              <w:top w:val="single" w:sz="6" w:space="0" w:color="auto"/>
              <w:left w:val="single" w:sz="6" w:space="0" w:color="auto"/>
              <w:bottom w:val="single" w:sz="6" w:space="0" w:color="auto"/>
              <w:right w:val="single" w:sz="6" w:space="0" w:color="auto"/>
            </w:tcBorders>
          </w:tcPr>
          <w:p w14:paraId="4E0579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431267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90" w:type="dxa"/>
            <w:tcBorders>
              <w:top w:val="single" w:sz="6" w:space="0" w:color="auto"/>
              <w:left w:val="single" w:sz="6" w:space="0" w:color="auto"/>
              <w:bottom w:val="single" w:sz="6" w:space="0" w:color="auto"/>
              <w:right w:val="single" w:sz="6" w:space="0" w:color="auto"/>
            </w:tcBorders>
          </w:tcPr>
          <w:p w14:paraId="340D47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C7AC4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1767153" w14:textId="77777777">
        <w:trPr>
          <w:trHeight w:val="672"/>
        </w:trPr>
        <w:tc>
          <w:tcPr>
            <w:tcW w:w="2707" w:type="dxa"/>
            <w:tcBorders>
              <w:top w:val="single" w:sz="6" w:space="0" w:color="auto"/>
              <w:left w:val="single" w:sz="6" w:space="0" w:color="auto"/>
              <w:bottom w:val="single" w:sz="6" w:space="0" w:color="auto"/>
              <w:right w:val="single" w:sz="6" w:space="0" w:color="auto"/>
            </w:tcBorders>
          </w:tcPr>
          <w:p w14:paraId="220D34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3-й </w:t>
            </w:r>
            <w:proofErr w:type="spellStart"/>
            <w:r w:rsidRPr="007122AB">
              <w:rPr>
                <w:rFonts w:ascii="Times New Roman" w:hAnsi="Times New Roman"/>
                <w:color w:val="000000" w:themeColor="text1"/>
                <w:sz w:val="16"/>
                <w:szCs w:val="16"/>
              </w:rPr>
              <w:t>автобронедшшзион</w:t>
            </w:r>
            <w:proofErr w:type="spellEnd"/>
            <w:r w:rsidRPr="007122AB">
              <w:rPr>
                <w:rFonts w:ascii="Times New Roman" w:hAnsi="Times New Roman"/>
                <w:color w:val="000000" w:themeColor="text1"/>
                <w:sz w:val="16"/>
                <w:szCs w:val="16"/>
              </w:rPr>
              <w:t xml:space="preserve"> МВО</w:t>
            </w:r>
          </w:p>
        </w:tc>
        <w:tc>
          <w:tcPr>
            <w:tcW w:w="422" w:type="dxa"/>
            <w:tcBorders>
              <w:top w:val="single" w:sz="6" w:space="0" w:color="auto"/>
              <w:left w:val="single" w:sz="6" w:space="0" w:color="auto"/>
              <w:bottom w:val="single" w:sz="6" w:space="0" w:color="auto"/>
              <w:right w:val="single" w:sz="6" w:space="0" w:color="auto"/>
            </w:tcBorders>
          </w:tcPr>
          <w:p w14:paraId="6F9AA2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547" w:type="dxa"/>
            <w:tcBorders>
              <w:top w:val="single" w:sz="6" w:space="0" w:color="auto"/>
              <w:left w:val="single" w:sz="6" w:space="0" w:color="auto"/>
              <w:bottom w:val="single" w:sz="6" w:space="0" w:color="auto"/>
              <w:right w:val="single" w:sz="6" w:space="0" w:color="auto"/>
            </w:tcBorders>
          </w:tcPr>
          <w:p w14:paraId="1A4740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A7724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7C87D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 на 1 машину дан наряд на отправку в КАВКУКС</w:t>
            </w:r>
          </w:p>
        </w:tc>
      </w:tr>
      <w:tr w:rsidR="007122AB" w:rsidRPr="007122AB" w14:paraId="73B7FD8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7E658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8-й </w:t>
            </w:r>
            <w:proofErr w:type="spellStart"/>
            <w:r w:rsidRPr="007122AB">
              <w:rPr>
                <w:rFonts w:ascii="Times New Roman" w:hAnsi="Times New Roman"/>
                <w:color w:val="000000" w:themeColor="text1"/>
                <w:sz w:val="16"/>
                <w:szCs w:val="16"/>
              </w:rPr>
              <w:t>автобронедивизион</w:t>
            </w:r>
            <w:proofErr w:type="spellEnd"/>
            <w:r w:rsidRPr="007122AB">
              <w:rPr>
                <w:rFonts w:ascii="Times New Roman" w:hAnsi="Times New Roman"/>
                <w:color w:val="000000" w:themeColor="text1"/>
                <w:sz w:val="16"/>
                <w:szCs w:val="16"/>
              </w:rPr>
              <w:t xml:space="preserve"> УВО</w:t>
            </w:r>
          </w:p>
        </w:tc>
        <w:tc>
          <w:tcPr>
            <w:tcW w:w="422" w:type="dxa"/>
            <w:tcBorders>
              <w:top w:val="single" w:sz="6" w:space="0" w:color="auto"/>
              <w:left w:val="single" w:sz="6" w:space="0" w:color="auto"/>
              <w:bottom w:val="single" w:sz="6" w:space="0" w:color="auto"/>
              <w:right w:val="single" w:sz="6" w:space="0" w:color="auto"/>
            </w:tcBorders>
          </w:tcPr>
          <w:p w14:paraId="4ADABD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44A43C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6BA752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D1182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28FA85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7485E9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11-й </w:t>
            </w:r>
            <w:proofErr w:type="spellStart"/>
            <w:r w:rsidRPr="007122AB">
              <w:rPr>
                <w:rFonts w:ascii="Times New Roman" w:hAnsi="Times New Roman"/>
                <w:color w:val="000000" w:themeColor="text1"/>
                <w:sz w:val="16"/>
                <w:szCs w:val="16"/>
              </w:rPr>
              <w:t>автобронедивизион</w:t>
            </w:r>
            <w:proofErr w:type="spellEnd"/>
            <w:r w:rsidRPr="007122AB">
              <w:rPr>
                <w:rFonts w:ascii="Times New Roman" w:hAnsi="Times New Roman"/>
                <w:color w:val="000000" w:themeColor="text1"/>
                <w:sz w:val="16"/>
                <w:szCs w:val="16"/>
              </w:rPr>
              <w:t xml:space="preserve"> УВО</w:t>
            </w:r>
          </w:p>
        </w:tc>
        <w:tc>
          <w:tcPr>
            <w:tcW w:w="422" w:type="dxa"/>
            <w:tcBorders>
              <w:top w:val="single" w:sz="6" w:space="0" w:color="auto"/>
              <w:left w:val="single" w:sz="6" w:space="0" w:color="auto"/>
              <w:bottom w:val="single" w:sz="6" w:space="0" w:color="auto"/>
              <w:right w:val="single" w:sz="6" w:space="0" w:color="auto"/>
            </w:tcBorders>
          </w:tcPr>
          <w:p w14:paraId="50645B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351F38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9C92E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5FB3E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966F728" w14:textId="77777777">
        <w:trPr>
          <w:trHeight w:val="182"/>
        </w:trPr>
        <w:tc>
          <w:tcPr>
            <w:tcW w:w="2707" w:type="dxa"/>
            <w:tcBorders>
              <w:top w:val="single" w:sz="6" w:space="0" w:color="auto"/>
              <w:left w:val="single" w:sz="6" w:space="0" w:color="auto"/>
              <w:bottom w:val="single" w:sz="6" w:space="0" w:color="auto"/>
              <w:right w:val="single" w:sz="6" w:space="0" w:color="auto"/>
            </w:tcBorders>
          </w:tcPr>
          <w:p w14:paraId="2C39E6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12-й </w:t>
            </w:r>
            <w:proofErr w:type="spellStart"/>
            <w:r w:rsidRPr="007122AB">
              <w:rPr>
                <w:rFonts w:ascii="Times New Roman" w:hAnsi="Times New Roman"/>
                <w:color w:val="000000" w:themeColor="text1"/>
                <w:sz w:val="16"/>
                <w:szCs w:val="16"/>
              </w:rPr>
              <w:t>автобронедивизион</w:t>
            </w:r>
            <w:proofErr w:type="spellEnd"/>
            <w:r w:rsidRPr="007122AB">
              <w:rPr>
                <w:rFonts w:ascii="Times New Roman" w:hAnsi="Times New Roman"/>
                <w:color w:val="000000" w:themeColor="text1"/>
                <w:sz w:val="16"/>
                <w:szCs w:val="16"/>
              </w:rPr>
              <w:t xml:space="preserve"> БВО</w:t>
            </w:r>
          </w:p>
        </w:tc>
        <w:tc>
          <w:tcPr>
            <w:tcW w:w="422" w:type="dxa"/>
            <w:tcBorders>
              <w:top w:val="single" w:sz="6" w:space="0" w:color="auto"/>
              <w:left w:val="single" w:sz="6" w:space="0" w:color="auto"/>
              <w:bottom w:val="single" w:sz="6" w:space="0" w:color="auto"/>
              <w:right w:val="single" w:sz="6" w:space="0" w:color="auto"/>
            </w:tcBorders>
          </w:tcPr>
          <w:p w14:paraId="445DCD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DAEC1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145318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52E5EA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EF221CA"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E249D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13-й </w:t>
            </w:r>
            <w:proofErr w:type="spellStart"/>
            <w:r w:rsidRPr="007122AB">
              <w:rPr>
                <w:rFonts w:ascii="Times New Roman" w:hAnsi="Times New Roman"/>
                <w:color w:val="000000" w:themeColor="text1"/>
                <w:sz w:val="16"/>
                <w:szCs w:val="16"/>
              </w:rPr>
              <w:t>автобронедивизион</w:t>
            </w:r>
            <w:proofErr w:type="spellEnd"/>
            <w:r w:rsidRPr="007122AB">
              <w:rPr>
                <w:rFonts w:ascii="Times New Roman" w:hAnsi="Times New Roman"/>
                <w:color w:val="000000" w:themeColor="text1"/>
                <w:sz w:val="16"/>
                <w:szCs w:val="16"/>
              </w:rPr>
              <w:t xml:space="preserve"> БВО</w:t>
            </w:r>
          </w:p>
        </w:tc>
        <w:tc>
          <w:tcPr>
            <w:tcW w:w="422" w:type="dxa"/>
            <w:tcBorders>
              <w:top w:val="single" w:sz="6" w:space="0" w:color="auto"/>
              <w:left w:val="single" w:sz="6" w:space="0" w:color="auto"/>
              <w:bottom w:val="single" w:sz="6" w:space="0" w:color="auto"/>
              <w:right w:val="single" w:sz="6" w:space="0" w:color="auto"/>
            </w:tcBorders>
          </w:tcPr>
          <w:p w14:paraId="3DAC24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0FFC2B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8140E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148936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9B0DFB3"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A0730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Мотоотряд</w:t>
            </w:r>
            <w:proofErr w:type="spellEnd"/>
            <w:r w:rsidRPr="007122AB">
              <w:rPr>
                <w:rFonts w:ascii="Times New Roman" w:hAnsi="Times New Roman"/>
                <w:color w:val="000000" w:themeColor="text1"/>
                <w:sz w:val="16"/>
                <w:szCs w:val="16"/>
              </w:rPr>
              <w:t xml:space="preserve"> 1 1-й стрелковой дивизии ЛВО</w:t>
            </w:r>
          </w:p>
        </w:tc>
        <w:tc>
          <w:tcPr>
            <w:tcW w:w="422" w:type="dxa"/>
            <w:tcBorders>
              <w:top w:val="single" w:sz="6" w:space="0" w:color="auto"/>
              <w:left w:val="single" w:sz="6" w:space="0" w:color="auto"/>
              <w:bottom w:val="single" w:sz="6" w:space="0" w:color="auto"/>
              <w:right w:val="single" w:sz="6" w:space="0" w:color="auto"/>
            </w:tcBorders>
          </w:tcPr>
          <w:p w14:paraId="60E065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1B9A2C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04B3F1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64E6C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01931C3" w14:textId="77777777">
        <w:trPr>
          <w:trHeight w:val="355"/>
        </w:trPr>
        <w:tc>
          <w:tcPr>
            <w:tcW w:w="2707" w:type="dxa"/>
            <w:tcBorders>
              <w:top w:val="single" w:sz="6" w:space="0" w:color="auto"/>
              <w:left w:val="single" w:sz="6" w:space="0" w:color="auto"/>
              <w:bottom w:val="single" w:sz="6" w:space="0" w:color="auto"/>
              <w:right w:val="single" w:sz="6" w:space="0" w:color="auto"/>
            </w:tcBorders>
          </w:tcPr>
          <w:p w14:paraId="618286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Мотоотряд</w:t>
            </w:r>
            <w:proofErr w:type="spellEnd"/>
            <w:r w:rsidRPr="007122AB">
              <w:rPr>
                <w:rFonts w:ascii="Times New Roman" w:hAnsi="Times New Roman"/>
                <w:color w:val="000000" w:themeColor="text1"/>
                <w:sz w:val="16"/>
                <w:szCs w:val="16"/>
              </w:rPr>
              <w:t xml:space="preserve"> Московской Пролетарской стрелковой дивизии МВО</w:t>
            </w:r>
          </w:p>
        </w:tc>
        <w:tc>
          <w:tcPr>
            <w:tcW w:w="422" w:type="dxa"/>
            <w:tcBorders>
              <w:top w:val="single" w:sz="6" w:space="0" w:color="auto"/>
              <w:left w:val="single" w:sz="6" w:space="0" w:color="auto"/>
              <w:bottom w:val="single" w:sz="6" w:space="0" w:color="auto"/>
              <w:right w:val="single" w:sz="6" w:space="0" w:color="auto"/>
            </w:tcBorders>
          </w:tcPr>
          <w:p w14:paraId="677790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70E872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0721B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549A57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FB0E22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196EA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Мотоотряд</w:t>
            </w:r>
            <w:proofErr w:type="spellEnd"/>
            <w:r w:rsidRPr="007122AB">
              <w:rPr>
                <w:rFonts w:ascii="Times New Roman" w:hAnsi="Times New Roman"/>
                <w:color w:val="000000" w:themeColor="text1"/>
                <w:sz w:val="16"/>
                <w:szCs w:val="16"/>
              </w:rPr>
              <w:t xml:space="preserve"> 45-й стрелковой дивизии УВО</w:t>
            </w:r>
          </w:p>
        </w:tc>
        <w:tc>
          <w:tcPr>
            <w:tcW w:w="422" w:type="dxa"/>
            <w:tcBorders>
              <w:top w:val="single" w:sz="6" w:space="0" w:color="auto"/>
              <w:left w:val="single" w:sz="6" w:space="0" w:color="auto"/>
              <w:bottom w:val="single" w:sz="6" w:space="0" w:color="auto"/>
              <w:right w:val="single" w:sz="6" w:space="0" w:color="auto"/>
            </w:tcBorders>
          </w:tcPr>
          <w:p w14:paraId="359C96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334B7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286CC5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FF406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FF55EA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FE1D5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полк </w:t>
            </w:r>
            <w:proofErr w:type="spellStart"/>
            <w:r w:rsidRPr="007122AB">
              <w:rPr>
                <w:rFonts w:ascii="Times New Roman" w:hAnsi="Times New Roman"/>
                <w:color w:val="000000" w:themeColor="text1"/>
                <w:sz w:val="16"/>
                <w:szCs w:val="16"/>
              </w:rPr>
              <w:t>мехбригады</w:t>
            </w:r>
            <w:proofErr w:type="spellEnd"/>
            <w:r w:rsidRPr="007122AB">
              <w:rPr>
                <w:rFonts w:ascii="Times New Roman" w:hAnsi="Times New Roman"/>
                <w:color w:val="000000" w:themeColor="text1"/>
                <w:sz w:val="16"/>
                <w:szCs w:val="16"/>
              </w:rPr>
              <w:t xml:space="preserve"> МВО</w:t>
            </w:r>
          </w:p>
        </w:tc>
        <w:tc>
          <w:tcPr>
            <w:tcW w:w="422" w:type="dxa"/>
            <w:tcBorders>
              <w:top w:val="single" w:sz="6" w:space="0" w:color="auto"/>
              <w:left w:val="single" w:sz="6" w:space="0" w:color="auto"/>
              <w:bottom w:val="single" w:sz="6" w:space="0" w:color="auto"/>
              <w:right w:val="single" w:sz="6" w:space="0" w:color="auto"/>
            </w:tcBorders>
          </w:tcPr>
          <w:p w14:paraId="55CA70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tcPr>
          <w:p w14:paraId="523D00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95580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0217E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547820C" w14:textId="77777777">
        <w:trPr>
          <w:trHeight w:val="509"/>
        </w:trPr>
        <w:tc>
          <w:tcPr>
            <w:tcW w:w="2707" w:type="dxa"/>
            <w:tcBorders>
              <w:top w:val="single" w:sz="6" w:space="0" w:color="auto"/>
              <w:left w:val="single" w:sz="6" w:space="0" w:color="auto"/>
              <w:bottom w:val="single" w:sz="6" w:space="0" w:color="auto"/>
              <w:right w:val="single" w:sz="6" w:space="0" w:color="auto"/>
            </w:tcBorders>
          </w:tcPr>
          <w:p w14:paraId="533CFA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Бронекомандные</w:t>
            </w:r>
            <w:proofErr w:type="spellEnd"/>
            <w:r w:rsidRPr="007122AB">
              <w:rPr>
                <w:rFonts w:ascii="Times New Roman" w:hAnsi="Times New Roman"/>
                <w:color w:val="000000" w:themeColor="text1"/>
                <w:sz w:val="16"/>
                <w:szCs w:val="16"/>
              </w:rPr>
              <w:t xml:space="preserve"> курсы ЛВО</w:t>
            </w:r>
          </w:p>
        </w:tc>
        <w:tc>
          <w:tcPr>
            <w:tcW w:w="422" w:type="dxa"/>
            <w:tcBorders>
              <w:top w:val="single" w:sz="6" w:space="0" w:color="auto"/>
              <w:left w:val="single" w:sz="6" w:space="0" w:color="auto"/>
              <w:bottom w:val="single" w:sz="6" w:space="0" w:color="auto"/>
              <w:right w:val="single" w:sz="6" w:space="0" w:color="auto"/>
            </w:tcBorders>
          </w:tcPr>
          <w:p w14:paraId="656C2F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547" w:type="dxa"/>
            <w:tcBorders>
              <w:top w:val="single" w:sz="6" w:space="0" w:color="auto"/>
              <w:left w:val="single" w:sz="6" w:space="0" w:color="auto"/>
              <w:bottom w:val="single" w:sz="6" w:space="0" w:color="auto"/>
              <w:right w:val="single" w:sz="6" w:space="0" w:color="auto"/>
            </w:tcBorders>
          </w:tcPr>
          <w:p w14:paraId="025BB2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490" w:type="dxa"/>
            <w:tcBorders>
              <w:top w:val="single" w:sz="6" w:space="0" w:color="auto"/>
              <w:left w:val="single" w:sz="6" w:space="0" w:color="auto"/>
              <w:bottom w:val="single" w:sz="6" w:space="0" w:color="auto"/>
              <w:right w:val="single" w:sz="6" w:space="0" w:color="auto"/>
            </w:tcBorders>
          </w:tcPr>
          <w:p w14:paraId="12CCBC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5360D7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•Выдано 2 броне-шасси без кузовов, итого 15</w:t>
            </w:r>
          </w:p>
        </w:tc>
      </w:tr>
      <w:tr w:rsidR="007122AB" w:rsidRPr="007122AB" w14:paraId="36C49ABF"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354EA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Орловская танковая школа МВО</w:t>
            </w:r>
          </w:p>
        </w:tc>
        <w:tc>
          <w:tcPr>
            <w:tcW w:w="422" w:type="dxa"/>
            <w:tcBorders>
              <w:top w:val="single" w:sz="6" w:space="0" w:color="auto"/>
              <w:left w:val="single" w:sz="6" w:space="0" w:color="auto"/>
              <w:bottom w:val="single" w:sz="6" w:space="0" w:color="auto"/>
              <w:right w:val="single" w:sz="6" w:space="0" w:color="auto"/>
            </w:tcBorders>
          </w:tcPr>
          <w:p w14:paraId="4BC7C3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547" w:type="dxa"/>
            <w:tcBorders>
              <w:top w:val="single" w:sz="6" w:space="0" w:color="auto"/>
              <w:left w:val="single" w:sz="6" w:space="0" w:color="auto"/>
              <w:bottom w:val="single" w:sz="6" w:space="0" w:color="auto"/>
              <w:right w:val="single" w:sz="6" w:space="0" w:color="auto"/>
            </w:tcBorders>
          </w:tcPr>
          <w:p w14:paraId="49A6CC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1EF391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012D02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19848D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F7173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Военно-техническая академия ЛВО</w:t>
            </w:r>
          </w:p>
        </w:tc>
        <w:tc>
          <w:tcPr>
            <w:tcW w:w="422" w:type="dxa"/>
            <w:tcBorders>
              <w:top w:val="single" w:sz="6" w:space="0" w:color="auto"/>
              <w:left w:val="single" w:sz="6" w:space="0" w:color="auto"/>
              <w:bottom w:val="single" w:sz="6" w:space="0" w:color="auto"/>
              <w:right w:val="single" w:sz="6" w:space="0" w:color="auto"/>
            </w:tcBorders>
          </w:tcPr>
          <w:p w14:paraId="2E679E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84ADB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4AD763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4409A8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AE6775C"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0A302E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Броневой эскадрон СКВО</w:t>
            </w:r>
          </w:p>
        </w:tc>
        <w:tc>
          <w:tcPr>
            <w:tcW w:w="422" w:type="dxa"/>
            <w:tcBorders>
              <w:top w:val="single" w:sz="6" w:space="0" w:color="auto"/>
              <w:left w:val="single" w:sz="6" w:space="0" w:color="auto"/>
              <w:bottom w:val="single" w:sz="6" w:space="0" w:color="auto"/>
              <w:right w:val="single" w:sz="6" w:space="0" w:color="auto"/>
            </w:tcBorders>
          </w:tcPr>
          <w:p w14:paraId="757804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547" w:type="dxa"/>
            <w:tcBorders>
              <w:top w:val="single" w:sz="6" w:space="0" w:color="auto"/>
              <w:left w:val="single" w:sz="6" w:space="0" w:color="auto"/>
              <w:bottom w:val="single" w:sz="6" w:space="0" w:color="auto"/>
              <w:right w:val="single" w:sz="6" w:space="0" w:color="auto"/>
            </w:tcBorders>
          </w:tcPr>
          <w:p w14:paraId="184B3A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191F53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1D386C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2D711A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467DA9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Отдельная </w:t>
            </w:r>
            <w:proofErr w:type="spellStart"/>
            <w:r w:rsidRPr="007122AB">
              <w:rPr>
                <w:rFonts w:ascii="Times New Roman" w:hAnsi="Times New Roman"/>
                <w:color w:val="000000" w:themeColor="text1"/>
                <w:sz w:val="16"/>
                <w:szCs w:val="16"/>
              </w:rPr>
              <w:t>бронерота</w:t>
            </w:r>
            <w:proofErr w:type="spellEnd"/>
            <w:r w:rsidRPr="007122AB">
              <w:rPr>
                <w:rFonts w:ascii="Times New Roman" w:hAnsi="Times New Roman"/>
                <w:color w:val="000000" w:themeColor="text1"/>
                <w:sz w:val="16"/>
                <w:szCs w:val="16"/>
              </w:rPr>
              <w:t xml:space="preserve"> ОКДВА</w:t>
            </w:r>
          </w:p>
        </w:tc>
        <w:tc>
          <w:tcPr>
            <w:tcW w:w="422" w:type="dxa"/>
            <w:tcBorders>
              <w:top w:val="single" w:sz="6" w:space="0" w:color="auto"/>
              <w:left w:val="single" w:sz="6" w:space="0" w:color="auto"/>
              <w:bottom w:val="single" w:sz="6" w:space="0" w:color="auto"/>
              <w:right w:val="single" w:sz="6" w:space="0" w:color="auto"/>
            </w:tcBorders>
          </w:tcPr>
          <w:p w14:paraId="5DDFBC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tcPr>
          <w:p w14:paraId="6B5FBD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2EFAC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4FB44C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C7A5AEB"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1FCDEA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Командные курсы имени Каменева УВО</w:t>
            </w:r>
          </w:p>
        </w:tc>
        <w:tc>
          <w:tcPr>
            <w:tcW w:w="422" w:type="dxa"/>
            <w:tcBorders>
              <w:top w:val="single" w:sz="6" w:space="0" w:color="auto"/>
              <w:left w:val="single" w:sz="6" w:space="0" w:color="auto"/>
              <w:bottom w:val="single" w:sz="6" w:space="0" w:color="auto"/>
              <w:right w:val="single" w:sz="6" w:space="0" w:color="auto"/>
            </w:tcBorders>
          </w:tcPr>
          <w:p w14:paraId="399A89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547" w:type="dxa"/>
            <w:tcBorders>
              <w:top w:val="single" w:sz="6" w:space="0" w:color="auto"/>
              <w:left w:val="single" w:sz="6" w:space="0" w:color="auto"/>
              <w:bottom w:val="single" w:sz="6" w:space="0" w:color="auto"/>
              <w:right w:val="single" w:sz="6" w:space="0" w:color="auto"/>
            </w:tcBorders>
          </w:tcPr>
          <w:p w14:paraId="788CE0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F7C64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21862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B16996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CFEC0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Московская школа </w:t>
            </w:r>
            <w:proofErr w:type="spellStart"/>
            <w:r w:rsidRPr="007122AB">
              <w:rPr>
                <w:rFonts w:ascii="Times New Roman" w:hAnsi="Times New Roman"/>
                <w:color w:val="000000" w:themeColor="text1"/>
                <w:sz w:val="16"/>
                <w:szCs w:val="16"/>
              </w:rPr>
              <w:t>автотехников</w:t>
            </w:r>
            <w:proofErr w:type="spellEnd"/>
            <w:r w:rsidRPr="007122AB">
              <w:rPr>
                <w:rFonts w:ascii="Times New Roman" w:hAnsi="Times New Roman"/>
                <w:color w:val="000000" w:themeColor="text1"/>
                <w:sz w:val="16"/>
                <w:szCs w:val="16"/>
              </w:rPr>
              <w:t xml:space="preserve"> МВО</w:t>
            </w:r>
          </w:p>
        </w:tc>
        <w:tc>
          <w:tcPr>
            <w:tcW w:w="422" w:type="dxa"/>
            <w:tcBorders>
              <w:top w:val="single" w:sz="6" w:space="0" w:color="auto"/>
              <w:left w:val="single" w:sz="6" w:space="0" w:color="auto"/>
              <w:bottom w:val="single" w:sz="6" w:space="0" w:color="auto"/>
              <w:right w:val="single" w:sz="6" w:space="0" w:color="auto"/>
            </w:tcBorders>
          </w:tcPr>
          <w:p w14:paraId="0437C4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547" w:type="dxa"/>
            <w:tcBorders>
              <w:top w:val="single" w:sz="6" w:space="0" w:color="auto"/>
              <w:left w:val="single" w:sz="6" w:space="0" w:color="auto"/>
              <w:bottom w:val="single" w:sz="6" w:space="0" w:color="auto"/>
              <w:right w:val="single" w:sz="6" w:space="0" w:color="auto"/>
            </w:tcBorders>
          </w:tcPr>
          <w:p w14:paraId="6A7773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3A6F4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70E4F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EC0BB5C" w14:textId="77777777">
        <w:trPr>
          <w:trHeight w:val="835"/>
        </w:trPr>
        <w:tc>
          <w:tcPr>
            <w:tcW w:w="2707" w:type="dxa"/>
            <w:tcBorders>
              <w:top w:val="single" w:sz="6" w:space="0" w:color="auto"/>
              <w:left w:val="single" w:sz="6" w:space="0" w:color="auto"/>
              <w:bottom w:val="single" w:sz="6" w:space="0" w:color="auto"/>
              <w:right w:val="single" w:sz="6" w:space="0" w:color="auto"/>
            </w:tcBorders>
          </w:tcPr>
          <w:p w14:paraId="6D07A2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Склад № 37</w:t>
            </w:r>
          </w:p>
        </w:tc>
        <w:tc>
          <w:tcPr>
            <w:tcW w:w="422" w:type="dxa"/>
            <w:tcBorders>
              <w:top w:val="single" w:sz="6" w:space="0" w:color="auto"/>
              <w:left w:val="single" w:sz="6" w:space="0" w:color="auto"/>
              <w:bottom w:val="single" w:sz="6" w:space="0" w:color="auto"/>
              <w:right w:val="single" w:sz="6" w:space="0" w:color="auto"/>
            </w:tcBorders>
          </w:tcPr>
          <w:p w14:paraId="58EAC3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547" w:type="dxa"/>
            <w:tcBorders>
              <w:top w:val="single" w:sz="6" w:space="0" w:color="auto"/>
              <w:left w:val="single" w:sz="6" w:space="0" w:color="auto"/>
              <w:bottom w:val="single" w:sz="6" w:space="0" w:color="auto"/>
              <w:right w:val="single" w:sz="6" w:space="0" w:color="auto"/>
            </w:tcBorders>
          </w:tcPr>
          <w:p w14:paraId="414BE0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49</w:t>
            </w:r>
          </w:p>
        </w:tc>
        <w:tc>
          <w:tcPr>
            <w:tcW w:w="490" w:type="dxa"/>
            <w:tcBorders>
              <w:top w:val="single" w:sz="6" w:space="0" w:color="auto"/>
              <w:left w:val="single" w:sz="6" w:space="0" w:color="auto"/>
              <w:bottom w:val="single" w:sz="6" w:space="0" w:color="auto"/>
              <w:right w:val="single" w:sz="6" w:space="0" w:color="auto"/>
            </w:tcBorders>
          </w:tcPr>
          <w:p w14:paraId="16E940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w:t>
            </w:r>
          </w:p>
        </w:tc>
        <w:tc>
          <w:tcPr>
            <w:tcW w:w="1258" w:type="dxa"/>
            <w:tcBorders>
              <w:top w:val="single" w:sz="6" w:space="0" w:color="auto"/>
              <w:left w:val="single" w:sz="6" w:space="0" w:color="auto"/>
              <w:bottom w:val="single" w:sz="6" w:space="0" w:color="auto"/>
              <w:right w:val="single" w:sz="6" w:space="0" w:color="auto"/>
            </w:tcBorders>
          </w:tcPr>
          <w:p w14:paraId="0D591D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них на 5 машин наряды: ОГПУ - 3 шт. и 3-й </w:t>
            </w:r>
            <w:proofErr w:type="spellStart"/>
            <w:r w:rsidRPr="007122AB">
              <w:rPr>
                <w:rFonts w:ascii="Times New Roman" w:hAnsi="Times New Roman"/>
                <w:color w:val="000000" w:themeColor="text1"/>
                <w:sz w:val="16"/>
                <w:szCs w:val="16"/>
              </w:rPr>
              <w:t>автоброне</w:t>
            </w:r>
            <w:r w:rsidRPr="007122AB">
              <w:rPr>
                <w:rFonts w:ascii="Times New Roman" w:hAnsi="Times New Roman"/>
                <w:color w:val="000000" w:themeColor="text1"/>
                <w:sz w:val="16"/>
                <w:szCs w:val="16"/>
              </w:rPr>
              <w:softHyphen/>
              <w:t>дивизион</w:t>
            </w:r>
            <w:proofErr w:type="spellEnd"/>
            <w:r w:rsidRPr="007122AB">
              <w:rPr>
                <w:rFonts w:ascii="Times New Roman" w:hAnsi="Times New Roman"/>
                <w:color w:val="000000" w:themeColor="text1"/>
                <w:sz w:val="16"/>
                <w:szCs w:val="16"/>
              </w:rPr>
              <w:t xml:space="preserve"> — 2 шт.</w:t>
            </w:r>
          </w:p>
        </w:tc>
      </w:tr>
      <w:tr w:rsidR="007122AB" w:rsidRPr="007122AB" w14:paraId="30B49DEB"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2E08F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 ВОЙСКОВЫХ ЧАСТЯХ</w:t>
            </w:r>
          </w:p>
        </w:tc>
        <w:tc>
          <w:tcPr>
            <w:tcW w:w="422" w:type="dxa"/>
            <w:tcBorders>
              <w:top w:val="single" w:sz="6" w:space="0" w:color="auto"/>
              <w:left w:val="single" w:sz="6" w:space="0" w:color="auto"/>
              <w:bottom w:val="single" w:sz="6" w:space="0" w:color="auto"/>
              <w:right w:val="single" w:sz="6" w:space="0" w:color="auto"/>
            </w:tcBorders>
          </w:tcPr>
          <w:p w14:paraId="6BFBEA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w:t>
            </w:r>
          </w:p>
        </w:tc>
        <w:tc>
          <w:tcPr>
            <w:tcW w:w="547" w:type="dxa"/>
            <w:tcBorders>
              <w:top w:val="single" w:sz="6" w:space="0" w:color="auto"/>
              <w:left w:val="single" w:sz="6" w:space="0" w:color="auto"/>
              <w:bottom w:val="single" w:sz="6" w:space="0" w:color="auto"/>
              <w:right w:val="single" w:sz="6" w:space="0" w:color="auto"/>
            </w:tcBorders>
          </w:tcPr>
          <w:p w14:paraId="3A529D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w:t>
            </w:r>
          </w:p>
        </w:tc>
        <w:tc>
          <w:tcPr>
            <w:tcW w:w="490" w:type="dxa"/>
            <w:tcBorders>
              <w:top w:val="single" w:sz="6" w:space="0" w:color="auto"/>
              <w:left w:val="single" w:sz="6" w:space="0" w:color="auto"/>
              <w:bottom w:val="single" w:sz="6" w:space="0" w:color="auto"/>
              <w:right w:val="single" w:sz="6" w:space="0" w:color="auto"/>
            </w:tcBorders>
          </w:tcPr>
          <w:p w14:paraId="0E8368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24CA0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CE77BAE"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1C1B0C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Числится за различными учреждениями:</w:t>
            </w:r>
          </w:p>
        </w:tc>
        <w:tc>
          <w:tcPr>
            <w:tcW w:w="422" w:type="dxa"/>
            <w:tcBorders>
              <w:top w:val="single" w:sz="6" w:space="0" w:color="auto"/>
              <w:left w:val="single" w:sz="6" w:space="0" w:color="auto"/>
              <w:bottom w:val="single" w:sz="6" w:space="0" w:color="auto"/>
              <w:right w:val="single" w:sz="6" w:space="0" w:color="auto"/>
            </w:tcBorders>
          </w:tcPr>
          <w:p w14:paraId="54AA13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BC3D1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4259B8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7016E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EABF632"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7809A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Органы ОГПУ</w:t>
            </w:r>
          </w:p>
        </w:tc>
        <w:tc>
          <w:tcPr>
            <w:tcW w:w="422" w:type="dxa"/>
            <w:tcBorders>
              <w:top w:val="single" w:sz="6" w:space="0" w:color="auto"/>
              <w:left w:val="single" w:sz="6" w:space="0" w:color="auto"/>
              <w:bottom w:val="single" w:sz="6" w:space="0" w:color="auto"/>
              <w:right w:val="single" w:sz="6" w:space="0" w:color="auto"/>
            </w:tcBorders>
          </w:tcPr>
          <w:p w14:paraId="5BAD53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547" w:type="dxa"/>
            <w:tcBorders>
              <w:top w:val="single" w:sz="6" w:space="0" w:color="auto"/>
              <w:left w:val="single" w:sz="6" w:space="0" w:color="auto"/>
              <w:bottom w:val="single" w:sz="6" w:space="0" w:color="auto"/>
              <w:right w:val="single" w:sz="6" w:space="0" w:color="auto"/>
            </w:tcBorders>
          </w:tcPr>
          <w:p w14:paraId="236428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tc>
        <w:tc>
          <w:tcPr>
            <w:tcW w:w="490" w:type="dxa"/>
            <w:tcBorders>
              <w:top w:val="single" w:sz="6" w:space="0" w:color="auto"/>
              <w:left w:val="single" w:sz="6" w:space="0" w:color="auto"/>
              <w:bottom w:val="single" w:sz="6" w:space="0" w:color="auto"/>
              <w:right w:val="single" w:sz="6" w:space="0" w:color="auto"/>
            </w:tcBorders>
          </w:tcPr>
          <w:p w14:paraId="54763B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258" w:type="dxa"/>
            <w:tcBorders>
              <w:top w:val="single" w:sz="6" w:space="0" w:color="auto"/>
              <w:left w:val="single" w:sz="6" w:space="0" w:color="auto"/>
              <w:bottom w:val="single" w:sz="6" w:space="0" w:color="auto"/>
              <w:right w:val="single" w:sz="6" w:space="0" w:color="auto"/>
            </w:tcBorders>
          </w:tcPr>
          <w:p w14:paraId="56C996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F9D13E5"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761091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Исключены из РККА</w:t>
            </w:r>
          </w:p>
        </w:tc>
        <w:tc>
          <w:tcPr>
            <w:tcW w:w="422" w:type="dxa"/>
            <w:tcBorders>
              <w:top w:val="single" w:sz="6" w:space="0" w:color="auto"/>
              <w:left w:val="single" w:sz="6" w:space="0" w:color="auto"/>
              <w:bottom w:val="single" w:sz="6" w:space="0" w:color="auto"/>
              <w:right w:val="single" w:sz="6" w:space="0" w:color="auto"/>
            </w:tcBorders>
          </w:tcPr>
          <w:p w14:paraId="74BC74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547" w:type="dxa"/>
            <w:tcBorders>
              <w:top w:val="single" w:sz="6" w:space="0" w:color="auto"/>
              <w:left w:val="single" w:sz="6" w:space="0" w:color="auto"/>
              <w:bottom w:val="single" w:sz="6" w:space="0" w:color="auto"/>
              <w:right w:val="single" w:sz="6" w:space="0" w:color="auto"/>
            </w:tcBorders>
          </w:tcPr>
          <w:p w14:paraId="7CC43B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F24C0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FE7ED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FB37A29"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81125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Московский областной совет ОСОАВИАХИМа</w:t>
            </w:r>
          </w:p>
        </w:tc>
        <w:tc>
          <w:tcPr>
            <w:tcW w:w="422" w:type="dxa"/>
            <w:tcBorders>
              <w:top w:val="single" w:sz="6" w:space="0" w:color="auto"/>
              <w:left w:val="single" w:sz="6" w:space="0" w:color="auto"/>
              <w:bottom w:val="single" w:sz="6" w:space="0" w:color="auto"/>
              <w:right w:val="single" w:sz="6" w:space="0" w:color="auto"/>
            </w:tcBorders>
          </w:tcPr>
          <w:p w14:paraId="24D8EC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310728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90" w:type="dxa"/>
            <w:tcBorders>
              <w:top w:val="single" w:sz="6" w:space="0" w:color="auto"/>
              <w:left w:val="single" w:sz="6" w:space="0" w:color="auto"/>
              <w:bottom w:val="single" w:sz="6" w:space="0" w:color="auto"/>
              <w:right w:val="single" w:sz="6" w:space="0" w:color="auto"/>
            </w:tcBorders>
          </w:tcPr>
          <w:p w14:paraId="7AB24A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24DFFB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2D4DD2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36253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Саратовский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4E1929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366B8F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575D65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50DF0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07B9B8F" w14:textId="77777777">
        <w:trPr>
          <w:trHeight w:val="182"/>
        </w:trPr>
        <w:tc>
          <w:tcPr>
            <w:tcW w:w="2707" w:type="dxa"/>
            <w:tcBorders>
              <w:top w:val="single" w:sz="6" w:space="0" w:color="auto"/>
              <w:left w:val="single" w:sz="6" w:space="0" w:color="auto"/>
              <w:bottom w:val="single" w:sz="6" w:space="0" w:color="auto"/>
              <w:right w:val="single" w:sz="6" w:space="0" w:color="auto"/>
            </w:tcBorders>
          </w:tcPr>
          <w:p w14:paraId="6B34EF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Московский парк культуры и отдыха</w:t>
            </w:r>
          </w:p>
        </w:tc>
        <w:tc>
          <w:tcPr>
            <w:tcW w:w="422" w:type="dxa"/>
            <w:tcBorders>
              <w:top w:val="single" w:sz="6" w:space="0" w:color="auto"/>
              <w:left w:val="single" w:sz="6" w:space="0" w:color="auto"/>
              <w:bottom w:val="single" w:sz="6" w:space="0" w:color="auto"/>
              <w:right w:val="single" w:sz="6" w:space="0" w:color="auto"/>
            </w:tcBorders>
          </w:tcPr>
          <w:p w14:paraId="68D0C1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2B99FE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4DC403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3B70D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A2CF0F0"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10BAA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27A6F2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4AADEE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D96F3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731726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5620A363"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09240B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Ростовский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46DAA9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4D966F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1F2F95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7F78BE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8880C9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D28E7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654DBC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7256D1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7A870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258" w:type="dxa"/>
            <w:tcBorders>
              <w:top w:val="single" w:sz="6" w:space="0" w:color="auto"/>
              <w:left w:val="single" w:sz="6" w:space="0" w:color="auto"/>
              <w:bottom w:val="single" w:sz="6" w:space="0" w:color="auto"/>
              <w:right w:val="single" w:sz="6" w:space="0" w:color="auto"/>
            </w:tcBorders>
          </w:tcPr>
          <w:p w14:paraId="63DFB7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AB768EF"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657F4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учреждениями</w:t>
            </w:r>
          </w:p>
        </w:tc>
        <w:tc>
          <w:tcPr>
            <w:tcW w:w="422" w:type="dxa"/>
            <w:tcBorders>
              <w:top w:val="single" w:sz="6" w:space="0" w:color="auto"/>
              <w:left w:val="single" w:sz="6" w:space="0" w:color="auto"/>
              <w:bottom w:val="single" w:sz="6" w:space="0" w:color="auto"/>
              <w:right w:val="single" w:sz="6" w:space="0" w:color="auto"/>
            </w:tcBorders>
          </w:tcPr>
          <w:p w14:paraId="6740C9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c>
          <w:tcPr>
            <w:tcW w:w="547" w:type="dxa"/>
            <w:tcBorders>
              <w:top w:val="single" w:sz="6" w:space="0" w:color="auto"/>
              <w:left w:val="single" w:sz="6" w:space="0" w:color="auto"/>
              <w:bottom w:val="single" w:sz="6" w:space="0" w:color="auto"/>
              <w:right w:val="single" w:sz="6" w:space="0" w:color="auto"/>
            </w:tcBorders>
          </w:tcPr>
          <w:p w14:paraId="3B7A81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90" w:type="dxa"/>
            <w:tcBorders>
              <w:top w:val="single" w:sz="6" w:space="0" w:color="auto"/>
              <w:left w:val="single" w:sz="6" w:space="0" w:color="auto"/>
              <w:bottom w:val="single" w:sz="6" w:space="0" w:color="auto"/>
              <w:right w:val="single" w:sz="6" w:space="0" w:color="auto"/>
            </w:tcBorders>
          </w:tcPr>
          <w:p w14:paraId="65C8EC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1258" w:type="dxa"/>
            <w:tcBorders>
              <w:top w:val="single" w:sz="6" w:space="0" w:color="auto"/>
              <w:left w:val="single" w:sz="6" w:space="0" w:color="auto"/>
              <w:bottom w:val="single" w:sz="6" w:space="0" w:color="auto"/>
              <w:right w:val="single" w:sz="6" w:space="0" w:color="auto"/>
            </w:tcBorders>
          </w:tcPr>
          <w:p w14:paraId="6837AB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2769829"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9415C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22" w:type="dxa"/>
            <w:tcBorders>
              <w:top w:val="single" w:sz="6" w:space="0" w:color="auto"/>
              <w:left w:val="single" w:sz="6" w:space="0" w:color="auto"/>
              <w:bottom w:val="single" w:sz="6" w:space="0" w:color="auto"/>
              <w:right w:val="single" w:sz="6" w:space="0" w:color="auto"/>
            </w:tcBorders>
          </w:tcPr>
          <w:p w14:paraId="4B85DB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186</w:t>
            </w:r>
          </w:p>
        </w:tc>
        <w:tc>
          <w:tcPr>
            <w:tcW w:w="547" w:type="dxa"/>
            <w:tcBorders>
              <w:top w:val="single" w:sz="6" w:space="0" w:color="auto"/>
              <w:left w:val="single" w:sz="6" w:space="0" w:color="auto"/>
              <w:bottom w:val="single" w:sz="6" w:space="0" w:color="auto"/>
              <w:right w:val="single" w:sz="6" w:space="0" w:color="auto"/>
            </w:tcBorders>
          </w:tcPr>
          <w:p w14:paraId="694AA6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w:t>
            </w:r>
          </w:p>
        </w:tc>
        <w:tc>
          <w:tcPr>
            <w:tcW w:w="490" w:type="dxa"/>
            <w:tcBorders>
              <w:top w:val="single" w:sz="6" w:space="0" w:color="auto"/>
              <w:left w:val="single" w:sz="6" w:space="0" w:color="auto"/>
              <w:bottom w:val="single" w:sz="6" w:space="0" w:color="auto"/>
              <w:right w:val="single" w:sz="6" w:space="0" w:color="auto"/>
            </w:tcBorders>
          </w:tcPr>
          <w:p w14:paraId="6FEA8C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w:t>
            </w:r>
          </w:p>
        </w:tc>
        <w:tc>
          <w:tcPr>
            <w:tcW w:w="1258" w:type="dxa"/>
            <w:tcBorders>
              <w:top w:val="single" w:sz="6" w:space="0" w:color="auto"/>
              <w:left w:val="single" w:sz="6" w:space="0" w:color="auto"/>
              <w:bottom w:val="single" w:sz="6" w:space="0" w:color="auto"/>
              <w:right w:val="single" w:sz="6" w:space="0" w:color="auto"/>
            </w:tcBorders>
          </w:tcPr>
          <w:p w14:paraId="142C4C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1D78402" w14:textId="77777777">
        <w:trPr>
          <w:trHeight w:val="413"/>
        </w:trPr>
        <w:tc>
          <w:tcPr>
            <w:tcW w:w="5424" w:type="dxa"/>
            <w:gridSpan w:val="5"/>
            <w:tcBorders>
              <w:top w:val="single" w:sz="6" w:space="0" w:color="auto"/>
              <w:left w:val="single" w:sz="6" w:space="0" w:color="auto"/>
              <w:bottom w:val="single" w:sz="6" w:space="0" w:color="auto"/>
              <w:right w:val="single" w:sz="6" w:space="0" w:color="auto"/>
            </w:tcBorders>
          </w:tcPr>
          <w:p w14:paraId="1AB80D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F004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3 машины дано разрешение на передачу 2-му </w:t>
      </w:r>
      <w:proofErr w:type="spellStart"/>
      <w:r w:rsidRPr="007122AB">
        <w:rPr>
          <w:rFonts w:ascii="Times New Roman" w:hAnsi="Times New Roman"/>
          <w:color w:val="000000" w:themeColor="text1"/>
          <w:sz w:val="16"/>
          <w:szCs w:val="16"/>
        </w:rPr>
        <w:t>пшку</w:t>
      </w:r>
      <w:proofErr w:type="spellEnd"/>
      <w:r w:rsidRPr="007122AB">
        <w:rPr>
          <w:rFonts w:ascii="Times New Roman" w:hAnsi="Times New Roman"/>
          <w:color w:val="000000" w:themeColor="text1"/>
          <w:sz w:val="16"/>
          <w:szCs w:val="16"/>
        </w:rPr>
        <w:t xml:space="preserve"> бронепоездов Таблица составлена по данным: РГВА, ф. 31811, он. 1, (}. 143, я. 14 (11284).</w:t>
      </w:r>
    </w:p>
    <w:p w14:paraId="09E524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B061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FE54C6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B15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 1931 Начался судебный процесс по делу "Союзного бюро ЦК РСДРП(м)" (10687).</w:t>
      </w:r>
    </w:p>
    <w:p w14:paraId="5F77A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3242B1" w14:textId="77777777" w:rsidR="00B03615" w:rsidRPr="007122AB" w:rsidRDefault="00B036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марта. Начался процесс "Союзного бюро" Ц.К. меньшевиков, возглавлявшегося </w:t>
      </w:r>
      <w:proofErr w:type="spellStart"/>
      <w:r w:rsidRPr="007122AB">
        <w:rPr>
          <w:rFonts w:ascii="Times New Roman" w:hAnsi="Times New Roman"/>
          <w:color w:val="000000" w:themeColor="text1"/>
          <w:sz w:val="16"/>
          <w:szCs w:val="16"/>
        </w:rPr>
        <w:t>Громаном</w:t>
      </w:r>
      <w:proofErr w:type="spellEnd"/>
      <w:r w:rsidRPr="007122AB">
        <w:rPr>
          <w:rFonts w:ascii="Times New Roman" w:hAnsi="Times New Roman"/>
          <w:color w:val="000000" w:themeColor="text1"/>
          <w:sz w:val="16"/>
          <w:szCs w:val="16"/>
        </w:rPr>
        <w:t>, Сухановым, Шером и рядом их помощников. Всего судили 14 человек. Подрывная деятельность, связь с зарубежными русскими организациями и так далее. Все признали свою вину, получили разные сроки, никого не расстреляли (12629).</w:t>
      </w:r>
    </w:p>
    <w:p w14:paraId="5C35290F" w14:textId="77777777" w:rsidR="00B03615" w:rsidRPr="007122AB" w:rsidRDefault="00B0361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E751D74" w14:textId="77777777" w:rsidR="00EE45A6" w:rsidRPr="007122AB" w:rsidRDefault="00EE45A6"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 по 9 марта 1931 шел процесс Союзного бюро меньшевиков (1348,119). Целью было доказать, что меньшевики в контрреволюционных целях пролезли в руководство и захватили важные гос. посты, дублируя ВСНХ, Госбанк, Госплан, </w:t>
      </w:r>
      <w:proofErr w:type="spellStart"/>
      <w:r w:rsidRPr="007122AB">
        <w:rPr>
          <w:rFonts w:ascii="Times New Roman" w:hAnsi="Times New Roman"/>
          <w:color w:val="000000" w:themeColor="text1"/>
          <w:sz w:val="16"/>
          <w:szCs w:val="16"/>
        </w:rPr>
        <w:t>Наркомторг</w:t>
      </w:r>
      <w:proofErr w:type="spellEnd"/>
      <w:r w:rsidRPr="007122AB">
        <w:rPr>
          <w:rFonts w:ascii="Times New Roman" w:hAnsi="Times New Roman"/>
          <w:color w:val="000000" w:themeColor="text1"/>
          <w:sz w:val="16"/>
          <w:szCs w:val="16"/>
        </w:rPr>
        <w:t xml:space="preserve"> (3240).</w:t>
      </w:r>
    </w:p>
    <w:p w14:paraId="6DF7F8C1" w14:textId="77777777" w:rsidR="00EE45A6" w:rsidRPr="007122AB" w:rsidRDefault="00EE45A6" w:rsidP="007122AB">
      <w:pPr>
        <w:autoSpaceDE w:val="0"/>
        <w:autoSpaceDN w:val="0"/>
        <w:adjustRightInd w:val="0"/>
        <w:spacing w:after="0" w:line="240" w:lineRule="auto"/>
        <w:jc w:val="both"/>
        <w:rPr>
          <w:rFonts w:ascii="Times New Roman" w:hAnsi="Times New Roman"/>
          <w:color w:val="000000" w:themeColor="text1"/>
          <w:sz w:val="16"/>
          <w:szCs w:val="16"/>
        </w:rPr>
      </w:pPr>
    </w:p>
    <w:p w14:paraId="5D0EE9A4"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марта</w:t>
      </w:r>
      <w:r w:rsidRPr="007122AB">
        <w:rPr>
          <w:rFonts w:ascii="Times New Roman" w:hAnsi="Times New Roman"/>
          <w:color w:val="000000" w:themeColor="text1"/>
          <w:sz w:val="16"/>
          <w:szCs w:val="16"/>
        </w:rPr>
        <w:t xml:space="preserve"> в 1931 году в Москве начинается открытый судебный процесс над лидерами меньшевиков (15055).</w:t>
      </w:r>
    </w:p>
    <w:p w14:paraId="20261737"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70555C43"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 по 9 марта 1931 г. проходил очередной публичный процесс. На этот раз на скамье подсудимых: оказались 14 человек из "Союзного бюро ЦК меньшевиков". Они выслушивали набор тех же обвинений: от развала советской экономики до установления связи с правительствами империалистических держав. Среди тех, кто проходил по этому процессу, оказались член президиума Госплана В. Г. </w:t>
      </w:r>
      <w:proofErr w:type="spellStart"/>
      <w:r w:rsidRPr="007122AB">
        <w:rPr>
          <w:rFonts w:ascii="Times New Roman" w:hAnsi="Times New Roman"/>
          <w:color w:val="000000" w:themeColor="text1"/>
          <w:sz w:val="16"/>
          <w:szCs w:val="16"/>
        </w:rPr>
        <w:t>Громан</w:t>
      </w:r>
      <w:proofErr w:type="spellEnd"/>
      <w:r w:rsidRPr="007122AB">
        <w:rPr>
          <w:rFonts w:ascii="Times New Roman" w:hAnsi="Times New Roman"/>
          <w:color w:val="000000" w:themeColor="text1"/>
          <w:sz w:val="16"/>
          <w:szCs w:val="16"/>
        </w:rPr>
        <w:t xml:space="preserve">, известный </w:t>
      </w:r>
      <w:proofErr w:type="spellStart"/>
      <w:r w:rsidRPr="007122AB">
        <w:rPr>
          <w:rFonts w:ascii="Times New Roman" w:hAnsi="Times New Roman"/>
          <w:color w:val="000000" w:themeColor="text1"/>
          <w:sz w:val="16"/>
          <w:szCs w:val="16"/>
        </w:rPr>
        <w:t>эконо-мист</w:t>
      </w:r>
      <w:proofErr w:type="spellEnd"/>
      <w:r w:rsidRPr="007122AB">
        <w:rPr>
          <w:rFonts w:ascii="Times New Roman" w:hAnsi="Times New Roman"/>
          <w:color w:val="000000" w:themeColor="text1"/>
          <w:sz w:val="16"/>
          <w:szCs w:val="16"/>
        </w:rPr>
        <w:t xml:space="preserve"> и журналист Н. Н. Суханов, член правления Госбанка СССР В. В. Шер и другие специалисты. Все они признали себя виновными и получили от 3 до 10 лет лишения свободы.</w:t>
      </w:r>
    </w:p>
    <w:p w14:paraId="15C17AE4"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Обвиняемые на публичных процессах 1928-1931 гг. представляли только верхушку </w:t>
      </w:r>
      <w:proofErr w:type="spellStart"/>
      <w:r w:rsidRPr="007122AB">
        <w:rPr>
          <w:rFonts w:ascii="Times New Roman" w:hAnsi="Times New Roman"/>
          <w:color w:val="000000" w:themeColor="text1"/>
          <w:sz w:val="16"/>
          <w:szCs w:val="16"/>
        </w:rPr>
        <w:t>внушитель</w:t>
      </w:r>
      <w:proofErr w:type="spellEnd"/>
      <w:r w:rsidRPr="007122AB">
        <w:rPr>
          <w:rFonts w:ascii="Times New Roman" w:hAnsi="Times New Roman"/>
          <w:color w:val="000000" w:themeColor="text1"/>
          <w:sz w:val="16"/>
          <w:szCs w:val="16"/>
        </w:rPr>
        <w:t>-ной пирамиды из многих сотен арестованных в те годы по "вредительским" делам. Только в 1931 г. во внесудебном порядке на Особом совещании ОГПУ и его коллегии были рассмотрены дела в отношении почти 2,5 тыс. человек: профессоров, инженеров, экономистов, агрономов и служащих. "Вредительство" в широких масштабах обнаруживалось в лесоводстве, микробиологии, горном деле, мелиорации и т. д. (18527).</w:t>
      </w:r>
    </w:p>
    <w:p w14:paraId="3A943CBE"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63EB1C8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За</w:t>
      </w:r>
      <w:r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рубежом</w:t>
      </w:r>
      <w:r w:rsidRPr="007122AB">
        <w:rPr>
          <w:rFonts w:ascii="Times New Roman" w:hAnsi="Times New Roman"/>
          <w:i/>
          <w:iCs/>
          <w:color w:val="000000" w:themeColor="text1"/>
          <w:sz w:val="16"/>
          <w:szCs w:val="16"/>
          <w:lang w:val="en-US"/>
        </w:rPr>
        <w:t>:</w:t>
      </w:r>
    </w:p>
    <w:p w14:paraId="4DB2B9F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C951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March 2, 1931 A propeller development program, which led to the adoption of variable pitch propellers, was initiated with the award of a contract to Hamilton Standard Propeller Company for two such propellers suitable for use on fighting planes (1090).</w:t>
      </w:r>
    </w:p>
    <w:p w14:paraId="5FCAC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015957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марта 1931 в США была разработана программа развития работ в области винтов на фирме Hamilton Standard </w:t>
      </w:r>
      <w:proofErr w:type="spellStart"/>
      <w:r w:rsidRPr="007122AB">
        <w:rPr>
          <w:rFonts w:ascii="Times New Roman" w:hAnsi="Times New Roman"/>
          <w:color w:val="000000" w:themeColor="text1"/>
          <w:sz w:val="16"/>
          <w:szCs w:val="16"/>
        </w:rPr>
        <w:t>Propeller</w:t>
      </w:r>
      <w:proofErr w:type="spellEnd"/>
      <w:r w:rsidRPr="007122AB">
        <w:rPr>
          <w:rFonts w:ascii="Times New Roman" w:hAnsi="Times New Roman"/>
          <w:color w:val="000000" w:themeColor="text1"/>
          <w:sz w:val="16"/>
          <w:szCs w:val="16"/>
        </w:rPr>
        <w:t xml:space="preserve"> Company (1090).</w:t>
      </w:r>
    </w:p>
    <w:p w14:paraId="5B85B9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2A570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75A036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409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3 декабря 1930 года по 11 января 1931 года и с 2 марта 1931 года по 22 марта 1931 года в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были проведены испытания опытной партии 2-кг осколочных бомб (3326).</w:t>
      </w:r>
    </w:p>
    <w:p w14:paraId="50F62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FAE25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CC8FEE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5E82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марта 1931 Тухачевский сформулировал ТТТ для различных типов танков (танки прорыва, независимо действующие и приданные пехоте, а также прочие) (9089,137).</w:t>
      </w:r>
    </w:p>
    <w:p w14:paraId="663C96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74DD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марта 1931 г. были подготовлен СООБРАЖЕНИЯ КОМАНДУЮЩЕГО ЛВО НАЧАЛЬНИКУ УММ О ТАКТИЧЕСКИХ ХАРАКТЕРИСТИКАХ РАЗЛИЧНЫХ ТИПОВ ТАНКОВ</w:t>
      </w:r>
    </w:p>
    <w:p w14:paraId="477488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Ленинград</w:t>
      </w:r>
    </w:p>
    <w:p w14:paraId="5C9438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p w14:paraId="3D46C3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Сообщаю на Ваш запрос свои соображения о тактической характеристике различных типов танков и их стандартизации с автотракторной промышленностью страны. Настоящие соображения носят характер предварительный, на практике проверенные лишь отчасти, но, по-видимому, имею</w:t>
      </w:r>
      <w:r w:rsidRPr="007122AB">
        <w:rPr>
          <w:rFonts w:ascii="Times New Roman" w:hAnsi="Times New Roman"/>
          <w:color w:val="000000" w:themeColor="text1"/>
          <w:sz w:val="16"/>
          <w:szCs w:val="16"/>
        </w:rPr>
        <w:softHyphen/>
        <w:t>щие все основания оправдаться полностью.</w:t>
      </w:r>
    </w:p>
    <w:p w14:paraId="5EBDA4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Тактическая характеристика танков</w:t>
      </w:r>
    </w:p>
    <w:p w14:paraId="2C530C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Принятая у нас номенклатура различных типов танков не заключает в себя тактического содер</w:t>
      </w:r>
      <w:r w:rsidRPr="007122AB">
        <w:rPr>
          <w:rFonts w:ascii="Times New Roman" w:hAnsi="Times New Roman"/>
          <w:color w:val="000000" w:themeColor="text1"/>
          <w:sz w:val="16"/>
          <w:szCs w:val="16"/>
        </w:rPr>
        <w:softHyphen/>
        <w:t>жания, а потому мало помогает тактической подготовке войск в применении танков, а во-вторых, ос</w:t>
      </w:r>
      <w:r w:rsidRPr="007122AB">
        <w:rPr>
          <w:rFonts w:ascii="Times New Roman" w:hAnsi="Times New Roman"/>
          <w:color w:val="000000" w:themeColor="text1"/>
          <w:sz w:val="16"/>
          <w:szCs w:val="16"/>
        </w:rPr>
        <w:softHyphen/>
        <w:t>тавляет совершенно неограниченное поле для импровизации отдельных конструкторов, особенно в ; отношении вооружения. Между тем, вооружение на танках должно быть строго регламентировано, так как иначе, при массовом использовании танков, большое количество огневых средств, постав</w:t>
      </w:r>
      <w:r w:rsidRPr="007122AB">
        <w:rPr>
          <w:rFonts w:ascii="Times New Roman" w:hAnsi="Times New Roman"/>
          <w:color w:val="000000" w:themeColor="text1"/>
          <w:sz w:val="16"/>
          <w:szCs w:val="16"/>
        </w:rPr>
        <w:softHyphen/>
        <w:t>ленных на танки, окажется неиспользованным, и, вместе с тем, чрезмерные заявки на огневые сред</w:t>
      </w:r>
      <w:r w:rsidRPr="007122AB">
        <w:rPr>
          <w:rFonts w:ascii="Times New Roman" w:hAnsi="Times New Roman"/>
          <w:color w:val="000000" w:themeColor="text1"/>
          <w:sz w:val="16"/>
          <w:szCs w:val="16"/>
        </w:rPr>
        <w:softHyphen/>
        <w:t>ства, особенно артиллерийские, будут снижать производственные возможности по танкам. ПУ-29 по танковому вопросу дает ряд указаний, рассчитанных на крайне бедное и скудное наличие танковых средств в РККА, посему тактические задачи танков, в связи с последними решениями Пра</w:t>
      </w:r>
      <w:r w:rsidRPr="007122AB">
        <w:rPr>
          <w:rFonts w:ascii="Times New Roman" w:hAnsi="Times New Roman"/>
          <w:color w:val="000000" w:themeColor="text1"/>
          <w:sz w:val="16"/>
          <w:szCs w:val="16"/>
        </w:rPr>
        <w:softHyphen/>
        <w:t>вительства, должны быть в корне пересмотрены, расширены и уточнены. С другой стороны, исходя из этих тактических задач, необходимо сформулировать ряд конкретных требований для конструк</w:t>
      </w:r>
      <w:r w:rsidRPr="007122AB">
        <w:rPr>
          <w:rFonts w:ascii="Times New Roman" w:hAnsi="Times New Roman"/>
          <w:color w:val="000000" w:themeColor="text1"/>
          <w:sz w:val="16"/>
          <w:szCs w:val="16"/>
        </w:rPr>
        <w:softHyphen/>
        <w:t>торов танков. Большое количество танков на поле сражения вносит, по сравнению с методами тан</w:t>
      </w:r>
      <w:r w:rsidRPr="007122AB">
        <w:rPr>
          <w:rFonts w:ascii="Times New Roman" w:hAnsi="Times New Roman"/>
          <w:color w:val="000000" w:themeColor="text1"/>
          <w:sz w:val="16"/>
          <w:szCs w:val="16"/>
        </w:rPr>
        <w:softHyphen/>
        <w:t>ковых боев 1918 года, то новое, что огонь танковых средств развернется сразу на большой глубине внутри оборонительного расположения противника (для простоты буду рассматривать наступление на обороняющегося).</w:t>
      </w:r>
    </w:p>
    <w:p w14:paraId="0924E7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Сопровождение, проталкивание пехоты танками - явится лишь одной из составных частей общей системы нового вида глубокого боя. Оставлю пока в стороне вопросы прорыва специальных танково-десантных отрядов в глубокий тыл противника, имеющие оперативный характер. Попробую охарак</w:t>
      </w:r>
      <w:r w:rsidRPr="007122AB">
        <w:rPr>
          <w:rFonts w:ascii="Times New Roman" w:hAnsi="Times New Roman"/>
          <w:color w:val="000000" w:themeColor="text1"/>
          <w:sz w:val="16"/>
          <w:szCs w:val="16"/>
        </w:rPr>
        <w:softHyphen/>
        <w:t>теризовать систему танкового боя против оборонительной полосы противника после того, как поло</w:t>
      </w:r>
      <w:r w:rsidRPr="007122AB">
        <w:rPr>
          <w:rFonts w:ascii="Times New Roman" w:hAnsi="Times New Roman"/>
          <w:color w:val="000000" w:themeColor="text1"/>
          <w:sz w:val="16"/>
          <w:szCs w:val="16"/>
        </w:rPr>
        <w:softHyphen/>
        <w:t>са охранения его уничтожена. Применение больших танковых масс не исключает мощной артилле</w:t>
      </w:r>
      <w:r w:rsidRPr="007122AB">
        <w:rPr>
          <w:rFonts w:ascii="Times New Roman" w:hAnsi="Times New Roman"/>
          <w:color w:val="000000" w:themeColor="text1"/>
          <w:sz w:val="16"/>
          <w:szCs w:val="16"/>
        </w:rPr>
        <w:softHyphen/>
        <w:t>рийской подготовки. Наоборот, появление танков в оборонительной полосе должно быть внезапным для противника, залегшего на дне окопов под артиллерийским огнем. После достаточно мощной ар</w:t>
      </w:r>
      <w:r w:rsidRPr="007122AB">
        <w:rPr>
          <w:rFonts w:ascii="Times New Roman" w:hAnsi="Times New Roman"/>
          <w:color w:val="000000" w:themeColor="text1"/>
          <w:sz w:val="16"/>
          <w:szCs w:val="16"/>
        </w:rPr>
        <w:softHyphen/>
        <w:t>тиллерийской подготовки, наседая на свой артиллерийский огонь, переносимый в тыл противника, быстрее продвигаются в этот тыл первые танковые эшелоны дальнего действия. Эти эшелоны имеют две задачи: а) уничтожить артиллерию противника; б) уничтожить его штабы и систему связи; в) пу</w:t>
      </w:r>
      <w:r w:rsidRPr="007122AB">
        <w:rPr>
          <w:rFonts w:ascii="Times New Roman" w:hAnsi="Times New Roman"/>
          <w:color w:val="000000" w:themeColor="text1"/>
          <w:sz w:val="16"/>
          <w:szCs w:val="16"/>
        </w:rPr>
        <w:softHyphen/>
        <w:t>тем десантов специальных пулеметных частей на тыловых рубежах отрезать противнику путь отсту</w:t>
      </w:r>
      <w:r w:rsidRPr="007122AB">
        <w:rPr>
          <w:rFonts w:ascii="Times New Roman" w:hAnsi="Times New Roman"/>
          <w:color w:val="000000" w:themeColor="text1"/>
          <w:sz w:val="16"/>
          <w:szCs w:val="16"/>
        </w:rPr>
        <w:softHyphen/>
        <w:t>пления из оборонительной полосы в тыл и с тыла не допустить подходов к резервам.</w:t>
      </w:r>
    </w:p>
    <w:p w14:paraId="67CFF5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думаю, что после прохода этих эшелонов на короткий промежуток времени может быть возоб</w:t>
      </w:r>
      <w:r w:rsidRPr="007122AB">
        <w:rPr>
          <w:rFonts w:ascii="Times New Roman" w:hAnsi="Times New Roman"/>
          <w:color w:val="000000" w:themeColor="text1"/>
          <w:sz w:val="16"/>
          <w:szCs w:val="16"/>
        </w:rPr>
        <w:softHyphen/>
        <w:t>новлен ураганный налет артиллерии по пехоте противника (5-10 минут), после чего идут в атаку вто</w:t>
      </w:r>
      <w:r w:rsidRPr="007122AB">
        <w:rPr>
          <w:rFonts w:ascii="Times New Roman" w:hAnsi="Times New Roman"/>
          <w:color w:val="000000" w:themeColor="text1"/>
          <w:sz w:val="16"/>
          <w:szCs w:val="16"/>
        </w:rPr>
        <w:softHyphen/>
        <w:t>рые эшелоны танков и за ними - пехота. Впереди двигаются быстроходные танки-истребители стан</w:t>
      </w:r>
      <w:r w:rsidRPr="007122AB">
        <w:rPr>
          <w:rFonts w:ascii="Times New Roman" w:hAnsi="Times New Roman"/>
          <w:color w:val="000000" w:themeColor="text1"/>
          <w:sz w:val="16"/>
          <w:szCs w:val="16"/>
        </w:rPr>
        <w:softHyphen/>
        <w:t>ковых пулеметов, которые сразу врываются в глубину от 0,5 до 1 км (обычное месторасположение станковых пулеметов) и уничтожают их. Последующие эшелоны танков сопровождения пехоты дей</w:t>
      </w:r>
      <w:r w:rsidRPr="007122AB">
        <w:rPr>
          <w:rFonts w:ascii="Times New Roman" w:hAnsi="Times New Roman"/>
          <w:color w:val="000000" w:themeColor="text1"/>
          <w:sz w:val="16"/>
          <w:szCs w:val="16"/>
        </w:rPr>
        <w:softHyphen/>
        <w:t>ствуют непосредственно с ее эшелонами, облегчая и обеспечивая им превосходство над ручными пу</w:t>
      </w:r>
      <w:r w:rsidRPr="007122AB">
        <w:rPr>
          <w:rFonts w:ascii="Times New Roman" w:hAnsi="Times New Roman"/>
          <w:color w:val="000000" w:themeColor="text1"/>
          <w:sz w:val="16"/>
          <w:szCs w:val="16"/>
        </w:rPr>
        <w:softHyphen/>
        <w:t>леметами, снайперами и стрелками противника.</w:t>
      </w:r>
    </w:p>
    <w:p w14:paraId="300832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атакой эшелонов танков дальнего действия (ДД), могут быть использованы радиоуправля</w:t>
      </w:r>
      <w:r w:rsidRPr="007122AB">
        <w:rPr>
          <w:rFonts w:ascii="Times New Roman" w:hAnsi="Times New Roman"/>
          <w:color w:val="000000" w:themeColor="text1"/>
          <w:sz w:val="16"/>
          <w:szCs w:val="16"/>
        </w:rPr>
        <w:softHyphen/>
        <w:t>емые танки для установки дымовых завес, прикрывающих атакующие танки от артиллерийского на</w:t>
      </w:r>
      <w:r w:rsidRPr="007122AB">
        <w:rPr>
          <w:rFonts w:ascii="Times New Roman" w:hAnsi="Times New Roman"/>
          <w:color w:val="000000" w:themeColor="text1"/>
          <w:sz w:val="16"/>
          <w:szCs w:val="16"/>
        </w:rPr>
        <w:softHyphen/>
        <w:t>блюдения противника. Такие завесы могут быть поставлены и самолетами.</w:t>
      </w:r>
    </w:p>
    <w:p w14:paraId="45800D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Наступление как эшелонов танков дальнего действия, так и поддержки пехоты (ПП) должно обеспечиваться целой системой специальных танков: саперных, связи, снабжения и т.д.</w:t>
      </w:r>
    </w:p>
    <w:p w14:paraId="5C8800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Такой характер танковых действий требует следующих типов танков:</w:t>
      </w:r>
    </w:p>
    <w:p w14:paraId="688707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Танк истребитель артиллерии — ТИА;</w:t>
      </w:r>
    </w:p>
    <w:p w14:paraId="1F3F9E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Танк десантов пехоты — ТДП;</w:t>
      </w:r>
    </w:p>
    <w:p w14:paraId="66A5A0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Танк истребитель пулеметов (станковых) — ТИП;</w:t>
      </w:r>
    </w:p>
    <w:p w14:paraId="7B1156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Танк сопровождения пехоты — ТСП;</w:t>
      </w:r>
    </w:p>
    <w:p w14:paraId="633CB7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Специальный танк (саперный, связи, снабжения и проч.) — ТС;</w:t>
      </w:r>
    </w:p>
    <w:p w14:paraId="2B686F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Радиоуправляемый танк — ТР.</w:t>
      </w:r>
    </w:p>
    <w:p w14:paraId="607C77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Встает вопрос — нужны ли специальные разведывательные танки. Я думаю, что такие танки не нужны. Для состава разведывательного отряда (РО) используются обычные типы танков — ДД и ПП, но в специальном для данной разведывательной цели подборе.</w:t>
      </w:r>
    </w:p>
    <w:p w14:paraId="220003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 танков для обычного вида РО будет, примерно следующий: ТИП, ТСП, ТС. Помимо это</w:t>
      </w:r>
      <w:r w:rsidRPr="007122AB">
        <w:rPr>
          <w:rFonts w:ascii="Times New Roman" w:hAnsi="Times New Roman"/>
          <w:color w:val="000000" w:themeColor="text1"/>
          <w:sz w:val="16"/>
          <w:szCs w:val="16"/>
        </w:rPr>
        <w:softHyphen/>
        <w:t>го нового для нас вида действий РО, когда РО должен уничтожить определенную точку в расположе</w:t>
      </w:r>
      <w:r w:rsidRPr="007122AB">
        <w:rPr>
          <w:rFonts w:ascii="Times New Roman" w:hAnsi="Times New Roman"/>
          <w:color w:val="000000" w:themeColor="text1"/>
          <w:sz w:val="16"/>
          <w:szCs w:val="16"/>
        </w:rPr>
        <w:softHyphen/>
        <w:t>нии переднего края и на глубине близ переднего края противника, встает новый вид действий РО, вызываемый как характером глубокого танкового боя, так и новыми средствами. Этот новый вид действий РО может иметь своей задачей захват определенных точек, но уже не на переднем крае, а в глубине расположения противника, в частности, захват определенных штабов с задачей дальней</w:t>
      </w:r>
      <w:r w:rsidRPr="007122AB">
        <w:rPr>
          <w:rFonts w:ascii="Times New Roman" w:hAnsi="Times New Roman"/>
          <w:color w:val="000000" w:themeColor="text1"/>
          <w:sz w:val="16"/>
          <w:szCs w:val="16"/>
        </w:rPr>
        <w:softHyphen/>
        <w:t>шего возвращения в свое расположение.</w:t>
      </w:r>
    </w:p>
    <w:p w14:paraId="759A99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 такого РО потребует следующих типов танков ТИА, ТДП, ТИС, ТС. Я думаю, что не тре</w:t>
      </w:r>
      <w:r w:rsidRPr="007122AB">
        <w:rPr>
          <w:rFonts w:ascii="Times New Roman" w:hAnsi="Times New Roman"/>
          <w:color w:val="000000" w:themeColor="text1"/>
          <w:sz w:val="16"/>
          <w:szCs w:val="16"/>
        </w:rPr>
        <w:softHyphen/>
        <w:t>буется точно также и особых типов танков для авангардов, головных отрядов, передовых отрядов и ; проч. Все эти задачи могут удовлетворяться определенным подбором вышеперечисленных танков.</w:t>
      </w:r>
    </w:p>
    <w:p w14:paraId="471215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перечень различных систем танков я не включаю полковой и дивизионной артиллерии, поста</w:t>
      </w:r>
      <w:r w:rsidRPr="007122AB">
        <w:rPr>
          <w:rFonts w:ascii="Times New Roman" w:hAnsi="Times New Roman"/>
          <w:color w:val="000000" w:themeColor="text1"/>
          <w:sz w:val="16"/>
          <w:szCs w:val="16"/>
        </w:rPr>
        <w:softHyphen/>
        <w:t xml:space="preserve">вленной в танковые коробки, примерно, по типу «Коммунара» или «Катерпиллер», предложенных т. </w:t>
      </w:r>
      <w:proofErr w:type="spellStart"/>
      <w:r w:rsidRPr="007122AB">
        <w:rPr>
          <w:rFonts w:ascii="Times New Roman" w:hAnsi="Times New Roman"/>
          <w:color w:val="000000" w:themeColor="text1"/>
          <w:sz w:val="16"/>
          <w:szCs w:val="16"/>
        </w:rPr>
        <w:t>Дыренковым</w:t>
      </w:r>
      <w:proofErr w:type="spellEnd"/>
      <w:r w:rsidRPr="007122AB">
        <w:rPr>
          <w:rFonts w:ascii="Times New Roman" w:hAnsi="Times New Roman"/>
          <w:color w:val="000000" w:themeColor="text1"/>
          <w:sz w:val="16"/>
          <w:szCs w:val="16"/>
        </w:rPr>
        <w:t>.</w:t>
      </w:r>
    </w:p>
    <w:p w14:paraId="1BD403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Тактические требования к различным типам танков</w:t>
      </w:r>
    </w:p>
    <w:p w14:paraId="2F923D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ТИА - передние стенки - против батальонной пушки и 20 мм пулемета; боковые стенки - против крупнокалиберных пулеметов; скорость — 30-40 км в час; длина - преодоление любого окопа; вес - преодоление любого искусственного препятствия.</w:t>
      </w:r>
    </w:p>
    <w:p w14:paraId="184CAB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а) одна пушка; б) один-два пулемета; в) пистолеты для самообороны.</w:t>
      </w:r>
    </w:p>
    <w:p w14:paraId="505E89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расчете вооружения я учитываю, что одно орудие противника должны атаковать 3 ТИА.</w:t>
      </w:r>
    </w:p>
    <w:p w14:paraId="55BBC9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Основа производства: 2 автомобиля Я-3, 2 пары гусениц и подвесок типа Т-26.</w:t>
      </w:r>
    </w:p>
    <w:p w14:paraId="203F6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Военно-техническая академия в ближайшее время намечает спроектировать такой танк. Ориентировочная схема такого танка будет иметь следующий вид:</w:t>
      </w:r>
    </w:p>
    <w:p w14:paraId="3C0C3A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Такая схема ТИА, примерно, соответствующая тому типу, который у нас называется средним л, чрезвычайно упрощает постановку их массового производства, вводя полный стандарт, и с тем, предварительные расчеты показывают, что можно надеяться на успешное разрешение конструкции, которая будет иметь вес, примерно, среднего танка и мощность 170-180 лошадиных сил, а на высокосортном топливе - свыше 200.</w:t>
      </w:r>
    </w:p>
    <w:p w14:paraId="3C21F7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ТДП - броня кругом против крупнокалиберного пулемета; скорость - 20-30 км в час; длина - </w:t>
      </w:r>
      <w:proofErr w:type="spellStart"/>
      <w:r w:rsidRPr="007122AB">
        <w:rPr>
          <w:rFonts w:ascii="Times New Roman" w:hAnsi="Times New Roman"/>
          <w:color w:val="000000" w:themeColor="text1"/>
          <w:sz w:val="16"/>
          <w:szCs w:val="16"/>
        </w:rPr>
        <w:t>услоаие</w:t>
      </w:r>
      <w:proofErr w:type="spellEnd"/>
      <w:r w:rsidRPr="007122AB">
        <w:rPr>
          <w:rFonts w:ascii="Times New Roman" w:hAnsi="Times New Roman"/>
          <w:color w:val="000000" w:themeColor="text1"/>
          <w:sz w:val="16"/>
          <w:szCs w:val="16"/>
        </w:rPr>
        <w:t xml:space="preserve">, равное для ТИА; вооружение - 2 пулемета и щели для использования ручных пулеметов десанта. Желательный состав десанта: 1 ДРП и 50 снарядов; 2 станковых и 6 ручных пулеметов с боевым </w:t>
      </w:r>
      <w:proofErr w:type="spellStart"/>
      <w:r w:rsidRPr="007122AB">
        <w:rPr>
          <w:rFonts w:ascii="Times New Roman" w:hAnsi="Times New Roman"/>
          <w:color w:val="000000" w:themeColor="text1"/>
          <w:sz w:val="16"/>
          <w:szCs w:val="16"/>
        </w:rPr>
        <w:t>лектом</w:t>
      </w:r>
      <w:proofErr w:type="spellEnd"/>
      <w:r w:rsidRPr="007122AB">
        <w:rPr>
          <w:rFonts w:ascii="Times New Roman" w:hAnsi="Times New Roman"/>
          <w:color w:val="000000" w:themeColor="text1"/>
          <w:sz w:val="16"/>
          <w:szCs w:val="16"/>
        </w:rPr>
        <w:t xml:space="preserve"> патронов; около 22 бойцов плюс команда танка. Условие габарита может снизить величину десанта. Основы для производства - автомобили «Автокар» и «Форд».</w:t>
      </w:r>
    </w:p>
    <w:p w14:paraId="7E16E6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ТИП - броня против пулеметного огня </w:t>
      </w:r>
      <w:proofErr w:type="spellStart"/>
      <w:r w:rsidRPr="007122AB">
        <w:rPr>
          <w:rFonts w:ascii="Times New Roman" w:hAnsi="Times New Roman"/>
          <w:color w:val="000000" w:themeColor="text1"/>
          <w:sz w:val="16"/>
          <w:szCs w:val="16"/>
        </w:rPr>
        <w:t>бронепуль</w:t>
      </w:r>
      <w:proofErr w:type="spellEnd"/>
      <w:r w:rsidRPr="007122AB">
        <w:rPr>
          <w:rFonts w:ascii="Times New Roman" w:hAnsi="Times New Roman"/>
          <w:color w:val="000000" w:themeColor="text1"/>
          <w:sz w:val="16"/>
          <w:szCs w:val="16"/>
        </w:rPr>
        <w:t>; скорость - 30 км в час; вооружение - 1 пуле-г (можно добавить огнемет); производственная основа - автомобили «Автокар» и «Форд».</w:t>
      </w:r>
    </w:p>
    <w:p w14:paraId="4F8C38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ТСП - броня против винтовочных </w:t>
      </w:r>
      <w:proofErr w:type="spellStart"/>
      <w:r w:rsidRPr="007122AB">
        <w:rPr>
          <w:rFonts w:ascii="Times New Roman" w:hAnsi="Times New Roman"/>
          <w:color w:val="000000" w:themeColor="text1"/>
          <w:sz w:val="16"/>
          <w:szCs w:val="16"/>
        </w:rPr>
        <w:t>бронепуль</w:t>
      </w:r>
      <w:proofErr w:type="spellEnd"/>
      <w:r w:rsidRPr="007122AB">
        <w:rPr>
          <w:rFonts w:ascii="Times New Roman" w:hAnsi="Times New Roman"/>
          <w:color w:val="000000" w:themeColor="text1"/>
          <w:sz w:val="16"/>
          <w:szCs w:val="16"/>
        </w:rPr>
        <w:t>; скорость - 10-20 км в час; вооружение - 1 пуле-; производственная основа - трактор «Интернационал» и автомобиль «Форд».</w:t>
      </w:r>
    </w:p>
    <w:p w14:paraId="5162A3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ТС - броня против </w:t>
      </w:r>
      <w:proofErr w:type="spellStart"/>
      <w:r w:rsidRPr="007122AB">
        <w:rPr>
          <w:rFonts w:ascii="Times New Roman" w:hAnsi="Times New Roman"/>
          <w:color w:val="000000" w:themeColor="text1"/>
          <w:sz w:val="16"/>
          <w:szCs w:val="16"/>
        </w:rPr>
        <w:t>бронепуль</w:t>
      </w:r>
      <w:proofErr w:type="spellEnd"/>
      <w:r w:rsidRPr="007122AB">
        <w:rPr>
          <w:rFonts w:ascii="Times New Roman" w:hAnsi="Times New Roman"/>
          <w:color w:val="000000" w:themeColor="text1"/>
          <w:sz w:val="16"/>
          <w:szCs w:val="16"/>
        </w:rPr>
        <w:t xml:space="preserve"> крупнокалиберного пулемета; вооружение - пистолеты для само-бороны (можно огнемет); скорость (в зависимости от типов) - 10-30 км в час. Число и характер различных образцов специальных танков пока не рассматриваем, </w:t>
      </w:r>
      <w:proofErr w:type="spellStart"/>
      <w:r w:rsidRPr="007122AB">
        <w:rPr>
          <w:rFonts w:ascii="Times New Roman" w:hAnsi="Times New Roman"/>
          <w:color w:val="000000" w:themeColor="text1"/>
          <w:sz w:val="16"/>
          <w:szCs w:val="16"/>
        </w:rPr>
        <w:t>ограничива-ьлишь</w:t>
      </w:r>
      <w:proofErr w:type="spellEnd"/>
      <w:r w:rsidRPr="007122AB">
        <w:rPr>
          <w:rFonts w:ascii="Times New Roman" w:hAnsi="Times New Roman"/>
          <w:color w:val="000000" w:themeColor="text1"/>
          <w:sz w:val="16"/>
          <w:szCs w:val="16"/>
        </w:rPr>
        <w:t xml:space="preserve"> замечанием, что саперный танк должен уметь прокладывать путь через проволоку, срывать ость окопов и оврагов для создания колейных путей танкам и артиллерии, прокладывать легкий настил по заболоченным местам, наводить легкие мостки и т.д. Производственная основа - трактора «Коммунар», «Катерпиллер» и автомобиль «Автокар».</w:t>
      </w:r>
    </w:p>
    <w:p w14:paraId="5039D2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ТР — радиоуправляемые танки могут иметь различные задания и характер устройства. Такими задачами могут быть: постановка дымовой завесы, производство пожара, производство взрывов, самодвижущиеся мины) и т.д.</w:t>
      </w:r>
    </w:p>
    <w:p w14:paraId="55594E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Производственная основа - автомобиль «Автокар», трактора «Коммунар», «Интернационал» и даже «Фордзон» (для самодвижущихся мин).</w:t>
      </w:r>
    </w:p>
    <w:p w14:paraId="5E1FB5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Скорость для </w:t>
      </w:r>
      <w:proofErr w:type="spellStart"/>
      <w:r w:rsidRPr="007122AB">
        <w:rPr>
          <w:rFonts w:ascii="Times New Roman" w:hAnsi="Times New Roman"/>
          <w:color w:val="000000" w:themeColor="text1"/>
          <w:sz w:val="16"/>
          <w:szCs w:val="16"/>
        </w:rPr>
        <w:t>дымозавесных</w:t>
      </w:r>
      <w:proofErr w:type="spellEnd"/>
      <w:r w:rsidRPr="007122AB">
        <w:rPr>
          <w:rFonts w:ascii="Times New Roman" w:hAnsi="Times New Roman"/>
          <w:color w:val="000000" w:themeColor="text1"/>
          <w:sz w:val="16"/>
          <w:szCs w:val="16"/>
        </w:rPr>
        <w:t xml:space="preserve"> ТР- 30 км в час.</w:t>
      </w:r>
    </w:p>
    <w:p w14:paraId="019225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Расчет числа танков на фронте атаки стрелковой дивизии</w:t>
      </w:r>
    </w:p>
    <w:p w14:paraId="5EACDD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таком фронте, в зависимости от плотности обороны наступающая стрелковая дивизия в каждом из эшелонов обороны противника встретит 1,0-1,5 центра сопротивления противника, т.е. 36-54ручных пулемета, 12-16 станковых пулеметов и от 7 до 10 орудий корпусной, дивизионной, полко</w:t>
      </w:r>
      <w:r w:rsidRPr="007122AB">
        <w:rPr>
          <w:rFonts w:ascii="Times New Roman" w:hAnsi="Times New Roman"/>
          <w:color w:val="000000" w:themeColor="text1"/>
          <w:sz w:val="16"/>
          <w:szCs w:val="16"/>
        </w:rPr>
        <w:softHyphen/>
        <w:t>вой и батальонной артиллерии (огонь артиллерии будет и из других участков, но атаке танков на Г фронте наступающей дивизии подвергнется в среднем примерно такое число орудий, в зависимости от ширины обороны дивизии противника - 7-10 км).</w:t>
      </w:r>
    </w:p>
    <w:p w14:paraId="28C4CB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фронте дивизии требуется: ТКА - 20-30 единиц; ТДП - 5 единиц (выброска в тыл противнику ; огневых сил, примерно, эквивалентна стрелковому батальону); ТИП - 12-18 единиц; ТСП - 36-54 единицы; ТС - 10 -20 единиц; ТР - 2-3 единицы. Итого - 87-130 единиц.</w:t>
      </w:r>
    </w:p>
    <w:p w14:paraId="20C47E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100 ударных дивизий это потребовало бы 8700-13000 танков в строю.</w:t>
      </w:r>
    </w:p>
    <w:p w14:paraId="2D27C3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Помимо того, потребуются специальные самостоятельные </w:t>
      </w:r>
      <w:proofErr w:type="spellStart"/>
      <w:r w:rsidRPr="007122AB">
        <w:rPr>
          <w:rFonts w:ascii="Times New Roman" w:hAnsi="Times New Roman"/>
          <w:color w:val="000000" w:themeColor="text1"/>
          <w:sz w:val="16"/>
          <w:szCs w:val="16"/>
        </w:rPr>
        <w:t>танкодесантные</w:t>
      </w:r>
      <w:proofErr w:type="spellEnd"/>
      <w:r w:rsidRPr="007122AB">
        <w:rPr>
          <w:rFonts w:ascii="Times New Roman" w:hAnsi="Times New Roman"/>
          <w:color w:val="000000" w:themeColor="text1"/>
          <w:sz w:val="16"/>
          <w:szCs w:val="16"/>
        </w:rPr>
        <w:t xml:space="preserve"> отряды, проникаю</w:t>
      </w:r>
      <w:r w:rsidRPr="007122AB">
        <w:rPr>
          <w:rFonts w:ascii="Times New Roman" w:hAnsi="Times New Roman"/>
          <w:color w:val="000000" w:themeColor="text1"/>
          <w:sz w:val="16"/>
          <w:szCs w:val="16"/>
        </w:rPr>
        <w:softHyphen/>
        <w:t xml:space="preserve">щие в тыл противника, с </w:t>
      </w:r>
      <w:proofErr w:type="spellStart"/>
      <w:r w:rsidRPr="007122AB">
        <w:rPr>
          <w:rFonts w:ascii="Times New Roman" w:hAnsi="Times New Roman"/>
          <w:color w:val="000000" w:themeColor="text1"/>
          <w:sz w:val="16"/>
          <w:szCs w:val="16"/>
        </w:rPr>
        <w:t>крупнотактическими</w:t>
      </w:r>
      <w:proofErr w:type="spellEnd"/>
      <w:r w:rsidRPr="007122AB">
        <w:rPr>
          <w:rFonts w:ascii="Times New Roman" w:hAnsi="Times New Roman"/>
          <w:color w:val="000000" w:themeColor="text1"/>
          <w:sz w:val="16"/>
          <w:szCs w:val="16"/>
        </w:rPr>
        <w:t xml:space="preserve"> задачами корпусного масштаба и оперативными ар</w:t>
      </w:r>
      <w:r w:rsidRPr="007122AB">
        <w:rPr>
          <w:rFonts w:ascii="Times New Roman" w:hAnsi="Times New Roman"/>
          <w:color w:val="000000" w:themeColor="text1"/>
          <w:sz w:val="16"/>
          <w:szCs w:val="16"/>
        </w:rPr>
        <w:softHyphen/>
        <w:t>мейскими задачами.</w:t>
      </w:r>
    </w:p>
    <w:p w14:paraId="697E4E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Необходимо также предусмотреть наличие танковых истребителей (</w:t>
      </w:r>
      <w:proofErr w:type="spellStart"/>
      <w:r w:rsidRPr="007122AB">
        <w:rPr>
          <w:rFonts w:ascii="Times New Roman" w:hAnsi="Times New Roman"/>
          <w:color w:val="000000" w:themeColor="text1"/>
          <w:sz w:val="16"/>
          <w:szCs w:val="16"/>
        </w:rPr>
        <w:t>контртанки</w:t>
      </w:r>
      <w:proofErr w:type="spellEnd"/>
      <w:r w:rsidRPr="007122AB">
        <w:rPr>
          <w:rFonts w:ascii="Times New Roman" w:hAnsi="Times New Roman"/>
          <w:color w:val="000000" w:themeColor="text1"/>
          <w:sz w:val="16"/>
          <w:szCs w:val="16"/>
        </w:rPr>
        <w:t xml:space="preserve"> во всех дивизи</w:t>
      </w:r>
      <w:r w:rsidRPr="007122AB">
        <w:rPr>
          <w:rFonts w:ascii="Times New Roman" w:hAnsi="Times New Roman"/>
          <w:color w:val="000000" w:themeColor="text1"/>
          <w:sz w:val="16"/>
          <w:szCs w:val="16"/>
        </w:rPr>
        <w:softHyphen/>
        <w:t xml:space="preserve">ях для самообороны), а так же придачи этим дивизиям штатных танковых единиц и постановки </w:t>
      </w:r>
      <w:proofErr w:type="spellStart"/>
      <w:r w:rsidRPr="007122AB">
        <w:rPr>
          <w:rFonts w:ascii="Times New Roman" w:hAnsi="Times New Roman"/>
          <w:color w:val="000000" w:themeColor="text1"/>
          <w:sz w:val="16"/>
          <w:szCs w:val="16"/>
        </w:rPr>
        <w:t>контртанка</w:t>
      </w:r>
      <w:proofErr w:type="spellEnd"/>
      <w:r w:rsidRPr="007122AB">
        <w:rPr>
          <w:rFonts w:ascii="Times New Roman" w:hAnsi="Times New Roman"/>
          <w:color w:val="000000" w:themeColor="text1"/>
          <w:sz w:val="16"/>
          <w:szCs w:val="16"/>
        </w:rPr>
        <w:t xml:space="preserve"> всей полковой, а желательно и дивизионной артиллерии.</w:t>
      </w:r>
    </w:p>
    <w:p w14:paraId="2D8AFA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p w14:paraId="47A7CA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Выше приведенная характеристика тактических требований к танкам, при строгом ограниче</w:t>
      </w:r>
      <w:r w:rsidRPr="007122AB">
        <w:rPr>
          <w:rFonts w:ascii="Times New Roman" w:hAnsi="Times New Roman"/>
          <w:color w:val="000000" w:themeColor="text1"/>
          <w:sz w:val="16"/>
          <w:szCs w:val="16"/>
        </w:rPr>
        <w:softHyphen/>
        <w:t>нии вооружения каждого танка и максимальном проведении стандартности, не только не создает из</w:t>
      </w:r>
      <w:r w:rsidRPr="007122AB">
        <w:rPr>
          <w:rFonts w:ascii="Times New Roman" w:hAnsi="Times New Roman"/>
          <w:color w:val="000000" w:themeColor="text1"/>
          <w:sz w:val="16"/>
          <w:szCs w:val="16"/>
        </w:rPr>
        <w:softHyphen/>
        <w:t xml:space="preserve">лишних затруднений, но наоборот, облегчает наши </w:t>
      </w:r>
      <w:proofErr w:type="spellStart"/>
      <w:r w:rsidRPr="007122AB">
        <w:rPr>
          <w:rFonts w:ascii="Times New Roman" w:hAnsi="Times New Roman"/>
          <w:color w:val="000000" w:themeColor="text1"/>
          <w:sz w:val="16"/>
          <w:szCs w:val="16"/>
        </w:rPr>
        <w:t>танковопроизводственные</w:t>
      </w:r>
      <w:proofErr w:type="spellEnd"/>
      <w:r w:rsidRPr="007122AB">
        <w:rPr>
          <w:rFonts w:ascii="Times New Roman" w:hAnsi="Times New Roman"/>
          <w:color w:val="000000" w:themeColor="text1"/>
          <w:sz w:val="16"/>
          <w:szCs w:val="16"/>
        </w:rPr>
        <w:t xml:space="preserve"> задачи. Однако, мне кажется, что было бы недостаточно ограничиться с нашей стороны стандартизацией только танко</w:t>
      </w:r>
      <w:r w:rsidRPr="007122AB">
        <w:rPr>
          <w:rFonts w:ascii="Times New Roman" w:hAnsi="Times New Roman"/>
          <w:color w:val="000000" w:themeColor="text1"/>
          <w:sz w:val="16"/>
          <w:szCs w:val="16"/>
        </w:rPr>
        <w:softHyphen/>
        <w:t>вых образцов. Необходимо еще добиться и максимальной стандартности между танковым производством и автотракторной базой в стране. Это диктуется не только стремлением облегчить для страны ее мобилизационное напряжение и упростить по окончании войны демобилизацию промышленно</w:t>
      </w:r>
      <w:r w:rsidRPr="007122AB">
        <w:rPr>
          <w:rFonts w:ascii="Times New Roman" w:hAnsi="Times New Roman"/>
          <w:color w:val="000000" w:themeColor="text1"/>
          <w:sz w:val="16"/>
          <w:szCs w:val="16"/>
        </w:rPr>
        <w:softHyphen/>
        <w:t>сти, но и интересами всего хозяйства в целом и, в частности, сельского хозяйства.</w:t>
      </w:r>
    </w:p>
    <w:p w14:paraId="0B1ABF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Вы помните в разговоре Наркомзема СССР т. Яковлева с нами было установлено, что круп</w:t>
      </w:r>
      <w:r w:rsidRPr="007122AB">
        <w:rPr>
          <w:rFonts w:ascii="Times New Roman" w:hAnsi="Times New Roman"/>
          <w:color w:val="000000" w:themeColor="text1"/>
          <w:sz w:val="16"/>
          <w:szCs w:val="16"/>
        </w:rPr>
        <w:softHyphen/>
        <w:t>ные совхозные и колхозные хозяйства требуют повышенной скорости и мощности тракторов, а так</w:t>
      </w:r>
      <w:r w:rsidRPr="007122AB">
        <w:rPr>
          <w:rFonts w:ascii="Times New Roman" w:hAnsi="Times New Roman"/>
          <w:color w:val="000000" w:themeColor="text1"/>
          <w:sz w:val="16"/>
          <w:szCs w:val="16"/>
        </w:rPr>
        <w:softHyphen/>
        <w:t>же переноса тракторов на гусеничную тягу. Это целиком и полностью совпадает и с нашими интересами.</w:t>
      </w:r>
    </w:p>
    <w:p w14:paraId="1C3867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этим, мне кажется, необходимо выдвинуть перед ВАТО и ВСНХ следующие предложения:</w:t>
      </w:r>
    </w:p>
    <w:p w14:paraId="3AE4AC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Добиться стандартных моторов в автомобилях и тракторах. Для «Катерпиллера» может подой</w:t>
      </w:r>
      <w:r w:rsidRPr="007122AB">
        <w:rPr>
          <w:rFonts w:ascii="Times New Roman" w:hAnsi="Times New Roman"/>
          <w:color w:val="000000" w:themeColor="text1"/>
          <w:sz w:val="16"/>
          <w:szCs w:val="16"/>
        </w:rPr>
        <w:softHyphen/>
        <w:t xml:space="preserve">ти «Геркулес», а для «Интернационала» - «Форд». </w:t>
      </w:r>
      <w:proofErr w:type="spellStart"/>
      <w:r w:rsidRPr="007122AB">
        <w:rPr>
          <w:rFonts w:ascii="Times New Roman" w:hAnsi="Times New Roman"/>
          <w:color w:val="000000" w:themeColor="text1"/>
          <w:sz w:val="16"/>
          <w:szCs w:val="16"/>
        </w:rPr>
        <w:t>Высокооборотность</w:t>
      </w:r>
      <w:proofErr w:type="spellEnd"/>
      <w:r w:rsidRPr="007122AB">
        <w:rPr>
          <w:rFonts w:ascii="Times New Roman" w:hAnsi="Times New Roman"/>
          <w:color w:val="000000" w:themeColor="text1"/>
          <w:sz w:val="16"/>
          <w:szCs w:val="16"/>
        </w:rPr>
        <w:t xml:space="preserve"> автомобильных моторов с применением демультипликатора не нарушит условий работы транспорта. При этом следует добить-; </w:t>
      </w:r>
      <w:proofErr w:type="spellStart"/>
      <w:r w:rsidRPr="007122AB">
        <w:rPr>
          <w:rFonts w:ascii="Times New Roman" w:hAnsi="Times New Roman"/>
          <w:color w:val="000000" w:themeColor="text1"/>
          <w:sz w:val="16"/>
          <w:szCs w:val="16"/>
        </w:rPr>
        <w:t>ся</w:t>
      </w:r>
      <w:proofErr w:type="spellEnd"/>
      <w:r w:rsidRPr="007122AB">
        <w:rPr>
          <w:rFonts w:ascii="Times New Roman" w:hAnsi="Times New Roman"/>
          <w:color w:val="000000" w:themeColor="text1"/>
          <w:sz w:val="16"/>
          <w:szCs w:val="16"/>
        </w:rPr>
        <w:t xml:space="preserve"> первой скорости около 1 км и максимальной скорости - от 12 до 20 км, что необходимо, как гово</w:t>
      </w:r>
      <w:r w:rsidRPr="007122AB">
        <w:rPr>
          <w:rFonts w:ascii="Times New Roman" w:hAnsi="Times New Roman"/>
          <w:color w:val="000000" w:themeColor="text1"/>
          <w:sz w:val="16"/>
          <w:szCs w:val="16"/>
        </w:rPr>
        <w:softHyphen/>
        <w:t>рил т. Яковлев, для сельского хозяйства и, очевидно, необходимо для лесозаготовок и прочих транс</w:t>
      </w:r>
      <w:r w:rsidRPr="007122AB">
        <w:rPr>
          <w:rFonts w:ascii="Times New Roman" w:hAnsi="Times New Roman"/>
          <w:color w:val="000000" w:themeColor="text1"/>
          <w:sz w:val="16"/>
          <w:szCs w:val="16"/>
        </w:rPr>
        <w:softHyphen/>
        <w:t>портных перевозок.</w:t>
      </w:r>
    </w:p>
    <w:p w14:paraId="71A90D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Производство стандартных гусениц для тракторов. «Катерпиллер» мог бы перейти на более совершенную гусеницу типа Т-26, а «Интернационал» - на гусеницу Т-27.</w:t>
      </w:r>
    </w:p>
    <w:p w14:paraId="7D89B3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Учитывая достижения т. </w:t>
      </w:r>
      <w:proofErr w:type="spellStart"/>
      <w:r w:rsidRPr="007122AB">
        <w:rPr>
          <w:rFonts w:ascii="Times New Roman" w:hAnsi="Times New Roman"/>
          <w:color w:val="000000" w:themeColor="text1"/>
          <w:sz w:val="16"/>
          <w:szCs w:val="16"/>
        </w:rPr>
        <w:t>Дворенкова</w:t>
      </w:r>
      <w:proofErr w:type="spellEnd"/>
      <w:r w:rsidRPr="007122AB">
        <w:rPr>
          <w:rFonts w:ascii="Times New Roman" w:hAnsi="Times New Roman"/>
          <w:color w:val="000000" w:themeColor="text1"/>
          <w:sz w:val="16"/>
          <w:szCs w:val="16"/>
        </w:rPr>
        <w:t xml:space="preserve"> в цементации под броню котельного железа организо-1 </w:t>
      </w:r>
      <w:proofErr w:type="spellStart"/>
      <w:r w:rsidRPr="007122AB">
        <w:rPr>
          <w:rFonts w:ascii="Times New Roman" w:hAnsi="Times New Roman"/>
          <w:color w:val="000000" w:themeColor="text1"/>
          <w:sz w:val="16"/>
          <w:szCs w:val="16"/>
        </w:rPr>
        <w:t>вать</w:t>
      </w:r>
      <w:proofErr w:type="spellEnd"/>
      <w:r w:rsidRPr="007122AB">
        <w:rPr>
          <w:rFonts w:ascii="Times New Roman" w:hAnsi="Times New Roman"/>
          <w:color w:val="000000" w:themeColor="text1"/>
          <w:sz w:val="16"/>
          <w:szCs w:val="16"/>
        </w:rPr>
        <w:t xml:space="preserve"> цементацию, штампование и сварку танковых корпусов на всех заводах «</w:t>
      </w:r>
      <w:proofErr w:type="spellStart"/>
      <w:r w:rsidRPr="007122AB">
        <w:rPr>
          <w:rFonts w:ascii="Times New Roman" w:hAnsi="Times New Roman"/>
          <w:color w:val="000000" w:themeColor="text1"/>
          <w:sz w:val="16"/>
          <w:szCs w:val="16"/>
        </w:rPr>
        <w:t>Котлотурбины</w:t>
      </w:r>
      <w:proofErr w:type="spellEnd"/>
      <w:r w:rsidRPr="007122AB">
        <w:rPr>
          <w:rFonts w:ascii="Times New Roman" w:hAnsi="Times New Roman"/>
          <w:color w:val="000000" w:themeColor="text1"/>
          <w:sz w:val="16"/>
          <w:szCs w:val="16"/>
        </w:rPr>
        <w:t>», учи</w:t>
      </w:r>
      <w:r w:rsidRPr="007122AB">
        <w:rPr>
          <w:rFonts w:ascii="Times New Roman" w:hAnsi="Times New Roman"/>
          <w:color w:val="000000" w:themeColor="text1"/>
          <w:sz w:val="16"/>
          <w:szCs w:val="16"/>
        </w:rPr>
        <w:softHyphen/>
        <w:t>тывая и вновь строящиеся заводы по прокату.</w:t>
      </w:r>
    </w:p>
    <w:p w14:paraId="26A95F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Командующий войсками ЛВО Тухачевский</w:t>
      </w:r>
    </w:p>
    <w:p w14:paraId="4ABF2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 31811. Оп. 2. Д. 77. Л. 3 - 7. Подлинник (11210).</w:t>
      </w:r>
    </w:p>
    <w:p w14:paraId="226B79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B1A968" w14:textId="77777777" w:rsidR="002460F7" w:rsidRPr="007122AB" w:rsidRDefault="002460F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3 марта 1931 г. Заседание в наркомате обороны, посвященное деятельности совместных предприятий, постановило:</w:t>
      </w:r>
    </w:p>
    <w:p w14:paraId="67BCAFFA" w14:textId="77777777" w:rsidR="002460F7" w:rsidRPr="007122AB" w:rsidRDefault="002460F7"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«Наличие в СССР предприятий PB (рейхсвера) дает нам возможность следить за развитием техники в Германии и на Западе вообще и перенимать то, что полезно для нас. Они дают нам много ценного в области методики. Поэтому в данное время ставить вопрос о ликвидации предприятий несвоевременно».</w:t>
      </w:r>
    </w:p>
    <w:p w14:paraId="4CB808AC" w14:textId="77777777" w:rsidR="002460F7" w:rsidRPr="007122AB" w:rsidRDefault="002460F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В связи с требованиями о расширении работы предприятий как по подготовке советских курсантов и специалистов, так и по проведению опытов, совещание «считало возможным» пойти на некоторые уступки немцам: для облегчения их материального положения взять на себя дополнительные расходы по оплате персонала, предоставлять горючее немцам по себестоимости РККА, разрешить перевозку грузов, предназначенных для предприятий, по военному тарифу.</w:t>
      </w:r>
    </w:p>
    <w:p w14:paraId="4B319C2E" w14:textId="77777777" w:rsidR="002460F7" w:rsidRPr="007122AB" w:rsidRDefault="002460F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Для реализации программы школы в Казани штабу Военно-строительного управления было вменено в обязанность организовать ремонт помещений в артиллерийских казармах для размещения курсантов и танковой роты, а для обеспечения работы курсов – расширить полигон.</w:t>
      </w:r>
    </w:p>
    <w:p w14:paraId="4941678D" w14:textId="77777777" w:rsidR="002460F7" w:rsidRPr="007122AB" w:rsidRDefault="002460F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Ввиду увеличения числа советских курсантов в Казани, в чем советская сторона была крайне заинтересована, немецкой стороне было предложено увеличить количество преподавателей еще на 6–7 человек. Советская сторона брала на себя оплату их работы в рублях. Она в приказном тоне, судя по тексту документа, настаивала на увеличении количества боевых и транспортных машин новых образцов и новых же образцов OB, в частности окиси углерода (21297).</w:t>
      </w:r>
    </w:p>
    <w:p w14:paraId="6D2E7A11" w14:textId="77777777" w:rsidR="002460F7" w:rsidRPr="007122AB" w:rsidRDefault="002460F7" w:rsidP="007122AB">
      <w:pPr>
        <w:spacing w:after="0" w:line="240" w:lineRule="auto"/>
        <w:jc w:val="both"/>
        <w:rPr>
          <w:rFonts w:ascii="Times New Roman" w:hAnsi="Times New Roman"/>
          <w:color w:val="000000" w:themeColor="text1"/>
          <w:sz w:val="16"/>
          <w:szCs w:val="16"/>
        </w:rPr>
      </w:pPr>
    </w:p>
    <w:p w14:paraId="1023EB60" w14:textId="77777777" w:rsidR="00EE45A6" w:rsidRPr="007122AB" w:rsidRDefault="00EE45A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D0975BA" w14:textId="77777777" w:rsidR="00EE45A6" w:rsidRPr="007122AB" w:rsidRDefault="00EE45A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EF62EB8" w14:textId="77777777" w:rsidR="00EE45A6" w:rsidRPr="007122AB" w:rsidRDefault="00EE45A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3 марта 1931 г.</w:t>
      </w:r>
    </w:p>
    <w:p w14:paraId="456B33FE" w14:textId="77777777" w:rsidR="00EE45A6" w:rsidRPr="007122AB" w:rsidRDefault="00EE45A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3 марта 1931 г.</w:t>
      </w:r>
    </w:p>
    <w:p w14:paraId="3CB66786" w14:textId="77777777" w:rsidR="00EE45A6" w:rsidRPr="007122AB" w:rsidRDefault="00EE45A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3CAE47C3"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03D3A4" w14:textId="77777777" w:rsidR="00EE45A6" w:rsidRPr="007122AB" w:rsidRDefault="00EE45A6" w:rsidP="007122AB">
      <w:pPr>
        <w:pStyle w:val="rteright"/>
        <w:spacing w:before="0" w:after="0"/>
        <w:jc w:val="both"/>
        <w:rPr>
          <w:color w:val="000000" w:themeColor="text1"/>
          <w:sz w:val="16"/>
          <w:szCs w:val="16"/>
        </w:rPr>
      </w:pPr>
      <w:r w:rsidRPr="007122AB">
        <w:rPr>
          <w:color w:val="000000" w:themeColor="text1"/>
          <w:sz w:val="16"/>
          <w:szCs w:val="16"/>
        </w:rPr>
        <w:t>3 марта 1931 г.</w:t>
      </w:r>
    </w:p>
    <w:p w14:paraId="7EDAFF35" w14:textId="77777777" w:rsidR="00EE45A6" w:rsidRPr="007122AB" w:rsidRDefault="00EE45A6"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327DA325" w14:textId="77777777" w:rsidR="00EE45A6" w:rsidRPr="007122AB" w:rsidRDefault="00EE45A6" w:rsidP="007122AB">
      <w:pPr>
        <w:pStyle w:val="rtejustify"/>
        <w:spacing w:before="0" w:after="0"/>
        <w:rPr>
          <w:color w:val="000000" w:themeColor="text1"/>
          <w:sz w:val="16"/>
          <w:szCs w:val="16"/>
        </w:rPr>
      </w:pPr>
      <w:r w:rsidRPr="007122AB">
        <w:rPr>
          <w:color w:val="000000" w:themeColor="text1"/>
          <w:sz w:val="16"/>
          <w:szCs w:val="16"/>
        </w:rPr>
        <w:t>Полномочному Представителю СССР во Франции тов. В. С. ДОВГАЛЕВСКОМУ</w:t>
      </w:r>
    </w:p>
    <w:p w14:paraId="18E884E8" w14:textId="77777777" w:rsidR="00EE45A6" w:rsidRPr="007122AB" w:rsidRDefault="00EE45A6" w:rsidP="007122AB">
      <w:pPr>
        <w:pStyle w:val="rtejustify"/>
        <w:spacing w:before="0" w:after="0"/>
        <w:rPr>
          <w:color w:val="000000" w:themeColor="text1"/>
          <w:sz w:val="16"/>
          <w:szCs w:val="16"/>
        </w:rPr>
      </w:pPr>
      <w:r w:rsidRPr="007122AB">
        <w:rPr>
          <w:color w:val="000000" w:themeColor="text1"/>
          <w:sz w:val="16"/>
          <w:szCs w:val="16"/>
        </w:rPr>
        <w:t xml:space="preserve">На дипломатических приемах в итальянском посольстве и эстонской миссии 21-го и 24-го февраля </w:t>
      </w:r>
      <w:proofErr w:type="spellStart"/>
      <w:r w:rsidRPr="007122AB">
        <w:rPr>
          <w:color w:val="000000" w:themeColor="text1"/>
          <w:sz w:val="16"/>
          <w:szCs w:val="16"/>
        </w:rPr>
        <w:t>Эрбетт</w:t>
      </w:r>
      <w:proofErr w:type="spellEnd"/>
      <w:r w:rsidRPr="007122AB">
        <w:rPr>
          <w:color w:val="000000" w:themeColor="text1"/>
          <w:sz w:val="16"/>
          <w:szCs w:val="16"/>
        </w:rPr>
        <w:t xml:space="preserve"> заговаривал со мной о </w:t>
      </w:r>
      <w:proofErr w:type="spellStart"/>
      <w:r w:rsidRPr="007122AB">
        <w:rPr>
          <w:color w:val="000000" w:themeColor="text1"/>
          <w:sz w:val="16"/>
          <w:szCs w:val="16"/>
        </w:rPr>
        <w:t>советскофранцузских</w:t>
      </w:r>
      <w:proofErr w:type="spellEnd"/>
      <w:r w:rsidRPr="007122AB">
        <w:rPr>
          <w:color w:val="000000" w:themeColor="text1"/>
          <w:sz w:val="16"/>
          <w:szCs w:val="16"/>
        </w:rPr>
        <w:t xml:space="preserve"> делах. Он обратил мое внимание на решение суда по делу </w:t>
      </w:r>
      <w:proofErr w:type="spellStart"/>
      <w:r w:rsidRPr="007122AB">
        <w:rPr>
          <w:color w:val="000000" w:themeColor="text1"/>
          <w:sz w:val="16"/>
          <w:szCs w:val="16"/>
        </w:rPr>
        <w:t>Герцфельда</w:t>
      </w:r>
      <w:proofErr w:type="spellEnd"/>
      <w:r w:rsidRPr="007122AB">
        <w:rPr>
          <w:color w:val="000000" w:themeColor="text1"/>
          <w:sz w:val="16"/>
          <w:szCs w:val="16"/>
        </w:rPr>
        <w:t xml:space="preserve">, которое, якобы, делает своевременной постановку вопроса об экономических отношениях, и в частности, о кредитах. Я ответил, что одно из многочисленных зол в Париже устранено и что до обсуждения других вопросов необходимо разрешить известный </w:t>
      </w:r>
      <w:proofErr w:type="spellStart"/>
      <w:r w:rsidRPr="007122AB">
        <w:rPr>
          <w:color w:val="000000" w:themeColor="text1"/>
          <w:sz w:val="16"/>
          <w:szCs w:val="16"/>
        </w:rPr>
        <w:t>Эрбетту</w:t>
      </w:r>
      <w:proofErr w:type="spellEnd"/>
      <w:r w:rsidRPr="007122AB">
        <w:rPr>
          <w:color w:val="000000" w:themeColor="text1"/>
          <w:sz w:val="16"/>
          <w:szCs w:val="16"/>
        </w:rPr>
        <w:t xml:space="preserve"> конфликт.</w:t>
      </w:r>
    </w:p>
    <w:p w14:paraId="2B3F702E" w14:textId="77777777" w:rsidR="00EE45A6" w:rsidRPr="007122AB" w:rsidRDefault="00EE45A6" w:rsidP="007122AB">
      <w:pPr>
        <w:pStyle w:val="rtejustify"/>
        <w:spacing w:before="0" w:after="0"/>
        <w:rPr>
          <w:color w:val="000000" w:themeColor="text1"/>
          <w:sz w:val="16"/>
          <w:szCs w:val="16"/>
        </w:rPr>
      </w:pPr>
      <w:r w:rsidRPr="007122AB">
        <w:rPr>
          <w:color w:val="000000" w:themeColor="text1"/>
          <w:sz w:val="16"/>
          <w:szCs w:val="16"/>
        </w:rPr>
        <w:t>Э. сделал вид, как будто он не понимает о каком конфликте идет речь, и я должен был разъяснить ему, что этот конфликт был предметом нескольких Ваших бесед с Вертело. Э. сказал, что ему известно лишь о первой беседе, а о дальнейших разговорах он не информирован. На мое замечание, что конфликт все еще не разрешен, Э. возразил репликой, что тут мол недоразумение и «наоборот...» Он, очевидно, хотел этим сказать, что наши подозрения в отношении Кифера не основательны и что тот-де относится к нам вполне благожелательно, но, считая бесполезным продолжать с ним разговор на эту тему, я сказал, что не желал бы дублировать переговоров, уже начатых в Париже, и на этом наша беседа кончилась. Сообщаю все это лишь для сведения.</w:t>
      </w:r>
    </w:p>
    <w:p w14:paraId="3BBF5B85" w14:textId="77777777" w:rsidR="00EE45A6" w:rsidRPr="007122AB" w:rsidRDefault="00EE45A6" w:rsidP="007122AB">
      <w:pPr>
        <w:pStyle w:val="rtejustify"/>
        <w:spacing w:before="0" w:after="0"/>
        <w:rPr>
          <w:color w:val="000000" w:themeColor="text1"/>
          <w:sz w:val="16"/>
          <w:szCs w:val="16"/>
        </w:rPr>
      </w:pPr>
      <w:r w:rsidRPr="007122AB">
        <w:rPr>
          <w:color w:val="000000" w:themeColor="text1"/>
          <w:sz w:val="16"/>
          <w:szCs w:val="16"/>
        </w:rPr>
        <w:t xml:space="preserve">На тему о кредитах Э. беседовал на тех же приемах с т. </w:t>
      </w:r>
      <w:proofErr w:type="spellStart"/>
      <w:r w:rsidRPr="007122AB">
        <w:rPr>
          <w:color w:val="000000" w:themeColor="text1"/>
          <w:sz w:val="16"/>
          <w:szCs w:val="16"/>
        </w:rPr>
        <w:t>Стомоняковым</w:t>
      </w:r>
      <w:proofErr w:type="spellEnd"/>
      <w:r w:rsidRPr="007122AB">
        <w:rPr>
          <w:color w:val="000000" w:themeColor="text1"/>
          <w:sz w:val="16"/>
          <w:szCs w:val="16"/>
        </w:rPr>
        <w:t>, причем он поставил конкретно вопрос, предпочитаем ли мы банковый или государственный кредит. Я сомневаюсь, чтобы Э. говорил по поручению Парижа, ибо в таком случае он нашел бы предлог для официального посещения НКИД и не ловил бы нас на приемах. Я скорее склонен думать, что Э. делал зондаж по собственной инициативе с целью обеспечить себе участие в предстоящих переговорах и сыграть в них какую-нибудь роль.</w:t>
      </w:r>
    </w:p>
    <w:p w14:paraId="3726C9BE" w14:textId="77777777" w:rsidR="00EE45A6" w:rsidRPr="007122AB" w:rsidRDefault="00EE45A6" w:rsidP="007122AB">
      <w:pPr>
        <w:pStyle w:val="rtejustify"/>
        <w:spacing w:before="0" w:after="0"/>
        <w:rPr>
          <w:color w:val="000000" w:themeColor="text1"/>
          <w:sz w:val="16"/>
          <w:szCs w:val="16"/>
        </w:rPr>
      </w:pPr>
      <w:r w:rsidRPr="007122AB">
        <w:rPr>
          <w:color w:val="000000" w:themeColor="text1"/>
          <w:sz w:val="16"/>
          <w:szCs w:val="16"/>
        </w:rPr>
        <w:t>Как только будет ликвидирован вопрос с Кифером, мы поставим в порядок дня передачу нашего ответа на французский меморандум.</w:t>
      </w:r>
    </w:p>
    <w:p w14:paraId="6616625A" w14:textId="77777777" w:rsidR="00EE45A6" w:rsidRPr="007122AB" w:rsidRDefault="00EE45A6" w:rsidP="007122AB">
      <w:pPr>
        <w:pStyle w:val="ae"/>
        <w:spacing w:before="0" w:after="0"/>
        <w:jc w:val="both"/>
        <w:rPr>
          <w:color w:val="000000" w:themeColor="text1"/>
          <w:sz w:val="16"/>
          <w:szCs w:val="16"/>
        </w:rPr>
      </w:pPr>
      <w:r w:rsidRPr="007122AB">
        <w:rPr>
          <w:color w:val="000000" w:themeColor="text1"/>
          <w:sz w:val="16"/>
          <w:szCs w:val="16"/>
        </w:rPr>
        <w:t>ЛИТВИНОВ</w:t>
      </w:r>
    </w:p>
    <w:p w14:paraId="03C7F8DB" w14:textId="77777777" w:rsidR="00EE45A6" w:rsidRPr="007122AB" w:rsidRDefault="00EE45A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АВП РФ. Ф. 010. On. 2. П. 13а. Д. 232. Л. 10-11. Машинописная копия того времени. На Л. 10 вверху слева напечатано «экз. 2» (цифра от руки), справа столбцом — «Секретно», номер «№ л/21565» и дата «3 марта 1931 года». Штамп Секретариата замнаркома НКИД СССР с вписанными от руки номером и датой получения документа «5 февраля 1931 г.», подпись-росчерк Н. Н. Крестинского «НК». На Л. 11 внизу слева машинописью делопроизводственная помета о количестве распечатанных экземпляров (5 экз.) и адрес рассылки «1 — Адресат, 2 — </w:t>
      </w:r>
      <w:proofErr w:type="spellStart"/>
      <w:r w:rsidRPr="007122AB">
        <w:rPr>
          <w:rStyle w:val="af0"/>
          <w:i w:val="0"/>
          <w:color w:val="000000" w:themeColor="text1"/>
          <w:sz w:val="16"/>
          <w:szCs w:val="16"/>
        </w:rPr>
        <w:t>Кр</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естинский</w:t>
      </w:r>
      <w:proofErr w:type="spellEnd"/>
      <w:r w:rsidRPr="007122AB">
        <w:rPr>
          <w:rStyle w:val="af0"/>
          <w:i w:val="0"/>
          <w:color w:val="000000" w:themeColor="text1"/>
          <w:sz w:val="16"/>
          <w:szCs w:val="16"/>
        </w:rPr>
        <w:t>], 3 — С[</w:t>
      </w:r>
      <w:proofErr w:type="spellStart"/>
      <w:r w:rsidRPr="007122AB">
        <w:rPr>
          <w:rStyle w:val="af0"/>
          <w:i w:val="0"/>
          <w:color w:val="000000" w:themeColor="text1"/>
          <w:sz w:val="16"/>
          <w:szCs w:val="16"/>
        </w:rPr>
        <w:t>томоняков</w:t>
      </w:r>
      <w:proofErr w:type="spellEnd"/>
      <w:r w:rsidRPr="007122AB">
        <w:rPr>
          <w:rStyle w:val="af0"/>
          <w:i w:val="0"/>
          <w:color w:val="000000" w:themeColor="text1"/>
          <w:sz w:val="16"/>
          <w:szCs w:val="16"/>
        </w:rPr>
        <w:t>], 4 — 3[</w:t>
      </w:r>
      <w:proofErr w:type="spellStart"/>
      <w:r w:rsidRPr="007122AB">
        <w:rPr>
          <w:rStyle w:val="af0"/>
          <w:i w:val="0"/>
          <w:color w:val="000000" w:themeColor="text1"/>
          <w:sz w:val="16"/>
          <w:szCs w:val="16"/>
        </w:rPr>
        <w:t>ападный</w:t>
      </w:r>
      <w:proofErr w:type="spellEnd"/>
      <w:r w:rsidRPr="007122AB">
        <w:rPr>
          <w:rStyle w:val="af0"/>
          <w:i w:val="0"/>
          <w:color w:val="000000" w:themeColor="text1"/>
          <w:sz w:val="16"/>
          <w:szCs w:val="16"/>
        </w:rPr>
        <w:t xml:space="preserve"> отдел] III, 5 — дело» (18812).</w:t>
      </w:r>
    </w:p>
    <w:p w14:paraId="29A29B16"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5E2477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801BCC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B42F81" w14:textId="77777777" w:rsidR="00274CEA" w:rsidRPr="007122AB" w:rsidRDefault="00274C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 марта</w:t>
      </w:r>
      <w:r w:rsidRPr="007122AB">
        <w:rPr>
          <w:rFonts w:ascii="Times New Roman" w:hAnsi="Times New Roman"/>
          <w:color w:val="000000" w:themeColor="text1"/>
          <w:sz w:val="16"/>
          <w:szCs w:val="16"/>
        </w:rPr>
        <w:t xml:space="preserve"> в 1931 году состоялся облет первого экземпляра самолета </w:t>
      </w:r>
      <w:hyperlink r:id="rId31" w:tgtFrame="_blank" w:history="1">
        <w:r w:rsidRPr="007122AB">
          <w:rPr>
            <w:rFonts w:ascii="Times New Roman" w:hAnsi="Times New Roman"/>
            <w:color w:val="000000" w:themeColor="text1"/>
            <w:sz w:val="16"/>
            <w:szCs w:val="16"/>
          </w:rPr>
          <w:t>(«K1697») «</w:t>
        </w:r>
        <w:proofErr w:type="spellStart"/>
        <w:r w:rsidRPr="007122AB">
          <w:rPr>
            <w:rFonts w:ascii="Times New Roman" w:hAnsi="Times New Roman"/>
            <w:color w:val="000000" w:themeColor="text1"/>
            <w:sz w:val="16"/>
            <w:szCs w:val="16"/>
          </w:rPr>
          <w:t>Gordon</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 xml:space="preserve">Проведенные в A&amp;AEE испытания подтвердили хорошие летные качества самолета и как следствие Авиационное Министерство Великобритании подписало с </w:t>
      </w:r>
      <w:proofErr w:type="spellStart"/>
      <w:r w:rsidRPr="007122AB">
        <w:rPr>
          <w:rFonts w:ascii="Times New Roman" w:hAnsi="Times New Roman"/>
          <w:color w:val="000000" w:themeColor="text1"/>
          <w:sz w:val="16"/>
          <w:szCs w:val="16"/>
        </w:rPr>
        <w:t>с</w:t>
      </w:r>
      <w:proofErr w:type="spellEnd"/>
      <w:r w:rsidRPr="007122AB">
        <w:rPr>
          <w:rFonts w:ascii="Times New Roman" w:hAnsi="Times New Roman"/>
          <w:color w:val="000000" w:themeColor="text1"/>
          <w:sz w:val="16"/>
          <w:szCs w:val="16"/>
        </w:rPr>
        <w:t xml:space="preserve"> фирмой контракт на производство 28 экземпляров самолета «</w:t>
      </w:r>
      <w:proofErr w:type="spellStart"/>
      <w:r w:rsidRPr="007122AB">
        <w:rPr>
          <w:rFonts w:ascii="Times New Roman" w:hAnsi="Times New Roman"/>
          <w:color w:val="000000" w:themeColor="text1"/>
          <w:sz w:val="16"/>
          <w:szCs w:val="16"/>
        </w:rPr>
        <w:t>Gordon</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Mk.I</w:t>
      </w:r>
      <w:proofErr w:type="spellEnd"/>
      <w:r w:rsidRPr="007122AB">
        <w:rPr>
          <w:rFonts w:ascii="Times New Roman" w:hAnsi="Times New Roman"/>
          <w:color w:val="000000" w:themeColor="text1"/>
          <w:sz w:val="16"/>
          <w:szCs w:val="16"/>
        </w:rPr>
        <w:t>» («K1721»-«K1748»). К тому же первые восемь экземпляров, ранее заказанных, «</w:t>
      </w:r>
      <w:proofErr w:type="spellStart"/>
      <w:r w:rsidRPr="007122AB">
        <w:rPr>
          <w:rFonts w:ascii="Times New Roman" w:hAnsi="Times New Roman"/>
          <w:color w:val="000000" w:themeColor="text1"/>
          <w:sz w:val="16"/>
          <w:szCs w:val="16"/>
        </w:rPr>
        <w:t>Fairey</w:t>
      </w:r>
      <w:proofErr w:type="spellEnd"/>
      <w:r w:rsidRPr="007122AB">
        <w:rPr>
          <w:rFonts w:ascii="Times New Roman" w:hAnsi="Times New Roman"/>
          <w:color w:val="000000" w:themeColor="text1"/>
          <w:sz w:val="16"/>
          <w:szCs w:val="16"/>
        </w:rPr>
        <w:t xml:space="preserve"> IIIF» «</w:t>
      </w:r>
      <w:proofErr w:type="spellStart"/>
      <w:r w:rsidRPr="007122AB">
        <w:rPr>
          <w:rFonts w:ascii="Times New Roman" w:hAnsi="Times New Roman"/>
          <w:color w:val="000000" w:themeColor="text1"/>
          <w:sz w:val="16"/>
          <w:szCs w:val="16"/>
        </w:rPr>
        <w:t>Mk</w:t>
      </w:r>
      <w:proofErr w:type="spellEnd"/>
      <w:r w:rsidRPr="007122AB">
        <w:rPr>
          <w:rFonts w:ascii="Times New Roman" w:hAnsi="Times New Roman"/>
          <w:color w:val="000000" w:themeColor="text1"/>
          <w:sz w:val="16"/>
          <w:szCs w:val="16"/>
        </w:rPr>
        <w:t xml:space="preserve"> IVB» должны были быть доведены до стандарта «K1697» (15057).</w:t>
      </w:r>
    </w:p>
    <w:p w14:paraId="5C8F4273" w14:textId="77777777" w:rsidR="00274CEA" w:rsidRPr="007122AB" w:rsidRDefault="00274CEA" w:rsidP="007122AB">
      <w:pPr>
        <w:spacing w:after="0" w:line="240" w:lineRule="auto"/>
        <w:jc w:val="both"/>
        <w:rPr>
          <w:rFonts w:ascii="Times New Roman" w:hAnsi="Times New Roman"/>
          <w:color w:val="000000" w:themeColor="text1"/>
          <w:sz w:val="16"/>
          <w:szCs w:val="16"/>
        </w:rPr>
      </w:pPr>
    </w:p>
    <w:p w14:paraId="49FD1A2B" w14:textId="77777777" w:rsidR="001733DC" w:rsidRPr="007122AB" w:rsidRDefault="001733D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марта 1931 состоялся первый полет </w:t>
      </w:r>
      <w:proofErr w:type="spellStart"/>
      <w:r w:rsidRPr="007122AB">
        <w:rPr>
          <w:rFonts w:ascii="Times New Roman" w:hAnsi="Times New Roman"/>
          <w:color w:val="000000" w:themeColor="text1"/>
          <w:sz w:val="16"/>
          <w:szCs w:val="16"/>
        </w:rPr>
        <w:t>Фэйри</w:t>
      </w:r>
      <w:proofErr w:type="spellEnd"/>
      <w:r w:rsidRPr="007122AB">
        <w:rPr>
          <w:rFonts w:ascii="Times New Roman" w:hAnsi="Times New Roman"/>
          <w:color w:val="000000" w:themeColor="text1"/>
          <w:sz w:val="16"/>
          <w:szCs w:val="16"/>
        </w:rPr>
        <w:t xml:space="preserve"> Гордон Бета-версия Northrop (20804).</w:t>
      </w:r>
    </w:p>
    <w:p w14:paraId="0DE1C089" w14:textId="77777777" w:rsidR="001733DC" w:rsidRPr="007122AB" w:rsidRDefault="001733DC" w:rsidP="007122AB">
      <w:pPr>
        <w:spacing w:after="0" w:line="240" w:lineRule="auto"/>
        <w:jc w:val="both"/>
        <w:rPr>
          <w:rFonts w:ascii="Times New Roman" w:hAnsi="Times New Roman"/>
          <w:color w:val="000000" w:themeColor="text1"/>
          <w:sz w:val="16"/>
          <w:szCs w:val="16"/>
        </w:rPr>
      </w:pPr>
    </w:p>
    <w:p w14:paraId="7EF52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марта 1931 Конгресс сделал гимном США песню Джона Стаффорда Смита на стихи Френсиса Скотта Ки (3186).</w:t>
      </w:r>
    </w:p>
    <w:p w14:paraId="1DDD2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A546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марта 1931 стихотворение поэта Ф. Ки принято Конгрессом США как текст национального гимна (4962).</w:t>
      </w:r>
    </w:p>
    <w:p w14:paraId="0783A8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8FF99" w14:textId="77777777" w:rsidR="00274CEA" w:rsidRPr="007122AB" w:rsidRDefault="00274C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 марта</w:t>
      </w:r>
      <w:r w:rsidRPr="007122AB">
        <w:rPr>
          <w:rFonts w:ascii="Times New Roman" w:hAnsi="Times New Roman"/>
          <w:color w:val="000000" w:themeColor="text1"/>
          <w:sz w:val="16"/>
          <w:szCs w:val="16"/>
        </w:rPr>
        <w:t xml:space="preserve"> в 1931 году президент США Герберт Гувер подписал акт, утвердивший песню «Усыпанное звездами знамя» Государственным гимном США. В 1814 году Соединенные Штаты Америки были союзником наполеоновской Франции и в очередной раз воевали с бывшей метрополией - Великобританией. 12 сентября британский флот начал атаку форта </w:t>
      </w:r>
      <w:proofErr w:type="spellStart"/>
      <w:r w:rsidRPr="007122AB">
        <w:rPr>
          <w:rFonts w:ascii="Times New Roman" w:hAnsi="Times New Roman"/>
          <w:color w:val="000000" w:themeColor="text1"/>
          <w:sz w:val="16"/>
          <w:szCs w:val="16"/>
        </w:rPr>
        <w:t>Макгенри</w:t>
      </w:r>
      <w:proofErr w:type="spellEnd"/>
      <w:r w:rsidRPr="007122AB">
        <w:rPr>
          <w:rFonts w:ascii="Times New Roman" w:hAnsi="Times New Roman"/>
          <w:color w:val="000000" w:themeColor="text1"/>
          <w:sz w:val="16"/>
          <w:szCs w:val="16"/>
        </w:rPr>
        <w:t xml:space="preserve">, последнего укрепления американцев на подступах к Балтимору. Превосходящие силы английского флота долго обстреливали форт </w:t>
      </w:r>
      <w:proofErr w:type="spellStart"/>
      <w:r w:rsidRPr="007122AB">
        <w:rPr>
          <w:rFonts w:ascii="Times New Roman" w:hAnsi="Times New Roman"/>
          <w:color w:val="000000" w:themeColor="text1"/>
          <w:sz w:val="16"/>
          <w:szCs w:val="16"/>
        </w:rPr>
        <w:t>Макгенри</w:t>
      </w:r>
      <w:proofErr w:type="spellEnd"/>
      <w:r w:rsidRPr="007122AB">
        <w:rPr>
          <w:rFonts w:ascii="Times New Roman" w:hAnsi="Times New Roman"/>
          <w:color w:val="000000" w:themeColor="text1"/>
          <w:sz w:val="16"/>
          <w:szCs w:val="16"/>
        </w:rPr>
        <w:t>, однако героические защитники форта так и не спустили звездно-полосатый американский флаг. Адвокат Фрэнсис Скотт Ки попытался освободить своего друга, задержанного англичанами, но сам был арестован. Ночь он провел на корабле англичан и наблюдал за бомбардировкой форта. Когда наступил рассвет, Фрэнсис Ки с изумлением увидел развевавшийся над разгромленными укреплениями звездно-полосатый флаг. Это так поразило его, что в тот же день он сочинил стихи «The Star-</w:t>
      </w:r>
      <w:proofErr w:type="spellStart"/>
      <w:r w:rsidRPr="007122AB">
        <w:rPr>
          <w:rFonts w:ascii="Times New Roman" w:hAnsi="Times New Roman"/>
          <w:color w:val="000000" w:themeColor="text1"/>
          <w:sz w:val="16"/>
          <w:szCs w:val="16"/>
        </w:rPr>
        <w:t>Spangled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Banner</w:t>
      </w:r>
      <w:proofErr w:type="spellEnd"/>
      <w:r w:rsidRPr="007122AB">
        <w:rPr>
          <w:rFonts w:ascii="Times New Roman" w:hAnsi="Times New Roman"/>
          <w:color w:val="000000" w:themeColor="text1"/>
          <w:sz w:val="16"/>
          <w:szCs w:val="16"/>
        </w:rPr>
        <w:t>» («Звездно-полосатый стяг», «Усыпанное звездами знамя»). Позже этот текст был положен на мелодию популярной английской застольной песни. 3 марта 1931 года президент США Герберт Гувер подписал акт, утвердивший эту песню государственным гимном США (15057).</w:t>
      </w:r>
    </w:p>
    <w:p w14:paraId="7FD28491" w14:textId="77777777" w:rsidR="00274CEA" w:rsidRPr="007122AB" w:rsidRDefault="00274CEA" w:rsidP="007122AB">
      <w:pPr>
        <w:spacing w:after="0" w:line="240" w:lineRule="auto"/>
        <w:jc w:val="both"/>
        <w:rPr>
          <w:rFonts w:ascii="Times New Roman" w:hAnsi="Times New Roman"/>
          <w:color w:val="000000" w:themeColor="text1"/>
          <w:sz w:val="16"/>
          <w:szCs w:val="16"/>
        </w:rPr>
      </w:pPr>
    </w:p>
    <w:p w14:paraId="4A34B5C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Другие оборонные отрасли:</w:t>
      </w:r>
    </w:p>
    <w:p w14:paraId="632E339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E7DE6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марта 1931 первый танк Кристи N 2051 был получен для исследований на склад N 127 АБТУ (3879,5).</w:t>
      </w:r>
    </w:p>
    <w:p w14:paraId="3EFAA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6D519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марта 1931 танк Кристи с номером 2051 был отгружен складу № 127 АБТУ (10733,193).</w:t>
      </w:r>
    </w:p>
    <w:p w14:paraId="49E0D9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ED3EF" w14:textId="77777777" w:rsidR="000F1D6E" w:rsidRPr="007122AB" w:rsidRDefault="000F1D6E"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4 марта 1931 года один из двух танков Кристи прибыл на склад № 127, а оттуда 14 марта передан в испытательный отдел. Следует отметить, что полноценных испытаний танк не проходил вплоть до 16 мая.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w:t>
      </w:r>
      <w:proofErr w:type="spellStart"/>
      <w:r w:rsidRPr="007122AB">
        <w:rPr>
          <w:rFonts w:ascii="Times New Roman" w:hAnsi="Times New Roman"/>
          <w:color w:val="000000" w:themeColor="text1"/>
          <w:sz w:val="16"/>
          <w:szCs w:val="16"/>
          <w:shd w:val="clear" w:color="auto" w:fill="FFFFFF"/>
        </w:rPr>
        <w:t>надмоторной</w:t>
      </w:r>
      <w:proofErr w:type="spellEnd"/>
      <w:r w:rsidRPr="007122AB">
        <w:rPr>
          <w:rFonts w:ascii="Times New Roman" w:hAnsi="Times New Roman"/>
          <w:color w:val="000000" w:themeColor="text1"/>
          <w:sz w:val="16"/>
          <w:szCs w:val="16"/>
          <w:shd w:val="clear" w:color="auto" w:fill="FFFFFF"/>
        </w:rPr>
        <w:t xml:space="preserve">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 (20339).</w:t>
      </w:r>
    </w:p>
    <w:p w14:paraId="2FC54959" w14:textId="77777777" w:rsidR="000F1D6E" w:rsidRPr="007122AB" w:rsidRDefault="000F1D6E" w:rsidP="007122AB">
      <w:pPr>
        <w:shd w:val="clear" w:color="auto" w:fill="FFFFFF"/>
        <w:spacing w:after="0" w:line="240" w:lineRule="auto"/>
        <w:jc w:val="both"/>
        <w:rPr>
          <w:rFonts w:ascii="Times New Roman" w:hAnsi="Times New Roman"/>
          <w:color w:val="000000" w:themeColor="text1"/>
          <w:sz w:val="16"/>
          <w:szCs w:val="16"/>
        </w:rPr>
      </w:pPr>
    </w:p>
    <w:p w14:paraId="5215A7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марта 1931 г. приказом Президиума ВСНХ СССР был создан Уральский научно-исследовательский углехимический институт. Приказами Наркомата тяжелой промышленности СССР институт переименовывался: 15 ноября 1932 г. - в Уральский </w:t>
      </w:r>
      <w:proofErr w:type="spellStart"/>
      <w:r w:rsidRPr="007122AB">
        <w:rPr>
          <w:rFonts w:ascii="Times New Roman" w:hAnsi="Times New Roman"/>
          <w:color w:val="000000" w:themeColor="text1"/>
          <w:sz w:val="16"/>
          <w:szCs w:val="16"/>
        </w:rPr>
        <w:t>углекоксовый</w:t>
      </w:r>
      <w:proofErr w:type="spellEnd"/>
      <w:r w:rsidRPr="007122AB">
        <w:rPr>
          <w:rFonts w:ascii="Times New Roman" w:hAnsi="Times New Roman"/>
          <w:color w:val="000000" w:themeColor="text1"/>
          <w:sz w:val="16"/>
          <w:szCs w:val="16"/>
        </w:rPr>
        <w:t xml:space="preserve"> институт, 1933 г. - в Свердловский научно-исследовательский </w:t>
      </w:r>
      <w:proofErr w:type="spellStart"/>
      <w:r w:rsidRPr="007122AB">
        <w:rPr>
          <w:rFonts w:ascii="Times New Roman" w:hAnsi="Times New Roman"/>
          <w:color w:val="000000" w:themeColor="text1"/>
          <w:sz w:val="16"/>
          <w:szCs w:val="16"/>
        </w:rPr>
        <w:t>углекоксовый</w:t>
      </w:r>
      <w:proofErr w:type="spellEnd"/>
      <w:r w:rsidRPr="007122AB">
        <w:rPr>
          <w:rFonts w:ascii="Times New Roman" w:hAnsi="Times New Roman"/>
          <w:color w:val="000000" w:themeColor="text1"/>
          <w:sz w:val="16"/>
          <w:szCs w:val="16"/>
        </w:rPr>
        <w:t xml:space="preserve"> институт "</w:t>
      </w:r>
      <w:proofErr w:type="spellStart"/>
      <w:r w:rsidRPr="007122AB">
        <w:rPr>
          <w:rFonts w:ascii="Times New Roman" w:hAnsi="Times New Roman"/>
          <w:color w:val="000000" w:themeColor="text1"/>
          <w:sz w:val="16"/>
          <w:szCs w:val="16"/>
        </w:rPr>
        <w:t>Углекокс</w:t>
      </w:r>
      <w:proofErr w:type="spellEnd"/>
      <w:r w:rsidRPr="007122AB">
        <w:rPr>
          <w:rFonts w:ascii="Times New Roman" w:hAnsi="Times New Roman"/>
          <w:color w:val="000000" w:themeColor="text1"/>
          <w:sz w:val="16"/>
          <w:szCs w:val="16"/>
        </w:rPr>
        <w:t>", 8 декабря 1935 г. - в Восточный научно-исследовательский углехимический институт (ВУХИН) (12102).</w:t>
      </w:r>
    </w:p>
    <w:p w14:paraId="23BD2A26" w14:textId="77777777" w:rsidR="00274CEA" w:rsidRPr="007122AB" w:rsidRDefault="00274CE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06B19F" w14:textId="77777777" w:rsidR="00FB17D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AD8F4FB" w14:textId="77777777" w:rsidR="00FB17DA" w:rsidRPr="007122AB" w:rsidRDefault="00FB17D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3B215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4 марта 1931 </w:t>
      </w:r>
      <w:r w:rsidRPr="007122AB">
        <w:rPr>
          <w:rFonts w:ascii="Times New Roman" w:hAnsi="Times New Roman"/>
          <w:color w:val="000000" w:themeColor="text1"/>
          <w:sz w:val="16"/>
          <w:szCs w:val="16"/>
        </w:rPr>
        <w:t>ЦИК и СНК приняли постановление «О выпуске государственного внутреннего 10-процентного займа 1930 г.» (12265).</w:t>
      </w:r>
    </w:p>
    <w:p w14:paraId="6779FBF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DC4F16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76DC3C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8FB7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марта 1931 года ст. </w:t>
      </w:r>
      <w:proofErr w:type="spellStart"/>
      <w:r w:rsidRPr="007122AB">
        <w:rPr>
          <w:rFonts w:ascii="Times New Roman" w:hAnsi="Times New Roman"/>
          <w:color w:val="000000" w:themeColor="text1"/>
          <w:sz w:val="16"/>
          <w:szCs w:val="16"/>
        </w:rPr>
        <w:t>техприемщик</w:t>
      </w:r>
      <w:proofErr w:type="spellEnd"/>
      <w:r w:rsidRPr="007122AB">
        <w:rPr>
          <w:rFonts w:ascii="Times New Roman" w:hAnsi="Times New Roman"/>
          <w:color w:val="000000" w:themeColor="text1"/>
          <w:sz w:val="16"/>
          <w:szCs w:val="16"/>
        </w:rPr>
        <w:t xml:space="preserve"> завода N 22 писал письмо N 28с нач. ПТО УСС ВВС.</w:t>
      </w:r>
    </w:p>
    <w:p w14:paraId="118E5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 окраски самолетов доношу следующее:</w:t>
      </w:r>
    </w:p>
    <w:p w14:paraId="1C7A98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Скандал во Всесоюзном масштабе с окраской металлических самолетов, разразившийся в апреле-мае 1930 года не решил вопроса о улучшенном способе и методе окраски, гарантирующего полную ликвидацию прорыва в строительстве металлических самолетов. Были ряд предложений ВАО, но все это не имело последствий за исключением испытания на серийных самолетах нитрокрасок предложенных 36 заводом с разрешения ЦАГИ.</w:t>
      </w:r>
    </w:p>
    <w:p w14:paraId="2644FC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 повседневного наблюдения за самолетами, имеющими наружное покрытие нитрокрасками дает следующий практический анализ:</w:t>
      </w:r>
    </w:p>
    <w:p w14:paraId="3F953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морозов отмечалось шелушение покрытия, покрытие казалось хрупким и легко отскакивающим пленкой при ударе посторонним предметом с повреждением волны гофра.</w:t>
      </w:r>
    </w:p>
    <w:p w14:paraId="5AE72E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появлением оттепелей и действий солнечных лучей нитрокраска стала на всей самолетах во многих местах отставать пленкой, шелушиться, трескаться от солнца и легко отставать при пробе ногтем.</w:t>
      </w:r>
    </w:p>
    <w:p w14:paraId="71F146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местах облитых бензином или смесью нитрокраска теряет </w:t>
      </w:r>
      <w:proofErr w:type="spellStart"/>
      <w:r w:rsidRPr="007122AB">
        <w:rPr>
          <w:rFonts w:ascii="Times New Roman" w:hAnsi="Times New Roman"/>
          <w:color w:val="000000" w:themeColor="text1"/>
          <w:sz w:val="16"/>
          <w:szCs w:val="16"/>
        </w:rPr>
        <w:t>прилипаемость</w:t>
      </w:r>
      <w:proofErr w:type="spellEnd"/>
      <w:r w:rsidRPr="007122AB">
        <w:rPr>
          <w:rFonts w:ascii="Times New Roman" w:hAnsi="Times New Roman"/>
          <w:color w:val="000000" w:themeColor="text1"/>
          <w:sz w:val="16"/>
          <w:szCs w:val="16"/>
        </w:rPr>
        <w:t xml:space="preserve"> к металлу и совершенно оголяет дюраль, отставая большими пластами.</w:t>
      </w:r>
    </w:p>
    <w:p w14:paraId="50367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анти-пожарном отношении нитрокраска чрезвычайно опасна (3232,152).</w:t>
      </w:r>
    </w:p>
    <w:p w14:paraId="553AD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B5F164"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марта 1931</w:t>
      </w:r>
    </w:p>
    <w:p w14:paraId="57FA5B86"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15: О плане гражданского воздушного флота на 1931 г.</w:t>
      </w:r>
    </w:p>
    <w:p w14:paraId="3A96077C"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(Молотов, Ворошилов, Куйбышев,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Акулов).</w:t>
      </w:r>
    </w:p>
    <w:p w14:paraId="28A9F7CA"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постановление Совета Народных Комиссаров “О плане гражданского воздушного флота на 1931 г.” от 16.IV.31 г.</w:t>
      </w:r>
    </w:p>
    <w:p w14:paraId="1B93CEC3"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 д.</w:t>
      </w:r>
    </w:p>
    <w:p w14:paraId="106FC22B"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Поставить на ближайшем заседании Политбюро доклад РКИ о ходе выполнения постановления СНК от 11</w:t>
      </w:r>
      <w:r w:rsidRPr="007122AB">
        <w:rPr>
          <w:rFonts w:ascii="Times New Roman" w:hAnsi="Times New Roman"/>
          <w:color w:val="000000" w:themeColor="text1"/>
          <w:sz w:val="16"/>
          <w:szCs w:val="16"/>
        </w:rPr>
        <w:noBreakHyphen/>
        <w:t xml:space="preserve">го января 1931 г. “О </w:t>
      </w:r>
      <w:proofErr w:type="spellStart"/>
      <w:r w:rsidRPr="007122AB">
        <w:rPr>
          <w:rFonts w:ascii="Times New Roman" w:hAnsi="Times New Roman"/>
          <w:color w:val="000000" w:themeColor="text1"/>
          <w:sz w:val="16"/>
          <w:szCs w:val="16"/>
        </w:rPr>
        <w:t>приравнении</w:t>
      </w:r>
      <w:proofErr w:type="spellEnd"/>
      <w:r w:rsidRPr="007122AB">
        <w:rPr>
          <w:rFonts w:ascii="Times New Roman" w:hAnsi="Times New Roman"/>
          <w:color w:val="000000" w:themeColor="text1"/>
          <w:sz w:val="16"/>
          <w:szCs w:val="16"/>
        </w:rPr>
        <w:t xml:space="preserve"> гражданского воздушного флота к важнейшим внеочередным объектам капитального строительства”.</w:t>
      </w:r>
    </w:p>
    <w:p w14:paraId="2A78AF5C"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(18110).</w:t>
      </w:r>
    </w:p>
    <w:p w14:paraId="72EC17B0"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45DBDD6A"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марта 1931 года в докладной записке на имя начальника ВВС от Л.Г. </w:t>
      </w:r>
      <w:proofErr w:type="spellStart"/>
      <w:r w:rsidRPr="007122AB">
        <w:rPr>
          <w:rFonts w:ascii="Times New Roman" w:hAnsi="Times New Roman"/>
          <w:color w:val="000000" w:themeColor="text1"/>
          <w:sz w:val="16"/>
          <w:szCs w:val="16"/>
        </w:rPr>
        <w:t>Минов</w:t>
      </w:r>
      <w:proofErr w:type="spellEnd"/>
      <w:r w:rsidRPr="007122AB">
        <w:rPr>
          <w:rFonts w:ascii="Times New Roman" w:hAnsi="Times New Roman"/>
          <w:color w:val="000000" w:themeColor="text1"/>
          <w:sz w:val="16"/>
          <w:szCs w:val="16"/>
        </w:rPr>
        <w:t xml:space="preserve"> предложил дополнить эксперименты, предложенные им 15 сентября 1930, исследованием способов выпрыгивания из различных типов самолетов, состоявших на вооружении, а также провести эксперимент по спускам на парашюте в воду. Для выполнения этих задач, а также для решения вопросов по обучению летного состава использованию парашюта и подготовке кадров парашютных инструкторов, на тот момент имелось в наличии всего 17 тренировочных парашютов, а 25 комплектов были заказаны к маю 1931 года в США (Архив ЦДА и К. Ф. 50. Оп. 1. Д. 2. Л. 10-11.). Эти предложения Л. </w:t>
      </w:r>
      <w:proofErr w:type="spellStart"/>
      <w:r w:rsidRPr="007122AB">
        <w:rPr>
          <w:rFonts w:ascii="Times New Roman" w:hAnsi="Times New Roman"/>
          <w:color w:val="000000" w:themeColor="text1"/>
          <w:sz w:val="16"/>
          <w:szCs w:val="16"/>
        </w:rPr>
        <w:t>Минова</w:t>
      </w:r>
      <w:proofErr w:type="spellEnd"/>
      <w:r w:rsidRPr="007122AB">
        <w:rPr>
          <w:rFonts w:ascii="Times New Roman" w:hAnsi="Times New Roman"/>
          <w:color w:val="000000" w:themeColor="text1"/>
          <w:sz w:val="16"/>
          <w:szCs w:val="16"/>
        </w:rPr>
        <w:t xml:space="preserve"> нашли закрепление в распоряжении начальника 1-го Управления ВВС РККА начальнику НИИ ВВС № VI/141 от 16 марта 1931 года об организации курсов укладчиков и облете </w:t>
      </w:r>
      <w:proofErr w:type="spellStart"/>
      <w:r w:rsidRPr="007122AB">
        <w:rPr>
          <w:rFonts w:ascii="Times New Roman" w:hAnsi="Times New Roman"/>
          <w:color w:val="000000" w:themeColor="text1"/>
          <w:sz w:val="16"/>
          <w:szCs w:val="16"/>
        </w:rPr>
        <w:t>авиагарнизонов</w:t>
      </w:r>
      <w:proofErr w:type="spellEnd"/>
      <w:r w:rsidRPr="007122AB">
        <w:rPr>
          <w:rFonts w:ascii="Times New Roman" w:hAnsi="Times New Roman"/>
          <w:color w:val="000000" w:themeColor="text1"/>
          <w:sz w:val="16"/>
          <w:szCs w:val="16"/>
        </w:rPr>
        <w:t xml:space="preserve"> и были реализованы (Архив ЦДА и К. Ф. 50. Оп. 1. Д. 3. Л. 6.) (21402).</w:t>
      </w:r>
    </w:p>
    <w:p w14:paraId="1EC9FE9B" w14:textId="77777777" w:rsidR="000F1D6E" w:rsidRPr="007122AB" w:rsidRDefault="000F1D6E" w:rsidP="007122AB">
      <w:pPr>
        <w:spacing w:after="0" w:line="240" w:lineRule="auto"/>
        <w:jc w:val="both"/>
        <w:rPr>
          <w:rFonts w:ascii="Times New Roman" w:hAnsi="Times New Roman"/>
          <w:color w:val="000000" w:themeColor="text1"/>
          <w:sz w:val="16"/>
          <w:szCs w:val="16"/>
        </w:rPr>
      </w:pPr>
    </w:p>
    <w:p w14:paraId="6655AEC6" w14:textId="77777777" w:rsidR="00FB17D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01EDB3E" w14:textId="77777777" w:rsidR="00FB17DA" w:rsidRPr="007122AB" w:rsidRDefault="00FB17D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CD8FEC" w14:textId="77777777" w:rsidR="00FB17DA" w:rsidRPr="007122AB" w:rsidRDefault="00FB17DA"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марта</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28. 12. О ходе работ на Сталинградском тракторном заводе (ПБ от 15 февраля 1931 г., пр. № 26, п. 11) (Михайлов-Иванов, Орджоникидзе, Птуха). (Политбюро... Т. 2. С. 134) (12416).</w:t>
      </w:r>
    </w:p>
    <w:p w14:paraId="7B1725A0" w14:textId="77777777" w:rsidR="00FB17DA" w:rsidRPr="007122AB" w:rsidRDefault="00FB17DA" w:rsidP="007122AB">
      <w:pPr>
        <w:spacing w:after="0" w:line="240" w:lineRule="auto"/>
        <w:jc w:val="both"/>
        <w:rPr>
          <w:rFonts w:ascii="Times New Roman" w:hAnsi="Times New Roman"/>
          <w:color w:val="000000" w:themeColor="text1"/>
          <w:sz w:val="16"/>
          <w:szCs w:val="16"/>
          <w:u w:color="002060"/>
        </w:rPr>
      </w:pPr>
    </w:p>
    <w:p w14:paraId="420B71F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5 марта 1931 </w:t>
      </w:r>
      <w:r w:rsidRPr="007122AB">
        <w:rPr>
          <w:rFonts w:ascii="Times New Roman" w:hAnsi="Times New Roman"/>
          <w:color w:val="000000" w:themeColor="text1"/>
          <w:sz w:val="16"/>
          <w:szCs w:val="16"/>
        </w:rPr>
        <w:t>Политбюро ЦК ВКП (б) приняло постановление о мероприятиях по усилению производства паровозов (12265).</w:t>
      </w:r>
    </w:p>
    <w:p w14:paraId="4C211BAD"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D2FA619"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марта 1931</w:t>
      </w:r>
    </w:p>
    <w:p w14:paraId="1803D64A"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10: О паровозостроительных заводах</w:t>
      </w:r>
    </w:p>
    <w:p w14:paraId="66409A1D"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20.II.31 г., пр. № 27, п. 32/48).</w:t>
      </w:r>
    </w:p>
    <w:p w14:paraId="57654471"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(Орджоникидзе, Курицын, </w:t>
      </w:r>
      <w:proofErr w:type="spellStart"/>
      <w:r w:rsidRPr="007122AB">
        <w:rPr>
          <w:rFonts w:ascii="Times New Roman" w:hAnsi="Times New Roman"/>
          <w:color w:val="000000" w:themeColor="text1"/>
          <w:sz w:val="16"/>
          <w:szCs w:val="16"/>
        </w:rPr>
        <w:t>Москатов</w:t>
      </w:r>
      <w:proofErr w:type="spellEnd"/>
      <w:r w:rsidRPr="007122AB">
        <w:rPr>
          <w:rFonts w:ascii="Times New Roman" w:hAnsi="Times New Roman"/>
          <w:color w:val="000000" w:themeColor="text1"/>
          <w:sz w:val="16"/>
          <w:szCs w:val="16"/>
        </w:rPr>
        <w:t>).</w:t>
      </w:r>
    </w:p>
    <w:p w14:paraId="62FF9132"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Принять в основном внесенный ВСНХ проект постановления о мероприятиях по усилению выпусков паровозов (</w:t>
      </w:r>
      <w:hyperlink r:id="rId32" w:history="1">
        <w:r w:rsidRPr="007122AB">
          <w:rPr>
            <w:rStyle w:val="a5"/>
            <w:rFonts w:ascii="Times New Roman" w:hAnsi="Times New Roman"/>
            <w:color w:val="000000" w:themeColor="text1"/>
            <w:sz w:val="16"/>
            <w:szCs w:val="16"/>
          </w:rPr>
          <w:t>см приложение № 4</w:t>
        </w:r>
      </w:hyperlink>
      <w:r w:rsidRPr="007122AB">
        <w:rPr>
          <w:rFonts w:ascii="Times New Roman" w:hAnsi="Times New Roman"/>
          <w:color w:val="000000" w:themeColor="text1"/>
          <w:sz w:val="16"/>
          <w:szCs w:val="16"/>
        </w:rPr>
        <w:t>).</w:t>
      </w:r>
    </w:p>
    <w:p w14:paraId="01720575"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комиссии в составе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Рудзутака, Акулова и Курицына уточнить цифры ассигнований по Луганскому строительству.</w:t>
      </w:r>
    </w:p>
    <w:p w14:paraId="0E480843"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Дополнить пункт 8</w:t>
      </w:r>
      <w:r w:rsidRPr="007122AB">
        <w:rPr>
          <w:rFonts w:ascii="Times New Roman" w:hAnsi="Times New Roman"/>
          <w:color w:val="000000" w:themeColor="text1"/>
          <w:sz w:val="16"/>
          <w:szCs w:val="16"/>
        </w:rPr>
        <w:noBreakHyphen/>
        <w:t>й проекта следующим: обязать НКПС и ВСНХ договориться о номенклатуре запасных частей, изготавливаемых на заводах ВСНХ и НКПС.</w:t>
      </w:r>
    </w:p>
    <w:p w14:paraId="7C71B300"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Принять к сведению заявление т. Постышева о приостановке мобилизации работников промышленности на транспорт.</w:t>
      </w:r>
    </w:p>
    <w:p w14:paraId="30ED0957"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Поручить НК РКИ на следующем заседании Политбюро представить доклад по вопросу о возможности кооперирования Варшавских мастерских с Путиловским и Невским заводом в деле паровозостроения.</w:t>
      </w:r>
    </w:p>
    <w:p w14:paraId="108C13EB"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4</w:t>
      </w:r>
    </w:p>
    <w:p w14:paraId="68E4D285"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10, пр. ПБ № 28.</w:t>
      </w:r>
    </w:p>
    <w:p w14:paraId="2D6D2257"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Окончательная редакция.</w:t>
      </w:r>
    </w:p>
    <w:p w14:paraId="4ECB3E45"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паровозостроительных заводах.</w:t>
      </w:r>
    </w:p>
    <w:p w14:paraId="6620AEA9"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(Утверждено Политбюро ЦК ВКП(б) 5.III.31 года).</w:t>
      </w:r>
    </w:p>
    <w:p w14:paraId="0ED9822F"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Поручить ВСНХ СССР:</w:t>
      </w:r>
    </w:p>
    <w:p w14:paraId="4963F10F"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Форсировать строительство нового Луганского завода с выпуском 1080 паровозов в год с тем, чтобы пуск заводе был не позже 1.Х.32 года.</w:t>
      </w:r>
    </w:p>
    <w:p w14:paraId="1A2397D4"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Обеспечить ударное строительство нового Луганского завода необходимыми </w:t>
      </w:r>
      <w:proofErr w:type="spellStart"/>
      <w:r w:rsidRPr="007122AB">
        <w:rPr>
          <w:rFonts w:ascii="Times New Roman" w:hAnsi="Times New Roman"/>
          <w:color w:val="000000" w:themeColor="text1"/>
          <w:sz w:val="16"/>
          <w:szCs w:val="16"/>
        </w:rPr>
        <w:t>стройфондами</w:t>
      </w:r>
      <w:proofErr w:type="spellEnd"/>
      <w:r w:rsidRPr="007122AB">
        <w:rPr>
          <w:rFonts w:ascii="Times New Roman" w:hAnsi="Times New Roman"/>
          <w:color w:val="000000" w:themeColor="text1"/>
          <w:sz w:val="16"/>
          <w:szCs w:val="16"/>
        </w:rPr>
        <w:t xml:space="preserve"> и укомплектовать его необходимым количеством технического персонала и рабсилы.</w:t>
      </w:r>
    </w:p>
    <w:p w14:paraId="62846F83"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Объем работ по Луганскому строительству на 1931 год установить в 35,5 млн. рублей.</w:t>
      </w:r>
    </w:p>
    <w:p w14:paraId="0DB6EA15"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особая папка.</w:t>
      </w:r>
    </w:p>
    <w:p w14:paraId="3D3ED3E9"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Обеспечить в текущем году необходимым дополнительным ассигнованием (10 млн. руб.) работы по всем существующим паровозным заводам для расшивки узких мест и обеспечению дальнейшего роста выпуска паровозов.</w:t>
      </w:r>
    </w:p>
    <w:p w14:paraId="2E5478E6"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4. Одобрить решение ВСНХ о восстановлении в 1931 году паровозостроения на Путиловском и Невском заводе в Ленинграде и при них конструкторского бюро по паровозам, сосредоточив в них всех прежде работавших по паровозостроению конструкторов.</w:t>
      </w:r>
    </w:p>
    <w:p w14:paraId="79AECE91"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Принять к сведению, что ВСНХ обеспечиваются дополнительными ассигнованиями окончание в текущем году полностью следующих заготовительных цехов, обеспечивающих дальнейшее развитие </w:t>
      </w:r>
      <w:proofErr w:type="spellStart"/>
      <w:r w:rsidRPr="007122AB">
        <w:rPr>
          <w:rFonts w:ascii="Times New Roman" w:hAnsi="Times New Roman"/>
          <w:color w:val="000000" w:themeColor="text1"/>
          <w:sz w:val="16"/>
          <w:szCs w:val="16"/>
        </w:rPr>
        <w:t>паровозо</w:t>
      </w:r>
      <w:proofErr w:type="spellEnd"/>
      <w:r w:rsidRPr="007122AB">
        <w:rPr>
          <w:rFonts w:ascii="Times New Roman" w:hAnsi="Times New Roman"/>
          <w:color w:val="000000" w:themeColor="text1"/>
          <w:sz w:val="16"/>
          <w:szCs w:val="16"/>
        </w:rPr>
        <w:t>- и вагоностроения: фасонно-литейной и кузницы на Луганском заводе, чугунно-литейной на Коломенском заводе, фасонно-сталелитейной и кузницы на Н. Сормове. Отнести все эти объекты к ударным стройкам.</w:t>
      </w:r>
    </w:p>
    <w:p w14:paraId="423787A9"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Обязать ВСНХ в двухмесячный срок закончить работы по специализации паровозостроительных заводов и максимальному освобождению их от посторонних производств.</w:t>
      </w:r>
    </w:p>
    <w:p w14:paraId="675C4951"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Обязать НКПС обеспечить в текущем году развитие производства паровозных запасных частей на предприятиях и мастерских </w:t>
      </w:r>
      <w:proofErr w:type="spellStart"/>
      <w:r w:rsidRPr="007122AB">
        <w:rPr>
          <w:rFonts w:ascii="Times New Roman" w:hAnsi="Times New Roman"/>
          <w:color w:val="000000" w:themeColor="text1"/>
          <w:sz w:val="16"/>
          <w:szCs w:val="16"/>
        </w:rPr>
        <w:t>ВОРЗ'а</w:t>
      </w:r>
      <w:proofErr w:type="spellEnd"/>
      <w:r w:rsidRPr="007122AB">
        <w:rPr>
          <w:rFonts w:ascii="Times New Roman" w:hAnsi="Times New Roman"/>
          <w:color w:val="000000" w:themeColor="text1"/>
          <w:sz w:val="16"/>
          <w:szCs w:val="16"/>
        </w:rPr>
        <w:t xml:space="preserve"> с тем, чтобы освободить, начиная с 1932 года промышленность от изготовления запасных частей.</w:t>
      </w:r>
    </w:p>
    <w:p w14:paraId="5A7589FB"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НКПС и ВСНХ договориться о номенклатуре запасных частей, изготовляемых на заводах ВСНХ и НКПС.</w:t>
      </w:r>
    </w:p>
    <w:p w14:paraId="6A3B4F0D"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(18107).</w:t>
      </w:r>
    </w:p>
    <w:p w14:paraId="0054A302"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49FE2BD0" w14:textId="77777777" w:rsidR="00EE45A6" w:rsidRPr="007122AB" w:rsidRDefault="00EE45A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6E3AB39" w14:textId="77777777" w:rsidR="00EE45A6" w:rsidRPr="007122AB" w:rsidRDefault="00EE45A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2C77B5"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марта 1931</w:t>
      </w:r>
    </w:p>
    <w:p w14:paraId="5FF937F7"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48: Сообщение т. Енукидзе об организации строительства Дворца Съездов</w:t>
      </w:r>
    </w:p>
    <w:p w14:paraId="76E4D711"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(Енукидзе).</w:t>
      </w:r>
    </w:p>
    <w:p w14:paraId="441BAD4C"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для сооружения Дворца Советов земельный участок в границах: Охотный ряд — Тверская — Георгиевский проезд — Б. Дмитровка — Охотный ряд.</w:t>
      </w:r>
    </w:p>
    <w:p w14:paraId="74D41BD7"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Все имеющиеся на участке строения снести, за исключением Дома Союзов (крыло Дома Союзов по Георгиевскому проезду также снести).</w:t>
      </w:r>
    </w:p>
    <w:p w14:paraId="083D0224"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Принять, что в здании должны быть размещены следующие основные группы помещений:</w:t>
      </w:r>
    </w:p>
    <w:p w14:paraId="2787DC72"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зал на 10.000 чел.</w:t>
      </w:r>
    </w:p>
    <w:p w14:paraId="2220D230"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зал на 5.000 чел.</w:t>
      </w:r>
    </w:p>
    <w:p w14:paraId="602C4DEF"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зала по 500 чел.</w:t>
      </w:r>
    </w:p>
    <w:p w14:paraId="1EB6A324"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зала по 200 чел.,</w:t>
      </w:r>
    </w:p>
    <w:p w14:paraId="5F9D6355"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залы со всеми вспомогательными учреждениями и помещениями.</w:t>
      </w:r>
    </w:p>
    <w:p w14:paraId="33F8AA1E"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окончания здания установить ориентировочно на лето 1933 г. Все организационные и другие вопросы, связанные с постройкой дворца поручить Совету строительства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Ворошилов, Уханов и Енукидзе).</w:t>
      </w:r>
    </w:p>
    <w:p w14:paraId="65A30C80"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Совету строительства представить в Политбюро разработанный порядок строительства, порядок объявления конкурсов, схему строительной организации и установленные сроки окончания Дворца Советов.</w:t>
      </w:r>
    </w:p>
    <w:p w14:paraId="3B236EE8" w14:textId="77777777" w:rsidR="00EE45A6" w:rsidRPr="007122AB" w:rsidRDefault="00EE45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(18109).</w:t>
      </w:r>
    </w:p>
    <w:p w14:paraId="59627D0B" w14:textId="77777777" w:rsidR="00EE45A6" w:rsidRPr="007122AB" w:rsidRDefault="00EE45A6" w:rsidP="007122AB">
      <w:pPr>
        <w:spacing w:after="0" w:line="240" w:lineRule="auto"/>
        <w:jc w:val="both"/>
        <w:rPr>
          <w:rFonts w:ascii="Times New Roman" w:hAnsi="Times New Roman"/>
          <w:color w:val="000000" w:themeColor="text1"/>
          <w:sz w:val="16"/>
          <w:szCs w:val="16"/>
        </w:rPr>
      </w:pPr>
    </w:p>
    <w:p w14:paraId="3263E2C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CFF55E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8ED9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марта 1931 в Индии вице-король л Ирвин достиг соглашения с Ганди о прекращении компании гражданского неповиновения и партия национального конгресса согласилась принять участие в совещаниях круглого стола, после чего власти освободили политзаключенных (3907,167).</w:t>
      </w:r>
    </w:p>
    <w:p w14:paraId="45449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6F5A8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1F07FB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25FD8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марта 1931 года состоялось заседания у начальника ВВС:</w:t>
      </w:r>
    </w:p>
    <w:p w14:paraId="42097A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w:t>
      </w:r>
    </w:p>
    <w:p w14:paraId="009C77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Присутствовали: начальник ВВС Баранов, начальник НИИ ВВС Дубенский, помощник начальника НИИ С.В.И., помощник начальника НИИ </w:t>
      </w:r>
      <w:proofErr w:type="spellStart"/>
      <w:r w:rsidRPr="007122AB">
        <w:rPr>
          <w:rFonts w:ascii="Times New Roman" w:hAnsi="Times New Roman"/>
          <w:color w:val="000000" w:themeColor="text1"/>
          <w:sz w:val="16"/>
          <w:szCs w:val="16"/>
        </w:rPr>
        <w:t>Коннэрт</w:t>
      </w:r>
      <w:proofErr w:type="spellEnd"/>
      <w:r w:rsidRPr="007122AB">
        <w:rPr>
          <w:rFonts w:ascii="Times New Roman" w:hAnsi="Times New Roman"/>
          <w:color w:val="000000" w:themeColor="text1"/>
          <w:sz w:val="16"/>
          <w:szCs w:val="16"/>
        </w:rPr>
        <w:t xml:space="preserve">, зам. председателя НТК </w:t>
      </w:r>
      <w:proofErr w:type="spellStart"/>
      <w:r w:rsidRPr="007122AB">
        <w:rPr>
          <w:rFonts w:ascii="Times New Roman" w:hAnsi="Times New Roman"/>
          <w:color w:val="000000" w:themeColor="text1"/>
          <w:sz w:val="16"/>
          <w:szCs w:val="16"/>
        </w:rPr>
        <w:t>Поляев</w:t>
      </w:r>
      <w:proofErr w:type="spellEnd"/>
      <w:r w:rsidRPr="007122AB">
        <w:rPr>
          <w:rFonts w:ascii="Times New Roman" w:hAnsi="Times New Roman"/>
          <w:color w:val="000000" w:themeColor="text1"/>
          <w:sz w:val="16"/>
          <w:szCs w:val="16"/>
        </w:rPr>
        <w:t>, начальник конструкторского отдела Гроховский.</w:t>
      </w:r>
    </w:p>
    <w:p w14:paraId="0D98B2D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 Гроховского о состоянии работ Конструкторского отдела УВВС.</w:t>
      </w:r>
    </w:p>
    <w:p w14:paraId="36129A7C"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работ конструкторского отдела на 1931 год в основном утвердить.</w:t>
      </w:r>
    </w:p>
    <w:p w14:paraId="02BD4FF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дальнейшем основная работа конструкторского отдела должна предусматривать исключительно обслуживание ВВС в отношении улучшения эксплуатации самолетов, моторов, вооружения и оборудования самолетов.</w:t>
      </w:r>
    </w:p>
    <w:p w14:paraId="33B2834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ближайшее время основной работой конструкторского отдела считать:</w:t>
      </w:r>
    </w:p>
    <w:p w14:paraId="62627FD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Проработку вопроса переливки бензина с самолета на самолет в воздухе.</w:t>
      </w:r>
    </w:p>
    <w:p w14:paraId="77CEB45D"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Проработку вопроса подогревания моторов с воздушным охлаждением при эксплуатации их в зимних условиях.</w:t>
      </w:r>
    </w:p>
    <w:p w14:paraId="4FEA578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Проработку вопроса выкатывания самолетов на лыжах из ангаров в зимних условиях, особенно тяжелых самолетов.</w:t>
      </w:r>
    </w:p>
    <w:p w14:paraId="6C2BFCA7"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Считать необходимым на одном из совещаний заслушивание доклада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о работе по парашютам для сбрасывания грузов. Установление срока созыва этого совещания возложить на начальника НИИ Дубенского.</w:t>
      </w:r>
    </w:p>
    <w:p w14:paraId="6E88781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Принимая во внимание, что Гроховский при разработке парашютов для сбрасывания грузов не использовал опыт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по этим парашютам – предложить Гроховскому во избежание дублирования этой работы, ознакомиться с работами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по парашютам для сбрасывания грузов.</w:t>
      </w:r>
    </w:p>
    <w:p w14:paraId="0475150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 мастерские НИИ ВВС подчинить начальнику конструкторского отдела.</w:t>
      </w:r>
    </w:p>
    <w:p w14:paraId="1AB395D1"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начальнику конструкторского отдела в дальнейшем регистрацию всех предложений по изобретениям Воздушного флота установить в конструкторском отделе.</w:t>
      </w:r>
    </w:p>
    <w:p w14:paraId="76872D38"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Установить разделение работ между конструкторским отделом и Бюро особых работ согласно следующего:</w:t>
      </w:r>
    </w:p>
    <w:p w14:paraId="3ADEA35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БОК ведет разработку всех экспериментальных и исследовательских работ по изобретениям воздушного флота.</w:t>
      </w:r>
    </w:p>
    <w:p w14:paraId="0A2C62E0"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Конструкторский отдел ведет все работы по улучшению эксплуатации самолетов, моторов, вооружения и оборудования самолетов (6770, 127).</w:t>
      </w:r>
    </w:p>
    <w:p w14:paraId="63D9D5EF"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F112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марта 1931 года был определен протоколом заседания у начальника ВВС План работ Конструкторского Отдела Гроховского на 1931 год (6770).</w:t>
      </w:r>
    </w:p>
    <w:p w14:paraId="59563F0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D9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марта 1931 г. гл. инженер по сухопутным самолетам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138/589с начальнику 2 управления УСС.</w:t>
      </w:r>
    </w:p>
    <w:p w14:paraId="7158D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дополнительно Заключение по самолету П2 N 2284.</w:t>
      </w:r>
    </w:p>
    <w:p w14:paraId="785A42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может быть вполне допущен к эксплуатации в гражданском воздушном флоте.</w:t>
      </w:r>
    </w:p>
    <w:p w14:paraId="39C79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полной гарантии от возможности входа в штопор при ошибке пилота, необходимо чтобы задняя кабина при перевозке грузов была загружена общим весом не свыше 100 кг (считая и пассажира), расположенном в кабине наблюдателя (3278).</w:t>
      </w:r>
    </w:p>
    <w:p w14:paraId="394E3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F4614F" w14:textId="77777777" w:rsidR="009B75C7" w:rsidRPr="009F5089" w:rsidRDefault="009B75C7" w:rsidP="009B75C7">
      <w:pPr>
        <w:spacing w:after="0" w:line="240" w:lineRule="auto"/>
        <w:jc w:val="both"/>
        <w:rPr>
          <w:rFonts w:ascii="Times New Roman" w:hAnsi="Times New Roman"/>
          <w:color w:val="0070C0"/>
          <w:sz w:val="16"/>
          <w:szCs w:val="16"/>
        </w:rPr>
      </w:pPr>
      <w:r>
        <w:rPr>
          <w:rFonts w:ascii="Times New Roman" w:hAnsi="Times New Roman"/>
          <w:color w:val="0070C0"/>
          <w:sz w:val="16"/>
          <w:szCs w:val="16"/>
        </w:rPr>
        <w:t>6</w:t>
      </w:r>
      <w:r w:rsidRPr="009F5089">
        <w:rPr>
          <w:rFonts w:ascii="Times New Roman" w:hAnsi="Times New Roman"/>
          <w:color w:val="0070C0"/>
          <w:sz w:val="16"/>
          <w:szCs w:val="16"/>
        </w:rPr>
        <w:t xml:space="preserve"> марта </w:t>
      </w:r>
      <w:r>
        <w:rPr>
          <w:rFonts w:ascii="Times New Roman" w:hAnsi="Times New Roman"/>
          <w:color w:val="0070C0"/>
          <w:sz w:val="16"/>
          <w:szCs w:val="16"/>
        </w:rPr>
        <w:t xml:space="preserve">1930 г. </w:t>
      </w:r>
      <w:r w:rsidRPr="009F5089">
        <w:rPr>
          <w:rFonts w:ascii="Times New Roman" w:hAnsi="Times New Roman"/>
          <w:color w:val="0070C0"/>
          <w:sz w:val="16"/>
          <w:szCs w:val="16"/>
        </w:rPr>
        <w:t>закончился перелет летчика ГВ</w:t>
      </w:r>
      <w:r>
        <w:rPr>
          <w:rFonts w:ascii="Times New Roman" w:hAnsi="Times New Roman"/>
          <w:color w:val="0070C0"/>
          <w:sz w:val="16"/>
          <w:szCs w:val="16"/>
        </w:rPr>
        <w:t>Ф</w:t>
      </w:r>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И.В.Михеева</w:t>
      </w:r>
      <w:proofErr w:type="spellEnd"/>
      <w:r w:rsidRPr="009F5089">
        <w:rPr>
          <w:rFonts w:ascii="Times New Roman" w:hAnsi="Times New Roman"/>
          <w:color w:val="0070C0"/>
          <w:sz w:val="16"/>
          <w:szCs w:val="16"/>
        </w:rPr>
        <w:t xml:space="preserve"> из </w:t>
      </w:r>
      <w:r>
        <w:rPr>
          <w:rFonts w:ascii="Times New Roman" w:hAnsi="Times New Roman"/>
          <w:color w:val="0070C0"/>
          <w:sz w:val="16"/>
          <w:szCs w:val="16"/>
        </w:rPr>
        <w:t>Москвы</w:t>
      </w:r>
      <w:r w:rsidRPr="009F5089">
        <w:rPr>
          <w:rFonts w:ascii="Times New Roman" w:hAnsi="Times New Roman"/>
          <w:color w:val="0070C0"/>
          <w:sz w:val="16"/>
          <w:szCs w:val="16"/>
        </w:rPr>
        <w:t xml:space="preserve"> </w:t>
      </w:r>
      <w:r>
        <w:rPr>
          <w:rFonts w:ascii="Times New Roman" w:hAnsi="Times New Roman"/>
          <w:color w:val="0070C0"/>
          <w:sz w:val="16"/>
          <w:szCs w:val="16"/>
        </w:rPr>
        <w:t xml:space="preserve">в </w:t>
      </w:r>
      <w:r w:rsidRPr="009F5089">
        <w:rPr>
          <w:rFonts w:ascii="Times New Roman" w:hAnsi="Times New Roman"/>
          <w:color w:val="0070C0"/>
          <w:sz w:val="16"/>
          <w:szCs w:val="16"/>
        </w:rPr>
        <w:t>Обдорск и обратно,</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начатый 31 января на самолете АНТ-9 с </w:t>
      </w:r>
      <w:proofErr w:type="spellStart"/>
      <w:r w:rsidRPr="009F5089">
        <w:rPr>
          <w:rFonts w:ascii="Times New Roman" w:hAnsi="Times New Roman"/>
          <w:color w:val="0070C0"/>
          <w:sz w:val="16"/>
          <w:szCs w:val="16"/>
        </w:rPr>
        <w:t>меха</w:t>
      </w:r>
      <w:r>
        <w:rPr>
          <w:rFonts w:ascii="Times New Roman" w:hAnsi="Times New Roman"/>
          <w:color w:val="0070C0"/>
          <w:sz w:val="16"/>
          <w:szCs w:val="16"/>
        </w:rPr>
        <w:t>ником</w:t>
      </w:r>
      <w:r w:rsidRPr="009F5089">
        <w:rPr>
          <w:rFonts w:ascii="Times New Roman" w:hAnsi="Times New Roman"/>
          <w:color w:val="0070C0"/>
          <w:sz w:val="16"/>
          <w:szCs w:val="16"/>
        </w:rPr>
        <w:t>н</w:t>
      </w:r>
      <w:proofErr w:type="spellEnd"/>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ВЛ.М</w:t>
      </w:r>
      <w:r>
        <w:rPr>
          <w:rFonts w:ascii="Times New Roman" w:hAnsi="Times New Roman"/>
          <w:color w:val="0070C0"/>
          <w:sz w:val="16"/>
          <w:szCs w:val="16"/>
        </w:rPr>
        <w:t>о</w:t>
      </w:r>
      <w:r w:rsidRPr="009F5089">
        <w:rPr>
          <w:rFonts w:ascii="Times New Roman" w:hAnsi="Times New Roman"/>
          <w:color w:val="0070C0"/>
          <w:sz w:val="16"/>
          <w:szCs w:val="16"/>
        </w:rPr>
        <w:t>нахов</w:t>
      </w:r>
      <w:r>
        <w:rPr>
          <w:rFonts w:ascii="Times New Roman" w:hAnsi="Times New Roman"/>
          <w:color w:val="0070C0"/>
          <w:sz w:val="16"/>
          <w:szCs w:val="16"/>
        </w:rPr>
        <w:t>ы</w:t>
      </w:r>
      <w:r w:rsidRPr="009F5089">
        <w:rPr>
          <w:rFonts w:ascii="Times New Roman" w:hAnsi="Times New Roman"/>
          <w:color w:val="0070C0"/>
          <w:sz w:val="16"/>
          <w:szCs w:val="16"/>
        </w:rPr>
        <w:t>м</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Полет был предпринят с целью выяснения воз</w:t>
      </w:r>
      <w:r>
        <w:rPr>
          <w:rFonts w:ascii="Times New Roman" w:hAnsi="Times New Roman"/>
          <w:color w:val="0070C0"/>
          <w:sz w:val="16"/>
          <w:szCs w:val="16"/>
        </w:rPr>
        <w:t>можности</w:t>
      </w:r>
      <w:r w:rsidRPr="009F5089">
        <w:rPr>
          <w:rFonts w:ascii="Times New Roman" w:hAnsi="Times New Roman"/>
          <w:color w:val="0070C0"/>
          <w:sz w:val="16"/>
          <w:szCs w:val="16"/>
        </w:rPr>
        <w:t xml:space="preserve"> перевозки пушнины из полярных факторий воздушным путем, </w:t>
      </w:r>
      <w:r>
        <w:rPr>
          <w:rFonts w:ascii="Times New Roman" w:hAnsi="Times New Roman"/>
          <w:color w:val="0070C0"/>
          <w:sz w:val="16"/>
          <w:szCs w:val="16"/>
        </w:rPr>
        <w:t xml:space="preserve">а </w:t>
      </w:r>
      <w:r w:rsidRPr="009F5089">
        <w:rPr>
          <w:rFonts w:ascii="Times New Roman" w:hAnsi="Times New Roman"/>
          <w:color w:val="0070C0"/>
          <w:sz w:val="16"/>
          <w:szCs w:val="16"/>
        </w:rPr>
        <w:t xml:space="preserve">также для испытания трехмоторного самолета в условиях крайнего </w:t>
      </w:r>
      <w:r>
        <w:rPr>
          <w:rFonts w:ascii="Times New Roman" w:hAnsi="Times New Roman"/>
          <w:color w:val="0070C0"/>
          <w:sz w:val="16"/>
          <w:szCs w:val="16"/>
        </w:rPr>
        <w:t>севе</w:t>
      </w:r>
      <w:r w:rsidRPr="009F5089">
        <w:rPr>
          <w:rFonts w:ascii="Times New Roman" w:hAnsi="Times New Roman"/>
          <w:color w:val="0070C0"/>
          <w:sz w:val="16"/>
          <w:szCs w:val="16"/>
        </w:rPr>
        <w:t>ра.</w:t>
      </w:r>
      <w:r>
        <w:rPr>
          <w:rFonts w:ascii="Times New Roman" w:hAnsi="Times New Roman"/>
          <w:color w:val="0070C0"/>
          <w:sz w:val="16"/>
          <w:szCs w:val="16"/>
        </w:rPr>
        <w:t xml:space="preserve"> </w:t>
      </w:r>
      <w:r w:rsidRPr="009F5089">
        <w:rPr>
          <w:rFonts w:ascii="Times New Roman" w:hAnsi="Times New Roman"/>
          <w:color w:val="0070C0"/>
          <w:sz w:val="16"/>
          <w:szCs w:val="16"/>
        </w:rPr>
        <w:t>Опыт показал преимущество воздушной перевозки пушнины, ко</w:t>
      </w:r>
      <w:r>
        <w:rPr>
          <w:rFonts w:ascii="Times New Roman" w:hAnsi="Times New Roman"/>
          <w:color w:val="0070C0"/>
          <w:sz w:val="16"/>
          <w:szCs w:val="16"/>
        </w:rPr>
        <w:t>т</w:t>
      </w:r>
      <w:r w:rsidRPr="009F5089">
        <w:rPr>
          <w:rFonts w:ascii="Times New Roman" w:hAnsi="Times New Roman"/>
          <w:color w:val="0070C0"/>
          <w:sz w:val="16"/>
          <w:szCs w:val="16"/>
        </w:rPr>
        <w:t>орая обычно задерживалась на местах до открытия речной навига</w:t>
      </w:r>
      <w:r>
        <w:rPr>
          <w:rFonts w:ascii="Times New Roman" w:hAnsi="Times New Roman"/>
          <w:color w:val="0070C0"/>
          <w:sz w:val="16"/>
          <w:szCs w:val="16"/>
        </w:rPr>
        <w:t xml:space="preserve">ции и </w:t>
      </w:r>
      <w:r w:rsidRPr="009F5089">
        <w:rPr>
          <w:rFonts w:ascii="Times New Roman" w:hAnsi="Times New Roman"/>
          <w:color w:val="0070C0"/>
          <w:sz w:val="16"/>
          <w:szCs w:val="16"/>
        </w:rPr>
        <w:t>надолго оставалась мертвым капиталом.</w:t>
      </w:r>
    </w:p>
    <w:p w14:paraId="4145E346" w14:textId="3CB49DE9" w:rsidR="009B75C7" w:rsidRDefault="009B75C7" w:rsidP="009B75C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proofErr w:type="spellStart"/>
      <w:r w:rsidRPr="009F5089">
        <w:rPr>
          <w:rFonts w:ascii="Times New Roman" w:hAnsi="Times New Roman"/>
          <w:color w:val="0070C0"/>
          <w:sz w:val="16"/>
          <w:szCs w:val="16"/>
        </w:rPr>
        <w:t>Вовду</w:t>
      </w:r>
      <w:r>
        <w:rPr>
          <w:rFonts w:ascii="Times New Roman" w:hAnsi="Times New Roman"/>
          <w:color w:val="0070C0"/>
          <w:sz w:val="16"/>
          <w:szCs w:val="16"/>
        </w:rPr>
        <w:t>ш</w:t>
      </w:r>
      <w:r w:rsidRPr="009F5089">
        <w:rPr>
          <w:rFonts w:ascii="Times New Roman" w:hAnsi="Times New Roman"/>
          <w:color w:val="0070C0"/>
          <w:sz w:val="16"/>
          <w:szCs w:val="16"/>
        </w:rPr>
        <w:t>ные</w:t>
      </w:r>
      <w:proofErr w:type="spellEnd"/>
      <w:r w:rsidRPr="009F5089">
        <w:rPr>
          <w:rFonts w:ascii="Times New Roman" w:hAnsi="Times New Roman"/>
          <w:color w:val="0070C0"/>
          <w:sz w:val="16"/>
          <w:szCs w:val="16"/>
        </w:rPr>
        <w:t xml:space="preserve"> пути Севера",</w:t>
      </w:r>
      <w:r>
        <w:rPr>
          <w:rFonts w:ascii="Times New Roman" w:hAnsi="Times New Roman"/>
          <w:color w:val="0070C0"/>
          <w:sz w:val="16"/>
          <w:szCs w:val="16"/>
        </w:rPr>
        <w:t xml:space="preserve"> </w:t>
      </w:r>
      <w:r w:rsidRPr="009F5089">
        <w:rPr>
          <w:rFonts w:ascii="Times New Roman" w:hAnsi="Times New Roman"/>
          <w:color w:val="0070C0"/>
          <w:sz w:val="16"/>
          <w:szCs w:val="16"/>
        </w:rPr>
        <w:t>1</w:t>
      </w:r>
      <w:r>
        <w:rPr>
          <w:rFonts w:ascii="Times New Roman" w:hAnsi="Times New Roman"/>
          <w:color w:val="0070C0"/>
          <w:sz w:val="16"/>
          <w:szCs w:val="16"/>
        </w:rPr>
        <w:t>9</w:t>
      </w:r>
      <w:r w:rsidRPr="009F5089">
        <w:rPr>
          <w:rFonts w:ascii="Times New Roman" w:hAnsi="Times New Roman"/>
          <w:color w:val="0070C0"/>
          <w:sz w:val="16"/>
          <w:szCs w:val="16"/>
        </w:rPr>
        <w:t>33, стр. 198-215/</w:t>
      </w:r>
      <w:r>
        <w:rPr>
          <w:rFonts w:ascii="Times New Roman" w:hAnsi="Times New Roman"/>
          <w:color w:val="0070C0"/>
          <w:sz w:val="16"/>
          <w:szCs w:val="16"/>
        </w:rPr>
        <w:t xml:space="preserve"> (23370)</w:t>
      </w:r>
    </w:p>
    <w:p w14:paraId="312CCA86" w14:textId="77777777" w:rsidR="009B75C7" w:rsidRDefault="009B75C7" w:rsidP="009B75C7">
      <w:pPr>
        <w:spacing w:after="0" w:line="240" w:lineRule="auto"/>
        <w:jc w:val="both"/>
        <w:rPr>
          <w:rFonts w:ascii="Times New Roman" w:hAnsi="Times New Roman"/>
          <w:color w:val="0070C0"/>
          <w:sz w:val="16"/>
          <w:szCs w:val="16"/>
        </w:rPr>
      </w:pPr>
    </w:p>
    <w:p w14:paraId="08FC535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31642A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0768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марта 1931 газета «Правда» вышла с шапкой полосы «Страна должна знать своих героев», что стало на многие годы плакатным лозунгом (4962).</w:t>
      </w:r>
    </w:p>
    <w:p w14:paraId="6F31246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D77E7" w14:textId="77777777" w:rsidR="00B930A1" w:rsidRPr="007122AB" w:rsidRDefault="00B930A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5FDAAA9" w14:textId="77777777" w:rsidR="00B930A1" w:rsidRPr="007122AB" w:rsidRDefault="00B930A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891C1E" w14:textId="77777777" w:rsidR="00B930A1" w:rsidRPr="007122AB" w:rsidRDefault="00B930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марта 1931 г.</w:t>
      </w:r>
    </w:p>
    <w:p w14:paraId="6A087526" w14:textId="77777777" w:rsidR="00B930A1" w:rsidRPr="007122AB" w:rsidRDefault="00B930A1"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Ж. Л. Аренса В. Н. Баркову с указаниями относительно издательских проектов и разъяснительной работы в связи с процессами «Промпартии» и «меньшевиков». 6 марта 1931 г.</w:t>
      </w:r>
    </w:p>
    <w:p w14:paraId="6183333B" w14:textId="77777777" w:rsidR="00B930A1" w:rsidRPr="007122AB" w:rsidRDefault="00B930A1"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1514504" w14:textId="77777777" w:rsidR="00B930A1" w:rsidRPr="007122AB" w:rsidRDefault="00B930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D1511E" w14:textId="77777777" w:rsidR="00B930A1" w:rsidRPr="007122AB" w:rsidRDefault="00B930A1"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A21BB3F" w14:textId="77777777" w:rsidR="00B930A1" w:rsidRPr="007122AB" w:rsidRDefault="00B930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30-31</w:t>
      </w:r>
    </w:p>
    <w:p w14:paraId="2B1952F1" w14:textId="77777777" w:rsidR="00B930A1" w:rsidRPr="007122AB" w:rsidRDefault="00B930A1" w:rsidP="007122AB">
      <w:pPr>
        <w:pStyle w:val="rteright"/>
        <w:spacing w:before="0" w:after="0"/>
        <w:jc w:val="both"/>
        <w:rPr>
          <w:color w:val="000000" w:themeColor="text1"/>
          <w:sz w:val="16"/>
          <w:szCs w:val="16"/>
        </w:rPr>
      </w:pPr>
      <w:r w:rsidRPr="007122AB">
        <w:rPr>
          <w:color w:val="000000" w:themeColor="text1"/>
          <w:sz w:val="16"/>
          <w:szCs w:val="16"/>
        </w:rPr>
        <w:t>6 марта 1931 г.</w:t>
      </w:r>
    </w:p>
    <w:p w14:paraId="058FAAB1" w14:textId="77777777" w:rsidR="00B930A1" w:rsidRPr="007122AB" w:rsidRDefault="00B930A1"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7393F22F" w14:textId="77777777" w:rsidR="00B930A1" w:rsidRPr="007122AB" w:rsidRDefault="00B930A1" w:rsidP="007122AB">
      <w:pPr>
        <w:pStyle w:val="ae"/>
        <w:spacing w:before="0" w:after="0"/>
        <w:jc w:val="both"/>
        <w:rPr>
          <w:color w:val="000000" w:themeColor="text1"/>
          <w:sz w:val="16"/>
          <w:szCs w:val="16"/>
        </w:rPr>
      </w:pPr>
      <w:r w:rsidRPr="007122AB">
        <w:rPr>
          <w:color w:val="000000" w:themeColor="text1"/>
          <w:sz w:val="16"/>
          <w:szCs w:val="16"/>
        </w:rPr>
        <w:t>Отдел Печати НКИД</w:t>
      </w:r>
    </w:p>
    <w:p w14:paraId="0DBEE386" w14:textId="77777777" w:rsidR="00B930A1" w:rsidRPr="007122AB" w:rsidRDefault="00B930A1" w:rsidP="007122AB">
      <w:pPr>
        <w:pStyle w:val="ae"/>
        <w:spacing w:before="0" w:after="0"/>
        <w:jc w:val="both"/>
        <w:rPr>
          <w:color w:val="000000" w:themeColor="text1"/>
          <w:sz w:val="16"/>
          <w:szCs w:val="16"/>
        </w:rPr>
      </w:pPr>
      <w:r w:rsidRPr="007122AB">
        <w:rPr>
          <w:color w:val="000000" w:themeColor="text1"/>
          <w:sz w:val="16"/>
          <w:szCs w:val="16"/>
        </w:rPr>
        <w:t>6.3.1931 г.</w:t>
      </w:r>
    </w:p>
    <w:p w14:paraId="6F2B3543" w14:textId="77777777" w:rsidR="00B930A1" w:rsidRPr="007122AB" w:rsidRDefault="00B930A1" w:rsidP="007122AB">
      <w:pPr>
        <w:pStyle w:val="ae"/>
        <w:spacing w:before="0" w:after="0"/>
        <w:jc w:val="both"/>
        <w:rPr>
          <w:color w:val="000000" w:themeColor="text1"/>
          <w:sz w:val="16"/>
          <w:szCs w:val="16"/>
        </w:rPr>
      </w:pPr>
      <w:r w:rsidRPr="007122AB">
        <w:rPr>
          <w:color w:val="000000" w:themeColor="text1"/>
          <w:sz w:val="16"/>
          <w:szCs w:val="16"/>
        </w:rPr>
        <w:t>№27115</w:t>
      </w:r>
    </w:p>
    <w:p w14:paraId="67A74446" w14:textId="77777777" w:rsidR="00B930A1" w:rsidRPr="007122AB" w:rsidRDefault="00B930A1" w:rsidP="007122AB">
      <w:pPr>
        <w:pStyle w:val="ae"/>
        <w:spacing w:before="0" w:after="0"/>
        <w:jc w:val="both"/>
        <w:rPr>
          <w:color w:val="000000" w:themeColor="text1"/>
          <w:sz w:val="16"/>
          <w:szCs w:val="16"/>
        </w:rPr>
      </w:pPr>
      <w:r w:rsidRPr="007122AB">
        <w:rPr>
          <w:color w:val="000000" w:themeColor="text1"/>
          <w:sz w:val="16"/>
          <w:szCs w:val="16"/>
        </w:rPr>
        <w:t>Тов. Баркову</w:t>
      </w:r>
    </w:p>
    <w:p w14:paraId="16F311DD" w14:textId="77777777" w:rsidR="00B930A1" w:rsidRPr="007122AB" w:rsidRDefault="00B930A1" w:rsidP="007122AB">
      <w:pPr>
        <w:pStyle w:val="ae"/>
        <w:spacing w:before="0" w:after="0"/>
        <w:jc w:val="both"/>
        <w:rPr>
          <w:color w:val="000000" w:themeColor="text1"/>
          <w:sz w:val="16"/>
          <w:szCs w:val="16"/>
        </w:rPr>
      </w:pPr>
      <w:r w:rsidRPr="007122AB">
        <w:rPr>
          <w:color w:val="000000" w:themeColor="text1"/>
          <w:sz w:val="16"/>
          <w:szCs w:val="16"/>
        </w:rPr>
        <w:t>Париж</w:t>
      </w:r>
    </w:p>
    <w:p w14:paraId="06011C5D"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1.   Ход процесса меньшевиков и отклики буржуазной печати возлагают, по понятным для Вас причинам, самую существенную часть разъяснительной работы не на полпредство. Это, однако, не освобождает Вас от того, чтобы возможно полнее и шире знакомить и объяснять всем доступным для Вас кругам сущность и итоги этого процесса.</w:t>
      </w:r>
    </w:p>
    <w:p w14:paraId="73A9BD6D"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 xml:space="preserve">2.   Вы нам не отвечаете на вопрос о распространении изданных материалов по процессу Промпартии. Неужели до сих пор еще ничего Вами не предпринято в этой области? Необходимо срочно этот пробел восполнить. Не думаю, что для этого Вам понадобились дополнительные ассигновки, так как, как на распространение «Кайе </w:t>
      </w:r>
      <w:proofErr w:type="spellStart"/>
      <w:r w:rsidRPr="007122AB">
        <w:rPr>
          <w:color w:val="000000" w:themeColor="text1"/>
          <w:sz w:val="16"/>
          <w:szCs w:val="16"/>
        </w:rPr>
        <w:t>Бле</w:t>
      </w:r>
      <w:proofErr w:type="spellEnd"/>
      <w:r w:rsidRPr="007122AB">
        <w:rPr>
          <w:color w:val="000000" w:themeColor="text1"/>
          <w:sz w:val="16"/>
          <w:szCs w:val="16"/>
        </w:rPr>
        <w:t xml:space="preserve">», так и книги мадам </w:t>
      </w:r>
      <w:proofErr w:type="spellStart"/>
      <w:r w:rsidRPr="007122AB">
        <w:rPr>
          <w:color w:val="000000" w:themeColor="text1"/>
          <w:sz w:val="16"/>
          <w:szCs w:val="16"/>
        </w:rPr>
        <w:t>Дюшен</w:t>
      </w:r>
      <w:proofErr w:type="spellEnd"/>
      <w:r w:rsidRPr="007122AB">
        <w:rPr>
          <w:color w:val="000000" w:themeColor="text1"/>
          <w:sz w:val="16"/>
          <w:szCs w:val="16"/>
        </w:rPr>
        <w:t>, Вам нужно всего лишь несколько сот франк[</w:t>
      </w:r>
      <w:proofErr w:type="spellStart"/>
      <w:r w:rsidRPr="007122AB">
        <w:rPr>
          <w:color w:val="000000" w:themeColor="text1"/>
          <w:sz w:val="16"/>
          <w:szCs w:val="16"/>
        </w:rPr>
        <w:t>ов</w:t>
      </w:r>
      <w:proofErr w:type="spellEnd"/>
      <w:r w:rsidRPr="007122AB">
        <w:rPr>
          <w:color w:val="000000" w:themeColor="text1"/>
          <w:sz w:val="16"/>
          <w:szCs w:val="16"/>
        </w:rPr>
        <w:t>]. Вы их можете свободно взять из той суммы, которая Вам послана для «</w:t>
      </w:r>
      <w:proofErr w:type="spellStart"/>
      <w:r w:rsidRPr="007122AB">
        <w:rPr>
          <w:color w:val="000000" w:themeColor="text1"/>
          <w:sz w:val="16"/>
          <w:szCs w:val="16"/>
        </w:rPr>
        <w:t>Эйроп</w:t>
      </w:r>
      <w:proofErr w:type="spellEnd"/>
      <w:r w:rsidRPr="007122AB">
        <w:rPr>
          <w:color w:val="000000" w:themeColor="text1"/>
          <w:sz w:val="16"/>
          <w:szCs w:val="16"/>
        </w:rPr>
        <w:t xml:space="preserve"> </w:t>
      </w:r>
      <w:proofErr w:type="spellStart"/>
      <w:r w:rsidRPr="007122AB">
        <w:rPr>
          <w:color w:val="000000" w:themeColor="text1"/>
          <w:sz w:val="16"/>
          <w:szCs w:val="16"/>
        </w:rPr>
        <w:t>Нувелль</w:t>
      </w:r>
      <w:proofErr w:type="spellEnd"/>
      <w:r w:rsidRPr="007122AB">
        <w:rPr>
          <w:color w:val="000000" w:themeColor="text1"/>
          <w:sz w:val="16"/>
          <w:szCs w:val="16"/>
        </w:rPr>
        <w:t>», так как по крайней мере половина заказанных 1000 экз. этого журнала должна быть распространена в самой Франции, а поэтому у вас получится остаток в 1.500 франк[</w:t>
      </w:r>
      <w:proofErr w:type="spellStart"/>
      <w:r w:rsidRPr="007122AB">
        <w:rPr>
          <w:color w:val="000000" w:themeColor="text1"/>
          <w:sz w:val="16"/>
          <w:szCs w:val="16"/>
        </w:rPr>
        <w:t>ов</w:t>
      </w:r>
      <w:proofErr w:type="spellEnd"/>
      <w:r w:rsidRPr="007122AB">
        <w:rPr>
          <w:color w:val="000000" w:themeColor="text1"/>
          <w:sz w:val="16"/>
          <w:szCs w:val="16"/>
        </w:rPr>
        <w:t>].</w:t>
      </w:r>
    </w:p>
    <w:p w14:paraId="51D4EDCA"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 xml:space="preserve">3.   </w:t>
      </w:r>
      <w:proofErr w:type="spellStart"/>
      <w:r w:rsidRPr="007122AB">
        <w:rPr>
          <w:color w:val="000000" w:themeColor="text1"/>
          <w:sz w:val="16"/>
          <w:szCs w:val="16"/>
        </w:rPr>
        <w:t>Давным</w:t>
      </w:r>
      <w:proofErr w:type="spellEnd"/>
      <w:r w:rsidRPr="007122AB">
        <w:rPr>
          <w:color w:val="000000" w:themeColor="text1"/>
          <w:sz w:val="16"/>
          <w:szCs w:val="16"/>
        </w:rPr>
        <w:t xml:space="preserve"> давно писал Вам о том, чтобы уговорить одно из связанных с нами предприятий печатать корреспонденции находящегося в Москве </w:t>
      </w:r>
      <w:proofErr w:type="spellStart"/>
      <w:r w:rsidRPr="007122AB">
        <w:rPr>
          <w:color w:val="000000" w:themeColor="text1"/>
          <w:sz w:val="16"/>
          <w:szCs w:val="16"/>
        </w:rPr>
        <w:t>Люциани</w:t>
      </w:r>
      <w:proofErr w:type="spellEnd"/>
      <w:r w:rsidRPr="007122AB">
        <w:rPr>
          <w:color w:val="000000" w:themeColor="text1"/>
          <w:sz w:val="16"/>
          <w:szCs w:val="16"/>
        </w:rPr>
        <w:t xml:space="preserve">. По сей день никакого ответа от Вас не получил. Это очень досадно, так как мы в продолжении месяцев лишаемся возможности использовать соответствующим образом как связанные с нами предприятия, так и </w:t>
      </w:r>
      <w:proofErr w:type="spellStart"/>
      <w:r w:rsidRPr="007122AB">
        <w:rPr>
          <w:color w:val="000000" w:themeColor="text1"/>
          <w:sz w:val="16"/>
          <w:szCs w:val="16"/>
        </w:rPr>
        <w:t>Люциани</w:t>
      </w:r>
      <w:proofErr w:type="spellEnd"/>
      <w:r w:rsidRPr="007122AB">
        <w:rPr>
          <w:color w:val="000000" w:themeColor="text1"/>
          <w:sz w:val="16"/>
          <w:szCs w:val="16"/>
        </w:rPr>
        <w:t>.</w:t>
      </w:r>
    </w:p>
    <w:p w14:paraId="70B34D80"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4.   Проспект работы для сборника, посвященного Колетт, пересылаем П. С. Когану. Его ответ сообщу Вам дополнительно. Сомневаюсь, однако, что он будет положительным.</w:t>
      </w:r>
    </w:p>
    <w:p w14:paraId="29B10FA7"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5.   Если не ошибаюсь, мы за все время Вашего пребывания в Париже не получили ни одного Вашего дневника. Встречаетесь ли Вы с журналистами вообще и в частности с представителями связанных с нами предприятий? Постоянный регулярный контакт с ними необходим для успешной работы.</w:t>
      </w:r>
    </w:p>
    <w:p w14:paraId="08B23FBB"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 xml:space="preserve">6.   При сем прилагаю доверенность </w:t>
      </w:r>
      <w:proofErr w:type="spellStart"/>
      <w:r w:rsidRPr="007122AB">
        <w:rPr>
          <w:color w:val="000000" w:themeColor="text1"/>
          <w:sz w:val="16"/>
          <w:szCs w:val="16"/>
        </w:rPr>
        <w:t>ОГИЗа</w:t>
      </w:r>
      <w:proofErr w:type="spellEnd"/>
      <w:r w:rsidRPr="007122AB">
        <w:rPr>
          <w:color w:val="000000" w:themeColor="text1"/>
          <w:sz w:val="16"/>
          <w:szCs w:val="16"/>
        </w:rPr>
        <w:t xml:space="preserve"> на имя А. А. Игнатьева. Как Вы видите, ОГИЗ предлагает внести некоторые поправки в договор с </w:t>
      </w:r>
      <w:proofErr w:type="spellStart"/>
      <w:r w:rsidRPr="007122AB">
        <w:rPr>
          <w:color w:val="000000" w:themeColor="text1"/>
          <w:sz w:val="16"/>
          <w:szCs w:val="16"/>
        </w:rPr>
        <w:t>Валюа</w:t>
      </w:r>
      <w:proofErr w:type="spellEnd"/>
      <w:r w:rsidRPr="007122AB">
        <w:rPr>
          <w:color w:val="000000" w:themeColor="text1"/>
          <w:sz w:val="16"/>
          <w:szCs w:val="16"/>
        </w:rPr>
        <w:t xml:space="preserve">, которые прошу принять к исполнению. Юрисконсульт </w:t>
      </w:r>
      <w:proofErr w:type="spellStart"/>
      <w:r w:rsidRPr="007122AB">
        <w:rPr>
          <w:color w:val="000000" w:themeColor="text1"/>
          <w:sz w:val="16"/>
          <w:szCs w:val="16"/>
        </w:rPr>
        <w:t>Наркомвнешторга</w:t>
      </w:r>
      <w:proofErr w:type="spellEnd"/>
      <w:r w:rsidRPr="007122AB">
        <w:rPr>
          <w:color w:val="000000" w:themeColor="text1"/>
          <w:sz w:val="16"/>
          <w:szCs w:val="16"/>
        </w:rPr>
        <w:t xml:space="preserve"> указывает также, что ОГИЗ должен фигурировать не в качестве автора, а лишь может удостоверить, что перевод во всем соответствует тексту оригинальных стенограмм процесса. Но это имеет второстепенное значение.</w:t>
      </w:r>
    </w:p>
    <w:p w14:paraId="3943960B" w14:textId="77777777" w:rsidR="00B930A1" w:rsidRPr="007122AB" w:rsidRDefault="00B930A1" w:rsidP="007122AB">
      <w:pPr>
        <w:pStyle w:val="rtejustify"/>
        <w:spacing w:before="0" w:after="0"/>
        <w:rPr>
          <w:color w:val="000000" w:themeColor="text1"/>
          <w:sz w:val="16"/>
          <w:szCs w:val="16"/>
        </w:rPr>
      </w:pPr>
      <w:r w:rsidRPr="007122AB">
        <w:rPr>
          <w:color w:val="000000" w:themeColor="text1"/>
          <w:sz w:val="16"/>
          <w:szCs w:val="16"/>
        </w:rPr>
        <w:t xml:space="preserve">7.   Выслали ли Вы книги: Мартеля (10 экз.), Зигфрида (1 экз.) и Пьера Доминика (2-3 экз.). Мы до сих пор ничего не получили. Пришлите также 2 экз. речи т. Сталина в издании </w:t>
      </w:r>
      <w:proofErr w:type="spellStart"/>
      <w:r w:rsidRPr="007122AB">
        <w:rPr>
          <w:color w:val="000000" w:themeColor="text1"/>
          <w:sz w:val="16"/>
          <w:szCs w:val="16"/>
        </w:rPr>
        <w:t>Валюа</w:t>
      </w:r>
      <w:proofErr w:type="spellEnd"/>
      <w:r w:rsidRPr="007122AB">
        <w:rPr>
          <w:color w:val="000000" w:themeColor="text1"/>
          <w:sz w:val="16"/>
          <w:szCs w:val="16"/>
        </w:rPr>
        <w:t>.</w:t>
      </w:r>
    </w:p>
    <w:p w14:paraId="70DFE4CE" w14:textId="77777777" w:rsidR="00B930A1" w:rsidRPr="007122AB" w:rsidRDefault="00B930A1" w:rsidP="007122AB">
      <w:pPr>
        <w:pStyle w:val="ae"/>
        <w:spacing w:before="0" w:after="0"/>
        <w:jc w:val="both"/>
        <w:rPr>
          <w:color w:val="000000" w:themeColor="text1"/>
          <w:sz w:val="16"/>
          <w:szCs w:val="16"/>
        </w:rPr>
      </w:pPr>
      <w:r w:rsidRPr="007122AB">
        <w:rPr>
          <w:color w:val="000000" w:themeColor="text1"/>
          <w:sz w:val="16"/>
          <w:szCs w:val="16"/>
        </w:rPr>
        <w:t>(Аренс)</w:t>
      </w:r>
    </w:p>
    <w:p w14:paraId="5859B79C" w14:textId="77777777" w:rsidR="00B930A1" w:rsidRPr="007122AB" w:rsidRDefault="00B930A1"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30-31. Машинописная копия того времени. Гриф секретности машинописью, исходящий номер написан от руки. На Л. 31 внизу слева делопроизводственная помета машинописью (столбцом) «4 экз. 1 — т. Баркову 1 — т. Литвинову 1 — т. Крестинскому 1 — в дело» (18834).</w:t>
      </w:r>
    </w:p>
    <w:p w14:paraId="04E5B06B" w14:textId="77777777" w:rsidR="00B930A1" w:rsidRPr="007122AB" w:rsidRDefault="00B930A1" w:rsidP="007122AB">
      <w:pPr>
        <w:spacing w:after="0" w:line="240" w:lineRule="auto"/>
        <w:jc w:val="both"/>
        <w:rPr>
          <w:rFonts w:ascii="Times New Roman" w:hAnsi="Times New Roman"/>
          <w:color w:val="000000" w:themeColor="text1"/>
          <w:sz w:val="16"/>
          <w:szCs w:val="16"/>
        </w:rPr>
      </w:pPr>
    </w:p>
    <w:p w14:paraId="7AADBD0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63AA7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2BD1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марта 1931 года был утвержден технический проект установки, а в первых числах мая 1932 года первый транспортер ТМ-1-14 вышел на </w:t>
      </w:r>
      <w:proofErr w:type="spellStart"/>
      <w:r w:rsidRPr="007122AB">
        <w:rPr>
          <w:rFonts w:ascii="Times New Roman" w:hAnsi="Times New Roman"/>
          <w:color w:val="000000" w:themeColor="text1"/>
          <w:sz w:val="16"/>
          <w:szCs w:val="16"/>
        </w:rPr>
        <w:t>стрельбовые</w:t>
      </w:r>
      <w:proofErr w:type="spellEnd"/>
      <w:r w:rsidRPr="007122AB">
        <w:rPr>
          <w:rFonts w:ascii="Times New Roman" w:hAnsi="Times New Roman"/>
          <w:color w:val="000000" w:themeColor="text1"/>
          <w:sz w:val="16"/>
          <w:szCs w:val="16"/>
        </w:rPr>
        <w:t xml:space="preserve"> испытания на полигоне в Лебяжьем. Почти одновременно ОКТБ прекращает свое существование, а конструктор освобождается «В связи с окончанием работ по железнодорожным транспортерам» В 1934 году, когда батареи ТМ-1-14 встали на боевое дежурство на Балтике и на Тихом океане, А.Г. Дукельский был удостоен ордена Ленина (9059).</w:t>
      </w:r>
    </w:p>
    <w:p w14:paraId="030EDE81" w14:textId="01DABED3"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D75009" w14:textId="5AE53B92" w:rsidR="000F1D6E" w:rsidRPr="007122AB" w:rsidRDefault="000F1D6E"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51E38698" w14:textId="77777777" w:rsidR="000F1D6E" w:rsidRPr="007122AB" w:rsidRDefault="000F1D6E"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2FD3AC17"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марта 1931 - Рут </w:t>
      </w:r>
      <w:proofErr w:type="spellStart"/>
      <w:r w:rsidRPr="007122AB">
        <w:rPr>
          <w:rFonts w:ascii="Times New Roman" w:hAnsi="Times New Roman"/>
          <w:color w:val="000000" w:themeColor="text1"/>
          <w:sz w:val="16"/>
          <w:szCs w:val="16"/>
        </w:rPr>
        <w:t>Роулэнд</w:t>
      </w:r>
      <w:proofErr w:type="spellEnd"/>
      <w:r w:rsidRPr="007122AB">
        <w:rPr>
          <w:rFonts w:ascii="Times New Roman" w:hAnsi="Times New Roman"/>
          <w:color w:val="000000" w:themeColor="text1"/>
          <w:sz w:val="16"/>
          <w:szCs w:val="16"/>
        </w:rPr>
        <w:t xml:space="preserve"> Николс на самолете Lockheed </w:t>
      </w:r>
      <w:proofErr w:type="spellStart"/>
      <w:r w:rsidRPr="007122AB">
        <w:rPr>
          <w:rFonts w:ascii="Times New Roman" w:hAnsi="Times New Roman"/>
          <w:color w:val="000000" w:themeColor="text1"/>
          <w:sz w:val="16"/>
          <w:szCs w:val="16"/>
        </w:rPr>
        <w:t>Vega</w:t>
      </w:r>
      <w:proofErr w:type="spellEnd"/>
      <w:r w:rsidRPr="007122AB">
        <w:rPr>
          <w:rFonts w:ascii="Times New Roman" w:hAnsi="Times New Roman"/>
          <w:color w:val="000000" w:themeColor="text1"/>
          <w:sz w:val="16"/>
          <w:szCs w:val="16"/>
        </w:rPr>
        <w:t xml:space="preserve"> 5a установила рекорд высоты, зарегистрированный FAI - 8761 метр, в аэропорту Джерси-Сити (22578).</w:t>
      </w:r>
    </w:p>
    <w:p w14:paraId="667DC425" w14:textId="77777777" w:rsidR="000F1D6E" w:rsidRPr="007122AB" w:rsidRDefault="000F1D6E" w:rsidP="007122AB">
      <w:pPr>
        <w:spacing w:after="0" w:line="240" w:lineRule="auto"/>
        <w:jc w:val="both"/>
        <w:rPr>
          <w:rFonts w:ascii="Times New Roman" w:hAnsi="Times New Roman"/>
          <w:color w:val="000000" w:themeColor="text1"/>
          <w:sz w:val="16"/>
          <w:szCs w:val="16"/>
        </w:rPr>
      </w:pPr>
    </w:p>
    <w:p w14:paraId="6C7AB76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ADAE1A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0EC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марта 1931 года вышло постановление Всесоюзного Авиационного объединения (ВАО) о создании Московского филиала чертежно-конструкторского отдела завода № 21, строящегося в Нижнем Новгороде. Первым начальником этого отдела назначили </w:t>
      </w:r>
      <w:proofErr w:type="spellStart"/>
      <w:r w:rsidRPr="007122AB">
        <w:rPr>
          <w:rFonts w:ascii="Times New Roman" w:hAnsi="Times New Roman"/>
          <w:color w:val="000000" w:themeColor="text1"/>
          <w:sz w:val="16"/>
          <w:szCs w:val="16"/>
        </w:rPr>
        <w:t>К.А.Виганда</w:t>
      </w:r>
      <w:proofErr w:type="spellEnd"/>
      <w:r w:rsidRPr="007122AB">
        <w:rPr>
          <w:rFonts w:ascii="Times New Roman" w:hAnsi="Times New Roman"/>
          <w:color w:val="000000" w:themeColor="text1"/>
          <w:sz w:val="16"/>
          <w:szCs w:val="16"/>
        </w:rPr>
        <w:t xml:space="preserve">. Нижегородские конструкторы, приобретая навыки проектирования в КБ Д. П. Григоровича и Н. Н. Поликарпова, С. А. Кочергина, разрабатывали чертежи самолетов ДИ-3 и И-5, стажировались в ЦАГИ под руководством А. Н. Туполева. В 1931 году в коллектив завода пришли первые специалисты. Среди них группа выпускников Нижегородского техникума ГВФ: Я. Сорокин, И. Колосов, В. </w:t>
      </w:r>
      <w:proofErr w:type="spellStart"/>
      <w:r w:rsidRPr="007122AB">
        <w:rPr>
          <w:rFonts w:ascii="Times New Roman" w:hAnsi="Times New Roman"/>
          <w:color w:val="000000" w:themeColor="text1"/>
          <w:sz w:val="16"/>
          <w:szCs w:val="16"/>
        </w:rPr>
        <w:t>Кутянин</w:t>
      </w:r>
      <w:proofErr w:type="spellEnd"/>
      <w:r w:rsidRPr="007122AB">
        <w:rPr>
          <w:rFonts w:ascii="Times New Roman" w:hAnsi="Times New Roman"/>
          <w:color w:val="000000" w:themeColor="text1"/>
          <w:sz w:val="16"/>
          <w:szCs w:val="16"/>
        </w:rPr>
        <w:t xml:space="preserve">, Н. Потехин, В. Ильин и Б. Ильина. К моменту пуска завода в январе 1932 года в его коллектив влилась еще одна группа в составе Г. Миловидова, Е. Мараева, В. </w:t>
      </w:r>
      <w:proofErr w:type="spellStart"/>
      <w:r w:rsidRPr="007122AB">
        <w:rPr>
          <w:rFonts w:ascii="Times New Roman" w:hAnsi="Times New Roman"/>
          <w:color w:val="000000" w:themeColor="text1"/>
          <w:sz w:val="16"/>
          <w:szCs w:val="16"/>
        </w:rPr>
        <w:t>Пылина</w:t>
      </w:r>
      <w:proofErr w:type="spellEnd"/>
      <w:r w:rsidRPr="007122AB">
        <w:rPr>
          <w:rFonts w:ascii="Times New Roman" w:hAnsi="Times New Roman"/>
          <w:color w:val="000000" w:themeColor="text1"/>
          <w:sz w:val="16"/>
          <w:szCs w:val="16"/>
        </w:rPr>
        <w:t xml:space="preserve">, И. Розенберга, М. Горяинова и Л. Мартемьянова. Летом 1932 года пришла и третья группа выпускников: В. </w:t>
      </w:r>
      <w:proofErr w:type="spellStart"/>
      <w:r w:rsidRPr="007122AB">
        <w:rPr>
          <w:rFonts w:ascii="Times New Roman" w:hAnsi="Times New Roman"/>
          <w:color w:val="000000" w:themeColor="text1"/>
          <w:sz w:val="16"/>
          <w:szCs w:val="16"/>
        </w:rPr>
        <w:t>Мюрисеп</w:t>
      </w:r>
      <w:proofErr w:type="spellEnd"/>
      <w:r w:rsidRPr="007122AB">
        <w:rPr>
          <w:rFonts w:ascii="Times New Roman" w:hAnsi="Times New Roman"/>
          <w:color w:val="000000" w:themeColor="text1"/>
          <w:sz w:val="16"/>
          <w:szCs w:val="16"/>
        </w:rPr>
        <w:t xml:space="preserve">, Б. Протопопов, П. </w:t>
      </w:r>
      <w:proofErr w:type="spellStart"/>
      <w:r w:rsidRPr="007122AB">
        <w:rPr>
          <w:rFonts w:ascii="Times New Roman" w:hAnsi="Times New Roman"/>
          <w:color w:val="000000" w:themeColor="text1"/>
          <w:sz w:val="16"/>
          <w:szCs w:val="16"/>
        </w:rPr>
        <w:t>Иванькин</w:t>
      </w:r>
      <w:proofErr w:type="spellEnd"/>
      <w:r w:rsidRPr="007122AB">
        <w:rPr>
          <w:rFonts w:ascii="Times New Roman" w:hAnsi="Times New Roman"/>
          <w:color w:val="000000" w:themeColor="text1"/>
          <w:sz w:val="16"/>
          <w:szCs w:val="16"/>
        </w:rPr>
        <w:t xml:space="preserve">, А. Лезин, А. Ковалев, С. </w:t>
      </w:r>
      <w:proofErr w:type="spellStart"/>
      <w:r w:rsidRPr="007122AB">
        <w:rPr>
          <w:rFonts w:ascii="Times New Roman" w:hAnsi="Times New Roman"/>
          <w:color w:val="000000" w:themeColor="text1"/>
          <w:sz w:val="16"/>
          <w:szCs w:val="16"/>
        </w:rPr>
        <w:t>Калышев</w:t>
      </w:r>
      <w:proofErr w:type="spellEnd"/>
      <w:r w:rsidRPr="007122AB">
        <w:rPr>
          <w:rFonts w:ascii="Times New Roman" w:hAnsi="Times New Roman"/>
          <w:color w:val="000000" w:themeColor="text1"/>
          <w:sz w:val="16"/>
          <w:szCs w:val="16"/>
        </w:rPr>
        <w:t>, А. Яшков и другие. В первые годы работы завода рабочим помогали осваивать авиационные технологии иностранные специалисты (11651).</w:t>
      </w:r>
    </w:p>
    <w:p w14:paraId="24FFF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786C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марта 1931 г. начальник произв. </w:t>
      </w:r>
      <w:proofErr w:type="spellStart"/>
      <w:r w:rsidRPr="007122AB">
        <w:rPr>
          <w:rFonts w:ascii="Times New Roman" w:hAnsi="Times New Roman"/>
          <w:color w:val="000000" w:themeColor="text1"/>
          <w:sz w:val="16"/>
          <w:szCs w:val="16"/>
        </w:rPr>
        <w:t>технич</w:t>
      </w:r>
      <w:proofErr w:type="spellEnd"/>
      <w:r w:rsidRPr="007122AB">
        <w:rPr>
          <w:rFonts w:ascii="Times New Roman" w:hAnsi="Times New Roman"/>
          <w:color w:val="000000" w:themeColor="text1"/>
          <w:sz w:val="16"/>
          <w:szCs w:val="16"/>
        </w:rPr>
        <w:t xml:space="preserve">. отдела УСС </w:t>
      </w:r>
      <w:proofErr w:type="spellStart"/>
      <w:r w:rsidRPr="007122AB">
        <w:rPr>
          <w:rFonts w:ascii="Times New Roman" w:hAnsi="Times New Roman"/>
          <w:color w:val="000000" w:themeColor="text1"/>
          <w:sz w:val="16"/>
          <w:szCs w:val="16"/>
        </w:rPr>
        <w:t>Горелиц</w:t>
      </w:r>
      <w:proofErr w:type="spellEnd"/>
      <w:r w:rsidRPr="007122AB">
        <w:rPr>
          <w:rFonts w:ascii="Times New Roman" w:hAnsi="Times New Roman"/>
          <w:color w:val="000000" w:themeColor="text1"/>
          <w:sz w:val="16"/>
          <w:szCs w:val="16"/>
        </w:rPr>
        <w:t xml:space="preserve"> писал письмо N </w:t>
      </w:r>
      <w:proofErr w:type="spellStart"/>
      <w:r w:rsidRPr="007122AB">
        <w:rPr>
          <w:rFonts w:ascii="Times New Roman" w:hAnsi="Times New Roman"/>
          <w:color w:val="000000" w:themeColor="text1"/>
          <w:sz w:val="16"/>
          <w:szCs w:val="16"/>
        </w:rPr>
        <w:t>нто</w:t>
      </w:r>
      <w:proofErr w:type="spellEnd"/>
      <w:r w:rsidRPr="007122AB">
        <w:rPr>
          <w:rFonts w:ascii="Times New Roman" w:hAnsi="Times New Roman"/>
          <w:color w:val="000000" w:themeColor="text1"/>
          <w:sz w:val="16"/>
          <w:szCs w:val="16"/>
        </w:rPr>
        <w:t xml:space="preserve">/114с зав. Научной центральной лабораторией </w:t>
      </w:r>
      <w:proofErr w:type="spellStart"/>
      <w:r w:rsidRPr="007122AB">
        <w:rPr>
          <w:rFonts w:ascii="Times New Roman" w:hAnsi="Times New Roman"/>
          <w:color w:val="000000" w:themeColor="text1"/>
          <w:sz w:val="16"/>
          <w:szCs w:val="16"/>
        </w:rPr>
        <w:t>гостреста</w:t>
      </w:r>
      <w:proofErr w:type="spellEnd"/>
      <w:r w:rsidRPr="007122AB">
        <w:rPr>
          <w:rFonts w:ascii="Times New Roman" w:hAnsi="Times New Roman"/>
          <w:color w:val="000000" w:themeColor="text1"/>
          <w:sz w:val="16"/>
          <w:szCs w:val="16"/>
        </w:rPr>
        <w:t xml:space="preserve"> "Лакокраска".</w:t>
      </w:r>
    </w:p>
    <w:p w14:paraId="25F30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N 48 от 4 марта 1931 г.</w:t>
      </w:r>
    </w:p>
    <w:p w14:paraId="7858D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сем препровождаются рецептуры завода N 36 масленых лаков и красок коими покрывались </w:t>
      </w:r>
      <w:proofErr w:type="spellStart"/>
      <w:r w:rsidRPr="007122AB">
        <w:rPr>
          <w:rFonts w:ascii="Times New Roman" w:hAnsi="Times New Roman"/>
          <w:color w:val="000000" w:themeColor="text1"/>
          <w:sz w:val="16"/>
          <w:szCs w:val="16"/>
        </w:rPr>
        <w:t>металлич</w:t>
      </w:r>
      <w:proofErr w:type="spellEnd"/>
      <w:r w:rsidRPr="007122AB">
        <w:rPr>
          <w:rFonts w:ascii="Times New Roman" w:hAnsi="Times New Roman"/>
          <w:color w:val="000000" w:themeColor="text1"/>
          <w:sz w:val="16"/>
          <w:szCs w:val="16"/>
        </w:rPr>
        <w:t>. самолеты, а также и рецептуры красок употребляемых в авиачастях.</w:t>
      </w:r>
    </w:p>
    <w:p w14:paraId="03584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Рецептуры красок, употребляемых ранее</w:t>
      </w:r>
    </w:p>
    <w:p w14:paraId="6D55DE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в настоящее время в авиачастях</w:t>
      </w:r>
    </w:p>
    <w:p w14:paraId="123622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период функционирования в Москве завода немцами производилась окраска самолетов следующим образом:</w:t>
      </w:r>
    </w:p>
    <w:p w14:paraId="41C60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Дюралюминиевые листы хорошо промываются бензолом для удаления жирных пятен.</w:t>
      </w:r>
    </w:p>
    <w:p w14:paraId="6514B0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Грунтовка производится полужирной масляной краской со сроком просушки 2-3 дня.</w:t>
      </w:r>
    </w:p>
    <w:p w14:paraId="65B10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Вторичная окраска производится жирной первосортной лаковой краской содержащей сиккатив, но может быть и масляная краска.</w:t>
      </w:r>
    </w:p>
    <w:p w14:paraId="54235C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Разбавлять лаковую краску бензолом воспрещалось, т.к. она в этом случае плохо пристает.</w:t>
      </w:r>
    </w:p>
    <w:p w14:paraId="6BA89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Не разрешалось так называемое "частичное освежение" по старой окраске.</w:t>
      </w:r>
    </w:p>
    <w:p w14:paraId="3D7277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 краски:</w:t>
      </w:r>
    </w:p>
    <w:p w14:paraId="6B649B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Верхняя сторона - темная краска: умбра густо растертая в масле - смешанная с зеленой краской и охрой с добавлением 1/3 масляного лака и 2/3 олифы, скипидара и сиккатива.</w:t>
      </w:r>
    </w:p>
    <w:p w14:paraId="0DBAF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Нижняя сторона - светлая краска: свинцовая белила густо растирается в масле, смеивается с синей и зеленой краской с добавлением 1/3 олифы и 2/3 олифы со скипидаром.</w:t>
      </w:r>
    </w:p>
    <w:p w14:paraId="58D34A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Опознавательные знаки:</w:t>
      </w:r>
    </w:p>
    <w:p w14:paraId="3CDA3B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краска составляется из киновари, растворенной в масле с незначительным добавлением масляного лака (наносится два раза).</w:t>
      </w:r>
    </w:p>
    <w:p w14:paraId="1B2458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Шасси - черная краска: окраска производится масляной краской за один раз, второй слой - черная эмалевая краска.</w:t>
      </w:r>
    </w:p>
    <w:p w14:paraId="5C712C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Обтекатели колес окрашиваются обычной авиационной смолой. Краски приобретались в Лакокраске; лаки с растворителями выписывались из Дессау.</w:t>
      </w:r>
    </w:p>
    <w:p w14:paraId="7CB8F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Авиачастями на местах применяются различные имеющиеся на рынке краски и употребляются различные способы и рецептуры окрасок, как например:</w:t>
      </w:r>
    </w:p>
    <w:p w14:paraId="602E0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1-е покрытие - грунтовка цинковыми белилами с олифой; 2-е покрытие - светло-серая краска; белил цинковых - 60%, сажи голландской - 1%, ультрамарину - 1,5%; киновари - 0,5% и олифы - 37%. Сушка между первым и вторым покрытием в летнее время - 2-3 дня.</w:t>
      </w:r>
    </w:p>
    <w:p w14:paraId="61D8A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После смывки старой краски самолет был покрыт один раз лаком "Дюраль" с небольшой примесью лазури (около 1%); второй раз - верхняя сторона обшивки покрывалась защитной краской состава: олифы - 50%, умбры - 30%, охры - 15%, лазури 1,5%, зелени - 3%, сажи - 1,5%.</w:t>
      </w:r>
    </w:p>
    <w:p w14:paraId="500402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Нижняя сторона покрывалась цинковыми белилами.</w:t>
      </w:r>
    </w:p>
    <w:p w14:paraId="44E626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3-е покрытие производилось теми же красками с добавлением небольшого количества лака N 1.</w:t>
      </w:r>
    </w:p>
    <w:p w14:paraId="4C4F4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Внутренняя часть самолета покрывалась лаком "дюраль" за один раз, а второй раз - масляным лаком N 17.</w:t>
      </w:r>
    </w:p>
    <w:p w14:paraId="18850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Рецептуры лаков и красок, изготовляемых заводом N 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2819"/>
        <w:gridCol w:w="4819"/>
      </w:tblGrid>
      <w:tr w:rsidR="007122AB" w:rsidRPr="007122AB" w14:paraId="18614592" w14:textId="77777777">
        <w:tc>
          <w:tcPr>
            <w:tcW w:w="1409" w:type="dxa"/>
          </w:tcPr>
          <w:p w14:paraId="434AF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Лак Дюраль</w:t>
            </w:r>
          </w:p>
        </w:tc>
        <w:tc>
          <w:tcPr>
            <w:tcW w:w="1409" w:type="dxa"/>
          </w:tcPr>
          <w:p w14:paraId="2DA76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09EA5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Лак Дюраль</w:t>
            </w:r>
          </w:p>
        </w:tc>
        <w:tc>
          <w:tcPr>
            <w:tcW w:w="4819" w:type="dxa"/>
          </w:tcPr>
          <w:p w14:paraId="7D754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5EE7FBE" w14:textId="77777777">
        <w:tc>
          <w:tcPr>
            <w:tcW w:w="1409" w:type="dxa"/>
          </w:tcPr>
          <w:p w14:paraId="66B6AE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(прежняя рецептура)</w:t>
            </w:r>
          </w:p>
        </w:tc>
        <w:tc>
          <w:tcPr>
            <w:tcW w:w="1409" w:type="dxa"/>
          </w:tcPr>
          <w:p w14:paraId="09517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15EC9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(рецептура в настоящее время)</w:t>
            </w:r>
          </w:p>
        </w:tc>
        <w:tc>
          <w:tcPr>
            <w:tcW w:w="4819" w:type="dxa"/>
          </w:tcPr>
          <w:p w14:paraId="309F2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A475F2E" w14:textId="77777777">
        <w:tc>
          <w:tcPr>
            <w:tcW w:w="1409" w:type="dxa"/>
          </w:tcPr>
          <w:p w14:paraId="09A77C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Копал-каури</w:t>
            </w:r>
          </w:p>
        </w:tc>
        <w:tc>
          <w:tcPr>
            <w:tcW w:w="1409" w:type="dxa"/>
          </w:tcPr>
          <w:p w14:paraId="79728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c>
          <w:tcPr>
            <w:tcW w:w="2819" w:type="dxa"/>
          </w:tcPr>
          <w:p w14:paraId="39588C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Копал-каури</w:t>
            </w:r>
          </w:p>
        </w:tc>
        <w:tc>
          <w:tcPr>
            <w:tcW w:w="4819" w:type="dxa"/>
          </w:tcPr>
          <w:p w14:paraId="14FFF4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r>
      <w:tr w:rsidR="007122AB" w:rsidRPr="007122AB" w14:paraId="4CADFAC0" w14:textId="77777777">
        <w:tc>
          <w:tcPr>
            <w:tcW w:w="1409" w:type="dxa"/>
          </w:tcPr>
          <w:p w14:paraId="5F1B3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Копал-</w:t>
            </w:r>
            <w:proofErr w:type="spellStart"/>
            <w:r w:rsidRPr="007122AB">
              <w:rPr>
                <w:rFonts w:ascii="Times New Roman" w:hAnsi="Times New Roman"/>
                <w:color w:val="000000" w:themeColor="text1"/>
                <w:sz w:val="16"/>
                <w:szCs w:val="16"/>
              </w:rPr>
              <w:t>Занзибари</w:t>
            </w:r>
            <w:proofErr w:type="spellEnd"/>
          </w:p>
        </w:tc>
        <w:tc>
          <w:tcPr>
            <w:tcW w:w="1409" w:type="dxa"/>
          </w:tcPr>
          <w:p w14:paraId="31756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c>
          <w:tcPr>
            <w:tcW w:w="2819" w:type="dxa"/>
          </w:tcPr>
          <w:p w14:paraId="005D3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Копал-</w:t>
            </w:r>
            <w:proofErr w:type="spellStart"/>
            <w:r w:rsidRPr="007122AB">
              <w:rPr>
                <w:rFonts w:ascii="Times New Roman" w:hAnsi="Times New Roman"/>
                <w:color w:val="000000" w:themeColor="text1"/>
                <w:sz w:val="16"/>
                <w:szCs w:val="16"/>
              </w:rPr>
              <w:t>Занзибари</w:t>
            </w:r>
            <w:proofErr w:type="spellEnd"/>
          </w:p>
        </w:tc>
        <w:tc>
          <w:tcPr>
            <w:tcW w:w="4819" w:type="dxa"/>
          </w:tcPr>
          <w:p w14:paraId="131CA3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r>
      <w:tr w:rsidR="007122AB" w:rsidRPr="007122AB" w14:paraId="48F44D99" w14:textId="77777777">
        <w:tc>
          <w:tcPr>
            <w:tcW w:w="1409" w:type="dxa"/>
          </w:tcPr>
          <w:p w14:paraId="49797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густой</w:t>
            </w:r>
          </w:p>
        </w:tc>
        <w:tc>
          <w:tcPr>
            <w:tcW w:w="1409" w:type="dxa"/>
          </w:tcPr>
          <w:p w14:paraId="551A8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 кг</w:t>
            </w:r>
          </w:p>
        </w:tc>
        <w:tc>
          <w:tcPr>
            <w:tcW w:w="2819" w:type="dxa"/>
          </w:tcPr>
          <w:p w14:paraId="7705D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густой</w:t>
            </w:r>
          </w:p>
        </w:tc>
        <w:tc>
          <w:tcPr>
            <w:tcW w:w="4819" w:type="dxa"/>
          </w:tcPr>
          <w:p w14:paraId="36A3E7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 кг</w:t>
            </w:r>
          </w:p>
        </w:tc>
      </w:tr>
      <w:tr w:rsidR="007122AB" w:rsidRPr="007122AB" w14:paraId="335D0380" w14:textId="77777777">
        <w:tc>
          <w:tcPr>
            <w:tcW w:w="1409" w:type="dxa"/>
          </w:tcPr>
          <w:p w14:paraId="5F51C0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жидкий</w:t>
            </w:r>
          </w:p>
        </w:tc>
        <w:tc>
          <w:tcPr>
            <w:tcW w:w="1409" w:type="dxa"/>
          </w:tcPr>
          <w:p w14:paraId="5E4CE1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c>
          <w:tcPr>
            <w:tcW w:w="2819" w:type="dxa"/>
          </w:tcPr>
          <w:p w14:paraId="4661F3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жидкий</w:t>
            </w:r>
          </w:p>
        </w:tc>
        <w:tc>
          <w:tcPr>
            <w:tcW w:w="4819" w:type="dxa"/>
          </w:tcPr>
          <w:p w14:paraId="36D20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 кг</w:t>
            </w:r>
          </w:p>
        </w:tc>
      </w:tr>
      <w:tr w:rsidR="007122AB" w:rsidRPr="007122AB" w14:paraId="41147CCE" w14:textId="77777777">
        <w:tc>
          <w:tcPr>
            <w:tcW w:w="1409" w:type="dxa"/>
          </w:tcPr>
          <w:p w14:paraId="125C2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Скипидар</w:t>
            </w:r>
          </w:p>
        </w:tc>
        <w:tc>
          <w:tcPr>
            <w:tcW w:w="1409" w:type="dxa"/>
          </w:tcPr>
          <w:p w14:paraId="742DD2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 кг</w:t>
            </w:r>
          </w:p>
        </w:tc>
        <w:tc>
          <w:tcPr>
            <w:tcW w:w="2819" w:type="dxa"/>
          </w:tcPr>
          <w:p w14:paraId="1CF69D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Скипидар</w:t>
            </w:r>
          </w:p>
        </w:tc>
        <w:tc>
          <w:tcPr>
            <w:tcW w:w="4819" w:type="dxa"/>
          </w:tcPr>
          <w:p w14:paraId="3BFF0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 кг</w:t>
            </w:r>
          </w:p>
        </w:tc>
      </w:tr>
      <w:tr w:rsidR="007122AB" w:rsidRPr="007122AB" w14:paraId="270CED19" w14:textId="77777777">
        <w:tc>
          <w:tcPr>
            <w:tcW w:w="1409" w:type="dxa"/>
          </w:tcPr>
          <w:p w14:paraId="4A04CC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Бензин авиац.</w:t>
            </w:r>
          </w:p>
        </w:tc>
        <w:tc>
          <w:tcPr>
            <w:tcW w:w="1409" w:type="dxa"/>
          </w:tcPr>
          <w:p w14:paraId="3513A5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c>
          <w:tcPr>
            <w:tcW w:w="2819" w:type="dxa"/>
          </w:tcPr>
          <w:p w14:paraId="4DCE3A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Бензин авиац.</w:t>
            </w:r>
          </w:p>
        </w:tc>
        <w:tc>
          <w:tcPr>
            <w:tcW w:w="4819" w:type="dxa"/>
          </w:tcPr>
          <w:p w14:paraId="7BB9EE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 кг</w:t>
            </w:r>
          </w:p>
        </w:tc>
      </w:tr>
      <w:tr w:rsidR="007122AB" w:rsidRPr="007122AB" w14:paraId="623012FA" w14:textId="77777777">
        <w:tc>
          <w:tcPr>
            <w:tcW w:w="1409" w:type="dxa"/>
          </w:tcPr>
          <w:p w14:paraId="35F0B2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Краска </w:t>
            </w:r>
            <w:proofErr w:type="spellStart"/>
            <w:r w:rsidRPr="007122AB">
              <w:rPr>
                <w:rFonts w:ascii="Times New Roman" w:hAnsi="Times New Roman"/>
                <w:color w:val="000000" w:themeColor="text1"/>
                <w:sz w:val="16"/>
                <w:szCs w:val="16"/>
              </w:rPr>
              <w:t>хризоидин</w:t>
            </w:r>
            <w:proofErr w:type="spellEnd"/>
          </w:p>
        </w:tc>
        <w:tc>
          <w:tcPr>
            <w:tcW w:w="1409" w:type="dxa"/>
          </w:tcPr>
          <w:p w14:paraId="6DEC3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 кг</w:t>
            </w:r>
          </w:p>
        </w:tc>
        <w:tc>
          <w:tcPr>
            <w:tcW w:w="2819" w:type="dxa"/>
          </w:tcPr>
          <w:p w14:paraId="1ACC4E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Краска </w:t>
            </w:r>
            <w:proofErr w:type="spellStart"/>
            <w:r w:rsidRPr="007122AB">
              <w:rPr>
                <w:rFonts w:ascii="Times New Roman" w:hAnsi="Times New Roman"/>
                <w:color w:val="000000" w:themeColor="text1"/>
                <w:sz w:val="16"/>
                <w:szCs w:val="16"/>
              </w:rPr>
              <w:t>хризоидин</w:t>
            </w:r>
            <w:proofErr w:type="spellEnd"/>
          </w:p>
        </w:tc>
        <w:tc>
          <w:tcPr>
            <w:tcW w:w="4819" w:type="dxa"/>
          </w:tcPr>
          <w:p w14:paraId="2AFDB5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 кг</w:t>
            </w:r>
          </w:p>
        </w:tc>
      </w:tr>
      <w:tr w:rsidR="007122AB" w:rsidRPr="007122AB" w14:paraId="533C8DF6" w14:textId="77777777">
        <w:tc>
          <w:tcPr>
            <w:tcW w:w="1409" w:type="dxa"/>
          </w:tcPr>
          <w:p w14:paraId="6954E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409" w:type="dxa"/>
          </w:tcPr>
          <w:p w14:paraId="79F5F8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252,6 кг</w:t>
            </w:r>
          </w:p>
        </w:tc>
        <w:tc>
          <w:tcPr>
            <w:tcW w:w="2819" w:type="dxa"/>
          </w:tcPr>
          <w:p w14:paraId="6C56C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819" w:type="dxa"/>
          </w:tcPr>
          <w:p w14:paraId="58B5D8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283,6 кг</w:t>
            </w:r>
          </w:p>
        </w:tc>
      </w:tr>
      <w:tr w:rsidR="007122AB" w:rsidRPr="007122AB" w14:paraId="0DC85B81" w14:textId="77777777">
        <w:tc>
          <w:tcPr>
            <w:tcW w:w="1409" w:type="dxa"/>
          </w:tcPr>
          <w:p w14:paraId="551EF1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густой</w:t>
            </w:r>
          </w:p>
        </w:tc>
        <w:tc>
          <w:tcPr>
            <w:tcW w:w="1409" w:type="dxa"/>
          </w:tcPr>
          <w:p w14:paraId="1F1D1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39217B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жидкий</w:t>
            </w:r>
          </w:p>
        </w:tc>
        <w:tc>
          <w:tcPr>
            <w:tcW w:w="4819" w:type="dxa"/>
          </w:tcPr>
          <w:p w14:paraId="54990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DC111AF" w14:textId="77777777">
        <w:tc>
          <w:tcPr>
            <w:tcW w:w="1409" w:type="dxa"/>
          </w:tcPr>
          <w:p w14:paraId="5A6B2D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Масло льняное</w:t>
            </w:r>
          </w:p>
        </w:tc>
        <w:tc>
          <w:tcPr>
            <w:tcW w:w="1409" w:type="dxa"/>
          </w:tcPr>
          <w:p w14:paraId="5CC3CF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 кг</w:t>
            </w:r>
          </w:p>
        </w:tc>
        <w:tc>
          <w:tcPr>
            <w:tcW w:w="2819" w:type="dxa"/>
          </w:tcPr>
          <w:p w14:paraId="5F055E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Масло льняное</w:t>
            </w:r>
          </w:p>
        </w:tc>
        <w:tc>
          <w:tcPr>
            <w:tcW w:w="4819" w:type="dxa"/>
          </w:tcPr>
          <w:p w14:paraId="6C0B04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 кг</w:t>
            </w:r>
          </w:p>
        </w:tc>
      </w:tr>
      <w:tr w:rsidR="007122AB" w:rsidRPr="007122AB" w14:paraId="0150F94C" w14:textId="77777777">
        <w:tc>
          <w:tcPr>
            <w:tcW w:w="1409" w:type="dxa"/>
          </w:tcPr>
          <w:p w14:paraId="72D05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Глет</w:t>
            </w:r>
          </w:p>
        </w:tc>
        <w:tc>
          <w:tcPr>
            <w:tcW w:w="1409" w:type="dxa"/>
          </w:tcPr>
          <w:p w14:paraId="3D9C8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кг</w:t>
            </w:r>
          </w:p>
        </w:tc>
        <w:tc>
          <w:tcPr>
            <w:tcW w:w="2819" w:type="dxa"/>
          </w:tcPr>
          <w:p w14:paraId="39F585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Манганоксид</w:t>
            </w:r>
            <w:proofErr w:type="spellEnd"/>
          </w:p>
        </w:tc>
        <w:tc>
          <w:tcPr>
            <w:tcW w:w="4819" w:type="dxa"/>
          </w:tcPr>
          <w:p w14:paraId="1B0DF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кг</w:t>
            </w:r>
          </w:p>
        </w:tc>
      </w:tr>
      <w:tr w:rsidR="007122AB" w:rsidRPr="007122AB" w14:paraId="529BCF15" w14:textId="77777777">
        <w:tc>
          <w:tcPr>
            <w:tcW w:w="1409" w:type="dxa"/>
          </w:tcPr>
          <w:p w14:paraId="1A7878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Манганоксид</w:t>
            </w:r>
            <w:proofErr w:type="spellEnd"/>
          </w:p>
        </w:tc>
        <w:tc>
          <w:tcPr>
            <w:tcW w:w="1409" w:type="dxa"/>
          </w:tcPr>
          <w:p w14:paraId="1AC03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кг</w:t>
            </w:r>
          </w:p>
        </w:tc>
        <w:tc>
          <w:tcPr>
            <w:tcW w:w="2819" w:type="dxa"/>
          </w:tcPr>
          <w:p w14:paraId="5BA085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819" w:type="dxa"/>
          </w:tcPr>
          <w:p w14:paraId="3837E0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кг</w:t>
            </w:r>
          </w:p>
        </w:tc>
      </w:tr>
      <w:tr w:rsidR="007122AB" w:rsidRPr="007122AB" w14:paraId="100AD664" w14:textId="77777777">
        <w:tc>
          <w:tcPr>
            <w:tcW w:w="1409" w:type="dxa"/>
          </w:tcPr>
          <w:p w14:paraId="3E642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Известь </w:t>
            </w:r>
            <w:proofErr w:type="spellStart"/>
            <w:r w:rsidRPr="007122AB">
              <w:rPr>
                <w:rFonts w:ascii="Times New Roman" w:hAnsi="Times New Roman"/>
                <w:color w:val="000000" w:themeColor="text1"/>
                <w:sz w:val="16"/>
                <w:szCs w:val="16"/>
              </w:rPr>
              <w:t>гащеная</w:t>
            </w:r>
            <w:proofErr w:type="spellEnd"/>
          </w:p>
        </w:tc>
        <w:tc>
          <w:tcPr>
            <w:tcW w:w="1409" w:type="dxa"/>
          </w:tcPr>
          <w:p w14:paraId="23980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кг</w:t>
            </w:r>
          </w:p>
        </w:tc>
        <w:tc>
          <w:tcPr>
            <w:tcW w:w="2819" w:type="dxa"/>
          </w:tcPr>
          <w:p w14:paraId="1A4922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9" w:type="dxa"/>
          </w:tcPr>
          <w:p w14:paraId="02B25F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5A68E79" w14:textId="77777777">
        <w:tc>
          <w:tcPr>
            <w:tcW w:w="1409" w:type="dxa"/>
          </w:tcPr>
          <w:p w14:paraId="0ACF71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409" w:type="dxa"/>
          </w:tcPr>
          <w:p w14:paraId="533B7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180,4 кг</w:t>
            </w:r>
          </w:p>
        </w:tc>
        <w:tc>
          <w:tcPr>
            <w:tcW w:w="2819" w:type="dxa"/>
          </w:tcPr>
          <w:p w14:paraId="2BD4C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9" w:type="dxa"/>
          </w:tcPr>
          <w:p w14:paraId="1C410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61B47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Масляные краски</w:t>
      </w:r>
    </w:p>
    <w:p w14:paraId="62C3A4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Краска серая тертая на олифе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638"/>
      </w:tblGrid>
      <w:tr w:rsidR="007122AB" w:rsidRPr="007122AB" w14:paraId="5BB5608A" w14:textId="77777777">
        <w:tc>
          <w:tcPr>
            <w:tcW w:w="2818" w:type="dxa"/>
          </w:tcPr>
          <w:p w14:paraId="0699F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Литопон 30%</w:t>
            </w:r>
          </w:p>
        </w:tc>
        <w:tc>
          <w:tcPr>
            <w:tcW w:w="7638" w:type="dxa"/>
          </w:tcPr>
          <w:p w14:paraId="5A9D32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 кг</w:t>
            </w:r>
          </w:p>
        </w:tc>
      </w:tr>
      <w:tr w:rsidR="007122AB" w:rsidRPr="007122AB" w14:paraId="7F10DF20" w14:textId="77777777">
        <w:tc>
          <w:tcPr>
            <w:tcW w:w="2818" w:type="dxa"/>
          </w:tcPr>
          <w:p w14:paraId="58456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Сажа </w:t>
            </w:r>
            <w:proofErr w:type="spellStart"/>
            <w:r w:rsidRPr="007122AB">
              <w:rPr>
                <w:rFonts w:ascii="Times New Roman" w:hAnsi="Times New Roman"/>
                <w:color w:val="000000" w:themeColor="text1"/>
                <w:sz w:val="16"/>
                <w:szCs w:val="16"/>
              </w:rPr>
              <w:t>микронекс</w:t>
            </w:r>
            <w:proofErr w:type="spellEnd"/>
            <w:r w:rsidRPr="007122AB">
              <w:rPr>
                <w:rFonts w:ascii="Times New Roman" w:hAnsi="Times New Roman"/>
                <w:color w:val="000000" w:themeColor="text1"/>
                <w:sz w:val="16"/>
                <w:szCs w:val="16"/>
              </w:rPr>
              <w:t xml:space="preserve"> терт.</w:t>
            </w:r>
          </w:p>
        </w:tc>
        <w:tc>
          <w:tcPr>
            <w:tcW w:w="7638" w:type="dxa"/>
          </w:tcPr>
          <w:p w14:paraId="7A3C8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0,22 кг</w:t>
            </w:r>
          </w:p>
        </w:tc>
      </w:tr>
      <w:tr w:rsidR="007122AB" w:rsidRPr="007122AB" w14:paraId="73ABE7CB" w14:textId="77777777">
        <w:tc>
          <w:tcPr>
            <w:tcW w:w="2818" w:type="dxa"/>
          </w:tcPr>
          <w:p w14:paraId="454CD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Милори</w:t>
            </w:r>
            <w:proofErr w:type="spellEnd"/>
            <w:r w:rsidRPr="007122AB">
              <w:rPr>
                <w:rFonts w:ascii="Times New Roman" w:hAnsi="Times New Roman"/>
                <w:color w:val="000000" w:themeColor="text1"/>
                <w:sz w:val="16"/>
                <w:szCs w:val="16"/>
              </w:rPr>
              <w:t xml:space="preserve"> тертый</w:t>
            </w:r>
          </w:p>
        </w:tc>
        <w:tc>
          <w:tcPr>
            <w:tcW w:w="7638" w:type="dxa"/>
          </w:tcPr>
          <w:p w14:paraId="2F9EA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0,3 кг</w:t>
            </w:r>
          </w:p>
        </w:tc>
      </w:tr>
      <w:tr w:rsidR="007122AB" w:rsidRPr="007122AB" w14:paraId="2E715077" w14:textId="77777777">
        <w:tc>
          <w:tcPr>
            <w:tcW w:w="2818" w:type="dxa"/>
          </w:tcPr>
          <w:p w14:paraId="24E841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Крон N 4</w:t>
            </w:r>
          </w:p>
        </w:tc>
        <w:tc>
          <w:tcPr>
            <w:tcW w:w="7638" w:type="dxa"/>
          </w:tcPr>
          <w:p w14:paraId="7D151F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0,05 кг</w:t>
            </w:r>
          </w:p>
        </w:tc>
      </w:tr>
      <w:tr w:rsidR="007122AB" w:rsidRPr="007122AB" w14:paraId="43024270" w14:textId="77777777">
        <w:tc>
          <w:tcPr>
            <w:tcW w:w="2818" w:type="dxa"/>
          </w:tcPr>
          <w:p w14:paraId="4C28B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Олифа</w:t>
            </w:r>
          </w:p>
        </w:tc>
        <w:tc>
          <w:tcPr>
            <w:tcW w:w="7638" w:type="dxa"/>
          </w:tcPr>
          <w:p w14:paraId="50BB78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кг</w:t>
            </w:r>
          </w:p>
        </w:tc>
      </w:tr>
      <w:tr w:rsidR="007122AB" w:rsidRPr="007122AB" w14:paraId="66E79104" w14:textId="77777777">
        <w:tc>
          <w:tcPr>
            <w:tcW w:w="2818" w:type="dxa"/>
          </w:tcPr>
          <w:p w14:paraId="48BBAC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Лак масляный N 22</w:t>
            </w:r>
          </w:p>
        </w:tc>
        <w:tc>
          <w:tcPr>
            <w:tcW w:w="7638" w:type="dxa"/>
          </w:tcPr>
          <w:p w14:paraId="62C97D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кг</w:t>
            </w:r>
          </w:p>
        </w:tc>
      </w:tr>
      <w:tr w:rsidR="007122AB" w:rsidRPr="007122AB" w14:paraId="403DA16E" w14:textId="77777777">
        <w:tc>
          <w:tcPr>
            <w:tcW w:w="2818" w:type="dxa"/>
          </w:tcPr>
          <w:p w14:paraId="5CB33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7638" w:type="dxa"/>
          </w:tcPr>
          <w:p w14:paraId="63293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99,57 кг</w:t>
            </w:r>
          </w:p>
        </w:tc>
      </w:tr>
    </w:tbl>
    <w:p w14:paraId="1766E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Защитная краска на олифе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7122AB" w14:paraId="0B28D9F5" w14:textId="77777777">
        <w:tc>
          <w:tcPr>
            <w:tcW w:w="2808" w:type="dxa"/>
          </w:tcPr>
          <w:p w14:paraId="60EDD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Крон N 4</w:t>
            </w:r>
          </w:p>
        </w:tc>
        <w:tc>
          <w:tcPr>
            <w:tcW w:w="7650" w:type="dxa"/>
          </w:tcPr>
          <w:p w14:paraId="1FE0B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 кг</w:t>
            </w:r>
          </w:p>
        </w:tc>
      </w:tr>
      <w:tr w:rsidR="007122AB" w:rsidRPr="007122AB" w14:paraId="0DC68D01" w14:textId="77777777">
        <w:tc>
          <w:tcPr>
            <w:tcW w:w="2808" w:type="dxa"/>
          </w:tcPr>
          <w:p w14:paraId="393E4D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Охра</w:t>
            </w:r>
          </w:p>
        </w:tc>
        <w:tc>
          <w:tcPr>
            <w:tcW w:w="7650" w:type="dxa"/>
          </w:tcPr>
          <w:p w14:paraId="262FAB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кг</w:t>
            </w:r>
          </w:p>
        </w:tc>
      </w:tr>
      <w:tr w:rsidR="007122AB" w:rsidRPr="007122AB" w14:paraId="55E7ED61" w14:textId="77777777">
        <w:tc>
          <w:tcPr>
            <w:tcW w:w="2808" w:type="dxa"/>
          </w:tcPr>
          <w:p w14:paraId="151C26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Пиролюзит</w:t>
            </w:r>
          </w:p>
        </w:tc>
        <w:tc>
          <w:tcPr>
            <w:tcW w:w="7650" w:type="dxa"/>
          </w:tcPr>
          <w:p w14:paraId="740DF1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12,7 кг</w:t>
            </w:r>
          </w:p>
        </w:tc>
      </w:tr>
      <w:tr w:rsidR="007122AB" w:rsidRPr="007122AB" w14:paraId="24A5BEDE" w14:textId="77777777">
        <w:tc>
          <w:tcPr>
            <w:tcW w:w="2808" w:type="dxa"/>
          </w:tcPr>
          <w:p w14:paraId="3D8A8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Мумия сухая</w:t>
            </w:r>
          </w:p>
        </w:tc>
        <w:tc>
          <w:tcPr>
            <w:tcW w:w="7650" w:type="dxa"/>
          </w:tcPr>
          <w:p w14:paraId="06988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кг</w:t>
            </w:r>
          </w:p>
        </w:tc>
      </w:tr>
      <w:tr w:rsidR="007122AB" w:rsidRPr="007122AB" w14:paraId="43FDDA5D" w14:textId="77777777">
        <w:tc>
          <w:tcPr>
            <w:tcW w:w="2808" w:type="dxa"/>
          </w:tcPr>
          <w:p w14:paraId="05980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Милори</w:t>
            </w:r>
            <w:proofErr w:type="spellEnd"/>
            <w:r w:rsidRPr="007122AB">
              <w:rPr>
                <w:rFonts w:ascii="Times New Roman" w:hAnsi="Times New Roman"/>
                <w:color w:val="000000" w:themeColor="text1"/>
                <w:sz w:val="16"/>
                <w:szCs w:val="16"/>
              </w:rPr>
              <w:t xml:space="preserve"> сухой</w:t>
            </w:r>
          </w:p>
        </w:tc>
        <w:tc>
          <w:tcPr>
            <w:tcW w:w="7650" w:type="dxa"/>
          </w:tcPr>
          <w:p w14:paraId="3497F0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0.85 кг</w:t>
            </w:r>
          </w:p>
        </w:tc>
      </w:tr>
      <w:tr w:rsidR="007122AB" w:rsidRPr="007122AB" w14:paraId="74911866" w14:textId="77777777">
        <w:tc>
          <w:tcPr>
            <w:tcW w:w="2808" w:type="dxa"/>
          </w:tcPr>
          <w:p w14:paraId="7CAEF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Олифа</w:t>
            </w:r>
          </w:p>
        </w:tc>
        <w:tc>
          <w:tcPr>
            <w:tcW w:w="7650" w:type="dxa"/>
          </w:tcPr>
          <w:p w14:paraId="6081F4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кг</w:t>
            </w:r>
          </w:p>
        </w:tc>
      </w:tr>
      <w:tr w:rsidR="007122AB" w:rsidRPr="007122AB" w14:paraId="0CAF53DD" w14:textId="77777777">
        <w:tc>
          <w:tcPr>
            <w:tcW w:w="2808" w:type="dxa"/>
          </w:tcPr>
          <w:p w14:paraId="7D61E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Лак масляный N 22</w:t>
            </w:r>
          </w:p>
        </w:tc>
        <w:tc>
          <w:tcPr>
            <w:tcW w:w="7650" w:type="dxa"/>
          </w:tcPr>
          <w:p w14:paraId="312251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кг</w:t>
            </w:r>
          </w:p>
        </w:tc>
      </w:tr>
      <w:tr w:rsidR="007122AB" w:rsidRPr="007122AB" w14:paraId="6F289998" w14:textId="77777777">
        <w:tc>
          <w:tcPr>
            <w:tcW w:w="2808" w:type="dxa"/>
          </w:tcPr>
          <w:p w14:paraId="3D310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7650" w:type="dxa"/>
          </w:tcPr>
          <w:p w14:paraId="1C8D2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164,5 кг</w:t>
            </w:r>
          </w:p>
        </w:tc>
      </w:tr>
    </w:tbl>
    <w:p w14:paraId="03993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Грунтовочная краска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7122AB" w14:paraId="713285BC" w14:textId="77777777">
        <w:tc>
          <w:tcPr>
            <w:tcW w:w="2808" w:type="dxa"/>
          </w:tcPr>
          <w:p w14:paraId="292B9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Белил цинковых</w:t>
            </w:r>
          </w:p>
        </w:tc>
        <w:tc>
          <w:tcPr>
            <w:tcW w:w="7650" w:type="dxa"/>
          </w:tcPr>
          <w:p w14:paraId="0971E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 кг</w:t>
            </w:r>
          </w:p>
        </w:tc>
      </w:tr>
      <w:tr w:rsidR="007122AB" w:rsidRPr="007122AB" w14:paraId="5E46D663" w14:textId="77777777">
        <w:tc>
          <w:tcPr>
            <w:tcW w:w="2808" w:type="dxa"/>
          </w:tcPr>
          <w:p w14:paraId="3A4179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Лак масляный N 22</w:t>
            </w:r>
          </w:p>
        </w:tc>
        <w:tc>
          <w:tcPr>
            <w:tcW w:w="7650" w:type="dxa"/>
          </w:tcPr>
          <w:p w14:paraId="7CDA50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r>
      <w:tr w:rsidR="007122AB" w:rsidRPr="007122AB" w14:paraId="7FBB986E" w14:textId="77777777">
        <w:tc>
          <w:tcPr>
            <w:tcW w:w="2808" w:type="dxa"/>
          </w:tcPr>
          <w:p w14:paraId="5E9B7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Олифа</w:t>
            </w:r>
          </w:p>
        </w:tc>
        <w:tc>
          <w:tcPr>
            <w:tcW w:w="7650" w:type="dxa"/>
          </w:tcPr>
          <w:p w14:paraId="0CC1BE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кг</w:t>
            </w:r>
          </w:p>
        </w:tc>
      </w:tr>
      <w:tr w:rsidR="007122AB" w:rsidRPr="007122AB" w14:paraId="4975D8DB" w14:textId="77777777">
        <w:tc>
          <w:tcPr>
            <w:tcW w:w="2808" w:type="dxa"/>
          </w:tcPr>
          <w:p w14:paraId="5AD3A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Скипидар</w:t>
            </w:r>
          </w:p>
        </w:tc>
        <w:tc>
          <w:tcPr>
            <w:tcW w:w="7650" w:type="dxa"/>
          </w:tcPr>
          <w:p w14:paraId="03ED80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кг</w:t>
            </w:r>
          </w:p>
        </w:tc>
      </w:tr>
      <w:tr w:rsidR="007122AB" w:rsidRPr="007122AB" w14:paraId="2F8A09FF" w14:textId="77777777">
        <w:tc>
          <w:tcPr>
            <w:tcW w:w="2808" w:type="dxa"/>
          </w:tcPr>
          <w:p w14:paraId="490D2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Сажа </w:t>
            </w:r>
            <w:proofErr w:type="spellStart"/>
            <w:r w:rsidRPr="007122AB">
              <w:rPr>
                <w:rFonts w:ascii="Times New Roman" w:hAnsi="Times New Roman"/>
                <w:color w:val="000000" w:themeColor="text1"/>
                <w:sz w:val="16"/>
                <w:szCs w:val="16"/>
              </w:rPr>
              <w:t>микронекс</w:t>
            </w:r>
            <w:proofErr w:type="spellEnd"/>
            <w:r w:rsidRPr="007122AB">
              <w:rPr>
                <w:rFonts w:ascii="Times New Roman" w:hAnsi="Times New Roman"/>
                <w:color w:val="000000" w:themeColor="text1"/>
                <w:sz w:val="16"/>
                <w:szCs w:val="16"/>
              </w:rPr>
              <w:t xml:space="preserve"> терт.</w:t>
            </w:r>
          </w:p>
        </w:tc>
        <w:tc>
          <w:tcPr>
            <w:tcW w:w="7650" w:type="dxa"/>
          </w:tcPr>
          <w:p w14:paraId="19B77E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0,25 кг</w:t>
            </w:r>
          </w:p>
        </w:tc>
      </w:tr>
      <w:tr w:rsidR="007122AB" w:rsidRPr="007122AB" w14:paraId="642ACAC6" w14:textId="77777777">
        <w:tc>
          <w:tcPr>
            <w:tcW w:w="2808" w:type="dxa"/>
          </w:tcPr>
          <w:p w14:paraId="5DAE5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Сажа сухая</w:t>
            </w:r>
          </w:p>
        </w:tc>
        <w:tc>
          <w:tcPr>
            <w:tcW w:w="7650" w:type="dxa"/>
          </w:tcPr>
          <w:p w14:paraId="04C71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0,026 кг</w:t>
            </w:r>
          </w:p>
        </w:tc>
      </w:tr>
      <w:tr w:rsidR="007122AB" w:rsidRPr="007122AB" w14:paraId="029D260F" w14:textId="77777777">
        <w:tc>
          <w:tcPr>
            <w:tcW w:w="2808" w:type="dxa"/>
          </w:tcPr>
          <w:p w14:paraId="58B1F3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7650" w:type="dxa"/>
          </w:tcPr>
          <w:p w14:paraId="3DE12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120,275 кг</w:t>
            </w:r>
          </w:p>
        </w:tc>
      </w:tr>
    </w:tbl>
    <w:p w14:paraId="61C9C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Лак N 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7122AB" w14:paraId="37464B7F" w14:textId="77777777">
        <w:tc>
          <w:tcPr>
            <w:tcW w:w="2808" w:type="dxa"/>
          </w:tcPr>
          <w:p w14:paraId="15796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Копал-каури</w:t>
            </w:r>
          </w:p>
        </w:tc>
        <w:tc>
          <w:tcPr>
            <w:tcW w:w="7650" w:type="dxa"/>
          </w:tcPr>
          <w:p w14:paraId="6D141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 кг</w:t>
            </w:r>
          </w:p>
        </w:tc>
      </w:tr>
      <w:tr w:rsidR="007122AB" w:rsidRPr="007122AB" w14:paraId="21128A37" w14:textId="77777777">
        <w:tc>
          <w:tcPr>
            <w:tcW w:w="2808" w:type="dxa"/>
          </w:tcPr>
          <w:p w14:paraId="1ECB0B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Гарпиус</w:t>
            </w:r>
          </w:p>
        </w:tc>
        <w:tc>
          <w:tcPr>
            <w:tcW w:w="7650" w:type="dxa"/>
          </w:tcPr>
          <w:p w14:paraId="6E8C8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кг</w:t>
            </w:r>
          </w:p>
        </w:tc>
      </w:tr>
      <w:tr w:rsidR="007122AB" w:rsidRPr="007122AB" w14:paraId="0C6144EA" w14:textId="77777777">
        <w:tc>
          <w:tcPr>
            <w:tcW w:w="2808" w:type="dxa"/>
          </w:tcPr>
          <w:p w14:paraId="5F4D3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густой</w:t>
            </w:r>
          </w:p>
        </w:tc>
        <w:tc>
          <w:tcPr>
            <w:tcW w:w="7650" w:type="dxa"/>
          </w:tcPr>
          <w:p w14:paraId="3042C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кг</w:t>
            </w:r>
          </w:p>
        </w:tc>
      </w:tr>
      <w:tr w:rsidR="007122AB" w:rsidRPr="007122AB" w14:paraId="2DDEC5FA" w14:textId="77777777">
        <w:tc>
          <w:tcPr>
            <w:tcW w:w="2808" w:type="dxa"/>
          </w:tcPr>
          <w:p w14:paraId="0A9D8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Линолеат жидкий</w:t>
            </w:r>
          </w:p>
        </w:tc>
        <w:tc>
          <w:tcPr>
            <w:tcW w:w="7650" w:type="dxa"/>
          </w:tcPr>
          <w:p w14:paraId="580409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кг</w:t>
            </w:r>
          </w:p>
        </w:tc>
      </w:tr>
      <w:tr w:rsidR="007122AB" w:rsidRPr="007122AB" w14:paraId="709D352D" w14:textId="77777777">
        <w:tc>
          <w:tcPr>
            <w:tcW w:w="2808" w:type="dxa"/>
          </w:tcPr>
          <w:p w14:paraId="565DC7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Скипидар</w:t>
            </w:r>
          </w:p>
        </w:tc>
        <w:tc>
          <w:tcPr>
            <w:tcW w:w="7650" w:type="dxa"/>
          </w:tcPr>
          <w:p w14:paraId="66CA0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 кг</w:t>
            </w:r>
          </w:p>
        </w:tc>
      </w:tr>
      <w:tr w:rsidR="007122AB" w:rsidRPr="007122AB" w14:paraId="447212A5" w14:textId="77777777">
        <w:tc>
          <w:tcPr>
            <w:tcW w:w="2808" w:type="dxa"/>
          </w:tcPr>
          <w:p w14:paraId="5A0DE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Бензин 1 сорта</w:t>
            </w:r>
          </w:p>
        </w:tc>
        <w:tc>
          <w:tcPr>
            <w:tcW w:w="7650" w:type="dxa"/>
          </w:tcPr>
          <w:p w14:paraId="624321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кг</w:t>
            </w:r>
          </w:p>
        </w:tc>
      </w:tr>
      <w:tr w:rsidR="007122AB" w:rsidRPr="007122AB" w14:paraId="23687D42" w14:textId="77777777">
        <w:tc>
          <w:tcPr>
            <w:tcW w:w="2808" w:type="dxa"/>
          </w:tcPr>
          <w:p w14:paraId="67422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7650" w:type="dxa"/>
          </w:tcPr>
          <w:p w14:paraId="70B679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190 кг</w:t>
            </w:r>
          </w:p>
        </w:tc>
      </w:tr>
    </w:tbl>
    <w:p w14:paraId="7A9A18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Олифа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7122AB" w14:paraId="07C11F4F" w14:textId="77777777">
        <w:tc>
          <w:tcPr>
            <w:tcW w:w="2808" w:type="dxa"/>
          </w:tcPr>
          <w:p w14:paraId="04B38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Масло льняное</w:t>
            </w:r>
          </w:p>
        </w:tc>
        <w:tc>
          <w:tcPr>
            <w:tcW w:w="7650" w:type="dxa"/>
          </w:tcPr>
          <w:p w14:paraId="76BE9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 кг</w:t>
            </w:r>
          </w:p>
        </w:tc>
      </w:tr>
      <w:tr w:rsidR="007122AB" w:rsidRPr="007122AB" w14:paraId="21910824" w14:textId="77777777">
        <w:tc>
          <w:tcPr>
            <w:tcW w:w="2808" w:type="dxa"/>
          </w:tcPr>
          <w:p w14:paraId="16DAC0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Глет</w:t>
            </w:r>
          </w:p>
        </w:tc>
        <w:tc>
          <w:tcPr>
            <w:tcW w:w="7650" w:type="dxa"/>
          </w:tcPr>
          <w:p w14:paraId="61269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кг</w:t>
            </w:r>
          </w:p>
        </w:tc>
      </w:tr>
      <w:tr w:rsidR="007122AB" w:rsidRPr="007122AB" w14:paraId="34AC1702" w14:textId="77777777">
        <w:tc>
          <w:tcPr>
            <w:tcW w:w="2808" w:type="dxa"/>
          </w:tcPr>
          <w:p w14:paraId="53F20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Манганоксид</w:t>
            </w:r>
            <w:proofErr w:type="spellEnd"/>
          </w:p>
        </w:tc>
        <w:tc>
          <w:tcPr>
            <w:tcW w:w="7650" w:type="dxa"/>
          </w:tcPr>
          <w:p w14:paraId="0698F2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кг</w:t>
            </w:r>
          </w:p>
        </w:tc>
      </w:tr>
      <w:tr w:rsidR="007122AB" w:rsidRPr="007122AB" w14:paraId="16E58EE2" w14:textId="77777777">
        <w:tc>
          <w:tcPr>
            <w:tcW w:w="2808" w:type="dxa"/>
          </w:tcPr>
          <w:p w14:paraId="48FB88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Известь гашеная</w:t>
            </w:r>
          </w:p>
        </w:tc>
        <w:tc>
          <w:tcPr>
            <w:tcW w:w="7650" w:type="dxa"/>
          </w:tcPr>
          <w:p w14:paraId="74A91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кг</w:t>
            </w:r>
          </w:p>
        </w:tc>
      </w:tr>
      <w:tr w:rsidR="007122AB" w:rsidRPr="007122AB" w14:paraId="652153DC" w14:textId="77777777">
        <w:tc>
          <w:tcPr>
            <w:tcW w:w="2808" w:type="dxa"/>
          </w:tcPr>
          <w:p w14:paraId="7FA73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7650" w:type="dxa"/>
          </w:tcPr>
          <w:p w14:paraId="4DF90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1249,6 кг</w:t>
            </w:r>
          </w:p>
        </w:tc>
      </w:tr>
    </w:tbl>
    <w:p w14:paraId="4A9B1D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3-й способ</w:t>
      </w:r>
    </w:p>
    <w:p w14:paraId="3BBE0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олифа льняная N 84 - 33%</w:t>
      </w:r>
    </w:p>
    <w:p w14:paraId="039A4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цинковая белила "000" на голубую краску - 25%</w:t>
      </w:r>
    </w:p>
    <w:p w14:paraId="50720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цинковая белила "000" на защитную краску - 12%</w:t>
      </w:r>
    </w:p>
    <w:p w14:paraId="40C98F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крон английский - 200 кг на 1 кг</w:t>
      </w:r>
    </w:p>
    <w:p w14:paraId="0F96BC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милори</w:t>
      </w:r>
      <w:proofErr w:type="spellEnd"/>
      <w:r w:rsidRPr="007122AB">
        <w:rPr>
          <w:rFonts w:ascii="Times New Roman" w:hAnsi="Times New Roman"/>
          <w:color w:val="000000" w:themeColor="text1"/>
          <w:sz w:val="16"/>
          <w:szCs w:val="16"/>
        </w:rPr>
        <w:t xml:space="preserve"> - 50 кг на 1 кг</w:t>
      </w:r>
    </w:p>
    <w:p w14:paraId="24DC4E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сажи или слоновой кости - 50 кг</w:t>
      </w:r>
    </w:p>
    <w:p w14:paraId="32BCB7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киновари - 50 кг</w:t>
      </w:r>
    </w:p>
    <w:p w14:paraId="0CE9E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сиккатива N 99 - 25 кг</w:t>
      </w:r>
    </w:p>
    <w:p w14:paraId="04408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масляный лак N 15 или N 25 - 38,5%.</w:t>
      </w:r>
    </w:p>
    <w:p w14:paraId="3BCAB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Подлинность указанных рецептур подтверждает ст. технический приемщик УСС ВВС Каченовский (3288).</w:t>
      </w:r>
    </w:p>
    <w:p w14:paraId="6BE082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E9C3A7" w14:textId="77777777" w:rsidR="00FB17DA" w:rsidRPr="007122AB" w:rsidRDefault="00874B1E"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903A7A0" w14:textId="77777777" w:rsidR="00FB17DA" w:rsidRPr="007122AB" w:rsidRDefault="00FB17DA"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C426350"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марта 1931 г. — Из объяснительной записки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к годовому отчету о деятельности заводов за 1929/30 г.</w:t>
      </w:r>
    </w:p>
    <w:p w14:paraId="49E8EB20"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0790F63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Производство1*</w:t>
      </w:r>
    </w:p>
    <w:p w14:paraId="5F42F37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lastRenderedPageBreak/>
        <w:t>Орудийно-оружейно-пулеметное объединение организовалось в апреле 1930 г. в результате слияния двух бывших трестов — Орудийно-арсенального и Оружейно-пулеметного — с изъятием от нового объединения части заводов: завода им. Воскова (</w:t>
      </w:r>
      <w:proofErr w:type="spellStart"/>
      <w:r w:rsidRPr="007122AB">
        <w:rPr>
          <w:color w:val="000000" w:themeColor="text1"/>
          <w:sz w:val="16"/>
          <w:szCs w:val="16"/>
        </w:rPr>
        <w:t>Сестр</w:t>
      </w:r>
      <w:proofErr w:type="spellEnd"/>
      <w:r w:rsidRPr="007122AB">
        <w:rPr>
          <w:color w:val="000000" w:themeColor="text1"/>
          <w:sz w:val="16"/>
          <w:szCs w:val="16"/>
        </w:rPr>
        <w:t>[</w:t>
      </w:r>
      <w:proofErr w:type="spellStart"/>
      <w:r w:rsidRPr="007122AB">
        <w:rPr>
          <w:color w:val="000000" w:themeColor="text1"/>
          <w:sz w:val="16"/>
          <w:szCs w:val="16"/>
        </w:rPr>
        <w:t>орецкий</w:t>
      </w:r>
      <w:proofErr w:type="spellEnd"/>
      <w:r w:rsidRPr="007122AB">
        <w:rPr>
          <w:color w:val="000000" w:themeColor="text1"/>
          <w:sz w:val="16"/>
          <w:szCs w:val="16"/>
        </w:rPr>
        <w:t>] завод), «Красногвардеец» (Ленинград) и всей группы оптических заводов, и в объединении осталось 11 заводов.</w:t>
      </w:r>
    </w:p>
    <w:p w14:paraId="26835215"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Работа как объединения, так и заводов в течение 1929/30 г. протекала в условиях, которые не могли не отразиться на нормальном ходе выполнения намеченного объема работ и отсюда, как следствие, успешном выполнении программы производства. Останавливаясь ниже на основных причинах прорывов в 1929/30 г., объединение отмечает следующее: 1. Номенклатурный размер программы производства изменялся с постепенным ростом в течение всей первой половины операционного года. Это особенно касается программы производства по военной продукции. 2. Окончательный размер производства заводов на 1929/30 г. по утвержденному </w:t>
      </w:r>
      <w:proofErr w:type="spellStart"/>
      <w:r w:rsidRPr="007122AB">
        <w:rPr>
          <w:color w:val="000000" w:themeColor="text1"/>
          <w:sz w:val="16"/>
          <w:szCs w:val="16"/>
        </w:rPr>
        <w:t>промфинплану</w:t>
      </w:r>
      <w:proofErr w:type="spellEnd"/>
      <w:r w:rsidRPr="007122AB">
        <w:rPr>
          <w:color w:val="000000" w:themeColor="text1"/>
          <w:sz w:val="16"/>
          <w:szCs w:val="16"/>
        </w:rPr>
        <w:t xml:space="preserve"> во втором полугодии показывает рост программы в 66% от 1928/29 г. против предварительной наметки в 24,1% по контрольным цифрам на тот же год. 3. Резкое развертывание отдельных производств (пул[</w:t>
      </w:r>
      <w:proofErr w:type="spellStart"/>
      <w:r w:rsidRPr="007122AB">
        <w:rPr>
          <w:color w:val="000000" w:themeColor="text1"/>
          <w:sz w:val="16"/>
          <w:szCs w:val="16"/>
        </w:rPr>
        <w:t>еметы</w:t>
      </w:r>
      <w:proofErr w:type="spellEnd"/>
      <w:r w:rsidRPr="007122AB">
        <w:rPr>
          <w:color w:val="000000" w:themeColor="text1"/>
          <w:sz w:val="16"/>
          <w:szCs w:val="16"/>
        </w:rPr>
        <w:t>] Дегтярева и др.) с одновременным свертыванием других производств (ватермашины). 4. Изменение и неопределенность технических условий заказчика по ряду производств (</w:t>
      </w:r>
      <w:proofErr w:type="spellStart"/>
      <w:r w:rsidRPr="007122AB">
        <w:rPr>
          <w:color w:val="000000" w:themeColor="text1"/>
          <w:sz w:val="16"/>
          <w:szCs w:val="16"/>
        </w:rPr>
        <w:t>пулем</w:t>
      </w:r>
      <w:proofErr w:type="spellEnd"/>
      <w:r w:rsidRPr="007122AB">
        <w:rPr>
          <w:color w:val="000000" w:themeColor="text1"/>
          <w:sz w:val="16"/>
          <w:szCs w:val="16"/>
        </w:rPr>
        <w:t>[</w:t>
      </w:r>
      <w:proofErr w:type="spellStart"/>
      <w:r w:rsidRPr="007122AB">
        <w:rPr>
          <w:color w:val="000000" w:themeColor="text1"/>
          <w:sz w:val="16"/>
          <w:szCs w:val="16"/>
        </w:rPr>
        <w:t>етам</w:t>
      </w:r>
      <w:proofErr w:type="spellEnd"/>
      <w:r w:rsidRPr="007122AB">
        <w:rPr>
          <w:color w:val="000000" w:themeColor="text1"/>
          <w:sz w:val="16"/>
          <w:szCs w:val="16"/>
        </w:rPr>
        <w:t xml:space="preserve">] Дегтярева, </w:t>
      </w:r>
      <w:proofErr w:type="spellStart"/>
      <w:r w:rsidRPr="007122AB">
        <w:rPr>
          <w:color w:val="000000" w:themeColor="text1"/>
          <w:sz w:val="16"/>
          <w:szCs w:val="16"/>
        </w:rPr>
        <w:t>авиац</w:t>
      </w:r>
      <w:proofErr w:type="spellEnd"/>
      <w:r w:rsidRPr="007122AB">
        <w:rPr>
          <w:color w:val="000000" w:themeColor="text1"/>
          <w:sz w:val="16"/>
          <w:szCs w:val="16"/>
        </w:rPr>
        <w:t>[ионным] бомбам) задерживали нормальный ход производства заводов. 5. Ликвидация последствий вредительства (в частности, по производству пулемета Максима, замена мерительного инструмента и т. п.). 6. Затруднения с продовольствием на заводе № 2, ММЗ и др. 7. Недостаток рабочих отдельных квалификаций (особенно токарей и лекальщиков). 8. Недостаточно интенсивная деятельность самих заводов и бывших трестов и объединения. 9. Аппараты объединения и заводов недостаточно использовали ресурсы заводов из-за незнания в точности мощностей своего оборудования и реальных возможностей, рассчитывали, что новый рост загрузки на 66% будет выполняться при наличии условий работы прежних лет.</w:t>
      </w:r>
    </w:p>
    <w:p w14:paraId="16F0C367"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Надеясь на самотек, заводы слишком поздно приступили к подготовке новых кадров рабочих, недостаток которых был очевиден уже с начала операционного года. Заводские аппараты настолько беспечно отнеслись к этому вопросу, что начали набор рабсилы только с конца II квартала, когда по плану это должно быть начато в I квартале и начале II квартала. Некоторые заводы даже в I квартале сокращали рабсилу, зная, что в течение года они будут принуждены увеличить кадры почти вдвое. Поздний, а отсюда и неравномерный набор рабсилы и резкий наплыв ее во втором полугодии, не способствовали своевременной подготовке рабсилы, что явилось причиной увеличения текучести, падения труддисциплины и падения производительности.</w:t>
      </w:r>
    </w:p>
    <w:p w14:paraId="2D84FCBE"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Заводы, надеясь на самотек, сохранили те же методы экономического и технического планирования, какие были в наличии прошлых лет: а) экономическое планирование не было увязано с техническим, и наоборот; б) как экономическое, так и техническое планирование имело больше директивный характер и не было обеспечено оперативным проведением его в цехах; в) отсутствовала увязка в планировании работы механических цехов с заготовительными и других цехов между собой.</w:t>
      </w:r>
    </w:p>
    <w:p w14:paraId="61E0D2F2"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Эти недостатки технического планирования усугублялись отсутствием на ряде заводов точно зафиксированного технологического процесса производства изготовляемых изделий, чему способствовало изменение номенклатур ранее вырабатываемых изделий, установки ряда новых производств, модернизации военных изделий и изменение технических условий.</w:t>
      </w:r>
    </w:p>
    <w:p w14:paraId="09098A8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Заводы не довели </w:t>
      </w:r>
      <w:proofErr w:type="spellStart"/>
      <w:r w:rsidRPr="007122AB">
        <w:rPr>
          <w:color w:val="000000" w:themeColor="text1"/>
          <w:sz w:val="16"/>
          <w:szCs w:val="16"/>
        </w:rPr>
        <w:t>промплан</w:t>
      </w:r>
      <w:proofErr w:type="spellEnd"/>
      <w:r w:rsidRPr="007122AB">
        <w:rPr>
          <w:color w:val="000000" w:themeColor="text1"/>
          <w:sz w:val="16"/>
          <w:szCs w:val="16"/>
        </w:rPr>
        <w:t xml:space="preserve"> во всех его показателях до цеха, чем не обеспечили себе инициативы всех работников завода и рабочих масс по выполнению показателей </w:t>
      </w:r>
      <w:proofErr w:type="spellStart"/>
      <w:r w:rsidRPr="007122AB">
        <w:rPr>
          <w:color w:val="000000" w:themeColor="text1"/>
          <w:sz w:val="16"/>
          <w:szCs w:val="16"/>
        </w:rPr>
        <w:t>промплана</w:t>
      </w:r>
      <w:proofErr w:type="spellEnd"/>
      <w:r w:rsidRPr="007122AB">
        <w:rPr>
          <w:color w:val="000000" w:themeColor="text1"/>
          <w:sz w:val="16"/>
          <w:szCs w:val="16"/>
        </w:rPr>
        <w:t>.</w:t>
      </w:r>
    </w:p>
    <w:p w14:paraId="4E13ECC7"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Бухгалтерия на ряде заводов (особенно быв. Орудийного треста) сохранила полностью свою инертность, не учла потребностей жизни, существующих директив, и, несмотря на ряд мероприятий со стороны объединения, часть бухгалтерии заводов не изменила свои методы работы в течение года и слабо подготовилась к этому и на 1931 г. Все это вместе взятое в свою очередь повлияло на задержку с переводом цехов на хозрасчет в 1929/30 г. и скажется на качестве этого перевода в 1931 г.</w:t>
      </w:r>
    </w:p>
    <w:p w14:paraId="6D6F6DA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Следствием всех этих недостатков явилось резкое недовыполнение плановых заданий по заводам, а отсюда и по объединению. Отдельные заводы не выполнили своих программ или недостаточно их развернули из-за несвоевременного получения от других н[</w:t>
      </w:r>
      <w:proofErr w:type="spellStart"/>
      <w:r w:rsidRPr="007122AB">
        <w:rPr>
          <w:color w:val="000000" w:themeColor="text1"/>
          <w:sz w:val="16"/>
          <w:szCs w:val="16"/>
        </w:rPr>
        <w:t>аших</w:t>
      </w:r>
      <w:proofErr w:type="spellEnd"/>
      <w:r w:rsidRPr="007122AB">
        <w:rPr>
          <w:color w:val="000000" w:themeColor="text1"/>
          <w:sz w:val="16"/>
          <w:szCs w:val="16"/>
        </w:rPr>
        <w:t xml:space="preserve">] заводов полуфабрикатов, поковок, сталей и т. п. Об этом свидетельствует выполнение заводами всей суммы </w:t>
      </w:r>
      <w:proofErr w:type="spellStart"/>
      <w:r w:rsidRPr="007122AB">
        <w:rPr>
          <w:color w:val="000000" w:themeColor="text1"/>
          <w:sz w:val="16"/>
          <w:szCs w:val="16"/>
        </w:rPr>
        <w:t>междузаводских</w:t>
      </w:r>
      <w:proofErr w:type="spellEnd"/>
      <w:r w:rsidRPr="007122AB">
        <w:rPr>
          <w:color w:val="000000" w:themeColor="text1"/>
          <w:sz w:val="16"/>
          <w:szCs w:val="16"/>
        </w:rPr>
        <w:t xml:space="preserve"> заказов всего лишь в размере 74,4% от годового плана, и притом большая часть этого выполнения с начала заводами отодвинута была систематическими недовыполнениями на конец года. Итоговое сопоставление выполнения отдельных видов валовой продукции с намеченным планом в тыс. руб. 1926/27 г. показывает:</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7"/>
        <w:gridCol w:w="1084"/>
        <w:gridCol w:w="906"/>
        <w:gridCol w:w="1084"/>
        <w:gridCol w:w="949"/>
        <w:gridCol w:w="1812"/>
      </w:tblGrid>
      <w:tr w:rsidR="007122AB" w:rsidRPr="007122AB" w14:paraId="54A3AB8F" w14:textId="77777777" w:rsidTr="00083CD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CF687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w:t>
            </w:r>
            <w:proofErr w:type="spellStart"/>
            <w:r w:rsidRPr="007122AB">
              <w:rPr>
                <w:rFonts w:ascii="Times New Roman" w:hAnsi="Times New Roman"/>
                <w:color w:val="000000" w:themeColor="text1"/>
                <w:sz w:val="16"/>
                <w:szCs w:val="16"/>
              </w:rPr>
              <w:t>прод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укции</w:t>
            </w:r>
            <w:proofErr w:type="spellEnd"/>
            <w:r w:rsidRPr="007122AB">
              <w:rPr>
                <w:rFonts w:ascii="Times New Roman" w:hAnsi="Times New Roman"/>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E7057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1928/29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CA034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1929/30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EC41C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Процент </w:t>
            </w:r>
            <w:proofErr w:type="spellStart"/>
            <w:r w:rsidRPr="007122AB">
              <w:rPr>
                <w:rFonts w:ascii="Times New Roman" w:hAnsi="Times New Roman"/>
                <w:color w:val="000000" w:themeColor="text1"/>
                <w:sz w:val="16"/>
                <w:szCs w:val="16"/>
              </w:rPr>
              <w:t>выполн</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ения</w:t>
            </w:r>
            <w:proofErr w:type="spellEnd"/>
            <w:r w:rsidRPr="007122AB">
              <w:rPr>
                <w:rFonts w:ascii="Times New Roman" w:hAnsi="Times New Roman"/>
                <w:color w:val="000000" w:themeColor="text1"/>
                <w:sz w:val="16"/>
                <w:szCs w:val="16"/>
              </w:rPr>
              <w:t>]</w:t>
            </w:r>
          </w:p>
        </w:tc>
      </w:tr>
      <w:tr w:rsidR="007122AB" w:rsidRPr="007122AB" w14:paraId="2EC571B7" w14:textId="77777777" w:rsidTr="00083CD8">
        <w:tc>
          <w:tcPr>
            <w:tcW w:w="0" w:type="auto"/>
            <w:vMerge/>
            <w:tcBorders>
              <w:top w:val="outset" w:sz="6" w:space="0" w:color="auto"/>
              <w:left w:val="outset" w:sz="6" w:space="0" w:color="auto"/>
              <w:bottom w:val="outset" w:sz="6" w:space="0" w:color="auto"/>
              <w:right w:val="outset" w:sz="6" w:space="0" w:color="auto"/>
            </w:tcBorders>
            <w:vAlign w:val="center"/>
            <w:hideMark/>
          </w:tcPr>
          <w:p w14:paraId="25F95EFF" w14:textId="77777777" w:rsidR="00FB17DA" w:rsidRPr="007122AB" w:rsidRDefault="00FB17DA" w:rsidP="007122AB">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BE3281" w14:textId="77777777" w:rsidR="00FB17DA" w:rsidRPr="007122AB" w:rsidRDefault="00FB17DA" w:rsidP="007122AB">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A45ED9"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7787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013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w:t>
            </w:r>
          </w:p>
          <w:p w14:paraId="6A7D47BE"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220E"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плана 1929/30 г.</w:t>
            </w:r>
          </w:p>
        </w:tc>
      </w:tr>
      <w:tr w:rsidR="007122AB" w:rsidRPr="007122AB" w14:paraId="756D491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7A8524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Военная </w:t>
            </w:r>
            <w:proofErr w:type="spellStart"/>
            <w:r w:rsidRPr="007122AB">
              <w:rPr>
                <w:rFonts w:ascii="Times New Roman" w:hAnsi="Times New Roman"/>
                <w:color w:val="000000" w:themeColor="text1"/>
                <w:sz w:val="16"/>
                <w:szCs w:val="16"/>
              </w:rPr>
              <w:t>прод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укция</w:t>
            </w:r>
            <w:proofErr w:type="spellEnd"/>
            <w:r w:rsidRPr="007122AB">
              <w:rPr>
                <w:rFonts w:ascii="Times New Roman" w:hAnsi="Times New Roman"/>
                <w:color w:val="000000" w:themeColor="text1"/>
                <w:sz w:val="16"/>
                <w:szCs w:val="16"/>
              </w:rPr>
              <w:t>] со спецзаказами]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9044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76 561,4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5B7C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136 729,9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895D"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93 124,3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8B7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A73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68,1</w:t>
            </w:r>
          </w:p>
        </w:tc>
      </w:tr>
      <w:tr w:rsidR="007122AB" w:rsidRPr="007122AB" w14:paraId="4ED1474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C99DC4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4A9C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51 309,3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CEE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91 888,7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095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83 798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2733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B2E0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91,2</w:t>
            </w:r>
          </w:p>
        </w:tc>
      </w:tr>
      <w:tr w:rsidR="007122AB" w:rsidRPr="007122AB" w14:paraId="48E9A6F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DA7C04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Итого </w:t>
            </w:r>
            <w:proofErr w:type="spellStart"/>
            <w:r w:rsidRPr="007122AB">
              <w:rPr>
                <w:rFonts w:ascii="Times New Roman" w:hAnsi="Times New Roman"/>
                <w:color w:val="000000" w:themeColor="text1"/>
                <w:sz w:val="16"/>
                <w:szCs w:val="16"/>
              </w:rPr>
              <w:t>внешн</w:t>
            </w:r>
            <w:proofErr w:type="spellEnd"/>
            <w:r w:rsidRPr="007122AB">
              <w:rPr>
                <w:rFonts w:ascii="Times New Roman" w:hAnsi="Times New Roman"/>
                <w:color w:val="000000" w:themeColor="text1"/>
                <w:sz w:val="16"/>
                <w:szCs w:val="16"/>
              </w:rPr>
              <w:t xml:space="preserve">[ей] </w:t>
            </w:r>
            <w:proofErr w:type="spellStart"/>
            <w:r w:rsidRPr="007122AB">
              <w:rPr>
                <w:rFonts w:ascii="Times New Roman" w:hAnsi="Times New Roman"/>
                <w:color w:val="000000" w:themeColor="text1"/>
                <w:sz w:val="16"/>
                <w:szCs w:val="16"/>
              </w:rPr>
              <w:t>тов</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арной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прод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укции</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7ABE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127 870,7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A5D0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228 618,6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05B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176 922,3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5A56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814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77,4</w:t>
            </w:r>
          </w:p>
        </w:tc>
      </w:tr>
      <w:tr w:rsidR="007122AB" w:rsidRPr="007122AB" w14:paraId="53E46D7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6B6C0A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 и уст[</w:t>
            </w:r>
            <w:proofErr w:type="spellStart"/>
            <w:r w:rsidRPr="007122AB">
              <w:rPr>
                <w:rFonts w:ascii="Times New Roman" w:hAnsi="Times New Roman"/>
                <w:color w:val="000000" w:themeColor="text1"/>
                <w:sz w:val="16"/>
                <w:szCs w:val="16"/>
              </w:rPr>
              <w:t>ановочные</w:t>
            </w:r>
            <w:proofErr w:type="spellEnd"/>
            <w:r w:rsidRPr="007122AB">
              <w:rPr>
                <w:rFonts w:ascii="Times New Roman" w:hAnsi="Times New Roman"/>
                <w:color w:val="000000" w:themeColor="text1"/>
                <w:sz w:val="16"/>
                <w:szCs w:val="16"/>
              </w:rPr>
              <w:t>]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6A4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E4A8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E144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DB1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0637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110,3</w:t>
            </w:r>
          </w:p>
        </w:tc>
      </w:tr>
      <w:tr w:rsidR="007122AB" w:rsidRPr="007122AB" w14:paraId="63F80CA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D4993D9"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Заготовки для </w:t>
            </w:r>
            <w:proofErr w:type="spellStart"/>
            <w:r w:rsidRPr="007122AB">
              <w:rPr>
                <w:rFonts w:ascii="Times New Roman" w:hAnsi="Times New Roman"/>
                <w:color w:val="000000" w:themeColor="text1"/>
                <w:sz w:val="16"/>
                <w:szCs w:val="16"/>
              </w:rPr>
              <w:t>капработ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AB9EF8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13 486,9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8010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14 365,4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BB58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20 472,7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6D1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5CBC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142,5</w:t>
            </w:r>
          </w:p>
        </w:tc>
      </w:tr>
      <w:tr w:rsidR="007122AB" w:rsidRPr="007122AB" w14:paraId="124FCB69"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E0B3233" w14:textId="77777777" w:rsidR="00FB17DA" w:rsidRPr="007122AB" w:rsidRDefault="00FB17D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Междузаводские</w:t>
            </w:r>
            <w:proofErr w:type="spellEnd"/>
            <w:r w:rsidRPr="007122AB">
              <w:rPr>
                <w:rFonts w:ascii="Times New Roman" w:hAnsi="Times New Roman"/>
                <w:color w:val="000000" w:themeColor="text1"/>
                <w:sz w:val="16"/>
                <w:szCs w:val="16"/>
              </w:rPr>
              <w:t xml:space="preserve"> заказы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190D7"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11 700,8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586E"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430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18 058,2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E95C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46B9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74,4</w:t>
            </w:r>
          </w:p>
        </w:tc>
      </w:tr>
      <w:tr w:rsidR="007122AB" w:rsidRPr="007122AB" w14:paraId="33F099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A3B28EE"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Увеличение </w:t>
            </w:r>
            <w:proofErr w:type="spellStart"/>
            <w:r w:rsidRPr="007122AB">
              <w:rPr>
                <w:rFonts w:ascii="Times New Roman" w:hAnsi="Times New Roman"/>
                <w:color w:val="000000" w:themeColor="text1"/>
                <w:sz w:val="16"/>
                <w:szCs w:val="16"/>
              </w:rPr>
              <w:t>заг</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отовок</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незаверш</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енного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оизводст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ва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A9DE54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18 137,9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11B0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17 994,1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68D4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34 003,1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677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9056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189,1</w:t>
            </w:r>
          </w:p>
        </w:tc>
      </w:tr>
      <w:tr w:rsidR="007122AB" w:rsidRPr="007122AB" w14:paraId="3DFD468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050050E"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Итого по валовой </w:t>
            </w:r>
            <w:proofErr w:type="spellStart"/>
            <w:r w:rsidRPr="007122AB">
              <w:rPr>
                <w:rFonts w:ascii="Times New Roman" w:hAnsi="Times New Roman"/>
                <w:color w:val="000000" w:themeColor="text1"/>
                <w:sz w:val="16"/>
                <w:szCs w:val="16"/>
              </w:rPr>
              <w:t>прод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укции</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EBFE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173 500,5²*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3F3C0"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288 826,9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04D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253 394,3³*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64C47"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9304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87,7</w:t>
            </w:r>
          </w:p>
        </w:tc>
      </w:tr>
    </w:tbl>
    <w:p w14:paraId="388811EC"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Основное невыполнение по военной продукции падает:</w:t>
      </w:r>
    </w:p>
    <w:p w14:paraId="572452E4"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1. По пулеметам Максима на </w:t>
      </w:r>
      <w:proofErr w:type="spellStart"/>
      <w:r w:rsidRPr="007122AB">
        <w:rPr>
          <w:color w:val="000000" w:themeColor="text1"/>
          <w:sz w:val="16"/>
          <w:szCs w:val="16"/>
        </w:rPr>
        <w:t>ТОЗе</w:t>
      </w:r>
      <w:proofErr w:type="spellEnd"/>
      <w:r w:rsidRPr="007122AB">
        <w:rPr>
          <w:color w:val="000000" w:themeColor="text1"/>
          <w:sz w:val="16"/>
          <w:szCs w:val="16"/>
        </w:rPr>
        <w:t xml:space="preserve"> имеется недовыполнение по количеству в размере 2205 шт., или на 38,9%. По этому же </w:t>
      </w:r>
      <w:proofErr w:type="spellStart"/>
      <w:r w:rsidRPr="007122AB">
        <w:rPr>
          <w:color w:val="000000" w:themeColor="text1"/>
          <w:sz w:val="16"/>
          <w:szCs w:val="16"/>
        </w:rPr>
        <w:t>пр</w:t>
      </w:r>
      <w:proofErr w:type="spellEnd"/>
      <w:r w:rsidRPr="007122AB">
        <w:rPr>
          <w:color w:val="000000" w:themeColor="text1"/>
          <w:sz w:val="16"/>
          <w:szCs w:val="16"/>
        </w:rPr>
        <w:t>[</w:t>
      </w:r>
      <w:proofErr w:type="spellStart"/>
      <w:r w:rsidRPr="007122AB">
        <w:rPr>
          <w:color w:val="000000" w:themeColor="text1"/>
          <w:sz w:val="16"/>
          <w:szCs w:val="16"/>
        </w:rPr>
        <w:t>оизводст</w:t>
      </w:r>
      <w:proofErr w:type="spellEnd"/>
      <w:r w:rsidRPr="007122AB">
        <w:rPr>
          <w:color w:val="000000" w:themeColor="text1"/>
          <w:sz w:val="16"/>
          <w:szCs w:val="16"/>
        </w:rPr>
        <w:t>]</w:t>
      </w:r>
      <w:proofErr w:type="spellStart"/>
      <w:r w:rsidRPr="007122AB">
        <w:rPr>
          <w:color w:val="000000" w:themeColor="text1"/>
          <w:sz w:val="16"/>
          <w:szCs w:val="16"/>
        </w:rPr>
        <w:t>ву</w:t>
      </w:r>
      <w:proofErr w:type="spellEnd"/>
      <w:r w:rsidRPr="007122AB">
        <w:rPr>
          <w:color w:val="000000" w:themeColor="text1"/>
          <w:sz w:val="16"/>
          <w:szCs w:val="16"/>
        </w:rPr>
        <w:t xml:space="preserve"> завод вышел почти с полным невыполнением заказа на пулеметные замки (96,2% недовыполнения), на что в сильной степени повлияло резкое изменение технических условий производства по изготовлению замка — завод в течение года перешел на изготовление почти всего замка из других сталей, что вызвало за собой полное изменение технологического процесса, изменение всего рабочего инструмента и лекал. Фактически в 1929/30 г. завод изыскивал пути изменения технологического процесса, пулеметное производство почти на 2 месяца было остановлено. Работа возникла в связи с ликвидацией последствий вредительства. Эта же работа еще более усугубила «узкое» место </w:t>
      </w:r>
      <w:proofErr w:type="spellStart"/>
      <w:r w:rsidRPr="007122AB">
        <w:rPr>
          <w:color w:val="000000" w:themeColor="text1"/>
          <w:sz w:val="16"/>
          <w:szCs w:val="16"/>
        </w:rPr>
        <w:t>ТОЗа</w:t>
      </w:r>
      <w:proofErr w:type="spellEnd"/>
      <w:r w:rsidRPr="007122AB">
        <w:rPr>
          <w:color w:val="000000" w:themeColor="text1"/>
          <w:sz w:val="16"/>
          <w:szCs w:val="16"/>
        </w:rPr>
        <w:t xml:space="preserve"> — положение </w:t>
      </w:r>
      <w:r w:rsidRPr="007122AB">
        <w:rPr>
          <w:rStyle w:val="af0"/>
          <w:i w:val="0"/>
          <w:color w:val="000000" w:themeColor="text1"/>
          <w:sz w:val="16"/>
          <w:szCs w:val="16"/>
        </w:rPr>
        <w:t xml:space="preserve">с </w:t>
      </w:r>
      <w:r w:rsidRPr="007122AB">
        <w:rPr>
          <w:color w:val="000000" w:themeColor="text1"/>
          <w:sz w:val="16"/>
          <w:szCs w:val="16"/>
        </w:rPr>
        <w:t>лекальным делом.</w:t>
      </w:r>
    </w:p>
    <w:p w14:paraId="278CCB9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2. Недовыполнение программы по этому же заводу по </w:t>
      </w:r>
      <w:proofErr w:type="spellStart"/>
      <w:r w:rsidRPr="007122AB">
        <w:rPr>
          <w:color w:val="000000" w:themeColor="text1"/>
          <w:sz w:val="16"/>
          <w:szCs w:val="16"/>
        </w:rPr>
        <w:t>пулем</w:t>
      </w:r>
      <w:proofErr w:type="spellEnd"/>
      <w:r w:rsidRPr="007122AB">
        <w:rPr>
          <w:color w:val="000000" w:themeColor="text1"/>
          <w:sz w:val="16"/>
          <w:szCs w:val="16"/>
        </w:rPr>
        <w:t>[</w:t>
      </w:r>
      <w:proofErr w:type="spellStart"/>
      <w:r w:rsidRPr="007122AB">
        <w:rPr>
          <w:color w:val="000000" w:themeColor="text1"/>
          <w:sz w:val="16"/>
          <w:szCs w:val="16"/>
        </w:rPr>
        <w:t>етному</w:t>
      </w:r>
      <w:proofErr w:type="spellEnd"/>
      <w:r w:rsidRPr="007122AB">
        <w:rPr>
          <w:color w:val="000000" w:themeColor="text1"/>
          <w:sz w:val="16"/>
          <w:szCs w:val="16"/>
        </w:rPr>
        <w:t>] станку Соколова на 41,29[%] (2427 шт.), по револьверу на 20,4% (10 360 шт.) объясняется исключительно внутренними неувязками в работе самого завода.</w:t>
      </w:r>
    </w:p>
    <w:p w14:paraId="5F6B6D18"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3. По пехотным пулеметам Дегтярева завод № 2 вышел с невыполнением в размере 52,2% (6211 шт.) главным образом по следующим причинам: а) резкое увеличение по плану роста программы при наличии неустановившегося производства; б) необходимость достижения взаимозаменяемости составных частей пулемета (достигнуто); в) частичное изменение технических условий со стороны заказчика.</w:t>
      </w:r>
    </w:p>
    <w:p w14:paraId="37451A9F"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4. Почти полное недовыполнение по пулеметам ДА (95,6%) — 2131 шт. и ДТ — 1028 шт. (78,3%) в основном объясняется отсутствием окончательных образцов от заказчика.</w:t>
      </w:r>
    </w:p>
    <w:p w14:paraId="711B04A0"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5. Недовыполнение 120 шт. 5</w:t>
      </w:r>
      <w:r w:rsidRPr="007122AB">
        <w:rPr>
          <w:color w:val="000000" w:themeColor="text1"/>
          <w:sz w:val="16"/>
          <w:szCs w:val="16"/>
        </w:rPr>
        <w:noBreakHyphen/>
        <w:t>тонных тракторов, или 74,5%, то же — Т</w:t>
      </w:r>
      <w:r w:rsidRPr="007122AB">
        <w:rPr>
          <w:color w:val="000000" w:themeColor="text1"/>
          <w:sz w:val="16"/>
          <w:szCs w:val="16"/>
        </w:rPr>
        <w:noBreakHyphen/>
        <w:t>18 в количестве 128 шт., или 41,9% от плана по заводу «Большевик» объясняется резким разворачиванием этих производств, окончание заказа по Т</w:t>
      </w:r>
      <w:r w:rsidRPr="007122AB">
        <w:rPr>
          <w:color w:val="000000" w:themeColor="text1"/>
          <w:sz w:val="16"/>
          <w:szCs w:val="16"/>
        </w:rPr>
        <w:noBreakHyphen/>
        <w:t>18 в особом квартале фактически не повлияло на программу особого квартала, и, несмотря на значительное одновременное выполнение старых заказов по запчастям, в октябре месяце весь заказ по Т</w:t>
      </w:r>
      <w:r w:rsidRPr="007122AB">
        <w:rPr>
          <w:color w:val="000000" w:themeColor="text1"/>
          <w:sz w:val="16"/>
          <w:szCs w:val="16"/>
        </w:rPr>
        <w:noBreakHyphen/>
        <w:t>18 1929/30 г. был закончен.</w:t>
      </w:r>
    </w:p>
    <w:p w14:paraId="348D572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6. Конструктивное изменение в производстве </w:t>
      </w:r>
      <w:proofErr w:type="spellStart"/>
      <w:r w:rsidRPr="007122AB">
        <w:rPr>
          <w:color w:val="000000" w:themeColor="text1"/>
          <w:sz w:val="16"/>
          <w:szCs w:val="16"/>
        </w:rPr>
        <w:t>аэробомб</w:t>
      </w:r>
      <w:proofErr w:type="spellEnd"/>
      <w:r w:rsidRPr="007122AB">
        <w:rPr>
          <w:color w:val="000000" w:themeColor="text1"/>
          <w:sz w:val="16"/>
          <w:szCs w:val="16"/>
        </w:rPr>
        <w:t xml:space="preserve"> по заводу </w:t>
      </w:r>
      <w:proofErr w:type="spellStart"/>
      <w:r w:rsidRPr="007122AB">
        <w:rPr>
          <w:color w:val="000000" w:themeColor="text1"/>
          <w:sz w:val="16"/>
          <w:szCs w:val="16"/>
        </w:rPr>
        <w:t>Мастяжарт</w:t>
      </w:r>
      <w:proofErr w:type="spellEnd"/>
      <w:r w:rsidRPr="007122AB">
        <w:rPr>
          <w:color w:val="000000" w:themeColor="text1"/>
          <w:sz w:val="16"/>
          <w:szCs w:val="16"/>
        </w:rPr>
        <w:t xml:space="preserve"> явилось наряду с внутренними неувязками у завода и совершенно недостаточными темпами в работе одной из основных причин резкого недовыполнения плана: по 32</w:t>
      </w:r>
      <w:r w:rsidRPr="007122AB">
        <w:rPr>
          <w:color w:val="000000" w:themeColor="text1"/>
          <w:sz w:val="16"/>
          <w:szCs w:val="16"/>
        </w:rPr>
        <w:noBreakHyphen/>
        <w:t>кг бомб[</w:t>
      </w:r>
      <w:proofErr w:type="spellStart"/>
      <w:r w:rsidRPr="007122AB">
        <w:rPr>
          <w:color w:val="000000" w:themeColor="text1"/>
          <w:sz w:val="16"/>
          <w:szCs w:val="16"/>
        </w:rPr>
        <w:t>ам</w:t>
      </w:r>
      <w:proofErr w:type="spellEnd"/>
      <w:r w:rsidRPr="007122AB">
        <w:rPr>
          <w:color w:val="000000" w:themeColor="text1"/>
          <w:sz w:val="16"/>
          <w:szCs w:val="16"/>
        </w:rPr>
        <w:t>] недовыполнение выявилось в размере 88,6%; по 16</w:t>
      </w:r>
      <w:r w:rsidRPr="007122AB">
        <w:rPr>
          <w:color w:val="000000" w:themeColor="text1"/>
          <w:sz w:val="16"/>
          <w:szCs w:val="16"/>
        </w:rPr>
        <w:noBreakHyphen/>
        <w:t>кг бомб[</w:t>
      </w:r>
      <w:proofErr w:type="spellStart"/>
      <w:r w:rsidRPr="007122AB">
        <w:rPr>
          <w:color w:val="000000" w:themeColor="text1"/>
          <w:sz w:val="16"/>
          <w:szCs w:val="16"/>
        </w:rPr>
        <w:t>ам</w:t>
      </w:r>
      <w:proofErr w:type="spellEnd"/>
      <w:r w:rsidRPr="007122AB">
        <w:rPr>
          <w:color w:val="000000" w:themeColor="text1"/>
          <w:sz w:val="16"/>
          <w:szCs w:val="16"/>
        </w:rPr>
        <w:t>] недовыполнение выявилось в размере 74,1%. Значительное влияние на это недовыполнение оказала также несвоевременная и недостаточная поставка заводу полуфабрикатов (горловин и головок).</w:t>
      </w:r>
    </w:p>
    <w:p w14:paraId="2D56264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7. Недовыполнение программы по военной продукции по Мотовилихе падает главным образом: а) полностью не выполнен план производства по запасным частям (на сумму 680 тыс. руб.); б) по </w:t>
      </w:r>
      <w:proofErr w:type="spellStart"/>
      <w:r w:rsidRPr="007122AB">
        <w:rPr>
          <w:color w:val="000000" w:themeColor="text1"/>
          <w:sz w:val="16"/>
          <w:szCs w:val="16"/>
        </w:rPr>
        <w:t>переств</w:t>
      </w:r>
      <w:proofErr w:type="spellEnd"/>
      <w:r w:rsidRPr="007122AB">
        <w:rPr>
          <w:color w:val="000000" w:themeColor="text1"/>
          <w:sz w:val="16"/>
          <w:szCs w:val="16"/>
        </w:rPr>
        <w:t>[</w:t>
      </w:r>
      <w:proofErr w:type="spellStart"/>
      <w:r w:rsidRPr="007122AB">
        <w:rPr>
          <w:color w:val="000000" w:themeColor="text1"/>
          <w:sz w:val="16"/>
          <w:szCs w:val="16"/>
        </w:rPr>
        <w:t>олению</w:t>
      </w:r>
      <w:proofErr w:type="spellEnd"/>
      <w:r w:rsidRPr="007122AB">
        <w:rPr>
          <w:color w:val="000000" w:themeColor="text1"/>
          <w:sz w:val="16"/>
          <w:szCs w:val="16"/>
        </w:rPr>
        <w:t>] 122</w:t>
      </w:r>
      <w:r w:rsidRPr="007122AB">
        <w:rPr>
          <w:color w:val="000000" w:themeColor="text1"/>
          <w:sz w:val="16"/>
          <w:szCs w:val="16"/>
        </w:rPr>
        <w:noBreakHyphen/>
        <w:t xml:space="preserve">мм систем </w:t>
      </w:r>
      <w:proofErr w:type="spellStart"/>
      <w:r w:rsidRPr="007122AB">
        <w:rPr>
          <w:color w:val="000000" w:themeColor="text1"/>
          <w:sz w:val="16"/>
          <w:szCs w:val="16"/>
        </w:rPr>
        <w:t>недовыполн</w:t>
      </w:r>
      <w:proofErr w:type="spellEnd"/>
      <w:r w:rsidRPr="007122AB">
        <w:rPr>
          <w:color w:val="000000" w:themeColor="text1"/>
          <w:sz w:val="16"/>
          <w:szCs w:val="16"/>
        </w:rPr>
        <w:t>[</w:t>
      </w:r>
      <w:proofErr w:type="spellStart"/>
      <w:r w:rsidRPr="007122AB">
        <w:rPr>
          <w:color w:val="000000" w:themeColor="text1"/>
          <w:sz w:val="16"/>
          <w:szCs w:val="16"/>
        </w:rPr>
        <w:t>ено</w:t>
      </w:r>
      <w:proofErr w:type="spellEnd"/>
      <w:r w:rsidRPr="007122AB">
        <w:rPr>
          <w:color w:val="000000" w:themeColor="text1"/>
          <w:sz w:val="16"/>
          <w:szCs w:val="16"/>
        </w:rPr>
        <w:t>] 32 шт., или 45,7%; в) по 152</w:t>
      </w:r>
      <w:r w:rsidRPr="007122AB">
        <w:rPr>
          <w:color w:val="000000" w:themeColor="text1"/>
          <w:sz w:val="16"/>
          <w:szCs w:val="16"/>
        </w:rPr>
        <w:noBreakHyphen/>
        <w:t xml:space="preserve">мм </w:t>
      </w:r>
      <w:proofErr w:type="spellStart"/>
      <w:r w:rsidRPr="007122AB">
        <w:rPr>
          <w:color w:val="000000" w:themeColor="text1"/>
          <w:sz w:val="16"/>
          <w:szCs w:val="16"/>
        </w:rPr>
        <w:t>гауб</w:t>
      </w:r>
      <w:proofErr w:type="spellEnd"/>
      <w:r w:rsidRPr="007122AB">
        <w:rPr>
          <w:color w:val="000000" w:themeColor="text1"/>
          <w:sz w:val="16"/>
          <w:szCs w:val="16"/>
        </w:rPr>
        <w:t>[</w:t>
      </w:r>
      <w:proofErr w:type="spellStart"/>
      <w:r w:rsidRPr="007122AB">
        <w:rPr>
          <w:color w:val="000000" w:themeColor="text1"/>
          <w:sz w:val="16"/>
          <w:szCs w:val="16"/>
        </w:rPr>
        <w:t>ицам</w:t>
      </w:r>
      <w:proofErr w:type="spellEnd"/>
      <w:r w:rsidRPr="007122AB">
        <w:rPr>
          <w:color w:val="000000" w:themeColor="text1"/>
          <w:sz w:val="16"/>
          <w:szCs w:val="16"/>
        </w:rPr>
        <w:t xml:space="preserve">] </w:t>
      </w:r>
      <w:proofErr w:type="spellStart"/>
      <w:r w:rsidRPr="007122AB">
        <w:rPr>
          <w:color w:val="000000" w:themeColor="text1"/>
          <w:sz w:val="16"/>
          <w:szCs w:val="16"/>
        </w:rPr>
        <w:t>обр</w:t>
      </w:r>
      <w:proofErr w:type="spellEnd"/>
      <w:r w:rsidRPr="007122AB">
        <w:rPr>
          <w:color w:val="000000" w:themeColor="text1"/>
          <w:sz w:val="16"/>
          <w:szCs w:val="16"/>
        </w:rPr>
        <w:t>[</w:t>
      </w:r>
      <w:proofErr w:type="spellStart"/>
      <w:r w:rsidRPr="007122AB">
        <w:rPr>
          <w:color w:val="000000" w:themeColor="text1"/>
          <w:sz w:val="16"/>
          <w:szCs w:val="16"/>
        </w:rPr>
        <w:t>азца</w:t>
      </w:r>
      <w:proofErr w:type="spellEnd"/>
      <w:r w:rsidRPr="007122AB">
        <w:rPr>
          <w:color w:val="000000" w:themeColor="text1"/>
          <w:sz w:val="16"/>
          <w:szCs w:val="16"/>
        </w:rPr>
        <w:t>] 1904 г. — 13 шт., или 14,5%; г) по бронебойным снарядам 8</w:t>
      </w:r>
      <w:r w:rsidRPr="007122AB">
        <w:rPr>
          <w:color w:val="000000" w:themeColor="text1"/>
          <w:sz w:val="16"/>
          <w:szCs w:val="16"/>
        </w:rPr>
        <w:noBreakHyphen/>
        <w:t>дюймовым и 12</w:t>
      </w:r>
      <w:r w:rsidRPr="007122AB">
        <w:rPr>
          <w:color w:val="000000" w:themeColor="text1"/>
          <w:sz w:val="16"/>
          <w:szCs w:val="16"/>
        </w:rPr>
        <w:noBreakHyphen/>
        <w:t>дюймовым имеется недовыполнение в размере 49,5%.</w:t>
      </w:r>
    </w:p>
    <w:p w14:paraId="5D08205A"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8. Основное недовыполнение по мирной продукции падает на: а) инструмент всякого вида — </w:t>
      </w:r>
      <w:proofErr w:type="spellStart"/>
      <w:r w:rsidRPr="007122AB">
        <w:rPr>
          <w:color w:val="000000" w:themeColor="text1"/>
          <w:sz w:val="16"/>
          <w:szCs w:val="16"/>
        </w:rPr>
        <w:t>недовыполнено</w:t>
      </w:r>
      <w:proofErr w:type="spellEnd"/>
      <w:r w:rsidRPr="007122AB">
        <w:rPr>
          <w:color w:val="000000" w:themeColor="text1"/>
          <w:sz w:val="16"/>
          <w:szCs w:val="16"/>
        </w:rPr>
        <w:t xml:space="preserve"> 22,6%; б) охот[ничье] оружие всякого вида — </w:t>
      </w:r>
      <w:proofErr w:type="spellStart"/>
      <w:r w:rsidRPr="007122AB">
        <w:rPr>
          <w:color w:val="000000" w:themeColor="text1"/>
          <w:sz w:val="16"/>
          <w:szCs w:val="16"/>
        </w:rPr>
        <w:t>недовыполнено</w:t>
      </w:r>
      <w:proofErr w:type="spellEnd"/>
      <w:r w:rsidRPr="007122AB">
        <w:rPr>
          <w:color w:val="000000" w:themeColor="text1"/>
          <w:sz w:val="16"/>
          <w:szCs w:val="16"/>
        </w:rPr>
        <w:t xml:space="preserve"> 26,6%; в) сталь для внешних заказчиков — </w:t>
      </w:r>
      <w:proofErr w:type="spellStart"/>
      <w:r w:rsidRPr="007122AB">
        <w:rPr>
          <w:color w:val="000000" w:themeColor="text1"/>
          <w:sz w:val="16"/>
          <w:szCs w:val="16"/>
        </w:rPr>
        <w:t>недовыполнено</w:t>
      </w:r>
      <w:proofErr w:type="spellEnd"/>
      <w:r w:rsidRPr="007122AB">
        <w:rPr>
          <w:color w:val="000000" w:themeColor="text1"/>
          <w:sz w:val="16"/>
          <w:szCs w:val="16"/>
        </w:rPr>
        <w:t xml:space="preserve"> 24,7%; г) размер недовыполнения по </w:t>
      </w:r>
      <w:proofErr w:type="spellStart"/>
      <w:r w:rsidRPr="007122AB">
        <w:rPr>
          <w:color w:val="000000" w:themeColor="text1"/>
          <w:sz w:val="16"/>
          <w:szCs w:val="16"/>
        </w:rPr>
        <w:t>авиапоковкам</w:t>
      </w:r>
      <w:proofErr w:type="spellEnd"/>
      <w:r w:rsidRPr="007122AB">
        <w:rPr>
          <w:color w:val="000000" w:themeColor="text1"/>
          <w:sz w:val="16"/>
          <w:szCs w:val="16"/>
        </w:rPr>
        <w:t xml:space="preserve"> от плана равен 9,7% против портфеля, превышающего план (последний доходит до 23,2%).</w:t>
      </w:r>
    </w:p>
    <w:p w14:paraId="1BCE085F"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Размер недовыполнения производства по </w:t>
      </w:r>
      <w:proofErr w:type="spellStart"/>
      <w:r w:rsidRPr="007122AB">
        <w:rPr>
          <w:color w:val="000000" w:themeColor="text1"/>
          <w:sz w:val="16"/>
          <w:szCs w:val="16"/>
        </w:rPr>
        <w:t>междузаводским</w:t>
      </w:r>
      <w:proofErr w:type="spellEnd"/>
      <w:r w:rsidRPr="007122AB">
        <w:rPr>
          <w:color w:val="000000" w:themeColor="text1"/>
          <w:sz w:val="16"/>
          <w:szCs w:val="16"/>
        </w:rPr>
        <w:t xml:space="preserve"> заказам (25,6%), как указывалось выше, явился немаловажной причиной в недовыполнении программ </w:t>
      </w:r>
      <w:proofErr w:type="spellStart"/>
      <w:r w:rsidRPr="007122AB">
        <w:rPr>
          <w:color w:val="000000" w:themeColor="text1"/>
          <w:sz w:val="16"/>
          <w:szCs w:val="16"/>
        </w:rPr>
        <w:t>пр</w:t>
      </w:r>
      <w:proofErr w:type="spellEnd"/>
      <w:r w:rsidRPr="007122AB">
        <w:rPr>
          <w:color w:val="000000" w:themeColor="text1"/>
          <w:sz w:val="16"/>
          <w:szCs w:val="16"/>
        </w:rPr>
        <w:t>[</w:t>
      </w:r>
      <w:proofErr w:type="spellStart"/>
      <w:r w:rsidRPr="007122AB">
        <w:rPr>
          <w:color w:val="000000" w:themeColor="text1"/>
          <w:sz w:val="16"/>
          <w:szCs w:val="16"/>
        </w:rPr>
        <w:t>оизводст</w:t>
      </w:r>
      <w:proofErr w:type="spellEnd"/>
      <w:r w:rsidRPr="007122AB">
        <w:rPr>
          <w:color w:val="000000" w:themeColor="text1"/>
          <w:sz w:val="16"/>
          <w:szCs w:val="16"/>
        </w:rPr>
        <w:t>]</w:t>
      </w:r>
      <w:proofErr w:type="spellStart"/>
      <w:r w:rsidRPr="007122AB">
        <w:rPr>
          <w:color w:val="000000" w:themeColor="text1"/>
          <w:sz w:val="16"/>
          <w:szCs w:val="16"/>
        </w:rPr>
        <w:t>ва</w:t>
      </w:r>
      <w:proofErr w:type="spellEnd"/>
      <w:r w:rsidRPr="007122AB">
        <w:rPr>
          <w:color w:val="000000" w:themeColor="text1"/>
          <w:sz w:val="16"/>
          <w:szCs w:val="16"/>
        </w:rPr>
        <w:t xml:space="preserve"> по заводам-заказчикам. Резкое превышение размера увеличения заказов на переходах объясняется: а) недовыполнением выпуска товарной продукции и задержка деталей этой продукции на переходах; это относится к пулеметам Максима, Дегтярева, танкам, драгам и др.; б) дополнительным заданием со стороны моб[</w:t>
      </w:r>
      <w:proofErr w:type="spellStart"/>
      <w:r w:rsidRPr="007122AB">
        <w:rPr>
          <w:color w:val="000000" w:themeColor="text1"/>
          <w:sz w:val="16"/>
          <w:szCs w:val="16"/>
        </w:rPr>
        <w:t>илизации</w:t>
      </w:r>
      <w:proofErr w:type="spellEnd"/>
      <w:r w:rsidRPr="007122AB">
        <w:rPr>
          <w:color w:val="000000" w:themeColor="text1"/>
          <w:sz w:val="16"/>
          <w:szCs w:val="16"/>
        </w:rPr>
        <w:t>] по доведению запасов на переходах до необходимого уровня (по </w:t>
      </w:r>
      <w:proofErr w:type="spellStart"/>
      <w:r w:rsidRPr="007122AB">
        <w:rPr>
          <w:color w:val="000000" w:themeColor="text1"/>
          <w:sz w:val="16"/>
          <w:szCs w:val="16"/>
        </w:rPr>
        <w:t>ТОЗу</w:t>
      </w:r>
      <w:proofErr w:type="spellEnd"/>
      <w:r w:rsidRPr="007122AB">
        <w:rPr>
          <w:color w:val="000000" w:themeColor="text1"/>
          <w:sz w:val="16"/>
          <w:szCs w:val="16"/>
        </w:rPr>
        <w:t>); в) изменением размера развертывания на 1930/1931 г. по плану в сторону резкого увеличения.</w:t>
      </w:r>
    </w:p>
    <w:p w14:paraId="4A23D8A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Картина выполнения программы производства по заводам рисуется в следующем виде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5"/>
        <w:gridCol w:w="7037"/>
        <w:gridCol w:w="1875"/>
        <w:gridCol w:w="1875"/>
      </w:tblGrid>
      <w:tr w:rsidR="007122AB" w:rsidRPr="007122AB" w14:paraId="68ACFE1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C3BB56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9ABA48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ED5E"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01A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Товарная</w:t>
            </w:r>
          </w:p>
          <w:p w14:paraId="69B9F041" w14:textId="77777777" w:rsidR="00FB17DA" w:rsidRPr="007122AB" w:rsidRDefault="00FB17D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укция</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2DB3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Валовая</w:t>
            </w:r>
          </w:p>
          <w:p w14:paraId="28E15CAC" w14:textId="77777777" w:rsidR="00FB17DA" w:rsidRPr="007122AB" w:rsidRDefault="00FB17D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укция</w:t>
            </w:r>
            <w:proofErr w:type="spellEnd"/>
            <w:r w:rsidRPr="007122AB">
              <w:rPr>
                <w:rFonts w:ascii="Times New Roman" w:hAnsi="Times New Roman"/>
                <w:color w:val="000000" w:themeColor="text1"/>
                <w:sz w:val="16"/>
                <w:szCs w:val="16"/>
              </w:rPr>
              <w:t>]</w:t>
            </w:r>
          </w:p>
        </w:tc>
      </w:tr>
      <w:tr w:rsidR="007122AB" w:rsidRPr="007122AB" w14:paraId="1221A9A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F9C766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6E9D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Мотовилих[</w:t>
            </w:r>
            <w:proofErr w:type="spellStart"/>
            <w:r w:rsidRPr="007122AB">
              <w:rPr>
                <w:rFonts w:ascii="Times New Roman" w:hAnsi="Times New Roman"/>
                <w:color w:val="000000" w:themeColor="text1"/>
                <w:sz w:val="16"/>
                <w:szCs w:val="16"/>
              </w:rPr>
              <w:t>инский</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машиностр</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оительный</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4CAB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0EB5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84,8</w:t>
            </w:r>
          </w:p>
        </w:tc>
      </w:tr>
      <w:tr w:rsidR="007122AB" w:rsidRPr="007122AB" w14:paraId="1C7C12B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0750F0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75D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FF0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DEE0"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103,6</w:t>
            </w:r>
          </w:p>
        </w:tc>
      </w:tr>
      <w:tr w:rsidR="007122AB" w:rsidRPr="007122AB" w14:paraId="2B3B830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EE6BA10"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CF1D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7CDB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C50F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111,5</w:t>
            </w:r>
          </w:p>
        </w:tc>
      </w:tr>
      <w:tr w:rsidR="007122AB" w:rsidRPr="007122AB" w14:paraId="6988838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51F69B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7126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F3F9"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5E09"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7122AB" w:rsidRPr="007122AB" w14:paraId="77C7C85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52A4FB9"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12DD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895CD"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7CD9D"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105,3</w:t>
            </w:r>
          </w:p>
        </w:tc>
      </w:tr>
      <w:tr w:rsidR="007122AB" w:rsidRPr="007122AB" w14:paraId="4E28014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65D964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C335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2D87"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723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96,5</w:t>
            </w:r>
          </w:p>
        </w:tc>
      </w:tr>
      <w:tr w:rsidR="007122AB" w:rsidRPr="007122AB" w14:paraId="3608C03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FC5AAFA"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D1CC7"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5BDC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8F8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100,3</w:t>
            </w:r>
          </w:p>
        </w:tc>
      </w:tr>
      <w:tr w:rsidR="007122AB" w:rsidRPr="007122AB" w14:paraId="3CDC272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8C27CA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4225A" w14:textId="77777777" w:rsidR="00FB17DA" w:rsidRPr="007122AB" w:rsidRDefault="00FB17D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Мастяжарт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316A5D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43BE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91,7</w:t>
            </w:r>
          </w:p>
        </w:tc>
      </w:tr>
      <w:tr w:rsidR="007122AB" w:rsidRPr="007122AB" w14:paraId="5B6B9A9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4D6C92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FA9AC"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CF06B"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016E9"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76,2</w:t>
            </w:r>
          </w:p>
        </w:tc>
      </w:tr>
      <w:tr w:rsidR="007122AB" w:rsidRPr="007122AB" w14:paraId="4F3B35D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A17A58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5D56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8B47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F660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93,7</w:t>
            </w:r>
          </w:p>
        </w:tc>
      </w:tr>
      <w:tr w:rsidR="007122AB" w:rsidRPr="007122AB" w14:paraId="03C4607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D8CBA78"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A46C5"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ИНЗ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9976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5DB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50,8</w:t>
            </w:r>
          </w:p>
        </w:tc>
      </w:tr>
      <w:tr w:rsidR="007122AB" w:rsidRPr="007122AB" w14:paraId="52343F68" w14:textId="77777777" w:rsidTr="00083CD8">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B47C4F"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Средний [процент] против плана 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B17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5EF2"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87,7</w:t>
            </w:r>
          </w:p>
        </w:tc>
      </w:tr>
    </w:tbl>
    <w:p w14:paraId="39715C49" w14:textId="77777777" w:rsidR="00FB17DA" w:rsidRPr="007122AB" w:rsidRDefault="00FB17D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Член Президиума ВСНХ СССР и начальник </w:t>
      </w:r>
      <w:proofErr w:type="spellStart"/>
      <w:r w:rsidRPr="007122AB">
        <w:rPr>
          <w:rStyle w:val="af0"/>
          <w:i w:val="0"/>
          <w:color w:val="000000" w:themeColor="text1"/>
          <w:sz w:val="16"/>
          <w:szCs w:val="16"/>
        </w:rPr>
        <w:t>Оружобьединения</w:t>
      </w:r>
      <w:proofErr w:type="spellEnd"/>
      <w:r w:rsidRPr="007122AB">
        <w:rPr>
          <w:rStyle w:val="af0"/>
          <w:i w:val="0"/>
          <w:color w:val="000000" w:themeColor="text1"/>
          <w:sz w:val="16"/>
          <w:szCs w:val="16"/>
        </w:rPr>
        <w:t xml:space="preserve"> Д. </w:t>
      </w:r>
      <w:proofErr w:type="spellStart"/>
      <w:r w:rsidRPr="007122AB">
        <w:rPr>
          <w:rStyle w:val="af0"/>
          <w:i w:val="0"/>
          <w:color w:val="000000" w:themeColor="text1"/>
          <w:sz w:val="16"/>
          <w:szCs w:val="16"/>
        </w:rPr>
        <w:t>Будняк</w:t>
      </w:r>
      <w:proofErr w:type="spellEnd"/>
    </w:p>
    <w:p w14:paraId="4CEE3EC0" w14:textId="77777777" w:rsidR="00FB17DA" w:rsidRPr="007122AB" w:rsidRDefault="00FB17DA"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6AEA2A9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Опущены разделы: «Использование мощностей», «Новые производства», «Рационализация», «Качество продукции» и т. д.</w:t>
      </w:r>
    </w:p>
    <w:p w14:paraId="34717AD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Так в тексте. По подсчетам составителей —173 490,5.</w:t>
      </w:r>
    </w:p>
    <w:p w14:paraId="00834230"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Так в тексте. По подсчетам составителей —253 394,4.</w:t>
      </w:r>
    </w:p>
    <w:p w14:paraId="468ECD01"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РГАЭ. Ф. 4372. Оп. 91. Д. 422. Л. 255—251. Заверенная копия.</w:t>
      </w:r>
    </w:p>
    <w:p w14:paraId="6F5B8796"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422. Л. 255—251. Заверенная копия. </w:t>
      </w:r>
    </w:p>
    <w:p w14:paraId="256D843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527-531 (12524).</w:t>
      </w:r>
    </w:p>
    <w:p w14:paraId="757551FF" w14:textId="77777777" w:rsidR="00FB17DA" w:rsidRPr="007122AB" w:rsidRDefault="00FB17DA" w:rsidP="007122AB">
      <w:pPr>
        <w:spacing w:after="0" w:line="240" w:lineRule="auto"/>
        <w:jc w:val="both"/>
        <w:rPr>
          <w:rFonts w:ascii="Times New Roman" w:hAnsi="Times New Roman"/>
          <w:color w:val="000000" w:themeColor="text1"/>
          <w:sz w:val="16"/>
          <w:szCs w:val="16"/>
        </w:rPr>
      </w:pPr>
    </w:p>
    <w:p w14:paraId="30D789B1" w14:textId="77777777" w:rsidR="00274CEA" w:rsidRPr="007122AB" w:rsidRDefault="00274CEA" w:rsidP="007122AB">
      <w:pPr>
        <w:pStyle w:val="a3"/>
        <w:rPr>
          <w:color w:val="000000" w:themeColor="text1"/>
          <w:lang w:val="ru-RU"/>
        </w:rPr>
      </w:pPr>
      <w:r w:rsidRPr="007122AB">
        <w:rPr>
          <w:color w:val="000000" w:themeColor="text1"/>
          <w:lang w:val="ru-RU"/>
        </w:rPr>
        <w:t>7 марта 1931 на НИИТ Полигоне состоялось испытание танка по преодо</w:t>
      </w:r>
      <w:r w:rsidRPr="007122AB">
        <w:rPr>
          <w:color w:val="000000" w:themeColor="text1"/>
          <w:lang w:val="ru-RU"/>
        </w:rPr>
        <w:softHyphen/>
        <w:t>лению искусственных препятствий при глубине снежного покрова 1 м. Танк без шпор свободно преодолел ров шириной 1,8 м и порог высотой 0,6 м с бруствером в 0,25 м. В то же время из-за недостаточного сцепле</w:t>
      </w:r>
      <w:r w:rsidRPr="007122AB">
        <w:rPr>
          <w:color w:val="000000" w:themeColor="text1"/>
          <w:lang w:val="ru-RU"/>
        </w:rPr>
        <w:softHyphen/>
        <w:t>ния гусениц с грунтом не удалось преодолеть надолбы, а испытания по сваливанию деревьев не проводились из-за опасения повредить лобо</w:t>
      </w:r>
      <w:r w:rsidRPr="007122AB">
        <w:rPr>
          <w:color w:val="000000" w:themeColor="text1"/>
          <w:lang w:val="ru-RU"/>
        </w:rPr>
        <w:softHyphen/>
        <w:t>вую часть корпуса танка.</w:t>
      </w:r>
    </w:p>
    <w:p w14:paraId="57CA0E10" w14:textId="77777777" w:rsidR="00274CEA" w:rsidRPr="007122AB" w:rsidRDefault="00274CEA" w:rsidP="007122AB">
      <w:pPr>
        <w:pStyle w:val="a3"/>
        <w:rPr>
          <w:color w:val="000000" w:themeColor="text1"/>
          <w:lang w:val="ru-RU"/>
        </w:rPr>
      </w:pPr>
      <w:r w:rsidRPr="007122AB">
        <w:rPr>
          <w:color w:val="000000" w:themeColor="text1"/>
          <w:lang w:val="ru-RU"/>
        </w:rPr>
        <w:t>Всего же за время испытаний танк №2 прошел 502 км (503,1 км). Запас хода по шоссейным и грунтовым дорогам при наличии глубокого снега составил 240-250 км.</w:t>
      </w:r>
    </w:p>
    <w:p w14:paraId="7D8A4F94" w14:textId="77777777" w:rsidR="00274CEA" w:rsidRPr="007122AB" w:rsidRDefault="00274CEA" w:rsidP="007122AB">
      <w:pPr>
        <w:pStyle w:val="a3"/>
        <w:tabs>
          <w:tab w:val="left" w:pos="4796"/>
        </w:tabs>
        <w:rPr>
          <w:color w:val="000000" w:themeColor="text1"/>
          <w:lang w:val="ru-RU"/>
        </w:rPr>
      </w:pPr>
      <w:r w:rsidRPr="007122AB">
        <w:rPr>
          <w:color w:val="000000" w:themeColor="text1"/>
          <w:lang w:val="ru-RU"/>
        </w:rPr>
        <w:t>Последняя неприятность на этих испытаниях случилась на заклю</w:t>
      </w:r>
      <w:r w:rsidRPr="007122AB">
        <w:rPr>
          <w:color w:val="000000" w:themeColor="text1"/>
          <w:lang w:val="ru-RU"/>
        </w:rPr>
        <w:softHyphen/>
        <w:t>чительном этапе, когда при возвращении танка из 70-км пробега, пра</w:t>
      </w:r>
      <w:r w:rsidRPr="007122AB">
        <w:rPr>
          <w:color w:val="000000" w:themeColor="text1"/>
          <w:lang w:val="ru-RU"/>
        </w:rPr>
        <w:softHyphen/>
        <w:t xml:space="preserve">ктически у </w:t>
      </w:r>
      <w:proofErr w:type="spellStart"/>
      <w:r w:rsidRPr="007122AB">
        <w:rPr>
          <w:color w:val="000000" w:themeColor="text1"/>
          <w:lang w:val="ru-RU"/>
        </w:rPr>
        <w:t>самог'о</w:t>
      </w:r>
      <w:proofErr w:type="spellEnd"/>
      <w:r w:rsidRPr="007122AB">
        <w:rPr>
          <w:color w:val="000000" w:themeColor="text1"/>
          <w:lang w:val="ru-RU"/>
        </w:rPr>
        <w:t xml:space="preserve"> входа в гараж полигона, произошло разрушение двух пальцев гусеницы.</w:t>
      </w:r>
    </w:p>
    <w:p w14:paraId="3E1BE3D1" w14:textId="77777777" w:rsidR="00274CEA" w:rsidRPr="007122AB" w:rsidRDefault="00274CEA" w:rsidP="007122AB">
      <w:pPr>
        <w:pStyle w:val="a3"/>
        <w:rPr>
          <w:color w:val="000000" w:themeColor="text1"/>
          <w:lang w:val="ru-RU"/>
        </w:rPr>
      </w:pPr>
      <w:r w:rsidRPr="007122AB">
        <w:rPr>
          <w:color w:val="000000" w:themeColor="text1"/>
          <w:lang w:val="ru-RU"/>
        </w:rPr>
        <w:t>Для определения условий работы экипажа танка провели замеры температуры воздуха в боевом отделении при закрытых люках. Через 15 мин работы двигателя температура уверенно достигала +36'С, однако после включения электровентилятора так же быстро снижалась до вели</w:t>
      </w:r>
      <w:r w:rsidRPr="007122AB">
        <w:rPr>
          <w:color w:val="000000" w:themeColor="text1"/>
          <w:lang w:val="ru-RU"/>
        </w:rPr>
        <w:softHyphen/>
        <w:t>чины температуры окружающего воздуха.</w:t>
      </w:r>
    </w:p>
    <w:p w14:paraId="4EFF96ED" w14:textId="77777777" w:rsidR="00274CEA" w:rsidRPr="007122AB" w:rsidRDefault="00274CEA" w:rsidP="007122AB">
      <w:pPr>
        <w:pStyle w:val="a3"/>
        <w:rPr>
          <w:color w:val="000000" w:themeColor="text1"/>
          <w:lang w:val="ru-RU"/>
        </w:rPr>
      </w:pPr>
      <w:r w:rsidRPr="007122AB">
        <w:rPr>
          <w:color w:val="000000" w:themeColor="text1"/>
          <w:lang w:val="ru-RU"/>
        </w:rPr>
        <w:t xml:space="preserve">По мнению советских специалистов, испытания 12-тонных танков «Виккерс Медиум» показали их хорошую маневренность, управляемость и достаточно высокую проходимость в зимних условиях. Машина могла совершать большие суточные пробеги и обладала достаточно надежной конструкцией, с отработанными механизмами трансмиссии и </w:t>
      </w:r>
      <w:proofErr w:type="spellStart"/>
      <w:r w:rsidRPr="007122AB">
        <w:rPr>
          <w:color w:val="000000" w:themeColor="text1"/>
          <w:lang w:val="ru-RU"/>
        </w:rPr>
        <w:t>двига</w:t>
      </w:r>
      <w:proofErr w:type="spellEnd"/>
      <w:r w:rsidRPr="007122AB">
        <w:rPr>
          <w:color w:val="000000" w:themeColor="text1"/>
          <w:lang w:val="ru-RU"/>
        </w:rPr>
        <w:t>^ теля. К сожалению, наличие глубокого снежного покрова не позволило полностью выполнить запланированную программу по преодолению^ препятствий. Для получения полных характеристик танка предлагалось продолжить испытания в летний период, а пока использовать данные фирмы «Виккерс-Армстронг» при приемке танков в Англии.</w:t>
      </w:r>
    </w:p>
    <w:p w14:paraId="3E4DDF4F" w14:textId="77777777" w:rsidR="00274CEA" w:rsidRPr="007122AB" w:rsidRDefault="00274CE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4"/>
          <w:rFonts w:ascii="Times New Roman" w:eastAsia="Arial Unicode MS" w:hAnsi="Times New Roman" w:cs="Times New Roman"/>
          <w:i w:val="0"/>
          <w:iCs w:val="0"/>
          <w:color w:val="000000" w:themeColor="text1"/>
          <w:sz w:val="16"/>
          <w:szCs w:val="16"/>
        </w:rPr>
        <w:t>На этом испытания первых 12-тонных танков в СССР были завер</w:t>
      </w:r>
      <w:r w:rsidRPr="007122AB">
        <w:rPr>
          <w:rStyle w:val="1024"/>
          <w:rFonts w:ascii="Times New Roman" w:eastAsia="Arial Unicode MS" w:hAnsi="Times New Roman" w:cs="Times New Roman"/>
          <w:i w:val="0"/>
          <w:iCs w:val="0"/>
          <w:color w:val="000000" w:themeColor="text1"/>
          <w:sz w:val="16"/>
          <w:szCs w:val="16"/>
        </w:rPr>
        <w:softHyphen/>
        <w:t>шены, а майор Одди вернулся в Англию. В своем финальном отчете он констатировал:</w:t>
      </w:r>
      <w:r w:rsidRPr="007122AB">
        <w:rPr>
          <w:rFonts w:ascii="Times New Roman" w:hAnsi="Times New Roman" w:cs="Times New Roman"/>
          <w:i w:val="0"/>
          <w:color w:val="000000" w:themeColor="text1"/>
          <w:sz w:val="16"/>
          <w:szCs w:val="16"/>
        </w:rPr>
        <w:t xml:space="preserve"> «Русская комиссия соглашается, что испытания вышеу</w:t>
      </w:r>
      <w:r w:rsidRPr="007122AB">
        <w:rPr>
          <w:rFonts w:ascii="Times New Roman" w:hAnsi="Times New Roman" w:cs="Times New Roman"/>
          <w:i w:val="0"/>
          <w:color w:val="000000" w:themeColor="text1"/>
          <w:sz w:val="16"/>
          <w:szCs w:val="16"/>
        </w:rPr>
        <w:softHyphen/>
        <w:t>казанной машины были весьма удовлетворительны и что машина дала чрезвычайно хорошую демонстрацию во все время испытаний в здеш</w:t>
      </w:r>
      <w:r w:rsidRPr="007122AB">
        <w:rPr>
          <w:rFonts w:ascii="Times New Roman" w:hAnsi="Times New Roman" w:cs="Times New Roman"/>
          <w:i w:val="0"/>
          <w:color w:val="000000" w:themeColor="text1"/>
          <w:sz w:val="16"/>
          <w:szCs w:val="16"/>
        </w:rPr>
        <w:softHyphen/>
        <w:t>них суровых условиях.</w:t>
      </w:r>
    </w:p>
    <w:p w14:paraId="4C7CB20A" w14:textId="77777777" w:rsidR="00274CEA" w:rsidRPr="007122AB" w:rsidRDefault="00274CE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...Русская комиссия заявляет, что теперь она очень довольна и це</w:t>
      </w:r>
      <w:r w:rsidRPr="007122AB">
        <w:rPr>
          <w:rFonts w:ascii="Times New Roman" w:hAnsi="Times New Roman" w:cs="Times New Roman"/>
          <w:i w:val="0"/>
          <w:color w:val="000000" w:themeColor="text1"/>
          <w:sz w:val="16"/>
          <w:szCs w:val="16"/>
        </w:rPr>
        <w:softHyphen/>
        <w:t>ликом удовлетворена всем относящимся к 12 тонному танку».</w:t>
      </w:r>
    </w:p>
    <w:p w14:paraId="66C70964" w14:textId="77777777" w:rsidR="00274CEA" w:rsidRPr="007122AB" w:rsidRDefault="00274CEA" w:rsidP="007122AB">
      <w:pPr>
        <w:pStyle w:val="a3"/>
        <w:rPr>
          <w:color w:val="000000" w:themeColor="text1"/>
          <w:lang w:val="ru-RU"/>
        </w:rPr>
      </w:pPr>
      <w:r w:rsidRPr="007122AB">
        <w:rPr>
          <w:color w:val="000000" w:themeColor="text1"/>
          <w:lang w:val="ru-RU"/>
        </w:rPr>
        <w:t>Общий вывод советских специалистов гласил:</w:t>
      </w:r>
    </w:p>
    <w:p w14:paraId="7CC02069" w14:textId="77777777" w:rsidR="00274CEA" w:rsidRPr="007122AB" w:rsidRDefault="00274CEA"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«Все боевые и конструктивные данные танка определяются специ</w:t>
      </w:r>
      <w:r w:rsidRPr="007122AB">
        <w:rPr>
          <w:rFonts w:ascii="Times New Roman" w:hAnsi="Times New Roman" w:cs="Times New Roman"/>
          <w:i w:val="0"/>
          <w:color w:val="000000" w:themeColor="text1"/>
          <w:sz w:val="16"/>
          <w:szCs w:val="16"/>
        </w:rPr>
        <w:softHyphen/>
        <w:t xml:space="preserve">фичностью цели, для которой он создан (Колониальный танк). Данный танк имеет хорошо работающий мотор, трансмиссию и движитель. При моторе небольшой мощности (82 </w:t>
      </w:r>
      <w:proofErr w:type="spellStart"/>
      <w:r w:rsidRPr="007122AB">
        <w:rPr>
          <w:rFonts w:ascii="Times New Roman" w:hAnsi="Times New Roman" w:cs="Times New Roman"/>
          <w:i w:val="0"/>
          <w:color w:val="000000" w:themeColor="text1"/>
          <w:sz w:val="16"/>
          <w:szCs w:val="16"/>
        </w:rPr>
        <w:t>НР</w:t>
      </w:r>
      <w:r w:rsidRPr="007122AB">
        <w:rPr>
          <w:rFonts w:ascii="Times New Roman" w:hAnsi="Times New Roman" w:cs="Times New Roman"/>
          <w:i w:val="0"/>
          <w:color w:val="000000" w:themeColor="text1"/>
          <w:sz w:val="16"/>
          <w:szCs w:val="16"/>
          <w:vertAlign w:val="superscript"/>
        </w:rPr>
        <w:t>е</w:t>
      </w:r>
      <w:proofErr w:type="spellEnd"/>
      <w:r w:rsidRPr="007122AB">
        <w:rPr>
          <w:rFonts w:ascii="Times New Roman" w:hAnsi="Times New Roman" w:cs="Times New Roman"/>
          <w:i w:val="0"/>
          <w:color w:val="000000" w:themeColor="text1"/>
          <w:sz w:val="16"/>
          <w:szCs w:val="16"/>
        </w:rPr>
        <w:t>) на свой вес (13 тонн) танк дает высокие скорости и обладает хорошей проходимостью (в зимних усло</w:t>
      </w:r>
      <w:r w:rsidRPr="007122AB">
        <w:rPr>
          <w:rFonts w:ascii="Times New Roman" w:hAnsi="Times New Roman" w:cs="Times New Roman"/>
          <w:i w:val="0"/>
          <w:color w:val="000000" w:themeColor="text1"/>
          <w:sz w:val="16"/>
          <w:szCs w:val="16"/>
        </w:rPr>
        <w:softHyphen/>
        <w:t>виях), надежностью действий и прочностью.</w:t>
      </w:r>
    </w:p>
    <w:p w14:paraId="71A8493D" w14:textId="77777777" w:rsidR="00274CEA" w:rsidRPr="007122AB" w:rsidRDefault="00274CEA" w:rsidP="007122AB">
      <w:pPr>
        <w:pStyle w:val="1010"/>
        <w:shd w:val="clear" w:color="auto" w:fill="auto"/>
        <w:spacing w:line="240" w:lineRule="auto"/>
        <w:ind w:firstLine="0"/>
        <w:rPr>
          <w:rStyle w:val="1024"/>
          <w:rFonts w:ascii="Times New Roman" w:eastAsia="Arial Unicode MS" w:hAnsi="Times New Roman" w:cs="Times New Roman"/>
          <w:i w:val="0"/>
          <w:iCs w:val="0"/>
          <w:color w:val="000000" w:themeColor="text1"/>
          <w:sz w:val="16"/>
          <w:szCs w:val="16"/>
        </w:rPr>
      </w:pPr>
      <w:r w:rsidRPr="007122AB">
        <w:rPr>
          <w:rFonts w:ascii="Times New Roman" w:hAnsi="Times New Roman" w:cs="Times New Roman"/>
          <w:i w:val="0"/>
          <w:color w:val="000000" w:themeColor="text1"/>
          <w:sz w:val="16"/>
          <w:szCs w:val="16"/>
        </w:rPr>
        <w:t xml:space="preserve">Танк является хорошо выполненной машиной, требует дальнейшего </w:t>
      </w:r>
      <w:r w:rsidRPr="007122AB">
        <w:rPr>
          <w:rStyle w:val="1024"/>
          <w:rFonts w:ascii="Times New Roman" w:eastAsia="Arial Unicode MS" w:hAnsi="Times New Roman" w:cs="Times New Roman"/>
          <w:i w:val="0"/>
          <w:iCs w:val="0"/>
          <w:color w:val="000000" w:themeColor="text1"/>
          <w:sz w:val="16"/>
          <w:szCs w:val="16"/>
        </w:rPr>
        <w:t>изучения при испытаниях в летних и осенних условиях» (15745).</w:t>
      </w:r>
    </w:p>
    <w:p w14:paraId="600E94FB" w14:textId="77777777" w:rsidR="00274CEA" w:rsidRPr="007122AB" w:rsidRDefault="00274CEA" w:rsidP="007122AB">
      <w:pPr>
        <w:pStyle w:val="1010"/>
        <w:shd w:val="clear" w:color="auto" w:fill="auto"/>
        <w:spacing w:line="240" w:lineRule="auto"/>
        <w:ind w:firstLine="0"/>
        <w:rPr>
          <w:rFonts w:ascii="Times New Roman" w:hAnsi="Times New Roman" w:cs="Times New Roman"/>
          <w:i w:val="0"/>
          <w:color w:val="000000" w:themeColor="text1"/>
          <w:sz w:val="16"/>
          <w:szCs w:val="16"/>
        </w:rPr>
      </w:pPr>
    </w:p>
    <w:p w14:paraId="2A7649B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6F68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9F6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7 по 17 марта 1931 в Москве проходил 6-й съезд Советов СССР и обсуждал вопросы реконструкции и коллективизации (1348,149). Специальным постановлением ввел трудодень для оплаты труда колхозников вместо подушного распределения (3908,335).</w:t>
      </w:r>
    </w:p>
    <w:p w14:paraId="7CF87A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7ECCEB" w14:textId="77777777" w:rsidR="005C4849" w:rsidRPr="007122AB" w:rsidRDefault="00274CE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Cs/>
          <w:color w:val="000000" w:themeColor="text1"/>
          <w:sz w:val="16"/>
          <w:szCs w:val="16"/>
        </w:rPr>
        <w:t>Внешняя торговля</w:t>
      </w:r>
      <w:r w:rsidR="005C4849" w:rsidRPr="007122AB">
        <w:rPr>
          <w:rFonts w:ascii="Times New Roman" w:hAnsi="Times New Roman"/>
          <w:iCs/>
          <w:color w:val="000000" w:themeColor="text1"/>
          <w:sz w:val="16"/>
          <w:szCs w:val="16"/>
        </w:rPr>
        <w:t>:</w:t>
      </w:r>
    </w:p>
    <w:p w14:paraId="12883B4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57A9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марта 1931 был заключен советско-турецкий договор о паритете вооружений на ЧМ (3908,335).</w:t>
      </w:r>
    </w:p>
    <w:p w14:paraId="3120A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B533C6" w14:textId="77777777" w:rsidR="00274CE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B901B28" w14:textId="77777777" w:rsidR="00274CEA" w:rsidRPr="007122AB" w:rsidRDefault="00274CE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6E9A69" w14:textId="77777777" w:rsidR="00274CEA" w:rsidRPr="007122AB" w:rsidRDefault="00274C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7 марта</w:t>
      </w:r>
      <w:r w:rsidRPr="007122AB">
        <w:rPr>
          <w:rFonts w:ascii="Times New Roman" w:hAnsi="Times New Roman"/>
          <w:color w:val="000000" w:themeColor="text1"/>
          <w:sz w:val="16"/>
          <w:szCs w:val="16"/>
        </w:rPr>
        <w:t xml:space="preserve"> в 1931 году гоночный самолёт </w:t>
      </w:r>
      <w:hyperlink r:id="rId33"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Gee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Bee</w:t>
        </w:r>
        <w:proofErr w:type="spellEnd"/>
        <w:r w:rsidRPr="007122AB">
          <w:rPr>
            <w:rFonts w:ascii="Times New Roman" w:hAnsi="Times New Roman"/>
            <w:color w:val="000000" w:themeColor="text1"/>
            <w:sz w:val="16"/>
            <w:szCs w:val="16"/>
          </w:rPr>
          <w:t>» «Model D» «</w:t>
        </w:r>
        <w:proofErr w:type="spellStart"/>
        <w:r w:rsidRPr="007122AB">
          <w:rPr>
            <w:rFonts w:ascii="Times New Roman" w:hAnsi="Times New Roman"/>
            <w:color w:val="000000" w:themeColor="text1"/>
            <w:sz w:val="16"/>
            <w:szCs w:val="16"/>
          </w:rPr>
          <w:t>Sportster</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(Разработчик: «</w:t>
      </w:r>
      <w:proofErr w:type="spellStart"/>
      <w:r w:rsidRPr="007122AB">
        <w:rPr>
          <w:rFonts w:ascii="Times New Roman" w:hAnsi="Times New Roman"/>
          <w:color w:val="000000" w:themeColor="text1"/>
          <w:sz w:val="16"/>
          <w:szCs w:val="16"/>
        </w:rPr>
        <w:t>Gee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Bee</w:t>
      </w:r>
      <w:proofErr w:type="spellEnd"/>
      <w:r w:rsidRPr="007122AB">
        <w:rPr>
          <w:rFonts w:ascii="Times New Roman" w:hAnsi="Times New Roman"/>
          <w:color w:val="000000" w:themeColor="text1"/>
          <w:sz w:val="16"/>
          <w:szCs w:val="16"/>
        </w:rPr>
        <w:t>», США) получил сертификат типа коммерческого самолёта (АТС №404). На самолёте были установлены увеличенные по размеру киль и руль направления, а стойки и колёса шасси получили обтекатели. Серийный номер был D-1, регистрационный NC 11043. Двигатель «</w:t>
      </w:r>
      <w:proofErr w:type="spellStart"/>
      <w:r w:rsidRPr="007122AB">
        <w:rPr>
          <w:rFonts w:ascii="Times New Roman" w:hAnsi="Times New Roman"/>
          <w:color w:val="000000" w:themeColor="text1"/>
          <w:sz w:val="16"/>
          <w:szCs w:val="16"/>
        </w:rPr>
        <w:t>Menasco</w:t>
      </w:r>
      <w:proofErr w:type="spellEnd"/>
      <w:r w:rsidRPr="007122AB">
        <w:rPr>
          <w:rFonts w:ascii="Times New Roman" w:hAnsi="Times New Roman"/>
          <w:color w:val="000000" w:themeColor="text1"/>
          <w:sz w:val="16"/>
          <w:szCs w:val="16"/>
        </w:rPr>
        <w:t xml:space="preserve">» «C-4» с наддувом, мощностью 95 л.с. позволял набрать 5000 футов высоты за 4 минуты. Самолёт был оборудован оригинальной системой дымопуска, состоявшей из бака с </w:t>
      </w:r>
      <w:proofErr w:type="spellStart"/>
      <w:r w:rsidRPr="007122AB">
        <w:rPr>
          <w:rFonts w:ascii="Times New Roman" w:hAnsi="Times New Roman"/>
          <w:color w:val="000000" w:themeColor="text1"/>
          <w:sz w:val="16"/>
          <w:szCs w:val="16"/>
        </w:rPr>
        <w:t>дымобразующей</w:t>
      </w:r>
      <w:proofErr w:type="spellEnd"/>
      <w:r w:rsidRPr="007122AB">
        <w:rPr>
          <w:rFonts w:ascii="Times New Roman" w:hAnsi="Times New Roman"/>
          <w:color w:val="000000" w:themeColor="text1"/>
          <w:sz w:val="16"/>
          <w:szCs w:val="16"/>
        </w:rPr>
        <w:t xml:space="preserve"> смесью, системы клапанов и форсунки, через которую смесь впрыскивалась в проходящую под фюзеляжем выхлопную трубу. Занял 1 место в 1931 в гонке ATC 400 </w:t>
      </w:r>
      <w:proofErr w:type="spellStart"/>
      <w:r w:rsidRPr="007122AB">
        <w:rPr>
          <w:rFonts w:ascii="Times New Roman" w:hAnsi="Times New Roman"/>
          <w:color w:val="000000" w:themeColor="text1"/>
          <w:sz w:val="16"/>
          <w:szCs w:val="16"/>
        </w:rPr>
        <w:t>cu</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in</w:t>
      </w:r>
      <w:proofErr w:type="spellEnd"/>
      <w:r w:rsidRPr="007122AB">
        <w:rPr>
          <w:rFonts w:ascii="Times New Roman" w:hAnsi="Times New Roman"/>
          <w:color w:val="000000" w:themeColor="text1"/>
          <w:sz w:val="16"/>
          <w:szCs w:val="16"/>
        </w:rPr>
        <w:t xml:space="preserve">. Race (для коммерческих самолётов с двигателями объёмом до 400 куб. дюймов), пилот Боб Холл. Пришёл вторым в двух женских гонках 1931 г, пилотировала Мэри </w:t>
      </w:r>
      <w:proofErr w:type="spellStart"/>
      <w:r w:rsidRPr="007122AB">
        <w:rPr>
          <w:rFonts w:ascii="Times New Roman" w:hAnsi="Times New Roman"/>
          <w:color w:val="000000" w:themeColor="text1"/>
          <w:sz w:val="16"/>
          <w:szCs w:val="16"/>
        </w:rPr>
        <w:t>Хэйзлип</w:t>
      </w:r>
      <w:proofErr w:type="spellEnd"/>
      <w:r w:rsidRPr="007122AB">
        <w:rPr>
          <w:rFonts w:ascii="Times New Roman" w:hAnsi="Times New Roman"/>
          <w:color w:val="000000" w:themeColor="text1"/>
          <w:sz w:val="16"/>
          <w:szCs w:val="16"/>
        </w:rPr>
        <w:t xml:space="preserve"> (Mary </w:t>
      </w:r>
      <w:proofErr w:type="spellStart"/>
      <w:r w:rsidRPr="007122AB">
        <w:rPr>
          <w:rFonts w:ascii="Times New Roman" w:hAnsi="Times New Roman"/>
          <w:color w:val="000000" w:themeColor="text1"/>
          <w:sz w:val="16"/>
          <w:szCs w:val="16"/>
        </w:rPr>
        <w:t>Haizlip</w:t>
      </w:r>
      <w:proofErr w:type="spellEnd"/>
      <w:r w:rsidRPr="007122AB">
        <w:rPr>
          <w:rFonts w:ascii="Times New Roman" w:hAnsi="Times New Roman"/>
          <w:color w:val="000000" w:themeColor="text1"/>
          <w:sz w:val="16"/>
          <w:szCs w:val="16"/>
        </w:rPr>
        <w:t xml:space="preserve">). Разбился «Model D» в июле 1936 года, когда пилот Чени </w:t>
      </w:r>
      <w:proofErr w:type="spellStart"/>
      <w:r w:rsidRPr="007122AB">
        <w:rPr>
          <w:rFonts w:ascii="Times New Roman" w:hAnsi="Times New Roman"/>
          <w:color w:val="000000" w:themeColor="text1"/>
          <w:sz w:val="16"/>
          <w:szCs w:val="16"/>
        </w:rPr>
        <w:t>Сибьюри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Channing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Seabury</w:t>
      </w:r>
      <w:proofErr w:type="spellEnd"/>
      <w:r w:rsidRPr="007122AB">
        <w:rPr>
          <w:rFonts w:ascii="Times New Roman" w:hAnsi="Times New Roman"/>
          <w:color w:val="000000" w:themeColor="text1"/>
          <w:sz w:val="16"/>
          <w:szCs w:val="16"/>
        </w:rPr>
        <w:t>) потерял управление во время тренировочного акробатического полёта. Самолёт зацепился хвостом за землю во время маневрирования (15061).</w:t>
      </w:r>
    </w:p>
    <w:p w14:paraId="08266F90" w14:textId="77777777" w:rsidR="00274CEA" w:rsidRPr="007122AB" w:rsidRDefault="00274CEA" w:rsidP="007122AB">
      <w:pPr>
        <w:spacing w:after="0" w:line="240" w:lineRule="auto"/>
        <w:jc w:val="both"/>
        <w:rPr>
          <w:rFonts w:ascii="Times New Roman" w:hAnsi="Times New Roman"/>
          <w:color w:val="000000" w:themeColor="text1"/>
          <w:sz w:val="16"/>
          <w:szCs w:val="16"/>
        </w:rPr>
      </w:pPr>
    </w:p>
    <w:p w14:paraId="210E5221" w14:textId="77777777" w:rsidR="001422F1" w:rsidRPr="007122AB" w:rsidRDefault="001422F1" w:rsidP="001422F1">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718FC2" w14:textId="77777777" w:rsidR="001422F1" w:rsidRPr="007122AB" w:rsidRDefault="001422F1" w:rsidP="001422F1">
      <w:pPr>
        <w:autoSpaceDE w:val="0"/>
        <w:autoSpaceDN w:val="0"/>
        <w:adjustRightInd w:val="0"/>
        <w:spacing w:after="0" w:line="240" w:lineRule="auto"/>
        <w:jc w:val="both"/>
        <w:rPr>
          <w:rFonts w:ascii="Times New Roman" w:hAnsi="Times New Roman"/>
          <w:iCs/>
          <w:color w:val="000000" w:themeColor="text1"/>
          <w:sz w:val="16"/>
          <w:szCs w:val="16"/>
        </w:rPr>
      </w:pPr>
    </w:p>
    <w:p w14:paraId="33BA3FD2" w14:textId="77777777" w:rsidR="001422F1" w:rsidRPr="009F5089" w:rsidRDefault="001422F1" w:rsidP="001422F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8 марта</w:t>
      </w:r>
      <w:r>
        <w:rPr>
          <w:rFonts w:ascii="Times New Roman" w:hAnsi="Times New Roman"/>
          <w:color w:val="0070C0"/>
          <w:sz w:val="16"/>
          <w:szCs w:val="16"/>
        </w:rPr>
        <w:t xml:space="preserve"> 1931 г. в</w:t>
      </w:r>
      <w:r w:rsidRPr="009F5089">
        <w:rPr>
          <w:rFonts w:ascii="Times New Roman" w:hAnsi="Times New Roman"/>
          <w:color w:val="0070C0"/>
          <w:sz w:val="16"/>
          <w:szCs w:val="16"/>
        </w:rPr>
        <w:t xml:space="preserve"> связи о принятием шефства ВЛКСМ над ВВС "женский"</w:t>
      </w:r>
      <w:r>
        <w:rPr>
          <w:rFonts w:ascii="Times New Roman" w:hAnsi="Times New Roman"/>
          <w:color w:val="0070C0"/>
          <w:sz w:val="16"/>
          <w:szCs w:val="16"/>
        </w:rPr>
        <w:t xml:space="preserve"> день</w:t>
      </w:r>
      <w:r w:rsidRPr="009F5089">
        <w:rPr>
          <w:rFonts w:ascii="Times New Roman" w:hAnsi="Times New Roman"/>
          <w:color w:val="0070C0"/>
          <w:sz w:val="16"/>
          <w:szCs w:val="16"/>
        </w:rPr>
        <w:t xml:space="preserve"> явился поводом для привлечения в авиацию девушек-</w:t>
      </w:r>
      <w:r>
        <w:rPr>
          <w:rFonts w:ascii="Times New Roman" w:hAnsi="Times New Roman"/>
          <w:color w:val="0070C0"/>
          <w:sz w:val="16"/>
          <w:szCs w:val="16"/>
        </w:rPr>
        <w:t>ком</w:t>
      </w:r>
      <w:r w:rsidRPr="009F5089">
        <w:rPr>
          <w:rFonts w:ascii="Times New Roman" w:hAnsi="Times New Roman"/>
          <w:color w:val="0070C0"/>
          <w:sz w:val="16"/>
          <w:szCs w:val="16"/>
        </w:rPr>
        <w:t>сомолок, которых до этого в школах ВВС почти не было.</w:t>
      </w:r>
      <w:r>
        <w:rPr>
          <w:rFonts w:ascii="Times New Roman" w:hAnsi="Times New Roman"/>
          <w:color w:val="0070C0"/>
          <w:sz w:val="16"/>
          <w:szCs w:val="16"/>
        </w:rPr>
        <w:t xml:space="preserve"> </w:t>
      </w:r>
      <w:r w:rsidRPr="009F5089">
        <w:rPr>
          <w:rFonts w:ascii="Times New Roman" w:hAnsi="Times New Roman"/>
          <w:color w:val="0070C0"/>
          <w:sz w:val="16"/>
          <w:szCs w:val="16"/>
        </w:rPr>
        <w:t>Началась допуск девушек в авиашколы,</w:t>
      </w:r>
      <w:r>
        <w:rPr>
          <w:rFonts w:ascii="Times New Roman" w:hAnsi="Times New Roman"/>
          <w:color w:val="0070C0"/>
          <w:sz w:val="16"/>
          <w:szCs w:val="16"/>
        </w:rPr>
        <w:t xml:space="preserve"> </w:t>
      </w:r>
      <w:r w:rsidRPr="009F5089">
        <w:rPr>
          <w:rFonts w:ascii="Times New Roman" w:hAnsi="Times New Roman"/>
          <w:color w:val="0070C0"/>
          <w:sz w:val="16"/>
          <w:szCs w:val="16"/>
        </w:rPr>
        <w:t>однако,</w:t>
      </w:r>
      <w:r>
        <w:rPr>
          <w:rFonts w:ascii="Times New Roman" w:hAnsi="Times New Roman"/>
          <w:color w:val="0070C0"/>
          <w:sz w:val="16"/>
          <w:szCs w:val="16"/>
        </w:rPr>
        <w:t xml:space="preserve"> </w:t>
      </w:r>
      <w:r w:rsidRPr="009F5089">
        <w:rPr>
          <w:rFonts w:ascii="Times New Roman" w:hAnsi="Times New Roman"/>
          <w:color w:val="0070C0"/>
          <w:sz w:val="16"/>
          <w:szCs w:val="16"/>
        </w:rPr>
        <w:t>прием их в школы ВВС оставался ограниченными</w:t>
      </w:r>
      <w:r>
        <w:rPr>
          <w:rFonts w:ascii="Times New Roman" w:hAnsi="Times New Roman"/>
          <w:color w:val="0070C0"/>
          <w:sz w:val="16"/>
          <w:szCs w:val="16"/>
        </w:rPr>
        <w:t>, и только</w:t>
      </w:r>
      <w:r w:rsidRPr="009F5089">
        <w:rPr>
          <w:rFonts w:ascii="Times New Roman" w:hAnsi="Times New Roman"/>
          <w:color w:val="0070C0"/>
          <w:sz w:val="16"/>
          <w:szCs w:val="16"/>
        </w:rPr>
        <w:t xml:space="preserve"> школы Г</w:t>
      </w:r>
      <w:r>
        <w:rPr>
          <w:rFonts w:ascii="Times New Roman" w:hAnsi="Times New Roman"/>
          <w:color w:val="0070C0"/>
          <w:sz w:val="16"/>
          <w:szCs w:val="16"/>
        </w:rPr>
        <w:t>ВФ</w:t>
      </w:r>
      <w:r w:rsidRPr="009F5089">
        <w:rPr>
          <w:rFonts w:ascii="Times New Roman" w:hAnsi="Times New Roman"/>
          <w:color w:val="0070C0"/>
          <w:sz w:val="16"/>
          <w:szCs w:val="16"/>
        </w:rPr>
        <w:t xml:space="preserve"> и Осоавиа</w:t>
      </w:r>
      <w:r>
        <w:rPr>
          <w:rFonts w:ascii="Times New Roman" w:hAnsi="Times New Roman"/>
          <w:color w:val="0070C0"/>
          <w:sz w:val="16"/>
          <w:szCs w:val="16"/>
        </w:rPr>
        <w:t xml:space="preserve">хима </w:t>
      </w:r>
      <w:r w:rsidRPr="009F5089">
        <w:rPr>
          <w:rFonts w:ascii="Times New Roman" w:hAnsi="Times New Roman"/>
          <w:color w:val="0070C0"/>
          <w:sz w:val="16"/>
          <w:szCs w:val="16"/>
        </w:rPr>
        <w:t>ш</w:t>
      </w:r>
      <w:r>
        <w:rPr>
          <w:rFonts w:ascii="Times New Roman" w:hAnsi="Times New Roman"/>
          <w:color w:val="0070C0"/>
          <w:sz w:val="16"/>
          <w:szCs w:val="16"/>
        </w:rPr>
        <w:t>и</w:t>
      </w:r>
      <w:r w:rsidRPr="009F5089">
        <w:rPr>
          <w:rFonts w:ascii="Times New Roman" w:hAnsi="Times New Roman"/>
          <w:color w:val="0070C0"/>
          <w:sz w:val="16"/>
          <w:szCs w:val="16"/>
        </w:rPr>
        <w:t>роко открыли им свои двери.</w:t>
      </w:r>
    </w:p>
    <w:p w14:paraId="0B2F228D" w14:textId="39808754" w:rsidR="001422F1" w:rsidRDefault="001422F1" w:rsidP="001422F1">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9F5089">
        <w:rPr>
          <w:rFonts w:ascii="Times New Roman" w:hAnsi="Times New Roman"/>
          <w:color w:val="0070C0"/>
          <w:sz w:val="16"/>
          <w:szCs w:val="16"/>
        </w:rPr>
        <w:t>ВВ</w:t>
      </w:r>
      <w:r>
        <w:rPr>
          <w:rFonts w:ascii="Times New Roman" w:hAnsi="Times New Roman"/>
          <w:color w:val="0070C0"/>
          <w:sz w:val="16"/>
          <w:szCs w:val="16"/>
        </w:rPr>
        <w:t>Ф</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1931</w:t>
      </w:r>
      <w:r>
        <w:rPr>
          <w:rFonts w:ascii="Times New Roman" w:hAnsi="Times New Roman"/>
          <w:color w:val="0070C0"/>
          <w:sz w:val="16"/>
          <w:szCs w:val="16"/>
        </w:rPr>
        <w:t>, №</w:t>
      </w:r>
      <w:r w:rsidRPr="009F5089">
        <w:rPr>
          <w:rFonts w:ascii="Times New Roman" w:hAnsi="Times New Roman"/>
          <w:color w:val="0070C0"/>
          <w:sz w:val="16"/>
          <w:szCs w:val="16"/>
        </w:rPr>
        <w:t xml:space="preserve"> 3/</w:t>
      </w:r>
      <w:r>
        <w:rPr>
          <w:rFonts w:ascii="Times New Roman" w:hAnsi="Times New Roman"/>
          <w:color w:val="0070C0"/>
          <w:sz w:val="16"/>
          <w:szCs w:val="16"/>
        </w:rPr>
        <w:t xml:space="preserve"> (23370).</w:t>
      </w:r>
    </w:p>
    <w:p w14:paraId="2A4D24BC" w14:textId="77777777" w:rsidR="001422F1" w:rsidRPr="009F5089" w:rsidRDefault="001422F1" w:rsidP="001422F1">
      <w:pPr>
        <w:spacing w:after="0" w:line="240" w:lineRule="auto"/>
        <w:jc w:val="both"/>
        <w:rPr>
          <w:rFonts w:ascii="Times New Roman" w:hAnsi="Times New Roman"/>
          <w:color w:val="0070C0"/>
          <w:sz w:val="16"/>
          <w:szCs w:val="16"/>
        </w:rPr>
      </w:pPr>
    </w:p>
    <w:p w14:paraId="45928A6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1D3856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B0A1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марта 1931 был заключен советско-турецкий договор о сокращении вооружений на ЧМ (3907,167).</w:t>
      </w:r>
    </w:p>
    <w:p w14:paraId="752D7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F3B5CD" w14:textId="77777777" w:rsidR="00274CE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F925D80" w14:textId="77777777" w:rsidR="00274CEA" w:rsidRPr="007122AB" w:rsidRDefault="00274CE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19E439" w14:textId="77777777" w:rsidR="00274CEA" w:rsidRPr="007122AB" w:rsidRDefault="00274C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9 марта</w:t>
      </w:r>
      <w:r w:rsidRPr="007122AB">
        <w:rPr>
          <w:rFonts w:ascii="Times New Roman" w:hAnsi="Times New Roman"/>
          <w:color w:val="000000" w:themeColor="text1"/>
          <w:sz w:val="16"/>
          <w:szCs w:val="16"/>
        </w:rPr>
        <w:t xml:space="preserve"> в 1931 году первый полёт транспортного самолёта </w:t>
      </w:r>
      <w:hyperlink r:id="rId34"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125» </w:t>
        </w:r>
      </w:hyperlink>
      <w:r w:rsidRPr="007122AB">
        <w:rPr>
          <w:rFonts w:ascii="Times New Roman" w:hAnsi="Times New Roman"/>
          <w:color w:val="000000" w:themeColor="text1"/>
          <w:sz w:val="16"/>
          <w:szCs w:val="16"/>
        </w:rPr>
        <w:t>(разработчик: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Франция). Самолёт имел в основном деревянную конструкцию и высоко расположенное крыло, поддерживаемое двумя фюзеляжами, каждый из которых имел роскошную кабину для шести пассажиров, туалет и багажное отделение. Над центропланом находилась отдельная кабина для трёх членов экипажа. Хвостовой стабилизатор типа моноплан вместе с </w:t>
      </w:r>
      <w:proofErr w:type="spellStart"/>
      <w:r w:rsidRPr="007122AB">
        <w:rPr>
          <w:rFonts w:ascii="Times New Roman" w:hAnsi="Times New Roman"/>
          <w:color w:val="000000" w:themeColor="text1"/>
          <w:sz w:val="16"/>
          <w:szCs w:val="16"/>
        </w:rPr>
        <w:t>четырёхкилевым</w:t>
      </w:r>
      <w:proofErr w:type="spellEnd"/>
      <w:r w:rsidRPr="007122AB">
        <w:rPr>
          <w:rFonts w:ascii="Times New Roman" w:hAnsi="Times New Roman"/>
          <w:color w:val="000000" w:themeColor="text1"/>
          <w:sz w:val="16"/>
          <w:szCs w:val="16"/>
        </w:rPr>
        <w:t xml:space="preserve"> вертикальным оперением крепился в задней части двух фюзеляжей. Шасси состояло из двух тандемных пар колес, часть которых закрывалась днищем фюзеляжа. Силовую установку составляли два тандемных двигателя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«12Hbr», расположенных на центроплане и вращавших один тянущий и один толкающий винты. Проект Леона </w:t>
      </w:r>
      <w:proofErr w:type="spellStart"/>
      <w:r w:rsidRPr="007122AB">
        <w:rPr>
          <w:rFonts w:ascii="Times New Roman" w:hAnsi="Times New Roman"/>
          <w:color w:val="000000" w:themeColor="text1"/>
          <w:sz w:val="16"/>
          <w:szCs w:val="16"/>
        </w:rPr>
        <w:t>Кирста</w:t>
      </w:r>
      <w:proofErr w:type="spellEnd"/>
      <w:r w:rsidRPr="007122AB">
        <w:rPr>
          <w:rFonts w:ascii="Times New Roman" w:hAnsi="Times New Roman"/>
          <w:color w:val="000000" w:themeColor="text1"/>
          <w:sz w:val="16"/>
          <w:szCs w:val="16"/>
        </w:rPr>
        <w:t xml:space="preserve"> оказался слишком хитроумным, и самолет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125 во время своего первого полета. продемонстрировал недостаточные лётные качества и в следующем году был списан (15063).</w:t>
      </w:r>
    </w:p>
    <w:p w14:paraId="555527C3" w14:textId="77777777" w:rsidR="00274CEA" w:rsidRPr="007122AB" w:rsidRDefault="00274CEA" w:rsidP="007122AB">
      <w:pPr>
        <w:spacing w:after="0" w:line="240" w:lineRule="auto"/>
        <w:jc w:val="both"/>
        <w:rPr>
          <w:rFonts w:ascii="Times New Roman" w:hAnsi="Times New Roman"/>
          <w:color w:val="000000" w:themeColor="text1"/>
          <w:sz w:val="16"/>
          <w:szCs w:val="16"/>
        </w:rPr>
      </w:pPr>
    </w:p>
    <w:p w14:paraId="6F15FF04"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9 марта 1931 состоялся первый полет </w:t>
      </w:r>
      <w:proofErr w:type="spellStart"/>
      <w:r w:rsidRPr="007122AB">
        <w:rPr>
          <w:rFonts w:ascii="Times New Roman" w:hAnsi="Times New Roman"/>
          <w:color w:val="000000" w:themeColor="text1"/>
          <w:sz w:val="16"/>
          <w:szCs w:val="16"/>
        </w:rPr>
        <w:t>Blériot</w:t>
      </w:r>
      <w:proofErr w:type="spellEnd"/>
      <w:r w:rsidRPr="007122AB">
        <w:rPr>
          <w:rFonts w:ascii="Times New Roman" w:hAnsi="Times New Roman"/>
          <w:color w:val="000000" w:themeColor="text1"/>
          <w:sz w:val="16"/>
          <w:szCs w:val="16"/>
        </w:rPr>
        <w:t xml:space="preserve"> 125 F-ALZD (20804). </w:t>
      </w:r>
    </w:p>
    <w:p w14:paraId="39E52893" w14:textId="77777777" w:rsidR="000F1D6E" w:rsidRPr="007122AB" w:rsidRDefault="000F1D6E" w:rsidP="007122AB">
      <w:pPr>
        <w:spacing w:after="0" w:line="240" w:lineRule="auto"/>
        <w:jc w:val="both"/>
        <w:rPr>
          <w:rFonts w:ascii="Times New Roman" w:hAnsi="Times New Roman"/>
          <w:color w:val="000000" w:themeColor="text1"/>
          <w:sz w:val="16"/>
          <w:szCs w:val="16"/>
        </w:rPr>
      </w:pPr>
    </w:p>
    <w:p w14:paraId="66738E29"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марта 1931 управляя самолетом </w:t>
      </w:r>
      <w:proofErr w:type="spellStart"/>
      <w:r w:rsidRPr="007122AB">
        <w:rPr>
          <w:rFonts w:ascii="Times New Roman" w:hAnsi="Times New Roman"/>
          <w:color w:val="000000" w:themeColor="text1"/>
          <w:sz w:val="16"/>
          <w:szCs w:val="16"/>
        </w:rPr>
        <w:t>Farman</w:t>
      </w:r>
      <w:proofErr w:type="spellEnd"/>
      <w:r w:rsidRPr="007122AB">
        <w:rPr>
          <w:rFonts w:ascii="Times New Roman" w:hAnsi="Times New Roman"/>
          <w:color w:val="000000" w:themeColor="text1"/>
          <w:sz w:val="16"/>
          <w:szCs w:val="16"/>
        </w:rPr>
        <w:t xml:space="preserve"> F.302, французские авиаторы Жан </w:t>
      </w:r>
      <w:proofErr w:type="spellStart"/>
      <w:r w:rsidRPr="007122AB">
        <w:rPr>
          <w:rFonts w:ascii="Times New Roman" w:hAnsi="Times New Roman"/>
          <w:color w:val="000000" w:themeColor="text1"/>
          <w:sz w:val="16"/>
          <w:szCs w:val="16"/>
        </w:rPr>
        <w:t>Региненси</w:t>
      </w:r>
      <w:proofErr w:type="spellEnd"/>
      <w:r w:rsidRPr="007122AB">
        <w:rPr>
          <w:rFonts w:ascii="Times New Roman" w:hAnsi="Times New Roman"/>
          <w:color w:val="000000" w:themeColor="text1"/>
          <w:sz w:val="16"/>
          <w:szCs w:val="16"/>
        </w:rPr>
        <w:t xml:space="preserve"> и Марсель </w:t>
      </w:r>
      <w:proofErr w:type="spellStart"/>
      <w:r w:rsidRPr="007122AB">
        <w:rPr>
          <w:rFonts w:ascii="Times New Roman" w:hAnsi="Times New Roman"/>
          <w:color w:val="000000" w:themeColor="text1"/>
          <w:sz w:val="16"/>
          <w:szCs w:val="16"/>
        </w:rPr>
        <w:t>Лалуетт</w:t>
      </w:r>
      <w:proofErr w:type="spellEnd"/>
      <w:r w:rsidRPr="007122AB">
        <w:rPr>
          <w:rFonts w:ascii="Times New Roman" w:hAnsi="Times New Roman"/>
          <w:color w:val="000000" w:themeColor="text1"/>
          <w:sz w:val="16"/>
          <w:szCs w:val="16"/>
        </w:rPr>
        <w:t xml:space="preserve"> установили новые рекорды дальности и продолжительности полета по замкнутому кругу с полезной нагрузкой 2000 кг (4409 фунтов), пролетев 2678 километров (1663 мили) за 17 часов (20804).</w:t>
      </w:r>
    </w:p>
    <w:p w14:paraId="7A21B819" w14:textId="77777777" w:rsidR="000F1D6E" w:rsidRPr="007122AB" w:rsidRDefault="000F1D6E" w:rsidP="007122AB">
      <w:pPr>
        <w:spacing w:after="0" w:line="240" w:lineRule="auto"/>
        <w:jc w:val="both"/>
        <w:rPr>
          <w:rFonts w:ascii="Times New Roman" w:hAnsi="Times New Roman"/>
          <w:color w:val="000000" w:themeColor="text1"/>
          <w:sz w:val="16"/>
          <w:szCs w:val="16"/>
        </w:rPr>
      </w:pPr>
    </w:p>
    <w:p w14:paraId="3EE3418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F54A74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A288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марта 1931 началось строительство г. Магнитогорска в связи с сооружением ММЗ (3263,122).</w:t>
      </w:r>
    </w:p>
    <w:p w14:paraId="3F6B5A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759393" w14:textId="77777777" w:rsidR="00C31C0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DAB2B51" w14:textId="77777777" w:rsidR="00C31C07" w:rsidRPr="007122AB" w:rsidRDefault="00C31C0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A9B61E" w14:textId="77777777" w:rsidR="00C31C07" w:rsidRPr="007122AB" w:rsidRDefault="00C31C0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10 марта</w:t>
      </w:r>
      <w:r w:rsidRPr="007122AB">
        <w:rPr>
          <w:rFonts w:ascii="Times New Roman" w:hAnsi="Times New Roman"/>
          <w:color w:val="000000" w:themeColor="text1"/>
          <w:sz w:val="16"/>
          <w:szCs w:val="16"/>
        </w:rPr>
        <w:t xml:space="preserve"> в 1931 году на соревнованиях Coupe Schneider взлетела первая модель гоночного самолета </w:t>
      </w:r>
      <w:hyperlink r:id="rId35"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Bernard</w:t>
        </w:r>
        <w:proofErr w:type="spellEnd"/>
        <w:r w:rsidRPr="007122AB">
          <w:rPr>
            <w:rFonts w:ascii="Times New Roman" w:hAnsi="Times New Roman"/>
            <w:color w:val="000000" w:themeColor="text1"/>
            <w:sz w:val="16"/>
            <w:szCs w:val="16"/>
          </w:rPr>
          <w:t xml:space="preserve">» «HV-42». </w:t>
        </w:r>
      </w:hyperlink>
      <w:r w:rsidRPr="007122AB">
        <w:rPr>
          <w:rFonts w:ascii="Times New Roman" w:hAnsi="Times New Roman"/>
          <w:color w:val="000000" w:themeColor="text1"/>
          <w:sz w:val="16"/>
          <w:szCs w:val="16"/>
        </w:rPr>
        <w:t xml:space="preserve">Это был одноместный поплавковый низкоплан, оснащенный специальным двигателем для гоночных самолетов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'Special' мощностью 1000 л.с. (15064).</w:t>
      </w:r>
    </w:p>
    <w:p w14:paraId="4BBC61C2" w14:textId="77777777" w:rsidR="00C31C07" w:rsidRPr="007122AB" w:rsidRDefault="00C31C07" w:rsidP="007122AB">
      <w:pPr>
        <w:spacing w:after="0" w:line="240" w:lineRule="auto"/>
        <w:jc w:val="both"/>
        <w:rPr>
          <w:rFonts w:ascii="Times New Roman" w:hAnsi="Times New Roman"/>
          <w:color w:val="000000" w:themeColor="text1"/>
          <w:sz w:val="16"/>
          <w:szCs w:val="16"/>
        </w:rPr>
      </w:pPr>
    </w:p>
    <w:p w14:paraId="6484ED4B"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марта 1931 г. второй прототип, Ju-52bi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Nr</w:t>
      </w:r>
      <w:proofErr w:type="spellEnd"/>
      <w:r w:rsidRPr="00441F34">
        <w:rPr>
          <w:rFonts w:ascii="Times New Roman" w:hAnsi="Times New Roman"/>
          <w:color w:val="0070C0"/>
          <w:sz w:val="16"/>
          <w:szCs w:val="16"/>
        </w:rPr>
        <w:t xml:space="preserve">. 4002, D-2133), совершил первый полет. От первого прототипа он отличался рулями увеличенной площади и двигателем: на нем стоял 800-сильный 14-цилиндровый звездообразный двигатель воздушного охлаждения Армстронг </w:t>
      </w:r>
      <w:proofErr w:type="spellStart"/>
      <w:r w:rsidRPr="00441F34">
        <w:rPr>
          <w:rFonts w:ascii="Times New Roman" w:hAnsi="Times New Roman"/>
          <w:color w:val="0070C0"/>
          <w:sz w:val="16"/>
          <w:szCs w:val="16"/>
        </w:rPr>
        <w:t>Сиддли</w:t>
      </w:r>
      <w:proofErr w:type="spellEnd"/>
      <w:r w:rsidRPr="00441F34">
        <w:rPr>
          <w:rFonts w:ascii="Times New Roman" w:hAnsi="Times New Roman"/>
          <w:color w:val="0070C0"/>
          <w:sz w:val="16"/>
          <w:szCs w:val="16"/>
        </w:rPr>
        <w:t xml:space="preserve"> «Леопард». Воздушный винт — деревянный двухлопастный. Этот самолет стал единственным одномоторным Ju-52, получившим звездообразный двигатель, остальные пять самолетов имели двигатели жидкостного охлаждения с рядным расположением цилиндров. Второй прототип оснастили поплавками, эксплуатационные испытания гидроплана проводились на Эльбе в июле 1931 г. В ходе испытания на самолет установили новое усовершенствованное крыло, после чего обозначение машины изменилось на Ju-52ci. До ноября 1931 г. гидроплан проходил испытания на Балтике в </w:t>
      </w:r>
      <w:proofErr w:type="spellStart"/>
      <w:r w:rsidRPr="00441F34">
        <w:rPr>
          <w:rFonts w:ascii="Times New Roman" w:hAnsi="Times New Roman"/>
          <w:color w:val="0070C0"/>
          <w:sz w:val="16"/>
          <w:szCs w:val="16"/>
        </w:rPr>
        <w:t>Травемюнде</w:t>
      </w:r>
      <w:proofErr w:type="spellEnd"/>
      <w:r w:rsidRPr="00441F34">
        <w:rPr>
          <w:rFonts w:ascii="Times New Roman" w:hAnsi="Times New Roman"/>
          <w:color w:val="0070C0"/>
          <w:sz w:val="16"/>
          <w:szCs w:val="16"/>
        </w:rPr>
        <w:t>.</w:t>
      </w:r>
    </w:p>
    <w:p w14:paraId="5A904A62"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Ju-52ce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Nr</w:t>
      </w:r>
      <w:proofErr w:type="spellEnd"/>
      <w:r w:rsidRPr="00441F34">
        <w:rPr>
          <w:rFonts w:ascii="Times New Roman" w:hAnsi="Times New Roman"/>
          <w:color w:val="0070C0"/>
          <w:sz w:val="16"/>
          <w:szCs w:val="16"/>
        </w:rPr>
        <w:t xml:space="preserve">. 4003, D-USON) оснащался таким же, как на Ju-52be 685-сильным двигателем жидкостного охлаждения BMW </w:t>
      </w:r>
      <w:proofErr w:type="spellStart"/>
      <w:r w:rsidRPr="00441F34">
        <w:rPr>
          <w:rFonts w:ascii="Times New Roman" w:hAnsi="Times New Roman"/>
          <w:color w:val="0070C0"/>
          <w:sz w:val="16"/>
          <w:szCs w:val="16"/>
        </w:rPr>
        <w:t>VIIaU</w:t>
      </w:r>
      <w:proofErr w:type="spellEnd"/>
      <w:r w:rsidRPr="00441F34">
        <w:rPr>
          <w:rFonts w:ascii="Times New Roman" w:hAnsi="Times New Roman"/>
          <w:color w:val="0070C0"/>
          <w:sz w:val="16"/>
          <w:szCs w:val="16"/>
        </w:rPr>
        <w:t>. Самолет использовался для тренировок германских зенитчиков. Второй Ju-52ce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Nr</w:t>
      </w:r>
      <w:proofErr w:type="spellEnd"/>
      <w:r w:rsidRPr="00441F34">
        <w:rPr>
          <w:rFonts w:ascii="Times New Roman" w:hAnsi="Times New Roman"/>
          <w:color w:val="0070C0"/>
          <w:sz w:val="16"/>
          <w:szCs w:val="16"/>
        </w:rPr>
        <w:t xml:space="preserve">. 4004, D-2317) в сентябре 1932 г. был передан Германской школе гражданских летчиков (Deutsche </w:t>
      </w:r>
      <w:proofErr w:type="spellStart"/>
      <w:r w:rsidRPr="00441F34">
        <w:rPr>
          <w:rFonts w:ascii="Times New Roman" w:hAnsi="Times New Roman"/>
          <w:color w:val="0070C0"/>
          <w:sz w:val="16"/>
          <w:szCs w:val="16"/>
        </w:rPr>
        <w:t>Verkehrsfliegerschule</w:t>
      </w:r>
      <w:proofErr w:type="spellEnd"/>
      <w:r w:rsidRPr="00441F34">
        <w:rPr>
          <w:rFonts w:ascii="Times New Roman" w:hAnsi="Times New Roman"/>
          <w:color w:val="0070C0"/>
          <w:sz w:val="16"/>
          <w:szCs w:val="16"/>
        </w:rPr>
        <w:t>, DVS). В обстановке секретности в школе готовились кадры для будущих люфтваффе — Версальский договор запрещал Германии иметь военную авиацию. Позже самолет переставили с колес на поплавки для обучения летчиков кригсмарине, а затем машина принимала участие в отработке сброса торпед (24200).</w:t>
      </w:r>
    </w:p>
    <w:p w14:paraId="6C828045" w14:textId="77777777" w:rsidR="004F1F65" w:rsidRPr="00441F34" w:rsidRDefault="004F1F65" w:rsidP="004F1F65">
      <w:pPr>
        <w:spacing w:after="0" w:line="240" w:lineRule="auto"/>
        <w:jc w:val="both"/>
        <w:rPr>
          <w:rFonts w:ascii="Times New Roman" w:hAnsi="Times New Roman"/>
          <w:color w:val="0070C0"/>
          <w:sz w:val="16"/>
          <w:szCs w:val="16"/>
        </w:rPr>
      </w:pPr>
    </w:p>
    <w:p w14:paraId="14FF268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B767EE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EE7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11 марта 1931 проходили гос. испытания опытного АНТ-7 Р-6 (1017,198).</w:t>
      </w:r>
    </w:p>
    <w:p w14:paraId="772BBA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A580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11/12 марта 1931 года начальник УВВС писал письмо № 35сс НТК</w:t>
      </w:r>
    </w:p>
    <w:p w14:paraId="5F3305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серийной постройке самолета ТБ-3-4хМ17</w:t>
      </w:r>
    </w:p>
    <w:p w14:paraId="436ADB2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ТБ3-4хКертис-Конкверор прошел полетные испытания по сокращенной программе.</w:t>
      </w:r>
    </w:p>
    <w:p w14:paraId="756765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AB4824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опытном самолете ТБ3 установлены заграничные моторы Кертис-</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в серии же, ТБ3 должен строиться с моторами М17.</w:t>
      </w:r>
    </w:p>
    <w:p w14:paraId="19F5BA6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опытный экземпляр самолета ТБ3 находится в ЦАГИ, который производит на нем установку моторов М17, переделку рулей и устранение ряда мелких дефектов.</w:t>
      </w:r>
    </w:p>
    <w:p w14:paraId="02FBC8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согласно установленному сроку должен быть передан на испытание в НИИ с устраненными дефектами к 25 апреля 1931 года.</w:t>
      </w:r>
    </w:p>
    <w:p w14:paraId="104D3E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с испытаниями ТБ3-4хМ17 будут проведены его испытания с подкрыльными пулеметными башнями, изготовленными на заводе № 22, усиливающими огневую мощь самолета, которая при наличных 6 пулеметах недостаточна, не обеспечивая обстрел задней полусферы.</w:t>
      </w:r>
    </w:p>
    <w:p w14:paraId="7E68746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(6274, 80).</w:t>
      </w:r>
    </w:p>
    <w:p w14:paraId="0846F3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206A9" w14:textId="77777777" w:rsidR="005C4849" w:rsidRPr="007122AB" w:rsidRDefault="00874B1E"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9C649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26F21D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марта 1931 г. при Главном управлении ЭПРОН для проработки производственных вопросов, разработки проектов и планов судоподъемных, аварийно-спасательных и водолазно-строительных работ, конструкции приспособлений и усовершенствований производства был организован Научно-технический совет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xml:space="preserve">, в который наряду со специалистами его Главного управления вошли ведущие ученые в области кораблестроения - академик Алексей Николаевич Крылов, члены-корреспонденты АН СССР </w:t>
      </w:r>
      <w:proofErr w:type="spellStart"/>
      <w:r w:rsidRPr="007122AB">
        <w:rPr>
          <w:rFonts w:ascii="Times New Roman" w:hAnsi="Times New Roman"/>
          <w:color w:val="000000" w:themeColor="text1"/>
          <w:sz w:val="16"/>
          <w:szCs w:val="16"/>
        </w:rPr>
        <w:t>Ю.А.Шиманский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П.Ф.Попкович</w:t>
      </w:r>
      <w:proofErr w:type="spellEnd"/>
      <w:r w:rsidRPr="007122AB">
        <w:rPr>
          <w:rFonts w:ascii="Times New Roman" w:hAnsi="Times New Roman"/>
          <w:color w:val="000000" w:themeColor="text1"/>
          <w:sz w:val="16"/>
          <w:szCs w:val="16"/>
        </w:rPr>
        <w:t xml:space="preserve">, профессор </w:t>
      </w:r>
      <w:proofErr w:type="spellStart"/>
      <w:r w:rsidRPr="007122AB">
        <w:rPr>
          <w:rFonts w:ascii="Times New Roman" w:hAnsi="Times New Roman"/>
          <w:color w:val="000000" w:themeColor="text1"/>
          <w:sz w:val="16"/>
          <w:szCs w:val="16"/>
        </w:rPr>
        <w:t>В.Г.Власов</w:t>
      </w:r>
      <w:proofErr w:type="spellEnd"/>
      <w:r w:rsidRPr="007122AB">
        <w:rPr>
          <w:rFonts w:ascii="Times New Roman" w:hAnsi="Times New Roman"/>
          <w:color w:val="000000" w:themeColor="text1"/>
          <w:sz w:val="16"/>
          <w:szCs w:val="16"/>
        </w:rPr>
        <w:t xml:space="preserve"> и в области физиологии водолазного руда академик Леон </w:t>
      </w:r>
      <w:proofErr w:type="spellStart"/>
      <w:r w:rsidRPr="007122AB">
        <w:rPr>
          <w:rFonts w:ascii="Times New Roman" w:hAnsi="Times New Roman"/>
          <w:color w:val="000000" w:themeColor="text1"/>
          <w:sz w:val="16"/>
          <w:szCs w:val="16"/>
        </w:rPr>
        <w:t>Абгарович</w:t>
      </w:r>
      <w:proofErr w:type="spellEnd"/>
      <w:r w:rsidRPr="007122AB">
        <w:rPr>
          <w:rFonts w:ascii="Times New Roman" w:hAnsi="Times New Roman"/>
          <w:color w:val="000000" w:themeColor="text1"/>
          <w:sz w:val="16"/>
          <w:szCs w:val="16"/>
        </w:rPr>
        <w:t xml:space="preserve"> Орбели и член-корреспондент АН СССР Евгений Михайлович Крепе. С 1932 г. Научно-технический совет возглавлял начальник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xml:space="preserve"> Фотий Иванович Крылов. Материалы заседаний Совета и отчеты по наиболее интересным судоподъемным и водолазным работам публиковались в "Сборниках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которые начали издаваться с 1933 г. (11631).</w:t>
      </w:r>
    </w:p>
    <w:p w14:paraId="3167CB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F062E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20F2EC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817F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марта 1931 в СССР была запрещена продажа и импорт библий (2100).</w:t>
      </w:r>
    </w:p>
    <w:p w14:paraId="71FB8B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2836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марта 1931 был ликвидирован Союз союзов сельскохозяйственной кооперации СССР (начало свертывания кооперации). Все руководство сельским хозяйством было возложено на Наркомзем (оперативное руководство) и </w:t>
      </w:r>
      <w:proofErr w:type="spellStart"/>
      <w:r w:rsidRPr="007122AB">
        <w:rPr>
          <w:rFonts w:ascii="Times New Roman" w:hAnsi="Times New Roman"/>
          <w:color w:val="000000" w:themeColor="text1"/>
          <w:sz w:val="16"/>
          <w:szCs w:val="16"/>
        </w:rPr>
        <w:t>Наркомснаб</w:t>
      </w:r>
      <w:proofErr w:type="spellEnd"/>
      <w:r w:rsidRPr="007122AB">
        <w:rPr>
          <w:rFonts w:ascii="Times New Roman" w:hAnsi="Times New Roman"/>
          <w:color w:val="000000" w:themeColor="text1"/>
          <w:sz w:val="16"/>
          <w:szCs w:val="16"/>
        </w:rPr>
        <w:t xml:space="preserve"> (заготовки) (3908,335).</w:t>
      </w:r>
    </w:p>
    <w:p w14:paraId="53C51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1191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марта 1931 в СССР введен комплекс ГТО (4962).</w:t>
      </w:r>
    </w:p>
    <w:p w14:paraId="1EF4CF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A57E1"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марта 1931 года в СССР введён физкультурный комплекс ГТО - программа физкультурной подготовки в общеобразовательных, профессиональных и спортивных организациях, основополагающая в единой и поддерживаемой государством системе патриотического воспитания молодёжи. Существовала с 1931 по 1991 год. Охватывала население в возрасте от 10 до 60 лет. В Советской армии аналогом ГТО был Военно-спортивный комплекс (21166).</w:t>
      </w:r>
    </w:p>
    <w:p w14:paraId="608A138D" w14:textId="77777777" w:rsidR="000F1D6E" w:rsidRPr="007122AB" w:rsidRDefault="000F1D6E" w:rsidP="007122AB">
      <w:pPr>
        <w:spacing w:after="0" w:line="240" w:lineRule="auto"/>
        <w:jc w:val="both"/>
        <w:rPr>
          <w:rFonts w:ascii="Times New Roman" w:hAnsi="Times New Roman"/>
          <w:color w:val="000000" w:themeColor="text1"/>
          <w:sz w:val="16"/>
          <w:szCs w:val="16"/>
        </w:rPr>
      </w:pPr>
    </w:p>
    <w:p w14:paraId="30CFBA13" w14:textId="77777777" w:rsidR="00E65C7F" w:rsidRPr="007122AB" w:rsidRDefault="00E65C7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Внутренняя политика:</w:t>
      </w:r>
    </w:p>
    <w:p w14:paraId="2C223469" w14:textId="77777777" w:rsidR="00E65C7F" w:rsidRPr="007122AB" w:rsidRDefault="00E65C7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7415AE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марта 1931 г. В записке Госплана «О мобилизационном плане промышленности» отмечалось, что скорректированный план заказов 1931 г. предусматривал снятие с производства почти всех прежних образцов вооружений, и что «промышленность должна была перейти в 1931 г. на производство новых и модернизированных образцов». Это обстоятельство имело своим следствием наличие большого числа так называемых «недоделов» по всей номенклатуре военной продукции, не исключая и средства военной связи;</w:t>
      </w:r>
    </w:p>
    <w:p w14:paraId="61489FE3"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несвоевременное и не в полном объеме поступление импортного оборудования, без которого развертывание производства новой продукции было невозможным (на завод им. Козицкого импортное оборудование поступило в течение года в размере 24% от поданных заявок);</w:t>
      </w:r>
    </w:p>
    <w:p w14:paraId="3A2AB71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нехватка квалифицированной рабочей силы. На том же заводе им. Козицкого во II отделе, где выполнялись заказы УС КА, пополнение рабочими шло исключительно за счет неквалифицированных кадров, что неизбежно вело к росту брака при выпуске сложной специальной аппаратуры. Кроме того на заводе ощущался острый недостаток инженеров, а в плановых бюро отделов – квалифицированных техников;</w:t>
      </w:r>
    </w:p>
    <w:p w14:paraId="13BF7961"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несвоевременное поступление на заводы чертежей на выпускаемые изделия, низкое их качество и частые изменения, вносившиеся как заказчиками, так и разработчиками;</w:t>
      </w:r>
    </w:p>
    <w:p w14:paraId="33A0274D"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проводившиеся на заводах параллельно с развертыванием производства реорганизации организационно-штатной структуры;</w:t>
      </w:r>
    </w:p>
    <w:p w14:paraId="22107D21"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перебои с подачей электроэнергии. Эта проблема лихорадила ленинградские предприятия на протяжении всей первой пятилетки.</w:t>
      </w:r>
    </w:p>
    <w:p w14:paraId="6D9D31C1"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среднем простои по этой причине составляли до четырех суток в месяц, а в январе 1932 г. только за первую декаду тот же завод им. Козицкого был отключен от электроснабжения в течение 80 часов. Такая обстановка потребовала вмешательства МПУ ВСНХ: последовало распоряжение этого органа о переводе ленинградских заводов ВЭСО «… в части снабжения электроэнергией в первую категорию предприятий, подлежащих отключению в последнюю очередь» (18297).</w:t>
      </w:r>
    </w:p>
    <w:p w14:paraId="428A9FFD"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5B2895E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F0AEB4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F1A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12 марта 1931 состоялось совещание специалистов ЦАГИ и завода п/я 747 о порядке передачи чертежей АНТ-6 (ТБ-3) (1077,123).</w:t>
      </w:r>
    </w:p>
    <w:p w14:paraId="71B526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8B81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марта 1931 года на совещании в НТС ВАО (протокол NN 163/2098) </w:t>
      </w:r>
      <w:proofErr w:type="spellStart"/>
      <w:r w:rsidRPr="007122AB">
        <w:rPr>
          <w:rFonts w:ascii="Times New Roman" w:hAnsi="Times New Roman"/>
          <w:color w:val="000000" w:themeColor="text1"/>
          <w:sz w:val="16"/>
          <w:szCs w:val="16"/>
        </w:rPr>
        <w:t>К.А.Калинин</w:t>
      </w:r>
      <w:proofErr w:type="spellEnd"/>
      <w:r w:rsidRPr="007122AB">
        <w:rPr>
          <w:rFonts w:ascii="Times New Roman" w:hAnsi="Times New Roman"/>
          <w:color w:val="000000" w:themeColor="text1"/>
          <w:sz w:val="16"/>
          <w:szCs w:val="16"/>
        </w:rPr>
        <w:t xml:space="preserve"> заявил, что срок готовности К-7 даже 1 января 1932 года является для него приемлемым. Постановлением РВС первоначальный срок готовности самолета был установлен III-IV квартал 1932 года (3903).</w:t>
      </w:r>
    </w:p>
    <w:p w14:paraId="7C067F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66B012" w14:textId="77777777" w:rsidR="00FB17D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E7D5784" w14:textId="77777777" w:rsidR="00FB17DA" w:rsidRPr="007122AB" w:rsidRDefault="00FB17D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93268A" w14:textId="77777777" w:rsidR="00C31C07" w:rsidRPr="007122AB" w:rsidRDefault="00C31C07"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12 марта 1931 г. — Из аналитического доклада сотрудника Орудийно-арсенального объединения А. Кривенко о кооперировании военного производства с гражданской промышленностью</w:t>
      </w:r>
    </w:p>
    <w:p w14:paraId="2D3A4FD4"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31154DBC"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I. Общие данные</w:t>
      </w:r>
    </w:p>
    <w:p w14:paraId="1953F75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Предметы материальной части артиллерии и ручного оружия являются целиком продукцией специальных заводов, производство коих, за небольшими исключениями («Красный Путиловец», «Сормово»), мало знакомо гражданской промышленности.</w:t>
      </w:r>
    </w:p>
    <w:p w14:paraId="4544C0D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Современные требования на техническое оснащение армии специальными предметами вооружения (артиллерия, ручное оружие) настолько велики, что нашим кадровым заводам не под силу справиться с этой задачей. Было бы неправильным, если бы наше социалистическое государство, где в отношении управления промышленностью господствует плановое начало, не использовало бы этого выигрышного, но сравнению с капиталистическим частным хозяйством, положения. Отсюда вывод, что в нашем государстве вся промышленность, работая на оборону, должна производить все предметы боевого снабжения армии.</w:t>
      </w:r>
    </w:p>
    <w:p w14:paraId="79A6B1B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В предстоящей войне наши возможные западные противники, поддержанные большой Антантой, выведут в поле армии, снабженные в достаточной степени могущественной артиллерией с почти неограниченным количеством снарядов и ручным оружием новейших образцов.</w:t>
      </w:r>
    </w:p>
    <w:p w14:paraId="0AFCFA33"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Предполагается, что заявка НКВМ вар[</w:t>
      </w:r>
      <w:proofErr w:type="spellStart"/>
      <w:r w:rsidRPr="007122AB">
        <w:rPr>
          <w:color w:val="000000" w:themeColor="text1"/>
          <w:sz w:val="16"/>
          <w:szCs w:val="16"/>
        </w:rPr>
        <w:t>ианта</w:t>
      </w:r>
      <w:proofErr w:type="spellEnd"/>
      <w:r w:rsidRPr="007122AB">
        <w:rPr>
          <w:color w:val="000000" w:themeColor="text1"/>
          <w:sz w:val="16"/>
          <w:szCs w:val="16"/>
        </w:rPr>
        <w:t>] 10 по своему существу определяет наши промышленные и сырьевые возможности, которые и составляют ресурсы для обороны государства, подсчитанные на основе нашей производственной и сырьевой базы на 1 января 1932 г., т. е. на 1932 г.</w:t>
      </w:r>
    </w:p>
    <w:p w14:paraId="261730E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Все ли нами сделано в направлении использования всех ресурсов но изготовлению оружия? На этот вопрос нужно ответить, что мы еще не использовали в достаточной степени мощь нашей промышленности и нашу сырьевую базу. Использование гражданской промышленности мыслится как максимальное внедрение в нее изготовления матчасти артиллерии и ручного оружия, целиком или отдельными его частями. Специальные военные артиллерийские и ружейные заводы должны служить одновременно с выполнением своей программы для целей инструктажа. Эти военные заводы должны быть ведущими, головными заводами и с приданными и включенными в сферу их влияния гражданскими заводами будут представлять целое объединение, концерн, который должен быть специализирован для производства определенных систем.</w:t>
      </w:r>
    </w:p>
    <w:p w14:paraId="62BBAE23"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Исходя из этих предпосылок и анализа разработанных ВСНХ СССР контрольных цифр 1931 г., приходим к выводу, что, так как вопросы широкого внедрения начала кооперирования в гражданскую промышленность в этом плане не нашли достаточного отражения, заявка НКВМ, его вариант 10, не исчерпывает в полной мере экономическую мощь государства, а следовательно, является недостаточной по своим размерам требований и подлежит переработке уже теперь.</w:t>
      </w:r>
    </w:p>
    <w:p w14:paraId="5514529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Основным вопросом, который не нашел достаточного отражения в плане ВСНХ, который сразу же бросается в глаза, это кооперирование и ассимиляция, т. е. внедрение военных производств в гражданскую промышленность.</w:t>
      </w:r>
    </w:p>
    <w:p w14:paraId="07B1A847"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Этот вопрос совершенно не разработан, а казалось бы с этого нужно было начать, ибо в основу экономической мобилизации должен быть положен уровень производительных сил страны, всех ее предприятий в целом. А так как всю десятку мы построили и подровняли по подаче предметов вооружения и военного снабжения без учета кооперирования, то, следовательно, не исчерпали и не составили плана полного рационального использования промышленности.</w:t>
      </w:r>
    </w:p>
    <w:p w14:paraId="4591667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Вне всякого сомнения, наша гражданская промышленность имеет множество возможностей, при рациональном ведении производственных процессов, к подаче продукции в большем количестве, чем это предусмотрено </w:t>
      </w:r>
      <w:proofErr w:type="spellStart"/>
      <w:r w:rsidRPr="007122AB">
        <w:rPr>
          <w:color w:val="000000" w:themeColor="text1"/>
          <w:sz w:val="16"/>
          <w:szCs w:val="16"/>
        </w:rPr>
        <w:t>мобготовностью</w:t>
      </w:r>
      <w:proofErr w:type="spellEnd"/>
      <w:r w:rsidRPr="007122AB">
        <w:rPr>
          <w:color w:val="000000" w:themeColor="text1"/>
          <w:sz w:val="16"/>
          <w:szCs w:val="16"/>
        </w:rPr>
        <w:t xml:space="preserve"> предприятий на 1 января 1932 г. по плану капитального строительства 1931 г.</w:t>
      </w:r>
    </w:p>
    <w:p w14:paraId="76149F52"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Мы должны соответственно мобилизовать нашу промышленность, поставить ей четкие, понятные задачи, приспособить целый ряд гражданских предприятий к изготовлению ряда предметов специального военного назначения, производство которых является теперь специальностью военных заводов.</w:t>
      </w:r>
    </w:p>
    <w:p w14:paraId="1031008E"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Современное техническое оснащение армии, малочисленность специальных военных заводов, огромное количество предметов вооружения, которые способна будет освоить мобилизованная армия, ставит на очередь вопрос о разгрузке военных заводов от изготовления ряда предметов военного назначения, целиком или частями (изготовление отдельных деталей), и передачи на наши металлургические, металлообрабатывающие и машиностроительные заводы изготовления этих предметов.</w:t>
      </w:r>
    </w:p>
    <w:p w14:paraId="42EF137D"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II. Вопросы стандартизации</w:t>
      </w:r>
    </w:p>
    <w:p w14:paraId="68CB7C52"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В целях упрощения внедрения массового производства предметов вооружения в гражданскую промышленность будет являться разработка промышленностью стандартов с детальными техническими описаниями, главной составной частью которых будут являться чертежи. Конструкция всех изделий, предназначенных к массовому выпуску, должна быть окончательно разработанной и утвержденной НКВМ. После увязки военных требований с возможностями промышленности данный предмет вооружения стандартизируется. Как обязательное правило, все стандарты должны предусматривать максимальную экономию остродефицитных или дорогих материалов и замену их полноценными суррогатами.</w:t>
      </w:r>
    </w:p>
    <w:p w14:paraId="616D54CA"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Сектор обороны Госплана должен обратить внимание на деятельность ВКС, под руководством которого во исполнение постановления СТО проводится работа по разработке промышленностью стандартов. Прошло уже 8 месяцев со дня издания этого постановления, а результатов работы пока нет. Объединения, за небольшим исключением, к этой работе еще не приступили, а между тем в свете наших установок по экономической мобилизации государства эта работа приобретает особенное, первостепенной важности оборонное значение. Надо включиться в эту работу, рассмотреть ее детали и внести в нее коррективы, если это потребуется по обстоятельствам.</w:t>
      </w:r>
    </w:p>
    <w:p w14:paraId="3A5AC504"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Стандартизация предметов вооружения при условии упрощения и облегчения технических условий дает нам возможность и гарантию ускорения развертывания массового производства в наикратчайшие мобилизационные сроки. Армия при мобилизации сумеет получить в стране большое количество имущества, вполне пригодного к войне, а гражданская промышленность может легко перейти на массовый выпуск, при условии, если разработанные стандарты будут освоены в производстве в мирное время.</w:t>
      </w:r>
    </w:p>
    <w:p w14:paraId="4744F90E" w14:textId="77777777" w:rsidR="00C31C07" w:rsidRPr="007122AB" w:rsidRDefault="00C31C07" w:rsidP="007122AB">
      <w:pPr>
        <w:spacing w:after="0" w:line="240" w:lineRule="auto"/>
        <w:jc w:val="both"/>
        <w:rPr>
          <w:rFonts w:ascii="Times New Roman" w:hAnsi="Times New Roman"/>
          <w:color w:val="000000" w:themeColor="text1"/>
          <w:sz w:val="16"/>
          <w:szCs w:val="16"/>
          <w:lang w:eastAsia="ru-RU"/>
        </w:rPr>
      </w:pPr>
      <w:r w:rsidRPr="007122AB">
        <w:rPr>
          <w:rStyle w:val="a7"/>
          <w:rFonts w:ascii="Times New Roman" w:hAnsi="Times New Roman"/>
          <w:b w:val="0"/>
          <w:bCs w:val="0"/>
          <w:color w:val="000000" w:themeColor="text1"/>
          <w:sz w:val="16"/>
          <w:szCs w:val="16"/>
        </w:rPr>
        <w:t>III. Калибровое хозяйство</w:t>
      </w:r>
    </w:p>
    <w:p w14:paraId="3C135651"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Приступая к приспособлению гражданских заводов для производства матчасти артиллерии и ручного оружия, нужно не упустить из виду необходимость создания специальных промышленных предприятий, которые обеспечивали бы гражданские заводы калибрами и инструментом.</w:t>
      </w:r>
    </w:p>
    <w:p w14:paraId="4CE33F2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Госплан считает, что при разработке плана широкого кооперирования и ассимиляции военных производств необходимо наметить заводы или выстроить их вновь для производства калибров и специального инструмента для обработки металла. Наши гражданские заводы в лекальном деле будут испытывать, вне всякого сомнения, значительные перебои, а в некоторых случаях будут даже бессильны что-либо предпринять в этом направлении. Готовый инструмент и лекала значительно облегчат освоение военных производств.</w:t>
      </w:r>
    </w:p>
    <w:p w14:paraId="44FAEAA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Нам мыслится, что при строительстве таких заводов нужно иметь в виду их специализацию отдельно для лекал и отдельно для инструмента. На заводе калибров должны готовиться калибры как рабочие, так образцовые и приемочные по существующим у нас нормам. В основу нормализации калибров должны быть положены разработки Комитета по стандартизации в отношении пригонок, допусков, обозначения калибров и т. д. Если эта нормализация не проведена, ее нужно провести в срочном порядке.</w:t>
      </w:r>
    </w:p>
    <w:p w14:paraId="6908CB94"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Наша военная промышленность уже сейчас испытывает неполадки из-за недостатка лекал. Основным тормозом является отсутствие высококвалифицированных рабочих-лекальщиков. Ясно, что мы варварски, технически отстало ведем это дело, и без решительного сдвига в сторону концентрации этого вида производства мы не выйдем из тупика.</w:t>
      </w:r>
    </w:p>
    <w:p w14:paraId="1176CE7A"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Необходимо немедля приступить к созданию специальных предприятий по производству лекал и специального инструмента для матчасти артиллерии и стрелкового оружия. Концентрация производства дает возможность сберечь рабсилу, которая при разбросанности производства на каждом предприятии не может быть использована достаточно рационально. На этих заводах можно будет построить соответствующий современным техническим достижениям производственный процесс, который будет гарантировать качество лекал. Затем на таких крупных заводах можно будет с успехом использовать иностранную техпомощь.</w:t>
      </w:r>
    </w:p>
    <w:p w14:paraId="15DBCC67"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Для удовлетворения нужд фронта в военное время потребуется колоссальное напряжение работы промышленности. Производство предметов боевого снабжения должно быть массовым производством кооперированных заводов, на основе полной взаимозаменяемости деталей. Это-то и выдвигает на передний план вопрос о калибрах (поверочном инструменте). Если к началу войны будет иметься достаточный запас правильно сконструированных калибров, то период развертывания производства значительно сократится, уменьшатся общие расходы промышленности, повысится качество продукции и производительность труда.</w:t>
      </w:r>
    </w:p>
    <w:p w14:paraId="2C3D5A18"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IV. Патронное производство</w:t>
      </w:r>
    </w:p>
    <w:p w14:paraId="48B619E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Насыщенность Красной армии автоматическим огнестрельным оружием потребует соответствующего снабжения армии патронами. В условиях будущей войны эта задача вследствие количественного роста потребности, несомненно, усложнится. Трудность производства достаточного количества патронов усугубляется необходимостью подачи наравне с обыкновенными патронами специальных патронов: бронебойных, трассирующих, крупнокалиберных и других, производство которых, несомненно, сложнее обыкновенных патронов.</w:t>
      </w:r>
    </w:p>
    <w:p w14:paraId="0D0D25F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lastRenderedPageBreak/>
        <w:t>Новизна этого дела у нас в отношении специальных патронов, а также переход на гильзу из плакированного железа, в первый период развертывания окажет свое вредное влияние на качество продукции и производительность заводов. В случае принятия на вооружение самозарядной винтовки расход патронов должен еще более возрасти.</w:t>
      </w:r>
    </w:p>
    <w:p w14:paraId="4C7717A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Естественно, что изготовление 500 и более </w:t>
      </w:r>
      <w:proofErr w:type="spellStart"/>
      <w:r w:rsidRPr="007122AB">
        <w:rPr>
          <w:color w:val="000000" w:themeColor="text1"/>
          <w:sz w:val="16"/>
          <w:szCs w:val="16"/>
        </w:rPr>
        <w:t>милл</w:t>
      </w:r>
      <w:proofErr w:type="spellEnd"/>
      <w:r w:rsidRPr="007122AB">
        <w:rPr>
          <w:color w:val="000000" w:themeColor="text1"/>
          <w:sz w:val="16"/>
          <w:szCs w:val="16"/>
        </w:rPr>
        <w:t>[иона| патронов в месяц, как это запроектировано по варианту 10, требует высокого развития патронного производства и соответствующего его обеспечения материалами, станками, рабочей силой. Патронное производство является узкоспециальной отраслью производства, обслуживаемой исключительно назначенными для этой цели станками. Приспособить для производства патронов какие-либо заводы гражданской промышленности при современном состоянии техники вряд ли возможно. Это вынуждает создавать в мирное время такие производительные мощности по оборудованию, которые смогли бы с объявлением войны и во время ее ведения обеспечить подачу патронов в нужном количестве.</w:t>
      </w:r>
    </w:p>
    <w:p w14:paraId="0FD42D9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Принимая во внимание возможные аварии, износ оборудования и его амортизацию, а также то обстоятельство, что импорт станков будет ограничен блокадой, необходимое для патронного производства большое количество различных станков специальных типов требует развития такого машиностроения и в таких размерах у нас, чтобы обеспечить бесперебойность производства во время войны.</w:t>
      </w:r>
    </w:p>
    <w:p w14:paraId="59E63A0C"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По программе 1931 г. производство таких специальных станков, недостающих для полного комплекта по заданным мощностям, </w:t>
      </w:r>
      <w:proofErr w:type="spellStart"/>
      <w:r w:rsidRPr="007122AB">
        <w:rPr>
          <w:color w:val="000000" w:themeColor="text1"/>
          <w:sz w:val="16"/>
          <w:szCs w:val="16"/>
        </w:rPr>
        <w:t>Патрубвзрыв</w:t>
      </w:r>
      <w:proofErr w:type="spellEnd"/>
      <w:r w:rsidRPr="007122AB">
        <w:rPr>
          <w:color w:val="000000" w:themeColor="text1"/>
          <w:sz w:val="16"/>
          <w:szCs w:val="16"/>
        </w:rPr>
        <w:t xml:space="preserve"> производит на своих заводах силами своего металлообрабатывающего оборудования (ремонтные цеха, мирное производство). В военное время массовое производство специальных патронных станков силами патронных заводов, без соответствующего расширения и упорядочения этого производства еще в мирное время, по-видимому, будет исключено, так как все площади заводов, его технический и рабочий персонал будет занят основным видом производства — патронным. Поэтому представляется необходимым уже теперь внести в это дело ясность и проработать вопрос снабжения заводов специальными патронными станками. При разрешении вопроса об установке такого вида специального машиностроения можно наметить 3 пути: 1. Постройка или приспособление одного какого-либо завода, не связанного с патронным производством. 2. Постройка на существующих крупных патронных заводах специальных цехов для производства станков. 3. Концентрация производства станков на одном из патронных заводов.</w:t>
      </w:r>
    </w:p>
    <w:p w14:paraId="704DB4A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Я считаю, что для этого дела нужно оборудовать специальный завод, который в мирное время, сохраняя оборудование и все технологические разработки и имея небольшой заказ на специальные патронные станки, включается в общую сеть машиностроительных заводов Союза по производству предметов или оборудования общегражданского назначения.</w:t>
      </w:r>
    </w:p>
    <w:p w14:paraId="70193446"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V. Производство матчасти артиллерии</w:t>
      </w:r>
    </w:p>
    <w:p w14:paraId="11F76322"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1. Металлургическая база</w:t>
      </w:r>
    </w:p>
    <w:p w14:paraId="5AA2D303"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Производство основной массы артиллерии возложено на специально организованное для этой цели </w:t>
      </w:r>
      <w:proofErr w:type="spellStart"/>
      <w:r w:rsidRPr="007122AB">
        <w:rPr>
          <w:color w:val="000000" w:themeColor="text1"/>
          <w:sz w:val="16"/>
          <w:szCs w:val="16"/>
        </w:rPr>
        <w:t>Оружобъединение</w:t>
      </w:r>
      <w:proofErr w:type="spellEnd"/>
      <w:r w:rsidRPr="007122AB">
        <w:rPr>
          <w:color w:val="000000" w:themeColor="text1"/>
          <w:sz w:val="16"/>
          <w:szCs w:val="16"/>
        </w:rPr>
        <w:t>, имеющее мощные артиллерийские металлообрабатывающие заводы и свою металлургическую базу.</w:t>
      </w:r>
    </w:p>
    <w:p w14:paraId="3385F4C1"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В основном данное объединение сконструировано правильно, если принять во внимание опыт Запада, где такие концерны также имеют свою металлургическую базу. Но на Западе, в частности в Италии, эта база представляется как отдельный металлургический завод, изготовляющий поковки для различных целей, в том числе и для артиллерии. Металлургическая же база нашего </w:t>
      </w:r>
      <w:proofErr w:type="spellStart"/>
      <w:r w:rsidRPr="007122AB">
        <w:rPr>
          <w:color w:val="000000" w:themeColor="text1"/>
          <w:sz w:val="16"/>
          <w:szCs w:val="16"/>
        </w:rPr>
        <w:t>Оружобъединения</w:t>
      </w:r>
      <w:proofErr w:type="spellEnd"/>
      <w:r w:rsidRPr="007122AB">
        <w:rPr>
          <w:color w:val="000000" w:themeColor="text1"/>
          <w:sz w:val="16"/>
          <w:szCs w:val="16"/>
        </w:rPr>
        <w:t xml:space="preserve"> представляет из себя привеску к металлообрабатывающим предприятиям, связанную административными, хозяйственными и техническими узами воедино.</w:t>
      </w:r>
    </w:p>
    <w:p w14:paraId="350B61B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Правильна ли эта организация, если принять во внимание, что черная металлургия, хотя бы и высококачественных сталей, и точная обработка этой стали для превращения в сложную машину, какой является современное орудие, производства совершенно различные по своей технологической природе. Мне кажется, что тут не может быть двух мнений и что эти процессы — металлургию и металлообработку — можно без ущерба для дела организационно разъединить. Такое деление освободит специальный военный завод, его административный и технический аппарат для самой ответственной, по существу уникальной работы, какой нужно считать изготовление самого орудия. Производство же качественного металла, работу, требующую затраты менее квалифицированного труда и по своему существу простую, можно без ущерба для интересов орудийных заводов передать гражданской промышленности на наши металлургические гиганты: Магнитострой, </w:t>
      </w:r>
      <w:proofErr w:type="spellStart"/>
      <w:r w:rsidRPr="007122AB">
        <w:rPr>
          <w:color w:val="000000" w:themeColor="text1"/>
          <w:sz w:val="16"/>
          <w:szCs w:val="16"/>
        </w:rPr>
        <w:t>Кузнецкстрой</w:t>
      </w:r>
      <w:proofErr w:type="spellEnd"/>
      <w:r w:rsidRPr="007122AB">
        <w:rPr>
          <w:color w:val="000000" w:themeColor="text1"/>
          <w:sz w:val="16"/>
          <w:szCs w:val="16"/>
        </w:rPr>
        <w:t>, в Донбасс и др.</w:t>
      </w:r>
    </w:p>
    <w:p w14:paraId="10B0558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Одновременно с отливкой и ковкой заготовок на эти заводы можно будет возложить и предварительную обработку поковок, чтобы не было такого безобразного положения, когда Пермский </w:t>
      </w:r>
      <w:proofErr w:type="spellStart"/>
      <w:r w:rsidRPr="007122AB">
        <w:rPr>
          <w:color w:val="000000" w:themeColor="text1"/>
          <w:sz w:val="16"/>
          <w:szCs w:val="16"/>
        </w:rPr>
        <w:t>оруд</w:t>
      </w:r>
      <w:proofErr w:type="spellEnd"/>
      <w:r w:rsidRPr="007122AB">
        <w:rPr>
          <w:color w:val="000000" w:themeColor="text1"/>
          <w:sz w:val="16"/>
          <w:szCs w:val="16"/>
        </w:rPr>
        <w:t>[</w:t>
      </w:r>
      <w:proofErr w:type="spellStart"/>
      <w:r w:rsidRPr="007122AB">
        <w:rPr>
          <w:color w:val="000000" w:themeColor="text1"/>
          <w:sz w:val="16"/>
          <w:szCs w:val="16"/>
        </w:rPr>
        <w:t>ийный</w:t>
      </w:r>
      <w:proofErr w:type="spellEnd"/>
      <w:r w:rsidRPr="007122AB">
        <w:rPr>
          <w:color w:val="000000" w:themeColor="text1"/>
          <w:sz w:val="16"/>
          <w:szCs w:val="16"/>
        </w:rPr>
        <w:t>] завод поставляет для завода № 8 поковки муфт для горной 76</w:t>
      </w:r>
      <w:r w:rsidRPr="007122AB">
        <w:rPr>
          <w:color w:val="000000" w:themeColor="text1"/>
          <w:sz w:val="16"/>
          <w:szCs w:val="16"/>
        </w:rPr>
        <w:noBreakHyphen/>
        <w:t xml:space="preserve">мм пушки весом в 52 пуд., тогда как обработанная муфта весит около 10 пуд. Пермский </w:t>
      </w:r>
      <w:proofErr w:type="spellStart"/>
      <w:r w:rsidRPr="007122AB">
        <w:rPr>
          <w:color w:val="000000" w:themeColor="text1"/>
          <w:sz w:val="16"/>
          <w:szCs w:val="16"/>
        </w:rPr>
        <w:t>оруд</w:t>
      </w:r>
      <w:proofErr w:type="spellEnd"/>
      <w:r w:rsidRPr="007122AB">
        <w:rPr>
          <w:color w:val="000000" w:themeColor="text1"/>
          <w:sz w:val="16"/>
          <w:szCs w:val="16"/>
        </w:rPr>
        <w:t>[</w:t>
      </w:r>
      <w:proofErr w:type="spellStart"/>
      <w:r w:rsidRPr="007122AB">
        <w:rPr>
          <w:color w:val="000000" w:themeColor="text1"/>
          <w:sz w:val="16"/>
          <w:szCs w:val="16"/>
        </w:rPr>
        <w:t>ийный</w:t>
      </w:r>
      <w:proofErr w:type="spellEnd"/>
      <w:r w:rsidRPr="007122AB">
        <w:rPr>
          <w:color w:val="000000" w:themeColor="text1"/>
          <w:sz w:val="16"/>
          <w:szCs w:val="16"/>
        </w:rPr>
        <w:t xml:space="preserve">] завод не может производить такую работу как вследствие разрыва между своими обрабатывающими возможностями и металлургией, так и потому, что нагрузка завода по производству артиллерии отнимает станки для своей орудийной программы. Этот пример указывает на то, что металлургическая база заводов </w:t>
      </w:r>
      <w:proofErr w:type="spellStart"/>
      <w:r w:rsidRPr="007122AB">
        <w:rPr>
          <w:color w:val="000000" w:themeColor="text1"/>
          <w:sz w:val="16"/>
          <w:szCs w:val="16"/>
        </w:rPr>
        <w:t>Оружобъединения</w:t>
      </w:r>
      <w:proofErr w:type="spellEnd"/>
      <w:r w:rsidRPr="007122AB">
        <w:rPr>
          <w:color w:val="000000" w:themeColor="text1"/>
          <w:sz w:val="16"/>
          <w:szCs w:val="16"/>
        </w:rPr>
        <w:t xml:space="preserve"> работает технически отстало, заваливая специальные орудийные обрабатывающие цеха лишним металлом и лишней работой.</w:t>
      </w:r>
    </w:p>
    <w:p w14:paraId="57CE617A"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 точки зрения интересов транспорта, такая реформа дает положительные результаты, так как металлургические цеха орудийных заводов («Большевик», ММЗ и «Баррикады» и ИОЗ) работают на привозном сырье. Положение с ММЗ и ИОЗ наиболее тревожно, так как эти заводы для своего металлургического процесса используют дрова, запасы коих в районе заводов в радиусе до 100 верст уже исчерпаны. Отсюда вывод, что для развития металлургической базы военных заводов нет никаких оснований.</w:t>
      </w:r>
    </w:p>
    <w:p w14:paraId="237E7710"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Госплан считает, что металлургическую базу военных заводов выше наметок 1931 г. развивать не следует. Одновременно с установкой на ограничение металлургической базы военных заводов в размерах строительства 1931 г. представляется целесообразным проработать вопрос о выделении металлургических цехов военных заводов в отдельные предприятия с тем, чтобы разъединить обработку металла от металлургического процесса. Работа таких металлургических заводов должна быть тесно увязана с работой орудийных заводов в смысле подачи качественной стали в соответственно обработанных поковках с небольшими пропусками на окончательную отделку изделия.</w:t>
      </w:r>
    </w:p>
    <w:p w14:paraId="45AA7050"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Госплан считает, что такие рационализаторские мероприятия повысят производительность орудийных заводов и упорядочат их производство. Производство качественной стали для матчасти и ручного оружия, на которые не хватит металла от заводов </w:t>
      </w:r>
      <w:proofErr w:type="spellStart"/>
      <w:r w:rsidRPr="007122AB">
        <w:rPr>
          <w:color w:val="000000" w:themeColor="text1"/>
          <w:sz w:val="16"/>
          <w:szCs w:val="16"/>
        </w:rPr>
        <w:t>Оружобъединения</w:t>
      </w:r>
      <w:proofErr w:type="spellEnd"/>
      <w:r w:rsidRPr="007122AB">
        <w:rPr>
          <w:color w:val="000000" w:themeColor="text1"/>
          <w:sz w:val="16"/>
          <w:szCs w:val="16"/>
        </w:rPr>
        <w:t>, нужно установить на заводах гражданской промышленности, используя опыт военных заводов.</w:t>
      </w:r>
    </w:p>
    <w:p w14:paraId="36A37C30"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2. Орудийные цеха</w:t>
      </w:r>
    </w:p>
    <w:p w14:paraId="38E01016"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Предстоящая война с нашими возможными противниками, которые смогут выставить против нас могущественную артиллерию, ставит на очередь вопрос о производстве матчасти артиллерии в таком размере и таких калибров, чтобы обеспечить мощь обороноспособности Красной армии. Все внимание правительства и партии должно быть сосредоточено на производстве полевой тяжелой артиллерии; рост нашего автомобильного и тракторного парка подводит под количественную сторону артиллерийского хозяйства и надежную базу.</w:t>
      </w:r>
    </w:p>
    <w:p w14:paraId="06D5DCE2"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Потребность в матчасти артиллерии нетрудно определить, если возвратиться к опыту мировой войны, когда все расчеты воевавших государств в довоенное время были опрокинуты обстоятельствами этой войны. Кроме того, нужно предусмотреть быстрый износ матчасти, ее амортизацию и замену в будущей войне.</w:t>
      </w:r>
    </w:p>
    <w:p w14:paraId="5587891E"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Все эти предпосылки ставят на очередь пересмотр размера подачи матчасти артиллерии на 1932 г., т. е. тех производственных возможностей, которые легли в основу заявки НКВМ по варианту 10.</w:t>
      </w:r>
    </w:p>
    <w:p w14:paraId="4BA41485"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На основе широкого развития начал кооперирования и ассимиляции военных производств на гражданских заводах, выявления и постановки на службу обороны всех экономическо-производственных возможностей предприятий нужно добиться сдвига в сторону количественного увеличения подачи матчасти артиллерии. Вопрос о кооперировании требует немедленного разрешения, но, независимо от быстрых темпов его проведения, потребует углубленной и всесторонней проработки и увязки со всеми отраслями народного хозяйства.</w:t>
      </w:r>
    </w:p>
    <w:p w14:paraId="70B41D3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В целях удовлетворительного разрешения проблемы кооперирования орудийного производства Госплан, в частности, намечает следующие основные пути:</w:t>
      </w:r>
    </w:p>
    <w:p w14:paraId="48D28EB7"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1. Орудийные заводы, наряду с выполнением своей основной программы, должны быть центром исследовательской работы в области изучения и конструирования новых видов вооружения. Эти заводы, как правило, должны быть разгружены от изготовления второстепенных объектов и всемерно стремиться к наибольшей передаче гражданской промышленности изготовления отдельных деталей орудий. Сборка систем, если таковая не устанавливается на гражданском заводе, производится военным заводом.</w:t>
      </w:r>
    </w:p>
    <w:p w14:paraId="50B9EF80"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Передача изделий целому ряду гражданских заводов, которые должны быть в исчерпывающей степени снабжены чертежами, техусловиями, инструментом, лекалами и т. д., сократит сроки подачи артиллерии. В связи с перевооружением армии новыми образцами артиллерии увеличенной дальности это мероприятие приобретает особое значение.</w:t>
      </w:r>
    </w:p>
    <w:p w14:paraId="0825E65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2. Как правило, все образцы, вышедшие из стадии опытов, должны передаваться для изготовления гражданской промышленности, если у военных заводов нет возможностей выполнить в срок заказы. Для примера можно указать на заказ НКВМ на 8</w:t>
      </w:r>
      <w:r w:rsidRPr="007122AB">
        <w:rPr>
          <w:color w:val="000000" w:themeColor="text1"/>
          <w:sz w:val="16"/>
          <w:szCs w:val="16"/>
        </w:rPr>
        <w:noBreakHyphen/>
        <w:t>дюймовые гаубицы, распределенный между заводами «Большевик» и «Баррикады». У Госплана нет уверенности, что эти заводы справятся с этими заказами, а между тем гражданская промышленность смогла бы помочь своими производственными ресурсами; вооружение же полевой армии этими калибрами в кратчайшие сроки крайне необходимо.</w:t>
      </w:r>
    </w:p>
    <w:p w14:paraId="3102F745"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3. Необходимо разгрузить заводы военной промышленности от производства лафетов, передков, зарядных ящиков, укупорки и т. д. Наши арсеналы, которые заняты производством этих предметов, в результате проведенного капитального строительства за последние годы и ввода в действие целого ряда специального оборудования не смогут считаться уже в данное время арсеналами, где должно преобладать типичное устарелое арсенальное оборудование, главным образом, для ремонта матчасти артиллерии и ручного орудия, </w:t>
      </w:r>
      <w:proofErr w:type="spellStart"/>
      <w:r w:rsidRPr="007122AB">
        <w:rPr>
          <w:color w:val="000000" w:themeColor="text1"/>
          <w:sz w:val="16"/>
          <w:szCs w:val="16"/>
        </w:rPr>
        <w:t>перестволения</w:t>
      </w:r>
      <w:proofErr w:type="spellEnd"/>
      <w:r w:rsidRPr="007122AB">
        <w:rPr>
          <w:color w:val="000000" w:themeColor="text1"/>
          <w:sz w:val="16"/>
          <w:szCs w:val="16"/>
        </w:rPr>
        <w:t xml:space="preserve"> и т. д.</w:t>
      </w:r>
    </w:p>
    <w:p w14:paraId="59D4CD1C"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lastRenderedPageBreak/>
        <w:t>Наши арсеналы теперь — это машиностроительные заводы, оборудованные новейшими механизмами, способные принять на себя ответственную работу по изготовлению матчасти артиллерии и других видов вооружения.</w:t>
      </w:r>
    </w:p>
    <w:p w14:paraId="53CD8A1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Однако географическое расположение двух заводов — Ленинградского и Киевского — являются препятствием для развития на них военного производства. Брянский завод находится в лучших условиях, достаточно удален от фронтового района, почему нет никаких оснований для его не использования как подсобного орудийного завода. Я считаю, что программу арсенального порядка, т. е. ремонт, изготовление </w:t>
      </w:r>
      <w:proofErr w:type="spellStart"/>
      <w:r w:rsidRPr="007122AB">
        <w:rPr>
          <w:color w:val="000000" w:themeColor="text1"/>
          <w:sz w:val="16"/>
          <w:szCs w:val="16"/>
        </w:rPr>
        <w:t>зар</w:t>
      </w:r>
      <w:proofErr w:type="spellEnd"/>
      <w:r w:rsidRPr="007122AB">
        <w:rPr>
          <w:color w:val="000000" w:themeColor="text1"/>
          <w:sz w:val="16"/>
          <w:szCs w:val="16"/>
        </w:rPr>
        <w:t>[</w:t>
      </w:r>
      <w:proofErr w:type="spellStart"/>
      <w:r w:rsidRPr="007122AB">
        <w:rPr>
          <w:color w:val="000000" w:themeColor="text1"/>
          <w:sz w:val="16"/>
          <w:szCs w:val="16"/>
        </w:rPr>
        <w:t>ядных</w:t>
      </w:r>
      <w:proofErr w:type="spellEnd"/>
      <w:r w:rsidRPr="007122AB">
        <w:rPr>
          <w:color w:val="000000" w:themeColor="text1"/>
          <w:sz w:val="16"/>
          <w:szCs w:val="16"/>
        </w:rPr>
        <w:t>] ящиков и передков, с этого завода нужно снять и загрузить его производством мелкокалиберной артиллерии, передав его в сферу влияния завода № 8 им. Калинина.</w:t>
      </w:r>
    </w:p>
    <w:p w14:paraId="0F380CF9"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4. Развитие Киевского и Ленинградского арсеналов для производства артиллерии ограничено неудобствами их географического расположения. На этих заводах возможно производство несложной матчасти артиллерии при обязательном условии иметь в глубоком тылу заводы-дублеры, которые в мирное время также должны иметь загрузку военными предметами, чтобы с возникновением затруднений на заводе № 7 и Киевском полностью восполнить их выход из строя.</w:t>
      </w:r>
    </w:p>
    <w:p w14:paraId="745653CB" w14:textId="77777777" w:rsidR="00C31C07" w:rsidRPr="007122AB" w:rsidRDefault="00C31C07" w:rsidP="007122AB">
      <w:pPr>
        <w:pStyle w:val="rtejustify"/>
        <w:spacing w:before="0" w:after="0"/>
        <w:rPr>
          <w:color w:val="000000" w:themeColor="text1"/>
          <w:sz w:val="16"/>
          <w:szCs w:val="16"/>
        </w:rPr>
      </w:pPr>
      <w:r w:rsidRPr="007122AB">
        <w:rPr>
          <w:rStyle w:val="a7"/>
          <w:b w:val="0"/>
          <w:bCs w:val="0"/>
          <w:color w:val="000000" w:themeColor="text1"/>
          <w:sz w:val="16"/>
          <w:szCs w:val="16"/>
        </w:rPr>
        <w:t>VI. Производство ручного оружия</w:t>
      </w:r>
    </w:p>
    <w:p w14:paraId="2ED97A73"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Производство ручного оружия и предметов сосредоточено также на </w:t>
      </w:r>
      <w:proofErr w:type="spellStart"/>
      <w:r w:rsidRPr="007122AB">
        <w:rPr>
          <w:color w:val="000000" w:themeColor="text1"/>
          <w:sz w:val="16"/>
          <w:szCs w:val="16"/>
        </w:rPr>
        <w:t>Оружобъединении</w:t>
      </w:r>
      <w:proofErr w:type="spellEnd"/>
      <w:r w:rsidRPr="007122AB">
        <w:rPr>
          <w:color w:val="000000" w:themeColor="text1"/>
          <w:sz w:val="16"/>
          <w:szCs w:val="16"/>
        </w:rPr>
        <w:t xml:space="preserve">. Как и в отношении орудийного производства, металлургической базой ручного оружия является Ижевский </w:t>
      </w:r>
      <w:proofErr w:type="spellStart"/>
      <w:r w:rsidRPr="007122AB">
        <w:rPr>
          <w:color w:val="000000" w:themeColor="text1"/>
          <w:sz w:val="16"/>
          <w:szCs w:val="16"/>
        </w:rPr>
        <w:t>оруж</w:t>
      </w:r>
      <w:proofErr w:type="spellEnd"/>
      <w:r w:rsidRPr="007122AB">
        <w:rPr>
          <w:color w:val="000000" w:themeColor="text1"/>
          <w:sz w:val="16"/>
          <w:szCs w:val="16"/>
        </w:rPr>
        <w:t>[</w:t>
      </w:r>
      <w:proofErr w:type="spellStart"/>
      <w:r w:rsidRPr="007122AB">
        <w:rPr>
          <w:color w:val="000000" w:themeColor="text1"/>
          <w:sz w:val="16"/>
          <w:szCs w:val="16"/>
        </w:rPr>
        <w:t>ейный</w:t>
      </w:r>
      <w:proofErr w:type="spellEnd"/>
      <w:r w:rsidRPr="007122AB">
        <w:rPr>
          <w:color w:val="000000" w:themeColor="text1"/>
          <w:sz w:val="16"/>
          <w:szCs w:val="16"/>
        </w:rPr>
        <w:t>] завод, который поставляет черновые заготовки как для себя, так и для Тульского и Ковровского заводов, которые уже на своем оборудовании производят дальнейшую обработку деталей.</w:t>
      </w:r>
    </w:p>
    <w:p w14:paraId="683B503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В направлении кооперирования и привлечения заводов гражданской промышленности для изготовления деталей оружия сделано очень мало, если не считать Подольского механического завода, который по </w:t>
      </w:r>
      <w:proofErr w:type="spellStart"/>
      <w:r w:rsidRPr="007122AB">
        <w:rPr>
          <w:color w:val="000000" w:themeColor="text1"/>
          <w:sz w:val="16"/>
          <w:szCs w:val="16"/>
        </w:rPr>
        <w:t>мобпрограмме</w:t>
      </w:r>
      <w:proofErr w:type="spellEnd"/>
      <w:r w:rsidRPr="007122AB">
        <w:rPr>
          <w:color w:val="000000" w:themeColor="text1"/>
          <w:sz w:val="16"/>
          <w:szCs w:val="16"/>
        </w:rPr>
        <w:t xml:space="preserve"> поставляет </w:t>
      </w:r>
      <w:proofErr w:type="spellStart"/>
      <w:r w:rsidRPr="007122AB">
        <w:rPr>
          <w:color w:val="000000" w:themeColor="text1"/>
          <w:sz w:val="16"/>
          <w:szCs w:val="16"/>
        </w:rPr>
        <w:t>ТОЗу</w:t>
      </w:r>
      <w:proofErr w:type="spellEnd"/>
      <w:r w:rsidRPr="007122AB">
        <w:rPr>
          <w:color w:val="000000" w:themeColor="text1"/>
          <w:sz w:val="16"/>
          <w:szCs w:val="16"/>
        </w:rPr>
        <w:t xml:space="preserve"> детали на 500 тыс. винтовок в год войны. Большая часть этих деталей и главнейшие части винтовок все же остаются за </w:t>
      </w:r>
      <w:proofErr w:type="spellStart"/>
      <w:r w:rsidRPr="007122AB">
        <w:rPr>
          <w:color w:val="000000" w:themeColor="text1"/>
          <w:sz w:val="16"/>
          <w:szCs w:val="16"/>
        </w:rPr>
        <w:t>ТОЗом</w:t>
      </w:r>
      <w:proofErr w:type="spellEnd"/>
      <w:r w:rsidRPr="007122AB">
        <w:rPr>
          <w:color w:val="000000" w:themeColor="text1"/>
          <w:sz w:val="16"/>
          <w:szCs w:val="16"/>
        </w:rPr>
        <w:t>.</w:t>
      </w:r>
    </w:p>
    <w:p w14:paraId="4682126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Снабжение действующей армии ручным оружием и пулеметами в достаточном количестве и хорошего качества, принимая во внимание неоднородность и пестроту оборудования наших оружейных заводов и необходимость перевооружения армии новыми образцами, будет все же затруднено по разным причинам, главнейшими из которых надо считать недостаток технического персонала и квалифицированной рабсилы, которой не хватает уже сейчас. Особенно остро будет обстоять дело с лекальным хозяйством и заготовлением инструмента. В отношении обеспечения армии оружием мы не можем пройти мимо такого мощного экономического фактора, каким являются производственные возможности наших заводов мелкого и среднего машиностроения.</w:t>
      </w:r>
    </w:p>
    <w:p w14:paraId="0709800C"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На основе опыта и инструктажа кадровых военных заводов заводы гражданской промышленности без труда освоят производство деталей оружия с последующей его сборкой на военном головном заводе. Такое рассредоточение производства оружия повысит его выпуск во много раз.</w:t>
      </w:r>
    </w:p>
    <w:p w14:paraId="1281F26D"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 xml:space="preserve">Суммируя изложенное, я намечаю следующие пути кооперирования: 1) подачу черновых стволов и других заготовок возложить на гражданскую промышленность; 2) передать гражданской промышленности изготовление деревянных частей оружия, станков для тяжелых пехотных пулеметов и всех видов треног и установок для пулеметов специального назначения (зенитные треноги, сошки и т. д.); 3) производство укупорки возложить на заводы гражданской промышленности; 4) передать на заводы гражданской промышленности производство </w:t>
      </w:r>
      <w:proofErr w:type="spellStart"/>
      <w:r w:rsidRPr="007122AB">
        <w:rPr>
          <w:color w:val="000000" w:themeColor="text1"/>
          <w:sz w:val="16"/>
          <w:szCs w:val="16"/>
        </w:rPr>
        <w:t>обойменой</w:t>
      </w:r>
      <w:proofErr w:type="spellEnd"/>
      <w:r w:rsidRPr="007122AB">
        <w:rPr>
          <w:color w:val="000000" w:themeColor="text1"/>
          <w:sz w:val="16"/>
          <w:szCs w:val="16"/>
        </w:rPr>
        <w:t xml:space="preserve"> стали и обойм, сняв это производство с </w:t>
      </w:r>
      <w:proofErr w:type="spellStart"/>
      <w:r w:rsidRPr="007122AB">
        <w:rPr>
          <w:color w:val="000000" w:themeColor="text1"/>
          <w:sz w:val="16"/>
          <w:szCs w:val="16"/>
        </w:rPr>
        <w:t>ИОЗа</w:t>
      </w:r>
      <w:proofErr w:type="spellEnd"/>
      <w:r w:rsidRPr="007122AB">
        <w:rPr>
          <w:color w:val="000000" w:themeColor="text1"/>
          <w:sz w:val="16"/>
          <w:szCs w:val="16"/>
        </w:rPr>
        <w:t>; 5) принимая во внимание необходимость в кратчайший срок снабдить пехоту и конницу ручными пулеметами, а также обеспечение снабжения этим видом оружия ближнего боя мобилизованную армию, считать необходимым уже с 1931 г. внедрение в гражданскую промышленность производства отдельных деталей пулемета с тем, чтобы увеличить выпуск пулеметов против наметок 1931 г.</w:t>
      </w:r>
    </w:p>
    <w:p w14:paraId="1E3DFD91"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В частности, Госплан считает возможным уже теперь производить на гражданских заводах следующие детали:</w:t>
      </w:r>
    </w:p>
    <w:p w14:paraId="4B355F78"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[1.] По пулемету Дегтярева: 1) кожух, 2) приклад, 3) черновую обработку ствола и скользящих частей с последующей отладкой и пригонкой на ИНЗ № 2. 4) изготовление магазинов.</w:t>
      </w:r>
    </w:p>
    <w:p w14:paraId="599C567C"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2. По станковым пулеметам: 1) короб с кожухом, 2) затыльник, 3) подъемный механизм, 4) прицел.</w:t>
      </w:r>
    </w:p>
    <w:p w14:paraId="5DAEAF5B"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3. По 3</w:t>
      </w:r>
      <w:r w:rsidRPr="007122AB">
        <w:rPr>
          <w:color w:val="000000" w:themeColor="text1"/>
          <w:sz w:val="16"/>
          <w:szCs w:val="16"/>
        </w:rPr>
        <w:noBreakHyphen/>
        <w:t>дюймовой винтовке. Опыт кооперирования производства этой винтовки у объединения имеется. Этот опыт дает положительные результаты, почему его нужно углублять, расширять номенклатуру деталей и привлечь для этой работы еще ряд заводов.</w:t>
      </w:r>
    </w:p>
    <w:p w14:paraId="118A2DDF"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4. По полуавтоматической винтовке. В предстоящей войне мы безусловно будем иметь перед собой пехоту противника, вооруженную автоматической винтовкой. Предпосылки для возможности такого вооружения пехоты имеются налицо, поскольку типы винтовок приняты почти всеми западными государствами и Америкой.</w:t>
      </w:r>
    </w:p>
    <w:p w14:paraId="7D0E887E" w14:textId="77777777" w:rsidR="00FB17DA" w:rsidRPr="007122AB" w:rsidRDefault="00FB17DA" w:rsidP="007122AB">
      <w:pPr>
        <w:pStyle w:val="rtejustify"/>
        <w:spacing w:before="0" w:after="0"/>
        <w:rPr>
          <w:color w:val="000000" w:themeColor="text1"/>
          <w:sz w:val="16"/>
          <w:szCs w:val="16"/>
        </w:rPr>
      </w:pPr>
      <w:r w:rsidRPr="007122AB">
        <w:rPr>
          <w:color w:val="000000" w:themeColor="text1"/>
          <w:sz w:val="16"/>
          <w:szCs w:val="16"/>
        </w:rPr>
        <w:t>С объявлением мобилизации, вне всякого сомнения, начнется внедрение в войска такой винтовки. Мы не должны отстать и вынуждены будем перевооружить армию, как бы это дорого не стоило, автоматом. Решающую роль в изготовлении должна сыграть гражданская промышленность, которой нужно дать уже теперь задание на освоение производства отдельных деталей¹*.</w:t>
      </w:r>
    </w:p>
    <w:p w14:paraId="31974ABA" w14:textId="77777777" w:rsidR="00FB17DA" w:rsidRPr="007122AB" w:rsidRDefault="00FB17DA" w:rsidP="007122AB">
      <w:pPr>
        <w:pStyle w:val="ae"/>
        <w:spacing w:before="0" w:after="0"/>
        <w:jc w:val="both"/>
        <w:rPr>
          <w:color w:val="000000" w:themeColor="text1"/>
          <w:sz w:val="16"/>
          <w:szCs w:val="16"/>
        </w:rPr>
      </w:pPr>
      <w:r w:rsidRPr="007122AB">
        <w:rPr>
          <w:rStyle w:val="af0"/>
          <w:i w:val="0"/>
          <w:color w:val="000000" w:themeColor="text1"/>
          <w:sz w:val="16"/>
          <w:szCs w:val="16"/>
        </w:rPr>
        <w:t>А. Кривенко</w:t>
      </w:r>
    </w:p>
    <w:p w14:paraId="141A8C47" w14:textId="77777777" w:rsidR="00FB17DA" w:rsidRPr="007122AB" w:rsidRDefault="00FB17DA"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598436F0" w14:textId="77777777" w:rsidR="00FB17DA" w:rsidRPr="007122AB" w:rsidRDefault="00FB17DA" w:rsidP="007122AB">
      <w:pPr>
        <w:pStyle w:val="ae"/>
        <w:spacing w:before="0" w:after="0"/>
        <w:jc w:val="both"/>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Опущен раздел VII “Научно-исследовательская работа”.</w:t>
      </w:r>
    </w:p>
    <w:p w14:paraId="403C8967" w14:textId="77777777" w:rsidR="00FB17DA" w:rsidRPr="007122AB" w:rsidRDefault="00FB17DA" w:rsidP="007122AB">
      <w:pPr>
        <w:pStyle w:val="ae"/>
        <w:spacing w:before="0" w:after="0"/>
        <w:jc w:val="both"/>
        <w:rPr>
          <w:color w:val="000000" w:themeColor="text1"/>
          <w:sz w:val="16"/>
          <w:szCs w:val="16"/>
        </w:rPr>
      </w:pPr>
      <w:r w:rsidRPr="007122AB">
        <w:rPr>
          <w:color w:val="000000" w:themeColor="text1"/>
          <w:sz w:val="16"/>
          <w:szCs w:val="16"/>
        </w:rPr>
        <w:t>РГАЭ. Ф. 4372. Оп. 91. Д. 920. Л. 19—3. Подлинник.</w:t>
      </w:r>
    </w:p>
    <w:p w14:paraId="6D7003B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920. Л. 19—3. Подлинник. </w:t>
      </w:r>
    </w:p>
    <w:p w14:paraId="7D4A7DE1"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531-538 (12525).</w:t>
      </w:r>
    </w:p>
    <w:p w14:paraId="2DCC2630" w14:textId="77777777" w:rsidR="00FB17DA" w:rsidRPr="007122AB" w:rsidRDefault="00FB17DA" w:rsidP="007122AB">
      <w:pPr>
        <w:spacing w:after="0" w:line="240" w:lineRule="auto"/>
        <w:jc w:val="both"/>
        <w:rPr>
          <w:rFonts w:ascii="Times New Roman" w:hAnsi="Times New Roman"/>
          <w:color w:val="000000" w:themeColor="text1"/>
          <w:sz w:val="16"/>
          <w:szCs w:val="16"/>
        </w:rPr>
      </w:pPr>
    </w:p>
    <w:p w14:paraId="0BE1C640" w14:textId="77777777" w:rsidR="00FB17D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F7F2B50" w14:textId="77777777" w:rsidR="00FB17DA" w:rsidRPr="007122AB" w:rsidRDefault="00FB17D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AD8063"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12 марта 1931 </w:t>
      </w:r>
      <w:r w:rsidRPr="007122AB">
        <w:rPr>
          <w:rFonts w:ascii="Times New Roman" w:hAnsi="Times New Roman"/>
          <w:color w:val="000000" w:themeColor="text1"/>
          <w:sz w:val="16"/>
          <w:szCs w:val="16"/>
        </w:rPr>
        <w:t>VI Всесоюзный съезд Советов принял постановление «По отчету правительства СССР» (12265).</w:t>
      </w:r>
    </w:p>
    <w:p w14:paraId="27235E90" w14:textId="77777777" w:rsidR="00FB17DA" w:rsidRPr="007122AB" w:rsidRDefault="00FB17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2EF72E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717274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4A0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марта 1931 года начальник 4 отдела НИИ ст. летнаб Стерлигов писал письмо N 102/699с в производственный отдел ВАО Воротникову.</w:t>
      </w:r>
    </w:p>
    <w:p w14:paraId="18637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утверждением образца гидростатического </w:t>
      </w:r>
      <w:proofErr w:type="spellStart"/>
      <w:r w:rsidRPr="007122AB">
        <w:rPr>
          <w:rFonts w:ascii="Times New Roman" w:hAnsi="Times New Roman"/>
          <w:color w:val="000000" w:themeColor="text1"/>
          <w:sz w:val="16"/>
          <w:szCs w:val="16"/>
        </w:rPr>
        <w:t>бензиномера</w:t>
      </w:r>
      <w:proofErr w:type="spellEnd"/>
      <w:r w:rsidRPr="007122AB">
        <w:rPr>
          <w:rFonts w:ascii="Times New Roman" w:hAnsi="Times New Roman"/>
          <w:color w:val="000000" w:themeColor="text1"/>
          <w:sz w:val="16"/>
          <w:szCs w:val="16"/>
        </w:rPr>
        <w:t xml:space="preserve">, разработанного заводом Авиаприбор и предложенного к серийному выпуску в течение 2-го квартала 1931 года, 4-й отдел НИИ предлагает возобновить работы по выработке схем </w:t>
      </w:r>
      <w:proofErr w:type="spellStart"/>
      <w:r w:rsidRPr="007122AB">
        <w:rPr>
          <w:rFonts w:ascii="Times New Roman" w:hAnsi="Times New Roman"/>
          <w:color w:val="000000" w:themeColor="text1"/>
          <w:sz w:val="16"/>
          <w:szCs w:val="16"/>
        </w:rPr>
        <w:t>бензиномеров</w:t>
      </w:r>
      <w:proofErr w:type="spellEnd"/>
      <w:r w:rsidRPr="007122AB">
        <w:rPr>
          <w:rFonts w:ascii="Times New Roman" w:hAnsi="Times New Roman"/>
          <w:color w:val="000000" w:themeColor="text1"/>
          <w:sz w:val="16"/>
          <w:szCs w:val="16"/>
        </w:rPr>
        <w:t xml:space="preserve"> и тарировке баков на новых самолетах (3217,143).</w:t>
      </w:r>
    </w:p>
    <w:p w14:paraId="3BF26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2F5BFB" w14:textId="5D2A03EA" w:rsidR="004F1F65" w:rsidRDefault="004F1F65"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6D0BB5A0" w14:textId="77777777" w:rsidR="004F1F65" w:rsidRDefault="004F1F65"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7543BEEC"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13 марта 1931 г. </w:t>
      </w:r>
      <w:proofErr w:type="spellStart"/>
      <w:r w:rsidRPr="00441F34">
        <w:rPr>
          <w:rFonts w:ascii="Times New Roman" w:hAnsi="Times New Roman"/>
          <w:color w:val="0070C0"/>
          <w:sz w:val="16"/>
          <w:szCs w:val="16"/>
        </w:rPr>
        <w:t>Тилинг</w:t>
      </w:r>
      <w:proofErr w:type="spellEnd"/>
      <w:r w:rsidRPr="00441F34">
        <w:rPr>
          <w:rFonts w:ascii="Times New Roman" w:hAnsi="Times New Roman"/>
          <w:color w:val="0070C0"/>
          <w:sz w:val="16"/>
          <w:szCs w:val="16"/>
        </w:rPr>
        <w:t xml:space="preserve"> запустил ракету длиной 75 см, диаметром 6,5 см, которая взлетела на скорости 40 м/сек и за 11 секунд достигла высоты 1800 м (т. е. развила скорость около 165 м/сек). Затем она раскрыла крылья и плавно опустилась на землю.</w:t>
      </w:r>
    </w:p>
    <w:p w14:paraId="4300510E"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Вот перечень последующих запусков: </w:t>
      </w:r>
    </w:p>
    <w:p w14:paraId="7E326085"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- 15.04.1931 (</w:t>
      </w:r>
      <w:proofErr w:type="spellStart"/>
      <w:r w:rsidRPr="00441F34">
        <w:rPr>
          <w:rFonts w:ascii="Times New Roman" w:hAnsi="Times New Roman"/>
          <w:color w:val="0070C0"/>
          <w:sz w:val="16"/>
          <w:szCs w:val="16"/>
        </w:rPr>
        <w:t>Дирлинген</w:t>
      </w:r>
      <w:proofErr w:type="spellEnd"/>
      <w:r w:rsidRPr="00441F34">
        <w:rPr>
          <w:rFonts w:ascii="Times New Roman" w:hAnsi="Times New Roman"/>
          <w:color w:val="0070C0"/>
          <w:sz w:val="16"/>
          <w:szCs w:val="16"/>
        </w:rPr>
        <w:t xml:space="preserve"> возле Оснабрюке) - самая известная демонстрация ракет </w:t>
      </w:r>
      <w:proofErr w:type="spellStart"/>
      <w:r w:rsidRPr="00441F34">
        <w:rPr>
          <w:rFonts w:ascii="Times New Roman" w:hAnsi="Times New Roman"/>
          <w:color w:val="0070C0"/>
          <w:sz w:val="16"/>
          <w:szCs w:val="16"/>
        </w:rPr>
        <w:t>Тилинга</w:t>
      </w:r>
      <w:proofErr w:type="spellEnd"/>
      <w:r w:rsidRPr="00441F34">
        <w:rPr>
          <w:rFonts w:ascii="Times New Roman" w:hAnsi="Times New Roman"/>
          <w:color w:val="0070C0"/>
          <w:sz w:val="16"/>
          <w:szCs w:val="16"/>
        </w:rPr>
        <w:t>. Она вызвала большой интерес по всей Германии. Ракеты имели длину 75 см и наибольший диаметр 6,5 см. Первая ракета взорвалась на высоте примерно 150 м. Вторая ракета достигла высоты около 760 м. Третья была первой в Германии почтовой ракетой: она несла 188 открыток. Ее полет был самым успешным в  тот день, она достигла высоты 2000 м и скорости около 700  км/час. На открытках стояли штемпели почты Оснабрюке. Четвертая ракета взлетела примерно на 455 м.</w:t>
      </w:r>
    </w:p>
    <w:p w14:paraId="6DADD7BC"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Лето 1931 (Остров </w:t>
      </w:r>
      <w:proofErr w:type="spellStart"/>
      <w:r w:rsidRPr="00441F34">
        <w:rPr>
          <w:rFonts w:ascii="Times New Roman" w:hAnsi="Times New Roman"/>
          <w:color w:val="0070C0"/>
          <w:sz w:val="16"/>
          <w:szCs w:val="16"/>
        </w:rPr>
        <w:t>Вангероге</w:t>
      </w:r>
      <w:proofErr w:type="spellEnd"/>
      <w:r w:rsidRPr="00441F34">
        <w:rPr>
          <w:rFonts w:ascii="Times New Roman" w:hAnsi="Times New Roman"/>
          <w:color w:val="0070C0"/>
          <w:sz w:val="16"/>
          <w:szCs w:val="16"/>
        </w:rPr>
        <w:t xml:space="preserve"> — </w:t>
      </w:r>
      <w:proofErr w:type="spellStart"/>
      <w:r w:rsidRPr="00441F34">
        <w:rPr>
          <w:rFonts w:ascii="Times New Roman" w:hAnsi="Times New Roman"/>
          <w:color w:val="0070C0"/>
          <w:sz w:val="16"/>
          <w:szCs w:val="16"/>
        </w:rPr>
        <w:t>Wangerooge</w:t>
      </w:r>
      <w:proofErr w:type="spellEnd"/>
      <w:r w:rsidRPr="00441F34">
        <w:rPr>
          <w:rFonts w:ascii="Times New Roman" w:hAnsi="Times New Roman"/>
          <w:color w:val="0070C0"/>
          <w:sz w:val="16"/>
          <w:szCs w:val="16"/>
        </w:rPr>
        <w:t xml:space="preserve">) в Восточной </w:t>
      </w:r>
      <w:proofErr w:type="spellStart"/>
      <w:r w:rsidRPr="00441F34">
        <w:rPr>
          <w:rFonts w:ascii="Times New Roman" w:hAnsi="Times New Roman"/>
          <w:color w:val="0070C0"/>
          <w:sz w:val="16"/>
          <w:szCs w:val="16"/>
        </w:rPr>
        <w:t>Фрисландии</w:t>
      </w:r>
      <w:proofErr w:type="spellEnd"/>
      <w:r w:rsidRPr="00441F34">
        <w:rPr>
          <w:rFonts w:ascii="Times New Roman" w:hAnsi="Times New Roman"/>
          <w:color w:val="0070C0"/>
          <w:sz w:val="16"/>
          <w:szCs w:val="16"/>
        </w:rPr>
        <w:t xml:space="preserve"> Первая ракета успешно совершила полёт. Подробности неизвестны. Вторая ракета поднялась на 975 м! Диаметр корпусов обеих ракет был 75 см.</w:t>
      </w:r>
    </w:p>
    <w:p w14:paraId="413A263B"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- 22.08.1932 (Оснабрюке) В  этот день </w:t>
      </w:r>
      <w:proofErr w:type="spellStart"/>
      <w:r w:rsidRPr="00441F34">
        <w:rPr>
          <w:rFonts w:ascii="Times New Roman" w:hAnsi="Times New Roman"/>
          <w:color w:val="0070C0"/>
          <w:sz w:val="16"/>
          <w:szCs w:val="16"/>
        </w:rPr>
        <w:t>Тилинг</w:t>
      </w:r>
      <w:proofErr w:type="spellEnd"/>
      <w:r w:rsidRPr="00441F34">
        <w:rPr>
          <w:rFonts w:ascii="Times New Roman" w:hAnsi="Times New Roman"/>
          <w:color w:val="0070C0"/>
          <w:sz w:val="16"/>
          <w:szCs w:val="16"/>
        </w:rPr>
        <w:t xml:space="preserve"> впервые представил публике ракету с  раскрывающимися крыльями размахом 173 см. Были совершены несколько запусков, один из них завершился взрывом вскоре после взлета.</w:t>
      </w:r>
    </w:p>
    <w:p w14:paraId="6ED984AA"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- 23.10.1932 (Берлин - </w:t>
      </w:r>
      <w:proofErr w:type="spellStart"/>
      <w:r w:rsidRPr="00441F34">
        <w:rPr>
          <w:rFonts w:ascii="Times New Roman" w:hAnsi="Times New Roman"/>
          <w:color w:val="0070C0"/>
          <w:sz w:val="16"/>
          <w:szCs w:val="16"/>
        </w:rPr>
        <w:t>Темпельгоф</w:t>
      </w:r>
      <w:proofErr w:type="spellEnd"/>
      <w:r w:rsidRPr="00441F34">
        <w:rPr>
          <w:rFonts w:ascii="Times New Roman" w:hAnsi="Times New Roman"/>
          <w:color w:val="0070C0"/>
          <w:sz w:val="16"/>
          <w:szCs w:val="16"/>
        </w:rPr>
        <w:t>) Были запущены две ракеты с  крыльями размахом 173 см. Обе приземлилась на поле аэродрома.</w:t>
      </w:r>
    </w:p>
    <w:p w14:paraId="29C368CB"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- 30.10.1932 (Берлин — </w:t>
      </w:r>
      <w:proofErr w:type="spellStart"/>
      <w:r w:rsidRPr="00441F34">
        <w:rPr>
          <w:rFonts w:ascii="Times New Roman" w:hAnsi="Times New Roman"/>
          <w:color w:val="0070C0"/>
          <w:sz w:val="16"/>
          <w:szCs w:val="16"/>
        </w:rPr>
        <w:t>Темпельгоф</w:t>
      </w:r>
      <w:proofErr w:type="spellEnd"/>
      <w:r w:rsidRPr="00441F34">
        <w:rPr>
          <w:rFonts w:ascii="Times New Roman" w:hAnsi="Times New Roman"/>
          <w:color w:val="0070C0"/>
          <w:sz w:val="16"/>
          <w:szCs w:val="16"/>
        </w:rPr>
        <w:t>) Еще один день запусков таких же ракет на аэродроме.</w:t>
      </w:r>
    </w:p>
    <w:p w14:paraId="4897F11D"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13.11.1932 (Берлин — </w:t>
      </w:r>
      <w:proofErr w:type="spellStart"/>
      <w:r w:rsidRPr="00441F34">
        <w:rPr>
          <w:rFonts w:ascii="Times New Roman" w:hAnsi="Times New Roman"/>
          <w:color w:val="0070C0"/>
          <w:sz w:val="16"/>
          <w:szCs w:val="16"/>
        </w:rPr>
        <w:t>Темпельгоф</w:t>
      </w:r>
      <w:proofErr w:type="spellEnd"/>
      <w:r w:rsidRPr="00441F34">
        <w:rPr>
          <w:rFonts w:ascii="Times New Roman" w:hAnsi="Times New Roman"/>
          <w:color w:val="0070C0"/>
          <w:sz w:val="16"/>
          <w:szCs w:val="16"/>
        </w:rPr>
        <w:t>) Несколько аналогичных ракет были запущены на аэродроме. Одна из них достигла высоты около 800 м, откуда спланировала на землю и совершила мягкую посадку.</w:t>
      </w:r>
    </w:p>
    <w:p w14:paraId="0809B650"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 1933 г. (</w:t>
      </w:r>
      <w:proofErr w:type="spellStart"/>
      <w:r w:rsidRPr="00441F34">
        <w:rPr>
          <w:rFonts w:ascii="Times New Roman" w:hAnsi="Times New Roman"/>
          <w:color w:val="0070C0"/>
          <w:sz w:val="16"/>
          <w:szCs w:val="16"/>
        </w:rPr>
        <w:t>окресности</w:t>
      </w:r>
      <w:proofErr w:type="spellEnd"/>
      <w:r w:rsidRPr="00441F34">
        <w:rPr>
          <w:rFonts w:ascii="Times New Roman" w:hAnsi="Times New Roman"/>
          <w:color w:val="0070C0"/>
          <w:sz w:val="16"/>
          <w:szCs w:val="16"/>
        </w:rPr>
        <w:t xml:space="preserve"> Ганновера Четыре новые ракеты с размахом крыльев 320 см были запущены и успешно совершили посадку, </w:t>
      </w:r>
      <w:proofErr w:type="spellStart"/>
      <w:r w:rsidRPr="00441F34">
        <w:rPr>
          <w:rFonts w:ascii="Times New Roman" w:hAnsi="Times New Roman"/>
          <w:color w:val="0070C0"/>
          <w:sz w:val="16"/>
          <w:szCs w:val="16"/>
        </w:rPr>
        <w:t>демострируя</w:t>
      </w:r>
      <w:proofErr w:type="spellEnd"/>
      <w:r w:rsidRPr="00441F34">
        <w:rPr>
          <w:rFonts w:ascii="Times New Roman" w:hAnsi="Times New Roman"/>
          <w:color w:val="0070C0"/>
          <w:sz w:val="16"/>
          <w:szCs w:val="16"/>
        </w:rPr>
        <w:t xml:space="preserve"> возможности почтовых ракет.  (23372).</w:t>
      </w:r>
    </w:p>
    <w:p w14:paraId="77A3C731" w14:textId="77777777" w:rsidR="004F1F65" w:rsidRPr="00441F34" w:rsidRDefault="004F1F65" w:rsidP="004F1F65">
      <w:pPr>
        <w:spacing w:after="0" w:line="240" w:lineRule="auto"/>
        <w:jc w:val="both"/>
        <w:rPr>
          <w:rFonts w:ascii="Times New Roman" w:hAnsi="Times New Roman"/>
          <w:color w:val="0070C0"/>
          <w:sz w:val="16"/>
          <w:szCs w:val="16"/>
        </w:rPr>
      </w:pPr>
    </w:p>
    <w:p w14:paraId="5E1AB6A6" w14:textId="37E87CE2"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1DDEB7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9F7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марта 1931 освободили многих конструкторов ЦКБ, в т.ч. Д.П.Г., но не Н.Н.П. (7383, 5).</w:t>
      </w:r>
    </w:p>
    <w:p w14:paraId="75284A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C730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марта 1931 г. освободили многих конструкторов, включая </w:t>
      </w:r>
      <w:proofErr w:type="spellStart"/>
      <w:r w:rsidRPr="007122AB">
        <w:rPr>
          <w:rFonts w:ascii="Times New Roman" w:hAnsi="Times New Roman"/>
          <w:color w:val="000000" w:themeColor="text1"/>
          <w:sz w:val="16"/>
          <w:szCs w:val="16"/>
        </w:rPr>
        <w:t>Д.П.Григоровича</w:t>
      </w:r>
      <w:proofErr w:type="spellEnd"/>
      <w:r w:rsidRPr="007122AB">
        <w:rPr>
          <w:rFonts w:ascii="Times New Roman" w:hAnsi="Times New Roman"/>
          <w:color w:val="000000" w:themeColor="text1"/>
          <w:sz w:val="16"/>
          <w:szCs w:val="16"/>
        </w:rPr>
        <w:t xml:space="preserve">, но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xml:space="preserve"> еще ос</w:t>
      </w:r>
      <w:r w:rsidRPr="007122AB">
        <w:rPr>
          <w:rFonts w:ascii="Times New Roman" w:hAnsi="Times New Roman"/>
          <w:color w:val="000000" w:themeColor="text1"/>
          <w:sz w:val="16"/>
          <w:szCs w:val="16"/>
        </w:rPr>
        <w:softHyphen/>
        <w:t>тавался в заключении. Более того, 18 марта 1931 г., спу</w:t>
      </w:r>
      <w:r w:rsidRPr="007122AB">
        <w:rPr>
          <w:rFonts w:ascii="Times New Roman" w:hAnsi="Times New Roman"/>
          <w:color w:val="000000" w:themeColor="text1"/>
          <w:sz w:val="16"/>
          <w:szCs w:val="16"/>
        </w:rPr>
        <w:softHyphen/>
        <w:t>стя полтора года после ареста, Коллегия ОГПУ приго</w:t>
      </w:r>
      <w:r w:rsidRPr="007122AB">
        <w:rPr>
          <w:rFonts w:ascii="Times New Roman" w:hAnsi="Times New Roman"/>
          <w:color w:val="000000" w:themeColor="text1"/>
          <w:sz w:val="16"/>
          <w:szCs w:val="16"/>
        </w:rPr>
        <w:softHyphen/>
        <w:t xml:space="preserve">ворила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xml:space="preserve"> к десяти годам заключения в лагерях. Николай Николаевич обвинялся по статьям УК </w:t>
      </w:r>
      <w:r w:rsidRPr="007122AB">
        <w:rPr>
          <w:rFonts w:ascii="Times New Roman" w:hAnsi="Times New Roman"/>
          <w:color w:val="000000" w:themeColor="text1"/>
          <w:sz w:val="16"/>
          <w:szCs w:val="16"/>
        </w:rPr>
        <w:lastRenderedPageBreak/>
        <w:t xml:space="preserve">РСФСР 58-6 (шпионаж), 58-7 (подрыв </w:t>
      </w:r>
      <w:proofErr w:type="spellStart"/>
      <w:r w:rsidRPr="007122AB">
        <w:rPr>
          <w:rFonts w:ascii="Times New Roman" w:hAnsi="Times New Roman"/>
          <w:color w:val="000000" w:themeColor="text1"/>
          <w:sz w:val="16"/>
          <w:szCs w:val="16"/>
        </w:rPr>
        <w:t>госу</w:t>
      </w:r>
      <w:r w:rsidRPr="007122AB">
        <w:rPr>
          <w:rFonts w:ascii="Times New Roman" w:hAnsi="Times New Roman"/>
          <w:color w:val="000000" w:themeColor="text1"/>
          <w:sz w:val="16"/>
          <w:szCs w:val="16"/>
        </w:rPr>
        <w:softHyphen/>
        <w:t>дар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ственной</w:t>
      </w:r>
      <w:proofErr w:type="spellEnd"/>
      <w:r w:rsidRPr="007122AB">
        <w:rPr>
          <w:rFonts w:ascii="Times New Roman" w:hAnsi="Times New Roman"/>
          <w:color w:val="000000" w:themeColor="text1"/>
          <w:sz w:val="16"/>
          <w:szCs w:val="16"/>
        </w:rPr>
        <w:t xml:space="preserve"> промышленности в контрреволюционных целях) и 58-11 (организационная деятельность или учас</w:t>
      </w:r>
      <w:r w:rsidRPr="007122AB">
        <w:rPr>
          <w:rFonts w:ascii="Times New Roman" w:hAnsi="Times New Roman"/>
          <w:color w:val="000000" w:themeColor="text1"/>
          <w:sz w:val="16"/>
          <w:szCs w:val="16"/>
        </w:rPr>
        <w:softHyphen/>
        <w:t>тие в организации для подготовки одного из преступле</w:t>
      </w:r>
      <w:r w:rsidRPr="007122AB">
        <w:rPr>
          <w:rFonts w:ascii="Times New Roman" w:hAnsi="Times New Roman"/>
          <w:color w:val="000000" w:themeColor="text1"/>
          <w:sz w:val="16"/>
          <w:szCs w:val="16"/>
        </w:rPr>
        <w:softHyphen/>
        <w:t>ний, предусмотренных первой главой - «Преступления государственные» - особенной части УК РСФСР):</w:t>
      </w:r>
    </w:p>
    <w:p w14:paraId="65A495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ВЫПИСКА ИЗ ПРОТОКОЛА заседания Коллегии ОГПУ (судебное) от 18 марта 1931</w:t>
      </w:r>
    </w:p>
    <w:p w14:paraId="75F6F2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w:t>
      </w:r>
    </w:p>
    <w:p w14:paraId="1DD095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31.Дело №-84496 по </w:t>
      </w:r>
      <w:proofErr w:type="spellStart"/>
      <w:r w:rsidRPr="007122AB">
        <w:rPr>
          <w:rFonts w:ascii="Times New Roman" w:hAnsi="Times New Roman"/>
          <w:color w:val="000000" w:themeColor="text1"/>
          <w:sz w:val="16"/>
          <w:szCs w:val="16"/>
        </w:rPr>
        <w:t>обв</w:t>
      </w:r>
      <w:proofErr w:type="spellEnd"/>
      <w:r w:rsidRPr="007122AB">
        <w:rPr>
          <w:rFonts w:ascii="Times New Roman" w:hAnsi="Times New Roman"/>
          <w:color w:val="000000" w:themeColor="text1"/>
          <w:sz w:val="16"/>
          <w:szCs w:val="16"/>
        </w:rPr>
        <w:t xml:space="preserve">. гр. ПОЛИКАРПОВА Николая Николаевича, по 58/6,7 и 11 ст. ст. УК (Дело </w:t>
      </w:r>
      <w:proofErr w:type="spellStart"/>
      <w:r w:rsidRPr="007122AB">
        <w:rPr>
          <w:rFonts w:ascii="Times New Roman" w:hAnsi="Times New Roman"/>
          <w:color w:val="000000" w:themeColor="text1"/>
          <w:sz w:val="16"/>
          <w:szCs w:val="16"/>
        </w:rPr>
        <w:t>рассм</w:t>
      </w:r>
      <w:proofErr w:type="spellEnd"/>
      <w:r w:rsidRPr="007122AB">
        <w:rPr>
          <w:rFonts w:ascii="Times New Roman" w:hAnsi="Times New Roman"/>
          <w:color w:val="000000" w:themeColor="text1"/>
          <w:sz w:val="16"/>
          <w:szCs w:val="16"/>
        </w:rPr>
        <w:t xml:space="preserve">. в пор. </w:t>
      </w:r>
      <w:proofErr w:type="spellStart"/>
      <w:r w:rsidRPr="007122AB">
        <w:rPr>
          <w:rFonts w:ascii="Times New Roman" w:hAnsi="Times New Roman"/>
          <w:color w:val="000000" w:themeColor="text1"/>
          <w:sz w:val="16"/>
          <w:szCs w:val="16"/>
        </w:rPr>
        <w:t>постан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През</w:t>
      </w:r>
      <w:proofErr w:type="spellEnd"/>
      <w:r w:rsidRPr="007122AB">
        <w:rPr>
          <w:rFonts w:ascii="Times New Roman" w:hAnsi="Times New Roman"/>
          <w:color w:val="000000" w:themeColor="text1"/>
          <w:sz w:val="16"/>
          <w:szCs w:val="16"/>
        </w:rPr>
        <w:t>. ЦИК СССР от 9/6-27 г.)</w:t>
      </w:r>
    </w:p>
    <w:p w14:paraId="660FC1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05757D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ПОЛИКАРПОВА Николая Николаевича - заключить в концлагерь, сроком на ДЕСЯТЬ лет, считая с 25/Х-29 года.</w:t>
      </w:r>
    </w:p>
    <w:p w14:paraId="076356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Имущество КОНФИСКОВАТЬ.</w:t>
      </w:r>
    </w:p>
    <w:p w14:paraId="08F481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(подпись) верно: Секретарь Коллегии ОГПУ (10667,176).</w:t>
      </w:r>
    </w:p>
    <w:p w14:paraId="27275D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BDC59"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марта 1931 г. освободили многих конструкторов, включая Д.П. Григо</w:t>
      </w:r>
      <w:r w:rsidRPr="00441F34">
        <w:rPr>
          <w:rFonts w:ascii="Times New Roman" w:hAnsi="Times New Roman"/>
          <w:color w:val="0070C0"/>
          <w:sz w:val="16"/>
          <w:szCs w:val="16"/>
        </w:rPr>
        <w:softHyphen/>
        <w:t>ровича, но Николай Николаевич еще оставался в заключении (23406).</w:t>
      </w:r>
    </w:p>
    <w:p w14:paraId="26F10C4A"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марта 1931 г., спустя пол</w:t>
      </w:r>
      <w:r w:rsidRPr="00441F34">
        <w:rPr>
          <w:rFonts w:ascii="Times New Roman" w:hAnsi="Times New Roman"/>
          <w:color w:val="0070C0"/>
          <w:sz w:val="16"/>
          <w:szCs w:val="16"/>
        </w:rPr>
        <w:softHyphen/>
        <w:t>тора года после ареста, Коллегия ОГПУ постановила: «Поликарпова Николая Николаевича - заключить в концлагерь сроком на десять лет, считая срок с 25/Х-29 года. Имуще</w:t>
      </w:r>
      <w:r w:rsidRPr="00441F34">
        <w:rPr>
          <w:rFonts w:ascii="Times New Roman" w:hAnsi="Times New Roman"/>
          <w:color w:val="0070C0"/>
          <w:sz w:val="16"/>
          <w:szCs w:val="16"/>
        </w:rPr>
        <w:softHyphen/>
        <w:t>ство конфисковать».</w:t>
      </w:r>
    </w:p>
    <w:p w14:paraId="08713114"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Николай Николаевич обвинялся по статьям УК РСФСР 58-6 (шпионаж), 58-7 (подрыв государственной промышлен</w:t>
      </w:r>
      <w:r w:rsidRPr="00441F34">
        <w:rPr>
          <w:rFonts w:ascii="Times New Roman" w:hAnsi="Times New Roman"/>
          <w:color w:val="0070C0"/>
          <w:sz w:val="16"/>
          <w:szCs w:val="16"/>
        </w:rPr>
        <w:softHyphen/>
        <w:t>ности в контрреволюционных целях) и 58-11 (организованная деятельность или участие в организации для подго</w:t>
      </w:r>
      <w:r w:rsidRPr="00441F34">
        <w:rPr>
          <w:rFonts w:ascii="Times New Roman" w:hAnsi="Times New Roman"/>
          <w:color w:val="0070C0"/>
          <w:sz w:val="16"/>
          <w:szCs w:val="16"/>
        </w:rPr>
        <w:softHyphen/>
        <w:t>товки одного из преступлений, предус</w:t>
      </w:r>
      <w:r w:rsidRPr="00441F34">
        <w:rPr>
          <w:rFonts w:ascii="Times New Roman" w:hAnsi="Times New Roman"/>
          <w:color w:val="0070C0"/>
          <w:sz w:val="16"/>
          <w:szCs w:val="16"/>
        </w:rPr>
        <w:softHyphen/>
        <w:t>мотренных первой главой - «Преступ</w:t>
      </w:r>
      <w:r w:rsidRPr="00441F34">
        <w:rPr>
          <w:rFonts w:ascii="Times New Roman" w:hAnsi="Times New Roman"/>
          <w:color w:val="0070C0"/>
          <w:sz w:val="16"/>
          <w:szCs w:val="16"/>
        </w:rPr>
        <w:softHyphen/>
        <w:t>ления государственные» - особенной части УК РСФСР).</w:t>
      </w:r>
    </w:p>
    <w:p w14:paraId="79747699"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Семья долго оставалась в не</w:t>
      </w:r>
      <w:r w:rsidRPr="00441F34">
        <w:rPr>
          <w:rFonts w:ascii="Times New Roman" w:hAnsi="Times New Roman"/>
          <w:color w:val="0070C0"/>
          <w:sz w:val="16"/>
          <w:szCs w:val="16"/>
        </w:rPr>
        <w:softHyphen/>
        <w:t>ведении в отношении дальнейшей судьбы Николая Николаевича. Жена Александра Федоровна пыталась узнать, в чем его обвиняют, скоро ли он выйдет на свободу. Через Красный Крест у Екатерины Пав</w:t>
      </w:r>
      <w:r w:rsidRPr="00441F34">
        <w:rPr>
          <w:rFonts w:ascii="Times New Roman" w:hAnsi="Times New Roman"/>
          <w:color w:val="0070C0"/>
          <w:sz w:val="16"/>
          <w:szCs w:val="16"/>
        </w:rPr>
        <w:softHyphen/>
        <w:t>ловны Пешковой она получила справку, в которой говорилось о том, что Н.Н. Поликарпов пригово</w:t>
      </w:r>
      <w:r w:rsidRPr="00441F34">
        <w:rPr>
          <w:rFonts w:ascii="Times New Roman" w:hAnsi="Times New Roman"/>
          <w:color w:val="0070C0"/>
          <w:sz w:val="16"/>
          <w:szCs w:val="16"/>
        </w:rPr>
        <w:softHyphen/>
        <w:t>рен к смертной казни с заменой на пожизненную ссылку в отдаленных районах Сибири.</w:t>
      </w:r>
    </w:p>
    <w:p w14:paraId="03F6BD7A"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Николай Николаевич продолжал руководить бригадой №3. Теперь она получила новое задание - спроек</w:t>
      </w:r>
      <w:r w:rsidRPr="00441F34">
        <w:rPr>
          <w:rFonts w:ascii="Times New Roman" w:hAnsi="Times New Roman"/>
          <w:color w:val="0070C0"/>
          <w:sz w:val="16"/>
          <w:szCs w:val="16"/>
        </w:rPr>
        <w:softHyphen/>
        <w:t>тировать истребитель И-11. Для его успешного выполнения численность бригады увеличили. Среди инжене</w:t>
      </w:r>
      <w:r w:rsidRPr="00441F34">
        <w:rPr>
          <w:rFonts w:ascii="Times New Roman" w:hAnsi="Times New Roman"/>
          <w:color w:val="0070C0"/>
          <w:sz w:val="16"/>
          <w:szCs w:val="16"/>
        </w:rPr>
        <w:softHyphen/>
        <w:t>ров, оказавшихся в этом коллективе, был и Дмитрий Людвигович Томаше- вич, впоследствии главный конструк</w:t>
      </w:r>
      <w:r w:rsidRPr="00441F34">
        <w:rPr>
          <w:rFonts w:ascii="Times New Roman" w:hAnsi="Times New Roman"/>
          <w:color w:val="0070C0"/>
          <w:sz w:val="16"/>
          <w:szCs w:val="16"/>
        </w:rPr>
        <w:softHyphen/>
        <w:t>тор авиационной и ракетной техники. Он вспоминал:</w:t>
      </w:r>
    </w:p>
    <w:p w14:paraId="2BCFA865"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1931 г. я ушел на работу в конструкторское бюро, находящееся под опекой НКВД. В нем работали и заключенные специалисты, и вольнона</w:t>
      </w:r>
      <w:r w:rsidRPr="00441F34">
        <w:rPr>
          <w:rFonts w:ascii="Times New Roman" w:hAnsi="Times New Roman"/>
          <w:color w:val="0070C0"/>
          <w:sz w:val="16"/>
          <w:szCs w:val="16"/>
        </w:rPr>
        <w:softHyphen/>
        <w:t>емные. Я работал в отделе общих видов и здесь впервые лично встретился с Н.Н. Поликарповым.</w:t>
      </w:r>
    </w:p>
    <w:p w14:paraId="587BF193"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Он относился к нам, вольнонаемным молодым инженерам, как равный.</w:t>
      </w:r>
    </w:p>
    <w:p w14:paraId="25EF67CD"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w:t>
      </w:r>
    </w:p>
    <w:p w14:paraId="6C6DDD51"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другой стороны, и не лебезил перед нами - вольнонаемными как заключенный.</w:t>
      </w:r>
    </w:p>
    <w:p w14:paraId="4DD04EF5"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это невольно вызывало уважение к нему и желание работать с ним.</w:t>
      </w:r>
    </w:p>
    <w:p w14:paraId="4B71E173"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w:t>
      </w:r>
      <w:r w:rsidRPr="00441F34">
        <w:rPr>
          <w:rFonts w:ascii="Times New Roman" w:hAnsi="Times New Roman"/>
          <w:color w:val="0070C0"/>
          <w:sz w:val="16"/>
          <w:szCs w:val="16"/>
        </w:rPr>
        <w:softHyphen/>
        <w:t>нимались как результат беседы и совместного обсуждения. Не могу вспомнить случая, чтобы он что- либо «приказал» сделать или угова</w:t>
      </w:r>
      <w:r w:rsidRPr="00441F34">
        <w:rPr>
          <w:rFonts w:ascii="Times New Roman" w:hAnsi="Times New Roman"/>
          <w:color w:val="0070C0"/>
          <w:sz w:val="16"/>
          <w:szCs w:val="16"/>
        </w:rPr>
        <w:softHyphen/>
        <w:t>ривал» (23406).</w:t>
      </w:r>
    </w:p>
    <w:p w14:paraId="6AE2C773" w14:textId="77777777" w:rsidR="004F1F65" w:rsidRPr="00441F34" w:rsidRDefault="004F1F65" w:rsidP="004F1F65">
      <w:pPr>
        <w:spacing w:after="0" w:line="240" w:lineRule="auto"/>
        <w:jc w:val="both"/>
        <w:rPr>
          <w:rFonts w:ascii="Times New Roman" w:hAnsi="Times New Roman"/>
          <w:color w:val="0070C0"/>
          <w:sz w:val="16"/>
          <w:szCs w:val="16"/>
        </w:rPr>
      </w:pPr>
    </w:p>
    <w:p w14:paraId="190A7C58" w14:textId="77777777" w:rsidR="004F1F65" w:rsidRPr="00441F34" w:rsidRDefault="004F1F65" w:rsidP="004F1F6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марта 1931 г. освобождена группа заключенных – конструкторов ЦКБ-39, в т.ч. и Д.П. Григорович, но следствие и суды других продолжались (23559).</w:t>
      </w:r>
    </w:p>
    <w:p w14:paraId="4250EF4B" w14:textId="77777777" w:rsidR="004F1F65" w:rsidRPr="00441F34" w:rsidRDefault="004F1F65" w:rsidP="004F1F65">
      <w:pPr>
        <w:spacing w:after="0" w:line="240" w:lineRule="auto"/>
        <w:jc w:val="both"/>
        <w:rPr>
          <w:rFonts w:ascii="Times New Roman" w:hAnsi="Times New Roman"/>
          <w:color w:val="0070C0"/>
          <w:sz w:val="16"/>
          <w:szCs w:val="16"/>
        </w:rPr>
      </w:pPr>
    </w:p>
    <w:p w14:paraId="2C4052A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AB027C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F33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марта 1931 один из двух закупленных танков Кристи N 2051 прибыл в испытательный отдел склада N 127 АБТУ и там до 16 мая 1931 под руководством нач. отдела Громова и танковой станции Лаврентьева проходило ознакомление с матчастью (3879,5).</w:t>
      </w:r>
    </w:p>
    <w:p w14:paraId="17850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1F16C5" w14:textId="77777777" w:rsidR="000F1D6E" w:rsidRPr="007122AB" w:rsidRDefault="000F1D6E"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14 марта 1931 танк Кристи был передан со склада № 127в испытательный отдел. Следует отметить, что полноценных испытаний танк не проходил вплоть до 16 мая.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w:t>
      </w:r>
      <w:proofErr w:type="spellStart"/>
      <w:r w:rsidRPr="007122AB">
        <w:rPr>
          <w:rFonts w:ascii="Times New Roman" w:hAnsi="Times New Roman"/>
          <w:color w:val="000000" w:themeColor="text1"/>
          <w:sz w:val="16"/>
          <w:szCs w:val="16"/>
          <w:shd w:val="clear" w:color="auto" w:fill="FFFFFF"/>
        </w:rPr>
        <w:t>надмоторной</w:t>
      </w:r>
      <w:proofErr w:type="spellEnd"/>
      <w:r w:rsidRPr="007122AB">
        <w:rPr>
          <w:rFonts w:ascii="Times New Roman" w:hAnsi="Times New Roman"/>
          <w:color w:val="000000" w:themeColor="text1"/>
          <w:sz w:val="16"/>
          <w:szCs w:val="16"/>
          <w:shd w:val="clear" w:color="auto" w:fill="FFFFFF"/>
        </w:rPr>
        <w:t xml:space="preserve">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 (20339).</w:t>
      </w:r>
    </w:p>
    <w:p w14:paraId="1FB9426F" w14:textId="77777777" w:rsidR="000F1D6E" w:rsidRPr="007122AB" w:rsidRDefault="000F1D6E" w:rsidP="007122AB">
      <w:pPr>
        <w:shd w:val="clear" w:color="auto" w:fill="FFFFFF"/>
        <w:spacing w:after="0" w:line="240" w:lineRule="auto"/>
        <w:jc w:val="both"/>
        <w:rPr>
          <w:rFonts w:ascii="Times New Roman" w:hAnsi="Times New Roman"/>
          <w:color w:val="000000" w:themeColor="text1"/>
          <w:sz w:val="16"/>
          <w:szCs w:val="16"/>
        </w:rPr>
      </w:pPr>
    </w:p>
    <w:p w14:paraId="6462F3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марта 1931 начались показы новинки представителям во</w:t>
      </w:r>
      <w:r w:rsidRPr="007122AB">
        <w:rPr>
          <w:rFonts w:ascii="Times New Roman" w:hAnsi="Times New Roman"/>
          <w:color w:val="000000" w:themeColor="text1"/>
          <w:sz w:val="16"/>
          <w:szCs w:val="16"/>
        </w:rPr>
        <w:softHyphen/>
        <w:t>енной верхушки РККА. В целом заморская диковинка про</w:t>
      </w:r>
      <w:r w:rsidRPr="007122AB">
        <w:rPr>
          <w:rFonts w:ascii="Times New Roman" w:hAnsi="Times New Roman"/>
          <w:color w:val="000000" w:themeColor="text1"/>
          <w:sz w:val="16"/>
          <w:szCs w:val="16"/>
        </w:rPr>
        <w:softHyphen/>
        <w:t>изводила на них благоприятное впечатление, но оно не шло ни в какое сравнение с первыми восторженными от</w:t>
      </w:r>
      <w:r w:rsidRPr="007122AB">
        <w:rPr>
          <w:rFonts w:ascii="Times New Roman" w:hAnsi="Times New Roman"/>
          <w:color w:val="000000" w:themeColor="text1"/>
          <w:sz w:val="16"/>
          <w:szCs w:val="16"/>
        </w:rPr>
        <w:softHyphen/>
        <w:t>зывами о «</w:t>
      </w:r>
      <w:proofErr w:type="spellStart"/>
      <w:r w:rsidRPr="007122AB">
        <w:rPr>
          <w:rFonts w:ascii="Times New Roman" w:hAnsi="Times New Roman"/>
          <w:color w:val="000000" w:themeColor="text1"/>
          <w:sz w:val="16"/>
          <w:szCs w:val="16"/>
        </w:rPr>
        <w:t>шеститоннике</w:t>
      </w:r>
      <w:proofErr w:type="spellEnd"/>
      <w:r w:rsidRPr="007122AB">
        <w:rPr>
          <w:rFonts w:ascii="Times New Roman" w:hAnsi="Times New Roman"/>
          <w:color w:val="000000" w:themeColor="text1"/>
          <w:sz w:val="16"/>
          <w:szCs w:val="16"/>
        </w:rPr>
        <w:t>». Вскоре стало ясно, что Ярославский завод даже в коо</w:t>
      </w:r>
      <w:r w:rsidRPr="007122AB">
        <w:rPr>
          <w:rFonts w:ascii="Times New Roman" w:hAnsi="Times New Roman"/>
          <w:color w:val="000000" w:themeColor="text1"/>
          <w:sz w:val="16"/>
          <w:szCs w:val="16"/>
        </w:rPr>
        <w:softHyphen/>
        <w:t>перации с АМО не потянет это чудо американской техни</w:t>
      </w:r>
      <w:r w:rsidRPr="007122AB">
        <w:rPr>
          <w:rFonts w:ascii="Times New Roman" w:hAnsi="Times New Roman"/>
          <w:color w:val="000000" w:themeColor="text1"/>
          <w:sz w:val="16"/>
          <w:szCs w:val="16"/>
        </w:rPr>
        <w:softHyphen/>
        <w:t>ческой мысли (10733,194).</w:t>
      </w:r>
    </w:p>
    <w:p w14:paraId="431771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542E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Зарубежом</w:t>
      </w:r>
      <w:r w:rsidRPr="007122AB">
        <w:rPr>
          <w:rFonts w:ascii="Times New Roman" w:hAnsi="Times New Roman"/>
          <w:i/>
          <w:iCs/>
          <w:color w:val="000000" w:themeColor="text1"/>
          <w:sz w:val="16"/>
          <w:szCs w:val="16"/>
          <w:lang w:val="en-US"/>
        </w:rPr>
        <w:t>:</w:t>
      </w:r>
    </w:p>
    <w:p w14:paraId="2E95513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158AF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March 14 1931 First liquid-fuel rocket successfully fired in Europe, a methane-liquid oxygen rocket constructed by Johannes Winkler and flown from Dessau, Germany (1038).</w:t>
      </w:r>
    </w:p>
    <w:p w14:paraId="32546E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6C0DA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марта 1931 была запущена первая в Европе ракета с ЖРД </w:t>
      </w:r>
      <w:proofErr w:type="spellStart"/>
      <w:r w:rsidRPr="007122AB">
        <w:rPr>
          <w:rFonts w:ascii="Times New Roman" w:hAnsi="Times New Roman"/>
          <w:color w:val="000000" w:themeColor="text1"/>
          <w:sz w:val="16"/>
          <w:szCs w:val="16"/>
        </w:rPr>
        <w:t>Johannes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Winkler</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Dessau</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Germany</w:t>
      </w:r>
      <w:proofErr w:type="spellEnd"/>
      <w:r w:rsidRPr="007122AB">
        <w:rPr>
          <w:rFonts w:ascii="Times New Roman" w:hAnsi="Times New Roman"/>
          <w:color w:val="000000" w:themeColor="text1"/>
          <w:sz w:val="16"/>
          <w:szCs w:val="16"/>
        </w:rPr>
        <w:t xml:space="preserve"> (1038).</w:t>
      </w:r>
    </w:p>
    <w:p w14:paraId="63634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FFF021" w14:textId="77777777" w:rsidR="00C31C07" w:rsidRPr="007122AB" w:rsidRDefault="00C31C0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14 марта</w:t>
      </w:r>
      <w:r w:rsidRPr="007122AB">
        <w:rPr>
          <w:rFonts w:ascii="Times New Roman" w:hAnsi="Times New Roman"/>
          <w:color w:val="000000" w:themeColor="text1"/>
          <w:sz w:val="16"/>
          <w:szCs w:val="16"/>
        </w:rPr>
        <w:t xml:space="preserve"> в 1931 году около города Дессау (Германия) был проведен второй испытательный пуск, жидкостной (кислород-метан) ракеты "HWR-1", конструкции </w:t>
      </w:r>
      <w:proofErr w:type="spellStart"/>
      <w:r w:rsidRPr="007122AB">
        <w:rPr>
          <w:rFonts w:ascii="Times New Roman" w:hAnsi="Times New Roman"/>
          <w:color w:val="000000" w:themeColor="text1"/>
          <w:sz w:val="16"/>
          <w:szCs w:val="16"/>
        </w:rPr>
        <w:t>И.Винклера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I.Winkler</w:t>
      </w:r>
      <w:proofErr w:type="spellEnd"/>
      <w:r w:rsidRPr="007122AB">
        <w:rPr>
          <w:rFonts w:ascii="Times New Roman" w:hAnsi="Times New Roman"/>
          <w:color w:val="000000" w:themeColor="text1"/>
          <w:sz w:val="16"/>
          <w:szCs w:val="16"/>
        </w:rPr>
        <w:t xml:space="preserve">). Из-за отклонения от вертикали ракета достигла только 100 метровой высоты вместо планируемых 500. Первый "успешный" пуск жидкостной ракеты в Европе. С 1932 г. исследования по баллистическим ракетам были сконцентрированы в лаборатории управления вооружений, которой руководил Вальтер </w:t>
      </w:r>
      <w:proofErr w:type="spellStart"/>
      <w:r w:rsidRPr="007122AB">
        <w:rPr>
          <w:rFonts w:ascii="Times New Roman" w:hAnsi="Times New Roman"/>
          <w:color w:val="000000" w:themeColor="text1"/>
          <w:sz w:val="16"/>
          <w:szCs w:val="16"/>
        </w:rPr>
        <w:t>Дорнберг</w:t>
      </w:r>
      <w:proofErr w:type="spellEnd"/>
      <w:r w:rsidRPr="007122AB">
        <w:rPr>
          <w:rFonts w:ascii="Times New Roman" w:hAnsi="Times New Roman"/>
          <w:color w:val="000000" w:themeColor="text1"/>
          <w:sz w:val="16"/>
          <w:szCs w:val="16"/>
        </w:rPr>
        <w:t>. В числе сотрудников был Вернер фон Браун. До начала операции "Пингвин"- массированной бомбардировки Великобритании и Голландии оставалось 12 лет (15068).</w:t>
      </w:r>
    </w:p>
    <w:p w14:paraId="02AC136F" w14:textId="77777777" w:rsidR="00C31C07" w:rsidRPr="007122AB" w:rsidRDefault="00C31C07" w:rsidP="007122AB">
      <w:pPr>
        <w:spacing w:after="0" w:line="240" w:lineRule="auto"/>
        <w:jc w:val="both"/>
        <w:rPr>
          <w:rFonts w:ascii="Times New Roman" w:hAnsi="Times New Roman"/>
          <w:color w:val="000000" w:themeColor="text1"/>
          <w:sz w:val="16"/>
          <w:szCs w:val="16"/>
        </w:rPr>
      </w:pPr>
    </w:p>
    <w:p w14:paraId="7171B80A"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марта 1931 - Близ города Бреслау (Германия) инженер ракетной техники Иоганн Винклер (</w:t>
      </w:r>
      <w:proofErr w:type="spellStart"/>
      <w:r w:rsidRPr="007122AB">
        <w:rPr>
          <w:rFonts w:ascii="Times New Roman" w:hAnsi="Times New Roman"/>
          <w:color w:val="000000" w:themeColor="text1"/>
          <w:sz w:val="16"/>
          <w:szCs w:val="16"/>
        </w:rPr>
        <w:t>Johannes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Winkler</w:t>
      </w:r>
      <w:proofErr w:type="spellEnd"/>
      <w:r w:rsidRPr="007122AB">
        <w:rPr>
          <w:rFonts w:ascii="Times New Roman" w:hAnsi="Times New Roman"/>
          <w:color w:val="000000" w:themeColor="text1"/>
          <w:sz w:val="16"/>
          <w:szCs w:val="16"/>
        </w:rPr>
        <w:t xml:space="preserve">, 1897-1947) осуществил первый в Европе пуск ракеты HWR-1 с жидкостным ракетным двигателем. Ракета достигла высоты 100 метров. 14 мая с полигона близ Берлина (Германия) осуществлен запуск ракеты Repulsor-1 немецкого Общества межпланетных сообщений конструкции </w:t>
      </w:r>
      <w:proofErr w:type="spellStart"/>
      <w:r w:rsidRPr="007122AB">
        <w:rPr>
          <w:rFonts w:ascii="Times New Roman" w:hAnsi="Times New Roman"/>
          <w:color w:val="000000" w:themeColor="text1"/>
          <w:sz w:val="16"/>
          <w:szCs w:val="16"/>
        </w:rPr>
        <w:t>Karl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Riddel</w:t>
      </w:r>
      <w:proofErr w:type="spellEnd"/>
      <w:r w:rsidRPr="007122AB">
        <w:rPr>
          <w:rFonts w:ascii="Times New Roman" w:hAnsi="Times New Roman"/>
          <w:color w:val="000000" w:themeColor="text1"/>
          <w:sz w:val="16"/>
          <w:szCs w:val="16"/>
        </w:rPr>
        <w:t>. Ракета достигла высоты 60 м (22568).</w:t>
      </w:r>
    </w:p>
    <w:p w14:paraId="32AE4FAB" w14:textId="77777777" w:rsidR="000F1D6E" w:rsidRPr="007122AB" w:rsidRDefault="000F1D6E" w:rsidP="007122AB">
      <w:pPr>
        <w:shd w:val="clear" w:color="auto" w:fill="FFFFFF"/>
        <w:spacing w:after="0" w:line="240" w:lineRule="auto"/>
        <w:jc w:val="both"/>
        <w:rPr>
          <w:rFonts w:ascii="Times New Roman" w:hAnsi="Times New Roman"/>
          <w:color w:val="000000" w:themeColor="text1"/>
          <w:sz w:val="16"/>
          <w:szCs w:val="16"/>
        </w:rPr>
      </w:pPr>
    </w:p>
    <w:p w14:paraId="64332CA9"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марта 1931 г. на учебном плацу недалеко от г. Дессау при вторичном испытании HWR-1 (первое было совсем неудачным) ракета Винклера стартовала, но отклонилась от расчетной траектории и не достигла нужной высоты (22685).</w:t>
      </w:r>
    </w:p>
    <w:p w14:paraId="1A452B8F" w14:textId="77777777" w:rsidR="000F1D6E" w:rsidRPr="007122AB" w:rsidRDefault="000F1D6E" w:rsidP="007122AB">
      <w:pPr>
        <w:shd w:val="clear" w:color="auto" w:fill="FFFFFF"/>
        <w:spacing w:after="0" w:line="240" w:lineRule="auto"/>
        <w:jc w:val="both"/>
        <w:rPr>
          <w:rFonts w:ascii="Times New Roman" w:hAnsi="Times New Roman"/>
          <w:color w:val="000000" w:themeColor="text1"/>
          <w:sz w:val="16"/>
          <w:szCs w:val="16"/>
        </w:rPr>
      </w:pPr>
    </w:p>
    <w:p w14:paraId="1E723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марта 1931 близ Бреслау, Германия </w:t>
      </w:r>
      <w:proofErr w:type="spellStart"/>
      <w:r w:rsidRPr="007122AB">
        <w:rPr>
          <w:rFonts w:ascii="Times New Roman" w:hAnsi="Times New Roman"/>
          <w:color w:val="000000" w:themeColor="text1"/>
          <w:sz w:val="16"/>
          <w:szCs w:val="16"/>
        </w:rPr>
        <w:t>Johannes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Winkler</w:t>
      </w:r>
      <w:proofErr w:type="spellEnd"/>
      <w:r w:rsidRPr="007122AB">
        <w:rPr>
          <w:rFonts w:ascii="Times New Roman" w:hAnsi="Times New Roman"/>
          <w:color w:val="000000" w:themeColor="text1"/>
          <w:sz w:val="16"/>
          <w:szCs w:val="16"/>
        </w:rPr>
        <w:t xml:space="preserve"> осуществил первый в Европе пуск ракеты HWR-1 c ЖРД и достиг высоты 100 м (2990).</w:t>
      </w:r>
    </w:p>
    <w:p w14:paraId="1F9ED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766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марта 1931 года при вторичном испытании ракета Винклера отклонилась от вертикальной траектории и потому не достигла расчетной высоты, которая должна была составить 500 м, но в остальном эксперимент был признан успешным…(11688).</w:t>
      </w:r>
    </w:p>
    <w:p w14:paraId="77834C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192383" w14:textId="5C7BC1FD"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14 марта </w:t>
      </w:r>
      <w:r>
        <w:rPr>
          <w:rFonts w:ascii="Times New Roman" w:hAnsi="Times New Roman"/>
          <w:color w:val="0070C0"/>
          <w:sz w:val="16"/>
          <w:szCs w:val="16"/>
        </w:rPr>
        <w:t>1931 г.</w:t>
      </w:r>
      <w:r w:rsidRPr="00441F34">
        <w:rPr>
          <w:rFonts w:ascii="Times New Roman" w:hAnsi="Times New Roman"/>
          <w:color w:val="0070C0"/>
          <w:sz w:val="16"/>
          <w:szCs w:val="16"/>
        </w:rPr>
        <w:t xml:space="preserve"> Винклер запустил ту же ракету HW-1, которую оснастил стабилизаторами, прикрепленными к  нижним концам труб (модель HW-1a). По его расчётам, она должна была подняться на высоту 500 м. Однако, достигнув 60 м, ракета отклонилась от вертикали и упала в 200 метрах от места старта. Тем не менее, это был первый в Европе успешный запуск ракеты с ЖРД! Его сняли на кинопленку операторы нью-йоркской кинокомпании «Paramount News» (фильм сохранился до наших дней) (23372)</w:t>
      </w:r>
    </w:p>
    <w:p w14:paraId="73743114" w14:textId="77777777" w:rsidR="001D4870" w:rsidRPr="00441F34" w:rsidRDefault="001D4870" w:rsidP="001D4870">
      <w:pPr>
        <w:spacing w:after="0" w:line="240" w:lineRule="auto"/>
        <w:jc w:val="both"/>
        <w:rPr>
          <w:rFonts w:ascii="Times New Roman" w:hAnsi="Times New Roman"/>
          <w:color w:val="0070C0"/>
          <w:sz w:val="16"/>
          <w:szCs w:val="16"/>
        </w:rPr>
      </w:pPr>
    </w:p>
    <w:p w14:paraId="0322C6F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3804D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1D8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марта 1931 был предъявлен генеральным извещением военной приемке Р-5 N 4534 М-17 постройки завода N 1 серии 3 количеством 60 шт. Самолет был заложен заводом 23 сентября 1930 года</w:t>
      </w:r>
    </w:p>
    <w:p w14:paraId="310047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Самолет допущен к летным испытаниям с рядом не устраненных дефектов.</w:t>
      </w:r>
    </w:p>
    <w:p w14:paraId="72D618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N 4534 поставлен мотор М-17 N 26185 завода N 26, карбюратор "Зенит".</w:t>
      </w:r>
    </w:p>
    <w:p w14:paraId="1A7CF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7727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Результат серийного испытания сам. N 4534 на скороподъемность и потолок по сравнению с эталонными сам. NN 4141 и 4151 - не удовлетворяет, поэтому необходимо заводу произвести дополнительные испытания: на скороподъемность как разведчика, легкого бомбардировщика и на управляемость (восьмерка), придерживаясь нагрузок, равных сам. NN 4141-4151. Испытание произвести немедленно.</w:t>
      </w:r>
    </w:p>
    <w:p w14:paraId="0E5C0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 связи с постановкой мотора М-17 вместо БМВ-6, поставленного на сам. 4141, который тяжелее последнего на 31 кг центровка серийной машины получилась передней...</w:t>
      </w:r>
    </w:p>
    <w:p w14:paraId="7B4D0F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Комиссия постановляет произвести повторное испытание на скороподъемность и на потолок как разведчика с нагрузкой равного сам. 4141 и как бомбардировщика с нагрузкой равной сам. 4151. При результатах удовлетворяющих головным самолетам серию допустить на снабжение ВВС и протокол представить на утверждение начальнику </w:t>
      </w:r>
      <w:proofErr w:type="spellStart"/>
      <w:r w:rsidRPr="007122AB">
        <w:rPr>
          <w:rFonts w:ascii="Times New Roman" w:hAnsi="Times New Roman"/>
          <w:color w:val="000000" w:themeColor="text1"/>
          <w:sz w:val="16"/>
          <w:szCs w:val="16"/>
        </w:rPr>
        <w:t>Произ</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технич</w:t>
      </w:r>
      <w:proofErr w:type="spellEnd"/>
      <w:r w:rsidRPr="007122AB">
        <w:rPr>
          <w:rFonts w:ascii="Times New Roman" w:hAnsi="Times New Roman"/>
          <w:color w:val="000000" w:themeColor="text1"/>
          <w:sz w:val="16"/>
          <w:szCs w:val="16"/>
        </w:rPr>
        <w:t>. отдела УВВС (3235,30-36).</w:t>
      </w:r>
    </w:p>
    <w:p w14:paraId="565FD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05B4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марта 1931 года на КАСКР-2 полет выполнил летчик-испытатель НИИ ВВС С.А. Корзинщиков. В своем последнем, длившимся 4 минуты полете на автожире КАСКР-2, Корзинщиков сделал круг на высоте 100 метров.</w:t>
      </w:r>
    </w:p>
    <w:p w14:paraId="13E31A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полетами </w:t>
      </w:r>
      <w:proofErr w:type="spellStart"/>
      <w:r w:rsidRPr="007122AB">
        <w:rPr>
          <w:rFonts w:ascii="Times New Roman" w:hAnsi="Times New Roman"/>
          <w:color w:val="000000" w:themeColor="text1"/>
          <w:sz w:val="16"/>
          <w:szCs w:val="16"/>
        </w:rPr>
        <w:t>Корзинщикова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Крейдлин</w:t>
      </w:r>
      <w:proofErr w:type="spellEnd"/>
      <w:r w:rsidRPr="007122AB">
        <w:rPr>
          <w:rFonts w:ascii="Times New Roman" w:hAnsi="Times New Roman"/>
          <w:color w:val="000000" w:themeColor="text1"/>
          <w:sz w:val="16"/>
          <w:szCs w:val="16"/>
        </w:rPr>
        <w:t xml:space="preserve"> пишет Камову:</w:t>
      </w:r>
    </w:p>
    <w:p w14:paraId="0A6F5A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Вам уже известно, после отъезда Кошица на машине летал Корзинщиков, от которого и получили благоприятный результат. Теперь первое: Вы спрашиваете, почему Корзинщиков, а не Кошиц? Потому что Кошиц уехал в отпуск в Сухуми на месяц с лишним, и никаких кон</w:t>
      </w:r>
      <w:r w:rsidRPr="007122AB">
        <w:rPr>
          <w:rFonts w:ascii="Times New Roman" w:hAnsi="Times New Roman"/>
          <w:color w:val="000000" w:themeColor="text1"/>
          <w:sz w:val="16"/>
          <w:szCs w:val="16"/>
        </w:rPr>
        <w:softHyphen/>
        <w:t>фликтов с Кошицем не было. Мы остались друзьями, и согласно комис</w:t>
      </w:r>
      <w:r w:rsidRPr="007122AB">
        <w:rPr>
          <w:rFonts w:ascii="Times New Roman" w:hAnsi="Times New Roman"/>
          <w:color w:val="000000" w:themeColor="text1"/>
          <w:sz w:val="16"/>
          <w:szCs w:val="16"/>
        </w:rPr>
        <w:softHyphen/>
        <w:t>сии был назначен Корзинщиков. Полеты Кошица Вы знаете, они были при Вас, такие же остались. Теперь, как летал Корзинщиков. Он сделал несколько полетов по прямой, всего три полета, и сразу после этого по</w:t>
      </w:r>
      <w:r w:rsidRPr="007122AB">
        <w:rPr>
          <w:rFonts w:ascii="Times New Roman" w:hAnsi="Times New Roman"/>
          <w:color w:val="000000" w:themeColor="text1"/>
          <w:sz w:val="16"/>
          <w:szCs w:val="16"/>
        </w:rPr>
        <w:softHyphen/>
        <w:t>шел на круг, при этом не было никаких провисаний хвоста. Он летал очень хорошо, и все были довольны, только сильно его трясло... Сейчас у нас весна,...и Корзинщиков ушел в отпуск. Теперь я занялся ремон</w:t>
      </w:r>
      <w:r w:rsidRPr="007122AB">
        <w:rPr>
          <w:rFonts w:ascii="Times New Roman" w:hAnsi="Times New Roman"/>
          <w:color w:val="000000" w:themeColor="text1"/>
          <w:sz w:val="16"/>
          <w:szCs w:val="16"/>
        </w:rPr>
        <w:softHyphen/>
        <w:t>том. Машина стоит в ангаре...</w:t>
      </w:r>
    </w:p>
    <w:p w14:paraId="6CE095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Теперь относительно «</w:t>
      </w:r>
      <w:proofErr w:type="spellStart"/>
      <w:r w:rsidRPr="007122AB">
        <w:rPr>
          <w:rFonts w:ascii="Times New Roman" w:hAnsi="Times New Roman"/>
          <w:color w:val="000000" w:themeColor="text1"/>
          <w:sz w:val="16"/>
          <w:szCs w:val="16"/>
        </w:rPr>
        <w:t>БОКа</w:t>
      </w:r>
      <w:proofErr w:type="spellEnd"/>
      <w:r w:rsidRPr="007122AB">
        <w:rPr>
          <w:rFonts w:ascii="Times New Roman" w:hAnsi="Times New Roman"/>
          <w:color w:val="000000" w:themeColor="text1"/>
          <w:sz w:val="16"/>
          <w:szCs w:val="16"/>
        </w:rPr>
        <w:t>» (Бюро Особых конструкций в ЦАГИ). На днях было заседание в ОСОАВИАХИМ-е, был Нико</w:t>
      </w:r>
      <w:r w:rsidRPr="007122AB">
        <w:rPr>
          <w:rFonts w:ascii="Times New Roman" w:hAnsi="Times New Roman"/>
          <w:color w:val="000000" w:themeColor="text1"/>
          <w:sz w:val="16"/>
          <w:szCs w:val="16"/>
        </w:rPr>
        <w:softHyphen/>
        <w:t>лай Кириллович и я, также Чижевский, где и решили передавать нашу машину в «БОК». Ее хотели перегнать в Подосинки, но мы сейчас не со</w:t>
      </w:r>
      <w:r w:rsidRPr="007122AB">
        <w:rPr>
          <w:rFonts w:ascii="Times New Roman" w:hAnsi="Times New Roman"/>
          <w:color w:val="000000" w:themeColor="text1"/>
          <w:sz w:val="16"/>
          <w:szCs w:val="16"/>
        </w:rPr>
        <w:softHyphen/>
        <w:t>гласились...</w:t>
      </w:r>
    </w:p>
    <w:p w14:paraId="7EC1F1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Напишите мне обязательно, как мне действовать дальше, а самое важное, когда Вы приедете. Срочно отвечайте. Очень прошу Вас при</w:t>
      </w:r>
      <w:r w:rsidRPr="007122AB">
        <w:rPr>
          <w:rFonts w:ascii="Times New Roman" w:hAnsi="Times New Roman"/>
          <w:color w:val="000000" w:themeColor="text1"/>
          <w:sz w:val="16"/>
          <w:szCs w:val="16"/>
        </w:rPr>
        <w:softHyphen/>
        <w:t>ехать...» (10224,34).</w:t>
      </w:r>
    </w:p>
    <w:p w14:paraId="715AB2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FCAB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EBFBF2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14B5EC" w14:textId="77777777" w:rsidR="00083CD8" w:rsidRPr="007122AB" w:rsidRDefault="00083CD8"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 xml:space="preserve">15 марта 1931. Протокол заседания Политбюро ЦК ВКП(б) № 29. 18. О ходе работ на Сталинградском тракторном заводе (ПБ от 5 марта 1931 г., пр. № 28, п. 126) (Михайлов-Иванов, Грачев, Орджоникидзе). 40. О кадрах командного состава </w:t>
      </w:r>
      <w:proofErr w:type="spellStart"/>
      <w:r w:rsidRPr="007122AB">
        <w:rPr>
          <w:rFonts w:ascii="Times New Roman" w:hAnsi="Times New Roman"/>
          <w:color w:val="000000" w:themeColor="text1"/>
          <w:sz w:val="16"/>
          <w:szCs w:val="16"/>
          <w:u w:color="002060"/>
        </w:rPr>
        <w:t>НКВоенмора</w:t>
      </w:r>
      <w:proofErr w:type="spellEnd"/>
      <w:r w:rsidRPr="007122AB">
        <w:rPr>
          <w:rFonts w:ascii="Times New Roman" w:hAnsi="Times New Roman"/>
          <w:color w:val="000000" w:themeColor="text1"/>
          <w:sz w:val="16"/>
          <w:szCs w:val="16"/>
          <w:u w:color="002060"/>
        </w:rPr>
        <w:t xml:space="preserve"> (ПБ от 25 февраля 1931 г., пр. № 27, п. 21). Решения ПБ от 11 марта 1931 г. 6/10. О Сталинградском тракторном заводе (Михайлов-Иванов, Птуха, Прокофьев, Орджоникидзе). (Политбюро... Т. 2. С. 137, 138) (12416).</w:t>
      </w:r>
    </w:p>
    <w:p w14:paraId="7E940382" w14:textId="77777777" w:rsidR="00083CD8" w:rsidRPr="007122AB" w:rsidRDefault="00083CD8" w:rsidP="007122AB">
      <w:pPr>
        <w:spacing w:after="0" w:line="240" w:lineRule="auto"/>
        <w:jc w:val="both"/>
        <w:rPr>
          <w:rFonts w:ascii="Times New Roman" w:hAnsi="Times New Roman"/>
          <w:color w:val="000000" w:themeColor="text1"/>
          <w:sz w:val="16"/>
          <w:szCs w:val="16"/>
          <w:u w:color="002060"/>
        </w:rPr>
      </w:pPr>
    </w:p>
    <w:p w14:paraId="0F579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марта 1931 г. на основании постановления ВСНХ СССР был создан Государственный научно-исследовательский институт азота (ГИА), который 21 апреля 1943 г. распоряжения Совета Народных Комиссаров СССР и приказом Народного Комиссариата химической промышленности от 29 апреля 1943 г. вместе с Государственным институтом по проектированию азотно-туковых заводов и комбинатов "</w:t>
      </w:r>
      <w:proofErr w:type="spellStart"/>
      <w:r w:rsidRPr="007122AB">
        <w:rPr>
          <w:rFonts w:ascii="Times New Roman" w:hAnsi="Times New Roman"/>
          <w:color w:val="000000" w:themeColor="text1"/>
          <w:sz w:val="16"/>
          <w:szCs w:val="16"/>
        </w:rPr>
        <w:t>Гипроазот</w:t>
      </w:r>
      <w:proofErr w:type="spellEnd"/>
      <w:r w:rsidRPr="007122AB">
        <w:rPr>
          <w:rFonts w:ascii="Times New Roman" w:hAnsi="Times New Roman"/>
          <w:color w:val="000000" w:themeColor="text1"/>
          <w:sz w:val="16"/>
          <w:szCs w:val="16"/>
        </w:rPr>
        <w:t>", созданным приказом Государственного Всесоюзного треста "</w:t>
      </w:r>
      <w:proofErr w:type="spellStart"/>
      <w:r w:rsidRPr="007122AB">
        <w:rPr>
          <w:rFonts w:ascii="Times New Roman" w:hAnsi="Times New Roman"/>
          <w:color w:val="000000" w:themeColor="text1"/>
          <w:sz w:val="16"/>
          <w:szCs w:val="16"/>
        </w:rPr>
        <w:t>Союзазот</w:t>
      </w:r>
      <w:proofErr w:type="spellEnd"/>
      <w:r w:rsidRPr="007122AB">
        <w:rPr>
          <w:rFonts w:ascii="Times New Roman" w:hAnsi="Times New Roman"/>
          <w:color w:val="000000" w:themeColor="text1"/>
          <w:sz w:val="16"/>
          <w:szCs w:val="16"/>
        </w:rPr>
        <w:t>" Народного комиссариата тяжелой промышленности СССР от 15 июня 1932 г., стал Государственным научно-исследовательским и проектным институтом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2F5CA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F2A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марта 1931 г. постановлением ВСНХ СССР был создан Государственный научно-исследовательский институт азота (ГИА). В 1941 - 1943 гг. находился в эвакуации в г. Чирчик Ташкентской обл. Приказом Наркомата химической промышленности СССР от 29 апреля 1943 г. ГИА был объединен с </w:t>
      </w:r>
      <w:proofErr w:type="spellStart"/>
      <w:r w:rsidRPr="007122AB">
        <w:rPr>
          <w:rFonts w:ascii="Times New Roman" w:hAnsi="Times New Roman"/>
          <w:color w:val="000000" w:themeColor="text1"/>
          <w:sz w:val="16"/>
          <w:szCs w:val="16"/>
        </w:rPr>
        <w:t>Гипроазотом</w:t>
      </w:r>
      <w:proofErr w:type="spellEnd"/>
      <w:r w:rsidRPr="007122AB">
        <w:rPr>
          <w:rFonts w:ascii="Times New Roman" w:hAnsi="Times New Roman"/>
          <w:color w:val="000000" w:themeColor="text1"/>
          <w:sz w:val="16"/>
          <w:szCs w:val="16"/>
        </w:rPr>
        <w:t xml:space="preserve"> в ГИАП (12102).</w:t>
      </w:r>
    </w:p>
    <w:p w14:paraId="6BC03795" w14:textId="77777777" w:rsidR="005939E8" w:rsidRPr="007122AB" w:rsidRDefault="005939E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21316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C72552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398D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марта 1931 вышла Директива ОГПУ за подписью заместителя председателя ОГПУ </w:t>
      </w:r>
      <w:proofErr w:type="spellStart"/>
      <w:r w:rsidRPr="007122AB">
        <w:rPr>
          <w:rFonts w:ascii="Times New Roman" w:hAnsi="Times New Roman"/>
          <w:color w:val="000000" w:themeColor="text1"/>
          <w:sz w:val="16"/>
          <w:szCs w:val="16"/>
        </w:rPr>
        <w:t>Г.Ягоды</w:t>
      </w:r>
      <w:proofErr w:type="spellEnd"/>
      <w:r w:rsidRPr="007122AB">
        <w:rPr>
          <w:rFonts w:ascii="Times New Roman" w:hAnsi="Times New Roman"/>
          <w:color w:val="000000" w:themeColor="text1"/>
          <w:sz w:val="16"/>
          <w:szCs w:val="16"/>
        </w:rPr>
        <w:t xml:space="preserve"> о проведении операции по массовому выселению кулаков из районов сплошной коллективизации Западно-Сибирского края: </w:t>
      </w:r>
    </w:p>
    <w:p w14:paraId="7FEC2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Установить количество кулацких хозяйств края (в </w:t>
      </w:r>
      <w:proofErr w:type="spellStart"/>
      <w:r w:rsidRPr="007122AB">
        <w:rPr>
          <w:rFonts w:ascii="Times New Roman" w:hAnsi="Times New Roman"/>
          <w:color w:val="000000" w:themeColor="text1"/>
          <w:sz w:val="16"/>
          <w:szCs w:val="16"/>
        </w:rPr>
        <w:t>т.ч.раскулаченных</w:t>
      </w:r>
      <w:proofErr w:type="spellEnd"/>
      <w:r w:rsidRPr="007122AB">
        <w:rPr>
          <w:rFonts w:ascii="Times New Roman" w:hAnsi="Times New Roman"/>
          <w:color w:val="000000" w:themeColor="text1"/>
          <w:sz w:val="16"/>
          <w:szCs w:val="16"/>
        </w:rPr>
        <w:t xml:space="preserve"> и распроданных в прошлом году), подлежащих высылке.</w:t>
      </w:r>
    </w:p>
    <w:p w14:paraId="22E19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Установить теперешнее местонахождение кулацких хозяйств, в особенности глав семей.</w:t>
      </w:r>
    </w:p>
    <w:p w14:paraId="43D88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Агентурным путем установить бежавших с постоянного места жительства и из ссылки кулаков, проникших на работу в промышленность, шахты, скрывающихся в городах.</w:t>
      </w:r>
    </w:p>
    <w:p w14:paraId="655A5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Проверить состав колхозов, учесть проникших в колхозы кулаков.</w:t>
      </w:r>
    </w:p>
    <w:p w14:paraId="56386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Разработать подробный оперативный план проведения этой массовой операции" (10687).</w:t>
      </w:r>
    </w:p>
    <w:p w14:paraId="4CB037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4FD77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50ACA4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FDCC0C" w14:textId="77777777" w:rsidR="005939E8" w:rsidRPr="007122AB" w:rsidRDefault="005939E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15 марта</w:t>
      </w:r>
      <w:r w:rsidRPr="007122AB">
        <w:rPr>
          <w:rFonts w:ascii="Times New Roman" w:hAnsi="Times New Roman"/>
          <w:color w:val="000000" w:themeColor="text1"/>
          <w:sz w:val="16"/>
          <w:szCs w:val="16"/>
        </w:rPr>
        <w:t xml:space="preserve"> в 1931 году состоялся полет прототипа </w:t>
      </w:r>
      <w:hyperlink r:id="rId36" w:tgtFrame="_blank" w:history="1">
        <w:r w:rsidRPr="007122AB">
          <w:rPr>
            <w:rFonts w:ascii="Times New Roman" w:hAnsi="Times New Roman"/>
            <w:color w:val="000000" w:themeColor="text1"/>
            <w:sz w:val="16"/>
            <w:szCs w:val="16"/>
          </w:rPr>
          <w:t xml:space="preserve">«Late-440», </w:t>
        </w:r>
      </w:hyperlink>
      <w:r w:rsidRPr="007122AB">
        <w:rPr>
          <w:rFonts w:ascii="Times New Roman" w:hAnsi="Times New Roman"/>
          <w:color w:val="000000" w:themeColor="text1"/>
          <w:sz w:val="16"/>
          <w:szCs w:val="16"/>
        </w:rPr>
        <w:t>оборудованного двумя двигателями «</w:t>
      </w:r>
      <w:proofErr w:type="spellStart"/>
      <w:r w:rsidRPr="007122AB">
        <w:rPr>
          <w:rFonts w:ascii="Times New Roman" w:hAnsi="Times New Roman"/>
          <w:color w:val="000000" w:themeColor="text1"/>
          <w:sz w:val="16"/>
          <w:szCs w:val="16"/>
        </w:rPr>
        <w:t>Hispano</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Suiza</w:t>
      </w:r>
      <w:proofErr w:type="spellEnd"/>
      <w:r w:rsidRPr="007122AB">
        <w:rPr>
          <w:rFonts w:ascii="Times New Roman" w:hAnsi="Times New Roman"/>
          <w:color w:val="000000" w:themeColor="text1"/>
          <w:sz w:val="16"/>
          <w:szCs w:val="16"/>
        </w:rPr>
        <w:t xml:space="preserve">» «12 </w:t>
      </w:r>
      <w:proofErr w:type="spellStart"/>
      <w:r w:rsidRPr="007122AB">
        <w:rPr>
          <w:rFonts w:ascii="Times New Roman" w:hAnsi="Times New Roman"/>
          <w:color w:val="000000" w:themeColor="text1"/>
          <w:sz w:val="16"/>
          <w:szCs w:val="16"/>
        </w:rPr>
        <w:t>Nbr</w:t>
      </w:r>
      <w:proofErr w:type="spellEnd"/>
      <w:r w:rsidRPr="007122AB">
        <w:rPr>
          <w:rFonts w:ascii="Times New Roman" w:hAnsi="Times New Roman"/>
          <w:color w:val="000000" w:themeColor="text1"/>
          <w:sz w:val="16"/>
          <w:szCs w:val="16"/>
        </w:rPr>
        <w:t xml:space="preserve">» мощностью 650 л.с. «Late-440» - бомбардировщик-торпедоносец, разработанный французской фирмой «Societe </w:t>
      </w:r>
      <w:proofErr w:type="spellStart"/>
      <w:r w:rsidRPr="007122AB">
        <w:rPr>
          <w:rFonts w:ascii="Times New Roman" w:hAnsi="Times New Roman"/>
          <w:color w:val="000000" w:themeColor="text1"/>
          <w:sz w:val="16"/>
          <w:szCs w:val="16"/>
        </w:rPr>
        <w:t>Industrielle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d'Aviation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Latecoere</w:t>
      </w:r>
      <w:proofErr w:type="spellEnd"/>
      <w:r w:rsidRPr="007122AB">
        <w:rPr>
          <w:rFonts w:ascii="Times New Roman" w:hAnsi="Times New Roman"/>
          <w:color w:val="000000" w:themeColor="text1"/>
          <w:sz w:val="16"/>
          <w:szCs w:val="16"/>
        </w:rPr>
        <w:t>». Испытания «</w:t>
      </w:r>
      <w:proofErr w:type="spellStart"/>
      <w:r w:rsidRPr="007122AB">
        <w:rPr>
          <w:rFonts w:ascii="Times New Roman" w:hAnsi="Times New Roman"/>
          <w:color w:val="000000" w:themeColor="text1"/>
          <w:sz w:val="16"/>
          <w:szCs w:val="16"/>
        </w:rPr>
        <w:t>Late</w:t>
      </w:r>
      <w:proofErr w:type="spellEnd"/>
      <w:r w:rsidRPr="007122AB">
        <w:rPr>
          <w:rFonts w:ascii="Times New Roman" w:hAnsi="Times New Roman"/>
          <w:color w:val="000000" w:themeColor="text1"/>
          <w:sz w:val="16"/>
          <w:szCs w:val="16"/>
        </w:rPr>
        <w:t xml:space="preserve"> 440» показали неудовлетворительные характеристики самолета, особенно на фоне более удачного «</w:t>
      </w:r>
      <w:proofErr w:type="spellStart"/>
      <w:r w:rsidRPr="007122AB">
        <w:rPr>
          <w:rFonts w:ascii="Times New Roman" w:hAnsi="Times New Roman"/>
          <w:color w:val="000000" w:themeColor="text1"/>
          <w:sz w:val="16"/>
          <w:szCs w:val="16"/>
        </w:rPr>
        <w:t>Late</w:t>
      </w:r>
      <w:proofErr w:type="spellEnd"/>
      <w:r w:rsidRPr="007122AB">
        <w:rPr>
          <w:rFonts w:ascii="Times New Roman" w:hAnsi="Times New Roman"/>
          <w:color w:val="000000" w:themeColor="text1"/>
          <w:sz w:val="16"/>
          <w:szCs w:val="16"/>
        </w:rPr>
        <w:t xml:space="preserve"> 290». Но и эти варианты не нашли признания у военных (15069).</w:t>
      </w:r>
    </w:p>
    <w:p w14:paraId="3889B72F" w14:textId="77777777" w:rsidR="005939E8" w:rsidRPr="007122AB" w:rsidRDefault="005939E8" w:rsidP="007122AB">
      <w:pPr>
        <w:spacing w:after="0" w:line="240" w:lineRule="auto"/>
        <w:jc w:val="both"/>
        <w:rPr>
          <w:rFonts w:ascii="Times New Roman" w:hAnsi="Times New Roman"/>
          <w:color w:val="000000" w:themeColor="text1"/>
          <w:sz w:val="16"/>
          <w:szCs w:val="16"/>
        </w:rPr>
      </w:pPr>
    </w:p>
    <w:p w14:paraId="16456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марта 1931 в Польше крестьянская партия одержала победу на парламентских выборах (3907,167).</w:t>
      </w:r>
    </w:p>
    <w:p w14:paraId="7EFBDF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8981F0" w14:textId="77777777" w:rsidR="0019470D" w:rsidRPr="007122AB" w:rsidRDefault="0019470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D4AB49E" w14:textId="77777777" w:rsidR="0019470D" w:rsidRPr="007122AB" w:rsidRDefault="0019470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8B6470" w14:textId="0F56ED5E" w:rsidR="0019470D" w:rsidRPr="007122AB" w:rsidRDefault="001947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К середине марта ленинградский Научно-исследовательский институт строительства и эксплуатации дирижаблей (НИИСЭД) подготовил программу и смету «малого» дирижаблестроения на 1931 год. Как и план, представленный </w:t>
      </w:r>
      <w:proofErr w:type="spellStart"/>
      <w:r w:rsidRPr="007122AB">
        <w:rPr>
          <w:rFonts w:ascii="Times New Roman" w:hAnsi="Times New Roman"/>
          <w:color w:val="000000" w:themeColor="text1"/>
          <w:sz w:val="16"/>
          <w:szCs w:val="16"/>
          <w:lang w:eastAsia="ru-RU" w:bidi="ru-RU"/>
        </w:rPr>
        <w:t>Гольцманом</w:t>
      </w:r>
      <w:proofErr w:type="spellEnd"/>
      <w:r w:rsidRPr="007122AB">
        <w:rPr>
          <w:rFonts w:ascii="Times New Roman" w:hAnsi="Times New Roman"/>
          <w:color w:val="000000" w:themeColor="text1"/>
          <w:sz w:val="16"/>
          <w:szCs w:val="16"/>
          <w:lang w:eastAsia="ru-RU" w:bidi="ru-RU"/>
        </w:rPr>
        <w:t xml:space="preserve"> двумя месяцами раньше в комиссии Куйбышева, программа предусматривала одновременное проектирование и начало строительства одного мягкого дирижабля, двух полужёстких объёмом в 7,5 тыс. и 20 тыс. кубометров и жёсткого </w:t>
      </w:r>
      <w:proofErr w:type="spellStart"/>
      <w:r w:rsidRPr="007122AB">
        <w:rPr>
          <w:rFonts w:ascii="Times New Roman" w:hAnsi="Times New Roman"/>
          <w:color w:val="000000" w:themeColor="text1"/>
          <w:sz w:val="16"/>
          <w:szCs w:val="16"/>
          <w:lang w:eastAsia="ru-RU" w:bidi="ru-RU"/>
        </w:rPr>
        <w:t>цеппелиновского</w:t>
      </w:r>
      <w:proofErr w:type="spellEnd"/>
      <w:r w:rsidRPr="007122AB">
        <w:rPr>
          <w:rFonts w:ascii="Times New Roman" w:hAnsi="Times New Roman"/>
          <w:color w:val="000000" w:themeColor="text1"/>
          <w:sz w:val="16"/>
          <w:szCs w:val="16"/>
          <w:lang w:eastAsia="ru-RU" w:bidi="ru-RU"/>
        </w:rPr>
        <w:t xml:space="preserve"> корабля объёмом не менее 20 тыс. кубометров. Мягкий и меньший полужёсткий дирижабли планировалось сдать уже в 1931 году, два других - в следующем. При этом предполагалось также вести опытные работы по двум цельнометаллическим дирижаблям - каркасному и бескаркасному системы Циолковского. Сумма затрат на предстоящий год определялась в 5,2 млн рублей.</w:t>
      </w:r>
    </w:p>
    <w:p w14:paraId="436E93FE" w14:textId="77777777" w:rsidR="009949F5" w:rsidRPr="007122AB" w:rsidRDefault="0019470D"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Очень похоже, что сторонники дирижаблестроения, готовя свой стомиллионный план для Политбюро, слабо верили в его утверждение, а когда это вдруг случилось, растерялись: не оказалось ни людей, ни иностранных технических партнёров, ни понимания, с чего и как начинать. И если обычно инициаторам бюджетных программ приходится урезать свои желания, втискивая их в рамки недостаточных ассигнований, то здесь произошло обратное: сами исполнители попросили усечь им план и уменьшить годовой объём финансирования до 5 % суммы, выделенной на трёхлетие</w:t>
      </w:r>
      <w:r w:rsidR="009949F5" w:rsidRPr="007122AB">
        <w:rPr>
          <w:rFonts w:ascii="Times New Roman" w:hAnsi="Times New Roman"/>
          <w:color w:val="000000" w:themeColor="text1"/>
          <w:sz w:val="16"/>
          <w:szCs w:val="16"/>
          <w:lang w:eastAsia="ru-RU" w:bidi="ru-RU"/>
        </w:rPr>
        <w:t>.</w:t>
      </w:r>
    </w:p>
    <w:p w14:paraId="7298E211" w14:textId="043045BA" w:rsidR="0019470D" w:rsidRPr="007122AB" w:rsidRDefault="009949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Более чем скромное денежное измерение «малого» дирижаблестроения не помешало авторам заложить в него параллельную работу над кораблями пяти различных конструкций, из которых лишь одна, самая простая, была знакома советским инженерам. </w:t>
      </w:r>
      <w:proofErr w:type="spellStart"/>
      <w:r w:rsidRPr="007122AB">
        <w:rPr>
          <w:rFonts w:ascii="Times New Roman" w:hAnsi="Times New Roman"/>
          <w:color w:val="000000" w:themeColor="text1"/>
          <w:sz w:val="16"/>
          <w:szCs w:val="16"/>
          <w:lang w:eastAsia="ru-RU" w:bidi="ru-RU"/>
        </w:rPr>
        <w:t>Многотипность</w:t>
      </w:r>
      <w:proofErr w:type="spellEnd"/>
      <w:r w:rsidRPr="007122AB">
        <w:rPr>
          <w:rFonts w:ascii="Times New Roman" w:hAnsi="Times New Roman"/>
          <w:color w:val="000000" w:themeColor="text1"/>
          <w:sz w:val="16"/>
          <w:szCs w:val="16"/>
          <w:lang w:eastAsia="ru-RU" w:bidi="ru-RU"/>
        </w:rPr>
        <w:t xml:space="preserve">, проникшая тогда в планы, уже не покидала их почти до самого конца. Сменявшие друг друга </w:t>
      </w:r>
      <w:proofErr w:type="spellStart"/>
      <w:r w:rsidRPr="007122AB">
        <w:rPr>
          <w:rFonts w:ascii="Times New Roman" w:hAnsi="Times New Roman"/>
          <w:color w:val="000000" w:themeColor="text1"/>
          <w:sz w:val="16"/>
          <w:szCs w:val="16"/>
          <w:lang w:eastAsia="ru-RU" w:bidi="ru-RU"/>
        </w:rPr>
        <w:t>дирижаблестроители</w:t>
      </w:r>
      <w:proofErr w:type="spellEnd"/>
      <w:r w:rsidRPr="007122AB">
        <w:rPr>
          <w:rFonts w:ascii="Times New Roman" w:hAnsi="Times New Roman"/>
          <w:color w:val="000000" w:themeColor="text1"/>
          <w:sz w:val="16"/>
          <w:szCs w:val="16"/>
          <w:lang w:eastAsia="ru-RU" w:bidi="ru-RU"/>
        </w:rPr>
        <w:t xml:space="preserve"> были вынуждены год за годом нести этот тяжкий груз, так и не сумев выполнить большей части намеченного</w:t>
      </w:r>
      <w:r w:rsidR="0019470D" w:rsidRPr="007122AB">
        <w:rPr>
          <w:rFonts w:ascii="Times New Roman" w:hAnsi="Times New Roman"/>
          <w:color w:val="000000" w:themeColor="text1"/>
          <w:sz w:val="16"/>
          <w:szCs w:val="16"/>
          <w:lang w:eastAsia="ru-RU" w:bidi="ru-RU"/>
        </w:rPr>
        <w:t xml:space="preserve"> (23192).</w:t>
      </w:r>
    </w:p>
    <w:p w14:paraId="6E25AE05" w14:textId="77777777" w:rsidR="0019470D" w:rsidRPr="007122AB" w:rsidRDefault="0019470D"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FCCD0C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F72B42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E76A6D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16 по 17 марта 1931 проходили испытания самолета ДВ 2БМВ-VIZ Е=6 (для сравнения с самолетом МДР2).</w:t>
      </w:r>
    </w:p>
    <w:p w14:paraId="68EB82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ДВ 2БМВ-VIZ Е=6 (для сравнения с самолетом МДР2).</w:t>
      </w:r>
    </w:p>
    <w:p w14:paraId="2DF6DD1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Начало испытаний – 16 марта 1931 года</w:t>
      </w:r>
    </w:p>
    <w:p w14:paraId="728CD1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Окончание испытаний – 17 марта 1931 года</w:t>
      </w:r>
    </w:p>
    <w:p w14:paraId="1F5148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 2</w:t>
      </w:r>
    </w:p>
    <w:p w14:paraId="0C5AFF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w:t>
      </w:r>
    </w:p>
    <w:p w14:paraId="19F5B9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 – 2 часа 2 минуты</w:t>
      </w:r>
    </w:p>
    <w:p w14:paraId="02C74D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проводились в Севастополе.</w:t>
      </w:r>
    </w:p>
    <w:p w14:paraId="330572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были прерваны из-за обнаружившейся недостаточной поперечной устойчивости самолета. В настоящее время изготовляются новые боковые поплавки увеличенного водоизмещения, срок предъявления на испытания 1 апреля 1931 года (6956).</w:t>
      </w:r>
    </w:p>
    <w:p w14:paraId="731536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DD5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марта 1931 начались испытания самолета ДВ 2БМВVIZ Е=6 (Для сравнения с самолетом МДР-2) и прошли за 2 дня до 17 марта 1931 (3043)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122AB" w:rsidRPr="007122AB" w14:paraId="6C0FC56F" w14:textId="77777777">
        <w:tc>
          <w:tcPr>
            <w:tcW w:w="5636" w:type="dxa"/>
          </w:tcPr>
          <w:p w14:paraId="3AA6C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w:t>
            </w:r>
          </w:p>
        </w:tc>
        <w:tc>
          <w:tcPr>
            <w:tcW w:w="5636" w:type="dxa"/>
          </w:tcPr>
          <w:p w14:paraId="2A788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7122AB" w:rsidRPr="007122AB" w14:paraId="30DA3605" w14:textId="77777777">
        <w:tc>
          <w:tcPr>
            <w:tcW w:w="5636" w:type="dxa"/>
          </w:tcPr>
          <w:p w14:paraId="341615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w:t>
            </w:r>
          </w:p>
        </w:tc>
        <w:tc>
          <w:tcPr>
            <w:tcW w:w="5636" w:type="dxa"/>
          </w:tcPr>
          <w:p w14:paraId="4E4E6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7122AB" w:rsidRPr="007122AB" w14:paraId="772EB9DD" w14:textId="77777777">
        <w:tc>
          <w:tcPr>
            <w:tcW w:w="5636" w:type="dxa"/>
          </w:tcPr>
          <w:p w14:paraId="3E5728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w:t>
            </w:r>
          </w:p>
        </w:tc>
        <w:tc>
          <w:tcPr>
            <w:tcW w:w="5636" w:type="dxa"/>
          </w:tcPr>
          <w:p w14:paraId="30BA53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час. 2 мин. (3043)</w:t>
            </w:r>
          </w:p>
        </w:tc>
      </w:tr>
    </w:tbl>
    <w:p w14:paraId="569D48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366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марта 1931 года гл. инженер по сухопутным самолетам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 176/721 начальнику БОК при ЦАГИ.</w:t>
      </w:r>
    </w:p>
    <w:p w14:paraId="7C7ED0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последнее время работу по вертолету «КАСКР» и параболе </w:t>
      </w:r>
      <w:proofErr w:type="spellStart"/>
      <w:r w:rsidRPr="007122AB">
        <w:rPr>
          <w:rFonts w:ascii="Times New Roman" w:hAnsi="Times New Roman"/>
          <w:color w:val="000000" w:themeColor="text1"/>
          <w:sz w:val="16"/>
          <w:szCs w:val="16"/>
        </w:rPr>
        <w:t>Чарановского</w:t>
      </w:r>
      <w:proofErr w:type="spellEnd"/>
      <w:r w:rsidRPr="007122AB">
        <w:rPr>
          <w:rFonts w:ascii="Times New Roman" w:hAnsi="Times New Roman"/>
          <w:color w:val="000000" w:themeColor="text1"/>
          <w:sz w:val="16"/>
          <w:szCs w:val="16"/>
        </w:rPr>
        <w:t xml:space="preserve"> очень слабо продвигаются вперед.</w:t>
      </w:r>
    </w:p>
    <w:p w14:paraId="28052C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98483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Перевод конструкторов Камова и </w:t>
      </w:r>
      <w:proofErr w:type="spellStart"/>
      <w:r w:rsidRPr="007122AB">
        <w:rPr>
          <w:rFonts w:ascii="Times New Roman" w:hAnsi="Times New Roman"/>
          <w:color w:val="000000" w:themeColor="text1"/>
          <w:sz w:val="16"/>
          <w:szCs w:val="16"/>
        </w:rPr>
        <w:t>Чероновского</w:t>
      </w:r>
      <w:proofErr w:type="spellEnd"/>
      <w:r w:rsidRPr="007122AB">
        <w:rPr>
          <w:rFonts w:ascii="Times New Roman" w:hAnsi="Times New Roman"/>
          <w:color w:val="000000" w:themeColor="text1"/>
          <w:sz w:val="16"/>
          <w:szCs w:val="16"/>
        </w:rPr>
        <w:t xml:space="preserve"> в ваш отдел с освобождением их от остальных работ с нашей стороны встретит поддержку (6948, 100).</w:t>
      </w:r>
    </w:p>
    <w:p w14:paraId="1BC694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732AE" w14:textId="77777777" w:rsidR="000F1D6E" w:rsidRPr="007122AB" w:rsidRDefault="000F1D6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3300BE4" w14:textId="77777777" w:rsidR="000F1D6E" w:rsidRPr="007122AB" w:rsidRDefault="000F1D6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C64802" w14:textId="77777777" w:rsidR="000F1D6E" w:rsidRPr="007122AB" w:rsidRDefault="000F1D6E"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16 - 17 марта 1931 г. проект 107-мм нарезного химического миномета типа американской мортиры и мин (в 2 вариантах) был представлен на рассмотрение НТК АУ РККА.371 </w:t>
      </w:r>
    </w:p>
    <w:p w14:paraId="5DC56651" w14:textId="77777777" w:rsidR="000F1D6E" w:rsidRPr="007122AB" w:rsidRDefault="000F1D6E" w:rsidP="007122AB">
      <w:pPr>
        <w:pStyle w:val="Default"/>
        <w:jc w:val="both"/>
        <w:rPr>
          <w:color w:val="000000" w:themeColor="text1"/>
          <w:sz w:val="16"/>
          <w:szCs w:val="16"/>
        </w:rPr>
      </w:pPr>
      <w:r w:rsidRPr="007122AB">
        <w:rPr>
          <w:color w:val="000000" w:themeColor="text1"/>
          <w:sz w:val="16"/>
          <w:szCs w:val="16"/>
        </w:rPr>
        <w:t xml:space="preserve">Следует отметить, что его рассмотрение сопровождалось нареканиями со стороны инженера Л. В. </w:t>
      </w:r>
      <w:proofErr w:type="spellStart"/>
      <w:r w:rsidRPr="007122AB">
        <w:rPr>
          <w:color w:val="000000" w:themeColor="text1"/>
          <w:sz w:val="16"/>
          <w:szCs w:val="16"/>
        </w:rPr>
        <w:t>Курчевского</w:t>
      </w:r>
      <w:proofErr w:type="spellEnd"/>
      <w:r w:rsidRPr="007122AB">
        <w:rPr>
          <w:color w:val="000000" w:themeColor="text1"/>
          <w:sz w:val="16"/>
          <w:szCs w:val="16"/>
        </w:rPr>
        <w:t xml:space="preserve">, который в апреле 1931 г. обратился в Технический штаб Начальника Вооружений РККА в жалобой на заимствование группой «Д» АНИИ принципиальных конструктивных решений для 107-мм нарезного миномета, два опытных образца которых изготавливались на заводе №8 им. М. И. Калинина, из его проекта 76-мм бомбомета, который также находился в стадии изготовления на заводе №8. Начальником Технического штаба К. И. Янсоном было дано распоряжение ВОХИМУ и АУ разобраться с </w:t>
      </w:r>
    </w:p>
    <w:p w14:paraId="78F31959" w14:textId="77777777" w:rsidR="000F1D6E" w:rsidRPr="007122AB" w:rsidRDefault="000F1D6E"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 xml:space="preserve">этим вопросом и уладить его лично с Л. В. Курчевским.372 В свою очередь, в мае 1931 г. НТК АУ и ВОХИМУ направили рапорты о надуманности таких обвинений: «Если инженер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выражает претензию на то, что АНИИ воспользовался его проектом, то это &lt;…&gt; совершенный абсурд, ибо АНИИ имел вполне определенное задание «разработать рабочие чертежи 42-линейной химической мортиры САСШ», пользуясь всеми необходимыми данными этой мортиры и фотографиями ее, полученными из IV управления Штаба РККА. &lt;…&gt; Одновременно ВОХИМУ ставит в известность, что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удовлетворен данными ему объяснениями».373 (20074)</w:t>
      </w:r>
    </w:p>
    <w:p w14:paraId="21206910" w14:textId="461FE721" w:rsidR="000F1D6E" w:rsidRPr="007122AB" w:rsidRDefault="000F1D6E" w:rsidP="007122AB">
      <w:pPr>
        <w:autoSpaceDE w:val="0"/>
        <w:autoSpaceDN w:val="0"/>
        <w:adjustRightInd w:val="0"/>
        <w:spacing w:after="0" w:line="240" w:lineRule="auto"/>
        <w:jc w:val="both"/>
        <w:rPr>
          <w:rFonts w:ascii="Times New Roman" w:hAnsi="Times New Roman"/>
          <w:color w:val="000000" w:themeColor="text1"/>
          <w:sz w:val="16"/>
          <w:szCs w:val="16"/>
        </w:rPr>
      </w:pPr>
    </w:p>
    <w:p w14:paraId="50F2C13E" w14:textId="0EE7E41B" w:rsidR="000F1D6E" w:rsidRPr="007122AB" w:rsidRDefault="000F1D6E"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01C81C22" w14:textId="77777777" w:rsidR="000F1D6E" w:rsidRPr="007122AB" w:rsidRDefault="000F1D6E"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786C28A4" w14:textId="77777777" w:rsidR="000F1D6E" w:rsidRPr="007122AB" w:rsidRDefault="000F1D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марта 1931 года вышло распоряжение начальника 1-го Управления ВВС РККА начальнику НИИ ВВС № VI/141  об организации курсов укладчиков и облете </w:t>
      </w:r>
      <w:proofErr w:type="spellStart"/>
      <w:r w:rsidRPr="007122AB">
        <w:rPr>
          <w:rFonts w:ascii="Times New Roman" w:hAnsi="Times New Roman"/>
          <w:color w:val="000000" w:themeColor="text1"/>
          <w:sz w:val="16"/>
          <w:szCs w:val="16"/>
        </w:rPr>
        <w:t>авиагарнизонов</w:t>
      </w:r>
      <w:proofErr w:type="spellEnd"/>
      <w:r w:rsidRPr="007122AB">
        <w:rPr>
          <w:rFonts w:ascii="Times New Roman" w:hAnsi="Times New Roman"/>
          <w:color w:val="000000" w:themeColor="text1"/>
          <w:sz w:val="16"/>
          <w:szCs w:val="16"/>
        </w:rPr>
        <w:t xml:space="preserve"> и были реализованы предложения </w:t>
      </w:r>
      <w:proofErr w:type="spellStart"/>
      <w:r w:rsidRPr="007122AB">
        <w:rPr>
          <w:rFonts w:ascii="Times New Roman" w:hAnsi="Times New Roman"/>
          <w:color w:val="000000" w:themeColor="text1"/>
          <w:sz w:val="16"/>
          <w:szCs w:val="16"/>
        </w:rPr>
        <w:t>Минова</w:t>
      </w:r>
      <w:proofErr w:type="spellEnd"/>
      <w:r w:rsidRPr="007122AB">
        <w:rPr>
          <w:rFonts w:ascii="Times New Roman" w:hAnsi="Times New Roman"/>
          <w:color w:val="000000" w:themeColor="text1"/>
          <w:sz w:val="16"/>
          <w:szCs w:val="16"/>
        </w:rPr>
        <w:t xml:space="preserve"> от 5 марта (Архив ЦДА и К. Ф. 50. Оп. 1. Д. 3. Л. 6.) (21402).</w:t>
      </w:r>
    </w:p>
    <w:p w14:paraId="68600154" w14:textId="77777777" w:rsidR="000F1D6E" w:rsidRPr="007122AB" w:rsidRDefault="000F1D6E" w:rsidP="007122AB">
      <w:pPr>
        <w:spacing w:after="0" w:line="240" w:lineRule="auto"/>
        <w:jc w:val="both"/>
        <w:rPr>
          <w:rFonts w:ascii="Times New Roman" w:hAnsi="Times New Roman"/>
          <w:color w:val="000000" w:themeColor="text1"/>
          <w:sz w:val="16"/>
          <w:szCs w:val="16"/>
        </w:rPr>
      </w:pPr>
    </w:p>
    <w:p w14:paraId="2C3479C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430DAC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44E3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марта 1931 Туркменская ССР. </w:t>
      </w:r>
      <w:proofErr w:type="spellStart"/>
      <w:r w:rsidRPr="007122AB">
        <w:rPr>
          <w:rFonts w:ascii="Times New Roman" w:hAnsi="Times New Roman"/>
          <w:color w:val="000000" w:themeColor="text1"/>
          <w:sz w:val="16"/>
          <w:szCs w:val="16"/>
        </w:rPr>
        <w:t>Коймат</w:t>
      </w:r>
      <w:proofErr w:type="spellEnd"/>
      <w:r w:rsidRPr="007122AB">
        <w:rPr>
          <w:rFonts w:ascii="Times New Roman" w:hAnsi="Times New Roman"/>
          <w:color w:val="000000" w:themeColor="text1"/>
          <w:sz w:val="16"/>
          <w:szCs w:val="16"/>
        </w:rPr>
        <w:t xml:space="preserve">. Басмаческое восстание под руководством </w:t>
      </w:r>
      <w:proofErr w:type="spellStart"/>
      <w:r w:rsidRPr="007122AB">
        <w:rPr>
          <w:rFonts w:ascii="Times New Roman" w:hAnsi="Times New Roman"/>
          <w:color w:val="000000" w:themeColor="text1"/>
          <w:sz w:val="16"/>
          <w:szCs w:val="16"/>
        </w:rPr>
        <w:t>Илли</w:t>
      </w:r>
      <w:proofErr w:type="spellEnd"/>
      <w:r w:rsidRPr="007122AB">
        <w:rPr>
          <w:rFonts w:ascii="Times New Roman" w:hAnsi="Times New Roman"/>
          <w:color w:val="000000" w:themeColor="text1"/>
          <w:sz w:val="16"/>
          <w:szCs w:val="16"/>
        </w:rPr>
        <w:t xml:space="preserve"> -ахуна и </w:t>
      </w:r>
      <w:proofErr w:type="spellStart"/>
      <w:r w:rsidRPr="007122AB">
        <w:rPr>
          <w:rFonts w:ascii="Times New Roman" w:hAnsi="Times New Roman"/>
          <w:color w:val="000000" w:themeColor="text1"/>
          <w:sz w:val="16"/>
          <w:szCs w:val="16"/>
        </w:rPr>
        <w:t>Д.Клыча</w:t>
      </w:r>
      <w:proofErr w:type="spellEnd"/>
      <w:r w:rsidRPr="007122AB">
        <w:rPr>
          <w:rFonts w:ascii="Times New Roman" w:hAnsi="Times New Roman"/>
          <w:color w:val="000000" w:themeColor="text1"/>
          <w:sz w:val="16"/>
          <w:szCs w:val="16"/>
        </w:rPr>
        <w:t xml:space="preserve"> (10687).</w:t>
      </w:r>
    </w:p>
    <w:p w14:paraId="1ADB4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48BD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989E61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4D64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марта 1931 (20 - 1017,212 или 13 - 1085,107) завершился первый этап гос. испытаний АНТ-8 МДР-2, которые начались 14 февраля 1931. Выявили недоработки (1017,212).</w:t>
      </w:r>
    </w:p>
    <w:p w14:paraId="161E7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2397F8" w14:textId="77777777" w:rsidR="00083CD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589D57E" w14:textId="77777777" w:rsidR="00083CD8" w:rsidRPr="007122AB" w:rsidRDefault="00083CD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D018CB" w14:textId="77777777" w:rsidR="00083CD8" w:rsidRPr="007122AB" w:rsidRDefault="00083CD8" w:rsidP="007122AB">
      <w:pPr>
        <w:pStyle w:val="rtejustify"/>
        <w:spacing w:before="0" w:after="0"/>
        <w:rPr>
          <w:color w:val="000000" w:themeColor="text1"/>
          <w:sz w:val="16"/>
          <w:szCs w:val="16"/>
        </w:rPr>
      </w:pPr>
      <w:r w:rsidRPr="007122AB">
        <w:rPr>
          <w:rStyle w:val="af0"/>
          <w:i w:val="0"/>
          <w:color w:val="000000" w:themeColor="text1"/>
          <w:sz w:val="16"/>
          <w:szCs w:val="16"/>
        </w:rPr>
        <w:t>17 марта 1931 г. Протокол Реввоенсовета № 12.</w:t>
      </w:r>
      <w:r w:rsidRPr="007122AB">
        <w:rPr>
          <w:color w:val="000000" w:themeColor="text1"/>
          <w:sz w:val="16"/>
          <w:szCs w:val="16"/>
        </w:rPr>
        <w:t xml:space="preserve"> 2. Система вооружения ВМС РККА по минам, тралам и временная по торпедам. (</w:t>
      </w:r>
      <w:proofErr w:type="spellStart"/>
      <w:r w:rsidRPr="007122AB">
        <w:rPr>
          <w:color w:val="000000" w:themeColor="text1"/>
          <w:sz w:val="16"/>
          <w:szCs w:val="16"/>
        </w:rPr>
        <w:t>Лудри</w:t>
      </w:r>
      <w:proofErr w:type="spellEnd"/>
      <w:r w:rsidRPr="007122AB">
        <w:rPr>
          <w:color w:val="000000" w:themeColor="text1"/>
          <w:sz w:val="16"/>
          <w:szCs w:val="16"/>
        </w:rPr>
        <w:t>). 4. О производстве 21</w:t>
      </w:r>
      <w:r w:rsidRPr="007122AB">
        <w:rPr>
          <w:color w:val="000000" w:themeColor="text1"/>
          <w:sz w:val="16"/>
          <w:szCs w:val="16"/>
        </w:rPr>
        <w:noBreakHyphen/>
        <w:t>дюймовых торпед. (</w:t>
      </w:r>
      <w:proofErr w:type="spellStart"/>
      <w:r w:rsidRPr="007122AB">
        <w:rPr>
          <w:color w:val="000000" w:themeColor="text1"/>
          <w:sz w:val="16"/>
          <w:szCs w:val="16"/>
        </w:rPr>
        <w:t>Муклевич</w:t>
      </w:r>
      <w:proofErr w:type="spellEnd"/>
      <w:r w:rsidRPr="007122AB">
        <w:rPr>
          <w:color w:val="000000" w:themeColor="text1"/>
          <w:sz w:val="16"/>
          <w:szCs w:val="16"/>
        </w:rPr>
        <w:t xml:space="preserve">). 10. Введение на вооружение аэростатов заграждения. (Баранов П. И.). 11. а) Введение на вооружение авиабомб </w:t>
      </w:r>
      <w:proofErr w:type="spellStart"/>
      <w:r w:rsidRPr="007122AB">
        <w:rPr>
          <w:color w:val="000000" w:themeColor="text1"/>
          <w:sz w:val="16"/>
          <w:szCs w:val="16"/>
        </w:rPr>
        <w:t>Остехбюро</w:t>
      </w:r>
      <w:proofErr w:type="spellEnd"/>
      <w:r w:rsidRPr="007122AB">
        <w:rPr>
          <w:color w:val="000000" w:themeColor="text1"/>
          <w:sz w:val="16"/>
          <w:szCs w:val="16"/>
        </w:rPr>
        <w:t>. (Баранов П. И.). (РГВА. Ф. 4. Оп. 18. Д. 20. Л. 138</w:t>
      </w:r>
      <w:r w:rsidRPr="007122AB">
        <w:rPr>
          <w:color w:val="000000" w:themeColor="text1"/>
          <w:sz w:val="16"/>
          <w:szCs w:val="16"/>
        </w:rPr>
        <w:noBreakHyphen/>
        <w:t>139, 140) (12342).</w:t>
      </w:r>
    </w:p>
    <w:p w14:paraId="0153EB4F" w14:textId="77777777" w:rsidR="00083CD8" w:rsidRPr="007122AB" w:rsidRDefault="00083CD8" w:rsidP="007122AB">
      <w:pPr>
        <w:pStyle w:val="rtejustify"/>
        <w:spacing w:before="0" w:after="0"/>
        <w:rPr>
          <w:color w:val="000000" w:themeColor="text1"/>
          <w:sz w:val="16"/>
          <w:szCs w:val="16"/>
        </w:rPr>
      </w:pPr>
    </w:p>
    <w:p w14:paraId="7522A4EF" w14:textId="77777777" w:rsidR="000F1D6E" w:rsidRPr="007122AB" w:rsidRDefault="000F1D6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D1E6C72" w14:textId="77777777" w:rsidR="000F1D6E" w:rsidRPr="007122AB" w:rsidRDefault="000F1D6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EF4291" w14:textId="77777777" w:rsidR="000F1D6E" w:rsidRPr="007122AB" w:rsidRDefault="000F1D6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17 марта 1931 года – под председательством академика Ивана Михайловича Губкина был рассмотрен план работ треста «Стройгаз» объединения «</w:t>
      </w:r>
      <w:proofErr w:type="spellStart"/>
      <w:r w:rsidRPr="007122AB">
        <w:rPr>
          <w:rFonts w:ascii="Times New Roman" w:eastAsia="Times New Roman" w:hAnsi="Times New Roman"/>
          <w:color w:val="000000" w:themeColor="text1"/>
          <w:sz w:val="16"/>
          <w:szCs w:val="16"/>
          <w:lang w:eastAsia="ru-RU"/>
        </w:rPr>
        <w:t>Всехимпром</w:t>
      </w:r>
      <w:proofErr w:type="spellEnd"/>
      <w:r w:rsidRPr="007122AB">
        <w:rPr>
          <w:rFonts w:ascii="Times New Roman" w:eastAsia="Times New Roman" w:hAnsi="Times New Roman"/>
          <w:color w:val="000000" w:themeColor="text1"/>
          <w:sz w:val="16"/>
          <w:szCs w:val="16"/>
          <w:lang w:eastAsia="ru-RU"/>
        </w:rPr>
        <w:t>». В результате было заявлено: «Совещание считает Ухтинский район заслуживающим внимания в отношении разведки на газы; по данным ряда анализов газов этого района, в них содержится некоторое количество редких газов, причём содержание гелия достигает 0.25 процента максимум».</w:t>
      </w:r>
    </w:p>
    <w:p w14:paraId="2DD97231" w14:textId="77777777" w:rsidR="000F1D6E" w:rsidRPr="007122AB" w:rsidRDefault="000F1D6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1926 год – участники экспедиции Геологического комитета А.А. Веретенников и </w:t>
      </w:r>
      <w:proofErr w:type="spellStart"/>
      <w:r w:rsidRPr="007122AB">
        <w:rPr>
          <w:rFonts w:ascii="Times New Roman" w:eastAsia="Times New Roman" w:hAnsi="Times New Roman"/>
          <w:color w:val="000000" w:themeColor="text1"/>
          <w:sz w:val="16"/>
          <w:szCs w:val="16"/>
          <w:lang w:eastAsia="ru-RU"/>
        </w:rPr>
        <w:t>М.Н.Воробьёв</w:t>
      </w:r>
      <w:proofErr w:type="spellEnd"/>
      <w:r w:rsidRPr="007122AB">
        <w:rPr>
          <w:rFonts w:ascii="Times New Roman" w:eastAsia="Times New Roman" w:hAnsi="Times New Roman"/>
          <w:color w:val="000000" w:themeColor="text1"/>
          <w:sz w:val="16"/>
          <w:szCs w:val="16"/>
          <w:lang w:eastAsia="ru-RU"/>
        </w:rPr>
        <w:t xml:space="preserve"> указали на наличие выходов газа на площади до 2 тыс. кв. км в бассейне реки Ухта;</w:t>
      </w:r>
    </w:p>
    <w:p w14:paraId="09FEA084" w14:textId="77777777" w:rsidR="000F1D6E" w:rsidRPr="007122AB" w:rsidRDefault="000F1D6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1930 год – геолог А.И. Косыгин по заданию Госплана СССР сделал обзор по проблеме «Ресурсы природных горючих газов», в котором отнёс Ухтинский район к категории территорий, подлежащих детальному геологическому изучению (21449).</w:t>
      </w:r>
    </w:p>
    <w:p w14:paraId="08608BD9" w14:textId="77777777" w:rsidR="000F1D6E" w:rsidRPr="007122AB" w:rsidRDefault="000F1D6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B76D4B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CB785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D3F9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марта 1931 года зам. гл. инженера по сухопутным самолетам НИИ ВВС писал письмо N 181 с в 1-е управление УВВС.</w:t>
      </w:r>
    </w:p>
    <w:p w14:paraId="3F19A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сводка результатов гос. испытаний сам. ТБ3 4 Кертис-</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по 600 НР.</w:t>
      </w:r>
    </w:p>
    <w:p w14:paraId="560B29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ТБ3 4 Кертис-</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по 600 НР - тяжелый бомбардировщик, опытный экземпляр, постройки ЦАГИ.</w:t>
      </w:r>
    </w:p>
    <w:p w14:paraId="055668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5EEF6E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Предварительные испытания с целью выявления основных летных данных самолета и его эксплуатационных свойств для суждения о допущении к серийной постройке.</w:t>
      </w:r>
    </w:p>
    <w:p w14:paraId="226F7B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20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122AB" w:rsidRPr="007122AB" w14:paraId="75E0AE1E" w14:textId="77777777">
        <w:tc>
          <w:tcPr>
            <w:tcW w:w="5636" w:type="dxa"/>
          </w:tcPr>
          <w:p w14:paraId="29E36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дней испытания</w:t>
            </w:r>
          </w:p>
        </w:tc>
        <w:tc>
          <w:tcPr>
            <w:tcW w:w="5636" w:type="dxa"/>
          </w:tcPr>
          <w:p w14:paraId="1446A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 дня</w:t>
            </w:r>
          </w:p>
        </w:tc>
      </w:tr>
      <w:tr w:rsidR="007122AB" w:rsidRPr="007122AB" w14:paraId="12FB9095" w14:textId="77777777">
        <w:tc>
          <w:tcPr>
            <w:tcW w:w="5636" w:type="dxa"/>
          </w:tcPr>
          <w:p w14:paraId="4784BE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полетов</w:t>
            </w:r>
          </w:p>
        </w:tc>
        <w:tc>
          <w:tcPr>
            <w:tcW w:w="5636" w:type="dxa"/>
          </w:tcPr>
          <w:p w14:paraId="4A8608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7122AB" w:rsidRPr="007122AB" w14:paraId="10468A4F" w14:textId="77777777">
        <w:tc>
          <w:tcPr>
            <w:tcW w:w="5636" w:type="dxa"/>
          </w:tcPr>
          <w:p w14:paraId="57E67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Полетных дней </w:t>
            </w:r>
          </w:p>
        </w:tc>
        <w:tc>
          <w:tcPr>
            <w:tcW w:w="5636" w:type="dxa"/>
          </w:tcPr>
          <w:p w14:paraId="3EA9B9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r>
      <w:tr w:rsidR="007122AB" w:rsidRPr="007122AB" w14:paraId="481A5CD4" w14:textId="77777777">
        <w:tc>
          <w:tcPr>
            <w:tcW w:w="5636" w:type="dxa"/>
          </w:tcPr>
          <w:p w14:paraId="7D34B0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Устранение неисправностей</w:t>
            </w:r>
          </w:p>
        </w:tc>
        <w:tc>
          <w:tcPr>
            <w:tcW w:w="5636" w:type="dxa"/>
          </w:tcPr>
          <w:p w14:paraId="6967A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w:t>
            </w:r>
          </w:p>
        </w:tc>
      </w:tr>
      <w:tr w:rsidR="007122AB" w:rsidRPr="007122AB" w14:paraId="1C04225A" w14:textId="77777777">
        <w:tc>
          <w:tcPr>
            <w:tcW w:w="5636" w:type="dxa"/>
          </w:tcPr>
          <w:p w14:paraId="36681C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лыж</w:t>
            </w:r>
          </w:p>
        </w:tc>
        <w:tc>
          <w:tcPr>
            <w:tcW w:w="5636" w:type="dxa"/>
          </w:tcPr>
          <w:p w14:paraId="531307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7122AB" w:rsidRPr="007122AB" w14:paraId="0493BAF5" w14:textId="77777777">
        <w:tc>
          <w:tcPr>
            <w:tcW w:w="5636" w:type="dxa"/>
          </w:tcPr>
          <w:p w14:paraId="65A689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Нелетных дней</w:t>
            </w:r>
          </w:p>
        </w:tc>
        <w:tc>
          <w:tcPr>
            <w:tcW w:w="5636" w:type="dxa"/>
          </w:tcPr>
          <w:p w14:paraId="40E74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r>
    </w:tbl>
    <w:p w14:paraId="3277EB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20 ноября 1931 года.</w:t>
      </w:r>
    </w:p>
    <w:p w14:paraId="3D9709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65287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Считать, что самолет ТБ3 4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является по своим летным данным вполне современным тяжелым бомбардировщиком, стоящим на уровне лучших заграничных самолетов.</w:t>
      </w:r>
    </w:p>
    <w:p w14:paraId="0713C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Считать необходимым пустить самолет в серийную постройку с заменой импортных моторов </w:t>
      </w:r>
      <w:proofErr w:type="spellStart"/>
      <w:r w:rsidRPr="007122AB">
        <w:rPr>
          <w:rFonts w:ascii="Times New Roman" w:hAnsi="Times New Roman"/>
          <w:color w:val="000000" w:themeColor="text1"/>
          <w:sz w:val="16"/>
          <w:szCs w:val="16"/>
        </w:rPr>
        <w:t>Керти-Конкверор</w:t>
      </w:r>
      <w:proofErr w:type="spellEnd"/>
      <w:r w:rsidRPr="007122AB">
        <w:rPr>
          <w:rFonts w:ascii="Times New Roman" w:hAnsi="Times New Roman"/>
          <w:color w:val="000000" w:themeColor="text1"/>
          <w:sz w:val="16"/>
          <w:szCs w:val="16"/>
        </w:rPr>
        <w:t xml:space="preserve"> моторами М-17 (3214).</w:t>
      </w:r>
    </w:p>
    <w:p w14:paraId="1C61A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9438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18 марта 1931 Коллегия ОГПУ заменила Н.Н.П смертный приговор на 10 лет лагерей, но в июле, после смотра на ЦА, где </w:t>
      </w:r>
      <w:proofErr w:type="spellStart"/>
      <w:r w:rsidRPr="007122AB">
        <w:rPr>
          <w:rFonts w:ascii="Times New Roman" w:hAnsi="Times New Roman"/>
          <w:color w:val="000000" w:themeColor="text1"/>
          <w:sz w:val="16"/>
          <w:szCs w:val="16"/>
        </w:rPr>
        <w:t>И.В.Сталину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К.Е.Ворошилову</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A.К.Орджоникидзе</w:t>
      </w:r>
      <w:proofErr w:type="spellEnd"/>
      <w:r w:rsidRPr="007122AB">
        <w:rPr>
          <w:rFonts w:ascii="Times New Roman" w:hAnsi="Times New Roman"/>
          <w:color w:val="000000" w:themeColor="text1"/>
          <w:sz w:val="16"/>
          <w:szCs w:val="16"/>
        </w:rPr>
        <w:t xml:space="preserve"> были показаны возможности И-5 Н.Н.П. освободили не сняв обвинений, которые были отменены только 1 сентября 1956 за отсутствием состава преступления (129,2).</w:t>
      </w:r>
    </w:p>
    <w:p w14:paraId="1958B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Надо понять, С.В.И. пришел в ЦКБ сразу же или сначала в ЦКБ ЦАГИ. Похоже - первое.</w:t>
      </w:r>
    </w:p>
    <w:p w14:paraId="7C6AD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A55D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марта 1931 г. Коллегия ГПУ приговорила Поликарпова к десятилетнему лагерному заключению, тем самым отменив прежний смертный приговор. Спустя три месяца после этого решения судьбе, в лице Иосифа Сталина, угодно было сделать очередное послабление. На показе авиационной техники в июне 1931-го Сталину с блеском продемонстрировали истребитель И-5. Это событие повлияло на дальнейший ход событий - 28 июня Коллегия ГПУ постановила приговор в </w:t>
      </w:r>
      <w:proofErr w:type="spellStart"/>
      <w:r w:rsidRPr="007122AB">
        <w:rPr>
          <w:rFonts w:ascii="Times New Roman" w:hAnsi="Times New Roman"/>
          <w:color w:val="000000" w:themeColor="text1"/>
          <w:sz w:val="16"/>
          <w:szCs w:val="16"/>
        </w:rPr>
        <w:t>отно-шениии</w:t>
      </w:r>
      <w:proofErr w:type="spellEnd"/>
      <w:r w:rsidRPr="007122AB">
        <w:rPr>
          <w:rFonts w:ascii="Times New Roman" w:hAnsi="Times New Roman"/>
          <w:color w:val="000000" w:themeColor="text1"/>
          <w:sz w:val="16"/>
          <w:szCs w:val="16"/>
        </w:rPr>
        <w:t xml:space="preserve"> Поликарпова считать условным (6593).</w:t>
      </w:r>
    </w:p>
    <w:p w14:paraId="24F7E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6F1F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марта 1931 г., спу</w:t>
      </w:r>
      <w:r w:rsidRPr="007122AB">
        <w:rPr>
          <w:rFonts w:ascii="Times New Roman" w:hAnsi="Times New Roman"/>
          <w:color w:val="000000" w:themeColor="text1"/>
          <w:sz w:val="16"/>
          <w:szCs w:val="16"/>
        </w:rPr>
        <w:softHyphen/>
        <w:t>стя полтора года после ареста, Коллегия ОГПУ приго</w:t>
      </w:r>
      <w:r w:rsidRPr="007122AB">
        <w:rPr>
          <w:rFonts w:ascii="Times New Roman" w:hAnsi="Times New Roman"/>
          <w:color w:val="000000" w:themeColor="text1"/>
          <w:sz w:val="16"/>
          <w:szCs w:val="16"/>
        </w:rPr>
        <w:softHyphen/>
        <w:t xml:space="preserve">ворила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xml:space="preserve"> к десяти годам заключения в лагерях. Николай Николаевич обвинялся по статьям УК РСФСР 58-6 (шпионаж), 58-7 (подрыв </w:t>
      </w:r>
      <w:proofErr w:type="spellStart"/>
      <w:r w:rsidRPr="007122AB">
        <w:rPr>
          <w:rFonts w:ascii="Times New Roman" w:hAnsi="Times New Roman"/>
          <w:color w:val="000000" w:themeColor="text1"/>
          <w:sz w:val="16"/>
          <w:szCs w:val="16"/>
        </w:rPr>
        <w:t>госу</w:t>
      </w:r>
      <w:r w:rsidRPr="007122AB">
        <w:rPr>
          <w:rFonts w:ascii="Times New Roman" w:hAnsi="Times New Roman"/>
          <w:color w:val="000000" w:themeColor="text1"/>
          <w:sz w:val="16"/>
          <w:szCs w:val="16"/>
        </w:rPr>
        <w:softHyphen/>
        <w:t>дар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ственной</w:t>
      </w:r>
      <w:proofErr w:type="spellEnd"/>
      <w:r w:rsidRPr="007122AB">
        <w:rPr>
          <w:rFonts w:ascii="Times New Roman" w:hAnsi="Times New Roman"/>
          <w:color w:val="000000" w:themeColor="text1"/>
          <w:sz w:val="16"/>
          <w:szCs w:val="16"/>
        </w:rPr>
        <w:t xml:space="preserve"> промышленности в контрреволюционных целях) и 58-11 (организационная деятельность или учас</w:t>
      </w:r>
      <w:r w:rsidRPr="007122AB">
        <w:rPr>
          <w:rFonts w:ascii="Times New Roman" w:hAnsi="Times New Roman"/>
          <w:color w:val="000000" w:themeColor="text1"/>
          <w:sz w:val="16"/>
          <w:szCs w:val="16"/>
        </w:rPr>
        <w:softHyphen/>
        <w:t>тие в организации для подготовки одного из преступле</w:t>
      </w:r>
      <w:r w:rsidRPr="007122AB">
        <w:rPr>
          <w:rFonts w:ascii="Times New Roman" w:hAnsi="Times New Roman"/>
          <w:color w:val="000000" w:themeColor="text1"/>
          <w:sz w:val="16"/>
          <w:szCs w:val="16"/>
        </w:rPr>
        <w:softHyphen/>
        <w:t>ний, предусмотренных первой главой - «Преступления государственные» - особенной части УК РСФСР)</w:t>
      </w:r>
    </w:p>
    <w:p w14:paraId="001DDD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ВЫПИСКА ИЗ ПРОТОКОЛА заседания Коллегии ОГПУ (судебное) от 18 марта 1931</w:t>
      </w:r>
    </w:p>
    <w:p w14:paraId="14C83C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w:t>
      </w:r>
    </w:p>
    <w:p w14:paraId="60CD12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31.Дело №-84496 по </w:t>
      </w:r>
      <w:proofErr w:type="spellStart"/>
      <w:r w:rsidRPr="007122AB">
        <w:rPr>
          <w:rFonts w:ascii="Times New Roman" w:hAnsi="Times New Roman"/>
          <w:color w:val="000000" w:themeColor="text1"/>
          <w:sz w:val="16"/>
          <w:szCs w:val="16"/>
        </w:rPr>
        <w:t>обв</w:t>
      </w:r>
      <w:proofErr w:type="spellEnd"/>
      <w:r w:rsidRPr="007122AB">
        <w:rPr>
          <w:rFonts w:ascii="Times New Roman" w:hAnsi="Times New Roman"/>
          <w:color w:val="000000" w:themeColor="text1"/>
          <w:sz w:val="16"/>
          <w:szCs w:val="16"/>
        </w:rPr>
        <w:t xml:space="preserve">. гр. ПОЛИКАШОВА Николая Николаевича, по 58/6,7 и 11 ст. ст. УК (Дело </w:t>
      </w:r>
      <w:proofErr w:type="spellStart"/>
      <w:r w:rsidRPr="007122AB">
        <w:rPr>
          <w:rFonts w:ascii="Times New Roman" w:hAnsi="Times New Roman"/>
          <w:color w:val="000000" w:themeColor="text1"/>
          <w:sz w:val="16"/>
          <w:szCs w:val="16"/>
        </w:rPr>
        <w:t>рассм</w:t>
      </w:r>
      <w:proofErr w:type="spellEnd"/>
      <w:r w:rsidRPr="007122AB">
        <w:rPr>
          <w:rFonts w:ascii="Times New Roman" w:hAnsi="Times New Roman"/>
          <w:color w:val="000000" w:themeColor="text1"/>
          <w:sz w:val="16"/>
          <w:szCs w:val="16"/>
        </w:rPr>
        <w:t xml:space="preserve">. в пор. </w:t>
      </w:r>
      <w:proofErr w:type="spellStart"/>
      <w:r w:rsidRPr="007122AB">
        <w:rPr>
          <w:rFonts w:ascii="Times New Roman" w:hAnsi="Times New Roman"/>
          <w:color w:val="000000" w:themeColor="text1"/>
          <w:sz w:val="16"/>
          <w:szCs w:val="16"/>
        </w:rPr>
        <w:t>постан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През</w:t>
      </w:r>
      <w:proofErr w:type="spellEnd"/>
      <w:r w:rsidRPr="007122AB">
        <w:rPr>
          <w:rFonts w:ascii="Times New Roman" w:hAnsi="Times New Roman"/>
          <w:color w:val="000000" w:themeColor="text1"/>
          <w:sz w:val="16"/>
          <w:szCs w:val="16"/>
        </w:rPr>
        <w:t>. ЦИК СССР от 9/6-27 г.)</w:t>
      </w:r>
    </w:p>
    <w:p w14:paraId="363AEE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0DCE06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ПОЛИКАРПОВА Николая Николаевича - заключить в концлагерь, сроком на ДЕСЯТЬ лет, считая с 25/Х-29 года.</w:t>
      </w:r>
    </w:p>
    <w:p w14:paraId="33D8BA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Имущество КОНФИСКОВАТЬ.</w:t>
      </w:r>
    </w:p>
    <w:p w14:paraId="1C6DBD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(подпись) верно: Секретарь Коллегии ОГПУ (10667,176).</w:t>
      </w:r>
    </w:p>
    <w:p w14:paraId="38F9B3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93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марта 1931 г. вердиктом Коллегии ОГПУ Поликарпову смертную казнь заменили 10 годами лагерей, с отсрочкой приговора (10696).</w:t>
      </w:r>
    </w:p>
    <w:p w14:paraId="6AF95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507B76" w14:textId="77777777" w:rsidR="003E1D1C" w:rsidRPr="007122AB" w:rsidRDefault="003E1D1C"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18-го марта 1931 года высшую меру наказания Поликарпова коллегия ОГПУ заменила десятью годами лагерей. По амнистии вместе со всеми его освободили 8-го июля, но приговор не отменили. При своей короткой жизни Николай Николаевич реабилитации не дождался (15223).</w:t>
      </w:r>
    </w:p>
    <w:p w14:paraId="7C9D57C6" w14:textId="77777777" w:rsidR="003E1D1C" w:rsidRPr="007122AB" w:rsidRDefault="003E1D1C" w:rsidP="007122AB">
      <w:pPr>
        <w:shd w:val="clear" w:color="auto" w:fill="FFFFFF"/>
        <w:spacing w:after="0" w:line="240" w:lineRule="auto"/>
        <w:jc w:val="both"/>
        <w:rPr>
          <w:rFonts w:ascii="Times New Roman" w:hAnsi="Times New Roman"/>
          <w:color w:val="000000" w:themeColor="text1"/>
          <w:sz w:val="16"/>
          <w:szCs w:val="16"/>
        </w:rPr>
      </w:pPr>
    </w:p>
    <w:p w14:paraId="0B092018"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марта 1931 г., спустя пол</w:t>
      </w:r>
      <w:r w:rsidRPr="00441F34">
        <w:rPr>
          <w:rFonts w:ascii="Times New Roman" w:hAnsi="Times New Roman"/>
          <w:color w:val="0070C0"/>
          <w:sz w:val="16"/>
          <w:szCs w:val="16"/>
        </w:rPr>
        <w:softHyphen/>
        <w:t>тора года после ареста, Коллегия ОГПУ постановила: «Поликарпова Николая Николаевича - заключить в концлагерь сроком на десять лет, считая срок с 25/Х-29 года. Имуще</w:t>
      </w:r>
      <w:r w:rsidRPr="00441F34">
        <w:rPr>
          <w:rFonts w:ascii="Times New Roman" w:hAnsi="Times New Roman"/>
          <w:color w:val="0070C0"/>
          <w:sz w:val="16"/>
          <w:szCs w:val="16"/>
        </w:rPr>
        <w:softHyphen/>
        <w:t>ство конфисковать».</w:t>
      </w:r>
    </w:p>
    <w:p w14:paraId="7820F33C"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Николай Николаевич обвинялся по статьям УК РСФСР 58-6 (шпионаж), 58-7 (подрыв государственной промышлен</w:t>
      </w:r>
      <w:r w:rsidRPr="00441F34">
        <w:rPr>
          <w:rFonts w:ascii="Times New Roman" w:hAnsi="Times New Roman"/>
          <w:color w:val="0070C0"/>
          <w:sz w:val="16"/>
          <w:szCs w:val="16"/>
        </w:rPr>
        <w:softHyphen/>
        <w:t>ности в контрреволюционных целях) и 58-11 (организованная деятельность или участие в организации для подго</w:t>
      </w:r>
      <w:r w:rsidRPr="00441F34">
        <w:rPr>
          <w:rFonts w:ascii="Times New Roman" w:hAnsi="Times New Roman"/>
          <w:color w:val="0070C0"/>
          <w:sz w:val="16"/>
          <w:szCs w:val="16"/>
        </w:rPr>
        <w:softHyphen/>
        <w:t>товки одного из преступлений, предус</w:t>
      </w:r>
      <w:r w:rsidRPr="00441F34">
        <w:rPr>
          <w:rFonts w:ascii="Times New Roman" w:hAnsi="Times New Roman"/>
          <w:color w:val="0070C0"/>
          <w:sz w:val="16"/>
          <w:szCs w:val="16"/>
        </w:rPr>
        <w:softHyphen/>
        <w:t>мотренных первой главой - «Преступ</w:t>
      </w:r>
      <w:r w:rsidRPr="00441F34">
        <w:rPr>
          <w:rFonts w:ascii="Times New Roman" w:hAnsi="Times New Roman"/>
          <w:color w:val="0070C0"/>
          <w:sz w:val="16"/>
          <w:szCs w:val="16"/>
        </w:rPr>
        <w:softHyphen/>
        <w:t>ления государственные» - особенной части УК РСФСР).</w:t>
      </w:r>
    </w:p>
    <w:p w14:paraId="23203FAE"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Семья долго оставалась в не</w:t>
      </w:r>
      <w:r w:rsidRPr="00441F34">
        <w:rPr>
          <w:rFonts w:ascii="Times New Roman" w:hAnsi="Times New Roman"/>
          <w:color w:val="0070C0"/>
          <w:sz w:val="16"/>
          <w:szCs w:val="16"/>
        </w:rPr>
        <w:softHyphen/>
        <w:t>ведении в отношении дальнейшей судьбы Николая Николаевича. Жена Александра Федоровна пыталась узнать, в чем его обвиняют, скоро ли он выйдет на свободу. Через Красный Крест у Екатерины Пав</w:t>
      </w:r>
      <w:r w:rsidRPr="00441F34">
        <w:rPr>
          <w:rFonts w:ascii="Times New Roman" w:hAnsi="Times New Roman"/>
          <w:color w:val="0070C0"/>
          <w:sz w:val="16"/>
          <w:szCs w:val="16"/>
        </w:rPr>
        <w:softHyphen/>
        <w:t>ловны Пешковой она получила справку, в которой говорилось о том, что Н.Н. Поликарпов пригово</w:t>
      </w:r>
      <w:r w:rsidRPr="00441F34">
        <w:rPr>
          <w:rFonts w:ascii="Times New Roman" w:hAnsi="Times New Roman"/>
          <w:color w:val="0070C0"/>
          <w:sz w:val="16"/>
          <w:szCs w:val="16"/>
        </w:rPr>
        <w:softHyphen/>
        <w:t>рен к смертной казни с заменой на пожизненную ссылку в отдаленных районах Сибири.</w:t>
      </w:r>
    </w:p>
    <w:p w14:paraId="2737CBDB"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Николай Николаевич продолжал руководить бригадой №3. Теперь она получила новое задание - спроек</w:t>
      </w:r>
      <w:r w:rsidRPr="00441F34">
        <w:rPr>
          <w:rFonts w:ascii="Times New Roman" w:hAnsi="Times New Roman"/>
          <w:color w:val="0070C0"/>
          <w:sz w:val="16"/>
          <w:szCs w:val="16"/>
        </w:rPr>
        <w:softHyphen/>
        <w:t>тировать истребитель И-11. Для его успешного выполнения численность бригады увеличили. Среди инжене</w:t>
      </w:r>
      <w:r w:rsidRPr="00441F34">
        <w:rPr>
          <w:rFonts w:ascii="Times New Roman" w:hAnsi="Times New Roman"/>
          <w:color w:val="0070C0"/>
          <w:sz w:val="16"/>
          <w:szCs w:val="16"/>
        </w:rPr>
        <w:softHyphen/>
        <w:t>ров, оказавшихся в этом коллективе, был и Дмитрий Людвигович Томашевич, впоследствии главный конструк</w:t>
      </w:r>
      <w:r w:rsidRPr="00441F34">
        <w:rPr>
          <w:rFonts w:ascii="Times New Roman" w:hAnsi="Times New Roman"/>
          <w:color w:val="0070C0"/>
          <w:sz w:val="16"/>
          <w:szCs w:val="16"/>
        </w:rPr>
        <w:softHyphen/>
        <w:t>тор авиационной и ракетной техники. Он вспоминал:</w:t>
      </w:r>
    </w:p>
    <w:p w14:paraId="22945BA4"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1931 г. я ушел на работу в конструкторское бюро, находящееся под опекой НКВД. В нем работали и заключенные специалисты, и вольнона</w:t>
      </w:r>
      <w:r w:rsidRPr="00441F34">
        <w:rPr>
          <w:rFonts w:ascii="Times New Roman" w:hAnsi="Times New Roman"/>
          <w:color w:val="0070C0"/>
          <w:sz w:val="16"/>
          <w:szCs w:val="16"/>
        </w:rPr>
        <w:softHyphen/>
        <w:t>емные. Я работал в отделе общих видов и здесь впервые лично встретился с Н.Н. Поликарповым.</w:t>
      </w:r>
    </w:p>
    <w:p w14:paraId="308C5634"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Он относился к нам, вольнонаемным молодым инженерам, как равный.</w:t>
      </w:r>
    </w:p>
    <w:p w14:paraId="12D3E881"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w:t>
      </w:r>
    </w:p>
    <w:p w14:paraId="668B47A5"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другой стороны, и не лебезил перед нами - вольнонаемными как заключенный.</w:t>
      </w:r>
    </w:p>
    <w:p w14:paraId="08487A48"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это невольно вызывало уважение к нему и желание работать с ним.</w:t>
      </w:r>
    </w:p>
    <w:p w14:paraId="5F87E0DD"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w:t>
      </w:r>
      <w:r w:rsidRPr="00441F34">
        <w:rPr>
          <w:rFonts w:ascii="Times New Roman" w:hAnsi="Times New Roman"/>
          <w:color w:val="0070C0"/>
          <w:sz w:val="16"/>
          <w:szCs w:val="16"/>
        </w:rPr>
        <w:softHyphen/>
        <w:t>нимались как результат беседы и совместного обсуждения. Не могу вспомнить случая, чтобы он что- либо «приказал» сделать или угова</w:t>
      </w:r>
      <w:r w:rsidRPr="00441F34">
        <w:rPr>
          <w:rFonts w:ascii="Times New Roman" w:hAnsi="Times New Roman"/>
          <w:color w:val="0070C0"/>
          <w:sz w:val="16"/>
          <w:szCs w:val="16"/>
        </w:rPr>
        <w:softHyphen/>
        <w:t>ривал» (23406).</w:t>
      </w:r>
    </w:p>
    <w:p w14:paraId="7ACA6DC6" w14:textId="77777777" w:rsidR="001D4870" w:rsidRPr="00441F34" w:rsidRDefault="001D4870" w:rsidP="001D4870">
      <w:pPr>
        <w:spacing w:after="0" w:line="240" w:lineRule="auto"/>
        <w:jc w:val="both"/>
        <w:rPr>
          <w:rFonts w:ascii="Times New Roman" w:hAnsi="Times New Roman"/>
          <w:color w:val="0070C0"/>
          <w:sz w:val="16"/>
          <w:szCs w:val="16"/>
        </w:rPr>
      </w:pPr>
    </w:p>
    <w:p w14:paraId="42E24FEC"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марта 1931 г. коллегия ОГПУ приговорила Поликарпова к 10 годам заключения в исправительном лагере с поражением в правах, конфискацией имущества по обвинению в шпионаже в пользу французской разведки, контрреволюционной деятельности и подрыве промышленности (при аресте обвинение было несколько другим – участие в контрреволюционной вредительской организации, саботаже и срыв опытных работ). Но никакие из указанных мер пресечения к нему применены в указанном виде не были – имущество было оставлено семье, с которой разрешали поддерживать связь, в лагеря не отправили, а поскольку в то время никаких выборов не проводилось, то и поражение в правах оказалось чисто формальным.</w:t>
      </w:r>
    </w:p>
    <w:p w14:paraId="7F20E879"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1931 г. на работу в ОМОС ЦКБ-39 переведен В.Б. Шавров и одновременно было передано задание на гидросамолет ФС, которое он вел в группе «Р» П.Э. Ришара. В ЦКБ-39 Шавров это задание также не закончил, он сделал ряд других проектов, но ни один из них не пошел в серию, как Ш-2, который делался не в ЦКБ (23559(.</w:t>
      </w:r>
    </w:p>
    <w:p w14:paraId="2C835EB2" w14:textId="77777777" w:rsidR="001D4870" w:rsidRPr="00441F34" w:rsidRDefault="001D4870" w:rsidP="001D4870">
      <w:pPr>
        <w:spacing w:after="0" w:line="240" w:lineRule="auto"/>
        <w:jc w:val="both"/>
        <w:rPr>
          <w:rFonts w:ascii="Times New Roman" w:hAnsi="Times New Roman"/>
          <w:color w:val="0070C0"/>
          <w:sz w:val="16"/>
          <w:szCs w:val="16"/>
        </w:rPr>
      </w:pPr>
    </w:p>
    <w:p w14:paraId="3B3D35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марта 1931 Командование КА решило организовать в </w:t>
      </w:r>
      <w:proofErr w:type="spellStart"/>
      <w:r w:rsidRPr="007122AB">
        <w:rPr>
          <w:rFonts w:ascii="Times New Roman" w:hAnsi="Times New Roman"/>
          <w:color w:val="000000" w:themeColor="text1"/>
          <w:sz w:val="16"/>
          <w:szCs w:val="16"/>
        </w:rPr>
        <w:t>ЛенВО</w:t>
      </w:r>
      <w:proofErr w:type="spellEnd"/>
      <w:r w:rsidRPr="007122AB">
        <w:rPr>
          <w:rFonts w:ascii="Times New Roman" w:hAnsi="Times New Roman"/>
          <w:color w:val="000000" w:themeColor="text1"/>
          <w:sz w:val="16"/>
          <w:szCs w:val="16"/>
        </w:rPr>
        <w:t xml:space="preserve"> опытный воздушно-десантный отряд, который </w:t>
      </w:r>
      <w:proofErr w:type="spellStart"/>
      <w:r w:rsidRPr="007122AB">
        <w:rPr>
          <w:rFonts w:ascii="Times New Roman" w:hAnsi="Times New Roman"/>
          <w:color w:val="000000" w:themeColor="text1"/>
          <w:sz w:val="16"/>
          <w:szCs w:val="16"/>
        </w:rPr>
        <w:t>П.И.Гроховский</w:t>
      </w:r>
      <w:proofErr w:type="spellEnd"/>
      <w:r w:rsidRPr="007122AB">
        <w:rPr>
          <w:rFonts w:ascii="Times New Roman" w:hAnsi="Times New Roman"/>
          <w:color w:val="000000" w:themeColor="text1"/>
          <w:sz w:val="16"/>
          <w:szCs w:val="16"/>
        </w:rPr>
        <w:t xml:space="preserve">, в феврале ставший начальником и ГК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должен был оснащать техникой. Учить должен был </w:t>
      </w:r>
      <w:proofErr w:type="spellStart"/>
      <w:r w:rsidRPr="007122AB">
        <w:rPr>
          <w:rFonts w:ascii="Times New Roman" w:hAnsi="Times New Roman"/>
          <w:color w:val="000000" w:themeColor="text1"/>
          <w:sz w:val="16"/>
          <w:szCs w:val="16"/>
        </w:rPr>
        <w:t>Л.Г.Минов</w:t>
      </w:r>
      <w:proofErr w:type="spellEnd"/>
      <w:r w:rsidRPr="007122AB">
        <w:rPr>
          <w:rFonts w:ascii="Times New Roman" w:hAnsi="Times New Roman"/>
          <w:color w:val="000000" w:themeColor="text1"/>
          <w:sz w:val="16"/>
          <w:szCs w:val="16"/>
        </w:rPr>
        <w:t xml:space="preserve">. Отряд имел 164 чел., 12 ТБ-1 и 10 Р-5, две танкетки Т-37, три броневика, три легкие пушки, станковые и ручные пулеметы, л и г автомашины, мотоциклы, велосипеды. Тогда то возникла идея открытия Ленинградского филиала во главе с Титовы. При создании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ВВС РККА ему передали опытные мастерские НИИ ВВС и между </w:t>
      </w:r>
      <w:proofErr w:type="spellStart"/>
      <w:r w:rsidRPr="007122AB">
        <w:rPr>
          <w:rFonts w:ascii="Times New Roman" w:hAnsi="Times New Roman"/>
          <w:color w:val="000000" w:themeColor="text1"/>
          <w:sz w:val="16"/>
          <w:szCs w:val="16"/>
        </w:rPr>
        <w:t>Г.А.Зильбертом</w:t>
      </w:r>
      <w:proofErr w:type="spellEnd"/>
      <w:r w:rsidRPr="007122AB">
        <w:rPr>
          <w:rFonts w:ascii="Times New Roman" w:hAnsi="Times New Roman"/>
          <w:color w:val="000000" w:themeColor="text1"/>
          <w:sz w:val="16"/>
          <w:szCs w:val="16"/>
        </w:rPr>
        <w:t xml:space="preserve">, замещавшим </w:t>
      </w:r>
      <w:proofErr w:type="spellStart"/>
      <w:r w:rsidRPr="007122AB">
        <w:rPr>
          <w:rFonts w:ascii="Times New Roman" w:hAnsi="Times New Roman"/>
          <w:color w:val="000000" w:themeColor="text1"/>
          <w:sz w:val="16"/>
          <w:szCs w:val="16"/>
        </w:rPr>
        <w:t>В.С.Горшкова</w:t>
      </w:r>
      <w:proofErr w:type="spellEnd"/>
      <w:r w:rsidRPr="007122AB">
        <w:rPr>
          <w:rFonts w:ascii="Times New Roman" w:hAnsi="Times New Roman"/>
          <w:color w:val="000000" w:themeColor="text1"/>
          <w:sz w:val="16"/>
          <w:szCs w:val="16"/>
        </w:rPr>
        <w:t xml:space="preserve">, и П.И.Г. возникла неприязнь. РВС принял особое постановление по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и обязал УВВС помогать (1101,74).</w:t>
      </w:r>
    </w:p>
    <w:p w14:paraId="362CD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D31A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мар</w:t>
      </w:r>
      <w:r w:rsidRPr="007122AB">
        <w:rPr>
          <w:rFonts w:ascii="Times New Roman" w:hAnsi="Times New Roman"/>
          <w:color w:val="000000" w:themeColor="text1"/>
          <w:sz w:val="16"/>
          <w:szCs w:val="16"/>
        </w:rPr>
        <w:softHyphen/>
        <w:t xml:space="preserve">та 1931 г. Директивой штаба РККА в Ленинградском военном округе был образован нештатный опытный </w:t>
      </w:r>
      <w:proofErr w:type="spellStart"/>
      <w:r w:rsidRPr="007122AB">
        <w:rPr>
          <w:rFonts w:ascii="Times New Roman" w:hAnsi="Times New Roman"/>
          <w:color w:val="000000" w:themeColor="text1"/>
          <w:sz w:val="16"/>
          <w:szCs w:val="16"/>
        </w:rPr>
        <w:t>автомотодесантный</w:t>
      </w:r>
      <w:proofErr w:type="spellEnd"/>
      <w:r w:rsidRPr="007122AB">
        <w:rPr>
          <w:rFonts w:ascii="Times New Roman" w:hAnsi="Times New Roman"/>
          <w:color w:val="000000" w:themeColor="text1"/>
          <w:sz w:val="16"/>
          <w:szCs w:val="16"/>
        </w:rPr>
        <w:t xml:space="preserve"> отряд, а в июне создан еще и парашютно-де</w:t>
      </w:r>
      <w:r w:rsidRPr="007122AB">
        <w:rPr>
          <w:rFonts w:ascii="Times New Roman" w:hAnsi="Times New Roman"/>
          <w:color w:val="000000" w:themeColor="text1"/>
          <w:sz w:val="16"/>
          <w:szCs w:val="16"/>
        </w:rPr>
        <w:softHyphen/>
        <w:t>сантный отряд при 1-й авиационной бригаде. Ставилась задача переброс</w:t>
      </w:r>
      <w:r w:rsidRPr="007122AB">
        <w:rPr>
          <w:rFonts w:ascii="Times New Roman" w:hAnsi="Times New Roman"/>
          <w:color w:val="000000" w:themeColor="text1"/>
          <w:sz w:val="16"/>
          <w:szCs w:val="16"/>
        </w:rPr>
        <w:softHyphen/>
        <w:t>ки по воздуху и десантирования не только парашютистов, но и тяжелого вооружения и военной техники, боеп</w:t>
      </w:r>
      <w:r w:rsidRPr="007122AB">
        <w:rPr>
          <w:rFonts w:ascii="Times New Roman" w:hAnsi="Times New Roman"/>
          <w:color w:val="000000" w:themeColor="text1"/>
          <w:sz w:val="16"/>
          <w:szCs w:val="16"/>
        </w:rPr>
        <w:softHyphen/>
        <w:t>рипасов, грузов снабжения для пара</w:t>
      </w:r>
      <w:r w:rsidRPr="007122AB">
        <w:rPr>
          <w:rFonts w:ascii="Times New Roman" w:hAnsi="Times New Roman"/>
          <w:color w:val="000000" w:themeColor="text1"/>
          <w:sz w:val="16"/>
          <w:szCs w:val="16"/>
        </w:rPr>
        <w:softHyphen/>
        <w:t>шютных десантов.</w:t>
      </w:r>
    </w:p>
    <w:p w14:paraId="6DB368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известно, тактические воздуш</w:t>
      </w:r>
      <w:r w:rsidRPr="007122AB">
        <w:rPr>
          <w:rFonts w:ascii="Times New Roman" w:hAnsi="Times New Roman"/>
          <w:color w:val="000000" w:themeColor="text1"/>
          <w:sz w:val="16"/>
          <w:szCs w:val="16"/>
        </w:rPr>
        <w:softHyphen/>
        <w:t>ные десанты Красная Армия практи</w:t>
      </w:r>
      <w:r w:rsidRPr="007122AB">
        <w:rPr>
          <w:rFonts w:ascii="Times New Roman" w:hAnsi="Times New Roman"/>
          <w:color w:val="000000" w:themeColor="text1"/>
          <w:sz w:val="16"/>
          <w:szCs w:val="16"/>
        </w:rPr>
        <w:softHyphen/>
        <w:t>ковала еще в 1927 и в 1929 гг. в боях с басмачами, но тогда пехотные отряды с групповым оружием (пулеметами) высаживались исключительно поса</w:t>
      </w:r>
      <w:r w:rsidRPr="007122AB">
        <w:rPr>
          <w:rFonts w:ascii="Times New Roman" w:hAnsi="Times New Roman"/>
          <w:color w:val="000000" w:themeColor="text1"/>
          <w:sz w:val="16"/>
          <w:szCs w:val="16"/>
        </w:rPr>
        <w:softHyphen/>
        <w:t>дочным способом. 2 августа 1930 г. на учениях ВВС Московского военного округа под Воронежем впервые для выполнения тактической задачи был выброшен парашютный десант чис</w:t>
      </w:r>
      <w:r w:rsidRPr="007122AB">
        <w:rPr>
          <w:rFonts w:ascii="Times New Roman" w:hAnsi="Times New Roman"/>
          <w:color w:val="000000" w:themeColor="text1"/>
          <w:sz w:val="16"/>
          <w:szCs w:val="16"/>
        </w:rPr>
        <w:softHyphen/>
        <w:t>ленностью 12 человек (11752).</w:t>
      </w:r>
    </w:p>
    <w:p w14:paraId="16BC77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2960C" w14:textId="77777777" w:rsidR="008C5B22" w:rsidRPr="007122AB" w:rsidRDefault="008C5B2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марта 1931 г. Штаб РККА, выполняя приказ РВС СССР от 24 октября 1930, издал директиву № 1/013295, в соответствии с которой в ЛВО 1 июня 1931 г. был создан Опытный </w:t>
      </w:r>
      <w:proofErr w:type="spellStart"/>
      <w:r w:rsidRPr="007122AB">
        <w:rPr>
          <w:rFonts w:ascii="Times New Roman" w:hAnsi="Times New Roman"/>
          <w:color w:val="000000" w:themeColor="text1"/>
          <w:sz w:val="16"/>
          <w:szCs w:val="16"/>
        </w:rPr>
        <w:t>воздухо</w:t>
      </w:r>
      <w:proofErr w:type="spellEnd"/>
      <w:r w:rsidRPr="007122AB">
        <w:rPr>
          <w:rFonts w:ascii="Times New Roman" w:hAnsi="Times New Roman"/>
          <w:color w:val="000000" w:themeColor="text1"/>
          <w:sz w:val="16"/>
          <w:szCs w:val="16"/>
        </w:rPr>
        <w:t>-десантный отряд, а 20 июня 1931 г. был сформирован первый нештатный парашютно-десантный отряд (ПДО) (21402).</w:t>
      </w:r>
    </w:p>
    <w:p w14:paraId="7D330984" w14:textId="77777777" w:rsidR="008C5B22" w:rsidRPr="007122AB" w:rsidRDefault="008C5B22" w:rsidP="007122AB">
      <w:pPr>
        <w:spacing w:after="0" w:line="240" w:lineRule="auto"/>
        <w:jc w:val="both"/>
        <w:rPr>
          <w:rFonts w:ascii="Times New Roman" w:hAnsi="Times New Roman"/>
          <w:color w:val="000000" w:themeColor="text1"/>
          <w:sz w:val="16"/>
          <w:szCs w:val="16"/>
        </w:rPr>
      </w:pPr>
    </w:p>
    <w:p w14:paraId="5734C5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марта 1931 </w:t>
      </w:r>
      <w:r w:rsidR="00083CD8" w:rsidRPr="007122AB">
        <w:rPr>
          <w:rFonts w:ascii="Times New Roman" w:hAnsi="Times New Roman"/>
          <w:color w:val="000000" w:themeColor="text1"/>
          <w:sz w:val="16"/>
          <w:szCs w:val="16"/>
        </w:rPr>
        <w:t>вышло постановление РВС, требова</w:t>
      </w:r>
      <w:r w:rsidRPr="007122AB">
        <w:rPr>
          <w:rFonts w:ascii="Times New Roman" w:hAnsi="Times New Roman"/>
          <w:color w:val="000000" w:themeColor="text1"/>
          <w:sz w:val="16"/>
          <w:szCs w:val="16"/>
        </w:rPr>
        <w:t>вшее в трехмесячный срок сдать чертежи ЗАМ, ПБМ и БВС (с химической боевой частью) и Майзеля, разместить в промышленности заказы ан 250 ЗАМ, 250 ПБМ и 50 БВС с началом сборки 1 августа 1931, а также провести войсковые испытания (8908,36).</w:t>
      </w:r>
    </w:p>
    <w:p w14:paraId="1E8002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F6846D" w14:textId="77777777" w:rsidR="000F1D6E" w:rsidRPr="007122AB" w:rsidRDefault="000F1D6E" w:rsidP="007122AB">
      <w:pPr>
        <w:shd w:val="clear" w:color="auto" w:fill="FFFFFF"/>
        <w:spacing w:after="0" w:line="240" w:lineRule="auto"/>
        <w:jc w:val="both"/>
        <w:textAlignment w:val="top"/>
        <w:rPr>
          <w:rFonts w:ascii="Times New Roman" w:hAnsi="Times New Roman"/>
          <w:color w:val="000000" w:themeColor="text1"/>
          <w:sz w:val="16"/>
          <w:szCs w:val="16"/>
        </w:rPr>
      </w:pPr>
      <w:r w:rsidRPr="007122AB">
        <w:rPr>
          <w:rFonts w:ascii="Times New Roman" w:hAnsi="Times New Roman"/>
          <w:color w:val="000000" w:themeColor="text1"/>
          <w:sz w:val="16"/>
          <w:szCs w:val="16"/>
        </w:rPr>
        <w:t>18 марта 1931 года</w:t>
      </w:r>
    </w:p>
    <w:p w14:paraId="13430ED6" w14:textId="77777777" w:rsidR="000F1D6E" w:rsidRPr="007122AB" w:rsidRDefault="000F1D6E" w:rsidP="007122AB">
      <w:pPr>
        <w:shd w:val="clear" w:color="auto" w:fill="FFFFFF"/>
        <w:spacing w:after="0" w:line="240" w:lineRule="auto"/>
        <w:jc w:val="both"/>
        <w:textAlignment w:val="top"/>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СНК «Об изменении законодательства в связи с образованием Всесоюзного объединения гражданского воздушного флота». (отменено «Положение о Главной инспекции гражданского воздушного флота Союза ССР при Народном комиссариате по военным и морским делам» от 23 февраля 1930 г.) (20226)</w:t>
      </w:r>
    </w:p>
    <w:p w14:paraId="0E9CD4ED" w14:textId="77777777" w:rsidR="000F1D6E" w:rsidRPr="007122AB" w:rsidRDefault="000F1D6E" w:rsidP="007122AB">
      <w:pPr>
        <w:shd w:val="clear" w:color="auto" w:fill="FFFFFF"/>
        <w:spacing w:after="0" w:line="240" w:lineRule="auto"/>
        <w:jc w:val="both"/>
        <w:textAlignment w:val="top"/>
        <w:rPr>
          <w:rFonts w:ascii="Times New Roman" w:hAnsi="Times New Roman"/>
          <w:color w:val="000000" w:themeColor="text1"/>
          <w:sz w:val="16"/>
          <w:szCs w:val="16"/>
        </w:rPr>
      </w:pPr>
    </w:p>
    <w:p w14:paraId="2FDFDDE6" w14:textId="77777777" w:rsidR="00083CD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A5095D3" w14:textId="77777777" w:rsidR="00083CD8" w:rsidRPr="007122AB" w:rsidRDefault="00083CD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908E41" w14:textId="77777777" w:rsidR="003E1D1C" w:rsidRPr="007122AB" w:rsidRDefault="003E1D1C"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18 марта 1931 г. — Докладная записка наркома по военным и морским делам СССР и председателя РВС СССР К. Е. Ворошилова председателю СНК СССР В. М. Молотову о создании специального органа для разрешения разногласий между ведомствами по военным заказам</w:t>
      </w:r>
    </w:p>
    <w:p w14:paraId="04AE1BD9"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lastRenderedPageBreak/>
        <w:t>Совершенно секретно.</w:t>
      </w:r>
    </w:p>
    <w:p w14:paraId="266F0B35" w14:textId="77777777" w:rsidR="00083CD8" w:rsidRPr="007122AB" w:rsidRDefault="00083CD8" w:rsidP="007122AB">
      <w:pPr>
        <w:pStyle w:val="rtejustify"/>
        <w:spacing w:before="0" w:after="0"/>
        <w:rPr>
          <w:color w:val="000000" w:themeColor="text1"/>
          <w:sz w:val="16"/>
          <w:szCs w:val="16"/>
        </w:rPr>
      </w:pPr>
      <w:r w:rsidRPr="007122AB">
        <w:rPr>
          <w:color w:val="000000" w:themeColor="text1"/>
          <w:sz w:val="16"/>
          <w:szCs w:val="16"/>
        </w:rPr>
        <w:t>При размещении заказов НКВМ в промышленности и в процессе их выполнения между органами НКВМ и органами ВСНХ возникает целый ряд спорных вопросов по ценам, срокам и, особенно, техническим условиям заказываемой продукции. Эти споры часто задерживают оформление договоров и фактически препятствуют размещению заказов, тем самым срывая сроки выполнения заказов и нарушая план финансирования. Такое ненормальное положение вызывается тем, что не существует особого органа, который разрешал бы эти споры между НКВМ и ВСНХС.</w:t>
      </w:r>
    </w:p>
    <w:p w14:paraId="0D0DACA6" w14:textId="77777777" w:rsidR="00083CD8" w:rsidRPr="007122AB" w:rsidRDefault="00083CD8" w:rsidP="007122AB">
      <w:pPr>
        <w:pStyle w:val="rtejustify"/>
        <w:spacing w:before="0" w:after="0"/>
        <w:rPr>
          <w:color w:val="000000" w:themeColor="text1"/>
          <w:sz w:val="16"/>
          <w:szCs w:val="16"/>
        </w:rPr>
      </w:pPr>
      <w:r w:rsidRPr="007122AB">
        <w:rPr>
          <w:color w:val="000000" w:themeColor="text1"/>
          <w:sz w:val="16"/>
          <w:szCs w:val="16"/>
        </w:rPr>
        <w:t>Объединения ВСНХС, на которые возложено в настоящий момент разрешение споров по отдельным заказам между предприятиями (трестами) и их заказчиками, сами по отношению к НКВМ являются лишь заинтересованной стороной и, следовательно, неавторитетны и некомпетентны.</w:t>
      </w:r>
    </w:p>
    <w:p w14:paraId="60A51F37" w14:textId="77777777" w:rsidR="00083CD8" w:rsidRPr="007122AB" w:rsidRDefault="00083CD8" w:rsidP="007122AB">
      <w:pPr>
        <w:pStyle w:val="rtejustify"/>
        <w:spacing w:before="0" w:after="0"/>
        <w:rPr>
          <w:color w:val="000000" w:themeColor="text1"/>
          <w:sz w:val="16"/>
          <w:szCs w:val="16"/>
        </w:rPr>
      </w:pPr>
      <w:r w:rsidRPr="007122AB">
        <w:rPr>
          <w:color w:val="000000" w:themeColor="text1"/>
          <w:sz w:val="16"/>
          <w:szCs w:val="16"/>
        </w:rPr>
        <w:t xml:space="preserve">Для устранения всех отрицательных последствий для обороны, связанных </w:t>
      </w:r>
      <w:r w:rsidRPr="007122AB">
        <w:rPr>
          <w:rStyle w:val="af0"/>
          <w:i w:val="0"/>
          <w:color w:val="000000" w:themeColor="text1"/>
          <w:sz w:val="16"/>
          <w:szCs w:val="16"/>
        </w:rPr>
        <w:t>с</w:t>
      </w:r>
      <w:r w:rsidRPr="007122AB">
        <w:rPr>
          <w:color w:val="000000" w:themeColor="text1"/>
          <w:sz w:val="16"/>
          <w:szCs w:val="16"/>
        </w:rPr>
        <w:t xml:space="preserve"> задержками размещения в промышленности заказов НКВМ, считаю необходимым возложить на особый орган разрешение всех споров между НКВМ и ВСНХ по военным заказам.</w:t>
      </w:r>
    </w:p>
    <w:p w14:paraId="39AB62B0" w14:textId="77777777" w:rsidR="00083CD8" w:rsidRPr="007122AB" w:rsidRDefault="00083CD8" w:rsidP="007122AB">
      <w:pPr>
        <w:pStyle w:val="rtejustify"/>
        <w:spacing w:before="0" w:after="0"/>
        <w:rPr>
          <w:color w:val="000000" w:themeColor="text1"/>
          <w:sz w:val="16"/>
          <w:szCs w:val="16"/>
        </w:rPr>
      </w:pPr>
      <w:r w:rsidRPr="007122AB">
        <w:rPr>
          <w:color w:val="000000" w:themeColor="text1"/>
          <w:sz w:val="16"/>
          <w:szCs w:val="16"/>
        </w:rPr>
        <w:t>Прошу этот вопрос обсудить на сегодняшнем (18 марта) заседании Комиссии обороны.</w:t>
      </w:r>
    </w:p>
    <w:p w14:paraId="7EF5CE61" w14:textId="77777777" w:rsidR="00083CD8" w:rsidRPr="007122AB" w:rsidRDefault="00083CD8" w:rsidP="007122AB">
      <w:pPr>
        <w:pStyle w:val="ae"/>
        <w:spacing w:before="0" w:after="0"/>
        <w:jc w:val="both"/>
        <w:rPr>
          <w:color w:val="000000" w:themeColor="text1"/>
          <w:sz w:val="16"/>
          <w:szCs w:val="16"/>
        </w:rPr>
      </w:pPr>
      <w:r w:rsidRPr="007122AB">
        <w:rPr>
          <w:rStyle w:val="af0"/>
          <w:i w:val="0"/>
          <w:color w:val="000000" w:themeColor="text1"/>
          <w:sz w:val="16"/>
          <w:szCs w:val="16"/>
        </w:rPr>
        <w:t>Наркомвоенмор и председатель РВС СССР Ворошилов</w:t>
      </w:r>
    </w:p>
    <w:p w14:paraId="36FB5447" w14:textId="77777777" w:rsidR="00083CD8" w:rsidRPr="007122AB" w:rsidRDefault="00083CD8" w:rsidP="007122AB">
      <w:pPr>
        <w:pStyle w:val="ae"/>
        <w:spacing w:before="0" w:after="0"/>
        <w:jc w:val="both"/>
        <w:rPr>
          <w:color w:val="000000" w:themeColor="text1"/>
          <w:sz w:val="16"/>
          <w:szCs w:val="16"/>
        </w:rPr>
      </w:pPr>
      <w:r w:rsidRPr="007122AB">
        <w:rPr>
          <w:color w:val="000000" w:themeColor="text1"/>
          <w:sz w:val="16"/>
          <w:szCs w:val="16"/>
        </w:rPr>
        <w:t>ГА РФ. Ф. Р-8418. Оп. 5. Д. 36. Л. 1. Подлинник.</w:t>
      </w:r>
    </w:p>
    <w:p w14:paraId="62DCF724"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5. Д. 36. Л. 1. Подлинник. </w:t>
      </w:r>
    </w:p>
    <w:p w14:paraId="520207A1"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539 (12526).</w:t>
      </w:r>
    </w:p>
    <w:p w14:paraId="32EB8661" w14:textId="77777777" w:rsidR="00083CD8" w:rsidRPr="007122AB" w:rsidRDefault="00083CD8" w:rsidP="007122AB">
      <w:pPr>
        <w:spacing w:after="0" w:line="240" w:lineRule="auto"/>
        <w:jc w:val="both"/>
        <w:rPr>
          <w:rFonts w:ascii="Times New Roman" w:hAnsi="Times New Roman"/>
          <w:color w:val="000000" w:themeColor="text1"/>
          <w:sz w:val="16"/>
          <w:szCs w:val="16"/>
        </w:rPr>
      </w:pPr>
    </w:p>
    <w:p w14:paraId="108EF761"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18 марта 1931 г. после обсуждения в Наркомате обороны (НКО) доклада о поездке в Италию,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w:t>
      </w:r>
      <w:proofErr w:type="spellStart"/>
      <w:r w:rsidRPr="007122AB">
        <w:rPr>
          <w:rFonts w:ascii="Times New Roman" w:eastAsia="TimesNewRoman" w:hAnsi="Times New Roman"/>
          <w:color w:val="000000" w:themeColor="text1"/>
          <w:sz w:val="16"/>
          <w:szCs w:val="16"/>
        </w:rPr>
        <w:t>трѐ</w:t>
      </w:r>
      <w:r w:rsidRPr="007122AB">
        <w:rPr>
          <w:rFonts w:ascii="Times New Roman" w:eastAsia="MS Mincho" w:hAnsi="Times New Roman"/>
          <w:color w:val="000000" w:themeColor="text1"/>
          <w:sz w:val="16"/>
          <w:szCs w:val="16"/>
        </w:rPr>
        <w:t>хтрубных</w:t>
      </w:r>
      <w:proofErr w:type="spellEnd"/>
      <w:r w:rsidRPr="007122AB">
        <w:rPr>
          <w:rFonts w:ascii="Times New Roman" w:eastAsia="TimesNewRoman" w:hAnsi="Times New Roman"/>
          <w:color w:val="000000" w:themeColor="text1"/>
          <w:sz w:val="16"/>
          <w:szCs w:val="16"/>
        </w:rPr>
        <w:t xml:space="preserve"> торпедных аппарата системы завода </w:t>
      </w:r>
      <w:proofErr w:type="spellStart"/>
      <w:r w:rsidRPr="007122AB">
        <w:rPr>
          <w:rFonts w:ascii="Times New Roman" w:eastAsia="TimesNewRoman" w:hAnsi="Times New Roman"/>
          <w:color w:val="000000" w:themeColor="text1"/>
          <w:sz w:val="16"/>
          <w:szCs w:val="16"/>
        </w:rPr>
        <w:t>Силурифичио</w:t>
      </w:r>
      <w:proofErr w:type="spellEnd"/>
      <w:r w:rsidRPr="007122AB">
        <w:rPr>
          <w:rFonts w:ascii="Times New Roman" w:eastAsia="TimesNewRoman" w:hAnsi="Times New Roman"/>
          <w:color w:val="000000" w:themeColor="text1"/>
          <w:sz w:val="16"/>
          <w:szCs w:val="16"/>
        </w:rPr>
        <w:t xml:space="preserve"> – на сумму 426 тыс. руб.; по артиллерии – артиллерийские установки системы </w:t>
      </w:r>
      <w:proofErr w:type="spellStart"/>
      <w:r w:rsidRPr="007122AB">
        <w:rPr>
          <w:rFonts w:ascii="Times New Roman" w:eastAsia="TimesNewRoman" w:hAnsi="Times New Roman"/>
          <w:color w:val="000000" w:themeColor="text1"/>
          <w:sz w:val="16"/>
          <w:szCs w:val="16"/>
        </w:rPr>
        <w:t>Минизини</w:t>
      </w:r>
      <w:proofErr w:type="spellEnd"/>
      <w:r w:rsidRPr="007122AB">
        <w:rPr>
          <w:rFonts w:ascii="Times New Roman" w:eastAsia="TimesNewRoman" w:hAnsi="Times New Roman"/>
          <w:color w:val="000000" w:themeColor="text1"/>
          <w:sz w:val="16"/>
          <w:szCs w:val="16"/>
        </w:rPr>
        <w:t xml:space="preserve"> (16 орудийных установок), приборы центральной наводки системы Галилео (3 комплекта); механическая трубка для зенитного снаряда системы Галилео; регулятор «</w:t>
      </w:r>
      <w:proofErr w:type="spellStart"/>
      <w:r w:rsidRPr="007122AB">
        <w:rPr>
          <w:rFonts w:ascii="Times New Roman" w:eastAsia="TimesNewRoman" w:hAnsi="Times New Roman"/>
          <w:color w:val="000000" w:themeColor="text1"/>
          <w:sz w:val="16"/>
          <w:szCs w:val="16"/>
        </w:rPr>
        <w:t>Факини</w:t>
      </w:r>
      <w:proofErr w:type="spellEnd"/>
      <w:r w:rsidRPr="007122AB">
        <w:rPr>
          <w:rFonts w:ascii="Times New Roman" w:eastAsia="TimesNewRoman" w:hAnsi="Times New Roman"/>
          <w:color w:val="000000" w:themeColor="text1"/>
          <w:sz w:val="16"/>
          <w:szCs w:val="16"/>
        </w:rPr>
        <w:t>» (10 комплектов); дальномеры стерео трехметровый и пятиметровый (10 шт.) – на сумму 2 270 000 руб. (зол.).</w:t>
      </w:r>
    </w:p>
    <w:p w14:paraId="57B50A4C"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w:t>
      </w:r>
      <w:proofErr w:type="spellStart"/>
      <w:r w:rsidRPr="007122AB">
        <w:rPr>
          <w:rFonts w:ascii="Times New Roman" w:eastAsia="TimesNewRoman" w:hAnsi="Times New Roman"/>
          <w:color w:val="000000" w:themeColor="text1"/>
          <w:sz w:val="16"/>
          <w:szCs w:val="16"/>
        </w:rPr>
        <w:t>Муклевича</w:t>
      </w:r>
      <w:proofErr w:type="spellEnd"/>
      <w:r w:rsidRPr="007122AB">
        <w:rPr>
          <w:rFonts w:ascii="Times New Roman" w:eastAsia="TimesNewRoman" w:hAnsi="Times New Roman"/>
          <w:color w:val="000000" w:themeColor="text1"/>
          <w:sz w:val="16"/>
          <w:szCs w:val="16"/>
        </w:rPr>
        <w:t xml:space="preserve">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w:t>
      </w:r>
      <w:proofErr w:type="spellStart"/>
      <w:r w:rsidRPr="007122AB">
        <w:rPr>
          <w:rFonts w:ascii="Times New Roman" w:eastAsia="TimesNewRoman" w:hAnsi="Times New Roman"/>
          <w:color w:val="000000" w:themeColor="text1"/>
          <w:sz w:val="16"/>
          <w:szCs w:val="16"/>
        </w:rPr>
        <w:t>вперѐ</w:t>
      </w:r>
      <w:r w:rsidRPr="007122AB">
        <w:rPr>
          <w:rFonts w:ascii="Times New Roman" w:eastAsia="MS Mincho" w:hAnsi="Times New Roman"/>
          <w:color w:val="000000" w:themeColor="text1"/>
          <w:sz w:val="16"/>
          <w:szCs w:val="16"/>
        </w:rPr>
        <w:t>д</w:t>
      </w:r>
      <w:proofErr w:type="spellEnd"/>
      <w:r w:rsidRPr="007122AB">
        <w:rPr>
          <w:rFonts w:ascii="Times New Roman" w:eastAsia="TimesNewRoman" w:hAnsi="Times New Roman"/>
          <w:color w:val="000000" w:themeColor="text1"/>
          <w:sz w:val="16"/>
          <w:szCs w:val="16"/>
        </w:rPr>
        <w:t xml:space="preserve">.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w:t>
      </w:r>
      <w:proofErr w:type="spellStart"/>
      <w:r w:rsidRPr="007122AB">
        <w:rPr>
          <w:rFonts w:ascii="Times New Roman" w:eastAsia="TimesNewRoman" w:hAnsi="Times New Roman"/>
          <w:color w:val="000000" w:themeColor="text1"/>
          <w:sz w:val="16"/>
          <w:szCs w:val="16"/>
        </w:rPr>
        <w:t>огнѐ</w:t>
      </w:r>
      <w:r w:rsidRPr="007122AB">
        <w:rPr>
          <w:rFonts w:ascii="Times New Roman" w:eastAsia="MS Mincho" w:hAnsi="Times New Roman"/>
          <w:color w:val="000000" w:themeColor="text1"/>
          <w:sz w:val="16"/>
          <w:szCs w:val="16"/>
        </w:rPr>
        <w:t>м</w:t>
      </w:r>
      <w:proofErr w:type="spellEnd"/>
      <w:r w:rsidRPr="007122AB">
        <w:rPr>
          <w:rFonts w:ascii="Times New Roman" w:eastAsia="TimesNewRoman" w:hAnsi="Times New Roman"/>
          <w:color w:val="000000" w:themeColor="text1"/>
          <w:sz w:val="16"/>
          <w:szCs w:val="16"/>
        </w:rPr>
        <w:t>.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―повис в воздухе.</w:t>
      </w:r>
    </w:p>
    <w:p w14:paraId="5758D914"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Время </w:t>
      </w:r>
      <w:proofErr w:type="spellStart"/>
      <w:r w:rsidRPr="007122AB">
        <w:rPr>
          <w:rFonts w:ascii="Times New Roman" w:eastAsia="TimesNewRoman" w:hAnsi="Times New Roman"/>
          <w:color w:val="000000" w:themeColor="text1"/>
          <w:sz w:val="16"/>
          <w:szCs w:val="16"/>
        </w:rPr>
        <w:t>идѐ</w:t>
      </w:r>
      <w:r w:rsidRPr="007122AB">
        <w:rPr>
          <w:rFonts w:ascii="Times New Roman" w:eastAsia="MS Mincho" w:hAnsi="Times New Roman"/>
          <w:color w:val="000000" w:themeColor="text1"/>
          <w:sz w:val="16"/>
          <w:szCs w:val="16"/>
        </w:rPr>
        <w:t>т</w:t>
      </w:r>
      <w:proofErr w:type="spellEnd"/>
      <w:r w:rsidRPr="007122AB">
        <w:rPr>
          <w:rFonts w:ascii="Times New Roman" w:eastAsia="TimesNewRoman" w:hAnsi="Times New Roman"/>
          <w:color w:val="000000" w:themeColor="text1"/>
          <w:sz w:val="16"/>
          <w:szCs w:val="16"/>
        </w:rPr>
        <w:t>,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 (12701).</w:t>
      </w:r>
    </w:p>
    <w:p w14:paraId="068CBB72"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p>
    <w:p w14:paraId="5FFFBC7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марта 1931 г.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w:t>
      </w:r>
      <w:proofErr w:type="spellStart"/>
      <w:r w:rsidRPr="007122AB">
        <w:rPr>
          <w:rFonts w:ascii="Times New Roman" w:hAnsi="Times New Roman"/>
          <w:color w:val="000000" w:themeColor="text1"/>
          <w:sz w:val="16"/>
          <w:szCs w:val="16"/>
        </w:rPr>
        <w:t>трѐхтрубных</w:t>
      </w:r>
      <w:proofErr w:type="spellEnd"/>
      <w:r w:rsidRPr="007122AB">
        <w:rPr>
          <w:rFonts w:ascii="Times New Roman" w:hAnsi="Times New Roman"/>
          <w:color w:val="000000" w:themeColor="text1"/>
          <w:sz w:val="16"/>
          <w:szCs w:val="16"/>
        </w:rPr>
        <w:t xml:space="preserve"> торпедных аппарата системы завода </w:t>
      </w:r>
      <w:proofErr w:type="spellStart"/>
      <w:r w:rsidRPr="007122AB">
        <w:rPr>
          <w:rFonts w:ascii="Times New Roman" w:hAnsi="Times New Roman"/>
          <w:color w:val="000000" w:themeColor="text1"/>
          <w:sz w:val="16"/>
          <w:szCs w:val="16"/>
        </w:rPr>
        <w:t>Силурифичио</w:t>
      </w:r>
      <w:proofErr w:type="spellEnd"/>
      <w:r w:rsidRPr="007122AB">
        <w:rPr>
          <w:rFonts w:ascii="Times New Roman" w:hAnsi="Times New Roman"/>
          <w:color w:val="000000" w:themeColor="text1"/>
          <w:sz w:val="16"/>
          <w:szCs w:val="16"/>
        </w:rPr>
        <w:t xml:space="preserve"> – на сумму 426 тыс. руб.; по артиллерии – артиллерийские установки системы </w:t>
      </w:r>
      <w:proofErr w:type="spellStart"/>
      <w:r w:rsidRPr="007122AB">
        <w:rPr>
          <w:rFonts w:ascii="Times New Roman" w:hAnsi="Times New Roman"/>
          <w:color w:val="000000" w:themeColor="text1"/>
          <w:sz w:val="16"/>
          <w:szCs w:val="16"/>
        </w:rPr>
        <w:t>Минизини</w:t>
      </w:r>
      <w:proofErr w:type="spellEnd"/>
      <w:r w:rsidRPr="007122AB">
        <w:rPr>
          <w:rFonts w:ascii="Times New Roman" w:hAnsi="Times New Roman"/>
          <w:color w:val="000000" w:themeColor="text1"/>
          <w:sz w:val="16"/>
          <w:szCs w:val="16"/>
        </w:rPr>
        <w:t xml:space="preserve"> (16 орудийных установок), приборы центральной наводки системы Галилео (3 комплекта); механическая трубка для зенитного снаряда системы Галилео; регулятор «</w:t>
      </w:r>
      <w:proofErr w:type="spellStart"/>
      <w:r w:rsidRPr="007122AB">
        <w:rPr>
          <w:rFonts w:ascii="Times New Roman" w:hAnsi="Times New Roman"/>
          <w:color w:val="000000" w:themeColor="text1"/>
          <w:sz w:val="16"/>
          <w:szCs w:val="16"/>
        </w:rPr>
        <w:t>Факини</w:t>
      </w:r>
      <w:proofErr w:type="spellEnd"/>
      <w:r w:rsidRPr="007122AB">
        <w:rPr>
          <w:rFonts w:ascii="Times New Roman" w:hAnsi="Times New Roman"/>
          <w:color w:val="000000" w:themeColor="text1"/>
          <w:sz w:val="16"/>
          <w:szCs w:val="16"/>
        </w:rPr>
        <w:t>» (10 комплектов); дальномеры стерео трехметровый и пятиметровый (10 шт.) – на сумму 2 270 000 руб. (зол.).</w:t>
      </w:r>
    </w:p>
    <w:p w14:paraId="70EDCF9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w:t>
      </w:r>
      <w:proofErr w:type="spellStart"/>
      <w:r w:rsidRPr="007122AB">
        <w:rPr>
          <w:rFonts w:ascii="Times New Roman" w:hAnsi="Times New Roman"/>
          <w:color w:val="000000" w:themeColor="text1"/>
          <w:sz w:val="16"/>
          <w:szCs w:val="16"/>
        </w:rPr>
        <w:t>Муклевича</w:t>
      </w:r>
      <w:proofErr w:type="spellEnd"/>
      <w:r w:rsidRPr="007122AB">
        <w:rPr>
          <w:rFonts w:ascii="Times New Roman" w:hAnsi="Times New Roman"/>
          <w:color w:val="000000" w:themeColor="text1"/>
          <w:sz w:val="16"/>
          <w:szCs w:val="16"/>
        </w:rPr>
        <w:t xml:space="preserve">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w:t>
      </w:r>
      <w:proofErr w:type="spellStart"/>
      <w:r w:rsidRPr="007122AB">
        <w:rPr>
          <w:rFonts w:ascii="Times New Roman" w:hAnsi="Times New Roman"/>
          <w:color w:val="000000" w:themeColor="text1"/>
          <w:sz w:val="16"/>
          <w:szCs w:val="16"/>
        </w:rPr>
        <w:t>вперѐд</w:t>
      </w:r>
      <w:proofErr w:type="spellEnd"/>
      <w:r w:rsidRPr="007122AB">
        <w:rPr>
          <w:rFonts w:ascii="Times New Roman" w:hAnsi="Times New Roman"/>
          <w:color w:val="000000" w:themeColor="text1"/>
          <w:sz w:val="16"/>
          <w:szCs w:val="16"/>
        </w:rPr>
        <w:t xml:space="preserve">.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w:t>
      </w:r>
      <w:proofErr w:type="spellStart"/>
      <w:r w:rsidRPr="007122AB">
        <w:rPr>
          <w:rFonts w:ascii="Times New Roman" w:hAnsi="Times New Roman"/>
          <w:color w:val="000000" w:themeColor="text1"/>
          <w:sz w:val="16"/>
          <w:szCs w:val="16"/>
        </w:rPr>
        <w:t>огнѐм</w:t>
      </w:r>
      <w:proofErr w:type="spellEnd"/>
      <w:r w:rsidRPr="007122AB">
        <w:rPr>
          <w:rFonts w:ascii="Times New Roman" w:hAnsi="Times New Roman"/>
          <w:color w:val="000000" w:themeColor="text1"/>
          <w:sz w:val="16"/>
          <w:szCs w:val="16"/>
        </w:rPr>
        <w:t>.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w:t>
      </w:r>
      <w:proofErr w:type="spellStart"/>
      <w:r w:rsidRPr="007122AB">
        <w:rPr>
          <w:rFonts w:ascii="Times New Roman" w:hAnsi="Times New Roman"/>
          <w:color w:val="000000" w:themeColor="text1"/>
          <w:sz w:val="16"/>
          <w:szCs w:val="16"/>
        </w:rPr>
        <w:t>опвис</w:t>
      </w:r>
      <w:proofErr w:type="spellEnd"/>
      <w:r w:rsidRPr="007122AB">
        <w:rPr>
          <w:rFonts w:ascii="Times New Roman" w:hAnsi="Times New Roman"/>
          <w:color w:val="000000" w:themeColor="text1"/>
          <w:sz w:val="16"/>
          <w:szCs w:val="16"/>
        </w:rPr>
        <w:t xml:space="preserve"> в воздухе‖. Время </w:t>
      </w:r>
      <w:proofErr w:type="spellStart"/>
      <w:r w:rsidRPr="007122AB">
        <w:rPr>
          <w:rFonts w:ascii="Times New Roman" w:hAnsi="Times New Roman"/>
          <w:color w:val="000000" w:themeColor="text1"/>
          <w:sz w:val="16"/>
          <w:szCs w:val="16"/>
        </w:rPr>
        <w:t>идѐт</w:t>
      </w:r>
      <w:proofErr w:type="spellEnd"/>
      <w:r w:rsidRPr="007122AB">
        <w:rPr>
          <w:rFonts w:ascii="Times New Roman" w:hAnsi="Times New Roman"/>
          <w:color w:val="000000" w:themeColor="text1"/>
          <w:sz w:val="16"/>
          <w:szCs w:val="16"/>
        </w:rPr>
        <w:t>,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w:t>
      </w:r>
    </w:p>
    <w:p w14:paraId="6E427E38"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Данное письмо тут же возымело действие, 5 апреля 1931 г. вышло Постановление КО СНК «Разрешить вести переговоры о заказе в Италии вооружения (торпед, зенитной артиллерии и приборов управления </w:t>
      </w:r>
      <w:proofErr w:type="spellStart"/>
      <w:r w:rsidRPr="007122AB">
        <w:rPr>
          <w:rFonts w:ascii="Times New Roman" w:hAnsi="Times New Roman"/>
          <w:color w:val="000000" w:themeColor="text1"/>
          <w:sz w:val="16"/>
          <w:szCs w:val="16"/>
        </w:rPr>
        <w:t>огнѐм</w:t>
      </w:r>
      <w:proofErr w:type="spellEnd"/>
      <w:r w:rsidRPr="007122AB">
        <w:rPr>
          <w:rFonts w:ascii="Times New Roman" w:hAnsi="Times New Roman"/>
          <w:color w:val="000000" w:themeColor="text1"/>
          <w:sz w:val="16"/>
          <w:szCs w:val="16"/>
        </w:rPr>
        <w:t>).</w:t>
      </w:r>
    </w:p>
    <w:p w14:paraId="07F10F93"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Сумму определить 4.000.000 руб. сверх существующих контингентов» [Там же, л. 276].</w:t>
      </w:r>
    </w:p>
    <w:p w14:paraId="45EF3D2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Закупки морских вооружений велись в соответствии с заключенными договорами. (18258).</w:t>
      </w:r>
    </w:p>
    <w:p w14:paraId="060A4808"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10A2BF33" w14:textId="03F80FB0" w:rsidR="000F1D6E" w:rsidRPr="007122AB" w:rsidRDefault="000F1D6E" w:rsidP="007122AB">
      <w:pPr>
        <w:autoSpaceDE w:val="0"/>
        <w:autoSpaceDN w:val="0"/>
        <w:adjustRightInd w:val="0"/>
        <w:spacing w:after="0" w:line="240" w:lineRule="auto"/>
        <w:jc w:val="both"/>
        <w:rPr>
          <w:rFonts w:ascii="Times New Roman" w:hAnsi="Times New Roman"/>
          <w:i/>
          <w:color w:val="000000" w:themeColor="text1"/>
          <w:sz w:val="16"/>
          <w:szCs w:val="16"/>
        </w:rPr>
      </w:pPr>
      <w:r w:rsidRPr="007122AB">
        <w:rPr>
          <w:rFonts w:ascii="Times New Roman" w:hAnsi="Times New Roman"/>
          <w:i/>
          <w:color w:val="000000" w:themeColor="text1"/>
          <w:sz w:val="16"/>
          <w:szCs w:val="16"/>
        </w:rPr>
        <w:t>Внешняя политика:</w:t>
      </w:r>
    </w:p>
    <w:p w14:paraId="2F1ADDBA" w14:textId="77777777" w:rsidR="000F1D6E" w:rsidRPr="007122AB" w:rsidRDefault="000F1D6E" w:rsidP="007122AB">
      <w:pPr>
        <w:autoSpaceDE w:val="0"/>
        <w:autoSpaceDN w:val="0"/>
        <w:adjustRightInd w:val="0"/>
        <w:spacing w:after="0" w:line="240" w:lineRule="auto"/>
        <w:jc w:val="both"/>
        <w:rPr>
          <w:rFonts w:ascii="Times New Roman" w:hAnsi="Times New Roman"/>
          <w:i/>
          <w:color w:val="000000" w:themeColor="text1"/>
          <w:sz w:val="16"/>
          <w:szCs w:val="16"/>
        </w:rPr>
      </w:pPr>
    </w:p>
    <w:p w14:paraId="00D9E9AB"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18 марта 1931 г.</w:t>
      </w:r>
    </w:p>
    <w:p w14:paraId="42E5FB38"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Из протокола № 4 заседания </w:t>
      </w:r>
      <w:proofErr w:type="spellStart"/>
      <w:r w:rsidRPr="007122AB">
        <w:rPr>
          <w:rFonts w:ascii="Times New Roman" w:hAnsi="Times New Roman"/>
          <w:color w:val="000000" w:themeColor="text1"/>
          <w:sz w:val="16"/>
          <w:szCs w:val="16"/>
        </w:rPr>
        <w:t>Агитпропотдела</w:t>
      </w:r>
      <w:proofErr w:type="spellEnd"/>
      <w:r w:rsidRPr="007122AB">
        <w:rPr>
          <w:rFonts w:ascii="Times New Roman" w:hAnsi="Times New Roman"/>
          <w:color w:val="000000" w:themeColor="text1"/>
          <w:sz w:val="16"/>
          <w:szCs w:val="16"/>
        </w:rPr>
        <w:t xml:space="preserve"> Исполкома Коминтерна «Об интернациональном радиовещании». 18 марта 1931 г.</w:t>
      </w:r>
    </w:p>
    <w:p w14:paraId="0BE372BB"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FB537A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62461E6"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4CCC8DC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РГАСПИ. Ф. 495. On. 30. Д. 706. Л. 128-129</w:t>
      </w:r>
    </w:p>
    <w:p w14:paraId="5E688B65" w14:textId="77777777" w:rsidR="00E65C7F" w:rsidRPr="007122AB" w:rsidRDefault="00E65C7F" w:rsidP="007122AB">
      <w:pPr>
        <w:pStyle w:val="rteright"/>
        <w:spacing w:before="0" w:after="0"/>
        <w:jc w:val="both"/>
        <w:rPr>
          <w:color w:val="000000" w:themeColor="text1"/>
          <w:sz w:val="16"/>
          <w:szCs w:val="16"/>
        </w:rPr>
      </w:pPr>
      <w:r w:rsidRPr="007122AB">
        <w:rPr>
          <w:color w:val="000000" w:themeColor="text1"/>
          <w:sz w:val="16"/>
          <w:szCs w:val="16"/>
        </w:rPr>
        <w:t>18 марта 1931 г.</w:t>
      </w:r>
    </w:p>
    <w:p w14:paraId="6BB89C0C" w14:textId="77777777" w:rsidR="00E65C7F" w:rsidRPr="007122AB" w:rsidRDefault="00E65C7F"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244769F4"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ПРОТОКОЛ № 4</w:t>
      </w:r>
    </w:p>
    <w:p w14:paraId="62B87733"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Заседания Агитпропа ИККИ от 18 марта 1931 г.</w:t>
      </w:r>
    </w:p>
    <w:p w14:paraId="59C1DD41"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Присутствовали: </w:t>
      </w:r>
      <w:proofErr w:type="spellStart"/>
      <w:r w:rsidRPr="007122AB">
        <w:rPr>
          <w:color w:val="000000" w:themeColor="text1"/>
          <w:sz w:val="16"/>
          <w:szCs w:val="16"/>
        </w:rPr>
        <w:t>т.т</w:t>
      </w:r>
      <w:proofErr w:type="spellEnd"/>
      <w:r w:rsidRPr="007122AB">
        <w:rPr>
          <w:color w:val="000000" w:themeColor="text1"/>
          <w:sz w:val="16"/>
          <w:szCs w:val="16"/>
        </w:rPr>
        <w:t xml:space="preserve">. </w:t>
      </w:r>
      <w:proofErr w:type="spellStart"/>
      <w:r w:rsidRPr="007122AB">
        <w:rPr>
          <w:color w:val="000000" w:themeColor="text1"/>
          <w:sz w:val="16"/>
          <w:szCs w:val="16"/>
        </w:rPr>
        <w:t>Гопнер</w:t>
      </w:r>
      <w:proofErr w:type="spellEnd"/>
      <w:r w:rsidRPr="007122AB">
        <w:rPr>
          <w:color w:val="000000" w:themeColor="text1"/>
          <w:sz w:val="16"/>
          <w:szCs w:val="16"/>
        </w:rPr>
        <w:t xml:space="preserve">, Чернин, Благоева, </w:t>
      </w:r>
      <w:proofErr w:type="spellStart"/>
      <w:r w:rsidRPr="007122AB">
        <w:rPr>
          <w:color w:val="000000" w:themeColor="text1"/>
          <w:sz w:val="16"/>
          <w:szCs w:val="16"/>
        </w:rPr>
        <w:t>Фогараши</w:t>
      </w:r>
      <w:proofErr w:type="spellEnd"/>
      <w:r w:rsidRPr="007122AB">
        <w:rPr>
          <w:color w:val="000000" w:themeColor="text1"/>
          <w:sz w:val="16"/>
          <w:szCs w:val="16"/>
        </w:rPr>
        <w:t>, Аренс (НКИД), Потехин (</w:t>
      </w:r>
      <w:proofErr w:type="spellStart"/>
      <w:r w:rsidRPr="007122AB">
        <w:rPr>
          <w:color w:val="000000" w:themeColor="text1"/>
          <w:sz w:val="16"/>
          <w:szCs w:val="16"/>
        </w:rPr>
        <w:t>НКПиТ</w:t>
      </w:r>
      <w:proofErr w:type="spellEnd"/>
      <w:r w:rsidRPr="007122AB">
        <w:rPr>
          <w:color w:val="000000" w:themeColor="text1"/>
          <w:sz w:val="16"/>
          <w:szCs w:val="16"/>
        </w:rPr>
        <w:t xml:space="preserve">), </w:t>
      </w:r>
      <w:proofErr w:type="spellStart"/>
      <w:r w:rsidRPr="007122AB">
        <w:rPr>
          <w:color w:val="000000" w:themeColor="text1"/>
          <w:sz w:val="16"/>
          <w:szCs w:val="16"/>
        </w:rPr>
        <w:t>Аплетин</w:t>
      </w:r>
      <w:proofErr w:type="spellEnd"/>
      <w:r w:rsidRPr="007122AB">
        <w:rPr>
          <w:color w:val="000000" w:themeColor="text1"/>
          <w:sz w:val="16"/>
          <w:szCs w:val="16"/>
        </w:rPr>
        <w:t xml:space="preserve"> (Профинтерн), Фрумкина и Хейфец (Радиовещание ВЦСПС), </w:t>
      </w:r>
      <w:proofErr w:type="spellStart"/>
      <w:r w:rsidRPr="007122AB">
        <w:rPr>
          <w:color w:val="000000" w:themeColor="text1"/>
          <w:sz w:val="16"/>
          <w:szCs w:val="16"/>
        </w:rPr>
        <w:t>Сиротинский</w:t>
      </w:r>
      <w:proofErr w:type="spellEnd"/>
      <w:r w:rsidRPr="007122AB">
        <w:rPr>
          <w:color w:val="000000" w:themeColor="text1"/>
          <w:sz w:val="16"/>
          <w:szCs w:val="16"/>
        </w:rPr>
        <w:t xml:space="preserve">, </w:t>
      </w:r>
      <w:proofErr w:type="spellStart"/>
      <w:r w:rsidRPr="007122AB">
        <w:rPr>
          <w:color w:val="000000" w:themeColor="text1"/>
          <w:sz w:val="16"/>
          <w:szCs w:val="16"/>
        </w:rPr>
        <w:t>Шутко</w:t>
      </w:r>
      <w:proofErr w:type="spellEnd"/>
      <w:r w:rsidRPr="007122AB">
        <w:rPr>
          <w:color w:val="000000" w:themeColor="text1"/>
          <w:sz w:val="16"/>
          <w:szCs w:val="16"/>
        </w:rPr>
        <w:t xml:space="preserve"> (</w:t>
      </w:r>
      <w:proofErr w:type="spellStart"/>
      <w:r w:rsidRPr="007122AB">
        <w:rPr>
          <w:color w:val="000000" w:themeColor="text1"/>
          <w:sz w:val="16"/>
          <w:szCs w:val="16"/>
        </w:rPr>
        <w:t>Агитмасс</w:t>
      </w:r>
      <w:proofErr w:type="spellEnd"/>
      <w:r w:rsidRPr="007122AB">
        <w:rPr>
          <w:color w:val="000000" w:themeColor="text1"/>
          <w:sz w:val="16"/>
          <w:szCs w:val="16"/>
        </w:rPr>
        <w:t xml:space="preserve"> ЦК ВКПб), </w:t>
      </w:r>
      <w:proofErr w:type="spellStart"/>
      <w:r w:rsidRPr="007122AB">
        <w:rPr>
          <w:color w:val="000000" w:themeColor="text1"/>
          <w:sz w:val="16"/>
          <w:szCs w:val="16"/>
        </w:rPr>
        <w:t>Ценк</w:t>
      </w:r>
      <w:proofErr w:type="spellEnd"/>
      <w:r w:rsidRPr="007122AB">
        <w:rPr>
          <w:color w:val="000000" w:themeColor="text1"/>
          <w:sz w:val="16"/>
          <w:szCs w:val="16"/>
        </w:rPr>
        <w:t xml:space="preserve">, </w:t>
      </w:r>
      <w:proofErr w:type="spellStart"/>
      <w:r w:rsidRPr="007122AB">
        <w:rPr>
          <w:color w:val="000000" w:themeColor="text1"/>
          <w:sz w:val="16"/>
          <w:szCs w:val="16"/>
        </w:rPr>
        <w:t>Добросельская</w:t>
      </w:r>
      <w:proofErr w:type="spellEnd"/>
      <w:r w:rsidRPr="007122AB">
        <w:rPr>
          <w:color w:val="000000" w:themeColor="text1"/>
          <w:sz w:val="16"/>
          <w:szCs w:val="16"/>
        </w:rPr>
        <w:t>.</w:t>
      </w:r>
    </w:p>
    <w:p w14:paraId="7D51FEDF" w14:textId="77777777" w:rsidR="00E65C7F" w:rsidRPr="007122AB" w:rsidRDefault="00E65C7F" w:rsidP="007122AB">
      <w:pPr>
        <w:pStyle w:val="rtecenter"/>
        <w:spacing w:before="0" w:after="0"/>
        <w:jc w:val="both"/>
        <w:rPr>
          <w:color w:val="000000" w:themeColor="text1"/>
          <w:sz w:val="16"/>
          <w:szCs w:val="16"/>
        </w:rPr>
      </w:pPr>
      <w:r w:rsidRPr="007122AB">
        <w:rPr>
          <w:color w:val="000000" w:themeColor="text1"/>
          <w:sz w:val="16"/>
          <w:szCs w:val="16"/>
        </w:rPr>
        <w:t>Повестка дня:</w:t>
      </w:r>
    </w:p>
    <w:p w14:paraId="4DAB9F4E"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1. Об интернациональном радиовещании.</w:t>
      </w:r>
    </w:p>
    <w:p w14:paraId="4C0B5B90"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СЛУШАЛИ:</w:t>
      </w:r>
    </w:p>
    <w:p w14:paraId="6AC47030"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Тов. ГОПНЕР говорит, что целью сегодняшнего заседания является большее, чем до сих пор привлечение внимания радиовещанию. До сих пор партии даже мало знают об этом радиовещании. Надо проверить сегодня пройденный путь и наметить будущий, найти метод для более широкого распространения радио за границей.</w:t>
      </w:r>
    </w:p>
    <w:p w14:paraId="0D10C937"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ФРУМКИНА. Радиовещание ВЦСПС формально существует с ноября, фактически меньше, т. к. первое время работали только на </w:t>
      </w:r>
      <w:proofErr w:type="spellStart"/>
      <w:r w:rsidRPr="007122AB">
        <w:rPr>
          <w:color w:val="000000" w:themeColor="text1"/>
          <w:sz w:val="16"/>
          <w:szCs w:val="16"/>
        </w:rPr>
        <w:t>немецк</w:t>
      </w:r>
      <w:proofErr w:type="spellEnd"/>
      <w:r w:rsidRPr="007122AB">
        <w:rPr>
          <w:color w:val="000000" w:themeColor="text1"/>
          <w:sz w:val="16"/>
          <w:szCs w:val="16"/>
        </w:rPr>
        <w:t>[ом] яз., а потом вообще был перерыв. Чтобы иметь представление о том, как быстро увеличивается количество слушателей за границей, достаточно привести количество писем, полученных нами: в ноябре мы получили 45 писем, в декабре — 450, в феврале — 707, в январе — 850 и в первой половине марта — 600.</w:t>
      </w:r>
    </w:p>
    <w:p w14:paraId="58040C7C"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Мы отвечаем на все письма, прилагаем к ним нашу программу и анкеты; из последних видно, что часто нас слушают целые районы. В одном письме нам пишут, что к ним приезжают за 30 километров, остаются у них ночевать на полу, чтобы слушать СССР (Германия). Наша программа дается не шаблонно, а к каждой дается вступительное слово. Наши программы мы помещаем в наших газетах и журналах. В Германии слышимость прекрасная, во Франции слабеет, т. к. нас заглушает Мотал — шведская станция, потому нас могут слушать лишь на дорогом аппарате.</w:t>
      </w:r>
    </w:p>
    <w:p w14:paraId="2E5FD228"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Англия — значительно увеличилось количество писем. [«]Дейли </w:t>
      </w:r>
      <w:proofErr w:type="spellStart"/>
      <w:r w:rsidRPr="007122AB">
        <w:rPr>
          <w:color w:val="000000" w:themeColor="text1"/>
          <w:sz w:val="16"/>
          <w:szCs w:val="16"/>
        </w:rPr>
        <w:t>Воркер</w:t>
      </w:r>
      <w:proofErr w:type="spellEnd"/>
      <w:r w:rsidRPr="007122AB">
        <w:rPr>
          <w:color w:val="000000" w:themeColor="text1"/>
          <w:sz w:val="16"/>
          <w:szCs w:val="16"/>
        </w:rPr>
        <w:t>[»] помещает наши программы и приглашает желающих для коллективного слушания.</w:t>
      </w:r>
    </w:p>
    <w:p w14:paraId="2D0E0B98"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[«]Юманите[»] — тоже печатает наши программы и часто приглашает слушать СССР таким образом: «Москву собираются заглушать, проверяйте, если это верно — протестуйте» и т. д.</w:t>
      </w:r>
    </w:p>
    <w:p w14:paraId="0EDF8F80"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lastRenderedPageBreak/>
        <w:t>Как применяться к слушателям? На эту тему были споры — что лучше давать. В письмах больше всего просят доклады, это для них самое интересное. От времени до времени необходимо давать и литературные вечера.</w:t>
      </w:r>
    </w:p>
    <w:p w14:paraId="3190EDB4"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Недочетом в нашей работе является узость тем: есть масса запросов со стороны слушателей, но НКИД запрещает, и это отражается на работе. Нам запрещено полемизировать, нам присылают запросы, нам запрещено на них отвечать. Индивидуальные просьбы передаем в КВС. Бывают и провокационного характера письма.</w:t>
      </w:r>
    </w:p>
    <w:p w14:paraId="1FFBE1D1"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Мы даем почтовый ящик, который стенографируется и печатается в наших радио-газетах, иногда даже в </w:t>
      </w:r>
      <w:proofErr w:type="spellStart"/>
      <w:r w:rsidRPr="007122AB">
        <w:rPr>
          <w:color w:val="000000" w:themeColor="text1"/>
          <w:sz w:val="16"/>
          <w:szCs w:val="16"/>
        </w:rPr>
        <w:t>фаб</w:t>
      </w:r>
      <w:proofErr w:type="spellEnd"/>
      <w:r w:rsidRPr="007122AB">
        <w:rPr>
          <w:color w:val="000000" w:themeColor="text1"/>
          <w:sz w:val="16"/>
          <w:szCs w:val="16"/>
        </w:rPr>
        <w:t>[</w:t>
      </w:r>
      <w:proofErr w:type="spellStart"/>
      <w:r w:rsidRPr="007122AB">
        <w:rPr>
          <w:color w:val="000000" w:themeColor="text1"/>
          <w:sz w:val="16"/>
          <w:szCs w:val="16"/>
        </w:rPr>
        <w:t>рично</w:t>
      </w:r>
      <w:proofErr w:type="spellEnd"/>
      <w:r w:rsidRPr="007122AB">
        <w:rPr>
          <w:color w:val="000000" w:themeColor="text1"/>
          <w:sz w:val="16"/>
          <w:szCs w:val="16"/>
        </w:rPr>
        <w:t>-]зав[</w:t>
      </w:r>
      <w:proofErr w:type="spellStart"/>
      <w:r w:rsidRPr="007122AB">
        <w:rPr>
          <w:color w:val="000000" w:themeColor="text1"/>
          <w:sz w:val="16"/>
          <w:szCs w:val="16"/>
        </w:rPr>
        <w:t>одских</w:t>
      </w:r>
      <w:proofErr w:type="spellEnd"/>
      <w:r w:rsidRPr="007122AB">
        <w:rPr>
          <w:color w:val="000000" w:themeColor="text1"/>
          <w:sz w:val="16"/>
          <w:szCs w:val="16"/>
        </w:rPr>
        <w:t>] газетах (Германия).</w:t>
      </w:r>
    </w:p>
    <w:p w14:paraId="1D12D716"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Провинциальные станции. Вещают на иностранных языках: Хабаровск, Одесса, Ленинград.</w:t>
      </w:r>
    </w:p>
    <w:p w14:paraId="76D21765"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Большую помощь оказывает Лен&lt;</w:t>
      </w:r>
      <w:proofErr w:type="spellStart"/>
      <w:r w:rsidRPr="007122AB">
        <w:rPr>
          <w:color w:val="000000" w:themeColor="text1"/>
          <w:sz w:val="16"/>
          <w:szCs w:val="16"/>
        </w:rPr>
        <w:t>инская</w:t>
      </w:r>
      <w:proofErr w:type="spellEnd"/>
      <w:r w:rsidRPr="007122AB">
        <w:rPr>
          <w:color w:val="000000" w:themeColor="text1"/>
          <w:sz w:val="16"/>
          <w:szCs w:val="16"/>
        </w:rPr>
        <w:t>&gt; школа: выделила работников, которые помогают составлять программы и т. д. Плохо обстоит с английской секцией в МЛШ, необходимо назначить ответственного руководителя.</w:t>
      </w:r>
    </w:p>
    <w:p w14:paraId="74D86491"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Метод слушания у слушателей различный: у немцев, гл. обр., коллективный, коллективное слушание через рабочие радио-организации, тут же дискуссия или кино об СССР. Это делают не партии, а рабочие организации по своей инициативе. То же во Франции и в Англии.</w:t>
      </w:r>
    </w:p>
    <w:p w14:paraId="2C96F7A7"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В работе нам нужна большая, чем до сих пор помощь: сейчас для нас мало пишут, с трудом достаем доклады. В аппарате радиостанции практически работают два человека, так что до сих пор нет и некому вести более глубокий анализ писем.</w:t>
      </w:r>
    </w:p>
    <w:p w14:paraId="36A78794"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ЧЕРНИН. О слушателях надо судить не только по письмам. Напр., нас хорошо слушают лимитрофы, но оттуда не пишут. Из Швейцарии мало пишут, но слушают нас много. Напр., 7.XI в Базеле и Цюрихе наняли специальные залы для слушания, прошло удачно. Радио имеет особенное значение для стран, слабо охваченных коммунистической прессой.</w:t>
      </w:r>
    </w:p>
    <w:p w14:paraId="5408FE4C"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Процесс меньшевиков освещался слабо. Немецкую передачу надо давать каждый день, французскую и английскую не меньше, чем через день, сейчас передача недостаточна. О содержании передач: мы проявляем чрезмерную скромность, необходимо расширить рамки. Первое время не решались передавать ни на каком другом языке, как только на немецком, теперь передаем на всех основных языках и никаких особых осложнений еще не было. Если мы вещаем для немцев Поволжья об АССР, то почему им нельзя говорить о Китае или другой стране. Надо перейти в наступление и покончить с нашей чрезмерной скромностью.</w:t>
      </w:r>
    </w:p>
    <w:p w14:paraId="78109906"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Как давать? Есть интересная бумажка из </w:t>
      </w:r>
      <w:proofErr w:type="spellStart"/>
      <w:r w:rsidRPr="007122AB">
        <w:rPr>
          <w:color w:val="000000" w:themeColor="text1"/>
          <w:sz w:val="16"/>
          <w:szCs w:val="16"/>
        </w:rPr>
        <w:t>НКПиТ</w:t>
      </w:r>
      <w:proofErr w:type="spellEnd"/>
      <w:r w:rsidRPr="007122AB">
        <w:rPr>
          <w:color w:val="000000" w:themeColor="text1"/>
          <w:sz w:val="16"/>
          <w:szCs w:val="16"/>
        </w:rPr>
        <w:t xml:space="preserve"> о том, что он рекомендует передавать концерты, вклинивая в них политические информации. Это тогда, как масса писем просит давать побольше докладов. Тов. Чернин предлагает составить комиссию из представителя НКИД, ИККИ и </w:t>
      </w:r>
      <w:proofErr w:type="spellStart"/>
      <w:r w:rsidRPr="007122AB">
        <w:rPr>
          <w:color w:val="000000" w:themeColor="text1"/>
          <w:sz w:val="16"/>
          <w:szCs w:val="16"/>
        </w:rPr>
        <w:t>НКПиТ</w:t>
      </w:r>
      <w:proofErr w:type="spellEnd"/>
      <w:r w:rsidRPr="007122AB">
        <w:rPr>
          <w:color w:val="000000" w:themeColor="text1"/>
          <w:sz w:val="16"/>
          <w:szCs w:val="16"/>
        </w:rPr>
        <w:t>.</w:t>
      </w:r>
    </w:p>
    <w:p w14:paraId="2FCB7F34"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АРЕНС (НКИД).</w:t>
      </w:r>
    </w:p>
    <w:p w14:paraId="2CDBC9D4"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Есть директива — никакой пропаганды. Есть возможность наступления — это освещение нашей пятилетки, это достаточно. Если англичане прислали ноту по поводу статьи Горького, то это не говорит ничего хорошего. Они ведут провокацию: поступают протесты по передачам, которых мы не давали. Они знают, что на этом вопросе могут отыграться. Мы не должны давать им карты в руки. Напр., разоружение мы считаем комедией, а передавать это по эфиру мы не можем. В Венгрию можно передавать, в Румынию тоже все, что угодно. Качество передач надо улучшить, но переступить нашу линию мы не можем. Пользы от предлагаемой Черниным комиссии не будет, т. к. по программе ничего судить нельзя, надо читать каждую статью.</w:t>
      </w:r>
    </w:p>
    <w:p w14:paraId="06DA9EFD"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ШУТКО (ЦК). Мнение ЦК — раз мы несем ответственность за передачу, то мы вынуждены были дать НКИД такую директиву. Не имеет смысла устанавливать здесь, что и как можно передавать. Они ищут повода, мы не должны его им давать. Правильно, что основным должно быть — передача о пятилетке. [...]</w:t>
      </w:r>
    </w:p>
    <w:p w14:paraId="0C1202A4" w14:textId="77777777" w:rsidR="00E65C7F" w:rsidRPr="007122AB" w:rsidRDefault="00E65C7F" w:rsidP="007122AB">
      <w:pPr>
        <w:pStyle w:val="ae"/>
        <w:spacing w:before="0" w:after="0"/>
        <w:jc w:val="both"/>
        <w:rPr>
          <w:color w:val="000000" w:themeColor="text1"/>
          <w:sz w:val="16"/>
          <w:szCs w:val="16"/>
        </w:rPr>
      </w:pPr>
      <w:r w:rsidRPr="007122AB">
        <w:rPr>
          <w:rStyle w:val="af0"/>
          <w:i w:val="0"/>
          <w:color w:val="000000" w:themeColor="text1"/>
          <w:sz w:val="16"/>
          <w:szCs w:val="16"/>
        </w:rPr>
        <w:t>РГАСПИ. Ф. 495. On. 30. Д. 706. Л. 128-129. Машинописный экземпляр того времени (18905).</w:t>
      </w:r>
    </w:p>
    <w:p w14:paraId="29FBFFEE"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439629B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2CA828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FD7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марта 1931 в США началось производство электробритв (3481).</w:t>
      </w:r>
    </w:p>
    <w:p w14:paraId="60D12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314B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324AA4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A5B6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марта 1931 года закончились испытания на мореходность и буксировку самолета МУ-2 N 2259 и мотором М-11 N 7005, которые проходили с 20 февраля 1931.</w:t>
      </w:r>
    </w:p>
    <w:p w14:paraId="105BAE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к моменту испытания налетал 26 час. 58 мин.</w:t>
      </w:r>
    </w:p>
    <w:p w14:paraId="2834F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к моменту испытания наработал 31 час 00 мин. (3007).</w:t>
      </w:r>
    </w:p>
    <w:p w14:paraId="13058B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6CF65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Посадку на волну 0,5 определенную глазомерно при скоростях ветра 5-6 м/сек. для самолета МУ-2 можно считать предельной.</w:t>
      </w:r>
    </w:p>
    <w:p w14:paraId="6D85DD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Рулежка самолета возможна при ветре до 8 м/сек. при незначительной волне.</w:t>
      </w:r>
    </w:p>
    <w:p w14:paraId="438BD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Эксплуатация и обслуживание самолета МУ-2 с мотором М-11 по сравнению с МУ-1 проще, легче и удобнее.</w:t>
      </w:r>
    </w:p>
    <w:p w14:paraId="665E0D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Вполне удовлетворяет условиям школьной работы (3007).</w:t>
      </w:r>
    </w:p>
    <w:p w14:paraId="413ED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C363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FD1983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6CA2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марта 1931 г. КБ з-да «Большевик», совместно с АНИИ и академией ВАММ, было предложено «спешно разработать и предъявить в срок не позднее 7 ноября 1931 г. проект </w:t>
      </w:r>
      <w:proofErr w:type="spellStart"/>
      <w:r w:rsidRPr="007122AB">
        <w:rPr>
          <w:rFonts w:ascii="Times New Roman" w:hAnsi="Times New Roman"/>
          <w:color w:val="000000" w:themeColor="text1"/>
          <w:sz w:val="16"/>
          <w:szCs w:val="16"/>
        </w:rPr>
        <w:t>арттанка</w:t>
      </w:r>
      <w:proofErr w:type="spellEnd"/>
      <w:r w:rsidRPr="007122AB">
        <w:rPr>
          <w:rFonts w:ascii="Times New Roman" w:hAnsi="Times New Roman"/>
          <w:color w:val="000000" w:themeColor="text1"/>
          <w:sz w:val="16"/>
          <w:szCs w:val="16"/>
        </w:rPr>
        <w:t xml:space="preserve"> сопровождения типа В-26 с вооружением из 76-мм пушки во вращающейся башне, или без таковой». Тогда же задача создания «</w:t>
      </w:r>
      <w:proofErr w:type="spellStart"/>
      <w:r w:rsidRPr="007122AB">
        <w:rPr>
          <w:rFonts w:ascii="Times New Roman" w:hAnsi="Times New Roman"/>
          <w:color w:val="000000" w:themeColor="text1"/>
          <w:sz w:val="16"/>
          <w:szCs w:val="16"/>
        </w:rPr>
        <w:t>арттанка</w:t>
      </w:r>
      <w:proofErr w:type="spellEnd"/>
      <w:r w:rsidRPr="007122AB">
        <w:rPr>
          <w:rFonts w:ascii="Times New Roman" w:hAnsi="Times New Roman"/>
          <w:color w:val="000000" w:themeColor="text1"/>
          <w:sz w:val="16"/>
          <w:szCs w:val="16"/>
        </w:rPr>
        <w:t xml:space="preserve"> сопровождения с вращающейся башней» была поставлена и танковому отделу ХПЗ, занимавшемуся освоением серийного производства танков БТ-2 (6469, 12).</w:t>
      </w:r>
    </w:p>
    <w:p w14:paraId="15783B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8EC876" w14:textId="77777777" w:rsidR="008C5B22" w:rsidRPr="007122AB" w:rsidRDefault="008C5B22"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 xml:space="preserve">19 марта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состоялись пробные стрельбы из </w:t>
      </w:r>
      <w:proofErr w:type="spellStart"/>
      <w:r w:rsidRPr="007122AB">
        <w:rPr>
          <w:rFonts w:ascii="Times New Roman" w:hAnsi="Times New Roman"/>
          <w:color w:val="000000" w:themeColor="text1"/>
          <w:sz w:val="16"/>
          <w:szCs w:val="16"/>
        </w:rPr>
        <w:t>газоминомета</w:t>
      </w:r>
      <w:proofErr w:type="spellEnd"/>
      <w:r w:rsidRPr="007122AB">
        <w:rPr>
          <w:rFonts w:ascii="Times New Roman" w:hAnsi="Times New Roman"/>
          <w:color w:val="000000" w:themeColor="text1"/>
          <w:sz w:val="16"/>
          <w:szCs w:val="16"/>
        </w:rPr>
        <w:t xml:space="preserve"> «В» с затвором и на станке, разработанном А. А. Соколовым (общий вес системы составил 245 кг), в ходе которых опорная плита получила повреждения, после чего испытания были прекращены. 12 апреля прошли испытания затвора и стреляющего приспособления, в ходе которых работа затвора была признана неудовлетворительной. Испытания по данной тематике продолжались в течение всего месяца.366(20074).</w:t>
      </w:r>
    </w:p>
    <w:p w14:paraId="30AD5AAB" w14:textId="77777777" w:rsidR="008C5B22" w:rsidRPr="007122AB" w:rsidRDefault="008C5B22" w:rsidP="007122AB">
      <w:pPr>
        <w:spacing w:after="0" w:line="240" w:lineRule="auto"/>
        <w:jc w:val="both"/>
        <w:rPr>
          <w:rFonts w:ascii="Times New Roman" w:eastAsia="TimesNewRomanPSMT" w:hAnsi="Times New Roman"/>
          <w:color w:val="000000" w:themeColor="text1"/>
          <w:sz w:val="16"/>
          <w:szCs w:val="16"/>
        </w:rPr>
      </w:pPr>
    </w:p>
    <w:p w14:paraId="722F6B5B" w14:textId="77777777" w:rsidR="008C5B22" w:rsidRPr="007122AB" w:rsidRDefault="008C5B2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0367A19" w14:textId="77777777" w:rsidR="008C5B22" w:rsidRPr="007122AB" w:rsidRDefault="008C5B2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F6C442" w14:textId="77777777" w:rsidR="008C5B22" w:rsidRPr="007122AB" w:rsidRDefault="008C5B2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19 марта 1931 г. великая депрессия: Австрия и Германия заключают таможенный союз, но суд Лиги Наций опротестовывает это решение (</w:t>
      </w:r>
      <w:r w:rsidRPr="007122AB">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69D3F423" w14:textId="77777777" w:rsidR="008C5B22" w:rsidRPr="007122AB" w:rsidRDefault="008C5B2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w:t>
      </w:r>
      <w:r w:rsidRPr="007122AB">
        <w:rPr>
          <w:rFonts w:ascii="Times New Roman" w:eastAsia="Times New Roman" w:hAnsi="Times New Roman"/>
          <w:color w:val="000000" w:themeColor="text1"/>
          <w:sz w:val="16"/>
          <w:szCs w:val="16"/>
          <w:lang w:eastAsia="ru-RU"/>
        </w:rPr>
        <w:t>19 марта 1931 г.</w:t>
      </w:r>
      <w:r w:rsidRPr="007122AB">
        <w:rPr>
          <w:rFonts w:ascii="Times New Roman" w:eastAsia="Times New Roman" w:hAnsi="Times New Roman"/>
          <w:bCs/>
          <w:color w:val="000000" w:themeColor="text1"/>
          <w:sz w:val="16"/>
          <w:szCs w:val="16"/>
          <w:lang w:eastAsia="ru-RU"/>
        </w:rPr>
        <w:t xml:space="preserve"> австрийский вице-канцлер </w:t>
      </w:r>
      <w:proofErr w:type="spellStart"/>
      <w:r w:rsidRPr="007122AB">
        <w:rPr>
          <w:rFonts w:ascii="Times New Roman" w:eastAsia="Times New Roman" w:hAnsi="Times New Roman"/>
          <w:bCs/>
          <w:color w:val="000000" w:themeColor="text1"/>
          <w:sz w:val="16"/>
          <w:szCs w:val="16"/>
          <w:lang w:eastAsia="ru-RU"/>
        </w:rPr>
        <w:t>Шобер</w:t>
      </w:r>
      <w:proofErr w:type="spellEnd"/>
      <w:r w:rsidRPr="007122AB">
        <w:rPr>
          <w:rFonts w:ascii="Times New Roman" w:eastAsia="Times New Roman" w:hAnsi="Times New Roman"/>
          <w:bCs/>
          <w:color w:val="000000" w:themeColor="text1"/>
          <w:sz w:val="16"/>
          <w:szCs w:val="16"/>
          <w:lang w:eastAsia="ru-RU"/>
        </w:rPr>
        <w:t xml:space="preserve"> и германский министр иностранных дел </w:t>
      </w:r>
      <w:proofErr w:type="spellStart"/>
      <w:r w:rsidRPr="007122AB">
        <w:rPr>
          <w:rFonts w:ascii="Times New Roman" w:eastAsia="Times New Roman" w:hAnsi="Times New Roman"/>
          <w:bCs/>
          <w:color w:val="000000" w:themeColor="text1"/>
          <w:sz w:val="16"/>
          <w:szCs w:val="16"/>
          <w:lang w:eastAsia="ru-RU"/>
        </w:rPr>
        <w:t>Курциус</w:t>
      </w:r>
      <w:proofErr w:type="spellEnd"/>
      <w:r w:rsidRPr="007122AB">
        <w:rPr>
          <w:rFonts w:ascii="Times New Roman" w:eastAsia="Times New Roman" w:hAnsi="Times New Roman"/>
          <w:bCs/>
          <w:color w:val="000000" w:themeColor="text1"/>
          <w:sz w:val="16"/>
          <w:szCs w:val="16"/>
          <w:lang w:eastAsia="ru-RU"/>
        </w:rPr>
        <w:t xml:space="preserve"> подписали соглашение о едином таможенном законе, о согласованных тарифах и об уничтожении таможенной границы между обоими государствами.» «5 сентября 1931 г. Постоянный международный трибунал вынес 8 голосами против 7 решение, что таможенный союз несовместим с договорными обязательствами Австрии. За два дня до решения суда, 3 сентября, </w:t>
      </w:r>
      <w:proofErr w:type="spellStart"/>
      <w:r w:rsidRPr="007122AB">
        <w:rPr>
          <w:rFonts w:ascii="Times New Roman" w:eastAsia="Times New Roman" w:hAnsi="Times New Roman"/>
          <w:bCs/>
          <w:color w:val="000000" w:themeColor="text1"/>
          <w:sz w:val="16"/>
          <w:szCs w:val="16"/>
          <w:lang w:eastAsia="ru-RU"/>
        </w:rPr>
        <w:t>Шобер</w:t>
      </w:r>
      <w:proofErr w:type="spellEnd"/>
      <w:r w:rsidRPr="007122AB">
        <w:rPr>
          <w:rFonts w:ascii="Times New Roman" w:eastAsia="Times New Roman" w:hAnsi="Times New Roman"/>
          <w:bCs/>
          <w:color w:val="000000" w:themeColor="text1"/>
          <w:sz w:val="16"/>
          <w:szCs w:val="16"/>
          <w:lang w:eastAsia="ru-RU"/>
        </w:rPr>
        <w:t xml:space="preserve"> и </w:t>
      </w:r>
      <w:proofErr w:type="spellStart"/>
      <w:r w:rsidRPr="007122AB">
        <w:rPr>
          <w:rFonts w:ascii="Times New Roman" w:eastAsia="Times New Roman" w:hAnsi="Times New Roman"/>
          <w:bCs/>
          <w:color w:val="000000" w:themeColor="text1"/>
          <w:sz w:val="16"/>
          <w:szCs w:val="16"/>
          <w:lang w:eastAsia="ru-RU"/>
        </w:rPr>
        <w:t>Курциус</w:t>
      </w:r>
      <w:proofErr w:type="spellEnd"/>
      <w:r w:rsidRPr="007122AB">
        <w:rPr>
          <w:rFonts w:ascii="Times New Roman" w:eastAsia="Times New Roman" w:hAnsi="Times New Roman"/>
          <w:bCs/>
          <w:color w:val="000000" w:themeColor="text1"/>
          <w:sz w:val="16"/>
          <w:szCs w:val="16"/>
          <w:lang w:eastAsia="ru-RU"/>
        </w:rPr>
        <w:t xml:space="preserve"> заявили об отказе их стран от таможенного союза. Эта капитуляция была ускорена решительным финансовым нажимом со стороны Франции, прекратившей свою помощь австрийским банкам. Провал замысла немецкой дипломатии озлобил германских реваншистов. Национал-социалисты развернули в стране самую бесшабашную националистическую демагогию.»</w:t>
      </w:r>
    </w:p>
    <w:p w14:paraId="0349CC98" w14:textId="77777777" w:rsidR="008C5B22" w:rsidRPr="007122AB" w:rsidRDefault="008C5B2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3A8995" w14:textId="77777777" w:rsidR="008C5B22" w:rsidRPr="007122AB" w:rsidRDefault="008C5B2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19 марта 1931 г. в штат Невада были легализованы азартные игры. Вскоре была выдана 1-я игровая лицензия, денежки потекли в казну, налоговые поступления повысились в 2 раза, экономика штата была спасена. Все понимали, что Невада качает деньги «темного» происхождения, но чиновники помнили фразу великого волнового героя римского императора </w:t>
      </w:r>
      <w:proofErr w:type="spellStart"/>
      <w:r w:rsidRPr="007122AB">
        <w:rPr>
          <w:rFonts w:ascii="Times New Roman" w:eastAsia="Times New Roman" w:hAnsi="Times New Roman"/>
          <w:color w:val="000000" w:themeColor="text1"/>
          <w:sz w:val="16"/>
          <w:szCs w:val="16"/>
          <w:lang w:eastAsia="ru-RU"/>
        </w:rPr>
        <w:t>Веспассиана</w:t>
      </w:r>
      <w:proofErr w:type="spellEnd"/>
      <w:r w:rsidRPr="007122AB">
        <w:rPr>
          <w:rFonts w:ascii="Times New Roman" w:eastAsia="Times New Roman" w:hAnsi="Times New Roman"/>
          <w:color w:val="000000" w:themeColor="text1"/>
          <w:sz w:val="16"/>
          <w:szCs w:val="16"/>
          <w:lang w:eastAsia="ru-RU"/>
        </w:rPr>
        <w:t xml:space="preserve"> (см. 17 ноября 9 г.) -«деньги не пахнут!» (17325).</w:t>
      </w:r>
    </w:p>
    <w:p w14:paraId="7DBCF2F8" w14:textId="77777777" w:rsidR="008C5B22" w:rsidRPr="007122AB" w:rsidRDefault="008C5B2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C1FCC5" w14:textId="77777777" w:rsidR="008C5B22" w:rsidRPr="007122AB" w:rsidRDefault="008C5B22"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марта 1931 в штате Невада были легализованы азартные игры и потом появился Лас Вегас (2100).</w:t>
      </w:r>
    </w:p>
    <w:p w14:paraId="310AE1F7" w14:textId="77777777" w:rsidR="008C5B22" w:rsidRPr="007122AB" w:rsidRDefault="008C5B22" w:rsidP="007122AB">
      <w:pPr>
        <w:autoSpaceDE w:val="0"/>
        <w:autoSpaceDN w:val="0"/>
        <w:adjustRightInd w:val="0"/>
        <w:spacing w:after="0" w:line="240" w:lineRule="auto"/>
        <w:jc w:val="both"/>
        <w:rPr>
          <w:rFonts w:ascii="Times New Roman" w:hAnsi="Times New Roman"/>
          <w:color w:val="000000" w:themeColor="text1"/>
          <w:sz w:val="16"/>
          <w:szCs w:val="16"/>
        </w:rPr>
      </w:pPr>
    </w:p>
    <w:p w14:paraId="409C112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E4AD68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1550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марта 1931 закончились испытания самолета МДР-2 БМВ-VI, которые проходили с 15 февраля 1931.</w:t>
      </w:r>
    </w:p>
    <w:p w14:paraId="44AB61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МДР-2 БМВ-VI специальной комиссией назначенной начальником ВВС</w:t>
      </w:r>
    </w:p>
    <w:p w14:paraId="7DD3BF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 дальний разведчик –2 с двумя моторами БМВ-VIZ Е=6</w:t>
      </w:r>
    </w:p>
    <w:p w14:paraId="3F6F1C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 произвести типовые испытания самолета с нагрузками 2105 кг и 2360 кг</w:t>
      </w:r>
    </w:p>
    <w:p w14:paraId="24AA59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Начало испытаний 15 февраля 1931 года</w:t>
      </w:r>
    </w:p>
    <w:p w14:paraId="363B5D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Окончание испытаний – 20 марта 1931 года</w:t>
      </w:r>
    </w:p>
    <w:p w14:paraId="1E87960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испытаний – 34 дня, из них летных дней – 11, общий налет – 18 часов 22 минуты</w:t>
      </w:r>
    </w:p>
    <w:p w14:paraId="5293E5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25 (6956).</w:t>
      </w:r>
    </w:p>
    <w:p w14:paraId="0EE8D5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59E4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20 (17 - 1017,212) марта 1931 закончился первый этап гос. испытания МДР-2 АНТ-8, которые велись с 25 февраля 1931 (1017,212)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122AB" w:rsidRPr="007122AB" w14:paraId="24CDBCF8" w14:textId="77777777">
        <w:tc>
          <w:tcPr>
            <w:tcW w:w="5636" w:type="dxa"/>
          </w:tcPr>
          <w:p w14:paraId="34AA70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испытаний</w:t>
            </w:r>
          </w:p>
        </w:tc>
        <w:tc>
          <w:tcPr>
            <w:tcW w:w="5636" w:type="dxa"/>
          </w:tcPr>
          <w:p w14:paraId="099B4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дня</w:t>
            </w:r>
          </w:p>
        </w:tc>
      </w:tr>
      <w:tr w:rsidR="007122AB" w:rsidRPr="007122AB" w14:paraId="08ED9E82" w14:textId="77777777">
        <w:tc>
          <w:tcPr>
            <w:tcW w:w="5636" w:type="dxa"/>
          </w:tcPr>
          <w:p w14:paraId="03D740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w:t>
            </w:r>
          </w:p>
        </w:tc>
        <w:tc>
          <w:tcPr>
            <w:tcW w:w="5636" w:type="dxa"/>
          </w:tcPr>
          <w:p w14:paraId="73E08F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58BF113" w14:textId="77777777">
        <w:tc>
          <w:tcPr>
            <w:tcW w:w="5636" w:type="dxa"/>
          </w:tcPr>
          <w:p w14:paraId="1EE68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w:t>
            </w:r>
          </w:p>
        </w:tc>
        <w:tc>
          <w:tcPr>
            <w:tcW w:w="5636" w:type="dxa"/>
          </w:tcPr>
          <w:p w14:paraId="0D5CA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r>
      <w:tr w:rsidR="007122AB" w:rsidRPr="007122AB" w14:paraId="1E0C445F" w14:textId="77777777">
        <w:tc>
          <w:tcPr>
            <w:tcW w:w="5636" w:type="dxa"/>
          </w:tcPr>
          <w:p w14:paraId="54AC2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нелетных дней</w:t>
            </w:r>
          </w:p>
        </w:tc>
        <w:tc>
          <w:tcPr>
            <w:tcW w:w="5636" w:type="dxa"/>
          </w:tcPr>
          <w:p w14:paraId="6B75B7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r>
      <w:tr w:rsidR="007122AB" w:rsidRPr="007122AB" w14:paraId="544CE8E7" w14:textId="77777777">
        <w:tc>
          <w:tcPr>
            <w:tcW w:w="5636" w:type="dxa"/>
          </w:tcPr>
          <w:p w14:paraId="57A7B8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Общий налет</w:t>
            </w:r>
          </w:p>
        </w:tc>
        <w:tc>
          <w:tcPr>
            <w:tcW w:w="5636" w:type="dxa"/>
          </w:tcPr>
          <w:p w14:paraId="586FC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час. 32 мин.</w:t>
            </w:r>
          </w:p>
        </w:tc>
      </w:tr>
      <w:tr w:rsidR="007122AB" w:rsidRPr="007122AB" w14:paraId="02CBC009" w14:textId="77777777">
        <w:tc>
          <w:tcPr>
            <w:tcW w:w="5636" w:type="dxa"/>
          </w:tcPr>
          <w:p w14:paraId="258FD0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w:t>
            </w:r>
          </w:p>
        </w:tc>
        <w:tc>
          <w:tcPr>
            <w:tcW w:w="5636" w:type="dxa"/>
          </w:tcPr>
          <w:p w14:paraId="19378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(3043)</w:t>
            </w:r>
          </w:p>
        </w:tc>
      </w:tr>
    </w:tbl>
    <w:p w14:paraId="5D92C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Летал л НИИ ВВС </w:t>
      </w:r>
      <w:proofErr w:type="spellStart"/>
      <w:r w:rsidRPr="007122AB">
        <w:rPr>
          <w:rFonts w:ascii="Times New Roman" w:hAnsi="Times New Roman"/>
          <w:color w:val="000000" w:themeColor="text1"/>
          <w:sz w:val="16"/>
          <w:szCs w:val="16"/>
        </w:rPr>
        <w:t>С.Т.Рыбальчук</w:t>
      </w:r>
      <w:proofErr w:type="spellEnd"/>
      <w:r w:rsidRPr="007122AB">
        <w:rPr>
          <w:rFonts w:ascii="Times New Roman" w:hAnsi="Times New Roman"/>
          <w:color w:val="000000" w:themeColor="text1"/>
          <w:sz w:val="16"/>
          <w:szCs w:val="16"/>
        </w:rPr>
        <w:t>. В воздух поднимались и пилоты строевых частей, в т.ч. Нач. ВВС ЧМФ Лавров. Отметили простоту управления, лучшую, чем у Дорнье Валь, но на воде машина была вертлява и не слушалась руля при рулежке. На одном моторе - циркулировала и не допускала руления. “Огневая защита лучше, чем на с Дорнье Валь”, а “управление самолетом и вооружением просто и для рядового л быстро усвояемо”. Допускалась взлет и посадка при высоте волны 0.1 м. Полностью провести гос. испытания не смогли из-за недостаточного водоизмещения боковых поплавков. Однако представили для принятия на вооружение:</w:t>
      </w:r>
    </w:p>
    <w:p w14:paraId="62F0D6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проведенной части гос. испытаний самолета обнаружен ряд дефектов, главнейшим из которых является отсутствие видимости (обзора назад) со стороны носовой части из-за толстого и высоко расположенного крыла, что ухудшает тактические свойства самолета (вождение в строю, защиту от противника, визуальную связь между лицами экипажа. Недостаточны площадь РП и поперечная остойчивость. Последнее потребовало увеличения водоизмещения боковых поплавков. Перекрытие над кабиной пилотов затрудняет обзор.” (4269,18).</w:t>
      </w:r>
    </w:p>
    <w:p w14:paraId="4C66C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полетов выполнил </w:t>
      </w:r>
      <w:proofErr w:type="spellStart"/>
      <w:r w:rsidRPr="007122AB">
        <w:rPr>
          <w:rFonts w:ascii="Times New Roman" w:hAnsi="Times New Roman"/>
          <w:color w:val="000000" w:themeColor="text1"/>
          <w:sz w:val="16"/>
          <w:szCs w:val="16"/>
        </w:rPr>
        <w:t>С.Т.рыбальчук</w:t>
      </w:r>
      <w:proofErr w:type="spellEnd"/>
      <w:r w:rsidRPr="007122AB">
        <w:rPr>
          <w:rFonts w:ascii="Times New Roman" w:hAnsi="Times New Roman"/>
          <w:color w:val="000000" w:themeColor="text1"/>
          <w:sz w:val="16"/>
          <w:szCs w:val="16"/>
        </w:rPr>
        <w:t xml:space="preserve">, но летали и строевые л, в т.ч. Гач. ВВС ЧМ </w:t>
      </w:r>
      <w:proofErr w:type="spellStart"/>
      <w:r w:rsidRPr="007122AB">
        <w:rPr>
          <w:rFonts w:ascii="Times New Roman" w:hAnsi="Times New Roman"/>
          <w:color w:val="000000" w:themeColor="text1"/>
          <w:sz w:val="16"/>
          <w:szCs w:val="16"/>
        </w:rPr>
        <w:t>В.К.Лавров</w:t>
      </w:r>
      <w:proofErr w:type="spellEnd"/>
      <w:r w:rsidRPr="007122AB">
        <w:rPr>
          <w:rFonts w:ascii="Times New Roman" w:hAnsi="Times New Roman"/>
          <w:color w:val="000000" w:themeColor="text1"/>
          <w:sz w:val="16"/>
          <w:szCs w:val="16"/>
        </w:rPr>
        <w:t xml:space="preserve"> (7610, 33).</w:t>
      </w:r>
    </w:p>
    <w:p w14:paraId="1ED0B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Алкснис нанес на отчете резолюцию: “Решение вопроса о введении на вооружение отложить до окончания испытаний и проверки технических изменений, </w:t>
      </w:r>
      <w:proofErr w:type="spellStart"/>
      <w:r w:rsidRPr="007122AB">
        <w:rPr>
          <w:rFonts w:ascii="Times New Roman" w:hAnsi="Times New Roman"/>
          <w:color w:val="000000" w:themeColor="text1"/>
          <w:sz w:val="16"/>
          <w:szCs w:val="16"/>
        </w:rPr>
        <w:t>ло</w:t>
      </w:r>
      <w:proofErr w:type="spellEnd"/>
      <w:r w:rsidRPr="007122AB">
        <w:rPr>
          <w:rFonts w:ascii="Times New Roman" w:hAnsi="Times New Roman"/>
          <w:color w:val="000000" w:themeColor="text1"/>
          <w:sz w:val="16"/>
          <w:szCs w:val="16"/>
        </w:rPr>
        <w:t xml:space="preserve"> получения результатов испытаний МДР-3...” (7610, 34).</w:t>
      </w:r>
    </w:p>
    <w:p w14:paraId="48E10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669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марта 1931 года Пом. начальника НИИ </w:t>
      </w:r>
      <w:proofErr w:type="spellStart"/>
      <w:r w:rsidRPr="007122AB">
        <w:rPr>
          <w:rFonts w:ascii="Times New Roman" w:hAnsi="Times New Roman"/>
          <w:color w:val="000000" w:themeColor="text1"/>
          <w:sz w:val="16"/>
          <w:szCs w:val="16"/>
        </w:rPr>
        <w:t>Коннэрт</w:t>
      </w:r>
      <w:proofErr w:type="spellEnd"/>
      <w:r w:rsidRPr="007122AB">
        <w:rPr>
          <w:rFonts w:ascii="Times New Roman" w:hAnsi="Times New Roman"/>
          <w:color w:val="000000" w:themeColor="text1"/>
          <w:sz w:val="16"/>
          <w:szCs w:val="16"/>
        </w:rPr>
        <w:t xml:space="preserve"> утвердил Отчет по испытанию стрелкового вооружения (пул. 9 бис с ПВ1) на самолетах И-4 Ю-6.</w:t>
      </w:r>
    </w:p>
    <w:p w14:paraId="07A1F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стрелкового вооружения производились в НИИ на 2-х самолетах И-4 Ю-6 N 1568 и N 1620.</w:t>
      </w:r>
    </w:p>
    <w:p w14:paraId="6AC42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2937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И-4 с ПВ1 после устранения дефектов и внесения переделок может быть допущено для эксплуатации в частях ВВС (3196,32-49).</w:t>
      </w:r>
    </w:p>
    <w:p w14:paraId="6DA2C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C30C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марта 1931 года </w:t>
      </w:r>
      <w:proofErr w:type="spellStart"/>
      <w:r w:rsidRPr="007122AB">
        <w:rPr>
          <w:rFonts w:ascii="Times New Roman" w:hAnsi="Times New Roman"/>
          <w:color w:val="000000" w:themeColor="text1"/>
          <w:sz w:val="16"/>
          <w:szCs w:val="16"/>
        </w:rPr>
        <w:t>Крейдлин</w:t>
      </w:r>
      <w:proofErr w:type="spellEnd"/>
      <w:r w:rsidRPr="007122AB">
        <w:rPr>
          <w:rFonts w:ascii="Times New Roman" w:hAnsi="Times New Roman"/>
          <w:color w:val="000000" w:themeColor="text1"/>
          <w:sz w:val="16"/>
          <w:szCs w:val="16"/>
        </w:rPr>
        <w:t xml:space="preserve"> пишет Камову: «Здравствуйте, уважаемый Николай Ильич...</w:t>
      </w:r>
    </w:p>
    <w:p w14:paraId="6AB2A2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Завтра мы опять испытываем. С завода № 1 нас выставили, машина стоит на улице. Приходится так работать... Вы гарантировали Баранову 500 метров, а этого пока еще нет. Я с Николаем Кирилловичем добива</w:t>
      </w:r>
      <w:r w:rsidRPr="007122AB">
        <w:rPr>
          <w:rFonts w:ascii="Times New Roman" w:hAnsi="Times New Roman"/>
          <w:color w:val="000000" w:themeColor="text1"/>
          <w:sz w:val="16"/>
          <w:szCs w:val="16"/>
        </w:rPr>
        <w:softHyphen/>
        <w:t>юсь изо всех сил, чтобы оправдать Вашу гарантию перед Барановым. Я считаю это самое важное. Сейчас мне приходится работать очень много. Приходится переставлять на +Г лопасти для наилучшей подъемной си</w:t>
      </w:r>
      <w:r w:rsidRPr="007122AB">
        <w:rPr>
          <w:rFonts w:ascii="Times New Roman" w:hAnsi="Times New Roman"/>
          <w:color w:val="000000" w:themeColor="text1"/>
          <w:sz w:val="16"/>
          <w:szCs w:val="16"/>
        </w:rPr>
        <w:softHyphen/>
        <w:t>лы. Если мы сохраним Ваш авторитет, то тогда я сохраню свой. О даль</w:t>
      </w:r>
      <w:r w:rsidRPr="007122AB">
        <w:rPr>
          <w:rFonts w:ascii="Times New Roman" w:hAnsi="Times New Roman"/>
          <w:color w:val="000000" w:themeColor="text1"/>
          <w:sz w:val="16"/>
          <w:szCs w:val="16"/>
        </w:rPr>
        <w:softHyphen/>
        <w:t>нейших испытаниях я Вам сообщу более подробно. Сейчас я очень ус</w:t>
      </w:r>
      <w:r w:rsidRPr="007122AB">
        <w:rPr>
          <w:rFonts w:ascii="Times New Roman" w:hAnsi="Times New Roman"/>
          <w:color w:val="000000" w:themeColor="text1"/>
          <w:sz w:val="16"/>
          <w:szCs w:val="16"/>
        </w:rPr>
        <w:softHyphen/>
        <w:t>тал. 12 часов ночи, недавно пришел. Николай Ильич, Вы меня прости</w:t>
      </w:r>
      <w:r w:rsidRPr="007122AB">
        <w:rPr>
          <w:rFonts w:ascii="Times New Roman" w:hAnsi="Times New Roman"/>
          <w:color w:val="000000" w:themeColor="text1"/>
          <w:sz w:val="16"/>
          <w:szCs w:val="16"/>
        </w:rPr>
        <w:softHyphen/>
        <w:t>те, очень хочу спать...» (10224,33).</w:t>
      </w:r>
    </w:p>
    <w:p w14:paraId="62071B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AD3E3" w14:textId="3FDEBE8A" w:rsidR="001422F1" w:rsidRPr="009F5089" w:rsidRDefault="001422F1" w:rsidP="001422F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20 марта</w:t>
      </w:r>
      <w:r>
        <w:rPr>
          <w:rFonts w:ascii="Times New Roman" w:hAnsi="Times New Roman"/>
          <w:color w:val="0070C0"/>
          <w:sz w:val="16"/>
          <w:szCs w:val="16"/>
        </w:rPr>
        <w:t xml:space="preserve"> 193</w:t>
      </w:r>
      <w:r w:rsidR="0093631F">
        <w:rPr>
          <w:rFonts w:ascii="Times New Roman" w:hAnsi="Times New Roman"/>
          <w:color w:val="0070C0"/>
          <w:sz w:val="16"/>
          <w:szCs w:val="16"/>
        </w:rPr>
        <w:t>1</w:t>
      </w:r>
      <w:r>
        <w:rPr>
          <w:rFonts w:ascii="Times New Roman" w:hAnsi="Times New Roman"/>
          <w:color w:val="0070C0"/>
          <w:sz w:val="16"/>
          <w:szCs w:val="16"/>
        </w:rPr>
        <w:t xml:space="preserve"> 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Ленинграде умер один из пионеров авиации профессор </w:t>
      </w:r>
      <w:r>
        <w:rPr>
          <w:rFonts w:ascii="Times New Roman" w:hAnsi="Times New Roman"/>
          <w:color w:val="0070C0"/>
          <w:sz w:val="16"/>
          <w:szCs w:val="16"/>
        </w:rPr>
        <w:t>ме</w:t>
      </w:r>
      <w:r w:rsidRPr="009F5089">
        <w:rPr>
          <w:rFonts w:ascii="Times New Roman" w:hAnsi="Times New Roman"/>
          <w:color w:val="0070C0"/>
          <w:sz w:val="16"/>
          <w:szCs w:val="16"/>
        </w:rPr>
        <w:t>ханики Николай Борисович Делоне /род. 185б/.</w:t>
      </w:r>
      <w:r>
        <w:rPr>
          <w:rFonts w:ascii="Times New Roman" w:hAnsi="Times New Roman"/>
          <w:color w:val="0070C0"/>
          <w:sz w:val="16"/>
          <w:szCs w:val="16"/>
        </w:rPr>
        <w:t xml:space="preserve"> </w:t>
      </w:r>
      <w:r w:rsidRPr="009F5089">
        <w:rPr>
          <w:rFonts w:ascii="Times New Roman" w:hAnsi="Times New Roman"/>
          <w:color w:val="0070C0"/>
          <w:sz w:val="16"/>
          <w:szCs w:val="16"/>
        </w:rPr>
        <w:t>Делоне начал рабо</w:t>
      </w:r>
      <w:r>
        <w:rPr>
          <w:rFonts w:ascii="Times New Roman" w:hAnsi="Times New Roman"/>
          <w:color w:val="0070C0"/>
          <w:sz w:val="16"/>
          <w:szCs w:val="16"/>
        </w:rPr>
        <w:t>та</w:t>
      </w:r>
      <w:r w:rsidRPr="009F5089">
        <w:rPr>
          <w:rFonts w:ascii="Times New Roman" w:hAnsi="Times New Roman"/>
          <w:color w:val="0070C0"/>
          <w:sz w:val="16"/>
          <w:szCs w:val="16"/>
        </w:rPr>
        <w:t>ть в авиации в первые годы ее заро</w:t>
      </w:r>
      <w:r>
        <w:rPr>
          <w:rFonts w:ascii="Times New Roman" w:hAnsi="Times New Roman"/>
          <w:color w:val="0070C0"/>
          <w:sz w:val="16"/>
          <w:szCs w:val="16"/>
        </w:rPr>
        <w:t>жд</w:t>
      </w:r>
      <w:r w:rsidRPr="009F5089">
        <w:rPr>
          <w:rFonts w:ascii="Times New Roman" w:hAnsi="Times New Roman"/>
          <w:color w:val="0070C0"/>
          <w:sz w:val="16"/>
          <w:szCs w:val="16"/>
        </w:rPr>
        <w:t>ения, будучи профессором Ки</w:t>
      </w:r>
      <w:r>
        <w:rPr>
          <w:rFonts w:ascii="Times New Roman" w:hAnsi="Times New Roman"/>
          <w:color w:val="0070C0"/>
          <w:sz w:val="16"/>
          <w:szCs w:val="16"/>
        </w:rPr>
        <w:t>евского</w:t>
      </w:r>
      <w:r w:rsidRPr="009F5089">
        <w:rPr>
          <w:rFonts w:ascii="Times New Roman" w:hAnsi="Times New Roman"/>
          <w:color w:val="0070C0"/>
          <w:sz w:val="16"/>
          <w:szCs w:val="16"/>
        </w:rPr>
        <w:t xml:space="preserve"> Политехнического института.</w:t>
      </w:r>
      <w:r>
        <w:rPr>
          <w:rFonts w:ascii="Times New Roman" w:hAnsi="Times New Roman"/>
          <w:color w:val="0070C0"/>
          <w:sz w:val="16"/>
          <w:szCs w:val="16"/>
        </w:rPr>
        <w:t xml:space="preserve"> </w:t>
      </w:r>
      <w:r w:rsidRPr="009F5089">
        <w:rPr>
          <w:rFonts w:ascii="Times New Roman" w:hAnsi="Times New Roman"/>
          <w:color w:val="0070C0"/>
          <w:sz w:val="16"/>
          <w:szCs w:val="16"/>
        </w:rPr>
        <w:t>В 190</w:t>
      </w:r>
      <w:r>
        <w:rPr>
          <w:rFonts w:ascii="Times New Roman" w:hAnsi="Times New Roman"/>
          <w:color w:val="0070C0"/>
          <w:sz w:val="16"/>
          <w:szCs w:val="16"/>
        </w:rPr>
        <w:t>9</w:t>
      </w:r>
      <w:r w:rsidRPr="009F5089">
        <w:rPr>
          <w:rFonts w:ascii="Times New Roman" w:hAnsi="Times New Roman"/>
          <w:color w:val="0070C0"/>
          <w:sz w:val="16"/>
          <w:szCs w:val="16"/>
        </w:rPr>
        <w:t>-0</w:t>
      </w:r>
      <w:r>
        <w:rPr>
          <w:rFonts w:ascii="Times New Roman" w:hAnsi="Times New Roman"/>
          <w:color w:val="0070C0"/>
          <w:sz w:val="16"/>
          <w:szCs w:val="16"/>
        </w:rPr>
        <w:t>8</w:t>
      </w:r>
      <w:r w:rsidRPr="009F5089">
        <w:rPr>
          <w:rFonts w:ascii="Times New Roman" w:hAnsi="Times New Roman"/>
          <w:color w:val="0070C0"/>
          <w:sz w:val="16"/>
          <w:szCs w:val="16"/>
        </w:rPr>
        <w:t xml:space="preserve"> годах </w:t>
      </w:r>
      <w:r w:rsidR="00B94527">
        <w:rPr>
          <w:rFonts w:ascii="Times New Roman" w:hAnsi="Times New Roman"/>
          <w:color w:val="0070C0"/>
          <w:sz w:val="16"/>
          <w:szCs w:val="16"/>
        </w:rPr>
        <w:t>он</w:t>
      </w:r>
      <w:r w:rsidRPr="009F5089">
        <w:rPr>
          <w:rFonts w:ascii="Times New Roman" w:hAnsi="Times New Roman"/>
          <w:color w:val="0070C0"/>
          <w:sz w:val="16"/>
          <w:szCs w:val="16"/>
        </w:rPr>
        <w:t xml:space="preserve"> построил л</w:t>
      </w:r>
      <w:r>
        <w:rPr>
          <w:rFonts w:ascii="Times New Roman" w:hAnsi="Times New Roman"/>
          <w:color w:val="0070C0"/>
          <w:sz w:val="16"/>
          <w:szCs w:val="16"/>
        </w:rPr>
        <w:t>е</w:t>
      </w:r>
      <w:r w:rsidRPr="009F5089">
        <w:rPr>
          <w:rFonts w:ascii="Times New Roman" w:hAnsi="Times New Roman"/>
          <w:color w:val="0070C0"/>
          <w:sz w:val="16"/>
          <w:szCs w:val="16"/>
        </w:rPr>
        <w:t>г</w:t>
      </w:r>
      <w:r>
        <w:rPr>
          <w:rFonts w:ascii="Times New Roman" w:hAnsi="Times New Roman"/>
          <w:color w:val="0070C0"/>
          <w:sz w:val="16"/>
          <w:szCs w:val="16"/>
        </w:rPr>
        <w:t>кий</w:t>
      </w:r>
      <w:r w:rsidRPr="009F5089">
        <w:rPr>
          <w:rFonts w:ascii="Times New Roman" w:hAnsi="Times New Roman"/>
          <w:color w:val="0070C0"/>
          <w:sz w:val="16"/>
          <w:szCs w:val="16"/>
        </w:rPr>
        <w:t xml:space="preserve"> коробчатый планер </w:t>
      </w:r>
      <w:r>
        <w:rPr>
          <w:rFonts w:ascii="Times New Roman" w:hAnsi="Times New Roman"/>
          <w:color w:val="0070C0"/>
          <w:sz w:val="16"/>
          <w:szCs w:val="16"/>
        </w:rPr>
        <w:t>п</w:t>
      </w:r>
      <w:r w:rsidRPr="009F5089">
        <w:rPr>
          <w:rFonts w:ascii="Times New Roman" w:hAnsi="Times New Roman"/>
          <w:color w:val="0070C0"/>
          <w:sz w:val="16"/>
          <w:szCs w:val="16"/>
        </w:rPr>
        <w:t xml:space="preserve">о типу планера </w:t>
      </w:r>
      <w:proofErr w:type="spellStart"/>
      <w:r>
        <w:rPr>
          <w:rFonts w:ascii="Times New Roman" w:hAnsi="Times New Roman"/>
          <w:color w:val="0070C0"/>
          <w:sz w:val="16"/>
          <w:szCs w:val="16"/>
        </w:rPr>
        <w:t>Шанюта</w:t>
      </w:r>
      <w:proofErr w:type="spellEnd"/>
      <w:r w:rsidRPr="009F5089">
        <w:rPr>
          <w:rFonts w:ascii="Times New Roman" w:hAnsi="Times New Roman"/>
          <w:color w:val="0070C0"/>
          <w:sz w:val="16"/>
          <w:szCs w:val="16"/>
        </w:rPr>
        <w:t xml:space="preserve"> </w:t>
      </w:r>
      <w:r>
        <w:rPr>
          <w:rFonts w:ascii="Times New Roman" w:hAnsi="Times New Roman"/>
          <w:color w:val="0070C0"/>
          <w:sz w:val="16"/>
          <w:szCs w:val="16"/>
        </w:rPr>
        <w:t>и</w:t>
      </w:r>
      <w:r w:rsidRPr="009F5089">
        <w:rPr>
          <w:rFonts w:ascii="Times New Roman" w:hAnsi="Times New Roman"/>
          <w:color w:val="0070C0"/>
          <w:sz w:val="16"/>
          <w:szCs w:val="16"/>
        </w:rPr>
        <w:t xml:space="preserve"> </w:t>
      </w:r>
      <w:r>
        <w:rPr>
          <w:rFonts w:ascii="Times New Roman" w:hAnsi="Times New Roman"/>
          <w:color w:val="0070C0"/>
          <w:sz w:val="16"/>
          <w:szCs w:val="16"/>
        </w:rPr>
        <w:t>э</w:t>
      </w:r>
      <w:r w:rsidRPr="009F5089">
        <w:rPr>
          <w:rFonts w:ascii="Times New Roman" w:hAnsi="Times New Roman"/>
          <w:color w:val="0070C0"/>
          <w:sz w:val="16"/>
          <w:szCs w:val="16"/>
        </w:rPr>
        <w:t>ти</w:t>
      </w:r>
      <w:r>
        <w:rPr>
          <w:rFonts w:ascii="Times New Roman" w:hAnsi="Times New Roman"/>
          <w:color w:val="0070C0"/>
          <w:sz w:val="16"/>
          <w:szCs w:val="16"/>
        </w:rPr>
        <w:t>м</w:t>
      </w:r>
      <w:r w:rsidRPr="009F5089">
        <w:rPr>
          <w:rFonts w:ascii="Times New Roman" w:hAnsi="Times New Roman"/>
          <w:color w:val="0070C0"/>
          <w:sz w:val="16"/>
          <w:szCs w:val="16"/>
        </w:rPr>
        <w:t xml:space="preserve"> положил </w:t>
      </w:r>
      <w:proofErr w:type="spellStart"/>
      <w:r w:rsidRPr="009F5089">
        <w:rPr>
          <w:rFonts w:ascii="Times New Roman" w:hAnsi="Times New Roman"/>
          <w:color w:val="0070C0"/>
          <w:sz w:val="16"/>
          <w:szCs w:val="16"/>
        </w:rPr>
        <w:t>иача</w:t>
      </w:r>
      <w:r>
        <w:rPr>
          <w:rFonts w:ascii="Times New Roman" w:hAnsi="Times New Roman"/>
          <w:color w:val="0070C0"/>
          <w:sz w:val="16"/>
          <w:szCs w:val="16"/>
        </w:rPr>
        <w:t>ло</w:t>
      </w:r>
      <w:proofErr w:type="spellEnd"/>
      <w:r w:rsidRPr="009F5089">
        <w:rPr>
          <w:rFonts w:ascii="Times New Roman" w:hAnsi="Times New Roman"/>
          <w:color w:val="0070C0"/>
          <w:sz w:val="16"/>
          <w:szCs w:val="16"/>
        </w:rPr>
        <w:t xml:space="preserve"> планеризма на </w:t>
      </w:r>
      <w:r>
        <w:rPr>
          <w:rFonts w:ascii="Times New Roman" w:hAnsi="Times New Roman"/>
          <w:color w:val="0070C0"/>
          <w:sz w:val="16"/>
          <w:szCs w:val="16"/>
        </w:rPr>
        <w:t>У</w:t>
      </w:r>
      <w:r w:rsidRPr="009F5089">
        <w:rPr>
          <w:rFonts w:ascii="Times New Roman" w:hAnsi="Times New Roman"/>
          <w:color w:val="0070C0"/>
          <w:sz w:val="16"/>
          <w:szCs w:val="16"/>
        </w:rPr>
        <w:t xml:space="preserve">краине, а в 1910 г. издал первое в </w:t>
      </w:r>
      <w:r>
        <w:rPr>
          <w:rFonts w:ascii="Times New Roman" w:hAnsi="Times New Roman"/>
          <w:color w:val="0070C0"/>
          <w:sz w:val="16"/>
          <w:szCs w:val="16"/>
        </w:rPr>
        <w:t>Р</w:t>
      </w:r>
      <w:r w:rsidRPr="009F5089">
        <w:rPr>
          <w:rFonts w:ascii="Times New Roman" w:hAnsi="Times New Roman"/>
          <w:color w:val="0070C0"/>
          <w:sz w:val="16"/>
          <w:szCs w:val="16"/>
        </w:rPr>
        <w:t>о</w:t>
      </w:r>
      <w:r w:rsidR="00B94527">
        <w:rPr>
          <w:rFonts w:ascii="Times New Roman" w:hAnsi="Times New Roman"/>
          <w:color w:val="0070C0"/>
          <w:sz w:val="16"/>
          <w:szCs w:val="16"/>
        </w:rPr>
        <w:t>с</w:t>
      </w:r>
      <w:r w:rsidRPr="009F5089">
        <w:rPr>
          <w:rFonts w:ascii="Times New Roman" w:hAnsi="Times New Roman"/>
          <w:color w:val="0070C0"/>
          <w:sz w:val="16"/>
          <w:szCs w:val="16"/>
        </w:rPr>
        <w:t xml:space="preserve">сии пособие </w:t>
      </w:r>
      <w:r>
        <w:rPr>
          <w:rFonts w:ascii="Times New Roman" w:hAnsi="Times New Roman"/>
          <w:color w:val="0070C0"/>
          <w:sz w:val="16"/>
          <w:szCs w:val="16"/>
        </w:rPr>
        <w:t>«</w:t>
      </w:r>
      <w:r w:rsidRPr="009F5089">
        <w:rPr>
          <w:rFonts w:ascii="Times New Roman" w:hAnsi="Times New Roman"/>
          <w:color w:val="0070C0"/>
          <w:sz w:val="16"/>
          <w:szCs w:val="16"/>
        </w:rPr>
        <w:t xml:space="preserve">Устройство дешевого и легкого планера </w:t>
      </w:r>
      <w:r>
        <w:rPr>
          <w:rFonts w:ascii="Times New Roman" w:hAnsi="Times New Roman"/>
          <w:color w:val="0070C0"/>
          <w:sz w:val="16"/>
          <w:szCs w:val="16"/>
        </w:rPr>
        <w:t>и</w:t>
      </w:r>
      <w:r w:rsidRPr="009F5089">
        <w:rPr>
          <w:rFonts w:ascii="Times New Roman" w:hAnsi="Times New Roman"/>
          <w:color w:val="0070C0"/>
          <w:sz w:val="16"/>
          <w:szCs w:val="16"/>
        </w:rPr>
        <w:t xml:space="preserve"> способы летания на н</w:t>
      </w:r>
      <w:r>
        <w:rPr>
          <w:rFonts w:ascii="Times New Roman" w:hAnsi="Times New Roman"/>
          <w:color w:val="0070C0"/>
          <w:sz w:val="16"/>
          <w:szCs w:val="16"/>
        </w:rPr>
        <w:t>е</w:t>
      </w:r>
      <w:r w:rsidRPr="009F5089">
        <w:rPr>
          <w:rFonts w:ascii="Times New Roman" w:hAnsi="Times New Roman"/>
          <w:color w:val="0070C0"/>
          <w:sz w:val="16"/>
          <w:szCs w:val="16"/>
        </w:rPr>
        <w:t>м</w:t>
      </w:r>
      <w:r>
        <w:rPr>
          <w:rFonts w:ascii="Times New Roman" w:hAnsi="Times New Roman"/>
          <w:color w:val="0070C0"/>
          <w:sz w:val="16"/>
          <w:szCs w:val="16"/>
        </w:rPr>
        <w:t>»</w:t>
      </w:r>
      <w:r w:rsidRPr="009F5089">
        <w:rPr>
          <w:rFonts w:ascii="Times New Roman" w:hAnsi="Times New Roman"/>
          <w:color w:val="0070C0"/>
          <w:sz w:val="16"/>
          <w:szCs w:val="16"/>
        </w:rPr>
        <w:t>.</w:t>
      </w:r>
    </w:p>
    <w:p w14:paraId="664F8EBE" w14:textId="77777777" w:rsidR="001422F1" w:rsidRDefault="001422F1" w:rsidP="001422F1">
      <w:pPr>
        <w:spacing w:after="0" w:line="240" w:lineRule="auto"/>
        <w:jc w:val="both"/>
        <w:rPr>
          <w:rFonts w:ascii="Times New Roman" w:hAnsi="Times New Roman"/>
          <w:color w:val="0070C0"/>
          <w:sz w:val="16"/>
          <w:szCs w:val="16"/>
        </w:rPr>
      </w:pPr>
      <w:r>
        <w:rPr>
          <w:rFonts w:ascii="Times New Roman" w:hAnsi="Times New Roman"/>
          <w:color w:val="0070C0"/>
          <w:sz w:val="16"/>
          <w:szCs w:val="16"/>
        </w:rPr>
        <w:t>Делон</w:t>
      </w:r>
      <w:r w:rsidRPr="009F5089">
        <w:rPr>
          <w:rFonts w:ascii="Times New Roman" w:hAnsi="Times New Roman"/>
          <w:color w:val="0070C0"/>
          <w:sz w:val="16"/>
          <w:szCs w:val="16"/>
        </w:rPr>
        <w:t>е организовал воздухоплавательный кружок при КП</w:t>
      </w:r>
      <w:r>
        <w:rPr>
          <w:rFonts w:ascii="Times New Roman" w:hAnsi="Times New Roman"/>
          <w:color w:val="0070C0"/>
          <w:sz w:val="16"/>
          <w:szCs w:val="16"/>
        </w:rPr>
        <w:t>И</w:t>
      </w:r>
      <w:r w:rsidRPr="009F5089">
        <w:rPr>
          <w:rFonts w:ascii="Times New Roman" w:hAnsi="Times New Roman"/>
          <w:color w:val="0070C0"/>
          <w:sz w:val="16"/>
          <w:szCs w:val="16"/>
        </w:rPr>
        <w:t xml:space="preserve"> и был руково</w:t>
      </w:r>
      <w:r>
        <w:rPr>
          <w:rFonts w:ascii="Times New Roman" w:hAnsi="Times New Roman"/>
          <w:color w:val="0070C0"/>
          <w:sz w:val="16"/>
          <w:szCs w:val="16"/>
        </w:rPr>
        <w:t>дителем Киевского общества воздухоплавания (23370).</w:t>
      </w:r>
    </w:p>
    <w:p w14:paraId="152402B7" w14:textId="77777777" w:rsidR="001422F1" w:rsidRDefault="001422F1" w:rsidP="001422F1">
      <w:pPr>
        <w:spacing w:after="0" w:line="240" w:lineRule="auto"/>
        <w:jc w:val="both"/>
        <w:rPr>
          <w:rFonts w:ascii="Times New Roman" w:hAnsi="Times New Roman"/>
          <w:color w:val="0070C0"/>
          <w:sz w:val="16"/>
          <w:szCs w:val="16"/>
        </w:rPr>
      </w:pPr>
    </w:p>
    <w:p w14:paraId="45C87460" w14:textId="77777777" w:rsidR="00083CD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6254FB5" w14:textId="77777777" w:rsidR="00083CD8" w:rsidRPr="007122AB" w:rsidRDefault="00083CD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6F9B82"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20 марта 1931 </w:t>
      </w:r>
      <w:r w:rsidRPr="007122AB">
        <w:rPr>
          <w:rFonts w:ascii="Times New Roman" w:hAnsi="Times New Roman"/>
          <w:color w:val="000000" w:themeColor="text1"/>
          <w:sz w:val="16"/>
          <w:szCs w:val="16"/>
        </w:rPr>
        <w:t>Политбюро ЦК ВКП (б) одобрило проект постановления СТО о развитии дорожного машиностроения и резолюцию партийного совещания по кредитной реформе; приняло решение об обеспечении оборудованием, подготовке кадров и сроках ввода в эксплуатацию калийных рудников; предложило ВСНХ ускорить исследование месторождений Печорского угля (12265).</w:t>
      </w:r>
    </w:p>
    <w:p w14:paraId="64ADB260"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СНК принял постановление «Об изменении в системе кредитования, укреплении кредитной работы и обеспечении хозрасчета во всех хозяйственных органах» (12265).</w:t>
      </w:r>
    </w:p>
    <w:p w14:paraId="76A0F925"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882EC5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1B18EA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BAC7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и 27 марта 1931. Из протокола заседания Политбюро № 30, 1931 г.</w:t>
      </w:r>
    </w:p>
    <w:p w14:paraId="6F7340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приеме в партию начсостава Красной армии и войск ОГПУ</w:t>
      </w:r>
    </w:p>
    <w:p w14:paraId="336BF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приеме в партию лиц начальствующего состава Красной армии и войск ОГПУ, расположенных в пограничных районах и местностях, где отсутствует промышленная база, допустить замену рекомендаций рабочих с производства поручительством членов партии—красноармейцев — рабочих и батраков (11652).</w:t>
      </w:r>
    </w:p>
    <w:p w14:paraId="508EB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841EA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D989A4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644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и 27 марта 1931. Из протокола заседания Политбюро № 30, 1931 г.</w:t>
      </w:r>
    </w:p>
    <w:p w14:paraId="3C0C5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полном прекращении командировок рабочих от станка на нужды текущих кампаний</w:t>
      </w:r>
    </w:p>
    <w:p w14:paraId="4083D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Воспретить мобилизацию партийным, советским, профессиональным и всяким другим организациям рабочих с производства... на всякого рода кампании. </w:t>
      </w:r>
    </w:p>
    <w:p w14:paraId="1C7C5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Мобилизованных с 1 января с. г. на текущие кампании без ведома ЦК ВКП(б) и СНК Союза ССР рабочих с производства... немедленно возвратить на предприятия. </w:t>
      </w:r>
    </w:p>
    <w:p w14:paraId="684100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Воспретить отвлечение рабочих от производства и административно-технического персонала со стороны партийных, советских, профсоюзных, комсомольских, хозяйственных организаций и органов печати в различного рода обследовательские бригады. </w:t>
      </w:r>
    </w:p>
    <w:p w14:paraId="20BF2F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Свести к минимуму вызов директоров на всякого рода заседания, исходя из того, что адм.-техн. персонал предприятия должен быть целиком занят своей непосредственной работой на предприятии. </w:t>
      </w:r>
    </w:p>
    <w:p w14:paraId="619A0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Подтвердить решение... о запрещении на 2 года выдвигать рабочих на советскую работу, причем там, где эта директива нарушена и квалифицированные рабочие, а также техперсонал с производства были выдвинуты и направлены на советскую работу, возвратить их на производство. </w:t>
      </w:r>
    </w:p>
    <w:p w14:paraId="6DB5A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Воспретить командировки рабочих в рабочее время по всякого рода шефским и другим делам. </w:t>
      </w:r>
    </w:p>
    <w:p w14:paraId="6E193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Отменить все решения... установившие в нарушение законов о труде сокращенный рабочий день для занятых на всякого рода учебе и на общественной работе с тем, чтобы эти занятия проводились лишь в нерабочее время. </w:t>
      </w:r>
    </w:p>
    <w:p w14:paraId="5792F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Установить, что исполнение всякого рода общественных обязанностей рабочими с производства, участие в секциях советов и комиссиях, партийных, профсоюзных, кооперативных и др. органах должно производиться исключительно во внерабочее время... </w:t>
      </w:r>
    </w:p>
    <w:p w14:paraId="3CA22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Ввиду наблюдающихся случаев неорганизованной переброски рабочих и адм.-технического персонала с одних предприятий на другие и новые строительства предложить ВСНХ совместно с </w:t>
      </w:r>
      <w:proofErr w:type="spellStart"/>
      <w:r w:rsidRPr="007122AB">
        <w:rPr>
          <w:rFonts w:ascii="Times New Roman" w:hAnsi="Times New Roman"/>
          <w:color w:val="000000" w:themeColor="text1"/>
          <w:sz w:val="16"/>
          <w:szCs w:val="16"/>
        </w:rPr>
        <w:t>НКТрудом</w:t>
      </w:r>
      <w:proofErr w:type="spellEnd"/>
      <w:r w:rsidRPr="007122AB">
        <w:rPr>
          <w:rFonts w:ascii="Times New Roman" w:hAnsi="Times New Roman"/>
          <w:color w:val="000000" w:themeColor="text1"/>
          <w:sz w:val="16"/>
          <w:szCs w:val="16"/>
        </w:rPr>
        <w:t xml:space="preserve"> принять меры к упорядочению этих перебросок (11652).</w:t>
      </w:r>
    </w:p>
    <w:p w14:paraId="32D9D9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76A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и 27 марта 1931. Из протокола заседания Политбюро № 30, 1931 г.</w:t>
      </w:r>
    </w:p>
    <w:p w14:paraId="65506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снабжении Москвы и Ленинграда хлебом и др. продуктами </w:t>
      </w:r>
    </w:p>
    <w:p w14:paraId="593391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Предложить </w:t>
      </w:r>
      <w:proofErr w:type="spellStart"/>
      <w:r w:rsidRPr="007122AB">
        <w:rPr>
          <w:rFonts w:ascii="Times New Roman" w:hAnsi="Times New Roman"/>
          <w:color w:val="000000" w:themeColor="text1"/>
          <w:sz w:val="16"/>
          <w:szCs w:val="16"/>
        </w:rPr>
        <w:t>Наркомснабу</w:t>
      </w:r>
      <w:proofErr w:type="spellEnd"/>
      <w:r w:rsidRPr="007122AB">
        <w:rPr>
          <w:rFonts w:ascii="Times New Roman" w:hAnsi="Times New Roman"/>
          <w:color w:val="000000" w:themeColor="text1"/>
          <w:sz w:val="16"/>
          <w:szCs w:val="16"/>
        </w:rPr>
        <w:t xml:space="preserve"> СССР выделить особо план снабжения Москвы продуктами питания и предметами широкого потребления из общего плана снабжения области. </w:t>
      </w:r>
    </w:p>
    <w:p w14:paraId="2A637B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Предложить </w:t>
      </w:r>
      <w:proofErr w:type="spellStart"/>
      <w:r w:rsidRPr="007122AB">
        <w:rPr>
          <w:rFonts w:ascii="Times New Roman" w:hAnsi="Times New Roman"/>
          <w:color w:val="000000" w:themeColor="text1"/>
          <w:sz w:val="16"/>
          <w:szCs w:val="16"/>
        </w:rPr>
        <w:t>Наркомснабу</w:t>
      </w:r>
      <w:proofErr w:type="spellEnd"/>
      <w:r w:rsidRPr="007122AB">
        <w:rPr>
          <w:rFonts w:ascii="Times New Roman" w:hAnsi="Times New Roman"/>
          <w:color w:val="000000" w:themeColor="text1"/>
          <w:sz w:val="16"/>
          <w:szCs w:val="16"/>
        </w:rPr>
        <w:t xml:space="preserve"> СССР создать не позднее 10 апреля в Москве месячные запасы по хлебу, сахару, крупе, керосину, соли, рыбе и сельдям... </w:t>
      </w:r>
    </w:p>
    <w:p w14:paraId="458AA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Учитывая рост населения Москвы и количество сезонников, предложить </w:t>
      </w:r>
      <w:proofErr w:type="spellStart"/>
      <w:r w:rsidRPr="007122AB">
        <w:rPr>
          <w:rFonts w:ascii="Times New Roman" w:hAnsi="Times New Roman"/>
          <w:color w:val="000000" w:themeColor="text1"/>
          <w:sz w:val="16"/>
          <w:szCs w:val="16"/>
        </w:rPr>
        <w:t>Наркомснабу</w:t>
      </w:r>
      <w:proofErr w:type="spellEnd"/>
      <w:r w:rsidRPr="007122AB">
        <w:rPr>
          <w:rFonts w:ascii="Times New Roman" w:hAnsi="Times New Roman"/>
          <w:color w:val="000000" w:themeColor="text1"/>
          <w:sz w:val="16"/>
          <w:szCs w:val="16"/>
        </w:rPr>
        <w:t xml:space="preserve"> СССР увеличить план снабжения Москвы хлебом на второй квартал 1931 года на 40 тыс. тонн и Ленинграда — на 25 тыс. тонн... </w:t>
      </w:r>
    </w:p>
    <w:p w14:paraId="73FC0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Считать позором для Московской организации, что хлеб, предназначенный для снабжения рабочих и служащих, попадает в количестве не менее десятков тысяч пудов ежемесячно в руки спекулянтов, благодаря... отсутствию должного контроля со стороны Московской организации. </w:t>
      </w:r>
    </w:p>
    <w:p w14:paraId="26D63B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Обязать Московскую организацию положить конец этой вакханалии кормления спекулянтов за счет рабочих... (11652).</w:t>
      </w:r>
    </w:p>
    <w:p w14:paraId="03BC1206" w14:textId="287F705C"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063F2E" w14:textId="0C3EEF39" w:rsidR="00B112A6" w:rsidRPr="007122AB" w:rsidRDefault="00B112A6"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1E8A88C9" w14:textId="77777777" w:rsidR="00B112A6" w:rsidRPr="007122AB" w:rsidRDefault="00B112A6"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61B83FC"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20 марта 1931 года Политбюро утвердило постановление «О </w:t>
      </w:r>
      <w:proofErr w:type="spellStart"/>
      <w:r w:rsidRPr="007122AB">
        <w:rPr>
          <w:rFonts w:ascii="Times New Roman" w:eastAsia="Times New Roman" w:hAnsi="Times New Roman"/>
          <w:color w:val="000000" w:themeColor="text1"/>
          <w:sz w:val="16"/>
          <w:szCs w:val="16"/>
          <w:lang w:eastAsia="ru-RU"/>
        </w:rPr>
        <w:t>шпицбергенском</w:t>
      </w:r>
      <w:proofErr w:type="spellEnd"/>
      <w:r w:rsidRPr="007122AB">
        <w:rPr>
          <w:rFonts w:ascii="Times New Roman" w:eastAsia="Times New Roman" w:hAnsi="Times New Roman"/>
          <w:color w:val="000000" w:themeColor="text1"/>
          <w:sz w:val="16"/>
          <w:szCs w:val="16"/>
          <w:lang w:eastAsia="ru-RU"/>
        </w:rPr>
        <w:t xml:space="preserve"> угле»:</w:t>
      </w:r>
    </w:p>
    <w:p w14:paraId="38A307BB"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lastRenderedPageBreak/>
        <w:t>«Придавая большое хозяйственно-политическое значение для страны делу добычи угля на острове Шпицберген, ЦК считает необходимым принять следующие мероприятия:</w:t>
      </w:r>
    </w:p>
    <w:p w14:paraId="616C58B7"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Существующее на Шпицбергене каменноугольное предприятие «Англо-Грумант», в котором СССР участвует в половинном размере, необходимо целиком выкупить в руки СССР за сумму не более 50–60 тысяч фунтов стерлингов с выплатой в течение пяти лет. На основе этого поручить т. Брону и т. Козлову (сотрудники </w:t>
      </w:r>
      <w:proofErr w:type="spellStart"/>
      <w:r w:rsidRPr="007122AB">
        <w:rPr>
          <w:rFonts w:ascii="Times New Roman" w:eastAsia="Times New Roman" w:hAnsi="Times New Roman"/>
          <w:color w:val="000000" w:themeColor="text1"/>
          <w:sz w:val="16"/>
          <w:szCs w:val="16"/>
          <w:lang w:eastAsia="ru-RU"/>
        </w:rPr>
        <w:t>Наркомвнешторга</w:t>
      </w:r>
      <w:proofErr w:type="spellEnd"/>
      <w:r w:rsidRPr="007122AB">
        <w:rPr>
          <w:rFonts w:ascii="Times New Roman" w:eastAsia="Times New Roman" w:hAnsi="Times New Roman"/>
          <w:color w:val="000000" w:themeColor="text1"/>
          <w:sz w:val="16"/>
          <w:szCs w:val="16"/>
          <w:lang w:eastAsia="ru-RU"/>
        </w:rPr>
        <w:t>. — </w:t>
      </w:r>
      <w:r w:rsidRPr="007122AB">
        <w:rPr>
          <w:rFonts w:ascii="Times New Roman" w:eastAsia="Times New Roman" w:hAnsi="Times New Roman"/>
          <w:i/>
          <w:iCs/>
          <w:color w:val="000000" w:themeColor="text1"/>
          <w:sz w:val="16"/>
          <w:szCs w:val="16"/>
          <w:lang w:eastAsia="ru-RU"/>
        </w:rPr>
        <w:t>Прим. авт.</w:t>
      </w:r>
      <w:r w:rsidRPr="007122AB">
        <w:rPr>
          <w:rFonts w:ascii="Times New Roman" w:eastAsia="Times New Roman" w:hAnsi="Times New Roman"/>
          <w:color w:val="000000" w:themeColor="text1"/>
          <w:sz w:val="16"/>
          <w:szCs w:val="16"/>
          <w:lang w:eastAsia="ru-RU"/>
        </w:rPr>
        <w:t>) вести конкретные переговоры в Лондоне о выкупе и закончить их не позже 20 апреля.</w:t>
      </w:r>
    </w:p>
    <w:p w14:paraId="14943EC6"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Для организации всего этого дела и для дальнейшей эксплуатации рудников создать в составе </w:t>
      </w:r>
      <w:proofErr w:type="spellStart"/>
      <w:r w:rsidRPr="007122AB">
        <w:rPr>
          <w:rFonts w:ascii="Times New Roman" w:eastAsia="Times New Roman" w:hAnsi="Times New Roman"/>
          <w:color w:val="000000" w:themeColor="text1"/>
          <w:sz w:val="16"/>
          <w:szCs w:val="16"/>
          <w:lang w:eastAsia="ru-RU"/>
        </w:rPr>
        <w:t>Союзлеспрома</w:t>
      </w:r>
      <w:proofErr w:type="spellEnd"/>
      <w:r w:rsidRPr="007122AB">
        <w:rPr>
          <w:rFonts w:ascii="Times New Roman" w:eastAsia="Times New Roman" w:hAnsi="Times New Roman"/>
          <w:color w:val="000000" w:themeColor="text1"/>
          <w:sz w:val="16"/>
          <w:szCs w:val="16"/>
          <w:lang w:eastAsia="ru-RU"/>
        </w:rPr>
        <w:t xml:space="preserve"> специальное управление (с небольшим аппаратом), поставив во главе этого дела т. И.Н. Козлова, введя его в состав правления </w:t>
      </w:r>
      <w:proofErr w:type="spellStart"/>
      <w:r w:rsidRPr="007122AB">
        <w:rPr>
          <w:rFonts w:ascii="Times New Roman" w:eastAsia="Times New Roman" w:hAnsi="Times New Roman"/>
          <w:color w:val="000000" w:themeColor="text1"/>
          <w:sz w:val="16"/>
          <w:szCs w:val="16"/>
          <w:lang w:eastAsia="ru-RU"/>
        </w:rPr>
        <w:t>Союзлеспрома</w:t>
      </w:r>
      <w:proofErr w:type="spellEnd"/>
      <w:r w:rsidRPr="007122AB">
        <w:rPr>
          <w:rFonts w:ascii="Times New Roman" w:eastAsia="Times New Roman" w:hAnsi="Times New Roman"/>
          <w:color w:val="000000" w:themeColor="text1"/>
          <w:sz w:val="16"/>
          <w:szCs w:val="16"/>
          <w:lang w:eastAsia="ru-RU"/>
        </w:rPr>
        <w:t>.</w:t>
      </w:r>
    </w:p>
    <w:p w14:paraId="1638E0B0"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Принять к сведению, что уже в текущем году должно быть добыто и ввезено в СССР как минимум 500 тысяч пудов угля. В 1932 году добыть и ввезти в СССР как минимум 3 миллиона пудов. К концу 1935 года необходимо развернуть добычу угля на Шпицбергене в 20–25 миллионов пудов. Все процессы работы на Шпицбергене должны быть механизированы…</w:t>
      </w:r>
    </w:p>
    <w:p w14:paraId="1F10809A"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9. Поручить тт. Ягоде, </w:t>
      </w:r>
      <w:proofErr w:type="spellStart"/>
      <w:r w:rsidRPr="007122AB">
        <w:rPr>
          <w:rFonts w:ascii="Times New Roman" w:eastAsia="Times New Roman" w:hAnsi="Times New Roman"/>
          <w:color w:val="000000" w:themeColor="text1"/>
          <w:sz w:val="16"/>
          <w:szCs w:val="16"/>
          <w:lang w:eastAsia="ru-RU"/>
        </w:rPr>
        <w:t>Стомонякову</w:t>
      </w:r>
      <w:proofErr w:type="spellEnd"/>
      <w:r w:rsidRPr="007122AB">
        <w:rPr>
          <w:rFonts w:ascii="Times New Roman" w:eastAsia="Times New Roman" w:hAnsi="Times New Roman"/>
          <w:color w:val="000000" w:themeColor="text1"/>
          <w:sz w:val="16"/>
          <w:szCs w:val="16"/>
          <w:lang w:eastAsia="ru-RU"/>
        </w:rPr>
        <w:t xml:space="preserve"> и Козлову в 10-дневный срок разработать упрощенную форму выезда и обратного приезда наших рабочих и служащих на Шпицберген, а также разработать упрощенный порядок прихода и отхода пароходов в наших портах.</w:t>
      </w:r>
    </w:p>
    <w:p w14:paraId="5722646B" w14:textId="77777777" w:rsidR="00B112A6" w:rsidRPr="007122AB" w:rsidRDefault="00B112A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10. Поручить </w:t>
      </w:r>
      <w:proofErr w:type="spellStart"/>
      <w:r w:rsidRPr="007122AB">
        <w:rPr>
          <w:rFonts w:ascii="Times New Roman" w:eastAsia="Times New Roman" w:hAnsi="Times New Roman"/>
          <w:color w:val="000000" w:themeColor="text1"/>
          <w:sz w:val="16"/>
          <w:szCs w:val="16"/>
          <w:lang w:eastAsia="ru-RU"/>
        </w:rPr>
        <w:t>Наркомпочтелю</w:t>
      </w:r>
      <w:proofErr w:type="spellEnd"/>
      <w:r w:rsidRPr="007122AB">
        <w:rPr>
          <w:rFonts w:ascii="Times New Roman" w:eastAsia="Times New Roman" w:hAnsi="Times New Roman"/>
          <w:color w:val="000000" w:themeColor="text1"/>
          <w:sz w:val="16"/>
          <w:szCs w:val="16"/>
          <w:lang w:eastAsia="ru-RU"/>
        </w:rPr>
        <w:t xml:space="preserve"> и </w:t>
      </w:r>
      <w:proofErr w:type="spellStart"/>
      <w:r w:rsidRPr="007122AB">
        <w:rPr>
          <w:rFonts w:ascii="Times New Roman" w:eastAsia="Times New Roman" w:hAnsi="Times New Roman"/>
          <w:color w:val="000000" w:themeColor="text1"/>
          <w:sz w:val="16"/>
          <w:szCs w:val="16"/>
          <w:lang w:eastAsia="ru-RU"/>
        </w:rPr>
        <w:t>Союзлеспрому</w:t>
      </w:r>
      <w:proofErr w:type="spellEnd"/>
      <w:r w:rsidRPr="007122AB">
        <w:rPr>
          <w:rFonts w:ascii="Times New Roman" w:eastAsia="Times New Roman" w:hAnsi="Times New Roman"/>
          <w:color w:val="000000" w:themeColor="text1"/>
          <w:sz w:val="16"/>
          <w:szCs w:val="16"/>
          <w:lang w:eastAsia="ru-RU"/>
        </w:rPr>
        <w:t xml:space="preserve"> не позднее 15 июля </w:t>
      </w:r>
      <w:proofErr w:type="spellStart"/>
      <w:r w:rsidRPr="007122AB">
        <w:rPr>
          <w:rFonts w:ascii="Times New Roman" w:eastAsia="Times New Roman" w:hAnsi="Times New Roman"/>
          <w:color w:val="000000" w:themeColor="text1"/>
          <w:sz w:val="16"/>
          <w:szCs w:val="16"/>
          <w:lang w:eastAsia="ru-RU"/>
        </w:rPr>
        <w:t>с.г</w:t>
      </w:r>
      <w:proofErr w:type="spellEnd"/>
      <w:r w:rsidRPr="007122AB">
        <w:rPr>
          <w:rFonts w:ascii="Times New Roman" w:eastAsia="Times New Roman" w:hAnsi="Times New Roman"/>
          <w:color w:val="000000" w:themeColor="text1"/>
          <w:sz w:val="16"/>
          <w:szCs w:val="16"/>
          <w:lang w:eastAsia="ru-RU"/>
        </w:rPr>
        <w:t>. разработать вопрос об установке радиостанции на нашем предприятии, которое должно иметь непосредственную связь с СССР…» (20467).</w:t>
      </w:r>
    </w:p>
    <w:p w14:paraId="5D7339DB" w14:textId="77777777" w:rsidR="00B112A6" w:rsidRPr="007122AB" w:rsidRDefault="00B112A6" w:rsidP="007122AB">
      <w:pPr>
        <w:spacing w:after="0" w:line="240" w:lineRule="auto"/>
        <w:jc w:val="both"/>
        <w:rPr>
          <w:rFonts w:ascii="Times New Roman" w:hAnsi="Times New Roman"/>
          <w:color w:val="000000" w:themeColor="text1"/>
          <w:sz w:val="16"/>
          <w:szCs w:val="16"/>
        </w:rPr>
      </w:pPr>
    </w:p>
    <w:p w14:paraId="610C302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BA0C01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F6A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марта 1931 были представлены </w:t>
      </w:r>
      <w:proofErr w:type="spellStart"/>
      <w:r w:rsidRPr="007122AB">
        <w:rPr>
          <w:rFonts w:ascii="Times New Roman" w:hAnsi="Times New Roman"/>
          <w:color w:val="000000" w:themeColor="text1"/>
          <w:sz w:val="16"/>
          <w:szCs w:val="16"/>
        </w:rPr>
        <w:t>техтребования</w:t>
      </w:r>
      <w:proofErr w:type="spellEnd"/>
      <w:r w:rsidRPr="007122AB">
        <w:rPr>
          <w:rFonts w:ascii="Times New Roman" w:hAnsi="Times New Roman"/>
          <w:color w:val="000000" w:themeColor="text1"/>
          <w:sz w:val="16"/>
          <w:szCs w:val="16"/>
        </w:rPr>
        <w:t xml:space="preserve"> (предварит.) к самолету МИ3-2М34 опытный (7415, 16).</w:t>
      </w:r>
    </w:p>
    <w:p w14:paraId="21857F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82817B" w14:textId="77777777" w:rsidR="00E65C7F" w:rsidRPr="007122AB" w:rsidRDefault="00E65C7F" w:rsidP="007122AB">
      <w:pPr>
        <w:pStyle w:val="ae"/>
        <w:shd w:val="clear" w:color="auto" w:fill="FFFFFF"/>
        <w:spacing w:before="0" w:after="0"/>
        <w:jc w:val="both"/>
        <w:rPr>
          <w:color w:val="000000" w:themeColor="text1"/>
          <w:sz w:val="16"/>
          <w:szCs w:val="16"/>
        </w:rPr>
      </w:pPr>
      <w:r w:rsidRPr="007122AB">
        <w:rPr>
          <w:color w:val="000000" w:themeColor="text1"/>
          <w:sz w:val="16"/>
          <w:szCs w:val="16"/>
        </w:rPr>
        <w:t>21 марта 1935 года Алкснис утвердил технические требования на «герметичную кабину для стратостата» диаметром 2,5 м, предназначенную для полетов на высоту 30 000 м. В ней должны были удобно размещаться три человека. В примечании было сказано: «Желательно оборудовать кабину шлюзом для выхода и входа обратно одного человека в скафандре с парашютом на высоте 15–30 км». Гондола должна была иметь и общий парашют. Иллюминаторы с двойными стеклами обеспечивали бы «сферический обзор». Амортизаторы гондолы были рассчитаны на скорость снижения 5 м/с. Гондола должна была также устойчиво плавать. Заказ на постройку гондолы принял завод № 39, проектировали ее инженеры бюро особой конструкции завода № 35. По срокам гондола должна была быть готова 1 июля 1935 года.</w:t>
      </w:r>
    </w:p>
    <w:p w14:paraId="3EADFCE9" w14:textId="77777777" w:rsidR="00E65C7F" w:rsidRPr="007122AB" w:rsidRDefault="00E65C7F"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Парашют должен был обеспечить спуск гондолы массой 2 500 кг с высоты 35 000 м со скоростью снижения 3,5–4,0 м/с (у земли), причем независимо от того, отсоединена оболочка или нет. Стабилизирующее устройство парашюта обеспечивало бы нормальное падение гондолы без перевертывания и вращения при отрыве оболочки или отказе парашюта. Масса парашюта в упаковке должна была превышать 100 кг. Построить такой парашют не позднее 5 мая 1935 года должен был завод № 1 Наркомата легкой промышленности, где директором был знаменитый Савицкий (19611).</w:t>
      </w:r>
    </w:p>
    <w:p w14:paraId="33CC5D72"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4229C0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6C4D95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D1E1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марта 1931 вышло Постановление ЦК ВКП(б) "О партийной и массовой работе и подготовке кадров для Харьковского </w:t>
      </w:r>
      <w:proofErr w:type="spellStart"/>
      <w:r w:rsidRPr="007122AB">
        <w:rPr>
          <w:rFonts w:ascii="Times New Roman" w:hAnsi="Times New Roman"/>
          <w:color w:val="000000" w:themeColor="text1"/>
          <w:sz w:val="16"/>
          <w:szCs w:val="16"/>
        </w:rPr>
        <w:t>тракторостроя</w:t>
      </w:r>
      <w:proofErr w:type="spellEnd"/>
      <w:r w:rsidRPr="007122AB">
        <w:rPr>
          <w:rFonts w:ascii="Times New Roman" w:hAnsi="Times New Roman"/>
          <w:color w:val="000000" w:themeColor="text1"/>
          <w:sz w:val="16"/>
          <w:szCs w:val="16"/>
        </w:rPr>
        <w:t>" (10687).</w:t>
      </w:r>
    </w:p>
    <w:p w14:paraId="06B572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00BE9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99D7F1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20E76C"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21 марта</w:t>
      </w:r>
      <w:r w:rsidRPr="007122AB">
        <w:rPr>
          <w:rFonts w:ascii="Times New Roman" w:hAnsi="Times New Roman"/>
          <w:color w:val="000000" w:themeColor="text1"/>
          <w:sz w:val="16"/>
          <w:szCs w:val="16"/>
        </w:rPr>
        <w:t xml:space="preserve"> в 1931 году во время очередного полета упала польская летающая лодка «PZL-12» фирмы «PZL». Её восстанавливать больше не стали (15075).</w:t>
      </w:r>
    </w:p>
    <w:p w14:paraId="5B5B0D2C"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59B7557D" w14:textId="77777777" w:rsidR="00B112A6" w:rsidRPr="007122AB" w:rsidRDefault="00B112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марта 1931 Зигмунт </w:t>
      </w:r>
      <w:proofErr w:type="spellStart"/>
      <w:r w:rsidRPr="007122AB">
        <w:rPr>
          <w:rFonts w:ascii="Times New Roman" w:hAnsi="Times New Roman"/>
          <w:color w:val="000000" w:themeColor="text1"/>
          <w:sz w:val="16"/>
          <w:szCs w:val="16"/>
        </w:rPr>
        <w:t>Пулавский</w:t>
      </w:r>
      <w:proofErr w:type="spellEnd"/>
      <w:r w:rsidRPr="007122AB">
        <w:rPr>
          <w:rFonts w:ascii="Times New Roman" w:hAnsi="Times New Roman"/>
          <w:color w:val="000000" w:themeColor="text1"/>
          <w:sz w:val="16"/>
          <w:szCs w:val="16"/>
        </w:rPr>
        <w:t>, один из ведущих авиаконструкторов Польши, погиб во время шестого полета прототипа летающей лодки PZL.12, который он спроектировал и построил. PZL.12 остановился после взлета из-за сильного ветра и врезался в воду (20804).</w:t>
      </w:r>
    </w:p>
    <w:p w14:paraId="695789F4" w14:textId="77777777" w:rsidR="00B112A6" w:rsidRPr="007122AB" w:rsidRDefault="00B112A6" w:rsidP="007122AB">
      <w:pPr>
        <w:spacing w:after="0" w:line="240" w:lineRule="auto"/>
        <w:jc w:val="both"/>
        <w:rPr>
          <w:rFonts w:ascii="Times New Roman" w:hAnsi="Times New Roman"/>
          <w:color w:val="000000" w:themeColor="text1"/>
          <w:sz w:val="16"/>
          <w:szCs w:val="16"/>
        </w:rPr>
      </w:pPr>
    </w:p>
    <w:p w14:paraId="0028A4CE" w14:textId="77777777" w:rsidR="00B112A6" w:rsidRPr="007122AB" w:rsidRDefault="00B112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марта 1931 Австралия терпит первую авиакатастрофу, когда австралийская национальная авиалиния </w:t>
      </w:r>
      <w:proofErr w:type="spellStart"/>
      <w:r w:rsidRPr="007122AB">
        <w:rPr>
          <w:rFonts w:ascii="Times New Roman" w:hAnsi="Times New Roman"/>
          <w:color w:val="000000" w:themeColor="text1"/>
          <w:sz w:val="16"/>
          <w:szCs w:val="16"/>
        </w:rPr>
        <w:t>Avro</w:t>
      </w:r>
      <w:proofErr w:type="spellEnd"/>
      <w:r w:rsidRPr="007122AB">
        <w:rPr>
          <w:rFonts w:ascii="Times New Roman" w:hAnsi="Times New Roman"/>
          <w:color w:val="000000" w:themeColor="text1"/>
          <w:sz w:val="16"/>
          <w:szCs w:val="16"/>
        </w:rPr>
        <w:t xml:space="preserve"> 618 </w:t>
      </w:r>
      <w:proofErr w:type="spellStart"/>
      <w:r w:rsidRPr="007122AB">
        <w:rPr>
          <w:rFonts w:ascii="Times New Roman" w:hAnsi="Times New Roman"/>
          <w:color w:val="000000" w:themeColor="text1"/>
          <w:sz w:val="16"/>
          <w:szCs w:val="16"/>
        </w:rPr>
        <w:t>Ten</w:t>
      </w:r>
      <w:proofErr w:type="spellEnd"/>
      <w:r w:rsidRPr="007122AB">
        <w:rPr>
          <w:rFonts w:ascii="Times New Roman" w:hAnsi="Times New Roman"/>
          <w:color w:val="000000" w:themeColor="text1"/>
          <w:sz w:val="16"/>
          <w:szCs w:val="16"/>
        </w:rPr>
        <w:t xml:space="preserve"> Southern </w:t>
      </w:r>
      <w:proofErr w:type="spellStart"/>
      <w:r w:rsidRPr="007122AB">
        <w:rPr>
          <w:rFonts w:ascii="Times New Roman" w:hAnsi="Times New Roman"/>
          <w:color w:val="000000" w:themeColor="text1"/>
          <w:sz w:val="16"/>
          <w:szCs w:val="16"/>
        </w:rPr>
        <w:t>Cloud</w:t>
      </w:r>
      <w:proofErr w:type="spellEnd"/>
      <w:r w:rsidRPr="007122AB">
        <w:rPr>
          <w:rFonts w:ascii="Times New Roman" w:hAnsi="Times New Roman"/>
          <w:color w:val="000000" w:themeColor="text1"/>
          <w:sz w:val="16"/>
          <w:szCs w:val="16"/>
        </w:rPr>
        <w:t xml:space="preserve"> исчезает в плохую погоду над Снежными горами в Новом Южном Уэльсе, Австралия, в результате чего погибли все восемь человек на борту. Обломки не будут обнаружены до 26 октября 1958 года (20804).</w:t>
      </w:r>
    </w:p>
    <w:p w14:paraId="32471D06" w14:textId="77777777" w:rsidR="00B112A6" w:rsidRPr="007122AB" w:rsidRDefault="00B112A6" w:rsidP="007122AB">
      <w:pPr>
        <w:spacing w:after="0" w:line="240" w:lineRule="auto"/>
        <w:jc w:val="both"/>
        <w:rPr>
          <w:rFonts w:ascii="Times New Roman" w:hAnsi="Times New Roman"/>
          <w:color w:val="000000" w:themeColor="text1"/>
          <w:sz w:val="16"/>
          <w:szCs w:val="16"/>
        </w:rPr>
      </w:pPr>
    </w:p>
    <w:p w14:paraId="4F1543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марта 1931 в воздух поднялся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Fury</w:t>
      </w:r>
      <w:proofErr w:type="spellEnd"/>
      <w:r w:rsidRPr="007122AB">
        <w:rPr>
          <w:rFonts w:ascii="Times New Roman" w:hAnsi="Times New Roman"/>
          <w:color w:val="000000" w:themeColor="text1"/>
          <w:sz w:val="16"/>
          <w:szCs w:val="16"/>
        </w:rPr>
        <w:t xml:space="preserve"> - биплан с </w:t>
      </w:r>
      <w:proofErr w:type="spellStart"/>
      <w:r w:rsidRPr="007122AB">
        <w:rPr>
          <w:rFonts w:ascii="Times New Roman" w:hAnsi="Times New Roman"/>
          <w:color w:val="000000" w:themeColor="text1"/>
          <w:sz w:val="16"/>
          <w:szCs w:val="16"/>
        </w:rPr>
        <w:t>Kestrel</w:t>
      </w:r>
      <w:proofErr w:type="spellEnd"/>
      <w:r w:rsidRPr="007122AB">
        <w:rPr>
          <w:rFonts w:ascii="Times New Roman" w:hAnsi="Times New Roman"/>
          <w:color w:val="000000" w:themeColor="text1"/>
          <w:sz w:val="16"/>
          <w:szCs w:val="16"/>
        </w:rPr>
        <w:t xml:space="preserve"> IIS 525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и скоростью 335 км/час - прямой предшественник </w:t>
      </w:r>
      <w:proofErr w:type="spellStart"/>
      <w:r w:rsidRPr="007122AB">
        <w:rPr>
          <w:rFonts w:ascii="Times New Roman" w:hAnsi="Times New Roman"/>
          <w:color w:val="000000" w:themeColor="text1"/>
          <w:sz w:val="16"/>
          <w:szCs w:val="16"/>
        </w:rPr>
        <w:t>Harrikane</w:t>
      </w:r>
      <w:proofErr w:type="spellEnd"/>
      <w:r w:rsidRPr="007122AB">
        <w:rPr>
          <w:rFonts w:ascii="Times New Roman" w:hAnsi="Times New Roman"/>
          <w:color w:val="000000" w:themeColor="text1"/>
          <w:sz w:val="16"/>
          <w:szCs w:val="16"/>
        </w:rPr>
        <w:t xml:space="preserve"> - и в том же году начали серию (3774,41).</w:t>
      </w:r>
    </w:p>
    <w:p w14:paraId="7DC787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B59F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марта 1931 Австрия и Германия подписали договор о таможенном союзе. Франция, Италия и Чехословакия - протестовали и вопрос был передан в Лигу наций и Постоянную палату международного правосудия (3907,167).</w:t>
      </w:r>
    </w:p>
    <w:p w14:paraId="54BBAC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CDFAD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F1DB18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3129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марта 1931 г. пом. нач. НИИ ВВС </w:t>
      </w:r>
      <w:proofErr w:type="spellStart"/>
      <w:r w:rsidRPr="007122AB">
        <w:rPr>
          <w:rFonts w:ascii="Times New Roman" w:hAnsi="Times New Roman"/>
          <w:color w:val="000000" w:themeColor="text1"/>
          <w:sz w:val="16"/>
          <w:szCs w:val="16"/>
        </w:rPr>
        <w:t>Коннэрт</w:t>
      </w:r>
      <w:proofErr w:type="spellEnd"/>
      <w:r w:rsidRPr="007122AB">
        <w:rPr>
          <w:rFonts w:ascii="Times New Roman" w:hAnsi="Times New Roman"/>
          <w:color w:val="000000" w:themeColor="text1"/>
          <w:sz w:val="16"/>
          <w:szCs w:val="16"/>
        </w:rPr>
        <w:t xml:space="preserve"> писал письмо N 137с/815с в УСС ВВС.</w:t>
      </w:r>
    </w:p>
    <w:p w14:paraId="461A34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представляется отчет по испытанию стрелкового вооружения (пул. 9 бис с ПВ1) на самолетах И-4 Ю-6.</w:t>
      </w:r>
    </w:p>
    <w:p w14:paraId="764A2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6721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И-4 с ПВ1 после устранения дефектов, отмеченных в отчете и внесения переделок может быть допущен для эксплуатации в частях ВВС (3261).</w:t>
      </w:r>
    </w:p>
    <w:p w14:paraId="31B27B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4421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3 декабря 1930 года по 11 января 1931 года и с 2 марта 1931 года по 22 марта 1931 года в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были проведены испытания опытной партии 2-кг осколочных бомб (3326).</w:t>
      </w:r>
    </w:p>
    <w:p w14:paraId="7BBF0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B5476E" w14:textId="77777777" w:rsidR="006A088C" w:rsidRPr="007122AB" w:rsidRDefault="006A08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rPr>
        <w:t xml:space="preserve">22 марта 1931 г., за 5 дней до окончания Академии, Яковлев выступил на заседании президиума ячейки самолётчиков с докладом о работе по академической авиетке. Этот совершенно неизвестный самолёт представлял очередное партийное поручение Яковлева. Судя по протоколу, его проектирование началось в 1930 г., и было сделано следующее: схема, общий вид, компоновка машины под новый мотор, центровка и др. В прениях, как повелось, обсуждали не академическую авиетку, а Яковлева, который, как сообщил Белозёров, «мало обращает внимания на свою теоретическую подготовку. По сдаче ленинизма сумел преподавателю втереть очки. По диамату ничего не читал. При постройке авиеток работает индивидуально и игнорирует общественные организации Академии». И дальше в том же духе. «Постановили: Доклад т. Яковлева принять к сведению. Президиум рекомендует т. Яковлеву в дальнейшем обратить больше внимания на своё </w:t>
      </w:r>
      <w:proofErr w:type="spellStart"/>
      <w:r w:rsidRPr="007122AB">
        <w:rPr>
          <w:rFonts w:ascii="Times New Roman" w:hAnsi="Times New Roman"/>
          <w:color w:val="000000" w:themeColor="text1"/>
          <w:sz w:val="16"/>
          <w:szCs w:val="16"/>
        </w:rPr>
        <w:t>общественнополитическое</w:t>
      </w:r>
      <w:proofErr w:type="spellEnd"/>
      <w:r w:rsidRPr="007122AB">
        <w:rPr>
          <w:rFonts w:ascii="Times New Roman" w:hAnsi="Times New Roman"/>
          <w:color w:val="000000" w:themeColor="text1"/>
          <w:sz w:val="16"/>
          <w:szCs w:val="16"/>
        </w:rPr>
        <w:t xml:space="preserve"> развитие, на необходимость большего активного участия в общественной работе и на необходимость быть поближе к общественным и парторганизациям по месту своей работы» (21471).</w:t>
      </w:r>
    </w:p>
    <w:p w14:paraId="5D823780" w14:textId="77777777" w:rsidR="006A088C" w:rsidRPr="007122AB" w:rsidRDefault="006A08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9E145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22F3BB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135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марта 1931 г. состоялось совещание в производственно-техническом отделе УСС УВВС (Протокол N 135 с) О порядке серийной постройки самолетов Савойя С62-бис.</w:t>
      </w:r>
    </w:p>
    <w:p w14:paraId="25DE66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Все самолеты серийной постройки, строящиеся по итальянским чертежам должны быть идентичны с итальянскими самолетами, причем самолеты должны во всем соответствовать ТУ, утвержденным 1-ой секцией НТК 6.10 N 26с.</w:t>
      </w:r>
    </w:p>
    <w:p w14:paraId="601A9E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строящиеся по образцу (5 шт.) (3270).</w:t>
      </w:r>
    </w:p>
    <w:p w14:paraId="783FF1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2D8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марта 1931 Пом. начальника НИИ </w:t>
      </w:r>
      <w:proofErr w:type="spellStart"/>
      <w:r w:rsidRPr="007122AB">
        <w:rPr>
          <w:rFonts w:ascii="Times New Roman" w:hAnsi="Times New Roman"/>
          <w:color w:val="000000" w:themeColor="text1"/>
          <w:sz w:val="16"/>
          <w:szCs w:val="16"/>
        </w:rPr>
        <w:t>Коннэрт</w:t>
      </w:r>
      <w:proofErr w:type="spellEnd"/>
      <w:r w:rsidRPr="007122AB">
        <w:rPr>
          <w:rFonts w:ascii="Times New Roman" w:hAnsi="Times New Roman"/>
          <w:color w:val="000000" w:themeColor="text1"/>
          <w:sz w:val="16"/>
          <w:szCs w:val="16"/>
        </w:rPr>
        <w:t xml:space="preserve"> утвердил Отчет по испытаниям ударного приспособления к практическим цементным бомбам П-7 и П-25 конструкции КБ УВВС.</w:t>
      </w:r>
    </w:p>
    <w:p w14:paraId="16B95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F800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Ударное приспособление испытаний не выдержало (3208,50-63).</w:t>
      </w:r>
    </w:p>
    <w:p w14:paraId="4ECD4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97FC8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8C0A52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8DCE7F"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lastRenderedPageBreak/>
        <w:t>23 марта</w:t>
      </w:r>
      <w:r w:rsidRPr="007122AB">
        <w:rPr>
          <w:rFonts w:ascii="Times New Roman" w:hAnsi="Times New Roman"/>
          <w:color w:val="000000" w:themeColor="text1"/>
          <w:sz w:val="16"/>
          <w:szCs w:val="16"/>
        </w:rPr>
        <w:t xml:space="preserve"> в 1931 году французские летчики </w:t>
      </w:r>
      <w:proofErr w:type="spellStart"/>
      <w:r w:rsidRPr="007122AB">
        <w:rPr>
          <w:rFonts w:ascii="Times New Roman" w:hAnsi="Times New Roman"/>
          <w:color w:val="000000" w:themeColor="text1"/>
          <w:sz w:val="16"/>
          <w:szCs w:val="16"/>
        </w:rPr>
        <w:t>Lucien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Bossoutrot</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Maurice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Rossi</w:t>
      </w:r>
      <w:proofErr w:type="spellEnd"/>
      <w:r w:rsidRPr="007122AB">
        <w:rPr>
          <w:rFonts w:ascii="Times New Roman" w:hAnsi="Times New Roman"/>
          <w:color w:val="000000" w:themeColor="text1"/>
          <w:sz w:val="16"/>
          <w:szCs w:val="16"/>
        </w:rPr>
        <w:t xml:space="preserve"> устанавливают новый мировой рекорд, преодолев на французском рекордном самолете </w:t>
      </w:r>
      <w:hyperlink r:id="rId37" w:tgtFrame="_blank" w:history="1">
        <w:r w:rsidRPr="007122AB">
          <w:rPr>
            <w:rFonts w:ascii="Times New Roman" w:hAnsi="Times New Roman"/>
            <w:color w:val="000000" w:themeColor="text1"/>
            <w:sz w:val="16"/>
            <w:szCs w:val="16"/>
          </w:rPr>
          <w:t>«Bl-110» «</w:t>
        </w:r>
        <w:proofErr w:type="spellStart"/>
        <w:r w:rsidRPr="007122AB">
          <w:rPr>
            <w:rFonts w:ascii="Times New Roman" w:hAnsi="Times New Roman"/>
            <w:color w:val="000000" w:themeColor="text1"/>
            <w:sz w:val="16"/>
            <w:szCs w:val="16"/>
          </w:rPr>
          <w:t>Joseph</w:t>
        </w:r>
        <w:proofErr w:type="spellEnd"/>
        <w:r w:rsidRPr="007122AB">
          <w:rPr>
            <w:rFonts w:ascii="Times New Roman" w:hAnsi="Times New Roman"/>
            <w:color w:val="000000" w:themeColor="text1"/>
            <w:sz w:val="16"/>
            <w:szCs w:val="16"/>
          </w:rPr>
          <w:t xml:space="preserve"> Le </w:t>
        </w:r>
        <w:proofErr w:type="spellStart"/>
        <w:r w:rsidRPr="007122AB">
          <w:rPr>
            <w:rFonts w:ascii="Times New Roman" w:hAnsi="Times New Roman"/>
            <w:color w:val="000000" w:themeColor="text1"/>
            <w:sz w:val="16"/>
            <w:szCs w:val="16"/>
          </w:rPr>
          <w:t>Brix</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10601 километров за 76 часов и 34 минуты. «Bl-110» «</w:t>
      </w:r>
      <w:proofErr w:type="spellStart"/>
      <w:r w:rsidRPr="007122AB">
        <w:rPr>
          <w:rFonts w:ascii="Times New Roman" w:hAnsi="Times New Roman"/>
          <w:color w:val="000000" w:themeColor="text1"/>
          <w:sz w:val="16"/>
          <w:szCs w:val="16"/>
        </w:rPr>
        <w:t>Joseph</w:t>
      </w:r>
      <w:proofErr w:type="spellEnd"/>
      <w:r w:rsidRPr="007122AB">
        <w:rPr>
          <w:rFonts w:ascii="Times New Roman" w:hAnsi="Times New Roman"/>
          <w:color w:val="000000" w:themeColor="text1"/>
          <w:sz w:val="16"/>
          <w:szCs w:val="16"/>
        </w:rPr>
        <w:t xml:space="preserve"> Le </w:t>
      </w:r>
      <w:proofErr w:type="spellStart"/>
      <w:r w:rsidRPr="007122AB">
        <w:rPr>
          <w:rFonts w:ascii="Times New Roman" w:hAnsi="Times New Roman"/>
          <w:color w:val="000000" w:themeColor="text1"/>
          <w:sz w:val="16"/>
          <w:szCs w:val="16"/>
        </w:rPr>
        <w:t>Brix</w:t>
      </w:r>
      <w:proofErr w:type="spellEnd"/>
      <w:r w:rsidRPr="007122AB">
        <w:rPr>
          <w:rFonts w:ascii="Times New Roman" w:hAnsi="Times New Roman"/>
          <w:color w:val="000000" w:themeColor="text1"/>
          <w:sz w:val="16"/>
          <w:szCs w:val="16"/>
        </w:rPr>
        <w:t>» - рекордный самолет, разработанный французской фирмой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Первый полет самолета состоялся 16 мая 1930 года. 26 февраля 1931 года, после проведения испытаний, французские летчики </w:t>
      </w:r>
      <w:proofErr w:type="spellStart"/>
      <w:r w:rsidRPr="007122AB">
        <w:rPr>
          <w:rFonts w:ascii="Times New Roman" w:hAnsi="Times New Roman"/>
          <w:color w:val="000000" w:themeColor="text1"/>
          <w:sz w:val="16"/>
          <w:szCs w:val="16"/>
        </w:rPr>
        <w:t>Lucien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Bossoutrot</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Maurice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Rossi</w:t>
      </w:r>
      <w:proofErr w:type="spellEnd"/>
      <w:r w:rsidRPr="007122AB">
        <w:rPr>
          <w:rFonts w:ascii="Times New Roman" w:hAnsi="Times New Roman"/>
          <w:color w:val="000000" w:themeColor="text1"/>
          <w:sz w:val="16"/>
          <w:szCs w:val="16"/>
        </w:rPr>
        <w:t xml:space="preserve"> совершили на нем перелет преодолев 8822 километров за 75 часов и 23 минуты. Полет закончившийся 1 марта стал мировым рекордом для полетов по замкнутой петле (15077).</w:t>
      </w:r>
    </w:p>
    <w:p w14:paraId="7837B07B"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0B7A506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марта 1931 в штате белоэмигрантского Российского Общевоинского Союза (РОВС) введена должность начальника кавалерии (при том, что в распоряжении Союза не было ни одной лошади) (4962).</w:t>
      </w:r>
    </w:p>
    <w:p w14:paraId="6E6C35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38E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2CFCAD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A51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марта 1931 г. закончилось специальное испытание самолета И-3 N 4364 с мотором М-17 N 26191 постройки завода N 1 сер. 9-й - </w:t>
      </w:r>
      <w:proofErr w:type="spellStart"/>
      <w:r w:rsidRPr="007122AB">
        <w:rPr>
          <w:rFonts w:ascii="Times New Roman" w:hAnsi="Times New Roman"/>
          <w:color w:val="000000" w:themeColor="text1"/>
          <w:sz w:val="16"/>
          <w:szCs w:val="16"/>
        </w:rPr>
        <w:t>колич</w:t>
      </w:r>
      <w:proofErr w:type="spellEnd"/>
      <w:r w:rsidRPr="007122AB">
        <w:rPr>
          <w:rFonts w:ascii="Times New Roman" w:hAnsi="Times New Roman"/>
          <w:color w:val="000000" w:themeColor="text1"/>
          <w:sz w:val="16"/>
          <w:szCs w:val="16"/>
        </w:rPr>
        <w:t xml:space="preserve">. 38 шт. Винт зав. N 28, шаг 3615, </w:t>
      </w:r>
      <w:proofErr w:type="spellStart"/>
      <w:r w:rsidRPr="007122AB">
        <w:rPr>
          <w:rFonts w:ascii="Times New Roman" w:hAnsi="Times New Roman"/>
          <w:color w:val="000000" w:themeColor="text1"/>
          <w:sz w:val="16"/>
          <w:szCs w:val="16"/>
        </w:rPr>
        <w:t>диам</w:t>
      </w:r>
      <w:proofErr w:type="spellEnd"/>
      <w:r w:rsidRPr="007122AB">
        <w:rPr>
          <w:rFonts w:ascii="Times New Roman" w:hAnsi="Times New Roman"/>
          <w:color w:val="000000" w:themeColor="text1"/>
          <w:sz w:val="16"/>
          <w:szCs w:val="16"/>
        </w:rPr>
        <w:t>. 2,95. Время закладки 22 июня 1930 г., которое проходило с 19 февраля 1931.</w:t>
      </w:r>
    </w:p>
    <w:p w14:paraId="515492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348E04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результатам взвешивания, определения центра тяжести, скороподъемности, скорости и управляемости, самолеты данной серии могут быть приняты на снабжение ВВС (3251,3-6).</w:t>
      </w:r>
    </w:p>
    <w:p w14:paraId="475BD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DD99D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86495A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CE878E"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марта 1931 г. на ХПЗ в сборке находились уже три танка, а 31 марта была окончательно готова первая машина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 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7F332288" w14:textId="77777777" w:rsidR="00083CD8" w:rsidRPr="007122AB" w:rsidRDefault="00083CD8" w:rsidP="007122AB">
      <w:pPr>
        <w:spacing w:after="0" w:line="240" w:lineRule="auto"/>
        <w:jc w:val="both"/>
        <w:rPr>
          <w:rFonts w:ascii="Times New Roman" w:hAnsi="Times New Roman"/>
          <w:color w:val="000000" w:themeColor="text1"/>
          <w:sz w:val="16"/>
          <w:szCs w:val="16"/>
        </w:rPr>
      </w:pPr>
    </w:p>
    <w:p w14:paraId="67C0B4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марта 1930 г. были подготовлены СООБРАЖЕНИЯ НАЧАЛЬНИКА УММ КОМАНДУЮЩЕМУ ЛВО О СИСТЕМЕ ТАНКОВОГО ВООРУЖЕНИЯ РККА</w:t>
      </w:r>
    </w:p>
    <w:p w14:paraId="66D34E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w:t>
      </w:r>
    </w:p>
    <w:p w14:paraId="5365A6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Трехлетний опыт в строительстве и применении танков и анализ взглядов передовых в этом отношении армий дали достаточный материал для критической проверки утвержденной 18 июня 1929 г. системы автобронетанкового вооружения РККА, который и положен в основу настоящей разработки.</w:t>
      </w:r>
    </w:p>
    <w:p w14:paraId="7DB935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Принцип, положенный в основу разработки.</w:t>
      </w:r>
    </w:p>
    <w:p w14:paraId="455042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основу системы вооружения должно быть положено ограниченное количество основных образцов, из которых путем второстепенных изменений могут быть выработаны машины специального назначения. При выработке этих основных образцов, так называемых классов танков определяющим факто</w:t>
      </w:r>
      <w:r w:rsidRPr="007122AB">
        <w:rPr>
          <w:rFonts w:ascii="Times New Roman" w:hAnsi="Times New Roman"/>
          <w:color w:val="000000" w:themeColor="text1"/>
          <w:sz w:val="16"/>
          <w:szCs w:val="16"/>
        </w:rPr>
        <w:softHyphen/>
        <w:t>ром должно явиться не какое-либо специальное задание, могущее быть возложенным на данный тип ма</w:t>
      </w:r>
      <w:r w:rsidRPr="007122AB">
        <w:rPr>
          <w:rFonts w:ascii="Times New Roman" w:hAnsi="Times New Roman"/>
          <w:color w:val="000000" w:themeColor="text1"/>
          <w:sz w:val="16"/>
          <w:szCs w:val="16"/>
        </w:rPr>
        <w:softHyphen/>
        <w:t xml:space="preserve">шины, а та общая тактическая обстановка, в которой машина данного класса должна будет действовать. Эти основные образцы танков должны быть специально сконструированными, высококачественными боевыми машинами. Недостаток их и промышленные возможности могут вынудить прибегнуть к </w:t>
      </w:r>
      <w:proofErr w:type="spellStart"/>
      <w:r w:rsidRPr="007122AB">
        <w:rPr>
          <w:rFonts w:ascii="Times New Roman" w:hAnsi="Times New Roman"/>
          <w:color w:val="000000" w:themeColor="text1"/>
          <w:sz w:val="16"/>
          <w:szCs w:val="16"/>
        </w:rPr>
        <w:t>созда-рюо</w:t>
      </w:r>
      <w:proofErr w:type="spellEnd"/>
      <w:r w:rsidRPr="007122AB">
        <w:rPr>
          <w:rFonts w:ascii="Times New Roman" w:hAnsi="Times New Roman"/>
          <w:color w:val="000000" w:themeColor="text1"/>
          <w:sz w:val="16"/>
          <w:szCs w:val="16"/>
        </w:rPr>
        <w:t xml:space="preserve"> танков-суррогатов, однако эти последние не могут составлять скелета системы вооружения.</w:t>
      </w:r>
    </w:p>
    <w:p w14:paraId="331A89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Тактические условия, требующие создания основных типов танков.</w:t>
      </w:r>
    </w:p>
    <w:p w14:paraId="1C0FD1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Случаи тактической обстановки, требующие боевой машины танкового типа, т.е. бронированной, боевой гусеничной машины ударно-огневого действия, могут быть сведены к следующим основным группам:</w:t>
      </w:r>
    </w:p>
    <w:p w14:paraId="25DDAF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боевая разведка;</w:t>
      </w:r>
    </w:p>
    <w:p w14:paraId="44B4A8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непосредственная поддержка пехоты, наступающей на подготовленного к обороне противника;</w:t>
      </w:r>
    </w:p>
    <w:p w14:paraId="61C3E1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самостоятельные действия танков против подвижного противника или действия в составе подвижных войск;</w:t>
      </w:r>
    </w:p>
    <w:p w14:paraId="32A831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самостоятельные действия в глубине оборудованной оборонительной полосы противника.</w:t>
      </w:r>
    </w:p>
    <w:p w14:paraId="797367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Только эти типичные случаи тактической обстановки требуют выработки специфических классов танков; все остальные тактические задачи могут быть разрешены либо колесными боевыми машинами (разведка тактическая и охранительная), либо машинами одного из перечисленных классов, (иногда с второстепенными конструкторскими изменениями.</w:t>
      </w:r>
    </w:p>
    <w:p w14:paraId="5B4870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Типичные условия обстановки в их обобщенном виде применительно к перечисленным выше группам могут быть охарактеризованы следующим образом.</w:t>
      </w:r>
    </w:p>
    <w:p w14:paraId="051A30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Боевая разведка. Действиями тактической разведки установлено наличие противника. Требует</w:t>
      </w:r>
      <w:r w:rsidRPr="007122AB">
        <w:rPr>
          <w:rFonts w:ascii="Times New Roman" w:hAnsi="Times New Roman"/>
          <w:color w:val="000000" w:themeColor="text1"/>
          <w:sz w:val="16"/>
          <w:szCs w:val="16"/>
        </w:rPr>
        <w:softHyphen/>
        <w:t>ся вызвать его огонь и определить контур его расположения и его пехотные огневые средства, дейст</w:t>
      </w:r>
      <w:r w:rsidRPr="007122AB">
        <w:rPr>
          <w:rFonts w:ascii="Times New Roman" w:hAnsi="Times New Roman"/>
          <w:color w:val="000000" w:themeColor="text1"/>
          <w:sz w:val="16"/>
          <w:szCs w:val="16"/>
        </w:rPr>
        <w:softHyphen/>
        <w:t>вующие с переднего края (фронта, фланга), после чего немедленно вернуться с личным донесением. Огонь противника неорганизованный и не мощный, по преимуществу пулеметный, пребывание под огнем непродолжительно, действия вплотную к противнику не обязательны. Средство защиты танка - малая высота, большая поворотливость и скорость. Основное качество - круговой обзор и обстрел.</w:t>
      </w:r>
    </w:p>
    <w:p w14:paraId="58CBDA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Непосредственное сопровождение пехоты. Пехота атакует позицию главного сопротивления противника, но рискует быть оставленной не подавленными артиллерией огневыми точками про</w:t>
      </w:r>
      <w:r w:rsidRPr="007122AB">
        <w:rPr>
          <w:rFonts w:ascii="Times New Roman" w:hAnsi="Times New Roman"/>
          <w:color w:val="000000" w:themeColor="text1"/>
          <w:sz w:val="16"/>
          <w:szCs w:val="16"/>
        </w:rPr>
        <w:softHyphen/>
        <w:t>тивника. Задача танков - подавить огневые точки, т.е. пулеметы противника. Эти последние трудно обнаружимы, танки вынуждены их искать и часто возвращаться к своей пехоте. По танкам ведут огонь: часть станковых пулеметов, противотанковые орудия, кинжальные орудия полковой артилле</w:t>
      </w:r>
      <w:r w:rsidRPr="007122AB">
        <w:rPr>
          <w:rFonts w:ascii="Times New Roman" w:hAnsi="Times New Roman"/>
          <w:color w:val="000000" w:themeColor="text1"/>
          <w:sz w:val="16"/>
          <w:szCs w:val="16"/>
        </w:rPr>
        <w:softHyphen/>
        <w:t>рии и частично дивизионная артиллерия. Пребывание под огнем длительно, приходиться преодоле</w:t>
      </w:r>
      <w:r w:rsidRPr="007122AB">
        <w:rPr>
          <w:rFonts w:ascii="Times New Roman" w:hAnsi="Times New Roman"/>
          <w:color w:val="000000" w:themeColor="text1"/>
          <w:sz w:val="16"/>
          <w:szCs w:val="16"/>
        </w:rPr>
        <w:softHyphen/>
        <w:t>вать окопы, но возможно отыскание более удобных для этого мест. Средства защиты танка: сильное бронирование, достаточная подвижность.</w:t>
      </w:r>
    </w:p>
    <w:p w14:paraId="1F961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Основное качество - вооружение, способное подавить укрытый пулемет и бороться с бронеси</w:t>
      </w:r>
      <w:r w:rsidRPr="007122AB">
        <w:rPr>
          <w:rFonts w:ascii="Times New Roman" w:hAnsi="Times New Roman"/>
          <w:color w:val="000000" w:themeColor="text1"/>
          <w:sz w:val="16"/>
          <w:szCs w:val="16"/>
        </w:rPr>
        <w:softHyphen/>
        <w:t>лами и противотанковыми пушками.</w:t>
      </w:r>
    </w:p>
    <w:p w14:paraId="5C82AE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Действия с подвижными войсками. Подвижные войска развертываются, столкнувшись с под</w:t>
      </w:r>
      <w:r w:rsidRPr="007122AB">
        <w:rPr>
          <w:rFonts w:ascii="Times New Roman" w:hAnsi="Times New Roman"/>
          <w:color w:val="000000" w:themeColor="text1"/>
          <w:sz w:val="16"/>
          <w:szCs w:val="16"/>
        </w:rPr>
        <w:softHyphen/>
        <w:t>вижным и насыщенным огневыми средствами противником. Необходим быстрый и мощный удар, разбивающий боевой порядок противника и разбивающий его бронесилы. Танки атакуют самосто</w:t>
      </w:r>
      <w:r w:rsidRPr="007122AB">
        <w:rPr>
          <w:rFonts w:ascii="Times New Roman" w:hAnsi="Times New Roman"/>
          <w:color w:val="000000" w:themeColor="text1"/>
          <w:sz w:val="16"/>
          <w:szCs w:val="16"/>
        </w:rPr>
        <w:softHyphen/>
        <w:t>ятельно, не оглядываясь на сопровождение. Движение танков очень быстрое, пребывание под сис</w:t>
      </w:r>
      <w:r w:rsidRPr="007122AB">
        <w:rPr>
          <w:rFonts w:ascii="Times New Roman" w:hAnsi="Times New Roman"/>
          <w:color w:val="000000" w:themeColor="text1"/>
          <w:sz w:val="16"/>
          <w:szCs w:val="16"/>
        </w:rPr>
        <w:softHyphen/>
        <w:t>тематизированным огнем всех видов непродолжительное. Приходится преодолевать канавы, воз</w:t>
      </w:r>
      <w:r w:rsidRPr="007122AB">
        <w:rPr>
          <w:rFonts w:ascii="Times New Roman" w:hAnsi="Times New Roman"/>
          <w:color w:val="000000" w:themeColor="text1"/>
          <w:sz w:val="16"/>
          <w:szCs w:val="16"/>
        </w:rPr>
        <w:softHyphen/>
        <w:t>можно рвы и окопы. Средства защиты танка - большая скорость и поворотливость.</w:t>
      </w:r>
    </w:p>
    <w:p w14:paraId="1C5A6D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Основное качество - способность подавлять пулеметы и бороться с бронесилами и противотан</w:t>
      </w:r>
      <w:r w:rsidRPr="007122AB">
        <w:rPr>
          <w:rFonts w:ascii="Times New Roman" w:hAnsi="Times New Roman"/>
          <w:color w:val="000000" w:themeColor="text1"/>
          <w:sz w:val="16"/>
          <w:szCs w:val="16"/>
        </w:rPr>
        <w:softHyphen/>
        <w:t>ковыми пушками.</w:t>
      </w:r>
    </w:p>
    <w:p w14:paraId="5438DA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Действия в глубине оборудованной оборонительной полосы. Пехота с другими танками атакует позицию главного сопротивления; на данные танки возложена задача возможно быстрее проскочить оборонительную полосу противника и разгромить его средства усиления, управления и резер</w:t>
      </w:r>
      <w:r w:rsidRPr="007122AB">
        <w:rPr>
          <w:rFonts w:ascii="Times New Roman" w:hAnsi="Times New Roman"/>
          <w:color w:val="000000" w:themeColor="text1"/>
          <w:sz w:val="16"/>
          <w:szCs w:val="16"/>
        </w:rPr>
        <w:softHyphen/>
        <w:t>вы. Эти объекты большей частью подвижны и частью обладают большой огневой силой. При быст</w:t>
      </w:r>
      <w:r w:rsidRPr="007122AB">
        <w:rPr>
          <w:rFonts w:ascii="Times New Roman" w:hAnsi="Times New Roman"/>
          <w:color w:val="000000" w:themeColor="text1"/>
          <w:sz w:val="16"/>
          <w:szCs w:val="16"/>
        </w:rPr>
        <w:softHyphen/>
        <w:t>ром движении сквозь оборонительную полосу необходимо не задерживаться для отыскания удоб</w:t>
      </w:r>
      <w:r w:rsidRPr="007122AB">
        <w:rPr>
          <w:rFonts w:ascii="Times New Roman" w:hAnsi="Times New Roman"/>
          <w:color w:val="000000" w:themeColor="text1"/>
          <w:sz w:val="16"/>
          <w:szCs w:val="16"/>
        </w:rPr>
        <w:softHyphen/>
        <w:t>ных мест переходов через окопы, рвы и другие препятствия. Средства защиты танка - сильное бронирование и мощный огонь. Основное качество - легкое преодоление препятствий и дальность огня, способного пробивать броню.</w:t>
      </w:r>
    </w:p>
    <w:p w14:paraId="241D3E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Машины, способные к действиям в четырех приведенных выше типах обстановки, способны и к выполнению других задач. Так, машина первого типа, т.е. разведчик, пригодна для нападения из за</w:t>
      </w:r>
      <w:r w:rsidRPr="007122AB">
        <w:rPr>
          <w:rFonts w:ascii="Times New Roman" w:hAnsi="Times New Roman"/>
          <w:color w:val="000000" w:themeColor="text1"/>
          <w:sz w:val="16"/>
          <w:szCs w:val="16"/>
        </w:rPr>
        <w:softHyphen/>
        <w:t>сады и для преследования расстроенного противника; танк сопровождения пехоты может быть использован не только в группе НПП, но и в группе ДПП. Высокоподвижный танк может помимо дей</w:t>
      </w:r>
      <w:r w:rsidRPr="007122AB">
        <w:rPr>
          <w:rFonts w:ascii="Times New Roman" w:hAnsi="Times New Roman"/>
          <w:color w:val="000000" w:themeColor="text1"/>
          <w:sz w:val="16"/>
          <w:szCs w:val="16"/>
        </w:rPr>
        <w:softHyphen/>
        <w:t xml:space="preserve">ствий с подвижными войсками, т.е. конницей и мехчастями применяться и как танк НПП, ДПП и, в отдельных случаях, как танк ДД. Машина для действия в глубине - помимо своего прямого назначения в качестве танка дальнего действия (ДД) может служить мощным средством усиления танкового удара мехчастей или танком ПП в позиционной войне. Однако, основные назначения их </w:t>
      </w:r>
      <w:proofErr w:type="spellStart"/>
      <w:r w:rsidRPr="007122AB">
        <w:rPr>
          <w:rFonts w:ascii="Times New Roman" w:hAnsi="Times New Roman"/>
          <w:color w:val="000000" w:themeColor="text1"/>
          <w:sz w:val="16"/>
          <w:szCs w:val="16"/>
        </w:rPr>
        <w:t>остаюм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ся</w:t>
      </w:r>
      <w:proofErr w:type="spellEnd"/>
      <w:r w:rsidRPr="007122AB">
        <w:rPr>
          <w:rFonts w:ascii="Times New Roman" w:hAnsi="Times New Roman"/>
          <w:color w:val="000000" w:themeColor="text1"/>
          <w:sz w:val="16"/>
          <w:szCs w:val="16"/>
        </w:rPr>
        <w:t>, как было указано выше и соответственно этому казалось бы, что танки должны быть разделены на 4 класса: танки - разведчики, танки поддержки пехоты, танки механизированного маневра и тан</w:t>
      </w:r>
      <w:r w:rsidRPr="007122AB">
        <w:rPr>
          <w:rFonts w:ascii="Times New Roman" w:hAnsi="Times New Roman"/>
          <w:color w:val="000000" w:themeColor="text1"/>
          <w:sz w:val="16"/>
          <w:szCs w:val="16"/>
        </w:rPr>
        <w:softHyphen/>
        <w:t xml:space="preserve">ки дальнего действия. Однако: 1) желательно свести число классов к минимуму и 2) теоретическое изучение вопросов противотанковой обороны в перспективе недалекого будущего приводит к заключению, что в будущей войне никакая броня не спасет тихоходные танки от уничтожения. Имея в виду, что танки поддержки пехоты отличаются от танков механизированного маневра лишь более сильным бронированием и меньшим ходом - будет целесообразно поступиться бронированием объединить их в один класс, имеющий характеристику описанного выше танка для действий с по, </w:t>
      </w:r>
      <w:proofErr w:type="spellStart"/>
      <w:r w:rsidRPr="007122AB">
        <w:rPr>
          <w:rFonts w:ascii="Times New Roman" w:hAnsi="Times New Roman"/>
          <w:color w:val="000000" w:themeColor="text1"/>
          <w:sz w:val="16"/>
          <w:szCs w:val="16"/>
        </w:rPr>
        <w:t>вижными</w:t>
      </w:r>
      <w:proofErr w:type="spellEnd"/>
      <w:r w:rsidRPr="007122AB">
        <w:rPr>
          <w:rFonts w:ascii="Times New Roman" w:hAnsi="Times New Roman"/>
          <w:color w:val="000000" w:themeColor="text1"/>
          <w:sz w:val="16"/>
          <w:szCs w:val="16"/>
        </w:rPr>
        <w:t xml:space="preserve"> войсками. Этот танк служил бы и костяком легких </w:t>
      </w:r>
      <w:proofErr w:type="spellStart"/>
      <w:r w:rsidRPr="007122AB">
        <w:rPr>
          <w:rFonts w:ascii="Times New Roman" w:hAnsi="Times New Roman"/>
          <w:color w:val="000000" w:themeColor="text1"/>
          <w:sz w:val="16"/>
          <w:szCs w:val="16"/>
        </w:rPr>
        <w:t>мехсоединений</w:t>
      </w:r>
      <w:proofErr w:type="spellEnd"/>
      <w:r w:rsidRPr="007122AB">
        <w:rPr>
          <w:rFonts w:ascii="Times New Roman" w:hAnsi="Times New Roman"/>
          <w:color w:val="000000" w:themeColor="text1"/>
          <w:sz w:val="16"/>
          <w:szCs w:val="16"/>
        </w:rPr>
        <w:t xml:space="preserve">, задачам против </w:t>
      </w:r>
      <w:proofErr w:type="spellStart"/>
      <w:r w:rsidRPr="007122AB">
        <w:rPr>
          <w:rFonts w:ascii="Times New Roman" w:hAnsi="Times New Roman"/>
          <w:color w:val="000000" w:themeColor="text1"/>
          <w:sz w:val="16"/>
          <w:szCs w:val="16"/>
        </w:rPr>
        <w:t>ковой</w:t>
      </w:r>
      <w:proofErr w:type="spellEnd"/>
      <w:r w:rsidRPr="007122AB">
        <w:rPr>
          <w:rFonts w:ascii="Times New Roman" w:hAnsi="Times New Roman"/>
          <w:color w:val="000000" w:themeColor="text1"/>
          <w:sz w:val="16"/>
          <w:szCs w:val="16"/>
        </w:rPr>
        <w:t xml:space="preserve"> борьбы и задачам поддержки пехоты и конницы. В силу большого разнообразия мог быть им выполненными задач его уместно будет назвать танком сопровождения.</w:t>
      </w:r>
    </w:p>
    <w:p w14:paraId="10EE01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костяком системы танкового вооружения явились бы три класса танков: а) разведывательный танк (РТ), б) танк сопровождения (СТ), в) танк дальнего действия (ДД).</w:t>
      </w:r>
    </w:p>
    <w:p w14:paraId="15BB65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Нет надобности в создании специальных видов танков для истребления артиллерии, особо - истребления резервов, истребления штабов и т. п. - как в авиации нет самолетов истребителей разведчиков противника, истребителей его бомбардировщиков и т. п. Танк, предназначенный для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ты в группе ДА должен быть способен решать все боевые задачи групп ДД.</w:t>
      </w:r>
    </w:p>
    <w:p w14:paraId="5138C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Равным образом, нет необходимости ставить специальное тактическое задание на </w:t>
      </w:r>
      <w:proofErr w:type="spellStart"/>
      <w:r w:rsidRPr="007122AB">
        <w:rPr>
          <w:rFonts w:ascii="Times New Roman" w:hAnsi="Times New Roman"/>
          <w:color w:val="000000" w:themeColor="text1"/>
          <w:sz w:val="16"/>
          <w:szCs w:val="16"/>
        </w:rPr>
        <w:t>разраб</w:t>
      </w:r>
      <w:proofErr w:type="spellEnd"/>
      <w:r w:rsidRPr="007122AB">
        <w:rPr>
          <w:rFonts w:ascii="Times New Roman" w:hAnsi="Times New Roman"/>
          <w:color w:val="000000" w:themeColor="text1"/>
          <w:sz w:val="16"/>
          <w:szCs w:val="16"/>
        </w:rPr>
        <w:t xml:space="preserve"> танка десанта пехоты, как не ставится задача разработки танка - носителя пушки. Шасси трех приведенных классов танков могут быть использованы при конструировании всевозможных видов машин. К числу необходимых в первую очередь относятся: самоходное бронированное орудие сопровождения танков и вездеходный бронированный транспортер пехоты. Не исключена возможно разработки на этих же шасси различных вспомогательных машин (могущих быть и бронированными), например, для прокладки пути танкам и прочих видов саперных работ под огнем. Однако, эти машины будут по своему тактическому назначению не танками (в буквальном смысле этого </w:t>
      </w:r>
      <w:proofErr w:type="spellStart"/>
      <w:r w:rsidRPr="007122AB">
        <w:rPr>
          <w:rFonts w:ascii="Times New Roman" w:hAnsi="Times New Roman"/>
          <w:color w:val="000000" w:themeColor="text1"/>
          <w:sz w:val="16"/>
          <w:szCs w:val="16"/>
        </w:rPr>
        <w:t>словва</w:t>
      </w:r>
      <w:proofErr w:type="spellEnd"/>
      <w:r w:rsidRPr="007122AB">
        <w:rPr>
          <w:rFonts w:ascii="Times New Roman" w:hAnsi="Times New Roman"/>
          <w:color w:val="000000" w:themeColor="text1"/>
          <w:sz w:val="16"/>
          <w:szCs w:val="16"/>
        </w:rPr>
        <w:t xml:space="preserve">) и не должны быть положены в основу системы танкового вооружения. Поскольку может </w:t>
      </w:r>
      <w:proofErr w:type="spellStart"/>
      <w:r w:rsidRPr="007122AB">
        <w:rPr>
          <w:rFonts w:ascii="Times New Roman" w:hAnsi="Times New Roman"/>
          <w:color w:val="000000" w:themeColor="text1"/>
          <w:sz w:val="16"/>
          <w:szCs w:val="16"/>
        </w:rPr>
        <w:t>встатьвопрос</w:t>
      </w:r>
      <w:proofErr w:type="spellEnd"/>
      <w:r w:rsidRPr="007122AB">
        <w:rPr>
          <w:rFonts w:ascii="Times New Roman" w:hAnsi="Times New Roman"/>
          <w:color w:val="000000" w:themeColor="text1"/>
          <w:sz w:val="16"/>
          <w:szCs w:val="16"/>
        </w:rPr>
        <w:t xml:space="preserve"> о танках связи, т.е. машинах, работающих в составе танковых частей и подразделений, также необходимо отметить, что это должны быть обыкновенные танки, лишь частично разоруженные и до-</w:t>
      </w:r>
      <w:proofErr w:type="spellStart"/>
      <w:r w:rsidRPr="007122AB">
        <w:rPr>
          <w:rFonts w:ascii="Times New Roman" w:hAnsi="Times New Roman"/>
          <w:color w:val="000000" w:themeColor="text1"/>
          <w:sz w:val="16"/>
          <w:szCs w:val="16"/>
        </w:rPr>
        <w:t>ельно</w:t>
      </w:r>
      <w:proofErr w:type="spellEnd"/>
      <w:r w:rsidRPr="007122AB">
        <w:rPr>
          <w:rFonts w:ascii="Times New Roman" w:hAnsi="Times New Roman"/>
          <w:color w:val="000000" w:themeColor="text1"/>
          <w:sz w:val="16"/>
          <w:szCs w:val="16"/>
        </w:rPr>
        <w:t xml:space="preserve"> оборудованные. Они, опять-таки, не должны быть включаемы в систему танкового </w:t>
      </w:r>
      <w:proofErr w:type="spellStart"/>
      <w:r w:rsidRPr="007122AB">
        <w:rPr>
          <w:rFonts w:ascii="Times New Roman" w:hAnsi="Times New Roman"/>
          <w:color w:val="000000" w:themeColor="text1"/>
          <w:sz w:val="16"/>
          <w:szCs w:val="16"/>
        </w:rPr>
        <w:t>воо-кения</w:t>
      </w:r>
      <w:proofErr w:type="spellEnd"/>
      <w:r w:rsidRPr="007122AB">
        <w:rPr>
          <w:rFonts w:ascii="Times New Roman" w:hAnsi="Times New Roman"/>
          <w:color w:val="000000" w:themeColor="text1"/>
          <w:sz w:val="16"/>
          <w:szCs w:val="16"/>
        </w:rPr>
        <w:t xml:space="preserve"> в качестве самостоятельного класса танков. Это же относится и к </w:t>
      </w:r>
      <w:proofErr w:type="spellStart"/>
      <w:r w:rsidRPr="007122AB">
        <w:rPr>
          <w:rFonts w:ascii="Times New Roman" w:hAnsi="Times New Roman"/>
          <w:color w:val="000000" w:themeColor="text1"/>
          <w:sz w:val="16"/>
          <w:szCs w:val="16"/>
        </w:rPr>
        <w:t>телетанкам</w:t>
      </w:r>
      <w:proofErr w:type="spellEnd"/>
      <w:r w:rsidRPr="007122AB">
        <w:rPr>
          <w:rFonts w:ascii="Times New Roman" w:hAnsi="Times New Roman"/>
          <w:color w:val="000000" w:themeColor="text1"/>
          <w:sz w:val="16"/>
          <w:szCs w:val="16"/>
        </w:rPr>
        <w:t xml:space="preserve">. При постановке тактического задания на разработку конструкции танка того или иного класса </w:t>
      </w:r>
      <w:proofErr w:type="spellStart"/>
      <w:r w:rsidRPr="007122AB">
        <w:rPr>
          <w:rFonts w:ascii="Times New Roman" w:hAnsi="Times New Roman"/>
          <w:color w:val="000000" w:themeColor="text1"/>
          <w:sz w:val="16"/>
          <w:szCs w:val="16"/>
        </w:rPr>
        <w:t>кно</w:t>
      </w:r>
      <w:proofErr w:type="spellEnd"/>
      <w:r w:rsidRPr="007122AB">
        <w:rPr>
          <w:rFonts w:ascii="Times New Roman" w:hAnsi="Times New Roman"/>
          <w:color w:val="000000" w:themeColor="text1"/>
          <w:sz w:val="16"/>
          <w:szCs w:val="16"/>
        </w:rPr>
        <w:t xml:space="preserve"> быть указано:</w:t>
      </w:r>
    </w:p>
    <w:p w14:paraId="09FF06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основное назначение, б) возможные другие виды использования, в) вооружение и </w:t>
      </w:r>
      <w:proofErr w:type="spellStart"/>
      <w:r w:rsidRPr="007122AB">
        <w:rPr>
          <w:rFonts w:ascii="Times New Roman" w:hAnsi="Times New Roman"/>
          <w:color w:val="000000" w:themeColor="text1"/>
          <w:sz w:val="16"/>
          <w:szCs w:val="16"/>
        </w:rPr>
        <w:t>боекомп</w:t>
      </w:r>
      <w:proofErr w:type="spellEnd"/>
      <w:r w:rsidRPr="007122AB">
        <w:rPr>
          <w:rFonts w:ascii="Times New Roman" w:hAnsi="Times New Roman"/>
          <w:color w:val="000000" w:themeColor="text1"/>
          <w:sz w:val="16"/>
          <w:szCs w:val="16"/>
        </w:rPr>
        <w:t xml:space="preserve">-т, г) состав команды, д) скорость: максимальная, походная и боевая, е) запас хода, ж) оперативная </w:t>
      </w:r>
      <w:proofErr w:type="spellStart"/>
      <w:r w:rsidRPr="007122AB">
        <w:rPr>
          <w:rFonts w:ascii="Times New Roman" w:hAnsi="Times New Roman"/>
          <w:color w:val="000000" w:themeColor="text1"/>
          <w:sz w:val="16"/>
          <w:szCs w:val="16"/>
        </w:rPr>
        <w:t>вижность</w:t>
      </w:r>
      <w:proofErr w:type="spellEnd"/>
      <w:r w:rsidRPr="007122AB">
        <w:rPr>
          <w:rFonts w:ascii="Times New Roman" w:hAnsi="Times New Roman"/>
          <w:color w:val="000000" w:themeColor="text1"/>
          <w:sz w:val="16"/>
          <w:szCs w:val="16"/>
        </w:rPr>
        <w:t xml:space="preserve">, з) броневая защита, и) ширина перекрытия, к) высота зацепа, л) глубина брода, м) вес, </w:t>
      </w:r>
      <w:proofErr w:type="spellStart"/>
      <w:r w:rsidRPr="007122AB">
        <w:rPr>
          <w:rFonts w:ascii="Times New Roman" w:hAnsi="Times New Roman"/>
          <w:color w:val="000000" w:themeColor="text1"/>
          <w:sz w:val="16"/>
          <w:szCs w:val="16"/>
        </w:rPr>
        <w:t>очие</w:t>
      </w:r>
      <w:proofErr w:type="spellEnd"/>
      <w:r w:rsidRPr="007122AB">
        <w:rPr>
          <w:rFonts w:ascii="Times New Roman" w:hAnsi="Times New Roman"/>
          <w:color w:val="000000" w:themeColor="text1"/>
          <w:sz w:val="16"/>
          <w:szCs w:val="16"/>
        </w:rPr>
        <w:t xml:space="preserve"> требования, о) какие требования могут быть снижены без искажения самой идеи данной </w:t>
      </w:r>
      <w:proofErr w:type="spellStart"/>
      <w:r w:rsidRPr="007122AB">
        <w:rPr>
          <w:rFonts w:ascii="Times New Roman" w:hAnsi="Times New Roman"/>
          <w:color w:val="000000" w:themeColor="text1"/>
          <w:sz w:val="16"/>
          <w:szCs w:val="16"/>
        </w:rPr>
        <w:t>нны</w:t>
      </w:r>
      <w:proofErr w:type="spellEnd"/>
      <w:r w:rsidRPr="007122AB">
        <w:rPr>
          <w:rFonts w:ascii="Times New Roman" w:hAnsi="Times New Roman"/>
          <w:color w:val="000000" w:themeColor="text1"/>
          <w:sz w:val="16"/>
          <w:szCs w:val="16"/>
        </w:rPr>
        <w:t>. В) Тактические задания на разработку основных классов танков системы танкового вооружения</w:t>
      </w:r>
    </w:p>
    <w:p w14:paraId="179F3A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Разведывательный танк (РТ)</w:t>
      </w:r>
    </w:p>
    <w:p w14:paraId="529294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Основное назначение: боевая разведка уже обнаруженного противника.</w:t>
      </w:r>
    </w:p>
    <w:p w14:paraId="5C5FED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Возможное использование: преследование, внезапное огневое нападение из засад, охранение </w:t>
      </w:r>
      <w:proofErr w:type="spellStart"/>
      <w:r w:rsidRPr="007122AB">
        <w:rPr>
          <w:rFonts w:ascii="Times New Roman" w:hAnsi="Times New Roman"/>
          <w:color w:val="000000" w:themeColor="text1"/>
          <w:sz w:val="16"/>
          <w:szCs w:val="16"/>
        </w:rPr>
        <w:t>инковых</w:t>
      </w:r>
      <w:proofErr w:type="spellEnd"/>
      <w:r w:rsidRPr="007122AB">
        <w:rPr>
          <w:rFonts w:ascii="Times New Roman" w:hAnsi="Times New Roman"/>
          <w:color w:val="000000" w:themeColor="text1"/>
          <w:sz w:val="16"/>
          <w:szCs w:val="16"/>
        </w:rPr>
        <w:t xml:space="preserve"> частей, связь в бою.</w:t>
      </w:r>
    </w:p>
    <w:p w14:paraId="67318E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танковый пулемет с круговым обстрелом, боевой запас 1500 патронов.</w:t>
      </w:r>
    </w:p>
    <w:p w14:paraId="733D98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Команда: два человека.</w:t>
      </w:r>
    </w:p>
    <w:p w14:paraId="1D2021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походная 20 км/ч, предельная 35 км/ч, боевая 10-15 км/ч.</w:t>
      </w:r>
    </w:p>
    <w:p w14:paraId="74C332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не менее 120 км.</w:t>
      </w:r>
    </w:p>
    <w:p w14:paraId="7F6707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Оперативная подвижность 200 км в сутки.</w:t>
      </w:r>
    </w:p>
    <w:p w14:paraId="2E9519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Броневая защита от простых пуль на всех дистанциях, от бронебойных на 200 м.</w:t>
      </w:r>
    </w:p>
    <w:p w14:paraId="28FE08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преодолеваемого рва 1,5 м.</w:t>
      </w:r>
    </w:p>
    <w:p w14:paraId="3496FC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зацепа 0,6 м.</w:t>
      </w:r>
    </w:p>
    <w:p w14:paraId="1F500A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брода 0,7 м.</w:t>
      </w:r>
    </w:p>
    <w:p w14:paraId="5CBAA4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не свыше 3,5 тонн.</w:t>
      </w:r>
    </w:p>
    <w:p w14:paraId="7F3B0B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Особые требования: круговой обстрел и обзор.</w:t>
      </w:r>
    </w:p>
    <w:p w14:paraId="173243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Танк сопровождения (СТ)</w:t>
      </w:r>
    </w:p>
    <w:p w14:paraId="7E654B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Основное назначение: быстрый маневр в глубь расположения противника, уничтожение его </w:t>
      </w:r>
      <w:proofErr w:type="spellStart"/>
      <w:r w:rsidRPr="007122AB">
        <w:rPr>
          <w:rFonts w:ascii="Times New Roman" w:hAnsi="Times New Roman"/>
          <w:color w:val="000000" w:themeColor="text1"/>
          <w:sz w:val="16"/>
          <w:szCs w:val="16"/>
        </w:rPr>
        <w:t>бронесредств</w:t>
      </w:r>
      <w:proofErr w:type="spellEnd"/>
      <w:r w:rsidRPr="007122AB">
        <w:rPr>
          <w:rFonts w:ascii="Times New Roman" w:hAnsi="Times New Roman"/>
          <w:color w:val="000000" w:themeColor="text1"/>
          <w:sz w:val="16"/>
          <w:szCs w:val="16"/>
        </w:rPr>
        <w:t>, огневых точек и живой силы. Основа механизированных войск.</w:t>
      </w:r>
    </w:p>
    <w:p w14:paraId="0F0A29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Возможное использование: непосредственная поддержка пехоты и кавалерии, уничтожение противотанковых средств в полосе главного сопротивления, самостоятельные действия в глубине обороны противника.</w:t>
      </w:r>
    </w:p>
    <w:p w14:paraId="13DA61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w:t>
      </w:r>
      <w:proofErr w:type="spellStart"/>
      <w:r w:rsidRPr="007122AB">
        <w:rPr>
          <w:rFonts w:ascii="Times New Roman" w:hAnsi="Times New Roman"/>
          <w:color w:val="000000" w:themeColor="text1"/>
          <w:sz w:val="16"/>
          <w:szCs w:val="16"/>
        </w:rPr>
        <w:t>противоброневая</w:t>
      </w:r>
      <w:proofErr w:type="spellEnd"/>
      <w:r w:rsidRPr="007122AB">
        <w:rPr>
          <w:rFonts w:ascii="Times New Roman" w:hAnsi="Times New Roman"/>
          <w:color w:val="000000" w:themeColor="text1"/>
          <w:sz w:val="16"/>
          <w:szCs w:val="16"/>
        </w:rPr>
        <w:t xml:space="preserve"> пушка с круговым обстрелом и танковый пулемет. Не менее 100 выстрелов и 2000 патронов.</w:t>
      </w:r>
    </w:p>
    <w:p w14:paraId="3BEB1B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Команда: 3 человека.</w:t>
      </w:r>
    </w:p>
    <w:p w14:paraId="457EB7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походная 25 км/ч, предельная 40 км/ч, боевая 15 - 20 км/ч.</w:t>
      </w:r>
    </w:p>
    <w:p w14:paraId="294D23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180 км.</w:t>
      </w:r>
    </w:p>
    <w:p w14:paraId="0F6098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Оперативная подвижность 200 км в сутки.</w:t>
      </w:r>
    </w:p>
    <w:p w14:paraId="07C9F8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Броневая защита от остроконечных и бронебойных пуль на всех дистанциях.</w:t>
      </w:r>
    </w:p>
    <w:p w14:paraId="6A4F09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преодолеваемого рва 2 м.</w:t>
      </w:r>
    </w:p>
    <w:p w14:paraId="753462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зацепа 0,7 м.</w:t>
      </w:r>
    </w:p>
    <w:p w14:paraId="75AD41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брода 1 м.</w:t>
      </w:r>
    </w:p>
    <w:p w14:paraId="12AB38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не более 8 т.</w:t>
      </w:r>
    </w:p>
    <w:p w14:paraId="4D9585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Танк дальнего действия (ДД,)</w:t>
      </w:r>
    </w:p>
    <w:p w14:paraId="7C2525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Основное назначение - быстро проходить полосу главного сопротивления противника и подав</w:t>
      </w:r>
      <w:r w:rsidRPr="007122AB">
        <w:rPr>
          <w:rFonts w:ascii="Times New Roman" w:hAnsi="Times New Roman"/>
          <w:color w:val="000000" w:themeColor="text1"/>
          <w:sz w:val="16"/>
          <w:szCs w:val="16"/>
        </w:rPr>
        <w:softHyphen/>
        <w:t>лять артиллерию, резервы и штабы.</w:t>
      </w:r>
    </w:p>
    <w:p w14:paraId="381EEC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Возможное использование — как средство усиления удара танков сопровождения в мехчастях, как танк поддержки пехоты в позиционной войне.</w:t>
      </w:r>
    </w:p>
    <w:p w14:paraId="1557D6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w:t>
      </w:r>
      <w:proofErr w:type="spellStart"/>
      <w:r w:rsidRPr="007122AB">
        <w:rPr>
          <w:rFonts w:ascii="Times New Roman" w:hAnsi="Times New Roman"/>
          <w:color w:val="000000" w:themeColor="text1"/>
          <w:sz w:val="16"/>
          <w:szCs w:val="16"/>
        </w:rPr>
        <w:t>противоброневая</w:t>
      </w:r>
      <w:proofErr w:type="spellEnd"/>
      <w:r w:rsidRPr="007122AB">
        <w:rPr>
          <w:rFonts w:ascii="Times New Roman" w:hAnsi="Times New Roman"/>
          <w:color w:val="000000" w:themeColor="text1"/>
          <w:sz w:val="16"/>
          <w:szCs w:val="16"/>
        </w:rPr>
        <w:t xml:space="preserve"> пушка с круговым обстрелом и несколько пулеметов, из них один с круговым обстрелом, 150 выстрелов, в том числе фугасные и зажигательные, 5000 патронов.</w:t>
      </w:r>
    </w:p>
    <w:p w14:paraId="65C966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Подрывные средства.</w:t>
      </w:r>
    </w:p>
    <w:p w14:paraId="7A67FC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Команда: не менее 5 человек.</w:t>
      </w:r>
    </w:p>
    <w:p w14:paraId="024FE0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походная 25 км/ч, предельная 35 км/ч, боевая 20 - 25 км/ч.</w:t>
      </w:r>
    </w:p>
    <w:p w14:paraId="4D7581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 - 200 км.</w:t>
      </w:r>
    </w:p>
    <w:p w14:paraId="2FF020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Оперативная подвижность — 250-300 км в сутки.</w:t>
      </w:r>
    </w:p>
    <w:p w14:paraId="2A1EB8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Броневая защита от бронебойных пуль 5-линейного пулемета на всех дистанциях.</w:t>
      </w:r>
    </w:p>
    <w:p w14:paraId="778BFA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преодолеваемого рва - 2,5 м.</w:t>
      </w:r>
    </w:p>
    <w:p w14:paraId="5011FE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зацепа не менее 1 м.</w:t>
      </w:r>
    </w:p>
    <w:p w14:paraId="5D59D6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брода не менее 1 м.</w:t>
      </w:r>
    </w:p>
    <w:p w14:paraId="5A8A2D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не выше 16 тонн.</w:t>
      </w:r>
    </w:p>
    <w:p w14:paraId="020189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Особые требования: легкое преодоление препятствий, пушечный огонь на дистанции до 2 км, достаточная меткость огня с хода на 1000 м, отличные условия наблюдения, большие углы склоне</w:t>
      </w:r>
      <w:r w:rsidRPr="007122AB">
        <w:rPr>
          <w:rFonts w:ascii="Times New Roman" w:hAnsi="Times New Roman"/>
          <w:color w:val="000000" w:themeColor="text1"/>
          <w:sz w:val="16"/>
          <w:szCs w:val="16"/>
        </w:rPr>
        <w:softHyphen/>
        <w:t>ния, по крайней мере, двух пулеметов.</w:t>
      </w:r>
    </w:p>
    <w:p w14:paraId="1008D8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Управления по механизации и моторизации РККА;</w:t>
      </w:r>
    </w:p>
    <w:p w14:paraId="3E76B8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Халепский</w:t>
      </w:r>
      <w:proofErr w:type="spellEnd"/>
    </w:p>
    <w:p w14:paraId="6B9EF3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 31811.ОП.2. Д. 77. Л. 18-21. Копия (11210).</w:t>
      </w:r>
    </w:p>
    <w:p w14:paraId="4BDEB1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A570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E2A4A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8122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марта 1931 года № 192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подготовил:</w:t>
      </w:r>
    </w:p>
    <w:p w14:paraId="001FED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 о положении самолета с разрезными крыльями Горелова и стального самолета группы инженера Путилова (НИИ ВОГВФ).</w:t>
      </w:r>
    </w:p>
    <w:p w14:paraId="63D523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Горелова</w:t>
      </w:r>
    </w:p>
    <w:p w14:paraId="02B9E6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выходе на аэродром самолета Горелова осенью 1930 года самолет при рулежке подломил шасси ввиду его неудовлетворительной конструкции. До настоящего времени шасси переделывается заводом № 39.</w:t>
      </w:r>
    </w:p>
    <w:p w14:paraId="30C104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Стальной самолет</w:t>
      </w:r>
    </w:p>
    <w:p w14:paraId="77DF11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стального пассажирского самолета под мотор М-26 или РайтJ-6 закончено. Самолет находится в стадии постройки. Срок выпуска самолета на аэродром 1 мая 1931 года по-видимому выдержан не будет (6948, 129).</w:t>
      </w:r>
    </w:p>
    <w:p w14:paraId="439C8E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из стали пассажирского типа (4-х местный) пол мотор М26 или Райт 96 осуществляется НИИ ВОГВФ под руководством конструктора Путилова. Проектирование закончено и самолет находится в производстве в мастерских НИИ ВОГВФ. Выпуск самолета задерживается из-за недостатка прокатной стали.</w:t>
      </w:r>
    </w:p>
    <w:p w14:paraId="68206D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Горелова осуществляется </w:t>
      </w:r>
      <w:proofErr w:type="spellStart"/>
      <w:r w:rsidRPr="007122AB">
        <w:rPr>
          <w:rFonts w:ascii="Times New Roman" w:hAnsi="Times New Roman"/>
          <w:color w:val="000000" w:themeColor="text1"/>
          <w:sz w:val="16"/>
          <w:szCs w:val="16"/>
        </w:rPr>
        <w:t>Авиаотделом</w:t>
      </w:r>
      <w:proofErr w:type="spellEnd"/>
      <w:r w:rsidRPr="007122AB">
        <w:rPr>
          <w:rFonts w:ascii="Times New Roman" w:hAnsi="Times New Roman"/>
          <w:color w:val="000000" w:themeColor="text1"/>
          <w:sz w:val="16"/>
          <w:szCs w:val="16"/>
        </w:rPr>
        <w:t xml:space="preserve"> ОСОАВИАХИМА под руководством конструктора инженера Горелова. Для ремонта и доделки самолета решено его передать в организованное Бюро Особых Конструкций (БОК) при ЦАГИ (6948, 130).</w:t>
      </w:r>
    </w:p>
    <w:p w14:paraId="3F0A25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FC9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марта 1931 г. </w:t>
      </w:r>
      <w:proofErr w:type="spellStart"/>
      <w:r w:rsidRPr="007122AB">
        <w:rPr>
          <w:rFonts w:ascii="Times New Roman" w:hAnsi="Times New Roman"/>
          <w:color w:val="000000" w:themeColor="text1"/>
          <w:sz w:val="16"/>
          <w:szCs w:val="16"/>
        </w:rPr>
        <w:t>Скржинский</w:t>
      </w:r>
      <w:proofErr w:type="spellEnd"/>
      <w:r w:rsidRPr="007122AB">
        <w:rPr>
          <w:rFonts w:ascii="Times New Roman" w:hAnsi="Times New Roman"/>
          <w:color w:val="000000" w:themeColor="text1"/>
          <w:sz w:val="16"/>
          <w:szCs w:val="16"/>
        </w:rPr>
        <w:t xml:space="preserve"> пи</w:t>
      </w:r>
      <w:r w:rsidRPr="007122AB">
        <w:rPr>
          <w:rFonts w:ascii="Times New Roman" w:hAnsi="Times New Roman"/>
          <w:color w:val="000000" w:themeColor="text1"/>
          <w:sz w:val="16"/>
          <w:szCs w:val="16"/>
        </w:rPr>
        <w:softHyphen/>
        <w:t>шет Камову:</w:t>
      </w:r>
    </w:p>
    <w:p w14:paraId="0CC5F4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«Дорогой Николай Ильич!</w:t>
      </w:r>
    </w:p>
    <w:p w14:paraId="213C37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ничего по нашему делу сейчас не делаю, т.к. до чрезвычайности за</w:t>
      </w:r>
      <w:r w:rsidRPr="007122AB">
        <w:rPr>
          <w:rFonts w:ascii="Times New Roman" w:hAnsi="Times New Roman"/>
          <w:color w:val="000000" w:themeColor="text1"/>
          <w:sz w:val="16"/>
          <w:szCs w:val="16"/>
        </w:rPr>
        <w:softHyphen/>
        <w:t xml:space="preserve">гружен. Баранов просил отпустить меня, Кричевского и Чернавского, на что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не согласился. Так что в этом отношении перспективы неважные...</w:t>
      </w:r>
    </w:p>
    <w:p w14:paraId="1E3C41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...по-видимому, на дальнейшее проектирование времени выбрать не удастся. Хорошо бы, если бы Вы приехали, одному мне разрешить раз</w:t>
      </w:r>
      <w:r w:rsidRPr="007122AB">
        <w:rPr>
          <w:rFonts w:ascii="Times New Roman" w:hAnsi="Times New Roman"/>
          <w:color w:val="000000" w:themeColor="text1"/>
          <w:sz w:val="16"/>
          <w:szCs w:val="16"/>
        </w:rPr>
        <w:softHyphen/>
        <w:t>личные оргвопросы менее удобно. Постарайтесь приехать, если сможе</w:t>
      </w:r>
      <w:r w:rsidRPr="007122AB">
        <w:rPr>
          <w:rFonts w:ascii="Times New Roman" w:hAnsi="Times New Roman"/>
          <w:color w:val="000000" w:themeColor="text1"/>
          <w:sz w:val="16"/>
          <w:szCs w:val="16"/>
        </w:rPr>
        <w:softHyphen/>
        <w:t>те. При такой повседневной нагрузке нет энергии думать о чем-либо другом, кроме службы...» (10224,34).</w:t>
      </w:r>
    </w:p>
    <w:p w14:paraId="08A595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00E8B" w14:textId="77777777" w:rsidR="00083CD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EAD220" w14:textId="77777777" w:rsidR="00083CD8" w:rsidRPr="007122AB" w:rsidRDefault="00083CD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8BD11F" w14:textId="77777777" w:rsidR="00083CD8" w:rsidRPr="007122AB" w:rsidRDefault="00083CD8"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марта</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30. 11. О ходе работ на Сталинградском тракторном заводе (ПБ от 10 декабря 1930 г., пр. № 20, п. 4/10). 39. О кадрах командного состава </w:t>
      </w:r>
      <w:proofErr w:type="spellStart"/>
      <w:r w:rsidRPr="007122AB">
        <w:rPr>
          <w:rFonts w:ascii="Times New Roman" w:hAnsi="Times New Roman"/>
          <w:color w:val="000000" w:themeColor="text1"/>
          <w:sz w:val="16"/>
          <w:szCs w:val="16"/>
          <w:u w:color="002060"/>
        </w:rPr>
        <w:t>НКВоенмора</w:t>
      </w:r>
      <w:proofErr w:type="spellEnd"/>
      <w:r w:rsidRPr="007122AB">
        <w:rPr>
          <w:rFonts w:ascii="Times New Roman" w:hAnsi="Times New Roman"/>
          <w:color w:val="000000" w:themeColor="text1"/>
          <w:sz w:val="16"/>
          <w:szCs w:val="16"/>
          <w:u w:color="002060"/>
        </w:rPr>
        <w:t xml:space="preserve"> (ПБ от 25 февраля 1931 г., пр. № 27, п. 27). 40. О комплектовании военно-воздушных школ РККА. (Политбюро... Т. 2. С. 141, 142) (12416).</w:t>
      </w:r>
    </w:p>
    <w:p w14:paraId="39E24E48" w14:textId="77777777" w:rsidR="00083CD8" w:rsidRPr="007122AB" w:rsidRDefault="00083CD8" w:rsidP="007122AB">
      <w:pPr>
        <w:spacing w:after="0" w:line="240" w:lineRule="auto"/>
        <w:jc w:val="both"/>
        <w:rPr>
          <w:rFonts w:ascii="Times New Roman" w:hAnsi="Times New Roman"/>
          <w:color w:val="000000" w:themeColor="text1"/>
          <w:sz w:val="16"/>
          <w:szCs w:val="16"/>
          <w:u w:color="002060"/>
        </w:rPr>
      </w:pPr>
    </w:p>
    <w:p w14:paraId="39E1E697"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25 марта 1931 </w:t>
      </w:r>
      <w:r w:rsidRPr="007122AB">
        <w:rPr>
          <w:rFonts w:ascii="Times New Roman" w:hAnsi="Times New Roman"/>
          <w:color w:val="000000" w:themeColor="text1"/>
          <w:sz w:val="16"/>
          <w:szCs w:val="16"/>
        </w:rPr>
        <w:t>Политбюро ЦК ВКП (б) приняло постановления: о дополнительных вложениях в капитальное строительство промышленности ВСНХ и об источниках их покрытия, об облегченном стандартном жилищном строительстве в Донбассе и Кузбассе в 1931 г., о полном прекращении командировок рабочих на нужды текущих кампаний (12265).</w:t>
      </w:r>
    </w:p>
    <w:p w14:paraId="2A57FECE"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 ВКП (б) и СНК приняли постановление «О полном прекращении мобилизации рабочих от станка на нужды текущих кампаний местными партийными, советскими и другими организациями» (12265).</w:t>
      </w:r>
    </w:p>
    <w:p w14:paraId="0CD6F769"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9DB1A45" w14:textId="77777777" w:rsidR="006A088C" w:rsidRPr="007122AB" w:rsidRDefault="006A088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марта 1931 г. вышло Постановление ВСНХ № 710 «О быстроходных дизелях», которое возлагало на НАМИ научно-исследовательскую и конструктор</w:t>
      </w:r>
      <w:r w:rsidRPr="007122AB">
        <w:rPr>
          <w:rFonts w:ascii="Times New Roman" w:hAnsi="Times New Roman"/>
          <w:color w:val="000000" w:themeColor="text1"/>
          <w:sz w:val="16"/>
          <w:szCs w:val="16"/>
        </w:rPr>
        <w:softHyphen/>
        <w:t xml:space="preserve">скую работу по автотракторным дизелям. Институту поручалось проведение сравнительных испытаний новейших зарубежных образцов. </w:t>
      </w:r>
      <w:proofErr w:type="spellStart"/>
      <w:r w:rsidRPr="007122AB">
        <w:rPr>
          <w:rFonts w:ascii="Times New Roman" w:hAnsi="Times New Roman"/>
          <w:color w:val="000000" w:themeColor="text1"/>
          <w:sz w:val="16"/>
          <w:szCs w:val="16"/>
        </w:rPr>
        <w:t>Иносектору</w:t>
      </w:r>
      <w:proofErr w:type="spellEnd"/>
      <w:r w:rsidRPr="007122AB">
        <w:rPr>
          <w:rFonts w:ascii="Times New Roman" w:hAnsi="Times New Roman"/>
          <w:color w:val="000000" w:themeColor="text1"/>
          <w:sz w:val="16"/>
          <w:szCs w:val="16"/>
        </w:rPr>
        <w:t xml:space="preserve"> ВСНХ СССР, ВАТО и НАМИ предписывалось немедленно организовать конкурс между лучшими европейскими фирмами, строящими автотракторные дизели.</w:t>
      </w:r>
    </w:p>
    <w:p w14:paraId="158BBE2F" w14:textId="77777777" w:rsidR="006A088C" w:rsidRPr="007122AB" w:rsidRDefault="006A088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выполнения поставленных задач ВАТО долж</w:t>
      </w:r>
      <w:r w:rsidRPr="007122AB">
        <w:rPr>
          <w:rFonts w:ascii="Times New Roman" w:hAnsi="Times New Roman"/>
          <w:color w:val="000000" w:themeColor="text1"/>
          <w:sz w:val="16"/>
          <w:szCs w:val="16"/>
        </w:rPr>
        <w:softHyphen/>
        <w:t>но было пустить в строй Опытный завод НАМИ и ди</w:t>
      </w:r>
      <w:r w:rsidRPr="007122AB">
        <w:rPr>
          <w:rFonts w:ascii="Times New Roman" w:hAnsi="Times New Roman"/>
          <w:color w:val="000000" w:themeColor="text1"/>
          <w:sz w:val="16"/>
          <w:szCs w:val="16"/>
        </w:rPr>
        <w:softHyphen/>
        <w:t xml:space="preserve">зельные лаборатории института. </w:t>
      </w:r>
      <w:proofErr w:type="spellStart"/>
      <w:r w:rsidRPr="007122AB">
        <w:rPr>
          <w:rFonts w:ascii="Times New Roman" w:hAnsi="Times New Roman"/>
          <w:color w:val="000000" w:themeColor="text1"/>
          <w:sz w:val="16"/>
          <w:szCs w:val="16"/>
        </w:rPr>
        <w:t>Главмашпрому</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Стройсектору</w:t>
      </w:r>
      <w:proofErr w:type="spellEnd"/>
      <w:r w:rsidRPr="007122AB">
        <w:rPr>
          <w:rFonts w:ascii="Times New Roman" w:hAnsi="Times New Roman"/>
          <w:color w:val="000000" w:themeColor="text1"/>
          <w:sz w:val="16"/>
          <w:szCs w:val="16"/>
        </w:rPr>
        <w:t xml:space="preserve"> ВСНХ предписывалось принять необ</w:t>
      </w:r>
      <w:r w:rsidRPr="007122AB">
        <w:rPr>
          <w:rFonts w:ascii="Times New Roman" w:hAnsi="Times New Roman"/>
          <w:color w:val="000000" w:themeColor="text1"/>
          <w:sz w:val="16"/>
          <w:szCs w:val="16"/>
        </w:rPr>
        <w:softHyphen/>
        <w:t>ходимые меры к форсированию строительства НАМИ (22518).</w:t>
      </w:r>
    </w:p>
    <w:p w14:paraId="2D0BC0E1" w14:textId="77777777" w:rsidR="006A088C" w:rsidRPr="007122AB" w:rsidRDefault="006A088C" w:rsidP="007122AB">
      <w:pPr>
        <w:spacing w:after="0" w:line="240" w:lineRule="auto"/>
        <w:jc w:val="both"/>
        <w:rPr>
          <w:rFonts w:ascii="Times New Roman" w:hAnsi="Times New Roman"/>
          <w:color w:val="000000" w:themeColor="text1"/>
          <w:sz w:val="16"/>
          <w:szCs w:val="16"/>
        </w:rPr>
      </w:pPr>
    </w:p>
    <w:p w14:paraId="2DDE3111" w14:textId="77777777" w:rsidR="001707A1" w:rsidRPr="007122AB" w:rsidRDefault="001707A1"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25 марта 1931 г.</w:t>
      </w:r>
      <w:r w:rsidRPr="007122AB">
        <w:rPr>
          <w:rFonts w:ascii="Times New Roman" w:hAnsi="Times New Roman"/>
          <w:color w:val="000000" w:themeColor="text1"/>
          <w:sz w:val="16"/>
          <w:szCs w:val="16"/>
        </w:rPr>
        <w:t xml:space="preserve"> Приказ по ИХО ВОХИМУ РККА (Москва, Богородское) о результатах вскрытия и определения содержимого «</w:t>
      </w:r>
      <w:r w:rsidRPr="007122AB">
        <w:rPr>
          <w:rFonts w:ascii="Times New Roman" w:hAnsi="Times New Roman"/>
          <w:iCs/>
          <w:color w:val="000000" w:themeColor="text1"/>
          <w:sz w:val="16"/>
          <w:szCs w:val="16"/>
        </w:rPr>
        <w:t>баллонов с ОВ, находящихся на Богородском складе</w:t>
      </w:r>
      <w:r w:rsidRPr="007122AB">
        <w:rPr>
          <w:rFonts w:ascii="Times New Roman" w:hAnsi="Times New Roman"/>
          <w:color w:val="000000" w:themeColor="text1"/>
          <w:sz w:val="16"/>
          <w:szCs w:val="16"/>
        </w:rPr>
        <w:t>». Всего «</w:t>
      </w:r>
      <w:r w:rsidRPr="007122AB">
        <w:rPr>
          <w:rFonts w:ascii="Times New Roman" w:hAnsi="Times New Roman"/>
          <w:iCs/>
          <w:color w:val="000000" w:themeColor="text1"/>
          <w:sz w:val="16"/>
          <w:szCs w:val="16"/>
        </w:rPr>
        <w:t>в ударном порядке</w:t>
      </w:r>
      <w:r w:rsidRPr="007122AB">
        <w:rPr>
          <w:rFonts w:ascii="Times New Roman" w:hAnsi="Times New Roman"/>
          <w:color w:val="000000" w:themeColor="text1"/>
          <w:sz w:val="16"/>
          <w:szCs w:val="16"/>
        </w:rPr>
        <w:t>» было вскрыто 210 баллонов. Богородский склад примыкал к ИХО (НИХИ) и был заброшен промышленностью, а в дальнейшем вошел в состав НИХИ-ЦНИВТИ. Данных об обследовании забытого склада и о реабилитации его территории не имеется (17133).</w:t>
      </w:r>
    </w:p>
    <w:p w14:paraId="400D1C50" w14:textId="77777777" w:rsidR="001707A1" w:rsidRPr="007122AB" w:rsidRDefault="001707A1" w:rsidP="007122AB">
      <w:pPr>
        <w:shd w:val="clear" w:color="auto" w:fill="FFFFFF"/>
        <w:spacing w:after="0" w:line="240" w:lineRule="auto"/>
        <w:jc w:val="both"/>
        <w:rPr>
          <w:rFonts w:ascii="Times New Roman" w:hAnsi="Times New Roman"/>
          <w:color w:val="000000" w:themeColor="text1"/>
          <w:sz w:val="16"/>
          <w:szCs w:val="16"/>
        </w:rPr>
      </w:pPr>
    </w:p>
    <w:p w14:paraId="5203F94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D803A2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436D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марта 1931 года вышел приказ по Институту химической обороны РККА (ИХО-НИХИ-ЦНИВТИ) о вскрытии и определении содержимого баллонов с ОВ на Богородском складе. Склад этот не принадлежал армии и примыкал к институту. Всего "в ударном порядке" было вскрыто не один и не два, а 210 баллонов. Между тем склад был по существу забыт. Месяцем позже появился новый приказ, на этот раз по мотивам тушения большого пожара в здании. После пожара пришлось определять содержимое уцелевших баллонов с ОВ, теперь уже собственных. Приказы эти характеризует не события, а типичное явление. Между тем данных об обследовании забытых складов и о реабилитации территории нет. Вряд ли они вообще когда-либо существовали (9065).</w:t>
      </w:r>
    </w:p>
    <w:p w14:paraId="24C2A8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BCCEED" w14:textId="77777777" w:rsidR="001707A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85B3EBB" w14:textId="77777777" w:rsidR="001707A1" w:rsidRPr="007122AB" w:rsidRDefault="001707A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F40286" w14:textId="77777777" w:rsidR="006A088C" w:rsidRPr="007122AB" w:rsidRDefault="006A088C" w:rsidP="007122AB">
      <w:pPr>
        <w:spacing w:after="0" w:line="240" w:lineRule="auto"/>
        <w:jc w:val="both"/>
        <w:rPr>
          <w:rFonts w:ascii="Times New Roman" w:hAnsi="Times New Roman"/>
          <w:color w:val="000000" w:themeColor="text1"/>
          <w:sz w:val="16"/>
          <w:szCs w:val="16"/>
        </w:rPr>
      </w:pPr>
      <w:bookmarkStart w:id="14" w:name="_Hlk89268763"/>
      <w:r w:rsidRPr="007122AB">
        <w:rPr>
          <w:rFonts w:ascii="Times New Roman" w:hAnsi="Times New Roman"/>
          <w:color w:val="000000" w:themeColor="text1"/>
          <w:sz w:val="16"/>
          <w:szCs w:val="16"/>
        </w:rPr>
        <w:t xml:space="preserve">25 марта </w:t>
      </w:r>
      <w:bookmarkEnd w:id="14"/>
      <w:r w:rsidRPr="007122AB">
        <w:rPr>
          <w:rFonts w:ascii="Times New Roman" w:hAnsi="Times New Roman"/>
          <w:color w:val="000000" w:themeColor="text1"/>
          <w:sz w:val="16"/>
          <w:szCs w:val="16"/>
        </w:rPr>
        <w:t xml:space="preserve">1931 состоялся первый полет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Fury</w:t>
      </w:r>
      <w:proofErr w:type="spellEnd"/>
      <w:r w:rsidRPr="007122AB">
        <w:rPr>
          <w:rFonts w:ascii="Times New Roman" w:hAnsi="Times New Roman"/>
          <w:color w:val="000000" w:themeColor="text1"/>
          <w:sz w:val="16"/>
          <w:szCs w:val="16"/>
        </w:rPr>
        <w:t xml:space="preserve"> (20804). </w:t>
      </w:r>
    </w:p>
    <w:p w14:paraId="2B11969D" w14:textId="77777777" w:rsidR="006A088C" w:rsidRPr="007122AB" w:rsidRDefault="006A088C" w:rsidP="007122AB">
      <w:pPr>
        <w:spacing w:after="0" w:line="240" w:lineRule="auto"/>
        <w:jc w:val="both"/>
        <w:rPr>
          <w:rFonts w:ascii="Times New Roman" w:hAnsi="Times New Roman"/>
          <w:color w:val="000000" w:themeColor="text1"/>
          <w:sz w:val="16"/>
          <w:szCs w:val="16"/>
        </w:rPr>
      </w:pPr>
    </w:p>
    <w:p w14:paraId="7F823D3C"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25 марта</w:t>
      </w:r>
      <w:r w:rsidRPr="007122AB">
        <w:rPr>
          <w:rFonts w:ascii="Times New Roman" w:hAnsi="Times New Roman"/>
          <w:color w:val="000000" w:themeColor="text1"/>
          <w:sz w:val="16"/>
          <w:szCs w:val="16"/>
        </w:rPr>
        <w:t xml:space="preserve"> в 1931 году летчик-испытатель </w:t>
      </w:r>
      <w:proofErr w:type="spellStart"/>
      <w:r w:rsidRPr="007122AB">
        <w:rPr>
          <w:rFonts w:ascii="Times New Roman" w:hAnsi="Times New Roman"/>
          <w:color w:val="000000" w:themeColor="text1"/>
          <w:sz w:val="16"/>
          <w:szCs w:val="16"/>
        </w:rPr>
        <w:t>П.Сэйер</w:t>
      </w:r>
      <w:proofErr w:type="spellEnd"/>
      <w:r w:rsidRPr="007122AB">
        <w:rPr>
          <w:rFonts w:ascii="Times New Roman" w:hAnsi="Times New Roman"/>
          <w:color w:val="000000" w:themeColor="text1"/>
          <w:sz w:val="16"/>
          <w:szCs w:val="16"/>
        </w:rPr>
        <w:t xml:space="preserve"> поднял в воздух первый экземпляр «Фьюри» - британского одноместного истребителя </w:t>
      </w:r>
      <w:hyperlink r:id="rId38"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Fury</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 xml:space="preserve">созданного компанией «Н. </w:t>
      </w:r>
      <w:proofErr w:type="spellStart"/>
      <w:r w:rsidRPr="007122AB">
        <w:rPr>
          <w:rFonts w:ascii="Times New Roman" w:hAnsi="Times New Roman"/>
          <w:color w:val="000000" w:themeColor="text1"/>
          <w:sz w:val="16"/>
          <w:szCs w:val="16"/>
        </w:rPr>
        <w:t>G.Hawker</w:t>
      </w:r>
      <w:proofErr w:type="spellEnd"/>
      <w:r w:rsidRPr="007122AB">
        <w:rPr>
          <w:rFonts w:ascii="Times New Roman" w:hAnsi="Times New Roman"/>
          <w:color w:val="000000" w:themeColor="text1"/>
          <w:sz w:val="16"/>
          <w:szCs w:val="16"/>
        </w:rPr>
        <w:t xml:space="preserve"> Engineering Co. Ltd» (с 1933 г. –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Aircraft Ltd.») по проекту инженера </w:t>
      </w:r>
      <w:proofErr w:type="spellStart"/>
      <w:r w:rsidRPr="007122AB">
        <w:rPr>
          <w:rFonts w:ascii="Times New Roman" w:hAnsi="Times New Roman"/>
          <w:color w:val="000000" w:themeColor="text1"/>
          <w:sz w:val="16"/>
          <w:szCs w:val="16"/>
        </w:rPr>
        <w:t>С.Кэмма</w:t>
      </w:r>
      <w:proofErr w:type="spellEnd"/>
      <w:r w:rsidRPr="007122AB">
        <w:rPr>
          <w:rFonts w:ascii="Times New Roman" w:hAnsi="Times New Roman"/>
          <w:color w:val="000000" w:themeColor="text1"/>
          <w:sz w:val="16"/>
          <w:szCs w:val="16"/>
        </w:rPr>
        <w:t>. В том же году на предприятиях фирмы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в Кингстоне и </w:t>
      </w:r>
      <w:proofErr w:type="spellStart"/>
      <w:r w:rsidRPr="007122AB">
        <w:rPr>
          <w:rFonts w:ascii="Times New Roman" w:hAnsi="Times New Roman"/>
          <w:color w:val="000000" w:themeColor="text1"/>
          <w:sz w:val="16"/>
          <w:szCs w:val="16"/>
        </w:rPr>
        <w:t>Бруклендсе</w:t>
      </w:r>
      <w:proofErr w:type="spellEnd"/>
      <w:r w:rsidRPr="007122AB">
        <w:rPr>
          <w:rFonts w:ascii="Times New Roman" w:hAnsi="Times New Roman"/>
          <w:color w:val="000000" w:themeColor="text1"/>
          <w:sz w:val="16"/>
          <w:szCs w:val="16"/>
        </w:rPr>
        <w:t xml:space="preserve">, а также дочерней компании «General Aircraft Co. Ltd» в </w:t>
      </w:r>
      <w:proofErr w:type="spellStart"/>
      <w:r w:rsidRPr="007122AB">
        <w:rPr>
          <w:rFonts w:ascii="Times New Roman" w:hAnsi="Times New Roman"/>
          <w:color w:val="000000" w:themeColor="text1"/>
          <w:sz w:val="16"/>
          <w:szCs w:val="16"/>
        </w:rPr>
        <w:t>Хенворсе</w:t>
      </w:r>
      <w:proofErr w:type="spellEnd"/>
      <w:r w:rsidRPr="007122AB">
        <w:rPr>
          <w:rFonts w:ascii="Times New Roman" w:hAnsi="Times New Roman"/>
          <w:color w:val="000000" w:themeColor="text1"/>
          <w:sz w:val="16"/>
          <w:szCs w:val="16"/>
        </w:rPr>
        <w:t xml:space="preserve"> началось серийное производство нового истребителя. До 1937 г., включительно, построили 302 машины (в том числе 3 предсерийные). Истребитель “</w:t>
      </w:r>
      <w:proofErr w:type="spellStart"/>
      <w:r w:rsidRPr="007122AB">
        <w:rPr>
          <w:rFonts w:ascii="Times New Roman" w:hAnsi="Times New Roman"/>
          <w:color w:val="000000" w:themeColor="text1"/>
          <w:sz w:val="16"/>
          <w:szCs w:val="16"/>
        </w:rPr>
        <w:t>Fury</w:t>
      </w:r>
      <w:proofErr w:type="spellEnd"/>
      <w:r w:rsidRPr="007122AB">
        <w:rPr>
          <w:rFonts w:ascii="Times New Roman" w:hAnsi="Times New Roman"/>
          <w:color w:val="000000" w:themeColor="text1"/>
          <w:sz w:val="16"/>
          <w:szCs w:val="16"/>
        </w:rPr>
        <w:t xml:space="preserve">” представлял собой одностоечный биплан смешанной конструкции с металлическим каркасом и полотняной обшивкой крыла, оперения и хвостовой части фюзеляжа. Обшивка фюзеляжа до кабины пилота и </w:t>
      </w:r>
      <w:proofErr w:type="spellStart"/>
      <w:r w:rsidRPr="007122AB">
        <w:rPr>
          <w:rFonts w:ascii="Times New Roman" w:hAnsi="Times New Roman"/>
          <w:color w:val="000000" w:themeColor="text1"/>
          <w:sz w:val="16"/>
          <w:szCs w:val="16"/>
        </w:rPr>
        <w:t>капотировка</w:t>
      </w:r>
      <w:proofErr w:type="spellEnd"/>
      <w:r w:rsidRPr="007122AB">
        <w:rPr>
          <w:rFonts w:ascii="Times New Roman" w:hAnsi="Times New Roman"/>
          <w:color w:val="000000" w:themeColor="text1"/>
          <w:sz w:val="16"/>
          <w:szCs w:val="16"/>
        </w:rPr>
        <w:t xml:space="preserve"> двигателя - из дюралевых листов. Конструкция фюзеляжа - ферменная. Шасси - двухстоечное </w:t>
      </w:r>
      <w:proofErr w:type="spellStart"/>
      <w:r w:rsidRPr="007122AB">
        <w:rPr>
          <w:rFonts w:ascii="Times New Roman" w:hAnsi="Times New Roman"/>
          <w:color w:val="000000" w:themeColor="text1"/>
          <w:sz w:val="16"/>
          <w:szCs w:val="16"/>
        </w:rPr>
        <w:t>неубираемое</w:t>
      </w:r>
      <w:proofErr w:type="spellEnd"/>
      <w:r w:rsidRPr="007122AB">
        <w:rPr>
          <w:rFonts w:ascii="Times New Roman" w:hAnsi="Times New Roman"/>
          <w:color w:val="000000" w:themeColor="text1"/>
          <w:sz w:val="16"/>
          <w:szCs w:val="16"/>
        </w:rPr>
        <w:t xml:space="preserve"> с хвостовым костылем. Некоторые истребители оснащались радиостанциями. Британские машины вооружались двумя синхронными 7,69-мм пулеметами «</w:t>
      </w:r>
      <w:proofErr w:type="spellStart"/>
      <w:r w:rsidRPr="007122AB">
        <w:rPr>
          <w:rFonts w:ascii="Times New Roman" w:hAnsi="Times New Roman"/>
          <w:color w:val="000000" w:themeColor="text1"/>
          <w:sz w:val="16"/>
          <w:szCs w:val="16"/>
        </w:rPr>
        <w:t>Vickers</w:t>
      </w:r>
      <w:proofErr w:type="spellEnd"/>
      <w:r w:rsidRPr="007122AB">
        <w:rPr>
          <w:rFonts w:ascii="Times New Roman" w:hAnsi="Times New Roman"/>
          <w:color w:val="000000" w:themeColor="text1"/>
          <w:sz w:val="16"/>
          <w:szCs w:val="16"/>
        </w:rPr>
        <w:t>» с боезапасом по 600 патронов на ствол. Большинство экспортных истребителей оснащались парой пулеметов «Colt», «</w:t>
      </w:r>
      <w:proofErr w:type="spellStart"/>
      <w:r w:rsidRPr="007122AB">
        <w:rPr>
          <w:rFonts w:ascii="Times New Roman" w:hAnsi="Times New Roman"/>
          <w:color w:val="000000" w:themeColor="text1"/>
          <w:sz w:val="16"/>
          <w:szCs w:val="16"/>
        </w:rPr>
        <w:t>Mauser</w:t>
      </w:r>
      <w:proofErr w:type="spellEnd"/>
      <w:r w:rsidRPr="007122AB">
        <w:rPr>
          <w:rFonts w:ascii="Times New Roman" w:hAnsi="Times New Roman"/>
          <w:color w:val="000000" w:themeColor="text1"/>
          <w:sz w:val="16"/>
          <w:szCs w:val="16"/>
        </w:rPr>
        <w:t>» или «</w:t>
      </w:r>
      <w:proofErr w:type="spellStart"/>
      <w:r w:rsidRPr="007122AB">
        <w:rPr>
          <w:rFonts w:ascii="Times New Roman" w:hAnsi="Times New Roman"/>
          <w:color w:val="000000" w:themeColor="text1"/>
          <w:sz w:val="16"/>
          <w:szCs w:val="16"/>
        </w:rPr>
        <w:t>Spandau</w:t>
      </w:r>
      <w:proofErr w:type="spellEnd"/>
      <w:r w:rsidRPr="007122AB">
        <w:rPr>
          <w:rFonts w:ascii="Times New Roman" w:hAnsi="Times New Roman"/>
          <w:color w:val="000000" w:themeColor="text1"/>
          <w:sz w:val="16"/>
          <w:szCs w:val="16"/>
        </w:rPr>
        <w:t>» также винтовочного калибра, а на югославских машинах была предусмотрена установка еще двух пулеметов под крылом, стрелявших вне диска винта. На всех “</w:t>
      </w:r>
      <w:proofErr w:type="spellStart"/>
      <w:r w:rsidRPr="007122AB">
        <w:rPr>
          <w:rFonts w:ascii="Times New Roman" w:hAnsi="Times New Roman"/>
          <w:color w:val="000000" w:themeColor="text1"/>
          <w:sz w:val="16"/>
          <w:szCs w:val="16"/>
        </w:rPr>
        <w:t>Fury</w:t>
      </w:r>
      <w:proofErr w:type="spellEnd"/>
      <w:r w:rsidRPr="007122AB">
        <w:rPr>
          <w:rFonts w:ascii="Times New Roman" w:hAnsi="Times New Roman"/>
          <w:color w:val="000000" w:themeColor="text1"/>
          <w:sz w:val="16"/>
          <w:szCs w:val="16"/>
        </w:rPr>
        <w:t>” под нижним крылом могли размещаться держатели для мелких бомб (15079).</w:t>
      </w:r>
    </w:p>
    <w:p w14:paraId="42741491"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7A45DC8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52B4AA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DB56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марта 1931 года зам. зав. авиационным отделом ЦС союза Осоавиахима А. Розанов писал письмо пом. начальника ВВС Меженинову.</w:t>
      </w:r>
    </w:p>
    <w:p w14:paraId="219681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вопросу о состоянии постройки и испытания самолета с разрезным крылом конструкции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С.Н. Горелова:</w:t>
      </w:r>
    </w:p>
    <w:p w14:paraId="25E49C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осенью 1930 года был закончен постройкой на заводе N 39, причем постройка эта тянулась чрезвычайно долго, т.к. 39 завод, несмотря на попытки Осоавиахима ускорить строительство, откладывал постройки Осоавиахима в последнюю очередь.</w:t>
      </w:r>
    </w:p>
    <w:p w14:paraId="4E507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первых пробежках выяснилась слабость шасси, которое было на этих пробежках подломлено... Одновременно с этим выяснился ряд дефектов производственного характера...</w:t>
      </w:r>
    </w:p>
    <w:p w14:paraId="7F84F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ACA2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текущего года на совещании </w:t>
      </w:r>
      <w:proofErr w:type="spellStart"/>
      <w:r w:rsidRPr="007122AB">
        <w:rPr>
          <w:rFonts w:ascii="Times New Roman" w:hAnsi="Times New Roman"/>
          <w:color w:val="000000" w:themeColor="text1"/>
          <w:sz w:val="16"/>
          <w:szCs w:val="16"/>
        </w:rPr>
        <w:t>Авиасектора</w:t>
      </w:r>
      <w:proofErr w:type="spellEnd"/>
      <w:r w:rsidRPr="007122AB">
        <w:rPr>
          <w:rFonts w:ascii="Times New Roman" w:hAnsi="Times New Roman"/>
          <w:color w:val="000000" w:themeColor="text1"/>
          <w:sz w:val="16"/>
          <w:szCs w:val="16"/>
        </w:rPr>
        <w:t xml:space="preserve"> нач. ВВС П.И. Баранов предложил передать эту машину, как и все опытные машины Осоавиахима БОК ЦАГИ.... Однако БОК их до сего времени не принимает в силу ряда задержек в его организации (3505,7).</w:t>
      </w:r>
    </w:p>
    <w:p w14:paraId="2823C8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D64E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марта 1931 года. Начальник отдела требований НИИ ВВС Соколов-Соколенок.</w:t>
      </w:r>
    </w:p>
    <w:p w14:paraId="5B8FFF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Распределение самолетов плана № 2 по конструкторским группам</w:t>
      </w:r>
    </w:p>
    <w:p w14:paraId="3E39F20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p w14:paraId="50075D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первой очереди</w:t>
      </w:r>
    </w:p>
    <w:p w14:paraId="45AAFCFA"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штурмовик «ЛШ» (</w:t>
      </w:r>
      <w:proofErr w:type="spellStart"/>
      <w:r w:rsidRPr="007122AB">
        <w:rPr>
          <w:rFonts w:ascii="Times New Roman" w:hAnsi="Times New Roman"/>
          <w:color w:val="000000" w:themeColor="text1"/>
          <w:sz w:val="16"/>
          <w:szCs w:val="16"/>
        </w:rPr>
        <w:t>приспособл</w:t>
      </w:r>
      <w:proofErr w:type="spellEnd"/>
      <w:r w:rsidRPr="007122AB">
        <w:rPr>
          <w:rFonts w:ascii="Times New Roman" w:hAnsi="Times New Roman"/>
          <w:color w:val="000000" w:themeColor="text1"/>
          <w:sz w:val="16"/>
          <w:szCs w:val="16"/>
        </w:rPr>
        <w:t>. И5).</w:t>
      </w:r>
    </w:p>
    <w:p w14:paraId="4BB7DF48"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бронированный штурмовик «ЛБШ»</w:t>
      </w:r>
    </w:p>
    <w:p w14:paraId="67FDAC8A"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Армейский разведчик (скоростной) «Р»</w:t>
      </w:r>
    </w:p>
    <w:p w14:paraId="09D10CB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«Таран» – «Т»</w:t>
      </w:r>
    </w:p>
    <w:p w14:paraId="33E28A00"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Пикирующий бомбардировщик «ПБ»</w:t>
      </w:r>
    </w:p>
    <w:p w14:paraId="14D4E597"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Базовый разведчик «МБР»</w:t>
      </w:r>
    </w:p>
    <w:p w14:paraId="46787F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второй очереди</w:t>
      </w:r>
    </w:p>
    <w:p w14:paraId="17B42A29"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 истребитель «И»</w:t>
      </w:r>
    </w:p>
    <w:p w14:paraId="75C2129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 истребитель «ДИ»</w:t>
      </w:r>
    </w:p>
    <w:p w14:paraId="314F8DA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Бронированный истребитель «БИ»</w:t>
      </w:r>
    </w:p>
    <w:p w14:paraId="53F95FFC"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Тяжелый штурмовик «ТШ»</w:t>
      </w:r>
    </w:p>
    <w:p w14:paraId="20E4221D"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Корректировщик судовой и береговой артиллерии (легкий) – «КОР»</w:t>
      </w:r>
    </w:p>
    <w:p w14:paraId="6AFD64A9"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«Грузовоз» «Г»</w:t>
      </w:r>
    </w:p>
    <w:p w14:paraId="160B95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самолеты – армейский разведчик, «Таран» и бронированный истребитель – проектируются и строятся особой группой конструкторов ЦКБ.</w:t>
      </w:r>
    </w:p>
    <w:p w14:paraId="55636A3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p w14:paraId="61EDEE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первой очереди</w:t>
      </w:r>
    </w:p>
    <w:p w14:paraId="7FD0A780"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 истребитель «ДИП»</w:t>
      </w:r>
    </w:p>
    <w:p w14:paraId="02B6E578"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 крейсер «МК»</w:t>
      </w:r>
    </w:p>
    <w:p w14:paraId="3D8DEB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второй очереди</w:t>
      </w:r>
    </w:p>
    <w:p w14:paraId="089A500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Сухопутный крейсер «К»</w:t>
      </w:r>
    </w:p>
    <w:p w14:paraId="22FD62F5"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среднего тоннажа «Б»</w:t>
      </w:r>
    </w:p>
    <w:p w14:paraId="6DCA03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третьей очереди</w:t>
      </w:r>
    </w:p>
    <w:p w14:paraId="7A03B56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Одноместный истребитель (высотный) «ИП»</w:t>
      </w:r>
    </w:p>
    <w:p w14:paraId="7B529178"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сверхтяжелый «СТБ»</w:t>
      </w:r>
    </w:p>
    <w:p w14:paraId="29A3A83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 самолет (сталь) «Э1»</w:t>
      </w:r>
    </w:p>
    <w:p w14:paraId="06786CE5"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 самолет (электрон) «Э2»</w:t>
      </w:r>
    </w:p>
    <w:p w14:paraId="54F641CA"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 «ГЕ»</w:t>
      </w:r>
    </w:p>
    <w:p w14:paraId="0646CF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бомбардировщик среднего тоннажа может быть передан 39 заводу, в зависимости от принятия исходного типа самолета – ТБ1 или ТБ5.</w:t>
      </w:r>
    </w:p>
    <w:p w14:paraId="65A0C6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ГРОСС (Харьков).</w:t>
      </w:r>
    </w:p>
    <w:p w14:paraId="63EBC9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Первая очередь</w:t>
      </w:r>
    </w:p>
    <w:p w14:paraId="67B085D6"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Химический боевик (летающая цистерна) «Х»</w:t>
      </w:r>
    </w:p>
    <w:p w14:paraId="7A0B52E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второй очереди</w:t>
      </w:r>
    </w:p>
    <w:p w14:paraId="1F788B4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Войсковой самолет «ВС»</w:t>
      </w:r>
    </w:p>
    <w:p w14:paraId="6E836247"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химический боевик «ЛХ»</w:t>
      </w:r>
    </w:p>
    <w:p w14:paraId="415E2EEF"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сопровождения (средний) «СС»</w:t>
      </w:r>
    </w:p>
    <w:p w14:paraId="553B6B7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сопровождения (легкий) «ЛС»</w:t>
      </w:r>
    </w:p>
    <w:p w14:paraId="639618C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реактивного действия «РЕ»</w:t>
      </w:r>
    </w:p>
    <w:p w14:paraId="104284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третьей очереди</w:t>
      </w:r>
    </w:p>
    <w:p w14:paraId="62E60C1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тяжелый «ТБ»</w:t>
      </w:r>
    </w:p>
    <w:p w14:paraId="2E6BC4A0"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Санитарный самолет (амфибия) «САН»</w:t>
      </w:r>
    </w:p>
    <w:p w14:paraId="7762EC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инженера </w:t>
      </w:r>
      <w:proofErr w:type="spellStart"/>
      <w:r w:rsidRPr="007122AB">
        <w:rPr>
          <w:rFonts w:ascii="Times New Roman" w:hAnsi="Times New Roman"/>
          <w:color w:val="000000" w:themeColor="text1"/>
          <w:sz w:val="16"/>
          <w:szCs w:val="16"/>
        </w:rPr>
        <w:t>Лавиля</w:t>
      </w:r>
      <w:proofErr w:type="spellEnd"/>
    </w:p>
    <w:p w14:paraId="2927AF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 истребитель «ДИ»</w:t>
      </w:r>
    </w:p>
    <w:p w14:paraId="7274D65A" w14:textId="77777777" w:rsidR="005C4849" w:rsidRPr="007122AB" w:rsidRDefault="005C4849" w:rsidP="007122AB">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примечание: Самолеты - химический боевик (летающая цистерна), базовый разведчик, войсковой самолет, легкий химический боевик, самолет сопровождения (легкий), самолет сопровождения (средний), корректировщик береговой и судовой артиллерии, бомбардировщик тяжелый, бомбардировщик сверхтяжелый, самолет «Грузовоз», санитарный самолет – должны быть или полностью совмещенными, или максимально унифицированными с самолетами ГВФ соответствующего тоннажа и типа (6274, 91).</w:t>
      </w:r>
    </w:p>
    <w:p w14:paraId="075022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Сравнительная таблица летно-тактических требований к самолетам пятилетнего плана опытного строительства штаба РККА и 4 секции НТК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2E507756" w14:textId="77777777">
        <w:tc>
          <w:tcPr>
            <w:tcW w:w="4464" w:type="dxa"/>
          </w:tcPr>
          <w:p w14:paraId="2838E6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Летно-тактические данные</w:t>
            </w:r>
          </w:p>
        </w:tc>
        <w:tc>
          <w:tcPr>
            <w:tcW w:w="2732" w:type="dxa"/>
          </w:tcPr>
          <w:p w14:paraId="29DDAF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Штаба</w:t>
            </w:r>
          </w:p>
        </w:tc>
        <w:tc>
          <w:tcPr>
            <w:tcW w:w="3402" w:type="dxa"/>
          </w:tcPr>
          <w:p w14:paraId="38A85E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4 секции НТК УВВС</w:t>
            </w:r>
          </w:p>
        </w:tc>
      </w:tr>
    </w:tbl>
    <w:p w14:paraId="5FFEE1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7074459E" w14:textId="77777777">
        <w:tc>
          <w:tcPr>
            <w:tcW w:w="4464" w:type="dxa"/>
          </w:tcPr>
          <w:p w14:paraId="502D35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716D66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c>
          <w:tcPr>
            <w:tcW w:w="3402" w:type="dxa"/>
          </w:tcPr>
          <w:p w14:paraId="0D0ABF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230-250/3000</w:t>
            </w:r>
          </w:p>
        </w:tc>
      </w:tr>
      <w:tr w:rsidR="007122AB" w:rsidRPr="007122AB" w14:paraId="6A26A141" w14:textId="77777777">
        <w:tc>
          <w:tcPr>
            <w:tcW w:w="4464" w:type="dxa"/>
          </w:tcPr>
          <w:p w14:paraId="379FB0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043524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402" w:type="dxa"/>
          </w:tcPr>
          <w:p w14:paraId="05CED0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r>
      <w:tr w:rsidR="007122AB" w:rsidRPr="007122AB" w14:paraId="0C347831" w14:textId="77777777">
        <w:tc>
          <w:tcPr>
            <w:tcW w:w="4464" w:type="dxa"/>
          </w:tcPr>
          <w:p w14:paraId="670522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4B0DBF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5000-6000</w:t>
            </w:r>
          </w:p>
        </w:tc>
        <w:tc>
          <w:tcPr>
            <w:tcW w:w="3402" w:type="dxa"/>
          </w:tcPr>
          <w:p w14:paraId="69736D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6000-7000</w:t>
            </w:r>
          </w:p>
        </w:tc>
      </w:tr>
      <w:tr w:rsidR="007122AB" w:rsidRPr="007122AB" w14:paraId="173D5164" w14:textId="77777777">
        <w:tc>
          <w:tcPr>
            <w:tcW w:w="4464" w:type="dxa"/>
          </w:tcPr>
          <w:p w14:paraId="53F3AE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466C79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A8624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2B06D14" w14:textId="77777777">
        <w:tc>
          <w:tcPr>
            <w:tcW w:w="4464" w:type="dxa"/>
          </w:tcPr>
          <w:p w14:paraId="266829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050027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3402" w:type="dxa"/>
          </w:tcPr>
          <w:p w14:paraId="71EB80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900-1000</w:t>
            </w:r>
          </w:p>
        </w:tc>
      </w:tr>
      <w:tr w:rsidR="007122AB" w:rsidRPr="007122AB" w14:paraId="590E2AA7" w14:textId="77777777">
        <w:tc>
          <w:tcPr>
            <w:tcW w:w="4464" w:type="dxa"/>
          </w:tcPr>
          <w:p w14:paraId="755584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6CD5E7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w:t>
            </w:r>
          </w:p>
        </w:tc>
        <w:tc>
          <w:tcPr>
            <w:tcW w:w="3402" w:type="dxa"/>
          </w:tcPr>
          <w:p w14:paraId="65145B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8-12</w:t>
            </w:r>
          </w:p>
        </w:tc>
      </w:tr>
      <w:tr w:rsidR="007122AB" w:rsidRPr="007122AB" w14:paraId="16271597" w14:textId="77777777">
        <w:tc>
          <w:tcPr>
            <w:tcW w:w="4464" w:type="dxa"/>
          </w:tcPr>
          <w:p w14:paraId="0F873F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52AD54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 пулеметов</w:t>
            </w:r>
          </w:p>
          <w:p w14:paraId="5E7F2D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 20-37 мм или ДРП калибра 76,2-150 мм</w:t>
            </w:r>
          </w:p>
          <w:p w14:paraId="501397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 7000 кг</w:t>
            </w:r>
          </w:p>
        </w:tc>
        <w:tc>
          <w:tcPr>
            <w:tcW w:w="3402" w:type="dxa"/>
          </w:tcPr>
          <w:p w14:paraId="1AB468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 5000 кг</w:t>
            </w:r>
          </w:p>
        </w:tc>
      </w:tr>
    </w:tbl>
    <w:p w14:paraId="747403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Тяжелый штурмовик бронированный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081BE577" w14:textId="77777777">
        <w:tc>
          <w:tcPr>
            <w:tcW w:w="4464" w:type="dxa"/>
          </w:tcPr>
          <w:p w14:paraId="21BC96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5AF3EE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250/1000</w:t>
            </w:r>
          </w:p>
        </w:tc>
        <w:tc>
          <w:tcPr>
            <w:tcW w:w="3402" w:type="dxa"/>
          </w:tcPr>
          <w:p w14:paraId="5B1D24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200-210/у земли</w:t>
            </w:r>
          </w:p>
        </w:tc>
      </w:tr>
      <w:tr w:rsidR="007122AB" w:rsidRPr="007122AB" w14:paraId="3FE8FA6C" w14:textId="77777777">
        <w:tc>
          <w:tcPr>
            <w:tcW w:w="4464" w:type="dxa"/>
          </w:tcPr>
          <w:p w14:paraId="313EBC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4EC042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0C0CF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DCA34DF" w14:textId="77777777">
        <w:tc>
          <w:tcPr>
            <w:tcW w:w="4464" w:type="dxa"/>
          </w:tcPr>
          <w:p w14:paraId="67DBD2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7736E7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10627F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7122AB" w:rsidRPr="007122AB" w14:paraId="56676258" w14:textId="77777777">
        <w:tc>
          <w:tcPr>
            <w:tcW w:w="4464" w:type="dxa"/>
          </w:tcPr>
          <w:p w14:paraId="415B1A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5F273C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7F540C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часа на эксплуатационной скорости</w:t>
            </w:r>
          </w:p>
        </w:tc>
      </w:tr>
      <w:tr w:rsidR="007122AB" w:rsidRPr="007122AB" w14:paraId="73FE26B7" w14:textId="77777777">
        <w:tc>
          <w:tcPr>
            <w:tcW w:w="4464" w:type="dxa"/>
          </w:tcPr>
          <w:p w14:paraId="5734BB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1D0965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3402" w:type="dxa"/>
          </w:tcPr>
          <w:p w14:paraId="0C74B2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7122AB" w:rsidRPr="007122AB" w14:paraId="63F13BD9" w14:textId="77777777">
        <w:tc>
          <w:tcPr>
            <w:tcW w:w="4464" w:type="dxa"/>
          </w:tcPr>
          <w:p w14:paraId="78202C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055036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713A48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r>
      <w:tr w:rsidR="007122AB" w:rsidRPr="007122AB" w14:paraId="7656EB04" w14:textId="77777777">
        <w:tc>
          <w:tcPr>
            <w:tcW w:w="4464" w:type="dxa"/>
          </w:tcPr>
          <w:p w14:paraId="3891D3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4D7D86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пулеметов</w:t>
            </w:r>
          </w:p>
          <w:p w14:paraId="6395C3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 20-37 мм</w:t>
            </w:r>
          </w:p>
          <w:p w14:paraId="0382F0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800-1000 кг</w:t>
            </w:r>
          </w:p>
        </w:tc>
        <w:tc>
          <w:tcPr>
            <w:tcW w:w="3402" w:type="dxa"/>
          </w:tcPr>
          <w:p w14:paraId="516417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 пулеметов</w:t>
            </w:r>
          </w:p>
          <w:p w14:paraId="07D7A1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1000 кг</w:t>
            </w:r>
          </w:p>
        </w:tc>
      </w:tr>
    </w:tbl>
    <w:p w14:paraId="7F82DE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Армейский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5288A9C0" w14:textId="77777777">
        <w:tc>
          <w:tcPr>
            <w:tcW w:w="4464" w:type="dxa"/>
          </w:tcPr>
          <w:p w14:paraId="5A8DA4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06F0F9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250/5000</w:t>
            </w:r>
          </w:p>
        </w:tc>
        <w:tc>
          <w:tcPr>
            <w:tcW w:w="3402" w:type="dxa"/>
          </w:tcPr>
          <w:p w14:paraId="65A6FE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280-300/5000</w:t>
            </w:r>
          </w:p>
        </w:tc>
      </w:tr>
      <w:tr w:rsidR="007122AB" w:rsidRPr="007122AB" w14:paraId="1DE0FC28" w14:textId="77777777">
        <w:tc>
          <w:tcPr>
            <w:tcW w:w="4464" w:type="dxa"/>
          </w:tcPr>
          <w:p w14:paraId="5FE510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71C831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8-10/3000</w:t>
            </w:r>
          </w:p>
        </w:tc>
        <w:tc>
          <w:tcPr>
            <w:tcW w:w="3402" w:type="dxa"/>
          </w:tcPr>
          <w:p w14:paraId="2813E2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10/5000</w:t>
            </w:r>
          </w:p>
        </w:tc>
      </w:tr>
      <w:tr w:rsidR="007122AB" w:rsidRPr="007122AB" w14:paraId="4D0049D8" w14:textId="77777777">
        <w:tc>
          <w:tcPr>
            <w:tcW w:w="4464" w:type="dxa"/>
          </w:tcPr>
          <w:p w14:paraId="5B365E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4FD80C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7000-7500</w:t>
            </w:r>
          </w:p>
        </w:tc>
        <w:tc>
          <w:tcPr>
            <w:tcW w:w="3402" w:type="dxa"/>
          </w:tcPr>
          <w:p w14:paraId="2E56A4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7122AB" w:rsidRPr="007122AB" w14:paraId="7128B71E" w14:textId="77777777">
        <w:tc>
          <w:tcPr>
            <w:tcW w:w="4464" w:type="dxa"/>
          </w:tcPr>
          <w:p w14:paraId="1F1DB1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513C85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19CD39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 часов</w:t>
            </w:r>
          </w:p>
        </w:tc>
      </w:tr>
      <w:tr w:rsidR="007122AB" w:rsidRPr="007122AB" w14:paraId="637A9095" w14:textId="77777777">
        <w:tc>
          <w:tcPr>
            <w:tcW w:w="4464" w:type="dxa"/>
          </w:tcPr>
          <w:p w14:paraId="4205ED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787E3E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650-750</w:t>
            </w:r>
          </w:p>
        </w:tc>
        <w:tc>
          <w:tcPr>
            <w:tcW w:w="3402" w:type="dxa"/>
          </w:tcPr>
          <w:p w14:paraId="1E349D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r>
      <w:tr w:rsidR="007122AB" w:rsidRPr="007122AB" w14:paraId="75EF5224" w14:textId="77777777">
        <w:tc>
          <w:tcPr>
            <w:tcW w:w="4464" w:type="dxa"/>
          </w:tcPr>
          <w:p w14:paraId="7009842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3820FA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3402" w:type="dxa"/>
          </w:tcPr>
          <w:p w14:paraId="6424E1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7122AB" w:rsidRPr="007122AB" w14:paraId="395BA809" w14:textId="77777777">
        <w:tc>
          <w:tcPr>
            <w:tcW w:w="4464" w:type="dxa"/>
          </w:tcPr>
          <w:p w14:paraId="792F2B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21ABB5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пулемета</w:t>
            </w:r>
          </w:p>
        </w:tc>
        <w:tc>
          <w:tcPr>
            <w:tcW w:w="3402" w:type="dxa"/>
          </w:tcPr>
          <w:p w14:paraId="534FD9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пулемета</w:t>
            </w:r>
          </w:p>
        </w:tc>
      </w:tr>
    </w:tbl>
    <w:p w14:paraId="0C4A38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515D977D" w14:textId="77777777">
        <w:tc>
          <w:tcPr>
            <w:tcW w:w="4464" w:type="dxa"/>
          </w:tcPr>
          <w:p w14:paraId="167436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036439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36F0DD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Данных</w:t>
            </w:r>
          </w:p>
        </w:tc>
      </w:tr>
      <w:tr w:rsidR="007122AB" w:rsidRPr="007122AB" w14:paraId="6072A319" w14:textId="77777777">
        <w:tc>
          <w:tcPr>
            <w:tcW w:w="4464" w:type="dxa"/>
          </w:tcPr>
          <w:p w14:paraId="0E8966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483709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26E67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указано </w:t>
            </w:r>
          </w:p>
        </w:tc>
      </w:tr>
      <w:tr w:rsidR="007122AB" w:rsidRPr="007122AB" w14:paraId="568455DB" w14:textId="77777777">
        <w:tc>
          <w:tcPr>
            <w:tcW w:w="4464" w:type="dxa"/>
          </w:tcPr>
          <w:p w14:paraId="28E7DB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61CCC6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3402" w:type="dxa"/>
          </w:tcPr>
          <w:p w14:paraId="07DA23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w:t>
            </w:r>
          </w:p>
        </w:tc>
      </w:tr>
      <w:tr w:rsidR="007122AB" w:rsidRPr="007122AB" w14:paraId="4A2024BA" w14:textId="77777777">
        <w:tc>
          <w:tcPr>
            <w:tcW w:w="4464" w:type="dxa"/>
          </w:tcPr>
          <w:p w14:paraId="2DDE8A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4D77F9D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EB829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было </w:t>
            </w:r>
          </w:p>
        </w:tc>
      </w:tr>
      <w:tr w:rsidR="007122AB" w:rsidRPr="007122AB" w14:paraId="4A0CF59E" w14:textId="77777777">
        <w:tc>
          <w:tcPr>
            <w:tcW w:w="4464" w:type="dxa"/>
          </w:tcPr>
          <w:p w14:paraId="4E2DC7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4D3C91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3402" w:type="dxa"/>
          </w:tcPr>
          <w:p w14:paraId="27AD9A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A767038" w14:textId="77777777">
        <w:tc>
          <w:tcPr>
            <w:tcW w:w="4464" w:type="dxa"/>
          </w:tcPr>
          <w:p w14:paraId="6E3795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656C47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3402" w:type="dxa"/>
          </w:tcPr>
          <w:p w14:paraId="05EF5A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0276784" w14:textId="77777777">
        <w:tc>
          <w:tcPr>
            <w:tcW w:w="4464" w:type="dxa"/>
          </w:tcPr>
          <w:p w14:paraId="3CBBF8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122E81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пулемета</w:t>
            </w:r>
          </w:p>
          <w:p w14:paraId="1D27B0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500 кг</w:t>
            </w:r>
          </w:p>
        </w:tc>
        <w:tc>
          <w:tcPr>
            <w:tcW w:w="3402" w:type="dxa"/>
          </w:tcPr>
          <w:p w14:paraId="169C95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2BAFF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многоместный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06A55113" w14:textId="77777777">
        <w:tc>
          <w:tcPr>
            <w:tcW w:w="4464" w:type="dxa"/>
          </w:tcPr>
          <w:p w14:paraId="6AFB0F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3C8FBB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c>
          <w:tcPr>
            <w:tcW w:w="3402" w:type="dxa"/>
          </w:tcPr>
          <w:p w14:paraId="712A81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280-300/5000</w:t>
            </w:r>
          </w:p>
        </w:tc>
      </w:tr>
      <w:tr w:rsidR="007122AB" w:rsidRPr="007122AB" w14:paraId="2163BEF6" w14:textId="77777777">
        <w:tc>
          <w:tcPr>
            <w:tcW w:w="4464" w:type="dxa"/>
          </w:tcPr>
          <w:p w14:paraId="0F2403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73B53D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15-18/5000</w:t>
            </w:r>
          </w:p>
        </w:tc>
        <w:tc>
          <w:tcPr>
            <w:tcW w:w="3402" w:type="dxa"/>
          </w:tcPr>
          <w:p w14:paraId="0B10DF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E8BFA1D" w14:textId="77777777">
        <w:tc>
          <w:tcPr>
            <w:tcW w:w="4464" w:type="dxa"/>
          </w:tcPr>
          <w:p w14:paraId="0AA195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73EE10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EFF98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262E21A" w14:textId="77777777">
        <w:tc>
          <w:tcPr>
            <w:tcW w:w="4464" w:type="dxa"/>
          </w:tcPr>
          <w:p w14:paraId="5B0720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3B8117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27660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223BAB73" w14:textId="77777777">
        <w:tc>
          <w:tcPr>
            <w:tcW w:w="4464" w:type="dxa"/>
          </w:tcPr>
          <w:p w14:paraId="5688FA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5FF83E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3402" w:type="dxa"/>
          </w:tcPr>
          <w:p w14:paraId="517575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600-900</w:t>
            </w:r>
          </w:p>
        </w:tc>
      </w:tr>
      <w:tr w:rsidR="007122AB" w:rsidRPr="007122AB" w14:paraId="51B86A7B" w14:textId="77777777">
        <w:tc>
          <w:tcPr>
            <w:tcW w:w="4464" w:type="dxa"/>
          </w:tcPr>
          <w:p w14:paraId="662D14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6A65FB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w:t>
            </w:r>
          </w:p>
        </w:tc>
        <w:tc>
          <w:tcPr>
            <w:tcW w:w="3402" w:type="dxa"/>
          </w:tcPr>
          <w:p w14:paraId="656794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r>
      <w:tr w:rsidR="007122AB" w:rsidRPr="007122AB" w14:paraId="623F42E4" w14:textId="77777777">
        <w:tc>
          <w:tcPr>
            <w:tcW w:w="4464" w:type="dxa"/>
          </w:tcPr>
          <w:p w14:paraId="2AD9E0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037A02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 пулеметов</w:t>
            </w:r>
          </w:p>
          <w:p w14:paraId="7AD108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 23-37 мм или ДРП калибра 76,2-150 мм</w:t>
            </w:r>
          </w:p>
          <w:p w14:paraId="403F6A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400 кг за счет горючего</w:t>
            </w:r>
          </w:p>
        </w:tc>
        <w:tc>
          <w:tcPr>
            <w:tcW w:w="3402" w:type="dxa"/>
          </w:tcPr>
          <w:p w14:paraId="5BF1B1C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 пулеметов</w:t>
            </w:r>
          </w:p>
        </w:tc>
      </w:tr>
    </w:tbl>
    <w:p w14:paraId="2FF605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двухместный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70D0C8B9" w14:textId="77777777">
        <w:tc>
          <w:tcPr>
            <w:tcW w:w="4464" w:type="dxa"/>
          </w:tcPr>
          <w:p w14:paraId="0C4BAB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4DFA75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300-320/5000</w:t>
            </w:r>
          </w:p>
        </w:tc>
        <w:tc>
          <w:tcPr>
            <w:tcW w:w="3402" w:type="dxa"/>
          </w:tcPr>
          <w:p w14:paraId="1C7FE06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300-325/5000</w:t>
            </w:r>
          </w:p>
        </w:tc>
      </w:tr>
      <w:tr w:rsidR="007122AB" w:rsidRPr="007122AB" w14:paraId="6476367D" w14:textId="77777777">
        <w:tc>
          <w:tcPr>
            <w:tcW w:w="4464" w:type="dxa"/>
          </w:tcPr>
          <w:p w14:paraId="14B164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7462E5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10-12/5000</w:t>
            </w:r>
          </w:p>
        </w:tc>
        <w:tc>
          <w:tcPr>
            <w:tcW w:w="3402" w:type="dxa"/>
          </w:tcPr>
          <w:p w14:paraId="111B6E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8-10/5000</w:t>
            </w:r>
          </w:p>
        </w:tc>
      </w:tr>
      <w:tr w:rsidR="007122AB" w:rsidRPr="007122AB" w14:paraId="41DB1911" w14:textId="77777777">
        <w:tc>
          <w:tcPr>
            <w:tcW w:w="4464" w:type="dxa"/>
          </w:tcPr>
          <w:p w14:paraId="261543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18DCF3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3402" w:type="dxa"/>
          </w:tcPr>
          <w:p w14:paraId="6F6647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4A7213B6" w14:textId="77777777">
        <w:tc>
          <w:tcPr>
            <w:tcW w:w="4464" w:type="dxa"/>
          </w:tcPr>
          <w:p w14:paraId="0D5D81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57368F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часов на крейсерской скорости</w:t>
            </w:r>
          </w:p>
        </w:tc>
        <w:tc>
          <w:tcPr>
            <w:tcW w:w="3402" w:type="dxa"/>
          </w:tcPr>
          <w:p w14:paraId="6322D5D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 часа на эксплуатационной скорости</w:t>
            </w:r>
          </w:p>
        </w:tc>
      </w:tr>
      <w:tr w:rsidR="007122AB" w:rsidRPr="007122AB" w14:paraId="12B63E47" w14:textId="77777777">
        <w:tc>
          <w:tcPr>
            <w:tcW w:w="4464" w:type="dxa"/>
          </w:tcPr>
          <w:p w14:paraId="156B03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Радиус действия</w:t>
            </w:r>
          </w:p>
        </w:tc>
        <w:tc>
          <w:tcPr>
            <w:tcW w:w="2732" w:type="dxa"/>
          </w:tcPr>
          <w:p w14:paraId="4583BB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450-500</w:t>
            </w:r>
          </w:p>
        </w:tc>
        <w:tc>
          <w:tcPr>
            <w:tcW w:w="3402" w:type="dxa"/>
          </w:tcPr>
          <w:p w14:paraId="69CA58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FF01553" w14:textId="77777777">
        <w:tc>
          <w:tcPr>
            <w:tcW w:w="4464" w:type="dxa"/>
          </w:tcPr>
          <w:p w14:paraId="747FE8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6A18DD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3402" w:type="dxa"/>
          </w:tcPr>
          <w:p w14:paraId="56F8C0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3EBB0B1F" w14:textId="77777777">
        <w:tc>
          <w:tcPr>
            <w:tcW w:w="4464" w:type="dxa"/>
          </w:tcPr>
          <w:p w14:paraId="586EC86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2D09DF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6ED77A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 23-37 мм или ДРП калибра 76,2-150 мм</w:t>
            </w:r>
          </w:p>
          <w:p w14:paraId="5B8F84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100 кг за счет перегрузки</w:t>
            </w:r>
          </w:p>
        </w:tc>
        <w:tc>
          <w:tcPr>
            <w:tcW w:w="3402" w:type="dxa"/>
          </w:tcPr>
          <w:p w14:paraId="2BE9AD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tc>
      </w:tr>
    </w:tbl>
    <w:p w14:paraId="28A667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одноместный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3B7FA67D" w14:textId="77777777">
        <w:tc>
          <w:tcPr>
            <w:tcW w:w="4464" w:type="dxa"/>
          </w:tcPr>
          <w:p w14:paraId="12DC64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2BFBD6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300-350/5000</w:t>
            </w:r>
          </w:p>
        </w:tc>
        <w:tc>
          <w:tcPr>
            <w:tcW w:w="3402" w:type="dxa"/>
          </w:tcPr>
          <w:p w14:paraId="775964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310-325/5000</w:t>
            </w:r>
          </w:p>
        </w:tc>
      </w:tr>
      <w:tr w:rsidR="007122AB" w:rsidRPr="007122AB" w14:paraId="3BE53C1C" w14:textId="77777777">
        <w:tc>
          <w:tcPr>
            <w:tcW w:w="4464" w:type="dxa"/>
          </w:tcPr>
          <w:p w14:paraId="2B22DD6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7394AA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5-7/5000</w:t>
            </w:r>
          </w:p>
        </w:tc>
        <w:tc>
          <w:tcPr>
            <w:tcW w:w="3402" w:type="dxa"/>
          </w:tcPr>
          <w:p w14:paraId="294AF6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8/5000</w:t>
            </w:r>
          </w:p>
        </w:tc>
      </w:tr>
      <w:tr w:rsidR="007122AB" w:rsidRPr="007122AB" w14:paraId="2FC7B907" w14:textId="77777777">
        <w:tc>
          <w:tcPr>
            <w:tcW w:w="4464" w:type="dxa"/>
          </w:tcPr>
          <w:p w14:paraId="643FD7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00295E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8000-10000</w:t>
            </w:r>
          </w:p>
        </w:tc>
        <w:tc>
          <w:tcPr>
            <w:tcW w:w="3402" w:type="dxa"/>
          </w:tcPr>
          <w:p w14:paraId="4E18FD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CC63195" w14:textId="77777777">
        <w:tc>
          <w:tcPr>
            <w:tcW w:w="4464" w:type="dxa"/>
          </w:tcPr>
          <w:p w14:paraId="1C11FC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7919A5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7E239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3,5-4 часа на эксплуатационной скорости</w:t>
            </w:r>
          </w:p>
        </w:tc>
      </w:tr>
      <w:tr w:rsidR="007122AB" w:rsidRPr="007122AB" w14:paraId="116138D4" w14:textId="77777777">
        <w:tc>
          <w:tcPr>
            <w:tcW w:w="4464" w:type="dxa"/>
          </w:tcPr>
          <w:p w14:paraId="0A6901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797662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350-400 на крейсерской скорости</w:t>
            </w:r>
          </w:p>
        </w:tc>
        <w:tc>
          <w:tcPr>
            <w:tcW w:w="3402" w:type="dxa"/>
          </w:tcPr>
          <w:p w14:paraId="4DA015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420-490</w:t>
            </w:r>
          </w:p>
        </w:tc>
      </w:tr>
      <w:tr w:rsidR="007122AB" w:rsidRPr="007122AB" w14:paraId="7FFCF2CC" w14:textId="77777777">
        <w:tc>
          <w:tcPr>
            <w:tcW w:w="4464" w:type="dxa"/>
          </w:tcPr>
          <w:p w14:paraId="59CDE9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4B92B7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3402" w:type="dxa"/>
          </w:tcPr>
          <w:p w14:paraId="569A7E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17D0218A" w14:textId="77777777">
        <w:tc>
          <w:tcPr>
            <w:tcW w:w="4464" w:type="dxa"/>
          </w:tcPr>
          <w:p w14:paraId="25FB69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39111B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 и 2 за счет перегрузки</w:t>
            </w:r>
          </w:p>
          <w:p w14:paraId="6048F8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80-100 кг за счет перегрузки</w:t>
            </w:r>
          </w:p>
        </w:tc>
        <w:tc>
          <w:tcPr>
            <w:tcW w:w="3402" w:type="dxa"/>
          </w:tcPr>
          <w:p w14:paraId="6A77FA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tc>
      </w:tr>
    </w:tbl>
    <w:p w14:paraId="26A366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 ближний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3F1970F5" w14:textId="77777777">
        <w:tc>
          <w:tcPr>
            <w:tcW w:w="4464" w:type="dxa"/>
          </w:tcPr>
          <w:p w14:paraId="6590CB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7ED85E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c>
          <w:tcPr>
            <w:tcW w:w="3402" w:type="dxa"/>
          </w:tcPr>
          <w:p w14:paraId="4DAB48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МР-5</w:t>
            </w:r>
          </w:p>
        </w:tc>
      </w:tr>
      <w:tr w:rsidR="007122AB" w:rsidRPr="007122AB" w14:paraId="5F22A851" w14:textId="77777777">
        <w:tc>
          <w:tcPr>
            <w:tcW w:w="4464" w:type="dxa"/>
          </w:tcPr>
          <w:p w14:paraId="4E0F3E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39CD14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15-20/3000</w:t>
            </w:r>
          </w:p>
        </w:tc>
        <w:tc>
          <w:tcPr>
            <w:tcW w:w="3402" w:type="dxa"/>
          </w:tcPr>
          <w:p w14:paraId="0BA8A0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Данных</w:t>
            </w:r>
          </w:p>
        </w:tc>
      </w:tr>
      <w:tr w:rsidR="007122AB" w:rsidRPr="007122AB" w14:paraId="20EF28F9" w14:textId="77777777">
        <w:tc>
          <w:tcPr>
            <w:tcW w:w="4464" w:type="dxa"/>
          </w:tcPr>
          <w:p w14:paraId="4FA006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4921F1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3402" w:type="dxa"/>
          </w:tcPr>
          <w:p w14:paraId="363817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указано </w:t>
            </w:r>
          </w:p>
        </w:tc>
      </w:tr>
      <w:tr w:rsidR="007122AB" w:rsidRPr="007122AB" w14:paraId="2F9BB9D5" w14:textId="77777777">
        <w:tc>
          <w:tcPr>
            <w:tcW w:w="4464" w:type="dxa"/>
          </w:tcPr>
          <w:p w14:paraId="120395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2E94B0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часов на крейсерской скорости</w:t>
            </w:r>
          </w:p>
        </w:tc>
        <w:tc>
          <w:tcPr>
            <w:tcW w:w="3402" w:type="dxa"/>
          </w:tcPr>
          <w:p w14:paraId="19460E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w:t>
            </w:r>
          </w:p>
        </w:tc>
      </w:tr>
      <w:tr w:rsidR="007122AB" w:rsidRPr="007122AB" w14:paraId="13EEE5F1" w14:textId="77777777">
        <w:tc>
          <w:tcPr>
            <w:tcW w:w="4464" w:type="dxa"/>
          </w:tcPr>
          <w:p w14:paraId="0434EB2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7D2E42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3402" w:type="dxa"/>
          </w:tcPr>
          <w:p w14:paraId="72A736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было </w:t>
            </w:r>
          </w:p>
        </w:tc>
      </w:tr>
      <w:tr w:rsidR="007122AB" w:rsidRPr="007122AB" w14:paraId="337D86A9" w14:textId="77777777">
        <w:tc>
          <w:tcPr>
            <w:tcW w:w="4464" w:type="dxa"/>
          </w:tcPr>
          <w:p w14:paraId="4EF805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1BF112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w:t>
            </w:r>
          </w:p>
        </w:tc>
        <w:tc>
          <w:tcPr>
            <w:tcW w:w="3402" w:type="dxa"/>
          </w:tcPr>
          <w:p w14:paraId="0A6082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3AD45B6" w14:textId="77777777">
        <w:tc>
          <w:tcPr>
            <w:tcW w:w="4464" w:type="dxa"/>
          </w:tcPr>
          <w:p w14:paraId="71A3CB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33C879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2CE4F1E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бомбы по 250 кг за счет перегрузки</w:t>
            </w:r>
          </w:p>
        </w:tc>
        <w:tc>
          <w:tcPr>
            <w:tcW w:w="3402" w:type="dxa"/>
          </w:tcPr>
          <w:p w14:paraId="661FF9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9583F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 дальний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7122AB" w14:paraId="1D6937F0" w14:textId="77777777">
        <w:tc>
          <w:tcPr>
            <w:tcW w:w="4464" w:type="dxa"/>
          </w:tcPr>
          <w:p w14:paraId="2985BF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732" w:type="dxa"/>
          </w:tcPr>
          <w:p w14:paraId="0B18B3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c>
          <w:tcPr>
            <w:tcW w:w="3402" w:type="dxa"/>
          </w:tcPr>
          <w:p w14:paraId="4D9D0F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240-250/3000</w:t>
            </w:r>
          </w:p>
        </w:tc>
      </w:tr>
      <w:tr w:rsidR="007122AB" w:rsidRPr="007122AB" w14:paraId="1606857E" w14:textId="77777777">
        <w:tc>
          <w:tcPr>
            <w:tcW w:w="4464" w:type="dxa"/>
          </w:tcPr>
          <w:p w14:paraId="6893A4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732" w:type="dxa"/>
          </w:tcPr>
          <w:p w14:paraId="0324BD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c>
          <w:tcPr>
            <w:tcW w:w="3402" w:type="dxa"/>
          </w:tcPr>
          <w:p w14:paraId="33992A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7CF44D85" w14:textId="77777777">
        <w:tc>
          <w:tcPr>
            <w:tcW w:w="4464" w:type="dxa"/>
          </w:tcPr>
          <w:p w14:paraId="133BF3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732" w:type="dxa"/>
          </w:tcPr>
          <w:p w14:paraId="7DE880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3402" w:type="dxa"/>
          </w:tcPr>
          <w:p w14:paraId="5BA2506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6000-7000</w:t>
            </w:r>
          </w:p>
        </w:tc>
      </w:tr>
      <w:tr w:rsidR="007122AB" w:rsidRPr="007122AB" w14:paraId="49ED264A" w14:textId="77777777">
        <w:tc>
          <w:tcPr>
            <w:tcW w:w="4464" w:type="dxa"/>
          </w:tcPr>
          <w:p w14:paraId="434EE50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732" w:type="dxa"/>
          </w:tcPr>
          <w:p w14:paraId="44B5CF6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DE29E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 часов на эксплуатационной скорости</w:t>
            </w:r>
          </w:p>
        </w:tc>
      </w:tr>
      <w:tr w:rsidR="007122AB" w:rsidRPr="007122AB" w14:paraId="117F6C51" w14:textId="77777777">
        <w:tc>
          <w:tcPr>
            <w:tcW w:w="4464" w:type="dxa"/>
          </w:tcPr>
          <w:p w14:paraId="29E2B28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732" w:type="dxa"/>
          </w:tcPr>
          <w:p w14:paraId="78E705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1000-1200</w:t>
            </w:r>
          </w:p>
        </w:tc>
        <w:tc>
          <w:tcPr>
            <w:tcW w:w="3402" w:type="dxa"/>
          </w:tcPr>
          <w:p w14:paraId="51DC74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22B7DDC" w14:textId="77777777">
        <w:tc>
          <w:tcPr>
            <w:tcW w:w="4464" w:type="dxa"/>
          </w:tcPr>
          <w:p w14:paraId="606B11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732" w:type="dxa"/>
          </w:tcPr>
          <w:p w14:paraId="06849C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3402" w:type="dxa"/>
          </w:tcPr>
          <w:p w14:paraId="286D3F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w:t>
            </w:r>
          </w:p>
        </w:tc>
      </w:tr>
      <w:tr w:rsidR="007122AB" w:rsidRPr="007122AB" w14:paraId="3375B262" w14:textId="77777777">
        <w:tc>
          <w:tcPr>
            <w:tcW w:w="4464" w:type="dxa"/>
          </w:tcPr>
          <w:p w14:paraId="598803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732" w:type="dxa"/>
          </w:tcPr>
          <w:p w14:paraId="51FC9BD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62F2E4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500 кг</w:t>
            </w:r>
          </w:p>
        </w:tc>
        <w:tc>
          <w:tcPr>
            <w:tcW w:w="3402" w:type="dxa"/>
          </w:tcPr>
          <w:p w14:paraId="1B374C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 пулеметов</w:t>
            </w:r>
          </w:p>
        </w:tc>
      </w:tr>
    </w:tbl>
    <w:p w14:paraId="45491F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 тяжелый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7122AB" w:rsidRPr="007122AB" w14:paraId="142C82E9" w14:textId="77777777">
        <w:tc>
          <w:tcPr>
            <w:tcW w:w="4464" w:type="dxa"/>
          </w:tcPr>
          <w:p w14:paraId="215349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скорость/высота</w:t>
            </w:r>
          </w:p>
        </w:tc>
        <w:tc>
          <w:tcPr>
            <w:tcW w:w="2160" w:type="dxa"/>
          </w:tcPr>
          <w:p w14:paraId="134094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c>
          <w:tcPr>
            <w:tcW w:w="2160" w:type="dxa"/>
          </w:tcPr>
          <w:p w14:paraId="2F881F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Данных</w:t>
            </w:r>
          </w:p>
        </w:tc>
      </w:tr>
      <w:tr w:rsidR="007122AB" w:rsidRPr="007122AB" w14:paraId="4E5461A9" w14:textId="77777777">
        <w:tc>
          <w:tcPr>
            <w:tcW w:w="4464" w:type="dxa"/>
          </w:tcPr>
          <w:p w14:paraId="0AA6D4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подъема/высота</w:t>
            </w:r>
          </w:p>
        </w:tc>
        <w:tc>
          <w:tcPr>
            <w:tcW w:w="2160" w:type="dxa"/>
          </w:tcPr>
          <w:p w14:paraId="3D2875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54369D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указано </w:t>
            </w:r>
          </w:p>
        </w:tc>
      </w:tr>
      <w:tr w:rsidR="007122AB" w:rsidRPr="007122AB" w14:paraId="7DA258F2" w14:textId="77777777">
        <w:tc>
          <w:tcPr>
            <w:tcW w:w="4464" w:type="dxa"/>
          </w:tcPr>
          <w:p w14:paraId="163379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w:t>
            </w:r>
          </w:p>
        </w:tc>
        <w:tc>
          <w:tcPr>
            <w:tcW w:w="2160" w:type="dxa"/>
          </w:tcPr>
          <w:p w14:paraId="4FD536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419B4B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w:t>
            </w:r>
          </w:p>
        </w:tc>
      </w:tr>
      <w:tr w:rsidR="007122AB" w:rsidRPr="007122AB" w14:paraId="2EF35260" w14:textId="77777777">
        <w:tc>
          <w:tcPr>
            <w:tcW w:w="4464" w:type="dxa"/>
          </w:tcPr>
          <w:p w14:paraId="583B2A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tc>
        <w:tc>
          <w:tcPr>
            <w:tcW w:w="2160" w:type="dxa"/>
          </w:tcPr>
          <w:p w14:paraId="70D7BB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1F3428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было </w:t>
            </w:r>
          </w:p>
        </w:tc>
      </w:tr>
      <w:tr w:rsidR="007122AB" w:rsidRPr="007122AB" w14:paraId="113C62E9" w14:textId="77777777">
        <w:tc>
          <w:tcPr>
            <w:tcW w:w="4464" w:type="dxa"/>
          </w:tcPr>
          <w:p w14:paraId="47ABFA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2160" w:type="dxa"/>
          </w:tcPr>
          <w:p w14:paraId="2BA4A2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2160" w:type="dxa"/>
          </w:tcPr>
          <w:p w14:paraId="65E806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6E460B69" w14:textId="77777777">
        <w:tc>
          <w:tcPr>
            <w:tcW w:w="4464" w:type="dxa"/>
          </w:tcPr>
          <w:p w14:paraId="54AB3D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2160" w:type="dxa"/>
          </w:tcPr>
          <w:p w14:paraId="486C653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2160" w:type="dxa"/>
          </w:tcPr>
          <w:p w14:paraId="017486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7122AB" w14:paraId="07F9CA10" w14:textId="77777777">
        <w:tc>
          <w:tcPr>
            <w:tcW w:w="4464" w:type="dxa"/>
          </w:tcPr>
          <w:p w14:paraId="1030B1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2160" w:type="dxa"/>
          </w:tcPr>
          <w:p w14:paraId="371D53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пулеметов</w:t>
            </w:r>
          </w:p>
          <w:p w14:paraId="7B0EAA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3000-4000 кг</w:t>
            </w:r>
          </w:p>
        </w:tc>
        <w:tc>
          <w:tcPr>
            <w:tcW w:w="2160" w:type="dxa"/>
          </w:tcPr>
          <w:p w14:paraId="7CC0B55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14C97A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(6274, 502-507).</w:t>
      </w:r>
    </w:p>
    <w:p w14:paraId="106359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Сводка числа конструкторских групп и самолетов (военных и гражданских), находящихся в стадии проектирования и постройки на 1 июня 1930 года</w:t>
      </w:r>
    </w:p>
    <w:p w14:paraId="4E6831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завода № 25 в Москве</w:t>
      </w:r>
    </w:p>
    <w:p w14:paraId="0E4011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Руководитель – </w:t>
      </w:r>
      <w:proofErr w:type="spellStart"/>
      <w:r w:rsidRPr="007122AB">
        <w:rPr>
          <w:rFonts w:ascii="Times New Roman" w:hAnsi="Times New Roman"/>
          <w:color w:val="000000" w:themeColor="text1"/>
          <w:sz w:val="16"/>
          <w:szCs w:val="16"/>
        </w:rPr>
        <w:t>Зоншайн</w:t>
      </w:r>
      <w:proofErr w:type="spellEnd"/>
    </w:p>
    <w:p w14:paraId="4AE0F4F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ТБ-2 – тяжелый бомбардировщик деревянной конструкции под 2 мотора БМВVI – Е-6 общей мощностью 1000 НР</w:t>
      </w:r>
    </w:p>
    <w:p w14:paraId="3321C7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 – армейский разведчик (он же легкий бомбардировщик) смешанной конструкции под мотор М-34, 750 НР</w:t>
      </w:r>
    </w:p>
    <w:p w14:paraId="31FBB0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ДИ-2 – двухместный истребитель деревянной конструкции под мотор БМВVI Е-7,3 500 НР</w:t>
      </w:r>
    </w:p>
    <w:p w14:paraId="1FA7AB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 двухместный истребитель смешанной конструкции под мотор М-34, 750 НР</w:t>
      </w:r>
    </w:p>
    <w:p w14:paraId="7E6D2C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И-6 – одноместный истребитель деревянной конструкции под мотор М-22 480 НР и Юпитер VII – 480 НР</w:t>
      </w:r>
    </w:p>
    <w:p w14:paraId="3D5C49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И-7 - одноместный истребитель деревянной и смешанной конструкции по одному экземпляру под мотор БМВVI Е-7,3 500 НР</w:t>
      </w:r>
    </w:p>
    <w:p w14:paraId="186F3C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И-9 - одноместный истребитель деревянной конструкции под мотор М-32 600 НР</w:t>
      </w:r>
    </w:p>
    <w:p w14:paraId="7E6190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МУ-2 – учебный, деревянной конструкции, поплавковый под мотор М-11 100НР (переделка У-2).</w:t>
      </w:r>
    </w:p>
    <w:p w14:paraId="7FF558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ЦАГИ в Москве</w:t>
      </w:r>
    </w:p>
    <w:p w14:paraId="023E2C8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 Туполев</w:t>
      </w:r>
    </w:p>
    <w:p w14:paraId="263E1A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тяжелый бомбардировщик металлической конструкции под 4 мотора Кертис общей мощностью 2400 НР</w:t>
      </w:r>
    </w:p>
    <w:p w14:paraId="378669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ТБ-4 - тяжелый бомбардировщик металлической конструкции под моторы М-35 общей мощностью 5000 НР с предшествующей установкой заграничных моторов</w:t>
      </w:r>
    </w:p>
    <w:p w14:paraId="3A80E30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 – тяжелый штурмовик, бронированный металлической конструкции под моторы М-34 общей мощностью 1500 НР</w:t>
      </w:r>
    </w:p>
    <w:p w14:paraId="7D92DD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Р-7- армейский разведчик (он же легкий бомбардировщик) металлической конструкции под моторы БМВVI 500 НР</w:t>
      </w:r>
    </w:p>
    <w:p w14:paraId="063D2D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МИ-1 – многоместный истребитель металлической конструкции под 2 мотора БМВVI Е-7,3 общей мощностью 1000 НР</w:t>
      </w:r>
    </w:p>
    <w:p w14:paraId="740CE2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 двухместный истребитель металлической конструкции под мотор М-34 750 НР</w:t>
      </w:r>
    </w:p>
    <w:p w14:paraId="2D5218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И-8 - одноместный истребитель экспериментальный стальной конструкции под мотор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625 НР</w:t>
      </w:r>
    </w:p>
    <w:p w14:paraId="418035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 – дальний разведчик металлической конструкции под 2 мотора БМВVI общей мощностью 1000 НР</w:t>
      </w:r>
    </w:p>
    <w:p w14:paraId="6E8BFE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АНТ-14 - пассажирский самолет (сухопутный) на 32 места металлической конструкции с 5-ю моторами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 xml:space="preserve"> или Юпитер</w:t>
      </w:r>
    </w:p>
    <w:p w14:paraId="0BBD22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МОС в Москве</w:t>
      </w:r>
    </w:p>
    <w:p w14:paraId="71D213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 Ришар</w:t>
      </w:r>
    </w:p>
    <w:p w14:paraId="234C20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МТБ-1 - тяжелый бомбардировщик (он же дальний торпедоносец) металлической конструкции под 2 мотора БМВVI общей мощностью 1000 НР</w:t>
      </w:r>
    </w:p>
    <w:p w14:paraId="3A91B0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ГРОС в Харькове</w:t>
      </w:r>
    </w:p>
    <w:p w14:paraId="022493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 Калинин</w:t>
      </w:r>
    </w:p>
    <w:p w14:paraId="502910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К-5 – пассажирский 8-ми местный самолет смешанной конструкции с моторами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 xml:space="preserve"> и Юпитер</w:t>
      </w:r>
    </w:p>
    <w:p w14:paraId="527DA28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К-6 – почтовый самолет смешанной конструкции с моторами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 xml:space="preserve"> или Юпитер</w:t>
      </w:r>
    </w:p>
    <w:p w14:paraId="38D05B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 – пассажирский самолет 50-ти местный, металлической конструкции с 7 моторами общей мощностью 3500 НР</w:t>
      </w:r>
    </w:p>
    <w:p w14:paraId="2C6443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К-8 – почтово-скоростная одноместная машина смешанной конструкции с мотором Кертис </w:t>
      </w:r>
      <w:proofErr w:type="spellStart"/>
      <w:r w:rsidRPr="007122AB">
        <w:rPr>
          <w:rFonts w:ascii="Times New Roman" w:hAnsi="Times New Roman"/>
          <w:color w:val="000000" w:themeColor="text1"/>
          <w:sz w:val="16"/>
          <w:szCs w:val="16"/>
        </w:rPr>
        <w:t>Конкверор</w:t>
      </w:r>
      <w:proofErr w:type="spellEnd"/>
    </w:p>
    <w:p w14:paraId="1D79D2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К-9 – 2-х местная авиетка</w:t>
      </w:r>
    </w:p>
    <w:p w14:paraId="659618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К-10 – 2-х местный самолет для </w:t>
      </w:r>
      <w:proofErr w:type="spellStart"/>
      <w:r w:rsidRPr="007122AB">
        <w:rPr>
          <w:rFonts w:ascii="Times New Roman" w:hAnsi="Times New Roman"/>
          <w:color w:val="000000" w:themeColor="text1"/>
          <w:sz w:val="16"/>
          <w:szCs w:val="16"/>
        </w:rPr>
        <w:t>агитоблетов</w:t>
      </w:r>
      <w:proofErr w:type="spellEnd"/>
      <w:r w:rsidRPr="007122AB">
        <w:rPr>
          <w:rFonts w:ascii="Times New Roman" w:hAnsi="Times New Roman"/>
          <w:color w:val="000000" w:themeColor="text1"/>
          <w:sz w:val="16"/>
          <w:szCs w:val="16"/>
        </w:rPr>
        <w:t>. Проект представлен на конкурс.</w:t>
      </w:r>
    </w:p>
    <w:p w14:paraId="4A32809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Конструкторская группа ОПО 3, завод № 22 в Филях</w:t>
      </w:r>
    </w:p>
    <w:p w14:paraId="0E7C90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 Бартини</w:t>
      </w:r>
    </w:p>
    <w:p w14:paraId="5BC80D6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МБР-1 – ближний разведчик деревянной конструкции под мотор БМВ-VI Е-6 500 НР с двумя лодками разных обводов</w:t>
      </w:r>
    </w:p>
    <w:p w14:paraId="24B7E5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МБР-2 - ближний разведчик деревянной конструкции под мотор М-34 700 НР с предшествующей установкой БМВ-VI Е-7,3</w:t>
      </w:r>
    </w:p>
    <w:p w14:paraId="3DF567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 – дальний разведчик металлической конструкции под 2 мотора БМВ-VI общей мощностью 1000 НР</w:t>
      </w:r>
    </w:p>
    <w:p w14:paraId="0A7DD8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МДР-3 - дальний разведчик металлической конструкции под 2 мотора М-34 общей мощностью 1500 НР</w:t>
      </w:r>
    </w:p>
    <w:p w14:paraId="18F0FE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МТБ-2 – тяжелый бомбардировщик металлической конструкции под 2 мотора М-35 общей мощностью 4000-5000 НР с предшествующей установкой заграничных моторов</w:t>
      </w:r>
    </w:p>
    <w:p w14:paraId="705FD8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 – учебный, деревянной конструкции, лодочный под мотор М-11 100 НР</w:t>
      </w:r>
    </w:p>
    <w:p w14:paraId="280EFC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Специальная группа при заводе № 39 в Москве</w:t>
      </w:r>
    </w:p>
    <w:p w14:paraId="61E8B5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ВТ-11 – истребитель смешанной конструкции под мотор Ю-VII</w:t>
      </w:r>
    </w:p>
    <w:p w14:paraId="37923D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МИ-2 – многоместный истребитель смешанной конструкции под 2 мотора М-34 общей мощностью 1500 НР</w:t>
      </w:r>
    </w:p>
    <w:p w14:paraId="003EF5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завода № 23 в Ленинграде</w:t>
      </w:r>
    </w:p>
    <w:p w14:paraId="0A6D32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 </w:t>
      </w:r>
      <w:proofErr w:type="spellStart"/>
      <w:r w:rsidRPr="007122AB">
        <w:rPr>
          <w:rFonts w:ascii="Times New Roman" w:hAnsi="Times New Roman"/>
          <w:color w:val="000000" w:themeColor="text1"/>
          <w:sz w:val="16"/>
          <w:szCs w:val="16"/>
        </w:rPr>
        <w:t>аэропыл</w:t>
      </w:r>
      <w:proofErr w:type="spellEnd"/>
    </w:p>
    <w:p w14:paraId="1A3D1B4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 Шавров в Москве. Постройка на заводе № 23 в Ленинграде.</w:t>
      </w:r>
    </w:p>
    <w:p w14:paraId="354CE0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 – легкий амфибия, деревянной конструкции под мотор М-11 100 НР</w:t>
      </w:r>
    </w:p>
    <w:p w14:paraId="6145F9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аэрофотосъемки – двухмоторная амфибия, 2-х местная смешанной конструкции</w:t>
      </w:r>
    </w:p>
    <w:p w14:paraId="548727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Конструкторская группа Путилова в Москве</w:t>
      </w:r>
    </w:p>
    <w:p w14:paraId="5FFC0D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Опытная одномоторная пассажирская машина, 3-4 местная, стальной конструкции</w:t>
      </w:r>
    </w:p>
    <w:p w14:paraId="63A518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Опытная 3-х моторная машина на 3 пассажира, стальной конструкции</w:t>
      </w:r>
    </w:p>
    <w:p w14:paraId="4FA187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Конструкторская группа Горелова</w:t>
      </w:r>
    </w:p>
    <w:p w14:paraId="02C7EC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Маломощный самолет с разрезным крылом</w:t>
      </w:r>
    </w:p>
    <w:p w14:paraId="4AD9E2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12-ти местный самолет с разрезным крылом</w:t>
      </w:r>
    </w:p>
    <w:p w14:paraId="23C864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Конструкторская группа ОПОЗ завода № 22 в Филях</w:t>
      </w:r>
    </w:p>
    <w:p w14:paraId="59B7D7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 Артамонов</w:t>
      </w:r>
    </w:p>
    <w:p w14:paraId="7CC223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МП1 – 3-х моторный металлический гидросамолет, лодка на 8 пассажиров, 3 мотора Юпитер по 420 НР</w:t>
      </w:r>
    </w:p>
    <w:p w14:paraId="3EDBC9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Конструкторская группа ВВА в Москве</w:t>
      </w:r>
    </w:p>
    <w:p w14:paraId="10C9FF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 Козлов</w:t>
      </w:r>
    </w:p>
    <w:p w14:paraId="305913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ИП6 – одноместный истребитель с шестью пулеметами стальной</w:t>
      </w:r>
    </w:p>
    <w:p w14:paraId="645593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Конструктор </w:t>
      </w:r>
      <w:proofErr w:type="spellStart"/>
      <w:r w:rsidRPr="007122AB">
        <w:rPr>
          <w:rFonts w:ascii="Times New Roman" w:hAnsi="Times New Roman"/>
          <w:color w:val="000000" w:themeColor="text1"/>
          <w:sz w:val="16"/>
          <w:szCs w:val="16"/>
        </w:rPr>
        <w:t>Черановский</w:t>
      </w:r>
      <w:proofErr w:type="spellEnd"/>
      <w:r w:rsidRPr="007122AB">
        <w:rPr>
          <w:rFonts w:ascii="Times New Roman" w:hAnsi="Times New Roman"/>
          <w:color w:val="000000" w:themeColor="text1"/>
          <w:sz w:val="16"/>
          <w:szCs w:val="16"/>
        </w:rPr>
        <w:t xml:space="preserve"> в Москве</w:t>
      </w:r>
    </w:p>
    <w:p w14:paraId="4210BD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БИ4 – парабола</w:t>
      </w:r>
    </w:p>
    <w:p w14:paraId="1745B8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(6274, 513-514).</w:t>
      </w:r>
    </w:p>
    <w:p w14:paraId="68BFEE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EAA34" w14:textId="77777777" w:rsidR="00E65C7F" w:rsidRPr="007122AB" w:rsidRDefault="00E65C7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Внутренняя политика:</w:t>
      </w:r>
    </w:p>
    <w:p w14:paraId="67445BB7" w14:textId="77777777" w:rsidR="00E65C7F" w:rsidRPr="007122AB" w:rsidRDefault="00E65C7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7F589E"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26 марта 1931 г.</w:t>
      </w:r>
    </w:p>
    <w:p w14:paraId="647776C5"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26 марта 1931 г.</w:t>
      </w:r>
    </w:p>
    <w:p w14:paraId="56144772"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305BF1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81F8E0"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B35A9C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010. On. 2. П. 13а. Д. 232. Л. 16</w:t>
      </w:r>
    </w:p>
    <w:p w14:paraId="24C00434" w14:textId="77777777" w:rsidR="00E65C7F" w:rsidRPr="007122AB" w:rsidRDefault="00E65C7F" w:rsidP="007122AB">
      <w:pPr>
        <w:pStyle w:val="rteright"/>
        <w:spacing w:before="0" w:after="0"/>
        <w:jc w:val="both"/>
        <w:rPr>
          <w:color w:val="000000" w:themeColor="text1"/>
          <w:sz w:val="16"/>
          <w:szCs w:val="16"/>
        </w:rPr>
      </w:pPr>
      <w:r w:rsidRPr="007122AB">
        <w:rPr>
          <w:color w:val="000000" w:themeColor="text1"/>
          <w:sz w:val="16"/>
          <w:szCs w:val="16"/>
        </w:rPr>
        <w:t>26 марта 1931 г.</w:t>
      </w:r>
    </w:p>
    <w:p w14:paraId="756DF37D" w14:textId="77777777" w:rsidR="00E65C7F" w:rsidRPr="007122AB" w:rsidRDefault="00E65C7F"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1622EFE2"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Полномочному Представителю СССР во Франции</w:t>
      </w:r>
    </w:p>
    <w:p w14:paraId="5559731D"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тов. В. С. Довгалевскому</w:t>
      </w:r>
    </w:p>
    <w:p w14:paraId="63A1FA59"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1.  К сожалению, вопрос о вручении меморандума до сих пор еще не решен и дело еще находится в «делопроизводстве» сессии, которая не считает нужным спешить с этим делом. Как только будет принято решение, я Вам протелеграфирую.</w:t>
      </w:r>
    </w:p>
    <w:p w14:paraId="580E07DD"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2.  Я не думаю, чтобы дело Кифера могло в какой-либо форме вновь ожить. Мы на всякий случай дали знать на границу об аннулировании обратной визы, но я думаю, что вряд ли французское правительство сделает какую-либо попытку вернуть его в Москву. Возможны еще разговоры по поводу списка дипкорпуса, но нами еще не использован такой сильный аргумент, как помещение в парижском списке дипкорпуса грузинской миссии, что, во всяком случае, дает нам более серьезный повод для протеста, чем неупоминание в списке Кифера.</w:t>
      </w:r>
    </w:p>
    <w:p w14:paraId="2D5099D4"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3.  Относительно Вашего отпуска и пособия Вам пишет Н. Н. Хотя Ваше письмо имело отметку «личное», я счел нужным послать копии его т. Сталину и членам Коллегии, т. к. оно затрагивает весьма острый вопрос о наших кадрах заграницей. Надеюсь, Вы не посетуете на меня за это.</w:t>
      </w:r>
    </w:p>
    <w:p w14:paraId="082A2D1D"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4.  Буду ждать Ваших дальнейших сообщений относительно реорганизации филиалов ВОКС. В Вашем письме № 133, однако, проглядывает тенденция к организации нового общества на узкой базе торговых интересов, типа торговой палаты. Не это я имею в виду. Стремиться нужно, по[-]моему, к созданию такой организации, которая могла бы охватить самую разношерстную публику: интеллигенцию, промышленников, финансистов, политиков, лиц свободных профессий, пацифистов и т. д.</w:t>
      </w:r>
    </w:p>
    <w:p w14:paraId="551175DE"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ЛИТВИНОВ</w:t>
      </w:r>
    </w:p>
    <w:p w14:paraId="19E3B8AA" w14:textId="77777777" w:rsidR="00E65C7F" w:rsidRPr="007122AB" w:rsidRDefault="00E65C7F"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010. On. 2. П. 13а. Д. 232. Л. 16. Машинописная копия того времени. Вверху слева напечатано «экз. 2» (цифра от руки), справа напечатано столбцом — «Секретно», номер «№ л/21595» и дата «26 марта 1931 года». Штамп Секретариата замнаркома НКИД СССР с вписанными от руки номером и датой получения документа «27.III.1931 г.», подпись- росчерк Н. Н. Крестинского «</w:t>
      </w:r>
      <w:proofErr w:type="spellStart"/>
      <w:r w:rsidRPr="007122AB">
        <w:rPr>
          <w:rStyle w:val="af0"/>
          <w:i w:val="0"/>
          <w:color w:val="000000" w:themeColor="text1"/>
          <w:sz w:val="16"/>
          <w:szCs w:val="16"/>
        </w:rPr>
        <w:t>НКр</w:t>
      </w:r>
      <w:proofErr w:type="spellEnd"/>
      <w:r w:rsidRPr="007122AB">
        <w:rPr>
          <w:rStyle w:val="af0"/>
          <w:i w:val="0"/>
          <w:color w:val="000000" w:themeColor="text1"/>
          <w:sz w:val="16"/>
          <w:szCs w:val="16"/>
        </w:rPr>
        <w:t xml:space="preserve">». Внизу слева машинописью делопроизводственная помета о количестве распечатанных экземпляров (4) и адрес рассылки «1 — Адресат, 2 — </w:t>
      </w:r>
      <w:proofErr w:type="spellStart"/>
      <w:r w:rsidRPr="007122AB">
        <w:rPr>
          <w:rStyle w:val="af0"/>
          <w:i w:val="0"/>
          <w:color w:val="000000" w:themeColor="text1"/>
          <w:sz w:val="16"/>
          <w:szCs w:val="16"/>
        </w:rPr>
        <w:t>Кр</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естинский</w:t>
      </w:r>
      <w:proofErr w:type="spellEnd"/>
      <w:r w:rsidRPr="007122AB">
        <w:rPr>
          <w:rStyle w:val="af0"/>
          <w:i w:val="0"/>
          <w:color w:val="000000" w:themeColor="text1"/>
          <w:sz w:val="16"/>
          <w:szCs w:val="16"/>
        </w:rPr>
        <w:t>], 3 — 3[</w:t>
      </w:r>
      <w:proofErr w:type="spellStart"/>
      <w:r w:rsidRPr="007122AB">
        <w:rPr>
          <w:rStyle w:val="af0"/>
          <w:i w:val="0"/>
          <w:color w:val="000000" w:themeColor="text1"/>
          <w:sz w:val="16"/>
          <w:szCs w:val="16"/>
        </w:rPr>
        <w:t>ападный</w:t>
      </w:r>
      <w:proofErr w:type="spellEnd"/>
      <w:r w:rsidRPr="007122AB">
        <w:rPr>
          <w:rStyle w:val="af0"/>
          <w:i w:val="0"/>
          <w:color w:val="000000" w:themeColor="text1"/>
          <w:sz w:val="16"/>
          <w:szCs w:val="16"/>
        </w:rPr>
        <w:t xml:space="preserve"> отдел] III, 4 — дело» (18813).</w:t>
      </w:r>
    </w:p>
    <w:p w14:paraId="503024A1"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61FA0A48"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26 марта 1931 г.</w:t>
      </w:r>
    </w:p>
    <w:p w14:paraId="5069452C"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заместителя наркома иностранных дел СССР Н. Н. Крестинского полпреду СССР во Франции В. С. Довгалевскому. 26 марта 1931 г.</w:t>
      </w:r>
    </w:p>
    <w:p w14:paraId="718F7ABA"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864384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D05F80" w14:textId="77777777" w:rsidR="00E65C7F" w:rsidRPr="007122AB" w:rsidRDefault="00E65C7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7FEC8B8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010. On. 2. П. 13а. Д. 232. Л. 17-19</w:t>
      </w:r>
    </w:p>
    <w:p w14:paraId="30B2F9E4" w14:textId="77777777" w:rsidR="00E65C7F" w:rsidRPr="007122AB" w:rsidRDefault="00E65C7F" w:rsidP="007122AB">
      <w:pPr>
        <w:pStyle w:val="rteright"/>
        <w:spacing w:before="0" w:after="0"/>
        <w:jc w:val="both"/>
        <w:rPr>
          <w:color w:val="000000" w:themeColor="text1"/>
          <w:sz w:val="16"/>
          <w:szCs w:val="16"/>
        </w:rPr>
      </w:pPr>
      <w:r w:rsidRPr="007122AB">
        <w:rPr>
          <w:color w:val="000000" w:themeColor="text1"/>
          <w:sz w:val="16"/>
          <w:szCs w:val="16"/>
        </w:rPr>
        <w:t>26 марта 1931 г.</w:t>
      </w:r>
    </w:p>
    <w:p w14:paraId="5D296CEE" w14:textId="77777777" w:rsidR="00E65C7F" w:rsidRPr="007122AB" w:rsidRDefault="00E65C7F"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1944BCC8"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Тов. ДОВГАЛЕВСКОМУ</w:t>
      </w:r>
    </w:p>
    <w:p w14:paraId="7D0B01B8"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Многоуважаемый Валериан Савельевич,</w:t>
      </w:r>
    </w:p>
    <w:p w14:paraId="2A4DF179"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1.  Из моих телеграмм Вы уже знаете историю с дипломатическим списком без Кифера и с демаршем, сделанным по этому поводу поверенным в делах Конти.</w:t>
      </w:r>
    </w:p>
    <w:p w14:paraId="0B356BBA"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Дипломатический список выходит у нас обыкновенно в январе. Он и был и в этом году напечатан в январе, причем Кифер в список сознательно внесен не был. Ввиду происходивших между Вами, Вертело и </w:t>
      </w:r>
      <w:proofErr w:type="spellStart"/>
      <w:r w:rsidRPr="007122AB">
        <w:rPr>
          <w:color w:val="000000" w:themeColor="text1"/>
          <w:sz w:val="16"/>
          <w:szCs w:val="16"/>
        </w:rPr>
        <w:t>Брианом</w:t>
      </w:r>
      <w:proofErr w:type="spellEnd"/>
      <w:r w:rsidRPr="007122AB">
        <w:rPr>
          <w:color w:val="000000" w:themeColor="text1"/>
          <w:sz w:val="16"/>
          <w:szCs w:val="16"/>
        </w:rPr>
        <w:t xml:space="preserve"> переговоров, мы предложили Протокольному Отделу задержать рассылку готового списка. Когда же переговоры закончились и Кифер уехал, запрет был снят.</w:t>
      </w:r>
    </w:p>
    <w:p w14:paraId="1B727DF6"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Через 3 дня после рассылки списка ко мне явился Конти и заявил, что он и Вертело усматривают в исключении Кифера из списка наш односторонний акт по вопросу о Кифере, нарушающий состоявшееся между Вами и Вертело соглашение. Ввиду этого Конти просит разослать в циркулярном порядке исправление к списку, содержащее ряд мелких исправлений, а также восстанавливающий Кифера в списке членов французского посольства.</w:t>
      </w:r>
    </w:p>
    <w:p w14:paraId="12571379"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Я ответил Конти, что у Вас с Вертело не было никакого соглашения о том, что Кифер остается членом дипкорпуса до какого[-]то нового соглашения об этом в Париже. Соглашение касалось лишь вопроса о порядке выезда Кифера, именно — предоставления ему не только выездной, но и обратной визы. Но при этом Вертело считался с предшествующим заявлением Довгалевского, что мы не рассматриваем больше Кифера как члена дипкорпуса, и дал Вам письмо, в котором заявлял, что в выдаче Киферу обратной визы </w:t>
      </w:r>
      <w:proofErr w:type="spellStart"/>
      <w:r w:rsidRPr="007122AB">
        <w:rPr>
          <w:color w:val="000000" w:themeColor="text1"/>
          <w:sz w:val="16"/>
          <w:szCs w:val="16"/>
        </w:rPr>
        <w:t>францпра</w:t>
      </w:r>
      <w:proofErr w:type="spellEnd"/>
      <w:r w:rsidRPr="007122AB">
        <w:rPr>
          <w:color w:val="000000" w:themeColor="text1"/>
          <w:sz w:val="16"/>
          <w:szCs w:val="16"/>
        </w:rPr>
        <w:t xml:space="preserve"> не будет рассматривать, как наш отказ от требования отозвать Кифера.</w:t>
      </w:r>
    </w:p>
    <w:p w14:paraId="3192B8EA"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Поэтому я не вижу никаких оснований для протеста со стороны </w:t>
      </w:r>
      <w:proofErr w:type="spellStart"/>
      <w:r w:rsidRPr="007122AB">
        <w:rPr>
          <w:color w:val="000000" w:themeColor="text1"/>
          <w:sz w:val="16"/>
          <w:szCs w:val="16"/>
        </w:rPr>
        <w:t>францпра</w:t>
      </w:r>
      <w:proofErr w:type="spellEnd"/>
      <w:r w:rsidRPr="007122AB">
        <w:rPr>
          <w:color w:val="000000" w:themeColor="text1"/>
          <w:sz w:val="16"/>
          <w:szCs w:val="16"/>
        </w:rPr>
        <w:t xml:space="preserve"> и не считаю возможным рассылать какие-либо исправления.</w:t>
      </w:r>
    </w:p>
    <w:p w14:paraId="64CCA613"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lastRenderedPageBreak/>
        <w:t>Конти просил, однако, меня снестись с Вами, чтобы установить истинный характер Вашего соглашения с Вертело. Он прибавил, что если Вертело не получит просимого удовлетворения, если мы не согласимся исправить ошибки Протокольного Отдела, то Вертело будет считать себя свободным от соглашения с Довгалевским и самостоятельно обсудит, какие шаги ему предпринять.</w:t>
      </w:r>
    </w:p>
    <w:p w14:paraId="1A0C022B"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Я согласился снестись с Вами.</w:t>
      </w:r>
    </w:p>
    <w:p w14:paraId="59BBE83D"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Когда мы обсудили вопрос в Коллегии, то решили сказать Конти, что было бы правильнее, если бы Протокольный] </w:t>
      </w:r>
      <w:proofErr w:type="spellStart"/>
      <w:r w:rsidRPr="007122AB">
        <w:rPr>
          <w:color w:val="000000" w:themeColor="text1"/>
          <w:sz w:val="16"/>
          <w:szCs w:val="16"/>
        </w:rPr>
        <w:t>Отд</w:t>
      </w:r>
      <w:proofErr w:type="spellEnd"/>
      <w:r w:rsidRPr="007122AB">
        <w:rPr>
          <w:color w:val="000000" w:themeColor="text1"/>
          <w:sz w:val="16"/>
          <w:szCs w:val="16"/>
        </w:rPr>
        <w:t xml:space="preserve">[ел] не поторопился разослать список, но что мы не можем исправить этого, потому что рассылка нами исправления обозначала бы, что мы принимаем точку зрения французского правительства и продолжаем считать Кифера членом дипкорпуса. Мы же заявили Вертело обратное, от своей точки зрения не отказались, и заключенный между им и Вами компромисс именно в том и состоял, что каждая сторона осталась в основном при своей точке зрения. Никакого соглашения о том, что Кифер остается членом дипкорпуса между Вами и Вертело нет. Сейчас я привожу наше решение по памяти, но точный текст, который потом </w:t>
      </w:r>
      <w:proofErr w:type="spellStart"/>
      <w:r w:rsidRPr="007122AB">
        <w:rPr>
          <w:color w:val="000000" w:themeColor="text1"/>
          <w:sz w:val="16"/>
          <w:szCs w:val="16"/>
        </w:rPr>
        <w:t>Рубинин</w:t>
      </w:r>
      <w:proofErr w:type="spellEnd"/>
      <w:r w:rsidRPr="007122AB">
        <w:rPr>
          <w:color w:val="000000" w:themeColor="text1"/>
          <w:sz w:val="16"/>
          <w:szCs w:val="16"/>
        </w:rPr>
        <w:t xml:space="preserve"> и передал Конти, был Вам протелеграфирован.</w:t>
      </w:r>
    </w:p>
    <w:p w14:paraId="18C943FB"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 xml:space="preserve">Я не вызывал к себе Конти, он через 2 или 3 дня после заседания Коллегии зашел к </w:t>
      </w:r>
      <w:proofErr w:type="spellStart"/>
      <w:r w:rsidRPr="007122AB">
        <w:rPr>
          <w:color w:val="000000" w:themeColor="text1"/>
          <w:sz w:val="16"/>
          <w:szCs w:val="16"/>
        </w:rPr>
        <w:t>Рубинину</w:t>
      </w:r>
      <w:proofErr w:type="spellEnd"/>
      <w:r w:rsidRPr="007122AB">
        <w:rPr>
          <w:color w:val="000000" w:themeColor="text1"/>
          <w:sz w:val="16"/>
          <w:szCs w:val="16"/>
        </w:rPr>
        <w:t xml:space="preserve"> и справился у него о результатах своего демарша. </w:t>
      </w:r>
      <w:proofErr w:type="spellStart"/>
      <w:r w:rsidRPr="007122AB">
        <w:rPr>
          <w:color w:val="000000" w:themeColor="text1"/>
          <w:sz w:val="16"/>
          <w:szCs w:val="16"/>
        </w:rPr>
        <w:t>Рубинин</w:t>
      </w:r>
      <w:proofErr w:type="spellEnd"/>
      <w:r w:rsidRPr="007122AB">
        <w:rPr>
          <w:color w:val="000000" w:themeColor="text1"/>
          <w:sz w:val="16"/>
          <w:szCs w:val="16"/>
        </w:rPr>
        <w:t xml:space="preserve"> сделал ему то сообщение, которое по решению Коллегии должен был сделать я при ближайшем посещении Конти. Конти просил </w:t>
      </w:r>
      <w:proofErr w:type="spellStart"/>
      <w:r w:rsidRPr="007122AB">
        <w:rPr>
          <w:color w:val="000000" w:themeColor="text1"/>
          <w:sz w:val="16"/>
          <w:szCs w:val="16"/>
        </w:rPr>
        <w:t>Рубинина</w:t>
      </w:r>
      <w:proofErr w:type="spellEnd"/>
      <w:r w:rsidRPr="007122AB">
        <w:rPr>
          <w:color w:val="000000" w:themeColor="text1"/>
          <w:sz w:val="16"/>
          <w:szCs w:val="16"/>
        </w:rPr>
        <w:t xml:space="preserve"> передать мне, что он все[-]таки настаивал бы на рассылке исправления. </w:t>
      </w:r>
      <w:proofErr w:type="spellStart"/>
      <w:r w:rsidRPr="007122AB">
        <w:rPr>
          <w:color w:val="000000" w:themeColor="text1"/>
          <w:sz w:val="16"/>
          <w:szCs w:val="16"/>
        </w:rPr>
        <w:t>Рубинин</w:t>
      </w:r>
      <w:proofErr w:type="spellEnd"/>
      <w:r w:rsidRPr="007122AB">
        <w:rPr>
          <w:color w:val="000000" w:themeColor="text1"/>
          <w:sz w:val="16"/>
          <w:szCs w:val="16"/>
        </w:rPr>
        <w:t xml:space="preserve"> ответил, что он, конечно, передаст мне содержание своего разговора, но что исправления мы не пошлем и считаем вопрос исчерпанным.</w:t>
      </w:r>
    </w:p>
    <w:p w14:paraId="7C41A329"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Я надеюсь, что французы не будут делать истории из этого вопроса.</w:t>
      </w:r>
    </w:p>
    <w:p w14:paraId="7D1D57D3"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2.   Вы предлагаете внести некоторые исправления в меморандум. Весь вопрос находится сейчас в инстанции, редакционные изменения, предлагаемые Вами и не вызывающие у меня возражений, обсудим, когда будет разрешен предварительный принципиальный вопрос.</w:t>
      </w:r>
    </w:p>
    <w:p w14:paraId="69BF2446" w14:textId="77777777" w:rsidR="00E65C7F" w:rsidRPr="007122AB" w:rsidRDefault="00E65C7F" w:rsidP="007122AB">
      <w:pPr>
        <w:pStyle w:val="rtejustify"/>
        <w:spacing w:before="0" w:after="0"/>
        <w:rPr>
          <w:color w:val="000000" w:themeColor="text1"/>
          <w:sz w:val="16"/>
          <w:szCs w:val="16"/>
        </w:rPr>
      </w:pPr>
      <w:r w:rsidRPr="007122AB">
        <w:rPr>
          <w:color w:val="000000" w:themeColor="text1"/>
          <w:sz w:val="16"/>
          <w:szCs w:val="16"/>
        </w:rPr>
        <w:t>3.   Я против того, чтобы продолжать переписку с МИДом по делу Шаляпина. Если бы у меня существовала уверенность в том, что французы не ответят и что Ваше письмо будет последним словом по этому делу, то я не возражал бы против посылки более короткого, чем Вы предлагаете, письма, со ссылкой на прецедент 1925 года. Но я не сомневаюсь, что Вы получите новый ответ с указанием на изменившиеся обстоятельства и с новой ссылкой на процесс Рамзина. Получится длящаяся неприятная переписка, в которой последнее слово опять-таки останется не за нами. Лучше поэтому ничего не отвечать. Мы не лишены возможности после Вашего возвращения из отпуска, если произойдут какие-либо изменения во взаимоотношениях, вернуться еще раз к этому вопросу. Пока же ничего не пишите.</w:t>
      </w:r>
    </w:p>
    <w:p w14:paraId="64DF7D8D"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С тов. приветом</w:t>
      </w:r>
    </w:p>
    <w:p w14:paraId="6CE0682E" w14:textId="77777777" w:rsidR="00E65C7F" w:rsidRPr="007122AB" w:rsidRDefault="00E65C7F" w:rsidP="007122AB">
      <w:pPr>
        <w:pStyle w:val="ae"/>
        <w:spacing w:before="0" w:after="0"/>
        <w:jc w:val="both"/>
        <w:rPr>
          <w:color w:val="000000" w:themeColor="text1"/>
          <w:sz w:val="16"/>
          <w:szCs w:val="16"/>
        </w:rPr>
      </w:pPr>
      <w:r w:rsidRPr="007122AB">
        <w:rPr>
          <w:color w:val="000000" w:themeColor="text1"/>
          <w:sz w:val="16"/>
          <w:szCs w:val="16"/>
        </w:rPr>
        <w:t>Н. Крестинский</w:t>
      </w:r>
    </w:p>
    <w:p w14:paraId="7809A45E" w14:textId="77777777" w:rsidR="00E65C7F" w:rsidRPr="007122AB" w:rsidRDefault="00E65C7F"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АВП РФ. Ф. 010. On. 2. П. 13а. Д. 232. Л. 17-19. Машинописный подлинник, подпись — автограф. На Л. 17 вверху справа напечатаны дата, ниже (от руки) номер «к/22765», «Секретно». На Л. 19 внизу слева — делопроизводственная помета (машинописью) о количестве распечатанных экземпляров (6) и адрес рассылки «Копии: </w:t>
      </w:r>
      <w:proofErr w:type="spellStart"/>
      <w:r w:rsidRPr="007122AB">
        <w:rPr>
          <w:rStyle w:val="af0"/>
          <w:i w:val="0"/>
          <w:color w:val="000000" w:themeColor="text1"/>
          <w:sz w:val="16"/>
          <w:szCs w:val="16"/>
        </w:rPr>
        <w:t>чл</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енам</w:t>
      </w:r>
      <w:proofErr w:type="spellEnd"/>
      <w:r w:rsidRPr="007122AB">
        <w:rPr>
          <w:rStyle w:val="af0"/>
          <w:i w:val="0"/>
          <w:color w:val="000000" w:themeColor="text1"/>
          <w:sz w:val="16"/>
          <w:szCs w:val="16"/>
        </w:rPr>
        <w:t xml:space="preserve">] Коллегии, 3-й </w:t>
      </w:r>
      <w:proofErr w:type="spellStart"/>
      <w:r w:rsidRPr="007122AB">
        <w:rPr>
          <w:rStyle w:val="af0"/>
          <w:i w:val="0"/>
          <w:color w:val="000000" w:themeColor="text1"/>
          <w:sz w:val="16"/>
          <w:szCs w:val="16"/>
        </w:rPr>
        <w:t>Зап</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адный</w:t>
      </w:r>
      <w:proofErr w:type="spellEnd"/>
      <w:r w:rsidRPr="007122AB">
        <w:rPr>
          <w:rStyle w:val="af0"/>
          <w:i w:val="0"/>
          <w:color w:val="000000" w:themeColor="text1"/>
          <w:sz w:val="16"/>
          <w:szCs w:val="16"/>
        </w:rPr>
        <w:t xml:space="preserve">] </w:t>
      </w:r>
      <w:proofErr w:type="spellStart"/>
      <w:r w:rsidRPr="007122AB">
        <w:rPr>
          <w:rStyle w:val="af0"/>
          <w:i w:val="0"/>
          <w:color w:val="000000" w:themeColor="text1"/>
          <w:sz w:val="16"/>
          <w:szCs w:val="16"/>
        </w:rPr>
        <w:t>Отд</w:t>
      </w:r>
      <w:proofErr w:type="spellEnd"/>
      <w:r w:rsidRPr="007122AB">
        <w:rPr>
          <w:rStyle w:val="af0"/>
          <w:i w:val="0"/>
          <w:color w:val="000000" w:themeColor="text1"/>
          <w:sz w:val="16"/>
          <w:szCs w:val="16"/>
        </w:rPr>
        <w:t>[ел]» (18814).</w:t>
      </w:r>
    </w:p>
    <w:p w14:paraId="24F3AD80"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3353CB0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09FFED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A26A16" w14:textId="77777777" w:rsidR="006A088C" w:rsidRPr="007122AB" w:rsidRDefault="006A088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марта 1931 Ad Astra Aero и </w:t>
      </w:r>
      <w:proofErr w:type="spellStart"/>
      <w:r w:rsidRPr="007122AB">
        <w:rPr>
          <w:rFonts w:ascii="Times New Roman" w:hAnsi="Times New Roman"/>
          <w:color w:val="000000" w:themeColor="text1"/>
          <w:sz w:val="16"/>
          <w:szCs w:val="16"/>
        </w:rPr>
        <w:t>Balair</w:t>
      </w:r>
      <w:proofErr w:type="spellEnd"/>
      <w:r w:rsidRPr="007122AB">
        <w:rPr>
          <w:rFonts w:ascii="Times New Roman" w:hAnsi="Times New Roman"/>
          <w:color w:val="000000" w:themeColor="text1"/>
          <w:sz w:val="16"/>
          <w:szCs w:val="16"/>
        </w:rPr>
        <w:t xml:space="preserve"> объединяются в </w:t>
      </w:r>
      <w:proofErr w:type="spellStart"/>
      <w:r w:rsidRPr="007122AB">
        <w:rPr>
          <w:rFonts w:ascii="Times New Roman" w:hAnsi="Times New Roman"/>
          <w:color w:val="000000" w:themeColor="text1"/>
          <w:sz w:val="16"/>
          <w:szCs w:val="16"/>
        </w:rPr>
        <w:t>Swissair</w:t>
      </w:r>
      <w:proofErr w:type="spellEnd"/>
      <w:r w:rsidRPr="007122AB">
        <w:rPr>
          <w:rFonts w:ascii="Times New Roman" w:hAnsi="Times New Roman"/>
          <w:color w:val="000000" w:themeColor="text1"/>
          <w:sz w:val="16"/>
          <w:szCs w:val="16"/>
        </w:rPr>
        <w:t xml:space="preserve"> (20804).</w:t>
      </w:r>
    </w:p>
    <w:p w14:paraId="5CCCB77D" w14:textId="77777777" w:rsidR="006A088C" w:rsidRPr="007122AB" w:rsidRDefault="006A088C" w:rsidP="007122AB">
      <w:pPr>
        <w:spacing w:after="0" w:line="240" w:lineRule="auto"/>
        <w:jc w:val="both"/>
        <w:rPr>
          <w:rFonts w:ascii="Times New Roman" w:hAnsi="Times New Roman"/>
          <w:color w:val="000000" w:themeColor="text1"/>
          <w:sz w:val="16"/>
          <w:szCs w:val="16"/>
        </w:rPr>
      </w:pPr>
    </w:p>
    <w:p w14:paraId="34A82D06" w14:textId="77777777" w:rsidR="006A088C" w:rsidRPr="007122AB" w:rsidRDefault="006A088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марта 1931 - Путём слияния Ad Astra Aero AG </w:t>
      </w:r>
      <w:proofErr w:type="spellStart"/>
      <w:r w:rsidRPr="007122AB">
        <w:rPr>
          <w:rFonts w:ascii="Times New Roman" w:hAnsi="Times New Roman"/>
          <w:color w:val="000000" w:themeColor="text1"/>
          <w:sz w:val="16"/>
          <w:szCs w:val="16"/>
        </w:rPr>
        <w:t>and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Basler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Luftverkehr</w:t>
      </w:r>
      <w:proofErr w:type="spellEnd"/>
      <w:r w:rsidRPr="007122AB">
        <w:rPr>
          <w:rFonts w:ascii="Times New Roman" w:hAnsi="Times New Roman"/>
          <w:color w:val="000000" w:themeColor="text1"/>
          <w:sz w:val="16"/>
          <w:szCs w:val="16"/>
        </w:rPr>
        <w:t xml:space="preserve"> была основана национальная швейцарская авиакомпания </w:t>
      </w:r>
      <w:proofErr w:type="spellStart"/>
      <w:r w:rsidRPr="007122AB">
        <w:rPr>
          <w:rFonts w:ascii="Times New Roman" w:hAnsi="Times New Roman"/>
          <w:color w:val="000000" w:themeColor="text1"/>
          <w:sz w:val="16"/>
          <w:szCs w:val="16"/>
        </w:rPr>
        <w:t>Swissair</w:t>
      </w:r>
      <w:proofErr w:type="spellEnd"/>
      <w:r w:rsidRPr="007122AB">
        <w:rPr>
          <w:rFonts w:ascii="Times New Roman" w:hAnsi="Times New Roman"/>
          <w:color w:val="000000" w:themeColor="text1"/>
          <w:sz w:val="16"/>
          <w:szCs w:val="16"/>
        </w:rPr>
        <w:t>. Ряд десятилетий она была одной из крупнейших авиакомпаний мира.</w:t>
      </w:r>
    </w:p>
    <w:p w14:paraId="32D40743" w14:textId="77777777" w:rsidR="006A088C" w:rsidRPr="007122AB" w:rsidRDefault="006A088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серьёзные финансовые проблемы заставили её осенью 2001 прекратить полёты на регулярных линиях. Наступил день 2 октября 2001 года, и ни один самолет компании не поднялся в воздух, они все остались на приколе, а в начале 2002 она прекратила существование. 31 марта 2002 года, после слияния с региональной авиакомпанией </w:t>
      </w:r>
      <w:proofErr w:type="spellStart"/>
      <w:r w:rsidRPr="007122AB">
        <w:rPr>
          <w:rFonts w:ascii="Times New Roman" w:hAnsi="Times New Roman"/>
          <w:color w:val="000000" w:themeColor="text1"/>
          <w:sz w:val="16"/>
          <w:szCs w:val="16"/>
        </w:rPr>
        <w:t>Crossair</w:t>
      </w:r>
      <w:proofErr w:type="spellEnd"/>
      <w:r w:rsidRPr="007122AB">
        <w:rPr>
          <w:rFonts w:ascii="Times New Roman" w:hAnsi="Times New Roman"/>
          <w:color w:val="000000" w:themeColor="text1"/>
          <w:sz w:val="16"/>
          <w:szCs w:val="16"/>
        </w:rPr>
        <w:t>, швейцарский национальный перевозчик вновь начал работу уже под именем Swiss. Федеральный центр и банки профинансировали процесс перестройки компании кредитами на общую сумму в 3 миллиарда франков, из них 1,7 миллиарда были деньгами налогоплательщиков. Однако, несмотря на все усилия, добиться прежних результатов уже не удалось. Экономическая турбулентность, в которую попала компания, были слишком велики, а перспективы – туманны. Когда весной 2005 г. компанию купила германская Lufthansa, рыночная стоимость Swiss составляла всего лишь 340 миллионов франков (22556).</w:t>
      </w:r>
    </w:p>
    <w:p w14:paraId="0B276524" w14:textId="77777777" w:rsidR="006A088C" w:rsidRPr="007122AB" w:rsidRDefault="006A088C" w:rsidP="007122AB">
      <w:pPr>
        <w:spacing w:after="0" w:line="240" w:lineRule="auto"/>
        <w:jc w:val="both"/>
        <w:rPr>
          <w:rFonts w:ascii="Times New Roman" w:hAnsi="Times New Roman"/>
          <w:color w:val="000000" w:themeColor="text1"/>
          <w:sz w:val="16"/>
          <w:szCs w:val="16"/>
        </w:rPr>
      </w:pPr>
    </w:p>
    <w:p w14:paraId="04FF71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марта 1931 Ирак и </w:t>
      </w:r>
      <w:proofErr w:type="spellStart"/>
      <w:r w:rsidRPr="007122AB">
        <w:rPr>
          <w:rFonts w:ascii="Times New Roman" w:hAnsi="Times New Roman"/>
          <w:color w:val="000000" w:themeColor="text1"/>
          <w:sz w:val="16"/>
          <w:szCs w:val="16"/>
        </w:rPr>
        <w:t>Трансиордания</w:t>
      </w:r>
      <w:proofErr w:type="spellEnd"/>
      <w:r w:rsidRPr="007122AB">
        <w:rPr>
          <w:rFonts w:ascii="Times New Roman" w:hAnsi="Times New Roman"/>
          <w:color w:val="000000" w:themeColor="text1"/>
          <w:sz w:val="16"/>
          <w:szCs w:val="16"/>
        </w:rPr>
        <w:t xml:space="preserve"> заключили договор о дружбе (3907,167).</w:t>
      </w:r>
    </w:p>
    <w:p w14:paraId="56BC3D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9E93C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497946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260B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марта 1931 на техническом совещании отдела АГОС обсуждали вопрос о постановке АНТ-9 на поплавки (1077,158).</w:t>
      </w:r>
    </w:p>
    <w:p w14:paraId="2C9C37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0B4456" w14:textId="77777777" w:rsidR="00083CD8" w:rsidRPr="007122AB" w:rsidRDefault="00083CD8" w:rsidP="007122AB">
      <w:pPr>
        <w:pStyle w:val="rtejustify"/>
        <w:spacing w:before="0" w:after="0"/>
        <w:rPr>
          <w:color w:val="000000" w:themeColor="text1"/>
          <w:sz w:val="16"/>
          <w:szCs w:val="16"/>
        </w:rPr>
      </w:pPr>
      <w:r w:rsidRPr="007122AB">
        <w:rPr>
          <w:rStyle w:val="af0"/>
          <w:i w:val="0"/>
          <w:color w:val="000000" w:themeColor="text1"/>
          <w:sz w:val="16"/>
          <w:szCs w:val="16"/>
        </w:rPr>
        <w:t>27 марта 1931 г. Протокол Реввоенсовета № 13.</w:t>
      </w:r>
      <w:r w:rsidRPr="007122AB">
        <w:rPr>
          <w:color w:val="000000" w:themeColor="text1"/>
          <w:sz w:val="16"/>
          <w:szCs w:val="16"/>
        </w:rPr>
        <w:t xml:space="preserve"> 4. Состояние работ по плану опытного моторостроения (ИАМ). (Марьямов). 5. О постройке самолета К</w:t>
      </w:r>
      <w:r w:rsidRPr="007122AB">
        <w:rPr>
          <w:color w:val="000000" w:themeColor="text1"/>
          <w:sz w:val="16"/>
          <w:szCs w:val="16"/>
        </w:rPr>
        <w:noBreakHyphen/>
        <w:t>7 (Калинин). (РГВА. Ф. 4. Оп. 18. Д. 20. Л. 157</w:t>
      </w:r>
      <w:r w:rsidRPr="007122AB">
        <w:rPr>
          <w:color w:val="000000" w:themeColor="text1"/>
          <w:sz w:val="16"/>
          <w:szCs w:val="16"/>
        </w:rPr>
        <w:noBreakHyphen/>
        <w:t>158) (12342).</w:t>
      </w:r>
    </w:p>
    <w:p w14:paraId="4B49483F" w14:textId="77777777" w:rsidR="00083CD8" w:rsidRPr="007122AB" w:rsidRDefault="00083CD8" w:rsidP="007122AB">
      <w:pPr>
        <w:pStyle w:val="rtejustify"/>
        <w:spacing w:before="0" w:after="0"/>
        <w:rPr>
          <w:color w:val="000000" w:themeColor="text1"/>
          <w:sz w:val="16"/>
          <w:szCs w:val="16"/>
        </w:rPr>
      </w:pPr>
    </w:p>
    <w:p w14:paraId="55656A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27 марта 1931 г. собрали 15 моторов М-26 1-й серии. Но выпускались М-15 и М-26 недолго. 5 августа 1931 г. вышло постановление Реввоен</w:t>
      </w:r>
      <w:r w:rsidRPr="007122AB">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EBE76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 разработан под руководством А.А. Бессонова на заводе № 24 для заме</w:t>
      </w:r>
      <w:r w:rsidRPr="007122AB">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7122AB">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7122AB">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7122AB">
        <w:rPr>
          <w:rFonts w:ascii="Times New Roman" w:hAnsi="Times New Roman"/>
          <w:color w:val="000000" w:themeColor="text1"/>
          <w:sz w:val="16"/>
          <w:szCs w:val="16"/>
        </w:rPr>
        <w:softHyphen/>
        <w:t>рийное производство велось на заводе № 24 (Москва) в 1931-1933 гг. Вы</w:t>
      </w:r>
      <w:r w:rsidRPr="007122AB">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5BD842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128DDB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7-цилиндровый,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6737A6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270/300 л.с. (по проекту 300/350 л.с.);</w:t>
      </w:r>
    </w:p>
    <w:p w14:paraId="5CF52C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150/170 мм;</w:t>
      </w:r>
    </w:p>
    <w:p w14:paraId="44B05D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21,0 л;</w:t>
      </w:r>
    </w:p>
    <w:p w14:paraId="3CECFE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5,4;</w:t>
      </w:r>
    </w:p>
    <w:p w14:paraId="6AFCA4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794C7E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по проекту 300 кг, фактический — 375 кг (без втулки винта);</w:t>
      </w:r>
    </w:p>
    <w:p w14:paraId="06966B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имел ПЦН.</w:t>
      </w:r>
    </w:p>
    <w:p w14:paraId="539971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0A581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E275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4E90B7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6A28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марта 1931 г. два Р-1 из 28-й эскадрильи отправили фотографировать сооружения Карельского укрепрайона с целью проверки состояния их маскировки. Но молодые летчики заблудились и сняли укрепления на финской стороне границы, у реки </w:t>
      </w:r>
      <w:proofErr w:type="spellStart"/>
      <w:r w:rsidRPr="007122AB">
        <w:rPr>
          <w:rFonts w:ascii="Times New Roman" w:hAnsi="Times New Roman"/>
          <w:color w:val="000000" w:themeColor="text1"/>
          <w:sz w:val="16"/>
          <w:szCs w:val="16"/>
        </w:rPr>
        <w:t>Виисийоки</w:t>
      </w:r>
      <w:proofErr w:type="spellEnd"/>
      <w:r w:rsidRPr="007122AB">
        <w:rPr>
          <w:rFonts w:ascii="Times New Roman" w:hAnsi="Times New Roman"/>
          <w:color w:val="000000" w:themeColor="text1"/>
          <w:sz w:val="16"/>
          <w:szCs w:val="16"/>
        </w:rPr>
        <w:t>. Полет не остался незамеченным: министерство иностранных дел Финляндии направило ноту протеста. И только тогда выяснилось, что же сфотографировали наши экипажи. Командование ВВС Ленинградского округа долго решало, что делать: то ли наказывать за ошибку, то ли награждать за ценную информацию. В конечном счете приняли «соломоново решение» - не делать ни того, ни другого (11923).</w:t>
      </w:r>
    </w:p>
    <w:p w14:paraId="529AE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7F2FEC" w14:textId="77777777" w:rsidR="009539DA" w:rsidRPr="007122AB" w:rsidRDefault="009539D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27 марта 1931 Реввоенсовет заслушал доклад </w:t>
      </w:r>
      <w:proofErr w:type="spellStart"/>
      <w:r w:rsidRPr="007122AB">
        <w:rPr>
          <w:rFonts w:ascii="Times New Roman" w:eastAsia="Times New Roman" w:hAnsi="Times New Roman"/>
          <w:color w:val="000000" w:themeColor="text1"/>
          <w:sz w:val="16"/>
          <w:szCs w:val="16"/>
          <w:lang w:eastAsia="ru-RU"/>
        </w:rPr>
        <w:t>Триандафиллова</w:t>
      </w:r>
      <w:proofErr w:type="spellEnd"/>
      <w:r w:rsidRPr="007122AB">
        <w:rPr>
          <w:rFonts w:ascii="Times New Roman" w:eastAsia="Times New Roman" w:hAnsi="Times New Roman"/>
          <w:color w:val="000000" w:themeColor="text1"/>
          <w:sz w:val="16"/>
          <w:szCs w:val="16"/>
          <w:lang w:eastAsia="ru-RU"/>
        </w:rPr>
        <w:t xml:space="preserve">, в котором были объединены два вопроса повестки дня - численность РККА мирного времени, оргмероприятия 1931-1933 гг. и новые формирования 1931 г. К согласию прийти не удалось. "Считая необходимым еще раз самым тщательным образом обсудить представленные Штабом РККА соображения и расчеты о численности и организации армии на конец пятилетки", РВСС поручил специальной комиссии (Ворошилов, Гамарник, Каменев, Баранов, </w:t>
      </w:r>
      <w:proofErr w:type="spellStart"/>
      <w:r w:rsidRPr="007122AB">
        <w:rPr>
          <w:rFonts w:ascii="Times New Roman" w:eastAsia="Times New Roman" w:hAnsi="Times New Roman"/>
          <w:color w:val="000000" w:themeColor="text1"/>
          <w:sz w:val="16"/>
          <w:szCs w:val="16"/>
          <w:lang w:eastAsia="ru-RU"/>
        </w:rPr>
        <w:t>Триандафиллов</w:t>
      </w:r>
      <w:proofErr w:type="spellEnd"/>
      <w:r w:rsidRPr="007122AB">
        <w:rPr>
          <w:rFonts w:ascii="Times New Roman" w:eastAsia="Times New Roman" w:hAnsi="Times New Roman"/>
          <w:color w:val="000000" w:themeColor="text1"/>
          <w:sz w:val="16"/>
          <w:szCs w:val="16"/>
          <w:lang w:eastAsia="ru-RU"/>
        </w:rPr>
        <w:t xml:space="preserve">, Левичев) вновь рассмотреть "весь вопрос" и вынести по нему окончательное решение от имени совета (Протокол № 13 заседания РВС СССР от 27.03.1931 // Там же. Л. 156. Протокол № 13 заседания РВС СССР от 27.03.1931 // Там же. Л. 156.). По итогам этих работ 6 апреля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w:t>
      </w:r>
      <w:r w:rsidRPr="007122AB">
        <w:rPr>
          <w:rFonts w:ascii="Times New Roman" w:eastAsia="Times New Roman" w:hAnsi="Times New Roman"/>
          <w:color w:val="000000" w:themeColor="text1"/>
          <w:sz w:val="16"/>
          <w:szCs w:val="16"/>
          <w:lang w:eastAsia="ru-RU"/>
        </w:rPr>
        <w:lastRenderedPageBreak/>
        <w:t xml:space="preserve">3 апреля РВС принял к сведению это постановление (Там же. Л. 188). Либо Ворошилов подписал постановление с трехдневным запозданием, либо секретарь РВСС </w:t>
      </w:r>
      <w:proofErr w:type="spellStart"/>
      <w:r w:rsidRPr="007122AB">
        <w:rPr>
          <w:rFonts w:ascii="Times New Roman" w:eastAsia="Times New Roman" w:hAnsi="Times New Roman"/>
          <w:color w:val="000000" w:themeColor="text1"/>
          <w:sz w:val="16"/>
          <w:szCs w:val="16"/>
          <w:lang w:eastAsia="ru-RU"/>
        </w:rPr>
        <w:t>Литуновкий</w:t>
      </w:r>
      <w:proofErr w:type="spellEnd"/>
      <w:r w:rsidRPr="007122AB">
        <w:rPr>
          <w:rFonts w:ascii="Times New Roman" w:eastAsia="Times New Roman" w:hAnsi="Times New Roman"/>
          <w:color w:val="000000" w:themeColor="text1"/>
          <w:sz w:val="16"/>
          <w:szCs w:val="16"/>
          <w:lang w:eastAsia="ru-RU"/>
        </w:rPr>
        <w:t xml:space="preserve">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665E60C0" w14:textId="77777777" w:rsidR="009539DA" w:rsidRPr="007122AB" w:rsidRDefault="009539DA" w:rsidP="007122AB">
      <w:pPr>
        <w:spacing w:after="0" w:line="240" w:lineRule="auto"/>
        <w:jc w:val="both"/>
        <w:rPr>
          <w:rFonts w:ascii="Times New Roman" w:hAnsi="Times New Roman"/>
          <w:color w:val="000000" w:themeColor="text1"/>
          <w:sz w:val="16"/>
          <w:szCs w:val="16"/>
        </w:rPr>
      </w:pPr>
    </w:p>
    <w:p w14:paraId="1BA2909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690FCD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41A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марта и 2 апреля 1931. Из протокола заседания Политбюро № 31, 1931 г.</w:t>
      </w:r>
    </w:p>
    <w:p w14:paraId="482DDA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юбилее тов. М. Горького </w:t>
      </w:r>
    </w:p>
    <w:p w14:paraId="2236A4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Объявить строгий выговор тт. Савельеву, Попову и Мехлису за то, что они поставили в неловкое положение газеты и юбиляра, не подготовив дела. </w:t>
      </w:r>
    </w:p>
    <w:p w14:paraId="25416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тт. Долецкому и Мехлису организовать для "Правды", "Известий" и провинциальных газет отклики на юбилей М. Горького. </w:t>
      </w:r>
    </w:p>
    <w:p w14:paraId="58DB63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Разрешить редакции "Правды" выпустить два вкладных листа, один — посвященный откликам на юбилей М. Горького и второй — новостройкам и МТС (11652).</w:t>
      </w:r>
    </w:p>
    <w:p w14:paraId="73908B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3E3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марта и 2 апреля 1931. Из протокола заседания Политбюро № 31, 1931 г.</w:t>
      </w:r>
    </w:p>
    <w:p w14:paraId="6BCD97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"Правде" и "Известиях"</w:t>
      </w:r>
    </w:p>
    <w:p w14:paraId="4945B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Для обеспечения своевременного выхода "Правды" и "Известий" редакции этих газет не должны принимать материал для текущего номера от организаций и учреждений позже 10 часов вечера. </w:t>
      </w:r>
    </w:p>
    <w:p w14:paraId="13D0B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Как правило, "Правда" и "Известия" должны выходить на четырех полосах. </w:t>
      </w:r>
    </w:p>
    <w:p w14:paraId="49773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Экономию от сокращения размера центральных газет использовать для укрепления и организации районных газет в промышленных и колхозных районах. </w:t>
      </w:r>
    </w:p>
    <w:p w14:paraId="7CE28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Считать необходимым увеличение тиража "Правды" до 2 млн экземпляров и "Известий" — до 1,5 млн... </w:t>
      </w:r>
    </w:p>
    <w:p w14:paraId="1A38A0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Поставить в Политбюро вопрос о строительстве новой типографии для "Правды" и закупки для нее оборудования за границей (11652).</w:t>
      </w:r>
    </w:p>
    <w:p w14:paraId="097D9C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E71E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марта и 2 апреля 1931</w:t>
      </w:r>
    </w:p>
    <w:p w14:paraId="6789D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письма С. Пучкова Молотову, 1931 год</w:t>
      </w:r>
    </w:p>
    <w:p w14:paraId="2DD4BB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Молотов, услышал Ваш доклад на 6 съезде советов 8 сего месяца о росте социалистического строительства в свободной стране всего мира. Ответьте через печать или в своем заключительном слове на съезде, в чем заключается социализм: в благополучной ли жизни народа свободной страны или в рабстве, переносящем все лишения жизни (т. е. при полном недостатке всего жизненного, как существует сейчас). Я как рабочий имею связь с крестьянством. За год не получали все рабочие фабрики ни одного метра мануфактуры, так же и обуви с одеждой; кроме счастливчиков, которым выдавали через фабком по распределению. А крестьянство лишено в полном смысле всех нормированных продуктов, даже несмотря на то, что в газетах всегда пестрит только электрификация. Но оно и все население лишено возможности приобрести где-либо керосин: сиди со светом, как 100 лет тому назад при царившей реакции царизма; в социалистическом бы государстве не должно быть этому места, но оно есть. Говорите, что за границей клевещут на Вас. Что у нас нет свободного труда, а есть труд принудительный — это верно, и Вы должны сознаться... </w:t>
      </w:r>
      <w:proofErr w:type="spellStart"/>
      <w:r w:rsidRPr="007122AB">
        <w:rPr>
          <w:rFonts w:ascii="Times New Roman" w:hAnsi="Times New Roman"/>
          <w:color w:val="000000" w:themeColor="text1"/>
          <w:sz w:val="16"/>
          <w:szCs w:val="16"/>
        </w:rPr>
        <w:t>РИК'ом</w:t>
      </w:r>
      <w:proofErr w:type="spellEnd"/>
      <w:r w:rsidRPr="007122AB">
        <w:rPr>
          <w:rFonts w:ascii="Times New Roman" w:hAnsi="Times New Roman"/>
          <w:color w:val="000000" w:themeColor="text1"/>
          <w:sz w:val="16"/>
          <w:szCs w:val="16"/>
        </w:rPr>
        <w:t xml:space="preserve"> даны сельсовету контрольные цифры на контрактацию молока по 50 пудов на корову, а все домохозяева имеют только по одной корове, и население около 800 едоков... Спрашивается: это свобода или рабство?! Вы говорили, что зерновая проблема у нас разрешена в полном смысле, но почему же у нас пролетарии, живущие в деревне, на март месяц в полном смысле лишены хлебного пайка? При фабрике имеется столовая для рабочих, но обеды всем не дают, дают только ударникам; и часто пролетарий и рабочий, связанный с крестьянством, обедов не получают. Разве это страна социализма? И благоприятная проблема зерновая — вовсе нет. Вы говорите, что за границей масса безработных, может быть, и верно, но думаю, в любой столовой за деньги кому угодно дадут обед, а у нас нет. Спрашивается: где лучше — там, где обед дают всем, или там, где дают по выбору? </w:t>
      </w:r>
    </w:p>
    <w:p w14:paraId="553B6A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Еще о социалистическом строительстве и о пятилетке — пятилетка, возможно, будет выполнена, но только не благополучно, а доведете человечество до полной нищеты и рабства. А деревенская молодежь школьного возраста в данное время имеет 75% малокровных от недоедания, и к концу пятилетки 75% будет туберкулезных; и из них на будущий год непосещение школы будет 50%, ввиду отсутствия одежды и обуви. Вы говорите, что экспорт наших товаров всего составляет один миллиард, то почему же ничего не стало? Поэтому надо смело сказать — отсутствие всех предметов явилось следствием </w:t>
      </w:r>
      <w:proofErr w:type="spellStart"/>
      <w:r w:rsidRPr="007122AB">
        <w:rPr>
          <w:rFonts w:ascii="Times New Roman" w:hAnsi="Times New Roman"/>
          <w:color w:val="000000" w:themeColor="text1"/>
          <w:sz w:val="16"/>
          <w:szCs w:val="16"/>
        </w:rPr>
        <w:t>убития</w:t>
      </w:r>
      <w:proofErr w:type="spellEnd"/>
      <w:r w:rsidRPr="007122AB">
        <w:rPr>
          <w:rFonts w:ascii="Times New Roman" w:hAnsi="Times New Roman"/>
          <w:color w:val="000000" w:themeColor="text1"/>
          <w:sz w:val="16"/>
          <w:szCs w:val="16"/>
        </w:rPr>
        <w:t xml:space="preserve"> свободного труда, поэтому и не стало ничего. Возьмите простые вещи — перочинные ножи, ложки-чашки, эмалированная посуда крестьянского обихода — все отсутствует. Недалеко прошло то время — только 2 года тому назад, когда развивался свободный труд, жизнь дошла до нормальных пределов — чего бы только нужно было купить, все было возможно и дешево. А сейчас — где что можно купить и если можно, то непосильно — ужасно дорого, и можно купить тому, кто получает 200 и более рублей в месяц. </w:t>
      </w:r>
    </w:p>
    <w:p w14:paraId="636878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значит, жизнь — только много получающим, а остальным — нищета и рабство. Это не социализм, а страшный феодализм — как 400 лет тому назад, когда закрепощалось крестьянство, и это не свободная страна, страна рабства (11652).</w:t>
      </w:r>
    </w:p>
    <w:p w14:paraId="39DF4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65406C" w14:textId="77777777" w:rsidR="001707A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8654BC5" w14:textId="77777777" w:rsidR="001707A1" w:rsidRPr="007122AB" w:rsidRDefault="001707A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18AAEB"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28 марта</w:t>
      </w:r>
      <w:r w:rsidRPr="007122AB">
        <w:rPr>
          <w:rFonts w:ascii="Times New Roman" w:hAnsi="Times New Roman"/>
          <w:color w:val="000000" w:themeColor="text1"/>
          <w:sz w:val="16"/>
          <w:szCs w:val="16"/>
        </w:rPr>
        <w:t xml:space="preserve"> в 1931 году ВМС США заказали фирме «Grumman» один самолёт «G-5» с двигателем воздушного охлаждения «</w:t>
      </w:r>
      <w:proofErr w:type="spellStart"/>
      <w:r w:rsidRPr="007122AB">
        <w:rPr>
          <w:rFonts w:ascii="Times New Roman" w:hAnsi="Times New Roman"/>
          <w:color w:val="000000" w:themeColor="text1"/>
          <w:sz w:val="16"/>
          <w:szCs w:val="16"/>
        </w:rPr>
        <w:t>Wright</w:t>
      </w:r>
      <w:proofErr w:type="spellEnd"/>
      <w:r w:rsidRPr="007122AB">
        <w:rPr>
          <w:rFonts w:ascii="Times New Roman" w:hAnsi="Times New Roman"/>
          <w:color w:val="000000" w:themeColor="text1"/>
          <w:sz w:val="16"/>
          <w:szCs w:val="16"/>
        </w:rPr>
        <w:t>» «R-1820-Е» «</w:t>
      </w:r>
      <w:proofErr w:type="spellStart"/>
      <w:r w:rsidRPr="007122AB">
        <w:rPr>
          <w:rFonts w:ascii="Times New Roman" w:hAnsi="Times New Roman"/>
          <w:color w:val="000000" w:themeColor="text1"/>
          <w:sz w:val="16"/>
          <w:szCs w:val="16"/>
        </w:rPr>
        <w:t>Cyclone</w:t>
      </w:r>
      <w:proofErr w:type="spellEnd"/>
      <w:r w:rsidRPr="007122AB">
        <w:rPr>
          <w:rFonts w:ascii="Times New Roman" w:hAnsi="Times New Roman"/>
          <w:color w:val="000000" w:themeColor="text1"/>
          <w:sz w:val="16"/>
          <w:szCs w:val="16"/>
        </w:rPr>
        <w:t xml:space="preserve">» мощностью 575 л.с. Военные присвоили машине обозначение «XFF-1». Истребитель предполагалось вооружить тремя пулеметами винтовочного калибра: двумя - для стрельбы вперед сквозь воздушный винт и одним - для защиты задней полусферы. Серийные истребители получили обозначение – </w:t>
      </w:r>
      <w:hyperlink r:id="rId39" w:tgtFrame="_blank" w:history="1">
        <w:r w:rsidRPr="007122AB">
          <w:rPr>
            <w:rFonts w:ascii="Times New Roman" w:hAnsi="Times New Roman"/>
            <w:color w:val="000000" w:themeColor="text1"/>
            <w:sz w:val="16"/>
            <w:szCs w:val="16"/>
          </w:rPr>
          <w:t>«FF-1» «</w:t>
        </w:r>
        <w:proofErr w:type="spellStart"/>
        <w:r w:rsidRPr="007122AB">
          <w:rPr>
            <w:rFonts w:ascii="Times New Roman" w:hAnsi="Times New Roman"/>
            <w:color w:val="000000" w:themeColor="text1"/>
            <w:sz w:val="16"/>
            <w:szCs w:val="16"/>
          </w:rPr>
          <w:t>Goblin</w:t>
        </w:r>
        <w:proofErr w:type="spellEnd"/>
        <w:r w:rsidRPr="007122AB">
          <w:rPr>
            <w:rFonts w:ascii="Times New Roman" w:hAnsi="Times New Roman"/>
            <w:color w:val="000000" w:themeColor="text1"/>
            <w:sz w:val="16"/>
            <w:szCs w:val="16"/>
          </w:rPr>
          <w:t>».</w:t>
        </w:r>
      </w:hyperlink>
    </w:p>
    <w:p w14:paraId="6A61D7DA"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0ED813F5"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марта 1931 состоялся первый полет Mitsubishi 2MR8 (20804).</w:t>
      </w:r>
    </w:p>
    <w:p w14:paraId="128258FA" w14:textId="77777777" w:rsidR="009539DA" w:rsidRPr="007122AB" w:rsidRDefault="009539DA" w:rsidP="007122AB">
      <w:pPr>
        <w:spacing w:after="0" w:line="240" w:lineRule="auto"/>
        <w:jc w:val="both"/>
        <w:rPr>
          <w:rFonts w:ascii="Times New Roman" w:hAnsi="Times New Roman"/>
          <w:color w:val="000000" w:themeColor="text1"/>
          <w:sz w:val="16"/>
          <w:szCs w:val="16"/>
        </w:rPr>
      </w:pPr>
    </w:p>
    <w:p w14:paraId="2D9C206D"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марта 1931 года — первый полёт разведывательного самолёта Mitsubishi 2MR8 (он же Type 92).</w:t>
      </w:r>
    </w:p>
    <w:p w14:paraId="5994B283"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над проектом стартовали в 1930 году. Планировалось, что 2MR8 в роли ближнего тактического разведчика дополнит уже стоящий на вооружении дальний тяжёлый разведчик Kawasaki Type 88. Для перестраховки Mitsubishi также запустила ещё и проект 2MR7 — с классической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схемой.</w:t>
      </w:r>
    </w:p>
    <w:p w14:paraId="38913F48"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2MR8 представлял собой двухместный моноплан-парасоль (для работы над этой передовой конструкцией японцы даже пригласили французского инженера Анри </w:t>
      </w:r>
      <w:proofErr w:type="spellStart"/>
      <w:r w:rsidRPr="007122AB">
        <w:rPr>
          <w:rFonts w:ascii="Times New Roman" w:hAnsi="Times New Roman"/>
          <w:color w:val="000000" w:themeColor="text1"/>
          <w:sz w:val="16"/>
          <w:szCs w:val="16"/>
        </w:rPr>
        <w:t>Верниса</w:t>
      </w:r>
      <w:proofErr w:type="spellEnd"/>
      <w:r w:rsidRPr="007122AB">
        <w:rPr>
          <w:rFonts w:ascii="Times New Roman" w:hAnsi="Times New Roman"/>
          <w:color w:val="000000" w:themeColor="text1"/>
          <w:sz w:val="16"/>
          <w:szCs w:val="16"/>
        </w:rPr>
        <w:t>). Крыло и фюзеляж состояли из дюралевого силового набора и полотняной обшивки. Вооружение: 4 × 7,7-мм пулемёта Тип 89 (по 2 впереди и в задней турели) + подвески для лёгких бомб.</w:t>
      </w:r>
    </w:p>
    <w:p w14:paraId="37357204"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успешных испытаний армия приняла самолёт на вооружение под обозначением Type 92. Всего было выпущено 234 единицы Mitsubishi 2MR8, служивших до 1936 года. Один Type 92 переделали в гражданский, а несколько машин было даже продано в Китай. 2MR8 стал первым самолётом с двигателем полностью японской разработки (22300).</w:t>
      </w:r>
    </w:p>
    <w:p w14:paraId="1863DA86" w14:textId="77777777" w:rsidR="009539DA" w:rsidRPr="007122AB" w:rsidRDefault="009539DA" w:rsidP="007122AB">
      <w:pPr>
        <w:spacing w:after="0" w:line="240" w:lineRule="auto"/>
        <w:jc w:val="both"/>
        <w:rPr>
          <w:rFonts w:ascii="Times New Roman" w:hAnsi="Times New Roman"/>
          <w:color w:val="000000" w:themeColor="text1"/>
          <w:sz w:val="16"/>
          <w:szCs w:val="16"/>
        </w:rPr>
      </w:pPr>
    </w:p>
    <w:p w14:paraId="538F1B37" w14:textId="77777777" w:rsidR="001D4870" w:rsidRPr="00441F34" w:rsidRDefault="001D4870" w:rsidP="001D487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марта 1931 Винклер запустил HW-1b, имевшую улучшенную аэродинамическую форму и  три коротких стабилизатора прямоугольной формы; 7 апреля 1931  г.  — HW-1c  — с  длинными стабилизаторами, закругленными вверху. Оба испытания прошли не вполне удачно (23372).</w:t>
      </w:r>
    </w:p>
    <w:p w14:paraId="3413DCA1" w14:textId="77777777" w:rsidR="001D4870" w:rsidRPr="00441F34" w:rsidRDefault="001D4870" w:rsidP="001D4870">
      <w:pPr>
        <w:spacing w:after="0" w:line="240" w:lineRule="auto"/>
        <w:jc w:val="both"/>
        <w:rPr>
          <w:rFonts w:ascii="Times New Roman" w:hAnsi="Times New Roman"/>
          <w:color w:val="0070C0"/>
          <w:sz w:val="16"/>
          <w:szCs w:val="16"/>
        </w:rPr>
      </w:pPr>
    </w:p>
    <w:p w14:paraId="46A2C84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DE9E57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15F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марта 1931 г.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был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w:t>
      </w:r>
      <w:proofErr w:type="spellStart"/>
      <w:r w:rsidRPr="007122AB">
        <w:rPr>
          <w:rFonts w:ascii="Times New Roman" w:hAnsi="Times New Roman"/>
          <w:color w:val="000000" w:themeColor="text1"/>
          <w:sz w:val="16"/>
          <w:szCs w:val="16"/>
        </w:rPr>
        <w:t>Орударса</w:t>
      </w:r>
      <w:proofErr w:type="spellEnd"/>
      <w:r w:rsidRPr="007122AB">
        <w:rPr>
          <w:rFonts w:ascii="Times New Roman" w:hAnsi="Times New Roman"/>
          <w:color w:val="000000" w:themeColor="text1"/>
          <w:sz w:val="16"/>
          <w:szCs w:val="16"/>
        </w:rPr>
        <w:t xml:space="preserve">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02E0A0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7122AB">
        <w:rPr>
          <w:rFonts w:ascii="Times New Roman" w:hAnsi="Times New Roman"/>
          <w:color w:val="000000" w:themeColor="text1"/>
          <w:sz w:val="16"/>
          <w:szCs w:val="16"/>
          <w:vertAlign w:val="superscript"/>
        </w:rPr>
        <w:t>65</w:t>
      </w:r>
    </w:p>
    <w:p w14:paraId="7E861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месте эвакуированного завода № 346 в 1944 г. создан завод № 457.</w:t>
      </w:r>
    </w:p>
    <w:p w14:paraId="799DE5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Численность персонала (1922 г.)- 30 чел., (1931 г.)- около 3000 чел. </w:t>
      </w:r>
      <w:proofErr w:type="spellStart"/>
      <w:r w:rsidRPr="007122AB">
        <w:rPr>
          <w:rFonts w:ascii="Times New Roman" w:hAnsi="Times New Roman"/>
          <w:color w:val="000000" w:themeColor="text1"/>
          <w:sz w:val="16"/>
          <w:szCs w:val="16"/>
        </w:rPr>
        <w:t>Чугуно</w:t>
      </w:r>
      <w:proofErr w:type="spellEnd"/>
      <w:r w:rsidRPr="007122AB">
        <w:rPr>
          <w:rFonts w:ascii="Times New Roman" w:hAnsi="Times New Roman"/>
          <w:color w:val="000000" w:themeColor="text1"/>
          <w:sz w:val="16"/>
          <w:szCs w:val="16"/>
        </w:rPr>
        <w:t>-медно-литейный завод АО механических заводов «</w:t>
      </w:r>
      <w:proofErr w:type="spellStart"/>
      <w:r w:rsidRPr="007122AB">
        <w:rPr>
          <w:rFonts w:ascii="Times New Roman" w:hAnsi="Times New Roman"/>
          <w:color w:val="000000" w:themeColor="text1"/>
          <w:sz w:val="16"/>
          <w:szCs w:val="16"/>
        </w:rPr>
        <w:t>Лангензиппен</w:t>
      </w:r>
      <w:proofErr w:type="spellEnd"/>
      <w:r w:rsidRPr="007122AB">
        <w:rPr>
          <w:rFonts w:ascii="Times New Roman" w:hAnsi="Times New Roman"/>
          <w:color w:val="000000" w:themeColor="text1"/>
          <w:sz w:val="16"/>
          <w:szCs w:val="16"/>
        </w:rPr>
        <w:t xml:space="preserve"> и К</w:t>
      </w:r>
      <w:r w:rsidRPr="007122AB">
        <w:rPr>
          <w:rFonts w:ascii="Times New Roman" w:hAnsi="Times New Roman"/>
          <w:color w:val="000000" w:themeColor="text1"/>
          <w:sz w:val="16"/>
          <w:szCs w:val="16"/>
          <w:vertAlign w:val="superscript"/>
        </w:rPr>
        <w:t>0</w:t>
      </w:r>
      <w:r w:rsidRPr="007122AB">
        <w:rPr>
          <w:rFonts w:ascii="Times New Roman" w:hAnsi="Times New Roman"/>
          <w:color w:val="000000" w:themeColor="text1"/>
          <w:sz w:val="16"/>
          <w:szCs w:val="16"/>
        </w:rPr>
        <w:t>» (11982).</w:t>
      </w:r>
    </w:p>
    <w:p w14:paraId="3988C3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BFF7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5986DA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B2D4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30 марта 1931 Таджикская ССР. Вторжение басмаческих банд Ибрагим-бека (800 сабель) с территории Афганистана, развернувших массовый террор, диверсии и грабеж. ("Поход на </w:t>
      </w:r>
      <w:proofErr w:type="spellStart"/>
      <w:r w:rsidRPr="007122AB">
        <w:rPr>
          <w:rFonts w:ascii="Times New Roman" w:hAnsi="Times New Roman"/>
          <w:color w:val="000000" w:themeColor="text1"/>
          <w:sz w:val="16"/>
          <w:szCs w:val="16"/>
        </w:rPr>
        <w:t>Рентгантау</w:t>
      </w:r>
      <w:proofErr w:type="spellEnd"/>
      <w:r w:rsidRPr="007122AB">
        <w:rPr>
          <w:rFonts w:ascii="Times New Roman" w:hAnsi="Times New Roman"/>
          <w:color w:val="000000" w:themeColor="text1"/>
          <w:sz w:val="16"/>
          <w:szCs w:val="16"/>
        </w:rPr>
        <w:t xml:space="preserve">"). (Подробнее см. Борьба с басмачеством 1918-1938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(10687).</w:t>
      </w:r>
    </w:p>
    <w:p w14:paraId="6E9B1E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E0C24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C898D8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078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период с 30 марта по 3 апреля 1931 г. Бернар-80, который пилотировали </w:t>
      </w:r>
      <w:proofErr w:type="spellStart"/>
      <w:r w:rsidRPr="007122AB">
        <w:rPr>
          <w:rFonts w:ascii="Times New Roman" w:hAnsi="Times New Roman"/>
          <w:color w:val="000000" w:themeColor="text1"/>
          <w:sz w:val="16"/>
          <w:szCs w:val="16"/>
        </w:rPr>
        <w:t>Пелларт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Мермоз</w:t>
      </w:r>
      <w:proofErr w:type="spellEnd"/>
      <w:r w:rsidRPr="007122AB">
        <w:rPr>
          <w:rFonts w:ascii="Times New Roman" w:hAnsi="Times New Roman"/>
          <w:color w:val="000000" w:themeColor="text1"/>
          <w:sz w:val="16"/>
          <w:szCs w:val="16"/>
        </w:rPr>
        <w:t xml:space="preserve">, побил мировой рекорд дальности по замкнутому маршруту протяженностью 8960 км. Впрочем, достижения подобного рода считались второсортными. Мировыми рекордсменами 1931 года стали американские пилоты </w:t>
      </w:r>
      <w:proofErr w:type="spellStart"/>
      <w:r w:rsidRPr="007122AB">
        <w:rPr>
          <w:rFonts w:ascii="Times New Roman" w:hAnsi="Times New Roman"/>
          <w:color w:val="000000" w:themeColor="text1"/>
          <w:sz w:val="16"/>
          <w:szCs w:val="16"/>
        </w:rPr>
        <w:t>Бордман</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Поландо</w:t>
      </w:r>
      <w:proofErr w:type="spellEnd"/>
      <w:r w:rsidRPr="007122AB">
        <w:rPr>
          <w:rFonts w:ascii="Times New Roman" w:hAnsi="Times New Roman"/>
          <w:color w:val="000000" w:themeColor="text1"/>
          <w:sz w:val="16"/>
          <w:szCs w:val="16"/>
        </w:rPr>
        <w:t xml:space="preserve">, которые в период 28-30 июля на специально оборудованном высокоплане </w:t>
      </w:r>
      <w:proofErr w:type="spellStart"/>
      <w:r w:rsidRPr="007122AB">
        <w:rPr>
          <w:rFonts w:ascii="Times New Roman" w:hAnsi="Times New Roman"/>
          <w:color w:val="000000" w:themeColor="text1"/>
          <w:sz w:val="16"/>
          <w:szCs w:val="16"/>
        </w:rPr>
        <w:t>Белланка</w:t>
      </w:r>
      <w:proofErr w:type="spellEnd"/>
      <w:r w:rsidRPr="007122AB">
        <w:rPr>
          <w:rFonts w:ascii="Times New Roman" w:hAnsi="Times New Roman"/>
          <w:color w:val="000000" w:themeColor="text1"/>
          <w:sz w:val="16"/>
          <w:szCs w:val="16"/>
        </w:rPr>
        <w:t xml:space="preserve"> пролетели из Нью-Йорка в Стамбул 8055 км. Бернар-80 - также имел деревянную конструкцию, однако обладал наилучшей аэродинамикой. Выполненный по схеме среднеплана, обеспечивающей минимальную интерференцию в районе стыка крыла с фюзеляжем, самолет обладал весьма высоким аэродинамическим качеством 17,5. Свободнонесущее крыло размахом 24,5 метра имело два мощных коробчатых лонжерона, соединенных между собой толстой фанерной обшивкой. В образовавшемся между лонжеронами жестком кессоне размещались 10 топливных баков общей емкостью 7100 л. Конструкция крыла обусловила размещение кабины пилота перед передним лонжероном крыла, а кабины штурмана - за задним лонжероном. Сиденье пилота регулировалось по высоте - в ходе взлета и на посадке он имел достаточный обзор вперед и вниз. Во время полета летчик опускался вниз и обзора вперед не имел. Шасси </w:t>
      </w:r>
      <w:proofErr w:type="spellStart"/>
      <w:r w:rsidRPr="007122AB">
        <w:rPr>
          <w:rFonts w:ascii="Times New Roman" w:hAnsi="Times New Roman"/>
          <w:color w:val="000000" w:themeColor="text1"/>
          <w:sz w:val="16"/>
          <w:szCs w:val="16"/>
        </w:rPr>
        <w:t>неубираемое</w:t>
      </w:r>
      <w:proofErr w:type="spellEnd"/>
      <w:r w:rsidRPr="007122AB">
        <w:rPr>
          <w:rFonts w:ascii="Times New Roman" w:hAnsi="Times New Roman"/>
          <w:color w:val="000000" w:themeColor="text1"/>
          <w:sz w:val="16"/>
          <w:szCs w:val="16"/>
        </w:rPr>
        <w:t>, колеса помещены в обтекатели. Двигатель "</w:t>
      </w:r>
      <w:proofErr w:type="spellStart"/>
      <w:r w:rsidRPr="007122AB">
        <w:rPr>
          <w:rFonts w:ascii="Times New Roman" w:hAnsi="Times New Roman"/>
          <w:color w:val="000000" w:themeColor="text1"/>
          <w:sz w:val="16"/>
          <w:szCs w:val="16"/>
        </w:rPr>
        <w:t>Испа</w:t>
      </w:r>
      <w:proofErr w:type="spellEnd"/>
      <w:r w:rsidRPr="007122AB">
        <w:rPr>
          <w:rFonts w:ascii="Times New Roman" w:hAnsi="Times New Roman"/>
          <w:color w:val="000000" w:themeColor="text1"/>
          <w:sz w:val="16"/>
          <w:szCs w:val="16"/>
        </w:rPr>
        <w:t>- 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12 </w:t>
      </w:r>
      <w:proofErr w:type="spellStart"/>
      <w:r w:rsidRPr="007122AB">
        <w:rPr>
          <w:rFonts w:ascii="Times New Roman" w:hAnsi="Times New Roman"/>
          <w:color w:val="000000" w:themeColor="text1"/>
          <w:sz w:val="16"/>
          <w:szCs w:val="16"/>
        </w:rPr>
        <w:t>Nb</w:t>
      </w:r>
      <w:proofErr w:type="spellEnd"/>
      <w:r w:rsidRPr="007122AB">
        <w:rPr>
          <w:rFonts w:ascii="Times New Roman" w:hAnsi="Times New Roman"/>
          <w:color w:val="000000" w:themeColor="text1"/>
          <w:sz w:val="16"/>
          <w:szCs w:val="16"/>
        </w:rPr>
        <w:t xml:space="preserve"> мощностью 650 л. с. Что касается самолетов "Бернар", то следующим этапом их развития стали бомбардировщики "81" и "82", построенные в 1933 г. Впрочем, они разделили судьбу всех бомбовозов, созданных на основе сверхдальних рекордных машин, то есть не пригодились (11941).</w:t>
      </w:r>
    </w:p>
    <w:p w14:paraId="705EE0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1002C3" w:rsidRPr="007122AB" w14:paraId="2C000768" w14:textId="77777777">
        <w:tc>
          <w:tcPr>
            <w:tcW w:w="1145" w:type="dxa"/>
            <w:tcBorders>
              <w:top w:val="single" w:sz="12" w:space="0" w:color="auto"/>
            </w:tcBorders>
          </w:tcPr>
          <w:p w14:paraId="02C5C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145" w:type="dxa"/>
            <w:tcBorders>
              <w:top w:val="single" w:sz="12" w:space="0" w:color="auto"/>
            </w:tcBorders>
          </w:tcPr>
          <w:p w14:paraId="77BF3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Двигатель(л.с.)</w:t>
            </w:r>
          </w:p>
        </w:tc>
        <w:tc>
          <w:tcPr>
            <w:tcW w:w="1145" w:type="dxa"/>
            <w:tcBorders>
              <w:top w:val="single" w:sz="12" w:space="0" w:color="auto"/>
            </w:tcBorders>
          </w:tcPr>
          <w:p w14:paraId="7E097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(м)</w:t>
            </w:r>
          </w:p>
        </w:tc>
        <w:tc>
          <w:tcPr>
            <w:tcW w:w="1145" w:type="dxa"/>
            <w:tcBorders>
              <w:top w:val="single" w:sz="12" w:space="0" w:color="auto"/>
            </w:tcBorders>
          </w:tcPr>
          <w:p w14:paraId="4CB195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(мг)</w:t>
            </w:r>
          </w:p>
        </w:tc>
        <w:tc>
          <w:tcPr>
            <w:tcW w:w="1145" w:type="dxa"/>
            <w:tcBorders>
              <w:top w:val="single" w:sz="12" w:space="0" w:color="auto"/>
            </w:tcBorders>
          </w:tcPr>
          <w:p w14:paraId="53D27F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tc>
        <w:tc>
          <w:tcPr>
            <w:tcW w:w="1145" w:type="dxa"/>
            <w:tcBorders>
              <w:top w:val="single" w:sz="12" w:space="0" w:color="auto"/>
            </w:tcBorders>
          </w:tcPr>
          <w:p w14:paraId="4D6094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145" w:type="dxa"/>
            <w:tcBorders>
              <w:top w:val="single" w:sz="12" w:space="0" w:color="auto"/>
            </w:tcBorders>
          </w:tcPr>
          <w:p w14:paraId="0D3A3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145" w:type="dxa"/>
            <w:tcBorders>
              <w:top w:val="single" w:sz="12" w:space="0" w:color="auto"/>
            </w:tcBorders>
          </w:tcPr>
          <w:p w14:paraId="0D270B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2DEB0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(кг/м2)</w:t>
            </w:r>
          </w:p>
        </w:tc>
      </w:tr>
      <w:tr w:rsidR="001002C3" w:rsidRPr="007122AB" w14:paraId="0AC2DF6F" w14:textId="77777777">
        <w:tc>
          <w:tcPr>
            <w:tcW w:w="1145" w:type="dxa"/>
          </w:tcPr>
          <w:p w14:paraId="1828FD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79672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1AA4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BBFE0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B236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8AB9C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A9A0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23A8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ABE1F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48F7E7" w14:textId="77777777">
        <w:tc>
          <w:tcPr>
            <w:tcW w:w="1145" w:type="dxa"/>
          </w:tcPr>
          <w:p w14:paraId="71025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Фэйри</w:t>
            </w:r>
            <w:proofErr w:type="spellEnd"/>
            <w:r w:rsidRPr="007122AB">
              <w:rPr>
                <w:rFonts w:ascii="Times New Roman" w:hAnsi="Times New Roman"/>
                <w:color w:val="000000" w:themeColor="text1"/>
                <w:sz w:val="16"/>
                <w:szCs w:val="16"/>
              </w:rPr>
              <w:t xml:space="preserve"> LR</w:t>
            </w:r>
          </w:p>
        </w:tc>
        <w:tc>
          <w:tcPr>
            <w:tcW w:w="1145" w:type="dxa"/>
          </w:tcPr>
          <w:p w14:paraId="0251D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Нэпир</w:t>
            </w:r>
            <w:proofErr w:type="spellEnd"/>
            <w:r w:rsidRPr="007122AB">
              <w:rPr>
                <w:rFonts w:ascii="Times New Roman" w:hAnsi="Times New Roman"/>
                <w:color w:val="000000" w:themeColor="text1"/>
                <w:sz w:val="16"/>
                <w:szCs w:val="16"/>
              </w:rPr>
              <w:t xml:space="preserve"> XI (530)</w:t>
            </w:r>
          </w:p>
        </w:tc>
        <w:tc>
          <w:tcPr>
            <w:tcW w:w="1145" w:type="dxa"/>
          </w:tcPr>
          <w:p w14:paraId="19F54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145" w:type="dxa"/>
          </w:tcPr>
          <w:p w14:paraId="72D59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w:t>
            </w:r>
          </w:p>
        </w:tc>
        <w:tc>
          <w:tcPr>
            <w:tcW w:w="1145" w:type="dxa"/>
          </w:tcPr>
          <w:p w14:paraId="069174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145" w:type="dxa"/>
          </w:tcPr>
          <w:p w14:paraId="1536FC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145" w:type="dxa"/>
          </w:tcPr>
          <w:p w14:paraId="797AD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w:t>
            </w:r>
          </w:p>
        </w:tc>
        <w:tc>
          <w:tcPr>
            <w:tcW w:w="1145" w:type="dxa"/>
          </w:tcPr>
          <w:p w14:paraId="793C59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1145" w:type="dxa"/>
          </w:tcPr>
          <w:p w14:paraId="1B4C75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95,0</w:t>
            </w:r>
          </w:p>
        </w:tc>
      </w:tr>
      <w:tr w:rsidR="001002C3" w:rsidRPr="007122AB" w14:paraId="581147D3" w14:textId="77777777">
        <w:tc>
          <w:tcPr>
            <w:tcW w:w="1145" w:type="dxa"/>
          </w:tcPr>
          <w:p w14:paraId="0D5B3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 S-64</w:t>
            </w:r>
          </w:p>
        </w:tc>
        <w:tc>
          <w:tcPr>
            <w:tcW w:w="1145" w:type="dxa"/>
          </w:tcPr>
          <w:p w14:paraId="7FCDE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Фиат А-22Т (620)</w:t>
            </w:r>
          </w:p>
        </w:tc>
        <w:tc>
          <w:tcPr>
            <w:tcW w:w="1145" w:type="dxa"/>
          </w:tcPr>
          <w:p w14:paraId="1854C0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145" w:type="dxa"/>
          </w:tcPr>
          <w:p w14:paraId="066D2D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145" w:type="dxa"/>
          </w:tcPr>
          <w:p w14:paraId="256C2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w:t>
            </w:r>
          </w:p>
        </w:tc>
        <w:tc>
          <w:tcPr>
            <w:tcW w:w="1145" w:type="dxa"/>
          </w:tcPr>
          <w:p w14:paraId="41389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2670</w:t>
            </w:r>
          </w:p>
        </w:tc>
        <w:tc>
          <w:tcPr>
            <w:tcW w:w="1145" w:type="dxa"/>
          </w:tcPr>
          <w:p w14:paraId="33380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7200</w:t>
            </w:r>
          </w:p>
        </w:tc>
        <w:tc>
          <w:tcPr>
            <w:tcW w:w="1145" w:type="dxa"/>
          </w:tcPr>
          <w:p w14:paraId="084769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4550</w:t>
            </w:r>
          </w:p>
        </w:tc>
        <w:tc>
          <w:tcPr>
            <w:tcW w:w="1145" w:type="dxa"/>
          </w:tcPr>
          <w:p w14:paraId="36AAF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1002C3" w:rsidRPr="007122AB" w14:paraId="694949FB" w14:textId="77777777">
        <w:tc>
          <w:tcPr>
            <w:tcW w:w="1145" w:type="dxa"/>
          </w:tcPr>
          <w:p w14:paraId="29FD55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Блерио-110</w:t>
            </w:r>
          </w:p>
        </w:tc>
        <w:tc>
          <w:tcPr>
            <w:tcW w:w="1145" w:type="dxa"/>
          </w:tcPr>
          <w:p w14:paraId="76D34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12МЬг (500)</w:t>
            </w:r>
          </w:p>
        </w:tc>
        <w:tc>
          <w:tcPr>
            <w:tcW w:w="1145" w:type="dxa"/>
          </w:tcPr>
          <w:p w14:paraId="22E7E8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26,5</w:t>
            </w:r>
          </w:p>
        </w:tc>
        <w:tc>
          <w:tcPr>
            <w:tcW w:w="1145" w:type="dxa"/>
          </w:tcPr>
          <w:p w14:paraId="35BCB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145" w:type="dxa"/>
          </w:tcPr>
          <w:p w14:paraId="24F3F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8,65</w:t>
            </w:r>
          </w:p>
        </w:tc>
        <w:tc>
          <w:tcPr>
            <w:tcW w:w="1145" w:type="dxa"/>
          </w:tcPr>
          <w:p w14:paraId="3E72D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c>
          <w:tcPr>
            <w:tcW w:w="1145" w:type="dxa"/>
          </w:tcPr>
          <w:p w14:paraId="564F85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8500</w:t>
            </w:r>
          </w:p>
        </w:tc>
        <w:tc>
          <w:tcPr>
            <w:tcW w:w="1145" w:type="dxa"/>
          </w:tcPr>
          <w:p w14:paraId="43CCC5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145" w:type="dxa"/>
          </w:tcPr>
          <w:p w14:paraId="21C6F8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104,5</w:t>
            </w:r>
          </w:p>
        </w:tc>
      </w:tr>
      <w:tr w:rsidR="001002C3" w:rsidRPr="007122AB" w14:paraId="7A1FF652" w14:textId="77777777">
        <w:tc>
          <w:tcPr>
            <w:tcW w:w="1145" w:type="dxa"/>
          </w:tcPr>
          <w:p w14:paraId="3BA81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w:t>
            </w:r>
          </w:p>
        </w:tc>
        <w:tc>
          <w:tcPr>
            <w:tcW w:w="1145" w:type="dxa"/>
          </w:tcPr>
          <w:p w14:paraId="3B41E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Pr>
          <w:p w14:paraId="6B29A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145" w:type="dxa"/>
          </w:tcPr>
          <w:p w14:paraId="37FCF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w:t>
            </w:r>
          </w:p>
        </w:tc>
        <w:tc>
          <w:tcPr>
            <w:tcW w:w="1145" w:type="dxa"/>
          </w:tcPr>
          <w:p w14:paraId="7FA50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1145" w:type="dxa"/>
          </w:tcPr>
          <w:p w14:paraId="78D0A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Pr>
          <w:p w14:paraId="76D6F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9200</w:t>
            </w:r>
          </w:p>
        </w:tc>
        <w:tc>
          <w:tcPr>
            <w:tcW w:w="1145" w:type="dxa"/>
          </w:tcPr>
          <w:p w14:paraId="2ED01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5600</w:t>
            </w:r>
          </w:p>
        </w:tc>
        <w:tc>
          <w:tcPr>
            <w:tcW w:w="1145" w:type="dxa"/>
          </w:tcPr>
          <w:p w14:paraId="00488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117,5</w:t>
            </w:r>
          </w:p>
        </w:tc>
      </w:tr>
      <w:tr w:rsidR="001002C3" w:rsidRPr="007122AB" w14:paraId="4AE9BCD8" w14:textId="77777777">
        <w:tc>
          <w:tcPr>
            <w:tcW w:w="1145" w:type="dxa"/>
            <w:tcBorders>
              <w:bottom w:val="single" w:sz="12" w:space="0" w:color="auto"/>
            </w:tcBorders>
          </w:tcPr>
          <w:p w14:paraId="373999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Бернар-80</w:t>
            </w:r>
          </w:p>
        </w:tc>
        <w:tc>
          <w:tcPr>
            <w:tcW w:w="1145" w:type="dxa"/>
            <w:tcBorders>
              <w:bottom w:val="single" w:sz="12" w:space="0" w:color="auto"/>
            </w:tcBorders>
          </w:tcPr>
          <w:p w14:paraId="37B57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Borders>
              <w:bottom w:val="single" w:sz="12" w:space="0" w:color="auto"/>
            </w:tcBorders>
          </w:tcPr>
          <w:p w14:paraId="4756D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145" w:type="dxa"/>
            <w:tcBorders>
              <w:bottom w:val="single" w:sz="12" w:space="0" w:color="auto"/>
            </w:tcBorders>
          </w:tcPr>
          <w:p w14:paraId="69F5C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145" w:type="dxa"/>
            <w:tcBorders>
              <w:bottom w:val="single" w:sz="12" w:space="0" w:color="auto"/>
            </w:tcBorders>
          </w:tcPr>
          <w:p w14:paraId="13DF8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w:t>
            </w:r>
          </w:p>
        </w:tc>
        <w:tc>
          <w:tcPr>
            <w:tcW w:w="1145" w:type="dxa"/>
            <w:tcBorders>
              <w:bottom w:val="single" w:sz="12" w:space="0" w:color="auto"/>
            </w:tcBorders>
          </w:tcPr>
          <w:p w14:paraId="01E9A1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Borders>
              <w:bottom w:val="single" w:sz="12" w:space="0" w:color="auto"/>
            </w:tcBorders>
          </w:tcPr>
          <w:p w14:paraId="7AF4A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8625</w:t>
            </w:r>
          </w:p>
        </w:tc>
        <w:tc>
          <w:tcPr>
            <w:tcW w:w="1145" w:type="dxa"/>
            <w:tcBorders>
              <w:bottom w:val="single" w:sz="12" w:space="0" w:color="auto"/>
            </w:tcBorders>
          </w:tcPr>
          <w:p w14:paraId="16077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145" w:type="dxa"/>
            <w:tcBorders>
              <w:bottom w:val="single" w:sz="12" w:space="0" w:color="auto"/>
            </w:tcBorders>
          </w:tcPr>
          <w:p w14:paraId="375174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w:t>
            </w:r>
          </w:p>
        </w:tc>
      </w:tr>
    </w:tbl>
    <w:p w14:paraId="03FE98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593FF8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CC8E90"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марта - 2 апреля 1931, управляя </w:t>
      </w:r>
      <w:proofErr w:type="spellStart"/>
      <w:r w:rsidRPr="007122AB">
        <w:rPr>
          <w:rFonts w:ascii="Times New Roman" w:hAnsi="Times New Roman"/>
          <w:color w:val="000000" w:themeColor="text1"/>
          <w:sz w:val="16"/>
          <w:szCs w:val="16"/>
        </w:rPr>
        <w:t>Benard</w:t>
      </w:r>
      <w:proofErr w:type="spellEnd"/>
      <w:r w:rsidRPr="007122AB">
        <w:rPr>
          <w:rFonts w:ascii="Times New Roman" w:hAnsi="Times New Roman"/>
          <w:color w:val="000000" w:themeColor="text1"/>
          <w:sz w:val="16"/>
          <w:szCs w:val="16"/>
        </w:rPr>
        <w:t xml:space="preserve"> 80 GR, французские авиаторы Жан </w:t>
      </w:r>
      <w:proofErr w:type="spellStart"/>
      <w:r w:rsidRPr="007122AB">
        <w:rPr>
          <w:rFonts w:ascii="Times New Roman" w:hAnsi="Times New Roman"/>
          <w:color w:val="000000" w:themeColor="text1"/>
          <w:sz w:val="16"/>
          <w:szCs w:val="16"/>
        </w:rPr>
        <w:t>Мармоз</w:t>
      </w:r>
      <w:proofErr w:type="spellEnd"/>
      <w:r w:rsidRPr="007122AB">
        <w:rPr>
          <w:rFonts w:ascii="Times New Roman" w:hAnsi="Times New Roman"/>
          <w:color w:val="000000" w:themeColor="text1"/>
          <w:sz w:val="16"/>
          <w:szCs w:val="16"/>
        </w:rPr>
        <w:t xml:space="preserve"> и Антуан </w:t>
      </w:r>
      <w:proofErr w:type="spellStart"/>
      <w:r w:rsidRPr="007122AB">
        <w:rPr>
          <w:rFonts w:ascii="Times New Roman" w:hAnsi="Times New Roman"/>
          <w:color w:val="000000" w:themeColor="text1"/>
          <w:sz w:val="16"/>
          <w:szCs w:val="16"/>
        </w:rPr>
        <w:t>Пайяр</w:t>
      </w:r>
      <w:proofErr w:type="spellEnd"/>
      <w:r w:rsidRPr="007122AB">
        <w:rPr>
          <w:rFonts w:ascii="Times New Roman" w:hAnsi="Times New Roman"/>
          <w:color w:val="000000" w:themeColor="text1"/>
          <w:sz w:val="16"/>
          <w:szCs w:val="16"/>
        </w:rPr>
        <w:t xml:space="preserve"> установили новый рекорд дальности полета без дозаправки по замкнутому маршруту, преодолев 8 960 километров (5 569 миль) за 52 часа 44 минуты. В конце концов, из-за потери охлаждающей жидкости полет подошел к концу, хотя во время последней части полета двое мужчин закачивают в радиатор шампанское, воду и кофе, чтобы двигатель охлаждался (20804).</w:t>
      </w:r>
    </w:p>
    <w:p w14:paraId="19860547" w14:textId="77777777" w:rsidR="009539DA" w:rsidRPr="007122AB" w:rsidRDefault="009539DA" w:rsidP="007122AB">
      <w:pPr>
        <w:spacing w:after="0" w:line="240" w:lineRule="auto"/>
        <w:jc w:val="both"/>
        <w:rPr>
          <w:rFonts w:ascii="Times New Roman" w:hAnsi="Times New Roman"/>
          <w:color w:val="000000" w:themeColor="text1"/>
          <w:sz w:val="16"/>
          <w:szCs w:val="16"/>
        </w:rPr>
      </w:pPr>
    </w:p>
    <w:p w14:paraId="0633EBBA" w14:textId="77777777" w:rsidR="00083CD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0E7011C" w14:textId="77777777" w:rsidR="00083CD8" w:rsidRPr="007122AB" w:rsidRDefault="00083CD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224E0A" w14:textId="77777777" w:rsidR="00083CD8" w:rsidRPr="007122AB" w:rsidRDefault="00083C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марта 1931 была окончательно готова первая машина Т-24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 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04189853" w14:textId="77777777" w:rsidR="00083CD8" w:rsidRPr="007122AB" w:rsidRDefault="00083CD8" w:rsidP="007122AB">
      <w:pPr>
        <w:spacing w:after="0" w:line="240" w:lineRule="auto"/>
        <w:jc w:val="both"/>
        <w:rPr>
          <w:rFonts w:ascii="Times New Roman" w:hAnsi="Times New Roman"/>
          <w:color w:val="000000" w:themeColor="text1"/>
          <w:sz w:val="16"/>
          <w:szCs w:val="16"/>
        </w:rPr>
      </w:pPr>
    </w:p>
    <w:p w14:paraId="3E984E9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40BD7A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5D62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марта 1931 Принято Положении о </w:t>
      </w:r>
      <w:proofErr w:type="spellStart"/>
      <w:r w:rsidRPr="007122AB">
        <w:rPr>
          <w:rFonts w:ascii="Times New Roman" w:hAnsi="Times New Roman"/>
          <w:color w:val="000000" w:themeColor="text1"/>
          <w:sz w:val="16"/>
          <w:szCs w:val="16"/>
        </w:rPr>
        <w:t>спецпеpеселенцах</w:t>
      </w:r>
      <w:proofErr w:type="spellEnd"/>
      <w:r w:rsidRPr="007122AB">
        <w:rPr>
          <w:rFonts w:ascii="Times New Roman" w:hAnsi="Times New Roman"/>
          <w:color w:val="000000" w:themeColor="text1"/>
          <w:sz w:val="16"/>
          <w:szCs w:val="16"/>
        </w:rPr>
        <w:t xml:space="preserve">, в котором </w:t>
      </w:r>
      <w:proofErr w:type="spellStart"/>
      <w:r w:rsidRPr="007122AB">
        <w:rPr>
          <w:rFonts w:ascii="Times New Roman" w:hAnsi="Times New Roman"/>
          <w:color w:val="000000" w:themeColor="text1"/>
          <w:sz w:val="16"/>
          <w:szCs w:val="16"/>
        </w:rPr>
        <w:t>утвеpждался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пpинцип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гpупповой</w:t>
      </w:r>
      <w:proofErr w:type="spellEnd"/>
      <w:r w:rsidRPr="007122AB">
        <w:rPr>
          <w:rFonts w:ascii="Times New Roman" w:hAnsi="Times New Roman"/>
          <w:color w:val="000000" w:themeColor="text1"/>
          <w:sz w:val="16"/>
          <w:szCs w:val="16"/>
        </w:rPr>
        <w:t xml:space="preserve"> и индивидуальной </w:t>
      </w:r>
      <w:proofErr w:type="spellStart"/>
      <w:r w:rsidRPr="007122AB">
        <w:rPr>
          <w:rFonts w:ascii="Times New Roman" w:hAnsi="Times New Roman"/>
          <w:color w:val="000000" w:themeColor="text1"/>
          <w:sz w:val="16"/>
          <w:szCs w:val="16"/>
        </w:rPr>
        <w:t>поpуки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спецпеpеселенцев</w:t>
      </w:r>
      <w:proofErr w:type="spellEnd"/>
      <w:r w:rsidRPr="007122AB">
        <w:rPr>
          <w:rFonts w:ascii="Times New Roman" w:hAnsi="Times New Roman"/>
          <w:color w:val="000000" w:themeColor="text1"/>
          <w:sz w:val="16"/>
          <w:szCs w:val="16"/>
        </w:rPr>
        <w:t xml:space="preserve"> "за точное выполнение существующих </w:t>
      </w:r>
      <w:proofErr w:type="spellStart"/>
      <w:r w:rsidRPr="007122AB">
        <w:rPr>
          <w:rFonts w:ascii="Times New Roman" w:hAnsi="Times New Roman"/>
          <w:color w:val="000000" w:themeColor="text1"/>
          <w:sz w:val="16"/>
          <w:szCs w:val="16"/>
        </w:rPr>
        <w:t>пpавил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pежима</w:t>
      </w:r>
      <w:proofErr w:type="spellEnd"/>
      <w:r w:rsidRPr="007122AB">
        <w:rPr>
          <w:rFonts w:ascii="Times New Roman" w:hAnsi="Times New Roman"/>
          <w:color w:val="000000" w:themeColor="text1"/>
          <w:sz w:val="16"/>
          <w:szCs w:val="16"/>
        </w:rPr>
        <w:t xml:space="preserve">". Здесь же </w:t>
      </w:r>
      <w:proofErr w:type="spellStart"/>
      <w:r w:rsidRPr="007122AB">
        <w:rPr>
          <w:rFonts w:ascii="Times New Roman" w:hAnsi="Times New Roman"/>
          <w:color w:val="000000" w:themeColor="text1"/>
          <w:sz w:val="16"/>
          <w:szCs w:val="16"/>
        </w:rPr>
        <w:t>содеpжалось</w:t>
      </w:r>
      <w:proofErr w:type="spellEnd"/>
      <w:r w:rsidRPr="007122AB">
        <w:rPr>
          <w:rFonts w:ascii="Times New Roman" w:hAnsi="Times New Roman"/>
          <w:color w:val="000000" w:themeColor="text1"/>
          <w:sz w:val="16"/>
          <w:szCs w:val="16"/>
        </w:rPr>
        <w:t xml:space="preserve"> положение о </w:t>
      </w:r>
      <w:proofErr w:type="spellStart"/>
      <w:r w:rsidRPr="007122AB">
        <w:rPr>
          <w:rFonts w:ascii="Times New Roman" w:hAnsi="Times New Roman"/>
          <w:color w:val="000000" w:themeColor="text1"/>
          <w:sz w:val="16"/>
          <w:szCs w:val="16"/>
        </w:rPr>
        <w:t>штpафных</w:t>
      </w:r>
      <w:proofErr w:type="spellEnd"/>
      <w:r w:rsidRPr="007122AB">
        <w:rPr>
          <w:rFonts w:ascii="Times New Roman" w:hAnsi="Times New Roman"/>
          <w:color w:val="000000" w:themeColor="text1"/>
          <w:sz w:val="16"/>
          <w:szCs w:val="16"/>
        </w:rPr>
        <w:t xml:space="preserve"> командах, как </w:t>
      </w:r>
      <w:proofErr w:type="spellStart"/>
      <w:r w:rsidRPr="007122AB">
        <w:rPr>
          <w:rFonts w:ascii="Times New Roman" w:hAnsi="Times New Roman"/>
          <w:color w:val="000000" w:themeColor="text1"/>
          <w:sz w:val="16"/>
          <w:szCs w:val="16"/>
        </w:rPr>
        <w:t>фоpме</w:t>
      </w:r>
      <w:proofErr w:type="spellEnd"/>
      <w:r w:rsidRPr="007122AB">
        <w:rPr>
          <w:rFonts w:ascii="Times New Roman" w:hAnsi="Times New Roman"/>
          <w:color w:val="000000" w:themeColor="text1"/>
          <w:sz w:val="16"/>
          <w:szCs w:val="16"/>
        </w:rPr>
        <w:t xml:space="preserve"> наказания поселенцев (10687).</w:t>
      </w:r>
    </w:p>
    <w:p w14:paraId="6A914A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2E833B" w14:textId="77777777" w:rsidR="009539DA" w:rsidRPr="007122AB" w:rsidRDefault="009539D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D6D6067" w14:textId="77777777" w:rsidR="009539DA" w:rsidRPr="007122AB" w:rsidRDefault="009539D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A77B66" w14:textId="77777777" w:rsidR="009539DA" w:rsidRPr="007122AB" w:rsidRDefault="009539D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марта 1931 Fokker F-10 терпит крушение возле Базара, штат Канзас, убивая всех восемь человеки на борту, включая тренера по американскому футболу Кнута </w:t>
      </w:r>
      <w:proofErr w:type="spellStart"/>
      <w:r w:rsidRPr="007122AB">
        <w:rPr>
          <w:rFonts w:ascii="Times New Roman" w:hAnsi="Times New Roman"/>
          <w:color w:val="000000" w:themeColor="text1"/>
          <w:sz w:val="16"/>
          <w:szCs w:val="16"/>
        </w:rPr>
        <w:t>Рокна</w:t>
      </w:r>
      <w:proofErr w:type="spellEnd"/>
      <w:r w:rsidRPr="007122AB">
        <w:rPr>
          <w:rFonts w:ascii="Times New Roman" w:hAnsi="Times New Roman"/>
          <w:color w:val="000000" w:themeColor="text1"/>
          <w:sz w:val="16"/>
          <w:szCs w:val="16"/>
        </w:rPr>
        <w:t xml:space="preserve"> (20804).</w:t>
      </w:r>
    </w:p>
    <w:p w14:paraId="06360214" w14:textId="77777777" w:rsidR="009539DA" w:rsidRPr="007122AB" w:rsidRDefault="009539DA" w:rsidP="007122AB">
      <w:pPr>
        <w:spacing w:after="0" w:line="240" w:lineRule="auto"/>
        <w:jc w:val="both"/>
        <w:rPr>
          <w:rFonts w:ascii="Times New Roman" w:hAnsi="Times New Roman"/>
          <w:color w:val="000000" w:themeColor="text1"/>
          <w:sz w:val="16"/>
          <w:szCs w:val="16"/>
        </w:rPr>
      </w:pPr>
    </w:p>
    <w:p w14:paraId="563600A8" w14:textId="77777777" w:rsidR="007540AE" w:rsidRPr="007122AB" w:rsidRDefault="007540A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0C41DCC" w14:textId="77777777" w:rsidR="007540AE" w:rsidRPr="007122AB" w:rsidRDefault="007540A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3EF755" w14:textId="77777777" w:rsidR="007540AE" w:rsidRPr="007122AB" w:rsidRDefault="007540AE"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конце марта, начале апреля 1931 г. состоялись макетные комиссии по Сталь-2.</w:t>
      </w:r>
    </w:p>
    <w:p w14:paraId="0CA35B89" w14:textId="77777777" w:rsidR="007540AE" w:rsidRPr="007122AB" w:rsidRDefault="007540A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Схема самолета могла считаться традиционной для тех лет — подкосный высокоплан с </w:t>
      </w:r>
      <w:proofErr w:type="spellStart"/>
      <w:r w:rsidRPr="007122AB">
        <w:rPr>
          <w:rFonts w:ascii="Times New Roman" w:hAnsi="Times New Roman"/>
          <w:color w:val="000000" w:themeColor="text1"/>
          <w:sz w:val="16"/>
          <w:szCs w:val="16"/>
          <w:lang w:eastAsia="ru-RU" w:bidi="ru-RU"/>
        </w:rPr>
        <w:t>неубираемым</w:t>
      </w:r>
      <w:proofErr w:type="spellEnd"/>
      <w:r w:rsidRPr="007122AB">
        <w:rPr>
          <w:rFonts w:ascii="Times New Roman" w:hAnsi="Times New Roman"/>
          <w:color w:val="000000" w:themeColor="text1"/>
          <w:sz w:val="16"/>
          <w:szCs w:val="16"/>
          <w:lang w:eastAsia="ru-RU" w:bidi="ru-RU"/>
        </w:rPr>
        <w:t xml:space="preserve"> шасси. Пи</w:t>
      </w:r>
      <w:r w:rsidRPr="007122AB">
        <w:rPr>
          <w:rFonts w:ascii="Times New Roman" w:hAnsi="Times New Roman"/>
          <w:color w:val="000000" w:themeColor="text1"/>
          <w:sz w:val="16"/>
          <w:szCs w:val="16"/>
          <w:lang w:eastAsia="ru-RU" w:bidi="ru-RU"/>
        </w:rPr>
        <w:softHyphen/>
        <w:t>лот один в полностью закрытой кабине (для улучшения об</w:t>
      </w:r>
      <w:r w:rsidRPr="007122AB">
        <w:rPr>
          <w:rFonts w:ascii="Times New Roman" w:hAnsi="Times New Roman"/>
          <w:color w:val="000000" w:themeColor="text1"/>
          <w:sz w:val="16"/>
          <w:szCs w:val="16"/>
          <w:lang w:eastAsia="ru-RU" w:bidi="ru-RU"/>
        </w:rPr>
        <w:softHyphen/>
        <w:t>зора смещен к левому борту фюзеляжа), за ним находил</w:t>
      </w:r>
      <w:r w:rsidRPr="007122AB">
        <w:rPr>
          <w:rFonts w:ascii="Times New Roman" w:hAnsi="Times New Roman"/>
          <w:color w:val="000000" w:themeColor="text1"/>
          <w:sz w:val="16"/>
          <w:szCs w:val="16"/>
          <w:lang w:eastAsia="ru-RU" w:bidi="ru-RU"/>
        </w:rPr>
        <w:softHyphen/>
        <w:t>ся пассажирский салон на 4-х человек. Для прохода в ка</w:t>
      </w:r>
      <w:r w:rsidRPr="007122AB">
        <w:rPr>
          <w:rFonts w:ascii="Times New Roman" w:hAnsi="Times New Roman"/>
          <w:color w:val="000000" w:themeColor="text1"/>
          <w:sz w:val="16"/>
          <w:szCs w:val="16"/>
          <w:lang w:eastAsia="ru-RU" w:bidi="ru-RU"/>
        </w:rPr>
        <w:softHyphen/>
        <w:t>бину напротив каждого сидения пассажира имелось четыре входных двери - почти как в автомобиле. Фюзеляж фер</w:t>
      </w:r>
      <w:r w:rsidRPr="007122AB">
        <w:rPr>
          <w:rFonts w:ascii="Times New Roman" w:hAnsi="Times New Roman"/>
          <w:color w:val="000000" w:themeColor="text1"/>
          <w:sz w:val="16"/>
          <w:szCs w:val="16"/>
          <w:lang w:eastAsia="ru-RU" w:bidi="ru-RU"/>
        </w:rPr>
        <w:softHyphen/>
        <w:t>менный, с использованием проволочных расчалок. Стерж</w:t>
      </w:r>
      <w:r w:rsidRPr="007122AB">
        <w:rPr>
          <w:rFonts w:ascii="Times New Roman" w:hAnsi="Times New Roman"/>
          <w:color w:val="000000" w:themeColor="text1"/>
          <w:sz w:val="16"/>
          <w:szCs w:val="16"/>
          <w:lang w:eastAsia="ru-RU" w:bidi="ru-RU"/>
        </w:rPr>
        <w:softHyphen/>
        <w:t>ни упомянутой фермы представляли собой закрытые тон</w:t>
      </w:r>
      <w:r w:rsidRPr="007122AB">
        <w:rPr>
          <w:rFonts w:ascii="Times New Roman" w:hAnsi="Times New Roman"/>
          <w:color w:val="000000" w:themeColor="text1"/>
          <w:sz w:val="16"/>
          <w:szCs w:val="16"/>
          <w:lang w:eastAsia="ru-RU" w:bidi="ru-RU"/>
        </w:rPr>
        <w:softHyphen/>
        <w:t>костенные гофрированные профили из стали «Энерж-6» толщиной от 0,1 до 1,0 мм. Форма стержней различная - от круглых до многогранных. Все стержни и поперечные ра</w:t>
      </w:r>
      <w:r w:rsidRPr="007122AB">
        <w:rPr>
          <w:rFonts w:ascii="Times New Roman" w:hAnsi="Times New Roman"/>
          <w:color w:val="000000" w:themeColor="text1"/>
          <w:sz w:val="16"/>
          <w:szCs w:val="16"/>
          <w:lang w:eastAsia="ru-RU" w:bidi="ru-RU"/>
        </w:rPr>
        <w:softHyphen/>
        <w:t>мы имели концевые узлы, которые на болтах собирались в ферму. Впоследствии указывалось, что в случае по</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lang w:eastAsia="ru-RU" w:bidi="ru-RU"/>
        </w:rPr>
        <w:t>вреждения</w:t>
      </w:r>
      <w:proofErr w:type="spellEnd"/>
      <w:r w:rsidRPr="007122AB">
        <w:rPr>
          <w:rFonts w:ascii="Times New Roman" w:hAnsi="Times New Roman"/>
          <w:color w:val="000000" w:themeColor="text1"/>
          <w:sz w:val="16"/>
          <w:szCs w:val="16"/>
          <w:lang w:eastAsia="ru-RU" w:bidi="ru-RU"/>
        </w:rPr>
        <w:t xml:space="preserve"> все отдельные части фермы могли быть заме</w:t>
      </w:r>
      <w:r w:rsidRPr="007122AB">
        <w:rPr>
          <w:rFonts w:ascii="Times New Roman" w:hAnsi="Times New Roman"/>
          <w:color w:val="000000" w:themeColor="text1"/>
          <w:sz w:val="16"/>
          <w:szCs w:val="16"/>
          <w:lang w:eastAsia="ru-RU" w:bidi="ru-RU"/>
        </w:rPr>
        <w:softHyphen/>
        <w:t>нены новыми.</w:t>
      </w:r>
    </w:p>
    <w:p w14:paraId="71FB6092" w14:textId="77777777" w:rsidR="007540AE" w:rsidRPr="007122AB" w:rsidRDefault="007540A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Крыло также собиралось из элементов, выполненных из листовой стали, согнутой в особые профили и сваренные точечной и роликовой электросваркой. Сверху все по</w:t>
      </w:r>
      <w:r w:rsidRPr="007122AB">
        <w:rPr>
          <w:rFonts w:ascii="Times New Roman" w:hAnsi="Times New Roman"/>
          <w:color w:val="000000" w:themeColor="text1"/>
          <w:sz w:val="16"/>
          <w:szCs w:val="16"/>
        </w:rPr>
        <w:softHyphen/>
        <w:t>верхности самолета обтягивались полотном.</w:t>
      </w:r>
    </w:p>
    <w:p w14:paraId="53B4BE05" w14:textId="77777777" w:rsidR="007540AE" w:rsidRPr="007122AB" w:rsidRDefault="007540A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Понятно, что по сравнению с ранее известными метода</w:t>
      </w:r>
      <w:r w:rsidRPr="007122AB">
        <w:rPr>
          <w:rFonts w:ascii="Times New Roman" w:hAnsi="Times New Roman"/>
          <w:color w:val="000000" w:themeColor="text1"/>
          <w:sz w:val="16"/>
          <w:szCs w:val="16"/>
          <w:lang w:eastAsia="ru-RU" w:bidi="ru-RU"/>
        </w:rPr>
        <w:softHyphen/>
        <w:t>ми строительства конструкция Сталь-2 получалась более трудоемкая и дорогая. Однако весовое преимущество бы</w:t>
      </w:r>
      <w:r w:rsidRPr="007122AB">
        <w:rPr>
          <w:rFonts w:ascii="Times New Roman" w:hAnsi="Times New Roman"/>
          <w:color w:val="000000" w:themeColor="text1"/>
          <w:sz w:val="16"/>
          <w:szCs w:val="16"/>
          <w:lang w:eastAsia="ru-RU" w:bidi="ru-RU"/>
        </w:rPr>
        <w:softHyphen/>
        <w:t>ло неоспоримым. Весовая отдача составила до 43%, что вполне соответствовало ожиданиям создателей самолета.</w:t>
      </w:r>
    </w:p>
    <w:p w14:paraId="57EA9EC1" w14:textId="77777777" w:rsidR="007540AE" w:rsidRPr="007122AB" w:rsidRDefault="007540A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Первый образец оснастили американским двигателем «Райт» </w:t>
      </w:r>
      <w:r w:rsidRPr="007122AB">
        <w:rPr>
          <w:rFonts w:ascii="Times New Roman" w:hAnsi="Times New Roman"/>
          <w:color w:val="000000" w:themeColor="text1"/>
          <w:sz w:val="16"/>
          <w:szCs w:val="16"/>
          <w:lang w:val="en-US" w:bidi="en-US"/>
        </w:rPr>
        <w:t>J</w:t>
      </w:r>
      <w:r w:rsidRPr="007122AB">
        <w:rPr>
          <w:rFonts w:ascii="Times New Roman" w:hAnsi="Times New Roman"/>
          <w:color w:val="000000" w:themeColor="text1"/>
          <w:sz w:val="16"/>
          <w:szCs w:val="16"/>
          <w:lang w:bidi="en-US"/>
        </w:rPr>
        <w:t xml:space="preserve">-6 </w:t>
      </w:r>
      <w:r w:rsidRPr="007122AB">
        <w:rPr>
          <w:rFonts w:ascii="Times New Roman" w:hAnsi="Times New Roman"/>
          <w:color w:val="000000" w:themeColor="text1"/>
          <w:sz w:val="16"/>
          <w:szCs w:val="16"/>
          <w:lang w:eastAsia="ru-RU" w:bidi="ru-RU"/>
        </w:rPr>
        <w:t>мощностью 300 л.с. В серии предполагалось ис</w:t>
      </w:r>
      <w:r w:rsidRPr="007122AB">
        <w:rPr>
          <w:rFonts w:ascii="Times New Roman" w:hAnsi="Times New Roman"/>
          <w:color w:val="000000" w:themeColor="text1"/>
          <w:sz w:val="16"/>
          <w:szCs w:val="16"/>
          <w:lang w:eastAsia="ru-RU" w:bidi="ru-RU"/>
        </w:rPr>
        <w:softHyphen/>
        <w:t>пользовать отечественный семицилиндровый двигатель воздушного охлаждения М-26 мощностью 300 л.с.</w:t>
      </w:r>
    </w:p>
    <w:p w14:paraId="5ED94341" w14:textId="77777777" w:rsidR="007540AE" w:rsidRPr="007122AB" w:rsidRDefault="007540AE"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Добавим, что практически сразу, еще в процессе созда</w:t>
      </w:r>
      <w:r w:rsidRPr="007122AB">
        <w:rPr>
          <w:rFonts w:ascii="Times New Roman" w:hAnsi="Times New Roman"/>
          <w:color w:val="000000" w:themeColor="text1"/>
          <w:sz w:val="16"/>
          <w:szCs w:val="16"/>
          <w:lang w:eastAsia="ru-RU" w:bidi="ru-RU"/>
        </w:rPr>
        <w:softHyphen/>
        <w:t>ния, новый стальной самолет предполагался к использо</w:t>
      </w:r>
      <w:r w:rsidRPr="007122AB">
        <w:rPr>
          <w:rFonts w:ascii="Times New Roman" w:hAnsi="Times New Roman"/>
          <w:color w:val="000000" w:themeColor="text1"/>
          <w:sz w:val="16"/>
          <w:szCs w:val="16"/>
          <w:lang w:eastAsia="ru-RU" w:bidi="ru-RU"/>
        </w:rPr>
        <w:softHyphen/>
        <w:t>ванию в качестве военного аппарата (20365).</w:t>
      </w:r>
    </w:p>
    <w:p w14:paraId="4FF5F917" w14:textId="77777777" w:rsidR="007540AE" w:rsidRPr="007122AB" w:rsidRDefault="007540AE" w:rsidP="007122AB">
      <w:pPr>
        <w:spacing w:after="0" w:line="240" w:lineRule="auto"/>
        <w:jc w:val="both"/>
        <w:rPr>
          <w:rFonts w:ascii="Times New Roman" w:hAnsi="Times New Roman"/>
          <w:color w:val="000000" w:themeColor="text1"/>
          <w:sz w:val="16"/>
          <w:szCs w:val="16"/>
          <w:lang w:eastAsia="ru-RU" w:bidi="ru-RU"/>
        </w:rPr>
      </w:pPr>
    </w:p>
    <w:p w14:paraId="62E561C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4E5F53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FD80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конца марта по 16 апреля 1931 многочисленные делегации руководящего состава РККА знакомились с закупленным танком Кристи и впечатление было хорошим (3879,5).</w:t>
      </w:r>
    </w:p>
    <w:p w14:paraId="1C2FAF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674EC3"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марта 1931 г. КО приняла постановление по оборон</w:t>
      </w:r>
      <w:r w:rsidRPr="007122AB">
        <w:rPr>
          <w:rFonts w:ascii="Times New Roman" w:hAnsi="Times New Roman"/>
          <w:color w:val="000000" w:themeColor="text1"/>
          <w:sz w:val="16"/>
          <w:szCs w:val="16"/>
        </w:rPr>
        <w:softHyphen/>
        <w:t>ному плану на 1931 г. Хотелось бы обратить на него особое вни</w:t>
      </w:r>
      <w:r w:rsidRPr="007122AB">
        <w:rPr>
          <w:rFonts w:ascii="Times New Roman" w:hAnsi="Times New Roman"/>
          <w:color w:val="000000" w:themeColor="text1"/>
          <w:sz w:val="16"/>
          <w:szCs w:val="16"/>
        </w:rPr>
        <w:softHyphen/>
        <w:t>мание и сравнить его с первоначальными наметками пятилетне</w:t>
      </w:r>
      <w:r w:rsidRPr="007122AB">
        <w:rPr>
          <w:rFonts w:ascii="Times New Roman" w:hAnsi="Times New Roman"/>
          <w:color w:val="000000" w:themeColor="text1"/>
          <w:sz w:val="16"/>
          <w:szCs w:val="16"/>
        </w:rPr>
        <w:softHyphen/>
        <w:t>го плана. Документ дает представление о размахе военных при</w:t>
      </w:r>
      <w:r w:rsidRPr="007122AB">
        <w:rPr>
          <w:rFonts w:ascii="Times New Roman" w:hAnsi="Times New Roman"/>
          <w:color w:val="000000" w:themeColor="text1"/>
          <w:sz w:val="16"/>
          <w:szCs w:val="16"/>
        </w:rPr>
        <w:softHyphen/>
        <w:t>готовлений, хотя, конечно, далеко не всех. Общий объем расхо</w:t>
      </w:r>
      <w:r w:rsidRPr="007122AB">
        <w:rPr>
          <w:rFonts w:ascii="Times New Roman" w:hAnsi="Times New Roman"/>
          <w:color w:val="000000" w:themeColor="text1"/>
          <w:sz w:val="16"/>
          <w:szCs w:val="16"/>
        </w:rPr>
        <w:softHyphen/>
        <w:t xml:space="preserve">дов на оборону предусматривался в 3145,5 млн руб., из которых НКВМ предназначалось 1810 млн руб. Оборонные расходы ВСНХ определялись в 754 млн руб. по военной </w:t>
      </w:r>
      <w:r w:rsidRPr="007122AB">
        <w:rPr>
          <w:rFonts w:ascii="Times New Roman" w:hAnsi="Times New Roman"/>
          <w:color w:val="000000" w:themeColor="text1"/>
          <w:sz w:val="16"/>
          <w:szCs w:val="16"/>
        </w:rPr>
        <w:lastRenderedPageBreak/>
        <w:t>промышленности и 178,4 млн - по гражданской. В военную промышленность 535 млн руб. предполагалось направить из госбюджета, осталь</w:t>
      </w:r>
      <w:r w:rsidRPr="007122AB">
        <w:rPr>
          <w:rFonts w:ascii="Times New Roman" w:hAnsi="Times New Roman"/>
          <w:color w:val="000000" w:themeColor="text1"/>
          <w:sz w:val="16"/>
          <w:szCs w:val="16"/>
        </w:rPr>
        <w:softHyphen/>
        <w:t>ные получить за счет собственных источников, режима эконо</w:t>
      </w:r>
      <w:r w:rsidRPr="007122AB">
        <w:rPr>
          <w:rFonts w:ascii="Times New Roman" w:hAnsi="Times New Roman"/>
          <w:color w:val="000000" w:themeColor="text1"/>
          <w:sz w:val="16"/>
          <w:szCs w:val="16"/>
        </w:rPr>
        <w:softHyphen/>
        <w:t xml:space="preserve">мии и кредитов. </w:t>
      </w:r>
      <w:proofErr w:type="spellStart"/>
      <w:r w:rsidRPr="007122AB">
        <w:rPr>
          <w:rFonts w:ascii="Times New Roman" w:hAnsi="Times New Roman"/>
          <w:color w:val="000000" w:themeColor="text1"/>
          <w:sz w:val="16"/>
          <w:szCs w:val="16"/>
        </w:rPr>
        <w:t>Военпром</w:t>
      </w:r>
      <w:proofErr w:type="spellEnd"/>
      <w:r w:rsidRPr="007122AB">
        <w:rPr>
          <w:rFonts w:ascii="Times New Roman" w:hAnsi="Times New Roman"/>
          <w:color w:val="000000" w:themeColor="text1"/>
          <w:sz w:val="16"/>
          <w:szCs w:val="16"/>
        </w:rPr>
        <w:t xml:space="preserve"> ВСНХ должен был направить на ка</w:t>
      </w:r>
      <w:r w:rsidRPr="007122AB">
        <w:rPr>
          <w:rFonts w:ascii="Times New Roman" w:hAnsi="Times New Roman"/>
          <w:color w:val="000000" w:themeColor="text1"/>
          <w:sz w:val="16"/>
          <w:szCs w:val="16"/>
        </w:rPr>
        <w:softHyphen/>
        <w:t xml:space="preserve">питальное строительство 498 млн руб., на подготовку рабочих - 69,5 млн руб., на накопления </w:t>
      </w:r>
      <w:proofErr w:type="spellStart"/>
      <w:r w:rsidRPr="007122AB">
        <w:rPr>
          <w:rFonts w:ascii="Times New Roman" w:hAnsi="Times New Roman"/>
          <w:color w:val="000000" w:themeColor="text1"/>
          <w:sz w:val="16"/>
          <w:szCs w:val="16"/>
        </w:rPr>
        <w:t>мобзапасов</w:t>
      </w:r>
      <w:proofErr w:type="spellEnd"/>
      <w:r w:rsidRPr="007122AB">
        <w:rPr>
          <w:rFonts w:ascii="Times New Roman" w:hAnsi="Times New Roman"/>
          <w:color w:val="000000" w:themeColor="text1"/>
          <w:sz w:val="16"/>
          <w:szCs w:val="16"/>
        </w:rPr>
        <w:t xml:space="preserve"> - 29,5 млн руб., на науч</w:t>
      </w:r>
      <w:r w:rsidRPr="007122AB">
        <w:rPr>
          <w:rFonts w:ascii="Times New Roman" w:hAnsi="Times New Roman"/>
          <w:color w:val="000000" w:themeColor="text1"/>
          <w:sz w:val="16"/>
          <w:szCs w:val="16"/>
        </w:rPr>
        <w:softHyphen/>
        <w:t xml:space="preserve">ные и опытные исследования - 22,1 млн руб., на </w:t>
      </w:r>
      <w:proofErr w:type="spellStart"/>
      <w:r w:rsidRPr="007122AB">
        <w:rPr>
          <w:rFonts w:ascii="Times New Roman" w:hAnsi="Times New Roman"/>
          <w:color w:val="000000" w:themeColor="text1"/>
          <w:sz w:val="16"/>
          <w:szCs w:val="16"/>
        </w:rPr>
        <w:t>интехпомощь</w:t>
      </w:r>
      <w:proofErr w:type="spellEnd"/>
      <w:r w:rsidRPr="007122AB">
        <w:rPr>
          <w:rFonts w:ascii="Times New Roman" w:hAnsi="Times New Roman"/>
          <w:color w:val="000000" w:themeColor="text1"/>
          <w:sz w:val="16"/>
          <w:szCs w:val="16"/>
        </w:rPr>
        <w:t xml:space="preserve"> – 7 млн руб. Гражданская промышленность должна была напра</w:t>
      </w:r>
      <w:r w:rsidRPr="007122AB">
        <w:rPr>
          <w:rFonts w:ascii="Times New Roman" w:hAnsi="Times New Roman"/>
          <w:color w:val="000000" w:themeColor="text1"/>
          <w:sz w:val="16"/>
          <w:szCs w:val="16"/>
        </w:rPr>
        <w:softHyphen/>
        <w:t>вить 140,5 млн руб. на капитальное строительство, т.е. на созда</w:t>
      </w:r>
      <w:r w:rsidRPr="007122AB">
        <w:rPr>
          <w:rFonts w:ascii="Times New Roman" w:hAnsi="Times New Roman"/>
          <w:color w:val="000000" w:themeColor="text1"/>
          <w:sz w:val="16"/>
          <w:szCs w:val="16"/>
        </w:rPr>
        <w:softHyphen/>
        <w:t>ние закрытых цехов и участков, остальные средства - на подго</w:t>
      </w:r>
      <w:r w:rsidRPr="007122AB">
        <w:rPr>
          <w:rFonts w:ascii="Times New Roman" w:hAnsi="Times New Roman"/>
          <w:color w:val="000000" w:themeColor="text1"/>
          <w:sz w:val="16"/>
          <w:szCs w:val="16"/>
        </w:rPr>
        <w:softHyphen/>
        <w:t xml:space="preserve">товку рабочих, накопление </w:t>
      </w:r>
      <w:proofErr w:type="spellStart"/>
      <w:r w:rsidRPr="007122AB">
        <w:rPr>
          <w:rFonts w:ascii="Times New Roman" w:hAnsi="Times New Roman"/>
          <w:color w:val="000000" w:themeColor="text1"/>
          <w:sz w:val="16"/>
          <w:szCs w:val="16"/>
        </w:rPr>
        <w:t>мобзапасов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интехпомощь</w:t>
      </w:r>
      <w:proofErr w:type="spellEnd"/>
      <w:r w:rsidRPr="007122AB">
        <w:rPr>
          <w:rFonts w:ascii="Times New Roman" w:hAnsi="Times New Roman"/>
          <w:color w:val="000000" w:themeColor="text1"/>
          <w:sz w:val="16"/>
          <w:szCs w:val="16"/>
        </w:rPr>
        <w:t>. Всего по военной промышленности намечалось получить товарной про</w:t>
      </w:r>
      <w:r w:rsidRPr="007122AB">
        <w:rPr>
          <w:rFonts w:ascii="Times New Roman" w:hAnsi="Times New Roman"/>
          <w:color w:val="000000" w:themeColor="text1"/>
          <w:sz w:val="16"/>
          <w:szCs w:val="16"/>
        </w:rPr>
        <w:softHyphen/>
        <w:t>дукции на сумму 1165 млн руб., в том числе по Орудийно-арсе</w:t>
      </w:r>
      <w:r w:rsidRPr="007122AB">
        <w:rPr>
          <w:rFonts w:ascii="Times New Roman" w:hAnsi="Times New Roman"/>
          <w:color w:val="000000" w:themeColor="text1"/>
          <w:sz w:val="16"/>
          <w:szCs w:val="16"/>
        </w:rPr>
        <w:softHyphen/>
        <w:t xml:space="preserve">нальному объединению (ОАО) - 390,7, </w:t>
      </w:r>
      <w:proofErr w:type="spellStart"/>
      <w:r w:rsidRPr="007122AB">
        <w:rPr>
          <w:rFonts w:ascii="Times New Roman" w:hAnsi="Times New Roman"/>
          <w:color w:val="000000" w:themeColor="text1"/>
          <w:sz w:val="16"/>
          <w:szCs w:val="16"/>
        </w:rPr>
        <w:t>Патрубвзрыву</w:t>
      </w:r>
      <w:proofErr w:type="spellEnd"/>
      <w:r w:rsidRPr="007122AB">
        <w:rPr>
          <w:rFonts w:ascii="Times New Roman" w:hAnsi="Times New Roman"/>
          <w:color w:val="000000" w:themeColor="text1"/>
          <w:sz w:val="16"/>
          <w:szCs w:val="16"/>
        </w:rPr>
        <w:t xml:space="preserve"> - 225,4, </w:t>
      </w:r>
      <w:proofErr w:type="spellStart"/>
      <w:r w:rsidRPr="007122AB">
        <w:rPr>
          <w:rFonts w:ascii="Times New Roman" w:hAnsi="Times New Roman"/>
          <w:color w:val="000000" w:themeColor="text1"/>
          <w:sz w:val="16"/>
          <w:szCs w:val="16"/>
        </w:rPr>
        <w:t>Вохимтресту</w:t>
      </w:r>
      <w:proofErr w:type="spellEnd"/>
      <w:r w:rsidRPr="007122AB">
        <w:rPr>
          <w:rFonts w:ascii="Times New Roman" w:hAnsi="Times New Roman"/>
          <w:color w:val="000000" w:themeColor="text1"/>
          <w:sz w:val="16"/>
          <w:szCs w:val="16"/>
        </w:rPr>
        <w:t xml:space="preserve"> - 265,4, Всесоюзному авиационному объединению (BAO) - 253,4 млн руб. Производительность труда намечалось увеличить на 30-40% по сравнению с 1930 г., снизить себестои</w:t>
      </w:r>
      <w:r w:rsidRPr="007122AB">
        <w:rPr>
          <w:rFonts w:ascii="Times New Roman" w:hAnsi="Times New Roman"/>
          <w:color w:val="000000" w:themeColor="text1"/>
          <w:sz w:val="16"/>
          <w:szCs w:val="16"/>
        </w:rPr>
        <w:softHyphen/>
        <w:t xml:space="preserve">мость по объединениям и трестам, повысить зарплату. НКПС, согласно документу, отпускалось 212,4 млн руб., </w:t>
      </w:r>
      <w:proofErr w:type="spellStart"/>
      <w:r w:rsidRPr="007122AB">
        <w:rPr>
          <w:rFonts w:ascii="Times New Roman" w:hAnsi="Times New Roman"/>
          <w:color w:val="000000" w:themeColor="text1"/>
          <w:sz w:val="16"/>
          <w:szCs w:val="16"/>
        </w:rPr>
        <w:t>Наркомснабу</w:t>
      </w:r>
      <w:proofErr w:type="spellEnd"/>
      <w:r w:rsidRPr="007122AB">
        <w:rPr>
          <w:rFonts w:ascii="Times New Roman" w:hAnsi="Times New Roman"/>
          <w:color w:val="000000" w:themeColor="text1"/>
          <w:sz w:val="16"/>
          <w:szCs w:val="16"/>
        </w:rPr>
        <w:t xml:space="preserve"> - 237 млн руб. (преимущественно на создание закрытых распреде</w:t>
      </w:r>
      <w:r w:rsidRPr="007122AB">
        <w:rPr>
          <w:rFonts w:ascii="Times New Roman" w:hAnsi="Times New Roman"/>
          <w:color w:val="000000" w:themeColor="text1"/>
          <w:sz w:val="16"/>
          <w:szCs w:val="16"/>
        </w:rPr>
        <w:softHyphen/>
        <w:t xml:space="preserve">лителей и столовых), ОГПУ - 100 млн руб. </w:t>
      </w:r>
      <w:proofErr w:type="spellStart"/>
      <w:r w:rsidRPr="007122AB">
        <w:rPr>
          <w:rFonts w:ascii="Times New Roman" w:hAnsi="Times New Roman"/>
          <w:color w:val="000000" w:themeColor="text1"/>
          <w:sz w:val="16"/>
          <w:szCs w:val="16"/>
        </w:rPr>
        <w:t>Наркомпиту</w:t>
      </w:r>
      <w:proofErr w:type="spellEnd"/>
      <w:r w:rsidRPr="007122AB">
        <w:rPr>
          <w:rFonts w:ascii="Times New Roman" w:hAnsi="Times New Roman"/>
          <w:color w:val="000000" w:themeColor="text1"/>
          <w:sz w:val="16"/>
          <w:szCs w:val="16"/>
        </w:rPr>
        <w:t xml:space="preserve"> - 35 млн руб., Наркомату труда - 10 млн руб. (преимущественно на плано</w:t>
      </w:r>
      <w:r w:rsidRPr="007122AB">
        <w:rPr>
          <w:rFonts w:ascii="Times New Roman" w:hAnsi="Times New Roman"/>
          <w:color w:val="000000" w:themeColor="text1"/>
          <w:sz w:val="16"/>
          <w:szCs w:val="16"/>
        </w:rPr>
        <w:softHyphen/>
        <w:t>вое распределение рабочей силы на военные заводы). Отдельной строкой финансировалось ЦАГИ - 10 млн руб.</w:t>
      </w:r>
    </w:p>
    <w:p w14:paraId="52456FB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 не менее итоги 1931 г. по оборонному плану оказались неудовлетворительными как в военной, так и гражданской про</w:t>
      </w:r>
      <w:r w:rsidRPr="007122AB">
        <w:rPr>
          <w:rFonts w:ascii="Times New Roman" w:hAnsi="Times New Roman"/>
          <w:color w:val="000000" w:themeColor="text1"/>
          <w:sz w:val="16"/>
          <w:szCs w:val="16"/>
        </w:rPr>
        <w:softHyphen/>
        <w:t xml:space="preserve">мышленности, в том числе в </w:t>
      </w:r>
      <w:proofErr w:type="spellStart"/>
      <w:r w:rsidRPr="007122AB">
        <w:rPr>
          <w:rFonts w:ascii="Times New Roman" w:hAnsi="Times New Roman"/>
          <w:color w:val="000000" w:themeColor="text1"/>
          <w:sz w:val="16"/>
          <w:szCs w:val="16"/>
        </w:rPr>
        <w:t>военпроме</w:t>
      </w:r>
      <w:proofErr w:type="spellEnd"/>
      <w:r w:rsidRPr="007122AB">
        <w:rPr>
          <w:rFonts w:ascii="Times New Roman" w:hAnsi="Times New Roman"/>
          <w:color w:val="000000" w:themeColor="text1"/>
          <w:sz w:val="16"/>
          <w:szCs w:val="16"/>
        </w:rPr>
        <w:t>. Об этом говорит следу</w:t>
      </w:r>
      <w:r w:rsidRPr="007122AB">
        <w:rPr>
          <w:rFonts w:ascii="Times New Roman" w:hAnsi="Times New Roman"/>
          <w:color w:val="000000" w:themeColor="text1"/>
          <w:sz w:val="16"/>
          <w:szCs w:val="16"/>
        </w:rPr>
        <w:softHyphen/>
        <w:t>ющая таблица (см. табл.).</w:t>
      </w:r>
    </w:p>
    <w:p w14:paraId="4CDBE0CD"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Валовая продукция </w:t>
      </w:r>
      <w:proofErr w:type="spellStart"/>
      <w:r w:rsidRPr="007122AB">
        <w:rPr>
          <w:rFonts w:ascii="Times New Roman" w:hAnsi="Times New Roman"/>
          <w:color w:val="000000" w:themeColor="text1"/>
          <w:sz w:val="16"/>
          <w:szCs w:val="16"/>
        </w:rPr>
        <w:t>военпрома</w:t>
      </w:r>
      <w:proofErr w:type="spellEnd"/>
      <w:r w:rsidRPr="007122AB">
        <w:rPr>
          <w:rFonts w:ascii="Times New Roman" w:hAnsi="Times New Roman"/>
          <w:color w:val="000000" w:themeColor="text1"/>
          <w:sz w:val="16"/>
          <w:szCs w:val="16"/>
        </w:rPr>
        <w:t xml:space="preserve"> в 1931 г., в том числе военная (млн руб. в ценах 1926/27г.).</w:t>
      </w:r>
    </w:p>
    <w:tbl>
      <w:tblPr>
        <w:tblW w:w="0" w:type="auto"/>
        <w:tblInd w:w="5" w:type="dxa"/>
        <w:shd w:val="clear" w:color="auto" w:fill="FFFFFF"/>
        <w:tblCellMar>
          <w:left w:w="0" w:type="dxa"/>
          <w:right w:w="0" w:type="dxa"/>
        </w:tblCellMar>
        <w:tblLook w:val="04A0" w:firstRow="1" w:lastRow="0" w:firstColumn="1" w:lastColumn="0" w:noHBand="0" w:noVBand="1"/>
      </w:tblPr>
      <w:tblGrid>
        <w:gridCol w:w="1459"/>
        <w:gridCol w:w="595"/>
        <w:gridCol w:w="600"/>
        <w:gridCol w:w="608"/>
        <w:gridCol w:w="600"/>
        <w:gridCol w:w="715"/>
        <w:gridCol w:w="600"/>
        <w:gridCol w:w="608"/>
        <w:gridCol w:w="608"/>
        <w:gridCol w:w="50"/>
      </w:tblGrid>
      <w:tr w:rsidR="001002C3" w:rsidRPr="007122AB" w14:paraId="74FDE4C4" w14:textId="77777777" w:rsidTr="001C3F77">
        <w:trPr>
          <w:trHeight w:val="1085"/>
        </w:trPr>
        <w:tc>
          <w:tcPr>
            <w:tcW w:w="1459" w:type="dxa"/>
            <w:tcBorders>
              <w:top w:val="single" w:sz="8" w:space="0" w:color="auto"/>
              <w:left w:val="single" w:sz="8" w:space="0" w:color="auto"/>
              <w:bottom w:val="nil"/>
              <w:right w:val="nil"/>
            </w:tcBorders>
            <w:shd w:val="clear" w:color="auto" w:fill="FFFFFF"/>
            <w:vAlign w:val="center"/>
            <w:hideMark/>
          </w:tcPr>
          <w:p w14:paraId="2A4BF51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Объединения и тресты</w:t>
            </w:r>
          </w:p>
        </w:tc>
        <w:tc>
          <w:tcPr>
            <w:tcW w:w="595" w:type="dxa"/>
            <w:tcBorders>
              <w:top w:val="single" w:sz="8" w:space="0" w:color="auto"/>
              <w:left w:val="single" w:sz="8" w:space="0" w:color="auto"/>
              <w:bottom w:val="nil"/>
              <w:right w:val="nil"/>
            </w:tcBorders>
            <w:shd w:val="clear" w:color="auto" w:fill="FFFFFF"/>
            <w:vAlign w:val="center"/>
            <w:hideMark/>
          </w:tcPr>
          <w:p w14:paraId="3F0613F3"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плану</w:t>
            </w:r>
          </w:p>
        </w:tc>
        <w:tc>
          <w:tcPr>
            <w:tcW w:w="600" w:type="dxa"/>
            <w:tcBorders>
              <w:top w:val="single" w:sz="8" w:space="0" w:color="auto"/>
              <w:left w:val="single" w:sz="8" w:space="0" w:color="auto"/>
              <w:bottom w:val="nil"/>
              <w:right w:val="nil"/>
            </w:tcBorders>
            <w:shd w:val="clear" w:color="auto" w:fill="FFFFFF"/>
            <w:vAlign w:val="center"/>
            <w:hideMark/>
          </w:tcPr>
          <w:p w14:paraId="67382BA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w:t>
            </w:r>
            <w:r w:rsidRPr="007122AB">
              <w:rPr>
                <w:rFonts w:ascii="Times New Roman" w:hAnsi="Times New Roman"/>
                <w:color w:val="000000" w:themeColor="text1"/>
                <w:sz w:val="16"/>
                <w:szCs w:val="16"/>
              </w:rPr>
              <w:softHyphen/>
              <w:t>чески</w:t>
            </w:r>
          </w:p>
        </w:tc>
        <w:tc>
          <w:tcPr>
            <w:tcW w:w="605" w:type="dxa"/>
            <w:tcBorders>
              <w:top w:val="single" w:sz="8" w:space="0" w:color="auto"/>
              <w:left w:val="single" w:sz="8" w:space="0" w:color="auto"/>
              <w:bottom w:val="nil"/>
              <w:right w:val="nil"/>
            </w:tcBorders>
            <w:shd w:val="clear" w:color="auto" w:fill="FFFFFF"/>
            <w:vAlign w:val="center"/>
            <w:hideMark/>
          </w:tcPr>
          <w:p w14:paraId="70EF0EA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Процент выпол</w:t>
            </w:r>
            <w:r w:rsidRPr="007122AB">
              <w:rPr>
                <w:rFonts w:ascii="Times New Roman" w:hAnsi="Times New Roman"/>
                <w:color w:val="000000" w:themeColor="text1"/>
                <w:sz w:val="16"/>
                <w:szCs w:val="16"/>
              </w:rPr>
              <w:softHyphen/>
              <w:t>нения</w:t>
            </w:r>
          </w:p>
        </w:tc>
        <w:tc>
          <w:tcPr>
            <w:tcW w:w="600" w:type="dxa"/>
            <w:tcBorders>
              <w:top w:val="single" w:sz="8" w:space="0" w:color="auto"/>
              <w:left w:val="single" w:sz="8" w:space="0" w:color="auto"/>
              <w:bottom w:val="nil"/>
              <w:right w:val="nil"/>
            </w:tcBorders>
            <w:shd w:val="clear" w:color="auto" w:fill="FFFFFF"/>
            <w:vAlign w:val="center"/>
            <w:hideMark/>
          </w:tcPr>
          <w:p w14:paraId="1E1272A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w:t>
            </w:r>
            <w:r w:rsidRPr="007122AB">
              <w:rPr>
                <w:rFonts w:ascii="Times New Roman" w:hAnsi="Times New Roman"/>
                <w:color w:val="000000" w:themeColor="text1"/>
                <w:sz w:val="16"/>
                <w:szCs w:val="16"/>
              </w:rPr>
              <w:softHyphen/>
              <w:t>цент роста</w:t>
            </w:r>
          </w:p>
        </w:tc>
        <w:tc>
          <w:tcPr>
            <w:tcW w:w="715" w:type="dxa"/>
            <w:tcBorders>
              <w:top w:val="single" w:sz="8" w:space="0" w:color="auto"/>
              <w:left w:val="single" w:sz="8" w:space="0" w:color="auto"/>
              <w:bottom w:val="nil"/>
              <w:right w:val="nil"/>
            </w:tcBorders>
            <w:shd w:val="clear" w:color="auto" w:fill="FFFFFF"/>
            <w:vAlign w:val="center"/>
            <w:hideMark/>
          </w:tcPr>
          <w:p w14:paraId="44C5B49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Военная продук</w:t>
            </w:r>
            <w:r w:rsidRPr="007122AB">
              <w:rPr>
                <w:rFonts w:ascii="Times New Roman" w:hAnsi="Times New Roman"/>
                <w:color w:val="000000" w:themeColor="text1"/>
                <w:sz w:val="16"/>
                <w:szCs w:val="16"/>
              </w:rPr>
              <w:softHyphen/>
              <w:t>ция (по плану)</w:t>
            </w:r>
          </w:p>
        </w:tc>
        <w:tc>
          <w:tcPr>
            <w:tcW w:w="600" w:type="dxa"/>
            <w:tcBorders>
              <w:top w:val="single" w:sz="8" w:space="0" w:color="auto"/>
              <w:left w:val="single" w:sz="8" w:space="0" w:color="auto"/>
              <w:bottom w:val="nil"/>
              <w:right w:val="nil"/>
            </w:tcBorders>
            <w:shd w:val="clear" w:color="auto" w:fill="FFFFFF"/>
            <w:vAlign w:val="center"/>
            <w:hideMark/>
          </w:tcPr>
          <w:p w14:paraId="6FAE77C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w:t>
            </w:r>
            <w:r w:rsidRPr="007122AB">
              <w:rPr>
                <w:rFonts w:ascii="Times New Roman" w:hAnsi="Times New Roman"/>
                <w:color w:val="000000" w:themeColor="text1"/>
                <w:sz w:val="16"/>
                <w:szCs w:val="16"/>
              </w:rPr>
              <w:softHyphen/>
              <w:t>чески</w:t>
            </w:r>
          </w:p>
        </w:tc>
        <w:tc>
          <w:tcPr>
            <w:tcW w:w="605" w:type="dxa"/>
            <w:tcBorders>
              <w:top w:val="single" w:sz="8" w:space="0" w:color="auto"/>
              <w:left w:val="single" w:sz="8" w:space="0" w:color="auto"/>
              <w:bottom w:val="nil"/>
              <w:right w:val="nil"/>
            </w:tcBorders>
            <w:shd w:val="clear" w:color="auto" w:fill="FFFFFF"/>
            <w:vAlign w:val="center"/>
            <w:hideMark/>
          </w:tcPr>
          <w:p w14:paraId="1335BC2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Процент выпол</w:t>
            </w:r>
            <w:r w:rsidRPr="007122AB">
              <w:rPr>
                <w:rFonts w:ascii="Times New Roman" w:hAnsi="Times New Roman"/>
                <w:color w:val="000000" w:themeColor="text1"/>
                <w:sz w:val="16"/>
                <w:szCs w:val="16"/>
              </w:rPr>
              <w:softHyphen/>
              <w:t>нения</w:t>
            </w:r>
          </w:p>
        </w:tc>
        <w:tc>
          <w:tcPr>
            <w:tcW w:w="605" w:type="dxa"/>
            <w:tcBorders>
              <w:top w:val="single" w:sz="8" w:space="0" w:color="auto"/>
              <w:left w:val="single" w:sz="8" w:space="0" w:color="auto"/>
              <w:bottom w:val="nil"/>
              <w:right w:val="single" w:sz="8" w:space="0" w:color="auto"/>
            </w:tcBorders>
            <w:shd w:val="clear" w:color="auto" w:fill="FFFFFF"/>
            <w:vAlign w:val="center"/>
            <w:hideMark/>
          </w:tcPr>
          <w:p w14:paraId="0F7EDF5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Процент роста</w:t>
            </w:r>
          </w:p>
        </w:tc>
        <w:tc>
          <w:tcPr>
            <w:tcW w:w="6" w:type="dxa"/>
            <w:tcBorders>
              <w:top w:val="nil"/>
              <w:left w:val="nil"/>
              <w:bottom w:val="nil"/>
              <w:right w:val="nil"/>
            </w:tcBorders>
            <w:shd w:val="clear" w:color="auto" w:fill="FFFFFF"/>
            <w:vAlign w:val="center"/>
            <w:hideMark/>
          </w:tcPr>
          <w:p w14:paraId="114A933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204225A" w14:textId="77777777" w:rsidTr="001C3F77">
        <w:trPr>
          <w:trHeight w:val="326"/>
        </w:trPr>
        <w:tc>
          <w:tcPr>
            <w:tcW w:w="1459" w:type="dxa"/>
            <w:tcBorders>
              <w:top w:val="single" w:sz="8" w:space="0" w:color="auto"/>
              <w:left w:val="single" w:sz="8" w:space="0" w:color="auto"/>
              <w:bottom w:val="nil"/>
              <w:right w:val="nil"/>
            </w:tcBorders>
            <w:shd w:val="clear" w:color="auto" w:fill="FFFFFF"/>
            <w:vAlign w:val="center"/>
            <w:hideMark/>
          </w:tcPr>
          <w:p w14:paraId="4B3E19D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ОАО</w:t>
            </w:r>
          </w:p>
        </w:tc>
        <w:tc>
          <w:tcPr>
            <w:tcW w:w="595" w:type="dxa"/>
            <w:tcBorders>
              <w:top w:val="single" w:sz="8" w:space="0" w:color="auto"/>
              <w:left w:val="single" w:sz="8" w:space="0" w:color="auto"/>
              <w:bottom w:val="nil"/>
              <w:right w:val="nil"/>
            </w:tcBorders>
            <w:shd w:val="clear" w:color="auto" w:fill="FFFFFF"/>
            <w:vAlign w:val="center"/>
            <w:hideMark/>
          </w:tcPr>
          <w:p w14:paraId="2872BAB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281</w:t>
            </w:r>
          </w:p>
        </w:tc>
        <w:tc>
          <w:tcPr>
            <w:tcW w:w="600" w:type="dxa"/>
            <w:tcBorders>
              <w:top w:val="single" w:sz="8" w:space="0" w:color="auto"/>
              <w:left w:val="single" w:sz="8" w:space="0" w:color="auto"/>
              <w:bottom w:val="nil"/>
              <w:right w:val="nil"/>
            </w:tcBorders>
            <w:shd w:val="clear" w:color="auto" w:fill="FFFFFF"/>
            <w:vAlign w:val="center"/>
            <w:hideMark/>
          </w:tcPr>
          <w:p w14:paraId="5471648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239</w:t>
            </w:r>
          </w:p>
        </w:tc>
        <w:tc>
          <w:tcPr>
            <w:tcW w:w="605" w:type="dxa"/>
            <w:tcBorders>
              <w:top w:val="single" w:sz="8" w:space="0" w:color="auto"/>
              <w:left w:val="single" w:sz="8" w:space="0" w:color="auto"/>
              <w:bottom w:val="nil"/>
              <w:right w:val="nil"/>
            </w:tcBorders>
            <w:shd w:val="clear" w:color="auto" w:fill="FFFFFF"/>
            <w:vAlign w:val="center"/>
            <w:hideMark/>
          </w:tcPr>
          <w:p w14:paraId="1D2B7B4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w:t>
            </w:r>
          </w:p>
        </w:tc>
        <w:tc>
          <w:tcPr>
            <w:tcW w:w="600" w:type="dxa"/>
            <w:tcBorders>
              <w:top w:val="single" w:sz="8" w:space="0" w:color="auto"/>
              <w:left w:val="single" w:sz="8" w:space="0" w:color="auto"/>
              <w:bottom w:val="nil"/>
              <w:right w:val="nil"/>
            </w:tcBorders>
            <w:shd w:val="clear" w:color="auto" w:fill="FFFFFF"/>
            <w:vAlign w:val="center"/>
            <w:hideMark/>
          </w:tcPr>
          <w:p w14:paraId="2824DE2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w:t>
            </w:r>
          </w:p>
        </w:tc>
        <w:tc>
          <w:tcPr>
            <w:tcW w:w="715" w:type="dxa"/>
            <w:tcBorders>
              <w:top w:val="single" w:sz="8" w:space="0" w:color="auto"/>
              <w:left w:val="single" w:sz="8" w:space="0" w:color="auto"/>
              <w:bottom w:val="nil"/>
              <w:right w:val="nil"/>
            </w:tcBorders>
            <w:shd w:val="clear" w:color="auto" w:fill="FFFFFF"/>
            <w:vAlign w:val="center"/>
            <w:hideMark/>
          </w:tcPr>
          <w:p w14:paraId="296C7BE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w:t>
            </w:r>
          </w:p>
        </w:tc>
        <w:tc>
          <w:tcPr>
            <w:tcW w:w="600" w:type="dxa"/>
            <w:tcBorders>
              <w:top w:val="single" w:sz="8" w:space="0" w:color="auto"/>
              <w:left w:val="single" w:sz="8" w:space="0" w:color="auto"/>
              <w:bottom w:val="nil"/>
              <w:right w:val="nil"/>
            </w:tcBorders>
            <w:shd w:val="clear" w:color="auto" w:fill="FFFFFF"/>
            <w:vAlign w:val="center"/>
            <w:hideMark/>
          </w:tcPr>
          <w:p w14:paraId="41DB1E8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w:t>
            </w:r>
          </w:p>
        </w:tc>
        <w:tc>
          <w:tcPr>
            <w:tcW w:w="605" w:type="dxa"/>
            <w:tcBorders>
              <w:top w:val="single" w:sz="8" w:space="0" w:color="auto"/>
              <w:left w:val="single" w:sz="8" w:space="0" w:color="auto"/>
              <w:bottom w:val="nil"/>
              <w:right w:val="nil"/>
            </w:tcBorders>
            <w:shd w:val="clear" w:color="auto" w:fill="FFFFFF"/>
            <w:vAlign w:val="center"/>
            <w:hideMark/>
          </w:tcPr>
          <w:p w14:paraId="0E2FA67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w:t>
            </w:r>
          </w:p>
        </w:tc>
        <w:tc>
          <w:tcPr>
            <w:tcW w:w="605" w:type="dxa"/>
            <w:tcBorders>
              <w:top w:val="single" w:sz="8" w:space="0" w:color="auto"/>
              <w:left w:val="single" w:sz="8" w:space="0" w:color="auto"/>
              <w:bottom w:val="nil"/>
              <w:right w:val="single" w:sz="8" w:space="0" w:color="auto"/>
            </w:tcBorders>
            <w:shd w:val="clear" w:color="auto" w:fill="FFFFFF"/>
            <w:vAlign w:val="center"/>
            <w:hideMark/>
          </w:tcPr>
          <w:p w14:paraId="5512199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w:t>
            </w:r>
          </w:p>
        </w:tc>
        <w:tc>
          <w:tcPr>
            <w:tcW w:w="6" w:type="dxa"/>
            <w:tcBorders>
              <w:top w:val="nil"/>
              <w:left w:val="nil"/>
              <w:bottom w:val="nil"/>
              <w:right w:val="nil"/>
            </w:tcBorders>
            <w:shd w:val="clear" w:color="auto" w:fill="FFFFFF"/>
            <w:vAlign w:val="center"/>
            <w:hideMark/>
          </w:tcPr>
          <w:p w14:paraId="326D9BF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7D2CC89A" w14:textId="77777777" w:rsidTr="001C3F77">
        <w:trPr>
          <w:trHeight w:val="235"/>
        </w:trPr>
        <w:tc>
          <w:tcPr>
            <w:tcW w:w="1459" w:type="dxa"/>
            <w:tcBorders>
              <w:top w:val="nil"/>
              <w:left w:val="single" w:sz="8" w:space="0" w:color="auto"/>
              <w:bottom w:val="nil"/>
              <w:right w:val="nil"/>
            </w:tcBorders>
            <w:shd w:val="clear" w:color="auto" w:fill="FFFFFF"/>
            <w:vAlign w:val="center"/>
            <w:hideMark/>
          </w:tcPr>
          <w:p w14:paraId="63A69A34" w14:textId="77777777" w:rsidR="00E65C7F" w:rsidRPr="007122AB" w:rsidRDefault="00E65C7F"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Оружпул</w:t>
            </w:r>
            <w:proofErr w:type="spellEnd"/>
            <w:r w:rsidRPr="007122AB">
              <w:rPr>
                <w:rFonts w:ascii="Times New Roman" w:hAnsi="Times New Roman"/>
                <w:color w:val="000000" w:themeColor="text1"/>
                <w:sz w:val="16"/>
                <w:szCs w:val="16"/>
              </w:rPr>
              <w:t xml:space="preserve"> трест*</w:t>
            </w:r>
          </w:p>
        </w:tc>
        <w:tc>
          <w:tcPr>
            <w:tcW w:w="595" w:type="dxa"/>
            <w:tcBorders>
              <w:top w:val="nil"/>
              <w:left w:val="single" w:sz="8" w:space="0" w:color="auto"/>
              <w:bottom w:val="nil"/>
              <w:right w:val="nil"/>
            </w:tcBorders>
            <w:shd w:val="clear" w:color="auto" w:fill="FFFFFF"/>
            <w:vAlign w:val="center"/>
            <w:hideMark/>
          </w:tcPr>
          <w:p w14:paraId="0976AFF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294</w:t>
            </w:r>
          </w:p>
        </w:tc>
        <w:tc>
          <w:tcPr>
            <w:tcW w:w="600" w:type="dxa"/>
            <w:tcBorders>
              <w:top w:val="nil"/>
              <w:left w:val="single" w:sz="8" w:space="0" w:color="auto"/>
              <w:bottom w:val="nil"/>
              <w:right w:val="nil"/>
            </w:tcBorders>
            <w:shd w:val="clear" w:color="auto" w:fill="FFFFFF"/>
            <w:vAlign w:val="center"/>
            <w:hideMark/>
          </w:tcPr>
          <w:p w14:paraId="294A0A0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282</w:t>
            </w:r>
          </w:p>
        </w:tc>
        <w:tc>
          <w:tcPr>
            <w:tcW w:w="605" w:type="dxa"/>
            <w:tcBorders>
              <w:top w:val="nil"/>
              <w:left w:val="single" w:sz="8" w:space="0" w:color="auto"/>
              <w:bottom w:val="nil"/>
              <w:right w:val="nil"/>
            </w:tcBorders>
            <w:shd w:val="clear" w:color="auto" w:fill="FFFFFF"/>
            <w:vAlign w:val="center"/>
            <w:hideMark/>
          </w:tcPr>
          <w:p w14:paraId="186F59D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w:t>
            </w:r>
          </w:p>
        </w:tc>
        <w:tc>
          <w:tcPr>
            <w:tcW w:w="600" w:type="dxa"/>
            <w:tcBorders>
              <w:top w:val="nil"/>
              <w:left w:val="single" w:sz="8" w:space="0" w:color="auto"/>
              <w:bottom w:val="nil"/>
              <w:right w:val="nil"/>
            </w:tcBorders>
            <w:shd w:val="clear" w:color="auto" w:fill="FFFFFF"/>
            <w:vAlign w:val="center"/>
            <w:hideMark/>
          </w:tcPr>
          <w:p w14:paraId="02D6D99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715" w:type="dxa"/>
            <w:tcBorders>
              <w:top w:val="nil"/>
              <w:left w:val="single" w:sz="8" w:space="0" w:color="auto"/>
              <w:bottom w:val="nil"/>
              <w:right w:val="nil"/>
            </w:tcBorders>
            <w:shd w:val="clear" w:color="auto" w:fill="FFFFFF"/>
            <w:vAlign w:val="center"/>
            <w:hideMark/>
          </w:tcPr>
          <w:p w14:paraId="07661DB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153</w:t>
            </w:r>
          </w:p>
        </w:tc>
        <w:tc>
          <w:tcPr>
            <w:tcW w:w="600" w:type="dxa"/>
            <w:tcBorders>
              <w:top w:val="nil"/>
              <w:left w:val="single" w:sz="8" w:space="0" w:color="auto"/>
              <w:bottom w:val="nil"/>
              <w:right w:val="nil"/>
            </w:tcBorders>
            <w:shd w:val="clear" w:color="auto" w:fill="FFFFFF"/>
            <w:vAlign w:val="center"/>
            <w:hideMark/>
          </w:tcPr>
          <w:p w14:paraId="738EE79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143</w:t>
            </w:r>
          </w:p>
        </w:tc>
        <w:tc>
          <w:tcPr>
            <w:tcW w:w="605" w:type="dxa"/>
            <w:tcBorders>
              <w:top w:val="nil"/>
              <w:left w:val="single" w:sz="8" w:space="0" w:color="auto"/>
              <w:bottom w:val="nil"/>
              <w:right w:val="nil"/>
            </w:tcBorders>
            <w:shd w:val="clear" w:color="auto" w:fill="FFFFFF"/>
            <w:vAlign w:val="center"/>
            <w:hideMark/>
          </w:tcPr>
          <w:p w14:paraId="4C57BB8D"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w:t>
            </w:r>
          </w:p>
        </w:tc>
        <w:tc>
          <w:tcPr>
            <w:tcW w:w="605" w:type="dxa"/>
            <w:tcBorders>
              <w:top w:val="nil"/>
              <w:left w:val="single" w:sz="8" w:space="0" w:color="auto"/>
              <w:bottom w:val="nil"/>
              <w:right w:val="single" w:sz="8" w:space="0" w:color="auto"/>
            </w:tcBorders>
            <w:shd w:val="clear" w:color="auto" w:fill="FFFFFF"/>
            <w:vAlign w:val="center"/>
            <w:hideMark/>
          </w:tcPr>
          <w:p w14:paraId="5CC2FF31"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137</w:t>
            </w:r>
          </w:p>
        </w:tc>
        <w:tc>
          <w:tcPr>
            <w:tcW w:w="6" w:type="dxa"/>
            <w:tcBorders>
              <w:top w:val="nil"/>
              <w:left w:val="nil"/>
              <w:bottom w:val="nil"/>
              <w:right w:val="nil"/>
            </w:tcBorders>
            <w:shd w:val="clear" w:color="auto" w:fill="FFFFFF"/>
            <w:vAlign w:val="center"/>
            <w:hideMark/>
          </w:tcPr>
          <w:p w14:paraId="3FC4D50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12D58D1" w14:textId="77777777" w:rsidTr="001C3F77">
        <w:trPr>
          <w:trHeight w:val="216"/>
        </w:trPr>
        <w:tc>
          <w:tcPr>
            <w:tcW w:w="1459" w:type="dxa"/>
            <w:tcBorders>
              <w:top w:val="nil"/>
              <w:left w:val="single" w:sz="8" w:space="0" w:color="auto"/>
              <w:bottom w:val="nil"/>
              <w:right w:val="nil"/>
            </w:tcBorders>
            <w:shd w:val="clear" w:color="auto" w:fill="FFFFFF"/>
            <w:vAlign w:val="center"/>
            <w:hideMark/>
          </w:tcPr>
          <w:p w14:paraId="3A18A718" w14:textId="77777777" w:rsidR="00E65C7F" w:rsidRPr="007122AB" w:rsidRDefault="00E65C7F"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Патрубвзрыв</w:t>
            </w:r>
            <w:proofErr w:type="spellEnd"/>
          </w:p>
        </w:tc>
        <w:tc>
          <w:tcPr>
            <w:tcW w:w="595" w:type="dxa"/>
            <w:tcBorders>
              <w:top w:val="nil"/>
              <w:left w:val="single" w:sz="8" w:space="0" w:color="auto"/>
              <w:bottom w:val="nil"/>
              <w:right w:val="nil"/>
            </w:tcBorders>
            <w:shd w:val="clear" w:color="auto" w:fill="FFFFFF"/>
            <w:vAlign w:val="center"/>
            <w:hideMark/>
          </w:tcPr>
          <w:p w14:paraId="5ECF13F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263</w:t>
            </w:r>
          </w:p>
        </w:tc>
        <w:tc>
          <w:tcPr>
            <w:tcW w:w="600" w:type="dxa"/>
            <w:tcBorders>
              <w:top w:val="nil"/>
              <w:left w:val="single" w:sz="8" w:space="0" w:color="auto"/>
              <w:bottom w:val="nil"/>
              <w:right w:val="nil"/>
            </w:tcBorders>
            <w:shd w:val="clear" w:color="auto" w:fill="FFFFFF"/>
            <w:vAlign w:val="center"/>
            <w:hideMark/>
          </w:tcPr>
          <w:p w14:paraId="493DD92D"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207</w:t>
            </w:r>
          </w:p>
        </w:tc>
        <w:tc>
          <w:tcPr>
            <w:tcW w:w="605" w:type="dxa"/>
            <w:tcBorders>
              <w:top w:val="nil"/>
              <w:left w:val="single" w:sz="8" w:space="0" w:color="auto"/>
              <w:bottom w:val="nil"/>
              <w:right w:val="nil"/>
            </w:tcBorders>
            <w:shd w:val="clear" w:color="auto" w:fill="FFFFFF"/>
            <w:vAlign w:val="center"/>
            <w:hideMark/>
          </w:tcPr>
          <w:p w14:paraId="64C1632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79</w:t>
            </w:r>
          </w:p>
        </w:tc>
        <w:tc>
          <w:tcPr>
            <w:tcW w:w="600" w:type="dxa"/>
            <w:tcBorders>
              <w:top w:val="nil"/>
              <w:left w:val="single" w:sz="8" w:space="0" w:color="auto"/>
              <w:bottom w:val="nil"/>
              <w:right w:val="nil"/>
            </w:tcBorders>
            <w:shd w:val="clear" w:color="auto" w:fill="FFFFFF"/>
            <w:vAlign w:val="center"/>
            <w:hideMark/>
          </w:tcPr>
          <w:p w14:paraId="6A056D7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w:t>
            </w:r>
          </w:p>
        </w:tc>
        <w:tc>
          <w:tcPr>
            <w:tcW w:w="715" w:type="dxa"/>
            <w:tcBorders>
              <w:top w:val="nil"/>
              <w:left w:val="single" w:sz="8" w:space="0" w:color="auto"/>
              <w:bottom w:val="nil"/>
              <w:right w:val="nil"/>
            </w:tcBorders>
            <w:shd w:val="clear" w:color="auto" w:fill="FFFFFF"/>
            <w:vAlign w:val="center"/>
            <w:hideMark/>
          </w:tcPr>
          <w:p w14:paraId="6D444A3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w:t>
            </w:r>
          </w:p>
        </w:tc>
        <w:tc>
          <w:tcPr>
            <w:tcW w:w="600" w:type="dxa"/>
            <w:tcBorders>
              <w:top w:val="nil"/>
              <w:left w:val="single" w:sz="8" w:space="0" w:color="auto"/>
              <w:bottom w:val="nil"/>
              <w:right w:val="nil"/>
            </w:tcBorders>
            <w:shd w:val="clear" w:color="auto" w:fill="FFFFFF"/>
            <w:vAlign w:val="center"/>
            <w:hideMark/>
          </w:tcPr>
          <w:p w14:paraId="6FDFE25D"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108</w:t>
            </w:r>
          </w:p>
        </w:tc>
        <w:tc>
          <w:tcPr>
            <w:tcW w:w="605" w:type="dxa"/>
            <w:tcBorders>
              <w:top w:val="nil"/>
              <w:left w:val="single" w:sz="8" w:space="0" w:color="auto"/>
              <w:bottom w:val="nil"/>
              <w:right w:val="nil"/>
            </w:tcBorders>
            <w:shd w:val="clear" w:color="auto" w:fill="FFFFFF"/>
            <w:vAlign w:val="center"/>
            <w:hideMark/>
          </w:tcPr>
          <w:p w14:paraId="7AFC079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w:t>
            </w:r>
          </w:p>
        </w:tc>
        <w:tc>
          <w:tcPr>
            <w:tcW w:w="605" w:type="dxa"/>
            <w:tcBorders>
              <w:top w:val="nil"/>
              <w:left w:val="single" w:sz="8" w:space="0" w:color="auto"/>
              <w:bottom w:val="nil"/>
              <w:right w:val="single" w:sz="8" w:space="0" w:color="auto"/>
            </w:tcBorders>
            <w:shd w:val="clear" w:color="auto" w:fill="FFFFFF"/>
            <w:vAlign w:val="center"/>
            <w:hideMark/>
          </w:tcPr>
          <w:p w14:paraId="31BC04C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w:t>
            </w:r>
          </w:p>
        </w:tc>
        <w:tc>
          <w:tcPr>
            <w:tcW w:w="6" w:type="dxa"/>
            <w:tcBorders>
              <w:top w:val="nil"/>
              <w:left w:val="nil"/>
              <w:bottom w:val="nil"/>
              <w:right w:val="nil"/>
            </w:tcBorders>
            <w:shd w:val="clear" w:color="auto" w:fill="FFFFFF"/>
            <w:vAlign w:val="center"/>
            <w:hideMark/>
          </w:tcPr>
          <w:p w14:paraId="1510D0F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31A2291" w14:textId="77777777" w:rsidTr="001C3F77">
        <w:trPr>
          <w:trHeight w:val="206"/>
        </w:trPr>
        <w:tc>
          <w:tcPr>
            <w:tcW w:w="1459" w:type="dxa"/>
            <w:tcBorders>
              <w:top w:val="nil"/>
              <w:left w:val="single" w:sz="8" w:space="0" w:color="auto"/>
              <w:bottom w:val="nil"/>
              <w:right w:val="nil"/>
            </w:tcBorders>
            <w:shd w:val="clear" w:color="auto" w:fill="FFFFFF"/>
            <w:vAlign w:val="center"/>
            <w:hideMark/>
          </w:tcPr>
          <w:p w14:paraId="03B50F8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595" w:type="dxa"/>
            <w:tcBorders>
              <w:top w:val="nil"/>
              <w:left w:val="single" w:sz="8" w:space="0" w:color="auto"/>
              <w:bottom w:val="nil"/>
              <w:right w:val="nil"/>
            </w:tcBorders>
            <w:shd w:val="clear" w:color="auto" w:fill="FFFFFF"/>
            <w:vAlign w:val="center"/>
            <w:hideMark/>
          </w:tcPr>
          <w:p w14:paraId="5421CAC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190</w:t>
            </w:r>
          </w:p>
        </w:tc>
        <w:tc>
          <w:tcPr>
            <w:tcW w:w="600" w:type="dxa"/>
            <w:tcBorders>
              <w:top w:val="nil"/>
              <w:left w:val="single" w:sz="8" w:space="0" w:color="auto"/>
              <w:bottom w:val="nil"/>
              <w:right w:val="nil"/>
            </w:tcBorders>
            <w:shd w:val="clear" w:color="auto" w:fill="FFFFFF"/>
            <w:vAlign w:val="center"/>
            <w:hideMark/>
          </w:tcPr>
          <w:p w14:paraId="2F6DA74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154</w:t>
            </w:r>
          </w:p>
        </w:tc>
        <w:tc>
          <w:tcPr>
            <w:tcW w:w="605" w:type="dxa"/>
            <w:tcBorders>
              <w:top w:val="nil"/>
              <w:left w:val="single" w:sz="8" w:space="0" w:color="auto"/>
              <w:bottom w:val="nil"/>
              <w:right w:val="nil"/>
            </w:tcBorders>
            <w:shd w:val="clear" w:color="auto" w:fill="FFFFFF"/>
            <w:vAlign w:val="center"/>
            <w:hideMark/>
          </w:tcPr>
          <w:p w14:paraId="1CB777A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w:t>
            </w:r>
          </w:p>
        </w:tc>
        <w:tc>
          <w:tcPr>
            <w:tcW w:w="600" w:type="dxa"/>
            <w:tcBorders>
              <w:top w:val="nil"/>
              <w:left w:val="single" w:sz="8" w:space="0" w:color="auto"/>
              <w:bottom w:val="nil"/>
              <w:right w:val="nil"/>
            </w:tcBorders>
            <w:shd w:val="clear" w:color="auto" w:fill="FFFFFF"/>
            <w:vAlign w:val="center"/>
            <w:hideMark/>
          </w:tcPr>
          <w:p w14:paraId="4577381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w:t>
            </w:r>
          </w:p>
        </w:tc>
        <w:tc>
          <w:tcPr>
            <w:tcW w:w="715" w:type="dxa"/>
            <w:tcBorders>
              <w:top w:val="nil"/>
              <w:left w:val="single" w:sz="8" w:space="0" w:color="auto"/>
              <w:bottom w:val="nil"/>
              <w:right w:val="nil"/>
            </w:tcBorders>
            <w:shd w:val="clear" w:color="auto" w:fill="FFFFFF"/>
            <w:vAlign w:val="center"/>
            <w:hideMark/>
          </w:tcPr>
          <w:p w14:paraId="09AF70B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w:t>
            </w:r>
          </w:p>
        </w:tc>
        <w:tc>
          <w:tcPr>
            <w:tcW w:w="600" w:type="dxa"/>
            <w:tcBorders>
              <w:top w:val="nil"/>
              <w:left w:val="single" w:sz="8" w:space="0" w:color="auto"/>
              <w:bottom w:val="nil"/>
              <w:right w:val="nil"/>
            </w:tcBorders>
            <w:shd w:val="clear" w:color="auto" w:fill="FFFFFF"/>
            <w:vAlign w:val="center"/>
            <w:hideMark/>
          </w:tcPr>
          <w:p w14:paraId="2A841CA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w:t>
            </w:r>
          </w:p>
        </w:tc>
        <w:tc>
          <w:tcPr>
            <w:tcW w:w="605" w:type="dxa"/>
            <w:tcBorders>
              <w:top w:val="nil"/>
              <w:left w:val="single" w:sz="8" w:space="0" w:color="auto"/>
              <w:bottom w:val="nil"/>
              <w:right w:val="nil"/>
            </w:tcBorders>
            <w:shd w:val="clear" w:color="auto" w:fill="FFFFFF"/>
            <w:vAlign w:val="center"/>
            <w:hideMark/>
          </w:tcPr>
          <w:p w14:paraId="294D373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605" w:type="dxa"/>
            <w:tcBorders>
              <w:top w:val="nil"/>
              <w:left w:val="single" w:sz="8" w:space="0" w:color="auto"/>
              <w:bottom w:val="nil"/>
              <w:right w:val="single" w:sz="8" w:space="0" w:color="auto"/>
            </w:tcBorders>
            <w:shd w:val="clear" w:color="auto" w:fill="FFFFFF"/>
            <w:vAlign w:val="center"/>
            <w:hideMark/>
          </w:tcPr>
          <w:p w14:paraId="124D454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w:t>
            </w:r>
          </w:p>
        </w:tc>
        <w:tc>
          <w:tcPr>
            <w:tcW w:w="6" w:type="dxa"/>
            <w:tcBorders>
              <w:top w:val="nil"/>
              <w:left w:val="nil"/>
              <w:bottom w:val="nil"/>
              <w:right w:val="nil"/>
            </w:tcBorders>
            <w:shd w:val="clear" w:color="auto" w:fill="FFFFFF"/>
            <w:vAlign w:val="center"/>
            <w:hideMark/>
          </w:tcPr>
          <w:p w14:paraId="3967830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E03DC4A" w14:textId="77777777" w:rsidTr="001C3F77">
        <w:trPr>
          <w:trHeight w:val="216"/>
        </w:trPr>
        <w:tc>
          <w:tcPr>
            <w:tcW w:w="1459" w:type="dxa"/>
            <w:tcBorders>
              <w:top w:val="nil"/>
              <w:left w:val="single" w:sz="8" w:space="0" w:color="auto"/>
              <w:bottom w:val="nil"/>
              <w:right w:val="nil"/>
            </w:tcBorders>
            <w:shd w:val="clear" w:color="auto" w:fill="FFFFFF"/>
            <w:vAlign w:val="center"/>
            <w:hideMark/>
          </w:tcPr>
          <w:p w14:paraId="2CAD070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ВХО</w:t>
            </w:r>
          </w:p>
        </w:tc>
        <w:tc>
          <w:tcPr>
            <w:tcW w:w="595" w:type="dxa"/>
            <w:tcBorders>
              <w:top w:val="nil"/>
              <w:left w:val="single" w:sz="8" w:space="0" w:color="auto"/>
              <w:bottom w:val="nil"/>
              <w:right w:val="nil"/>
            </w:tcBorders>
            <w:shd w:val="clear" w:color="auto" w:fill="FFFFFF"/>
            <w:vAlign w:val="center"/>
            <w:hideMark/>
          </w:tcPr>
          <w:p w14:paraId="04F3055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273</w:t>
            </w:r>
          </w:p>
        </w:tc>
        <w:tc>
          <w:tcPr>
            <w:tcW w:w="600" w:type="dxa"/>
            <w:tcBorders>
              <w:top w:val="nil"/>
              <w:left w:val="single" w:sz="8" w:space="0" w:color="auto"/>
              <w:bottom w:val="nil"/>
              <w:right w:val="nil"/>
            </w:tcBorders>
            <w:shd w:val="clear" w:color="auto" w:fill="FFFFFF"/>
            <w:vAlign w:val="center"/>
            <w:hideMark/>
          </w:tcPr>
          <w:p w14:paraId="7A2088C2"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239</w:t>
            </w:r>
          </w:p>
        </w:tc>
        <w:tc>
          <w:tcPr>
            <w:tcW w:w="605" w:type="dxa"/>
            <w:tcBorders>
              <w:top w:val="nil"/>
              <w:left w:val="single" w:sz="8" w:space="0" w:color="auto"/>
              <w:bottom w:val="nil"/>
              <w:right w:val="nil"/>
            </w:tcBorders>
            <w:shd w:val="clear" w:color="auto" w:fill="FFFFFF"/>
            <w:vAlign w:val="center"/>
            <w:hideMark/>
          </w:tcPr>
          <w:p w14:paraId="4D2B767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w:t>
            </w:r>
          </w:p>
        </w:tc>
        <w:tc>
          <w:tcPr>
            <w:tcW w:w="600" w:type="dxa"/>
            <w:tcBorders>
              <w:top w:val="nil"/>
              <w:left w:val="single" w:sz="8" w:space="0" w:color="auto"/>
              <w:bottom w:val="nil"/>
              <w:right w:val="nil"/>
            </w:tcBorders>
            <w:shd w:val="clear" w:color="auto" w:fill="FFFFFF"/>
            <w:vAlign w:val="center"/>
            <w:hideMark/>
          </w:tcPr>
          <w:p w14:paraId="176D3E3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715" w:type="dxa"/>
            <w:tcBorders>
              <w:top w:val="nil"/>
              <w:left w:val="single" w:sz="8" w:space="0" w:color="auto"/>
              <w:bottom w:val="nil"/>
              <w:right w:val="nil"/>
            </w:tcBorders>
            <w:shd w:val="clear" w:color="auto" w:fill="FFFFFF"/>
            <w:vAlign w:val="center"/>
            <w:hideMark/>
          </w:tcPr>
          <w:p w14:paraId="54F80B7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w:t>
            </w:r>
          </w:p>
        </w:tc>
        <w:tc>
          <w:tcPr>
            <w:tcW w:w="600" w:type="dxa"/>
            <w:tcBorders>
              <w:top w:val="nil"/>
              <w:left w:val="single" w:sz="8" w:space="0" w:color="auto"/>
              <w:bottom w:val="nil"/>
              <w:right w:val="nil"/>
            </w:tcBorders>
            <w:shd w:val="clear" w:color="auto" w:fill="FFFFFF"/>
            <w:vAlign w:val="center"/>
            <w:hideMark/>
          </w:tcPr>
          <w:p w14:paraId="4ADD6F8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113</w:t>
            </w:r>
          </w:p>
        </w:tc>
        <w:tc>
          <w:tcPr>
            <w:tcW w:w="605" w:type="dxa"/>
            <w:tcBorders>
              <w:top w:val="nil"/>
              <w:left w:val="single" w:sz="8" w:space="0" w:color="auto"/>
              <w:bottom w:val="nil"/>
              <w:right w:val="nil"/>
            </w:tcBorders>
            <w:shd w:val="clear" w:color="auto" w:fill="FFFFFF"/>
            <w:vAlign w:val="center"/>
            <w:hideMark/>
          </w:tcPr>
          <w:p w14:paraId="2C0CAC4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w:t>
            </w:r>
          </w:p>
        </w:tc>
        <w:tc>
          <w:tcPr>
            <w:tcW w:w="605" w:type="dxa"/>
            <w:tcBorders>
              <w:top w:val="nil"/>
              <w:left w:val="single" w:sz="8" w:space="0" w:color="auto"/>
              <w:bottom w:val="nil"/>
              <w:right w:val="single" w:sz="8" w:space="0" w:color="auto"/>
            </w:tcBorders>
            <w:shd w:val="clear" w:color="auto" w:fill="FFFFFF"/>
            <w:vAlign w:val="center"/>
            <w:hideMark/>
          </w:tcPr>
          <w:p w14:paraId="7D3A84B2"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w:t>
            </w:r>
          </w:p>
        </w:tc>
        <w:tc>
          <w:tcPr>
            <w:tcW w:w="6" w:type="dxa"/>
            <w:tcBorders>
              <w:top w:val="nil"/>
              <w:left w:val="nil"/>
              <w:bottom w:val="nil"/>
              <w:right w:val="nil"/>
            </w:tcBorders>
            <w:shd w:val="clear" w:color="auto" w:fill="FFFFFF"/>
            <w:vAlign w:val="center"/>
            <w:hideMark/>
          </w:tcPr>
          <w:p w14:paraId="49019D7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05FD7561" w14:textId="77777777" w:rsidTr="001C3F77">
        <w:trPr>
          <w:trHeight w:val="235"/>
        </w:trPr>
        <w:tc>
          <w:tcPr>
            <w:tcW w:w="1459" w:type="dxa"/>
            <w:tcBorders>
              <w:top w:val="nil"/>
              <w:left w:val="single" w:sz="8" w:space="0" w:color="auto"/>
              <w:bottom w:val="nil"/>
              <w:right w:val="nil"/>
            </w:tcBorders>
            <w:shd w:val="clear" w:color="auto" w:fill="FFFFFF"/>
            <w:vAlign w:val="center"/>
            <w:hideMark/>
          </w:tcPr>
          <w:p w14:paraId="5526E3D7" w14:textId="77777777" w:rsidR="00E65C7F" w:rsidRPr="007122AB" w:rsidRDefault="00E65C7F"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Снартрест</w:t>
            </w:r>
            <w:proofErr w:type="spellEnd"/>
            <w:r w:rsidRPr="007122AB">
              <w:rPr>
                <w:rFonts w:ascii="Times New Roman" w:hAnsi="Times New Roman"/>
                <w:color w:val="000000" w:themeColor="text1"/>
                <w:sz w:val="16"/>
                <w:szCs w:val="16"/>
              </w:rPr>
              <w:t>***</w:t>
            </w:r>
          </w:p>
        </w:tc>
        <w:tc>
          <w:tcPr>
            <w:tcW w:w="595" w:type="dxa"/>
            <w:tcBorders>
              <w:top w:val="nil"/>
              <w:left w:val="single" w:sz="8" w:space="0" w:color="auto"/>
              <w:bottom w:val="nil"/>
              <w:right w:val="nil"/>
            </w:tcBorders>
            <w:shd w:val="clear" w:color="auto" w:fill="FFFFFF"/>
            <w:vAlign w:val="center"/>
            <w:hideMark/>
          </w:tcPr>
          <w:p w14:paraId="4FFF8A98"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148</w:t>
            </w:r>
          </w:p>
        </w:tc>
        <w:tc>
          <w:tcPr>
            <w:tcW w:w="600" w:type="dxa"/>
            <w:tcBorders>
              <w:top w:val="nil"/>
              <w:left w:val="single" w:sz="8" w:space="0" w:color="auto"/>
              <w:bottom w:val="nil"/>
              <w:right w:val="nil"/>
            </w:tcBorders>
            <w:shd w:val="clear" w:color="auto" w:fill="FFFFFF"/>
            <w:vAlign w:val="center"/>
            <w:hideMark/>
          </w:tcPr>
          <w:p w14:paraId="1974BAB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w:t>
            </w:r>
          </w:p>
        </w:tc>
        <w:tc>
          <w:tcPr>
            <w:tcW w:w="605" w:type="dxa"/>
            <w:tcBorders>
              <w:top w:val="nil"/>
              <w:left w:val="single" w:sz="8" w:space="0" w:color="auto"/>
              <w:bottom w:val="nil"/>
              <w:right w:val="nil"/>
            </w:tcBorders>
            <w:shd w:val="clear" w:color="auto" w:fill="FFFFFF"/>
            <w:vAlign w:val="center"/>
            <w:hideMark/>
          </w:tcPr>
          <w:p w14:paraId="2E2CD67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w:t>
            </w:r>
          </w:p>
        </w:tc>
        <w:tc>
          <w:tcPr>
            <w:tcW w:w="600" w:type="dxa"/>
            <w:tcBorders>
              <w:top w:val="nil"/>
              <w:left w:val="single" w:sz="8" w:space="0" w:color="auto"/>
              <w:bottom w:val="nil"/>
              <w:right w:val="nil"/>
            </w:tcBorders>
            <w:shd w:val="clear" w:color="auto" w:fill="FFFFFF"/>
            <w:vAlign w:val="center"/>
            <w:hideMark/>
          </w:tcPr>
          <w:p w14:paraId="092CDCCB"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w:t>
            </w:r>
          </w:p>
        </w:tc>
        <w:tc>
          <w:tcPr>
            <w:tcW w:w="715" w:type="dxa"/>
            <w:tcBorders>
              <w:top w:val="nil"/>
              <w:left w:val="single" w:sz="8" w:space="0" w:color="auto"/>
              <w:bottom w:val="nil"/>
              <w:right w:val="nil"/>
            </w:tcBorders>
            <w:shd w:val="clear" w:color="auto" w:fill="FFFFFF"/>
            <w:vAlign w:val="center"/>
            <w:hideMark/>
          </w:tcPr>
          <w:p w14:paraId="191EFC6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66</w:t>
            </w:r>
          </w:p>
        </w:tc>
        <w:tc>
          <w:tcPr>
            <w:tcW w:w="600" w:type="dxa"/>
            <w:tcBorders>
              <w:top w:val="nil"/>
              <w:left w:val="single" w:sz="8" w:space="0" w:color="auto"/>
              <w:bottom w:val="nil"/>
              <w:right w:val="nil"/>
            </w:tcBorders>
            <w:shd w:val="clear" w:color="auto" w:fill="FFFFFF"/>
            <w:vAlign w:val="center"/>
            <w:hideMark/>
          </w:tcPr>
          <w:p w14:paraId="54C534F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605" w:type="dxa"/>
            <w:tcBorders>
              <w:top w:val="nil"/>
              <w:left w:val="single" w:sz="8" w:space="0" w:color="auto"/>
              <w:bottom w:val="nil"/>
              <w:right w:val="nil"/>
            </w:tcBorders>
            <w:shd w:val="clear" w:color="auto" w:fill="FFFFFF"/>
            <w:vAlign w:val="center"/>
            <w:hideMark/>
          </w:tcPr>
          <w:p w14:paraId="2C8E8B4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605" w:type="dxa"/>
            <w:tcBorders>
              <w:top w:val="nil"/>
              <w:left w:val="single" w:sz="8" w:space="0" w:color="auto"/>
              <w:bottom w:val="nil"/>
              <w:right w:val="single" w:sz="8" w:space="0" w:color="auto"/>
            </w:tcBorders>
            <w:shd w:val="clear" w:color="auto" w:fill="FFFFFF"/>
            <w:vAlign w:val="center"/>
            <w:hideMark/>
          </w:tcPr>
          <w:p w14:paraId="7381F39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w:t>
            </w:r>
          </w:p>
        </w:tc>
        <w:tc>
          <w:tcPr>
            <w:tcW w:w="6" w:type="dxa"/>
            <w:tcBorders>
              <w:top w:val="nil"/>
              <w:left w:val="nil"/>
              <w:bottom w:val="nil"/>
              <w:right w:val="nil"/>
            </w:tcBorders>
            <w:shd w:val="clear" w:color="auto" w:fill="FFFFFF"/>
            <w:vAlign w:val="center"/>
            <w:hideMark/>
          </w:tcPr>
          <w:p w14:paraId="5B69D42C"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3011F16" w14:textId="77777777" w:rsidTr="001C3F77">
        <w:trPr>
          <w:trHeight w:val="221"/>
        </w:trPr>
        <w:tc>
          <w:tcPr>
            <w:tcW w:w="1459" w:type="dxa"/>
            <w:tcBorders>
              <w:top w:val="nil"/>
              <w:left w:val="single" w:sz="8" w:space="0" w:color="auto"/>
              <w:bottom w:val="nil"/>
              <w:right w:val="nil"/>
            </w:tcBorders>
            <w:shd w:val="clear" w:color="auto" w:fill="FFFFFF"/>
            <w:vAlign w:val="center"/>
            <w:hideMark/>
          </w:tcPr>
          <w:p w14:paraId="678CB219" w14:textId="77777777" w:rsidR="00E65C7F" w:rsidRPr="007122AB" w:rsidRDefault="00E65C7F"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Госхимтрест</w:t>
            </w:r>
            <w:proofErr w:type="spellEnd"/>
          </w:p>
        </w:tc>
        <w:tc>
          <w:tcPr>
            <w:tcW w:w="595" w:type="dxa"/>
            <w:tcBorders>
              <w:top w:val="nil"/>
              <w:left w:val="single" w:sz="8" w:space="0" w:color="auto"/>
              <w:bottom w:val="nil"/>
              <w:right w:val="nil"/>
            </w:tcBorders>
            <w:shd w:val="clear" w:color="auto" w:fill="FFFFFF"/>
            <w:vAlign w:val="center"/>
            <w:hideMark/>
          </w:tcPr>
          <w:p w14:paraId="1B995B33"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600" w:type="dxa"/>
            <w:tcBorders>
              <w:top w:val="nil"/>
              <w:left w:val="single" w:sz="8" w:space="0" w:color="auto"/>
              <w:bottom w:val="nil"/>
              <w:right w:val="nil"/>
            </w:tcBorders>
            <w:shd w:val="clear" w:color="auto" w:fill="FFFFFF"/>
            <w:vAlign w:val="center"/>
            <w:hideMark/>
          </w:tcPr>
          <w:p w14:paraId="654C7F81"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w:t>
            </w:r>
          </w:p>
        </w:tc>
        <w:tc>
          <w:tcPr>
            <w:tcW w:w="605" w:type="dxa"/>
            <w:tcBorders>
              <w:top w:val="nil"/>
              <w:left w:val="single" w:sz="8" w:space="0" w:color="auto"/>
              <w:bottom w:val="nil"/>
              <w:right w:val="nil"/>
            </w:tcBorders>
            <w:shd w:val="clear" w:color="auto" w:fill="FFFFFF"/>
            <w:vAlign w:val="center"/>
            <w:hideMark/>
          </w:tcPr>
          <w:p w14:paraId="42C458B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w:t>
            </w:r>
          </w:p>
        </w:tc>
        <w:tc>
          <w:tcPr>
            <w:tcW w:w="600" w:type="dxa"/>
            <w:tcBorders>
              <w:top w:val="nil"/>
              <w:left w:val="single" w:sz="8" w:space="0" w:color="auto"/>
              <w:bottom w:val="nil"/>
              <w:right w:val="nil"/>
            </w:tcBorders>
            <w:shd w:val="clear" w:color="auto" w:fill="FFFFFF"/>
            <w:vAlign w:val="center"/>
            <w:hideMark/>
          </w:tcPr>
          <w:p w14:paraId="018D6BE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w:t>
            </w:r>
          </w:p>
        </w:tc>
        <w:tc>
          <w:tcPr>
            <w:tcW w:w="715" w:type="dxa"/>
            <w:tcBorders>
              <w:top w:val="nil"/>
              <w:left w:val="single" w:sz="8" w:space="0" w:color="auto"/>
              <w:bottom w:val="nil"/>
              <w:right w:val="nil"/>
            </w:tcBorders>
            <w:shd w:val="clear" w:color="auto" w:fill="FFFFFF"/>
            <w:vAlign w:val="center"/>
            <w:hideMark/>
          </w:tcPr>
          <w:p w14:paraId="297178ED"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c>
          <w:tcPr>
            <w:tcW w:w="600" w:type="dxa"/>
            <w:tcBorders>
              <w:top w:val="nil"/>
              <w:left w:val="single" w:sz="8" w:space="0" w:color="auto"/>
              <w:bottom w:val="nil"/>
              <w:right w:val="nil"/>
            </w:tcBorders>
            <w:shd w:val="clear" w:color="auto" w:fill="FFFFFF"/>
            <w:vAlign w:val="center"/>
            <w:hideMark/>
          </w:tcPr>
          <w:p w14:paraId="0138E72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2,26</w:t>
            </w:r>
          </w:p>
        </w:tc>
        <w:tc>
          <w:tcPr>
            <w:tcW w:w="605" w:type="dxa"/>
            <w:tcBorders>
              <w:top w:val="nil"/>
              <w:left w:val="single" w:sz="8" w:space="0" w:color="auto"/>
              <w:bottom w:val="nil"/>
              <w:right w:val="nil"/>
            </w:tcBorders>
            <w:shd w:val="clear" w:color="auto" w:fill="FFFFFF"/>
            <w:vAlign w:val="center"/>
            <w:hideMark/>
          </w:tcPr>
          <w:p w14:paraId="7F098ED6"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98</w:t>
            </w:r>
          </w:p>
        </w:tc>
        <w:tc>
          <w:tcPr>
            <w:tcW w:w="605" w:type="dxa"/>
            <w:tcBorders>
              <w:top w:val="nil"/>
              <w:left w:val="single" w:sz="8" w:space="0" w:color="auto"/>
              <w:bottom w:val="nil"/>
              <w:right w:val="single" w:sz="8" w:space="0" w:color="auto"/>
            </w:tcBorders>
            <w:shd w:val="clear" w:color="auto" w:fill="FFFFFF"/>
            <w:vAlign w:val="center"/>
            <w:hideMark/>
          </w:tcPr>
          <w:p w14:paraId="2CB9960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6" w:type="dxa"/>
            <w:tcBorders>
              <w:top w:val="nil"/>
              <w:left w:val="nil"/>
              <w:bottom w:val="nil"/>
              <w:right w:val="nil"/>
            </w:tcBorders>
            <w:shd w:val="clear" w:color="auto" w:fill="FFFFFF"/>
            <w:vAlign w:val="center"/>
            <w:hideMark/>
          </w:tcPr>
          <w:p w14:paraId="66BC5B22"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F349055" w14:textId="77777777" w:rsidTr="001C3F77">
        <w:trPr>
          <w:trHeight w:val="245"/>
        </w:trPr>
        <w:tc>
          <w:tcPr>
            <w:tcW w:w="1459" w:type="dxa"/>
            <w:tcBorders>
              <w:top w:val="nil"/>
              <w:left w:val="single" w:sz="8" w:space="0" w:color="auto"/>
              <w:bottom w:val="nil"/>
              <w:right w:val="nil"/>
            </w:tcBorders>
            <w:shd w:val="clear" w:color="auto" w:fill="FFFFFF"/>
            <w:vAlign w:val="center"/>
            <w:hideMark/>
          </w:tcPr>
          <w:p w14:paraId="3D1272D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595" w:type="dxa"/>
            <w:tcBorders>
              <w:top w:val="nil"/>
              <w:left w:val="single" w:sz="8" w:space="0" w:color="auto"/>
              <w:bottom w:val="nil"/>
              <w:right w:val="nil"/>
            </w:tcBorders>
            <w:shd w:val="clear" w:color="auto" w:fill="FFFFFF"/>
            <w:vAlign w:val="center"/>
            <w:hideMark/>
          </w:tcPr>
          <w:p w14:paraId="07CDB3B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1465</w:t>
            </w:r>
          </w:p>
        </w:tc>
        <w:tc>
          <w:tcPr>
            <w:tcW w:w="600" w:type="dxa"/>
            <w:tcBorders>
              <w:top w:val="nil"/>
              <w:left w:val="single" w:sz="8" w:space="0" w:color="auto"/>
              <w:bottom w:val="nil"/>
              <w:right w:val="nil"/>
            </w:tcBorders>
            <w:shd w:val="clear" w:color="auto" w:fill="FFFFFF"/>
            <w:vAlign w:val="center"/>
            <w:hideMark/>
          </w:tcPr>
          <w:p w14:paraId="79748A7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1234</w:t>
            </w:r>
          </w:p>
        </w:tc>
        <w:tc>
          <w:tcPr>
            <w:tcW w:w="605" w:type="dxa"/>
            <w:tcBorders>
              <w:top w:val="nil"/>
              <w:left w:val="single" w:sz="8" w:space="0" w:color="auto"/>
              <w:bottom w:val="nil"/>
              <w:right w:val="nil"/>
            </w:tcBorders>
            <w:shd w:val="clear" w:color="auto" w:fill="FFFFFF"/>
            <w:vAlign w:val="center"/>
            <w:hideMark/>
          </w:tcPr>
          <w:p w14:paraId="06F0AAE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w:t>
            </w:r>
          </w:p>
        </w:tc>
        <w:tc>
          <w:tcPr>
            <w:tcW w:w="600" w:type="dxa"/>
            <w:tcBorders>
              <w:top w:val="nil"/>
              <w:left w:val="single" w:sz="8" w:space="0" w:color="auto"/>
              <w:bottom w:val="nil"/>
              <w:right w:val="nil"/>
            </w:tcBorders>
            <w:shd w:val="clear" w:color="auto" w:fill="FFFFFF"/>
            <w:vAlign w:val="center"/>
            <w:hideMark/>
          </w:tcPr>
          <w:p w14:paraId="59DA533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w:t>
            </w:r>
          </w:p>
        </w:tc>
        <w:tc>
          <w:tcPr>
            <w:tcW w:w="715" w:type="dxa"/>
            <w:tcBorders>
              <w:top w:val="nil"/>
              <w:left w:val="single" w:sz="8" w:space="0" w:color="auto"/>
              <w:bottom w:val="nil"/>
              <w:right w:val="nil"/>
            </w:tcBorders>
            <w:shd w:val="clear" w:color="auto" w:fill="FFFFFF"/>
            <w:vAlign w:val="center"/>
            <w:hideMark/>
          </w:tcPr>
          <w:p w14:paraId="27B6336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760</w:t>
            </w:r>
          </w:p>
        </w:tc>
        <w:tc>
          <w:tcPr>
            <w:tcW w:w="600" w:type="dxa"/>
            <w:tcBorders>
              <w:top w:val="nil"/>
              <w:left w:val="single" w:sz="8" w:space="0" w:color="auto"/>
              <w:bottom w:val="nil"/>
              <w:right w:val="nil"/>
            </w:tcBorders>
            <w:shd w:val="clear" w:color="auto" w:fill="FFFFFF"/>
            <w:vAlign w:val="center"/>
            <w:hideMark/>
          </w:tcPr>
          <w:p w14:paraId="13DEBD8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588</w:t>
            </w:r>
          </w:p>
        </w:tc>
        <w:tc>
          <w:tcPr>
            <w:tcW w:w="605" w:type="dxa"/>
            <w:tcBorders>
              <w:top w:val="nil"/>
              <w:left w:val="single" w:sz="8" w:space="0" w:color="auto"/>
              <w:bottom w:val="nil"/>
              <w:right w:val="nil"/>
            </w:tcBorders>
            <w:shd w:val="clear" w:color="auto" w:fill="FFFFFF"/>
            <w:vAlign w:val="center"/>
            <w:hideMark/>
          </w:tcPr>
          <w:p w14:paraId="6319A5FA"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w:t>
            </w:r>
          </w:p>
        </w:tc>
        <w:tc>
          <w:tcPr>
            <w:tcW w:w="605" w:type="dxa"/>
            <w:tcBorders>
              <w:top w:val="nil"/>
              <w:left w:val="single" w:sz="8" w:space="0" w:color="auto"/>
              <w:bottom w:val="nil"/>
              <w:right w:val="single" w:sz="8" w:space="0" w:color="auto"/>
            </w:tcBorders>
            <w:shd w:val="clear" w:color="auto" w:fill="FFFFFF"/>
            <w:vAlign w:val="center"/>
            <w:hideMark/>
          </w:tcPr>
          <w:p w14:paraId="6A016207"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6" w:type="dxa"/>
            <w:tcBorders>
              <w:top w:val="nil"/>
              <w:left w:val="nil"/>
              <w:bottom w:val="nil"/>
              <w:right w:val="nil"/>
            </w:tcBorders>
            <w:shd w:val="clear" w:color="auto" w:fill="FFFFFF"/>
            <w:vAlign w:val="center"/>
            <w:hideMark/>
          </w:tcPr>
          <w:p w14:paraId="521A8A32"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D87EFF0" w14:textId="77777777" w:rsidTr="001C3F77">
        <w:trPr>
          <w:trHeight w:val="418"/>
        </w:trPr>
        <w:tc>
          <w:tcPr>
            <w:tcW w:w="6384" w:type="dxa"/>
            <w:gridSpan w:val="9"/>
            <w:vMerge w:val="restart"/>
            <w:tcBorders>
              <w:top w:val="nil"/>
              <w:left w:val="single" w:sz="8" w:space="0" w:color="auto"/>
              <w:bottom w:val="single" w:sz="8" w:space="0" w:color="auto"/>
              <w:right w:val="single" w:sz="8" w:space="0" w:color="auto"/>
            </w:tcBorders>
            <w:shd w:val="clear" w:color="auto" w:fill="FFFFFF"/>
            <w:hideMark/>
          </w:tcPr>
          <w:p w14:paraId="7E91E37E"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 июле 1931 г. трест был передан в состав Орудийно-арсенального объеди</w:t>
            </w:r>
            <w:r w:rsidRPr="007122AB">
              <w:rPr>
                <w:rFonts w:ascii="Times New Roman" w:hAnsi="Times New Roman"/>
                <w:color w:val="000000" w:themeColor="text1"/>
                <w:sz w:val="16"/>
                <w:szCs w:val="16"/>
              </w:rPr>
              <w:softHyphen/>
              <w:t>нения.</w:t>
            </w:r>
          </w:p>
          <w:p w14:paraId="3DD15814"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ВАО 7 декабря 1931 г. было преобразовано в Главное управление авиационной промышленности (ГУАП).</w:t>
            </w:r>
          </w:p>
          <w:p w14:paraId="232CC21F"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Образован 20 марта 1931 г.</w:t>
            </w:r>
          </w:p>
        </w:tc>
        <w:tc>
          <w:tcPr>
            <w:tcW w:w="6" w:type="dxa"/>
            <w:tcBorders>
              <w:top w:val="nil"/>
              <w:left w:val="nil"/>
              <w:bottom w:val="nil"/>
              <w:right w:val="nil"/>
            </w:tcBorders>
            <w:shd w:val="clear" w:color="auto" w:fill="FFFFFF"/>
            <w:vAlign w:val="center"/>
            <w:hideMark/>
          </w:tcPr>
          <w:p w14:paraId="071FE459"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2DF19B6" w14:textId="77777777" w:rsidTr="001C3F77">
        <w:trPr>
          <w:trHeight w:val="706"/>
        </w:trPr>
        <w:tc>
          <w:tcPr>
            <w:tcW w:w="0" w:type="auto"/>
            <w:gridSpan w:val="9"/>
            <w:vMerge/>
            <w:tcBorders>
              <w:top w:val="nil"/>
              <w:left w:val="single" w:sz="8" w:space="0" w:color="auto"/>
              <w:bottom w:val="single" w:sz="8" w:space="0" w:color="auto"/>
              <w:right w:val="single" w:sz="8" w:space="0" w:color="auto"/>
            </w:tcBorders>
            <w:shd w:val="clear" w:color="auto" w:fill="FFFFFF"/>
            <w:vAlign w:val="center"/>
            <w:hideMark/>
          </w:tcPr>
          <w:p w14:paraId="130CC094" w14:textId="77777777" w:rsidR="00E65C7F" w:rsidRPr="007122AB" w:rsidRDefault="00E65C7F" w:rsidP="007122AB">
            <w:pPr>
              <w:spacing w:after="0" w:line="240" w:lineRule="auto"/>
              <w:jc w:val="both"/>
              <w:rPr>
                <w:rFonts w:ascii="Times New Roman" w:hAnsi="Times New Roman"/>
                <w:color w:val="000000" w:themeColor="text1"/>
                <w:sz w:val="16"/>
                <w:szCs w:val="16"/>
              </w:rPr>
            </w:pPr>
          </w:p>
        </w:tc>
        <w:tc>
          <w:tcPr>
            <w:tcW w:w="6" w:type="dxa"/>
            <w:tcBorders>
              <w:top w:val="nil"/>
              <w:left w:val="nil"/>
              <w:bottom w:val="nil"/>
              <w:right w:val="nil"/>
            </w:tcBorders>
            <w:shd w:val="clear" w:color="auto" w:fill="FFFFFF"/>
            <w:vAlign w:val="center"/>
            <w:hideMark/>
          </w:tcPr>
          <w:p w14:paraId="6B44A0F0"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bl>
    <w:p w14:paraId="03EA4525" w14:textId="77777777" w:rsidR="00E65C7F" w:rsidRPr="007122AB" w:rsidRDefault="00E65C7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Вместо 19,6% снижения себестоимости по плану было достигну</w:t>
      </w:r>
      <w:r w:rsidRPr="007122AB">
        <w:rPr>
          <w:rFonts w:ascii="Times New Roman" w:hAnsi="Times New Roman"/>
          <w:color w:val="000000" w:themeColor="text1"/>
          <w:sz w:val="16"/>
          <w:szCs w:val="16"/>
        </w:rPr>
        <w:softHyphen/>
        <w:t>то только 8,7%. Существенно выросла сумма незавершенного про</w:t>
      </w:r>
      <w:r w:rsidRPr="007122AB">
        <w:rPr>
          <w:rFonts w:ascii="Times New Roman" w:hAnsi="Times New Roman"/>
          <w:color w:val="000000" w:themeColor="text1"/>
          <w:sz w:val="16"/>
          <w:szCs w:val="16"/>
        </w:rPr>
        <w:softHyphen/>
        <w:t>изводства. Если на 1 января 1931 г. она оставляла 309,6 млн руб., то [182] на 1 января 1932 г. - 540,3 млн руб. Долги предприятий граждан</w:t>
      </w:r>
      <w:r w:rsidRPr="007122AB">
        <w:rPr>
          <w:rFonts w:ascii="Times New Roman" w:hAnsi="Times New Roman"/>
          <w:color w:val="000000" w:themeColor="text1"/>
          <w:sz w:val="16"/>
          <w:szCs w:val="16"/>
        </w:rPr>
        <w:softHyphen/>
        <w:t>ской промышленности военным заводам составили 52,5 млн руб., а тех, в свою очередь, - 126,8 млн руб. Это был несомненный при</w:t>
      </w:r>
      <w:r w:rsidRPr="007122AB">
        <w:rPr>
          <w:rFonts w:ascii="Times New Roman" w:hAnsi="Times New Roman"/>
          <w:color w:val="000000" w:themeColor="text1"/>
          <w:sz w:val="16"/>
          <w:szCs w:val="16"/>
        </w:rPr>
        <w:softHyphen/>
        <w:t>знак расстройства, Убыток военной промышленности составил 68,9 млн руб. (18393).</w:t>
      </w:r>
    </w:p>
    <w:p w14:paraId="4D6B50BE" w14:textId="77777777" w:rsidR="00E65C7F" w:rsidRPr="007122AB" w:rsidRDefault="00E65C7F" w:rsidP="007122AB">
      <w:pPr>
        <w:spacing w:after="0" w:line="240" w:lineRule="auto"/>
        <w:jc w:val="both"/>
        <w:rPr>
          <w:rFonts w:ascii="Times New Roman" w:hAnsi="Times New Roman"/>
          <w:color w:val="000000" w:themeColor="text1"/>
          <w:sz w:val="16"/>
          <w:szCs w:val="16"/>
        </w:rPr>
      </w:pPr>
    </w:p>
    <w:p w14:paraId="29055A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D72582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ADD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в Москву прибыли два первых мотора М-22, сделанные в Запорожье. Оказалось, что их габариты и посадочные места не соответствуют французскому оригиналу. На И-5 пришлось переделывать </w:t>
      </w: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xml:space="preserve"> и капот. Но поставки М-22 до конца года оставались мизерными, большая часть истребителей комплектовалась французскими двигателями (11997).</w:t>
      </w:r>
    </w:p>
    <w:p w14:paraId="45E15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8465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ЦАГИ в письме УВВС получил требования к одномоторному двухместному истребителю ДИ-3 (АНТ-15) - цельнометаллическому биплану с М-34. Из-за загруженности большими машинами делать не стали и заказ на ДИ-3 передали в ЦКБ и проектировал Д.П.Г. (2072,63).</w:t>
      </w:r>
    </w:p>
    <w:p w14:paraId="7F3807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93AE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по распоряжению Нач. УВВС в план ЦАГИ на 1932 включили создание стального АНТ-16 - ТБ-4бис с уменьшенной несущей поверхностью и в течение года по этой теме была НИР (7388, 10).</w:t>
      </w:r>
    </w:p>
    <w:p w14:paraId="73A72F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C58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по инициативе УВВС прошло совещание, на котором четко определили сроки и исполнителей работы по </w:t>
      </w:r>
      <w:proofErr w:type="spellStart"/>
      <w:r w:rsidRPr="007122AB">
        <w:rPr>
          <w:rFonts w:ascii="Times New Roman" w:hAnsi="Times New Roman"/>
          <w:color w:val="000000" w:themeColor="text1"/>
          <w:sz w:val="16"/>
          <w:szCs w:val="16"/>
        </w:rPr>
        <w:t>перределки</w:t>
      </w:r>
      <w:proofErr w:type="spellEnd"/>
      <w:r w:rsidRPr="007122AB">
        <w:rPr>
          <w:rFonts w:ascii="Times New Roman" w:hAnsi="Times New Roman"/>
          <w:color w:val="000000" w:themeColor="text1"/>
          <w:sz w:val="16"/>
          <w:szCs w:val="16"/>
        </w:rPr>
        <w:t xml:space="preserve"> АНТ-9 в бомбардировщик (10542,30).</w:t>
      </w:r>
    </w:p>
    <w:p w14:paraId="08866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2A6F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НИИ ВВС пытался получить на заводе № 22 башни от Р-6 для установки под крыльями ТБ-3, но там отказали - башен не хватало даже на первую серию «крейсеров». Так до июля ни одной и не получили (8887).</w:t>
      </w:r>
    </w:p>
    <w:p w14:paraId="4510CE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CB8D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ФС передали от Ришара в ЦКБ вместе с </w:t>
      </w:r>
      <w:proofErr w:type="spellStart"/>
      <w:r w:rsidRPr="007122AB">
        <w:rPr>
          <w:rFonts w:ascii="Times New Roman" w:hAnsi="Times New Roman"/>
          <w:color w:val="000000" w:themeColor="text1"/>
          <w:sz w:val="16"/>
          <w:szCs w:val="16"/>
        </w:rPr>
        <w:t>В.Б.Шавровым</w:t>
      </w:r>
      <w:proofErr w:type="spellEnd"/>
      <w:r w:rsidRPr="007122AB">
        <w:rPr>
          <w:rFonts w:ascii="Times New Roman" w:hAnsi="Times New Roman"/>
          <w:color w:val="000000" w:themeColor="text1"/>
          <w:sz w:val="16"/>
          <w:szCs w:val="16"/>
        </w:rPr>
        <w:t>. На техсовете решили унифицировать и в июле утвердили проект 28/29 по плану Морского отдела. Строили в ЗОК НИИ ГВФ (92,445).</w:t>
      </w:r>
    </w:p>
    <w:p w14:paraId="0BFC7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F5D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в НИИ ГВФ прошли гос. испытания К-6 К.А.К. Скорость оказалась 210 км/час по сравнению с заявленной 240 км/час. Малая нагрузка делала машину неэкономичной (70,181).</w:t>
      </w:r>
    </w:p>
    <w:p w14:paraId="462AF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108B8F" w14:textId="77777777" w:rsidR="00632EC2" w:rsidRPr="007122AB" w:rsidRDefault="00632E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В марте 1931 Г.И. </w:t>
      </w:r>
      <w:proofErr w:type="spellStart"/>
      <w:r w:rsidRPr="007122AB">
        <w:rPr>
          <w:rFonts w:ascii="Times New Roman" w:hAnsi="Times New Roman"/>
          <w:color w:val="000000" w:themeColor="text1"/>
          <w:sz w:val="16"/>
          <w:szCs w:val="16"/>
          <w:lang w:eastAsia="ru-RU" w:bidi="ru-RU"/>
        </w:rPr>
        <w:t>Трутко</w:t>
      </w:r>
      <w:proofErr w:type="spellEnd"/>
      <w:r w:rsidRPr="007122AB">
        <w:rPr>
          <w:rFonts w:ascii="Times New Roman" w:hAnsi="Times New Roman"/>
          <w:color w:val="000000" w:themeColor="text1"/>
          <w:sz w:val="16"/>
          <w:szCs w:val="16"/>
          <w:lang w:eastAsia="ru-RU" w:bidi="ru-RU"/>
        </w:rPr>
        <w:t xml:space="preserve"> отправляет директору завода № 31 П.С. Лысенкову письмо, в ко</w:t>
      </w:r>
      <w:r w:rsidRPr="007122AB">
        <w:rPr>
          <w:rFonts w:ascii="Times New Roman" w:hAnsi="Times New Roman"/>
          <w:color w:val="000000" w:themeColor="text1"/>
          <w:sz w:val="16"/>
          <w:szCs w:val="16"/>
          <w:lang w:eastAsia="ru-RU" w:bidi="ru-RU"/>
        </w:rPr>
        <w:softHyphen/>
        <w:t xml:space="preserve">тором сообщает о плачевном состоянии дел. Еще через месяц, наконец, высылают из Италии почтой в Таганрог 34 чертежа приспособлений к самолету </w:t>
      </w:r>
      <w:r w:rsidRPr="007122AB">
        <w:rPr>
          <w:rFonts w:ascii="Times New Roman" w:hAnsi="Times New Roman"/>
          <w:color w:val="000000" w:themeColor="text1"/>
          <w:sz w:val="16"/>
          <w:szCs w:val="16"/>
          <w:lang w:val="en-US" w:bidi="en-US"/>
        </w:rPr>
        <w:t>S</w:t>
      </w:r>
      <w:r w:rsidRPr="007122AB">
        <w:rPr>
          <w:rFonts w:ascii="Times New Roman" w:hAnsi="Times New Roman"/>
          <w:color w:val="000000" w:themeColor="text1"/>
          <w:sz w:val="16"/>
          <w:szCs w:val="16"/>
          <w:lang w:bidi="en-US"/>
        </w:rPr>
        <w:t>-62</w:t>
      </w:r>
      <w:r w:rsidRPr="007122AB">
        <w:rPr>
          <w:rFonts w:ascii="Times New Roman" w:hAnsi="Times New Roman"/>
          <w:color w:val="000000" w:themeColor="text1"/>
          <w:sz w:val="16"/>
          <w:szCs w:val="16"/>
          <w:lang w:val="en-US" w:bidi="en-US"/>
        </w:rPr>
        <w:t>bis</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и 112 черте</w:t>
      </w:r>
      <w:r w:rsidRPr="007122AB">
        <w:rPr>
          <w:rFonts w:ascii="Times New Roman" w:hAnsi="Times New Roman"/>
          <w:color w:val="000000" w:themeColor="text1"/>
          <w:sz w:val="16"/>
          <w:szCs w:val="16"/>
          <w:lang w:eastAsia="ru-RU" w:bidi="ru-RU"/>
        </w:rPr>
        <w:softHyphen/>
        <w:t>жей лодки самолета. Причем надписи на чертежах и сопро</w:t>
      </w:r>
      <w:r w:rsidRPr="007122AB">
        <w:rPr>
          <w:rFonts w:ascii="Times New Roman" w:hAnsi="Times New Roman"/>
          <w:color w:val="000000" w:themeColor="text1"/>
          <w:sz w:val="16"/>
          <w:szCs w:val="16"/>
          <w:lang w:eastAsia="ru-RU" w:bidi="ru-RU"/>
        </w:rPr>
        <w:softHyphen/>
        <w:t>вождающие документы — на итальянском языке.</w:t>
      </w:r>
    </w:p>
    <w:p w14:paraId="1DC6ACA4" w14:textId="77777777" w:rsidR="00632EC2" w:rsidRPr="007122AB" w:rsidRDefault="00632E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своем ответном письме в Италию директор завода за</w:t>
      </w:r>
      <w:r w:rsidRPr="007122AB">
        <w:rPr>
          <w:rFonts w:ascii="Times New Roman" w:hAnsi="Times New Roman"/>
          <w:color w:val="000000" w:themeColor="text1"/>
          <w:sz w:val="16"/>
          <w:szCs w:val="16"/>
          <w:lang w:eastAsia="ru-RU" w:bidi="ru-RU"/>
        </w:rPr>
        <w:softHyphen/>
        <w:t>дает вопросы, ответы на которые желательно знать хотя бы в общих чертах: «А именно, каким порядком производит</w:t>
      </w:r>
      <w:r w:rsidRPr="007122AB">
        <w:rPr>
          <w:rFonts w:ascii="Times New Roman" w:hAnsi="Times New Roman"/>
          <w:color w:val="000000" w:themeColor="text1"/>
          <w:sz w:val="16"/>
          <w:szCs w:val="16"/>
          <w:lang w:eastAsia="ru-RU" w:bidi="ru-RU"/>
        </w:rPr>
        <w:softHyphen/>
        <w:t>ся сборка лодки на стапели — вверх днищем или вниз, хо</w:t>
      </w:r>
      <w:r w:rsidRPr="007122AB">
        <w:rPr>
          <w:rFonts w:ascii="Times New Roman" w:hAnsi="Times New Roman"/>
          <w:color w:val="000000" w:themeColor="text1"/>
          <w:sz w:val="16"/>
          <w:szCs w:val="16"/>
          <w:lang w:eastAsia="ru-RU" w:bidi="ru-RU"/>
        </w:rPr>
        <w:softHyphen/>
        <w:t>тя бы принципиальную конструкцию стапеля лодки, весо</w:t>
      </w:r>
      <w:r w:rsidRPr="007122AB">
        <w:rPr>
          <w:rFonts w:ascii="Times New Roman" w:hAnsi="Times New Roman"/>
          <w:color w:val="000000" w:themeColor="text1"/>
          <w:sz w:val="16"/>
          <w:szCs w:val="16"/>
          <w:lang w:eastAsia="ru-RU" w:bidi="ru-RU"/>
        </w:rPr>
        <w:softHyphen/>
        <w:t>вые данные лодки, техпроцесс сборки шпангоутов носо</w:t>
      </w:r>
      <w:r w:rsidRPr="007122AB">
        <w:rPr>
          <w:rFonts w:ascii="Times New Roman" w:hAnsi="Times New Roman"/>
          <w:color w:val="000000" w:themeColor="text1"/>
          <w:sz w:val="16"/>
          <w:szCs w:val="16"/>
          <w:lang w:eastAsia="ru-RU" w:bidi="ru-RU"/>
        </w:rPr>
        <w:softHyphen/>
        <w:t>вой части, механические свойства дерева, состав клея и порядок склейки полотна на кромки крыла» и т.д. Всего 16 вопросов. Но они остаются без ответа.</w:t>
      </w:r>
    </w:p>
    <w:p w14:paraId="69D9D230" w14:textId="77777777" w:rsidR="00632EC2" w:rsidRPr="007122AB" w:rsidRDefault="00632E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Однако план висел над заводом дамокловым мечом, и за него придется отчитываться. Поэтому на свой страх и риск директор приказал обмерить образцовую «Савойю», снять с нее чертежи и по ним запустить в производство ус</w:t>
      </w:r>
      <w:r w:rsidRPr="007122AB">
        <w:rPr>
          <w:rFonts w:ascii="Times New Roman" w:hAnsi="Times New Roman"/>
          <w:color w:val="000000" w:themeColor="text1"/>
          <w:sz w:val="16"/>
          <w:szCs w:val="16"/>
          <w:lang w:eastAsia="ru-RU" w:bidi="ru-RU"/>
        </w:rPr>
        <w:softHyphen/>
        <w:t>тановочную серию из пяти самолетов. К апрелю их уже на</w:t>
      </w:r>
      <w:r w:rsidRPr="007122AB">
        <w:rPr>
          <w:rFonts w:ascii="Times New Roman" w:hAnsi="Times New Roman"/>
          <w:color w:val="000000" w:themeColor="text1"/>
          <w:sz w:val="16"/>
          <w:szCs w:val="16"/>
          <w:lang w:eastAsia="ru-RU" w:bidi="ru-RU"/>
        </w:rPr>
        <w:softHyphen/>
        <w:t>чали собирать.</w:t>
      </w:r>
    </w:p>
    <w:p w14:paraId="646167A2" w14:textId="77777777" w:rsidR="00632EC2" w:rsidRPr="007122AB" w:rsidRDefault="00632E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На первой серии самолетов завода №31 по сравнению с прототипом изменили расположение бензобаков (не попарно в три ряда, а четыре плюс два), аккумуляторов, фотоаппарата, радиостанции и ящика с неприкосновенным запасом. На плоскостях должны были размещаться толь</w:t>
      </w:r>
      <w:r w:rsidRPr="007122AB">
        <w:rPr>
          <w:rFonts w:ascii="Times New Roman" w:hAnsi="Times New Roman"/>
          <w:color w:val="000000" w:themeColor="text1"/>
          <w:sz w:val="16"/>
          <w:szCs w:val="16"/>
          <w:lang w:eastAsia="ru-RU" w:bidi="ru-RU"/>
        </w:rPr>
        <w:softHyphen/>
        <w:t>ко восемь балочных держателей Дер-7.</w:t>
      </w:r>
    </w:p>
    <w:p w14:paraId="07D196C9" w14:textId="77777777" w:rsidR="00632EC2" w:rsidRPr="007122AB" w:rsidRDefault="00632EC2"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Однако постройка серии лодок без нормальной докумен</w:t>
      </w:r>
      <w:r w:rsidRPr="007122AB">
        <w:rPr>
          <w:rFonts w:ascii="Times New Roman" w:hAnsi="Times New Roman"/>
          <w:color w:val="000000" w:themeColor="text1"/>
          <w:sz w:val="16"/>
          <w:szCs w:val="16"/>
          <w:lang w:eastAsia="ru-RU" w:bidi="ru-RU"/>
        </w:rPr>
        <w:softHyphen/>
        <w:t>тации, только по образцу, оказалась делом непростым. Многое приходилось подгонять «по месту» и неоднократно переделывать. Положение еще осложнялось тем, что за</w:t>
      </w:r>
      <w:r w:rsidRPr="007122AB">
        <w:rPr>
          <w:rFonts w:ascii="Times New Roman" w:hAnsi="Times New Roman"/>
          <w:color w:val="000000" w:themeColor="text1"/>
          <w:sz w:val="16"/>
          <w:szCs w:val="16"/>
          <w:lang w:eastAsia="ru-RU" w:bidi="ru-RU"/>
        </w:rPr>
        <w:softHyphen/>
        <w:t>казчик пока не совсем четко представлял себе, что же он хочет получить. Так, в июне завод еще не получил ут</w:t>
      </w:r>
      <w:r w:rsidRPr="007122AB">
        <w:rPr>
          <w:rFonts w:ascii="Times New Roman" w:hAnsi="Times New Roman"/>
          <w:color w:val="000000" w:themeColor="text1"/>
          <w:sz w:val="16"/>
          <w:szCs w:val="16"/>
          <w:lang w:eastAsia="ru-RU" w:bidi="ru-RU"/>
        </w:rPr>
        <w:softHyphen/>
        <w:t>вержденной схемы размещения оборудования и вооруже</w:t>
      </w:r>
      <w:r w:rsidRPr="007122AB">
        <w:rPr>
          <w:rFonts w:ascii="Times New Roman" w:hAnsi="Times New Roman"/>
          <w:color w:val="000000" w:themeColor="text1"/>
          <w:sz w:val="16"/>
          <w:szCs w:val="16"/>
          <w:lang w:eastAsia="ru-RU" w:bidi="ru-RU"/>
        </w:rPr>
        <w:softHyphen/>
        <w:t>ния и монтировал его по собственному усмотрению. Да</w:t>
      </w:r>
      <w:r w:rsidRPr="007122AB">
        <w:rPr>
          <w:rFonts w:ascii="Times New Roman" w:hAnsi="Times New Roman"/>
          <w:color w:val="000000" w:themeColor="text1"/>
          <w:sz w:val="16"/>
          <w:szCs w:val="16"/>
          <w:lang w:eastAsia="ru-RU" w:bidi="ru-RU"/>
        </w:rPr>
        <w:softHyphen/>
        <w:t>же через полгода после начала постройки ни одной лета</w:t>
      </w:r>
      <w:r w:rsidRPr="007122AB">
        <w:rPr>
          <w:rFonts w:ascii="Times New Roman" w:hAnsi="Times New Roman"/>
          <w:color w:val="000000" w:themeColor="text1"/>
          <w:sz w:val="16"/>
          <w:szCs w:val="16"/>
          <w:lang w:eastAsia="ru-RU" w:bidi="ru-RU"/>
        </w:rPr>
        <w:softHyphen/>
        <w:t>ющей лодки завершить не удалось (20325).</w:t>
      </w:r>
    </w:p>
    <w:p w14:paraId="0E9243D6" w14:textId="77777777" w:rsidR="00632EC2" w:rsidRPr="007122AB" w:rsidRDefault="00632EC2" w:rsidP="007122AB">
      <w:pPr>
        <w:spacing w:after="0" w:line="240" w:lineRule="auto"/>
        <w:jc w:val="both"/>
        <w:rPr>
          <w:rFonts w:ascii="Times New Roman" w:hAnsi="Times New Roman"/>
          <w:color w:val="000000" w:themeColor="text1"/>
          <w:sz w:val="16"/>
          <w:szCs w:val="16"/>
        </w:rPr>
      </w:pPr>
    </w:p>
    <w:p w14:paraId="78911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появилась статья в "</w:t>
      </w:r>
      <w:proofErr w:type="spellStart"/>
      <w:r w:rsidRPr="007122AB">
        <w:rPr>
          <w:rFonts w:ascii="Times New Roman" w:hAnsi="Times New Roman"/>
          <w:color w:val="000000" w:themeColor="text1"/>
          <w:sz w:val="16"/>
          <w:szCs w:val="16"/>
        </w:rPr>
        <w:t>Радянски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крила</w:t>
      </w:r>
      <w:proofErr w:type="spellEnd"/>
      <w:r w:rsidRPr="007122AB">
        <w:rPr>
          <w:rFonts w:ascii="Times New Roman" w:hAnsi="Times New Roman"/>
          <w:color w:val="000000" w:themeColor="text1"/>
          <w:sz w:val="16"/>
          <w:szCs w:val="16"/>
        </w:rPr>
        <w:t>" и две заметки о врагах на харьковском заводе (70,185).</w:t>
      </w:r>
    </w:p>
    <w:p w14:paraId="70724D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0CE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года согласно Технико-экономическому паспорту на базе Научно-исследовательского бюро ИГВФ (</w:t>
      </w:r>
      <w:proofErr w:type="spellStart"/>
      <w:r w:rsidRPr="007122AB">
        <w:rPr>
          <w:rFonts w:ascii="Times New Roman" w:hAnsi="Times New Roman"/>
          <w:color w:val="000000" w:themeColor="text1"/>
          <w:sz w:val="16"/>
          <w:szCs w:val="16"/>
        </w:rPr>
        <w:t>НИБа</w:t>
      </w:r>
      <w:proofErr w:type="spellEnd"/>
      <w:r w:rsidRPr="007122AB">
        <w:rPr>
          <w:rFonts w:ascii="Times New Roman" w:hAnsi="Times New Roman"/>
          <w:color w:val="000000" w:themeColor="text1"/>
          <w:sz w:val="16"/>
          <w:szCs w:val="16"/>
        </w:rPr>
        <w:t xml:space="preserve"> ИГВФ) и лабораторий Института ГВФ был создан Научно-исследовательский </w:t>
      </w:r>
      <w:proofErr w:type="spellStart"/>
      <w:r w:rsidRPr="007122AB">
        <w:rPr>
          <w:rFonts w:ascii="Times New Roman" w:hAnsi="Times New Roman"/>
          <w:color w:val="000000" w:themeColor="text1"/>
          <w:sz w:val="16"/>
          <w:szCs w:val="16"/>
        </w:rPr>
        <w:t>аэроинститут</w:t>
      </w:r>
      <w:proofErr w:type="spellEnd"/>
      <w:r w:rsidRPr="007122AB">
        <w:rPr>
          <w:rFonts w:ascii="Times New Roman" w:hAnsi="Times New Roman"/>
          <w:color w:val="000000" w:themeColor="text1"/>
          <w:sz w:val="16"/>
          <w:szCs w:val="16"/>
        </w:rPr>
        <w:t xml:space="preserve"> при Ленинградском учебном комбинате ГВФ (Научно-исследовательский </w:t>
      </w:r>
      <w:proofErr w:type="spellStart"/>
      <w:r w:rsidRPr="007122AB">
        <w:rPr>
          <w:rFonts w:ascii="Times New Roman" w:hAnsi="Times New Roman"/>
          <w:color w:val="000000" w:themeColor="text1"/>
          <w:sz w:val="16"/>
          <w:szCs w:val="16"/>
        </w:rPr>
        <w:t>аэроинститут</w:t>
      </w:r>
      <w:proofErr w:type="spellEnd"/>
      <w:r w:rsidRPr="007122AB">
        <w:rPr>
          <w:rFonts w:ascii="Times New Roman" w:hAnsi="Times New Roman"/>
          <w:color w:val="000000" w:themeColor="text1"/>
          <w:sz w:val="16"/>
          <w:szCs w:val="16"/>
        </w:rPr>
        <w:t xml:space="preserve"> УК ГВФ). Научно-</w:t>
      </w:r>
      <w:r w:rsidRPr="007122AB">
        <w:rPr>
          <w:rFonts w:ascii="Times New Roman" w:hAnsi="Times New Roman"/>
          <w:color w:val="000000" w:themeColor="text1"/>
          <w:sz w:val="16"/>
          <w:szCs w:val="16"/>
        </w:rPr>
        <w:lastRenderedPageBreak/>
        <w:t>исследовательское бюро создано 15 июня 1930 года на базе секции воздушных сообщений НИИ Ленинградского института инженеров путей сообщения, существовавшей с 1928/29 учебного года.</w:t>
      </w:r>
    </w:p>
    <w:p w14:paraId="46E071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Ленинград, ул. Плеханова, 7</w:t>
      </w:r>
    </w:p>
    <w:p w14:paraId="2B5C0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и строительство воздушных портов, светооборудование, эксплуатация и изыскание воздушных линий, аэрология и аэронавигация, экономика воздушного транспорта, связь, воздушное право, авиационная медицина, аэродинамика, авиационные двигатели, авиационные материалы, самолетостроение, воздухоплавание (7726, 70-95).</w:t>
      </w:r>
    </w:p>
    <w:p w14:paraId="05005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A5C3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состоялся взлет У-1 с пороховыми ускорителями. Разработали инженеры </w:t>
      </w:r>
      <w:proofErr w:type="spellStart"/>
      <w:r w:rsidRPr="007122AB">
        <w:rPr>
          <w:rFonts w:ascii="Times New Roman" w:hAnsi="Times New Roman"/>
          <w:color w:val="000000" w:themeColor="text1"/>
          <w:sz w:val="16"/>
          <w:szCs w:val="16"/>
        </w:rPr>
        <w:t>В.И.Дудаков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В.А.Константинов</w:t>
      </w:r>
      <w:proofErr w:type="spellEnd"/>
      <w:r w:rsidRPr="007122AB">
        <w:rPr>
          <w:rFonts w:ascii="Times New Roman" w:hAnsi="Times New Roman"/>
          <w:color w:val="000000" w:themeColor="text1"/>
          <w:sz w:val="16"/>
          <w:szCs w:val="16"/>
        </w:rPr>
        <w:t xml:space="preserve">, летчик </w:t>
      </w:r>
      <w:proofErr w:type="spellStart"/>
      <w:r w:rsidRPr="007122AB">
        <w:rPr>
          <w:rFonts w:ascii="Times New Roman" w:hAnsi="Times New Roman"/>
          <w:color w:val="000000" w:themeColor="text1"/>
          <w:sz w:val="16"/>
          <w:szCs w:val="16"/>
        </w:rPr>
        <w:t>С.И.Мухин</w:t>
      </w:r>
      <w:proofErr w:type="spellEnd"/>
      <w:r w:rsidRPr="007122AB">
        <w:rPr>
          <w:rFonts w:ascii="Times New Roman" w:hAnsi="Times New Roman"/>
          <w:color w:val="000000" w:themeColor="text1"/>
          <w:sz w:val="16"/>
          <w:szCs w:val="16"/>
        </w:rPr>
        <w:t xml:space="preserve">. Время разбега - 1.5 с (62,690). По другим данным работу проводили нач. ГДЛ </w:t>
      </w:r>
      <w:proofErr w:type="spellStart"/>
      <w:r w:rsidRPr="007122AB">
        <w:rPr>
          <w:rFonts w:ascii="Times New Roman" w:hAnsi="Times New Roman"/>
          <w:color w:val="000000" w:themeColor="text1"/>
          <w:sz w:val="16"/>
          <w:szCs w:val="16"/>
        </w:rPr>
        <w:t>Б.С.Петропавловский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В.А.Артемьев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Е.С.Петров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И.И.Кулагин</w:t>
      </w:r>
      <w:proofErr w:type="spellEnd"/>
      <w:r w:rsidRPr="007122AB">
        <w:rPr>
          <w:rFonts w:ascii="Times New Roman" w:hAnsi="Times New Roman"/>
          <w:color w:val="000000" w:themeColor="text1"/>
          <w:sz w:val="16"/>
          <w:szCs w:val="16"/>
        </w:rPr>
        <w:t>. Длина разбега сокращалась в 5-6 раз, иногда включали в полете.</w:t>
      </w:r>
    </w:p>
    <w:p w14:paraId="673995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295B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были готовы чертежи М-34 (80,72).</w:t>
      </w:r>
    </w:p>
    <w:p w14:paraId="78A3E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508C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проектирование двигате</w:t>
      </w:r>
      <w:r w:rsidRPr="007122AB">
        <w:rPr>
          <w:rFonts w:ascii="Times New Roman" w:hAnsi="Times New Roman"/>
          <w:color w:val="000000" w:themeColor="text1"/>
          <w:sz w:val="16"/>
          <w:szCs w:val="16"/>
        </w:rPr>
        <w:softHyphen/>
        <w:t>ля М-34 закончили. У ИАМ своего опытного про</w:t>
      </w:r>
      <w:r w:rsidRPr="007122AB">
        <w:rPr>
          <w:rFonts w:ascii="Times New Roman" w:hAnsi="Times New Roman"/>
          <w:color w:val="000000" w:themeColor="text1"/>
          <w:sz w:val="16"/>
          <w:szCs w:val="16"/>
        </w:rPr>
        <w:softHyphen/>
        <w:t>изводства тогда еще не име</w:t>
      </w:r>
      <w:r w:rsidRPr="007122AB">
        <w:rPr>
          <w:rFonts w:ascii="Times New Roman" w:hAnsi="Times New Roman"/>
          <w:color w:val="000000" w:themeColor="text1"/>
          <w:sz w:val="16"/>
          <w:szCs w:val="16"/>
        </w:rPr>
        <w:softHyphen/>
        <w:t>лось, поэтому чертежи передавали заводу № 26 в Рыбинске для изготов</w:t>
      </w:r>
      <w:r w:rsidRPr="007122AB">
        <w:rPr>
          <w:rFonts w:ascii="Times New Roman" w:hAnsi="Times New Roman"/>
          <w:color w:val="000000" w:themeColor="text1"/>
          <w:sz w:val="16"/>
          <w:szCs w:val="16"/>
        </w:rPr>
        <w:softHyphen/>
        <w:t>ления трех опытных образ</w:t>
      </w:r>
      <w:r w:rsidRPr="007122AB">
        <w:rPr>
          <w:rFonts w:ascii="Times New Roman" w:hAnsi="Times New Roman"/>
          <w:color w:val="000000" w:themeColor="text1"/>
          <w:sz w:val="16"/>
          <w:szCs w:val="16"/>
        </w:rPr>
        <w:softHyphen/>
        <w:t>цов. Позже дали заказ еще на три. Отдельные детали заказали на за</w:t>
      </w:r>
      <w:r w:rsidRPr="007122AB">
        <w:rPr>
          <w:rFonts w:ascii="Times New Roman" w:hAnsi="Times New Roman"/>
          <w:color w:val="000000" w:themeColor="text1"/>
          <w:sz w:val="16"/>
          <w:szCs w:val="16"/>
        </w:rPr>
        <w:softHyphen/>
        <w:t>водах № 24 в Москве и № 29 в Запорожье. В Рыбинске долго не могли освоить литье блока и карте</w:t>
      </w:r>
      <w:r w:rsidRPr="007122AB">
        <w:rPr>
          <w:rFonts w:ascii="Times New Roman" w:hAnsi="Times New Roman"/>
          <w:color w:val="000000" w:themeColor="text1"/>
          <w:sz w:val="16"/>
          <w:szCs w:val="16"/>
        </w:rPr>
        <w:softHyphen/>
        <w:t>ра. В качестве промежуточного ва</w:t>
      </w:r>
      <w:r w:rsidRPr="007122AB">
        <w:rPr>
          <w:rFonts w:ascii="Times New Roman" w:hAnsi="Times New Roman"/>
          <w:color w:val="000000" w:themeColor="text1"/>
          <w:sz w:val="16"/>
          <w:szCs w:val="16"/>
        </w:rPr>
        <w:softHyphen/>
        <w:t>рианта первый изготовленный блок приспособили к картеру немецкого двигателя Юнкере 15. На этой экс</w:t>
      </w:r>
      <w:r w:rsidRPr="007122AB">
        <w:rPr>
          <w:rFonts w:ascii="Times New Roman" w:hAnsi="Times New Roman"/>
          <w:color w:val="000000" w:themeColor="text1"/>
          <w:sz w:val="16"/>
          <w:szCs w:val="16"/>
        </w:rPr>
        <w:softHyphen/>
        <w:t>периментальной установке собира</w:t>
      </w:r>
      <w:r w:rsidRPr="007122AB">
        <w:rPr>
          <w:rFonts w:ascii="Times New Roman" w:hAnsi="Times New Roman"/>
          <w:color w:val="000000" w:themeColor="text1"/>
          <w:sz w:val="16"/>
          <w:szCs w:val="16"/>
        </w:rPr>
        <w:softHyphen/>
        <w:t xml:space="preserve">лись опробовать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-поршневую группу. 28 января 1931 г. ее ус</w:t>
      </w:r>
      <w:r w:rsidRPr="007122AB">
        <w:rPr>
          <w:rFonts w:ascii="Times New Roman" w:hAnsi="Times New Roman"/>
          <w:color w:val="000000" w:themeColor="text1"/>
          <w:sz w:val="16"/>
          <w:szCs w:val="16"/>
        </w:rPr>
        <w:softHyphen/>
        <w:t>тановили на станок и запустили. При степени сжатия 5,3 (в проекте пре</w:t>
      </w:r>
      <w:r w:rsidRPr="007122AB">
        <w:rPr>
          <w:rFonts w:ascii="Times New Roman" w:hAnsi="Times New Roman"/>
          <w:color w:val="000000" w:themeColor="text1"/>
          <w:sz w:val="16"/>
          <w:szCs w:val="16"/>
        </w:rPr>
        <w:softHyphen/>
        <w:t>дусматривались варианты 5,3 и 6,0) с «половинки» М-34 сняли 300 л.с. (11848).</w:t>
      </w:r>
    </w:p>
    <w:p w14:paraId="041D49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5EA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было закончено проектирование М-34. Разрабатывался с 1928 г. сначала в НАМИ, затем в ИАМ (ЦИАМ) под руководством А.А. Микулина. Предназначался на смену М-17 (ВМ</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 xml:space="preserve"> VI) под его размеры и посадочные места, но принципиально отличался по конструкции — являлся блочным (причем впервые использовался блок со свободной гильзой, стянутый шпильками) и с центральным сочленением шатунов. Сборка блока М-34 была простой и удобной. В апреле чертежи передали заводу № 26 для изготовления опытных образцов. 21 сентября первый мотор прибыл на испытания в ЦИАМ с импортными карбюраторами и магнето. После наработки на стенде 38 ч в ноябре 1931 г. велись государственные испыта</w:t>
      </w:r>
      <w:r w:rsidRPr="007122AB">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7122AB">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7122AB">
        <w:rPr>
          <w:rFonts w:ascii="Times New Roman" w:hAnsi="Times New Roman"/>
          <w:color w:val="000000" w:themeColor="text1"/>
          <w:sz w:val="16"/>
          <w:szCs w:val="16"/>
        </w:rPr>
        <w:softHyphen/>
        <w:t>кратно пытались восстановить вплоть до 1946 г., но этому мешала боль</w:t>
      </w:r>
      <w:r w:rsidRPr="007122AB">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7122AB">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7122AB">
        <w:rPr>
          <w:rFonts w:ascii="Times New Roman" w:hAnsi="Times New Roman"/>
          <w:color w:val="000000" w:themeColor="text1"/>
          <w:sz w:val="16"/>
          <w:szCs w:val="16"/>
        </w:rPr>
        <w:softHyphen/>
        <w:t>катерах.</w:t>
      </w:r>
    </w:p>
    <w:p w14:paraId="62121D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6C1379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421D5A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w:t>
      </w:r>
    </w:p>
    <w:p w14:paraId="7B227A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(у всех массовых модификаций);</w:t>
      </w:r>
    </w:p>
    <w:p w14:paraId="74B089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3A46C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у ранних модификаций 45,82 л, начиная с</w:t>
      </w:r>
    </w:p>
    <w:p w14:paraId="45F08A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ФРН — 46,66 л. М-34 выпускался в следующих модификациях:</w:t>
      </w:r>
    </w:p>
    <w:p w14:paraId="380925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 первая серийная модификация двигателя, </w:t>
      </w:r>
      <w:proofErr w:type="spellStart"/>
      <w:r w:rsidRPr="007122AB">
        <w:rPr>
          <w:rFonts w:ascii="Times New Roman" w:hAnsi="Times New Roman"/>
          <w:color w:val="000000" w:themeColor="text1"/>
          <w:sz w:val="16"/>
          <w:szCs w:val="16"/>
        </w:rPr>
        <w:t>безредукторная</w:t>
      </w:r>
      <w:proofErr w:type="spellEnd"/>
      <w:r w:rsidRPr="007122AB">
        <w:rPr>
          <w:rFonts w:ascii="Times New Roman" w:hAnsi="Times New Roman"/>
          <w:color w:val="000000" w:themeColor="text1"/>
          <w:sz w:val="16"/>
          <w:szCs w:val="16"/>
        </w:rPr>
        <w:t>, 750/800 л.с., 608 кг. Первые серии комплектовались импортными карбюраторами «Зенит 90Р», далее отечественными К-34. Эта моди</w:t>
      </w:r>
      <w:r w:rsidRPr="007122AB">
        <w:rPr>
          <w:rFonts w:ascii="Times New Roman" w:hAnsi="Times New Roman"/>
          <w:color w:val="000000" w:themeColor="text1"/>
          <w:sz w:val="16"/>
          <w:szCs w:val="16"/>
        </w:rPr>
        <w:softHyphen/>
        <w:t>фикация выпускалась до конца 1939 г.</w:t>
      </w:r>
    </w:p>
    <w:p w14:paraId="51F349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7D4835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 малая серия М-34 с форсированием по оборотам без вне</w:t>
      </w:r>
      <w:r w:rsidRPr="007122AB">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564B6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 редукторный вариант, вес 677 кг, 750/800 л.с. Опытный об</w:t>
      </w:r>
      <w:r w:rsidRPr="007122AB">
        <w:rPr>
          <w:rFonts w:ascii="Times New Roman" w:hAnsi="Times New Roman"/>
          <w:color w:val="000000" w:themeColor="text1"/>
          <w:sz w:val="16"/>
          <w:szCs w:val="16"/>
        </w:rPr>
        <w:softHyphen/>
        <w:t>разец сделали в ноябре 1932 г. Государственные испытания успешно</w:t>
      </w:r>
    </w:p>
    <w:p w14:paraId="26EA0E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7C2DA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М-34РД (он же М-34РСп), двигатель типа М-34Р специального за</w:t>
      </w:r>
      <w:r w:rsidRPr="007122AB">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7122AB">
        <w:rPr>
          <w:rFonts w:ascii="Times New Roman" w:hAnsi="Times New Roman"/>
          <w:color w:val="000000" w:themeColor="text1"/>
          <w:sz w:val="16"/>
          <w:szCs w:val="16"/>
        </w:rPr>
        <w:softHyphen/>
        <w:t>ляными и водяными насосами, распредвалами, конструкцией хво</w:t>
      </w:r>
      <w:r w:rsidRPr="007122AB">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7122AB">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7122AB">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7122AB">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7122AB">
        <w:rPr>
          <w:rFonts w:ascii="Times New Roman" w:hAnsi="Times New Roman"/>
          <w:color w:val="000000" w:themeColor="text1"/>
          <w:sz w:val="16"/>
          <w:szCs w:val="16"/>
        </w:rPr>
        <w:softHyphen/>
        <w:t>дарств.</w:t>
      </w:r>
    </w:p>
    <w:p w14:paraId="7DB327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М-34Н,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 xml:space="preserve">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7122AB">
        <w:rPr>
          <w:rFonts w:ascii="Times New Roman" w:hAnsi="Times New Roman"/>
          <w:color w:val="000000" w:themeColor="text1"/>
          <w:sz w:val="16"/>
          <w:szCs w:val="16"/>
        </w:rPr>
        <w:softHyphen/>
        <w:t>рованный П.И. Орловым, А.А. Микулиным и А.Н. Данилевским, ока</w:t>
      </w:r>
      <w:r w:rsidRPr="007122AB">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7122AB">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и «Фарман» о проектировании нового ПЦН для М-34Н. Пытались также приобрести нагнетатели «</w:t>
      </w:r>
      <w:proofErr w:type="spellStart"/>
      <w:r w:rsidRPr="007122AB">
        <w:rPr>
          <w:rFonts w:ascii="Times New Roman" w:hAnsi="Times New Roman"/>
          <w:color w:val="000000" w:themeColor="text1"/>
          <w:sz w:val="16"/>
          <w:szCs w:val="16"/>
        </w:rPr>
        <w:t>Рато</w:t>
      </w:r>
      <w:proofErr w:type="spellEnd"/>
      <w:r w:rsidRPr="007122AB">
        <w:rPr>
          <w:rFonts w:ascii="Times New Roman" w:hAnsi="Times New Roman"/>
          <w:color w:val="000000" w:themeColor="text1"/>
          <w:sz w:val="16"/>
          <w:szCs w:val="16"/>
        </w:rPr>
        <w:t>» (М-34РАТО).</w:t>
      </w:r>
    </w:p>
    <w:p w14:paraId="5D072D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 с паротурбинным нагнетателем ПТК; нагнетатель ПТК спро</w:t>
      </w:r>
      <w:r w:rsidRPr="007122AB">
        <w:rPr>
          <w:rFonts w:ascii="Times New Roman" w:hAnsi="Times New Roman"/>
          <w:color w:val="000000" w:themeColor="text1"/>
          <w:sz w:val="16"/>
          <w:szCs w:val="16"/>
        </w:rPr>
        <w:softHyphen/>
        <w:t xml:space="preserve">ектирован в ХАЙ в 1938 г., доводился в Центральном </w:t>
      </w:r>
      <w:proofErr w:type="spellStart"/>
      <w:r w:rsidRPr="007122AB">
        <w:rPr>
          <w:rFonts w:ascii="Times New Roman" w:hAnsi="Times New Roman"/>
          <w:color w:val="000000" w:themeColor="text1"/>
          <w:sz w:val="16"/>
          <w:szCs w:val="16"/>
        </w:rPr>
        <w:t>котлотурбин</w:t>
      </w:r>
      <w:proofErr w:type="spellEnd"/>
      <w:r w:rsidRPr="007122AB">
        <w:rPr>
          <w:rFonts w:ascii="Times New Roman" w:hAnsi="Times New Roman"/>
          <w:color w:val="000000" w:themeColor="text1"/>
          <w:sz w:val="16"/>
          <w:szCs w:val="16"/>
        </w:rPr>
        <w:t>-ном институте с 1939 г., в 1940 г. двигатель проходил стендовые и летные испытания; серийно не выпускался.</w:t>
      </w:r>
    </w:p>
    <w:p w14:paraId="77725D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М-34Н с нагнетателем</w:t>
      </w:r>
    </w:p>
    <w:p w14:paraId="796DD6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7122AB">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5D455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М-34РНА, редукторный с ПЦН, включал все мелкие усовер</w:t>
      </w:r>
      <w:r w:rsidRPr="007122AB">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DD54A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7122AB">
        <w:rPr>
          <w:rFonts w:ascii="Times New Roman" w:hAnsi="Times New Roman"/>
          <w:color w:val="000000" w:themeColor="text1"/>
          <w:sz w:val="16"/>
          <w:szCs w:val="16"/>
        </w:rPr>
        <w:softHyphen/>
        <w:t>танным ПЦН, 750/820 л.с., вес 638 кг.</w:t>
      </w:r>
    </w:p>
    <w:p w14:paraId="3A880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7122AB">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7122AB">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7122AB">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7122AB">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7122AB">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7122AB">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7122AB">
        <w:rPr>
          <w:rFonts w:ascii="Times New Roman" w:hAnsi="Times New Roman"/>
          <w:color w:val="000000" w:themeColor="text1"/>
          <w:sz w:val="16"/>
          <w:szCs w:val="16"/>
        </w:rPr>
        <w:softHyphen/>
        <w:t xml:space="preserve">шанным охлаждением: гильзы — воздухом, головки — </w:t>
      </w:r>
      <w:proofErr w:type="spellStart"/>
      <w:r w:rsidRPr="007122AB">
        <w:rPr>
          <w:rFonts w:ascii="Times New Roman" w:hAnsi="Times New Roman"/>
          <w:color w:val="000000" w:themeColor="text1"/>
          <w:sz w:val="16"/>
          <w:szCs w:val="16"/>
        </w:rPr>
        <w:t>этиленглико-лем</w:t>
      </w:r>
      <w:proofErr w:type="spellEnd"/>
      <w:r w:rsidRPr="007122AB">
        <w:rPr>
          <w:rFonts w:ascii="Times New Roman" w:hAnsi="Times New Roman"/>
          <w:color w:val="000000" w:themeColor="text1"/>
          <w:sz w:val="16"/>
          <w:szCs w:val="16"/>
        </w:rPr>
        <w:t>. На испытаниях получена мощность 1050 л.с. М-34РСО, проект 1937 г., развитие преды</w:t>
      </w:r>
      <w:r w:rsidRPr="007122AB">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7122AB">
        <w:rPr>
          <w:rFonts w:ascii="Times New Roman" w:hAnsi="Times New Roman"/>
          <w:color w:val="000000" w:themeColor="text1"/>
          <w:sz w:val="16"/>
          <w:szCs w:val="16"/>
        </w:rPr>
        <w:softHyphen/>
        <w:t xml:space="preserve">ска создана С.А. </w:t>
      </w:r>
      <w:proofErr w:type="spellStart"/>
      <w:r w:rsidRPr="007122AB">
        <w:rPr>
          <w:rFonts w:ascii="Times New Roman" w:hAnsi="Times New Roman"/>
          <w:color w:val="000000" w:themeColor="text1"/>
          <w:sz w:val="16"/>
          <w:szCs w:val="16"/>
        </w:rPr>
        <w:t>Косбергом</w:t>
      </w:r>
      <w:proofErr w:type="spellEnd"/>
      <w:r w:rsidRPr="007122AB">
        <w:rPr>
          <w:rFonts w:ascii="Times New Roman" w:hAnsi="Times New Roman"/>
          <w:color w:val="000000" w:themeColor="text1"/>
          <w:sz w:val="16"/>
          <w:szCs w:val="16"/>
        </w:rPr>
        <w:t xml:space="preserve"> и Н.П. Сер-</w:t>
      </w:r>
      <w:proofErr w:type="spellStart"/>
      <w:r w:rsidRPr="007122AB">
        <w:rPr>
          <w:rFonts w:ascii="Times New Roman" w:hAnsi="Times New Roman"/>
          <w:color w:val="000000" w:themeColor="text1"/>
          <w:sz w:val="16"/>
          <w:szCs w:val="16"/>
        </w:rPr>
        <w:t>дюковым</w:t>
      </w:r>
      <w:proofErr w:type="spellEnd"/>
      <w:r w:rsidRPr="007122AB">
        <w:rPr>
          <w:rFonts w:ascii="Times New Roman" w:hAnsi="Times New Roman"/>
          <w:color w:val="000000" w:themeColor="text1"/>
          <w:sz w:val="16"/>
          <w:szCs w:val="16"/>
        </w:rPr>
        <w:t xml:space="preserve"> в ЦИАМ в 1934 г. Двигатель прошел 60-часовые стендовые испытания в 1935 г. и летные испытания </w:t>
      </w:r>
      <w:r w:rsidRPr="007122AB">
        <w:rPr>
          <w:rFonts w:ascii="Times New Roman" w:hAnsi="Times New Roman"/>
          <w:color w:val="000000" w:themeColor="text1"/>
          <w:sz w:val="16"/>
          <w:szCs w:val="16"/>
        </w:rPr>
        <w:lastRenderedPageBreak/>
        <w:t>на Р-Зет и ТБ-3 в 1937 г. Серийно не выпускался. М-34РНВ, опытный образец, аналогичен предыдущему типу, но оснащался пони</w:t>
      </w:r>
      <w:r w:rsidRPr="007122AB">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10C95A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 для привода агрегата центрального наддува АЦН-1, сконструи</w:t>
      </w:r>
      <w:r w:rsidRPr="007122AB">
        <w:rPr>
          <w:rFonts w:ascii="Times New Roman" w:hAnsi="Times New Roman"/>
          <w:color w:val="000000" w:themeColor="text1"/>
          <w:sz w:val="16"/>
          <w:szCs w:val="16"/>
        </w:rPr>
        <w:softHyphen/>
        <w:t>рованного под руководством С.А. Трескина в 1935 г. Проходил лет</w:t>
      </w:r>
      <w:r w:rsidRPr="007122AB">
        <w:rPr>
          <w:rFonts w:ascii="Times New Roman" w:hAnsi="Times New Roman"/>
          <w:color w:val="000000" w:themeColor="text1"/>
          <w:sz w:val="16"/>
          <w:szCs w:val="16"/>
        </w:rPr>
        <w:softHyphen/>
        <w:t>ные испытания на ТБ-3.</w:t>
      </w:r>
    </w:p>
    <w:p w14:paraId="17AA8E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7122AB">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7122AB">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5370F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М-34ФРНУ, проект форсированного до 900 л.с. М-34РН с удлинен</w:t>
      </w:r>
      <w:r w:rsidRPr="007122AB">
        <w:rPr>
          <w:rFonts w:ascii="Times New Roman" w:hAnsi="Times New Roman"/>
          <w:color w:val="000000" w:themeColor="text1"/>
          <w:sz w:val="16"/>
          <w:szCs w:val="16"/>
        </w:rPr>
        <w:softHyphen/>
        <w:t>ным валом, 1933 г.</w:t>
      </w:r>
    </w:p>
    <w:p w14:paraId="2C600D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М-34ФРНА, массовая серия на базе типа ФРН с четырьмя карбюра</w:t>
      </w:r>
      <w:r w:rsidRPr="007122AB">
        <w:rPr>
          <w:rFonts w:ascii="Times New Roman" w:hAnsi="Times New Roman"/>
          <w:color w:val="000000" w:themeColor="text1"/>
          <w:sz w:val="16"/>
          <w:szCs w:val="16"/>
        </w:rPr>
        <w:softHyphen/>
        <w:t>торами.</w:t>
      </w:r>
    </w:p>
    <w:p w14:paraId="7BF68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М-34ФРНБ, массовая серия на базе типа ФРН с шестью карбюрато</w:t>
      </w:r>
      <w:r w:rsidRPr="007122AB">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7122AB">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w:t>
      </w:r>
      <w:proofErr w:type="spellStart"/>
      <w:r w:rsidRPr="007122AB">
        <w:rPr>
          <w:rFonts w:ascii="Times New Roman" w:hAnsi="Times New Roman"/>
          <w:color w:val="000000" w:themeColor="text1"/>
          <w:sz w:val="16"/>
          <w:szCs w:val="16"/>
        </w:rPr>
        <w:t>Минк-нера</w:t>
      </w:r>
      <w:proofErr w:type="spellEnd"/>
      <w:r w:rsidRPr="007122AB">
        <w:rPr>
          <w:rFonts w:ascii="Times New Roman" w:hAnsi="Times New Roman"/>
          <w:color w:val="000000" w:themeColor="text1"/>
          <w:sz w:val="16"/>
          <w:szCs w:val="16"/>
        </w:rPr>
        <w:t xml:space="preserve">. АЦН-2 приводился в действие дополнительным мотором М-100 и обеспечивал наддув одновременно четырех М-34ФРНБ; </w:t>
      </w:r>
      <w:proofErr w:type="spellStart"/>
      <w:r w:rsidRPr="007122AB">
        <w:rPr>
          <w:rFonts w:ascii="Times New Roman" w:hAnsi="Times New Roman"/>
          <w:color w:val="000000" w:themeColor="text1"/>
          <w:sz w:val="16"/>
          <w:szCs w:val="16"/>
        </w:rPr>
        <w:t>мотоуста</w:t>
      </w:r>
      <w:r w:rsidRPr="007122AB">
        <w:rPr>
          <w:rFonts w:ascii="Times New Roman" w:hAnsi="Times New Roman"/>
          <w:color w:val="000000" w:themeColor="text1"/>
          <w:sz w:val="16"/>
          <w:szCs w:val="16"/>
        </w:rPr>
        <w:softHyphen/>
        <w:t>новка</w:t>
      </w:r>
      <w:proofErr w:type="spellEnd"/>
      <w:r w:rsidRPr="007122AB">
        <w:rPr>
          <w:rFonts w:ascii="Times New Roman" w:hAnsi="Times New Roman"/>
          <w:color w:val="000000" w:themeColor="text1"/>
          <w:sz w:val="16"/>
          <w:szCs w:val="16"/>
        </w:rPr>
        <w:t xml:space="preserve">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7122AB">
        <w:rPr>
          <w:rFonts w:ascii="Times New Roman" w:hAnsi="Times New Roman"/>
          <w:color w:val="000000" w:themeColor="text1"/>
          <w:sz w:val="16"/>
          <w:szCs w:val="16"/>
        </w:rPr>
        <w:softHyphen/>
        <w:t>тирован с тремя вариантами редуктора и двумя типами ПЦН. Впер</w:t>
      </w:r>
      <w:r w:rsidRPr="007122AB">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3C7B2B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7122AB">
        <w:rPr>
          <w:rFonts w:ascii="Times New Roman" w:hAnsi="Times New Roman"/>
          <w:color w:val="000000" w:themeColor="text1"/>
          <w:sz w:val="16"/>
          <w:szCs w:val="16"/>
        </w:rPr>
        <w:softHyphen/>
        <w:t>тов, удлиненный носок редуктора, усиленный коленвал с измененной схе</w:t>
      </w:r>
      <w:r w:rsidRPr="007122AB">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5C521F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М-34НФ, опытный вариант с блоками от модификации ФРНВ, допол</w:t>
      </w:r>
      <w:r w:rsidRPr="007122AB">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55A0DE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М-34ФРНВ-ТК, вариант предыдущего типа. Имел два турбонагнетате</w:t>
      </w:r>
      <w:r w:rsidRPr="007122AB">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786E4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М-34ФРГН, подробности неизвестны.</w:t>
      </w:r>
    </w:p>
    <w:p w14:paraId="2CFE7F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М-34РБ, в 1938-1939 гг. переделывались из М-34РНБ путем демон</w:t>
      </w:r>
      <w:r w:rsidRPr="007122AB">
        <w:rPr>
          <w:rFonts w:ascii="Times New Roman" w:hAnsi="Times New Roman"/>
          <w:color w:val="000000" w:themeColor="text1"/>
          <w:sz w:val="16"/>
          <w:szCs w:val="16"/>
        </w:rPr>
        <w:softHyphen/>
        <w:t xml:space="preserve">тажа ПЦН для повышения надежности и увеличения </w:t>
      </w:r>
      <w:proofErr w:type="spellStart"/>
      <w:r w:rsidRPr="007122AB">
        <w:rPr>
          <w:rFonts w:ascii="Times New Roman" w:hAnsi="Times New Roman"/>
          <w:color w:val="000000" w:themeColor="text1"/>
          <w:sz w:val="16"/>
          <w:szCs w:val="16"/>
        </w:rPr>
        <w:t>реечрса</w:t>
      </w:r>
      <w:proofErr w:type="spellEnd"/>
      <w:r w:rsidRPr="007122AB">
        <w:rPr>
          <w:rFonts w:ascii="Times New Roman" w:hAnsi="Times New Roman"/>
          <w:color w:val="000000" w:themeColor="text1"/>
          <w:sz w:val="16"/>
          <w:szCs w:val="16"/>
        </w:rPr>
        <w:t>.</w:t>
      </w:r>
    </w:p>
    <w:p w14:paraId="3A7AEB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М-34РБ</w:t>
      </w:r>
    </w:p>
    <w:p w14:paraId="18B577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Катерный мотор ГМ-34 (ГАМ-34)</w:t>
      </w:r>
    </w:p>
    <w:p w14:paraId="04C213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ГМ-34, двигатель для торпедных катеров с реверс-редуктором, муф</w:t>
      </w:r>
      <w:r w:rsidRPr="007122AB">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24768E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1932 г. пару опытных двигателей установили на торпед</w:t>
      </w:r>
      <w:r w:rsidRPr="007122AB">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7342CE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64EA9C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7122AB">
        <w:rPr>
          <w:rFonts w:ascii="Times New Roman" w:hAnsi="Times New Roman"/>
          <w:color w:val="000000" w:themeColor="text1"/>
          <w:sz w:val="16"/>
          <w:szCs w:val="16"/>
        </w:rPr>
        <w:softHyphen/>
        <w:t>ность 1200 л.с., вес 1110 кг. Работал на бензин-спиртовой смеси. Се</w:t>
      </w:r>
      <w:r w:rsidRPr="007122AB">
        <w:rPr>
          <w:rFonts w:ascii="Times New Roman" w:hAnsi="Times New Roman"/>
          <w:color w:val="000000" w:themeColor="text1"/>
          <w:sz w:val="16"/>
          <w:szCs w:val="16"/>
        </w:rPr>
        <w:softHyphen/>
        <w:t>рийно выпускался с августа 1939 г.</w:t>
      </w:r>
    </w:p>
    <w:p w14:paraId="177D3D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3AA4AE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AB5F9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ГМ-34БТ. вариант для танков на базе катерного с измененной си</w:t>
      </w:r>
      <w:r w:rsidRPr="007122AB">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239EF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7122AB">
        <w:rPr>
          <w:rFonts w:ascii="Times New Roman" w:hAnsi="Times New Roman"/>
          <w:color w:val="000000" w:themeColor="text1"/>
          <w:sz w:val="16"/>
          <w:szCs w:val="16"/>
        </w:rPr>
        <w:softHyphen/>
        <w:t>строен), К-13, МК-1, «Сталь-МАИ», МИ-3. Их применение также предусма</w:t>
      </w:r>
      <w:r w:rsidRPr="007122AB">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7122AB">
        <w:rPr>
          <w:rFonts w:ascii="Times New Roman" w:hAnsi="Times New Roman"/>
          <w:color w:val="000000" w:themeColor="text1"/>
          <w:sz w:val="16"/>
          <w:szCs w:val="16"/>
        </w:rPr>
        <w:softHyphen/>
        <w:t>ского на гусеничном ходу (на базе ТШ-2), танка-вертолета Камова.</w:t>
      </w:r>
    </w:p>
    <w:p w14:paraId="539C10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253ED0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75D110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7B3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начальник ВВС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констатировал, что моторы М-17, вы</w:t>
      </w:r>
      <w:r w:rsidRPr="007122AB">
        <w:rPr>
          <w:rFonts w:ascii="Times New Roman" w:hAnsi="Times New Roman"/>
          <w:color w:val="000000" w:themeColor="text1"/>
          <w:sz w:val="16"/>
          <w:szCs w:val="16"/>
        </w:rPr>
        <w:softHyphen/>
        <w:t>пускаемые заводами № 24 и № 26, невзаимозаменяемые, хотя и производятся по одной лицензии, отметил их низкое качество (10667).</w:t>
      </w:r>
    </w:p>
    <w:p w14:paraId="42EDB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6F1E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Сборка первого опытного образца начата в августе 1932 г. Госиспытания проходили с декабря 1932 г. Доводился От</w:t>
      </w:r>
      <w:r w:rsidRPr="007122AB">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25ECD4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09A93E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3-цилиндровый,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3CDA51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60/65 л.с.;</w:t>
      </w:r>
    </w:p>
    <w:p w14:paraId="1E70BE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125/140 мм;</w:t>
      </w:r>
    </w:p>
    <w:p w14:paraId="66397F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5,16 л;</w:t>
      </w:r>
    </w:p>
    <w:p w14:paraId="46EF6A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5,0;</w:t>
      </w:r>
    </w:p>
    <w:p w14:paraId="69E1BB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13DC52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125 кг.</w:t>
      </w:r>
    </w:p>
    <w:p w14:paraId="06548D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Существовали два варианта М-50:</w:t>
      </w:r>
    </w:p>
    <w:p w14:paraId="74D775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 цилиндрами от М-И В;</w:t>
      </w:r>
    </w:p>
    <w:p w14:paraId="08B54D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 оригинальными цилиндрами (но не по типу М-51).</w:t>
      </w:r>
    </w:p>
    <w:p w14:paraId="2E6B118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5C8C1C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82D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в ИАМ было закончено проектирование М-32.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7122AB">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7122AB">
        <w:rPr>
          <w:rFonts w:ascii="Times New Roman" w:hAnsi="Times New Roman"/>
          <w:color w:val="000000" w:themeColor="text1"/>
          <w:sz w:val="16"/>
          <w:szCs w:val="16"/>
        </w:rPr>
        <w:softHyphen/>
        <w:t>шипников и головок блоков. Со второго экзем</w:t>
      </w:r>
      <w:r w:rsidRPr="007122AB">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7122AB">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4E68E6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Известны модификации:</w:t>
      </w:r>
    </w:p>
    <w:p w14:paraId="29501F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М-32, первоначальный вариант без редук</w:t>
      </w:r>
      <w:r w:rsidRPr="007122AB">
        <w:rPr>
          <w:rFonts w:ascii="Times New Roman" w:hAnsi="Times New Roman"/>
          <w:color w:val="000000" w:themeColor="text1"/>
          <w:sz w:val="16"/>
          <w:szCs w:val="16"/>
        </w:rPr>
        <w:softHyphen/>
        <w:t>тора и ПЦН, изготовлен в одном экзем</w:t>
      </w:r>
      <w:r w:rsidRPr="007122AB">
        <w:rPr>
          <w:rFonts w:ascii="Times New Roman" w:hAnsi="Times New Roman"/>
          <w:color w:val="000000" w:themeColor="text1"/>
          <w:sz w:val="16"/>
          <w:szCs w:val="16"/>
        </w:rPr>
        <w:softHyphen/>
        <w:t>пляре. Вес по заданию 400 кг, фактически 430 кг.</w:t>
      </w:r>
    </w:p>
    <w:p w14:paraId="01D28A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М-32РН, вариант с редуктором и одно-скоростным ПЦН. В дальнейшем предпо</w:t>
      </w:r>
      <w:r w:rsidRPr="007122AB">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0511FB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1DDB09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16-цилиндровый, рядный У-образный, че</w:t>
      </w:r>
      <w:r w:rsidRPr="007122AB">
        <w:rPr>
          <w:rFonts w:ascii="Times New Roman" w:hAnsi="Times New Roman"/>
          <w:color w:val="000000" w:themeColor="text1"/>
          <w:sz w:val="16"/>
          <w:szCs w:val="16"/>
        </w:rPr>
        <w:softHyphen/>
        <w:t>тырехтактный, водяного охлаждения;</w:t>
      </w:r>
    </w:p>
    <w:p w14:paraId="7718FF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600/750 л.с. (по заданию 650/700 л.с.);</w:t>
      </w:r>
    </w:p>
    <w:p w14:paraId="150D47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120/120 мм;</w:t>
      </w:r>
    </w:p>
    <w:p w14:paraId="397011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21,7 л;</w:t>
      </w:r>
    </w:p>
    <w:p w14:paraId="1B4B87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w:t>
      </w:r>
    </w:p>
    <w:p w14:paraId="3BA785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24B54D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Предлагался для истребителей И-9, И-13, ДИ-6.</w:t>
      </w:r>
    </w:p>
    <w:p w14:paraId="5A638C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381096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7D0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марта 1931 года директором завода № 29 стал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BA7C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5F61D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7122AB">
        <w:rPr>
          <w:rFonts w:ascii="Times New Roman" w:hAnsi="Times New Roman"/>
          <w:color w:val="000000" w:themeColor="text1"/>
          <w:sz w:val="16"/>
          <w:szCs w:val="16"/>
        </w:rPr>
        <w:t>Туманский</w:t>
      </w:r>
      <w:proofErr w:type="spellEnd"/>
      <w:r w:rsidRPr="007122AB">
        <w:rPr>
          <w:rFonts w:ascii="Times New Roman" w:hAnsi="Times New Roman"/>
          <w:color w:val="000000" w:themeColor="text1"/>
          <w:sz w:val="16"/>
          <w:szCs w:val="16"/>
        </w:rPr>
        <w:t xml:space="preserve"> С.К.</w:t>
      </w:r>
    </w:p>
    <w:p w14:paraId="46EFDA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7122AB">
        <w:rPr>
          <w:rFonts w:ascii="Times New Roman" w:hAnsi="Times New Roman"/>
          <w:color w:val="000000" w:themeColor="text1"/>
          <w:sz w:val="16"/>
          <w:szCs w:val="16"/>
        </w:rPr>
        <w:t>Урмин</w:t>
      </w:r>
      <w:proofErr w:type="spellEnd"/>
      <w:r w:rsidRPr="007122AB">
        <w:rPr>
          <w:rFonts w:ascii="Times New Roman" w:hAnsi="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7122AB">
        <w:rPr>
          <w:rFonts w:ascii="Times New Roman" w:hAnsi="Times New Roman"/>
          <w:color w:val="000000" w:themeColor="text1"/>
          <w:sz w:val="16"/>
          <w:szCs w:val="16"/>
        </w:rPr>
        <w:t>прекращенов</w:t>
      </w:r>
      <w:proofErr w:type="spellEnd"/>
      <w:r w:rsidRPr="007122AB">
        <w:rPr>
          <w:rFonts w:ascii="Times New Roman" w:hAnsi="Times New Roman"/>
          <w:color w:val="000000" w:themeColor="text1"/>
          <w:sz w:val="16"/>
          <w:szCs w:val="16"/>
        </w:rPr>
        <w:t xml:space="preserve"> связи с эвакуацией завода.</w:t>
      </w:r>
    </w:p>
    <w:p w14:paraId="7A8D7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20AC9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7122AB">
        <w:rPr>
          <w:rFonts w:ascii="Times New Roman" w:hAnsi="Times New Roman"/>
          <w:color w:val="000000" w:themeColor="text1"/>
          <w:sz w:val="16"/>
          <w:szCs w:val="16"/>
        </w:rPr>
        <w:t>Нитченко</w:t>
      </w:r>
      <w:proofErr w:type="spellEnd"/>
      <w:r w:rsidRPr="007122AB">
        <w:rPr>
          <w:rFonts w:ascii="Times New Roman" w:hAnsi="Times New Roman"/>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17F28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4EBE24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6F8EEC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7122AB">
        <w:rPr>
          <w:rFonts w:ascii="Times New Roman" w:hAnsi="Times New Roman"/>
          <w:color w:val="000000" w:themeColor="text1"/>
          <w:sz w:val="16"/>
          <w:szCs w:val="16"/>
        </w:rPr>
        <w:t>Шехов</w:t>
      </w:r>
      <w:proofErr w:type="spellEnd"/>
      <w:r w:rsidRPr="007122AB">
        <w:rPr>
          <w:rFonts w:ascii="Times New Roman" w:hAnsi="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7122AB">
        <w:rPr>
          <w:rFonts w:ascii="Times New Roman" w:hAnsi="Times New Roman"/>
          <w:color w:val="000000" w:themeColor="text1"/>
          <w:sz w:val="16"/>
          <w:szCs w:val="16"/>
        </w:rPr>
        <w:t>Федичев</w:t>
      </w:r>
      <w:proofErr w:type="spellEnd"/>
      <w:r w:rsidRPr="007122AB">
        <w:rPr>
          <w:rFonts w:ascii="Times New Roman" w:hAnsi="Times New Roman"/>
          <w:color w:val="000000" w:themeColor="text1"/>
          <w:sz w:val="16"/>
          <w:szCs w:val="16"/>
        </w:rPr>
        <w:t xml:space="preserve"> В.Г. С августа 1953 года – директор Головачев А.М. В 1953 году завод продолжал производство АШ-82ФН и АШ-21</w:t>
      </w:r>
    </w:p>
    <w:p w14:paraId="5902B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Омск, Б. Хмельницкого – 281, п/я 64</w:t>
      </w:r>
    </w:p>
    <w:p w14:paraId="57A16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5957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38A9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в НИИ ГВФ испытывали облегченные лыжи от ТБ-1 для АНТ-9 (522,5).</w:t>
      </w:r>
    </w:p>
    <w:p w14:paraId="65D66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28D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на Кунцевском полигоне вели испытания ДРП на ТБ-1.</w:t>
      </w:r>
    </w:p>
    <w:p w14:paraId="2FF67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1930 г. завод № 39 впервые поставил на ТБ-1 </w:t>
      </w:r>
      <w:proofErr w:type="spellStart"/>
      <w:r w:rsidRPr="007122AB">
        <w:rPr>
          <w:rFonts w:ascii="Times New Roman" w:hAnsi="Times New Roman"/>
          <w:color w:val="000000" w:themeColor="text1"/>
          <w:sz w:val="16"/>
          <w:szCs w:val="16"/>
        </w:rPr>
        <w:t>динамореактивную</w:t>
      </w:r>
      <w:proofErr w:type="spellEnd"/>
      <w:r w:rsidRPr="007122AB">
        <w:rPr>
          <w:rFonts w:ascii="Times New Roman" w:hAnsi="Times New Roman"/>
          <w:color w:val="000000" w:themeColor="text1"/>
          <w:sz w:val="16"/>
          <w:szCs w:val="16"/>
        </w:rPr>
        <w:t xml:space="preserve"> (безоткатную) пушку. Похоже, что ставилась задача просто изучить влияние стрельбы из такого орудия на прочность машины и ее управляемость. 76-мм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вперед-назад по полету, вбок же ствол не двигался. Какие-либо прицельные приспособления отсутствовали.</w:t>
      </w:r>
    </w:p>
    <w:p w14:paraId="1D212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Огонь вел пилот, дергавший за шнур. Возле пушки располагался заряжающий, при стрельбе стоявший на маленькой квадратной площадке. Снаряды хранились в ящиках у мест стрелков.</w:t>
      </w:r>
    </w:p>
    <w:p w14:paraId="1C6CA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 Ни летчик, ни заряжающий не видели,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стреляные гильзы. Но этот первый эксперимент показал, что бомбардировщик можно вооружить пушкой.</w:t>
      </w:r>
    </w:p>
    <w:p w14:paraId="0FB6D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специально для ТБ-1 спроектировали 76-мм нарезную </w:t>
      </w:r>
      <w:proofErr w:type="spellStart"/>
      <w:r w:rsidRPr="007122AB">
        <w:rPr>
          <w:rFonts w:ascii="Times New Roman" w:hAnsi="Times New Roman"/>
          <w:color w:val="000000" w:themeColor="text1"/>
          <w:sz w:val="16"/>
          <w:szCs w:val="16"/>
        </w:rPr>
        <w:t>динамореактивную</w:t>
      </w:r>
      <w:proofErr w:type="spellEnd"/>
      <w:r w:rsidRPr="007122AB">
        <w:rPr>
          <w:rFonts w:ascii="Times New Roman" w:hAnsi="Times New Roman"/>
          <w:color w:val="000000" w:themeColor="text1"/>
          <w:sz w:val="16"/>
          <w:szCs w:val="16"/>
        </w:rPr>
        <w:t xml:space="preserve">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ВВС на 1932 г. значится некая ротативная батарея из четырех стволов калибра 76 мм. Как она выглядела, остается загадкой (12001).</w:t>
      </w:r>
    </w:p>
    <w:p w14:paraId="73877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4BEC6E"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на Кунцевском полигоне прошли испытания ДРП на ТБ-1.</w:t>
      </w:r>
    </w:p>
    <w:p w14:paraId="31B9F63A"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7122AB">
        <w:rPr>
          <w:rFonts w:ascii="Times New Roman" w:hAnsi="Times New Roman"/>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4627E6BD"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7122AB">
        <w:rPr>
          <w:rFonts w:ascii="Times New Roman" w:hAnsi="Times New Roman"/>
          <w:color w:val="000000" w:themeColor="text1"/>
          <w:sz w:val="16"/>
          <w:szCs w:val="16"/>
        </w:rPr>
        <w:softHyphen/>
        <w:t>щадке. Снаряды хранились в ящиках у мест воздушных стрелков.</w:t>
      </w:r>
    </w:p>
    <w:p w14:paraId="03CBA812"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36FB71FD"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7122AB">
        <w:rPr>
          <w:rFonts w:ascii="Times New Roman" w:hAnsi="Times New Roman"/>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7122AB">
        <w:rPr>
          <w:rFonts w:ascii="Times New Roman" w:hAnsi="Times New Roman"/>
          <w:color w:val="000000" w:themeColor="text1"/>
          <w:sz w:val="16"/>
          <w:szCs w:val="16"/>
        </w:rPr>
        <w:softHyphen/>
        <w:t>жить бомбардировщик ДРП можно, хотя эффективность этого оружия оставалась спорной.</w:t>
      </w:r>
    </w:p>
    <w:p w14:paraId="6750BA45"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специально для ТБ-1 спро</w:t>
      </w:r>
      <w:r w:rsidRPr="007122AB">
        <w:rPr>
          <w:rFonts w:ascii="Times New Roman" w:hAnsi="Times New Roman"/>
          <w:color w:val="000000" w:themeColor="text1"/>
          <w:sz w:val="16"/>
          <w:szCs w:val="16"/>
        </w:rPr>
        <w:softHyphen/>
        <w:t>ектировали 76-мм нарезную «</w:t>
      </w:r>
      <w:proofErr w:type="spellStart"/>
      <w:r w:rsidRPr="007122AB">
        <w:rPr>
          <w:rFonts w:ascii="Times New Roman" w:hAnsi="Times New Roman"/>
          <w:color w:val="000000" w:themeColor="text1"/>
          <w:sz w:val="16"/>
          <w:szCs w:val="16"/>
        </w:rPr>
        <w:t>безоткатку</w:t>
      </w:r>
      <w:proofErr w:type="spellEnd"/>
      <w:r w:rsidRPr="007122AB">
        <w:rPr>
          <w:rFonts w:ascii="Times New Roman" w:hAnsi="Times New Roman"/>
          <w:color w:val="000000" w:themeColor="text1"/>
          <w:sz w:val="16"/>
          <w:szCs w:val="16"/>
        </w:rPr>
        <w:t>»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7122AB">
        <w:rPr>
          <w:rFonts w:ascii="Times New Roman" w:hAnsi="Times New Roman"/>
          <w:color w:val="000000" w:themeColor="text1"/>
          <w:sz w:val="16"/>
          <w:szCs w:val="16"/>
        </w:rPr>
        <w:softHyphen/>
        <w:t>бого конструкторского бюро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ВВС на 1932 г. значилась некая «ротативная батарея» из четырех стволов калибра 76 мм. Как она должна была выглядеть - остается загадкой (12613).</w:t>
      </w:r>
    </w:p>
    <w:p w14:paraId="1F06CE39"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63221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на Кунцевском полигоне велись испытания 76-мм неавтоматической </w:t>
      </w:r>
      <w:proofErr w:type="spellStart"/>
      <w:r w:rsidRPr="007122AB">
        <w:rPr>
          <w:rFonts w:ascii="Times New Roman" w:hAnsi="Times New Roman"/>
          <w:color w:val="000000" w:themeColor="text1"/>
          <w:sz w:val="16"/>
          <w:szCs w:val="16"/>
        </w:rPr>
        <w:t>динамореактивной</w:t>
      </w:r>
      <w:proofErr w:type="spellEnd"/>
      <w:r w:rsidRPr="007122AB">
        <w:rPr>
          <w:rFonts w:ascii="Times New Roman" w:hAnsi="Times New Roman"/>
          <w:color w:val="000000" w:themeColor="text1"/>
          <w:sz w:val="16"/>
          <w:szCs w:val="16"/>
        </w:rPr>
        <w:t xml:space="preserve"> пушки на ТБ-1.</w:t>
      </w:r>
    </w:p>
    <w:p w14:paraId="2EA95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1930 г. впервые попробовали оснастить тяжелый бомбардировщик артиллерийским орудием крупного калибра для обстрела целей на земле На двухмоторном ТБ-1 поставили. Однако, похоже, что таким образом старались просто изучить влияние стрельбы из такого орудия на прочность машины и ее управляемость. Пушка весом 88 кг стояла вертикально в бомбоотсеке на специальной ферме - "пауке", так что ее ствол выступал на 700 мм вниз, а выходное сопло </w:t>
      </w:r>
      <w:r w:rsidRPr="007122AB">
        <w:rPr>
          <w:rFonts w:ascii="Times New Roman" w:hAnsi="Times New Roman"/>
          <w:color w:val="000000" w:themeColor="text1"/>
          <w:sz w:val="16"/>
          <w:szCs w:val="16"/>
        </w:rPr>
        <w:lastRenderedPageBreak/>
        <w:t>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30CF9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площадке. Снаряды хранились в ящиках у мест стрелков.</w:t>
      </w:r>
    </w:p>
    <w:p w14:paraId="2723C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невозможностью как-либо прицелиться, стреляли шрапнелью, чтобы увеличить вероятность поражения мишеней. Всего за три дня сделали 18 выстрелов. На пилотирование самолета стрельба не повлияла, но при осмотре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обратно - стреляные гильзы. Но этот первый эксперимент показал, что бомбардировщик можно вооружить пушкой.</w:t>
      </w:r>
    </w:p>
    <w:p w14:paraId="23C23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специально для ТБ-1 спроектировали 76-мм нарезную </w:t>
      </w:r>
      <w:proofErr w:type="spellStart"/>
      <w:r w:rsidRPr="007122AB">
        <w:rPr>
          <w:rFonts w:ascii="Times New Roman" w:hAnsi="Times New Roman"/>
          <w:color w:val="000000" w:themeColor="text1"/>
          <w:sz w:val="16"/>
          <w:szCs w:val="16"/>
        </w:rPr>
        <w:t>динамореактивную</w:t>
      </w:r>
      <w:proofErr w:type="spellEnd"/>
      <w:r w:rsidRPr="007122AB">
        <w:rPr>
          <w:rFonts w:ascii="Times New Roman" w:hAnsi="Times New Roman"/>
          <w:color w:val="000000" w:themeColor="text1"/>
          <w:sz w:val="16"/>
          <w:szCs w:val="16"/>
        </w:rPr>
        <w:t xml:space="preserve"> пушку ДРП-76. Два таких орудия собирались установить по бортам снаружи у средней турели. Саму пушку изготовили, но на самолете не испытывали. Для ТБ-1 предназначалась и загадочная </w:t>
      </w:r>
      <w:proofErr w:type="spellStart"/>
      <w:r w:rsidRPr="007122AB">
        <w:rPr>
          <w:rFonts w:ascii="Times New Roman" w:hAnsi="Times New Roman"/>
          <w:color w:val="000000" w:themeColor="text1"/>
          <w:sz w:val="16"/>
          <w:szCs w:val="16"/>
        </w:rPr>
        <w:t>ротатив</w:t>
      </w:r>
      <w:proofErr w:type="spellEnd"/>
      <w:r w:rsidRPr="007122AB">
        <w:rPr>
          <w:rFonts w:ascii="Times New Roman" w:hAnsi="Times New Roman"/>
          <w:color w:val="000000" w:themeColor="text1"/>
          <w:sz w:val="16"/>
          <w:szCs w:val="16"/>
        </w:rPr>
        <w:t xml:space="preserve">- ная батарея из четырех стволов калибра 76 мм, значившаяся в плане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ВВС на 1932 г. Скорее всего, это был блок из четырех </w:t>
      </w:r>
      <w:proofErr w:type="spellStart"/>
      <w:r w:rsidRPr="007122AB">
        <w:rPr>
          <w:rFonts w:ascii="Times New Roman" w:hAnsi="Times New Roman"/>
          <w:color w:val="000000" w:themeColor="text1"/>
          <w:sz w:val="16"/>
          <w:szCs w:val="16"/>
        </w:rPr>
        <w:t>динамореактивных</w:t>
      </w:r>
      <w:proofErr w:type="spellEnd"/>
      <w:r w:rsidRPr="007122AB">
        <w:rPr>
          <w:rFonts w:ascii="Times New Roman" w:hAnsi="Times New Roman"/>
          <w:color w:val="000000" w:themeColor="text1"/>
          <w:sz w:val="16"/>
          <w:szCs w:val="16"/>
        </w:rPr>
        <w:t xml:space="preserve"> пушек, который монтировался в бомбоотсеке так, что один ствол выступал наружу. После выстрела батарею проворачивали, устанавливая в это положение заряженный ствол.</w:t>
      </w:r>
    </w:p>
    <w:p w14:paraId="6D9DE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1932 г. </w:t>
      </w:r>
      <w:proofErr w:type="spellStart"/>
      <w:r w:rsidRPr="007122AB">
        <w:rPr>
          <w:rFonts w:ascii="Times New Roman" w:hAnsi="Times New Roman"/>
          <w:color w:val="000000" w:themeColor="text1"/>
          <w:sz w:val="16"/>
          <w:szCs w:val="16"/>
        </w:rPr>
        <w:t>Надашкевичу</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Курчевскому</w:t>
      </w:r>
      <w:proofErr w:type="spellEnd"/>
      <w:r w:rsidRPr="007122AB">
        <w:rPr>
          <w:rFonts w:ascii="Times New Roman" w:hAnsi="Times New Roman"/>
          <w:color w:val="000000" w:themeColor="text1"/>
          <w:sz w:val="16"/>
          <w:szCs w:val="16"/>
        </w:rPr>
        <w:t xml:space="preserve"> дали задание разработать схему размещения </w:t>
      </w:r>
      <w:proofErr w:type="spellStart"/>
      <w:r w:rsidRPr="007122AB">
        <w:rPr>
          <w:rFonts w:ascii="Times New Roman" w:hAnsi="Times New Roman"/>
          <w:color w:val="000000" w:themeColor="text1"/>
          <w:sz w:val="16"/>
          <w:szCs w:val="16"/>
        </w:rPr>
        <w:t>динамореактивных</w:t>
      </w:r>
      <w:proofErr w:type="spellEnd"/>
      <w:r w:rsidRPr="007122AB">
        <w:rPr>
          <w:rFonts w:ascii="Times New Roman" w:hAnsi="Times New Roman"/>
          <w:color w:val="000000" w:themeColor="text1"/>
          <w:sz w:val="16"/>
          <w:szCs w:val="16"/>
        </w:rPr>
        <w:t xml:space="preserve">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w:t>
      </w:r>
      <w:proofErr w:type="spellStart"/>
      <w:r w:rsidRPr="007122AB">
        <w:rPr>
          <w:rFonts w:ascii="Times New Roman" w:hAnsi="Times New Roman"/>
          <w:color w:val="000000" w:themeColor="text1"/>
          <w:sz w:val="16"/>
          <w:szCs w:val="16"/>
        </w:rPr>
        <w:t>полуподвижная</w:t>
      </w:r>
      <w:proofErr w:type="spellEnd"/>
      <w:r w:rsidRPr="007122AB">
        <w:rPr>
          <w:rFonts w:ascii="Times New Roman" w:hAnsi="Times New Roman"/>
          <w:color w:val="000000" w:themeColor="text1"/>
          <w:sz w:val="16"/>
          <w:szCs w:val="16"/>
        </w:rPr>
        <w:t xml:space="preserve">" (с ограниченными углами перемещения) установка с батареей из шести автоматических </w:t>
      </w:r>
      <w:proofErr w:type="spellStart"/>
      <w:r w:rsidRPr="007122AB">
        <w:rPr>
          <w:rFonts w:ascii="Times New Roman" w:hAnsi="Times New Roman"/>
          <w:color w:val="000000" w:themeColor="text1"/>
          <w:sz w:val="16"/>
          <w:szCs w:val="16"/>
        </w:rPr>
        <w:t>динамореактивных</w:t>
      </w:r>
      <w:proofErr w:type="spellEnd"/>
      <w:r w:rsidRPr="007122AB">
        <w:rPr>
          <w:rFonts w:ascii="Times New Roman" w:hAnsi="Times New Roman"/>
          <w:color w:val="000000" w:themeColor="text1"/>
          <w:sz w:val="16"/>
          <w:szCs w:val="16"/>
        </w:rPr>
        <w:t xml:space="preserve">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w:t>
      </w:r>
    </w:p>
    <w:p w14:paraId="5DE2C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Позже упор сделали не на </w:t>
      </w:r>
      <w:proofErr w:type="spellStart"/>
      <w:r w:rsidRPr="007122AB">
        <w:rPr>
          <w:rFonts w:ascii="Times New Roman" w:hAnsi="Times New Roman"/>
          <w:color w:val="000000" w:themeColor="text1"/>
          <w:sz w:val="16"/>
          <w:szCs w:val="16"/>
        </w:rPr>
        <w:t>динамореактивные</w:t>
      </w:r>
      <w:proofErr w:type="spellEnd"/>
      <w:r w:rsidRPr="007122AB">
        <w:rPr>
          <w:rFonts w:ascii="Times New Roman" w:hAnsi="Times New Roman"/>
          <w:color w:val="000000" w:themeColor="text1"/>
          <w:sz w:val="16"/>
          <w:szCs w:val="16"/>
        </w:rPr>
        <w:t>,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5F32A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C5BB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марта 1931 г.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приступило к испытаниям высотной торпеды в рай</w:t>
      </w:r>
      <w:r w:rsidRPr="007122AB">
        <w:rPr>
          <w:rFonts w:ascii="Times New Roman" w:hAnsi="Times New Roman"/>
          <w:color w:val="000000" w:themeColor="text1"/>
          <w:sz w:val="16"/>
          <w:szCs w:val="16"/>
        </w:rPr>
        <w:softHyphen/>
        <w:t>оне Качи (20 км от Севастополя), в ко</w:t>
      </w:r>
      <w:r w:rsidRPr="007122AB">
        <w:rPr>
          <w:rFonts w:ascii="Times New Roman" w:hAnsi="Times New Roman"/>
          <w:color w:val="000000" w:themeColor="text1"/>
          <w:sz w:val="16"/>
          <w:szCs w:val="16"/>
        </w:rPr>
        <w:softHyphen/>
        <w:t>торых принимали участие два само</w:t>
      </w:r>
      <w:r w:rsidRPr="007122AB">
        <w:rPr>
          <w:rFonts w:ascii="Times New Roman" w:hAnsi="Times New Roman"/>
          <w:color w:val="000000" w:themeColor="text1"/>
          <w:sz w:val="16"/>
          <w:szCs w:val="16"/>
        </w:rPr>
        <w:softHyphen/>
        <w:t>лета. Первые сбросы торпед с само</w:t>
      </w:r>
      <w:r w:rsidRPr="007122AB">
        <w:rPr>
          <w:rFonts w:ascii="Times New Roman" w:hAnsi="Times New Roman"/>
          <w:color w:val="000000" w:themeColor="text1"/>
          <w:sz w:val="16"/>
          <w:szCs w:val="16"/>
        </w:rPr>
        <w:softHyphen/>
        <w:t>лета ТБ-1 показали, что система тор</w:t>
      </w:r>
      <w:r w:rsidRPr="007122AB">
        <w:rPr>
          <w:rFonts w:ascii="Times New Roman" w:hAnsi="Times New Roman"/>
          <w:color w:val="000000" w:themeColor="text1"/>
          <w:sz w:val="16"/>
          <w:szCs w:val="16"/>
        </w:rPr>
        <w:softHyphen/>
        <w:t>педометания работает удовлетвори</w:t>
      </w:r>
      <w:r w:rsidRPr="007122AB">
        <w:rPr>
          <w:rFonts w:ascii="Times New Roman" w:hAnsi="Times New Roman"/>
          <w:color w:val="000000" w:themeColor="text1"/>
          <w:sz w:val="16"/>
          <w:szCs w:val="16"/>
        </w:rPr>
        <w:softHyphen/>
        <w:t>тельно. Несмотря на ряд недостатков, ко</w:t>
      </w:r>
      <w:r w:rsidRPr="007122AB">
        <w:rPr>
          <w:rFonts w:ascii="Times New Roman" w:hAnsi="Times New Roman"/>
          <w:color w:val="000000" w:themeColor="text1"/>
          <w:sz w:val="16"/>
          <w:szCs w:val="16"/>
        </w:rPr>
        <w:softHyphen/>
        <w:t>миссия под председательством на</w:t>
      </w:r>
      <w:r w:rsidRPr="007122AB">
        <w:rPr>
          <w:rFonts w:ascii="Times New Roman" w:hAnsi="Times New Roman"/>
          <w:color w:val="000000" w:themeColor="text1"/>
          <w:sz w:val="16"/>
          <w:szCs w:val="16"/>
        </w:rPr>
        <w:softHyphen/>
        <w:t>чальника ВВС ЧМ В.К. Лаврова при</w:t>
      </w:r>
      <w:r w:rsidRPr="007122AB">
        <w:rPr>
          <w:rFonts w:ascii="Times New Roman" w:hAnsi="Times New Roman"/>
          <w:color w:val="000000" w:themeColor="text1"/>
          <w:sz w:val="16"/>
          <w:szCs w:val="16"/>
        </w:rPr>
        <w:softHyphen/>
        <w:t>знала испытания успешными (4144).</w:t>
      </w:r>
    </w:p>
    <w:p w14:paraId="20BB5D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0AB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начало серию испытаний высокой торпеды 10/15 в районе Качи в 20 км от Севастополя и в апреле 1931 доложили, что торпеда работает удовлетворительно при высоте сбрасывания 1000-1200 м, а при сбросе с больших высот время снижения превышает норму (1966,10).</w:t>
      </w:r>
    </w:p>
    <w:p w14:paraId="6A2793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4F10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проводилась серия испытаний торпеды ВВС-15 в Крыму, в районе Севастополя.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Состоял отряд из двух ТБ-1.</w:t>
      </w:r>
    </w:p>
    <w:p w14:paraId="73401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7DFA0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7B777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30577E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279ED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39D2F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102A12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3925B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Поскольку в боевых условиях парашютная система безвозвратно терялась, то, как и у </w:t>
      </w:r>
      <w:proofErr w:type="spellStart"/>
      <w:r w:rsidRPr="007122AB">
        <w:rPr>
          <w:rFonts w:ascii="Times New Roman" w:hAnsi="Times New Roman"/>
          <w:color w:val="000000" w:themeColor="text1"/>
          <w:sz w:val="16"/>
          <w:szCs w:val="16"/>
        </w:rPr>
        <w:t>ВОМИЗы</w:t>
      </w:r>
      <w:proofErr w:type="spellEnd"/>
      <w:r w:rsidRPr="007122AB">
        <w:rPr>
          <w:rFonts w:ascii="Times New Roman" w:hAnsi="Times New Roman"/>
          <w:color w:val="000000" w:themeColor="text1"/>
          <w:sz w:val="16"/>
          <w:szCs w:val="16"/>
        </w:rPr>
        <w:t>,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778FA7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2ABA23" w14:textId="77777777" w:rsidR="0077047B" w:rsidRPr="00441F34" w:rsidRDefault="0077047B" w:rsidP="0077047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1931 г. проводилась серия испытаний авиационных торпед ВВС-15 в Крыму, в районе Севасто</w:t>
      </w:r>
      <w:r w:rsidRPr="00441F34">
        <w:rPr>
          <w:rFonts w:ascii="Times New Roman" w:hAnsi="Times New Roman"/>
          <w:color w:val="0070C0"/>
          <w:sz w:val="16"/>
          <w:szCs w:val="16"/>
        </w:rPr>
        <w:softHyphen/>
        <w:t>поля. При сбросе с высот 1000-1200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w:t>
      </w:r>
      <w:r w:rsidRPr="00441F34">
        <w:rPr>
          <w:rFonts w:ascii="Times New Roman" w:hAnsi="Times New Roman"/>
          <w:color w:val="0070C0"/>
          <w:sz w:val="16"/>
          <w:szCs w:val="16"/>
        </w:rPr>
        <w:softHyphen/>
        <w:t>чался удар. После внесения некоторых усовершенствований торпеду выставили на вой</w:t>
      </w:r>
      <w:r w:rsidRPr="00441F34">
        <w:rPr>
          <w:rFonts w:ascii="Times New Roman" w:hAnsi="Times New Roman"/>
          <w:color w:val="0070C0"/>
          <w:sz w:val="16"/>
          <w:szCs w:val="16"/>
        </w:rPr>
        <w:softHyphen/>
        <w:t>сковые испытания. Их собирались проводить в июле, но по различным причинам спер</w:t>
      </w:r>
      <w:r w:rsidRPr="00441F34">
        <w:rPr>
          <w:rFonts w:ascii="Times New Roman" w:hAnsi="Times New Roman"/>
          <w:color w:val="0070C0"/>
          <w:sz w:val="16"/>
          <w:szCs w:val="16"/>
        </w:rPr>
        <w:softHyphen/>
        <w:t>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w:t>
      </w:r>
      <w:r w:rsidRPr="00441F34">
        <w:rPr>
          <w:rFonts w:ascii="Times New Roman" w:hAnsi="Times New Roman"/>
          <w:color w:val="0070C0"/>
          <w:sz w:val="16"/>
          <w:szCs w:val="16"/>
        </w:rPr>
        <w:softHyphen/>
        <w:t>стоял отряд из двух ТБ-1.</w:t>
      </w:r>
    </w:p>
    <w:p w14:paraId="5433C7B4" w14:textId="77777777" w:rsidR="0077047B" w:rsidRPr="00441F34" w:rsidRDefault="0077047B" w:rsidP="0077047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w:t>
      </w:r>
      <w:r w:rsidRPr="00441F34">
        <w:rPr>
          <w:rFonts w:ascii="Times New Roman" w:hAnsi="Times New Roman"/>
          <w:color w:val="0070C0"/>
          <w:sz w:val="16"/>
          <w:szCs w:val="16"/>
        </w:rPr>
        <w:softHyphen/>
        <w:t xml:space="preserve">ких) боевых зарядных отделений. В октябре во время маневров флота пара ТБ-1 залпом сбросила торпеды по буксируемому щиту в 15 милях от </w:t>
      </w:r>
      <w:proofErr w:type="spellStart"/>
      <w:r w:rsidRPr="00441F34">
        <w:rPr>
          <w:rFonts w:ascii="Times New Roman" w:hAnsi="Times New Roman"/>
          <w:color w:val="0070C0"/>
          <w:sz w:val="16"/>
          <w:szCs w:val="16"/>
        </w:rPr>
        <w:t>Херсонесского</w:t>
      </w:r>
      <w:proofErr w:type="spellEnd"/>
      <w:r w:rsidRPr="00441F34">
        <w:rPr>
          <w:rFonts w:ascii="Times New Roman" w:hAnsi="Times New Roman"/>
          <w:color w:val="0070C0"/>
          <w:sz w:val="16"/>
          <w:szCs w:val="16"/>
        </w:rPr>
        <w:t xml:space="preserve"> маяка. Обе про</w:t>
      </w:r>
      <w:r w:rsidRPr="00441F34">
        <w:rPr>
          <w:rFonts w:ascii="Times New Roman" w:hAnsi="Times New Roman"/>
          <w:color w:val="0070C0"/>
          <w:sz w:val="16"/>
          <w:szCs w:val="16"/>
        </w:rPr>
        <w:softHyphen/>
        <w:t>махнулись. Трудно было учесть снос парашютов ветром. Но механизмы торпед отрабо</w:t>
      </w:r>
      <w:r w:rsidRPr="00441F34">
        <w:rPr>
          <w:rFonts w:ascii="Times New Roman" w:hAnsi="Times New Roman"/>
          <w:color w:val="0070C0"/>
          <w:sz w:val="16"/>
          <w:szCs w:val="16"/>
        </w:rPr>
        <w:softHyphen/>
        <w:t>тали исправно. Всего до 14 ноября выполнили девять сбрасываний. Поскольку в пер</w:t>
      </w:r>
      <w:r w:rsidRPr="00441F34">
        <w:rPr>
          <w:rFonts w:ascii="Times New Roman" w:hAnsi="Times New Roman"/>
          <w:color w:val="0070C0"/>
          <w:sz w:val="16"/>
          <w:szCs w:val="16"/>
        </w:rPr>
        <w:softHyphen/>
        <w:t>вую очередь всех интересовала баллистика системы, то часто сбрасывались «болван</w:t>
      </w:r>
      <w:r w:rsidRPr="00441F34">
        <w:rPr>
          <w:rFonts w:ascii="Times New Roman" w:hAnsi="Times New Roman"/>
          <w:color w:val="0070C0"/>
          <w:sz w:val="16"/>
          <w:szCs w:val="16"/>
        </w:rPr>
        <w:softHyphen/>
        <w:t>ки» - габаритно-весовые макеты без «начинки» (23464).</w:t>
      </w:r>
    </w:p>
    <w:p w14:paraId="6181147D" w14:textId="77777777" w:rsidR="0077047B" w:rsidRPr="00441F34" w:rsidRDefault="0077047B" w:rsidP="0077047B">
      <w:pPr>
        <w:spacing w:after="0" w:line="240" w:lineRule="auto"/>
        <w:jc w:val="both"/>
        <w:rPr>
          <w:rFonts w:ascii="Times New Roman" w:hAnsi="Times New Roman"/>
          <w:color w:val="0070C0"/>
          <w:sz w:val="16"/>
          <w:szCs w:val="16"/>
        </w:rPr>
      </w:pPr>
    </w:p>
    <w:p w14:paraId="5D07B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Нач. УВВС РККА П.И.Б. писал в СНК: “...изобретение тов. Майзеля имеет выдающееся значение для ВФ” (8908,36).</w:t>
      </w:r>
    </w:p>
    <w:p w14:paraId="0BD90F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323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начальник ВВС П. И. Баранов докладывал Совнаркому, что "изобретение тов. Майзеля имеет выдающееся значение для Воздушного флота".</w:t>
      </w:r>
    </w:p>
    <w:p w14:paraId="1F670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Речь шла о ЗАМ ("защитная авиационная мина") и ПБМ ("планирующая бомба-мина") конструкции инженера А.Е. Майзеля. Трудно даже подобрать для них подходящий термин. С. Резниченко в своей монографии классифицирует эту штуковину как "воздушную инерционно-ротационную планирующую торпеду". Это не крылатая ракета (хотя с крыльями и оперением), не самолет-снаряд (у него нет вообще никакого двигателя), но и не планер, поскольку имеется пропеллер. А вращал пропеллер ротор-маховик, предварительно раскрученный до 18 ООО об/мин - по тем временам очень много. Он же, являясь гироскопом, обеспечивал устойчивость аппарата на курсе. Сам Майзель называл свое детище "прибором". </w:t>
      </w:r>
      <w:proofErr w:type="spellStart"/>
      <w:r w:rsidRPr="007122AB">
        <w:rPr>
          <w:rFonts w:ascii="Times New Roman" w:hAnsi="Times New Roman"/>
          <w:color w:val="000000" w:themeColor="text1"/>
          <w:sz w:val="16"/>
          <w:szCs w:val="16"/>
        </w:rPr>
        <w:t>Майзелевскому</w:t>
      </w:r>
      <w:proofErr w:type="spellEnd"/>
      <w:r w:rsidRPr="007122AB">
        <w:rPr>
          <w:rFonts w:ascii="Times New Roman" w:hAnsi="Times New Roman"/>
          <w:color w:val="000000" w:themeColor="text1"/>
          <w:sz w:val="16"/>
          <w:szCs w:val="16"/>
        </w:rPr>
        <w:t xml:space="preserve"> детищу уделяли очень большое внимание.</w:t>
      </w:r>
    </w:p>
    <w:p w14:paraId="4ED2C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Отсутствие двигателя и системы управления позволяло сделать аппарат очень легким. На боевую часть приходилось у ЗАМ более двух третей общего веса.</w:t>
      </w:r>
    </w:p>
    <w:p w14:paraId="06887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Существовало много его разновидностей. Аппарат мог нести взрывчатку, зажигательные средства или отравляющие вещества. Головная часть, которую в будущем хотели сделать сменной, могла быть фугасной, осколочной или осветительной. У варианта ЗАМ-УСП ("увеличенной сферы поражения") на корпусе крепились батареи "</w:t>
      </w:r>
      <w:proofErr w:type="spellStart"/>
      <w:r w:rsidRPr="007122AB">
        <w:rPr>
          <w:rFonts w:ascii="Times New Roman" w:hAnsi="Times New Roman"/>
          <w:color w:val="000000" w:themeColor="text1"/>
          <w:sz w:val="16"/>
          <w:szCs w:val="16"/>
        </w:rPr>
        <w:t>мортирок</w:t>
      </w:r>
      <w:proofErr w:type="spellEnd"/>
      <w:r w:rsidRPr="007122AB">
        <w:rPr>
          <w:rFonts w:ascii="Times New Roman" w:hAnsi="Times New Roman"/>
          <w:color w:val="000000" w:themeColor="text1"/>
          <w:sz w:val="16"/>
          <w:szCs w:val="16"/>
        </w:rPr>
        <w:t>" - гранатометов. Он теоретически предназначался для уничтожения большой группы самолетов противника или аэростатов заграждения. А чтобы сбить дирижабль, намеревались подрывать начиненный взрывчаткой ротор. При этом создавалась плоскость из разлетающихся радиально осколков. Вот только надо было подгадать так, чтобы в этой плоскости дирижабль как раз и оказался. Задача усложнялась полным отсутствием у аппарата какой-либо системы управления. Майзель считал простоту и дешевизну главными достоинствами своего изобретения и категорически отказывался от радиоуправления. Планер "прибора" планировали собирать из частей, изготовленных разными заводами, на конвейере, обеспечивая идентичность изготовленных экземпляров.</w:t>
      </w:r>
    </w:p>
    <w:p w14:paraId="3CDFE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(или ПБМ) крепился под крылом самолета-носителя. Незадолго перед пуском от ветряка, установленного на носителе, через повышающий редуктор раскручивали ротор. Затем самолет прицеливался в нужном направлении и отцеплял "прибор". Далее он следовал самостоятельно по прямой. Тяги для горизонтального полета не хватало, поэтому аппарат шел со снижением. Разница между легким ЗАМ и тяжелым ПБМ фактически сводилась к траектории движения - более или менее пологой; соответственно менялся и радиус действия. Аппаратами ЗАМ намеревались стрелять по воздушным целям, ПБМ - по наземным. Для первых дальность составляла 500 - 1000 м, а для вторых определялась высотой сброса. При высоте пуска 2000 - 2300 м ПБМ мог пролететь 12-13 км. Дальность еще зависела от степени раскрутки ротора, качества его балансировки и трения в подшипниках.</w:t>
      </w:r>
    </w:p>
    <w:p w14:paraId="7567C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дальнейшем намеревались создать большие ПБМ с нагрузкой в 200 кг взрывчатки или иприта, запускаемые на дальность 40 - 50 км. Интересно, как это собирались сделать, поскольку тяга, создаваемая пропеллером, присоединенным к ротору, в ходе полета уменьшалась; одновременно ухудшалась устойчивость на курсе, поскольку ослабевал гироскопический эффект. На испытаниях это проявлялось уже после пролета 2000 м.</w:t>
      </w:r>
    </w:p>
    <w:p w14:paraId="2A6264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ЗАМоносцы</w:t>
      </w:r>
      <w:proofErr w:type="spellEnd"/>
      <w:r w:rsidRPr="007122AB">
        <w:rPr>
          <w:rFonts w:ascii="Times New Roman" w:hAnsi="Times New Roman"/>
          <w:color w:val="000000" w:themeColor="text1"/>
          <w:sz w:val="16"/>
          <w:szCs w:val="16"/>
        </w:rPr>
        <w:t>" были включены в "Систему вооружения ВВС РККА" на 1932-34 годы. Этим оружием собирались оснастить многие типы боевых самолетов. Так, ТБ-3 должен был нести под крыльями два больших ПБМ весом по 550 кг каждый (боевая часть - 200 кг).</w:t>
      </w:r>
    </w:p>
    <w:p w14:paraId="1BB448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и ПБМ неоднократно проходили летные испытания, на Ногинском полигоне в Подмосковье и в Крыму. Но больших успехов не достигли. Технология самолетостроения того времени, во многом кустарная, не могла обеспечить устойчивое движение аппарата по прямой. Небольшая разница в очертаниях правого и левого крыла или оперения приводила к полету "прибора" по замысловатым траекториям. То, что он самопроизвольно менял высоту, влияло на дальность. На испытаниях "приборы" делали подчас 500- метровые "свечки". А вот изменение направления могло привести вообще к печальным последствиям. В ходе испытаний в Крыму дважды аппараты выходили из границ полигона и падали у населенных пунктов. Один раз "прибор" (без взрывчатки) свалился на окраине Евпатории. ЗАМ- УС П вообще после начала отстрела гранат шел по замысловатой и непредсказуемой ломаной траектории. Как было написано в отчете: "...создается сфера рассеивания, не поддающаяся учету".</w:t>
      </w:r>
    </w:p>
    <w:p w14:paraId="6E53DC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 не менее, в 1935 г. нарком К.Е. Ворошилов подписал приказ о сдаче 50 аппаратов ЗАМ-М (модернизированных) и ПБМ в боевом снаряжении на вооружение ВВС. Партию приняли, но вскоре работы приостановили, конструкторское бюро разогнали, а уже готовые изделия уничтожили.</w:t>
      </w:r>
    </w:p>
    <w:p w14:paraId="225120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в 1937 г. Майзелю, свалив все неудачи на происки "врагов народа", удалось добиться формирования нового ОКБ-17 и продолжения разработки своих "приборов". Доводку ЗАМ и ПБМ вели вплоть до июня 1939 г., когда идею Майзеля окончательно похоронили как бесполезную. Но до этого момента на нее успели истратить около 10 миллионов рублей! (12036).</w:t>
      </w:r>
    </w:p>
    <w:p w14:paraId="1D46E2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6DD0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по приказу начальника Военно-строительного управления РККА в Москве в районе </w:t>
      </w:r>
      <w:proofErr w:type="spellStart"/>
      <w:r w:rsidRPr="007122AB">
        <w:rPr>
          <w:rFonts w:ascii="Times New Roman" w:hAnsi="Times New Roman"/>
          <w:color w:val="000000" w:themeColor="text1"/>
          <w:sz w:val="16"/>
          <w:szCs w:val="16"/>
        </w:rPr>
        <w:t>Дангауэровской</w:t>
      </w:r>
      <w:proofErr w:type="spellEnd"/>
      <w:r w:rsidRPr="007122AB">
        <w:rPr>
          <w:rFonts w:ascii="Times New Roman" w:hAnsi="Times New Roman"/>
          <w:color w:val="000000" w:themeColor="text1"/>
          <w:sz w:val="16"/>
          <w:szCs w:val="16"/>
        </w:rPr>
        <w:t xml:space="preserve"> слободы было приступлено к строительству завода деревянных труб (будущего завода № 383). Площадка под строительство была выбрана в одном из промышленных районов, с учетом производства наименьших капитальных затрат на прокладку водопровода, электролиний, а также устройства подъездных ширококолейных ж/д путей в непосредственной близости от ст. Сортировочная Московско-Рязанской ж/д.</w:t>
      </w:r>
    </w:p>
    <w:p w14:paraId="66D92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частичной нехваткой металлических труб в стране, связанной с проводившейся в то время экономией металла, завод строился легкого, временного типа, для производства деревянных водопроводных и других труб.</w:t>
      </w:r>
    </w:p>
    <w:p w14:paraId="34F9C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Отчетных материалов за 1931 год не сохранилось; из материалов последующих лет явствует, что на конец 1931 года завод в основном был построен и стал выпускать продукцию – деревянные трубы. В 1932 году завод вступил в эксплуатацию. В 1933 году, продолжая производство деревянных труб, приступил на имевшихся производственных площадях к производству строительных деталей – оконные переплеты, двери, плинтус и т.п. В 1934 году производство труб было прекращено. В 1935 году развивалось производство стройдеталей и мебели для оборудования санаториев, домов отдыха и военных академий. С началом ВОВ завод перешел на другую систему и переключился на выпуск совершенно новой для него продукции. Согласно распоряжения СНК от 28 июля 1941 года и приказу НКОП № 800с от 6 августа 1941 года, завод № 3 </w:t>
      </w:r>
      <w:proofErr w:type="spellStart"/>
      <w:r w:rsidRPr="007122AB">
        <w:rPr>
          <w:rFonts w:ascii="Times New Roman" w:hAnsi="Times New Roman"/>
          <w:color w:val="000000" w:themeColor="text1"/>
          <w:sz w:val="16"/>
          <w:szCs w:val="16"/>
        </w:rPr>
        <w:t>Главвоенстроя</w:t>
      </w:r>
      <w:proofErr w:type="spellEnd"/>
      <w:r w:rsidRPr="007122AB">
        <w:rPr>
          <w:rFonts w:ascii="Times New Roman" w:hAnsi="Times New Roman"/>
          <w:color w:val="000000" w:themeColor="text1"/>
          <w:sz w:val="16"/>
          <w:szCs w:val="16"/>
        </w:rPr>
        <w:t xml:space="preserve"> был передан в систему НКАП с присвоением ему наименования – завод № 383 НКАП. Начиная с этого момента завод быстро переключается на производство деревянных моноблочных воздушных винтов и лопастей к винтам изменяемого шага, производя для этого реконструкцию, перепланировку цехов и т.д.</w:t>
      </w:r>
    </w:p>
    <w:p w14:paraId="6D043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Москва, Е-24, проезд Энтузиастов, 15</w:t>
      </w:r>
    </w:p>
    <w:p w14:paraId="5647CC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 завод самолетных винтов, с деревянными лопастями</w:t>
      </w:r>
    </w:p>
    <w:p w14:paraId="1B8305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1942 году основной продукцией завода являлись моноблочные винты и лопасти к ВИШ (9666).</w:t>
      </w:r>
    </w:p>
    <w:p w14:paraId="0C824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3213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Отдел специального назначения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w:t>
      </w:r>
      <w:proofErr w:type="spellStart"/>
      <w:r w:rsidRPr="007122AB">
        <w:rPr>
          <w:rFonts w:ascii="Times New Roman" w:hAnsi="Times New Roman"/>
          <w:color w:val="000000" w:themeColor="text1"/>
          <w:sz w:val="16"/>
          <w:szCs w:val="16"/>
        </w:rPr>
        <w:t>Гипроспецмета</w:t>
      </w:r>
      <w:proofErr w:type="spellEnd"/>
      <w:r w:rsidRPr="007122AB">
        <w:rPr>
          <w:rFonts w:ascii="Times New Roman" w:hAnsi="Times New Roman"/>
          <w:color w:val="000000" w:themeColor="text1"/>
          <w:sz w:val="16"/>
          <w:szCs w:val="16"/>
        </w:rPr>
        <w:t xml:space="preserve">. Основное производство </w:t>
      </w:r>
      <w:proofErr w:type="spellStart"/>
      <w:r w:rsidRPr="007122AB">
        <w:rPr>
          <w:rFonts w:ascii="Times New Roman" w:hAnsi="Times New Roman"/>
          <w:color w:val="000000" w:themeColor="text1"/>
          <w:sz w:val="16"/>
          <w:szCs w:val="16"/>
        </w:rPr>
        <w:t>Гипроспецмета</w:t>
      </w:r>
      <w:proofErr w:type="spellEnd"/>
      <w:r w:rsidRPr="007122AB">
        <w:rPr>
          <w:rFonts w:ascii="Times New Roman" w:hAnsi="Times New Roman"/>
          <w:color w:val="000000" w:themeColor="text1"/>
          <w:sz w:val="16"/>
          <w:szCs w:val="16"/>
        </w:rPr>
        <w:t xml:space="preserve"> и управление находилось в Ленинграде. В марте 1932 года </w:t>
      </w:r>
      <w:proofErr w:type="spellStart"/>
      <w:r w:rsidRPr="007122AB">
        <w:rPr>
          <w:rFonts w:ascii="Times New Roman" w:hAnsi="Times New Roman"/>
          <w:color w:val="000000" w:themeColor="text1"/>
          <w:sz w:val="16"/>
          <w:szCs w:val="16"/>
        </w:rPr>
        <w:t>Гипроспецмет</w:t>
      </w:r>
      <w:proofErr w:type="spellEnd"/>
      <w:r w:rsidRPr="007122AB">
        <w:rPr>
          <w:rFonts w:ascii="Times New Roman" w:hAnsi="Times New Roman"/>
          <w:color w:val="000000" w:themeColor="text1"/>
          <w:sz w:val="16"/>
          <w:szCs w:val="16"/>
        </w:rPr>
        <w:t xml:space="preserve"> разделился на две независимые проектные организации. За орудийно-арсенальным сектором сохранилось название </w:t>
      </w:r>
      <w:proofErr w:type="spellStart"/>
      <w:r w:rsidRPr="007122AB">
        <w:rPr>
          <w:rFonts w:ascii="Times New Roman" w:hAnsi="Times New Roman"/>
          <w:color w:val="000000" w:themeColor="text1"/>
          <w:sz w:val="16"/>
          <w:szCs w:val="16"/>
        </w:rPr>
        <w:t>Гипроспецмет</w:t>
      </w:r>
      <w:proofErr w:type="spellEnd"/>
      <w:r w:rsidRPr="007122AB">
        <w:rPr>
          <w:rFonts w:ascii="Times New Roman" w:hAnsi="Times New Roman"/>
          <w:color w:val="000000" w:themeColor="text1"/>
          <w:sz w:val="16"/>
          <w:szCs w:val="16"/>
        </w:rPr>
        <w:t xml:space="preserve">. Самолетный сектор стал ядром проектного института авиапромышленности. Новому институту приказом по ГУАП – НКТП было присвоено название </w:t>
      </w:r>
      <w:proofErr w:type="spellStart"/>
      <w:r w:rsidRPr="007122AB">
        <w:rPr>
          <w:rFonts w:ascii="Times New Roman" w:hAnsi="Times New Roman"/>
          <w:color w:val="000000" w:themeColor="text1"/>
          <w:sz w:val="16"/>
          <w:szCs w:val="16"/>
        </w:rPr>
        <w:t>Гипроавиа</w:t>
      </w:r>
      <w:proofErr w:type="spellEnd"/>
      <w:r w:rsidRPr="007122AB">
        <w:rPr>
          <w:rFonts w:ascii="Times New Roman" w:hAnsi="Times New Roman"/>
          <w:color w:val="000000" w:themeColor="text1"/>
          <w:sz w:val="16"/>
          <w:szCs w:val="16"/>
        </w:rPr>
        <w:t>.</w:t>
      </w:r>
    </w:p>
    <w:p w14:paraId="051E9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Институт </w:t>
      </w:r>
      <w:proofErr w:type="spellStart"/>
      <w:r w:rsidRPr="007122AB">
        <w:rPr>
          <w:rFonts w:ascii="Times New Roman" w:hAnsi="Times New Roman"/>
          <w:color w:val="000000" w:themeColor="text1"/>
          <w:sz w:val="16"/>
          <w:szCs w:val="16"/>
        </w:rPr>
        <w:t>Гипроавиа</w:t>
      </w:r>
      <w:proofErr w:type="spellEnd"/>
      <w:r w:rsidRPr="007122AB">
        <w:rPr>
          <w:rFonts w:ascii="Times New Roman" w:hAnsi="Times New Roman"/>
          <w:color w:val="000000" w:themeColor="text1"/>
          <w:sz w:val="16"/>
          <w:szCs w:val="16"/>
        </w:rPr>
        <w:t xml:space="preserve"> возник в результате слияния двух групп:</w:t>
      </w:r>
    </w:p>
    <w:p w14:paraId="01051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самолетной группы </w:t>
      </w:r>
      <w:proofErr w:type="spellStart"/>
      <w:r w:rsidRPr="007122AB">
        <w:rPr>
          <w:rFonts w:ascii="Times New Roman" w:hAnsi="Times New Roman"/>
          <w:color w:val="000000" w:themeColor="text1"/>
          <w:sz w:val="16"/>
          <w:szCs w:val="16"/>
        </w:rPr>
        <w:t>Гипроспецмета</w:t>
      </w:r>
      <w:proofErr w:type="spellEnd"/>
    </w:p>
    <w:p w14:paraId="3AF399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группы сотрудников ВАО.</w:t>
      </w:r>
    </w:p>
    <w:p w14:paraId="2E5E6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632CF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16625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56A32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BB74D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408B59" w14:textId="77777777" w:rsidR="0093631F" w:rsidRPr="009F5089" w:rsidRDefault="0093631F" w:rsidP="0093631F">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марте 1931 г. в</w:t>
      </w:r>
      <w:r w:rsidRPr="009F5089">
        <w:rPr>
          <w:rFonts w:ascii="Times New Roman" w:hAnsi="Times New Roman"/>
          <w:color w:val="0070C0"/>
          <w:sz w:val="16"/>
          <w:szCs w:val="16"/>
        </w:rPr>
        <w:t xml:space="preserve"> Ленинграде проводились первые в СССР опыты по приме</w:t>
      </w:r>
      <w:r>
        <w:rPr>
          <w:rFonts w:ascii="Times New Roman" w:hAnsi="Times New Roman"/>
          <w:color w:val="0070C0"/>
          <w:sz w:val="16"/>
          <w:szCs w:val="16"/>
        </w:rPr>
        <w:t>нению</w:t>
      </w:r>
      <w:r w:rsidRPr="009F5089">
        <w:rPr>
          <w:rFonts w:ascii="Times New Roman" w:hAnsi="Times New Roman"/>
          <w:color w:val="0070C0"/>
          <w:sz w:val="16"/>
          <w:szCs w:val="16"/>
        </w:rPr>
        <w:t xml:space="preserve"> пороховых ракет </w:t>
      </w:r>
      <w:r>
        <w:rPr>
          <w:rFonts w:ascii="Times New Roman" w:hAnsi="Times New Roman"/>
          <w:color w:val="0070C0"/>
          <w:sz w:val="16"/>
          <w:szCs w:val="16"/>
        </w:rPr>
        <w:t>в</w:t>
      </w:r>
      <w:r w:rsidRPr="009F5089">
        <w:rPr>
          <w:rFonts w:ascii="Times New Roman" w:hAnsi="Times New Roman"/>
          <w:color w:val="0070C0"/>
          <w:sz w:val="16"/>
          <w:szCs w:val="16"/>
        </w:rPr>
        <w:t xml:space="preserve"> качестве ускорителей взлета самолета.</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Две </w:t>
      </w:r>
      <w:r>
        <w:rPr>
          <w:rFonts w:ascii="Times New Roman" w:hAnsi="Times New Roman"/>
          <w:color w:val="0070C0"/>
          <w:sz w:val="16"/>
          <w:szCs w:val="16"/>
        </w:rPr>
        <w:t>ракеты конструкции</w:t>
      </w:r>
      <w:r w:rsidRPr="009F5089">
        <w:rPr>
          <w:rFonts w:ascii="Times New Roman" w:hAnsi="Times New Roman"/>
          <w:color w:val="0070C0"/>
          <w:sz w:val="16"/>
          <w:szCs w:val="16"/>
        </w:rPr>
        <w:t xml:space="preserve"> Артиллерийского НИ</w:t>
      </w:r>
      <w:r>
        <w:rPr>
          <w:rFonts w:ascii="Times New Roman" w:hAnsi="Times New Roman"/>
          <w:color w:val="0070C0"/>
          <w:sz w:val="16"/>
          <w:szCs w:val="16"/>
        </w:rPr>
        <w:t>И</w:t>
      </w:r>
      <w:r w:rsidRPr="009F5089">
        <w:rPr>
          <w:rFonts w:ascii="Times New Roman" w:hAnsi="Times New Roman"/>
          <w:color w:val="0070C0"/>
          <w:sz w:val="16"/>
          <w:szCs w:val="16"/>
        </w:rPr>
        <w:t xml:space="preserve"> устанавливались под кры</w:t>
      </w:r>
      <w:r w:rsidRPr="009F5089">
        <w:rPr>
          <w:rFonts w:ascii="Times New Roman" w:hAnsi="Times New Roman"/>
          <w:color w:val="0070C0"/>
          <w:sz w:val="16"/>
          <w:szCs w:val="16"/>
        </w:rPr>
        <w:softHyphen/>
      </w:r>
      <w:r>
        <w:rPr>
          <w:rFonts w:ascii="Times New Roman" w:hAnsi="Times New Roman"/>
          <w:color w:val="0070C0"/>
          <w:sz w:val="16"/>
          <w:szCs w:val="16"/>
        </w:rPr>
        <w:t>лом самолета</w:t>
      </w:r>
      <w:r w:rsidRPr="009F5089">
        <w:rPr>
          <w:rFonts w:ascii="Times New Roman" w:hAnsi="Times New Roman"/>
          <w:color w:val="0070C0"/>
          <w:sz w:val="16"/>
          <w:szCs w:val="16"/>
        </w:rPr>
        <w:t xml:space="preserve"> У-1 /</w:t>
      </w:r>
      <w:proofErr w:type="spellStart"/>
      <w:r w:rsidRPr="009F5089">
        <w:rPr>
          <w:rFonts w:ascii="Times New Roman" w:hAnsi="Times New Roman"/>
          <w:color w:val="0070C0"/>
          <w:sz w:val="16"/>
          <w:szCs w:val="16"/>
        </w:rPr>
        <w:t>А</w:t>
      </w:r>
      <w:r>
        <w:rPr>
          <w:rFonts w:ascii="Times New Roman" w:hAnsi="Times New Roman"/>
          <w:color w:val="0070C0"/>
          <w:sz w:val="16"/>
          <w:szCs w:val="16"/>
        </w:rPr>
        <w:t>в</w:t>
      </w:r>
      <w:r w:rsidRPr="009F5089">
        <w:rPr>
          <w:rFonts w:ascii="Times New Roman" w:hAnsi="Times New Roman"/>
          <w:color w:val="0070C0"/>
          <w:sz w:val="16"/>
          <w:szCs w:val="16"/>
        </w:rPr>
        <w:t>ро</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управляемого </w:t>
      </w:r>
      <w:proofErr w:type="spellStart"/>
      <w:r w:rsidRPr="009F5089">
        <w:rPr>
          <w:rFonts w:ascii="Times New Roman" w:hAnsi="Times New Roman"/>
          <w:color w:val="0070C0"/>
          <w:sz w:val="16"/>
          <w:szCs w:val="16"/>
        </w:rPr>
        <w:t>латч</w:t>
      </w:r>
      <w:r>
        <w:rPr>
          <w:rFonts w:ascii="Times New Roman" w:hAnsi="Times New Roman"/>
          <w:color w:val="0070C0"/>
          <w:sz w:val="16"/>
          <w:szCs w:val="16"/>
        </w:rPr>
        <w:t>и</w:t>
      </w:r>
      <w:r w:rsidRPr="009F5089">
        <w:rPr>
          <w:rFonts w:ascii="Times New Roman" w:hAnsi="Times New Roman"/>
          <w:color w:val="0070C0"/>
          <w:sz w:val="16"/>
          <w:szCs w:val="16"/>
        </w:rPr>
        <w:t>ком</w:t>
      </w:r>
      <w:proofErr w:type="spellEnd"/>
      <w:r w:rsidRPr="009F5089">
        <w:rPr>
          <w:rFonts w:ascii="Times New Roman" w:hAnsi="Times New Roman"/>
          <w:color w:val="0070C0"/>
          <w:sz w:val="16"/>
          <w:szCs w:val="16"/>
        </w:rPr>
        <w:t xml:space="preserve"> Сергеем </w:t>
      </w:r>
      <w:r>
        <w:rPr>
          <w:rFonts w:ascii="Times New Roman" w:hAnsi="Times New Roman"/>
          <w:color w:val="0070C0"/>
          <w:sz w:val="16"/>
          <w:szCs w:val="16"/>
        </w:rPr>
        <w:t xml:space="preserve">Ивановичем </w:t>
      </w:r>
    </w:p>
    <w:p w14:paraId="4A2EBFA8" w14:textId="77777777" w:rsidR="0093631F" w:rsidRDefault="0093631F" w:rsidP="0093631F">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Мухин</w:t>
      </w:r>
      <w:r>
        <w:rPr>
          <w:rFonts w:ascii="Times New Roman" w:hAnsi="Times New Roman"/>
          <w:color w:val="0070C0"/>
          <w:sz w:val="16"/>
          <w:szCs w:val="16"/>
        </w:rPr>
        <w:t>ы</w:t>
      </w:r>
      <w:r w:rsidRPr="009F5089">
        <w:rPr>
          <w:rFonts w:ascii="Times New Roman" w:hAnsi="Times New Roman"/>
          <w:color w:val="0070C0"/>
          <w:sz w:val="16"/>
          <w:szCs w:val="16"/>
        </w:rPr>
        <w:t>м.</w:t>
      </w:r>
      <w:r>
        <w:rPr>
          <w:rFonts w:ascii="Times New Roman" w:hAnsi="Times New Roman"/>
          <w:color w:val="0070C0"/>
          <w:sz w:val="16"/>
          <w:szCs w:val="16"/>
        </w:rPr>
        <w:t xml:space="preserve"> </w:t>
      </w:r>
      <w:r w:rsidRPr="009F5089">
        <w:rPr>
          <w:rFonts w:ascii="Times New Roman" w:hAnsi="Times New Roman"/>
          <w:color w:val="0070C0"/>
          <w:sz w:val="16"/>
          <w:szCs w:val="16"/>
        </w:rPr>
        <w:t>Полетам</w:t>
      </w:r>
      <w:r>
        <w:rPr>
          <w:rFonts w:ascii="Times New Roman" w:hAnsi="Times New Roman"/>
          <w:color w:val="0070C0"/>
          <w:sz w:val="16"/>
          <w:szCs w:val="16"/>
        </w:rPr>
        <w:t>и</w:t>
      </w:r>
      <w:r w:rsidRPr="009F5089">
        <w:rPr>
          <w:rFonts w:ascii="Times New Roman" w:hAnsi="Times New Roman"/>
          <w:color w:val="0070C0"/>
          <w:sz w:val="16"/>
          <w:szCs w:val="16"/>
        </w:rPr>
        <w:t xml:space="preserve"> руководил </w:t>
      </w:r>
      <w:r>
        <w:rPr>
          <w:rFonts w:ascii="Times New Roman" w:hAnsi="Times New Roman"/>
          <w:color w:val="0070C0"/>
          <w:sz w:val="16"/>
          <w:szCs w:val="16"/>
        </w:rPr>
        <w:t>инж</w:t>
      </w:r>
      <w:r w:rsidRPr="009F5089">
        <w:rPr>
          <w:rFonts w:ascii="Times New Roman" w:hAnsi="Times New Roman"/>
          <w:color w:val="0070C0"/>
          <w:sz w:val="16"/>
          <w:szCs w:val="16"/>
        </w:rPr>
        <w:t>енер Вячеслав</w:t>
      </w:r>
      <w:r>
        <w:rPr>
          <w:rFonts w:ascii="Times New Roman" w:hAnsi="Times New Roman"/>
          <w:color w:val="0070C0"/>
          <w:sz w:val="16"/>
          <w:szCs w:val="16"/>
        </w:rPr>
        <w:t xml:space="preserve"> Иванович Д</w:t>
      </w:r>
      <w:r w:rsidRPr="009F5089">
        <w:rPr>
          <w:rFonts w:ascii="Times New Roman" w:hAnsi="Times New Roman"/>
          <w:color w:val="0070C0"/>
          <w:sz w:val="16"/>
          <w:szCs w:val="16"/>
        </w:rPr>
        <w:t>удаков,</w:t>
      </w:r>
      <w:r>
        <w:rPr>
          <w:rFonts w:ascii="Times New Roman" w:hAnsi="Times New Roman"/>
          <w:color w:val="0070C0"/>
          <w:sz w:val="16"/>
          <w:szCs w:val="16"/>
        </w:rPr>
        <w:t xml:space="preserve"> предложивший</w:t>
      </w:r>
      <w:r w:rsidRPr="009F5089">
        <w:rPr>
          <w:rFonts w:ascii="Times New Roman" w:hAnsi="Times New Roman"/>
          <w:color w:val="0070C0"/>
          <w:sz w:val="16"/>
          <w:szCs w:val="16"/>
        </w:rPr>
        <w:t xml:space="preserve"> эту идею в 1928 году и разработа</w:t>
      </w:r>
      <w:r>
        <w:rPr>
          <w:rFonts w:ascii="Times New Roman" w:hAnsi="Times New Roman"/>
          <w:color w:val="0070C0"/>
          <w:sz w:val="16"/>
          <w:szCs w:val="16"/>
        </w:rPr>
        <w:t>вший</w:t>
      </w:r>
      <w:r w:rsidRPr="009F5089">
        <w:rPr>
          <w:rFonts w:ascii="Times New Roman" w:hAnsi="Times New Roman"/>
          <w:color w:val="0070C0"/>
          <w:sz w:val="16"/>
          <w:szCs w:val="16"/>
        </w:rPr>
        <w:t xml:space="preserve"> конструкцию </w:t>
      </w:r>
      <w:r>
        <w:rPr>
          <w:rFonts w:ascii="Times New Roman" w:hAnsi="Times New Roman"/>
          <w:color w:val="0070C0"/>
          <w:sz w:val="16"/>
          <w:szCs w:val="16"/>
        </w:rPr>
        <w:t>ракетных</w:t>
      </w:r>
      <w:r w:rsidRPr="009F5089">
        <w:rPr>
          <w:rFonts w:ascii="Times New Roman" w:hAnsi="Times New Roman"/>
          <w:color w:val="0070C0"/>
          <w:sz w:val="16"/>
          <w:szCs w:val="16"/>
        </w:rPr>
        <w:t xml:space="preserve"> у</w:t>
      </w:r>
      <w:r>
        <w:rPr>
          <w:rFonts w:ascii="Times New Roman" w:hAnsi="Times New Roman"/>
          <w:color w:val="0070C0"/>
          <w:sz w:val="16"/>
          <w:szCs w:val="16"/>
        </w:rPr>
        <w:t>с</w:t>
      </w:r>
      <w:r w:rsidRPr="009F5089">
        <w:rPr>
          <w:rFonts w:ascii="Times New Roman" w:hAnsi="Times New Roman"/>
          <w:color w:val="0070C0"/>
          <w:sz w:val="16"/>
          <w:szCs w:val="16"/>
        </w:rPr>
        <w:t>тано</w:t>
      </w:r>
      <w:r>
        <w:rPr>
          <w:rFonts w:ascii="Times New Roman" w:hAnsi="Times New Roman"/>
          <w:color w:val="0070C0"/>
          <w:sz w:val="16"/>
          <w:szCs w:val="16"/>
        </w:rPr>
        <w:t>в</w:t>
      </w:r>
      <w:r w:rsidRPr="009F5089">
        <w:rPr>
          <w:rFonts w:ascii="Times New Roman" w:hAnsi="Times New Roman"/>
          <w:color w:val="0070C0"/>
          <w:sz w:val="16"/>
          <w:szCs w:val="16"/>
        </w:rPr>
        <w:t>ок.</w:t>
      </w:r>
      <w:r>
        <w:rPr>
          <w:rFonts w:ascii="Times New Roman" w:hAnsi="Times New Roman"/>
          <w:color w:val="0070C0"/>
          <w:sz w:val="16"/>
          <w:szCs w:val="16"/>
        </w:rPr>
        <w:t xml:space="preserve"> </w:t>
      </w:r>
      <w:r w:rsidRPr="009F5089">
        <w:rPr>
          <w:rFonts w:ascii="Times New Roman" w:hAnsi="Times New Roman"/>
          <w:color w:val="0070C0"/>
          <w:sz w:val="16"/>
          <w:szCs w:val="16"/>
        </w:rPr>
        <w:t>Опыты прошли удачно,</w:t>
      </w:r>
      <w:r>
        <w:rPr>
          <w:rFonts w:ascii="Times New Roman" w:hAnsi="Times New Roman"/>
          <w:color w:val="0070C0"/>
          <w:sz w:val="16"/>
          <w:szCs w:val="16"/>
        </w:rPr>
        <w:t xml:space="preserve"> </w:t>
      </w:r>
      <w:r w:rsidRPr="009F5089">
        <w:rPr>
          <w:rFonts w:ascii="Times New Roman" w:hAnsi="Times New Roman"/>
          <w:color w:val="0070C0"/>
          <w:sz w:val="16"/>
          <w:szCs w:val="16"/>
        </w:rPr>
        <w:t>разбег самолета сокра</w:t>
      </w:r>
      <w:r>
        <w:rPr>
          <w:rFonts w:ascii="Times New Roman" w:hAnsi="Times New Roman"/>
          <w:color w:val="0070C0"/>
          <w:sz w:val="16"/>
          <w:szCs w:val="16"/>
        </w:rPr>
        <w:t>щ</w:t>
      </w:r>
      <w:r w:rsidRPr="009F5089">
        <w:rPr>
          <w:rFonts w:ascii="Times New Roman" w:hAnsi="Times New Roman"/>
          <w:color w:val="0070C0"/>
          <w:sz w:val="16"/>
          <w:szCs w:val="16"/>
        </w:rPr>
        <w:t xml:space="preserve">ался </w:t>
      </w:r>
      <w:r>
        <w:rPr>
          <w:rFonts w:ascii="Times New Roman" w:hAnsi="Times New Roman"/>
          <w:color w:val="0070C0"/>
          <w:sz w:val="16"/>
          <w:szCs w:val="16"/>
        </w:rPr>
        <w:t xml:space="preserve">в </w:t>
      </w:r>
      <w:r w:rsidRPr="009F5089">
        <w:rPr>
          <w:rFonts w:ascii="Times New Roman" w:hAnsi="Times New Roman"/>
          <w:color w:val="0070C0"/>
          <w:sz w:val="16"/>
          <w:szCs w:val="16"/>
        </w:rPr>
        <w:t>5-6 раз.</w:t>
      </w:r>
      <w:r>
        <w:rPr>
          <w:rFonts w:ascii="Times New Roman" w:hAnsi="Times New Roman"/>
          <w:color w:val="0070C0"/>
          <w:sz w:val="16"/>
          <w:szCs w:val="16"/>
        </w:rPr>
        <w:t xml:space="preserve"> </w:t>
      </w:r>
      <w:r w:rsidRPr="009F5089">
        <w:rPr>
          <w:rFonts w:ascii="Times New Roman" w:hAnsi="Times New Roman"/>
          <w:color w:val="0070C0"/>
          <w:sz w:val="16"/>
          <w:szCs w:val="16"/>
        </w:rPr>
        <w:t>В 1932 году опыты были продолжены на самолете ТБ-1.</w:t>
      </w:r>
    </w:p>
    <w:p w14:paraId="7E7B6033" w14:textId="77777777" w:rsidR="0093631F" w:rsidRDefault="0093631F" w:rsidP="0093631F">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Р</w:t>
      </w:r>
      <w:r w:rsidRPr="009F5089">
        <w:rPr>
          <w:rFonts w:ascii="Times New Roman" w:hAnsi="Times New Roman"/>
          <w:color w:val="0070C0"/>
          <w:sz w:val="16"/>
          <w:szCs w:val="16"/>
        </w:rPr>
        <w:t>акетная техника", 1936 № 2,</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материалы </w:t>
      </w:r>
      <w:proofErr w:type="spellStart"/>
      <w:r w:rsidRPr="009F5089">
        <w:rPr>
          <w:rFonts w:ascii="Times New Roman" w:hAnsi="Times New Roman"/>
          <w:color w:val="0070C0"/>
          <w:sz w:val="16"/>
          <w:szCs w:val="16"/>
        </w:rPr>
        <w:t>В.И.Дудакова</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5E26925D" w14:textId="77777777" w:rsidR="0093631F" w:rsidRPr="009F5089" w:rsidRDefault="0093631F" w:rsidP="0093631F">
      <w:pPr>
        <w:spacing w:after="0" w:line="240" w:lineRule="auto"/>
        <w:jc w:val="both"/>
        <w:rPr>
          <w:rFonts w:ascii="Times New Roman" w:hAnsi="Times New Roman"/>
          <w:color w:val="0070C0"/>
          <w:sz w:val="16"/>
          <w:szCs w:val="16"/>
        </w:rPr>
      </w:pPr>
    </w:p>
    <w:p w14:paraId="5235F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в эллинге на Волковом поле в Ленинграде проводилась сборка дирижабля В-1. 9 апреля 1931 года состоялся первый полет В-1 (командир корабля — В. Л. </w:t>
      </w:r>
      <w:proofErr w:type="spellStart"/>
      <w:r w:rsidRPr="007122AB">
        <w:rPr>
          <w:rFonts w:ascii="Times New Roman" w:hAnsi="Times New Roman"/>
          <w:color w:val="000000" w:themeColor="text1"/>
          <w:sz w:val="16"/>
          <w:szCs w:val="16"/>
        </w:rPr>
        <w:t>Нижевский</w:t>
      </w:r>
      <w:proofErr w:type="spellEnd"/>
      <w:r w:rsidRPr="007122AB">
        <w:rPr>
          <w:rFonts w:ascii="Times New Roman" w:hAnsi="Times New Roman"/>
          <w:color w:val="000000" w:themeColor="text1"/>
          <w:sz w:val="16"/>
          <w:szCs w:val="16"/>
        </w:rPr>
        <w:t>).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(10731).</w:t>
      </w:r>
    </w:p>
    <w:p w14:paraId="7AB5B9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9E2FAC"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конструкторскому отделу Гроховского были переданы опытные мастерские НИИ ВВС. В 1930 в соответствии решением командования Военно-воздушных сил РККА о проведении Научно-исследовательским институтом ВВС исследовательских работ по созданию и испытанию различных типов средств выброски военной техники и боевых грузов с </w:t>
      </w:r>
      <w:proofErr w:type="spellStart"/>
      <w:r w:rsidRPr="007122AB">
        <w:rPr>
          <w:rFonts w:ascii="Times New Roman" w:hAnsi="Times New Roman"/>
          <w:color w:val="000000" w:themeColor="text1"/>
          <w:sz w:val="16"/>
          <w:szCs w:val="16"/>
        </w:rPr>
        <w:t>парашютамив</w:t>
      </w:r>
      <w:proofErr w:type="spellEnd"/>
      <w:r w:rsidRPr="007122AB">
        <w:rPr>
          <w:rFonts w:ascii="Times New Roman" w:hAnsi="Times New Roman"/>
          <w:color w:val="000000" w:themeColor="text1"/>
          <w:sz w:val="16"/>
          <w:szCs w:val="16"/>
        </w:rPr>
        <w:t xml:space="preserve"> НИИ ВВС в 1930 г. был создан конструкторский отдел под руководством военного летчика, участника Гражданской войны, талантливого изобретателя Гроховского Павла Игнатьевича. Главной задачей отдела были разработка, изготовление и испытание новых образцов </w:t>
      </w:r>
      <w:r w:rsidRPr="007122AB">
        <w:rPr>
          <w:rFonts w:ascii="Times New Roman" w:hAnsi="Times New Roman"/>
          <w:color w:val="000000" w:themeColor="text1"/>
          <w:sz w:val="16"/>
          <w:szCs w:val="16"/>
        </w:rPr>
        <w:lastRenderedPageBreak/>
        <w:t>парашютно-десантной техники. Все работы, возлагаемые на конструкторский отдел, объединялись общей темой - «Воздушная пехота». Несколько позже отдел был преобразован в особое конструкторское бюро (15506).</w:t>
      </w:r>
    </w:p>
    <w:p w14:paraId="5797B485"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71F546C1"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был сформирован нештатный </w:t>
      </w:r>
      <w:proofErr w:type="spellStart"/>
      <w:r w:rsidRPr="007122AB">
        <w:rPr>
          <w:rFonts w:ascii="Times New Roman" w:hAnsi="Times New Roman"/>
          <w:color w:val="000000" w:themeColor="text1"/>
          <w:sz w:val="16"/>
          <w:szCs w:val="16"/>
        </w:rPr>
        <w:t>авиамотодесантный</w:t>
      </w:r>
      <w:proofErr w:type="spellEnd"/>
      <w:r w:rsidRPr="007122AB">
        <w:rPr>
          <w:rFonts w:ascii="Times New Roman" w:hAnsi="Times New Roman"/>
          <w:color w:val="000000" w:themeColor="text1"/>
          <w:sz w:val="16"/>
          <w:szCs w:val="16"/>
        </w:rPr>
        <w:t xml:space="preserve"> отряд в Ленинградском военном округе (15506).</w:t>
      </w:r>
    </w:p>
    <w:p w14:paraId="69A83E4A"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766A978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244703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3813D1" w14:textId="77777777" w:rsidR="00632EC2" w:rsidRPr="007122AB" w:rsidRDefault="00632EC2"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В марте 1931 года начальник Артиллерийского научно-исследовательского института (АНИИ) </w:t>
      </w:r>
      <w:proofErr w:type="spellStart"/>
      <w:r w:rsidRPr="007122AB">
        <w:rPr>
          <w:color w:val="000000" w:themeColor="text1"/>
          <w:sz w:val="16"/>
          <w:szCs w:val="16"/>
        </w:rPr>
        <w:t>Фавицкий</w:t>
      </w:r>
      <w:proofErr w:type="spellEnd"/>
      <w:r w:rsidRPr="007122AB">
        <w:rPr>
          <w:color w:val="000000" w:themeColor="text1"/>
          <w:sz w:val="16"/>
          <w:szCs w:val="16"/>
        </w:rPr>
        <w:t xml:space="preserve"> на свой страх и риск обратился лично к начальнику особого отдела ОГПУ Ленинградского военного округа с ходатайством не привлекать сотрудников АНИИ к уголовной ответственности за просчеты в научно-исследовательской деятельности. В своем письме он приводил очень веские аргументы, с которыми трудно не согласиться. Начальник института, в частности, исключительно точно подметил: «Если за неудачный опыт инженеру грозит трибунал, инженер перестает быть инженером и становится чиновником» (20981).</w:t>
      </w:r>
    </w:p>
    <w:p w14:paraId="3B5CF206" w14:textId="77777777" w:rsidR="00632EC2" w:rsidRPr="007122AB" w:rsidRDefault="00632EC2" w:rsidP="007122AB">
      <w:pPr>
        <w:pStyle w:val="ae"/>
        <w:shd w:val="clear" w:color="auto" w:fill="FFFFFF"/>
        <w:spacing w:before="0" w:after="0"/>
        <w:jc w:val="both"/>
        <w:rPr>
          <w:color w:val="000000" w:themeColor="text1"/>
          <w:sz w:val="16"/>
          <w:szCs w:val="16"/>
        </w:rPr>
      </w:pPr>
    </w:p>
    <w:p w14:paraId="46928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года работа над проектом ТМ-1-14 была завершена. Изготовление транспортеров этого типа было поручено нескольким заводам. Главные балки и тележки были сделаны на заводе «Красный Путиловец» (бывший Путиловский, позже — Кировский). Отливки — на заводе имени Ленина, поковки — на Обуховском заводе («Большевик»). Вагоны специального назначения были заказаны заводу имени Егорова. Остальные узлы и самое ответственное дело — сборку транспортеров — производил ЛМЗ (Ленинградский металлический завод) (11454).</w:t>
      </w:r>
    </w:p>
    <w:p w14:paraId="7E0E4E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D70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w:t>
      </w:r>
      <w:proofErr w:type="spellStart"/>
      <w:r w:rsidRPr="007122AB">
        <w:rPr>
          <w:rFonts w:ascii="Times New Roman" w:hAnsi="Times New Roman"/>
          <w:color w:val="000000" w:themeColor="text1"/>
          <w:sz w:val="16"/>
          <w:szCs w:val="16"/>
        </w:rPr>
        <w:t>Э.Гроте</w:t>
      </w:r>
      <w:proofErr w:type="spellEnd"/>
      <w:r w:rsidRPr="007122AB">
        <w:rPr>
          <w:rFonts w:ascii="Times New Roman" w:hAnsi="Times New Roman"/>
          <w:color w:val="000000" w:themeColor="text1"/>
          <w:sz w:val="16"/>
          <w:szCs w:val="16"/>
        </w:rPr>
        <w:t xml:space="preserve"> предложил УММ РККА два варианта проекта 1000 тонного танка с установкой вооружения в 6 башнях, в т.ч. с 2х304 м, 4х152 мм. Экипаж - 40 чел., броня 250-300 мм, дно и крыша - 60-100 мм, двигатели -24000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(9527,152).</w:t>
      </w:r>
    </w:p>
    <w:p w14:paraId="25169D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9EC3E8"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для Т-24 на заводе «Большевик» разработали упрощенный вариант коробки передач с бортовыми фрикционами и с использованием маховика от главного фрикциона, а также сварной корпус с уменьшенной на 400 кг массой. Кроме того, предлагался вариант спаренной установки пушки и пулемета в большой башне. Летом того же года ожидалось проведение испытаний в танке специального двигателя мощностью 180 л.с. конструкции завода «Большевик». Предпринимались попытки модернизации Т-24, которые, впрочем, остались только в проектах. Так, в марте 1931 г. ГКБ предложило проект спаренной установки 45-мм пушки и 7,62-мм пулемета ДТ, расположенной в главной башне, а также сварного корпуса (применение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w:t>
      </w:r>
      <w:proofErr w:type="spellStart"/>
      <w:r w:rsidRPr="007122AB">
        <w:rPr>
          <w:rFonts w:ascii="Times New Roman" w:hAnsi="Times New Roman"/>
          <w:color w:val="000000" w:themeColor="text1"/>
          <w:sz w:val="16"/>
          <w:szCs w:val="16"/>
        </w:rPr>
        <w:t>фильтр.В</w:t>
      </w:r>
      <w:proofErr w:type="spellEnd"/>
      <w:r w:rsidRPr="007122AB">
        <w:rPr>
          <w:rFonts w:ascii="Times New Roman" w:hAnsi="Times New Roman"/>
          <w:color w:val="000000" w:themeColor="text1"/>
          <w:sz w:val="16"/>
          <w:szCs w:val="16"/>
        </w:rPr>
        <w:t xml:space="preserve"> ноябре 1931 г. КБ №3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38CE890D"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666C959B"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ГКБ предложило проект спаренной установки 45-мм пушки и 7,62-мм пулемета ДТ, расположенной в главной башне, а также сварного корпуса (применение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w:t>
      </w:r>
      <w:proofErr w:type="spellStart"/>
      <w:r w:rsidRPr="007122AB">
        <w:rPr>
          <w:rFonts w:ascii="Times New Roman" w:hAnsi="Times New Roman"/>
          <w:color w:val="000000" w:themeColor="text1"/>
          <w:sz w:val="16"/>
          <w:szCs w:val="16"/>
        </w:rPr>
        <w:t>фильтр.В</w:t>
      </w:r>
      <w:proofErr w:type="spellEnd"/>
      <w:r w:rsidRPr="007122AB">
        <w:rPr>
          <w:rFonts w:ascii="Times New Roman" w:hAnsi="Times New Roman"/>
          <w:color w:val="000000" w:themeColor="text1"/>
          <w:sz w:val="16"/>
          <w:szCs w:val="16"/>
        </w:rPr>
        <w:t xml:space="preserve"> ноябре 1931 г. КБ №3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6EB44C00"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15D47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ГКБ разработало проект спаренной установки 45 мм пушки и 7.62 мм пулемета ДТ для Т-24, а также сварного корпуса (9527,117).</w:t>
      </w:r>
    </w:p>
    <w:p w14:paraId="13CD7E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7863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После возвращения </w:t>
      </w:r>
      <w:proofErr w:type="spellStart"/>
      <w:r w:rsidRPr="007122AB">
        <w:rPr>
          <w:rFonts w:ascii="Times New Roman" w:hAnsi="Times New Roman"/>
          <w:color w:val="000000" w:themeColor="text1"/>
          <w:sz w:val="16"/>
          <w:szCs w:val="16"/>
        </w:rPr>
        <w:t>Н.М.Тоскина</w:t>
      </w:r>
      <w:proofErr w:type="spellEnd"/>
      <w:r w:rsidRPr="007122AB">
        <w:rPr>
          <w:rFonts w:ascii="Times New Roman" w:hAnsi="Times New Roman"/>
          <w:color w:val="000000" w:themeColor="text1"/>
          <w:sz w:val="16"/>
          <w:szCs w:val="16"/>
        </w:rPr>
        <w:t xml:space="preserve"> из Америки, он вначале консультировал разработку чертежей колесно-гусеничного танка БТ-2, сообразуясь с условиями производства танков на ХПЗ им. Комин</w:t>
      </w:r>
      <w:r w:rsidRPr="007122AB">
        <w:rPr>
          <w:rFonts w:ascii="Times New Roman" w:hAnsi="Times New Roman"/>
          <w:color w:val="000000" w:themeColor="text1"/>
          <w:sz w:val="16"/>
          <w:szCs w:val="16"/>
        </w:rPr>
        <w:softHyphen/>
        <w:t>терна, ставший после завода «Большевик» еще одним центром танкового производства. По сути это было решение начать производство колесно-гусеничного танка БТ на базе танка Кристи.</w:t>
      </w:r>
    </w:p>
    <w:p w14:paraId="1E7CFE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второй половины 1930 года в ГКБ ОАТ велась разработка чертежей этого танка на базе закупленного образца. Из прибывших двух шасси Кристи, как их называли «заокеанских машин», — одно было под</w:t>
      </w:r>
      <w:r w:rsidRPr="007122AB">
        <w:rPr>
          <w:rFonts w:ascii="Times New Roman" w:hAnsi="Times New Roman"/>
          <w:color w:val="000000" w:themeColor="text1"/>
          <w:sz w:val="16"/>
          <w:szCs w:val="16"/>
        </w:rPr>
        <w:softHyphen/>
        <w:t>робно изучено, затем разобрано и детализировано. Второе шасси было подвергнуто всесторонним испытаниям на научно-исследовательском по</w:t>
      </w:r>
      <w:r w:rsidRPr="007122AB">
        <w:rPr>
          <w:rFonts w:ascii="Times New Roman" w:hAnsi="Times New Roman"/>
          <w:color w:val="000000" w:themeColor="text1"/>
          <w:sz w:val="16"/>
          <w:szCs w:val="16"/>
        </w:rPr>
        <w:softHyphen/>
        <w:t>лигоне в Нахабино.</w:t>
      </w:r>
    </w:p>
    <w:p w14:paraId="3C2F17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разработке чертежей будущего танка приняли участие А.О. Фирсов, В.Э Клодт и К.И. </w:t>
      </w:r>
      <w:proofErr w:type="spellStart"/>
      <w:r w:rsidRPr="007122AB">
        <w:rPr>
          <w:rFonts w:ascii="Times New Roman" w:hAnsi="Times New Roman"/>
          <w:color w:val="000000" w:themeColor="text1"/>
          <w:sz w:val="16"/>
          <w:szCs w:val="16"/>
        </w:rPr>
        <w:t>Цереквицкий</w:t>
      </w:r>
      <w:proofErr w:type="spellEnd"/>
      <w:r w:rsidRPr="007122AB">
        <w:rPr>
          <w:rFonts w:ascii="Times New Roman" w:hAnsi="Times New Roman"/>
          <w:color w:val="000000" w:themeColor="text1"/>
          <w:sz w:val="16"/>
          <w:szCs w:val="16"/>
        </w:rPr>
        <w:t>. На время разработки в ГКБ был коман</w:t>
      </w:r>
      <w:r w:rsidRPr="007122AB">
        <w:rPr>
          <w:rFonts w:ascii="Times New Roman" w:hAnsi="Times New Roman"/>
          <w:color w:val="000000" w:themeColor="text1"/>
          <w:sz w:val="16"/>
          <w:szCs w:val="16"/>
        </w:rPr>
        <w:softHyphen/>
        <w:t xml:space="preserve">дирован и </w:t>
      </w:r>
      <w:proofErr w:type="spellStart"/>
      <w:r w:rsidRPr="007122AB">
        <w:rPr>
          <w:rFonts w:ascii="Times New Roman" w:hAnsi="Times New Roman"/>
          <w:color w:val="000000" w:themeColor="text1"/>
          <w:sz w:val="16"/>
          <w:szCs w:val="16"/>
        </w:rPr>
        <w:t>И.Н.Алексенко</w:t>
      </w:r>
      <w:proofErr w:type="spellEnd"/>
      <w:r w:rsidRPr="007122AB">
        <w:rPr>
          <w:rFonts w:ascii="Times New Roman" w:hAnsi="Times New Roman"/>
          <w:color w:val="000000" w:themeColor="text1"/>
          <w:sz w:val="16"/>
          <w:szCs w:val="16"/>
        </w:rPr>
        <w:t xml:space="preserve"> и с ним несколько конструкторов (11504).</w:t>
      </w:r>
    </w:p>
    <w:p w14:paraId="75B2DF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8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Д-4 совершил первую пробежку по заводскому двору. Однако сразу стало ясно, что машина "не удалась". Несмотря на то что механизм перехода с гусениц на колеса работал, он оказался настолько громоздким, сложным и ненадежным, что ни о каком серийном производстве речь идти не могла. Масса танка оказалась выше </w:t>
      </w:r>
      <w:proofErr w:type="spellStart"/>
      <w:r w:rsidRPr="007122AB">
        <w:rPr>
          <w:rFonts w:ascii="Times New Roman" w:hAnsi="Times New Roman"/>
          <w:color w:val="000000" w:themeColor="text1"/>
          <w:sz w:val="16"/>
          <w:szCs w:val="16"/>
        </w:rPr>
        <w:t>рассчетной</w:t>
      </w:r>
      <w:proofErr w:type="spellEnd"/>
      <w:r w:rsidRPr="007122AB">
        <w:rPr>
          <w:rFonts w:ascii="Times New Roman" w:hAnsi="Times New Roman"/>
          <w:color w:val="000000" w:themeColor="text1"/>
          <w:sz w:val="16"/>
          <w:szCs w:val="16"/>
        </w:rPr>
        <w:t xml:space="preserve"> (около 15т), поэтому Д-4 с трудом мог передвигаться на колесах даже по бетонному полу заводского цеха. Правда, на гусеницах он двигался не лучше из-за неудачной конструкции </w:t>
      </w:r>
      <w:proofErr w:type="spellStart"/>
      <w:r w:rsidRPr="007122AB">
        <w:rPr>
          <w:rFonts w:ascii="Times New Roman" w:hAnsi="Times New Roman"/>
          <w:color w:val="000000" w:themeColor="text1"/>
          <w:sz w:val="16"/>
          <w:szCs w:val="16"/>
        </w:rPr>
        <w:t>трансмисии</w:t>
      </w:r>
      <w:proofErr w:type="spellEnd"/>
      <w:r w:rsidRPr="007122AB">
        <w:rPr>
          <w:rFonts w:ascii="Times New Roman" w:hAnsi="Times New Roman"/>
          <w:color w:val="000000" w:themeColor="text1"/>
          <w:sz w:val="16"/>
          <w:szCs w:val="16"/>
        </w:rPr>
        <w:t xml:space="preserve">, которая постоянна ломалась. Из-за всего этого, а также из-за малой мощности двигателей, неудачной системы подвески опорных катков о достижении заявленной </w:t>
      </w:r>
      <w:proofErr w:type="spellStart"/>
      <w:r w:rsidRPr="007122AB">
        <w:rPr>
          <w:rFonts w:ascii="Times New Roman" w:hAnsi="Times New Roman"/>
          <w:color w:val="000000" w:themeColor="text1"/>
          <w:sz w:val="16"/>
          <w:szCs w:val="16"/>
        </w:rPr>
        <w:t>Дыренковым</w:t>
      </w:r>
      <w:proofErr w:type="spellEnd"/>
      <w:r w:rsidRPr="007122AB">
        <w:rPr>
          <w:rFonts w:ascii="Times New Roman" w:hAnsi="Times New Roman"/>
          <w:color w:val="000000" w:themeColor="text1"/>
          <w:sz w:val="16"/>
          <w:szCs w:val="16"/>
        </w:rPr>
        <w:t xml:space="preserve"> скорости - 35 км/ч на гусеницах - приходилось только мечтать. Поняв, что обещанная военным чудо-машина на получилась, горе-изобретатель тут же приступил к постройке нового танка - Д-5. По замыслу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при сохранении колесно-</w:t>
      </w:r>
      <w:proofErr w:type="spellStart"/>
      <w:r w:rsidRPr="007122AB">
        <w:rPr>
          <w:rFonts w:ascii="Times New Roman" w:hAnsi="Times New Roman"/>
          <w:color w:val="000000" w:themeColor="text1"/>
          <w:sz w:val="16"/>
          <w:szCs w:val="16"/>
        </w:rPr>
        <w:t>гусенично</w:t>
      </w:r>
      <w:proofErr w:type="spellEnd"/>
      <w:r w:rsidRPr="007122AB">
        <w:rPr>
          <w:rFonts w:ascii="Times New Roman" w:hAnsi="Times New Roman"/>
          <w:color w:val="000000" w:themeColor="text1"/>
          <w:sz w:val="16"/>
          <w:szCs w:val="16"/>
        </w:rPr>
        <w:t>-железнодорожно-подводного хода Д-5 имел броню до 35 мм, две башни с 76-мм пушками и двигатель М-17. Ориентировочная масса нового танка оставляла 25 т (10291).</w:t>
      </w:r>
    </w:p>
    <w:p w14:paraId="3030C9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C0E1E5"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удалось провести несколько пробежек Д-4 по заводскому двору на колесах. Даже не начав испытательного цикло стало очевидно, что Д-4 как боевая машина перспектив не имеет. Из-за большой сложности и низкой надежности конструкции ходовой части её нормальная эксплуатация была исключена, так как даже по бетонному полу </w:t>
      </w:r>
      <w:hyperlink r:id="rId4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двигался с большим трудом. Смена хода проходила нормально, однако на гусеницах </w:t>
      </w:r>
      <w:hyperlink r:id="rId4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вёл себя ещё хуже, что в конечном итоге привело к выходу из строя трансмиссии. В качестве причин поломок была указана малая мощность двигателей и неудачная система подвески опорных катков. К тому же масса Д-4 оказалась выше расчетной и составила около 15 тонн, и это при том, что на </w:t>
      </w:r>
      <w:hyperlink r:id="rId4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е ещё не было установлено вооружение и оборудование подводного хода.</w:t>
      </w:r>
    </w:p>
    <w:p w14:paraId="34A6EDE0"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рассмотрения </w:t>
      </w:r>
      <w:hyperlink r:id="rId4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Д-4 и неудачной попытки вывести его на испытания Н.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переключился на работы по созданию нового </w:t>
      </w:r>
      <w:hyperlink r:id="rId4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Д-5, в котором он планировал учесть все недостатки предшественника.</w:t>
      </w:r>
    </w:p>
    <w:p w14:paraId="0300827F"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из-за того, что масса нового </w:t>
      </w:r>
      <w:hyperlink r:id="rId4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уже составляла 25 т, изобретатель отказался от колесного хода, оставив только железнодорожный и гусеничный движители. Новый </w:t>
      </w:r>
      <w:hyperlink r:id="rId4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должен был оборудоваться уже двигателем М-5 с системой питания и охлаждения по типу </w:t>
      </w:r>
      <w:hyperlink r:id="rId4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Кристи, системой преодоления глубоких бродов по дну. Вооружение нового </w:t>
      </w:r>
      <w:hyperlink r:id="rId4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планировалось мощным – из двух 76,2-мм орудий вместо 45-мм в двух башнях. Особенностью установки орудий было то, что перед преодолением водных рубежей они могли быть втянуты в башню, после чего орудийная амбразура герметично закрывалась крышкой. Обещал также изобретатель и усилить бронирование </w:t>
      </w:r>
      <w:hyperlink r:id="rId4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до 30-35 мм, что сделать в условиях и без того плотной компоновки </w:t>
      </w:r>
      <w:hyperlink r:id="rId5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было проблематично.</w:t>
      </w:r>
    </w:p>
    <w:p w14:paraId="459AE6A0"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чтобы изготовить этот </w:t>
      </w:r>
      <w:hyperlink r:id="rId5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требовались средства, а их в условиях финансового дефицита при планируемом «форсированном выпуске броне</w:t>
      </w:r>
      <w:hyperlink r:id="rId5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овой техники для РККА» требовалось добыть на самом высоком уровне (15618).</w:t>
      </w:r>
    </w:p>
    <w:p w14:paraId="628E7393"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0DF4AB04" w14:textId="77777777" w:rsidR="001F2DE9" w:rsidRPr="007122AB" w:rsidRDefault="001F2DE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для ознакомления с делом постановки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xml:space="preserve"> на автосборочном заводе </w:t>
      </w:r>
      <w:proofErr w:type="spellStart"/>
      <w:r w:rsidRPr="007122AB">
        <w:rPr>
          <w:rFonts w:ascii="Times New Roman" w:hAnsi="Times New Roman"/>
          <w:color w:val="000000" w:themeColor="text1"/>
          <w:sz w:val="16"/>
          <w:szCs w:val="16"/>
        </w:rPr>
        <w:t>Укрмето</w:t>
      </w:r>
      <w:proofErr w:type="spellEnd"/>
      <w:r w:rsidRPr="007122AB">
        <w:rPr>
          <w:rFonts w:ascii="Times New Roman" w:hAnsi="Times New Roman"/>
          <w:color w:val="000000" w:themeColor="text1"/>
          <w:sz w:val="16"/>
          <w:szCs w:val="16"/>
        </w:rPr>
        <w:t xml:space="preserve"> в Харьков была направлена бригада Центрального совета общества «Автодор». 26 марта бригада прибыла в Харьков и связалась с городским отделением «Автодора», представившим предварительные материалы для ознакомления с </w:t>
      </w:r>
      <w:proofErr w:type="spellStart"/>
      <w:r w:rsidRPr="007122AB">
        <w:rPr>
          <w:rFonts w:ascii="Times New Roman" w:hAnsi="Times New Roman"/>
          <w:color w:val="000000" w:themeColor="text1"/>
          <w:sz w:val="16"/>
          <w:szCs w:val="16"/>
        </w:rPr>
        <w:t>мотоциклостроением</w:t>
      </w:r>
      <w:proofErr w:type="spellEnd"/>
      <w:r w:rsidRPr="007122AB">
        <w:rPr>
          <w:rFonts w:ascii="Times New Roman" w:hAnsi="Times New Roman"/>
          <w:color w:val="000000" w:themeColor="text1"/>
          <w:sz w:val="16"/>
          <w:szCs w:val="16"/>
        </w:rPr>
        <w:t xml:space="preserve"> на Украине. 27 и 28 марта бригада осмотрела завод, где строилась опытная серия из 6 мотоциклов оригинальной конструкции. Осмотренные бригадой мотоциклы имели «штампованную раму типа БМВ различной конфигурации в каждом из </w:t>
      </w:r>
      <w:proofErr w:type="spellStart"/>
      <w:r w:rsidRPr="007122AB">
        <w:rPr>
          <w:rFonts w:ascii="Times New Roman" w:hAnsi="Times New Roman"/>
          <w:color w:val="000000" w:themeColor="text1"/>
          <w:sz w:val="16"/>
          <w:szCs w:val="16"/>
        </w:rPr>
        <w:t>строющихся</w:t>
      </w:r>
      <w:proofErr w:type="spellEnd"/>
      <w:r w:rsidRPr="007122AB">
        <w:rPr>
          <w:rFonts w:ascii="Times New Roman" w:hAnsi="Times New Roman"/>
          <w:color w:val="000000" w:themeColor="text1"/>
          <w:sz w:val="16"/>
          <w:szCs w:val="16"/>
        </w:rPr>
        <w:t xml:space="preserve"> образцов». По результатам испытаний предполагалось выбрать наиболее удачную конструкцию рамы для серийного производства. В дальнейшем предполагалось получать рамы Черноморского завода, входящего в объединение «</w:t>
      </w:r>
      <w:proofErr w:type="spellStart"/>
      <w:r w:rsidRPr="007122AB">
        <w:rPr>
          <w:rFonts w:ascii="Times New Roman" w:hAnsi="Times New Roman"/>
          <w:color w:val="000000" w:themeColor="text1"/>
          <w:sz w:val="16"/>
          <w:szCs w:val="16"/>
        </w:rPr>
        <w:t>Укрмето</w:t>
      </w:r>
      <w:proofErr w:type="spellEnd"/>
      <w:r w:rsidRPr="007122AB">
        <w:rPr>
          <w:rFonts w:ascii="Times New Roman" w:hAnsi="Times New Roman"/>
          <w:color w:val="000000" w:themeColor="text1"/>
          <w:sz w:val="16"/>
          <w:szCs w:val="16"/>
        </w:rPr>
        <w:t>». Моторная установка была скопирова</w:t>
      </w:r>
      <w:r w:rsidRPr="007122AB">
        <w:rPr>
          <w:rFonts w:ascii="Times New Roman" w:hAnsi="Times New Roman"/>
          <w:color w:val="000000" w:themeColor="text1"/>
          <w:sz w:val="16"/>
          <w:szCs w:val="16"/>
        </w:rPr>
        <w:softHyphen/>
        <w:t>на с мотоцикла «Харлей-Дэвидсон» 350 см3 с некоторыми конструктивными изменениями. С получением нового эталона завод предполагал «</w:t>
      </w:r>
      <w:proofErr w:type="spellStart"/>
      <w:r w:rsidRPr="007122AB">
        <w:rPr>
          <w:rFonts w:ascii="Times New Roman" w:hAnsi="Times New Roman"/>
          <w:color w:val="000000" w:themeColor="text1"/>
          <w:sz w:val="16"/>
          <w:szCs w:val="16"/>
        </w:rPr>
        <w:t>бесболезненно</w:t>
      </w:r>
      <w:proofErr w:type="spellEnd"/>
      <w:r w:rsidRPr="007122AB">
        <w:rPr>
          <w:rFonts w:ascii="Times New Roman" w:hAnsi="Times New Roman"/>
          <w:color w:val="000000" w:themeColor="text1"/>
          <w:sz w:val="16"/>
          <w:szCs w:val="16"/>
        </w:rPr>
        <w:t xml:space="preserve"> перейти к постройке мотоцикла той же марки в 500 кб см». Сцепление применили сухое, однодисковое. Коробка передач имела три скорости. Первоначально предполагалось строить мотор кооперированным порядком, получая чугунное и частью алюминиевое литье со стороны. Практика показала, что заводы-кооператоры отнеслись к этому делу не серьезно, срывая поставки, а в лучшем случае — давая колоссальный брак, вернее негодное литье. Завод начал отливать детали сам. Основные детали: поршни, картера моторов, коробок скоростей и цилиндров к марту были отлиты и уже обработаны. Все алюминиевое литье оценивалось как «удовлетворительное». Некоторые проблемы встретились с отливкой цилиндра, но к моменту приезда московской бригады завод уже был «на пути изжития и этого затруднения». Шестерни распределения и коробки скоростей обрабатывались самим заводом на специальном зуборезном станке большой производительности. Передняя вилка имела амортизацию типа «</w:t>
      </w:r>
      <w:proofErr w:type="spellStart"/>
      <w:r w:rsidRPr="007122AB">
        <w:rPr>
          <w:rFonts w:ascii="Times New Roman" w:hAnsi="Times New Roman"/>
          <w:color w:val="000000" w:themeColor="text1"/>
          <w:sz w:val="16"/>
          <w:szCs w:val="16"/>
        </w:rPr>
        <w:t>Гендерсон</w:t>
      </w:r>
      <w:proofErr w:type="spellEnd"/>
      <w:r w:rsidRPr="007122AB">
        <w:rPr>
          <w:rFonts w:ascii="Times New Roman" w:hAnsi="Times New Roman"/>
          <w:color w:val="000000" w:themeColor="text1"/>
          <w:sz w:val="16"/>
          <w:szCs w:val="16"/>
        </w:rPr>
        <w:t xml:space="preserve">». «По мнению заводских </w:t>
      </w:r>
      <w:r w:rsidRPr="007122AB">
        <w:rPr>
          <w:rFonts w:ascii="Times New Roman" w:hAnsi="Times New Roman"/>
          <w:color w:val="000000" w:themeColor="text1"/>
          <w:sz w:val="16"/>
          <w:szCs w:val="16"/>
        </w:rPr>
        <w:lastRenderedPageBreak/>
        <w:t xml:space="preserve">конструкторов, с чем согласна и бригада, </w:t>
      </w:r>
      <w:proofErr w:type="spellStart"/>
      <w:r w:rsidRPr="007122AB">
        <w:rPr>
          <w:rFonts w:ascii="Times New Roman" w:hAnsi="Times New Roman"/>
          <w:color w:val="000000" w:themeColor="text1"/>
          <w:sz w:val="16"/>
          <w:szCs w:val="16"/>
        </w:rPr>
        <w:t>Гендерсоновская</w:t>
      </w:r>
      <w:proofErr w:type="spellEnd"/>
      <w:r w:rsidRPr="007122AB">
        <w:rPr>
          <w:rFonts w:ascii="Times New Roman" w:hAnsi="Times New Roman"/>
          <w:color w:val="000000" w:themeColor="text1"/>
          <w:sz w:val="16"/>
          <w:szCs w:val="16"/>
        </w:rPr>
        <w:t xml:space="preserve"> амортизация сулит машине большую мягкость и плавность хода». Руль мотоцикла состоял из одной цельной трубы, протянутой сквозь два кронштейна на основных перьях передней вилки и заваренной. По сравнению с американским мотоциклом было изменено управление газом и сцеплением. Управление газом было размещено в левой ручке руля, а сцеплением — в правой. Карбюратор типа «</w:t>
      </w:r>
      <w:proofErr w:type="spellStart"/>
      <w:r w:rsidRPr="007122AB">
        <w:rPr>
          <w:rFonts w:ascii="Times New Roman" w:hAnsi="Times New Roman"/>
          <w:color w:val="000000" w:themeColor="text1"/>
          <w:sz w:val="16"/>
          <w:szCs w:val="16"/>
        </w:rPr>
        <w:t>Шаблер</w:t>
      </w:r>
      <w:proofErr w:type="spellEnd"/>
      <w:r w:rsidRPr="007122AB">
        <w:rPr>
          <w:rFonts w:ascii="Times New Roman" w:hAnsi="Times New Roman"/>
          <w:color w:val="000000" w:themeColor="text1"/>
          <w:sz w:val="16"/>
          <w:szCs w:val="16"/>
        </w:rPr>
        <w:t xml:space="preserve">-Де-Люкс» с воздушным фильтром изготовили на Конотопском заводе. При испытании на мотоцикле «Нортон» карбюратор показал «удовлетворительную работу». Управление карбюратором осуществлялось тросиком от правой ручки руля. Подача горючего из топливного бака к карбюратору производилась самотеком. Производство магнето освоено не было, но на Украине имелось магнето «Дикси» «в большом количестве как неликвидное имущество». Имевшиеся запасы решили перемотать с низкого на высокое напряжение для оборудования первой серии. В дальнейшем предполагалось освоить на одном из предприятий г. Конотоп выпуск магнето типа «Бош». Приборы освещения включали передние фары, задний контрольный фонарь и фонарик на доске с приборами. Электропитание осветительных приборов предусматривалось аккумуляторное «до тех пор, пока выяснится возможность внутрисоюзного производства сложного магнето-динамо». Звуковой сигнал был ручной. Заднее колесо приводилось цепью размером 5/ 8// . Колеса мотоциклов с 40 спицами изготавливались на местном велозаводе. Поковку втулок, шатунов, клапанов и др. завод производил сам в заводской кузнице на неусовершенствованном маломощном оборудовании, «благодаря опытности и настойчивости работников завода». Шины были отечественные выпуска </w:t>
      </w:r>
      <w:proofErr w:type="spellStart"/>
      <w:r w:rsidRPr="007122AB">
        <w:rPr>
          <w:rFonts w:ascii="Times New Roman" w:hAnsi="Times New Roman"/>
          <w:color w:val="000000" w:themeColor="text1"/>
          <w:sz w:val="16"/>
          <w:szCs w:val="16"/>
        </w:rPr>
        <w:t>Резинотреста</w:t>
      </w:r>
      <w:proofErr w:type="spellEnd"/>
      <w:r w:rsidRPr="007122AB">
        <w:rPr>
          <w:rFonts w:ascii="Times New Roman" w:hAnsi="Times New Roman"/>
          <w:color w:val="000000" w:themeColor="text1"/>
          <w:sz w:val="16"/>
          <w:szCs w:val="16"/>
        </w:rPr>
        <w:t xml:space="preserve"> размером 680 х 90. Пуск мотоцикла в ход осуществлялся ножным кик-стартером. Задний тормоз был ленточный, управляемый ножной педалью на правой подножке. Передний колодочный тормоз действовал от рукоятки, помещенной на левой стороне руля. Седло мотоциклиста было штампованное из листового железа толщиной 2 мм с двумя пружинами, работающими на сжатие. По итогам осмотра бригадой центрального совета «Автодора» были оценены производственные возможности завода: а) оборудование имеется, но для разворачивания программы на 1000 </w:t>
      </w:r>
      <w:proofErr w:type="spellStart"/>
      <w:r w:rsidRPr="007122AB">
        <w:rPr>
          <w:rFonts w:ascii="Times New Roman" w:hAnsi="Times New Roman"/>
          <w:color w:val="000000" w:themeColor="text1"/>
          <w:sz w:val="16"/>
          <w:szCs w:val="16"/>
        </w:rPr>
        <w:t>шт</w:t>
      </w:r>
      <w:proofErr w:type="spellEnd"/>
      <w:r w:rsidRPr="007122AB">
        <w:rPr>
          <w:rFonts w:ascii="Times New Roman" w:hAnsi="Times New Roman"/>
          <w:color w:val="000000" w:themeColor="text1"/>
          <w:sz w:val="16"/>
          <w:szCs w:val="16"/>
        </w:rPr>
        <w:t xml:space="preserve"> мотоциклов в 1931 г. недостаточное б) </w:t>
      </w:r>
      <w:proofErr w:type="spellStart"/>
      <w:r w:rsidRPr="007122AB">
        <w:rPr>
          <w:rFonts w:ascii="Times New Roman" w:hAnsi="Times New Roman"/>
          <w:color w:val="000000" w:themeColor="text1"/>
          <w:sz w:val="16"/>
          <w:szCs w:val="16"/>
        </w:rPr>
        <w:t>мотобюро</w:t>
      </w:r>
      <w:proofErr w:type="spellEnd"/>
      <w:r w:rsidRPr="007122AB">
        <w:rPr>
          <w:rFonts w:ascii="Times New Roman" w:hAnsi="Times New Roman"/>
          <w:color w:val="000000" w:themeColor="text1"/>
          <w:sz w:val="16"/>
          <w:szCs w:val="16"/>
        </w:rPr>
        <w:t xml:space="preserve"> завода и треста разработаны все конструктивные и рабочие чертежи с соответствующими допусками по всем деталям машины. Кроме того ими же проведены химические анализы всех материалов потребных для данного производства в) площадями завод обеспечен полностью, имеется специальный 2-х этажный корпус, позволяющий установить в первом этаже до 100 станков, а в верхнем производить окончательную сборку мотоциклов г) рабсилой завод пока обеспечен и надеется для разворачивания производства таковую получить в достаточном количестве, т.к. главным вербовщиком кадров для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xml:space="preserve"> является </w:t>
      </w:r>
      <w:proofErr w:type="spellStart"/>
      <w:r w:rsidRPr="007122AB">
        <w:rPr>
          <w:rFonts w:ascii="Times New Roman" w:hAnsi="Times New Roman"/>
          <w:color w:val="000000" w:themeColor="text1"/>
          <w:sz w:val="16"/>
          <w:szCs w:val="16"/>
        </w:rPr>
        <w:t>автодоровская</w:t>
      </w:r>
      <w:proofErr w:type="spellEnd"/>
      <w:r w:rsidRPr="007122AB">
        <w:rPr>
          <w:rFonts w:ascii="Times New Roman" w:hAnsi="Times New Roman"/>
          <w:color w:val="000000" w:themeColor="text1"/>
          <w:sz w:val="16"/>
          <w:szCs w:val="16"/>
        </w:rPr>
        <w:t xml:space="preserve"> общественность д) финансирование постройки опытных моделей пока препятствий не встречает е) завод не ставит вопроса о валютных ассигнованиях, т.к. надеется все места изжить своими силами, базируясь на помощи местной администрации и общественности ж) контрольный отдел завода поставлен хорошо и обеспечивает качество продукции з) имеются два станка: первый — для испытания рам на нагрузку, второй — для обкатки мотора перед постановкой на машину. Таким образом, завод мог успешно осуществлять опытные работы, но для обеспечения массового производства требовалась реконструкция предприятия (19776).</w:t>
      </w:r>
    </w:p>
    <w:p w14:paraId="7E517F68" w14:textId="77777777" w:rsidR="001F2DE9" w:rsidRPr="007122AB" w:rsidRDefault="001F2DE9" w:rsidP="007122AB">
      <w:pPr>
        <w:spacing w:after="0" w:line="240" w:lineRule="auto"/>
        <w:jc w:val="both"/>
        <w:rPr>
          <w:rFonts w:ascii="Times New Roman" w:hAnsi="Times New Roman"/>
          <w:color w:val="000000" w:themeColor="text1"/>
          <w:sz w:val="16"/>
          <w:szCs w:val="16"/>
        </w:rPr>
      </w:pPr>
    </w:p>
    <w:p w14:paraId="1791B983"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марта 1931 г.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приступило к испытаниям высотного варианта торпеды 45—15, получившей обозначение ВВС-10/15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Несмотря на ряд недостатков, комиссия под председательством начальника ВВС ЧМ В.К. Лаврова признала испытания успешными. От прототипа ее отличал усиленный корпус боевого зарядного отделения (БЗО), более прочное оперение, к которому крепились гуськи парашютной коробки. Система торпедометания включала три парашюта — стабилизирующий и два тормозных. Торпеду снабдили более современными механическими взрывателями с вертушками, приводящими их в боевое состояние после прохождения торпедой определенного расстояния в воде. Снаряженная торпеда весила 1340 кг. Как и ТАН-12, торпеды ВВС-10/15 изготавливались на заводе «Двигатель» в </w:t>
      </w:r>
      <w:proofErr w:type="spellStart"/>
      <w:r w:rsidRPr="007122AB">
        <w:rPr>
          <w:rFonts w:ascii="Times New Roman" w:hAnsi="Times New Roman"/>
          <w:color w:val="000000" w:themeColor="text1"/>
          <w:sz w:val="16"/>
          <w:szCs w:val="16"/>
        </w:rPr>
        <w:t>Ленинграде.К</w:t>
      </w:r>
      <w:proofErr w:type="spellEnd"/>
      <w:r w:rsidRPr="007122AB">
        <w:rPr>
          <w:rFonts w:ascii="Times New Roman" w:hAnsi="Times New Roman"/>
          <w:color w:val="000000" w:themeColor="text1"/>
          <w:sz w:val="16"/>
          <w:szCs w:val="16"/>
        </w:rPr>
        <w:t xml:space="preserve"> январю 1930 г. собрали 60 торпед, в работе находилось еще 30 (15117).</w:t>
      </w:r>
    </w:p>
    <w:p w14:paraId="4C868C76"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60C77BB5" w14:textId="77777777" w:rsidR="001707A1" w:rsidRPr="007122AB" w:rsidRDefault="001707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начальник Артиллерийского научно-исследовательского института (АНИИ) </w:t>
      </w:r>
      <w:proofErr w:type="spellStart"/>
      <w:r w:rsidRPr="007122AB">
        <w:rPr>
          <w:rFonts w:ascii="Times New Roman" w:hAnsi="Times New Roman"/>
          <w:color w:val="000000" w:themeColor="text1"/>
          <w:sz w:val="16"/>
          <w:szCs w:val="16"/>
        </w:rPr>
        <w:t>Фавицкий</w:t>
      </w:r>
      <w:proofErr w:type="spellEnd"/>
      <w:r w:rsidRPr="007122AB">
        <w:rPr>
          <w:rFonts w:ascii="Times New Roman" w:hAnsi="Times New Roman"/>
          <w:color w:val="000000" w:themeColor="text1"/>
          <w:sz w:val="16"/>
          <w:szCs w:val="16"/>
        </w:rPr>
        <w:t xml:space="preserve"> на свой страх и риск обратился лично к начальнику особого отдела ОГПУ Ленинградского военного округа с ходатайством не привлекать сотрудников АНИИ к уголовной ответственности за просчеты в научно-исследовательской деятельности. В своем письме он приводил очень веские аргументы, с которыми трудно не согласиться. Начальник института, в частности, исключительно точно подметил: «Если за неудачный опыт инженеру грозит трибунал, инженер перестает быть инженером и становится чиновником» (17235).</w:t>
      </w:r>
    </w:p>
    <w:p w14:paraId="5FE1BDB9" w14:textId="77777777" w:rsidR="001707A1" w:rsidRPr="007122AB" w:rsidRDefault="001707A1" w:rsidP="007122AB">
      <w:pPr>
        <w:spacing w:after="0" w:line="240" w:lineRule="auto"/>
        <w:jc w:val="both"/>
        <w:rPr>
          <w:rFonts w:ascii="Times New Roman" w:hAnsi="Times New Roman"/>
          <w:color w:val="000000" w:themeColor="text1"/>
          <w:sz w:val="16"/>
          <w:szCs w:val="16"/>
        </w:rPr>
      </w:pPr>
    </w:p>
    <w:p w14:paraId="72383C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командир бригады подводных лодок Морских сил Балтийского моря М. Ф. Стороженко требовал отклонить проект </w:t>
      </w:r>
      <w:proofErr w:type="spellStart"/>
      <w:r w:rsidRPr="007122AB">
        <w:rPr>
          <w:rFonts w:ascii="Times New Roman" w:hAnsi="Times New Roman"/>
          <w:color w:val="000000" w:themeColor="text1"/>
          <w:sz w:val="16"/>
          <w:szCs w:val="16"/>
        </w:rPr>
        <w:t>пл</w:t>
      </w:r>
      <w:proofErr w:type="spellEnd"/>
      <w:r w:rsidRPr="007122AB">
        <w:rPr>
          <w:rFonts w:ascii="Times New Roman" w:hAnsi="Times New Roman"/>
          <w:color w:val="000000" w:themeColor="text1"/>
          <w:sz w:val="16"/>
          <w:szCs w:val="16"/>
        </w:rPr>
        <w:t xml:space="preserve"> типа Правда. Он указывал на недостаточный запас торпед при неоправданно тяжелом </w:t>
      </w:r>
      <w:proofErr w:type="spellStart"/>
      <w:r w:rsidRPr="007122AB">
        <w:rPr>
          <w:rFonts w:ascii="Times New Roman" w:hAnsi="Times New Roman"/>
          <w:color w:val="000000" w:themeColor="text1"/>
          <w:sz w:val="16"/>
          <w:szCs w:val="16"/>
        </w:rPr>
        <w:t>артвооружении</w:t>
      </w:r>
      <w:proofErr w:type="spellEnd"/>
      <w:r w:rsidRPr="007122AB">
        <w:rPr>
          <w:rFonts w:ascii="Times New Roman" w:hAnsi="Times New Roman"/>
          <w:color w:val="000000" w:themeColor="text1"/>
          <w:sz w:val="16"/>
          <w:szCs w:val="16"/>
        </w:rPr>
        <w:t xml:space="preserve">, отсутствие системы </w:t>
      </w:r>
      <w:proofErr w:type="spellStart"/>
      <w:r w:rsidRPr="007122AB">
        <w:rPr>
          <w:rFonts w:ascii="Times New Roman" w:hAnsi="Times New Roman"/>
          <w:color w:val="000000" w:themeColor="text1"/>
          <w:sz w:val="16"/>
          <w:szCs w:val="16"/>
        </w:rPr>
        <w:t>беспу</w:t>
      </w:r>
      <w:r w:rsidRPr="007122AB">
        <w:rPr>
          <w:rFonts w:ascii="Times New Roman" w:hAnsi="Times New Roman"/>
          <w:color w:val="000000" w:themeColor="text1"/>
          <w:sz w:val="16"/>
          <w:szCs w:val="16"/>
        </w:rPr>
        <w:softHyphen/>
        <w:t>зырной</w:t>
      </w:r>
      <w:proofErr w:type="spellEnd"/>
      <w:r w:rsidRPr="007122AB">
        <w:rPr>
          <w:rFonts w:ascii="Times New Roman" w:hAnsi="Times New Roman"/>
          <w:color w:val="000000" w:themeColor="text1"/>
          <w:sz w:val="16"/>
          <w:szCs w:val="16"/>
        </w:rPr>
        <w:t xml:space="preserve"> торпедной стрельбы (БТС) и возможности стрелять зал</w:t>
      </w:r>
      <w:r w:rsidRPr="007122AB">
        <w:rPr>
          <w:rFonts w:ascii="Times New Roman" w:hAnsi="Times New Roman"/>
          <w:color w:val="000000" w:themeColor="text1"/>
          <w:sz w:val="16"/>
          <w:szCs w:val="16"/>
        </w:rPr>
        <w:softHyphen/>
        <w:t>пом из нескольких аппаратов, а также малую глубину погружения. Б. М. Малинин несколько позже выразил серьезное сомнение в правильности расчетов прочности корпуса и остойчивости (3898).</w:t>
      </w:r>
    </w:p>
    <w:p w14:paraId="7272C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A49FD3"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 командир бригады ПЛ Балтийского моря </w:t>
      </w:r>
      <w:proofErr w:type="spellStart"/>
      <w:r w:rsidRPr="007122AB">
        <w:rPr>
          <w:rFonts w:ascii="Times New Roman" w:hAnsi="Times New Roman"/>
          <w:color w:val="000000" w:themeColor="text1"/>
          <w:sz w:val="16"/>
          <w:szCs w:val="16"/>
        </w:rPr>
        <w:t>М.Ф.Стороженко</w:t>
      </w:r>
      <w:proofErr w:type="spellEnd"/>
      <w:r w:rsidRPr="007122AB">
        <w:rPr>
          <w:rFonts w:ascii="Times New Roman" w:hAnsi="Times New Roman"/>
          <w:color w:val="000000" w:themeColor="text1"/>
          <w:sz w:val="16"/>
          <w:szCs w:val="16"/>
        </w:rPr>
        <w:t xml:space="preserve"> обратился к начальнику ВМС, в РВС МСБМ и в ПТКМ с рапортом "Тактические элементы для эскадренных ПЛ", в котором отметил бесперспективность и недостатки проекта: торпедное вооружение слабое, не предусмотрена </w:t>
      </w:r>
      <w:proofErr w:type="spellStart"/>
      <w:r w:rsidRPr="007122AB">
        <w:rPr>
          <w:rFonts w:ascii="Times New Roman" w:hAnsi="Times New Roman"/>
          <w:color w:val="000000" w:themeColor="text1"/>
          <w:sz w:val="16"/>
          <w:szCs w:val="16"/>
        </w:rPr>
        <w:t>беспузырная</w:t>
      </w:r>
      <w:proofErr w:type="spellEnd"/>
      <w:r w:rsidRPr="007122AB">
        <w:rPr>
          <w:rFonts w:ascii="Times New Roman" w:hAnsi="Times New Roman"/>
          <w:color w:val="000000" w:themeColor="text1"/>
          <w:sz w:val="16"/>
          <w:szCs w:val="16"/>
        </w:rPr>
        <w:t xml:space="preserve"> торпедная стрельба, глубина погружения мала и допускает поражение ПЛ любыми существующими противолодочными средствами, наличие двух 130-мм орудий в башнях, отнимающих 44 т водоизмещения, ничем не оправдано, в то де время отсутствует тройной запасной комплект торпед и не предусмотрена стрельбы торпедным залпом. Рапорт заканчивался категорическим выводом: "ПЛ Асафова ни в коем случае не должна быть принята".</w:t>
      </w:r>
    </w:p>
    <w:p w14:paraId="1E9438CC"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разработке предшествующих проектов советских ПЛ конструкторы и инженеры-кораблестроители опирались на опыт подводников отечественного флота, внимательно прислушивались к их мнению, что давало в целом положительные результаты. При постройке ПЛ серии IV, однако, от этого принципа, к сожалению, отошли.</w:t>
      </w:r>
    </w:p>
    <w:p w14:paraId="3753A71A"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Ярким проявлением насаждавшейся в стране административно-командной системы управления, сковывавшей творческие способности народа, была реакция </w:t>
      </w:r>
      <w:proofErr w:type="spellStart"/>
      <w:r w:rsidRPr="007122AB">
        <w:rPr>
          <w:rFonts w:ascii="Times New Roman" w:hAnsi="Times New Roman"/>
          <w:color w:val="000000" w:themeColor="text1"/>
          <w:sz w:val="16"/>
          <w:szCs w:val="16"/>
        </w:rPr>
        <w:t>Р.А.Муклевича</w:t>
      </w:r>
      <w:proofErr w:type="spellEnd"/>
      <w:r w:rsidRPr="007122AB">
        <w:rPr>
          <w:rFonts w:ascii="Times New Roman" w:hAnsi="Times New Roman"/>
          <w:color w:val="000000" w:themeColor="text1"/>
          <w:sz w:val="16"/>
          <w:szCs w:val="16"/>
        </w:rPr>
        <w:t>. Став в 1926 г. начальником ВМС, он начал настойчиво проводить в жизнь план строительства кораблей, среди которых самое большое внимание уделялось ПЛ.</w:t>
      </w:r>
    </w:p>
    <w:p w14:paraId="1F3E64BE" w14:textId="77777777" w:rsidR="00E04E98" w:rsidRPr="007122AB" w:rsidRDefault="00E04E98"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При этом всемерно учитывалось мнение подводников.</w:t>
      </w:r>
    </w:p>
    <w:p w14:paraId="37AB8DC3"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Теперь же РВС БФ были направлены следующие указания: "…Так выступать, как выступил Стороженко по поводу ПЛ, нельзя, и РВС должен на подобные выступления обратить серьезное внимание и в корне их пресечь. Стороженко еще нужно поучиться самому, а не стремиться поучать других в тех вопросах, в которых он сам еще слабо разбирается… Попутно обращаю внимание, что вновь выдвинутые флагманы обнаруживают прежнее стремление заниматься вопросами большой морской политики. С этими "традициями" прошлого необходимо покончить. Их дело учить подчиненные им соединения использованию своего оружия в бою и учиться самим, а что касается вопросов морской политики, то ее будут решать те органы, в компетенции которых эти вопросы входят".</w:t>
      </w:r>
    </w:p>
    <w:p w14:paraId="4B6A4948" w14:textId="77777777" w:rsidR="00E04E98" w:rsidRPr="007122AB" w:rsidRDefault="00E04E98"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Методы диктата и неограниченного произвола, лишавшие человека инициативы и превращавшие его в безгласного исполнителя чужой воли, через многочисленных приспешников культа в административно-бюрократическом управленческом аппарате возникли, словно раковые метастазы, во все сферы жизни общества. </w:t>
      </w:r>
      <w:proofErr w:type="spellStart"/>
      <w:r w:rsidRPr="007122AB">
        <w:rPr>
          <w:rFonts w:ascii="Times New Roman" w:hAnsi="Times New Roman"/>
          <w:color w:val="000000" w:themeColor="text1"/>
          <w:sz w:val="16"/>
          <w:szCs w:val="16"/>
        </w:rPr>
        <w:t>М.Ф.Стороженко</w:t>
      </w:r>
      <w:proofErr w:type="spellEnd"/>
      <w:r w:rsidRPr="007122AB">
        <w:rPr>
          <w:rFonts w:ascii="Times New Roman" w:hAnsi="Times New Roman"/>
          <w:color w:val="000000" w:themeColor="text1"/>
          <w:sz w:val="16"/>
          <w:szCs w:val="16"/>
        </w:rPr>
        <w:t xml:space="preserve"> - один из первых комиссаров подводных сил балтийского флота, окончивший в 1930 г. Военно-морскую академию, - был снят с должности комбрига, а впоследствии репрессирован (12719).</w:t>
      </w:r>
    </w:p>
    <w:p w14:paraId="478A2805" w14:textId="77777777" w:rsidR="00E04E98" w:rsidRPr="007122AB" w:rsidRDefault="00E04E98" w:rsidP="007122AB">
      <w:pPr>
        <w:spacing w:after="0" w:line="240" w:lineRule="auto"/>
        <w:jc w:val="both"/>
        <w:rPr>
          <w:rFonts w:ascii="Times New Roman" w:hAnsi="Times New Roman"/>
          <w:bCs/>
          <w:color w:val="000000" w:themeColor="text1"/>
          <w:sz w:val="16"/>
          <w:szCs w:val="16"/>
        </w:rPr>
      </w:pPr>
    </w:p>
    <w:p w14:paraId="1A2E3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было сформулировано первое задание на корабль специальной постройки для поста</w:t>
      </w:r>
      <w:r w:rsidRPr="007122AB">
        <w:rPr>
          <w:rFonts w:ascii="Times New Roman" w:hAnsi="Times New Roman"/>
          <w:color w:val="000000" w:themeColor="text1"/>
          <w:sz w:val="16"/>
          <w:szCs w:val="16"/>
        </w:rPr>
        <w:softHyphen/>
        <w:t xml:space="preserve">новки сетевых заграждений и предусматривало в качестве </w:t>
      </w:r>
      <w:proofErr w:type="spellStart"/>
      <w:r w:rsidRPr="007122AB">
        <w:rPr>
          <w:rFonts w:ascii="Times New Roman" w:hAnsi="Times New Roman"/>
          <w:color w:val="000000" w:themeColor="text1"/>
          <w:sz w:val="16"/>
          <w:szCs w:val="16"/>
        </w:rPr>
        <w:t>дополнительньхх</w:t>
      </w:r>
      <w:proofErr w:type="spellEnd"/>
      <w:r w:rsidRPr="007122AB">
        <w:rPr>
          <w:rFonts w:ascii="Times New Roman" w:hAnsi="Times New Roman"/>
          <w:color w:val="000000" w:themeColor="text1"/>
          <w:sz w:val="16"/>
          <w:szCs w:val="16"/>
        </w:rPr>
        <w:t xml:space="preserve"> задач постановку мин и контрольное траление фарватеров (3898).</w:t>
      </w:r>
    </w:p>
    <w:p w14:paraId="79409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342DF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FD370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82A72A" w14:textId="77777777" w:rsidR="00B03615" w:rsidRPr="007122AB" w:rsidRDefault="00B036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введена новая форма оплаты труда колхозников - трудодень, т.е. распределение проводится отныне не подушно, а пропорционально трудовому вкладу каждого (12629).</w:t>
      </w:r>
    </w:p>
    <w:p w14:paraId="1853E109" w14:textId="77777777" w:rsidR="00B03615" w:rsidRPr="007122AB" w:rsidRDefault="00B03615" w:rsidP="007122AB">
      <w:pPr>
        <w:autoSpaceDE w:val="0"/>
        <w:autoSpaceDN w:val="0"/>
        <w:adjustRightInd w:val="0"/>
        <w:spacing w:after="0" w:line="240" w:lineRule="auto"/>
        <w:jc w:val="both"/>
        <w:rPr>
          <w:rFonts w:ascii="Times New Roman" w:hAnsi="Times New Roman"/>
          <w:color w:val="000000" w:themeColor="text1"/>
          <w:sz w:val="16"/>
          <w:szCs w:val="16"/>
        </w:rPr>
      </w:pPr>
    </w:p>
    <w:p w14:paraId="64ECC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Март 1931 г. Особым приказом ОГПУ всем сотрудникам госбезопасности в центре и на местах предписывается проводить активные мероприятия по чистке личного состава милиции и уголовного розыска (10303).</w:t>
      </w:r>
    </w:p>
    <w:p w14:paraId="6A18C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A40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директор столичного универмага N1 Ефрем Владимирович </w:t>
      </w:r>
      <w:proofErr w:type="spellStart"/>
      <w:r w:rsidRPr="007122AB">
        <w:rPr>
          <w:rFonts w:ascii="Times New Roman" w:hAnsi="Times New Roman"/>
          <w:color w:val="000000" w:themeColor="text1"/>
          <w:sz w:val="16"/>
          <w:szCs w:val="16"/>
        </w:rPr>
        <w:t>Курлянд</w:t>
      </w:r>
      <w:proofErr w:type="spellEnd"/>
      <w:r w:rsidRPr="007122AB">
        <w:rPr>
          <w:rFonts w:ascii="Times New Roman" w:hAnsi="Times New Roman"/>
          <w:color w:val="000000" w:themeColor="text1"/>
          <w:sz w:val="16"/>
          <w:szCs w:val="16"/>
        </w:rPr>
        <w:t xml:space="preserve"> обратился с предложением к руководству Наркомата внешней торговли организовать Торгсин. 3 ноября 1931 года Политбюро поручило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СССР организовать в магазинах Торгсина скупку бытового золота в обмен на товары. Специальная комиссия, куда вошли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Наркомвнешторг</w:t>
      </w:r>
      <w:proofErr w:type="spellEnd"/>
      <w:r w:rsidRPr="007122AB">
        <w:rPr>
          <w:rFonts w:ascii="Times New Roman" w:hAnsi="Times New Roman"/>
          <w:color w:val="000000" w:themeColor="text1"/>
          <w:sz w:val="16"/>
          <w:szCs w:val="16"/>
        </w:rPr>
        <w:t>), Гринько (Наркомфин), Серебровский (</w:t>
      </w:r>
      <w:proofErr w:type="spellStart"/>
      <w:r w:rsidRPr="007122AB">
        <w:rPr>
          <w:rFonts w:ascii="Times New Roman" w:hAnsi="Times New Roman"/>
          <w:color w:val="000000" w:themeColor="text1"/>
          <w:sz w:val="16"/>
          <w:szCs w:val="16"/>
        </w:rPr>
        <w:t>Союззолото</w:t>
      </w:r>
      <w:proofErr w:type="spellEnd"/>
      <w:r w:rsidRPr="007122AB">
        <w:rPr>
          <w:rFonts w:ascii="Times New Roman" w:hAnsi="Times New Roman"/>
          <w:color w:val="000000" w:themeColor="text1"/>
          <w:sz w:val="16"/>
          <w:szCs w:val="16"/>
        </w:rPr>
        <w:t xml:space="preserve">), Калманович, </w:t>
      </w:r>
      <w:proofErr w:type="spellStart"/>
      <w:r w:rsidRPr="007122AB">
        <w:rPr>
          <w:rFonts w:ascii="Times New Roman" w:hAnsi="Times New Roman"/>
          <w:color w:val="000000" w:themeColor="text1"/>
          <w:sz w:val="16"/>
          <w:szCs w:val="16"/>
        </w:rPr>
        <w:t>Дерибас</w:t>
      </w:r>
      <w:proofErr w:type="spellEnd"/>
      <w:r w:rsidRPr="007122AB">
        <w:rPr>
          <w:rFonts w:ascii="Times New Roman" w:hAnsi="Times New Roman"/>
          <w:color w:val="000000" w:themeColor="text1"/>
          <w:sz w:val="16"/>
          <w:szCs w:val="16"/>
        </w:rPr>
        <w:t xml:space="preserve">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7A65B3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ABE06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ECB90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763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был сформирован опытный десантный отряд, на вооружении которого состояли две танкетки Т-27 и три легких ба Д-8 и Д-12 (9650).</w:t>
      </w:r>
    </w:p>
    <w:p w14:paraId="0D5FB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F7C4AB" w14:textId="77777777" w:rsidR="0059110F" w:rsidRPr="007122AB" w:rsidRDefault="005911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командование РККА приняло решение о создании в </w:t>
      </w:r>
      <w:proofErr w:type="spellStart"/>
      <w:r w:rsidRPr="007122AB">
        <w:rPr>
          <w:rFonts w:ascii="Times New Roman" w:hAnsi="Times New Roman"/>
          <w:color w:val="000000" w:themeColor="text1"/>
          <w:sz w:val="16"/>
          <w:szCs w:val="16"/>
        </w:rPr>
        <w:t>ЛенВО</w:t>
      </w:r>
      <w:proofErr w:type="spellEnd"/>
      <w:r w:rsidRPr="007122AB">
        <w:rPr>
          <w:rFonts w:ascii="Times New Roman" w:hAnsi="Times New Roman"/>
          <w:color w:val="000000" w:themeColor="text1"/>
          <w:sz w:val="16"/>
          <w:szCs w:val="16"/>
        </w:rPr>
        <w:t xml:space="preserve"> опытного </w:t>
      </w:r>
      <w:proofErr w:type="spellStart"/>
      <w:r w:rsidRPr="007122AB">
        <w:rPr>
          <w:rFonts w:ascii="Times New Roman" w:hAnsi="Times New Roman"/>
          <w:color w:val="000000" w:themeColor="text1"/>
          <w:sz w:val="16"/>
          <w:szCs w:val="16"/>
        </w:rPr>
        <w:t>воздухо</w:t>
      </w:r>
      <w:proofErr w:type="spellEnd"/>
      <w:r w:rsidRPr="007122AB">
        <w:rPr>
          <w:rFonts w:ascii="Times New Roman" w:hAnsi="Times New Roman"/>
          <w:color w:val="000000" w:themeColor="text1"/>
          <w:sz w:val="16"/>
          <w:szCs w:val="16"/>
        </w:rPr>
        <w:t xml:space="preserve">-десантного отряда, которому придавались тяжелая бомбардировочная эскадрилья в составе 12 самолетов ТБ-1 (Ант-4), используемых в качестве военно-транспортных, а также корпусный авиаотряд из 10 самолетов Р-5, </w:t>
      </w:r>
      <w:proofErr w:type="spellStart"/>
      <w:r w:rsidRPr="007122AB">
        <w:rPr>
          <w:rFonts w:ascii="Times New Roman" w:hAnsi="Times New Roman"/>
          <w:color w:val="000000" w:themeColor="text1"/>
          <w:sz w:val="16"/>
          <w:szCs w:val="16"/>
        </w:rPr>
        <w:t>переклассифицированных</w:t>
      </w:r>
      <w:proofErr w:type="spellEnd"/>
      <w:r w:rsidRPr="007122AB">
        <w:rPr>
          <w:rFonts w:ascii="Times New Roman" w:hAnsi="Times New Roman"/>
          <w:color w:val="000000" w:themeColor="text1"/>
          <w:sz w:val="16"/>
          <w:szCs w:val="16"/>
        </w:rPr>
        <w:t xml:space="preserve"> в военно-транспортные самолеты. День формирования этого отряда — 1 июня 1931 года принято считать днем рождения отечественной военно-транспортной авиации (21166).</w:t>
      </w:r>
    </w:p>
    <w:p w14:paraId="0140873A" w14:textId="77777777" w:rsidR="0059110F" w:rsidRPr="007122AB" w:rsidRDefault="0059110F" w:rsidP="007122AB">
      <w:pPr>
        <w:spacing w:after="0" w:line="240" w:lineRule="auto"/>
        <w:jc w:val="both"/>
        <w:rPr>
          <w:rFonts w:ascii="Times New Roman" w:hAnsi="Times New Roman"/>
          <w:color w:val="000000" w:themeColor="text1"/>
          <w:sz w:val="16"/>
          <w:szCs w:val="16"/>
        </w:rPr>
      </w:pPr>
    </w:p>
    <w:p w14:paraId="2B2082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 был сформирован опытный авиадесантный отряд, на вооружении которого, состояли две танкетки Т-27 и три легких бронеавтомобиля Д-8 и Д-12, хотя средства их доставки еще предстояло создать. С появлением новых образцов малых танков и легких бронеавтомобилей они принимались на вооружение воздушно-десантных войск, а средства десантирования разрабатывались уже под них. Поэтому скажем несколько слов о самих объектах, которые, собственно, надо было десантировать.</w:t>
      </w:r>
    </w:p>
    <w:p w14:paraId="1934AE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1930-е гг. советские специалисты рассматривали четыре основных способа десантирования — парашютный, посадочный (второй эшелон десанта после захвата необходимых взлетно-посадочных полос), </w:t>
      </w:r>
      <w:proofErr w:type="spellStart"/>
      <w:r w:rsidRPr="007122AB">
        <w:rPr>
          <w:rFonts w:ascii="Times New Roman" w:hAnsi="Times New Roman"/>
          <w:color w:val="000000" w:themeColor="text1"/>
          <w:sz w:val="16"/>
          <w:szCs w:val="16"/>
        </w:rPr>
        <w:t>беспарашютный</w:t>
      </w:r>
      <w:proofErr w:type="spellEnd"/>
      <w:r w:rsidRPr="007122AB">
        <w:rPr>
          <w:rFonts w:ascii="Times New Roman" w:hAnsi="Times New Roman"/>
          <w:color w:val="000000" w:themeColor="text1"/>
          <w:sz w:val="16"/>
          <w:szCs w:val="16"/>
        </w:rPr>
        <w:t xml:space="preserve"> сброс с бреющего полета («выбрасываемый десант»), планерный. В отношении БТТ до практики доведен был только первый, хотя прорабатывались все четыре направления. Работы по воздушно-десантной тематике сосредоточились тогда в ОКБ под руководством П.И. Гроховского</w:t>
      </w:r>
      <w:r w:rsidRPr="007122AB">
        <w:rPr>
          <w:rFonts w:ascii="Times New Roman" w:hAnsi="Times New Roman"/>
          <w:color w:val="000000" w:themeColor="text1"/>
          <w:sz w:val="16"/>
          <w:szCs w:val="16"/>
          <w:vertAlign w:val="superscript"/>
        </w:rPr>
        <w:t>1</w:t>
      </w:r>
      <w:r w:rsidRPr="007122AB">
        <w:rPr>
          <w:rFonts w:ascii="Times New Roman" w:hAnsi="Times New Roman"/>
          <w:color w:val="000000" w:themeColor="text1"/>
          <w:sz w:val="16"/>
          <w:szCs w:val="16"/>
        </w:rPr>
        <w:t>. В качестве транспортно-десантных использовались штатные самолеты ВВС РККА и Гражданского воздушного флота, и, поскольку транспортных самолетов достаточной вместимости и грузоподъемности еще не существовало, вызвала интерес широко разрекламированная идея Кристи об использовании для этого тяжелого бомбардировщика. Первые попытки подвески танкеток под фюзеляж ТБ-1 делались в 1932 г., а к 1935 г. ОКБ отработало универсальную подвеску ПГ-12 («подвеска грузовая», хотя «Г-12» могло расшифровываться и как «12-й объект Гроховского») для переброски габаритных грузов на штатных внешних бомбодержателях четырехмоторного бомбардировщика ТБ-3 — тем более что ТБ-3 уже переделывался в транспортно-десантный. Наиболее массовыми были бомбардировщики с двигателями М-17Ф по 175 л.с., но для десантов предпочитали ТБ-3 с двигателями М-34 и М-34Р (по 830 л.с.), способный нести 30-35 парашютистов (11915).</w:t>
      </w:r>
    </w:p>
    <w:p w14:paraId="15108F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6C698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519422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0A9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года в документах указывается 27 "</w:t>
      </w:r>
      <w:proofErr w:type="spellStart"/>
      <w:r w:rsidRPr="007122AB">
        <w:rPr>
          <w:rFonts w:ascii="Times New Roman" w:hAnsi="Times New Roman"/>
          <w:color w:val="000000" w:themeColor="text1"/>
          <w:sz w:val="16"/>
          <w:szCs w:val="16"/>
        </w:rPr>
        <w:t>гарфордов</w:t>
      </w:r>
      <w:proofErr w:type="spellEnd"/>
      <w:r w:rsidRPr="007122AB">
        <w:rPr>
          <w:rFonts w:ascii="Times New Roman" w:hAnsi="Times New Roman"/>
          <w:color w:val="000000" w:themeColor="text1"/>
          <w:sz w:val="16"/>
          <w:szCs w:val="16"/>
        </w:rPr>
        <w:t xml:space="preserve">"! Причем предписывается снять эти бронеавтомобили с вооружения и разбронировать. Годную броню и шасси использовать в РККА, а негодные передать в </w:t>
      </w:r>
      <w:proofErr w:type="spellStart"/>
      <w:r w:rsidRPr="007122AB">
        <w:rPr>
          <w:rFonts w:ascii="Times New Roman" w:hAnsi="Times New Roman"/>
          <w:color w:val="000000" w:themeColor="text1"/>
          <w:sz w:val="16"/>
          <w:szCs w:val="16"/>
        </w:rPr>
        <w:t>Военнофондобюро</w:t>
      </w:r>
      <w:proofErr w:type="spellEnd"/>
      <w:r w:rsidRPr="007122AB">
        <w:rPr>
          <w:rFonts w:ascii="Times New Roman" w:hAnsi="Times New Roman"/>
          <w:color w:val="000000" w:themeColor="text1"/>
          <w:sz w:val="16"/>
          <w:szCs w:val="16"/>
        </w:rPr>
        <w:t xml:space="preserve">. По-видимому, последняя цифра наиболее точная и окончательная. Что же касается разборки и </w:t>
      </w:r>
      <w:proofErr w:type="spellStart"/>
      <w:r w:rsidRPr="007122AB">
        <w:rPr>
          <w:rFonts w:ascii="Times New Roman" w:hAnsi="Times New Roman"/>
          <w:color w:val="000000" w:themeColor="text1"/>
          <w:sz w:val="16"/>
          <w:szCs w:val="16"/>
        </w:rPr>
        <w:t>разбронировки</w:t>
      </w:r>
      <w:proofErr w:type="spellEnd"/>
      <w:r w:rsidRPr="007122AB">
        <w:rPr>
          <w:rFonts w:ascii="Times New Roman" w:hAnsi="Times New Roman"/>
          <w:color w:val="000000" w:themeColor="text1"/>
          <w:sz w:val="16"/>
          <w:szCs w:val="16"/>
        </w:rPr>
        <w:t>, то, судя по всему, этот процесс затронул не все машины, поскольку они запечатлены на немецких трофейных фотографиях 1941 года (9646).</w:t>
      </w:r>
    </w:p>
    <w:p w14:paraId="423E59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F46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проходил процесс Союзного бюро меньшевиков. Судили плановиков ВСНХ, Госплана, Госбанка, </w:t>
      </w:r>
      <w:proofErr w:type="spellStart"/>
      <w:r w:rsidRPr="007122AB">
        <w:rPr>
          <w:rFonts w:ascii="Times New Roman" w:hAnsi="Times New Roman"/>
          <w:color w:val="000000" w:themeColor="text1"/>
          <w:sz w:val="16"/>
          <w:szCs w:val="16"/>
        </w:rPr>
        <w:t>Наркомторга</w:t>
      </w:r>
      <w:proofErr w:type="spellEnd"/>
      <w:r w:rsidRPr="007122AB">
        <w:rPr>
          <w:rFonts w:ascii="Times New Roman" w:hAnsi="Times New Roman"/>
          <w:color w:val="000000" w:themeColor="text1"/>
          <w:sz w:val="16"/>
          <w:szCs w:val="16"/>
        </w:rPr>
        <w:t xml:space="preserve"> и Центросоюза (70,185).</w:t>
      </w:r>
    </w:p>
    <w:p w14:paraId="769308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C543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Постановлением VI съезда Советов вводится новая форма оплаты труда колхозников - трудодень, т.е. распределение проводится отныне не подушно, а пропорционально трудовому вкладу каждого (4962).</w:t>
      </w:r>
    </w:p>
    <w:p w14:paraId="07A8C04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E44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1931 года была образована комиссия под председательством Андреева для координации крупномасштабных операций по депортации "кулаков". В мае она приняла решение о переселении в Казахстан 60 тысяч и на Северный Урал - 50 тысяч семей. Вслед за этим было принято секретное постановление ЦИК и СНК об организации специальных поселков (спецпоселений) для кулацких семей "в местностях, где ощущается недостаток в рабочей силе для лесозаготовительных работ, работ по освоению неиспользованных земель и по разработке недр, для рыбных промыслов и т. п”. В этих поселениях депортированные находились под строгим административным надзором. Управление спецпоселениями было возложено на ГУЛАГ ОГПУ (9492).</w:t>
      </w:r>
    </w:p>
    <w:p w14:paraId="22CE6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D4E85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9E1C27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EE5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года опытный образец самолета специальной морской версии был передан на испытания. Позже он был оснащен посадочным крюком и 27 октября 1931 года впервые состыковался с перекладиной дирижабля «Лос-Анджелес». В середине 1930 года дополнительно закупили 6 учебных бипланов </w:t>
      </w:r>
      <w:proofErr w:type="spellStart"/>
      <w:r w:rsidRPr="007122AB">
        <w:rPr>
          <w:rFonts w:ascii="Times New Roman" w:hAnsi="Times New Roman"/>
          <w:color w:val="000000" w:themeColor="text1"/>
          <w:sz w:val="16"/>
          <w:szCs w:val="16"/>
        </w:rPr>
        <w:t>Консолидейтед</w:t>
      </w:r>
      <w:proofErr w:type="spellEnd"/>
      <w:r w:rsidRPr="007122AB">
        <w:rPr>
          <w:rFonts w:ascii="Times New Roman" w:hAnsi="Times New Roman"/>
          <w:color w:val="000000" w:themeColor="text1"/>
          <w:sz w:val="16"/>
          <w:szCs w:val="16"/>
        </w:rPr>
        <w:t xml:space="preserve"> N2Y-1, оборудованных стыковочным крюком и использовавшихся для обучения летчиков стыковочным и </w:t>
      </w:r>
      <w:proofErr w:type="spellStart"/>
      <w:r w:rsidRPr="007122AB">
        <w:rPr>
          <w:rFonts w:ascii="Times New Roman" w:hAnsi="Times New Roman"/>
          <w:color w:val="000000" w:themeColor="text1"/>
          <w:sz w:val="16"/>
          <w:szCs w:val="16"/>
        </w:rPr>
        <w:t>расстыковочным</w:t>
      </w:r>
      <w:proofErr w:type="spellEnd"/>
      <w:r w:rsidRPr="007122AB">
        <w:rPr>
          <w:rFonts w:ascii="Times New Roman" w:hAnsi="Times New Roman"/>
          <w:color w:val="000000" w:themeColor="text1"/>
          <w:sz w:val="16"/>
          <w:szCs w:val="16"/>
        </w:rPr>
        <w:t xml:space="preserve">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273052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A8BEC9" w14:textId="77777777" w:rsidR="00FC14C6" w:rsidRPr="007122AB" w:rsidRDefault="00FC14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1931 французский авиатор Марсель </w:t>
      </w:r>
      <w:proofErr w:type="spellStart"/>
      <w:r w:rsidRPr="007122AB">
        <w:rPr>
          <w:rFonts w:ascii="Times New Roman" w:hAnsi="Times New Roman"/>
          <w:color w:val="000000" w:themeColor="text1"/>
          <w:sz w:val="16"/>
          <w:szCs w:val="16"/>
        </w:rPr>
        <w:t>Гулетт</w:t>
      </w:r>
      <w:proofErr w:type="spellEnd"/>
      <w:r w:rsidRPr="007122AB">
        <w:rPr>
          <w:rFonts w:ascii="Times New Roman" w:hAnsi="Times New Roman"/>
          <w:color w:val="000000" w:themeColor="text1"/>
          <w:sz w:val="16"/>
          <w:szCs w:val="16"/>
        </w:rPr>
        <w:t xml:space="preserve"> летит на Фармане F.304 </w:t>
      </w:r>
      <w:proofErr w:type="spellStart"/>
      <w:r w:rsidRPr="007122AB">
        <w:rPr>
          <w:rFonts w:ascii="Times New Roman" w:hAnsi="Times New Roman"/>
          <w:color w:val="000000" w:themeColor="text1"/>
          <w:sz w:val="16"/>
          <w:szCs w:val="16"/>
        </w:rPr>
        <w:t>Trimotor</w:t>
      </w:r>
      <w:proofErr w:type="spellEnd"/>
      <w:r w:rsidRPr="007122AB">
        <w:rPr>
          <w:rFonts w:ascii="Times New Roman" w:hAnsi="Times New Roman"/>
          <w:color w:val="000000" w:themeColor="text1"/>
          <w:sz w:val="16"/>
          <w:szCs w:val="16"/>
        </w:rPr>
        <w:t xml:space="preserve"> из Парижа, Франция, в Антананариву , Мадагаскар, и обратно (20804).</w:t>
      </w:r>
    </w:p>
    <w:p w14:paraId="4EAC07D9" w14:textId="77777777" w:rsidR="00FC14C6" w:rsidRPr="007122AB" w:rsidRDefault="00FC14C6" w:rsidP="007122AB">
      <w:pPr>
        <w:spacing w:after="0" w:line="240" w:lineRule="auto"/>
        <w:jc w:val="both"/>
        <w:rPr>
          <w:rFonts w:ascii="Times New Roman" w:hAnsi="Times New Roman"/>
          <w:color w:val="000000" w:themeColor="text1"/>
          <w:sz w:val="16"/>
          <w:szCs w:val="16"/>
        </w:rPr>
      </w:pPr>
    </w:p>
    <w:p w14:paraId="03DF18A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0C06AB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CA0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марте-апреле 1931 АНТ-9 поступили в ВВС (522,5). Сначала отличались окраской - вместо серебрянки - зеленый с голубым, но краска облетала и вновь перешли на серебрянку (10542,28).</w:t>
      </w:r>
    </w:p>
    <w:p w14:paraId="32812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82D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ШОН был выпущен в ЦКБ к 1 апреля 1931 (92,420).</w:t>
      </w:r>
    </w:p>
    <w:p w14:paraId="79416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ECE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 мае 1931 г. двигатель М-48 разрабатывался в КБ завода № 29 (Запорожье) под руководством А.С. Назарова. Использовал часть узлов и агрегатов двигателя М-11 и унифицировался с моторами М-49 и М-51, входившими в то же семейство. Проект завершен в августе 1931 г. Изготовлены и испытаны опытные образцы (с июня 1932 г., 3 экз.). В 1934 г. демон</w:t>
      </w:r>
      <w:r w:rsidRPr="007122AB">
        <w:rPr>
          <w:rFonts w:ascii="Times New Roman" w:hAnsi="Times New Roman"/>
          <w:color w:val="000000" w:themeColor="text1"/>
          <w:sz w:val="16"/>
          <w:szCs w:val="16"/>
        </w:rPr>
        <w:softHyphen/>
        <w:t>стрировался на выставке в Париже как достижение советской авиапромышленности. В 1935 г. проходил летные испытания на самолете У-3. В серийное производство М-48 не запускался. Послужил основой для разработки мотора МГ-21. Характеристики:</w:t>
      </w:r>
    </w:p>
    <w:p w14:paraId="63AF1E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7-цилиндровый, звездообразный, четырехтактный, воздушного охлаждения, с ПЦН;</w:t>
      </w:r>
    </w:p>
    <w:p w14:paraId="5042B7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165/210 л.с.;</w:t>
      </w:r>
    </w:p>
    <w:p w14:paraId="2A8878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125/140 мм;</w:t>
      </w:r>
    </w:p>
    <w:p w14:paraId="507C51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5,0;</w:t>
      </w:r>
    </w:p>
    <w:p w14:paraId="4C5378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12,0 л;</w:t>
      </w:r>
    </w:p>
    <w:p w14:paraId="39356FF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194 кг.</w:t>
      </w:r>
    </w:p>
    <w:p w14:paraId="52165E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Использование М-48 предусма</w:t>
      </w:r>
      <w:r w:rsidRPr="007122AB">
        <w:rPr>
          <w:rFonts w:ascii="Times New Roman" w:hAnsi="Times New Roman"/>
          <w:color w:val="000000" w:themeColor="text1"/>
          <w:sz w:val="16"/>
          <w:szCs w:val="16"/>
        </w:rPr>
        <w:softHyphen/>
        <w:t>тривалось в проекте легкого само</w:t>
      </w:r>
      <w:r w:rsidRPr="007122AB">
        <w:rPr>
          <w:rFonts w:ascii="Times New Roman" w:hAnsi="Times New Roman"/>
          <w:color w:val="000000" w:themeColor="text1"/>
          <w:sz w:val="16"/>
          <w:szCs w:val="16"/>
        </w:rPr>
        <w:softHyphen/>
        <w:t>лета связи ЦКБ-9 (11852).</w:t>
      </w:r>
    </w:p>
    <w:p w14:paraId="3F40D903" w14:textId="0DD8AAD2"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E012C" w14:textId="0699B256" w:rsidR="00FC14C6" w:rsidRPr="007122AB" w:rsidRDefault="00FC14C6" w:rsidP="007122AB">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7C571171" w14:textId="77777777" w:rsidR="00FC14C6" w:rsidRPr="007122AB" w:rsidRDefault="00FC14C6" w:rsidP="007122AB">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1805181F" w14:textId="77777777" w:rsidR="00FC14C6" w:rsidRPr="007122AB" w:rsidRDefault="00FC14C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марте-апреле 1931 г. Франция и СССР приступили к нормализации политических п хозяйственных взаимоотношений. Уже 10 августа 1931 г. был парафирован договор о ненападении между СССР и Францией (Подробный анализ см.: </w:t>
      </w:r>
      <w:proofErr w:type="spellStart"/>
      <w:r w:rsidRPr="007122AB">
        <w:rPr>
          <w:rFonts w:ascii="Times New Roman" w:eastAsia="Times New Roman" w:hAnsi="Times New Roman"/>
          <w:color w:val="000000" w:themeColor="text1"/>
          <w:sz w:val="16"/>
          <w:szCs w:val="16"/>
          <w:lang w:eastAsia="ru-RU"/>
        </w:rPr>
        <w:t>Wo</w:t>
      </w:r>
      <w:proofErr w:type="spellEnd"/>
      <w:r w:rsidRPr="007122AB">
        <w:rPr>
          <w:rFonts w:ascii="Times New Roman" w:eastAsia="Times New Roman" w:hAnsi="Times New Roman"/>
          <w:color w:val="000000" w:themeColor="text1"/>
          <w:sz w:val="16"/>
          <w:szCs w:val="16"/>
          <w:lang w:val="en-US" w:eastAsia="ru-RU"/>
        </w:rPr>
        <w:t>l</w:t>
      </w:r>
      <w:proofErr w:type="spellStart"/>
      <w:r w:rsidRPr="007122AB">
        <w:rPr>
          <w:rFonts w:ascii="Times New Roman" w:eastAsia="Times New Roman" w:hAnsi="Times New Roman"/>
          <w:color w:val="000000" w:themeColor="text1"/>
          <w:sz w:val="16"/>
          <w:szCs w:val="16"/>
          <w:lang w:eastAsia="ru-RU"/>
        </w:rPr>
        <w:t>os</w:t>
      </w:r>
      <w:proofErr w:type="spellEnd"/>
      <w:r w:rsidRPr="007122AB">
        <w:rPr>
          <w:rFonts w:ascii="Times New Roman" w:eastAsia="Times New Roman" w:hAnsi="Times New Roman"/>
          <w:color w:val="000000" w:themeColor="text1"/>
          <w:sz w:val="16"/>
          <w:szCs w:val="16"/>
          <w:lang w:eastAsia="ru-RU"/>
        </w:rPr>
        <w:t xml:space="preserve"> М. </w:t>
      </w:r>
      <w:proofErr w:type="spellStart"/>
      <w:r w:rsidRPr="007122AB">
        <w:rPr>
          <w:rFonts w:ascii="Times New Roman" w:eastAsia="Times New Roman" w:hAnsi="Times New Roman"/>
          <w:color w:val="000000" w:themeColor="text1"/>
          <w:sz w:val="16"/>
          <w:szCs w:val="16"/>
          <w:lang w:eastAsia="ru-RU"/>
        </w:rPr>
        <w:t>Francja</w:t>
      </w:r>
      <w:proofErr w:type="spellEnd"/>
      <w:r w:rsidRPr="007122AB">
        <w:rPr>
          <w:rFonts w:ascii="Times New Roman" w:eastAsia="Times New Roman" w:hAnsi="Times New Roman"/>
          <w:color w:val="000000" w:themeColor="text1"/>
          <w:sz w:val="16"/>
          <w:szCs w:val="16"/>
          <w:lang w:eastAsia="ru-RU"/>
        </w:rPr>
        <w:t xml:space="preserve"> - ZSSR- </w:t>
      </w:r>
      <w:proofErr w:type="spellStart"/>
      <w:r w:rsidRPr="007122AB">
        <w:rPr>
          <w:rFonts w:ascii="Times New Roman" w:eastAsia="Times New Roman" w:hAnsi="Times New Roman"/>
          <w:color w:val="000000" w:themeColor="text1"/>
          <w:sz w:val="16"/>
          <w:szCs w:val="16"/>
          <w:lang w:eastAsia="ru-RU"/>
        </w:rPr>
        <w:t>Stosunki</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polityczne</w:t>
      </w:r>
      <w:proofErr w:type="spellEnd"/>
      <w:r w:rsidRPr="007122AB">
        <w:rPr>
          <w:rFonts w:ascii="Times New Roman" w:eastAsia="Times New Roman" w:hAnsi="Times New Roman"/>
          <w:color w:val="000000" w:themeColor="text1"/>
          <w:sz w:val="16"/>
          <w:szCs w:val="16"/>
          <w:lang w:eastAsia="ru-RU"/>
        </w:rPr>
        <w:t xml:space="preserve"> w </w:t>
      </w:r>
      <w:proofErr w:type="spellStart"/>
      <w:r w:rsidRPr="007122AB">
        <w:rPr>
          <w:rFonts w:ascii="Times New Roman" w:eastAsia="Times New Roman" w:hAnsi="Times New Roman"/>
          <w:color w:val="000000" w:themeColor="text1"/>
          <w:sz w:val="16"/>
          <w:szCs w:val="16"/>
          <w:lang w:eastAsia="ru-RU"/>
        </w:rPr>
        <w:t>latach</w:t>
      </w:r>
      <w:proofErr w:type="spellEnd"/>
      <w:r w:rsidRPr="007122AB">
        <w:rPr>
          <w:rFonts w:ascii="Times New Roman" w:eastAsia="Times New Roman" w:hAnsi="Times New Roman"/>
          <w:color w:val="000000" w:themeColor="text1"/>
          <w:sz w:val="16"/>
          <w:szCs w:val="16"/>
          <w:lang w:eastAsia="ru-RU"/>
        </w:rPr>
        <w:t xml:space="preserve"> 1924-1932. </w:t>
      </w:r>
      <w:proofErr w:type="spellStart"/>
      <w:r w:rsidRPr="007122AB">
        <w:rPr>
          <w:rFonts w:ascii="Times New Roman" w:eastAsia="Times New Roman" w:hAnsi="Times New Roman"/>
          <w:color w:val="000000" w:themeColor="text1"/>
          <w:sz w:val="16"/>
          <w:szCs w:val="16"/>
          <w:lang w:eastAsia="ru-RU"/>
        </w:rPr>
        <w:t>Torun</w:t>
      </w:r>
      <w:proofErr w:type="spellEnd"/>
      <w:r w:rsidRPr="007122AB">
        <w:rPr>
          <w:rFonts w:ascii="Times New Roman" w:eastAsia="Times New Roman" w:hAnsi="Times New Roman"/>
          <w:color w:val="000000" w:themeColor="text1"/>
          <w:sz w:val="16"/>
          <w:szCs w:val="16"/>
          <w:lang w:eastAsia="ru-RU"/>
        </w:rPr>
        <w:t xml:space="preserve">, 2004. S. 474-523) (22725). </w:t>
      </w:r>
    </w:p>
    <w:p w14:paraId="167B28CB" w14:textId="77777777" w:rsidR="00FC14C6" w:rsidRPr="007122AB" w:rsidRDefault="00FC14C6" w:rsidP="007122AB">
      <w:pPr>
        <w:spacing w:after="0" w:line="240" w:lineRule="auto"/>
        <w:jc w:val="both"/>
        <w:rPr>
          <w:rFonts w:ascii="Times New Roman" w:eastAsia="Times New Roman" w:hAnsi="Times New Roman"/>
          <w:color w:val="000000" w:themeColor="text1"/>
          <w:sz w:val="16"/>
          <w:szCs w:val="16"/>
          <w:lang w:eastAsia="ru-RU"/>
        </w:rPr>
      </w:pPr>
    </w:p>
    <w:p w14:paraId="35D21471" w14:textId="77777777" w:rsidR="00921BBD" w:rsidRPr="007122AB" w:rsidRDefault="00921BB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7671069" w14:textId="77777777" w:rsidR="00921BBD" w:rsidRPr="007122AB" w:rsidRDefault="00921B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ED726C"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1-м квартале 1931 г. утвердили эскизный проект, построили и утвердили макет И-12 2М-22 (АНТ-23). Началась постройка опытного образца, обозначенного «заказ 7007» (15823).</w:t>
      </w:r>
    </w:p>
    <w:p w14:paraId="5B4B70C0" w14:textId="77777777" w:rsidR="00921BBD" w:rsidRPr="007122AB" w:rsidRDefault="00921BBD" w:rsidP="007122AB">
      <w:pPr>
        <w:spacing w:after="0" w:line="240" w:lineRule="auto"/>
        <w:jc w:val="both"/>
        <w:rPr>
          <w:rFonts w:ascii="Times New Roman" w:hAnsi="Times New Roman"/>
          <w:color w:val="000000" w:themeColor="text1"/>
          <w:sz w:val="16"/>
          <w:szCs w:val="16"/>
        </w:rPr>
      </w:pPr>
    </w:p>
    <w:p w14:paraId="78315595" w14:textId="77777777" w:rsidR="00921BBD" w:rsidRPr="007122AB" w:rsidRDefault="00921BBD" w:rsidP="007122AB">
      <w:pPr>
        <w:pStyle w:val="rtejustify"/>
        <w:shd w:val="clear" w:color="auto" w:fill="FFFFFF"/>
        <w:spacing w:before="0" w:after="0"/>
        <w:rPr>
          <w:color w:val="000000" w:themeColor="text1"/>
          <w:sz w:val="16"/>
          <w:szCs w:val="16"/>
        </w:rPr>
      </w:pPr>
      <w:r w:rsidRPr="007122AB">
        <w:rPr>
          <w:color w:val="000000" w:themeColor="text1"/>
          <w:sz w:val="16"/>
          <w:szCs w:val="16"/>
        </w:rPr>
        <w:t>В первом квартале 1931 года был утвержден эскизный проект, построен и утвержден макет самолета И-12 2М-22 (АНТ-23). Началась постройка опытного образца. В производстве самолет получил обозначение заказ 7007 (19172).</w:t>
      </w:r>
    </w:p>
    <w:p w14:paraId="17AD1B2F" w14:textId="77777777" w:rsidR="00921BBD" w:rsidRPr="007122AB" w:rsidRDefault="00921BBD" w:rsidP="007122AB">
      <w:pPr>
        <w:pStyle w:val="rtejustify"/>
        <w:shd w:val="clear" w:color="auto" w:fill="FFFFFF"/>
        <w:spacing w:before="0" w:after="0"/>
        <w:rPr>
          <w:color w:val="000000" w:themeColor="text1"/>
          <w:sz w:val="16"/>
          <w:szCs w:val="16"/>
        </w:rPr>
      </w:pPr>
    </w:p>
    <w:p w14:paraId="66F89CD5" w14:textId="77777777" w:rsidR="009A522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AA59182" w14:textId="77777777" w:rsidR="009A522B" w:rsidRPr="007122AB" w:rsidRDefault="009A522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CC2B46"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 1-му апреля 1931 года Заводом № 39 был построен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и испытывался до начала следующего года.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(18293).</w:t>
      </w:r>
    </w:p>
    <w:p w14:paraId="6FA510B7" w14:textId="77777777" w:rsidR="00921BBD" w:rsidRPr="007122AB" w:rsidRDefault="00921BBD" w:rsidP="007122AB">
      <w:pPr>
        <w:spacing w:after="0" w:line="240" w:lineRule="auto"/>
        <w:jc w:val="both"/>
        <w:rPr>
          <w:rFonts w:ascii="Times New Roman" w:hAnsi="Times New Roman"/>
          <w:color w:val="000000" w:themeColor="text1"/>
          <w:sz w:val="16"/>
          <w:szCs w:val="16"/>
        </w:rPr>
      </w:pPr>
    </w:p>
    <w:p w14:paraId="2A7F3916" w14:textId="77777777" w:rsidR="00921BBD" w:rsidRPr="007122AB" w:rsidRDefault="00921BB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DBDDD87" w14:textId="77777777" w:rsidR="00921BBD" w:rsidRPr="007122AB" w:rsidRDefault="00921B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E86A6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апрелю 1931 года группой инженеров-конструкторов в составе Асафова, Алексеева и Скворцова был спроектирован </w:t>
      </w:r>
      <w:hyperlink r:id="rId5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ТА-1 с мощным вооружением.</w:t>
      </w:r>
    </w:p>
    <w:p w14:paraId="1A46835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Компоновка машины была выполнена по классической схеме, которая включала в себя три отделения: управления, боевое и моторно-трансмиссионное. Экипаж </w:t>
      </w:r>
      <w:hyperlink r:id="rId5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состоял из пяти человек. На </w:t>
      </w:r>
      <w:hyperlink r:id="rId5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е была </w:t>
      </w:r>
      <w:proofErr w:type="spellStart"/>
      <w:r w:rsidRPr="007122AB">
        <w:rPr>
          <w:rFonts w:ascii="Times New Roman" w:hAnsi="Times New Roman"/>
          <w:color w:val="000000" w:themeColor="text1"/>
          <w:sz w:val="16"/>
          <w:szCs w:val="16"/>
        </w:rPr>
        <w:t>примененая</w:t>
      </w:r>
      <w:proofErr w:type="spellEnd"/>
      <w:r w:rsidRPr="007122AB">
        <w:rPr>
          <w:rFonts w:ascii="Times New Roman" w:hAnsi="Times New Roman"/>
          <w:color w:val="000000" w:themeColor="text1"/>
          <w:sz w:val="16"/>
          <w:szCs w:val="16"/>
        </w:rPr>
        <w:t xml:space="preserve"> двухярусная установка пушечного вооружения калибра 76,2 мм и 37 мм.</w:t>
      </w:r>
    </w:p>
    <w:p w14:paraId="1E28F0C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вспомогательного вооружения использовались четыре 7,62-мм пулемета "Максим", установленные в шаровых опорах - два в отделении управления в два в башне (один пулемет спарен с 76,2-мм пушкой). 76,2-мм пушка А-19 монтировалась в куполообразной вращающейся башне, на которой размещалась малая куполообразная башня с 37-мм пушкой. Поворот малой башни мог производиться независимо от нижней. Максимальный угол вертикального наведения 37-мм пушки составлял 65 град и обеспечивал возможность ведения стрельбы по воздушным целям. Боекомплект пулеметов был рассчитан на 10 мин. непрерывной стрельбы. Для наблюдения за полем боя на малой башне имелся стробоскоп.</w:t>
      </w:r>
    </w:p>
    <w:p w14:paraId="23AAC6A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Бронирование </w:t>
      </w:r>
      <w:hyperlink r:id="rId5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ТА-1 было слабее чем у ТГ. Так, например, основная башня изготовлялась методом штамповки и сварки из 20-мм брони (у </w:t>
      </w:r>
      <w:hyperlink r:id="rId5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Гроте – 30 мм), малая башня – из 13 мм брони. Тем не менее, боевая масса </w:t>
      </w:r>
      <w:hyperlink r:id="rId5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снизилась до 18000-18500 кг, что было на 50% меньше чем у ТГ.</w:t>
      </w:r>
    </w:p>
    <w:p w14:paraId="6994013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силовой установке предполагалось использовать авиационный карбюраторный “Либерти", но поскольку авиапромышленность осваивала лицензионный выпуск BMW-IV мощностью 500 л.с. при 1420 об./мин., проект был скорректирован под него. В состав механической трансмиссии входили: главный фрикцион, коробка передач, два бортовых фрикциона и два бортовых редуктора. В </w:t>
      </w:r>
      <w:hyperlink r:id="rId5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е использовались пневматическая система управления трансмиссией и механические приводы непосредственного действия.</w:t>
      </w:r>
    </w:p>
    <w:p w14:paraId="6E002B5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Подвеска </w:t>
      </w:r>
      <w:hyperlink r:id="rId6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представляла собой модернизированную подвеску американского </w:t>
      </w:r>
      <w:hyperlink r:id="rId6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М.1940 "Кристи" с измененной конструкцией балансиров опорных катков. В ходовой части использовались гусеницы из штампованных траков, которые имели цевочное зацепление с ведущими колесами. Опорные и поддерживающие катки, а также направляющие колеса имели наружную амортизацию. Расчетная максимальная скорость </w:t>
      </w:r>
      <w:hyperlink r:id="rId6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боевой массой 18,2 т составляла 50 км/ч.</w:t>
      </w:r>
    </w:p>
    <w:p w14:paraId="178BB2E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эскизный проект ТА-1 предполагал, что </w:t>
      </w:r>
      <w:hyperlink r:id="rId6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будет иметь только гусеничный ход, но уже на начальном этапе проектирования было получено распоряжение оснастить машину колесно-гусеничным движителем. Это повлекло за собой целую серию доработок в конечном итоге проект был значительно переработан и получил индекс ТА-2.</w:t>
      </w:r>
    </w:p>
    <w:p w14:paraId="655BED8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Главное внимание при проектировании ТА-2 было обращено на конструкцию передних поворотных колес и систему подвески заднего моста (привода ведущих колес колесного хода). Система </w:t>
      </w:r>
      <w:proofErr w:type="spellStart"/>
      <w:r w:rsidRPr="007122AB">
        <w:rPr>
          <w:rFonts w:ascii="Times New Roman" w:hAnsi="Times New Roman"/>
          <w:color w:val="000000" w:themeColor="text1"/>
          <w:sz w:val="16"/>
          <w:szCs w:val="16"/>
        </w:rPr>
        <w:t>подрессоривания</w:t>
      </w:r>
      <w:proofErr w:type="spellEnd"/>
      <w:r w:rsidRPr="007122AB">
        <w:rPr>
          <w:rFonts w:ascii="Times New Roman" w:hAnsi="Times New Roman"/>
          <w:color w:val="000000" w:themeColor="text1"/>
          <w:sz w:val="16"/>
          <w:szCs w:val="16"/>
        </w:rPr>
        <w:t xml:space="preserve"> была спроектирована по типу </w:t>
      </w:r>
      <w:hyperlink r:id="rId6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Кристи, но с горизонтальным расположением рессор. Из-за значительных усилий, возникающих в рулевом механизме управляемых колес при повороте на колесном ходу, он был снабжен пневматическим усилителем.</w:t>
      </w:r>
    </w:p>
    <w:p w14:paraId="12B5816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движении на колёсном ходу две задние пары опорных катков являлись ведущими. Привод к ним осуществлялся от бортовых редукторов </w:t>
      </w:r>
      <w:hyperlink r:id="rId6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через шестеренчатые редукторы (гитары), расположенные по бортам </w:t>
      </w:r>
      <w:hyperlink r:id="rId6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Распределение крутящего момента между колесами производилось с помощью гитар-балансиров. Узлы и агрегаты моторно-трансмиссионного отделения, ведущие колеса гусеничного хода и гусеницы были такими же, как в </w:t>
      </w:r>
      <w:hyperlink r:id="rId6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е ТА-1. Из-за ограничения внутренних объемов отделений пришлось отказаться от ручных приводов управления и перейти на пневматические.</w:t>
      </w:r>
    </w:p>
    <w:p w14:paraId="58315EC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части вооружения было увеличено до пяти число установленных пулеметов - дополнялось бортовыми пулеметами для обеспечения «зачистки окопов». Увеличение мощи вооружения происходило за счет сокращения боекомплекта, рассчитанного на ведение боя в течение 6 минут. Численность экипажа осталась без изменений. Танк должен был иметь массу 27,5 т и развивать максимальную скорость на колесном ходу до 80 км/ч, на гусеничном - до 50 км/ч.</w:t>
      </w:r>
    </w:p>
    <w:p w14:paraId="790E9BE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Эти показатели сочли слишком оптимистичными, да и запас хода ТА-2 не совсем отвечал предъявляемым требованиям к “маневренному” </w:t>
      </w:r>
      <w:hyperlink r:id="rId6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у. Более того, военная комиссия обнаружила в проекте новые ошибки, что в совокупности с возросшей ценой привело к отказу от работ по этому проекту. Все это побудило конструкторов начать проектирование третьего </w:t>
      </w:r>
      <w:hyperlink r:id="rId6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 Т-3, который относился уже к «позиционным», так как имел массу свыше 32 т.</w:t>
      </w:r>
    </w:p>
    <w:p w14:paraId="408037C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hyperlink r:id="rId7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е Т-3, который относился уже к «позиционным», конструкторы попытались сочетать надежную броневую защиту, мощное вооружение и высокую скорость. Был решен вопрос защиты экипажа от отравляющих веществ за счет создания избыточного давления в обитаемых отделениях и использования специальных воздушных фильтров конструкции Института </w:t>
      </w:r>
      <w:proofErr w:type="spellStart"/>
      <w:r w:rsidRPr="007122AB">
        <w:rPr>
          <w:rFonts w:ascii="Times New Roman" w:hAnsi="Times New Roman"/>
          <w:color w:val="000000" w:themeColor="text1"/>
          <w:sz w:val="16"/>
          <w:szCs w:val="16"/>
        </w:rPr>
        <w:t>химобороны</w:t>
      </w:r>
      <w:proofErr w:type="spellEnd"/>
      <w:r w:rsidRPr="007122AB">
        <w:rPr>
          <w:rFonts w:ascii="Times New Roman" w:hAnsi="Times New Roman"/>
          <w:color w:val="000000" w:themeColor="text1"/>
          <w:sz w:val="16"/>
          <w:szCs w:val="16"/>
        </w:rPr>
        <w:t xml:space="preserve">. Кроме того, на </w:t>
      </w:r>
      <w:hyperlink r:id="rId7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планировалось поставить радиостанцию дальнего действия с тем, чтобы на остановках можно было связываться с корреспондентом, удаленным на 30-50 км.</w:t>
      </w:r>
    </w:p>
    <w:p w14:paraId="11E78F3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вооружения машины была изменена. Вместо двухъярусного расположения 76,2-мм и 37-мм пушек была применена их спаренная установка в одной башне с возможностью независимого наведения каждой пушки в вертикальной плоскости. 7,62-мм пулеметы "Максим" были заменены на 7,62-мм пулеметы ДТ, два из которых размещались в башне, два - по бортам корпуса в боевом отделении и один - в отделении управления у механика-водителя. Боекомплект пулеметов был рассчитан на ведение непрерывной стрельбы в течение 10 мин.</w:t>
      </w:r>
    </w:p>
    <w:p w14:paraId="7B6D782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Корпус </w:t>
      </w:r>
      <w:hyperlink r:id="rId7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сваривался из стальных броневых листов. Он имел два отделении - боевое, совмещённое с отделением управления, и моторно-трансмиссионное. Экипаж машины состоял из шести человек. Ходовая часть </w:t>
      </w:r>
      <w:hyperlink r:id="rId7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была закрыта фальшбортами, причем броневые листы, защищавшие передние управляемые опорные катки, при использовании колесного хода откидывались на борта для обеспечения возможности поворота машины. Для наблюдения за полем боя и управления машиной использовались стробоскопы. Конструкция агрегатов трансмиссии, ходовой части, а также пневмосистемы управления трансмиссией была заимствована у </w:t>
      </w:r>
      <w:hyperlink r:id="rId7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ТА-2. Коробка передач имела поперечное расположение в отличие от ее установки вдоль продольной оси корпуса на </w:t>
      </w:r>
      <w:hyperlink r:id="rId7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е ТА-2. в конструкции ходовой части использовались узлы и детали от проектов </w:t>
      </w:r>
      <w:hyperlink r:id="rId7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 ТА-1 и ТА-2.</w:t>
      </w:r>
    </w:p>
    <w:p w14:paraId="31A8890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проекту </w:t>
      </w:r>
      <w:hyperlink r:id="rId7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имевший боевую массу 32,5 т, должен был развивать максимальную скорость движения на колесном ходу 70 км/ч, на гусеничном ходу - 45 км/ч.</w:t>
      </w:r>
    </w:p>
    <w:p w14:paraId="299E99C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три проекта были переданы в УММ РККА, а также в ОКМО завода "Большевик".</w:t>
      </w:r>
    </w:p>
    <w:p w14:paraId="447F44C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Тактико-технические характеристики </w:t>
      </w:r>
      <w:hyperlink r:id="rId7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 Асафова</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80"/>
        <w:gridCol w:w="1685"/>
        <w:gridCol w:w="2729"/>
        <w:gridCol w:w="2729"/>
        <w:gridCol w:w="2705"/>
      </w:tblGrid>
      <w:tr w:rsidR="001002C3" w:rsidRPr="007122AB" w14:paraId="2BB53DC7"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17DA6E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C7909B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Тип </w:t>
            </w:r>
            <w:hyperlink r:id="rId7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A769FD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3DF370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ТА-1</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54ED04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B99DBD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ТА-2</w:t>
            </w:r>
          </w:p>
        </w:tc>
        <w:tc>
          <w:tcPr>
            <w:tcW w:w="223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8936D9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AE12E2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Т-3</w:t>
            </w:r>
          </w:p>
        </w:tc>
      </w:tr>
      <w:tr w:rsidR="001002C3" w:rsidRPr="007122AB" w14:paraId="778058FA"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30FD56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17BCA81"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Боевая масса, т</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14A62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436362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18000 - 18500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C83AC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284B2F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D3C96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2E1B24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32500</w:t>
            </w:r>
          </w:p>
        </w:tc>
      </w:tr>
      <w:tr w:rsidR="001002C3" w:rsidRPr="007122AB" w14:paraId="5379415B"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1E2683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5C4769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чел</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07828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427944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6FCE0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53F5D1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E271D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C368AD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r>
      <w:tr w:rsidR="001002C3" w:rsidRPr="007122AB" w14:paraId="7B7F378D"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DCD259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227CA0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Габаритные размеры, мм</w:t>
            </w:r>
          </w:p>
        </w:tc>
      </w:tr>
      <w:tr w:rsidR="001002C3" w:rsidRPr="007122AB" w14:paraId="3E4E829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A830C8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084EEC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C8868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5DCF0C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0E146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F3194E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7450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2A217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752608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≈8300</w:t>
            </w:r>
          </w:p>
        </w:tc>
      </w:tr>
      <w:tr w:rsidR="001002C3" w:rsidRPr="007122AB" w14:paraId="0DC8D7F1"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4F3FF3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F92DB8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FE037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ED7080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5CBA2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25F604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FDA7B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118C19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≈3200</w:t>
            </w:r>
          </w:p>
        </w:tc>
      </w:tr>
      <w:tr w:rsidR="001002C3" w:rsidRPr="007122AB" w14:paraId="0ABD4D64"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D10F09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DEAF25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Высота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5F44C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6DE4BF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2840*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158CF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ACD9CB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2900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02397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964CA9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≈2900</w:t>
            </w:r>
          </w:p>
        </w:tc>
      </w:tr>
      <w:tr w:rsidR="001002C3" w:rsidRPr="007122AB" w14:paraId="646FB303"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B4EA7D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3895A31"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Клиренс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55CC0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18164F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0C111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5F81E1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A6E21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F3CA41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≈350</w:t>
            </w:r>
          </w:p>
        </w:tc>
      </w:tr>
      <w:tr w:rsidR="001002C3" w:rsidRPr="007122AB" w14:paraId="0FF8C250"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C335DD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9A3121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r>
      <w:tr w:rsidR="001002C3" w:rsidRPr="007122AB" w14:paraId="0E9CACA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5432A0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CAFA2B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 мм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01EFF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A60AEE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 76,2 А-19, 1 × 76,2 ПС-2</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21ABC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8C7DA6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 76,2 А-19, 1 × 76,2 ПС-2</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130EA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425864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 76,2 А-19, 1 × 76,2 ПС-2</w:t>
            </w:r>
          </w:p>
        </w:tc>
      </w:tr>
      <w:tr w:rsidR="001002C3" w:rsidRPr="007122AB" w14:paraId="2A523BDD"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B9772BB"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C194C6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Пулеметы, мм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949E1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D81219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 7,62 Максим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F2336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FAC0F2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 7,62 Максим</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CE1F3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C91395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 7,62 ДТ</w:t>
            </w:r>
          </w:p>
        </w:tc>
      </w:tr>
      <w:tr w:rsidR="001002C3" w:rsidRPr="007122AB" w14:paraId="7FFB900F"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FCF650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2638BE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Боекомплект</w:t>
            </w:r>
          </w:p>
        </w:tc>
      </w:tr>
      <w:tr w:rsidR="001002C3" w:rsidRPr="007122AB" w14:paraId="210F4674"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0D2798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58DD17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 выстрелы</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AA9C5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83BF5E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к 76,2 и 80 к 37</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56031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1C0CD7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к 76,2 и 80 к 37</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98093B"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FA6E79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к 76,2 и 80 к 37</w:t>
            </w:r>
          </w:p>
        </w:tc>
      </w:tr>
      <w:tr w:rsidR="001002C3" w:rsidRPr="007122AB" w14:paraId="54229A58"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20E854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21B533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Пулеметы, патроны</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54A38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312222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B4D6C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9A1963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0CC61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01797A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30000</w:t>
            </w:r>
          </w:p>
        </w:tc>
      </w:tr>
      <w:tr w:rsidR="001002C3" w:rsidRPr="007122AB" w14:paraId="17D346B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E87FB5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1C2C6A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Приборы прицеливания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4B9A0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761FD6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телескопический ТОП образца 1930 г.</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441F7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178863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телескопический ТОП образца 1930 г.</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C14E8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DEEA8E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телескопический ТОП образца 1930 г.</w:t>
            </w:r>
          </w:p>
        </w:tc>
      </w:tr>
      <w:tr w:rsidR="001002C3" w:rsidRPr="007122AB" w14:paraId="5A7314BC"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F4BCFC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A6F49E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w:t>
            </w:r>
          </w:p>
        </w:tc>
      </w:tr>
      <w:tr w:rsidR="001002C3" w:rsidRPr="007122AB" w14:paraId="178D5EE8"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EF46C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57A983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Лоб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2DFC4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E33ED2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1E0EB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128687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3D589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A7CF9F1"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r>
      <w:tr w:rsidR="001002C3" w:rsidRPr="007122AB" w14:paraId="2DE8B34D"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57EA14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5FE071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Борт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62150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6CE99E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F3B28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613A21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20+10**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3DC15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E2F0BE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20+10**</w:t>
            </w:r>
          </w:p>
        </w:tc>
      </w:tr>
      <w:tr w:rsidR="001002C3" w:rsidRPr="007122AB" w14:paraId="314F81F1"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33359A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4033CD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Корма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42413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7CD133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678B0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C4CBE2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2752E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AA544D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1002C3" w:rsidRPr="007122AB" w14:paraId="42CB4A9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238C21B"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67B718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Башня основная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C0361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0E7101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60AA4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672407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20C04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B7CEE3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r>
      <w:tr w:rsidR="001002C3" w:rsidRPr="007122AB" w14:paraId="3A15CDC6"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FA16F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44FE8D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Башня малая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A40AD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83FF32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60095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753373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79B59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E38F4D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6CC17E7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183ED7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D399B1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Крыша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0079E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B509E8D"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DF840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FD9D83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3497D1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551C36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r>
      <w:tr w:rsidR="001002C3" w:rsidRPr="007122AB" w14:paraId="396452C9"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61E4CD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37790D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Днище</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FBE6F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6D946C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7E576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1EAF87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4A80A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B35C8C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r>
      <w:tr w:rsidR="001002C3" w:rsidRPr="007122AB" w14:paraId="0B85CC9E"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8C8B05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622438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Силовая установка</w:t>
            </w:r>
          </w:p>
        </w:tc>
      </w:tr>
      <w:tr w:rsidR="001002C3" w:rsidRPr="007122AB" w14:paraId="473A0A85"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70787D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6F21C2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двигателя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2F5CC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107699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карбюраторный BMW-IV</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6A359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996F87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карбюраторный BMW-IV</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C6A47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29FCAF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карбюраторный BMW-IV</w:t>
            </w:r>
          </w:p>
        </w:tc>
      </w:tr>
      <w:tr w:rsidR="001002C3" w:rsidRPr="007122AB" w14:paraId="4DFEEDC4"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8B2714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0B07CE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л.с.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B5323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B534E1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E72BA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082B66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9D711B"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008D5C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06F98790"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7F45F4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4F90AC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 мощность, л.с.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1F4D2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8DFE1B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E29EF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3FA3FA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67D6A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4A2DCB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5BDC8A29"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DD24C3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7C1EC6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Трансмиссия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98491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E3917C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механическая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52030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84A5C2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пневмо-механическая</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BD809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BFAB41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пневмо-механическая</w:t>
            </w:r>
          </w:p>
        </w:tc>
      </w:tr>
      <w:tr w:rsidR="001002C3" w:rsidRPr="007122AB" w14:paraId="09CC2884" w14:textId="77777777" w:rsidTr="005F6639">
        <w:trPr>
          <w:trHeight w:val="1150"/>
        </w:trPr>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6AD27A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BD6121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Ходовая часть</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801A6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38291E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6325122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0355E7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опорных катков, 3 поддерживающих ролика, переднее направляющее и заднее ведущее колесо</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7508D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6E005C1"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обрезиненных опорных катков, 2 поддерживающих ролика, 1 тележка с двумя малыми опорными катками, переднее направляющее и заднее ведущее колесо</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49900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0286C3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обрезиненных опорных катков, первый из которых на колесном ходу управляемый, 2 тележки с двумя малыми опорными катками, переднее направляющее и заднее ведущее колесо</w:t>
            </w:r>
          </w:p>
        </w:tc>
      </w:tr>
      <w:tr w:rsidR="001002C3" w:rsidRPr="007122AB" w14:paraId="0A4B57CA" w14:textId="77777777" w:rsidTr="005F6639">
        <w:trPr>
          <w:trHeight w:val="1150"/>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83AFBB5" w14:textId="77777777" w:rsidR="009A522B" w:rsidRPr="007122AB" w:rsidRDefault="009A522B" w:rsidP="007122AB">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D751F5"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46FD99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1FAD7BB" w14:textId="77777777" w:rsidR="009A522B" w:rsidRPr="007122AB" w:rsidRDefault="009A522B" w:rsidP="007122AB">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33206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76E4EC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опорный каток управляемый, привод на два задних катка с помощью гитар-балансиров</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D0255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534812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опорный каток управляемый, привод на два задних катка с помощью гитар-балансиров</w:t>
            </w:r>
          </w:p>
        </w:tc>
      </w:tr>
      <w:tr w:rsidR="001002C3" w:rsidRPr="007122AB" w14:paraId="0BA7E25A" w14:textId="77777777" w:rsidTr="005F6639">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7390B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783760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Скорость </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53B13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AC1D67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94D13A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CF8D78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70027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11AAB0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20F12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5D15B49"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w:t>
            </w:r>
          </w:p>
        </w:tc>
      </w:tr>
      <w:tr w:rsidR="001002C3" w:rsidRPr="007122AB" w14:paraId="1D64598A" w14:textId="77777777" w:rsidTr="005F6639">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2A36093" w14:textId="77777777" w:rsidR="009A522B" w:rsidRPr="007122AB" w:rsidRDefault="009A522B" w:rsidP="007122AB">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BCC4F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4DDF2B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1B5BB16" w14:textId="77777777" w:rsidR="009A522B" w:rsidRPr="007122AB" w:rsidRDefault="009A522B" w:rsidP="007122AB">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D71BF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E5814C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2174CD"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28AAEE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w:t>
            </w:r>
          </w:p>
        </w:tc>
      </w:tr>
      <w:tr w:rsidR="001002C3" w:rsidRPr="007122AB" w14:paraId="1F6CC7E5" w14:textId="77777777" w:rsidTr="005F6639">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DCBCE8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EBE5E1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км</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2C84C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EEE99D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729094E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FACA2C1"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EC9B4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C0EED5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B3A23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D638ED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48238283" w14:textId="77777777" w:rsidTr="005F6639">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B3D6FBD" w14:textId="77777777" w:rsidR="009A522B" w:rsidRPr="007122AB" w:rsidRDefault="009A522B" w:rsidP="007122AB">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F46D7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217625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62478CD" w14:textId="77777777" w:rsidR="009A522B" w:rsidRPr="007122AB" w:rsidRDefault="009A522B" w:rsidP="007122AB">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3B181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618902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5F524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EE37C48"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6815D79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552C9D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414EB7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Преодолеваемые препятствия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99B88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147EDE7"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7E83D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395CA65"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24A0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55DBC8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2D88C13"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8FD7CB3"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FA5B0A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подъёма, град.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75BC8C"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9CF1934"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06D1A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5A5035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7E62D2"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9A1E4E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17CDB650"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8829A6E"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56B4C8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стенки,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636D0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15954F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1C8760"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1082685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E8710B"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145A4B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715FE6B9"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9D7D1D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799D01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рва,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D1CC6A"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59BDD4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85577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1796C8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45AAB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DB344B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015A4D3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233F3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E3E070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брода,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A1CCF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4641567B"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39F8759"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2A1832EE"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66A6E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661CFE72"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4AC670D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051A6E8"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577CB6EC"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Средства связи</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825A41"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1CD4DE0"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отсутствовали</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31512F"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7B04447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отсутствовали</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C4C6D4"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310C953F"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радиостанция дальнего действия для связи на расстоянии 30-50 км</w:t>
            </w:r>
          </w:p>
        </w:tc>
      </w:tr>
    </w:tbl>
    <w:p w14:paraId="39E30773"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 данные из статьи Танки ТА,</w:t>
      </w:r>
    </w:p>
    <w:p w14:paraId="55A1947A"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 данные приблизительные  (15620).</w:t>
      </w:r>
    </w:p>
    <w:p w14:paraId="32C9F406"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8A34CA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BC00DD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DFB7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 Приказом ОГПУ № 160/96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Этот день следует считать днем рождения шарашек. 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(12107).</w:t>
      </w:r>
    </w:p>
    <w:p w14:paraId="4E9F58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135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апрелю 1931 г. в АГОС ЦАГИ пришли к выводу, что основным вариантом для проектирования должна стать установка шести двигателей М-34, которые во втором квартале 1932 г. все- таки намеревались заменить четырьмя М-35. Но М-34 в наличии тоже не имелось - их серийное производство на заводе № 24 начали налаживать только с сентября 1931 г. Поэтому для первого опытного образца АНТ-16 решили купить моторы по 800 л.с. в Англии. Фирме "Роллс-Ройс" через торговое представительство в Лондоне даже успели выдать заказ на них.</w:t>
      </w:r>
    </w:p>
    <w:p w14:paraId="4C1E1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39A6FC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шесть-восемь пулеметов и одну пушку (12024).</w:t>
      </w:r>
    </w:p>
    <w:p w14:paraId="563B0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1C1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апрелю 1931 г. в АГОС ЦАГИ пришли к выводу, что основным вариантом для проектирования должна стать установка шести двигателей М-34, которые во втором квартале 1932 г. намеревались заменить четырьмя М-35. Но М-34 в наличии тоже не имелось - их производство на заводе № 24 в Москве начали налаживать только с сентября 1931 г. Поэтому для первого опытного АНТ-16 решили купить моторы по 800 л.с. в Англии. Фирме "Роллс-Ройс" даже успели выдать заказ на них.</w:t>
      </w:r>
    </w:p>
    <w:p w14:paraId="1D73AE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7A0B4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w:t>
      </w:r>
      <w:r w:rsidRPr="007122AB">
        <w:rPr>
          <w:rFonts w:ascii="Times New Roman" w:hAnsi="Times New Roman"/>
          <w:color w:val="000000" w:themeColor="text1"/>
          <w:sz w:val="16"/>
          <w:szCs w:val="16"/>
        </w:rPr>
        <w:lastRenderedPageBreak/>
        <w:t>(кольчугалюминия)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 - восемь пулеметов и одну пушку (12036).</w:t>
      </w:r>
    </w:p>
    <w:p w14:paraId="1D122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AABB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апреля 1931 года установка моторов БМВVI Е=7,3 на ТБ-3 была закончена (6918).</w:t>
      </w:r>
    </w:p>
    <w:p w14:paraId="3FD808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F7621" w14:textId="77777777" w:rsidR="005A6DD2" w:rsidRPr="007122AB" w:rsidRDefault="005A6D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в 1931 году построен и начались испытания разработанного в ЦКБ лёгкого одномоторного (BMW-VI) двухместного штурмовика </w:t>
      </w:r>
      <w:hyperlink r:id="rId80" w:tgtFrame="_blank" w:history="1">
        <w:r w:rsidRPr="007122AB">
          <w:rPr>
            <w:rFonts w:ascii="Times New Roman" w:hAnsi="Times New Roman"/>
            <w:color w:val="000000" w:themeColor="text1"/>
            <w:sz w:val="16"/>
            <w:szCs w:val="16"/>
          </w:rPr>
          <w:t xml:space="preserve">«ШОН» </w:t>
        </w:r>
      </w:hyperlink>
      <w:r w:rsidRPr="007122AB">
        <w:rPr>
          <w:rFonts w:ascii="Times New Roman" w:hAnsi="Times New Roman"/>
          <w:color w:val="000000" w:themeColor="text1"/>
          <w:sz w:val="16"/>
          <w:szCs w:val="16"/>
        </w:rPr>
        <w:t>(штурмовик особого назначения, № 23 по плану ЦКБ) с частичным бронированием кабины лётчика и мотора (только снизу). 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Общая оценка лётных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(15086).</w:t>
      </w:r>
    </w:p>
    <w:p w14:paraId="7AF3BCEE" w14:textId="77777777" w:rsidR="005A6DD2" w:rsidRPr="007122AB" w:rsidRDefault="005A6DD2" w:rsidP="007122AB">
      <w:pPr>
        <w:spacing w:after="0" w:line="240" w:lineRule="auto"/>
        <w:jc w:val="both"/>
        <w:rPr>
          <w:rFonts w:ascii="Times New Roman" w:hAnsi="Times New Roman"/>
          <w:color w:val="000000" w:themeColor="text1"/>
          <w:sz w:val="16"/>
          <w:szCs w:val="16"/>
        </w:rPr>
      </w:pPr>
    </w:p>
    <w:p w14:paraId="73A3FAB5" w14:textId="77777777" w:rsidR="005A6DD2" w:rsidRPr="007122AB" w:rsidRDefault="005A6DD2"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апреля 1931 года заводом № 39был построен еще один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В создании ШОН, кроме Н.Н. Поликарпова и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принимал участие и Д.П. Григорович. Предполагалось, что этим штурмовиком будут вооружаться также и авиагруппы перспективных советских авианосцев, проектирование которых также велось в 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74D5E285" w14:textId="77777777" w:rsidR="005A6DD2" w:rsidRPr="007122AB" w:rsidRDefault="005A6DD2"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ШОН предусматривало подвеску торпеды, а в сухопутном варианте - счетверенную качающуюся установку пулеметов ПВ-1, установленную в полу кабины стрелка для стрельбы под углом вперед-вниз и назад, и 400 кг авиабомб. Оборонительное вооружение включало один пулемет для стрельбы назад. Машина получилась довольно простой и дешевой в производстве. Сварная </w:t>
      </w:r>
      <w:proofErr w:type="spellStart"/>
      <w:r w:rsidRPr="007122AB">
        <w:rPr>
          <w:rFonts w:ascii="Times New Roman" w:hAnsi="Times New Roman"/>
          <w:color w:val="000000" w:themeColor="text1"/>
          <w:sz w:val="16"/>
          <w:szCs w:val="16"/>
        </w:rPr>
        <w:t>моторама</w:t>
      </w:r>
      <w:proofErr w:type="spellEnd"/>
      <w:r w:rsidRPr="007122AB">
        <w:rPr>
          <w:rFonts w:ascii="Times New Roman" w:hAnsi="Times New Roman"/>
          <w:color w:val="000000" w:themeColor="text1"/>
          <w:sz w:val="16"/>
          <w:szCs w:val="16"/>
        </w:rPr>
        <w:t xml:space="preserve"> крепилась к фюзеляжу на четырех болтах. Фюзеляж выполнялся из сварных труб с поперечными проволочными расчалками и от кабины до конца фюзеляжа покрывался полотном. Конструкция крыльев деревянная, </w:t>
      </w:r>
      <w:proofErr w:type="spellStart"/>
      <w:r w:rsidRPr="007122AB">
        <w:rPr>
          <w:rFonts w:ascii="Times New Roman" w:hAnsi="Times New Roman"/>
          <w:color w:val="000000" w:themeColor="text1"/>
          <w:sz w:val="16"/>
          <w:szCs w:val="16"/>
        </w:rPr>
        <w:t>двухлонжеронная</w:t>
      </w:r>
      <w:proofErr w:type="spellEnd"/>
      <w:r w:rsidRPr="007122AB">
        <w:rPr>
          <w:rFonts w:ascii="Times New Roman" w:hAnsi="Times New Roman"/>
          <w:color w:val="000000" w:themeColor="text1"/>
          <w:sz w:val="16"/>
          <w:szCs w:val="16"/>
        </w:rPr>
        <w:t>, с полотняной обшивкой. Для удобства транспортировки и размещения самолета на палубе авианосца крылья отворачивали назад. Были внесены изменения и в конструкцию шасси.</w:t>
      </w:r>
    </w:p>
    <w:p w14:paraId="4C5FF064" w14:textId="77777777" w:rsidR="005A6DD2" w:rsidRPr="007122AB" w:rsidRDefault="005A6DD2"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ШОН испытывался до начала следующего года.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(15223).</w:t>
      </w:r>
    </w:p>
    <w:p w14:paraId="179611B5" w14:textId="77777777" w:rsidR="005A6DD2" w:rsidRPr="007122AB" w:rsidRDefault="005A6DD2" w:rsidP="007122AB">
      <w:pPr>
        <w:shd w:val="clear" w:color="auto" w:fill="FFFFFF"/>
        <w:spacing w:after="0" w:line="240" w:lineRule="auto"/>
        <w:jc w:val="both"/>
        <w:rPr>
          <w:rFonts w:ascii="Times New Roman" w:hAnsi="Times New Roman"/>
          <w:color w:val="000000" w:themeColor="text1"/>
          <w:sz w:val="16"/>
          <w:szCs w:val="16"/>
        </w:rPr>
      </w:pPr>
    </w:p>
    <w:p w14:paraId="188389EB"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апреля 1931 г. выпущен на испытания разработанный ОСС ЦКБ штурмовик особого назначения ШОН (23559).</w:t>
      </w:r>
    </w:p>
    <w:p w14:paraId="094EB073" w14:textId="77777777" w:rsidR="004D3FB2" w:rsidRPr="00441F34" w:rsidRDefault="004D3FB2" w:rsidP="004D3FB2">
      <w:pPr>
        <w:spacing w:after="0" w:line="240" w:lineRule="auto"/>
        <w:jc w:val="both"/>
        <w:rPr>
          <w:rFonts w:ascii="Times New Roman" w:hAnsi="Times New Roman"/>
          <w:color w:val="0070C0"/>
          <w:sz w:val="16"/>
          <w:szCs w:val="16"/>
        </w:rPr>
      </w:pPr>
    </w:p>
    <w:p w14:paraId="73321D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апреля 1931 г. был построен и испытывался вплоть до лета 1932 легкий одномоторный (BMW-6) двухместный штурмовик ШОН (штурмовик особого назначения, № 23 по плану ЦКБ) с частичным бронированием (только снизу) мотора и кабины летчика, который был разработан в ЦКБ параллельно работам по ТШ-2 на базе штурмовика ЛШ-1. В создании ШОН, кроме Н. Н. Поликарпова и С. 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принимал участие Д. П. Григорович.</w:t>
      </w:r>
    </w:p>
    <w:p w14:paraId="649DD6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16463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ШОН состояло из счетверенной качающейся установки пулеметов ПВ-1, установленной в полу кабины стрелка, для стрельбы под углом </w:t>
      </w:r>
      <w:proofErr w:type="spellStart"/>
      <w:r w:rsidRPr="007122AB">
        <w:rPr>
          <w:rFonts w:ascii="Times New Roman" w:hAnsi="Times New Roman"/>
          <w:color w:val="000000" w:themeColor="text1"/>
          <w:sz w:val="16"/>
          <w:szCs w:val="16"/>
        </w:rPr>
        <w:t>впред</w:t>
      </w:r>
      <w:proofErr w:type="spellEnd"/>
      <w:r w:rsidRPr="007122AB">
        <w:rPr>
          <w:rFonts w:ascii="Times New Roman" w:hAnsi="Times New Roman"/>
          <w:color w:val="000000" w:themeColor="text1"/>
          <w:sz w:val="16"/>
          <w:szCs w:val="16"/>
        </w:rPr>
        <w:t>-вниз и назад, и 400 кг авиабомб. Оборонительное вооружение включало один пулемет для стрельбы назад.</w:t>
      </w:r>
    </w:p>
    <w:p w14:paraId="1DEF1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Машина получилась довольно простой и дешевой в производстве. Сварная </w:t>
      </w:r>
      <w:proofErr w:type="spellStart"/>
      <w:r w:rsidRPr="007122AB">
        <w:rPr>
          <w:rFonts w:ascii="Times New Roman" w:hAnsi="Times New Roman"/>
          <w:color w:val="000000" w:themeColor="text1"/>
          <w:sz w:val="16"/>
          <w:szCs w:val="16"/>
        </w:rPr>
        <w:t>моторама</w:t>
      </w:r>
      <w:proofErr w:type="spellEnd"/>
      <w:r w:rsidRPr="007122AB">
        <w:rPr>
          <w:rFonts w:ascii="Times New Roman" w:hAnsi="Times New Roman"/>
          <w:color w:val="000000" w:themeColor="text1"/>
          <w:sz w:val="16"/>
          <w:szCs w:val="16"/>
        </w:rPr>
        <w:t xml:space="preserve"> крепилась к фюзеляжу на четырех болтах.</w:t>
      </w:r>
    </w:p>
    <w:p w14:paraId="77CBE8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Фюзеляж выполнялся из сварных углеродистых труб с поперечными проволочными растяжками и от кабины до конца фюзеляжа покрывался полотном.</w:t>
      </w:r>
    </w:p>
    <w:p w14:paraId="649B7A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Конструкция крыльев деревянная, </w:t>
      </w:r>
      <w:proofErr w:type="spellStart"/>
      <w:r w:rsidRPr="007122AB">
        <w:rPr>
          <w:rFonts w:ascii="Times New Roman" w:hAnsi="Times New Roman"/>
          <w:color w:val="000000" w:themeColor="text1"/>
          <w:sz w:val="16"/>
          <w:szCs w:val="16"/>
        </w:rPr>
        <w:t>двухлонжеронная</w:t>
      </w:r>
      <w:proofErr w:type="spellEnd"/>
      <w:r w:rsidRPr="007122AB">
        <w:rPr>
          <w:rFonts w:ascii="Times New Roman" w:hAnsi="Times New Roman"/>
          <w:color w:val="000000" w:themeColor="text1"/>
          <w:sz w:val="16"/>
          <w:szCs w:val="16"/>
        </w:rPr>
        <w:t xml:space="preserve"> с полотняной обшивкой. Для удобства транспортировки и размещения самолета на палубе авианосца крылья отворачивались назад. Были внесены изменения и в конструкцию шасси.</w:t>
      </w:r>
    </w:p>
    <w:p w14:paraId="3BB4D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Первые же полеты показали, что при температуре окружающего воздуха 21°С вода в системе охлаждения закипала. Завод перешел на этиленгликолевое охлаждение. Температура масла тоже была высокой.</w:t>
      </w:r>
    </w:p>
    <w:p w14:paraId="22D46D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 оценка летных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(9649).</w:t>
      </w:r>
    </w:p>
    <w:p w14:paraId="4A6FA1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81D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на ТБ-3 4КК были установлено 4 БМВ-6 и были закончены переделки рулей и элеронов с тем, чтобы снизить давление на органы управления. Окончательно проблему не решили, т.к. один из двигателей разрушился, а усилия уменьшились недостаточно (3029,211).</w:t>
      </w:r>
    </w:p>
    <w:p w14:paraId="0BC88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4529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или 2 апреля 1931 Нач. Администрации ЦАГИ Берг писал письмо № 332,с Пом. </w:t>
      </w:r>
      <w:proofErr w:type="spellStart"/>
      <w:r w:rsidRPr="007122AB">
        <w:rPr>
          <w:rFonts w:ascii="Times New Roman" w:hAnsi="Times New Roman"/>
          <w:color w:val="000000" w:themeColor="text1"/>
          <w:sz w:val="16"/>
          <w:szCs w:val="16"/>
        </w:rPr>
        <w:t>Секратаря</w:t>
      </w:r>
      <w:proofErr w:type="spellEnd"/>
      <w:r w:rsidRPr="007122AB">
        <w:rPr>
          <w:rFonts w:ascii="Times New Roman" w:hAnsi="Times New Roman"/>
          <w:color w:val="000000" w:themeColor="text1"/>
          <w:sz w:val="16"/>
          <w:szCs w:val="16"/>
        </w:rPr>
        <w:t xml:space="preserve"> РВС тов. Орлову:</w:t>
      </w:r>
    </w:p>
    <w:p w14:paraId="236051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присланному Вами предложению посылаю отзыв, составленный по указанию т. Петренко, Зам. Нач. ЦАГИ проф. </w:t>
      </w:r>
      <w:proofErr w:type="spellStart"/>
      <w:r w:rsidRPr="007122AB">
        <w:rPr>
          <w:rFonts w:ascii="Times New Roman" w:hAnsi="Times New Roman"/>
          <w:color w:val="000000" w:themeColor="text1"/>
          <w:sz w:val="16"/>
          <w:szCs w:val="16"/>
        </w:rPr>
        <w:t>А.И.Некрасовы</w:t>
      </w:r>
      <w:proofErr w:type="spellEnd"/>
      <w:r w:rsidRPr="007122AB">
        <w:rPr>
          <w:rFonts w:ascii="Times New Roman" w:hAnsi="Times New Roman"/>
          <w:color w:val="000000" w:themeColor="text1"/>
          <w:sz w:val="16"/>
          <w:szCs w:val="16"/>
        </w:rPr>
        <w:t>:</w:t>
      </w:r>
    </w:p>
    <w:p w14:paraId="4115C5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РЕВВОЕНСОВЕТ СССР На в № 0490сс.</w:t>
      </w:r>
    </w:p>
    <w:p w14:paraId="7B455B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Предложение заменить неподвижные части машин, двигающихся в воздухе или в воде, подвижными для уменьшения части сопротив</w:t>
      </w:r>
      <w:r w:rsidRPr="007122AB">
        <w:rPr>
          <w:rFonts w:ascii="Times New Roman" w:hAnsi="Times New Roman"/>
          <w:color w:val="000000" w:themeColor="text1"/>
          <w:sz w:val="16"/>
          <w:szCs w:val="16"/>
        </w:rPr>
        <w:softHyphen/>
        <w:t xml:space="preserve">ления, приходящейся на трение, не является по своей идее новым. Так, например, в книге проф. </w:t>
      </w:r>
      <w:proofErr w:type="spellStart"/>
      <w:r w:rsidRPr="007122AB">
        <w:rPr>
          <w:rFonts w:ascii="Times New Roman" w:hAnsi="Times New Roman"/>
          <w:color w:val="000000" w:themeColor="text1"/>
          <w:sz w:val="16"/>
          <w:szCs w:val="16"/>
        </w:rPr>
        <w:t>Б.Н.Юрьева</w:t>
      </w:r>
      <w:proofErr w:type="spellEnd"/>
      <w:r w:rsidRPr="007122AB">
        <w:rPr>
          <w:rFonts w:ascii="Times New Roman" w:hAnsi="Times New Roman"/>
          <w:color w:val="000000" w:themeColor="text1"/>
          <w:sz w:val="16"/>
          <w:szCs w:val="16"/>
        </w:rPr>
        <w:t xml:space="preserve"> "Индуктивное сопротивление крыльев аэроплана”. Применяя более сложные устройства, мож</w:t>
      </w:r>
      <w:r w:rsidRPr="007122AB">
        <w:rPr>
          <w:rFonts w:ascii="Times New Roman" w:hAnsi="Times New Roman"/>
          <w:color w:val="000000" w:themeColor="text1"/>
          <w:sz w:val="16"/>
          <w:szCs w:val="16"/>
        </w:rPr>
        <w:softHyphen/>
        <w:t>но, конечно, и далее улучшать крылья. Напр.: если крыло обтя</w:t>
      </w:r>
      <w:r w:rsidRPr="007122AB">
        <w:rPr>
          <w:rFonts w:ascii="Times New Roman" w:hAnsi="Times New Roman"/>
          <w:color w:val="000000" w:themeColor="text1"/>
          <w:sz w:val="16"/>
          <w:szCs w:val="16"/>
        </w:rPr>
        <w:softHyphen/>
        <w:t>нуть подвижным на роликах полотном, как это изображено на фиг. 14 бис, то под влиянием трения это полотно придет в движение, и сила трения значительно уменьшится. Если такие полотна приво</w:t>
      </w:r>
      <w:r w:rsidRPr="007122AB">
        <w:rPr>
          <w:rFonts w:ascii="Times New Roman" w:hAnsi="Times New Roman"/>
          <w:color w:val="000000" w:themeColor="text1"/>
          <w:sz w:val="16"/>
          <w:szCs w:val="16"/>
        </w:rPr>
        <w:softHyphen/>
        <w:t>дить в движение от мотора, то можно будет получить вместо про</w:t>
      </w:r>
      <w:r w:rsidRPr="007122AB">
        <w:rPr>
          <w:rFonts w:ascii="Times New Roman" w:hAnsi="Times New Roman"/>
          <w:color w:val="000000" w:themeColor="text1"/>
          <w:sz w:val="16"/>
          <w:szCs w:val="16"/>
        </w:rPr>
        <w:softHyphen/>
        <w:t xml:space="preserve">фильного сопротивления даже силу тяги. Давая верхнему полотну большую скорость, чем нижнему, можно будет получить увеличение циркуляции скорости около крыла и, следовательно, увеличить его </w:t>
      </w:r>
      <w:proofErr w:type="spellStart"/>
      <w:r w:rsidRPr="007122AB">
        <w:rPr>
          <w:rFonts w:ascii="Times New Roman" w:hAnsi="Times New Roman"/>
          <w:color w:val="000000" w:themeColor="text1"/>
          <w:sz w:val="16"/>
          <w:szCs w:val="16"/>
        </w:rPr>
        <w:t>под"емную</w:t>
      </w:r>
      <w:proofErr w:type="spellEnd"/>
      <w:r w:rsidRPr="007122AB">
        <w:rPr>
          <w:rFonts w:ascii="Times New Roman" w:hAnsi="Times New Roman"/>
          <w:color w:val="000000" w:themeColor="text1"/>
          <w:sz w:val="16"/>
          <w:szCs w:val="16"/>
        </w:rPr>
        <w:t xml:space="preserve"> силу.</w:t>
      </w:r>
    </w:p>
    <w:p w14:paraId="2EE514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такое устройство вряд ли будет целесообразным из-за сложности конструкции.</w:t>
      </w:r>
    </w:p>
    <w:p w14:paraId="254104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вопрос лежит не в плоскости самой идеи, а в плоскости её технического осуществления.</w:t>
      </w:r>
    </w:p>
    <w:p w14:paraId="4A55D7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Чтобы судить о том, стоит ли этим вопросом заниматься, при</w:t>
      </w:r>
      <w:r w:rsidRPr="007122AB">
        <w:rPr>
          <w:rFonts w:ascii="Times New Roman" w:hAnsi="Times New Roman"/>
          <w:color w:val="000000" w:themeColor="text1"/>
          <w:sz w:val="16"/>
          <w:szCs w:val="16"/>
        </w:rPr>
        <w:softHyphen/>
        <w:t xml:space="preserve">ведем следующие результаты, вытекающие из работ </w:t>
      </w:r>
      <w:proofErr w:type="spellStart"/>
      <w:r w:rsidRPr="007122AB">
        <w:rPr>
          <w:rFonts w:ascii="Times New Roman" w:hAnsi="Times New Roman"/>
          <w:color w:val="000000" w:themeColor="text1"/>
          <w:sz w:val="16"/>
          <w:szCs w:val="16"/>
        </w:rPr>
        <w:t>randtl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Jebers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Gibbson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Sottorn</w:t>
      </w:r>
      <w:proofErr w:type="spellEnd"/>
      <w:r w:rsidRPr="007122AB">
        <w:rPr>
          <w:rFonts w:ascii="Times New Roman" w:hAnsi="Times New Roman"/>
          <w:color w:val="000000" w:themeColor="text1"/>
          <w:sz w:val="16"/>
          <w:szCs w:val="16"/>
        </w:rPr>
        <w:t xml:space="preserve"> и др.</w:t>
      </w:r>
    </w:p>
    <w:p w14:paraId="5A2AA4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сопротивление слагается из индуктивного сопротивле</w:t>
      </w:r>
      <w:r w:rsidRPr="007122AB">
        <w:rPr>
          <w:rFonts w:ascii="Times New Roman" w:hAnsi="Times New Roman"/>
          <w:color w:val="000000" w:themeColor="text1"/>
          <w:sz w:val="16"/>
          <w:szCs w:val="16"/>
        </w:rPr>
        <w:softHyphen/>
        <w:t>ния, волнового, сопротивления от Кармановских вихрей, сопротив</w:t>
      </w:r>
      <w:r w:rsidRPr="007122AB">
        <w:rPr>
          <w:rFonts w:ascii="Times New Roman" w:hAnsi="Times New Roman"/>
          <w:color w:val="000000" w:themeColor="text1"/>
          <w:sz w:val="16"/>
          <w:szCs w:val="16"/>
        </w:rPr>
        <w:softHyphen/>
        <w:t xml:space="preserve">ления от трения. Три последних источника сопротивления </w:t>
      </w:r>
      <w:proofErr w:type="spellStart"/>
      <w:r w:rsidRPr="007122AB">
        <w:rPr>
          <w:rFonts w:ascii="Times New Roman" w:hAnsi="Times New Roman"/>
          <w:color w:val="000000" w:themeColor="text1"/>
          <w:sz w:val="16"/>
          <w:szCs w:val="16"/>
        </w:rPr>
        <w:t>об"еди-няются</w:t>
      </w:r>
      <w:proofErr w:type="spellEnd"/>
      <w:r w:rsidRPr="007122AB">
        <w:rPr>
          <w:rFonts w:ascii="Times New Roman" w:hAnsi="Times New Roman"/>
          <w:color w:val="000000" w:themeColor="text1"/>
          <w:sz w:val="16"/>
          <w:szCs w:val="16"/>
        </w:rPr>
        <w:t xml:space="preserve"> общим названием сопротивление формы. Выделить величину</w:t>
      </w:r>
    </w:p>
    <w:p w14:paraId="30F357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сопротивления каждого рода представляет большие трудности, но всё же возможно.</w:t>
      </w:r>
    </w:p>
    <w:p w14:paraId="0267D2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результатам Прандтля аэроплан с общей поверхностью в 80 кв. м. при скорости 144 км в час испытывает общее сопротивление в 200-250 кг, причем на до</w:t>
      </w:r>
      <w:r w:rsidRPr="007122AB">
        <w:rPr>
          <w:rFonts w:ascii="Times New Roman" w:hAnsi="Times New Roman"/>
          <w:color w:val="000000" w:themeColor="text1"/>
          <w:sz w:val="16"/>
          <w:szCs w:val="16"/>
        </w:rPr>
        <w:softHyphen/>
        <w:t>лю трения падает 28 кг.</w:t>
      </w:r>
    </w:p>
    <w:p w14:paraId="63F7CA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увеличении размеров и скорости сопротивление растет </w:t>
      </w:r>
      <w:proofErr w:type="spellStart"/>
      <w:r w:rsidRPr="007122AB">
        <w:rPr>
          <w:rFonts w:ascii="Times New Roman" w:hAnsi="Times New Roman"/>
          <w:color w:val="000000" w:themeColor="text1"/>
          <w:sz w:val="16"/>
          <w:szCs w:val="16"/>
        </w:rPr>
        <w:t>прямопропорционально</w:t>
      </w:r>
      <w:proofErr w:type="spellEnd"/>
      <w:r w:rsidRPr="007122AB">
        <w:rPr>
          <w:rFonts w:ascii="Times New Roman" w:hAnsi="Times New Roman"/>
          <w:color w:val="000000" w:themeColor="text1"/>
          <w:sz w:val="16"/>
          <w:szCs w:val="16"/>
        </w:rPr>
        <w:t xml:space="preserve"> ширине крыла, </w:t>
      </w:r>
      <w:proofErr w:type="spellStart"/>
      <w:r w:rsidRPr="007122AB">
        <w:rPr>
          <w:rFonts w:ascii="Times New Roman" w:hAnsi="Times New Roman"/>
          <w:color w:val="000000" w:themeColor="text1"/>
          <w:sz w:val="16"/>
          <w:szCs w:val="16"/>
        </w:rPr>
        <w:t>прямопропорционально</w:t>
      </w:r>
      <w:proofErr w:type="spellEnd"/>
      <w:r w:rsidRPr="007122AB">
        <w:rPr>
          <w:rFonts w:ascii="Times New Roman" w:hAnsi="Times New Roman"/>
          <w:color w:val="000000" w:themeColor="text1"/>
          <w:sz w:val="16"/>
          <w:szCs w:val="16"/>
        </w:rPr>
        <w:t xml:space="preserve"> 0,85 степени от длины и 1,85 степени от скорости.</w:t>
      </w:r>
    </w:p>
    <w:p w14:paraId="3410AC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Мы видим, что сопротивление от трения составляет, вообще, заметную часть от общего сопротивления.</w:t>
      </w:r>
    </w:p>
    <w:p w14:paraId="7EC3DF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скольжении по воде пластинки, а эти результаты приме</w:t>
      </w:r>
      <w:r w:rsidRPr="007122AB">
        <w:rPr>
          <w:rFonts w:ascii="Times New Roman" w:hAnsi="Times New Roman"/>
          <w:color w:val="000000" w:themeColor="text1"/>
          <w:sz w:val="16"/>
          <w:szCs w:val="16"/>
        </w:rPr>
        <w:softHyphen/>
        <w:t>нимы к глиссерам, сопротивление от трения при увеличении угла атаки заметно уменьшается, и остальная часть сопротивления за</w:t>
      </w:r>
      <w:r w:rsidRPr="007122AB">
        <w:rPr>
          <w:rFonts w:ascii="Times New Roman" w:hAnsi="Times New Roman"/>
          <w:color w:val="000000" w:themeColor="text1"/>
          <w:sz w:val="16"/>
          <w:szCs w:val="16"/>
        </w:rPr>
        <w:softHyphen/>
        <w:t>метно увеличивается и та и другая части сопротивления растут с увеличением скорости и нагрузки.</w:t>
      </w:r>
    </w:p>
    <w:p w14:paraId="3B5542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атаки для глиссеров лежит в пределах от 4° до 6° 5 при этих углах сопротивление от трения составляет около 25% от общего сопротивления.</w:t>
      </w:r>
    </w:p>
    <w:p w14:paraId="50E10B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Наконец, при движении </w:t>
      </w:r>
      <w:proofErr w:type="spellStart"/>
      <w:r w:rsidRPr="007122AB">
        <w:rPr>
          <w:rFonts w:ascii="Times New Roman" w:hAnsi="Times New Roman"/>
          <w:color w:val="000000" w:themeColor="text1"/>
          <w:sz w:val="16"/>
          <w:szCs w:val="16"/>
        </w:rPr>
        <w:t>водоиамещавщих</w:t>
      </w:r>
      <w:proofErr w:type="spellEnd"/>
      <w:r w:rsidRPr="007122AB">
        <w:rPr>
          <w:rFonts w:ascii="Times New Roman" w:hAnsi="Times New Roman"/>
          <w:color w:val="000000" w:themeColor="text1"/>
          <w:sz w:val="16"/>
          <w:szCs w:val="16"/>
        </w:rPr>
        <w:t xml:space="preserve"> судов при малых скоростях сопротивление от трения составляет уже очень </w:t>
      </w:r>
      <w:proofErr w:type="spellStart"/>
      <w:r w:rsidRPr="007122AB">
        <w:rPr>
          <w:rFonts w:ascii="Times New Roman" w:hAnsi="Times New Roman"/>
          <w:color w:val="000000" w:themeColor="text1"/>
          <w:sz w:val="16"/>
          <w:szCs w:val="16"/>
        </w:rPr>
        <w:t>значи</w:t>
      </w:r>
      <w:proofErr w:type="spellEnd"/>
      <w:r w:rsidRPr="007122AB">
        <w:rPr>
          <w:rFonts w:ascii="Times New Roman" w:hAnsi="Times New Roman"/>
          <w:color w:val="000000" w:themeColor="text1"/>
          <w:sz w:val="16"/>
          <w:szCs w:val="16"/>
        </w:rPr>
        <w:t xml:space="preserve"> -тельную часть общего сопротивления.</w:t>
      </w:r>
    </w:p>
    <w:p w14:paraId="64836C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Именно, для легкого крейсера при скорости в 14 узлов со</w:t>
      </w:r>
      <w:r w:rsidRPr="007122AB">
        <w:rPr>
          <w:rFonts w:ascii="Times New Roman" w:hAnsi="Times New Roman"/>
          <w:color w:val="000000" w:themeColor="text1"/>
          <w:sz w:val="16"/>
          <w:szCs w:val="16"/>
        </w:rPr>
        <w:softHyphen/>
        <w:t xml:space="preserve">противление от трения составляет 80% от общего сопротивления и </w:t>
      </w:r>
      <w:proofErr w:type="spellStart"/>
      <w:r w:rsidRPr="007122AB">
        <w:rPr>
          <w:rFonts w:ascii="Times New Roman" w:hAnsi="Times New Roman"/>
          <w:color w:val="000000" w:themeColor="text1"/>
          <w:sz w:val="16"/>
          <w:szCs w:val="16"/>
        </w:rPr>
        <w:t>пш</w:t>
      </w:r>
      <w:proofErr w:type="spellEnd"/>
      <w:r w:rsidRPr="007122AB">
        <w:rPr>
          <w:rFonts w:ascii="Times New Roman" w:hAnsi="Times New Roman"/>
          <w:color w:val="000000" w:themeColor="text1"/>
          <w:sz w:val="16"/>
          <w:szCs w:val="16"/>
        </w:rPr>
        <w:t xml:space="preserve"> 25 узлах - около 50%.</w:t>
      </w:r>
    </w:p>
    <w:p w14:paraId="20F457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этого ясно, что заниматься этим вопросом стоит, но главное значение имеет разработка вопроса об уменьшении сопро</w:t>
      </w:r>
      <w:r w:rsidRPr="007122AB">
        <w:rPr>
          <w:rFonts w:ascii="Times New Roman" w:hAnsi="Times New Roman"/>
          <w:color w:val="000000" w:themeColor="text1"/>
          <w:sz w:val="16"/>
          <w:szCs w:val="16"/>
        </w:rPr>
        <w:softHyphen/>
        <w:t>тивления от трения с точки зрения технического его осуществления.</w:t>
      </w:r>
    </w:p>
    <w:p w14:paraId="58BC05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ЦГАСА. ф. 8. оп. 1, д. 1469, л.л.66 (1026,150).</w:t>
      </w:r>
    </w:p>
    <w:p w14:paraId="4019DB0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F53E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года был принят на </w:t>
      </w:r>
      <w:proofErr w:type="spellStart"/>
      <w:r w:rsidRPr="007122AB">
        <w:rPr>
          <w:rFonts w:ascii="Times New Roman" w:hAnsi="Times New Roman"/>
          <w:color w:val="000000" w:themeColor="text1"/>
          <w:sz w:val="16"/>
          <w:szCs w:val="16"/>
        </w:rPr>
        <w:t>техсовещании</w:t>
      </w:r>
      <w:proofErr w:type="spellEnd"/>
      <w:r w:rsidRPr="007122AB">
        <w:rPr>
          <w:rFonts w:ascii="Times New Roman" w:hAnsi="Times New Roman"/>
          <w:color w:val="000000" w:themeColor="text1"/>
          <w:sz w:val="16"/>
          <w:szCs w:val="16"/>
        </w:rPr>
        <w:t xml:space="preserve"> проект мотора М-32, разработанный заводом 24 и потом доработанный ИАМ (6918).</w:t>
      </w:r>
    </w:p>
    <w:p w14:paraId="6D73C6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D81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года проект М-32 был одобрен техническим совещанием ИАМ. В мае 1930 г. руководство проектированием М-32 в ИАМ предлагали поручить АД Швецову. В 1931-1932 гг. из</w:t>
      </w:r>
      <w:r w:rsidRPr="007122AB">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7122AB">
        <w:rPr>
          <w:rFonts w:ascii="Times New Roman" w:hAnsi="Times New Roman"/>
          <w:color w:val="000000" w:themeColor="text1"/>
          <w:sz w:val="16"/>
          <w:szCs w:val="16"/>
        </w:rPr>
        <w:softHyphen/>
        <w:t>шипников и головок блоков. Со второго экзем</w:t>
      </w:r>
      <w:r w:rsidRPr="007122AB">
        <w:rPr>
          <w:rFonts w:ascii="Times New Roman" w:hAnsi="Times New Roman"/>
          <w:color w:val="000000" w:themeColor="text1"/>
          <w:sz w:val="16"/>
          <w:szCs w:val="16"/>
        </w:rPr>
        <w:softHyphen/>
        <w:t xml:space="preserve">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w:t>
      </w:r>
      <w:r w:rsidRPr="007122AB">
        <w:rPr>
          <w:rFonts w:ascii="Times New Roman" w:hAnsi="Times New Roman"/>
          <w:color w:val="000000" w:themeColor="text1"/>
          <w:sz w:val="16"/>
          <w:szCs w:val="16"/>
        </w:rPr>
        <w:lastRenderedPageBreak/>
        <w:t>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7122AB">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6E6BE7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Известны модификации:</w:t>
      </w:r>
    </w:p>
    <w:p w14:paraId="3C971A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М-32, первоначальный вариант без редук</w:t>
      </w:r>
      <w:r w:rsidRPr="007122AB">
        <w:rPr>
          <w:rFonts w:ascii="Times New Roman" w:hAnsi="Times New Roman"/>
          <w:color w:val="000000" w:themeColor="text1"/>
          <w:sz w:val="16"/>
          <w:szCs w:val="16"/>
        </w:rPr>
        <w:softHyphen/>
        <w:t>тора и ПЦН, изготовлен в одном экзем</w:t>
      </w:r>
      <w:r w:rsidRPr="007122AB">
        <w:rPr>
          <w:rFonts w:ascii="Times New Roman" w:hAnsi="Times New Roman"/>
          <w:color w:val="000000" w:themeColor="text1"/>
          <w:sz w:val="16"/>
          <w:szCs w:val="16"/>
        </w:rPr>
        <w:softHyphen/>
        <w:t>пляре. Вес по заданию 400 кг, фактически 430 кг.</w:t>
      </w:r>
    </w:p>
    <w:p w14:paraId="0BD4DA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М-32РН, вариант с редуктором и односкоростным ПЦН. В дальнейшем предпо</w:t>
      </w:r>
      <w:r w:rsidRPr="007122AB">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7FCEBD9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394BE4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16-цилиндровый, рядный У-образный, че</w:t>
      </w:r>
      <w:r w:rsidRPr="007122AB">
        <w:rPr>
          <w:rFonts w:ascii="Times New Roman" w:hAnsi="Times New Roman"/>
          <w:color w:val="000000" w:themeColor="text1"/>
          <w:sz w:val="16"/>
          <w:szCs w:val="16"/>
        </w:rPr>
        <w:softHyphen/>
        <w:t>тырехтактный, водяного охлаждения;</w:t>
      </w:r>
    </w:p>
    <w:p w14:paraId="2F8DE2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600/750 л.с. (по заданию 650/700 л.с.);</w:t>
      </w:r>
    </w:p>
    <w:p w14:paraId="712F95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120/120 мм;</w:t>
      </w:r>
    </w:p>
    <w:p w14:paraId="49899D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21,7 л;</w:t>
      </w:r>
    </w:p>
    <w:p w14:paraId="3F6204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w:t>
      </w:r>
    </w:p>
    <w:p w14:paraId="2E5760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6929CF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Предлагался для истребителей И-9, И-13, ДИ-6.</w:t>
      </w:r>
    </w:p>
    <w:p w14:paraId="040558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5C121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78130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27DB24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2E22DD"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г. для выполнения работ по совершенствованию структуры ЭКУ, приказом ОГПУ № 160/96 заместителем начальника ЭКУ </w:t>
      </w:r>
      <w:proofErr w:type="spellStart"/>
      <w:r w:rsidRPr="007122AB">
        <w:rPr>
          <w:rFonts w:ascii="Times New Roman" w:hAnsi="Times New Roman"/>
          <w:color w:val="000000" w:themeColor="text1"/>
          <w:sz w:val="16"/>
          <w:szCs w:val="16"/>
        </w:rPr>
        <w:t>Г.Е.Прокофьева</w:t>
      </w:r>
      <w:proofErr w:type="spellEnd"/>
      <w:r w:rsidRPr="007122AB">
        <w:rPr>
          <w:rFonts w:ascii="Times New Roman" w:hAnsi="Times New Roman"/>
          <w:color w:val="000000" w:themeColor="text1"/>
          <w:sz w:val="16"/>
          <w:szCs w:val="16"/>
        </w:rPr>
        <w:t xml:space="preserve"> назначается Лев Григорьевич Миронов. Этим же приказом в составе ЭКУ ОГПУ организуется 5-е Специально Техническое Отделение по использованию осужденных специалистов. 10 августа 1931 года Политбюро ЦК ВКП(б) утверждает Миронова Л.Г. начальником ЭКУ ОГПУ СССР. Миронов (Коган </w:t>
      </w:r>
      <w:proofErr w:type="spellStart"/>
      <w:r w:rsidRPr="007122AB">
        <w:rPr>
          <w:rFonts w:ascii="Times New Roman" w:hAnsi="Times New Roman"/>
          <w:color w:val="000000" w:themeColor="text1"/>
          <w:sz w:val="16"/>
          <w:szCs w:val="16"/>
        </w:rPr>
        <w:t>Лейба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Гиршевич</w:t>
      </w:r>
      <w:proofErr w:type="spellEnd"/>
      <w:r w:rsidRPr="007122AB">
        <w:rPr>
          <w:rFonts w:ascii="Times New Roman" w:hAnsi="Times New Roman"/>
          <w:color w:val="000000" w:themeColor="text1"/>
          <w:sz w:val="16"/>
          <w:szCs w:val="16"/>
        </w:rPr>
        <w:t>) за чрезмерное рвение в работе по организации шарашек, 1.07.37г. был осужден к ВМН и расстрелян 29.08.38 г. (15719).</w:t>
      </w:r>
    </w:p>
    <w:p w14:paraId="63FC71E4"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66AA3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г. приемочная комиссия приняла, а начальник </w:t>
      </w:r>
      <w:proofErr w:type="spellStart"/>
      <w:r w:rsidRPr="007122AB">
        <w:rPr>
          <w:rFonts w:ascii="Times New Roman" w:hAnsi="Times New Roman"/>
          <w:color w:val="000000" w:themeColor="text1"/>
          <w:sz w:val="16"/>
          <w:szCs w:val="16"/>
        </w:rPr>
        <w:t>Сельмашстроя</w:t>
      </w:r>
      <w:proofErr w:type="spellEnd"/>
      <w:r w:rsidRPr="007122AB">
        <w:rPr>
          <w:rFonts w:ascii="Times New Roman" w:hAnsi="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2A14E9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7122AB">
        <w:rPr>
          <w:rFonts w:ascii="Times New Roman" w:hAnsi="Times New Roman"/>
          <w:color w:val="000000" w:themeColor="text1"/>
          <w:sz w:val="16"/>
          <w:szCs w:val="16"/>
        </w:rPr>
        <w:t>Комбайнстрой</w:t>
      </w:r>
      <w:proofErr w:type="spellEnd"/>
      <w:r w:rsidRPr="007122AB">
        <w:rPr>
          <w:rFonts w:ascii="Times New Roman" w:hAnsi="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7F4F1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80F3F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1C032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3F959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Ростсельмашевские</w:t>
      </w:r>
      <w:proofErr w:type="spellEnd"/>
      <w:r w:rsidRPr="007122AB">
        <w:rPr>
          <w:rFonts w:ascii="Times New Roman" w:hAnsi="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6805F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7122AB">
        <w:rPr>
          <w:rFonts w:ascii="Times New Roman" w:hAnsi="Times New Roman"/>
          <w:color w:val="000000" w:themeColor="text1"/>
          <w:sz w:val="16"/>
          <w:szCs w:val="16"/>
        </w:rPr>
        <w:t>Cталинец</w:t>
      </w:r>
      <w:proofErr w:type="spellEnd"/>
      <w:r w:rsidRPr="007122AB">
        <w:rPr>
          <w:rFonts w:ascii="Times New Roman" w:hAnsi="Times New Roman"/>
          <w:color w:val="000000" w:themeColor="text1"/>
          <w:sz w:val="16"/>
          <w:szCs w:val="16"/>
        </w:rPr>
        <w:t xml:space="preserve">–1». </w:t>
      </w:r>
    </w:p>
    <w:p w14:paraId="4711B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время войны тысячи </w:t>
      </w:r>
      <w:proofErr w:type="spellStart"/>
      <w:r w:rsidRPr="007122AB">
        <w:rPr>
          <w:rFonts w:ascii="Times New Roman" w:hAnsi="Times New Roman"/>
          <w:color w:val="000000" w:themeColor="text1"/>
          <w:sz w:val="16"/>
          <w:szCs w:val="16"/>
        </w:rPr>
        <w:t>ростсельмашевцев</w:t>
      </w:r>
      <w:proofErr w:type="spellEnd"/>
      <w:r w:rsidRPr="007122AB">
        <w:rPr>
          <w:rFonts w:ascii="Times New Roman" w:hAnsi="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0CDCFD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Когда немецкие войска были уже на подступах к </w:t>
      </w:r>
      <w:proofErr w:type="spellStart"/>
      <w:r w:rsidRPr="007122AB">
        <w:rPr>
          <w:rFonts w:ascii="Times New Roman" w:hAnsi="Times New Roman"/>
          <w:color w:val="000000" w:themeColor="text1"/>
          <w:sz w:val="16"/>
          <w:szCs w:val="16"/>
        </w:rPr>
        <w:t>Ростову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ростсельмашевцы</w:t>
      </w:r>
      <w:proofErr w:type="spellEnd"/>
      <w:r w:rsidRPr="007122AB">
        <w:rPr>
          <w:rFonts w:ascii="Times New Roman" w:hAnsi="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4FC91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38551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7122AB">
        <w:rPr>
          <w:rFonts w:ascii="Times New Roman" w:hAnsi="Times New Roman"/>
          <w:color w:val="000000" w:themeColor="text1"/>
          <w:sz w:val="16"/>
          <w:szCs w:val="16"/>
        </w:rPr>
        <w:t>ФАБы</w:t>
      </w:r>
      <w:proofErr w:type="spellEnd"/>
      <w:r w:rsidRPr="007122AB">
        <w:rPr>
          <w:rFonts w:ascii="Times New Roman" w:hAnsi="Times New Roman"/>
          <w:color w:val="000000" w:themeColor="text1"/>
          <w:sz w:val="16"/>
          <w:szCs w:val="16"/>
        </w:rPr>
        <w:t xml:space="preserve">) 50 кг, 100 кг и 250 кг. </w:t>
      </w:r>
    </w:p>
    <w:p w14:paraId="33C040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февраля 1943 года войска Южного фронта освободили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718207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245777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Пока шло интенсивное восстановление завода, </w:t>
      </w:r>
      <w:proofErr w:type="spellStart"/>
      <w:r w:rsidRPr="007122AB">
        <w:rPr>
          <w:rFonts w:ascii="Times New Roman" w:hAnsi="Times New Roman"/>
          <w:color w:val="000000" w:themeColor="text1"/>
          <w:sz w:val="16"/>
          <w:szCs w:val="16"/>
        </w:rPr>
        <w:t>сельмашевские</w:t>
      </w:r>
      <w:proofErr w:type="spellEnd"/>
      <w:r w:rsidRPr="007122AB">
        <w:rPr>
          <w:rFonts w:ascii="Times New Roman" w:hAnsi="Times New Roman"/>
          <w:color w:val="000000" w:themeColor="text1"/>
          <w:sz w:val="16"/>
          <w:szCs w:val="16"/>
        </w:rPr>
        <w:t xml:space="preserve"> специалисты </w:t>
      </w:r>
      <w:proofErr w:type="spellStart"/>
      <w:r w:rsidRPr="007122AB">
        <w:rPr>
          <w:rFonts w:ascii="Times New Roman" w:hAnsi="Times New Roman"/>
          <w:color w:val="000000" w:themeColor="text1"/>
          <w:sz w:val="16"/>
          <w:szCs w:val="16"/>
        </w:rPr>
        <w:t>Красниченко</w:t>
      </w:r>
      <w:proofErr w:type="spellEnd"/>
      <w:r w:rsidRPr="007122AB">
        <w:rPr>
          <w:rFonts w:ascii="Times New Roman" w:hAnsi="Times New Roman"/>
          <w:color w:val="000000" w:themeColor="text1"/>
          <w:sz w:val="16"/>
          <w:szCs w:val="16"/>
        </w:rPr>
        <w:t xml:space="preserve"> А.А., В.В. Прошунин и И.И. Попов создали конструкцию комбайна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–6». А 30 апреля 1947 года в цехе уборочных машин были собраны новые комбайны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–6». Разработчики новой конструкции получили звание Лауреатов Сталинской премии. </w:t>
      </w:r>
    </w:p>
    <w:p w14:paraId="4A8EF6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98DF1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7122AB">
        <w:rPr>
          <w:rFonts w:ascii="Times New Roman" w:hAnsi="Times New Roman"/>
          <w:color w:val="000000" w:themeColor="text1"/>
          <w:sz w:val="16"/>
          <w:szCs w:val="16"/>
        </w:rPr>
        <w:t>бильным</w:t>
      </w:r>
      <w:proofErr w:type="spellEnd"/>
      <w:r w:rsidRPr="007122AB">
        <w:rPr>
          <w:rFonts w:ascii="Times New Roman" w:hAnsi="Times New Roman"/>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056375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7122AB">
        <w:rPr>
          <w:rFonts w:ascii="Times New Roman" w:hAnsi="Times New Roman"/>
          <w:color w:val="000000" w:themeColor="text1"/>
          <w:sz w:val="16"/>
          <w:szCs w:val="16"/>
        </w:rPr>
        <w:t>Изаксона</w:t>
      </w:r>
      <w:proofErr w:type="spellEnd"/>
      <w:r w:rsidRPr="007122AB">
        <w:rPr>
          <w:rFonts w:ascii="Times New Roman" w:hAnsi="Times New Roman"/>
          <w:color w:val="000000" w:themeColor="text1"/>
          <w:sz w:val="16"/>
          <w:szCs w:val="16"/>
        </w:rPr>
        <w:t xml:space="preserve">. 24 января 1961 г. выпущен уже 100-тысячный самоходный комбайн СК-3. </w:t>
      </w:r>
    </w:p>
    <w:p w14:paraId="538F3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39789D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7122AB">
        <w:rPr>
          <w:rFonts w:ascii="Times New Roman" w:hAnsi="Times New Roman"/>
          <w:color w:val="000000" w:themeColor="text1"/>
          <w:sz w:val="16"/>
          <w:szCs w:val="16"/>
        </w:rPr>
        <w:t>незерновых</w:t>
      </w:r>
      <w:proofErr w:type="spellEnd"/>
      <w:r w:rsidRPr="007122AB">
        <w:rPr>
          <w:rFonts w:ascii="Times New Roman" w:hAnsi="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34EBC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5E9B9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7C9D99" w14:textId="77777777" w:rsidR="00807746" w:rsidRPr="007122AB" w:rsidRDefault="008077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г. приемочная комиссия приняла Ростсельмаш, а начальник </w:t>
      </w:r>
      <w:proofErr w:type="spellStart"/>
      <w:r w:rsidRPr="007122AB">
        <w:rPr>
          <w:rFonts w:ascii="Times New Roman" w:hAnsi="Times New Roman"/>
          <w:color w:val="000000" w:themeColor="text1"/>
          <w:sz w:val="16"/>
          <w:szCs w:val="16"/>
        </w:rPr>
        <w:t>Сельмашстроя</w:t>
      </w:r>
      <w:proofErr w:type="spellEnd"/>
      <w:r w:rsidRPr="007122AB">
        <w:rPr>
          <w:rFonts w:ascii="Times New Roman" w:hAnsi="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38B6BAB1" w14:textId="77777777" w:rsidR="00807746" w:rsidRPr="007122AB" w:rsidRDefault="0080774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w:t>
      </w:r>
      <w:proofErr w:type="spellStart"/>
      <w:r w:rsidRPr="007122AB">
        <w:rPr>
          <w:rFonts w:ascii="Times New Roman" w:hAnsi="Times New Roman"/>
          <w:color w:val="000000" w:themeColor="text1"/>
          <w:sz w:val="16"/>
          <w:szCs w:val="16"/>
        </w:rPr>
        <w:t>Сталинцы</w:t>
      </w:r>
      <w:proofErr w:type="spellEnd"/>
      <w:r w:rsidRPr="007122AB">
        <w:rPr>
          <w:rFonts w:ascii="Times New Roman" w:hAnsi="Times New Roman"/>
          <w:color w:val="000000" w:themeColor="text1"/>
          <w:sz w:val="16"/>
          <w:szCs w:val="16"/>
        </w:rPr>
        <w:t>» завоевали славу самой высокопроизводительной машины в мире (21167).</w:t>
      </w:r>
    </w:p>
    <w:p w14:paraId="5524F669" w14:textId="77777777" w:rsidR="00807746" w:rsidRPr="007122AB" w:rsidRDefault="00807746" w:rsidP="007122AB">
      <w:pPr>
        <w:spacing w:after="0" w:line="240" w:lineRule="auto"/>
        <w:jc w:val="both"/>
        <w:rPr>
          <w:rFonts w:ascii="Times New Roman" w:hAnsi="Times New Roman"/>
          <w:color w:val="000000" w:themeColor="text1"/>
          <w:sz w:val="16"/>
          <w:szCs w:val="16"/>
        </w:rPr>
      </w:pPr>
    </w:p>
    <w:p w14:paraId="12EFB646" w14:textId="77777777" w:rsidR="009A522B" w:rsidRPr="007122AB" w:rsidRDefault="009A52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г. второй танк Т-24 изготовили на ХПЗ. Сборка остальных четырех машин (для которых к этому </w:t>
      </w:r>
      <w:proofErr w:type="spellStart"/>
      <w:r w:rsidRPr="007122AB">
        <w:rPr>
          <w:rFonts w:ascii="Times New Roman" w:hAnsi="Times New Roman"/>
          <w:color w:val="000000" w:themeColor="text1"/>
          <w:sz w:val="16"/>
          <w:szCs w:val="16"/>
        </w:rPr>
        <w:t>времениподали</w:t>
      </w:r>
      <w:proofErr w:type="spellEnd"/>
      <w:r w:rsidRPr="007122AB">
        <w:rPr>
          <w:rFonts w:ascii="Times New Roman" w:hAnsi="Times New Roman"/>
          <w:color w:val="000000" w:themeColor="text1"/>
          <w:sz w:val="16"/>
          <w:szCs w:val="16"/>
        </w:rPr>
        <w:t xml:space="preserve"> корпуса) задерживалась из-за отсутствия ряда деталей и </w:t>
      </w:r>
      <w:proofErr w:type="spellStart"/>
      <w:r w:rsidRPr="007122AB">
        <w:rPr>
          <w:rFonts w:ascii="Times New Roman" w:hAnsi="Times New Roman"/>
          <w:color w:val="000000" w:themeColor="text1"/>
          <w:sz w:val="16"/>
          <w:szCs w:val="16"/>
        </w:rPr>
        <w:t>механизмов.При</w:t>
      </w:r>
      <w:proofErr w:type="spellEnd"/>
      <w:r w:rsidRPr="007122AB">
        <w:rPr>
          <w:rFonts w:ascii="Times New Roman" w:hAnsi="Times New Roman"/>
          <w:color w:val="000000" w:themeColor="text1"/>
          <w:sz w:val="16"/>
          <w:szCs w:val="16"/>
        </w:rPr>
        <w:t xml:space="preserve">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w:t>
      </w:r>
      <w:proofErr w:type="spellStart"/>
      <w:r w:rsidRPr="007122AB">
        <w:rPr>
          <w:rFonts w:ascii="Times New Roman" w:hAnsi="Times New Roman"/>
          <w:color w:val="000000" w:themeColor="text1"/>
          <w:sz w:val="16"/>
          <w:szCs w:val="16"/>
        </w:rPr>
        <w:t>целом.Однако</w:t>
      </w:r>
      <w:proofErr w:type="spellEnd"/>
      <w:r w:rsidRPr="007122AB">
        <w:rPr>
          <w:rFonts w:ascii="Times New Roman" w:hAnsi="Times New Roman"/>
          <w:color w:val="000000" w:themeColor="text1"/>
          <w:sz w:val="16"/>
          <w:szCs w:val="16"/>
        </w:rPr>
        <w:t xml:space="preserve">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11306097" w14:textId="77777777" w:rsidR="009A522B" w:rsidRPr="007122AB" w:rsidRDefault="009A522B" w:rsidP="007122AB">
      <w:pPr>
        <w:spacing w:after="0" w:line="240" w:lineRule="auto"/>
        <w:jc w:val="both"/>
        <w:rPr>
          <w:rFonts w:ascii="Times New Roman" w:hAnsi="Times New Roman"/>
          <w:color w:val="000000" w:themeColor="text1"/>
          <w:sz w:val="16"/>
          <w:szCs w:val="16"/>
        </w:rPr>
      </w:pPr>
    </w:p>
    <w:p w14:paraId="07F64D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 приказом ВСНХ СССР был создан Научно-исследовательский институт искусственного волокна (НИИВ) в г. Москве. В январе 1932 г. переведен в г. Мытищи Московской обл. В 1941 - 1943 гг. находился в эвакуации в г. Намангане Узбекской ССР. В ноябре 1947 г. переименован во Всесоюзный научно-исследовательский институт искусственного волокна (ВНИИВ). Приказом Министерства химической промышленности СССР от 31 августа 1976 г. на базе ВНИИВ и ГИПРОИВ был создан Всесоюзный научно-исследовательский и проектный институт искусственного волокна (</w:t>
      </w:r>
      <w:proofErr w:type="spellStart"/>
      <w:r w:rsidRPr="007122AB">
        <w:rPr>
          <w:rFonts w:ascii="Times New Roman" w:hAnsi="Times New Roman"/>
          <w:color w:val="000000" w:themeColor="text1"/>
          <w:sz w:val="16"/>
          <w:szCs w:val="16"/>
        </w:rPr>
        <w:t>ВНИИВпроект</w:t>
      </w:r>
      <w:proofErr w:type="spellEnd"/>
      <w:r w:rsidRPr="007122AB">
        <w:rPr>
          <w:rFonts w:ascii="Times New Roman" w:hAnsi="Times New Roman"/>
          <w:color w:val="000000" w:themeColor="text1"/>
          <w:sz w:val="16"/>
          <w:szCs w:val="16"/>
        </w:rPr>
        <w:t>) (12102).</w:t>
      </w:r>
    </w:p>
    <w:p w14:paraId="0F05673B" w14:textId="77777777" w:rsidR="009A522B" w:rsidRPr="007122AB" w:rsidRDefault="009A522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55F5F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5CA9D3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FD0F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вышло Постановление коллегии </w:t>
      </w:r>
      <w:proofErr w:type="spellStart"/>
      <w:r w:rsidRPr="007122AB">
        <w:rPr>
          <w:rFonts w:ascii="Times New Roman" w:hAnsi="Times New Roman"/>
          <w:color w:val="000000" w:themeColor="text1"/>
          <w:sz w:val="16"/>
          <w:szCs w:val="16"/>
        </w:rPr>
        <w:t>Наpкомзема</w:t>
      </w:r>
      <w:proofErr w:type="spellEnd"/>
      <w:r w:rsidRPr="007122AB">
        <w:rPr>
          <w:rFonts w:ascii="Times New Roman" w:hAnsi="Times New Roman"/>
          <w:color w:val="000000" w:themeColor="text1"/>
          <w:sz w:val="16"/>
          <w:szCs w:val="16"/>
        </w:rPr>
        <w:t xml:space="preserve"> РСФСР настаивает на том, что </w:t>
      </w:r>
      <w:proofErr w:type="spellStart"/>
      <w:r w:rsidRPr="007122AB">
        <w:rPr>
          <w:rFonts w:ascii="Times New Roman" w:hAnsi="Times New Roman"/>
          <w:color w:val="000000" w:themeColor="text1"/>
          <w:sz w:val="16"/>
          <w:szCs w:val="16"/>
        </w:rPr>
        <w:t>спецпоселки</w:t>
      </w:r>
      <w:proofErr w:type="spellEnd"/>
      <w:r w:rsidRPr="007122AB">
        <w:rPr>
          <w:rFonts w:ascii="Times New Roman" w:hAnsi="Times New Roman"/>
          <w:color w:val="000000" w:themeColor="text1"/>
          <w:sz w:val="16"/>
          <w:szCs w:val="16"/>
        </w:rPr>
        <w:t xml:space="preserve"> раскулаченных "должны находиться вне </w:t>
      </w:r>
      <w:proofErr w:type="spellStart"/>
      <w:r w:rsidRPr="007122AB">
        <w:rPr>
          <w:rFonts w:ascii="Times New Roman" w:hAnsi="Times New Roman"/>
          <w:color w:val="000000" w:themeColor="text1"/>
          <w:sz w:val="16"/>
          <w:szCs w:val="16"/>
        </w:rPr>
        <w:t>pайона</w:t>
      </w:r>
      <w:proofErr w:type="spellEnd"/>
      <w:r w:rsidRPr="007122AB">
        <w:rPr>
          <w:rFonts w:ascii="Times New Roman" w:hAnsi="Times New Roman"/>
          <w:color w:val="000000" w:themeColor="text1"/>
          <w:sz w:val="16"/>
          <w:szCs w:val="16"/>
        </w:rPr>
        <w:t xml:space="preserve"> сплошной коллективизации и по возможности между этими </w:t>
      </w:r>
      <w:proofErr w:type="spellStart"/>
      <w:r w:rsidRPr="007122AB">
        <w:rPr>
          <w:rFonts w:ascii="Times New Roman" w:hAnsi="Times New Roman"/>
          <w:color w:val="000000" w:themeColor="text1"/>
          <w:sz w:val="16"/>
          <w:szCs w:val="16"/>
        </w:rPr>
        <w:t>pайонами</w:t>
      </w:r>
      <w:proofErr w:type="spellEnd"/>
      <w:r w:rsidRPr="007122AB">
        <w:rPr>
          <w:rFonts w:ascii="Times New Roman" w:hAnsi="Times New Roman"/>
          <w:color w:val="000000" w:themeColor="text1"/>
          <w:sz w:val="16"/>
          <w:szCs w:val="16"/>
        </w:rPr>
        <w:t>, чтобы последние оказывали идеологическое воздействие на население поселков..." (10687).</w:t>
      </w:r>
    </w:p>
    <w:p w14:paraId="6F506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B3A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была существенно упрощена структура ЭКУ. Приказом ОГПУ № 160/96 число его отделений сокращалось до пяти. Новая структура и расстановка кадров ЭКУ выглядели так: </w:t>
      </w:r>
    </w:p>
    <w:p w14:paraId="7C4BF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ЭКУ (</w:t>
      </w:r>
      <w:proofErr w:type="spellStart"/>
      <w:r w:rsidRPr="007122AB">
        <w:rPr>
          <w:rFonts w:ascii="Times New Roman" w:hAnsi="Times New Roman"/>
          <w:color w:val="000000" w:themeColor="text1"/>
          <w:sz w:val="16"/>
          <w:szCs w:val="16"/>
        </w:rPr>
        <w:t>Г.Е.Прокофьев</w:t>
      </w:r>
      <w:proofErr w:type="spellEnd"/>
      <w:r w:rsidRPr="007122AB">
        <w:rPr>
          <w:rFonts w:ascii="Times New Roman" w:hAnsi="Times New Roman"/>
          <w:color w:val="000000" w:themeColor="text1"/>
          <w:sz w:val="16"/>
          <w:szCs w:val="16"/>
        </w:rPr>
        <w:t>), заместитель начальника ЭКУ (</w:t>
      </w:r>
      <w:proofErr w:type="spellStart"/>
      <w:r w:rsidRPr="007122AB">
        <w:rPr>
          <w:rFonts w:ascii="Times New Roman" w:hAnsi="Times New Roman"/>
          <w:color w:val="000000" w:themeColor="text1"/>
          <w:sz w:val="16"/>
          <w:szCs w:val="16"/>
        </w:rPr>
        <w:t>Л.Г.Миронов</w:t>
      </w:r>
      <w:proofErr w:type="spellEnd"/>
      <w:r w:rsidRPr="007122AB">
        <w:rPr>
          <w:rFonts w:ascii="Times New Roman" w:hAnsi="Times New Roman"/>
          <w:color w:val="000000" w:themeColor="text1"/>
          <w:sz w:val="16"/>
          <w:szCs w:val="16"/>
        </w:rPr>
        <w:t>), начальник секретариата ЭКУ (</w:t>
      </w:r>
      <w:proofErr w:type="spellStart"/>
      <w:r w:rsidRPr="007122AB">
        <w:rPr>
          <w:rFonts w:ascii="Times New Roman" w:hAnsi="Times New Roman"/>
          <w:color w:val="000000" w:themeColor="text1"/>
          <w:sz w:val="16"/>
          <w:szCs w:val="16"/>
        </w:rPr>
        <w:t>М.О.Станиславский</w:t>
      </w:r>
      <w:proofErr w:type="spellEnd"/>
      <w:r w:rsidRPr="007122AB">
        <w:rPr>
          <w:rFonts w:ascii="Times New Roman" w:hAnsi="Times New Roman"/>
          <w:color w:val="000000" w:themeColor="text1"/>
          <w:sz w:val="16"/>
          <w:szCs w:val="16"/>
        </w:rPr>
        <w:t xml:space="preserve">), </w:t>
      </w:r>
    </w:p>
    <w:p w14:paraId="0A271C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отделение (промышленное, - </w:t>
      </w:r>
      <w:proofErr w:type="spellStart"/>
      <w:r w:rsidRPr="007122AB">
        <w:rPr>
          <w:rFonts w:ascii="Times New Roman" w:hAnsi="Times New Roman"/>
          <w:color w:val="000000" w:themeColor="text1"/>
          <w:sz w:val="16"/>
          <w:szCs w:val="16"/>
        </w:rPr>
        <w:t>М.И.Гай</w:t>
      </w:r>
      <w:proofErr w:type="spellEnd"/>
      <w:r w:rsidRPr="007122AB">
        <w:rPr>
          <w:rFonts w:ascii="Times New Roman" w:hAnsi="Times New Roman"/>
          <w:color w:val="000000" w:themeColor="text1"/>
          <w:sz w:val="16"/>
          <w:szCs w:val="16"/>
        </w:rPr>
        <w:t xml:space="preserve">), </w:t>
      </w:r>
    </w:p>
    <w:p w14:paraId="1972C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отделение (сельскохозяйственное, - </w:t>
      </w:r>
      <w:proofErr w:type="spellStart"/>
      <w:r w:rsidRPr="007122AB">
        <w:rPr>
          <w:rFonts w:ascii="Times New Roman" w:hAnsi="Times New Roman"/>
          <w:color w:val="000000" w:themeColor="text1"/>
          <w:sz w:val="16"/>
          <w:szCs w:val="16"/>
        </w:rPr>
        <w:t>Л.Н.Волленберг</w:t>
      </w:r>
      <w:proofErr w:type="spellEnd"/>
      <w:r w:rsidRPr="007122AB">
        <w:rPr>
          <w:rFonts w:ascii="Times New Roman" w:hAnsi="Times New Roman"/>
          <w:color w:val="000000" w:themeColor="text1"/>
          <w:sz w:val="16"/>
          <w:szCs w:val="16"/>
        </w:rPr>
        <w:t xml:space="preserve">), </w:t>
      </w:r>
    </w:p>
    <w:p w14:paraId="643E3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отделение (торгово-кооперативное, - </w:t>
      </w:r>
      <w:proofErr w:type="spellStart"/>
      <w:r w:rsidRPr="007122AB">
        <w:rPr>
          <w:rFonts w:ascii="Times New Roman" w:hAnsi="Times New Roman"/>
          <w:color w:val="000000" w:themeColor="text1"/>
          <w:sz w:val="16"/>
          <w:szCs w:val="16"/>
        </w:rPr>
        <w:t>Д.М.Дмитриев</w:t>
      </w:r>
      <w:proofErr w:type="spellEnd"/>
      <w:r w:rsidRPr="007122AB">
        <w:rPr>
          <w:rFonts w:ascii="Times New Roman" w:hAnsi="Times New Roman"/>
          <w:color w:val="000000" w:themeColor="text1"/>
          <w:sz w:val="16"/>
          <w:szCs w:val="16"/>
        </w:rPr>
        <w:t xml:space="preserve">), </w:t>
      </w:r>
    </w:p>
    <w:p w14:paraId="414B46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отделение (финансы, частный капитал, борьба с валютчиками и спекулянтами, </w:t>
      </w:r>
      <w:proofErr w:type="spellStart"/>
      <w:r w:rsidRPr="007122AB">
        <w:rPr>
          <w:rFonts w:ascii="Times New Roman" w:hAnsi="Times New Roman"/>
          <w:color w:val="000000" w:themeColor="text1"/>
          <w:sz w:val="16"/>
          <w:szCs w:val="16"/>
        </w:rPr>
        <w:t>Я.М.Генкин</w:t>
      </w:r>
      <w:proofErr w:type="spellEnd"/>
      <w:r w:rsidRPr="007122AB">
        <w:rPr>
          <w:rFonts w:ascii="Times New Roman" w:hAnsi="Times New Roman"/>
          <w:color w:val="000000" w:themeColor="text1"/>
          <w:sz w:val="16"/>
          <w:szCs w:val="16"/>
        </w:rPr>
        <w:t xml:space="preserve">), </w:t>
      </w:r>
    </w:p>
    <w:p w14:paraId="7FC9D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отделение (специально-техническое (использование осужденных специалистов), - </w:t>
      </w:r>
      <w:proofErr w:type="spellStart"/>
      <w:r w:rsidRPr="007122AB">
        <w:rPr>
          <w:rFonts w:ascii="Times New Roman" w:hAnsi="Times New Roman"/>
          <w:color w:val="000000" w:themeColor="text1"/>
          <w:sz w:val="16"/>
          <w:szCs w:val="16"/>
        </w:rPr>
        <w:t>А.Г.Горянов</w:t>
      </w:r>
      <w:proofErr w:type="spellEnd"/>
      <w:r w:rsidRPr="007122AB">
        <w:rPr>
          <w:rFonts w:ascii="Times New Roman" w:hAnsi="Times New Roman"/>
          <w:color w:val="000000" w:themeColor="text1"/>
          <w:sz w:val="16"/>
          <w:szCs w:val="16"/>
        </w:rPr>
        <w:t>-Горный) (7557).</w:t>
      </w:r>
    </w:p>
    <w:p w14:paraId="7CAFC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16CEB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C05434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F304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апреля 1931 состоялась встреча представителей германского </w:t>
      </w:r>
      <w:proofErr w:type="spellStart"/>
      <w:r w:rsidRPr="007122AB">
        <w:rPr>
          <w:rFonts w:ascii="Times New Roman" w:hAnsi="Times New Roman"/>
          <w:color w:val="000000" w:themeColor="text1"/>
          <w:sz w:val="16"/>
          <w:szCs w:val="16"/>
        </w:rPr>
        <w:t>VfR</w:t>
      </w:r>
      <w:proofErr w:type="spellEnd"/>
      <w:r w:rsidRPr="007122AB">
        <w:rPr>
          <w:rFonts w:ascii="Times New Roman" w:hAnsi="Times New Roman"/>
          <w:color w:val="000000" w:themeColor="text1"/>
          <w:sz w:val="16"/>
          <w:szCs w:val="16"/>
        </w:rPr>
        <w:t xml:space="preserve"> и американского AIS (</w:t>
      </w:r>
      <w:proofErr w:type="spellStart"/>
      <w:r w:rsidRPr="007122AB">
        <w:rPr>
          <w:rFonts w:ascii="Times New Roman" w:hAnsi="Times New Roman"/>
          <w:color w:val="000000" w:themeColor="text1"/>
          <w:sz w:val="16"/>
          <w:szCs w:val="16"/>
        </w:rPr>
        <w:t>interplanetory</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society</w:t>
      </w:r>
      <w:proofErr w:type="spellEnd"/>
      <w:r w:rsidRPr="007122AB">
        <w:rPr>
          <w:rFonts w:ascii="Times New Roman" w:hAnsi="Times New Roman"/>
          <w:color w:val="000000" w:themeColor="text1"/>
          <w:sz w:val="16"/>
          <w:szCs w:val="16"/>
        </w:rPr>
        <w:t>) и в результате в США была принята программа экспериментов (3125).</w:t>
      </w:r>
    </w:p>
    <w:p w14:paraId="05F84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462C8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C273F3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B13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апреля 1931 Зам. нач. ЦАГИ Некрасов написал в Реввоенсовет письмо N 332сс о замене неподвижных крыльев подвижными (с подвижной обшивкой) для снижения сопротивления, но напомнил, что технически трудно осуществимо (1026,151).</w:t>
      </w:r>
    </w:p>
    <w:p w14:paraId="30CF8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64EC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апреля 1931 в газете "Вечерняя Москва" в рубрике "Новости авиации" опубликована заметка о самолете СК-4: «{...) В конце прошлого года известным инженером С.П. Королевым, автором планера "Красная звезда", на котором в прошлом году в Крыму т. </w:t>
      </w:r>
      <w:proofErr w:type="spellStart"/>
      <w:r w:rsidRPr="007122AB">
        <w:rPr>
          <w:rFonts w:ascii="Times New Roman" w:hAnsi="Times New Roman"/>
          <w:color w:val="000000" w:themeColor="text1"/>
          <w:sz w:val="16"/>
          <w:szCs w:val="16"/>
        </w:rPr>
        <w:t>Степанченок</w:t>
      </w:r>
      <w:proofErr w:type="spellEnd"/>
      <w:r w:rsidRPr="007122AB">
        <w:rPr>
          <w:rFonts w:ascii="Times New Roman" w:hAnsi="Times New Roman"/>
          <w:color w:val="000000" w:themeColor="text1"/>
          <w:sz w:val="16"/>
          <w:szCs w:val="16"/>
        </w:rPr>
        <w:t xml:space="preserve"> впервые сделал "мертвую петлю", сконструирован новый тип двухместного самолета СК-4. Летчик т. Кошиц уже на нем совершил несколько опытных испытательных полетов, которые показали хорошие качества новой машины {...)» (10676).</w:t>
      </w:r>
    </w:p>
    <w:p w14:paraId="2BD3FE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D4A74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F23154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F4B816"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апреля в 1931 году первый полет одномоторного скоростного самолёта </w:t>
      </w:r>
      <w:hyperlink r:id="rId81" w:tgtFrame="_blank" w:history="1">
        <w:r w:rsidRPr="007122AB">
          <w:rPr>
            <w:rFonts w:ascii="Times New Roman" w:hAnsi="Times New Roman"/>
            <w:color w:val="000000" w:themeColor="text1"/>
            <w:sz w:val="16"/>
            <w:szCs w:val="16"/>
          </w:rPr>
          <w:t xml:space="preserve">«Lockheed 9 </w:t>
        </w:r>
        <w:proofErr w:type="spellStart"/>
        <w:r w:rsidRPr="007122AB">
          <w:rPr>
            <w:rFonts w:ascii="Times New Roman" w:hAnsi="Times New Roman"/>
            <w:color w:val="000000" w:themeColor="text1"/>
            <w:sz w:val="16"/>
            <w:szCs w:val="16"/>
          </w:rPr>
          <w:t>Orion</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В сентябре компания «</w:t>
      </w:r>
      <w:proofErr w:type="spellStart"/>
      <w:r w:rsidRPr="007122AB">
        <w:rPr>
          <w:rFonts w:ascii="Times New Roman" w:hAnsi="Times New Roman"/>
          <w:color w:val="000000" w:themeColor="text1"/>
          <w:sz w:val="16"/>
          <w:szCs w:val="16"/>
        </w:rPr>
        <w:t>Varney</w:t>
      </w:r>
      <w:proofErr w:type="spellEnd"/>
      <w:r w:rsidRPr="007122AB">
        <w:rPr>
          <w:rFonts w:ascii="Times New Roman" w:hAnsi="Times New Roman"/>
          <w:color w:val="000000" w:themeColor="text1"/>
          <w:sz w:val="16"/>
          <w:szCs w:val="16"/>
        </w:rPr>
        <w:t xml:space="preserve"> Speed Lines» открыла на нём линию Лос-Анджелес - Сан-Франциско (самолет преодолевал это расстояние всего за час). Правда, карьера этого лайнера была недолгой - в 1934 г. власти запретили использовать одномоторные самолёты на магистральных пассажирских линиях. Тем не менее самолет знаменовал наступление новой эпохи в гражданской авиации. На смену неуклюжим монстрам пришли цельнометаллические скоростные лайнеры с убирающимся шасси, продуманной аэродинамикой, автопилотом и радионавигацией (15087).</w:t>
      </w:r>
    </w:p>
    <w:p w14:paraId="2A46F5AA"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492EA6FA" w14:textId="77777777" w:rsidR="00BB313A" w:rsidRPr="007122AB" w:rsidRDefault="00BB313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апреля 1931 - Первый полет одномоторного скоростного самолёта Lockheed 9 </w:t>
      </w:r>
      <w:proofErr w:type="spellStart"/>
      <w:r w:rsidRPr="007122AB">
        <w:rPr>
          <w:rFonts w:ascii="Times New Roman" w:hAnsi="Times New Roman"/>
          <w:color w:val="000000" w:themeColor="text1"/>
          <w:sz w:val="16"/>
          <w:szCs w:val="16"/>
        </w:rPr>
        <w:t>Orion</w:t>
      </w:r>
      <w:proofErr w:type="spellEnd"/>
      <w:r w:rsidRPr="007122AB">
        <w:rPr>
          <w:rFonts w:ascii="Times New Roman" w:hAnsi="Times New Roman"/>
          <w:color w:val="000000" w:themeColor="text1"/>
          <w:sz w:val="16"/>
          <w:szCs w:val="16"/>
        </w:rPr>
        <w:t>. Самолет знаменовал наступление новой эпохи в гражданской авиации. На смену неуклюжим монстрам пришли цельнометаллические скоростные лайнеры с убирающимся шасси, продуманной аэродинамикой, автопилотом и радионавигацией (22549).</w:t>
      </w:r>
    </w:p>
    <w:p w14:paraId="1DC8978B" w14:textId="77777777" w:rsidR="00BB313A" w:rsidRPr="007122AB" w:rsidRDefault="00BB313A" w:rsidP="007122AB">
      <w:pPr>
        <w:spacing w:after="0" w:line="240" w:lineRule="auto"/>
        <w:jc w:val="both"/>
        <w:rPr>
          <w:rFonts w:ascii="Times New Roman" w:hAnsi="Times New Roman"/>
          <w:color w:val="000000" w:themeColor="text1"/>
          <w:sz w:val="16"/>
          <w:szCs w:val="16"/>
        </w:rPr>
      </w:pPr>
    </w:p>
    <w:p w14:paraId="7F4B54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апреля 1931 г. в Тулузе завершилась постройка второго экземпляра D.33-02. Он был оснащен двигателем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12 </w:t>
      </w:r>
      <w:proofErr w:type="spellStart"/>
      <w:r w:rsidRPr="007122AB">
        <w:rPr>
          <w:rFonts w:ascii="Times New Roman" w:hAnsi="Times New Roman"/>
          <w:color w:val="000000" w:themeColor="text1"/>
          <w:sz w:val="16"/>
          <w:szCs w:val="16"/>
        </w:rPr>
        <w:t>Nbr</w:t>
      </w:r>
      <w:proofErr w:type="spellEnd"/>
      <w:r w:rsidRPr="007122AB">
        <w:rPr>
          <w:rFonts w:ascii="Times New Roman" w:hAnsi="Times New Roman"/>
          <w:color w:val="000000" w:themeColor="text1"/>
          <w:sz w:val="16"/>
          <w:szCs w:val="16"/>
        </w:rPr>
        <w:t xml:space="preserve"> с трехлопастным винтом "</w:t>
      </w:r>
      <w:proofErr w:type="spellStart"/>
      <w:r w:rsidRPr="007122AB">
        <w:rPr>
          <w:rFonts w:ascii="Times New Roman" w:hAnsi="Times New Roman"/>
          <w:color w:val="000000" w:themeColor="text1"/>
          <w:sz w:val="16"/>
          <w:szCs w:val="16"/>
        </w:rPr>
        <w:t>Ратье</w:t>
      </w:r>
      <w:proofErr w:type="spellEnd"/>
      <w:r w:rsidRPr="007122AB">
        <w:rPr>
          <w:rFonts w:ascii="Times New Roman" w:hAnsi="Times New Roman"/>
          <w:color w:val="000000" w:themeColor="text1"/>
          <w:sz w:val="16"/>
          <w:szCs w:val="16"/>
        </w:rPr>
        <w:t xml:space="preserve">". Эта машина также прошла весь цикл испытаний и летом демонстрировалась на различных выставках и шоу. 11 сентября 1931 г. D.33-02 с тем же экипажем повторил 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w:t>
      </w:r>
      <w:proofErr w:type="spellStart"/>
      <w:r w:rsidRPr="007122AB">
        <w:rPr>
          <w:rFonts w:ascii="Times New Roman" w:hAnsi="Times New Roman"/>
          <w:color w:val="000000" w:themeColor="text1"/>
          <w:sz w:val="16"/>
          <w:szCs w:val="16"/>
        </w:rPr>
        <w:t>Месмин</w:t>
      </w:r>
      <w:proofErr w:type="spellEnd"/>
      <w:r w:rsidRPr="007122AB">
        <w:rPr>
          <w:rFonts w:ascii="Times New Roman" w:hAnsi="Times New Roman"/>
          <w:color w:val="000000" w:themeColor="text1"/>
          <w:sz w:val="16"/>
          <w:szCs w:val="16"/>
        </w:rPr>
        <w:t xml:space="preserve"> погибли под обломками самолета, упавшего недалеко от Уфы (11941). </w:t>
      </w:r>
    </w:p>
    <w:p w14:paraId="07E804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EF72A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F0E895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B8E28B" w14:textId="77777777" w:rsidR="00824AB6" w:rsidRPr="007122AB" w:rsidRDefault="00824AB6" w:rsidP="007122AB">
      <w:pPr>
        <w:pStyle w:val="rtejustify"/>
        <w:spacing w:before="0" w:after="0"/>
        <w:rPr>
          <w:color w:val="000000" w:themeColor="text1"/>
          <w:sz w:val="16"/>
          <w:szCs w:val="16"/>
        </w:rPr>
      </w:pPr>
      <w:r w:rsidRPr="007122AB">
        <w:rPr>
          <w:rStyle w:val="af0"/>
          <w:i w:val="0"/>
          <w:color w:val="000000" w:themeColor="text1"/>
          <w:sz w:val="16"/>
          <w:szCs w:val="16"/>
        </w:rPr>
        <w:lastRenderedPageBreak/>
        <w:t>3 апреля 1931 г. Протокол Реввоенсовета № 14.</w:t>
      </w:r>
      <w:r w:rsidRPr="007122AB">
        <w:rPr>
          <w:color w:val="000000" w:themeColor="text1"/>
          <w:sz w:val="16"/>
          <w:szCs w:val="16"/>
        </w:rPr>
        <w:t xml:space="preserve"> 12. Об утверждении эскизного проекта батареи Протокол Реввоенсовета № 30 (Б. О.). (</w:t>
      </w:r>
      <w:proofErr w:type="spellStart"/>
      <w:r w:rsidRPr="007122AB">
        <w:rPr>
          <w:color w:val="000000" w:themeColor="text1"/>
          <w:sz w:val="16"/>
          <w:szCs w:val="16"/>
        </w:rPr>
        <w:t>Муклевич</w:t>
      </w:r>
      <w:proofErr w:type="spellEnd"/>
      <w:r w:rsidRPr="007122AB">
        <w:rPr>
          <w:color w:val="000000" w:themeColor="text1"/>
          <w:sz w:val="16"/>
          <w:szCs w:val="16"/>
        </w:rPr>
        <w:t>). (РГВА. Ф. 4. Оп. 18. Д. 20. Л. 188) (12342).</w:t>
      </w:r>
    </w:p>
    <w:p w14:paraId="2ED7D107" w14:textId="77777777" w:rsidR="00824AB6" w:rsidRPr="007122AB" w:rsidRDefault="00824AB6" w:rsidP="007122AB">
      <w:pPr>
        <w:pStyle w:val="rtejustify"/>
        <w:spacing w:before="0" w:after="0"/>
        <w:rPr>
          <w:color w:val="000000" w:themeColor="text1"/>
          <w:sz w:val="16"/>
          <w:szCs w:val="16"/>
        </w:rPr>
      </w:pPr>
    </w:p>
    <w:p w14:paraId="287ACDFD" w14:textId="77777777" w:rsidR="005F6639" w:rsidRPr="007122AB" w:rsidRDefault="005F6639"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3-6 апреля 1931 г.</w:t>
      </w:r>
      <w:r w:rsidRPr="007122AB">
        <w:rPr>
          <w:rFonts w:ascii="Times New Roman" w:hAnsi="Times New Roman"/>
          <w:color w:val="000000" w:themeColor="text1"/>
          <w:sz w:val="16"/>
          <w:szCs w:val="16"/>
        </w:rPr>
        <w:t xml:space="preserve"> В ВОХИМУ РККА состоялась конференция по иприту, которая подытожила работы по выпуску этого СОВ, снаряжению им снарядов, по вопросам хранения иприта и формированию планов на будущее (17133).</w:t>
      </w:r>
    </w:p>
    <w:p w14:paraId="0A3D3197" w14:textId="77777777" w:rsidR="005F6639" w:rsidRPr="007122AB" w:rsidRDefault="005F6639" w:rsidP="007122AB">
      <w:pPr>
        <w:shd w:val="clear" w:color="auto" w:fill="FFFFFF"/>
        <w:spacing w:after="0" w:line="240" w:lineRule="auto"/>
        <w:jc w:val="both"/>
        <w:rPr>
          <w:rFonts w:ascii="Times New Roman" w:hAnsi="Times New Roman"/>
          <w:color w:val="000000" w:themeColor="text1"/>
          <w:sz w:val="16"/>
          <w:szCs w:val="16"/>
        </w:rPr>
      </w:pPr>
    </w:p>
    <w:p w14:paraId="68A416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апреля 1931 г. приказом ВСНХ СССР был создан Научно-исследовательский институт металлорежущих станков (НИСТИ). Приказом Наркомата тяжелой промышленности СССР от 19 мая 1933 г. институт был преобразован в Экспериментальный научно-исследовательский институт металлорежущих станков (ЭНИМС) (12102).</w:t>
      </w:r>
    </w:p>
    <w:p w14:paraId="7A075DE9" w14:textId="77777777" w:rsidR="005F6639" w:rsidRPr="007122AB" w:rsidRDefault="005F663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AABD24" w14:textId="77777777" w:rsidR="00824AB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C26CD8B" w14:textId="77777777" w:rsidR="00824AB6" w:rsidRPr="007122AB" w:rsidRDefault="00824AB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7A82191"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ЦИК и СНК СССР об укомплектовании территориальный частей Рабоче-крестьянской Красной армии лошадьми, обозными повозками и упряжью на время обучения переменного состава (СЗ. 1931. № 22. Ст. 184) (12415).</w:t>
      </w:r>
    </w:p>
    <w:p w14:paraId="481C89DF"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p>
    <w:p w14:paraId="09E213D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11F10A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CF3E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 и 9 апреля 1931. Из протокола заседания Политбюро № 31, 1931 г.</w:t>
      </w:r>
    </w:p>
    <w:p w14:paraId="2C9D67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"Экономической жизни" </w:t>
      </w:r>
    </w:p>
    <w:p w14:paraId="2DA4F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Объявить выговор редакции "Экономической жизни" за то, что правильную и нужную критику работы наркоматов она превратила в клевету на советские органы в статьях о </w:t>
      </w:r>
      <w:proofErr w:type="spellStart"/>
      <w:r w:rsidRPr="007122AB">
        <w:rPr>
          <w:rFonts w:ascii="Times New Roman" w:hAnsi="Times New Roman"/>
          <w:color w:val="000000" w:themeColor="text1"/>
          <w:sz w:val="16"/>
          <w:szCs w:val="16"/>
        </w:rPr>
        <w:t>Наркомснабе</w:t>
      </w:r>
      <w:proofErr w:type="spellEnd"/>
      <w:r w:rsidRPr="007122AB">
        <w:rPr>
          <w:rFonts w:ascii="Times New Roman" w:hAnsi="Times New Roman"/>
          <w:color w:val="000000" w:themeColor="text1"/>
          <w:sz w:val="16"/>
          <w:szCs w:val="16"/>
        </w:rPr>
        <w:t xml:space="preserve"> и Госплане, помещенных в номере газеты от 24 марта с. г. </w:t>
      </w:r>
    </w:p>
    <w:p w14:paraId="2C27EE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Возложить на ответственных редакторов газет персональную ответственность за недопущение печатания в газетах статей и материалов, которые хотя бы косвенным образом раскрывали наши планы ввоза и вывоза (11652).</w:t>
      </w:r>
    </w:p>
    <w:p w14:paraId="12F0F3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AA1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 и 9 апреля 1931. Из протокола заседания Политбюро № 31, 1931 г.</w:t>
      </w:r>
    </w:p>
    <w:p w14:paraId="589049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Постановление по вопросу об усилении </w:t>
      </w:r>
      <w:proofErr w:type="spellStart"/>
      <w:r w:rsidRPr="007122AB">
        <w:rPr>
          <w:rFonts w:ascii="Times New Roman" w:hAnsi="Times New Roman"/>
          <w:color w:val="000000" w:themeColor="text1"/>
          <w:sz w:val="16"/>
          <w:szCs w:val="16"/>
        </w:rPr>
        <w:t>политконтроля</w:t>
      </w:r>
      <w:proofErr w:type="spellEnd"/>
      <w:r w:rsidRPr="007122AB">
        <w:rPr>
          <w:rFonts w:ascii="Times New Roman" w:hAnsi="Times New Roman"/>
          <w:color w:val="000000" w:themeColor="text1"/>
          <w:sz w:val="16"/>
          <w:szCs w:val="16"/>
        </w:rPr>
        <w:t xml:space="preserve"> за выпускаемой периодической и непериодической печатью </w:t>
      </w:r>
    </w:p>
    <w:p w14:paraId="3265C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Ввести предварительный контроль Главлита по следующему кругу вопросов: </w:t>
      </w:r>
    </w:p>
    <w:p w14:paraId="06D081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материалы, касающиеся обороны страны; </w:t>
      </w:r>
    </w:p>
    <w:p w14:paraId="07F44D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материалы, носящие характер официальных правительственных документов, а также материалы отдельных </w:t>
      </w:r>
      <w:proofErr w:type="spellStart"/>
      <w:r w:rsidRPr="007122AB">
        <w:rPr>
          <w:rFonts w:ascii="Times New Roman" w:hAnsi="Times New Roman"/>
          <w:color w:val="000000" w:themeColor="text1"/>
          <w:sz w:val="16"/>
          <w:szCs w:val="16"/>
        </w:rPr>
        <w:t>хозорганизаций</w:t>
      </w:r>
      <w:proofErr w:type="spellEnd"/>
      <w:r w:rsidRPr="007122AB">
        <w:rPr>
          <w:rFonts w:ascii="Times New Roman" w:hAnsi="Times New Roman"/>
          <w:color w:val="000000" w:themeColor="text1"/>
          <w:sz w:val="16"/>
          <w:szCs w:val="16"/>
        </w:rPr>
        <w:t xml:space="preserve">, опубликование которых прямо или косвенно может относиться к вопросам экономико-политических отношений Сов. Союза с внешним капиталистическим окружением, статистические сведения экспортно-импортного порядка и т. д. </w:t>
      </w:r>
    </w:p>
    <w:p w14:paraId="423CF0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Ввести институт политредакторов при всех редакциях. </w:t>
      </w:r>
    </w:p>
    <w:p w14:paraId="36EE8C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Поручить ячейкам типографий осуществить общественно-партийный контроль через коммунистов-наборщиков, которые должны будут в сомнительных случаях, не задерживая набора, предупредить руководителя учреждения... </w:t>
      </w:r>
    </w:p>
    <w:p w14:paraId="788BA5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Обязать ОГИЗ связаться с научно-исследовательскими институтами и организовать там просмотр и оценку выходящей литературы в порядке последующего и в особо важных случаях предварительного отзыва (11652).</w:t>
      </w:r>
    </w:p>
    <w:p w14:paraId="20665C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F3F54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714483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22D6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апреля 1931 стартовал «Желтый рейд» полугусеничных автомобилей «Ситроен-</w:t>
      </w:r>
      <w:proofErr w:type="spellStart"/>
      <w:r w:rsidRPr="007122AB">
        <w:rPr>
          <w:rFonts w:ascii="Times New Roman" w:hAnsi="Times New Roman"/>
          <w:color w:val="000000" w:themeColor="text1"/>
          <w:sz w:val="16"/>
          <w:szCs w:val="16"/>
        </w:rPr>
        <w:t>Кегресс</w:t>
      </w:r>
      <w:proofErr w:type="spellEnd"/>
      <w:r w:rsidRPr="007122AB">
        <w:rPr>
          <w:rFonts w:ascii="Times New Roman" w:hAnsi="Times New Roman"/>
          <w:color w:val="000000" w:themeColor="text1"/>
          <w:sz w:val="16"/>
          <w:szCs w:val="16"/>
        </w:rPr>
        <w:t>» моделей АС-4F и AC-6F по Центральной и Юго-Восточной Азии (11275).</w:t>
      </w:r>
    </w:p>
    <w:p w14:paraId="1384E3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074CB3"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апреля 1931 г. вышел ПРИКАЗ УММ О РЕОРГАНИЗАЦИИ НИАБТ ПОЛИГОНА №22</w:t>
      </w:r>
    </w:p>
    <w:p w14:paraId="6F166D34"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Испытательную группу Управления по механизации и моторизации РККА с 1 апреля именовать «Испытательный отдел научно-исследовательского автобронетанкового полигона УММ» согласно штата № 10/41.</w:t>
      </w:r>
    </w:p>
    <w:p w14:paraId="4A685F99"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Временно исполняющий должность начальника испытательного отдела НИАБТ полигона </w:t>
      </w:r>
      <w:proofErr w:type="spellStart"/>
      <w:r w:rsidRPr="007122AB">
        <w:rPr>
          <w:rFonts w:ascii="Times New Roman" w:hAnsi="Times New Roman"/>
          <w:color w:val="000000" w:themeColor="text1"/>
          <w:sz w:val="16"/>
          <w:szCs w:val="16"/>
        </w:rPr>
        <w:t>Греймов</w:t>
      </w:r>
      <w:proofErr w:type="spellEnd"/>
      <w:r w:rsidRPr="007122AB">
        <w:rPr>
          <w:rFonts w:ascii="Times New Roman" w:hAnsi="Times New Roman"/>
          <w:color w:val="000000" w:themeColor="text1"/>
          <w:sz w:val="16"/>
          <w:szCs w:val="16"/>
        </w:rPr>
        <w:t xml:space="preserve"> А. П. Допускается к временному исполнению должности начальника НИАБТ полигона с остав</w:t>
      </w:r>
      <w:r w:rsidRPr="007122AB">
        <w:rPr>
          <w:rFonts w:ascii="Times New Roman" w:hAnsi="Times New Roman"/>
          <w:color w:val="000000" w:themeColor="text1"/>
          <w:sz w:val="16"/>
          <w:szCs w:val="16"/>
        </w:rPr>
        <w:softHyphen/>
        <w:t>лением в занимаемой должности, которому немедленно приступить к формированию Полигона согласно штата № 10/41, организации и наблюдению за строительством зданий Полигона.</w:t>
      </w:r>
    </w:p>
    <w:p w14:paraId="2128463A"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Ответственность и проверку исполнения хода формирования и строительства Полигона возлагаю на начальника технического управления УММ т. </w:t>
      </w:r>
      <w:proofErr w:type="spellStart"/>
      <w:r w:rsidRPr="007122AB">
        <w:rPr>
          <w:rFonts w:ascii="Times New Roman" w:hAnsi="Times New Roman"/>
          <w:color w:val="000000" w:themeColor="text1"/>
          <w:sz w:val="16"/>
          <w:szCs w:val="16"/>
        </w:rPr>
        <w:t>Бокис</w:t>
      </w:r>
      <w:proofErr w:type="spellEnd"/>
      <w:r w:rsidRPr="007122AB">
        <w:rPr>
          <w:rFonts w:ascii="Times New Roman" w:hAnsi="Times New Roman"/>
          <w:color w:val="000000" w:themeColor="text1"/>
          <w:sz w:val="16"/>
          <w:szCs w:val="16"/>
        </w:rPr>
        <w:t xml:space="preserve"> Г. Г.</w:t>
      </w:r>
    </w:p>
    <w:p w14:paraId="211AEA27"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Управления по механизации и моторизации РККА </w:t>
      </w:r>
      <w:proofErr w:type="spellStart"/>
      <w:r w:rsidRPr="007122AB">
        <w:rPr>
          <w:rFonts w:ascii="Times New Roman" w:hAnsi="Times New Roman"/>
          <w:color w:val="000000" w:themeColor="text1"/>
          <w:sz w:val="16"/>
          <w:szCs w:val="16"/>
        </w:rPr>
        <w:t>Халепский</w:t>
      </w:r>
      <w:proofErr w:type="spellEnd"/>
    </w:p>
    <w:p w14:paraId="20958DCC"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 31811. Оп. 2. Д. 44. Л. 28. Подлинник (11210).</w:t>
      </w:r>
    </w:p>
    <w:p w14:paraId="246D845B" w14:textId="77777777" w:rsidR="00824AB6" w:rsidRPr="007122AB" w:rsidRDefault="00824AB6"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B683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159883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CC04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апреля 1931 года начальник отдела требований НИИ ВВС Соколов-Соколенок писал письмо N 368с НИИ ВОГВФ Филипович, пом. нач. НИИ ВВС </w:t>
      </w:r>
      <w:proofErr w:type="spellStart"/>
      <w:r w:rsidRPr="007122AB">
        <w:rPr>
          <w:rFonts w:ascii="Times New Roman" w:hAnsi="Times New Roman"/>
          <w:color w:val="000000" w:themeColor="text1"/>
          <w:sz w:val="16"/>
          <w:szCs w:val="16"/>
        </w:rPr>
        <w:t>Коннэрт</w:t>
      </w:r>
      <w:proofErr w:type="spellEnd"/>
      <w:r w:rsidRPr="007122AB">
        <w:rPr>
          <w:rFonts w:ascii="Times New Roman" w:hAnsi="Times New Roman"/>
          <w:color w:val="000000" w:themeColor="text1"/>
          <w:sz w:val="16"/>
          <w:szCs w:val="16"/>
        </w:rPr>
        <w:t xml:space="preserve">, нач. 2 отд. 2 упр. Алексеевскому, пом. нач. 1 упр. </w:t>
      </w:r>
      <w:proofErr w:type="spellStart"/>
      <w:r w:rsidRPr="007122AB">
        <w:rPr>
          <w:rFonts w:ascii="Times New Roman" w:hAnsi="Times New Roman"/>
          <w:color w:val="000000" w:themeColor="text1"/>
          <w:sz w:val="16"/>
          <w:szCs w:val="16"/>
        </w:rPr>
        <w:t>Хрипину</w:t>
      </w:r>
      <w:proofErr w:type="spellEnd"/>
      <w:r w:rsidRPr="007122AB">
        <w:rPr>
          <w:rFonts w:ascii="Times New Roman" w:hAnsi="Times New Roman"/>
          <w:color w:val="000000" w:themeColor="text1"/>
          <w:sz w:val="16"/>
          <w:szCs w:val="16"/>
        </w:rPr>
        <w:t>.</w:t>
      </w:r>
    </w:p>
    <w:p w14:paraId="17C7C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возвращаю мной подписанные протоколы N 2 Макетной комиссии ВОГВФ по осмотру макета самолета "Сталь 2".</w:t>
      </w:r>
    </w:p>
    <w:p w14:paraId="66666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посылаю заключение по самолету в отношении его использования на военное время, что следует в вышеупомянутый протокол N 2 включить отдельным параграфом.</w:t>
      </w:r>
    </w:p>
    <w:p w14:paraId="028A10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5B2D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самолету "Сталь 2", в части его использования</w:t>
      </w:r>
    </w:p>
    <w:p w14:paraId="39CD0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военное время.</w:t>
      </w:r>
    </w:p>
    <w:p w14:paraId="0ACCCB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 2", на военное время предусматривается к использованию в качестве транспортного самолета авиационных частей или в качестве войскового самолета с расположением наблюдателей нормально, в пассажирской кабине. Наблюдение вперед-назад-вбок через существующие окна для пассажирской кабины; у заднего наблюдателя должен быть обзор и под хвост для чего в полу фюзеляжа за задними сидениями обеспечить устройство специального окна, могущего в некоторых случаях служить и целям стрельбы через него одним пулеметом. У обоих наблюдателей на потолке самолета должны быть предусмотрены люки (отверстия) для установки в них по одному пулемету (облегченная установка на шкворнях). (2993,5-6).</w:t>
      </w:r>
    </w:p>
    <w:p w14:paraId="6DA87A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0A2C93" w14:textId="77777777" w:rsidR="000534E3" w:rsidRPr="007122AB" w:rsidRDefault="000534E3"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 xml:space="preserve">5 апреля 1931 г. представитель НТК ВВС </w:t>
      </w:r>
      <w:proofErr w:type="spellStart"/>
      <w:r w:rsidRPr="007122AB">
        <w:rPr>
          <w:rFonts w:ascii="Times New Roman" w:hAnsi="Times New Roman"/>
          <w:color w:val="000000" w:themeColor="text1"/>
          <w:sz w:val="16"/>
          <w:szCs w:val="16"/>
          <w:lang w:eastAsia="ru-RU" w:bidi="ru-RU"/>
        </w:rPr>
        <w:t>Н.А.Соколов</w:t>
      </w:r>
      <w:proofErr w:type="spellEnd"/>
      <w:r w:rsidRPr="007122AB">
        <w:rPr>
          <w:rFonts w:ascii="Times New Roman" w:hAnsi="Times New Roman"/>
          <w:color w:val="000000" w:themeColor="text1"/>
          <w:sz w:val="16"/>
          <w:szCs w:val="16"/>
          <w:lang w:eastAsia="ru-RU" w:bidi="ru-RU"/>
        </w:rPr>
        <w:t>- Соколенок при утверждении протокола макетной комиссии ВО ГВФ, приложил дополнительное заключение по возмож</w:t>
      </w:r>
      <w:r w:rsidRPr="007122AB">
        <w:rPr>
          <w:rFonts w:ascii="Times New Roman" w:hAnsi="Times New Roman"/>
          <w:color w:val="000000" w:themeColor="text1"/>
          <w:sz w:val="16"/>
          <w:szCs w:val="16"/>
          <w:lang w:eastAsia="ru-RU" w:bidi="ru-RU"/>
        </w:rPr>
        <w:softHyphen/>
        <w:t>ному использованию самолета в военном варианте: «Сталь- 2 на военное время предусматривается к использованию в качестве транспортного самолета авиационных частей или в качестве войскового самолета с расположением наблюдателей в пассажирской кабине. Наблюдение вперед-назад-вбок через существующие окна пассажирской кабины. У заднего наблюдателя должен быть обзор и под хвост, для чего в полу фюзеляжа за задними сидениями обеспечить устройство специального окна, способного в некоторых случаях служить и целям стрельбы через него одним пулеметом. У обоих наблюдателей на потолке са</w:t>
      </w:r>
      <w:r w:rsidRPr="007122AB">
        <w:rPr>
          <w:rFonts w:ascii="Times New Roman" w:hAnsi="Times New Roman"/>
          <w:color w:val="000000" w:themeColor="text1"/>
          <w:sz w:val="16"/>
          <w:szCs w:val="16"/>
          <w:lang w:eastAsia="ru-RU" w:bidi="ru-RU"/>
        </w:rPr>
        <w:softHyphen/>
        <w:t>молета должны быть предусмотрены люки (отверстия) для установки в них по одному пулемету (облегченная установка на шкворнях)». Ничего удивительного в указан</w:t>
      </w:r>
      <w:r w:rsidRPr="007122AB">
        <w:rPr>
          <w:rFonts w:ascii="Times New Roman" w:hAnsi="Times New Roman"/>
          <w:color w:val="000000" w:themeColor="text1"/>
          <w:sz w:val="16"/>
          <w:szCs w:val="16"/>
          <w:lang w:eastAsia="ru-RU" w:bidi="ru-RU"/>
        </w:rPr>
        <w:softHyphen/>
        <w:t>ных предложениях не было, практика оценки военного применения любого самолета была тогда повсеместной. Между тем Сталь-2 в будущем никогда не подвергался ни</w:t>
      </w:r>
      <w:r w:rsidRPr="007122AB">
        <w:rPr>
          <w:rFonts w:ascii="Times New Roman" w:hAnsi="Times New Roman"/>
          <w:color w:val="000000" w:themeColor="text1"/>
          <w:sz w:val="16"/>
          <w:szCs w:val="16"/>
          <w:lang w:eastAsia="ru-RU" w:bidi="ru-RU"/>
        </w:rPr>
        <w:softHyphen/>
        <w:t>каким военным усовершенствованиям (20365).</w:t>
      </w:r>
    </w:p>
    <w:p w14:paraId="045CDDEC" w14:textId="77777777" w:rsidR="000534E3" w:rsidRPr="007122AB" w:rsidRDefault="000534E3" w:rsidP="007122AB">
      <w:pPr>
        <w:spacing w:after="0" w:line="240" w:lineRule="auto"/>
        <w:jc w:val="both"/>
        <w:rPr>
          <w:rFonts w:ascii="Times New Roman" w:hAnsi="Times New Roman"/>
          <w:color w:val="000000" w:themeColor="text1"/>
          <w:sz w:val="16"/>
          <w:szCs w:val="16"/>
        </w:rPr>
      </w:pPr>
    </w:p>
    <w:p w14:paraId="7361B1B4" w14:textId="77777777" w:rsidR="00824AB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5EB3A4F" w14:textId="77777777" w:rsidR="00824AB6" w:rsidRPr="007122AB" w:rsidRDefault="00824AB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289C2D"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31. 18. О ходе работ на Сталинградском тракторном заводе (ПБ от 10 декабря 1930 г., пр. № 20, п. 4/10). 37. О плане развития производств, обслуживающих автотракторную промышленность в 1932 и 1933 гг. (ПБ от 15 февраля 1931 г., пр. № 26, п. 10, из прил. п. 8) (Орджоникидзе, Харитоненко). Опросом членов ПБ от 5 апреля 1931 г. 36/36. О заказах в Италии. 43/43. О выполнении постановления ПБ о Ленинградском судостроительном тресте (ПБ от 25 июля 1929 г., пр. № 90, п. 5 и ПБ от 15 сентября 1930 г., пр. № 8, п. 22). (Политбюро... Т. 2. С. 146, 149) (12416).</w:t>
      </w:r>
    </w:p>
    <w:p w14:paraId="2CFC3C05"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p>
    <w:p w14:paraId="63976534"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5 апреля 1931 </w:t>
      </w:r>
      <w:r w:rsidRPr="007122AB">
        <w:rPr>
          <w:rFonts w:ascii="Times New Roman" w:hAnsi="Times New Roman"/>
          <w:color w:val="000000" w:themeColor="text1"/>
          <w:sz w:val="16"/>
          <w:szCs w:val="16"/>
        </w:rPr>
        <w:t xml:space="preserve">Политбюро ЦК ВКП(б) одобрило предложения комиссий СНК о финансовом плане на II квартал 1931 г. и план строительства нефтепровода Армавир-Никитовка; предложило комиссии разработать план развития железнодорожного, водного и трубопроводного транспорта для Северо-Кавказского, </w:t>
      </w:r>
      <w:proofErr w:type="spellStart"/>
      <w:r w:rsidRPr="007122AB">
        <w:rPr>
          <w:rFonts w:ascii="Times New Roman" w:hAnsi="Times New Roman"/>
          <w:color w:val="000000" w:themeColor="text1"/>
          <w:sz w:val="16"/>
          <w:szCs w:val="16"/>
        </w:rPr>
        <w:t>Эмбинского</w:t>
      </w:r>
      <w:proofErr w:type="spellEnd"/>
      <w:r w:rsidRPr="007122AB">
        <w:rPr>
          <w:rFonts w:ascii="Times New Roman" w:hAnsi="Times New Roman"/>
          <w:color w:val="000000" w:themeColor="text1"/>
          <w:sz w:val="16"/>
          <w:szCs w:val="16"/>
        </w:rPr>
        <w:t xml:space="preserve"> и </w:t>
      </w:r>
      <w:r w:rsidRPr="007122AB">
        <w:rPr>
          <w:rFonts w:ascii="Times New Roman" w:hAnsi="Times New Roman"/>
          <w:color w:val="000000" w:themeColor="text1"/>
          <w:sz w:val="16"/>
          <w:szCs w:val="16"/>
        </w:rPr>
        <w:lastRenderedPageBreak/>
        <w:t>Бакинского районов; приняло постановления по докладу Иваново-Вознесенского обкома ВКП (б) и о состоянии и подготовке кадров для обеспечения своевременного пуска Магнитогорского и Кузнецкого заводов (12265).</w:t>
      </w:r>
    </w:p>
    <w:p w14:paraId="4212707B"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871EA6F"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5 апреля 1931 г. вышло Постановление КО СНК «Разрешить вести переговоры о заказе в Италии вооружения (торпед, зенитной артиллерии и приборов управления </w:t>
      </w:r>
      <w:proofErr w:type="spellStart"/>
      <w:r w:rsidRPr="007122AB">
        <w:rPr>
          <w:rFonts w:ascii="Times New Roman" w:eastAsia="TimesNewRoman" w:hAnsi="Times New Roman"/>
          <w:color w:val="000000" w:themeColor="text1"/>
          <w:sz w:val="16"/>
          <w:szCs w:val="16"/>
        </w:rPr>
        <w:t>огнѐ</w:t>
      </w:r>
      <w:r w:rsidRPr="007122AB">
        <w:rPr>
          <w:rFonts w:ascii="Times New Roman" w:eastAsia="MS Mincho" w:hAnsi="Times New Roman"/>
          <w:color w:val="000000" w:themeColor="text1"/>
          <w:sz w:val="16"/>
          <w:szCs w:val="16"/>
        </w:rPr>
        <w:t>м</w:t>
      </w:r>
      <w:proofErr w:type="spellEnd"/>
      <w:r w:rsidRPr="007122AB">
        <w:rPr>
          <w:rFonts w:ascii="Times New Roman" w:eastAsia="TimesNewRoman" w:hAnsi="Times New Roman"/>
          <w:color w:val="000000" w:themeColor="text1"/>
          <w:sz w:val="16"/>
          <w:szCs w:val="16"/>
        </w:rPr>
        <w:t>).</w:t>
      </w:r>
    </w:p>
    <w:p w14:paraId="253B96AB"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Сумму определить 4.000.000 руб. сверх существующих контингентов» [Там же, л. 276].</w:t>
      </w:r>
    </w:p>
    <w:p w14:paraId="7A0FD8A3"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Таким образом, начались закупки как оптовые, так и опытных экземпляров итальянской морской техники и вооружений Советским Союзом. Контроль за выполнением заказов возлагался на торгпреда СССР в Италии А. А. Васильева и военно-морского атташе Л. В. </w:t>
      </w:r>
      <w:proofErr w:type="spellStart"/>
      <w:r w:rsidRPr="007122AB">
        <w:rPr>
          <w:rFonts w:ascii="Times New Roman" w:eastAsia="TimesNewRoman" w:hAnsi="Times New Roman"/>
          <w:color w:val="000000" w:themeColor="text1"/>
          <w:sz w:val="16"/>
          <w:szCs w:val="16"/>
        </w:rPr>
        <w:t>Анципо-Чикунского</w:t>
      </w:r>
      <w:proofErr w:type="spellEnd"/>
      <w:r w:rsidRPr="007122AB">
        <w:rPr>
          <w:rFonts w:ascii="Times New Roman" w:eastAsia="TimesNewRoman" w:hAnsi="Times New Roman"/>
          <w:color w:val="000000" w:themeColor="text1"/>
          <w:sz w:val="16"/>
          <w:szCs w:val="16"/>
        </w:rPr>
        <w:t>.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w:t>
      </w:r>
      <w:r w:rsidRPr="007122AB">
        <w:rPr>
          <w:rFonts w:ascii="Times New Roman" w:eastAsia="TimesNewRoman" w:hAnsi="Times New Roman"/>
          <w:iCs/>
          <w:color w:val="000000" w:themeColor="text1"/>
          <w:sz w:val="16"/>
          <w:szCs w:val="16"/>
        </w:rPr>
        <w:t>аналог военпредов на отечественных предприятиях</w:t>
      </w:r>
      <w:r w:rsidRPr="007122AB">
        <w:rPr>
          <w:rFonts w:ascii="Times New Roman" w:eastAsia="TimesNewRoman" w:hAnsi="Times New Roman"/>
          <w:color w:val="000000" w:themeColor="text1"/>
          <w:sz w:val="16"/>
          <w:szCs w:val="16"/>
        </w:rPr>
        <w:t>) (12701).</w:t>
      </w:r>
    </w:p>
    <w:p w14:paraId="4CF6E019"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p>
    <w:p w14:paraId="35FFF4BA"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r w:rsidRPr="007122AB">
        <w:rPr>
          <w:rFonts w:ascii="Times New Roman" w:eastAsia="TimesNewRoman" w:hAnsi="Times New Roman"/>
          <w:color w:val="000000" w:themeColor="text1"/>
          <w:sz w:val="16"/>
          <w:szCs w:val="16"/>
        </w:rPr>
        <w:t xml:space="preserve">5 апреля 1931 г. вышло Постановление КО СНК СССР, а затем были </w:t>
      </w:r>
      <w:proofErr w:type="spellStart"/>
      <w:r w:rsidRPr="007122AB">
        <w:rPr>
          <w:rFonts w:ascii="Times New Roman" w:eastAsia="TimesNewRoman" w:hAnsi="Times New Roman"/>
          <w:color w:val="000000" w:themeColor="text1"/>
          <w:sz w:val="16"/>
          <w:szCs w:val="16"/>
        </w:rPr>
        <w:t>заключѐ</w:t>
      </w:r>
      <w:r w:rsidRPr="007122AB">
        <w:rPr>
          <w:rFonts w:ascii="Times New Roman" w:eastAsia="MS Mincho" w:hAnsi="Times New Roman"/>
          <w:color w:val="000000" w:themeColor="text1"/>
          <w:sz w:val="16"/>
          <w:szCs w:val="16"/>
        </w:rPr>
        <w:t>ны</w:t>
      </w:r>
      <w:proofErr w:type="spellEnd"/>
      <w:r w:rsidRPr="007122AB">
        <w:rPr>
          <w:rFonts w:ascii="Times New Roman" w:eastAsia="TimesNewRoman" w:hAnsi="Times New Roman"/>
          <w:color w:val="000000" w:themeColor="text1"/>
          <w:sz w:val="16"/>
          <w:szCs w:val="16"/>
        </w:rPr>
        <w:t xml:space="preserve"> договора, в соответствии с которыми Советский Союз получил от итальянских фирм военную продукцию, </w:t>
      </w:r>
      <w:proofErr w:type="spellStart"/>
      <w:r w:rsidRPr="007122AB">
        <w:rPr>
          <w:rFonts w:ascii="Times New Roman" w:eastAsia="TimesNewRoman" w:hAnsi="Times New Roman"/>
          <w:color w:val="000000" w:themeColor="text1"/>
          <w:sz w:val="16"/>
          <w:szCs w:val="16"/>
        </w:rPr>
        <w:t>определѐ</w:t>
      </w:r>
      <w:r w:rsidRPr="007122AB">
        <w:rPr>
          <w:rFonts w:ascii="Times New Roman" w:eastAsia="MS Mincho" w:hAnsi="Times New Roman"/>
          <w:color w:val="000000" w:themeColor="text1"/>
          <w:sz w:val="16"/>
          <w:szCs w:val="16"/>
        </w:rPr>
        <w:t>нную</w:t>
      </w:r>
      <w:proofErr w:type="spellEnd"/>
      <w:r w:rsidRPr="007122AB">
        <w:rPr>
          <w:rFonts w:ascii="Times New Roman" w:eastAsia="TimesNewRoman" w:hAnsi="Times New Roman"/>
          <w:color w:val="000000" w:themeColor="text1"/>
          <w:sz w:val="16"/>
          <w:szCs w:val="16"/>
        </w:rPr>
        <w:t xml:space="preserve"> планом заказов УВМС от 18 марта 1931 г., а именно: морскую зенитную артиллерию, дальномеры, приборы центральной наводки, перископы, мины, торпеды (12701).</w:t>
      </w:r>
    </w:p>
    <w:p w14:paraId="375C4EA6" w14:textId="77777777" w:rsidR="001209D1" w:rsidRPr="007122AB" w:rsidRDefault="001209D1" w:rsidP="007122AB">
      <w:pPr>
        <w:spacing w:after="0" w:line="240" w:lineRule="auto"/>
        <w:jc w:val="both"/>
        <w:rPr>
          <w:rFonts w:ascii="Times New Roman" w:eastAsia="TimesNewRoman" w:hAnsi="Times New Roman"/>
          <w:color w:val="000000" w:themeColor="text1"/>
          <w:sz w:val="16"/>
          <w:szCs w:val="16"/>
        </w:rPr>
      </w:pPr>
    </w:p>
    <w:p w14:paraId="6B42104B"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апреля 1931 г. вышло Постановление КО СНК «Разрешить вести переговоры о заказе в Италии вооружения (торпед, зенитной артиллерии и приборов управления </w:t>
      </w:r>
      <w:proofErr w:type="spellStart"/>
      <w:r w:rsidRPr="007122AB">
        <w:rPr>
          <w:rFonts w:ascii="Times New Roman" w:hAnsi="Times New Roman"/>
          <w:color w:val="000000" w:themeColor="text1"/>
          <w:sz w:val="16"/>
          <w:szCs w:val="16"/>
        </w:rPr>
        <w:t>огнѐм</w:t>
      </w:r>
      <w:proofErr w:type="spellEnd"/>
      <w:r w:rsidRPr="007122AB">
        <w:rPr>
          <w:rFonts w:ascii="Times New Roman" w:hAnsi="Times New Roman"/>
          <w:color w:val="000000" w:themeColor="text1"/>
          <w:sz w:val="16"/>
          <w:szCs w:val="16"/>
        </w:rPr>
        <w:t>).</w:t>
      </w:r>
    </w:p>
    <w:p w14:paraId="6077ECDA"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Сумму определить 4.000.000 руб. сверх существующих контингентов» [Там же, л. 276].</w:t>
      </w:r>
    </w:p>
    <w:p w14:paraId="73C65EB4"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Контроль за выполнением заказов возлагался на торгпреда СССР в Италии А. А. Васильева и военно-морского атташе Л. В. </w:t>
      </w:r>
      <w:proofErr w:type="spellStart"/>
      <w:r w:rsidRPr="007122AB">
        <w:rPr>
          <w:rFonts w:ascii="Times New Roman" w:hAnsi="Times New Roman"/>
          <w:color w:val="000000" w:themeColor="text1"/>
          <w:sz w:val="16"/>
          <w:szCs w:val="16"/>
        </w:rPr>
        <w:t>Анципо-Чикунского</w:t>
      </w:r>
      <w:proofErr w:type="spellEnd"/>
      <w:r w:rsidRPr="007122AB">
        <w:rPr>
          <w:rFonts w:ascii="Times New Roman" w:hAnsi="Times New Roman"/>
          <w:color w:val="000000" w:themeColor="text1"/>
          <w:sz w:val="16"/>
          <w:szCs w:val="16"/>
        </w:rPr>
        <w:t>.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(аналог военпредов на отечественных предприятиях). На основании этого ходатайства все необходимые мероприятия были выполнены.</w:t>
      </w:r>
    </w:p>
    <w:p w14:paraId="1C2C14BB"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КО СНК СССР от 5 апреля 1931 г. и </w:t>
      </w:r>
      <w:proofErr w:type="spellStart"/>
      <w:r w:rsidRPr="007122AB">
        <w:rPr>
          <w:rFonts w:ascii="Times New Roman" w:hAnsi="Times New Roman"/>
          <w:color w:val="000000" w:themeColor="text1"/>
          <w:sz w:val="16"/>
          <w:szCs w:val="16"/>
        </w:rPr>
        <w:t>заключѐнных</w:t>
      </w:r>
      <w:proofErr w:type="spellEnd"/>
      <w:r w:rsidRPr="007122AB">
        <w:rPr>
          <w:rFonts w:ascii="Times New Roman" w:hAnsi="Times New Roman"/>
          <w:color w:val="000000" w:themeColor="text1"/>
          <w:sz w:val="16"/>
          <w:szCs w:val="16"/>
        </w:rPr>
        <w:t xml:space="preserve"> договоров, Советский Союз получил от итальянских фирм военную продукцию, </w:t>
      </w:r>
      <w:proofErr w:type="spellStart"/>
      <w:r w:rsidRPr="007122AB">
        <w:rPr>
          <w:rFonts w:ascii="Times New Roman" w:hAnsi="Times New Roman"/>
          <w:color w:val="000000" w:themeColor="text1"/>
          <w:sz w:val="16"/>
          <w:szCs w:val="16"/>
        </w:rPr>
        <w:t>определѐнную</w:t>
      </w:r>
      <w:proofErr w:type="spellEnd"/>
      <w:r w:rsidRPr="007122AB">
        <w:rPr>
          <w:rFonts w:ascii="Times New Roman" w:hAnsi="Times New Roman"/>
          <w:color w:val="000000" w:themeColor="text1"/>
          <w:sz w:val="16"/>
          <w:szCs w:val="16"/>
        </w:rPr>
        <w:t xml:space="preserve"> планом заказов УВМС  от 18 марта 1931 г., а именно: морскую зенитную артиллерию, дальномеры, приборы центральной наводки, перископы, мины, торпеды (18258).</w:t>
      </w:r>
    </w:p>
    <w:p w14:paraId="62240ECA" w14:textId="77777777" w:rsidR="00921BBD" w:rsidRPr="007122AB" w:rsidRDefault="00921BBD" w:rsidP="007122AB">
      <w:pPr>
        <w:spacing w:after="0" w:line="240" w:lineRule="auto"/>
        <w:jc w:val="both"/>
        <w:rPr>
          <w:rFonts w:ascii="Times New Roman" w:hAnsi="Times New Roman"/>
          <w:color w:val="000000" w:themeColor="text1"/>
          <w:sz w:val="16"/>
          <w:szCs w:val="16"/>
        </w:rPr>
      </w:pPr>
    </w:p>
    <w:p w14:paraId="1C5858D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453FFF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8EE5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апреля 1931 бригада формовщиков харьковского завода «Серп и молот» подписала первый на Украине хозрасчетный договор (4962).</w:t>
      </w:r>
    </w:p>
    <w:p w14:paraId="760E9E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D14D8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D973B7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D1D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апреля 1931 года проект 102-мм зенитной пушки с длиной ствола 45 калибров был представлен заводом на утверждение Управления ВМС (3861).</w:t>
      </w:r>
    </w:p>
    <w:p w14:paraId="45BBD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3457A5" w14:textId="77777777" w:rsidR="00C8486C" w:rsidRPr="007122AB" w:rsidRDefault="00C8486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6 апреля 1931 год принято Постановление Президиума ВСНХ о строительстве во Владимире завода по производству приборов для отечественной автотракторной промышленности. Уже 1 мая 1932 года завод пущен в эксплуатацию. В 1939 году на «Автоприборе» разработан и внедрен в производство первый советский таксометр (ТК-2), отсчитывающий плату за проезд. Если в 1932-ом году “Автоприбор” выпускал всего пять наименований приборов, то к концу 1940-го года производилось уже 69 наименований (17250).</w:t>
      </w:r>
    </w:p>
    <w:p w14:paraId="60133E10" w14:textId="77777777" w:rsidR="00C8486C" w:rsidRPr="007122AB" w:rsidRDefault="00C8486C" w:rsidP="007122AB">
      <w:pPr>
        <w:autoSpaceDE w:val="0"/>
        <w:autoSpaceDN w:val="0"/>
        <w:adjustRightInd w:val="0"/>
        <w:spacing w:after="0" w:line="240" w:lineRule="auto"/>
        <w:jc w:val="both"/>
        <w:rPr>
          <w:rFonts w:ascii="Times New Roman" w:hAnsi="Times New Roman"/>
          <w:color w:val="000000" w:themeColor="text1"/>
          <w:sz w:val="16"/>
          <w:szCs w:val="16"/>
        </w:rPr>
      </w:pPr>
    </w:p>
    <w:p w14:paraId="73F81393" w14:textId="77777777" w:rsidR="000F5416" w:rsidRPr="007122AB" w:rsidRDefault="000F541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F13E4CB" w14:textId="77777777" w:rsidR="000F5416" w:rsidRPr="007122AB" w:rsidRDefault="000F541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66239A0" w14:textId="77777777" w:rsidR="000F5416" w:rsidRPr="007122AB" w:rsidRDefault="000F541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6 апреля 1931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w:t>
      </w:r>
      <w:proofErr w:type="spellStart"/>
      <w:r w:rsidRPr="007122AB">
        <w:rPr>
          <w:rFonts w:ascii="Times New Roman" w:eastAsia="Times New Roman" w:hAnsi="Times New Roman"/>
          <w:color w:val="000000" w:themeColor="text1"/>
          <w:sz w:val="16"/>
          <w:szCs w:val="16"/>
          <w:lang w:eastAsia="ru-RU"/>
        </w:rPr>
        <w:t>Литуновкий</w:t>
      </w:r>
      <w:proofErr w:type="spellEnd"/>
      <w:r w:rsidRPr="007122AB">
        <w:rPr>
          <w:rFonts w:ascii="Times New Roman" w:eastAsia="Times New Roman" w:hAnsi="Times New Roman"/>
          <w:color w:val="000000" w:themeColor="text1"/>
          <w:sz w:val="16"/>
          <w:szCs w:val="16"/>
          <w:lang w:eastAsia="ru-RU"/>
        </w:rPr>
        <w:t xml:space="preserve">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6149AD9A" w14:textId="77777777" w:rsidR="000F5416" w:rsidRPr="007122AB" w:rsidRDefault="000F5416" w:rsidP="007122AB">
      <w:pPr>
        <w:spacing w:after="0" w:line="240" w:lineRule="auto"/>
        <w:jc w:val="both"/>
        <w:rPr>
          <w:rFonts w:ascii="Times New Roman" w:hAnsi="Times New Roman"/>
          <w:color w:val="000000" w:themeColor="text1"/>
          <w:sz w:val="16"/>
          <w:szCs w:val="16"/>
        </w:rPr>
      </w:pPr>
    </w:p>
    <w:p w14:paraId="5D40E5F2" w14:textId="77777777" w:rsidR="00BD6793" w:rsidRPr="007122AB" w:rsidRDefault="00BD679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DC2519A" w14:textId="77777777" w:rsidR="00BD6793" w:rsidRPr="007122AB" w:rsidRDefault="00BD679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C14EDF" w14:textId="77777777" w:rsidR="00BD6793" w:rsidRPr="007122AB" w:rsidRDefault="00BD67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апреля 1931 года был построен еще один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В создании ШОН, кроме Н.Н. Поликарпова и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принимал участие и Д.П. Григорович. Предполагалось, что этим штурмовиком будут вооружаться также и авиагруппы перспективных советских авианосцев, проектирование которых также велось в 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0CFB9742" w14:textId="77777777" w:rsidR="00BD6793" w:rsidRPr="007122AB" w:rsidRDefault="00BD67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ШОН предусматривало подвеску торпеды, а в сухопутном варианте - счетверенную качающуюся установку пулеметов ПВ-1, установленную в полу кабины стрелка для стрельбы под углом вперед-вниз и назад, и 400 кг авиабомб. Оборонительное вооружение включало один пулемет для стрельбы назад. Машина получилась довольно простой и дешевой в производстве. Сварная </w:t>
      </w:r>
      <w:proofErr w:type="spellStart"/>
      <w:r w:rsidRPr="007122AB">
        <w:rPr>
          <w:rFonts w:ascii="Times New Roman" w:hAnsi="Times New Roman"/>
          <w:color w:val="000000" w:themeColor="text1"/>
          <w:sz w:val="16"/>
          <w:szCs w:val="16"/>
        </w:rPr>
        <w:t>моторама</w:t>
      </w:r>
      <w:proofErr w:type="spellEnd"/>
      <w:r w:rsidRPr="007122AB">
        <w:rPr>
          <w:rFonts w:ascii="Times New Roman" w:hAnsi="Times New Roman"/>
          <w:color w:val="000000" w:themeColor="text1"/>
          <w:sz w:val="16"/>
          <w:szCs w:val="16"/>
        </w:rPr>
        <w:t xml:space="preserve"> крепилась к фюзеляжу на четырех болтах. Фюзеляж выполнялся из сварных труб с поперечными проволочными расчалками и от кабины до конца фюзеляжа покрывался полотном. Конструкция крыльев деревянная, </w:t>
      </w:r>
      <w:proofErr w:type="spellStart"/>
      <w:r w:rsidRPr="007122AB">
        <w:rPr>
          <w:rFonts w:ascii="Times New Roman" w:hAnsi="Times New Roman"/>
          <w:color w:val="000000" w:themeColor="text1"/>
          <w:sz w:val="16"/>
          <w:szCs w:val="16"/>
        </w:rPr>
        <w:t>двухлонжеронная</w:t>
      </w:r>
      <w:proofErr w:type="spellEnd"/>
      <w:r w:rsidRPr="007122AB">
        <w:rPr>
          <w:rFonts w:ascii="Times New Roman" w:hAnsi="Times New Roman"/>
          <w:color w:val="000000" w:themeColor="text1"/>
          <w:sz w:val="16"/>
          <w:szCs w:val="16"/>
        </w:rPr>
        <w:t>, с полотняной обшивкой. Для удобства транспортировки и размещения самолета на палубе авианосца крылья отворачивали назад. Были внесены изменения и в конструкцию шасси (18293).</w:t>
      </w:r>
    </w:p>
    <w:p w14:paraId="2AE67514" w14:textId="77777777" w:rsidR="00BD6793" w:rsidRPr="007122AB" w:rsidRDefault="00BD6793" w:rsidP="007122AB">
      <w:pPr>
        <w:spacing w:after="0" w:line="240" w:lineRule="auto"/>
        <w:jc w:val="both"/>
        <w:rPr>
          <w:rFonts w:ascii="Times New Roman" w:hAnsi="Times New Roman"/>
          <w:color w:val="000000" w:themeColor="text1"/>
          <w:sz w:val="16"/>
          <w:szCs w:val="16"/>
        </w:rPr>
      </w:pPr>
    </w:p>
    <w:p w14:paraId="6626394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370882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230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началу апреля 1931 Таджикистане и Туркмении произошла резкая вспышка активности бандитов. Этому способствовал целый ряд обстоятельств - внешних и внутренних. С одной стороны, через афганскую границу ринулись отряды </w:t>
      </w:r>
      <w:proofErr w:type="spellStart"/>
      <w:r w:rsidRPr="007122AB">
        <w:rPr>
          <w:rFonts w:ascii="Times New Roman" w:hAnsi="Times New Roman"/>
          <w:color w:val="000000" w:themeColor="text1"/>
          <w:sz w:val="16"/>
          <w:szCs w:val="16"/>
        </w:rPr>
        <w:t>Ибрагимбека</w:t>
      </w:r>
      <w:proofErr w:type="spellEnd"/>
      <w:r w:rsidRPr="007122AB">
        <w:rPr>
          <w:rFonts w:ascii="Times New Roman" w:hAnsi="Times New Roman"/>
          <w:color w:val="000000" w:themeColor="text1"/>
          <w:sz w:val="16"/>
          <w:szCs w:val="16"/>
        </w:rPr>
        <w:t>. Он уже имел около 2000 всадников, довольно хорошо организованных и вооруженных. К ним добавились местные, недобитые с прошлых лет, группировки Кур-Артыка (более 300 человек) и Али-Мардана (около 500). С другой стороны, сказались последствия коллективизации. Массовые репрессии по отношению к зажиточным крестьянам сразу увеличили контингент потенциальных басмачей. Да и бедняки не высказывали бурного восторга. Зерно накапливалось в ссыпных пунктах, а затем вывозилось. Самим крестьянам оставляли только минимум. Коллективизация полностью нарушила и традиционные торговые связи. Обычно к осени кочевники-туркмены приходили из Каракумов к границам "оседлой полосы" и меняли шкурки и мясо на зерно, муку, соль, чай и многое другое. Теперь они не получали ничего. Неудивительно, что все это вызывало возмущение местного населения.</w:t>
      </w:r>
    </w:p>
    <w:p w14:paraId="2F01D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Кампания 1931 г. началась в Таджикистане. Против Ибрагим-бека отправили Таджикскую группу войск: 13-й стрелковый корпус, состоявший из стрелковой дивизии и двух кавалерийских бригад, а также артиллерию и моторизованные подразделения. Группу поддерживали самолеты двух отрядов, временно объединенных в Таджикскую авиагруппу. Всего в нее входило 10 Р-ЗЛД.</w:t>
      </w:r>
    </w:p>
    <w:p w14:paraId="759440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Надо сказать, что в этой кампании обе стороны придумали много нового. Например, впервые встретились с координацией действий банд. Авторитет Ибрагим- бека сплотил их и заставил сражаться совместно. Басмачи научились бороться с авиацией. Самолеты их уже не пугали. При появлении опасности с воздуха всадники быстро рассыпались, маскируясь в тени скал, ущельях, среди деревьев и кустарников. Очень распространено стало скрытное перемещение бандитов со стадами. Если басмачей застигали на открытом пространстве, они встречали самолеты плотным винтовочным огнем. Их отряды быстро перемещались, что вынуждало вести почти непрерывную воздушную разведку.</w:t>
      </w:r>
    </w:p>
    <w:p w14:paraId="53727A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 другой стороны, войска научились взаимодействовать с авиацией. Сигнальщики выкладывали для летчиков кодовые сообщения полотнищами </w:t>
      </w:r>
      <w:proofErr w:type="spellStart"/>
      <w:r w:rsidRPr="007122AB">
        <w:rPr>
          <w:rFonts w:ascii="Times New Roman" w:hAnsi="Times New Roman"/>
          <w:color w:val="000000" w:themeColor="text1"/>
          <w:sz w:val="16"/>
          <w:szCs w:val="16"/>
        </w:rPr>
        <w:t>Попхэма</w:t>
      </w:r>
      <w:proofErr w:type="spellEnd"/>
      <w:r w:rsidRPr="007122AB">
        <w:rPr>
          <w:rFonts w:ascii="Times New Roman" w:hAnsi="Times New Roman"/>
          <w:color w:val="000000" w:themeColor="text1"/>
          <w:sz w:val="16"/>
          <w:szCs w:val="16"/>
        </w:rPr>
        <w:t xml:space="preserve"> - большими полосами белой ткани. При отсутствии полотнищ в дело шли конские седла или знаки создавали, выстраивая людей определенным образом. Свое местонахождение красноармейцы обозначали цветными ракетами. Срочные донесения с земли подбирали "кошкой"; в горах это часто было небезопасно.</w:t>
      </w:r>
    </w:p>
    <w:p w14:paraId="69DAD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Летчики, в свою очередь, передавали донесения войскам, сбрасывая вымпелы с записками. Несмотря на всю примитивность такой связи, она оказалась достаточно эффективной. Самолеты стали наводить красных кавалеристов на банды, а затем поддерживать атаку бомбами и пулеметным огнем. Правда, приходилось рассчитывать время, чтобы не начать штурмовку слишком рано. В нескольких случаях при налетах авиации банды сразу рассыпались и уходили в разные стороны еще до подхода кавалеристов или мотострелков. В 40-м </w:t>
      </w:r>
      <w:proofErr w:type="spellStart"/>
      <w:r w:rsidRPr="007122AB">
        <w:rPr>
          <w:rFonts w:ascii="Times New Roman" w:hAnsi="Times New Roman"/>
          <w:color w:val="000000" w:themeColor="text1"/>
          <w:sz w:val="16"/>
          <w:szCs w:val="16"/>
        </w:rPr>
        <w:t>ао</w:t>
      </w:r>
      <w:proofErr w:type="spellEnd"/>
      <w:r w:rsidRPr="007122AB">
        <w:rPr>
          <w:rFonts w:ascii="Times New Roman" w:hAnsi="Times New Roman"/>
          <w:color w:val="000000" w:themeColor="text1"/>
          <w:sz w:val="16"/>
          <w:szCs w:val="16"/>
        </w:rPr>
        <w:t xml:space="preserve"> попробовали выпускать из задней кабины почтовых голубей, возвращавшихся в штабную голубятню. Для оповещения населения стали применять сброс листовок, но вот только подавляющее большинство местных жителей было совершенно неграмотным.</w:t>
      </w:r>
    </w:p>
    <w:p w14:paraId="0B306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Летчикам Таджикской авиагруппы иногда удавались весьма успешные операции. Так, 14 апреля 1931 г. самолеты обнаружили банду Кур-Артыка на переправе через реку Кызыл-Су. Басмачей атаковали девять машин. Сбросив бомбы, они смогли остановить переправу. Затем летчики разыскали расположение красноармейцев и повели их к реке. Перед двумя эскадронами кавалерии басмачам было не устоять- они бросились врассыпную. На месте боя начитали 101 труп, трех человек взяли в плен; трофеями стали 21 винтовка и 67 лошадей.</w:t>
      </w:r>
    </w:p>
    <w:p w14:paraId="5B708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Через три дня Кур-Артык попался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0816A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w:t>
      </w:r>
      <w:proofErr w:type="spellStart"/>
      <w:r w:rsidRPr="007122AB">
        <w:rPr>
          <w:rFonts w:ascii="Times New Roman" w:hAnsi="Times New Roman"/>
          <w:color w:val="000000" w:themeColor="text1"/>
          <w:sz w:val="16"/>
          <w:szCs w:val="16"/>
        </w:rPr>
        <w:t>Терегли</w:t>
      </w:r>
      <w:proofErr w:type="spellEnd"/>
      <w:r w:rsidRPr="007122AB">
        <w:rPr>
          <w:rFonts w:ascii="Times New Roman" w:hAnsi="Times New Roman"/>
          <w:color w:val="000000" w:themeColor="text1"/>
          <w:sz w:val="16"/>
          <w:szCs w:val="16"/>
        </w:rPr>
        <w:t>-Тау.</w:t>
      </w:r>
    </w:p>
    <w:p w14:paraId="687EC7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62AF6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Ибрагим-беку тоже досталось. Он рвался в </w:t>
      </w:r>
      <w:proofErr w:type="spellStart"/>
      <w:r w:rsidRPr="007122AB">
        <w:rPr>
          <w:rFonts w:ascii="Times New Roman" w:hAnsi="Times New Roman"/>
          <w:color w:val="000000" w:themeColor="text1"/>
          <w:sz w:val="16"/>
          <w:szCs w:val="16"/>
        </w:rPr>
        <w:t>Локайский</w:t>
      </w:r>
      <w:proofErr w:type="spellEnd"/>
      <w:r w:rsidRPr="007122AB">
        <w:rPr>
          <w:rFonts w:ascii="Times New Roman" w:hAnsi="Times New Roman"/>
          <w:color w:val="000000" w:themeColor="text1"/>
          <w:sz w:val="16"/>
          <w:szCs w:val="16"/>
        </w:rPr>
        <w:t xml:space="preserve">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w:t>
      </w:r>
      <w:proofErr w:type="spellStart"/>
      <w:r w:rsidRPr="007122AB">
        <w:rPr>
          <w:rFonts w:ascii="Times New Roman" w:hAnsi="Times New Roman"/>
          <w:color w:val="000000" w:themeColor="text1"/>
          <w:sz w:val="16"/>
          <w:szCs w:val="16"/>
        </w:rPr>
        <w:t>Джар</w:t>
      </w:r>
      <w:proofErr w:type="spellEnd"/>
      <w:r w:rsidRPr="007122AB">
        <w:rPr>
          <w:rFonts w:ascii="Times New Roman" w:hAnsi="Times New Roman"/>
          <w:color w:val="000000" w:themeColor="text1"/>
          <w:sz w:val="16"/>
          <w:szCs w:val="16"/>
        </w:rPr>
        <w:t>.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7E5A0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5E987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1A34A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7DF6B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B6FEB7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FA8B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апреля 1931 года начальник НИИ ВВС писал письмо N 46 сс зам. начальника ВВС Алкснис и начальнику УСС </w:t>
      </w:r>
      <w:proofErr w:type="spellStart"/>
      <w:r w:rsidRPr="007122AB">
        <w:rPr>
          <w:rFonts w:ascii="Times New Roman" w:hAnsi="Times New Roman"/>
          <w:color w:val="000000" w:themeColor="text1"/>
          <w:sz w:val="16"/>
          <w:szCs w:val="16"/>
        </w:rPr>
        <w:t>Петрожицкому</w:t>
      </w:r>
      <w:proofErr w:type="spellEnd"/>
      <w:r w:rsidRPr="007122AB">
        <w:rPr>
          <w:rFonts w:ascii="Times New Roman" w:hAnsi="Times New Roman"/>
          <w:color w:val="000000" w:themeColor="text1"/>
          <w:sz w:val="16"/>
          <w:szCs w:val="16"/>
        </w:rPr>
        <w:t>.</w:t>
      </w:r>
    </w:p>
    <w:p w14:paraId="0716E9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Представляю доклад по предписанию зам. Наркомвоенмора Уборевич от 24 марта 1931 года N 05415сс.</w:t>
      </w:r>
    </w:p>
    <w:p w14:paraId="1512C0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упомянутое на 7 листах.</w:t>
      </w:r>
    </w:p>
    <w:p w14:paraId="0B6AD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По опытному строительству</w:t>
      </w:r>
    </w:p>
    <w:p w14:paraId="1BDC35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Работа по ликвидации вредительства и устранению вредительства в морском производстве проведена с точки зрения изучения методов и объектов вредительства, которое еще имеет последствия в виде:</w:t>
      </w:r>
    </w:p>
    <w:p w14:paraId="6A0919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внедрения в производство недоведенных образцов, что вызывает в процессе производства обилие переделок;</w:t>
      </w:r>
    </w:p>
    <w:p w14:paraId="7A24D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недостаточное участие конструкторских бюро в работе по внедрению в производство образцов;</w:t>
      </w:r>
    </w:p>
    <w:p w14:paraId="732E1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недостаточное усилие по замене импорта;</w:t>
      </w:r>
    </w:p>
    <w:p w14:paraId="4AB16A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медленности темпов постройки образцов, в частности: </w:t>
      </w:r>
      <w:proofErr w:type="spellStart"/>
      <w:r w:rsidRPr="007122AB">
        <w:rPr>
          <w:rFonts w:ascii="Times New Roman" w:hAnsi="Times New Roman"/>
          <w:color w:val="000000" w:themeColor="text1"/>
          <w:sz w:val="16"/>
          <w:szCs w:val="16"/>
        </w:rPr>
        <w:t>гидросамолетостроение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аэростатостроение</w:t>
      </w:r>
      <w:proofErr w:type="spellEnd"/>
      <w:r w:rsidRPr="007122AB">
        <w:rPr>
          <w:rFonts w:ascii="Times New Roman" w:hAnsi="Times New Roman"/>
          <w:color w:val="000000" w:themeColor="text1"/>
          <w:sz w:val="16"/>
          <w:szCs w:val="16"/>
        </w:rPr>
        <w:t>, особенно лебедки для аэростатов наблюдения и заграждения.</w:t>
      </w:r>
    </w:p>
    <w:p w14:paraId="13480B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Рации выходят с опозданием на 2 - 2.5 года. Производство фотоаппаратуры в состоянии организации. Самопуски для авиационных моторов в стадии чертежей уже больше года.</w:t>
      </w:r>
    </w:p>
    <w:p w14:paraId="4DF0ED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Испытанные и внедряемые в производство образцы.</w:t>
      </w:r>
    </w:p>
    <w:p w14:paraId="2EC30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состоянии внедрения в производство и подготовки к нему состоит 5 самолетов (И5-ЮпIV, Р5-БМВVI, Р6-БМВVI, ТБ3-БМВVI, МДР2-2БМВVI), 4 типа моторов (М19, М15, М26, М27), система аэростата заграждения, 5 стрелковых прицелов, 76 мм самолетная пушка (ДРП), пулемет ДА 7,63 мм (по АУ), ряд турелей и пулеметных установок на самолеты, 2 типа прицелов для </w:t>
      </w:r>
      <w:proofErr w:type="spellStart"/>
      <w:r w:rsidRPr="007122AB">
        <w:rPr>
          <w:rFonts w:ascii="Times New Roman" w:hAnsi="Times New Roman"/>
          <w:color w:val="000000" w:themeColor="text1"/>
          <w:sz w:val="16"/>
          <w:szCs w:val="16"/>
        </w:rPr>
        <w:t>бомбо</w:t>
      </w:r>
      <w:proofErr w:type="spellEnd"/>
      <w:r w:rsidRPr="007122AB">
        <w:rPr>
          <w:rFonts w:ascii="Times New Roman" w:hAnsi="Times New Roman"/>
          <w:color w:val="000000" w:themeColor="text1"/>
          <w:sz w:val="16"/>
          <w:szCs w:val="16"/>
        </w:rPr>
        <w:t xml:space="preserve"> и торпедометания, 10 кг осколочная бомба, 25 и 50 кг фугасные бомбы, несколько образцов взрывателей, воздушная </w:t>
      </w:r>
      <w:proofErr w:type="spellStart"/>
      <w:r w:rsidRPr="007122AB">
        <w:rPr>
          <w:rFonts w:ascii="Times New Roman" w:hAnsi="Times New Roman"/>
          <w:color w:val="000000" w:themeColor="text1"/>
          <w:sz w:val="16"/>
          <w:szCs w:val="16"/>
        </w:rPr>
        <w:t>планир</w:t>
      </w:r>
      <w:proofErr w:type="spellEnd"/>
      <w:r w:rsidRPr="007122AB">
        <w:rPr>
          <w:rFonts w:ascii="Times New Roman" w:hAnsi="Times New Roman"/>
          <w:color w:val="000000" w:themeColor="text1"/>
          <w:sz w:val="16"/>
          <w:szCs w:val="16"/>
        </w:rPr>
        <w:t xml:space="preserve">. бомба (ПБМ), воздушная мина (ЗАМ), дистанционные взрыватели для авиационных бомб, бомбы типа Гирлянда, приемно-передающая рация (ДСР), 2 типа радио динамо-машины, саморегулирующаяся ветрянка для самолетных динамо, 3 типа фотоаппарата, полуавтоматический, автоматический и приспособленный для перспективной съемки, 2 типа фотообъективов, фотопулемет, 3 типа земных походных фотолабораторий, аэропленки и некоторые </w:t>
      </w:r>
      <w:proofErr w:type="spellStart"/>
      <w:r w:rsidRPr="007122AB">
        <w:rPr>
          <w:rFonts w:ascii="Times New Roman" w:hAnsi="Times New Roman"/>
          <w:color w:val="000000" w:themeColor="text1"/>
          <w:sz w:val="16"/>
          <w:szCs w:val="16"/>
        </w:rPr>
        <w:t>фотохимикаты</w:t>
      </w:r>
      <w:proofErr w:type="spellEnd"/>
      <w:r w:rsidRPr="007122AB">
        <w:rPr>
          <w:rFonts w:ascii="Times New Roman" w:hAnsi="Times New Roman"/>
          <w:color w:val="000000" w:themeColor="text1"/>
          <w:sz w:val="16"/>
          <w:szCs w:val="16"/>
        </w:rPr>
        <w:t>. Ряд приспособлений для ночных полетов (прожектор, маяк и пр.), 4 типа электрооборудования самолетов, магнето. Заказывается серия автоматов для наведения самолетов на цель при бомбометании, внедрено производство парашютов для сбрасывания людей и грузов, вводятся сбрасываемые с самолета торпеды и мины заграждения. Заказана партия отеплителей для самолетов. Введены приспособления для разбрызгивания ОВ с самолета (ВАП-4).</w:t>
      </w:r>
    </w:p>
    <w:p w14:paraId="0ACD1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 изготовлении состоят следующие опытные образцы: 7 типов самолетов, из которых один (ТБ-46 Р.Р.) является сверхтяжелым типом, 2 типа авиационных моторов (М34, ФЭД), аэростат наблюдения с изменяющимся объемом, лебедка для аэростатов заграждения, около 12 разных вариантов авиационных бомб (фугасные, химические, бронебойные, зажигательные, светящиеся), 2 варианта взрывателей, несколько вариантов бомбодержателей и сбрасывателей (в том числе электрический сбрасыватель), доводятся два типа </w:t>
      </w:r>
      <w:proofErr w:type="spellStart"/>
      <w:r w:rsidRPr="007122AB">
        <w:rPr>
          <w:rFonts w:ascii="Times New Roman" w:hAnsi="Times New Roman"/>
          <w:color w:val="000000" w:themeColor="text1"/>
          <w:sz w:val="16"/>
          <w:szCs w:val="16"/>
        </w:rPr>
        <w:t>сверхскорострельного</w:t>
      </w:r>
      <w:proofErr w:type="spellEnd"/>
      <w:r w:rsidRPr="007122AB">
        <w:rPr>
          <w:rFonts w:ascii="Times New Roman" w:hAnsi="Times New Roman"/>
          <w:color w:val="000000" w:themeColor="text1"/>
          <w:sz w:val="16"/>
          <w:szCs w:val="16"/>
        </w:rPr>
        <w:t xml:space="preserve"> и одного типа </w:t>
      </w:r>
      <w:proofErr w:type="spellStart"/>
      <w:r w:rsidRPr="007122AB">
        <w:rPr>
          <w:rFonts w:ascii="Times New Roman" w:hAnsi="Times New Roman"/>
          <w:color w:val="000000" w:themeColor="text1"/>
          <w:sz w:val="16"/>
          <w:szCs w:val="16"/>
        </w:rPr>
        <w:t>крупнокалиберн</w:t>
      </w:r>
      <w:proofErr w:type="spellEnd"/>
      <w:r w:rsidRPr="007122AB">
        <w:rPr>
          <w:rFonts w:ascii="Times New Roman" w:hAnsi="Times New Roman"/>
          <w:color w:val="000000" w:themeColor="text1"/>
          <w:sz w:val="16"/>
          <w:szCs w:val="16"/>
        </w:rPr>
        <w:t xml:space="preserve">. пулеметов, 4 типа бомбардировочного прицела, 2 типа стрелковых прицелов, радиомаячная станция, новый тип самолетной станции и аэродромная радиостанция. Кроме того строится 9 образцов коротковолновых и 2 образца ультракоротковолновых самолетных рации и некоторые другие приспособления для радио. По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производятся образцы вращающегося аэромаяка, потолочный прожектор, оборудование для ночных полетов с гидроаэродромов, авиационные свечи. В постройке образцы для автоматического управления самолетом, с доведением до беспилотного управления по радио, акустические взрыватели и некоторые другие работы в области телемеханики. Построен вариант геликоптера (ЦАГТ) и винта с переменным шагом (</w:t>
      </w:r>
      <w:proofErr w:type="spellStart"/>
      <w:r w:rsidRPr="007122AB">
        <w:rPr>
          <w:rFonts w:ascii="Times New Roman" w:hAnsi="Times New Roman"/>
          <w:color w:val="000000" w:themeColor="text1"/>
          <w:sz w:val="16"/>
          <w:szCs w:val="16"/>
        </w:rPr>
        <w:t>Вирджили</w:t>
      </w:r>
      <w:proofErr w:type="spellEnd"/>
      <w:r w:rsidRPr="007122AB">
        <w:rPr>
          <w:rFonts w:ascii="Times New Roman" w:hAnsi="Times New Roman"/>
          <w:color w:val="000000" w:themeColor="text1"/>
          <w:sz w:val="16"/>
          <w:szCs w:val="16"/>
        </w:rPr>
        <w:t>).</w:t>
      </w:r>
    </w:p>
    <w:p w14:paraId="7A259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Ход реализации тех. помощи по существующим договорам, своей медлительностью обесценивает значение технической помощи. Самолет тип Хейнкель (НД43-БМВVI) до сих пор не вышел и выйдет с опозданием от образца лицензии на 5 лет.</w:t>
      </w:r>
    </w:p>
    <w:p w14:paraId="10642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Образцы, находящиеся в стадии расчетов и чертежного конструирования.</w:t>
      </w:r>
    </w:p>
    <w:p w14:paraId="6E7BC7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стадии расчетов находятся: 6 типов самолетов, из которых один является опытом тяжелой морской машины (МТБ3), 5 типов моторов (М19а, М38, М44, М32, М35), в т.ч. под тяжелое топливо, наддув и редуктор. Проект аэростата с баллонетом (вместо изменяющегося объема), лебедка для аэростатов наблюдения (взамен устаревшей), прицелы для ночного бомбометания, для торпедометания, вливания ОВ, прицелы с гироскопической вертикалью, ряд бомбодержателей, в т.ч. несколько кассетных, держатели для химаппаратуры, дымовые бомбы, 20 и 37 мм самолетные пушки, новый вариант крупнокалиберного пулемета, новый тип самолетной рации, противошумные микрофоны, прибор для автоматического корректирования </w:t>
      </w:r>
      <w:proofErr w:type="spellStart"/>
      <w:r w:rsidRPr="007122AB">
        <w:rPr>
          <w:rFonts w:ascii="Times New Roman" w:hAnsi="Times New Roman"/>
          <w:color w:val="000000" w:themeColor="text1"/>
          <w:sz w:val="16"/>
          <w:szCs w:val="16"/>
        </w:rPr>
        <w:t>артстрельбы</w:t>
      </w:r>
      <w:proofErr w:type="spellEnd"/>
      <w:r w:rsidRPr="007122AB">
        <w:rPr>
          <w:rFonts w:ascii="Times New Roman" w:hAnsi="Times New Roman"/>
          <w:color w:val="000000" w:themeColor="text1"/>
          <w:sz w:val="16"/>
          <w:szCs w:val="16"/>
        </w:rPr>
        <w:t>, 3 типа фотоаппаратов, самолетная фотолаборатория, около 15 вариантов приспособлений для ночных полетов, приборы для управления на расстоянии и начало работ по передаче рисунков с самолета на землю.</w:t>
      </w:r>
    </w:p>
    <w:p w14:paraId="1DA368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Неудачи и невыполнение некоторых поставленных заданий по перевооружению (2969).</w:t>
      </w:r>
    </w:p>
    <w:p w14:paraId="20EB0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Гидросамолеты свои только что выходят. Опытное моторостроение отстало от современных требований и принятый Реввоенсоветом план выполнением не обеспечен. Отставание уже определилось. Возникли трудно преодолимые затруднения с топливом для моторов современного типа (высокого сжатия). Отстали работы над нефтяными моторами. Построенные оригинальные образцы аэростатов оказались негодными. Изготовление лебедки для аэростатов заграждения опаздывает на несколько месяцев. Не установлено производство троса для аэростатов. Не обеспечено снабжение водородными баллонами. Два типа стрелковых прицелов, построенных </w:t>
      </w:r>
      <w:proofErr w:type="spellStart"/>
      <w:r w:rsidRPr="007122AB">
        <w:rPr>
          <w:rFonts w:ascii="Times New Roman" w:hAnsi="Times New Roman"/>
          <w:color w:val="000000" w:themeColor="text1"/>
          <w:sz w:val="16"/>
          <w:szCs w:val="16"/>
        </w:rPr>
        <w:t>ВООМП"ом</w:t>
      </w:r>
      <w:proofErr w:type="spellEnd"/>
      <w:r w:rsidRPr="007122AB">
        <w:rPr>
          <w:rFonts w:ascii="Times New Roman" w:hAnsi="Times New Roman"/>
          <w:color w:val="000000" w:themeColor="text1"/>
          <w:sz w:val="16"/>
          <w:szCs w:val="16"/>
        </w:rPr>
        <w:t xml:space="preserve"> оказались неудовлетворительными. Скорострельный и крупнокалиберный пулеметы не вышли в сроки. По авиационным бомбам план выполнен на 45-50%. Как правило, промышленность сроков изготовления образцов вооружения не выполняет. По рациям план промышленности ни в опытном строительстве, ни в серии в срок не выполнен. Опытный образец автоматического фотоаппарата запроектирован в 1927 году, поступил 13 марта 1931 года. Задерживается изготовление фотообъективов из-за отсутствия сырья для стекла, хотя это сырье экспортируется.</w:t>
      </w:r>
    </w:p>
    <w:p w14:paraId="73F5FA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Задачи, над решением которых надо сосредоточить все усилия в текущем году (план работ) с учетом достижений и развития техники у вероятных противников.</w:t>
      </w:r>
    </w:p>
    <w:p w14:paraId="3EAABA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Успех самолетостроения (основной элемент вооружения ВВС) полностью зависит от выполнения плана опытного строительства по моторам, поэтому основное - выполнить в сроки М34, М35, М32, М44, закончить винт с переменным шагом, добиться безусловного успеха в наддуве и редукторе, осуществить авиационный мотор под тяжелое топливо.</w:t>
      </w:r>
    </w:p>
    <w:p w14:paraId="36CBB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Установить антидетонирующее топливо. Осуществить прицел для дальней стрельбы с самолета по самолету. Осуществить намеченные в п. "д" объекты, как безусловный минимум: прицел для штурмовиков, для выливания ОВ, для низкого торпедометания, синхронный прицел для легких бомбовозов, гироскопический прицел, прицел для действия дистанционными бомбами, синхронный прицел для тяжелых самолетов. Осуществить основные типы осколочных,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 химических бомб, фугасные бомбы (в т.ч. до 1000 кг), бронебойные (до 1000 кг), химические (25 и 100 кг), зажигательные и варианты взрывателей (мгновенные, с переменным замедлением, с замедлением до 24 час.). Довести ВАП 5. Приспособить торпеду 21" для сбрасывания с самолета.</w:t>
      </w:r>
    </w:p>
    <w:p w14:paraId="40761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Научные силы и технические кадры с точки зрения требования развития вооружения.</w:t>
      </w:r>
    </w:p>
    <w:p w14:paraId="0D495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Промышленность слабо использует научные институты, даже при содействии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Как правило, специалисты по делу вооружения комплектуются из состава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что ослабляет технические кадры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и не обеспечивает промышленность. Специалистов по вооружению ВВС приходится готовить кустарным способом. ВВА потребность не покрывает и некоторых специалистов не имеет вовсе. В своей работе ВВС опираются на десятки специальных учреждений, что все же не обеспечивает необходимого успеха, вследствие недостатка тех. сил. По фотомеханике специалистов нигде не готовится: это дело в стадии организации.</w:t>
      </w:r>
    </w:p>
    <w:p w14:paraId="5184B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Предложения.</w:t>
      </w:r>
    </w:p>
    <w:p w14:paraId="6BB78A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ВСНХ:</w:t>
      </w:r>
    </w:p>
    <w:p w14:paraId="7B58B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Пересмотреть с приглашением представителей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план развития алюминиевой и стальной промышленности, с целью повышения количества добываемого алюминия до удовлетворения нужд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и получения в нужном количестве высокосортной стали и обеспечения производства входящих в сплавы стали ванадия, молибдена, ферросилиция и т.п.</w:t>
      </w:r>
    </w:p>
    <w:p w14:paraId="15792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Обязать ВАО немедленно и полностью обеспечить Институт авиамоторостроения строительством, оборудованием и личным составом, как это было намечено планом развития ИАМ в целях безусловного выполнения утвержденного Реввоенсоветом плана моторостроения в срок.</w:t>
      </w:r>
    </w:p>
    <w:p w14:paraId="63C00F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Обязать объединения промышленности, работающие на оборону, развернуть опытные разделы до размеров, обеспечивающих выполнение плана опытного строительства предметов военного назначения (особенно в области вооружения).</w:t>
      </w:r>
    </w:p>
    <w:p w14:paraId="5A17C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органы опытного строительства доводить образец до полной готовности до передачи в серию и принимать непосредственное участие в работе внедрения образца в серию.</w:t>
      </w:r>
    </w:p>
    <w:p w14:paraId="5DF7E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Обратить особое внимание на работу бюро авиастроительства при Моб. План. Секторе ВСНХ в области освобождения военной промышленности от импортной зависимости.</w:t>
      </w:r>
    </w:p>
    <w:p w14:paraId="0B71CC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Пересмотреть вопрос обеспечения ВВС топливом, в частности развить деятельность по изысканию антидетонаторов и </w:t>
      </w:r>
      <w:proofErr w:type="spellStart"/>
      <w:r w:rsidRPr="007122AB">
        <w:rPr>
          <w:rFonts w:ascii="Times New Roman" w:hAnsi="Times New Roman"/>
          <w:color w:val="000000" w:themeColor="text1"/>
          <w:sz w:val="16"/>
          <w:szCs w:val="16"/>
        </w:rPr>
        <w:t>недетонирующих</w:t>
      </w:r>
      <w:proofErr w:type="spellEnd"/>
      <w:r w:rsidRPr="007122AB">
        <w:rPr>
          <w:rFonts w:ascii="Times New Roman" w:hAnsi="Times New Roman"/>
          <w:color w:val="000000" w:themeColor="text1"/>
          <w:sz w:val="16"/>
          <w:szCs w:val="16"/>
        </w:rPr>
        <w:t xml:space="preserve"> топлив.</w:t>
      </w:r>
    </w:p>
    <w:p w14:paraId="27AD80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Создать базу для изготовления авиационной фотоаппаратуры и </w:t>
      </w:r>
      <w:proofErr w:type="spellStart"/>
      <w:r w:rsidRPr="007122AB">
        <w:rPr>
          <w:rFonts w:ascii="Times New Roman" w:hAnsi="Times New Roman"/>
          <w:color w:val="000000" w:themeColor="text1"/>
          <w:sz w:val="16"/>
          <w:szCs w:val="16"/>
        </w:rPr>
        <w:t>фотохимикатов</w:t>
      </w:r>
      <w:proofErr w:type="spellEnd"/>
      <w:r w:rsidRPr="007122AB">
        <w:rPr>
          <w:rFonts w:ascii="Times New Roman" w:hAnsi="Times New Roman"/>
          <w:color w:val="000000" w:themeColor="text1"/>
          <w:sz w:val="16"/>
          <w:szCs w:val="16"/>
        </w:rPr>
        <w:t>.</w:t>
      </w:r>
    </w:p>
    <w:p w14:paraId="461E62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Обязать ВТО приступить к изготовлению из советского хлопка основ для баллонной материи и изготовления парашютов.</w:t>
      </w:r>
    </w:p>
    <w:p w14:paraId="16A2A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Обязать ВЭО: а) обеспечить производственной базой изготовление авиационного электрооборудования (самолетного и земного), предметов телемеханики.</w:t>
      </w:r>
    </w:p>
    <w:p w14:paraId="79FF2C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Немедленно приступить к осуществлению электро-</w:t>
      </w:r>
      <w:proofErr w:type="spellStart"/>
      <w:r w:rsidRPr="007122AB">
        <w:rPr>
          <w:rFonts w:ascii="Times New Roman" w:hAnsi="Times New Roman"/>
          <w:color w:val="000000" w:themeColor="text1"/>
          <w:sz w:val="16"/>
          <w:szCs w:val="16"/>
        </w:rPr>
        <w:t>энерционного</w:t>
      </w:r>
      <w:proofErr w:type="spellEnd"/>
      <w:r w:rsidRPr="007122AB">
        <w:rPr>
          <w:rFonts w:ascii="Times New Roman" w:hAnsi="Times New Roman"/>
          <w:color w:val="000000" w:themeColor="text1"/>
          <w:sz w:val="16"/>
          <w:szCs w:val="16"/>
        </w:rPr>
        <w:t xml:space="preserve"> самопуска для авиационных моторов.</w:t>
      </w:r>
    </w:p>
    <w:p w14:paraId="4D4E0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Обеспечить строительством и оборудованием завод "Авиаприбор".</w:t>
      </w:r>
    </w:p>
    <w:p w14:paraId="45FA3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Пересмотреть с военной точки зрения целесообразность нахождения имеющих для обороны большое значение организаций (ВООМП,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и др.) в Ленинграде.(2969,2-8).</w:t>
      </w:r>
    </w:p>
    <w:p w14:paraId="2AC1C7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02D62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2DE509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C764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апреля 1931 г. Амторг заключил с </w:t>
      </w:r>
      <w:proofErr w:type="spellStart"/>
      <w:r w:rsidRPr="007122AB">
        <w:rPr>
          <w:rFonts w:ascii="Times New Roman" w:hAnsi="Times New Roman"/>
          <w:color w:val="000000" w:themeColor="text1"/>
          <w:sz w:val="16"/>
          <w:szCs w:val="16"/>
        </w:rPr>
        <w:t>с</w:t>
      </w:r>
      <w:proofErr w:type="spellEnd"/>
      <w:r w:rsidRPr="007122AB">
        <w:rPr>
          <w:rFonts w:ascii="Times New Roman" w:hAnsi="Times New Roman"/>
          <w:color w:val="000000" w:themeColor="text1"/>
          <w:sz w:val="16"/>
          <w:szCs w:val="16"/>
        </w:rPr>
        <w:t xml:space="preserve"> компанией Форда рамочного договора о технической помощи договор о поставках режущего, контрольно-измерительного и другого специального оборудования. Станки решено было покупать как фордовские (Ford </w:t>
      </w:r>
      <w:proofErr w:type="spellStart"/>
      <w:r w:rsidRPr="007122AB">
        <w:rPr>
          <w:rFonts w:ascii="Times New Roman" w:hAnsi="Times New Roman"/>
          <w:color w:val="000000" w:themeColor="text1"/>
          <w:sz w:val="16"/>
          <w:szCs w:val="16"/>
        </w:rPr>
        <w:t>make</w:t>
      </w:r>
      <w:proofErr w:type="spellEnd"/>
      <w:r w:rsidRPr="007122AB">
        <w:rPr>
          <w:rFonts w:ascii="Times New Roman" w:hAnsi="Times New Roman"/>
          <w:color w:val="000000" w:themeColor="text1"/>
          <w:sz w:val="16"/>
          <w:szCs w:val="16"/>
        </w:rPr>
        <w:t xml:space="preserve">), так и полученные этой компанией от других поставщиков, или непосредственно у них, если это обойдётся дешевле. В общей сложности завод получил оборудование от 102 американских фирм, включая </w:t>
      </w:r>
      <w:proofErr w:type="spellStart"/>
      <w:r w:rsidRPr="007122AB">
        <w:rPr>
          <w:rFonts w:ascii="Times New Roman" w:hAnsi="Times New Roman"/>
          <w:color w:val="000000" w:themeColor="text1"/>
          <w:sz w:val="16"/>
          <w:szCs w:val="16"/>
        </w:rPr>
        <w:t>Bullard</w:t>
      </w:r>
      <w:proofErr w:type="spellEnd"/>
      <w:r w:rsidRPr="007122AB">
        <w:rPr>
          <w:rFonts w:ascii="Times New Roman" w:hAnsi="Times New Roman"/>
          <w:color w:val="000000" w:themeColor="text1"/>
          <w:sz w:val="16"/>
          <w:szCs w:val="16"/>
        </w:rPr>
        <w:t xml:space="preserve"> Company, </w:t>
      </w:r>
      <w:proofErr w:type="spellStart"/>
      <w:r w:rsidRPr="007122AB">
        <w:rPr>
          <w:rFonts w:ascii="Times New Roman" w:hAnsi="Times New Roman"/>
          <w:color w:val="000000" w:themeColor="text1"/>
          <w:sz w:val="16"/>
          <w:szCs w:val="16"/>
        </w:rPr>
        <w:t>Ingersoll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Milling</w:t>
      </w:r>
      <w:proofErr w:type="spellEnd"/>
      <w:r w:rsidRPr="007122AB">
        <w:rPr>
          <w:rFonts w:ascii="Times New Roman" w:hAnsi="Times New Roman"/>
          <w:color w:val="000000" w:themeColor="text1"/>
          <w:sz w:val="16"/>
          <w:szCs w:val="16"/>
        </w:rPr>
        <w:t xml:space="preserve"> Company и др. Но и это не всё: по решению советского правительства часть заказов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перенесли в Европу, и к августу 1931 г. из 4650 единиц импортного оборудования 2350 было из США и 2300 из Европы, а 550 единиц поставили советские предприятия.</w:t>
      </w:r>
    </w:p>
    <w:p w14:paraId="5D6AA8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Технологическую и строительную часть проекта крупнейшего в Европе Сталинградского тракторного завода выполнили американские компании International </w:t>
      </w:r>
      <w:proofErr w:type="spellStart"/>
      <w:r w:rsidRPr="007122AB">
        <w:rPr>
          <w:rFonts w:ascii="Times New Roman" w:hAnsi="Times New Roman"/>
          <w:color w:val="000000" w:themeColor="text1"/>
          <w:sz w:val="16"/>
          <w:szCs w:val="16"/>
        </w:rPr>
        <w:t>Harvester</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Albert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Kahn</w:t>
      </w:r>
      <w:proofErr w:type="spellEnd"/>
      <w:r w:rsidRPr="007122AB">
        <w:rPr>
          <w:rFonts w:ascii="Times New Roman" w:hAnsi="Times New Roman"/>
          <w:color w:val="000000" w:themeColor="text1"/>
          <w:sz w:val="16"/>
          <w:szCs w:val="16"/>
        </w:rPr>
        <w:t>, Inc., и 90% его оборудования поставили более 100 машиностроительных фирм США. Наверное, не многие россияне знают, что завод этот был построен под Чикаго, потом демонтирован и перевезён в Сталинград. В годы Второй мировой войны уже по ленд-лизу в Москву доставили фордовский шинный завод, а в Куйбышеве, Гурьеве, Орске, Красноводске разместились американские нефтеперерабатывающие предприятия.</w:t>
      </w:r>
    </w:p>
    <w:p w14:paraId="5FC89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Архитектурно-строительная фирма Альберта Кана, строившая автомобильные, тракторные и авиационные заводы в США, спроектировала для СССР несколько сот промышленных объектов. Архитектор Кан стал ведущим зарубежным консультантом по промышленному строительству. Несколько фирм занимались проектированием новых шахт, поставляли оборудование для бумажных комбинатов, а одна из компаний рокфеллеровской группы, Standard Oil </w:t>
      </w:r>
      <w:proofErr w:type="spellStart"/>
      <w:r w:rsidRPr="007122AB">
        <w:rPr>
          <w:rFonts w:ascii="Times New Roman" w:hAnsi="Times New Roman"/>
          <w:color w:val="000000" w:themeColor="text1"/>
          <w:sz w:val="16"/>
          <w:szCs w:val="16"/>
        </w:rPr>
        <w:t>of</w:t>
      </w:r>
      <w:proofErr w:type="spellEnd"/>
      <w:r w:rsidRPr="007122AB">
        <w:rPr>
          <w:rFonts w:ascii="Times New Roman" w:hAnsi="Times New Roman"/>
          <w:color w:val="000000" w:themeColor="text1"/>
          <w:sz w:val="16"/>
          <w:szCs w:val="16"/>
        </w:rPr>
        <w:t xml:space="preserve"> New York, участвовала в строительстве предприятий нефтяной промышленности в районе Баку — Грозный — Батуми — Туапсе. Техническая помощь использовалась в области приборостроения, навигационных устройств, телефонной связи и даже постройки часовых заводов.</w:t>
      </w:r>
    </w:p>
    <w:p w14:paraId="2D447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Иногда заключение договоров о техпомощи с одной и той же хорошо зарекомендовавшей себя фирмой продолжалось, а их роль не сводилась к пересылке технической документации и оборудования. Иностранное участие имело свою социальную сторону, которая заключалась в консультировании и обучении советских рабочих, инженеров и техников как в СССР, так и в самих компаниях. Всё это объединялось советскими заказчиками в понятие «</w:t>
      </w:r>
      <w:proofErr w:type="spellStart"/>
      <w:r w:rsidRPr="007122AB">
        <w:rPr>
          <w:rFonts w:ascii="Times New Roman" w:hAnsi="Times New Roman"/>
          <w:color w:val="000000" w:themeColor="text1"/>
          <w:sz w:val="16"/>
          <w:szCs w:val="16"/>
        </w:rPr>
        <w:t>инотехпомощь</w:t>
      </w:r>
      <w:proofErr w:type="spellEnd"/>
      <w:r w:rsidRPr="007122AB">
        <w:rPr>
          <w:rFonts w:ascii="Times New Roman" w:hAnsi="Times New Roman"/>
          <w:color w:val="000000" w:themeColor="text1"/>
          <w:sz w:val="16"/>
          <w:szCs w:val="16"/>
        </w:rPr>
        <w:t>», так что пресловутый технологический фактор следует понимать достаточно широко (11520).</w:t>
      </w:r>
    </w:p>
    <w:p w14:paraId="36D3ED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41EF1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B7E37B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2B88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апреля 1931 первый боевой вылет против туркменских кочевников совершил командир 35-го отряда А.И. </w:t>
      </w:r>
      <w:proofErr w:type="spellStart"/>
      <w:r w:rsidRPr="007122AB">
        <w:rPr>
          <w:rFonts w:ascii="Times New Roman" w:hAnsi="Times New Roman"/>
          <w:color w:val="000000" w:themeColor="text1"/>
          <w:sz w:val="16"/>
          <w:szCs w:val="16"/>
        </w:rPr>
        <w:t>Калюжнов</w:t>
      </w:r>
      <w:proofErr w:type="spellEnd"/>
      <w:r w:rsidRPr="007122AB">
        <w:rPr>
          <w:rFonts w:ascii="Times New Roman" w:hAnsi="Times New Roman"/>
          <w:color w:val="000000" w:themeColor="text1"/>
          <w:sz w:val="16"/>
          <w:szCs w:val="16"/>
        </w:rPr>
        <w:t xml:space="preserve"> утром. Но в ходе разведки удалось обнаружить только пасущийся скот. Позже в тот же день встретили и первых басмачей. Около 20 конников спускались в долину, при появлении самолета они рассеялись.</w:t>
      </w:r>
    </w:p>
    <w:p w14:paraId="3527F7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следующий день сбросили первые бомбы на небольшие группы численностью до 50 человек. 10 апреля у кишлака </w:t>
      </w:r>
      <w:proofErr w:type="spellStart"/>
      <w:r w:rsidRPr="007122AB">
        <w:rPr>
          <w:rFonts w:ascii="Times New Roman" w:hAnsi="Times New Roman"/>
          <w:color w:val="000000" w:themeColor="text1"/>
          <w:sz w:val="16"/>
          <w:szCs w:val="16"/>
        </w:rPr>
        <w:t>Шурга</w:t>
      </w:r>
      <w:proofErr w:type="spellEnd"/>
      <w:r w:rsidRPr="007122AB">
        <w:rPr>
          <w:rFonts w:ascii="Times New Roman" w:hAnsi="Times New Roman"/>
          <w:color w:val="000000" w:themeColor="text1"/>
          <w:sz w:val="16"/>
          <w:szCs w:val="16"/>
        </w:rPr>
        <w:t xml:space="preserve"> обнаружили банду уже в 200 сабель. Ее атаковало звено Р-ЗЛД.</w:t>
      </w:r>
    </w:p>
    <w:p w14:paraId="59402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апреля летчики впервые попали под ответный огонь с земли. Басмачи обстреляли самолеты Мищенко и Недо- </w:t>
      </w:r>
      <w:proofErr w:type="spellStart"/>
      <w:r w:rsidRPr="007122AB">
        <w:rPr>
          <w:rFonts w:ascii="Times New Roman" w:hAnsi="Times New Roman"/>
          <w:color w:val="000000" w:themeColor="text1"/>
          <w:sz w:val="16"/>
          <w:szCs w:val="16"/>
        </w:rPr>
        <w:t>секина</w:t>
      </w:r>
      <w:proofErr w:type="spellEnd"/>
      <w:r w:rsidRPr="007122AB">
        <w:rPr>
          <w:rFonts w:ascii="Times New Roman" w:hAnsi="Times New Roman"/>
          <w:color w:val="000000" w:themeColor="text1"/>
          <w:sz w:val="16"/>
          <w:szCs w:val="16"/>
        </w:rPr>
        <w:t>.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0E249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2DE4B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w:t>
      </w:r>
      <w:proofErr w:type="spellStart"/>
      <w:r w:rsidRPr="007122AB">
        <w:rPr>
          <w:rFonts w:ascii="Times New Roman" w:hAnsi="Times New Roman"/>
          <w:color w:val="000000" w:themeColor="text1"/>
          <w:sz w:val="16"/>
          <w:szCs w:val="16"/>
        </w:rPr>
        <w:t>басмшайкой</w:t>
      </w:r>
      <w:proofErr w:type="spellEnd"/>
      <w:r w:rsidRPr="007122AB">
        <w:rPr>
          <w:rFonts w:ascii="Times New Roman" w:hAnsi="Times New Roman"/>
          <w:color w:val="000000" w:themeColor="text1"/>
          <w:sz w:val="16"/>
          <w:szCs w:val="16"/>
        </w:rPr>
        <w:t>,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39C4AC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49188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4DD974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5B3B25" w14:textId="77777777" w:rsidR="00921BBD" w:rsidRPr="007122AB" w:rsidRDefault="00921BB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8F8D64F" w14:textId="77777777" w:rsidR="00921BBD" w:rsidRPr="007122AB" w:rsidRDefault="00921B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423C56"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апреля 1931 г. вышла Инструкция Центрального комитета профсоюзов и Наркомата снабжения, согласно которой рабочие-ударники пользовались преимуществом при снабжении продуктами питания и потребительскими товарами, а также при культурном обслуживании и предоставлении жилплощади. Профком предприятия совместно с администрацией обязан был составить список рабочих-ударников. Дополнительно к продовольственной карточке те получали карточку рабочего-ударника, действовавшую в течение месяца. При невыполнении производственного задания или нарушении трудовой дисциплины ее могли досрочно изъять{993}.Таким путем создавали материальный стимул для участия в «социалистическом соревновании», в итоге возник привилегированный слой, чей жизненный </w:t>
      </w:r>
      <w:r w:rsidRPr="007122AB">
        <w:rPr>
          <w:rFonts w:ascii="Times New Roman" w:hAnsi="Times New Roman"/>
          <w:color w:val="000000" w:themeColor="text1"/>
          <w:sz w:val="16"/>
          <w:szCs w:val="16"/>
        </w:rPr>
        <w:lastRenderedPageBreak/>
        <w:t>уровень заметно выделялся на общем фоне жизни рабочих, и этот слой подходил на роль инструмента повышения производительности труда и стабилизации иерархической системы на внутризаводском уровне{994}.</w:t>
      </w:r>
    </w:p>
    <w:p w14:paraId="01118C75" w14:textId="77777777" w:rsidR="00921BBD" w:rsidRPr="007122AB" w:rsidRDefault="00921B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г. к привилегированным лицам относился также руководящий персонал предприятия, «специалисты». Им предоставлены были преимущественные права как при снабжении товарами, так и при распределении жилого фонда. Особые отделы для специалистов действовали в закрытых распределителях. У них имелись свои столовые и магазины, которые лучше снабжались{995} (18299).</w:t>
      </w:r>
    </w:p>
    <w:p w14:paraId="1946167C" w14:textId="77777777" w:rsidR="00921BBD" w:rsidRPr="007122AB" w:rsidRDefault="00921BBD" w:rsidP="007122AB">
      <w:pPr>
        <w:spacing w:after="0" w:line="240" w:lineRule="auto"/>
        <w:jc w:val="both"/>
        <w:rPr>
          <w:rFonts w:ascii="Times New Roman" w:hAnsi="Times New Roman"/>
          <w:color w:val="000000" w:themeColor="text1"/>
          <w:sz w:val="16"/>
          <w:szCs w:val="16"/>
        </w:rPr>
      </w:pPr>
    </w:p>
    <w:p w14:paraId="3BF184E8" w14:textId="699DDA23" w:rsidR="004D3FB2" w:rsidRDefault="004D3FB2"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67036B26" w14:textId="77777777" w:rsidR="004D3FB2" w:rsidRDefault="004D3FB2"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9327CDB" w14:textId="07488156"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7 апреля </w:t>
      </w:r>
      <w:r>
        <w:rPr>
          <w:rFonts w:ascii="Times New Roman" w:hAnsi="Times New Roman"/>
          <w:color w:val="0070C0"/>
          <w:sz w:val="16"/>
          <w:szCs w:val="16"/>
        </w:rPr>
        <w:t>1931 г.</w:t>
      </w:r>
      <w:r w:rsidRPr="00441F34">
        <w:rPr>
          <w:rFonts w:ascii="Times New Roman" w:hAnsi="Times New Roman"/>
          <w:color w:val="0070C0"/>
          <w:sz w:val="16"/>
          <w:szCs w:val="16"/>
        </w:rPr>
        <w:t xml:space="preserve">  Винклер запустил HW-1</w:t>
      </w:r>
      <w:r>
        <w:rPr>
          <w:rFonts w:ascii="Times New Roman" w:hAnsi="Times New Roman"/>
          <w:color w:val="0070C0"/>
          <w:sz w:val="16"/>
          <w:szCs w:val="16"/>
        </w:rPr>
        <w:t xml:space="preserve"> </w:t>
      </w:r>
      <w:r w:rsidRPr="00441F34">
        <w:rPr>
          <w:rFonts w:ascii="Times New Roman" w:hAnsi="Times New Roman"/>
          <w:color w:val="0070C0"/>
          <w:sz w:val="16"/>
          <w:szCs w:val="16"/>
        </w:rPr>
        <w:t>— с  длинными стабилизаторами, закругленными вверху. Оба испытания прошли не вполне удачно (23372).</w:t>
      </w:r>
    </w:p>
    <w:p w14:paraId="70EC8E2F" w14:textId="77777777" w:rsidR="004D3FB2" w:rsidRPr="00441F34" w:rsidRDefault="004D3FB2" w:rsidP="004D3FB2">
      <w:pPr>
        <w:spacing w:after="0" w:line="240" w:lineRule="auto"/>
        <w:jc w:val="both"/>
        <w:rPr>
          <w:rFonts w:ascii="Times New Roman" w:hAnsi="Times New Roman"/>
          <w:color w:val="0070C0"/>
          <w:sz w:val="16"/>
          <w:szCs w:val="16"/>
        </w:rPr>
      </w:pPr>
    </w:p>
    <w:p w14:paraId="30D94C72" w14:textId="3B848C34"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B5675A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EBC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апреля 1931 г. дата присвоения опознавательного знака с литерой "Н" - СССР-Н1 - Дорнье "Валь", зав. № 130, моторы - 2 BMW-6.Первоначальный владелец воздушного судна - </w:t>
      </w:r>
      <w:proofErr w:type="spellStart"/>
      <w:r w:rsidRPr="007122AB">
        <w:rPr>
          <w:rFonts w:ascii="Times New Roman" w:hAnsi="Times New Roman"/>
          <w:color w:val="000000" w:themeColor="text1"/>
          <w:sz w:val="16"/>
          <w:szCs w:val="16"/>
        </w:rPr>
        <w:t>Комсеверпуть</w:t>
      </w:r>
      <w:proofErr w:type="spellEnd"/>
      <w:r w:rsidRPr="007122AB">
        <w:rPr>
          <w:rFonts w:ascii="Times New Roman" w:hAnsi="Times New Roman"/>
          <w:color w:val="000000" w:themeColor="text1"/>
          <w:sz w:val="16"/>
          <w:szCs w:val="16"/>
        </w:rPr>
        <w:t>. Первоначальное название "Комсеверпуть-1". Самолет итальянской постройки, дата приемки - 14.09.28 г. Полеты в Арктике начал в 1929 г. (11955).</w:t>
      </w:r>
    </w:p>
    <w:p w14:paraId="15BB8A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BB59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апреля 1931 г. дата присвоения опознавательного знака с литерой "Н" - СССР-Н2 - Дорнье "Валь", зав. № 142, моторы - 2 BMW-6. Первоначальный владелец воздушного судна - </w:t>
      </w:r>
      <w:proofErr w:type="spellStart"/>
      <w:r w:rsidRPr="007122AB">
        <w:rPr>
          <w:rFonts w:ascii="Times New Roman" w:hAnsi="Times New Roman"/>
          <w:color w:val="000000" w:themeColor="text1"/>
          <w:sz w:val="16"/>
          <w:szCs w:val="16"/>
        </w:rPr>
        <w:t>Комсеверпуть</w:t>
      </w:r>
      <w:proofErr w:type="spellEnd"/>
      <w:r w:rsidRPr="007122AB">
        <w:rPr>
          <w:rFonts w:ascii="Times New Roman" w:hAnsi="Times New Roman"/>
          <w:color w:val="000000" w:themeColor="text1"/>
          <w:sz w:val="16"/>
          <w:szCs w:val="16"/>
        </w:rPr>
        <w:t xml:space="preserve">. Первоначальное название "Комсеверпуть-2". 19 апреля 1933 г. в связи с реорганизацией Ком- </w:t>
      </w:r>
      <w:proofErr w:type="spellStart"/>
      <w:r w:rsidRPr="007122AB">
        <w:rPr>
          <w:rFonts w:ascii="Times New Roman" w:hAnsi="Times New Roman"/>
          <w:color w:val="000000" w:themeColor="text1"/>
          <w:sz w:val="16"/>
          <w:szCs w:val="16"/>
        </w:rPr>
        <w:t>северпути</w:t>
      </w:r>
      <w:proofErr w:type="spellEnd"/>
      <w:r w:rsidRPr="007122AB">
        <w:rPr>
          <w:rFonts w:ascii="Times New Roman" w:hAnsi="Times New Roman"/>
          <w:color w:val="000000" w:themeColor="text1"/>
          <w:sz w:val="16"/>
          <w:szCs w:val="16"/>
        </w:rPr>
        <w:t xml:space="preserve"> в ГУСМП самолет перерегистрирован с тем же опознавательным знаком, но на другого владельца - ГУСМП. Погиб (утонул) 8 сентября 1937 г. во время поисков экипажа </w:t>
      </w:r>
      <w:proofErr w:type="spellStart"/>
      <w:r w:rsidRPr="007122AB">
        <w:rPr>
          <w:rFonts w:ascii="Times New Roman" w:hAnsi="Times New Roman"/>
          <w:color w:val="000000" w:themeColor="text1"/>
          <w:sz w:val="16"/>
          <w:szCs w:val="16"/>
        </w:rPr>
        <w:t>С.А.Леваневского</w:t>
      </w:r>
      <w:proofErr w:type="spellEnd"/>
      <w:r w:rsidRPr="007122AB">
        <w:rPr>
          <w:rFonts w:ascii="Times New Roman" w:hAnsi="Times New Roman"/>
          <w:color w:val="000000" w:themeColor="text1"/>
          <w:sz w:val="16"/>
          <w:szCs w:val="16"/>
        </w:rPr>
        <w:t xml:space="preserve">. Приказом по ГУСМП № 406 от 25 сентября 1938 г. Дорнье "Валь" СССР-Н2 был списан с баланса Енисейской авиагруппы и исключен из списков </w:t>
      </w:r>
      <w:proofErr w:type="spellStart"/>
      <w:r w:rsidRPr="007122AB">
        <w:rPr>
          <w:rFonts w:ascii="Times New Roman" w:hAnsi="Times New Roman"/>
          <w:color w:val="000000" w:themeColor="text1"/>
          <w:sz w:val="16"/>
          <w:szCs w:val="16"/>
        </w:rPr>
        <w:t>самолето</w:t>
      </w:r>
      <w:proofErr w:type="spellEnd"/>
      <w:r w:rsidRPr="007122AB">
        <w:rPr>
          <w:rFonts w:ascii="Times New Roman" w:hAnsi="Times New Roman"/>
          <w:color w:val="000000" w:themeColor="text1"/>
          <w:sz w:val="16"/>
          <w:szCs w:val="16"/>
        </w:rPr>
        <w:t>-моторного парка УПА.(11955).</w:t>
      </w:r>
    </w:p>
    <w:p w14:paraId="6C61DF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D16A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апреля 1931 </w:t>
      </w:r>
      <w:proofErr w:type="spellStart"/>
      <w:r w:rsidRPr="007122AB">
        <w:rPr>
          <w:rFonts w:ascii="Times New Roman" w:hAnsi="Times New Roman"/>
          <w:color w:val="000000" w:themeColor="text1"/>
          <w:sz w:val="16"/>
          <w:szCs w:val="16"/>
        </w:rPr>
        <w:t>даата</w:t>
      </w:r>
      <w:proofErr w:type="spellEnd"/>
      <w:r w:rsidRPr="007122AB">
        <w:rPr>
          <w:rFonts w:ascii="Times New Roman" w:hAnsi="Times New Roman"/>
          <w:color w:val="000000" w:themeColor="text1"/>
          <w:sz w:val="16"/>
          <w:szCs w:val="16"/>
        </w:rPr>
        <w:t xml:space="preserve"> присвоения опознавательного знака с литерой "Н" - СССР-Н3 - Дорнье "Валь", зав. № 143, моторы - 2 BMW-6.Первоначальный владелец воздушного судна - </w:t>
      </w:r>
      <w:proofErr w:type="spellStart"/>
      <w:r w:rsidRPr="007122AB">
        <w:rPr>
          <w:rFonts w:ascii="Times New Roman" w:hAnsi="Times New Roman"/>
          <w:color w:val="000000" w:themeColor="text1"/>
          <w:sz w:val="16"/>
          <w:szCs w:val="16"/>
        </w:rPr>
        <w:t>Комсеверпуть</w:t>
      </w:r>
      <w:proofErr w:type="spellEnd"/>
      <w:r w:rsidRPr="007122AB">
        <w:rPr>
          <w:rFonts w:ascii="Times New Roman" w:hAnsi="Times New Roman"/>
          <w:color w:val="000000" w:themeColor="text1"/>
          <w:sz w:val="16"/>
          <w:szCs w:val="16"/>
        </w:rPr>
        <w:t>. Первоначальное название "Комсеверпуть-3". В 1932 г. СССР-НЗ потерпел катастрофу в районе пролива Маточкин Шар. Дорнье "Валь" "Комсеверпуть-1" с развернутой радиоантенной держит связь с ледоколами. Чудовищная свалка на переднем плане не что иное, как обглоданный волнами "плавник", то есть выброшенные на берег обломки бревен, ставшие следствием вырубки и сплава леса (11955).</w:t>
      </w:r>
    </w:p>
    <w:p w14:paraId="59F40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A8B41D" w14:textId="77777777" w:rsidR="009459B0" w:rsidRPr="007122AB" w:rsidRDefault="009459B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D127017" w14:textId="77777777" w:rsidR="009459B0" w:rsidRPr="007122AB" w:rsidRDefault="009459B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62D4A2" w14:textId="77777777" w:rsidR="009459B0" w:rsidRPr="007122AB" w:rsidRDefault="009459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8 апреля 1931 г.</w:t>
      </w:r>
    </w:p>
    <w:p w14:paraId="5584371F" w14:textId="77777777" w:rsidR="009459B0" w:rsidRPr="007122AB" w:rsidRDefault="009459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 переводе Л. К. Рамзина в одиночную камеру Бутырского изолятора. 8 апреля 1931 г.</w:t>
      </w:r>
    </w:p>
    <w:p w14:paraId="4C438C28" w14:textId="77777777" w:rsidR="009459B0" w:rsidRPr="007122AB" w:rsidRDefault="009459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5664C9F3" w14:textId="77777777" w:rsidR="009459B0" w:rsidRPr="007122AB" w:rsidRDefault="009459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A44CEF" w14:textId="77777777" w:rsidR="009459B0" w:rsidRPr="007122AB" w:rsidRDefault="009459B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1286EFB" w14:textId="77777777" w:rsidR="009459B0" w:rsidRPr="007122AB" w:rsidRDefault="009459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9</w:t>
      </w:r>
    </w:p>
    <w:p w14:paraId="073633EE" w14:textId="77777777" w:rsidR="009459B0" w:rsidRPr="007122AB" w:rsidRDefault="009459B0" w:rsidP="007122AB">
      <w:pPr>
        <w:pStyle w:val="rteright"/>
        <w:spacing w:before="0" w:after="0"/>
        <w:jc w:val="both"/>
        <w:rPr>
          <w:color w:val="000000" w:themeColor="text1"/>
          <w:sz w:val="16"/>
          <w:szCs w:val="16"/>
        </w:rPr>
      </w:pPr>
      <w:r w:rsidRPr="007122AB">
        <w:rPr>
          <w:color w:val="000000" w:themeColor="text1"/>
          <w:sz w:val="16"/>
          <w:szCs w:val="16"/>
        </w:rPr>
        <w:t>8 апреля 1931 г.</w:t>
      </w:r>
    </w:p>
    <w:p w14:paraId="4572F366" w14:textId="77777777" w:rsidR="009459B0" w:rsidRPr="007122AB" w:rsidRDefault="009459B0" w:rsidP="007122AB">
      <w:pPr>
        <w:pStyle w:val="rtecenter"/>
        <w:spacing w:before="0" w:after="0"/>
        <w:jc w:val="both"/>
        <w:rPr>
          <w:color w:val="000000" w:themeColor="text1"/>
          <w:sz w:val="16"/>
          <w:szCs w:val="16"/>
        </w:rPr>
      </w:pPr>
      <w:r w:rsidRPr="007122AB">
        <w:rPr>
          <w:color w:val="000000" w:themeColor="text1"/>
          <w:sz w:val="16"/>
          <w:szCs w:val="16"/>
        </w:rPr>
        <w:t>НАЧ. ВНУТРЕННЕГО ИЗОЛЯТОРА ОГПУ и в ОЦР ОГПУ</w:t>
      </w:r>
    </w:p>
    <w:p w14:paraId="65F06F66" w14:textId="77777777" w:rsidR="009459B0" w:rsidRPr="007122AB" w:rsidRDefault="009459B0" w:rsidP="007122AB">
      <w:pPr>
        <w:pStyle w:val="rtejustify"/>
        <w:spacing w:before="0" w:after="0"/>
        <w:rPr>
          <w:color w:val="000000" w:themeColor="text1"/>
          <w:sz w:val="16"/>
          <w:szCs w:val="16"/>
        </w:rPr>
      </w:pPr>
      <w:r w:rsidRPr="007122AB">
        <w:rPr>
          <w:color w:val="000000" w:themeColor="text1"/>
          <w:sz w:val="16"/>
          <w:szCs w:val="16"/>
        </w:rPr>
        <w:t>ЭКУ ОГПУ просит сделать распоряжение о переводе из Внутреннего изолятора в Бутырский, обязательно в одиночную камеру, осужденного РАМЗИНА Леонида Константиновича.</w:t>
      </w:r>
    </w:p>
    <w:p w14:paraId="53EE8E65" w14:textId="77777777" w:rsidR="009459B0" w:rsidRPr="007122AB" w:rsidRDefault="009459B0" w:rsidP="007122AB">
      <w:pPr>
        <w:pStyle w:val="rtejustify"/>
        <w:spacing w:before="0" w:after="0"/>
        <w:rPr>
          <w:color w:val="000000" w:themeColor="text1"/>
          <w:sz w:val="16"/>
          <w:szCs w:val="16"/>
        </w:rPr>
      </w:pPr>
      <w:r w:rsidRPr="007122AB">
        <w:rPr>
          <w:color w:val="000000" w:themeColor="text1"/>
          <w:sz w:val="16"/>
          <w:szCs w:val="16"/>
        </w:rPr>
        <w:t xml:space="preserve">В Бутырском изоляторе РАМЗИН будет </w:t>
      </w:r>
      <w:proofErr w:type="spellStart"/>
      <w:r w:rsidRPr="007122AB">
        <w:rPr>
          <w:color w:val="000000" w:themeColor="text1"/>
          <w:sz w:val="16"/>
          <w:szCs w:val="16"/>
        </w:rPr>
        <w:t>использовываться</w:t>
      </w:r>
      <w:proofErr w:type="spellEnd"/>
      <w:r w:rsidRPr="007122AB">
        <w:rPr>
          <w:color w:val="000000" w:themeColor="text1"/>
          <w:sz w:val="16"/>
          <w:szCs w:val="16"/>
        </w:rPr>
        <w:t xml:space="preserve"> 5-м отд. ЭКУ ОГПУ в индивидуальном порядке и выводить его в рабочий домик разрешается только в отдельную комнату, изолированную от прочих осужденных и арестованных.</w:t>
      </w:r>
    </w:p>
    <w:p w14:paraId="01D99994" w14:textId="77777777" w:rsidR="009459B0" w:rsidRPr="007122AB" w:rsidRDefault="009459B0" w:rsidP="007122AB">
      <w:pPr>
        <w:pStyle w:val="rtejustify"/>
        <w:spacing w:before="0" w:after="0"/>
        <w:rPr>
          <w:color w:val="000000" w:themeColor="text1"/>
          <w:sz w:val="16"/>
          <w:szCs w:val="16"/>
        </w:rPr>
      </w:pPr>
      <w:r w:rsidRPr="007122AB">
        <w:rPr>
          <w:color w:val="000000" w:themeColor="text1"/>
          <w:sz w:val="16"/>
          <w:szCs w:val="16"/>
        </w:rPr>
        <w:t>РАМЗИНУ разрешаются передачи, свидания, прогулки и пользование литературой.</w:t>
      </w:r>
    </w:p>
    <w:p w14:paraId="13E570ED" w14:textId="77777777" w:rsidR="009459B0" w:rsidRPr="007122AB" w:rsidRDefault="009459B0" w:rsidP="007122AB">
      <w:pPr>
        <w:pStyle w:val="rtejustify"/>
        <w:spacing w:before="0" w:after="0"/>
        <w:rPr>
          <w:color w:val="000000" w:themeColor="text1"/>
          <w:sz w:val="16"/>
          <w:szCs w:val="16"/>
        </w:rPr>
      </w:pPr>
      <w:r w:rsidRPr="007122AB">
        <w:rPr>
          <w:color w:val="000000" w:themeColor="text1"/>
          <w:sz w:val="16"/>
          <w:szCs w:val="16"/>
        </w:rPr>
        <w:t>Все книги, находящиеся в камере РАМЗИНА во внутреннем изоляторе, просим переслать вместе с ним в Бутырский изолятор и разрешить ему пользоваться этими книгами.</w:t>
      </w:r>
    </w:p>
    <w:p w14:paraId="6429E361" w14:textId="77777777" w:rsidR="009459B0" w:rsidRPr="007122AB" w:rsidRDefault="009459B0" w:rsidP="007122AB">
      <w:pPr>
        <w:pStyle w:val="rtejustify"/>
        <w:spacing w:before="0" w:after="0"/>
        <w:rPr>
          <w:color w:val="000000" w:themeColor="text1"/>
          <w:sz w:val="16"/>
          <w:szCs w:val="16"/>
        </w:rPr>
      </w:pPr>
      <w:r w:rsidRPr="007122AB">
        <w:rPr>
          <w:color w:val="000000" w:themeColor="text1"/>
          <w:sz w:val="16"/>
          <w:szCs w:val="16"/>
        </w:rPr>
        <w:t>НАЧ. ЭКУ ОГПУ: (Прокофьев)</w:t>
      </w:r>
    </w:p>
    <w:p w14:paraId="3604E252" w14:textId="77777777" w:rsidR="009459B0" w:rsidRPr="007122AB" w:rsidRDefault="009459B0" w:rsidP="007122AB">
      <w:pPr>
        <w:pStyle w:val="rtejustify"/>
        <w:spacing w:before="0" w:after="0"/>
        <w:rPr>
          <w:color w:val="000000" w:themeColor="text1"/>
          <w:sz w:val="16"/>
          <w:szCs w:val="16"/>
        </w:rPr>
      </w:pPr>
      <w:r w:rsidRPr="007122AB">
        <w:rPr>
          <w:color w:val="000000" w:themeColor="text1"/>
          <w:sz w:val="16"/>
          <w:szCs w:val="16"/>
        </w:rPr>
        <w:t>Нач. 1-го отд. ЭКУ: (Ржавский)</w:t>
      </w:r>
    </w:p>
    <w:p w14:paraId="746B34B5" w14:textId="77777777" w:rsidR="009459B0" w:rsidRPr="007122AB" w:rsidRDefault="009459B0" w:rsidP="007122AB">
      <w:pPr>
        <w:pStyle w:val="rtejustify"/>
        <w:spacing w:before="0" w:after="0"/>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2. Л. 9. Заверенная машинописная копия того времени. Вверху слева написаны от руки дата «8 апреля 1931 г.» и номер документа «№ 265567», справа машинописью «Срочно». Внизу машинописью «ТОРНУЕВ» (слева), по центру от руки «Верно: Ст. </w:t>
      </w:r>
      <w:proofErr w:type="spellStart"/>
      <w:r w:rsidRPr="007122AB">
        <w:rPr>
          <w:rStyle w:val="af0"/>
          <w:i w:val="0"/>
          <w:color w:val="000000" w:themeColor="text1"/>
          <w:sz w:val="16"/>
          <w:szCs w:val="16"/>
        </w:rPr>
        <w:t>Уп</w:t>
      </w:r>
      <w:proofErr w:type="spellEnd"/>
      <w:r w:rsidRPr="007122AB">
        <w:rPr>
          <w:rStyle w:val="af0"/>
          <w:i w:val="0"/>
          <w:color w:val="000000" w:themeColor="text1"/>
          <w:sz w:val="16"/>
          <w:szCs w:val="16"/>
        </w:rPr>
        <w:t>. 1 ЭКУ» (подпись-росчерк, неразборчиво) (19060).</w:t>
      </w:r>
    </w:p>
    <w:p w14:paraId="4FD20A8D" w14:textId="481149D5" w:rsidR="009459B0" w:rsidRPr="007122AB" w:rsidRDefault="009459B0" w:rsidP="007122AB">
      <w:pPr>
        <w:spacing w:after="0" w:line="240" w:lineRule="auto"/>
        <w:jc w:val="both"/>
        <w:rPr>
          <w:rFonts w:ascii="Times New Roman" w:hAnsi="Times New Roman"/>
          <w:color w:val="000000" w:themeColor="text1"/>
          <w:sz w:val="16"/>
          <w:szCs w:val="16"/>
        </w:rPr>
      </w:pPr>
    </w:p>
    <w:p w14:paraId="5A4A5681" w14:textId="29141953" w:rsidR="0076645F" w:rsidRPr="007122AB" w:rsidRDefault="0076645F"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2FD800EA" w14:textId="77777777" w:rsidR="0076645F" w:rsidRPr="007122AB" w:rsidRDefault="0076645F" w:rsidP="007122AB">
      <w:pPr>
        <w:spacing w:after="0" w:line="240" w:lineRule="auto"/>
        <w:jc w:val="both"/>
        <w:rPr>
          <w:rFonts w:ascii="Times New Roman" w:hAnsi="Times New Roman"/>
          <w:i/>
          <w:iCs/>
          <w:color w:val="000000" w:themeColor="text1"/>
          <w:sz w:val="16"/>
          <w:szCs w:val="16"/>
        </w:rPr>
      </w:pPr>
    </w:p>
    <w:p w14:paraId="04D67223"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апреля 1931 Амелия Эрхарт, пролетая на </w:t>
      </w:r>
      <w:proofErr w:type="spellStart"/>
      <w:r w:rsidRPr="007122AB">
        <w:rPr>
          <w:rFonts w:ascii="Times New Roman" w:hAnsi="Times New Roman"/>
          <w:color w:val="000000" w:themeColor="text1"/>
          <w:sz w:val="16"/>
          <w:szCs w:val="16"/>
        </w:rPr>
        <w:t>Pitcairn</w:t>
      </w:r>
      <w:proofErr w:type="spellEnd"/>
      <w:r w:rsidRPr="007122AB">
        <w:rPr>
          <w:rFonts w:ascii="Times New Roman" w:hAnsi="Times New Roman"/>
          <w:color w:val="000000" w:themeColor="text1"/>
          <w:sz w:val="16"/>
          <w:szCs w:val="16"/>
        </w:rPr>
        <w:t xml:space="preserve"> PCA-2 над Уиллоу-Гроув, штат Пенсильвания, устанавливает рекорд высоты для автожира, достигнув 18 415 футов (5613 метров) (20804).</w:t>
      </w:r>
    </w:p>
    <w:p w14:paraId="31E562EF"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47EB94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3A7CF7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CFB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апреля 1931 года состоялся первый полет дирижабля В-1 (командир корабля — В. Л. </w:t>
      </w:r>
      <w:proofErr w:type="spellStart"/>
      <w:r w:rsidRPr="007122AB">
        <w:rPr>
          <w:rFonts w:ascii="Times New Roman" w:hAnsi="Times New Roman"/>
          <w:color w:val="000000" w:themeColor="text1"/>
          <w:sz w:val="16"/>
          <w:szCs w:val="16"/>
        </w:rPr>
        <w:t>Нижевский</w:t>
      </w:r>
      <w:proofErr w:type="spellEnd"/>
      <w:r w:rsidRPr="007122AB">
        <w:rPr>
          <w:rFonts w:ascii="Times New Roman" w:hAnsi="Times New Roman"/>
          <w:color w:val="000000" w:themeColor="text1"/>
          <w:sz w:val="16"/>
          <w:szCs w:val="16"/>
        </w:rPr>
        <w:t>).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061775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FF61F5"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апреля в 1931 году первый полет дирижабля "СССР В-1", прослужившего около 20 лет; Дирижабль получил название «УК-1» (учебный корабль, первый). В 1932 году «УК-1» переименовали в «СССР В-1» (15094).</w:t>
      </w:r>
    </w:p>
    <w:p w14:paraId="7C5DCBAB"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355B4CE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AA1A4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38C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апреля 1931 г. Государственный центральный научно-исследовательский институт цветных металлов "</w:t>
      </w:r>
      <w:proofErr w:type="spellStart"/>
      <w:r w:rsidRPr="007122AB">
        <w:rPr>
          <w:rFonts w:ascii="Times New Roman" w:hAnsi="Times New Roman"/>
          <w:color w:val="000000" w:themeColor="text1"/>
          <w:sz w:val="16"/>
          <w:szCs w:val="16"/>
        </w:rPr>
        <w:t>Гинцветмет</w:t>
      </w:r>
      <w:proofErr w:type="spellEnd"/>
      <w:r w:rsidRPr="007122AB">
        <w:rPr>
          <w:rFonts w:ascii="Times New Roman" w:hAnsi="Times New Roman"/>
          <w:color w:val="000000" w:themeColor="text1"/>
          <w:sz w:val="16"/>
          <w:szCs w:val="16"/>
        </w:rPr>
        <w:t>" переименовывается в Московский государственный институт цветных металлов "</w:t>
      </w:r>
      <w:proofErr w:type="spellStart"/>
      <w:r w:rsidRPr="007122AB">
        <w:rPr>
          <w:rFonts w:ascii="Times New Roman" w:hAnsi="Times New Roman"/>
          <w:color w:val="000000" w:themeColor="text1"/>
          <w:sz w:val="16"/>
          <w:szCs w:val="16"/>
        </w:rPr>
        <w:t>Мосгинцветмет</w:t>
      </w:r>
      <w:proofErr w:type="spellEnd"/>
      <w:r w:rsidRPr="007122AB">
        <w:rPr>
          <w:rFonts w:ascii="Times New Roman" w:hAnsi="Times New Roman"/>
          <w:color w:val="000000" w:themeColor="text1"/>
          <w:sz w:val="16"/>
          <w:szCs w:val="16"/>
        </w:rPr>
        <w:t>";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w:t>
      </w:r>
      <w:proofErr w:type="spellStart"/>
      <w:r w:rsidRPr="007122AB">
        <w:rPr>
          <w:rFonts w:ascii="Times New Roman" w:hAnsi="Times New Roman"/>
          <w:color w:val="000000" w:themeColor="text1"/>
          <w:sz w:val="16"/>
          <w:szCs w:val="16"/>
        </w:rPr>
        <w:t>Цгинцветмет</w:t>
      </w:r>
      <w:proofErr w:type="spellEnd"/>
      <w:r w:rsidRPr="007122AB">
        <w:rPr>
          <w:rFonts w:ascii="Times New Roman" w:hAnsi="Times New Roman"/>
          <w:color w:val="000000" w:themeColor="text1"/>
          <w:sz w:val="16"/>
          <w:szCs w:val="16"/>
        </w:rPr>
        <w:t>"; 25 марта 1942 г. - в Государственный научно-исследовательский и производственный институт цветных металлов "</w:t>
      </w:r>
      <w:proofErr w:type="spellStart"/>
      <w:r w:rsidRPr="007122AB">
        <w:rPr>
          <w:rFonts w:ascii="Times New Roman" w:hAnsi="Times New Roman"/>
          <w:color w:val="000000" w:themeColor="text1"/>
          <w:sz w:val="16"/>
          <w:szCs w:val="16"/>
        </w:rPr>
        <w:t>Гинцветмет</w:t>
      </w:r>
      <w:proofErr w:type="spellEnd"/>
      <w:r w:rsidRPr="007122AB">
        <w:rPr>
          <w:rFonts w:ascii="Times New Roman" w:hAnsi="Times New Roman"/>
          <w:color w:val="000000" w:themeColor="text1"/>
          <w:sz w:val="16"/>
          <w:szCs w:val="16"/>
        </w:rPr>
        <w:t>"; 21 марта 1946 г. - в Государственный научно-исследовательский институт цветных металлов "</w:t>
      </w:r>
      <w:proofErr w:type="spellStart"/>
      <w:r w:rsidRPr="007122AB">
        <w:rPr>
          <w:rFonts w:ascii="Times New Roman" w:hAnsi="Times New Roman"/>
          <w:color w:val="000000" w:themeColor="text1"/>
          <w:sz w:val="16"/>
          <w:szCs w:val="16"/>
        </w:rPr>
        <w:t>Гинцветмет</w:t>
      </w:r>
      <w:proofErr w:type="spellEnd"/>
      <w:r w:rsidRPr="007122AB">
        <w:rPr>
          <w:rFonts w:ascii="Times New Roman" w:hAnsi="Times New Roman"/>
          <w:color w:val="000000" w:themeColor="text1"/>
          <w:sz w:val="16"/>
          <w:szCs w:val="16"/>
        </w:rPr>
        <w:t xml:space="preserve">". Приказом Государственного научно-экономического совета </w:t>
      </w:r>
      <w:proofErr w:type="spellStart"/>
      <w:r w:rsidRPr="007122AB">
        <w:rPr>
          <w:rFonts w:ascii="Times New Roman" w:hAnsi="Times New Roman"/>
          <w:color w:val="000000" w:themeColor="text1"/>
          <w:sz w:val="16"/>
          <w:szCs w:val="16"/>
        </w:rPr>
        <w:t>Совета</w:t>
      </w:r>
      <w:proofErr w:type="spellEnd"/>
      <w:r w:rsidRPr="007122AB">
        <w:rPr>
          <w:rFonts w:ascii="Times New Roman" w:hAnsi="Times New Roman"/>
          <w:color w:val="000000" w:themeColor="text1"/>
          <w:sz w:val="16"/>
          <w:szCs w:val="16"/>
        </w:rPr>
        <w:t xml:space="preserve"> Министров СССР от 12 сентября 1960 г. при институте организовано СКВ тяжелых цветных металлов на самостоятельном балансе (12102).</w:t>
      </w:r>
    </w:p>
    <w:p w14:paraId="7BC9483A" w14:textId="77777777" w:rsidR="005F6639" w:rsidRPr="007122AB" w:rsidRDefault="005F6639" w:rsidP="007122AB">
      <w:pPr>
        <w:spacing w:after="0" w:line="240" w:lineRule="auto"/>
        <w:jc w:val="both"/>
        <w:rPr>
          <w:rStyle w:val="a7"/>
          <w:rFonts w:ascii="Times New Roman" w:hAnsi="Times New Roman"/>
          <w:b w:val="0"/>
          <w:color w:val="000000" w:themeColor="text1"/>
          <w:sz w:val="16"/>
          <w:szCs w:val="16"/>
        </w:rPr>
      </w:pPr>
    </w:p>
    <w:p w14:paraId="73E4E1F6"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9 апреля 1931 </w:t>
      </w:r>
      <w:r w:rsidRPr="007122AB">
        <w:rPr>
          <w:rFonts w:ascii="Times New Roman" w:hAnsi="Times New Roman"/>
          <w:color w:val="000000" w:themeColor="text1"/>
          <w:sz w:val="16"/>
          <w:szCs w:val="16"/>
        </w:rPr>
        <w:t>ЦИК и СНК приняли постановление «О введении в действие положения об изобретениях и технических усовершенствованиях» (12265).</w:t>
      </w:r>
    </w:p>
    <w:p w14:paraId="2EBD952D"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3A10AE1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CF3CB4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C92B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 апреля по 12 июля 1931 года проходили испытания самолета ДИ3 БМВ VI – опытный экземпляр постройки ЦКБ завода № 39 № 17115</w:t>
      </w:r>
    </w:p>
    <w:p w14:paraId="039FFB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получен на испытания – 10 апреля 1931 года</w:t>
      </w:r>
    </w:p>
    <w:p w14:paraId="2B814C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окончены – 12 июля 1931 года</w:t>
      </w:r>
    </w:p>
    <w:p w14:paraId="1A57F8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число дней – 92</w:t>
      </w:r>
    </w:p>
    <w:p w14:paraId="3BDD07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летал – 24 дня</w:t>
      </w:r>
    </w:p>
    <w:p w14:paraId="296535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36 с налетом 28, 5 часов</w:t>
      </w:r>
    </w:p>
    <w:p w14:paraId="2ACAE1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43B0A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28185A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495924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D3AE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 ап</w:t>
      </w:r>
      <w:r w:rsidRPr="007122AB">
        <w:rPr>
          <w:rFonts w:ascii="Times New Roman" w:hAnsi="Times New Roman"/>
          <w:color w:val="000000" w:themeColor="text1"/>
          <w:sz w:val="16"/>
          <w:szCs w:val="16"/>
        </w:rPr>
        <w:softHyphen/>
        <w:t>реля по 12 июля 1931 г. велись Государственные испы</w:t>
      </w:r>
      <w:r w:rsidRPr="007122AB">
        <w:rPr>
          <w:rFonts w:ascii="Times New Roman" w:hAnsi="Times New Roman"/>
          <w:color w:val="000000" w:themeColor="text1"/>
          <w:sz w:val="16"/>
          <w:szCs w:val="16"/>
        </w:rPr>
        <w:softHyphen/>
        <w:t>тания Д-3 в НИИ ВВС. Выяснилось, что самолет не удовлетворяет тактико-техниче</w:t>
      </w:r>
      <w:r w:rsidRPr="007122AB">
        <w:rPr>
          <w:rFonts w:ascii="Times New Roman" w:hAnsi="Times New Roman"/>
          <w:color w:val="000000" w:themeColor="text1"/>
          <w:sz w:val="16"/>
          <w:szCs w:val="16"/>
        </w:rPr>
        <w:softHyphen/>
        <w:t>ским требованиям как по максимальным скоростям на всех высотах, так и по скоро</w:t>
      </w:r>
      <w:r w:rsidRPr="007122AB">
        <w:rPr>
          <w:rFonts w:ascii="Times New Roman" w:hAnsi="Times New Roman"/>
          <w:color w:val="000000" w:themeColor="text1"/>
          <w:sz w:val="16"/>
          <w:szCs w:val="16"/>
        </w:rPr>
        <w:softHyphen/>
        <w:t>подъемности, и вообще практически по всем летным характеристикам уступает самолету Д-2. В управлении ДИ-3 оказался строгой машиной, не позволял полет с бро</w:t>
      </w:r>
      <w:r w:rsidRPr="007122AB">
        <w:rPr>
          <w:rFonts w:ascii="Times New Roman" w:hAnsi="Times New Roman"/>
          <w:color w:val="000000" w:themeColor="text1"/>
          <w:sz w:val="16"/>
          <w:szCs w:val="16"/>
        </w:rPr>
        <w:softHyphen/>
        <w:t>шенной ручкой. Оборонительная турель ЦКБ была признана неудачной.</w:t>
      </w:r>
    </w:p>
    <w:p w14:paraId="02EA1F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итоге ДИ-3 не рекомендовали к мас</w:t>
      </w:r>
      <w:r w:rsidRPr="007122AB">
        <w:rPr>
          <w:rFonts w:ascii="Times New Roman" w:hAnsi="Times New Roman"/>
          <w:color w:val="000000" w:themeColor="text1"/>
          <w:sz w:val="16"/>
          <w:szCs w:val="16"/>
        </w:rPr>
        <w:softHyphen/>
        <w:t>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w:t>
      </w:r>
      <w:r w:rsidRPr="007122AB">
        <w:rPr>
          <w:rFonts w:ascii="Times New Roman" w:hAnsi="Times New Roman"/>
          <w:color w:val="000000" w:themeColor="text1"/>
          <w:sz w:val="16"/>
          <w:szCs w:val="16"/>
        </w:rPr>
        <w:softHyphen/>
        <w:t>ный ДИ-3 был оборудован застекленной кабиной и использовался как связной са</w:t>
      </w:r>
      <w:r w:rsidRPr="007122AB">
        <w:rPr>
          <w:rFonts w:ascii="Times New Roman" w:hAnsi="Times New Roman"/>
          <w:color w:val="000000" w:themeColor="text1"/>
          <w:sz w:val="16"/>
          <w:szCs w:val="16"/>
        </w:rPr>
        <w:softHyphen/>
        <w:t>молет.</w:t>
      </w:r>
    </w:p>
    <w:p w14:paraId="6ABE99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Летные и технические характеристики самолета ДИ-3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002C3" w:rsidRPr="007122AB" w14:paraId="1329DCD1" w14:textId="77777777">
        <w:tc>
          <w:tcPr>
            <w:tcW w:w="4788" w:type="dxa"/>
            <w:tcBorders>
              <w:top w:val="single" w:sz="12" w:space="0" w:color="auto"/>
            </w:tcBorders>
            <w:shd w:val="clear" w:color="auto" w:fill="FFFFFF"/>
          </w:tcPr>
          <w:p w14:paraId="2D0E9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248EB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7,8</w:t>
            </w:r>
          </w:p>
        </w:tc>
      </w:tr>
      <w:tr w:rsidR="001002C3" w:rsidRPr="007122AB" w14:paraId="458A6D69" w14:textId="77777777">
        <w:tc>
          <w:tcPr>
            <w:tcW w:w="4788" w:type="dxa"/>
            <w:shd w:val="clear" w:color="auto" w:fill="FFFFFF"/>
          </w:tcPr>
          <w:p w14:paraId="4808E8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верхнего крыла (м)</w:t>
            </w:r>
          </w:p>
        </w:tc>
        <w:tc>
          <w:tcPr>
            <w:tcW w:w="4788" w:type="dxa"/>
            <w:shd w:val="clear" w:color="auto" w:fill="FFFFFF"/>
          </w:tcPr>
          <w:p w14:paraId="18BA7E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11,8</w:t>
            </w:r>
          </w:p>
        </w:tc>
      </w:tr>
      <w:tr w:rsidR="001002C3" w:rsidRPr="007122AB" w14:paraId="7FFE6A0D" w14:textId="77777777">
        <w:tc>
          <w:tcPr>
            <w:tcW w:w="4788" w:type="dxa"/>
            <w:shd w:val="clear" w:color="auto" w:fill="FFFFFF"/>
          </w:tcPr>
          <w:p w14:paraId="6A9441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нижнего крыла (м)</w:t>
            </w:r>
          </w:p>
        </w:tc>
        <w:tc>
          <w:tcPr>
            <w:tcW w:w="4788" w:type="dxa"/>
            <w:shd w:val="clear" w:color="auto" w:fill="FFFFFF"/>
          </w:tcPr>
          <w:p w14:paraId="5498AB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5,55</w:t>
            </w:r>
          </w:p>
        </w:tc>
      </w:tr>
      <w:tr w:rsidR="001002C3" w:rsidRPr="007122AB" w14:paraId="47CC4979" w14:textId="77777777">
        <w:tc>
          <w:tcPr>
            <w:tcW w:w="4788" w:type="dxa"/>
            <w:shd w:val="clear" w:color="auto" w:fill="FFFFFF"/>
          </w:tcPr>
          <w:p w14:paraId="5E3777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крыльев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4788" w:type="dxa"/>
            <w:shd w:val="clear" w:color="auto" w:fill="FFFFFF"/>
          </w:tcPr>
          <w:p w14:paraId="110354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30,1</w:t>
            </w:r>
          </w:p>
        </w:tc>
      </w:tr>
      <w:tr w:rsidR="001002C3" w:rsidRPr="007122AB" w14:paraId="0F07F796" w14:textId="77777777">
        <w:tc>
          <w:tcPr>
            <w:tcW w:w="4788" w:type="dxa"/>
            <w:shd w:val="clear" w:color="auto" w:fill="FFFFFF"/>
          </w:tcPr>
          <w:p w14:paraId="032B84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4788" w:type="dxa"/>
            <w:shd w:val="clear" w:color="auto" w:fill="FFFFFF"/>
          </w:tcPr>
          <w:p w14:paraId="37889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1487</w:t>
            </w:r>
          </w:p>
        </w:tc>
      </w:tr>
      <w:tr w:rsidR="001002C3" w:rsidRPr="007122AB" w14:paraId="784A0F9E" w14:textId="77777777">
        <w:tc>
          <w:tcPr>
            <w:tcW w:w="4788" w:type="dxa"/>
            <w:shd w:val="clear" w:color="auto" w:fill="FFFFFF"/>
          </w:tcPr>
          <w:p w14:paraId="3FB1E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полетный (кг)</w:t>
            </w:r>
          </w:p>
        </w:tc>
        <w:tc>
          <w:tcPr>
            <w:tcW w:w="4788" w:type="dxa"/>
            <w:shd w:val="clear" w:color="auto" w:fill="FFFFFF"/>
          </w:tcPr>
          <w:p w14:paraId="26071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2122</w:t>
            </w:r>
          </w:p>
        </w:tc>
      </w:tr>
      <w:tr w:rsidR="001002C3" w:rsidRPr="007122AB" w14:paraId="30CBC2A2" w14:textId="77777777">
        <w:tc>
          <w:tcPr>
            <w:tcW w:w="4788" w:type="dxa"/>
            <w:shd w:val="clear" w:color="auto" w:fill="FFFFFF"/>
          </w:tcPr>
          <w:p w14:paraId="4C4612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4788" w:type="dxa"/>
            <w:shd w:val="clear" w:color="auto" w:fill="FFFFFF"/>
          </w:tcPr>
          <w:p w14:paraId="3732B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70,5</w:t>
            </w:r>
          </w:p>
        </w:tc>
      </w:tr>
      <w:tr w:rsidR="001002C3" w:rsidRPr="007122AB" w14:paraId="350E795F" w14:textId="77777777">
        <w:tc>
          <w:tcPr>
            <w:tcW w:w="4788" w:type="dxa"/>
            <w:shd w:val="clear" w:color="auto" w:fill="FFFFFF"/>
          </w:tcPr>
          <w:p w14:paraId="13F68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у земли (км/час)</w:t>
            </w:r>
          </w:p>
        </w:tc>
        <w:tc>
          <w:tcPr>
            <w:tcW w:w="4788" w:type="dxa"/>
            <w:shd w:val="clear" w:color="auto" w:fill="FFFFFF"/>
          </w:tcPr>
          <w:p w14:paraId="74492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256</w:t>
            </w:r>
          </w:p>
        </w:tc>
      </w:tr>
      <w:tr w:rsidR="001002C3" w:rsidRPr="007122AB" w14:paraId="338DBA08" w14:textId="77777777">
        <w:tc>
          <w:tcPr>
            <w:tcW w:w="4788" w:type="dxa"/>
            <w:shd w:val="clear" w:color="auto" w:fill="FFFFFF"/>
          </w:tcPr>
          <w:p w14:paraId="0752F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3000 м (км/час)</w:t>
            </w:r>
          </w:p>
        </w:tc>
        <w:tc>
          <w:tcPr>
            <w:tcW w:w="4788" w:type="dxa"/>
            <w:shd w:val="clear" w:color="auto" w:fill="FFFFFF"/>
          </w:tcPr>
          <w:p w14:paraId="161B62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243</w:t>
            </w:r>
          </w:p>
        </w:tc>
      </w:tr>
      <w:tr w:rsidR="001002C3" w:rsidRPr="007122AB" w14:paraId="72D5BE4B" w14:textId="77777777">
        <w:tc>
          <w:tcPr>
            <w:tcW w:w="4788" w:type="dxa"/>
            <w:shd w:val="clear" w:color="auto" w:fill="FFFFFF"/>
          </w:tcPr>
          <w:p w14:paraId="5F26A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5000м(км/час)</w:t>
            </w:r>
          </w:p>
        </w:tc>
        <w:tc>
          <w:tcPr>
            <w:tcW w:w="4788" w:type="dxa"/>
            <w:shd w:val="clear" w:color="auto" w:fill="FFFFFF"/>
          </w:tcPr>
          <w:p w14:paraId="686B2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212</w:t>
            </w:r>
          </w:p>
        </w:tc>
      </w:tr>
      <w:tr w:rsidR="001002C3" w:rsidRPr="007122AB" w14:paraId="3916183F" w14:textId="77777777">
        <w:tc>
          <w:tcPr>
            <w:tcW w:w="4788" w:type="dxa"/>
            <w:shd w:val="clear" w:color="auto" w:fill="FFFFFF"/>
          </w:tcPr>
          <w:p w14:paraId="0CF22B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высоты 5000 м (мин)</w:t>
            </w:r>
          </w:p>
        </w:tc>
        <w:tc>
          <w:tcPr>
            <w:tcW w:w="4788" w:type="dxa"/>
            <w:shd w:val="clear" w:color="auto" w:fill="FFFFFF"/>
          </w:tcPr>
          <w:p w14:paraId="4174CE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17,5</w:t>
            </w:r>
          </w:p>
        </w:tc>
      </w:tr>
      <w:tr w:rsidR="001002C3" w:rsidRPr="007122AB" w14:paraId="445789F7" w14:textId="77777777">
        <w:tc>
          <w:tcPr>
            <w:tcW w:w="4788" w:type="dxa"/>
            <w:shd w:val="clear" w:color="auto" w:fill="FFFFFF"/>
          </w:tcPr>
          <w:p w14:paraId="1FACED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 (м)</w:t>
            </w:r>
          </w:p>
        </w:tc>
        <w:tc>
          <w:tcPr>
            <w:tcW w:w="4788" w:type="dxa"/>
            <w:shd w:val="clear" w:color="auto" w:fill="FFFFFF"/>
          </w:tcPr>
          <w:p w14:paraId="481E0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6300</w:t>
            </w:r>
          </w:p>
        </w:tc>
      </w:tr>
      <w:tr w:rsidR="001002C3" w:rsidRPr="007122AB" w14:paraId="0181D9DA" w14:textId="77777777">
        <w:tc>
          <w:tcPr>
            <w:tcW w:w="4788" w:type="dxa"/>
            <w:tcBorders>
              <w:bottom w:val="single" w:sz="12" w:space="0" w:color="auto"/>
            </w:tcBorders>
            <w:shd w:val="clear" w:color="auto" w:fill="FFFFFF"/>
          </w:tcPr>
          <w:p w14:paraId="6D549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виража на 1000 м (сек)</w:t>
            </w:r>
          </w:p>
        </w:tc>
        <w:tc>
          <w:tcPr>
            <w:tcW w:w="4788" w:type="dxa"/>
            <w:tcBorders>
              <w:bottom w:val="single" w:sz="12" w:space="0" w:color="auto"/>
            </w:tcBorders>
            <w:shd w:val="clear" w:color="auto" w:fill="FFFFFF"/>
          </w:tcPr>
          <w:p w14:paraId="627D7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13,1 (11134).</w:t>
            </w:r>
          </w:p>
        </w:tc>
      </w:tr>
    </w:tbl>
    <w:p w14:paraId="6D8F20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B6065"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 апреля по 12 июля 1931 г. велись Государственные испытания ДИ-3 в НИИ ВВС.</w:t>
      </w:r>
    </w:p>
    <w:p w14:paraId="490DD8A2"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Признавалось, что самолет не удовлетво</w:t>
      </w:r>
      <w:r w:rsidRPr="007122AB">
        <w:rPr>
          <w:rFonts w:ascii="Times New Roman" w:hAnsi="Times New Roman"/>
          <w:color w:val="000000" w:themeColor="text1"/>
          <w:sz w:val="16"/>
          <w:szCs w:val="16"/>
        </w:rPr>
        <w:softHyphen/>
        <w:t>ряет тактико-техническим требованиям: как по максимальным скоростям на всех высо</w:t>
      </w:r>
      <w:r w:rsidRPr="007122AB">
        <w:rPr>
          <w:rFonts w:ascii="Times New Roman" w:hAnsi="Times New Roman"/>
          <w:color w:val="000000" w:themeColor="text1"/>
          <w:sz w:val="16"/>
          <w:szCs w:val="16"/>
        </w:rPr>
        <w:softHyphen/>
        <w:t>тах, так и по скороподъемности. Практиче</w:t>
      </w:r>
      <w:r w:rsidRPr="007122AB">
        <w:rPr>
          <w:rFonts w:ascii="Times New Roman" w:hAnsi="Times New Roman"/>
          <w:color w:val="000000" w:themeColor="text1"/>
          <w:sz w:val="16"/>
          <w:szCs w:val="16"/>
        </w:rPr>
        <w:softHyphen/>
        <w:t>ски по всем летным характеристикам уступа-</w:t>
      </w:r>
      <w:r w:rsidRPr="007122AB">
        <w:rPr>
          <w:rStyle w:val="MicrosoftSansSerif"/>
          <w:rFonts w:ascii="Times New Roman" w:hAnsi="Times New Roman"/>
          <w:i w:val="0"/>
          <w:color w:val="000000" w:themeColor="text1"/>
          <w:spacing w:val="0"/>
          <w:sz w:val="16"/>
          <w:szCs w:val="16"/>
        </w:rPr>
        <w:t xml:space="preserve"> Опытный </w:t>
      </w:r>
      <w:proofErr w:type="spellStart"/>
      <w:r w:rsidRPr="007122AB">
        <w:rPr>
          <w:rStyle w:val="MicrosoftSansSerif"/>
          <w:rFonts w:ascii="Times New Roman" w:hAnsi="Times New Roman"/>
          <w:i w:val="0"/>
          <w:color w:val="000000" w:themeColor="text1"/>
          <w:spacing w:val="0"/>
          <w:sz w:val="16"/>
          <w:szCs w:val="16"/>
        </w:rPr>
        <w:t>двухмест</w:t>
      </w:r>
      <w:proofErr w:type="spellEnd"/>
      <w:r w:rsidRPr="007122AB">
        <w:rPr>
          <w:rStyle w:val="MicrosoftSansSerif"/>
          <w:rFonts w:ascii="Times New Roman" w:hAnsi="Times New Roman"/>
          <w:i w:val="0"/>
          <w:color w:val="000000" w:themeColor="text1"/>
          <w:spacing w:val="0"/>
          <w:sz w:val="16"/>
          <w:szCs w:val="16"/>
        </w:rPr>
        <w:t xml:space="preserve">- </w:t>
      </w:r>
      <w:proofErr w:type="spellStart"/>
      <w:r w:rsidRPr="007122AB">
        <w:rPr>
          <w:rFonts w:ascii="Times New Roman" w:hAnsi="Times New Roman"/>
          <w:color w:val="000000" w:themeColor="text1"/>
          <w:sz w:val="16"/>
          <w:szCs w:val="16"/>
        </w:rPr>
        <w:t>ет</w:t>
      </w:r>
      <w:proofErr w:type="spellEnd"/>
      <w:r w:rsidRPr="007122AB">
        <w:rPr>
          <w:rFonts w:ascii="Times New Roman" w:hAnsi="Times New Roman"/>
          <w:color w:val="000000" w:themeColor="text1"/>
          <w:sz w:val="16"/>
          <w:szCs w:val="16"/>
        </w:rPr>
        <w:t xml:space="preserve"> самолету Д-2. В управлении ДИ-3 </w:t>
      </w:r>
      <w:proofErr w:type="spellStart"/>
      <w:r w:rsidRPr="007122AB">
        <w:rPr>
          <w:rFonts w:ascii="Times New Roman" w:hAnsi="Times New Roman"/>
          <w:color w:val="000000" w:themeColor="text1"/>
          <w:sz w:val="16"/>
          <w:szCs w:val="16"/>
        </w:rPr>
        <w:t>оказалсястрогой</w:t>
      </w:r>
      <w:proofErr w:type="spellEnd"/>
      <w:r w:rsidRPr="007122AB">
        <w:rPr>
          <w:rFonts w:ascii="Times New Roman" w:hAnsi="Times New Roman"/>
          <w:color w:val="000000" w:themeColor="text1"/>
          <w:sz w:val="16"/>
          <w:szCs w:val="16"/>
        </w:rPr>
        <w:t xml:space="preserve"> машиной, самолет не позволял вы-</w:t>
      </w:r>
      <w:r w:rsidRPr="007122AB">
        <w:rPr>
          <w:rStyle w:val="MicrosoftSansSerif"/>
          <w:rFonts w:ascii="Times New Roman" w:hAnsi="Times New Roman"/>
          <w:i w:val="0"/>
          <w:color w:val="000000" w:themeColor="text1"/>
          <w:spacing w:val="0"/>
          <w:sz w:val="16"/>
          <w:szCs w:val="16"/>
        </w:rPr>
        <w:t xml:space="preserve"> ДИ-3 на испытаниях </w:t>
      </w:r>
      <w:proofErr w:type="spellStart"/>
      <w:r w:rsidRPr="007122AB">
        <w:rPr>
          <w:rFonts w:ascii="Times New Roman" w:hAnsi="Times New Roman"/>
          <w:color w:val="000000" w:themeColor="text1"/>
          <w:sz w:val="16"/>
          <w:szCs w:val="16"/>
        </w:rPr>
        <w:t>полнять</w:t>
      </w:r>
      <w:proofErr w:type="spellEnd"/>
      <w:r w:rsidRPr="007122AB">
        <w:rPr>
          <w:rFonts w:ascii="Times New Roman" w:hAnsi="Times New Roman"/>
          <w:color w:val="000000" w:themeColor="text1"/>
          <w:sz w:val="16"/>
          <w:szCs w:val="16"/>
        </w:rPr>
        <w:t xml:space="preserve"> полет с «брошенной ручкой». Оборонительная турель ЦКБ признавалась неу</w:t>
      </w:r>
      <w:r w:rsidRPr="007122AB">
        <w:rPr>
          <w:rFonts w:ascii="Times New Roman" w:hAnsi="Times New Roman"/>
          <w:color w:val="000000" w:themeColor="text1"/>
          <w:sz w:val="16"/>
          <w:szCs w:val="16"/>
        </w:rPr>
        <w:softHyphen/>
        <w:t>дачной.</w:t>
      </w:r>
    </w:p>
    <w:p w14:paraId="333CA5CE"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7122AB">
        <w:rPr>
          <w:rFonts w:ascii="Times New Roman" w:hAnsi="Times New Roman"/>
          <w:color w:val="000000" w:themeColor="text1"/>
          <w:sz w:val="16"/>
          <w:szCs w:val="16"/>
        </w:rPr>
        <w:softHyphen/>
        <w:t>рудован прозрачным фонарем кабины лет</w:t>
      </w:r>
      <w:r w:rsidRPr="007122AB">
        <w:rPr>
          <w:rFonts w:ascii="Times New Roman" w:hAnsi="Times New Roman"/>
          <w:color w:val="000000" w:themeColor="text1"/>
          <w:sz w:val="16"/>
          <w:szCs w:val="16"/>
        </w:rPr>
        <w:softHyphen/>
        <w:t>чиков и использовался как связной самолет (12295).</w:t>
      </w:r>
    </w:p>
    <w:p w14:paraId="38B19957" w14:textId="77777777" w:rsidR="00824AB6" w:rsidRPr="007122AB" w:rsidRDefault="00824AB6" w:rsidP="007122AB">
      <w:pPr>
        <w:pStyle w:val="59"/>
        <w:shd w:val="clear" w:color="auto" w:fill="auto"/>
        <w:spacing w:line="240" w:lineRule="auto"/>
        <w:jc w:val="both"/>
        <w:rPr>
          <w:color w:val="000000" w:themeColor="text1"/>
          <w:szCs w:val="16"/>
        </w:rPr>
      </w:pPr>
      <w:r w:rsidRPr="007122AB">
        <w:rPr>
          <w:rStyle w:val="50pt"/>
          <w:color w:val="000000" w:themeColor="text1"/>
          <w:spacing w:val="0"/>
          <w:szCs w:val="16"/>
        </w:rPr>
        <w:t>Основные технические и летные характеристики ДИ-3</w:t>
      </w:r>
    </w:p>
    <w:tbl>
      <w:tblPr>
        <w:tblW w:w="0" w:type="auto"/>
        <w:tblLayout w:type="fixed"/>
        <w:tblCellMar>
          <w:left w:w="10" w:type="dxa"/>
          <w:right w:w="10" w:type="dxa"/>
        </w:tblCellMar>
        <w:tblLook w:val="0000" w:firstRow="0" w:lastRow="0" w:firstColumn="0" w:lastColumn="0" w:noHBand="0" w:noVBand="0"/>
      </w:tblPr>
      <w:tblGrid>
        <w:gridCol w:w="3942"/>
        <w:gridCol w:w="1825"/>
      </w:tblGrid>
      <w:tr w:rsidR="001002C3" w:rsidRPr="007122AB" w14:paraId="64CF67C6" w14:textId="77777777" w:rsidTr="00BB323F">
        <w:trPr>
          <w:trHeight w:val="252"/>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10547FB7"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Длина в линии полета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14B4528B"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7,8</w:t>
            </w:r>
          </w:p>
        </w:tc>
      </w:tr>
      <w:tr w:rsidR="001002C3" w:rsidRPr="007122AB" w14:paraId="423E8878"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03CD0980"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Размах верхнего крыла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BF21C8F"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11,8</w:t>
            </w:r>
          </w:p>
        </w:tc>
      </w:tr>
      <w:tr w:rsidR="001002C3" w:rsidRPr="007122AB" w14:paraId="4FE6308D" w14:textId="77777777" w:rsidTr="00BB323F">
        <w:trPr>
          <w:trHeight w:val="234"/>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74063A6F"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Размах нижнего крыла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DFCA22C"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5,55</w:t>
            </w:r>
          </w:p>
        </w:tc>
      </w:tr>
      <w:tr w:rsidR="001002C3" w:rsidRPr="007122AB" w14:paraId="035084EB"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CE15E66"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Площадь крыльев (м</w:t>
            </w:r>
            <w:r w:rsidRPr="007122AB">
              <w:rPr>
                <w:rFonts w:ascii="Times New Roman" w:hAnsi="Times New Roman" w:cs="Times New Roman"/>
                <w:b w:val="0"/>
                <w:color w:val="000000" w:themeColor="text1"/>
                <w:sz w:val="16"/>
                <w:szCs w:val="16"/>
                <w:vertAlign w:val="superscript"/>
              </w:rPr>
              <w:t>:</w:t>
            </w:r>
            <w:r w:rsidRPr="007122AB">
              <w:rPr>
                <w:rFonts w:ascii="Times New Roman" w:hAnsi="Times New Roman" w:cs="Times New Roman"/>
                <w:b w:val="0"/>
                <w:color w:val="000000" w:themeColor="text1"/>
                <w:sz w:val="16"/>
                <w:szCs w:val="16"/>
              </w:rPr>
              <w:t>)</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7CEF4C56"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30,1</w:t>
            </w:r>
          </w:p>
        </w:tc>
      </w:tr>
      <w:tr w:rsidR="001002C3" w:rsidRPr="007122AB" w14:paraId="1E09BEA2" w14:textId="77777777" w:rsidTr="00BB323F">
        <w:trPr>
          <w:trHeight w:val="248"/>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307E0A5"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Вес пустого (кг)</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041F968"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1487</w:t>
            </w:r>
          </w:p>
        </w:tc>
      </w:tr>
      <w:tr w:rsidR="001002C3" w:rsidRPr="007122AB" w14:paraId="01E5140F"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76E31B00"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Полетный вес (кг)</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018FBA27"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2122</w:t>
            </w:r>
          </w:p>
        </w:tc>
      </w:tr>
      <w:tr w:rsidR="001002C3" w:rsidRPr="007122AB" w14:paraId="655FC30D" w14:textId="77777777" w:rsidTr="00BB323F">
        <w:trPr>
          <w:trHeight w:val="241"/>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C3F252B"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Нагрузка на крыло (кг/м</w:t>
            </w:r>
            <w:r w:rsidRPr="007122AB">
              <w:rPr>
                <w:rFonts w:ascii="Times New Roman" w:hAnsi="Times New Roman" w:cs="Times New Roman"/>
                <w:b w:val="0"/>
                <w:color w:val="000000" w:themeColor="text1"/>
                <w:sz w:val="16"/>
                <w:szCs w:val="16"/>
                <w:vertAlign w:val="superscript"/>
              </w:rPr>
              <w:t>2</w:t>
            </w:r>
            <w:r w:rsidRPr="007122AB">
              <w:rPr>
                <w:rFonts w:ascii="Times New Roman" w:hAnsi="Times New Roman" w:cs="Times New Roman"/>
                <w:b w:val="0"/>
                <w:color w:val="000000" w:themeColor="text1"/>
                <w:sz w:val="16"/>
                <w:szCs w:val="16"/>
              </w:rPr>
              <w:t>)</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D81BDEC"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70,5</w:t>
            </w:r>
          </w:p>
        </w:tc>
      </w:tr>
      <w:tr w:rsidR="001002C3" w:rsidRPr="007122AB" w14:paraId="22350695"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25CAAC08"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Скорость макс, у земли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B366E5E"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256</w:t>
            </w:r>
          </w:p>
        </w:tc>
      </w:tr>
      <w:tr w:rsidR="001002C3" w:rsidRPr="007122AB" w14:paraId="37A37D87"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674A5479"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Скорость макс, на 3000 м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99797B3"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243</w:t>
            </w:r>
          </w:p>
        </w:tc>
      </w:tr>
      <w:tr w:rsidR="001002C3" w:rsidRPr="007122AB" w14:paraId="4B5B16F4"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1613732C"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Скорость макс, на 5000 м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03360B45"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212</w:t>
            </w:r>
          </w:p>
        </w:tc>
      </w:tr>
      <w:tr w:rsidR="001002C3" w:rsidRPr="007122AB" w14:paraId="21C88FE9"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008C7406"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Время набора 5000 м (мин.)</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74BCB72"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17,5</w:t>
            </w:r>
          </w:p>
        </w:tc>
      </w:tr>
      <w:tr w:rsidR="001002C3" w:rsidRPr="007122AB" w14:paraId="5A4C06F7"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2645A52A"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Практический потолок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58DE1156"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300</w:t>
            </w:r>
          </w:p>
        </w:tc>
      </w:tr>
      <w:tr w:rsidR="001002C3" w:rsidRPr="007122AB" w14:paraId="4266311F" w14:textId="77777777" w:rsidTr="00BB323F">
        <w:trPr>
          <w:trHeight w:val="252"/>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31B4177C"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Время виража на 1000 м (сек.)</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4F5BD25" w14:textId="77777777" w:rsidR="00824AB6" w:rsidRPr="007122AB" w:rsidRDefault="00824AB6"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13,1</w:t>
            </w:r>
          </w:p>
        </w:tc>
      </w:tr>
    </w:tbl>
    <w:p w14:paraId="657755B1"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(12295).</w:t>
      </w:r>
    </w:p>
    <w:p w14:paraId="2E1F4291"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0049714C"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апреля в 1931 году в НИИ ВВС начались государственные испытания (по 12 июля) двухместного истребителя «ДИ-3», 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 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(15095).</w:t>
      </w:r>
    </w:p>
    <w:p w14:paraId="1C8C2211"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2C42999F"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10 апреля по 12 июля 1931 г. на базе НОА ВВС РККА прошли Государственные испытания двухместного истребителя ДИ-3 БМВ-VI разработки ЦКБ-39 – самолет, как и предшествующие этого класса, был забракован, но заинтересованность в таких машинах осталась. Считалось, что их недостатки можно исправить, поскольку они – следствие ошибок при проектировании (23559).</w:t>
      </w:r>
    </w:p>
    <w:p w14:paraId="120C399D" w14:textId="77777777" w:rsidR="004D3FB2" w:rsidRPr="00441F34" w:rsidRDefault="004D3FB2" w:rsidP="004D3FB2">
      <w:pPr>
        <w:spacing w:after="0" w:line="240" w:lineRule="auto"/>
        <w:jc w:val="both"/>
        <w:rPr>
          <w:rFonts w:ascii="Times New Roman" w:hAnsi="Times New Roman"/>
          <w:color w:val="0070C0"/>
          <w:sz w:val="16"/>
          <w:szCs w:val="16"/>
        </w:rPr>
      </w:pPr>
    </w:p>
    <w:p w14:paraId="47039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апреля 1931 года на Центральном аэродроме закончились дополнительные испытаниях лыж к самолету ТБ-1 2М-17, которые проходили с 13 января 1938.</w:t>
      </w:r>
    </w:p>
    <w:p w14:paraId="6F7E0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50589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Лыжи облегченные, конструкции завода N 28.</w:t>
      </w:r>
    </w:p>
    <w:p w14:paraId="70DB5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Лыжи не облегченные конструкции завода N 25.</w:t>
      </w:r>
    </w:p>
    <w:p w14:paraId="29037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произведены с целью:</w:t>
      </w:r>
    </w:p>
    <w:p w14:paraId="05FA1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уточнения результатов</w:t>
      </w:r>
      <w:r w:rsidR="00824AB6"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 xml:space="preserve"> полученных при испытании в зимний период 1929-30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p w14:paraId="66E92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Изыскания мероприятий, облегчающих сдвиг самолета с места и рулежку.</w:t>
      </w:r>
    </w:p>
    <w:p w14:paraId="1AAABE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236466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испытания Центральный аэродром имел твердый укатанный снежный покров, поэтому поведение лыж на глубоком рыхлом снегу не выявлено.</w:t>
      </w:r>
    </w:p>
    <w:p w14:paraId="5DC5B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3FF01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произведенных испытаний НИИ считает, что:</w:t>
      </w:r>
    </w:p>
    <w:p w14:paraId="68DC9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715D6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A0DF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апреля 1931 года начальник технического штаба НВ РККА Янсон писал письмо N 11/22сс Меженинову.</w:t>
      </w:r>
    </w:p>
    <w:p w14:paraId="61A32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настоящее время для ВВС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производит следующие работы:</w:t>
      </w:r>
    </w:p>
    <w:p w14:paraId="4A6E8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67 мм </w:t>
      </w:r>
      <w:proofErr w:type="spellStart"/>
      <w:r w:rsidRPr="007122AB">
        <w:rPr>
          <w:rFonts w:ascii="Times New Roman" w:hAnsi="Times New Roman"/>
          <w:color w:val="000000" w:themeColor="text1"/>
          <w:sz w:val="16"/>
          <w:szCs w:val="16"/>
        </w:rPr>
        <w:t>самозарядн</w:t>
      </w:r>
      <w:proofErr w:type="spellEnd"/>
      <w:r w:rsidRPr="007122AB">
        <w:rPr>
          <w:rFonts w:ascii="Times New Roman" w:hAnsi="Times New Roman"/>
          <w:color w:val="000000" w:themeColor="text1"/>
          <w:sz w:val="16"/>
          <w:szCs w:val="16"/>
        </w:rPr>
        <w:t>. пушки ДРП для И-4 - 2 шт.</w:t>
      </w:r>
    </w:p>
    <w:p w14:paraId="0C5E99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76 мм </w:t>
      </w:r>
      <w:proofErr w:type="spellStart"/>
      <w:r w:rsidRPr="007122AB">
        <w:rPr>
          <w:rFonts w:ascii="Times New Roman" w:hAnsi="Times New Roman"/>
          <w:color w:val="000000" w:themeColor="text1"/>
          <w:sz w:val="16"/>
          <w:szCs w:val="16"/>
        </w:rPr>
        <w:t>автоматическ</w:t>
      </w:r>
      <w:proofErr w:type="spellEnd"/>
      <w:r w:rsidRPr="007122AB">
        <w:rPr>
          <w:rFonts w:ascii="Times New Roman" w:hAnsi="Times New Roman"/>
          <w:color w:val="000000" w:themeColor="text1"/>
          <w:sz w:val="16"/>
          <w:szCs w:val="16"/>
        </w:rPr>
        <w:t>. пушки ДРП для И-12 - 2 шт.</w:t>
      </w:r>
    </w:p>
    <w:p w14:paraId="24430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продолжение работ над пушками ТБ-1 и Р-3 (3505,32).</w:t>
      </w:r>
    </w:p>
    <w:p w14:paraId="3A19AD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3488E6" w14:textId="77777777" w:rsidR="00824AB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Другие оборонные отрасли:</w:t>
      </w:r>
    </w:p>
    <w:p w14:paraId="287485B2" w14:textId="77777777" w:rsidR="00824AB6" w:rsidRPr="007122AB" w:rsidRDefault="00824AB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39C29A"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10 апреля 1931 </w:t>
      </w:r>
      <w:r w:rsidRPr="007122AB">
        <w:rPr>
          <w:rFonts w:ascii="Times New Roman" w:hAnsi="Times New Roman"/>
          <w:color w:val="000000" w:themeColor="text1"/>
          <w:sz w:val="16"/>
          <w:szCs w:val="16"/>
        </w:rPr>
        <w:t>Политбюро ЦК ВКП (б) приняло предложения комиссии о мерах по улучшению качества продукции заводов ВОРЗ; рекомендовало ЦИК наградить «Электрозавод» орденом Ленина за выполнение пятилетки в два с половиной года; обратило внимание Госплана и всех ведомств на необходимость представления в СНК отчетов о работе по составлению планов подготовки кадров на пятилетие и 1931-4932 гг.; предложило Госплану вопрос о разработке пятилетней программы подготовки кадров поставить в связи со второй пятилеткой (12265).</w:t>
      </w:r>
    </w:p>
    <w:p w14:paraId="57EB459E"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7DA96A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7D2D08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976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10 и 16 апреля 1931. Из протокола заседания Политбюро № 33 1931 г.</w:t>
      </w:r>
    </w:p>
    <w:p w14:paraId="05692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порядке выдачи орденов</w:t>
      </w:r>
    </w:p>
    <w:p w14:paraId="2E3FE2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Установить как правило, не допускающее никаких исключений, что все ордена (как-то: "Ленина", "Красной Звезды", "Красного Знамени", "Трудового Знамени" и др.), выдаваемые отдельным лицам, вручаются им председателем ЦИК СССР лично в Москве, с одновременным вручением специальной грамоты и документов о льготах. В случае выдачи коллективных наград (заводам и пр.) выдача эта производится на торжественных собраниях, митингах и т. п. (11652).</w:t>
      </w:r>
    </w:p>
    <w:p w14:paraId="63E684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7B8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10 и 16 апреля 1931. Из протокола заседания Политбюро № 33 1931 г.</w:t>
      </w:r>
    </w:p>
    <w:p w14:paraId="27769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первомайском параде</w:t>
      </w:r>
    </w:p>
    <w:p w14:paraId="0AA2E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Организовать в составе парада три колонны: 1) колонну вооруженных рабочих, 2) колонну комсомольцев в форме </w:t>
      </w:r>
      <w:proofErr w:type="spellStart"/>
      <w:r w:rsidRPr="007122AB">
        <w:rPr>
          <w:rFonts w:ascii="Times New Roman" w:hAnsi="Times New Roman"/>
          <w:color w:val="000000" w:themeColor="text1"/>
          <w:sz w:val="16"/>
          <w:szCs w:val="16"/>
        </w:rPr>
        <w:t>юнгштурма</w:t>
      </w:r>
      <w:proofErr w:type="spellEnd"/>
      <w:r w:rsidRPr="007122AB">
        <w:rPr>
          <w:rFonts w:ascii="Times New Roman" w:hAnsi="Times New Roman"/>
          <w:color w:val="000000" w:themeColor="text1"/>
          <w:sz w:val="16"/>
          <w:szCs w:val="16"/>
        </w:rPr>
        <w:t xml:space="preserve"> и 3) колонну пионеров... (11652).</w:t>
      </w:r>
    </w:p>
    <w:p w14:paraId="25A5C9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2C3B8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FF46BF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DF5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апреля 1931 у кишлака </w:t>
      </w:r>
      <w:proofErr w:type="spellStart"/>
      <w:r w:rsidRPr="007122AB">
        <w:rPr>
          <w:rFonts w:ascii="Times New Roman" w:hAnsi="Times New Roman"/>
          <w:color w:val="000000" w:themeColor="text1"/>
          <w:sz w:val="16"/>
          <w:szCs w:val="16"/>
        </w:rPr>
        <w:t>Шурга</w:t>
      </w:r>
      <w:proofErr w:type="spellEnd"/>
      <w:r w:rsidRPr="007122AB">
        <w:rPr>
          <w:rFonts w:ascii="Times New Roman" w:hAnsi="Times New Roman"/>
          <w:color w:val="000000" w:themeColor="text1"/>
          <w:sz w:val="16"/>
          <w:szCs w:val="16"/>
        </w:rPr>
        <w:t xml:space="preserve"> обнаружили банду уже в 200 сабель. Ее атаковало звено Р-ЗЛД.</w:t>
      </w:r>
    </w:p>
    <w:p w14:paraId="480E00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апреля летчики впервые попали под ответный огонь с земли. Басмачи обстреляли самолеты Мищенко и Недо- </w:t>
      </w:r>
      <w:proofErr w:type="spellStart"/>
      <w:r w:rsidRPr="007122AB">
        <w:rPr>
          <w:rFonts w:ascii="Times New Roman" w:hAnsi="Times New Roman"/>
          <w:color w:val="000000" w:themeColor="text1"/>
          <w:sz w:val="16"/>
          <w:szCs w:val="16"/>
        </w:rPr>
        <w:t>секина</w:t>
      </w:r>
      <w:proofErr w:type="spellEnd"/>
      <w:r w:rsidRPr="007122AB">
        <w:rPr>
          <w:rFonts w:ascii="Times New Roman" w:hAnsi="Times New Roman"/>
          <w:color w:val="000000" w:themeColor="text1"/>
          <w:sz w:val="16"/>
          <w:szCs w:val="16"/>
        </w:rPr>
        <w:t>.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5C2A6E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2D789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w:t>
      </w:r>
      <w:proofErr w:type="spellStart"/>
      <w:r w:rsidRPr="007122AB">
        <w:rPr>
          <w:rFonts w:ascii="Times New Roman" w:hAnsi="Times New Roman"/>
          <w:color w:val="000000" w:themeColor="text1"/>
          <w:sz w:val="16"/>
          <w:szCs w:val="16"/>
        </w:rPr>
        <w:t>басмшайкой</w:t>
      </w:r>
      <w:proofErr w:type="spellEnd"/>
      <w:r w:rsidRPr="007122AB">
        <w:rPr>
          <w:rFonts w:ascii="Times New Roman" w:hAnsi="Times New Roman"/>
          <w:color w:val="000000" w:themeColor="text1"/>
          <w:sz w:val="16"/>
          <w:szCs w:val="16"/>
        </w:rPr>
        <w:t>,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01C2A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236A18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38294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E8230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19596A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C1FC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10 и 16 апреля 1931. Из протокола заседания Политбюро № 33 1931 г.</w:t>
      </w:r>
    </w:p>
    <w:p w14:paraId="26EDA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корреспонденте "Нейе Фрейе Пресс" </w:t>
      </w:r>
    </w:p>
    <w:p w14:paraId="059531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заведомо клеветническое сообщение за границу в "Нейе Фрейе Пресс" о том, что заключенные уголовные преступники якобы работали на лесозаготовках на севере, а потом в связи с кампанией в заграничной печати были якобы переведены с севера в другие места, имеющее целью дать новый "материал" для антисоветской кампании, корреспондента "Нейе Фрейе Пресс" </w:t>
      </w:r>
      <w:proofErr w:type="spellStart"/>
      <w:r w:rsidRPr="007122AB">
        <w:rPr>
          <w:rFonts w:ascii="Times New Roman" w:hAnsi="Times New Roman"/>
          <w:color w:val="000000" w:themeColor="text1"/>
          <w:sz w:val="16"/>
          <w:szCs w:val="16"/>
        </w:rPr>
        <w:t>Бассехеса</w:t>
      </w:r>
      <w:proofErr w:type="spellEnd"/>
      <w:r w:rsidRPr="007122AB">
        <w:rPr>
          <w:rFonts w:ascii="Times New Roman" w:hAnsi="Times New Roman"/>
          <w:color w:val="000000" w:themeColor="text1"/>
          <w:sz w:val="16"/>
          <w:szCs w:val="16"/>
        </w:rPr>
        <w:t xml:space="preserve"> выслать из СССР (11652).</w:t>
      </w:r>
    </w:p>
    <w:p w14:paraId="478A2E5B" w14:textId="05CBC818"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C8044D" w14:textId="3E60B8D3" w:rsidR="0076645F" w:rsidRPr="007122AB" w:rsidRDefault="0076645F"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378D20B3" w14:textId="77777777" w:rsidR="0076645F" w:rsidRPr="007122AB" w:rsidRDefault="0076645F"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0CFCB07"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апреля 1931 CWA </w:t>
      </w:r>
      <w:proofErr w:type="spellStart"/>
      <w:r w:rsidRPr="007122AB">
        <w:rPr>
          <w:rFonts w:ascii="Times New Roman" w:hAnsi="Times New Roman"/>
          <w:color w:val="000000" w:themeColor="text1"/>
          <w:sz w:val="16"/>
          <w:szCs w:val="16"/>
        </w:rPr>
        <w:t>Scott</w:t>
      </w:r>
      <w:proofErr w:type="spellEnd"/>
      <w:r w:rsidRPr="007122AB">
        <w:rPr>
          <w:rFonts w:ascii="Times New Roman" w:hAnsi="Times New Roman"/>
          <w:color w:val="000000" w:themeColor="text1"/>
          <w:sz w:val="16"/>
          <w:szCs w:val="16"/>
        </w:rPr>
        <w:t xml:space="preserve"> побивает рекорд самого быстрого индивидуального перелета из Англии в Австралию, совершив перелет с 1 по 10 апреля за 9 дней 4 часа 11 минут (20804).</w:t>
      </w:r>
    </w:p>
    <w:p w14:paraId="3EAC6C36"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77C034F2"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апреля 1931 - (вылет 1 апреля) британский летчик Чарльз Скотт на самолете DH.60 </w:t>
      </w:r>
      <w:proofErr w:type="spellStart"/>
      <w:r w:rsidRPr="007122AB">
        <w:rPr>
          <w:rFonts w:ascii="Times New Roman" w:hAnsi="Times New Roman"/>
          <w:color w:val="000000" w:themeColor="text1"/>
          <w:sz w:val="16"/>
          <w:szCs w:val="16"/>
        </w:rPr>
        <w:t>Gipsy</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побил рекорд самого быстрого одиночного перелета из Англии в Австралию. Скотт приземлился в Дарвине через 9 дней 4 часа 11 минут после вылета из Англии (22539).</w:t>
      </w:r>
    </w:p>
    <w:p w14:paraId="23BC31B6"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1B212676" w14:textId="77777777" w:rsidR="00824AB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1CD48B1" w14:textId="77777777" w:rsidR="00824AB6" w:rsidRPr="007122AB" w:rsidRDefault="00824AB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6AA79D"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11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52с о расчетах по перевозкам, совершаемым в военное время (ГА РФ. Ф. Р?8418. Оп. 28. Д. 1а. Л. 7?8) (12415).</w:t>
      </w:r>
    </w:p>
    <w:p w14:paraId="65ACE86E"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p>
    <w:p w14:paraId="6BFF29E4"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апреля 1931 на первой Конференции по планированию НИР В.М.М. сказал: «В ближайшее время должны быть проведены определенные организационные меры, способствующие развитию НИР в стране при обеспечении известного единства плана и в этой области. Однако ясно, что, когда мы говорим о необходимости планирования в НИР в целом, мы должны избежать бюрократизации дела». «Бюрократизация дела» предполагала, в том числе, автоматический перенос принципов промышленного планирования на фундаментальные научные исследования (22685).</w:t>
      </w:r>
    </w:p>
    <w:p w14:paraId="36F70F0F"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4CD9B6E5" w14:textId="3E6A3942" w:rsidR="001D074B" w:rsidRDefault="001D074B"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573F90D2" w14:textId="77777777" w:rsidR="001D074B" w:rsidRDefault="001D074B"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C237E0F" w14:textId="77777777" w:rsidR="001D074B" w:rsidRDefault="001D074B" w:rsidP="001D074B">
      <w:pPr>
        <w:spacing w:after="0" w:line="240" w:lineRule="auto"/>
        <w:jc w:val="both"/>
        <w:rPr>
          <w:rFonts w:ascii="Times New Roman" w:hAnsi="Times New Roman"/>
          <w:color w:val="0070C0"/>
          <w:sz w:val="16"/>
          <w:szCs w:val="16"/>
        </w:rPr>
      </w:pPr>
      <w:r>
        <w:rPr>
          <w:rFonts w:ascii="Times New Roman" w:hAnsi="Times New Roman"/>
          <w:color w:val="0070C0"/>
          <w:sz w:val="16"/>
          <w:szCs w:val="16"/>
        </w:rPr>
        <w:t>11 ап</w:t>
      </w:r>
      <w:r w:rsidRPr="009F5089">
        <w:rPr>
          <w:rFonts w:ascii="Times New Roman" w:hAnsi="Times New Roman"/>
          <w:color w:val="0070C0"/>
          <w:sz w:val="16"/>
          <w:szCs w:val="16"/>
        </w:rPr>
        <w:t>реля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л</w:t>
      </w:r>
      <w:r w:rsidRPr="009F5089">
        <w:rPr>
          <w:rFonts w:ascii="Times New Roman" w:hAnsi="Times New Roman"/>
          <w:color w:val="0070C0"/>
          <w:sz w:val="16"/>
          <w:szCs w:val="16"/>
        </w:rPr>
        <w:t>етчик 4</w:t>
      </w:r>
      <w:r>
        <w:rPr>
          <w:rFonts w:ascii="Times New Roman" w:hAnsi="Times New Roman"/>
          <w:color w:val="0070C0"/>
          <w:sz w:val="16"/>
          <w:szCs w:val="16"/>
        </w:rPr>
        <w:t>0</w:t>
      </w:r>
      <w:r w:rsidRPr="009F5089">
        <w:rPr>
          <w:rFonts w:ascii="Times New Roman" w:hAnsi="Times New Roman"/>
          <w:color w:val="0070C0"/>
          <w:sz w:val="16"/>
          <w:szCs w:val="16"/>
        </w:rPr>
        <w:t xml:space="preserve">-го отдельного разведывательного отряда </w:t>
      </w:r>
      <w:r>
        <w:rPr>
          <w:rFonts w:ascii="Times New Roman" w:hAnsi="Times New Roman"/>
          <w:color w:val="0070C0"/>
          <w:sz w:val="16"/>
          <w:szCs w:val="16"/>
        </w:rPr>
        <w:t>Михаил</w:t>
      </w:r>
      <w:r w:rsidRPr="009F5089">
        <w:rPr>
          <w:rFonts w:ascii="Times New Roman" w:hAnsi="Times New Roman"/>
          <w:color w:val="0070C0"/>
          <w:sz w:val="16"/>
          <w:szCs w:val="16"/>
        </w:rPr>
        <w:t xml:space="preserve"> Андреевич </w:t>
      </w:r>
      <w:proofErr w:type="spellStart"/>
      <w:r w:rsidRPr="009F5089">
        <w:rPr>
          <w:rFonts w:ascii="Times New Roman" w:hAnsi="Times New Roman"/>
          <w:color w:val="0070C0"/>
          <w:sz w:val="16"/>
          <w:szCs w:val="16"/>
        </w:rPr>
        <w:t>Плавел</w:t>
      </w:r>
      <w:r>
        <w:rPr>
          <w:rFonts w:ascii="Times New Roman" w:hAnsi="Times New Roman"/>
          <w:color w:val="0070C0"/>
          <w:sz w:val="16"/>
          <w:szCs w:val="16"/>
        </w:rPr>
        <w:t>ь</w:t>
      </w:r>
      <w:r w:rsidRPr="009F5089">
        <w:rPr>
          <w:rFonts w:ascii="Times New Roman" w:hAnsi="Times New Roman"/>
          <w:color w:val="0070C0"/>
          <w:sz w:val="16"/>
          <w:szCs w:val="16"/>
        </w:rPr>
        <w:t>ский</w:t>
      </w:r>
      <w:proofErr w:type="spellEnd"/>
      <w:r w:rsidRPr="009F5089">
        <w:rPr>
          <w:rFonts w:ascii="Times New Roman" w:hAnsi="Times New Roman"/>
          <w:color w:val="0070C0"/>
          <w:sz w:val="16"/>
          <w:szCs w:val="16"/>
        </w:rPr>
        <w:t xml:space="preserve"> вылетел на самолете Р-3 </w:t>
      </w:r>
      <w:r>
        <w:rPr>
          <w:rFonts w:ascii="Times New Roman" w:hAnsi="Times New Roman"/>
          <w:color w:val="0070C0"/>
          <w:sz w:val="16"/>
          <w:szCs w:val="16"/>
        </w:rPr>
        <w:t>из</w:t>
      </w:r>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Дюша</w:t>
      </w:r>
      <w:r>
        <w:rPr>
          <w:rFonts w:ascii="Times New Roman" w:hAnsi="Times New Roman"/>
          <w:color w:val="0070C0"/>
          <w:sz w:val="16"/>
          <w:szCs w:val="16"/>
        </w:rPr>
        <w:t>н</w:t>
      </w:r>
      <w:r w:rsidRPr="009F5089">
        <w:rPr>
          <w:rFonts w:ascii="Times New Roman" w:hAnsi="Times New Roman"/>
          <w:color w:val="0070C0"/>
          <w:sz w:val="16"/>
          <w:szCs w:val="16"/>
        </w:rPr>
        <w:t>бе</w:t>
      </w:r>
      <w:proofErr w:type="spellEnd"/>
      <w:r>
        <w:rPr>
          <w:rFonts w:ascii="Times New Roman" w:hAnsi="Times New Roman"/>
          <w:color w:val="0070C0"/>
          <w:sz w:val="16"/>
          <w:szCs w:val="16"/>
        </w:rPr>
        <w:t xml:space="preserve"> на поиск </w:t>
      </w:r>
      <w:r w:rsidRPr="009F5089">
        <w:rPr>
          <w:rFonts w:ascii="Times New Roman" w:hAnsi="Times New Roman"/>
          <w:color w:val="0070C0"/>
          <w:sz w:val="16"/>
          <w:szCs w:val="16"/>
        </w:rPr>
        <w:t>бас</w:t>
      </w:r>
      <w:r>
        <w:rPr>
          <w:rFonts w:ascii="Times New Roman" w:hAnsi="Times New Roman"/>
          <w:color w:val="0070C0"/>
          <w:sz w:val="16"/>
          <w:szCs w:val="16"/>
        </w:rPr>
        <w:t>ма</w:t>
      </w:r>
      <w:r w:rsidRPr="009F5089">
        <w:rPr>
          <w:rFonts w:ascii="Times New Roman" w:hAnsi="Times New Roman"/>
          <w:color w:val="0070C0"/>
          <w:sz w:val="16"/>
          <w:szCs w:val="16"/>
        </w:rPr>
        <w:t xml:space="preserve">чей </w:t>
      </w:r>
      <w:r>
        <w:rPr>
          <w:rFonts w:ascii="Times New Roman" w:hAnsi="Times New Roman"/>
          <w:color w:val="0070C0"/>
          <w:sz w:val="16"/>
          <w:szCs w:val="16"/>
        </w:rPr>
        <w:t>И</w:t>
      </w:r>
      <w:r w:rsidRPr="009F5089">
        <w:rPr>
          <w:rFonts w:ascii="Times New Roman" w:hAnsi="Times New Roman"/>
          <w:color w:val="0070C0"/>
          <w:sz w:val="16"/>
          <w:szCs w:val="16"/>
        </w:rPr>
        <w:t>брагим-бека,</w:t>
      </w:r>
      <w:r>
        <w:rPr>
          <w:rFonts w:ascii="Times New Roman" w:hAnsi="Times New Roman"/>
          <w:color w:val="0070C0"/>
          <w:sz w:val="16"/>
          <w:szCs w:val="16"/>
        </w:rPr>
        <w:t xml:space="preserve"> </w:t>
      </w:r>
      <w:r w:rsidRPr="009F5089">
        <w:rPr>
          <w:rFonts w:ascii="Times New Roman" w:hAnsi="Times New Roman"/>
          <w:color w:val="0070C0"/>
          <w:sz w:val="16"/>
          <w:szCs w:val="16"/>
        </w:rPr>
        <w:t>совер</w:t>
      </w:r>
      <w:r>
        <w:rPr>
          <w:rFonts w:ascii="Times New Roman" w:hAnsi="Times New Roman"/>
          <w:color w:val="0070C0"/>
          <w:sz w:val="16"/>
          <w:szCs w:val="16"/>
        </w:rPr>
        <w:t>ш</w:t>
      </w:r>
      <w:r w:rsidRPr="009F5089">
        <w:rPr>
          <w:rFonts w:ascii="Times New Roman" w:hAnsi="Times New Roman"/>
          <w:color w:val="0070C0"/>
          <w:sz w:val="16"/>
          <w:szCs w:val="16"/>
        </w:rPr>
        <w:t>ив</w:t>
      </w:r>
      <w:r>
        <w:rPr>
          <w:rFonts w:ascii="Times New Roman" w:hAnsi="Times New Roman"/>
          <w:color w:val="0070C0"/>
          <w:sz w:val="16"/>
          <w:szCs w:val="16"/>
        </w:rPr>
        <w:t>ш</w:t>
      </w:r>
      <w:r w:rsidRPr="009F5089">
        <w:rPr>
          <w:rFonts w:ascii="Times New Roman" w:hAnsi="Times New Roman"/>
          <w:color w:val="0070C0"/>
          <w:sz w:val="16"/>
          <w:szCs w:val="16"/>
        </w:rPr>
        <w:t xml:space="preserve">их нападение на мирные </w:t>
      </w:r>
      <w:r>
        <w:rPr>
          <w:rFonts w:ascii="Times New Roman" w:hAnsi="Times New Roman"/>
          <w:color w:val="0070C0"/>
          <w:sz w:val="16"/>
          <w:szCs w:val="16"/>
        </w:rPr>
        <w:t>кишлаки и в</w:t>
      </w:r>
      <w:r w:rsidRPr="009F5089">
        <w:rPr>
          <w:rFonts w:ascii="Times New Roman" w:hAnsi="Times New Roman"/>
          <w:color w:val="0070C0"/>
          <w:sz w:val="16"/>
          <w:szCs w:val="16"/>
        </w:rPr>
        <w:t xml:space="preserve"> полете был подбит и вынужденно сел на перевале.</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Отправив </w:t>
      </w:r>
      <w:r>
        <w:rPr>
          <w:rFonts w:ascii="Times New Roman" w:hAnsi="Times New Roman"/>
          <w:color w:val="0070C0"/>
          <w:sz w:val="16"/>
          <w:szCs w:val="16"/>
        </w:rPr>
        <w:t>штурмана</w:t>
      </w:r>
      <w:r w:rsidRPr="009F5089">
        <w:rPr>
          <w:rFonts w:ascii="Times New Roman" w:hAnsi="Times New Roman"/>
          <w:color w:val="0070C0"/>
          <w:sz w:val="16"/>
          <w:szCs w:val="16"/>
        </w:rPr>
        <w:t xml:space="preserve"> </w:t>
      </w:r>
      <w:r>
        <w:rPr>
          <w:rFonts w:ascii="Times New Roman" w:hAnsi="Times New Roman"/>
          <w:color w:val="0070C0"/>
          <w:sz w:val="16"/>
          <w:szCs w:val="16"/>
        </w:rPr>
        <w:t>с</w:t>
      </w:r>
      <w:r w:rsidRPr="009F5089">
        <w:rPr>
          <w:rFonts w:ascii="Times New Roman" w:hAnsi="Times New Roman"/>
          <w:color w:val="0070C0"/>
          <w:sz w:val="16"/>
          <w:szCs w:val="16"/>
        </w:rPr>
        <w:t xml:space="preserve"> донесением к пограничникам,</w:t>
      </w:r>
      <w:r>
        <w:rPr>
          <w:rFonts w:ascii="Times New Roman" w:hAnsi="Times New Roman"/>
          <w:color w:val="0070C0"/>
          <w:sz w:val="16"/>
          <w:szCs w:val="16"/>
        </w:rPr>
        <w:t xml:space="preserve"> </w:t>
      </w:r>
      <w:r w:rsidRPr="009F5089">
        <w:rPr>
          <w:rFonts w:ascii="Times New Roman" w:hAnsi="Times New Roman"/>
          <w:color w:val="0070C0"/>
          <w:sz w:val="16"/>
          <w:szCs w:val="16"/>
        </w:rPr>
        <w:t>сам стал прикрывать его</w:t>
      </w:r>
      <w:r>
        <w:rPr>
          <w:rFonts w:ascii="Times New Roman" w:hAnsi="Times New Roman"/>
          <w:color w:val="0070C0"/>
          <w:sz w:val="16"/>
          <w:szCs w:val="16"/>
        </w:rPr>
        <w:t xml:space="preserve"> отход</w:t>
      </w:r>
      <w:r w:rsidRPr="009F5089">
        <w:rPr>
          <w:rFonts w:ascii="Times New Roman" w:hAnsi="Times New Roman"/>
          <w:color w:val="0070C0"/>
          <w:sz w:val="16"/>
          <w:szCs w:val="16"/>
        </w:rPr>
        <w:t>.</w:t>
      </w:r>
      <w:r>
        <w:rPr>
          <w:rFonts w:ascii="Times New Roman" w:hAnsi="Times New Roman"/>
          <w:color w:val="0070C0"/>
          <w:sz w:val="16"/>
          <w:szCs w:val="16"/>
        </w:rPr>
        <w:t xml:space="preserve"> Бандиты</w:t>
      </w:r>
      <w:r w:rsidRPr="009F5089">
        <w:rPr>
          <w:rFonts w:ascii="Times New Roman" w:hAnsi="Times New Roman"/>
          <w:color w:val="0070C0"/>
          <w:sz w:val="16"/>
          <w:szCs w:val="16"/>
        </w:rPr>
        <w:t xml:space="preserve"> обнаружили летчика и хотели взять его живым,</w:t>
      </w:r>
      <w:r>
        <w:rPr>
          <w:rFonts w:ascii="Times New Roman" w:hAnsi="Times New Roman"/>
          <w:color w:val="0070C0"/>
          <w:sz w:val="16"/>
          <w:szCs w:val="16"/>
        </w:rPr>
        <w:t xml:space="preserve"> </w:t>
      </w:r>
      <w:r w:rsidRPr="009F5089">
        <w:rPr>
          <w:rFonts w:ascii="Times New Roman" w:hAnsi="Times New Roman"/>
          <w:color w:val="0070C0"/>
          <w:sz w:val="16"/>
          <w:szCs w:val="16"/>
        </w:rPr>
        <w:t>но он от</w:t>
      </w:r>
      <w:r>
        <w:rPr>
          <w:rFonts w:ascii="Times New Roman" w:hAnsi="Times New Roman"/>
          <w:color w:val="0070C0"/>
          <w:sz w:val="16"/>
          <w:szCs w:val="16"/>
        </w:rPr>
        <w:t>бивался</w:t>
      </w:r>
      <w:r w:rsidRPr="009F5089">
        <w:rPr>
          <w:rFonts w:ascii="Times New Roman" w:hAnsi="Times New Roman"/>
          <w:color w:val="0070C0"/>
          <w:sz w:val="16"/>
          <w:szCs w:val="16"/>
        </w:rPr>
        <w:t xml:space="preserve"> до последнего патрона.</w:t>
      </w:r>
      <w:r>
        <w:rPr>
          <w:rFonts w:ascii="Times New Roman" w:hAnsi="Times New Roman"/>
          <w:color w:val="0070C0"/>
          <w:sz w:val="16"/>
          <w:szCs w:val="16"/>
        </w:rPr>
        <w:t xml:space="preserve"> </w:t>
      </w:r>
      <w:r w:rsidRPr="009F5089">
        <w:rPr>
          <w:rFonts w:ascii="Times New Roman" w:hAnsi="Times New Roman"/>
          <w:color w:val="0070C0"/>
          <w:sz w:val="16"/>
          <w:szCs w:val="16"/>
        </w:rPr>
        <w:t>Приведенные штурманом погранични</w:t>
      </w:r>
      <w:r>
        <w:rPr>
          <w:rFonts w:ascii="Times New Roman" w:hAnsi="Times New Roman"/>
          <w:color w:val="0070C0"/>
          <w:sz w:val="16"/>
          <w:szCs w:val="16"/>
        </w:rPr>
        <w:t>к</w:t>
      </w:r>
      <w:r w:rsidRPr="009F5089">
        <w:rPr>
          <w:rFonts w:ascii="Times New Roman" w:hAnsi="Times New Roman"/>
          <w:color w:val="0070C0"/>
          <w:sz w:val="16"/>
          <w:szCs w:val="16"/>
        </w:rPr>
        <w:t>и</w:t>
      </w:r>
      <w:r>
        <w:rPr>
          <w:rFonts w:ascii="Times New Roman" w:hAnsi="Times New Roman"/>
          <w:color w:val="0070C0"/>
          <w:sz w:val="16"/>
          <w:szCs w:val="16"/>
        </w:rPr>
        <w:t xml:space="preserve"> поймали бандитов, </w:t>
      </w:r>
      <w:r w:rsidRPr="009F5089">
        <w:rPr>
          <w:rFonts w:ascii="Times New Roman" w:hAnsi="Times New Roman"/>
          <w:color w:val="0070C0"/>
          <w:sz w:val="16"/>
          <w:szCs w:val="16"/>
        </w:rPr>
        <w:t xml:space="preserve">но снасти </w:t>
      </w:r>
      <w:proofErr w:type="spellStart"/>
      <w:r>
        <w:rPr>
          <w:rFonts w:ascii="Times New Roman" w:hAnsi="Times New Roman"/>
          <w:color w:val="0070C0"/>
          <w:sz w:val="16"/>
          <w:szCs w:val="16"/>
        </w:rPr>
        <w:t>П</w:t>
      </w:r>
      <w:r w:rsidRPr="009F5089">
        <w:rPr>
          <w:rFonts w:ascii="Times New Roman" w:hAnsi="Times New Roman"/>
          <w:color w:val="0070C0"/>
          <w:sz w:val="16"/>
          <w:szCs w:val="16"/>
        </w:rPr>
        <w:t>лавельского</w:t>
      </w:r>
      <w:proofErr w:type="spellEnd"/>
      <w:r w:rsidRPr="009F5089">
        <w:rPr>
          <w:rFonts w:ascii="Times New Roman" w:hAnsi="Times New Roman"/>
          <w:color w:val="0070C0"/>
          <w:sz w:val="16"/>
          <w:szCs w:val="16"/>
        </w:rPr>
        <w:t xml:space="preserve"> уже не могли.</w:t>
      </w:r>
      <w:r>
        <w:rPr>
          <w:rFonts w:ascii="Times New Roman" w:hAnsi="Times New Roman"/>
          <w:color w:val="0070C0"/>
          <w:sz w:val="16"/>
          <w:szCs w:val="16"/>
        </w:rPr>
        <w:t xml:space="preserve"> </w:t>
      </w:r>
      <w:r w:rsidRPr="009F5089">
        <w:rPr>
          <w:rFonts w:ascii="Times New Roman" w:hAnsi="Times New Roman"/>
          <w:color w:val="0070C0"/>
          <w:sz w:val="16"/>
          <w:szCs w:val="16"/>
        </w:rPr>
        <w:t>Перевал,</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где </w:t>
      </w:r>
      <w:r>
        <w:rPr>
          <w:rFonts w:ascii="Times New Roman" w:hAnsi="Times New Roman"/>
          <w:color w:val="0070C0"/>
          <w:sz w:val="16"/>
          <w:szCs w:val="16"/>
        </w:rPr>
        <w:t xml:space="preserve">погиб </w:t>
      </w:r>
      <w:proofErr w:type="spellStart"/>
      <w:r>
        <w:rPr>
          <w:rFonts w:ascii="Times New Roman" w:hAnsi="Times New Roman"/>
          <w:color w:val="0070C0"/>
          <w:sz w:val="16"/>
          <w:szCs w:val="16"/>
        </w:rPr>
        <w:t>П</w:t>
      </w:r>
      <w:r w:rsidRPr="009F5089">
        <w:rPr>
          <w:rFonts w:ascii="Times New Roman" w:hAnsi="Times New Roman"/>
          <w:color w:val="0070C0"/>
          <w:sz w:val="16"/>
          <w:szCs w:val="16"/>
        </w:rPr>
        <w:t>л</w:t>
      </w:r>
      <w:r>
        <w:rPr>
          <w:rFonts w:ascii="Times New Roman" w:hAnsi="Times New Roman"/>
          <w:color w:val="0070C0"/>
          <w:sz w:val="16"/>
          <w:szCs w:val="16"/>
        </w:rPr>
        <w:t>а</w:t>
      </w:r>
      <w:r w:rsidRPr="009F5089">
        <w:rPr>
          <w:rFonts w:ascii="Times New Roman" w:hAnsi="Times New Roman"/>
          <w:color w:val="0070C0"/>
          <w:sz w:val="16"/>
          <w:szCs w:val="16"/>
        </w:rPr>
        <w:t>вельски</w:t>
      </w:r>
      <w:r>
        <w:rPr>
          <w:rFonts w:ascii="Times New Roman" w:hAnsi="Times New Roman"/>
          <w:color w:val="0070C0"/>
          <w:sz w:val="16"/>
          <w:szCs w:val="16"/>
        </w:rPr>
        <w:t>й</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назван его </w:t>
      </w:r>
      <w:proofErr w:type="spellStart"/>
      <w:r w:rsidRPr="009F5089">
        <w:rPr>
          <w:rFonts w:ascii="Times New Roman" w:hAnsi="Times New Roman"/>
          <w:color w:val="0070C0"/>
          <w:sz w:val="16"/>
          <w:szCs w:val="16"/>
        </w:rPr>
        <w:t>именем</w:t>
      </w:r>
      <w:r>
        <w:rPr>
          <w:rFonts w:ascii="Times New Roman" w:hAnsi="Times New Roman"/>
          <w:color w:val="0070C0"/>
          <w:sz w:val="16"/>
          <w:szCs w:val="16"/>
        </w:rPr>
        <w:t>ю</w:t>
      </w:r>
      <w:proofErr w:type="spellEnd"/>
    </w:p>
    <w:p w14:paraId="48A7BA33" w14:textId="77777777" w:rsidR="001D074B" w:rsidRDefault="001D074B" w:rsidP="001D074B">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С</w:t>
      </w:r>
      <w:r w:rsidRPr="009F5089">
        <w:rPr>
          <w:rFonts w:ascii="Times New Roman" w:hAnsi="Times New Roman"/>
          <w:color w:val="0070C0"/>
          <w:sz w:val="16"/>
          <w:szCs w:val="16"/>
        </w:rPr>
        <w:t>оветская авиация</w:t>
      </w:r>
      <w:r>
        <w:rPr>
          <w:rFonts w:ascii="Times New Roman" w:hAnsi="Times New Roman"/>
          <w:color w:val="0070C0"/>
          <w:sz w:val="16"/>
          <w:szCs w:val="16"/>
        </w:rPr>
        <w:t>»</w:t>
      </w:r>
      <w:r w:rsidRPr="009F5089">
        <w:rPr>
          <w:rFonts w:ascii="Times New Roman" w:hAnsi="Times New Roman"/>
          <w:color w:val="0070C0"/>
          <w:sz w:val="16"/>
          <w:szCs w:val="16"/>
        </w:rPr>
        <w:t xml:space="preserve"> 7</w:t>
      </w:r>
      <w:r>
        <w:rPr>
          <w:rFonts w:ascii="Times New Roman" w:hAnsi="Times New Roman"/>
          <w:color w:val="0070C0"/>
          <w:sz w:val="16"/>
          <w:szCs w:val="16"/>
        </w:rPr>
        <w:t>.</w:t>
      </w:r>
      <w:r w:rsidRPr="009F5089">
        <w:rPr>
          <w:rFonts w:ascii="Times New Roman" w:hAnsi="Times New Roman"/>
          <w:color w:val="0070C0"/>
          <w:sz w:val="16"/>
          <w:szCs w:val="16"/>
        </w:rPr>
        <w:t>12.57/</w:t>
      </w:r>
      <w:r>
        <w:rPr>
          <w:rFonts w:ascii="Times New Roman" w:hAnsi="Times New Roman"/>
          <w:color w:val="0070C0"/>
          <w:sz w:val="16"/>
          <w:szCs w:val="16"/>
        </w:rPr>
        <w:t xml:space="preserve"> (23370).</w:t>
      </w:r>
    </w:p>
    <w:p w14:paraId="659F0B92" w14:textId="77777777" w:rsidR="001D074B" w:rsidRPr="009F5089" w:rsidRDefault="001D074B" w:rsidP="001D074B">
      <w:pPr>
        <w:spacing w:after="0" w:line="240" w:lineRule="auto"/>
        <w:jc w:val="both"/>
        <w:rPr>
          <w:rFonts w:ascii="Times New Roman" w:hAnsi="Times New Roman"/>
          <w:color w:val="0070C0"/>
          <w:sz w:val="16"/>
          <w:szCs w:val="16"/>
        </w:rPr>
      </w:pPr>
    </w:p>
    <w:p w14:paraId="355DBF38" w14:textId="574A44D5"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7D997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754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апреля 1931 г. начальник ЦАГИ писал письмо N 372 начальнику УВВС П.И. Баранову.</w:t>
      </w:r>
    </w:p>
    <w:p w14:paraId="6F343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материал об испытаниях самолета "Морской экспериментальный разведчик" МДР-2 (АНТ-8).</w:t>
      </w:r>
    </w:p>
    <w:p w14:paraId="4096D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Докладная записка</w:t>
      </w:r>
    </w:p>
    <w:p w14:paraId="75682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30.01.1931 г. Самолет АНТ-8 после испытаний на рулежку пошел первый раз в воздух. Заводские испытания продолжались всего 3 час. 47 мин., после чего самолет был предъявлен на гос. испытания.</w:t>
      </w:r>
    </w:p>
    <w:p w14:paraId="37D8A6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были произведены для двух нагрузок:</w:t>
      </w:r>
    </w:p>
    <w:p w14:paraId="0D660F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Нагрузка согласно ТУ в 2105 кг и</w:t>
      </w:r>
    </w:p>
    <w:p w14:paraId="1F79A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нагрузка увеличенная в 2360 кг.</w:t>
      </w:r>
    </w:p>
    <w:p w14:paraId="18A42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гос. испытания удалось провести в 11 полетных дней.</w:t>
      </w:r>
    </w:p>
    <w:p w14:paraId="6D65EE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Заключение о самолете МДР-2</w:t>
      </w:r>
    </w:p>
    <w:p w14:paraId="7A7DF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приказа НВВС N 6/1 произведены испытания самолета МДР-2.</w:t>
      </w:r>
    </w:p>
    <w:p w14:paraId="4D1EE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w:t>
      </w:r>
    </w:p>
    <w:p w14:paraId="34BC5A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полученным летным данным самолет МДР-2 примерно равен самолету ДВ с данной нагрузкой.</w:t>
      </w:r>
    </w:p>
    <w:p w14:paraId="38E45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Размещение вооружения, снаряжения и действие ими лучше, нежели на самолете ДВ (3278).</w:t>
      </w:r>
    </w:p>
    <w:p w14:paraId="2C131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C57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апреля 1931 г. С.П. Королев завершил проектные проработки летательного аппарата, которому он присвоил индекс СК-7 и дал название "тренировочный паритель для фигурных полетов, двухместный". Одноместный планер СК-3 подобного типа был разработан С.П. Королевым в 1930 г. Специалисты высоко оценили эту конструкцию и высказали мнение, что нужен двухместный фигурный планер для внедрения фигур высшего пилотажа в учебную практику пилотов-планеристов. Поэтому у С.П. Королева были все основания продолжить работы в этом направлении. Для СК-7 С.П. Королев применил двухбалочную схему, которая до этого встречалась только в проекте планера-парителя. Приступая к разработке нового планера, С.П. Королев ставил перед собой задачу создать специализированный аппарат, предназначенный только для фигурных полетов. Такая концепция в тот период была оправданной и нашла обоснование в ряде теоретических исследований крупных специалистов планерного дела. Принятая С.П. Королевым концепция позволила сделать планер очень компактным. Вес СК-7 в полете был меньше веса одноместного планера СК-3 (230 кг против 260 кг). С.П. Королев уменьшил размах СК-7 до 10 м против 12,2 м у СК-3 и уменьшил длину до 5,45 м против 6,79 м у СК-3. Кроме того, он увеличил несущую поверхность до 17м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xml:space="preserve"> против 12,2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xml:space="preserve"> у СК-3. В результате существенно уменьшилась нагрузка на крыло -до 13,5 кг/м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xml:space="preserve"> против 21 кг/м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xml:space="preserve"> у СК-3, что позволило снизить требования к прочности крыла. Снижение этой нагрузки делало также планер менее зависимым от погодных условий и поэтому более подходящим для практических целей. Стремясь уменьшить нагрузку на крыло, С.П. Королев вынужден был пойти на уменьшение удлинения (6 против 12 у СК-3), т. е. на увеличение хорды крыла, к тому же при относительно меньшем размахе. Это неизбежно привело к снижению аэродинамического качества до 15 против 20 у СК-3. Однако в сочетании с остальными характеристиками скорость снижения нового планера была такой же, как у СК-3, — 0,9 м/с. Проект СК-7 не был реализован, но использованные в нем конструкторские идеи получили дальнейшее развитие в проектах самолета СК8-9, планера СК-6 и самолета "Электрон-1" СК-7 (10676).</w:t>
      </w:r>
    </w:p>
    <w:p w14:paraId="1C9D3C50" w14:textId="642BCD33"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6BF770" w14:textId="380BB9B6" w:rsidR="0076645F" w:rsidRPr="007122AB" w:rsidRDefault="0076645F"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77AA3591" w14:textId="77777777" w:rsidR="0076645F" w:rsidRPr="007122AB" w:rsidRDefault="0076645F"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479517A9"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5" w:name="_Hlk90144669"/>
      <w:r w:rsidRPr="007122AB">
        <w:rPr>
          <w:rFonts w:ascii="Times New Roman" w:eastAsia="Times New Roman" w:hAnsi="Times New Roman"/>
          <w:color w:val="000000" w:themeColor="text1"/>
          <w:sz w:val="16"/>
          <w:szCs w:val="16"/>
          <w:lang w:eastAsia="ru-RU"/>
        </w:rPr>
        <w:t xml:space="preserve">12 апреля 1931 накануне заседания РВС СССР, у начальника Штаба состоялось совещание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трех западных округов и СКВО (из них лишь Тухачевский н Егоров являлись членами РВС СССР) для рассмотрения проекта Штаба по составу и структуре армии военного времени. Ход и результаты обсуждения были подытожены в составленном Штабом (вероятно, начальником II Управления) "перечне основных вопросов", по которым высказались приглашенные. Он включал 24 вопроса, причем по четырем из них отмечены высказывания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УВО Якира, по двум -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ВВП Егорова, по одному вопросу - Базилевича и </w:t>
      </w:r>
      <w:proofErr w:type="spellStart"/>
      <w:r w:rsidRPr="007122AB">
        <w:rPr>
          <w:rFonts w:ascii="Times New Roman" w:eastAsia="Times New Roman" w:hAnsi="Times New Roman"/>
          <w:color w:val="000000" w:themeColor="text1"/>
          <w:sz w:val="16"/>
          <w:szCs w:val="16"/>
          <w:lang w:eastAsia="ru-RU"/>
        </w:rPr>
        <w:t>Хаханьяна</w:t>
      </w:r>
      <w:proofErr w:type="spellEnd"/>
      <w:r w:rsidRPr="007122AB">
        <w:rPr>
          <w:rFonts w:ascii="Times New Roman" w:eastAsia="Times New Roman" w:hAnsi="Times New Roman"/>
          <w:color w:val="000000" w:themeColor="text1"/>
          <w:sz w:val="16"/>
          <w:szCs w:val="16"/>
          <w:lang w:eastAsia="ru-RU"/>
        </w:rPr>
        <w:t>, тогда как Тухачевский представил свои соображения по 19 пунктам (Перечень основных вопросов, затронутых Командующими войсками на совещании у Начальника Штаба РККА, 12.04.1930 // РГВА. Ф. 7. Оп. 10. Д. 994. Л. 90-91. (Позиции Каменева. Белова, Н. Куйбышева и других участников совещания в документе не отражены.)</w:t>
      </w:r>
    </w:p>
    <w:p w14:paraId="3DB97820"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Тухачевский, очевидно, решил использовать представившуюся возможность перейти от индивидуальных апелляций к наркому к мобилизации потенциальных сторонников в высшем армейском руководстве. К тому времени ему оставалось только догадываться о судьбе его записки от 11 января и реакции на нее Сталина. В июньском письме Генеральному секретарю Тухачевский объяснял, что не обратился к нему ранее, поскольку не был осведомлен о содержании "Заключения" Шапошникова. Можно предположить, что полный текст "Заключения" вместе с приложениями Тухачевский получил лишь в середине июня, во время пребывания в Москве для участия в заседании РВС СССР. По воспоминаниям </w:t>
      </w:r>
      <w:proofErr w:type="spellStart"/>
      <w:r w:rsidRPr="007122AB">
        <w:rPr>
          <w:rFonts w:ascii="Times New Roman" w:eastAsia="Times New Roman" w:hAnsi="Times New Roman"/>
          <w:color w:val="000000" w:themeColor="text1"/>
          <w:sz w:val="16"/>
          <w:szCs w:val="16"/>
          <w:lang w:eastAsia="ru-RU"/>
        </w:rPr>
        <w:t>Иссерсона</w:t>
      </w:r>
      <w:proofErr w:type="spellEnd"/>
      <w:r w:rsidRPr="007122AB">
        <w:rPr>
          <w:rFonts w:ascii="Times New Roman" w:eastAsia="Times New Roman" w:hAnsi="Times New Roman"/>
          <w:color w:val="000000" w:themeColor="text1"/>
          <w:sz w:val="16"/>
          <w:szCs w:val="16"/>
          <w:lang w:eastAsia="ru-RU"/>
        </w:rPr>
        <w:t xml:space="preserve">, "не получая ответа, Тухачевский в апреле написал письмо </w:t>
      </w:r>
      <w:proofErr w:type="spellStart"/>
      <w:r w:rsidRPr="007122AB">
        <w:rPr>
          <w:rFonts w:ascii="Times New Roman" w:eastAsia="Times New Roman" w:hAnsi="Times New Roman"/>
          <w:color w:val="000000" w:themeColor="text1"/>
          <w:sz w:val="16"/>
          <w:szCs w:val="16"/>
          <w:lang w:eastAsia="ru-RU"/>
        </w:rPr>
        <w:t>Сталшгу</w:t>
      </w:r>
      <w:proofErr w:type="spellEnd"/>
      <w:r w:rsidRPr="007122AB">
        <w:rPr>
          <w:rFonts w:ascii="Times New Roman" w:eastAsia="Times New Roman" w:hAnsi="Times New Roman"/>
          <w:color w:val="000000" w:themeColor="text1"/>
          <w:sz w:val="16"/>
          <w:szCs w:val="16"/>
          <w:lang w:eastAsia="ru-RU"/>
        </w:rPr>
        <w:t xml:space="preserve"> с просьбой рассмотреть его предложения" (ИССЕРСОН Г. С Записки современника о Тухачевском // ВИЖ 1963. № 4. С. 67). Сведения об обращении Тухачевского к Сталину в апреле 1930 г. пока ничем не подтверждены).</w:t>
      </w:r>
    </w:p>
    <w:p w14:paraId="0F423347"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Высказывания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ЛВО образовывали относительно законченную систему, рассчитанную прежде всего на обеспечение одновременных операций четырех ударных армий и включавшую в себя: 1) увеличение числа дивизий по мобилизации до 140 за счет добавления 30 дивизий по сокращенным штатам (п. 19);</w:t>
      </w:r>
    </w:p>
    <w:p w14:paraId="79B5E17D"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увеличение числа танков на первый год войны не менее чем до 7 тыс. (п. 8,20); </w:t>
      </w:r>
    </w:p>
    <w:p w14:paraId="5198692D"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двухлетний сдвиг в плане роста боевой авиации на первый год войны (перенос соответствующих показателей </w:t>
      </w:r>
      <w:proofErr w:type="spellStart"/>
      <w:r w:rsidRPr="007122AB">
        <w:rPr>
          <w:rFonts w:ascii="Times New Roman" w:eastAsia="Times New Roman" w:hAnsi="Times New Roman"/>
          <w:color w:val="000000" w:themeColor="text1"/>
          <w:sz w:val="16"/>
          <w:szCs w:val="16"/>
          <w:lang w:eastAsia="ru-RU"/>
        </w:rPr>
        <w:t>мобплана</w:t>
      </w:r>
      <w:proofErr w:type="spellEnd"/>
      <w:r w:rsidRPr="007122AB">
        <w:rPr>
          <w:rFonts w:ascii="Times New Roman" w:eastAsia="Times New Roman" w:hAnsi="Times New Roman"/>
          <w:color w:val="000000" w:themeColor="text1"/>
          <w:sz w:val="16"/>
          <w:szCs w:val="16"/>
          <w:lang w:eastAsia="ru-RU"/>
        </w:rPr>
        <w:t xml:space="preserve"> № 12 в </w:t>
      </w:r>
      <w:proofErr w:type="spellStart"/>
      <w:r w:rsidRPr="007122AB">
        <w:rPr>
          <w:rFonts w:ascii="Times New Roman" w:eastAsia="Times New Roman" w:hAnsi="Times New Roman"/>
          <w:color w:val="000000" w:themeColor="text1"/>
          <w:sz w:val="16"/>
          <w:szCs w:val="16"/>
          <w:lang w:eastAsia="ru-RU"/>
        </w:rPr>
        <w:t>мобплан</w:t>
      </w:r>
      <w:proofErr w:type="spellEnd"/>
      <w:r w:rsidRPr="007122AB">
        <w:rPr>
          <w:rFonts w:ascii="Times New Roman" w:eastAsia="Times New Roman" w:hAnsi="Times New Roman"/>
          <w:color w:val="000000" w:themeColor="text1"/>
          <w:sz w:val="16"/>
          <w:szCs w:val="16"/>
          <w:lang w:eastAsia="ru-RU"/>
        </w:rPr>
        <w:t xml:space="preserve"> № 10, </w:t>
      </w:r>
      <w:proofErr w:type="spellStart"/>
      <w:r w:rsidRPr="007122AB">
        <w:rPr>
          <w:rFonts w:ascii="Times New Roman" w:eastAsia="Times New Roman" w:hAnsi="Times New Roman"/>
          <w:color w:val="000000" w:themeColor="text1"/>
          <w:sz w:val="16"/>
          <w:szCs w:val="16"/>
          <w:lang w:eastAsia="ru-RU"/>
        </w:rPr>
        <w:t>т.е.с</w:t>
      </w:r>
      <w:proofErr w:type="spellEnd"/>
      <w:r w:rsidRPr="007122AB">
        <w:rPr>
          <w:rFonts w:ascii="Times New Roman" w:eastAsia="Times New Roman" w:hAnsi="Times New Roman"/>
          <w:color w:val="000000" w:themeColor="text1"/>
          <w:sz w:val="16"/>
          <w:szCs w:val="16"/>
          <w:lang w:eastAsia="ru-RU"/>
        </w:rPr>
        <w:t xml:space="preserve"> 1932/33г.на 1930/31 г.) (п.21);</w:t>
      </w:r>
    </w:p>
    <w:p w14:paraId="5F07CB6C"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4) развитие военно-транспортной авиации (п. 9); </w:t>
      </w:r>
    </w:p>
    <w:p w14:paraId="4913D38A"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5) увеличение численности саперных средств (п. 6); 6) широкое использование средств гражданских ведомств (НКПС, ГУ ГТВФ) для подготовки военных сообщений по </w:t>
      </w:r>
      <w:proofErr w:type="spellStart"/>
      <w:r w:rsidRPr="007122AB">
        <w:rPr>
          <w:rFonts w:ascii="Times New Roman" w:eastAsia="Times New Roman" w:hAnsi="Times New Roman"/>
          <w:color w:val="000000" w:themeColor="text1"/>
          <w:sz w:val="16"/>
          <w:szCs w:val="16"/>
          <w:lang w:eastAsia="ru-RU"/>
        </w:rPr>
        <w:t>мобразвертыванию</w:t>
      </w:r>
      <w:proofErr w:type="spellEnd"/>
      <w:r w:rsidRPr="007122AB">
        <w:rPr>
          <w:rFonts w:ascii="Times New Roman" w:eastAsia="Times New Roman" w:hAnsi="Times New Roman"/>
          <w:color w:val="000000" w:themeColor="text1"/>
          <w:sz w:val="16"/>
          <w:szCs w:val="16"/>
          <w:lang w:eastAsia="ru-RU"/>
        </w:rPr>
        <w:t xml:space="preserve"> (п. 10, 13, 16).</w:t>
      </w:r>
    </w:p>
    <w:p w14:paraId="18A71ECA"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Эти предложения охватывали примерно те же области мобилизационной подготовки, что и рассмотренные в записках Тухачевского октября 1929 - марта 1930 г. Сходство прослеживается и в общих установках на обеспечение сокрушающей стратегии, в убежденности, что экономическое развитие страны должно быть </w:t>
      </w:r>
      <w:proofErr w:type="spellStart"/>
      <w:r w:rsidRPr="007122AB">
        <w:rPr>
          <w:rFonts w:ascii="Times New Roman" w:eastAsia="Times New Roman" w:hAnsi="Times New Roman"/>
          <w:color w:val="000000" w:themeColor="text1"/>
          <w:sz w:val="16"/>
          <w:szCs w:val="16"/>
          <w:lang w:eastAsia="ru-RU"/>
        </w:rPr>
        <w:t>подчиненo</w:t>
      </w:r>
      <w:proofErr w:type="spellEnd"/>
      <w:r w:rsidRPr="007122AB">
        <w:rPr>
          <w:rFonts w:ascii="Times New Roman" w:eastAsia="Times New Roman" w:hAnsi="Times New Roman"/>
          <w:color w:val="000000" w:themeColor="text1"/>
          <w:sz w:val="16"/>
          <w:szCs w:val="16"/>
          <w:lang w:eastAsia="ru-RU"/>
        </w:rPr>
        <w:t xml:space="preserve"> военным задачам. Для этого и "почтово-транспортное дело необходимо реконструировать коренным образом. Нужно упразднить багажные вагоны и целиком перейти на автотранспорт. Между пунктами с дальним расстоянием, например Москва-Ташкент и т. д., сообщение совершать только по воздуху. Мы должны явиться толкачом перед гражданскими наркоматами. Дело авиационного развития мы не сдвинем в том случае, если решительно не нажмем на гражданские наркоматы (Тухачевский)" (Перечень основных вопросов, затронутых Командующими войсками на Совещании у Начальника Штаба РККА, 12.04.1930 // Там же. Л. 90 об. В конце 1929 г. Тухачевский направил секретарю Северного крайкома ВКП(б) С. А. </w:t>
      </w:r>
      <w:proofErr w:type="spellStart"/>
      <w:r w:rsidRPr="007122AB">
        <w:rPr>
          <w:rFonts w:ascii="Times New Roman" w:eastAsia="Times New Roman" w:hAnsi="Times New Roman"/>
          <w:color w:val="000000" w:themeColor="text1"/>
          <w:sz w:val="16"/>
          <w:szCs w:val="16"/>
          <w:lang w:eastAsia="ru-RU"/>
        </w:rPr>
        <w:t>Бергавинову</w:t>
      </w:r>
      <w:proofErr w:type="spellEnd"/>
      <w:r w:rsidRPr="007122AB">
        <w:rPr>
          <w:rFonts w:ascii="Times New Roman" w:eastAsia="Times New Roman" w:hAnsi="Times New Roman"/>
          <w:color w:val="000000" w:themeColor="text1"/>
          <w:sz w:val="16"/>
          <w:szCs w:val="16"/>
          <w:lang w:eastAsia="ru-RU"/>
        </w:rPr>
        <w:t xml:space="preserve"> предложения, которые адресат охарактеризовал как "сверхграндиозный план развития гражданской авиации на Севере". Согласно этому плану, число самолетов в Северном крае должно было в 1931 г. возрасти до 151. а в 1933 г. - до 1384 машин. Одновременно </w:t>
      </w:r>
      <w:proofErr w:type="spellStart"/>
      <w:r w:rsidRPr="007122AB">
        <w:rPr>
          <w:rFonts w:ascii="Times New Roman" w:eastAsia="Times New Roman" w:hAnsi="Times New Roman"/>
          <w:color w:val="000000" w:themeColor="text1"/>
          <w:sz w:val="16"/>
          <w:szCs w:val="16"/>
          <w:lang w:eastAsia="ru-RU"/>
        </w:rPr>
        <w:t>Бергавинов</w:t>
      </w:r>
      <w:proofErr w:type="spellEnd"/>
      <w:r w:rsidRPr="007122AB">
        <w:rPr>
          <w:rFonts w:ascii="Times New Roman" w:eastAsia="Times New Roman" w:hAnsi="Times New Roman"/>
          <w:color w:val="000000" w:themeColor="text1"/>
          <w:sz w:val="16"/>
          <w:szCs w:val="16"/>
          <w:lang w:eastAsia="ru-RU"/>
        </w:rPr>
        <w:t xml:space="preserve"> "слезно просил" НКВМ выделить "хотя бы один самолет для края в непосредственное наше распоряжение" (См.: Письмо </w:t>
      </w:r>
      <w:proofErr w:type="spellStart"/>
      <w:r w:rsidRPr="007122AB">
        <w:rPr>
          <w:rFonts w:ascii="Times New Roman" w:eastAsia="Times New Roman" w:hAnsi="Times New Roman"/>
          <w:color w:val="000000" w:themeColor="text1"/>
          <w:sz w:val="16"/>
          <w:szCs w:val="16"/>
          <w:lang w:eastAsia="ru-RU"/>
        </w:rPr>
        <w:t>Бергавинова</w:t>
      </w:r>
      <w:proofErr w:type="spellEnd"/>
      <w:r w:rsidRPr="007122AB">
        <w:rPr>
          <w:rFonts w:ascii="Times New Roman" w:eastAsia="Times New Roman" w:hAnsi="Times New Roman"/>
          <w:color w:val="000000" w:themeColor="text1"/>
          <w:sz w:val="16"/>
          <w:szCs w:val="16"/>
          <w:lang w:eastAsia="ru-RU"/>
        </w:rPr>
        <w:t xml:space="preserve"> Ворошилову, 7.01.1930 // РГА СПИ. Ф. 74. Оп. 2. Д. 40. Л. 6 (цит. по: Соколов Б. В. Тухачевский: Жизнь и смерть красного маршала. М., 2003. С. 408). </w:t>
      </w:r>
      <w:proofErr w:type="spellStart"/>
      <w:r w:rsidRPr="007122AB">
        <w:rPr>
          <w:rFonts w:ascii="Times New Roman" w:eastAsia="Times New Roman" w:hAnsi="Times New Roman"/>
          <w:color w:val="000000" w:themeColor="text1"/>
          <w:sz w:val="16"/>
          <w:szCs w:val="16"/>
          <w:lang w:eastAsia="ru-RU"/>
        </w:rPr>
        <w:t>Столюгув-шись</w:t>
      </w:r>
      <w:proofErr w:type="spellEnd"/>
      <w:r w:rsidRPr="007122AB">
        <w:rPr>
          <w:rFonts w:ascii="Times New Roman" w:eastAsia="Times New Roman" w:hAnsi="Times New Roman"/>
          <w:color w:val="000000" w:themeColor="text1"/>
          <w:sz w:val="16"/>
          <w:szCs w:val="16"/>
          <w:lang w:eastAsia="ru-RU"/>
        </w:rPr>
        <w:t xml:space="preserve"> с откровенным скепсисом руководителей Северного края, Тухачевский, таким образом, мысленно обратился к другому региону со слабой системой наземных сообщений - Средней Азии.). Наконец, как и в меморандумах, внимание фокусировалось на количественных параметрах реконструируемой армии - численности личного состава и технических средств.</w:t>
      </w:r>
    </w:p>
    <w:p w14:paraId="5E54F410"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Однако на совещании Тухачевскому пришлось умерить размах притязаний и придать критике проекта Штаба более конкретную и деловую окраску. Эта тактика принесла свои плоды.</w:t>
      </w:r>
    </w:p>
    <w:p w14:paraId="7C23EAFE"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При отсутствии на совещании его сторонников в Штабе (в частности, В. К </w:t>
      </w:r>
      <w:proofErr w:type="spellStart"/>
      <w:r w:rsidRPr="007122AB">
        <w:rPr>
          <w:rFonts w:ascii="Times New Roman" w:eastAsia="Times New Roman" w:hAnsi="Times New Roman"/>
          <w:color w:val="000000" w:themeColor="text1"/>
          <w:sz w:val="16"/>
          <w:szCs w:val="16"/>
          <w:lang w:eastAsia="ru-RU"/>
        </w:rPr>
        <w:t>Триандафиллова</w:t>
      </w:r>
      <w:proofErr w:type="spellEnd"/>
      <w:r w:rsidRPr="007122AB">
        <w:rPr>
          <w:rFonts w:ascii="Times New Roman" w:eastAsia="Times New Roman" w:hAnsi="Times New Roman"/>
          <w:color w:val="000000" w:themeColor="text1"/>
          <w:sz w:val="16"/>
          <w:szCs w:val="16"/>
          <w:lang w:eastAsia="ru-RU"/>
        </w:rPr>
        <w:t xml:space="preserve">), Тухачевскому удалось заручиться публичной поддержкой со стороны И. Э. Якира (Прежде это у Тухачевского не получалось. На заседании РВС, обсуждавшем больной вопрос о группировках командного и комиссарского состава в РККА в 1928 г., Якир свидетельствовал: "Делал мне предложения и тов. Тухачевский. Но я сказал ему, что в комбинациях участвовать не буду и никаких записок подписывать не стану" (Стенограмма расширенного заседания РВС СССР, 25-27.06.1928 // РГВА. Ф. 4. Оп. 18. Д. 14. Л. 68)).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Украинского военного округа поддержал идею увеличения развертываемых стрелковых дивизий со 130 до 140 даже ценой сокращения их численности (Егоров и </w:t>
      </w:r>
      <w:proofErr w:type="spellStart"/>
      <w:r w:rsidRPr="007122AB">
        <w:rPr>
          <w:rFonts w:ascii="Times New Roman" w:eastAsia="Times New Roman" w:hAnsi="Times New Roman"/>
          <w:color w:val="000000" w:themeColor="text1"/>
          <w:sz w:val="16"/>
          <w:szCs w:val="16"/>
          <w:lang w:eastAsia="ru-RU"/>
        </w:rPr>
        <w:t>Корк</w:t>
      </w:r>
      <w:proofErr w:type="spellEnd"/>
      <w:r w:rsidRPr="007122AB">
        <w:rPr>
          <w:rFonts w:ascii="Times New Roman" w:eastAsia="Times New Roman" w:hAnsi="Times New Roman"/>
          <w:color w:val="000000" w:themeColor="text1"/>
          <w:sz w:val="16"/>
          <w:szCs w:val="16"/>
          <w:lang w:eastAsia="ru-RU"/>
        </w:rPr>
        <w:t xml:space="preserve"> возражали) и присоединился к предложению увеличить масштабы авиационной программы, в том числе путем "закупки в ближайшее время необходимого числа самолетов за валюту" (Перечень основных вопросов, затронутых Командующими войсками на совещании у начальника Штаба РККА, 12.04.1930 //Там же. Л. 91. Несколько командующих также согласились с предложениями Тухачевского по изменению оснащенности и структуре инженерных частей). Заявления Якира в поддержку ускоренной реконструкции РККА были фактором первостепенной важности для изменения расклада сил в военном руководстве. Приняв у Фрунзе самый крупный военный </w:t>
      </w:r>
      <w:proofErr w:type="spellStart"/>
      <w:r w:rsidRPr="007122AB">
        <w:rPr>
          <w:rFonts w:ascii="Times New Roman" w:eastAsia="Times New Roman" w:hAnsi="Times New Roman"/>
          <w:color w:val="000000" w:themeColor="text1"/>
          <w:sz w:val="16"/>
          <w:szCs w:val="16"/>
          <w:lang w:eastAsia="ru-RU"/>
        </w:rPr>
        <w:t>окрут</w:t>
      </w:r>
      <w:proofErr w:type="spellEnd"/>
      <w:r w:rsidRPr="007122AB">
        <w:rPr>
          <w:rFonts w:ascii="Times New Roman" w:eastAsia="Times New Roman" w:hAnsi="Times New Roman"/>
          <w:color w:val="000000" w:themeColor="text1"/>
          <w:sz w:val="16"/>
          <w:szCs w:val="16"/>
          <w:lang w:eastAsia="ru-RU"/>
        </w:rPr>
        <w:t xml:space="preserve">, Якир бессменно командовал им с 1924 г. Его репутация большевика и командира ставила его выше всех остальных военных руководителей (за исключением, возможно, лишь Ворошилова (За два дня до казни И. Э. Якира нарком обороны публично давал ему следующую характеристику: "Якир - человек, который всеми нами считался за самого уважаемого военного работника среди нас. Человек, который умел проникать не только в различные слои командного, начальствующего состава, но человек, который снискал себе очень большие симпатии среди красноармейских масс, человек, который служил для меня образцом в смысле умения подходить к людям, в смысле его умения распознавать, научать окружающих его людей. Я много раз многим товарищам говорил: учитесь у Якира, как нужно" (Стенограмма доклада и заключительного слова К Е. Ворошилова на активе работников НКО СССР, 9.06.1937 // Там же. Л. 9) Несколькими днями ранее, реагируя на слова Щаденко, что он и другие командиры "видели совершенно ясно": недавно арестованные руководители РККА были "облечены доверием" ЦК партии, Сталин внес уточнение: "Особенно Якир и Гамарник" (Стенограмма заседания Военного Совета при НКО СССР, 1-4.06.1937// РГА СПИ. Ф. 17. On. 165. Д. 59 Л. 102). Об отношении наркома к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УВО ("Клим любит Якира") см. также ДУБИНСКИЙ И. В. Особый счет. М., 1989; о доверии Сталина: Минаков С. Т. Советская военная элита 20-х годов: (Состав, эволюция, социокультурные особенности и политическая роль). Орел, 2000. С. 436.). Командировка в Германию прибавила к ней ореол профессионального признания со стороны лучшей армии современности (Решение о "командировании на учебу на один год за границу" Якира было принято Политбюро в ноябре 1928 г. (Протокол № 52 заседания Политбюро ЦК ВКП(б) от 29.11.1928 // Там же. Оп. 3. Д 714. Л. 4). Если указанный срок был выдержан, зимой 1929/30 г. командующий УВО оказался загружен делами округа и поэтому с опозданием мог включиться в дебаты о планировании РККА на конец пятилетки.</w:t>
      </w:r>
    </w:p>
    <w:p w14:paraId="08FB02AB"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lastRenderedPageBreak/>
        <w:t xml:space="preserve">В среде старшего комсостава УВО бытовало представление, что </w:t>
      </w:r>
      <w:proofErr w:type="spellStart"/>
      <w:r w:rsidRPr="007122AB">
        <w:rPr>
          <w:rFonts w:ascii="Times New Roman" w:eastAsia="Times New Roman" w:hAnsi="Times New Roman"/>
          <w:color w:val="000000" w:themeColor="text1"/>
          <w:sz w:val="16"/>
          <w:szCs w:val="16"/>
          <w:lang w:eastAsia="ru-RU"/>
        </w:rPr>
        <w:t>Гиндеибург</w:t>
      </w:r>
      <w:proofErr w:type="spellEnd"/>
      <w:r w:rsidRPr="007122AB">
        <w:rPr>
          <w:rFonts w:ascii="Times New Roman" w:eastAsia="Times New Roman" w:hAnsi="Times New Roman"/>
          <w:color w:val="000000" w:themeColor="text1"/>
          <w:sz w:val="16"/>
          <w:szCs w:val="16"/>
          <w:lang w:eastAsia="ru-RU"/>
        </w:rPr>
        <w:t xml:space="preserve"> даже назвал Якира "советским Мольтке" (ДУБИНСКИЙ И. В. Указ. соч. С. 59).). В мае 1930 г. Якир был награжден третьим орденом Боевого Красного Знамени, и несколькими неделями позже избран кандидатом в члены ЦК ВKП(6), оставаясь с 1927 г. членом Политбюро ЦК КП(б)У.</w:t>
      </w:r>
    </w:p>
    <w:p w14:paraId="20A21F48"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то же время деловое предложение о запрете наземного сообщения между Москвой и Ташкентом для мобилизационного обеспечения транспортной авиацией ясно указывало, на каких масштабах милитаризации страны настаивает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ЛВО. По всей вероятности, итоги совещания 12 апреля подтолкнули Ворошилова к оглашению сталинского письма на заседании РВС СССР, состоявшемся 13 апреля, тем более что и само заседание протекало в отнюдь не благостной атмосфере (22725).</w:t>
      </w:r>
    </w:p>
    <w:p w14:paraId="0696D9BD" w14:textId="77777777" w:rsidR="0076645F" w:rsidRPr="007122AB" w:rsidRDefault="0076645F" w:rsidP="007122AB">
      <w:pPr>
        <w:spacing w:after="0" w:line="240" w:lineRule="auto"/>
        <w:jc w:val="both"/>
        <w:rPr>
          <w:rFonts w:ascii="Times New Roman" w:hAnsi="Times New Roman"/>
          <w:color w:val="000000" w:themeColor="text1"/>
          <w:sz w:val="16"/>
          <w:szCs w:val="16"/>
        </w:rPr>
      </w:pPr>
    </w:p>
    <w:bookmarkEnd w:id="15"/>
    <w:p w14:paraId="571F8BD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043F16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9198EB"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апреля в 1931 году поднялся в воздух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 - бомбардировщик-разведчик, разработанный французской фирмой «</w:t>
      </w:r>
      <w:proofErr w:type="spellStart"/>
      <w:r w:rsidRPr="007122AB">
        <w:rPr>
          <w:rFonts w:ascii="Times New Roman" w:hAnsi="Times New Roman"/>
          <w:color w:val="000000" w:themeColor="text1"/>
          <w:sz w:val="16"/>
          <w:szCs w:val="16"/>
        </w:rPr>
        <w:t>Avions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Компания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основанная Феликсом </w:t>
      </w:r>
      <w:proofErr w:type="spellStart"/>
      <w:r w:rsidRPr="007122AB">
        <w:rPr>
          <w:rFonts w:ascii="Times New Roman" w:hAnsi="Times New Roman"/>
          <w:color w:val="000000" w:themeColor="text1"/>
          <w:sz w:val="16"/>
          <w:szCs w:val="16"/>
        </w:rPr>
        <w:t>Амиотом</w:t>
      </w:r>
      <w:proofErr w:type="spellEnd"/>
      <w:r w:rsidRPr="007122AB">
        <w:rPr>
          <w:rFonts w:ascii="Times New Roman" w:hAnsi="Times New Roman"/>
          <w:color w:val="000000" w:themeColor="text1"/>
          <w:sz w:val="16"/>
          <w:szCs w:val="16"/>
        </w:rPr>
        <w:t xml:space="preserve"> в 1916 г., была одним из участников конкурса на четырёхместный самолёт в так называемой категории многоместных военных самолётов, который мог бы использоваться в качестве дневного или ночного бомбардировщика, а также сопровождающего самолёта с большим радиусом действия и самолёта-разведчика. В конкурсе кроме бомбардировщика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 участвовали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137», «Breguet 410» и «SPCA 30». После проведения испытаний выбор был сделан в пользу самолета «</w:t>
      </w:r>
      <w:proofErr w:type="spellStart"/>
      <w:r w:rsidRPr="007122AB">
        <w:rPr>
          <w:rFonts w:ascii="Times New Roman" w:hAnsi="Times New Roman"/>
          <w:color w:val="000000" w:themeColor="text1"/>
          <w:sz w:val="16"/>
          <w:szCs w:val="16"/>
        </w:rPr>
        <w:t>Avions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Однажды было высказано мнение, что самолёт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 был выбран для серийного производства, потому что оказался самым уродливым из них. Это, без сомнения, выдумка. Пусть он был некрасив внешне, но так или иначе обладал хорошими эксплуатационными качествами. За штурвалом был летчик-испытатель фирмы </w:t>
      </w:r>
      <w:proofErr w:type="spellStart"/>
      <w:r w:rsidRPr="007122AB">
        <w:rPr>
          <w:rFonts w:ascii="Times New Roman" w:hAnsi="Times New Roman"/>
          <w:color w:val="000000" w:themeColor="text1"/>
          <w:sz w:val="16"/>
          <w:szCs w:val="16"/>
        </w:rPr>
        <w:t>Фикинже</w:t>
      </w:r>
      <w:proofErr w:type="spellEnd"/>
      <w:r w:rsidRPr="007122AB">
        <w:rPr>
          <w:rFonts w:ascii="Times New Roman" w:hAnsi="Times New Roman"/>
          <w:color w:val="000000" w:themeColor="text1"/>
          <w:sz w:val="16"/>
          <w:szCs w:val="16"/>
        </w:rPr>
        <w:t>. На самолёте были установлены 12-цилиндровые V-образные моторы водяного охлаждения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«12Nbr» с редуктором «Фарман2. В дальнейшем установленные первоначально двухлопастные винты "</w:t>
      </w:r>
      <w:proofErr w:type="spellStart"/>
      <w:r w:rsidRPr="007122AB">
        <w:rPr>
          <w:rFonts w:ascii="Times New Roman" w:hAnsi="Times New Roman"/>
          <w:color w:val="000000" w:themeColor="text1"/>
          <w:sz w:val="16"/>
          <w:szCs w:val="16"/>
        </w:rPr>
        <w:t>Ратье</w:t>
      </w:r>
      <w:proofErr w:type="spellEnd"/>
      <w:r w:rsidRPr="007122AB">
        <w:rPr>
          <w:rFonts w:ascii="Times New Roman" w:hAnsi="Times New Roman"/>
          <w:color w:val="000000" w:themeColor="text1"/>
          <w:sz w:val="16"/>
          <w:szCs w:val="16"/>
        </w:rPr>
        <w:t>" заменили трёхлопастными, чтобы уменьшить вибрацию в редукторе (15097).</w:t>
      </w:r>
    </w:p>
    <w:p w14:paraId="61A463BC"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4E6206A7"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апреля 1931 года — первый полёт среднего бомбардировщика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140M.</w:t>
      </w:r>
    </w:p>
    <w:p w14:paraId="21A61674"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1928 году Министерство авиации Франции объявило конкурс на дневной/ночной бомбардировщик, разведчик и самолёт сопровождения в одном лице. Фирма </w:t>
      </w:r>
      <w:proofErr w:type="spellStart"/>
      <w:r w:rsidRPr="007122AB">
        <w:rPr>
          <w:rFonts w:ascii="Times New Roman" w:hAnsi="Times New Roman"/>
          <w:color w:val="000000" w:themeColor="text1"/>
          <w:sz w:val="16"/>
          <w:szCs w:val="16"/>
        </w:rPr>
        <w:t>Avions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представила на конкурс проект 140M от команды инженеров под руководством Андре </w:t>
      </w:r>
      <w:proofErr w:type="spellStart"/>
      <w:r w:rsidRPr="007122AB">
        <w:rPr>
          <w:rFonts w:ascii="Times New Roman" w:hAnsi="Times New Roman"/>
          <w:color w:val="000000" w:themeColor="text1"/>
          <w:sz w:val="16"/>
          <w:szCs w:val="16"/>
        </w:rPr>
        <w:t>Дутартра</w:t>
      </w:r>
      <w:proofErr w:type="spellEnd"/>
      <w:r w:rsidRPr="007122AB">
        <w:rPr>
          <w:rFonts w:ascii="Times New Roman" w:hAnsi="Times New Roman"/>
          <w:color w:val="000000" w:themeColor="text1"/>
          <w:sz w:val="16"/>
          <w:szCs w:val="16"/>
        </w:rPr>
        <w:t>.</w:t>
      </w:r>
    </w:p>
    <w:p w14:paraId="7BB82C31"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140M представлял собой двухмоторный высокоплан с двухпалубным фюзеляжем прямоугольного сечения. Типичный представитель неуклюжих и порой уродливых бомбардировщиков начала 1930-х годов. Примечательна «подбородочная» кабина. Экипаж — 4 человека. Вооружение — 5 × 7,5-мм пулемётов МАС + 912 кг бомб.</w:t>
      </w:r>
    </w:p>
    <w:p w14:paraId="63843BA6"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Построили лишь 2 прототипа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140M, один из которых демонстрировали на авиационной выставке Ле-Бурже. В серию самолёт не пошёл, т.к. военные предпочли более совершенный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143, созданный на базе 140-го (22300).</w:t>
      </w:r>
    </w:p>
    <w:p w14:paraId="62F14637"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5D1F8FEF" w14:textId="77777777" w:rsidR="0076645F" w:rsidRPr="007122AB" w:rsidRDefault="007664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апреля 1931 - Поднялся в воздух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140 - бомбардировщик-разведчик, разработанный французской фирмой </w:t>
      </w:r>
      <w:proofErr w:type="spellStart"/>
      <w:r w:rsidRPr="007122AB">
        <w:rPr>
          <w:rFonts w:ascii="Times New Roman" w:hAnsi="Times New Roman"/>
          <w:color w:val="000000" w:themeColor="text1"/>
          <w:sz w:val="16"/>
          <w:szCs w:val="16"/>
        </w:rPr>
        <w:t>Avions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Компания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основанная Феликсом </w:t>
      </w:r>
      <w:proofErr w:type="spellStart"/>
      <w:r w:rsidRPr="007122AB">
        <w:rPr>
          <w:rFonts w:ascii="Times New Roman" w:hAnsi="Times New Roman"/>
          <w:color w:val="000000" w:themeColor="text1"/>
          <w:sz w:val="16"/>
          <w:szCs w:val="16"/>
        </w:rPr>
        <w:t>Амиотом</w:t>
      </w:r>
      <w:proofErr w:type="spellEnd"/>
      <w:r w:rsidRPr="007122AB">
        <w:rPr>
          <w:rFonts w:ascii="Times New Roman" w:hAnsi="Times New Roman"/>
          <w:color w:val="000000" w:themeColor="text1"/>
          <w:sz w:val="16"/>
          <w:szCs w:val="16"/>
        </w:rPr>
        <w:t xml:space="preserve"> в 1916г., была одним из участников конкурса на четырёхместный самолёт в так называемой категории многоместных военных самолётов, который мог бы использоваться в качестве дневного или ночного бомбардировщика, а также сопровождающего самолёта с большим радиусом действия и самолёта-разведчика. В конкурсе кроме бомбардировщика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 участвовали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137, Breguet 410 и SPCA 30. После проведения испытаний выбор был сделан в пользу самолета </w:t>
      </w:r>
      <w:proofErr w:type="spellStart"/>
      <w:r w:rsidRPr="007122AB">
        <w:rPr>
          <w:rFonts w:ascii="Times New Roman" w:hAnsi="Times New Roman"/>
          <w:color w:val="000000" w:themeColor="text1"/>
          <w:sz w:val="16"/>
          <w:szCs w:val="16"/>
        </w:rPr>
        <w:t>Avions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Однажды было высказано мнение, что самолёт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140 был выбран для серийного производства, потому что оказался самым уродливым из них. Это, без сомнения, выдумка. Пусть он был некрасив внешне, но так или иначе обладал хорошими эксплуатационными качествами. За штурвалом был летчик-испытатель фирмы </w:t>
      </w:r>
      <w:proofErr w:type="spellStart"/>
      <w:r w:rsidRPr="007122AB">
        <w:rPr>
          <w:rFonts w:ascii="Times New Roman" w:hAnsi="Times New Roman"/>
          <w:color w:val="000000" w:themeColor="text1"/>
          <w:sz w:val="16"/>
          <w:szCs w:val="16"/>
        </w:rPr>
        <w:t>Фикинже</w:t>
      </w:r>
      <w:proofErr w:type="spellEnd"/>
      <w:r w:rsidRPr="007122AB">
        <w:rPr>
          <w:rFonts w:ascii="Times New Roman" w:hAnsi="Times New Roman"/>
          <w:color w:val="000000" w:themeColor="text1"/>
          <w:sz w:val="16"/>
          <w:szCs w:val="16"/>
        </w:rPr>
        <w:t>. На самолёте были установлены 12-цилиндровые V-образные моторы водяного охлаждения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12Nbr с редуктором "Фарман". В дальнейшем установленные первоначально двухлопастные винты "</w:t>
      </w:r>
      <w:proofErr w:type="spellStart"/>
      <w:r w:rsidRPr="007122AB">
        <w:rPr>
          <w:rFonts w:ascii="Times New Roman" w:hAnsi="Times New Roman"/>
          <w:color w:val="000000" w:themeColor="text1"/>
          <w:sz w:val="16"/>
          <w:szCs w:val="16"/>
        </w:rPr>
        <w:t>Ратье</w:t>
      </w:r>
      <w:proofErr w:type="spellEnd"/>
      <w:r w:rsidRPr="007122AB">
        <w:rPr>
          <w:rFonts w:ascii="Times New Roman" w:hAnsi="Times New Roman"/>
          <w:color w:val="000000" w:themeColor="text1"/>
          <w:sz w:val="16"/>
          <w:szCs w:val="16"/>
        </w:rPr>
        <w:t xml:space="preserve">" заменили трёхлопастными, чтобы уменьшить вибрацию в редукторе. На его базе сконструированы самолёты </w:t>
      </w:r>
      <w:proofErr w:type="spellStart"/>
      <w:r w:rsidRPr="007122AB">
        <w:rPr>
          <w:rFonts w:ascii="Times New Roman" w:hAnsi="Times New Roman"/>
          <w:color w:val="000000" w:themeColor="text1"/>
          <w:sz w:val="16"/>
          <w:szCs w:val="16"/>
        </w:rPr>
        <w:t>Аmiot</w:t>
      </w:r>
      <w:proofErr w:type="spellEnd"/>
      <w:r w:rsidRPr="007122AB">
        <w:rPr>
          <w:rFonts w:ascii="Times New Roman" w:hAnsi="Times New Roman"/>
          <w:color w:val="000000" w:themeColor="text1"/>
          <w:sz w:val="16"/>
          <w:szCs w:val="16"/>
        </w:rPr>
        <w:t xml:space="preserve"> 142 и </w:t>
      </w:r>
      <w:proofErr w:type="spellStart"/>
      <w:r w:rsidRPr="007122AB">
        <w:rPr>
          <w:rFonts w:ascii="Times New Roman" w:hAnsi="Times New Roman"/>
          <w:color w:val="000000" w:themeColor="text1"/>
          <w:sz w:val="16"/>
          <w:szCs w:val="16"/>
        </w:rPr>
        <w:t>Аmiot</w:t>
      </w:r>
      <w:proofErr w:type="spellEnd"/>
      <w:r w:rsidRPr="007122AB">
        <w:rPr>
          <w:rFonts w:ascii="Times New Roman" w:hAnsi="Times New Roman"/>
          <w:color w:val="000000" w:themeColor="text1"/>
          <w:sz w:val="16"/>
          <w:szCs w:val="16"/>
        </w:rPr>
        <w:t xml:space="preserve"> 143 (22537).</w:t>
      </w:r>
    </w:p>
    <w:p w14:paraId="1EE1A981"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7A9300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апреля 1931 в ходе муниципальных выборов в Испании победу в сельских районах одержали монархисты, а в большинстве городов - республиканские партии (3186) и </w:t>
      </w:r>
      <w:proofErr w:type="spellStart"/>
      <w:r w:rsidRPr="007122AB">
        <w:rPr>
          <w:rFonts w:ascii="Times New Roman" w:hAnsi="Times New Roman"/>
          <w:color w:val="000000" w:themeColor="text1"/>
          <w:sz w:val="16"/>
          <w:szCs w:val="16"/>
        </w:rPr>
        <w:t>Н.А.Замора</w:t>
      </w:r>
      <w:proofErr w:type="spellEnd"/>
      <w:r w:rsidRPr="007122AB">
        <w:rPr>
          <w:rFonts w:ascii="Times New Roman" w:hAnsi="Times New Roman"/>
          <w:color w:val="000000" w:themeColor="text1"/>
          <w:sz w:val="16"/>
          <w:szCs w:val="16"/>
        </w:rPr>
        <w:t xml:space="preserve"> потребовал отречения короля (3907,167).</w:t>
      </w:r>
    </w:p>
    <w:p w14:paraId="748A3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E42B5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05EEEA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162640"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13 апреля 1931, судя по решениям Реввоенсовета, наступление на руководство НКВМ со стороны </w:t>
      </w:r>
      <w:proofErr w:type="spellStart"/>
      <w:r w:rsidRPr="007122AB">
        <w:rPr>
          <w:rFonts w:ascii="Times New Roman" w:eastAsia="Times New Roman" w:hAnsi="Times New Roman"/>
          <w:color w:val="000000" w:themeColor="text1"/>
          <w:sz w:val="16"/>
          <w:szCs w:val="16"/>
          <w:lang w:eastAsia="ru-RU"/>
        </w:rPr>
        <w:t>комвойсками</w:t>
      </w:r>
      <w:proofErr w:type="spellEnd"/>
      <w:r w:rsidRPr="007122AB">
        <w:rPr>
          <w:rFonts w:ascii="Times New Roman" w:eastAsia="Times New Roman" w:hAnsi="Times New Roman"/>
          <w:color w:val="000000" w:themeColor="text1"/>
          <w:sz w:val="16"/>
          <w:szCs w:val="16"/>
          <w:lang w:eastAsia="ru-RU"/>
        </w:rPr>
        <w:t xml:space="preserve"> ЛВО и УВО и, вероятно, начальника вооружений РККА было продолжено (Официально заседание РВС СССР 13 апреля не было "расширенным", однако в письме к Сталину Тухачевский назвал его именно так. Это противоречие, вероятно, объясняется тем, что в заседании приняли участие командующие войсками военных округов, совещавшиеся накануне у Шапошникова. По свидетельству Тухачевского, он с характерной для него логикой заявил на заседании, что "для организации нового типа глубокого сражения, необходимо по мобилизации развернуть 8-12 тысяч танков" (Письмо Тухачевского в Политбюро ЦК ВКП Сталину, 19-06.1930. С. 7)). Штабу РККА поручалось внести уточнения в пятилетний план строительства вооруженных сил в соответствии со следующими указаниями РВС:</w:t>
      </w:r>
    </w:p>
    <w:p w14:paraId="64C64C33"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Численность армии военного времени не должна превышать утвержденной Правительством нормы, допуская изменения в сторону увеличения лишь в крайнем случае и в незначительных размерах</w:t>
      </w:r>
    </w:p>
    <w:p w14:paraId="26663066"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Артиллерийская программа должна в основном исходить из утвержденного Правительством количества орудий, допуская увеличение лишь по отдельным системам.</w:t>
      </w:r>
    </w:p>
    <w:p w14:paraId="395B73CD" w14:textId="77777777" w:rsidR="0076645F" w:rsidRPr="007122AB" w:rsidRDefault="0076645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Пересмотреть программу авиации в сторону возможного ее увеличения" (Указания РВС состояли из пяти пунктов. Постановление РВСС цитируется по: Доклад Начальника Штаба РККА Шапошникова в РВС СССР, 18.05.1930// РГВА. Ф. 7. Оп. 10. Д. 1057. Л. 10.) (22725).</w:t>
      </w:r>
    </w:p>
    <w:p w14:paraId="0476428A" w14:textId="77777777" w:rsidR="0076645F" w:rsidRPr="007122AB" w:rsidRDefault="0076645F" w:rsidP="007122AB">
      <w:pPr>
        <w:spacing w:after="0" w:line="240" w:lineRule="auto"/>
        <w:jc w:val="both"/>
        <w:rPr>
          <w:rFonts w:ascii="Times New Roman" w:hAnsi="Times New Roman"/>
          <w:color w:val="000000" w:themeColor="text1"/>
          <w:sz w:val="16"/>
          <w:szCs w:val="16"/>
        </w:rPr>
      </w:pPr>
    </w:p>
    <w:p w14:paraId="04F7A0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апреля 1931 летчики на Р-3ЛД впервые попали под ответный огонь с земли. Басмачи обстреляли самолеты Мищенко и Недосекина.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2AC951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085951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w:t>
      </w:r>
      <w:proofErr w:type="spellStart"/>
      <w:r w:rsidRPr="007122AB">
        <w:rPr>
          <w:rFonts w:ascii="Times New Roman" w:hAnsi="Times New Roman"/>
          <w:color w:val="000000" w:themeColor="text1"/>
          <w:sz w:val="16"/>
          <w:szCs w:val="16"/>
        </w:rPr>
        <w:t>басмшайкой</w:t>
      </w:r>
      <w:proofErr w:type="spellEnd"/>
      <w:r w:rsidRPr="007122AB">
        <w:rPr>
          <w:rFonts w:ascii="Times New Roman" w:hAnsi="Times New Roman"/>
          <w:color w:val="000000" w:themeColor="text1"/>
          <w:sz w:val="16"/>
          <w:szCs w:val="16"/>
        </w:rPr>
        <w:t>,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65A16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7B413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0F8C4F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C2058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25B21B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2A9972"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апреля в 1931 году поднялся в воздух опытный экземпляр бомбардировщика «Boeing» «Model 215», оснащенный двумя звездообразными двигателями «Pratt &amp; Whitney» «</w:t>
      </w:r>
      <w:proofErr w:type="spellStart"/>
      <w:r w:rsidRPr="007122AB">
        <w:rPr>
          <w:rFonts w:ascii="Times New Roman" w:hAnsi="Times New Roman"/>
          <w:color w:val="000000" w:themeColor="text1"/>
          <w:sz w:val="16"/>
          <w:szCs w:val="16"/>
        </w:rPr>
        <w:t>Hornet</w:t>
      </w:r>
      <w:proofErr w:type="spellEnd"/>
      <w:r w:rsidRPr="007122AB">
        <w:rPr>
          <w:rFonts w:ascii="Times New Roman" w:hAnsi="Times New Roman"/>
          <w:color w:val="000000" w:themeColor="text1"/>
          <w:sz w:val="16"/>
          <w:szCs w:val="16"/>
        </w:rPr>
        <w:t>» «R- 1860-13» мощностью 575 л. с. Он испытывался под первоначальным обозначением «XB-901». Удовлетворительное заключение по результатам испытаний привело к его закупке под обозначением «YB-9». Опытные образцы бомбардировщика, созданных в рамках проекта самолета «Model 200» «</w:t>
      </w:r>
      <w:proofErr w:type="spellStart"/>
      <w:r w:rsidRPr="007122AB">
        <w:rPr>
          <w:rFonts w:ascii="Times New Roman" w:hAnsi="Times New Roman"/>
          <w:color w:val="000000" w:themeColor="text1"/>
          <w:sz w:val="16"/>
          <w:szCs w:val="16"/>
        </w:rPr>
        <w:t>Monomail</w:t>
      </w:r>
      <w:proofErr w:type="spellEnd"/>
      <w:r w:rsidRPr="007122AB">
        <w:rPr>
          <w:rFonts w:ascii="Times New Roman" w:hAnsi="Times New Roman"/>
          <w:color w:val="000000" w:themeColor="text1"/>
          <w:sz w:val="16"/>
          <w:szCs w:val="16"/>
        </w:rPr>
        <w:t xml:space="preserve">» имели два двигателя, установленные в гондолах на передней кромке крыла и тонкий фюзеляж для размещения экипажа и вооружения. Оператор бомбометания - стрелок был размещен в носовой части, сразу за ним было место радиста. Позади радиста находились две открытые кабины командира и второго пилота, расположенные </w:t>
      </w:r>
      <w:proofErr w:type="spellStart"/>
      <w:r w:rsidRPr="007122AB">
        <w:rPr>
          <w:rFonts w:ascii="Times New Roman" w:hAnsi="Times New Roman"/>
          <w:color w:val="000000" w:themeColor="text1"/>
          <w:sz w:val="16"/>
          <w:szCs w:val="16"/>
        </w:rPr>
        <w:t>тандемно</w:t>
      </w:r>
      <w:proofErr w:type="spellEnd"/>
      <w:r w:rsidRPr="007122AB">
        <w:rPr>
          <w:rFonts w:ascii="Times New Roman" w:hAnsi="Times New Roman"/>
          <w:color w:val="000000" w:themeColor="text1"/>
          <w:sz w:val="16"/>
          <w:szCs w:val="16"/>
        </w:rPr>
        <w:t>. Четвертая открытая кабина предназначалась для заднего стрелка. Бомбовая нагрузка в 1025 кг размещалась во внутреннем бомбовом отсеке и на подкрыльных бомбодержателях (15098).</w:t>
      </w:r>
    </w:p>
    <w:p w14:paraId="564D6408"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72037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апреля 1931 первый полет выполнил Боинг Модель-215, потом получивший обозначение В-9 и ставший первым бомбардировщиком Боинга (2274).</w:t>
      </w:r>
    </w:p>
    <w:p w14:paraId="0A8E8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C5F2D5" w14:textId="77777777" w:rsidR="00976655" w:rsidRPr="007122AB" w:rsidRDefault="009766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апреля 1931 - Американская летчица Рут Николс установила мировой рекорд скорости - 338,99 километров в час на 3-километровой базе в Карлтоне, штат Миннесота. Самолет Lockheed </w:t>
      </w:r>
      <w:proofErr w:type="spellStart"/>
      <w:r w:rsidRPr="007122AB">
        <w:rPr>
          <w:rFonts w:ascii="Times New Roman" w:hAnsi="Times New Roman"/>
          <w:color w:val="000000" w:themeColor="text1"/>
          <w:sz w:val="16"/>
          <w:szCs w:val="16"/>
        </w:rPr>
        <w:t>Vega</w:t>
      </w:r>
      <w:proofErr w:type="spellEnd"/>
      <w:r w:rsidRPr="007122AB">
        <w:rPr>
          <w:rFonts w:ascii="Times New Roman" w:hAnsi="Times New Roman"/>
          <w:color w:val="000000" w:themeColor="text1"/>
          <w:sz w:val="16"/>
          <w:szCs w:val="16"/>
        </w:rPr>
        <w:t xml:space="preserve"> 5 (22536).</w:t>
      </w:r>
    </w:p>
    <w:p w14:paraId="0501B4B1" w14:textId="77777777" w:rsidR="00976655" w:rsidRPr="007122AB" w:rsidRDefault="00976655" w:rsidP="007122AB">
      <w:pPr>
        <w:spacing w:after="0" w:line="240" w:lineRule="auto"/>
        <w:jc w:val="both"/>
        <w:rPr>
          <w:rFonts w:ascii="Times New Roman" w:hAnsi="Times New Roman"/>
          <w:color w:val="000000" w:themeColor="text1"/>
          <w:sz w:val="16"/>
          <w:szCs w:val="16"/>
        </w:rPr>
      </w:pPr>
    </w:p>
    <w:p w14:paraId="1867E1C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44C8DF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EF2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ЦС Осоавиахима принял обращение построить эскадру дирижаблей им. Ленина (61,66).</w:t>
      </w:r>
    </w:p>
    <w:p w14:paraId="5D1050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65EB8C" w14:textId="77777777" w:rsidR="00030B11" w:rsidRPr="007122AB" w:rsidRDefault="00030B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г. ЦС Союза Осоавиахима СССР, «основываясь на инициативе и почи</w:t>
      </w:r>
      <w:r w:rsidRPr="007122AB">
        <w:rPr>
          <w:rFonts w:ascii="Times New Roman" w:hAnsi="Times New Roman"/>
          <w:color w:val="000000" w:themeColor="text1"/>
          <w:sz w:val="16"/>
          <w:szCs w:val="16"/>
        </w:rPr>
        <w:softHyphen/>
        <w:t>не рабочих красной столицы», принял решение о создании эскадры дирижаблей имени Ленина в составе кораблей: «Ленин», «Сталин», «Ста</w:t>
      </w:r>
      <w:r w:rsidRPr="007122AB">
        <w:rPr>
          <w:rFonts w:ascii="Times New Roman" w:hAnsi="Times New Roman"/>
          <w:color w:val="000000" w:themeColor="text1"/>
          <w:sz w:val="16"/>
          <w:szCs w:val="16"/>
        </w:rPr>
        <w:softHyphen/>
        <w:t>рый большевик», «Правда», «Клим Вороши</w:t>
      </w:r>
      <w:r w:rsidRPr="007122AB">
        <w:rPr>
          <w:rFonts w:ascii="Times New Roman" w:hAnsi="Times New Roman"/>
          <w:color w:val="000000" w:themeColor="text1"/>
          <w:sz w:val="16"/>
          <w:szCs w:val="16"/>
        </w:rPr>
        <w:softHyphen/>
        <w:t>лов», «Осоавиахим» и «Колхозник» с головным дирижаблем «Ленин», «объединяя под этим ло</w:t>
      </w:r>
      <w:r w:rsidRPr="007122AB">
        <w:rPr>
          <w:rFonts w:ascii="Times New Roman" w:hAnsi="Times New Roman"/>
          <w:color w:val="000000" w:themeColor="text1"/>
          <w:sz w:val="16"/>
          <w:szCs w:val="16"/>
        </w:rPr>
        <w:softHyphen/>
        <w:t>зунгом всю проводимую до сего времени все</w:t>
      </w:r>
      <w:r w:rsidRPr="007122AB">
        <w:rPr>
          <w:rFonts w:ascii="Times New Roman" w:hAnsi="Times New Roman"/>
          <w:color w:val="000000" w:themeColor="text1"/>
          <w:sz w:val="16"/>
          <w:szCs w:val="16"/>
        </w:rPr>
        <w:softHyphen/>
        <w:t>ми организациями работу по созданию и сбору средств на советское дирижаблестроение». При этом фраза В.И. Ленина «Подождём, пока у нас будут свои дирижабли» толковалась как призыв к развитию дирижаблестроения в СССР. Проис</w:t>
      </w:r>
      <w:r w:rsidRPr="007122AB">
        <w:rPr>
          <w:rFonts w:ascii="Times New Roman" w:hAnsi="Times New Roman"/>
          <w:color w:val="000000" w:themeColor="text1"/>
          <w:sz w:val="16"/>
          <w:szCs w:val="16"/>
        </w:rPr>
        <w:softHyphen/>
        <w:t>хождение этой фразы следующее. По свидетель</w:t>
      </w:r>
      <w:r w:rsidRPr="007122AB">
        <w:rPr>
          <w:rFonts w:ascii="Times New Roman" w:hAnsi="Times New Roman"/>
          <w:color w:val="000000" w:themeColor="text1"/>
          <w:sz w:val="16"/>
          <w:szCs w:val="16"/>
        </w:rPr>
        <w:softHyphen/>
        <w:t>ству большевика Ф.Н. Ильина при обсуждении в сентябре 1914 г. группой интернационалистов в Берне тезисов Ленина «Задачи революцион</w:t>
      </w:r>
      <w:r w:rsidRPr="007122AB">
        <w:rPr>
          <w:rFonts w:ascii="Times New Roman" w:hAnsi="Times New Roman"/>
          <w:color w:val="000000" w:themeColor="text1"/>
          <w:sz w:val="16"/>
          <w:szCs w:val="16"/>
        </w:rPr>
        <w:softHyphen/>
        <w:t>ной социал-демократии в европейской войне», он счёл невыполнимым седьмой пункт тезисов, в котором говорилось о распространении анти</w:t>
      </w:r>
      <w:r w:rsidRPr="007122AB">
        <w:rPr>
          <w:rFonts w:ascii="Times New Roman" w:hAnsi="Times New Roman"/>
          <w:color w:val="000000" w:themeColor="text1"/>
          <w:sz w:val="16"/>
          <w:szCs w:val="16"/>
        </w:rPr>
        <w:softHyphen/>
        <w:t>военных листовок в окопах всех воюющих ар</w:t>
      </w:r>
      <w:r w:rsidRPr="007122AB">
        <w:rPr>
          <w:rFonts w:ascii="Times New Roman" w:hAnsi="Times New Roman"/>
          <w:color w:val="000000" w:themeColor="text1"/>
          <w:sz w:val="16"/>
          <w:szCs w:val="16"/>
        </w:rPr>
        <w:softHyphen/>
        <w:t>мий: «Вот если бы у нас были свои дирижабли, как у немцев, тогда мы наводнили бы окопы сво</w:t>
      </w:r>
      <w:r w:rsidRPr="007122AB">
        <w:rPr>
          <w:rFonts w:ascii="Times New Roman" w:hAnsi="Times New Roman"/>
          <w:color w:val="000000" w:themeColor="text1"/>
          <w:sz w:val="16"/>
          <w:szCs w:val="16"/>
        </w:rPr>
        <w:softHyphen/>
        <w:t>ими листовками. Иначе это — одна фантазия». При следующей встрече с Ильиным Ленин ска</w:t>
      </w:r>
      <w:r w:rsidRPr="007122AB">
        <w:rPr>
          <w:rFonts w:ascii="Times New Roman" w:hAnsi="Times New Roman"/>
          <w:color w:val="000000" w:themeColor="text1"/>
          <w:sz w:val="16"/>
          <w:szCs w:val="16"/>
        </w:rPr>
        <w:softHyphen/>
        <w:t>зал, что это положение он вычеркнул, и добавил: «Действительно, подождём, пока у нас будут свои дирижабли». Имеется, однако, одно бесспорное свидетельство интереса Ленина к дирижаблям. Завершая в 1916 г. свой труд «Империализм, как высшая стадия капитализма», он сделал выписку в рабочую тетрадь из книги германского правого социал-демократа Павла Ленча «Социал-демо</w:t>
      </w:r>
      <w:r w:rsidRPr="007122AB">
        <w:rPr>
          <w:rFonts w:ascii="Times New Roman" w:hAnsi="Times New Roman"/>
          <w:color w:val="000000" w:themeColor="text1"/>
          <w:sz w:val="16"/>
          <w:szCs w:val="16"/>
        </w:rPr>
        <w:softHyphen/>
        <w:t>кратия, её конец и её успехи»: «подводные лодки и цеппелины &lt;...&gt; «начало конца» английского господствующего положения» и добавил от себя в скобках: «их роль ещё сильнее будет потом, по</w:t>
      </w:r>
      <w:r w:rsidRPr="007122AB">
        <w:rPr>
          <w:rFonts w:ascii="Times New Roman" w:hAnsi="Times New Roman"/>
          <w:color w:val="000000" w:themeColor="text1"/>
          <w:sz w:val="16"/>
          <w:szCs w:val="16"/>
        </w:rPr>
        <w:softHyphen/>
        <w:t>сле войны» (20120).</w:t>
      </w:r>
    </w:p>
    <w:p w14:paraId="710A3B30" w14:textId="77777777" w:rsidR="00030B11" w:rsidRPr="007122AB" w:rsidRDefault="00030B11" w:rsidP="007122AB">
      <w:pPr>
        <w:spacing w:after="0" w:line="240" w:lineRule="auto"/>
        <w:jc w:val="both"/>
        <w:rPr>
          <w:rFonts w:ascii="Times New Roman" w:hAnsi="Times New Roman"/>
          <w:color w:val="000000" w:themeColor="text1"/>
          <w:sz w:val="16"/>
          <w:szCs w:val="16"/>
        </w:rPr>
      </w:pPr>
    </w:p>
    <w:p w14:paraId="308D9EC5" w14:textId="77777777" w:rsidR="00030B11" w:rsidRPr="007122AB" w:rsidRDefault="00030B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г. ЦС Осоавиахима принял обращение "Ко всем рабочим, колхозникам и трудящимся СССР, ко всем организациям и членам Осоавиахима".</w:t>
      </w:r>
    </w:p>
    <w:p w14:paraId="4410A8A2" w14:textId="77777777" w:rsidR="00030B11" w:rsidRPr="007122AB" w:rsidRDefault="00030B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нем говорилось, что рабочие московских заводов "Серп и молот", "Каучук", "Динамо", "Ильича" "...бросили лозунг построить эскадру дирижаблей имени Ленина". Основываясь на этой инициативе, ЦС "...принял решение о создании эскадры имени Ленина в составе дирижаблей: "Ленин", "Сталин", "Старый большевик", "Правда", "Клим Ворошилов", "Осоавиахим" и "Колхозник"...".</w:t>
      </w:r>
    </w:p>
    <w:p w14:paraId="4E222A1D" w14:textId="77777777" w:rsidR="00030B11" w:rsidRPr="007122AB" w:rsidRDefault="00030B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в обращении предлагалось развертывать соцсоревнование по сбору средств на эскадру среди всех слоев населения. В том числе и между "...заводами, колхозами, селами и деревнями.. " Сбор средств шел под лозунгом претворения в жизнь "исторических слов Ленина: "У нас будут свои дирижабли! ""</w:t>
      </w:r>
    </w:p>
    <w:p w14:paraId="0FB67D85" w14:textId="77777777" w:rsidR="00030B11" w:rsidRPr="007122AB" w:rsidRDefault="00030B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Интересны обстоятельства, при которых В. И. Ленин вспомнил о дирижаблях. По рассказу старого большевика Ф. И. Ильина, эти события развертывались следующим образом. Шла первая мировая война. Лидеры большевиков, находясь в эмиграции в нейтральной Швейцарии, были озабочены задачей быстрейшего развала фронта русской армии. На одном из совещаний Ленин выступил с предложением начать по всему фронту массовое распространение листовок, призывающих солдат повернуть оружие против своего правительства. Один из его соратников заметил, что громадная протяженность фронта делает эту задачу практически невыполнимой и что ее можно было бы решить, имей большевики в своем распоряжении такую технику, как немецкие цеппелины. Ленин согласился с этим, снял свое предложение и сказал: "Подождем, пока у нас будут свои дирижабли" (21379)</w:t>
      </w:r>
      <w:r w:rsidRPr="007122AB">
        <w:rPr>
          <w:rFonts w:ascii="Times New Roman" w:hAnsi="Times New Roman"/>
          <w:bCs/>
          <w:color w:val="000000" w:themeColor="text1"/>
          <w:sz w:val="16"/>
          <w:szCs w:val="16"/>
        </w:rPr>
        <w:t>.</w:t>
      </w:r>
    </w:p>
    <w:p w14:paraId="66FA08C4" w14:textId="77777777" w:rsidR="00030B11" w:rsidRPr="007122AB" w:rsidRDefault="00030B11" w:rsidP="007122AB">
      <w:pPr>
        <w:spacing w:after="0" w:line="240" w:lineRule="auto"/>
        <w:jc w:val="both"/>
        <w:rPr>
          <w:rFonts w:ascii="Times New Roman" w:hAnsi="Times New Roman"/>
          <w:color w:val="000000" w:themeColor="text1"/>
          <w:sz w:val="16"/>
          <w:szCs w:val="16"/>
        </w:rPr>
      </w:pPr>
    </w:p>
    <w:p w14:paraId="55E8782C" w14:textId="77777777" w:rsidR="00824AB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2570F24" w14:textId="77777777" w:rsidR="00824AB6" w:rsidRPr="007122AB" w:rsidRDefault="00824AB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ECCC24"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апреля 1931 г. Постановление Президиума ВСНХ СССР о </w:t>
      </w:r>
      <w:proofErr w:type="spellStart"/>
      <w:r w:rsidRPr="007122AB">
        <w:rPr>
          <w:rFonts w:ascii="Times New Roman" w:hAnsi="Times New Roman"/>
          <w:color w:val="000000" w:themeColor="text1"/>
          <w:sz w:val="16"/>
          <w:szCs w:val="16"/>
        </w:rPr>
        <w:t>дровоснабжении</w:t>
      </w:r>
      <w:proofErr w:type="spellEnd"/>
      <w:r w:rsidRPr="007122AB">
        <w:rPr>
          <w:rFonts w:ascii="Times New Roman" w:hAnsi="Times New Roman"/>
          <w:color w:val="000000" w:themeColor="text1"/>
          <w:sz w:val="16"/>
          <w:szCs w:val="16"/>
        </w:rPr>
        <w:t xml:space="preserve"> Ижевского завода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(РГАЭ. Ф. 3429. Оп. 1. Д. 5244. Л. 55?56) (12417).</w:t>
      </w:r>
    </w:p>
    <w:p w14:paraId="476068C7"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58A0831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0D2F4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ED8F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г. самолеты Р-3ЛД обнаружили банду Кур-Артыка на переправе через реку Кызыл-Су. Басмачей атаковали девять машин. Сбросив бомбы, они смогли остановить переправу. Затем летчики разыскали расположение красноармейцев и повели их к реке. Перед двумя эскадронами кавалерии басмачам было не устоять- они бросились врассыпную. На месте боя начитали 101 труп, трех человек взяли в плен; трофеями стали 21 винтовка и 67 лошадей.</w:t>
      </w:r>
    </w:p>
    <w:p w14:paraId="4FAEB8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Через три дня Кур-Артык попался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7CF50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w:t>
      </w:r>
      <w:proofErr w:type="spellStart"/>
      <w:r w:rsidRPr="007122AB">
        <w:rPr>
          <w:rFonts w:ascii="Times New Roman" w:hAnsi="Times New Roman"/>
          <w:color w:val="000000" w:themeColor="text1"/>
          <w:sz w:val="16"/>
          <w:szCs w:val="16"/>
        </w:rPr>
        <w:t>Терегли</w:t>
      </w:r>
      <w:proofErr w:type="spellEnd"/>
      <w:r w:rsidRPr="007122AB">
        <w:rPr>
          <w:rFonts w:ascii="Times New Roman" w:hAnsi="Times New Roman"/>
          <w:color w:val="000000" w:themeColor="text1"/>
          <w:sz w:val="16"/>
          <w:szCs w:val="16"/>
        </w:rPr>
        <w:t>-Тау.</w:t>
      </w:r>
    </w:p>
    <w:p w14:paraId="6030B5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47BA1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Ибрагим-беку тоже досталось. Он рвался в </w:t>
      </w:r>
      <w:proofErr w:type="spellStart"/>
      <w:r w:rsidRPr="007122AB">
        <w:rPr>
          <w:rFonts w:ascii="Times New Roman" w:hAnsi="Times New Roman"/>
          <w:color w:val="000000" w:themeColor="text1"/>
          <w:sz w:val="16"/>
          <w:szCs w:val="16"/>
        </w:rPr>
        <w:t>Локайский</w:t>
      </w:r>
      <w:proofErr w:type="spellEnd"/>
      <w:r w:rsidRPr="007122AB">
        <w:rPr>
          <w:rFonts w:ascii="Times New Roman" w:hAnsi="Times New Roman"/>
          <w:color w:val="000000" w:themeColor="text1"/>
          <w:sz w:val="16"/>
          <w:szCs w:val="16"/>
        </w:rPr>
        <w:t xml:space="preserve">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w:t>
      </w:r>
      <w:proofErr w:type="spellStart"/>
      <w:r w:rsidRPr="007122AB">
        <w:rPr>
          <w:rFonts w:ascii="Times New Roman" w:hAnsi="Times New Roman"/>
          <w:color w:val="000000" w:themeColor="text1"/>
          <w:sz w:val="16"/>
          <w:szCs w:val="16"/>
        </w:rPr>
        <w:t>Джар</w:t>
      </w:r>
      <w:proofErr w:type="spellEnd"/>
      <w:r w:rsidRPr="007122AB">
        <w:rPr>
          <w:rFonts w:ascii="Times New Roman" w:hAnsi="Times New Roman"/>
          <w:color w:val="000000" w:themeColor="text1"/>
          <w:sz w:val="16"/>
          <w:szCs w:val="16"/>
        </w:rPr>
        <w:t>.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4A350A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6FE2D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6CB198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3E6AB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9920F9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6D8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апреля 1931 г. в ходе визита в Берлин заместителя председателя ВСНХ Ю. Л. Пятакова. в Берлине было оформлено соглашение между ВСНХ и представителями германской промышленности о предоставлении СССР кредита в 300 млн. марок («соглашение Пятакова»). На эту сумму СССР обязался с 15 апреля по 31 августа 1931 г. разместить дополнительные заказы (ДВП СССР, т. XIV, с. 118, с. 778-781.). Очевидно, что, как и ранее, часть, — возможно, большая, — данного кредита была использована под военно-промышленные заказы. Известно, что в середине 1931 г. еще одна советская военная делегация вела в Берлине переговоры с управлением вооружений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w:t>
      </w:r>
      <w:proofErr w:type="spellStart"/>
      <w:r w:rsidRPr="007122AB">
        <w:rPr>
          <w:rFonts w:ascii="Times New Roman" w:hAnsi="Times New Roman"/>
          <w:color w:val="000000" w:themeColor="text1"/>
          <w:sz w:val="16"/>
          <w:szCs w:val="16"/>
        </w:rPr>
        <w:t>Rolf-Dieter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Muller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S. 231). С учетом заказов под данный кредит общая сумма советских заказов в Германии в 1931 г. составила 919,3 млн. м., превзойдя аналогичный показатель 1930 г. на 62,3%. «Советский Союз был в 1931 г. лучшим покупателем наших машин», — свидетельствовала тогда германская пресса (11784).</w:t>
      </w:r>
    </w:p>
    <w:p w14:paraId="6D060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7614C7" w14:textId="77777777" w:rsidR="009459B0" w:rsidRPr="007122AB" w:rsidRDefault="009459B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апреля 1931 г. после визита в Берлин заместителя председателя ВСНХ Ю. Л. Пятакова в Берлине было оформлено соглашение между ВСНХ и представителями германской промышленности о предоставлении СССР кредита в 300 млн. марок («соглашение Пятакова»). На эту сумму СССР обязался с 15 апреля по 31 августа 1931 г. разместить дополнительные заказы. Очевидно, что, как и ранее, часть, — возможно, большая, — данного кредита была использована под военно-промышленные заказы. Известно, что в середине 1931 г. еще одна советская военная делегация вела в Берлине переговоры с управлением вооружений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С учетом заказов под данный кредит общая сумма советских заказов в Германии в 1931 г. составила 919,3 млн. м., превзойдя аналогичный показатель 1930 г. на 62,3 %. «Советский Союз был в 1931 г. лучшим покупателем наших машин», — свидетельствовала тогда германская пресса (18265).</w:t>
      </w:r>
    </w:p>
    <w:p w14:paraId="3F07E3B2" w14:textId="77777777" w:rsidR="009459B0" w:rsidRPr="007122AB" w:rsidRDefault="009459B0" w:rsidP="007122AB">
      <w:pPr>
        <w:spacing w:after="0" w:line="240" w:lineRule="auto"/>
        <w:jc w:val="both"/>
        <w:rPr>
          <w:rFonts w:ascii="Times New Roman" w:hAnsi="Times New Roman"/>
          <w:color w:val="000000" w:themeColor="text1"/>
          <w:sz w:val="16"/>
          <w:szCs w:val="16"/>
        </w:rPr>
      </w:pPr>
    </w:p>
    <w:p w14:paraId="2CB6EF7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10E87B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A07822" w14:textId="77777777" w:rsidR="00C260B7" w:rsidRPr="007122AB" w:rsidRDefault="00C260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Гондурас основывает Национальную авиационную школу. Это предшественник ВВС Гондураса (20804).</w:t>
      </w:r>
    </w:p>
    <w:p w14:paraId="6E2D998C" w14:textId="77777777" w:rsidR="00C260B7" w:rsidRPr="007122AB" w:rsidRDefault="00C260B7" w:rsidP="007122AB">
      <w:pPr>
        <w:spacing w:after="0" w:line="240" w:lineRule="auto"/>
        <w:jc w:val="both"/>
        <w:rPr>
          <w:rFonts w:ascii="Times New Roman" w:hAnsi="Times New Roman"/>
          <w:color w:val="000000" w:themeColor="text1"/>
          <w:sz w:val="16"/>
          <w:szCs w:val="16"/>
        </w:rPr>
      </w:pPr>
    </w:p>
    <w:p w14:paraId="25797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в Англии был опубликован первый дорожный кодекс (3481).</w:t>
      </w:r>
    </w:p>
    <w:p w14:paraId="406161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DAE5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был низложен король Испании Алонсо 13 (2100).</w:t>
      </w:r>
    </w:p>
    <w:p w14:paraId="52A3BE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BE4B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апреля 1931 в Испании свергнут король и провозглашена республика (4962).</w:t>
      </w:r>
    </w:p>
    <w:p w14:paraId="155F19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59FD5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3586A5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F54C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апреля 1931 28 завод сдал первый комплект лыж для АНТ-7 (Р-6) и их сразу поставили на опытную машину. Испытывали и укороченные лыжи от АНТ-9 (2671,14).</w:t>
      </w:r>
    </w:p>
    <w:p w14:paraId="0A858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EF0430"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апреля 1931 завод № 28 сдал первый пробный комплект лыж для Р-6. Их сразу, пока ещё лежал снег, поставили на Р-6; на нём опробовали также укороченные лыжи от АНТ-9 (12264).</w:t>
      </w:r>
    </w:p>
    <w:p w14:paraId="4F807828"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0E8E84C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879B0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526CB9"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34. 8. Об импорте оборудования для Нижегородского автозавода (12416).</w:t>
      </w:r>
    </w:p>
    <w:p w14:paraId="7A21DC9B"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 xml:space="preserve">9. О ходе работ на Сталинградском тракторном заводе (ПБ от 10 декабря 1930 г., пр. № 20, п. 4/10) (Михайлов, Орджоникидзе, Озерский, </w:t>
      </w:r>
      <w:proofErr w:type="spellStart"/>
      <w:r w:rsidRPr="007122AB">
        <w:rPr>
          <w:rFonts w:ascii="Times New Roman" w:hAnsi="Times New Roman"/>
          <w:color w:val="000000" w:themeColor="text1"/>
          <w:sz w:val="16"/>
          <w:szCs w:val="16"/>
          <w:u w:color="002060"/>
        </w:rPr>
        <w:t>Шершов</w:t>
      </w:r>
      <w:proofErr w:type="spellEnd"/>
      <w:r w:rsidRPr="007122AB">
        <w:rPr>
          <w:rFonts w:ascii="Times New Roman" w:hAnsi="Times New Roman"/>
          <w:color w:val="000000" w:themeColor="text1"/>
          <w:sz w:val="16"/>
          <w:szCs w:val="16"/>
          <w:u w:color="002060"/>
        </w:rPr>
        <w:t xml:space="preserve">). 31. О кадрах командного состава </w:t>
      </w:r>
      <w:proofErr w:type="spellStart"/>
      <w:r w:rsidRPr="007122AB">
        <w:rPr>
          <w:rFonts w:ascii="Times New Roman" w:hAnsi="Times New Roman"/>
          <w:color w:val="000000" w:themeColor="text1"/>
          <w:sz w:val="16"/>
          <w:szCs w:val="16"/>
          <w:u w:color="002060"/>
        </w:rPr>
        <w:t>НКВМора</w:t>
      </w:r>
      <w:proofErr w:type="spellEnd"/>
      <w:r w:rsidRPr="007122AB">
        <w:rPr>
          <w:rFonts w:ascii="Times New Roman" w:hAnsi="Times New Roman"/>
          <w:color w:val="000000" w:themeColor="text1"/>
          <w:sz w:val="16"/>
          <w:szCs w:val="16"/>
          <w:u w:color="002060"/>
        </w:rPr>
        <w:t xml:space="preserve"> (ПБ от 25 февраля 1931 г., пр. № 21, п. 27). (Политбюро... Т. 2. С. 152, 153) (12416).</w:t>
      </w:r>
    </w:p>
    <w:p w14:paraId="001919A1" w14:textId="77777777" w:rsidR="00824AB6" w:rsidRPr="007122AB" w:rsidRDefault="00824AB6" w:rsidP="007122AB">
      <w:pPr>
        <w:spacing w:after="0" w:line="240" w:lineRule="auto"/>
        <w:jc w:val="both"/>
        <w:rPr>
          <w:rFonts w:ascii="Times New Roman" w:hAnsi="Times New Roman"/>
          <w:color w:val="000000" w:themeColor="text1"/>
          <w:sz w:val="16"/>
          <w:szCs w:val="16"/>
          <w:u w:color="002060"/>
        </w:rPr>
      </w:pPr>
    </w:p>
    <w:p w14:paraId="5DF8D794"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15 апреля 1931 </w:t>
      </w:r>
      <w:r w:rsidRPr="007122AB">
        <w:rPr>
          <w:rFonts w:ascii="Times New Roman" w:hAnsi="Times New Roman"/>
          <w:color w:val="000000" w:themeColor="text1"/>
          <w:sz w:val="16"/>
          <w:szCs w:val="16"/>
        </w:rPr>
        <w:t>Политбюро ЦК ВКП (б) одобрило предложение СНК о порядке отчисления прибылей промышленности в бюджет; обратило внимание Комиссии исполнения при СНК на необходимость добиться полного выполнения решений ЦК ВКП (б) и СНК о своевременном снабжении оборудованием Нижегородского автомобильного завода; признало неудовлетворительным состояние работ на Сталинградском тракторном заводе и предложило ВСНХ принять меры по устранению недостатков; признало необходимым организовать разработки угольных залежей Печорского бассейна в 1931 г. и форсировать разведки нефти на Ухте (12265).</w:t>
      </w:r>
    </w:p>
    <w:p w14:paraId="2E733B69"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5BAE8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апреля 1931 Нач. МС РККА </w:t>
      </w:r>
      <w:proofErr w:type="spellStart"/>
      <w:r w:rsidRPr="007122AB">
        <w:rPr>
          <w:rFonts w:ascii="Times New Roman" w:hAnsi="Times New Roman"/>
          <w:color w:val="000000" w:themeColor="text1"/>
          <w:sz w:val="16"/>
          <w:szCs w:val="16"/>
        </w:rPr>
        <w:t>Р.А.Муклевич</w:t>
      </w:r>
      <w:proofErr w:type="spellEnd"/>
      <w:r w:rsidRPr="007122AB">
        <w:rPr>
          <w:rFonts w:ascii="Times New Roman" w:hAnsi="Times New Roman"/>
          <w:color w:val="000000" w:themeColor="text1"/>
          <w:sz w:val="16"/>
          <w:szCs w:val="16"/>
        </w:rPr>
        <w:t xml:space="preserve"> обратился с письмом к Пред. РВС К.Е.В. с предложением создать НИИ военного кораблестроения (10346,21).</w:t>
      </w:r>
    </w:p>
    <w:p w14:paraId="3E823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F1FBD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257684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4871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апреля 1931 в ресторане Нью-Йорка убит глава американской мафии Джузеппе </w:t>
      </w:r>
      <w:proofErr w:type="spellStart"/>
      <w:r w:rsidRPr="007122AB">
        <w:rPr>
          <w:rFonts w:ascii="Times New Roman" w:hAnsi="Times New Roman"/>
          <w:color w:val="000000" w:themeColor="text1"/>
          <w:sz w:val="16"/>
          <w:szCs w:val="16"/>
        </w:rPr>
        <w:t>Массериа</w:t>
      </w:r>
      <w:proofErr w:type="spellEnd"/>
      <w:r w:rsidRPr="007122AB">
        <w:rPr>
          <w:rFonts w:ascii="Times New Roman" w:hAnsi="Times New Roman"/>
          <w:color w:val="000000" w:themeColor="text1"/>
          <w:sz w:val="16"/>
          <w:szCs w:val="16"/>
        </w:rPr>
        <w:t xml:space="preserve"> (4962).</w:t>
      </w:r>
    </w:p>
    <w:p w14:paraId="5C3E5D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7EAA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211C8E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54532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середины апреля 1931 года ЦАГИ совместно с НИИ начали полеты на специально оборудованном самолете И-5 для снятия характеристики штопора (6918).</w:t>
      </w:r>
    </w:p>
    <w:p w14:paraId="4105E8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AF12C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970D0A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00B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апреля 1931 года было подготовлено Заключение по испытанию лыж на самолете Р-5.</w:t>
      </w:r>
    </w:p>
    <w:p w14:paraId="1F6D1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испытание были присланы с завода N 28 лыжи за N 8118 серии 3.</w:t>
      </w:r>
    </w:p>
    <w:p w14:paraId="365CD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состояло в том, что прочно ли будет держать обшивку оцинкованные гвозди при жестких посадках?</w:t>
      </w:r>
    </w:p>
    <w:p w14:paraId="237EE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производилось на сам. Р-5 N 4316.</w:t>
      </w:r>
    </w:p>
    <w:p w14:paraId="56C9F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испытания было сделано 8 полетов продолжительностью 3 часа 25 мин. Из них специальных - 6 с парашютом в 0,5 м.</w:t>
      </w:r>
    </w:p>
    <w:p w14:paraId="1C91B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испытаний оказалось, что никаких намеков на выскакивание гвоздей из обшивки не наблюдается.</w:t>
      </w:r>
    </w:p>
    <w:p w14:paraId="1C1BF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w:t>
      </w:r>
    </w:p>
    <w:p w14:paraId="775E72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Лыжи нормальные, обшитые по борту гвоздями оцинкованными, вместо шурупов, пригодны к эксплуатации (3237,33).</w:t>
      </w:r>
    </w:p>
    <w:p w14:paraId="7D6BE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D2AF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апреля 1931 года после ремонта вновь было приступлено к проведению испытаний геликоптера СОК ЭАО ЦАГИ. После испытаний на привязи было приступлено вновь к свободным испытаниям (6926, 5).</w:t>
      </w:r>
    </w:p>
    <w:p w14:paraId="1DA188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03E6C" w14:textId="77777777" w:rsidR="00F67F51" w:rsidRPr="007122AB" w:rsidRDefault="00F67F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апреля 1931 года на заседании Бюро </w:t>
      </w:r>
      <w:proofErr w:type="spellStart"/>
      <w:r w:rsidRPr="007122AB">
        <w:rPr>
          <w:rFonts w:ascii="Times New Roman" w:hAnsi="Times New Roman"/>
          <w:color w:val="000000" w:themeColor="text1"/>
          <w:sz w:val="16"/>
          <w:szCs w:val="16"/>
        </w:rPr>
        <w:t>партколлектива</w:t>
      </w:r>
      <w:proofErr w:type="spellEnd"/>
      <w:r w:rsidRPr="007122AB">
        <w:rPr>
          <w:rFonts w:ascii="Times New Roman" w:hAnsi="Times New Roman"/>
          <w:color w:val="000000" w:themeColor="text1"/>
          <w:sz w:val="16"/>
          <w:szCs w:val="16"/>
        </w:rPr>
        <w:t xml:space="preserve"> ячейки ЦАГИ при об</w:t>
      </w:r>
      <w:r w:rsidRPr="007122AB">
        <w:rPr>
          <w:rFonts w:ascii="Times New Roman" w:hAnsi="Times New Roman"/>
          <w:color w:val="000000" w:themeColor="text1"/>
          <w:sz w:val="16"/>
          <w:szCs w:val="16"/>
        </w:rPr>
        <w:softHyphen/>
        <w:t>суждении результатов обследования ОИАМ комиссией УВВС было отмечено, что ОИАМ перерос «свои прежние рамки» ввиду охвата им большого круга решаемых за</w:t>
      </w:r>
      <w:r w:rsidRPr="007122AB">
        <w:rPr>
          <w:rFonts w:ascii="Times New Roman" w:hAnsi="Times New Roman"/>
          <w:color w:val="000000" w:themeColor="text1"/>
          <w:sz w:val="16"/>
          <w:szCs w:val="16"/>
        </w:rPr>
        <w:softHyphen/>
        <w:t>дач. Но, в то же время, некоторые недостатки в его работе позволили характеризовать отдел «как не отвечающий полностью задачам обороны сегодняшнего дня». Таким об</w:t>
      </w:r>
      <w:r w:rsidRPr="007122AB">
        <w:rPr>
          <w:rFonts w:ascii="Times New Roman" w:hAnsi="Times New Roman"/>
          <w:color w:val="000000" w:themeColor="text1"/>
          <w:sz w:val="16"/>
          <w:szCs w:val="16"/>
        </w:rPr>
        <w:softHyphen/>
        <w:t>разом, выделение ОИАМ из ЦАГИ сочли преждевременным (19096).</w:t>
      </w:r>
    </w:p>
    <w:p w14:paraId="79678DB9" w14:textId="77777777" w:rsidR="00F67F51" w:rsidRPr="007122AB" w:rsidRDefault="00F67F51" w:rsidP="007122AB">
      <w:pPr>
        <w:spacing w:after="0" w:line="240" w:lineRule="auto"/>
        <w:jc w:val="both"/>
        <w:rPr>
          <w:rFonts w:ascii="Times New Roman" w:hAnsi="Times New Roman"/>
          <w:color w:val="000000" w:themeColor="text1"/>
          <w:sz w:val="16"/>
          <w:szCs w:val="16"/>
        </w:rPr>
      </w:pPr>
    </w:p>
    <w:p w14:paraId="14B4DFE8" w14:textId="77777777" w:rsidR="00824AB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9FE77C2" w14:textId="77777777" w:rsidR="00824AB6" w:rsidRPr="007122AB" w:rsidRDefault="00824AB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453B53" w14:textId="77777777" w:rsidR="00824AB6" w:rsidRPr="007122AB" w:rsidRDefault="00824A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апреля 1931 г. Постановление Президиума ВСНХ СССР о реконструкции Ижевского завода (ГА РФ. Ф. Р-8418. Оп. 5. Д. 39. Л. 3) (12417).</w:t>
      </w:r>
    </w:p>
    <w:p w14:paraId="25019DB8" w14:textId="77777777" w:rsidR="00824AB6" w:rsidRPr="007122AB" w:rsidRDefault="00824AB6" w:rsidP="007122AB">
      <w:pPr>
        <w:spacing w:after="0" w:line="240" w:lineRule="auto"/>
        <w:jc w:val="both"/>
        <w:rPr>
          <w:rFonts w:ascii="Times New Roman" w:hAnsi="Times New Roman"/>
          <w:color w:val="000000" w:themeColor="text1"/>
          <w:sz w:val="16"/>
          <w:szCs w:val="16"/>
        </w:rPr>
      </w:pPr>
    </w:p>
    <w:p w14:paraId="4A0C690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925C21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943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апреля 1931 банда Кур-Артыка попалась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0A384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w:t>
      </w:r>
      <w:proofErr w:type="spellStart"/>
      <w:r w:rsidRPr="007122AB">
        <w:rPr>
          <w:rFonts w:ascii="Times New Roman" w:hAnsi="Times New Roman"/>
          <w:color w:val="000000" w:themeColor="text1"/>
          <w:sz w:val="16"/>
          <w:szCs w:val="16"/>
        </w:rPr>
        <w:t>Терегли</w:t>
      </w:r>
      <w:proofErr w:type="spellEnd"/>
      <w:r w:rsidRPr="007122AB">
        <w:rPr>
          <w:rFonts w:ascii="Times New Roman" w:hAnsi="Times New Roman"/>
          <w:color w:val="000000" w:themeColor="text1"/>
          <w:sz w:val="16"/>
          <w:szCs w:val="16"/>
        </w:rPr>
        <w:t>-Тау.</w:t>
      </w:r>
    </w:p>
    <w:p w14:paraId="2D0B9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31C140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Ибрагим-беку тоже досталось. Он рвался в </w:t>
      </w:r>
      <w:proofErr w:type="spellStart"/>
      <w:r w:rsidRPr="007122AB">
        <w:rPr>
          <w:rFonts w:ascii="Times New Roman" w:hAnsi="Times New Roman"/>
          <w:color w:val="000000" w:themeColor="text1"/>
          <w:sz w:val="16"/>
          <w:szCs w:val="16"/>
        </w:rPr>
        <w:t>Локайский</w:t>
      </w:r>
      <w:proofErr w:type="spellEnd"/>
      <w:r w:rsidRPr="007122AB">
        <w:rPr>
          <w:rFonts w:ascii="Times New Roman" w:hAnsi="Times New Roman"/>
          <w:color w:val="000000" w:themeColor="text1"/>
          <w:sz w:val="16"/>
          <w:szCs w:val="16"/>
        </w:rPr>
        <w:t xml:space="preserve">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w:t>
      </w:r>
      <w:proofErr w:type="spellStart"/>
      <w:r w:rsidRPr="007122AB">
        <w:rPr>
          <w:rFonts w:ascii="Times New Roman" w:hAnsi="Times New Roman"/>
          <w:color w:val="000000" w:themeColor="text1"/>
          <w:sz w:val="16"/>
          <w:szCs w:val="16"/>
        </w:rPr>
        <w:t>Джар</w:t>
      </w:r>
      <w:proofErr w:type="spellEnd"/>
      <w:r w:rsidRPr="007122AB">
        <w:rPr>
          <w:rFonts w:ascii="Times New Roman" w:hAnsi="Times New Roman"/>
          <w:color w:val="000000" w:themeColor="text1"/>
          <w:sz w:val="16"/>
          <w:szCs w:val="16"/>
        </w:rPr>
        <w:t>.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5DE0D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166DA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08AFB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BEB6C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776EA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11F4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17 и 23 апреля 1931. Из протокола заседания Политбюро № 33 1931 г.</w:t>
      </w:r>
    </w:p>
    <w:p w14:paraId="03CB7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заметке "Контрреволюционная вылазка кулаков"</w:t>
      </w:r>
    </w:p>
    <w:p w14:paraId="2F836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Признать вынесение приговора с высшей мерой наказания по делу кулаков Ефремовского района Московской области грубо ошибочным, по существу, со стороны Московского областного суда, а помещение в "Правде" заметки об этом приговоре — недопустимым. </w:t>
      </w:r>
    </w:p>
    <w:p w14:paraId="5EEF4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Предложить Верховному Суду РСФСР отменить решение Московского областного суда о расстреле шести кулаков как неправильное и обязать областной суд вновь рассмотреть это дело. Решение опубликовать в печати в отделе хроники. </w:t>
      </w:r>
    </w:p>
    <w:p w14:paraId="1CD93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Категорически подтвердить прежнее решение ЦК о том, что приговоры по политическим делам с высшей мерой наказания не должны выноситься без санкции ЦК, и указать Верхсуду и Верховной Прокуратуре на их обязанность строго соблюдать этот порядок. </w:t>
      </w:r>
    </w:p>
    <w:p w14:paraId="546B68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Заметка "Контрреволюционная вылазка кулаков"</w:t>
      </w:r>
    </w:p>
    <w:p w14:paraId="3792BB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1930 г. кулаки с. </w:t>
      </w:r>
      <w:proofErr w:type="spellStart"/>
      <w:r w:rsidRPr="007122AB">
        <w:rPr>
          <w:rFonts w:ascii="Times New Roman" w:hAnsi="Times New Roman"/>
          <w:color w:val="000000" w:themeColor="text1"/>
          <w:sz w:val="16"/>
          <w:szCs w:val="16"/>
        </w:rPr>
        <w:t>Тормосово</w:t>
      </w:r>
      <w:proofErr w:type="spellEnd"/>
      <w:r w:rsidRPr="007122AB">
        <w:rPr>
          <w:rFonts w:ascii="Times New Roman" w:hAnsi="Times New Roman"/>
          <w:color w:val="000000" w:themeColor="text1"/>
          <w:sz w:val="16"/>
          <w:szCs w:val="16"/>
        </w:rPr>
        <w:t xml:space="preserve"> провели в председатели сельсовета своих людей: подкулачника Стародубцева и секретарем — пьяницу Лазарева. Эти кулацкие ставленники дали полную волю кулакам. Кулаки настолько распоясались, что не выполняли заданий по хлебозаготовкам, не платили налогов, получали фиктивные справки о том, что они бедняки, и т. д. Кулаки оказывали бешеное сопротивление коллективизации и всем мероприятиям советской власти... Дело по обвинению 16 человек кулаков и подкулачников в контрреволюционных действиях против советской власти было рассмотрено выездной сессией Московского областного суда в гор. Ефремове... </w:t>
      </w:r>
    </w:p>
    <w:p w14:paraId="133F42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Процесс проходил при неослабном внимании всего окрестного населения. Больше ста депутаций явилось в суд с приговорами сельских обществ о том, чтобы суд применил к </w:t>
      </w:r>
      <w:proofErr w:type="spellStart"/>
      <w:r w:rsidRPr="007122AB">
        <w:rPr>
          <w:rFonts w:ascii="Times New Roman" w:hAnsi="Times New Roman"/>
          <w:color w:val="000000" w:themeColor="text1"/>
          <w:sz w:val="16"/>
          <w:szCs w:val="16"/>
        </w:rPr>
        <w:t>тормосовским</w:t>
      </w:r>
      <w:proofErr w:type="spellEnd"/>
      <w:r w:rsidRPr="007122AB">
        <w:rPr>
          <w:rFonts w:ascii="Times New Roman" w:hAnsi="Times New Roman"/>
          <w:color w:val="000000" w:themeColor="text1"/>
          <w:sz w:val="16"/>
          <w:szCs w:val="16"/>
        </w:rPr>
        <w:t xml:space="preserve"> кулакам высшую меру социальной защиты. В ответ на кулацкие вылазки молодежь повсеместно вступала в ряды ВЛКСМ. За пять дней процесса число колхозников по району увеличилось на 10 процентов. Суд приговорил кулаков к высшей мере социальной защиты — расстрелу... Приговор был встречен овацией по адресу суда и советской власти. </w:t>
      </w:r>
    </w:p>
    <w:p w14:paraId="7CDE1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"Правда" за 19 апреля 1931 г. № 108 (4913) (11652). </w:t>
      </w:r>
    </w:p>
    <w:p w14:paraId="6E440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6B3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17 и 23 апреля 1931. Из протокола заседания Политбюро № 33 1931 г.</w:t>
      </w:r>
    </w:p>
    <w:p w14:paraId="26BB4C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тов. Бадаеве </w:t>
      </w:r>
    </w:p>
    <w:p w14:paraId="7A66FA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Принять к сведению сообщение тов. Калинина о том, что в опубликованном списке членов ЦИКа Союза ССР имя тов. Бадаева не включено по ошибке. </w:t>
      </w:r>
    </w:p>
    <w:p w14:paraId="5BB130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Предложить тов. Калинину опубликовать сообщение, что тов. Бадаев является членом ЦИКа (11652).</w:t>
      </w:r>
    </w:p>
    <w:p w14:paraId="37958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C729F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CA0E2F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30AE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апреля 1931 начались испытания головного С-62бис из 54 затем поступивших в СССР (1085,105).</w:t>
      </w:r>
    </w:p>
    <w:p w14:paraId="1DAAB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6DA54A" w14:textId="77777777" w:rsidR="00F67F51" w:rsidRPr="007122AB" w:rsidRDefault="00F67F5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16AD103" w14:textId="77777777" w:rsidR="00F67F51" w:rsidRPr="007122AB" w:rsidRDefault="00F67F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E144B8" w14:textId="77777777" w:rsidR="00F67F51" w:rsidRPr="007122AB" w:rsidRDefault="00F67F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апреля 1931 г. вышла Директива Штаба РККА за № 1/013295, согласно которой командование РККА приняло решение о создании в ЛВО нештатного Опытного </w:t>
      </w:r>
      <w:proofErr w:type="spellStart"/>
      <w:r w:rsidRPr="007122AB">
        <w:rPr>
          <w:rFonts w:ascii="Times New Roman" w:hAnsi="Times New Roman"/>
          <w:color w:val="000000" w:themeColor="text1"/>
          <w:sz w:val="16"/>
          <w:szCs w:val="16"/>
        </w:rPr>
        <w:t>воздухо</w:t>
      </w:r>
      <w:proofErr w:type="spellEnd"/>
      <w:r w:rsidRPr="007122AB">
        <w:rPr>
          <w:rFonts w:ascii="Times New Roman" w:hAnsi="Times New Roman"/>
          <w:color w:val="000000" w:themeColor="text1"/>
          <w:sz w:val="16"/>
          <w:szCs w:val="16"/>
        </w:rPr>
        <w:t xml:space="preserve">-десантного отряда в составе тяжелой бомбардировочной эскадрильи (12 самолетов ТБ-1) и корпусного авиаотряда (10 самолетов Р-5). Командиром этого отряда стал Е.Д. Лукин. Дату завершения формирования отряда – 1 июня 1931 г. – впоследствии официально утвердили как День создания </w:t>
      </w:r>
      <w:proofErr w:type="spellStart"/>
      <w:r w:rsidRPr="007122AB">
        <w:rPr>
          <w:rFonts w:ascii="Times New Roman" w:hAnsi="Times New Roman"/>
          <w:color w:val="000000" w:themeColor="text1"/>
          <w:sz w:val="16"/>
          <w:szCs w:val="16"/>
        </w:rPr>
        <w:t>Военнотранспортной</w:t>
      </w:r>
      <w:proofErr w:type="spellEnd"/>
      <w:r w:rsidRPr="007122AB">
        <w:rPr>
          <w:rFonts w:ascii="Times New Roman" w:hAnsi="Times New Roman"/>
          <w:color w:val="000000" w:themeColor="text1"/>
          <w:sz w:val="16"/>
          <w:szCs w:val="16"/>
        </w:rPr>
        <w:t xml:space="preserve"> авиации (ВТА) (19566).</w:t>
      </w:r>
    </w:p>
    <w:p w14:paraId="32161E83" w14:textId="77777777" w:rsidR="00F67F51" w:rsidRPr="007122AB" w:rsidRDefault="00F67F51" w:rsidP="007122AB">
      <w:pPr>
        <w:spacing w:after="0" w:line="240" w:lineRule="auto"/>
        <w:jc w:val="both"/>
        <w:rPr>
          <w:rFonts w:ascii="Times New Roman" w:hAnsi="Times New Roman"/>
          <w:color w:val="000000" w:themeColor="text1"/>
          <w:sz w:val="16"/>
          <w:szCs w:val="16"/>
        </w:rPr>
      </w:pPr>
    </w:p>
    <w:p w14:paraId="159D4F00" w14:textId="77777777" w:rsidR="00F67F51" w:rsidRPr="007122AB" w:rsidRDefault="00F67F5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EEC6A72" w14:textId="77777777" w:rsidR="00F67F51" w:rsidRPr="007122AB" w:rsidRDefault="00F67F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42EF1A" w14:textId="77777777" w:rsidR="008819CE" w:rsidRPr="007122AB" w:rsidRDefault="008819C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18 апреля 1931 года - комиссия Политбюро ВКП (б) с участием </w:t>
      </w:r>
      <w:proofErr w:type="spellStart"/>
      <w:r w:rsidRPr="007122AB">
        <w:rPr>
          <w:rFonts w:ascii="Times New Roman" w:eastAsia="Times New Roman" w:hAnsi="Times New Roman"/>
          <w:color w:val="000000" w:themeColor="text1"/>
          <w:sz w:val="16"/>
          <w:szCs w:val="16"/>
          <w:lang w:eastAsia="ru-RU"/>
        </w:rPr>
        <w:t>И.В.Сталина</w:t>
      </w:r>
      <w:proofErr w:type="spellEnd"/>
      <w:r w:rsidRPr="007122AB">
        <w:rPr>
          <w:rFonts w:ascii="Times New Roman" w:eastAsia="Times New Roman" w:hAnsi="Times New Roman"/>
          <w:color w:val="000000" w:themeColor="text1"/>
          <w:sz w:val="16"/>
          <w:szCs w:val="16"/>
          <w:lang w:eastAsia="ru-RU"/>
        </w:rPr>
        <w:t xml:space="preserve"> обсудила вопросы освоения Севера, в том числе связанные с поисками </w:t>
      </w:r>
      <w:proofErr w:type="spellStart"/>
      <w:r w:rsidRPr="007122AB">
        <w:rPr>
          <w:rFonts w:ascii="Times New Roman" w:eastAsia="Times New Roman" w:hAnsi="Times New Roman"/>
          <w:color w:val="000000" w:themeColor="text1"/>
          <w:sz w:val="16"/>
          <w:szCs w:val="16"/>
          <w:lang w:eastAsia="ru-RU"/>
        </w:rPr>
        <w:t>гелиеносных</w:t>
      </w:r>
      <w:proofErr w:type="spellEnd"/>
      <w:r w:rsidRPr="007122AB">
        <w:rPr>
          <w:rFonts w:ascii="Times New Roman" w:eastAsia="Times New Roman" w:hAnsi="Times New Roman"/>
          <w:color w:val="000000" w:themeColor="text1"/>
          <w:sz w:val="16"/>
          <w:szCs w:val="16"/>
          <w:lang w:eastAsia="ru-RU"/>
        </w:rPr>
        <w:t xml:space="preserve"> газов.</w:t>
      </w:r>
    </w:p>
    <w:p w14:paraId="22DB748A" w14:textId="77777777" w:rsidR="008819CE" w:rsidRPr="007122AB" w:rsidRDefault="008819C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1932 год начальник </w:t>
      </w:r>
      <w:proofErr w:type="spellStart"/>
      <w:r w:rsidRPr="007122AB">
        <w:rPr>
          <w:rFonts w:ascii="Times New Roman" w:eastAsia="Times New Roman" w:hAnsi="Times New Roman"/>
          <w:color w:val="000000" w:themeColor="text1"/>
          <w:sz w:val="16"/>
          <w:szCs w:val="16"/>
          <w:lang w:eastAsia="ru-RU"/>
        </w:rPr>
        <w:t>Ухтокомбината</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Я.М.Мороз</w:t>
      </w:r>
      <w:proofErr w:type="spellEnd"/>
      <w:r w:rsidRPr="007122AB">
        <w:rPr>
          <w:rFonts w:ascii="Times New Roman" w:eastAsia="Times New Roman" w:hAnsi="Times New Roman"/>
          <w:color w:val="000000" w:themeColor="text1"/>
          <w:sz w:val="16"/>
          <w:szCs w:val="16"/>
          <w:lang w:eastAsia="ru-RU"/>
        </w:rPr>
        <w:t xml:space="preserve"> докладывал в Коми обком ВКП (б): «При бурении на нефть в 1932 году в районе верхней </w:t>
      </w:r>
      <w:proofErr w:type="spellStart"/>
      <w:r w:rsidRPr="007122AB">
        <w:rPr>
          <w:rFonts w:ascii="Times New Roman" w:eastAsia="Times New Roman" w:hAnsi="Times New Roman"/>
          <w:color w:val="000000" w:themeColor="text1"/>
          <w:sz w:val="16"/>
          <w:szCs w:val="16"/>
          <w:lang w:eastAsia="ru-RU"/>
        </w:rPr>
        <w:t>Чути</w:t>
      </w:r>
      <w:proofErr w:type="spellEnd"/>
      <w:r w:rsidRPr="007122AB">
        <w:rPr>
          <w:rFonts w:ascii="Times New Roman" w:eastAsia="Times New Roman" w:hAnsi="Times New Roman"/>
          <w:color w:val="000000" w:themeColor="text1"/>
          <w:sz w:val="16"/>
          <w:szCs w:val="16"/>
          <w:lang w:eastAsia="ru-RU"/>
        </w:rPr>
        <w:t xml:space="preserve"> скважиной №25 в нефтеносном пласте было вскрыто мощное скопление природного газа с содержанием гелия до 0.45%...оно оказалось, однако, незначительным по площади и запасам. Тогда газовая разведка была перенесена в район Верхней Ижмы». Находка гелия дала основание руководству Коми заявить о необходимости организовать в районе Ухты его добычу и частичную переработку (21449).</w:t>
      </w:r>
    </w:p>
    <w:p w14:paraId="58129F89" w14:textId="77777777" w:rsidR="008819CE" w:rsidRPr="007122AB" w:rsidRDefault="008819C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EBC8123" w14:textId="77777777" w:rsidR="00F67F51" w:rsidRPr="007122AB" w:rsidRDefault="00F67F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апреля 1931. Введена новая форма московской милиции. Все работники московской милиции стали носить светло-серую шинель реглан и твердые кепи с большим козырьком. Зимой кепи заменял головной убор, сделанный по типу шлема (18724).</w:t>
      </w:r>
    </w:p>
    <w:p w14:paraId="00B300DF" w14:textId="7133CDDA" w:rsidR="00F67F51" w:rsidRPr="007122AB" w:rsidRDefault="00F67F51" w:rsidP="007122AB">
      <w:pPr>
        <w:spacing w:after="0" w:line="240" w:lineRule="auto"/>
        <w:jc w:val="both"/>
        <w:rPr>
          <w:rFonts w:ascii="Times New Roman" w:hAnsi="Times New Roman"/>
          <w:color w:val="000000" w:themeColor="text1"/>
          <w:sz w:val="16"/>
          <w:szCs w:val="16"/>
        </w:rPr>
      </w:pPr>
    </w:p>
    <w:p w14:paraId="6B6D27D8" w14:textId="05884ECC" w:rsidR="000C2E8E" w:rsidRPr="007122AB" w:rsidRDefault="000C2E8E"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392955E0" w14:textId="77777777" w:rsidR="000C2E8E" w:rsidRPr="007122AB" w:rsidRDefault="000C2E8E" w:rsidP="007122AB">
      <w:pPr>
        <w:spacing w:after="0" w:line="240" w:lineRule="auto"/>
        <w:jc w:val="both"/>
        <w:rPr>
          <w:rFonts w:ascii="Times New Roman" w:hAnsi="Times New Roman"/>
          <w:i/>
          <w:iCs/>
          <w:color w:val="000000" w:themeColor="text1"/>
          <w:sz w:val="16"/>
          <w:szCs w:val="16"/>
        </w:rPr>
      </w:pPr>
    </w:p>
    <w:p w14:paraId="1C952C79" w14:textId="77777777" w:rsidR="000C2E8E" w:rsidRPr="007122AB" w:rsidRDefault="000C2E8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апреля 1931 г. в </w:t>
      </w:r>
      <w:proofErr w:type="spellStart"/>
      <w:r w:rsidRPr="007122AB">
        <w:rPr>
          <w:rFonts w:ascii="Times New Roman" w:hAnsi="Times New Roman"/>
          <w:color w:val="000000" w:themeColor="text1"/>
          <w:sz w:val="16"/>
          <w:szCs w:val="16"/>
        </w:rPr>
        <w:t>Сесто</w:t>
      </w:r>
      <w:proofErr w:type="spellEnd"/>
      <w:r w:rsidRPr="007122AB">
        <w:rPr>
          <w:rFonts w:ascii="Times New Roman" w:hAnsi="Times New Roman"/>
          <w:color w:val="000000" w:themeColor="text1"/>
          <w:sz w:val="16"/>
          <w:szCs w:val="16"/>
        </w:rPr>
        <w:t xml:space="preserve"> Календе приступили к испытаниям головной серийной машины S.62bis. Весь заказ разделили на две серии: первую из 40 и вторую из 10 машин. В качестве образцовых выделили самолеты № 6 и № 41, на которых отработали внесенные советской стороной изменения (21410).</w:t>
      </w:r>
    </w:p>
    <w:p w14:paraId="21D7DC86" w14:textId="77777777" w:rsidR="000C2E8E" w:rsidRPr="007122AB" w:rsidRDefault="000C2E8E" w:rsidP="007122AB">
      <w:pPr>
        <w:spacing w:after="0" w:line="240" w:lineRule="auto"/>
        <w:jc w:val="both"/>
        <w:rPr>
          <w:rFonts w:ascii="Times New Roman" w:hAnsi="Times New Roman"/>
          <w:color w:val="000000" w:themeColor="text1"/>
          <w:sz w:val="16"/>
          <w:szCs w:val="16"/>
        </w:rPr>
      </w:pPr>
    </w:p>
    <w:p w14:paraId="6E3526B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81BA4D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9051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апреля 1931 года по договору от 1 марта 1931 года, заключенному с ВСУ РККА, с разрешения зам. НКВМ и председателя РВС, и согласия НКО от 6 марта 1931 года завод № 16 был передан ВАО НКТП с оставлением части зданий в эксплуатации 11-й авиабригады. На основании приказа НКО за № 3403с от 22 апреля 1938 года занимаемая площадь </w:t>
      </w:r>
      <w:proofErr w:type="spellStart"/>
      <w:r w:rsidRPr="007122AB">
        <w:rPr>
          <w:rFonts w:ascii="Times New Roman" w:hAnsi="Times New Roman"/>
          <w:color w:val="000000" w:themeColor="text1"/>
          <w:sz w:val="16"/>
          <w:szCs w:val="16"/>
        </w:rPr>
        <w:t>авибригадой</w:t>
      </w:r>
      <w:proofErr w:type="spellEnd"/>
      <w:r w:rsidRPr="007122AB">
        <w:rPr>
          <w:rFonts w:ascii="Times New Roman" w:hAnsi="Times New Roman"/>
          <w:color w:val="000000" w:themeColor="text1"/>
          <w:sz w:val="16"/>
          <w:szCs w:val="16"/>
        </w:rPr>
        <w:t xml:space="preserve"> была освобождена и передана заводу в июле 1938 года (9224).</w:t>
      </w:r>
    </w:p>
    <w:p w14:paraId="66949E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F990B3"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 апреля 1931 года по договору от 1 марта 1931 года, заключенному с военно-строительным управлением РККА, и с согласия НКО от 6 марта 1931 года завод № 16 был передан ВАО с оставлением части зданий в эксплуатации 11-й авиабригады. Первым директором назначен С. П. Галкин. По утверждению ряда исследователей, официальным днем рождения завода следует считать 10 августа 1931 года.</w:t>
      </w:r>
    </w:p>
    <w:p w14:paraId="0930E6D7"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управлении военно-воздушных сил страны на новый завод возлагали особые надежды, причем, с изменением его статуса (24153).</w:t>
      </w:r>
    </w:p>
    <w:p w14:paraId="34148858" w14:textId="77777777" w:rsidR="004D3FB2" w:rsidRPr="00441F34" w:rsidRDefault="004D3FB2" w:rsidP="004D3FB2">
      <w:pPr>
        <w:spacing w:after="0" w:line="240" w:lineRule="auto"/>
        <w:jc w:val="both"/>
        <w:rPr>
          <w:rFonts w:ascii="Times New Roman" w:hAnsi="Times New Roman"/>
          <w:color w:val="0070C0"/>
          <w:sz w:val="16"/>
          <w:szCs w:val="16"/>
        </w:rPr>
      </w:pPr>
    </w:p>
    <w:p w14:paraId="6E8EBB7F" w14:textId="77777777" w:rsidR="009D708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4BBF9A9" w14:textId="77777777" w:rsidR="009D708C" w:rsidRPr="007122AB" w:rsidRDefault="009D708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65B26A" w14:textId="77777777" w:rsidR="009D708C" w:rsidRPr="007122AB" w:rsidRDefault="009D70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19 апреля 1931 г. басмачество: Ибрагим-Бек вторгся в </w:t>
      </w:r>
      <w:proofErr w:type="spellStart"/>
      <w:r w:rsidRPr="007122AB">
        <w:rPr>
          <w:rFonts w:ascii="Times New Roman" w:eastAsia="Times New Roman" w:hAnsi="Times New Roman"/>
          <w:color w:val="000000" w:themeColor="text1"/>
          <w:sz w:val="16"/>
          <w:szCs w:val="16"/>
          <w:lang w:eastAsia="ru-RU"/>
        </w:rPr>
        <w:t>Локайскую</w:t>
      </w:r>
      <w:proofErr w:type="spellEnd"/>
      <w:r w:rsidRPr="007122AB">
        <w:rPr>
          <w:rFonts w:ascii="Times New Roman" w:eastAsia="Times New Roman" w:hAnsi="Times New Roman"/>
          <w:color w:val="000000" w:themeColor="text1"/>
          <w:sz w:val="16"/>
          <w:szCs w:val="16"/>
          <w:lang w:eastAsia="ru-RU"/>
        </w:rPr>
        <w:t xml:space="preserve"> долину, у Красноводска погибли бойцы 85-го дивизиона ОГПУ (</w:t>
      </w:r>
      <w:r w:rsidRPr="007122AB">
        <w:rPr>
          <w:rFonts w:ascii="Times New Roman" w:eastAsia="Times New Roman" w:hAnsi="Times New Roman"/>
          <w:bCs/>
          <w:iCs/>
          <w:color w:val="000000" w:themeColor="text1"/>
          <w:sz w:val="16"/>
          <w:szCs w:val="16"/>
          <w:lang w:eastAsia="ru-RU"/>
        </w:rPr>
        <w:t xml:space="preserve">По </w:t>
      </w:r>
      <w:proofErr w:type="spellStart"/>
      <w:r w:rsidRPr="007122AB">
        <w:rPr>
          <w:rFonts w:ascii="Times New Roman" w:eastAsia="Times New Roman" w:hAnsi="Times New Roman"/>
          <w:bCs/>
          <w:iCs/>
          <w:color w:val="000000" w:themeColor="text1"/>
          <w:sz w:val="16"/>
          <w:szCs w:val="16"/>
          <w:lang w:eastAsia="ru-RU"/>
        </w:rPr>
        <w:t>Ю.Поляков</w:t>
      </w:r>
      <w:proofErr w:type="spellEnd"/>
      <w:r w:rsidRPr="007122AB">
        <w:rPr>
          <w:rFonts w:ascii="Times New Roman" w:eastAsia="Times New Roman" w:hAnsi="Times New Roman"/>
          <w:bCs/>
          <w:iCs/>
          <w:color w:val="000000" w:themeColor="text1"/>
          <w:sz w:val="16"/>
          <w:szCs w:val="16"/>
          <w:lang w:eastAsia="ru-RU"/>
        </w:rPr>
        <w:t xml:space="preserve">, </w:t>
      </w:r>
      <w:proofErr w:type="spellStart"/>
      <w:r w:rsidRPr="007122AB">
        <w:rPr>
          <w:rFonts w:ascii="Times New Roman" w:eastAsia="Times New Roman" w:hAnsi="Times New Roman"/>
          <w:bCs/>
          <w:iCs/>
          <w:color w:val="000000" w:themeColor="text1"/>
          <w:sz w:val="16"/>
          <w:szCs w:val="16"/>
          <w:lang w:eastAsia="ru-RU"/>
        </w:rPr>
        <w:t>А.Чугунов</w:t>
      </w:r>
      <w:proofErr w:type="spellEnd"/>
      <w:r w:rsidRPr="007122AB">
        <w:rPr>
          <w:rFonts w:ascii="Times New Roman" w:eastAsia="Times New Roman" w:hAnsi="Times New Roman"/>
          <w:bCs/>
          <w:iCs/>
          <w:color w:val="000000" w:themeColor="text1"/>
          <w:sz w:val="16"/>
          <w:szCs w:val="16"/>
          <w:lang w:eastAsia="ru-RU"/>
        </w:rPr>
        <w:t xml:space="preserve"> «Конец басмачества», М., «Наука», 1976):</w:t>
      </w:r>
    </w:p>
    <w:p w14:paraId="5A7A8D9C" w14:textId="77777777" w:rsidR="009D708C" w:rsidRPr="007122AB" w:rsidRDefault="009D708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19 апреля 1931 </w:t>
      </w:r>
      <w:proofErr w:type="spellStart"/>
      <w:r w:rsidRPr="007122AB">
        <w:rPr>
          <w:rFonts w:ascii="Times New Roman" w:eastAsia="Times New Roman" w:hAnsi="Times New Roman"/>
          <w:color w:val="000000" w:themeColor="text1"/>
          <w:sz w:val="16"/>
          <w:szCs w:val="16"/>
          <w:lang w:eastAsia="ru-RU"/>
        </w:rPr>
        <w:t>г.крупнейший</w:t>
      </w:r>
      <w:proofErr w:type="spellEnd"/>
      <w:r w:rsidRPr="007122AB">
        <w:rPr>
          <w:rFonts w:ascii="Times New Roman" w:eastAsia="Times New Roman" w:hAnsi="Times New Roman"/>
          <w:color w:val="000000" w:themeColor="text1"/>
          <w:sz w:val="16"/>
          <w:szCs w:val="16"/>
          <w:lang w:eastAsia="ru-RU"/>
        </w:rPr>
        <w:t xml:space="preserve"> полевой командир Узбекистана Ибрагим-Бек вторгся в </w:t>
      </w:r>
      <w:proofErr w:type="spellStart"/>
      <w:r w:rsidRPr="007122AB">
        <w:rPr>
          <w:rFonts w:ascii="Times New Roman" w:eastAsia="Times New Roman" w:hAnsi="Times New Roman"/>
          <w:color w:val="000000" w:themeColor="text1"/>
          <w:sz w:val="16"/>
          <w:szCs w:val="16"/>
          <w:lang w:eastAsia="ru-RU"/>
        </w:rPr>
        <w:t>Локайскую</w:t>
      </w:r>
      <w:proofErr w:type="spellEnd"/>
      <w:r w:rsidRPr="007122AB">
        <w:rPr>
          <w:rFonts w:ascii="Times New Roman" w:eastAsia="Times New Roman" w:hAnsi="Times New Roman"/>
          <w:color w:val="000000" w:themeColor="text1"/>
          <w:sz w:val="16"/>
          <w:szCs w:val="16"/>
          <w:lang w:eastAsia="ru-RU"/>
        </w:rPr>
        <w:t xml:space="preserve"> долину и попытался поднять общее восстание. Крестьяне Локая его не поддержали, он отступил за левый берег Вахша. В это же день 19 апреля 1931 г. в районе Красноводска крупный отряд басмачей (400 человек) напал на 85-й дивизион ОГПУ – полурота и 3 пулемета. Бой шел 3 суток – все чекисты погибли смертью храбрых (17325).</w:t>
      </w:r>
    </w:p>
    <w:p w14:paraId="2A97723D" w14:textId="77777777" w:rsidR="009D708C" w:rsidRPr="007122AB" w:rsidRDefault="009D708C" w:rsidP="007122AB">
      <w:pPr>
        <w:autoSpaceDE w:val="0"/>
        <w:autoSpaceDN w:val="0"/>
        <w:adjustRightInd w:val="0"/>
        <w:spacing w:after="0" w:line="240" w:lineRule="auto"/>
        <w:jc w:val="both"/>
        <w:rPr>
          <w:rFonts w:ascii="Times New Roman" w:hAnsi="Times New Roman"/>
          <w:color w:val="000000" w:themeColor="text1"/>
          <w:sz w:val="16"/>
          <w:szCs w:val="16"/>
        </w:rPr>
      </w:pPr>
    </w:p>
    <w:p w14:paraId="0F065C7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215ED9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488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года и.о. начальника 2-го отдела НИИ ВВС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273 в 3-ий отдел УСС.</w:t>
      </w:r>
    </w:p>
    <w:p w14:paraId="5EA50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отчет о дополнительных испытаниях лыж к самолету ТБ-1 2М-17.</w:t>
      </w:r>
    </w:p>
    <w:p w14:paraId="7BA5B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20987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Лыжи облегченные, конструкции завода N 28.</w:t>
      </w:r>
    </w:p>
    <w:p w14:paraId="13E894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Лыжи не облегченные конструкции завода N 25.</w:t>
      </w:r>
    </w:p>
    <w:p w14:paraId="5CA7BD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произведены с целью:</w:t>
      </w:r>
    </w:p>
    <w:p w14:paraId="2A189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уточнения результатов полученных при испытании в зимний период 1929-30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p w14:paraId="0DB4A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Изыскания мероприятий, облегчающих сдвиг самолета с места и рулежку.</w:t>
      </w:r>
    </w:p>
    <w:p w14:paraId="669BAE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7D891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испытания, т.е. с 13 января по 10 апреля 1931 года Центральный аэродром имел твердый укатанный снежный покров, поэтому поведение лыж на глубоком рыхлом снегу не выявлено.</w:t>
      </w:r>
    </w:p>
    <w:p w14:paraId="0EA2B7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364E8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произведенных испытаний НИИ считает, что:</w:t>
      </w:r>
    </w:p>
    <w:p w14:paraId="2146F6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3A7402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828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года и.о. начальника 2-го отдела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272 в 3-й отдел УСС.</w:t>
      </w:r>
    </w:p>
    <w:p w14:paraId="1E7CF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протокол совещания по вопросам самолетных лыж.</w:t>
      </w:r>
    </w:p>
    <w:p w14:paraId="3B9DBF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совещания по вопросам самолетных лыж (3217).</w:t>
      </w:r>
    </w:p>
    <w:p w14:paraId="2DB7B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апреля 1931 года</w:t>
      </w:r>
    </w:p>
    <w:p w14:paraId="7CF28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О ведущей организации в области опытного строительства лыж.</w:t>
      </w:r>
    </w:p>
    <w:p w14:paraId="7EB675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Считать, что опытное строительство лыж должно быть сосредоточено на 28 заводе осуществляющем, как непосредственно проектирование и постройку лыж, так и изучение всех лыжных вопросов на основе которых опытное строительство могло бы протекать наиболее продуктивно.</w:t>
      </w:r>
    </w:p>
    <w:p w14:paraId="38CBA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Об опытном строительстве лыж в 1931 году.</w:t>
      </w:r>
    </w:p>
    <w:p w14:paraId="784306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Считать необходимым отразить в плане опытного строительства лыж на 1931 год следующие вопросы:</w:t>
      </w:r>
    </w:p>
    <w:p w14:paraId="3E698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Унификация типов лыж.</w:t>
      </w:r>
    </w:p>
    <w:p w14:paraId="726D8C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Изыскание рациональных размеров лыж.</w:t>
      </w:r>
    </w:p>
    <w:p w14:paraId="6FAA6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Необходимость снабжения лыжами морских самолетов.</w:t>
      </w:r>
    </w:p>
    <w:p w14:paraId="767E39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Удобство эксплуатации лыж.</w:t>
      </w:r>
    </w:p>
    <w:p w14:paraId="63613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Уменьшение лобового сопротивления лыж (скрытая амортизация).</w:t>
      </w:r>
    </w:p>
    <w:p w14:paraId="236AD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Усилия эксплуатации лыж на глубоком рыхлом снегу.</w:t>
      </w:r>
    </w:p>
    <w:p w14:paraId="53EE2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Ввиду того, что применяемые в настоящее время лыжи к самолету ТБ1-2М17 не являются вполне удовлетворительными, обратить в плане опытного строительства особое внимание на лыжи к этому самолету (3217,42-45).</w:t>
      </w:r>
    </w:p>
    <w:p w14:paraId="718B8B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615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в Ленинграде на Комендантском аэродроме состоялось последнее испытание перед отлетом в Москву первой ленинградской авиетки конструкции </w:t>
      </w:r>
      <w:proofErr w:type="spellStart"/>
      <w:r w:rsidRPr="007122AB">
        <w:rPr>
          <w:rFonts w:ascii="Times New Roman" w:hAnsi="Times New Roman"/>
          <w:color w:val="000000" w:themeColor="text1"/>
          <w:sz w:val="16"/>
          <w:szCs w:val="16"/>
        </w:rPr>
        <w:t>М.В.Смирнова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Я.Л.Зархи</w:t>
      </w:r>
      <w:proofErr w:type="spellEnd"/>
      <w:r w:rsidRPr="007122AB">
        <w:rPr>
          <w:rFonts w:ascii="Times New Roman" w:hAnsi="Times New Roman"/>
          <w:color w:val="000000" w:themeColor="text1"/>
          <w:sz w:val="16"/>
          <w:szCs w:val="16"/>
        </w:rPr>
        <w:t xml:space="preserve"> ЛАКМ-1 (Ленинградский аэроклуб - музей, Осоавиахим). Полет состоялся в 11 утра и продолжался 2.5 час. Мотор конструкции </w:t>
      </w:r>
      <w:proofErr w:type="spellStart"/>
      <w:r w:rsidRPr="007122AB">
        <w:rPr>
          <w:rFonts w:ascii="Times New Roman" w:hAnsi="Times New Roman"/>
          <w:color w:val="000000" w:themeColor="text1"/>
          <w:sz w:val="16"/>
          <w:szCs w:val="16"/>
        </w:rPr>
        <w:t>Л.Я.Пальмен</w:t>
      </w:r>
      <w:proofErr w:type="spellEnd"/>
      <w:r w:rsidRPr="007122AB">
        <w:rPr>
          <w:rFonts w:ascii="Times New Roman" w:hAnsi="Times New Roman"/>
          <w:color w:val="000000" w:themeColor="text1"/>
          <w:sz w:val="16"/>
          <w:szCs w:val="16"/>
        </w:rPr>
        <w:t>. Потом хотели без посадки лететь в Москву (вырезка из газеты).</w:t>
      </w:r>
    </w:p>
    <w:p w14:paraId="5E78A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0876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20 апреля 1931 года 5-м отделом НИИ ВВС велись работы по переливке горючего в воздухе, с 20 апреля эта работа была передана конструкторскому отделу Гроховского со сроком окончания к 15 июня. В качестве конкретного задания было поставлено задание – оборудование самолета ТБ-1 в качестве принимающего и самолет Р-5 – </w:t>
      </w:r>
      <w:proofErr w:type="spellStart"/>
      <w:r w:rsidRPr="007122AB">
        <w:rPr>
          <w:rFonts w:ascii="Times New Roman" w:hAnsi="Times New Roman"/>
          <w:color w:val="000000" w:themeColor="text1"/>
          <w:sz w:val="16"/>
          <w:szCs w:val="16"/>
        </w:rPr>
        <w:t>бензиноносец</w:t>
      </w:r>
      <w:proofErr w:type="spellEnd"/>
      <w:r w:rsidRPr="007122AB">
        <w:rPr>
          <w:rFonts w:ascii="Times New Roman" w:hAnsi="Times New Roman"/>
          <w:color w:val="000000" w:themeColor="text1"/>
          <w:sz w:val="16"/>
          <w:szCs w:val="16"/>
        </w:rPr>
        <w:t xml:space="preserve">. Установка баков и испытание в воздухе затянулось вследствие несовершенства системы, баки текли и самолет в течение лета 1931 года не годился для эксплуатации. С 1 января 1933 года оборудование баками для переливки горючего переслано заводу № 39, куда передан самолет Тб-1. Работа производилась под наблюдением конструктора </w:t>
      </w:r>
      <w:proofErr w:type="spellStart"/>
      <w:r w:rsidRPr="007122AB">
        <w:rPr>
          <w:rFonts w:ascii="Times New Roman" w:hAnsi="Times New Roman"/>
          <w:color w:val="000000" w:themeColor="text1"/>
          <w:sz w:val="16"/>
          <w:szCs w:val="16"/>
        </w:rPr>
        <w:t>Запанованного</w:t>
      </w:r>
      <w:proofErr w:type="spellEnd"/>
      <w:r w:rsidRPr="007122AB">
        <w:rPr>
          <w:rFonts w:ascii="Times New Roman" w:hAnsi="Times New Roman"/>
          <w:color w:val="000000" w:themeColor="text1"/>
          <w:sz w:val="16"/>
          <w:szCs w:val="16"/>
        </w:rPr>
        <w:t xml:space="preserve"> (6770).</w:t>
      </w:r>
    </w:p>
    <w:p w14:paraId="1DB2B2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92B32" w14:textId="77777777" w:rsidR="000C2E8E" w:rsidRPr="007122AB" w:rsidRDefault="000C2E8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20 апреля 1931 года Политбюро приняло окончательное постановление: «О дирижаблестроении»: «Исходя из необходимости максимально использовать 1931 год как этап выявления гелиевых запасов и их опытного производства, с одной стороны, и овладения проектировочными, опытно-производственными и эксплуатационными процессами управления воздухоплавания — с другой, с тем, чтобы в 1932 году начать развертывание большого советского дирижаблестроения на базе опытных достижений 1931 года, Политбюро постановляет: 1. Одобрить план развертывания гелиевых работ «Стройгаза» (</w:t>
      </w:r>
      <w:proofErr w:type="spellStart"/>
      <w:r w:rsidRPr="007122AB">
        <w:rPr>
          <w:rFonts w:ascii="Times New Roman" w:hAnsi="Times New Roman"/>
          <w:color w:val="000000" w:themeColor="text1"/>
          <w:sz w:val="16"/>
          <w:szCs w:val="16"/>
          <w:shd w:val="clear" w:color="auto" w:fill="FFFFFF"/>
        </w:rPr>
        <w:t>Всехимпром</w:t>
      </w:r>
      <w:proofErr w:type="spellEnd"/>
      <w:r w:rsidRPr="007122AB">
        <w:rPr>
          <w:rFonts w:ascii="Times New Roman" w:hAnsi="Times New Roman"/>
          <w:color w:val="000000" w:themeColor="text1"/>
          <w:sz w:val="16"/>
          <w:szCs w:val="16"/>
          <w:shd w:val="clear" w:color="auto" w:fill="FFFFFF"/>
        </w:rPr>
        <w:t xml:space="preserve">) в 1931 году. Установить как минимум производство в 1931 году 3000 кубометров гелия… 2. Утвердить объем ассигнований на эти работы в сумме 2800 тысяч рублей… 4. Одобрить программу работ ВО ГВФ в 1931 году по «малому» дирижаблестроению и научно-исследовательским и проектным работам на базе временной Ленинградской верфи (завод имени Марти) и изысканию и проектированию постоянной верфи на Нижней Волге (ориентировочно в районе Саратова)… Объем ассигнований на эти работы утвердить в сумме 5172 тысячи рублей. 5…Разрешить т. </w:t>
      </w:r>
      <w:proofErr w:type="spellStart"/>
      <w:r w:rsidRPr="007122AB">
        <w:rPr>
          <w:rFonts w:ascii="Times New Roman" w:hAnsi="Times New Roman"/>
          <w:color w:val="000000" w:themeColor="text1"/>
          <w:sz w:val="16"/>
          <w:szCs w:val="16"/>
          <w:shd w:val="clear" w:color="auto" w:fill="FFFFFF"/>
        </w:rPr>
        <w:t>Гольцману</w:t>
      </w:r>
      <w:proofErr w:type="spellEnd"/>
      <w:r w:rsidRPr="007122AB">
        <w:rPr>
          <w:rFonts w:ascii="Times New Roman" w:hAnsi="Times New Roman"/>
          <w:color w:val="000000" w:themeColor="text1"/>
          <w:sz w:val="16"/>
          <w:szCs w:val="16"/>
          <w:shd w:val="clear" w:color="auto" w:fill="FFFFFF"/>
        </w:rPr>
        <w:t xml:space="preserve"> вступить в переговоры с соответствующими иностранными воздухоплавательными фирмами об организации в СССР смешанного консультационно-конструкторского бюро по дирижаблестроению порядка не менее 150 000 кубометров (объем дирижабля. — </w:t>
      </w:r>
      <w:r w:rsidRPr="007122AB">
        <w:rPr>
          <w:rFonts w:ascii="Times New Roman" w:hAnsi="Times New Roman"/>
          <w:i/>
          <w:iCs/>
          <w:color w:val="000000" w:themeColor="text1"/>
          <w:sz w:val="16"/>
          <w:szCs w:val="16"/>
          <w:shd w:val="clear" w:color="auto" w:fill="FFFFFF"/>
        </w:rPr>
        <w:t>Прим. авт.</w:t>
      </w:r>
      <w:r w:rsidRPr="007122AB">
        <w:rPr>
          <w:rFonts w:ascii="Times New Roman" w:hAnsi="Times New Roman"/>
          <w:color w:val="000000" w:themeColor="text1"/>
          <w:sz w:val="16"/>
          <w:szCs w:val="16"/>
          <w:shd w:val="clear" w:color="auto" w:fill="FFFFFF"/>
        </w:rPr>
        <w:t xml:space="preserve">), для чего забронировать в резерве ВО ГВФ 1 млн. рублей на эту цель в </w:t>
      </w:r>
      <w:proofErr w:type="spellStart"/>
      <w:r w:rsidRPr="007122AB">
        <w:rPr>
          <w:rFonts w:ascii="Times New Roman" w:hAnsi="Times New Roman"/>
          <w:color w:val="000000" w:themeColor="text1"/>
          <w:sz w:val="16"/>
          <w:szCs w:val="16"/>
          <w:shd w:val="clear" w:color="auto" w:fill="FFFFFF"/>
        </w:rPr>
        <w:t>соввалюте</w:t>
      </w:r>
      <w:proofErr w:type="spellEnd"/>
      <w:r w:rsidRPr="007122AB">
        <w:rPr>
          <w:rFonts w:ascii="Times New Roman" w:hAnsi="Times New Roman"/>
          <w:color w:val="000000" w:themeColor="text1"/>
          <w:sz w:val="16"/>
          <w:szCs w:val="16"/>
          <w:shd w:val="clear" w:color="auto" w:fill="FFFFFF"/>
        </w:rPr>
        <w:t xml:space="preserve"> и поручить тт. </w:t>
      </w:r>
      <w:proofErr w:type="spellStart"/>
      <w:r w:rsidRPr="007122AB">
        <w:rPr>
          <w:rFonts w:ascii="Times New Roman" w:hAnsi="Times New Roman"/>
          <w:color w:val="000000" w:themeColor="text1"/>
          <w:sz w:val="16"/>
          <w:szCs w:val="16"/>
          <w:shd w:val="clear" w:color="auto" w:fill="FFFFFF"/>
        </w:rPr>
        <w:t>Гольцману</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Розенгольцу</w:t>
      </w:r>
      <w:proofErr w:type="spellEnd"/>
      <w:r w:rsidRPr="007122AB">
        <w:rPr>
          <w:rFonts w:ascii="Times New Roman" w:hAnsi="Times New Roman"/>
          <w:color w:val="000000" w:themeColor="text1"/>
          <w:sz w:val="16"/>
          <w:szCs w:val="16"/>
          <w:shd w:val="clear" w:color="auto" w:fill="FFFFFF"/>
        </w:rPr>
        <w:t xml:space="preserve"> (наркому внешней торговли СССР) определить в зависимости от условий реализации техпомощи инвалютную сторону этого вопроса» (20467).</w:t>
      </w:r>
    </w:p>
    <w:p w14:paraId="315AE219" w14:textId="77777777" w:rsidR="000C2E8E" w:rsidRPr="007122AB" w:rsidRDefault="000C2E8E" w:rsidP="007122AB">
      <w:pPr>
        <w:spacing w:after="0" w:line="240" w:lineRule="auto"/>
        <w:jc w:val="both"/>
        <w:rPr>
          <w:rFonts w:ascii="Times New Roman" w:hAnsi="Times New Roman"/>
          <w:color w:val="000000" w:themeColor="text1"/>
          <w:sz w:val="16"/>
          <w:szCs w:val="16"/>
        </w:rPr>
      </w:pPr>
    </w:p>
    <w:p w14:paraId="6B6BEAA7"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г </w:t>
      </w:r>
      <w:r w:rsidRPr="007122AB">
        <w:rPr>
          <w:rStyle w:val="af0"/>
          <w:rFonts w:ascii="Times New Roman" w:hAnsi="Times New Roman"/>
          <w:i w:val="0"/>
          <w:color w:val="000000" w:themeColor="text1"/>
          <w:sz w:val="16"/>
          <w:szCs w:val="16"/>
        </w:rPr>
        <w:t>Приложение № 3</w:t>
      </w:r>
      <w:r w:rsidRPr="007122AB">
        <w:rPr>
          <w:rStyle w:val="af0"/>
          <w:rFonts w:ascii="Times New Roman" w:hAnsi="Times New Roman"/>
          <w:i w:val="0"/>
          <w:color w:val="000000" w:themeColor="text1"/>
          <w:sz w:val="16"/>
          <w:szCs w:val="16"/>
        </w:rPr>
        <w:noBreakHyphen/>
        <w:t>ОП к п. 31/37 (о. п.) пр. ПБ № 35.</w:t>
      </w:r>
    </w:p>
    <w:p w14:paraId="2616007B" w14:textId="77777777" w:rsidR="005F6639" w:rsidRPr="007122AB" w:rsidRDefault="005F6639" w:rsidP="007122AB">
      <w:pPr>
        <w:pStyle w:val="rtejustify"/>
        <w:spacing w:before="0" w:after="0"/>
        <w:rPr>
          <w:color w:val="000000" w:themeColor="text1"/>
          <w:sz w:val="16"/>
          <w:szCs w:val="16"/>
        </w:rPr>
      </w:pPr>
      <w:r w:rsidRPr="007122AB">
        <w:rPr>
          <w:color w:val="000000" w:themeColor="text1"/>
          <w:sz w:val="16"/>
          <w:szCs w:val="16"/>
        </w:rPr>
        <w:t>Постановление Политбюро ЦК ВКП(б) от 20 апреля 1931 г по вопросу о дирижаблестроении.</w:t>
      </w:r>
    </w:p>
    <w:p w14:paraId="351D333E" w14:textId="77777777" w:rsidR="005F6639" w:rsidRPr="007122AB" w:rsidRDefault="005F6639" w:rsidP="007122AB">
      <w:pPr>
        <w:pStyle w:val="rtejustify"/>
        <w:spacing w:before="0" w:after="0"/>
        <w:rPr>
          <w:color w:val="000000" w:themeColor="text1"/>
          <w:sz w:val="16"/>
          <w:szCs w:val="16"/>
        </w:rPr>
      </w:pPr>
      <w:r w:rsidRPr="007122AB">
        <w:rPr>
          <w:color w:val="000000" w:themeColor="text1"/>
          <w:sz w:val="16"/>
          <w:szCs w:val="16"/>
        </w:rPr>
        <w:t>Исходя из необходимости максимально использовать 1931 г., как этап выявления гелиевых запасов и их опытного производства с одной стороны, и овладения проектировочными, опытно-производственными и эксплуатационными процессами управляемого воздухоплавания — с другой, с тем, чтобы в 1932 г. начать развертывание большого советского дирижаблестроения на базе опытных достижений 1931 года.</w:t>
      </w:r>
    </w:p>
    <w:p w14:paraId="3C43B315" w14:textId="77777777" w:rsidR="005F6639" w:rsidRPr="007122AB" w:rsidRDefault="005F6639" w:rsidP="007122AB">
      <w:pPr>
        <w:pStyle w:val="rtejustify"/>
        <w:spacing w:before="0" w:after="0"/>
        <w:rPr>
          <w:color w:val="000000" w:themeColor="text1"/>
          <w:sz w:val="16"/>
          <w:szCs w:val="16"/>
        </w:rPr>
      </w:pPr>
      <w:r w:rsidRPr="007122AB">
        <w:rPr>
          <w:color w:val="000000" w:themeColor="text1"/>
          <w:sz w:val="16"/>
          <w:szCs w:val="16"/>
        </w:rPr>
        <w:t>Политбюро постановляет:</w:t>
      </w:r>
    </w:p>
    <w:p w14:paraId="0C39F324" w14:textId="77777777" w:rsidR="005F6639" w:rsidRPr="007122AB" w:rsidRDefault="005F6639" w:rsidP="007122AB">
      <w:pPr>
        <w:pStyle w:val="rtejustify"/>
        <w:spacing w:before="0" w:after="0"/>
        <w:rPr>
          <w:color w:val="000000" w:themeColor="text1"/>
          <w:sz w:val="16"/>
          <w:szCs w:val="16"/>
        </w:rPr>
      </w:pPr>
      <w:r w:rsidRPr="007122AB">
        <w:rPr>
          <w:rStyle w:val="a7"/>
          <w:b w:val="0"/>
          <w:color w:val="000000" w:themeColor="text1"/>
          <w:sz w:val="16"/>
          <w:szCs w:val="16"/>
        </w:rPr>
        <w:t>1</w:t>
      </w:r>
      <w:r w:rsidRPr="007122AB">
        <w:rPr>
          <w:color w:val="000000" w:themeColor="text1"/>
          <w:sz w:val="16"/>
          <w:szCs w:val="16"/>
        </w:rPr>
        <w:t>. Одобрить план разведывательных гелиевых работ “Стройгаза” (</w:t>
      </w:r>
      <w:proofErr w:type="spellStart"/>
      <w:r w:rsidRPr="007122AB">
        <w:rPr>
          <w:color w:val="000000" w:themeColor="text1"/>
          <w:sz w:val="16"/>
          <w:szCs w:val="16"/>
        </w:rPr>
        <w:t>Всехимпром</w:t>
      </w:r>
      <w:proofErr w:type="spellEnd"/>
      <w:r w:rsidRPr="007122AB">
        <w:rPr>
          <w:color w:val="000000" w:themeColor="text1"/>
          <w:sz w:val="16"/>
          <w:szCs w:val="16"/>
        </w:rPr>
        <w:t>) в 1931 г., имея в виду полное и точное выявление наличных ресурсов гелия и исчерпывающее изучение процессов добычи, очищения, хранения, перевозки и опытной эксплуатации его с тем, чтобы окончательно разведать все известные крупные источники гелия и овладеть процессом его производства и эксплуатации. Установить как минимум производства в 1931 г. .000 куб. м гелия.</w:t>
      </w:r>
    </w:p>
    <w:p w14:paraId="26315CA2" w14:textId="77777777" w:rsidR="005F6639" w:rsidRPr="007122AB" w:rsidRDefault="005F6639" w:rsidP="007122AB">
      <w:pPr>
        <w:pStyle w:val="rtejustify"/>
        <w:spacing w:before="0" w:after="0"/>
        <w:rPr>
          <w:color w:val="000000" w:themeColor="text1"/>
          <w:sz w:val="16"/>
          <w:szCs w:val="16"/>
        </w:rPr>
      </w:pPr>
      <w:r w:rsidRPr="007122AB">
        <w:rPr>
          <w:color w:val="000000" w:themeColor="text1"/>
          <w:sz w:val="16"/>
          <w:szCs w:val="16"/>
        </w:rPr>
        <w:t xml:space="preserve">Распространить льготы ВОГВФ на все работы по гелию. В частности, обязать ГГРУ и </w:t>
      </w:r>
      <w:proofErr w:type="spellStart"/>
      <w:r w:rsidRPr="007122AB">
        <w:rPr>
          <w:color w:val="000000" w:themeColor="text1"/>
          <w:sz w:val="16"/>
          <w:szCs w:val="16"/>
        </w:rPr>
        <w:t>Союзнефть</w:t>
      </w:r>
      <w:proofErr w:type="spellEnd"/>
      <w:r w:rsidRPr="007122AB">
        <w:rPr>
          <w:color w:val="000000" w:themeColor="text1"/>
          <w:sz w:val="16"/>
          <w:szCs w:val="16"/>
        </w:rPr>
        <w:t xml:space="preserve"> обеспечить выполнение поисково-разведочного плана по гелию специальными разведывательными партиями.</w:t>
      </w:r>
    </w:p>
    <w:p w14:paraId="4EBB814D" w14:textId="77777777" w:rsidR="005F6639" w:rsidRPr="007122AB" w:rsidRDefault="005F6639" w:rsidP="007122AB">
      <w:pPr>
        <w:pStyle w:val="rtejustify"/>
        <w:spacing w:before="0" w:after="0"/>
        <w:rPr>
          <w:color w:val="000000" w:themeColor="text1"/>
          <w:sz w:val="16"/>
          <w:szCs w:val="16"/>
        </w:rPr>
      </w:pPr>
      <w:r w:rsidRPr="007122AB">
        <w:rPr>
          <w:rStyle w:val="a7"/>
          <w:b w:val="0"/>
          <w:color w:val="000000" w:themeColor="text1"/>
          <w:sz w:val="16"/>
          <w:szCs w:val="16"/>
        </w:rPr>
        <w:t>2</w:t>
      </w:r>
      <w:r w:rsidRPr="007122AB">
        <w:rPr>
          <w:color w:val="000000" w:themeColor="text1"/>
          <w:sz w:val="16"/>
          <w:szCs w:val="16"/>
        </w:rPr>
        <w:t xml:space="preserve">. Утвердить объем ассигнований на эти работы в сумме 2.800 тыс. руб., из них 1.200 тыс. руб. по смете </w:t>
      </w:r>
      <w:proofErr w:type="spellStart"/>
      <w:r w:rsidRPr="007122AB">
        <w:rPr>
          <w:color w:val="000000" w:themeColor="text1"/>
          <w:sz w:val="16"/>
          <w:szCs w:val="16"/>
        </w:rPr>
        <w:t>Всехимпрома</w:t>
      </w:r>
      <w:proofErr w:type="spellEnd"/>
      <w:r w:rsidRPr="007122AB">
        <w:rPr>
          <w:color w:val="000000" w:themeColor="text1"/>
          <w:sz w:val="16"/>
          <w:szCs w:val="16"/>
        </w:rPr>
        <w:t xml:space="preserve"> и 1.600 тыс. руб. по смете ВОГВФ. Поручить </w:t>
      </w:r>
      <w:proofErr w:type="spellStart"/>
      <w:r w:rsidRPr="007122AB">
        <w:rPr>
          <w:color w:val="000000" w:themeColor="text1"/>
          <w:sz w:val="16"/>
          <w:szCs w:val="16"/>
        </w:rPr>
        <w:t>НКВнешторгу</w:t>
      </w:r>
      <w:proofErr w:type="spellEnd"/>
      <w:r w:rsidRPr="007122AB">
        <w:rPr>
          <w:color w:val="000000" w:themeColor="text1"/>
          <w:sz w:val="16"/>
          <w:szCs w:val="16"/>
        </w:rPr>
        <w:t xml:space="preserve"> выделить из резерва контингент инвалюты на эти работы 50.000 руб.</w:t>
      </w:r>
    </w:p>
    <w:p w14:paraId="0A5C47A2" w14:textId="77777777" w:rsidR="005F6639" w:rsidRPr="007122AB" w:rsidRDefault="005F6639" w:rsidP="007122AB">
      <w:pPr>
        <w:pStyle w:val="rtejustify"/>
        <w:spacing w:before="0" w:after="0"/>
        <w:rPr>
          <w:color w:val="000000" w:themeColor="text1"/>
          <w:sz w:val="16"/>
          <w:szCs w:val="16"/>
        </w:rPr>
      </w:pPr>
      <w:r w:rsidRPr="007122AB">
        <w:rPr>
          <w:rStyle w:val="a7"/>
          <w:b w:val="0"/>
          <w:color w:val="000000" w:themeColor="text1"/>
          <w:sz w:val="16"/>
          <w:szCs w:val="16"/>
        </w:rPr>
        <w:t>3</w:t>
      </w:r>
      <w:r w:rsidRPr="007122AB">
        <w:rPr>
          <w:color w:val="000000" w:themeColor="text1"/>
          <w:sz w:val="16"/>
          <w:szCs w:val="16"/>
        </w:rPr>
        <w:t xml:space="preserve">. Обязать ВСНХ СССР (ГГРУ и </w:t>
      </w:r>
      <w:proofErr w:type="spellStart"/>
      <w:r w:rsidRPr="007122AB">
        <w:rPr>
          <w:color w:val="000000" w:themeColor="text1"/>
          <w:sz w:val="16"/>
          <w:szCs w:val="16"/>
        </w:rPr>
        <w:t>Союзнефть</w:t>
      </w:r>
      <w:proofErr w:type="spellEnd"/>
      <w:r w:rsidRPr="007122AB">
        <w:rPr>
          <w:color w:val="000000" w:themeColor="text1"/>
          <w:sz w:val="16"/>
          <w:szCs w:val="16"/>
        </w:rPr>
        <w:t>) и ВОГВФ оказать полное и исчерпывающее содействие “Стройгазу” в осуществлении этой программы.</w:t>
      </w:r>
    </w:p>
    <w:p w14:paraId="1134D178" w14:textId="77777777" w:rsidR="005F6639" w:rsidRPr="007122AB" w:rsidRDefault="005F6639" w:rsidP="007122AB">
      <w:pPr>
        <w:pStyle w:val="rtejustify"/>
        <w:spacing w:before="0" w:after="0"/>
        <w:rPr>
          <w:color w:val="000000" w:themeColor="text1"/>
          <w:sz w:val="16"/>
          <w:szCs w:val="16"/>
        </w:rPr>
      </w:pPr>
      <w:r w:rsidRPr="007122AB">
        <w:rPr>
          <w:rStyle w:val="a7"/>
          <w:b w:val="0"/>
          <w:color w:val="000000" w:themeColor="text1"/>
          <w:sz w:val="16"/>
          <w:szCs w:val="16"/>
        </w:rPr>
        <w:t>4</w:t>
      </w:r>
      <w:r w:rsidRPr="007122AB">
        <w:rPr>
          <w:color w:val="000000" w:themeColor="text1"/>
          <w:sz w:val="16"/>
          <w:szCs w:val="16"/>
        </w:rPr>
        <w:t>. Одобрить программу работ ВОГВФ в 1931 г. по “малому” дирижаблестроению и научно-исследовательским и проектировочным работам на базе временной Ленинградской верфи (завод им. Марти) и изысканию и проектирования постоянной верфи в Нижней Волге (ориентировочно в районе Саратова) с тем, чтобы получить возможность уже в 1932 г. приступить к строительству, связанному с большой дирижабельной программой.</w:t>
      </w:r>
    </w:p>
    <w:p w14:paraId="3254A43D" w14:textId="77777777" w:rsidR="005F6639" w:rsidRPr="007122AB" w:rsidRDefault="005F6639" w:rsidP="007122AB">
      <w:pPr>
        <w:pStyle w:val="rtejustify"/>
        <w:spacing w:before="0" w:after="0"/>
        <w:rPr>
          <w:color w:val="000000" w:themeColor="text1"/>
          <w:sz w:val="16"/>
          <w:szCs w:val="16"/>
        </w:rPr>
      </w:pPr>
      <w:r w:rsidRPr="007122AB">
        <w:rPr>
          <w:color w:val="000000" w:themeColor="text1"/>
          <w:sz w:val="16"/>
          <w:szCs w:val="16"/>
        </w:rPr>
        <w:t>Объем ассигнований на эти работы утвердить в сумме 1.172 тыс. руб.</w:t>
      </w:r>
    </w:p>
    <w:p w14:paraId="742D821D" w14:textId="77777777" w:rsidR="005F6639" w:rsidRPr="007122AB" w:rsidRDefault="005F6639" w:rsidP="007122AB">
      <w:pPr>
        <w:pStyle w:val="rtejustify"/>
        <w:spacing w:before="0" w:after="0"/>
        <w:rPr>
          <w:color w:val="000000" w:themeColor="text1"/>
          <w:sz w:val="16"/>
          <w:szCs w:val="16"/>
        </w:rPr>
      </w:pPr>
      <w:r w:rsidRPr="007122AB">
        <w:rPr>
          <w:rStyle w:val="a7"/>
          <w:b w:val="0"/>
          <w:color w:val="000000" w:themeColor="text1"/>
          <w:sz w:val="16"/>
          <w:szCs w:val="16"/>
        </w:rPr>
        <w:t>5</w:t>
      </w:r>
      <w:r w:rsidRPr="007122AB">
        <w:rPr>
          <w:color w:val="000000" w:themeColor="text1"/>
          <w:sz w:val="16"/>
          <w:szCs w:val="16"/>
        </w:rPr>
        <w:t>. Исходя из целесообразности привлечения иностранной техпомощи как к разрешению вопросов “малого” дирижаблестроения, так и к постановке проектирования больших современных дирижаблей, разрешить т. </w:t>
      </w:r>
      <w:proofErr w:type="spellStart"/>
      <w:r w:rsidRPr="007122AB">
        <w:rPr>
          <w:color w:val="000000" w:themeColor="text1"/>
          <w:sz w:val="16"/>
          <w:szCs w:val="16"/>
        </w:rPr>
        <w:t>Гольцману</w:t>
      </w:r>
      <w:proofErr w:type="spellEnd"/>
      <w:r w:rsidRPr="007122AB">
        <w:rPr>
          <w:color w:val="000000" w:themeColor="text1"/>
          <w:sz w:val="16"/>
          <w:szCs w:val="16"/>
        </w:rPr>
        <w:t xml:space="preserve"> вступить в переговоры с соответствующими иностранными воздухоплавательными фирмами об организации в СССР смешанного консультационно-конструкторского бюро по дирижаблестроению порядка не менее 150.000 куб. м, для чего забронировать в резерве ВОГВФ 1 млн. руб. на эту цель в </w:t>
      </w:r>
      <w:proofErr w:type="spellStart"/>
      <w:r w:rsidRPr="007122AB">
        <w:rPr>
          <w:color w:val="000000" w:themeColor="text1"/>
          <w:sz w:val="16"/>
          <w:szCs w:val="16"/>
        </w:rPr>
        <w:t>соввалюте</w:t>
      </w:r>
      <w:proofErr w:type="spellEnd"/>
      <w:r w:rsidRPr="007122AB">
        <w:rPr>
          <w:color w:val="000000" w:themeColor="text1"/>
          <w:sz w:val="16"/>
          <w:szCs w:val="16"/>
        </w:rPr>
        <w:t xml:space="preserve"> и поручить </w:t>
      </w:r>
      <w:proofErr w:type="spellStart"/>
      <w:r w:rsidRPr="007122AB">
        <w:rPr>
          <w:color w:val="000000" w:themeColor="text1"/>
          <w:sz w:val="16"/>
          <w:szCs w:val="16"/>
        </w:rPr>
        <w:t>т.т</w:t>
      </w:r>
      <w:proofErr w:type="spellEnd"/>
      <w:r w:rsidRPr="007122AB">
        <w:rPr>
          <w:color w:val="000000" w:themeColor="text1"/>
          <w:sz w:val="16"/>
          <w:szCs w:val="16"/>
        </w:rPr>
        <w:t>. </w:t>
      </w:r>
      <w:proofErr w:type="spellStart"/>
      <w:r w:rsidRPr="007122AB">
        <w:rPr>
          <w:color w:val="000000" w:themeColor="text1"/>
          <w:sz w:val="16"/>
          <w:szCs w:val="16"/>
        </w:rPr>
        <w:t>Гольцману</w:t>
      </w:r>
      <w:proofErr w:type="spellEnd"/>
      <w:r w:rsidRPr="007122AB">
        <w:rPr>
          <w:color w:val="000000" w:themeColor="text1"/>
          <w:sz w:val="16"/>
          <w:szCs w:val="16"/>
        </w:rPr>
        <w:t xml:space="preserve"> и </w:t>
      </w:r>
      <w:proofErr w:type="spellStart"/>
      <w:r w:rsidRPr="007122AB">
        <w:rPr>
          <w:color w:val="000000" w:themeColor="text1"/>
          <w:sz w:val="16"/>
          <w:szCs w:val="16"/>
        </w:rPr>
        <w:t>Розенгольцу</w:t>
      </w:r>
      <w:proofErr w:type="spellEnd"/>
      <w:r w:rsidRPr="007122AB">
        <w:rPr>
          <w:color w:val="000000" w:themeColor="text1"/>
          <w:sz w:val="16"/>
          <w:szCs w:val="16"/>
        </w:rPr>
        <w:t xml:space="preserve"> определить в зависимости от условий реализации техпомощи инвалютную сторону этого вопроса (17132).</w:t>
      </w:r>
    </w:p>
    <w:p w14:paraId="10E57718" w14:textId="77777777" w:rsidR="005F6639" w:rsidRPr="007122AB" w:rsidRDefault="005F6639" w:rsidP="007122AB">
      <w:pPr>
        <w:spacing w:after="0" w:line="240" w:lineRule="auto"/>
        <w:jc w:val="both"/>
        <w:rPr>
          <w:rFonts w:ascii="Times New Roman" w:hAnsi="Times New Roman"/>
          <w:bCs/>
          <w:color w:val="000000" w:themeColor="text1"/>
          <w:sz w:val="16"/>
          <w:szCs w:val="16"/>
        </w:rPr>
      </w:pPr>
    </w:p>
    <w:p w14:paraId="7049FE25" w14:textId="2516935D" w:rsidR="009949F5" w:rsidRPr="007122AB" w:rsidRDefault="009949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года Политбюро одобрило предложения НИИСЭД, доложенные </w:t>
      </w:r>
      <w:proofErr w:type="spellStart"/>
      <w:r w:rsidRPr="007122AB">
        <w:rPr>
          <w:rFonts w:ascii="Times New Roman" w:hAnsi="Times New Roman"/>
          <w:color w:val="000000" w:themeColor="text1"/>
          <w:sz w:val="16"/>
          <w:szCs w:val="16"/>
        </w:rPr>
        <w:t>Гольцманом</w:t>
      </w:r>
      <w:proofErr w:type="spellEnd"/>
      <w:r w:rsidRPr="007122AB">
        <w:rPr>
          <w:rFonts w:ascii="Times New Roman" w:hAnsi="Times New Roman"/>
          <w:color w:val="000000" w:themeColor="text1"/>
          <w:sz w:val="16"/>
          <w:szCs w:val="16"/>
        </w:rPr>
        <w:t>. Вопреки его возражениям главную базу (постоянную верфь) решили строить в низовьях Волги - ориентировочно в районе Саратова.</w:t>
      </w:r>
    </w:p>
    <w:p w14:paraId="61A7D05E" w14:textId="77777777" w:rsidR="009949F5" w:rsidRPr="007122AB" w:rsidRDefault="009949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Торжество «ленинградской партии», добившейся переноса начального этапа дирижаблестроения в город на Неве, было недолгим: оправившиеся «москвичи» переубедили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и уже в мае он распорядился ликвидировать НИИСЭД и учредить в столице БОСЭД-II. Вопрос был окончательно закрыт в июле, когда комиссия из Москвы проверила ход проектирования малого полужёсткого дирижабля конструкторским бюро ЛИГВФ. Оказалось, что законченного проекта даже в основных его частях не имеется, конструктивное решение балочек килевой фермы выбрано самое неудачное, а по качеству проект представляет собой «скорее учебную разработку отдельных вариантов, чем подготовляемый к постройке комплект чертежей». Справедливости ради надо сказать, что у ленинградских проектировщиков было совсем немного времени - каких-нибудь два-три месяца, но выводы комиссии не предполагали обжалования. Впрочем, сохранять в Ленинграде конструкторское бюро, оторванное от опытного производства, в любом случае не было смысла.</w:t>
      </w:r>
    </w:p>
    <w:p w14:paraId="7DF19AF5" w14:textId="73395130" w:rsidR="009949F5" w:rsidRPr="007122AB" w:rsidRDefault="009949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Всё, что делалось в колыбели революции в течение четырёх месяцев, оказалось ненужным, а время, потраченное в борьбе столиц, - потерянным для дирижаблестроения. Настоящая работа началась лишь в середине 1931 года (23192).</w:t>
      </w:r>
    </w:p>
    <w:p w14:paraId="055D887E" w14:textId="77777777" w:rsidR="009949F5" w:rsidRPr="007122AB" w:rsidRDefault="009949F5" w:rsidP="007122AB">
      <w:pPr>
        <w:spacing w:after="0" w:line="240" w:lineRule="auto"/>
        <w:jc w:val="both"/>
        <w:rPr>
          <w:rFonts w:ascii="Times New Roman" w:hAnsi="Times New Roman"/>
          <w:color w:val="000000" w:themeColor="text1"/>
          <w:sz w:val="16"/>
          <w:szCs w:val="16"/>
        </w:rPr>
      </w:pPr>
    </w:p>
    <w:p w14:paraId="67946E0C" w14:textId="2B69653C" w:rsidR="000C2E8E" w:rsidRPr="007122AB" w:rsidRDefault="000C2E8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20 апреля 1931 ПБ приняло решение «Об экспедиции </w:t>
      </w:r>
      <w:proofErr w:type="spellStart"/>
      <w:r w:rsidRPr="007122AB">
        <w:rPr>
          <w:rFonts w:ascii="Times New Roman" w:hAnsi="Times New Roman"/>
          <w:color w:val="000000" w:themeColor="text1"/>
          <w:sz w:val="16"/>
          <w:szCs w:val="16"/>
          <w:shd w:val="clear" w:color="auto" w:fill="FFFFFF"/>
        </w:rPr>
        <w:t>Эккенера</w:t>
      </w:r>
      <w:proofErr w:type="spellEnd"/>
      <w:r w:rsidRPr="007122AB">
        <w:rPr>
          <w:rFonts w:ascii="Times New Roman" w:hAnsi="Times New Roman"/>
          <w:color w:val="000000" w:themeColor="text1"/>
          <w:sz w:val="16"/>
          <w:szCs w:val="16"/>
          <w:shd w:val="clear" w:color="auto" w:fill="FFFFFF"/>
        </w:rPr>
        <w:t xml:space="preserve"> в Арктику»: «а) разрешить международному обществу «</w:t>
      </w:r>
      <w:proofErr w:type="spellStart"/>
      <w:r w:rsidRPr="007122AB">
        <w:rPr>
          <w:rFonts w:ascii="Times New Roman" w:hAnsi="Times New Roman"/>
          <w:color w:val="000000" w:themeColor="text1"/>
          <w:sz w:val="16"/>
          <w:szCs w:val="16"/>
          <w:shd w:val="clear" w:color="auto" w:fill="FFFFFF"/>
        </w:rPr>
        <w:t>Аэроарктик</w:t>
      </w:r>
      <w:proofErr w:type="spellEnd"/>
      <w:r w:rsidRPr="007122AB">
        <w:rPr>
          <w:rFonts w:ascii="Times New Roman" w:hAnsi="Times New Roman"/>
          <w:color w:val="000000" w:themeColor="text1"/>
          <w:sz w:val="16"/>
          <w:szCs w:val="16"/>
          <w:shd w:val="clear" w:color="auto" w:fill="FFFFFF"/>
        </w:rPr>
        <w:t>» научную арктическую экспедицию на дирижабле с остановками на территории СССР по маршруту Германия — Ленинград — советский сектор Арктики — Москва (Ленинград) — Германия; б) разрешить участие в этой экспедиции в качестве ее начальника профессора Самойловича и других советских исследователей; в) валютные расходы не должны превышать 17 тысяч долларов и покрываться из резервного фонда СНК СССР» (20467).</w:t>
      </w:r>
    </w:p>
    <w:p w14:paraId="444EA591" w14:textId="77777777" w:rsidR="000C2E8E" w:rsidRPr="007122AB" w:rsidRDefault="000C2E8E" w:rsidP="007122AB">
      <w:pPr>
        <w:spacing w:after="0" w:line="240" w:lineRule="auto"/>
        <w:jc w:val="both"/>
        <w:rPr>
          <w:rFonts w:ascii="Times New Roman" w:hAnsi="Times New Roman"/>
          <w:color w:val="000000" w:themeColor="text1"/>
          <w:sz w:val="16"/>
          <w:szCs w:val="16"/>
        </w:rPr>
      </w:pPr>
    </w:p>
    <w:p w14:paraId="4E167E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FF46A5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A0FA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г. французы предложили Москве заключить пакт о ненападении. Но когда 10 августа 1931 г.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w:t>
      </w:r>
      <w:r w:rsidRPr="007122AB">
        <w:rPr>
          <w:rFonts w:ascii="Times New Roman" w:hAnsi="Times New Roman"/>
          <w:color w:val="000000" w:themeColor="text1"/>
          <w:sz w:val="16"/>
          <w:szCs w:val="16"/>
        </w:rPr>
        <w:lastRenderedPageBreak/>
        <w:t xml:space="preserve">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в своих мемуарах по этому поводу писал: «С весны 1931 года французы то и дело безрезультатно пытались отколоть от нас Россию»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Симптоматичны в этой связи следующие слова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w:t>
      </w:r>
      <w:proofErr w:type="spellStart"/>
      <w:r w:rsidRPr="007122AB">
        <w:rPr>
          <w:rFonts w:ascii="Times New Roman" w:hAnsi="Times New Roman"/>
          <w:color w:val="000000" w:themeColor="text1"/>
          <w:sz w:val="16"/>
          <w:szCs w:val="16"/>
        </w:rPr>
        <w:t>соч</w:t>
      </w:r>
      <w:proofErr w:type="spellEnd"/>
      <w:r w:rsidRPr="007122AB">
        <w:rPr>
          <w:rFonts w:ascii="Times New Roman" w:hAnsi="Times New Roman"/>
          <w:color w:val="000000" w:themeColor="text1"/>
          <w:sz w:val="16"/>
          <w:szCs w:val="16"/>
        </w:rPr>
        <w:t>,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0AD5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F8D83E" w14:textId="77777777" w:rsidR="00F67F51" w:rsidRPr="007122AB" w:rsidRDefault="00F67F5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98C7985" w14:textId="77777777" w:rsidR="00F67F51" w:rsidRPr="007122AB" w:rsidRDefault="00F67F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1EC997" w14:textId="77777777" w:rsidR="00F67F51" w:rsidRPr="007122AB" w:rsidRDefault="00F67F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1931 г. франция предложила СССР заключить пакт о ненападении. Но когда 10 августа 1931 г.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2128A3BD" w14:textId="77777777" w:rsidR="00F67F51" w:rsidRPr="007122AB" w:rsidRDefault="00F67F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F1E4322" w14:textId="77777777" w:rsidR="00F67F51" w:rsidRPr="007122AB" w:rsidRDefault="00F67F51" w:rsidP="007122AB">
      <w:pPr>
        <w:spacing w:after="0" w:line="240" w:lineRule="auto"/>
        <w:jc w:val="both"/>
        <w:rPr>
          <w:rFonts w:ascii="Times New Roman" w:hAnsi="Times New Roman"/>
          <w:color w:val="000000" w:themeColor="text1"/>
          <w:sz w:val="16"/>
          <w:szCs w:val="16"/>
        </w:rPr>
      </w:pPr>
    </w:p>
    <w:p w14:paraId="37022F0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9D37B9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39D5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апреля 1931 был утвержден Отчет по испытанию стрелкового вооружения на серийном самолете И-5 Ю-6 зав. N 1 и 2-м опытном сам. И-5 зав. N 39.</w:t>
      </w:r>
    </w:p>
    <w:p w14:paraId="52C09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стрелкового вооружения производилось в НИИ ВВС на 2-х самолетах И-5 - Ю-6:</w:t>
      </w:r>
    </w:p>
    <w:p w14:paraId="41FF2A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2-ом опытном N 5 завода N 39 со 2 декабря 1930 г. по 13 января 1931 г.</w:t>
      </w:r>
    </w:p>
    <w:p w14:paraId="75215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1-м серийном самолете N 4273 завода N 1 с 1 февраля 1931 г. по 26 февраля 1931 г.</w:t>
      </w:r>
    </w:p>
    <w:p w14:paraId="1BF57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Заключения.</w:t>
      </w:r>
    </w:p>
    <w:p w14:paraId="3223D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Установки вооружения на самолете И-5 испытания выдержали (3208,103-125).</w:t>
      </w:r>
    </w:p>
    <w:p w14:paraId="254394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93147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1858C2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5E6300"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апреля 1931 г. Постановление Президиума ВСНХ СССР об утверждении устава Государственного снарядного треста (РГАЭ. Ф. 3429. Оп. 1. Д. 5244. Л. 130) (12417).</w:t>
      </w:r>
    </w:p>
    <w:p w14:paraId="0F08BEA2"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5D861934"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21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СТО СССР № </w:t>
      </w:r>
      <w:proofErr w:type="spellStart"/>
      <w:r w:rsidRPr="007122AB">
        <w:rPr>
          <w:rFonts w:ascii="Times New Roman" w:hAnsi="Times New Roman"/>
          <w:color w:val="000000" w:themeColor="text1"/>
          <w:sz w:val="16"/>
          <w:szCs w:val="16"/>
          <w:u w:color="002060"/>
        </w:rPr>
        <w:t>бЗсс</w:t>
      </w:r>
      <w:proofErr w:type="spellEnd"/>
      <w:r w:rsidRPr="007122AB">
        <w:rPr>
          <w:rFonts w:ascii="Times New Roman" w:hAnsi="Times New Roman"/>
          <w:color w:val="000000" w:themeColor="text1"/>
          <w:sz w:val="16"/>
          <w:szCs w:val="16"/>
          <w:u w:color="002060"/>
        </w:rPr>
        <w:t xml:space="preserve"> об обеспечении строительства типовых оборонных сооружений рабочей силой (ГА РФ. Ф. Р?8418. Оп. 28. Д. 1а. Л. 10) (12415).</w:t>
      </w:r>
    </w:p>
    <w:p w14:paraId="7C81BD3F"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18462688"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21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64сс об обеспечении строительства типовых оборонных сооружений продовольствием, фуражом и промтоварами (ГА РФ. Ф. Р?8418. Оп. 28. Д. 1а. Л. 11) (12415).</w:t>
      </w:r>
    </w:p>
    <w:p w14:paraId="5640E0A2"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11F68DA8"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апреля в 1931 году выпущен первый экскаватор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на Ковровском экскаваторном заводе (Владимирская область) (15106).</w:t>
      </w:r>
    </w:p>
    <w:p w14:paraId="3AA5219A"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1815A33E"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апреля 1931 года на Ковровском экскаваторном заводе (Владимирская область) был выпущен первый советский экскаватор.</w:t>
      </w:r>
    </w:p>
    <w:p w14:paraId="11244B1B"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апреля 1931 г. новый экскаватор, названный "</w:t>
      </w:r>
      <w:proofErr w:type="spellStart"/>
      <w:r w:rsidRPr="007122AB">
        <w:rPr>
          <w:rFonts w:ascii="Times New Roman" w:hAnsi="Times New Roman"/>
          <w:color w:val="000000" w:themeColor="text1"/>
          <w:sz w:val="16"/>
          <w:szCs w:val="16"/>
        </w:rPr>
        <w:t>Ковровцем</w:t>
      </w:r>
      <w:proofErr w:type="spellEnd"/>
      <w:r w:rsidRPr="007122AB">
        <w:rPr>
          <w:rFonts w:ascii="Times New Roman" w:hAnsi="Times New Roman"/>
          <w:color w:val="000000" w:themeColor="text1"/>
          <w:sz w:val="16"/>
          <w:szCs w:val="16"/>
        </w:rPr>
        <w:t>", прошел испытания. После приемки Государственной комиссией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xml:space="preserve">" был отправлен в </w:t>
      </w:r>
      <w:proofErr w:type="spellStart"/>
      <w:r w:rsidRPr="007122AB">
        <w:rPr>
          <w:rFonts w:ascii="Times New Roman" w:hAnsi="Times New Roman"/>
          <w:color w:val="000000" w:themeColor="text1"/>
          <w:sz w:val="16"/>
          <w:szCs w:val="16"/>
        </w:rPr>
        <w:t>г.Горький</w:t>
      </w:r>
      <w:proofErr w:type="spellEnd"/>
      <w:r w:rsidRPr="007122AB">
        <w:rPr>
          <w:rFonts w:ascii="Times New Roman" w:hAnsi="Times New Roman"/>
          <w:color w:val="000000" w:themeColor="text1"/>
          <w:sz w:val="16"/>
          <w:szCs w:val="16"/>
        </w:rPr>
        <w:t xml:space="preserve"> для использования при расширении местного железнодорожного узла. Позже "Ковровец-1" работал на строительстве "Беломорканала", близ </w:t>
      </w:r>
      <w:proofErr w:type="spellStart"/>
      <w:r w:rsidRPr="007122AB">
        <w:rPr>
          <w:rFonts w:ascii="Times New Roman" w:hAnsi="Times New Roman"/>
          <w:color w:val="000000" w:themeColor="text1"/>
          <w:sz w:val="16"/>
          <w:szCs w:val="16"/>
        </w:rPr>
        <w:t>г.Мурманска</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Балхашстрое</w:t>
      </w:r>
      <w:proofErr w:type="spellEnd"/>
      <w:r w:rsidRPr="007122AB">
        <w:rPr>
          <w:rFonts w:ascii="Times New Roman" w:hAnsi="Times New Roman"/>
          <w:color w:val="000000" w:themeColor="text1"/>
          <w:sz w:val="16"/>
          <w:szCs w:val="16"/>
        </w:rPr>
        <w:t>, в карьерах Казанской железной дороги.</w:t>
      </w:r>
    </w:p>
    <w:p w14:paraId="38620C86"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Следующую машину, "Ковровец-2", построенную по новым, исправленным чертежам, завод изготовил в октябре 1931 г. Эти два первых экскаватора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xml:space="preserve">" положили начало развитию советского </w:t>
      </w:r>
      <w:proofErr w:type="spellStart"/>
      <w:r w:rsidRPr="007122AB">
        <w:rPr>
          <w:rFonts w:ascii="Times New Roman" w:hAnsi="Times New Roman"/>
          <w:color w:val="000000" w:themeColor="text1"/>
          <w:sz w:val="16"/>
          <w:szCs w:val="16"/>
        </w:rPr>
        <w:t>экскаваторостроения</w:t>
      </w:r>
      <w:proofErr w:type="spellEnd"/>
      <w:r w:rsidRPr="007122AB">
        <w:rPr>
          <w:rFonts w:ascii="Times New Roman" w:hAnsi="Times New Roman"/>
          <w:color w:val="000000" w:themeColor="text1"/>
          <w:sz w:val="16"/>
          <w:szCs w:val="16"/>
        </w:rPr>
        <w:t>.</w:t>
      </w:r>
    </w:p>
    <w:p w14:paraId="24872F9F"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1932 г. началось серийное производство экскаваторов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xml:space="preserve">", а всего к концу 1934 г. было </w:t>
      </w:r>
      <w:proofErr w:type="spellStart"/>
      <w:r w:rsidRPr="007122AB">
        <w:rPr>
          <w:rFonts w:ascii="Times New Roman" w:hAnsi="Times New Roman"/>
          <w:color w:val="000000" w:themeColor="text1"/>
          <w:sz w:val="16"/>
          <w:szCs w:val="16"/>
        </w:rPr>
        <w:t>изготовленно</w:t>
      </w:r>
      <w:proofErr w:type="spellEnd"/>
      <w:r w:rsidRPr="007122AB">
        <w:rPr>
          <w:rFonts w:ascii="Times New Roman" w:hAnsi="Times New Roman"/>
          <w:color w:val="000000" w:themeColor="text1"/>
          <w:sz w:val="16"/>
          <w:szCs w:val="16"/>
        </w:rPr>
        <w:t xml:space="preserve"> 177 подобных землеройных машин.</w:t>
      </w:r>
    </w:p>
    <w:p w14:paraId="713AB06A"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Экскаватор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xml:space="preserve">" смонтирован на 4-осной платформе железнодорожного типа. Для устойчивости снабжен 4-мя боковыми домкратами. Экскаватор имеет одно рабочее оборудование - прямую лопату; для подъема ковша применена цепь; угол поворота стрелы - 180°. Для питания силовой установки экскаватора служит котел типа </w:t>
      </w:r>
      <w:proofErr w:type="spellStart"/>
      <w:r w:rsidRPr="007122AB">
        <w:rPr>
          <w:rFonts w:ascii="Times New Roman" w:hAnsi="Times New Roman"/>
          <w:color w:val="000000" w:themeColor="text1"/>
          <w:sz w:val="16"/>
          <w:szCs w:val="16"/>
        </w:rPr>
        <w:t>Бельпера</w:t>
      </w:r>
      <w:proofErr w:type="spellEnd"/>
      <w:r w:rsidRPr="007122AB">
        <w:rPr>
          <w:rFonts w:ascii="Times New Roman" w:hAnsi="Times New Roman"/>
          <w:color w:val="000000" w:themeColor="text1"/>
          <w:sz w:val="16"/>
          <w:szCs w:val="16"/>
        </w:rPr>
        <w:t xml:space="preserve">. Для питания котла водой на экскаваторе установлены инжектор №7 системы </w:t>
      </w:r>
      <w:proofErr w:type="spellStart"/>
      <w:r w:rsidRPr="007122AB">
        <w:rPr>
          <w:rFonts w:ascii="Times New Roman" w:hAnsi="Times New Roman"/>
          <w:color w:val="000000" w:themeColor="text1"/>
          <w:sz w:val="16"/>
          <w:szCs w:val="16"/>
        </w:rPr>
        <w:t>Рестартинг</w:t>
      </w:r>
      <w:proofErr w:type="spellEnd"/>
      <w:r w:rsidRPr="007122AB">
        <w:rPr>
          <w:rFonts w:ascii="Times New Roman" w:hAnsi="Times New Roman"/>
          <w:color w:val="000000" w:themeColor="text1"/>
          <w:sz w:val="16"/>
          <w:szCs w:val="16"/>
        </w:rPr>
        <w:t xml:space="preserve"> и паровой насос </w:t>
      </w:r>
      <w:proofErr w:type="spellStart"/>
      <w:r w:rsidRPr="007122AB">
        <w:rPr>
          <w:rFonts w:ascii="Times New Roman" w:hAnsi="Times New Roman"/>
          <w:color w:val="000000" w:themeColor="text1"/>
          <w:sz w:val="16"/>
          <w:szCs w:val="16"/>
        </w:rPr>
        <w:t>Вортингтон</w:t>
      </w:r>
      <w:proofErr w:type="spellEnd"/>
      <w:r w:rsidRPr="007122AB">
        <w:rPr>
          <w:rFonts w:ascii="Times New Roman" w:hAnsi="Times New Roman"/>
          <w:color w:val="000000" w:themeColor="text1"/>
          <w:sz w:val="16"/>
          <w:szCs w:val="16"/>
        </w:rPr>
        <w:t>. Топливом для котла служит каменный уголь, дрова, возможно применение нефти. В качестве двигателей экскаватор имеет 3 паровых машины: подъемную, поворотную и напорную, общей мощностью 245 л.с.</w:t>
      </w:r>
    </w:p>
    <w:p w14:paraId="738EC18C"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экскаватором сосредоточено в двух местах: на поворотной платформе и на стреле экскаватора. Обслуживали машину две бригады: верхняя и нижняя. В состав верхней входили машинист, стреловой, слесарь-смазчик и кочегар; в состав нижней - бригадир и 6 человек рабочих. Внутри экскаватора предусматривалось керосиновое освещение. Экскаватор снабжен деревянным кузовом, а рабочее место на стреле - тентом. Вес экскаватора - 85 т (21166).</w:t>
      </w:r>
    </w:p>
    <w:p w14:paraId="46A41F8E" w14:textId="77777777" w:rsidR="000929C3" w:rsidRPr="007122AB" w:rsidRDefault="000929C3" w:rsidP="007122AB">
      <w:pPr>
        <w:spacing w:after="0" w:line="240" w:lineRule="auto"/>
        <w:jc w:val="both"/>
        <w:rPr>
          <w:rFonts w:ascii="Times New Roman" w:hAnsi="Times New Roman"/>
          <w:color w:val="000000" w:themeColor="text1"/>
          <w:sz w:val="16"/>
          <w:szCs w:val="16"/>
        </w:rPr>
      </w:pPr>
    </w:p>
    <w:p w14:paraId="6C06D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апреля 1931 г. новый экскаватор, названный "</w:t>
      </w:r>
      <w:proofErr w:type="spellStart"/>
      <w:r w:rsidRPr="007122AB">
        <w:rPr>
          <w:rFonts w:ascii="Times New Roman" w:hAnsi="Times New Roman"/>
          <w:color w:val="000000" w:themeColor="text1"/>
          <w:sz w:val="16"/>
          <w:szCs w:val="16"/>
        </w:rPr>
        <w:t>Ковровцем</w:t>
      </w:r>
      <w:proofErr w:type="spellEnd"/>
      <w:r w:rsidRPr="007122AB">
        <w:rPr>
          <w:rFonts w:ascii="Times New Roman" w:hAnsi="Times New Roman"/>
          <w:color w:val="000000" w:themeColor="text1"/>
          <w:sz w:val="16"/>
          <w:szCs w:val="16"/>
        </w:rPr>
        <w:t>", прошел испытания. Своей работой он был способен заменить тысячу рабочих. После приемки Государственной комиссией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был отправлен в город Горький (Нижний Новгород) для использования при расширении местного железнодорожного узла. Позже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xml:space="preserve"> № 1" работал на строительстве "Беломорканала", близ города Мурманска, на </w:t>
      </w:r>
      <w:proofErr w:type="spellStart"/>
      <w:r w:rsidRPr="007122AB">
        <w:rPr>
          <w:rFonts w:ascii="Times New Roman" w:hAnsi="Times New Roman"/>
          <w:color w:val="000000" w:themeColor="text1"/>
          <w:sz w:val="16"/>
          <w:szCs w:val="16"/>
        </w:rPr>
        <w:t>Балхашстрое</w:t>
      </w:r>
      <w:proofErr w:type="spellEnd"/>
      <w:r w:rsidRPr="007122AB">
        <w:rPr>
          <w:rFonts w:ascii="Times New Roman" w:hAnsi="Times New Roman"/>
          <w:color w:val="000000" w:themeColor="text1"/>
          <w:sz w:val="16"/>
          <w:szCs w:val="16"/>
        </w:rPr>
        <w:t>, в карьерах Казанской железной дороги. Следующую машину, "</w:t>
      </w:r>
      <w:proofErr w:type="spellStart"/>
      <w:r w:rsidRPr="007122AB">
        <w:rPr>
          <w:rFonts w:ascii="Times New Roman" w:hAnsi="Times New Roman"/>
          <w:color w:val="000000" w:themeColor="text1"/>
          <w:sz w:val="16"/>
          <w:szCs w:val="16"/>
        </w:rPr>
        <w:t>Ковровец</w:t>
      </w:r>
      <w:proofErr w:type="spellEnd"/>
      <w:r w:rsidRPr="007122AB">
        <w:rPr>
          <w:rFonts w:ascii="Times New Roman" w:hAnsi="Times New Roman"/>
          <w:color w:val="000000" w:themeColor="text1"/>
          <w:sz w:val="16"/>
          <w:szCs w:val="16"/>
        </w:rPr>
        <w:t xml:space="preserve"> № 2", построенную по новым, исправленным чертежам, завод смог изготовить только в октябре того же 1931 г. Однако, ввод в строй новых цехов и коренная перестройка всего предприятия позволили перейти к массовому выпуску "</w:t>
      </w:r>
      <w:proofErr w:type="spellStart"/>
      <w:r w:rsidRPr="007122AB">
        <w:rPr>
          <w:rFonts w:ascii="Times New Roman" w:hAnsi="Times New Roman"/>
          <w:color w:val="000000" w:themeColor="text1"/>
          <w:sz w:val="16"/>
          <w:szCs w:val="16"/>
        </w:rPr>
        <w:t>Ковровцев</w:t>
      </w:r>
      <w:proofErr w:type="spellEnd"/>
      <w:r w:rsidRPr="007122AB">
        <w:rPr>
          <w:rFonts w:ascii="Times New Roman" w:hAnsi="Times New Roman"/>
          <w:color w:val="000000" w:themeColor="text1"/>
          <w:sz w:val="16"/>
          <w:szCs w:val="16"/>
        </w:rPr>
        <w:t>". Всего к концу 1934 г. экскаваторный завод произвел 177 подобных землеройных машин. По имеющимся сведениям, первые ковровские экскаваторы эксплуатировались десятки лет. Некоторые из них использовались по назначению еще в конце 1980-х гг. Начиная с того времени и по сегодняшний день, всего в Коврове было изготовлено около 90 тысяч экскаваторов различных марок. Но начиналось все в далеком 1931 г. с кажущегося сегодня таким неуклюжим и старомодным надежного и добротного первого "</w:t>
      </w:r>
      <w:proofErr w:type="spellStart"/>
      <w:r w:rsidRPr="007122AB">
        <w:rPr>
          <w:rFonts w:ascii="Times New Roman" w:hAnsi="Times New Roman"/>
          <w:color w:val="000000" w:themeColor="text1"/>
          <w:sz w:val="16"/>
          <w:szCs w:val="16"/>
        </w:rPr>
        <w:t>Ковровца</w:t>
      </w:r>
      <w:proofErr w:type="spellEnd"/>
      <w:r w:rsidRPr="007122AB">
        <w:rPr>
          <w:rFonts w:ascii="Times New Roman" w:hAnsi="Times New Roman"/>
          <w:color w:val="000000" w:themeColor="text1"/>
          <w:sz w:val="16"/>
          <w:szCs w:val="16"/>
        </w:rPr>
        <w:t>", ставшего родоначальником большой семьи ковровских экскаваторов.</w:t>
      </w:r>
    </w:p>
    <w:p w14:paraId="5CFD3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Рождение </w:t>
      </w:r>
      <w:proofErr w:type="spellStart"/>
      <w:r w:rsidRPr="007122AB">
        <w:rPr>
          <w:rFonts w:ascii="Times New Roman" w:hAnsi="Times New Roman"/>
          <w:color w:val="000000" w:themeColor="text1"/>
          <w:sz w:val="16"/>
          <w:szCs w:val="16"/>
        </w:rPr>
        <w:t>экскаваторостроения</w:t>
      </w:r>
      <w:proofErr w:type="spellEnd"/>
      <w:r w:rsidRPr="007122AB">
        <w:rPr>
          <w:rFonts w:ascii="Times New Roman" w:hAnsi="Times New Roman"/>
          <w:color w:val="000000" w:themeColor="text1"/>
          <w:sz w:val="16"/>
          <w:szCs w:val="16"/>
        </w:rPr>
        <w:t xml:space="preserve"> в Коврове проходило далеко не гладко. Руководство Наркомата путей сообщения (НКПС), которому подчинялся вагоноремонтный завод, противилось переходу предприятия на выпуск экскаваторов. Секретарь Ковровского райкома ВКП (б) </w:t>
      </w:r>
      <w:proofErr w:type="spellStart"/>
      <w:r w:rsidRPr="007122AB">
        <w:rPr>
          <w:rFonts w:ascii="Times New Roman" w:hAnsi="Times New Roman"/>
          <w:color w:val="000000" w:themeColor="text1"/>
          <w:sz w:val="16"/>
          <w:szCs w:val="16"/>
        </w:rPr>
        <w:t>Мертешев</w:t>
      </w:r>
      <w:proofErr w:type="spellEnd"/>
      <w:r w:rsidRPr="007122AB">
        <w:rPr>
          <w:rFonts w:ascii="Times New Roman" w:hAnsi="Times New Roman"/>
          <w:color w:val="000000" w:themeColor="text1"/>
          <w:sz w:val="16"/>
          <w:szCs w:val="16"/>
        </w:rPr>
        <w:t xml:space="preserve"> 21 апреля 1931 г. писал директору экскаваторного завода Черняку: "По имеющимся в райкоме сведениям вам поступило распоряжение от треста, в систему которого входит ваш завод, о переименовании завода из Экскаваторного в Ремонтный. Райком предлагает вам впредь до решения на этот счет Бюро райкома никаких переименований завода не производить".</w:t>
      </w:r>
    </w:p>
    <w:p w14:paraId="79AC21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Дело о судьбе завода тянулось достаточно долго. "Развертывание нового </w:t>
      </w:r>
      <w:proofErr w:type="spellStart"/>
      <w:r w:rsidRPr="007122AB">
        <w:rPr>
          <w:rFonts w:ascii="Times New Roman" w:hAnsi="Times New Roman"/>
          <w:color w:val="000000" w:themeColor="text1"/>
          <w:sz w:val="16"/>
          <w:szCs w:val="16"/>
        </w:rPr>
        <w:t>экскаваторостроения</w:t>
      </w:r>
      <w:proofErr w:type="spellEnd"/>
      <w:r w:rsidRPr="007122AB">
        <w:rPr>
          <w:rFonts w:ascii="Times New Roman" w:hAnsi="Times New Roman"/>
          <w:color w:val="000000" w:themeColor="text1"/>
          <w:sz w:val="16"/>
          <w:szCs w:val="16"/>
        </w:rPr>
        <w:t xml:space="preserve"> на Ковровском заводе стоит под угрозой срыва. С тех пор, как завод перешел на </w:t>
      </w:r>
      <w:proofErr w:type="spellStart"/>
      <w:r w:rsidRPr="007122AB">
        <w:rPr>
          <w:rFonts w:ascii="Times New Roman" w:hAnsi="Times New Roman"/>
          <w:color w:val="000000" w:themeColor="text1"/>
          <w:sz w:val="16"/>
          <w:szCs w:val="16"/>
        </w:rPr>
        <w:t>экскаваторостроение</w:t>
      </w:r>
      <w:proofErr w:type="spellEnd"/>
      <w:r w:rsidRPr="007122AB">
        <w:rPr>
          <w:rFonts w:ascii="Times New Roman" w:hAnsi="Times New Roman"/>
          <w:color w:val="000000" w:themeColor="text1"/>
          <w:sz w:val="16"/>
          <w:szCs w:val="16"/>
        </w:rPr>
        <w:t>, он лишился настоящего хозяина и фактически предоставлен сам себе", - писала еще 4 марта 1932 г. центральная газета советских железнодорожников "Гудок".</w:t>
      </w:r>
    </w:p>
    <w:p w14:paraId="5B7F2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Благодаря твердой позиции райкома, поддержанной в Ивановском обкоме и Центральном Комитете партии, вагоноремонтный завод окончательно стал экскаваторным, и была начата его коренная реконструкция. В 1931 г. был выстроен новый сталелитейный цех, а в 1932 г. - сборочный. С 1933 г. началась серийное производство экскаваторов. В 1934 г. закончилось строительство нового кузнечного цеха, электростанции, трансформаторной подстанции, компрессорной и автогаража. В 1934 г. начался выпуск паровых гусеничных землеройных машин марки "ППГ-1,5". В 1935-1936 гг. таких экскаваторов было выпущено 360 таких машин. Большинство ковровских экскаваторов направлялись на стройки, состоявшие в ведении Наркомата внутренних дел и печально знаменитого ГУЛАГа. Поэтому в 1934 г. для более ритмичной работы и прямой связи со стройками страны экскаваторный завод сроком на два года был передан в ведение НКВД. Помимо гражданского руководства предприятия на среднем и высшем уровне управления завода были назначены сотрудники НКВД. В этот же период на экскаваторном заводе работала группа специалистов, осужденных по процессу "Промпартии". Во время нахождения в составе НКВД завод работал как никогда ритмично и с </w:t>
      </w:r>
      <w:r w:rsidRPr="007122AB">
        <w:rPr>
          <w:rFonts w:ascii="Times New Roman" w:hAnsi="Times New Roman"/>
          <w:color w:val="000000" w:themeColor="text1"/>
          <w:sz w:val="16"/>
          <w:szCs w:val="16"/>
        </w:rPr>
        <w:lastRenderedPageBreak/>
        <w:t>перевыполнением плана. После истечения двухлетнего срока экскаваторный завод вновь перешел в состав НКПС. В 1936 г. начался выпуск дизельного экскаватора на гусеничном ходу "ЛК-0,5". Его марка расшифровывалась как "Лазарь Каганович" - в честь тогдашнего наркома НКПС Л. М. Кагановича. Однако план производства этих машин вплоть до начала Великой Отечественной войны завод выполнить так и не смог из-за более сложной конструкции по сравнению с предыдущими экскаваторами (9698).</w:t>
      </w:r>
    </w:p>
    <w:p w14:paraId="38B6AE25" w14:textId="7E64F5D4"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37B43D" w14:textId="77B6E3F1" w:rsidR="000929C3" w:rsidRPr="007122AB" w:rsidRDefault="000929C3"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5ABE20F5" w14:textId="77777777" w:rsidR="000929C3" w:rsidRPr="007122AB" w:rsidRDefault="000929C3"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3773F215" w14:textId="77777777" w:rsidR="000929C3" w:rsidRPr="007122AB" w:rsidRDefault="000929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апреля 1931 пилот компании </w:t>
      </w:r>
      <w:proofErr w:type="spellStart"/>
      <w:r w:rsidRPr="007122AB">
        <w:rPr>
          <w:rFonts w:ascii="Times New Roman" w:hAnsi="Times New Roman"/>
          <w:color w:val="000000" w:themeColor="text1"/>
          <w:sz w:val="16"/>
          <w:szCs w:val="16"/>
        </w:rPr>
        <w:t>Pitcairn-Cierva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Autogiro</w:t>
      </w:r>
      <w:proofErr w:type="spellEnd"/>
      <w:r w:rsidRPr="007122AB">
        <w:rPr>
          <w:rFonts w:ascii="Times New Roman" w:hAnsi="Times New Roman"/>
          <w:color w:val="000000" w:themeColor="text1"/>
          <w:sz w:val="16"/>
          <w:szCs w:val="16"/>
        </w:rPr>
        <w:t xml:space="preserve"> Company Джим Рэй приземляет автожир </w:t>
      </w:r>
      <w:proofErr w:type="spellStart"/>
      <w:r w:rsidRPr="007122AB">
        <w:rPr>
          <w:rFonts w:ascii="Times New Roman" w:hAnsi="Times New Roman"/>
          <w:color w:val="000000" w:themeColor="text1"/>
          <w:sz w:val="16"/>
          <w:szCs w:val="16"/>
        </w:rPr>
        <w:t>Pitcairn</w:t>
      </w:r>
      <w:proofErr w:type="spellEnd"/>
      <w:r w:rsidRPr="007122AB">
        <w:rPr>
          <w:rFonts w:ascii="Times New Roman" w:hAnsi="Times New Roman"/>
          <w:color w:val="000000" w:themeColor="text1"/>
          <w:sz w:val="16"/>
          <w:szCs w:val="16"/>
        </w:rPr>
        <w:t xml:space="preserve"> PCA-2 на лужайке Белого дома в Вашингтоне, округ Колумбия, для церемонии, на которой президент США Герберт Гувер вручает трофей </w:t>
      </w:r>
      <w:proofErr w:type="spellStart"/>
      <w:r w:rsidRPr="007122AB">
        <w:rPr>
          <w:rFonts w:ascii="Times New Roman" w:hAnsi="Times New Roman"/>
          <w:color w:val="000000" w:themeColor="text1"/>
          <w:sz w:val="16"/>
          <w:szCs w:val="16"/>
        </w:rPr>
        <w:t>Collier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Trophy</w:t>
      </w:r>
      <w:proofErr w:type="spellEnd"/>
      <w:r w:rsidRPr="007122AB">
        <w:rPr>
          <w:rFonts w:ascii="Times New Roman" w:hAnsi="Times New Roman"/>
          <w:color w:val="000000" w:themeColor="text1"/>
          <w:sz w:val="16"/>
          <w:szCs w:val="16"/>
        </w:rPr>
        <w:t xml:space="preserve"> производителю автожиров Гарольду Питкэрну. После церемонии Рэй снова взлетает на PCA-2 (20804).</w:t>
      </w:r>
    </w:p>
    <w:p w14:paraId="761AD4DC" w14:textId="77777777" w:rsidR="000929C3" w:rsidRPr="007122AB" w:rsidRDefault="000929C3" w:rsidP="007122AB">
      <w:pPr>
        <w:spacing w:after="0" w:line="240" w:lineRule="auto"/>
        <w:jc w:val="both"/>
        <w:rPr>
          <w:rFonts w:ascii="Times New Roman" w:hAnsi="Times New Roman"/>
          <w:color w:val="000000" w:themeColor="text1"/>
          <w:sz w:val="16"/>
          <w:szCs w:val="16"/>
        </w:rPr>
      </w:pPr>
    </w:p>
    <w:p w14:paraId="534386D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0982E2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2EB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1931 был утвержден Отчет по испытанию спаренной установки ДАС завода ИНЗ-2. 6-й вариант.</w:t>
      </w:r>
    </w:p>
    <w:p w14:paraId="1FC5FC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97A6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Спарка может быть принята на вооружение ВВС (3208,130-135).</w:t>
      </w:r>
    </w:p>
    <w:p w14:paraId="36DE3D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DEC8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1931 года был утвержден Отчет по испытанию спаренной установки ДАС завода ИНЗ-2 6-й вариант</w:t>
      </w:r>
    </w:p>
    <w:p w14:paraId="2BAFBA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F8B1D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Спаренная установка пулеметов ДАС завода ИНЗ-2 6-й вариант по весу (17,6 кг), по простоте устройства, удобству обращения и обслуживания является вполне удовлетворительным образцом и может быть принята на вооружение ВВС (3217,32-36).</w:t>
      </w:r>
    </w:p>
    <w:p w14:paraId="6706D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C168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1931 на расширенном заседании ЦС АВТОДОР заслу</w:t>
      </w:r>
      <w:r w:rsidRPr="007122AB">
        <w:rPr>
          <w:rFonts w:ascii="Times New Roman" w:hAnsi="Times New Roman"/>
          <w:color w:val="000000" w:themeColor="text1"/>
          <w:sz w:val="16"/>
          <w:szCs w:val="16"/>
        </w:rPr>
        <w:softHyphen/>
        <w:t xml:space="preserve">шали выступление заместителя председателя ВСНХ СССР А.П. Медведева. Он сообщил, что, несмотря на </w:t>
      </w:r>
      <w:proofErr w:type="spellStart"/>
      <w:r w:rsidRPr="007122AB">
        <w:rPr>
          <w:rFonts w:ascii="Times New Roman" w:hAnsi="Times New Roman"/>
          <w:color w:val="000000" w:themeColor="text1"/>
          <w:sz w:val="16"/>
          <w:szCs w:val="16"/>
        </w:rPr>
        <w:t>предусмотренность</w:t>
      </w:r>
      <w:proofErr w:type="spellEnd"/>
      <w:r w:rsidRPr="007122AB">
        <w:rPr>
          <w:rFonts w:ascii="Times New Roman" w:hAnsi="Times New Roman"/>
          <w:color w:val="000000" w:themeColor="text1"/>
          <w:sz w:val="16"/>
          <w:szCs w:val="16"/>
        </w:rPr>
        <w:t xml:space="preserve"> в пятилетнем плане выпуска 25 тыс. мотоциклов, к строительству завода и даже его проектированию еще не приступали. Удачный опыт постройки мотоциклов в Ижевске, хотя и не вы</w:t>
      </w:r>
      <w:r w:rsidRPr="007122AB">
        <w:rPr>
          <w:rFonts w:ascii="Times New Roman" w:hAnsi="Times New Roman"/>
          <w:color w:val="000000" w:themeColor="text1"/>
          <w:sz w:val="16"/>
          <w:szCs w:val="16"/>
        </w:rPr>
        <w:softHyphen/>
        <w:t>явил предпочтительный тип серийной машины, всё же способст</w:t>
      </w:r>
      <w:r w:rsidRPr="007122AB">
        <w:rPr>
          <w:rFonts w:ascii="Times New Roman" w:hAnsi="Times New Roman"/>
          <w:color w:val="000000" w:themeColor="text1"/>
          <w:sz w:val="16"/>
          <w:szCs w:val="16"/>
        </w:rPr>
        <w:softHyphen/>
        <w:t>вовал созданию экспериментальных образцов в Харькове. Важ</w:t>
      </w:r>
      <w:r w:rsidRPr="007122AB">
        <w:rPr>
          <w:rFonts w:ascii="Times New Roman" w:hAnsi="Times New Roman"/>
          <w:color w:val="000000" w:themeColor="text1"/>
          <w:sz w:val="16"/>
          <w:szCs w:val="16"/>
        </w:rPr>
        <w:softHyphen/>
        <w:t xml:space="preserve">ным стало заявление А.П. Медведева: «Для финансирования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имеются реальные возможности в виде сбора средств по предварительной запродаже (оплаты ещё не сделан</w:t>
      </w:r>
      <w:r w:rsidRPr="007122AB">
        <w:rPr>
          <w:rFonts w:ascii="Times New Roman" w:hAnsi="Times New Roman"/>
          <w:color w:val="000000" w:themeColor="text1"/>
          <w:sz w:val="16"/>
          <w:szCs w:val="16"/>
        </w:rPr>
        <w:softHyphen/>
        <w:t xml:space="preserve">ных изделий, позже называемой предоплатой) </w:t>
      </w:r>
      <w:proofErr w:type="spellStart"/>
      <w:r w:rsidRPr="007122AB">
        <w:rPr>
          <w:rFonts w:ascii="Times New Roman" w:hAnsi="Times New Roman"/>
          <w:color w:val="000000" w:themeColor="text1"/>
          <w:sz w:val="16"/>
          <w:szCs w:val="16"/>
        </w:rPr>
        <w:t>мотопродукции</w:t>
      </w:r>
      <w:proofErr w:type="spellEnd"/>
      <w:r w:rsidRPr="007122AB">
        <w:rPr>
          <w:rFonts w:ascii="Times New Roman" w:hAnsi="Times New Roman"/>
          <w:color w:val="000000" w:themeColor="text1"/>
          <w:sz w:val="16"/>
          <w:szCs w:val="16"/>
        </w:rPr>
        <w:t xml:space="preserve"> широким массам трудящихся...» [4.43]. Это был отказ ВСНХ от финансирования постройки мотоциклетного завода из госбюдже</w:t>
      </w:r>
      <w:r w:rsidRPr="007122AB">
        <w:rPr>
          <w:rFonts w:ascii="Times New Roman" w:hAnsi="Times New Roman"/>
          <w:color w:val="000000" w:themeColor="text1"/>
          <w:sz w:val="16"/>
          <w:szCs w:val="16"/>
        </w:rPr>
        <w:softHyphen/>
        <w:t>та. Стремясь воспрепятствовать столь нежелательным переме</w:t>
      </w:r>
      <w:r w:rsidRPr="007122AB">
        <w:rPr>
          <w:rFonts w:ascii="Times New Roman" w:hAnsi="Times New Roman"/>
          <w:color w:val="000000" w:themeColor="text1"/>
          <w:sz w:val="16"/>
          <w:szCs w:val="16"/>
        </w:rPr>
        <w:softHyphen/>
        <w:t xml:space="preserve">нам в отечественном </w:t>
      </w:r>
      <w:proofErr w:type="spellStart"/>
      <w:r w:rsidRPr="007122AB">
        <w:rPr>
          <w:rFonts w:ascii="Times New Roman" w:hAnsi="Times New Roman"/>
          <w:color w:val="000000" w:themeColor="text1"/>
          <w:sz w:val="16"/>
          <w:szCs w:val="16"/>
        </w:rPr>
        <w:t>мотоциклостроении</w:t>
      </w:r>
      <w:proofErr w:type="spellEnd"/>
      <w:r w:rsidRPr="007122AB">
        <w:rPr>
          <w:rFonts w:ascii="Times New Roman" w:hAnsi="Times New Roman"/>
          <w:color w:val="000000" w:themeColor="text1"/>
          <w:sz w:val="16"/>
          <w:szCs w:val="16"/>
        </w:rPr>
        <w:t xml:space="preserve">, ЦС </w:t>
      </w:r>
      <w:proofErr w:type="spellStart"/>
      <w:r w:rsidRPr="007122AB">
        <w:rPr>
          <w:rFonts w:ascii="Times New Roman" w:hAnsi="Times New Roman"/>
          <w:color w:val="000000" w:themeColor="text1"/>
          <w:sz w:val="16"/>
          <w:szCs w:val="16"/>
        </w:rPr>
        <w:t>АВТОДОРа</w:t>
      </w:r>
      <w:proofErr w:type="spellEnd"/>
      <w:r w:rsidRPr="007122AB">
        <w:rPr>
          <w:rFonts w:ascii="Times New Roman" w:hAnsi="Times New Roman"/>
          <w:color w:val="000000" w:themeColor="text1"/>
          <w:sz w:val="16"/>
          <w:szCs w:val="16"/>
        </w:rPr>
        <w:t xml:space="preserve"> от имени </w:t>
      </w:r>
      <w:proofErr w:type="spellStart"/>
      <w:r w:rsidRPr="007122AB">
        <w:rPr>
          <w:rFonts w:ascii="Times New Roman" w:hAnsi="Times New Roman"/>
          <w:color w:val="000000" w:themeColor="text1"/>
          <w:sz w:val="16"/>
          <w:szCs w:val="16"/>
        </w:rPr>
        <w:t>автодоровской</w:t>
      </w:r>
      <w:proofErr w:type="spellEnd"/>
      <w:r w:rsidRPr="007122AB">
        <w:rPr>
          <w:rFonts w:ascii="Times New Roman" w:hAnsi="Times New Roman"/>
          <w:color w:val="000000" w:themeColor="text1"/>
          <w:sz w:val="16"/>
          <w:szCs w:val="16"/>
        </w:rPr>
        <w:t xml:space="preserve"> общественности просил ВСНХ СССР не</w:t>
      </w:r>
      <w:r w:rsidRPr="007122AB">
        <w:rPr>
          <w:rFonts w:ascii="Times New Roman" w:hAnsi="Times New Roman"/>
          <w:color w:val="000000" w:themeColor="text1"/>
          <w:sz w:val="16"/>
          <w:szCs w:val="16"/>
        </w:rPr>
        <w:softHyphen/>
        <w:t>медленно выделить необходимые средства, включить постройку мотозавода в контрольные цифры на 1932 г. и организовать в 1931 г. на заводе «Красный Октябрь» выпуск хотя бы небольшой партии мотоциклов Л-300 с последующим наращиванием их вы</w:t>
      </w:r>
      <w:r w:rsidRPr="007122AB">
        <w:rPr>
          <w:rFonts w:ascii="Times New Roman" w:hAnsi="Times New Roman"/>
          <w:color w:val="000000" w:themeColor="text1"/>
          <w:sz w:val="16"/>
          <w:szCs w:val="16"/>
        </w:rPr>
        <w:softHyphen/>
        <w:t>пуска: в 1931 г. - до 1000 машин, в 1932 г. - до 3500, а в 1933 г. -до 10 тыс. Были и другие предложения, например, организовать привлечение общественных средств к финансированию мотоци</w:t>
      </w:r>
      <w:r w:rsidRPr="007122AB">
        <w:rPr>
          <w:rFonts w:ascii="Times New Roman" w:hAnsi="Times New Roman"/>
          <w:color w:val="000000" w:themeColor="text1"/>
          <w:sz w:val="16"/>
          <w:szCs w:val="16"/>
        </w:rPr>
        <w:softHyphen/>
        <w:t>клетного производства посредством предоплаты выпуска пар</w:t>
      </w:r>
      <w:r w:rsidRPr="007122AB">
        <w:rPr>
          <w:rFonts w:ascii="Times New Roman" w:hAnsi="Times New Roman"/>
          <w:color w:val="000000" w:themeColor="text1"/>
          <w:sz w:val="16"/>
          <w:szCs w:val="16"/>
        </w:rPr>
        <w:softHyphen/>
        <w:t xml:space="preserve">тий мотоциклов. ЦС </w:t>
      </w:r>
      <w:proofErr w:type="spellStart"/>
      <w:r w:rsidRPr="007122AB">
        <w:rPr>
          <w:rFonts w:ascii="Times New Roman" w:hAnsi="Times New Roman"/>
          <w:color w:val="000000" w:themeColor="text1"/>
          <w:sz w:val="16"/>
          <w:szCs w:val="16"/>
        </w:rPr>
        <w:t>АВТОДОРа</w:t>
      </w:r>
      <w:proofErr w:type="spellEnd"/>
      <w:r w:rsidRPr="007122AB">
        <w:rPr>
          <w:rFonts w:ascii="Times New Roman" w:hAnsi="Times New Roman"/>
          <w:color w:val="000000" w:themeColor="text1"/>
          <w:sz w:val="16"/>
          <w:szCs w:val="16"/>
        </w:rPr>
        <w:t xml:space="preserve"> направил предложения пред</w:t>
      </w:r>
      <w:r w:rsidRPr="007122AB">
        <w:rPr>
          <w:rFonts w:ascii="Times New Roman" w:hAnsi="Times New Roman"/>
          <w:color w:val="000000" w:themeColor="text1"/>
          <w:sz w:val="16"/>
          <w:szCs w:val="16"/>
        </w:rPr>
        <w:softHyphen/>
        <w:t>седателю комиссии при Совнаркоме СССР В.М. Молотову и другим ответственным работникам центрального аппарата СССР, РСФСР, УССР [4.45]. На что заместитель председателя ВСНХ СССР А.П. Медведев официально представил расчётные потребности страны в мотоциклах к середине 2-й пятилетки (1935): в государственном секторе - 170 тыс., всего - 290 тыс. и утверждал, что в 1931 г. на заводах «Красный Октябрь», на Мос</w:t>
      </w:r>
      <w:r w:rsidRPr="007122AB">
        <w:rPr>
          <w:rFonts w:ascii="Times New Roman" w:hAnsi="Times New Roman"/>
          <w:color w:val="000000" w:themeColor="text1"/>
          <w:sz w:val="16"/>
          <w:szCs w:val="16"/>
        </w:rPr>
        <w:softHyphen/>
        <w:t xml:space="preserve">ковском велозаводе и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сделают 2 тыс. мотоциклов, а в 1932 г. - ещё 10 тыс. [4.46]. Эти сведения передали журналу «Мотор» в мае, к тому мо</w:t>
      </w:r>
      <w:r w:rsidRPr="007122AB">
        <w:rPr>
          <w:rFonts w:ascii="Times New Roman" w:hAnsi="Times New Roman"/>
          <w:color w:val="000000" w:themeColor="text1"/>
          <w:sz w:val="16"/>
          <w:szCs w:val="16"/>
        </w:rPr>
        <w:softHyphen/>
        <w:t>менту изготовили лишь несколько десятков мотоциклов [4.47]. При этом на заводе «Красный Октябрь» выпуск мотоциклов пре</w:t>
      </w:r>
      <w:r w:rsidRPr="007122AB">
        <w:rPr>
          <w:rFonts w:ascii="Times New Roman" w:hAnsi="Times New Roman"/>
          <w:color w:val="000000" w:themeColor="text1"/>
          <w:sz w:val="16"/>
          <w:szCs w:val="16"/>
        </w:rPr>
        <w:softHyphen/>
        <w:t xml:space="preserve">кратили из-за развёртывания производства оборонной продукции [4.22], на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изготовление мотоциклов даже не планирова</w:t>
      </w:r>
      <w:r w:rsidRPr="007122AB">
        <w:rPr>
          <w:rFonts w:ascii="Times New Roman" w:hAnsi="Times New Roman"/>
          <w:color w:val="000000" w:themeColor="text1"/>
          <w:sz w:val="16"/>
          <w:szCs w:val="16"/>
        </w:rPr>
        <w:softHyphen/>
        <w:t>лось, а Московский велозавод ещё не вступил в строй. 8 июня 1931 г., чтобы помочь заводу «Красный Октябрь», ВАТО разре</w:t>
      </w:r>
      <w:r w:rsidRPr="007122AB">
        <w:rPr>
          <w:rFonts w:ascii="Times New Roman" w:hAnsi="Times New Roman"/>
          <w:color w:val="000000" w:themeColor="text1"/>
          <w:sz w:val="16"/>
          <w:szCs w:val="16"/>
        </w:rPr>
        <w:softHyphen/>
        <w:t xml:space="preserve">шило </w:t>
      </w:r>
      <w:proofErr w:type="spellStart"/>
      <w:r w:rsidRPr="007122AB">
        <w:rPr>
          <w:rFonts w:ascii="Times New Roman" w:hAnsi="Times New Roman"/>
          <w:color w:val="000000" w:themeColor="text1"/>
          <w:sz w:val="16"/>
          <w:szCs w:val="16"/>
        </w:rPr>
        <w:t>АВТОДОРу</w:t>
      </w:r>
      <w:proofErr w:type="spellEnd"/>
      <w:r w:rsidRPr="007122AB">
        <w:rPr>
          <w:rFonts w:ascii="Times New Roman" w:hAnsi="Times New Roman"/>
          <w:color w:val="000000" w:themeColor="text1"/>
          <w:sz w:val="16"/>
          <w:szCs w:val="16"/>
        </w:rPr>
        <w:t xml:space="preserve"> сделать предоплату мотоциклов [4.48]. ВСНХ ещё раз заверил </w:t>
      </w:r>
      <w:proofErr w:type="spellStart"/>
      <w:r w:rsidRPr="007122AB">
        <w:rPr>
          <w:rFonts w:ascii="Times New Roman" w:hAnsi="Times New Roman"/>
          <w:color w:val="000000" w:themeColor="text1"/>
          <w:sz w:val="16"/>
          <w:szCs w:val="16"/>
        </w:rPr>
        <w:t>автодоровскую</w:t>
      </w:r>
      <w:proofErr w:type="spellEnd"/>
      <w:r w:rsidRPr="007122AB">
        <w:rPr>
          <w:rFonts w:ascii="Times New Roman" w:hAnsi="Times New Roman"/>
          <w:color w:val="000000" w:themeColor="text1"/>
          <w:sz w:val="16"/>
          <w:szCs w:val="16"/>
        </w:rPr>
        <w:t xml:space="preserve"> общественность в том, что «...к концу 1-й пятилетки у нас будет четыре завода, выпуска</w:t>
      </w:r>
      <w:r w:rsidRPr="007122AB">
        <w:rPr>
          <w:rFonts w:ascii="Times New Roman" w:hAnsi="Times New Roman"/>
          <w:color w:val="000000" w:themeColor="text1"/>
          <w:sz w:val="16"/>
          <w:szCs w:val="16"/>
        </w:rPr>
        <w:softHyphen/>
        <w:t>ющих мотоциклы», при этом А.П. Медведев официально сослал</w:t>
      </w:r>
      <w:r w:rsidRPr="007122AB">
        <w:rPr>
          <w:rFonts w:ascii="Times New Roman" w:hAnsi="Times New Roman"/>
          <w:color w:val="000000" w:themeColor="text1"/>
          <w:sz w:val="16"/>
          <w:szCs w:val="16"/>
        </w:rPr>
        <w:softHyphen/>
        <w:t xml:space="preserve">ся на якобы «неудачный опыт постройки Ижевским заводом пробных мотоциклов, которые в результате недостаточно умелого и вдумчивого отношения при проектировании затормозили развитие нашего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[4.49]. Это обещание так и не выполнили, а высказывание о мотоциклах, сделанных в Ижевске, перечёркивало положительные отзывы о них А.П. Медведева [4.45]. И всё же, АВТОДОР сумел заключить и утвердить договор с заводом «Красный Октябрь» на поставку в 1932 г. 1000 мотоциклов Л-300, а в 1933 г. - 3 тыс. [4.50], а затем распределил ожидаемые мотоциклы между низовыми автодоров-</w:t>
      </w:r>
      <w:proofErr w:type="spellStart"/>
      <w:r w:rsidRPr="007122AB">
        <w:rPr>
          <w:rFonts w:ascii="Times New Roman" w:hAnsi="Times New Roman"/>
          <w:color w:val="000000" w:themeColor="text1"/>
          <w:sz w:val="16"/>
          <w:szCs w:val="16"/>
        </w:rPr>
        <w:t>скими</w:t>
      </w:r>
      <w:proofErr w:type="spellEnd"/>
      <w:r w:rsidRPr="007122AB">
        <w:rPr>
          <w:rFonts w:ascii="Times New Roman" w:hAnsi="Times New Roman"/>
          <w:color w:val="000000" w:themeColor="text1"/>
          <w:sz w:val="16"/>
          <w:szCs w:val="16"/>
        </w:rPr>
        <w:t xml:space="preserve"> организациями [4.51]. Казалось, договор удастся выпол</w:t>
      </w:r>
      <w:r w:rsidRPr="007122AB">
        <w:rPr>
          <w:rFonts w:ascii="Times New Roman" w:hAnsi="Times New Roman"/>
          <w:color w:val="000000" w:themeColor="text1"/>
          <w:sz w:val="16"/>
          <w:szCs w:val="16"/>
        </w:rPr>
        <w:softHyphen/>
        <w:t>нить, поскольку ВСНХ установил выпуск мотоциклов в СССР на 1932 г. в количестве 7 тыс. экземпляров [4.47]. Для выполнения этой задачи предлагалось включить в состав ВАТО мотозаводы страны «Красный Октябрь» и ХАЗ [4.52], на котором предпола</w:t>
      </w:r>
      <w:r w:rsidRPr="007122AB">
        <w:rPr>
          <w:rFonts w:ascii="Times New Roman" w:hAnsi="Times New Roman"/>
          <w:color w:val="000000" w:themeColor="text1"/>
          <w:sz w:val="16"/>
          <w:szCs w:val="16"/>
        </w:rPr>
        <w:softHyphen/>
        <w:t>галось освоить серийный выпуск мотоциклов.</w:t>
      </w:r>
    </w:p>
    <w:p w14:paraId="72DA25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Важным итогом 1931 г. стало распоряжение НАТИ о проек</w:t>
      </w:r>
      <w:r w:rsidRPr="007122AB">
        <w:rPr>
          <w:rFonts w:ascii="Times New Roman" w:hAnsi="Times New Roman"/>
          <w:color w:val="000000" w:themeColor="text1"/>
          <w:sz w:val="16"/>
          <w:szCs w:val="16"/>
        </w:rPr>
        <w:softHyphen/>
        <w:t>тировании армейских мотоциклов, принятое на расширенном за</w:t>
      </w:r>
      <w:r w:rsidRPr="007122AB">
        <w:rPr>
          <w:rFonts w:ascii="Times New Roman" w:hAnsi="Times New Roman"/>
          <w:color w:val="000000" w:themeColor="text1"/>
          <w:sz w:val="16"/>
          <w:szCs w:val="16"/>
        </w:rPr>
        <w:softHyphen/>
        <w:t xml:space="preserve">седании ведомств и организаций, созванном 5 октября 1931 г.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ВСНХ СССР [4.47]. Эту работу поручили П.В. Можарову [4.53] (11429).</w:t>
      </w:r>
    </w:p>
    <w:p w14:paraId="35CFC3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C19A9"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5915B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480BD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1931 года Управление морских сил РККА (Рабоче-крестьянской Красной Армии) рассмотрело и одобрило аванпроект 180-мм железнодорожной артустановки и поручило конструкторскому бюро Ленинградского Металлического завода (директор — И. Н. Пенкин) изготовить технический проект.</w:t>
      </w:r>
    </w:p>
    <w:p w14:paraId="09E97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созданию как железнодорожных, так и башенных </w:t>
      </w:r>
      <w:proofErr w:type="spellStart"/>
      <w:r w:rsidRPr="007122AB">
        <w:rPr>
          <w:rFonts w:ascii="Times New Roman" w:hAnsi="Times New Roman"/>
          <w:color w:val="000000" w:themeColor="text1"/>
          <w:sz w:val="16"/>
          <w:szCs w:val="16"/>
        </w:rPr>
        <w:t>берего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вых</w:t>
      </w:r>
      <w:proofErr w:type="spellEnd"/>
      <w:r w:rsidRPr="007122AB">
        <w:rPr>
          <w:rFonts w:ascii="Times New Roman" w:hAnsi="Times New Roman"/>
          <w:color w:val="000000" w:themeColor="text1"/>
          <w:sz w:val="16"/>
          <w:szCs w:val="16"/>
        </w:rPr>
        <w:t xml:space="preserve"> 180-мм артустановок проводились под руководством А. А. Флоренского и Н. В. Богданова. Одним из ведущих разработчиков транспортеров этого типа был и В. С. </w:t>
      </w:r>
      <w:proofErr w:type="spellStart"/>
      <w:r w:rsidRPr="007122AB">
        <w:rPr>
          <w:rFonts w:ascii="Times New Roman" w:hAnsi="Times New Roman"/>
          <w:color w:val="000000" w:themeColor="text1"/>
          <w:sz w:val="16"/>
          <w:szCs w:val="16"/>
        </w:rPr>
        <w:t>Петрикевич</w:t>
      </w:r>
      <w:proofErr w:type="spellEnd"/>
      <w:r w:rsidRPr="007122AB">
        <w:rPr>
          <w:rFonts w:ascii="Times New Roman" w:hAnsi="Times New Roman"/>
          <w:color w:val="000000" w:themeColor="text1"/>
          <w:sz w:val="16"/>
          <w:szCs w:val="16"/>
        </w:rPr>
        <w:t xml:space="preserve">. Благодаря его предложениям удалось на 25 процентов повысить скорострельность установки и упростить </w:t>
      </w:r>
      <w:proofErr w:type="spellStart"/>
      <w:r w:rsidRPr="007122AB">
        <w:rPr>
          <w:rFonts w:ascii="Times New Roman" w:hAnsi="Times New Roman"/>
          <w:color w:val="000000" w:themeColor="text1"/>
          <w:sz w:val="16"/>
          <w:szCs w:val="16"/>
        </w:rPr>
        <w:t>уп­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равление</w:t>
      </w:r>
      <w:proofErr w:type="spellEnd"/>
      <w:r w:rsidRPr="007122AB">
        <w:rPr>
          <w:rFonts w:ascii="Times New Roman" w:hAnsi="Times New Roman"/>
          <w:color w:val="000000" w:themeColor="text1"/>
          <w:sz w:val="16"/>
          <w:szCs w:val="16"/>
        </w:rPr>
        <w:t xml:space="preserve"> стрельбой. Над этими проектами трудились также конструкторы Р. А. Оя, П. М. Дедов, Н. А. Леонтьев, В. И. </w:t>
      </w:r>
      <w:proofErr w:type="spellStart"/>
      <w:r w:rsidRPr="007122AB">
        <w:rPr>
          <w:rFonts w:ascii="Times New Roman" w:hAnsi="Times New Roman"/>
          <w:color w:val="000000" w:themeColor="text1"/>
          <w:sz w:val="16"/>
          <w:szCs w:val="16"/>
        </w:rPr>
        <w:t>Сясин</w:t>
      </w:r>
      <w:proofErr w:type="spellEnd"/>
      <w:r w:rsidRPr="007122AB">
        <w:rPr>
          <w:rFonts w:ascii="Times New Roman" w:hAnsi="Times New Roman"/>
          <w:color w:val="000000" w:themeColor="text1"/>
          <w:sz w:val="16"/>
          <w:szCs w:val="16"/>
        </w:rPr>
        <w:t xml:space="preserve">, Г. И. </w:t>
      </w:r>
      <w:proofErr w:type="spellStart"/>
      <w:r w:rsidRPr="007122AB">
        <w:rPr>
          <w:rFonts w:ascii="Times New Roman" w:hAnsi="Times New Roman"/>
          <w:color w:val="000000" w:themeColor="text1"/>
          <w:sz w:val="16"/>
          <w:szCs w:val="16"/>
        </w:rPr>
        <w:t>Апокин</w:t>
      </w:r>
      <w:proofErr w:type="spellEnd"/>
      <w:r w:rsidRPr="007122AB">
        <w:rPr>
          <w:rFonts w:ascii="Times New Roman" w:hAnsi="Times New Roman"/>
          <w:color w:val="000000" w:themeColor="text1"/>
          <w:sz w:val="16"/>
          <w:szCs w:val="16"/>
        </w:rPr>
        <w:t xml:space="preserve">, А. И. Арефьев, С. А. </w:t>
      </w:r>
      <w:proofErr w:type="spellStart"/>
      <w:r w:rsidRPr="007122AB">
        <w:rPr>
          <w:rFonts w:ascii="Times New Roman" w:hAnsi="Times New Roman"/>
          <w:color w:val="000000" w:themeColor="text1"/>
          <w:sz w:val="16"/>
          <w:szCs w:val="16"/>
        </w:rPr>
        <w:t>Армосов</w:t>
      </w:r>
      <w:proofErr w:type="spellEnd"/>
      <w:r w:rsidRPr="007122AB">
        <w:rPr>
          <w:rFonts w:ascii="Times New Roman" w:hAnsi="Times New Roman"/>
          <w:color w:val="000000" w:themeColor="text1"/>
          <w:sz w:val="16"/>
          <w:szCs w:val="16"/>
        </w:rPr>
        <w:t>, В. В. Чернецкий и другие.</w:t>
      </w:r>
    </w:p>
    <w:p w14:paraId="5D02B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Изготовление 180-мм железнодорожных транспортеров было поручено Государственному судостроительному заводу имени Марти в городе Николаеве. В содружестве с ним завод «Большевик» был определен ответственным за работы по орудию, а завод «Красный путиловец» — по ходовой части.</w:t>
      </w:r>
    </w:p>
    <w:p w14:paraId="4B3075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Основу конструкции железнодорожной артустановки ТМ-1-180 составляет главная балка, опирающаяся на две четырехосные железнодорожные тележки. На передней смонтирована силовая станция типа «Коммунар», оснащенная двумя дизелями и генератором, которые позволяют при необходимости обеспечивать самопередвижение транспортера со скоростью 14 км/ч. На задней тележке размещена компрессорная станция. Посредине главной балки укреплена вращающаяся (башенная) часть артустановки. Она практически повторяет башню стационарной береговой артустановки МО-1-180. В башне установлено орудие Б-1-П длиной 57 калибров.</w:t>
      </w:r>
    </w:p>
    <w:p w14:paraId="1D147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Батарея ТМ -1-180 состояла из четырех транспортеров. За каждым из них было закреплено по 2 вагона-погреба вместимостью по 102 заряда в одном и 204 </w:t>
      </w:r>
      <w:proofErr w:type="spellStart"/>
      <w:r w:rsidRPr="007122AB">
        <w:rPr>
          <w:rFonts w:ascii="Times New Roman" w:hAnsi="Times New Roman"/>
          <w:color w:val="000000" w:themeColor="text1"/>
          <w:sz w:val="16"/>
          <w:szCs w:val="16"/>
        </w:rPr>
        <w:t>полузаряда</w:t>
      </w:r>
      <w:proofErr w:type="spellEnd"/>
      <w:r w:rsidRPr="007122AB">
        <w:rPr>
          <w:rFonts w:ascii="Times New Roman" w:hAnsi="Times New Roman"/>
          <w:color w:val="000000" w:themeColor="text1"/>
          <w:sz w:val="16"/>
          <w:szCs w:val="16"/>
        </w:rPr>
        <w:t xml:space="preserve"> в другом.</w:t>
      </w:r>
    </w:p>
    <w:p w14:paraId="3631DB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Боекомплект ТМ-1-180 включал в себя бронебойные, полубронебойные, осколочно-фугасные снаряды и дистанционные гранаты. Все снаряды имели одинаковую массу — 97,5 кг. Вес взрывчатого вещества у бронебойных снарядов составлял 1,8—1,9 кг, у полубронебойных — 6,9—7,0 кг, у осколочно-фугасных — около 8 кг.</w:t>
      </w:r>
    </w:p>
    <w:p w14:paraId="31B700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Система подачи снарядов была заимствована у линкора «Андрей Первозванный». Из вагона-погреба снаряды по одному желобу, а </w:t>
      </w:r>
      <w:proofErr w:type="spellStart"/>
      <w:r w:rsidRPr="007122AB">
        <w:rPr>
          <w:rFonts w:ascii="Times New Roman" w:hAnsi="Times New Roman"/>
          <w:color w:val="000000" w:themeColor="text1"/>
          <w:sz w:val="16"/>
          <w:szCs w:val="16"/>
        </w:rPr>
        <w:t>полузаряды</w:t>
      </w:r>
      <w:proofErr w:type="spellEnd"/>
      <w:r w:rsidRPr="007122AB">
        <w:rPr>
          <w:rFonts w:ascii="Times New Roman" w:hAnsi="Times New Roman"/>
          <w:color w:val="000000" w:themeColor="text1"/>
          <w:sz w:val="16"/>
          <w:szCs w:val="16"/>
        </w:rPr>
        <w:t xml:space="preserve"> — по другому поступают к тележке заряжания, на которой комплектуется боеприпас для производства выстрела. В тележку (всего их четыре) загружается один снаряд и два </w:t>
      </w:r>
      <w:proofErr w:type="spellStart"/>
      <w:r w:rsidRPr="007122AB">
        <w:rPr>
          <w:rFonts w:ascii="Times New Roman" w:hAnsi="Times New Roman"/>
          <w:color w:val="000000" w:themeColor="text1"/>
          <w:sz w:val="16"/>
          <w:szCs w:val="16"/>
        </w:rPr>
        <w:t>полузаряда</w:t>
      </w:r>
      <w:proofErr w:type="spellEnd"/>
      <w:r w:rsidRPr="007122AB">
        <w:rPr>
          <w:rFonts w:ascii="Times New Roman" w:hAnsi="Times New Roman"/>
          <w:color w:val="000000" w:themeColor="text1"/>
          <w:sz w:val="16"/>
          <w:szCs w:val="16"/>
        </w:rPr>
        <w:t xml:space="preserve">. Затем она вручную перемещается по кольцевому погону вокруг башни и доставляет боеприпасы к </w:t>
      </w:r>
      <w:proofErr w:type="spellStart"/>
      <w:r w:rsidRPr="007122AB">
        <w:rPr>
          <w:rFonts w:ascii="Times New Roman" w:hAnsi="Times New Roman"/>
          <w:color w:val="000000" w:themeColor="text1"/>
          <w:sz w:val="16"/>
          <w:szCs w:val="16"/>
        </w:rPr>
        <w:t>досылателю</w:t>
      </w:r>
      <w:proofErr w:type="spellEnd"/>
      <w:r w:rsidRPr="007122AB">
        <w:rPr>
          <w:rFonts w:ascii="Times New Roman" w:hAnsi="Times New Roman"/>
          <w:color w:val="000000" w:themeColor="text1"/>
          <w:sz w:val="16"/>
          <w:szCs w:val="16"/>
        </w:rPr>
        <w:t xml:space="preserve"> орудия. Освободившись от груза, тележка продолжает свой круговой путь и вновь оказывается у желобов вагона-погреба для получения очередного боекомплекта.</w:t>
      </w:r>
    </w:p>
    <w:p w14:paraId="5487D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Лейнированное</w:t>
      </w:r>
      <w:proofErr w:type="spellEnd"/>
      <w:r w:rsidRPr="007122AB">
        <w:rPr>
          <w:rFonts w:ascii="Times New Roman" w:hAnsi="Times New Roman"/>
          <w:color w:val="000000" w:themeColor="text1"/>
          <w:sz w:val="16"/>
          <w:szCs w:val="16"/>
        </w:rPr>
        <w:t xml:space="preserve"> орудие Б-1-П обеспечивает снаряду начальную скорость 920 м/с и максимальную дальность стрельбы 37,7 км. Скорострельность орудия исключительно высокая — 3,1—4,1 выстрела в минуту.</w:t>
      </w:r>
    </w:p>
    <w:p w14:paraId="79558E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Стволы для первых транспортеров ТМ-1-180 изготавливал завод «Большевик», а затем эта работа была поручена сталинградскому заводу «Баррикады».</w:t>
      </w:r>
    </w:p>
    <w:p w14:paraId="62599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356-мм и 305-мм железнодорожные транспортеры не имели защитных приспособлений от огня противника. 180-мм транспортер ТМ-1-180 обладал такой защитой. Башня артустановки, оснащенная 39-мм лобовой броней и 20-мм — по бокам и сверху — достаточно надежно предохраняла боевую прислугу и основные орудийные механизмы от осколочно-пулеметного поражения.</w:t>
      </w:r>
    </w:p>
    <w:p w14:paraId="22F64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производстве стрельбы вкруговую для большей остойчивости ТМ-1-180 опирался на восемь опорных ног, которые переводились в этом случае из транспортного положения в рабочее (11454).</w:t>
      </w:r>
    </w:p>
    <w:p w14:paraId="5DB97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4DD9B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5A72AE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26F5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1931 Совнарком СССР принял постановление о советском гражданстве (4962).</w:t>
      </w:r>
    </w:p>
    <w:p w14:paraId="16AAF7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5833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За рубежом:</w:t>
      </w:r>
    </w:p>
    <w:p w14:paraId="60B8434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F8DFC5"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в 1931 году на лужайке перед Белым домом приземлился автожир. Прежде чем охрана успела выхватить оружие, президент Герберт Гувер разрешил назревавший конфликт, пожав руку пилоту Джеймсу Рею и вручив ему памятный приз (15107).</w:t>
      </w:r>
    </w:p>
    <w:p w14:paraId="41AD4329"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2EF657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апреля 1931 Египет подписал договор о дружбе с Ираком (2100).</w:t>
      </w:r>
    </w:p>
    <w:p w14:paraId="3B831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DAC31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67AACB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4173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апреля 1931 по согласованию с Начальником УВВС КА Я. И. Алкснисом было принято решение временно ограничить постройку войсковой серии 10 самолетами ТШ-2 М-17 с таким расчетом, чтобы за время их постройки ЦАГИ и НИИ ВВС успели дать окончательное заключение по результатам испытаний ТШ-2 М-17 (9649).</w:t>
      </w:r>
    </w:p>
    <w:p w14:paraId="78F12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018AD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439800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F15F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апреля 1931 года на НИАП для предварительного испытания первый раз прибыла 45-мм противотанковая пушка обр. 1931 г.. Затем система несколько раз возвращалась на завод и вновь на полигон. При проектировании 45-мм противотанковой пушки завода "Красный Путиловец" за основу была взята конструкция 45-мм неразборной батальонной гаубицы обр. 1929 г. Основные отличия:</w:t>
      </w:r>
    </w:p>
    <w:p w14:paraId="52E63B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Увеличились габариты: тела орудия, станин, бугеля, уравновешивающего механизма и тормоза отката.</w:t>
      </w:r>
    </w:p>
    <w:p w14:paraId="657DD2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Введен поворотный механизм новой конструкции.</w:t>
      </w:r>
    </w:p>
    <w:p w14:paraId="26F08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Поставлен новый подвижный щит.</w:t>
      </w:r>
    </w:p>
    <w:p w14:paraId="74B27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Введены новая ось и крепление по-походному.</w:t>
      </w:r>
    </w:p>
    <w:p w14:paraId="7EC9B7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Колеса металлические штампованные с каучуковыми шинами.</w:t>
      </w:r>
    </w:p>
    <w:p w14:paraId="1B96B0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Введена полуавтоматика, основанная на энергии конца наката.</w:t>
      </w:r>
    </w:p>
    <w:p w14:paraId="7F100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Затвор пушки вертикальный клиновой. Тело пушки состояло из трубы и кожуха с казенником, помещенных (за исключением казенника) в цилиндрической люльке, которая служила и цилиндром казенника.</w:t>
      </w:r>
    </w:p>
    <w:p w14:paraId="2435D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Гидравлический компрессор расположен сверху люльки. Накатник пружинный. Качающаяся часть закреплена в бугеле, имея в нем вращение в горизонтальной плоскости, а сам бугель вместе с качающейся частью закреплен с помощью цапф на станке и имел возможность вращаться в вертикальной плоскости.</w:t>
      </w:r>
    </w:p>
    <w:p w14:paraId="3F92F1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как цапфы приближены к казенной части, был введен пружинный уравновешивающий механизм.</w:t>
      </w:r>
    </w:p>
    <w:p w14:paraId="034E9D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горизонтальном наведении щит перемещался вместе с качающейся частью, перекатываясь по роликам.</w:t>
      </w:r>
    </w:p>
    <w:p w14:paraId="7A0DF8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Боевая ось пустотелая (3861).</w:t>
      </w:r>
    </w:p>
    <w:p w14:paraId="05011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90EE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апреля 1931 г. был готов первый вариант эскиз</w:t>
      </w:r>
      <w:r w:rsidRPr="007122AB">
        <w:rPr>
          <w:rFonts w:ascii="Times New Roman" w:hAnsi="Times New Roman"/>
          <w:color w:val="000000" w:themeColor="text1"/>
          <w:sz w:val="16"/>
          <w:szCs w:val="16"/>
        </w:rPr>
        <w:softHyphen/>
        <w:t>ного проекта “</w:t>
      </w:r>
      <w:proofErr w:type="spellStart"/>
      <w:r w:rsidRPr="007122AB">
        <w:rPr>
          <w:rFonts w:ascii="Times New Roman" w:hAnsi="Times New Roman"/>
          <w:color w:val="000000" w:themeColor="text1"/>
          <w:sz w:val="16"/>
          <w:szCs w:val="16"/>
        </w:rPr>
        <w:t>торпедоноски</w:t>
      </w:r>
      <w:proofErr w:type="spellEnd"/>
      <w:r w:rsidRPr="007122AB">
        <w:rPr>
          <w:rFonts w:ascii="Times New Roman" w:hAnsi="Times New Roman"/>
          <w:color w:val="000000" w:themeColor="text1"/>
          <w:sz w:val="16"/>
          <w:szCs w:val="16"/>
        </w:rPr>
        <w:t>”. В 1933 г. после длитель</w:t>
      </w:r>
      <w:r w:rsidRPr="007122AB">
        <w:rPr>
          <w:rFonts w:ascii="Times New Roman" w:hAnsi="Times New Roman"/>
          <w:color w:val="000000" w:themeColor="text1"/>
          <w:sz w:val="16"/>
          <w:szCs w:val="16"/>
        </w:rPr>
        <w:softHyphen/>
        <w:t>ных согласовании системы двигателей и состава вооружения, а так</w:t>
      </w:r>
      <w:r w:rsidRPr="007122AB">
        <w:rPr>
          <w:rFonts w:ascii="Times New Roman" w:hAnsi="Times New Roman"/>
          <w:color w:val="000000" w:themeColor="text1"/>
          <w:sz w:val="16"/>
          <w:szCs w:val="16"/>
        </w:rPr>
        <w:softHyphen/>
        <w:t>же решения проблемы финансирования и отклонения варианта "</w:t>
      </w:r>
      <w:proofErr w:type="spellStart"/>
      <w:r w:rsidRPr="007122AB">
        <w:rPr>
          <w:rFonts w:ascii="Times New Roman" w:hAnsi="Times New Roman"/>
          <w:color w:val="000000" w:themeColor="text1"/>
          <w:sz w:val="16"/>
          <w:szCs w:val="16"/>
        </w:rPr>
        <w:t>двухлодочного</w:t>
      </w:r>
      <w:proofErr w:type="spellEnd"/>
      <w:r w:rsidRPr="007122AB">
        <w:rPr>
          <w:rFonts w:ascii="Times New Roman" w:hAnsi="Times New Roman"/>
          <w:color w:val="000000" w:themeColor="text1"/>
          <w:sz w:val="16"/>
          <w:szCs w:val="16"/>
        </w:rPr>
        <w:t xml:space="preserve"> ТКА" (очевидно, катамаран) Некрасов начал по</w:t>
      </w:r>
      <w:r w:rsidRPr="007122AB">
        <w:rPr>
          <w:rFonts w:ascii="Times New Roman" w:hAnsi="Times New Roman"/>
          <w:color w:val="000000" w:themeColor="text1"/>
          <w:sz w:val="16"/>
          <w:szCs w:val="16"/>
        </w:rPr>
        <w:softHyphen/>
        <w:t>стройку катера АНТ-6 (Г-6) в Москве. Она заняла более двух лет. Конструкторам ЦАГИ удалось практически разрешить проблемы создания сравнительно крупного дюралевого корпуса и размеще</w:t>
      </w:r>
      <w:r w:rsidRPr="007122AB">
        <w:rPr>
          <w:rFonts w:ascii="Times New Roman" w:hAnsi="Times New Roman"/>
          <w:color w:val="000000" w:themeColor="text1"/>
          <w:sz w:val="16"/>
          <w:szCs w:val="16"/>
        </w:rPr>
        <w:softHyphen/>
        <w:t>ния в этом корпусе восьми моторов ГАМ-34, работавших на два винта (3898).</w:t>
      </w:r>
    </w:p>
    <w:p w14:paraId="510980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89158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A0C8BF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61D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апреля 1931 был подготовлен эскиз экспериментального самолета СК8-9 (см. Приложение 1). Соавтор — Н. Юрьев (АМЖ, ф. 5300, № 8) (10676).</w:t>
      </w:r>
    </w:p>
    <w:p w14:paraId="6BBFF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716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апреля 1931 г. С.П. Королев вместе с Н. Юрьевым закончил проектные проработки по самолету СК8-9. Он был выполнен по двухбалочной схеме, с толкающим винтом, с шасси на высоких стойках, снабженных обтекателем. Есть предположение, что двойной индекс самолета указывал на двойное его назначение: полеты с поршневым двигателем или с ЖРД. Проект СК8-9 не был завершен, но использованные в нем идеи С.П. Королев применил в проекте самолета "Электрон-1" СК-7. Из конструктивных данных самолета СК8-9 известен лишь размах — 14 м (10676).</w:t>
      </w:r>
    </w:p>
    <w:p w14:paraId="20554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A4DEC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A044E7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440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апреля 1931 на заводе Большевик состоялось совместное совещание О танковой программе на заводе на 1931. Участвовали К.Е.В., </w:t>
      </w:r>
      <w:proofErr w:type="spellStart"/>
      <w:r w:rsidRPr="007122AB">
        <w:rPr>
          <w:rFonts w:ascii="Times New Roman" w:hAnsi="Times New Roman"/>
          <w:color w:val="000000" w:themeColor="text1"/>
          <w:sz w:val="16"/>
          <w:szCs w:val="16"/>
        </w:rPr>
        <w:t>М.Тухачевский</w:t>
      </w:r>
      <w:proofErr w:type="spellEnd"/>
      <w:r w:rsidRPr="007122AB">
        <w:rPr>
          <w:rFonts w:ascii="Times New Roman" w:hAnsi="Times New Roman"/>
          <w:color w:val="000000" w:themeColor="text1"/>
          <w:sz w:val="16"/>
          <w:szCs w:val="16"/>
        </w:rPr>
        <w:t xml:space="preserve">, Славин, Карпенко (ОГПУ), </w:t>
      </w:r>
      <w:proofErr w:type="spellStart"/>
      <w:r w:rsidRPr="007122AB">
        <w:rPr>
          <w:rFonts w:ascii="Times New Roman" w:hAnsi="Times New Roman"/>
          <w:color w:val="000000" w:themeColor="text1"/>
          <w:sz w:val="16"/>
          <w:szCs w:val="16"/>
        </w:rPr>
        <w:t>И.А.Халепский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Литуновский</w:t>
      </w:r>
      <w:proofErr w:type="spellEnd"/>
      <w:r w:rsidRPr="007122AB">
        <w:rPr>
          <w:rFonts w:ascii="Times New Roman" w:hAnsi="Times New Roman"/>
          <w:color w:val="000000" w:themeColor="text1"/>
          <w:sz w:val="16"/>
          <w:szCs w:val="16"/>
        </w:rPr>
        <w:t xml:space="preserve">, Лебедев (УММ), Сальников (директор завода), </w:t>
      </w:r>
      <w:proofErr w:type="spellStart"/>
      <w:r w:rsidRPr="007122AB">
        <w:rPr>
          <w:rFonts w:ascii="Times New Roman" w:hAnsi="Times New Roman"/>
          <w:color w:val="000000" w:themeColor="text1"/>
          <w:sz w:val="16"/>
          <w:szCs w:val="16"/>
        </w:rPr>
        <w:t>К.К.Сиркин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Забржевский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техдиректора</w:t>
      </w:r>
      <w:proofErr w:type="spellEnd"/>
      <w:r w:rsidRPr="007122AB">
        <w:rPr>
          <w:rFonts w:ascii="Times New Roman" w:hAnsi="Times New Roman"/>
          <w:color w:val="000000" w:themeColor="text1"/>
          <w:sz w:val="16"/>
          <w:szCs w:val="16"/>
        </w:rPr>
        <w:t xml:space="preserve"> завода), и др. В третьем пункте постановления записали: “Завод принимает заказ на изготовление в текущем (1931) году на 100 танков БТ (модель Кристи) при условии снабжения его прокатной цементированной броней, причем для разработки рабочих чертежей переключается с 1 мая на эту работу специальное танковое КБ, заканчивающее в данный момент рабочие чертежи Т-26... В связи с производством БТ дальнейший выпуск т-18 прекратить.” (3879,5).</w:t>
      </w:r>
    </w:p>
    <w:p w14:paraId="65D25A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DFAD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апреля 1931 г. с участием К. Ворошилова, М. Тухачевского, И.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на заводе «Большевик» со</w:t>
      </w:r>
      <w:r w:rsidRPr="007122AB">
        <w:rPr>
          <w:rFonts w:ascii="Times New Roman" w:hAnsi="Times New Roman"/>
          <w:color w:val="000000" w:themeColor="text1"/>
          <w:sz w:val="16"/>
          <w:szCs w:val="16"/>
        </w:rPr>
        <w:softHyphen/>
        <w:t>стоялось совещание «О танковой программе на заводе на 1931 г.», на котором было принято решение, что «завод при</w:t>
      </w:r>
      <w:r w:rsidRPr="007122AB">
        <w:rPr>
          <w:rFonts w:ascii="Times New Roman" w:hAnsi="Times New Roman"/>
          <w:color w:val="000000" w:themeColor="text1"/>
          <w:sz w:val="16"/>
          <w:szCs w:val="16"/>
        </w:rPr>
        <w:softHyphen/>
        <w:t>нимает заказ на изготовление в текущем году на 100 танков «БТ» (модель «Кристи») при условии снабжения его прокат</w:t>
      </w:r>
      <w:r w:rsidRPr="007122AB">
        <w:rPr>
          <w:rFonts w:ascii="Times New Roman" w:hAnsi="Times New Roman"/>
          <w:color w:val="000000" w:themeColor="text1"/>
          <w:sz w:val="16"/>
          <w:szCs w:val="16"/>
        </w:rPr>
        <w:softHyphen/>
        <w:t>ной цементированной броней..., в связи с производством «БТ» дальнейший выпуск Т-18 прекратить». Но ввиду того, что планировавшийся прежде заказ на 200 танков Т-24 был отменен, то Харьковский завод им. Коминтерна внезапно оказался свободен, тогда как про</w:t>
      </w:r>
      <w:r w:rsidRPr="007122AB">
        <w:rPr>
          <w:rFonts w:ascii="Times New Roman" w:hAnsi="Times New Roman"/>
          <w:color w:val="000000" w:themeColor="text1"/>
          <w:sz w:val="16"/>
          <w:szCs w:val="16"/>
        </w:rPr>
        <w:softHyphen/>
        <w:t>грамма выпуска Т-26 находилась под угрозой (10733,194).</w:t>
      </w:r>
    </w:p>
    <w:p w14:paraId="0D0E98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C6FE4" w14:textId="77777777" w:rsidR="00D65F90" w:rsidRPr="007122AB" w:rsidRDefault="00D65F9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апреля 1931 состоялось совещание "О танковой программе на заводе на 1931 год". О важности рассматриваемого вопроса свидетельствует состав участников совещания: К.Е. Ворошилов, Тухачевский, Славин (РВС ЛВО), Карпенко (ОГПУ), </w:t>
      </w:r>
      <w:proofErr w:type="spellStart"/>
      <w:r w:rsidRPr="007122AB">
        <w:rPr>
          <w:rFonts w:ascii="Times New Roman" w:hAnsi="Times New Roman"/>
          <w:color w:val="000000" w:themeColor="text1"/>
          <w:sz w:val="16"/>
          <w:szCs w:val="16"/>
        </w:rPr>
        <w:t>Литуновский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xml:space="preserve">, Лебедев (УММ), Сальников (директор завода), </w:t>
      </w:r>
      <w:proofErr w:type="spellStart"/>
      <w:r w:rsidRPr="007122AB">
        <w:rPr>
          <w:rFonts w:ascii="Times New Roman" w:hAnsi="Times New Roman"/>
          <w:color w:val="000000" w:themeColor="text1"/>
          <w:sz w:val="16"/>
          <w:szCs w:val="16"/>
        </w:rPr>
        <w:t>К.К.Сиркин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Забржевский</w:t>
      </w:r>
      <w:proofErr w:type="spellEnd"/>
      <w:r w:rsidRPr="007122AB">
        <w:rPr>
          <w:rFonts w:ascii="Times New Roman" w:hAnsi="Times New Roman"/>
          <w:color w:val="000000" w:themeColor="text1"/>
          <w:sz w:val="16"/>
          <w:szCs w:val="16"/>
        </w:rPr>
        <w:t xml:space="preserve"> (технические директора завода), а также другие представители завода и цехов. В принятом постановлении завод обязали приступить к изготовлению рабочих чертежей с 1 мая 1931 г. и до конца года поставить 100 серийных танков. Ещё раньше, решением АБТУ от 11 января 1931 года было определено название танка:</w:t>
      </w:r>
    </w:p>
    <w:p w14:paraId="065D4311" w14:textId="77777777" w:rsidR="00D65F90" w:rsidRPr="007122AB" w:rsidRDefault="00D65F9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"Поскольку американский танк Кристи не отвечает требованиям системы танко-тракторно-</w:t>
      </w:r>
      <w:proofErr w:type="spellStart"/>
      <w:r w:rsidRPr="007122AB">
        <w:rPr>
          <w:rFonts w:ascii="Times New Roman" w:hAnsi="Times New Roman"/>
          <w:color w:val="000000" w:themeColor="text1"/>
          <w:sz w:val="16"/>
          <w:szCs w:val="16"/>
        </w:rPr>
        <w:t>автоброневооружения</w:t>
      </w:r>
      <w:proofErr w:type="spellEnd"/>
      <w:r w:rsidRPr="007122AB">
        <w:rPr>
          <w:rFonts w:ascii="Times New Roman" w:hAnsi="Times New Roman"/>
          <w:color w:val="000000" w:themeColor="text1"/>
          <w:sz w:val="16"/>
          <w:szCs w:val="16"/>
        </w:rPr>
        <w:t xml:space="preserve"> и на вооружение не принимался, сквозного индекса Т ему не присваивать... Более разумным представляется предложение о присвоении ему индекса "СТ" - скороходный танк, или "БТ" - быстроходный танк..."</w:t>
      </w:r>
    </w:p>
    <w:p w14:paraId="42E2905C" w14:textId="77777777" w:rsidR="00D65F90" w:rsidRPr="007122AB" w:rsidRDefault="00D65F9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ведь испытания танков Кристи ещё даже не начинались…</w:t>
      </w:r>
    </w:p>
    <w:p w14:paraId="08C8E135" w14:textId="77777777" w:rsidR="00D65F90" w:rsidRPr="007122AB" w:rsidRDefault="00D65F9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Поставленные из США танки М1931 отличались от образца, который был передан американской армии, наличием 800-кг балласта (заменявшем отсутствующую башню), опорными катками диаметром 813 мм и 400-сильным двигателем Liberty. Толщина бронирования составляла от 5,5 мм (днище) до 20 мм (лоб корпуса и башни). На взвешивании 16 мая масса танка определялась в 9360 кг.</w:t>
      </w:r>
    </w:p>
    <w:p w14:paraId="1D74622F" w14:textId="77777777" w:rsidR="00D65F90" w:rsidRPr="007122AB" w:rsidRDefault="00D65F9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пробегом начались в этот же день, однако уже 17 мая, во время поворота на травяном грунте сломался кронштейн правого ленивца. На ремонт ушло двое суток, но сварки хватило лишь на 500 метров движения на гусеницах. После второй поломки (23 мая) танк вновь отправили на ремонт, который продолжался ещё трое суток (17214).</w:t>
      </w:r>
    </w:p>
    <w:p w14:paraId="14E753D5" w14:textId="77777777" w:rsidR="00D65F90" w:rsidRPr="007122AB" w:rsidRDefault="00D65F90"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7D30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AB81D7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4F6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25 апреля 1931 на первый ТБ-3 (АНТ-6) вместо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поставили БМВ 6Е (1017,168) и увеличили оперение и поставили деревянные винты (1854,7).</w:t>
      </w:r>
    </w:p>
    <w:p w14:paraId="345F54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3C04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апреля 1931 г. ЦАГИ выставил на испытания доработанный АНТ-6 с моторами BMW VIE7.3 (730 л.с.). На нем нарастили вверх киль. изменили конструкцию элеронов, переделали костыль, немного увеличили рули высоты. При этом удалось устранить ряд ранее выявленных недостатков. Например, прикрыли полом шедшие ранее открыто через кабину бортмеханика тросы управления и </w:t>
      </w:r>
      <w:proofErr w:type="spellStart"/>
      <w:r w:rsidRPr="007122AB">
        <w:rPr>
          <w:rFonts w:ascii="Times New Roman" w:hAnsi="Times New Roman"/>
          <w:color w:val="000000" w:themeColor="text1"/>
          <w:sz w:val="16"/>
          <w:szCs w:val="16"/>
        </w:rPr>
        <w:t>бензинопроводы</w:t>
      </w:r>
      <w:proofErr w:type="spellEnd"/>
      <w:r w:rsidRPr="007122AB">
        <w:rPr>
          <w:rFonts w:ascii="Times New Roman" w:hAnsi="Times New Roman"/>
          <w:color w:val="000000" w:themeColor="text1"/>
          <w:sz w:val="16"/>
          <w:szCs w:val="16"/>
        </w:rPr>
        <w:t>, усовершенствовали глушители. А пожарную сигнализацию просто сняли (что вызвало протест представителей ВВС). Переделки подняли вес пустого самолета на 340 кг Винты теперь были деревянные типа ЦАГИ вместо стоявших ранее стальных американских, но тоже двухлопастные (8887).</w:t>
      </w:r>
    </w:p>
    <w:p w14:paraId="4182F4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E26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25 апреля 1931 Постановлением СТО “О создании базы опытного строительства и эксплуатации </w:t>
      </w:r>
      <w:proofErr w:type="spellStart"/>
      <w:r w:rsidRPr="007122AB">
        <w:rPr>
          <w:rFonts w:ascii="Times New Roman" w:hAnsi="Times New Roman"/>
          <w:color w:val="000000" w:themeColor="text1"/>
          <w:sz w:val="16"/>
          <w:szCs w:val="16"/>
        </w:rPr>
        <w:t>дирижаблей”и</w:t>
      </w:r>
      <w:proofErr w:type="spellEnd"/>
      <w:r w:rsidRPr="007122AB">
        <w:rPr>
          <w:rFonts w:ascii="Times New Roman" w:hAnsi="Times New Roman"/>
          <w:color w:val="000000" w:themeColor="text1"/>
          <w:sz w:val="16"/>
          <w:szCs w:val="16"/>
        </w:rPr>
        <w:t xml:space="preserve"> при Всесоюзном объединении ГФВ была создана база опытного строительства и эксплуатации дирижаблей (БОСЭД). В Ленинграде действует КБ НИИ СЭД (61).</w:t>
      </w:r>
    </w:p>
    <w:p w14:paraId="2368DF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5FF794"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35. Решения ПБ от 20 апреля 1931 г. 31/37. О дирижаблестроении. П. 33/39. О танкостроении (ПБ от 20 февраля 1931 г., пр. № 27, п. 35/51). — ОП. (Политбюро... Т. 2. С. 157) (12416).</w:t>
      </w:r>
    </w:p>
    <w:p w14:paraId="41A98C48"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20778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апреля 1931 года Совет Труда и Обороны при СНК СССР принимают "Постановление о создании "Базы опытного строительства и эксплуатации дирижаблей" - (БОСЭД) в Гражданском воздушном флоте. Такая база была основана в Москве 18 августа 1931 года в системе ГВФ. Первым ее начальником был назначен Павел Мартынович </w:t>
      </w:r>
      <w:proofErr w:type="spellStart"/>
      <w:r w:rsidRPr="007122AB">
        <w:rPr>
          <w:rFonts w:ascii="Times New Roman" w:hAnsi="Times New Roman"/>
          <w:color w:val="000000" w:themeColor="text1"/>
          <w:sz w:val="16"/>
          <w:szCs w:val="16"/>
        </w:rPr>
        <w:t>Пурмаль</w:t>
      </w:r>
      <w:proofErr w:type="spellEnd"/>
      <w:r w:rsidRPr="007122AB">
        <w:rPr>
          <w:rFonts w:ascii="Times New Roman" w:hAnsi="Times New Roman"/>
          <w:color w:val="000000" w:themeColor="text1"/>
          <w:sz w:val="16"/>
          <w:szCs w:val="16"/>
        </w:rPr>
        <w:t>. Уже в декабре 1931 года БОСЭД была переименована в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задачей которого являлось проектирование дирижаблей, организация портов и воздушных линий, подготовка кадров по строительству и эксплуатации дирижаблей. Когда 25 февраля 1932 года ВОГВФ преобразовали в Главное управление ГВФ (ГУГВФ),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стал называться "Научно-исследовательский комбинат по опытному строительству и эксплуатации дирижаблей". В 1932 году произошло слияние Воздухоплавательной базы Осоавиахима и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Долгопрудной</w:t>
      </w:r>
      <w:proofErr w:type="spellEnd"/>
      <w:r w:rsidRPr="007122AB">
        <w:rPr>
          <w:rFonts w:ascii="Times New Roman" w:hAnsi="Times New Roman"/>
          <w:color w:val="000000" w:themeColor="text1"/>
          <w:sz w:val="16"/>
          <w:szCs w:val="16"/>
        </w:rPr>
        <w:t xml:space="preserve">. В 1933 г. база частично введена в эксплуатацию. В .3.1934 г. территория была увеличена еще более чем вдвое. Строился аэродром. Один из цехов размещался на ул. </w:t>
      </w:r>
      <w:proofErr w:type="spellStart"/>
      <w:r w:rsidRPr="007122AB">
        <w:rPr>
          <w:rFonts w:ascii="Times New Roman" w:hAnsi="Times New Roman"/>
          <w:color w:val="000000" w:themeColor="text1"/>
          <w:sz w:val="16"/>
          <w:szCs w:val="16"/>
        </w:rPr>
        <w:t>Б.Никитской</w:t>
      </w:r>
      <w:proofErr w:type="spellEnd"/>
      <w:r w:rsidRPr="007122AB">
        <w:rPr>
          <w:rFonts w:ascii="Times New Roman" w:hAnsi="Times New Roman"/>
          <w:color w:val="000000" w:themeColor="text1"/>
          <w:sz w:val="16"/>
          <w:szCs w:val="16"/>
        </w:rPr>
        <w:t xml:space="preserve"> (на 1933 г.) (10777).</w:t>
      </w:r>
    </w:p>
    <w:p w14:paraId="2405E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28FD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апреля 1931 г. по решению СТО в Москве при ВО ГВФ создана База опытного строительства и эксплуатации дирижаблей (БОСЭД) (Завод № 207 НКОП, НКАП, База опытного строительства и эксплуатации дирижаблей (БОСЭД), Комбинат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ГВФ, НКТП /пос.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ст.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xml:space="preserve"> Северных ж/д,  г. Долгопрудный Московской обл. ст. Водники/). По приказу начальника ВО ГВФ № 462 от 7.12.1931 г. БОСЭД преобразована в Научно- исследовательский комбинат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Перед ним поставлена задача координации всех работ в стране по дирижаблестроению. Ему были подчинены завод по проектированию и строительству дирижаблей, </w:t>
      </w:r>
      <w:proofErr w:type="spellStart"/>
      <w:r w:rsidRPr="007122AB">
        <w:rPr>
          <w:rFonts w:ascii="Times New Roman" w:hAnsi="Times New Roman"/>
          <w:color w:val="000000" w:themeColor="text1"/>
          <w:sz w:val="16"/>
          <w:szCs w:val="16"/>
        </w:rPr>
        <w:t>учеЬн</w:t>
      </w:r>
      <w:proofErr w:type="spellEnd"/>
      <w:r w:rsidRPr="007122AB">
        <w:rPr>
          <w:rFonts w:ascii="Times New Roman" w:hAnsi="Times New Roman"/>
          <w:color w:val="000000" w:themeColor="text1"/>
          <w:sz w:val="16"/>
          <w:szCs w:val="16"/>
        </w:rPr>
        <w:t>^ опытная эскадра по эксплуатации дирижаблей, газовый завод. В 1932 г. ему также передана территория Центральной воздухоплавательной базы Осоавиахима в  г. Долгопрудный, куда и был переведен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Строительство базы начато в 1930-31 г. в 18 км от Москвы с помощью итальянцев (с 05.1932 г. работал У. Нобиле). Для этого в 05.1931 г. был отведен пустующий участок земли. В 05.1931 г. началось строительство дирижаблестроительной верфи, Газового завода и поселка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6C969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от 31.05.1933 г. членами НТС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утверждены: А.Н. Туполев (председатель расчетно-конструкторской секции),  Г.А. Озеров (председатель научно-исследовательской секции), И.И. </w:t>
      </w:r>
      <w:proofErr w:type="spellStart"/>
      <w:r w:rsidRPr="007122AB">
        <w:rPr>
          <w:rFonts w:ascii="Times New Roman" w:hAnsi="Times New Roman"/>
          <w:color w:val="000000" w:themeColor="text1"/>
          <w:sz w:val="16"/>
          <w:szCs w:val="16"/>
        </w:rPr>
        <w:t>Погосский</w:t>
      </w:r>
      <w:proofErr w:type="spellEnd"/>
      <w:r w:rsidRPr="007122AB">
        <w:rPr>
          <w:rFonts w:ascii="Times New Roman" w:hAnsi="Times New Roman"/>
          <w:color w:val="000000" w:themeColor="text1"/>
          <w:sz w:val="16"/>
          <w:szCs w:val="16"/>
        </w:rPr>
        <w:t>.</w:t>
      </w:r>
    </w:p>
    <w:p w14:paraId="692D7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со всеми сооружениями и личным составом передана из ГВФ в ГУАП НКТП, в 12.1936 г. - в 1ГУ НКОП. 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1047C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2D091F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09.1937 г. был пущен в эксплуатацию Газовый завод для заправки дирижаблей.</w:t>
      </w:r>
    </w:p>
    <w:p w14:paraId="52138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53499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4A3B0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54FB7C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w:t>
      </w:r>
      <w:proofErr w:type="spellStart"/>
      <w:r w:rsidRPr="007122AB">
        <w:rPr>
          <w:rFonts w:ascii="Times New Roman" w:hAnsi="Times New Roman"/>
          <w:color w:val="000000" w:themeColor="text1"/>
          <w:sz w:val="16"/>
          <w:szCs w:val="16"/>
        </w:rPr>
        <w:t>дирижабельно</w:t>
      </w:r>
      <w:proofErr w:type="spellEnd"/>
      <w:r w:rsidRPr="007122AB">
        <w:rPr>
          <w:rFonts w:ascii="Times New Roman" w:hAnsi="Times New Roman"/>
          <w:color w:val="000000" w:themeColor="text1"/>
          <w:sz w:val="16"/>
          <w:szCs w:val="16"/>
        </w:rPr>
        <w:t>-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4EE972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6CCFDB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08.1941 г. на завод № 207 с завода № 156 НКАП переведена конструкторская группа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w:t>
      </w:r>
    </w:p>
    <w:p w14:paraId="7D362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22B1F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приказам № 1073с от 20.10.1941 г. и № 93с от 2.02.1942 г. на площадке эвакуированного завода № 207 с 10.1941 г. образовались самолетные Ремонтные мастерские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далее- при </w:t>
      </w:r>
      <w:proofErr w:type="spellStart"/>
      <w:r w:rsidRPr="007122AB">
        <w:rPr>
          <w:rFonts w:ascii="Times New Roman" w:hAnsi="Times New Roman"/>
          <w:color w:val="000000" w:themeColor="text1"/>
          <w:sz w:val="16"/>
          <w:szCs w:val="16"/>
        </w:rPr>
        <w:t>Главремуправлении</w:t>
      </w:r>
      <w:proofErr w:type="spellEnd"/>
      <w:r w:rsidRPr="007122AB">
        <w:rPr>
          <w:rFonts w:ascii="Times New Roman" w:hAnsi="Times New Roman"/>
          <w:color w:val="000000" w:themeColor="text1"/>
          <w:sz w:val="16"/>
          <w:szCs w:val="16"/>
        </w:rPr>
        <w:t xml:space="preserve"> НКАП. Начальник с 01.1942 г.- М.П. </w:t>
      </w:r>
      <w:proofErr w:type="spellStart"/>
      <w:r w:rsidRPr="007122AB">
        <w:rPr>
          <w:rFonts w:ascii="Times New Roman" w:hAnsi="Times New Roman"/>
          <w:color w:val="000000" w:themeColor="text1"/>
          <w:sz w:val="16"/>
          <w:szCs w:val="16"/>
        </w:rPr>
        <w:t>Озимков</w:t>
      </w:r>
      <w:proofErr w:type="spellEnd"/>
      <w:r w:rsidRPr="007122AB">
        <w:rPr>
          <w:rFonts w:ascii="Times New Roman" w:hAnsi="Times New Roman"/>
          <w:color w:val="000000" w:themeColor="text1"/>
          <w:sz w:val="16"/>
          <w:szCs w:val="16"/>
        </w:rPr>
        <w:t xml:space="preserve"> (с завода № 487). Сюда возвращены кадры, ранее отправленные на завод № 156. Ремонт ЛаГГ-1, Ла-5, МиГ-3, Як-3, Як-9, Ил-2.</w:t>
      </w:r>
    </w:p>
    <w:p w14:paraId="6B5C9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5A562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(11.1940 г.)- 198 металлорежущих станков.</w:t>
      </w:r>
    </w:p>
    <w:p w14:paraId="35A87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(1932 г.)- П. Пурмаль,</w:t>
      </w:r>
      <w:r w:rsidRPr="007122AB">
        <w:rPr>
          <w:rFonts w:ascii="Times New Roman" w:hAnsi="Times New Roman"/>
          <w:color w:val="000000" w:themeColor="text1"/>
          <w:sz w:val="16"/>
          <w:szCs w:val="16"/>
          <w:vertAlign w:val="superscript"/>
        </w:rPr>
        <w:t>104</w:t>
      </w:r>
      <w:r w:rsidRPr="007122AB">
        <w:rPr>
          <w:rFonts w:ascii="Times New Roman" w:hAnsi="Times New Roman"/>
          <w:color w:val="000000" w:themeColor="text1"/>
          <w:sz w:val="16"/>
          <w:szCs w:val="16"/>
        </w:rPr>
        <w:t xml:space="preserve"> (1932 г.)- И. </w:t>
      </w:r>
      <w:proofErr w:type="spellStart"/>
      <w:r w:rsidRPr="007122AB">
        <w:rPr>
          <w:rFonts w:ascii="Times New Roman" w:hAnsi="Times New Roman"/>
          <w:color w:val="000000" w:themeColor="text1"/>
          <w:sz w:val="16"/>
          <w:szCs w:val="16"/>
        </w:rPr>
        <w:t>Фильдман</w:t>
      </w:r>
      <w:proofErr w:type="spellEnd"/>
      <w:r w:rsidRPr="007122AB">
        <w:rPr>
          <w:rFonts w:ascii="Times New Roman" w:hAnsi="Times New Roman"/>
          <w:color w:val="000000" w:themeColor="text1"/>
          <w:sz w:val="16"/>
          <w:szCs w:val="16"/>
        </w:rPr>
        <w:t xml:space="preserve">, (-06.193 7-11.04.193 8 г.)- С. Г. Хорьков (арестован), (19.06-09.1938 г.-)- С.В. Житенев, (1938-05.1941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II</w:t>
      </w:r>
      <w:r w:rsidRPr="007122AB">
        <w:rPr>
          <w:rFonts w:ascii="Times New Roman" w:hAnsi="Times New Roman"/>
          <w:color w:val="000000" w:themeColor="text1"/>
          <w:sz w:val="16"/>
          <w:szCs w:val="16"/>
        </w:rPr>
        <w:t>. Горин.</w:t>
      </w:r>
    </w:p>
    <w:p w14:paraId="1C1B77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(-06-20.12.1937 г.)- П.Б. </w:t>
      </w:r>
      <w:proofErr w:type="spellStart"/>
      <w:r w:rsidRPr="007122AB">
        <w:rPr>
          <w:rFonts w:ascii="Times New Roman" w:hAnsi="Times New Roman"/>
          <w:color w:val="000000" w:themeColor="text1"/>
          <w:sz w:val="16"/>
          <w:szCs w:val="16"/>
        </w:rPr>
        <w:t>Рудини</w:t>
      </w:r>
      <w:proofErr w:type="spellEnd"/>
      <w:r w:rsidRPr="007122AB">
        <w:rPr>
          <w:rFonts w:ascii="Times New Roman" w:hAnsi="Times New Roman"/>
          <w:color w:val="000000" w:themeColor="text1"/>
          <w:sz w:val="16"/>
          <w:szCs w:val="16"/>
        </w:rPr>
        <w:t xml:space="preserve"> (снят); по строительству (28.02.1937 г.-)- И.П. Афанасьев.</w:t>
      </w:r>
    </w:p>
    <w:p w14:paraId="64B65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(01.1937-39 г.)- А.И. Путилов (репрессирован), (-06-20.12.1937 г.)- П.Б. Рудини,</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xml:space="preserve"> (10.1941 г.)- В.К. Таиров.</w:t>
      </w:r>
    </w:p>
    <w:p w14:paraId="421D7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(1932 г.-)- Умберто Нобиле.</w:t>
      </w:r>
      <w:r w:rsidRPr="007122AB">
        <w:rPr>
          <w:rFonts w:ascii="Times New Roman" w:hAnsi="Times New Roman"/>
          <w:color w:val="000000" w:themeColor="text1"/>
          <w:sz w:val="16"/>
          <w:szCs w:val="16"/>
          <w:vertAlign w:val="superscript"/>
        </w:rPr>
        <w:t>104</w:t>
      </w:r>
    </w:p>
    <w:p w14:paraId="0011B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КБ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(1938-46 г.)- Умберто Нобиле.</w:t>
      </w:r>
    </w:p>
    <w:p w14:paraId="4261B5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396C9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завода № 207 НКАП гл. конструкторов А.А. Боровкова и И.Ф. Флорова</w:t>
      </w:r>
    </w:p>
    <w:p w14:paraId="17359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7D6A3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010CD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СЖБ-207 НКАП гл. конструктора С.А. </w:t>
      </w:r>
      <w:proofErr w:type="spellStart"/>
      <w:r w:rsidRPr="007122AB">
        <w:rPr>
          <w:rFonts w:ascii="Times New Roman" w:hAnsi="Times New Roman"/>
          <w:color w:val="000000" w:themeColor="text1"/>
          <w:sz w:val="16"/>
          <w:szCs w:val="16"/>
        </w:rPr>
        <w:t>Кочеригина</w:t>
      </w:r>
      <w:proofErr w:type="spellEnd"/>
    </w:p>
    <w:p w14:paraId="4F9E41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08.1941 г. конструкторская группа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 xml:space="preserve"> назначен гл. редактором БНТ НКАП (11982).</w:t>
      </w:r>
    </w:p>
    <w:p w14:paraId="0554E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610128"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апреля 1931 г. Протокол ПБ № 35 п.24/29: Об экспедиции </w:t>
      </w:r>
      <w:proofErr w:type="spellStart"/>
      <w:r w:rsidRPr="007122AB">
        <w:rPr>
          <w:rFonts w:ascii="Times New Roman" w:hAnsi="Times New Roman"/>
          <w:color w:val="000000" w:themeColor="text1"/>
          <w:sz w:val="16"/>
          <w:szCs w:val="16"/>
        </w:rPr>
        <w:t>Экенера</w:t>
      </w:r>
      <w:proofErr w:type="spellEnd"/>
      <w:r w:rsidRPr="007122AB">
        <w:rPr>
          <w:rFonts w:ascii="Times New Roman" w:hAnsi="Times New Roman"/>
          <w:color w:val="000000" w:themeColor="text1"/>
          <w:sz w:val="16"/>
          <w:szCs w:val="16"/>
        </w:rPr>
        <w:t xml:space="preserve"> в Арктику (ПБ от 10-4-1931 г., протокол № 33, п.17/22) (Рудзутак, Литвинов) - ОП. Решено: а) разрешить международному обществу «</w:t>
      </w:r>
      <w:proofErr w:type="spellStart"/>
      <w:r w:rsidRPr="007122AB">
        <w:rPr>
          <w:rFonts w:ascii="Times New Roman" w:hAnsi="Times New Roman"/>
          <w:color w:val="000000" w:themeColor="text1"/>
          <w:sz w:val="16"/>
          <w:szCs w:val="16"/>
        </w:rPr>
        <w:t>Аэроарктик</w:t>
      </w:r>
      <w:proofErr w:type="spellEnd"/>
      <w:r w:rsidRPr="007122AB">
        <w:rPr>
          <w:rFonts w:ascii="Times New Roman" w:hAnsi="Times New Roman"/>
          <w:color w:val="000000" w:themeColor="text1"/>
          <w:sz w:val="16"/>
          <w:szCs w:val="16"/>
        </w:rPr>
        <w:t xml:space="preserve">» научную арктическую экспедицию на дирижабле с остановками на территории СССР по маршруту Германия - Ленинград - Советский сектор Арктики - Москва (Ленинград) - Германия; б) разрешить участие в этой экспедиции в качестве ее начальника профессора Самойловича и других советских представителей; в) валютные расходы не должны превышать 17 тысяч долларов и покрываются из резервного фонда СНК СССР; г) ответственность за подробный маршрут, организацию полета и остановок на территории СССР возложить на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Каменева С.С. (председатель), Мессинга и Самойловича, которые определяют также и персональный состав советских участников экспедиции (15952).</w:t>
      </w:r>
    </w:p>
    <w:p w14:paraId="157628EF"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710D24A6"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апреля 1931 г. Протокол ПБ № 35 п.15: О плане гражданского воздушного флота на 1931 г. (Молотов, Ворошилов, Куйбышев,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Акулов). Решено: а) утвердить постановление СНК «О плане гражданского воздушного флота на 1931 г.» от 16-4-1931; б) 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т.д.; в) поставить на ближайшем заседании Политбюро доклад РКИ о ходе выполнения постановления СНК от 11-1-1931 «О </w:t>
      </w:r>
      <w:proofErr w:type="spellStart"/>
      <w:r w:rsidRPr="007122AB">
        <w:rPr>
          <w:rFonts w:ascii="Times New Roman" w:hAnsi="Times New Roman"/>
          <w:color w:val="000000" w:themeColor="text1"/>
          <w:sz w:val="16"/>
          <w:szCs w:val="16"/>
        </w:rPr>
        <w:t>приравнении</w:t>
      </w:r>
      <w:proofErr w:type="spellEnd"/>
      <w:r w:rsidRPr="007122AB">
        <w:rPr>
          <w:rFonts w:ascii="Times New Roman" w:hAnsi="Times New Roman"/>
          <w:color w:val="000000" w:themeColor="text1"/>
          <w:sz w:val="16"/>
          <w:szCs w:val="16"/>
        </w:rPr>
        <w:t xml:space="preserve"> гражданского воздушного флота к важнейшим внеочередным объектам капитального строительства» (15895).</w:t>
      </w:r>
    </w:p>
    <w:p w14:paraId="2043ED9E"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68FF7CDE" w14:textId="77777777" w:rsidR="005F6639" w:rsidRPr="007122AB" w:rsidRDefault="005F663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апреля 1931 г. в присутствии всего Евпаторийского гарнизона Мошковский Я. благополучно приземлился на парашюте Журавлева. Разъяснительная работа и отважные прыжки дал отличные результаты - добровольцев прыгнуть с парашютом записалось около двух десятков и среди них две женщины - жены летчиков. На базе первого парашюта были созданы новые конструкции спасательных парашютов ПЛ-1 для летчиков и ПН-1 для летчиков-наблюдателей (штурманов). По </w:t>
      </w:r>
      <w:r w:rsidRPr="007122AB">
        <w:rPr>
          <w:rFonts w:ascii="Times New Roman" w:hAnsi="Times New Roman"/>
          <w:color w:val="000000" w:themeColor="text1"/>
          <w:sz w:val="16"/>
          <w:szCs w:val="16"/>
        </w:rPr>
        <w:lastRenderedPageBreak/>
        <w:t>конструкции Савицкого М.А. был создан первый советский парашют ПТ-1 для совершения учебно-тренировочных прыжков летно-подъемным составом ВВС, десантниками и спортсменами-парашютистами. Он состоял на снабжении в Красной Армии до 1940 г. С помощью ПТ-1 было установлено 22 рекорда страны, в том числе и прыжок с минимальной высоты 80 м (15506).</w:t>
      </w:r>
    </w:p>
    <w:p w14:paraId="2C6652E0" w14:textId="77777777" w:rsidR="005F6639" w:rsidRPr="007122AB" w:rsidRDefault="005F6639" w:rsidP="007122AB">
      <w:pPr>
        <w:spacing w:after="0" w:line="240" w:lineRule="auto"/>
        <w:jc w:val="both"/>
        <w:rPr>
          <w:rFonts w:ascii="Times New Roman" w:hAnsi="Times New Roman"/>
          <w:color w:val="000000" w:themeColor="text1"/>
          <w:sz w:val="16"/>
          <w:szCs w:val="16"/>
        </w:rPr>
      </w:pPr>
    </w:p>
    <w:p w14:paraId="6C86295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апреля 1931</w:t>
      </w:r>
    </w:p>
    <w:p w14:paraId="71EE251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15: О плане гражданского воздушного флота на 1931 г.</w:t>
      </w:r>
    </w:p>
    <w:p w14:paraId="5811955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(Молотов, Ворошилов, Куйбышев,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Акулов).</w:t>
      </w:r>
    </w:p>
    <w:p w14:paraId="359ABDB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постановление Совета Народных Комиссаров “О плане гражданского воздушного флота на 1931 г.” от 16.IV.31 г. (</w:t>
      </w:r>
      <w:hyperlink r:id="rId82" w:history="1">
        <w:r w:rsidRPr="007122AB">
          <w:rPr>
            <w:rStyle w:val="a5"/>
            <w:rFonts w:ascii="Times New Roman" w:hAnsi="Times New Roman"/>
            <w:color w:val="000000" w:themeColor="text1"/>
            <w:sz w:val="16"/>
            <w:szCs w:val="16"/>
          </w:rPr>
          <w:t>см. приложение № 8</w:t>
        </w:r>
      </w:hyperlink>
      <w:r w:rsidRPr="007122AB">
        <w:rPr>
          <w:rFonts w:ascii="Times New Roman" w:hAnsi="Times New Roman"/>
          <w:color w:val="000000" w:themeColor="text1"/>
          <w:sz w:val="16"/>
          <w:szCs w:val="16"/>
        </w:rPr>
        <w:t>).</w:t>
      </w:r>
    </w:p>
    <w:p w14:paraId="0C6CD52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 д.</w:t>
      </w:r>
    </w:p>
    <w:p w14:paraId="463ABB9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Поставить на ближайшем заседании Политбюро доклад РКИ о ходе выполнения постановления СНК от 11</w:t>
      </w:r>
      <w:r w:rsidRPr="007122AB">
        <w:rPr>
          <w:rFonts w:ascii="Times New Roman" w:hAnsi="Times New Roman"/>
          <w:color w:val="000000" w:themeColor="text1"/>
          <w:sz w:val="16"/>
          <w:szCs w:val="16"/>
        </w:rPr>
        <w:noBreakHyphen/>
        <w:t xml:space="preserve">го января 1931 г. “О </w:t>
      </w:r>
      <w:proofErr w:type="spellStart"/>
      <w:r w:rsidRPr="007122AB">
        <w:rPr>
          <w:rFonts w:ascii="Times New Roman" w:hAnsi="Times New Roman"/>
          <w:color w:val="000000" w:themeColor="text1"/>
          <w:sz w:val="16"/>
          <w:szCs w:val="16"/>
        </w:rPr>
        <w:t>приравнении</w:t>
      </w:r>
      <w:proofErr w:type="spellEnd"/>
      <w:r w:rsidRPr="007122AB">
        <w:rPr>
          <w:rFonts w:ascii="Times New Roman" w:hAnsi="Times New Roman"/>
          <w:color w:val="000000" w:themeColor="text1"/>
          <w:sz w:val="16"/>
          <w:szCs w:val="16"/>
        </w:rPr>
        <w:t xml:space="preserve"> гражданского воздушного флота к важнейшим внеочередным объектам капитального строительства”.</w:t>
      </w:r>
    </w:p>
    <w:p w14:paraId="563BA26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8</w:t>
      </w:r>
    </w:p>
    <w:p w14:paraId="48D2A17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15, пр. ПБ № 35.</w:t>
      </w:r>
    </w:p>
    <w:p w14:paraId="538812D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плане гражданского воздушного флота на 1931 г. Постановление СТО от 16.IV.1931 г. СНК СССР с приложениями.</w:t>
      </w:r>
    </w:p>
    <w:p w14:paraId="2648859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4739115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Выписка из протокола № 10 заседания Совета Труда и Обороны 16 апреля 1931 года.</w:t>
      </w:r>
    </w:p>
    <w:p w14:paraId="735B5EF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16: О плане гражданского воздушного флота на 1931 год.</w:t>
      </w:r>
    </w:p>
    <w:p w14:paraId="13572F8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Близниченко</w:t>
      </w:r>
      <w:proofErr w:type="spellEnd"/>
      <w:r w:rsidRPr="007122AB">
        <w:rPr>
          <w:rFonts w:ascii="Times New Roman" w:hAnsi="Times New Roman"/>
          <w:color w:val="000000" w:themeColor="text1"/>
          <w:sz w:val="16"/>
          <w:szCs w:val="16"/>
        </w:rPr>
        <w:t xml:space="preserve">, Акулов, Ворошилов,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Метло</w:t>
      </w:r>
      <w:proofErr w:type="spellEnd"/>
      <w:r w:rsidRPr="007122AB">
        <w:rPr>
          <w:rFonts w:ascii="Times New Roman" w:hAnsi="Times New Roman"/>
          <w:color w:val="000000" w:themeColor="text1"/>
          <w:sz w:val="16"/>
          <w:szCs w:val="16"/>
        </w:rPr>
        <w:t>, Куйбышев).</w:t>
      </w:r>
    </w:p>
    <w:p w14:paraId="12C81DF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Представленный комиссией т. Куйбышева проект постановления за исключением пункта 2</w:t>
      </w:r>
      <w:r w:rsidRPr="007122AB">
        <w:rPr>
          <w:rFonts w:ascii="Times New Roman" w:hAnsi="Times New Roman"/>
          <w:color w:val="000000" w:themeColor="text1"/>
          <w:sz w:val="16"/>
          <w:szCs w:val="16"/>
        </w:rPr>
        <w:noBreakHyphen/>
        <w:t xml:space="preserve">го (о программе </w:t>
      </w:r>
      <w:proofErr w:type="spellStart"/>
      <w:r w:rsidRPr="007122AB">
        <w:rPr>
          <w:rFonts w:ascii="Times New Roman" w:hAnsi="Times New Roman"/>
          <w:color w:val="000000" w:themeColor="text1"/>
          <w:sz w:val="16"/>
          <w:szCs w:val="16"/>
        </w:rPr>
        <w:t>моторо</w:t>
      </w:r>
      <w:proofErr w:type="spellEnd"/>
      <w:r w:rsidRPr="007122AB">
        <w:rPr>
          <w:rFonts w:ascii="Times New Roman" w:hAnsi="Times New Roman"/>
          <w:color w:val="000000" w:themeColor="text1"/>
          <w:sz w:val="16"/>
          <w:szCs w:val="16"/>
        </w:rPr>
        <w:t xml:space="preserve"> и самолетостроения) — утвердить.</w:t>
      </w:r>
    </w:p>
    <w:p w14:paraId="2231B21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комиссии под председательством т. Акулова в составе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Близниченко</w:t>
      </w:r>
      <w:proofErr w:type="spellEnd"/>
      <w:r w:rsidRPr="007122AB">
        <w:rPr>
          <w:rFonts w:ascii="Times New Roman" w:hAnsi="Times New Roman"/>
          <w:color w:val="000000" w:themeColor="text1"/>
          <w:sz w:val="16"/>
          <w:szCs w:val="16"/>
        </w:rPr>
        <w:t>, Мартиновича и Баранова, в 5</w:t>
      </w:r>
      <w:r w:rsidRPr="007122AB">
        <w:rPr>
          <w:rFonts w:ascii="Times New Roman" w:hAnsi="Times New Roman"/>
          <w:color w:val="000000" w:themeColor="text1"/>
          <w:sz w:val="16"/>
          <w:szCs w:val="16"/>
        </w:rPr>
        <w:noBreakHyphen/>
        <w:t xml:space="preserve">ти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рассмотреть программу моторо- и самолетостроения и распределение этой программы по кварталам.</w:t>
      </w:r>
    </w:p>
    <w:p w14:paraId="6789184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Не задерживая проведения в жизнь принятых решений о плане гражданского воздушного флота на 1931 год (п. “а” постановления) внести эти решения на утверждение ПБ.</w:t>
      </w:r>
    </w:p>
    <w:p w14:paraId="11746C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16.IV.1931 г.</w:t>
      </w:r>
    </w:p>
    <w:p w14:paraId="3A8293F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Совета Народных Комиссаров Союза СССР.</w:t>
      </w:r>
    </w:p>
    <w:p w14:paraId="3E7421F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w:t>
      </w:r>
    </w:p>
    <w:p w14:paraId="0848888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плане гражданского воздушного флота на 1931 г.</w:t>
      </w:r>
    </w:p>
    <w:p w14:paraId="61AB786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Союз ССР имеет в настоящее время полную возможность приступить к выполнению широкой программы </w:t>
      </w:r>
      <w:proofErr w:type="spellStart"/>
      <w:r w:rsidRPr="007122AB">
        <w:rPr>
          <w:rFonts w:ascii="Times New Roman" w:hAnsi="Times New Roman"/>
          <w:color w:val="000000" w:themeColor="text1"/>
          <w:sz w:val="16"/>
          <w:szCs w:val="16"/>
        </w:rPr>
        <w:t>аэрофикации</w:t>
      </w:r>
      <w:proofErr w:type="spellEnd"/>
      <w:r w:rsidRPr="007122AB">
        <w:rPr>
          <w:rFonts w:ascii="Times New Roman" w:hAnsi="Times New Roman"/>
          <w:color w:val="000000" w:themeColor="text1"/>
          <w:sz w:val="16"/>
          <w:szCs w:val="16"/>
        </w:rPr>
        <w:t>, долженствующей содействовать ускорению темпов строительства социализма, экономии энергии при передвижении и усилению живой, почтовой и грузовой связи в СССР, обеспечивая одновременно повышение эффективности строительства в ряде важнейших областей народного хозяйства (картография, землеустройство, лесоустройство, борьба с вредителями сельского, лесного, садового и огородного хозяйства, применение авиации на службе связи и наблюдения в крупнейших сельских и лесных хозяйствах социалистического сектора, а также в рыболовстве, зверобойном промысле и в экспедициях).</w:t>
      </w:r>
    </w:p>
    <w:p w14:paraId="0A3769A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Рассматривая 1931 год, как первый год широкого развертывания авиационного и воздухоплавательного строительства в СССР, Совет Народных Комиссаров Союза ССР постановляет:</w:t>
      </w:r>
    </w:p>
    <w:p w14:paraId="0ADC074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Утвердить открытие в 1931 г. сети новых воздушных путей сообщения, согласно прилагаемому титульному списку (см. приложение № 1), в объеме 10.970 км, а за счет местных средств 3.549 км, что составит вместе с действующей на 1 января 1931 года сетью в 26.487 км сеть воздушных путей СССР 37.457 км, а с линиями, организуемыми за счет местных средств — 41.006 км.</w:t>
      </w:r>
    </w:p>
    <w:p w14:paraId="360FF4B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Утвердить план снабжения гражданского воздушного флота СССР самолетами и моторами советского производства ВАО 1931 г. в количестве 907 самолетов и 1.429 моторов с запчастями к ним (см. приложение № 2).</w:t>
      </w:r>
    </w:p>
    <w:p w14:paraId="1D2B62E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ВСНХ СССР расширить в 1931 г. производство запасных частей к самолетам и моторам для гражданского воздушного флота, войдя по этому вопросу со специальным докладом в Совет Труда и Обороны не позднее 15</w:t>
      </w:r>
      <w:r w:rsidRPr="007122AB">
        <w:rPr>
          <w:rFonts w:ascii="Times New Roman" w:hAnsi="Times New Roman"/>
          <w:color w:val="000000" w:themeColor="text1"/>
          <w:sz w:val="16"/>
          <w:szCs w:val="16"/>
        </w:rPr>
        <w:noBreakHyphen/>
        <w:t>го мая 1931 года.</w:t>
      </w:r>
    </w:p>
    <w:p w14:paraId="247EE72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Утвердить план строительства земного оборудования на 1931 год в объеме, обеспечивающем нормальные условия работы, существующих и вновь открываемых линий воздушного сообщения, в том числе:</w:t>
      </w:r>
    </w:p>
    <w:p w14:paraId="3376A0D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аэровокзалов .... 2, в т. ч. достройка — 1</w:t>
      </w:r>
    </w:p>
    <w:p w14:paraId="6904C0C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ангаров ........ 21, в т. ч. достройка - 3</w:t>
      </w:r>
    </w:p>
    <w:p w14:paraId="766565D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аэродромов ..... 55, в т. ч. достройка -12</w:t>
      </w:r>
    </w:p>
    <w:p w14:paraId="2B01D6F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мастерских ..... 11, в т. ч. достройка - 2</w:t>
      </w:r>
    </w:p>
    <w:p w14:paraId="00A1333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Поручить Госплану СССР с привлечением ВАО, ВОГВФ и Управления Военных Воздушных сил проработать не позднее 1</w:t>
      </w:r>
      <w:r w:rsidRPr="007122AB">
        <w:rPr>
          <w:rFonts w:ascii="Times New Roman" w:hAnsi="Times New Roman"/>
          <w:color w:val="000000" w:themeColor="text1"/>
          <w:sz w:val="16"/>
          <w:szCs w:val="16"/>
        </w:rPr>
        <w:noBreakHyphen/>
        <w:t>го июня с. г. синтетический план на 1931 год и последующие годы единой ремонтной снабженческой системы для воздушного флота СССР, а также план единой системы снабжения горюче-смазочными материалами.</w:t>
      </w:r>
    </w:p>
    <w:p w14:paraId="4336FBF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Поручить Госплану предусмотреть в контрольных цифрах гражданской авиации 1932 года мероприятия по свето-радио- и метео- оборудованию воздушных линий, полностью обеспечивающие интересы воздушного флота.</w:t>
      </w:r>
    </w:p>
    <w:p w14:paraId="2F6CAF3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План школьного строительства гражданского воздушного флота на 1931 г. утвердить на контингент 1931 г. 13.055 чел. (см. приложение № 3). Кроме того, предложить ВСНХ СССР, </w:t>
      </w:r>
      <w:proofErr w:type="spellStart"/>
      <w:r w:rsidRPr="007122AB">
        <w:rPr>
          <w:rFonts w:ascii="Times New Roman" w:hAnsi="Times New Roman"/>
          <w:color w:val="000000" w:themeColor="text1"/>
          <w:sz w:val="16"/>
          <w:szCs w:val="16"/>
        </w:rPr>
        <w:t>НКПиТ</w:t>
      </w:r>
      <w:proofErr w:type="spellEnd"/>
      <w:r w:rsidRPr="007122AB">
        <w:rPr>
          <w:rFonts w:ascii="Times New Roman" w:hAnsi="Times New Roman"/>
          <w:color w:val="000000" w:themeColor="text1"/>
          <w:sz w:val="16"/>
          <w:szCs w:val="16"/>
        </w:rPr>
        <w:t>, НКПС разместить в своих втузах и техникумах контингент 528 инженеров и 950 техников. Одобрить план обучения в школах Осоавиахима в 1931 г. 2.000 пилотов III класса и техников.</w:t>
      </w:r>
    </w:p>
    <w:p w14:paraId="778A7B5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Утвердить прилагаемый план работ по воздухоплаванию в общей сумме 7.400 руб. (см. приложение № 4).</w:t>
      </w:r>
    </w:p>
    <w:p w14:paraId="16A99DF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Утвердить производственно-эксплуатационный план ВОГВФ на 1931 г. в объеме определенного километража — 10.200.000 км., 130.000 кг почты, 31.000 пассажиров и 850.000 кг грузов.</w:t>
      </w:r>
    </w:p>
    <w:p w14:paraId="041D771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Утвердить объем капитальных вложений в гражданский воздушный флот в 1931 г. в размере 120.621 тыс. руб. по союзному бюджету и 19.400 тыс. </w:t>
      </w:r>
      <w:proofErr w:type="spellStart"/>
      <w:r w:rsidRPr="007122AB">
        <w:rPr>
          <w:rFonts w:ascii="Times New Roman" w:hAnsi="Times New Roman"/>
          <w:color w:val="000000" w:themeColor="text1"/>
          <w:sz w:val="16"/>
          <w:szCs w:val="16"/>
        </w:rPr>
        <w:t>руб</w:t>
      </w:r>
      <w:proofErr w:type="spellEnd"/>
      <w:r w:rsidRPr="007122AB">
        <w:rPr>
          <w:rFonts w:ascii="Times New Roman" w:hAnsi="Times New Roman"/>
          <w:color w:val="000000" w:themeColor="text1"/>
          <w:sz w:val="16"/>
          <w:szCs w:val="16"/>
        </w:rPr>
        <w:t>, по средствам советских хозяйственных и общественных организаций, всего на 140.021 тыс. руб. и финансирование оперативно-эксплуатационных расходов по союзному бюджету 4.000 тыс. руб. по линиям и на подготовку кадров 24.149 тыс. рублей.</w:t>
      </w:r>
    </w:p>
    <w:p w14:paraId="796E012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Поручить Госплану СССР не позднее 1</w:t>
      </w:r>
      <w:r w:rsidRPr="007122AB">
        <w:rPr>
          <w:rFonts w:ascii="Times New Roman" w:hAnsi="Times New Roman"/>
          <w:color w:val="000000" w:themeColor="text1"/>
          <w:sz w:val="16"/>
          <w:szCs w:val="16"/>
        </w:rPr>
        <w:noBreakHyphen/>
        <w:t>го мая пересмотреть нормы материального снабжения строительства и эксплуатации гражданского воздушного флота на 1931 год с тем, чтобы утвержденный производственно-финансовый план и план строительства мог быть полностью выполнен.</w:t>
      </w:r>
    </w:p>
    <w:p w14:paraId="0C2EE23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Поручить Госплану СССР рассмотреть не позднее 15</w:t>
      </w:r>
      <w:r w:rsidRPr="007122AB">
        <w:rPr>
          <w:rFonts w:ascii="Times New Roman" w:hAnsi="Times New Roman"/>
          <w:color w:val="000000" w:themeColor="text1"/>
          <w:sz w:val="16"/>
          <w:szCs w:val="16"/>
        </w:rPr>
        <w:noBreakHyphen/>
        <w:t>го мая план подготовки ВОГВФ к зимней кампании 1931/32 г. и представить в Совет Труда и Обороны проект постановления о необходимых мероприятиях.</w:t>
      </w:r>
    </w:p>
    <w:p w14:paraId="7DA89E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Поручить ВОГВФ вступить в переговоры с иностранными фирмами о привлечении технической помощи как в области эксплуатации воздушных линий, так и в области дирижаблестроения, а также командировать заграницу в 1931 г. лучших инженеров, техников и рабочих для изучения иностранных технических достижений.</w:t>
      </w:r>
    </w:p>
    <w:p w14:paraId="48E154B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Поручить ВСНХ СССР организовать не позднее 3</w:t>
      </w:r>
      <w:r w:rsidRPr="007122AB">
        <w:rPr>
          <w:rFonts w:ascii="Times New Roman" w:hAnsi="Times New Roman"/>
          <w:color w:val="000000" w:themeColor="text1"/>
          <w:sz w:val="16"/>
          <w:szCs w:val="16"/>
        </w:rPr>
        <w:noBreakHyphen/>
        <w:t>го квартала производство оборудования для освещения ночных воздушных линий с привлечением необходимой иностранной технической помощи.</w:t>
      </w:r>
    </w:p>
    <w:p w14:paraId="077B274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Разрешить ВОГВФ произвести выпуск обязательств для сбора средств от различных советских, общественных и хозяйственных организаций на организацию воздушных сообщений хозяйственного и местного значения.</w:t>
      </w:r>
    </w:p>
    <w:p w14:paraId="1A9E96E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Совету Труда и Обороны издать в месячный срок постановление, регулирующее размеры и сроки погашения этих обязательств.</w:t>
      </w:r>
    </w:p>
    <w:p w14:paraId="510EDF2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Приложения:</w:t>
      </w:r>
    </w:p>
    <w:p w14:paraId="429485F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Сеть новых воздушных путей сообщения, открываемых в 1931 году.</w:t>
      </w:r>
    </w:p>
    <w:p w14:paraId="56E4D6B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План снабжения гражданского воздушного флота </w:t>
      </w:r>
      <w:proofErr w:type="spellStart"/>
      <w:r w:rsidRPr="007122AB">
        <w:rPr>
          <w:rFonts w:ascii="Times New Roman" w:hAnsi="Times New Roman"/>
          <w:color w:val="000000" w:themeColor="text1"/>
          <w:sz w:val="16"/>
          <w:szCs w:val="16"/>
        </w:rPr>
        <w:t>самолето</w:t>
      </w:r>
      <w:proofErr w:type="spellEnd"/>
      <w:r w:rsidRPr="007122AB">
        <w:rPr>
          <w:rFonts w:ascii="Times New Roman" w:hAnsi="Times New Roman"/>
          <w:color w:val="000000" w:themeColor="text1"/>
          <w:sz w:val="16"/>
          <w:szCs w:val="16"/>
        </w:rPr>
        <w:t>-моторным парком.</w:t>
      </w:r>
    </w:p>
    <w:p w14:paraId="240DC68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Титульный перечень и контингент учащихся школ гражданского воздушного флота в 1931 году.</w:t>
      </w:r>
    </w:p>
    <w:p w14:paraId="3F851A2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работы по воздухоплаванию.</w:t>
      </w:r>
    </w:p>
    <w:p w14:paraId="70493B7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16.IV.1931 г.</w:t>
      </w:r>
    </w:p>
    <w:p w14:paraId="447AE9EB" w14:textId="77777777" w:rsidR="00C4563B" w:rsidRPr="007122AB" w:rsidRDefault="00C4563B"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w:t>
      </w:r>
    </w:p>
    <w:p w14:paraId="3A6CC44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1.</w:t>
      </w:r>
    </w:p>
    <w:p w14:paraId="79B36EF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Список воздушных линий ВОГВФ на 1931 год.</w:t>
      </w:r>
    </w:p>
    <w:tbl>
      <w:tblPr>
        <w:tblW w:w="5000" w:type="pct"/>
        <w:shd w:val="clear" w:color="auto" w:fill="F2EEE1"/>
        <w:tblCellMar>
          <w:left w:w="0" w:type="dxa"/>
          <w:right w:w="0" w:type="dxa"/>
        </w:tblCellMar>
        <w:tblLook w:val="04A0" w:firstRow="1" w:lastRow="0" w:firstColumn="1" w:lastColumn="0" w:noHBand="0" w:noVBand="1"/>
      </w:tblPr>
      <w:tblGrid>
        <w:gridCol w:w="3802"/>
        <w:gridCol w:w="765"/>
        <w:gridCol w:w="6006"/>
        <w:gridCol w:w="765"/>
      </w:tblGrid>
      <w:tr w:rsidR="001002C3" w:rsidRPr="007122AB" w14:paraId="0B33E0DA" w14:textId="77777777" w:rsidTr="001C3F77">
        <w:tc>
          <w:tcPr>
            <w:tcW w:w="0" w:type="auto"/>
            <w:gridSpan w:val="4"/>
            <w:shd w:val="clear" w:color="auto" w:fill="auto"/>
            <w:vAlign w:val="center"/>
            <w:hideMark/>
          </w:tcPr>
          <w:p w14:paraId="73B53EB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Московское управление</w:t>
            </w:r>
          </w:p>
        </w:tc>
      </w:tr>
      <w:tr w:rsidR="001002C3" w:rsidRPr="007122AB" w14:paraId="7C2FA885" w14:textId="77777777" w:rsidTr="001C3F77">
        <w:tc>
          <w:tcPr>
            <w:tcW w:w="0" w:type="auto"/>
            <w:shd w:val="clear" w:color="auto" w:fill="auto"/>
            <w:vAlign w:val="center"/>
            <w:hideMark/>
          </w:tcPr>
          <w:p w14:paraId="6045D41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71E6B92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B5A8AA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1B85EF0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25B60EFD" w14:textId="77777777" w:rsidTr="001C3F77">
        <w:tc>
          <w:tcPr>
            <w:tcW w:w="0" w:type="auto"/>
            <w:shd w:val="clear" w:color="auto" w:fill="auto"/>
            <w:vAlign w:val="center"/>
            <w:hideMark/>
          </w:tcPr>
          <w:p w14:paraId="4B60F35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Москва — Харьков</w:t>
            </w:r>
          </w:p>
        </w:tc>
        <w:tc>
          <w:tcPr>
            <w:tcW w:w="0" w:type="auto"/>
            <w:shd w:val="clear" w:color="auto" w:fill="auto"/>
            <w:vAlign w:val="center"/>
            <w:hideMark/>
          </w:tcPr>
          <w:p w14:paraId="6165637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0" w:type="auto"/>
            <w:shd w:val="clear" w:color="auto" w:fill="auto"/>
            <w:vAlign w:val="center"/>
            <w:hideMark/>
          </w:tcPr>
          <w:p w14:paraId="09A6CCC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 — Смоленск —Минск</w:t>
            </w:r>
          </w:p>
        </w:tc>
        <w:tc>
          <w:tcPr>
            <w:tcW w:w="0" w:type="auto"/>
            <w:shd w:val="clear" w:color="auto" w:fill="auto"/>
            <w:vAlign w:val="center"/>
            <w:hideMark/>
          </w:tcPr>
          <w:p w14:paraId="5F0A359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657</w:t>
            </w:r>
          </w:p>
        </w:tc>
      </w:tr>
      <w:tr w:rsidR="001002C3" w:rsidRPr="007122AB" w14:paraId="5D9CE551" w14:textId="77777777" w:rsidTr="001C3F77">
        <w:tc>
          <w:tcPr>
            <w:tcW w:w="0" w:type="auto"/>
            <w:shd w:val="clear" w:color="auto" w:fill="auto"/>
            <w:vAlign w:val="center"/>
            <w:hideMark/>
          </w:tcPr>
          <w:p w14:paraId="5469B76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Москва — Оренбург</w:t>
            </w:r>
          </w:p>
        </w:tc>
        <w:tc>
          <w:tcPr>
            <w:tcW w:w="0" w:type="auto"/>
            <w:shd w:val="clear" w:color="auto" w:fill="auto"/>
            <w:vAlign w:val="center"/>
            <w:hideMark/>
          </w:tcPr>
          <w:p w14:paraId="76AEE7A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1300</w:t>
            </w:r>
          </w:p>
        </w:tc>
        <w:tc>
          <w:tcPr>
            <w:tcW w:w="0" w:type="auto"/>
            <w:shd w:val="clear" w:color="auto" w:fill="auto"/>
            <w:vAlign w:val="center"/>
            <w:hideMark/>
          </w:tcPr>
          <w:p w14:paraId="2EF9D2B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 — Бобрик Донской</w:t>
            </w:r>
          </w:p>
        </w:tc>
        <w:tc>
          <w:tcPr>
            <w:tcW w:w="0" w:type="auto"/>
            <w:shd w:val="clear" w:color="auto" w:fill="auto"/>
            <w:vAlign w:val="center"/>
            <w:hideMark/>
          </w:tcPr>
          <w:p w14:paraId="4114FF8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r>
      <w:tr w:rsidR="001002C3" w:rsidRPr="007122AB" w14:paraId="7E3095D7" w14:textId="77777777" w:rsidTr="001C3F77">
        <w:tc>
          <w:tcPr>
            <w:tcW w:w="0" w:type="auto"/>
            <w:shd w:val="clear" w:color="auto" w:fill="auto"/>
            <w:vAlign w:val="center"/>
            <w:hideMark/>
          </w:tcPr>
          <w:p w14:paraId="6716427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Москва — Свердловск</w:t>
            </w:r>
          </w:p>
        </w:tc>
        <w:tc>
          <w:tcPr>
            <w:tcW w:w="0" w:type="auto"/>
            <w:shd w:val="clear" w:color="auto" w:fill="auto"/>
            <w:vAlign w:val="center"/>
            <w:hideMark/>
          </w:tcPr>
          <w:p w14:paraId="5C01D57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1485</w:t>
            </w:r>
          </w:p>
        </w:tc>
        <w:tc>
          <w:tcPr>
            <w:tcW w:w="0" w:type="auto"/>
            <w:shd w:val="clear" w:color="auto" w:fill="auto"/>
            <w:vAlign w:val="center"/>
            <w:hideMark/>
          </w:tcPr>
          <w:p w14:paraId="4D66C2B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 — Воронеж — Сталинград</w:t>
            </w:r>
          </w:p>
        </w:tc>
        <w:tc>
          <w:tcPr>
            <w:tcW w:w="0" w:type="auto"/>
            <w:shd w:val="clear" w:color="auto" w:fill="auto"/>
            <w:vAlign w:val="center"/>
            <w:hideMark/>
          </w:tcPr>
          <w:p w14:paraId="7A49D9A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945</w:t>
            </w:r>
          </w:p>
        </w:tc>
      </w:tr>
      <w:tr w:rsidR="001002C3" w:rsidRPr="007122AB" w14:paraId="5F161BCF" w14:textId="77777777" w:rsidTr="001C3F77">
        <w:tc>
          <w:tcPr>
            <w:tcW w:w="0" w:type="auto"/>
            <w:shd w:val="clear" w:color="auto" w:fill="auto"/>
            <w:vAlign w:val="center"/>
            <w:hideMark/>
          </w:tcPr>
          <w:p w14:paraId="28F14AC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Свердловск — Магнитогорск</w:t>
            </w:r>
          </w:p>
        </w:tc>
        <w:tc>
          <w:tcPr>
            <w:tcW w:w="0" w:type="auto"/>
            <w:shd w:val="clear" w:color="auto" w:fill="auto"/>
            <w:vAlign w:val="center"/>
            <w:hideMark/>
          </w:tcPr>
          <w:p w14:paraId="4BCE568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485</w:t>
            </w:r>
          </w:p>
        </w:tc>
        <w:tc>
          <w:tcPr>
            <w:tcW w:w="0" w:type="auto"/>
            <w:shd w:val="clear" w:color="auto" w:fill="auto"/>
            <w:vAlign w:val="center"/>
            <w:hideMark/>
          </w:tcPr>
          <w:p w14:paraId="45DA9FF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6F3854B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73D4C7D" w14:textId="77777777" w:rsidTr="001C3F77">
        <w:tc>
          <w:tcPr>
            <w:tcW w:w="0" w:type="auto"/>
            <w:shd w:val="clear" w:color="auto" w:fill="auto"/>
            <w:vAlign w:val="center"/>
            <w:hideMark/>
          </w:tcPr>
          <w:p w14:paraId="6E35CA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20B255A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3970</w:t>
            </w:r>
          </w:p>
        </w:tc>
        <w:tc>
          <w:tcPr>
            <w:tcW w:w="0" w:type="auto"/>
            <w:shd w:val="clear" w:color="auto" w:fill="auto"/>
            <w:vAlign w:val="center"/>
            <w:hideMark/>
          </w:tcPr>
          <w:p w14:paraId="748C6AE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49ED7F6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1702</w:t>
            </w:r>
          </w:p>
        </w:tc>
      </w:tr>
      <w:tr w:rsidR="001002C3" w:rsidRPr="007122AB" w14:paraId="7899E50D" w14:textId="77777777" w:rsidTr="001C3F77">
        <w:tc>
          <w:tcPr>
            <w:tcW w:w="0" w:type="auto"/>
            <w:gridSpan w:val="4"/>
            <w:shd w:val="clear" w:color="auto" w:fill="auto"/>
            <w:vAlign w:val="center"/>
            <w:hideMark/>
          </w:tcPr>
          <w:p w14:paraId="45AC287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Московскому Управлению — 4.827 км</w:t>
            </w:r>
          </w:p>
        </w:tc>
      </w:tr>
      <w:tr w:rsidR="001002C3" w:rsidRPr="007122AB" w14:paraId="4EE38A20" w14:textId="77777777" w:rsidTr="001C3F77">
        <w:tc>
          <w:tcPr>
            <w:tcW w:w="0" w:type="auto"/>
            <w:gridSpan w:val="4"/>
            <w:shd w:val="clear" w:color="auto" w:fill="auto"/>
            <w:vAlign w:val="center"/>
            <w:hideMark/>
          </w:tcPr>
          <w:p w14:paraId="42F512E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Ленинградский узел</w:t>
            </w:r>
          </w:p>
        </w:tc>
      </w:tr>
      <w:tr w:rsidR="001002C3" w:rsidRPr="007122AB" w14:paraId="45AEB754" w14:textId="77777777" w:rsidTr="001C3F77">
        <w:tc>
          <w:tcPr>
            <w:tcW w:w="0" w:type="auto"/>
            <w:shd w:val="clear" w:color="auto" w:fill="auto"/>
            <w:vAlign w:val="center"/>
            <w:hideMark/>
          </w:tcPr>
          <w:p w14:paraId="0A36D5C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74B3F93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76C056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4618EFA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CA9D075" w14:textId="77777777" w:rsidTr="001C3F77">
        <w:tc>
          <w:tcPr>
            <w:tcW w:w="0" w:type="auto"/>
            <w:shd w:val="clear" w:color="auto" w:fill="auto"/>
            <w:vAlign w:val="center"/>
            <w:hideMark/>
          </w:tcPr>
          <w:p w14:paraId="5ABBED4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68B905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632E477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Ленинград — Петрозаводск</w:t>
            </w:r>
          </w:p>
        </w:tc>
        <w:tc>
          <w:tcPr>
            <w:tcW w:w="0" w:type="auto"/>
            <w:shd w:val="clear" w:color="auto" w:fill="auto"/>
            <w:vAlign w:val="center"/>
            <w:hideMark/>
          </w:tcPr>
          <w:p w14:paraId="017911B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w:t>
            </w:r>
          </w:p>
        </w:tc>
      </w:tr>
      <w:tr w:rsidR="001002C3" w:rsidRPr="007122AB" w14:paraId="164DAECF" w14:textId="77777777" w:rsidTr="001C3F77">
        <w:tc>
          <w:tcPr>
            <w:tcW w:w="0" w:type="auto"/>
            <w:shd w:val="clear" w:color="auto" w:fill="auto"/>
            <w:vAlign w:val="center"/>
            <w:hideMark/>
          </w:tcPr>
          <w:p w14:paraId="39AEE1B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515D3D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16D345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457E38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w:t>
            </w:r>
          </w:p>
        </w:tc>
      </w:tr>
      <w:tr w:rsidR="001002C3" w:rsidRPr="007122AB" w14:paraId="248A4302" w14:textId="77777777" w:rsidTr="001C3F77">
        <w:tc>
          <w:tcPr>
            <w:tcW w:w="0" w:type="auto"/>
            <w:gridSpan w:val="4"/>
            <w:shd w:val="clear" w:color="auto" w:fill="auto"/>
            <w:vAlign w:val="center"/>
            <w:hideMark/>
          </w:tcPr>
          <w:p w14:paraId="3D37E64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Северное управление</w:t>
            </w:r>
          </w:p>
        </w:tc>
      </w:tr>
      <w:tr w:rsidR="001002C3" w:rsidRPr="007122AB" w14:paraId="1B02D5D8" w14:textId="77777777" w:rsidTr="001C3F77">
        <w:tc>
          <w:tcPr>
            <w:tcW w:w="0" w:type="auto"/>
            <w:shd w:val="clear" w:color="auto" w:fill="auto"/>
            <w:vAlign w:val="center"/>
            <w:hideMark/>
          </w:tcPr>
          <w:p w14:paraId="673957F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1DEFF64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19C78B9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1743B1A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1B6C5D2" w14:textId="77777777" w:rsidTr="001C3F77">
        <w:tc>
          <w:tcPr>
            <w:tcW w:w="0" w:type="auto"/>
            <w:shd w:val="clear" w:color="auto" w:fill="auto"/>
            <w:vAlign w:val="center"/>
            <w:hideMark/>
          </w:tcPr>
          <w:p w14:paraId="56D27D3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Архангельск — Сыктывкар</w:t>
            </w:r>
          </w:p>
        </w:tc>
        <w:tc>
          <w:tcPr>
            <w:tcW w:w="0" w:type="auto"/>
            <w:shd w:val="clear" w:color="auto" w:fill="auto"/>
            <w:vAlign w:val="center"/>
            <w:hideMark/>
          </w:tcPr>
          <w:p w14:paraId="641A4DD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0" w:type="auto"/>
            <w:shd w:val="clear" w:color="auto" w:fill="auto"/>
            <w:vAlign w:val="center"/>
            <w:hideMark/>
          </w:tcPr>
          <w:p w14:paraId="602A21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Архангельск — Онега</w:t>
            </w:r>
          </w:p>
        </w:tc>
        <w:tc>
          <w:tcPr>
            <w:tcW w:w="0" w:type="auto"/>
            <w:shd w:val="clear" w:color="auto" w:fill="auto"/>
            <w:vAlign w:val="center"/>
            <w:hideMark/>
          </w:tcPr>
          <w:p w14:paraId="4B6376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r>
      <w:tr w:rsidR="001002C3" w:rsidRPr="007122AB" w14:paraId="3FA691F9" w14:textId="77777777" w:rsidTr="001C3F77">
        <w:tc>
          <w:tcPr>
            <w:tcW w:w="0" w:type="auto"/>
            <w:shd w:val="clear" w:color="auto" w:fill="auto"/>
            <w:vAlign w:val="center"/>
            <w:hideMark/>
          </w:tcPr>
          <w:p w14:paraId="1BCFE53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1199B70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0" w:type="auto"/>
            <w:shd w:val="clear" w:color="auto" w:fill="auto"/>
            <w:vAlign w:val="center"/>
            <w:hideMark/>
          </w:tcPr>
          <w:p w14:paraId="510FD3B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673A38E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r>
      <w:tr w:rsidR="001002C3" w:rsidRPr="007122AB" w14:paraId="0E150ACC" w14:textId="77777777" w:rsidTr="001C3F77">
        <w:tc>
          <w:tcPr>
            <w:tcW w:w="0" w:type="auto"/>
            <w:gridSpan w:val="4"/>
            <w:shd w:val="clear" w:color="auto" w:fill="auto"/>
            <w:vAlign w:val="center"/>
            <w:hideMark/>
          </w:tcPr>
          <w:p w14:paraId="743AC7E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Северному управлению — 1.140 км</w:t>
            </w:r>
          </w:p>
        </w:tc>
      </w:tr>
      <w:tr w:rsidR="001002C3" w:rsidRPr="007122AB" w14:paraId="73117663" w14:textId="77777777" w:rsidTr="001C3F77">
        <w:tc>
          <w:tcPr>
            <w:tcW w:w="0" w:type="auto"/>
            <w:gridSpan w:val="4"/>
            <w:shd w:val="clear" w:color="auto" w:fill="auto"/>
            <w:vAlign w:val="center"/>
            <w:hideMark/>
          </w:tcPr>
          <w:p w14:paraId="584BE80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Среднеазиатское управление</w:t>
            </w:r>
          </w:p>
        </w:tc>
      </w:tr>
      <w:tr w:rsidR="001002C3" w:rsidRPr="007122AB" w14:paraId="2463C0EB" w14:textId="77777777" w:rsidTr="001C3F77">
        <w:tc>
          <w:tcPr>
            <w:tcW w:w="0" w:type="auto"/>
            <w:shd w:val="clear" w:color="auto" w:fill="auto"/>
            <w:vAlign w:val="center"/>
            <w:hideMark/>
          </w:tcPr>
          <w:p w14:paraId="7FF79AF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5901D2D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601A65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78565E1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07B4E02D" w14:textId="77777777" w:rsidTr="001C3F77">
        <w:tc>
          <w:tcPr>
            <w:tcW w:w="0" w:type="auto"/>
            <w:shd w:val="clear" w:color="auto" w:fill="auto"/>
            <w:vAlign w:val="center"/>
            <w:hideMark/>
          </w:tcPr>
          <w:p w14:paraId="21ECABE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Оренбург — Ташкент</w:t>
            </w:r>
          </w:p>
        </w:tc>
        <w:tc>
          <w:tcPr>
            <w:tcW w:w="0" w:type="auto"/>
            <w:shd w:val="clear" w:color="auto" w:fill="auto"/>
            <w:vAlign w:val="center"/>
            <w:hideMark/>
          </w:tcPr>
          <w:p w14:paraId="0F8B56B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1700</w:t>
            </w:r>
          </w:p>
        </w:tc>
        <w:tc>
          <w:tcPr>
            <w:tcW w:w="0" w:type="auto"/>
            <w:shd w:val="clear" w:color="auto" w:fill="auto"/>
            <w:vAlign w:val="center"/>
            <w:hideMark/>
          </w:tcPr>
          <w:p w14:paraId="6F89B0B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104D7CA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6034D2E" w14:textId="77777777" w:rsidTr="001C3F77">
        <w:tc>
          <w:tcPr>
            <w:tcW w:w="0" w:type="auto"/>
            <w:shd w:val="clear" w:color="auto" w:fill="auto"/>
            <w:vAlign w:val="center"/>
            <w:hideMark/>
          </w:tcPr>
          <w:p w14:paraId="4108E45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Ташкент — Сталинабад</w:t>
            </w:r>
          </w:p>
        </w:tc>
        <w:tc>
          <w:tcPr>
            <w:tcW w:w="0" w:type="auto"/>
            <w:shd w:val="clear" w:color="auto" w:fill="auto"/>
            <w:vAlign w:val="center"/>
            <w:hideMark/>
          </w:tcPr>
          <w:p w14:paraId="0D2C5D6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963</w:t>
            </w:r>
          </w:p>
        </w:tc>
        <w:tc>
          <w:tcPr>
            <w:tcW w:w="0" w:type="auto"/>
            <w:shd w:val="clear" w:color="auto" w:fill="auto"/>
            <w:vAlign w:val="center"/>
            <w:hideMark/>
          </w:tcPr>
          <w:p w14:paraId="7A073D8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2D08E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F4FCB49" w14:textId="77777777" w:rsidTr="001C3F77">
        <w:tc>
          <w:tcPr>
            <w:tcW w:w="0" w:type="auto"/>
            <w:shd w:val="clear" w:color="auto" w:fill="auto"/>
            <w:vAlign w:val="center"/>
            <w:hideMark/>
          </w:tcPr>
          <w:p w14:paraId="17B4971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Ташкент — Кабул</w:t>
            </w:r>
          </w:p>
        </w:tc>
        <w:tc>
          <w:tcPr>
            <w:tcW w:w="0" w:type="auto"/>
            <w:shd w:val="clear" w:color="auto" w:fill="auto"/>
            <w:vAlign w:val="center"/>
            <w:hideMark/>
          </w:tcPr>
          <w:p w14:paraId="0615DCE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387</w:t>
            </w:r>
          </w:p>
        </w:tc>
        <w:tc>
          <w:tcPr>
            <w:tcW w:w="0" w:type="auto"/>
            <w:shd w:val="clear" w:color="auto" w:fill="auto"/>
            <w:vAlign w:val="center"/>
            <w:hideMark/>
          </w:tcPr>
          <w:p w14:paraId="0FC8213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BAF4DF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0C9669B" w14:textId="77777777" w:rsidTr="001C3F77">
        <w:tc>
          <w:tcPr>
            <w:tcW w:w="0" w:type="auto"/>
            <w:shd w:val="clear" w:color="auto" w:fill="auto"/>
            <w:vAlign w:val="center"/>
            <w:hideMark/>
          </w:tcPr>
          <w:p w14:paraId="13368A5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Ташкент — Фрунзе</w:t>
            </w:r>
          </w:p>
        </w:tc>
        <w:tc>
          <w:tcPr>
            <w:tcW w:w="0" w:type="auto"/>
            <w:shd w:val="clear" w:color="auto" w:fill="auto"/>
            <w:vAlign w:val="center"/>
            <w:hideMark/>
          </w:tcPr>
          <w:p w14:paraId="2E65BE6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540</w:t>
            </w:r>
          </w:p>
        </w:tc>
        <w:tc>
          <w:tcPr>
            <w:tcW w:w="0" w:type="auto"/>
            <w:shd w:val="clear" w:color="auto" w:fill="auto"/>
            <w:vAlign w:val="center"/>
            <w:hideMark/>
          </w:tcPr>
          <w:p w14:paraId="1046B2B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341DD0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FEF971B" w14:textId="77777777" w:rsidTr="001C3F77">
        <w:tc>
          <w:tcPr>
            <w:tcW w:w="0" w:type="auto"/>
            <w:shd w:val="clear" w:color="auto" w:fill="auto"/>
            <w:vAlign w:val="center"/>
            <w:hideMark/>
          </w:tcPr>
          <w:p w14:paraId="197214F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Ташкент — Андижан — Ош</w:t>
            </w:r>
          </w:p>
        </w:tc>
        <w:tc>
          <w:tcPr>
            <w:tcW w:w="0" w:type="auto"/>
            <w:shd w:val="clear" w:color="auto" w:fill="auto"/>
            <w:vAlign w:val="center"/>
            <w:hideMark/>
          </w:tcPr>
          <w:p w14:paraId="489B0B3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448</w:t>
            </w:r>
          </w:p>
        </w:tc>
        <w:tc>
          <w:tcPr>
            <w:tcW w:w="0" w:type="auto"/>
            <w:shd w:val="clear" w:color="auto" w:fill="auto"/>
            <w:vAlign w:val="center"/>
            <w:hideMark/>
          </w:tcPr>
          <w:p w14:paraId="7F0B163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67616F1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1F2D466" w14:textId="77777777" w:rsidTr="001C3F77">
        <w:tc>
          <w:tcPr>
            <w:tcW w:w="0" w:type="auto"/>
            <w:shd w:val="clear" w:color="auto" w:fill="auto"/>
            <w:vAlign w:val="center"/>
            <w:hideMark/>
          </w:tcPr>
          <w:p w14:paraId="4584A0C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Ташкент — </w:t>
            </w:r>
            <w:proofErr w:type="spellStart"/>
            <w:r w:rsidRPr="007122AB">
              <w:rPr>
                <w:rFonts w:ascii="Times New Roman" w:hAnsi="Times New Roman"/>
                <w:color w:val="000000" w:themeColor="text1"/>
                <w:sz w:val="16"/>
                <w:szCs w:val="16"/>
              </w:rPr>
              <w:t>Чарджуй</w:t>
            </w:r>
            <w:proofErr w:type="spellEnd"/>
          </w:p>
        </w:tc>
        <w:tc>
          <w:tcPr>
            <w:tcW w:w="0" w:type="auto"/>
            <w:shd w:val="clear" w:color="auto" w:fill="auto"/>
            <w:vAlign w:val="center"/>
            <w:hideMark/>
          </w:tcPr>
          <w:p w14:paraId="0C19C8F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630</w:t>
            </w:r>
          </w:p>
        </w:tc>
        <w:tc>
          <w:tcPr>
            <w:tcW w:w="0" w:type="auto"/>
            <w:shd w:val="clear" w:color="auto" w:fill="auto"/>
            <w:vAlign w:val="center"/>
            <w:hideMark/>
          </w:tcPr>
          <w:p w14:paraId="543E91A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F6788A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1502E6C" w14:textId="77777777" w:rsidTr="001C3F77">
        <w:tc>
          <w:tcPr>
            <w:tcW w:w="0" w:type="auto"/>
            <w:shd w:val="clear" w:color="auto" w:fill="auto"/>
            <w:vAlign w:val="center"/>
            <w:hideMark/>
          </w:tcPr>
          <w:p w14:paraId="1BCB239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Сталинабад — Куляб</w:t>
            </w:r>
          </w:p>
        </w:tc>
        <w:tc>
          <w:tcPr>
            <w:tcW w:w="0" w:type="auto"/>
            <w:shd w:val="clear" w:color="auto" w:fill="auto"/>
            <w:vAlign w:val="center"/>
            <w:hideMark/>
          </w:tcPr>
          <w:p w14:paraId="5B21768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tc>
        <w:tc>
          <w:tcPr>
            <w:tcW w:w="0" w:type="auto"/>
            <w:shd w:val="clear" w:color="auto" w:fill="auto"/>
            <w:vAlign w:val="center"/>
            <w:hideMark/>
          </w:tcPr>
          <w:p w14:paraId="2DCDF47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51291D2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78816F55" w14:textId="77777777" w:rsidTr="001C3F77">
        <w:tc>
          <w:tcPr>
            <w:tcW w:w="0" w:type="auto"/>
            <w:shd w:val="clear" w:color="auto" w:fill="auto"/>
            <w:vAlign w:val="center"/>
            <w:hideMark/>
          </w:tcPr>
          <w:p w14:paraId="6C11A31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Сталинабад — Гарм</w:t>
            </w:r>
          </w:p>
        </w:tc>
        <w:tc>
          <w:tcPr>
            <w:tcW w:w="0" w:type="auto"/>
            <w:shd w:val="clear" w:color="auto" w:fill="auto"/>
            <w:vAlign w:val="center"/>
            <w:hideMark/>
          </w:tcPr>
          <w:p w14:paraId="7BABDD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w:t>
            </w:r>
          </w:p>
        </w:tc>
        <w:tc>
          <w:tcPr>
            <w:tcW w:w="0" w:type="auto"/>
            <w:shd w:val="clear" w:color="auto" w:fill="auto"/>
            <w:vAlign w:val="center"/>
            <w:hideMark/>
          </w:tcPr>
          <w:p w14:paraId="0B6950A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6247D34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57CB8E8" w14:textId="77777777" w:rsidTr="001C3F77">
        <w:tc>
          <w:tcPr>
            <w:tcW w:w="0" w:type="auto"/>
            <w:shd w:val="clear" w:color="auto" w:fill="auto"/>
            <w:vAlign w:val="center"/>
            <w:hideMark/>
          </w:tcPr>
          <w:p w14:paraId="18990B9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Сталинабад — Хорог</w:t>
            </w:r>
          </w:p>
        </w:tc>
        <w:tc>
          <w:tcPr>
            <w:tcW w:w="0" w:type="auto"/>
            <w:shd w:val="clear" w:color="auto" w:fill="auto"/>
            <w:vAlign w:val="center"/>
            <w:hideMark/>
          </w:tcPr>
          <w:p w14:paraId="425E4F2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330</w:t>
            </w:r>
          </w:p>
        </w:tc>
        <w:tc>
          <w:tcPr>
            <w:tcW w:w="0" w:type="auto"/>
            <w:shd w:val="clear" w:color="auto" w:fill="auto"/>
            <w:vAlign w:val="center"/>
            <w:hideMark/>
          </w:tcPr>
          <w:p w14:paraId="370EBCC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4B6D91B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0EA8013" w14:textId="77777777" w:rsidTr="001C3F77">
        <w:tc>
          <w:tcPr>
            <w:tcW w:w="0" w:type="auto"/>
            <w:shd w:val="clear" w:color="auto" w:fill="auto"/>
            <w:vAlign w:val="center"/>
            <w:hideMark/>
          </w:tcPr>
          <w:p w14:paraId="5CCE6D6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w:t>
            </w:r>
            <w:proofErr w:type="spellStart"/>
            <w:r w:rsidRPr="007122AB">
              <w:rPr>
                <w:rFonts w:ascii="Times New Roman" w:hAnsi="Times New Roman"/>
                <w:color w:val="000000" w:themeColor="text1"/>
                <w:sz w:val="16"/>
                <w:szCs w:val="16"/>
              </w:rPr>
              <w:t>Чарджуй</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Ташаус</w:t>
            </w:r>
            <w:proofErr w:type="spellEnd"/>
          </w:p>
        </w:tc>
        <w:tc>
          <w:tcPr>
            <w:tcW w:w="0" w:type="auto"/>
            <w:shd w:val="clear" w:color="auto" w:fill="auto"/>
            <w:vAlign w:val="center"/>
            <w:hideMark/>
          </w:tcPr>
          <w:p w14:paraId="7648E3E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469</w:t>
            </w:r>
          </w:p>
        </w:tc>
        <w:tc>
          <w:tcPr>
            <w:tcW w:w="0" w:type="auto"/>
            <w:shd w:val="clear" w:color="auto" w:fill="auto"/>
            <w:vAlign w:val="center"/>
            <w:hideMark/>
          </w:tcPr>
          <w:p w14:paraId="655D32E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43766AC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22182D1" w14:textId="77777777" w:rsidTr="001C3F77">
        <w:tc>
          <w:tcPr>
            <w:tcW w:w="0" w:type="auto"/>
            <w:shd w:val="clear" w:color="auto" w:fill="auto"/>
            <w:vAlign w:val="center"/>
            <w:hideMark/>
          </w:tcPr>
          <w:p w14:paraId="2F402C7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w:t>
            </w:r>
            <w:proofErr w:type="spellStart"/>
            <w:r w:rsidRPr="007122AB">
              <w:rPr>
                <w:rFonts w:ascii="Times New Roman" w:hAnsi="Times New Roman"/>
                <w:color w:val="000000" w:themeColor="text1"/>
                <w:sz w:val="16"/>
                <w:szCs w:val="16"/>
              </w:rPr>
              <w:t>Чарджуй</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Турт</w:t>
            </w:r>
            <w:proofErr w:type="spellEnd"/>
            <w:r w:rsidRPr="007122AB">
              <w:rPr>
                <w:rFonts w:ascii="Times New Roman" w:hAnsi="Times New Roman"/>
                <w:color w:val="000000" w:themeColor="text1"/>
                <w:sz w:val="16"/>
                <w:szCs w:val="16"/>
              </w:rPr>
              <w:t>-Куль</w:t>
            </w:r>
          </w:p>
        </w:tc>
        <w:tc>
          <w:tcPr>
            <w:tcW w:w="0" w:type="auto"/>
            <w:shd w:val="clear" w:color="auto" w:fill="auto"/>
            <w:vAlign w:val="center"/>
            <w:hideMark/>
          </w:tcPr>
          <w:p w14:paraId="4BF5FF8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w:t>
            </w:r>
          </w:p>
        </w:tc>
        <w:tc>
          <w:tcPr>
            <w:tcW w:w="0" w:type="auto"/>
            <w:shd w:val="clear" w:color="auto" w:fill="auto"/>
            <w:vAlign w:val="center"/>
            <w:hideMark/>
          </w:tcPr>
          <w:p w14:paraId="3759EB3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FA2584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2522D384" w14:textId="77777777" w:rsidTr="001C3F77">
        <w:tc>
          <w:tcPr>
            <w:tcW w:w="0" w:type="auto"/>
            <w:shd w:val="clear" w:color="auto" w:fill="auto"/>
            <w:vAlign w:val="center"/>
            <w:hideMark/>
          </w:tcPr>
          <w:p w14:paraId="3AA482C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54394FD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5891</w:t>
            </w:r>
          </w:p>
        </w:tc>
        <w:tc>
          <w:tcPr>
            <w:tcW w:w="0" w:type="auto"/>
            <w:shd w:val="clear" w:color="auto" w:fill="auto"/>
            <w:vAlign w:val="center"/>
            <w:hideMark/>
          </w:tcPr>
          <w:p w14:paraId="35B83B7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7CD96E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7C873E8" w14:textId="77777777" w:rsidTr="001C3F77">
        <w:tc>
          <w:tcPr>
            <w:tcW w:w="0" w:type="auto"/>
            <w:gridSpan w:val="4"/>
            <w:shd w:val="clear" w:color="auto" w:fill="auto"/>
            <w:vAlign w:val="center"/>
            <w:hideMark/>
          </w:tcPr>
          <w:p w14:paraId="4419406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Среднеазиатскому управлению — 5891 км</w:t>
            </w:r>
          </w:p>
        </w:tc>
      </w:tr>
      <w:tr w:rsidR="001002C3" w:rsidRPr="007122AB" w14:paraId="7D7828DA" w14:textId="77777777" w:rsidTr="001C3F77">
        <w:tc>
          <w:tcPr>
            <w:tcW w:w="0" w:type="auto"/>
            <w:gridSpan w:val="4"/>
            <w:shd w:val="clear" w:color="auto" w:fill="auto"/>
            <w:vAlign w:val="center"/>
            <w:hideMark/>
          </w:tcPr>
          <w:p w14:paraId="00133F8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Казахское управление</w:t>
            </w:r>
          </w:p>
        </w:tc>
      </w:tr>
      <w:tr w:rsidR="001002C3" w:rsidRPr="007122AB" w14:paraId="2DD89FD8" w14:textId="77777777" w:rsidTr="001C3F77">
        <w:tc>
          <w:tcPr>
            <w:tcW w:w="0" w:type="auto"/>
            <w:shd w:val="clear" w:color="auto" w:fill="auto"/>
            <w:vAlign w:val="center"/>
            <w:hideMark/>
          </w:tcPr>
          <w:p w14:paraId="05C430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5276352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1BE10B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2373D5A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5F31DB7" w14:textId="77777777" w:rsidTr="001C3F77">
        <w:tc>
          <w:tcPr>
            <w:tcW w:w="0" w:type="auto"/>
            <w:shd w:val="clear" w:color="auto" w:fill="auto"/>
            <w:vAlign w:val="center"/>
            <w:hideMark/>
          </w:tcPr>
          <w:p w14:paraId="6A78E71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Алма-Ата — Семипалатинск</w:t>
            </w:r>
          </w:p>
        </w:tc>
        <w:tc>
          <w:tcPr>
            <w:tcW w:w="0" w:type="auto"/>
            <w:shd w:val="clear" w:color="auto" w:fill="auto"/>
            <w:vAlign w:val="center"/>
            <w:hideMark/>
          </w:tcPr>
          <w:p w14:paraId="3B45BA4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1100</w:t>
            </w:r>
          </w:p>
        </w:tc>
        <w:tc>
          <w:tcPr>
            <w:tcW w:w="0" w:type="auto"/>
            <w:shd w:val="clear" w:color="auto" w:fill="auto"/>
            <w:vAlign w:val="center"/>
            <w:hideMark/>
          </w:tcPr>
          <w:p w14:paraId="7D08826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Семипалатинск — Риддер</w:t>
            </w:r>
          </w:p>
        </w:tc>
        <w:tc>
          <w:tcPr>
            <w:tcW w:w="0" w:type="auto"/>
            <w:shd w:val="clear" w:color="auto" w:fill="auto"/>
            <w:vAlign w:val="center"/>
            <w:hideMark/>
          </w:tcPr>
          <w:p w14:paraId="4A80456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E07CFB4" w14:textId="77777777" w:rsidTr="001C3F77">
        <w:tc>
          <w:tcPr>
            <w:tcW w:w="0" w:type="auto"/>
            <w:shd w:val="clear" w:color="auto" w:fill="auto"/>
            <w:vAlign w:val="center"/>
            <w:hideMark/>
          </w:tcPr>
          <w:p w14:paraId="4AC7D02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Алма-Ата — </w:t>
            </w:r>
            <w:proofErr w:type="spellStart"/>
            <w:r w:rsidRPr="007122AB">
              <w:rPr>
                <w:rFonts w:ascii="Times New Roman" w:hAnsi="Times New Roman"/>
                <w:color w:val="000000" w:themeColor="text1"/>
                <w:sz w:val="16"/>
                <w:szCs w:val="16"/>
              </w:rPr>
              <w:t>Джаркент</w:t>
            </w:r>
            <w:proofErr w:type="spellEnd"/>
          </w:p>
        </w:tc>
        <w:tc>
          <w:tcPr>
            <w:tcW w:w="0" w:type="auto"/>
            <w:shd w:val="clear" w:color="auto" w:fill="auto"/>
            <w:vAlign w:val="center"/>
            <w:hideMark/>
          </w:tcPr>
          <w:p w14:paraId="6E88ED0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0" w:type="auto"/>
            <w:shd w:val="clear" w:color="auto" w:fill="auto"/>
            <w:vAlign w:val="center"/>
            <w:hideMark/>
          </w:tcPr>
          <w:p w14:paraId="15FA6B0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Караганда — </w:t>
            </w:r>
            <w:proofErr w:type="spellStart"/>
            <w:r w:rsidRPr="007122AB">
              <w:rPr>
                <w:rFonts w:ascii="Times New Roman" w:hAnsi="Times New Roman"/>
                <w:color w:val="000000" w:themeColor="text1"/>
                <w:sz w:val="16"/>
                <w:szCs w:val="16"/>
              </w:rPr>
              <w:t>Коунрад</w:t>
            </w:r>
            <w:proofErr w:type="spellEnd"/>
          </w:p>
        </w:tc>
        <w:tc>
          <w:tcPr>
            <w:tcW w:w="0" w:type="auto"/>
            <w:shd w:val="clear" w:color="auto" w:fill="auto"/>
            <w:vAlign w:val="center"/>
            <w:hideMark/>
          </w:tcPr>
          <w:p w14:paraId="42E9CA6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073F08F3" w14:textId="77777777" w:rsidTr="001C3F77">
        <w:tc>
          <w:tcPr>
            <w:tcW w:w="0" w:type="auto"/>
            <w:shd w:val="clear" w:color="auto" w:fill="auto"/>
            <w:vAlign w:val="center"/>
            <w:hideMark/>
          </w:tcPr>
          <w:p w14:paraId="2CB7FBE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Фрунзе — Алма-Ата</w:t>
            </w:r>
          </w:p>
        </w:tc>
        <w:tc>
          <w:tcPr>
            <w:tcW w:w="0" w:type="auto"/>
            <w:shd w:val="clear" w:color="auto" w:fill="auto"/>
            <w:vAlign w:val="center"/>
            <w:hideMark/>
          </w:tcPr>
          <w:p w14:paraId="294728F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273</w:t>
            </w:r>
          </w:p>
        </w:tc>
        <w:tc>
          <w:tcPr>
            <w:tcW w:w="0" w:type="auto"/>
            <w:shd w:val="clear" w:color="auto" w:fill="auto"/>
            <w:vAlign w:val="center"/>
            <w:hideMark/>
          </w:tcPr>
          <w:p w14:paraId="29FAEB4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1A2136C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06FEED9F" w14:textId="77777777" w:rsidTr="001C3F77">
        <w:tc>
          <w:tcPr>
            <w:tcW w:w="0" w:type="auto"/>
            <w:shd w:val="clear" w:color="auto" w:fill="auto"/>
            <w:vAlign w:val="center"/>
            <w:hideMark/>
          </w:tcPr>
          <w:p w14:paraId="1846FC8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w:t>
            </w:r>
            <w:proofErr w:type="spellStart"/>
            <w:r w:rsidRPr="007122AB">
              <w:rPr>
                <w:rFonts w:ascii="Times New Roman" w:hAnsi="Times New Roman"/>
                <w:color w:val="000000" w:themeColor="text1"/>
                <w:sz w:val="16"/>
                <w:szCs w:val="16"/>
              </w:rPr>
              <w:t>Сергиополь</w:t>
            </w:r>
            <w:proofErr w:type="spellEnd"/>
            <w:r w:rsidRPr="007122AB">
              <w:rPr>
                <w:rFonts w:ascii="Times New Roman" w:hAnsi="Times New Roman"/>
                <w:color w:val="000000" w:themeColor="text1"/>
                <w:sz w:val="16"/>
                <w:szCs w:val="16"/>
              </w:rPr>
              <w:t> — Кустанай</w:t>
            </w:r>
          </w:p>
        </w:tc>
        <w:tc>
          <w:tcPr>
            <w:tcW w:w="0" w:type="auto"/>
            <w:shd w:val="clear" w:color="auto" w:fill="auto"/>
            <w:vAlign w:val="center"/>
            <w:hideMark/>
          </w:tcPr>
          <w:p w14:paraId="7652FEB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1400</w:t>
            </w:r>
          </w:p>
        </w:tc>
        <w:tc>
          <w:tcPr>
            <w:tcW w:w="0" w:type="auto"/>
            <w:shd w:val="clear" w:color="auto" w:fill="auto"/>
            <w:vAlign w:val="center"/>
            <w:hideMark/>
          </w:tcPr>
          <w:p w14:paraId="6901ADD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077979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A3829B0" w14:textId="77777777" w:rsidTr="001C3F77">
        <w:tc>
          <w:tcPr>
            <w:tcW w:w="0" w:type="auto"/>
            <w:shd w:val="clear" w:color="auto" w:fill="auto"/>
            <w:vAlign w:val="center"/>
            <w:hideMark/>
          </w:tcPr>
          <w:p w14:paraId="7CEEB2F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w:t>
            </w:r>
            <w:proofErr w:type="spellStart"/>
            <w:r w:rsidRPr="007122AB">
              <w:rPr>
                <w:rFonts w:ascii="Times New Roman" w:hAnsi="Times New Roman"/>
                <w:color w:val="000000" w:themeColor="text1"/>
                <w:sz w:val="16"/>
                <w:szCs w:val="16"/>
              </w:rPr>
              <w:t>Сергиополь</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Бахты</w:t>
            </w:r>
            <w:proofErr w:type="spellEnd"/>
          </w:p>
        </w:tc>
        <w:tc>
          <w:tcPr>
            <w:tcW w:w="0" w:type="auto"/>
            <w:shd w:val="clear" w:color="auto" w:fill="auto"/>
            <w:vAlign w:val="center"/>
            <w:hideMark/>
          </w:tcPr>
          <w:p w14:paraId="6C54C10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254</w:t>
            </w:r>
          </w:p>
        </w:tc>
        <w:tc>
          <w:tcPr>
            <w:tcW w:w="0" w:type="auto"/>
            <w:shd w:val="clear" w:color="auto" w:fill="auto"/>
            <w:vAlign w:val="center"/>
            <w:hideMark/>
          </w:tcPr>
          <w:p w14:paraId="0A7D0AA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A0D45B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15D88A3" w14:textId="77777777" w:rsidTr="001C3F77">
        <w:tc>
          <w:tcPr>
            <w:tcW w:w="0" w:type="auto"/>
            <w:shd w:val="clear" w:color="auto" w:fill="auto"/>
            <w:vAlign w:val="center"/>
            <w:hideMark/>
          </w:tcPr>
          <w:p w14:paraId="07A4256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3F3A7E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3324</w:t>
            </w:r>
          </w:p>
        </w:tc>
        <w:tc>
          <w:tcPr>
            <w:tcW w:w="0" w:type="auto"/>
            <w:shd w:val="clear" w:color="auto" w:fill="auto"/>
            <w:vAlign w:val="center"/>
            <w:hideMark/>
          </w:tcPr>
          <w:p w14:paraId="4217088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08ADDF5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2460C746" w14:textId="77777777" w:rsidTr="001C3F77">
        <w:tc>
          <w:tcPr>
            <w:tcW w:w="0" w:type="auto"/>
            <w:gridSpan w:val="4"/>
            <w:shd w:val="clear" w:color="auto" w:fill="auto"/>
            <w:vAlign w:val="center"/>
            <w:hideMark/>
          </w:tcPr>
          <w:p w14:paraId="4C4F970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Казахскому управлению — 3.827 км</w:t>
            </w:r>
          </w:p>
        </w:tc>
      </w:tr>
      <w:tr w:rsidR="001002C3" w:rsidRPr="007122AB" w14:paraId="625805C9" w14:textId="77777777" w:rsidTr="001C3F77">
        <w:tc>
          <w:tcPr>
            <w:tcW w:w="0" w:type="auto"/>
            <w:gridSpan w:val="4"/>
            <w:shd w:val="clear" w:color="auto" w:fill="auto"/>
            <w:vAlign w:val="center"/>
            <w:hideMark/>
          </w:tcPr>
          <w:p w14:paraId="2FC98DF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Сибирское управление</w:t>
            </w:r>
          </w:p>
        </w:tc>
      </w:tr>
      <w:tr w:rsidR="001002C3" w:rsidRPr="007122AB" w14:paraId="293D8721" w14:textId="77777777" w:rsidTr="001C3F77">
        <w:tc>
          <w:tcPr>
            <w:tcW w:w="0" w:type="auto"/>
            <w:shd w:val="clear" w:color="auto" w:fill="auto"/>
            <w:vAlign w:val="center"/>
            <w:hideMark/>
          </w:tcPr>
          <w:p w14:paraId="65E2CDA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48F967F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23178F0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59D7073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7F34158" w14:textId="77777777" w:rsidTr="001C3F77">
        <w:tc>
          <w:tcPr>
            <w:tcW w:w="0" w:type="auto"/>
            <w:shd w:val="clear" w:color="auto" w:fill="auto"/>
            <w:vAlign w:val="center"/>
            <w:hideMark/>
          </w:tcPr>
          <w:p w14:paraId="3875B9E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Свердловск — Красноярск</w:t>
            </w:r>
          </w:p>
        </w:tc>
        <w:tc>
          <w:tcPr>
            <w:tcW w:w="0" w:type="auto"/>
            <w:shd w:val="clear" w:color="auto" w:fill="auto"/>
            <w:vAlign w:val="center"/>
            <w:hideMark/>
          </w:tcPr>
          <w:p w14:paraId="1769C69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2220</w:t>
            </w:r>
          </w:p>
        </w:tc>
        <w:tc>
          <w:tcPr>
            <w:tcW w:w="0" w:type="auto"/>
            <w:shd w:val="clear" w:color="auto" w:fill="auto"/>
            <w:vAlign w:val="center"/>
            <w:hideMark/>
          </w:tcPr>
          <w:p w14:paraId="4FF5138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7FB1F7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3E7CAAF" w14:textId="77777777" w:rsidTr="001C3F77">
        <w:tc>
          <w:tcPr>
            <w:tcW w:w="0" w:type="auto"/>
            <w:shd w:val="clear" w:color="auto" w:fill="auto"/>
            <w:vAlign w:val="center"/>
            <w:hideMark/>
          </w:tcPr>
          <w:p w14:paraId="5A1EA56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Новосибирск — Кузнецк</w:t>
            </w:r>
          </w:p>
        </w:tc>
        <w:tc>
          <w:tcPr>
            <w:tcW w:w="0" w:type="auto"/>
            <w:shd w:val="clear" w:color="auto" w:fill="auto"/>
            <w:vAlign w:val="center"/>
            <w:hideMark/>
          </w:tcPr>
          <w:p w14:paraId="64BB875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0" w:type="auto"/>
            <w:shd w:val="clear" w:color="auto" w:fill="auto"/>
            <w:vAlign w:val="center"/>
            <w:hideMark/>
          </w:tcPr>
          <w:p w14:paraId="09437C7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D0B41C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5F582B8" w14:textId="77777777" w:rsidTr="001C3F77">
        <w:tc>
          <w:tcPr>
            <w:tcW w:w="0" w:type="auto"/>
            <w:shd w:val="clear" w:color="auto" w:fill="auto"/>
            <w:vAlign w:val="center"/>
            <w:hideMark/>
          </w:tcPr>
          <w:p w14:paraId="5E576F6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5B5A3F8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2670</w:t>
            </w:r>
          </w:p>
        </w:tc>
        <w:tc>
          <w:tcPr>
            <w:tcW w:w="0" w:type="auto"/>
            <w:shd w:val="clear" w:color="auto" w:fill="auto"/>
            <w:vAlign w:val="center"/>
            <w:hideMark/>
          </w:tcPr>
          <w:p w14:paraId="3043E7D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822467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7359933D" w14:textId="77777777" w:rsidTr="001C3F77">
        <w:tc>
          <w:tcPr>
            <w:tcW w:w="0" w:type="auto"/>
            <w:gridSpan w:val="4"/>
            <w:shd w:val="clear" w:color="auto" w:fill="auto"/>
            <w:vAlign w:val="center"/>
            <w:hideMark/>
          </w:tcPr>
          <w:p w14:paraId="06A497A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Сибирскому Управлению — 2.670 км</w:t>
            </w:r>
          </w:p>
        </w:tc>
      </w:tr>
      <w:tr w:rsidR="001002C3" w:rsidRPr="007122AB" w14:paraId="18EF3C44" w14:textId="77777777" w:rsidTr="001C3F77">
        <w:tc>
          <w:tcPr>
            <w:tcW w:w="0" w:type="auto"/>
            <w:gridSpan w:val="4"/>
            <w:shd w:val="clear" w:color="auto" w:fill="auto"/>
            <w:vAlign w:val="center"/>
            <w:hideMark/>
          </w:tcPr>
          <w:p w14:paraId="4E727B4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Восточно-Сибирское Управление</w:t>
            </w:r>
          </w:p>
        </w:tc>
      </w:tr>
      <w:tr w:rsidR="001002C3" w:rsidRPr="007122AB" w14:paraId="0B21D320" w14:textId="77777777" w:rsidTr="001C3F77">
        <w:tc>
          <w:tcPr>
            <w:tcW w:w="0" w:type="auto"/>
            <w:shd w:val="clear" w:color="auto" w:fill="auto"/>
            <w:vAlign w:val="center"/>
            <w:hideMark/>
          </w:tcPr>
          <w:p w14:paraId="2CE7B36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4FDA40D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2F5A04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2413153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72249DD" w14:textId="77777777" w:rsidTr="001C3F77">
        <w:tc>
          <w:tcPr>
            <w:tcW w:w="0" w:type="auto"/>
            <w:shd w:val="clear" w:color="auto" w:fill="auto"/>
            <w:vAlign w:val="center"/>
            <w:hideMark/>
          </w:tcPr>
          <w:p w14:paraId="2BAD2B9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Красноярск — Иркутск</w:t>
            </w:r>
          </w:p>
        </w:tc>
        <w:tc>
          <w:tcPr>
            <w:tcW w:w="0" w:type="auto"/>
            <w:shd w:val="clear" w:color="auto" w:fill="auto"/>
            <w:vAlign w:val="center"/>
            <w:hideMark/>
          </w:tcPr>
          <w:p w14:paraId="2D6D5BA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995</w:t>
            </w:r>
          </w:p>
        </w:tc>
        <w:tc>
          <w:tcPr>
            <w:tcW w:w="0" w:type="auto"/>
            <w:shd w:val="clear" w:color="auto" w:fill="auto"/>
            <w:vAlign w:val="center"/>
            <w:hideMark/>
          </w:tcPr>
          <w:p w14:paraId="5762DB4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Иркутск — </w:t>
            </w:r>
            <w:proofErr w:type="spellStart"/>
            <w:r w:rsidRPr="007122AB">
              <w:rPr>
                <w:rFonts w:ascii="Times New Roman" w:hAnsi="Times New Roman"/>
                <w:color w:val="000000" w:themeColor="text1"/>
                <w:sz w:val="16"/>
                <w:szCs w:val="16"/>
              </w:rPr>
              <w:t>Рухлово</w:t>
            </w:r>
            <w:proofErr w:type="spellEnd"/>
          </w:p>
        </w:tc>
        <w:tc>
          <w:tcPr>
            <w:tcW w:w="0" w:type="auto"/>
            <w:shd w:val="clear" w:color="auto" w:fill="auto"/>
            <w:vAlign w:val="center"/>
            <w:hideMark/>
          </w:tcPr>
          <w:p w14:paraId="068428E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1590</w:t>
            </w:r>
          </w:p>
        </w:tc>
      </w:tr>
      <w:tr w:rsidR="001002C3" w:rsidRPr="007122AB" w14:paraId="0A94AE14" w14:textId="77777777" w:rsidTr="001C3F77">
        <w:tc>
          <w:tcPr>
            <w:tcW w:w="0" w:type="auto"/>
            <w:shd w:val="clear" w:color="auto" w:fill="auto"/>
            <w:vAlign w:val="center"/>
            <w:hideMark/>
          </w:tcPr>
          <w:p w14:paraId="1978673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Иркутск — Якутск</w:t>
            </w:r>
          </w:p>
        </w:tc>
        <w:tc>
          <w:tcPr>
            <w:tcW w:w="0" w:type="auto"/>
            <w:shd w:val="clear" w:color="auto" w:fill="auto"/>
            <w:vAlign w:val="center"/>
            <w:hideMark/>
          </w:tcPr>
          <w:p w14:paraId="3B1DAC1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2706</w:t>
            </w:r>
          </w:p>
        </w:tc>
        <w:tc>
          <w:tcPr>
            <w:tcW w:w="0" w:type="auto"/>
            <w:shd w:val="clear" w:color="auto" w:fill="auto"/>
            <w:vAlign w:val="center"/>
            <w:hideMark/>
          </w:tcPr>
          <w:p w14:paraId="7C5EA2E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559D320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9E9327C" w14:textId="77777777" w:rsidTr="001C3F77">
        <w:tc>
          <w:tcPr>
            <w:tcW w:w="0" w:type="auto"/>
            <w:shd w:val="clear" w:color="auto" w:fill="auto"/>
            <w:vAlign w:val="center"/>
            <w:hideMark/>
          </w:tcPr>
          <w:p w14:paraId="04E6FAF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Иркутск — Бодайбо</w:t>
            </w:r>
          </w:p>
        </w:tc>
        <w:tc>
          <w:tcPr>
            <w:tcW w:w="0" w:type="auto"/>
            <w:shd w:val="clear" w:color="auto" w:fill="auto"/>
            <w:vAlign w:val="center"/>
            <w:hideMark/>
          </w:tcPr>
          <w:p w14:paraId="2C36134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288</w:t>
            </w:r>
          </w:p>
        </w:tc>
        <w:tc>
          <w:tcPr>
            <w:tcW w:w="0" w:type="auto"/>
            <w:shd w:val="clear" w:color="auto" w:fill="auto"/>
            <w:vAlign w:val="center"/>
            <w:hideMark/>
          </w:tcPr>
          <w:p w14:paraId="318E137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28E58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35EC0D9" w14:textId="77777777" w:rsidTr="001C3F77">
        <w:tc>
          <w:tcPr>
            <w:tcW w:w="0" w:type="auto"/>
            <w:shd w:val="clear" w:color="auto" w:fill="auto"/>
            <w:vAlign w:val="center"/>
            <w:hideMark/>
          </w:tcPr>
          <w:p w14:paraId="2242772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 Удинск — Улан-Батор</w:t>
            </w:r>
          </w:p>
        </w:tc>
        <w:tc>
          <w:tcPr>
            <w:tcW w:w="0" w:type="auto"/>
            <w:shd w:val="clear" w:color="auto" w:fill="auto"/>
            <w:vAlign w:val="center"/>
            <w:hideMark/>
          </w:tcPr>
          <w:p w14:paraId="6AE2885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540</w:t>
            </w:r>
          </w:p>
        </w:tc>
        <w:tc>
          <w:tcPr>
            <w:tcW w:w="0" w:type="auto"/>
            <w:shd w:val="clear" w:color="auto" w:fill="auto"/>
            <w:vAlign w:val="center"/>
            <w:hideMark/>
          </w:tcPr>
          <w:p w14:paraId="0F950B4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63DF94D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2D2215BD" w14:textId="77777777" w:rsidTr="001C3F77">
        <w:tc>
          <w:tcPr>
            <w:tcW w:w="0" w:type="auto"/>
            <w:shd w:val="clear" w:color="auto" w:fill="auto"/>
            <w:vAlign w:val="center"/>
            <w:hideMark/>
          </w:tcPr>
          <w:p w14:paraId="3519012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1B4DF1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4529</w:t>
            </w:r>
          </w:p>
        </w:tc>
        <w:tc>
          <w:tcPr>
            <w:tcW w:w="0" w:type="auto"/>
            <w:shd w:val="clear" w:color="auto" w:fill="auto"/>
            <w:vAlign w:val="center"/>
            <w:hideMark/>
          </w:tcPr>
          <w:p w14:paraId="1827A50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43F1C51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1590</w:t>
            </w:r>
          </w:p>
        </w:tc>
      </w:tr>
      <w:tr w:rsidR="001002C3" w:rsidRPr="007122AB" w14:paraId="559F0A2F" w14:textId="77777777" w:rsidTr="001C3F77">
        <w:tc>
          <w:tcPr>
            <w:tcW w:w="0" w:type="auto"/>
            <w:gridSpan w:val="4"/>
            <w:shd w:val="clear" w:color="auto" w:fill="auto"/>
            <w:vAlign w:val="center"/>
            <w:hideMark/>
          </w:tcPr>
          <w:p w14:paraId="0FA8B1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В.-Сибирскому Управлению — 6.119 км</w:t>
            </w:r>
          </w:p>
        </w:tc>
      </w:tr>
      <w:tr w:rsidR="001002C3" w:rsidRPr="007122AB" w14:paraId="038A8241" w14:textId="77777777" w:rsidTr="001C3F77">
        <w:tc>
          <w:tcPr>
            <w:tcW w:w="0" w:type="auto"/>
            <w:gridSpan w:val="4"/>
            <w:shd w:val="clear" w:color="auto" w:fill="auto"/>
            <w:vAlign w:val="center"/>
            <w:hideMark/>
          </w:tcPr>
          <w:p w14:paraId="5156A1D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Дальне-Восточное Управление</w:t>
            </w:r>
          </w:p>
        </w:tc>
      </w:tr>
      <w:tr w:rsidR="001002C3" w:rsidRPr="007122AB" w14:paraId="02D63671" w14:textId="77777777" w:rsidTr="001C3F77">
        <w:tc>
          <w:tcPr>
            <w:tcW w:w="0" w:type="auto"/>
            <w:shd w:val="clear" w:color="auto" w:fill="auto"/>
            <w:vAlign w:val="center"/>
            <w:hideMark/>
          </w:tcPr>
          <w:p w14:paraId="73B3BB5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512726F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660E9F4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5A0166E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37C836E" w14:textId="77777777" w:rsidTr="001C3F77">
        <w:tc>
          <w:tcPr>
            <w:tcW w:w="0" w:type="auto"/>
            <w:shd w:val="clear" w:color="auto" w:fill="auto"/>
            <w:vAlign w:val="center"/>
            <w:hideMark/>
          </w:tcPr>
          <w:p w14:paraId="6EF3443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Хабаровск — Оха</w:t>
            </w:r>
          </w:p>
        </w:tc>
        <w:tc>
          <w:tcPr>
            <w:tcW w:w="0" w:type="auto"/>
            <w:shd w:val="clear" w:color="auto" w:fill="auto"/>
            <w:vAlign w:val="center"/>
            <w:hideMark/>
          </w:tcPr>
          <w:p w14:paraId="058C266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1180</w:t>
            </w:r>
          </w:p>
        </w:tc>
        <w:tc>
          <w:tcPr>
            <w:tcW w:w="0" w:type="auto"/>
            <w:shd w:val="clear" w:color="auto" w:fill="auto"/>
            <w:vAlign w:val="center"/>
            <w:hideMark/>
          </w:tcPr>
          <w:p w14:paraId="6CA93D8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w:t>
            </w:r>
            <w:proofErr w:type="spellStart"/>
            <w:r w:rsidRPr="007122AB">
              <w:rPr>
                <w:rFonts w:ascii="Times New Roman" w:hAnsi="Times New Roman"/>
                <w:color w:val="000000" w:themeColor="text1"/>
                <w:sz w:val="16"/>
                <w:szCs w:val="16"/>
              </w:rPr>
              <w:t>Рухлово</w:t>
            </w:r>
            <w:proofErr w:type="spellEnd"/>
            <w:r w:rsidRPr="007122AB">
              <w:rPr>
                <w:rFonts w:ascii="Times New Roman" w:hAnsi="Times New Roman"/>
                <w:color w:val="000000" w:themeColor="text1"/>
                <w:sz w:val="16"/>
                <w:szCs w:val="16"/>
              </w:rPr>
              <w:t> — Владивосток</w:t>
            </w:r>
          </w:p>
        </w:tc>
        <w:tc>
          <w:tcPr>
            <w:tcW w:w="0" w:type="auto"/>
            <w:shd w:val="clear" w:color="auto" w:fill="auto"/>
            <w:vAlign w:val="center"/>
            <w:hideMark/>
          </w:tcPr>
          <w:p w14:paraId="33A9C87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1819</w:t>
            </w:r>
          </w:p>
        </w:tc>
      </w:tr>
      <w:tr w:rsidR="001002C3" w:rsidRPr="007122AB" w14:paraId="64208148" w14:textId="77777777" w:rsidTr="001C3F77">
        <w:tc>
          <w:tcPr>
            <w:tcW w:w="0" w:type="auto"/>
            <w:shd w:val="clear" w:color="auto" w:fill="auto"/>
            <w:vAlign w:val="center"/>
            <w:hideMark/>
          </w:tcPr>
          <w:p w14:paraId="2ACAD2A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Хабаровск — Александровск</w:t>
            </w:r>
          </w:p>
        </w:tc>
        <w:tc>
          <w:tcPr>
            <w:tcW w:w="0" w:type="auto"/>
            <w:shd w:val="clear" w:color="auto" w:fill="auto"/>
            <w:vAlign w:val="center"/>
            <w:hideMark/>
          </w:tcPr>
          <w:p w14:paraId="4200134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0" w:type="auto"/>
            <w:shd w:val="clear" w:color="auto" w:fill="auto"/>
            <w:vAlign w:val="center"/>
            <w:hideMark/>
          </w:tcPr>
          <w:p w14:paraId="17F076F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Николаевск — Петропавловск</w:t>
            </w:r>
          </w:p>
        </w:tc>
        <w:tc>
          <w:tcPr>
            <w:tcW w:w="0" w:type="auto"/>
            <w:shd w:val="clear" w:color="auto" w:fill="auto"/>
            <w:vAlign w:val="center"/>
            <w:hideMark/>
          </w:tcPr>
          <w:p w14:paraId="7F11ACD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2971</w:t>
            </w:r>
          </w:p>
        </w:tc>
      </w:tr>
      <w:tr w:rsidR="001002C3" w:rsidRPr="007122AB" w14:paraId="25F89998" w14:textId="77777777" w:rsidTr="001C3F77">
        <w:tc>
          <w:tcPr>
            <w:tcW w:w="0" w:type="auto"/>
            <w:shd w:val="clear" w:color="auto" w:fill="auto"/>
            <w:vAlign w:val="center"/>
            <w:hideMark/>
          </w:tcPr>
          <w:p w14:paraId="4E0C849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5147821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1460</w:t>
            </w:r>
          </w:p>
        </w:tc>
        <w:tc>
          <w:tcPr>
            <w:tcW w:w="0" w:type="auto"/>
            <w:shd w:val="clear" w:color="auto" w:fill="auto"/>
            <w:vAlign w:val="center"/>
            <w:hideMark/>
          </w:tcPr>
          <w:p w14:paraId="3F56F2D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05AF025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4790</w:t>
            </w:r>
          </w:p>
        </w:tc>
      </w:tr>
      <w:tr w:rsidR="001002C3" w:rsidRPr="007122AB" w14:paraId="4039D890" w14:textId="77777777" w:rsidTr="001C3F77">
        <w:tc>
          <w:tcPr>
            <w:tcW w:w="0" w:type="auto"/>
            <w:gridSpan w:val="4"/>
            <w:shd w:val="clear" w:color="auto" w:fill="auto"/>
            <w:vAlign w:val="center"/>
            <w:hideMark/>
          </w:tcPr>
          <w:p w14:paraId="4D2930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Дальне-Восточному Управлению — 6.250 км</w:t>
            </w:r>
          </w:p>
        </w:tc>
      </w:tr>
      <w:tr w:rsidR="001002C3" w:rsidRPr="007122AB" w14:paraId="5BD12317" w14:textId="77777777" w:rsidTr="001C3F77">
        <w:tc>
          <w:tcPr>
            <w:tcW w:w="0" w:type="auto"/>
            <w:gridSpan w:val="4"/>
            <w:shd w:val="clear" w:color="auto" w:fill="auto"/>
            <w:vAlign w:val="center"/>
            <w:hideMark/>
          </w:tcPr>
          <w:p w14:paraId="0635DFA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Украинское Управление</w:t>
            </w:r>
          </w:p>
        </w:tc>
      </w:tr>
      <w:tr w:rsidR="001002C3" w:rsidRPr="007122AB" w14:paraId="660690B3" w14:textId="77777777" w:rsidTr="001C3F77">
        <w:tc>
          <w:tcPr>
            <w:tcW w:w="0" w:type="auto"/>
            <w:shd w:val="clear" w:color="auto" w:fill="auto"/>
            <w:vAlign w:val="center"/>
            <w:hideMark/>
          </w:tcPr>
          <w:p w14:paraId="013C100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783EF0B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21A5B47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6D07F9C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344C12D" w14:textId="77777777" w:rsidTr="001C3F77">
        <w:tc>
          <w:tcPr>
            <w:tcW w:w="0" w:type="auto"/>
            <w:shd w:val="clear" w:color="auto" w:fill="auto"/>
            <w:vAlign w:val="center"/>
            <w:hideMark/>
          </w:tcPr>
          <w:p w14:paraId="24EA067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Харьков — Сочи</w:t>
            </w:r>
          </w:p>
        </w:tc>
        <w:tc>
          <w:tcPr>
            <w:tcW w:w="0" w:type="auto"/>
            <w:shd w:val="clear" w:color="auto" w:fill="auto"/>
            <w:vAlign w:val="center"/>
            <w:hideMark/>
          </w:tcPr>
          <w:p w14:paraId="410691C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855</w:t>
            </w:r>
          </w:p>
        </w:tc>
        <w:tc>
          <w:tcPr>
            <w:tcW w:w="0" w:type="auto"/>
            <w:shd w:val="clear" w:color="auto" w:fill="auto"/>
            <w:vAlign w:val="center"/>
            <w:hideMark/>
          </w:tcPr>
          <w:p w14:paraId="3412EF2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Харьков — Одесса</w:t>
            </w:r>
          </w:p>
        </w:tc>
        <w:tc>
          <w:tcPr>
            <w:tcW w:w="0" w:type="auto"/>
            <w:shd w:val="clear" w:color="auto" w:fill="auto"/>
            <w:vAlign w:val="center"/>
            <w:hideMark/>
          </w:tcPr>
          <w:p w14:paraId="556EB5E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625</w:t>
            </w:r>
          </w:p>
        </w:tc>
      </w:tr>
      <w:tr w:rsidR="001002C3" w:rsidRPr="007122AB" w14:paraId="0272D9EE" w14:textId="77777777" w:rsidTr="001C3F77">
        <w:tc>
          <w:tcPr>
            <w:tcW w:w="0" w:type="auto"/>
            <w:shd w:val="clear" w:color="auto" w:fill="auto"/>
            <w:vAlign w:val="center"/>
            <w:hideMark/>
          </w:tcPr>
          <w:p w14:paraId="4FB38A8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 Минводы</w:t>
            </w:r>
          </w:p>
        </w:tc>
        <w:tc>
          <w:tcPr>
            <w:tcW w:w="0" w:type="auto"/>
            <w:shd w:val="clear" w:color="auto" w:fill="auto"/>
            <w:vAlign w:val="center"/>
            <w:hideMark/>
          </w:tcPr>
          <w:p w14:paraId="35D72DB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0" w:type="auto"/>
            <w:shd w:val="clear" w:color="auto" w:fill="auto"/>
            <w:vAlign w:val="center"/>
            <w:hideMark/>
          </w:tcPr>
          <w:p w14:paraId="1B00E3C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Харьков — Симферополь</w:t>
            </w:r>
          </w:p>
        </w:tc>
        <w:tc>
          <w:tcPr>
            <w:tcW w:w="0" w:type="auto"/>
            <w:shd w:val="clear" w:color="auto" w:fill="auto"/>
            <w:vAlign w:val="center"/>
            <w:hideMark/>
          </w:tcPr>
          <w:p w14:paraId="0C2F022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388</w:t>
            </w:r>
          </w:p>
        </w:tc>
      </w:tr>
      <w:tr w:rsidR="001002C3" w:rsidRPr="007122AB" w14:paraId="269FEDDA" w14:textId="77777777" w:rsidTr="001C3F77">
        <w:tc>
          <w:tcPr>
            <w:tcW w:w="0" w:type="auto"/>
            <w:shd w:val="clear" w:color="auto" w:fill="auto"/>
            <w:vAlign w:val="center"/>
            <w:hideMark/>
          </w:tcPr>
          <w:p w14:paraId="0B1F3CA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4867A20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4AC0981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Артемовск — Луганск — Шахты</w:t>
            </w:r>
          </w:p>
        </w:tc>
        <w:tc>
          <w:tcPr>
            <w:tcW w:w="0" w:type="auto"/>
            <w:shd w:val="clear" w:color="auto" w:fill="auto"/>
            <w:vAlign w:val="center"/>
            <w:hideMark/>
          </w:tcPr>
          <w:p w14:paraId="599790E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w:t>
            </w:r>
          </w:p>
        </w:tc>
      </w:tr>
      <w:tr w:rsidR="001002C3" w:rsidRPr="007122AB" w14:paraId="48CC0B55" w14:textId="77777777" w:rsidTr="001C3F77">
        <w:tc>
          <w:tcPr>
            <w:tcW w:w="0" w:type="auto"/>
            <w:shd w:val="clear" w:color="auto" w:fill="auto"/>
            <w:vAlign w:val="center"/>
            <w:hideMark/>
          </w:tcPr>
          <w:p w14:paraId="6074938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34D230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71465E3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Харьков — Сталино — Мариуполь — Бердянск</w:t>
            </w:r>
          </w:p>
        </w:tc>
        <w:tc>
          <w:tcPr>
            <w:tcW w:w="0" w:type="auto"/>
            <w:shd w:val="clear" w:color="auto" w:fill="auto"/>
            <w:vAlign w:val="center"/>
            <w:hideMark/>
          </w:tcPr>
          <w:p w14:paraId="339A7D7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w:t>
            </w:r>
          </w:p>
        </w:tc>
      </w:tr>
      <w:tr w:rsidR="001002C3" w:rsidRPr="007122AB" w14:paraId="7E4F0792" w14:textId="77777777" w:rsidTr="001C3F77">
        <w:tc>
          <w:tcPr>
            <w:tcW w:w="0" w:type="auto"/>
            <w:shd w:val="clear" w:color="auto" w:fill="auto"/>
            <w:vAlign w:val="center"/>
            <w:hideMark/>
          </w:tcPr>
          <w:p w14:paraId="56DB923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40846B9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1355</w:t>
            </w:r>
          </w:p>
        </w:tc>
        <w:tc>
          <w:tcPr>
            <w:tcW w:w="0" w:type="auto"/>
            <w:shd w:val="clear" w:color="auto" w:fill="auto"/>
            <w:vAlign w:val="center"/>
            <w:hideMark/>
          </w:tcPr>
          <w:p w14:paraId="3320817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01142EA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1783</w:t>
            </w:r>
          </w:p>
        </w:tc>
      </w:tr>
      <w:tr w:rsidR="001002C3" w:rsidRPr="007122AB" w14:paraId="60B2EB91" w14:textId="77777777" w:rsidTr="001C3F77">
        <w:tc>
          <w:tcPr>
            <w:tcW w:w="0" w:type="auto"/>
            <w:gridSpan w:val="4"/>
            <w:shd w:val="clear" w:color="auto" w:fill="auto"/>
            <w:vAlign w:val="center"/>
            <w:hideMark/>
          </w:tcPr>
          <w:p w14:paraId="38E267B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Украинскому Управлению — 3.188 км</w:t>
            </w:r>
          </w:p>
        </w:tc>
      </w:tr>
      <w:tr w:rsidR="001002C3" w:rsidRPr="007122AB" w14:paraId="750319B2" w14:textId="77777777" w:rsidTr="001C3F77">
        <w:tc>
          <w:tcPr>
            <w:tcW w:w="0" w:type="auto"/>
            <w:gridSpan w:val="4"/>
            <w:shd w:val="clear" w:color="auto" w:fill="auto"/>
            <w:vAlign w:val="center"/>
            <w:hideMark/>
          </w:tcPr>
          <w:p w14:paraId="4B040A1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Закавказское Управление</w:t>
            </w:r>
          </w:p>
        </w:tc>
      </w:tr>
      <w:tr w:rsidR="001002C3" w:rsidRPr="007122AB" w14:paraId="26A39F09" w14:textId="77777777" w:rsidTr="001C3F77">
        <w:tc>
          <w:tcPr>
            <w:tcW w:w="0" w:type="auto"/>
            <w:shd w:val="clear" w:color="auto" w:fill="auto"/>
            <w:vAlign w:val="center"/>
            <w:hideMark/>
          </w:tcPr>
          <w:p w14:paraId="12FDB49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2A066A5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532B334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3B5AD4D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0A7A0D4F" w14:textId="77777777" w:rsidTr="001C3F77">
        <w:tc>
          <w:tcPr>
            <w:tcW w:w="0" w:type="auto"/>
            <w:shd w:val="clear" w:color="auto" w:fill="auto"/>
            <w:vAlign w:val="center"/>
            <w:hideMark/>
          </w:tcPr>
          <w:p w14:paraId="6E18E3D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Минводы — Баку</w:t>
            </w:r>
          </w:p>
        </w:tc>
        <w:tc>
          <w:tcPr>
            <w:tcW w:w="0" w:type="auto"/>
            <w:shd w:val="clear" w:color="auto" w:fill="auto"/>
            <w:vAlign w:val="center"/>
            <w:hideMark/>
          </w:tcPr>
          <w:p w14:paraId="4BE9016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c>
          <w:tcPr>
            <w:tcW w:w="0" w:type="auto"/>
            <w:shd w:val="clear" w:color="auto" w:fill="auto"/>
            <w:vAlign w:val="center"/>
            <w:hideMark/>
          </w:tcPr>
          <w:p w14:paraId="44E787B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14D386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985AD51" w14:textId="77777777" w:rsidTr="001C3F77">
        <w:tc>
          <w:tcPr>
            <w:tcW w:w="0" w:type="auto"/>
            <w:shd w:val="clear" w:color="auto" w:fill="auto"/>
            <w:vAlign w:val="center"/>
            <w:hideMark/>
          </w:tcPr>
          <w:p w14:paraId="075D382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Баку — Тифлис</w:t>
            </w:r>
          </w:p>
        </w:tc>
        <w:tc>
          <w:tcPr>
            <w:tcW w:w="0" w:type="auto"/>
            <w:shd w:val="clear" w:color="auto" w:fill="auto"/>
            <w:vAlign w:val="center"/>
            <w:hideMark/>
          </w:tcPr>
          <w:p w14:paraId="1E40658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525</w:t>
            </w:r>
          </w:p>
        </w:tc>
        <w:tc>
          <w:tcPr>
            <w:tcW w:w="0" w:type="auto"/>
            <w:shd w:val="clear" w:color="auto" w:fill="auto"/>
            <w:vAlign w:val="center"/>
            <w:hideMark/>
          </w:tcPr>
          <w:p w14:paraId="2783F26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BF823E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365D61D5" w14:textId="77777777" w:rsidTr="001C3F77">
        <w:tc>
          <w:tcPr>
            <w:tcW w:w="0" w:type="auto"/>
            <w:shd w:val="clear" w:color="auto" w:fill="auto"/>
            <w:vAlign w:val="center"/>
            <w:hideMark/>
          </w:tcPr>
          <w:p w14:paraId="2856E99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Баку — Пехлеви</w:t>
            </w:r>
          </w:p>
        </w:tc>
        <w:tc>
          <w:tcPr>
            <w:tcW w:w="0" w:type="auto"/>
            <w:shd w:val="clear" w:color="auto" w:fill="auto"/>
            <w:vAlign w:val="center"/>
            <w:hideMark/>
          </w:tcPr>
          <w:p w14:paraId="294AEF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390</w:t>
            </w:r>
          </w:p>
        </w:tc>
        <w:tc>
          <w:tcPr>
            <w:tcW w:w="0" w:type="auto"/>
            <w:shd w:val="clear" w:color="auto" w:fill="auto"/>
            <w:vAlign w:val="center"/>
            <w:hideMark/>
          </w:tcPr>
          <w:p w14:paraId="3AC3EF0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09B66C1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96DF345" w14:textId="77777777" w:rsidTr="001C3F77">
        <w:tc>
          <w:tcPr>
            <w:tcW w:w="0" w:type="auto"/>
            <w:shd w:val="clear" w:color="auto" w:fill="auto"/>
            <w:vAlign w:val="center"/>
            <w:hideMark/>
          </w:tcPr>
          <w:p w14:paraId="377EFA0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Сочи — Сухум — Тифлис</w:t>
            </w:r>
          </w:p>
        </w:tc>
        <w:tc>
          <w:tcPr>
            <w:tcW w:w="0" w:type="auto"/>
            <w:shd w:val="clear" w:color="auto" w:fill="auto"/>
            <w:vAlign w:val="center"/>
            <w:hideMark/>
          </w:tcPr>
          <w:p w14:paraId="1D4B9E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470</w:t>
            </w:r>
          </w:p>
        </w:tc>
        <w:tc>
          <w:tcPr>
            <w:tcW w:w="0" w:type="auto"/>
            <w:shd w:val="clear" w:color="auto" w:fill="auto"/>
            <w:vAlign w:val="center"/>
            <w:hideMark/>
          </w:tcPr>
          <w:p w14:paraId="78FD8CC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20DE09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EABDD1B" w14:textId="77777777" w:rsidTr="001C3F77">
        <w:tc>
          <w:tcPr>
            <w:tcW w:w="0" w:type="auto"/>
            <w:shd w:val="clear" w:color="auto" w:fill="auto"/>
            <w:vAlign w:val="center"/>
            <w:hideMark/>
          </w:tcPr>
          <w:p w14:paraId="6A1A85E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169058C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2285</w:t>
            </w:r>
          </w:p>
        </w:tc>
        <w:tc>
          <w:tcPr>
            <w:tcW w:w="0" w:type="auto"/>
            <w:shd w:val="clear" w:color="auto" w:fill="auto"/>
            <w:vAlign w:val="center"/>
            <w:hideMark/>
          </w:tcPr>
          <w:p w14:paraId="3AAA53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3355690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D859ADD" w14:textId="77777777" w:rsidTr="001C3F77">
        <w:tc>
          <w:tcPr>
            <w:tcW w:w="0" w:type="auto"/>
            <w:gridSpan w:val="4"/>
            <w:shd w:val="clear" w:color="auto" w:fill="auto"/>
            <w:vAlign w:val="center"/>
            <w:hideMark/>
          </w:tcPr>
          <w:p w14:paraId="524E364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Закавказскому Управлению — 2.285 км</w:t>
            </w:r>
          </w:p>
        </w:tc>
      </w:tr>
      <w:tr w:rsidR="001002C3" w:rsidRPr="007122AB" w14:paraId="7FA63369" w14:textId="77777777" w:rsidTr="001C3F77">
        <w:tc>
          <w:tcPr>
            <w:tcW w:w="0" w:type="auto"/>
            <w:gridSpan w:val="4"/>
            <w:shd w:val="clear" w:color="auto" w:fill="auto"/>
            <w:vAlign w:val="center"/>
            <w:hideMark/>
          </w:tcPr>
          <w:p w14:paraId="2992CBE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В.О.Г.В.Ф.</w:t>
            </w:r>
          </w:p>
        </w:tc>
      </w:tr>
      <w:tr w:rsidR="001002C3" w:rsidRPr="007122AB" w14:paraId="00F40789" w14:textId="77777777" w:rsidTr="001C3F77">
        <w:tc>
          <w:tcPr>
            <w:tcW w:w="0" w:type="auto"/>
            <w:shd w:val="clear" w:color="auto" w:fill="auto"/>
            <w:vAlign w:val="center"/>
            <w:hideMark/>
          </w:tcPr>
          <w:p w14:paraId="260F4E1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w:t>
            </w:r>
          </w:p>
        </w:tc>
        <w:tc>
          <w:tcPr>
            <w:tcW w:w="0" w:type="auto"/>
            <w:shd w:val="clear" w:color="auto" w:fill="auto"/>
            <w:vAlign w:val="center"/>
            <w:hideMark/>
          </w:tcPr>
          <w:p w14:paraId="34328CA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26.487</w:t>
            </w:r>
          </w:p>
        </w:tc>
        <w:tc>
          <w:tcPr>
            <w:tcW w:w="0" w:type="auto"/>
            <w:shd w:val="clear" w:color="auto" w:fill="auto"/>
            <w:vAlign w:val="center"/>
            <w:hideMark/>
          </w:tcPr>
          <w:p w14:paraId="124B08D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новые</w:t>
            </w:r>
          </w:p>
        </w:tc>
        <w:tc>
          <w:tcPr>
            <w:tcW w:w="0" w:type="auto"/>
            <w:shd w:val="clear" w:color="auto" w:fill="auto"/>
            <w:vAlign w:val="center"/>
            <w:hideMark/>
          </w:tcPr>
          <w:p w14:paraId="639FB5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10.970</w:t>
            </w:r>
          </w:p>
        </w:tc>
      </w:tr>
      <w:tr w:rsidR="001002C3" w:rsidRPr="007122AB" w14:paraId="04A9C7D8" w14:textId="77777777" w:rsidTr="001C3F77">
        <w:tc>
          <w:tcPr>
            <w:tcW w:w="0" w:type="auto"/>
            <w:gridSpan w:val="4"/>
            <w:shd w:val="clear" w:color="auto" w:fill="auto"/>
            <w:vAlign w:val="center"/>
            <w:hideMark/>
          </w:tcPr>
          <w:p w14:paraId="2CD1B8C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37.457 км</w:t>
            </w:r>
          </w:p>
        </w:tc>
      </w:tr>
    </w:tbl>
    <w:p w14:paraId="00644E8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того, совершить в течение 1931 г. не менее 4 рейсов по линии Петропавловск-на-Камчатке — </w:t>
      </w:r>
      <w:proofErr w:type="spellStart"/>
      <w:r w:rsidRPr="007122AB">
        <w:rPr>
          <w:rFonts w:ascii="Times New Roman" w:hAnsi="Times New Roman"/>
          <w:color w:val="000000" w:themeColor="text1"/>
          <w:sz w:val="16"/>
          <w:szCs w:val="16"/>
        </w:rPr>
        <w:t>Уэллен</w:t>
      </w:r>
      <w:proofErr w:type="spellEnd"/>
      <w:r w:rsidRPr="007122AB">
        <w:rPr>
          <w:rFonts w:ascii="Times New Roman" w:hAnsi="Times New Roman"/>
          <w:color w:val="000000" w:themeColor="text1"/>
          <w:sz w:val="16"/>
          <w:szCs w:val="16"/>
        </w:rPr>
        <w:t xml:space="preserve"> и завести туда бензин и прочие материалы, необходимые для организации регулярного сообщения в 1932 г.</w:t>
      </w:r>
    </w:p>
    <w:p w14:paraId="23252A7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1-а.</w:t>
      </w:r>
    </w:p>
    <w:p w14:paraId="63DB90E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Список линий, строящихся при условии получения местных средств.</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036"/>
        <w:gridCol w:w="8842"/>
        <w:gridCol w:w="1444"/>
      </w:tblGrid>
      <w:tr w:rsidR="001002C3" w:rsidRPr="007122AB" w14:paraId="7819261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53DBA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11F82D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EC64C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линий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E2EFE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w:t>
            </w:r>
          </w:p>
        </w:tc>
      </w:tr>
      <w:tr w:rsidR="001002C3" w:rsidRPr="007122AB" w14:paraId="090C35A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D6FF4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0CD04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Якутск — </w:t>
            </w:r>
            <w:proofErr w:type="spellStart"/>
            <w:r w:rsidRPr="007122AB">
              <w:rPr>
                <w:rFonts w:ascii="Times New Roman" w:hAnsi="Times New Roman"/>
                <w:color w:val="000000" w:themeColor="text1"/>
                <w:sz w:val="16"/>
                <w:szCs w:val="16"/>
              </w:rPr>
              <w:t>Рухлово</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9E897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1002C3" w:rsidRPr="007122AB" w14:paraId="3015850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7333F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9C6A1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 Новгород — Йошкар-Ола — Ижевск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9E970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555</w:t>
            </w:r>
          </w:p>
        </w:tc>
      </w:tr>
      <w:tr w:rsidR="001002C3" w:rsidRPr="007122AB" w14:paraId="62C9362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9CEC9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2DBD5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Сталинабад —-Ура-Тюбе — Ташкент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C593F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w:t>
            </w:r>
          </w:p>
        </w:tc>
      </w:tr>
      <w:tr w:rsidR="001002C3" w:rsidRPr="007122AB" w14:paraId="42D0D53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2F597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875E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Армавир — Элиста — Астрахань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31F6A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580</w:t>
            </w:r>
          </w:p>
        </w:tc>
      </w:tr>
      <w:tr w:rsidR="001002C3" w:rsidRPr="007122AB" w14:paraId="483977F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8F6ED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9B6D1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Ашхабад — Серный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B40B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r>
      <w:tr w:rsidR="001002C3" w:rsidRPr="007122AB" w14:paraId="0953C6F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BBC01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C4A37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 — Ленинград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F20A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644</w:t>
            </w:r>
          </w:p>
        </w:tc>
      </w:tr>
      <w:tr w:rsidR="001002C3" w:rsidRPr="007122AB" w14:paraId="23A5611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058D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343A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47982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3.549</w:t>
            </w:r>
          </w:p>
        </w:tc>
      </w:tr>
    </w:tbl>
    <w:p w14:paraId="1A89B2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2</w:t>
      </w:r>
    </w:p>
    <w:p w14:paraId="2FA106B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снабжения гражданского воздушного флота самолетами и моторами советского производства (ВАО) в 1931 г.</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171"/>
        <w:gridCol w:w="1408"/>
        <w:gridCol w:w="1926"/>
        <w:gridCol w:w="1441"/>
        <w:gridCol w:w="994"/>
        <w:gridCol w:w="794"/>
        <w:gridCol w:w="794"/>
        <w:gridCol w:w="794"/>
      </w:tblGrid>
      <w:tr w:rsidR="001002C3" w:rsidRPr="007122AB" w14:paraId="3CE742D2" w14:textId="77777777" w:rsidTr="001C3F77">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F8B2FD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9B6F5A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Оста</w:t>
            </w:r>
            <w:r w:rsidRPr="007122AB">
              <w:rPr>
                <w:rFonts w:ascii="Times New Roman" w:hAnsi="Times New Roman"/>
                <w:color w:val="000000" w:themeColor="text1"/>
                <w:sz w:val="16"/>
                <w:szCs w:val="16"/>
              </w:rPr>
              <w:softHyphen/>
              <w:t>ток</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6AFB5B3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w:t>
            </w:r>
            <w:r w:rsidRPr="007122AB">
              <w:rPr>
                <w:rFonts w:ascii="Times New Roman" w:hAnsi="Times New Roman"/>
                <w:color w:val="000000" w:themeColor="text1"/>
                <w:sz w:val="16"/>
                <w:szCs w:val="16"/>
              </w:rPr>
              <w:softHyphen/>
              <w:t>грамма</w:t>
            </w:r>
          </w:p>
          <w:p w14:paraId="47E637E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65FA548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w:t>
            </w:r>
          </w:p>
          <w:p w14:paraId="4F89BC2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7204CAD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Сдача по кварталам</w:t>
            </w:r>
          </w:p>
        </w:tc>
      </w:tr>
      <w:tr w:rsidR="001002C3" w:rsidRPr="007122AB" w14:paraId="4FF2EE73" w14:textId="77777777" w:rsidTr="001C3F77">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EFB5785" w14:textId="77777777" w:rsidR="00C4563B" w:rsidRPr="007122AB" w:rsidRDefault="00C4563B" w:rsidP="007122AB">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5B594C00" w14:textId="77777777" w:rsidR="00C4563B" w:rsidRPr="007122AB" w:rsidRDefault="00C4563B" w:rsidP="007122AB">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BC58F2B" w14:textId="77777777" w:rsidR="00C4563B" w:rsidRPr="007122AB" w:rsidRDefault="00C4563B" w:rsidP="007122AB">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35121F11" w14:textId="77777777" w:rsidR="00C4563B" w:rsidRPr="007122AB" w:rsidRDefault="00C4563B" w:rsidP="007122AB">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3E9CB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0F655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AF5EF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DA476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w:t>
            </w:r>
          </w:p>
        </w:tc>
      </w:tr>
      <w:tr w:rsidR="001002C3" w:rsidRPr="007122AB" w14:paraId="4C28E39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B2810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w:t>
            </w:r>
          </w:p>
          <w:p w14:paraId="1C0DB04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 –М</w:t>
            </w:r>
            <w:r w:rsidRPr="007122AB">
              <w:rPr>
                <w:rFonts w:ascii="Times New Roman" w:hAnsi="Times New Roman"/>
                <w:color w:val="000000" w:themeColor="text1"/>
                <w:sz w:val="16"/>
                <w:szCs w:val="16"/>
              </w:rPr>
              <w:noBreakHyphen/>
              <w:t>26</w:t>
            </w:r>
          </w:p>
          <w:p w14:paraId="54317F5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w:t>
            </w:r>
            <w:r w:rsidRPr="007122AB">
              <w:rPr>
                <w:rFonts w:ascii="Times New Roman" w:hAnsi="Times New Roman"/>
                <w:color w:val="000000" w:themeColor="text1"/>
                <w:sz w:val="16"/>
                <w:szCs w:val="16"/>
              </w:rPr>
              <w:noBreakHyphen/>
              <w:t>5</w:t>
            </w:r>
            <w:r w:rsidRPr="007122AB">
              <w:rPr>
                <w:rFonts w:ascii="Times New Roman" w:hAnsi="Times New Roman"/>
                <w:color w:val="000000" w:themeColor="text1"/>
                <w:sz w:val="16"/>
                <w:szCs w:val="16"/>
              </w:rPr>
              <w:noBreakHyphen/>
              <w:t>М</w:t>
            </w:r>
            <w:r w:rsidRPr="007122AB">
              <w:rPr>
                <w:rFonts w:ascii="Times New Roman" w:hAnsi="Times New Roman"/>
                <w:color w:val="000000" w:themeColor="text1"/>
                <w:sz w:val="16"/>
                <w:szCs w:val="16"/>
              </w:rPr>
              <w:noBreakHyphen/>
              <w:t>15</w:t>
            </w:r>
          </w:p>
          <w:p w14:paraId="09EF391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w:t>
            </w:r>
            <w:r w:rsidRPr="007122AB">
              <w:rPr>
                <w:rFonts w:ascii="Times New Roman" w:hAnsi="Times New Roman"/>
                <w:color w:val="000000" w:themeColor="text1"/>
                <w:sz w:val="16"/>
                <w:szCs w:val="16"/>
              </w:rPr>
              <w:noBreakHyphen/>
              <w:t>М</w:t>
            </w:r>
            <w:r w:rsidRPr="007122AB">
              <w:rPr>
                <w:rFonts w:ascii="Times New Roman" w:hAnsi="Times New Roman"/>
                <w:color w:val="000000" w:themeColor="text1"/>
                <w:sz w:val="16"/>
                <w:szCs w:val="16"/>
              </w:rPr>
              <w:noBreakHyphen/>
              <w:t>11</w:t>
            </w:r>
          </w:p>
          <w:p w14:paraId="396E3DA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w:t>
            </w:r>
            <w:r w:rsidRPr="007122AB">
              <w:rPr>
                <w:rFonts w:ascii="Times New Roman" w:hAnsi="Times New Roman"/>
                <w:color w:val="000000" w:themeColor="text1"/>
                <w:sz w:val="16"/>
                <w:szCs w:val="16"/>
              </w:rPr>
              <w:noBreakHyphen/>
              <w:t>1</w:t>
            </w:r>
            <w:r w:rsidRPr="007122AB">
              <w:rPr>
                <w:rFonts w:ascii="Times New Roman" w:hAnsi="Times New Roman"/>
                <w:color w:val="000000" w:themeColor="text1"/>
                <w:sz w:val="16"/>
                <w:szCs w:val="16"/>
              </w:rPr>
              <w:noBreakHyphen/>
              <w:t xml:space="preserve"> М</w:t>
            </w:r>
            <w:r w:rsidRPr="007122AB">
              <w:rPr>
                <w:rFonts w:ascii="Times New Roman" w:hAnsi="Times New Roman"/>
                <w:color w:val="000000" w:themeColor="text1"/>
                <w:sz w:val="16"/>
                <w:szCs w:val="16"/>
              </w:rPr>
              <w:noBreakHyphen/>
              <w:t>2</w:t>
            </w:r>
          </w:p>
          <w:p w14:paraId="5540647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w:t>
            </w:r>
            <w:r w:rsidRPr="007122AB">
              <w:rPr>
                <w:rFonts w:ascii="Times New Roman" w:hAnsi="Times New Roman"/>
                <w:color w:val="000000" w:themeColor="text1"/>
                <w:sz w:val="16"/>
                <w:szCs w:val="16"/>
              </w:rPr>
              <w:noBreakHyphen/>
              <w:t>2</w:t>
            </w:r>
            <w:r w:rsidRPr="007122AB">
              <w:rPr>
                <w:rFonts w:ascii="Times New Roman" w:hAnsi="Times New Roman"/>
                <w:color w:val="000000" w:themeColor="text1"/>
                <w:sz w:val="16"/>
                <w:szCs w:val="16"/>
              </w:rPr>
              <w:noBreakHyphen/>
              <w:t xml:space="preserve"> М</w:t>
            </w:r>
            <w:r w:rsidRPr="007122AB">
              <w:rPr>
                <w:rFonts w:ascii="Times New Roman" w:hAnsi="Times New Roman"/>
                <w:color w:val="000000" w:themeColor="text1"/>
                <w:sz w:val="16"/>
                <w:szCs w:val="16"/>
              </w:rPr>
              <w:noBreakHyphen/>
              <w:t>11</w:t>
            </w:r>
          </w:p>
          <w:p w14:paraId="225B34E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w:t>
            </w:r>
            <w:r w:rsidRPr="007122AB">
              <w:rPr>
                <w:rFonts w:ascii="Times New Roman" w:hAnsi="Times New Roman"/>
                <w:color w:val="000000" w:themeColor="text1"/>
                <w:sz w:val="16"/>
                <w:szCs w:val="16"/>
              </w:rPr>
              <w:noBreakHyphen/>
              <w:t>1</w:t>
            </w:r>
            <w:r w:rsidRPr="007122AB">
              <w:rPr>
                <w:rFonts w:ascii="Times New Roman" w:hAnsi="Times New Roman"/>
                <w:color w:val="000000" w:themeColor="text1"/>
                <w:sz w:val="16"/>
                <w:szCs w:val="16"/>
              </w:rPr>
              <w:noBreakHyphen/>
              <w:t>М</w:t>
            </w:r>
            <w:r w:rsidRPr="007122AB">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09253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9E5514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0D6CB1C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p w14:paraId="1DED82C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BBED17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p w14:paraId="22761BB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8122DB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71D24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59DAC9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p w14:paraId="5CF3D84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w:t>
            </w:r>
          </w:p>
          <w:p w14:paraId="11BDF6F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p w14:paraId="3FB71D6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EF06F9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w:t>
            </w:r>
          </w:p>
          <w:p w14:paraId="18F6701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35FF3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F8D907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w:t>
            </w:r>
          </w:p>
          <w:p w14:paraId="04EB0B4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199</w:t>
            </w:r>
          </w:p>
          <w:p w14:paraId="481B8C0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p w14:paraId="63D823C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p w14:paraId="75E1D32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w:t>
            </w:r>
          </w:p>
          <w:p w14:paraId="736E3FA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8DDF2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8B7FA5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550BEDD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45B126B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p w14:paraId="3826A50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p w14:paraId="3D96BF8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5B3DCB9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B9741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1A794B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p w14:paraId="34FFE10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p w14:paraId="5767BEA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p w14:paraId="4208E31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9FD5A9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p w14:paraId="378A817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95AE2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447455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p w14:paraId="5D3D054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p w14:paraId="08FF943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FE5B04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9A8C41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p w14:paraId="1A77DC4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4A90E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EA579C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w:t>
            </w:r>
          </w:p>
          <w:p w14:paraId="0D3CD5C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8З</w:t>
            </w:r>
          </w:p>
          <w:p w14:paraId="71E21D0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A80079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CB0A78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p w14:paraId="501837F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r>
      <w:tr w:rsidR="001002C3" w:rsidRPr="007122AB" w14:paraId="7BF2725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B0DDC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3993D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919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532F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3222B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6AF4F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45695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E65FB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w:t>
            </w:r>
          </w:p>
        </w:tc>
      </w:tr>
      <w:tr w:rsidR="001002C3" w:rsidRPr="007122AB" w14:paraId="484793F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18D69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w:t>
            </w:r>
          </w:p>
          <w:p w14:paraId="16EDED4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26 </w:t>
            </w:r>
            <w:r w:rsidRPr="007122AB">
              <w:rPr>
                <w:rFonts w:ascii="Times New Roman" w:hAnsi="Times New Roman"/>
                <w:color w:val="000000" w:themeColor="text1"/>
                <w:sz w:val="16"/>
                <w:szCs w:val="16"/>
              </w:rPr>
              <w:noBreakHyphen/>
              <w:t> на самолет.</w:t>
            </w:r>
          </w:p>
          <w:p w14:paraId="40B45EA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26 </w:t>
            </w:r>
            <w:r w:rsidRPr="007122AB">
              <w:rPr>
                <w:rFonts w:ascii="Times New Roman" w:hAnsi="Times New Roman"/>
                <w:color w:val="000000" w:themeColor="text1"/>
                <w:sz w:val="16"/>
                <w:szCs w:val="16"/>
              </w:rPr>
              <w:noBreakHyphen/>
              <w:t> запасных</w:t>
            </w:r>
          </w:p>
          <w:p w14:paraId="62A0572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15 </w:t>
            </w:r>
            <w:r w:rsidRPr="007122AB">
              <w:rPr>
                <w:rFonts w:ascii="Times New Roman" w:hAnsi="Times New Roman"/>
                <w:color w:val="000000" w:themeColor="text1"/>
                <w:sz w:val="16"/>
                <w:szCs w:val="16"/>
              </w:rPr>
              <w:noBreakHyphen/>
              <w:t> на самолет.</w:t>
            </w:r>
          </w:p>
          <w:p w14:paraId="3C3B6FB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15 </w:t>
            </w:r>
            <w:r w:rsidRPr="007122AB">
              <w:rPr>
                <w:rFonts w:ascii="Times New Roman" w:hAnsi="Times New Roman"/>
                <w:color w:val="000000" w:themeColor="text1"/>
                <w:sz w:val="16"/>
                <w:szCs w:val="16"/>
              </w:rPr>
              <w:noBreakHyphen/>
              <w:t> запасных</w:t>
            </w:r>
          </w:p>
          <w:p w14:paraId="4F3AB54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11 </w:t>
            </w:r>
            <w:r w:rsidRPr="007122AB">
              <w:rPr>
                <w:rFonts w:ascii="Times New Roman" w:hAnsi="Times New Roman"/>
                <w:color w:val="000000" w:themeColor="text1"/>
                <w:sz w:val="16"/>
                <w:szCs w:val="16"/>
              </w:rPr>
              <w:noBreakHyphen/>
              <w:t> на самолет.</w:t>
            </w:r>
          </w:p>
          <w:p w14:paraId="1A4A065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11 </w:t>
            </w:r>
            <w:r w:rsidRPr="007122AB">
              <w:rPr>
                <w:rFonts w:ascii="Times New Roman" w:hAnsi="Times New Roman"/>
                <w:color w:val="000000" w:themeColor="text1"/>
                <w:sz w:val="16"/>
                <w:szCs w:val="16"/>
              </w:rPr>
              <w:noBreakHyphen/>
              <w:t> запасных</w:t>
            </w:r>
          </w:p>
          <w:p w14:paraId="24E125D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2 – на самолет.</w:t>
            </w:r>
          </w:p>
          <w:p w14:paraId="6C76AAA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r w:rsidRPr="007122AB">
              <w:rPr>
                <w:rFonts w:ascii="Times New Roman" w:hAnsi="Times New Roman"/>
                <w:color w:val="000000" w:themeColor="text1"/>
                <w:sz w:val="16"/>
                <w:szCs w:val="16"/>
              </w:rPr>
              <w:noBreakHyphen/>
              <w:t>2 – запасных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7EF12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3F5A56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1D74A8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B528B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8C1C6F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CFAEAE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5111FBA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9F012C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A0E3A3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DBE72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53EE20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8734A1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9ED485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EFC129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762B39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090047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009137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73B9C5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E9516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5E4C52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318</w:t>
            </w:r>
          </w:p>
          <w:p w14:paraId="646CD9E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p w14:paraId="3EF0B10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199</w:t>
            </w:r>
          </w:p>
          <w:p w14:paraId="32C393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p w14:paraId="13EF7CE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w:t>
            </w:r>
          </w:p>
          <w:p w14:paraId="65977AB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w:t>
            </w:r>
          </w:p>
          <w:p w14:paraId="7F4AAAC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p w14:paraId="6E872D6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E675D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E44228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p w14:paraId="46ECA7C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FEE1D8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CF02E9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55375F3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p w14:paraId="484BD80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0AA8C3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p w14:paraId="49D1B20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A7C28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ADDDAC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w:t>
            </w:r>
          </w:p>
          <w:p w14:paraId="4C1DFCA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p w14:paraId="3573352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p w14:paraId="1FCB6E9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p w14:paraId="5A5D702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p w14:paraId="4DA3E92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434290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015C8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C55E9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4CA222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p w14:paraId="698CA66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p w14:paraId="53D8A9C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p w14:paraId="39F590B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w:t>
            </w:r>
          </w:p>
          <w:p w14:paraId="1CBD34B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p w14:paraId="219B21F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p w14:paraId="577325B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77B02F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2ED3D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3081CBD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w:t>
            </w:r>
          </w:p>
          <w:p w14:paraId="7E754CF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p w14:paraId="7517A95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w:t>
            </w:r>
          </w:p>
          <w:p w14:paraId="27C7DB8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p w14:paraId="393C8B3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w:t>
            </w:r>
          </w:p>
          <w:p w14:paraId="62B50B3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p w14:paraId="567C98E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502677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5753E60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039DB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моторов:</w:t>
            </w:r>
          </w:p>
          <w:p w14:paraId="0EC5E6B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самолетах</w:t>
            </w:r>
          </w:p>
          <w:p w14:paraId="5931031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запасных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4FCEC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38BBE70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B9AEFB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EB99E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67BD28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748C4A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AC662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9D79DD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1119</w:t>
            </w:r>
          </w:p>
          <w:p w14:paraId="3FCF197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100A2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D63191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w:t>
            </w:r>
          </w:p>
          <w:p w14:paraId="2DC58E4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EFD8E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26064E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229</w:t>
            </w:r>
          </w:p>
          <w:p w14:paraId="670C46C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048EC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2E6F2A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375</w:t>
            </w:r>
          </w:p>
          <w:p w14:paraId="40F8335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D619F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CAF33F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419</w:t>
            </w:r>
          </w:p>
          <w:p w14:paraId="386A0B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w:t>
            </w:r>
          </w:p>
        </w:tc>
      </w:tr>
      <w:tr w:rsidR="001002C3" w:rsidRPr="007122AB" w14:paraId="73F5D52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AD897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7F870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6BE77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9C9F5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99D36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4FE77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7094C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08857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554</w:t>
            </w:r>
          </w:p>
        </w:tc>
      </w:tr>
    </w:tbl>
    <w:p w14:paraId="38FF946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3FED463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 т. ч. Райт — 6 штук.</w:t>
      </w:r>
    </w:p>
    <w:p w14:paraId="0CAB0C5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3.</w:t>
      </w:r>
    </w:p>
    <w:p w14:paraId="19060C9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Титульный перечень и контингенты школ гражданского воздушного флота.</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9671"/>
        <w:gridCol w:w="1651"/>
      </w:tblGrid>
      <w:tr w:rsidR="001002C3" w:rsidRPr="007122AB" w14:paraId="5600540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1E27F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Школы гражданского воздушного флота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F1100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Слушателей</w:t>
            </w:r>
          </w:p>
        </w:tc>
      </w:tr>
      <w:tr w:rsidR="001002C3" w:rsidRPr="007122AB" w14:paraId="4E9A073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A3691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Институт Г.В.Ф. с рабфаком при нем в Ленинграде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02FF6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1.875</w:t>
            </w:r>
          </w:p>
          <w:p w14:paraId="130C014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 (рабфак)</w:t>
            </w:r>
          </w:p>
        </w:tc>
      </w:tr>
      <w:tr w:rsidR="001002C3" w:rsidRPr="007122AB" w14:paraId="07E1796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139D9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Институт Г.В.Ф. в Н. Новгороде (или Сталинграде) на контингент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90ED0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 в 1932 г.</w:t>
            </w:r>
          </w:p>
        </w:tc>
      </w:tr>
      <w:tr w:rsidR="001002C3" w:rsidRPr="007122AB" w14:paraId="19E19E0C"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FB8B8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Авиационный факультет Машиностроительного института в Киеве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3D65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34ACD4E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78E3C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Учебно-строительный комбинат в Воронеже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C877E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r>
      <w:tr w:rsidR="001002C3" w:rsidRPr="007122AB" w14:paraId="170925D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71532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Высшие академические курсы Г.В.Ф. в Москве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90BF5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55AE639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FDED5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6. 1</w:t>
            </w:r>
            <w:r w:rsidRPr="007122AB">
              <w:rPr>
                <w:rFonts w:ascii="Times New Roman" w:hAnsi="Times New Roman"/>
                <w:color w:val="000000" w:themeColor="text1"/>
                <w:sz w:val="16"/>
                <w:szCs w:val="16"/>
              </w:rPr>
              <w:noBreakHyphen/>
              <w:t>ая Объединенная школа пилотов и авиатехников в Батайске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8717F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41EF063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30BA4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7. 2</w:t>
            </w:r>
            <w:r w:rsidRPr="007122AB">
              <w:rPr>
                <w:rFonts w:ascii="Times New Roman" w:hAnsi="Times New Roman"/>
                <w:color w:val="000000" w:themeColor="text1"/>
                <w:sz w:val="16"/>
                <w:szCs w:val="16"/>
              </w:rPr>
              <w:noBreakHyphen/>
              <w:t>я Объединенная школа пилотов и авиатехников в Тамбове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66343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1002C3" w:rsidRPr="007122AB" w14:paraId="3F62F78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CD4D3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8. 3</w:t>
            </w:r>
            <w:r w:rsidRPr="007122AB">
              <w:rPr>
                <w:rFonts w:ascii="Times New Roman" w:hAnsi="Times New Roman"/>
                <w:color w:val="000000" w:themeColor="text1"/>
                <w:sz w:val="16"/>
                <w:szCs w:val="16"/>
              </w:rPr>
              <w:noBreakHyphen/>
              <w:t>я Объединенная школа пилотов и авиатехников в Балашове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17C81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1002C3" w:rsidRPr="007122AB" w14:paraId="55EDA4D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F27E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Авиатехникум в Москве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B6AD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1.252</w:t>
            </w:r>
          </w:p>
        </w:tc>
      </w:tr>
      <w:tr w:rsidR="001002C3" w:rsidRPr="007122AB" w14:paraId="13A5784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D9F94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Техникум спецслужб в Москве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3C76C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r>
      <w:tr w:rsidR="001002C3" w:rsidRPr="007122AB" w14:paraId="5BAD57E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04EAE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Авиатехникум в Ленинграде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B3897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878</w:t>
            </w:r>
          </w:p>
        </w:tc>
      </w:tr>
      <w:tr w:rsidR="001002C3" w:rsidRPr="007122AB" w14:paraId="4DFEC3B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11D8D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Авиатехникум в Киеве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B8721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6CF1C3E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A6FCA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Авиатехникум в Н. Новгороде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375CD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502C5EB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F645C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E06FC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13.055</w:t>
            </w:r>
          </w:p>
        </w:tc>
      </w:tr>
    </w:tbl>
    <w:p w14:paraId="513A41E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42FF60A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700 человек проходят курсы повышения квалификации.</w:t>
      </w:r>
    </w:p>
    <w:p w14:paraId="5A2C052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С. </w:t>
      </w:r>
      <w:proofErr w:type="spellStart"/>
      <w:r w:rsidRPr="007122AB">
        <w:rPr>
          <w:rFonts w:ascii="Times New Roman" w:hAnsi="Times New Roman"/>
          <w:color w:val="000000" w:themeColor="text1"/>
          <w:sz w:val="16"/>
          <w:szCs w:val="16"/>
        </w:rPr>
        <w:t>Уншлихт</w:t>
      </w:r>
      <w:proofErr w:type="spellEnd"/>
    </w:p>
    <w:p w14:paraId="65CE166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4.</w:t>
      </w:r>
    </w:p>
    <w:p w14:paraId="2E3F90C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работ по воздухоплаванию.</w:t>
      </w:r>
    </w:p>
    <w:tbl>
      <w:tblPr>
        <w:tblW w:w="5000" w:type="pct"/>
        <w:shd w:val="clear" w:color="auto" w:fill="F2EEE1"/>
        <w:tblCellMar>
          <w:left w:w="0" w:type="dxa"/>
          <w:right w:w="0" w:type="dxa"/>
        </w:tblCellMar>
        <w:tblLook w:val="04A0" w:firstRow="1" w:lastRow="0" w:firstColumn="1" w:lastColumn="0" w:noHBand="0" w:noVBand="1"/>
      </w:tblPr>
      <w:tblGrid>
        <w:gridCol w:w="9700"/>
        <w:gridCol w:w="1638"/>
      </w:tblGrid>
      <w:tr w:rsidR="001002C3" w:rsidRPr="007122AB" w14:paraId="61800BA7" w14:textId="77777777" w:rsidTr="001C3F77">
        <w:tc>
          <w:tcPr>
            <w:tcW w:w="0" w:type="auto"/>
            <w:shd w:val="clear" w:color="auto" w:fill="auto"/>
            <w:vAlign w:val="center"/>
            <w:hideMark/>
          </w:tcPr>
          <w:p w14:paraId="57A287D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Ленинградская временная база:</w:t>
            </w:r>
          </w:p>
        </w:tc>
        <w:tc>
          <w:tcPr>
            <w:tcW w:w="0" w:type="auto"/>
            <w:shd w:val="clear" w:color="auto" w:fill="auto"/>
            <w:vAlign w:val="center"/>
            <w:hideMark/>
          </w:tcPr>
          <w:p w14:paraId="114364D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594C4FE" w14:textId="77777777" w:rsidTr="001C3F77">
        <w:tc>
          <w:tcPr>
            <w:tcW w:w="0" w:type="auto"/>
            <w:shd w:val="clear" w:color="auto" w:fill="auto"/>
            <w:vAlign w:val="center"/>
            <w:hideMark/>
          </w:tcPr>
          <w:p w14:paraId="084C026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Ремонт эллингов на заводе Марти</w:t>
            </w:r>
          </w:p>
        </w:tc>
        <w:tc>
          <w:tcPr>
            <w:tcW w:w="0" w:type="auto"/>
            <w:shd w:val="clear" w:color="auto" w:fill="auto"/>
            <w:vAlign w:val="center"/>
            <w:hideMark/>
          </w:tcPr>
          <w:p w14:paraId="6705D3A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7A3F22C1" w14:textId="77777777" w:rsidTr="001C3F77">
        <w:tc>
          <w:tcPr>
            <w:tcW w:w="0" w:type="auto"/>
            <w:shd w:val="clear" w:color="auto" w:fill="auto"/>
            <w:vAlign w:val="center"/>
            <w:hideMark/>
          </w:tcPr>
          <w:p w14:paraId="175627A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Склад газовых труб</w:t>
            </w:r>
          </w:p>
        </w:tc>
        <w:tc>
          <w:tcPr>
            <w:tcW w:w="0" w:type="auto"/>
            <w:shd w:val="clear" w:color="auto" w:fill="auto"/>
            <w:vAlign w:val="center"/>
            <w:hideMark/>
          </w:tcPr>
          <w:p w14:paraId="5F3B1FC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r>
      <w:tr w:rsidR="001002C3" w:rsidRPr="007122AB" w14:paraId="75A732D7" w14:textId="77777777" w:rsidTr="001C3F77">
        <w:tc>
          <w:tcPr>
            <w:tcW w:w="0" w:type="auto"/>
            <w:shd w:val="clear" w:color="auto" w:fill="auto"/>
            <w:vAlign w:val="center"/>
            <w:hideMark/>
          </w:tcPr>
          <w:p w14:paraId="632543E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и строительство дирижаблей:</w:t>
            </w:r>
          </w:p>
        </w:tc>
        <w:tc>
          <w:tcPr>
            <w:tcW w:w="0" w:type="auto"/>
            <w:shd w:val="clear" w:color="auto" w:fill="auto"/>
            <w:vAlign w:val="center"/>
            <w:hideMark/>
          </w:tcPr>
          <w:p w14:paraId="27AB675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5C6AE43A" w14:textId="77777777" w:rsidTr="001C3F77">
        <w:tc>
          <w:tcPr>
            <w:tcW w:w="0" w:type="auto"/>
            <w:shd w:val="clear" w:color="auto" w:fill="auto"/>
            <w:vAlign w:val="center"/>
            <w:hideMark/>
          </w:tcPr>
          <w:p w14:paraId="2A56469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Проектирование и строительство </w:t>
            </w:r>
            <w:proofErr w:type="spellStart"/>
            <w:r w:rsidRPr="007122AB">
              <w:rPr>
                <w:rFonts w:ascii="Times New Roman" w:hAnsi="Times New Roman"/>
                <w:color w:val="000000" w:themeColor="text1"/>
                <w:sz w:val="16"/>
                <w:szCs w:val="16"/>
              </w:rPr>
              <w:t>полужестского</w:t>
            </w:r>
            <w:proofErr w:type="spellEnd"/>
            <w:r w:rsidRPr="007122AB">
              <w:rPr>
                <w:rFonts w:ascii="Times New Roman" w:hAnsi="Times New Roman"/>
                <w:color w:val="000000" w:themeColor="text1"/>
                <w:sz w:val="16"/>
                <w:szCs w:val="16"/>
              </w:rPr>
              <w:t xml:space="preserve"> дирижабля объемом 7.500 куб. м</w:t>
            </w:r>
          </w:p>
        </w:tc>
        <w:tc>
          <w:tcPr>
            <w:tcW w:w="0" w:type="auto"/>
            <w:shd w:val="clear" w:color="auto" w:fill="auto"/>
            <w:vAlign w:val="center"/>
            <w:hideMark/>
          </w:tcPr>
          <w:p w14:paraId="4ADEB24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430D2021" w14:textId="77777777" w:rsidTr="001C3F77">
        <w:tc>
          <w:tcPr>
            <w:tcW w:w="0" w:type="auto"/>
            <w:shd w:val="clear" w:color="auto" w:fill="auto"/>
            <w:vAlign w:val="center"/>
            <w:hideMark/>
          </w:tcPr>
          <w:p w14:paraId="0BC25E0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Проектирование и строительство дирижабля типа “</w:t>
            </w:r>
            <w:proofErr w:type="spellStart"/>
            <w:r w:rsidRPr="007122AB">
              <w:rPr>
                <w:rFonts w:ascii="Times New Roman" w:hAnsi="Times New Roman"/>
                <w:color w:val="000000" w:themeColor="text1"/>
                <w:sz w:val="16"/>
                <w:szCs w:val="16"/>
              </w:rPr>
              <w:t>Гудиир</w:t>
            </w:r>
            <w:proofErr w:type="spellEnd"/>
            <w:r w:rsidRPr="007122AB">
              <w:rPr>
                <w:rFonts w:ascii="Times New Roman" w:hAnsi="Times New Roman"/>
                <w:color w:val="000000" w:themeColor="text1"/>
                <w:sz w:val="16"/>
                <w:szCs w:val="16"/>
              </w:rPr>
              <w:t>” объемом 2.200 куб. м</w:t>
            </w:r>
          </w:p>
        </w:tc>
        <w:tc>
          <w:tcPr>
            <w:tcW w:w="0" w:type="auto"/>
            <w:shd w:val="clear" w:color="auto" w:fill="auto"/>
            <w:vAlign w:val="center"/>
            <w:hideMark/>
          </w:tcPr>
          <w:p w14:paraId="3A9D63D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r>
      <w:tr w:rsidR="001002C3" w:rsidRPr="007122AB" w14:paraId="4493CBD6" w14:textId="77777777" w:rsidTr="001C3F77">
        <w:tc>
          <w:tcPr>
            <w:tcW w:w="0" w:type="auto"/>
            <w:shd w:val="clear" w:color="auto" w:fill="auto"/>
            <w:vAlign w:val="center"/>
            <w:hideMark/>
          </w:tcPr>
          <w:p w14:paraId="69965BB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Проектирование и строительство полужесткого дирижабля объемом 20.000 куб. м</w:t>
            </w:r>
          </w:p>
        </w:tc>
        <w:tc>
          <w:tcPr>
            <w:tcW w:w="0" w:type="auto"/>
            <w:shd w:val="clear" w:color="auto" w:fill="auto"/>
            <w:vAlign w:val="center"/>
            <w:hideMark/>
          </w:tcPr>
          <w:p w14:paraId="4849717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r>
      <w:tr w:rsidR="001002C3" w:rsidRPr="007122AB" w14:paraId="65034762" w14:textId="77777777" w:rsidTr="001C3F77">
        <w:tc>
          <w:tcPr>
            <w:tcW w:w="0" w:type="auto"/>
            <w:shd w:val="clear" w:color="auto" w:fill="auto"/>
            <w:vAlign w:val="center"/>
            <w:hideMark/>
          </w:tcPr>
          <w:p w14:paraId="74FF9B2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Проектирование и строительство жесткого дирижабля объемом не менее 20.000 куб. м</w:t>
            </w:r>
          </w:p>
        </w:tc>
        <w:tc>
          <w:tcPr>
            <w:tcW w:w="0" w:type="auto"/>
            <w:shd w:val="clear" w:color="auto" w:fill="auto"/>
            <w:vAlign w:val="center"/>
            <w:hideMark/>
          </w:tcPr>
          <w:p w14:paraId="0CEFC27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734E7637" w14:textId="77777777" w:rsidTr="001C3F77">
        <w:tc>
          <w:tcPr>
            <w:tcW w:w="0" w:type="auto"/>
            <w:shd w:val="clear" w:color="auto" w:fill="auto"/>
            <w:vAlign w:val="center"/>
            <w:hideMark/>
          </w:tcPr>
          <w:p w14:paraId="49D66EB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Опытные работы по цельнометаллическим кораблям:</w:t>
            </w:r>
          </w:p>
        </w:tc>
        <w:tc>
          <w:tcPr>
            <w:tcW w:w="0" w:type="auto"/>
            <w:shd w:val="clear" w:color="auto" w:fill="auto"/>
            <w:vAlign w:val="center"/>
            <w:hideMark/>
          </w:tcPr>
          <w:p w14:paraId="4263375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78D1B9A5" w14:textId="77777777" w:rsidTr="001C3F77">
        <w:tc>
          <w:tcPr>
            <w:tcW w:w="0" w:type="auto"/>
            <w:shd w:val="clear" w:color="auto" w:fill="auto"/>
            <w:vAlign w:val="center"/>
            <w:hideMark/>
          </w:tcPr>
          <w:p w14:paraId="241A20FB" w14:textId="77777777" w:rsidR="00C4563B" w:rsidRPr="007122AB" w:rsidRDefault="00C4563B"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безкаркасному</w:t>
            </w:r>
            <w:proofErr w:type="spellEnd"/>
            <w:r w:rsidRPr="007122AB">
              <w:rPr>
                <w:rFonts w:ascii="Times New Roman" w:hAnsi="Times New Roman"/>
                <w:color w:val="000000" w:themeColor="text1"/>
                <w:sz w:val="16"/>
                <w:szCs w:val="16"/>
              </w:rPr>
              <w:t xml:space="preserve"> (Циолковского)</w:t>
            </w:r>
          </w:p>
        </w:tc>
        <w:tc>
          <w:tcPr>
            <w:tcW w:w="0" w:type="auto"/>
            <w:shd w:val="clear" w:color="auto" w:fill="auto"/>
            <w:vAlign w:val="center"/>
            <w:hideMark/>
          </w:tcPr>
          <w:p w14:paraId="1970008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r>
      <w:tr w:rsidR="001002C3" w:rsidRPr="007122AB" w14:paraId="2D6101C5" w14:textId="77777777" w:rsidTr="001C3F77">
        <w:tc>
          <w:tcPr>
            <w:tcW w:w="0" w:type="auto"/>
            <w:shd w:val="clear" w:color="auto" w:fill="auto"/>
            <w:vAlign w:val="center"/>
            <w:hideMark/>
          </w:tcPr>
          <w:p w14:paraId="20CBF763" w14:textId="77777777" w:rsidR="00C4563B" w:rsidRPr="007122AB" w:rsidRDefault="00C4563B"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каркасированному</w:t>
            </w:r>
            <w:proofErr w:type="spellEnd"/>
          </w:p>
        </w:tc>
        <w:tc>
          <w:tcPr>
            <w:tcW w:w="0" w:type="auto"/>
            <w:shd w:val="clear" w:color="auto" w:fill="auto"/>
            <w:vAlign w:val="center"/>
            <w:hideMark/>
          </w:tcPr>
          <w:p w14:paraId="4BDE61F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r>
      <w:tr w:rsidR="001002C3" w:rsidRPr="007122AB" w14:paraId="107F1D7D" w14:textId="77777777" w:rsidTr="001C3F77">
        <w:tc>
          <w:tcPr>
            <w:tcW w:w="0" w:type="auto"/>
            <w:shd w:val="clear" w:color="auto" w:fill="auto"/>
            <w:vAlign w:val="center"/>
            <w:hideMark/>
          </w:tcPr>
          <w:p w14:paraId="7D8DAF8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Сферические аэростаты</w:t>
            </w:r>
          </w:p>
        </w:tc>
        <w:tc>
          <w:tcPr>
            <w:tcW w:w="0" w:type="auto"/>
            <w:shd w:val="clear" w:color="auto" w:fill="auto"/>
            <w:vAlign w:val="center"/>
            <w:hideMark/>
          </w:tcPr>
          <w:p w14:paraId="3F9349B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r>
      <w:tr w:rsidR="001002C3" w:rsidRPr="007122AB" w14:paraId="08836DDD" w14:textId="77777777" w:rsidTr="001C3F77">
        <w:tc>
          <w:tcPr>
            <w:tcW w:w="0" w:type="auto"/>
            <w:shd w:val="clear" w:color="auto" w:fill="auto"/>
            <w:vAlign w:val="center"/>
            <w:hideMark/>
          </w:tcPr>
          <w:p w14:paraId="779B067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115517E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1.734,0 тыс. руб.</w:t>
            </w:r>
          </w:p>
        </w:tc>
      </w:tr>
      <w:tr w:rsidR="001002C3" w:rsidRPr="007122AB" w14:paraId="2E596D1E" w14:textId="77777777" w:rsidTr="001C3F77">
        <w:tc>
          <w:tcPr>
            <w:tcW w:w="0" w:type="auto"/>
            <w:shd w:val="clear" w:color="auto" w:fill="auto"/>
            <w:vAlign w:val="center"/>
            <w:hideMark/>
          </w:tcPr>
          <w:p w14:paraId="351A627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Изыскания по Саратовской базе:</w:t>
            </w:r>
          </w:p>
        </w:tc>
        <w:tc>
          <w:tcPr>
            <w:tcW w:w="0" w:type="auto"/>
            <w:shd w:val="clear" w:color="auto" w:fill="auto"/>
            <w:vAlign w:val="center"/>
            <w:hideMark/>
          </w:tcPr>
          <w:p w14:paraId="503F7AD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C6AFCEB" w14:textId="77777777" w:rsidTr="001C3F77">
        <w:tc>
          <w:tcPr>
            <w:tcW w:w="0" w:type="auto"/>
            <w:shd w:val="clear" w:color="auto" w:fill="auto"/>
            <w:vAlign w:val="center"/>
            <w:hideMark/>
          </w:tcPr>
          <w:p w14:paraId="37BBE2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Изыскания места </w:t>
            </w:r>
            <w:proofErr w:type="spellStart"/>
            <w:r w:rsidRPr="007122AB">
              <w:rPr>
                <w:rFonts w:ascii="Times New Roman" w:hAnsi="Times New Roman"/>
                <w:color w:val="000000" w:themeColor="text1"/>
                <w:sz w:val="16"/>
                <w:szCs w:val="16"/>
              </w:rPr>
              <w:t>воздухбазы</w:t>
            </w:r>
            <w:proofErr w:type="spellEnd"/>
          </w:p>
        </w:tc>
        <w:tc>
          <w:tcPr>
            <w:tcW w:w="0" w:type="auto"/>
            <w:shd w:val="clear" w:color="auto" w:fill="auto"/>
            <w:vAlign w:val="center"/>
            <w:hideMark/>
          </w:tcPr>
          <w:p w14:paraId="3DFC8AF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r>
      <w:tr w:rsidR="001002C3" w:rsidRPr="007122AB" w14:paraId="483FCD80" w14:textId="77777777" w:rsidTr="001C3F77">
        <w:tc>
          <w:tcPr>
            <w:tcW w:w="0" w:type="auto"/>
            <w:shd w:val="clear" w:color="auto" w:fill="auto"/>
            <w:vAlign w:val="center"/>
            <w:hideMark/>
          </w:tcPr>
          <w:p w14:paraId="4F75942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Организация временной метеостанции</w:t>
            </w:r>
          </w:p>
        </w:tc>
        <w:tc>
          <w:tcPr>
            <w:tcW w:w="0" w:type="auto"/>
            <w:shd w:val="clear" w:color="auto" w:fill="auto"/>
            <w:vAlign w:val="center"/>
            <w:hideMark/>
          </w:tcPr>
          <w:p w14:paraId="6CC121E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r>
      <w:tr w:rsidR="001002C3" w:rsidRPr="007122AB" w14:paraId="25108852" w14:textId="77777777" w:rsidTr="001C3F77">
        <w:tc>
          <w:tcPr>
            <w:tcW w:w="0" w:type="auto"/>
            <w:shd w:val="clear" w:color="auto" w:fill="auto"/>
            <w:vAlign w:val="center"/>
            <w:hideMark/>
          </w:tcPr>
          <w:p w14:paraId="52BB951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Разработка строительных проектов Саратовской базы</w:t>
            </w:r>
          </w:p>
        </w:tc>
        <w:tc>
          <w:tcPr>
            <w:tcW w:w="0" w:type="auto"/>
            <w:shd w:val="clear" w:color="auto" w:fill="auto"/>
            <w:vAlign w:val="center"/>
            <w:hideMark/>
          </w:tcPr>
          <w:p w14:paraId="0154962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r>
      <w:tr w:rsidR="001002C3" w:rsidRPr="007122AB" w14:paraId="533ED1FF" w14:textId="77777777" w:rsidTr="001C3F77">
        <w:tc>
          <w:tcPr>
            <w:tcW w:w="0" w:type="auto"/>
            <w:shd w:val="clear" w:color="auto" w:fill="auto"/>
            <w:vAlign w:val="center"/>
            <w:hideMark/>
          </w:tcPr>
          <w:p w14:paraId="064A6FD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70B10CA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280,0 тыс. руб.</w:t>
            </w:r>
          </w:p>
        </w:tc>
      </w:tr>
      <w:tr w:rsidR="001002C3" w:rsidRPr="007122AB" w14:paraId="7BB8D6D9" w14:textId="77777777" w:rsidTr="001C3F77">
        <w:tc>
          <w:tcPr>
            <w:tcW w:w="0" w:type="auto"/>
            <w:shd w:val="clear" w:color="auto" w:fill="auto"/>
            <w:vAlign w:val="center"/>
            <w:hideMark/>
          </w:tcPr>
          <w:p w14:paraId="2C0B00C6"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типового оборудования:</w:t>
            </w:r>
          </w:p>
        </w:tc>
        <w:tc>
          <w:tcPr>
            <w:tcW w:w="0" w:type="auto"/>
            <w:shd w:val="clear" w:color="auto" w:fill="auto"/>
            <w:vAlign w:val="center"/>
            <w:hideMark/>
          </w:tcPr>
          <w:p w14:paraId="3D297D4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6A2DB6E8" w14:textId="77777777" w:rsidTr="001C3F77">
        <w:tc>
          <w:tcPr>
            <w:tcW w:w="0" w:type="auto"/>
            <w:shd w:val="clear" w:color="auto" w:fill="auto"/>
            <w:vAlign w:val="center"/>
            <w:hideMark/>
          </w:tcPr>
          <w:p w14:paraId="7D1747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Эксплуатационной </w:t>
            </w:r>
            <w:proofErr w:type="spellStart"/>
            <w:r w:rsidRPr="007122AB">
              <w:rPr>
                <w:rFonts w:ascii="Times New Roman" w:hAnsi="Times New Roman"/>
                <w:color w:val="000000" w:themeColor="text1"/>
                <w:sz w:val="16"/>
                <w:szCs w:val="16"/>
              </w:rPr>
              <w:t>воздухбазы</w:t>
            </w:r>
            <w:proofErr w:type="spellEnd"/>
          </w:p>
        </w:tc>
        <w:tc>
          <w:tcPr>
            <w:tcW w:w="0" w:type="auto"/>
            <w:shd w:val="clear" w:color="auto" w:fill="auto"/>
            <w:vAlign w:val="center"/>
            <w:hideMark/>
          </w:tcPr>
          <w:p w14:paraId="012E598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r>
      <w:tr w:rsidR="001002C3" w:rsidRPr="007122AB" w14:paraId="0138B9D3" w14:textId="77777777" w:rsidTr="001C3F77">
        <w:tc>
          <w:tcPr>
            <w:tcW w:w="0" w:type="auto"/>
            <w:shd w:val="clear" w:color="auto" w:fill="auto"/>
            <w:vAlign w:val="center"/>
            <w:hideMark/>
          </w:tcPr>
          <w:p w14:paraId="76CECFD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Швартовой точки</w:t>
            </w:r>
          </w:p>
        </w:tc>
        <w:tc>
          <w:tcPr>
            <w:tcW w:w="0" w:type="auto"/>
            <w:shd w:val="clear" w:color="auto" w:fill="auto"/>
            <w:vAlign w:val="center"/>
            <w:hideMark/>
          </w:tcPr>
          <w:p w14:paraId="7707CC6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w:t>
            </w:r>
          </w:p>
        </w:tc>
      </w:tr>
      <w:tr w:rsidR="001002C3" w:rsidRPr="007122AB" w14:paraId="35076B64" w14:textId="77777777" w:rsidTr="001C3F77">
        <w:tc>
          <w:tcPr>
            <w:tcW w:w="0" w:type="auto"/>
            <w:shd w:val="clear" w:color="auto" w:fill="auto"/>
            <w:vAlign w:val="center"/>
            <w:hideMark/>
          </w:tcPr>
          <w:p w14:paraId="783D8E9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Исследовательские работы по земному оборудованию</w:t>
            </w:r>
          </w:p>
        </w:tc>
        <w:tc>
          <w:tcPr>
            <w:tcW w:w="0" w:type="auto"/>
            <w:shd w:val="clear" w:color="auto" w:fill="auto"/>
            <w:vAlign w:val="center"/>
            <w:hideMark/>
          </w:tcPr>
          <w:p w14:paraId="6C9541B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491D1677" w14:textId="77777777" w:rsidTr="001C3F77">
        <w:tc>
          <w:tcPr>
            <w:tcW w:w="0" w:type="auto"/>
            <w:shd w:val="clear" w:color="auto" w:fill="auto"/>
            <w:vAlign w:val="center"/>
            <w:hideMark/>
          </w:tcPr>
          <w:p w14:paraId="78AFA7A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05C09B9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116,0 </w:t>
            </w:r>
            <w:proofErr w:type="spellStart"/>
            <w:r w:rsidRPr="007122AB">
              <w:rPr>
                <w:rFonts w:ascii="Times New Roman" w:hAnsi="Times New Roman"/>
                <w:color w:val="000000" w:themeColor="text1"/>
                <w:sz w:val="16"/>
                <w:szCs w:val="16"/>
              </w:rPr>
              <w:t>тыс.руб</w:t>
            </w:r>
            <w:proofErr w:type="spellEnd"/>
            <w:r w:rsidRPr="007122AB">
              <w:rPr>
                <w:rFonts w:ascii="Times New Roman" w:hAnsi="Times New Roman"/>
                <w:color w:val="000000" w:themeColor="text1"/>
                <w:sz w:val="16"/>
                <w:szCs w:val="16"/>
              </w:rPr>
              <w:t>.</w:t>
            </w:r>
          </w:p>
        </w:tc>
      </w:tr>
      <w:tr w:rsidR="001002C3" w:rsidRPr="007122AB" w14:paraId="4DFDD722" w14:textId="77777777" w:rsidTr="001C3F77">
        <w:tc>
          <w:tcPr>
            <w:tcW w:w="0" w:type="auto"/>
            <w:shd w:val="clear" w:color="auto" w:fill="auto"/>
            <w:vAlign w:val="center"/>
            <w:hideMark/>
          </w:tcPr>
          <w:p w14:paraId="7BF3B8A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Научно-исследовательские работы:</w:t>
            </w:r>
          </w:p>
        </w:tc>
        <w:tc>
          <w:tcPr>
            <w:tcW w:w="0" w:type="auto"/>
            <w:shd w:val="clear" w:color="auto" w:fill="auto"/>
            <w:vAlign w:val="center"/>
            <w:hideMark/>
          </w:tcPr>
          <w:p w14:paraId="5000E92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E7F395F" w14:textId="77777777" w:rsidTr="001C3F77">
        <w:tc>
          <w:tcPr>
            <w:tcW w:w="0" w:type="auto"/>
            <w:shd w:val="clear" w:color="auto" w:fill="auto"/>
            <w:vAlign w:val="center"/>
            <w:hideMark/>
          </w:tcPr>
          <w:p w14:paraId="1E331C4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Работы по </w:t>
            </w:r>
            <w:proofErr w:type="spellStart"/>
            <w:r w:rsidRPr="007122AB">
              <w:rPr>
                <w:rFonts w:ascii="Times New Roman" w:hAnsi="Times New Roman"/>
                <w:color w:val="000000" w:themeColor="text1"/>
                <w:sz w:val="16"/>
                <w:szCs w:val="16"/>
              </w:rPr>
              <w:t>флегматизации</w:t>
            </w:r>
            <w:proofErr w:type="spellEnd"/>
            <w:r w:rsidRPr="007122AB">
              <w:rPr>
                <w:rFonts w:ascii="Times New Roman" w:hAnsi="Times New Roman"/>
                <w:color w:val="000000" w:themeColor="text1"/>
                <w:sz w:val="16"/>
                <w:szCs w:val="16"/>
              </w:rPr>
              <w:t xml:space="preserve"> водорода</w:t>
            </w:r>
          </w:p>
        </w:tc>
        <w:tc>
          <w:tcPr>
            <w:tcW w:w="0" w:type="auto"/>
            <w:shd w:val="clear" w:color="auto" w:fill="auto"/>
            <w:vAlign w:val="center"/>
            <w:hideMark/>
          </w:tcPr>
          <w:p w14:paraId="29CFA87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10E7AF91" w14:textId="77777777" w:rsidTr="001C3F77">
        <w:tc>
          <w:tcPr>
            <w:tcW w:w="0" w:type="auto"/>
            <w:shd w:val="clear" w:color="auto" w:fill="auto"/>
            <w:vAlign w:val="center"/>
            <w:hideMark/>
          </w:tcPr>
          <w:p w14:paraId="11C8BE5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Разработка методов очистки “постаревшего” водорода и гелия</w:t>
            </w:r>
          </w:p>
        </w:tc>
        <w:tc>
          <w:tcPr>
            <w:tcW w:w="0" w:type="auto"/>
            <w:shd w:val="clear" w:color="auto" w:fill="auto"/>
            <w:vAlign w:val="center"/>
            <w:hideMark/>
          </w:tcPr>
          <w:p w14:paraId="5D39E3D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2540D59B" w14:textId="77777777" w:rsidTr="001C3F77">
        <w:tc>
          <w:tcPr>
            <w:tcW w:w="0" w:type="auto"/>
            <w:shd w:val="clear" w:color="auto" w:fill="auto"/>
            <w:vAlign w:val="center"/>
            <w:hideMark/>
          </w:tcPr>
          <w:p w14:paraId="2347011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Работы по газопроницаемости водорода и гелия</w:t>
            </w:r>
          </w:p>
        </w:tc>
        <w:tc>
          <w:tcPr>
            <w:tcW w:w="0" w:type="auto"/>
            <w:shd w:val="clear" w:color="auto" w:fill="auto"/>
            <w:vAlign w:val="center"/>
            <w:hideMark/>
          </w:tcPr>
          <w:p w14:paraId="760126F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120C6735" w14:textId="77777777" w:rsidTr="001C3F77">
        <w:tc>
          <w:tcPr>
            <w:tcW w:w="0" w:type="auto"/>
            <w:shd w:val="clear" w:color="auto" w:fill="auto"/>
            <w:vAlign w:val="center"/>
            <w:hideMark/>
          </w:tcPr>
          <w:p w14:paraId="434F692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18. Работы по изучению обледенения воздушных судов</w:t>
            </w:r>
          </w:p>
        </w:tc>
        <w:tc>
          <w:tcPr>
            <w:tcW w:w="0" w:type="auto"/>
            <w:shd w:val="clear" w:color="auto" w:fill="auto"/>
            <w:vAlign w:val="center"/>
            <w:hideMark/>
          </w:tcPr>
          <w:p w14:paraId="5882192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0DDD8029" w14:textId="77777777" w:rsidTr="001C3F77">
        <w:tc>
          <w:tcPr>
            <w:tcW w:w="0" w:type="auto"/>
            <w:shd w:val="clear" w:color="auto" w:fill="auto"/>
            <w:vAlign w:val="center"/>
            <w:hideMark/>
          </w:tcPr>
          <w:p w14:paraId="00E014E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Работы по динамическим перегрузкам и высотам воздушных судов</w:t>
            </w:r>
          </w:p>
        </w:tc>
        <w:tc>
          <w:tcPr>
            <w:tcW w:w="0" w:type="auto"/>
            <w:shd w:val="clear" w:color="auto" w:fill="auto"/>
            <w:vAlign w:val="center"/>
            <w:hideMark/>
          </w:tcPr>
          <w:p w14:paraId="2F8EA1A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r>
      <w:tr w:rsidR="001002C3" w:rsidRPr="007122AB" w14:paraId="073A5FE4" w14:textId="77777777" w:rsidTr="001C3F77">
        <w:tc>
          <w:tcPr>
            <w:tcW w:w="0" w:type="auto"/>
            <w:shd w:val="clear" w:color="auto" w:fill="auto"/>
            <w:vAlign w:val="center"/>
            <w:hideMark/>
          </w:tcPr>
          <w:p w14:paraId="058A4BC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Опытные работы по воздухоплавательному мотору “МД” на тяжелом и газовом топливе</w:t>
            </w:r>
          </w:p>
        </w:tc>
        <w:tc>
          <w:tcPr>
            <w:tcW w:w="0" w:type="auto"/>
            <w:shd w:val="clear" w:color="auto" w:fill="auto"/>
            <w:vAlign w:val="center"/>
            <w:hideMark/>
          </w:tcPr>
          <w:p w14:paraId="2588ABF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1F987F42" w14:textId="77777777" w:rsidTr="001C3F77">
        <w:tc>
          <w:tcPr>
            <w:tcW w:w="0" w:type="auto"/>
            <w:shd w:val="clear" w:color="auto" w:fill="auto"/>
            <w:vAlign w:val="center"/>
            <w:hideMark/>
          </w:tcPr>
          <w:p w14:paraId="657D634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Работы по конденсаторам балласта</w:t>
            </w:r>
          </w:p>
        </w:tc>
        <w:tc>
          <w:tcPr>
            <w:tcW w:w="0" w:type="auto"/>
            <w:shd w:val="clear" w:color="auto" w:fill="auto"/>
            <w:vAlign w:val="center"/>
            <w:hideMark/>
          </w:tcPr>
          <w:p w14:paraId="1656EB9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17246757" w14:textId="77777777" w:rsidTr="001C3F77">
        <w:tc>
          <w:tcPr>
            <w:tcW w:w="0" w:type="auto"/>
            <w:shd w:val="clear" w:color="auto" w:fill="auto"/>
            <w:vAlign w:val="center"/>
            <w:hideMark/>
          </w:tcPr>
          <w:p w14:paraId="3856CF6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Работы по аэродинамике и устойчивости воздушных судов</w:t>
            </w:r>
          </w:p>
        </w:tc>
        <w:tc>
          <w:tcPr>
            <w:tcW w:w="0" w:type="auto"/>
            <w:shd w:val="clear" w:color="auto" w:fill="auto"/>
            <w:vAlign w:val="center"/>
            <w:hideMark/>
          </w:tcPr>
          <w:p w14:paraId="7560A19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r>
      <w:tr w:rsidR="001002C3" w:rsidRPr="007122AB" w14:paraId="038B5A18" w14:textId="77777777" w:rsidTr="001C3F77">
        <w:tc>
          <w:tcPr>
            <w:tcW w:w="0" w:type="auto"/>
            <w:shd w:val="clear" w:color="auto" w:fill="auto"/>
            <w:vAlign w:val="center"/>
            <w:hideMark/>
          </w:tcPr>
          <w:p w14:paraId="6A9D38B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Разработка методики гидростатических испытаний моделей воздушных судов</w:t>
            </w:r>
          </w:p>
        </w:tc>
        <w:tc>
          <w:tcPr>
            <w:tcW w:w="0" w:type="auto"/>
            <w:shd w:val="clear" w:color="auto" w:fill="auto"/>
            <w:vAlign w:val="center"/>
            <w:hideMark/>
          </w:tcPr>
          <w:p w14:paraId="2C95A29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r>
      <w:tr w:rsidR="001002C3" w:rsidRPr="007122AB" w14:paraId="563D81AD" w14:textId="77777777" w:rsidTr="001C3F77">
        <w:tc>
          <w:tcPr>
            <w:tcW w:w="0" w:type="auto"/>
            <w:shd w:val="clear" w:color="auto" w:fill="auto"/>
            <w:vAlign w:val="center"/>
            <w:hideMark/>
          </w:tcPr>
          <w:p w14:paraId="140BF90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Работы по изучению термических и динамических напряжений в каркасах воздушных судов</w:t>
            </w:r>
          </w:p>
        </w:tc>
        <w:tc>
          <w:tcPr>
            <w:tcW w:w="0" w:type="auto"/>
            <w:shd w:val="clear" w:color="auto" w:fill="auto"/>
            <w:vAlign w:val="center"/>
            <w:hideMark/>
          </w:tcPr>
          <w:p w14:paraId="2A5D3EC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2F8EF8C0" w14:textId="77777777" w:rsidTr="001C3F77">
        <w:tc>
          <w:tcPr>
            <w:tcW w:w="0" w:type="auto"/>
            <w:shd w:val="clear" w:color="auto" w:fill="auto"/>
            <w:vAlign w:val="center"/>
            <w:hideMark/>
          </w:tcPr>
          <w:p w14:paraId="10A4A497"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Разработка технологии производства воздухоплавательных тканей и оболочек из них</w:t>
            </w:r>
          </w:p>
        </w:tc>
        <w:tc>
          <w:tcPr>
            <w:tcW w:w="0" w:type="auto"/>
            <w:shd w:val="clear" w:color="auto" w:fill="auto"/>
            <w:vAlign w:val="center"/>
            <w:hideMark/>
          </w:tcPr>
          <w:p w14:paraId="174AE70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r>
      <w:tr w:rsidR="001002C3" w:rsidRPr="007122AB" w14:paraId="0467E1D3" w14:textId="77777777" w:rsidTr="001C3F77">
        <w:tc>
          <w:tcPr>
            <w:tcW w:w="0" w:type="auto"/>
            <w:shd w:val="clear" w:color="auto" w:fill="auto"/>
            <w:vAlign w:val="center"/>
            <w:hideMark/>
          </w:tcPr>
          <w:p w14:paraId="1AE9B07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1223D9D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530,0 тыс. руб.</w:t>
            </w:r>
          </w:p>
        </w:tc>
      </w:tr>
      <w:tr w:rsidR="001002C3" w:rsidRPr="007122AB" w14:paraId="2C3CFBB0" w14:textId="77777777" w:rsidTr="001C3F77">
        <w:tc>
          <w:tcPr>
            <w:tcW w:w="0" w:type="auto"/>
            <w:shd w:val="clear" w:color="auto" w:fill="auto"/>
            <w:vAlign w:val="center"/>
            <w:hideMark/>
          </w:tcPr>
          <w:p w14:paraId="204F064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Подготовка кадров:</w:t>
            </w:r>
          </w:p>
        </w:tc>
        <w:tc>
          <w:tcPr>
            <w:tcW w:w="0" w:type="auto"/>
            <w:shd w:val="clear" w:color="auto" w:fill="auto"/>
            <w:vAlign w:val="center"/>
            <w:hideMark/>
          </w:tcPr>
          <w:p w14:paraId="12B105E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FF45B99" w14:textId="77777777" w:rsidTr="001C3F77">
        <w:tc>
          <w:tcPr>
            <w:tcW w:w="0" w:type="auto"/>
            <w:shd w:val="clear" w:color="auto" w:fill="auto"/>
            <w:vAlign w:val="center"/>
            <w:hideMark/>
          </w:tcPr>
          <w:p w14:paraId="3A90575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Подготовка во </w:t>
            </w:r>
            <w:proofErr w:type="spellStart"/>
            <w:r w:rsidRPr="007122AB">
              <w:rPr>
                <w:rFonts w:ascii="Times New Roman" w:hAnsi="Times New Roman"/>
                <w:color w:val="000000" w:themeColor="text1"/>
                <w:sz w:val="16"/>
                <w:szCs w:val="16"/>
              </w:rPr>
              <w:t>ВТУЗ'е</w:t>
            </w:r>
            <w:proofErr w:type="spellEnd"/>
            <w:r w:rsidRPr="007122AB">
              <w:rPr>
                <w:rFonts w:ascii="Times New Roman" w:hAnsi="Times New Roman"/>
                <w:color w:val="000000" w:themeColor="text1"/>
                <w:sz w:val="16"/>
                <w:szCs w:val="16"/>
              </w:rPr>
              <w:t xml:space="preserve"> студентов</w:t>
            </w:r>
          </w:p>
        </w:tc>
        <w:tc>
          <w:tcPr>
            <w:tcW w:w="0" w:type="auto"/>
            <w:shd w:val="clear" w:color="auto" w:fill="auto"/>
            <w:vAlign w:val="center"/>
            <w:hideMark/>
          </w:tcPr>
          <w:p w14:paraId="4E72AA19"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7B2E342E" w14:textId="77777777" w:rsidTr="001C3F77">
        <w:tc>
          <w:tcPr>
            <w:tcW w:w="0" w:type="auto"/>
            <w:shd w:val="clear" w:color="auto" w:fill="auto"/>
            <w:vAlign w:val="center"/>
            <w:hideMark/>
          </w:tcPr>
          <w:p w14:paraId="7C6AC03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Подготовка на заводе Марти рабочих</w:t>
            </w:r>
          </w:p>
        </w:tc>
        <w:tc>
          <w:tcPr>
            <w:tcW w:w="0" w:type="auto"/>
            <w:shd w:val="clear" w:color="auto" w:fill="auto"/>
            <w:vAlign w:val="center"/>
            <w:hideMark/>
          </w:tcPr>
          <w:p w14:paraId="265DE53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7B84CAD3" w14:textId="77777777" w:rsidTr="001C3F77">
        <w:tc>
          <w:tcPr>
            <w:tcW w:w="0" w:type="auto"/>
            <w:shd w:val="clear" w:color="auto" w:fill="auto"/>
            <w:vAlign w:val="center"/>
            <w:hideMark/>
          </w:tcPr>
          <w:p w14:paraId="3694CF6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Подготовка летне-подъемного состава</w:t>
            </w:r>
          </w:p>
        </w:tc>
        <w:tc>
          <w:tcPr>
            <w:tcW w:w="0" w:type="auto"/>
            <w:shd w:val="clear" w:color="auto" w:fill="auto"/>
            <w:vAlign w:val="center"/>
            <w:hideMark/>
          </w:tcPr>
          <w:p w14:paraId="05E69F9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49B7191B" w14:textId="77777777" w:rsidTr="001C3F77">
        <w:tc>
          <w:tcPr>
            <w:tcW w:w="0" w:type="auto"/>
            <w:shd w:val="clear" w:color="auto" w:fill="auto"/>
            <w:vAlign w:val="center"/>
            <w:hideMark/>
          </w:tcPr>
          <w:p w14:paraId="30660D9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Оборудование лабораторий</w:t>
            </w:r>
          </w:p>
        </w:tc>
        <w:tc>
          <w:tcPr>
            <w:tcW w:w="0" w:type="auto"/>
            <w:shd w:val="clear" w:color="auto" w:fill="auto"/>
            <w:vAlign w:val="center"/>
            <w:hideMark/>
          </w:tcPr>
          <w:p w14:paraId="56244D5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5ECED937" w14:textId="77777777" w:rsidTr="001C3F77">
        <w:tc>
          <w:tcPr>
            <w:tcW w:w="0" w:type="auto"/>
            <w:shd w:val="clear" w:color="auto" w:fill="auto"/>
            <w:vAlign w:val="center"/>
            <w:hideMark/>
          </w:tcPr>
          <w:p w14:paraId="104B043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28EE736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1.480,0 тыс. руб.</w:t>
            </w:r>
          </w:p>
        </w:tc>
      </w:tr>
      <w:tr w:rsidR="001002C3" w:rsidRPr="007122AB" w14:paraId="38CD5CB6" w14:textId="77777777" w:rsidTr="001C3F77">
        <w:tc>
          <w:tcPr>
            <w:tcW w:w="0" w:type="auto"/>
            <w:shd w:val="clear" w:color="auto" w:fill="auto"/>
            <w:vAlign w:val="center"/>
            <w:hideMark/>
          </w:tcPr>
          <w:p w14:paraId="406FEAC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Гелиевые работы:</w:t>
            </w:r>
          </w:p>
        </w:tc>
        <w:tc>
          <w:tcPr>
            <w:tcW w:w="0" w:type="auto"/>
            <w:shd w:val="clear" w:color="auto" w:fill="auto"/>
            <w:vAlign w:val="center"/>
            <w:hideMark/>
          </w:tcPr>
          <w:p w14:paraId="208F6974"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1.840,0 тыс. руб.</w:t>
            </w:r>
          </w:p>
        </w:tc>
      </w:tr>
      <w:tr w:rsidR="001002C3" w:rsidRPr="007122AB" w14:paraId="5CD75CF2" w14:textId="77777777" w:rsidTr="001C3F77">
        <w:tc>
          <w:tcPr>
            <w:tcW w:w="0" w:type="auto"/>
            <w:shd w:val="clear" w:color="auto" w:fill="auto"/>
            <w:vAlign w:val="center"/>
            <w:hideMark/>
          </w:tcPr>
          <w:p w14:paraId="396A763A"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Опытная эксплуатация кораблей:</w:t>
            </w:r>
          </w:p>
        </w:tc>
        <w:tc>
          <w:tcPr>
            <w:tcW w:w="0" w:type="auto"/>
            <w:shd w:val="clear" w:color="auto" w:fill="auto"/>
            <w:vAlign w:val="center"/>
            <w:hideMark/>
          </w:tcPr>
          <w:p w14:paraId="44466D2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1575A7F5" w14:textId="77777777" w:rsidTr="001C3F77">
        <w:tc>
          <w:tcPr>
            <w:tcW w:w="0" w:type="auto"/>
            <w:shd w:val="clear" w:color="auto" w:fill="auto"/>
            <w:vAlign w:val="center"/>
            <w:hideMark/>
          </w:tcPr>
          <w:p w14:paraId="4D15849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Расходы по эксплуатации кораблей в 2.200 куб. м</w:t>
            </w:r>
          </w:p>
        </w:tc>
        <w:tc>
          <w:tcPr>
            <w:tcW w:w="0" w:type="auto"/>
            <w:shd w:val="clear" w:color="auto" w:fill="auto"/>
            <w:vAlign w:val="center"/>
            <w:hideMark/>
          </w:tcPr>
          <w:p w14:paraId="4D8C2BB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r>
      <w:tr w:rsidR="001002C3" w:rsidRPr="007122AB" w14:paraId="2A143023" w14:textId="77777777" w:rsidTr="001C3F77">
        <w:tc>
          <w:tcPr>
            <w:tcW w:w="0" w:type="auto"/>
            <w:shd w:val="clear" w:color="auto" w:fill="auto"/>
            <w:vAlign w:val="center"/>
            <w:hideMark/>
          </w:tcPr>
          <w:p w14:paraId="5DB9166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 Расходы по эксплуатации кораблей в 7.500 куб. м</w:t>
            </w:r>
          </w:p>
        </w:tc>
        <w:tc>
          <w:tcPr>
            <w:tcW w:w="0" w:type="auto"/>
            <w:shd w:val="clear" w:color="auto" w:fill="auto"/>
            <w:vAlign w:val="center"/>
            <w:hideMark/>
          </w:tcPr>
          <w:p w14:paraId="209C5FC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63,0</w:t>
            </w:r>
          </w:p>
        </w:tc>
      </w:tr>
      <w:tr w:rsidR="001002C3" w:rsidRPr="007122AB" w14:paraId="46E04EC1" w14:textId="77777777" w:rsidTr="001C3F77">
        <w:tc>
          <w:tcPr>
            <w:tcW w:w="0" w:type="auto"/>
            <w:shd w:val="clear" w:color="auto" w:fill="auto"/>
            <w:vAlign w:val="center"/>
            <w:hideMark/>
          </w:tcPr>
          <w:p w14:paraId="6387816F"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607D6D8B"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108,0 тыс. руб.</w:t>
            </w:r>
          </w:p>
        </w:tc>
      </w:tr>
      <w:tr w:rsidR="001002C3" w:rsidRPr="007122AB" w14:paraId="0AAED45B" w14:textId="77777777" w:rsidTr="001C3F77">
        <w:tc>
          <w:tcPr>
            <w:tcW w:w="0" w:type="auto"/>
            <w:shd w:val="clear" w:color="auto" w:fill="auto"/>
            <w:vAlign w:val="center"/>
            <w:hideMark/>
          </w:tcPr>
          <w:p w14:paraId="263A131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Административно-хозяйственные расходы:</w:t>
            </w:r>
          </w:p>
        </w:tc>
        <w:tc>
          <w:tcPr>
            <w:tcW w:w="0" w:type="auto"/>
            <w:shd w:val="clear" w:color="auto" w:fill="auto"/>
            <w:vAlign w:val="center"/>
            <w:hideMark/>
          </w:tcPr>
          <w:p w14:paraId="1CFC0093"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02642F04" w14:textId="77777777" w:rsidTr="001C3F77">
        <w:tc>
          <w:tcPr>
            <w:tcW w:w="0" w:type="auto"/>
            <w:shd w:val="clear" w:color="auto" w:fill="auto"/>
            <w:vAlign w:val="center"/>
            <w:hideMark/>
          </w:tcPr>
          <w:p w14:paraId="70156F7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 Содержание НИИСЭД</w:t>
            </w:r>
          </w:p>
        </w:tc>
        <w:tc>
          <w:tcPr>
            <w:tcW w:w="0" w:type="auto"/>
            <w:shd w:val="clear" w:color="auto" w:fill="auto"/>
            <w:vAlign w:val="center"/>
            <w:hideMark/>
          </w:tcPr>
          <w:p w14:paraId="0161075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112,0</w:t>
            </w:r>
          </w:p>
        </w:tc>
      </w:tr>
      <w:tr w:rsidR="001002C3" w:rsidRPr="007122AB" w14:paraId="0E33C21F" w14:textId="77777777" w:rsidTr="001C3F77">
        <w:tc>
          <w:tcPr>
            <w:tcW w:w="0" w:type="auto"/>
            <w:shd w:val="clear" w:color="auto" w:fill="auto"/>
            <w:vAlign w:val="center"/>
            <w:hideMark/>
          </w:tcPr>
          <w:p w14:paraId="586C50B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Ремонт (или приобретение; зданий для Института и его работников (ориентировочно)</w:t>
            </w:r>
          </w:p>
        </w:tc>
        <w:tc>
          <w:tcPr>
            <w:tcW w:w="0" w:type="auto"/>
            <w:shd w:val="clear" w:color="auto" w:fill="auto"/>
            <w:vAlign w:val="center"/>
            <w:hideMark/>
          </w:tcPr>
          <w:p w14:paraId="4E6184E2"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4F639B66" w14:textId="77777777" w:rsidTr="001C3F77">
        <w:tc>
          <w:tcPr>
            <w:tcW w:w="0" w:type="auto"/>
            <w:shd w:val="clear" w:color="auto" w:fill="auto"/>
            <w:vAlign w:val="center"/>
            <w:hideMark/>
          </w:tcPr>
          <w:p w14:paraId="72AAE7F0"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2190E9B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312,0 тыс. руб.</w:t>
            </w:r>
          </w:p>
        </w:tc>
      </w:tr>
      <w:tr w:rsidR="001002C3" w:rsidRPr="007122AB" w14:paraId="3E1220B4" w14:textId="77777777" w:rsidTr="001C3F77">
        <w:tc>
          <w:tcPr>
            <w:tcW w:w="0" w:type="auto"/>
            <w:shd w:val="clear" w:color="auto" w:fill="auto"/>
            <w:vAlign w:val="center"/>
            <w:hideMark/>
          </w:tcPr>
          <w:p w14:paraId="3B4D8A8C"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28C8E551"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6.400,0 тыс. руб.</w:t>
            </w:r>
          </w:p>
        </w:tc>
      </w:tr>
      <w:tr w:rsidR="001002C3" w:rsidRPr="007122AB" w14:paraId="3DC48E3A" w14:textId="77777777" w:rsidTr="001C3F77">
        <w:tc>
          <w:tcPr>
            <w:tcW w:w="0" w:type="auto"/>
            <w:shd w:val="clear" w:color="auto" w:fill="auto"/>
            <w:vAlign w:val="center"/>
            <w:hideMark/>
          </w:tcPr>
          <w:p w14:paraId="587D6FC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резерв и на организационно-конструкторское бюро по крупному дирижаблестроению</w:t>
            </w:r>
          </w:p>
        </w:tc>
        <w:tc>
          <w:tcPr>
            <w:tcW w:w="0" w:type="auto"/>
            <w:shd w:val="clear" w:color="auto" w:fill="auto"/>
            <w:vAlign w:val="center"/>
            <w:hideMark/>
          </w:tcPr>
          <w:p w14:paraId="5F36360E"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34D8F0EE" w14:textId="77777777" w:rsidTr="001C3F77">
        <w:tc>
          <w:tcPr>
            <w:tcW w:w="0" w:type="auto"/>
            <w:shd w:val="clear" w:color="auto" w:fill="auto"/>
            <w:vAlign w:val="center"/>
            <w:hideMark/>
          </w:tcPr>
          <w:p w14:paraId="38912A6D"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0" w:type="auto"/>
            <w:shd w:val="clear" w:color="auto" w:fill="auto"/>
            <w:vAlign w:val="center"/>
            <w:hideMark/>
          </w:tcPr>
          <w:p w14:paraId="34156BE5"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 тыс. руб.</w:t>
            </w:r>
          </w:p>
        </w:tc>
      </w:tr>
    </w:tbl>
    <w:p w14:paraId="019FB1E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С.  </w:t>
      </w:r>
      <w:proofErr w:type="spellStart"/>
      <w:r w:rsidRPr="007122AB">
        <w:rPr>
          <w:rFonts w:ascii="Times New Roman" w:hAnsi="Times New Roman"/>
          <w:color w:val="000000" w:themeColor="text1"/>
          <w:sz w:val="16"/>
          <w:szCs w:val="16"/>
        </w:rPr>
        <w:t>Уншлихт</w:t>
      </w:r>
      <w:proofErr w:type="spellEnd"/>
    </w:p>
    <w:p w14:paraId="6678C3C8" w14:textId="77777777" w:rsidR="00C4563B" w:rsidRPr="007122AB" w:rsidRDefault="00C456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(18121).</w:t>
      </w:r>
    </w:p>
    <w:p w14:paraId="41FBB9D5" w14:textId="77777777" w:rsidR="00C4563B" w:rsidRPr="007122AB" w:rsidRDefault="00C4563B" w:rsidP="007122AB">
      <w:pPr>
        <w:spacing w:after="0" w:line="240" w:lineRule="auto"/>
        <w:jc w:val="both"/>
        <w:rPr>
          <w:rFonts w:ascii="Times New Roman" w:hAnsi="Times New Roman"/>
          <w:color w:val="000000" w:themeColor="text1"/>
          <w:sz w:val="16"/>
          <w:szCs w:val="16"/>
        </w:rPr>
      </w:pPr>
    </w:p>
    <w:p w14:paraId="113F9DC1" w14:textId="77777777" w:rsidR="00941306" w:rsidRPr="007122AB" w:rsidRDefault="009413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апреля 1931 г. Постановлением СТО в ВО ГВФ воссоздали в Москве Базу опытного строи</w:t>
      </w:r>
      <w:r w:rsidRPr="007122AB">
        <w:rPr>
          <w:rFonts w:ascii="Times New Roman" w:hAnsi="Times New Roman"/>
          <w:color w:val="000000" w:themeColor="text1"/>
          <w:sz w:val="16"/>
          <w:szCs w:val="16"/>
        </w:rPr>
        <w:softHyphen/>
        <w:t>тельства и эксплуатации дирижаблей (БОСЭД) (20120).</w:t>
      </w:r>
    </w:p>
    <w:p w14:paraId="5093A66A" w14:textId="77777777" w:rsidR="00941306" w:rsidRPr="007122AB" w:rsidRDefault="00941306" w:rsidP="007122AB">
      <w:pPr>
        <w:spacing w:after="0" w:line="240" w:lineRule="auto"/>
        <w:jc w:val="both"/>
        <w:rPr>
          <w:rFonts w:ascii="Times New Roman" w:hAnsi="Times New Roman"/>
          <w:color w:val="000000" w:themeColor="text1"/>
          <w:sz w:val="16"/>
          <w:szCs w:val="16"/>
        </w:rPr>
      </w:pPr>
    </w:p>
    <w:p w14:paraId="7114EE1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AFE5CF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415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апреля 1931 года Постановлением Совета Народных Комиссаров СССР в системе Гражданского воздушного флота создали специальное подразделение - Базу опытного строительства и эксплуатации дирижаблей, которая располагалась в Москве. Вскоре БОСЭД переименовали в Научно-исследовательский комбинат по опытному строительству и эксплуатации дирижаблей -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Таким образом, в Москве началось создание государственного центра, в ведение которого переподчинялись все организации, связанные со строительством и использованием дирижаблей.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стал центром притяжения наиболее опытных кадров в этой сфере покорения воздушного пространства (11269).</w:t>
      </w:r>
    </w:p>
    <w:p w14:paraId="34EF1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58D4A3"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25 апреля 1931 </w:t>
      </w:r>
      <w:r w:rsidRPr="007122AB">
        <w:rPr>
          <w:rFonts w:ascii="Times New Roman" w:hAnsi="Times New Roman"/>
          <w:color w:val="000000" w:themeColor="text1"/>
          <w:sz w:val="16"/>
          <w:szCs w:val="16"/>
        </w:rPr>
        <w:t xml:space="preserve">Политбюро ЦК ВКП (б) признало первоочередным строительство комбайновых заводов в Саратове, Новосибирске,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-на-Дону и Запорожье и предложило ВСНХ обеспечить эти заводы агрегатами и деталями; утвердило предложение комиссии о сырье для хлопчатобумажной промышленности на 1931 г (12265).</w:t>
      </w:r>
    </w:p>
    <w:p w14:paraId="6EE26401"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E235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апреля 1931 года эскизный проект быстроходного траль</w:t>
      </w:r>
      <w:r w:rsidRPr="007122AB">
        <w:rPr>
          <w:rFonts w:ascii="Times New Roman" w:hAnsi="Times New Roman"/>
          <w:color w:val="000000" w:themeColor="text1"/>
          <w:sz w:val="16"/>
          <w:szCs w:val="16"/>
        </w:rPr>
        <w:softHyphen/>
        <w:t>щика стандартным водоизмещением 360 т был утвержден Реввоен</w:t>
      </w:r>
      <w:r w:rsidRPr="007122AB">
        <w:rPr>
          <w:rFonts w:ascii="Times New Roman" w:hAnsi="Times New Roman"/>
          <w:color w:val="000000" w:themeColor="text1"/>
          <w:sz w:val="16"/>
          <w:szCs w:val="16"/>
        </w:rPr>
        <w:softHyphen/>
        <w:t>советом.</w:t>
      </w:r>
    </w:p>
    <w:p w14:paraId="2DF48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Составление общего проекта поручили ЦКБС , где его возгла</w:t>
      </w:r>
      <w:r w:rsidRPr="007122AB">
        <w:rPr>
          <w:rFonts w:ascii="Times New Roman" w:hAnsi="Times New Roman"/>
          <w:color w:val="000000" w:themeColor="text1"/>
          <w:sz w:val="16"/>
          <w:szCs w:val="16"/>
        </w:rPr>
        <w:softHyphen/>
        <w:t xml:space="preserve">вил Л. В. </w:t>
      </w:r>
      <w:proofErr w:type="spellStart"/>
      <w:r w:rsidRPr="007122AB">
        <w:rPr>
          <w:rFonts w:ascii="Times New Roman" w:hAnsi="Times New Roman"/>
          <w:color w:val="000000" w:themeColor="text1"/>
          <w:sz w:val="16"/>
          <w:szCs w:val="16"/>
        </w:rPr>
        <w:t>Дикович</w:t>
      </w:r>
      <w:proofErr w:type="spellEnd"/>
      <w:r w:rsidRPr="007122AB">
        <w:rPr>
          <w:rFonts w:ascii="Times New Roman" w:hAnsi="Times New Roman"/>
          <w:color w:val="000000" w:themeColor="text1"/>
          <w:sz w:val="16"/>
          <w:szCs w:val="16"/>
        </w:rPr>
        <w:t xml:space="preserve">, ближайшими помощниками которого стали Ф. П. Мурагин и Г. М. </w:t>
      </w:r>
      <w:proofErr w:type="spellStart"/>
      <w:r w:rsidRPr="007122AB">
        <w:rPr>
          <w:rFonts w:ascii="Times New Roman" w:hAnsi="Times New Roman"/>
          <w:color w:val="000000" w:themeColor="text1"/>
          <w:sz w:val="16"/>
          <w:szCs w:val="16"/>
        </w:rPr>
        <w:t>Вераксо</w:t>
      </w:r>
      <w:proofErr w:type="spellEnd"/>
      <w:r w:rsidRPr="007122AB">
        <w:rPr>
          <w:rFonts w:ascii="Times New Roman" w:hAnsi="Times New Roman"/>
          <w:color w:val="000000" w:themeColor="text1"/>
          <w:sz w:val="16"/>
          <w:szCs w:val="16"/>
        </w:rPr>
        <w:t xml:space="preserve"> (3898).</w:t>
      </w:r>
    </w:p>
    <w:p w14:paraId="1A0CD6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87A6C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4157AE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18D7B2"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апреля 1931 г. представители НИИ ВВС инженеры Б.Т.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и В.С. Вах</w:t>
      </w:r>
      <w:r w:rsidRPr="007122AB">
        <w:rPr>
          <w:rFonts w:ascii="Times New Roman" w:hAnsi="Times New Roman"/>
          <w:color w:val="000000" w:themeColor="text1"/>
          <w:sz w:val="16"/>
          <w:szCs w:val="16"/>
        </w:rPr>
        <w:softHyphen/>
        <w:t>мистров подписали ТТТ к тяжелому сухо</w:t>
      </w:r>
      <w:r w:rsidRPr="007122AB">
        <w:rPr>
          <w:rFonts w:ascii="Times New Roman" w:hAnsi="Times New Roman"/>
          <w:color w:val="000000" w:themeColor="text1"/>
          <w:sz w:val="16"/>
          <w:szCs w:val="16"/>
        </w:rPr>
        <w:softHyphen/>
        <w:t>путному бомбардировщику ТБ-5. Самолет с четырьмя двигателями «Юпитер» IV мощностью по 480 л.с. каждый, должен был обладать следующими характери</w:t>
      </w:r>
      <w:r w:rsidRPr="007122AB">
        <w:rPr>
          <w:rFonts w:ascii="Times New Roman" w:hAnsi="Times New Roman"/>
          <w:color w:val="000000" w:themeColor="text1"/>
          <w:sz w:val="16"/>
          <w:szCs w:val="16"/>
        </w:rPr>
        <w:softHyphen/>
        <w:t>стиками:</w:t>
      </w:r>
    </w:p>
    <w:p w14:paraId="7F179117" w14:textId="77777777" w:rsidR="00EF2E51" w:rsidRPr="007122AB" w:rsidRDefault="00EF2E51" w:rsidP="007122AB">
      <w:pPr>
        <w:numPr>
          <w:ilvl w:val="0"/>
          <w:numId w:val="1"/>
        </w:numPr>
        <w:tabs>
          <w:tab w:val="left" w:pos="39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 с полезной нагруз</w:t>
      </w:r>
      <w:r w:rsidRPr="007122AB">
        <w:rPr>
          <w:rFonts w:ascii="Times New Roman" w:hAnsi="Times New Roman"/>
          <w:color w:val="000000" w:themeColor="text1"/>
          <w:sz w:val="16"/>
          <w:szCs w:val="16"/>
        </w:rPr>
        <w:softHyphen/>
        <w:t>кой 2800 кг на высоте 3000 м - 1200 км;</w:t>
      </w:r>
    </w:p>
    <w:p w14:paraId="46261FDC" w14:textId="77777777" w:rsidR="00EF2E51" w:rsidRPr="007122AB" w:rsidRDefault="00EF2E51" w:rsidP="007122AB">
      <w:pPr>
        <w:numPr>
          <w:ilvl w:val="0"/>
          <w:numId w:val="1"/>
        </w:numPr>
        <w:tabs>
          <w:tab w:val="left" w:pos="396"/>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 210 км/ч;</w:t>
      </w:r>
    </w:p>
    <w:p w14:paraId="3FA1022E" w14:textId="77777777" w:rsidR="00EF2E51" w:rsidRPr="007122AB" w:rsidRDefault="00EF2E51" w:rsidP="007122AB">
      <w:pPr>
        <w:numPr>
          <w:ilvl w:val="0"/>
          <w:numId w:val="1"/>
        </w:numPr>
        <w:tabs>
          <w:tab w:val="left" w:pos="401"/>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 — 5000 м;</w:t>
      </w:r>
    </w:p>
    <w:p w14:paraId="1EDD6E96"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экипаж —6 чел.;</w:t>
      </w:r>
    </w:p>
    <w:p w14:paraId="2FE83C19" w14:textId="77777777" w:rsidR="00EF2E51" w:rsidRPr="007122AB" w:rsidRDefault="00EF2E51" w:rsidP="007122AB">
      <w:pPr>
        <w:numPr>
          <w:ilvl w:val="0"/>
          <w:numId w:val="1"/>
        </w:numPr>
        <w:tabs>
          <w:tab w:val="left" w:pos="399"/>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 1500 кг (с пере</w:t>
      </w:r>
      <w:r w:rsidRPr="007122AB">
        <w:rPr>
          <w:rFonts w:ascii="Times New Roman" w:hAnsi="Times New Roman"/>
          <w:color w:val="000000" w:themeColor="text1"/>
          <w:sz w:val="16"/>
          <w:szCs w:val="16"/>
        </w:rPr>
        <w:softHyphen/>
        <w:t>грузкой до 3200 кг).</w:t>
      </w:r>
    </w:p>
    <w:p w14:paraId="7B56491F"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скорейшего создания ТБ-5 моби</w:t>
      </w:r>
      <w:r w:rsidRPr="007122AB">
        <w:rPr>
          <w:rFonts w:ascii="Times New Roman" w:hAnsi="Times New Roman"/>
          <w:color w:val="000000" w:themeColor="text1"/>
          <w:sz w:val="16"/>
          <w:szCs w:val="16"/>
        </w:rPr>
        <w:softHyphen/>
        <w:t>лизовали практически весь состав ЦКБ и большинство технического персонала завода №39. Самолет №8 спроектировали и построили всего за год, что, несо</w:t>
      </w:r>
      <w:r w:rsidRPr="007122AB">
        <w:rPr>
          <w:rFonts w:ascii="Times New Roman" w:hAnsi="Times New Roman"/>
          <w:color w:val="000000" w:themeColor="text1"/>
          <w:sz w:val="16"/>
          <w:szCs w:val="16"/>
        </w:rPr>
        <w:softHyphen/>
        <w:t>мненно, являлось рекордным сроком для такой крупной и трудоемкой машины. Не следует забывать, что в этот же период Григорович получил задание на проекти</w:t>
      </w:r>
      <w:r w:rsidRPr="007122AB">
        <w:rPr>
          <w:rFonts w:ascii="Times New Roman" w:hAnsi="Times New Roman"/>
          <w:color w:val="000000" w:themeColor="text1"/>
          <w:sz w:val="16"/>
          <w:szCs w:val="16"/>
        </w:rPr>
        <w:softHyphen/>
        <w:t>рование пушечного истребителя И-2 — обе машины строились и были закончены почти в одно время. Очевидно, готовность обоих аппаратов была определена в мае 1931 г. — именно тогда конструктор Григо</w:t>
      </w:r>
      <w:r w:rsidRPr="007122AB">
        <w:rPr>
          <w:rFonts w:ascii="Times New Roman" w:hAnsi="Times New Roman"/>
          <w:color w:val="000000" w:themeColor="text1"/>
          <w:sz w:val="16"/>
          <w:szCs w:val="16"/>
        </w:rPr>
        <w:softHyphen/>
        <w:t>рович советской властью был амнистиро</w:t>
      </w:r>
      <w:r w:rsidRPr="007122AB">
        <w:rPr>
          <w:rFonts w:ascii="Times New Roman" w:hAnsi="Times New Roman"/>
          <w:color w:val="000000" w:themeColor="text1"/>
          <w:sz w:val="16"/>
          <w:szCs w:val="16"/>
        </w:rPr>
        <w:softHyphen/>
        <w:t>ван и далее работал как вольнонаемный человек и гражданин.</w:t>
      </w:r>
    </w:p>
    <w:p w14:paraId="38401363"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Назначе</w:t>
      </w:r>
      <w:r w:rsidRPr="007122AB">
        <w:rPr>
          <w:rFonts w:ascii="Times New Roman" w:hAnsi="Times New Roman"/>
          <w:color w:val="000000" w:themeColor="text1"/>
          <w:sz w:val="16"/>
          <w:szCs w:val="16"/>
        </w:rPr>
        <w:softHyphen/>
        <w:t xml:space="preserve">ние </w:t>
      </w:r>
      <w:proofErr w:type="spellStart"/>
      <w:r w:rsidRPr="007122AB">
        <w:rPr>
          <w:rFonts w:ascii="Times New Roman" w:hAnsi="Times New Roman"/>
          <w:color w:val="000000" w:themeColor="text1"/>
          <w:sz w:val="16"/>
          <w:szCs w:val="16"/>
        </w:rPr>
        <w:t>стабилирона</w:t>
      </w:r>
      <w:proofErr w:type="spellEnd"/>
      <w:r w:rsidRPr="007122AB">
        <w:rPr>
          <w:rFonts w:ascii="Times New Roman" w:hAnsi="Times New Roman"/>
          <w:color w:val="000000" w:themeColor="text1"/>
          <w:sz w:val="16"/>
          <w:szCs w:val="16"/>
        </w:rPr>
        <w:t xml:space="preserve"> — облегчить усилия на рулях во время посадки и при изменении центровки.</w:t>
      </w:r>
    </w:p>
    <w:p w14:paraId="0D3490D0"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самолета из металла с полотняной обшивкой. Фюзеляж фер</w:t>
      </w:r>
      <w:r w:rsidRPr="007122AB">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7122AB">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7122AB">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7122AB">
        <w:rPr>
          <w:rFonts w:ascii="Times New Roman" w:hAnsi="Times New Roman"/>
          <w:color w:val="000000" w:themeColor="text1"/>
          <w:sz w:val="16"/>
          <w:szCs w:val="16"/>
        </w:rPr>
        <w:softHyphen/>
        <w:t>ками для отдыха.</w:t>
      </w:r>
    </w:p>
    <w:p w14:paraId="34A438DB"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Оборонительное вооружение ТБ-5 состояло из трех турелей ТУ Р-5 со спарен</w:t>
      </w:r>
      <w:r w:rsidRPr="007122AB">
        <w:rPr>
          <w:rFonts w:ascii="Times New Roman" w:hAnsi="Times New Roman"/>
          <w:color w:val="000000" w:themeColor="text1"/>
          <w:sz w:val="16"/>
          <w:szCs w:val="16"/>
        </w:rPr>
        <w:softHyphen/>
        <w:t>ными пулеметами ДА. Одна турель нахо</w:t>
      </w:r>
      <w:r w:rsidRPr="007122AB">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1B25F35E"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место в носовой части фюзе</w:t>
      </w:r>
      <w:r w:rsidRPr="007122AB">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7122AB">
        <w:rPr>
          <w:rFonts w:ascii="Times New Roman" w:hAnsi="Times New Roman"/>
          <w:color w:val="000000" w:themeColor="text1"/>
          <w:sz w:val="16"/>
          <w:szCs w:val="16"/>
        </w:rPr>
        <w:softHyphen/>
        <w:t xml:space="preserve">ния под руководством А.В. </w:t>
      </w:r>
      <w:proofErr w:type="spellStart"/>
      <w:r w:rsidRPr="007122AB">
        <w:rPr>
          <w:rFonts w:ascii="Times New Roman" w:hAnsi="Times New Roman"/>
          <w:color w:val="000000" w:themeColor="text1"/>
          <w:sz w:val="16"/>
          <w:szCs w:val="16"/>
        </w:rPr>
        <w:t>Надашкевича</w:t>
      </w:r>
      <w:proofErr w:type="spellEnd"/>
      <w:r w:rsidRPr="007122AB">
        <w:rPr>
          <w:rFonts w:ascii="Times New Roman" w:hAnsi="Times New Roman"/>
          <w:color w:val="000000" w:themeColor="text1"/>
          <w:sz w:val="16"/>
          <w:szCs w:val="16"/>
        </w:rPr>
        <w:t>. Практически это была первая в стране заявка на серьезную механизированную и электрифицированную оборонитель</w:t>
      </w:r>
      <w:r w:rsidRPr="007122AB">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7122AB">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7122AB">
        <w:rPr>
          <w:rFonts w:ascii="Times New Roman" w:hAnsi="Times New Roman"/>
          <w:color w:val="000000" w:themeColor="text1"/>
          <w:sz w:val="16"/>
          <w:szCs w:val="16"/>
        </w:rPr>
        <w:softHyphen/>
        <w:t>положенную за его спиной.</w:t>
      </w:r>
    </w:p>
    <w:p w14:paraId="19F60D68"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w:t>
      </w:r>
      <w:proofErr w:type="spellStart"/>
      <w:r w:rsidRPr="007122AB">
        <w:rPr>
          <w:rFonts w:ascii="Times New Roman" w:hAnsi="Times New Roman"/>
          <w:color w:val="000000" w:themeColor="text1"/>
          <w:sz w:val="16"/>
          <w:szCs w:val="16"/>
        </w:rPr>
        <w:t>максимов</w:t>
      </w:r>
      <w:proofErr w:type="spellEnd"/>
      <w:r w:rsidRPr="007122AB">
        <w:rPr>
          <w:rFonts w:ascii="Times New Roman" w:hAnsi="Times New Roman"/>
          <w:color w:val="000000" w:themeColor="text1"/>
          <w:sz w:val="16"/>
          <w:szCs w:val="16"/>
        </w:rPr>
        <w:t>», у которых вместо водяного применялось воздушное охлаждение. Башня, являв</w:t>
      </w:r>
      <w:r w:rsidRPr="007122AB">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7122AB">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7122AB">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0F6D015C"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Крыло ТБ-5 </w:t>
      </w:r>
      <w:proofErr w:type="spellStart"/>
      <w:r w:rsidRPr="007122AB">
        <w:rPr>
          <w:rFonts w:ascii="Times New Roman" w:hAnsi="Times New Roman"/>
          <w:color w:val="000000" w:themeColor="text1"/>
          <w:sz w:val="16"/>
          <w:szCs w:val="16"/>
        </w:rPr>
        <w:t>трехлонжеронное</w:t>
      </w:r>
      <w:proofErr w:type="spellEnd"/>
      <w:r w:rsidRPr="007122AB">
        <w:rPr>
          <w:rFonts w:ascii="Times New Roman" w:hAnsi="Times New Roman"/>
          <w:color w:val="000000" w:themeColor="text1"/>
          <w:sz w:val="16"/>
          <w:szCs w:val="16"/>
        </w:rPr>
        <w:t>, с частым шагом нервюр (поэтому и очень трудоем</w:t>
      </w:r>
      <w:r w:rsidRPr="007122AB">
        <w:rPr>
          <w:rFonts w:ascii="Times New Roman" w:hAnsi="Times New Roman"/>
          <w:color w:val="000000" w:themeColor="text1"/>
          <w:sz w:val="16"/>
          <w:szCs w:val="16"/>
        </w:rPr>
        <w:softHyphen/>
        <w:t>кое, особенно но части крепления полотня</w:t>
      </w:r>
      <w:r w:rsidRPr="007122AB">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63D9F133"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 самолете с каждой стороны фюзеляжа под крылом устанавливались по два двига</w:t>
      </w:r>
      <w:r w:rsidRPr="007122AB">
        <w:rPr>
          <w:rFonts w:ascii="Times New Roman" w:hAnsi="Times New Roman"/>
          <w:color w:val="000000" w:themeColor="text1"/>
          <w:sz w:val="16"/>
          <w:szCs w:val="16"/>
        </w:rPr>
        <w:softHyphen/>
        <w:t xml:space="preserve">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Воздушные винты деревянные, передний — тянущий, задний — толкающий (12611).</w:t>
      </w:r>
    </w:p>
    <w:p w14:paraId="3B071602"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19E414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апреля 1931 года Гроховский писал письмо наркому по военным и морским делам и председателю РВС Ворошилову:</w:t>
      </w:r>
    </w:p>
    <w:p w14:paraId="5DF19C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Работая с 1923 года в Воздушном флоте мне часто приходилось сталкиваться с недочетами в организации воздушного флота.</w:t>
      </w:r>
    </w:p>
    <w:p w14:paraId="190061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назначением на должность начальника ВС Баранова ожидалось повышение и укрепление боеспособности воздушного флота, что же мы видим во время командования Баранова:</w:t>
      </w:r>
    </w:p>
    <w:p w14:paraId="3E9EDED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(недостатки по пунктам).</w:t>
      </w:r>
    </w:p>
    <w:p w14:paraId="6FD79F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время командования Баранова не было выпущено ни одного хорошего самолета, все они были связаны с вредительством и только после вмешательства ГПУ в ВФ стали появляться хорошие самолеты ……………………………….</w:t>
      </w:r>
    </w:p>
    <w:p w14:paraId="3E181A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результате всего этого мы на сегодняшний день не имеем технических боевых средств, как получение приборов </w:t>
      </w:r>
      <w:proofErr w:type="spellStart"/>
      <w:r w:rsidRPr="007122AB">
        <w:rPr>
          <w:rFonts w:ascii="Times New Roman" w:hAnsi="Times New Roman"/>
          <w:color w:val="000000" w:themeColor="text1"/>
          <w:sz w:val="16"/>
          <w:szCs w:val="16"/>
        </w:rPr>
        <w:t>дымзавес</w:t>
      </w:r>
      <w:proofErr w:type="spellEnd"/>
      <w:r w:rsidRPr="007122AB">
        <w:rPr>
          <w:rFonts w:ascii="Times New Roman" w:hAnsi="Times New Roman"/>
          <w:color w:val="000000" w:themeColor="text1"/>
          <w:sz w:val="16"/>
          <w:szCs w:val="16"/>
        </w:rPr>
        <w:t>, дистанционных, зажигательных и химических бомб, ампульных приборов, газовых приборов и т.д. и только благодаря начальнику вооружений Уборевичу авиатехнические средства создавались непосредственно при техническом Штабе НВ РККА и передавались готовыми в ВФ (Ругает руководителей научно института Дубенского и Фроловского, жалуется на то, что ему не дают работать).</w:t>
      </w:r>
    </w:p>
    <w:p w14:paraId="3DB809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891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30A86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Предложение</w:t>
      </w:r>
    </w:p>
    <w:p w14:paraId="75E8DD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Чтобы провести в этот год воздушную пехоту желательно настоящее конструкторское бюро сделать самостоятельным с подчинением его техническому Штабу НВ, поручив ему объединить более ценных изобретателей одиночек и подвести базу к организации Экспериментального института с заводом, на который возложить обслуживание опытными экземплярами все рода войск (6769, 26-28).</w:t>
      </w:r>
    </w:p>
    <w:p w14:paraId="018504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50713" w14:textId="77777777" w:rsidR="00EF2E5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6ED52F2" w14:textId="77777777" w:rsidR="00EF2E51" w:rsidRPr="007122AB" w:rsidRDefault="00EF2E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93FA90"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26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74сс об образовании мобилизационного фонда банкнот, казначейских билетов и монет (ГА РФ. Ф. Р?8418. Оп. 28. Д. 1а. Л. 14) (12415).</w:t>
      </w:r>
    </w:p>
    <w:p w14:paraId="5D002853"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6A17D2F7" w14:textId="77777777" w:rsidR="00562A83"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26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СНК СССР № 77с о составлении расходных смет по государственному и местному бюджету на первый месяц войны (ГА РФ. Ф. Р-8418. </w:t>
      </w:r>
      <w:r w:rsidR="00562A83" w:rsidRPr="007122AB">
        <w:rPr>
          <w:rFonts w:ascii="Times New Roman" w:hAnsi="Times New Roman"/>
          <w:color w:val="000000" w:themeColor="text1"/>
          <w:sz w:val="16"/>
          <w:szCs w:val="16"/>
          <w:u w:color="002060"/>
        </w:rPr>
        <w:t>Оп. 28. Д. 14а. Л. 15) (12415).</w:t>
      </w:r>
    </w:p>
    <w:p w14:paraId="2F052D44" w14:textId="77777777" w:rsidR="00562A83" w:rsidRPr="007122AB" w:rsidRDefault="00562A8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A653E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BECD83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2EE0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апреля 1931 был подписан Отчет по испытанию машинки для набивки магазинов к пулемету Д-А </w:t>
      </w:r>
      <w:proofErr w:type="spellStart"/>
      <w:r w:rsidRPr="007122AB">
        <w:rPr>
          <w:rFonts w:ascii="Times New Roman" w:hAnsi="Times New Roman"/>
          <w:color w:val="000000" w:themeColor="text1"/>
          <w:sz w:val="16"/>
          <w:szCs w:val="16"/>
        </w:rPr>
        <w:t>сист</w:t>
      </w:r>
      <w:proofErr w:type="spellEnd"/>
      <w:r w:rsidRPr="007122AB">
        <w:rPr>
          <w:rFonts w:ascii="Times New Roman" w:hAnsi="Times New Roman"/>
          <w:color w:val="000000" w:themeColor="text1"/>
          <w:sz w:val="16"/>
          <w:szCs w:val="16"/>
        </w:rPr>
        <w:t>. Алексеева.</w:t>
      </w:r>
    </w:p>
    <w:p w14:paraId="79782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20F15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Предложенная машинка конструктивно не доработана и на вооружение принята быть не может (3208,138-141).</w:t>
      </w:r>
    </w:p>
    <w:p w14:paraId="67C9E1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DD87C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BAEBCA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891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апреля 1931 Ижорский завод выпустил первый советский блюминг (3960, 164).</w:t>
      </w:r>
    </w:p>
    <w:p w14:paraId="5BEF0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BE8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апреля 1931 г. на три дня раньше взятого обязательства, был сдан первый Советский блюминг, положивший начало новому направлению в металлургической промышленности. Это был 13-й по счету блюминг на земном шаре. (Установленный на Макеевском металлургическом комбинате, он был восстановлен </w:t>
      </w:r>
      <w:proofErr w:type="spellStart"/>
      <w:r w:rsidRPr="007122AB">
        <w:rPr>
          <w:rFonts w:ascii="Times New Roman" w:hAnsi="Times New Roman"/>
          <w:color w:val="000000" w:themeColor="text1"/>
          <w:sz w:val="16"/>
          <w:szCs w:val="16"/>
        </w:rPr>
        <w:t>ижори,ами</w:t>
      </w:r>
      <w:proofErr w:type="spellEnd"/>
      <w:r w:rsidRPr="007122AB">
        <w:rPr>
          <w:rFonts w:ascii="Times New Roman" w:hAnsi="Times New Roman"/>
          <w:color w:val="000000" w:themeColor="text1"/>
          <w:sz w:val="16"/>
          <w:szCs w:val="16"/>
        </w:rPr>
        <w:t xml:space="preserve"> после освобождения Украины от фашистских захватчиков, а в 60-е годы реконструирован. Блюминг № 1 и сегодня в строю!)</w:t>
      </w:r>
    </w:p>
    <w:p w14:paraId="3564C0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43CEA1" w14:textId="77777777" w:rsidR="00EF2E5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55AF5DE" w14:textId="77777777" w:rsidR="00EF2E51" w:rsidRPr="007122AB" w:rsidRDefault="00EF2E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971765"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27 апреля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СТО СССР № 75сс об израсходовании Наркомземом СССР 20 тыс. руб., отпущенных на аспирантуру, на организацию и проведение краткосрочных курсов подготовки работников военных секторов </w:t>
      </w:r>
      <w:proofErr w:type="spellStart"/>
      <w:r w:rsidRPr="007122AB">
        <w:rPr>
          <w:rFonts w:ascii="Times New Roman" w:hAnsi="Times New Roman"/>
          <w:color w:val="000000" w:themeColor="text1"/>
          <w:sz w:val="16"/>
          <w:szCs w:val="16"/>
          <w:u w:color="002060"/>
        </w:rPr>
        <w:t>Гидрометеокомитета</w:t>
      </w:r>
      <w:proofErr w:type="spellEnd"/>
      <w:r w:rsidRPr="007122AB">
        <w:rPr>
          <w:rFonts w:ascii="Times New Roman" w:hAnsi="Times New Roman"/>
          <w:color w:val="000000" w:themeColor="text1"/>
          <w:sz w:val="16"/>
          <w:szCs w:val="16"/>
          <w:u w:color="002060"/>
        </w:rPr>
        <w:t xml:space="preserve"> и военных бюро научно-исследовательских учреждений гидрометеослужбы (ГА РФ. Ф. Р?8418. Оп. 28. Д. 1а. Л. 16) (12415).</w:t>
      </w:r>
    </w:p>
    <w:p w14:paraId="38695E0D"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3D49E2D4" w14:textId="77777777" w:rsidR="00EF2E5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68FAB24" w14:textId="77777777" w:rsidR="00EF2E51" w:rsidRPr="007122AB" w:rsidRDefault="00EF2E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A572E5" w14:textId="77777777" w:rsidR="00EF2E51" w:rsidRPr="007122AB" w:rsidRDefault="00EF2E51" w:rsidP="007122AB">
      <w:pPr>
        <w:pStyle w:val="rtejustify"/>
        <w:spacing w:before="0" w:after="0"/>
        <w:rPr>
          <w:color w:val="000000" w:themeColor="text1"/>
          <w:sz w:val="16"/>
          <w:szCs w:val="16"/>
        </w:rPr>
      </w:pPr>
      <w:r w:rsidRPr="007122AB">
        <w:rPr>
          <w:rStyle w:val="af0"/>
          <w:i w:val="0"/>
          <w:color w:val="000000" w:themeColor="text1"/>
          <w:sz w:val="16"/>
          <w:szCs w:val="16"/>
        </w:rPr>
        <w:t>28 апреля 1931 г. Протокол Реввоенсовета № 15.</w:t>
      </w:r>
      <w:r w:rsidRPr="007122AB">
        <w:rPr>
          <w:color w:val="000000" w:themeColor="text1"/>
          <w:sz w:val="16"/>
          <w:szCs w:val="16"/>
        </w:rPr>
        <w:t xml:space="preserve"> 1. О танковой программе. (</w:t>
      </w:r>
      <w:proofErr w:type="spellStart"/>
      <w:r w:rsidRPr="007122AB">
        <w:rPr>
          <w:color w:val="000000" w:themeColor="text1"/>
          <w:sz w:val="16"/>
          <w:szCs w:val="16"/>
        </w:rPr>
        <w:t>Халепский</w:t>
      </w:r>
      <w:proofErr w:type="spellEnd"/>
      <w:r w:rsidRPr="007122AB">
        <w:rPr>
          <w:color w:val="000000" w:themeColor="text1"/>
          <w:sz w:val="16"/>
          <w:szCs w:val="16"/>
        </w:rPr>
        <w:t xml:space="preserve">). 16. О введении на вооружение </w:t>
      </w:r>
      <w:proofErr w:type="spellStart"/>
      <w:r w:rsidRPr="007122AB">
        <w:rPr>
          <w:color w:val="000000" w:themeColor="text1"/>
          <w:sz w:val="16"/>
          <w:szCs w:val="16"/>
        </w:rPr>
        <w:t>РККАиФ</w:t>
      </w:r>
      <w:proofErr w:type="spellEnd"/>
      <w:r w:rsidRPr="007122AB">
        <w:rPr>
          <w:color w:val="000000" w:themeColor="text1"/>
          <w:sz w:val="16"/>
          <w:szCs w:val="16"/>
        </w:rPr>
        <w:t>, БО и железнодорожной артиллерии 180</w:t>
      </w:r>
      <w:r w:rsidRPr="007122AB">
        <w:rPr>
          <w:color w:val="000000" w:themeColor="text1"/>
          <w:sz w:val="16"/>
          <w:szCs w:val="16"/>
        </w:rPr>
        <w:noBreakHyphen/>
        <w:t>мм систем. (Сивков). 18. Система вооружения военно-морских сил РККА по минам, тралам и временная по торпедам (Сивков). 19. Об обеспечении ВМС РККА тральщиками (Сивков). (РГВА. Ф. 4. Оп. 18. Д. 20. Л. 232, 235, 236) (12342).</w:t>
      </w:r>
    </w:p>
    <w:p w14:paraId="4635ADD5" w14:textId="77777777" w:rsidR="00EF2E51" w:rsidRPr="007122AB" w:rsidRDefault="00EF2E51" w:rsidP="007122AB">
      <w:pPr>
        <w:pStyle w:val="rtejustify"/>
        <w:spacing w:before="0" w:after="0"/>
        <w:rPr>
          <w:color w:val="000000" w:themeColor="text1"/>
          <w:sz w:val="16"/>
          <w:szCs w:val="16"/>
        </w:rPr>
      </w:pPr>
    </w:p>
    <w:p w14:paraId="145A9AC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2F061F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EB1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29 апреля по 23 августа 1931 в НИИ ВВС проходили гос. испытания АНТ-6 (ТБ-3) с БМВ-6, а заводских вообще не было. Вооружения также не было (1017,169). Закончить испытания не успели, так как износились покрышки Пальмер (1854,7).</w:t>
      </w:r>
    </w:p>
    <w:p w14:paraId="77FFA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142F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апреля (с 29 - 346,26) 1931 по август (23 - 346,26) испытывался АНТ-6 (ТБ-3) с М-17 (БМВ 6). Прекратили из-за плохих покрышек. Новые колеса установили только к январю 1932 - тандем (156,17).</w:t>
      </w:r>
    </w:p>
    <w:p w14:paraId="6F67F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E984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апреля 1931 года был выпущен в воздух после перестановки моторов и переделок самолет ТБ3 с 4-мя моторами БМВ VI Е-7,3. 500/730 НР.</w:t>
      </w:r>
    </w:p>
    <w:p w14:paraId="768F08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произведено - 18 полетов</w:t>
      </w:r>
    </w:p>
    <w:p w14:paraId="6852DD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Общей продолжительностью - 11 час. 49 мин.</w:t>
      </w:r>
    </w:p>
    <w:p w14:paraId="4E1B7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Полеты были прекращены 23 августа 1931 года вследствие непригодности колес (3214).</w:t>
      </w:r>
    </w:p>
    <w:p w14:paraId="0DED8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0DB8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29 апреля 1931 доработанный ТБ-3 (АНТ-6) с BMW испытывался в НИИ ВВС (8887).</w:t>
      </w:r>
    </w:p>
    <w:p w14:paraId="65596D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DDD380"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29 апреля 1931 г. начался новый этап испытаний госиспытаний опытной машины АНТ-6 с че</w:t>
      </w:r>
      <w:r w:rsidRPr="00441F34">
        <w:rPr>
          <w:rFonts w:ascii="Times New Roman" w:hAnsi="Times New Roman"/>
          <w:color w:val="0070C0"/>
          <w:sz w:val="16"/>
          <w:szCs w:val="16"/>
        </w:rPr>
        <w:softHyphen/>
        <w:t>тырьмя моторами BMW VI. Кроме новых моторов, в самолет внесли ряд существен</w:t>
      </w:r>
      <w:r w:rsidRPr="00441F34">
        <w:rPr>
          <w:rFonts w:ascii="Times New Roman" w:hAnsi="Times New Roman"/>
          <w:color w:val="0070C0"/>
          <w:sz w:val="16"/>
          <w:szCs w:val="16"/>
        </w:rPr>
        <w:softHyphen/>
        <w:t>ных изменений:</w:t>
      </w:r>
    </w:p>
    <w:p w14:paraId="34079AA9"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металлические винты фирмы Standart-</w:t>
      </w:r>
      <w:proofErr w:type="spellStart"/>
      <w:r w:rsidRPr="00441F34">
        <w:rPr>
          <w:rFonts w:ascii="Times New Roman" w:hAnsi="Times New Roman"/>
          <w:color w:val="0070C0"/>
          <w:sz w:val="16"/>
          <w:szCs w:val="16"/>
        </w:rPr>
        <w:t>Stil</w:t>
      </w:r>
      <w:proofErr w:type="spellEnd"/>
      <w:r w:rsidRPr="00441F34">
        <w:rPr>
          <w:rFonts w:ascii="Times New Roman" w:hAnsi="Times New Roman"/>
          <w:color w:val="0070C0"/>
          <w:sz w:val="16"/>
          <w:szCs w:val="16"/>
        </w:rPr>
        <w:t xml:space="preserve"> заменили деревянными вин</w:t>
      </w:r>
      <w:r w:rsidRPr="00441F34">
        <w:rPr>
          <w:rFonts w:ascii="Times New Roman" w:hAnsi="Times New Roman"/>
          <w:color w:val="0070C0"/>
          <w:sz w:val="16"/>
          <w:szCs w:val="16"/>
        </w:rPr>
        <w:softHyphen/>
        <w:t>тами ЦАГИ диаметром 3,5 метра;</w:t>
      </w:r>
    </w:p>
    <w:p w14:paraId="22C511F9"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увеличили площадь руля высоты и киля;</w:t>
      </w:r>
    </w:p>
    <w:p w14:paraId="7D4F495B"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элеронах, рулях высоты и на</w:t>
      </w:r>
      <w:r w:rsidRPr="00441F34">
        <w:rPr>
          <w:rFonts w:ascii="Times New Roman" w:hAnsi="Times New Roman"/>
          <w:color w:val="0070C0"/>
          <w:sz w:val="16"/>
          <w:szCs w:val="16"/>
        </w:rPr>
        <w:softHyphen/>
        <w:t>правления, кроме имевшейся роговой компенсации, добавили щелевую.</w:t>
      </w:r>
    </w:p>
    <w:p w14:paraId="65BE2855"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результатам испытаний самолет с моторами BMW VI получил хорошую оценку по всем летно-эксплуатацион</w:t>
      </w:r>
      <w:r w:rsidRPr="00441F34">
        <w:rPr>
          <w:rFonts w:ascii="Times New Roman" w:hAnsi="Times New Roman"/>
          <w:color w:val="0070C0"/>
          <w:sz w:val="16"/>
          <w:szCs w:val="16"/>
        </w:rPr>
        <w:softHyphen/>
        <w:t>ным параметрам. Отсутствовали повы</w:t>
      </w:r>
      <w:r w:rsidRPr="00441F34">
        <w:rPr>
          <w:rFonts w:ascii="Times New Roman" w:hAnsi="Times New Roman"/>
          <w:color w:val="0070C0"/>
          <w:sz w:val="16"/>
          <w:szCs w:val="16"/>
        </w:rPr>
        <w:softHyphen/>
        <w:t>шенные вибрации, маневренность на рулежке была вполне удовлетворитель</w:t>
      </w:r>
      <w:r w:rsidRPr="00441F34">
        <w:rPr>
          <w:rFonts w:ascii="Times New Roman" w:hAnsi="Times New Roman"/>
          <w:color w:val="0070C0"/>
          <w:sz w:val="16"/>
          <w:szCs w:val="16"/>
        </w:rPr>
        <w:softHyphen/>
        <w:t>ной, амортизация шасси — достаточно мягкой. Самолет был устойчив на всех режимах полета и при планировании, прост на взлете и при посадке.</w:t>
      </w:r>
    </w:p>
    <w:p w14:paraId="4B1E43E2"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результатам испытаний самолет с моторами BMW VI получил хорошую оценку по всем летно-эксплуатацион</w:t>
      </w:r>
      <w:r w:rsidRPr="00441F34">
        <w:rPr>
          <w:rFonts w:ascii="Times New Roman" w:hAnsi="Times New Roman"/>
          <w:color w:val="0070C0"/>
          <w:sz w:val="16"/>
          <w:szCs w:val="16"/>
        </w:rPr>
        <w:softHyphen/>
        <w:t>ным параметрам. Отсутствовали повы</w:t>
      </w:r>
      <w:r w:rsidRPr="00441F34">
        <w:rPr>
          <w:rFonts w:ascii="Times New Roman" w:hAnsi="Times New Roman"/>
          <w:color w:val="0070C0"/>
          <w:sz w:val="16"/>
          <w:szCs w:val="16"/>
        </w:rPr>
        <w:softHyphen/>
        <w:t>шенные вибрации, маневренность на рулежке была вполне удовлетворитель</w:t>
      </w:r>
      <w:r w:rsidRPr="00441F34">
        <w:rPr>
          <w:rFonts w:ascii="Times New Roman" w:hAnsi="Times New Roman"/>
          <w:color w:val="0070C0"/>
          <w:sz w:val="16"/>
          <w:szCs w:val="16"/>
        </w:rPr>
        <w:softHyphen/>
        <w:t>ной, амортизация шасси — достаточно мягкой. Самолет был устойчив на всех режимах полета и при планировании, прост на взлете и при посадке.</w:t>
      </w:r>
    </w:p>
    <w:p w14:paraId="631F0A5E" w14:textId="77777777" w:rsidR="004D3FB2" w:rsidRPr="00441F34" w:rsidRDefault="004D3FB2" w:rsidP="004D3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Испытания не были доведены до кон</w:t>
      </w:r>
      <w:r w:rsidRPr="00441F34">
        <w:rPr>
          <w:rFonts w:ascii="Times New Roman" w:hAnsi="Times New Roman"/>
          <w:color w:val="0070C0"/>
          <w:sz w:val="16"/>
          <w:szCs w:val="16"/>
        </w:rPr>
        <w:softHyphen/>
        <w:t xml:space="preserve">ца. Их пришлось прекратить 23 августа из-за плохого качества покрышек колес фирмы </w:t>
      </w:r>
      <w:proofErr w:type="spellStart"/>
      <w:r w:rsidRPr="00441F34">
        <w:rPr>
          <w:rFonts w:ascii="Times New Roman" w:hAnsi="Times New Roman"/>
          <w:color w:val="0070C0"/>
          <w:sz w:val="16"/>
          <w:szCs w:val="16"/>
        </w:rPr>
        <w:t>Palmer</w:t>
      </w:r>
      <w:proofErr w:type="spellEnd"/>
      <w:r w:rsidRPr="00441F34">
        <w:rPr>
          <w:rFonts w:ascii="Times New Roman" w:hAnsi="Times New Roman"/>
          <w:color w:val="0070C0"/>
          <w:sz w:val="16"/>
          <w:szCs w:val="16"/>
        </w:rPr>
        <w:t>. НИИ ВВС обратился в ЦАГИ с просьбой разработать новую конструкцию шасси под сдвоенные оте</w:t>
      </w:r>
      <w:r w:rsidRPr="00441F34">
        <w:rPr>
          <w:rFonts w:ascii="Times New Roman" w:hAnsi="Times New Roman"/>
          <w:color w:val="0070C0"/>
          <w:sz w:val="16"/>
          <w:szCs w:val="16"/>
        </w:rPr>
        <w:softHyphen/>
        <w:t>чественные колеса меньшего диаметра. В выводах по результатам испытаний от</w:t>
      </w:r>
      <w:r w:rsidRPr="00441F34">
        <w:rPr>
          <w:rFonts w:ascii="Times New Roman" w:hAnsi="Times New Roman"/>
          <w:color w:val="0070C0"/>
          <w:sz w:val="16"/>
          <w:szCs w:val="16"/>
        </w:rPr>
        <w:softHyphen/>
        <w:t xml:space="preserve">мечалось, что </w:t>
      </w:r>
      <w:r w:rsidRPr="00441F34">
        <w:rPr>
          <w:rFonts w:ascii="Times New Roman" w:hAnsi="Times New Roman"/>
          <w:color w:val="0070C0"/>
          <w:sz w:val="16"/>
          <w:szCs w:val="16"/>
        </w:rPr>
        <w:lastRenderedPageBreak/>
        <w:t>«при установке нового шасси, моторов М—17 и полного ком</w:t>
      </w:r>
      <w:r w:rsidRPr="00441F34">
        <w:rPr>
          <w:rFonts w:ascii="Times New Roman" w:hAnsi="Times New Roman"/>
          <w:color w:val="0070C0"/>
          <w:sz w:val="16"/>
          <w:szCs w:val="16"/>
        </w:rPr>
        <w:softHyphen/>
        <w:t>плекта вооружения ТБ—3 может быть ре</w:t>
      </w:r>
      <w:r w:rsidRPr="00441F34">
        <w:rPr>
          <w:rFonts w:ascii="Times New Roman" w:hAnsi="Times New Roman"/>
          <w:color w:val="0070C0"/>
          <w:sz w:val="16"/>
          <w:szCs w:val="16"/>
        </w:rPr>
        <w:softHyphen/>
        <w:t>комендован ВВС в качестве тяжелого бомбардировщика». После выполнения требуемых доработок государственные испытания головного АНТ—6 с моторами BMW VI были продолжены (23474).</w:t>
      </w:r>
    </w:p>
    <w:p w14:paraId="38DDAD1D" w14:textId="77777777" w:rsidR="004D3FB2" w:rsidRPr="00441F34" w:rsidRDefault="004D3FB2" w:rsidP="004D3FB2">
      <w:pPr>
        <w:spacing w:after="0" w:line="240" w:lineRule="auto"/>
        <w:jc w:val="both"/>
        <w:rPr>
          <w:rFonts w:ascii="Times New Roman" w:hAnsi="Times New Roman"/>
          <w:color w:val="0070C0"/>
          <w:sz w:val="16"/>
          <w:szCs w:val="16"/>
        </w:rPr>
      </w:pPr>
    </w:p>
    <w:p w14:paraId="73D8A6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970C45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284A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апреля 1931 в Туркмении, применяя ту же тактику, что и в Таджикистане,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2BCA3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w:t>
      </w:r>
      <w:proofErr w:type="spellStart"/>
      <w:r w:rsidRPr="007122AB">
        <w:rPr>
          <w:rFonts w:ascii="Times New Roman" w:hAnsi="Times New Roman"/>
          <w:color w:val="000000" w:themeColor="text1"/>
          <w:sz w:val="16"/>
          <w:szCs w:val="16"/>
        </w:rPr>
        <w:t>басмшайкой</w:t>
      </w:r>
      <w:proofErr w:type="spellEnd"/>
      <w:r w:rsidRPr="007122AB">
        <w:rPr>
          <w:rFonts w:ascii="Times New Roman" w:hAnsi="Times New Roman"/>
          <w:color w:val="000000" w:themeColor="text1"/>
          <w:sz w:val="16"/>
          <w:szCs w:val="16"/>
        </w:rPr>
        <w:t>,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79E96A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0AA89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00918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DEDAD2" w14:textId="77777777" w:rsidR="009417DD" w:rsidRPr="007122AB" w:rsidRDefault="009417D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07D754B" w14:textId="77777777" w:rsidR="009417DD" w:rsidRPr="007122AB" w:rsidRDefault="009417D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099CBC" w14:textId="77777777" w:rsidR="009417DD" w:rsidRPr="007122AB" w:rsidRDefault="009417DD"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апреля 1931 в СССР была проведена первая опытная телепередача (3263,204).</w:t>
      </w:r>
    </w:p>
    <w:p w14:paraId="13CE8DA6" w14:textId="77777777" w:rsidR="009417DD" w:rsidRPr="007122AB" w:rsidRDefault="009417DD" w:rsidP="007122AB">
      <w:pPr>
        <w:autoSpaceDE w:val="0"/>
        <w:autoSpaceDN w:val="0"/>
        <w:adjustRightInd w:val="0"/>
        <w:spacing w:after="0" w:line="240" w:lineRule="auto"/>
        <w:jc w:val="both"/>
        <w:rPr>
          <w:rFonts w:ascii="Times New Roman" w:hAnsi="Times New Roman"/>
          <w:color w:val="000000" w:themeColor="text1"/>
          <w:sz w:val="16"/>
          <w:szCs w:val="16"/>
        </w:rPr>
      </w:pPr>
    </w:p>
    <w:p w14:paraId="761CD95E" w14:textId="77777777" w:rsidR="009417DD" w:rsidRPr="007122AB" w:rsidRDefault="009417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апреля 1931 года в Советском Союзе началась эра телевидения. "Внимание! Показывает Москва. Начинаем первую телевизионную передачу"- такими простыми словами. Регулярные телепередачи начались 1 октября 1931 года в СССР. Начало отечественного телевидения. А 1 октября 1967 г. Центральное телевидение СССР начало трансляцию программ в цветном изображении (21166).</w:t>
      </w:r>
    </w:p>
    <w:p w14:paraId="4BCBD09A" w14:textId="77777777" w:rsidR="009417DD" w:rsidRPr="007122AB" w:rsidRDefault="009417DD" w:rsidP="007122AB">
      <w:pPr>
        <w:spacing w:after="0" w:line="240" w:lineRule="auto"/>
        <w:jc w:val="both"/>
        <w:rPr>
          <w:rFonts w:ascii="Times New Roman" w:hAnsi="Times New Roman"/>
          <w:color w:val="000000" w:themeColor="text1"/>
          <w:sz w:val="16"/>
          <w:szCs w:val="16"/>
        </w:rPr>
      </w:pPr>
    </w:p>
    <w:p w14:paraId="650E7BAF" w14:textId="77777777" w:rsidR="009417DD" w:rsidRPr="007122AB" w:rsidRDefault="009417DD"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апреля 1931 г. Первая опытная передача в СССР по оптико-механической системе (30 строк, 12,5 кадр/с) из Москвы из ВЭИ через «свой» (опытный) радиопередатчик на волне 56,6 м (11482).</w:t>
      </w:r>
    </w:p>
    <w:p w14:paraId="77ABDD4F" w14:textId="77777777" w:rsidR="009417DD" w:rsidRPr="007122AB" w:rsidRDefault="009417DD" w:rsidP="007122AB">
      <w:pPr>
        <w:autoSpaceDE w:val="0"/>
        <w:autoSpaceDN w:val="0"/>
        <w:adjustRightInd w:val="0"/>
        <w:spacing w:after="0" w:line="240" w:lineRule="auto"/>
        <w:jc w:val="both"/>
        <w:rPr>
          <w:rFonts w:ascii="Times New Roman" w:hAnsi="Times New Roman"/>
          <w:color w:val="000000" w:themeColor="text1"/>
          <w:sz w:val="16"/>
          <w:szCs w:val="16"/>
        </w:rPr>
      </w:pPr>
    </w:p>
    <w:p w14:paraId="17561FC1" w14:textId="77777777" w:rsidR="009417DD" w:rsidRPr="007122AB" w:rsidRDefault="009417DD"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апреля 1931 </w:t>
      </w:r>
      <w:proofErr w:type="spellStart"/>
      <w:r w:rsidRPr="007122AB">
        <w:rPr>
          <w:rFonts w:ascii="Times New Roman" w:hAnsi="Times New Roman"/>
          <w:color w:val="000000" w:themeColor="text1"/>
          <w:sz w:val="16"/>
          <w:szCs w:val="16"/>
        </w:rPr>
        <w:t>Надежинский</w:t>
      </w:r>
      <w:proofErr w:type="spellEnd"/>
      <w:r w:rsidRPr="007122AB">
        <w:rPr>
          <w:rFonts w:ascii="Times New Roman" w:hAnsi="Times New Roman"/>
          <w:color w:val="000000" w:themeColor="text1"/>
          <w:sz w:val="16"/>
          <w:szCs w:val="16"/>
        </w:rPr>
        <w:t xml:space="preserve"> район. Восстание </w:t>
      </w:r>
      <w:proofErr w:type="spellStart"/>
      <w:r w:rsidRPr="007122AB">
        <w:rPr>
          <w:rFonts w:ascii="Times New Roman" w:hAnsi="Times New Roman"/>
          <w:color w:val="000000" w:themeColor="text1"/>
          <w:sz w:val="16"/>
          <w:szCs w:val="16"/>
        </w:rPr>
        <w:t>спецпеpеселенцев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Петpопавловского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леспpомхоза</w:t>
      </w:r>
      <w:proofErr w:type="spellEnd"/>
      <w:r w:rsidRPr="007122AB">
        <w:rPr>
          <w:rFonts w:ascii="Times New Roman" w:hAnsi="Times New Roman"/>
          <w:color w:val="000000" w:themeColor="text1"/>
          <w:sz w:val="16"/>
          <w:szCs w:val="16"/>
        </w:rPr>
        <w:t xml:space="preserve">, где </w:t>
      </w:r>
      <w:proofErr w:type="spellStart"/>
      <w:r w:rsidRPr="007122AB">
        <w:rPr>
          <w:rFonts w:ascii="Times New Roman" w:hAnsi="Times New Roman"/>
          <w:color w:val="000000" w:themeColor="text1"/>
          <w:sz w:val="16"/>
          <w:szCs w:val="16"/>
        </w:rPr>
        <w:t>бpигадиpы</w:t>
      </w:r>
      <w:proofErr w:type="spellEnd"/>
      <w:r w:rsidRPr="007122AB">
        <w:rPr>
          <w:rFonts w:ascii="Times New Roman" w:hAnsi="Times New Roman"/>
          <w:color w:val="000000" w:themeColor="text1"/>
          <w:sz w:val="16"/>
          <w:szCs w:val="16"/>
        </w:rPr>
        <w:t xml:space="preserve">, десятники, коменданты и их помощники </w:t>
      </w:r>
      <w:proofErr w:type="spellStart"/>
      <w:r w:rsidRPr="007122AB">
        <w:rPr>
          <w:rFonts w:ascii="Times New Roman" w:hAnsi="Times New Roman"/>
          <w:color w:val="000000" w:themeColor="text1"/>
          <w:sz w:val="16"/>
          <w:szCs w:val="16"/>
        </w:rPr>
        <w:t>пpи</w:t>
      </w:r>
      <w:proofErr w:type="spellEnd"/>
      <w:r w:rsidRPr="007122AB">
        <w:rPr>
          <w:rFonts w:ascii="Times New Roman" w:hAnsi="Times New Roman"/>
          <w:color w:val="000000" w:themeColor="text1"/>
          <w:sz w:val="16"/>
          <w:szCs w:val="16"/>
        </w:rPr>
        <w:t xml:space="preserve"> полном </w:t>
      </w:r>
      <w:proofErr w:type="spellStart"/>
      <w:r w:rsidRPr="007122AB">
        <w:rPr>
          <w:rFonts w:ascii="Times New Roman" w:hAnsi="Times New Roman"/>
          <w:color w:val="000000" w:themeColor="text1"/>
          <w:sz w:val="16"/>
          <w:szCs w:val="16"/>
        </w:rPr>
        <w:t>одобpении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секpетаpя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pайкома</w:t>
      </w:r>
      <w:proofErr w:type="spellEnd"/>
      <w:r w:rsidRPr="007122AB">
        <w:rPr>
          <w:rFonts w:ascii="Times New Roman" w:hAnsi="Times New Roman"/>
          <w:color w:val="000000" w:themeColor="text1"/>
          <w:sz w:val="16"/>
          <w:szCs w:val="16"/>
        </w:rPr>
        <w:t xml:space="preserve"> ВКП(б) Маслова </w:t>
      </w:r>
      <w:proofErr w:type="spellStart"/>
      <w:r w:rsidRPr="007122AB">
        <w:rPr>
          <w:rFonts w:ascii="Times New Roman" w:hAnsi="Times New Roman"/>
          <w:color w:val="000000" w:themeColor="text1"/>
          <w:sz w:val="16"/>
          <w:szCs w:val="16"/>
        </w:rPr>
        <w:t>устpоили</w:t>
      </w:r>
      <w:proofErr w:type="spellEnd"/>
      <w:r w:rsidRPr="007122AB">
        <w:rPr>
          <w:rFonts w:ascii="Times New Roman" w:hAnsi="Times New Roman"/>
          <w:color w:val="000000" w:themeColor="text1"/>
          <w:sz w:val="16"/>
          <w:szCs w:val="16"/>
        </w:rPr>
        <w:t xml:space="preserve"> настоящий геноцид </w:t>
      </w:r>
      <w:proofErr w:type="spellStart"/>
      <w:r w:rsidRPr="007122AB">
        <w:rPr>
          <w:rFonts w:ascii="Times New Roman" w:hAnsi="Times New Roman"/>
          <w:color w:val="000000" w:themeColor="text1"/>
          <w:sz w:val="16"/>
          <w:szCs w:val="16"/>
        </w:rPr>
        <w:t>пpотив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пеpеселенцев</w:t>
      </w:r>
      <w:proofErr w:type="spellEnd"/>
      <w:r w:rsidRPr="007122AB">
        <w:rPr>
          <w:rFonts w:ascii="Times New Roman" w:hAnsi="Times New Roman"/>
          <w:color w:val="000000" w:themeColor="text1"/>
          <w:sz w:val="16"/>
          <w:szCs w:val="16"/>
        </w:rPr>
        <w:t xml:space="preserve"> с Кубани под лозунгом: "Мы кубанцев всех уничтожим, живыми никто не </w:t>
      </w:r>
      <w:proofErr w:type="spellStart"/>
      <w:r w:rsidRPr="007122AB">
        <w:rPr>
          <w:rFonts w:ascii="Times New Roman" w:hAnsi="Times New Roman"/>
          <w:color w:val="000000" w:themeColor="text1"/>
          <w:sz w:val="16"/>
          <w:szCs w:val="16"/>
        </w:rPr>
        <w:t>веpнется</w:t>
      </w:r>
      <w:proofErr w:type="spellEnd"/>
      <w:r w:rsidRPr="007122AB">
        <w:rPr>
          <w:rFonts w:ascii="Times New Roman" w:hAnsi="Times New Roman"/>
          <w:color w:val="000000" w:themeColor="text1"/>
          <w:sz w:val="16"/>
          <w:szCs w:val="16"/>
        </w:rPr>
        <w:t xml:space="preserve">". Восстание охватило около 300 семей </w:t>
      </w:r>
      <w:proofErr w:type="spellStart"/>
      <w:r w:rsidRPr="007122AB">
        <w:rPr>
          <w:rFonts w:ascii="Times New Roman" w:hAnsi="Times New Roman"/>
          <w:color w:val="000000" w:themeColor="text1"/>
          <w:sz w:val="16"/>
          <w:szCs w:val="16"/>
        </w:rPr>
        <w:t>спецпеpеселенцев</w:t>
      </w:r>
      <w:proofErr w:type="spellEnd"/>
      <w:r w:rsidRPr="007122AB">
        <w:rPr>
          <w:rFonts w:ascii="Times New Roman" w:hAnsi="Times New Roman"/>
          <w:color w:val="000000" w:themeColor="text1"/>
          <w:sz w:val="16"/>
          <w:szCs w:val="16"/>
        </w:rPr>
        <w:t xml:space="preserve"> западных областей с участков </w:t>
      </w:r>
      <w:proofErr w:type="spellStart"/>
      <w:r w:rsidRPr="007122AB">
        <w:rPr>
          <w:rFonts w:ascii="Times New Roman" w:hAnsi="Times New Roman"/>
          <w:color w:val="000000" w:themeColor="text1"/>
          <w:sz w:val="16"/>
          <w:szCs w:val="16"/>
        </w:rPr>
        <w:t>Усть</w:t>
      </w:r>
      <w:proofErr w:type="spellEnd"/>
      <w:r w:rsidRPr="007122AB">
        <w:rPr>
          <w:rFonts w:ascii="Times New Roman" w:hAnsi="Times New Roman"/>
          <w:color w:val="000000" w:themeColor="text1"/>
          <w:sz w:val="16"/>
          <w:szCs w:val="16"/>
        </w:rPr>
        <w:t xml:space="preserve">-Калье и </w:t>
      </w:r>
      <w:proofErr w:type="spellStart"/>
      <w:r w:rsidRPr="007122AB">
        <w:rPr>
          <w:rFonts w:ascii="Times New Roman" w:hAnsi="Times New Roman"/>
          <w:color w:val="000000" w:themeColor="text1"/>
          <w:sz w:val="16"/>
          <w:szCs w:val="16"/>
        </w:rPr>
        <w:t>Усть-Канда</w:t>
      </w:r>
      <w:proofErr w:type="spellEnd"/>
      <w:r w:rsidRPr="007122AB">
        <w:rPr>
          <w:rFonts w:ascii="Times New Roman" w:hAnsi="Times New Roman"/>
          <w:color w:val="000000" w:themeColor="text1"/>
          <w:sz w:val="16"/>
          <w:szCs w:val="16"/>
        </w:rPr>
        <w:t xml:space="preserve">. Восставшие </w:t>
      </w:r>
      <w:proofErr w:type="spellStart"/>
      <w:r w:rsidRPr="007122AB">
        <w:rPr>
          <w:rFonts w:ascii="Times New Roman" w:hAnsi="Times New Roman"/>
          <w:color w:val="000000" w:themeColor="text1"/>
          <w:sz w:val="16"/>
          <w:szCs w:val="16"/>
        </w:rPr>
        <w:t>намеpевались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пpодвинуться</w:t>
      </w:r>
      <w:proofErr w:type="spellEnd"/>
      <w:r w:rsidRPr="007122AB">
        <w:rPr>
          <w:rFonts w:ascii="Times New Roman" w:hAnsi="Times New Roman"/>
          <w:color w:val="000000" w:themeColor="text1"/>
          <w:sz w:val="16"/>
          <w:szCs w:val="16"/>
        </w:rPr>
        <w:t xml:space="preserve"> по железной </w:t>
      </w:r>
      <w:proofErr w:type="spellStart"/>
      <w:r w:rsidRPr="007122AB">
        <w:rPr>
          <w:rFonts w:ascii="Times New Roman" w:hAnsi="Times New Roman"/>
          <w:color w:val="000000" w:themeColor="text1"/>
          <w:sz w:val="16"/>
          <w:szCs w:val="16"/>
        </w:rPr>
        <w:t>доpоге</w:t>
      </w:r>
      <w:proofErr w:type="spellEnd"/>
      <w:r w:rsidRPr="007122AB">
        <w:rPr>
          <w:rFonts w:ascii="Times New Roman" w:hAnsi="Times New Roman"/>
          <w:color w:val="000000" w:themeColor="text1"/>
          <w:sz w:val="16"/>
          <w:szCs w:val="16"/>
        </w:rPr>
        <w:t xml:space="preserve"> до станции Сама и </w:t>
      </w:r>
      <w:proofErr w:type="spellStart"/>
      <w:r w:rsidRPr="007122AB">
        <w:rPr>
          <w:rFonts w:ascii="Times New Roman" w:hAnsi="Times New Roman"/>
          <w:color w:val="000000" w:themeColor="text1"/>
          <w:sz w:val="16"/>
          <w:szCs w:val="16"/>
        </w:rPr>
        <w:t>г.Надеждинск</w:t>
      </w:r>
      <w:proofErr w:type="spellEnd"/>
      <w:r w:rsidRPr="007122AB">
        <w:rPr>
          <w:rFonts w:ascii="Times New Roman" w:hAnsi="Times New Roman"/>
          <w:color w:val="000000" w:themeColor="text1"/>
          <w:sz w:val="16"/>
          <w:szCs w:val="16"/>
        </w:rPr>
        <w:t xml:space="preserve"> (10687).</w:t>
      </w:r>
    </w:p>
    <w:p w14:paraId="5E0CF2EC" w14:textId="77777777" w:rsidR="009417DD" w:rsidRPr="007122AB" w:rsidRDefault="009417DD" w:rsidP="007122AB">
      <w:pPr>
        <w:autoSpaceDE w:val="0"/>
        <w:autoSpaceDN w:val="0"/>
        <w:adjustRightInd w:val="0"/>
        <w:spacing w:after="0" w:line="240" w:lineRule="auto"/>
        <w:jc w:val="both"/>
        <w:rPr>
          <w:rFonts w:ascii="Times New Roman" w:hAnsi="Times New Roman"/>
          <w:color w:val="000000" w:themeColor="text1"/>
          <w:sz w:val="16"/>
          <w:szCs w:val="16"/>
        </w:rPr>
      </w:pPr>
    </w:p>
    <w:p w14:paraId="6B2F518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1574BC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0335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апреля 1931 был подписан Отчет по испытанию прицела ПН-42-11 ВООМП.</w:t>
      </w:r>
    </w:p>
    <w:p w14:paraId="5F324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7093F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Способ освещения сетки, примененный в прицеле ПН-42-11 считается пригодным для введения на вооружение (3208,144-148).</w:t>
      </w:r>
    </w:p>
    <w:p w14:paraId="28DC6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56DE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апреля 1931 в Рыбинске на обкат</w:t>
      </w:r>
      <w:r w:rsidRPr="007122AB">
        <w:rPr>
          <w:rFonts w:ascii="Times New Roman" w:hAnsi="Times New Roman"/>
          <w:color w:val="000000" w:themeColor="text1"/>
          <w:sz w:val="16"/>
          <w:szCs w:val="16"/>
        </w:rPr>
        <w:softHyphen/>
        <w:t>ку поставили уже «настоящий» М-34 с импортным карбюратором и маг</w:t>
      </w:r>
      <w:r w:rsidRPr="007122AB">
        <w:rPr>
          <w:rFonts w:ascii="Times New Roman" w:hAnsi="Times New Roman"/>
          <w:color w:val="000000" w:themeColor="text1"/>
          <w:sz w:val="16"/>
          <w:szCs w:val="16"/>
        </w:rPr>
        <w:softHyphen/>
        <w:t>нето. За ним последовал второй экземпляр, начались заводские испы</w:t>
      </w:r>
      <w:r w:rsidRPr="007122AB">
        <w:rPr>
          <w:rFonts w:ascii="Times New Roman" w:hAnsi="Times New Roman"/>
          <w:color w:val="000000" w:themeColor="text1"/>
          <w:sz w:val="16"/>
          <w:szCs w:val="16"/>
        </w:rPr>
        <w:softHyphen/>
        <w:t xml:space="preserve">тания. Долго боролись с </w:t>
      </w:r>
      <w:proofErr w:type="spellStart"/>
      <w:r w:rsidRPr="007122AB">
        <w:rPr>
          <w:rFonts w:ascii="Times New Roman" w:hAnsi="Times New Roman"/>
          <w:color w:val="000000" w:themeColor="text1"/>
          <w:sz w:val="16"/>
          <w:szCs w:val="16"/>
        </w:rPr>
        <w:t>подтекани</w:t>
      </w:r>
      <w:proofErr w:type="spellEnd"/>
      <w:r w:rsidRPr="007122AB">
        <w:rPr>
          <w:rFonts w:ascii="Times New Roman" w:hAnsi="Times New Roman"/>
          <w:color w:val="000000" w:themeColor="text1"/>
          <w:sz w:val="16"/>
          <w:szCs w:val="16"/>
        </w:rPr>
        <w:t>-ем масла и воды через уплотнения (11848).</w:t>
      </w:r>
    </w:p>
    <w:p w14:paraId="3EB4E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8D3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апреля 1931 года На окраине Новосибирска была произведена закладка завода горного оборудования (ЗГО) проектировавшегося в то время для выпуска локомобилей, экскаваторов, компрессоров и других машин.</w:t>
      </w:r>
    </w:p>
    <w:p w14:paraId="6DB9BC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году, в процессе продолжающегося строительства, завод изменил свой профиль, стал именоваться заводом «СИБМАШСТРОЙ», входя в объединение ВОМТ НКТП и начал выполнять госзаказы по изготовлению запасных частей для тракторов и комбайнов, а также мелкого инструмента.</w:t>
      </w:r>
    </w:p>
    <w:p w14:paraId="098563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Позднее завод был передан в ведение </w:t>
      </w:r>
      <w:proofErr w:type="spellStart"/>
      <w:r w:rsidRPr="007122AB">
        <w:rPr>
          <w:rFonts w:ascii="Times New Roman" w:hAnsi="Times New Roman"/>
          <w:color w:val="000000" w:themeColor="text1"/>
          <w:sz w:val="16"/>
          <w:szCs w:val="16"/>
        </w:rPr>
        <w:t>Главгормаша</w:t>
      </w:r>
      <w:proofErr w:type="spellEnd"/>
      <w:r w:rsidRPr="007122AB">
        <w:rPr>
          <w:rFonts w:ascii="Times New Roman" w:hAnsi="Times New Roman"/>
          <w:color w:val="000000" w:themeColor="text1"/>
          <w:sz w:val="16"/>
          <w:szCs w:val="16"/>
        </w:rPr>
        <w:t xml:space="preserve"> НКТП и начал выпускать простейшие с/х машины (льнотрепалки) и наряду с этим приступил к освоению и развертыванию массового производства насосов типа «Комсомолец».</w:t>
      </w:r>
    </w:p>
    <w:p w14:paraId="5D44D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мая 1936 года решением СТО за № 127сс и приказом НКТП от 20 июня 1936 года за № 206сс строительная площадка завода «СИБМАШСТРОЙ» была передана ГУАП при НКТП с профилем самолетостроения.</w:t>
      </w:r>
    </w:p>
    <w:p w14:paraId="36002B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Этим же приказом НКТП строительству Новосибирского самолетостроительного завода был присвоен номер 153.</w:t>
      </w:r>
    </w:p>
    <w:p w14:paraId="3F9BF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время существования завода директорами завода № 153 и гл. конструкторами ОКБ были:</w:t>
      </w:r>
    </w:p>
    <w:p w14:paraId="5E986C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Директора:</w:t>
      </w:r>
    </w:p>
    <w:p w14:paraId="187A37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Богуславский, Бернштейн, Данишевский – с 1936 года по 17 декабря 1938 года</w:t>
      </w:r>
    </w:p>
    <w:p w14:paraId="23AD9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17 декабря 1938 года по 3 апреля 1940 года - </w:t>
      </w:r>
      <w:proofErr w:type="spellStart"/>
      <w:r w:rsidRPr="007122AB">
        <w:rPr>
          <w:rFonts w:ascii="Times New Roman" w:hAnsi="Times New Roman"/>
          <w:color w:val="000000" w:themeColor="text1"/>
          <w:sz w:val="16"/>
          <w:szCs w:val="16"/>
        </w:rPr>
        <w:t>Митянишев</w:t>
      </w:r>
      <w:proofErr w:type="spellEnd"/>
      <w:r w:rsidRPr="007122AB">
        <w:rPr>
          <w:rFonts w:ascii="Times New Roman" w:hAnsi="Times New Roman"/>
          <w:color w:val="000000" w:themeColor="text1"/>
          <w:sz w:val="16"/>
          <w:szCs w:val="16"/>
        </w:rPr>
        <w:t xml:space="preserve"> А.В.</w:t>
      </w:r>
    </w:p>
    <w:p w14:paraId="555343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3 апреля 1940 года по 27 августа 1941 года – Маланьин М.И.</w:t>
      </w:r>
    </w:p>
    <w:p w14:paraId="764978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27 августа 1941 года по 17 мая 1943 года – Романов П.С.</w:t>
      </w:r>
    </w:p>
    <w:p w14:paraId="7B9AE1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17 мая 1943 года по 29 августа 1950 года – Лисицын В.Н.</w:t>
      </w:r>
    </w:p>
    <w:p w14:paraId="7FDAE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29 августа 1950 года по 19 октября 1953 года – Смирнов П.П.</w:t>
      </w:r>
    </w:p>
    <w:p w14:paraId="0B995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 октября 1953 года – </w:t>
      </w:r>
      <w:proofErr w:type="spellStart"/>
      <w:r w:rsidRPr="007122AB">
        <w:rPr>
          <w:rFonts w:ascii="Times New Roman" w:hAnsi="Times New Roman"/>
          <w:color w:val="000000" w:themeColor="text1"/>
          <w:sz w:val="16"/>
          <w:szCs w:val="16"/>
        </w:rPr>
        <w:t>Салащенко</w:t>
      </w:r>
      <w:proofErr w:type="spellEnd"/>
      <w:r w:rsidRPr="007122AB">
        <w:rPr>
          <w:rFonts w:ascii="Times New Roman" w:hAnsi="Times New Roman"/>
          <w:color w:val="000000" w:themeColor="text1"/>
          <w:sz w:val="16"/>
          <w:szCs w:val="16"/>
        </w:rPr>
        <w:t xml:space="preserve"> И.А.</w:t>
      </w:r>
    </w:p>
    <w:p w14:paraId="15AE9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конструкторы:</w:t>
      </w:r>
    </w:p>
    <w:p w14:paraId="65726F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начала 1938 года по май 1940 года – ОКБ гл. конструктора </w:t>
      </w:r>
      <w:proofErr w:type="spellStart"/>
      <w:r w:rsidRPr="007122AB">
        <w:rPr>
          <w:rFonts w:ascii="Times New Roman" w:hAnsi="Times New Roman"/>
          <w:color w:val="000000" w:themeColor="text1"/>
          <w:sz w:val="16"/>
          <w:szCs w:val="16"/>
        </w:rPr>
        <w:t>Сильванского</w:t>
      </w:r>
      <w:proofErr w:type="spellEnd"/>
      <w:r w:rsidRPr="007122AB">
        <w:rPr>
          <w:rFonts w:ascii="Times New Roman" w:hAnsi="Times New Roman"/>
          <w:color w:val="000000" w:themeColor="text1"/>
          <w:sz w:val="16"/>
          <w:szCs w:val="16"/>
        </w:rPr>
        <w:t xml:space="preserve"> А.В. работало над скоростным истребителем с мотором М-38.</w:t>
      </w:r>
    </w:p>
    <w:p w14:paraId="722D0F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году с прибытием эвакуированного завода № 115 на заводе было организовано ОКБ гл. конструктора Яковлева А.С., которое работало до 1945 года над различными модификациями истребителя «Як».</w:t>
      </w:r>
    </w:p>
    <w:p w14:paraId="45A5F4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за № 269с от 29 июня 1945 года начальником ОКБ-153 назначается гл. конструктор Антонов О.К., который занимался с/х машиной АН-2. В 1952 году по приказу МАП за № 1369 от 2 декабря 1952 года ОКБ Антонова было переведено на завод № 473 в Киев.</w:t>
      </w:r>
    </w:p>
    <w:p w14:paraId="0A9464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на заводе ОКБ не существует.</w:t>
      </w:r>
    </w:p>
    <w:p w14:paraId="79F342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Территория завода расположена в Северо-восточной части Новосибирска, с правой стороны ж/д Москва-Владивосток, на расстоянии 6 км от центра города.</w:t>
      </w:r>
    </w:p>
    <w:p w14:paraId="044C4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основной площадки, завод имеет дополнительную производственную площадь на бывш. мебельной фабрике «Стандарт», где организован цех подвесных баков. Расстояние от цеха до завода – 13 км.</w:t>
      </w:r>
    </w:p>
    <w:p w14:paraId="7D892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Распоряжением ГУАП заводу была установлена программа выпуска на 1937 год – 300 самолетов И-16 и дано задание начальнику </w:t>
      </w:r>
      <w:proofErr w:type="spellStart"/>
      <w:r w:rsidRPr="007122AB">
        <w:rPr>
          <w:rFonts w:ascii="Times New Roman" w:hAnsi="Times New Roman"/>
          <w:color w:val="000000" w:themeColor="text1"/>
          <w:sz w:val="16"/>
          <w:szCs w:val="16"/>
        </w:rPr>
        <w:t>Гипроавиа</w:t>
      </w:r>
      <w:proofErr w:type="spellEnd"/>
      <w:r w:rsidRPr="007122AB">
        <w:rPr>
          <w:rFonts w:ascii="Times New Roman" w:hAnsi="Times New Roman"/>
          <w:color w:val="000000" w:themeColor="text1"/>
          <w:sz w:val="16"/>
          <w:szCs w:val="16"/>
        </w:rPr>
        <w:t xml:space="preserve"> на проектирование завода на выпуск самолетов И-16 – 1200 и СБ – 1500 единиц в год.</w:t>
      </w:r>
    </w:p>
    <w:p w14:paraId="10F476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Позднее, по заданию ПГУ НКОП от 29 января 1937 года за № 1075/00546 было предложено переработать первоначальный технический проект реконструкции завода на выпуск 1500 самолетов И-16 и 3000 самолетов «Х», который и был утвержден НКОП 16 декабря 1937 года.</w:t>
      </w:r>
    </w:p>
    <w:p w14:paraId="0D5FB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1937 года заводом было выпущено первых 5 годовых машин И-16, а затем еще 22 машины, гл. образом из задела завода № 21.</w:t>
      </w:r>
    </w:p>
    <w:p w14:paraId="2CBD7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году завод перешел на серийное производство самолета-истребителя типа И-16 с размером серии в 20 машин. Всего за год было выпущено 104 машины и 9 групповых комплектов к ним.</w:t>
      </w:r>
    </w:p>
    <w:p w14:paraId="7C85C9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марте 1938 года заводу было присвоено имя Чкалова.</w:t>
      </w:r>
    </w:p>
    <w:p w14:paraId="339256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1940 году было выпущено 503 машины с 1/10 групповых комплектов.</w:t>
      </w:r>
    </w:p>
    <w:p w14:paraId="10000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1940 года завод находился в стадии завершения строительных работ второй очереди.</w:t>
      </w:r>
    </w:p>
    <w:p w14:paraId="6B7BA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начале 1941 года. за счет свертывания производства самолета И-16 завод приступил к выпуску учебно-тренировочных самолетов УТИ-4 и одновременно развернул подготовку производства боевого истребителя ЛАГГ-3 и уже на второй квартал заводу было спущено ЕГУ задание на выпуск 10 штук самолетов ЛАГГ_3 и 150 штук УТИ-4.</w:t>
      </w:r>
    </w:p>
    <w:p w14:paraId="02C7B4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с июля 1941 года по январь 1942 года были эвакуированы и влились в завод № 153 следующие авиационные заводы запада: №№ 23, 43, 115, 165, 301 и 388 с общим количеством оборудования 2043 единицы и 8774 человека работающих.</w:t>
      </w:r>
    </w:p>
    <w:p w14:paraId="42736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прибытием завода № 301 в конце 1941 года развертывается в широких масштабах подготовка производства боевого самолета Як-7 с одновременным свертыванием выпуска машин ЛАГГ-3 и уже за последние месяцы 1941 года завод сумел выпустить 21 самолет Як-7Б, а в 1942 году, по мере расширения производственной базы, стал быстро набирать темпы по выпуску самолета Як-7 с его модификациями и продолжал выпуск их до конца 1943 года.</w:t>
      </w:r>
    </w:p>
    <w:p w14:paraId="616EEF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того, в конце 1941 года заводу были переданы бывш. мебельная </w:t>
      </w:r>
      <w:proofErr w:type="spellStart"/>
      <w:r w:rsidRPr="007122AB">
        <w:rPr>
          <w:rFonts w:ascii="Times New Roman" w:hAnsi="Times New Roman"/>
          <w:color w:val="000000" w:themeColor="text1"/>
          <w:sz w:val="16"/>
          <w:szCs w:val="16"/>
        </w:rPr>
        <w:t>фабрика»Стандарт</w:t>
      </w:r>
      <w:proofErr w:type="spellEnd"/>
      <w:r w:rsidRPr="007122AB">
        <w:rPr>
          <w:rFonts w:ascii="Times New Roman" w:hAnsi="Times New Roman"/>
          <w:color w:val="000000" w:themeColor="text1"/>
          <w:sz w:val="16"/>
          <w:szCs w:val="16"/>
        </w:rPr>
        <w:t>» и «ДОК».</w:t>
      </w:r>
    </w:p>
    <w:p w14:paraId="77DAF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1948 году «ДОК» был вновь возвращен СибВО.</w:t>
      </w:r>
    </w:p>
    <w:p w14:paraId="270907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Летные испытания выпускаемых заводом самолетов производились на аэродроме ГВФ в 14 км от завода, которые трактором возили через всю центральную часть города. И только в 1941 году было начато строительство заводского аэродрома на территории, непосредственно примыкающей к заводу.</w:t>
      </w:r>
    </w:p>
    <w:p w14:paraId="207F8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Наряду с серийным выпуском самолетов Як-7, завод в 1942 году осваивает и организует производство самолетных лыж, фибровых бензобаков, деталей из пластмасс и карбида.</w:t>
      </w:r>
    </w:p>
    <w:p w14:paraId="5793EB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1943 года завод полностью перешел на производство самолетов Як-9 и было выпущено 828 боевых единиц этой модификации.</w:t>
      </w:r>
    </w:p>
    <w:p w14:paraId="60C86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1944 году основными машинами в производстве завода были Як-9М, Як-9-37 и с конца 1944 года внедряется машина Як-9У.</w:t>
      </w:r>
    </w:p>
    <w:p w14:paraId="04287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этом же году было выпущено наибольшее количество (5700 шт.) боевых истребителей типа «ЯК» в различных его модификациях.</w:t>
      </w:r>
    </w:p>
    <w:p w14:paraId="1FA7C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годы ВОВ завод выпустил свыше 15000 боевых самолетов.</w:t>
      </w:r>
    </w:p>
    <w:p w14:paraId="01D11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1945 году завод продолжал выпуск самолетов Як-9 типа «М», «Т» и «Ю», а с апреля 1945 года перешел на крупносерийный выпуск самолетов Як-9у, одновременно сокращая выпуск самолетов типа «М», «Т» и «Ю».</w:t>
      </w:r>
    </w:p>
    <w:p w14:paraId="4DCA6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1945 года завод начал серийный выпуск самолета Як-9В и в то же время вел подготовку к внедрению в производство нового самолета Як-9П с металлическим крылом.</w:t>
      </w:r>
    </w:p>
    <w:p w14:paraId="67E763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1945 году с сокращением выпуска самолетов Наркомат предложил заводу организовать производство велосипедов и впервые утвердил большую номенклатуру ширпотреба.</w:t>
      </w:r>
    </w:p>
    <w:p w14:paraId="32F29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1945 года завод получил задание Наркомата о перестройке и полной реконструкции завода под крупно-серийный выпуск зерновых комбайнов.</w:t>
      </w:r>
    </w:p>
    <w:p w14:paraId="1EB98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1946 году завод, готовясь к организации производства зерновых комбайнов, свертывал производство учебных самолетов. И только после того, как стало известно, что завод не будет организовывать производство комбайнов и останется самолетостроительным заводом – вновь приступил к выпуску учебных самолетов Як-9в.</w:t>
      </w:r>
    </w:p>
    <w:p w14:paraId="4F156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в Постановлением Правительства о создании эталона учебного самолета, выпуск последних с марта по август был прекращен.</w:t>
      </w:r>
    </w:p>
    <w:p w14:paraId="0255C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августа 1946 года с большим количеством доработок завод приступил к выпуску учебных самолетов Як-9в, которых было выпущено всего лишь 216.</w:t>
      </w:r>
    </w:p>
    <w:p w14:paraId="308647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завод создавал эталон и боевого самолета и с августа, после получения эталона, началось освоение и внедрение в серию цельнометаллического самолета Як-9П, которых до конца года было собрано 80 машин при плане выпуска 245.</w:t>
      </w:r>
    </w:p>
    <w:p w14:paraId="2A650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Годовой план по сдаче самолетов заказчику по всем типам был выполнен только на 52,5%.</w:t>
      </w:r>
    </w:p>
    <w:p w14:paraId="003BB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1947 году завод осуществил переход на выпуск цельнометаллического самолета Як-9П, одновременно продолжая выпуск учебных самолетов Як-9В. Но в связи с тем, что к началу года завод не имел утвержденного к серийному выпуску эталону боевого самолета, заводу до 15 апреля не было разрешено сдавать самолеты заказчику.</w:t>
      </w:r>
    </w:p>
    <w:p w14:paraId="0DDAE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1948 году по оборонной продукции завод продолжал выпуск самолетов Як-9П и одновременно заводу было дано задание освоить и поставить на производство самолет Як-23 с РД-500.</w:t>
      </w:r>
    </w:p>
    <w:p w14:paraId="2115A4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1948 года было выпущено 249 самолетов Як-9П и освоено производство реактивного истребителя Як-23, задел которого выражался в 18 сложных единицах.</w:t>
      </w:r>
    </w:p>
    <w:p w14:paraId="5651F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1948 года самолеты Як-9П и Як-23 были сняты с производства и завод приступил к подготовке производства реактивного самолета Миг-15 с РД-45.</w:t>
      </w:r>
    </w:p>
    <w:p w14:paraId="226AF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1949 году выпущено самолетов Миг-15 с РД-45 144 штуки.</w:t>
      </w:r>
    </w:p>
    <w:p w14:paraId="7C60B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Миг-15 с РД-45 с июня 1950 года был снят с производства и завод должен был перейти на серийный выпуск новой модернизации реактивного истребителя Миг-15 с Вк-1.</w:t>
      </w:r>
    </w:p>
    <w:p w14:paraId="25599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1949 года было выпущено 360 самолетов Миг-15 с Вк-1.</w:t>
      </w:r>
    </w:p>
    <w:p w14:paraId="7A4A6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Освоено одновременно три модификации самолета:</w:t>
      </w:r>
    </w:p>
    <w:p w14:paraId="143E4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СДП без бустерного управления и оборудования слепой посадки</w:t>
      </w:r>
    </w:p>
    <w:p w14:paraId="349D36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СД – с бустерным управлением элеронами</w:t>
      </w:r>
    </w:p>
    <w:p w14:paraId="0E3195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 – с бустерным управлением элеронами и оборудованием слепой посадки </w:t>
      </w:r>
    </w:p>
    <w:p w14:paraId="1F4EC9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1952 году при постепенном сходе с производства самолета Миг-15 завод со второго квартала в нарастающем итоге начал серийный выпуск самолета Миг-17 и начиная с третьего квартала, приступил к выпуску самолетов Миг-17 с Вк-1Ф.</w:t>
      </w:r>
    </w:p>
    <w:p w14:paraId="2C96F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трех выпускаемых типов самолетов, завод имел задание с декабря 1952 года начать выпуск самолетов Миг-17 с установкой «</w:t>
      </w:r>
      <w:proofErr w:type="spellStart"/>
      <w:r w:rsidRPr="007122AB">
        <w:rPr>
          <w:rFonts w:ascii="Times New Roman" w:hAnsi="Times New Roman"/>
          <w:color w:val="000000" w:themeColor="text1"/>
          <w:sz w:val="16"/>
          <w:szCs w:val="16"/>
        </w:rPr>
        <w:t>Радаль</w:t>
      </w:r>
      <w:proofErr w:type="spellEnd"/>
      <w:r w:rsidRPr="007122AB">
        <w:rPr>
          <w:rFonts w:ascii="Times New Roman" w:hAnsi="Times New Roman"/>
          <w:color w:val="000000" w:themeColor="text1"/>
          <w:sz w:val="16"/>
          <w:szCs w:val="16"/>
        </w:rPr>
        <w:t>».</w:t>
      </w:r>
    </w:p>
    <w:p w14:paraId="37409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1952 года заводом оборудовано пять самолетов системой буксировки в полете («Бурлаки») и в мае два самолета для ЛИИ системой заправки горючим в воздухе.</w:t>
      </w:r>
    </w:p>
    <w:p w14:paraId="45250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1952 году было выпущено 1260 самолетов против 1196 в 1951 году.</w:t>
      </w:r>
    </w:p>
    <w:p w14:paraId="37C63F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Наряду с выпуском основного типа самолета Миг-17, в первом квартале завод закончил выпуск самолетов Миг-17СФ и со второго квартала начал освоение и поставил на производство учебно-тренировочный самолет Миг-15УТИ, а с конца октября приступил к постановке производства нового типа самолета Миг-15Ф.</w:t>
      </w:r>
    </w:p>
    <w:p w14:paraId="4B902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в конце третьего квартала в производстве идут параллельно три типа самолетов Миг-17, Миг-15УТИ и Миг-17Ф.</w:t>
      </w:r>
    </w:p>
    <w:p w14:paraId="748158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в течение года на партии самолетов производилась установка «Сирена» и «</w:t>
      </w:r>
      <w:proofErr w:type="spellStart"/>
      <w:r w:rsidRPr="007122AB">
        <w:rPr>
          <w:rFonts w:ascii="Times New Roman" w:hAnsi="Times New Roman"/>
          <w:color w:val="000000" w:themeColor="text1"/>
          <w:sz w:val="16"/>
          <w:szCs w:val="16"/>
        </w:rPr>
        <w:t>Радаль</w:t>
      </w:r>
      <w:proofErr w:type="spellEnd"/>
      <w:r w:rsidRPr="007122AB">
        <w:rPr>
          <w:rFonts w:ascii="Times New Roman" w:hAnsi="Times New Roman"/>
          <w:color w:val="000000" w:themeColor="text1"/>
          <w:sz w:val="16"/>
          <w:szCs w:val="16"/>
        </w:rPr>
        <w:t>».</w:t>
      </w:r>
    </w:p>
    <w:p w14:paraId="2126C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1954 год был годом дальнейшего усовершенствования технологии выпускаемых самолетов Миг-15УТИ и Миг-17Ф, а с ноября приступил к работам по установке на производство нового реактивного самолета Миг-19.</w:t>
      </w:r>
    </w:p>
    <w:p w14:paraId="66BB4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третьем квартале 1955 года самолет Миг-17Ф был снят с производства.</w:t>
      </w:r>
    </w:p>
    <w:p w14:paraId="393C18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начала 1955 года завод приступил к освоению реактивного истребителя Миг-19 и в течении всего 1955 года занимался его освоением и крупными неоднократными доработками, не выпустив ни одной готовой машины </w:t>
      </w:r>
      <w:proofErr w:type="spellStart"/>
      <w:r w:rsidRPr="007122AB">
        <w:rPr>
          <w:rFonts w:ascii="Times New Roman" w:hAnsi="Times New Roman"/>
          <w:color w:val="000000" w:themeColor="text1"/>
          <w:sz w:val="16"/>
          <w:szCs w:val="16"/>
        </w:rPr>
        <w:t>по-бою</w:t>
      </w:r>
      <w:proofErr w:type="spellEnd"/>
      <w:r w:rsidRPr="007122AB">
        <w:rPr>
          <w:rFonts w:ascii="Times New Roman" w:hAnsi="Times New Roman"/>
          <w:color w:val="000000" w:themeColor="text1"/>
          <w:sz w:val="16"/>
          <w:szCs w:val="16"/>
        </w:rPr>
        <w:t>.</w:t>
      </w:r>
    </w:p>
    <w:p w14:paraId="517790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с освоением самолета Миг-19 завод со второго полугодия приступил к постановке на производство самолета Миг-19 с управляемым стабилизатором (СМ 9/3), выпуск которых намечался на четвертый квартал 1955 года.</w:t>
      </w:r>
    </w:p>
    <w:p w14:paraId="72E49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же время по решению Правительства в конце года завод получил задание и вынужден был приступить к подготовке производства новой опытной машины конструктора Сухого.</w:t>
      </w:r>
    </w:p>
    <w:p w14:paraId="479F3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1955 год было выпущено:</w:t>
      </w:r>
    </w:p>
    <w:p w14:paraId="4201A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Миг-17Ф – 364 при плане 364</w:t>
      </w:r>
    </w:p>
    <w:p w14:paraId="542896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Миг-19 – 0 при плане 175</w:t>
      </w:r>
    </w:p>
    <w:p w14:paraId="341E45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Миг-19СМ 8/3 – 0 при плане 30</w:t>
      </w:r>
    </w:p>
    <w:p w14:paraId="084B2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1956 году был освоен и начат выпуск сверхзвукового реактивного самолета Миг-19.</w:t>
      </w:r>
    </w:p>
    <w:p w14:paraId="454DD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1956 году завод отработал и поставил на производство новую модификацию самолета с управляемым стабилизатором – высотного самолета Миг-19СМ9/3.</w:t>
      </w:r>
    </w:p>
    <w:p w14:paraId="55C02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в течение года осваивается новый тип истребителя-перехватчика конструктора Сухого – «Т-3».</w:t>
      </w:r>
    </w:p>
    <w:p w14:paraId="48EA6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1956 году завод перешел на серийный выпуск самолета Миг-19С и выпустил без двигателя первый самолет-перехватчик Т-3.</w:t>
      </w:r>
    </w:p>
    <w:p w14:paraId="62C8A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1956 год было выпущено:</w:t>
      </w:r>
    </w:p>
    <w:p w14:paraId="47239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Миг-19 – 287 единиц при плане 285 единиц</w:t>
      </w:r>
    </w:p>
    <w:p w14:paraId="3A87E7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w:t>
      </w:r>
    </w:p>
    <w:p w14:paraId="0AC7A8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 управляемого стабилизатора – 139</w:t>
      </w:r>
    </w:p>
    <w:p w14:paraId="28909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управляемым стабилизатором – 148</w:t>
      </w:r>
    </w:p>
    <w:p w14:paraId="4EFC6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Сданный в серийное производство самолет Миг-19С образца 01-02 в январе 1957 года был отклонен ВВС и заводу пришлось осваивать выпуск самолета по новым ТУ.</w:t>
      </w:r>
    </w:p>
    <w:p w14:paraId="43EAD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Фактически выпуск самолетов Миг-19С начался только с августа 1957 года.</w:t>
      </w:r>
    </w:p>
    <w:p w14:paraId="22E62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1957 год было сдано:</w:t>
      </w:r>
    </w:p>
    <w:p w14:paraId="736C77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Миг-19С – 283 при плане 405</w:t>
      </w:r>
    </w:p>
    <w:p w14:paraId="23405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Т-3 – 7 при плане 12</w:t>
      </w:r>
    </w:p>
    <w:p w14:paraId="757DB6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Всего за 1958 год было сдано:</w:t>
      </w:r>
    </w:p>
    <w:p w14:paraId="72C94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Миг-19С – 175 при плане 190</w:t>
      </w:r>
    </w:p>
    <w:p w14:paraId="2EBD6B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 учебных - 3</w:t>
      </w:r>
    </w:p>
    <w:p w14:paraId="33DEB1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Т-3 – 40 при плане 40</w:t>
      </w:r>
    </w:p>
    <w:p w14:paraId="0148B3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 основной продукции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07"/>
        <w:gridCol w:w="619"/>
        <w:gridCol w:w="563"/>
        <w:gridCol w:w="563"/>
        <w:gridCol w:w="540"/>
        <w:gridCol w:w="565"/>
        <w:gridCol w:w="545"/>
        <w:gridCol w:w="555"/>
        <w:gridCol w:w="555"/>
        <w:gridCol w:w="555"/>
        <w:gridCol w:w="555"/>
        <w:gridCol w:w="555"/>
        <w:gridCol w:w="555"/>
        <w:gridCol w:w="555"/>
      </w:tblGrid>
      <w:tr w:rsidR="001002C3" w:rsidRPr="007122AB" w14:paraId="5DAA6D85" w14:textId="77777777">
        <w:tc>
          <w:tcPr>
            <w:tcW w:w="907" w:type="dxa"/>
          </w:tcPr>
          <w:p w14:paraId="5D11A1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619" w:type="dxa"/>
          </w:tcPr>
          <w:p w14:paraId="08715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1937</w:t>
            </w:r>
          </w:p>
        </w:tc>
        <w:tc>
          <w:tcPr>
            <w:tcW w:w="563" w:type="dxa"/>
          </w:tcPr>
          <w:p w14:paraId="7EBF04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1938</w:t>
            </w:r>
          </w:p>
        </w:tc>
        <w:tc>
          <w:tcPr>
            <w:tcW w:w="563" w:type="dxa"/>
          </w:tcPr>
          <w:p w14:paraId="0128E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1939</w:t>
            </w:r>
          </w:p>
        </w:tc>
        <w:tc>
          <w:tcPr>
            <w:tcW w:w="540" w:type="dxa"/>
          </w:tcPr>
          <w:p w14:paraId="196FF6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1940</w:t>
            </w:r>
          </w:p>
        </w:tc>
        <w:tc>
          <w:tcPr>
            <w:tcW w:w="565" w:type="dxa"/>
          </w:tcPr>
          <w:p w14:paraId="77469F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1941</w:t>
            </w:r>
          </w:p>
        </w:tc>
        <w:tc>
          <w:tcPr>
            <w:tcW w:w="545" w:type="dxa"/>
          </w:tcPr>
          <w:p w14:paraId="6B5C7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1942</w:t>
            </w:r>
          </w:p>
        </w:tc>
        <w:tc>
          <w:tcPr>
            <w:tcW w:w="555" w:type="dxa"/>
          </w:tcPr>
          <w:p w14:paraId="54FDE0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1943</w:t>
            </w:r>
          </w:p>
        </w:tc>
        <w:tc>
          <w:tcPr>
            <w:tcW w:w="555" w:type="dxa"/>
          </w:tcPr>
          <w:p w14:paraId="2AA77B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1944</w:t>
            </w:r>
          </w:p>
        </w:tc>
        <w:tc>
          <w:tcPr>
            <w:tcW w:w="555" w:type="dxa"/>
          </w:tcPr>
          <w:p w14:paraId="764C5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1945</w:t>
            </w:r>
          </w:p>
        </w:tc>
        <w:tc>
          <w:tcPr>
            <w:tcW w:w="555" w:type="dxa"/>
          </w:tcPr>
          <w:p w14:paraId="68D61B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1946</w:t>
            </w:r>
          </w:p>
        </w:tc>
        <w:tc>
          <w:tcPr>
            <w:tcW w:w="555" w:type="dxa"/>
          </w:tcPr>
          <w:p w14:paraId="78DF80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1947</w:t>
            </w:r>
          </w:p>
        </w:tc>
        <w:tc>
          <w:tcPr>
            <w:tcW w:w="555" w:type="dxa"/>
          </w:tcPr>
          <w:p w14:paraId="31544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1948</w:t>
            </w:r>
          </w:p>
        </w:tc>
        <w:tc>
          <w:tcPr>
            <w:tcW w:w="555" w:type="dxa"/>
          </w:tcPr>
          <w:p w14:paraId="0A5799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r>
      <w:tr w:rsidR="001002C3" w:rsidRPr="007122AB" w14:paraId="125133C2" w14:textId="77777777">
        <w:tc>
          <w:tcPr>
            <w:tcW w:w="907" w:type="dxa"/>
          </w:tcPr>
          <w:p w14:paraId="6E3863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готовые к бою</w:t>
            </w:r>
          </w:p>
        </w:tc>
        <w:tc>
          <w:tcPr>
            <w:tcW w:w="619" w:type="dxa"/>
          </w:tcPr>
          <w:p w14:paraId="043EC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3" w:type="dxa"/>
          </w:tcPr>
          <w:p w14:paraId="77D21E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3" w:type="dxa"/>
          </w:tcPr>
          <w:p w14:paraId="52E68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0C898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5" w:type="dxa"/>
          </w:tcPr>
          <w:p w14:paraId="5A7FD2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74B55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6CC16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539F7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27CB2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38EE0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1EE00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12C679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63320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ED69B8" w14:textId="77777777">
        <w:tc>
          <w:tcPr>
            <w:tcW w:w="907" w:type="dxa"/>
          </w:tcPr>
          <w:p w14:paraId="503B4D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И-16</w:t>
            </w:r>
          </w:p>
        </w:tc>
        <w:tc>
          <w:tcPr>
            <w:tcW w:w="619" w:type="dxa"/>
          </w:tcPr>
          <w:p w14:paraId="0E20B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w:t>
            </w:r>
          </w:p>
        </w:tc>
        <w:tc>
          <w:tcPr>
            <w:tcW w:w="563" w:type="dxa"/>
          </w:tcPr>
          <w:p w14:paraId="19003F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w:t>
            </w:r>
          </w:p>
        </w:tc>
        <w:tc>
          <w:tcPr>
            <w:tcW w:w="563" w:type="dxa"/>
          </w:tcPr>
          <w:p w14:paraId="398B7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w:t>
            </w:r>
          </w:p>
        </w:tc>
        <w:tc>
          <w:tcPr>
            <w:tcW w:w="540" w:type="dxa"/>
          </w:tcPr>
          <w:p w14:paraId="377CB7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503</w:t>
            </w:r>
          </w:p>
        </w:tc>
        <w:tc>
          <w:tcPr>
            <w:tcW w:w="565" w:type="dxa"/>
          </w:tcPr>
          <w:p w14:paraId="469BFF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545" w:type="dxa"/>
          </w:tcPr>
          <w:p w14:paraId="69B74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38298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CB90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0D5C4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33E2F0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4437B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BF0C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0077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917</w:t>
            </w:r>
          </w:p>
        </w:tc>
      </w:tr>
      <w:tr w:rsidR="001002C3" w:rsidRPr="007122AB" w14:paraId="142604D0" w14:textId="77777777">
        <w:tc>
          <w:tcPr>
            <w:tcW w:w="907" w:type="dxa"/>
          </w:tcPr>
          <w:p w14:paraId="76FDA8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УТИ-4</w:t>
            </w:r>
          </w:p>
        </w:tc>
        <w:tc>
          <w:tcPr>
            <w:tcW w:w="619" w:type="dxa"/>
          </w:tcPr>
          <w:p w14:paraId="7C4010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40C28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02050A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166878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40F1E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404</w:t>
            </w:r>
          </w:p>
        </w:tc>
        <w:tc>
          <w:tcPr>
            <w:tcW w:w="545" w:type="dxa"/>
          </w:tcPr>
          <w:p w14:paraId="1A64B7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4EE03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A0B44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D5DA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D47FD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DCD7F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6F9FC1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EDB0A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404</w:t>
            </w:r>
          </w:p>
        </w:tc>
      </w:tr>
      <w:tr w:rsidR="001002C3" w:rsidRPr="007122AB" w14:paraId="5BDA9F6E" w14:textId="77777777">
        <w:tc>
          <w:tcPr>
            <w:tcW w:w="907" w:type="dxa"/>
          </w:tcPr>
          <w:p w14:paraId="119349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ЛАГГ-3</w:t>
            </w:r>
          </w:p>
        </w:tc>
        <w:tc>
          <w:tcPr>
            <w:tcW w:w="619" w:type="dxa"/>
          </w:tcPr>
          <w:p w14:paraId="5A83E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1704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A8121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66FCA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056507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265</w:t>
            </w:r>
          </w:p>
        </w:tc>
        <w:tc>
          <w:tcPr>
            <w:tcW w:w="545" w:type="dxa"/>
          </w:tcPr>
          <w:p w14:paraId="0FE7F1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w:t>
            </w:r>
          </w:p>
        </w:tc>
        <w:tc>
          <w:tcPr>
            <w:tcW w:w="555" w:type="dxa"/>
          </w:tcPr>
          <w:p w14:paraId="501DFD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99A0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4AE92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82714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E3E1F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055BA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3DEF7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329</w:t>
            </w:r>
          </w:p>
        </w:tc>
      </w:tr>
      <w:tr w:rsidR="001002C3" w:rsidRPr="007122AB" w14:paraId="77222F3F" w14:textId="77777777">
        <w:tc>
          <w:tcPr>
            <w:tcW w:w="907" w:type="dxa"/>
          </w:tcPr>
          <w:p w14:paraId="6D2338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Як-7Б</w:t>
            </w:r>
          </w:p>
        </w:tc>
        <w:tc>
          <w:tcPr>
            <w:tcW w:w="619" w:type="dxa"/>
          </w:tcPr>
          <w:p w14:paraId="7B43CB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72D194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6D3156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18BF4C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7DDB1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545" w:type="dxa"/>
          </w:tcPr>
          <w:p w14:paraId="590560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1993</w:t>
            </w:r>
          </w:p>
        </w:tc>
        <w:tc>
          <w:tcPr>
            <w:tcW w:w="555" w:type="dxa"/>
          </w:tcPr>
          <w:p w14:paraId="3E41C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2488</w:t>
            </w:r>
          </w:p>
        </w:tc>
        <w:tc>
          <w:tcPr>
            <w:tcW w:w="555" w:type="dxa"/>
          </w:tcPr>
          <w:p w14:paraId="7D3EE5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w:t>
            </w:r>
          </w:p>
        </w:tc>
        <w:tc>
          <w:tcPr>
            <w:tcW w:w="555" w:type="dxa"/>
          </w:tcPr>
          <w:p w14:paraId="70F519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5E07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FDB82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331BC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614CD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4535</w:t>
            </w:r>
          </w:p>
        </w:tc>
      </w:tr>
      <w:tr w:rsidR="001002C3" w:rsidRPr="007122AB" w14:paraId="2A829EE6" w14:textId="77777777">
        <w:tc>
          <w:tcPr>
            <w:tcW w:w="907" w:type="dxa"/>
          </w:tcPr>
          <w:p w14:paraId="757B6A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Як-9М</w:t>
            </w:r>
          </w:p>
        </w:tc>
        <w:tc>
          <w:tcPr>
            <w:tcW w:w="619" w:type="dxa"/>
          </w:tcPr>
          <w:p w14:paraId="1ABE8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9D19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8D7E7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2DD3E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36480D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05450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555" w:type="dxa"/>
          </w:tcPr>
          <w:p w14:paraId="44423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828</w:t>
            </w:r>
          </w:p>
        </w:tc>
        <w:tc>
          <w:tcPr>
            <w:tcW w:w="555" w:type="dxa"/>
          </w:tcPr>
          <w:p w14:paraId="3C14D7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4459</w:t>
            </w:r>
          </w:p>
        </w:tc>
        <w:tc>
          <w:tcPr>
            <w:tcW w:w="555" w:type="dxa"/>
          </w:tcPr>
          <w:p w14:paraId="0689C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1649</w:t>
            </w:r>
          </w:p>
        </w:tc>
        <w:tc>
          <w:tcPr>
            <w:tcW w:w="555" w:type="dxa"/>
          </w:tcPr>
          <w:p w14:paraId="6ED2A0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1756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F46C7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971B6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6961</w:t>
            </w:r>
          </w:p>
        </w:tc>
      </w:tr>
      <w:tr w:rsidR="001002C3" w:rsidRPr="007122AB" w14:paraId="7B33E52A" w14:textId="77777777">
        <w:tc>
          <w:tcPr>
            <w:tcW w:w="907" w:type="dxa"/>
          </w:tcPr>
          <w:p w14:paraId="7016B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Як-9-37</w:t>
            </w:r>
          </w:p>
        </w:tc>
        <w:tc>
          <w:tcPr>
            <w:tcW w:w="619" w:type="dxa"/>
          </w:tcPr>
          <w:p w14:paraId="3238D2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48FDF1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511B2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19195E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7D3B2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61F69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BA469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894</w:t>
            </w:r>
          </w:p>
        </w:tc>
        <w:tc>
          <w:tcPr>
            <w:tcW w:w="555" w:type="dxa"/>
          </w:tcPr>
          <w:p w14:paraId="7D79B6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1206</w:t>
            </w:r>
          </w:p>
        </w:tc>
        <w:tc>
          <w:tcPr>
            <w:tcW w:w="555" w:type="dxa"/>
          </w:tcPr>
          <w:p w14:paraId="41585E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6403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844B4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EBDF8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8E4C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2100</w:t>
            </w:r>
          </w:p>
        </w:tc>
      </w:tr>
      <w:tr w:rsidR="001002C3" w:rsidRPr="007122AB" w14:paraId="228A2FF5" w14:textId="77777777">
        <w:tc>
          <w:tcPr>
            <w:tcW w:w="907" w:type="dxa"/>
          </w:tcPr>
          <w:p w14:paraId="10EB7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Як-7В</w:t>
            </w:r>
          </w:p>
        </w:tc>
        <w:tc>
          <w:tcPr>
            <w:tcW w:w="619" w:type="dxa"/>
          </w:tcPr>
          <w:p w14:paraId="357FC7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021CFB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2CDF2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0894A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4AC7B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6A2D50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186</w:t>
            </w:r>
          </w:p>
        </w:tc>
        <w:tc>
          <w:tcPr>
            <w:tcW w:w="555" w:type="dxa"/>
          </w:tcPr>
          <w:p w14:paraId="67833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322</w:t>
            </w:r>
          </w:p>
        </w:tc>
        <w:tc>
          <w:tcPr>
            <w:tcW w:w="555" w:type="dxa"/>
          </w:tcPr>
          <w:p w14:paraId="2F8B9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871B0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C8A9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BFE8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F6FB3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B485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508</w:t>
            </w:r>
          </w:p>
        </w:tc>
      </w:tr>
      <w:tr w:rsidR="001002C3" w:rsidRPr="007122AB" w14:paraId="291D7156" w14:textId="77777777">
        <w:tc>
          <w:tcPr>
            <w:tcW w:w="907" w:type="dxa"/>
          </w:tcPr>
          <w:p w14:paraId="2A5E9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Як-9У</w:t>
            </w:r>
          </w:p>
        </w:tc>
        <w:tc>
          <w:tcPr>
            <w:tcW w:w="619" w:type="dxa"/>
          </w:tcPr>
          <w:p w14:paraId="0AB7F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4DF39B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5A25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10B69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475C3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37F37A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12A121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A837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555" w:type="dxa"/>
          </w:tcPr>
          <w:p w14:paraId="30E719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561</w:t>
            </w:r>
          </w:p>
        </w:tc>
        <w:tc>
          <w:tcPr>
            <w:tcW w:w="555" w:type="dxa"/>
          </w:tcPr>
          <w:p w14:paraId="2CC68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555" w:type="dxa"/>
          </w:tcPr>
          <w:p w14:paraId="57A3D0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27E0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794F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565</w:t>
            </w:r>
          </w:p>
        </w:tc>
      </w:tr>
      <w:tr w:rsidR="001002C3" w:rsidRPr="007122AB" w14:paraId="2198004B" w14:textId="77777777">
        <w:tc>
          <w:tcPr>
            <w:tcW w:w="907" w:type="dxa"/>
          </w:tcPr>
          <w:p w14:paraId="6991C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Як-9Т</w:t>
            </w:r>
          </w:p>
        </w:tc>
        <w:tc>
          <w:tcPr>
            <w:tcW w:w="619" w:type="dxa"/>
          </w:tcPr>
          <w:p w14:paraId="19419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0435D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FC47A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4F9B3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11CB36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3BF257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B1B1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398553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AD50B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641</w:t>
            </w:r>
          </w:p>
        </w:tc>
        <w:tc>
          <w:tcPr>
            <w:tcW w:w="555" w:type="dxa"/>
          </w:tcPr>
          <w:p w14:paraId="6A22C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28FC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06D1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3E84B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641</w:t>
            </w:r>
          </w:p>
        </w:tc>
      </w:tr>
      <w:tr w:rsidR="001002C3" w:rsidRPr="007122AB" w14:paraId="2EF3514E" w14:textId="77777777">
        <w:tc>
          <w:tcPr>
            <w:tcW w:w="907" w:type="dxa"/>
          </w:tcPr>
          <w:p w14:paraId="5F5011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Як-9Ю</w:t>
            </w:r>
          </w:p>
        </w:tc>
        <w:tc>
          <w:tcPr>
            <w:tcW w:w="619" w:type="dxa"/>
          </w:tcPr>
          <w:p w14:paraId="1DA9A3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0FE46A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48C37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0EDCDC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4A0E50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22445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33AC25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6E2523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1D4F7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426</w:t>
            </w:r>
          </w:p>
        </w:tc>
        <w:tc>
          <w:tcPr>
            <w:tcW w:w="555" w:type="dxa"/>
          </w:tcPr>
          <w:p w14:paraId="02377B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555" w:type="dxa"/>
          </w:tcPr>
          <w:p w14:paraId="258750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32FD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6DF6C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466</w:t>
            </w:r>
          </w:p>
        </w:tc>
      </w:tr>
      <w:tr w:rsidR="001002C3" w:rsidRPr="007122AB" w14:paraId="3430E91C" w14:textId="77777777">
        <w:tc>
          <w:tcPr>
            <w:tcW w:w="907" w:type="dxa"/>
          </w:tcPr>
          <w:p w14:paraId="4782EA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Як-9В</w:t>
            </w:r>
          </w:p>
        </w:tc>
        <w:tc>
          <w:tcPr>
            <w:tcW w:w="619" w:type="dxa"/>
          </w:tcPr>
          <w:p w14:paraId="0462E1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6068B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2BA854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73C281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0800E1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24E1A1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7EF2E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47BD9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506DF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555" w:type="dxa"/>
          </w:tcPr>
          <w:p w14:paraId="26772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282</w:t>
            </w:r>
          </w:p>
        </w:tc>
        <w:tc>
          <w:tcPr>
            <w:tcW w:w="555" w:type="dxa"/>
          </w:tcPr>
          <w:p w14:paraId="43CD6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175</w:t>
            </w:r>
          </w:p>
        </w:tc>
        <w:tc>
          <w:tcPr>
            <w:tcW w:w="555" w:type="dxa"/>
          </w:tcPr>
          <w:p w14:paraId="390EA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136F3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472</w:t>
            </w:r>
          </w:p>
        </w:tc>
      </w:tr>
      <w:tr w:rsidR="001002C3" w:rsidRPr="007122AB" w14:paraId="2941A00D" w14:textId="77777777">
        <w:tc>
          <w:tcPr>
            <w:tcW w:w="907" w:type="dxa"/>
          </w:tcPr>
          <w:p w14:paraId="536B96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Як-9П</w:t>
            </w:r>
          </w:p>
        </w:tc>
        <w:tc>
          <w:tcPr>
            <w:tcW w:w="619" w:type="dxa"/>
          </w:tcPr>
          <w:p w14:paraId="6167C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660312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3" w:type="dxa"/>
          </w:tcPr>
          <w:p w14:paraId="1EF14D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0" w:type="dxa"/>
          </w:tcPr>
          <w:p w14:paraId="2A480C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5" w:type="dxa"/>
          </w:tcPr>
          <w:p w14:paraId="2913E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5" w:type="dxa"/>
          </w:tcPr>
          <w:p w14:paraId="7C8B3C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49889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6AE347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2C45D3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55" w:type="dxa"/>
          </w:tcPr>
          <w:p w14:paraId="0DCAA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555" w:type="dxa"/>
          </w:tcPr>
          <w:p w14:paraId="324E1F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522</w:t>
            </w:r>
          </w:p>
        </w:tc>
        <w:tc>
          <w:tcPr>
            <w:tcW w:w="555" w:type="dxa"/>
          </w:tcPr>
          <w:p w14:paraId="7A239C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249</w:t>
            </w:r>
          </w:p>
        </w:tc>
        <w:tc>
          <w:tcPr>
            <w:tcW w:w="555" w:type="dxa"/>
          </w:tcPr>
          <w:p w14:paraId="433D7F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801</w:t>
            </w:r>
          </w:p>
        </w:tc>
      </w:tr>
      <w:tr w:rsidR="001002C3" w:rsidRPr="007122AB" w14:paraId="03851E11" w14:textId="77777777">
        <w:tc>
          <w:tcPr>
            <w:tcW w:w="907" w:type="dxa"/>
          </w:tcPr>
          <w:p w14:paraId="55A5C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годам</w:t>
            </w:r>
          </w:p>
        </w:tc>
        <w:tc>
          <w:tcPr>
            <w:tcW w:w="619" w:type="dxa"/>
          </w:tcPr>
          <w:p w14:paraId="54F075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w:t>
            </w:r>
          </w:p>
        </w:tc>
        <w:tc>
          <w:tcPr>
            <w:tcW w:w="563" w:type="dxa"/>
          </w:tcPr>
          <w:p w14:paraId="27E5BB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w:t>
            </w:r>
          </w:p>
        </w:tc>
        <w:tc>
          <w:tcPr>
            <w:tcW w:w="563" w:type="dxa"/>
          </w:tcPr>
          <w:p w14:paraId="3361B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w:t>
            </w:r>
          </w:p>
        </w:tc>
        <w:tc>
          <w:tcPr>
            <w:tcW w:w="540" w:type="dxa"/>
          </w:tcPr>
          <w:p w14:paraId="47070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503</w:t>
            </w:r>
          </w:p>
        </w:tc>
        <w:tc>
          <w:tcPr>
            <w:tcW w:w="565" w:type="dxa"/>
          </w:tcPr>
          <w:p w14:paraId="7362E8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709</w:t>
            </w:r>
          </w:p>
        </w:tc>
        <w:tc>
          <w:tcPr>
            <w:tcW w:w="545" w:type="dxa"/>
          </w:tcPr>
          <w:p w14:paraId="348B2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2268</w:t>
            </w:r>
          </w:p>
        </w:tc>
        <w:tc>
          <w:tcPr>
            <w:tcW w:w="555" w:type="dxa"/>
          </w:tcPr>
          <w:p w14:paraId="58FF2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4532</w:t>
            </w:r>
          </w:p>
        </w:tc>
        <w:tc>
          <w:tcPr>
            <w:tcW w:w="555" w:type="dxa"/>
          </w:tcPr>
          <w:p w14:paraId="4F8A1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5700</w:t>
            </w:r>
          </w:p>
        </w:tc>
        <w:tc>
          <w:tcPr>
            <w:tcW w:w="555" w:type="dxa"/>
          </w:tcPr>
          <w:p w14:paraId="7F7D0C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3292</w:t>
            </w:r>
          </w:p>
        </w:tc>
        <w:tc>
          <w:tcPr>
            <w:tcW w:w="555" w:type="dxa"/>
          </w:tcPr>
          <w:p w14:paraId="7B4F9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354</w:t>
            </w:r>
          </w:p>
        </w:tc>
        <w:tc>
          <w:tcPr>
            <w:tcW w:w="555" w:type="dxa"/>
          </w:tcPr>
          <w:p w14:paraId="374B13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697</w:t>
            </w:r>
          </w:p>
        </w:tc>
        <w:tc>
          <w:tcPr>
            <w:tcW w:w="555" w:type="dxa"/>
          </w:tcPr>
          <w:p w14:paraId="5648C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249</w:t>
            </w:r>
          </w:p>
        </w:tc>
        <w:tc>
          <w:tcPr>
            <w:tcW w:w="555" w:type="dxa"/>
          </w:tcPr>
          <w:p w14:paraId="405B24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24DF2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688"/>
        <w:gridCol w:w="723"/>
        <w:gridCol w:w="722"/>
        <w:gridCol w:w="723"/>
        <w:gridCol w:w="546"/>
        <w:gridCol w:w="567"/>
        <w:gridCol w:w="567"/>
        <w:gridCol w:w="567"/>
        <w:gridCol w:w="567"/>
        <w:gridCol w:w="567"/>
        <w:gridCol w:w="709"/>
      </w:tblGrid>
      <w:tr w:rsidR="001002C3" w:rsidRPr="007122AB" w14:paraId="61267063" w14:textId="77777777">
        <w:tc>
          <w:tcPr>
            <w:tcW w:w="1809" w:type="dxa"/>
          </w:tcPr>
          <w:p w14:paraId="20132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688" w:type="dxa"/>
          </w:tcPr>
          <w:p w14:paraId="19820E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1949</w:t>
            </w:r>
          </w:p>
        </w:tc>
        <w:tc>
          <w:tcPr>
            <w:tcW w:w="723" w:type="dxa"/>
          </w:tcPr>
          <w:p w14:paraId="2D6EC6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1950</w:t>
            </w:r>
          </w:p>
        </w:tc>
        <w:tc>
          <w:tcPr>
            <w:tcW w:w="722" w:type="dxa"/>
          </w:tcPr>
          <w:p w14:paraId="0DC400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1951</w:t>
            </w:r>
          </w:p>
        </w:tc>
        <w:tc>
          <w:tcPr>
            <w:tcW w:w="723" w:type="dxa"/>
          </w:tcPr>
          <w:p w14:paraId="334914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1952</w:t>
            </w:r>
          </w:p>
        </w:tc>
        <w:tc>
          <w:tcPr>
            <w:tcW w:w="546" w:type="dxa"/>
          </w:tcPr>
          <w:p w14:paraId="15A52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1953</w:t>
            </w:r>
          </w:p>
        </w:tc>
        <w:tc>
          <w:tcPr>
            <w:tcW w:w="567" w:type="dxa"/>
          </w:tcPr>
          <w:p w14:paraId="7C621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1954</w:t>
            </w:r>
          </w:p>
        </w:tc>
        <w:tc>
          <w:tcPr>
            <w:tcW w:w="567" w:type="dxa"/>
          </w:tcPr>
          <w:p w14:paraId="5A2EF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1955</w:t>
            </w:r>
          </w:p>
        </w:tc>
        <w:tc>
          <w:tcPr>
            <w:tcW w:w="567" w:type="dxa"/>
          </w:tcPr>
          <w:p w14:paraId="57313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1956</w:t>
            </w:r>
          </w:p>
        </w:tc>
        <w:tc>
          <w:tcPr>
            <w:tcW w:w="567" w:type="dxa"/>
          </w:tcPr>
          <w:p w14:paraId="16ADB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1957</w:t>
            </w:r>
          </w:p>
        </w:tc>
        <w:tc>
          <w:tcPr>
            <w:tcW w:w="567" w:type="dxa"/>
          </w:tcPr>
          <w:p w14:paraId="21D9F4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1958</w:t>
            </w:r>
          </w:p>
        </w:tc>
        <w:tc>
          <w:tcPr>
            <w:tcW w:w="709" w:type="dxa"/>
          </w:tcPr>
          <w:p w14:paraId="41973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r>
      <w:tr w:rsidR="001002C3" w:rsidRPr="007122AB" w14:paraId="5610E5BC" w14:textId="77777777">
        <w:tc>
          <w:tcPr>
            <w:tcW w:w="1809" w:type="dxa"/>
          </w:tcPr>
          <w:p w14:paraId="1AB28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Миг-19 с РД-45</w:t>
            </w:r>
          </w:p>
        </w:tc>
        <w:tc>
          <w:tcPr>
            <w:tcW w:w="688" w:type="dxa"/>
          </w:tcPr>
          <w:p w14:paraId="4D171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144</w:t>
            </w:r>
          </w:p>
        </w:tc>
        <w:tc>
          <w:tcPr>
            <w:tcW w:w="723" w:type="dxa"/>
          </w:tcPr>
          <w:p w14:paraId="0A41C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307</w:t>
            </w:r>
          </w:p>
        </w:tc>
        <w:tc>
          <w:tcPr>
            <w:tcW w:w="722" w:type="dxa"/>
          </w:tcPr>
          <w:p w14:paraId="178C1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74187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6" w:type="dxa"/>
          </w:tcPr>
          <w:p w14:paraId="696CC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0C574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0B846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72287E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1689C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E566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12EAD5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451</w:t>
            </w:r>
          </w:p>
        </w:tc>
      </w:tr>
      <w:tr w:rsidR="001002C3" w:rsidRPr="007122AB" w14:paraId="5E151C44" w14:textId="77777777">
        <w:tc>
          <w:tcPr>
            <w:tcW w:w="1809" w:type="dxa"/>
          </w:tcPr>
          <w:p w14:paraId="614A3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Миг-15 бис</w:t>
            </w:r>
          </w:p>
        </w:tc>
        <w:tc>
          <w:tcPr>
            <w:tcW w:w="688" w:type="dxa"/>
          </w:tcPr>
          <w:p w14:paraId="77ECE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55CC9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360</w:t>
            </w:r>
          </w:p>
        </w:tc>
        <w:tc>
          <w:tcPr>
            <w:tcW w:w="722" w:type="dxa"/>
          </w:tcPr>
          <w:p w14:paraId="23ED0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1197</w:t>
            </w:r>
          </w:p>
        </w:tc>
        <w:tc>
          <w:tcPr>
            <w:tcW w:w="723" w:type="dxa"/>
          </w:tcPr>
          <w:p w14:paraId="56D6D5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863</w:t>
            </w:r>
          </w:p>
        </w:tc>
        <w:tc>
          <w:tcPr>
            <w:tcW w:w="546" w:type="dxa"/>
          </w:tcPr>
          <w:p w14:paraId="0ADC8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567" w:type="dxa"/>
          </w:tcPr>
          <w:p w14:paraId="48EB4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04C71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64CAD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54D173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025B14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7B2BE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2421</w:t>
            </w:r>
          </w:p>
        </w:tc>
      </w:tr>
      <w:tr w:rsidR="001002C3" w:rsidRPr="007122AB" w14:paraId="208BCEB7" w14:textId="77777777">
        <w:tc>
          <w:tcPr>
            <w:tcW w:w="1809" w:type="dxa"/>
          </w:tcPr>
          <w:p w14:paraId="6AEA58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Миг-17</w:t>
            </w:r>
          </w:p>
        </w:tc>
        <w:tc>
          <w:tcPr>
            <w:tcW w:w="688" w:type="dxa"/>
          </w:tcPr>
          <w:p w14:paraId="3B48C9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727921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2C12D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6B1757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385</w:t>
            </w:r>
          </w:p>
        </w:tc>
        <w:tc>
          <w:tcPr>
            <w:tcW w:w="546" w:type="dxa"/>
          </w:tcPr>
          <w:p w14:paraId="797FE3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973</w:t>
            </w:r>
          </w:p>
        </w:tc>
        <w:tc>
          <w:tcPr>
            <w:tcW w:w="567" w:type="dxa"/>
          </w:tcPr>
          <w:p w14:paraId="3A40E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567" w:type="dxa"/>
          </w:tcPr>
          <w:p w14:paraId="66A7E3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51CCA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41F7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6FB8E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6BA47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1398</w:t>
            </w:r>
          </w:p>
        </w:tc>
      </w:tr>
      <w:tr w:rsidR="001002C3" w:rsidRPr="007122AB" w14:paraId="2EA28DCA" w14:textId="77777777">
        <w:tc>
          <w:tcPr>
            <w:tcW w:w="1809" w:type="dxa"/>
          </w:tcPr>
          <w:p w14:paraId="2E861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УТИ Миг-15</w:t>
            </w:r>
          </w:p>
        </w:tc>
        <w:tc>
          <w:tcPr>
            <w:tcW w:w="688" w:type="dxa"/>
          </w:tcPr>
          <w:p w14:paraId="68A05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6A35B0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28BC40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591177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6" w:type="dxa"/>
          </w:tcPr>
          <w:p w14:paraId="0E1D0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209</w:t>
            </w:r>
          </w:p>
        </w:tc>
        <w:tc>
          <w:tcPr>
            <w:tcW w:w="567" w:type="dxa"/>
          </w:tcPr>
          <w:p w14:paraId="0ACE59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715</w:t>
            </w:r>
          </w:p>
        </w:tc>
        <w:tc>
          <w:tcPr>
            <w:tcW w:w="567" w:type="dxa"/>
          </w:tcPr>
          <w:p w14:paraId="2954BF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33E0C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6E68FF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4D2505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2059C3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924</w:t>
            </w:r>
          </w:p>
        </w:tc>
      </w:tr>
      <w:tr w:rsidR="001002C3" w:rsidRPr="007122AB" w14:paraId="1612EA24" w14:textId="77777777">
        <w:tc>
          <w:tcPr>
            <w:tcW w:w="1809" w:type="dxa"/>
          </w:tcPr>
          <w:p w14:paraId="2D2647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Миг-17Ф</w:t>
            </w:r>
          </w:p>
        </w:tc>
        <w:tc>
          <w:tcPr>
            <w:tcW w:w="688" w:type="dxa"/>
          </w:tcPr>
          <w:p w14:paraId="308F7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09FC3F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2D0E4F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1904D1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46" w:type="dxa"/>
          </w:tcPr>
          <w:p w14:paraId="68E8F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567" w:type="dxa"/>
          </w:tcPr>
          <w:p w14:paraId="4BB4D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375</w:t>
            </w:r>
          </w:p>
        </w:tc>
        <w:tc>
          <w:tcPr>
            <w:tcW w:w="567" w:type="dxa"/>
          </w:tcPr>
          <w:p w14:paraId="7317B2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364</w:t>
            </w:r>
          </w:p>
        </w:tc>
        <w:tc>
          <w:tcPr>
            <w:tcW w:w="567" w:type="dxa"/>
          </w:tcPr>
          <w:p w14:paraId="6F204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44195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1B0893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331A6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769</w:t>
            </w:r>
          </w:p>
        </w:tc>
      </w:tr>
      <w:tr w:rsidR="001002C3" w:rsidRPr="007122AB" w14:paraId="78911D2D" w14:textId="77777777">
        <w:tc>
          <w:tcPr>
            <w:tcW w:w="1809" w:type="dxa"/>
          </w:tcPr>
          <w:p w14:paraId="6EAD1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Миг-19</w:t>
            </w:r>
          </w:p>
        </w:tc>
        <w:tc>
          <w:tcPr>
            <w:tcW w:w="688" w:type="dxa"/>
          </w:tcPr>
          <w:p w14:paraId="0192EE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7CDE1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6E4E1A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4565D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6" w:type="dxa"/>
          </w:tcPr>
          <w:p w14:paraId="6FDFC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75E32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2642DC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6E0A6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139</w:t>
            </w:r>
          </w:p>
        </w:tc>
        <w:tc>
          <w:tcPr>
            <w:tcW w:w="567" w:type="dxa"/>
          </w:tcPr>
          <w:p w14:paraId="20988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15DB6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1C1F5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139</w:t>
            </w:r>
          </w:p>
        </w:tc>
      </w:tr>
      <w:tr w:rsidR="001002C3" w:rsidRPr="007122AB" w14:paraId="0B969F9E" w14:textId="77777777">
        <w:tc>
          <w:tcPr>
            <w:tcW w:w="1809" w:type="dxa"/>
          </w:tcPr>
          <w:p w14:paraId="721938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Миг-19С с управляемым стабилизатором</w:t>
            </w:r>
          </w:p>
        </w:tc>
        <w:tc>
          <w:tcPr>
            <w:tcW w:w="688" w:type="dxa"/>
          </w:tcPr>
          <w:p w14:paraId="4C87B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0DC43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3B16C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7519B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6" w:type="dxa"/>
          </w:tcPr>
          <w:p w14:paraId="76C0F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63880C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7550FE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F4E8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148</w:t>
            </w:r>
          </w:p>
        </w:tc>
        <w:tc>
          <w:tcPr>
            <w:tcW w:w="567" w:type="dxa"/>
          </w:tcPr>
          <w:p w14:paraId="435CBD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283</w:t>
            </w:r>
          </w:p>
        </w:tc>
        <w:tc>
          <w:tcPr>
            <w:tcW w:w="567" w:type="dxa"/>
          </w:tcPr>
          <w:p w14:paraId="57CE78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175</w:t>
            </w:r>
          </w:p>
        </w:tc>
        <w:tc>
          <w:tcPr>
            <w:tcW w:w="709" w:type="dxa"/>
          </w:tcPr>
          <w:p w14:paraId="26E3C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606</w:t>
            </w:r>
          </w:p>
        </w:tc>
      </w:tr>
      <w:tr w:rsidR="001002C3" w:rsidRPr="007122AB" w14:paraId="794840B1" w14:textId="77777777">
        <w:tc>
          <w:tcPr>
            <w:tcW w:w="1809" w:type="dxa"/>
          </w:tcPr>
          <w:p w14:paraId="2C7633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Т-3</w:t>
            </w:r>
          </w:p>
        </w:tc>
        <w:tc>
          <w:tcPr>
            <w:tcW w:w="688" w:type="dxa"/>
          </w:tcPr>
          <w:p w14:paraId="4D957F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7B4F7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32F2D8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29625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6" w:type="dxa"/>
          </w:tcPr>
          <w:p w14:paraId="3CD0F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86BA8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15310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15837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6EE1CA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567" w:type="dxa"/>
          </w:tcPr>
          <w:p w14:paraId="67108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01496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r>
      <w:tr w:rsidR="001002C3" w:rsidRPr="007122AB" w14:paraId="141FB18E" w14:textId="77777777">
        <w:tc>
          <w:tcPr>
            <w:tcW w:w="1809" w:type="dxa"/>
          </w:tcPr>
          <w:p w14:paraId="63E6B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Т-3-51</w:t>
            </w:r>
          </w:p>
        </w:tc>
        <w:tc>
          <w:tcPr>
            <w:tcW w:w="688" w:type="dxa"/>
          </w:tcPr>
          <w:p w14:paraId="2623AE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41DB8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2" w:type="dxa"/>
          </w:tcPr>
          <w:p w14:paraId="1D872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23" w:type="dxa"/>
          </w:tcPr>
          <w:p w14:paraId="6593F8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46" w:type="dxa"/>
          </w:tcPr>
          <w:p w14:paraId="78B4A2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44D3A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0793A9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46D034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3C79B8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Pr>
          <w:p w14:paraId="24BA69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1E789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r>
      <w:tr w:rsidR="001002C3" w:rsidRPr="007122AB" w14:paraId="7C8F8493" w14:textId="77777777">
        <w:tc>
          <w:tcPr>
            <w:tcW w:w="1809" w:type="dxa"/>
          </w:tcPr>
          <w:p w14:paraId="1EEB4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годам</w:t>
            </w:r>
          </w:p>
        </w:tc>
        <w:tc>
          <w:tcPr>
            <w:tcW w:w="688" w:type="dxa"/>
          </w:tcPr>
          <w:p w14:paraId="44469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144</w:t>
            </w:r>
          </w:p>
        </w:tc>
        <w:tc>
          <w:tcPr>
            <w:tcW w:w="723" w:type="dxa"/>
          </w:tcPr>
          <w:p w14:paraId="628ED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667</w:t>
            </w:r>
          </w:p>
        </w:tc>
        <w:tc>
          <w:tcPr>
            <w:tcW w:w="722" w:type="dxa"/>
          </w:tcPr>
          <w:p w14:paraId="1C479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1197</w:t>
            </w:r>
          </w:p>
        </w:tc>
        <w:tc>
          <w:tcPr>
            <w:tcW w:w="723" w:type="dxa"/>
          </w:tcPr>
          <w:p w14:paraId="0177A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1260</w:t>
            </w:r>
          </w:p>
        </w:tc>
        <w:tc>
          <w:tcPr>
            <w:tcW w:w="546" w:type="dxa"/>
          </w:tcPr>
          <w:p w14:paraId="6685F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w:t>
            </w:r>
          </w:p>
        </w:tc>
        <w:tc>
          <w:tcPr>
            <w:tcW w:w="567" w:type="dxa"/>
          </w:tcPr>
          <w:p w14:paraId="3D48A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1130</w:t>
            </w:r>
          </w:p>
        </w:tc>
        <w:tc>
          <w:tcPr>
            <w:tcW w:w="567" w:type="dxa"/>
          </w:tcPr>
          <w:p w14:paraId="263B9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364</w:t>
            </w:r>
          </w:p>
        </w:tc>
        <w:tc>
          <w:tcPr>
            <w:tcW w:w="567" w:type="dxa"/>
          </w:tcPr>
          <w:p w14:paraId="5634C3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287</w:t>
            </w:r>
          </w:p>
        </w:tc>
        <w:tc>
          <w:tcPr>
            <w:tcW w:w="567" w:type="dxa"/>
          </w:tcPr>
          <w:p w14:paraId="414462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w:t>
            </w:r>
          </w:p>
        </w:tc>
        <w:tc>
          <w:tcPr>
            <w:tcW w:w="567" w:type="dxa"/>
          </w:tcPr>
          <w:p w14:paraId="7781A6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709" w:type="dxa"/>
          </w:tcPr>
          <w:p w14:paraId="43F08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28DDF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выпущено штук самолетов всех типов с 1937 года по 1958 год включительно</w:t>
      </w:r>
    </w:p>
    <w:p w14:paraId="65A2E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 том числе 32 машины авансированы – подлежат окончательной сдаче в 1959 году вне плана (9503).</w:t>
      </w:r>
    </w:p>
    <w:p w14:paraId="36299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E1C18D" w14:textId="77777777" w:rsidR="001D074B" w:rsidRPr="009F5089" w:rsidRDefault="001D074B" w:rsidP="001D074B">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30 апреля</w:t>
      </w:r>
      <w:r>
        <w:rPr>
          <w:rFonts w:ascii="Times New Roman" w:hAnsi="Times New Roman"/>
          <w:color w:val="0070C0"/>
          <w:sz w:val="16"/>
          <w:szCs w:val="16"/>
        </w:rPr>
        <w:t xml:space="preserve"> 1930 г</w:t>
      </w:r>
      <w:r w:rsidRPr="009F5089">
        <w:rPr>
          <w:rFonts w:ascii="Times New Roman" w:hAnsi="Times New Roman"/>
          <w:color w:val="0070C0"/>
          <w:sz w:val="16"/>
          <w:szCs w:val="16"/>
        </w:rPr>
        <w:t>.</w:t>
      </w:r>
      <w:r>
        <w:rPr>
          <w:rFonts w:ascii="Times New Roman" w:hAnsi="Times New Roman"/>
          <w:color w:val="0070C0"/>
          <w:sz w:val="16"/>
          <w:szCs w:val="16"/>
        </w:rPr>
        <w:t xml:space="preserve"> п</w:t>
      </w:r>
      <w:r w:rsidRPr="009F5089">
        <w:rPr>
          <w:rFonts w:ascii="Times New Roman" w:hAnsi="Times New Roman"/>
          <w:color w:val="0070C0"/>
          <w:sz w:val="16"/>
          <w:szCs w:val="16"/>
        </w:rPr>
        <w:t>о данным ЦК Осоавиах</w:t>
      </w:r>
      <w:r>
        <w:rPr>
          <w:rFonts w:ascii="Times New Roman" w:hAnsi="Times New Roman"/>
          <w:color w:val="0070C0"/>
          <w:sz w:val="16"/>
          <w:szCs w:val="16"/>
        </w:rPr>
        <w:t>и</w:t>
      </w:r>
      <w:r w:rsidRPr="009F5089">
        <w:rPr>
          <w:rFonts w:ascii="Times New Roman" w:hAnsi="Times New Roman"/>
          <w:color w:val="0070C0"/>
          <w:sz w:val="16"/>
          <w:szCs w:val="16"/>
        </w:rPr>
        <w:t xml:space="preserve">ма в фонд эскадры дирижаблей </w:t>
      </w:r>
      <w:r>
        <w:rPr>
          <w:rFonts w:ascii="Times New Roman" w:hAnsi="Times New Roman"/>
          <w:color w:val="0070C0"/>
          <w:sz w:val="16"/>
          <w:szCs w:val="16"/>
        </w:rPr>
        <w:t xml:space="preserve">имени </w:t>
      </w:r>
      <w:r w:rsidRPr="009F5089">
        <w:rPr>
          <w:rFonts w:ascii="Times New Roman" w:hAnsi="Times New Roman"/>
          <w:color w:val="0070C0"/>
          <w:sz w:val="16"/>
          <w:szCs w:val="16"/>
        </w:rPr>
        <w:t>«</w:t>
      </w:r>
      <w:proofErr w:type="spellStart"/>
      <w:r w:rsidRPr="009F5089">
        <w:rPr>
          <w:rFonts w:ascii="Times New Roman" w:hAnsi="Times New Roman"/>
          <w:color w:val="0070C0"/>
          <w:sz w:val="16"/>
          <w:szCs w:val="16"/>
        </w:rPr>
        <w:t>В.</w:t>
      </w:r>
      <w:r>
        <w:rPr>
          <w:rFonts w:ascii="Times New Roman" w:hAnsi="Times New Roman"/>
          <w:color w:val="0070C0"/>
          <w:sz w:val="16"/>
          <w:szCs w:val="16"/>
        </w:rPr>
        <w:t>И</w:t>
      </w:r>
      <w:r w:rsidRPr="009F5089">
        <w:rPr>
          <w:rFonts w:ascii="Times New Roman" w:hAnsi="Times New Roman"/>
          <w:color w:val="0070C0"/>
          <w:sz w:val="16"/>
          <w:szCs w:val="16"/>
        </w:rPr>
        <w:t>.Ленина</w:t>
      </w:r>
      <w:proofErr w:type="spellEnd"/>
      <w:r>
        <w:rPr>
          <w:rFonts w:ascii="Times New Roman" w:hAnsi="Times New Roman"/>
          <w:color w:val="0070C0"/>
          <w:sz w:val="16"/>
          <w:szCs w:val="16"/>
        </w:rPr>
        <w:t>»</w:t>
      </w:r>
      <w:r w:rsidRPr="009F5089">
        <w:rPr>
          <w:rFonts w:ascii="Times New Roman" w:hAnsi="Times New Roman"/>
          <w:color w:val="0070C0"/>
          <w:sz w:val="16"/>
          <w:szCs w:val="16"/>
        </w:rPr>
        <w:t xml:space="preserve"> поступило 10,5 миллионов рублей добровольных по</w:t>
      </w:r>
      <w:r>
        <w:rPr>
          <w:rFonts w:ascii="Times New Roman" w:hAnsi="Times New Roman"/>
          <w:color w:val="0070C0"/>
          <w:sz w:val="16"/>
          <w:szCs w:val="16"/>
        </w:rPr>
        <w:t>жертвован</w:t>
      </w:r>
      <w:r w:rsidRPr="009F5089">
        <w:rPr>
          <w:rFonts w:ascii="Times New Roman" w:hAnsi="Times New Roman"/>
          <w:color w:val="0070C0"/>
          <w:sz w:val="16"/>
          <w:szCs w:val="16"/>
        </w:rPr>
        <w:t xml:space="preserve">ий </w:t>
      </w:r>
      <w:r>
        <w:rPr>
          <w:rFonts w:ascii="Times New Roman" w:hAnsi="Times New Roman"/>
          <w:color w:val="0070C0"/>
          <w:sz w:val="16"/>
          <w:szCs w:val="16"/>
        </w:rPr>
        <w:t>т</w:t>
      </w:r>
      <w:r w:rsidRPr="009F5089">
        <w:rPr>
          <w:rFonts w:ascii="Times New Roman" w:hAnsi="Times New Roman"/>
          <w:color w:val="0070C0"/>
          <w:sz w:val="16"/>
          <w:szCs w:val="16"/>
        </w:rPr>
        <w:t>рудя</w:t>
      </w:r>
      <w:r>
        <w:rPr>
          <w:rFonts w:ascii="Times New Roman" w:hAnsi="Times New Roman"/>
          <w:color w:val="0070C0"/>
          <w:sz w:val="16"/>
          <w:szCs w:val="16"/>
        </w:rPr>
        <w:t>щ</w:t>
      </w:r>
      <w:r w:rsidRPr="009F5089">
        <w:rPr>
          <w:rFonts w:ascii="Times New Roman" w:hAnsi="Times New Roman"/>
          <w:color w:val="0070C0"/>
          <w:sz w:val="16"/>
          <w:szCs w:val="16"/>
        </w:rPr>
        <w:t>ихся СССР.</w:t>
      </w:r>
    </w:p>
    <w:p w14:paraId="47CB0A80" w14:textId="77777777" w:rsidR="001D074B" w:rsidRDefault="001D074B" w:rsidP="001D074B">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 xml:space="preserve">/"Красная звезда" за </w:t>
      </w:r>
      <w:r>
        <w:rPr>
          <w:rFonts w:ascii="Times New Roman" w:hAnsi="Times New Roman"/>
          <w:color w:val="0070C0"/>
          <w:sz w:val="16"/>
          <w:szCs w:val="16"/>
        </w:rPr>
        <w:t xml:space="preserve">8 </w:t>
      </w:r>
      <w:r w:rsidRPr="009F5089">
        <w:rPr>
          <w:rFonts w:ascii="Times New Roman" w:hAnsi="Times New Roman"/>
          <w:color w:val="0070C0"/>
          <w:sz w:val="16"/>
          <w:szCs w:val="16"/>
        </w:rPr>
        <w:t>мая 1931 г./</w:t>
      </w:r>
      <w:r>
        <w:rPr>
          <w:rFonts w:ascii="Times New Roman" w:hAnsi="Times New Roman"/>
          <w:color w:val="0070C0"/>
          <w:sz w:val="16"/>
          <w:szCs w:val="16"/>
        </w:rPr>
        <w:t xml:space="preserve"> (23370).</w:t>
      </w:r>
    </w:p>
    <w:p w14:paraId="535EA6E4" w14:textId="77777777" w:rsidR="001D074B" w:rsidRPr="009F5089" w:rsidRDefault="001D074B" w:rsidP="001D074B">
      <w:pPr>
        <w:spacing w:after="0" w:line="240" w:lineRule="auto"/>
        <w:jc w:val="both"/>
        <w:rPr>
          <w:rFonts w:ascii="Times New Roman" w:hAnsi="Times New Roman"/>
          <w:color w:val="0070C0"/>
          <w:sz w:val="16"/>
          <w:szCs w:val="16"/>
        </w:rPr>
      </w:pPr>
    </w:p>
    <w:p w14:paraId="741EE8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0B98C8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50BAEF"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30 апреля 1931 </w:t>
      </w:r>
      <w:r w:rsidRPr="007122AB">
        <w:rPr>
          <w:rFonts w:ascii="Times New Roman" w:hAnsi="Times New Roman"/>
          <w:color w:val="000000" w:themeColor="text1"/>
          <w:sz w:val="16"/>
          <w:szCs w:val="16"/>
        </w:rPr>
        <w:t>Политбюро ЦК ВКП(б) утвердило проект постановления ЦК ВКП (б) «О ходе строительства Челябинского тракторного завода»; приняло к сведению сообщение Г. К. Орджоникидзе о работе Сталинградского тракторного завода (12265).</w:t>
      </w:r>
    </w:p>
    <w:p w14:paraId="39203CE4"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4CCB7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апреля 1931 г. Центральный комитет партии принял специальное постановление "О ходе строительства Челябинского тракторного завода", где отмечалось, что своевременное окончание стройки и пуск ЧТЗ являются одной из главных задач, стоящих перед народным хозяйством страны10. ЦК партии выявил причины невыполнения строительных работ и потребовал сосредоточить основное внимание на сооружении главных корпусов завода. Были разработаны конкретные мероприятия по обеспечению ЧТС кадрами, стройматериалами. Решался вопрос о сырьевой базе завода, принимались меры по своевременной доставке грузов, особенно металлоконструкций. Контроль за выполнением этого постановления возлагался на члена ЦК ВКП(б) </w:t>
      </w:r>
      <w:proofErr w:type="spellStart"/>
      <w:r w:rsidRPr="007122AB">
        <w:rPr>
          <w:rFonts w:ascii="Times New Roman" w:hAnsi="Times New Roman"/>
          <w:color w:val="000000" w:themeColor="text1"/>
          <w:sz w:val="16"/>
          <w:szCs w:val="16"/>
        </w:rPr>
        <w:t>Н.М.Шверника</w:t>
      </w:r>
      <w:proofErr w:type="spellEnd"/>
      <w:r w:rsidRPr="007122AB">
        <w:rPr>
          <w:rFonts w:ascii="Times New Roman" w:hAnsi="Times New Roman"/>
          <w:color w:val="000000" w:themeColor="text1"/>
          <w:sz w:val="16"/>
          <w:szCs w:val="16"/>
        </w:rPr>
        <w:t xml:space="preserve">. Выделялись дополнительные ассигнования на строительство городского водопровода и канализации. Заместитель председателя ВСНХ СССР т.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xml:space="preserve"> должен был каждые два месяца докладывать Центральному комитету о ходе строительства ЧТЗ. В постановлении особо подчеркивалось, что работа всех партийных, советских и профсоюзных организаций Урала будет оцениваться по степени их активного содействия успешному окончанию строительства и пуска ЧТЗ. </w:t>
      </w:r>
    </w:p>
    <w:p w14:paraId="5C96E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лозунгом "Лицом к промплощадке" развернулось движение за ударные темпы строительства тракторного завода. На сооружении основных объектов вводился 10-часовой рабочий день и двухсменная работа. Начальником промышленного строительства был назначен один из лучших руководителей ЧТС </w:t>
      </w:r>
      <w:proofErr w:type="spellStart"/>
      <w:r w:rsidRPr="007122AB">
        <w:rPr>
          <w:rFonts w:ascii="Times New Roman" w:hAnsi="Times New Roman"/>
          <w:color w:val="000000" w:themeColor="text1"/>
          <w:sz w:val="16"/>
          <w:szCs w:val="16"/>
        </w:rPr>
        <w:t>Л.Б.Сафразьян</w:t>
      </w:r>
      <w:proofErr w:type="spellEnd"/>
      <w:r w:rsidRPr="007122AB">
        <w:rPr>
          <w:rFonts w:ascii="Times New Roman" w:hAnsi="Times New Roman"/>
          <w:color w:val="000000" w:themeColor="text1"/>
          <w:sz w:val="16"/>
          <w:szCs w:val="16"/>
        </w:rPr>
        <w:t xml:space="preserve">. Вот одно из характерных заявлений того времени: "Довожу до вашего сведения, – сообщает один из строителей в профсоюзную организацию, – что за преподнесённую мне премию (поездка на курорт) я благодарю вас как за высокую оценку моей работы. Но, учитывая важное значение в союзном масштабе пуска ЧТЗ, я от неё отказываюсь, а все деньги по командировке на курорт жертвую в фонд современной авиации". А бетонщики бригады </w:t>
      </w:r>
      <w:proofErr w:type="spellStart"/>
      <w:r w:rsidRPr="007122AB">
        <w:rPr>
          <w:rFonts w:ascii="Times New Roman" w:hAnsi="Times New Roman"/>
          <w:color w:val="000000" w:themeColor="text1"/>
          <w:sz w:val="16"/>
          <w:szCs w:val="16"/>
        </w:rPr>
        <w:t>В.Подшивалова</w:t>
      </w:r>
      <w:proofErr w:type="spellEnd"/>
      <w:r w:rsidRPr="007122AB">
        <w:rPr>
          <w:rFonts w:ascii="Times New Roman" w:hAnsi="Times New Roman"/>
          <w:color w:val="000000" w:themeColor="text1"/>
          <w:sz w:val="16"/>
          <w:szCs w:val="16"/>
        </w:rPr>
        <w:t>, работавшие на строительстве инструментального цеха, заявили: "Закрепляемся до конца строительства завода. Вводим строжайший режим экономии стройматериалов".</w:t>
      </w:r>
    </w:p>
    <w:p w14:paraId="25362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по инициативе </w:t>
      </w:r>
      <w:proofErr w:type="spellStart"/>
      <w:r w:rsidRPr="007122AB">
        <w:rPr>
          <w:rFonts w:ascii="Times New Roman" w:hAnsi="Times New Roman"/>
          <w:color w:val="000000" w:themeColor="text1"/>
          <w:sz w:val="16"/>
          <w:szCs w:val="16"/>
        </w:rPr>
        <w:t>Н.Самохина</w:t>
      </w:r>
      <w:proofErr w:type="spellEnd"/>
      <w:r w:rsidRPr="007122AB">
        <w:rPr>
          <w:rFonts w:ascii="Times New Roman" w:hAnsi="Times New Roman"/>
          <w:color w:val="000000" w:themeColor="text1"/>
          <w:sz w:val="16"/>
          <w:szCs w:val="16"/>
        </w:rPr>
        <w:t xml:space="preserve"> комсомольцы промышленного строительства, а затем и всей стройки взяли шефство над сооружением механосборочного цеха. Здесь же молодые рабочие организовали и так называемые "бетонные вечера", когда после работы, под звуки оркестра строители возводили стены корпусов будущего завода. Многие рабочие из других смен часто оставались, чтобы посмотреть на работу энтузиастов, нередко охваченные общим подъемом, сами брались за лопаты. Случалось так, что в "бетонные вечера" укладывали бетона больше, чем в обычные дни. На одних лишь субботниках комсомольцы возвели свыше 3 тыс. кв.м. стен. За самоотверженный труд на лесах ЧТЗ комсомол стройки был награждён Почётной грамотой Ударника пятилетки. </w:t>
      </w:r>
    </w:p>
    <w:p w14:paraId="2A30C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Творческая активность рабочего класса в 30-е гг. наиболее ярко проявилась в развитии различных форм соцсоревнования: ударные бригады, общественный буксир, встречный </w:t>
      </w:r>
      <w:proofErr w:type="spellStart"/>
      <w:r w:rsidRPr="007122AB">
        <w:rPr>
          <w:rFonts w:ascii="Times New Roman" w:hAnsi="Times New Roman"/>
          <w:color w:val="000000" w:themeColor="text1"/>
          <w:sz w:val="16"/>
          <w:szCs w:val="16"/>
        </w:rPr>
        <w:t>промфинплан</w:t>
      </w:r>
      <w:proofErr w:type="spellEnd"/>
      <w:r w:rsidRPr="007122AB">
        <w:rPr>
          <w:rFonts w:ascii="Times New Roman" w:hAnsi="Times New Roman"/>
          <w:color w:val="000000" w:themeColor="text1"/>
          <w:sz w:val="16"/>
          <w:szCs w:val="16"/>
        </w:rPr>
        <w:t xml:space="preserve">, стахановское движение и т.д. Основной формой соцсоревнования в первой пятилетке стало ударничество. На ЧТС пионером этого движения выступила бригада плотников </w:t>
      </w:r>
      <w:proofErr w:type="spellStart"/>
      <w:r w:rsidRPr="007122AB">
        <w:rPr>
          <w:rFonts w:ascii="Times New Roman" w:hAnsi="Times New Roman"/>
          <w:color w:val="000000" w:themeColor="text1"/>
          <w:sz w:val="16"/>
          <w:szCs w:val="16"/>
        </w:rPr>
        <w:t>С.Фролова</w:t>
      </w:r>
      <w:proofErr w:type="spellEnd"/>
      <w:r w:rsidRPr="007122AB">
        <w:rPr>
          <w:rFonts w:ascii="Times New Roman" w:hAnsi="Times New Roman"/>
          <w:color w:val="000000" w:themeColor="text1"/>
          <w:sz w:val="16"/>
          <w:szCs w:val="16"/>
        </w:rPr>
        <w:t xml:space="preserve">. Трудно было вначале 25 деревенским рабочим, многие из которых впервые попали на стройку. Члены бригады ликвидировали неграмотность, изжили прогулы и постоянно перевыполняли норму. </w:t>
      </w:r>
    </w:p>
    <w:p w14:paraId="2B7FB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Наивысших результатов в соревновании бетонщиков достигли бригады </w:t>
      </w:r>
      <w:proofErr w:type="spellStart"/>
      <w:r w:rsidRPr="007122AB">
        <w:rPr>
          <w:rFonts w:ascii="Times New Roman" w:hAnsi="Times New Roman"/>
          <w:color w:val="000000" w:themeColor="text1"/>
          <w:sz w:val="16"/>
          <w:szCs w:val="16"/>
        </w:rPr>
        <w:t>И.Монахова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Ф.Капралова</w:t>
      </w:r>
      <w:proofErr w:type="spellEnd"/>
      <w:r w:rsidRPr="007122AB">
        <w:rPr>
          <w:rFonts w:ascii="Times New Roman" w:hAnsi="Times New Roman"/>
          <w:color w:val="000000" w:themeColor="text1"/>
          <w:sz w:val="16"/>
          <w:szCs w:val="16"/>
        </w:rPr>
        <w:t xml:space="preserve">, дававшие по 300–800 замесов за смену, в то время как по техническому </w:t>
      </w:r>
      <w:proofErr w:type="spellStart"/>
      <w:r w:rsidRPr="007122AB">
        <w:rPr>
          <w:rFonts w:ascii="Times New Roman" w:hAnsi="Times New Roman"/>
          <w:color w:val="000000" w:themeColor="text1"/>
          <w:sz w:val="16"/>
          <w:szCs w:val="16"/>
        </w:rPr>
        <w:t>паспортy</w:t>
      </w:r>
      <w:proofErr w:type="spellEnd"/>
      <w:r w:rsidRPr="007122AB">
        <w:rPr>
          <w:rFonts w:ascii="Times New Roman" w:hAnsi="Times New Roman"/>
          <w:color w:val="000000" w:themeColor="text1"/>
          <w:sz w:val="16"/>
          <w:szCs w:val="16"/>
        </w:rPr>
        <w:t xml:space="preserve"> бетономешалки "Кайзер" предусматривалось не более 100 замесов. Мировой рекорд по укладке бетона поставил бригадир строителей ММК Хабибула Галиуллин, давший 1196 замесов {214} в смену. Оценивая заслуги передовиков соцсоревнования </w:t>
      </w:r>
      <w:proofErr w:type="spellStart"/>
      <w:r w:rsidRPr="007122AB">
        <w:rPr>
          <w:rFonts w:ascii="Times New Roman" w:hAnsi="Times New Roman"/>
          <w:color w:val="000000" w:themeColor="text1"/>
          <w:sz w:val="16"/>
          <w:szCs w:val="16"/>
        </w:rPr>
        <w:t>И.Монахова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А.Першина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Б.Фельдмана</w:t>
      </w:r>
      <w:proofErr w:type="spellEnd"/>
      <w:r w:rsidRPr="007122AB">
        <w:rPr>
          <w:rFonts w:ascii="Times New Roman" w:hAnsi="Times New Roman"/>
          <w:color w:val="000000" w:themeColor="text1"/>
          <w:sz w:val="16"/>
          <w:szCs w:val="16"/>
        </w:rPr>
        <w:t xml:space="preserve"> и др., IV конференция Челябинской окружной партийной организации отмечала, что их имена будут записаны в историю Челябинска как образцы беззаветной преданности делу рабочего класса. В 1931 г. на ЧТС ударники составляли 57% к общему числу рабочих, а накануне пуска завода – почти 90%11. </w:t>
      </w:r>
    </w:p>
    <w:p w14:paraId="5ED35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подлинный энтузиазм и самодеятельность рабочих использовались существующей системой для ликвидации прорывов и обеспечения форсированных темпов индустриализации, что нашло отражение в призывах и обязательствах со страниц газет и журналов о досрочном выполнении пятилетних планов. Об этом свидетельствуют и документы тех лет. Из протокола слёта ударников-энтузиастов в сентябре 1930 г.: "Каждый энтузиаст должен по первому приказу штаба являться для работы в какое угодно время (дня и ночи) для ликвидации прорывов; каждый энтузиаст подписывается на месячный заработок на заём "пятилетка в 4 года" и обязуется завербовать по 2–3 человека; каждый энтузиаст берёт на буксир по 2 новых рабочих, чтобы обучить их в кратчайшее время работать хорошо".</w:t>
      </w:r>
    </w:p>
    <w:p w14:paraId="6C7CA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На ЧТС, как и других новостройках первых пятилеток, использовался и принудительный труд. Так, в отчёте начальника Управления НКВД по Челябинской области </w:t>
      </w:r>
      <w:proofErr w:type="spellStart"/>
      <w:r w:rsidRPr="007122AB">
        <w:rPr>
          <w:rFonts w:ascii="Times New Roman" w:hAnsi="Times New Roman"/>
          <w:color w:val="000000" w:themeColor="text1"/>
          <w:sz w:val="16"/>
          <w:szCs w:val="16"/>
        </w:rPr>
        <w:t>А.А.Минаева</w:t>
      </w:r>
      <w:proofErr w:type="spellEnd"/>
      <w:r w:rsidRPr="007122AB">
        <w:rPr>
          <w:rFonts w:ascii="Times New Roman" w:hAnsi="Times New Roman"/>
          <w:color w:val="000000" w:themeColor="text1"/>
          <w:sz w:val="16"/>
          <w:szCs w:val="16"/>
        </w:rPr>
        <w:t xml:space="preserve"> Главному Управлению лагерями и </w:t>
      </w:r>
      <w:proofErr w:type="spellStart"/>
      <w:r w:rsidRPr="007122AB">
        <w:rPr>
          <w:rFonts w:ascii="Times New Roman" w:hAnsi="Times New Roman"/>
          <w:color w:val="000000" w:themeColor="text1"/>
          <w:sz w:val="16"/>
          <w:szCs w:val="16"/>
        </w:rPr>
        <w:t>трудпоселениями</w:t>
      </w:r>
      <w:proofErr w:type="spellEnd"/>
      <w:r w:rsidRPr="007122AB">
        <w:rPr>
          <w:rFonts w:ascii="Times New Roman" w:hAnsi="Times New Roman"/>
          <w:color w:val="000000" w:themeColor="text1"/>
          <w:sz w:val="16"/>
          <w:szCs w:val="16"/>
        </w:rPr>
        <w:t xml:space="preserve"> НКВД СССР о состоянии </w:t>
      </w:r>
      <w:proofErr w:type="spellStart"/>
      <w:r w:rsidRPr="007122AB">
        <w:rPr>
          <w:rFonts w:ascii="Times New Roman" w:hAnsi="Times New Roman"/>
          <w:color w:val="000000" w:themeColor="text1"/>
          <w:sz w:val="16"/>
          <w:szCs w:val="16"/>
        </w:rPr>
        <w:t>спецссылки</w:t>
      </w:r>
      <w:proofErr w:type="spellEnd"/>
      <w:r w:rsidRPr="007122AB">
        <w:rPr>
          <w:rFonts w:ascii="Times New Roman" w:hAnsi="Times New Roman"/>
          <w:color w:val="000000" w:themeColor="text1"/>
          <w:sz w:val="16"/>
          <w:szCs w:val="16"/>
        </w:rPr>
        <w:t xml:space="preserve"> за 1934 г., под грифом "совершенно секретно", содержатся сведения о 34 спецпоселениях на Южном Урале – более 14,5 тыс. семей, а всего – 52256 человек, из них два – в посёлке Шершни (ИСО УНКВД) – 906 семей, 1922 человека. В конце 1933 г. на сооружении завода крупного станкостроения работало более 1500 человек из трудколоний12. </w:t>
      </w:r>
    </w:p>
    <w:p w14:paraId="04B10C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Высокие темпы строительных работ позволили в 1932 г. перейти к развёрнутому монтажу производственного оборудования. Проект ЧТЗ и технологический процесс были разработаны с учётом только американского оборудования. Но позднее выяснилось, что все агрегаты в США закупить невозможно: приходилось часть заказов переносить в Европу, причём многие заграничные фирмы совсем не выпускали некоторые типы станков и механизмов, необходимые для предприятия. Поэтому по заказу ЧТЗ впервые на европейских заводах изготовлялись тяжёлые молоты, ковочные машины, конвейеры. В оснащении ЧТЗ оборудованием принимали участие 307 иностранных фирм Германии, США, Франции, Англии. </w:t>
      </w:r>
    </w:p>
    <w:p w14:paraId="174249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всё же иностранные фирмы предпочитали продавать готовые изделия, а не оборудование. В 1931 г. группа советских специалистов, в составе которой был молодой инженер </w:t>
      </w:r>
      <w:proofErr w:type="spellStart"/>
      <w:r w:rsidRPr="007122AB">
        <w:rPr>
          <w:rFonts w:ascii="Times New Roman" w:hAnsi="Times New Roman"/>
          <w:color w:val="000000" w:themeColor="text1"/>
          <w:sz w:val="16"/>
          <w:szCs w:val="16"/>
        </w:rPr>
        <w:t>Н.А.Межевич</w:t>
      </w:r>
      <w:proofErr w:type="spellEnd"/>
      <w:r w:rsidRPr="007122AB">
        <w:rPr>
          <w:rFonts w:ascii="Times New Roman" w:hAnsi="Times New Roman"/>
          <w:color w:val="000000" w:themeColor="text1"/>
          <w:sz w:val="16"/>
          <w:szCs w:val="16"/>
        </w:rPr>
        <w:t xml:space="preserve">, находилась в Германии. Он вспоминал, как их пригласил к себе руководитель компании. После обмена первыми фразами о заводе, заказах он заявил: "Вы, уважаемые господа, строите большой завод, заказываете много оборудования. Вам потребуется много инструмента, не проще ли купить этот инструмент у меня?" Советские специалисты ответили ему: "Для того мы и строим инструментальный цех, чтобы делать самим инструменты, а не быть в зависимости от заграницы". </w:t>
      </w:r>
    </w:p>
    <w:p w14:paraId="65015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Большую роль в укомплектовании ЧТЗ оборудованием сыграли отечественные предприятия. Более 120 заводов изготовляли станки и механизмы для Челябинского тракторного. Только в Ленинграде над его заказами трудились рабочие 52-х предприятий. Электроды и трансформаторы поставляла Москва, регулирующую аппаратуру – Харьков; ковши – подольские заводы, "Красный путиловец" и Уралмаш; 20-тонные вагранки готовили </w:t>
      </w:r>
      <w:proofErr w:type="spellStart"/>
      <w:r w:rsidRPr="007122AB">
        <w:rPr>
          <w:rFonts w:ascii="Times New Roman" w:hAnsi="Times New Roman"/>
          <w:color w:val="000000" w:themeColor="text1"/>
          <w:sz w:val="16"/>
          <w:szCs w:val="16"/>
        </w:rPr>
        <w:t>дебальцевские</w:t>
      </w:r>
      <w:proofErr w:type="spellEnd"/>
      <w:r w:rsidRPr="007122AB">
        <w:rPr>
          <w:rFonts w:ascii="Times New Roman" w:hAnsi="Times New Roman"/>
          <w:color w:val="000000" w:themeColor="text1"/>
          <w:sz w:val="16"/>
          <w:szCs w:val="16"/>
        </w:rPr>
        <w:t xml:space="preserve"> предприятия. Удельный вес отечественного оборудования на ЧТЗ в целом составил более 40%13. Рабочие отечественных предприятий считали большой честью выполнять заказы челябинцев. "За пуск ЧТЗ отвечает весь рабочий класс СССР и в особенности заводы – поставщики оборудования!" – под таким девизом развернулось всесоюзное соревнование за досрочное выполнение заказов для завода (11557).</w:t>
      </w:r>
    </w:p>
    <w:p w14:paraId="7F331D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057AF7" w14:textId="77777777" w:rsidR="00354892" w:rsidRPr="007122AB" w:rsidRDefault="00354892"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30 апреля 1931 г.</w:t>
      </w:r>
    </w:p>
    <w:p w14:paraId="584B33C4" w14:textId="77777777" w:rsidR="00354892" w:rsidRPr="007122AB" w:rsidRDefault="00354892"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2</w:t>
      </w:r>
    </w:p>
    <w:p w14:paraId="580DBE78" w14:textId="77777777" w:rsidR="00354892" w:rsidRPr="007122AB" w:rsidRDefault="00354892"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к п. 31/33 пр. ПБ № 36.</w:t>
      </w:r>
    </w:p>
    <w:p w14:paraId="2250DA63" w14:textId="77777777" w:rsidR="00354892" w:rsidRPr="007122AB" w:rsidRDefault="00354892" w:rsidP="007122AB">
      <w:pPr>
        <w:pStyle w:val="ae"/>
        <w:spacing w:before="0" w:after="0"/>
        <w:jc w:val="both"/>
        <w:rPr>
          <w:color w:val="000000" w:themeColor="text1"/>
          <w:sz w:val="16"/>
          <w:szCs w:val="16"/>
        </w:rPr>
      </w:pPr>
      <w:r w:rsidRPr="007122AB">
        <w:rPr>
          <w:rStyle w:val="a7"/>
          <w:b w:val="0"/>
          <w:color w:val="000000" w:themeColor="text1"/>
          <w:sz w:val="16"/>
          <w:szCs w:val="16"/>
        </w:rPr>
        <w:t>Постановление ЦК ВКП(б) от 30 апреля 1931 г.</w:t>
      </w:r>
    </w:p>
    <w:p w14:paraId="12D6C4CF"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О ходе строительства Челябинского тракторного завода.</w:t>
      </w:r>
    </w:p>
    <w:p w14:paraId="5448FF8E"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Своевременное окончание постройки и пуск Челябинского тракторного завода является одной из важнейших задач, стоящих перед народным хозяйством СССР.</w:t>
      </w:r>
    </w:p>
    <w:p w14:paraId="0F80D9EF"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Челябинский тракторный завод, рассчитанный на ежегодный выпуск 40 тыс. 60</w:t>
      </w:r>
      <w:r w:rsidRPr="007122AB">
        <w:rPr>
          <w:color w:val="000000" w:themeColor="text1"/>
          <w:sz w:val="16"/>
          <w:szCs w:val="16"/>
        </w:rPr>
        <w:noBreakHyphen/>
        <w:t>ти сильных тракторов типа “Катерпиллер”, что составляет 2.400.000 лошадиных сил в год, явится важнейшей технической базой коллективизированного социалистического сельского хозяйства.</w:t>
      </w:r>
    </w:p>
    <w:p w14:paraId="5D35562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Строительство Челябинского тракторного завода должно стать, наряду с Магнитостроем, </w:t>
      </w:r>
      <w:proofErr w:type="spellStart"/>
      <w:r w:rsidRPr="007122AB">
        <w:rPr>
          <w:color w:val="000000" w:themeColor="text1"/>
          <w:sz w:val="16"/>
          <w:szCs w:val="16"/>
        </w:rPr>
        <w:t>Автостроем</w:t>
      </w:r>
      <w:proofErr w:type="spellEnd"/>
      <w:r w:rsidRPr="007122AB">
        <w:rPr>
          <w:color w:val="000000" w:themeColor="text1"/>
          <w:sz w:val="16"/>
          <w:szCs w:val="16"/>
        </w:rPr>
        <w:t xml:space="preserve"> и другими первостепенными стройками, в центре внимания всех партийных, хозяйственных и профессиональных организаций.</w:t>
      </w:r>
    </w:p>
    <w:p w14:paraId="6236F613"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Заслушав доклад начальника </w:t>
      </w:r>
      <w:proofErr w:type="spellStart"/>
      <w:r w:rsidRPr="007122AB">
        <w:rPr>
          <w:color w:val="000000" w:themeColor="text1"/>
          <w:sz w:val="16"/>
          <w:szCs w:val="16"/>
        </w:rPr>
        <w:t>Челябтракторостроя</w:t>
      </w:r>
      <w:proofErr w:type="spellEnd"/>
      <w:r w:rsidRPr="007122AB">
        <w:rPr>
          <w:color w:val="000000" w:themeColor="text1"/>
          <w:sz w:val="16"/>
          <w:szCs w:val="16"/>
        </w:rPr>
        <w:t xml:space="preserve"> т. </w:t>
      </w:r>
      <w:proofErr w:type="spellStart"/>
      <w:r w:rsidRPr="007122AB">
        <w:rPr>
          <w:color w:val="000000" w:themeColor="text1"/>
          <w:sz w:val="16"/>
          <w:szCs w:val="16"/>
        </w:rPr>
        <w:t>Ловина</w:t>
      </w:r>
      <w:proofErr w:type="spellEnd"/>
      <w:r w:rsidRPr="007122AB">
        <w:rPr>
          <w:color w:val="000000" w:themeColor="text1"/>
          <w:sz w:val="16"/>
          <w:szCs w:val="16"/>
        </w:rPr>
        <w:t xml:space="preserve"> о ходе строительства завода, ЦК отмечает следующие основные и наиболее крупные недостатки в организации работы и ходе самого строительства:</w:t>
      </w:r>
    </w:p>
    <w:p w14:paraId="718B23EC"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а) развертывание строительства завода пошло не по линии максимального форсирования постройки производственных цехов; так, с конца 1929 г. по 1.IV.1931 г. из общей суммы затрат в 50 млн. руб. на строительство производственных цехов основного тракторного завода и строительство и оборудование опытного завода израсходовано всего 5,3 млн. рублей;</w:t>
      </w:r>
    </w:p>
    <w:p w14:paraId="01EDF998"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б) стоимость выполненных работ чрезвычайно высока, между тем, при наличии имеющихся на строительстве достаточного количества строительных механизмов и разнообразных местных строительных материалов, стоимость чистого строительства может и должна была быть значительно снижена;</w:t>
      </w:r>
    </w:p>
    <w:p w14:paraId="218CDC3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в) директива партии об упрощении строительных конструкций и удешевлении строительства не нашла должного отражения в работе по сооружению завода. Проекты и строительство отличаются излишествами и ничем не вызываемым повышенным запросом прочности. Наблюдается расходование остродефицитных материалов (металл-цемент и пр.) в жилищном строительстве и при постройке ряда других сооружений, не требующих их применения;</w:t>
      </w:r>
    </w:p>
    <w:p w14:paraId="33E8F2F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г) управление ВАТО и управление строительством не приняли необходимых мер к своевременной реализации предложений о замене железобетонных металлических конструкций основных цехов, что явилось одной из причин замедления темпов строительства;</w:t>
      </w:r>
    </w:p>
    <w:p w14:paraId="0ABDB511"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д) строительство отягощено громоздким штатом служащих, накладные расходы чрезмерно высоки, отсутствуют элементарно-поставленные учет и отчетность, что не дает возможности правильно планировать и вести действительный хозяйственный расчет.</w:t>
      </w:r>
    </w:p>
    <w:p w14:paraId="2AD7FDA8"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ЦК констатирует, что наряду с указанными недочетами в строительстве Челябинского тракторного завода имеются и следующие положительные моменты:</w:t>
      </w:r>
    </w:p>
    <w:p w14:paraId="3B2ADD83"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а) построен опытный завод с выпуском в течение 1931 г. 100 тракторов и в 1932 г. — 300 тракторов, что даст возможность на практике изучить и проверить технологические процессы производства основного завода; в то же время опытный завод явится одним из источников подготовки квалифицированных кадров будущего завода;</w:t>
      </w:r>
    </w:p>
    <w:p w14:paraId="7680CF5E"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б) проведены мероприятия подготовительного характера по организации собственной разработки местных строительных материалов;</w:t>
      </w:r>
    </w:p>
    <w:p w14:paraId="46A02EC0"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в) построен лесопильный завод и механические мастерские.</w:t>
      </w:r>
    </w:p>
    <w:p w14:paraId="0A2E6148"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1. ЦК предлагает ВСНХ СССР организовать работу по строительству так, чтобы окончание постройки, монтаж оборудования и пуск завода на его полную мощность было обеспечено к 1</w:t>
      </w:r>
      <w:r w:rsidRPr="007122AB">
        <w:rPr>
          <w:color w:val="000000" w:themeColor="text1"/>
          <w:sz w:val="16"/>
          <w:szCs w:val="16"/>
        </w:rPr>
        <w:noBreakHyphen/>
        <w:t>му ноября 1932 года.</w:t>
      </w:r>
    </w:p>
    <w:p w14:paraId="3056BF5B"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Сроки пуска отдельных цехов установить:</w:t>
      </w:r>
    </w:p>
    <w:p w14:paraId="0AF7C261" w14:textId="77777777" w:rsidR="00354892" w:rsidRPr="007122AB" w:rsidRDefault="00354892"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инструментальный — 1 февраля 1932 г.</w:t>
      </w:r>
    </w:p>
    <w:p w14:paraId="5DE8BF2E" w14:textId="77777777" w:rsidR="00354892" w:rsidRPr="007122AB" w:rsidRDefault="00354892"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литейный         — 1 августа 1932 г.</w:t>
      </w:r>
    </w:p>
    <w:p w14:paraId="44FB2D8A" w14:textId="77777777" w:rsidR="00354892" w:rsidRPr="007122AB" w:rsidRDefault="00354892" w:rsidP="007122AB">
      <w:pPr>
        <w:pStyle w:val="HTML"/>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кузнечный        — 1 августа 1932 г.</w:t>
      </w:r>
    </w:p>
    <w:p w14:paraId="730EDB33" w14:textId="77777777" w:rsidR="00354892" w:rsidRPr="007122AB" w:rsidRDefault="00354892" w:rsidP="007122AB">
      <w:pPr>
        <w:pStyle w:val="HTML"/>
        <w:jc w:val="both"/>
        <w:rPr>
          <w:rFonts w:ascii="Times New Roman" w:hAnsi="Times New Roman" w:cs="Times New Roman"/>
          <w:color w:val="000000" w:themeColor="text1"/>
          <w:sz w:val="16"/>
          <w:szCs w:val="16"/>
        </w:rPr>
      </w:pPr>
      <w:proofErr w:type="spellStart"/>
      <w:r w:rsidRPr="007122AB">
        <w:rPr>
          <w:rFonts w:ascii="Times New Roman" w:hAnsi="Times New Roman" w:cs="Times New Roman"/>
          <w:color w:val="000000" w:themeColor="text1"/>
          <w:sz w:val="16"/>
          <w:szCs w:val="16"/>
        </w:rPr>
        <w:t>механо</w:t>
      </w:r>
      <w:proofErr w:type="spellEnd"/>
      <w:r w:rsidRPr="007122AB">
        <w:rPr>
          <w:rFonts w:ascii="Times New Roman" w:hAnsi="Times New Roman" w:cs="Times New Roman"/>
          <w:color w:val="000000" w:themeColor="text1"/>
          <w:sz w:val="16"/>
          <w:szCs w:val="16"/>
        </w:rPr>
        <w:t>-сборочный — 1 октября 1932 г.</w:t>
      </w:r>
    </w:p>
    <w:p w14:paraId="1BFC2C1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2. В целях выполнения в срок намеченной программы строительства предложить ВСНХ СССР:</w:t>
      </w:r>
    </w:p>
    <w:p w14:paraId="34342BDF"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а) немедленно выделить ныне существующее строительство в самостоятельное Строительное управление на положении треста, передав ему все имеющиеся на строительстве подсобные предприятия, транспорт и </w:t>
      </w:r>
      <w:proofErr w:type="spellStart"/>
      <w:r w:rsidRPr="007122AB">
        <w:rPr>
          <w:color w:val="000000" w:themeColor="text1"/>
          <w:sz w:val="16"/>
          <w:szCs w:val="16"/>
        </w:rPr>
        <w:t>строймеханизмы</w:t>
      </w:r>
      <w:proofErr w:type="spellEnd"/>
      <w:r w:rsidRPr="007122AB">
        <w:rPr>
          <w:color w:val="000000" w:themeColor="text1"/>
          <w:sz w:val="16"/>
          <w:szCs w:val="16"/>
        </w:rPr>
        <w:t>, с оставлением во главе Строительного управления т. </w:t>
      </w:r>
      <w:proofErr w:type="spellStart"/>
      <w:r w:rsidRPr="007122AB">
        <w:rPr>
          <w:color w:val="000000" w:themeColor="text1"/>
          <w:sz w:val="16"/>
          <w:szCs w:val="16"/>
        </w:rPr>
        <w:t>Ловина</w:t>
      </w:r>
      <w:proofErr w:type="spellEnd"/>
      <w:r w:rsidRPr="007122AB">
        <w:rPr>
          <w:color w:val="000000" w:themeColor="text1"/>
          <w:sz w:val="16"/>
          <w:szCs w:val="16"/>
        </w:rPr>
        <w:t xml:space="preserve"> и с обязательством назначить в пятидневный срок главного инженера Строительного управления;</w:t>
      </w:r>
    </w:p>
    <w:p w14:paraId="5083E8B8"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б) назначить в пятидневный срок директора завода и главного инженера завода, возложив на директора завода: эксплуатацию существующего опытного завода подготовку кадров для производства основного завода; разработку плана пуска завода, снабжение топливом, сырьем и полуфабрикатами; выбор, заказ и монтаж оборудования, наблюдение за сроками строительства и приемку в эксплуатацию законченных сооружений;</w:t>
      </w:r>
    </w:p>
    <w:p w14:paraId="6F83CB75"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в) обеспечить своевременный пуск литейной, для чего заказать готовые металлические конструкции;</w:t>
      </w:r>
    </w:p>
    <w:p w14:paraId="2E2147EF"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г) установить в двухмесячный срок действительную сметную стоимость завода;</w:t>
      </w:r>
    </w:p>
    <w:p w14:paraId="4DD15C30"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д) решение — особая папка;</w:t>
      </w:r>
    </w:p>
    <w:p w14:paraId="73CA7866"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е) принять меры, обеспечивающие бесперебойное снабжение завода стройматериалами, при чем снабжение цементом, сортовым железом и лесоматериалами на весь строительный период производить с определенных и заранее установленных пунктов;</w:t>
      </w:r>
    </w:p>
    <w:p w14:paraId="3979CE8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ж) немедленно определить для будущего производства завода на его полную мощность базы снабжения необходимым сырьем, исходными материалами, в особенности высококачественными сталями и полуфабрикатами с тем, чтобы управление завода в двухмесячный срок заключило договора со всеми заводами-поставщиками будущего производства Челябинского тракторного завода;</w:t>
      </w:r>
    </w:p>
    <w:p w14:paraId="10F4D30F"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з) расширить практику подготовки кадров на опытном заводе, программу производства которого определить на 1931 г. в 100 тракторов и на 1932 г. — 300 тракторов;</w:t>
      </w:r>
    </w:p>
    <w:p w14:paraId="1B519AE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3. Поручить НКПС:</w:t>
      </w:r>
    </w:p>
    <w:p w14:paraId="24B04917"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а) обеспечить своевременную перевозку всех грузов, направляемых в адрес строительства Челябинского тракторного завода; немедленно вывезти из Мурманска и других портов металл для конструкций цехов, доставку готовых конструкций с заводов их изготовляющих — на площадку строительства производить маршрутами; контроль за выполнением возложить на т. Шверника с обязательством немедленного выезда на место;</w:t>
      </w:r>
    </w:p>
    <w:p w14:paraId="19F0C18A"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б) немедленно приступить к реконструкции Челябинского железнодорожного узла в целях своевременного и полного приспособления его как в части путей, так и подвижного состава к грузообороту тракторного и других заводов, строящихся в этом районе; </w:t>
      </w:r>
      <w:proofErr w:type="spellStart"/>
      <w:r w:rsidRPr="007122AB">
        <w:rPr>
          <w:color w:val="000000" w:themeColor="text1"/>
          <w:sz w:val="16"/>
          <w:szCs w:val="16"/>
        </w:rPr>
        <w:t>НКПС‘у</w:t>
      </w:r>
      <w:proofErr w:type="spellEnd"/>
      <w:r w:rsidRPr="007122AB">
        <w:rPr>
          <w:color w:val="000000" w:themeColor="text1"/>
          <w:sz w:val="16"/>
          <w:szCs w:val="16"/>
        </w:rPr>
        <w:t xml:space="preserve"> план реконструкции в </w:t>
      </w:r>
      <w:proofErr w:type="spellStart"/>
      <w:r w:rsidRPr="007122AB">
        <w:rPr>
          <w:color w:val="000000" w:themeColor="text1"/>
          <w:sz w:val="16"/>
          <w:szCs w:val="16"/>
        </w:rPr>
        <w:t>двухдекадный</w:t>
      </w:r>
      <w:proofErr w:type="spellEnd"/>
      <w:r w:rsidRPr="007122AB">
        <w:rPr>
          <w:color w:val="000000" w:themeColor="text1"/>
          <w:sz w:val="16"/>
          <w:szCs w:val="16"/>
        </w:rPr>
        <w:t xml:space="preserve"> срок представить на рассмотрение в СТО.</w:t>
      </w:r>
    </w:p>
    <w:p w14:paraId="443D77DD"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4. Для финансирования постройки городского водопровода и канализации ВСНХ Союза выделить за счет соответствующих строительств промышленности, осуществляемых в районе г. Челябинска в 1931 г., на водопровод 1 млн. рублей и на канализацию 1,5 млн. руб.</w:t>
      </w:r>
    </w:p>
    <w:p w14:paraId="052C43FD"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Обязать начальника </w:t>
      </w:r>
      <w:proofErr w:type="spellStart"/>
      <w:r w:rsidRPr="007122AB">
        <w:rPr>
          <w:color w:val="000000" w:themeColor="text1"/>
          <w:sz w:val="16"/>
          <w:szCs w:val="16"/>
        </w:rPr>
        <w:t>ГУКХ'а</w:t>
      </w:r>
      <w:proofErr w:type="spellEnd"/>
      <w:r w:rsidRPr="007122AB">
        <w:rPr>
          <w:color w:val="000000" w:themeColor="text1"/>
          <w:sz w:val="16"/>
          <w:szCs w:val="16"/>
        </w:rPr>
        <w:t xml:space="preserve"> РСФСР т. </w:t>
      </w:r>
      <w:proofErr w:type="spellStart"/>
      <w:r w:rsidRPr="007122AB">
        <w:rPr>
          <w:color w:val="000000" w:themeColor="text1"/>
          <w:sz w:val="16"/>
          <w:szCs w:val="16"/>
        </w:rPr>
        <w:t>Васкулова</w:t>
      </w:r>
      <w:proofErr w:type="spellEnd"/>
      <w:r w:rsidRPr="007122AB">
        <w:rPr>
          <w:color w:val="000000" w:themeColor="text1"/>
          <w:sz w:val="16"/>
          <w:szCs w:val="16"/>
        </w:rPr>
        <w:t xml:space="preserve"> и председателя Уральского облисполкома т. </w:t>
      </w:r>
      <w:proofErr w:type="spellStart"/>
      <w:r w:rsidRPr="007122AB">
        <w:rPr>
          <w:color w:val="000000" w:themeColor="text1"/>
          <w:sz w:val="16"/>
          <w:szCs w:val="16"/>
        </w:rPr>
        <w:t>Ошвинцева</w:t>
      </w:r>
      <w:proofErr w:type="spellEnd"/>
      <w:r w:rsidRPr="007122AB">
        <w:rPr>
          <w:color w:val="000000" w:themeColor="text1"/>
          <w:sz w:val="16"/>
          <w:szCs w:val="16"/>
        </w:rPr>
        <w:t xml:space="preserve"> провести работы по сооружению магистралей водопровода и канализации г. Челябинска в ударном порядке, в сроки, обеспечивающие своевременное присоединение к ним водопроводной и канализационной сетей </w:t>
      </w:r>
      <w:r w:rsidRPr="007122AB">
        <w:rPr>
          <w:color w:val="000000" w:themeColor="text1"/>
          <w:sz w:val="16"/>
          <w:szCs w:val="16"/>
        </w:rPr>
        <w:lastRenderedPageBreak/>
        <w:t>Челябинского тракторного завода. Контроль за выполнением в срок по проведению водоснабжения и канализации возложить на т. Сулимова с выездом на место не позднее 10 мая.</w:t>
      </w:r>
    </w:p>
    <w:p w14:paraId="0E38E734"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5. Обязать </w:t>
      </w:r>
      <w:proofErr w:type="spellStart"/>
      <w:r w:rsidRPr="007122AB">
        <w:rPr>
          <w:color w:val="000000" w:themeColor="text1"/>
          <w:sz w:val="16"/>
          <w:szCs w:val="16"/>
        </w:rPr>
        <w:t>НКСнаб</w:t>
      </w:r>
      <w:proofErr w:type="spellEnd"/>
      <w:r w:rsidRPr="007122AB">
        <w:rPr>
          <w:color w:val="000000" w:themeColor="text1"/>
          <w:sz w:val="16"/>
          <w:szCs w:val="16"/>
        </w:rPr>
        <w:t xml:space="preserve"> и Центросоюз обеспечить регулярное снабжение рабочих Челябинского тракторного строительства промышленными и продовольственными товарами. Центросоюзу в декадный срок перебросить на Челябинский тракторный завод пять опытных кооперативных работников для организации рабочего снабжения. Контроль за выполнением этого пункта возложить на тов. Волкова (зам. </w:t>
      </w:r>
      <w:proofErr w:type="spellStart"/>
      <w:r w:rsidRPr="007122AB">
        <w:rPr>
          <w:color w:val="000000" w:themeColor="text1"/>
          <w:sz w:val="16"/>
          <w:szCs w:val="16"/>
        </w:rPr>
        <w:t>Наркомснаб</w:t>
      </w:r>
      <w:proofErr w:type="spellEnd"/>
      <w:r w:rsidRPr="007122AB">
        <w:rPr>
          <w:color w:val="000000" w:themeColor="text1"/>
          <w:sz w:val="16"/>
          <w:szCs w:val="16"/>
        </w:rPr>
        <w:t>) с выездом на место.</w:t>
      </w:r>
    </w:p>
    <w:p w14:paraId="380A6266"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 xml:space="preserve">6. Обязать </w:t>
      </w:r>
      <w:proofErr w:type="spellStart"/>
      <w:r w:rsidRPr="007122AB">
        <w:rPr>
          <w:color w:val="000000" w:themeColor="text1"/>
          <w:sz w:val="16"/>
          <w:szCs w:val="16"/>
        </w:rPr>
        <w:t>НКПиТ</w:t>
      </w:r>
      <w:proofErr w:type="spellEnd"/>
      <w:r w:rsidRPr="007122AB">
        <w:rPr>
          <w:color w:val="000000" w:themeColor="text1"/>
          <w:sz w:val="16"/>
          <w:szCs w:val="16"/>
        </w:rPr>
        <w:t xml:space="preserve"> в месячный срок провести необходимые мероприятия, обеспечивающие правильную к быструю работу органов связи в Челябинске, выделив на это дело специальное лицо с выездом на место.</w:t>
      </w:r>
    </w:p>
    <w:p w14:paraId="016DB8DA"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7. Выполнение возложенных на Строительное управление задач по постройке завода и своевременному пуску его требует максимального вовлечения широких рабочих масс и в первую очередь рабочих самого строительства, в борьбу за достижения большевистских темпов стройки, экономного расходования средств и стройматериалов и полного выполнения объема работ в намеченные сроки. В связи с этим, Уральскому обкому и Челябинскому горкому оказывать максимальную помощь строительству Челябинского тракторного завода в борьбе за выполнение плана.</w:t>
      </w:r>
    </w:p>
    <w:p w14:paraId="695935D8"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ЦК будет расценивать работу партийных, советских и профессиональных организаций Уральской области по степени их активного содействия успешному окончанию строительства и пуска завода.</w:t>
      </w:r>
    </w:p>
    <w:p w14:paraId="1E739795"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8. Поручить Оргбюро в месячный срок обеспечить строительство завода и его своевременный пуск кадрами и в декадный срок перебросить на строительство 10 коммунистов-хозяйственников и 10 человек квалифицированных партийных к профсоюзных работников.</w:t>
      </w:r>
    </w:p>
    <w:p w14:paraId="538AF496"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9. Принять к сведению, что президиум ВСНХ СССР выделил т. </w:t>
      </w:r>
      <w:proofErr w:type="spellStart"/>
      <w:r w:rsidRPr="007122AB">
        <w:rPr>
          <w:color w:val="000000" w:themeColor="text1"/>
          <w:sz w:val="16"/>
          <w:szCs w:val="16"/>
        </w:rPr>
        <w:t>Павлуновского</w:t>
      </w:r>
      <w:proofErr w:type="spellEnd"/>
      <w:r w:rsidRPr="007122AB">
        <w:rPr>
          <w:color w:val="000000" w:themeColor="text1"/>
          <w:sz w:val="16"/>
          <w:szCs w:val="16"/>
        </w:rPr>
        <w:t xml:space="preserve"> для специального наблюдения за выполнением настоящего постановления.</w:t>
      </w:r>
    </w:p>
    <w:p w14:paraId="14D606F2"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Обязать т. </w:t>
      </w:r>
      <w:proofErr w:type="spellStart"/>
      <w:r w:rsidRPr="007122AB">
        <w:rPr>
          <w:color w:val="000000" w:themeColor="text1"/>
          <w:sz w:val="16"/>
          <w:szCs w:val="16"/>
        </w:rPr>
        <w:t>Павлуновского</w:t>
      </w:r>
      <w:proofErr w:type="spellEnd"/>
      <w:r w:rsidRPr="007122AB">
        <w:rPr>
          <w:color w:val="000000" w:themeColor="text1"/>
          <w:sz w:val="16"/>
          <w:szCs w:val="16"/>
        </w:rPr>
        <w:t xml:space="preserve"> через каждые два месяца докладывать ЦК ВКП(б) о ходе строительства Челябинского тракторного завода.</w:t>
      </w:r>
    </w:p>
    <w:p w14:paraId="71D52D54" w14:textId="77777777" w:rsidR="00354892" w:rsidRPr="007122AB" w:rsidRDefault="00354892" w:rsidP="007122AB">
      <w:pPr>
        <w:pStyle w:val="rtejustify"/>
        <w:spacing w:before="0" w:after="0"/>
        <w:rPr>
          <w:color w:val="000000" w:themeColor="text1"/>
          <w:sz w:val="16"/>
          <w:szCs w:val="16"/>
        </w:rPr>
      </w:pPr>
      <w:r w:rsidRPr="007122AB">
        <w:rPr>
          <w:color w:val="000000" w:themeColor="text1"/>
          <w:sz w:val="16"/>
          <w:szCs w:val="16"/>
        </w:rPr>
        <w:t>10. Предложить ЦКК-РКИ взять на себя проверку исполнения настоящего постановления (17149).</w:t>
      </w:r>
    </w:p>
    <w:p w14:paraId="1A38F14B" w14:textId="77777777" w:rsidR="00354892" w:rsidRPr="007122AB" w:rsidRDefault="00354892" w:rsidP="007122AB">
      <w:pPr>
        <w:spacing w:after="0" w:line="240" w:lineRule="auto"/>
        <w:jc w:val="both"/>
        <w:rPr>
          <w:rFonts w:ascii="Times New Roman" w:hAnsi="Times New Roman"/>
          <w:color w:val="000000" w:themeColor="text1"/>
          <w:sz w:val="16"/>
          <w:szCs w:val="16"/>
        </w:rPr>
      </w:pPr>
    </w:p>
    <w:p w14:paraId="158D94CD"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апреля 1931 мотоциклы ХАСЗ обкатывались во дворе завода, а 1 мая они были продемонстрированы трудящимся столицы Украины. 2 мая состоялся пробный мотопробег Харьков - Мерефа - Харьков. Пройдя маршрут со средней скоростью 35 км/час, мотоциклы в полной </w:t>
      </w:r>
      <w:proofErr w:type="spellStart"/>
      <w:r w:rsidRPr="007122AB">
        <w:rPr>
          <w:rFonts w:ascii="Times New Roman" w:hAnsi="Times New Roman"/>
          <w:color w:val="000000" w:themeColor="text1"/>
          <w:sz w:val="16"/>
          <w:szCs w:val="16"/>
        </w:rPr>
        <w:t>исправнос-ти</w:t>
      </w:r>
      <w:proofErr w:type="spellEnd"/>
      <w:r w:rsidRPr="007122AB">
        <w:rPr>
          <w:rFonts w:ascii="Times New Roman" w:hAnsi="Times New Roman"/>
          <w:color w:val="000000" w:themeColor="text1"/>
          <w:sz w:val="16"/>
          <w:szCs w:val="16"/>
        </w:rPr>
        <w:t xml:space="preserve"> вернулись в гараж. Разборка двух из них подтвердила полную пригодность изготовленных де-талей для дальнейшего </w:t>
      </w:r>
      <w:proofErr w:type="spellStart"/>
      <w:r w:rsidRPr="007122AB">
        <w:rPr>
          <w:rFonts w:ascii="Times New Roman" w:hAnsi="Times New Roman"/>
          <w:color w:val="000000" w:themeColor="text1"/>
          <w:sz w:val="16"/>
          <w:szCs w:val="16"/>
        </w:rPr>
        <w:t>производ-ства</w:t>
      </w:r>
      <w:proofErr w:type="spellEnd"/>
      <w:r w:rsidRPr="007122AB">
        <w:rPr>
          <w:rFonts w:ascii="Times New Roman" w:hAnsi="Times New Roman"/>
          <w:color w:val="000000" w:themeColor="text1"/>
          <w:sz w:val="16"/>
          <w:szCs w:val="16"/>
        </w:rPr>
        <w:t>. Завод получил задание го-</w:t>
      </w:r>
      <w:proofErr w:type="spellStart"/>
      <w:r w:rsidRPr="007122AB">
        <w:rPr>
          <w:rFonts w:ascii="Times New Roman" w:hAnsi="Times New Roman"/>
          <w:color w:val="000000" w:themeColor="text1"/>
          <w:sz w:val="16"/>
          <w:szCs w:val="16"/>
        </w:rPr>
        <w:t>товить</w:t>
      </w:r>
      <w:proofErr w:type="spellEnd"/>
      <w:r w:rsidRPr="007122AB">
        <w:rPr>
          <w:rFonts w:ascii="Times New Roman" w:hAnsi="Times New Roman"/>
          <w:color w:val="000000" w:themeColor="text1"/>
          <w:sz w:val="16"/>
          <w:szCs w:val="16"/>
        </w:rPr>
        <w:t xml:space="preserve"> мотоциклы для более се-</w:t>
      </w:r>
      <w:proofErr w:type="spellStart"/>
      <w:r w:rsidRPr="007122AB">
        <w:rPr>
          <w:rFonts w:ascii="Times New Roman" w:hAnsi="Times New Roman"/>
          <w:color w:val="000000" w:themeColor="text1"/>
          <w:sz w:val="16"/>
          <w:szCs w:val="16"/>
        </w:rPr>
        <w:t>рьезного</w:t>
      </w:r>
      <w:proofErr w:type="spellEnd"/>
      <w:r w:rsidRPr="007122AB">
        <w:rPr>
          <w:rFonts w:ascii="Times New Roman" w:hAnsi="Times New Roman"/>
          <w:color w:val="000000" w:themeColor="text1"/>
          <w:sz w:val="16"/>
          <w:szCs w:val="16"/>
        </w:rPr>
        <w:t xml:space="preserve"> испытания - 3500-кило-метрового пробега.</w:t>
      </w:r>
    </w:p>
    <w:p w14:paraId="73924C0B"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процессе подготовки в КБ сделали мелкие конструктивные изменения, а также начали готовить выпуск чертежей для будущего серийного производства (11602).</w:t>
      </w:r>
    </w:p>
    <w:p w14:paraId="4E7C3E74"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B736C" w14:textId="77777777" w:rsidR="009417DD" w:rsidRPr="007122AB" w:rsidRDefault="009417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апреля 1931 </w:t>
      </w:r>
      <w:proofErr w:type="spellStart"/>
      <w:r w:rsidRPr="007122AB">
        <w:rPr>
          <w:rFonts w:ascii="Times New Roman" w:hAnsi="Times New Roman"/>
          <w:color w:val="000000" w:themeColor="text1"/>
          <w:sz w:val="16"/>
          <w:szCs w:val="16"/>
        </w:rPr>
        <w:t>Бриллинг</w:t>
      </w:r>
      <w:proofErr w:type="spellEnd"/>
      <w:r w:rsidRPr="007122AB">
        <w:rPr>
          <w:rFonts w:ascii="Times New Roman" w:hAnsi="Times New Roman"/>
          <w:color w:val="000000" w:themeColor="text1"/>
          <w:sz w:val="16"/>
          <w:szCs w:val="16"/>
        </w:rPr>
        <w:t xml:space="preserve"> получил три года ИТЛ, заведовал ОКБ по проектированию </w:t>
      </w:r>
      <w:proofErr w:type="spellStart"/>
      <w:r w:rsidRPr="007122AB">
        <w:rPr>
          <w:rFonts w:ascii="Times New Roman" w:hAnsi="Times New Roman"/>
          <w:color w:val="000000" w:themeColor="text1"/>
          <w:sz w:val="16"/>
          <w:szCs w:val="16"/>
        </w:rPr>
        <w:t>автотанковых</w:t>
      </w:r>
      <w:proofErr w:type="spellEnd"/>
      <w:r w:rsidRPr="007122AB">
        <w:rPr>
          <w:rFonts w:ascii="Times New Roman" w:hAnsi="Times New Roman"/>
          <w:color w:val="000000" w:themeColor="text1"/>
          <w:sz w:val="16"/>
          <w:szCs w:val="16"/>
        </w:rPr>
        <w:t xml:space="preserve"> и авиационных двигателей НКВД (21442).</w:t>
      </w:r>
    </w:p>
    <w:p w14:paraId="66679866" w14:textId="77777777" w:rsidR="009417DD" w:rsidRPr="007122AB" w:rsidRDefault="009417DD" w:rsidP="007122AB">
      <w:pPr>
        <w:spacing w:after="0" w:line="240" w:lineRule="auto"/>
        <w:jc w:val="both"/>
        <w:rPr>
          <w:rFonts w:ascii="Times New Roman" w:hAnsi="Times New Roman"/>
          <w:color w:val="000000" w:themeColor="text1"/>
          <w:sz w:val="16"/>
          <w:szCs w:val="16"/>
        </w:rPr>
      </w:pPr>
      <w:bookmarkStart w:id="16" w:name="_Hlk79594368"/>
      <w:r w:rsidRPr="007122AB">
        <w:rPr>
          <w:rFonts w:ascii="Times New Roman" w:hAnsi="Times New Roman"/>
          <w:color w:val="000000" w:themeColor="text1"/>
          <w:sz w:val="16"/>
          <w:szCs w:val="16"/>
          <w:shd w:val="clear" w:color="auto" w:fill="FFFFFF"/>
        </w:rPr>
        <w:t xml:space="preserve">Особое конструкторское бюро помещалось на Никольской- между аптекой и кукольным театром. Здесь Стечкин и профессор </w:t>
      </w:r>
      <w:proofErr w:type="spellStart"/>
      <w:r w:rsidRPr="007122AB">
        <w:rPr>
          <w:rFonts w:ascii="Times New Roman" w:hAnsi="Times New Roman"/>
          <w:color w:val="000000" w:themeColor="text1"/>
          <w:sz w:val="16"/>
          <w:szCs w:val="16"/>
          <w:shd w:val="clear" w:color="auto" w:fill="FFFFFF"/>
        </w:rPr>
        <w:t>Брилинг</w:t>
      </w:r>
      <w:proofErr w:type="spellEnd"/>
      <w:r w:rsidRPr="007122AB">
        <w:rPr>
          <w:rFonts w:ascii="Times New Roman" w:hAnsi="Times New Roman"/>
          <w:color w:val="000000" w:themeColor="text1"/>
          <w:sz w:val="16"/>
          <w:szCs w:val="16"/>
          <w:shd w:val="clear" w:color="auto" w:fill="FFFFFF"/>
        </w:rPr>
        <w:t xml:space="preserve">, тоже осужденный по делу Промпартии, проектировали ФЭД-8, </w:t>
      </w:r>
      <w:proofErr w:type="spellStart"/>
      <w:r w:rsidRPr="007122AB">
        <w:rPr>
          <w:rFonts w:ascii="Times New Roman" w:hAnsi="Times New Roman"/>
          <w:color w:val="000000" w:themeColor="text1"/>
          <w:sz w:val="16"/>
          <w:szCs w:val="16"/>
          <w:shd w:val="clear" w:color="auto" w:fill="FFFFFF"/>
        </w:rPr>
        <w:t>тысячесильный</w:t>
      </w:r>
      <w:proofErr w:type="spellEnd"/>
      <w:r w:rsidRPr="007122AB">
        <w:rPr>
          <w:rFonts w:ascii="Times New Roman" w:hAnsi="Times New Roman"/>
          <w:color w:val="000000" w:themeColor="text1"/>
          <w:sz w:val="16"/>
          <w:szCs w:val="16"/>
          <w:shd w:val="clear" w:color="auto" w:fill="FFFFFF"/>
        </w:rPr>
        <w:t xml:space="preserve"> авиационный двигатель с 24 цилиндрами. А. А. Добрынин тоже принимал участие в этой работе  (21443).</w:t>
      </w:r>
    </w:p>
    <w:p w14:paraId="2F4E7AAA" w14:textId="77777777" w:rsidR="009417DD" w:rsidRPr="007122AB" w:rsidRDefault="009417DD" w:rsidP="007122AB">
      <w:pPr>
        <w:pStyle w:val="article-renderblock"/>
        <w:shd w:val="clear" w:color="auto" w:fill="FFFFFF"/>
        <w:spacing w:before="0" w:beforeAutospacing="0" w:after="0" w:afterAutospacing="0"/>
        <w:jc w:val="both"/>
        <w:rPr>
          <w:color w:val="000000" w:themeColor="text1"/>
          <w:sz w:val="16"/>
          <w:szCs w:val="16"/>
        </w:rPr>
      </w:pPr>
    </w:p>
    <w:bookmarkEnd w:id="16"/>
    <w:p w14:paraId="0F74B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апреля 1931 г. вышло Постановление СТО о повышении цен на промышленные товары во втором квартале 1931 г.</w:t>
      </w:r>
    </w:p>
    <w:p w14:paraId="0B935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2FBA1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Принять предложение </w:t>
      </w:r>
      <w:proofErr w:type="spellStart"/>
      <w:r w:rsidRPr="007122AB">
        <w:rPr>
          <w:rFonts w:ascii="Times New Roman" w:hAnsi="Times New Roman"/>
          <w:color w:val="000000" w:themeColor="text1"/>
          <w:sz w:val="16"/>
          <w:szCs w:val="16"/>
        </w:rPr>
        <w:t>НКСнаба</w:t>
      </w:r>
      <w:proofErr w:type="spellEnd"/>
      <w:r w:rsidRPr="007122AB">
        <w:rPr>
          <w:rFonts w:ascii="Times New Roman" w:hAnsi="Times New Roman"/>
          <w:color w:val="000000" w:themeColor="text1"/>
          <w:sz w:val="16"/>
          <w:szCs w:val="16"/>
        </w:rPr>
        <w:t xml:space="preserve"> Союза о повышении во II-м квартале 1931 года цен на промтовары, указанные в прилагаемой таблице, на 156 млн. рублей для пополнения государственного резерва.</w:t>
      </w:r>
    </w:p>
    <w:p w14:paraId="122B1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Предложить:</w:t>
      </w:r>
    </w:p>
    <w:p w14:paraId="1B547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w:t>
      </w:r>
      <w:proofErr w:type="spellStart"/>
      <w:r w:rsidRPr="007122AB">
        <w:rPr>
          <w:rFonts w:ascii="Times New Roman" w:hAnsi="Times New Roman"/>
          <w:color w:val="000000" w:themeColor="text1"/>
          <w:sz w:val="16"/>
          <w:szCs w:val="16"/>
        </w:rPr>
        <w:t>НКСнабу</w:t>
      </w:r>
      <w:proofErr w:type="spellEnd"/>
      <w:r w:rsidRPr="007122AB">
        <w:rPr>
          <w:rFonts w:ascii="Times New Roman" w:hAnsi="Times New Roman"/>
          <w:color w:val="000000" w:themeColor="text1"/>
          <w:sz w:val="16"/>
          <w:szCs w:val="16"/>
        </w:rPr>
        <w:t xml:space="preserve"> обеспечить срочное выделение указанных товаров в распоряжение кооперации;</w:t>
      </w:r>
    </w:p>
    <w:p w14:paraId="1296A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кооперации обеспечить реализацию этих товаров во II-м квартале;</w:t>
      </w:r>
    </w:p>
    <w:p w14:paraId="39145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proofErr w:type="spellStart"/>
      <w:r w:rsidRPr="007122AB">
        <w:rPr>
          <w:rFonts w:ascii="Times New Roman" w:hAnsi="Times New Roman"/>
          <w:color w:val="000000" w:themeColor="text1"/>
          <w:sz w:val="16"/>
          <w:szCs w:val="16"/>
        </w:rPr>
        <w:t>НКФину</w:t>
      </w:r>
      <w:proofErr w:type="spellEnd"/>
      <w:r w:rsidRPr="007122AB">
        <w:rPr>
          <w:rFonts w:ascii="Times New Roman" w:hAnsi="Times New Roman"/>
          <w:color w:val="000000" w:themeColor="text1"/>
          <w:sz w:val="16"/>
          <w:szCs w:val="16"/>
        </w:rPr>
        <w:t xml:space="preserve"> СССР по согласованию с </w:t>
      </w:r>
      <w:proofErr w:type="spellStart"/>
      <w:r w:rsidRPr="007122AB">
        <w:rPr>
          <w:rFonts w:ascii="Times New Roman" w:hAnsi="Times New Roman"/>
          <w:color w:val="000000" w:themeColor="text1"/>
          <w:sz w:val="16"/>
          <w:szCs w:val="16"/>
        </w:rPr>
        <w:t>НКСнабом</w:t>
      </w:r>
      <w:proofErr w:type="spellEnd"/>
      <w:r w:rsidRPr="007122AB">
        <w:rPr>
          <w:rFonts w:ascii="Times New Roman" w:hAnsi="Times New Roman"/>
          <w:color w:val="000000" w:themeColor="text1"/>
          <w:sz w:val="16"/>
          <w:szCs w:val="16"/>
        </w:rPr>
        <w:t xml:space="preserve"> СССР и Центросоюзом установить порядок, твердо обеспечивающий </w:t>
      </w:r>
      <w:proofErr w:type="spellStart"/>
      <w:r w:rsidRPr="007122AB">
        <w:rPr>
          <w:rFonts w:ascii="Times New Roman" w:hAnsi="Times New Roman"/>
          <w:color w:val="000000" w:themeColor="text1"/>
          <w:sz w:val="16"/>
          <w:szCs w:val="16"/>
        </w:rPr>
        <w:t>свое¬временное</w:t>
      </w:r>
      <w:proofErr w:type="spellEnd"/>
      <w:r w:rsidRPr="007122AB">
        <w:rPr>
          <w:rFonts w:ascii="Times New Roman" w:hAnsi="Times New Roman"/>
          <w:color w:val="000000" w:themeColor="text1"/>
          <w:sz w:val="16"/>
          <w:szCs w:val="16"/>
        </w:rPr>
        <w:t xml:space="preserve"> поступление в бюджет 156 млн. рублей полностью во П-м квартале 1931 года.</w:t>
      </w:r>
    </w:p>
    <w:p w14:paraId="5BB13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w:t>
      </w:r>
    </w:p>
    <w:p w14:paraId="38F8E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Совета Труда и Обороны </w:t>
      </w:r>
      <w:proofErr w:type="spellStart"/>
      <w:r w:rsidRPr="007122AB">
        <w:rPr>
          <w:rFonts w:ascii="Times New Roman" w:hAnsi="Times New Roman"/>
          <w:color w:val="000000" w:themeColor="text1"/>
          <w:sz w:val="16"/>
          <w:szCs w:val="16"/>
        </w:rPr>
        <w:t>В.Молотов</w:t>
      </w:r>
      <w:proofErr w:type="spellEnd"/>
      <w:r w:rsidRPr="007122AB">
        <w:rPr>
          <w:rFonts w:ascii="Times New Roman" w:hAnsi="Times New Roman"/>
          <w:color w:val="000000" w:themeColor="text1"/>
          <w:sz w:val="16"/>
          <w:szCs w:val="16"/>
        </w:rPr>
        <w:t xml:space="preserve"> (Скрябин)</w:t>
      </w:r>
    </w:p>
    <w:p w14:paraId="3F8D4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Секретарь Совета Труда и Обороны </w:t>
      </w:r>
      <w:proofErr w:type="spellStart"/>
      <w:r w:rsidRPr="007122AB">
        <w:rPr>
          <w:rFonts w:ascii="Times New Roman" w:hAnsi="Times New Roman"/>
          <w:color w:val="000000" w:themeColor="text1"/>
          <w:sz w:val="16"/>
          <w:szCs w:val="16"/>
        </w:rPr>
        <w:t>И.Мирошников</w:t>
      </w:r>
      <w:proofErr w:type="spellEnd"/>
    </w:p>
    <w:p w14:paraId="2999F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Одежда, обувь, мыло, чай, керосин стоят в деревне значительно дороже, чем в городе. Единственное, что дешевле у крестьян - это папиросы, тогда как махорка дороже. На государственном уровне выкачивание средств из деревни можно отследить и на примере соотношения между закупочными ценами на сельхозпродукцию у крестьян и ценами в розничной государственной торговле на продукты, произведенными из этого сырья:</w:t>
      </w:r>
    </w:p>
    <w:p w14:paraId="1253A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Лучше всего транспарентность социалистической торговли отображают молоко и масло, цены на которые в государственной коммерческой торговле превышали закупочные в 10-12 раз. Цены по карточкам отличаются, конечно, меньше, но сами карточки необходимо было еще отоварить. </w:t>
      </w:r>
    </w:p>
    <w:p w14:paraId="2E625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ГАРФ. Ф. Р-5446. Ом. 7. Д. 198. Л. 9 (11554).</w:t>
      </w:r>
    </w:p>
    <w:p w14:paraId="0D5986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8E1877" w14:textId="77777777" w:rsidR="00354892"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C4D687E" w14:textId="77777777" w:rsidR="00354892" w:rsidRPr="007122AB" w:rsidRDefault="0035489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AE8CC0" w14:textId="77777777" w:rsidR="00354892" w:rsidRPr="007122AB" w:rsidRDefault="003548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апреля в 1931 году в Нью-Йорке заканчивается </w:t>
      </w:r>
      <w:proofErr w:type="spellStart"/>
      <w:r w:rsidRPr="007122AB">
        <w:rPr>
          <w:rFonts w:ascii="Times New Roman" w:hAnsi="Times New Roman"/>
          <w:color w:val="000000" w:themeColor="text1"/>
          <w:sz w:val="16"/>
          <w:szCs w:val="16"/>
        </w:rPr>
        <w:t>строительствон</w:t>
      </w:r>
      <w:proofErr w:type="spellEnd"/>
      <w:r w:rsidRPr="007122AB">
        <w:rPr>
          <w:rFonts w:ascii="Times New Roman" w:hAnsi="Times New Roman"/>
          <w:color w:val="000000" w:themeColor="text1"/>
          <w:sz w:val="16"/>
          <w:szCs w:val="16"/>
        </w:rPr>
        <w:t xml:space="preserve"> Эмпайр-Стейт-билдинг, на тот момент самого большого здания в мире. Официальное открытие произойдет на следующий день (15115).</w:t>
      </w:r>
    </w:p>
    <w:p w14:paraId="735AA000" w14:textId="77777777" w:rsidR="00354892" w:rsidRPr="007122AB" w:rsidRDefault="00354892" w:rsidP="007122AB">
      <w:pPr>
        <w:spacing w:after="0" w:line="240" w:lineRule="auto"/>
        <w:jc w:val="both"/>
        <w:rPr>
          <w:rFonts w:ascii="Times New Roman" w:hAnsi="Times New Roman"/>
          <w:color w:val="000000" w:themeColor="text1"/>
          <w:sz w:val="16"/>
          <w:szCs w:val="16"/>
        </w:rPr>
      </w:pPr>
    </w:p>
    <w:p w14:paraId="76B922B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776F83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1E29E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последних числах апреля 1931 года с запозданием против срока по плану на 3 месяца самолет МИ3-М17 передан на гос. испытания в НИИ ВВС (6918).</w:t>
      </w:r>
    </w:p>
    <w:p w14:paraId="223B6D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DBD9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апреля и начале мая 1931 года самолет ТБ-3 с моторами БМВ VI совершил ряд полетов, которые показали, что при значительном уменьшении давлений на ручку необходимы все же дальнейшие незначительные переделки рулей (6918).</w:t>
      </w:r>
    </w:p>
    <w:p w14:paraId="793EFF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E0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последние дни апреля 1931-го бомбардировщик ТБ-3 4М-17 поступил на заводские испытания. Их итоги не радовали. Достаточно сказать, что максимальная скорость снизилась на 19 км/ч, а время набора высоты 3000 м возросло в три раза. Характеристики устойчивости и управляемости, а они оценивались по докладам летчиков, остались без изменения, но отмечалась одна любопытная деталь. На посадке на помощь пилоту приходил бортмеханик, устанавливавший с помощью штурвального колеса необходимый угол отклонения стабилизатора. Несмотря на наличие полиспастов в проводке управлением элеронами, отмечались чрезмерные нагрузки. Впоследствии их снизили, введя щелевую компенсацию элеронов (5740,6).</w:t>
      </w:r>
    </w:p>
    <w:p w14:paraId="619FD8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35B7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3C21E4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117D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построили ШОН. В целом он показал удовле</w:t>
      </w:r>
      <w:r w:rsidRPr="007122AB">
        <w:rPr>
          <w:rFonts w:ascii="Times New Roman" w:hAnsi="Times New Roman"/>
          <w:color w:val="000000" w:themeColor="text1"/>
          <w:sz w:val="16"/>
          <w:szCs w:val="16"/>
        </w:rPr>
        <w:softHyphen/>
        <w:t>творительные характеристики, но серийно не выпускал</w:t>
      </w:r>
      <w:r w:rsidRPr="007122AB">
        <w:rPr>
          <w:rFonts w:ascii="Times New Roman" w:hAnsi="Times New Roman"/>
          <w:color w:val="000000" w:themeColor="text1"/>
          <w:sz w:val="16"/>
          <w:szCs w:val="16"/>
        </w:rPr>
        <w:softHyphen/>
        <w:t>ся, так как авианосец решили не строить и надобность в подобном самолете отпала (10667).</w:t>
      </w:r>
    </w:p>
    <w:p w14:paraId="7EF7A9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8FE65"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ЦКБ был выпущен штурмовик особого назначения (ШОН). Штурмовик ШОН планировалось исполь</w:t>
      </w:r>
      <w:r w:rsidRPr="007122AB">
        <w:rPr>
          <w:rFonts w:ascii="Times New Roman" w:hAnsi="Times New Roman"/>
          <w:color w:val="000000" w:themeColor="text1"/>
          <w:sz w:val="16"/>
          <w:szCs w:val="16"/>
        </w:rPr>
        <w:softHyphen/>
        <w:t>зовать в качестве палубного самолета для предполагаемого к постройке авианосца. В частности, существовал проект переобо</w:t>
      </w:r>
      <w:r w:rsidRPr="007122AB">
        <w:rPr>
          <w:rFonts w:ascii="Times New Roman" w:hAnsi="Times New Roman"/>
          <w:color w:val="000000" w:themeColor="text1"/>
          <w:sz w:val="16"/>
          <w:szCs w:val="16"/>
        </w:rPr>
        <w:softHyphen/>
        <w:t>рудования учебного судна «Комсомолец» в учебный авианосец с базированием на нем 26 истребителей и 16 штурмовиков. Шла подготовка к серийному производству с двигателем М-27 или М-34. Однако в 1933 г. предпочтение отдавалось более перспективному моноплану ТШ-3 и работы по доводке ТШ-2 прекратили.</w:t>
      </w:r>
    </w:p>
    <w:p w14:paraId="6B84776D"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ШОН отличался складываемой с пово</w:t>
      </w:r>
      <w:r w:rsidRPr="007122AB">
        <w:rPr>
          <w:rFonts w:ascii="Times New Roman" w:hAnsi="Times New Roman"/>
          <w:color w:val="000000" w:themeColor="text1"/>
          <w:sz w:val="16"/>
          <w:szCs w:val="16"/>
        </w:rPr>
        <w:softHyphen/>
        <w:t xml:space="preserve">ротом назад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коробкой крыльев для удобства хранения и транспортировки, а его шасси было выполнено в виде раз</w:t>
      </w:r>
      <w:r w:rsidRPr="007122AB">
        <w:rPr>
          <w:rFonts w:ascii="Times New Roman" w:hAnsi="Times New Roman"/>
          <w:color w:val="000000" w:themeColor="text1"/>
          <w:sz w:val="16"/>
          <w:szCs w:val="16"/>
        </w:rPr>
        <w:softHyphen/>
        <w:t>несенной пирамиды без поперечной оси для возможной подвески торпеды. Брони</w:t>
      </w:r>
      <w:r w:rsidRPr="007122AB">
        <w:rPr>
          <w:rFonts w:ascii="Times New Roman" w:hAnsi="Times New Roman"/>
          <w:color w:val="000000" w:themeColor="text1"/>
          <w:sz w:val="16"/>
          <w:szCs w:val="16"/>
        </w:rPr>
        <w:softHyphen/>
        <w:t>рование только снизу, вооружение состояло из восьми пулеметов ПВ-1, установленных в полу второй кабины. Пулеметы монти</w:t>
      </w:r>
      <w:r w:rsidRPr="007122AB">
        <w:rPr>
          <w:rFonts w:ascii="Times New Roman" w:hAnsi="Times New Roman"/>
          <w:color w:val="000000" w:themeColor="text1"/>
          <w:sz w:val="16"/>
          <w:szCs w:val="16"/>
        </w:rPr>
        <w:softHyphen/>
        <w:t>ровались на особой поворачивающейся установке для стрельбы вперед, вниз и назад. Палубный штурмовик испытывался в 1932 г., однако от создания авианосцев отказались, поэтому ШОН дальнейшего продолжения не имел (12612).</w:t>
      </w:r>
    </w:p>
    <w:p w14:paraId="53E691D9"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4F761869"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был выпущен штурмовик осо</w:t>
      </w:r>
      <w:r w:rsidRPr="007122AB">
        <w:rPr>
          <w:rFonts w:ascii="Times New Roman" w:hAnsi="Times New Roman"/>
          <w:color w:val="000000" w:themeColor="text1"/>
          <w:sz w:val="16"/>
          <w:szCs w:val="16"/>
        </w:rPr>
        <w:softHyphen/>
        <w:t>бого назначения ШОН. Он создавался в Цен</w:t>
      </w:r>
      <w:r w:rsidRPr="007122AB">
        <w:rPr>
          <w:rFonts w:ascii="Times New Roman" w:hAnsi="Times New Roman"/>
          <w:color w:val="000000" w:themeColor="text1"/>
          <w:sz w:val="16"/>
          <w:szCs w:val="16"/>
        </w:rPr>
        <w:softHyphen/>
        <w:t>тральном конструкторском бюро (отсюда еще одно его название - ЦКБ №23). ШОН отличался складываемой с поворо</w:t>
      </w:r>
      <w:r w:rsidRPr="007122AB">
        <w:rPr>
          <w:rFonts w:ascii="Times New Roman" w:hAnsi="Times New Roman"/>
          <w:color w:val="000000" w:themeColor="text1"/>
          <w:sz w:val="16"/>
          <w:szCs w:val="16"/>
        </w:rPr>
        <w:softHyphen/>
        <w:t xml:space="preserve">том назад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коробкой крыльев для удобства хранения и транспортировки, а его шасси было выполнено в виде разнесенной пирамиды без поперечной оси для возмож</w:t>
      </w:r>
      <w:r w:rsidRPr="007122AB">
        <w:rPr>
          <w:rFonts w:ascii="Times New Roman" w:hAnsi="Times New Roman"/>
          <w:color w:val="000000" w:themeColor="text1"/>
          <w:sz w:val="16"/>
          <w:szCs w:val="16"/>
        </w:rPr>
        <w:softHyphen/>
        <w:t>ной подвески торпеды (последнее предполо</w:t>
      </w:r>
      <w:r w:rsidRPr="007122AB">
        <w:rPr>
          <w:rFonts w:ascii="Times New Roman" w:hAnsi="Times New Roman"/>
          <w:color w:val="000000" w:themeColor="text1"/>
          <w:sz w:val="16"/>
          <w:szCs w:val="16"/>
        </w:rPr>
        <w:softHyphen/>
        <w:t>жение также маловероятно). Бронирование только снизу, вооружение состояло из 8 пу</w:t>
      </w:r>
      <w:r w:rsidRPr="007122AB">
        <w:rPr>
          <w:rFonts w:ascii="Times New Roman" w:hAnsi="Times New Roman"/>
          <w:color w:val="000000" w:themeColor="text1"/>
          <w:sz w:val="16"/>
          <w:szCs w:val="16"/>
        </w:rPr>
        <w:softHyphen/>
        <w:t>леметов ПВ-1, установленных в полу второй кабины. Пулеметы монтировались на особой поворачивающейся установке для стрельбы вперед, вниз и назад. Оригинальный штур</w:t>
      </w:r>
      <w:r w:rsidRPr="007122AB">
        <w:rPr>
          <w:rFonts w:ascii="Times New Roman" w:hAnsi="Times New Roman"/>
          <w:color w:val="000000" w:themeColor="text1"/>
          <w:sz w:val="16"/>
          <w:szCs w:val="16"/>
        </w:rPr>
        <w:softHyphen/>
        <w:t>мовик испытывался в 1932 г., однако даль</w:t>
      </w:r>
      <w:r w:rsidRPr="007122AB">
        <w:rPr>
          <w:rFonts w:ascii="Times New Roman" w:hAnsi="Times New Roman"/>
          <w:color w:val="000000" w:themeColor="text1"/>
          <w:sz w:val="16"/>
          <w:szCs w:val="16"/>
        </w:rPr>
        <w:softHyphen/>
        <w:t xml:space="preserve">нейшего продолжения не имел. Какую-либо дополнительную информацию по </w:t>
      </w:r>
      <w:r w:rsidRPr="007122AB">
        <w:rPr>
          <w:rFonts w:ascii="Times New Roman" w:hAnsi="Times New Roman"/>
          <w:color w:val="000000" w:themeColor="text1"/>
          <w:sz w:val="16"/>
          <w:szCs w:val="16"/>
        </w:rPr>
        <w:lastRenderedPageBreak/>
        <w:t>нему обна</w:t>
      </w:r>
      <w:r w:rsidRPr="007122AB">
        <w:rPr>
          <w:rFonts w:ascii="Times New Roman" w:hAnsi="Times New Roman"/>
          <w:color w:val="000000" w:themeColor="text1"/>
          <w:sz w:val="16"/>
          <w:szCs w:val="16"/>
        </w:rPr>
        <w:softHyphen/>
        <w:t xml:space="preserve">ружить непросто. ЦКБ находилось в ту пору под патронажем ОГПУ, поэтому сведения о большинстве разработанных там самолетов </w:t>
      </w:r>
      <w:r w:rsidRPr="007122AB">
        <w:rPr>
          <w:rStyle w:val="478pt"/>
          <w:color w:val="000000" w:themeColor="text1"/>
          <w:szCs w:val="16"/>
        </w:rPr>
        <w:t>периода</w:t>
      </w:r>
      <w:r w:rsidRPr="007122AB">
        <w:rPr>
          <w:rFonts w:ascii="Times New Roman" w:hAnsi="Times New Roman"/>
          <w:color w:val="000000" w:themeColor="text1"/>
          <w:sz w:val="16"/>
          <w:szCs w:val="16"/>
        </w:rPr>
        <w:t xml:space="preserve"> 1930—33</w:t>
      </w:r>
      <w:r w:rsidRPr="007122AB">
        <w:rPr>
          <w:rStyle w:val="47BookmanOldStyle"/>
          <w:rFonts w:ascii="Times New Roman" w:hAnsi="Times New Roman"/>
          <w:color w:val="000000" w:themeColor="text1"/>
          <w:sz w:val="16"/>
          <w:szCs w:val="16"/>
        </w:rPr>
        <w:t xml:space="preserve"> ГГ. до</w:t>
      </w:r>
      <w:r w:rsidRPr="007122AB">
        <w:rPr>
          <w:rFonts w:ascii="Times New Roman" w:hAnsi="Times New Roman"/>
          <w:color w:val="000000" w:themeColor="text1"/>
          <w:sz w:val="16"/>
          <w:szCs w:val="16"/>
        </w:rPr>
        <w:t xml:space="preserve"> сих пор являются не</w:t>
      </w:r>
      <w:r w:rsidRPr="007122AB">
        <w:rPr>
          <w:rFonts w:ascii="Times New Roman" w:hAnsi="Times New Roman"/>
          <w:color w:val="000000" w:themeColor="text1"/>
          <w:sz w:val="16"/>
          <w:szCs w:val="16"/>
        </w:rPr>
        <w:softHyphen/>
        <w:t>полными. (12301).</w:t>
      </w:r>
    </w:p>
    <w:p w14:paraId="0093412D"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2C3804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Военно-санитарное управление РККА предложило ЦАГИ разработать вариант использования АНТ-9 для перевозки раненых. Предполагали 6 носилок + 3 кресла для сидения (346,44). Срок был - 10 сентября (522,5).</w:t>
      </w:r>
    </w:p>
    <w:p w14:paraId="7C0B1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B51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ЦАГИ переделал один из И-4 АНТ-5 в моноплан (1017,162).</w:t>
      </w:r>
    </w:p>
    <w:p w14:paraId="4EC0B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365452" w14:textId="77777777" w:rsidR="002D39AF" w:rsidRPr="007122AB" w:rsidRDefault="002D39AF"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В апреле 1931 г. построили самолет, иногда именовавшийся И-4бис - так же, как второй опытный образец. Это был моноплан-парасоль без нижнего крыла и с новым капотом, включавшим кольцо </w:t>
      </w:r>
      <w:proofErr w:type="spellStart"/>
      <w:r w:rsidRPr="007122AB">
        <w:rPr>
          <w:rFonts w:ascii="Times New Roman" w:hAnsi="Times New Roman" w:cs="Times New Roman"/>
          <w:color w:val="000000" w:themeColor="text1"/>
        </w:rPr>
        <w:t>Тауненда</w:t>
      </w:r>
      <w:proofErr w:type="spellEnd"/>
      <w:r w:rsidRPr="007122AB">
        <w:rPr>
          <w:rFonts w:ascii="Times New Roman" w:hAnsi="Times New Roman" w:cs="Times New Roman"/>
          <w:color w:val="000000" w:themeColor="text1"/>
        </w:rPr>
        <w:t xml:space="preserve"> над головками цилиндров. Крыло имело предкрылки - впервые в СССР. Эти предкрылки выпускались и убирались вручную летчиком. Оборудование и вооружение соответствовало серийному истребителю. По неизвестным причинам самолет долго не поднимался в воздух. И-4бис </w:t>
      </w:r>
      <w:proofErr w:type="spellStart"/>
      <w:r w:rsidRPr="007122AB">
        <w:rPr>
          <w:rFonts w:ascii="Times New Roman" w:hAnsi="Times New Roman" w:cs="Times New Roman"/>
          <w:color w:val="000000" w:themeColor="text1"/>
        </w:rPr>
        <w:t>испыты</w:t>
      </w:r>
      <w:proofErr w:type="spellEnd"/>
      <w:r w:rsidRPr="007122AB">
        <w:rPr>
          <w:rFonts w:ascii="Times New Roman" w:hAnsi="Times New Roman" w:cs="Times New Roman"/>
          <w:color w:val="000000" w:themeColor="text1"/>
        </w:rPr>
        <w:t xml:space="preserve">- </w:t>
      </w:r>
      <w:proofErr w:type="spellStart"/>
      <w:r w:rsidRPr="007122AB">
        <w:rPr>
          <w:rFonts w:ascii="Times New Roman" w:hAnsi="Times New Roman" w:cs="Times New Roman"/>
          <w:color w:val="000000" w:themeColor="text1"/>
        </w:rPr>
        <w:t>вался</w:t>
      </w:r>
      <w:proofErr w:type="spellEnd"/>
      <w:r w:rsidRPr="007122AB">
        <w:rPr>
          <w:rFonts w:ascii="Times New Roman" w:hAnsi="Times New Roman" w:cs="Times New Roman"/>
          <w:color w:val="000000" w:themeColor="text1"/>
        </w:rPr>
        <w:t xml:space="preserve"> в НИИ ВВС лишь 11 - 23 сентября 1931 г. Констатировали небольшое улучшение поперечной устойчивости. Скорость, по сравнению с обычным И-4, увеличилась незначительно (примерно на 10 км/ч), скороподъемность практически не изменилась, а маневренность ухудшилась. Кроме того, в новом капоте мотор перегревался. Выводом стала фраза - «считать переделку нерациональной» (19100).</w:t>
      </w:r>
    </w:p>
    <w:p w14:paraId="664DC167" w14:textId="77777777" w:rsidR="002D39AF" w:rsidRPr="007122AB" w:rsidRDefault="002D39AF" w:rsidP="007122AB">
      <w:pPr>
        <w:pStyle w:val="a8"/>
        <w:jc w:val="both"/>
        <w:rPr>
          <w:rFonts w:ascii="Times New Roman" w:hAnsi="Times New Roman" w:cs="Times New Roman"/>
          <w:color w:val="000000" w:themeColor="text1"/>
        </w:rPr>
      </w:pPr>
    </w:p>
    <w:p w14:paraId="50017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один из серийных АНТ-4 2хМ-17 привезли в Таганрог, поставили на поплавки и провели гос. испытания (1046,141).</w:t>
      </w:r>
    </w:p>
    <w:p w14:paraId="624C5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BCCDE1" w14:textId="77777777" w:rsidR="003261DE" w:rsidRPr="007122AB" w:rsidRDefault="003261DE"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апреле 1931 г. в Таганрог перегнали один из серийных ТБ-1 (заводской №649). Три месяца за</w:t>
      </w:r>
      <w:r w:rsidRPr="007122AB">
        <w:rPr>
          <w:rFonts w:ascii="Times New Roman" w:hAnsi="Times New Roman"/>
          <w:color w:val="000000" w:themeColor="text1"/>
          <w:sz w:val="16"/>
          <w:szCs w:val="16"/>
          <w:lang w:eastAsia="ru-RU" w:bidi="ru-RU"/>
        </w:rPr>
        <w:softHyphen/>
        <w:t xml:space="preserve">няли его доработка и установка на поплавки. 15 июня машину передали морскому отделу НИИ ВВС для </w:t>
      </w:r>
      <w:proofErr w:type="spellStart"/>
      <w:r w:rsidRPr="007122AB">
        <w:rPr>
          <w:rFonts w:ascii="Times New Roman" w:hAnsi="Times New Roman"/>
          <w:color w:val="000000" w:themeColor="text1"/>
          <w:sz w:val="16"/>
          <w:szCs w:val="16"/>
          <w:lang w:eastAsia="ru-RU" w:bidi="ru-RU"/>
        </w:rPr>
        <w:t>госис</w:t>
      </w:r>
      <w:proofErr w:type="spellEnd"/>
      <w:r w:rsidRPr="007122AB">
        <w:rPr>
          <w:rFonts w:ascii="Times New Roman" w:hAnsi="Times New Roman"/>
          <w:color w:val="000000" w:themeColor="text1"/>
          <w:sz w:val="16"/>
          <w:szCs w:val="16"/>
          <w:lang w:eastAsia="ru-RU" w:bidi="ru-RU"/>
        </w:rPr>
        <w:t xml:space="preserve">- </w:t>
      </w:r>
      <w:proofErr w:type="spellStart"/>
      <w:r w:rsidRPr="007122AB">
        <w:rPr>
          <w:rFonts w:ascii="Times New Roman" w:hAnsi="Times New Roman"/>
          <w:color w:val="000000" w:themeColor="text1"/>
          <w:sz w:val="16"/>
          <w:szCs w:val="16"/>
          <w:lang w:eastAsia="ru-RU" w:bidi="ru-RU"/>
        </w:rPr>
        <w:t>пытаний</w:t>
      </w:r>
      <w:proofErr w:type="spellEnd"/>
      <w:r w:rsidRPr="007122AB">
        <w:rPr>
          <w:rFonts w:ascii="Times New Roman" w:hAnsi="Times New Roman"/>
          <w:color w:val="000000" w:themeColor="text1"/>
          <w:sz w:val="16"/>
          <w:szCs w:val="16"/>
          <w:lang w:eastAsia="ru-RU" w:bidi="ru-RU"/>
        </w:rPr>
        <w:t>. Их проводили в Севастополе до конца августа. Поплавковый вариант в АГОС назвали ТБ-1а («а» — от «</w:t>
      </w:r>
      <w:proofErr w:type="spellStart"/>
      <w:r w:rsidRPr="007122AB">
        <w:rPr>
          <w:rFonts w:ascii="Times New Roman" w:hAnsi="Times New Roman"/>
          <w:color w:val="000000" w:themeColor="text1"/>
          <w:sz w:val="16"/>
          <w:szCs w:val="16"/>
          <w:lang w:eastAsia="ru-RU" w:bidi="ru-RU"/>
        </w:rPr>
        <w:t>аква</w:t>
      </w:r>
      <w:proofErr w:type="spellEnd"/>
      <w:r w:rsidRPr="007122AB">
        <w:rPr>
          <w:rFonts w:ascii="Times New Roman" w:hAnsi="Times New Roman"/>
          <w:color w:val="000000" w:themeColor="text1"/>
          <w:sz w:val="16"/>
          <w:szCs w:val="16"/>
          <w:lang w:eastAsia="ru-RU" w:bidi="ru-RU"/>
        </w:rPr>
        <w:t>», «вода») (20325).</w:t>
      </w:r>
    </w:p>
    <w:p w14:paraId="0832F155" w14:textId="77777777" w:rsidR="003261DE" w:rsidRPr="007122AB" w:rsidRDefault="003261DE" w:rsidP="007122AB">
      <w:pPr>
        <w:spacing w:after="0" w:line="240" w:lineRule="auto"/>
        <w:jc w:val="both"/>
        <w:rPr>
          <w:rFonts w:ascii="Times New Roman" w:hAnsi="Times New Roman"/>
          <w:color w:val="000000" w:themeColor="text1"/>
          <w:sz w:val="16"/>
          <w:szCs w:val="16"/>
          <w:lang w:eastAsia="ru-RU" w:bidi="ru-RU"/>
        </w:rPr>
      </w:pPr>
    </w:p>
    <w:p w14:paraId="24E60F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w:t>
      </w:r>
      <w:proofErr w:type="spellStart"/>
      <w:r w:rsidRPr="007122AB">
        <w:rPr>
          <w:rFonts w:ascii="Times New Roman" w:hAnsi="Times New Roman"/>
          <w:color w:val="000000" w:themeColor="text1"/>
          <w:sz w:val="16"/>
          <w:szCs w:val="16"/>
        </w:rPr>
        <w:t>аква</w:t>
      </w:r>
      <w:proofErr w:type="spellEnd"/>
      <w:r w:rsidRPr="007122AB">
        <w:rPr>
          <w:rFonts w:ascii="Times New Roman" w:hAnsi="Times New Roman"/>
          <w:color w:val="000000" w:themeColor="text1"/>
          <w:sz w:val="16"/>
          <w:szCs w:val="16"/>
        </w:rPr>
        <w:t>" - "вода").</w:t>
      </w:r>
    </w:p>
    <w:p w14:paraId="28ED57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343248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08226C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2B99F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4D1ED3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9689D5"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первые серийные И-5 решили в пер</w:t>
      </w:r>
      <w:r w:rsidRPr="007122AB">
        <w:rPr>
          <w:rFonts w:ascii="Times New Roman" w:hAnsi="Times New Roman"/>
          <w:color w:val="000000" w:themeColor="text1"/>
          <w:sz w:val="16"/>
          <w:szCs w:val="16"/>
        </w:rPr>
        <w:softHyphen/>
        <w:t>вую очередь направить в Ленинградский во</w:t>
      </w:r>
      <w:r w:rsidRPr="007122AB">
        <w:rPr>
          <w:rFonts w:ascii="Times New Roman" w:hAnsi="Times New Roman"/>
          <w:color w:val="000000" w:themeColor="text1"/>
          <w:sz w:val="16"/>
          <w:szCs w:val="16"/>
        </w:rPr>
        <w:softHyphen/>
        <w:t>енный округ (Л ВО), во вторую очередь - в Украинский военный округ (УВО), в третью очередь — в ВВС ОКДВА. Уже в начале ок</w:t>
      </w:r>
      <w:r w:rsidRPr="007122AB">
        <w:rPr>
          <w:rFonts w:ascii="Times New Roman" w:hAnsi="Times New Roman"/>
          <w:color w:val="000000" w:themeColor="text1"/>
          <w:sz w:val="16"/>
          <w:szCs w:val="16"/>
        </w:rPr>
        <w:softHyphen/>
        <w:t>тября большая часть построенных самолетов (54 И-5) находилась в строю. По состоянию на I января 1932 года в частях значились 58 И-5, из них около 20 самолетов в 11-й истре</w:t>
      </w:r>
      <w:r w:rsidRPr="007122AB">
        <w:rPr>
          <w:rFonts w:ascii="Times New Roman" w:hAnsi="Times New Roman"/>
          <w:color w:val="000000" w:themeColor="text1"/>
          <w:sz w:val="16"/>
          <w:szCs w:val="16"/>
        </w:rPr>
        <w:softHyphen/>
        <w:t>бительной эскадрилье 3-й авиабригады Л ВО, в Киевской авиабригаде на аэродроме Киев- Пост-Волы не кий (20-й авиапарк) 14 И-5, на Дальнем Востоке (ОКДВА) 11 И-5 базирова</w:t>
      </w:r>
      <w:r w:rsidRPr="007122AB">
        <w:rPr>
          <w:rFonts w:ascii="Times New Roman" w:hAnsi="Times New Roman"/>
          <w:color w:val="000000" w:themeColor="text1"/>
          <w:sz w:val="16"/>
          <w:szCs w:val="16"/>
        </w:rPr>
        <w:softHyphen/>
        <w:t>лись в Спасске-Дальнем (12295).</w:t>
      </w:r>
    </w:p>
    <w:p w14:paraId="543278FC"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2F5835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завод № 1 получил заказ на подготовку трех Р-5 для участия в персидском конкурсе с однотипными машинами европейских стран (5016).</w:t>
      </w:r>
    </w:p>
    <w:p w14:paraId="661347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BDA0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заложили фундамент 18 завода (557,13). Проектировал </w:t>
      </w:r>
      <w:proofErr w:type="spellStart"/>
      <w:r w:rsidRPr="007122AB">
        <w:rPr>
          <w:rFonts w:ascii="Times New Roman" w:hAnsi="Times New Roman"/>
          <w:color w:val="000000" w:themeColor="text1"/>
          <w:sz w:val="16"/>
          <w:szCs w:val="16"/>
        </w:rPr>
        <w:t>Гипроцветмет</w:t>
      </w:r>
      <w:proofErr w:type="spellEnd"/>
      <w:r w:rsidRPr="007122AB">
        <w:rPr>
          <w:rFonts w:ascii="Times New Roman" w:hAnsi="Times New Roman"/>
          <w:color w:val="000000" w:themeColor="text1"/>
          <w:sz w:val="16"/>
          <w:szCs w:val="16"/>
        </w:rPr>
        <w:t xml:space="preserve"> и проект был утвержден тоже только в 1931. </w:t>
      </w:r>
      <w:proofErr w:type="spellStart"/>
      <w:r w:rsidRPr="007122AB">
        <w:rPr>
          <w:rFonts w:ascii="Times New Roman" w:hAnsi="Times New Roman"/>
          <w:color w:val="000000" w:themeColor="text1"/>
          <w:sz w:val="16"/>
          <w:szCs w:val="16"/>
        </w:rPr>
        <w:t>A.К.Орджоникидзе</w:t>
      </w:r>
      <w:proofErr w:type="spellEnd"/>
      <w:r w:rsidRPr="007122AB">
        <w:rPr>
          <w:rFonts w:ascii="Times New Roman" w:hAnsi="Times New Roman"/>
          <w:color w:val="000000" w:themeColor="text1"/>
          <w:sz w:val="16"/>
          <w:szCs w:val="16"/>
        </w:rPr>
        <w:t xml:space="preserve"> в задании заводу поручил запустить в серию АНТ-6 (ТБ-3) и готовиться к МГ (557,19).</w:t>
      </w:r>
    </w:p>
    <w:p w14:paraId="61B22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7B1C28" w14:textId="77777777" w:rsidR="00BD132E" w:rsidRPr="00441F34" w:rsidRDefault="00BD132E" w:rsidP="00BD13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1931 г. Военно-санитарное управление РККА предложило ЦАГИ проработать вариант использования АНТ—9 для перевозки раненых. По зада</w:t>
      </w:r>
      <w:r w:rsidRPr="00441F34">
        <w:rPr>
          <w:rFonts w:ascii="Times New Roman" w:hAnsi="Times New Roman"/>
          <w:color w:val="0070C0"/>
          <w:sz w:val="16"/>
          <w:szCs w:val="16"/>
        </w:rPr>
        <w:softHyphen/>
        <w:t>нию, машина должна была иметь 6 мест для крепления носилок, 3 кресла для си</w:t>
      </w:r>
      <w:r w:rsidRPr="00441F34">
        <w:rPr>
          <w:rFonts w:ascii="Times New Roman" w:hAnsi="Times New Roman"/>
          <w:color w:val="0070C0"/>
          <w:sz w:val="16"/>
          <w:szCs w:val="16"/>
        </w:rPr>
        <w:softHyphen/>
        <w:t>дения и место для установки необходи</w:t>
      </w:r>
      <w:r w:rsidRPr="00441F34">
        <w:rPr>
          <w:rFonts w:ascii="Times New Roman" w:hAnsi="Times New Roman"/>
          <w:color w:val="0070C0"/>
          <w:sz w:val="16"/>
          <w:szCs w:val="16"/>
        </w:rPr>
        <w:softHyphen/>
        <w:t>мого санитарного оборудования. По этой работе известно только то, что 11 января 1932 г. состоялся осмотр готового сани</w:t>
      </w:r>
      <w:r w:rsidRPr="00441F34">
        <w:rPr>
          <w:rFonts w:ascii="Times New Roman" w:hAnsi="Times New Roman"/>
          <w:color w:val="0070C0"/>
          <w:sz w:val="16"/>
          <w:szCs w:val="16"/>
        </w:rPr>
        <w:softHyphen/>
        <w:t>тарного оборудования (23474).</w:t>
      </w:r>
    </w:p>
    <w:p w14:paraId="4BF419E0" w14:textId="77777777" w:rsidR="00BD132E" w:rsidRPr="00441F34" w:rsidRDefault="00BD132E" w:rsidP="00BD132E">
      <w:pPr>
        <w:spacing w:after="0" w:line="240" w:lineRule="auto"/>
        <w:jc w:val="both"/>
        <w:rPr>
          <w:rFonts w:ascii="Times New Roman" w:hAnsi="Times New Roman"/>
          <w:color w:val="0070C0"/>
          <w:sz w:val="16"/>
          <w:szCs w:val="16"/>
        </w:rPr>
      </w:pPr>
    </w:p>
    <w:p w14:paraId="0BD6EE5F" w14:textId="77777777" w:rsidR="008F5899" w:rsidRPr="007122AB" w:rsidRDefault="008F5899" w:rsidP="007122AB">
      <w:pPr>
        <w:pStyle w:val="aff9"/>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В апреле 1931 года заложен фундамент первого заводского корпуса. Об этом заводчанам напоминает мемориальная доска на фасаде цеха №20, ныне ООО «</w:t>
      </w:r>
      <w:proofErr w:type="spellStart"/>
      <w:r w:rsidRPr="007122AB">
        <w:rPr>
          <w:color w:val="000000" w:themeColor="text1"/>
          <w:sz w:val="16"/>
          <w:szCs w:val="16"/>
        </w:rPr>
        <w:t>Авиаспецинструмент</w:t>
      </w:r>
      <w:proofErr w:type="spellEnd"/>
      <w:r w:rsidRPr="007122AB">
        <w:rPr>
          <w:color w:val="000000" w:themeColor="text1"/>
          <w:sz w:val="16"/>
          <w:szCs w:val="16"/>
        </w:rPr>
        <w:t>» (19822).</w:t>
      </w:r>
    </w:p>
    <w:p w14:paraId="4F836430" w14:textId="77777777" w:rsidR="008F5899" w:rsidRPr="007122AB" w:rsidRDefault="008F5899" w:rsidP="007122AB">
      <w:pPr>
        <w:pStyle w:val="aff9"/>
        <w:shd w:val="clear" w:color="auto" w:fill="FFFFFF"/>
        <w:spacing w:before="0" w:beforeAutospacing="0" w:after="0" w:afterAutospacing="0"/>
        <w:jc w:val="both"/>
        <w:rPr>
          <w:color w:val="000000" w:themeColor="text1"/>
          <w:sz w:val="16"/>
          <w:szCs w:val="16"/>
        </w:rPr>
      </w:pPr>
    </w:p>
    <w:p w14:paraId="7EA76FAF" w14:textId="77777777" w:rsidR="008F5899" w:rsidRPr="007122AB" w:rsidRDefault="008F58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года началась закладка первых крупных зданий и сооружений. В апреле 1932 года был сдан в эксплуатацию первый производственный корпус и начато производство первых деталей самолета ТБ-3 гл. конструктора Туполева (19829).</w:t>
      </w:r>
    </w:p>
    <w:p w14:paraId="78747C24" w14:textId="77777777" w:rsidR="008F5899" w:rsidRPr="007122AB" w:rsidRDefault="008F5899" w:rsidP="007122AB">
      <w:pPr>
        <w:spacing w:after="0" w:line="240" w:lineRule="auto"/>
        <w:jc w:val="both"/>
        <w:rPr>
          <w:rFonts w:ascii="Times New Roman" w:hAnsi="Times New Roman"/>
          <w:color w:val="000000" w:themeColor="text1"/>
          <w:sz w:val="16"/>
          <w:szCs w:val="16"/>
        </w:rPr>
      </w:pPr>
    </w:p>
    <w:p w14:paraId="27CB5C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чертежи М-34 передали заводу № 26 для изготовления опытных образцов. 21 сентября первый мотор прибыл на испытания в ЦИАМ с импортными карбюраторами и магнето. После наработки на стенде 38 ч в ноябре 1931 г. велись государственные испыта</w:t>
      </w:r>
      <w:r w:rsidRPr="007122AB">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7122AB">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7122AB">
        <w:rPr>
          <w:rFonts w:ascii="Times New Roman" w:hAnsi="Times New Roman"/>
          <w:color w:val="000000" w:themeColor="text1"/>
          <w:sz w:val="16"/>
          <w:szCs w:val="16"/>
        </w:rPr>
        <w:softHyphen/>
        <w:t>кратно пытались восстановить вплоть до 1946 г., но этому мешала боль</w:t>
      </w:r>
      <w:r w:rsidRPr="007122AB">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7122AB">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7122AB">
        <w:rPr>
          <w:rFonts w:ascii="Times New Roman" w:hAnsi="Times New Roman"/>
          <w:color w:val="000000" w:themeColor="text1"/>
          <w:sz w:val="16"/>
          <w:szCs w:val="16"/>
        </w:rPr>
        <w:softHyphen/>
        <w:t>катерах.</w:t>
      </w:r>
    </w:p>
    <w:p w14:paraId="3FB20C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2C9030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329744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w:t>
      </w:r>
    </w:p>
    <w:p w14:paraId="70258F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(у всех массовых модификаций);</w:t>
      </w:r>
    </w:p>
    <w:p w14:paraId="6C01EF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215430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у ранних модификаций 45,82 л, начиная с</w:t>
      </w:r>
    </w:p>
    <w:p w14:paraId="35E63B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ФРН — 46,66 л. М-34 выпускался в следующих модификациях:</w:t>
      </w:r>
    </w:p>
    <w:p w14:paraId="5C84C4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 первая серийная модификация двигателя, </w:t>
      </w:r>
      <w:proofErr w:type="spellStart"/>
      <w:r w:rsidRPr="007122AB">
        <w:rPr>
          <w:rFonts w:ascii="Times New Roman" w:hAnsi="Times New Roman"/>
          <w:color w:val="000000" w:themeColor="text1"/>
          <w:sz w:val="16"/>
          <w:szCs w:val="16"/>
        </w:rPr>
        <w:t>безредукторная</w:t>
      </w:r>
      <w:proofErr w:type="spellEnd"/>
      <w:r w:rsidRPr="007122AB">
        <w:rPr>
          <w:rFonts w:ascii="Times New Roman" w:hAnsi="Times New Roman"/>
          <w:color w:val="000000" w:themeColor="text1"/>
          <w:sz w:val="16"/>
          <w:szCs w:val="16"/>
        </w:rPr>
        <w:t>, 750/800 л.с., 608 кг. Первые серии комплектовались импортными карбюраторами «Зенит 90Р», далее отечественными К-34. Эта моди</w:t>
      </w:r>
      <w:r w:rsidRPr="007122AB">
        <w:rPr>
          <w:rFonts w:ascii="Times New Roman" w:hAnsi="Times New Roman"/>
          <w:color w:val="000000" w:themeColor="text1"/>
          <w:sz w:val="16"/>
          <w:szCs w:val="16"/>
        </w:rPr>
        <w:softHyphen/>
        <w:t>фикация выпускалась до конца 1939 г.</w:t>
      </w:r>
    </w:p>
    <w:p w14:paraId="6C7E2A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3F2FC9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 малая серия М-34 с форсированием по оборотам без вне</w:t>
      </w:r>
      <w:r w:rsidRPr="007122AB">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75AF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 редукторный вариант, вес 677 кг, 750/800 л.с. Опытный об</w:t>
      </w:r>
      <w:r w:rsidRPr="007122AB">
        <w:rPr>
          <w:rFonts w:ascii="Times New Roman" w:hAnsi="Times New Roman"/>
          <w:color w:val="000000" w:themeColor="text1"/>
          <w:sz w:val="16"/>
          <w:szCs w:val="16"/>
        </w:rPr>
        <w:softHyphen/>
        <w:t>разец сделали в ноябре 1932 г. Государственные испытания успешно</w:t>
      </w:r>
    </w:p>
    <w:p w14:paraId="677FB5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29555A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М-34РД (он же М-34РСп), двигатель типа М-34Р специального за</w:t>
      </w:r>
      <w:r w:rsidRPr="007122AB">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7122AB">
        <w:rPr>
          <w:rFonts w:ascii="Times New Roman" w:hAnsi="Times New Roman"/>
          <w:color w:val="000000" w:themeColor="text1"/>
          <w:sz w:val="16"/>
          <w:szCs w:val="16"/>
        </w:rPr>
        <w:softHyphen/>
        <w:t>ляными и водяными насосами, распредвалами, конструкцией хво</w:t>
      </w:r>
      <w:r w:rsidRPr="007122AB">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7122AB">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7122AB">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7122AB">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7122AB">
        <w:rPr>
          <w:rFonts w:ascii="Times New Roman" w:hAnsi="Times New Roman"/>
          <w:color w:val="000000" w:themeColor="text1"/>
          <w:sz w:val="16"/>
          <w:szCs w:val="16"/>
        </w:rPr>
        <w:softHyphen/>
        <w:t>дарств.</w:t>
      </w:r>
    </w:p>
    <w:p w14:paraId="4A7550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М-34Н,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 xml:space="preserve">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7122AB">
        <w:rPr>
          <w:rFonts w:ascii="Times New Roman" w:hAnsi="Times New Roman"/>
          <w:color w:val="000000" w:themeColor="text1"/>
          <w:sz w:val="16"/>
          <w:szCs w:val="16"/>
        </w:rPr>
        <w:softHyphen/>
        <w:t>рованный П.И. Орловым, А.А. Микулиным и А.Н. Данилевским, ока</w:t>
      </w:r>
      <w:r w:rsidRPr="007122AB">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7122AB">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и «Фарман» о проектировании нового ПЦН для М-34Н. Пытались также приобрести нагнетатели «</w:t>
      </w:r>
      <w:proofErr w:type="spellStart"/>
      <w:r w:rsidRPr="007122AB">
        <w:rPr>
          <w:rFonts w:ascii="Times New Roman" w:hAnsi="Times New Roman"/>
          <w:color w:val="000000" w:themeColor="text1"/>
          <w:sz w:val="16"/>
          <w:szCs w:val="16"/>
        </w:rPr>
        <w:t>Рато</w:t>
      </w:r>
      <w:proofErr w:type="spellEnd"/>
      <w:r w:rsidRPr="007122AB">
        <w:rPr>
          <w:rFonts w:ascii="Times New Roman" w:hAnsi="Times New Roman"/>
          <w:color w:val="000000" w:themeColor="text1"/>
          <w:sz w:val="16"/>
          <w:szCs w:val="16"/>
        </w:rPr>
        <w:t>» (М-34РАТО).</w:t>
      </w:r>
    </w:p>
    <w:p w14:paraId="118DD3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 с паротурбинным нагнетателем ПТК; нагнетатель ПТК спро</w:t>
      </w:r>
      <w:r w:rsidRPr="007122AB">
        <w:rPr>
          <w:rFonts w:ascii="Times New Roman" w:hAnsi="Times New Roman"/>
          <w:color w:val="000000" w:themeColor="text1"/>
          <w:sz w:val="16"/>
          <w:szCs w:val="16"/>
        </w:rPr>
        <w:softHyphen/>
        <w:t xml:space="preserve">ектирован в ХАЙ в 1938 г., доводился в Центральном </w:t>
      </w:r>
      <w:proofErr w:type="spellStart"/>
      <w:r w:rsidRPr="007122AB">
        <w:rPr>
          <w:rFonts w:ascii="Times New Roman" w:hAnsi="Times New Roman"/>
          <w:color w:val="000000" w:themeColor="text1"/>
          <w:sz w:val="16"/>
          <w:szCs w:val="16"/>
        </w:rPr>
        <w:t>котлотурбин</w:t>
      </w:r>
      <w:proofErr w:type="spellEnd"/>
      <w:r w:rsidRPr="007122AB">
        <w:rPr>
          <w:rFonts w:ascii="Times New Roman" w:hAnsi="Times New Roman"/>
          <w:color w:val="000000" w:themeColor="text1"/>
          <w:sz w:val="16"/>
          <w:szCs w:val="16"/>
        </w:rPr>
        <w:t>-ном институте с 1939 г., в 1940 г. двигатель проходил стендовые и летные испытания; серийно не выпускался.</w:t>
      </w:r>
    </w:p>
    <w:p w14:paraId="08F8A7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М-34Н с нагнетателем</w:t>
      </w:r>
    </w:p>
    <w:p w14:paraId="464761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7122AB">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3B76A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М-34РНА, редукторный с ПЦН, включал все мелкие усовер</w:t>
      </w:r>
      <w:r w:rsidRPr="007122AB">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51E730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7122AB">
        <w:rPr>
          <w:rFonts w:ascii="Times New Roman" w:hAnsi="Times New Roman"/>
          <w:color w:val="000000" w:themeColor="text1"/>
          <w:sz w:val="16"/>
          <w:szCs w:val="16"/>
        </w:rPr>
        <w:softHyphen/>
        <w:t>танным ПЦН, 750/820 л.с., вес 638 кг.</w:t>
      </w:r>
    </w:p>
    <w:p w14:paraId="2D3B51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7122AB">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7122AB">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7122AB">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7122AB">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7122AB">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7122AB">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7122AB">
        <w:rPr>
          <w:rFonts w:ascii="Times New Roman" w:hAnsi="Times New Roman"/>
          <w:color w:val="000000" w:themeColor="text1"/>
          <w:sz w:val="16"/>
          <w:szCs w:val="16"/>
        </w:rPr>
        <w:softHyphen/>
        <w:t xml:space="preserve">шанным охлаждением: гильзы — воздухом, головки — </w:t>
      </w:r>
      <w:proofErr w:type="spellStart"/>
      <w:r w:rsidRPr="007122AB">
        <w:rPr>
          <w:rFonts w:ascii="Times New Roman" w:hAnsi="Times New Roman"/>
          <w:color w:val="000000" w:themeColor="text1"/>
          <w:sz w:val="16"/>
          <w:szCs w:val="16"/>
        </w:rPr>
        <w:t>этиленглико-лем</w:t>
      </w:r>
      <w:proofErr w:type="spellEnd"/>
      <w:r w:rsidRPr="007122AB">
        <w:rPr>
          <w:rFonts w:ascii="Times New Roman" w:hAnsi="Times New Roman"/>
          <w:color w:val="000000" w:themeColor="text1"/>
          <w:sz w:val="16"/>
          <w:szCs w:val="16"/>
        </w:rPr>
        <w:t>. На испытаниях получена мощность 1050 л.с. М-34РСО, проект 1937 г., развитие преды</w:t>
      </w:r>
      <w:r w:rsidRPr="007122AB">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7122AB">
        <w:rPr>
          <w:rFonts w:ascii="Times New Roman" w:hAnsi="Times New Roman"/>
          <w:color w:val="000000" w:themeColor="text1"/>
          <w:sz w:val="16"/>
          <w:szCs w:val="16"/>
        </w:rPr>
        <w:softHyphen/>
        <w:t xml:space="preserve">ска создана С.А. </w:t>
      </w:r>
      <w:proofErr w:type="spellStart"/>
      <w:r w:rsidRPr="007122AB">
        <w:rPr>
          <w:rFonts w:ascii="Times New Roman" w:hAnsi="Times New Roman"/>
          <w:color w:val="000000" w:themeColor="text1"/>
          <w:sz w:val="16"/>
          <w:szCs w:val="16"/>
        </w:rPr>
        <w:t>Косбергом</w:t>
      </w:r>
      <w:proofErr w:type="spellEnd"/>
      <w:r w:rsidRPr="007122AB">
        <w:rPr>
          <w:rFonts w:ascii="Times New Roman" w:hAnsi="Times New Roman"/>
          <w:color w:val="000000" w:themeColor="text1"/>
          <w:sz w:val="16"/>
          <w:szCs w:val="16"/>
        </w:rPr>
        <w:t xml:space="preserve"> и Н.П. Сер-</w:t>
      </w:r>
      <w:proofErr w:type="spellStart"/>
      <w:r w:rsidRPr="007122AB">
        <w:rPr>
          <w:rFonts w:ascii="Times New Roman" w:hAnsi="Times New Roman"/>
          <w:color w:val="000000" w:themeColor="text1"/>
          <w:sz w:val="16"/>
          <w:szCs w:val="16"/>
        </w:rPr>
        <w:t>дюковым</w:t>
      </w:r>
      <w:proofErr w:type="spellEnd"/>
      <w:r w:rsidRPr="007122AB">
        <w:rPr>
          <w:rFonts w:ascii="Times New Roman" w:hAnsi="Times New Roman"/>
          <w:color w:val="000000" w:themeColor="text1"/>
          <w:sz w:val="16"/>
          <w:szCs w:val="16"/>
        </w:rPr>
        <w:t xml:space="preserve">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7122AB">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57C38F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 для привода агрегата центрального наддува АЦН-1, сконструи</w:t>
      </w:r>
      <w:r w:rsidRPr="007122AB">
        <w:rPr>
          <w:rFonts w:ascii="Times New Roman" w:hAnsi="Times New Roman"/>
          <w:color w:val="000000" w:themeColor="text1"/>
          <w:sz w:val="16"/>
          <w:szCs w:val="16"/>
        </w:rPr>
        <w:softHyphen/>
        <w:t>рованного под руководством С.А. Трескина в 1935 г. Проходил лет</w:t>
      </w:r>
      <w:r w:rsidRPr="007122AB">
        <w:rPr>
          <w:rFonts w:ascii="Times New Roman" w:hAnsi="Times New Roman"/>
          <w:color w:val="000000" w:themeColor="text1"/>
          <w:sz w:val="16"/>
          <w:szCs w:val="16"/>
        </w:rPr>
        <w:softHyphen/>
        <w:t>ные испытания на ТБ-3.</w:t>
      </w:r>
    </w:p>
    <w:p w14:paraId="046117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7122AB">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7122AB">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1BD9A0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М-34ФРНУ, проект форсированного до 900 л.с. М-34РН с удлинен</w:t>
      </w:r>
      <w:r w:rsidRPr="007122AB">
        <w:rPr>
          <w:rFonts w:ascii="Times New Roman" w:hAnsi="Times New Roman"/>
          <w:color w:val="000000" w:themeColor="text1"/>
          <w:sz w:val="16"/>
          <w:szCs w:val="16"/>
        </w:rPr>
        <w:softHyphen/>
        <w:t>ным валом, 1933 г.</w:t>
      </w:r>
    </w:p>
    <w:p w14:paraId="06F425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М-34ФРНА, массовая серия на базе типа ФРН с четырьмя карбюра</w:t>
      </w:r>
      <w:r w:rsidRPr="007122AB">
        <w:rPr>
          <w:rFonts w:ascii="Times New Roman" w:hAnsi="Times New Roman"/>
          <w:color w:val="000000" w:themeColor="text1"/>
          <w:sz w:val="16"/>
          <w:szCs w:val="16"/>
        </w:rPr>
        <w:softHyphen/>
        <w:t>торами.</w:t>
      </w:r>
    </w:p>
    <w:p w14:paraId="5F606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М-34ФРНБ, массовая серия на базе типа ФРН с шестью карбюрато</w:t>
      </w:r>
      <w:r w:rsidRPr="007122AB">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7122AB">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w:t>
      </w:r>
      <w:proofErr w:type="spellStart"/>
      <w:r w:rsidRPr="007122AB">
        <w:rPr>
          <w:rFonts w:ascii="Times New Roman" w:hAnsi="Times New Roman"/>
          <w:color w:val="000000" w:themeColor="text1"/>
          <w:sz w:val="16"/>
          <w:szCs w:val="16"/>
        </w:rPr>
        <w:t>Минк-нера</w:t>
      </w:r>
      <w:proofErr w:type="spellEnd"/>
      <w:r w:rsidRPr="007122AB">
        <w:rPr>
          <w:rFonts w:ascii="Times New Roman" w:hAnsi="Times New Roman"/>
          <w:color w:val="000000" w:themeColor="text1"/>
          <w:sz w:val="16"/>
          <w:szCs w:val="16"/>
        </w:rPr>
        <w:t xml:space="preserve">. АЦН-2 приводился в действие дополнительным мотором М-100 и обеспечивал наддув одновременно четырех М-34ФРНБ; </w:t>
      </w:r>
      <w:proofErr w:type="spellStart"/>
      <w:r w:rsidRPr="007122AB">
        <w:rPr>
          <w:rFonts w:ascii="Times New Roman" w:hAnsi="Times New Roman"/>
          <w:color w:val="000000" w:themeColor="text1"/>
          <w:sz w:val="16"/>
          <w:szCs w:val="16"/>
        </w:rPr>
        <w:t>мотоуста</w:t>
      </w:r>
      <w:r w:rsidRPr="007122AB">
        <w:rPr>
          <w:rFonts w:ascii="Times New Roman" w:hAnsi="Times New Roman"/>
          <w:color w:val="000000" w:themeColor="text1"/>
          <w:sz w:val="16"/>
          <w:szCs w:val="16"/>
        </w:rPr>
        <w:softHyphen/>
        <w:t>новка</w:t>
      </w:r>
      <w:proofErr w:type="spellEnd"/>
      <w:r w:rsidRPr="007122AB">
        <w:rPr>
          <w:rFonts w:ascii="Times New Roman" w:hAnsi="Times New Roman"/>
          <w:color w:val="000000" w:themeColor="text1"/>
          <w:sz w:val="16"/>
          <w:szCs w:val="16"/>
        </w:rPr>
        <w:t xml:space="preserve">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7122AB">
        <w:rPr>
          <w:rFonts w:ascii="Times New Roman" w:hAnsi="Times New Roman"/>
          <w:color w:val="000000" w:themeColor="text1"/>
          <w:sz w:val="16"/>
          <w:szCs w:val="16"/>
        </w:rPr>
        <w:softHyphen/>
        <w:t>тирован с тремя вариантами редуктора и двумя типами ПЦН. Впер</w:t>
      </w:r>
      <w:r w:rsidRPr="007122AB">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103B59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7122AB">
        <w:rPr>
          <w:rFonts w:ascii="Times New Roman" w:hAnsi="Times New Roman"/>
          <w:color w:val="000000" w:themeColor="text1"/>
          <w:sz w:val="16"/>
          <w:szCs w:val="16"/>
        </w:rPr>
        <w:softHyphen/>
        <w:t>тов, удлиненный носок редуктора, усиленный коленвал с измененной схе</w:t>
      </w:r>
      <w:r w:rsidRPr="007122AB">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4FF3EE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М-34НФ, опытный вариант с блоками от модификации ФРНВ, допол</w:t>
      </w:r>
      <w:r w:rsidRPr="007122AB">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5C17FF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М-34ФРНВ-ТК, вариант предыдущего типа. Имел два турбонагнетате</w:t>
      </w:r>
      <w:r w:rsidRPr="007122AB">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FB087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М-34ФРГН, подробности неизвестны.</w:t>
      </w:r>
    </w:p>
    <w:p w14:paraId="524232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М-34РБ, в 1938-1939 гг. переделывались из М-34РНБ путем демон</w:t>
      </w:r>
      <w:r w:rsidRPr="007122AB">
        <w:rPr>
          <w:rFonts w:ascii="Times New Roman" w:hAnsi="Times New Roman"/>
          <w:color w:val="000000" w:themeColor="text1"/>
          <w:sz w:val="16"/>
          <w:szCs w:val="16"/>
        </w:rPr>
        <w:softHyphen/>
        <w:t xml:space="preserve">тажа ПЦН для повышения надежности и увеличения </w:t>
      </w:r>
      <w:proofErr w:type="spellStart"/>
      <w:r w:rsidRPr="007122AB">
        <w:rPr>
          <w:rFonts w:ascii="Times New Roman" w:hAnsi="Times New Roman"/>
          <w:color w:val="000000" w:themeColor="text1"/>
          <w:sz w:val="16"/>
          <w:szCs w:val="16"/>
        </w:rPr>
        <w:t>реечрса</w:t>
      </w:r>
      <w:proofErr w:type="spellEnd"/>
      <w:r w:rsidRPr="007122AB">
        <w:rPr>
          <w:rFonts w:ascii="Times New Roman" w:hAnsi="Times New Roman"/>
          <w:color w:val="000000" w:themeColor="text1"/>
          <w:sz w:val="16"/>
          <w:szCs w:val="16"/>
        </w:rPr>
        <w:t>.</w:t>
      </w:r>
    </w:p>
    <w:p w14:paraId="5093F5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М-34РБ</w:t>
      </w:r>
    </w:p>
    <w:p w14:paraId="573955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Катерный мотор ГМ-34 (ГАМ-34)</w:t>
      </w:r>
    </w:p>
    <w:p w14:paraId="4DA1DD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ГМ-34, двигатель для торпедных катеров с реверс-редуктором, муф</w:t>
      </w:r>
      <w:r w:rsidRPr="007122AB">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55B6B7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1932 г. пару опытных двигателей установили на торпед</w:t>
      </w:r>
      <w:r w:rsidRPr="007122AB">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DA099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75340E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7122AB">
        <w:rPr>
          <w:rFonts w:ascii="Times New Roman" w:hAnsi="Times New Roman"/>
          <w:color w:val="000000" w:themeColor="text1"/>
          <w:sz w:val="16"/>
          <w:szCs w:val="16"/>
        </w:rPr>
        <w:softHyphen/>
        <w:t>ность 1200 л.с., вес 1110 кг. Работал на бензин-спиртовой смеси. Се</w:t>
      </w:r>
      <w:r w:rsidRPr="007122AB">
        <w:rPr>
          <w:rFonts w:ascii="Times New Roman" w:hAnsi="Times New Roman"/>
          <w:color w:val="000000" w:themeColor="text1"/>
          <w:sz w:val="16"/>
          <w:szCs w:val="16"/>
        </w:rPr>
        <w:softHyphen/>
        <w:t>рийно выпускался с августа 1939 г.</w:t>
      </w:r>
    </w:p>
    <w:p w14:paraId="6914E6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1D031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0AF7C4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ГМ-34БТ. вариант для танков на базе катерного с измененной си</w:t>
      </w:r>
      <w:r w:rsidRPr="007122AB">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5E3857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7122AB">
        <w:rPr>
          <w:rFonts w:ascii="Times New Roman" w:hAnsi="Times New Roman"/>
          <w:color w:val="000000" w:themeColor="text1"/>
          <w:sz w:val="16"/>
          <w:szCs w:val="16"/>
        </w:rPr>
        <w:softHyphen/>
        <w:t xml:space="preserve">строен), К-13, МК-1, «Сталь-МАИ», </w:t>
      </w:r>
      <w:r w:rsidRPr="007122AB">
        <w:rPr>
          <w:rFonts w:ascii="Times New Roman" w:hAnsi="Times New Roman"/>
          <w:color w:val="000000" w:themeColor="text1"/>
          <w:sz w:val="16"/>
          <w:szCs w:val="16"/>
        </w:rPr>
        <w:lastRenderedPageBreak/>
        <w:t>МИ-3. Их применение также предусма</w:t>
      </w:r>
      <w:r w:rsidRPr="007122AB">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7122AB">
        <w:rPr>
          <w:rFonts w:ascii="Times New Roman" w:hAnsi="Times New Roman"/>
          <w:color w:val="000000" w:themeColor="text1"/>
          <w:sz w:val="16"/>
          <w:szCs w:val="16"/>
        </w:rPr>
        <w:softHyphen/>
        <w:t>ского на гусеничном ходу (на базе ТШ-2), танка-вертолета Камова.</w:t>
      </w:r>
    </w:p>
    <w:p w14:paraId="32726C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6AC474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DAC80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E69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был закончен проектированием нагнетатель для М-34Н (2281,66).</w:t>
      </w:r>
    </w:p>
    <w:p w14:paraId="7CD32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CFB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закончились 50 час. гос. испытания мотора ФЭД-3 (2356).</w:t>
      </w:r>
    </w:p>
    <w:p w14:paraId="574B8F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D0D4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на ГАЗ-9 стали устанавливать коленвал М-11 на подшипники скольже</w:t>
      </w:r>
      <w:r w:rsidRPr="007122AB">
        <w:rPr>
          <w:rFonts w:ascii="Times New Roman" w:hAnsi="Times New Roman"/>
          <w:color w:val="000000" w:themeColor="text1"/>
          <w:sz w:val="16"/>
          <w:szCs w:val="16"/>
        </w:rPr>
        <w:softHyphen/>
        <w:t>ния, что избавило от необходимости закупать качественные шарикопод</w:t>
      </w:r>
      <w:r w:rsidRPr="007122AB">
        <w:rPr>
          <w:rFonts w:ascii="Times New Roman" w:hAnsi="Times New Roman"/>
          <w:color w:val="000000" w:themeColor="text1"/>
          <w:sz w:val="16"/>
          <w:szCs w:val="16"/>
        </w:rPr>
        <w:softHyphen/>
        <w:t>шипники за границей. Уже в 1931 г. конструкторы завода № 29 наметили создание целого семейства двигателей на базе М-11. В него должен был войти М-50 (3-цилиндровый), М-51 (5-цилиндровый, модернизированный М-11), М-48 (7-цилиндровый) и М-49 (9-цилиндровый). Проектирование вел Опытно-конструкторский отдел завода под руководством А.С. Назаро</w:t>
      </w:r>
      <w:r w:rsidRPr="007122AB">
        <w:rPr>
          <w:rFonts w:ascii="Times New Roman" w:hAnsi="Times New Roman"/>
          <w:color w:val="000000" w:themeColor="text1"/>
          <w:sz w:val="16"/>
          <w:szCs w:val="16"/>
        </w:rPr>
        <w:softHyphen/>
        <w:t>ва. Фактически работу по двигателям малой мощности вела группа М.А. Коссова. Она начала с М-51. Он имел иной механизм газораспределения и был форсирован по оборотам по отношению к М-11. Опытный образец из</w:t>
      </w:r>
      <w:r w:rsidRPr="007122AB">
        <w:rPr>
          <w:rFonts w:ascii="Times New Roman" w:hAnsi="Times New Roman"/>
          <w:color w:val="000000" w:themeColor="text1"/>
          <w:sz w:val="16"/>
          <w:szCs w:val="16"/>
        </w:rPr>
        <w:softHyphen/>
        <w:t>готовили в феврале 1932 г. и с марта начали его обкатку, а затем ис</w:t>
      </w:r>
      <w:r w:rsidRPr="007122AB">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4E6C46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30645" w14:textId="77777777" w:rsidR="00BD132E" w:rsidRPr="00441F34" w:rsidRDefault="00BD132E" w:rsidP="00BD13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1931 г. сданы 10 двигателей М-22 серии «Б», на которых был достигнут межремонтный ресурс 50 ч после доработок и, главное, ограничения на использование полной мощности 570 л.с. (24115).</w:t>
      </w:r>
    </w:p>
    <w:p w14:paraId="3CD43997" w14:textId="77777777" w:rsidR="00BD132E" w:rsidRPr="00441F34" w:rsidRDefault="00BD132E" w:rsidP="00BD132E">
      <w:pPr>
        <w:spacing w:after="0" w:line="240" w:lineRule="auto"/>
        <w:jc w:val="both"/>
        <w:rPr>
          <w:rFonts w:ascii="Times New Roman" w:hAnsi="Times New Roman"/>
          <w:color w:val="0070C0"/>
          <w:sz w:val="16"/>
          <w:szCs w:val="16"/>
        </w:rPr>
      </w:pPr>
    </w:p>
    <w:p w14:paraId="2AD15B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впервые испытали на М-17 советский карбюратор К-17, соз</w:t>
      </w:r>
      <w:r w:rsidRPr="007122AB">
        <w:rPr>
          <w:rFonts w:ascii="Times New Roman" w:hAnsi="Times New Roman"/>
          <w:color w:val="000000" w:themeColor="text1"/>
          <w:sz w:val="16"/>
          <w:szCs w:val="16"/>
        </w:rPr>
        <w:softHyphen/>
        <w:t>данный на заводе № 24.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7122AB">
        <w:rPr>
          <w:rFonts w:ascii="Times New Roman" w:hAnsi="Times New Roman"/>
          <w:color w:val="000000" w:themeColor="text1"/>
          <w:sz w:val="16"/>
          <w:szCs w:val="16"/>
        </w:rPr>
        <w:softHyphen/>
        <w:t>лись целые серии высотных двигателей. Например, все моторы, входив</w:t>
      </w:r>
      <w:r w:rsidRPr="007122AB">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7122AB">
        <w:rPr>
          <w:rFonts w:ascii="Times New Roman" w:hAnsi="Times New Roman"/>
          <w:color w:val="000000" w:themeColor="text1"/>
          <w:sz w:val="16"/>
          <w:szCs w:val="16"/>
        </w:rPr>
        <w:softHyphen/>
        <w:t>лись планы его последующей модернизации. При этом не только следова</w:t>
      </w:r>
      <w:r w:rsidRPr="007122AB">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7122AB">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7122AB">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7122AB">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7122AB">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3CC155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033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на заводе № 29 сдавалась вторая серия М-22 (серия «Б»), тоже из 10 моторов.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7122AB">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7122AB">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7122AB">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7122AB">
        <w:rPr>
          <w:rFonts w:ascii="Times New Roman" w:hAnsi="Times New Roman"/>
          <w:color w:val="000000" w:themeColor="text1"/>
          <w:sz w:val="16"/>
          <w:szCs w:val="16"/>
        </w:rPr>
        <w:softHyphen/>
        <w:t>ловине 30-х годов (11852).</w:t>
      </w:r>
    </w:p>
    <w:p w14:paraId="02B805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FF2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ФЭД-3, оснащенный односкоростным ПЦН, после двух заводских испытаний, во время которых на одном экзем</w:t>
      </w:r>
      <w:r w:rsidRPr="007122AB">
        <w:rPr>
          <w:rFonts w:ascii="Times New Roman" w:hAnsi="Times New Roman"/>
          <w:color w:val="000000" w:themeColor="text1"/>
          <w:sz w:val="16"/>
          <w:szCs w:val="16"/>
        </w:rPr>
        <w:softHyphen/>
        <w:t>пляре оборвался главный шатун, предъявили на государственные испытания, которые проходили до июня 1931. Их проводили на стенде 6-го отделения НИИ ВВС. Хотя максимальная мощность оказалась выше расчетной, номинальная не до</w:t>
      </w:r>
      <w:r w:rsidRPr="007122AB">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7122AB">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26B6D6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 ФЭД-3:</w:t>
      </w:r>
    </w:p>
    <w:p w14:paraId="4F58E9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24-цилиндровый, рядный Х-образ</w:t>
      </w:r>
      <w:r w:rsidRPr="007122AB">
        <w:rPr>
          <w:rFonts w:ascii="Times New Roman" w:hAnsi="Times New Roman"/>
          <w:color w:val="000000" w:themeColor="text1"/>
          <w:sz w:val="16"/>
          <w:szCs w:val="16"/>
        </w:rPr>
        <w:softHyphen/>
        <w:t>ный, четырехтактный, водяно</w:t>
      </w:r>
      <w:r w:rsidRPr="007122AB">
        <w:rPr>
          <w:rFonts w:ascii="Times New Roman" w:hAnsi="Times New Roman"/>
          <w:color w:val="000000" w:themeColor="text1"/>
          <w:sz w:val="16"/>
          <w:szCs w:val="16"/>
        </w:rPr>
        <w:softHyphen/>
        <w:t>го охлаждения;</w:t>
      </w:r>
    </w:p>
    <w:p w14:paraId="210683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11F834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 односкоростным ПЦН;</w:t>
      </w:r>
    </w:p>
    <w:p w14:paraId="7A0A0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135/160 мм;</w:t>
      </w:r>
    </w:p>
    <w:p w14:paraId="6EBB28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55,0 л;</w:t>
      </w:r>
    </w:p>
    <w:p w14:paraId="1D17EA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проекту 900/1050 л.с., фактически 813/1170 л.с.;</w:t>
      </w:r>
    </w:p>
    <w:p w14:paraId="3993CC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6,8;</w:t>
      </w:r>
    </w:p>
    <w:p w14:paraId="762618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851 кг (с втулкой винта), по проекту вес 830 кг.</w:t>
      </w:r>
    </w:p>
    <w:p w14:paraId="2E8A33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самолетах не устанавливался, но его использование предусматрива</w:t>
      </w:r>
      <w:r w:rsidRPr="007122AB">
        <w:rPr>
          <w:rFonts w:ascii="Times New Roman" w:hAnsi="Times New Roman"/>
          <w:color w:val="000000" w:themeColor="text1"/>
          <w:sz w:val="16"/>
          <w:szCs w:val="16"/>
        </w:rPr>
        <w:softHyphen/>
        <w:t>лось заданиями на тяжелые бомбардировщики ТБ-4 и ТБ-7 (не Пе-8) и истребитель И-13 (11852).</w:t>
      </w:r>
    </w:p>
    <w:p w14:paraId="06E467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54C7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ФЭД-3, оснащенный приводным центробежным нагнетателем, проходил государственные испытания, показав максимальную мощность 1170 л.с. при номинальной - 800 л.с. Названию ФЭД ("Феликс Эдмундович Дзержинский") двигатель был обязан тому, что разработка велась в Особом техническом бюро ОГПУ при заводе № 24, где трудились инженеры-заключенные. Их тогда называли еще не "врагами народа", а "вредителями". Вот эти "вредители" с учетом требований задания М-28 спроектировали Х-образный двигатель, частично использовавший узлы отвергнутого М-27. Руководил работой известный моторостроитель А.А. Бессонов, до ареста - начальник заводского конструкторского бюро. Существовало несколько модификаций двигателя ФЭД. Но бюро ОГПУ расформировали, а доводку двигателя передали ИAM. Там им заниматься оказалось некому. Через некоторое время соответствующий пункт из плана института попросту изъяли. Сохранились два экземпляра мотора ФЭД: один - в запаснике в Монино, второй - в музее завода "Салют" (12036).</w:t>
      </w:r>
    </w:p>
    <w:p w14:paraId="6672D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6209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после серии испытаний в марте 1931 высокой торпеды 10/15 в районе Качи в 20 км от Севастополя доложило, что торпеда работает удовлетворительно при высоте сбрасывания 1000-1200 м, а при сбросе с больших высот время снижения превышает норму. Потом были войсковые и сдаточные испытания и нач. УВВС </w:t>
      </w:r>
      <w:proofErr w:type="spellStart"/>
      <w:r w:rsidRPr="007122AB">
        <w:rPr>
          <w:rFonts w:ascii="Times New Roman" w:hAnsi="Times New Roman"/>
          <w:color w:val="000000" w:themeColor="text1"/>
          <w:sz w:val="16"/>
          <w:szCs w:val="16"/>
        </w:rPr>
        <w:t>Я.Алкснис</w:t>
      </w:r>
      <w:proofErr w:type="spellEnd"/>
      <w:r w:rsidRPr="007122AB">
        <w:rPr>
          <w:rFonts w:ascii="Times New Roman" w:hAnsi="Times New Roman"/>
          <w:color w:val="000000" w:themeColor="text1"/>
          <w:sz w:val="16"/>
          <w:szCs w:val="16"/>
        </w:rPr>
        <w:t xml:space="preserve"> образовал комиссию во главе с нач. Воздушных сил ЧМ </w:t>
      </w:r>
      <w:proofErr w:type="spellStart"/>
      <w:r w:rsidRPr="007122AB">
        <w:rPr>
          <w:rFonts w:ascii="Times New Roman" w:hAnsi="Times New Roman"/>
          <w:color w:val="000000" w:themeColor="text1"/>
          <w:sz w:val="16"/>
          <w:szCs w:val="16"/>
        </w:rPr>
        <w:t>В.К.Лавровым</w:t>
      </w:r>
      <w:proofErr w:type="spellEnd"/>
      <w:r w:rsidRPr="007122AB">
        <w:rPr>
          <w:rFonts w:ascii="Times New Roman" w:hAnsi="Times New Roman"/>
          <w:color w:val="000000" w:themeColor="text1"/>
          <w:sz w:val="16"/>
          <w:szCs w:val="16"/>
        </w:rPr>
        <w:t xml:space="preserve"> (1966,10).</w:t>
      </w:r>
    </w:p>
    <w:p w14:paraId="72232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A4D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года началась закладка первых крупных зданий и сооружений завода № 18. В апреле 1932 года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540DC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2ED48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2AF45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7AECD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6C2E8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w:t>
      </w:r>
      <w:proofErr w:type="spellStart"/>
      <w:r w:rsidRPr="007122AB">
        <w:rPr>
          <w:rFonts w:ascii="Times New Roman" w:hAnsi="Times New Roman"/>
          <w:color w:val="000000" w:themeColor="text1"/>
          <w:sz w:val="16"/>
          <w:szCs w:val="16"/>
        </w:rPr>
        <w:t>обеспчеить</w:t>
      </w:r>
      <w:proofErr w:type="spellEnd"/>
      <w:r w:rsidRPr="007122AB">
        <w:rPr>
          <w:rFonts w:ascii="Times New Roman" w:hAnsi="Times New Roman"/>
          <w:color w:val="000000" w:themeColor="text1"/>
          <w:sz w:val="16"/>
          <w:szCs w:val="16"/>
        </w:rPr>
        <w:t xml:space="preserve"> освоение сборки этого самолета. В течение 1946 и 1947 гг. заводом освоены следующие агрегаты:</w:t>
      </w:r>
    </w:p>
    <w:p w14:paraId="5072A6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хвостовая часть фюзеляжа;</w:t>
      </w:r>
    </w:p>
    <w:p w14:paraId="595859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оперение;</w:t>
      </w:r>
    </w:p>
    <w:p w14:paraId="2D64A5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шасси.</w:t>
      </w:r>
    </w:p>
    <w:p w14:paraId="09338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1942F5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w:t>
      </w:r>
      <w:proofErr w:type="spellStart"/>
      <w:r w:rsidRPr="007122AB">
        <w:rPr>
          <w:rFonts w:ascii="Times New Roman" w:hAnsi="Times New Roman"/>
          <w:color w:val="000000" w:themeColor="text1"/>
          <w:sz w:val="16"/>
          <w:szCs w:val="16"/>
        </w:rPr>
        <w:t>ов</w:t>
      </w:r>
      <w:proofErr w:type="spellEnd"/>
      <w:r w:rsidRPr="007122AB">
        <w:rPr>
          <w:rFonts w:ascii="Times New Roman" w:hAnsi="Times New Roman"/>
          <w:color w:val="000000" w:themeColor="text1"/>
          <w:sz w:val="16"/>
          <w:szCs w:val="16"/>
        </w:rPr>
        <w:t xml:space="preserve">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8C86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7BA10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 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ACB11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Белявский</w:t>
      </w:r>
    </w:p>
    <w:p w14:paraId="0B770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 самолет Ан-10 конструкции Антонова</w:t>
      </w:r>
    </w:p>
    <w:p w14:paraId="7154E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Характеристика аэродрома завода</w:t>
      </w:r>
    </w:p>
    <w:p w14:paraId="61B65C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BFB9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BBF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при заводе №39 имени В.Р. Менжинского была создана группа легкой авиации (КБ Осоавиахима). Начальником группы был назначен Яковлев. В августе 1932 г. группа получила свое первое помещение – часть деревообделочного цеха филиала завода №39. Ее состав был расширен до 13 конструкторов и 5 рабочих.</w:t>
      </w:r>
    </w:p>
    <w:p w14:paraId="5FA009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1934 г. группа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w:t>
      </w:r>
      <w:proofErr w:type="spellStart"/>
      <w:r w:rsidRPr="007122AB">
        <w:rPr>
          <w:rFonts w:ascii="Times New Roman" w:hAnsi="Times New Roman"/>
          <w:color w:val="000000" w:themeColor="text1"/>
          <w:sz w:val="16"/>
          <w:szCs w:val="16"/>
        </w:rPr>
        <w:t>Спецавиатресту</w:t>
      </w:r>
      <w:proofErr w:type="spellEnd"/>
      <w:r w:rsidRPr="007122AB">
        <w:rPr>
          <w:rFonts w:ascii="Times New Roman" w:hAnsi="Times New Roman"/>
          <w:color w:val="000000" w:themeColor="text1"/>
          <w:sz w:val="16"/>
          <w:szCs w:val="16"/>
        </w:rPr>
        <w:t xml:space="preserve"> под эгидой Главного управления авиационной промышленности НКТП. В марте 1934 г. КПБ было переведено на территорию филиала завода № 132 </w:t>
      </w:r>
      <w:proofErr w:type="spellStart"/>
      <w:r w:rsidRPr="007122AB">
        <w:rPr>
          <w:rFonts w:ascii="Times New Roman" w:hAnsi="Times New Roman"/>
          <w:color w:val="000000" w:themeColor="text1"/>
          <w:sz w:val="16"/>
          <w:szCs w:val="16"/>
        </w:rPr>
        <w:t>Спецавиатреста</w:t>
      </w:r>
      <w:proofErr w:type="spellEnd"/>
      <w:r w:rsidRPr="007122AB">
        <w:rPr>
          <w:rFonts w:ascii="Times New Roman" w:hAnsi="Times New Roman"/>
          <w:color w:val="000000" w:themeColor="text1"/>
          <w:sz w:val="16"/>
          <w:szCs w:val="16"/>
        </w:rPr>
        <w:t xml:space="preserve">, представлявшего собой кроватную мастерскую.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w:t>
      </w:r>
      <w:proofErr w:type="spellStart"/>
      <w:r w:rsidRPr="007122AB">
        <w:rPr>
          <w:rFonts w:ascii="Times New Roman" w:hAnsi="Times New Roman"/>
          <w:color w:val="000000" w:themeColor="text1"/>
          <w:sz w:val="16"/>
          <w:szCs w:val="16"/>
        </w:rPr>
        <w:t>Вигант</w:t>
      </w:r>
      <w:proofErr w:type="spellEnd"/>
      <w:r w:rsidRPr="007122AB">
        <w:rPr>
          <w:rFonts w:ascii="Times New Roman" w:hAnsi="Times New Roman"/>
          <w:color w:val="000000" w:themeColor="text1"/>
          <w:sz w:val="16"/>
          <w:szCs w:val="16"/>
        </w:rPr>
        <w:t>, К.В. Синельщиков, Е.А. Адлер, Л.М. Шехтер, чертежник В. Алексеев, токарь Максимов, столяры Хромов и Панкратов, слесари Жиров и Поздняков.</w:t>
      </w:r>
    </w:p>
    <w:p w14:paraId="199C1B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14DBB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DD9D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заложили фундамент завода № 18 (Завод № 18 ВСНХ, НКТП, ГС ордена Ленина завод № 18 НКОП, Завод № 18 им. К.Е. Ворошилова НКАП, Куйбышевский авиационный завод (</w:t>
      </w:r>
      <w:proofErr w:type="spellStart"/>
      <w:r w:rsidRPr="007122AB">
        <w:rPr>
          <w:rFonts w:ascii="Times New Roman" w:hAnsi="Times New Roman"/>
          <w:color w:val="000000" w:themeColor="text1"/>
          <w:sz w:val="16"/>
          <w:szCs w:val="16"/>
        </w:rPr>
        <w:t>КуАЗ</w:t>
      </w:r>
      <w:proofErr w:type="spellEnd"/>
      <w:r w:rsidRPr="007122AB">
        <w:rPr>
          <w:rFonts w:ascii="Times New Roman" w:hAnsi="Times New Roman"/>
          <w:color w:val="000000" w:themeColor="text1"/>
          <w:sz w:val="16"/>
          <w:szCs w:val="16"/>
        </w:rPr>
        <w:t>),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17 мая 1932 г. началось строительство, введен в строй в 1934 г. В 02.1937 г. ГС ордена Ленина завод № 18 - в ведении 1ГУ НКОП (и на 12.1938 г.). По приказу № 262сс от 22.03.1941 г. завод передан в ЮГУ НКАП.</w:t>
      </w:r>
    </w:p>
    <w:p w14:paraId="6CDFEE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Строящийся завод был ориентирован на выпуск тяжелых бомбардировщиков ТБ-3 (а в перспективе - ТБ-4 и ТБ-5)</w:t>
      </w:r>
    </w:p>
    <w:p w14:paraId="65BB02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526BC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07.1934-07.1936 г. на заводе работало КБ К.А. Калинина.</w:t>
      </w:r>
    </w:p>
    <w:p w14:paraId="0BDB6E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7C20F1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16D5F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составе завода цехи (1938 г.): № 1 механический, № 2 мелких сварных узлов, № 5 крупных сварных узлов, № 6 крыла, </w:t>
      </w:r>
      <w:proofErr w:type="spellStart"/>
      <w:r w:rsidRPr="007122AB">
        <w:rPr>
          <w:rFonts w:ascii="Times New Roman" w:hAnsi="Times New Roman"/>
          <w:color w:val="000000" w:themeColor="text1"/>
          <w:sz w:val="16"/>
          <w:szCs w:val="16"/>
        </w:rPr>
        <w:t>механо</w:t>
      </w:r>
      <w:proofErr w:type="spellEnd"/>
      <w:r w:rsidRPr="007122AB">
        <w:rPr>
          <w:rFonts w:ascii="Times New Roman" w:hAnsi="Times New Roman"/>
          <w:color w:val="000000" w:themeColor="text1"/>
          <w:sz w:val="16"/>
          <w:szCs w:val="16"/>
        </w:rPr>
        <w:t xml:space="preserve">-сборочный, </w:t>
      </w:r>
      <w:proofErr w:type="spellStart"/>
      <w:r w:rsidRPr="007122AB">
        <w:rPr>
          <w:rFonts w:ascii="Times New Roman" w:hAnsi="Times New Roman"/>
          <w:color w:val="000000" w:themeColor="text1"/>
          <w:sz w:val="16"/>
          <w:szCs w:val="16"/>
        </w:rPr>
        <w:t>бако</w:t>
      </w:r>
      <w:proofErr w:type="spellEnd"/>
      <w:r w:rsidRPr="007122AB">
        <w:rPr>
          <w:rFonts w:ascii="Times New Roman" w:hAnsi="Times New Roman"/>
          <w:color w:val="000000" w:themeColor="text1"/>
          <w:sz w:val="16"/>
          <w:szCs w:val="16"/>
        </w:rPr>
        <w:t>-медницкий, № 11 штамповочный (6500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29F13C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218 от 1.06.1938 г. при аэродинамической лаборатории завода организован 1-й филиал ЦАГИ.</w:t>
      </w:r>
    </w:p>
    <w:p w14:paraId="26BC7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осуществления проекта нового </w:t>
      </w:r>
      <w:r w:rsidRPr="007122AB">
        <w:rPr>
          <w:rFonts w:ascii="Times New Roman" w:hAnsi="Times New Roman"/>
          <w:color w:val="000000" w:themeColor="text1"/>
          <w:sz w:val="16"/>
          <w:szCs w:val="16"/>
          <w:lang w:val="en-US"/>
        </w:rPr>
        <w:t>JIA</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Ротоплан</w:t>
      </w:r>
      <w:proofErr w:type="spellEnd"/>
      <w:r w:rsidRPr="007122AB">
        <w:rPr>
          <w:rFonts w:ascii="Times New Roman" w:hAnsi="Times New Roman"/>
          <w:color w:val="000000" w:themeColor="text1"/>
          <w:sz w:val="16"/>
          <w:szCs w:val="16"/>
        </w:rPr>
        <w:t xml:space="preserve">» с 6-лопастным ротором на горизонтальной оси (типа коловратного колеса) М.Ф. </w:t>
      </w:r>
      <w:proofErr w:type="spellStart"/>
      <w:r w:rsidRPr="007122AB">
        <w:rPr>
          <w:rFonts w:ascii="Times New Roman" w:hAnsi="Times New Roman"/>
          <w:color w:val="000000" w:themeColor="text1"/>
          <w:sz w:val="16"/>
          <w:szCs w:val="16"/>
        </w:rPr>
        <w:t>Кортикова</w:t>
      </w:r>
      <w:proofErr w:type="spellEnd"/>
      <w:r w:rsidRPr="007122AB">
        <w:rPr>
          <w:rFonts w:ascii="Times New Roman" w:hAnsi="Times New Roman"/>
          <w:color w:val="000000" w:themeColor="text1"/>
          <w:sz w:val="16"/>
          <w:szCs w:val="16"/>
        </w:rPr>
        <w:t xml:space="preserve"> пр. № 460с от 14/19.12.1938 г. заводу поручено изготовить продувочную модель «</w:t>
      </w:r>
      <w:proofErr w:type="spellStart"/>
      <w:r w:rsidRPr="007122AB">
        <w:rPr>
          <w:rFonts w:ascii="Times New Roman" w:hAnsi="Times New Roman"/>
          <w:color w:val="000000" w:themeColor="text1"/>
          <w:sz w:val="16"/>
          <w:szCs w:val="16"/>
        </w:rPr>
        <w:t>Ротоплана</w:t>
      </w:r>
      <w:proofErr w:type="spellEnd"/>
      <w:r w:rsidRPr="007122AB">
        <w:rPr>
          <w:rFonts w:ascii="Times New Roman" w:hAnsi="Times New Roman"/>
          <w:color w:val="000000" w:themeColor="text1"/>
          <w:sz w:val="16"/>
          <w:szCs w:val="16"/>
        </w:rPr>
        <w:t>» и провести продувки к 1.05.1939 г. По результатам продувок Б.Н. Юрьевым был сделан вывод о бесперспективности подобных конструкций.</w:t>
      </w:r>
    </w:p>
    <w:p w14:paraId="27560D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7122AB">
        <w:rPr>
          <w:rFonts w:ascii="Times New Roman" w:hAnsi="Times New Roman"/>
          <w:color w:val="000000" w:themeColor="text1"/>
          <w:sz w:val="16"/>
          <w:szCs w:val="16"/>
          <w:lang w:val="en-US"/>
        </w:rPr>
        <w:t>IV</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lang w:val="en-US"/>
        </w:rPr>
        <w:t>ro</w:t>
      </w:r>
      <w:proofErr w:type="spellEnd"/>
      <w:r w:rsidRPr="007122AB">
        <w:rPr>
          <w:rFonts w:ascii="Times New Roman" w:hAnsi="Times New Roman"/>
          <w:color w:val="000000" w:themeColor="text1"/>
          <w:sz w:val="16"/>
          <w:szCs w:val="16"/>
        </w:rPr>
        <w:t xml:space="preserve"> квартала 1939 г. начать выпуск ДБ-ЗФ.</w:t>
      </w:r>
    </w:p>
    <w:p w14:paraId="2B4510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13A18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368865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производства на 1941 г.: 1200 Ил-2,400 ДБ-ЗФ и 100 Ер-2.</w:t>
      </w:r>
      <w:r w:rsidRPr="007122AB">
        <w:rPr>
          <w:rFonts w:ascii="Times New Roman" w:hAnsi="Times New Roman"/>
          <w:color w:val="000000" w:themeColor="text1"/>
          <w:sz w:val="16"/>
          <w:szCs w:val="16"/>
          <w:vertAlign w:val="superscript"/>
        </w:rPr>
        <w:t>144</w:t>
      </w:r>
    </w:p>
    <w:p w14:paraId="29BD68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624C11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ГКО № 751 от 9.10.1941 г. и приказом НКАП № 1056сс от 10.10.1941 г. в течение октября-ноября 1941 г. завод эвакуирован в  г. Куйбышев, ст. </w:t>
      </w:r>
      <w:proofErr w:type="spellStart"/>
      <w:r w:rsidRPr="007122AB">
        <w:rPr>
          <w:rFonts w:ascii="Times New Roman" w:hAnsi="Times New Roman"/>
          <w:color w:val="000000" w:themeColor="text1"/>
          <w:sz w:val="16"/>
          <w:szCs w:val="16"/>
        </w:rPr>
        <w:t>Безьмянка</w:t>
      </w:r>
      <w:proofErr w:type="spellEnd"/>
      <w:r w:rsidRPr="007122AB">
        <w:rPr>
          <w:rFonts w:ascii="Times New Roman" w:hAnsi="Times New Roman"/>
          <w:color w:val="000000" w:themeColor="text1"/>
          <w:sz w:val="16"/>
          <w:szCs w:val="16"/>
        </w:rPr>
        <w:t xml:space="preserve"> на площадку строящегося завода № 295 НКАП. В результате слияния образован единый завод № 18 НКАП.</w:t>
      </w:r>
    </w:p>
    <w:p w14:paraId="1B44A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эвакуации здесь с 10.1941 по 04.1942 г. ОКБ-39 С.В. Ильюшина. После перебазирования ОКБ в Москву его представителем на заводе остался В.А. </w:t>
      </w:r>
      <w:proofErr w:type="spellStart"/>
      <w:r w:rsidRPr="007122AB">
        <w:rPr>
          <w:rFonts w:ascii="Times New Roman" w:hAnsi="Times New Roman"/>
          <w:color w:val="000000" w:themeColor="text1"/>
          <w:sz w:val="16"/>
          <w:szCs w:val="16"/>
        </w:rPr>
        <w:t>Борог</w:t>
      </w:r>
      <w:proofErr w:type="spellEnd"/>
      <w:r w:rsidRPr="007122AB">
        <w:rPr>
          <w:rFonts w:ascii="Times New Roman" w:hAnsi="Times New Roman"/>
          <w:color w:val="000000" w:themeColor="text1"/>
          <w:sz w:val="16"/>
          <w:szCs w:val="16"/>
        </w:rPr>
        <w:t>, затем- А .Я. Левин.</w:t>
      </w:r>
    </w:p>
    <w:p w14:paraId="33A94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w:t>
      </w:r>
      <w:proofErr w:type="spellStart"/>
      <w:r w:rsidRPr="007122AB">
        <w:rPr>
          <w:rFonts w:ascii="Times New Roman" w:hAnsi="Times New Roman"/>
          <w:color w:val="000000" w:themeColor="text1"/>
          <w:sz w:val="16"/>
          <w:szCs w:val="16"/>
        </w:rPr>
        <w:t>Главремуправлении</w:t>
      </w:r>
      <w:proofErr w:type="spellEnd"/>
      <w:r w:rsidRPr="007122AB">
        <w:rPr>
          <w:rFonts w:ascii="Times New Roman" w:hAnsi="Times New Roman"/>
          <w:color w:val="000000" w:themeColor="text1"/>
          <w:sz w:val="16"/>
          <w:szCs w:val="16"/>
        </w:rPr>
        <w:t xml:space="preserve"> НКАП. Далее он преобразован в филиал завода № 18 НКАП, начальник филиала- Сердюк. В 04.1942 г. филиал реорганизован в ГСЗ№ 450 НКАП.</w:t>
      </w:r>
    </w:p>
    <w:p w14:paraId="7F2AD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2A159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1A27D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23.07.1944 г. вышло постановление ГКО № 6246 о производстве Ил-10 на заводе.</w:t>
      </w:r>
    </w:p>
    <w:p w14:paraId="05192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1C297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113C8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СМ СССР № 713-342 от 26.06.1957 г. передан в ведение СНХ РСФСР.</w:t>
      </w:r>
    </w:p>
    <w:p w14:paraId="5B115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1970-е  г. построен малярный ангар с пролетом 100 м.</w:t>
      </w:r>
    </w:p>
    <w:p w14:paraId="429873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6D86F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6D91F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7122AB">
        <w:rPr>
          <w:rFonts w:ascii="Times New Roman" w:hAnsi="Times New Roman"/>
          <w:color w:val="000000" w:themeColor="text1"/>
          <w:sz w:val="16"/>
          <w:szCs w:val="16"/>
          <w:lang w:val="en-US"/>
        </w:rPr>
        <w:t>OAK</w:t>
      </w:r>
      <w:r w:rsidRPr="007122AB">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147B27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7122AB">
        <w:rPr>
          <w:rFonts w:ascii="Times New Roman" w:hAnsi="Times New Roman"/>
          <w:color w:val="000000" w:themeColor="text1"/>
          <w:sz w:val="16"/>
          <w:szCs w:val="16"/>
          <w:vertAlign w:val="superscript"/>
        </w:rPr>
        <w:t>1</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vertAlign w:val="superscript"/>
        </w:rPr>
        <w:t>22 09 04</w:t>
      </w:r>
      <w:r w:rsidRPr="007122AB">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539F1A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(11.1940 г.)- 1247 металлорежущих станков.</w:t>
      </w:r>
    </w:p>
    <w:p w14:paraId="19C95B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5CD94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(-06-28.10.1937 г.)- С.М. </w:t>
      </w:r>
      <w:proofErr w:type="spellStart"/>
      <w:r w:rsidRPr="007122AB">
        <w:rPr>
          <w:rFonts w:ascii="Times New Roman" w:hAnsi="Times New Roman"/>
          <w:color w:val="000000" w:themeColor="text1"/>
          <w:sz w:val="16"/>
          <w:szCs w:val="16"/>
        </w:rPr>
        <w:t>Шабашвшш</w:t>
      </w:r>
      <w:proofErr w:type="spellEnd"/>
      <w:r w:rsidRPr="007122AB">
        <w:rPr>
          <w:rFonts w:ascii="Times New Roman" w:hAnsi="Times New Roman"/>
          <w:color w:val="000000" w:themeColor="text1"/>
          <w:sz w:val="16"/>
          <w:szCs w:val="16"/>
        </w:rPr>
        <w:t xml:space="preserve"> (снят), (22.10.1937-22.02.1938 г.)- Н.И. Горьковенко, (22.02.1938-42 г.)- М.Б. Шенкман (погиб); и.о. (03.1941 г.)- А.А. </w:t>
      </w:r>
      <w:proofErr w:type="spellStart"/>
      <w:r w:rsidRPr="007122AB">
        <w:rPr>
          <w:rFonts w:ascii="Times New Roman" w:hAnsi="Times New Roman"/>
          <w:color w:val="000000" w:themeColor="text1"/>
          <w:sz w:val="16"/>
          <w:szCs w:val="16"/>
        </w:rPr>
        <w:t>Белянский</w:t>
      </w:r>
      <w:proofErr w:type="spellEnd"/>
      <w:r w:rsidRPr="007122AB">
        <w:rPr>
          <w:rFonts w:ascii="Times New Roman" w:hAnsi="Times New Roman"/>
          <w:color w:val="000000" w:themeColor="text1"/>
          <w:sz w:val="16"/>
          <w:szCs w:val="16"/>
        </w:rPr>
        <w:t xml:space="preserve">; (06.1942-05.1946 г.-)- А.А. </w:t>
      </w:r>
      <w:proofErr w:type="spellStart"/>
      <w:r w:rsidRPr="007122AB">
        <w:rPr>
          <w:rFonts w:ascii="Times New Roman" w:hAnsi="Times New Roman"/>
          <w:color w:val="000000" w:themeColor="text1"/>
          <w:sz w:val="16"/>
          <w:szCs w:val="16"/>
        </w:rPr>
        <w:t>Белянский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Белеловский</w:t>
      </w:r>
      <w:proofErr w:type="spellEnd"/>
      <w:r w:rsidRPr="007122AB">
        <w:rPr>
          <w:rFonts w:ascii="Times New Roman" w:hAnsi="Times New Roman"/>
          <w:color w:val="000000" w:themeColor="text1"/>
          <w:sz w:val="16"/>
          <w:szCs w:val="16"/>
        </w:rPr>
        <w:t xml:space="preserve">. Гендиректор (1980-е)- В. Земец, (2000 г.)- А. Карклин, (-2002-04 г.)- В.П. Белогуб, (04.2004 г.)-  Г.Н. Плотников, (-09.2005-0 / г.-)- С.К. Лихарев, (2010 г.)- А. Гусев. Арбитражный управляющий (1994 г.-)- </w:t>
      </w:r>
      <w:r w:rsidRPr="007122AB">
        <w:rPr>
          <w:rFonts w:ascii="Times New Roman" w:hAnsi="Times New Roman"/>
          <w:color w:val="000000" w:themeColor="text1"/>
          <w:sz w:val="16"/>
          <w:szCs w:val="16"/>
          <w:lang w:val="en-US"/>
        </w:rPr>
        <w:t>JI</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 Хасис.</w:t>
      </w:r>
    </w:p>
    <w:p w14:paraId="16A74A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гендиректора (-2006-07 г.-)- Е.В. </w:t>
      </w:r>
      <w:proofErr w:type="spellStart"/>
      <w:r w:rsidRPr="007122AB">
        <w:rPr>
          <w:rFonts w:ascii="Times New Roman" w:hAnsi="Times New Roman"/>
          <w:color w:val="000000" w:themeColor="text1"/>
          <w:sz w:val="16"/>
          <w:szCs w:val="16"/>
        </w:rPr>
        <w:t>Цыбанов</w:t>
      </w:r>
      <w:proofErr w:type="spellEnd"/>
      <w:r w:rsidRPr="007122AB">
        <w:rPr>
          <w:rFonts w:ascii="Times New Roman" w:hAnsi="Times New Roman"/>
          <w:color w:val="000000" w:themeColor="text1"/>
          <w:sz w:val="16"/>
          <w:szCs w:val="16"/>
        </w:rPr>
        <w:t xml:space="preserve">. Зам. директора (22.10.1937 г.-)- М.Н. Корнеев, (15.12.1937 г.- )- И.Н. Мартынов; по ПВО и охране (29.11.1938 г.-)- Н.Д. Гусев. Помощник директора по найму и увольнению (14.05.1938 г.-)- И.Т. </w:t>
      </w:r>
      <w:proofErr w:type="spellStart"/>
      <w:r w:rsidRPr="007122AB">
        <w:rPr>
          <w:rFonts w:ascii="Times New Roman" w:hAnsi="Times New Roman"/>
          <w:color w:val="000000" w:themeColor="text1"/>
          <w:sz w:val="16"/>
          <w:szCs w:val="16"/>
        </w:rPr>
        <w:t>Измалков</w:t>
      </w:r>
      <w:proofErr w:type="spellEnd"/>
      <w:r w:rsidRPr="007122AB">
        <w:rPr>
          <w:rFonts w:ascii="Times New Roman" w:hAnsi="Times New Roman"/>
          <w:color w:val="000000" w:themeColor="text1"/>
          <w:sz w:val="16"/>
          <w:szCs w:val="16"/>
        </w:rPr>
        <w:t>. Зам. гендиректора: начальник авиационного производства (2000 г.)- А. Кириллов; (2000 г.)- В. Петрищев.</w:t>
      </w:r>
    </w:p>
    <w:p w14:paraId="2AF3E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Исполнительный директор (2005 г.)- С.К. Лихарев.</w:t>
      </w:r>
    </w:p>
    <w:p w14:paraId="6A5E4C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(22.10.1937-01.1938 г.-)- М.Н. Корнеев, (03.1941 г.)- Н.Д. Востров.</w:t>
      </w:r>
    </w:p>
    <w:p w14:paraId="3EB40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(07.1934-07.1936 г.)- К.А. Калинин, (08.1936-08.1938 г.)- А.А. Сеньков.</w:t>
      </w:r>
    </w:p>
    <w:p w14:paraId="1C10BB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технолог (2000 г.)- В. Антонюк.</w:t>
      </w:r>
    </w:p>
    <w:p w14:paraId="4901EF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Серийного КБ (05.1941 г.)- В.К. Золотухин, (04.1942 г.-)- В.Н. </w:t>
      </w:r>
      <w:proofErr w:type="spellStart"/>
      <w:r w:rsidRPr="007122AB">
        <w:rPr>
          <w:rFonts w:ascii="Times New Roman" w:hAnsi="Times New Roman"/>
          <w:color w:val="000000" w:themeColor="text1"/>
          <w:sz w:val="16"/>
          <w:szCs w:val="16"/>
        </w:rPr>
        <w:t>Бугайский</w:t>
      </w:r>
      <w:proofErr w:type="spellEnd"/>
      <w:r w:rsidRPr="007122AB">
        <w:rPr>
          <w:rFonts w:ascii="Times New Roman" w:hAnsi="Times New Roman"/>
          <w:color w:val="000000" w:themeColor="text1"/>
          <w:sz w:val="16"/>
          <w:szCs w:val="16"/>
        </w:rPr>
        <w:t>. Гл. конструктор СКВ (1938 г.)- М.Н. Корнеев. Начальник ЛИС (1938 г.)- А.А. Сеньков,</w:t>
      </w:r>
      <w:r w:rsidRPr="007122AB">
        <w:rPr>
          <w:rFonts w:ascii="Times New Roman" w:hAnsi="Times New Roman"/>
          <w:color w:val="000000" w:themeColor="text1"/>
          <w:sz w:val="16"/>
          <w:szCs w:val="16"/>
          <w:vertAlign w:val="superscript"/>
        </w:rPr>
        <w:t>84</w:t>
      </w:r>
      <w:r w:rsidRPr="007122AB">
        <w:rPr>
          <w:rFonts w:ascii="Times New Roman" w:hAnsi="Times New Roman"/>
          <w:color w:val="000000" w:themeColor="text1"/>
          <w:sz w:val="16"/>
          <w:szCs w:val="16"/>
        </w:rPr>
        <w:t xml:space="preserve"> (1941 г.)- м К.К. Рыков. Руководитель проекта Ан-140 (2004 г.)- С. Кузнецов.</w:t>
      </w:r>
    </w:p>
    <w:p w14:paraId="6A3AEE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Летчики-испытатели: (1942 г.)- Е.Н. Ломакин, (1941 г.)- К.К. Рыков.</w:t>
      </w:r>
    </w:p>
    <w:p w14:paraId="71D8B4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7122AB">
        <w:rPr>
          <w:rFonts w:ascii="Times New Roman" w:hAnsi="Times New Roman"/>
          <w:color w:val="000000" w:themeColor="text1"/>
          <w:sz w:val="16"/>
          <w:szCs w:val="16"/>
          <w:vertAlign w:val="superscript"/>
        </w:rPr>
        <w:t>30</w:t>
      </w:r>
      <w:r w:rsidRPr="007122AB">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7122AB">
        <w:rPr>
          <w:rFonts w:ascii="Times New Roman" w:hAnsi="Times New Roman"/>
          <w:color w:val="000000" w:themeColor="text1"/>
          <w:sz w:val="16"/>
          <w:szCs w:val="16"/>
          <w:vertAlign w:val="superscript"/>
        </w:rPr>
        <w:t>69</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кузовые</w:t>
      </w:r>
      <w:proofErr w:type="spellEnd"/>
      <w:r w:rsidRPr="007122AB">
        <w:rPr>
          <w:rFonts w:ascii="Times New Roman" w:hAnsi="Times New Roman"/>
          <w:color w:val="000000" w:themeColor="text1"/>
          <w:sz w:val="16"/>
          <w:szCs w:val="16"/>
        </w:rPr>
        <w:t xml:space="preserve"> детали автомобилей и с/х оборудование.</w:t>
      </w:r>
    </w:p>
    <w:p w14:paraId="2195EB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0F65B5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E60B1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3448B2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9C6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из-за неполадок с двигателем воздушного охлаждения конструкции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на ТГ решили для проведения первого цикла испытаний поставить М-6 (4402).</w:t>
      </w:r>
    </w:p>
    <w:p w14:paraId="152AB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0B50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было принято решение для проведения первого цикла испытаний временно устано</w:t>
      </w:r>
      <w:r w:rsidRPr="007122AB">
        <w:rPr>
          <w:rFonts w:ascii="Times New Roman" w:hAnsi="Times New Roman"/>
          <w:color w:val="000000" w:themeColor="text1"/>
          <w:sz w:val="16"/>
          <w:szCs w:val="16"/>
        </w:rPr>
        <w:softHyphen/>
        <w:t>вить на танке ТГ авиационный двигатель М-6-300, что по</w:t>
      </w:r>
      <w:r w:rsidRPr="007122AB">
        <w:rPr>
          <w:rFonts w:ascii="Times New Roman" w:hAnsi="Times New Roman"/>
          <w:color w:val="000000" w:themeColor="text1"/>
          <w:sz w:val="16"/>
          <w:szCs w:val="16"/>
        </w:rPr>
        <w:softHyphen/>
        <w:t>требовало некоторых переделок агрегатов танка, посколь</w:t>
      </w:r>
      <w:r w:rsidRPr="007122AB">
        <w:rPr>
          <w:rFonts w:ascii="Times New Roman" w:hAnsi="Times New Roman"/>
          <w:color w:val="000000" w:themeColor="text1"/>
          <w:sz w:val="16"/>
          <w:szCs w:val="16"/>
        </w:rPr>
        <w:softHyphen/>
        <w:t>ку габариты и характеристики М-6 оказались несколько иными, чем у запланированного двигателя Гроте (работы над двигателем Гроте были продолжены осенью 1931 г.) (10733,248).</w:t>
      </w:r>
    </w:p>
    <w:p w14:paraId="612545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D7C64"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w:t>
      </w:r>
      <w:proofErr w:type="spellStart"/>
      <w:r w:rsidRPr="007122AB">
        <w:rPr>
          <w:rFonts w:ascii="Times New Roman" w:hAnsi="Times New Roman"/>
          <w:color w:val="000000" w:themeColor="text1"/>
          <w:sz w:val="16"/>
          <w:szCs w:val="16"/>
        </w:rPr>
        <w:t>Сячентова</w:t>
      </w:r>
      <w:proofErr w:type="spellEnd"/>
      <w:r w:rsidRPr="007122AB">
        <w:rPr>
          <w:rFonts w:ascii="Times New Roman" w:hAnsi="Times New Roman"/>
          <w:color w:val="000000" w:themeColor="text1"/>
          <w:sz w:val="16"/>
          <w:szCs w:val="16"/>
        </w:rPr>
        <w:t xml:space="preserve"> (Б-3) с возможностью стрельбы по воздушным целям. В нижней неподвижной боевой рубке размещалось 76-мм танковое орудие конструкции Гроте-</w:t>
      </w:r>
      <w:proofErr w:type="spellStart"/>
      <w:r w:rsidRPr="007122AB">
        <w:rPr>
          <w:rFonts w:ascii="Times New Roman" w:hAnsi="Times New Roman"/>
          <w:color w:val="000000" w:themeColor="text1"/>
          <w:sz w:val="16"/>
          <w:szCs w:val="16"/>
        </w:rPr>
        <w:t>Сячентова</w:t>
      </w:r>
      <w:proofErr w:type="spellEnd"/>
      <w:r w:rsidRPr="007122AB">
        <w:rPr>
          <w:rFonts w:ascii="Times New Roman" w:hAnsi="Times New Roman"/>
          <w:color w:val="000000" w:themeColor="text1"/>
          <w:sz w:val="16"/>
          <w:szCs w:val="16"/>
        </w:rPr>
        <w:t xml:space="preserve"> и три пулемета «Максим» (18975).</w:t>
      </w:r>
    </w:p>
    <w:p w14:paraId="4ACA0409"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4309A2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на испытания подали 76.2 мм орудие для танка ТГ ПС-19 (А-19), разработанного </w:t>
      </w:r>
      <w:proofErr w:type="spellStart"/>
      <w:r w:rsidRPr="007122AB">
        <w:rPr>
          <w:rFonts w:ascii="Times New Roman" w:hAnsi="Times New Roman"/>
          <w:color w:val="000000" w:themeColor="text1"/>
          <w:sz w:val="16"/>
          <w:szCs w:val="16"/>
        </w:rPr>
        <w:t>П.Сячентовым</w:t>
      </w:r>
      <w:proofErr w:type="spellEnd"/>
      <w:r w:rsidRPr="007122AB">
        <w:rPr>
          <w:rFonts w:ascii="Times New Roman" w:hAnsi="Times New Roman"/>
          <w:color w:val="000000" w:themeColor="text1"/>
          <w:sz w:val="16"/>
          <w:szCs w:val="16"/>
        </w:rPr>
        <w:t xml:space="preserve"> на основе зенитной пушки 1914/15 Тарновского и </w:t>
      </w:r>
      <w:proofErr w:type="spellStart"/>
      <w:r w:rsidRPr="007122AB">
        <w:rPr>
          <w:rFonts w:ascii="Times New Roman" w:hAnsi="Times New Roman"/>
          <w:color w:val="000000" w:themeColor="text1"/>
          <w:sz w:val="16"/>
          <w:szCs w:val="16"/>
        </w:rPr>
        <w:t>Лендера</w:t>
      </w:r>
      <w:proofErr w:type="spellEnd"/>
      <w:r w:rsidRPr="007122AB">
        <w:rPr>
          <w:rFonts w:ascii="Times New Roman" w:hAnsi="Times New Roman"/>
          <w:color w:val="000000" w:themeColor="text1"/>
          <w:sz w:val="16"/>
          <w:szCs w:val="16"/>
        </w:rPr>
        <w:t>. Отдача - сильнее, чем требовалась (4658, 22).</w:t>
      </w:r>
    </w:p>
    <w:p w14:paraId="63BBB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4543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подоспело и 76,2-мм орудие А-19 (ПС-19) для ТГ. Это было для своего времени самое мощное тан</w:t>
      </w:r>
      <w:r w:rsidRPr="007122AB">
        <w:rPr>
          <w:rFonts w:ascii="Times New Roman" w:hAnsi="Times New Roman"/>
          <w:color w:val="000000" w:themeColor="text1"/>
          <w:sz w:val="16"/>
          <w:szCs w:val="16"/>
        </w:rPr>
        <w:softHyphen/>
        <w:t xml:space="preserve">ковое орудие в мире. Создавая его, </w:t>
      </w:r>
      <w:proofErr w:type="spellStart"/>
      <w:r w:rsidRPr="007122AB">
        <w:rPr>
          <w:rFonts w:ascii="Times New Roman" w:hAnsi="Times New Roman"/>
          <w:color w:val="000000" w:themeColor="text1"/>
          <w:sz w:val="16"/>
          <w:szCs w:val="16"/>
        </w:rPr>
        <w:t>П.Сячинтов</w:t>
      </w:r>
      <w:proofErr w:type="spellEnd"/>
      <w:r w:rsidRPr="007122AB">
        <w:rPr>
          <w:rFonts w:ascii="Times New Roman" w:hAnsi="Times New Roman"/>
          <w:color w:val="000000" w:themeColor="text1"/>
          <w:sz w:val="16"/>
          <w:szCs w:val="16"/>
        </w:rPr>
        <w:t xml:space="preserve"> использо</w:t>
      </w:r>
      <w:r w:rsidRPr="007122AB">
        <w:rPr>
          <w:rFonts w:ascii="Times New Roman" w:hAnsi="Times New Roman"/>
          <w:color w:val="000000" w:themeColor="text1"/>
          <w:sz w:val="16"/>
          <w:szCs w:val="16"/>
        </w:rPr>
        <w:softHyphen/>
        <w:t xml:space="preserve">вал зенитную пушку обр. 1914/15 гг., более известную по именам ее создателей — Тарновского и </w:t>
      </w:r>
      <w:proofErr w:type="spellStart"/>
      <w:r w:rsidRPr="007122AB">
        <w:rPr>
          <w:rFonts w:ascii="Times New Roman" w:hAnsi="Times New Roman"/>
          <w:color w:val="000000" w:themeColor="text1"/>
          <w:sz w:val="16"/>
          <w:szCs w:val="16"/>
        </w:rPr>
        <w:t>Лендера</w:t>
      </w:r>
      <w:proofErr w:type="spellEnd"/>
      <w:r w:rsidRPr="007122AB">
        <w:rPr>
          <w:rFonts w:ascii="Times New Roman" w:hAnsi="Times New Roman"/>
          <w:color w:val="000000" w:themeColor="text1"/>
          <w:sz w:val="16"/>
          <w:szCs w:val="16"/>
        </w:rPr>
        <w:t>. Но впи</w:t>
      </w:r>
      <w:r w:rsidRPr="007122AB">
        <w:rPr>
          <w:rFonts w:ascii="Times New Roman" w:hAnsi="Times New Roman"/>
          <w:color w:val="000000" w:themeColor="text1"/>
          <w:sz w:val="16"/>
          <w:szCs w:val="16"/>
        </w:rPr>
        <w:softHyphen/>
        <w:t>саться в жестко заданные габариты с этим орудием оказа</w:t>
      </w:r>
      <w:r w:rsidRPr="007122AB">
        <w:rPr>
          <w:rFonts w:ascii="Times New Roman" w:hAnsi="Times New Roman"/>
          <w:color w:val="000000" w:themeColor="text1"/>
          <w:sz w:val="16"/>
          <w:szCs w:val="16"/>
        </w:rPr>
        <w:softHyphen/>
        <w:t>лось непросто. По предложению Э. Гроте конструктор ра</w:t>
      </w:r>
      <w:r w:rsidRPr="007122AB">
        <w:rPr>
          <w:rFonts w:ascii="Times New Roman" w:hAnsi="Times New Roman"/>
          <w:color w:val="000000" w:themeColor="text1"/>
          <w:sz w:val="16"/>
          <w:szCs w:val="16"/>
        </w:rPr>
        <w:softHyphen/>
        <w:t>дикально переработал орудие. В частности, он убрал тор</w:t>
      </w:r>
      <w:r w:rsidRPr="007122AB">
        <w:rPr>
          <w:rFonts w:ascii="Times New Roman" w:hAnsi="Times New Roman"/>
          <w:color w:val="000000" w:themeColor="text1"/>
          <w:sz w:val="16"/>
          <w:szCs w:val="16"/>
        </w:rPr>
        <w:softHyphen/>
        <w:t xml:space="preserve">моз отката и накатник из-под ствола, поместив их справа и слева, изменил конструкцию люльки, ввел специальный </w:t>
      </w:r>
      <w:proofErr w:type="spellStart"/>
      <w:r w:rsidRPr="007122AB">
        <w:rPr>
          <w:rFonts w:ascii="Times New Roman" w:hAnsi="Times New Roman"/>
          <w:color w:val="000000" w:themeColor="text1"/>
          <w:sz w:val="16"/>
          <w:szCs w:val="16"/>
        </w:rPr>
        <w:t>гильзоулавливатель</w:t>
      </w:r>
      <w:proofErr w:type="spellEnd"/>
      <w:r w:rsidRPr="007122AB">
        <w:rPr>
          <w:rFonts w:ascii="Times New Roman" w:hAnsi="Times New Roman"/>
          <w:color w:val="000000" w:themeColor="text1"/>
          <w:sz w:val="16"/>
          <w:szCs w:val="16"/>
        </w:rPr>
        <w:t xml:space="preserve"> и дульный тормоз. Но первый отстрел орудия, произведенный с </w:t>
      </w:r>
      <w:r w:rsidRPr="007122AB">
        <w:rPr>
          <w:rFonts w:ascii="Times New Roman" w:hAnsi="Times New Roman"/>
          <w:color w:val="000000" w:themeColor="text1"/>
          <w:sz w:val="16"/>
          <w:szCs w:val="16"/>
        </w:rPr>
        <w:lastRenderedPageBreak/>
        <w:t>полевого лафета, показал увели</w:t>
      </w:r>
      <w:r w:rsidRPr="007122AB">
        <w:rPr>
          <w:rFonts w:ascii="Times New Roman" w:hAnsi="Times New Roman"/>
          <w:color w:val="000000" w:themeColor="text1"/>
          <w:sz w:val="16"/>
          <w:szCs w:val="16"/>
        </w:rPr>
        <w:softHyphen/>
        <w:t>ченную реакцию отдачи на лафет. Для устранения этого яв</w:t>
      </w:r>
      <w:r w:rsidRPr="007122AB">
        <w:rPr>
          <w:rFonts w:ascii="Times New Roman" w:hAnsi="Times New Roman"/>
          <w:color w:val="000000" w:themeColor="text1"/>
          <w:sz w:val="16"/>
          <w:szCs w:val="16"/>
        </w:rPr>
        <w:softHyphen/>
        <w:t>ления на пушке установили новый дульный тормоз конст</w:t>
      </w:r>
      <w:r w:rsidRPr="007122AB">
        <w:rPr>
          <w:rFonts w:ascii="Times New Roman" w:hAnsi="Times New Roman"/>
          <w:color w:val="000000" w:themeColor="text1"/>
          <w:sz w:val="16"/>
          <w:szCs w:val="16"/>
        </w:rPr>
        <w:softHyphen/>
        <w:t>рукции Иванова. Доработанная пушка получила индекс ПС-19 и во время отстрела вела себя неплохо, но при веде</w:t>
      </w:r>
      <w:r w:rsidRPr="007122AB">
        <w:rPr>
          <w:rFonts w:ascii="Times New Roman" w:hAnsi="Times New Roman"/>
          <w:color w:val="000000" w:themeColor="text1"/>
          <w:sz w:val="16"/>
          <w:szCs w:val="16"/>
        </w:rPr>
        <w:softHyphen/>
        <w:t>нии непрерывной стрельбы предусмотренная в проекте по</w:t>
      </w:r>
      <w:r w:rsidRPr="007122AB">
        <w:rPr>
          <w:rFonts w:ascii="Times New Roman" w:hAnsi="Times New Roman"/>
          <w:color w:val="000000" w:themeColor="text1"/>
          <w:sz w:val="16"/>
          <w:szCs w:val="16"/>
        </w:rPr>
        <w:softHyphen/>
        <w:t>луавтоматика часто отказывала, что приводило к необходи</w:t>
      </w:r>
      <w:r w:rsidRPr="007122AB">
        <w:rPr>
          <w:rFonts w:ascii="Times New Roman" w:hAnsi="Times New Roman"/>
          <w:color w:val="000000" w:themeColor="text1"/>
          <w:sz w:val="16"/>
          <w:szCs w:val="16"/>
        </w:rPr>
        <w:softHyphen/>
        <w:t xml:space="preserve">мости ручного </w:t>
      </w:r>
      <w:proofErr w:type="spellStart"/>
      <w:r w:rsidRPr="007122AB">
        <w:rPr>
          <w:rFonts w:ascii="Times New Roman" w:hAnsi="Times New Roman"/>
          <w:color w:val="000000" w:themeColor="text1"/>
          <w:sz w:val="16"/>
          <w:szCs w:val="16"/>
        </w:rPr>
        <w:t>разряжания</w:t>
      </w:r>
      <w:proofErr w:type="spellEnd"/>
      <w:r w:rsidRPr="007122AB">
        <w:rPr>
          <w:rFonts w:ascii="Times New Roman" w:hAnsi="Times New Roman"/>
          <w:color w:val="000000" w:themeColor="text1"/>
          <w:sz w:val="16"/>
          <w:szCs w:val="16"/>
        </w:rPr>
        <w:t xml:space="preserve">. В верхнюю башенку была установлена 37-мм пушка большой мощности ПС-2, также разработанная П. </w:t>
      </w:r>
      <w:proofErr w:type="spellStart"/>
      <w:r w:rsidRPr="007122AB">
        <w:rPr>
          <w:rFonts w:ascii="Times New Roman" w:hAnsi="Times New Roman"/>
          <w:color w:val="000000" w:themeColor="text1"/>
          <w:sz w:val="16"/>
          <w:szCs w:val="16"/>
        </w:rPr>
        <w:t>Сячинтовым</w:t>
      </w:r>
      <w:proofErr w:type="spellEnd"/>
      <w:r w:rsidRPr="007122AB">
        <w:rPr>
          <w:rFonts w:ascii="Times New Roman" w:hAnsi="Times New Roman"/>
          <w:color w:val="000000" w:themeColor="text1"/>
          <w:sz w:val="16"/>
          <w:szCs w:val="16"/>
        </w:rPr>
        <w:t>. Особенностью установки этого орудия была возмож</w:t>
      </w:r>
      <w:r w:rsidRPr="007122AB">
        <w:rPr>
          <w:rFonts w:ascii="Times New Roman" w:hAnsi="Times New Roman"/>
          <w:color w:val="000000" w:themeColor="text1"/>
          <w:sz w:val="16"/>
          <w:szCs w:val="16"/>
        </w:rPr>
        <w:softHyphen/>
        <w:t>ность ведения из него наземно-зенитной стрельбы. Кстати, от своих собратьев, установленных позднее на опытные тан</w:t>
      </w:r>
      <w:r w:rsidRPr="007122AB">
        <w:rPr>
          <w:rFonts w:ascii="Times New Roman" w:hAnsi="Times New Roman"/>
          <w:color w:val="000000" w:themeColor="text1"/>
          <w:sz w:val="16"/>
          <w:szCs w:val="16"/>
        </w:rPr>
        <w:softHyphen/>
        <w:t>ки Т-26 и прототипы Т-35, первый образец ПС-2, смонтиро</w:t>
      </w:r>
      <w:r w:rsidRPr="007122AB">
        <w:rPr>
          <w:rFonts w:ascii="Times New Roman" w:hAnsi="Times New Roman"/>
          <w:color w:val="000000" w:themeColor="text1"/>
          <w:sz w:val="16"/>
          <w:szCs w:val="16"/>
        </w:rPr>
        <w:softHyphen/>
        <w:t>ванный в ТГ, отличался большей длиной ствола (10733,249).</w:t>
      </w:r>
    </w:p>
    <w:p w14:paraId="034DD3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2E3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был предложен проект манев</w:t>
      </w:r>
      <w:r w:rsidRPr="007122AB">
        <w:rPr>
          <w:rFonts w:ascii="Times New Roman" w:hAnsi="Times New Roman"/>
          <w:color w:val="000000" w:themeColor="text1"/>
          <w:sz w:val="16"/>
          <w:szCs w:val="16"/>
        </w:rPr>
        <w:softHyphen/>
        <w:t>ренного (среднего) танка под индексом Т-1001, или ТА-1 (некоторые расшифровывают его как «танк Асафова»). Танк должен был позаимствовать вооружение от ТГ (76-мм пушка А-19, 37-мм пушка ПС-2, 5 пулеметов). Но ходовая часть и трансмиссия должны были стать проще и надежнее. Конструкторами была выбрана индивидуальная пру</w:t>
      </w:r>
      <w:r w:rsidRPr="007122AB">
        <w:rPr>
          <w:rFonts w:ascii="Times New Roman" w:hAnsi="Times New Roman"/>
          <w:color w:val="000000" w:themeColor="text1"/>
          <w:sz w:val="16"/>
          <w:szCs w:val="16"/>
        </w:rPr>
        <w:softHyphen/>
        <w:t>жинная подвеска Кристи на пяти парах катков, а также гусеница гребневого зацепления по типу Кристи. В качес</w:t>
      </w:r>
      <w:r w:rsidRPr="007122AB">
        <w:rPr>
          <w:rFonts w:ascii="Times New Roman" w:hAnsi="Times New Roman"/>
          <w:color w:val="000000" w:themeColor="text1"/>
          <w:sz w:val="16"/>
          <w:szCs w:val="16"/>
        </w:rPr>
        <w:softHyphen/>
        <w:t>тве силового агрегата первоначально думали применить мотор «Либерти», но поскольку авиапромышленность осваивала лицензионный выпуск BMW-IV, проект был скорректирован под него. Внешне танк напоминал машину Гроте, и его вооруже</w:t>
      </w:r>
      <w:r w:rsidRPr="007122AB">
        <w:rPr>
          <w:rFonts w:ascii="Times New Roman" w:hAnsi="Times New Roman"/>
          <w:color w:val="000000" w:themeColor="text1"/>
          <w:sz w:val="16"/>
          <w:szCs w:val="16"/>
        </w:rPr>
        <w:softHyphen/>
        <w:t>ние также располагалось в три яруса, но в виду того, что бое</w:t>
      </w:r>
      <w:r w:rsidRPr="007122AB">
        <w:rPr>
          <w:rFonts w:ascii="Times New Roman" w:hAnsi="Times New Roman"/>
          <w:color w:val="000000" w:themeColor="text1"/>
          <w:sz w:val="16"/>
          <w:szCs w:val="16"/>
        </w:rPr>
        <w:softHyphen/>
        <w:t>комплект в башнях был размещен вдоль стенок стоймя, а индивидуальная пружинная подвеска имела большой ход опорных катков, установить два бортовых пулемета не пред</w:t>
      </w:r>
      <w:r w:rsidRPr="007122AB">
        <w:rPr>
          <w:rFonts w:ascii="Times New Roman" w:hAnsi="Times New Roman"/>
          <w:color w:val="000000" w:themeColor="text1"/>
          <w:sz w:val="16"/>
          <w:szCs w:val="16"/>
        </w:rPr>
        <w:softHyphen/>
        <w:t>ставлялось возможным. Поэтому зачетная версия Т-1001 имела лишь три пулемета (курсовой и кормовые башенные). Куполообразные (полусферические) башни танка, защи</w:t>
      </w:r>
      <w:r w:rsidRPr="007122AB">
        <w:rPr>
          <w:rFonts w:ascii="Times New Roman" w:hAnsi="Times New Roman"/>
          <w:color w:val="000000" w:themeColor="text1"/>
          <w:sz w:val="16"/>
          <w:szCs w:val="16"/>
        </w:rPr>
        <w:softHyphen/>
        <w:t xml:space="preserve">щенные броней 13 (малая) и 20 мм (большая), предлагалось изготавливать штамповкой и сваркой. Командир и механик-водитель имели стробоскопические приборы наблюдения. Боевой вес танка должен был составить 18—18,5 т и иметь максимальную скорость движения по шоссе не менее Проект Т-3 рассматривался в начале 1932 г. в качестве возможного кандидата на серийное производство, но по целому ряду критериев победил </w:t>
      </w:r>
      <w:proofErr w:type="spellStart"/>
      <w:r w:rsidRPr="007122AB">
        <w:rPr>
          <w:rFonts w:ascii="Times New Roman" w:hAnsi="Times New Roman"/>
          <w:color w:val="000000" w:themeColor="text1"/>
          <w:sz w:val="16"/>
          <w:szCs w:val="16"/>
        </w:rPr>
        <w:t>пятибашенный</w:t>
      </w:r>
      <w:proofErr w:type="spellEnd"/>
      <w:r w:rsidRPr="007122AB">
        <w:rPr>
          <w:rFonts w:ascii="Times New Roman" w:hAnsi="Times New Roman"/>
          <w:color w:val="000000" w:themeColor="text1"/>
          <w:sz w:val="16"/>
          <w:szCs w:val="16"/>
        </w:rPr>
        <w:t xml:space="preserve"> Т-35 (10733,255).</w:t>
      </w:r>
    </w:p>
    <w:p w14:paraId="5EAD97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D28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КГ в составе Асафова, Алексеева и Скворцова, созданная весной 1931 по заданию ЭКО ОГПУ ЛВО, разработала проект среднего танка с мощным вооружением ТА-1 - первый из трех, разработанных до осени (9527,117).</w:t>
      </w:r>
    </w:p>
    <w:p w14:paraId="76512B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F734CA" w14:textId="77777777" w:rsidR="00354892" w:rsidRPr="007122AB" w:rsidRDefault="003548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 В верхней вращающейся башне была установлена 37-мм пушка конструкции </w:t>
      </w:r>
      <w:proofErr w:type="spellStart"/>
      <w:r w:rsidRPr="007122AB">
        <w:rPr>
          <w:rFonts w:ascii="Times New Roman" w:hAnsi="Times New Roman"/>
          <w:color w:val="000000" w:themeColor="text1"/>
          <w:sz w:val="16"/>
          <w:szCs w:val="16"/>
        </w:rPr>
        <w:t>Сячентова</w:t>
      </w:r>
      <w:proofErr w:type="spellEnd"/>
      <w:r w:rsidRPr="007122AB">
        <w:rPr>
          <w:rFonts w:ascii="Times New Roman" w:hAnsi="Times New Roman"/>
          <w:color w:val="000000" w:themeColor="text1"/>
          <w:sz w:val="16"/>
          <w:szCs w:val="16"/>
        </w:rPr>
        <w:t>, с возможностью стрельбы по воздушным целям. В нижней неподвижной боевой рубке размещалось 76-мм танковое орудие конструкции Гроте-</w:t>
      </w:r>
      <w:proofErr w:type="spellStart"/>
      <w:r w:rsidRPr="007122AB">
        <w:rPr>
          <w:rFonts w:ascii="Times New Roman" w:hAnsi="Times New Roman"/>
          <w:color w:val="000000" w:themeColor="text1"/>
          <w:sz w:val="16"/>
          <w:szCs w:val="16"/>
        </w:rPr>
        <w:t>Сячентова</w:t>
      </w:r>
      <w:proofErr w:type="spellEnd"/>
      <w:r w:rsidRPr="007122AB">
        <w:rPr>
          <w:rFonts w:ascii="Times New Roman" w:hAnsi="Times New Roman"/>
          <w:color w:val="000000" w:themeColor="text1"/>
          <w:sz w:val="16"/>
          <w:szCs w:val="16"/>
        </w:rPr>
        <w:t xml:space="preserve"> и три пулемёта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00B10121" w14:textId="77777777" w:rsidR="00354892" w:rsidRPr="007122AB" w:rsidRDefault="00354892" w:rsidP="007122AB">
      <w:pPr>
        <w:spacing w:after="0" w:line="240" w:lineRule="auto"/>
        <w:jc w:val="both"/>
        <w:rPr>
          <w:rFonts w:ascii="Times New Roman" w:hAnsi="Times New Roman"/>
          <w:color w:val="000000" w:themeColor="text1"/>
          <w:sz w:val="16"/>
          <w:szCs w:val="16"/>
        </w:rPr>
      </w:pPr>
    </w:p>
    <w:p w14:paraId="2184F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завод № 2 ВАТО изготовил малый трактор на базе легкого танка Т-18 и в июне он прошел испытания на научном инженерно-техническом полигоне РККА. Из-за малого хода, маломощного двигателя и сложности в эксплуатации работы по машине прекратили (9527,211)</w:t>
      </w:r>
    </w:p>
    <w:p w14:paraId="05049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апрель 1931 года реальных производственных мощностей по иприту было уже на 15 800 тонн и строились заводы еще на 18 000 тонн иприта (9633).</w:t>
      </w:r>
    </w:p>
    <w:p w14:paraId="1BC919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E58D0E"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заказ на танки Т-24 был сокращен до 80, а затем и до 24 машин (постановление Комиссии обороны СССР от 23 мая 1931 г.) (12303).</w:t>
      </w:r>
    </w:p>
    <w:p w14:paraId="5D60F99C"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6C54BB9C"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течение апреля—июня 1931 г. представители УММ РККА П.С. Озеров и В.И. Заславский внесли в конструкцию Т-24 около 200 различных изменений.9 июля 1931 г. завод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w:t>
      </w:r>
      <w:proofErr w:type="spellStart"/>
      <w:r w:rsidRPr="007122AB">
        <w:rPr>
          <w:rFonts w:ascii="Times New Roman" w:hAnsi="Times New Roman"/>
          <w:color w:val="000000" w:themeColor="text1"/>
          <w:sz w:val="16"/>
          <w:szCs w:val="16"/>
        </w:rPr>
        <w:t>пово-рачиваемость</w:t>
      </w:r>
      <w:proofErr w:type="spellEnd"/>
      <w:r w:rsidRPr="007122AB">
        <w:rPr>
          <w:rFonts w:ascii="Times New Roman" w:hAnsi="Times New Roman"/>
          <w:color w:val="000000" w:themeColor="text1"/>
          <w:sz w:val="16"/>
          <w:szCs w:val="16"/>
        </w:rPr>
        <w:t xml:space="preserve"> машины на месте на третьей и даже на четвертой </w:t>
      </w:r>
      <w:proofErr w:type="spellStart"/>
      <w:r w:rsidRPr="007122AB">
        <w:rPr>
          <w:rFonts w:ascii="Times New Roman" w:hAnsi="Times New Roman"/>
          <w:color w:val="000000" w:themeColor="text1"/>
          <w:sz w:val="16"/>
          <w:szCs w:val="16"/>
        </w:rPr>
        <w:t>скоростях.В</w:t>
      </w:r>
      <w:proofErr w:type="spellEnd"/>
      <w:r w:rsidRPr="007122AB">
        <w:rPr>
          <w:rFonts w:ascii="Times New Roman" w:hAnsi="Times New Roman"/>
          <w:color w:val="000000" w:themeColor="text1"/>
          <w:sz w:val="16"/>
          <w:szCs w:val="16"/>
        </w:rPr>
        <w:t xml:space="preserve">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09AE416B"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7D104F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был готов малый (легковой) трактор РККА с использованием узлов Т-16, спроектированный ГКБ ГАУ и изготовленный 2-м автозаводом ВАТО (4243,31).</w:t>
      </w:r>
    </w:p>
    <w:p w14:paraId="75B98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5632E1" w14:textId="77777777" w:rsidR="00F61E05" w:rsidRPr="007122AB" w:rsidRDefault="00F61E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 по постановлению Особого совещания при коллегии ОГПУ на основании ст. 58-10 УК РСФСР ученого приговорили «к заключению сроком на 3 года с отбыванием заключения в концлагере – ИТЛ».</w:t>
      </w:r>
    </w:p>
    <w:p w14:paraId="25EAB237" w14:textId="77777777" w:rsidR="00F61E05" w:rsidRPr="007122AB" w:rsidRDefault="00F61E0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Брилинг</w:t>
      </w:r>
      <w:proofErr w:type="spellEnd"/>
      <w:r w:rsidRPr="007122AB">
        <w:rPr>
          <w:rFonts w:ascii="Times New Roman" w:hAnsi="Times New Roman"/>
          <w:color w:val="000000" w:themeColor="text1"/>
          <w:sz w:val="16"/>
          <w:szCs w:val="16"/>
        </w:rPr>
        <w:t xml:space="preserve"> заведовал бюро по проектированию </w:t>
      </w:r>
      <w:proofErr w:type="spellStart"/>
      <w:r w:rsidRPr="007122AB">
        <w:rPr>
          <w:rFonts w:ascii="Times New Roman" w:hAnsi="Times New Roman"/>
          <w:color w:val="000000" w:themeColor="text1"/>
          <w:sz w:val="16"/>
          <w:szCs w:val="16"/>
        </w:rPr>
        <w:t>автотанковых</w:t>
      </w:r>
      <w:proofErr w:type="spellEnd"/>
      <w:r w:rsidRPr="007122AB">
        <w:rPr>
          <w:rFonts w:ascii="Times New Roman" w:hAnsi="Times New Roman"/>
          <w:color w:val="000000" w:themeColor="text1"/>
          <w:sz w:val="16"/>
          <w:szCs w:val="16"/>
        </w:rPr>
        <w:t xml:space="preserve"> и авиационных двигателей. ОГПУ организовало бюро в самом центре Москвы, на Никольской улице. В нем при заводе № 24 в Москве создавался двухтактный дизель Н-5 (Н – нефтяной) мощностью 2000 л.с., массой 3000 кг. Другое название, данное двигателю заключенными, – ФЭД-8 (Феликс Эдмундович Дзержинский). Также в ОКБ были спроектированы и прошли испытания дизельные двигатели ЯГГ (Г.Г. Ягода). В «традициях» шарашки было и название «</w:t>
      </w:r>
      <w:proofErr w:type="spellStart"/>
      <w:r w:rsidRPr="007122AB">
        <w:rPr>
          <w:rFonts w:ascii="Times New Roman" w:hAnsi="Times New Roman"/>
          <w:color w:val="000000" w:themeColor="text1"/>
          <w:sz w:val="16"/>
          <w:szCs w:val="16"/>
        </w:rPr>
        <w:t>Коджу</w:t>
      </w:r>
      <w:proofErr w:type="spellEnd"/>
      <w:r w:rsidRPr="007122AB">
        <w:rPr>
          <w:rFonts w:ascii="Times New Roman" w:hAnsi="Times New Roman"/>
          <w:color w:val="000000" w:themeColor="text1"/>
          <w:sz w:val="16"/>
          <w:szCs w:val="16"/>
        </w:rPr>
        <w:t>» – Коба Джугашвили.</w:t>
      </w:r>
    </w:p>
    <w:p w14:paraId="37C39E9B" w14:textId="77777777" w:rsidR="00F61E05" w:rsidRPr="007122AB" w:rsidRDefault="00F61E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Ученый заведовал ОПБ НКВД до 1933 г., когда были освобождены другие двигателисты. Провести конкурсные испытания дизельных автомобилей и дать рекомендации для внедрения их в отечественную промышленность НАТИ (НАМИ) обязывалось постановлением ВСНХ еще в октябре 1930 г. (21328).</w:t>
      </w:r>
    </w:p>
    <w:p w14:paraId="66A863BE" w14:textId="77777777" w:rsidR="00F61E05" w:rsidRPr="007122AB" w:rsidRDefault="00F61E05" w:rsidP="007122AB">
      <w:pPr>
        <w:spacing w:after="0" w:line="240" w:lineRule="auto"/>
        <w:jc w:val="both"/>
        <w:rPr>
          <w:rFonts w:ascii="Times New Roman" w:hAnsi="Times New Roman"/>
          <w:color w:val="000000" w:themeColor="text1"/>
          <w:sz w:val="16"/>
          <w:szCs w:val="16"/>
        </w:rPr>
      </w:pPr>
    </w:p>
    <w:p w14:paraId="6AA027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года доработать бронемашину «Форд-А» с башней или «Форд-А» Рож</w:t>
      </w:r>
      <w:r w:rsidRPr="007122AB">
        <w:rPr>
          <w:rFonts w:ascii="Times New Roman" w:hAnsi="Times New Roman"/>
          <w:color w:val="000000" w:themeColor="text1"/>
          <w:sz w:val="16"/>
          <w:szCs w:val="16"/>
        </w:rPr>
        <w:softHyphen/>
        <w:t xml:space="preserve">кова поручили все тому же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Однако конструктор не был за</w:t>
      </w:r>
      <w:r w:rsidRPr="007122AB">
        <w:rPr>
          <w:rFonts w:ascii="Times New Roman" w:hAnsi="Times New Roman"/>
          <w:color w:val="000000" w:themeColor="text1"/>
          <w:sz w:val="16"/>
          <w:szCs w:val="16"/>
        </w:rPr>
        <w:softHyphen/>
        <w:t>интересован в доводке «чужой» машины — он всеми силами «проталкивал» производство своих бронемашин Д-8 и Д-12, а также другие свои проекты. Поэтому вплоть до весны 1932 года работы по усовершенствованию *Форда-А» с башней не проводились (11284).</w:t>
      </w:r>
    </w:p>
    <w:p w14:paraId="1D22A6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D58D3" w14:textId="6666D566"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Апрель 1931 стал месяцем настоящего штурма: не имея никакого опыта, работники ХАСЗ раскрывали одну за другой тайны производства мотоциклов.</w:t>
      </w:r>
    </w:p>
    <w:p w14:paraId="7925876B" w14:textId="4124F484"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Заводу явно не хватало ква-</w:t>
      </w:r>
      <w:proofErr w:type="spellStart"/>
      <w:r w:rsidRPr="007122AB">
        <w:rPr>
          <w:rFonts w:ascii="Times New Roman" w:hAnsi="Times New Roman"/>
          <w:color w:val="000000" w:themeColor="text1"/>
          <w:sz w:val="16"/>
          <w:szCs w:val="16"/>
        </w:rPr>
        <w:t>лифицированных</w:t>
      </w:r>
      <w:proofErr w:type="spellEnd"/>
      <w:r w:rsidRPr="007122AB">
        <w:rPr>
          <w:rFonts w:ascii="Times New Roman" w:hAnsi="Times New Roman"/>
          <w:color w:val="000000" w:themeColor="text1"/>
          <w:sz w:val="16"/>
          <w:szCs w:val="16"/>
        </w:rPr>
        <w:t xml:space="preserve"> специалистов. Не в последнюю очередь это было вызвано неудобным </w:t>
      </w:r>
      <w:proofErr w:type="spellStart"/>
      <w:r w:rsidRPr="007122AB">
        <w:rPr>
          <w:rFonts w:ascii="Times New Roman" w:hAnsi="Times New Roman"/>
          <w:color w:val="000000" w:themeColor="text1"/>
          <w:sz w:val="16"/>
          <w:szCs w:val="16"/>
        </w:rPr>
        <w:t>расположе-нием</w:t>
      </w:r>
      <w:proofErr w:type="spellEnd"/>
      <w:r w:rsidRPr="007122AB">
        <w:rPr>
          <w:rFonts w:ascii="Times New Roman" w:hAnsi="Times New Roman"/>
          <w:color w:val="000000" w:themeColor="text1"/>
          <w:sz w:val="16"/>
          <w:szCs w:val="16"/>
        </w:rPr>
        <w:t xml:space="preserve"> предприятия: сойдя с </w:t>
      </w:r>
      <w:proofErr w:type="spellStart"/>
      <w:r w:rsidRPr="007122AB">
        <w:rPr>
          <w:rFonts w:ascii="Times New Roman" w:hAnsi="Times New Roman"/>
          <w:color w:val="000000" w:themeColor="text1"/>
          <w:sz w:val="16"/>
          <w:szCs w:val="16"/>
        </w:rPr>
        <w:t>трам-вая</w:t>
      </w:r>
      <w:proofErr w:type="spellEnd"/>
      <w:r w:rsidRPr="007122AB">
        <w:rPr>
          <w:rFonts w:ascii="Times New Roman" w:hAnsi="Times New Roman"/>
          <w:color w:val="000000" w:themeColor="text1"/>
          <w:sz w:val="16"/>
          <w:szCs w:val="16"/>
        </w:rPr>
        <w:t xml:space="preserve"> на конечной остановке, надо было идти километра два Ивановкой, потом еще километр бе-</w:t>
      </w:r>
      <w:proofErr w:type="spellStart"/>
      <w:r w:rsidRPr="007122AB">
        <w:rPr>
          <w:rFonts w:ascii="Times New Roman" w:hAnsi="Times New Roman"/>
          <w:color w:val="000000" w:themeColor="text1"/>
          <w:sz w:val="16"/>
          <w:szCs w:val="16"/>
        </w:rPr>
        <w:t>регом</w:t>
      </w:r>
      <w:proofErr w:type="spellEnd"/>
      <w:r w:rsidRPr="007122AB">
        <w:rPr>
          <w:rFonts w:ascii="Times New Roman" w:hAnsi="Times New Roman"/>
          <w:color w:val="000000" w:themeColor="text1"/>
          <w:sz w:val="16"/>
          <w:szCs w:val="16"/>
        </w:rPr>
        <w:t xml:space="preserve"> Лопани. Летом - куда ни шло, а в остальные поры года, да еще по ночам... В общем - небезопасно. Да еще горсовет </w:t>
      </w:r>
      <w:proofErr w:type="spellStart"/>
      <w:r w:rsidRPr="007122AB">
        <w:rPr>
          <w:rFonts w:ascii="Times New Roman" w:hAnsi="Times New Roman"/>
          <w:color w:val="000000" w:themeColor="text1"/>
          <w:sz w:val="16"/>
          <w:szCs w:val="16"/>
        </w:rPr>
        <w:t>отме-нил</w:t>
      </w:r>
      <w:proofErr w:type="spellEnd"/>
      <w:r w:rsidRPr="007122AB">
        <w:rPr>
          <w:rFonts w:ascii="Times New Roman" w:hAnsi="Times New Roman"/>
          <w:color w:val="000000" w:themeColor="text1"/>
          <w:sz w:val="16"/>
          <w:szCs w:val="16"/>
        </w:rPr>
        <w:t xml:space="preserve"> автобусный маршрут. Поэтому и работали на заводе в основном проживающие </w:t>
      </w:r>
      <w:proofErr w:type="spellStart"/>
      <w:r w:rsidRPr="007122AB">
        <w:rPr>
          <w:rFonts w:ascii="Times New Roman" w:hAnsi="Times New Roman"/>
          <w:color w:val="000000" w:themeColor="text1"/>
          <w:sz w:val="16"/>
          <w:szCs w:val="16"/>
        </w:rPr>
        <w:t>по-соседству</w:t>
      </w:r>
      <w:proofErr w:type="spellEnd"/>
      <w:r w:rsidRPr="007122AB">
        <w:rPr>
          <w:rFonts w:ascii="Times New Roman" w:hAnsi="Times New Roman"/>
          <w:color w:val="000000" w:themeColor="text1"/>
          <w:sz w:val="16"/>
          <w:szCs w:val="16"/>
        </w:rPr>
        <w:t>.</w:t>
      </w:r>
    </w:p>
    <w:p w14:paraId="2FC8FBDF" w14:textId="120767C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Никто не помог заводчанам получить ни грамотную техническую документацию, ни консультацию. Решили обойтись своими силами. Долго не ладилось с отливкой цилиндров и картеров - научились, в конце концов. Сказался-таки 35-летний стаж бригадира литейщиков Лапина, сумел он настроить коллектив, пошло качество.</w:t>
      </w:r>
    </w:p>
    <w:p w14:paraId="4C737859" w14:textId="4752B715"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Рабочие Майборода, Радионов, Зозуля, Антипенко, Попов, конструктор мотоциклов Солдатенко, руководитель выпуска Юсфин, главный инженер Куд-</w:t>
      </w:r>
      <w:proofErr w:type="spellStart"/>
      <w:r w:rsidRPr="007122AB">
        <w:rPr>
          <w:rFonts w:ascii="Times New Roman" w:hAnsi="Times New Roman"/>
          <w:color w:val="000000" w:themeColor="text1"/>
          <w:sz w:val="16"/>
          <w:szCs w:val="16"/>
        </w:rPr>
        <w:t>рявцев</w:t>
      </w:r>
      <w:proofErr w:type="spellEnd"/>
      <w:r w:rsidRPr="007122AB">
        <w:rPr>
          <w:rFonts w:ascii="Times New Roman" w:hAnsi="Times New Roman"/>
          <w:color w:val="000000" w:themeColor="text1"/>
          <w:sz w:val="16"/>
          <w:szCs w:val="16"/>
        </w:rPr>
        <w:t xml:space="preserve"> - все они в условиях нехватки стали, инструментов, литья - работали последние полтора месяца по 20-23 часа в сутки и обеспечили-таки выпуск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-циклов "ХМЗ" в срок. За 25 дней сделали 6 моделей ПЕРВЫХ советских мотоциклов ПОЛНОС-ТЬЮ ИЗ ОТЕЧЕСТВЕННЫХ МАТЕРИАЛОВ (11602).</w:t>
      </w:r>
    </w:p>
    <w:p w14:paraId="04DCBC1D"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1CCA3" w14:textId="77777777" w:rsidR="003E2874" w:rsidRPr="007122AB" w:rsidRDefault="003E2874"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 апреле 1931 г. в Москве, в Пассаже на Петровке, открылась выставка, на которой демонстрировались девять самых разных глиссеров с воздушными винтами и один </w:t>
      </w:r>
      <w:proofErr w:type="spellStart"/>
      <w:r w:rsidRPr="007122AB">
        <w:rPr>
          <w:rFonts w:ascii="Times New Roman" w:hAnsi="Times New Roman"/>
          <w:color w:val="000000" w:themeColor="text1"/>
          <w:sz w:val="16"/>
          <w:szCs w:val="16"/>
          <w:shd w:val="clear" w:color="auto" w:fill="FFFFFF"/>
        </w:rPr>
        <w:t>реданный</w:t>
      </w:r>
      <w:proofErr w:type="spellEnd"/>
      <w:r w:rsidRPr="007122AB">
        <w:rPr>
          <w:rFonts w:ascii="Times New Roman" w:hAnsi="Times New Roman"/>
          <w:color w:val="000000" w:themeColor="text1"/>
          <w:sz w:val="16"/>
          <w:szCs w:val="16"/>
          <w:shd w:val="clear" w:color="auto" w:fill="FFFFFF"/>
        </w:rPr>
        <w:t xml:space="preserve"> глиссер под подвесной мотор. Проходила выставка под лозунгами: «Поставим новейшие виды моторного транспорта на службу пролетариату! Даешь серийный выпуск глиссеров!» Об экспонатах этой выставки подробно рассказывается в статье Г. С. Малиновского «Глиссеры тридцатых годов» (</w:t>
      </w:r>
      <w:hyperlink r:id="rId83" w:history="1">
        <w:r w:rsidRPr="007122AB">
          <w:rPr>
            <w:rStyle w:val="a5"/>
            <w:rFonts w:ascii="Times New Roman" w:hAnsi="Times New Roman"/>
            <w:color w:val="000000" w:themeColor="text1"/>
            <w:sz w:val="16"/>
            <w:szCs w:val="16"/>
            <w:shd w:val="clear" w:color="auto" w:fill="FFFFFF"/>
          </w:rPr>
          <w:t>сборник №11</w:t>
        </w:r>
      </w:hyperlink>
      <w:r w:rsidRPr="007122AB">
        <w:rPr>
          <w:rFonts w:ascii="Times New Roman" w:hAnsi="Times New Roman"/>
          <w:color w:val="000000" w:themeColor="text1"/>
          <w:sz w:val="16"/>
          <w:szCs w:val="16"/>
          <w:shd w:val="clear" w:color="auto" w:fill="FFFFFF"/>
        </w:rPr>
        <w:t>), к которой мы и отсылаем читателя. Отметим только, что глиссеров, равных 40-местному «Автодору-16», не имелось тогда нигде в мире! (21503).</w:t>
      </w:r>
    </w:p>
    <w:p w14:paraId="15546CF3" w14:textId="77777777" w:rsidR="003E2874" w:rsidRPr="007122AB" w:rsidRDefault="003E2874" w:rsidP="007122AB">
      <w:pPr>
        <w:spacing w:after="0" w:line="240" w:lineRule="auto"/>
        <w:jc w:val="both"/>
        <w:rPr>
          <w:rFonts w:ascii="Times New Roman" w:hAnsi="Times New Roman"/>
          <w:color w:val="000000" w:themeColor="text1"/>
          <w:sz w:val="16"/>
          <w:szCs w:val="16"/>
          <w:shd w:val="clear" w:color="auto" w:fill="FFFFFF"/>
        </w:rPr>
      </w:pPr>
    </w:p>
    <w:p w14:paraId="2329467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1819B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2513D0" w14:textId="77777777" w:rsidR="002D39AF" w:rsidRPr="007122AB" w:rsidRDefault="002D39AF"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В апреле 1931 г. инструкторы Л.Г. </w:t>
      </w:r>
      <w:proofErr w:type="spellStart"/>
      <w:r w:rsidRPr="007122AB">
        <w:rPr>
          <w:rFonts w:ascii="Times New Roman" w:hAnsi="Times New Roman" w:cs="Times New Roman"/>
          <w:color w:val="000000" w:themeColor="text1"/>
        </w:rPr>
        <w:t>Минов</w:t>
      </w:r>
      <w:proofErr w:type="spellEnd"/>
      <w:r w:rsidRPr="007122AB">
        <w:rPr>
          <w:rFonts w:ascii="Times New Roman" w:hAnsi="Times New Roman" w:cs="Times New Roman"/>
          <w:color w:val="000000" w:themeColor="text1"/>
        </w:rPr>
        <w:t xml:space="preserve"> и Я.Д. Мошковский прибыли в Евпаторию для обучения личного состава 29-й эскадрильи с тремя тренировочными парашютами «Ирвин». Летчики прыгали с самолетов Р-1 и Фоккер. 23 апреля, совершая учебный прыжок, погиб командир отряда Журавлев. В свободном падении он перевернулся и вытяжной парашютик зацепился за голову, а потом оторвался. Купол раскрылся не полностью и не симметрично. Журавлев попытался открыть запасной парашют, но это имело место уже в 10 - 12 м над землей. Летчик умер от сотрясения мозга. Через два дня Мошковский демонстративно прыгнул с парашютом покойного Журавлева и благополучно приземлился. Обучение дало свои результаты: 6 июня летчик Ямпольский успешно выпрыгнул из истребителя И-4, у которого на выходе из пикирования оторвалось верхнее крыло.</w:t>
      </w:r>
    </w:p>
    <w:p w14:paraId="7D75FC36" w14:textId="77777777" w:rsidR="002D39AF" w:rsidRPr="007122AB" w:rsidRDefault="002D39AF"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Парашюты еще не раз спасали жизни летчикам. 16 сентября 1931 г. командир отряда Батрак при сборе группы истребителей в воздухе столкнулся с командиром </w:t>
      </w:r>
      <w:r w:rsidRPr="007122AB">
        <w:rPr>
          <w:rFonts w:ascii="Times New Roman" w:hAnsi="Times New Roman" w:cs="Times New Roman"/>
          <w:color w:val="000000" w:themeColor="text1"/>
        </w:rPr>
        <w:lastRenderedPageBreak/>
        <w:t>другого отряда Цыбулько. Оба И-4 перешли в беспорядочное падение. На высоте около 900 м летчики воспользовались парашютами. Батрак, при столкновении получивший серьезное ранение головы, во время спуска потерял сознание, но приземлились оба пилота благополучно (19100).</w:t>
      </w:r>
    </w:p>
    <w:p w14:paraId="32598D44" w14:textId="77777777" w:rsidR="002D39AF" w:rsidRPr="007122AB" w:rsidRDefault="002D39AF" w:rsidP="007122AB">
      <w:pPr>
        <w:pStyle w:val="a8"/>
        <w:jc w:val="both"/>
        <w:rPr>
          <w:rFonts w:ascii="Times New Roman" w:hAnsi="Times New Roman" w:cs="Times New Roman"/>
          <w:color w:val="000000" w:themeColor="text1"/>
        </w:rPr>
      </w:pPr>
    </w:p>
    <w:p w14:paraId="308D4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апреля 1931 против туркменских кочевников, кочевавших в пустыне Каракумы бросили Туркменскую авиагруппу.</w:t>
      </w:r>
    </w:p>
    <w:p w14:paraId="371175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Кочевники грабили небольшие населенные пункты, имели место столкновения с милицией и воинскими подразделениями. Туркмены показали себя хорошими бойцами, дисциплинированными, стойкими, владеющими тактикой партизанской войны. Посланные против них отряды частенько попадали в засады.</w:t>
      </w:r>
    </w:p>
    <w:p w14:paraId="33D20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Вначале Туркменская авиагруппа состояла из одного усиленного отряда 37-й эскадрильи и включала 15 самолетов. Семь машин разместили в Кызыл-</w:t>
      </w:r>
      <w:proofErr w:type="spellStart"/>
      <w:r w:rsidRPr="007122AB">
        <w:rPr>
          <w:rFonts w:ascii="Times New Roman" w:hAnsi="Times New Roman"/>
          <w:color w:val="000000" w:themeColor="text1"/>
          <w:sz w:val="16"/>
          <w:szCs w:val="16"/>
        </w:rPr>
        <w:t>Арвате</w:t>
      </w:r>
      <w:proofErr w:type="spellEnd"/>
      <w:r w:rsidRPr="007122AB">
        <w:rPr>
          <w:rFonts w:ascii="Times New Roman" w:hAnsi="Times New Roman"/>
          <w:color w:val="000000" w:themeColor="text1"/>
          <w:sz w:val="16"/>
          <w:szCs w:val="16"/>
        </w:rPr>
        <w:t xml:space="preserve">, пять - в Ташаузе и три - в Кушке. Первый боевой вылет совершил командир 35-го отряда А.И. </w:t>
      </w:r>
      <w:proofErr w:type="spellStart"/>
      <w:r w:rsidRPr="007122AB">
        <w:rPr>
          <w:rFonts w:ascii="Times New Roman" w:hAnsi="Times New Roman"/>
          <w:color w:val="000000" w:themeColor="text1"/>
          <w:sz w:val="16"/>
          <w:szCs w:val="16"/>
        </w:rPr>
        <w:t>Калюжнов</w:t>
      </w:r>
      <w:proofErr w:type="spellEnd"/>
      <w:r w:rsidRPr="007122AB">
        <w:rPr>
          <w:rFonts w:ascii="Times New Roman" w:hAnsi="Times New Roman"/>
          <w:color w:val="000000" w:themeColor="text1"/>
          <w:sz w:val="16"/>
          <w:szCs w:val="16"/>
        </w:rPr>
        <w:t xml:space="preserve"> утром 7 апреля. Но в ходе разведки удалось обнаружить только пасущийся скот. Позже в тот же день встретили и первых басмачей. Около 20 конников спускались в долину, при появлении самолета они рассеялись.</w:t>
      </w:r>
    </w:p>
    <w:p w14:paraId="1B27F1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следующий день сбросили первые бомбы на небольшие группы численностью до 50 человек. 10 апреля у кишлака </w:t>
      </w:r>
      <w:proofErr w:type="spellStart"/>
      <w:r w:rsidRPr="007122AB">
        <w:rPr>
          <w:rFonts w:ascii="Times New Roman" w:hAnsi="Times New Roman"/>
          <w:color w:val="000000" w:themeColor="text1"/>
          <w:sz w:val="16"/>
          <w:szCs w:val="16"/>
        </w:rPr>
        <w:t>Шурга</w:t>
      </w:r>
      <w:proofErr w:type="spellEnd"/>
      <w:r w:rsidRPr="007122AB">
        <w:rPr>
          <w:rFonts w:ascii="Times New Roman" w:hAnsi="Times New Roman"/>
          <w:color w:val="000000" w:themeColor="text1"/>
          <w:sz w:val="16"/>
          <w:szCs w:val="16"/>
        </w:rPr>
        <w:t xml:space="preserve"> обнаружили банду уже в 200 сабель. Ее атаковало звено Р-ЗЛД.</w:t>
      </w:r>
    </w:p>
    <w:p w14:paraId="6667D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апреля летчики впервые попали под ответный огонь с земли. Басмачи обстреляли самолеты Мищенко и Недо- </w:t>
      </w:r>
      <w:proofErr w:type="spellStart"/>
      <w:r w:rsidRPr="007122AB">
        <w:rPr>
          <w:rFonts w:ascii="Times New Roman" w:hAnsi="Times New Roman"/>
          <w:color w:val="000000" w:themeColor="text1"/>
          <w:sz w:val="16"/>
          <w:szCs w:val="16"/>
        </w:rPr>
        <w:t>секина</w:t>
      </w:r>
      <w:proofErr w:type="spellEnd"/>
      <w:r w:rsidRPr="007122AB">
        <w:rPr>
          <w:rFonts w:ascii="Times New Roman" w:hAnsi="Times New Roman"/>
          <w:color w:val="000000" w:themeColor="text1"/>
          <w:sz w:val="16"/>
          <w:szCs w:val="16"/>
        </w:rPr>
        <w:t>.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392F3F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4939A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w:t>
      </w:r>
      <w:proofErr w:type="spellStart"/>
      <w:r w:rsidRPr="007122AB">
        <w:rPr>
          <w:rFonts w:ascii="Times New Roman" w:hAnsi="Times New Roman"/>
          <w:color w:val="000000" w:themeColor="text1"/>
          <w:sz w:val="16"/>
          <w:szCs w:val="16"/>
        </w:rPr>
        <w:t>басмшайкой</w:t>
      </w:r>
      <w:proofErr w:type="spellEnd"/>
      <w:r w:rsidRPr="007122AB">
        <w:rPr>
          <w:rFonts w:ascii="Times New Roman" w:hAnsi="Times New Roman"/>
          <w:color w:val="000000" w:themeColor="text1"/>
          <w:sz w:val="16"/>
          <w:szCs w:val="16"/>
        </w:rPr>
        <w:t>,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0D8B24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2DF86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2CEFC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41CC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w:t>
      </w:r>
      <w:proofErr w:type="spellStart"/>
      <w:r w:rsidRPr="007122AB">
        <w:rPr>
          <w:rFonts w:ascii="Times New Roman" w:hAnsi="Times New Roman"/>
          <w:color w:val="000000" w:themeColor="text1"/>
          <w:sz w:val="16"/>
          <w:szCs w:val="16"/>
        </w:rPr>
        <w:t>Б.М.Шапошников</w:t>
      </w:r>
      <w:proofErr w:type="spellEnd"/>
      <w:r w:rsidRPr="007122AB">
        <w:rPr>
          <w:rFonts w:ascii="Times New Roman" w:hAnsi="Times New Roman"/>
          <w:color w:val="000000" w:themeColor="text1"/>
          <w:sz w:val="16"/>
          <w:szCs w:val="16"/>
        </w:rPr>
        <w:t xml:space="preserve"> был наказан за конфликт с Тухачевским и назначен командующим </w:t>
      </w:r>
      <w:proofErr w:type="spellStart"/>
      <w:r w:rsidRPr="007122AB">
        <w:rPr>
          <w:rFonts w:ascii="Times New Roman" w:hAnsi="Times New Roman"/>
          <w:color w:val="000000" w:themeColor="text1"/>
          <w:sz w:val="16"/>
          <w:szCs w:val="16"/>
        </w:rPr>
        <w:t>ПриВВО</w:t>
      </w:r>
      <w:proofErr w:type="spellEnd"/>
      <w:r w:rsidRPr="007122AB">
        <w:rPr>
          <w:rFonts w:ascii="Times New Roman" w:hAnsi="Times New Roman"/>
          <w:color w:val="000000" w:themeColor="text1"/>
          <w:sz w:val="16"/>
          <w:szCs w:val="16"/>
        </w:rPr>
        <w:t xml:space="preserve"> (9089,137).</w:t>
      </w:r>
    </w:p>
    <w:p w14:paraId="484446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79C41D"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7" w:name="_Hlk80697084"/>
      <w:r w:rsidRPr="007122AB">
        <w:rPr>
          <w:rFonts w:ascii="Times New Roman" w:eastAsia="Times New Roman" w:hAnsi="Times New Roman"/>
          <w:color w:val="000000" w:themeColor="text1"/>
          <w:sz w:val="16"/>
          <w:szCs w:val="16"/>
          <w:lang w:eastAsia="ru-RU"/>
        </w:rPr>
        <w:t>Апрель 1931 г.</w:t>
      </w:r>
    </w:p>
    <w:p w14:paraId="30657E21"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ДОКЛАДНАЯ ЗАПИСКА ОГПУ В ЦК ВКП(б) (т. СТАЛИНУ) И РВС СССР (т. ВОРОШИЛОВУ)</w:t>
      </w:r>
    </w:p>
    <w:p w14:paraId="40A4798D"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О состоянии ПВО страны ПВО тыла страны</w:t>
      </w:r>
    </w:p>
    <w:p w14:paraId="00D7ED98"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Развитие вооруженных сил в сопредельных и зап. европейских государствах характеризуется значительным ростом бомбардировочной авиации и ее вооружения (включая применение OB), с расчетом использования не только для мощных ударов по войскам, но и по тыловым объектам.</w:t>
      </w:r>
    </w:p>
    <w:p w14:paraId="76C28BC0"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Состояние противовоздушной обороны в настоящее время находится не на надлежащей высоте — как в отношении вооружения и постановки научно-исследовательской работы, так и в отношении организации руководства.</w:t>
      </w:r>
    </w:p>
    <w:p w14:paraId="2078330C"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Руководство ПВО</w:t>
      </w:r>
    </w:p>
    <w:p w14:paraId="3E4B20C3"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Руководство ПВО страны до сих пор отсутствует. Нет единого руководящего органа по ПВО. НКВМ подходит к вопросам ПВО в основном с точки зрения узких интересов действующей армии, не руководя всем комплексом вопросов обороны страны.</w:t>
      </w:r>
    </w:p>
    <w:p w14:paraId="6334A4AA"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наркоматах, в особенности в ВСНХ, в руководстве ПВО — хаос, установки местам не даются, система пассивной обороны различных по характеру объектов не выработана, плана ПВО нет.</w:t>
      </w:r>
    </w:p>
    <w:p w14:paraId="759E0710"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Точных положений, кто за что отвечает в этом деле — нет.</w:t>
      </w:r>
    </w:p>
    <w:p w14:paraId="4A81F3F0"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РСФСР работа по ПВО тормозится из-за неурегулированности вопросов руководства ПВО (не ясна роль милиции, исполкомов, органов </w:t>
      </w:r>
      <w:proofErr w:type="spellStart"/>
      <w:r w:rsidRPr="007122AB">
        <w:rPr>
          <w:rFonts w:ascii="Times New Roman" w:eastAsia="Times New Roman" w:hAnsi="Times New Roman"/>
          <w:color w:val="000000" w:themeColor="text1"/>
          <w:sz w:val="16"/>
          <w:szCs w:val="16"/>
          <w:lang w:eastAsia="ru-RU"/>
        </w:rPr>
        <w:t>Военведа</w:t>
      </w:r>
      <w:proofErr w:type="spellEnd"/>
      <w:r w:rsidRPr="007122AB">
        <w:rPr>
          <w:rFonts w:ascii="Times New Roman" w:eastAsia="Times New Roman" w:hAnsi="Times New Roman"/>
          <w:color w:val="000000" w:themeColor="text1"/>
          <w:sz w:val="16"/>
          <w:szCs w:val="16"/>
          <w:lang w:eastAsia="ru-RU"/>
        </w:rPr>
        <w:t>). Вопрос упирается в отсутствие утвержденного положения об организации ПВО.</w:t>
      </w:r>
    </w:p>
    <w:p w14:paraId="7678133A"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План ПВО</w:t>
      </w:r>
    </w:p>
    <w:p w14:paraId="77869E7D"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План ПВО, составленный штабом и принятый РВС С не выполняется. Намеченные РВС С на 1931-32 гг. формирования частей ПВО в составе РККА отнесены в последующих планах на 1933–1934 гг.</w:t>
      </w:r>
    </w:p>
    <w:p w14:paraId="027B1C85"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Формирования, намеченные по линии в/охраны ВСНХ и НКПС, не создаются, т. к. план ПВО не утвержден правительством и для этих формирований не выделены кредиты.</w:t>
      </w:r>
    </w:p>
    <w:p w14:paraId="4801DE93"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Состояние средств ПВО в Союзе</w:t>
      </w:r>
    </w:p>
    <w:p w14:paraId="0AC49974"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Средства активной обороны: истребит. авиация, зенитная артиллерия, специальная зенитные пулеметы недостаточны в количественном и качественном отношении.</w:t>
      </w:r>
    </w:p>
    <w:p w14:paraId="333FBEC6"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Наше зенитное вооружение отстает от Запада на 8-10 лет. Число попаданий у нас и в Америке относится как 3,5:17.</w:t>
      </w:r>
    </w:p>
    <w:p w14:paraId="2F867E48"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Темпы выработки новых образцов зенитных орудий безобразно медленные: с 1927 г. поставлен вопрос о мелкокалиберной 37-мм зенитной пушке, но до сих пор она имеется только в опытных образцах. Зенитных пушек калибра 105 мм и 120 мм, которые имеются сейчас во Франции и в Англии, даже нет в проекте.</w:t>
      </w:r>
    </w:p>
    <w:p w14:paraId="55A76D84"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Средства пассивной обороны — аэростаты заграждения и лебедки к ним до сих пор УВВС окончательно не выработаны и заказ промышленности не сдан.</w:t>
      </w:r>
    </w:p>
    <w:p w14:paraId="1321473C"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Мощные дымовые приборы для маскировки стационарных объектов ВОХИМУ не выработаны, несмотря на неоднократные постановления РВС С.</w:t>
      </w:r>
    </w:p>
    <w:p w14:paraId="7EB679F2"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Состояние ПВО важнейших политических и экономических центров</w:t>
      </w:r>
    </w:p>
    <w:p w14:paraId="39713F1D"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ЛЕНИНГРАД. Минимальная оперативная потребность в средствах активной ПВО (включая внешнее и внутреннее кольцо обороны) для Ленинграда выражается в 5 эскадрилий, 16 </w:t>
      </w:r>
      <w:proofErr w:type="spellStart"/>
      <w:r w:rsidRPr="007122AB">
        <w:rPr>
          <w:rFonts w:ascii="Times New Roman" w:eastAsia="Times New Roman" w:hAnsi="Times New Roman"/>
          <w:color w:val="000000" w:themeColor="text1"/>
          <w:sz w:val="16"/>
          <w:szCs w:val="16"/>
          <w:lang w:eastAsia="ru-RU"/>
        </w:rPr>
        <w:t>зен</w:t>
      </w:r>
      <w:proofErr w:type="spellEnd"/>
      <w:r w:rsidRPr="007122AB">
        <w:rPr>
          <w:rFonts w:ascii="Times New Roman" w:eastAsia="Times New Roman" w:hAnsi="Times New Roman"/>
          <w:color w:val="000000" w:themeColor="text1"/>
          <w:sz w:val="16"/>
          <w:szCs w:val="16"/>
          <w:lang w:eastAsia="ru-RU"/>
        </w:rPr>
        <w:t>. дивизионов, 21 прожекторная рота.</w:t>
      </w:r>
    </w:p>
    <w:p w14:paraId="488EFB4D"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1928 г. имелось: 1 эскадрилья, 4 дивизиона, 2 прожекторных роты; в 1931 г. имеется — 5 дивизионов, 2 прожекторные роты, 2 эскадрильи (темп роста медленный).</w:t>
      </w:r>
    </w:p>
    <w:p w14:paraId="304B828E"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Готовность ПВО Ленинграда недостаточная: связь работает плохо, позиции не оборудованы, взаимодействие средств ПВО не налажено, служба ВНОС — неудовлетворительна.</w:t>
      </w:r>
    </w:p>
    <w:p w14:paraId="5BDC434C"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МОСКВА. Оперативная потребность — 16 дивизионов и 5–8 эскадрилий. В 1928 г. имелось: 1 </w:t>
      </w:r>
      <w:proofErr w:type="spellStart"/>
      <w:r w:rsidRPr="007122AB">
        <w:rPr>
          <w:rFonts w:ascii="Times New Roman" w:eastAsia="Times New Roman" w:hAnsi="Times New Roman"/>
          <w:color w:val="000000" w:themeColor="text1"/>
          <w:sz w:val="16"/>
          <w:szCs w:val="16"/>
          <w:lang w:eastAsia="ru-RU"/>
        </w:rPr>
        <w:t>зен</w:t>
      </w:r>
      <w:proofErr w:type="spellEnd"/>
      <w:r w:rsidRPr="007122AB">
        <w:rPr>
          <w:rFonts w:ascii="Times New Roman" w:eastAsia="Times New Roman" w:hAnsi="Times New Roman"/>
          <w:color w:val="000000" w:themeColor="text1"/>
          <w:sz w:val="16"/>
          <w:szCs w:val="16"/>
          <w:lang w:eastAsia="ru-RU"/>
        </w:rPr>
        <w:t xml:space="preserve">. дивизион и 1 прожекторная рота; сейчас — 2 дивизиона и 2 </w:t>
      </w:r>
      <w:proofErr w:type="spellStart"/>
      <w:r w:rsidRPr="007122AB">
        <w:rPr>
          <w:rFonts w:ascii="Times New Roman" w:eastAsia="Times New Roman" w:hAnsi="Times New Roman"/>
          <w:color w:val="000000" w:themeColor="text1"/>
          <w:sz w:val="16"/>
          <w:szCs w:val="16"/>
          <w:lang w:eastAsia="ru-RU"/>
        </w:rPr>
        <w:t>прож</w:t>
      </w:r>
      <w:proofErr w:type="spellEnd"/>
      <w:r w:rsidRPr="007122AB">
        <w:rPr>
          <w:rFonts w:ascii="Times New Roman" w:eastAsia="Times New Roman" w:hAnsi="Times New Roman"/>
          <w:color w:val="000000" w:themeColor="text1"/>
          <w:sz w:val="16"/>
          <w:szCs w:val="16"/>
          <w:lang w:eastAsia="ru-RU"/>
        </w:rPr>
        <w:t>. роты, на днях намечено 2 эскадрильи.</w:t>
      </w:r>
    </w:p>
    <w:p w14:paraId="2C0E9FEA"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Готовность ПВО Москвы такая же, как и в Ленинграде.</w:t>
      </w:r>
    </w:p>
    <w:p w14:paraId="48199DAA"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БАКУ. Оперативная потребность — 5 </w:t>
      </w:r>
      <w:proofErr w:type="spellStart"/>
      <w:r w:rsidRPr="007122AB">
        <w:rPr>
          <w:rFonts w:ascii="Times New Roman" w:eastAsia="Times New Roman" w:hAnsi="Times New Roman"/>
          <w:color w:val="000000" w:themeColor="text1"/>
          <w:sz w:val="16"/>
          <w:szCs w:val="16"/>
          <w:lang w:eastAsia="ru-RU"/>
        </w:rPr>
        <w:t>зен</w:t>
      </w:r>
      <w:proofErr w:type="spellEnd"/>
      <w:r w:rsidRPr="007122AB">
        <w:rPr>
          <w:rFonts w:ascii="Times New Roman" w:eastAsia="Times New Roman" w:hAnsi="Times New Roman"/>
          <w:color w:val="000000" w:themeColor="text1"/>
          <w:sz w:val="16"/>
          <w:szCs w:val="16"/>
          <w:lang w:eastAsia="ru-RU"/>
        </w:rPr>
        <w:t>. дивизионов и 5 прожектор, рот, 2 эскадрильи истребителей и 1 эскадр, бомбардировщиков.</w:t>
      </w:r>
    </w:p>
    <w:p w14:paraId="19C24B71"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1928 г. — 1 </w:t>
      </w:r>
      <w:proofErr w:type="spellStart"/>
      <w:r w:rsidRPr="007122AB">
        <w:rPr>
          <w:rFonts w:ascii="Times New Roman" w:eastAsia="Times New Roman" w:hAnsi="Times New Roman"/>
          <w:color w:val="000000" w:themeColor="text1"/>
          <w:sz w:val="16"/>
          <w:szCs w:val="16"/>
          <w:lang w:eastAsia="ru-RU"/>
        </w:rPr>
        <w:t>зен</w:t>
      </w:r>
      <w:proofErr w:type="spellEnd"/>
      <w:r w:rsidRPr="007122AB">
        <w:rPr>
          <w:rFonts w:ascii="Times New Roman" w:eastAsia="Times New Roman" w:hAnsi="Times New Roman"/>
          <w:color w:val="000000" w:themeColor="text1"/>
          <w:sz w:val="16"/>
          <w:szCs w:val="16"/>
          <w:lang w:eastAsia="ru-RU"/>
        </w:rPr>
        <w:t>. дивизион и 1 отряд истребителей, сейчас — 3 зенит. дивизиона и 1 эскадрилья.</w:t>
      </w:r>
    </w:p>
    <w:p w14:paraId="4DD4E8DE"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Чтобы судить об обеспеченности наших пунктов средствами ПВО, необходимо сделать сравнение с ПВО Лондона в 1918 г. при значительно меньших тогдашних средствах нападения. Там имелось: </w:t>
      </w:r>
      <w:proofErr w:type="spellStart"/>
      <w:r w:rsidRPr="007122AB">
        <w:rPr>
          <w:rFonts w:ascii="Times New Roman" w:eastAsia="Times New Roman" w:hAnsi="Times New Roman"/>
          <w:color w:val="000000" w:themeColor="text1"/>
          <w:sz w:val="16"/>
          <w:szCs w:val="16"/>
          <w:lang w:eastAsia="ru-RU"/>
        </w:rPr>
        <w:t>зен</w:t>
      </w:r>
      <w:proofErr w:type="spellEnd"/>
      <w:r w:rsidRPr="007122AB">
        <w:rPr>
          <w:rFonts w:ascii="Times New Roman" w:eastAsia="Times New Roman" w:hAnsi="Times New Roman"/>
          <w:color w:val="000000" w:themeColor="text1"/>
          <w:sz w:val="16"/>
          <w:szCs w:val="16"/>
          <w:lang w:eastAsia="ru-RU"/>
        </w:rPr>
        <w:t>. орудий — 286, истребителей — 220, прожекторов — 387, аэростатов заграждения — 30.</w:t>
      </w:r>
    </w:p>
    <w:p w14:paraId="7BF67D0A"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bdr w:val="none" w:sz="0" w:space="0" w:color="auto" w:frame="1"/>
          <w:lang w:eastAsia="ru-RU"/>
        </w:rPr>
        <w:t>Мобготовность</w:t>
      </w:r>
      <w:proofErr w:type="spellEnd"/>
    </w:p>
    <w:p w14:paraId="3A27D428"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Отмобилизование</w:t>
      </w:r>
      <w:proofErr w:type="spellEnd"/>
      <w:r w:rsidRPr="007122AB">
        <w:rPr>
          <w:rFonts w:ascii="Times New Roman" w:eastAsia="Times New Roman" w:hAnsi="Times New Roman"/>
          <w:color w:val="000000" w:themeColor="text1"/>
          <w:sz w:val="16"/>
          <w:szCs w:val="16"/>
          <w:lang w:eastAsia="ru-RU"/>
        </w:rPr>
        <w:t xml:space="preserve"> частей намечено на 3, 7 и более поздние дни мобилизации, тогда как готовность ПВО должна быть с первого дня и ранее, так как готовность авиации противника будет исчисляться не днями, а часами. Кроме того, реальна возможность нападения противника в </w:t>
      </w:r>
      <w:proofErr w:type="spellStart"/>
      <w:r w:rsidRPr="007122AB">
        <w:rPr>
          <w:rFonts w:ascii="Times New Roman" w:eastAsia="Times New Roman" w:hAnsi="Times New Roman"/>
          <w:color w:val="000000" w:themeColor="text1"/>
          <w:sz w:val="16"/>
          <w:szCs w:val="16"/>
          <w:lang w:eastAsia="ru-RU"/>
        </w:rPr>
        <w:t>предмобилизационный</w:t>
      </w:r>
      <w:proofErr w:type="spellEnd"/>
      <w:r w:rsidRPr="007122AB">
        <w:rPr>
          <w:rFonts w:ascii="Times New Roman" w:eastAsia="Times New Roman" w:hAnsi="Times New Roman"/>
          <w:color w:val="000000" w:themeColor="text1"/>
          <w:sz w:val="16"/>
          <w:szCs w:val="16"/>
          <w:lang w:eastAsia="ru-RU"/>
        </w:rPr>
        <w:t xml:space="preserve"> период.</w:t>
      </w:r>
    </w:p>
    <w:p w14:paraId="2502CF2F"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bdr w:val="none" w:sz="0" w:space="0" w:color="auto" w:frame="1"/>
          <w:lang w:eastAsia="ru-RU"/>
        </w:rPr>
        <w:t>Выводы</w:t>
      </w:r>
    </w:p>
    <w:p w14:paraId="77D310F1"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Опасность воздушных нападений на экономические и политические центры и транспорт вполне реальна.</w:t>
      </w:r>
    </w:p>
    <w:p w14:paraId="773DE9B4"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Страна к ПВО подготовлена абсолютно недостаточно. Средства, выделяемые для этой цели, недостаточны и технически отсталые.</w:t>
      </w:r>
    </w:p>
    <w:p w14:paraId="1D3B9DD9"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Надлежащего руководства тыла страны со стороны НКВМ нет.</w:t>
      </w:r>
    </w:p>
    <w:p w14:paraId="13234043" w14:textId="77777777" w:rsidR="003E2874" w:rsidRPr="007122AB" w:rsidRDefault="003E2874"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ЦА ФСБ РФ. Ф. 2. Оп. 9. Д. 103. Л. 816–819 (20258).</w:t>
      </w:r>
    </w:p>
    <w:p w14:paraId="4A65072E" w14:textId="77777777" w:rsidR="003E2874" w:rsidRPr="007122AB" w:rsidRDefault="003E2874" w:rsidP="007122AB">
      <w:pPr>
        <w:spacing w:after="0" w:line="240" w:lineRule="auto"/>
        <w:jc w:val="both"/>
        <w:rPr>
          <w:rFonts w:ascii="Times New Roman" w:hAnsi="Times New Roman"/>
          <w:color w:val="000000" w:themeColor="text1"/>
          <w:sz w:val="16"/>
          <w:szCs w:val="16"/>
        </w:rPr>
      </w:pPr>
    </w:p>
    <w:p w14:paraId="2E1975A4" w14:textId="77777777" w:rsidR="003E2874" w:rsidRPr="007122AB" w:rsidRDefault="003E287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апреле 1931 г. </w:t>
      </w:r>
      <w:proofErr w:type="spellStart"/>
      <w:r w:rsidRPr="007122AB">
        <w:rPr>
          <w:rFonts w:ascii="Times New Roman" w:hAnsi="Times New Roman"/>
          <w:color w:val="000000" w:themeColor="text1"/>
          <w:sz w:val="16"/>
          <w:szCs w:val="16"/>
          <w:shd w:val="clear" w:color="auto" w:fill="FFFFFF"/>
        </w:rPr>
        <w:t>Минов</w:t>
      </w:r>
      <w:proofErr w:type="spellEnd"/>
      <w:r w:rsidRPr="007122AB">
        <w:rPr>
          <w:rFonts w:ascii="Times New Roman" w:hAnsi="Times New Roman"/>
          <w:color w:val="000000" w:themeColor="text1"/>
          <w:sz w:val="16"/>
          <w:szCs w:val="16"/>
          <w:shd w:val="clear" w:color="auto" w:fill="FFFFFF"/>
        </w:rPr>
        <w:t xml:space="preserve"> и Мошковский прибыли в Евпаторию для обучения личного состава 29-й эскадрильи с тремя тренировочными «Ирвинами». Летчики прыгали с самолетов Р-1 и Фоккер С.IV. 23 апреля погиб командир отряда Журавлев. В свободном падении он перевернулся и вытяжной парашютик зацепился за голову, а потом оторвался. Купол раскрылся не полностью и не симметрично. Журавлев попытался открыть запасной парашют, но это имело место уже в 10 – 12 м над землей. Летчик умер от сотрясения мозга. Через два дня Мошковский демонстративно прыгнул с парашютом покойного Журавлева и благополучно приземлился (21505).</w:t>
      </w:r>
    </w:p>
    <w:p w14:paraId="21C2DBD6" w14:textId="77777777" w:rsidR="003E2874" w:rsidRPr="007122AB" w:rsidRDefault="003E2874" w:rsidP="007122AB">
      <w:pPr>
        <w:spacing w:after="0" w:line="240" w:lineRule="auto"/>
        <w:jc w:val="both"/>
        <w:rPr>
          <w:rFonts w:ascii="Times New Roman" w:hAnsi="Times New Roman"/>
          <w:color w:val="000000" w:themeColor="text1"/>
          <w:sz w:val="16"/>
          <w:szCs w:val="16"/>
        </w:rPr>
      </w:pPr>
    </w:p>
    <w:bookmarkEnd w:id="17"/>
    <w:p w14:paraId="7E5090C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3CE458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B4E5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было подписано германо-советское торговое соглашение. Германия предоставила кредит в 1 млрд. Марок для закупки машин и оборудования в обмен на золото и с/х продукцию (3908,335).</w:t>
      </w:r>
    </w:p>
    <w:p w14:paraId="169355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D50E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года во Франции был арестован П. В. </w:t>
      </w:r>
      <w:proofErr w:type="spellStart"/>
      <w:r w:rsidRPr="007122AB">
        <w:rPr>
          <w:rFonts w:ascii="Times New Roman" w:hAnsi="Times New Roman"/>
          <w:color w:val="000000" w:themeColor="text1"/>
          <w:sz w:val="16"/>
          <w:szCs w:val="16"/>
        </w:rPr>
        <w:t>Стучевский</w:t>
      </w:r>
      <w:proofErr w:type="spellEnd"/>
      <w:r w:rsidRPr="007122AB">
        <w:rPr>
          <w:rFonts w:ascii="Times New Roman" w:hAnsi="Times New Roman"/>
          <w:color w:val="000000" w:themeColor="text1"/>
          <w:sz w:val="16"/>
          <w:szCs w:val="16"/>
        </w:rPr>
        <w:t xml:space="preserve">. Прибыв в Париж в 1927 году, П. В. </w:t>
      </w:r>
      <w:proofErr w:type="spellStart"/>
      <w:r w:rsidRPr="007122AB">
        <w:rPr>
          <w:rFonts w:ascii="Times New Roman" w:hAnsi="Times New Roman"/>
          <w:color w:val="000000" w:themeColor="text1"/>
          <w:sz w:val="16"/>
          <w:szCs w:val="16"/>
        </w:rPr>
        <w:t>Стучевский</w:t>
      </w:r>
      <w:proofErr w:type="spellEnd"/>
      <w:r w:rsidRPr="007122AB">
        <w:rPr>
          <w:rFonts w:ascii="Times New Roman" w:hAnsi="Times New Roman"/>
          <w:color w:val="000000" w:themeColor="text1"/>
          <w:sz w:val="16"/>
          <w:szCs w:val="16"/>
        </w:rPr>
        <w:t xml:space="preserve">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7122AB">
        <w:rPr>
          <w:rFonts w:ascii="Times New Roman" w:hAnsi="Times New Roman"/>
          <w:iCs/>
          <w:color w:val="000000" w:themeColor="text1"/>
          <w:sz w:val="16"/>
          <w:szCs w:val="16"/>
        </w:rPr>
        <w:t>с</w:t>
      </w:r>
      <w:r w:rsidRPr="007122AB">
        <w:rPr>
          <w:rFonts w:ascii="Times New Roman" w:hAnsi="Times New Roman"/>
          <w:color w:val="000000" w:themeColor="text1"/>
          <w:sz w:val="16"/>
          <w:szCs w:val="16"/>
        </w:rPr>
        <w:t xml:space="preserve"> ее помощью регулярно получал информацию о подводных лодках и торпедном вооружении.</w:t>
      </w:r>
    </w:p>
    <w:p w14:paraId="14BEA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суде П. В. </w:t>
      </w:r>
      <w:proofErr w:type="spellStart"/>
      <w:r w:rsidRPr="007122AB">
        <w:rPr>
          <w:rFonts w:ascii="Times New Roman" w:hAnsi="Times New Roman"/>
          <w:color w:val="000000" w:themeColor="text1"/>
          <w:sz w:val="16"/>
          <w:szCs w:val="16"/>
        </w:rPr>
        <w:t>Стучевский</w:t>
      </w:r>
      <w:proofErr w:type="spellEnd"/>
      <w:r w:rsidRPr="007122AB">
        <w:rPr>
          <w:rFonts w:ascii="Times New Roman" w:hAnsi="Times New Roman"/>
          <w:color w:val="000000" w:themeColor="text1"/>
          <w:sz w:val="16"/>
          <w:szCs w:val="16"/>
        </w:rPr>
        <w:t xml:space="preserve"> утверждал, что собирал материалы для написания книги о Франции. Будучи осужденным на три года, он отсидел срок в тюрьме </w:t>
      </w:r>
      <w:proofErr w:type="spellStart"/>
      <w:r w:rsidRPr="007122AB">
        <w:rPr>
          <w:rFonts w:ascii="Times New Roman" w:hAnsi="Times New Roman"/>
          <w:color w:val="000000" w:themeColor="text1"/>
          <w:sz w:val="16"/>
          <w:szCs w:val="16"/>
        </w:rPr>
        <w:t>Луисси</w:t>
      </w:r>
      <w:proofErr w:type="spellEnd"/>
      <w:r w:rsidRPr="007122AB">
        <w:rPr>
          <w:rFonts w:ascii="Times New Roman" w:hAnsi="Times New Roman"/>
          <w:color w:val="000000" w:themeColor="text1"/>
          <w:sz w:val="16"/>
          <w:szCs w:val="16"/>
        </w:rPr>
        <w:t xml:space="preserve"> и после освобождения в 1934 году вернулся в СССР (</w:t>
      </w:r>
      <w:proofErr w:type="spellStart"/>
      <w:r w:rsidRPr="007122AB">
        <w:rPr>
          <w:rFonts w:ascii="Times New Roman" w:hAnsi="Times New Roman"/>
          <w:color w:val="000000" w:themeColor="text1"/>
          <w:sz w:val="16"/>
          <w:szCs w:val="16"/>
        </w:rPr>
        <w:t>Колпакиди</w:t>
      </w:r>
      <w:proofErr w:type="spellEnd"/>
      <w:r w:rsidRPr="007122AB">
        <w:rPr>
          <w:rFonts w:ascii="Times New Roman" w:hAnsi="Times New Roman"/>
          <w:color w:val="000000" w:themeColor="text1"/>
          <w:sz w:val="16"/>
          <w:szCs w:val="16"/>
        </w:rPr>
        <w:t xml:space="preserve"> А., Прохоров Д. Империя ГРУ: Очерки истории российской военной разведки. Кн. 1. — М., 2000, с. 155— 156.).</w:t>
      </w:r>
    </w:p>
    <w:p w14:paraId="71536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20-х годов во Франции начала работать сеть «рабкоров». Их работой руководил К. </w:t>
      </w:r>
      <w:proofErr w:type="spellStart"/>
      <w:r w:rsidRPr="007122AB">
        <w:rPr>
          <w:rFonts w:ascii="Times New Roman" w:hAnsi="Times New Roman"/>
          <w:color w:val="000000" w:themeColor="text1"/>
          <w:sz w:val="16"/>
          <w:szCs w:val="16"/>
        </w:rPr>
        <w:t>Лиожье</w:t>
      </w:r>
      <w:proofErr w:type="spellEnd"/>
      <w:r w:rsidRPr="007122AB">
        <w:rPr>
          <w:rFonts w:ascii="Times New Roman" w:hAnsi="Times New Roman"/>
          <w:color w:val="000000" w:themeColor="text1"/>
          <w:sz w:val="16"/>
          <w:szCs w:val="16"/>
        </w:rPr>
        <w:t xml:space="preserve">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28736C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6F0FF7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w:t>
      </w:r>
      <w:proofErr w:type="spellStart"/>
      <w:r w:rsidRPr="007122AB">
        <w:rPr>
          <w:rFonts w:ascii="Times New Roman" w:hAnsi="Times New Roman"/>
          <w:color w:val="000000" w:themeColor="text1"/>
          <w:sz w:val="16"/>
          <w:szCs w:val="16"/>
        </w:rPr>
        <w:t>Фалиго</w:t>
      </w:r>
      <w:proofErr w:type="spellEnd"/>
      <w:r w:rsidRPr="007122AB">
        <w:rPr>
          <w:rFonts w:ascii="Times New Roman" w:hAnsi="Times New Roman"/>
          <w:color w:val="000000" w:themeColor="text1"/>
          <w:sz w:val="16"/>
          <w:szCs w:val="16"/>
        </w:rPr>
        <w:t xml:space="preserve"> Р., </w:t>
      </w:r>
      <w:proofErr w:type="spellStart"/>
      <w:r w:rsidRPr="007122AB">
        <w:rPr>
          <w:rFonts w:ascii="Times New Roman" w:hAnsi="Times New Roman"/>
          <w:color w:val="000000" w:themeColor="text1"/>
          <w:sz w:val="16"/>
          <w:szCs w:val="16"/>
        </w:rPr>
        <w:t>Коффер</w:t>
      </w:r>
      <w:proofErr w:type="spellEnd"/>
      <w:r w:rsidRPr="007122AB">
        <w:rPr>
          <w:rFonts w:ascii="Times New Roman" w:hAnsi="Times New Roman"/>
          <w:color w:val="000000" w:themeColor="text1"/>
          <w:sz w:val="16"/>
          <w:szCs w:val="16"/>
        </w:rPr>
        <w:t xml:space="preserve"> Р. Всемирная история разведывательных служб. Т. 1. 1870-1939. — М., 1997, с. 206.).</w:t>
      </w:r>
    </w:p>
    <w:p w14:paraId="52A56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2F8801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Среди них был отставной полковник О. </w:t>
      </w:r>
      <w:proofErr w:type="spellStart"/>
      <w:r w:rsidRPr="007122AB">
        <w:rPr>
          <w:rFonts w:ascii="Times New Roman" w:hAnsi="Times New Roman"/>
          <w:color w:val="000000" w:themeColor="text1"/>
          <w:sz w:val="16"/>
          <w:szCs w:val="16"/>
        </w:rPr>
        <w:t>Дюмулен</w:t>
      </w:r>
      <w:proofErr w:type="spellEnd"/>
      <w:r w:rsidRPr="007122AB">
        <w:rPr>
          <w:rFonts w:ascii="Times New Roman" w:hAnsi="Times New Roman"/>
          <w:color w:val="000000" w:themeColor="text1"/>
          <w:sz w:val="16"/>
          <w:szCs w:val="16"/>
        </w:rPr>
        <w:t>,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0FA53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w:t>
      </w:r>
      <w:proofErr w:type="spellStart"/>
      <w:r w:rsidRPr="007122AB">
        <w:rPr>
          <w:rFonts w:ascii="Times New Roman" w:hAnsi="Times New Roman"/>
          <w:color w:val="000000" w:themeColor="text1"/>
          <w:sz w:val="16"/>
          <w:szCs w:val="16"/>
        </w:rPr>
        <w:t>Даллин</w:t>
      </w:r>
      <w:proofErr w:type="spellEnd"/>
      <w:r w:rsidRPr="007122AB">
        <w:rPr>
          <w:rFonts w:ascii="Times New Roman" w:hAnsi="Times New Roman"/>
          <w:color w:val="000000" w:themeColor="text1"/>
          <w:sz w:val="16"/>
          <w:szCs w:val="16"/>
        </w:rPr>
        <w:t xml:space="preserve"> Д. Шпионаж по-советски. — М., 2001, с. 59—61.) (11765).</w:t>
      </w:r>
    </w:p>
    <w:p w14:paraId="513579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8B6B5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EA2178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6ECE2C"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года поднялся в воздух первый трехмоторный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52/3m, созданный на базе самолета 4007 с моторами Pratt </w:t>
      </w:r>
      <w:proofErr w:type="spellStart"/>
      <w:r w:rsidRPr="007122AB">
        <w:rPr>
          <w:rFonts w:ascii="Times New Roman" w:hAnsi="Times New Roman"/>
          <w:color w:val="000000" w:themeColor="text1"/>
          <w:sz w:val="16"/>
          <w:szCs w:val="16"/>
        </w:rPr>
        <w:t>and</w:t>
      </w:r>
      <w:proofErr w:type="spellEnd"/>
      <w:r w:rsidRPr="007122AB">
        <w:rPr>
          <w:rFonts w:ascii="Times New Roman" w:hAnsi="Times New Roman"/>
          <w:color w:val="000000" w:themeColor="text1"/>
          <w:sz w:val="16"/>
          <w:szCs w:val="16"/>
        </w:rPr>
        <w:t xml:space="preserve"> Whitney </w:t>
      </w:r>
      <w:proofErr w:type="spellStart"/>
      <w:r w:rsidRPr="007122AB">
        <w:rPr>
          <w:rFonts w:ascii="Times New Roman" w:hAnsi="Times New Roman"/>
          <w:color w:val="000000" w:themeColor="text1"/>
          <w:sz w:val="16"/>
          <w:szCs w:val="16"/>
        </w:rPr>
        <w:t>Hornet</w:t>
      </w:r>
      <w:proofErr w:type="spellEnd"/>
      <w:r w:rsidRPr="007122AB">
        <w:rPr>
          <w:rFonts w:ascii="Times New Roman" w:hAnsi="Times New Roman"/>
          <w:color w:val="000000" w:themeColor="text1"/>
          <w:sz w:val="16"/>
          <w:szCs w:val="16"/>
        </w:rPr>
        <w:t xml:space="preserve"> мощностью 600 л.с. Безопасность и высокая тяговооруженность </w:t>
      </w:r>
      <w:proofErr w:type="spellStart"/>
      <w:r w:rsidRPr="007122AB">
        <w:rPr>
          <w:rFonts w:ascii="Times New Roman" w:hAnsi="Times New Roman"/>
          <w:color w:val="000000" w:themeColor="text1"/>
          <w:sz w:val="16"/>
          <w:szCs w:val="16"/>
        </w:rPr>
        <w:t>трехдвигательного</w:t>
      </w:r>
      <w:proofErr w:type="spellEnd"/>
      <w:r w:rsidRPr="007122AB">
        <w:rPr>
          <w:rFonts w:ascii="Times New Roman" w:hAnsi="Times New Roman"/>
          <w:color w:val="000000" w:themeColor="text1"/>
          <w:sz w:val="16"/>
          <w:szCs w:val="16"/>
        </w:rPr>
        <w:t xml:space="preserve"> варианта придавали самолету большую потенциальную коммерческую ценность, и вероятность его продажи была выше, чем у однодвигательного. Заказы не заставили себя долго ждать. Один из первых поступил из Колумбии, где два немца основали авиакомпанию “Кондор”. Кроме этого, в транспортном самолете нуждалась колумбийская армия, для нее Юнкерс предложил поплавковый </w:t>
      </w:r>
      <w:proofErr w:type="spellStart"/>
      <w:r w:rsidRPr="007122AB">
        <w:rPr>
          <w:rFonts w:ascii="Times New Roman" w:hAnsi="Times New Roman"/>
          <w:color w:val="000000" w:themeColor="text1"/>
          <w:sz w:val="16"/>
          <w:szCs w:val="16"/>
        </w:rPr>
        <w:t>трехдвигательный</w:t>
      </w:r>
      <w:proofErr w:type="spellEnd"/>
      <w:r w:rsidRPr="007122AB">
        <w:rPr>
          <w:rFonts w:ascii="Times New Roman" w:hAnsi="Times New Roman"/>
          <w:color w:val="000000" w:themeColor="text1"/>
          <w:sz w:val="16"/>
          <w:szCs w:val="16"/>
        </w:rPr>
        <w:t xml:space="preserve"> вариант. Пока официальные лица Колумбии решали, покупать им самолеты или нет, Юнкерс продал два </w:t>
      </w:r>
      <w:proofErr w:type="spellStart"/>
      <w:r w:rsidRPr="007122AB">
        <w:rPr>
          <w:rFonts w:ascii="Times New Roman" w:hAnsi="Times New Roman"/>
          <w:color w:val="000000" w:themeColor="text1"/>
          <w:sz w:val="16"/>
          <w:szCs w:val="16"/>
        </w:rPr>
        <w:t>трехдвигательных</w:t>
      </w:r>
      <w:proofErr w:type="spellEnd"/>
      <w:r w:rsidRPr="007122AB">
        <w:rPr>
          <w:rFonts w:ascii="Times New Roman" w:hAnsi="Times New Roman"/>
          <w:color w:val="000000" w:themeColor="text1"/>
          <w:sz w:val="16"/>
          <w:szCs w:val="16"/>
        </w:rPr>
        <w:t xml:space="preserve"> самолета в Боливию, воевавшую с Парагваем. Этими самолетами оказались переделанные в кратчайшие сроки машины 4008 и 4009 с моторами </w:t>
      </w:r>
      <w:proofErr w:type="spellStart"/>
      <w:r w:rsidRPr="007122AB">
        <w:rPr>
          <w:rFonts w:ascii="Times New Roman" w:hAnsi="Times New Roman"/>
          <w:color w:val="000000" w:themeColor="text1"/>
          <w:sz w:val="16"/>
          <w:szCs w:val="16"/>
        </w:rPr>
        <w:t>Hornet</w:t>
      </w:r>
      <w:proofErr w:type="spellEnd"/>
      <w:r w:rsidRPr="007122AB">
        <w:rPr>
          <w:rFonts w:ascii="Times New Roman" w:hAnsi="Times New Roman"/>
          <w:color w:val="000000" w:themeColor="text1"/>
          <w:sz w:val="16"/>
          <w:szCs w:val="16"/>
        </w:rPr>
        <w:t>. На них не успели поставить капоты двигателей и обтекатели колес шасси. Самолетам присвоили собственные имена “</w:t>
      </w:r>
      <w:proofErr w:type="spellStart"/>
      <w:r w:rsidRPr="007122AB">
        <w:rPr>
          <w:rFonts w:ascii="Times New Roman" w:hAnsi="Times New Roman"/>
          <w:color w:val="000000" w:themeColor="text1"/>
          <w:sz w:val="16"/>
          <w:szCs w:val="16"/>
        </w:rPr>
        <w:t>Juan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Valle</w:t>
      </w:r>
      <w:proofErr w:type="spellEnd"/>
      <w:r w:rsidRPr="007122AB">
        <w:rPr>
          <w:rFonts w:ascii="Times New Roman" w:hAnsi="Times New Roman"/>
          <w:color w:val="000000" w:themeColor="text1"/>
          <w:sz w:val="16"/>
          <w:szCs w:val="16"/>
        </w:rPr>
        <w:t>” и “</w:t>
      </w:r>
      <w:proofErr w:type="spellStart"/>
      <w:r w:rsidRPr="007122AB">
        <w:rPr>
          <w:rFonts w:ascii="Times New Roman" w:hAnsi="Times New Roman"/>
          <w:color w:val="000000" w:themeColor="text1"/>
          <w:sz w:val="16"/>
          <w:szCs w:val="16"/>
        </w:rPr>
        <w:t>Huanuni</w:t>
      </w:r>
      <w:proofErr w:type="spellEnd"/>
      <w:r w:rsidRPr="007122AB">
        <w:rPr>
          <w:rFonts w:ascii="Times New Roman" w:hAnsi="Times New Roman"/>
          <w:color w:val="000000" w:themeColor="text1"/>
          <w:sz w:val="16"/>
          <w:szCs w:val="16"/>
        </w:rPr>
        <w:t xml:space="preserve">”. В 1932 году машины официально передали в боливийскую авиакомпанию “Lloyd Aero </w:t>
      </w:r>
      <w:proofErr w:type="spellStart"/>
      <w:r w:rsidRPr="007122AB">
        <w:rPr>
          <w:rFonts w:ascii="Times New Roman" w:hAnsi="Times New Roman"/>
          <w:color w:val="000000" w:themeColor="text1"/>
          <w:sz w:val="16"/>
          <w:szCs w:val="16"/>
        </w:rPr>
        <w:t>Boliviano</w:t>
      </w:r>
      <w:proofErr w:type="spellEnd"/>
      <w:r w:rsidRPr="007122AB">
        <w:rPr>
          <w:rFonts w:ascii="Times New Roman" w:hAnsi="Times New Roman"/>
          <w:color w:val="000000" w:themeColor="text1"/>
          <w:sz w:val="16"/>
          <w:szCs w:val="16"/>
        </w:rPr>
        <w:t>”. На самом деле их использовала боливийская армия для доставки грузов в труднодоступные места и нанесения бомбовых (через боковую грузовую дверь) ударов по противнику. В ходе войны были закуплены еще два самолета “</w:t>
      </w:r>
      <w:proofErr w:type="spellStart"/>
      <w:r w:rsidRPr="007122AB">
        <w:rPr>
          <w:rFonts w:ascii="Times New Roman" w:hAnsi="Times New Roman"/>
          <w:color w:val="000000" w:themeColor="text1"/>
          <w:sz w:val="16"/>
          <w:szCs w:val="16"/>
        </w:rPr>
        <w:t>Chorolque</w:t>
      </w:r>
      <w:proofErr w:type="spellEnd"/>
      <w:r w:rsidRPr="007122AB">
        <w:rPr>
          <w:rFonts w:ascii="Times New Roman" w:hAnsi="Times New Roman"/>
          <w:color w:val="000000" w:themeColor="text1"/>
          <w:sz w:val="16"/>
          <w:szCs w:val="16"/>
        </w:rPr>
        <w:t>” и “</w:t>
      </w:r>
      <w:proofErr w:type="spellStart"/>
      <w:r w:rsidRPr="007122AB">
        <w:rPr>
          <w:rFonts w:ascii="Times New Roman" w:hAnsi="Times New Roman"/>
          <w:color w:val="000000" w:themeColor="text1"/>
          <w:sz w:val="16"/>
          <w:szCs w:val="16"/>
        </w:rPr>
        <w:t>Bolivar</w:t>
      </w:r>
      <w:proofErr w:type="spellEnd"/>
      <w:r w:rsidRPr="007122AB">
        <w:rPr>
          <w:rFonts w:ascii="Times New Roman" w:hAnsi="Times New Roman"/>
          <w:color w:val="000000" w:themeColor="text1"/>
          <w:sz w:val="16"/>
          <w:szCs w:val="16"/>
        </w:rPr>
        <w:t xml:space="preserve">”. После окончания войны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52 начали возить пассажиров на боливийских авиалиниях. Успешное использование самолетов Юнкерса в Боливии убедило колумбийское правительство в необходимости их закупки. Сначала купили три машины с заводскими номерами 4010, 4011 и 4012, а в марте 1934 года еще три. Два самолета потеряли в процессе эксплуатации, оставшиеся самолеты продолжали летать до 1943 года. По некоторым источникам, один самолет продолжали использовать до 1966 года. Основные конструктивные отличия </w:t>
      </w:r>
      <w:proofErr w:type="spellStart"/>
      <w:r w:rsidRPr="007122AB">
        <w:rPr>
          <w:rFonts w:ascii="Times New Roman" w:hAnsi="Times New Roman"/>
          <w:color w:val="000000" w:themeColor="text1"/>
          <w:sz w:val="16"/>
          <w:szCs w:val="16"/>
        </w:rPr>
        <w:t>трехдвигательного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52/3m от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52/1m состояли в дополнительных двух двигателях на крыле, которые располагались под углом к строительной оси самолета, что позволяло компенсировать несимметричность тяги при отказе одного из моторов. Девять цилиндров каждого из двигателей на первых экземплярах самолета не закрывались капотами. Правда, для Колумбии на крыльевые моторы установили кольца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что привело к увеличению скорости на 40 км/ч (19012).</w:t>
      </w:r>
    </w:p>
    <w:p w14:paraId="54E84653"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26B6CDD0" w14:textId="77777777" w:rsidR="00F7760E" w:rsidRPr="007122AB" w:rsidRDefault="00F7760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состоялся первый полет </w:t>
      </w:r>
      <w:proofErr w:type="spellStart"/>
      <w:r w:rsidRPr="007122AB">
        <w:rPr>
          <w:rFonts w:ascii="Times New Roman" w:hAnsi="Times New Roman"/>
          <w:color w:val="000000" w:themeColor="text1"/>
          <w:sz w:val="16"/>
          <w:szCs w:val="16"/>
        </w:rPr>
        <w:t>Амиот</w:t>
      </w:r>
      <w:proofErr w:type="spellEnd"/>
      <w:r w:rsidRPr="007122AB">
        <w:rPr>
          <w:rFonts w:ascii="Times New Roman" w:hAnsi="Times New Roman"/>
          <w:color w:val="000000" w:themeColor="text1"/>
          <w:sz w:val="16"/>
          <w:szCs w:val="16"/>
        </w:rPr>
        <w:t xml:space="preserve"> 140 (20804).</w:t>
      </w:r>
    </w:p>
    <w:p w14:paraId="4E025B7C" w14:textId="77777777" w:rsidR="00F7760E" w:rsidRPr="007122AB" w:rsidRDefault="00F7760E" w:rsidP="007122AB">
      <w:pPr>
        <w:spacing w:after="0" w:line="240" w:lineRule="auto"/>
        <w:jc w:val="both"/>
        <w:rPr>
          <w:rFonts w:ascii="Times New Roman" w:hAnsi="Times New Roman"/>
          <w:color w:val="000000" w:themeColor="text1"/>
          <w:sz w:val="16"/>
          <w:szCs w:val="16"/>
        </w:rPr>
      </w:pPr>
    </w:p>
    <w:p w14:paraId="6DDEBD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года, когда Эдуард </w:t>
      </w:r>
      <w:proofErr w:type="spellStart"/>
      <w:r w:rsidRPr="007122AB">
        <w:rPr>
          <w:rFonts w:ascii="Times New Roman" w:hAnsi="Times New Roman"/>
          <w:color w:val="000000" w:themeColor="text1"/>
          <w:sz w:val="16"/>
          <w:szCs w:val="16"/>
        </w:rPr>
        <w:t>Пендри</w:t>
      </w:r>
      <w:proofErr w:type="spellEnd"/>
      <w:r w:rsidRPr="007122AB">
        <w:rPr>
          <w:rFonts w:ascii="Times New Roman" w:hAnsi="Times New Roman"/>
          <w:color w:val="000000" w:themeColor="text1"/>
          <w:sz w:val="16"/>
          <w:szCs w:val="16"/>
        </w:rPr>
        <w:t xml:space="preserve"> из «Американского межпланетного общества» посетил «</w:t>
      </w:r>
      <w:proofErr w:type="spellStart"/>
      <w:r w:rsidRPr="007122AB">
        <w:rPr>
          <w:rFonts w:ascii="Times New Roman" w:hAnsi="Times New Roman"/>
          <w:color w:val="000000" w:themeColor="text1"/>
          <w:sz w:val="16"/>
          <w:szCs w:val="16"/>
        </w:rPr>
        <w:t>Ракетенфлюгплатц</w:t>
      </w:r>
      <w:proofErr w:type="spellEnd"/>
      <w:r w:rsidRPr="007122AB">
        <w:rPr>
          <w:rFonts w:ascii="Times New Roman" w:hAnsi="Times New Roman"/>
          <w:color w:val="000000" w:themeColor="text1"/>
          <w:sz w:val="16"/>
          <w:szCs w:val="16"/>
        </w:rPr>
        <w:t xml:space="preserve">», новый двигатель </w:t>
      </w:r>
      <w:r w:rsidRPr="007122AB">
        <w:rPr>
          <w:rFonts w:ascii="Times New Roman" w:hAnsi="Times New Roman"/>
          <w:color w:val="000000" w:themeColor="text1"/>
          <w:sz w:val="16"/>
          <w:szCs w:val="16"/>
          <w:lang w:val="en-US"/>
        </w:rPr>
        <w:t>Ei</w:t>
      </w:r>
      <w:r w:rsidRPr="007122AB">
        <w:rPr>
          <w:rFonts w:ascii="Times New Roman" w:hAnsi="Times New Roman"/>
          <w:color w:val="000000" w:themeColor="text1"/>
          <w:sz w:val="16"/>
          <w:szCs w:val="16"/>
        </w:rPr>
        <w:t xml:space="preserve"> который весил около 85 г и хорошо работал, поглощая 160 г жидкого кислорода и бензина за 1 секунду и обеспечивая при этом тягу в 32 кг, был почти доведен. Его даже демонстрировали в действии. Кстати сказать, такие запуски-демонстрации способствовали не только дальнейшей разработке двигателя, но и увеличению доходов «Общества». У инициативного </w:t>
      </w:r>
      <w:proofErr w:type="spellStart"/>
      <w:r w:rsidRPr="007122AB">
        <w:rPr>
          <w:rFonts w:ascii="Times New Roman" w:hAnsi="Times New Roman"/>
          <w:color w:val="000000" w:themeColor="text1"/>
          <w:sz w:val="16"/>
          <w:szCs w:val="16"/>
        </w:rPr>
        <w:t>Небеля</w:t>
      </w:r>
      <w:proofErr w:type="spellEnd"/>
      <w:r w:rsidRPr="007122AB">
        <w:rPr>
          <w:rFonts w:ascii="Times New Roman" w:hAnsi="Times New Roman"/>
          <w:color w:val="000000" w:themeColor="text1"/>
          <w:sz w:val="16"/>
          <w:szCs w:val="16"/>
        </w:rPr>
        <w:t xml:space="preserve"> возникла мысль установить плату за публичный показ испытаний, что периодически и делалось. В результате того, что много времени уходило на эту «показуху», авторы ракеты «</w:t>
      </w:r>
      <w:proofErr w:type="spellStart"/>
      <w:r w:rsidRPr="007122AB">
        <w:rPr>
          <w:rFonts w:ascii="Times New Roman" w:hAnsi="Times New Roman"/>
          <w:color w:val="000000" w:themeColor="text1"/>
          <w:sz w:val="16"/>
          <w:szCs w:val="16"/>
        </w:rPr>
        <w:t>Mirak</w:t>
      </w:r>
      <w:proofErr w:type="spellEnd"/>
      <w:r w:rsidRPr="007122AB">
        <w:rPr>
          <w:rFonts w:ascii="Times New Roman" w:hAnsi="Times New Roman"/>
          <w:color w:val="000000" w:themeColor="text1"/>
          <w:sz w:val="16"/>
          <w:szCs w:val="16"/>
        </w:rPr>
        <w:t>» упустили время и инициативу. Приоритет в запуске европейской ракеты с жидкостным двигателем достался Иоганну Винклеру (11688).</w:t>
      </w:r>
    </w:p>
    <w:p w14:paraId="15287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C63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года была единственная значительная неудача за все время существования «</w:t>
      </w:r>
      <w:proofErr w:type="spellStart"/>
      <w:r w:rsidRPr="007122AB">
        <w:rPr>
          <w:rFonts w:ascii="Times New Roman" w:hAnsi="Times New Roman"/>
          <w:color w:val="000000" w:themeColor="text1"/>
          <w:sz w:val="16"/>
          <w:szCs w:val="16"/>
        </w:rPr>
        <w:t>Ракетенфлюгплатц</w:t>
      </w:r>
      <w:proofErr w:type="spellEnd"/>
      <w:r w:rsidRPr="007122AB">
        <w:rPr>
          <w:rFonts w:ascii="Times New Roman" w:hAnsi="Times New Roman"/>
          <w:color w:val="000000" w:themeColor="text1"/>
          <w:sz w:val="16"/>
          <w:szCs w:val="16"/>
        </w:rPr>
        <w:t>». Это произошло при испытании большого двигателя, спроектированного и названного в отличие от “яйца” «яйцом эпиорниса». Предполагалось, что этот двигатель обеспечит тягу в 64 кг, а фактически он дал только 50 кг. Во время съемки компанией «УФА» киножурнала «Ракеты», посвященного работам «Общества межпланетных сообщений», один такой «</w:t>
      </w:r>
      <w:proofErr w:type="spellStart"/>
      <w:r w:rsidRPr="007122AB">
        <w:rPr>
          <w:rFonts w:ascii="Times New Roman" w:hAnsi="Times New Roman"/>
          <w:color w:val="000000" w:themeColor="text1"/>
          <w:sz w:val="16"/>
          <w:szCs w:val="16"/>
        </w:rPr>
        <w:t>Repulsor</w:t>
      </w:r>
      <w:proofErr w:type="spellEnd"/>
      <w:r w:rsidRPr="007122AB">
        <w:rPr>
          <w:rFonts w:ascii="Times New Roman" w:hAnsi="Times New Roman"/>
          <w:color w:val="000000" w:themeColor="text1"/>
          <w:sz w:val="16"/>
          <w:szCs w:val="16"/>
        </w:rPr>
        <w:t>» порвал свой парашют, ударился в крышу соседнего сарая и последними каплями горючего поджег его. Сарай был старым, и ничего ценного в нем не хранилось, однако он принадлежал полицейскому участку, находившемуся напротив. Полиция нагрянула в «</w:t>
      </w:r>
      <w:proofErr w:type="spellStart"/>
      <w:r w:rsidRPr="007122AB">
        <w:rPr>
          <w:rFonts w:ascii="Times New Roman" w:hAnsi="Times New Roman"/>
          <w:color w:val="000000" w:themeColor="text1"/>
          <w:sz w:val="16"/>
          <w:szCs w:val="16"/>
        </w:rPr>
        <w:t>Ракетенфлюгплатц</w:t>
      </w:r>
      <w:proofErr w:type="spellEnd"/>
      <w:r w:rsidRPr="007122AB">
        <w:rPr>
          <w:rFonts w:ascii="Times New Roman" w:hAnsi="Times New Roman"/>
          <w:color w:val="000000" w:themeColor="text1"/>
          <w:sz w:val="16"/>
          <w:szCs w:val="16"/>
        </w:rPr>
        <w:t>», и дальнейшие полеты было тут же запрещены. Началось долгое разбирательство дела, закончившееся показательным запуском ракеты (только для полиции), после чего запрещение было снято (11688).</w:t>
      </w:r>
    </w:p>
    <w:p w14:paraId="0E2EE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D89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в Испании была объявлена республика и король Альфонс 13 отправился в изгнание (2283).</w:t>
      </w:r>
    </w:p>
    <w:p w14:paraId="0B29C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0F8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 1931 в Испании состоялись муниципальные выборы, на которых сторонники монархии потерпели поражение. Победившие республиканцы призвали Альфонсо ХIII отречься от престола. В ответ король покинул страну, но отказался от формального отречения. К власти пришло коалиционное правительство социалистов, либералов и республиканцев при участии нескольких монархистов. Испания была провозглашена республикой. Была намечена программа умеренных преобразований, проведение которых, однако, было сразу же осложнено конфликтами нового режима с католической церковью, с одной стороны, и оппозицией анархистов и коммунистов, с другой (3871).</w:t>
      </w:r>
    </w:p>
    <w:p w14:paraId="373947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68755A" w14:textId="77777777" w:rsidR="00354892" w:rsidRPr="007122AB" w:rsidRDefault="003548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1931 г. в районе Хами, Турфана, </w:t>
      </w:r>
      <w:proofErr w:type="spellStart"/>
      <w:r w:rsidRPr="007122AB">
        <w:rPr>
          <w:rFonts w:ascii="Times New Roman" w:hAnsi="Times New Roman"/>
          <w:color w:val="000000" w:themeColor="text1"/>
          <w:sz w:val="16"/>
          <w:szCs w:val="16"/>
        </w:rPr>
        <w:t>Баркуля</w:t>
      </w:r>
      <w:proofErr w:type="spellEnd"/>
      <w:r w:rsidRPr="007122AB">
        <w:rPr>
          <w:rFonts w:ascii="Times New Roman" w:hAnsi="Times New Roman"/>
          <w:color w:val="000000" w:themeColor="text1"/>
          <w:sz w:val="16"/>
          <w:szCs w:val="16"/>
        </w:rPr>
        <w:t xml:space="preserve"> вспыхнуло восстание под антики</w:t>
      </w:r>
      <w:r w:rsidRPr="007122AB">
        <w:rPr>
          <w:rFonts w:ascii="Times New Roman" w:hAnsi="Times New Roman"/>
          <w:color w:val="000000" w:themeColor="text1"/>
          <w:sz w:val="16"/>
          <w:szCs w:val="16"/>
        </w:rPr>
        <w:softHyphen/>
        <w:t>тайскими лозунгами с участием уйгуров, дунган, казахов, монголов и других народно</w:t>
      </w:r>
      <w:r w:rsidRPr="007122AB">
        <w:rPr>
          <w:rFonts w:ascii="Times New Roman" w:hAnsi="Times New Roman"/>
          <w:color w:val="000000" w:themeColor="text1"/>
          <w:sz w:val="16"/>
          <w:szCs w:val="16"/>
        </w:rPr>
        <w:softHyphen/>
        <w:t>стей Синьцзяна. В нём активно участвовали самые широкие слои населения — от феодалов, духовенства и купечества до ремесленников и крестьян. Из соседней провин</w:t>
      </w:r>
      <w:r w:rsidRPr="007122AB">
        <w:rPr>
          <w:rFonts w:ascii="Times New Roman" w:hAnsi="Times New Roman"/>
          <w:color w:val="000000" w:themeColor="text1"/>
          <w:sz w:val="16"/>
          <w:szCs w:val="16"/>
        </w:rPr>
        <w:softHyphen/>
        <w:t xml:space="preserve">ции Ганьсу повстанцев активно поддерживал генерал Ма </w:t>
      </w:r>
      <w:proofErr w:type="spellStart"/>
      <w:r w:rsidRPr="007122AB">
        <w:rPr>
          <w:rFonts w:ascii="Times New Roman" w:hAnsi="Times New Roman"/>
          <w:color w:val="000000" w:themeColor="text1"/>
          <w:sz w:val="16"/>
          <w:szCs w:val="16"/>
        </w:rPr>
        <w:t>Чжунин</w:t>
      </w:r>
      <w:proofErr w:type="spellEnd"/>
      <w:r w:rsidRPr="007122AB">
        <w:rPr>
          <w:rFonts w:ascii="Times New Roman" w:hAnsi="Times New Roman"/>
          <w:color w:val="000000" w:themeColor="text1"/>
          <w:sz w:val="16"/>
          <w:szCs w:val="16"/>
        </w:rPr>
        <w:t>, его армия состояла в основном из дунган. Политическую поддержку оказали Япония и Великобритания (15802).</w:t>
      </w:r>
    </w:p>
    <w:p w14:paraId="616AC22E" w14:textId="77777777" w:rsidR="00354892" w:rsidRPr="007122AB" w:rsidRDefault="00354892" w:rsidP="007122AB">
      <w:pPr>
        <w:spacing w:after="0" w:line="240" w:lineRule="auto"/>
        <w:jc w:val="both"/>
        <w:rPr>
          <w:rFonts w:ascii="Times New Roman" w:hAnsi="Times New Roman"/>
          <w:color w:val="000000" w:themeColor="text1"/>
          <w:sz w:val="16"/>
          <w:szCs w:val="16"/>
        </w:rPr>
      </w:pPr>
    </w:p>
    <w:p w14:paraId="57A8394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BAB099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9C2F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апреле—июне 1931 года на нико</w:t>
      </w:r>
      <w:r w:rsidRPr="007122AB">
        <w:rPr>
          <w:rFonts w:ascii="Times New Roman" w:hAnsi="Times New Roman"/>
          <w:color w:val="000000" w:themeColor="text1"/>
          <w:sz w:val="16"/>
          <w:szCs w:val="16"/>
        </w:rPr>
        <w:softHyphen/>
        <w:t xml:space="preserve">лаевском заводе им. А. Марти заложили два сторожевых — "Гром" и "Бурун" (пр. 4). Усовершенствование их по сравнению с прототипом выразилось в попытке повысить </w:t>
      </w:r>
      <w:proofErr w:type="spellStart"/>
      <w:r w:rsidRPr="007122AB">
        <w:rPr>
          <w:rFonts w:ascii="Times New Roman" w:hAnsi="Times New Roman"/>
          <w:color w:val="000000" w:themeColor="text1"/>
          <w:sz w:val="16"/>
          <w:szCs w:val="16"/>
        </w:rPr>
        <w:t>паропроизводитель-ность</w:t>
      </w:r>
      <w:proofErr w:type="spellEnd"/>
      <w:r w:rsidRPr="007122AB">
        <w:rPr>
          <w:rFonts w:ascii="Times New Roman" w:hAnsi="Times New Roman"/>
          <w:color w:val="000000" w:themeColor="text1"/>
          <w:sz w:val="16"/>
          <w:szCs w:val="16"/>
        </w:rPr>
        <w:t xml:space="preserve"> котлов и избежать перегрузки. И то, и другое не удалось. Ко</w:t>
      </w:r>
      <w:r w:rsidRPr="007122AB">
        <w:rPr>
          <w:rFonts w:ascii="Times New Roman" w:hAnsi="Times New Roman"/>
          <w:color w:val="000000" w:themeColor="text1"/>
          <w:sz w:val="16"/>
          <w:szCs w:val="16"/>
        </w:rPr>
        <w:softHyphen/>
        <w:t>рабли II серии были в разобранном виде перевезены по железной дороге во Владивосток, собраны на Дальзаводе, спущены на воду в июне—сентябре 1934 г. и к ноябрю 1935 г. вступили в строй (3898).</w:t>
      </w:r>
    </w:p>
    <w:p w14:paraId="51D6A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D67E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Авиапромышленность:</w:t>
      </w:r>
    </w:p>
    <w:p w14:paraId="0CBAE28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8FEF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маю 1931 было закончено строительство ТБ-5 (556,28).</w:t>
      </w:r>
    </w:p>
    <w:p w14:paraId="44EDEC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998A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маю 1931 г. отказались от решения сохранить на </w:t>
      </w:r>
      <w:proofErr w:type="spellStart"/>
      <w:r w:rsidRPr="007122AB">
        <w:rPr>
          <w:rFonts w:ascii="Times New Roman" w:hAnsi="Times New Roman"/>
          <w:color w:val="000000" w:themeColor="text1"/>
          <w:sz w:val="16"/>
          <w:szCs w:val="16"/>
        </w:rPr>
        <w:t>морсков</w:t>
      </w:r>
      <w:proofErr w:type="spellEnd"/>
      <w:r w:rsidRPr="007122AB">
        <w:rPr>
          <w:rFonts w:ascii="Times New Roman" w:hAnsi="Times New Roman"/>
          <w:color w:val="000000" w:themeColor="text1"/>
          <w:sz w:val="16"/>
          <w:szCs w:val="16"/>
        </w:rPr>
        <w:t xml:space="preserve"> Р-5а большую часть колесного шасси, пропустив поперечную трубу рамы через гнезда для полуосей. Поскольку заданием требовалась эксплуатация машины при волнении до 0,8 м, понадобилось произвести усиление первой рамы фюзеляжа, переднего лонжерона нижнего крыла и ряд местных подкреплений. Поскольку передние подкосы от поплавков через башмак крепились к </w:t>
      </w:r>
      <w:proofErr w:type="spellStart"/>
      <w:r w:rsidRPr="007122AB">
        <w:rPr>
          <w:rFonts w:ascii="Times New Roman" w:hAnsi="Times New Roman"/>
          <w:color w:val="000000" w:themeColor="text1"/>
          <w:sz w:val="16"/>
          <w:szCs w:val="16"/>
        </w:rPr>
        <w:t>мотораме</w:t>
      </w:r>
      <w:proofErr w:type="spellEnd"/>
      <w:r w:rsidRPr="007122AB">
        <w:rPr>
          <w:rFonts w:ascii="Times New Roman" w:hAnsi="Times New Roman"/>
          <w:color w:val="000000" w:themeColor="text1"/>
          <w:sz w:val="16"/>
          <w:szCs w:val="16"/>
        </w:rPr>
        <w:t>, ее тоже усилили. Уложиться при этом в поставленный 10%-</w:t>
      </w:r>
      <w:proofErr w:type="spellStart"/>
      <w:r w:rsidRPr="007122AB">
        <w:rPr>
          <w:rFonts w:ascii="Times New Roman" w:hAnsi="Times New Roman"/>
          <w:color w:val="000000" w:themeColor="text1"/>
          <w:sz w:val="16"/>
          <w:szCs w:val="16"/>
        </w:rPr>
        <w:t>ный</w:t>
      </w:r>
      <w:proofErr w:type="spellEnd"/>
      <w:r w:rsidRPr="007122AB">
        <w:rPr>
          <w:rFonts w:ascii="Times New Roman" w:hAnsi="Times New Roman"/>
          <w:color w:val="000000" w:themeColor="text1"/>
          <w:sz w:val="16"/>
          <w:szCs w:val="16"/>
        </w:rPr>
        <w:t xml:space="preserve"> лимит оказалось невозможно. Учитывая увеличение боковой поверхности самолета площадь киля нарастили почти в два раза. Ненужный на воде костыль заменили причальным кольцом. А вот требование об установке нового пропеллера проигнорировали - он остался таким же, как у сухопутного разведчика.</w:t>
      </w:r>
    </w:p>
    <w:p w14:paraId="7B524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Бомбовое вооружение было значительно слабее, чем у колесного варианта. По первоначальному заданию требовали подвеску бомбы весом 250 кг по оси фюзеляжа, но ее креплению мешала рама поплавков. Потом ограничились шестью бомбодержателями под 100-кг бомбу каждый: четыре под нижним крылом, два - под фюзеляжем. Но и этот вес оказался для Р-5а чрезмерным. В результате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соответствовало Р-5 (12034).</w:t>
      </w:r>
    </w:p>
    <w:p w14:paraId="1E5FE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D549B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479F58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CC31A7" w14:textId="77777777" w:rsidR="00D10B4F" w:rsidRPr="007122AB" w:rsidRDefault="00D10B4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1-му мая 1931 года бомбардировщик ТБ-5 выкатили на аэродром. После проверок и доводок было решено выпустить машину в воздух. 30-го июня летчик–испытатель Б.Л. Бухгольц совершил первый пробный полет вблизи Центрального аэродрома. Перед полетом высказывались опасения в отношении управляемости такой тяжелой машины. Всех интересовало, в частности, как поведет себя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Бухгольц после приземления развеял все сомнения, заявив следующее:</w:t>
      </w:r>
    </w:p>
    <w:p w14:paraId="25999AB4" w14:textId="77777777" w:rsidR="00D10B4F" w:rsidRPr="007122AB" w:rsidRDefault="00D10B4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Устойчивость в воздухе хорошая. Легкость управления машиной невиданная. Очень малы нагрузки на рули.</w:t>
      </w:r>
    </w:p>
    <w:p w14:paraId="10D0A65D" w14:textId="77777777" w:rsidR="00D10B4F" w:rsidRPr="007122AB" w:rsidRDefault="00D10B4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20-му июля самолет совершил несколько успешных полетов. Максимальная дальность при полной загрузке составила 2100 км. Полетная масса при этом равнялась 12060 кг, из них топливо - 2410 кг, бомбовая нагрузка - 500 кг. Максимальная скорость составила 180 км/час у земли, практический потолок 3500 м, разбег при взлете 400-420 м.</w:t>
      </w:r>
    </w:p>
    <w:p w14:paraId="2F8AEF64" w14:textId="77777777" w:rsidR="00D10B4F" w:rsidRPr="007122AB" w:rsidRDefault="00D10B4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полученные на испытаниях летные характеристики ТБ-5 оценивались как невысокие в сравнении с уже летавшим в течение полугода бомбардировщиком ТБ-3, опытный экземпляр которого был поднят летчиком М.М. Громовым 22-го декабря 1930 года. Причиной тому являлась не вполне удачная </w:t>
      </w:r>
      <w:proofErr w:type="spellStart"/>
      <w:r w:rsidRPr="007122AB">
        <w:rPr>
          <w:rFonts w:ascii="Times New Roman" w:hAnsi="Times New Roman"/>
          <w:color w:val="000000" w:themeColor="text1"/>
          <w:sz w:val="16"/>
          <w:szCs w:val="16"/>
        </w:rPr>
        <w:t>мотоустановка</w:t>
      </w:r>
      <w:proofErr w:type="spellEnd"/>
      <w:r w:rsidRPr="007122AB">
        <w:rPr>
          <w:rFonts w:ascii="Times New Roman" w:hAnsi="Times New Roman"/>
          <w:color w:val="000000" w:themeColor="text1"/>
          <w:sz w:val="16"/>
          <w:szCs w:val="16"/>
        </w:rPr>
        <w:t xml:space="preserve"> ТБ-5. Двигатели были оснащены воздушными винтами, более подходящими для истребителей. Кроме того, винты задних «Юпитеров» пришлось значительно уменьшить в диаметре из-за невозможности размещения их под крылом.</w:t>
      </w:r>
    </w:p>
    <w:p w14:paraId="000E8C40" w14:textId="77777777" w:rsidR="00D10B4F" w:rsidRPr="007122AB" w:rsidRDefault="00D10B4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Вместе с тем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Улучшение </w:t>
      </w:r>
      <w:proofErr w:type="spellStart"/>
      <w:r w:rsidRPr="007122AB">
        <w:rPr>
          <w:rFonts w:ascii="Times New Roman" w:hAnsi="Times New Roman"/>
          <w:color w:val="000000" w:themeColor="text1"/>
          <w:sz w:val="16"/>
          <w:szCs w:val="16"/>
        </w:rPr>
        <w:t>летно</w:t>
      </w:r>
      <w:proofErr w:type="spellEnd"/>
      <w:r w:rsidRPr="007122AB">
        <w:rPr>
          <w:rFonts w:ascii="Times New Roman" w:hAnsi="Times New Roman"/>
          <w:color w:val="000000" w:themeColor="text1"/>
          <w:sz w:val="16"/>
          <w:szCs w:val="16"/>
        </w:rPr>
        <w:t xml:space="preserve">–технических характеристик самолета связывали с установкой двигателей ФЭД. Летом 1931 года на моторном заводе № 24 находилось 12 </w:t>
      </w:r>
      <w:proofErr w:type="spellStart"/>
      <w:r w:rsidRPr="007122AB">
        <w:rPr>
          <w:rFonts w:ascii="Times New Roman" w:hAnsi="Times New Roman"/>
          <w:color w:val="000000" w:themeColor="text1"/>
          <w:sz w:val="16"/>
          <w:szCs w:val="16"/>
        </w:rPr>
        <w:t>ФЭДов</w:t>
      </w:r>
      <w:proofErr w:type="spellEnd"/>
      <w:r w:rsidRPr="007122AB">
        <w:rPr>
          <w:rFonts w:ascii="Times New Roman" w:hAnsi="Times New Roman"/>
          <w:color w:val="000000" w:themeColor="text1"/>
          <w:sz w:val="16"/>
          <w:szCs w:val="16"/>
        </w:rPr>
        <w:t>, и еще на 10 имелся задел деталей (15223).</w:t>
      </w:r>
    </w:p>
    <w:p w14:paraId="49271A36" w14:textId="77777777" w:rsidR="00D10B4F" w:rsidRPr="007122AB" w:rsidRDefault="00D10B4F" w:rsidP="007122AB">
      <w:pPr>
        <w:shd w:val="clear" w:color="auto" w:fill="FFFFFF"/>
        <w:spacing w:after="0" w:line="240" w:lineRule="auto"/>
        <w:jc w:val="both"/>
        <w:rPr>
          <w:rFonts w:ascii="Times New Roman" w:hAnsi="Times New Roman"/>
          <w:color w:val="000000" w:themeColor="text1"/>
          <w:sz w:val="16"/>
          <w:szCs w:val="16"/>
        </w:rPr>
      </w:pPr>
    </w:p>
    <w:p w14:paraId="7C257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на аэродром вывели ТБ-5 (8 по плану ЦКБ) (92,435). Испытывал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(2433,175).</w:t>
      </w:r>
    </w:p>
    <w:p w14:paraId="440040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A36D84" w14:textId="77777777"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мая 1931 г. точно по плану начались испытания тяжелого бомбардировщика ТБ-5 разработки ЦКБ-39 (ответственный конструктор Д.П. Григорович). Но самолет оказался неудачен и на вооружение его не приняли (23559).</w:t>
      </w:r>
    </w:p>
    <w:p w14:paraId="28AD517F" w14:textId="77777777" w:rsidR="00A24023" w:rsidRPr="00441F34" w:rsidRDefault="00A24023" w:rsidP="00A24023">
      <w:pPr>
        <w:spacing w:after="0" w:line="240" w:lineRule="auto"/>
        <w:jc w:val="both"/>
        <w:rPr>
          <w:rFonts w:ascii="Times New Roman" w:hAnsi="Times New Roman"/>
          <w:color w:val="0070C0"/>
          <w:sz w:val="16"/>
          <w:szCs w:val="16"/>
        </w:rPr>
      </w:pPr>
    </w:p>
    <w:p w14:paraId="58C323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доработанный ТБ-3 (АНТ-6) с BMW продемонстрировали в воздухе над Красной площадью (8887).</w:t>
      </w:r>
    </w:p>
    <w:p w14:paraId="51428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02C6BB" w14:textId="77777777" w:rsidR="00D10B4F" w:rsidRPr="007122AB" w:rsidRDefault="00D10B4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мая</w:t>
      </w:r>
      <w:r w:rsidRPr="007122AB">
        <w:rPr>
          <w:rFonts w:ascii="Times New Roman" w:hAnsi="Times New Roman"/>
          <w:color w:val="000000" w:themeColor="text1"/>
          <w:sz w:val="16"/>
          <w:szCs w:val="16"/>
        </w:rPr>
        <w:t xml:space="preserve"> в 1931 году истребители «И-5» впервые были показаны на воздушном параде над Москвой. Над Красной площадью летали, демонстрируя высший пилотаж, </w:t>
      </w:r>
      <w:proofErr w:type="spellStart"/>
      <w:r w:rsidRPr="007122AB">
        <w:rPr>
          <w:rFonts w:ascii="Times New Roman" w:hAnsi="Times New Roman"/>
          <w:color w:val="000000" w:themeColor="text1"/>
          <w:sz w:val="16"/>
          <w:szCs w:val="16"/>
        </w:rPr>
        <w:t>А.Б.Юмашев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xml:space="preserve">. Возглавлял группу И-5 начальник ВВС РККА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на ярко-красном "Климе Ворошилове", который стал его личным самолетом (14878).</w:t>
      </w:r>
    </w:p>
    <w:p w14:paraId="628EB3C5" w14:textId="77777777" w:rsidR="00D10B4F" w:rsidRPr="007122AB" w:rsidRDefault="00D10B4F" w:rsidP="007122AB">
      <w:pPr>
        <w:spacing w:after="0" w:line="240" w:lineRule="auto"/>
        <w:jc w:val="both"/>
        <w:rPr>
          <w:rFonts w:ascii="Times New Roman" w:hAnsi="Times New Roman"/>
          <w:color w:val="000000" w:themeColor="text1"/>
          <w:sz w:val="16"/>
          <w:szCs w:val="16"/>
        </w:rPr>
      </w:pPr>
    </w:p>
    <w:p w14:paraId="179383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 в воздушном параде над Красной пло</w:t>
      </w:r>
      <w:r w:rsidRPr="007122AB">
        <w:rPr>
          <w:rFonts w:ascii="Times New Roman" w:hAnsi="Times New Roman"/>
          <w:color w:val="000000" w:themeColor="text1"/>
          <w:sz w:val="16"/>
          <w:szCs w:val="16"/>
        </w:rPr>
        <w:softHyphen/>
        <w:t>щадью пролетели на И-5, демонстрируя высший пило</w:t>
      </w:r>
      <w:r w:rsidRPr="007122AB">
        <w:rPr>
          <w:rFonts w:ascii="Times New Roman" w:hAnsi="Times New Roman"/>
          <w:color w:val="000000" w:themeColor="text1"/>
          <w:sz w:val="16"/>
          <w:szCs w:val="16"/>
        </w:rPr>
        <w:softHyphen/>
        <w:t xml:space="preserve">таж, </w:t>
      </w:r>
      <w:proofErr w:type="spellStart"/>
      <w:r w:rsidRPr="007122AB">
        <w:rPr>
          <w:rFonts w:ascii="Times New Roman" w:hAnsi="Times New Roman"/>
          <w:color w:val="000000" w:themeColor="text1"/>
          <w:sz w:val="16"/>
          <w:szCs w:val="16"/>
        </w:rPr>
        <w:t>А.Б.Юмашев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В руках опытных пилотов машина безупречно вы</w:t>
      </w:r>
      <w:r w:rsidRPr="007122AB">
        <w:rPr>
          <w:rFonts w:ascii="Times New Roman" w:hAnsi="Times New Roman"/>
          <w:color w:val="000000" w:themeColor="text1"/>
          <w:sz w:val="16"/>
          <w:szCs w:val="16"/>
        </w:rPr>
        <w:softHyphen/>
        <w:t>полняла все фигуры высшего пилотажа. Великолепный летчик Анисимов часто пилотировал самолет на пре</w:t>
      </w:r>
      <w:r w:rsidRPr="007122AB">
        <w:rPr>
          <w:rFonts w:ascii="Times New Roman" w:hAnsi="Times New Roman"/>
          <w:color w:val="000000" w:themeColor="text1"/>
          <w:sz w:val="16"/>
          <w:szCs w:val="16"/>
        </w:rPr>
        <w:softHyphen/>
        <w:t>дельно малой высоте. Он погиб в августе 1934 г., выполняя подряд три петли с выходом у самой земли. Завер</w:t>
      </w:r>
      <w:r w:rsidRPr="007122AB">
        <w:rPr>
          <w:rFonts w:ascii="Times New Roman" w:hAnsi="Times New Roman"/>
          <w:color w:val="000000" w:themeColor="text1"/>
          <w:sz w:val="16"/>
          <w:szCs w:val="16"/>
        </w:rPr>
        <w:softHyphen/>
        <w:t>шая последнюю, он увидел пересекающий ему путь раз</w:t>
      </w:r>
      <w:r w:rsidRPr="007122AB">
        <w:rPr>
          <w:rFonts w:ascii="Times New Roman" w:hAnsi="Times New Roman"/>
          <w:color w:val="000000" w:themeColor="text1"/>
          <w:sz w:val="16"/>
          <w:szCs w:val="16"/>
        </w:rPr>
        <w:softHyphen/>
        <w:t>ведчик Р-5. Уклониться от самолета на малой высоте летчику не удалось...(10667).</w:t>
      </w:r>
    </w:p>
    <w:p w14:paraId="1127CE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306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И-5 впервые показали на параде над Красной площадью. Группу вёл на ярко-красном самолёте с надписью "Клим Ворошилов" Я.И. Алкснис. Лётчики А.Б. Юмашев и А.Ф. Анисимов выполнили несколько фигур высшего пилотажа. Но машины и пилоты были не из строевой части - их взяли из НИИ ВВС. С тех пор это стало традицией на несколько лет: авиационные парады открывала пятёрка красных И-5, которые вели лучшие лётчики страны. Возглавлял группу А.Ф. Анисимов, признанный мастер высшего пилотажа (11997).</w:t>
      </w:r>
    </w:p>
    <w:p w14:paraId="238653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411B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на параде был ТБ-5 (ЦКБ N 8) Д.П.Г. под управлением л </w:t>
      </w:r>
      <w:proofErr w:type="spellStart"/>
      <w:r w:rsidRPr="007122AB">
        <w:rPr>
          <w:rFonts w:ascii="Times New Roman" w:hAnsi="Times New Roman"/>
          <w:color w:val="000000" w:themeColor="text1"/>
          <w:sz w:val="16"/>
          <w:szCs w:val="16"/>
        </w:rPr>
        <w:t>Б.Л.Бухгольца</w:t>
      </w:r>
      <w:proofErr w:type="spellEnd"/>
      <w:r w:rsidRPr="007122AB">
        <w:rPr>
          <w:rFonts w:ascii="Times New Roman" w:hAnsi="Times New Roman"/>
          <w:color w:val="000000" w:themeColor="text1"/>
          <w:sz w:val="16"/>
          <w:szCs w:val="16"/>
        </w:rPr>
        <w:t>. Потом разбил М.М.Г. (1022,22).</w:t>
      </w:r>
    </w:p>
    <w:p w14:paraId="23D442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05C118"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1-му мая 1931 года бомбардировщик ТБ-5 выкатили на аэродром. После проверок и доводок было решено выпустить машину в воздух (18293). </w:t>
      </w:r>
    </w:p>
    <w:p w14:paraId="74CD799A"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09BEF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на параде над КП прошли серийные И-5. Группу возглавлял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на красном "КВ" (191,22).</w:t>
      </w:r>
    </w:p>
    <w:p w14:paraId="7E50A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E0D5DA" w14:textId="77777777" w:rsidR="002D39AF" w:rsidRPr="007122AB" w:rsidRDefault="002D39AF" w:rsidP="007122AB">
      <w:pPr>
        <w:pStyle w:val="ae"/>
        <w:shd w:val="clear" w:color="auto" w:fill="FFFFFF"/>
        <w:spacing w:before="0" w:after="0"/>
        <w:jc w:val="both"/>
        <w:textAlignment w:val="baseline"/>
        <w:rPr>
          <w:color w:val="000000" w:themeColor="text1"/>
          <w:sz w:val="16"/>
          <w:szCs w:val="16"/>
        </w:rPr>
      </w:pPr>
      <w:r w:rsidRPr="007122AB">
        <w:rPr>
          <w:color w:val="000000" w:themeColor="text1"/>
          <w:sz w:val="16"/>
          <w:szCs w:val="16"/>
        </w:rPr>
        <w:t>1 мая 1931 г. И-5 впервые показали на воздушном параде в Москве. Высший пилотаж над Красной площадью продемонстрировала группа во главе с начальником (по-современному главкомом) ВВС Я. Алкснисом, летавшем на выкрашенном в красный цвет истребителе с надписью «Клим Ворошилов» (это был второй опытный экземпляр). «Ворошилов» с тех пор стал его личным само</w:t>
      </w:r>
      <w:r w:rsidRPr="007122AB">
        <w:rPr>
          <w:color w:val="000000" w:themeColor="text1"/>
          <w:sz w:val="16"/>
          <w:szCs w:val="16"/>
        </w:rPr>
        <w:softHyphen/>
        <w:t>летом (19176).</w:t>
      </w:r>
    </w:p>
    <w:p w14:paraId="2A78F638" w14:textId="77777777" w:rsidR="002D39AF" w:rsidRPr="007122AB" w:rsidRDefault="002D39AF" w:rsidP="007122AB">
      <w:pPr>
        <w:pStyle w:val="ae"/>
        <w:shd w:val="clear" w:color="auto" w:fill="FFFFFF"/>
        <w:spacing w:before="0" w:after="0"/>
        <w:jc w:val="both"/>
        <w:textAlignment w:val="baseline"/>
        <w:rPr>
          <w:color w:val="000000" w:themeColor="text1"/>
          <w:sz w:val="16"/>
          <w:szCs w:val="16"/>
        </w:rPr>
      </w:pPr>
    </w:p>
    <w:p w14:paraId="7D8A9D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ГРОСС был закончен исполкомовский К-10 К.А.К. (70,188).</w:t>
      </w:r>
    </w:p>
    <w:p w14:paraId="49B90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55D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был закончен производством первый М-34 750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и поставлен на станок (2281,67).</w:t>
      </w:r>
    </w:p>
    <w:p w14:paraId="2A3D82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CBA64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 мая 1931 года харьковская Лаборатория двигателей внутреннего сгорания Украинского научно-исследовательского института </w:t>
      </w:r>
      <w:proofErr w:type="spellStart"/>
      <w:r w:rsidRPr="007122AB">
        <w:rPr>
          <w:rFonts w:ascii="Times New Roman" w:hAnsi="Times New Roman"/>
          <w:color w:val="000000" w:themeColor="text1"/>
          <w:sz w:val="16"/>
          <w:szCs w:val="16"/>
        </w:rPr>
        <w:t>промэнергетики</w:t>
      </w:r>
      <w:proofErr w:type="spellEnd"/>
      <w:r w:rsidRPr="007122AB">
        <w:rPr>
          <w:rFonts w:ascii="Times New Roman" w:hAnsi="Times New Roman"/>
          <w:color w:val="000000" w:themeColor="text1"/>
          <w:sz w:val="16"/>
          <w:szCs w:val="16"/>
        </w:rPr>
        <w:t xml:space="preserve">, организованная 29 ноября 1929 года, стала филиалом Украинского научно-исследовательского института </w:t>
      </w:r>
      <w:proofErr w:type="spellStart"/>
      <w:r w:rsidRPr="007122AB">
        <w:rPr>
          <w:rFonts w:ascii="Times New Roman" w:hAnsi="Times New Roman"/>
          <w:color w:val="000000" w:themeColor="text1"/>
          <w:sz w:val="16"/>
          <w:szCs w:val="16"/>
        </w:rPr>
        <w:t>промэнергетики</w:t>
      </w:r>
      <w:proofErr w:type="spellEnd"/>
      <w:r w:rsidRPr="007122AB">
        <w:rPr>
          <w:rFonts w:ascii="Times New Roman" w:hAnsi="Times New Roman"/>
          <w:color w:val="000000" w:themeColor="text1"/>
          <w:sz w:val="16"/>
          <w:szCs w:val="16"/>
        </w:rPr>
        <w:t xml:space="preserve">. С 1 января 1932 года - Украинский научно-исследовательский институт двигателей внутреннего сгорания в системе ВСНХ УССР, затем Наркомтяжпрома. С 15 марта 1932 года - Научно-исследовательский институт двигателей внутреннего сгорания (Харьковский филиал НИИ ГВФ). С 3 августа 1932 года Украинский научно-исследовательский </w:t>
      </w:r>
      <w:proofErr w:type="spellStart"/>
      <w:r w:rsidRPr="007122AB">
        <w:rPr>
          <w:rFonts w:ascii="Times New Roman" w:hAnsi="Times New Roman"/>
          <w:color w:val="000000" w:themeColor="text1"/>
          <w:sz w:val="16"/>
          <w:szCs w:val="16"/>
        </w:rPr>
        <w:t>авиадизельный</w:t>
      </w:r>
      <w:proofErr w:type="spellEnd"/>
      <w:r w:rsidRPr="007122AB">
        <w:rPr>
          <w:rFonts w:ascii="Times New Roman" w:hAnsi="Times New Roman"/>
          <w:color w:val="000000" w:themeColor="text1"/>
          <w:sz w:val="16"/>
          <w:szCs w:val="16"/>
        </w:rPr>
        <w:t xml:space="preserve"> институт Харьковский филиал НИИ авиационных двигателей ГВФ "Аэрофлота" (7726, 31-47).</w:t>
      </w:r>
    </w:p>
    <w:p w14:paraId="63B6D3C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7E829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мая по 1 августа 1931 г. была проведена обкатка и пред</w:t>
      </w:r>
      <w:r w:rsidRPr="007122AB">
        <w:rPr>
          <w:rFonts w:ascii="Times New Roman" w:hAnsi="Times New Roman"/>
          <w:color w:val="000000" w:themeColor="text1"/>
          <w:sz w:val="16"/>
          <w:szCs w:val="16"/>
        </w:rPr>
        <w:softHyphen/>
        <w:t>варительное испытание «полномасштабного» мотора. С 2 августа по 7 ноября М-34 успешно прошел 100-часовые госиспытания и в нача</w:t>
      </w:r>
      <w:r w:rsidRPr="007122AB">
        <w:rPr>
          <w:rFonts w:ascii="Times New Roman" w:hAnsi="Times New Roman"/>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7122AB">
        <w:rPr>
          <w:rFonts w:ascii="Times New Roman" w:hAnsi="Times New Roman"/>
          <w:color w:val="000000" w:themeColor="text1"/>
          <w:sz w:val="16"/>
          <w:szCs w:val="16"/>
        </w:rPr>
        <w:softHyphen/>
        <w:t>ственным серийным, совпала с созданием и становлением Централь</w:t>
      </w:r>
      <w:r w:rsidRPr="007122AB">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7122AB">
        <w:rPr>
          <w:rFonts w:ascii="Times New Roman" w:hAnsi="Times New Roman"/>
          <w:color w:val="000000" w:themeColor="text1"/>
          <w:sz w:val="16"/>
          <w:szCs w:val="16"/>
        </w:rPr>
        <w:softHyphen/>
        <w:t>дающимися для своего времени техническими данными и превосхо</w:t>
      </w:r>
      <w:r w:rsidRPr="007122AB">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7122AB">
        <w:rPr>
          <w:rFonts w:ascii="Times New Roman" w:hAnsi="Times New Roman"/>
          <w:color w:val="000000" w:themeColor="text1"/>
          <w:sz w:val="16"/>
          <w:szCs w:val="16"/>
        </w:rPr>
        <w:softHyphen/>
        <w:t>ша страна получила мощный мотор, являвшийся выдающимся достижени</w:t>
      </w:r>
      <w:r w:rsidRPr="007122AB">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7122AB">
        <w:rPr>
          <w:rFonts w:ascii="Times New Roman" w:hAnsi="Times New Roman"/>
          <w:color w:val="000000" w:themeColor="text1"/>
          <w:sz w:val="16"/>
          <w:szCs w:val="16"/>
        </w:rPr>
        <w:softHyphen/>
        <w:t>лась силовая схема блока, так называе</w:t>
      </w:r>
      <w:r w:rsidRPr="007122AB">
        <w:rPr>
          <w:rFonts w:ascii="Times New Roman" w:hAnsi="Times New Roman"/>
          <w:color w:val="000000" w:themeColor="text1"/>
          <w:sz w:val="16"/>
          <w:szCs w:val="16"/>
        </w:rPr>
        <w:softHyphen/>
        <w:t>мая схема «сжатой рубашки и свободной гильзы&gt;&gt;, которая обеспечи</w:t>
      </w:r>
      <w:r w:rsidRPr="007122AB">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7122AB">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7122AB">
        <w:rPr>
          <w:rFonts w:ascii="Times New Roman" w:hAnsi="Times New Roman"/>
          <w:color w:val="000000" w:themeColor="text1"/>
          <w:sz w:val="16"/>
          <w:szCs w:val="16"/>
        </w:rPr>
        <w:softHyphen/>
        <w:t xml:space="preserve">дельной головки, отдельной рубашки, выполненных из алюминиевого </w:t>
      </w:r>
      <w:proofErr w:type="spellStart"/>
      <w:r w:rsidRPr="007122AB">
        <w:rPr>
          <w:rFonts w:ascii="Times New Roman" w:hAnsi="Times New Roman"/>
          <w:color w:val="000000" w:themeColor="text1"/>
          <w:sz w:val="16"/>
          <w:szCs w:val="16"/>
        </w:rPr>
        <w:t>сплаизготовить</w:t>
      </w:r>
      <w:proofErr w:type="spellEnd"/>
      <w:r w:rsidRPr="007122AB">
        <w:rPr>
          <w:rFonts w:ascii="Times New Roman" w:hAnsi="Times New Roman"/>
          <w:color w:val="000000" w:themeColor="text1"/>
          <w:sz w:val="16"/>
          <w:szCs w:val="16"/>
        </w:rPr>
        <w:t xml:space="preserve"> буквально с «белка») (с кальки) первые двигатели. После 38 часов заводских испытаний моторы предъявили на стендовые го</w:t>
      </w:r>
      <w:r w:rsidRPr="007122AB">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7122AB">
        <w:rPr>
          <w:rFonts w:ascii="Times New Roman" w:hAnsi="Times New Roman"/>
          <w:color w:val="000000" w:themeColor="text1"/>
          <w:sz w:val="16"/>
          <w:szCs w:val="16"/>
        </w:rPr>
        <w:softHyphen/>
        <w:t xml:space="preserve">да № 26. </w:t>
      </w:r>
      <w:r w:rsidRPr="007122AB">
        <w:rPr>
          <w:rFonts w:ascii="Times New Roman" w:hAnsi="Times New Roman"/>
          <w:color w:val="000000" w:themeColor="text1"/>
          <w:sz w:val="16"/>
          <w:szCs w:val="16"/>
        </w:rPr>
        <w:lastRenderedPageBreak/>
        <w:t xml:space="preserve">Именно он дал путевку в жизнь уникальному мотору М-34. Первые М-34 проходили испытания с импортным карбюратором, однако в </w:t>
      </w:r>
      <w:proofErr w:type="spellStart"/>
      <w:r w:rsidRPr="007122AB">
        <w:rPr>
          <w:rFonts w:ascii="Times New Roman" w:hAnsi="Times New Roman"/>
          <w:color w:val="000000" w:themeColor="text1"/>
          <w:sz w:val="16"/>
          <w:szCs w:val="16"/>
        </w:rPr>
        <w:t>ЦИАМе</w:t>
      </w:r>
      <w:proofErr w:type="spellEnd"/>
      <w:r w:rsidRPr="007122AB">
        <w:rPr>
          <w:rFonts w:ascii="Times New Roman" w:hAnsi="Times New Roman"/>
          <w:color w:val="000000" w:themeColor="text1"/>
          <w:sz w:val="16"/>
          <w:szCs w:val="16"/>
        </w:rPr>
        <w:t xml:space="preserve"> конструкторы К.А. Стариков и А.М. </w:t>
      </w:r>
      <w:proofErr w:type="spellStart"/>
      <w:r w:rsidRPr="007122AB">
        <w:rPr>
          <w:rFonts w:ascii="Times New Roman" w:hAnsi="Times New Roman"/>
          <w:color w:val="000000" w:themeColor="text1"/>
          <w:sz w:val="16"/>
          <w:szCs w:val="16"/>
        </w:rPr>
        <w:t>Добротвор-ский</w:t>
      </w:r>
      <w:proofErr w:type="spellEnd"/>
      <w:r w:rsidRPr="007122AB">
        <w:rPr>
          <w:rFonts w:ascii="Times New Roman" w:hAnsi="Times New Roman"/>
          <w:color w:val="000000" w:themeColor="text1"/>
          <w:sz w:val="16"/>
          <w:szCs w:val="16"/>
        </w:rPr>
        <w:t xml:space="preserve"> разработали свой, отечественный, с которым в 1932 г. двигатель был предъявлен на повторные государственные испытания. В октя</w:t>
      </w:r>
      <w:r w:rsidRPr="007122AB">
        <w:rPr>
          <w:rFonts w:ascii="Times New Roman" w:hAnsi="Times New Roman"/>
          <w:color w:val="000000" w:themeColor="text1"/>
          <w:sz w:val="16"/>
          <w:szCs w:val="16"/>
        </w:rPr>
        <w:softHyphen/>
        <w:t>бре 1933 г. самолет ТБ-3 с мотором М-34 прошел летные госиспыта</w:t>
      </w:r>
      <w:r w:rsidRPr="007122AB">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7122AB">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7122AB">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7122AB">
        <w:rPr>
          <w:rFonts w:ascii="Times New Roman" w:hAnsi="Times New Roman"/>
          <w:color w:val="000000" w:themeColor="text1"/>
          <w:sz w:val="16"/>
          <w:szCs w:val="16"/>
        </w:rPr>
        <w:softHyphen/>
        <w:t>ти напротив — застава с биржей извозчиков. А дальше за заводом тя</w:t>
      </w:r>
      <w:r w:rsidRPr="007122AB">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7122AB">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7122AB">
        <w:rPr>
          <w:rFonts w:ascii="Times New Roman" w:hAnsi="Times New Roman"/>
          <w:color w:val="000000" w:themeColor="text1"/>
          <w:sz w:val="16"/>
          <w:szCs w:val="16"/>
        </w:rPr>
        <w:softHyphen/>
        <w:t>менно строились три корпуса, в том числе корпус механических це</w:t>
      </w:r>
      <w:r w:rsidRPr="007122AB">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7122AB">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208A1F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9EC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в составе Объединения ГВФ создали специальное предприятие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(2771,125).</w:t>
      </w:r>
    </w:p>
    <w:p w14:paraId="5C402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54C2B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FBEBC0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4102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мая 1931 все рабочие чертежи танка Т-26 в основном были закончены (10733,175).</w:t>
      </w:r>
    </w:p>
    <w:p w14:paraId="401683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F31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мая 1931 на ленинградском заводе «</w:t>
      </w:r>
      <w:proofErr w:type="spellStart"/>
      <w:r w:rsidRPr="007122AB">
        <w:rPr>
          <w:rFonts w:ascii="Times New Roman" w:hAnsi="Times New Roman"/>
          <w:color w:val="000000" w:themeColor="text1"/>
          <w:sz w:val="16"/>
          <w:szCs w:val="16"/>
        </w:rPr>
        <w:t>Большевик»были</w:t>
      </w:r>
      <w:proofErr w:type="spellEnd"/>
      <w:r w:rsidRPr="007122AB">
        <w:rPr>
          <w:rFonts w:ascii="Times New Roman" w:hAnsi="Times New Roman"/>
          <w:color w:val="000000" w:themeColor="text1"/>
          <w:sz w:val="16"/>
          <w:szCs w:val="16"/>
        </w:rPr>
        <w:t xml:space="preserve"> закончены основные чертежи Т-26, а 16 июня одобрен техпроцесс и завод начал изготовление приспособлений и инструментов для массового производства. С первых дней все попытки заводчан хоть как то упростить технологию изготовления, разбивались о запреты. Требовалось точное копирование заморской «штуковины». Поначалу камнем преткновения стал двигатель, нормой брака по моторам считалось 65%! Ижорский завод подавал отвратительного качества бронекорпуса, они неизменно имели большое количество сквозных трещин. </w:t>
      </w:r>
      <w:proofErr w:type="spellStart"/>
      <w:r w:rsidRPr="007122AB">
        <w:rPr>
          <w:rFonts w:ascii="Times New Roman" w:hAnsi="Times New Roman"/>
          <w:color w:val="000000" w:themeColor="text1"/>
          <w:sz w:val="16"/>
          <w:szCs w:val="16"/>
        </w:rPr>
        <w:t>Бронелисты</w:t>
      </w:r>
      <w:proofErr w:type="spellEnd"/>
      <w:r w:rsidRPr="007122AB">
        <w:rPr>
          <w:rFonts w:ascii="Times New Roman" w:hAnsi="Times New Roman"/>
          <w:color w:val="000000" w:themeColor="text1"/>
          <w:sz w:val="16"/>
          <w:szCs w:val="16"/>
        </w:rPr>
        <w:t xml:space="preserve"> толщиной 10 мм в первый год пробивались винтовочной бронебойной пулей со 150–200 м, хотя это считалось невозможным, тем более, что спешка с освоением танка привела к появлению кустарщины, которая процветала до 1934 года. К тому же стоимость первых Т-26 в два раза превышала стоимость «</w:t>
      </w:r>
      <w:proofErr w:type="spellStart"/>
      <w:r w:rsidRPr="007122AB">
        <w:rPr>
          <w:rFonts w:ascii="Times New Roman" w:hAnsi="Times New Roman"/>
          <w:color w:val="000000" w:themeColor="text1"/>
          <w:sz w:val="16"/>
          <w:szCs w:val="16"/>
        </w:rPr>
        <w:t>Виккерсов</w:t>
      </w:r>
      <w:proofErr w:type="spellEnd"/>
      <w:r w:rsidRPr="007122AB">
        <w:rPr>
          <w:rFonts w:ascii="Times New Roman" w:hAnsi="Times New Roman"/>
          <w:color w:val="000000" w:themeColor="text1"/>
          <w:sz w:val="16"/>
          <w:szCs w:val="16"/>
        </w:rPr>
        <w:t>». Первые Т-26 были собраны с точнейшим следованием английским чертежам, с широким использованием импортных деталей, но двигатели на них работать отказались. Следующие 15 танков тоже не могли двигаться своим ходом и обретали прыть только при перекидке в них мотора с эталонного «Виккерса». Только осенью наши Т-26 стали выползать с территории завода самостоятельно.</w:t>
      </w:r>
    </w:p>
    <w:p w14:paraId="53E05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в то время, когда «наверху» решались судьбы танка сопровождения, закупленные «</w:t>
      </w:r>
      <w:proofErr w:type="spellStart"/>
      <w:r w:rsidRPr="007122AB">
        <w:rPr>
          <w:rFonts w:ascii="Times New Roman" w:hAnsi="Times New Roman"/>
          <w:color w:val="000000" w:themeColor="text1"/>
          <w:sz w:val="16"/>
          <w:szCs w:val="16"/>
        </w:rPr>
        <w:t>шеститонники</w:t>
      </w:r>
      <w:proofErr w:type="spellEnd"/>
      <w:r w:rsidRPr="007122AB">
        <w:rPr>
          <w:rFonts w:ascii="Times New Roman" w:hAnsi="Times New Roman"/>
          <w:color w:val="000000" w:themeColor="text1"/>
          <w:sz w:val="16"/>
          <w:szCs w:val="16"/>
        </w:rPr>
        <w:t xml:space="preserve">» начали расползаться по стране. Танк 216 поступил в ВАММ - военная академия механизации и моторизации имени </w:t>
      </w:r>
      <w:proofErr w:type="spellStart"/>
      <w:r w:rsidRPr="007122AB">
        <w:rPr>
          <w:rFonts w:ascii="Times New Roman" w:hAnsi="Times New Roman"/>
          <w:color w:val="000000" w:themeColor="text1"/>
          <w:sz w:val="16"/>
          <w:szCs w:val="16"/>
        </w:rPr>
        <w:t>И.В.Сталина</w:t>
      </w:r>
      <w:proofErr w:type="spellEnd"/>
      <w:r w:rsidRPr="007122AB">
        <w:rPr>
          <w:rFonts w:ascii="Times New Roman" w:hAnsi="Times New Roman"/>
          <w:color w:val="000000" w:themeColor="text1"/>
          <w:sz w:val="16"/>
          <w:szCs w:val="16"/>
        </w:rPr>
        <w:t xml:space="preserve">, где был разобран для изучения, а танк 215 был для тех же целей отправлен в Сталинград, где предполагалось развернуть его производство. Там новинку разобрали, но собрать, в отличии от </w:t>
      </w:r>
      <w:proofErr w:type="spellStart"/>
      <w:r w:rsidRPr="007122AB">
        <w:rPr>
          <w:rFonts w:ascii="Times New Roman" w:hAnsi="Times New Roman"/>
          <w:color w:val="000000" w:themeColor="text1"/>
          <w:sz w:val="16"/>
          <w:szCs w:val="16"/>
        </w:rPr>
        <w:t>ВАММовцев</w:t>
      </w:r>
      <w:proofErr w:type="spellEnd"/>
      <w:r w:rsidRPr="007122AB">
        <w:rPr>
          <w:rFonts w:ascii="Times New Roman" w:hAnsi="Times New Roman"/>
          <w:color w:val="000000" w:themeColor="text1"/>
          <w:sz w:val="16"/>
          <w:szCs w:val="16"/>
        </w:rPr>
        <w:t xml:space="preserve"> не смогли, поскольку ряд деталей по многолетней традиции были не то утеряны, не то украдены в пути. Кроме того еще два танка (номера не установлены) были отправлены для ознакомления в Харьков и в Ленинград. Уже в ходе работ по сборке первых Т-26, корпус одного из «</w:t>
      </w:r>
      <w:proofErr w:type="spellStart"/>
      <w:r w:rsidRPr="007122AB">
        <w:rPr>
          <w:rFonts w:ascii="Times New Roman" w:hAnsi="Times New Roman"/>
          <w:color w:val="000000" w:themeColor="text1"/>
          <w:sz w:val="16"/>
          <w:szCs w:val="16"/>
        </w:rPr>
        <w:t>Виккерсов</w:t>
      </w:r>
      <w:proofErr w:type="spellEnd"/>
      <w:r w:rsidRPr="007122AB">
        <w:rPr>
          <w:rFonts w:ascii="Times New Roman" w:hAnsi="Times New Roman"/>
          <w:color w:val="000000" w:themeColor="text1"/>
          <w:sz w:val="16"/>
          <w:szCs w:val="16"/>
        </w:rPr>
        <w:t xml:space="preserve">» был отправлен на завод им. Орджоникидзе для изучения его брони. В ходе исследований отдельные детали корпуса подвергались обстрелу простой остроконечной пулей и бронебойной пулей типа АУ-30 из винтовки и пулемета с дистанции 50 м. Обстрел танк выдержал на «отлично» После химического анализа и исследований микроструктуры брони специалистами отмечалось «что </w:t>
      </w:r>
      <w:proofErr w:type="spellStart"/>
      <w:r w:rsidRPr="007122AB">
        <w:rPr>
          <w:rFonts w:ascii="Times New Roman" w:hAnsi="Times New Roman"/>
          <w:color w:val="000000" w:themeColor="text1"/>
          <w:sz w:val="16"/>
          <w:szCs w:val="16"/>
        </w:rPr>
        <w:t>цементованная</w:t>
      </w:r>
      <w:proofErr w:type="spellEnd"/>
      <w:r w:rsidRPr="007122AB">
        <w:rPr>
          <w:rFonts w:ascii="Times New Roman" w:hAnsi="Times New Roman"/>
          <w:color w:val="000000" w:themeColor="text1"/>
          <w:sz w:val="16"/>
          <w:szCs w:val="16"/>
        </w:rPr>
        <w:t xml:space="preserve"> броня очень высокого качества». Сравнение с поданными образцами брони Ижорского завода показало худшее качество отечественных листов, что было связано с отсутствием в СССР современного металлургического оборудования. Ввиду неготовности Ижорского завода к выпуску брони требуемого качества, решено было первые 15 танков выполнить с корпусами из </w:t>
      </w:r>
      <w:proofErr w:type="spellStart"/>
      <w:r w:rsidRPr="007122AB">
        <w:rPr>
          <w:rFonts w:ascii="Times New Roman" w:hAnsi="Times New Roman"/>
          <w:color w:val="000000" w:themeColor="text1"/>
          <w:sz w:val="16"/>
          <w:szCs w:val="16"/>
        </w:rPr>
        <w:t>неброневой</w:t>
      </w:r>
      <w:proofErr w:type="spellEnd"/>
      <w:r w:rsidRPr="007122AB">
        <w:rPr>
          <w:rFonts w:ascii="Times New Roman" w:hAnsi="Times New Roman"/>
          <w:color w:val="000000" w:themeColor="text1"/>
          <w:sz w:val="16"/>
          <w:szCs w:val="16"/>
        </w:rPr>
        <w:t xml:space="preserve"> стали. В связи с тем, что СТЗ еще не был достроен, то заказ на постройку первых 500 машин был спущен ленинградскому заводу «Большевик». Уже через месяц план был скорректирован до 300 шт., но и это количество оказалось нереальным (11809). </w:t>
      </w:r>
    </w:p>
    <w:p w14:paraId="612753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7FC6A0" w14:textId="77777777" w:rsidR="002B6BEE" w:rsidRPr="007122AB" w:rsidRDefault="002B6BE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 в праздничной колонне демон</w:t>
      </w:r>
      <w:r w:rsidRPr="007122AB">
        <w:rPr>
          <w:rFonts w:ascii="Times New Roman" w:hAnsi="Times New Roman"/>
          <w:color w:val="000000" w:themeColor="text1"/>
          <w:sz w:val="16"/>
          <w:szCs w:val="16"/>
        </w:rPr>
        <w:softHyphen/>
        <w:t>странтов по Красной площади Москвы прошел трактор CT3-15/30 Сталинградского завода с газогенератором НАТИ-1, изготовленный в мастерских HATИ на базе разработанной конструктором Т.Т. Семеновым-Жуковым газогене</w:t>
      </w:r>
      <w:r w:rsidRPr="007122AB">
        <w:rPr>
          <w:rFonts w:ascii="Times New Roman" w:hAnsi="Times New Roman"/>
          <w:color w:val="000000" w:themeColor="text1"/>
          <w:sz w:val="16"/>
          <w:szCs w:val="16"/>
        </w:rPr>
        <w:softHyphen/>
        <w:t>раторной установки СЖ-2 (22518).</w:t>
      </w:r>
    </w:p>
    <w:p w14:paraId="3AF3B214" w14:textId="77777777" w:rsidR="002B6BEE" w:rsidRPr="007122AB" w:rsidRDefault="002B6BEE" w:rsidP="007122AB">
      <w:pPr>
        <w:spacing w:after="0" w:line="240" w:lineRule="auto"/>
        <w:jc w:val="both"/>
        <w:rPr>
          <w:rFonts w:ascii="Times New Roman" w:hAnsi="Times New Roman"/>
          <w:color w:val="000000" w:themeColor="text1"/>
          <w:sz w:val="16"/>
          <w:szCs w:val="16"/>
        </w:rPr>
      </w:pPr>
    </w:p>
    <w:p w14:paraId="3CB1A773"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мая 1931 года специалисты ХАЗ собрали первую шестерку мотоциклов, каждый 135 кг весом. Одному из них предстояло послужить прототипом серийной. Головная (№ 1) машина имела четырехтактный одноцилиндровый двигатель рабочим объемом 350 см3 с максимальной частотой вращения коленвала 4000 об/мин. Передачи к трехступенчатой коробке скоростей и заднему колесу были цепными, предусматривались батарейная система зажигания с аккумулятором и генератором постоянного тока, тормоза на оба колеса и две фары. Раму штамповали из двух частей из листовой стали толщиной 2,5 мм и соединяли сваркой, внутри ее расположили бензобак, также сварной. Рама оказалась настолько прочной, что не деформировалась даже при серьезных авариях. Интересно, что придумал ее не профессиональный конструктор, а рабочий Солдатенко. Ему в 20-е годы довелось немало поездить по украинским шляхам и трактам на разных мотоциклах, но больше всего на американском «Харлей-</w:t>
      </w:r>
      <w:proofErr w:type="spellStart"/>
      <w:r w:rsidRPr="007122AB">
        <w:rPr>
          <w:rFonts w:ascii="Times New Roman" w:hAnsi="Times New Roman"/>
          <w:color w:val="000000" w:themeColor="text1"/>
          <w:sz w:val="16"/>
          <w:szCs w:val="16"/>
        </w:rPr>
        <w:t>Давидсоне</w:t>
      </w:r>
      <w:proofErr w:type="spellEnd"/>
      <w:r w:rsidRPr="007122AB">
        <w:rPr>
          <w:rFonts w:ascii="Times New Roman" w:hAnsi="Times New Roman"/>
          <w:color w:val="000000" w:themeColor="text1"/>
          <w:sz w:val="16"/>
          <w:szCs w:val="16"/>
        </w:rPr>
        <w:t>». И пришел к выводу, что у этой хорошей, мощной машины есть существенный недостаток — слабоватая рама. Солдатенко заменил ее своей и модернизированную таким образом машину с успехом опробовал во Всеукраинском мотопробеге. Тогда-то раму и заприметили инженеры из Харькова.</w:t>
      </w:r>
    </w:p>
    <w:p w14:paraId="0671C185"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сравнения на мотоцикле № 2 поставили другую раму, из швеллера, но она оказалась хуже. На № 3 установили тяжелый четырехтактный двухцилиндровый двигатель объемом 1200 см3. Узлы машины № 4 монтировали на стальной раме из труб, подобной той, что на немецком мотоцикле БМВ образца 1929/30 года, однако она вышла недостаточно прочной. Тогда ее усилили и опробовали на машине № 5, но дело кончилось тем, что харьковчане прекратили бесперспективные эксперименты с трубчатыми рамами, по достоинству оценив солдатенковскую разработку. Что же касается № 6, то он был повторением головной машины (11396).</w:t>
      </w:r>
    </w:p>
    <w:p w14:paraId="5519BD84"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8659E"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мотоциклы ХАСЗ были продемонстрированы трудящимся столицы Украины. 2 мая состоялся пробный мотопробег Харьков - Мерефа - Харьков. Пройдя маршрут со средней скоростью 35 км/час, мотоциклы в полной </w:t>
      </w:r>
      <w:proofErr w:type="spellStart"/>
      <w:r w:rsidRPr="007122AB">
        <w:rPr>
          <w:rFonts w:ascii="Times New Roman" w:hAnsi="Times New Roman"/>
          <w:color w:val="000000" w:themeColor="text1"/>
          <w:sz w:val="16"/>
          <w:szCs w:val="16"/>
        </w:rPr>
        <w:t>исправнос-ти</w:t>
      </w:r>
      <w:proofErr w:type="spellEnd"/>
      <w:r w:rsidRPr="007122AB">
        <w:rPr>
          <w:rFonts w:ascii="Times New Roman" w:hAnsi="Times New Roman"/>
          <w:color w:val="000000" w:themeColor="text1"/>
          <w:sz w:val="16"/>
          <w:szCs w:val="16"/>
        </w:rPr>
        <w:t xml:space="preserve"> вернулись в гараж. Разборка двух из них подтвердила полную пригодность изготовленных де-талей для дальнейшего </w:t>
      </w:r>
      <w:proofErr w:type="spellStart"/>
      <w:r w:rsidRPr="007122AB">
        <w:rPr>
          <w:rFonts w:ascii="Times New Roman" w:hAnsi="Times New Roman"/>
          <w:color w:val="000000" w:themeColor="text1"/>
          <w:sz w:val="16"/>
          <w:szCs w:val="16"/>
        </w:rPr>
        <w:t>производ-ства</w:t>
      </w:r>
      <w:proofErr w:type="spellEnd"/>
      <w:r w:rsidRPr="007122AB">
        <w:rPr>
          <w:rFonts w:ascii="Times New Roman" w:hAnsi="Times New Roman"/>
          <w:color w:val="000000" w:themeColor="text1"/>
          <w:sz w:val="16"/>
          <w:szCs w:val="16"/>
        </w:rPr>
        <w:t>. Завод получил задание го-</w:t>
      </w:r>
      <w:proofErr w:type="spellStart"/>
      <w:r w:rsidRPr="007122AB">
        <w:rPr>
          <w:rFonts w:ascii="Times New Roman" w:hAnsi="Times New Roman"/>
          <w:color w:val="000000" w:themeColor="text1"/>
          <w:sz w:val="16"/>
          <w:szCs w:val="16"/>
        </w:rPr>
        <w:t>товить</w:t>
      </w:r>
      <w:proofErr w:type="spellEnd"/>
      <w:r w:rsidRPr="007122AB">
        <w:rPr>
          <w:rFonts w:ascii="Times New Roman" w:hAnsi="Times New Roman"/>
          <w:color w:val="000000" w:themeColor="text1"/>
          <w:sz w:val="16"/>
          <w:szCs w:val="16"/>
        </w:rPr>
        <w:t xml:space="preserve"> мотоциклы для более се-</w:t>
      </w:r>
      <w:proofErr w:type="spellStart"/>
      <w:r w:rsidRPr="007122AB">
        <w:rPr>
          <w:rFonts w:ascii="Times New Roman" w:hAnsi="Times New Roman"/>
          <w:color w:val="000000" w:themeColor="text1"/>
          <w:sz w:val="16"/>
          <w:szCs w:val="16"/>
        </w:rPr>
        <w:t>рьезного</w:t>
      </w:r>
      <w:proofErr w:type="spellEnd"/>
      <w:r w:rsidRPr="007122AB">
        <w:rPr>
          <w:rFonts w:ascii="Times New Roman" w:hAnsi="Times New Roman"/>
          <w:color w:val="000000" w:themeColor="text1"/>
          <w:sz w:val="16"/>
          <w:szCs w:val="16"/>
        </w:rPr>
        <w:t xml:space="preserve"> испытания - 3500-кило-метрового пробега. В процессе подготовки в КБ сделали мелкие конструктивные изменения, а также начали готовить выпуск чертежей для будущего серийного производства (11602).</w:t>
      </w:r>
    </w:p>
    <w:p w14:paraId="26AF311F"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C3A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года на строительной площадке </w:t>
      </w:r>
      <w:proofErr w:type="spellStart"/>
      <w:r w:rsidRPr="007122AB">
        <w:rPr>
          <w:rFonts w:ascii="Times New Roman" w:hAnsi="Times New Roman"/>
          <w:color w:val="000000" w:themeColor="text1"/>
          <w:sz w:val="16"/>
          <w:szCs w:val="16"/>
        </w:rPr>
        <w:t>Каменско</w:t>
      </w:r>
      <w:proofErr w:type="spellEnd"/>
      <w:r w:rsidRPr="007122AB">
        <w:rPr>
          <w:rFonts w:ascii="Times New Roman" w:hAnsi="Times New Roman"/>
          <w:color w:val="000000" w:themeColor="text1"/>
          <w:sz w:val="16"/>
          <w:szCs w:val="16"/>
        </w:rPr>
        <w:t xml:space="preserve">-Синарского металлургического комбината заложили первый кирпич. После митинга, посвященного началу строительства, секретарь Каменского райкома ВКП(б) М. С. Смирнов взялся за лопату. Сотни землекопов начали лопатами перекидывать грунт на деревянные полки, а с них - в конные таратайки, грабарки, тачки... </w:t>
      </w:r>
    </w:p>
    <w:p w14:paraId="4C4E7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Только что назначенный начальник </w:t>
      </w:r>
      <w:proofErr w:type="spellStart"/>
      <w:r w:rsidRPr="007122AB">
        <w:rPr>
          <w:rFonts w:ascii="Times New Roman" w:hAnsi="Times New Roman"/>
          <w:color w:val="000000" w:themeColor="text1"/>
          <w:sz w:val="16"/>
          <w:szCs w:val="16"/>
        </w:rPr>
        <w:t>Синарстроя</w:t>
      </w:r>
      <w:proofErr w:type="spellEnd"/>
      <w:r w:rsidRPr="007122AB">
        <w:rPr>
          <w:rFonts w:ascii="Times New Roman" w:hAnsi="Times New Roman"/>
          <w:color w:val="000000" w:themeColor="text1"/>
          <w:sz w:val="16"/>
          <w:szCs w:val="16"/>
        </w:rPr>
        <w:t xml:space="preserve"> Леон Оттович </w:t>
      </w:r>
      <w:proofErr w:type="spellStart"/>
      <w:r w:rsidRPr="007122AB">
        <w:rPr>
          <w:rFonts w:ascii="Times New Roman" w:hAnsi="Times New Roman"/>
          <w:color w:val="000000" w:themeColor="text1"/>
          <w:sz w:val="16"/>
          <w:szCs w:val="16"/>
        </w:rPr>
        <w:t>Траутман</w:t>
      </w:r>
      <w:proofErr w:type="spellEnd"/>
      <w:r w:rsidRPr="007122AB">
        <w:rPr>
          <w:rFonts w:ascii="Times New Roman" w:hAnsi="Times New Roman"/>
          <w:color w:val="000000" w:themeColor="text1"/>
          <w:sz w:val="16"/>
          <w:szCs w:val="16"/>
        </w:rPr>
        <w:t xml:space="preserve"> говорил в тот день корреспонденту газеты "За большой Урал": "На сегодняшний день по заводу не имеется еще ни промышленного задания, ни проекта. Жесткие и короткие сроки пуска завода требуют </w:t>
      </w:r>
      <w:proofErr w:type="spellStart"/>
      <w:r w:rsidRPr="007122AB">
        <w:rPr>
          <w:rFonts w:ascii="Times New Roman" w:hAnsi="Times New Roman"/>
          <w:color w:val="000000" w:themeColor="text1"/>
          <w:sz w:val="16"/>
          <w:szCs w:val="16"/>
        </w:rPr>
        <w:t>сверхамериканских</w:t>
      </w:r>
      <w:proofErr w:type="spellEnd"/>
      <w:r w:rsidRPr="007122AB">
        <w:rPr>
          <w:rFonts w:ascii="Times New Roman" w:hAnsi="Times New Roman"/>
          <w:color w:val="000000" w:themeColor="text1"/>
          <w:sz w:val="16"/>
          <w:szCs w:val="16"/>
        </w:rPr>
        <w:t xml:space="preserve"> темпов, но я не сомневаюсь, что мы с задачей строительства такими темпами справимся и уже в конце мая, начале июня приступим к активной работе". </w:t>
      </w:r>
    </w:p>
    <w:p w14:paraId="787E3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будет крупнейшим гигантом в мире, выплавляющим литейный чугун. Рядом с </w:t>
      </w:r>
      <w:proofErr w:type="spellStart"/>
      <w:r w:rsidRPr="007122AB">
        <w:rPr>
          <w:rFonts w:ascii="Times New Roman" w:hAnsi="Times New Roman"/>
          <w:color w:val="000000" w:themeColor="text1"/>
          <w:sz w:val="16"/>
          <w:szCs w:val="16"/>
        </w:rPr>
        <w:t>Каменско</w:t>
      </w:r>
      <w:proofErr w:type="spellEnd"/>
      <w:r w:rsidRPr="007122AB">
        <w:rPr>
          <w:rFonts w:ascii="Times New Roman" w:hAnsi="Times New Roman"/>
          <w:color w:val="000000" w:themeColor="text1"/>
          <w:sz w:val="16"/>
          <w:szCs w:val="16"/>
        </w:rPr>
        <w:t xml:space="preserve">-Синарским заводом построится одновременно с ним целый ряд заводов, которые используют его жидкий чугун для передела. Одним из таких заводов станет радиаторный, мощностью первой очереди в 100 тысяч тонн, затем труболитейный с мощностью первой очереди в 150 тысяч тонн, завод изложниц мощностью в 100 тысяч тонн, завод колес "Графика", обеспечивающий вагоностроение всего Востока, завод прокатных валков и другие предприятия, изготовляющие свои изделия в массовом масштабе. </w:t>
      </w:r>
    </w:p>
    <w:p w14:paraId="1D71D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Проектирование этих заводов должно идти одновременно с проектированием металлургического завода" (11515). </w:t>
      </w:r>
    </w:p>
    <w:p w14:paraId="3362FD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9EC787"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г. была выпущена первая партия синтетического каучука на опытном заводе «Литер А» В августе 1931 г. Президиум ЦИК СССР наградил С.В. Лебедева и его ближайшего помощника В.П. </w:t>
      </w:r>
      <w:proofErr w:type="spellStart"/>
      <w:r w:rsidRPr="007122AB">
        <w:rPr>
          <w:rFonts w:ascii="Times New Roman" w:hAnsi="Times New Roman"/>
          <w:color w:val="000000" w:themeColor="text1"/>
          <w:sz w:val="16"/>
          <w:szCs w:val="16"/>
        </w:rPr>
        <w:t>Краузе</w:t>
      </w:r>
      <w:proofErr w:type="spellEnd"/>
      <w:r w:rsidRPr="007122AB">
        <w:rPr>
          <w:rFonts w:ascii="Times New Roman" w:hAnsi="Times New Roman"/>
          <w:color w:val="000000" w:themeColor="text1"/>
          <w:sz w:val="16"/>
          <w:szCs w:val="16"/>
        </w:rPr>
        <w:t xml:space="preserve"> орденами Ленина «За особо выдающиеся заслуги по разрешению проблемы получения синтетического каучука, имеющей исключительное значение для социалистического строительства Союза ССР». Еще в период строительства опытного завода «Литер Б» ВСНХ принял решение о подготовке к строительству промышленных заводов синтетического каучука по методу С.В. Лебедева (18298).</w:t>
      </w:r>
    </w:p>
    <w:p w14:paraId="215971B8"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7F6C5411" w14:textId="77777777" w:rsidR="005C4849" w:rsidRPr="007122AB" w:rsidRDefault="00874B1E" w:rsidP="007122AB">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9E2012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53A5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1931 году Тухачевский по-новому организовал первомайский парад на Дворцовой площади в Ленинграде. Участвовавшие в параде войска прошли по площади на мобилизованных автомобилях. На машинах также следовали </w:t>
      </w:r>
      <w:proofErr w:type="spellStart"/>
      <w:r w:rsidRPr="007122AB">
        <w:rPr>
          <w:rFonts w:ascii="Times New Roman" w:hAnsi="Times New Roman"/>
          <w:color w:val="000000" w:themeColor="text1"/>
          <w:sz w:val="16"/>
          <w:szCs w:val="16"/>
        </w:rPr>
        <w:t>авиадесантники</w:t>
      </w:r>
      <w:proofErr w:type="spellEnd"/>
      <w:r w:rsidRPr="007122AB">
        <w:rPr>
          <w:rFonts w:ascii="Times New Roman" w:hAnsi="Times New Roman"/>
          <w:color w:val="000000" w:themeColor="text1"/>
          <w:sz w:val="16"/>
          <w:szCs w:val="16"/>
        </w:rPr>
        <w:t xml:space="preserve"> из </w:t>
      </w:r>
      <w:proofErr w:type="spellStart"/>
      <w:r w:rsidRPr="007122AB">
        <w:rPr>
          <w:rFonts w:ascii="Times New Roman" w:hAnsi="Times New Roman"/>
          <w:color w:val="000000" w:themeColor="text1"/>
          <w:sz w:val="16"/>
          <w:szCs w:val="16"/>
        </w:rPr>
        <w:t>осоавиахимовцев</w:t>
      </w:r>
      <w:proofErr w:type="spellEnd"/>
      <w:r w:rsidRPr="007122AB">
        <w:rPr>
          <w:rFonts w:ascii="Times New Roman" w:hAnsi="Times New Roman"/>
          <w:color w:val="000000" w:themeColor="text1"/>
          <w:sz w:val="16"/>
          <w:szCs w:val="16"/>
        </w:rPr>
        <w:t>. Это была своего рода демонстрация перспектив технического перевооружения армии, ее перехода к мобильным формам ведения боя. Тем самым утверждалась мысль о снижении роли кавалерии в будущей войне (11504).</w:t>
      </w:r>
    </w:p>
    <w:p w14:paraId="19F40E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9C47" w14:textId="77777777" w:rsidR="00D10B4F" w:rsidRPr="007122AB" w:rsidRDefault="00874B1E" w:rsidP="007122AB">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Жизнь и внутренняя политика:</w:t>
      </w:r>
    </w:p>
    <w:p w14:paraId="17D936BF" w14:textId="77777777" w:rsidR="00D10B4F" w:rsidRPr="007122AB" w:rsidRDefault="00D10B4F" w:rsidP="007122AB">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606E5" w14:textId="77777777" w:rsidR="00D10B4F" w:rsidRPr="007122AB" w:rsidRDefault="00D10B4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мая</w:t>
      </w:r>
      <w:r w:rsidRPr="007122AB">
        <w:rPr>
          <w:rFonts w:ascii="Times New Roman" w:hAnsi="Times New Roman"/>
          <w:color w:val="000000" w:themeColor="text1"/>
          <w:sz w:val="16"/>
          <w:szCs w:val="16"/>
        </w:rPr>
        <w:t xml:space="preserve"> в 1931 году Ленинград признан первым в стране городом сплошной грамотности. В ходе кампании ликбеза обучены 34 273 неграмотных и 112 724 малограмотных (14878).</w:t>
      </w:r>
    </w:p>
    <w:p w14:paraId="7F1339EF" w14:textId="77777777" w:rsidR="00D10B4F" w:rsidRPr="007122AB" w:rsidRDefault="00D10B4F" w:rsidP="007122AB">
      <w:pPr>
        <w:spacing w:after="0" w:line="240" w:lineRule="auto"/>
        <w:jc w:val="both"/>
        <w:rPr>
          <w:rFonts w:ascii="Times New Roman" w:hAnsi="Times New Roman"/>
          <w:color w:val="000000" w:themeColor="text1"/>
          <w:sz w:val="16"/>
          <w:szCs w:val="16"/>
        </w:rPr>
      </w:pPr>
    </w:p>
    <w:p w14:paraId="1FA26F4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592CA8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70A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в Нью Йорке был открыт Эмпайр Стейт билдинг (2100).</w:t>
      </w:r>
    </w:p>
    <w:p w14:paraId="0CA61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D4F97C" w14:textId="77777777" w:rsidR="00D10B4F" w:rsidRPr="007122AB" w:rsidRDefault="00D10B4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мая</w:t>
      </w:r>
      <w:r w:rsidRPr="007122AB">
        <w:rPr>
          <w:rFonts w:ascii="Times New Roman" w:hAnsi="Times New Roman"/>
          <w:color w:val="000000" w:themeColor="text1"/>
          <w:sz w:val="16"/>
          <w:szCs w:val="16"/>
        </w:rPr>
        <w:t xml:space="preserve"> в 1931 году в Нью-Йорке проходит официальная церемония открытия самого высокого здания в мире - 102-этажного «Эмпайр Стейт Билдинг». Здание сооружено по проекту архитектора Уильяма Фредерика </w:t>
      </w:r>
      <w:proofErr w:type="spellStart"/>
      <w:r w:rsidRPr="007122AB">
        <w:rPr>
          <w:rFonts w:ascii="Times New Roman" w:hAnsi="Times New Roman"/>
          <w:color w:val="000000" w:themeColor="text1"/>
          <w:sz w:val="16"/>
          <w:szCs w:val="16"/>
        </w:rPr>
        <w:t>Лэма</w:t>
      </w:r>
      <w:proofErr w:type="spellEnd"/>
      <w:r w:rsidRPr="007122AB">
        <w:rPr>
          <w:rFonts w:ascii="Times New Roman" w:hAnsi="Times New Roman"/>
          <w:color w:val="000000" w:themeColor="text1"/>
          <w:sz w:val="16"/>
          <w:szCs w:val="16"/>
        </w:rPr>
        <w:t xml:space="preserve"> в разгар Великой депрессии всего за один год. Его постройка обошлась в 41 миллионов долларов. Свет в здании зажигает президент Герберт Гувер, нажимающий кнопку, находясь в Вашингтоне. Лишь в 1972 здание лишится титула самого высокого в мире, но по-прежнему «Эмпайр Стейт Билдинг» будет оставаться местом паломничества туристов (14878).</w:t>
      </w:r>
    </w:p>
    <w:p w14:paraId="5A740035" w14:textId="77777777" w:rsidR="00D10B4F" w:rsidRPr="007122AB" w:rsidRDefault="00D10B4F" w:rsidP="007122AB">
      <w:pPr>
        <w:spacing w:after="0" w:line="240" w:lineRule="auto"/>
        <w:jc w:val="both"/>
        <w:rPr>
          <w:rFonts w:ascii="Times New Roman" w:hAnsi="Times New Roman"/>
          <w:color w:val="000000" w:themeColor="text1"/>
          <w:sz w:val="16"/>
          <w:szCs w:val="16"/>
        </w:rPr>
      </w:pPr>
    </w:p>
    <w:p w14:paraId="2F38DC4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3666B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4173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мая 1931 г. после спуска на воду корпус "Комсо</w:t>
      </w:r>
      <w:r w:rsidRPr="007122AB">
        <w:rPr>
          <w:rFonts w:ascii="Times New Roman" w:hAnsi="Times New Roman"/>
          <w:color w:val="000000" w:themeColor="text1"/>
          <w:sz w:val="16"/>
          <w:szCs w:val="16"/>
        </w:rPr>
        <w:softHyphen/>
        <w:t xml:space="preserve">мольца" в плавучем доке </w:t>
      </w:r>
      <w:proofErr w:type="spellStart"/>
      <w:r w:rsidRPr="007122AB">
        <w:rPr>
          <w:rFonts w:ascii="Times New Roman" w:hAnsi="Times New Roman"/>
          <w:color w:val="000000" w:themeColor="text1"/>
          <w:sz w:val="16"/>
          <w:szCs w:val="16"/>
        </w:rPr>
        <w:t>бьш</w:t>
      </w:r>
      <w:proofErr w:type="spellEnd"/>
      <w:r w:rsidRPr="007122AB">
        <w:rPr>
          <w:rFonts w:ascii="Times New Roman" w:hAnsi="Times New Roman"/>
          <w:color w:val="000000" w:themeColor="text1"/>
          <w:sz w:val="16"/>
          <w:szCs w:val="16"/>
        </w:rPr>
        <w:t xml:space="preserve">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строителем которой </w:t>
      </w:r>
      <w:proofErr w:type="spellStart"/>
      <w:r w:rsidRPr="007122AB">
        <w:rPr>
          <w:rFonts w:ascii="Times New Roman" w:hAnsi="Times New Roman"/>
          <w:color w:val="000000" w:themeColor="text1"/>
          <w:sz w:val="16"/>
          <w:szCs w:val="16"/>
        </w:rPr>
        <w:t>бьш</w:t>
      </w:r>
      <w:proofErr w:type="spellEnd"/>
      <w:r w:rsidRPr="007122AB">
        <w:rPr>
          <w:rFonts w:ascii="Times New Roman" w:hAnsi="Times New Roman"/>
          <w:color w:val="000000" w:themeColor="text1"/>
          <w:sz w:val="16"/>
          <w:szCs w:val="16"/>
        </w:rPr>
        <w:t xml:space="preserve"> П. М. Макаркин, впоследствии пригодил</w:t>
      </w:r>
      <w:r w:rsidRPr="007122AB">
        <w:rPr>
          <w:rFonts w:ascii="Times New Roman" w:hAnsi="Times New Roman"/>
          <w:color w:val="000000" w:themeColor="text1"/>
          <w:sz w:val="16"/>
          <w:szCs w:val="16"/>
        </w:rPr>
        <w:softHyphen/>
        <w:t>ся при серийной постройке подводных лодок в Горьком (3898).</w:t>
      </w:r>
    </w:p>
    <w:p w14:paraId="18FFB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496CD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FE253A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B0AA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мая 1931 г. в письме шефа военно-морского управления адмирала В. </w:t>
      </w:r>
      <w:proofErr w:type="spellStart"/>
      <w:r w:rsidRPr="007122AB">
        <w:rPr>
          <w:rFonts w:ascii="Times New Roman" w:hAnsi="Times New Roman"/>
          <w:color w:val="000000" w:themeColor="text1"/>
          <w:sz w:val="16"/>
          <w:szCs w:val="16"/>
        </w:rPr>
        <w:t>Гладиша</w:t>
      </w:r>
      <w:proofErr w:type="spellEnd"/>
      <w:r w:rsidRPr="007122AB">
        <w:rPr>
          <w:rFonts w:ascii="Times New Roman" w:hAnsi="Times New Roman"/>
          <w:color w:val="000000" w:themeColor="text1"/>
          <w:sz w:val="16"/>
          <w:szCs w:val="16"/>
        </w:rPr>
        <w:t xml:space="preserve"> генштабу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вновь был отмечен повышенный интерес «</w:t>
      </w:r>
      <w:proofErr w:type="spellStart"/>
      <w:r w:rsidRPr="007122AB">
        <w:rPr>
          <w:rFonts w:ascii="Times New Roman" w:hAnsi="Times New Roman"/>
          <w:color w:val="000000" w:themeColor="text1"/>
          <w:sz w:val="16"/>
          <w:szCs w:val="16"/>
        </w:rPr>
        <w:t>райхсмарине</w:t>
      </w:r>
      <w:proofErr w:type="spellEnd"/>
      <w:r w:rsidRPr="007122AB">
        <w:rPr>
          <w:rFonts w:ascii="Times New Roman" w:hAnsi="Times New Roman"/>
          <w:color w:val="000000" w:themeColor="text1"/>
          <w:sz w:val="16"/>
          <w:szCs w:val="16"/>
        </w:rPr>
        <w:t xml:space="preserve">» к Финляндии, связями с которой штаб ВМС не мог и не хотел пожертвовать ради отношений с СССР. К этому примешивались большие опасения относительно разлагающего воздействия на дисциплину в германском флоте со стороны советских моряков в случае установления постоянной практики взаимных визитов боевых кораблей в порты обеих стран. Поэтому максимум, на что могло бы пойти руководство германского флота — это оказание советской стороне консультационной помощи в строительстве подводных лодок и торпед (M. </w:t>
      </w:r>
      <w:proofErr w:type="spellStart"/>
      <w:r w:rsidRPr="007122AB">
        <w:rPr>
          <w:rFonts w:ascii="Times New Roman" w:hAnsi="Times New Roman"/>
          <w:color w:val="000000" w:themeColor="text1"/>
          <w:sz w:val="16"/>
          <w:szCs w:val="16"/>
        </w:rPr>
        <w:t>Цайдлер</w:t>
      </w:r>
      <w:proofErr w:type="spellEnd"/>
      <w:r w:rsidRPr="007122AB">
        <w:rPr>
          <w:rFonts w:ascii="Times New Roman" w:hAnsi="Times New Roman"/>
          <w:color w:val="000000" w:themeColor="text1"/>
          <w:sz w:val="16"/>
          <w:szCs w:val="16"/>
        </w:rPr>
        <w:t xml:space="preserve"> указывает, что автором письма был Э. </w:t>
      </w:r>
      <w:proofErr w:type="spellStart"/>
      <w:r w:rsidRPr="007122AB">
        <w:rPr>
          <w:rFonts w:ascii="Times New Roman" w:hAnsi="Times New Roman"/>
          <w:color w:val="000000" w:themeColor="text1"/>
          <w:sz w:val="16"/>
          <w:szCs w:val="16"/>
        </w:rPr>
        <w:t>Рэдер</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Manfred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Zeidler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xml:space="preserve">.. S. 245)). С опасениями, что контакты с командами советских кораблей могли бы-де подвергнуть «превосходный» личный состав германского флота дурному коммунистическому влиянию, на совещании офицеров контрразведки 4 июня 1931 г. выступил все тот же </w:t>
      </w:r>
      <w:proofErr w:type="spellStart"/>
      <w:r w:rsidRPr="007122AB">
        <w:rPr>
          <w:rFonts w:ascii="Times New Roman" w:hAnsi="Times New Roman"/>
          <w:color w:val="000000" w:themeColor="text1"/>
          <w:sz w:val="16"/>
          <w:szCs w:val="16"/>
        </w:rPr>
        <w:t>Лицман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Francis</w:t>
      </w:r>
      <w:proofErr w:type="spellEnd"/>
      <w:r w:rsidRPr="007122AB">
        <w:rPr>
          <w:rFonts w:ascii="Times New Roman" w:hAnsi="Times New Roman"/>
          <w:color w:val="000000" w:themeColor="text1"/>
          <w:sz w:val="16"/>
          <w:szCs w:val="16"/>
        </w:rPr>
        <w:t xml:space="preserve"> L. </w:t>
      </w:r>
      <w:proofErr w:type="spellStart"/>
      <w:r w:rsidRPr="007122AB">
        <w:rPr>
          <w:rFonts w:ascii="Times New Roman" w:hAnsi="Times New Roman"/>
          <w:color w:val="000000" w:themeColor="text1"/>
          <w:sz w:val="16"/>
          <w:szCs w:val="16"/>
        </w:rPr>
        <w:t>Garsten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S. 409—410.) (11784).</w:t>
      </w:r>
    </w:p>
    <w:p w14:paraId="4C973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312597"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мая 1931 г. в письме шефа военно-морского управления адмирала В. </w:t>
      </w:r>
      <w:proofErr w:type="spellStart"/>
      <w:r w:rsidRPr="007122AB">
        <w:rPr>
          <w:rFonts w:ascii="Times New Roman" w:hAnsi="Times New Roman"/>
          <w:color w:val="000000" w:themeColor="text1"/>
          <w:sz w:val="16"/>
          <w:szCs w:val="16"/>
        </w:rPr>
        <w:t>Гладиша</w:t>
      </w:r>
      <w:proofErr w:type="spellEnd"/>
      <w:r w:rsidRPr="007122AB">
        <w:rPr>
          <w:rFonts w:ascii="Times New Roman" w:hAnsi="Times New Roman"/>
          <w:color w:val="000000" w:themeColor="text1"/>
          <w:sz w:val="16"/>
          <w:szCs w:val="16"/>
        </w:rPr>
        <w:t xml:space="preserve"> генштабу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от вновь был отмечен повышенный интерес «</w:t>
      </w:r>
      <w:proofErr w:type="spellStart"/>
      <w:r w:rsidRPr="007122AB">
        <w:rPr>
          <w:rFonts w:ascii="Times New Roman" w:hAnsi="Times New Roman"/>
          <w:color w:val="000000" w:themeColor="text1"/>
          <w:sz w:val="16"/>
          <w:szCs w:val="16"/>
        </w:rPr>
        <w:t>райхсмарине</w:t>
      </w:r>
      <w:proofErr w:type="spellEnd"/>
      <w:r w:rsidRPr="007122AB">
        <w:rPr>
          <w:rFonts w:ascii="Times New Roman" w:hAnsi="Times New Roman"/>
          <w:color w:val="000000" w:themeColor="text1"/>
          <w:sz w:val="16"/>
          <w:szCs w:val="16"/>
        </w:rPr>
        <w:t xml:space="preserve">» к Финляндии, связями с которой штаб ВМС не мог и не хотел пожертвовать ради отношений с СССР. К этому примешивались большие опасения относительно разлагающего воздействия на дисциплину в германском флоте со стороны советских моряков в случае установления постоянной практики взаимных визитов боевых кораблей в порты обеих стран. Поэтому максимум, на что могло бы пойти руководство германского флота — это оказание советской стороне консультационной помощи в строительстве подводных лодок и торпед. С опасениями, что контакты с командами советских кораблей могли бы-де подвергнуть «превосходный» личный состав германского флота дурному коммунистическому влиянию, на совещании офицеров контрразведки 4 июня 1931 г. выступил все тот же </w:t>
      </w:r>
      <w:proofErr w:type="spellStart"/>
      <w:r w:rsidRPr="007122AB">
        <w:rPr>
          <w:rFonts w:ascii="Times New Roman" w:hAnsi="Times New Roman"/>
          <w:color w:val="000000" w:themeColor="text1"/>
          <w:sz w:val="16"/>
          <w:szCs w:val="16"/>
        </w:rPr>
        <w:t>Лицман</w:t>
      </w:r>
      <w:proofErr w:type="spellEnd"/>
      <w:r w:rsidRPr="007122AB">
        <w:rPr>
          <w:rFonts w:ascii="Times New Roman" w:hAnsi="Times New Roman"/>
          <w:color w:val="000000" w:themeColor="text1"/>
          <w:sz w:val="16"/>
          <w:szCs w:val="16"/>
        </w:rPr>
        <w:t>.</w:t>
      </w:r>
    </w:p>
    <w:p w14:paraId="357BEB2C"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Постепенно командование германских ВМС стало склоняться к отказу от сотрудничества с советским флотом вообще (18265).</w:t>
      </w:r>
    </w:p>
    <w:p w14:paraId="6DF9BE3D"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2104206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65BB4C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3435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мая 1931 состоялись первые практические полеты планера за самолетом. Кружок Качинской школы. Жар-птица за У-1 (94,5). Планером управлял </w:t>
      </w:r>
      <w:proofErr w:type="spellStart"/>
      <w:r w:rsidRPr="007122AB">
        <w:rPr>
          <w:rFonts w:ascii="Times New Roman" w:hAnsi="Times New Roman"/>
          <w:color w:val="000000" w:themeColor="text1"/>
          <w:sz w:val="16"/>
          <w:szCs w:val="16"/>
        </w:rPr>
        <w:t>М.А.Нюхтиков</w:t>
      </w:r>
      <w:proofErr w:type="spellEnd"/>
      <w:r w:rsidRPr="007122AB">
        <w:rPr>
          <w:rFonts w:ascii="Times New Roman" w:hAnsi="Times New Roman"/>
          <w:color w:val="000000" w:themeColor="text1"/>
          <w:sz w:val="16"/>
          <w:szCs w:val="16"/>
        </w:rPr>
        <w:t xml:space="preserve">, а У-1 - </w:t>
      </w:r>
      <w:proofErr w:type="spellStart"/>
      <w:r w:rsidRPr="007122AB">
        <w:rPr>
          <w:rFonts w:ascii="Times New Roman" w:hAnsi="Times New Roman"/>
          <w:color w:val="000000" w:themeColor="text1"/>
          <w:sz w:val="16"/>
          <w:szCs w:val="16"/>
        </w:rPr>
        <w:t>Г.Грибакин</w:t>
      </w:r>
      <w:proofErr w:type="spellEnd"/>
      <w:r w:rsidRPr="007122AB">
        <w:rPr>
          <w:rFonts w:ascii="Times New Roman" w:hAnsi="Times New Roman"/>
          <w:color w:val="000000" w:themeColor="text1"/>
          <w:sz w:val="16"/>
          <w:szCs w:val="16"/>
        </w:rPr>
        <w:t>. Первый опыт был выполнен в Германии еще в 1927 (438,622).</w:t>
      </w:r>
    </w:p>
    <w:p w14:paraId="28E8E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CE36B8" w14:textId="77777777" w:rsidR="001D074B" w:rsidRDefault="001D074B" w:rsidP="001D074B">
      <w:pPr>
        <w:spacing w:after="0" w:line="240" w:lineRule="auto"/>
        <w:jc w:val="both"/>
        <w:rPr>
          <w:rFonts w:ascii="Times New Roman" w:hAnsi="Times New Roman"/>
          <w:color w:val="0070C0"/>
          <w:sz w:val="16"/>
          <w:szCs w:val="16"/>
        </w:rPr>
      </w:pPr>
      <w:r>
        <w:rPr>
          <w:rFonts w:ascii="Times New Roman" w:hAnsi="Times New Roman"/>
          <w:color w:val="0070C0"/>
          <w:sz w:val="16"/>
          <w:szCs w:val="16"/>
        </w:rPr>
        <w:t>3 мая 1931 г</w:t>
      </w:r>
      <w:r w:rsidRPr="009F5089">
        <w:rPr>
          <w:rFonts w:ascii="Times New Roman" w:hAnsi="Times New Roman"/>
          <w:color w:val="0070C0"/>
          <w:sz w:val="16"/>
          <w:szCs w:val="16"/>
        </w:rPr>
        <w:t>.</w:t>
      </w:r>
      <w:r>
        <w:rPr>
          <w:rFonts w:ascii="Times New Roman" w:hAnsi="Times New Roman"/>
          <w:color w:val="0070C0"/>
          <w:sz w:val="16"/>
          <w:szCs w:val="16"/>
        </w:rPr>
        <w:t xml:space="preserve"> в</w:t>
      </w:r>
      <w:r w:rsidRPr="009F5089">
        <w:rPr>
          <w:rFonts w:ascii="Times New Roman" w:hAnsi="Times New Roman"/>
          <w:color w:val="0070C0"/>
          <w:sz w:val="16"/>
          <w:szCs w:val="16"/>
        </w:rPr>
        <w:t xml:space="preserve"> Севастопольской военной входе летчиков состоялся пер</w:t>
      </w:r>
      <w:r>
        <w:rPr>
          <w:rFonts w:ascii="Times New Roman" w:hAnsi="Times New Roman"/>
          <w:color w:val="0070C0"/>
          <w:sz w:val="16"/>
          <w:szCs w:val="16"/>
        </w:rPr>
        <w:t xml:space="preserve">вый в СССР </w:t>
      </w:r>
      <w:r w:rsidRPr="009F5089">
        <w:rPr>
          <w:rFonts w:ascii="Times New Roman" w:hAnsi="Times New Roman"/>
          <w:color w:val="0070C0"/>
          <w:sz w:val="16"/>
          <w:szCs w:val="16"/>
        </w:rPr>
        <w:t>буксировочный полет на планере</w:t>
      </w:r>
      <w:r>
        <w:rPr>
          <w:rFonts w:ascii="Times New Roman" w:hAnsi="Times New Roman"/>
          <w:color w:val="0070C0"/>
          <w:sz w:val="16"/>
          <w:szCs w:val="16"/>
        </w:rPr>
        <w:t>. П</w:t>
      </w:r>
      <w:r w:rsidRPr="009F5089">
        <w:rPr>
          <w:rFonts w:ascii="Times New Roman" w:hAnsi="Times New Roman"/>
          <w:color w:val="0070C0"/>
          <w:sz w:val="16"/>
          <w:szCs w:val="16"/>
        </w:rPr>
        <w:t>ланером «</w:t>
      </w:r>
      <w:r>
        <w:rPr>
          <w:rFonts w:ascii="Times New Roman" w:hAnsi="Times New Roman"/>
          <w:color w:val="0070C0"/>
          <w:sz w:val="16"/>
          <w:szCs w:val="16"/>
        </w:rPr>
        <w:t>Ж</w:t>
      </w:r>
      <w:r w:rsidRPr="009F5089">
        <w:rPr>
          <w:rFonts w:ascii="Times New Roman" w:hAnsi="Times New Roman"/>
          <w:color w:val="0070C0"/>
          <w:sz w:val="16"/>
          <w:szCs w:val="16"/>
        </w:rPr>
        <w:t>ар-птица</w:t>
      </w:r>
      <w:r>
        <w:rPr>
          <w:rFonts w:ascii="Times New Roman" w:hAnsi="Times New Roman"/>
          <w:color w:val="0070C0"/>
          <w:sz w:val="16"/>
          <w:szCs w:val="16"/>
        </w:rPr>
        <w:t xml:space="preserve">» управлял </w:t>
      </w:r>
      <w:proofErr w:type="spellStart"/>
      <w:r>
        <w:rPr>
          <w:rFonts w:ascii="Times New Roman" w:hAnsi="Times New Roman"/>
          <w:color w:val="0070C0"/>
          <w:sz w:val="16"/>
          <w:szCs w:val="16"/>
        </w:rPr>
        <w:t>М.</w:t>
      </w:r>
      <w:r w:rsidRPr="009F5089">
        <w:rPr>
          <w:rFonts w:ascii="Times New Roman" w:hAnsi="Times New Roman"/>
          <w:color w:val="0070C0"/>
          <w:sz w:val="16"/>
          <w:szCs w:val="16"/>
        </w:rPr>
        <w:t>А</w:t>
      </w:r>
      <w:r>
        <w:rPr>
          <w:rFonts w:ascii="Times New Roman" w:hAnsi="Times New Roman"/>
          <w:color w:val="0070C0"/>
          <w:sz w:val="16"/>
          <w:szCs w:val="16"/>
        </w:rPr>
        <w:t>.Н</w:t>
      </w:r>
      <w:r w:rsidRPr="009F5089">
        <w:rPr>
          <w:rFonts w:ascii="Times New Roman" w:hAnsi="Times New Roman"/>
          <w:color w:val="0070C0"/>
          <w:sz w:val="16"/>
          <w:szCs w:val="16"/>
        </w:rPr>
        <w:t>юхтико</w:t>
      </w:r>
      <w:r>
        <w:rPr>
          <w:rFonts w:ascii="Times New Roman" w:hAnsi="Times New Roman"/>
          <w:color w:val="0070C0"/>
          <w:sz w:val="16"/>
          <w:szCs w:val="16"/>
        </w:rPr>
        <w:t>в</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сам</w:t>
      </w:r>
      <w:r w:rsidRPr="009F5089">
        <w:rPr>
          <w:rFonts w:ascii="Times New Roman" w:hAnsi="Times New Roman"/>
          <w:color w:val="0070C0"/>
          <w:sz w:val="16"/>
          <w:szCs w:val="16"/>
        </w:rPr>
        <w:t>олетом-бук</w:t>
      </w:r>
      <w:r>
        <w:rPr>
          <w:rFonts w:ascii="Times New Roman" w:hAnsi="Times New Roman"/>
          <w:color w:val="0070C0"/>
          <w:sz w:val="16"/>
          <w:szCs w:val="16"/>
        </w:rPr>
        <w:t>с</w:t>
      </w:r>
      <w:r w:rsidRPr="009F5089">
        <w:rPr>
          <w:rFonts w:ascii="Times New Roman" w:hAnsi="Times New Roman"/>
          <w:color w:val="0070C0"/>
          <w:sz w:val="16"/>
          <w:szCs w:val="16"/>
        </w:rPr>
        <w:t>иров</w:t>
      </w:r>
      <w:r>
        <w:rPr>
          <w:rFonts w:ascii="Times New Roman" w:hAnsi="Times New Roman"/>
          <w:color w:val="0070C0"/>
          <w:sz w:val="16"/>
          <w:szCs w:val="16"/>
        </w:rPr>
        <w:t>щик</w:t>
      </w:r>
      <w:r w:rsidRPr="009F5089">
        <w:rPr>
          <w:rFonts w:ascii="Times New Roman" w:hAnsi="Times New Roman"/>
          <w:color w:val="0070C0"/>
          <w:sz w:val="16"/>
          <w:szCs w:val="16"/>
        </w:rPr>
        <w:t>ом /У-1/ -</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Г</w:t>
      </w:r>
      <w:r>
        <w:rPr>
          <w:rFonts w:ascii="Times New Roman" w:hAnsi="Times New Roman"/>
          <w:color w:val="0070C0"/>
          <w:sz w:val="16"/>
          <w:szCs w:val="16"/>
        </w:rPr>
        <w:t>.В</w:t>
      </w:r>
      <w:r w:rsidRPr="009F5089">
        <w:rPr>
          <w:rFonts w:ascii="Times New Roman" w:hAnsi="Times New Roman"/>
          <w:color w:val="0070C0"/>
          <w:sz w:val="16"/>
          <w:szCs w:val="16"/>
        </w:rPr>
        <w:t>.Гр</w:t>
      </w:r>
      <w:r>
        <w:rPr>
          <w:rFonts w:ascii="Times New Roman" w:hAnsi="Times New Roman"/>
          <w:color w:val="0070C0"/>
          <w:sz w:val="16"/>
          <w:szCs w:val="16"/>
        </w:rPr>
        <w:t>и</w:t>
      </w:r>
      <w:r w:rsidRPr="009F5089">
        <w:rPr>
          <w:rFonts w:ascii="Times New Roman" w:hAnsi="Times New Roman"/>
          <w:color w:val="0070C0"/>
          <w:sz w:val="16"/>
          <w:szCs w:val="16"/>
        </w:rPr>
        <w:t>ба</w:t>
      </w:r>
      <w:r>
        <w:rPr>
          <w:rFonts w:ascii="Times New Roman" w:hAnsi="Times New Roman"/>
          <w:color w:val="0070C0"/>
          <w:sz w:val="16"/>
          <w:szCs w:val="16"/>
        </w:rPr>
        <w:t>лин</w:t>
      </w:r>
      <w:proofErr w:type="spellEnd"/>
      <w:r>
        <w:rPr>
          <w:rFonts w:ascii="Times New Roman" w:hAnsi="Times New Roman"/>
          <w:color w:val="0070C0"/>
          <w:sz w:val="16"/>
          <w:szCs w:val="16"/>
        </w:rPr>
        <w:t xml:space="preserve">. Первый </w:t>
      </w:r>
      <w:r w:rsidRPr="009F5089">
        <w:rPr>
          <w:rFonts w:ascii="Times New Roman" w:hAnsi="Times New Roman"/>
          <w:color w:val="0070C0"/>
          <w:sz w:val="16"/>
          <w:szCs w:val="16"/>
        </w:rPr>
        <w:t>оп</w:t>
      </w:r>
      <w:r>
        <w:rPr>
          <w:rFonts w:ascii="Times New Roman" w:hAnsi="Times New Roman"/>
          <w:color w:val="0070C0"/>
          <w:sz w:val="16"/>
          <w:szCs w:val="16"/>
        </w:rPr>
        <w:t>ы</w:t>
      </w:r>
      <w:r w:rsidRPr="009F5089">
        <w:rPr>
          <w:rFonts w:ascii="Times New Roman" w:hAnsi="Times New Roman"/>
          <w:color w:val="0070C0"/>
          <w:sz w:val="16"/>
          <w:szCs w:val="16"/>
        </w:rPr>
        <w:t>т бу</w:t>
      </w:r>
      <w:r>
        <w:rPr>
          <w:rFonts w:ascii="Times New Roman" w:hAnsi="Times New Roman"/>
          <w:color w:val="0070C0"/>
          <w:sz w:val="16"/>
          <w:szCs w:val="16"/>
        </w:rPr>
        <w:t>кс</w:t>
      </w:r>
      <w:r w:rsidRPr="009F5089">
        <w:rPr>
          <w:rFonts w:ascii="Times New Roman" w:hAnsi="Times New Roman"/>
          <w:color w:val="0070C0"/>
          <w:sz w:val="16"/>
          <w:szCs w:val="16"/>
        </w:rPr>
        <w:t>и</w:t>
      </w:r>
      <w:r>
        <w:rPr>
          <w:rFonts w:ascii="Times New Roman" w:hAnsi="Times New Roman"/>
          <w:color w:val="0070C0"/>
          <w:sz w:val="16"/>
          <w:szCs w:val="16"/>
        </w:rPr>
        <w:t>ровк</w:t>
      </w:r>
      <w:r w:rsidRPr="009F5089">
        <w:rPr>
          <w:rFonts w:ascii="Times New Roman" w:hAnsi="Times New Roman"/>
          <w:color w:val="0070C0"/>
          <w:sz w:val="16"/>
          <w:szCs w:val="16"/>
        </w:rPr>
        <w:t>и планера был проведем в 1927 г</w:t>
      </w:r>
      <w:r>
        <w:rPr>
          <w:rFonts w:ascii="Times New Roman" w:hAnsi="Times New Roman"/>
          <w:color w:val="0070C0"/>
          <w:sz w:val="16"/>
          <w:szCs w:val="16"/>
        </w:rPr>
        <w:t xml:space="preserve">. </w:t>
      </w:r>
      <w:r w:rsidRPr="009F5089">
        <w:rPr>
          <w:rFonts w:ascii="Times New Roman" w:hAnsi="Times New Roman"/>
          <w:color w:val="0070C0"/>
          <w:sz w:val="16"/>
          <w:szCs w:val="16"/>
        </w:rPr>
        <w:t>в Герма</w:t>
      </w:r>
      <w:r>
        <w:rPr>
          <w:rFonts w:ascii="Times New Roman" w:hAnsi="Times New Roman"/>
          <w:color w:val="0070C0"/>
          <w:sz w:val="16"/>
          <w:szCs w:val="16"/>
        </w:rPr>
        <w:t>нии</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Советские планеристы превратили этот полет в особый вид </w:t>
      </w:r>
      <w:r>
        <w:rPr>
          <w:rFonts w:ascii="Times New Roman" w:hAnsi="Times New Roman"/>
          <w:color w:val="0070C0"/>
          <w:sz w:val="16"/>
          <w:szCs w:val="16"/>
        </w:rPr>
        <w:t>с</w:t>
      </w:r>
      <w:r w:rsidRPr="009F5089">
        <w:rPr>
          <w:rFonts w:ascii="Times New Roman" w:hAnsi="Times New Roman"/>
          <w:color w:val="0070C0"/>
          <w:sz w:val="16"/>
          <w:szCs w:val="16"/>
        </w:rPr>
        <w:t>пор</w:t>
      </w:r>
      <w:r>
        <w:rPr>
          <w:rFonts w:ascii="Times New Roman" w:hAnsi="Times New Roman"/>
          <w:color w:val="0070C0"/>
          <w:sz w:val="16"/>
          <w:szCs w:val="16"/>
        </w:rPr>
        <w:t xml:space="preserve">та и </w:t>
      </w:r>
      <w:r w:rsidRPr="009F5089">
        <w:rPr>
          <w:rFonts w:ascii="Times New Roman" w:hAnsi="Times New Roman"/>
          <w:color w:val="0070C0"/>
          <w:sz w:val="16"/>
          <w:szCs w:val="16"/>
        </w:rPr>
        <w:t>вск</w:t>
      </w:r>
      <w:r>
        <w:rPr>
          <w:rFonts w:ascii="Times New Roman" w:hAnsi="Times New Roman"/>
          <w:color w:val="0070C0"/>
          <w:sz w:val="16"/>
          <w:szCs w:val="16"/>
        </w:rPr>
        <w:t>оре</w:t>
      </w:r>
      <w:r w:rsidRPr="009F5089">
        <w:rPr>
          <w:rFonts w:ascii="Times New Roman" w:hAnsi="Times New Roman"/>
          <w:color w:val="0070C0"/>
          <w:sz w:val="16"/>
          <w:szCs w:val="16"/>
        </w:rPr>
        <w:t xml:space="preserve"> превзошли </w:t>
      </w:r>
      <w:r>
        <w:rPr>
          <w:rFonts w:ascii="Times New Roman" w:hAnsi="Times New Roman"/>
          <w:color w:val="0070C0"/>
          <w:sz w:val="16"/>
          <w:szCs w:val="16"/>
        </w:rPr>
        <w:t>вс</w:t>
      </w:r>
      <w:r w:rsidRPr="009F5089">
        <w:rPr>
          <w:rFonts w:ascii="Times New Roman" w:hAnsi="Times New Roman"/>
          <w:color w:val="0070C0"/>
          <w:sz w:val="16"/>
          <w:szCs w:val="16"/>
        </w:rPr>
        <w:t>е достижения зарубежных планеристов</w:t>
      </w:r>
      <w:r>
        <w:rPr>
          <w:rFonts w:ascii="Times New Roman" w:hAnsi="Times New Roman"/>
          <w:color w:val="0070C0"/>
          <w:sz w:val="16"/>
          <w:szCs w:val="16"/>
        </w:rPr>
        <w:t>.</w:t>
      </w:r>
    </w:p>
    <w:p w14:paraId="6915EF55" w14:textId="77777777" w:rsidR="001D074B" w:rsidRDefault="001D074B" w:rsidP="001D074B">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/"Самолет", 1931</w:t>
      </w:r>
      <w:r>
        <w:rPr>
          <w:rFonts w:ascii="Times New Roman" w:hAnsi="Times New Roman"/>
          <w:color w:val="0070C0"/>
          <w:sz w:val="16"/>
          <w:szCs w:val="16"/>
        </w:rPr>
        <w:t>, № 8</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098B7C74" w14:textId="77777777" w:rsidR="001D074B" w:rsidRPr="009F5089" w:rsidRDefault="001D074B" w:rsidP="001D074B">
      <w:pPr>
        <w:spacing w:after="0" w:line="240" w:lineRule="auto"/>
        <w:jc w:val="both"/>
        <w:rPr>
          <w:rFonts w:ascii="Times New Roman" w:hAnsi="Times New Roman"/>
          <w:color w:val="0070C0"/>
          <w:sz w:val="16"/>
          <w:szCs w:val="16"/>
        </w:rPr>
      </w:pPr>
    </w:p>
    <w:p w14:paraId="08EF0C08" w14:textId="77777777" w:rsidR="00293FAB" w:rsidRPr="007122AB" w:rsidRDefault="00293FA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5AD4527" w14:textId="77777777" w:rsidR="00293FAB" w:rsidRPr="007122AB" w:rsidRDefault="00293FA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42D67C" w14:textId="77777777" w:rsidR="00293FAB" w:rsidRPr="007122AB" w:rsidRDefault="00293F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мая 1931 г. постановлением ВЦИК и СНК СССР был образован Государственный арбитраж. Он представлял собой смешанный орган, совмещающий управленческие и судебные функции, занимался разрешением споров, осуществлением надзора за законностью и обоснованностью их решений, исполнением решений и предупреждением хозяйственных правонарушений. Госарбитраж существовал в двух формах — ведомственной и государственной. В Государственном арбитраже рассматривались споры организаций и предприятий административного подчинения, в ведомственном — подчинения конкретным ведомствам. 6 декабря 1931 г. СНК СССР принял постановление, которым расширил компетенцию Госарбитража при Совете народных комиссаров СССР, возложив на него инструктирование арбитражей, состоящих при СНК союзных республик и ведомствах СССР, а также поручил последним возложить на соответствующие государственные арбитражи инструктирование местных и ведомственных арбитражей союзных республик. Постановлением СНК от 19 декабря 1933 г. “О заключении договоров на 1934 г.” к функциям Госарбитража была добавлена еще одна: рассмотрение споров, возникающих при заключении договоров между органами различных ведомств и кооперативных систем. 5 декабря 1939 г. СНК СССР принял постановление “О заключении договоров на 1940 год”, по которому в ведение Госарбитража перешло и рассмотрение споров, возникающих при согласовании основных условий поставки товаров (17776).</w:t>
      </w:r>
    </w:p>
    <w:p w14:paraId="662B53C6" w14:textId="77777777" w:rsidR="00293FAB" w:rsidRPr="007122AB" w:rsidRDefault="00293FAB" w:rsidP="007122AB">
      <w:pPr>
        <w:spacing w:after="0" w:line="240" w:lineRule="auto"/>
        <w:jc w:val="both"/>
        <w:rPr>
          <w:rFonts w:ascii="Times New Roman" w:eastAsia="Times New Roman" w:hAnsi="Times New Roman"/>
          <w:color w:val="000000" w:themeColor="text1"/>
          <w:sz w:val="16"/>
          <w:szCs w:val="16"/>
          <w:lang w:eastAsia="ru-RU"/>
        </w:rPr>
      </w:pPr>
    </w:p>
    <w:p w14:paraId="2739AF2B" w14:textId="77777777" w:rsidR="002D39AF" w:rsidRPr="007122AB" w:rsidRDefault="002D39A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B01CF19" w14:textId="77777777" w:rsidR="002D39AF" w:rsidRPr="007122AB" w:rsidRDefault="002D39A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72E10D"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3 мая 1931 г.</w:t>
      </w:r>
    </w:p>
    <w:p w14:paraId="35308A03"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Об использовании Л. К. Рамзина в разработке «парового трактора». 3 мая 1931 г.</w:t>
      </w:r>
    </w:p>
    <w:p w14:paraId="222B6A36"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6965A47"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1124CA2"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361299A0"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1.Д. 2. Л. 10</w:t>
      </w:r>
    </w:p>
    <w:p w14:paraId="029C6081" w14:textId="77777777" w:rsidR="002D39AF" w:rsidRPr="007122AB" w:rsidRDefault="002D39AF" w:rsidP="007122AB">
      <w:pPr>
        <w:pStyle w:val="rteright"/>
        <w:spacing w:before="0" w:after="0"/>
        <w:jc w:val="both"/>
        <w:rPr>
          <w:color w:val="000000" w:themeColor="text1"/>
          <w:sz w:val="16"/>
          <w:szCs w:val="16"/>
        </w:rPr>
      </w:pPr>
      <w:r w:rsidRPr="007122AB">
        <w:rPr>
          <w:color w:val="000000" w:themeColor="text1"/>
          <w:sz w:val="16"/>
          <w:szCs w:val="16"/>
        </w:rPr>
        <w:t>3 мая 1931 г.</w:t>
      </w:r>
    </w:p>
    <w:p w14:paraId="442ED77B" w14:textId="77777777" w:rsidR="002D39AF" w:rsidRPr="007122AB" w:rsidRDefault="002D39AF" w:rsidP="007122AB">
      <w:pPr>
        <w:pStyle w:val="rteright"/>
        <w:spacing w:before="0" w:after="0"/>
        <w:jc w:val="both"/>
        <w:rPr>
          <w:color w:val="000000" w:themeColor="text1"/>
          <w:sz w:val="16"/>
          <w:szCs w:val="16"/>
        </w:rPr>
      </w:pPr>
      <w:r w:rsidRPr="007122AB">
        <w:rPr>
          <w:color w:val="000000" w:themeColor="text1"/>
          <w:sz w:val="16"/>
          <w:szCs w:val="16"/>
        </w:rPr>
        <w:t>Совершенно секретно</w:t>
      </w:r>
    </w:p>
    <w:p w14:paraId="540D6061"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ТЕХНИЧЕСКОЕ] ОТДЕЛ[ЕНИЕ] ЭКУ ОГПУ</w:t>
      </w:r>
    </w:p>
    <w:p w14:paraId="203739CA"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тов. ГОРЯНОВУ.</w:t>
      </w:r>
    </w:p>
    <w:p w14:paraId="01B0B7FA"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Согласно распоряжения т. ПРОКОФЬЕВА прошу дать срочное задание РАМЗИНУ на проектировку парового трактора с конденсацией пара.</w:t>
      </w:r>
    </w:p>
    <w:p w14:paraId="738EB122"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О возможном сроке выполнения задания прошу сообщить.</w:t>
      </w:r>
    </w:p>
    <w:p w14:paraId="442E51DA"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Пом. Нач. Группы Л. П. В.</w:t>
      </w:r>
    </w:p>
    <w:p w14:paraId="4006E359"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 xml:space="preserve">При Президиуме ВСНХ СССР </w:t>
      </w:r>
      <w:proofErr w:type="spellStart"/>
      <w:r w:rsidRPr="007122AB">
        <w:rPr>
          <w:color w:val="000000" w:themeColor="text1"/>
          <w:sz w:val="16"/>
          <w:szCs w:val="16"/>
        </w:rPr>
        <w:t>Зибрак</w:t>
      </w:r>
      <w:proofErr w:type="spellEnd"/>
    </w:p>
    <w:p w14:paraId="634CAE4A"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«3» Мая 1931 г.</w:t>
      </w:r>
    </w:p>
    <w:p w14:paraId="0FC72860" w14:textId="77777777" w:rsidR="002D39AF" w:rsidRPr="007122AB" w:rsidRDefault="002D39AF"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1.Д. 2. Л. 10. Машинописный подлинник, подпись — автограф. Гриф секретности машинописью. Число в дате написано от руки. Рукописные пометы на Л. 10: вверху слева «&lt;1. Сейчас &gt; нельзя загружать Рамзина 2) Беднякову </w:t>
      </w:r>
      <w:proofErr w:type="spellStart"/>
      <w:r w:rsidRPr="007122AB">
        <w:rPr>
          <w:rStyle w:val="af0"/>
          <w:i w:val="0"/>
          <w:color w:val="000000" w:themeColor="text1"/>
          <w:sz w:val="16"/>
          <w:szCs w:val="16"/>
        </w:rPr>
        <w:t>перегов</w:t>
      </w:r>
      <w:proofErr w:type="spellEnd"/>
      <w:r w:rsidRPr="007122AB">
        <w:rPr>
          <w:rStyle w:val="af0"/>
          <w:i w:val="0"/>
          <w:color w:val="000000" w:themeColor="text1"/>
          <w:sz w:val="16"/>
          <w:szCs w:val="16"/>
        </w:rPr>
        <w:t>[</w:t>
      </w:r>
      <w:proofErr w:type="spellStart"/>
      <w:r w:rsidRPr="007122AB">
        <w:rPr>
          <w:rStyle w:val="af0"/>
          <w:i w:val="0"/>
          <w:color w:val="000000" w:themeColor="text1"/>
          <w:sz w:val="16"/>
          <w:szCs w:val="16"/>
        </w:rPr>
        <w:t>орить</w:t>
      </w:r>
      <w:proofErr w:type="spellEnd"/>
      <w:r w:rsidRPr="007122AB">
        <w:rPr>
          <w:rStyle w:val="af0"/>
          <w:i w:val="0"/>
          <w:color w:val="000000" w:themeColor="text1"/>
          <w:sz w:val="16"/>
          <w:szCs w:val="16"/>
        </w:rPr>
        <w:t xml:space="preserve">] с Прокофьевым» (простым карандашом); внизу справа и на обороте листа (синим карандашом): «т. Бедняков </w:t>
      </w:r>
      <w:proofErr w:type="spellStart"/>
      <w:r w:rsidRPr="007122AB">
        <w:rPr>
          <w:rStyle w:val="af0"/>
          <w:i w:val="0"/>
          <w:color w:val="000000" w:themeColor="text1"/>
          <w:sz w:val="16"/>
          <w:szCs w:val="16"/>
        </w:rPr>
        <w:t>Горянов</w:t>
      </w:r>
      <w:proofErr w:type="spellEnd"/>
      <w:r w:rsidRPr="007122AB">
        <w:rPr>
          <w:rStyle w:val="af0"/>
          <w:i w:val="0"/>
          <w:color w:val="000000" w:themeColor="text1"/>
          <w:sz w:val="16"/>
          <w:szCs w:val="16"/>
        </w:rPr>
        <w:t xml:space="preserve"> пору&lt;</w:t>
      </w:r>
      <w:proofErr w:type="spellStart"/>
      <w:r w:rsidRPr="007122AB">
        <w:rPr>
          <w:rStyle w:val="af0"/>
          <w:i w:val="0"/>
          <w:color w:val="000000" w:themeColor="text1"/>
          <w:sz w:val="16"/>
          <w:szCs w:val="16"/>
        </w:rPr>
        <w:t>чил</w:t>
      </w:r>
      <w:proofErr w:type="spellEnd"/>
      <w:r w:rsidRPr="007122AB">
        <w:rPr>
          <w:rStyle w:val="af0"/>
          <w:i w:val="0"/>
          <w:color w:val="000000" w:themeColor="text1"/>
          <w:sz w:val="16"/>
          <w:szCs w:val="16"/>
        </w:rPr>
        <w:t>&gt; тебе переговорить с тов. Прокофьевым о том, что Рамзин загружен сейчас не менее важной работой и что в части парового трактора он не является специалистом. 10/V» (подпись неразборчива, возможно: М. Соколов) (19059).</w:t>
      </w:r>
    </w:p>
    <w:p w14:paraId="66649608"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3BDCA2B9" w14:textId="77777777" w:rsidR="00EF2E5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A5B69AD" w14:textId="77777777" w:rsidR="00EF2E51" w:rsidRPr="007122AB" w:rsidRDefault="00EF2E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F1DCDA"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мая 1931, в связи с назначением В.Н. Чернышева на вышестоящую должность, произошло объединение бригад № 3 и № 4 ЦКБ ЦАГИ в одну бригаду № 3, с передачей ей производственных заданий обеих бригад. Объединенную бригаду №3 возглавил П.О. Сухой, а его заместителями стали Н.Н. Поликарпов и Г.О. </w:t>
      </w:r>
      <w:proofErr w:type="spellStart"/>
      <w:r w:rsidRPr="007122AB">
        <w:rPr>
          <w:rFonts w:ascii="Times New Roman" w:hAnsi="Times New Roman"/>
          <w:color w:val="000000" w:themeColor="text1"/>
          <w:sz w:val="16"/>
          <w:szCs w:val="16"/>
        </w:rPr>
        <w:t>Бертош</w:t>
      </w:r>
      <w:proofErr w:type="spellEnd"/>
      <w:r w:rsidRPr="007122AB">
        <w:rPr>
          <w:rFonts w:ascii="Times New Roman" w:hAnsi="Times New Roman"/>
          <w:color w:val="000000" w:themeColor="text1"/>
          <w:sz w:val="16"/>
          <w:szCs w:val="16"/>
        </w:rPr>
        <w:t xml:space="preserve"> (12230).</w:t>
      </w:r>
    </w:p>
    <w:p w14:paraId="3CB26A37"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23A1A3B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B124DE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42F6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мая 1931 на секретариате РАПП было принято решение немедленно заняться художественным показом героев пятилетки (3481).</w:t>
      </w:r>
    </w:p>
    <w:p w14:paraId="1BF0A7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556D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мая 1931 советские писатели постановили немедленно заняться «художественным показом героев пятилеток» (4962).</w:t>
      </w:r>
    </w:p>
    <w:p w14:paraId="3A6414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2C24B"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4 мая 1931 г.</w:t>
      </w:r>
    </w:p>
    <w:p w14:paraId="63C48339"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Записка Л. К. Рамзина помощнику начальника Технического отделения ЭКУ ОГПУ В. А. Беднякову с просьбой о доставке книг и рукописей. 4 мая 1931 г.</w:t>
      </w:r>
    </w:p>
    <w:p w14:paraId="04EB0298"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46CF2F60"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594B85"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DB2F866"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69. Л. 69</w:t>
      </w:r>
    </w:p>
    <w:p w14:paraId="75F014AD" w14:textId="77777777" w:rsidR="002D39AF" w:rsidRPr="007122AB" w:rsidRDefault="002D39AF" w:rsidP="007122AB">
      <w:pPr>
        <w:pStyle w:val="rteright"/>
        <w:spacing w:before="0" w:after="0"/>
        <w:jc w:val="both"/>
        <w:rPr>
          <w:color w:val="000000" w:themeColor="text1"/>
          <w:sz w:val="16"/>
          <w:szCs w:val="16"/>
        </w:rPr>
      </w:pPr>
      <w:r w:rsidRPr="007122AB">
        <w:rPr>
          <w:color w:val="000000" w:themeColor="text1"/>
          <w:sz w:val="16"/>
          <w:szCs w:val="16"/>
        </w:rPr>
        <w:t>4 мая 1931 г.</w:t>
      </w:r>
    </w:p>
    <w:p w14:paraId="165636D3"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ЭКУ ОГПУ</w:t>
      </w:r>
    </w:p>
    <w:p w14:paraId="0481E771"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V отделение</w:t>
      </w:r>
    </w:p>
    <w:p w14:paraId="069882AA"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В. А. Беднякову</w:t>
      </w:r>
    </w:p>
    <w:p w14:paraId="23D97878"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Посылаю Вам список книг из моей библиотеки, которые желательно получить в 1[-ую] очередь до вывоза моих книг.</w:t>
      </w:r>
    </w:p>
    <w:p w14:paraId="68EF5CB9"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Не откажите в распоряжении задержать вывоз библиотеки до моего свидания с женою, чтобы я мог дать ей указания относительно книг и рукописей, которые желательно отложить и отправить через Вас отдельно, в 1[-ую] очередь, во избежание задержки и путаницы.</w:t>
      </w:r>
    </w:p>
    <w:p w14:paraId="41C509D6"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Очень прошу Вас дать мне для этого свидание с женою.</w:t>
      </w:r>
    </w:p>
    <w:p w14:paraId="3F172E69"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Кроме того, убедительно прошу Вас дать указание в тюрьму, чтобы мне предоставляли &lt;очные&gt; свидания с женою по 2-3 часа, ибо Ваша бумага по этому вопросу здесь еще не получена.</w:t>
      </w:r>
    </w:p>
    <w:p w14:paraId="775C398C"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&lt;Смету&gt; я приготовил и прошу Вас переговорить со мною.</w:t>
      </w:r>
    </w:p>
    <w:p w14:paraId="2818B409"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4.V.1931</w:t>
      </w:r>
    </w:p>
    <w:p w14:paraId="56BF80A1" w14:textId="77777777" w:rsidR="002D39AF" w:rsidRPr="007122AB" w:rsidRDefault="002D39AF" w:rsidP="007122AB">
      <w:pPr>
        <w:pStyle w:val="rtejustify"/>
        <w:spacing w:before="0" w:after="0"/>
        <w:rPr>
          <w:color w:val="000000" w:themeColor="text1"/>
          <w:sz w:val="16"/>
          <w:szCs w:val="16"/>
        </w:rPr>
      </w:pPr>
      <w:r w:rsidRPr="007122AB">
        <w:rPr>
          <w:color w:val="000000" w:themeColor="text1"/>
          <w:sz w:val="16"/>
          <w:szCs w:val="16"/>
        </w:rPr>
        <w:t>Л. Рамзин</w:t>
      </w:r>
    </w:p>
    <w:p w14:paraId="0BB685A5" w14:textId="77777777" w:rsidR="002D39AF" w:rsidRPr="007122AB" w:rsidRDefault="002D39AF"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69. Л. 69. Рукописный подлинник, автограф Л. К. Рамзина (написано карандашом). Вверху слева написано от руки чернилами «№ 10784», выше проставлена буква «С» (синим карандашом). На Л. 70-71 об. — «Ориентировочная смета стоимости работ по группе проф. Л. К. Рамзина», датированная 3.V.1931 г. (Рукописный подлинник, автограф Л. К. Рамзина. Написано карандашом.) (19058).</w:t>
      </w:r>
    </w:p>
    <w:p w14:paraId="7431C6A8"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349F1251" w14:textId="77777777" w:rsidR="002D39AF" w:rsidRPr="007122AB" w:rsidRDefault="002D39A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558E8DDC" w14:textId="77777777" w:rsidR="002D39AF" w:rsidRPr="007122AB" w:rsidRDefault="002D39A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E501FE"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4 мая 1931 г.</w:t>
      </w:r>
    </w:p>
    <w:p w14:paraId="648A5BA4"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В. Н. Баркова Ж. Л. Аренсу о необходимости увеличения затрат на издание стенограммы процесса «Промпартии» и работе среди просоветски настроенных франкмасонов. 4 мая 1931 г.</w:t>
      </w:r>
    </w:p>
    <w:p w14:paraId="2AEA91C6"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3E721B0"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5041EB9" w14:textId="77777777" w:rsidR="002D39AF" w:rsidRPr="007122AB" w:rsidRDefault="002D39AF"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A1B8B7B" w14:textId="77777777" w:rsidR="002D39AF" w:rsidRPr="007122AB" w:rsidRDefault="002D39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76</w:t>
      </w:r>
    </w:p>
    <w:p w14:paraId="2DC2B338" w14:textId="77777777" w:rsidR="002D39AF" w:rsidRPr="007122AB" w:rsidRDefault="002D39AF" w:rsidP="007122AB">
      <w:pPr>
        <w:pStyle w:val="rteright"/>
        <w:spacing w:before="0" w:after="0"/>
        <w:jc w:val="both"/>
        <w:rPr>
          <w:color w:val="000000" w:themeColor="text1"/>
          <w:sz w:val="16"/>
          <w:szCs w:val="16"/>
        </w:rPr>
      </w:pPr>
      <w:r w:rsidRPr="007122AB">
        <w:rPr>
          <w:color w:val="000000" w:themeColor="text1"/>
          <w:sz w:val="16"/>
          <w:szCs w:val="16"/>
        </w:rPr>
        <w:t>4 мая 1931 г.</w:t>
      </w:r>
    </w:p>
    <w:p w14:paraId="21623467" w14:textId="77777777" w:rsidR="002D39AF" w:rsidRPr="007122AB" w:rsidRDefault="002D39AF"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4F810AB7"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НАРКОМИНДЕЛ</w:t>
      </w:r>
    </w:p>
    <w:p w14:paraId="2484EA45"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Отдел Печати тов. АРЕНСУ</w:t>
      </w:r>
    </w:p>
    <w:p w14:paraId="1A1C201A"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Уважаемый товарищ,</w:t>
      </w:r>
    </w:p>
    <w:p w14:paraId="4408406A" w14:textId="77777777" w:rsidR="002D39AF" w:rsidRPr="007122AB" w:rsidRDefault="002D39AF" w:rsidP="007122AB">
      <w:pPr>
        <w:numPr>
          <w:ilvl w:val="0"/>
          <w:numId w:val="10"/>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Издательство Валуа, через Игнатьева, сообщило, что стенограмма заключает в себе три с половиной миллиона печатных знаков. Цифра очень внушительная. Между прочим, я сомневаюсь в точности их подсчетов. Несмотря на это, издательство никак не реагировало на такое нарушение договора с нашей стороны (в договоре был оговорен листаж 35 печатных листов). Стенограмма набирается, вскоре получим гранки. При расплате с переводчиками мы исходили из 52 авторских листов. Поэтому принимая в расчет увеличение расходов на перевод (оплата переводчикам, издержки редактирования, машинистка), а также необходимость приобретения по соглашению не 400 экз., как мы предполагали, а 500 экз. по 50 фр., — просим ассигновать дополнительно 10.000 фр. на расходы, которым мы ведем согласно директиве, отдельный счет.</w:t>
      </w:r>
    </w:p>
    <w:p w14:paraId="0B9BFA7A" w14:textId="77777777" w:rsidR="002D39AF" w:rsidRPr="007122AB" w:rsidRDefault="002D39AF" w:rsidP="007122AB">
      <w:pPr>
        <w:numPr>
          <w:ilvl w:val="0"/>
          <w:numId w:val="11"/>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Вышел первый номер «</w:t>
      </w:r>
      <w:proofErr w:type="spellStart"/>
      <w:r w:rsidRPr="007122AB">
        <w:rPr>
          <w:rFonts w:ascii="Times New Roman" w:hAnsi="Times New Roman"/>
          <w:color w:val="000000" w:themeColor="text1"/>
          <w:sz w:val="16"/>
          <w:szCs w:val="16"/>
        </w:rPr>
        <w:t>Кри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Эропеен</w:t>
      </w:r>
      <w:proofErr w:type="spellEnd"/>
      <w:r w:rsidRPr="007122AB">
        <w:rPr>
          <w:rFonts w:ascii="Times New Roman" w:hAnsi="Times New Roman"/>
          <w:color w:val="000000" w:themeColor="text1"/>
          <w:sz w:val="16"/>
          <w:szCs w:val="16"/>
        </w:rPr>
        <w:t>», где нам посвящены две странички, заполненные нашим материалом. Журнал будет выходить раз в месяц. Посылаем несколько номеров для ознакомления. Издатель обратился к нам с предложением подписаться на некоторое количество экз., осведомив, что немецкое посольство подписалось на 400 экз. Считая наше сотрудничество с этим журналом желательным, мы думаем, что было бы целесообразно подписаться на 100-150 экз. (экземпляр стоит 30 фр.). Просим поставить этот вопрос и срочно сообщить решение.</w:t>
      </w:r>
    </w:p>
    <w:p w14:paraId="79E4D73C" w14:textId="77777777" w:rsidR="002D39AF" w:rsidRPr="007122AB" w:rsidRDefault="002D39AF" w:rsidP="007122AB">
      <w:pPr>
        <w:numPr>
          <w:ilvl w:val="0"/>
          <w:numId w:val="12"/>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Роже Франк информировал меня о намерении некоторых франк-</w:t>
      </w:r>
      <w:proofErr w:type="spellStart"/>
      <w:r w:rsidRPr="007122AB">
        <w:rPr>
          <w:rFonts w:ascii="Times New Roman" w:hAnsi="Times New Roman"/>
          <w:color w:val="000000" w:themeColor="text1"/>
          <w:sz w:val="16"/>
          <w:szCs w:val="16"/>
        </w:rPr>
        <w:t>массонов</w:t>
      </w:r>
      <w:proofErr w:type="spellEnd"/>
      <w:r w:rsidRPr="007122AB">
        <w:rPr>
          <w:rFonts w:ascii="Times New Roman" w:hAnsi="Times New Roman"/>
          <w:color w:val="000000" w:themeColor="text1"/>
          <w:sz w:val="16"/>
          <w:szCs w:val="16"/>
        </w:rPr>
        <w:t xml:space="preserve"> организовать «Группу Друзей СССР», работающую исключительно в недрах </w:t>
      </w:r>
      <w:proofErr w:type="spellStart"/>
      <w:r w:rsidRPr="007122AB">
        <w:rPr>
          <w:rFonts w:ascii="Times New Roman" w:hAnsi="Times New Roman"/>
          <w:color w:val="000000" w:themeColor="text1"/>
          <w:sz w:val="16"/>
          <w:szCs w:val="16"/>
        </w:rPr>
        <w:t>франкмассонских</w:t>
      </w:r>
      <w:proofErr w:type="spellEnd"/>
      <w:r w:rsidRPr="007122AB">
        <w:rPr>
          <w:rFonts w:ascii="Times New Roman" w:hAnsi="Times New Roman"/>
          <w:color w:val="000000" w:themeColor="text1"/>
          <w:sz w:val="16"/>
          <w:szCs w:val="16"/>
        </w:rPr>
        <w:t xml:space="preserve"> лож. Надо сказать, что некоторые </w:t>
      </w:r>
      <w:proofErr w:type="spellStart"/>
      <w:r w:rsidRPr="007122AB">
        <w:rPr>
          <w:rFonts w:ascii="Times New Roman" w:hAnsi="Times New Roman"/>
          <w:color w:val="000000" w:themeColor="text1"/>
          <w:sz w:val="16"/>
          <w:szCs w:val="16"/>
        </w:rPr>
        <w:t>франкмассонские</w:t>
      </w:r>
      <w:proofErr w:type="spellEnd"/>
      <w:r w:rsidRPr="007122AB">
        <w:rPr>
          <w:rFonts w:ascii="Times New Roman" w:hAnsi="Times New Roman"/>
          <w:color w:val="000000" w:themeColor="text1"/>
          <w:sz w:val="16"/>
          <w:szCs w:val="16"/>
        </w:rPr>
        <w:t xml:space="preserve"> ложи (напр., АГНИ) занимаются этой работой: ставят доклады об СССР, устраивают просмотры советских фильм для членов </w:t>
      </w:r>
      <w:proofErr w:type="spellStart"/>
      <w:r w:rsidRPr="007122AB">
        <w:rPr>
          <w:rFonts w:ascii="Times New Roman" w:hAnsi="Times New Roman"/>
          <w:color w:val="000000" w:themeColor="text1"/>
          <w:sz w:val="16"/>
          <w:szCs w:val="16"/>
        </w:rPr>
        <w:t>франкмассонских</w:t>
      </w:r>
      <w:proofErr w:type="spellEnd"/>
      <w:r w:rsidRPr="007122AB">
        <w:rPr>
          <w:rFonts w:ascii="Times New Roman" w:hAnsi="Times New Roman"/>
          <w:color w:val="000000" w:themeColor="text1"/>
          <w:sz w:val="16"/>
          <w:szCs w:val="16"/>
        </w:rPr>
        <w:t xml:space="preserve"> лож. Роже Франк точно еще не может сказать, какие окончательные формы примет эта организация, но думает, что организация такого объединения была бы желательна, принимая во внимание замкнутый характер этих лож и невозможность поэтому вести там работу, в частности, «Русси </w:t>
      </w:r>
      <w:proofErr w:type="spellStart"/>
      <w:r w:rsidRPr="007122AB">
        <w:rPr>
          <w:rFonts w:ascii="Times New Roman" w:hAnsi="Times New Roman"/>
          <w:color w:val="000000" w:themeColor="text1"/>
          <w:sz w:val="16"/>
          <w:szCs w:val="16"/>
        </w:rPr>
        <w:t>Нев</w:t>
      </w:r>
      <w:proofErr w:type="spellEnd"/>
      <w:r w:rsidRPr="007122AB">
        <w:rPr>
          <w:rFonts w:ascii="Times New Roman" w:hAnsi="Times New Roman"/>
          <w:color w:val="000000" w:themeColor="text1"/>
          <w:sz w:val="16"/>
          <w:szCs w:val="16"/>
        </w:rPr>
        <w:t>». Постараюсь в ближайшее время собрать кой-какой дополнительный материал по этому поводу, прошу все-же обсудить это предложение и вынести принципиальное решение.</w:t>
      </w:r>
    </w:p>
    <w:p w14:paraId="5B220C7C" w14:textId="77777777" w:rsidR="002D39AF" w:rsidRPr="007122AB" w:rsidRDefault="002D39AF" w:rsidP="007122AB">
      <w:pPr>
        <w:numPr>
          <w:ilvl w:val="0"/>
          <w:numId w:val="13"/>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Автор «второй и третьей статьи» нашего предпоследнего бюллетеня тов. </w:t>
      </w:r>
      <w:proofErr w:type="spellStart"/>
      <w:r w:rsidRPr="007122AB">
        <w:rPr>
          <w:rFonts w:ascii="Times New Roman" w:hAnsi="Times New Roman"/>
          <w:color w:val="000000" w:themeColor="text1"/>
          <w:sz w:val="16"/>
          <w:szCs w:val="16"/>
        </w:rPr>
        <w:t>Мерле</w:t>
      </w:r>
      <w:proofErr w:type="spellEnd"/>
      <w:r w:rsidRPr="007122AB">
        <w:rPr>
          <w:rFonts w:ascii="Times New Roman" w:hAnsi="Times New Roman"/>
          <w:color w:val="000000" w:themeColor="text1"/>
          <w:sz w:val="16"/>
          <w:szCs w:val="16"/>
        </w:rPr>
        <w:t>.</w:t>
      </w:r>
    </w:p>
    <w:p w14:paraId="4445DC45" w14:textId="77777777" w:rsidR="002D39AF" w:rsidRPr="007122AB" w:rsidRDefault="002D39AF" w:rsidP="007122AB">
      <w:pPr>
        <w:numPr>
          <w:ilvl w:val="0"/>
          <w:numId w:val="14"/>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«Чикаго Трибюн» со статьями </w:t>
      </w:r>
      <w:proofErr w:type="spellStart"/>
      <w:r w:rsidRPr="007122AB">
        <w:rPr>
          <w:rFonts w:ascii="Times New Roman" w:hAnsi="Times New Roman"/>
          <w:color w:val="000000" w:themeColor="text1"/>
          <w:sz w:val="16"/>
          <w:szCs w:val="16"/>
        </w:rPr>
        <w:t>Вэлса</w:t>
      </w:r>
      <w:proofErr w:type="spellEnd"/>
      <w:r w:rsidRPr="007122AB">
        <w:rPr>
          <w:rFonts w:ascii="Times New Roman" w:hAnsi="Times New Roman"/>
          <w:color w:val="000000" w:themeColor="text1"/>
          <w:sz w:val="16"/>
          <w:szCs w:val="16"/>
        </w:rPr>
        <w:t xml:space="preserve"> вышлем обычной почтой.</w:t>
      </w:r>
    </w:p>
    <w:p w14:paraId="47201A22" w14:textId="77777777" w:rsidR="002D39AF" w:rsidRPr="007122AB" w:rsidRDefault="002D39AF" w:rsidP="007122AB">
      <w:pPr>
        <w:pStyle w:val="ae"/>
        <w:spacing w:before="0" w:after="0"/>
        <w:jc w:val="both"/>
        <w:rPr>
          <w:color w:val="000000" w:themeColor="text1"/>
          <w:sz w:val="16"/>
          <w:szCs w:val="16"/>
        </w:rPr>
      </w:pPr>
      <w:r w:rsidRPr="007122AB">
        <w:rPr>
          <w:color w:val="000000" w:themeColor="text1"/>
          <w:sz w:val="16"/>
          <w:szCs w:val="16"/>
        </w:rPr>
        <w:t>В. Барков</w:t>
      </w:r>
    </w:p>
    <w:p w14:paraId="359766BD" w14:textId="77777777" w:rsidR="002D39AF" w:rsidRPr="007122AB" w:rsidRDefault="002D39AF"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АВП РФ. Ф. 056. On. 16. П. 34. Д. 14. Л. 76. Машинописный подлинник, подпись Баркова — автограф. Вверху справа написаны от руки исходящий номер «№ 267/с» и дата «4/V-31». Гриф секретности машинописью. Вверху слева написаны от руки входящий номер и дата получения документа «9/V-31 г.», рядом также от руки «т. Аренсу». Внизу слева делопроизводственная помета машинописью (столбцом) «4 экз.: 1 — Аренсу 1 — </w:t>
      </w:r>
      <w:proofErr w:type="spellStart"/>
      <w:r w:rsidRPr="007122AB">
        <w:rPr>
          <w:rStyle w:val="af0"/>
          <w:i w:val="0"/>
          <w:color w:val="000000" w:themeColor="text1"/>
          <w:sz w:val="16"/>
          <w:szCs w:val="16"/>
        </w:rPr>
        <w:t>Рубинину</w:t>
      </w:r>
      <w:proofErr w:type="spellEnd"/>
      <w:r w:rsidRPr="007122AB">
        <w:rPr>
          <w:rStyle w:val="af0"/>
          <w:i w:val="0"/>
          <w:color w:val="000000" w:themeColor="text1"/>
          <w:sz w:val="16"/>
          <w:szCs w:val="16"/>
        </w:rPr>
        <w:t xml:space="preserve"> 1 — Крестинскому, 1 — в дело» (18835).</w:t>
      </w:r>
    </w:p>
    <w:p w14:paraId="0C4D3914" w14:textId="77777777" w:rsidR="002D39AF" w:rsidRPr="007122AB" w:rsidRDefault="002D39AF" w:rsidP="007122AB">
      <w:pPr>
        <w:spacing w:after="0" w:line="240" w:lineRule="auto"/>
        <w:jc w:val="both"/>
        <w:rPr>
          <w:rFonts w:ascii="Times New Roman" w:hAnsi="Times New Roman"/>
          <w:color w:val="000000" w:themeColor="text1"/>
          <w:sz w:val="16"/>
          <w:szCs w:val="16"/>
        </w:rPr>
      </w:pPr>
    </w:p>
    <w:p w14:paraId="099374A2" w14:textId="77777777" w:rsidR="00EF2E5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8EE1F73" w14:textId="77777777" w:rsidR="00EF2E51" w:rsidRPr="007122AB" w:rsidRDefault="00EF2E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396C3F"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8Осс о реконструкции Ижевского завода (ГА РФ. Ф. Р?8418. Оп. 28. Д. 1а. Л. 18) (12415).</w:t>
      </w:r>
    </w:p>
    <w:p w14:paraId="4FFA9543"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5B3D0627" w14:textId="77777777" w:rsidR="000E0163" w:rsidRPr="007122AB" w:rsidRDefault="000E016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мая 1931 г. Протокол ПБ № 36 п.16: О пересмотре договоров по техпомощи и о порядке их заключения (ПБ от 15-4-1931 г., протокол № 34, п.14) (Акулов, </w:t>
      </w:r>
      <w:proofErr w:type="spellStart"/>
      <w:r w:rsidRPr="007122AB">
        <w:rPr>
          <w:rFonts w:ascii="Times New Roman" w:hAnsi="Times New Roman"/>
          <w:color w:val="000000" w:themeColor="text1"/>
          <w:sz w:val="16"/>
          <w:szCs w:val="16"/>
        </w:rPr>
        <w:t>Межлаук</w:t>
      </w:r>
      <w:proofErr w:type="spellEnd"/>
      <w:r w:rsidRPr="007122AB">
        <w:rPr>
          <w:rFonts w:ascii="Times New Roman" w:hAnsi="Times New Roman"/>
          <w:color w:val="000000" w:themeColor="text1"/>
          <w:sz w:val="16"/>
          <w:szCs w:val="16"/>
        </w:rPr>
        <w:t xml:space="preserve">, Гринько,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 ОП. Решено: а) утвердить представленный комиссией проект постановления о пересмотре договоров по техпомощи, в котором констатировалось крайне неудовлетворительное положение и полнейшая неорганизованность всей системы промышленности в деле использования договоров технической помощи, заключенных с иностранными фирмами и предлагалось: ВСНХ СССР и другим наркоматам в месячный срок перестроить всю систему руководства и постановку дела использования техпомощи, путем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обязательно привлекать к использованию договоров технической помощи научно-исследовательские институты и заводские лаборатории в целях изучения достижений капиталистической техники; категорически запретить сепаратные переговоры по договорам техпомощи руководителями хозяйственных объединений и предприятий вне утвержденного </w:t>
      </w:r>
      <w:r w:rsidRPr="007122AB">
        <w:rPr>
          <w:rFonts w:ascii="Times New Roman" w:hAnsi="Times New Roman"/>
          <w:color w:val="000000" w:themeColor="text1"/>
          <w:sz w:val="16"/>
          <w:szCs w:val="16"/>
        </w:rPr>
        <w:lastRenderedPageBreak/>
        <w:t xml:space="preserve">президиумом ВСНХ СССР или коллегиями наркоматов планов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xml:space="preserve"> и без особого на то разрешения председателя ВСНХ СССР или соответствующего наркома; обеспечить контроль и наблюдение за </w:t>
      </w:r>
      <w:proofErr w:type="spellStart"/>
      <w:r w:rsidRPr="007122AB">
        <w:rPr>
          <w:rFonts w:ascii="Times New Roman" w:hAnsi="Times New Roman"/>
          <w:color w:val="000000" w:themeColor="text1"/>
          <w:sz w:val="16"/>
          <w:szCs w:val="16"/>
        </w:rPr>
        <w:t>инотехпомощью</w:t>
      </w:r>
      <w:proofErr w:type="spellEnd"/>
      <w:r w:rsidRPr="007122AB">
        <w:rPr>
          <w:rFonts w:ascii="Times New Roman" w:hAnsi="Times New Roman"/>
          <w:color w:val="000000" w:themeColor="text1"/>
          <w:sz w:val="16"/>
          <w:szCs w:val="16"/>
        </w:rPr>
        <w:t xml:space="preserve"> низовых общественно-производственных организаций предприятий и актива инженерно-технического персонала; б) утвердить список фирм, с которыми договора расторгаются, на общую сумму 2710 тысяч рублей; 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 (15965).</w:t>
      </w:r>
    </w:p>
    <w:p w14:paraId="4F21E5B3" w14:textId="77777777" w:rsidR="000E0163" w:rsidRPr="007122AB" w:rsidRDefault="000E0163" w:rsidP="007122AB">
      <w:pPr>
        <w:spacing w:after="0" w:line="240" w:lineRule="auto"/>
        <w:jc w:val="both"/>
        <w:rPr>
          <w:rFonts w:ascii="Times New Roman" w:hAnsi="Times New Roman"/>
          <w:color w:val="000000" w:themeColor="text1"/>
          <w:sz w:val="16"/>
          <w:szCs w:val="16"/>
        </w:rPr>
      </w:pPr>
    </w:p>
    <w:p w14:paraId="6275F49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1931</w:t>
      </w:r>
    </w:p>
    <w:p w14:paraId="6234582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16: О пересмотре договоров по техпомощи и о порядке их заключения</w:t>
      </w:r>
    </w:p>
    <w:p w14:paraId="0D25FB0E"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15.IV.31 г., пр. № 34, п. 14).</w:t>
      </w:r>
    </w:p>
    <w:p w14:paraId="051CEE6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(Акулов, </w:t>
      </w:r>
      <w:proofErr w:type="spellStart"/>
      <w:r w:rsidRPr="007122AB">
        <w:rPr>
          <w:rFonts w:ascii="Times New Roman" w:hAnsi="Times New Roman"/>
          <w:color w:val="000000" w:themeColor="text1"/>
          <w:sz w:val="16"/>
          <w:szCs w:val="16"/>
        </w:rPr>
        <w:t>Межлаук</w:t>
      </w:r>
      <w:proofErr w:type="spellEnd"/>
      <w:r w:rsidRPr="007122AB">
        <w:rPr>
          <w:rFonts w:ascii="Times New Roman" w:hAnsi="Times New Roman"/>
          <w:color w:val="000000" w:themeColor="text1"/>
          <w:sz w:val="16"/>
          <w:szCs w:val="16"/>
        </w:rPr>
        <w:t xml:space="preserve">, Гринько,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w:t>
      </w:r>
    </w:p>
    <w:p w14:paraId="41F1ABBF"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6F56942D"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представленный комиссией проект постановления о пересмотре договоров по техпомощи (</w:t>
      </w:r>
      <w:hyperlink r:id="rId84" w:history="1">
        <w:r w:rsidRPr="007122AB">
          <w:rPr>
            <w:rStyle w:val="a5"/>
            <w:rFonts w:ascii="Times New Roman" w:hAnsi="Times New Roman"/>
            <w:color w:val="000000" w:themeColor="text1"/>
            <w:sz w:val="16"/>
            <w:szCs w:val="16"/>
          </w:rPr>
          <w:t>см. приложение № 1</w:t>
        </w:r>
        <w:r w:rsidRPr="007122AB">
          <w:rPr>
            <w:rStyle w:val="a5"/>
            <w:rFonts w:ascii="Times New Roman" w:hAnsi="Times New Roman"/>
            <w:color w:val="000000" w:themeColor="text1"/>
            <w:sz w:val="16"/>
            <w:szCs w:val="16"/>
          </w:rPr>
          <w:noBreakHyphen/>
          <w:t>ОП</w:t>
        </w:r>
      </w:hyperlink>
      <w:r w:rsidRPr="007122AB">
        <w:rPr>
          <w:rFonts w:ascii="Times New Roman" w:hAnsi="Times New Roman"/>
          <w:color w:val="000000" w:themeColor="text1"/>
          <w:sz w:val="16"/>
          <w:szCs w:val="16"/>
        </w:rPr>
        <w:t>).</w:t>
      </w:r>
    </w:p>
    <w:p w14:paraId="677F81B9"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Утвердить список фирм, с которыми договора расторгаются, на общую сумму 2.710 тысяч рублей.</w:t>
      </w:r>
    </w:p>
    <w:p w14:paraId="21A08E5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w:t>
      </w:r>
    </w:p>
    <w:p w14:paraId="278099C9"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0B987E2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Орджоникидзе, </w:t>
      </w:r>
      <w:proofErr w:type="spellStart"/>
      <w:r w:rsidRPr="007122AB">
        <w:rPr>
          <w:rFonts w:ascii="Times New Roman" w:hAnsi="Times New Roman"/>
          <w:color w:val="000000" w:themeColor="text1"/>
          <w:sz w:val="16"/>
          <w:szCs w:val="16"/>
        </w:rPr>
        <w:t>Рухимовичу</w:t>
      </w:r>
      <w:proofErr w:type="spellEnd"/>
      <w:r w:rsidRPr="007122AB">
        <w:rPr>
          <w:rFonts w:ascii="Times New Roman" w:hAnsi="Times New Roman"/>
          <w:color w:val="000000" w:themeColor="text1"/>
          <w:sz w:val="16"/>
          <w:szCs w:val="16"/>
        </w:rPr>
        <w:t>, Акулову, Микояну, Ягоде.</w:t>
      </w:r>
    </w:p>
    <w:p w14:paraId="742B5DC0"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1</w:t>
      </w:r>
      <w:r w:rsidRPr="007122AB">
        <w:rPr>
          <w:rFonts w:ascii="Times New Roman" w:hAnsi="Times New Roman"/>
          <w:color w:val="000000" w:themeColor="text1"/>
          <w:sz w:val="16"/>
          <w:szCs w:val="16"/>
        </w:rPr>
        <w:noBreakHyphen/>
        <w:t>ОП</w:t>
      </w:r>
    </w:p>
    <w:p w14:paraId="3EB87D9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16 (о. п.) пр. ПБ № 36</w:t>
      </w:r>
    </w:p>
    <w:p w14:paraId="46B61664"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пересмотре договоров по техпомощи и о порядке их заключения.</w:t>
      </w:r>
    </w:p>
    <w:p w14:paraId="5285D7B0"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(Утверждено Политбюро ЦК ВКП(б) 5.V.1931 г.)</w:t>
      </w:r>
    </w:p>
    <w:p w14:paraId="73B06136"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w:t>
      </w:r>
    </w:p>
    <w:p w14:paraId="508E527F"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7EFFB1F7"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  к простому обогащение иностранных фирм.</w:t>
      </w:r>
    </w:p>
    <w:p w14:paraId="325B5D26"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ВСНХ и другим наркоматам:</w:t>
      </w:r>
    </w:p>
    <w:p w14:paraId="76113D90"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 месячный срок перестроить всю систему руководства и постановку дела использования техпомощи, путем:</w:t>
      </w:r>
    </w:p>
    <w:p w14:paraId="0E73B773"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08516D4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оставления за </w:t>
      </w:r>
      <w:proofErr w:type="spellStart"/>
      <w:r w:rsidRPr="007122AB">
        <w:rPr>
          <w:rFonts w:ascii="Times New Roman" w:hAnsi="Times New Roman"/>
          <w:color w:val="000000" w:themeColor="text1"/>
          <w:sz w:val="16"/>
          <w:szCs w:val="16"/>
        </w:rPr>
        <w:t>иносекторами</w:t>
      </w:r>
      <w:proofErr w:type="spellEnd"/>
      <w:r w:rsidRPr="007122AB">
        <w:rPr>
          <w:rFonts w:ascii="Times New Roman" w:hAnsi="Times New Roman"/>
          <w:color w:val="000000" w:themeColor="text1"/>
          <w:sz w:val="16"/>
          <w:szCs w:val="16"/>
        </w:rPr>
        <w:t xml:space="preserve">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36D90C1D"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3FB28289"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xml:space="preserve">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3E469EFB"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Обеспечить контроль и наблюдение за </w:t>
      </w:r>
      <w:proofErr w:type="spellStart"/>
      <w:r w:rsidRPr="007122AB">
        <w:rPr>
          <w:rFonts w:ascii="Times New Roman" w:hAnsi="Times New Roman"/>
          <w:color w:val="000000" w:themeColor="text1"/>
          <w:sz w:val="16"/>
          <w:szCs w:val="16"/>
        </w:rPr>
        <w:t>инотехпомощью</w:t>
      </w:r>
      <w:proofErr w:type="spellEnd"/>
      <w:r w:rsidRPr="007122AB">
        <w:rPr>
          <w:rFonts w:ascii="Times New Roman" w:hAnsi="Times New Roman"/>
          <w:color w:val="000000" w:themeColor="text1"/>
          <w:sz w:val="16"/>
          <w:szCs w:val="16"/>
        </w:rPr>
        <w:t xml:space="preserve"> низовых общественно-производственных организаций предприятий и актива инженерно-технического персонала.</w:t>
      </w:r>
    </w:p>
    <w:p w14:paraId="364DDB86"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63EB8370"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w:t>
      </w:r>
      <w:proofErr w:type="spellStart"/>
      <w:r w:rsidRPr="007122AB">
        <w:rPr>
          <w:rFonts w:ascii="Times New Roman" w:hAnsi="Times New Roman"/>
          <w:color w:val="000000" w:themeColor="text1"/>
          <w:sz w:val="16"/>
          <w:szCs w:val="16"/>
        </w:rPr>
        <w:t>Зульцер</w:t>
      </w:r>
      <w:proofErr w:type="spellEnd"/>
      <w:r w:rsidRPr="007122AB">
        <w:rPr>
          <w:rFonts w:ascii="Times New Roman" w:hAnsi="Times New Roman"/>
          <w:color w:val="000000" w:themeColor="text1"/>
          <w:sz w:val="16"/>
          <w:szCs w:val="16"/>
        </w:rPr>
        <w:t>, Метрополитен-Виккерс, Казале и др.)«</w:t>
      </w:r>
    </w:p>
    <w:p w14:paraId="5D1E3EC5"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Запретить также без специального согласия </w:t>
      </w:r>
      <w:proofErr w:type="spellStart"/>
      <w:r w:rsidRPr="007122AB">
        <w:rPr>
          <w:rFonts w:ascii="Times New Roman" w:hAnsi="Times New Roman"/>
          <w:color w:val="000000" w:themeColor="text1"/>
          <w:sz w:val="16"/>
          <w:szCs w:val="16"/>
        </w:rPr>
        <w:t>Наркомвнешторга</w:t>
      </w:r>
      <w:proofErr w:type="spellEnd"/>
      <w:r w:rsidRPr="007122AB">
        <w:rPr>
          <w:rFonts w:ascii="Times New Roman" w:hAnsi="Times New Roman"/>
          <w:color w:val="000000" w:themeColor="text1"/>
          <w:sz w:val="16"/>
          <w:szCs w:val="16"/>
        </w:rPr>
        <w:t xml:space="preserve"> заключение договоров на </w:t>
      </w:r>
      <w:proofErr w:type="spellStart"/>
      <w:r w:rsidRPr="007122AB">
        <w:rPr>
          <w:rFonts w:ascii="Times New Roman" w:hAnsi="Times New Roman"/>
          <w:color w:val="000000" w:themeColor="text1"/>
          <w:sz w:val="16"/>
          <w:szCs w:val="16"/>
        </w:rPr>
        <w:t>инотехпомощь</w:t>
      </w:r>
      <w:proofErr w:type="spellEnd"/>
      <w:r w:rsidRPr="007122AB">
        <w:rPr>
          <w:rFonts w:ascii="Times New Roman" w:hAnsi="Times New Roman"/>
          <w:color w:val="000000" w:themeColor="text1"/>
          <w:sz w:val="16"/>
          <w:szCs w:val="16"/>
        </w:rPr>
        <w:t xml:space="preserve"> с наличием обязательств по покупке оборудования и материалов.</w:t>
      </w:r>
    </w:p>
    <w:p w14:paraId="6C5AF8A9"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9025737"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69D8C18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Принять к сведению сообщение президиума ВСНХ СССР о состоявшемся расторжении договора с фирмой Фрелих и </w:t>
      </w:r>
      <w:proofErr w:type="spellStart"/>
      <w:r w:rsidRPr="007122AB">
        <w:rPr>
          <w:rFonts w:ascii="Times New Roman" w:hAnsi="Times New Roman"/>
          <w:color w:val="000000" w:themeColor="text1"/>
          <w:sz w:val="16"/>
          <w:szCs w:val="16"/>
        </w:rPr>
        <w:t>Клюпфель</w:t>
      </w:r>
      <w:proofErr w:type="spellEnd"/>
      <w:r w:rsidRPr="007122AB">
        <w:rPr>
          <w:rFonts w:ascii="Times New Roman" w:hAnsi="Times New Roman"/>
          <w:color w:val="000000" w:themeColor="text1"/>
          <w:sz w:val="16"/>
          <w:szCs w:val="16"/>
        </w:rPr>
        <w:t xml:space="preserve">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3B845AB0"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В 2</w:t>
      </w:r>
      <w:r w:rsidRPr="007122AB">
        <w:rPr>
          <w:rFonts w:ascii="Times New Roman" w:hAnsi="Times New Roman"/>
          <w:color w:val="000000" w:themeColor="text1"/>
          <w:sz w:val="16"/>
          <w:szCs w:val="16"/>
        </w:rPr>
        <w:noBreakHyphen/>
        <w:t>х месячный срок:</w:t>
      </w:r>
    </w:p>
    <w:p w14:paraId="5F97F03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произвести проверку технической квалификации </w:t>
      </w:r>
      <w:proofErr w:type="spellStart"/>
      <w:r w:rsidRPr="007122AB">
        <w:rPr>
          <w:rFonts w:ascii="Times New Roman" w:hAnsi="Times New Roman"/>
          <w:color w:val="000000" w:themeColor="text1"/>
          <w:sz w:val="16"/>
          <w:szCs w:val="16"/>
        </w:rPr>
        <w:t>иноспециалистов</w:t>
      </w:r>
      <w:proofErr w:type="spellEnd"/>
      <w:r w:rsidRPr="007122AB">
        <w:rPr>
          <w:rFonts w:ascii="Times New Roman" w:hAnsi="Times New Roman"/>
          <w:color w:val="000000" w:themeColor="text1"/>
          <w:sz w:val="16"/>
          <w:szCs w:val="16"/>
        </w:rPr>
        <w:t>, используемых как по остающимся, так и по расторгаемым договорам в целях отказа от малоквалифицированного персонала;</w:t>
      </w:r>
    </w:p>
    <w:p w14:paraId="62E69B55"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провести работу по резкому сокращению валютной части оплаты </w:t>
      </w:r>
      <w:proofErr w:type="spellStart"/>
      <w:r w:rsidRPr="007122AB">
        <w:rPr>
          <w:rFonts w:ascii="Times New Roman" w:hAnsi="Times New Roman"/>
          <w:color w:val="000000" w:themeColor="text1"/>
          <w:sz w:val="16"/>
          <w:szCs w:val="16"/>
        </w:rPr>
        <w:t>иноспециалистов</w:t>
      </w:r>
      <w:proofErr w:type="spellEnd"/>
      <w:r w:rsidRPr="007122AB">
        <w:rPr>
          <w:rFonts w:ascii="Times New Roman" w:hAnsi="Times New Roman"/>
          <w:color w:val="000000" w:themeColor="text1"/>
          <w:sz w:val="16"/>
          <w:szCs w:val="16"/>
        </w:rPr>
        <w:t xml:space="preserve"> и перевода их на индивидуальную оплату по расторгаемым и пересматриваемым договорам.</w:t>
      </w:r>
    </w:p>
    <w:p w14:paraId="43E1FEAB"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В целях полной и своевременной реализации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xml:space="preserve">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4FF3CA73"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56AA7FEF"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65FACBB7"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Приступить и закончить в 1931 г. расторжение договоров с фирмами: </w:t>
      </w:r>
      <w:proofErr w:type="spellStart"/>
      <w:r w:rsidRPr="007122AB">
        <w:rPr>
          <w:rFonts w:ascii="Times New Roman" w:hAnsi="Times New Roman"/>
          <w:color w:val="000000" w:themeColor="text1"/>
          <w:sz w:val="16"/>
          <w:szCs w:val="16"/>
        </w:rPr>
        <w:t>Рюкайзер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Суари</w:t>
      </w:r>
      <w:proofErr w:type="spellEnd"/>
      <w:r w:rsidRPr="007122AB">
        <w:rPr>
          <w:rFonts w:ascii="Times New Roman" w:hAnsi="Times New Roman"/>
          <w:color w:val="000000" w:themeColor="text1"/>
          <w:sz w:val="16"/>
          <w:szCs w:val="16"/>
        </w:rPr>
        <w:t xml:space="preserve"> де Страсбург, Стик, Ирвинг, Ман-</w:t>
      </w:r>
      <w:proofErr w:type="spellStart"/>
      <w:r w:rsidRPr="007122AB">
        <w:rPr>
          <w:rFonts w:ascii="Times New Roman" w:hAnsi="Times New Roman"/>
          <w:color w:val="000000" w:themeColor="text1"/>
          <w:sz w:val="16"/>
          <w:szCs w:val="16"/>
        </w:rPr>
        <w:t>Ридингер</w:t>
      </w:r>
      <w:proofErr w:type="spellEnd"/>
      <w:r w:rsidRPr="007122AB">
        <w:rPr>
          <w:rFonts w:ascii="Times New Roman" w:hAnsi="Times New Roman"/>
          <w:color w:val="000000" w:themeColor="text1"/>
          <w:sz w:val="16"/>
          <w:szCs w:val="16"/>
        </w:rPr>
        <w:t xml:space="preserve">, Фрелих и </w:t>
      </w:r>
      <w:proofErr w:type="spellStart"/>
      <w:r w:rsidRPr="007122AB">
        <w:rPr>
          <w:rFonts w:ascii="Times New Roman" w:hAnsi="Times New Roman"/>
          <w:color w:val="000000" w:themeColor="text1"/>
          <w:sz w:val="16"/>
          <w:szCs w:val="16"/>
        </w:rPr>
        <w:t>Клюпфель</w:t>
      </w:r>
      <w:proofErr w:type="spellEnd"/>
      <w:r w:rsidRPr="007122AB">
        <w:rPr>
          <w:rFonts w:ascii="Times New Roman" w:hAnsi="Times New Roman"/>
          <w:color w:val="000000" w:themeColor="text1"/>
          <w:sz w:val="16"/>
          <w:szCs w:val="16"/>
        </w:rPr>
        <w:t xml:space="preserve">, Робертс и Шефер, Ален-Гарсиа, </w:t>
      </w:r>
      <w:proofErr w:type="spellStart"/>
      <w:r w:rsidRPr="007122AB">
        <w:rPr>
          <w:rFonts w:ascii="Times New Roman" w:hAnsi="Times New Roman"/>
          <w:color w:val="000000" w:themeColor="text1"/>
          <w:sz w:val="16"/>
          <w:szCs w:val="16"/>
        </w:rPr>
        <w:t>Клейнлогель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Кебер</w:t>
      </w:r>
      <w:proofErr w:type="spellEnd"/>
      <w:r w:rsidRPr="007122AB">
        <w:rPr>
          <w:rFonts w:ascii="Times New Roman" w:hAnsi="Times New Roman"/>
          <w:color w:val="000000" w:themeColor="text1"/>
          <w:sz w:val="16"/>
          <w:szCs w:val="16"/>
        </w:rPr>
        <w:t>, ДАЦ</w:t>
      </w:r>
    </w:p>
    <w:p w14:paraId="616607C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Принять к сведению сообщение президиума ВСНХ СССР о состоявшемся расторжении договоров с фирмами Брандт, Мак-Дональд, </w:t>
      </w:r>
      <w:proofErr w:type="spellStart"/>
      <w:r w:rsidRPr="007122AB">
        <w:rPr>
          <w:rFonts w:ascii="Times New Roman" w:hAnsi="Times New Roman"/>
          <w:color w:val="000000" w:themeColor="text1"/>
          <w:sz w:val="16"/>
          <w:szCs w:val="16"/>
        </w:rPr>
        <w:t>Пуппе</w:t>
      </w:r>
      <w:proofErr w:type="spellEnd"/>
      <w:r w:rsidRPr="007122AB">
        <w:rPr>
          <w:rFonts w:ascii="Times New Roman" w:hAnsi="Times New Roman"/>
          <w:color w:val="000000" w:themeColor="text1"/>
          <w:sz w:val="16"/>
          <w:szCs w:val="16"/>
        </w:rPr>
        <w:t>.</w:t>
      </w:r>
    </w:p>
    <w:p w14:paraId="2245C83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Расторжение договоров техпомощи с инофирмами производить постепенно в течение 1931 года.</w:t>
      </w:r>
    </w:p>
    <w:p w14:paraId="6A1DEAA5"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Предложить ВСНХ и </w:t>
      </w:r>
      <w:proofErr w:type="spellStart"/>
      <w:r w:rsidRPr="007122AB">
        <w:rPr>
          <w:rFonts w:ascii="Times New Roman" w:hAnsi="Times New Roman"/>
          <w:color w:val="000000" w:themeColor="text1"/>
          <w:sz w:val="16"/>
          <w:szCs w:val="16"/>
        </w:rPr>
        <w:t>НКСнабу</w:t>
      </w:r>
      <w:proofErr w:type="spellEnd"/>
      <w:r w:rsidRPr="007122AB">
        <w:rPr>
          <w:rFonts w:ascii="Times New Roman" w:hAnsi="Times New Roman"/>
          <w:color w:val="000000" w:themeColor="text1"/>
          <w:sz w:val="16"/>
          <w:szCs w:val="16"/>
        </w:rPr>
        <w:t xml:space="preserve"> обеспечить в пределах сроков договора (к 19.XII.31 г.) полное использование техпомощи фирмой </w:t>
      </w:r>
      <w:proofErr w:type="spellStart"/>
      <w:r w:rsidRPr="007122AB">
        <w:rPr>
          <w:rFonts w:ascii="Times New Roman" w:hAnsi="Times New Roman"/>
          <w:color w:val="000000" w:themeColor="text1"/>
          <w:sz w:val="16"/>
          <w:szCs w:val="16"/>
        </w:rPr>
        <w:t>Борзиг</w:t>
      </w:r>
      <w:proofErr w:type="spellEnd"/>
      <w:r w:rsidRPr="007122AB">
        <w:rPr>
          <w:rFonts w:ascii="Times New Roman" w:hAnsi="Times New Roman"/>
          <w:color w:val="000000" w:themeColor="text1"/>
          <w:sz w:val="16"/>
          <w:szCs w:val="16"/>
        </w:rPr>
        <w:t>.</w:t>
      </w:r>
    </w:p>
    <w:p w14:paraId="18BFBCE5"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Поручить ОГПУ в 2</w:t>
      </w:r>
      <w:r w:rsidRPr="007122AB">
        <w:rPr>
          <w:rFonts w:ascii="Times New Roman" w:hAnsi="Times New Roman"/>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w:t>
      </w:r>
    </w:p>
    <w:p w14:paraId="0EBE67D3"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(18111).</w:t>
      </w:r>
    </w:p>
    <w:p w14:paraId="39A1B9D5" w14:textId="77777777" w:rsidR="005B2673" w:rsidRPr="007122AB" w:rsidRDefault="005B2673" w:rsidP="007122AB">
      <w:pPr>
        <w:spacing w:after="0" w:line="240" w:lineRule="auto"/>
        <w:jc w:val="both"/>
        <w:rPr>
          <w:rFonts w:ascii="Times New Roman" w:hAnsi="Times New Roman"/>
          <w:color w:val="000000" w:themeColor="text1"/>
          <w:sz w:val="16"/>
          <w:szCs w:val="16"/>
        </w:rPr>
      </w:pPr>
    </w:p>
    <w:p w14:paraId="0C62F25B" w14:textId="77777777" w:rsidR="000E0163" w:rsidRPr="007122AB" w:rsidRDefault="000E016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1931</w:t>
      </w:r>
    </w:p>
    <w:p w14:paraId="4AF83598" w14:textId="77777777" w:rsidR="000E0163" w:rsidRPr="007122AB" w:rsidRDefault="000E0163"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1</w:t>
      </w:r>
      <w:r w:rsidRPr="007122AB">
        <w:rPr>
          <w:rStyle w:val="af0"/>
          <w:rFonts w:ascii="Times New Roman" w:hAnsi="Times New Roman"/>
          <w:i w:val="0"/>
          <w:color w:val="000000" w:themeColor="text1"/>
          <w:sz w:val="16"/>
          <w:szCs w:val="16"/>
        </w:rPr>
        <w:noBreakHyphen/>
        <w:t>ОП</w:t>
      </w:r>
    </w:p>
    <w:p w14:paraId="2F2CEC53" w14:textId="77777777" w:rsidR="000E0163" w:rsidRPr="007122AB" w:rsidRDefault="000E0163"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к п. 16 (о. п.) пр. ПБ № 36</w:t>
      </w:r>
    </w:p>
    <w:p w14:paraId="6972F967" w14:textId="77777777" w:rsidR="000E0163" w:rsidRPr="007122AB" w:rsidRDefault="000E0163" w:rsidP="007122AB">
      <w:pPr>
        <w:pStyle w:val="ae"/>
        <w:spacing w:before="0" w:after="0"/>
        <w:jc w:val="both"/>
        <w:rPr>
          <w:color w:val="000000" w:themeColor="text1"/>
          <w:sz w:val="16"/>
          <w:szCs w:val="16"/>
        </w:rPr>
      </w:pPr>
      <w:r w:rsidRPr="007122AB">
        <w:rPr>
          <w:color w:val="000000" w:themeColor="text1"/>
          <w:sz w:val="16"/>
          <w:szCs w:val="16"/>
        </w:rPr>
        <w:t>О пересмотре договоров по техпомощи и о порядке их заключения.</w:t>
      </w:r>
    </w:p>
    <w:p w14:paraId="7AD6C8AB" w14:textId="77777777" w:rsidR="000E0163" w:rsidRPr="007122AB" w:rsidRDefault="000E0163" w:rsidP="007122AB">
      <w:pPr>
        <w:pStyle w:val="ae"/>
        <w:spacing w:before="0" w:after="0"/>
        <w:jc w:val="both"/>
        <w:rPr>
          <w:color w:val="000000" w:themeColor="text1"/>
          <w:sz w:val="16"/>
          <w:szCs w:val="16"/>
        </w:rPr>
      </w:pPr>
      <w:r w:rsidRPr="007122AB">
        <w:rPr>
          <w:color w:val="000000" w:themeColor="text1"/>
          <w:sz w:val="16"/>
          <w:szCs w:val="16"/>
        </w:rPr>
        <w:t>(Утверждено Политбюро ЦК ВКП(б) 5.V.1931 г.)</w:t>
      </w:r>
    </w:p>
    <w:p w14:paraId="1CDD49AD"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u w:val="single"/>
        </w:rPr>
        <w:t>Констатировать:</w:t>
      </w:r>
    </w:p>
    <w:p w14:paraId="70602792"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33DAEEF2"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  к простому обогащение иностранных фирм.</w:t>
      </w:r>
    </w:p>
    <w:p w14:paraId="710D8AC2"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u w:val="single"/>
        </w:rPr>
        <w:t>Предложить ВСНХ и другим наркоматам:</w:t>
      </w:r>
    </w:p>
    <w:p w14:paraId="2F91344E"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1. В месячный срок перестроить всю систему руководства и постановку дела использования техпомощи, путем:</w:t>
      </w:r>
    </w:p>
    <w:p w14:paraId="709069AD"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lastRenderedPageBreak/>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6F330DC7"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б) оставления за </w:t>
      </w:r>
      <w:proofErr w:type="spellStart"/>
      <w:r w:rsidRPr="007122AB">
        <w:rPr>
          <w:color w:val="000000" w:themeColor="text1"/>
          <w:sz w:val="16"/>
          <w:szCs w:val="16"/>
        </w:rPr>
        <w:t>иносекторами</w:t>
      </w:r>
      <w:proofErr w:type="spellEnd"/>
      <w:r w:rsidRPr="007122AB">
        <w:rPr>
          <w:color w:val="000000" w:themeColor="text1"/>
          <w:sz w:val="16"/>
          <w:szCs w:val="16"/>
        </w:rPr>
        <w:t xml:space="preserve">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14A475EB"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044C7E22"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w:t>
      </w:r>
      <w:proofErr w:type="spellStart"/>
      <w:r w:rsidRPr="007122AB">
        <w:rPr>
          <w:color w:val="000000" w:themeColor="text1"/>
          <w:sz w:val="16"/>
          <w:szCs w:val="16"/>
        </w:rPr>
        <w:t>инотехпомощи</w:t>
      </w:r>
      <w:proofErr w:type="spellEnd"/>
      <w:r w:rsidRPr="007122AB">
        <w:rPr>
          <w:color w:val="000000" w:themeColor="text1"/>
          <w:sz w:val="16"/>
          <w:szCs w:val="16"/>
        </w:rPr>
        <w:t xml:space="preserve">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058F95F4"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3. Обеспечить контроль и наблюдение за </w:t>
      </w:r>
      <w:proofErr w:type="spellStart"/>
      <w:r w:rsidRPr="007122AB">
        <w:rPr>
          <w:color w:val="000000" w:themeColor="text1"/>
          <w:sz w:val="16"/>
          <w:szCs w:val="16"/>
        </w:rPr>
        <w:t>инотехпомощью</w:t>
      </w:r>
      <w:proofErr w:type="spellEnd"/>
      <w:r w:rsidRPr="007122AB">
        <w:rPr>
          <w:color w:val="000000" w:themeColor="text1"/>
          <w:sz w:val="16"/>
          <w:szCs w:val="16"/>
        </w:rPr>
        <w:t xml:space="preserve"> низовых общественно-производственных организаций предприятий и актива инженерно-технического персонала.</w:t>
      </w:r>
    </w:p>
    <w:p w14:paraId="70785C92"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54845050"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w:t>
      </w:r>
      <w:proofErr w:type="spellStart"/>
      <w:r w:rsidRPr="007122AB">
        <w:rPr>
          <w:color w:val="000000" w:themeColor="text1"/>
          <w:sz w:val="16"/>
          <w:szCs w:val="16"/>
        </w:rPr>
        <w:t>Зульцер</w:t>
      </w:r>
      <w:proofErr w:type="spellEnd"/>
      <w:r w:rsidRPr="007122AB">
        <w:rPr>
          <w:color w:val="000000" w:themeColor="text1"/>
          <w:sz w:val="16"/>
          <w:szCs w:val="16"/>
        </w:rPr>
        <w:t>, Метрополитен-Виккерс, Казале и др.).</w:t>
      </w:r>
    </w:p>
    <w:p w14:paraId="7309EFE4"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Запретить также без специального согласия </w:t>
      </w:r>
      <w:proofErr w:type="spellStart"/>
      <w:r w:rsidRPr="007122AB">
        <w:rPr>
          <w:color w:val="000000" w:themeColor="text1"/>
          <w:sz w:val="16"/>
          <w:szCs w:val="16"/>
        </w:rPr>
        <w:t>Наркомвнешторга</w:t>
      </w:r>
      <w:proofErr w:type="spellEnd"/>
      <w:r w:rsidRPr="007122AB">
        <w:rPr>
          <w:color w:val="000000" w:themeColor="text1"/>
          <w:sz w:val="16"/>
          <w:szCs w:val="16"/>
        </w:rPr>
        <w:t xml:space="preserve"> заключение договоров на </w:t>
      </w:r>
      <w:proofErr w:type="spellStart"/>
      <w:r w:rsidRPr="007122AB">
        <w:rPr>
          <w:color w:val="000000" w:themeColor="text1"/>
          <w:sz w:val="16"/>
          <w:szCs w:val="16"/>
        </w:rPr>
        <w:t>инотехпомощь</w:t>
      </w:r>
      <w:proofErr w:type="spellEnd"/>
      <w:r w:rsidRPr="007122AB">
        <w:rPr>
          <w:color w:val="000000" w:themeColor="text1"/>
          <w:sz w:val="16"/>
          <w:szCs w:val="16"/>
        </w:rPr>
        <w:t xml:space="preserve"> с наличием обязательств по покупке оборудования и материалов.</w:t>
      </w:r>
    </w:p>
    <w:p w14:paraId="5F44EE12"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26E0646"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01F38E30"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7. Принять к сведению сообщение президиума ВСНХ СССР о состоявшемся расторжении договора с фирмой Фрелих и </w:t>
      </w:r>
      <w:proofErr w:type="spellStart"/>
      <w:r w:rsidRPr="007122AB">
        <w:rPr>
          <w:color w:val="000000" w:themeColor="text1"/>
          <w:sz w:val="16"/>
          <w:szCs w:val="16"/>
        </w:rPr>
        <w:t>Клюпфель</w:t>
      </w:r>
      <w:proofErr w:type="spellEnd"/>
      <w:r w:rsidRPr="007122AB">
        <w:rPr>
          <w:color w:val="000000" w:themeColor="text1"/>
          <w:sz w:val="16"/>
          <w:szCs w:val="16"/>
        </w:rPr>
        <w:t xml:space="preserve">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77A28A7F"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8. В 2</w:t>
      </w:r>
      <w:r w:rsidRPr="007122AB">
        <w:rPr>
          <w:color w:val="000000" w:themeColor="text1"/>
          <w:sz w:val="16"/>
          <w:szCs w:val="16"/>
        </w:rPr>
        <w:noBreakHyphen/>
        <w:t>х месячный срок:</w:t>
      </w:r>
    </w:p>
    <w:p w14:paraId="31A819C9"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а) произвести проверку технической квалификации </w:t>
      </w:r>
      <w:proofErr w:type="spellStart"/>
      <w:r w:rsidRPr="007122AB">
        <w:rPr>
          <w:color w:val="000000" w:themeColor="text1"/>
          <w:sz w:val="16"/>
          <w:szCs w:val="16"/>
        </w:rPr>
        <w:t>иноспециалистов</w:t>
      </w:r>
      <w:proofErr w:type="spellEnd"/>
      <w:r w:rsidRPr="007122AB">
        <w:rPr>
          <w:color w:val="000000" w:themeColor="text1"/>
          <w:sz w:val="16"/>
          <w:szCs w:val="16"/>
        </w:rPr>
        <w:t>, используемых как по остающимся, так и по расторгаемым договорам в целях отказа от малоквалифицированного персонала;</w:t>
      </w:r>
    </w:p>
    <w:p w14:paraId="18F1F0F0"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б) провести работу по резкому сокращению валютной части оплаты </w:t>
      </w:r>
      <w:proofErr w:type="spellStart"/>
      <w:r w:rsidRPr="007122AB">
        <w:rPr>
          <w:color w:val="000000" w:themeColor="text1"/>
          <w:sz w:val="16"/>
          <w:szCs w:val="16"/>
        </w:rPr>
        <w:t>иноспециалистов</w:t>
      </w:r>
      <w:proofErr w:type="spellEnd"/>
      <w:r w:rsidRPr="007122AB">
        <w:rPr>
          <w:color w:val="000000" w:themeColor="text1"/>
          <w:sz w:val="16"/>
          <w:szCs w:val="16"/>
        </w:rPr>
        <w:t xml:space="preserve"> и перевода их на индивидуальную оплату по расторгаемым и пересматриваемым договорам.</w:t>
      </w:r>
    </w:p>
    <w:p w14:paraId="14B4F484"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9. В целях полной и своевременной реализации </w:t>
      </w:r>
      <w:proofErr w:type="spellStart"/>
      <w:r w:rsidRPr="007122AB">
        <w:rPr>
          <w:color w:val="000000" w:themeColor="text1"/>
          <w:sz w:val="16"/>
          <w:szCs w:val="16"/>
        </w:rPr>
        <w:t>инотехпомощи</w:t>
      </w:r>
      <w:proofErr w:type="spellEnd"/>
      <w:r w:rsidRPr="007122AB">
        <w:rPr>
          <w:color w:val="000000" w:themeColor="text1"/>
          <w:sz w:val="16"/>
          <w:szCs w:val="16"/>
        </w:rPr>
        <w:t xml:space="preserve">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7D1530CF"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30FE72A1"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2C806707"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12. Приступить и закончить в 1931 г. расторжение договоров с фирмами: </w:t>
      </w:r>
      <w:proofErr w:type="spellStart"/>
      <w:r w:rsidRPr="007122AB">
        <w:rPr>
          <w:color w:val="000000" w:themeColor="text1"/>
          <w:sz w:val="16"/>
          <w:szCs w:val="16"/>
        </w:rPr>
        <w:t>Рюкайзер</w:t>
      </w:r>
      <w:proofErr w:type="spellEnd"/>
      <w:r w:rsidRPr="007122AB">
        <w:rPr>
          <w:color w:val="000000" w:themeColor="text1"/>
          <w:sz w:val="16"/>
          <w:szCs w:val="16"/>
        </w:rPr>
        <w:t xml:space="preserve">, </w:t>
      </w:r>
      <w:proofErr w:type="spellStart"/>
      <w:r w:rsidRPr="007122AB">
        <w:rPr>
          <w:color w:val="000000" w:themeColor="text1"/>
          <w:sz w:val="16"/>
          <w:szCs w:val="16"/>
        </w:rPr>
        <w:t>Суари</w:t>
      </w:r>
      <w:proofErr w:type="spellEnd"/>
      <w:r w:rsidRPr="007122AB">
        <w:rPr>
          <w:color w:val="000000" w:themeColor="text1"/>
          <w:sz w:val="16"/>
          <w:szCs w:val="16"/>
        </w:rPr>
        <w:t xml:space="preserve"> де Страсбург, Стик, Ирвинг, Ман-</w:t>
      </w:r>
      <w:proofErr w:type="spellStart"/>
      <w:r w:rsidRPr="007122AB">
        <w:rPr>
          <w:color w:val="000000" w:themeColor="text1"/>
          <w:sz w:val="16"/>
          <w:szCs w:val="16"/>
        </w:rPr>
        <w:t>Ридингер</w:t>
      </w:r>
      <w:proofErr w:type="spellEnd"/>
      <w:r w:rsidRPr="007122AB">
        <w:rPr>
          <w:color w:val="000000" w:themeColor="text1"/>
          <w:sz w:val="16"/>
          <w:szCs w:val="16"/>
        </w:rPr>
        <w:t xml:space="preserve">, Фрелих и </w:t>
      </w:r>
      <w:proofErr w:type="spellStart"/>
      <w:r w:rsidRPr="007122AB">
        <w:rPr>
          <w:color w:val="000000" w:themeColor="text1"/>
          <w:sz w:val="16"/>
          <w:szCs w:val="16"/>
        </w:rPr>
        <w:t>Клюпфель</w:t>
      </w:r>
      <w:proofErr w:type="spellEnd"/>
      <w:r w:rsidRPr="007122AB">
        <w:rPr>
          <w:color w:val="000000" w:themeColor="text1"/>
          <w:sz w:val="16"/>
          <w:szCs w:val="16"/>
        </w:rPr>
        <w:t xml:space="preserve">, Робертс и Шефер, Ален-Гарсиа, </w:t>
      </w:r>
      <w:proofErr w:type="spellStart"/>
      <w:r w:rsidRPr="007122AB">
        <w:rPr>
          <w:color w:val="000000" w:themeColor="text1"/>
          <w:sz w:val="16"/>
          <w:szCs w:val="16"/>
        </w:rPr>
        <w:t>Клейнлогель</w:t>
      </w:r>
      <w:proofErr w:type="spellEnd"/>
      <w:r w:rsidRPr="007122AB">
        <w:rPr>
          <w:color w:val="000000" w:themeColor="text1"/>
          <w:sz w:val="16"/>
          <w:szCs w:val="16"/>
        </w:rPr>
        <w:t xml:space="preserve">, </w:t>
      </w:r>
      <w:proofErr w:type="spellStart"/>
      <w:r w:rsidRPr="007122AB">
        <w:rPr>
          <w:color w:val="000000" w:themeColor="text1"/>
          <w:sz w:val="16"/>
          <w:szCs w:val="16"/>
        </w:rPr>
        <w:t>Кебер</w:t>
      </w:r>
      <w:proofErr w:type="spellEnd"/>
      <w:r w:rsidRPr="007122AB">
        <w:rPr>
          <w:color w:val="000000" w:themeColor="text1"/>
          <w:sz w:val="16"/>
          <w:szCs w:val="16"/>
        </w:rPr>
        <w:t>, ДАЦ</w:t>
      </w:r>
    </w:p>
    <w:p w14:paraId="54FD3788"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Принять к сведению сообщение президиума ВСНХ СССР о состоявшемся расторжении договоров с фирмами Брандт, Мак-Дональд, </w:t>
      </w:r>
      <w:proofErr w:type="spellStart"/>
      <w:r w:rsidRPr="007122AB">
        <w:rPr>
          <w:color w:val="000000" w:themeColor="text1"/>
          <w:sz w:val="16"/>
          <w:szCs w:val="16"/>
        </w:rPr>
        <w:t>Пуппе</w:t>
      </w:r>
      <w:proofErr w:type="spellEnd"/>
      <w:r w:rsidRPr="007122AB">
        <w:rPr>
          <w:color w:val="000000" w:themeColor="text1"/>
          <w:sz w:val="16"/>
          <w:szCs w:val="16"/>
        </w:rPr>
        <w:t>.</w:t>
      </w:r>
    </w:p>
    <w:p w14:paraId="11483AE5"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Расторжение договоров техпомощи с инофирмами производить постепенно в течение 1931 года.</w:t>
      </w:r>
    </w:p>
    <w:p w14:paraId="1B08188B"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 xml:space="preserve">13. Предложить ВСНХ и </w:t>
      </w:r>
      <w:proofErr w:type="spellStart"/>
      <w:r w:rsidRPr="007122AB">
        <w:rPr>
          <w:color w:val="000000" w:themeColor="text1"/>
          <w:sz w:val="16"/>
          <w:szCs w:val="16"/>
        </w:rPr>
        <w:t>НКСнабу</w:t>
      </w:r>
      <w:proofErr w:type="spellEnd"/>
      <w:r w:rsidRPr="007122AB">
        <w:rPr>
          <w:color w:val="000000" w:themeColor="text1"/>
          <w:sz w:val="16"/>
          <w:szCs w:val="16"/>
        </w:rPr>
        <w:t xml:space="preserve"> обеспечить в пределах сроков договора (к 19.XII.31 г.) полное использование техпомощи фирмой </w:t>
      </w:r>
      <w:proofErr w:type="spellStart"/>
      <w:r w:rsidRPr="007122AB">
        <w:rPr>
          <w:color w:val="000000" w:themeColor="text1"/>
          <w:sz w:val="16"/>
          <w:szCs w:val="16"/>
        </w:rPr>
        <w:t>Борзиг</w:t>
      </w:r>
      <w:proofErr w:type="spellEnd"/>
      <w:r w:rsidRPr="007122AB">
        <w:rPr>
          <w:color w:val="000000" w:themeColor="text1"/>
          <w:sz w:val="16"/>
          <w:szCs w:val="16"/>
        </w:rPr>
        <w:t>.</w:t>
      </w:r>
    </w:p>
    <w:p w14:paraId="20A24C90" w14:textId="77777777" w:rsidR="000E0163" w:rsidRPr="007122AB" w:rsidRDefault="000E0163" w:rsidP="007122AB">
      <w:pPr>
        <w:pStyle w:val="rtejustify"/>
        <w:spacing w:before="0" w:after="0"/>
        <w:rPr>
          <w:color w:val="000000" w:themeColor="text1"/>
          <w:sz w:val="16"/>
          <w:szCs w:val="16"/>
        </w:rPr>
      </w:pPr>
      <w:r w:rsidRPr="007122AB">
        <w:rPr>
          <w:color w:val="000000" w:themeColor="text1"/>
          <w:sz w:val="16"/>
          <w:szCs w:val="16"/>
        </w:rPr>
        <w:t>14. Поручить ОГПУ в 2</w:t>
      </w:r>
      <w:r w:rsidRPr="007122AB">
        <w:rPr>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 (17148).</w:t>
      </w:r>
    </w:p>
    <w:p w14:paraId="0D5FEF68" w14:textId="77777777" w:rsidR="000E0163" w:rsidRPr="007122AB" w:rsidRDefault="000E0163" w:rsidP="007122AB">
      <w:pPr>
        <w:spacing w:after="0" w:line="240" w:lineRule="auto"/>
        <w:jc w:val="both"/>
        <w:rPr>
          <w:rFonts w:ascii="Times New Roman" w:hAnsi="Times New Roman"/>
          <w:color w:val="000000" w:themeColor="text1"/>
          <w:sz w:val="16"/>
          <w:szCs w:val="16"/>
        </w:rPr>
      </w:pPr>
    </w:p>
    <w:p w14:paraId="34701A03" w14:textId="77777777" w:rsidR="00D10B4F" w:rsidRPr="007122AB" w:rsidRDefault="00D10B4F" w:rsidP="007122AB">
      <w:pPr>
        <w:pStyle w:val="rtejustify"/>
        <w:spacing w:before="0" w:after="0"/>
        <w:rPr>
          <w:color w:val="000000" w:themeColor="text1"/>
          <w:sz w:val="16"/>
          <w:szCs w:val="16"/>
        </w:rPr>
      </w:pPr>
      <w:r w:rsidRPr="007122AB">
        <w:rPr>
          <w:color w:val="000000" w:themeColor="text1"/>
          <w:sz w:val="16"/>
          <w:szCs w:val="16"/>
        </w:rPr>
        <w:t>5 мая 1931 г. — Из доклада заместителя председателя Госплана СССР И. Т. Смилги на заседании военной секции Коммунистической академии «Оборонная работа в промышленности»</w:t>
      </w:r>
    </w:p>
    <w:p w14:paraId="4BA2A587"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...³*Два факта должны быть отмечены для уяснения той конкретной исторической обстановки, в которой приходится решать оборонные задачи в нашей стране. Эти два факта следующие: во-первых, наша пятилетка, которую мы успешно осуществляем в четыре года. Осуществление пятилетки меняет лицо страны. Если мы были страной, хотя и с относительно развитой индустрией, но в основном аграрной страной, то с окончанием пятилетки мы сразу занимаем почетное место среди самых развитых в промышленном отношении стран мира. По ряду позиций становимся самой передовой страной, по ряду позиций приближаемся к самым передовым промышленным странам. Вывод: Союз превращается в мощную индустриальную страну.</w:t>
      </w:r>
    </w:p>
    <w:p w14:paraId="39B50DFA"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Другое обстоятельство — это наше плановое хозяйство, которое, как опыт нашего строительства показал, позволяет гигантски убыстрить темпы нашего хозяйственного развития и позволяет рабочему государству наиболее целесообразно распределить ресурсы страны. Эти два факта, взятые в совокупности, и образовывают то специфическое, то конкретное, на основе которого надо искать и находить решение для вопросов нашей оборонной способности.</w:t>
      </w:r>
    </w:p>
    <w:p w14:paraId="71E5F2CE"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Как обстоит положение у нас в данное время? Мы получили в наследство от царской России, как я уже говорил, мощную военную промышленность. Это есть исторический факт, с которым надо считаться, факт, который налагает серьезную печать на нашу оборонную политику. Первая задача, которую нам приходится решать в отношении военной промышленности, которая в настоящее время еще занимает гигантский удельный вес в нашей оборонной программе, сводится к тому, чтобы привести эти предприятия в надлежащий порядок.</w:t>
      </w:r>
    </w:p>
    <w:p w14:paraId="1DA0B183"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Что это значит? Это значит, что к этим предприятиям должен быть применен тот же подход, который применяется к любому предприятию гражданской промышленности. Предприятие должно быть просчитано, рассчитано, производственные ресурсы предприятия должны быть приведены в соответствие между собой, должны быть устранены несоответствия и диспропорции, и тем самым строительство и реконструкция такого завода должны быть закончены. Предприятия должны иметь свое окончательное производственное лицо. Это наша первейшая и важнейшая обязанность. Надо взять с военной промышленности максимум того, что она может дать. А для этого нужно привести ее в порядок и закончить реконструкцию военных заводов.</w:t>
      </w:r>
    </w:p>
    <w:p w14:paraId="38C6BEFD"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 xml:space="preserve">Но, утверждая сказанное в отношении военной промышленности, я здесь же и хочу разделаться с одной идеей, которая в кругу наших оборонных работников до последнего времени имела довольно широкое хождение, — идеей так называемого </w:t>
      </w:r>
      <w:proofErr w:type="spellStart"/>
      <w:r w:rsidRPr="007122AB">
        <w:rPr>
          <w:color w:val="000000" w:themeColor="text1"/>
          <w:sz w:val="16"/>
          <w:szCs w:val="16"/>
        </w:rPr>
        <w:t>погодичного</w:t>
      </w:r>
      <w:proofErr w:type="spellEnd"/>
      <w:r w:rsidRPr="007122AB">
        <w:rPr>
          <w:color w:val="000000" w:themeColor="text1"/>
          <w:sz w:val="16"/>
          <w:szCs w:val="16"/>
        </w:rPr>
        <w:t xml:space="preserve"> наращивания мощностей на военных заводах. Эта идея вредная и противоречит основным понятиям правильной политики промышленного строительства. Пора, наконец, сказать, что завод может дать только то, что он может дать и требовать с него нужно в пределах его возможностей улучшения работы, отказываясь от перманентного строительства и реконструкции, которые ничего, кроме вреда делу, не приносят, ибо если завод спроектирован на одну мощность, то дальнейшее увеличение его мощности приводит к таким переменам и изменениям во всей структуре завода, что уже хорошего предприятия с увеличенной мощностью получить нельзя. Мы добьемся гораздо больших успехов, если сосредоточим все силы на правильной эксплуатации завода, чем если будем заниматься вечной реконструкцией. Хороший завод нас никогда не подведет и даст гораздо больше, чем мы теоретически считаем. Надо сказать, что при возникновении новых потребностей надо искать, как правило, новые возможности для их удовлетворения. Завершая наши военные заводы на определенную мощность и в дальнейшем концентрируя работу по улучшению и эксплуатационных коэффициентов производственной работы, перед нами встает задача: что делать на этих заводах в мирное время, как использовать существующие военные заводы в интересах индустриализации страны. И на этот вопрос я отвечаю не колеблясь: мы должны стать на путь максимальной загрузки заводов военной промышленности мирной продукцией, должны идти по тому же пути, по которому пошли другие страны, и искать выхода на том же пути, на котором нашел его «Виккерс», на котором нашел его «Шкода», нашел «Шнейдер-</w:t>
      </w:r>
      <w:proofErr w:type="spellStart"/>
      <w:r w:rsidRPr="007122AB">
        <w:rPr>
          <w:color w:val="000000" w:themeColor="text1"/>
          <w:sz w:val="16"/>
          <w:szCs w:val="16"/>
        </w:rPr>
        <w:t>Крезо</w:t>
      </w:r>
      <w:proofErr w:type="spellEnd"/>
      <w:r w:rsidRPr="007122AB">
        <w:rPr>
          <w:color w:val="000000" w:themeColor="text1"/>
          <w:sz w:val="16"/>
          <w:szCs w:val="16"/>
        </w:rPr>
        <w:t>». На этом же пути — это мое категорическое убеждение — мы достигнем, если выразиться старым термином, наиболее рентабельного и целесообразного использования основного капитала этой промышленности. Это раз.</w:t>
      </w:r>
    </w:p>
    <w:p w14:paraId="3B99C5EE"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Во-вторых, самая мобилизационная готовность предприятия колоссально увеличивается, на нем создаются в мирное время кадры рабочих, а вы знаете, как напряжено у нас положение с этим вопросом сейчас в связи с гигантским ростом количества новых предприятий и необходимостью освоения новых производств. Это дело верное с обеих точек зрения — и с экономической, и с оборонной. Мы идем по этому пути из года в год, увеличиваем эту загрузку как в абсолютных величинах, так и относительно в структуре всей продукции нашей военной промышленности. Эта та перспектива, которую мы имеем в отношении этих заводов сегодня. Совершенно очевидно, что при наличии одинаковых посылок, вероятно, в конце концов, получатся и одинаковые выводы. Но если взять нашу военную промышленность в более длительной перспективе, скажем, к концу второй пятилетки, то я прихожу к такому выводу, что к этому времени она в основном будет трансформирована, и предприятия ее превратятся в предприятия типа больших европейский предприятий, если, разумеется, не произойдет какого-нибудь форс-мажора, который наметившиеся линии развития совершенно переиначит.</w:t>
      </w:r>
    </w:p>
    <w:p w14:paraId="154B0305"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Таким образом, в отношении нашей военной промышленности мы должны сегодня решить задачу перехода от первой стадии, если будем этой стадией называть положение царской России, ко второй, если под второй будем понимать предприятия типа «Виккерса» и «Круппа».</w:t>
      </w:r>
    </w:p>
    <w:p w14:paraId="79BF9C32"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lastRenderedPageBreak/>
        <w:t>Но положение обязывает: если мы говорим, что надо завершать строительство и реконструкцию военных заводов на такую-то мощность, на такую-то выпускную способность, то перед нами сразу встает с неизбежностью другой центральный вопрос — каким же путем идти дальше. Если мы не хотим отставать и ослаблять обороноспособность нашей страны, а обстановка не позволяет это сделать ни в малейшей степени, то надо дать себе ответ, по какому же пути должен идти дальнейший рост обороноспособности нашей страны. Ответ может быть двоякого порядка. Он может быть таким: надо идти по пути дальнейшего нового специального строительства, надо идти по старой традиции России. Но можно ответить иначе. Можно сказать, что надо идти по пути решительной американизации ряда серьезных позиций в оборонной работе. Я лично стою обеими ногами на втором пути и считаю, что косность и традиционные решения были бы для нас сейчас величайшими врагами, потому что процесс, происходящий на наших глазах, создает все объективные посылки для того, чтобы решить вопрос для будущего не «</w:t>
      </w:r>
      <w:proofErr w:type="spellStart"/>
      <w:r w:rsidRPr="007122AB">
        <w:rPr>
          <w:color w:val="000000" w:themeColor="text1"/>
          <w:sz w:val="16"/>
          <w:szCs w:val="16"/>
        </w:rPr>
        <w:t>по-рассейски</w:t>
      </w:r>
      <w:proofErr w:type="spellEnd"/>
      <w:r w:rsidRPr="007122AB">
        <w:rPr>
          <w:color w:val="000000" w:themeColor="text1"/>
          <w:sz w:val="16"/>
          <w:szCs w:val="16"/>
        </w:rPr>
        <w:t>», а по-американски.</w:t>
      </w:r>
    </w:p>
    <w:p w14:paraId="46D83202"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Вы, товарищи, прекрасно знаете, что общее развитие промышленности выносило на своих плечах военную технику. За исключением частностей, когда военные потребности создавали новые промышленные отрасли, общее правило, однако, таково. Сейчас мы присутствуем при гигантском росте нашей промышленности. Являемся свидетелями, участниками массового нового строительства. На наших глазах возникают новые отрасли промышленности, не известные, неведомые старой России. Мы знаем, что целый ряд предметов, вырабатываемых гражданской промышленностью, есть потенцированные предметы боевого снабжения. Я уже говорил, что машина есть пушка и пушка есть машина. Трактор с небольшим дополнением есть бронированный танк. Возьмем химию. Кислоты служат многообразным целям, в том числе и целям обороны. Самолет возит почту, возит пассажиров, в случае необходимости бросает бомбу. Это относится к очень большому количеству позиций в оборонном плане. Нужно сказать, что рост обороноспособности Союза лежит на путях широчайшего применения принципов ассимиляции и кооперирования. Для того чтобы это утверждение или пожелание не осталось голой фразой, нужно наполнить его совершенно конкретным деловым содержанием. Это содержание в основном сводится к тому, что, внедряя интересы обороны в народное хозяйство и, в частности, в промышленные предприятия, мы должны думать о них при самом зачатии и зарождении нового промышленного предприятия. Начиная с проекта, с рождения замысла, новое предприятие должно знать, что, помимо своей основной мирной функции, оно выполняет известную оборонную функцию в случае войны. Интересы обороны должны быть внедрены в промышленность практически на деле.</w:t>
      </w:r>
    </w:p>
    <w:p w14:paraId="6F035CB4"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Другими словами, план промышленного развития, план развития всего народного хозяйства должен включать в себя и оборонный план. Совершенно было бы бессмысленно и нелепо допустить такое положение, при котором интересы общей индустриализации страны и интересы обороны выступали бы в качестве конкурентов. Это положение самое бессмысленное. Нет никакой конкуренции. Оборона вырастает на базе промышленного развития общего, и только на плечах этого развития она может иметь действительный и серьезный успех. Мы сейчас растем не только количественно, но на наших глазах меняется качественно весь производственный процесс.</w:t>
      </w:r>
    </w:p>
    <w:p w14:paraId="6F084765"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В каком направлении? В сторону освоения методов передовой техники. У нас имеются предприятия, построенные на поточном принципе, которое осваивают и в ближайший год освоят, в этом не может быть никакого сомнения, достижения передовых стран в этом смысле. Соответственно этому перестраивается все подсобное хозяйство, обслуживающее эти наши громадные промышленные гиганты. Все движется именно в американскую сторону. Все это, еще раз повторяю, создает необходимую и достаточную объективную базу для того, чтобы правильно и разумно рассчитанный план повышения нашей обороноспособности на будущее время был бы построен именно на этом пути, а никоим образом не на пути дальнейшего чисто специального строительства.</w:t>
      </w:r>
    </w:p>
    <w:p w14:paraId="2BA7DE03"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Всегда из правила бывают исключения. На известный период времени останутся предприятия со специфическими чертами военных заводов. Но речь идет не об этих частностях, а о больших стратегических линиях нашего дальнейшего поведения. Мне эти линии рисуются в этом направлении, и я готов отстаивать эти взгляды и здесь в общих контурах и в более узких и ответственных, в смысле решения, коллегиях по каждому конкретному вопросу. Коли дело обстоит так, то учет в общей промышленности интересов обороны приобретает исключительно большое значение. Если мы ставим одной из центральных задач нашей пятилетки освобождение нас в максимальной степени от импортной зависимости, то вы помните, что это требование в отношении нашей оборонной программы приобретает тройное, пятерное значение, ибо наиболее будут страдать от разрыва мировых связей, от блокады и изоляции нашей страны те отрасли в военное время, которые должны будут работать полным ходом, удовлетворяя армию и нужды войны. Разумеется, что эмансипация этих отраслей от импортной зависимости, создание внутри страны необходимой базы, питающей военную промышленность сырьем и необходимыми фабрикатами, является тем самым одним из центральных пунктов нашей промышленной политики в дальнейшем. Прежде, чем перейти к дальнейшему, должен сказать, что и в этой перспективе роль заводов военной промышленности будет чрезвычайно велика. Она сведется, помимо своей функции производства военных изделий, еще к роли организаторов и головных заводов.</w:t>
      </w:r>
    </w:p>
    <w:p w14:paraId="61FCD75A"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Перехожу к основным выводам в смысле конкретного методологического подхода к решению практических задач обороны нашей страны. Под углом зрения обороны я делю предприятия, обслуживающие оборону, на 3 пояса. К первому поясу я отношу все те предприятия, которые согласно плану должны в случае войны поставлять вооруженному фронту необходимые предметы вооружения и снабжения, причем к этой первой группе предприятий я отношу предприятия, вырабатывающие как артиллерийское имущество, так и военно-хозяйственное, не делая никакой разницы между предприятием, изготовляющим пушки, и предприятием, изготовляющим портянки, если эти предприятия должны в военное время перестраивать свой производственный процесс.</w:t>
      </w:r>
    </w:p>
    <w:p w14:paraId="3BDE95BA"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Делая это утверждение в поисках объективного критерия для деления предприятия, я считаю совершенно правильным положение, когда делят предприятия по степени важности. На войне одинаково важны как винтовка, пушки, так и портянки и шинель. Объективное положение этих предприятий диктует отнесение их к одной категории, т. е. к предприятиям, поставляющим вооруженному фронту готовую продукцию.</w:t>
      </w:r>
    </w:p>
    <w:p w14:paraId="6522C7FA"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Ко второму поясу предприятий я отношу предприятия, поставляющие первому поясу необходимые полуфабрикаты и необходимое оборудование и сырье. И, наконец, к третьей категории я отношу предприятия, продукция которых не претерпевает изменения во время войны, — это предприятия бумажной промышленности, табачной промышленности, сахарной промышленности и тому подобные и некоторые предприятия текстильной промышленности.</w:t>
      </w:r>
    </w:p>
    <w:p w14:paraId="025E9FA2"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В чем смысл такого деления предприятий? Оно имеет очень большой деловой смысл. Он состоит в том, что, развивая их на основе объективного критерия, мы достигаем ясности в смысле мобилизационного режима каждого предприятия в мирное время. Работа над подготовкой к войне предприятий первой группы — одна, работа по подготовке предприятий второй группы существенно отличается от первой, и, наконец, подготовка предприятий третьей группы, в свою очередь, весьма существенно отличается от методов подготовки второй группы. Отнесение предприятий к тому или иному поясу, к той или иной группе ни в малой степени не означает суждения о важности данного предприятия. А в смысле практической работы такое деление, повторяю, имеет большой деловой смысл. В результате работы в мирное время мы создаем план обеспечения вооруженных сил во время войны. Вооруженные силы знают, что в случае возникновения войны они могут рассчитывать получить такое же количество необходимого им вооружения и снабжения. Однако мы таким образом получим только план подачи, только такого плана совершенно недостаточно. Для того чтобы иметь представление, насколько действительно такой план подачи является реальным и обеспеченным, мы должны иметь хотя бы в основных, но достаточно обязательных и ощутимых чертах, представление о том, как будет работать все хозяйство в условиях военного времени.</w:t>
      </w:r>
    </w:p>
    <w:p w14:paraId="031ECD37"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Эта работа очень большая и трудная. Она в нашей стране своеобразно решается. С одной стороны, мы имеем такое громадное преимущество перед другими странами, как плановое хозяйство, большое упрощение всего хозяйственного механизма в целом. С другой стороны, мы живем в такой динамичный период, с такой колоссальной сменой вчерашнего и сегодняшнего дня завтрашним, что учет и приспособление нашей работы к этой калейдоскопической картине нашего общего развития представляет весьма и весьма значительные трудности. Однако над этим делом нужно думать, над ним надо работать. К этому делу должны быть привлечены не только человеческие ресурсы узкого круга наших мобилизационных работников, а гораздо более широкие круги коммунистических и советских экономистов. Работа тут может быть определенным образом организована, известное разделение труда, полезное для дела, достигнуто. Но только общими усилиями мы можем эту задачу продвинуть вперед и удовлетворительно решить.</w:t>
      </w:r>
    </w:p>
    <w:p w14:paraId="4FB375C6"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Заканчивая свое сообщение, я хочу остановить ваше внимание на тех извращениях в оборонной работе, которые с полным правом могут быть квалифицированы политическими терминами, как «правый» и «левый» уклон в оборонной работе.</w:t>
      </w:r>
    </w:p>
    <w:p w14:paraId="32B9FFA6"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Под «правым» уклоном в оборонной работе я понимаю такие настроения, весьма широко распространенные среди наших советских и хозяйственных деятелей, что процессы индустриализации, развития промышленности сами по себе есть лучшие усиления обороноспособности страны. Другими словами — провозглашение теории самотека в этом деле. Само собой разумеется, что значительная доля правды в этом утверждении имеется. Оно все-таки в целом совершенно неверно. Конечно, развитие нашей промышленности и хозяйства в целом, новые заводы и фабрики являются лучшими носителями нашей оборонной мощности, ее усиления. Но неправда этого утверждения состоит в том, что без подготовки предприятия в мирное время мы не сумеем использовать его во время войны. Или, в лучшем случае, используем его в совершенно недостаточных размерах. Кроме того, самотек крайне опасен под углом зрения того, о чем мы говорили.</w:t>
      </w:r>
    </w:p>
    <w:p w14:paraId="24914385"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Составлять мобилизационный план промышленности и усиливать обороноспособность страны, идя по пути ассимиляции, отнюдь не значит, что мы идем по легкому и простому пути. Нет, я считаю, что, с точки зрения простоты, старинные методы строительства специальных заводов легче, думать над ними надо меньше, но за отсутствие мыслей надо расплачиваться золотом в этом вопросе. А этот путь требует гигантского напряжения мысли и всех организационных и творческих сил страны. Теория самотека в этом смысле является злейшим врагом правильного решения оборонных вопросов. Само предприятие, не будучи в мирное время подготовлено к решению определенной оборонной задачи, будет решать эту задачу в военное время с гигантской потерей темпов в сроках своего развертывания и может не решить задачи и вовсе. А что может дать кооперация, свидетельствует всем нам известный пример с немецкими винтовками в прошлую войну. Германия начала войну с продукцией в 50 или сколько-то тысяч винтовок в месяц. Вскоре оказалось, что винтовок не хватает. В результате долгих споров решили производство винтовок кооперировать. Вскоре выпуск их дошел до 200</w:t>
      </w:r>
      <w:r w:rsidRPr="007122AB">
        <w:rPr>
          <w:color w:val="000000" w:themeColor="text1"/>
          <w:sz w:val="16"/>
          <w:szCs w:val="16"/>
        </w:rPr>
        <w:noBreakHyphen/>
        <w:t>250 тыс. шт. в месяц. И, конечно, никакая специальная промышленность таких скачков дать не в состоянии. Следовательно, «правый» уклон, самотек в нашей работе абсолютно вреден, с ним нужно бороться решительным образом, особенно считаясь с тем, что именно в общей промышленности должны быть обеспечены и организованы интересы обороны.</w:t>
      </w:r>
    </w:p>
    <w:p w14:paraId="73D81257"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lastRenderedPageBreak/>
        <w:t>Что я называю «левым» уклоном? «Левым» уклоном я называю такое увлечение искусством полевой стратегии, увлечение расчетами, которые на карте и по ведомостям дают превосходную картину преимуществ наших армий над армиями противников, чрезвычайно симпатичные перспективы больших побед и быстрое завершение войны. Дефектом этого прекрасного бумажного плана является то, что он не имеет под собой реалистической базы, он не приведен в соответствие с реальными возможностями страны, с ее промышленностью и ее транспортными средствами, с ее способностями к развертыванию и к военно-промышленному и военно-хозяйственному маневру. Увеличение полевой стратегией и отрыв от реалистической базы в военное время привело бы к очень большому разочарованию, ибо эти прекрасные теории приходилось бы переделывать в обстановке, весьма неблагоприятной для переделывания планов, а весьма требовательной в смысле проведения реалистического плана в жизнь.</w:t>
      </w:r>
    </w:p>
    <w:p w14:paraId="43448951"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А как же формулировать правильно марксистско-ленинскую установку в этом вопросе? Я ее формулирую таким образом, прочно опираясь на достигнутый уровень нашей техники и экономики, используя каждое новое предприятие, каждый новый успех в области индустриализации для нужд обороны, мы строим план обороны в целом, на реалистической основе, с максимальным напряжением всех сил и средств для войны.</w:t>
      </w:r>
    </w:p>
    <w:p w14:paraId="3754D00D"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 xml:space="preserve">Вот, товарищи, в сжатой, конспективной, </w:t>
      </w:r>
      <w:proofErr w:type="spellStart"/>
      <w:r w:rsidRPr="007122AB">
        <w:rPr>
          <w:color w:val="000000" w:themeColor="text1"/>
          <w:sz w:val="16"/>
          <w:szCs w:val="16"/>
        </w:rPr>
        <w:t>тезуальной</w:t>
      </w:r>
      <w:proofErr w:type="spellEnd"/>
      <w:r w:rsidRPr="007122AB">
        <w:rPr>
          <w:color w:val="000000" w:themeColor="text1"/>
          <w:sz w:val="16"/>
          <w:szCs w:val="16"/>
        </w:rPr>
        <w:t xml:space="preserve"> форме та совокупность мыслей, с которыми я хотел поделиться с вами. Ни время, ни само существо темы не дает мне возможности заниматься приведением необходимых примеров. Однако мне кажется, что при всей конспективности и краткости изложения я известный материал для дискуссии и для размышления вам дал.</w:t>
      </w:r>
    </w:p>
    <w:p w14:paraId="4BBE6494"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Закончу я свое сообщение тем, с чего я начал. Мы должны вести объединенными усилиями дело к тому, что если бы нам пришлось социалистическое строительство и нашу пятилетку защищать в поле, если бы наши враги решили бы прервать насильственной рукой процесс нашего социалистического строительства, то мы должны быть готовыми к тому, чтобы эту попытку пресечь самым решительным образом и нанести врагу сокрушительный отпор и разгром, обеспечив тем самым окончательную победу социализма во всем мире, (</w:t>
      </w:r>
      <w:r w:rsidRPr="007122AB">
        <w:rPr>
          <w:rStyle w:val="af0"/>
          <w:i w:val="0"/>
          <w:color w:val="000000" w:themeColor="text1"/>
          <w:sz w:val="16"/>
          <w:szCs w:val="16"/>
        </w:rPr>
        <w:t>Аплодисменты</w:t>
      </w:r>
      <w:r w:rsidRPr="007122AB">
        <w:rPr>
          <w:color w:val="000000" w:themeColor="text1"/>
          <w:sz w:val="16"/>
          <w:szCs w:val="16"/>
        </w:rPr>
        <w:t>).</w:t>
      </w:r>
    </w:p>
    <w:p w14:paraId="62256425" w14:textId="77777777" w:rsidR="00EF2E51" w:rsidRPr="007122AB" w:rsidRDefault="00EF2E51"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4F7FCC3D"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w:t>
      </w:r>
      <w:r w:rsidRPr="007122AB">
        <w:rPr>
          <w:rStyle w:val="af0"/>
          <w:i w:val="0"/>
          <w:color w:val="000000" w:themeColor="text1"/>
          <w:sz w:val="16"/>
          <w:szCs w:val="16"/>
        </w:rPr>
        <w:t>Коммунистическая академия</w:t>
      </w:r>
      <w:r w:rsidRPr="007122AB">
        <w:rPr>
          <w:color w:val="000000" w:themeColor="text1"/>
          <w:sz w:val="16"/>
          <w:szCs w:val="16"/>
        </w:rPr>
        <w:t> — учебное и научно-исследовательское учреждение, создана декретом ВЦИК РСФСР 25 июня 1918 г., до 1919 г. называлась Социалистической академией общественных наук, до 17 апреля 1924 г. — Социалистической академией. В состав академии входили научные институты: философии, истории, советского строительства и права, мирового хозяйства и мировой политики, экономики и др., а также ряд секций и комиссий по специальным проблемам и вопросам. В декабре 1929 г. образовано Ленинградское отделение Коммунистической академии. В 1936 г. Коммунистическая академия объединена с АН СССР.</w:t>
      </w:r>
    </w:p>
    <w:p w14:paraId="74CB101B"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Из стенограммы заседания, направлен в Госплан СССР.</w:t>
      </w:r>
    </w:p>
    <w:p w14:paraId="2D35D4BF"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Опущена вступительная часть доклада, посвященная сравнительному анализу организации военной промышленности в США и царской России.</w:t>
      </w:r>
    </w:p>
    <w:p w14:paraId="052F5D76" w14:textId="77777777" w:rsidR="00EF2E51" w:rsidRPr="007122AB" w:rsidRDefault="00EF2E51" w:rsidP="007122AB">
      <w:pPr>
        <w:pStyle w:val="rtejustify"/>
        <w:spacing w:before="0" w:after="0"/>
        <w:rPr>
          <w:color w:val="000000" w:themeColor="text1"/>
          <w:sz w:val="16"/>
          <w:szCs w:val="16"/>
        </w:rPr>
      </w:pPr>
      <w:r w:rsidRPr="007122AB">
        <w:rPr>
          <w:color w:val="000000" w:themeColor="text1"/>
          <w:sz w:val="16"/>
          <w:szCs w:val="16"/>
        </w:rPr>
        <w:t>РГАЭ. Ф. 4372. Оп. 91. Д. 567. Л. 125—114. Стенограмма. Копия.</w:t>
      </w:r>
    </w:p>
    <w:p w14:paraId="05212295"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567. Л. 125—114. Стенограмма. Копия. </w:t>
      </w:r>
    </w:p>
    <w:p w14:paraId="63384FC5" w14:textId="77777777" w:rsidR="00EF2E51" w:rsidRPr="007122AB" w:rsidRDefault="00EF2E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539-545 (12527).</w:t>
      </w:r>
    </w:p>
    <w:p w14:paraId="025927C4" w14:textId="77777777" w:rsidR="00EF2E51" w:rsidRPr="007122AB" w:rsidRDefault="00EF2E51" w:rsidP="007122AB">
      <w:pPr>
        <w:spacing w:after="0" w:line="240" w:lineRule="auto"/>
        <w:jc w:val="both"/>
        <w:rPr>
          <w:rFonts w:ascii="Times New Roman" w:hAnsi="Times New Roman"/>
          <w:color w:val="000000" w:themeColor="text1"/>
          <w:sz w:val="16"/>
          <w:szCs w:val="16"/>
        </w:rPr>
      </w:pPr>
    </w:p>
    <w:p w14:paraId="31572C99"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36. Решения ПБ от 30 апреля 1931 г. 40/42. Сообщение Орджоникидзе о Сталинградском тракторном заводе (ПБ от 30 апреля 1931 г., пр. № 36, п. 40/42). (Политбюро... Т. 2. С. 164) (12416).</w:t>
      </w:r>
    </w:p>
    <w:p w14:paraId="7856AB5E" w14:textId="77777777" w:rsidR="00EF2E51" w:rsidRPr="007122AB" w:rsidRDefault="00EF2E51" w:rsidP="007122AB">
      <w:pPr>
        <w:spacing w:after="0" w:line="240" w:lineRule="auto"/>
        <w:jc w:val="both"/>
        <w:rPr>
          <w:rFonts w:ascii="Times New Roman" w:hAnsi="Times New Roman"/>
          <w:color w:val="000000" w:themeColor="text1"/>
          <w:sz w:val="16"/>
          <w:szCs w:val="16"/>
          <w:u w:color="002060"/>
        </w:rPr>
      </w:pPr>
    </w:p>
    <w:p w14:paraId="2FF9386D" w14:textId="77777777" w:rsidR="000E0163" w:rsidRPr="007122AB" w:rsidRDefault="000E016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в 1931 году состоялся пуск Ирбитского стекольного завода (ныне - ОАО "ИСЗ", Свердловская область), основной поставщик оконного стекла в Уральском регионе России (14882).</w:t>
      </w:r>
    </w:p>
    <w:p w14:paraId="06F66A12" w14:textId="77777777" w:rsidR="000E0163" w:rsidRPr="007122AB" w:rsidRDefault="000E0163" w:rsidP="007122AB">
      <w:pPr>
        <w:spacing w:after="0" w:line="240" w:lineRule="auto"/>
        <w:jc w:val="both"/>
        <w:rPr>
          <w:rFonts w:ascii="Times New Roman" w:hAnsi="Times New Roman"/>
          <w:color w:val="000000" w:themeColor="text1"/>
          <w:sz w:val="16"/>
          <w:szCs w:val="16"/>
        </w:rPr>
      </w:pPr>
    </w:p>
    <w:p w14:paraId="364FD80E"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5 мая 1931 </w:t>
      </w:r>
      <w:r w:rsidRPr="007122AB">
        <w:rPr>
          <w:rFonts w:ascii="Times New Roman" w:hAnsi="Times New Roman"/>
          <w:color w:val="000000" w:themeColor="text1"/>
          <w:sz w:val="16"/>
          <w:szCs w:val="16"/>
        </w:rPr>
        <w:t>Политбюро ЦК ВКП (б) предложило ВСНХ организовать в Средней Азии разработку калийных удобрений (12265).</w:t>
      </w:r>
    </w:p>
    <w:p w14:paraId="30206EAC"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742914D"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1931</w:t>
      </w:r>
    </w:p>
    <w:p w14:paraId="7FCD287C"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16: О пересмотре договоров по техпомощи и о порядке их заключения</w:t>
      </w:r>
    </w:p>
    <w:p w14:paraId="7C97245D"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15.IV.31 г., пр. № 34, п. 14).</w:t>
      </w:r>
    </w:p>
    <w:p w14:paraId="4D5B05C9"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(Акулов, </w:t>
      </w:r>
      <w:proofErr w:type="spellStart"/>
      <w:r w:rsidRPr="007122AB">
        <w:rPr>
          <w:rFonts w:ascii="Times New Roman" w:hAnsi="Times New Roman"/>
          <w:color w:val="000000" w:themeColor="text1"/>
          <w:sz w:val="16"/>
          <w:szCs w:val="16"/>
        </w:rPr>
        <w:t>Межлаук</w:t>
      </w:r>
      <w:proofErr w:type="spellEnd"/>
      <w:r w:rsidRPr="007122AB">
        <w:rPr>
          <w:rFonts w:ascii="Times New Roman" w:hAnsi="Times New Roman"/>
          <w:color w:val="000000" w:themeColor="text1"/>
          <w:sz w:val="16"/>
          <w:szCs w:val="16"/>
        </w:rPr>
        <w:t xml:space="preserve">, Гринько,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w:t>
      </w:r>
    </w:p>
    <w:p w14:paraId="37F9CF8E"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059C44C5"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представленный комиссией проект постановления о пересмотре договоров по техпомощи (</w:t>
      </w:r>
      <w:hyperlink r:id="rId85" w:history="1">
        <w:r w:rsidRPr="007122AB">
          <w:rPr>
            <w:rStyle w:val="a5"/>
            <w:rFonts w:ascii="Times New Roman" w:hAnsi="Times New Roman"/>
            <w:color w:val="000000" w:themeColor="text1"/>
            <w:sz w:val="16"/>
            <w:szCs w:val="16"/>
          </w:rPr>
          <w:t>см. приложение № 1</w:t>
        </w:r>
        <w:r w:rsidRPr="007122AB">
          <w:rPr>
            <w:rStyle w:val="a5"/>
            <w:rFonts w:ascii="Times New Roman" w:hAnsi="Times New Roman"/>
            <w:color w:val="000000" w:themeColor="text1"/>
            <w:sz w:val="16"/>
            <w:szCs w:val="16"/>
          </w:rPr>
          <w:noBreakHyphen/>
          <w:t>ОП</w:t>
        </w:r>
      </w:hyperlink>
      <w:r w:rsidRPr="007122AB">
        <w:rPr>
          <w:rFonts w:ascii="Times New Roman" w:hAnsi="Times New Roman"/>
          <w:color w:val="000000" w:themeColor="text1"/>
          <w:sz w:val="16"/>
          <w:szCs w:val="16"/>
        </w:rPr>
        <w:t>).</w:t>
      </w:r>
    </w:p>
    <w:p w14:paraId="5706E64C"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Утвердить список фирм, с которыми договора расторгаются, на общую сумму 2.710 тысяч рублей.</w:t>
      </w:r>
    </w:p>
    <w:p w14:paraId="3EBDDC4F"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w:t>
      </w:r>
    </w:p>
    <w:p w14:paraId="14B98F5B"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2DBD429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Орджоникидзе, </w:t>
      </w:r>
      <w:proofErr w:type="spellStart"/>
      <w:r w:rsidRPr="007122AB">
        <w:rPr>
          <w:rFonts w:ascii="Times New Roman" w:hAnsi="Times New Roman"/>
          <w:color w:val="000000" w:themeColor="text1"/>
          <w:sz w:val="16"/>
          <w:szCs w:val="16"/>
        </w:rPr>
        <w:t>Рухимовичу</w:t>
      </w:r>
      <w:proofErr w:type="spellEnd"/>
      <w:r w:rsidRPr="007122AB">
        <w:rPr>
          <w:rFonts w:ascii="Times New Roman" w:hAnsi="Times New Roman"/>
          <w:color w:val="000000" w:themeColor="text1"/>
          <w:sz w:val="16"/>
          <w:szCs w:val="16"/>
        </w:rPr>
        <w:t>, Акулову, Микояну, Ягоде.</w:t>
      </w:r>
    </w:p>
    <w:p w14:paraId="50AF8A78"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1</w:t>
      </w:r>
      <w:r w:rsidRPr="007122AB">
        <w:rPr>
          <w:rFonts w:ascii="Times New Roman" w:hAnsi="Times New Roman"/>
          <w:color w:val="000000" w:themeColor="text1"/>
          <w:sz w:val="16"/>
          <w:szCs w:val="16"/>
        </w:rPr>
        <w:noBreakHyphen/>
        <w:t>ОП</w:t>
      </w:r>
    </w:p>
    <w:p w14:paraId="795FF69B"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16 (о. п.) пр. ПБ № 36</w:t>
      </w:r>
    </w:p>
    <w:p w14:paraId="7184906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пересмотре договоров по техпомощи и о порядке их заключения.</w:t>
      </w:r>
    </w:p>
    <w:p w14:paraId="05A5394F"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(Утверждено Политбюро ЦК ВКП(б) 5.V.1931 г.)</w:t>
      </w:r>
    </w:p>
    <w:p w14:paraId="2E94367C"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w:t>
      </w:r>
    </w:p>
    <w:p w14:paraId="06FB0206"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668964E3"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  к простому обогащение иностранных фирм.</w:t>
      </w:r>
    </w:p>
    <w:p w14:paraId="3FF047F5"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ВСНХ и другим наркоматам:</w:t>
      </w:r>
    </w:p>
    <w:p w14:paraId="000566A3"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 месячный срок перестроить всю систему руководства и постановку дела использования техпомощи, путем:</w:t>
      </w:r>
    </w:p>
    <w:p w14:paraId="6A3F2C84"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149BB1B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оставления за </w:t>
      </w:r>
      <w:proofErr w:type="spellStart"/>
      <w:r w:rsidRPr="007122AB">
        <w:rPr>
          <w:rFonts w:ascii="Times New Roman" w:hAnsi="Times New Roman"/>
          <w:color w:val="000000" w:themeColor="text1"/>
          <w:sz w:val="16"/>
          <w:szCs w:val="16"/>
        </w:rPr>
        <w:t>иносекторами</w:t>
      </w:r>
      <w:proofErr w:type="spellEnd"/>
      <w:r w:rsidRPr="007122AB">
        <w:rPr>
          <w:rFonts w:ascii="Times New Roman" w:hAnsi="Times New Roman"/>
          <w:color w:val="000000" w:themeColor="text1"/>
          <w:sz w:val="16"/>
          <w:szCs w:val="16"/>
        </w:rPr>
        <w:t xml:space="preserve">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33FDF1E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30351F4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xml:space="preserve">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00FCC447"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Обеспечить контроль и наблюдение за </w:t>
      </w:r>
      <w:proofErr w:type="spellStart"/>
      <w:r w:rsidRPr="007122AB">
        <w:rPr>
          <w:rFonts w:ascii="Times New Roman" w:hAnsi="Times New Roman"/>
          <w:color w:val="000000" w:themeColor="text1"/>
          <w:sz w:val="16"/>
          <w:szCs w:val="16"/>
        </w:rPr>
        <w:t>инотехпомощью</w:t>
      </w:r>
      <w:proofErr w:type="spellEnd"/>
      <w:r w:rsidRPr="007122AB">
        <w:rPr>
          <w:rFonts w:ascii="Times New Roman" w:hAnsi="Times New Roman"/>
          <w:color w:val="000000" w:themeColor="text1"/>
          <w:sz w:val="16"/>
          <w:szCs w:val="16"/>
        </w:rPr>
        <w:t xml:space="preserve"> низовых общественно-производственных организаций предприятий и актива инженерно-технического персонала.</w:t>
      </w:r>
    </w:p>
    <w:p w14:paraId="7C028C17"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08C5465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w:t>
      </w:r>
      <w:proofErr w:type="spellStart"/>
      <w:r w:rsidRPr="007122AB">
        <w:rPr>
          <w:rFonts w:ascii="Times New Roman" w:hAnsi="Times New Roman"/>
          <w:color w:val="000000" w:themeColor="text1"/>
          <w:sz w:val="16"/>
          <w:szCs w:val="16"/>
        </w:rPr>
        <w:t>Зульцер</w:t>
      </w:r>
      <w:proofErr w:type="spellEnd"/>
      <w:r w:rsidRPr="007122AB">
        <w:rPr>
          <w:rFonts w:ascii="Times New Roman" w:hAnsi="Times New Roman"/>
          <w:color w:val="000000" w:themeColor="text1"/>
          <w:sz w:val="16"/>
          <w:szCs w:val="16"/>
        </w:rPr>
        <w:t>, Метрополитен-Виккерс, Казале и др.)«</w:t>
      </w:r>
    </w:p>
    <w:p w14:paraId="13276F77"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Запретить также без специального согласия </w:t>
      </w:r>
      <w:proofErr w:type="spellStart"/>
      <w:r w:rsidRPr="007122AB">
        <w:rPr>
          <w:rFonts w:ascii="Times New Roman" w:hAnsi="Times New Roman"/>
          <w:color w:val="000000" w:themeColor="text1"/>
          <w:sz w:val="16"/>
          <w:szCs w:val="16"/>
        </w:rPr>
        <w:t>Наркомвнешторга</w:t>
      </w:r>
      <w:proofErr w:type="spellEnd"/>
      <w:r w:rsidRPr="007122AB">
        <w:rPr>
          <w:rFonts w:ascii="Times New Roman" w:hAnsi="Times New Roman"/>
          <w:color w:val="000000" w:themeColor="text1"/>
          <w:sz w:val="16"/>
          <w:szCs w:val="16"/>
        </w:rPr>
        <w:t xml:space="preserve"> заключение договоров на </w:t>
      </w:r>
      <w:proofErr w:type="spellStart"/>
      <w:r w:rsidRPr="007122AB">
        <w:rPr>
          <w:rFonts w:ascii="Times New Roman" w:hAnsi="Times New Roman"/>
          <w:color w:val="000000" w:themeColor="text1"/>
          <w:sz w:val="16"/>
          <w:szCs w:val="16"/>
        </w:rPr>
        <w:t>инотехпомощь</w:t>
      </w:r>
      <w:proofErr w:type="spellEnd"/>
      <w:r w:rsidRPr="007122AB">
        <w:rPr>
          <w:rFonts w:ascii="Times New Roman" w:hAnsi="Times New Roman"/>
          <w:color w:val="000000" w:themeColor="text1"/>
          <w:sz w:val="16"/>
          <w:szCs w:val="16"/>
        </w:rPr>
        <w:t xml:space="preserve"> с наличием обязательств по покупке оборудования и материалов.</w:t>
      </w:r>
    </w:p>
    <w:p w14:paraId="6AEBDA2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51C2324"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537CFF5B"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Принять к сведению сообщение президиума ВСНХ СССР о состоявшемся расторжении договора с фирмой Фрелих и </w:t>
      </w:r>
      <w:proofErr w:type="spellStart"/>
      <w:r w:rsidRPr="007122AB">
        <w:rPr>
          <w:rFonts w:ascii="Times New Roman" w:hAnsi="Times New Roman"/>
          <w:color w:val="000000" w:themeColor="text1"/>
          <w:sz w:val="16"/>
          <w:szCs w:val="16"/>
        </w:rPr>
        <w:t>Клюпфель</w:t>
      </w:r>
      <w:proofErr w:type="spellEnd"/>
      <w:r w:rsidRPr="007122AB">
        <w:rPr>
          <w:rFonts w:ascii="Times New Roman" w:hAnsi="Times New Roman"/>
          <w:color w:val="000000" w:themeColor="text1"/>
          <w:sz w:val="16"/>
          <w:szCs w:val="16"/>
        </w:rPr>
        <w:t xml:space="preserve">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7D5D39D2"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В 2</w:t>
      </w:r>
      <w:r w:rsidRPr="007122AB">
        <w:rPr>
          <w:rFonts w:ascii="Times New Roman" w:hAnsi="Times New Roman"/>
          <w:color w:val="000000" w:themeColor="text1"/>
          <w:sz w:val="16"/>
          <w:szCs w:val="16"/>
        </w:rPr>
        <w:noBreakHyphen/>
        <w:t>х месячный срок:</w:t>
      </w:r>
    </w:p>
    <w:p w14:paraId="7C801F7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произвести проверку технической квалификации </w:t>
      </w:r>
      <w:proofErr w:type="spellStart"/>
      <w:r w:rsidRPr="007122AB">
        <w:rPr>
          <w:rFonts w:ascii="Times New Roman" w:hAnsi="Times New Roman"/>
          <w:color w:val="000000" w:themeColor="text1"/>
          <w:sz w:val="16"/>
          <w:szCs w:val="16"/>
        </w:rPr>
        <w:t>иноспециалистов</w:t>
      </w:r>
      <w:proofErr w:type="spellEnd"/>
      <w:r w:rsidRPr="007122AB">
        <w:rPr>
          <w:rFonts w:ascii="Times New Roman" w:hAnsi="Times New Roman"/>
          <w:color w:val="000000" w:themeColor="text1"/>
          <w:sz w:val="16"/>
          <w:szCs w:val="16"/>
        </w:rPr>
        <w:t>, используемых как по остающимся, так и по расторгаемым договорам в целях отказа от малоквалифицированного персонала;</w:t>
      </w:r>
    </w:p>
    <w:p w14:paraId="5A4484A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б) провести работу по резкому сокращению валютной части оплаты </w:t>
      </w:r>
      <w:proofErr w:type="spellStart"/>
      <w:r w:rsidRPr="007122AB">
        <w:rPr>
          <w:rFonts w:ascii="Times New Roman" w:hAnsi="Times New Roman"/>
          <w:color w:val="000000" w:themeColor="text1"/>
          <w:sz w:val="16"/>
          <w:szCs w:val="16"/>
        </w:rPr>
        <w:t>иноспециалистов</w:t>
      </w:r>
      <w:proofErr w:type="spellEnd"/>
      <w:r w:rsidRPr="007122AB">
        <w:rPr>
          <w:rFonts w:ascii="Times New Roman" w:hAnsi="Times New Roman"/>
          <w:color w:val="000000" w:themeColor="text1"/>
          <w:sz w:val="16"/>
          <w:szCs w:val="16"/>
        </w:rPr>
        <w:t xml:space="preserve"> и перевода их на индивидуальную оплату по расторгаемым и пересматриваемым договорам.</w:t>
      </w:r>
    </w:p>
    <w:p w14:paraId="11A0F154"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В целях полной и своевременной реализации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xml:space="preserve">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6656D903"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2CD03C74"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4BAC0B5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Приступить и закончить в 1931 г. расторжение договоров с фирмами: </w:t>
      </w:r>
      <w:proofErr w:type="spellStart"/>
      <w:r w:rsidRPr="007122AB">
        <w:rPr>
          <w:rFonts w:ascii="Times New Roman" w:hAnsi="Times New Roman"/>
          <w:color w:val="000000" w:themeColor="text1"/>
          <w:sz w:val="16"/>
          <w:szCs w:val="16"/>
        </w:rPr>
        <w:t>Рюкайзер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Суари</w:t>
      </w:r>
      <w:proofErr w:type="spellEnd"/>
      <w:r w:rsidRPr="007122AB">
        <w:rPr>
          <w:rFonts w:ascii="Times New Roman" w:hAnsi="Times New Roman"/>
          <w:color w:val="000000" w:themeColor="text1"/>
          <w:sz w:val="16"/>
          <w:szCs w:val="16"/>
        </w:rPr>
        <w:t xml:space="preserve"> де Страсбург, Стик, Ирвинг, Ман-</w:t>
      </w:r>
      <w:proofErr w:type="spellStart"/>
      <w:r w:rsidRPr="007122AB">
        <w:rPr>
          <w:rFonts w:ascii="Times New Roman" w:hAnsi="Times New Roman"/>
          <w:color w:val="000000" w:themeColor="text1"/>
          <w:sz w:val="16"/>
          <w:szCs w:val="16"/>
        </w:rPr>
        <w:t>Ридингер</w:t>
      </w:r>
      <w:proofErr w:type="spellEnd"/>
      <w:r w:rsidRPr="007122AB">
        <w:rPr>
          <w:rFonts w:ascii="Times New Roman" w:hAnsi="Times New Roman"/>
          <w:color w:val="000000" w:themeColor="text1"/>
          <w:sz w:val="16"/>
          <w:szCs w:val="16"/>
        </w:rPr>
        <w:t xml:space="preserve">, Фрелих и </w:t>
      </w:r>
      <w:proofErr w:type="spellStart"/>
      <w:r w:rsidRPr="007122AB">
        <w:rPr>
          <w:rFonts w:ascii="Times New Roman" w:hAnsi="Times New Roman"/>
          <w:color w:val="000000" w:themeColor="text1"/>
          <w:sz w:val="16"/>
          <w:szCs w:val="16"/>
        </w:rPr>
        <w:t>Клюпфель</w:t>
      </w:r>
      <w:proofErr w:type="spellEnd"/>
      <w:r w:rsidRPr="007122AB">
        <w:rPr>
          <w:rFonts w:ascii="Times New Roman" w:hAnsi="Times New Roman"/>
          <w:color w:val="000000" w:themeColor="text1"/>
          <w:sz w:val="16"/>
          <w:szCs w:val="16"/>
        </w:rPr>
        <w:t xml:space="preserve">, Робертс и Шефер, Ален-Гарсиа, </w:t>
      </w:r>
      <w:proofErr w:type="spellStart"/>
      <w:r w:rsidRPr="007122AB">
        <w:rPr>
          <w:rFonts w:ascii="Times New Roman" w:hAnsi="Times New Roman"/>
          <w:color w:val="000000" w:themeColor="text1"/>
          <w:sz w:val="16"/>
          <w:szCs w:val="16"/>
        </w:rPr>
        <w:t>Клейнлогель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Кебер</w:t>
      </w:r>
      <w:proofErr w:type="spellEnd"/>
      <w:r w:rsidRPr="007122AB">
        <w:rPr>
          <w:rFonts w:ascii="Times New Roman" w:hAnsi="Times New Roman"/>
          <w:color w:val="000000" w:themeColor="text1"/>
          <w:sz w:val="16"/>
          <w:szCs w:val="16"/>
        </w:rPr>
        <w:t>, ДАЦ</w:t>
      </w:r>
    </w:p>
    <w:p w14:paraId="223C540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Принять к сведению сообщение президиума ВСНХ СССР о состоявшемся расторжении договоров с фирмами Брандт, Мак-Дональд, </w:t>
      </w:r>
      <w:proofErr w:type="spellStart"/>
      <w:r w:rsidRPr="007122AB">
        <w:rPr>
          <w:rFonts w:ascii="Times New Roman" w:hAnsi="Times New Roman"/>
          <w:color w:val="000000" w:themeColor="text1"/>
          <w:sz w:val="16"/>
          <w:szCs w:val="16"/>
        </w:rPr>
        <w:t>Пуппе</w:t>
      </w:r>
      <w:proofErr w:type="spellEnd"/>
      <w:r w:rsidRPr="007122AB">
        <w:rPr>
          <w:rFonts w:ascii="Times New Roman" w:hAnsi="Times New Roman"/>
          <w:color w:val="000000" w:themeColor="text1"/>
          <w:sz w:val="16"/>
          <w:szCs w:val="16"/>
        </w:rPr>
        <w:t>.</w:t>
      </w:r>
    </w:p>
    <w:p w14:paraId="7F70BD06"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Расторжение договоров техпомощи с инофирмами производить постепенно в течение 1931 года.</w:t>
      </w:r>
    </w:p>
    <w:p w14:paraId="231094A1"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Предложить ВСНХ и </w:t>
      </w:r>
      <w:proofErr w:type="spellStart"/>
      <w:r w:rsidRPr="007122AB">
        <w:rPr>
          <w:rFonts w:ascii="Times New Roman" w:hAnsi="Times New Roman"/>
          <w:color w:val="000000" w:themeColor="text1"/>
          <w:sz w:val="16"/>
          <w:szCs w:val="16"/>
        </w:rPr>
        <w:t>НКСнабу</w:t>
      </w:r>
      <w:proofErr w:type="spellEnd"/>
      <w:r w:rsidRPr="007122AB">
        <w:rPr>
          <w:rFonts w:ascii="Times New Roman" w:hAnsi="Times New Roman"/>
          <w:color w:val="000000" w:themeColor="text1"/>
          <w:sz w:val="16"/>
          <w:szCs w:val="16"/>
        </w:rPr>
        <w:t xml:space="preserve"> обеспечить в пределах сроков договора (к 19.XII.31 г.) полное использование техпомощи фирмой </w:t>
      </w:r>
      <w:proofErr w:type="spellStart"/>
      <w:r w:rsidRPr="007122AB">
        <w:rPr>
          <w:rFonts w:ascii="Times New Roman" w:hAnsi="Times New Roman"/>
          <w:color w:val="000000" w:themeColor="text1"/>
          <w:sz w:val="16"/>
          <w:szCs w:val="16"/>
        </w:rPr>
        <w:t>Борзиг</w:t>
      </w:r>
      <w:proofErr w:type="spellEnd"/>
      <w:r w:rsidRPr="007122AB">
        <w:rPr>
          <w:rFonts w:ascii="Times New Roman" w:hAnsi="Times New Roman"/>
          <w:color w:val="000000" w:themeColor="text1"/>
          <w:sz w:val="16"/>
          <w:szCs w:val="16"/>
        </w:rPr>
        <w:t>.</w:t>
      </w:r>
    </w:p>
    <w:p w14:paraId="4E22AB4C"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Поручить ОГПУ в 2</w:t>
      </w:r>
      <w:r w:rsidRPr="007122AB">
        <w:rPr>
          <w:rFonts w:ascii="Times New Roman" w:hAnsi="Times New Roman"/>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w:t>
      </w:r>
    </w:p>
    <w:p w14:paraId="23124F0A" w14:textId="77777777" w:rsidR="005B2673" w:rsidRPr="007122AB" w:rsidRDefault="005B26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(18111).</w:t>
      </w:r>
    </w:p>
    <w:p w14:paraId="106EF09A" w14:textId="77777777" w:rsidR="005B2673" w:rsidRPr="007122AB" w:rsidRDefault="005B2673" w:rsidP="007122AB">
      <w:pPr>
        <w:spacing w:after="0" w:line="240" w:lineRule="auto"/>
        <w:jc w:val="both"/>
        <w:rPr>
          <w:rFonts w:ascii="Times New Roman" w:hAnsi="Times New Roman"/>
          <w:color w:val="000000" w:themeColor="text1"/>
          <w:sz w:val="16"/>
          <w:szCs w:val="16"/>
        </w:rPr>
      </w:pPr>
    </w:p>
    <w:p w14:paraId="0B10FFBE" w14:textId="77777777" w:rsidR="005C5785" w:rsidRPr="007122AB" w:rsidRDefault="005C578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62FCD8E" w14:textId="77777777" w:rsidR="005C5785" w:rsidRPr="007122AB" w:rsidRDefault="005C578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ED768A" w14:textId="77777777" w:rsidR="005C5785" w:rsidRPr="007122AB" w:rsidRDefault="005C578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1931 г. Каганович и Булганин доложили в Политбюро о плане мероприятий. Политбюро образовало собственную комиссию для подготовки решения на основе этого плана. В состав комиссии под председательством Кагановича наряду с функционерами московской парторганизации и городской администрации вошли такие представители правящей верхушки, как Сталин, Молотов, Ворошилов, Ягода и Киров{313}.На своем втором заседании 14 мая 1931 г. комиссия Политбюро постановила внести в план мероприятий новый пункт в следующей редакции: «Поручить Моссовету и МК образовать комиссию для рассмотрения всех существующих проектов различных средств сообщения и разработать проект метрополитена. Срок: 3 месяца»{314} (18299).</w:t>
      </w:r>
    </w:p>
    <w:p w14:paraId="3AE93738" w14:textId="77777777" w:rsidR="005C5785" w:rsidRPr="007122AB" w:rsidRDefault="005C5785" w:rsidP="007122AB">
      <w:pPr>
        <w:spacing w:after="0" w:line="240" w:lineRule="auto"/>
        <w:jc w:val="both"/>
        <w:rPr>
          <w:rFonts w:ascii="Times New Roman" w:hAnsi="Times New Roman"/>
          <w:color w:val="000000" w:themeColor="text1"/>
          <w:sz w:val="16"/>
          <w:szCs w:val="16"/>
        </w:rPr>
      </w:pPr>
    </w:p>
    <w:p w14:paraId="1FF823D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D83569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9E42F1" w14:textId="77777777" w:rsidR="000E0163" w:rsidRPr="007122AB" w:rsidRDefault="000E016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мая в 1931 году английская транспортная летающая лодка </w:t>
      </w:r>
      <w:hyperlink r:id="rId86"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«S.17» «</w:t>
        </w:r>
        <w:proofErr w:type="spellStart"/>
        <w:r w:rsidRPr="007122AB">
          <w:rPr>
            <w:rFonts w:ascii="Times New Roman" w:hAnsi="Times New Roman"/>
            <w:color w:val="000000" w:themeColor="text1"/>
            <w:sz w:val="16"/>
            <w:szCs w:val="16"/>
          </w:rPr>
          <w:t>Kent</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впервые вышла на линию. Машина использовалась на трассе Бриндизи - Афины - Александрия. По пути из Афин в Александрию выполнялась техническая посадка на Крите для дозаправки. У нового самолёта были увеличены размеры фюзеляжа и размах крыльев, установлены четыре более мощных двигателя «Bristol»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XFBM». Пилотская кабина стала закрытой, повысился комфорт пассажирского салона. Были проведены мероприятия по защите от коррозии, вызываемой морской водой (14882).</w:t>
      </w:r>
    </w:p>
    <w:p w14:paraId="0C7AC7BC" w14:textId="77777777" w:rsidR="000E0163" w:rsidRPr="007122AB" w:rsidRDefault="000E0163" w:rsidP="007122AB">
      <w:pPr>
        <w:spacing w:after="0" w:line="240" w:lineRule="auto"/>
        <w:jc w:val="both"/>
        <w:rPr>
          <w:rFonts w:ascii="Times New Roman" w:hAnsi="Times New Roman"/>
          <w:color w:val="000000" w:themeColor="text1"/>
          <w:sz w:val="16"/>
          <w:szCs w:val="16"/>
        </w:rPr>
      </w:pPr>
    </w:p>
    <w:p w14:paraId="4A4F1BF8" w14:textId="77777777" w:rsidR="00DB398D" w:rsidRPr="007122AB" w:rsidRDefault="00DB39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мая 1931 польский пилот Станислав </w:t>
      </w:r>
      <w:proofErr w:type="spellStart"/>
      <w:r w:rsidRPr="007122AB">
        <w:rPr>
          <w:rFonts w:ascii="Times New Roman" w:hAnsi="Times New Roman"/>
          <w:color w:val="000000" w:themeColor="text1"/>
          <w:sz w:val="16"/>
          <w:szCs w:val="16"/>
        </w:rPr>
        <w:t>Скаржиньски</w:t>
      </w:r>
      <w:proofErr w:type="spellEnd"/>
      <w:r w:rsidRPr="007122AB">
        <w:rPr>
          <w:rFonts w:ascii="Times New Roman" w:hAnsi="Times New Roman"/>
          <w:color w:val="000000" w:themeColor="text1"/>
          <w:sz w:val="16"/>
          <w:szCs w:val="16"/>
        </w:rPr>
        <w:t xml:space="preserve"> завершает тур длиной 25050 километров (15560 миль) вокруг Африки на PZL Z.2. Он начал турне 1 февраля (20804).</w:t>
      </w:r>
    </w:p>
    <w:p w14:paraId="57F0DBA0" w14:textId="77777777" w:rsidR="00DB398D" w:rsidRPr="007122AB" w:rsidRDefault="00DB398D" w:rsidP="007122AB">
      <w:pPr>
        <w:spacing w:after="0" w:line="240" w:lineRule="auto"/>
        <w:jc w:val="both"/>
        <w:rPr>
          <w:rFonts w:ascii="Times New Roman" w:hAnsi="Times New Roman"/>
          <w:color w:val="000000" w:themeColor="text1"/>
          <w:sz w:val="16"/>
          <w:szCs w:val="16"/>
        </w:rPr>
      </w:pPr>
    </w:p>
    <w:p w14:paraId="5D4D22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мая 1931 в </w:t>
      </w:r>
      <w:proofErr w:type="spellStart"/>
      <w:r w:rsidRPr="007122AB">
        <w:rPr>
          <w:rFonts w:ascii="Times New Roman" w:hAnsi="Times New Roman"/>
          <w:color w:val="000000" w:themeColor="text1"/>
          <w:sz w:val="16"/>
          <w:szCs w:val="16"/>
        </w:rPr>
        <w:t>Нанцьзине</w:t>
      </w:r>
      <w:proofErr w:type="spellEnd"/>
      <w:r w:rsidRPr="007122AB">
        <w:rPr>
          <w:rFonts w:ascii="Times New Roman" w:hAnsi="Times New Roman"/>
          <w:color w:val="000000" w:themeColor="text1"/>
          <w:sz w:val="16"/>
          <w:szCs w:val="16"/>
        </w:rPr>
        <w:t xml:space="preserve"> было созвано Народное собрание и 12 мая оно приняло Конституцию, которая вступила в силу 1 июня (3907,167).</w:t>
      </w:r>
    </w:p>
    <w:p w14:paraId="73410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49FE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1931 в Лондоне состоялся первый концерт английского Королевского балета (4962).</w:t>
      </w:r>
    </w:p>
    <w:p w14:paraId="51A5F7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14AAF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EF07C5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DDB8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6 мая по 15 июня 1931 в НИИ ВВС вновь проходил испытания И5 № 3 с мотором М15.</w:t>
      </w:r>
    </w:p>
    <w:p w14:paraId="770432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 (образца для серии) самолета И5 № 18 с мотором М15</w:t>
      </w:r>
    </w:p>
    <w:p w14:paraId="770E5E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7D57C0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2A7199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631538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сообщению завода № 39 данный самолет в сравнении с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xml:space="preserve"> VI усилен ………….</w:t>
      </w:r>
    </w:p>
    <w:p w14:paraId="401C34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150430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5CC4ACE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002A32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 испытания</w:t>
      </w:r>
    </w:p>
    <w:p w14:paraId="6DDC3F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первого испытания самолет И5 № 18 произвел следующие полеты:</w:t>
      </w:r>
    </w:p>
    <w:p w14:paraId="356AF6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638A86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545175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4196A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второго испытания произведены следующие полеты:</w:t>
      </w:r>
    </w:p>
    <w:p w14:paraId="6E0F6E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610D1C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F01A1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C9B05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w:t>
      </w:r>
      <w:proofErr w:type="spellStart"/>
      <w:r w:rsidRPr="007122AB">
        <w:rPr>
          <w:rFonts w:ascii="Times New Roman" w:hAnsi="Times New Roman"/>
          <w:color w:val="000000" w:themeColor="text1"/>
          <w:sz w:val="16"/>
          <w:szCs w:val="16"/>
        </w:rPr>
        <w:t>ЮпVI</w:t>
      </w:r>
      <w:proofErr w:type="spellEnd"/>
      <w:r w:rsidRPr="007122AB">
        <w:rPr>
          <w:rFonts w:ascii="Times New Roman" w:hAnsi="Times New Roman"/>
          <w:color w:val="000000" w:themeColor="text1"/>
          <w:sz w:val="16"/>
          <w:szCs w:val="16"/>
        </w:rPr>
        <w:t xml:space="preserve"> (6964, 32-40).</w:t>
      </w:r>
    </w:p>
    <w:p w14:paraId="322FDC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E70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мая 1931 продолжились прерванные 1 февраля 1931 г. из-за неисправности мотора гос. испытания самолета И5-М15, которые шли с 12 декабря 1930 г. Испытывался в первый раз самолет И5 N 3 (XVI съезд) постройки ЦКБ, с мотором 2М15 N 2, постройки завода N 24. При вторичном испытании тот же самолет имел мотор М15 N 18, постройки завода N 24.</w:t>
      </w:r>
    </w:p>
    <w:p w14:paraId="1DAA9A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35046F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Поскольку самолет И5-М15 N 3 не является по своей конструкции идентичным тому, который предположен к серийной постройке, не мог быть испытан на стрельбу считать, что на основе его испытания нельзя дать заключения о самолете И5-М15, предназначенного к серийной постройке (3290,42-58).</w:t>
      </w:r>
    </w:p>
    <w:p w14:paraId="064778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DFC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период 6 мая - 15 июня 1931 г. последовал второй этап испытаний И-5 №3 с двигателем М-15. Однако этот самолет по-прежнему не имел вооружения и обладал множеством отличий от серийных об</w:t>
      </w:r>
      <w:r w:rsidRPr="007122AB">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7122AB">
        <w:rPr>
          <w:rFonts w:ascii="Times New Roman" w:hAnsi="Times New Roman"/>
          <w:color w:val="000000" w:themeColor="text1"/>
          <w:sz w:val="16"/>
          <w:szCs w:val="16"/>
        </w:rPr>
        <w:softHyphen/>
        <w:t xml:space="preserve">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Другим отличи</w:t>
      </w:r>
      <w:r w:rsidRPr="007122AB">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7122AB">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7122AB">
        <w:rPr>
          <w:rFonts w:ascii="Times New Roman" w:hAnsi="Times New Roman"/>
          <w:color w:val="000000" w:themeColor="text1"/>
          <w:sz w:val="16"/>
          <w:szCs w:val="16"/>
        </w:rPr>
        <w:softHyphen/>
        <w:t xml:space="preserve">ломки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После ремонта самолет предъявили к тестированию с </w:t>
      </w:r>
      <w:r w:rsidRPr="007122AB">
        <w:rPr>
          <w:rFonts w:ascii="Times New Roman" w:hAnsi="Times New Roman"/>
          <w:color w:val="000000" w:themeColor="text1"/>
          <w:sz w:val="16"/>
          <w:szCs w:val="16"/>
        </w:rPr>
        <w:lastRenderedPageBreak/>
        <w:t>новым двигате</w:t>
      </w:r>
      <w:r w:rsidRPr="007122AB">
        <w:rPr>
          <w:rFonts w:ascii="Times New Roman" w:hAnsi="Times New Roman"/>
          <w:color w:val="000000" w:themeColor="text1"/>
          <w:sz w:val="16"/>
          <w:szCs w:val="16"/>
        </w:rPr>
        <w:softHyphen/>
        <w:t>лем - М-15 № 24109. Полеты начались 10 ок</w:t>
      </w:r>
      <w:r w:rsidRPr="007122AB">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7122AB">
        <w:rPr>
          <w:rFonts w:ascii="Times New Roman" w:hAnsi="Times New Roman"/>
          <w:color w:val="000000" w:themeColor="text1"/>
          <w:sz w:val="16"/>
          <w:szCs w:val="16"/>
        </w:rPr>
        <w:softHyphen/>
        <w:t xml:space="preserve">садки. Дальнейшая судьба машины не </w:t>
      </w:r>
      <w:proofErr w:type="spellStart"/>
      <w:r w:rsidRPr="007122AB">
        <w:rPr>
          <w:rFonts w:ascii="Times New Roman" w:hAnsi="Times New Roman"/>
          <w:color w:val="000000" w:themeColor="text1"/>
          <w:sz w:val="16"/>
          <w:szCs w:val="16"/>
        </w:rPr>
        <w:t>просле</w:t>
      </w:r>
      <w:proofErr w:type="spellEnd"/>
      <w:r w:rsidRPr="007122AB">
        <w:rPr>
          <w:rFonts w:ascii="Times New Roman" w:hAnsi="Times New Roman"/>
          <w:color w:val="000000" w:themeColor="text1"/>
          <w:sz w:val="16"/>
          <w:szCs w:val="16"/>
        </w:rPr>
        <w:t xml:space="preserve"> живется, однако из переписки завода №39 известно, что какой-то И-5 с М-15 потерпел аварию и не восстанавливался (вероятно это был И-5 №18).</w:t>
      </w:r>
    </w:p>
    <w:p w14:paraId="68F158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смотря на аварию, основные выводы в отношении </w:t>
      </w:r>
      <w:proofErr w:type="spellStart"/>
      <w:r w:rsidRPr="007122AB">
        <w:rPr>
          <w:rFonts w:ascii="Times New Roman" w:hAnsi="Times New Roman"/>
          <w:color w:val="000000" w:themeColor="text1"/>
          <w:sz w:val="16"/>
          <w:szCs w:val="16"/>
        </w:rPr>
        <w:t>испытывавшегося</w:t>
      </w:r>
      <w:proofErr w:type="spellEnd"/>
      <w:r w:rsidRPr="007122AB">
        <w:rPr>
          <w:rFonts w:ascii="Times New Roman" w:hAnsi="Times New Roman"/>
          <w:color w:val="000000" w:themeColor="text1"/>
          <w:sz w:val="16"/>
          <w:szCs w:val="16"/>
        </w:rPr>
        <w:t xml:space="preserve"> самолета были, получены. В частности, указывалось, что се</w:t>
      </w:r>
      <w:r w:rsidRPr="007122AB">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7122AB">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7122AB">
        <w:rPr>
          <w:rFonts w:ascii="Times New Roman" w:hAnsi="Times New Roman"/>
          <w:color w:val="000000" w:themeColor="text1"/>
          <w:sz w:val="16"/>
          <w:szCs w:val="16"/>
        </w:rPr>
        <w:softHyphen/>
        <w:t>ность чуть ниже, чем у второго опытного эк</w:t>
      </w:r>
      <w:r w:rsidRPr="007122AB">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7122AB" w14:paraId="4A774B19" w14:textId="77777777">
        <w:tc>
          <w:tcPr>
            <w:tcW w:w="3736" w:type="dxa"/>
            <w:tcBorders>
              <w:top w:val="single" w:sz="12" w:space="0" w:color="auto"/>
            </w:tcBorders>
          </w:tcPr>
          <w:p w14:paraId="0DD7D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2D1FB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М-15</w:t>
            </w:r>
          </w:p>
        </w:tc>
        <w:tc>
          <w:tcPr>
            <w:tcW w:w="3736" w:type="dxa"/>
            <w:tcBorders>
              <w:top w:val="single" w:sz="12" w:space="0" w:color="auto"/>
            </w:tcBorders>
          </w:tcPr>
          <w:p w14:paraId="35604D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w:t>
            </w:r>
            <w:r w:rsidRPr="007122AB">
              <w:rPr>
                <w:rFonts w:ascii="Times New Roman" w:hAnsi="Times New Roman"/>
                <w:color w:val="000000" w:themeColor="text1"/>
                <w:sz w:val="16"/>
                <w:szCs w:val="16"/>
                <w:lang w:val="en-US"/>
              </w:rPr>
              <w:t>-VI</w:t>
            </w:r>
          </w:p>
        </w:tc>
      </w:tr>
      <w:tr w:rsidR="001002C3" w:rsidRPr="007122AB" w14:paraId="36F13477" w14:textId="77777777">
        <w:tc>
          <w:tcPr>
            <w:tcW w:w="3736" w:type="dxa"/>
          </w:tcPr>
          <w:p w14:paraId="5D88E4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1000 м (км/ч)</w:t>
            </w:r>
          </w:p>
        </w:tc>
        <w:tc>
          <w:tcPr>
            <w:tcW w:w="3736" w:type="dxa"/>
          </w:tcPr>
          <w:p w14:paraId="67A7B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3736" w:type="dxa"/>
          </w:tcPr>
          <w:p w14:paraId="27DF27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r>
      <w:tr w:rsidR="001002C3" w:rsidRPr="007122AB" w14:paraId="18D67F28" w14:textId="77777777">
        <w:tc>
          <w:tcPr>
            <w:tcW w:w="3736" w:type="dxa"/>
            <w:tcBorders>
              <w:bottom w:val="single" w:sz="12" w:space="0" w:color="auto"/>
            </w:tcBorders>
          </w:tcPr>
          <w:p w14:paraId="5E7682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03880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3736" w:type="dxa"/>
            <w:tcBorders>
              <w:bottom w:val="single" w:sz="12" w:space="0" w:color="auto"/>
            </w:tcBorders>
          </w:tcPr>
          <w:p w14:paraId="1486F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w:t>
            </w:r>
          </w:p>
        </w:tc>
      </w:tr>
    </w:tbl>
    <w:p w14:paraId="77D8E6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значительные усилия, потра</w:t>
      </w:r>
      <w:r w:rsidRPr="007122AB">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7122AB">
        <w:rPr>
          <w:rFonts w:ascii="Times New Roman" w:hAnsi="Times New Roman"/>
          <w:color w:val="000000" w:themeColor="text1"/>
          <w:sz w:val="16"/>
          <w:szCs w:val="16"/>
        </w:rPr>
        <w:softHyphen/>
        <w:t>должение работ по его внедрению. Было ре</w:t>
      </w:r>
      <w:r w:rsidRPr="007122AB">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7122AB">
        <w:rPr>
          <w:rFonts w:ascii="Times New Roman" w:hAnsi="Times New Roman"/>
          <w:color w:val="000000" w:themeColor="text1"/>
          <w:sz w:val="16"/>
          <w:szCs w:val="16"/>
        </w:rPr>
        <w:softHyphen/>
        <w:t xml:space="preserve">ября 1931 г.,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5716E0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BDE3CB"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период 6 мая - 15 июня 1931 года Далее последовал второй этап испытаний И-5 №3 с двигателем М-15. Од</w:t>
      </w:r>
      <w:r w:rsidRPr="007122AB">
        <w:rPr>
          <w:rFonts w:ascii="Times New Roman" w:hAnsi="Times New Roman"/>
          <w:color w:val="000000" w:themeColor="text1"/>
          <w:sz w:val="16"/>
          <w:szCs w:val="16"/>
        </w:rPr>
        <w:softHyphen/>
        <w:t>нако этот самолет по-прежнему не имел во</w:t>
      </w:r>
      <w:r w:rsidRPr="007122AB">
        <w:rPr>
          <w:rFonts w:ascii="Times New Roman" w:hAnsi="Times New Roman"/>
          <w:color w:val="000000" w:themeColor="text1"/>
          <w:sz w:val="16"/>
          <w:szCs w:val="16"/>
        </w:rPr>
        <w:softHyphen/>
        <w:t>оружения и обладал множеством отличий от серийных образцов с индивидуальными об</w:t>
      </w:r>
      <w:r w:rsidRPr="007122AB">
        <w:rPr>
          <w:rFonts w:ascii="Times New Roman" w:hAnsi="Times New Roman"/>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7122AB">
        <w:rPr>
          <w:rFonts w:ascii="Times New Roman" w:hAnsi="Times New Roman"/>
          <w:color w:val="000000" w:themeColor="text1"/>
          <w:sz w:val="16"/>
          <w:szCs w:val="16"/>
        </w:rPr>
        <w:softHyphen/>
        <w:t>вторял серийные машины завода №1. Фо</w:t>
      </w:r>
      <w:r w:rsidRPr="007122AB">
        <w:rPr>
          <w:rFonts w:ascii="Times New Roman" w:hAnsi="Times New Roman"/>
          <w:color w:val="000000" w:themeColor="text1"/>
          <w:sz w:val="16"/>
          <w:szCs w:val="16"/>
        </w:rPr>
        <w:softHyphen/>
        <w:t>тографий этого самолета видеть не прихо</w:t>
      </w:r>
      <w:r w:rsidRPr="007122AB">
        <w:rPr>
          <w:rFonts w:ascii="Times New Roman" w:hAnsi="Times New Roman"/>
          <w:color w:val="000000" w:themeColor="text1"/>
          <w:sz w:val="16"/>
          <w:szCs w:val="16"/>
        </w:rPr>
        <w:softHyphen/>
        <w:t>дилось, однако в ряде документов указыва</w:t>
      </w:r>
      <w:r w:rsidRPr="007122AB">
        <w:rPr>
          <w:rFonts w:ascii="Times New Roman" w:hAnsi="Times New Roman"/>
          <w:color w:val="000000" w:themeColor="text1"/>
          <w:sz w:val="16"/>
          <w:szCs w:val="16"/>
        </w:rPr>
        <w:softHyphen/>
        <w:t>лось, что «данный экземпляр отличается из</w:t>
      </w:r>
      <w:r w:rsidRPr="007122AB">
        <w:rPr>
          <w:rFonts w:ascii="Times New Roman" w:hAnsi="Times New Roman"/>
          <w:color w:val="000000" w:themeColor="text1"/>
          <w:sz w:val="16"/>
          <w:szCs w:val="16"/>
        </w:rPr>
        <w:softHyphen/>
        <w:t xml:space="preserve">мененной головной частью». Возможно, на этом И-5 впервые использовали кольцо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Другим отличием этого образца, из</w:t>
      </w:r>
      <w:r w:rsidRPr="007122AB">
        <w:rPr>
          <w:rFonts w:ascii="Times New Roman" w:hAnsi="Times New Roman"/>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7122AB">
        <w:rPr>
          <w:rFonts w:ascii="Times New Roman" w:hAnsi="Times New Roman"/>
          <w:color w:val="000000" w:themeColor="text1"/>
          <w:sz w:val="16"/>
          <w:szCs w:val="16"/>
        </w:rPr>
        <w:softHyphen/>
        <w:t xml:space="preserve">тания в НИИ ВВС И-5 № 18 с двигателем М-15 №6 начались 30 июля и были прерваны 15 августа 1931 года по причине поломки </w:t>
      </w:r>
      <w:proofErr w:type="spellStart"/>
      <w:r w:rsidRPr="007122AB">
        <w:rPr>
          <w:rFonts w:ascii="Times New Roman" w:hAnsi="Times New Roman"/>
          <w:color w:val="000000" w:themeColor="text1"/>
          <w:sz w:val="16"/>
          <w:szCs w:val="16"/>
        </w:rPr>
        <w:t>мо</w:t>
      </w:r>
      <w:r w:rsidRPr="007122AB">
        <w:rPr>
          <w:rFonts w:ascii="Times New Roman" w:hAnsi="Times New Roman"/>
          <w:color w:val="000000" w:themeColor="text1"/>
          <w:sz w:val="16"/>
          <w:szCs w:val="16"/>
        </w:rPr>
        <w:softHyphen/>
        <w:t>торамы</w:t>
      </w:r>
      <w:proofErr w:type="spellEnd"/>
      <w:r w:rsidRPr="007122AB">
        <w:rPr>
          <w:rFonts w:ascii="Times New Roman" w:hAnsi="Times New Roman"/>
          <w:color w:val="000000" w:themeColor="text1"/>
          <w:sz w:val="16"/>
          <w:szCs w:val="16"/>
        </w:rPr>
        <w:t>. После ремонта самолет предъявили к тестированию с новым двигателем - М-15 №24109. Полеты начались 10 октября, а че</w:t>
      </w:r>
      <w:r w:rsidRPr="007122AB">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7122AB">
        <w:rPr>
          <w:rFonts w:ascii="Times New Roman" w:hAnsi="Times New Roman"/>
          <w:color w:val="000000" w:themeColor="text1"/>
          <w:sz w:val="16"/>
          <w:szCs w:val="16"/>
        </w:rPr>
        <w:softHyphen/>
        <w:t>ки. Дальнейшая судьба машины не просле</w:t>
      </w:r>
      <w:r w:rsidRPr="007122AB">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46D8A43C" w14:textId="77777777" w:rsidR="00E454FF" w:rsidRPr="007122AB" w:rsidRDefault="00E454FF" w:rsidP="007122AB">
      <w:pPr>
        <w:spacing w:after="0" w:line="240" w:lineRule="auto"/>
        <w:jc w:val="both"/>
        <w:rPr>
          <w:rFonts w:ascii="Times New Roman" w:hAnsi="Times New Roman"/>
          <w:color w:val="000000" w:themeColor="text1"/>
          <w:sz w:val="16"/>
          <w:szCs w:val="16"/>
        </w:rPr>
      </w:pPr>
    </w:p>
    <w:p w14:paraId="00216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мая 1931 осуществлен первый в СССР испытательный спуск человека (</w:t>
      </w:r>
      <w:proofErr w:type="spellStart"/>
      <w:r w:rsidRPr="007122AB">
        <w:rPr>
          <w:rFonts w:ascii="Times New Roman" w:hAnsi="Times New Roman"/>
          <w:color w:val="000000" w:themeColor="text1"/>
          <w:sz w:val="16"/>
          <w:szCs w:val="16"/>
        </w:rPr>
        <w:t>Л.Г.Минов</w:t>
      </w:r>
      <w:proofErr w:type="spellEnd"/>
      <w:r w:rsidRPr="007122AB">
        <w:rPr>
          <w:rFonts w:ascii="Times New Roman" w:hAnsi="Times New Roman"/>
          <w:color w:val="000000" w:themeColor="text1"/>
          <w:sz w:val="16"/>
          <w:szCs w:val="16"/>
        </w:rPr>
        <w:t>) на парашюте в море (237,161).</w:t>
      </w:r>
    </w:p>
    <w:p w14:paraId="1BC0EE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3FD8BB" w14:textId="77777777" w:rsidR="001D074B" w:rsidRPr="009F5089" w:rsidRDefault="001D074B" w:rsidP="001D074B">
      <w:pPr>
        <w:spacing w:after="0" w:line="240" w:lineRule="auto"/>
        <w:jc w:val="both"/>
        <w:rPr>
          <w:rFonts w:ascii="Times New Roman" w:hAnsi="Times New Roman"/>
          <w:color w:val="0070C0"/>
          <w:sz w:val="16"/>
          <w:szCs w:val="16"/>
        </w:rPr>
      </w:pPr>
      <w:r>
        <w:rPr>
          <w:rFonts w:ascii="Times New Roman" w:hAnsi="Times New Roman"/>
          <w:color w:val="0070C0"/>
          <w:sz w:val="16"/>
          <w:szCs w:val="16"/>
        </w:rPr>
        <w:t>6 мая 1931 г</w:t>
      </w:r>
      <w:r w:rsidRPr="009F5089">
        <w:rPr>
          <w:rFonts w:ascii="Times New Roman" w:hAnsi="Times New Roman"/>
          <w:color w:val="0070C0"/>
          <w:sz w:val="16"/>
          <w:szCs w:val="16"/>
        </w:rPr>
        <w:t xml:space="preserve">. </w:t>
      </w:r>
      <w:r>
        <w:rPr>
          <w:rFonts w:ascii="Times New Roman" w:hAnsi="Times New Roman"/>
          <w:color w:val="0070C0"/>
          <w:sz w:val="16"/>
          <w:szCs w:val="16"/>
        </w:rPr>
        <w:t>л</w:t>
      </w:r>
      <w:r w:rsidRPr="009F5089">
        <w:rPr>
          <w:rFonts w:ascii="Times New Roman" w:hAnsi="Times New Roman"/>
          <w:color w:val="0070C0"/>
          <w:sz w:val="16"/>
          <w:szCs w:val="16"/>
        </w:rPr>
        <w:t xml:space="preserve">етчик-парашютист </w:t>
      </w:r>
      <w:proofErr w:type="spellStart"/>
      <w:r w:rsidRPr="009F5089">
        <w:rPr>
          <w:rFonts w:ascii="Times New Roman" w:hAnsi="Times New Roman"/>
          <w:color w:val="0070C0"/>
          <w:sz w:val="16"/>
          <w:szCs w:val="16"/>
        </w:rPr>
        <w:t>Л.Г.Минов</w:t>
      </w:r>
      <w:proofErr w:type="spellEnd"/>
      <w:r w:rsidRPr="009F5089">
        <w:rPr>
          <w:rFonts w:ascii="Times New Roman" w:hAnsi="Times New Roman"/>
          <w:color w:val="0070C0"/>
          <w:sz w:val="16"/>
          <w:szCs w:val="16"/>
        </w:rPr>
        <w:t xml:space="preserve"> совершил первый в СССР спуск </w:t>
      </w:r>
      <w:r>
        <w:rPr>
          <w:rFonts w:ascii="Times New Roman" w:hAnsi="Times New Roman"/>
          <w:color w:val="0070C0"/>
          <w:sz w:val="16"/>
          <w:szCs w:val="16"/>
        </w:rPr>
        <w:t xml:space="preserve">на </w:t>
      </w:r>
      <w:r w:rsidRPr="009F5089">
        <w:rPr>
          <w:rFonts w:ascii="Times New Roman" w:hAnsi="Times New Roman"/>
          <w:color w:val="0070C0"/>
          <w:sz w:val="16"/>
          <w:szCs w:val="16"/>
        </w:rPr>
        <w:t xml:space="preserve">парашюте в море /Одесса/ </w:t>
      </w:r>
      <w:r>
        <w:rPr>
          <w:rFonts w:ascii="Times New Roman" w:hAnsi="Times New Roman"/>
          <w:color w:val="0070C0"/>
          <w:sz w:val="16"/>
          <w:szCs w:val="16"/>
        </w:rPr>
        <w:t>с</w:t>
      </w:r>
      <w:r w:rsidRPr="009F5089">
        <w:rPr>
          <w:rFonts w:ascii="Times New Roman" w:hAnsi="Times New Roman"/>
          <w:color w:val="0070C0"/>
          <w:sz w:val="16"/>
          <w:szCs w:val="16"/>
        </w:rPr>
        <w:t xml:space="preserve"> целью изучения способа приводнения</w:t>
      </w:r>
      <w:r>
        <w:rPr>
          <w:rFonts w:ascii="Times New Roman" w:hAnsi="Times New Roman"/>
          <w:color w:val="0070C0"/>
          <w:sz w:val="16"/>
          <w:szCs w:val="16"/>
        </w:rPr>
        <w:t xml:space="preserve"> с парашютом и </w:t>
      </w:r>
      <w:r w:rsidRPr="009F5089">
        <w:rPr>
          <w:rFonts w:ascii="Times New Roman" w:hAnsi="Times New Roman"/>
          <w:color w:val="0070C0"/>
          <w:sz w:val="16"/>
          <w:szCs w:val="16"/>
        </w:rPr>
        <w:t>освобождения от него.</w:t>
      </w:r>
      <w:r>
        <w:rPr>
          <w:rFonts w:ascii="Times New Roman" w:hAnsi="Times New Roman"/>
          <w:color w:val="0070C0"/>
          <w:sz w:val="16"/>
          <w:szCs w:val="16"/>
        </w:rPr>
        <w:t xml:space="preserve"> </w:t>
      </w:r>
      <w:r w:rsidRPr="009F5089">
        <w:rPr>
          <w:rFonts w:ascii="Times New Roman" w:hAnsi="Times New Roman"/>
          <w:color w:val="0070C0"/>
          <w:sz w:val="16"/>
          <w:szCs w:val="16"/>
        </w:rPr>
        <w:t>Опыт приводнения показал при</w:t>
      </w:r>
      <w:r>
        <w:rPr>
          <w:rFonts w:ascii="Times New Roman" w:hAnsi="Times New Roman"/>
          <w:color w:val="0070C0"/>
          <w:sz w:val="16"/>
          <w:szCs w:val="16"/>
        </w:rPr>
        <w:t>годность</w:t>
      </w:r>
    </w:p>
    <w:p w14:paraId="3C6A4B43" w14:textId="77777777" w:rsidR="001D074B" w:rsidRPr="009F5089" w:rsidRDefault="001D074B" w:rsidP="001D074B">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 xml:space="preserve"> парашюта в случае вынужденного спуска на воду и был </w:t>
      </w:r>
      <w:r>
        <w:rPr>
          <w:rFonts w:ascii="Times New Roman" w:hAnsi="Times New Roman"/>
          <w:color w:val="0070C0"/>
          <w:sz w:val="16"/>
          <w:szCs w:val="16"/>
        </w:rPr>
        <w:t xml:space="preserve">использован </w:t>
      </w:r>
      <w:r w:rsidRPr="009F5089">
        <w:rPr>
          <w:rFonts w:ascii="Times New Roman" w:hAnsi="Times New Roman"/>
          <w:color w:val="0070C0"/>
          <w:sz w:val="16"/>
          <w:szCs w:val="16"/>
        </w:rPr>
        <w:t>при разработке методики парашютных прыжков на воду.</w:t>
      </w:r>
    </w:p>
    <w:p w14:paraId="54D60E33" w14:textId="77777777" w:rsidR="001D074B" w:rsidRDefault="001D074B" w:rsidP="001D074B">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/«Само лет</w:t>
      </w:r>
      <w:r>
        <w:rPr>
          <w:rFonts w:ascii="Times New Roman" w:hAnsi="Times New Roman"/>
          <w:color w:val="0070C0"/>
          <w:sz w:val="16"/>
          <w:szCs w:val="16"/>
        </w:rPr>
        <w:t>»</w:t>
      </w:r>
      <w:r w:rsidRPr="009F5089">
        <w:rPr>
          <w:rFonts w:ascii="Times New Roman" w:hAnsi="Times New Roman"/>
          <w:color w:val="0070C0"/>
          <w:sz w:val="16"/>
          <w:szCs w:val="16"/>
        </w:rPr>
        <w:t>, 1934 № 7,</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статья </w:t>
      </w:r>
      <w:proofErr w:type="spellStart"/>
      <w:r w:rsidRPr="009F5089">
        <w:rPr>
          <w:rFonts w:ascii="Times New Roman" w:hAnsi="Times New Roman"/>
          <w:color w:val="0070C0"/>
          <w:sz w:val="16"/>
          <w:szCs w:val="16"/>
        </w:rPr>
        <w:t>Л.Г.</w:t>
      </w:r>
      <w:r>
        <w:rPr>
          <w:rFonts w:ascii="Times New Roman" w:hAnsi="Times New Roman"/>
          <w:color w:val="0070C0"/>
          <w:sz w:val="16"/>
          <w:szCs w:val="16"/>
        </w:rPr>
        <w:t>М</w:t>
      </w:r>
      <w:r w:rsidRPr="009F5089">
        <w:rPr>
          <w:rFonts w:ascii="Times New Roman" w:hAnsi="Times New Roman"/>
          <w:color w:val="0070C0"/>
          <w:sz w:val="16"/>
          <w:szCs w:val="16"/>
        </w:rPr>
        <w:t>инова</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32EB9198" w14:textId="77777777" w:rsidR="001D074B" w:rsidRPr="009F5089" w:rsidRDefault="001D074B" w:rsidP="001D074B">
      <w:pPr>
        <w:spacing w:after="0" w:line="240" w:lineRule="auto"/>
        <w:jc w:val="both"/>
        <w:rPr>
          <w:rFonts w:ascii="Times New Roman" w:hAnsi="Times New Roman"/>
          <w:color w:val="0070C0"/>
          <w:sz w:val="16"/>
          <w:szCs w:val="16"/>
        </w:rPr>
      </w:pPr>
    </w:p>
    <w:p w14:paraId="537E48A2" w14:textId="77777777" w:rsidR="00E454F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EB5429F" w14:textId="77777777" w:rsidR="00E454FF" w:rsidRPr="007122AB" w:rsidRDefault="00E454F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C9AA72"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6 мая 1931 </w:t>
      </w:r>
      <w:r w:rsidRPr="007122AB">
        <w:rPr>
          <w:rFonts w:ascii="Times New Roman" w:hAnsi="Times New Roman"/>
          <w:color w:val="000000" w:themeColor="text1"/>
          <w:sz w:val="16"/>
          <w:szCs w:val="16"/>
        </w:rPr>
        <w:t>Политбюро ЦК ВКП (б) одобрило проект приказа ВСНХ о мерах по упорядочению производства на Сталинградском тракторном заводе; приняло постановление о снабжении Москвы и Ленинграда топливом на 1931 г (12265).</w:t>
      </w:r>
    </w:p>
    <w:p w14:paraId="259CCBB4"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B3F8EA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04FB95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8511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мая 1931 был возобновлен советско-литовский договор о ненападении (3908,335), заключенного 28 сент. 1926 на 5 лет.</w:t>
      </w:r>
    </w:p>
    <w:p w14:paraId="64FB250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C80C28" w14:textId="77777777" w:rsidR="00B03615" w:rsidRPr="007122AB" w:rsidRDefault="00B036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мая 1931 возобновление советско-литовского договора о ненападении, заключенного 28 сентября 1926 года на 5 лет (12629).</w:t>
      </w:r>
    </w:p>
    <w:p w14:paraId="42871E1E" w14:textId="77777777" w:rsidR="00B03615" w:rsidRPr="007122AB" w:rsidRDefault="00B0361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9B389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1D6F4E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7F6D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мая 1931 года Комиссия Обороны СССР проанализировала ситуацию вокруг ГХПЗ и рассмотрела вопрос о возможном производстве на заводе танков БТ ("Кристи") (10278).</w:t>
      </w:r>
    </w:p>
    <w:p w14:paraId="498E6C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EB9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мая 1931 года Комиссия Обороны СССР проанализировала ситуацию вокруг ГХПЗ и рассмотрела вопрос о возможном производстве на заводе танков БТ ("Кристи"). По приказу Народного комиссара военных и морских дел 17 мая 1931 года начальником УММ РККА был утвержденный план организации серийного производства танков БТ на ГХПЗ. Этот план стал основанием для Приказа ВСНХ СССР № 37 от 21 мая 1931 года об обеспечении организации производства танков БТ на ГХПЗ и создание специального конструкторского бюро БТ на базе конструкторского бюро Т2К (10710).</w:t>
      </w:r>
    </w:p>
    <w:p w14:paraId="23DC67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812C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B83423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9015DF"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7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82сс о перевозке грузов по железным дорогам в военное время (ГА РФ. Ф. Р?8418. Оп. 28, Д. 1а. Л. 19?23) (12415).</w:t>
      </w:r>
    </w:p>
    <w:p w14:paraId="03A3AFFB"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СТО СССР № 93сс о выделении строительных материалов для укрепрайонов, казарм, строительства ОГПУ (ГА РФ, Ф. Р?8418. Оп. 28. Д. 1а. Л. 24?29) (12415).</w:t>
      </w:r>
    </w:p>
    <w:p w14:paraId="39A2EADA"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p>
    <w:p w14:paraId="3A188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мая 1931 г. Приказом ВСНХ СССР в составе объединения «</w:t>
      </w:r>
      <w:proofErr w:type="spellStart"/>
      <w:r w:rsidRPr="007122AB">
        <w:rPr>
          <w:rFonts w:ascii="Times New Roman" w:hAnsi="Times New Roman"/>
          <w:color w:val="000000" w:themeColor="text1"/>
          <w:sz w:val="16"/>
          <w:szCs w:val="16"/>
        </w:rPr>
        <w:t>Союзнефть</w:t>
      </w:r>
      <w:proofErr w:type="spellEnd"/>
      <w:r w:rsidRPr="007122AB">
        <w:rPr>
          <w:rFonts w:ascii="Times New Roman" w:hAnsi="Times New Roman"/>
          <w:color w:val="000000" w:themeColor="text1"/>
          <w:sz w:val="16"/>
          <w:szCs w:val="16"/>
        </w:rPr>
        <w:t>» был образован трест нефтяного бурового и эксплуатационного оборудования «</w:t>
      </w:r>
      <w:proofErr w:type="spellStart"/>
      <w:r w:rsidRPr="007122AB">
        <w:rPr>
          <w:rFonts w:ascii="Times New Roman" w:hAnsi="Times New Roman"/>
          <w:color w:val="000000" w:themeColor="text1"/>
          <w:sz w:val="16"/>
          <w:szCs w:val="16"/>
        </w:rPr>
        <w:t>Нефтемаштрест</w:t>
      </w:r>
      <w:proofErr w:type="spellEnd"/>
      <w:r w:rsidRPr="007122AB">
        <w:rPr>
          <w:rFonts w:ascii="Times New Roman" w:hAnsi="Times New Roman"/>
          <w:color w:val="000000" w:themeColor="text1"/>
          <w:sz w:val="16"/>
          <w:szCs w:val="16"/>
        </w:rPr>
        <w:t>». Еще одним трестом стал «Трест по разведкам и бурению» (11522).</w:t>
      </w:r>
    </w:p>
    <w:p w14:paraId="5B4BC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50385D" w14:textId="77777777" w:rsidR="00A24023" w:rsidRDefault="00A24023"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7133F53A" w14:textId="77777777" w:rsidR="00A24023" w:rsidRPr="007122AB" w:rsidRDefault="00A24023" w:rsidP="00A24023">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1539739" w14:textId="77777777" w:rsidR="00A24023" w:rsidRPr="007122AB" w:rsidRDefault="00A24023" w:rsidP="00A24023">
      <w:pPr>
        <w:autoSpaceDE w:val="0"/>
        <w:autoSpaceDN w:val="0"/>
        <w:adjustRightInd w:val="0"/>
        <w:spacing w:after="0" w:line="240" w:lineRule="auto"/>
        <w:jc w:val="both"/>
        <w:rPr>
          <w:rFonts w:ascii="Times New Roman" w:hAnsi="Times New Roman"/>
          <w:iCs/>
          <w:color w:val="000000" w:themeColor="text1"/>
          <w:sz w:val="16"/>
          <w:szCs w:val="16"/>
        </w:rPr>
      </w:pPr>
    </w:p>
    <w:p w14:paraId="5C8F35A1" w14:textId="6BE48E11"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первых числах мая 1931 г. </w:t>
      </w:r>
      <w:r>
        <w:rPr>
          <w:rFonts w:ascii="Times New Roman" w:hAnsi="Times New Roman"/>
          <w:color w:val="0070C0"/>
          <w:sz w:val="16"/>
          <w:szCs w:val="16"/>
        </w:rPr>
        <w:t>в Персии с</w:t>
      </w:r>
      <w:r w:rsidRPr="00441F34">
        <w:rPr>
          <w:rFonts w:ascii="Times New Roman" w:hAnsi="Times New Roman"/>
          <w:color w:val="0070C0"/>
          <w:sz w:val="16"/>
          <w:szCs w:val="16"/>
        </w:rPr>
        <w:t xml:space="preserve">остоялся второй этап персидского конкурса на самолет-разведчик.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w:t>
      </w:r>
      <w:proofErr w:type="spellStart"/>
      <w:r w:rsidRPr="00441F34">
        <w:rPr>
          <w:rFonts w:ascii="Times New Roman" w:hAnsi="Times New Roman"/>
          <w:color w:val="0070C0"/>
          <w:sz w:val="16"/>
          <w:szCs w:val="16"/>
        </w:rPr>
        <w:t>Макуи</w:t>
      </w:r>
      <w:proofErr w:type="spellEnd"/>
      <w:r w:rsidRPr="00441F34">
        <w:rPr>
          <w:rFonts w:ascii="Times New Roman" w:hAnsi="Times New Roman"/>
          <w:color w:val="0070C0"/>
          <w:sz w:val="16"/>
          <w:szCs w:val="16"/>
        </w:rPr>
        <w:t>,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(24334).</w:t>
      </w:r>
    </w:p>
    <w:p w14:paraId="7D09466A" w14:textId="77777777" w:rsidR="00A24023" w:rsidRPr="00441F34" w:rsidRDefault="00A24023" w:rsidP="00A24023">
      <w:pPr>
        <w:spacing w:after="0" w:line="240" w:lineRule="auto"/>
        <w:jc w:val="both"/>
        <w:rPr>
          <w:rFonts w:ascii="Times New Roman" w:hAnsi="Times New Roman"/>
          <w:color w:val="0070C0"/>
          <w:sz w:val="16"/>
          <w:szCs w:val="16"/>
        </w:rPr>
      </w:pPr>
    </w:p>
    <w:p w14:paraId="0520C95F" w14:textId="1973033F"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5D9EE1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8FEB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мая 1931 в Италии издан закон, по которому в военное время все подданные обязаны участвовать в национальной обороне (4963 ).</w:t>
      </w:r>
    </w:p>
    <w:p w14:paraId="4049A2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EED9E3" w14:textId="77777777" w:rsidR="007E669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D29B64D" w14:textId="77777777" w:rsidR="007E669C" w:rsidRPr="007122AB" w:rsidRDefault="007E669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4383D6" w14:textId="77777777" w:rsidR="00E454FF" w:rsidRPr="007122AB" w:rsidRDefault="00E454FF" w:rsidP="007122AB">
      <w:pPr>
        <w:pStyle w:val="rtejustify"/>
        <w:spacing w:before="0" w:after="0"/>
        <w:rPr>
          <w:color w:val="000000" w:themeColor="text1"/>
          <w:sz w:val="16"/>
          <w:szCs w:val="16"/>
        </w:rPr>
      </w:pPr>
      <w:r w:rsidRPr="007122AB">
        <w:rPr>
          <w:rStyle w:val="af0"/>
          <w:i w:val="0"/>
          <w:color w:val="000000" w:themeColor="text1"/>
          <w:sz w:val="16"/>
          <w:szCs w:val="16"/>
        </w:rPr>
        <w:t>8 мая 1931 г. Протокол Реввоенсовета № 16.</w:t>
      </w:r>
      <w:r w:rsidRPr="007122AB">
        <w:rPr>
          <w:color w:val="000000" w:themeColor="text1"/>
          <w:sz w:val="16"/>
          <w:szCs w:val="16"/>
        </w:rPr>
        <w:t xml:space="preserve"> 1. О танковой программе 1931 года (Ворошилов). 6. Накопление запасов авиабомб (</w:t>
      </w:r>
      <w:proofErr w:type="spellStart"/>
      <w:r w:rsidRPr="007122AB">
        <w:rPr>
          <w:color w:val="000000" w:themeColor="text1"/>
          <w:sz w:val="16"/>
          <w:szCs w:val="16"/>
        </w:rPr>
        <w:t>Триандафилов</w:t>
      </w:r>
      <w:proofErr w:type="spellEnd"/>
      <w:r w:rsidRPr="007122AB">
        <w:rPr>
          <w:color w:val="000000" w:themeColor="text1"/>
          <w:sz w:val="16"/>
          <w:szCs w:val="16"/>
        </w:rPr>
        <w:t>). 13. Об автоматической винтовке (Уборевич). 14. О 100</w:t>
      </w:r>
      <w:r w:rsidRPr="007122AB">
        <w:rPr>
          <w:color w:val="000000" w:themeColor="text1"/>
          <w:sz w:val="16"/>
          <w:szCs w:val="16"/>
        </w:rPr>
        <w:noBreakHyphen/>
        <w:t>мм зенитной пушке. (Леонов). (РГВА. Ф. 4. Оп. 18. Д. 20. Л. 254, 255, 256) (12342).</w:t>
      </w:r>
    </w:p>
    <w:p w14:paraId="4D2576BE" w14:textId="77777777" w:rsidR="00E454FF" w:rsidRPr="007122AB" w:rsidRDefault="00E454FF" w:rsidP="007122AB">
      <w:pPr>
        <w:pStyle w:val="rtejustify"/>
        <w:spacing w:before="0" w:after="0"/>
        <w:rPr>
          <w:color w:val="000000" w:themeColor="text1"/>
          <w:sz w:val="16"/>
          <w:szCs w:val="16"/>
        </w:rPr>
      </w:pPr>
    </w:p>
    <w:p w14:paraId="3149343C" w14:textId="77777777" w:rsidR="007E669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065BA23" w14:textId="77777777" w:rsidR="007E669C" w:rsidRPr="007122AB" w:rsidRDefault="007E669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A2B079" w14:textId="77777777" w:rsidR="007E669C" w:rsidRPr="007122AB" w:rsidRDefault="007E669C"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30"/>
          <w:rFonts w:ascii="Times New Roman" w:eastAsia="Arial Unicode MS" w:hAnsi="Times New Roman" w:cs="Times New Roman"/>
          <w:i w:val="0"/>
          <w:iCs w:val="0"/>
          <w:color w:val="000000" w:themeColor="text1"/>
          <w:sz w:val="16"/>
          <w:szCs w:val="16"/>
        </w:rPr>
        <w:lastRenderedPageBreak/>
        <w:t>8 мая 1931 г. в протоколе совещания в Реввоенсовете об изменении танковой программы от по вопросу о среднем тан</w:t>
      </w:r>
      <w:r w:rsidRPr="007122AB">
        <w:rPr>
          <w:rStyle w:val="1030"/>
          <w:rFonts w:ascii="Times New Roman" w:eastAsia="Arial Unicode MS" w:hAnsi="Times New Roman" w:cs="Times New Roman"/>
          <w:i w:val="0"/>
          <w:iCs w:val="0"/>
          <w:color w:val="000000" w:themeColor="text1"/>
          <w:sz w:val="16"/>
          <w:szCs w:val="16"/>
        </w:rPr>
        <w:softHyphen/>
        <w:t>ке указывалось:</w:t>
      </w:r>
      <w:r w:rsidRPr="007122AB">
        <w:rPr>
          <w:rFonts w:ascii="Times New Roman" w:hAnsi="Times New Roman" w:cs="Times New Roman"/>
          <w:i w:val="0"/>
          <w:color w:val="000000" w:themeColor="text1"/>
          <w:sz w:val="16"/>
          <w:szCs w:val="16"/>
        </w:rPr>
        <w:t xml:space="preserve"> «Средний 12-тонный танк Виккерса, приобретенный нами, предназначенный, очевидно, специально для колониальных войск (слабое бронирование и вооружение), по своим боевым качествам не подходит к нашей системе танкового вооружения».</w:t>
      </w:r>
      <w:r w:rsidRPr="007122AB">
        <w:rPr>
          <w:rStyle w:val="1030"/>
          <w:rFonts w:ascii="Times New Roman" w:eastAsia="Arial Unicode MS" w:hAnsi="Times New Roman" w:cs="Times New Roman"/>
          <w:i w:val="0"/>
          <w:iCs w:val="0"/>
          <w:color w:val="000000" w:themeColor="text1"/>
          <w:sz w:val="16"/>
          <w:szCs w:val="16"/>
        </w:rPr>
        <w:t xml:space="preserve"> Далее предлагалось</w:t>
      </w:r>
      <w:r w:rsidRPr="007122AB">
        <w:rPr>
          <w:rFonts w:ascii="Times New Roman" w:hAnsi="Times New Roman" w:cs="Times New Roman"/>
          <w:i w:val="0"/>
          <w:color w:val="000000" w:themeColor="text1"/>
          <w:sz w:val="16"/>
          <w:szCs w:val="16"/>
        </w:rPr>
        <w:t xml:space="preserve"> «просить пра</w:t>
      </w:r>
      <w:r w:rsidRPr="007122AB">
        <w:rPr>
          <w:rFonts w:ascii="Times New Roman" w:hAnsi="Times New Roman" w:cs="Times New Roman"/>
          <w:i w:val="0"/>
          <w:color w:val="000000" w:themeColor="text1"/>
          <w:sz w:val="16"/>
          <w:szCs w:val="16"/>
        </w:rPr>
        <w:softHyphen/>
        <w:t>вительство разрешить приобрести новый 16-тонный средний танк Виккер</w:t>
      </w:r>
      <w:r w:rsidRPr="007122AB">
        <w:rPr>
          <w:rFonts w:ascii="Times New Roman" w:hAnsi="Times New Roman" w:cs="Times New Roman"/>
          <w:i w:val="0"/>
          <w:color w:val="000000" w:themeColor="text1"/>
          <w:sz w:val="16"/>
          <w:szCs w:val="16"/>
        </w:rPr>
        <w:softHyphen/>
        <w:t>са, о котором только теперь наметало известно, приближающийся по бро</w:t>
      </w:r>
      <w:r w:rsidRPr="007122AB">
        <w:rPr>
          <w:rFonts w:ascii="Times New Roman" w:hAnsi="Times New Roman" w:cs="Times New Roman"/>
          <w:i w:val="0"/>
          <w:color w:val="000000" w:themeColor="text1"/>
          <w:sz w:val="16"/>
          <w:szCs w:val="16"/>
        </w:rPr>
        <w:softHyphen/>
        <w:t xml:space="preserve">не, </w:t>
      </w:r>
      <w:proofErr w:type="spellStart"/>
      <w:r w:rsidRPr="007122AB">
        <w:rPr>
          <w:rFonts w:ascii="Times New Roman" w:hAnsi="Times New Roman" w:cs="Times New Roman"/>
          <w:i w:val="0"/>
          <w:color w:val="000000" w:themeColor="text1"/>
          <w:sz w:val="16"/>
          <w:szCs w:val="16"/>
        </w:rPr>
        <w:t>скороходности</w:t>
      </w:r>
      <w:proofErr w:type="spellEnd"/>
      <w:r w:rsidRPr="007122AB">
        <w:rPr>
          <w:rFonts w:ascii="Times New Roman" w:hAnsi="Times New Roman" w:cs="Times New Roman"/>
          <w:i w:val="0"/>
          <w:color w:val="000000" w:themeColor="text1"/>
          <w:sz w:val="16"/>
          <w:szCs w:val="16"/>
        </w:rPr>
        <w:t xml:space="preserve"> и вооружению к нашим требованиям» (15744).</w:t>
      </w:r>
    </w:p>
    <w:p w14:paraId="3158F10B" w14:textId="77777777" w:rsidR="007E669C" w:rsidRPr="007122AB" w:rsidRDefault="007E669C" w:rsidP="007122AB">
      <w:pPr>
        <w:pStyle w:val="1010"/>
        <w:shd w:val="clear" w:color="auto" w:fill="auto"/>
        <w:spacing w:line="240" w:lineRule="auto"/>
        <w:ind w:firstLine="0"/>
        <w:rPr>
          <w:rFonts w:ascii="Times New Roman" w:hAnsi="Times New Roman" w:cs="Times New Roman"/>
          <w:i w:val="0"/>
          <w:color w:val="000000" w:themeColor="text1"/>
          <w:sz w:val="16"/>
          <w:szCs w:val="16"/>
        </w:rPr>
      </w:pPr>
    </w:p>
    <w:p w14:paraId="3C23F9BB" w14:textId="77777777" w:rsidR="007503C7" w:rsidRPr="007122AB" w:rsidRDefault="007503C7" w:rsidP="007122AB">
      <w:pPr>
        <w:pStyle w:val="ae"/>
        <w:shd w:val="clear" w:color="auto" w:fill="FFFFFF"/>
        <w:spacing w:before="0" w:after="0"/>
        <w:jc w:val="both"/>
        <w:rPr>
          <w:color w:val="000000" w:themeColor="text1"/>
          <w:sz w:val="16"/>
          <w:szCs w:val="16"/>
        </w:rPr>
      </w:pPr>
      <w:r w:rsidRPr="007122AB">
        <w:rPr>
          <w:color w:val="000000" w:themeColor="text1"/>
          <w:sz w:val="16"/>
          <w:szCs w:val="16"/>
        </w:rPr>
        <w:t>8 мая 1931 года состоялось заседание Реввоенсовета СССР, посвящённое изменениям в танковой программе. На нём было принято решение оставить за Мотовилихинским заводом доделку 10 танков и более танковых заказов ему не давать. На Мотовилихинском машиностроительном заводе было построено 12 танков третьей серии и 15 танков четвёртой серии. То, что нормальных темпов танкового производства здесь достичь не удастся, стало ясно весной 1931 года.</w:t>
      </w:r>
    </w:p>
    <w:p w14:paraId="4B304064" w14:textId="77777777" w:rsidR="007503C7" w:rsidRPr="007122AB" w:rsidRDefault="007503C7"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 общей сложности оба завода построили, включая опытный Т-16, 961 танк. Не без проблем, но советская танковая промышленность смогла сделать даже не шаг, а прыжок. Такого количества танков в этот период не строила ни одна страна мира. СССР вошёл в число ведущих танкостроительных держав (17724).</w:t>
      </w:r>
    </w:p>
    <w:p w14:paraId="152324C8" w14:textId="77777777" w:rsidR="007503C7" w:rsidRPr="007122AB" w:rsidRDefault="007503C7" w:rsidP="007122AB">
      <w:pPr>
        <w:spacing w:after="0" w:line="240" w:lineRule="auto"/>
        <w:jc w:val="both"/>
        <w:rPr>
          <w:rFonts w:ascii="Times New Roman" w:eastAsia="Times New Roman" w:hAnsi="Times New Roman"/>
          <w:color w:val="000000" w:themeColor="text1"/>
          <w:sz w:val="16"/>
          <w:szCs w:val="16"/>
          <w:lang w:eastAsia="ru-RU"/>
        </w:rPr>
      </w:pPr>
    </w:p>
    <w:p w14:paraId="0046C814"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мая 1931 г. — Протокол совещания в Реввоенсовете СССР об изменениях в танковой программе 1931 г.</w:t>
      </w:r>
    </w:p>
    <w:p w14:paraId="36765C5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75C059FA"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Присутствовали: т. </w:t>
      </w:r>
      <w:hyperlink r:id="rId87" w:history="1">
        <w:r w:rsidRPr="007122AB">
          <w:rPr>
            <w:rStyle w:val="a5"/>
            <w:rFonts w:ascii="Times New Roman" w:hAnsi="Times New Roman"/>
            <w:color w:val="000000" w:themeColor="text1"/>
            <w:sz w:val="16"/>
            <w:szCs w:val="16"/>
            <w:u w:val="none"/>
          </w:rPr>
          <w:t>Ворошилов</w:t>
        </w:r>
      </w:hyperlink>
      <w:r w:rsidRPr="007122AB">
        <w:rPr>
          <w:rFonts w:ascii="Times New Roman" w:hAnsi="Times New Roman"/>
          <w:color w:val="000000" w:themeColor="text1"/>
          <w:sz w:val="16"/>
          <w:szCs w:val="16"/>
        </w:rPr>
        <w:t xml:space="preserve">, </w:t>
      </w:r>
      <w:hyperlink r:id="rId88" w:history="1">
        <w:r w:rsidRPr="007122AB">
          <w:rPr>
            <w:rStyle w:val="a5"/>
            <w:rFonts w:ascii="Times New Roman" w:hAnsi="Times New Roman"/>
            <w:color w:val="000000" w:themeColor="text1"/>
            <w:sz w:val="16"/>
            <w:szCs w:val="16"/>
            <w:u w:val="none"/>
          </w:rPr>
          <w:t>Уборевич</w:t>
        </w:r>
      </w:hyperlink>
      <w:r w:rsidRPr="007122AB">
        <w:rPr>
          <w:rFonts w:ascii="Times New Roman" w:hAnsi="Times New Roman"/>
          <w:color w:val="000000" w:themeColor="text1"/>
          <w:sz w:val="16"/>
          <w:szCs w:val="16"/>
        </w:rPr>
        <w:t xml:space="preserve">, </w:t>
      </w:r>
      <w:hyperlink r:id="rId89" w:history="1">
        <w:proofErr w:type="spellStart"/>
        <w:r w:rsidRPr="007122AB">
          <w:rPr>
            <w:rStyle w:val="a5"/>
            <w:rFonts w:ascii="Times New Roman" w:hAnsi="Times New Roman"/>
            <w:color w:val="000000" w:themeColor="text1"/>
            <w:sz w:val="16"/>
            <w:szCs w:val="16"/>
            <w:u w:val="none"/>
          </w:rPr>
          <w:t>Триандафилов</w:t>
        </w:r>
        <w:proofErr w:type="spellEnd"/>
      </w:hyperlink>
      <w:r w:rsidRPr="007122AB">
        <w:rPr>
          <w:rFonts w:ascii="Times New Roman" w:hAnsi="Times New Roman"/>
          <w:color w:val="000000" w:themeColor="text1"/>
          <w:sz w:val="16"/>
          <w:szCs w:val="16"/>
        </w:rPr>
        <w:t xml:space="preserve">, </w:t>
      </w:r>
      <w:hyperlink r:id="rId90" w:history="1">
        <w:r w:rsidRPr="007122AB">
          <w:rPr>
            <w:rStyle w:val="a5"/>
            <w:rFonts w:ascii="Times New Roman" w:hAnsi="Times New Roman"/>
            <w:color w:val="000000" w:themeColor="text1"/>
            <w:sz w:val="16"/>
            <w:szCs w:val="16"/>
            <w:u w:val="none"/>
          </w:rPr>
          <w:t>Мартинович</w:t>
        </w:r>
      </w:hyperlink>
      <w:r w:rsidRPr="007122AB">
        <w:rPr>
          <w:rFonts w:ascii="Times New Roman" w:hAnsi="Times New Roman"/>
          <w:color w:val="000000" w:themeColor="text1"/>
          <w:sz w:val="16"/>
          <w:szCs w:val="16"/>
        </w:rPr>
        <w:t xml:space="preserve">, </w:t>
      </w:r>
      <w:hyperlink r:id="rId91" w:history="1">
        <w:proofErr w:type="spellStart"/>
        <w:r w:rsidRPr="007122AB">
          <w:rPr>
            <w:rStyle w:val="a5"/>
            <w:rFonts w:ascii="Times New Roman" w:hAnsi="Times New Roman"/>
            <w:color w:val="000000" w:themeColor="text1"/>
            <w:sz w:val="16"/>
            <w:szCs w:val="16"/>
            <w:u w:val="none"/>
          </w:rPr>
          <w:t>Халепский</w:t>
        </w:r>
        <w:proofErr w:type="spellEnd"/>
      </w:hyperlink>
      <w:r w:rsidRPr="007122AB">
        <w:rPr>
          <w:rFonts w:ascii="Times New Roman" w:hAnsi="Times New Roman"/>
          <w:color w:val="000000" w:themeColor="text1"/>
          <w:sz w:val="16"/>
          <w:szCs w:val="16"/>
        </w:rPr>
        <w:t>.</w:t>
      </w:r>
    </w:p>
    <w:p w14:paraId="6F48D024"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Секретарь — т. </w:t>
      </w:r>
      <w:proofErr w:type="spellStart"/>
      <w:r w:rsidRPr="007122AB">
        <w:rPr>
          <w:rFonts w:ascii="Times New Roman" w:hAnsi="Times New Roman"/>
          <w:color w:val="000000" w:themeColor="text1"/>
          <w:sz w:val="16"/>
          <w:szCs w:val="16"/>
        </w:rPr>
        <w:t>Литуновский</w:t>
      </w:r>
      <w:proofErr w:type="spellEnd"/>
    </w:p>
    <w:p w14:paraId="5765ECE3"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Танкетки Т-27</w:t>
      </w:r>
    </w:p>
    <w:p w14:paraId="7C3DAB62"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Вследствие удачного освоения Т</w:t>
      </w:r>
      <w:r w:rsidRPr="007122AB">
        <w:rPr>
          <w:rFonts w:ascii="Times New Roman" w:hAnsi="Times New Roman"/>
          <w:color w:val="000000" w:themeColor="text1"/>
          <w:sz w:val="16"/>
          <w:szCs w:val="16"/>
        </w:rPr>
        <w:noBreakHyphen/>
        <w:t>27 в массовом производстве и выявившихся хороших боевых качеств танкетки (подвижность, проходимость, возможность установки 37</w:t>
      </w:r>
      <w:r w:rsidRPr="007122AB">
        <w:rPr>
          <w:rFonts w:ascii="Times New Roman" w:hAnsi="Times New Roman"/>
          <w:color w:val="000000" w:themeColor="text1"/>
          <w:sz w:val="16"/>
          <w:szCs w:val="16"/>
        </w:rPr>
        <w:noBreakHyphen/>
        <w:t>мм пушки и т. п.), а также ввиду перехода с Т</w:t>
      </w:r>
      <w:r w:rsidRPr="007122AB">
        <w:rPr>
          <w:rFonts w:ascii="Times New Roman" w:hAnsi="Times New Roman"/>
          <w:color w:val="000000" w:themeColor="text1"/>
          <w:sz w:val="16"/>
          <w:szCs w:val="16"/>
        </w:rPr>
        <w:noBreakHyphen/>
        <w:t>18 на Т</w:t>
      </w:r>
      <w:r w:rsidRPr="007122AB">
        <w:rPr>
          <w:rFonts w:ascii="Times New Roman" w:hAnsi="Times New Roman"/>
          <w:color w:val="000000" w:themeColor="text1"/>
          <w:sz w:val="16"/>
          <w:szCs w:val="16"/>
        </w:rPr>
        <w:noBreakHyphen/>
        <w:t>26, что сокращает программу 1931 г. по малым танкам на 65 машин, и отсутствия пока установленного образца среднего танка считать крайне необходимым увеличение заказа 1931 г. на 200 шт. танкеток. Принять предложение т. Мартиновича о том, что вопрос о возможности принятия промышленностью дополнительного заказа на танкетки может быть решен в конце июня с. г. после окончательного выяснения положения с внедрением в производство на «Большевике» Т</w:t>
      </w:r>
      <w:r w:rsidRPr="007122AB">
        <w:rPr>
          <w:rFonts w:ascii="Times New Roman" w:hAnsi="Times New Roman"/>
          <w:color w:val="000000" w:themeColor="text1"/>
          <w:sz w:val="16"/>
          <w:szCs w:val="16"/>
        </w:rPr>
        <w:noBreakHyphen/>
        <w:t>26 и с постановкой производства броневых корпусов на Подольском заводе. К этому времени МПС ВСНХ проработать этот вопрос и доложить РВСС.</w:t>
      </w:r>
    </w:p>
    <w:p w14:paraId="64E4D685"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к сведению заявление т. Мартиновича, что в исполнение решения правительства от 20 февраля 1931 г.¹* ВСНХ уже теперь подготовляет выпуск в военное время с Нижегородского и 2</w:t>
      </w:r>
      <w:r w:rsidRPr="007122AB">
        <w:rPr>
          <w:rFonts w:ascii="Times New Roman" w:hAnsi="Times New Roman"/>
          <w:color w:val="000000" w:themeColor="text1"/>
          <w:sz w:val="16"/>
          <w:szCs w:val="16"/>
        </w:rPr>
        <w:noBreakHyphen/>
        <w:t>го автозаводов не менее 15 тыс. Т</w:t>
      </w:r>
      <w:r w:rsidRPr="007122AB">
        <w:rPr>
          <w:rFonts w:ascii="Times New Roman" w:hAnsi="Times New Roman"/>
          <w:color w:val="000000" w:themeColor="text1"/>
          <w:sz w:val="16"/>
          <w:szCs w:val="16"/>
        </w:rPr>
        <w:noBreakHyphen/>
        <w:t>27.</w:t>
      </w:r>
    </w:p>
    <w:p w14:paraId="3A069956"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Т</w:t>
      </w:r>
      <w:r w:rsidRPr="007122AB">
        <w:rPr>
          <w:rFonts w:ascii="Times New Roman" w:hAnsi="Times New Roman"/>
          <w:color w:val="000000" w:themeColor="text1"/>
          <w:sz w:val="16"/>
          <w:szCs w:val="16"/>
        </w:rPr>
        <w:noBreakHyphen/>
        <w:t>26</w:t>
      </w:r>
    </w:p>
    <w:p w14:paraId="2A355D19"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Признать, что подготовительные работы по установке производства Т</w:t>
      </w:r>
      <w:r w:rsidRPr="007122AB">
        <w:rPr>
          <w:rFonts w:ascii="Times New Roman" w:hAnsi="Times New Roman"/>
          <w:color w:val="000000" w:themeColor="text1"/>
          <w:sz w:val="16"/>
          <w:szCs w:val="16"/>
        </w:rPr>
        <w:noBreakHyphen/>
        <w:t>26 идут вполне нормально и в срок. Заказ оставить прежний (300 машин).</w:t>
      </w:r>
    </w:p>
    <w:p w14:paraId="5C414E4A"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Напомнить МПС ВСНХ, что, по заявлению дирекции завода «Большевик», самым «узким» местом в производстве Т</w:t>
      </w:r>
      <w:r w:rsidRPr="007122AB">
        <w:rPr>
          <w:rFonts w:ascii="Times New Roman" w:hAnsi="Times New Roman"/>
          <w:color w:val="000000" w:themeColor="text1"/>
          <w:sz w:val="16"/>
          <w:szCs w:val="16"/>
        </w:rPr>
        <w:noBreakHyphen/>
        <w:t>26 является ковкий чугун и что вопрос о его получении до сих пор не разрешен. Это создает прямую угрозу своевременного выполнения программы по Т</w:t>
      </w:r>
      <w:r w:rsidRPr="007122AB">
        <w:rPr>
          <w:rFonts w:ascii="Times New Roman" w:hAnsi="Times New Roman"/>
          <w:color w:val="000000" w:themeColor="text1"/>
          <w:sz w:val="16"/>
          <w:szCs w:val="16"/>
        </w:rPr>
        <w:noBreakHyphen/>
        <w:t>26.</w:t>
      </w:r>
    </w:p>
    <w:p w14:paraId="50654E4A"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 Т-18</w:t>
      </w:r>
    </w:p>
    <w:p w14:paraId="59794BD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Мотовилихинский завод до сих пор не освоил производства танков, а также потому, что танковая программа в 75 машин Т</w:t>
      </w:r>
      <w:r w:rsidRPr="007122AB">
        <w:rPr>
          <w:rFonts w:ascii="Times New Roman" w:hAnsi="Times New Roman"/>
          <w:color w:val="000000" w:themeColor="text1"/>
          <w:sz w:val="16"/>
          <w:szCs w:val="16"/>
        </w:rPr>
        <w:noBreakHyphen/>
        <w:t>18 затрудняет выполнение важнейших артиллерийских заказов, снять с Мотовилихинского завода 65 машин, оставив только 10 шт., по которым уже имеется на заводе задел. Больше танковых заказов на Мотовилиху не давать.</w:t>
      </w:r>
    </w:p>
    <w:p w14:paraId="1D5E7016"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 Средний танк</w:t>
      </w:r>
    </w:p>
    <w:p w14:paraId="4AFEC9B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w:t>
      </w:r>
      <w:r w:rsidRPr="007122AB">
        <w:rPr>
          <w:rFonts w:ascii="Times New Roman" w:hAnsi="Times New Roman"/>
          <w:color w:val="000000" w:themeColor="text1"/>
          <w:sz w:val="16"/>
          <w:szCs w:val="16"/>
        </w:rPr>
        <w:noBreakHyphen/>
        <w:t>24. А. оставить на 1931 г. заказ по Т</w:t>
      </w:r>
      <w:r w:rsidRPr="007122AB">
        <w:rPr>
          <w:rFonts w:ascii="Times New Roman" w:hAnsi="Times New Roman"/>
          <w:color w:val="000000" w:themeColor="text1"/>
          <w:sz w:val="16"/>
          <w:szCs w:val="16"/>
        </w:rPr>
        <w:noBreakHyphen/>
        <w:t>24 на 80 машин с соответствующим количеством запасных частей (обязательно).</w:t>
      </w:r>
    </w:p>
    <w:p w14:paraId="2B8C730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Тов. Мартиновичу немедленно дать ХПЗ точное распоряжение в пределах этого заказа и проследить, чтобы не было лишнего задела, так как больше этих машин производить не будем.</w:t>
      </w:r>
    </w:p>
    <w:p w14:paraId="4624AFD3"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ТГ. А. Доложить КО, что принятое по предложению комиссии по танкам решение о среднем танке ТГ не может быть реализовано в 1931 г., так как до сих пор еще не закончен опытный образец ТГ и пока не представляется возможным определить срок его изготовления. Ввиду этого в 1931 г. не будет стандартного типа среднего танка, который можно было бы поставить на производство.</w:t>
      </w:r>
    </w:p>
    <w:p w14:paraId="087A0FEA"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Средний 12</w:t>
      </w:r>
      <w:r w:rsidRPr="007122AB">
        <w:rPr>
          <w:rFonts w:ascii="Times New Roman" w:hAnsi="Times New Roman"/>
          <w:color w:val="000000" w:themeColor="text1"/>
          <w:sz w:val="16"/>
          <w:szCs w:val="16"/>
        </w:rPr>
        <w:noBreakHyphen/>
        <w:t>тонный танк Виккерса, приобретенный нами, предназначенный, очевидно, специально для колониальных войск (слабое бронирование и вооружение), по своим боевым качествам не подходит к нашей системе танкового вооружения.</w:t>
      </w:r>
    </w:p>
    <w:p w14:paraId="4DC14AD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Продолжать форсированными темпами дальнейшую работу над окончанием опытного образца танка ТГ. Принять к сведению график работы, предложенный ПП ОГПУ Ленинградской области.</w:t>
      </w:r>
    </w:p>
    <w:p w14:paraId="0B60005B"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Просить правительство разрешить приобрести новый 16</w:t>
      </w:r>
      <w:r w:rsidRPr="007122AB">
        <w:rPr>
          <w:rFonts w:ascii="Times New Roman" w:hAnsi="Times New Roman"/>
          <w:color w:val="000000" w:themeColor="text1"/>
          <w:sz w:val="16"/>
          <w:szCs w:val="16"/>
        </w:rPr>
        <w:noBreakHyphen/>
        <w:t xml:space="preserve">тонный средний танк Виккерса, о котором только теперь нам стало известно, приближающийся по броне, </w:t>
      </w:r>
      <w:proofErr w:type="spellStart"/>
      <w:r w:rsidRPr="007122AB">
        <w:rPr>
          <w:rFonts w:ascii="Times New Roman" w:hAnsi="Times New Roman"/>
          <w:color w:val="000000" w:themeColor="text1"/>
          <w:sz w:val="16"/>
          <w:szCs w:val="16"/>
        </w:rPr>
        <w:t>скороходности</w:t>
      </w:r>
      <w:proofErr w:type="spellEnd"/>
      <w:r w:rsidRPr="007122AB">
        <w:rPr>
          <w:rFonts w:ascii="Times New Roman" w:hAnsi="Times New Roman"/>
          <w:color w:val="000000" w:themeColor="text1"/>
          <w:sz w:val="16"/>
          <w:szCs w:val="16"/>
        </w:rPr>
        <w:t xml:space="preserve"> и вооружению к нашим требованиям,</w:t>
      </w:r>
    </w:p>
    <w:p w14:paraId="7CFA6105"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Танк «Кристи». А. Просить разрешения правительства ввести танк «Кристи» в систему авто-броне-танко-тракторного вооружения РККА в качестве быстроходного истребителя (БТ).</w:t>
      </w:r>
    </w:p>
    <w:p w14:paraId="2C690556"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т. Мартиновичу и </w:t>
      </w:r>
      <w:proofErr w:type="spellStart"/>
      <w:r w:rsidRPr="007122AB">
        <w:rPr>
          <w:rFonts w:ascii="Times New Roman" w:hAnsi="Times New Roman"/>
          <w:color w:val="000000" w:themeColor="text1"/>
          <w:sz w:val="16"/>
          <w:szCs w:val="16"/>
        </w:rPr>
        <w:t>Халепскому</w:t>
      </w:r>
      <w:proofErr w:type="spellEnd"/>
      <w:r w:rsidRPr="007122AB">
        <w:rPr>
          <w:rFonts w:ascii="Times New Roman" w:hAnsi="Times New Roman"/>
          <w:color w:val="000000" w:themeColor="text1"/>
          <w:sz w:val="16"/>
          <w:szCs w:val="16"/>
        </w:rPr>
        <w:t xml:space="preserve"> немедленно проработать вопрос: какое максимальное количество БТ (в имеющемся образце, без всяких изменений) может быть изготовлено уже в текущем году на ХПЗ, имея в виду уменьшение заказа для этого завода по Т</w:t>
      </w:r>
      <w:r w:rsidRPr="007122AB">
        <w:rPr>
          <w:rFonts w:ascii="Times New Roman" w:hAnsi="Times New Roman"/>
          <w:color w:val="000000" w:themeColor="text1"/>
          <w:sz w:val="16"/>
          <w:szCs w:val="16"/>
        </w:rPr>
        <w:noBreakHyphen/>
        <w:t>24 на 220 машин.</w:t>
      </w:r>
    </w:p>
    <w:p w14:paraId="53FE8C48"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Одновременно обязать УММ возможно форсировать работы по модернизации танка «Кристи».</w:t>
      </w:r>
    </w:p>
    <w:p w14:paraId="67589067"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О тяжелом танке</w:t>
      </w:r>
    </w:p>
    <w:p w14:paraId="4BA8AEFC"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A. Признать необходимым иметь на вооружении РККА, хотя бы в ограниченном количестве тяжелые танки.</w:t>
      </w:r>
    </w:p>
    <w:p w14:paraId="214DE525"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Обязать УММ уже в текущем году обязательно достать сведения о тяжелом танке в Италии, Англии и, если возможно, во Франции, поставив задачей закупить образец этого танка или хотя бы чертежи.</w:t>
      </w:r>
    </w:p>
    <w:p w14:paraId="445C8FFD"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B. Одновременно вести самостоятельные работы по конструкции тяжелого танка.</w:t>
      </w:r>
    </w:p>
    <w:p w14:paraId="2E0CA4B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 О моторном заводе для средних танков</w:t>
      </w:r>
    </w:p>
    <w:p w14:paraId="3616F497"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Просить правительство изменить свое решение от 20 февраля 1931 г. и разрешить проектировать моторный завод под мотор М</w:t>
      </w:r>
      <w:r w:rsidRPr="007122AB">
        <w:rPr>
          <w:rFonts w:ascii="Times New Roman" w:hAnsi="Times New Roman"/>
          <w:color w:val="000000" w:themeColor="text1"/>
          <w:sz w:val="16"/>
          <w:szCs w:val="16"/>
        </w:rPr>
        <w:noBreakHyphen/>
        <w:t>5 («Либерти») вместо ранее принятого мотора М</w:t>
      </w:r>
      <w:r w:rsidRPr="007122AB">
        <w:rPr>
          <w:rFonts w:ascii="Times New Roman" w:hAnsi="Times New Roman"/>
          <w:color w:val="000000" w:themeColor="text1"/>
          <w:sz w:val="16"/>
          <w:szCs w:val="16"/>
        </w:rPr>
        <w:noBreakHyphen/>
        <w:t>6 («Испано-</w:t>
      </w:r>
      <w:proofErr w:type="spellStart"/>
      <w:r w:rsidRPr="007122AB">
        <w:rPr>
          <w:rFonts w:ascii="Times New Roman" w:hAnsi="Times New Roman"/>
          <w:color w:val="000000" w:themeColor="text1"/>
          <w:sz w:val="16"/>
          <w:szCs w:val="16"/>
        </w:rPr>
        <w:t>Сюисс</w:t>
      </w:r>
      <w:proofErr w:type="spellEnd"/>
      <w:r w:rsidRPr="007122AB">
        <w:rPr>
          <w:rFonts w:ascii="Times New Roman" w:hAnsi="Times New Roman"/>
          <w:color w:val="000000" w:themeColor="text1"/>
          <w:sz w:val="16"/>
          <w:szCs w:val="16"/>
        </w:rPr>
        <w:t>»).</w:t>
      </w:r>
    </w:p>
    <w:p w14:paraId="29B219FA"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начальника УВВС т. </w:t>
      </w:r>
      <w:hyperlink r:id="rId92" w:history="1">
        <w:r w:rsidRPr="007122AB">
          <w:rPr>
            <w:rStyle w:val="a5"/>
            <w:rFonts w:ascii="Times New Roman" w:hAnsi="Times New Roman"/>
            <w:color w:val="000000" w:themeColor="text1"/>
            <w:sz w:val="16"/>
            <w:szCs w:val="16"/>
            <w:u w:val="none"/>
          </w:rPr>
          <w:t>Баранова П. И</w:t>
        </w:r>
      </w:hyperlink>
      <w:r w:rsidRPr="007122AB">
        <w:rPr>
          <w:rFonts w:ascii="Times New Roman" w:hAnsi="Times New Roman"/>
          <w:color w:val="000000" w:themeColor="text1"/>
          <w:sz w:val="16"/>
          <w:szCs w:val="16"/>
        </w:rPr>
        <w:t>. выделить из своих запасов для танковой программы 1931 г. 150 новых моторов М</w:t>
      </w:r>
      <w:r w:rsidRPr="007122AB">
        <w:rPr>
          <w:rFonts w:ascii="Times New Roman" w:hAnsi="Times New Roman"/>
          <w:color w:val="000000" w:themeColor="text1"/>
          <w:sz w:val="16"/>
          <w:szCs w:val="16"/>
        </w:rPr>
        <w:noBreakHyphen/>
        <w:t>5 и передать их в ведение т.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w:t>
      </w:r>
    </w:p>
    <w:p w14:paraId="309B4C7C"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 О броне</w:t>
      </w:r>
    </w:p>
    <w:p w14:paraId="50D20185"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Доложить правительству, что задание о цементации железа против бронебойных пуль выполнено. Также выполнено задание правительства по получению брони </w:t>
      </w:r>
      <w:r w:rsidRPr="007122AB">
        <w:rPr>
          <w:rStyle w:val="af0"/>
          <w:i w:val="0"/>
          <w:color w:val="000000" w:themeColor="text1"/>
          <w:sz w:val="16"/>
          <w:szCs w:val="16"/>
        </w:rPr>
        <w:t>с</w:t>
      </w:r>
      <w:r w:rsidRPr="007122AB">
        <w:rPr>
          <w:color w:val="000000" w:themeColor="text1"/>
          <w:sz w:val="16"/>
          <w:szCs w:val="16"/>
        </w:rPr>
        <w:t xml:space="preserve"> пониженным содержанием ферросплавов. Работы по цементации </w:t>
      </w:r>
      <w:proofErr w:type="spellStart"/>
      <w:r w:rsidRPr="007122AB">
        <w:rPr>
          <w:color w:val="000000" w:themeColor="text1"/>
          <w:sz w:val="16"/>
          <w:szCs w:val="16"/>
        </w:rPr>
        <w:t>сталистого</w:t>
      </w:r>
      <w:proofErr w:type="spellEnd"/>
      <w:r w:rsidRPr="007122AB">
        <w:rPr>
          <w:color w:val="000000" w:themeColor="text1"/>
          <w:sz w:val="16"/>
          <w:szCs w:val="16"/>
        </w:rPr>
        <w:t xml:space="preserve"> железа для защиты от бронебойных мелкокалиберных снарядов продолжаются. По заявлению т. Мартиновича, полный переход на массовое изготовление брони из цементированного железа и цементированной брони с ферросплавами (марки «</w:t>
      </w:r>
      <w:proofErr w:type="spellStart"/>
      <w:r w:rsidRPr="007122AB">
        <w:rPr>
          <w:color w:val="000000" w:themeColor="text1"/>
          <w:sz w:val="16"/>
          <w:szCs w:val="16"/>
        </w:rPr>
        <w:t>Вибрак</w:t>
      </w:r>
      <w:proofErr w:type="spellEnd"/>
      <w:r w:rsidRPr="007122AB">
        <w:rPr>
          <w:color w:val="000000" w:themeColor="text1"/>
          <w:sz w:val="16"/>
          <w:szCs w:val="16"/>
        </w:rPr>
        <w:t>») будет произведен с июля 1931 г.</w:t>
      </w:r>
    </w:p>
    <w:p w14:paraId="2391284E"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Принять к сведению заявление т. Мартиновича, что потребное количество шамотного кирпича для постройки дополнительно 8 термических печей на Ижорском заводе (для производства цементированной брони) заказано 29 апреля 1931 г. за границей.</w:t>
      </w:r>
    </w:p>
    <w:p w14:paraId="12C3FBC6"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Тов. Мартиновичу и </w:t>
      </w:r>
      <w:proofErr w:type="spellStart"/>
      <w:r w:rsidRPr="007122AB">
        <w:rPr>
          <w:color w:val="000000" w:themeColor="text1"/>
          <w:sz w:val="16"/>
          <w:szCs w:val="16"/>
        </w:rPr>
        <w:t>Халепскому</w:t>
      </w:r>
      <w:proofErr w:type="spellEnd"/>
      <w:r w:rsidRPr="007122AB">
        <w:rPr>
          <w:color w:val="000000" w:themeColor="text1"/>
          <w:sz w:val="16"/>
          <w:szCs w:val="16"/>
        </w:rPr>
        <w:t xml:space="preserve"> проследить за возможно быстрой реализацией за границей заказа на шамотный кирпич.</w:t>
      </w:r>
    </w:p>
    <w:p w14:paraId="039EA0B1" w14:textId="77777777" w:rsidR="00E454FF" w:rsidRPr="007122AB" w:rsidRDefault="00E454FF" w:rsidP="007122AB">
      <w:pPr>
        <w:pStyle w:val="ae"/>
        <w:spacing w:before="0" w:after="0"/>
        <w:jc w:val="both"/>
        <w:rPr>
          <w:color w:val="000000" w:themeColor="text1"/>
          <w:sz w:val="16"/>
          <w:szCs w:val="16"/>
        </w:rPr>
      </w:pPr>
      <w:r w:rsidRPr="007122AB">
        <w:rPr>
          <w:rStyle w:val="af0"/>
          <w:i w:val="0"/>
          <w:color w:val="000000" w:themeColor="text1"/>
          <w:sz w:val="16"/>
          <w:szCs w:val="16"/>
        </w:rPr>
        <w:t>Председатель Ворошилов</w:t>
      </w:r>
    </w:p>
    <w:p w14:paraId="77875DE5" w14:textId="77777777" w:rsidR="00E454FF" w:rsidRPr="007122AB" w:rsidRDefault="00E454FF"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Секретарь </w:t>
      </w:r>
      <w:proofErr w:type="spellStart"/>
      <w:r w:rsidRPr="007122AB">
        <w:rPr>
          <w:rStyle w:val="af0"/>
          <w:i w:val="0"/>
          <w:color w:val="000000" w:themeColor="text1"/>
          <w:sz w:val="16"/>
          <w:szCs w:val="16"/>
        </w:rPr>
        <w:t>Литуновский</w:t>
      </w:r>
      <w:proofErr w:type="spellEnd"/>
    </w:p>
    <w:p w14:paraId="1F2A11DB" w14:textId="77777777" w:rsidR="00E454FF" w:rsidRPr="007122AB" w:rsidRDefault="00E454FF"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2BFBB52F"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xml:space="preserve">* См. Документ от </w:t>
      </w:r>
      <w:r w:rsidRPr="007122AB">
        <w:rPr>
          <w:rStyle w:val="af0"/>
          <w:i w:val="0"/>
          <w:color w:val="000000" w:themeColor="text1"/>
          <w:sz w:val="16"/>
          <w:szCs w:val="16"/>
        </w:rPr>
        <w:t>20 февраля 1931 г.</w:t>
      </w:r>
      <w:r w:rsidRPr="007122AB">
        <w:rPr>
          <w:color w:val="000000" w:themeColor="text1"/>
          <w:sz w:val="16"/>
          <w:szCs w:val="16"/>
        </w:rPr>
        <w:t xml:space="preserve"> — </w:t>
      </w:r>
      <w:hyperlink r:id="rId93" w:history="1">
        <w:r w:rsidRPr="007122AB">
          <w:rPr>
            <w:color w:val="000000" w:themeColor="text1"/>
            <w:sz w:val="16"/>
            <w:szCs w:val="16"/>
          </w:rPr>
          <w:t>Постановление Политбюро ЦК ВКП(б) «О танковой программе»</w:t>
        </w:r>
      </w:hyperlink>
    </w:p>
    <w:p w14:paraId="72628F82" w14:textId="77777777" w:rsidR="00E454FF" w:rsidRPr="007122AB" w:rsidRDefault="00E454FF" w:rsidP="007122AB">
      <w:pPr>
        <w:pStyle w:val="ae"/>
        <w:spacing w:before="0" w:after="0"/>
        <w:jc w:val="both"/>
        <w:rPr>
          <w:color w:val="000000" w:themeColor="text1"/>
          <w:sz w:val="16"/>
          <w:szCs w:val="16"/>
        </w:rPr>
      </w:pPr>
      <w:r w:rsidRPr="007122AB">
        <w:rPr>
          <w:color w:val="000000" w:themeColor="text1"/>
          <w:sz w:val="16"/>
          <w:szCs w:val="16"/>
        </w:rPr>
        <w:t>РГВА. Ф. 4. Оп. 14. Д. 414. Л. 20—22. Заверенная копия.</w:t>
      </w:r>
    </w:p>
    <w:p w14:paraId="4A285A59"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РГВА. Ф. 4. Оп. 14. Д. 414. Л. 20—22. Заверенная копия. </w:t>
      </w:r>
    </w:p>
    <w:p w14:paraId="091EE65F"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545-547 (12528).</w:t>
      </w:r>
    </w:p>
    <w:p w14:paraId="01787C6B" w14:textId="77777777" w:rsidR="00E454FF" w:rsidRPr="007122AB" w:rsidRDefault="00E454FF" w:rsidP="007122AB">
      <w:pPr>
        <w:spacing w:after="0" w:line="240" w:lineRule="auto"/>
        <w:jc w:val="both"/>
        <w:rPr>
          <w:rFonts w:ascii="Times New Roman" w:hAnsi="Times New Roman"/>
          <w:color w:val="000000" w:themeColor="text1"/>
          <w:sz w:val="16"/>
          <w:szCs w:val="16"/>
        </w:rPr>
      </w:pPr>
    </w:p>
    <w:p w14:paraId="0649C74D" w14:textId="77777777" w:rsidR="00CC487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76F91D1" w14:textId="77777777" w:rsidR="00CC487C" w:rsidRPr="007122AB" w:rsidRDefault="00CC487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39D0C7" w14:textId="77777777" w:rsidR="00CC487C" w:rsidRPr="007122AB" w:rsidRDefault="00CC48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мая в 1931 году в Италии издан закон, по которому в военное время все подданные обязаны участвовать в национальной обороне (14885).</w:t>
      </w:r>
    </w:p>
    <w:p w14:paraId="3B0B58AE" w14:textId="77777777" w:rsidR="00CC487C" w:rsidRPr="007122AB" w:rsidRDefault="00CC487C" w:rsidP="007122AB">
      <w:pPr>
        <w:spacing w:after="0" w:line="240" w:lineRule="auto"/>
        <w:jc w:val="both"/>
        <w:rPr>
          <w:rFonts w:ascii="Times New Roman" w:hAnsi="Times New Roman"/>
          <w:color w:val="000000" w:themeColor="text1"/>
          <w:sz w:val="16"/>
          <w:szCs w:val="16"/>
        </w:rPr>
      </w:pPr>
    </w:p>
    <w:p w14:paraId="3D55E4C0" w14:textId="77777777" w:rsidR="003562F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33575EA" w14:textId="77777777" w:rsidR="003562F3" w:rsidRPr="007122AB" w:rsidRDefault="003562F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F95584" w14:textId="77777777" w:rsidR="003562F3" w:rsidRPr="007122AB" w:rsidRDefault="003562F3" w:rsidP="007122AB">
      <w:pPr>
        <w:pStyle w:val="a3"/>
        <w:autoSpaceDE/>
        <w:autoSpaceDN/>
        <w:adjustRightInd/>
        <w:rPr>
          <w:rStyle w:val="66"/>
          <w:rFonts w:ascii="Times New Roman" w:eastAsia="Calibri" w:hAnsi="Times New Roman"/>
          <w:color w:val="000000" w:themeColor="text1"/>
          <w:sz w:val="16"/>
          <w:szCs w:val="16"/>
          <w:lang w:val="ru-RU"/>
        </w:rPr>
      </w:pPr>
      <w:r w:rsidRPr="007122AB">
        <w:rPr>
          <w:color w:val="000000" w:themeColor="text1"/>
          <w:lang w:val="ru-RU"/>
        </w:rPr>
        <w:t>9 мая 1931 Смотровая комиссия оста</w:t>
      </w:r>
      <w:r w:rsidRPr="007122AB">
        <w:rPr>
          <w:color w:val="000000" w:themeColor="text1"/>
          <w:lang w:val="ru-RU"/>
        </w:rPr>
        <w:softHyphen/>
        <w:t>новила свой выбор на земельном участке в 187 га к западу от платформы «</w:t>
      </w:r>
      <w:proofErr w:type="spellStart"/>
      <w:r w:rsidRPr="007122AB">
        <w:rPr>
          <w:color w:val="000000" w:themeColor="text1"/>
          <w:lang w:val="ru-RU"/>
        </w:rPr>
        <w:t>Долгопруд</w:t>
      </w:r>
      <w:r w:rsidRPr="007122AB">
        <w:rPr>
          <w:color w:val="000000" w:themeColor="text1"/>
          <w:lang w:val="ru-RU"/>
        </w:rPr>
        <w:softHyphen/>
        <w:t>ная</w:t>
      </w:r>
      <w:proofErr w:type="spellEnd"/>
      <w:r w:rsidRPr="007122AB">
        <w:rPr>
          <w:color w:val="000000" w:themeColor="text1"/>
          <w:lang w:val="ru-RU"/>
        </w:rPr>
        <w:t>» Савеловской ж/дороги. База начала строиться с деревянного эллинга и летного поля, судя по первому акту инспекторского осмотра хода работ представителями «Аэро</w:t>
      </w:r>
      <w:r w:rsidRPr="007122AB">
        <w:rPr>
          <w:color w:val="000000" w:themeColor="text1"/>
          <w:lang w:val="ru-RU"/>
        </w:rPr>
        <w:softHyphen/>
        <w:t>флота» от 27 июля 1931 г. В Москве и Ле</w:t>
      </w:r>
      <w:r w:rsidRPr="007122AB">
        <w:rPr>
          <w:color w:val="000000" w:themeColor="text1"/>
          <w:lang w:val="ru-RU"/>
        </w:rPr>
        <w:softHyphen/>
        <w:t>нинграде был спешно издан сборник статей «Строим эскадру дирижаблей им. Ленина» с предисловием еще одного «воздухопла</w:t>
      </w:r>
      <w:r w:rsidRPr="007122AB">
        <w:rPr>
          <w:color w:val="000000" w:themeColor="text1"/>
          <w:lang w:val="ru-RU"/>
        </w:rPr>
        <w:softHyphen/>
        <w:t xml:space="preserve">вателя» - врача Н.А. Семашко. Профессор МГУ с пафосом оратора-большевика вещал на всю голодающую Россию: «Ни секунды нельзя сомневаться, что идея об эскадре дирижаблей будет </w:t>
      </w:r>
      <w:r w:rsidRPr="007122AB">
        <w:rPr>
          <w:color w:val="000000" w:themeColor="text1"/>
          <w:lang w:val="ru-RU"/>
        </w:rPr>
        <w:lastRenderedPageBreak/>
        <w:t>реализована и уже от себя предложил включить в нее седьмой корабль - «Сталин». Ему вторили строки автора статьи «Дирижабль и Воздухопла</w:t>
      </w:r>
      <w:r w:rsidRPr="007122AB">
        <w:rPr>
          <w:color w:val="000000" w:themeColor="text1"/>
          <w:lang w:val="ru-RU"/>
        </w:rPr>
        <w:softHyphen/>
        <w:t>вание» в Большой советской энциклопедии под редакцией О.Ю. Шмидта: «...</w:t>
      </w:r>
      <w:r w:rsidRPr="007122AB">
        <w:rPr>
          <w:rStyle w:val="66"/>
          <w:rFonts w:ascii="Times New Roman" w:eastAsia="Calibri" w:hAnsi="Times New Roman"/>
          <w:color w:val="000000" w:themeColor="text1"/>
          <w:sz w:val="16"/>
          <w:szCs w:val="16"/>
          <w:lang w:val="ru-RU"/>
        </w:rPr>
        <w:t>Несмотря на большие трудности освоения технологии строительства и эксплуатации цеппелинов, в Советском Союзе имеются все предпосылки для овладения этой вершиной капиталисти</w:t>
      </w:r>
      <w:r w:rsidRPr="007122AB">
        <w:rPr>
          <w:rStyle w:val="66"/>
          <w:rFonts w:ascii="Times New Roman" w:eastAsia="Calibri" w:hAnsi="Times New Roman"/>
          <w:color w:val="000000" w:themeColor="text1"/>
          <w:sz w:val="16"/>
          <w:szCs w:val="16"/>
          <w:lang w:val="ru-RU"/>
        </w:rPr>
        <w:softHyphen/>
        <w:t>ческой промышленности. И можно с полной уверенностью сказать, что в недалеком бу</w:t>
      </w:r>
      <w:r w:rsidRPr="007122AB">
        <w:rPr>
          <w:rStyle w:val="66"/>
          <w:rFonts w:ascii="Times New Roman" w:eastAsia="Calibri" w:hAnsi="Times New Roman"/>
          <w:color w:val="000000" w:themeColor="text1"/>
          <w:sz w:val="16"/>
          <w:szCs w:val="16"/>
          <w:lang w:val="ru-RU"/>
        </w:rPr>
        <w:softHyphen/>
        <w:t>дущем и у нас появятся советские цеппелины в эскадре им. Ленина» (12732).</w:t>
      </w:r>
    </w:p>
    <w:p w14:paraId="7C529C0A" w14:textId="77777777" w:rsidR="003562F3" w:rsidRPr="007122AB" w:rsidRDefault="003562F3" w:rsidP="007122AB">
      <w:pPr>
        <w:pStyle w:val="a3"/>
        <w:rPr>
          <w:color w:val="000000" w:themeColor="text1"/>
          <w:lang w:val="ru-RU"/>
        </w:rPr>
      </w:pPr>
    </w:p>
    <w:p w14:paraId="08392BD7" w14:textId="77777777" w:rsidR="00CC487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453827E" w14:textId="77777777" w:rsidR="00CC487C" w:rsidRPr="007122AB" w:rsidRDefault="00CC487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C1D5C4" w14:textId="77777777" w:rsidR="00CC487C" w:rsidRPr="007122AB" w:rsidRDefault="00CC487C" w:rsidP="007122AB">
      <w:pPr>
        <w:pStyle w:val="rtejustify"/>
        <w:spacing w:before="0" w:after="0"/>
        <w:rPr>
          <w:color w:val="000000" w:themeColor="text1"/>
          <w:sz w:val="16"/>
          <w:szCs w:val="16"/>
        </w:rPr>
      </w:pPr>
      <w:r w:rsidRPr="007122AB">
        <w:rPr>
          <w:color w:val="000000" w:themeColor="text1"/>
          <w:sz w:val="16"/>
          <w:szCs w:val="16"/>
        </w:rPr>
        <w:t xml:space="preserve">9 мая 1931 г. постановлением СНК СССР «Об организации учетно-статистических работ» в составе Госплана СССР был организован на правах самостоятельного управления Сектор народнохозяйственного учета в качестве центрального руководящего органа в деле учета и статистики. Постановлением ЦИК и СНК СССР от 17 декабря 1931 г. «Об организации Центрального управления народнохозяйственного учета СССР при Госплане СССР» этот сектор был преобразован в </w:t>
      </w:r>
      <w:r w:rsidRPr="007122AB">
        <w:rPr>
          <w:rStyle w:val="af0"/>
          <w:bCs/>
          <w:i w:val="0"/>
          <w:color w:val="000000" w:themeColor="text1"/>
          <w:sz w:val="16"/>
          <w:szCs w:val="16"/>
        </w:rPr>
        <w:t>Центральное управление народнохозяйственного учета (ЦУНХУ) СССР</w:t>
      </w:r>
      <w:r w:rsidRPr="007122AB">
        <w:rPr>
          <w:color w:val="000000" w:themeColor="text1"/>
          <w:sz w:val="16"/>
          <w:szCs w:val="16"/>
        </w:rPr>
        <w:t xml:space="preserve"> при Госплане СССР. Согласно положению, утвержденному 10 марта 1932 г. постановлением СНК СССР № 312, ЦУНХУ при Госплане СССР являлось самостоятельной общесоюзной организацией, централизованно руководящей всем делом статистики и учета в СССР. Вместе с республиканскими и местными статистическими управлениями ЦУНХУ составляло единую систему. Во главе его стоял начальник, утверждаемый ЦИК СССР и являющийся одновременно заместителем председателя Госплана СССР, при начальнике состояли заместители и коллегия из членов, назначаемых СНК СССР. Задачами ЦУНХУ являлись: централизованное руководство в области методологии и организации учетно-статистических работ в СССР, руководство и проведение работ по организации первичного учета и отчетности в соответствии с задачами хозяйственного руководства, систематическое наблюдение за ходом выполнения народно-хозяйственных задач, выполнение статистико-экономических работ и др. Постановлением от 21 мая 1933 г. СНК СССР внес ряд изменений в Положение о ЦУНХУ и его местных органах, полностью подчинив его Госплану СССР. Согласно этому постановлению ЦУНХУ при Госплане СССР было переименовано в ЦУНХУ Госплана СССР. В его составе были следующие секторы: планово-методологический, центральной учетной инспекции, баланса народного хозяйства, текущего учета, учета капитальных работ, учета промышленности, учета сельского хозяйства, учета транспорта и связи, учета труда, учета кадров, культуры и науки, учета населения и здравоохранения, учета городского хозяйства, учета советской торговли, учета финансов. Вопросами статистики военной промышленности занимался сектор спецучета или </w:t>
      </w:r>
      <w:proofErr w:type="spellStart"/>
      <w:r w:rsidRPr="007122AB">
        <w:rPr>
          <w:color w:val="000000" w:themeColor="text1"/>
          <w:sz w:val="16"/>
          <w:szCs w:val="16"/>
        </w:rPr>
        <w:t>спецсектор</w:t>
      </w:r>
      <w:proofErr w:type="spellEnd"/>
      <w:r w:rsidRPr="007122AB">
        <w:rPr>
          <w:color w:val="000000" w:themeColor="text1"/>
          <w:sz w:val="16"/>
          <w:szCs w:val="16"/>
        </w:rPr>
        <w:t>. 2 февраля 1938 г. ЦУНХУ снова было преобразовано в самостоятельное учреждение, которое находилось при Госплане СССР. (СЗ. 1931 1937 вышел приказ НКОП № 28. Ст. 221; № 73. Ст. 488; РГАЭ. Ф. 1562. Оп. 1.Д. 651. Л. 167</w:t>
      </w:r>
      <w:r w:rsidRPr="007122AB">
        <w:rPr>
          <w:color w:val="000000" w:themeColor="text1"/>
          <w:sz w:val="16"/>
          <w:szCs w:val="16"/>
        </w:rPr>
        <w:noBreakHyphen/>
        <w:t>162.) (15342).</w:t>
      </w:r>
    </w:p>
    <w:p w14:paraId="4132B0AC" w14:textId="77777777" w:rsidR="00CC487C" w:rsidRPr="007122AB" w:rsidRDefault="00CC487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B0829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E8F897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9A73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мая 1931 был установлен срок сдачи ЦАГИ рабочих чертежей АНТ-8 на завод 31 для военной и пассажирской модификаций - с 1 августа 1931 по 1 января 1932 (7610, 34).</w:t>
      </w:r>
    </w:p>
    <w:p w14:paraId="573C90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192EF" w14:textId="77777777" w:rsidR="00E454F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51EB1F8" w14:textId="77777777" w:rsidR="00E454FF" w:rsidRPr="007122AB" w:rsidRDefault="00E454F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9E3416"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10 мая 1931. Протокол заседания Политбюро ЦК ВКП(б) № 37. Опросом членов ПБ от 6 мая 1931 г. 45/2. О Сталинградском тракторном заводе. (Политбюро... Т. 2. С. 164) (12416).</w:t>
      </w:r>
    </w:p>
    <w:p w14:paraId="41410449"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p>
    <w:p w14:paraId="764E4B9E" w14:textId="77777777" w:rsidR="00CC487C" w:rsidRPr="007122AB" w:rsidRDefault="00CC487C"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10 мая по 10 июня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Крайком партии организует проведение месячника помощи </w:t>
      </w:r>
      <w:proofErr w:type="spellStart"/>
      <w:r w:rsidRPr="007122AB">
        <w:rPr>
          <w:rFonts w:ascii="Times New Roman" w:hAnsi="Times New Roman"/>
          <w:color w:val="000000" w:themeColor="text1"/>
          <w:sz w:val="16"/>
          <w:szCs w:val="16"/>
        </w:rPr>
        <w:t>Автострою</w:t>
      </w:r>
      <w:proofErr w:type="spellEnd"/>
      <w:r w:rsidRPr="007122AB">
        <w:rPr>
          <w:rFonts w:ascii="Times New Roman" w:hAnsi="Times New Roman"/>
          <w:color w:val="000000" w:themeColor="text1"/>
          <w:sz w:val="16"/>
          <w:szCs w:val="16"/>
        </w:rPr>
        <w:t xml:space="preserve">. Всего в месячник на стройке работало 57 428 рабочих и служащих города и колхозники ряда районов края. Новостройки прислали в порядке помощи </w:t>
      </w:r>
      <w:proofErr w:type="spellStart"/>
      <w:r w:rsidRPr="007122AB">
        <w:rPr>
          <w:rFonts w:ascii="Times New Roman" w:hAnsi="Times New Roman"/>
          <w:color w:val="000000" w:themeColor="text1"/>
          <w:sz w:val="16"/>
          <w:szCs w:val="16"/>
        </w:rPr>
        <w:t>Автострою</w:t>
      </w:r>
      <w:proofErr w:type="spellEnd"/>
      <w:r w:rsidRPr="007122AB">
        <w:rPr>
          <w:rFonts w:ascii="Times New Roman" w:hAnsi="Times New Roman"/>
          <w:color w:val="000000" w:themeColor="text1"/>
          <w:sz w:val="16"/>
          <w:szCs w:val="16"/>
        </w:rPr>
        <w:t xml:space="preserve"> механизмы: балахнинский </w:t>
      </w:r>
      <w:proofErr w:type="spellStart"/>
      <w:r w:rsidRPr="007122AB">
        <w:rPr>
          <w:rFonts w:ascii="Times New Roman" w:hAnsi="Times New Roman"/>
          <w:color w:val="000000" w:themeColor="text1"/>
          <w:sz w:val="16"/>
          <w:szCs w:val="16"/>
        </w:rPr>
        <w:t>Бумстрой</w:t>
      </w:r>
      <w:proofErr w:type="spellEnd"/>
      <w:r w:rsidRPr="007122AB">
        <w:rPr>
          <w:rFonts w:ascii="Times New Roman" w:hAnsi="Times New Roman"/>
          <w:color w:val="000000" w:themeColor="text1"/>
          <w:sz w:val="16"/>
          <w:szCs w:val="16"/>
        </w:rPr>
        <w:t xml:space="preserve"> – подъемный кран, окский Мостострой – 10 транспортеров. Но стройка по-прежнему испытывала недостаток рабочей силы. Партком и управление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направили в районы края уполномоченных для вербовки строителей в колхозах и среди единоличников. Из Арзамасского района приехали 500 человек, из Сергачского – 100, из Починковского – 800 колхозников и 400 единоличников. Если к октябрю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1930 г</w:t>
        </w:r>
      </w:smartTag>
      <w:r w:rsidRPr="007122AB">
        <w:rPr>
          <w:rFonts w:ascii="Times New Roman" w:hAnsi="Times New Roman"/>
          <w:color w:val="000000" w:themeColor="text1"/>
          <w:sz w:val="16"/>
          <w:szCs w:val="16"/>
        </w:rPr>
        <w:t xml:space="preserve">. с колхозами было заключено 14 договоров на отпуск рабочей силы </w:t>
      </w:r>
      <w:proofErr w:type="spellStart"/>
      <w:r w:rsidRPr="007122AB">
        <w:rPr>
          <w:rFonts w:ascii="Times New Roman" w:hAnsi="Times New Roman"/>
          <w:color w:val="000000" w:themeColor="text1"/>
          <w:sz w:val="16"/>
          <w:szCs w:val="16"/>
        </w:rPr>
        <w:t>Автострою</w:t>
      </w:r>
      <w:proofErr w:type="spellEnd"/>
      <w:r w:rsidRPr="007122AB">
        <w:rPr>
          <w:rFonts w:ascii="Times New Roman" w:hAnsi="Times New Roman"/>
          <w:color w:val="000000" w:themeColor="text1"/>
          <w:sz w:val="16"/>
          <w:szCs w:val="16"/>
        </w:rPr>
        <w:t xml:space="preserve">, то к октябрю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имелось 93 договора. Механовооруженность на </w:t>
      </w:r>
      <w:proofErr w:type="spellStart"/>
      <w:r w:rsidRPr="007122AB">
        <w:rPr>
          <w:rFonts w:ascii="Times New Roman" w:hAnsi="Times New Roman"/>
          <w:color w:val="000000" w:themeColor="text1"/>
          <w:sz w:val="16"/>
          <w:szCs w:val="16"/>
        </w:rPr>
        <w:t>Автострое</w:t>
      </w:r>
      <w:proofErr w:type="spellEnd"/>
      <w:r w:rsidRPr="007122AB">
        <w:rPr>
          <w:rFonts w:ascii="Times New Roman" w:hAnsi="Times New Roman"/>
          <w:color w:val="000000" w:themeColor="text1"/>
          <w:sz w:val="16"/>
          <w:szCs w:val="16"/>
        </w:rPr>
        <w:t xml:space="preserve"> по-прежнему была низкой. В самый разгар стройки, в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насчитывалось всего лишь 102 автомобиля, 7 тракторов, 8 экскаваторов, 4 железнодорожных крана. Слабая вооруженность машинами и механизмами предопределяла значительный численный состав строителей. К концу года на площадке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насчитывалось до 30 тыс. рабочих, инженерно-технических работников и служащих, подавляющее большинство из них – молодежь (около 70%). Среди строителей было 2 тыс. чувашей, 700 мордвинов, 60 татар, 250 марийцев, около 100 удмуртов (15218).</w:t>
      </w:r>
    </w:p>
    <w:p w14:paraId="34B7EA34" w14:textId="7CF2D39A" w:rsidR="00CC487C" w:rsidRPr="007122AB" w:rsidRDefault="00CC487C" w:rsidP="007122AB">
      <w:pPr>
        <w:widowControl w:val="0"/>
        <w:spacing w:after="0" w:line="240" w:lineRule="auto"/>
        <w:jc w:val="both"/>
        <w:rPr>
          <w:rFonts w:ascii="Times New Roman" w:hAnsi="Times New Roman"/>
          <w:color w:val="000000" w:themeColor="text1"/>
          <w:sz w:val="16"/>
          <w:szCs w:val="16"/>
        </w:rPr>
      </w:pPr>
    </w:p>
    <w:p w14:paraId="0AACA6B2" w14:textId="43957144" w:rsidR="003C0F10" w:rsidRPr="007122AB" w:rsidRDefault="003C0F10" w:rsidP="007122AB">
      <w:pPr>
        <w:widowControl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Внешняя политика:</w:t>
      </w:r>
    </w:p>
    <w:p w14:paraId="03E75F4E" w14:textId="77777777" w:rsidR="003C0F10" w:rsidRPr="007122AB" w:rsidRDefault="003C0F10" w:rsidP="007122AB">
      <w:pPr>
        <w:widowControl w:val="0"/>
        <w:spacing w:after="0" w:line="240" w:lineRule="auto"/>
        <w:jc w:val="both"/>
        <w:rPr>
          <w:rFonts w:ascii="Times New Roman" w:hAnsi="Times New Roman"/>
          <w:i/>
          <w:iCs/>
          <w:color w:val="000000" w:themeColor="text1"/>
          <w:sz w:val="16"/>
          <w:szCs w:val="16"/>
        </w:rPr>
      </w:pPr>
    </w:p>
    <w:p w14:paraId="6E4ABC04" w14:textId="77777777" w:rsidR="003C0F10" w:rsidRPr="007122AB" w:rsidRDefault="003C0F1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10 мая 1931 Политбюро согласилось с предложением первого секретаря Северного крайкома С.А. </w:t>
      </w:r>
      <w:proofErr w:type="spellStart"/>
      <w:r w:rsidRPr="007122AB">
        <w:rPr>
          <w:rFonts w:ascii="Times New Roman" w:hAnsi="Times New Roman"/>
          <w:color w:val="000000" w:themeColor="text1"/>
          <w:sz w:val="16"/>
          <w:szCs w:val="16"/>
          <w:shd w:val="clear" w:color="auto" w:fill="FFFFFF"/>
        </w:rPr>
        <w:t>Бергавинова</w:t>
      </w:r>
      <w:proofErr w:type="spellEnd"/>
      <w:r w:rsidRPr="007122AB">
        <w:rPr>
          <w:rFonts w:ascii="Times New Roman" w:hAnsi="Times New Roman"/>
          <w:color w:val="000000" w:themeColor="text1"/>
          <w:sz w:val="16"/>
          <w:szCs w:val="16"/>
          <w:shd w:val="clear" w:color="auto" w:fill="FFFFFF"/>
        </w:rPr>
        <w:t xml:space="preserve"> выплатить за акции «Англо-Грумант» 10 тысяч фунтов стерлингов наличными и 45 тысяч — с рассрочкой на десять лет при 8 % годовых54. Окончательно же Советский Союз сумел прочно и обстоятельно обосноваться на Шпицбергене несколько позже. После того, как Политбюро 8 апреля 1932 года дало согласие на покупку второго на этом полярном архипелаге рудника «Грин-Харбор» нидерландской компании «</w:t>
      </w:r>
      <w:proofErr w:type="spellStart"/>
      <w:r w:rsidRPr="007122AB">
        <w:rPr>
          <w:rFonts w:ascii="Times New Roman" w:hAnsi="Times New Roman"/>
          <w:color w:val="000000" w:themeColor="text1"/>
          <w:sz w:val="16"/>
          <w:szCs w:val="16"/>
          <w:shd w:val="clear" w:color="auto" w:fill="FFFFFF"/>
        </w:rPr>
        <w:t>Неспико</w:t>
      </w:r>
      <w:proofErr w:type="spellEnd"/>
      <w:r w:rsidRPr="007122AB">
        <w:rPr>
          <w:rFonts w:ascii="Times New Roman" w:hAnsi="Times New Roman"/>
          <w:color w:val="000000" w:themeColor="text1"/>
          <w:sz w:val="16"/>
          <w:szCs w:val="16"/>
          <w:shd w:val="clear" w:color="auto" w:fill="FFFFFF"/>
        </w:rPr>
        <w:t xml:space="preserve">». За полтора миллиона золотых рублей или сто пятьдесят тысяч фунтов стерлингов, которые предстояло выплачивать на протяжении десяти лет. А незадолго перед тем, 5 сентября 1931 года, добычу угля на Шпицбергене изъяли из ведения всесоюзного объединения </w:t>
      </w:r>
      <w:proofErr w:type="spellStart"/>
      <w:r w:rsidRPr="007122AB">
        <w:rPr>
          <w:rFonts w:ascii="Times New Roman" w:hAnsi="Times New Roman"/>
          <w:color w:val="000000" w:themeColor="text1"/>
          <w:sz w:val="16"/>
          <w:szCs w:val="16"/>
          <w:shd w:val="clear" w:color="auto" w:fill="FFFFFF"/>
        </w:rPr>
        <w:t>Союзлеспром</w:t>
      </w:r>
      <w:proofErr w:type="spellEnd"/>
      <w:r w:rsidRPr="007122AB">
        <w:rPr>
          <w:rFonts w:ascii="Times New Roman" w:hAnsi="Times New Roman"/>
          <w:color w:val="000000" w:themeColor="text1"/>
          <w:sz w:val="16"/>
          <w:szCs w:val="16"/>
          <w:shd w:val="clear" w:color="auto" w:fill="FFFFFF"/>
        </w:rPr>
        <w:t>, занимавшегося весьма далекими от горного дела заготовкой, сбытом внутри страны и за рубежом древесины и пиломатериалов. Передали в топливно-энергетический сектор ВСНХ СССР, образовав для того трест «Арктикуголь» (20467).</w:t>
      </w:r>
    </w:p>
    <w:p w14:paraId="441BE37C" w14:textId="77777777" w:rsidR="003C0F10" w:rsidRPr="007122AB" w:rsidRDefault="003C0F10" w:rsidP="007122AB">
      <w:pPr>
        <w:spacing w:after="0" w:line="240" w:lineRule="auto"/>
        <w:jc w:val="both"/>
        <w:rPr>
          <w:rFonts w:ascii="Times New Roman" w:hAnsi="Times New Roman"/>
          <w:color w:val="000000" w:themeColor="text1"/>
          <w:sz w:val="16"/>
          <w:szCs w:val="16"/>
        </w:rPr>
      </w:pPr>
    </w:p>
    <w:p w14:paraId="0EA0A5D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406A72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478E02" w14:textId="77777777" w:rsidR="00CC487C" w:rsidRPr="007122AB" w:rsidRDefault="00CC48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мая в 1931 году разбился второй прототип французского истребителя «S.91» «</w:t>
      </w:r>
      <w:proofErr w:type="spellStart"/>
      <w:r w:rsidRPr="007122AB">
        <w:rPr>
          <w:rFonts w:ascii="Times New Roman" w:hAnsi="Times New Roman"/>
          <w:color w:val="000000" w:themeColor="text1"/>
          <w:sz w:val="16"/>
          <w:szCs w:val="16"/>
        </w:rPr>
        <w:t>Leger</w:t>
      </w:r>
      <w:proofErr w:type="spellEnd"/>
      <w:r w:rsidRPr="007122AB">
        <w:rPr>
          <w:rFonts w:ascii="Times New Roman" w:hAnsi="Times New Roman"/>
          <w:color w:val="000000" w:themeColor="text1"/>
          <w:sz w:val="16"/>
          <w:szCs w:val="16"/>
        </w:rPr>
        <w:t>». Первый прототип «S.91» «</w:t>
      </w:r>
      <w:proofErr w:type="spellStart"/>
      <w:r w:rsidRPr="007122AB">
        <w:rPr>
          <w:rFonts w:ascii="Times New Roman" w:hAnsi="Times New Roman"/>
          <w:color w:val="000000" w:themeColor="text1"/>
          <w:sz w:val="16"/>
          <w:szCs w:val="16"/>
        </w:rPr>
        <w:t>Leger</w:t>
      </w:r>
      <w:proofErr w:type="spellEnd"/>
      <w:r w:rsidRPr="007122AB">
        <w:rPr>
          <w:rFonts w:ascii="Times New Roman" w:hAnsi="Times New Roman"/>
          <w:color w:val="000000" w:themeColor="text1"/>
          <w:sz w:val="16"/>
          <w:szCs w:val="16"/>
        </w:rPr>
        <w:t>», оснащенный двигателем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12НЬ мощностью 500 л.с. (373 кВт), поднялся в воздух 23 августа 1927 года. Второй прототип «S.91/1» отличался в основном фронтальным расположением радиатора. Позднее его оснастили двигателем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12Gb, и под обозначением «S.91/2» он поднялся в воздух 31 августа 1928 года. «S.91/2» продемонстрировали в Греции и Румынии, а затем переделали в «S.91/3», установив мотор воздушного охлаждения «</w:t>
      </w:r>
      <w:proofErr w:type="spellStart"/>
      <w:r w:rsidRPr="007122AB">
        <w:rPr>
          <w:rFonts w:ascii="Times New Roman" w:hAnsi="Times New Roman"/>
          <w:color w:val="000000" w:themeColor="text1"/>
          <w:sz w:val="16"/>
          <w:szCs w:val="16"/>
        </w:rPr>
        <w:t>Gnome-Rhone</w:t>
      </w:r>
      <w:proofErr w:type="spellEnd"/>
      <w:r w:rsidRPr="007122AB">
        <w:rPr>
          <w:rFonts w:ascii="Times New Roman" w:hAnsi="Times New Roman"/>
          <w:color w:val="000000" w:themeColor="text1"/>
          <w:sz w:val="16"/>
          <w:szCs w:val="16"/>
        </w:rPr>
        <w:t xml:space="preserve">» («Bristol») 9As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xml:space="preserve"> мощностью 420 л. с. (313 кВт). В 1931 году самолет превратили в «S.91/5», установив двигатель «</w:t>
      </w:r>
      <w:proofErr w:type="spellStart"/>
      <w:r w:rsidRPr="007122AB">
        <w:rPr>
          <w:rFonts w:ascii="Times New Roman" w:hAnsi="Times New Roman"/>
          <w:color w:val="000000" w:themeColor="text1"/>
          <w:sz w:val="16"/>
          <w:szCs w:val="16"/>
        </w:rPr>
        <w:t>Gnome-Rhone</w:t>
      </w:r>
      <w:proofErr w:type="spellEnd"/>
      <w:r w:rsidRPr="007122AB">
        <w:rPr>
          <w:rFonts w:ascii="Times New Roman" w:hAnsi="Times New Roman"/>
          <w:color w:val="000000" w:themeColor="text1"/>
          <w:sz w:val="16"/>
          <w:szCs w:val="16"/>
        </w:rPr>
        <w:t>» «9Ае» «</w:t>
      </w:r>
      <w:proofErr w:type="spellStart"/>
      <w:r w:rsidRPr="007122AB">
        <w:rPr>
          <w:rFonts w:ascii="Times New Roman" w:hAnsi="Times New Roman"/>
          <w:color w:val="000000" w:themeColor="text1"/>
          <w:sz w:val="16"/>
          <w:szCs w:val="16"/>
        </w:rPr>
        <w:t>Jupiter</w:t>
      </w:r>
      <w:proofErr w:type="spellEnd"/>
      <w:r w:rsidRPr="007122AB">
        <w:rPr>
          <w:rFonts w:ascii="Times New Roman" w:hAnsi="Times New Roman"/>
          <w:color w:val="000000" w:themeColor="text1"/>
          <w:sz w:val="16"/>
          <w:szCs w:val="16"/>
        </w:rPr>
        <w:t>» мощностью 480 л.с. (358 кВт). Подозреваю, что утомленный многочисленными переделками, прототип ушел из такой летной жизни сам (14887).</w:t>
      </w:r>
    </w:p>
    <w:p w14:paraId="2A1FD2D2" w14:textId="77777777" w:rsidR="00CC487C" w:rsidRPr="007122AB" w:rsidRDefault="00CC487C" w:rsidP="007122AB">
      <w:pPr>
        <w:spacing w:after="0" w:line="240" w:lineRule="auto"/>
        <w:jc w:val="both"/>
        <w:rPr>
          <w:rFonts w:ascii="Times New Roman" w:hAnsi="Times New Roman"/>
          <w:color w:val="000000" w:themeColor="text1"/>
          <w:sz w:val="16"/>
          <w:szCs w:val="16"/>
        </w:rPr>
      </w:pPr>
    </w:p>
    <w:p w14:paraId="21E791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мая 1931 года во время испытаний, проводившихся Риделем на «</w:t>
      </w:r>
      <w:proofErr w:type="spellStart"/>
      <w:r w:rsidRPr="007122AB">
        <w:rPr>
          <w:rFonts w:ascii="Times New Roman" w:hAnsi="Times New Roman"/>
          <w:color w:val="000000" w:themeColor="text1"/>
          <w:sz w:val="16"/>
          <w:szCs w:val="16"/>
        </w:rPr>
        <w:t>Ракетенфлюгплатц</w:t>
      </w:r>
      <w:proofErr w:type="spellEnd"/>
      <w:r w:rsidRPr="007122AB">
        <w:rPr>
          <w:rFonts w:ascii="Times New Roman" w:hAnsi="Times New Roman"/>
          <w:color w:val="000000" w:themeColor="text1"/>
          <w:sz w:val="16"/>
          <w:szCs w:val="16"/>
        </w:rPr>
        <w:t>» с двигателем для замера тяги, произошел непредвиденный взлет всего устройства, которое медленно поднялось на 18 м, а затем упало, повредив топливный трубопровод (11688).</w:t>
      </w:r>
    </w:p>
    <w:p w14:paraId="4BD68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14 мая ракета была отремонтирована, несколько облегчена и готова для первого экспериментального запуска. В назначенный час «летающий испытательный стенд», получивший название «Repulsor-1» («Репульсор-1»), с диким ревом стартовал. Он ударился о крышу соседнего здания, около двух секунд летел косо вверх под углом в 70°, после чего сделал мертвую петлю, поднялся еще немного, и, спикировав, упал на землю с работающим двигателем. Во время пикирования стенка камеры сгорания в одном месте прогорела, и здесь образовалось новое «сопло», за счет чего система получила вращательное движение. Ракета не развалилась только потому, что закончилось топливо. Достигнутая высота составила не более 60 м (11688).</w:t>
      </w:r>
    </w:p>
    <w:p w14:paraId="7F293E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5574AB" w14:textId="77777777" w:rsidR="005C5785" w:rsidRPr="007122AB" w:rsidRDefault="005C578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569A275" w14:textId="77777777" w:rsidR="005C5785" w:rsidRPr="007122AB" w:rsidRDefault="005C578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8A305A" w14:textId="77777777" w:rsidR="005C5785" w:rsidRPr="007122AB" w:rsidRDefault="005C578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мая 1931 г. Лаборатория ДВС стала самостоятельной единицей, а 1 января 1932 г. была преобразована в </w:t>
      </w:r>
      <w:proofErr w:type="spellStart"/>
      <w:r w:rsidRPr="007122AB">
        <w:rPr>
          <w:rFonts w:ascii="Times New Roman" w:hAnsi="Times New Roman"/>
          <w:color w:val="000000" w:themeColor="text1"/>
          <w:sz w:val="16"/>
          <w:szCs w:val="16"/>
        </w:rPr>
        <w:t>УкрНИИ</w:t>
      </w:r>
      <w:proofErr w:type="spellEnd"/>
      <w:r w:rsidRPr="007122AB">
        <w:rPr>
          <w:rFonts w:ascii="Times New Roman" w:hAnsi="Times New Roman"/>
          <w:color w:val="000000" w:themeColor="text1"/>
          <w:sz w:val="16"/>
          <w:szCs w:val="16"/>
        </w:rPr>
        <w:t xml:space="preserve"> ДВС, который 21 марта того же года получил наименование Украинский научно-исследовательский </w:t>
      </w:r>
      <w:proofErr w:type="spellStart"/>
      <w:r w:rsidRPr="007122AB">
        <w:rPr>
          <w:rFonts w:ascii="Times New Roman" w:hAnsi="Times New Roman"/>
          <w:color w:val="000000" w:themeColor="text1"/>
          <w:sz w:val="16"/>
          <w:szCs w:val="16"/>
        </w:rPr>
        <w:t>авиадизельный</w:t>
      </w:r>
      <w:proofErr w:type="spellEnd"/>
      <w:r w:rsidRPr="007122AB">
        <w:rPr>
          <w:rFonts w:ascii="Times New Roman" w:hAnsi="Times New Roman"/>
          <w:color w:val="000000" w:themeColor="text1"/>
          <w:sz w:val="16"/>
          <w:szCs w:val="16"/>
        </w:rPr>
        <w:t xml:space="preserve"> институт (УНИАДИ), подчиненный Главному управлению Гражданского воздушного флота (ГУ ГВФ). Первоначально Лаборатория насчитывала 45 сотрудников и имела всего шесть станков. Ввиду важности поученного задания и численность сотрудников, и материальная база быстро росли. В 1932 г. в УНИАДИ работало уже около 220 человек. Институту необходима была опытная база, и по решению СНК УССР ему были переданы производственные площади завода им. Лозовского, на которых разместились механический, литейный и сборочный цехи, испытательная станция, конструкторское бюро, технологическая группа, лаборатория. На 1 января 1934 г. коллектив УНИАДИ составлял уже 399 человек (19149).</w:t>
      </w:r>
    </w:p>
    <w:p w14:paraId="306DE256" w14:textId="77777777" w:rsidR="005C5785" w:rsidRPr="007122AB" w:rsidRDefault="005C5785" w:rsidP="007122AB">
      <w:pPr>
        <w:spacing w:after="0" w:line="240" w:lineRule="auto"/>
        <w:jc w:val="both"/>
        <w:rPr>
          <w:rFonts w:ascii="Times New Roman" w:hAnsi="Times New Roman"/>
          <w:color w:val="000000" w:themeColor="text1"/>
          <w:sz w:val="16"/>
          <w:szCs w:val="16"/>
        </w:rPr>
      </w:pPr>
    </w:p>
    <w:p w14:paraId="0290B777" w14:textId="77777777" w:rsidR="00974187" w:rsidRPr="007122AB" w:rsidRDefault="00974187"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Жизнь и внутре</w:t>
      </w:r>
      <w:r w:rsidR="005C5785" w:rsidRPr="007122AB">
        <w:rPr>
          <w:rFonts w:ascii="Times New Roman" w:hAnsi="Times New Roman"/>
          <w:i/>
          <w:iCs/>
          <w:color w:val="000000" w:themeColor="text1"/>
          <w:sz w:val="16"/>
          <w:szCs w:val="16"/>
        </w:rPr>
        <w:t>н</w:t>
      </w:r>
      <w:r w:rsidRPr="007122AB">
        <w:rPr>
          <w:rFonts w:ascii="Times New Roman" w:hAnsi="Times New Roman"/>
          <w:i/>
          <w:iCs/>
          <w:color w:val="000000" w:themeColor="text1"/>
          <w:sz w:val="16"/>
          <w:szCs w:val="16"/>
        </w:rPr>
        <w:t>няя политика:</w:t>
      </w:r>
    </w:p>
    <w:p w14:paraId="04DB08E1" w14:textId="77777777" w:rsidR="00974187" w:rsidRPr="007122AB" w:rsidRDefault="00974187"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61F05F81"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мая в 1931 году в Ленинграде основан Институт по проектированию горнорудных предприятий (ныне АО «Гипроруда») (14888).</w:t>
      </w:r>
    </w:p>
    <w:p w14:paraId="5D8CB86F"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7A8C706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8C1502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2D94B5"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мая в 1931 году швейцарский физик Огюст Пикар совершил полет в стратосферу, взлетев в герметической капсуле на высоту 15 281 м. В следующем году он перекрыл собственный рекорд, поднявшись на 16 201 м. Побит этот рекорд был три года спустя американцами капитанами </w:t>
      </w:r>
      <w:proofErr w:type="spellStart"/>
      <w:r w:rsidRPr="007122AB">
        <w:rPr>
          <w:rFonts w:ascii="Times New Roman" w:hAnsi="Times New Roman"/>
          <w:color w:val="000000" w:themeColor="text1"/>
          <w:sz w:val="16"/>
          <w:szCs w:val="16"/>
        </w:rPr>
        <w:t>Орвилом</w:t>
      </w:r>
      <w:proofErr w:type="spellEnd"/>
      <w:r w:rsidRPr="007122AB">
        <w:rPr>
          <w:rFonts w:ascii="Times New Roman" w:hAnsi="Times New Roman"/>
          <w:color w:val="000000" w:themeColor="text1"/>
          <w:sz w:val="16"/>
          <w:szCs w:val="16"/>
        </w:rPr>
        <w:t xml:space="preserve"> Андерсеном и Альбертом Стивенсоном, которые в небе над южной Дакотой достигли высоты 22 066 м (14888).</w:t>
      </w:r>
    </w:p>
    <w:p w14:paraId="0EAEACD0"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5E285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мая 1931 в Австрии произошел крах банка Кредит </w:t>
      </w:r>
      <w:proofErr w:type="spellStart"/>
      <w:r w:rsidRPr="007122AB">
        <w:rPr>
          <w:rFonts w:ascii="Times New Roman" w:hAnsi="Times New Roman"/>
          <w:color w:val="000000" w:themeColor="text1"/>
          <w:sz w:val="16"/>
          <w:szCs w:val="16"/>
        </w:rPr>
        <w:t>Анштальт</w:t>
      </w:r>
      <w:proofErr w:type="spellEnd"/>
      <w:r w:rsidRPr="007122AB">
        <w:rPr>
          <w:rFonts w:ascii="Times New Roman" w:hAnsi="Times New Roman"/>
          <w:color w:val="000000" w:themeColor="text1"/>
          <w:sz w:val="16"/>
          <w:szCs w:val="16"/>
        </w:rPr>
        <w:t xml:space="preserve"> (3186) и начался кризис в Европе (3907,167).</w:t>
      </w:r>
    </w:p>
    <w:p w14:paraId="4DCBF9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378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мая 1931 Банкротством австрийского банка "Кредит-</w:t>
      </w:r>
      <w:proofErr w:type="spellStart"/>
      <w:r w:rsidRPr="007122AB">
        <w:rPr>
          <w:rFonts w:ascii="Times New Roman" w:hAnsi="Times New Roman"/>
          <w:color w:val="000000" w:themeColor="text1"/>
          <w:sz w:val="16"/>
          <w:szCs w:val="16"/>
        </w:rPr>
        <w:t>Анштальт</w:t>
      </w:r>
      <w:proofErr w:type="spellEnd"/>
      <w:r w:rsidRPr="007122AB">
        <w:rPr>
          <w:rFonts w:ascii="Times New Roman" w:hAnsi="Times New Roman"/>
          <w:color w:val="000000" w:themeColor="text1"/>
          <w:sz w:val="16"/>
          <w:szCs w:val="16"/>
        </w:rPr>
        <w:t>". начинается финансовый кризис в Центральной Европе (7444).</w:t>
      </w:r>
    </w:p>
    <w:p w14:paraId="5D88CD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328FA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2BEE97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105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мая 1931 года </w:t>
      </w:r>
      <w:proofErr w:type="spellStart"/>
      <w:r w:rsidRPr="007122AB">
        <w:rPr>
          <w:rFonts w:ascii="Times New Roman" w:hAnsi="Times New Roman"/>
          <w:color w:val="000000" w:themeColor="text1"/>
          <w:sz w:val="16"/>
          <w:szCs w:val="16"/>
        </w:rPr>
        <w:t>Петрожицкий</w:t>
      </w:r>
      <w:proofErr w:type="spellEnd"/>
      <w:r w:rsidRPr="007122AB">
        <w:rPr>
          <w:rFonts w:ascii="Times New Roman" w:hAnsi="Times New Roman"/>
          <w:color w:val="000000" w:themeColor="text1"/>
          <w:sz w:val="16"/>
          <w:szCs w:val="16"/>
        </w:rPr>
        <w:t xml:space="preserve"> писал письмо N ПТО/14сс зам. начальника ВВС.</w:t>
      </w:r>
    </w:p>
    <w:p w14:paraId="1A772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w:t>
      </w:r>
    </w:p>
    <w:p w14:paraId="69385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совещания по внедрению новых типов самолетов плана</w:t>
      </w:r>
    </w:p>
    <w:p w14:paraId="310AE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опытного строительства в серийное производство и</w:t>
      </w:r>
    </w:p>
    <w:p w14:paraId="0B36D7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распределение их по заводам ВАО на 1932 и 1933 годы.</w:t>
      </w:r>
    </w:p>
    <w:p w14:paraId="51FD3B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Присутствовали:</w:t>
      </w:r>
    </w:p>
    <w:p w14:paraId="7AD5F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 УВВС - </w:t>
      </w:r>
      <w:proofErr w:type="spellStart"/>
      <w:r w:rsidRPr="007122AB">
        <w:rPr>
          <w:rFonts w:ascii="Times New Roman" w:hAnsi="Times New Roman"/>
          <w:color w:val="000000" w:themeColor="text1"/>
          <w:sz w:val="16"/>
          <w:szCs w:val="16"/>
        </w:rPr>
        <w:t>Петрожицкий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Горелиц</w:t>
      </w:r>
      <w:proofErr w:type="spellEnd"/>
      <w:r w:rsidRPr="007122AB">
        <w:rPr>
          <w:rFonts w:ascii="Times New Roman" w:hAnsi="Times New Roman"/>
          <w:color w:val="000000" w:themeColor="text1"/>
          <w:sz w:val="16"/>
          <w:szCs w:val="16"/>
        </w:rPr>
        <w:t>, С.В.И.</w:t>
      </w:r>
    </w:p>
    <w:p w14:paraId="7D00FB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 ВАО - Оловянников, Бурмистров, </w:t>
      </w:r>
      <w:proofErr w:type="spellStart"/>
      <w:r w:rsidRPr="007122AB">
        <w:rPr>
          <w:rFonts w:ascii="Times New Roman" w:hAnsi="Times New Roman"/>
          <w:color w:val="000000" w:themeColor="text1"/>
          <w:sz w:val="16"/>
          <w:szCs w:val="16"/>
        </w:rPr>
        <w:t>Мельницын</w:t>
      </w:r>
      <w:proofErr w:type="spellEnd"/>
      <w:r w:rsidRPr="007122AB">
        <w:rPr>
          <w:rFonts w:ascii="Times New Roman" w:hAnsi="Times New Roman"/>
          <w:color w:val="000000" w:themeColor="text1"/>
          <w:sz w:val="16"/>
          <w:szCs w:val="16"/>
        </w:rPr>
        <w:t>, Дементьев.</w:t>
      </w:r>
    </w:p>
    <w:p w14:paraId="29B986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2535"/>
        <w:gridCol w:w="5245"/>
      </w:tblGrid>
      <w:tr w:rsidR="001002C3" w:rsidRPr="007122AB" w14:paraId="62F6BBE2" w14:textId="77777777">
        <w:tc>
          <w:tcPr>
            <w:tcW w:w="1409" w:type="dxa"/>
          </w:tcPr>
          <w:p w14:paraId="4D63B5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следующее распределение типов самолетов по заводам:</w:t>
            </w:r>
          </w:p>
        </w:tc>
        <w:tc>
          <w:tcPr>
            <w:tcW w:w="1409" w:type="dxa"/>
          </w:tcPr>
          <w:p w14:paraId="053356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1D7774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ACC8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9D6D8A" w14:textId="77777777">
        <w:tc>
          <w:tcPr>
            <w:tcW w:w="1409" w:type="dxa"/>
          </w:tcPr>
          <w:p w14:paraId="2E92C6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NN заводов</w:t>
            </w:r>
          </w:p>
        </w:tc>
        <w:tc>
          <w:tcPr>
            <w:tcW w:w="1409" w:type="dxa"/>
          </w:tcPr>
          <w:p w14:paraId="4FDB2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год</w:t>
            </w:r>
          </w:p>
        </w:tc>
        <w:tc>
          <w:tcPr>
            <w:tcW w:w="2535" w:type="dxa"/>
          </w:tcPr>
          <w:p w14:paraId="25618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 год</w:t>
            </w:r>
          </w:p>
        </w:tc>
        <w:tc>
          <w:tcPr>
            <w:tcW w:w="5245" w:type="dxa"/>
          </w:tcPr>
          <w:p w14:paraId="29324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r>
      <w:tr w:rsidR="001002C3" w:rsidRPr="007122AB" w14:paraId="4922CD73" w14:textId="77777777">
        <w:tc>
          <w:tcPr>
            <w:tcW w:w="1409" w:type="dxa"/>
          </w:tcPr>
          <w:p w14:paraId="77800B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409" w:type="dxa"/>
          </w:tcPr>
          <w:p w14:paraId="0647A7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И-5,</w:t>
            </w:r>
          </w:p>
        </w:tc>
        <w:tc>
          <w:tcPr>
            <w:tcW w:w="2535" w:type="dxa"/>
          </w:tcPr>
          <w:p w14:paraId="05E2F8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И5, (И-13),</w:t>
            </w:r>
          </w:p>
        </w:tc>
        <w:tc>
          <w:tcPr>
            <w:tcW w:w="5245" w:type="dxa"/>
          </w:tcPr>
          <w:p w14:paraId="6F69CE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При загруженности завода первыми</w:t>
            </w:r>
          </w:p>
        </w:tc>
      </w:tr>
      <w:tr w:rsidR="001002C3" w:rsidRPr="007122AB" w14:paraId="28CA8D88" w14:textId="77777777">
        <w:tc>
          <w:tcPr>
            <w:tcW w:w="1409" w:type="dxa"/>
          </w:tcPr>
          <w:p w14:paraId="573098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51C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 (И-7)*</w:t>
            </w:r>
          </w:p>
        </w:tc>
        <w:tc>
          <w:tcPr>
            <w:tcW w:w="2535" w:type="dxa"/>
          </w:tcPr>
          <w:p w14:paraId="21E2F2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 (ТШ-2)**</w:t>
            </w:r>
          </w:p>
        </w:tc>
        <w:tc>
          <w:tcPr>
            <w:tcW w:w="5245" w:type="dxa"/>
          </w:tcPr>
          <w:p w14:paraId="1A862F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тремя типами сам. И-7 переносится</w:t>
            </w:r>
          </w:p>
        </w:tc>
      </w:tr>
      <w:tr w:rsidR="001002C3" w:rsidRPr="007122AB" w14:paraId="0B7E5DC9" w14:textId="77777777">
        <w:tc>
          <w:tcPr>
            <w:tcW w:w="1409" w:type="dxa"/>
          </w:tcPr>
          <w:p w14:paraId="7DA469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75D3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E854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6AB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21-й завод.</w:t>
            </w:r>
          </w:p>
        </w:tc>
      </w:tr>
      <w:tr w:rsidR="001002C3" w:rsidRPr="007122AB" w14:paraId="5E9BB020" w14:textId="77777777">
        <w:tc>
          <w:tcPr>
            <w:tcW w:w="1409" w:type="dxa"/>
          </w:tcPr>
          <w:p w14:paraId="09E0A3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E7F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239DD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0562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И-13и ЛБШ-3 идут на смену И5 и</w:t>
            </w:r>
          </w:p>
        </w:tc>
      </w:tr>
      <w:tr w:rsidR="001002C3" w:rsidRPr="007122AB" w14:paraId="26F9879C" w14:textId="77777777">
        <w:tc>
          <w:tcPr>
            <w:tcW w:w="1409" w:type="dxa"/>
          </w:tcPr>
          <w:p w14:paraId="15C09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9737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59470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5245" w:type="dxa"/>
          </w:tcPr>
          <w:p w14:paraId="15C0F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8BA02BC" w14:textId="77777777">
        <w:tc>
          <w:tcPr>
            <w:tcW w:w="1409" w:type="dxa"/>
          </w:tcPr>
          <w:p w14:paraId="4DD420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409" w:type="dxa"/>
          </w:tcPr>
          <w:p w14:paraId="5DF26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Р-6,</w:t>
            </w:r>
          </w:p>
        </w:tc>
        <w:tc>
          <w:tcPr>
            <w:tcW w:w="2535" w:type="dxa"/>
          </w:tcPr>
          <w:p w14:paraId="36F3EB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ТБ-3, И-12, </w:t>
            </w:r>
          </w:p>
        </w:tc>
        <w:tc>
          <w:tcPr>
            <w:tcW w:w="5245" w:type="dxa"/>
          </w:tcPr>
          <w:p w14:paraId="46A37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Ввиду перегруженности завода</w:t>
            </w:r>
          </w:p>
        </w:tc>
      </w:tr>
      <w:tr w:rsidR="001002C3" w:rsidRPr="007122AB" w14:paraId="73A24769" w14:textId="77777777">
        <w:tc>
          <w:tcPr>
            <w:tcW w:w="1409" w:type="dxa"/>
          </w:tcPr>
          <w:p w14:paraId="6307A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2135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 И-12,</w:t>
            </w:r>
          </w:p>
        </w:tc>
        <w:tc>
          <w:tcPr>
            <w:tcW w:w="2535" w:type="dxa"/>
          </w:tcPr>
          <w:p w14:paraId="6D1D4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 (Р6)**,</w:t>
            </w:r>
          </w:p>
        </w:tc>
        <w:tc>
          <w:tcPr>
            <w:tcW w:w="5245" w:type="dxa"/>
          </w:tcPr>
          <w:p w14:paraId="17D57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производством первых 4-х типов</w:t>
            </w:r>
          </w:p>
        </w:tc>
      </w:tr>
      <w:tr w:rsidR="001002C3" w:rsidRPr="007122AB" w14:paraId="4224721D" w14:textId="77777777">
        <w:tc>
          <w:tcPr>
            <w:tcW w:w="1409" w:type="dxa"/>
          </w:tcPr>
          <w:p w14:paraId="339A7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8EB6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w:t>
            </w:r>
          </w:p>
        </w:tc>
        <w:tc>
          <w:tcPr>
            <w:tcW w:w="2535" w:type="dxa"/>
          </w:tcPr>
          <w:p w14:paraId="093A39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5245" w:type="dxa"/>
          </w:tcPr>
          <w:p w14:paraId="19C553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 АНТ-14 он строить не сможет.</w:t>
            </w:r>
          </w:p>
        </w:tc>
      </w:tr>
      <w:tr w:rsidR="001002C3" w:rsidRPr="007122AB" w14:paraId="03586935" w14:textId="77777777">
        <w:tc>
          <w:tcPr>
            <w:tcW w:w="1409" w:type="dxa"/>
          </w:tcPr>
          <w:p w14:paraId="0B3AA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1D4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2EA28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94B7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МИ-3 вытесняет Р-6.</w:t>
            </w:r>
          </w:p>
        </w:tc>
      </w:tr>
      <w:tr w:rsidR="001002C3" w:rsidRPr="007122AB" w14:paraId="34BE35D6" w14:textId="77777777">
        <w:tc>
          <w:tcPr>
            <w:tcW w:w="1409" w:type="dxa"/>
          </w:tcPr>
          <w:p w14:paraId="71C8D0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c>
          <w:tcPr>
            <w:tcW w:w="1409" w:type="dxa"/>
          </w:tcPr>
          <w:p w14:paraId="3FF57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МУ-3,</w:t>
            </w:r>
          </w:p>
        </w:tc>
        <w:tc>
          <w:tcPr>
            <w:tcW w:w="2535" w:type="dxa"/>
          </w:tcPr>
          <w:p w14:paraId="45F6A3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МУ-3,</w:t>
            </w:r>
          </w:p>
        </w:tc>
        <w:tc>
          <w:tcPr>
            <w:tcW w:w="5245" w:type="dxa"/>
          </w:tcPr>
          <w:p w14:paraId="21F7A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B919666" w14:textId="77777777">
        <w:tc>
          <w:tcPr>
            <w:tcW w:w="1409" w:type="dxa"/>
          </w:tcPr>
          <w:p w14:paraId="002423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57ED0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амфибия</w:t>
            </w:r>
          </w:p>
        </w:tc>
        <w:tc>
          <w:tcPr>
            <w:tcW w:w="2535" w:type="dxa"/>
          </w:tcPr>
          <w:p w14:paraId="6D2229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A4E9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амфибия </w:t>
            </w:r>
          </w:p>
        </w:tc>
      </w:tr>
      <w:tr w:rsidR="001002C3" w:rsidRPr="007122AB" w14:paraId="061C14B5" w14:textId="77777777">
        <w:tc>
          <w:tcPr>
            <w:tcW w:w="1409" w:type="dxa"/>
          </w:tcPr>
          <w:p w14:paraId="3B438B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5E4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Шаврова,</w:t>
            </w:r>
          </w:p>
        </w:tc>
        <w:tc>
          <w:tcPr>
            <w:tcW w:w="2535" w:type="dxa"/>
          </w:tcPr>
          <w:p w14:paraId="20D48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C5DF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Шаврова,</w:t>
            </w:r>
          </w:p>
        </w:tc>
      </w:tr>
      <w:tr w:rsidR="001002C3" w:rsidRPr="007122AB" w14:paraId="2043D7A3" w14:textId="77777777">
        <w:tc>
          <w:tcPr>
            <w:tcW w:w="1409" w:type="dxa"/>
          </w:tcPr>
          <w:p w14:paraId="7E532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836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фотосъемщик</w:t>
            </w:r>
            <w:proofErr w:type="spellEnd"/>
          </w:p>
        </w:tc>
        <w:tc>
          <w:tcPr>
            <w:tcW w:w="2535" w:type="dxa"/>
          </w:tcPr>
          <w:p w14:paraId="668D95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фотосъемщик</w:t>
            </w:r>
            <w:proofErr w:type="spellEnd"/>
          </w:p>
        </w:tc>
        <w:tc>
          <w:tcPr>
            <w:tcW w:w="5245" w:type="dxa"/>
          </w:tcPr>
          <w:p w14:paraId="60B87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3C15623" w14:textId="77777777">
        <w:tc>
          <w:tcPr>
            <w:tcW w:w="1409" w:type="dxa"/>
          </w:tcPr>
          <w:p w14:paraId="65B44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c>
          <w:tcPr>
            <w:tcW w:w="1409" w:type="dxa"/>
          </w:tcPr>
          <w:p w14:paraId="50261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 МДР-3*,</w:t>
            </w:r>
          </w:p>
        </w:tc>
        <w:tc>
          <w:tcPr>
            <w:tcW w:w="2535" w:type="dxa"/>
          </w:tcPr>
          <w:p w14:paraId="5FA70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 МДР-3,</w:t>
            </w:r>
          </w:p>
        </w:tc>
        <w:tc>
          <w:tcPr>
            <w:tcW w:w="5245" w:type="dxa"/>
          </w:tcPr>
          <w:p w14:paraId="2604D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Для ВВС и для </w:t>
            </w:r>
            <w:proofErr w:type="spellStart"/>
            <w:r w:rsidRPr="007122AB">
              <w:rPr>
                <w:rFonts w:ascii="Times New Roman" w:hAnsi="Times New Roman"/>
                <w:color w:val="000000" w:themeColor="text1"/>
                <w:sz w:val="16"/>
                <w:szCs w:val="16"/>
              </w:rPr>
              <w:t>гражданск</w:t>
            </w:r>
            <w:proofErr w:type="spellEnd"/>
            <w:r w:rsidRPr="007122AB">
              <w:rPr>
                <w:rFonts w:ascii="Times New Roman" w:hAnsi="Times New Roman"/>
                <w:color w:val="000000" w:themeColor="text1"/>
                <w:sz w:val="16"/>
                <w:szCs w:val="16"/>
              </w:rPr>
              <w:t>. авиации</w:t>
            </w:r>
          </w:p>
        </w:tc>
      </w:tr>
      <w:tr w:rsidR="001002C3" w:rsidRPr="007122AB" w14:paraId="16B7F8BE" w14:textId="77777777">
        <w:tc>
          <w:tcPr>
            <w:tcW w:w="1409" w:type="dxa"/>
          </w:tcPr>
          <w:p w14:paraId="4B123C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9B8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ТШ-1</w:t>
            </w:r>
          </w:p>
        </w:tc>
        <w:tc>
          <w:tcPr>
            <w:tcW w:w="2535" w:type="dxa"/>
          </w:tcPr>
          <w:p w14:paraId="0A41B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ТШ-1,</w:t>
            </w:r>
          </w:p>
        </w:tc>
        <w:tc>
          <w:tcPr>
            <w:tcW w:w="5245" w:type="dxa"/>
          </w:tcPr>
          <w:p w14:paraId="174395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переделанный.</w:t>
            </w:r>
          </w:p>
        </w:tc>
      </w:tr>
      <w:tr w:rsidR="001002C3" w:rsidRPr="007122AB" w14:paraId="2BD7C0BE" w14:textId="77777777">
        <w:tc>
          <w:tcPr>
            <w:tcW w:w="1409" w:type="dxa"/>
          </w:tcPr>
          <w:p w14:paraId="2ACE5F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A2EA5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7A995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w:t>
            </w:r>
          </w:p>
        </w:tc>
        <w:tc>
          <w:tcPr>
            <w:tcW w:w="5245" w:type="dxa"/>
          </w:tcPr>
          <w:p w14:paraId="673D0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Без громадного увеличения</w:t>
            </w:r>
          </w:p>
        </w:tc>
      </w:tr>
      <w:tr w:rsidR="001002C3" w:rsidRPr="007122AB" w14:paraId="70A3C8C1" w14:textId="77777777">
        <w:tc>
          <w:tcPr>
            <w:tcW w:w="1409" w:type="dxa"/>
          </w:tcPr>
          <w:p w14:paraId="0F0A1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07F9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0A471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F6F1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самолетостроения на 31 заводе - МТБ-3</w:t>
            </w:r>
          </w:p>
        </w:tc>
      </w:tr>
      <w:tr w:rsidR="001002C3" w:rsidRPr="007122AB" w14:paraId="0AEC4651" w14:textId="77777777">
        <w:tc>
          <w:tcPr>
            <w:tcW w:w="1409" w:type="dxa"/>
          </w:tcPr>
          <w:p w14:paraId="56597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0DEAF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A091F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099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строиться не сможет.</w:t>
            </w:r>
          </w:p>
        </w:tc>
      </w:tr>
      <w:tr w:rsidR="001002C3" w:rsidRPr="007122AB" w14:paraId="2930AD8E" w14:textId="77777777">
        <w:tc>
          <w:tcPr>
            <w:tcW w:w="1409" w:type="dxa"/>
          </w:tcPr>
          <w:p w14:paraId="25524C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1409" w:type="dxa"/>
          </w:tcPr>
          <w:p w14:paraId="615AD5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Р-8,</w:t>
            </w:r>
          </w:p>
        </w:tc>
        <w:tc>
          <w:tcPr>
            <w:tcW w:w="2535" w:type="dxa"/>
          </w:tcPr>
          <w:p w14:paraId="74CC09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(ДИ-6)**,</w:t>
            </w:r>
          </w:p>
        </w:tc>
        <w:tc>
          <w:tcPr>
            <w:tcW w:w="5245" w:type="dxa"/>
          </w:tcPr>
          <w:p w14:paraId="529B41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При загруженности завода N 1.</w:t>
            </w:r>
          </w:p>
        </w:tc>
      </w:tr>
      <w:tr w:rsidR="001002C3" w:rsidRPr="007122AB" w14:paraId="3C2F51AD" w14:textId="77777777">
        <w:tc>
          <w:tcPr>
            <w:tcW w:w="1409" w:type="dxa"/>
          </w:tcPr>
          <w:p w14:paraId="4B7ED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BFED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2535" w:type="dxa"/>
          </w:tcPr>
          <w:p w14:paraId="5A8957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 И-7, (И-9)***,</w:t>
            </w:r>
          </w:p>
        </w:tc>
        <w:tc>
          <w:tcPr>
            <w:tcW w:w="5245" w:type="dxa"/>
          </w:tcPr>
          <w:p w14:paraId="61F2D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ДИ-6 вытесняет ДИ-3.</w:t>
            </w:r>
          </w:p>
        </w:tc>
      </w:tr>
      <w:tr w:rsidR="001002C3" w:rsidRPr="007122AB" w14:paraId="78B25520" w14:textId="77777777">
        <w:tc>
          <w:tcPr>
            <w:tcW w:w="1409" w:type="dxa"/>
          </w:tcPr>
          <w:p w14:paraId="7E5D2D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A90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09ED2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w:t>
            </w:r>
          </w:p>
        </w:tc>
        <w:tc>
          <w:tcPr>
            <w:tcW w:w="5245" w:type="dxa"/>
          </w:tcPr>
          <w:p w14:paraId="69FF0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И-9 вытесняет И-7.</w:t>
            </w:r>
          </w:p>
        </w:tc>
      </w:tr>
      <w:tr w:rsidR="001002C3" w:rsidRPr="007122AB" w14:paraId="56BFFCAB" w14:textId="77777777">
        <w:tc>
          <w:tcPr>
            <w:tcW w:w="1409" w:type="dxa"/>
          </w:tcPr>
          <w:p w14:paraId="6C78A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ХАЗ</w:t>
            </w:r>
          </w:p>
        </w:tc>
        <w:tc>
          <w:tcPr>
            <w:tcW w:w="1409" w:type="dxa"/>
          </w:tcPr>
          <w:p w14:paraId="6AB68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 АП-2,</w:t>
            </w:r>
          </w:p>
        </w:tc>
        <w:tc>
          <w:tcPr>
            <w:tcW w:w="2535" w:type="dxa"/>
          </w:tcPr>
          <w:p w14:paraId="778357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 АП-2,</w:t>
            </w:r>
          </w:p>
        </w:tc>
        <w:tc>
          <w:tcPr>
            <w:tcW w:w="5245" w:type="dxa"/>
          </w:tcPr>
          <w:p w14:paraId="04B60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2AD9970" w14:textId="77777777">
        <w:tc>
          <w:tcPr>
            <w:tcW w:w="1409" w:type="dxa"/>
          </w:tcPr>
          <w:p w14:paraId="1E4D1B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F237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4-х </w:t>
            </w: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w:t>
            </w:r>
          </w:p>
        </w:tc>
        <w:tc>
          <w:tcPr>
            <w:tcW w:w="2535" w:type="dxa"/>
          </w:tcPr>
          <w:p w14:paraId="5F2F8F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4-х </w:t>
            </w: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w:t>
            </w:r>
          </w:p>
        </w:tc>
        <w:tc>
          <w:tcPr>
            <w:tcW w:w="5245" w:type="dxa"/>
          </w:tcPr>
          <w:p w14:paraId="3EA67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C08A3C" w14:textId="77777777">
        <w:tc>
          <w:tcPr>
            <w:tcW w:w="1409" w:type="dxa"/>
          </w:tcPr>
          <w:p w14:paraId="28E42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41E9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Яковлева,</w:t>
            </w:r>
          </w:p>
        </w:tc>
        <w:tc>
          <w:tcPr>
            <w:tcW w:w="2535" w:type="dxa"/>
          </w:tcPr>
          <w:p w14:paraId="22AB71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Яковлева,</w:t>
            </w:r>
          </w:p>
        </w:tc>
        <w:tc>
          <w:tcPr>
            <w:tcW w:w="5245" w:type="dxa"/>
          </w:tcPr>
          <w:p w14:paraId="262EB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A9F550A" w14:textId="77777777">
        <w:tc>
          <w:tcPr>
            <w:tcW w:w="1409" w:type="dxa"/>
          </w:tcPr>
          <w:p w14:paraId="3D840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207B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4-х </w:t>
            </w: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w:t>
            </w:r>
          </w:p>
        </w:tc>
        <w:tc>
          <w:tcPr>
            <w:tcW w:w="2535" w:type="dxa"/>
          </w:tcPr>
          <w:p w14:paraId="32406A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4-х </w:t>
            </w: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w:t>
            </w:r>
          </w:p>
        </w:tc>
        <w:tc>
          <w:tcPr>
            <w:tcW w:w="5245" w:type="dxa"/>
          </w:tcPr>
          <w:p w14:paraId="6C4769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CE2A516" w14:textId="77777777">
        <w:tc>
          <w:tcPr>
            <w:tcW w:w="1409" w:type="dxa"/>
          </w:tcPr>
          <w:p w14:paraId="1D8E1E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038B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стальн</w:t>
            </w:r>
            <w:proofErr w:type="spellEnd"/>
            <w:r w:rsidRPr="007122AB">
              <w:rPr>
                <w:rFonts w:ascii="Times New Roman" w:hAnsi="Times New Roman"/>
                <w:color w:val="000000" w:themeColor="text1"/>
                <w:sz w:val="16"/>
                <w:szCs w:val="16"/>
              </w:rPr>
              <w:t>.</w:t>
            </w:r>
          </w:p>
        </w:tc>
        <w:tc>
          <w:tcPr>
            <w:tcW w:w="2535" w:type="dxa"/>
          </w:tcPr>
          <w:p w14:paraId="4AA0E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стальн</w:t>
            </w:r>
            <w:proofErr w:type="spellEnd"/>
            <w:r w:rsidRPr="007122AB">
              <w:rPr>
                <w:rFonts w:ascii="Times New Roman" w:hAnsi="Times New Roman"/>
                <w:color w:val="000000" w:themeColor="text1"/>
                <w:sz w:val="16"/>
                <w:szCs w:val="16"/>
              </w:rPr>
              <w:t>.</w:t>
            </w:r>
          </w:p>
        </w:tc>
        <w:tc>
          <w:tcPr>
            <w:tcW w:w="5245" w:type="dxa"/>
          </w:tcPr>
          <w:p w14:paraId="1A795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DEB590F" w14:textId="77777777">
        <w:tc>
          <w:tcPr>
            <w:tcW w:w="1409" w:type="dxa"/>
          </w:tcPr>
          <w:p w14:paraId="5DE423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w:t>
            </w:r>
          </w:p>
        </w:tc>
        <w:tc>
          <w:tcPr>
            <w:tcW w:w="1409" w:type="dxa"/>
          </w:tcPr>
          <w:p w14:paraId="143B2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BFFE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 АНТ-14</w:t>
            </w:r>
          </w:p>
        </w:tc>
        <w:tc>
          <w:tcPr>
            <w:tcW w:w="5245" w:type="dxa"/>
          </w:tcPr>
          <w:p w14:paraId="624CF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A05474" w14:textId="77777777">
        <w:tc>
          <w:tcPr>
            <w:tcW w:w="1409" w:type="dxa"/>
          </w:tcPr>
          <w:p w14:paraId="08C478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Воронеж</w:t>
            </w:r>
          </w:p>
        </w:tc>
        <w:tc>
          <w:tcPr>
            <w:tcW w:w="1409" w:type="dxa"/>
          </w:tcPr>
          <w:p w14:paraId="74406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66B9F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383D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08D4A4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60AE4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Самолеты ДИ-4 и ДИ-5 на 32-й год строить опытными сериями для войсковых испытаний;</w:t>
      </w:r>
    </w:p>
    <w:p w14:paraId="181B8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по усмотрению ВАО. В зависимости от результатов испытаний, решить вопрос о серийном строительстве в 33 году.</w:t>
      </w:r>
    </w:p>
    <w:p w14:paraId="73E62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Самолеты ТБ-5 и МДР-2, ввиду заказа значительного количества ТБ-3 и МДР-3 и перегруженности заводов металлического самолетостроения строительством большого количества новых типов самолетов в серийное производство не пускаются.</w:t>
      </w:r>
    </w:p>
    <w:p w14:paraId="5FABC1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Ввиду внедрения в серийное производство в ближайшие годы значительного количества новых типов самолетов, как воен. так </w:t>
      </w:r>
      <w:proofErr w:type="spellStart"/>
      <w:r w:rsidRPr="007122AB">
        <w:rPr>
          <w:rFonts w:ascii="Times New Roman" w:hAnsi="Times New Roman"/>
          <w:color w:val="000000" w:themeColor="text1"/>
          <w:sz w:val="16"/>
          <w:szCs w:val="16"/>
        </w:rPr>
        <w:t>гражданск</w:t>
      </w:r>
      <w:proofErr w:type="spellEnd"/>
      <w:r w:rsidRPr="007122AB">
        <w:rPr>
          <w:rFonts w:ascii="Times New Roman" w:hAnsi="Times New Roman"/>
          <w:color w:val="000000" w:themeColor="text1"/>
          <w:sz w:val="16"/>
          <w:szCs w:val="16"/>
        </w:rPr>
        <w:t xml:space="preserve">., гл. образом </w:t>
      </w:r>
      <w:proofErr w:type="spellStart"/>
      <w:r w:rsidRPr="007122AB">
        <w:rPr>
          <w:rFonts w:ascii="Times New Roman" w:hAnsi="Times New Roman"/>
          <w:color w:val="000000" w:themeColor="text1"/>
          <w:sz w:val="16"/>
          <w:szCs w:val="16"/>
        </w:rPr>
        <w:t>металлич</w:t>
      </w:r>
      <w:proofErr w:type="spellEnd"/>
      <w:r w:rsidRPr="007122AB">
        <w:rPr>
          <w:rFonts w:ascii="Times New Roman" w:hAnsi="Times New Roman"/>
          <w:color w:val="000000" w:themeColor="text1"/>
          <w:sz w:val="16"/>
          <w:szCs w:val="16"/>
        </w:rPr>
        <w:t>. конструкций (в т.ч. стальных) и нецелесообразности строить на одном заводе одновременно больше 4-х типов, необходимо, помимо обязательного введения в строй к началу 33-го года завода Б (Воронежского) построить к тому времени минимум. еще один завод металлического самолетостроения.</w:t>
      </w:r>
    </w:p>
    <w:p w14:paraId="5B1B51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Внедрение в серийное производство новых типов самолетов на 34-й год не рассматривалось, ввиду необходимости уточнения и утверждения нового плана опытного строительства и не проработки его со стороны ВАО.</w:t>
      </w:r>
    </w:p>
    <w:p w14:paraId="4201DE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Ввиду перегруженности заводов металлического самолетостроения - целый ряд новых типов металлических самолетов гр. авиации на 33 год остались не размещенными по заводам. (2969,11).</w:t>
      </w:r>
    </w:p>
    <w:p w14:paraId="5CC0D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1E78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мая 1931 года – геликоптер СОК ЭАО ЦАГИ поднялся на максимальную высоту примерно 7-8 метров, совершив после этого достаточно плавную посадку (6926, 5).</w:t>
      </w:r>
    </w:p>
    <w:p w14:paraId="21F969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8E87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5DC1C4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8352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мая 1931 на испытания на научно-инженерно-технический полигон РККА поступил изготовленный в апреле 1931 малый (легковой) трактор РККА с использованием узлов Т-16, спроектированный ГКБ ГАУ и изготовленный 2-м автозаводом ВАТО. Вес - 3920, мощность 35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Не пошел (4243,31).</w:t>
      </w:r>
    </w:p>
    <w:p w14:paraId="59DF6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C608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мая 1931 г. ДОКЛАД НАЧАЛЬНИКА УММ О СИСТЕМЕ ОРГАНИЗАЦИ И РЕМОНТА АВТОБРОНЕТАНКОТРАКТОРНОГО ИМУЩЕСТВА</w:t>
      </w:r>
    </w:p>
    <w:p w14:paraId="6D3C3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Система ремонта распределяется на две основные части: а) Ремонт в мирное время.</w:t>
      </w:r>
    </w:p>
    <w:p w14:paraId="39D495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Ремонт в мирное время</w:t>
      </w:r>
    </w:p>
    <w:p w14:paraId="2B7AE5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 1 января 1932 г. в РККА будет 9.073 машины разных типов, которые при существующих нормах эксплуатации потребуют производства 9.073 средних и 5.727 капитальных ремонтов.</w:t>
      </w:r>
    </w:p>
    <w:p w14:paraId="24C207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января 1933 г. число машин по ориентировочной наметке плана заказов УММ на 1932 г. </w:t>
      </w:r>
      <w:proofErr w:type="spellStart"/>
      <w:r w:rsidRPr="007122AB">
        <w:rPr>
          <w:rFonts w:ascii="Times New Roman" w:hAnsi="Times New Roman"/>
          <w:color w:val="000000" w:themeColor="text1"/>
          <w:sz w:val="16"/>
          <w:szCs w:val="16"/>
        </w:rPr>
        <w:t>увеличитсябольше</w:t>
      </w:r>
      <w:proofErr w:type="spellEnd"/>
      <w:r w:rsidRPr="007122AB">
        <w:rPr>
          <w:rFonts w:ascii="Times New Roman" w:hAnsi="Times New Roman"/>
          <w:color w:val="000000" w:themeColor="text1"/>
          <w:sz w:val="16"/>
          <w:szCs w:val="16"/>
        </w:rPr>
        <w:t xml:space="preserve"> чем на 200%, следовательно, увеличится и количество ремонтов машин.</w:t>
      </w:r>
    </w:p>
    <w:p w14:paraId="42B43F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Для обеспечения своевременного ремонта и содержания на ходу всей этой ценной материальной части, организация ремонта должна строиться по системе профилактических ремонтов. Классификацию и характеристику этих ремонтов см. в приложении</w:t>
      </w:r>
    </w:p>
    <w:p w14:paraId="17F668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6325079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Ремонт №1 (повседневный ремонт) и №2 (периодический осмотр и мелкий ремонт машин) производится в гараже силами подразделения части. В полевых условиях - в месте стоянки машин.</w:t>
      </w:r>
    </w:p>
    <w:p w14:paraId="1EA234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Ремонт №3 (средний ремонт) производится в войсковых мастерских, которые организуются в частях с числом машин свыше 50. Части и учреждения, имеющие меньшее количество машин, средний ремонт самостоятельно не производят, а сдают его в гарнизонные или окружные мастерские.</w:t>
      </w:r>
    </w:p>
    <w:p w14:paraId="4FBE64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Ремонт №4 (капитальный) производится в гарнизонных или окружных мастерских и на заводах промышленности.</w:t>
      </w:r>
    </w:p>
    <w:p w14:paraId="56351C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Необходимые для ремонта запасные части, войсковые части и мастерские получают готовы</w:t>
      </w:r>
      <w:r w:rsidRPr="007122AB">
        <w:rPr>
          <w:rFonts w:ascii="Times New Roman" w:hAnsi="Times New Roman"/>
          <w:color w:val="000000" w:themeColor="text1"/>
          <w:sz w:val="16"/>
          <w:szCs w:val="16"/>
        </w:rPr>
        <w:softHyphen/>
        <w:t>ми от заводов промышленности, но оборудование мастерских должно быть рассчитано на возмож</w:t>
      </w:r>
      <w:r w:rsidRPr="007122AB">
        <w:rPr>
          <w:rFonts w:ascii="Times New Roman" w:hAnsi="Times New Roman"/>
          <w:color w:val="000000" w:themeColor="text1"/>
          <w:sz w:val="16"/>
          <w:szCs w:val="16"/>
        </w:rPr>
        <w:softHyphen/>
        <w:t>ность в случае необходимости самостоятельного изготовления и ремонта несложных деталей.</w:t>
      </w:r>
    </w:p>
    <w:p w14:paraId="4E80CB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При правильной и планомерной организации ремонта и подаче промышленностью готовых запчастей, время простоя машин в ремонте может быть доведено для среднего до 4-5, для капиталь</w:t>
      </w:r>
      <w:r w:rsidRPr="007122AB">
        <w:rPr>
          <w:rFonts w:ascii="Times New Roman" w:hAnsi="Times New Roman"/>
          <w:color w:val="000000" w:themeColor="text1"/>
          <w:sz w:val="16"/>
          <w:szCs w:val="16"/>
        </w:rPr>
        <w:softHyphen/>
        <w:t>ного до 10-14 дней. Поэтому в целях сокращения времени отрыва машины от части для ремонта, це</w:t>
      </w:r>
      <w:r w:rsidRPr="007122AB">
        <w:rPr>
          <w:rFonts w:ascii="Times New Roman" w:hAnsi="Times New Roman"/>
          <w:color w:val="000000" w:themeColor="text1"/>
          <w:sz w:val="16"/>
          <w:szCs w:val="16"/>
        </w:rPr>
        <w:softHyphen/>
        <w:t>лесообразно на заводы промышленности возложить обязанность изготовления и своевременной по</w:t>
      </w:r>
      <w:r w:rsidRPr="007122AB">
        <w:rPr>
          <w:rFonts w:ascii="Times New Roman" w:hAnsi="Times New Roman"/>
          <w:color w:val="000000" w:themeColor="text1"/>
          <w:sz w:val="16"/>
          <w:szCs w:val="16"/>
        </w:rPr>
        <w:softHyphen/>
        <w:t>дачи запчастей, а непосредственный монтаж производить в войсковых и окружных мастерских.</w:t>
      </w:r>
    </w:p>
    <w:p w14:paraId="3DFA86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Намечаемые к постройке в 1931 г. мастерские на складах №60 и 37 не удовлетворяют потреб</w:t>
      </w:r>
      <w:r w:rsidRPr="007122AB">
        <w:rPr>
          <w:rFonts w:ascii="Times New Roman" w:hAnsi="Times New Roman"/>
          <w:color w:val="000000" w:themeColor="text1"/>
          <w:sz w:val="16"/>
          <w:szCs w:val="16"/>
        </w:rPr>
        <w:softHyphen/>
        <w:t>ность в ремонте машин РККА, поэтому является настоятельно необходимым форсировать и обяза</w:t>
      </w:r>
      <w:r w:rsidRPr="007122AB">
        <w:rPr>
          <w:rFonts w:ascii="Times New Roman" w:hAnsi="Times New Roman"/>
          <w:color w:val="000000" w:themeColor="text1"/>
          <w:sz w:val="16"/>
          <w:szCs w:val="16"/>
        </w:rPr>
        <w:softHyphen/>
        <w:t>тельно закончить в 1931 г. постройку этих мастерских, а также постройку мастерских для существу</w:t>
      </w:r>
      <w:r w:rsidRPr="007122AB">
        <w:rPr>
          <w:rFonts w:ascii="Times New Roman" w:hAnsi="Times New Roman"/>
          <w:color w:val="000000" w:themeColor="text1"/>
          <w:sz w:val="16"/>
          <w:szCs w:val="16"/>
        </w:rPr>
        <w:softHyphen/>
        <w:t>ющих и развертываемых по оргмероприятиям войсковых частей, а именно:</w:t>
      </w:r>
    </w:p>
    <w:tbl>
      <w:tblPr>
        <w:tblW w:w="0" w:type="auto"/>
        <w:tblInd w:w="40" w:type="dxa"/>
        <w:tblLayout w:type="fixed"/>
        <w:tblCellMar>
          <w:left w:w="40" w:type="dxa"/>
          <w:right w:w="40" w:type="dxa"/>
        </w:tblCellMar>
        <w:tblLook w:val="0000" w:firstRow="0" w:lastRow="0" w:firstColumn="0" w:lastColumn="0" w:noHBand="0" w:noVBand="0"/>
      </w:tblPr>
      <w:tblGrid>
        <w:gridCol w:w="442"/>
        <w:gridCol w:w="3859"/>
        <w:gridCol w:w="19"/>
        <w:gridCol w:w="855"/>
        <w:gridCol w:w="19"/>
        <w:gridCol w:w="1719"/>
        <w:gridCol w:w="9"/>
        <w:gridCol w:w="797"/>
        <w:gridCol w:w="9"/>
      </w:tblGrid>
      <w:tr w:rsidR="001002C3" w:rsidRPr="007122AB" w14:paraId="1DE2F9F8" w14:textId="77777777">
        <w:trPr>
          <w:gridAfter w:val="1"/>
          <w:wAfter w:w="9" w:type="dxa"/>
          <w:trHeight w:val="461"/>
        </w:trPr>
        <w:tc>
          <w:tcPr>
            <w:tcW w:w="442" w:type="dxa"/>
            <w:tcBorders>
              <w:top w:val="single" w:sz="6" w:space="0" w:color="auto"/>
              <w:left w:val="single" w:sz="6" w:space="0" w:color="auto"/>
              <w:bottom w:val="single" w:sz="6" w:space="0" w:color="auto"/>
              <w:right w:val="single" w:sz="6" w:space="0" w:color="auto"/>
            </w:tcBorders>
          </w:tcPr>
          <w:p w14:paraId="4F028D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00AE6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п/п</w:t>
            </w:r>
          </w:p>
          <w:p w14:paraId="2D38D7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78AD22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частей</w:t>
            </w:r>
          </w:p>
          <w:p w14:paraId="251CE0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FE7DE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Округ</w:t>
            </w:r>
          </w:p>
          <w:p w14:paraId="5D5854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20AA83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Местоположение</w:t>
            </w:r>
          </w:p>
          <w:p w14:paraId="48902D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E2A12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p w14:paraId="0F21C7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48692E" w14:textId="77777777">
        <w:trPr>
          <w:gridAfter w:val="1"/>
          <w:wAfter w:w="9" w:type="dxa"/>
          <w:trHeight w:val="221"/>
        </w:trPr>
        <w:tc>
          <w:tcPr>
            <w:tcW w:w="7719" w:type="dxa"/>
            <w:gridSpan w:val="8"/>
            <w:tcBorders>
              <w:top w:val="single" w:sz="6" w:space="0" w:color="auto"/>
              <w:left w:val="single" w:sz="6" w:space="0" w:color="auto"/>
              <w:bottom w:val="single" w:sz="6" w:space="0" w:color="auto"/>
              <w:right w:val="single" w:sz="6" w:space="0" w:color="auto"/>
            </w:tcBorders>
          </w:tcPr>
          <w:p w14:paraId="279C52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очередь</w:t>
            </w:r>
          </w:p>
          <w:p w14:paraId="33211C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1F1C9D0"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2CF7D9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3B4EFC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02666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Мехбригада</w:t>
            </w:r>
            <w:proofErr w:type="spellEnd"/>
          </w:p>
          <w:p w14:paraId="3C45F8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36D08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МВО</w:t>
            </w:r>
          </w:p>
          <w:p w14:paraId="68DE93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3DD2BB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Наро-Фоминск</w:t>
            </w:r>
          </w:p>
          <w:p w14:paraId="586BC9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nil"/>
              <w:right w:val="single" w:sz="6" w:space="0" w:color="auto"/>
            </w:tcBorders>
          </w:tcPr>
          <w:p w14:paraId="3A272C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типо</w:t>
            </w:r>
            <w:r w:rsidRPr="007122AB">
              <w:rPr>
                <w:rFonts w:ascii="Times New Roman" w:hAnsi="Times New Roman"/>
                <w:color w:val="000000" w:themeColor="text1"/>
                <w:sz w:val="16"/>
                <w:szCs w:val="16"/>
              </w:rPr>
              <w:softHyphen/>
              <w:t>вым проек</w:t>
            </w:r>
            <w:r w:rsidRPr="007122AB">
              <w:rPr>
                <w:rFonts w:ascii="Times New Roman" w:hAnsi="Times New Roman"/>
                <w:color w:val="000000" w:themeColor="text1"/>
                <w:sz w:val="16"/>
                <w:szCs w:val="16"/>
              </w:rPr>
              <w:softHyphen/>
              <w:t>там УММ согла</w:t>
            </w:r>
            <w:r w:rsidRPr="007122AB">
              <w:rPr>
                <w:rFonts w:ascii="Times New Roman" w:hAnsi="Times New Roman"/>
                <w:color w:val="000000" w:themeColor="text1"/>
                <w:sz w:val="16"/>
                <w:szCs w:val="16"/>
              </w:rPr>
              <w:softHyphen/>
              <w:t>сован</w:t>
            </w:r>
            <w:r w:rsidRPr="007122AB">
              <w:rPr>
                <w:rFonts w:ascii="Times New Roman" w:hAnsi="Times New Roman"/>
                <w:color w:val="000000" w:themeColor="text1"/>
                <w:sz w:val="16"/>
                <w:szCs w:val="16"/>
              </w:rPr>
              <w:softHyphen/>
              <w:t>ным с ВСУ</w:t>
            </w:r>
          </w:p>
          <w:p w14:paraId="0BDF55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3FE3A0C"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03D7E5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p w14:paraId="0C8503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5D502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6-й </w:t>
            </w:r>
            <w:proofErr w:type="spellStart"/>
            <w:r w:rsidRPr="007122AB">
              <w:rPr>
                <w:rFonts w:ascii="Times New Roman" w:hAnsi="Times New Roman"/>
                <w:color w:val="000000" w:themeColor="text1"/>
                <w:sz w:val="16"/>
                <w:szCs w:val="16"/>
              </w:rPr>
              <w:t>мехполк</w:t>
            </w:r>
            <w:proofErr w:type="spellEnd"/>
          </w:p>
          <w:p w14:paraId="37DBD3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743CE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БВО</w:t>
            </w:r>
          </w:p>
          <w:p w14:paraId="4F47DB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2C32F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Гомель</w:t>
            </w:r>
          </w:p>
          <w:p w14:paraId="650F73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CDEE1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531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6D2788"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4B058D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2F0658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217B66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7-й </w:t>
            </w:r>
            <w:proofErr w:type="spellStart"/>
            <w:r w:rsidRPr="007122AB">
              <w:rPr>
                <w:rFonts w:ascii="Times New Roman" w:hAnsi="Times New Roman"/>
                <w:color w:val="000000" w:themeColor="text1"/>
                <w:sz w:val="16"/>
                <w:szCs w:val="16"/>
              </w:rPr>
              <w:t>мехполк</w:t>
            </w:r>
            <w:proofErr w:type="spellEnd"/>
          </w:p>
          <w:p w14:paraId="161ED8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8594F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БВО</w:t>
            </w:r>
          </w:p>
          <w:p w14:paraId="554CEB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3039C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Минск</w:t>
            </w:r>
          </w:p>
          <w:p w14:paraId="3C9A4C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067E64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42B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C26FB1"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539234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p w14:paraId="2AE367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70FB40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танковый полк</w:t>
            </w:r>
          </w:p>
          <w:p w14:paraId="71D557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207EC1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БВО</w:t>
            </w:r>
          </w:p>
          <w:p w14:paraId="39C894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5F084E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Смоленск</w:t>
            </w:r>
          </w:p>
          <w:p w14:paraId="5CAA25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067BCC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8F6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CB399C4"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2543A6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p w14:paraId="2F5F13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D711E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4-й танковый полк</w:t>
            </w:r>
          </w:p>
          <w:p w14:paraId="27A3D9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3E163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08C59A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FC900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Харьков</w:t>
            </w:r>
          </w:p>
          <w:p w14:paraId="7D347A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14D7A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5C1C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638C9E"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611EAC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70D707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0437CB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4-я стрелковая дивизия</w:t>
            </w:r>
          </w:p>
          <w:p w14:paraId="6B75BF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F4E4A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БВО</w:t>
            </w:r>
          </w:p>
          <w:p w14:paraId="199528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A4422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Слуцк</w:t>
            </w:r>
          </w:p>
          <w:p w14:paraId="72FD66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7E5E56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1695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CBB176"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131678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p w14:paraId="6022E7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625F7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9-й корпусный артполк</w:t>
            </w:r>
          </w:p>
          <w:p w14:paraId="698691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A92F1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СКВО</w:t>
            </w:r>
          </w:p>
          <w:p w14:paraId="225351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71653B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Каменск</w:t>
            </w:r>
          </w:p>
          <w:p w14:paraId="53A281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C549F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EE9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4F5C81"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4163CE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p w14:paraId="2CF65E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02A143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корпусный артполк</w:t>
            </w:r>
          </w:p>
          <w:p w14:paraId="7FA6BC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AA0D7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ЛВО</w:t>
            </w:r>
          </w:p>
          <w:p w14:paraId="4766B9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4AE960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Луга</w:t>
            </w:r>
          </w:p>
          <w:p w14:paraId="7623B4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2BFE4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DBE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E6384A1"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779C9A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p w14:paraId="4DD67D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8A66C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Гаубичный полк АРГК на </w:t>
            </w:r>
            <w:proofErr w:type="spellStart"/>
            <w:r w:rsidRPr="007122AB">
              <w:rPr>
                <w:rFonts w:ascii="Times New Roman" w:hAnsi="Times New Roman"/>
                <w:color w:val="000000" w:themeColor="text1"/>
                <w:sz w:val="16"/>
                <w:szCs w:val="16"/>
              </w:rPr>
              <w:t>мехтяге</w:t>
            </w:r>
            <w:proofErr w:type="spellEnd"/>
          </w:p>
          <w:p w14:paraId="63AAFF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227FB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42E5CC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4D7E2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Волчанок</w:t>
            </w:r>
          </w:p>
          <w:p w14:paraId="69285C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4C768C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05F3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4DBE4A7"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3AE3E3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p w14:paraId="539CF0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46CF20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Гаубичный полк АРГК на </w:t>
            </w:r>
            <w:proofErr w:type="spellStart"/>
            <w:r w:rsidRPr="007122AB">
              <w:rPr>
                <w:rFonts w:ascii="Times New Roman" w:hAnsi="Times New Roman"/>
                <w:color w:val="000000" w:themeColor="text1"/>
                <w:sz w:val="16"/>
                <w:szCs w:val="16"/>
              </w:rPr>
              <w:t>мехтяге</w:t>
            </w:r>
            <w:proofErr w:type="spellEnd"/>
          </w:p>
          <w:p w14:paraId="132166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35488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5CF7A6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23B178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Глухов</w:t>
            </w:r>
          </w:p>
          <w:p w14:paraId="6A5D78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EDFBC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558B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4BCB07"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12DFCA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p w14:paraId="2E588B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15F261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Полк Б. мощности АРГК</w:t>
            </w:r>
          </w:p>
          <w:p w14:paraId="0E918C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0C945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446CCE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D3775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Чугуев</w:t>
            </w:r>
          </w:p>
          <w:p w14:paraId="73A0AF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76754C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7FA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E32320" w14:textId="77777777">
        <w:trPr>
          <w:gridAfter w:val="1"/>
          <w:wAfter w:w="9" w:type="dxa"/>
          <w:trHeight w:val="250"/>
        </w:trPr>
        <w:tc>
          <w:tcPr>
            <w:tcW w:w="442" w:type="dxa"/>
            <w:tcBorders>
              <w:top w:val="single" w:sz="6" w:space="0" w:color="auto"/>
              <w:left w:val="single" w:sz="6" w:space="0" w:color="auto"/>
              <w:bottom w:val="single" w:sz="6" w:space="0" w:color="auto"/>
              <w:right w:val="single" w:sz="6" w:space="0" w:color="auto"/>
            </w:tcBorders>
          </w:tcPr>
          <w:p w14:paraId="16B882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p w14:paraId="3F804D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83911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Саратовская бронетанковая школа</w:t>
            </w:r>
          </w:p>
          <w:p w14:paraId="005699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539EC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ПРИВО</w:t>
            </w:r>
          </w:p>
          <w:p w14:paraId="6A368C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49C6D5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Саратов</w:t>
            </w:r>
          </w:p>
          <w:p w14:paraId="6C0BC6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single" w:sz="6" w:space="0" w:color="auto"/>
              <w:right w:val="single" w:sz="6" w:space="0" w:color="auto"/>
            </w:tcBorders>
          </w:tcPr>
          <w:p w14:paraId="1ABC2E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ABB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9E2533A" w14:textId="77777777">
        <w:trPr>
          <w:trHeight w:val="221"/>
        </w:trPr>
        <w:tc>
          <w:tcPr>
            <w:tcW w:w="7728" w:type="dxa"/>
            <w:gridSpan w:val="9"/>
            <w:tcBorders>
              <w:top w:val="single" w:sz="6" w:space="0" w:color="auto"/>
              <w:left w:val="single" w:sz="6" w:space="0" w:color="auto"/>
              <w:bottom w:val="single" w:sz="6" w:space="0" w:color="auto"/>
              <w:right w:val="single" w:sz="6" w:space="0" w:color="auto"/>
            </w:tcBorders>
          </w:tcPr>
          <w:p w14:paraId="6BC76E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очередь</w:t>
            </w:r>
          </w:p>
          <w:p w14:paraId="5CDF34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2A98FB1"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7A9FDB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1C5A0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5B54E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Мехдивизион</w:t>
            </w:r>
            <w:proofErr w:type="spellEnd"/>
            <w:r w:rsidRPr="007122AB">
              <w:rPr>
                <w:rFonts w:ascii="Times New Roman" w:hAnsi="Times New Roman"/>
                <w:color w:val="000000" w:themeColor="text1"/>
                <w:sz w:val="16"/>
                <w:szCs w:val="16"/>
              </w:rPr>
              <w:t xml:space="preserve"> 1 </w:t>
            </w:r>
            <w:proofErr w:type="spellStart"/>
            <w:r w:rsidRPr="007122AB">
              <w:rPr>
                <w:rFonts w:ascii="Times New Roman" w:hAnsi="Times New Roman"/>
                <w:color w:val="000000" w:themeColor="text1"/>
                <w:sz w:val="16"/>
                <w:szCs w:val="16"/>
              </w:rPr>
              <w:t>кавдивизии</w:t>
            </w:r>
            <w:proofErr w:type="spellEnd"/>
          </w:p>
          <w:p w14:paraId="47935E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BA7AC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6AA374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1BAC79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Проскуров</w:t>
            </w:r>
            <w:proofErr w:type="spellEnd"/>
          </w:p>
          <w:p w14:paraId="42CF41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nil"/>
              <w:right w:val="single" w:sz="6" w:space="0" w:color="auto"/>
            </w:tcBorders>
          </w:tcPr>
          <w:p w14:paraId="240E17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типо</w:t>
            </w:r>
            <w:r w:rsidRPr="007122AB">
              <w:rPr>
                <w:rFonts w:ascii="Times New Roman" w:hAnsi="Times New Roman"/>
                <w:color w:val="000000" w:themeColor="text1"/>
                <w:sz w:val="16"/>
                <w:szCs w:val="16"/>
              </w:rPr>
              <w:softHyphen/>
              <w:t>вым проек</w:t>
            </w:r>
            <w:r w:rsidRPr="007122AB">
              <w:rPr>
                <w:rFonts w:ascii="Times New Roman" w:hAnsi="Times New Roman"/>
                <w:color w:val="000000" w:themeColor="text1"/>
                <w:sz w:val="16"/>
                <w:szCs w:val="16"/>
              </w:rPr>
              <w:softHyphen/>
              <w:t>там УММ согла</w:t>
            </w:r>
            <w:r w:rsidRPr="007122AB">
              <w:rPr>
                <w:rFonts w:ascii="Times New Roman" w:hAnsi="Times New Roman"/>
                <w:color w:val="000000" w:themeColor="text1"/>
                <w:sz w:val="16"/>
                <w:szCs w:val="16"/>
              </w:rPr>
              <w:softHyphen/>
              <w:t>сован</w:t>
            </w:r>
            <w:r w:rsidRPr="007122AB">
              <w:rPr>
                <w:rFonts w:ascii="Times New Roman" w:hAnsi="Times New Roman"/>
                <w:color w:val="000000" w:themeColor="text1"/>
                <w:sz w:val="16"/>
                <w:szCs w:val="16"/>
              </w:rPr>
              <w:softHyphen/>
              <w:t>ным с ВСУ</w:t>
            </w:r>
          </w:p>
          <w:p w14:paraId="4B9D75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D320910"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DFA64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p w14:paraId="39E0E0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03130D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Мехдивизион</w:t>
            </w:r>
            <w:proofErr w:type="spellEnd"/>
            <w:r w:rsidRPr="007122AB">
              <w:rPr>
                <w:rFonts w:ascii="Times New Roman" w:hAnsi="Times New Roman"/>
                <w:color w:val="000000" w:themeColor="text1"/>
                <w:sz w:val="16"/>
                <w:szCs w:val="16"/>
              </w:rPr>
              <w:t xml:space="preserve"> 3 </w:t>
            </w:r>
            <w:proofErr w:type="spellStart"/>
            <w:r w:rsidRPr="007122AB">
              <w:rPr>
                <w:rFonts w:ascii="Times New Roman" w:hAnsi="Times New Roman"/>
                <w:color w:val="000000" w:themeColor="text1"/>
                <w:sz w:val="16"/>
                <w:szCs w:val="16"/>
              </w:rPr>
              <w:t>кавдивизии</w:t>
            </w:r>
            <w:proofErr w:type="spellEnd"/>
          </w:p>
          <w:p w14:paraId="0CEBCC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4D23AE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6CDCC7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6CCC43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Бердичев</w:t>
            </w:r>
          </w:p>
          <w:p w14:paraId="733E4F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387D48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356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4ABD98"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139284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76E68D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05C083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террит</w:t>
            </w:r>
            <w:proofErr w:type="spellEnd"/>
            <w:r w:rsidRPr="007122AB">
              <w:rPr>
                <w:rFonts w:ascii="Times New Roman" w:hAnsi="Times New Roman"/>
                <w:color w:val="000000" w:themeColor="text1"/>
                <w:sz w:val="16"/>
                <w:szCs w:val="16"/>
              </w:rPr>
              <w:t>. танковый батальон</w:t>
            </w:r>
          </w:p>
          <w:p w14:paraId="458769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6EF9F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61CE40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407C7B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Запорожье</w:t>
            </w:r>
          </w:p>
          <w:p w14:paraId="02AA41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8AB63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387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9D3BFA8"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08582D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p w14:paraId="39D9A4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6D7FAE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террит</w:t>
            </w:r>
            <w:proofErr w:type="spellEnd"/>
            <w:r w:rsidRPr="007122AB">
              <w:rPr>
                <w:rFonts w:ascii="Times New Roman" w:hAnsi="Times New Roman"/>
                <w:color w:val="000000" w:themeColor="text1"/>
                <w:sz w:val="16"/>
                <w:szCs w:val="16"/>
              </w:rPr>
              <w:t>. танковый батальон</w:t>
            </w:r>
          </w:p>
          <w:p w14:paraId="564A75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17C39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ПРИВО</w:t>
            </w:r>
          </w:p>
          <w:p w14:paraId="15A554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2B430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Челябинск</w:t>
            </w:r>
          </w:p>
          <w:p w14:paraId="55A9B1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A1376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65B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E2886EF"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B6C7D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p w14:paraId="1C201F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1761EC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Террит</w:t>
            </w:r>
            <w:proofErr w:type="spellEnd"/>
            <w:r w:rsidRPr="007122AB">
              <w:rPr>
                <w:rFonts w:ascii="Times New Roman" w:hAnsi="Times New Roman"/>
                <w:color w:val="000000" w:themeColor="text1"/>
                <w:sz w:val="16"/>
                <w:szCs w:val="16"/>
              </w:rPr>
              <w:t xml:space="preserve">. гаубичный полк АРГК на </w:t>
            </w:r>
            <w:proofErr w:type="spellStart"/>
            <w:r w:rsidRPr="007122AB">
              <w:rPr>
                <w:rFonts w:ascii="Times New Roman" w:hAnsi="Times New Roman"/>
                <w:color w:val="000000" w:themeColor="text1"/>
                <w:sz w:val="16"/>
                <w:szCs w:val="16"/>
              </w:rPr>
              <w:t>мехтяге</w:t>
            </w:r>
            <w:proofErr w:type="spellEnd"/>
          </w:p>
          <w:p w14:paraId="22CD8A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424E67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МВО</w:t>
            </w:r>
          </w:p>
          <w:p w14:paraId="54E6FE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3CC477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Курск</w:t>
            </w:r>
          </w:p>
          <w:p w14:paraId="583AAE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E3E62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618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95B6093"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3CD2A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30EA52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2878B3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Террит</w:t>
            </w:r>
            <w:proofErr w:type="spellEnd"/>
            <w:r w:rsidRPr="007122AB">
              <w:rPr>
                <w:rFonts w:ascii="Times New Roman" w:hAnsi="Times New Roman"/>
                <w:color w:val="000000" w:themeColor="text1"/>
                <w:sz w:val="16"/>
                <w:szCs w:val="16"/>
              </w:rPr>
              <w:t xml:space="preserve">. гаубичный полк АРГК на </w:t>
            </w:r>
            <w:proofErr w:type="spellStart"/>
            <w:r w:rsidRPr="007122AB">
              <w:rPr>
                <w:rFonts w:ascii="Times New Roman" w:hAnsi="Times New Roman"/>
                <w:color w:val="000000" w:themeColor="text1"/>
                <w:sz w:val="16"/>
                <w:szCs w:val="16"/>
              </w:rPr>
              <w:t>мехтяге</w:t>
            </w:r>
            <w:proofErr w:type="spellEnd"/>
          </w:p>
          <w:p w14:paraId="398A6A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E218A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СКВО</w:t>
            </w:r>
          </w:p>
          <w:p w14:paraId="37DB69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7777F2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-на-Дону</w:t>
            </w:r>
          </w:p>
          <w:p w14:paraId="4F8C2A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4F49CF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E3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3B97A2"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194B98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p w14:paraId="219E26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4B3871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5-я </w:t>
            </w:r>
            <w:proofErr w:type="spellStart"/>
            <w:r w:rsidRPr="007122AB">
              <w:rPr>
                <w:rFonts w:ascii="Times New Roman" w:hAnsi="Times New Roman"/>
                <w:color w:val="000000" w:themeColor="text1"/>
                <w:sz w:val="16"/>
                <w:szCs w:val="16"/>
              </w:rPr>
              <w:t>артбригада</w:t>
            </w:r>
            <w:proofErr w:type="spellEnd"/>
          </w:p>
          <w:p w14:paraId="4F732C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08F5D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БВО</w:t>
            </w:r>
          </w:p>
          <w:p w14:paraId="66FB78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5838F7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Полоцк</w:t>
            </w:r>
          </w:p>
          <w:p w14:paraId="1C7796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32D227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383A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CBEFDB"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0C3503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p w14:paraId="68D939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076B0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Опытный понтонный полк</w:t>
            </w:r>
          </w:p>
          <w:p w14:paraId="1454A3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E132E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УВО</w:t>
            </w:r>
          </w:p>
          <w:p w14:paraId="10EA67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B98D0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Харьков</w:t>
            </w:r>
          </w:p>
          <w:p w14:paraId="008AAC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2FC3C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9882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2D4BF5C" w14:textId="77777777">
        <w:trPr>
          <w:trHeight w:val="250"/>
        </w:trPr>
        <w:tc>
          <w:tcPr>
            <w:tcW w:w="442" w:type="dxa"/>
            <w:tcBorders>
              <w:top w:val="single" w:sz="6" w:space="0" w:color="auto"/>
              <w:left w:val="single" w:sz="6" w:space="0" w:color="auto"/>
              <w:bottom w:val="single" w:sz="6" w:space="0" w:color="auto"/>
              <w:right w:val="single" w:sz="6" w:space="0" w:color="auto"/>
            </w:tcBorders>
          </w:tcPr>
          <w:p w14:paraId="74BD98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p w14:paraId="2894FE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704AA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Части ПВО.</w:t>
            </w:r>
          </w:p>
          <w:p w14:paraId="092033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36C56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D62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E22CA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88B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single" w:sz="6" w:space="0" w:color="auto"/>
              <w:right w:val="single" w:sz="6" w:space="0" w:color="auto"/>
            </w:tcBorders>
          </w:tcPr>
          <w:p w14:paraId="2DC899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A2E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BDF5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В план 1932 г. необходимо включить постройку окружных мастерских для УВО и ЛВО, </w:t>
      </w:r>
      <w:proofErr w:type="spellStart"/>
      <w:r w:rsidRPr="007122AB">
        <w:rPr>
          <w:rFonts w:ascii="Times New Roman" w:hAnsi="Times New Roman"/>
          <w:color w:val="000000" w:themeColor="text1"/>
          <w:sz w:val="16"/>
          <w:szCs w:val="16"/>
        </w:rPr>
        <w:t>ат</w:t>
      </w:r>
      <w:proofErr w:type="spellEnd"/>
      <w:r w:rsidRPr="007122AB">
        <w:rPr>
          <w:rFonts w:ascii="Times New Roman" w:hAnsi="Times New Roman"/>
          <w:color w:val="000000" w:themeColor="text1"/>
          <w:sz w:val="16"/>
          <w:szCs w:val="16"/>
        </w:rPr>
        <w:t>№| же мастерские для частей, развертываемых по оргмероприятиям.</w:t>
      </w:r>
    </w:p>
    <w:p w14:paraId="608206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Параллельно со строительством войсковых и окружных мастерских необходимо </w:t>
      </w:r>
      <w:proofErr w:type="spellStart"/>
      <w:r w:rsidRPr="007122AB">
        <w:rPr>
          <w:rFonts w:ascii="Times New Roman" w:hAnsi="Times New Roman"/>
          <w:color w:val="000000" w:themeColor="text1"/>
          <w:sz w:val="16"/>
          <w:szCs w:val="16"/>
        </w:rPr>
        <w:t>форсир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вать</w:t>
      </w:r>
      <w:proofErr w:type="spellEnd"/>
      <w:r w:rsidRPr="007122AB">
        <w:rPr>
          <w:rFonts w:ascii="Times New Roman" w:hAnsi="Times New Roman"/>
          <w:color w:val="000000" w:themeColor="text1"/>
          <w:sz w:val="16"/>
          <w:szCs w:val="16"/>
        </w:rPr>
        <w:t xml:space="preserve"> строительство по линии ВСНХ заводов по ремонту автотракторного имущества и </w:t>
      </w:r>
      <w:proofErr w:type="spellStart"/>
      <w:r w:rsidRPr="007122AB">
        <w:rPr>
          <w:rFonts w:ascii="Times New Roman" w:hAnsi="Times New Roman"/>
          <w:color w:val="000000" w:themeColor="text1"/>
          <w:sz w:val="16"/>
          <w:szCs w:val="16"/>
        </w:rPr>
        <w:t>изготов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нию</w:t>
      </w:r>
      <w:proofErr w:type="spellEnd"/>
      <w:r w:rsidRPr="007122AB">
        <w:rPr>
          <w:rFonts w:ascii="Times New Roman" w:hAnsi="Times New Roman"/>
          <w:color w:val="000000" w:themeColor="text1"/>
          <w:sz w:val="16"/>
          <w:szCs w:val="16"/>
        </w:rPr>
        <w:t xml:space="preserve"> запчастей.</w:t>
      </w:r>
    </w:p>
    <w:p w14:paraId="774DB0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ВСНХ по линии ВАТО намечено к постройке в 1931 г. и согласовано с НКВМ 16 ремонтных! терских типа «А» - для капитального, «Б» - для среднего и «В» - для профилактического ремонта в с дующих пунктах:</w:t>
      </w:r>
    </w:p>
    <w:tbl>
      <w:tblPr>
        <w:tblW w:w="0" w:type="auto"/>
        <w:tblInd w:w="40" w:type="dxa"/>
        <w:tblLayout w:type="fixed"/>
        <w:tblCellMar>
          <w:left w:w="40" w:type="dxa"/>
          <w:right w:w="40" w:type="dxa"/>
        </w:tblCellMar>
        <w:tblLook w:val="0000" w:firstRow="0" w:lastRow="0" w:firstColumn="0" w:lastColumn="0" w:noHBand="0" w:noVBand="0"/>
      </w:tblPr>
      <w:tblGrid>
        <w:gridCol w:w="403"/>
        <w:gridCol w:w="1939"/>
        <w:gridCol w:w="442"/>
        <w:gridCol w:w="442"/>
        <w:gridCol w:w="442"/>
        <w:gridCol w:w="4042"/>
      </w:tblGrid>
      <w:tr w:rsidR="001002C3" w:rsidRPr="007122AB" w14:paraId="40BD5B5C" w14:textId="77777777">
        <w:trPr>
          <w:trHeight w:val="230"/>
        </w:trPr>
        <w:tc>
          <w:tcPr>
            <w:tcW w:w="403" w:type="dxa"/>
            <w:tcBorders>
              <w:top w:val="single" w:sz="6" w:space="0" w:color="auto"/>
              <w:left w:val="single" w:sz="6" w:space="0" w:color="auto"/>
              <w:bottom w:val="nil"/>
              <w:right w:val="single" w:sz="6" w:space="0" w:color="auto"/>
            </w:tcBorders>
          </w:tcPr>
          <w:p w14:paraId="7A86D5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п/п</w:t>
            </w:r>
          </w:p>
          <w:p w14:paraId="21C0C5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nil"/>
              <w:right w:val="single" w:sz="6" w:space="0" w:color="auto"/>
            </w:tcBorders>
          </w:tcPr>
          <w:p w14:paraId="7B598C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Пункты постройки</w:t>
            </w:r>
          </w:p>
          <w:p w14:paraId="357CFC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6" w:type="dxa"/>
            <w:gridSpan w:val="3"/>
            <w:tcBorders>
              <w:top w:val="single" w:sz="6" w:space="0" w:color="auto"/>
              <w:left w:val="single" w:sz="6" w:space="0" w:color="auto"/>
              <w:bottom w:val="single" w:sz="6" w:space="0" w:color="auto"/>
              <w:right w:val="single" w:sz="6" w:space="0" w:color="auto"/>
            </w:tcBorders>
          </w:tcPr>
          <w:p w14:paraId="16E076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p w14:paraId="3C2137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nil"/>
              <w:right w:val="single" w:sz="6" w:space="0" w:color="auto"/>
            </w:tcBorders>
          </w:tcPr>
          <w:p w14:paraId="615027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p w14:paraId="5B0DF0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E80B491" w14:textId="77777777">
        <w:trPr>
          <w:trHeight w:val="230"/>
        </w:trPr>
        <w:tc>
          <w:tcPr>
            <w:tcW w:w="403" w:type="dxa"/>
            <w:tcBorders>
              <w:top w:val="nil"/>
              <w:left w:val="single" w:sz="6" w:space="0" w:color="auto"/>
              <w:bottom w:val="single" w:sz="6" w:space="0" w:color="auto"/>
              <w:right w:val="single" w:sz="6" w:space="0" w:color="auto"/>
            </w:tcBorders>
          </w:tcPr>
          <w:p w14:paraId="3B66C2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300A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nil"/>
              <w:left w:val="single" w:sz="6" w:space="0" w:color="auto"/>
              <w:bottom w:val="single" w:sz="6" w:space="0" w:color="auto"/>
              <w:right w:val="single" w:sz="6" w:space="0" w:color="auto"/>
            </w:tcBorders>
          </w:tcPr>
          <w:p w14:paraId="7E1841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922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9564F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w:t>
            </w:r>
          </w:p>
          <w:p w14:paraId="1F2E36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AE0AB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w:t>
            </w:r>
          </w:p>
          <w:p w14:paraId="281750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186A7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w:t>
            </w:r>
          </w:p>
          <w:p w14:paraId="45CBF2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nil"/>
              <w:left w:val="single" w:sz="6" w:space="0" w:color="auto"/>
              <w:bottom w:val="single" w:sz="6" w:space="0" w:color="auto"/>
              <w:right w:val="single" w:sz="6" w:space="0" w:color="auto"/>
            </w:tcBorders>
          </w:tcPr>
          <w:p w14:paraId="3C271D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DD2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1B73592"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2A9C17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414E1B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C8530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Бологое</w:t>
            </w:r>
          </w:p>
          <w:p w14:paraId="4CA04E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D006E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549E07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D96FD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348A23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281BD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660C6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39B88B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 Наркомзем</w:t>
            </w:r>
          </w:p>
          <w:p w14:paraId="77D281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CA40D7A"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4C8F10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p w14:paraId="2780D4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4636B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Брянск</w:t>
            </w:r>
          </w:p>
          <w:p w14:paraId="451207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B158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31AF08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DE1C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DEB0E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D9790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A97F5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72B9D4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6AC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3160246"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0CA5BA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4CE1DE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0257B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Смоленск</w:t>
            </w:r>
          </w:p>
          <w:p w14:paraId="08F761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76B8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68EB4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BA4BB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9ABEB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37D54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A1A72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6395C5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Должно идти строит, с учетом развития по типу «А»</w:t>
            </w:r>
          </w:p>
          <w:p w14:paraId="03D7A6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E97C95"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7E61EB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p w14:paraId="0D9A56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4FB7F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Свердловск</w:t>
            </w:r>
          </w:p>
          <w:p w14:paraId="6F448C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3C83E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409A9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1A9CB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09FA55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3A168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23F2E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0CDC93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048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6C8986"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765D61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p w14:paraId="77736C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22186E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xml:space="preserve"> на Дону</w:t>
            </w:r>
          </w:p>
          <w:p w14:paraId="1E5FD2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D1536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1EA4F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FEED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22E9F8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F21E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578DF0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7B566B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79DE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CE8A1BE"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69E485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7EE5B6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D8E22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Самара</w:t>
            </w:r>
          </w:p>
          <w:p w14:paraId="60C798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41AC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6739D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C6D81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700FE0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C22A1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78755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2DE1CA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D30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8404FC" w14:textId="77777777">
        <w:trPr>
          <w:trHeight w:val="374"/>
        </w:trPr>
        <w:tc>
          <w:tcPr>
            <w:tcW w:w="403" w:type="dxa"/>
            <w:tcBorders>
              <w:top w:val="single" w:sz="6" w:space="0" w:color="auto"/>
              <w:left w:val="single" w:sz="6" w:space="0" w:color="auto"/>
              <w:bottom w:val="single" w:sz="6" w:space="0" w:color="auto"/>
              <w:right w:val="single" w:sz="6" w:space="0" w:color="auto"/>
            </w:tcBorders>
          </w:tcPr>
          <w:p w14:paraId="6391E1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p w14:paraId="6E9203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2AD30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Нижний Новгород</w:t>
            </w:r>
          </w:p>
          <w:p w14:paraId="791D23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DEDB5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535DB3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CCEA3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E73FC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2A73A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5472E8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57474C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НКВМ не заинтересован в первоочередности строительства</w:t>
            </w:r>
          </w:p>
          <w:p w14:paraId="6547473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091312B"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35C028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p w14:paraId="27F14C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EFF55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Новосибирск</w:t>
            </w:r>
          </w:p>
          <w:p w14:paraId="548F6E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D82F7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453A3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7BF8B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A4EBE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9FB2F3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44F42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4FAE43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FAD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E09FE7D"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6D1814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p w14:paraId="4FDF7F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C1830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Сталинград</w:t>
            </w:r>
          </w:p>
          <w:p w14:paraId="571C3B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12DB0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0DC30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A4DC4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466D2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7B6E0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DC5A2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51FE71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603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948B99"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6074EE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p w14:paraId="00E617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612E2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Иркутск</w:t>
            </w:r>
          </w:p>
          <w:p w14:paraId="6D7D81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2D419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DDE65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7D749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19369F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8C18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CA56F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1B26F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6541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570FDD9"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15BC1D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p w14:paraId="6CC7D5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95225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Харьков</w:t>
            </w:r>
          </w:p>
          <w:p w14:paraId="6F6C3D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674C0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81407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36254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4E4AF8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D3D96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ED437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E50BA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первую очередь «Б» с вариантом «А»</w:t>
            </w:r>
          </w:p>
          <w:p w14:paraId="1A1367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7499799"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0AC76E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p w14:paraId="1FE0A0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077A1E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Кременчуг</w:t>
            </w:r>
          </w:p>
          <w:p w14:paraId="72EC14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5DA70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82352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E1A5A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4146E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EF2D4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4C37E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AE328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Через Наркомзем.</w:t>
            </w:r>
          </w:p>
          <w:p w14:paraId="178653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6AFDA5" w14:textId="77777777">
        <w:trPr>
          <w:trHeight w:val="365"/>
        </w:trPr>
        <w:tc>
          <w:tcPr>
            <w:tcW w:w="403" w:type="dxa"/>
            <w:tcBorders>
              <w:top w:val="single" w:sz="6" w:space="0" w:color="auto"/>
              <w:left w:val="single" w:sz="6" w:space="0" w:color="auto"/>
              <w:bottom w:val="single" w:sz="6" w:space="0" w:color="auto"/>
              <w:right w:val="single" w:sz="6" w:space="0" w:color="auto"/>
            </w:tcBorders>
          </w:tcPr>
          <w:p w14:paraId="7D497D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p w14:paraId="0770F9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42F5EF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Тифлис</w:t>
            </w:r>
          </w:p>
          <w:p w14:paraId="785C14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F9812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07F9AB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041D0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7F76B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9DF5D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09019C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DD91B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включены на 1932 г. по заявлению </w:t>
            </w:r>
            <w:proofErr w:type="spellStart"/>
            <w:r w:rsidRPr="007122AB">
              <w:rPr>
                <w:rFonts w:ascii="Times New Roman" w:hAnsi="Times New Roman"/>
                <w:color w:val="000000" w:themeColor="text1"/>
                <w:sz w:val="16"/>
                <w:szCs w:val="16"/>
              </w:rPr>
              <w:t>Авторемснаба</w:t>
            </w:r>
            <w:proofErr w:type="spellEnd"/>
            <w:r w:rsidRPr="007122AB">
              <w:rPr>
                <w:rFonts w:ascii="Times New Roman" w:hAnsi="Times New Roman"/>
                <w:color w:val="000000" w:themeColor="text1"/>
                <w:sz w:val="16"/>
                <w:szCs w:val="16"/>
              </w:rPr>
              <w:t>.</w:t>
            </w:r>
          </w:p>
          <w:p w14:paraId="2CFBAE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B7592B5" w14:textId="77777777">
        <w:trPr>
          <w:trHeight w:val="240"/>
        </w:trPr>
        <w:tc>
          <w:tcPr>
            <w:tcW w:w="403" w:type="dxa"/>
            <w:tcBorders>
              <w:top w:val="single" w:sz="6" w:space="0" w:color="auto"/>
              <w:left w:val="single" w:sz="6" w:space="0" w:color="auto"/>
              <w:bottom w:val="single" w:sz="6" w:space="0" w:color="auto"/>
              <w:right w:val="single" w:sz="6" w:space="0" w:color="auto"/>
            </w:tcBorders>
          </w:tcPr>
          <w:p w14:paraId="799188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p w14:paraId="5F24A2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B7C77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Ташкент</w:t>
            </w:r>
          </w:p>
          <w:p w14:paraId="10F7BA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B6C7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109A7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5A66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4925BD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7F515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043E3F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678E68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FDA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88A1D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настоящего времени это мероприятие не реализовано, до сих пор ничего не сделано, как! линии разработки проектов мастерских, так и по линии отпуска средств на постройку их и </w:t>
      </w:r>
      <w:proofErr w:type="spellStart"/>
      <w:r w:rsidRPr="007122AB">
        <w:rPr>
          <w:rFonts w:ascii="Times New Roman" w:hAnsi="Times New Roman"/>
          <w:color w:val="000000" w:themeColor="text1"/>
          <w:sz w:val="16"/>
          <w:szCs w:val="16"/>
        </w:rPr>
        <w:t>оборудо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вание</w:t>
      </w:r>
      <w:proofErr w:type="spellEnd"/>
      <w:r w:rsidRPr="007122AB">
        <w:rPr>
          <w:rFonts w:ascii="Times New Roman" w:hAnsi="Times New Roman"/>
          <w:color w:val="000000" w:themeColor="text1"/>
          <w:sz w:val="16"/>
          <w:szCs w:val="16"/>
        </w:rPr>
        <w:t>.</w:t>
      </w:r>
    </w:p>
    <w:p w14:paraId="759863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Госплан СССР представил доклад в Правительство об отпуске 10 миллионов рублей на </w:t>
      </w:r>
      <w:proofErr w:type="spellStart"/>
      <w:r w:rsidRPr="007122AB">
        <w:rPr>
          <w:rFonts w:ascii="Times New Roman" w:hAnsi="Times New Roman"/>
          <w:color w:val="000000" w:themeColor="text1"/>
          <w:sz w:val="16"/>
          <w:szCs w:val="16"/>
        </w:rPr>
        <w:t>пос</w:t>
      </w:r>
      <w:proofErr w:type="spellEnd"/>
      <w:r w:rsidRPr="007122AB">
        <w:rPr>
          <w:rFonts w:ascii="Times New Roman" w:hAnsi="Times New Roman"/>
          <w:color w:val="000000" w:themeColor="text1"/>
          <w:sz w:val="16"/>
          <w:szCs w:val="16"/>
        </w:rPr>
        <w:t xml:space="preserve"> ку этих мастерских, но до настоящего времени Правительством вопрос не разрешен.</w:t>
      </w:r>
    </w:p>
    <w:p w14:paraId="72254B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Президиум ВСНХ предусмотренные финансовым планом ВАТО ассигнования для этой цели! </w:t>
      </w:r>
      <w:proofErr w:type="spellStart"/>
      <w:r w:rsidRPr="007122AB">
        <w:rPr>
          <w:rFonts w:ascii="Times New Roman" w:hAnsi="Times New Roman"/>
          <w:color w:val="000000" w:themeColor="text1"/>
          <w:sz w:val="16"/>
          <w:szCs w:val="16"/>
        </w:rPr>
        <w:t>ключил</w:t>
      </w:r>
      <w:proofErr w:type="spellEnd"/>
      <w:r w:rsidRPr="007122AB">
        <w:rPr>
          <w:rFonts w:ascii="Times New Roman" w:hAnsi="Times New Roman"/>
          <w:color w:val="000000" w:themeColor="text1"/>
          <w:sz w:val="16"/>
          <w:szCs w:val="16"/>
        </w:rPr>
        <w:t>.</w:t>
      </w:r>
    </w:p>
    <w:p w14:paraId="1BCE23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Ремонт в военное время</w:t>
      </w:r>
    </w:p>
    <w:p w14:paraId="4E3B63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Потребность Наркомвоенмора в капитальном ремонте выражается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490"/>
        <w:gridCol w:w="2573"/>
        <w:gridCol w:w="1526"/>
        <w:gridCol w:w="1555"/>
        <w:gridCol w:w="1546"/>
      </w:tblGrid>
      <w:tr w:rsidR="001002C3" w:rsidRPr="007122AB" w14:paraId="3B31C8A6"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5774C7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06E1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10C6A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654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EF2A9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p w14:paraId="4E4F19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B8A6F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p w14:paraId="18DC85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F0070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1933г.</w:t>
            </w:r>
          </w:p>
          <w:p w14:paraId="2ED84D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94E50EE"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FEB5C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034680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2CD7D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Танки малые</w:t>
            </w:r>
          </w:p>
          <w:p w14:paraId="604FFE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7E94C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3.120</w:t>
            </w:r>
          </w:p>
          <w:p w14:paraId="4C2E39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4504D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8.200</w:t>
            </w:r>
          </w:p>
          <w:p w14:paraId="37B4E3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17DAD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11.600</w:t>
            </w:r>
          </w:p>
          <w:p w14:paraId="3D776A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F68037B"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3C8388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p w14:paraId="1D2553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3BFE8D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Танки средние</w:t>
            </w:r>
          </w:p>
          <w:p w14:paraId="2F765A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A6AA5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p w14:paraId="184CCF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5C53C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1.620</w:t>
            </w:r>
          </w:p>
          <w:p w14:paraId="0AA0C1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42BA9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p w14:paraId="2A1D41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06DC31"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145A4F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67B984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531371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Танкетки</w:t>
            </w:r>
          </w:p>
          <w:p w14:paraId="2C029F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B9C38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p w14:paraId="332A6F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E051C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2.200</w:t>
            </w:r>
          </w:p>
          <w:p w14:paraId="251D9D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C2205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6.574</w:t>
            </w:r>
          </w:p>
          <w:p w14:paraId="4040C6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5185459"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23A07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p w14:paraId="3745B4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81CB4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Трактора</w:t>
            </w:r>
          </w:p>
          <w:p w14:paraId="504F04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26368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2.507</w:t>
            </w:r>
          </w:p>
          <w:p w14:paraId="3AA792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9AA17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7.300</w:t>
            </w:r>
          </w:p>
          <w:p w14:paraId="1D4FA7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3D1FE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40.800</w:t>
            </w:r>
          </w:p>
          <w:p w14:paraId="7A13CF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E36F914"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168C8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p w14:paraId="5BEE29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5ACCA9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Автолегковые</w:t>
            </w:r>
            <w:proofErr w:type="spellEnd"/>
          </w:p>
          <w:p w14:paraId="788B58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4C220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2.800</w:t>
            </w:r>
          </w:p>
          <w:p w14:paraId="765BD4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BF019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p w14:paraId="0519E7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4DD2C4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p w14:paraId="29D512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28E07C8"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4DFE66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p w14:paraId="33AA89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306FB3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Автогрузовые</w:t>
            </w:r>
          </w:p>
          <w:p w14:paraId="4846C5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E1BD3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8.400</w:t>
            </w:r>
          </w:p>
          <w:p w14:paraId="6C8D9D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FCF0D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30.240</w:t>
            </w:r>
          </w:p>
          <w:p w14:paraId="155286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9EBEE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60.000</w:t>
            </w:r>
          </w:p>
          <w:p w14:paraId="0B2C03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F85F74" w14:textId="77777777">
        <w:trPr>
          <w:trHeight w:val="250"/>
        </w:trPr>
        <w:tc>
          <w:tcPr>
            <w:tcW w:w="490" w:type="dxa"/>
            <w:tcBorders>
              <w:top w:val="single" w:sz="6" w:space="0" w:color="auto"/>
              <w:left w:val="single" w:sz="6" w:space="0" w:color="auto"/>
              <w:bottom w:val="single" w:sz="6" w:space="0" w:color="auto"/>
              <w:right w:val="single" w:sz="6" w:space="0" w:color="auto"/>
            </w:tcBorders>
          </w:tcPr>
          <w:p w14:paraId="0DCD60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p w14:paraId="1B071D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7AF4EB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Бронемашины</w:t>
            </w:r>
          </w:p>
          <w:p w14:paraId="210610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0A0C0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404</w:t>
            </w:r>
          </w:p>
          <w:p w14:paraId="320A47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F6460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560</w:t>
            </w:r>
          </w:p>
          <w:p w14:paraId="58D4CD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6ED74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p w14:paraId="0E9B96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72A89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Правительства от 6 января 1930 г. капитальный ремонт будет костью производиться на заводах промышленности, кроме того, к производству капитального </w:t>
      </w:r>
      <w:proofErr w:type="spellStart"/>
      <w:r w:rsidRPr="007122AB">
        <w:rPr>
          <w:rFonts w:ascii="Times New Roman" w:hAnsi="Times New Roman"/>
          <w:color w:val="000000" w:themeColor="text1"/>
          <w:sz w:val="16"/>
          <w:szCs w:val="16"/>
        </w:rPr>
        <w:t>ионта</w:t>
      </w:r>
      <w:proofErr w:type="spellEnd"/>
      <w:r w:rsidRPr="007122AB">
        <w:rPr>
          <w:rFonts w:ascii="Times New Roman" w:hAnsi="Times New Roman"/>
          <w:color w:val="000000" w:themeColor="text1"/>
          <w:sz w:val="16"/>
          <w:szCs w:val="16"/>
        </w:rPr>
        <w:t xml:space="preserve"> привлекаются мастерские машинотракторных станций НКЗ СССР.</w:t>
      </w:r>
    </w:p>
    <w:p w14:paraId="39B9FB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Средний ремонт намечается производить в подвижных железнодорожных мастерских, орга-</w:t>
      </w:r>
      <w:proofErr w:type="spellStart"/>
      <w:r w:rsidRPr="007122AB">
        <w:rPr>
          <w:rFonts w:ascii="Times New Roman" w:hAnsi="Times New Roman"/>
          <w:color w:val="000000" w:themeColor="text1"/>
          <w:sz w:val="16"/>
          <w:szCs w:val="16"/>
        </w:rPr>
        <w:t>уемых</w:t>
      </w:r>
      <w:proofErr w:type="spellEnd"/>
      <w:r w:rsidRPr="007122AB">
        <w:rPr>
          <w:rFonts w:ascii="Times New Roman" w:hAnsi="Times New Roman"/>
          <w:color w:val="000000" w:themeColor="text1"/>
          <w:sz w:val="16"/>
          <w:szCs w:val="16"/>
        </w:rPr>
        <w:t xml:space="preserve"> из расчета 1-2 мастерских на Армию. Пропускная способность этих мастерских спроектирована в количестве до 10.000 средних ре-</w:t>
      </w:r>
    </w:p>
    <w:p w14:paraId="2EF338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ов</w:t>
      </w:r>
      <w:proofErr w:type="spellEnd"/>
      <w:r w:rsidRPr="007122AB">
        <w:rPr>
          <w:rFonts w:ascii="Times New Roman" w:hAnsi="Times New Roman"/>
          <w:color w:val="000000" w:themeColor="text1"/>
          <w:sz w:val="16"/>
          <w:szCs w:val="16"/>
        </w:rPr>
        <w:t xml:space="preserve"> в год. В случае перегрузки этих мастерских часть ремонта будет передаваться на заводы </w:t>
      </w:r>
      <w:proofErr w:type="spellStart"/>
      <w:r w:rsidRPr="007122AB">
        <w:rPr>
          <w:rFonts w:ascii="Times New Roman" w:hAnsi="Times New Roman"/>
          <w:color w:val="000000" w:themeColor="text1"/>
          <w:sz w:val="16"/>
          <w:szCs w:val="16"/>
        </w:rPr>
        <w:t>промышлен</w:t>
      </w:r>
      <w:proofErr w:type="spellEnd"/>
      <w:r w:rsidRPr="007122AB">
        <w:rPr>
          <w:rFonts w:ascii="Times New Roman" w:hAnsi="Times New Roman"/>
          <w:color w:val="000000" w:themeColor="text1"/>
          <w:sz w:val="16"/>
          <w:szCs w:val="16"/>
        </w:rPr>
        <w:t>-</w:t>
      </w:r>
    </w:p>
    <w:p w14:paraId="43D0DA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и мастерские НКЗ СССР.</w:t>
      </w:r>
    </w:p>
    <w:p w14:paraId="3E4EA7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Мелкий ремонт намечается производить в походных войсковых мастерских; эти мастерские </w:t>
      </w:r>
      <w:proofErr w:type="spellStart"/>
      <w:r w:rsidRPr="007122AB">
        <w:rPr>
          <w:rFonts w:ascii="Times New Roman" w:hAnsi="Times New Roman"/>
          <w:color w:val="000000" w:themeColor="text1"/>
          <w:sz w:val="16"/>
          <w:szCs w:val="16"/>
        </w:rPr>
        <w:t>друются</w:t>
      </w:r>
      <w:proofErr w:type="spellEnd"/>
      <w:r w:rsidRPr="007122AB">
        <w:rPr>
          <w:rFonts w:ascii="Times New Roman" w:hAnsi="Times New Roman"/>
          <w:color w:val="000000" w:themeColor="text1"/>
          <w:sz w:val="16"/>
          <w:szCs w:val="16"/>
        </w:rPr>
        <w:t xml:space="preserve"> на прицепных повозках или автомашинах и возятся непосредственно войсковой </w:t>
      </w:r>
      <w:proofErr w:type="spellStart"/>
      <w:r w:rsidRPr="007122AB">
        <w:rPr>
          <w:rFonts w:ascii="Times New Roman" w:hAnsi="Times New Roman"/>
          <w:color w:val="000000" w:themeColor="text1"/>
          <w:sz w:val="16"/>
          <w:szCs w:val="16"/>
        </w:rPr>
        <w:t>ча</w:t>
      </w:r>
      <w:proofErr w:type="spellEnd"/>
      <w:r w:rsidRPr="007122AB">
        <w:rPr>
          <w:rFonts w:ascii="Times New Roman" w:hAnsi="Times New Roman"/>
          <w:color w:val="000000" w:themeColor="text1"/>
          <w:sz w:val="16"/>
          <w:szCs w:val="16"/>
        </w:rPr>
        <w:t>-о, потребность в мастерских из расчета одна мастерская на 25 машин выражается: на 1931 г. — 500 мастерских на 1932 г. - 2.000 мастерских на 1933 г. — 5.000 мастерских</w:t>
      </w:r>
    </w:p>
    <w:p w14:paraId="6A8520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Весь ремонт (капитальный, средний и мелкий) основан на замене изношенных отдельных ча</w:t>
      </w:r>
      <w:r w:rsidRPr="007122AB">
        <w:rPr>
          <w:rFonts w:ascii="Times New Roman" w:hAnsi="Times New Roman"/>
          <w:color w:val="000000" w:themeColor="text1"/>
          <w:sz w:val="16"/>
          <w:szCs w:val="16"/>
        </w:rPr>
        <w:softHyphen/>
        <w:t>дили целых агрегатов. Однако каждая мастерская снабжается необходимым оборудованием для</w:t>
      </w:r>
    </w:p>
    <w:p w14:paraId="104076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оизводства</w:t>
      </w:r>
      <w:proofErr w:type="spellEnd"/>
      <w:r w:rsidRPr="007122AB">
        <w:rPr>
          <w:rFonts w:ascii="Times New Roman" w:hAnsi="Times New Roman"/>
          <w:color w:val="000000" w:themeColor="text1"/>
          <w:sz w:val="16"/>
          <w:szCs w:val="16"/>
        </w:rPr>
        <w:t xml:space="preserve"> простейших деталей; на заводы же промышленности, производящие капитальный ремонт, возлагается задача производить более сложные детали.</w:t>
      </w:r>
    </w:p>
    <w:p w14:paraId="141C91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Для организаций производства ремонта в пределах каждого фронта организуется при </w:t>
      </w:r>
      <w:proofErr w:type="spellStart"/>
      <w:r w:rsidRPr="007122AB">
        <w:rPr>
          <w:rFonts w:ascii="Times New Roman" w:hAnsi="Times New Roman"/>
          <w:color w:val="000000" w:themeColor="text1"/>
          <w:sz w:val="16"/>
          <w:szCs w:val="16"/>
        </w:rPr>
        <w:t>Началь</w:t>
      </w:r>
      <w:proofErr w:type="spellEnd"/>
      <w:r w:rsidRPr="007122AB">
        <w:rPr>
          <w:rFonts w:ascii="Times New Roman" w:hAnsi="Times New Roman"/>
          <w:color w:val="000000" w:themeColor="text1"/>
          <w:sz w:val="16"/>
          <w:szCs w:val="16"/>
        </w:rPr>
        <w:t>-: механизированных и моторизированных войск особое управление по производству капиталь-</w:t>
      </w:r>
    </w:p>
    <w:p w14:paraId="26FDB2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яого</w:t>
      </w:r>
      <w:proofErr w:type="spellEnd"/>
      <w:r w:rsidRPr="007122AB">
        <w:rPr>
          <w:rFonts w:ascii="Times New Roman" w:hAnsi="Times New Roman"/>
          <w:color w:val="000000" w:themeColor="text1"/>
          <w:sz w:val="16"/>
          <w:szCs w:val="16"/>
        </w:rPr>
        <w:t xml:space="preserve"> и среднего ремонта. Это Управление в технико-производственном отношении подчиняется со-</w:t>
      </w:r>
      <w:proofErr w:type="spellStart"/>
      <w:r w:rsidRPr="007122AB">
        <w:rPr>
          <w:rFonts w:ascii="Times New Roman" w:hAnsi="Times New Roman"/>
          <w:color w:val="000000" w:themeColor="text1"/>
          <w:sz w:val="16"/>
          <w:szCs w:val="16"/>
        </w:rPr>
        <w:t>ветствующим</w:t>
      </w:r>
      <w:proofErr w:type="spellEnd"/>
      <w:r w:rsidRPr="007122AB">
        <w:rPr>
          <w:rFonts w:ascii="Times New Roman" w:hAnsi="Times New Roman"/>
          <w:color w:val="000000" w:themeColor="text1"/>
          <w:sz w:val="16"/>
          <w:szCs w:val="16"/>
        </w:rPr>
        <w:t xml:space="preserve"> органам промышленности, а в оперативном отношении - Начальнику </w:t>
      </w:r>
      <w:proofErr w:type="spellStart"/>
      <w:r w:rsidRPr="007122AB">
        <w:rPr>
          <w:rFonts w:ascii="Times New Roman" w:hAnsi="Times New Roman"/>
          <w:color w:val="000000" w:themeColor="text1"/>
          <w:sz w:val="16"/>
          <w:szCs w:val="16"/>
        </w:rPr>
        <w:t>механизиро</w:t>
      </w:r>
      <w:proofErr w:type="spellEnd"/>
      <w:r w:rsidRPr="007122AB">
        <w:rPr>
          <w:rFonts w:ascii="Times New Roman" w:hAnsi="Times New Roman"/>
          <w:color w:val="000000" w:themeColor="text1"/>
          <w:sz w:val="16"/>
          <w:szCs w:val="16"/>
        </w:rPr>
        <w:t>-</w:t>
      </w:r>
    </w:p>
    <w:p w14:paraId="6DA82A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|ванных и моторизированных войск фронта.</w:t>
      </w:r>
    </w:p>
    <w:p w14:paraId="67727F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Промышленность через это Управление организует ремонт, обеспечивает его всем снабжением и несет ответственность за своевременный и качественный ремонт машин.</w:t>
      </w:r>
    </w:p>
    <w:p w14:paraId="2EA0DA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Обеспеченность РККА всеми видами ремонта </w:t>
      </w:r>
      <w:proofErr w:type="spellStart"/>
      <w:r w:rsidRPr="007122AB">
        <w:rPr>
          <w:rFonts w:ascii="Times New Roman" w:hAnsi="Times New Roman"/>
          <w:color w:val="000000" w:themeColor="text1"/>
          <w:sz w:val="16"/>
          <w:szCs w:val="16"/>
        </w:rPr>
        <w:t>автобронетанкотракторного</w:t>
      </w:r>
      <w:proofErr w:type="spellEnd"/>
      <w:r w:rsidRPr="007122AB">
        <w:rPr>
          <w:rFonts w:ascii="Times New Roman" w:hAnsi="Times New Roman"/>
          <w:color w:val="000000" w:themeColor="text1"/>
          <w:sz w:val="16"/>
          <w:szCs w:val="16"/>
        </w:rPr>
        <w:t xml:space="preserve"> имущества характеризуется следующими моментами:</w:t>
      </w:r>
    </w:p>
    <w:p w14:paraId="6BF661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 части мелкого ремонта - вместо 500 походных войсковых мастерских на 1931 г. имеется в настоящее время лишь 20 мастерских;</w:t>
      </w:r>
    </w:p>
    <w:p w14:paraId="66068D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 части среднего ремонта - представленная промышленности заявка на оборудование 10 железнодорожных мастерских к исполнению не принята. Обеспеченность средним ремонтом машин , РККА на время войны равна нулю.</w:t>
      </w:r>
    </w:p>
    <w:p w14:paraId="246829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 части капитального ремонта — ВСНХ СССР и НКЗ СССР дано </w:t>
      </w:r>
      <w:proofErr w:type="spellStart"/>
      <w:r w:rsidRPr="007122AB">
        <w:rPr>
          <w:rFonts w:ascii="Times New Roman" w:hAnsi="Times New Roman"/>
          <w:color w:val="000000" w:themeColor="text1"/>
          <w:sz w:val="16"/>
          <w:szCs w:val="16"/>
        </w:rPr>
        <w:t>мобзадание</w:t>
      </w:r>
      <w:proofErr w:type="spellEnd"/>
      <w:r w:rsidRPr="007122AB">
        <w:rPr>
          <w:rFonts w:ascii="Times New Roman" w:hAnsi="Times New Roman"/>
          <w:color w:val="000000" w:themeColor="text1"/>
          <w:sz w:val="16"/>
          <w:szCs w:val="16"/>
        </w:rPr>
        <w:t xml:space="preserve"> на производство ремонта.</w:t>
      </w:r>
    </w:p>
    <w:p w14:paraId="4B1F35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это задание прорабатывается; однако до сего времени еще не выяснен воп</w:t>
      </w:r>
      <w:r w:rsidRPr="007122AB">
        <w:rPr>
          <w:rFonts w:ascii="Times New Roman" w:hAnsi="Times New Roman"/>
          <w:color w:val="000000" w:themeColor="text1"/>
          <w:sz w:val="16"/>
          <w:szCs w:val="16"/>
        </w:rPr>
        <w:softHyphen/>
        <w:t>рос, какие заводы и в каком размере будут выполнять ремонт.</w:t>
      </w:r>
    </w:p>
    <w:p w14:paraId="075786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ВРИД начальника УММ РККА Калиновский</w:t>
      </w:r>
    </w:p>
    <w:p w14:paraId="43C40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РГВА. Ф. 31811. Оп. 2. Д. 58. Л. 50 - 52. Копия (11210).</w:t>
      </w:r>
    </w:p>
    <w:p w14:paraId="52B3FF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65454D" w14:textId="77777777" w:rsidR="00974187" w:rsidRPr="007122AB" w:rsidRDefault="00974187"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12-16 мая 1931 г.</w:t>
      </w:r>
      <w:r w:rsidRPr="007122AB">
        <w:rPr>
          <w:rFonts w:ascii="Times New Roman" w:hAnsi="Times New Roman"/>
          <w:color w:val="000000" w:themeColor="text1"/>
          <w:sz w:val="16"/>
          <w:szCs w:val="16"/>
        </w:rPr>
        <w:t xml:space="preserve"> В ВОХИМУ РККА была проведена конференция по ядовитым дымам — производству, боевому применению, токсикологии (17133).</w:t>
      </w:r>
    </w:p>
    <w:p w14:paraId="6E207B8D" w14:textId="77777777" w:rsidR="00974187" w:rsidRPr="007122AB" w:rsidRDefault="00974187" w:rsidP="007122AB">
      <w:pPr>
        <w:shd w:val="clear" w:color="auto" w:fill="FFFFFF"/>
        <w:spacing w:after="0" w:line="240" w:lineRule="auto"/>
        <w:jc w:val="both"/>
        <w:rPr>
          <w:rFonts w:ascii="Times New Roman" w:hAnsi="Times New Roman"/>
          <w:color w:val="000000" w:themeColor="text1"/>
          <w:sz w:val="16"/>
          <w:szCs w:val="16"/>
        </w:rPr>
      </w:pPr>
    </w:p>
    <w:p w14:paraId="6F30D59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F7F0E5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5635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мая 1931 года – максимальная достигнутая высота полета геликоптера СОК ЭАО ЦАГИ была уже 11-12 м, причем в воздухе был осуществлен поворот направо и налево (6926, 5).</w:t>
      </w:r>
    </w:p>
    <w:p w14:paraId="6E61F3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AC9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мая 1931 года на КАСКР-2 было выполнено 4 полета про</w:t>
      </w:r>
      <w:r w:rsidRPr="007122AB">
        <w:rPr>
          <w:rFonts w:ascii="Times New Roman" w:hAnsi="Times New Roman"/>
          <w:color w:val="000000" w:themeColor="text1"/>
          <w:sz w:val="16"/>
          <w:szCs w:val="16"/>
        </w:rPr>
        <w:softHyphen/>
        <w:t>должительностью до 7 минут на высоте до 250 метров (10224,35).</w:t>
      </w:r>
    </w:p>
    <w:p w14:paraId="048F4E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C74CA" w14:textId="77777777" w:rsidR="00E454F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6A931D7" w14:textId="77777777" w:rsidR="00E454FF" w:rsidRPr="007122AB" w:rsidRDefault="00E454F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E9D162" w14:textId="77777777" w:rsidR="00E454FF" w:rsidRPr="007122AB" w:rsidRDefault="00E454FF" w:rsidP="007122AB">
      <w:pPr>
        <w:pStyle w:val="rtejustify"/>
        <w:spacing w:before="0" w:after="0"/>
        <w:rPr>
          <w:color w:val="000000" w:themeColor="text1"/>
          <w:sz w:val="16"/>
          <w:szCs w:val="16"/>
        </w:rPr>
      </w:pPr>
      <w:r w:rsidRPr="007122AB">
        <w:rPr>
          <w:rStyle w:val="af0"/>
          <w:i w:val="0"/>
          <w:color w:val="000000" w:themeColor="text1"/>
          <w:sz w:val="16"/>
          <w:szCs w:val="16"/>
        </w:rPr>
        <w:t>13 мая 1931 г. Протокол Реввоенсовета № 17.</w:t>
      </w:r>
      <w:r w:rsidRPr="007122AB">
        <w:rPr>
          <w:color w:val="000000" w:themeColor="text1"/>
          <w:sz w:val="16"/>
          <w:szCs w:val="16"/>
        </w:rPr>
        <w:t xml:space="preserve"> 14. О заключении договоров на выполнение заказов (Хрулев). 16. 180</w:t>
      </w:r>
      <w:r w:rsidRPr="007122AB">
        <w:rPr>
          <w:color w:val="000000" w:themeColor="text1"/>
          <w:sz w:val="16"/>
          <w:szCs w:val="16"/>
        </w:rPr>
        <w:noBreakHyphen/>
        <w:t>мм пушки для вооружения судов, БО, ТАК и железнодорожных транспортеров (Коноплев). (РГВА. Ф. 4. Оп. 18. Д. 20. Л. 270, 271) (12342).</w:t>
      </w:r>
    </w:p>
    <w:p w14:paraId="7C1272FE" w14:textId="77777777" w:rsidR="00E454FF" w:rsidRPr="007122AB" w:rsidRDefault="00E454FF" w:rsidP="007122AB">
      <w:pPr>
        <w:pStyle w:val="rtejustify"/>
        <w:spacing w:before="0" w:after="0"/>
        <w:rPr>
          <w:color w:val="000000" w:themeColor="text1"/>
          <w:sz w:val="16"/>
          <w:szCs w:val="16"/>
        </w:rPr>
      </w:pPr>
    </w:p>
    <w:p w14:paraId="6AD264AB"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13 мая 1931 </w:t>
      </w:r>
      <w:r w:rsidRPr="007122AB">
        <w:rPr>
          <w:rFonts w:ascii="Times New Roman" w:hAnsi="Times New Roman"/>
          <w:color w:val="000000" w:themeColor="text1"/>
          <w:sz w:val="16"/>
          <w:szCs w:val="16"/>
        </w:rPr>
        <w:t>Комиссия исполнения при СНК приняла постановление «О выполнении постановления СТО о работе ленинградских судостроительных заводов» (12265).</w:t>
      </w:r>
    </w:p>
    <w:p w14:paraId="246CF1A1"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27E6A8F"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13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ЦИК и СНК СССР № 85сс о привлечении местного населения к охране электроэнергетических линий в военное время (ГА РФ. Ф. Р?8418. Оп. 28. Д. 14а. Л. 17) (12415).</w:t>
      </w:r>
    </w:p>
    <w:p w14:paraId="46CAA4D9"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Комиссии исполнения при СНК СССР о выполнении постановления СТО о работе ленинградских судостроительных заводов (СЗ. 1931. № 30. Ст. 235) (12415).</w:t>
      </w:r>
    </w:p>
    <w:p w14:paraId="6722FBD0"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p>
    <w:p w14:paraId="4423496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8C300E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058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мая 1931 президентом Франции стал </w:t>
      </w:r>
      <w:proofErr w:type="spellStart"/>
      <w:r w:rsidRPr="007122AB">
        <w:rPr>
          <w:rFonts w:ascii="Times New Roman" w:hAnsi="Times New Roman"/>
          <w:color w:val="000000" w:themeColor="text1"/>
          <w:sz w:val="16"/>
          <w:szCs w:val="16"/>
        </w:rPr>
        <w:t>П.Думер</w:t>
      </w:r>
      <w:proofErr w:type="spellEnd"/>
      <w:r w:rsidRPr="007122AB">
        <w:rPr>
          <w:rFonts w:ascii="Times New Roman" w:hAnsi="Times New Roman"/>
          <w:color w:val="000000" w:themeColor="text1"/>
          <w:sz w:val="16"/>
          <w:szCs w:val="16"/>
        </w:rPr>
        <w:t xml:space="preserve"> (3907,167).</w:t>
      </w:r>
    </w:p>
    <w:p w14:paraId="4C2A72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73171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14A4A2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0C01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(14 мая - 79,129) Д.П.Г. освободили, но вместе с ним не всех (97,22).</w:t>
      </w:r>
    </w:p>
    <w:p w14:paraId="19A46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 Д.П.Г. пришел домой без сопровождающего (значит раньше приходил с ним) (79,128).</w:t>
      </w:r>
    </w:p>
    <w:p w14:paraId="52CFF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80B816" w14:textId="77777777" w:rsidR="000C5254" w:rsidRPr="007122AB" w:rsidRDefault="000C525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822E7CD" w14:textId="77777777" w:rsidR="000C5254" w:rsidRPr="007122AB" w:rsidRDefault="000C525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238C12"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мая 1931 г. комиссия Политбюро постановила внести в план мероприятий новый пункт в следующей редакции: «Поручить Моссовету и МК образовать комиссию для рассмотрения всех существующих проектов различных средств сообщения и разработать проект метрополитена. Срок: 3 месяца»{314}.</w:t>
      </w:r>
    </w:p>
    <w:p w14:paraId="44C17E42"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Здесь отчетливо шла речь о метрополитене. Что имел в виду Сталин, от которого исходила инициатива включен </w:t>
      </w:r>
      <w:proofErr w:type="spellStart"/>
      <w:r w:rsidRPr="007122AB">
        <w:rPr>
          <w:rFonts w:ascii="Times New Roman" w:hAnsi="Times New Roman"/>
          <w:color w:val="000000" w:themeColor="text1"/>
          <w:sz w:val="16"/>
          <w:szCs w:val="16"/>
        </w:rPr>
        <w:t>ия</w:t>
      </w:r>
      <w:proofErr w:type="spellEnd"/>
      <w:r w:rsidRPr="007122AB">
        <w:rPr>
          <w:rFonts w:ascii="Times New Roman" w:hAnsi="Times New Roman"/>
          <w:color w:val="000000" w:themeColor="text1"/>
          <w:sz w:val="16"/>
          <w:szCs w:val="16"/>
        </w:rPr>
        <w:t xml:space="preserve"> этого пункта, метро ли для внутригородского сообщения, городской транспорт типа железной дороги или то и другое вместе, из текста постановления и стенограммы обсуждения остается не вполне ясным:</w:t>
      </w:r>
    </w:p>
    <w:p w14:paraId="4E157D25"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«Сталин: Нужно образовать особую комиссию по метрополитену и решить, что необходимо, срок, за который она это сделает, и сколько это стоит. Нужно постановить, что метрополитен необходим и что это дело следует форсировать. Рассматривая метрополитен в качестве основного средства сообщения, немедленно начать ориентировать на него все наземные линии.</w:t>
      </w:r>
    </w:p>
    <w:p w14:paraId="296EE61C"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Молотов: И для осуществления пригласить иностранных специалистов из Берлина, Парижа и Лондона.</w:t>
      </w:r>
    </w:p>
    <w:p w14:paraId="1E7E88B4"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Сталин: Хватит немцев.</w:t>
      </w:r>
    </w:p>
    <w:p w14:paraId="774F34A2"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Каганович: Разработать проект метрополитена в связи с экспертизой всех существующих проектов различных средств сообщения. Срок 3 месяца. Для этого создать особую комиссию при Моссовете»{315} (18299).</w:t>
      </w:r>
    </w:p>
    <w:p w14:paraId="34A3237D" w14:textId="77777777" w:rsidR="000C5254" w:rsidRPr="007122AB" w:rsidRDefault="000C5254" w:rsidP="007122AB">
      <w:pPr>
        <w:spacing w:after="0" w:line="240" w:lineRule="auto"/>
        <w:jc w:val="both"/>
        <w:rPr>
          <w:rFonts w:ascii="Times New Roman" w:hAnsi="Times New Roman"/>
          <w:color w:val="000000" w:themeColor="text1"/>
          <w:sz w:val="16"/>
          <w:szCs w:val="16"/>
        </w:rPr>
      </w:pPr>
    </w:p>
    <w:p w14:paraId="719536F8"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мая 1931 г. в правительственном официозе, газете «Известия» появилась статья Н. Осинского[34]под заголовком «Нужен ли Москве метрополитен?», в которой излагались два главных возражения против городских железных дорог: первое было направлено против тех </w:t>
      </w:r>
      <w:proofErr w:type="spellStart"/>
      <w:r w:rsidRPr="007122AB">
        <w:rPr>
          <w:rFonts w:ascii="Times New Roman" w:hAnsi="Times New Roman"/>
          <w:color w:val="000000" w:themeColor="text1"/>
          <w:sz w:val="16"/>
          <w:szCs w:val="16"/>
        </w:rPr>
        <w:t>дезурбанистов</w:t>
      </w:r>
      <w:proofErr w:type="spellEnd"/>
      <w:r w:rsidRPr="007122AB">
        <w:rPr>
          <w:rFonts w:ascii="Times New Roman" w:hAnsi="Times New Roman"/>
          <w:color w:val="000000" w:themeColor="text1"/>
          <w:sz w:val="16"/>
          <w:szCs w:val="16"/>
        </w:rPr>
        <w:t xml:space="preserve">, кто придерживался взгляда, что в ходе развития в «социалистический» город Москва будет децентрализована, и клеветал на сторонников городских железных дорог как «уклонистов» от социалистических принципов. Децентрализация, отмечал Осинский, сохраняет необходимость над- и подземных дорог. Второе возражение касалось тезиса о том, что у </w:t>
      </w:r>
      <w:proofErr w:type="spellStart"/>
      <w:r w:rsidRPr="007122AB">
        <w:rPr>
          <w:rFonts w:ascii="Times New Roman" w:hAnsi="Times New Roman"/>
          <w:color w:val="000000" w:themeColor="text1"/>
          <w:sz w:val="16"/>
          <w:szCs w:val="16"/>
        </w:rPr>
        <w:t>Москвыесть</w:t>
      </w:r>
      <w:proofErr w:type="spellEnd"/>
      <w:r w:rsidRPr="007122AB">
        <w:rPr>
          <w:rFonts w:ascii="Times New Roman" w:hAnsi="Times New Roman"/>
          <w:color w:val="000000" w:themeColor="text1"/>
          <w:sz w:val="16"/>
          <w:szCs w:val="16"/>
        </w:rPr>
        <w:t xml:space="preserve"> более насущные нужды.</w:t>
      </w:r>
    </w:p>
    <w:p w14:paraId="046AA9A8"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Осинский отверг оба эти аргумента как не соответствующие истине: в Москве, столице государства, и в будущем разместится промышленность, а в центре города останутся административные и культурные учреждения. Население в центральной части еще более сконцентрируется, поскольку надстройка одно- и двухэтажных домов обойдется дешевле, чем новое строительство на окраинах. Планы децентрализации Осинский назвал нереальными. Ввиду крайней нужды в средствах сообщения городская железная дорога не роскошь, а необходимость, поскольку трамвай безнадежно отстал от потребностей города: «Сейчас доходит до того, что большинство москвичей вынуждены передвигаться пешком, тротуары переполнены, и трамваи движутся одной непрерывной змеей, причем крайне медленно, закупоривая улицы»{316}.</w:t>
      </w:r>
    </w:p>
    <w:p w14:paraId="0AFB3254"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зарубежной практике, напоминал Осинский, трамваи исчезают с центральных городских улиц. В Лондоне, Нью-Йорке, Париже в центре курсируют только автобусы и метро. Сростом числа автомобилей трамваи превращаются в помеху уличному движению. Они слишком медлительны, не могут быстро ускориться или уступить дорогу, перекрывают уличное движение, на каждой остановке создают пробку, поскольку входящие и выходящие пассажиры трамвая должны пересечь проезжую часть улицы.</w:t>
      </w:r>
    </w:p>
    <w:p w14:paraId="61C67F01"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Через несколько лет, утверждал Осинский, на улицах Москвы появятся десятки тысяч личных автомобилей. Тогда трамвайное движение надо будет переместить за пределы Садового кольца. Следует построить метрополитен, внедрить в крупном масштабе автобусное сообщение и такси и как предпосылку для этого улучшить состояние проезжей части на улицах и укрепить дисциплину на улицах. Сейчас пешеходы в Москве ведут себя как в деревне, массами выходят на проезжую часть и останавливаются прямо на перекрестках, чтобы поболтать{317}.</w:t>
      </w:r>
    </w:p>
    <w:p w14:paraId="170335F0"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Статья вызвала большой резонанс. В дополнение к ней Эмиль Цейтлин из областного планового отдела и инженер </w:t>
      </w:r>
      <w:proofErr w:type="spellStart"/>
      <w:r w:rsidRPr="007122AB">
        <w:rPr>
          <w:rFonts w:ascii="Times New Roman" w:hAnsi="Times New Roman"/>
          <w:color w:val="000000" w:themeColor="text1"/>
          <w:sz w:val="16"/>
          <w:szCs w:val="16"/>
        </w:rPr>
        <w:t>Катцен</w:t>
      </w:r>
      <w:proofErr w:type="spellEnd"/>
      <w:r w:rsidRPr="007122AB">
        <w:rPr>
          <w:rFonts w:ascii="Times New Roman" w:hAnsi="Times New Roman"/>
          <w:color w:val="000000" w:themeColor="text1"/>
          <w:sz w:val="16"/>
          <w:szCs w:val="16"/>
        </w:rPr>
        <w:t xml:space="preserve"> из МГЖД, которые в марте-апреле 1931 г. разработали в комиссии МК и Моссовета концепцию развития городского транспорта, опубликовали 23 мая 1931 г. в «Известиях» свою статью. Подписана она была Цейтлиным, так как </w:t>
      </w:r>
      <w:proofErr w:type="spellStart"/>
      <w:r w:rsidRPr="007122AB">
        <w:rPr>
          <w:rFonts w:ascii="Times New Roman" w:hAnsi="Times New Roman"/>
          <w:color w:val="000000" w:themeColor="text1"/>
          <w:sz w:val="16"/>
          <w:szCs w:val="16"/>
        </w:rPr>
        <w:t>Катцен</w:t>
      </w:r>
      <w:proofErr w:type="spellEnd"/>
      <w:r w:rsidRPr="007122AB">
        <w:rPr>
          <w:rFonts w:ascii="Times New Roman" w:hAnsi="Times New Roman"/>
          <w:color w:val="000000" w:themeColor="text1"/>
          <w:sz w:val="16"/>
          <w:szCs w:val="16"/>
        </w:rPr>
        <w:t xml:space="preserve"> опасался открыто поставить свою подпись{318}.Ведь всего лишь несколько месяцев назад были арестованы его коллеги из проектного бюро МГЖД.</w:t>
      </w:r>
    </w:p>
    <w:p w14:paraId="7138F33A"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Цейтлин и </w:t>
      </w:r>
      <w:proofErr w:type="spellStart"/>
      <w:r w:rsidRPr="007122AB">
        <w:rPr>
          <w:rFonts w:ascii="Times New Roman" w:hAnsi="Times New Roman"/>
          <w:color w:val="000000" w:themeColor="text1"/>
          <w:sz w:val="16"/>
          <w:szCs w:val="16"/>
        </w:rPr>
        <w:t>Катцен</w:t>
      </w:r>
      <w:proofErr w:type="spellEnd"/>
      <w:r w:rsidRPr="007122AB">
        <w:rPr>
          <w:rFonts w:ascii="Times New Roman" w:hAnsi="Times New Roman"/>
          <w:color w:val="000000" w:themeColor="text1"/>
          <w:sz w:val="16"/>
          <w:szCs w:val="16"/>
        </w:rPr>
        <w:t xml:space="preserve"> привели статистические сведения о развитии городского транспорта в Москве и констатировали предельную загрузку трамвайной сети. К противоречивым тенденциям градостроительной мысли они относили идеи радикальной перепланировки Москвы или децентрализации города, неосуществимые в ближайшие 10 лет. Но даже если окраинные районы получат большую самостоятельность, связь с центром и другими районами останется весьма оживленной. При ожидаемом расширении города до 70 км в диаметре (</w:t>
      </w:r>
      <w:proofErr w:type="spellStart"/>
      <w:r w:rsidRPr="007122AB">
        <w:rPr>
          <w:rFonts w:ascii="Times New Roman" w:hAnsi="Times New Roman"/>
          <w:color w:val="000000" w:themeColor="text1"/>
          <w:sz w:val="16"/>
          <w:szCs w:val="16"/>
        </w:rPr>
        <w:t>дезурбанистическая</w:t>
      </w:r>
      <w:proofErr w:type="spellEnd"/>
      <w:r w:rsidRPr="007122AB">
        <w:rPr>
          <w:rFonts w:ascii="Times New Roman" w:hAnsi="Times New Roman"/>
          <w:color w:val="000000" w:themeColor="text1"/>
          <w:sz w:val="16"/>
          <w:szCs w:val="16"/>
        </w:rPr>
        <w:t xml:space="preserve"> версия) автобусы и трамваи окажутся слишком медленным видом транспорта. Международный опыт свидетельствует о прямой зависимости между расширением города и необходимостью городской железной дороги. Средняя скорость трамвая составляет 14 км/ч, автобуса — 16, а городской железной дороги — 35 км/ч. Затраты на перевозку одного пассажира по железной дороге существенно ниже. При расчете инвестиционных затрат именно этот вид городского транспорта является основным{319}. [Картинка: i_021.png] Рис. 17. Проект комиссии МК и Моссовета, апрель 1931 г., а также проект Наркомата путей сообщения железнодорожной диаметральной линии, 1930/31 г. (</w:t>
      </w:r>
      <w:proofErr w:type="spellStart"/>
      <w:r w:rsidRPr="007122AB">
        <w:rPr>
          <w:rFonts w:ascii="Times New Roman" w:hAnsi="Times New Roman"/>
          <w:color w:val="000000" w:themeColor="text1"/>
          <w:sz w:val="16"/>
          <w:szCs w:val="16"/>
        </w:rPr>
        <w:t>Катцен.Проект</w:t>
      </w:r>
      <w:proofErr w:type="spellEnd"/>
      <w:r w:rsidRPr="007122AB">
        <w:rPr>
          <w:rFonts w:ascii="Times New Roman" w:hAnsi="Times New Roman"/>
          <w:color w:val="000000" w:themeColor="text1"/>
          <w:sz w:val="16"/>
          <w:szCs w:val="16"/>
        </w:rPr>
        <w:t>. 1931. С. 21).Проект предусматривал прокладку следующих линий: трех пригородных от Царицыно до Крестьянской заставы, от Ивановского через шоссе Энтузиастов до площади Ильича, от Измайлово через Садовое кольцо на Ховрино; двух соединительных веток от Крестьянской заставы к пл. Ильича и от Крестьянской заставы до Таганской пл.; диаметральной линии от Триумфальной пл. до первой пригородной линии (южнее Крестьянской заставы). Всего к 1935 г. должны быть построены линии первой очереди протяженностью 65 км, из них 18 км в тоннелях, 21 км на эстакадах и 26 км по насыпям. Во вторую очередь сеть линий должна была достигнуть 89 км.</w:t>
      </w:r>
    </w:p>
    <w:p w14:paraId="30D7FD5E"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Авторы статьи отвергли проект МГЖД, поскольку он ограничивался пределами существующей городской черты и не принимал в расчет разрастание Москвы. Они представили новую схему линий, а именно концепцию городской железной дороги пригородного типа, разработанную комиссией МК и Моссовета{320},[35] (18299).</w:t>
      </w:r>
    </w:p>
    <w:p w14:paraId="691FDE61" w14:textId="77777777" w:rsidR="000C5254" w:rsidRPr="007122AB" w:rsidRDefault="000C5254" w:rsidP="007122AB">
      <w:pPr>
        <w:spacing w:after="0" w:line="240" w:lineRule="auto"/>
        <w:jc w:val="both"/>
        <w:rPr>
          <w:rFonts w:ascii="Times New Roman" w:hAnsi="Times New Roman"/>
          <w:color w:val="000000" w:themeColor="text1"/>
          <w:sz w:val="16"/>
          <w:szCs w:val="16"/>
        </w:rPr>
      </w:pPr>
    </w:p>
    <w:p w14:paraId="06A32A4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C997CA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2CFC65" w14:textId="77777777" w:rsidR="003C0F10" w:rsidRPr="007122AB" w:rsidRDefault="003C0F1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мая 1931 </w:t>
      </w:r>
      <w:proofErr w:type="spellStart"/>
      <w:r w:rsidRPr="007122AB">
        <w:rPr>
          <w:rFonts w:ascii="Times New Roman" w:hAnsi="Times New Roman"/>
          <w:color w:val="000000" w:themeColor="text1"/>
          <w:sz w:val="16"/>
          <w:szCs w:val="16"/>
        </w:rPr>
        <w:t>Джипси</w:t>
      </w:r>
      <w:proofErr w:type="spellEnd"/>
      <w:r w:rsidRPr="007122AB">
        <w:rPr>
          <w:rFonts w:ascii="Times New Roman" w:hAnsi="Times New Roman"/>
          <w:color w:val="000000" w:themeColor="text1"/>
          <w:sz w:val="16"/>
          <w:szCs w:val="16"/>
        </w:rPr>
        <w:t xml:space="preserve"> Мот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xml:space="preserve">, пилотируемый профессиональным охотником Денисом Финчем Хаттоном и несущий также слугу </w:t>
      </w:r>
      <w:proofErr w:type="spellStart"/>
      <w:r w:rsidRPr="007122AB">
        <w:rPr>
          <w:rFonts w:ascii="Times New Roman" w:hAnsi="Times New Roman"/>
          <w:color w:val="000000" w:themeColor="text1"/>
          <w:sz w:val="16"/>
          <w:szCs w:val="16"/>
        </w:rPr>
        <w:t>Кокёё</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Камау</w:t>
      </w:r>
      <w:proofErr w:type="spellEnd"/>
      <w:r w:rsidRPr="007122AB">
        <w:rPr>
          <w:rFonts w:ascii="Times New Roman" w:hAnsi="Times New Roman"/>
          <w:color w:val="000000" w:themeColor="text1"/>
          <w:sz w:val="16"/>
          <w:szCs w:val="16"/>
        </w:rPr>
        <w:t>, взлетает с аэродрома в Вои, Кения, дважды кружит над полем, останавливается и разбивается, убивая обоих мужчин (20804).</w:t>
      </w:r>
    </w:p>
    <w:p w14:paraId="5CDB8322" w14:textId="77777777" w:rsidR="003C0F10" w:rsidRPr="007122AB" w:rsidRDefault="003C0F10" w:rsidP="007122AB">
      <w:pPr>
        <w:spacing w:after="0" w:line="240" w:lineRule="auto"/>
        <w:jc w:val="both"/>
        <w:rPr>
          <w:rFonts w:ascii="Times New Roman" w:hAnsi="Times New Roman"/>
          <w:color w:val="000000" w:themeColor="text1"/>
          <w:sz w:val="16"/>
          <w:szCs w:val="16"/>
        </w:rPr>
      </w:pPr>
    </w:p>
    <w:p w14:paraId="6C42A463" w14:textId="77777777" w:rsidR="003C0F10" w:rsidRPr="007122AB" w:rsidRDefault="003C0F1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мая 1931 - Начало трансконтинентального перелёта автожира из Филадельфии в Сан-Диего. Пилот Джон М. Миллер (22502).</w:t>
      </w:r>
    </w:p>
    <w:p w14:paraId="53A95F87" w14:textId="77777777" w:rsidR="003C0F10" w:rsidRPr="007122AB" w:rsidRDefault="003C0F10" w:rsidP="007122AB">
      <w:pPr>
        <w:spacing w:after="0" w:line="240" w:lineRule="auto"/>
        <w:jc w:val="both"/>
        <w:rPr>
          <w:rFonts w:ascii="Times New Roman" w:hAnsi="Times New Roman"/>
          <w:color w:val="000000" w:themeColor="text1"/>
          <w:sz w:val="16"/>
          <w:szCs w:val="16"/>
        </w:rPr>
      </w:pPr>
    </w:p>
    <w:p w14:paraId="674FA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мая 1931 с полигона близ Берлина был осуществлен запуск ракеты Repulsor-1 немецкого Общества межпланетных сообщений конструкции </w:t>
      </w:r>
      <w:proofErr w:type="spellStart"/>
      <w:r w:rsidRPr="007122AB">
        <w:rPr>
          <w:rFonts w:ascii="Times New Roman" w:hAnsi="Times New Roman"/>
          <w:color w:val="000000" w:themeColor="text1"/>
          <w:sz w:val="16"/>
          <w:szCs w:val="16"/>
        </w:rPr>
        <w:t>Karl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Riddel</w:t>
      </w:r>
      <w:proofErr w:type="spellEnd"/>
      <w:r w:rsidRPr="007122AB">
        <w:rPr>
          <w:rFonts w:ascii="Times New Roman" w:hAnsi="Times New Roman"/>
          <w:color w:val="000000" w:themeColor="text1"/>
          <w:sz w:val="16"/>
          <w:szCs w:val="16"/>
        </w:rPr>
        <w:t>. Достигла высоты 60 м (2990).</w:t>
      </w:r>
    </w:p>
    <w:p w14:paraId="76FED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EA7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14 мая 1931 ракета была отремонтирована, несколько облегчена и готова для первого экспериментального запуска. В назначенный час «летающий испытательный стенд», получивший название «Repulsor-1» («Репульсор-1»), с диким ревом стартовал. Он ударился о крышу соседнего здания, около двух секунд летел косо вверх под углом в 70°, после чего сделал мертвую петлю, поднялся еще немного, и, спикировав, упал на землю с работающим двигателем. Во время пикирования стенка камеры сгорания в одном месте прогорела, и здесь образовалось новое «сопло», за счет чего система получила вращательное движение. Ракета не развалилась только потому, что закончилось топливо. Достигнутая высота составила не более 60 м (11688).</w:t>
      </w:r>
    </w:p>
    <w:p w14:paraId="4583D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716F5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3CA28C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8AA2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15 мая 1931 г. Завод опытных конструкций (ЗОК) ЦАГИ уже вел сборку хвостовой части фюзеляжа, ферм лонжеронов и клепал оперение ТБ-4.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 (12024).</w:t>
      </w:r>
    </w:p>
    <w:p w14:paraId="7A9908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EDF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15 мая 1931 г. Завод опытных конструкций (ЗОК) ЦАГИ уже вел сборку хвостовой части фюзеляжа, ферм лонжеронов и клепал оперение ТБ-4.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52EEA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просчитались. М-34 продолжали мучительно доводить, более мощные двигатели ФЭД в октябре 1931 г. только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28980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w:t>
      </w:r>
      <w:proofErr w:type="spellStart"/>
      <w:r w:rsidRPr="007122AB">
        <w:rPr>
          <w:rFonts w:ascii="Times New Roman" w:hAnsi="Times New Roman"/>
          <w:color w:val="000000" w:themeColor="text1"/>
          <w:sz w:val="16"/>
          <w:szCs w:val="16"/>
        </w:rPr>
        <w:t>мотоустановку</w:t>
      </w:r>
      <w:proofErr w:type="spellEnd"/>
      <w:r w:rsidRPr="007122AB">
        <w:rPr>
          <w:rFonts w:ascii="Times New Roman" w:hAnsi="Times New Roman"/>
          <w:color w:val="000000" w:themeColor="text1"/>
          <w:sz w:val="16"/>
          <w:szCs w:val="16"/>
        </w:rPr>
        <w:t xml:space="preserve"> самолета. Последовал очередной этап переделки чертежей, а кое-где и уже готовых узлов.</w:t>
      </w:r>
    </w:p>
    <w:p w14:paraId="6AC01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66A664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1867B4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5D87D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23C8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мая 1931 г. вышел приказ начальника ВВС, согласно которому гражданской авиации должны были передать 55 Р-1 с моторами BMW IV, но не все из них уже могли летать. Реально, по-видимому, если и отдали, то не более десятка машин. Последние упоминания о гражданских Р-1 относятся к 1932 г.</w:t>
      </w:r>
    </w:p>
    <w:p w14:paraId="37BFD1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САМОЛЕТОВ СЕМЕЙСТВА Р-1</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7"/>
        <w:gridCol w:w="838"/>
        <w:gridCol w:w="838"/>
        <w:gridCol w:w="887"/>
        <w:gridCol w:w="1230"/>
        <w:gridCol w:w="1230"/>
        <w:gridCol w:w="887"/>
        <w:gridCol w:w="936"/>
        <w:gridCol w:w="691"/>
      </w:tblGrid>
      <w:tr w:rsidR="001002C3" w:rsidRPr="007122AB" w14:paraId="61C95386" w14:textId="77777777">
        <w:tc>
          <w:tcPr>
            <w:tcW w:w="1817" w:type="dxa"/>
            <w:tcBorders>
              <w:top w:val="single" w:sz="12" w:space="0" w:color="auto"/>
            </w:tcBorders>
          </w:tcPr>
          <w:p w14:paraId="54E08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Borders>
              <w:top w:val="single" w:sz="12" w:space="0" w:color="auto"/>
            </w:tcBorders>
          </w:tcPr>
          <w:p w14:paraId="45E256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 сер.1</w:t>
            </w:r>
          </w:p>
        </w:tc>
        <w:tc>
          <w:tcPr>
            <w:tcW w:w="838" w:type="dxa"/>
            <w:tcBorders>
              <w:top w:val="single" w:sz="12" w:space="0" w:color="auto"/>
            </w:tcBorders>
          </w:tcPr>
          <w:p w14:paraId="17164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 сер.2</w:t>
            </w:r>
          </w:p>
        </w:tc>
        <w:tc>
          <w:tcPr>
            <w:tcW w:w="887" w:type="dxa"/>
            <w:tcBorders>
              <w:top w:val="single" w:sz="12" w:space="0" w:color="auto"/>
            </w:tcBorders>
          </w:tcPr>
          <w:p w14:paraId="4C28A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ГАЗ-10 сер.1</w:t>
            </w:r>
          </w:p>
        </w:tc>
        <w:tc>
          <w:tcPr>
            <w:tcW w:w="1230" w:type="dxa"/>
            <w:tcBorders>
              <w:top w:val="single" w:sz="12" w:space="0" w:color="auto"/>
            </w:tcBorders>
          </w:tcPr>
          <w:p w14:paraId="4E07C9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ГАЗ-10 сер.2</w:t>
            </w:r>
          </w:p>
        </w:tc>
        <w:tc>
          <w:tcPr>
            <w:tcW w:w="1230" w:type="dxa"/>
            <w:tcBorders>
              <w:top w:val="single" w:sz="12" w:space="0" w:color="auto"/>
            </w:tcBorders>
          </w:tcPr>
          <w:p w14:paraId="1BBFF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ГАЗ-10 сер.6</w:t>
            </w:r>
          </w:p>
        </w:tc>
        <w:tc>
          <w:tcPr>
            <w:tcW w:w="887" w:type="dxa"/>
            <w:tcBorders>
              <w:top w:val="single" w:sz="12" w:space="0" w:color="auto"/>
            </w:tcBorders>
          </w:tcPr>
          <w:p w14:paraId="2EEF97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 сер.11</w:t>
            </w:r>
          </w:p>
        </w:tc>
        <w:tc>
          <w:tcPr>
            <w:tcW w:w="936" w:type="dxa"/>
            <w:tcBorders>
              <w:top w:val="single" w:sz="12" w:space="0" w:color="auto"/>
            </w:tcBorders>
          </w:tcPr>
          <w:p w14:paraId="389F8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ГАЗ-10 сер.11</w:t>
            </w:r>
          </w:p>
        </w:tc>
        <w:tc>
          <w:tcPr>
            <w:tcW w:w="691" w:type="dxa"/>
            <w:tcBorders>
              <w:top w:val="single" w:sz="12" w:space="0" w:color="auto"/>
            </w:tcBorders>
          </w:tcPr>
          <w:p w14:paraId="5A64A2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 3458</w:t>
            </w:r>
          </w:p>
        </w:tc>
      </w:tr>
      <w:tr w:rsidR="001002C3" w:rsidRPr="007122AB" w14:paraId="2DDB4B92" w14:textId="77777777">
        <w:tc>
          <w:tcPr>
            <w:tcW w:w="1817" w:type="dxa"/>
          </w:tcPr>
          <w:p w14:paraId="039627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крыльев, м</w:t>
            </w:r>
          </w:p>
        </w:tc>
        <w:tc>
          <w:tcPr>
            <w:tcW w:w="838" w:type="dxa"/>
          </w:tcPr>
          <w:p w14:paraId="32878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838" w:type="dxa"/>
          </w:tcPr>
          <w:p w14:paraId="13736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887" w:type="dxa"/>
          </w:tcPr>
          <w:p w14:paraId="4CDFA1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1230" w:type="dxa"/>
          </w:tcPr>
          <w:p w14:paraId="3A335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1230" w:type="dxa"/>
          </w:tcPr>
          <w:p w14:paraId="5EC5D8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887" w:type="dxa"/>
          </w:tcPr>
          <w:p w14:paraId="6700D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936" w:type="dxa"/>
          </w:tcPr>
          <w:p w14:paraId="26742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691" w:type="dxa"/>
          </w:tcPr>
          <w:p w14:paraId="511857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r>
      <w:tr w:rsidR="001002C3" w:rsidRPr="007122AB" w14:paraId="0E80050B" w14:textId="77777777">
        <w:tc>
          <w:tcPr>
            <w:tcW w:w="1817" w:type="dxa"/>
          </w:tcPr>
          <w:p w14:paraId="50EEE4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м</w:t>
            </w:r>
          </w:p>
        </w:tc>
        <w:tc>
          <w:tcPr>
            <w:tcW w:w="838" w:type="dxa"/>
          </w:tcPr>
          <w:p w14:paraId="77D02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838" w:type="dxa"/>
          </w:tcPr>
          <w:p w14:paraId="06CD0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887" w:type="dxa"/>
          </w:tcPr>
          <w:p w14:paraId="030B2C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1230" w:type="dxa"/>
          </w:tcPr>
          <w:p w14:paraId="5EAF2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1230" w:type="dxa"/>
          </w:tcPr>
          <w:p w14:paraId="0075C2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887" w:type="dxa"/>
          </w:tcPr>
          <w:p w14:paraId="40AF7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936" w:type="dxa"/>
          </w:tcPr>
          <w:p w14:paraId="27154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w:t>
            </w:r>
          </w:p>
        </w:tc>
        <w:tc>
          <w:tcPr>
            <w:tcW w:w="691" w:type="dxa"/>
          </w:tcPr>
          <w:p w14:paraId="76A0B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w:t>
            </w:r>
          </w:p>
        </w:tc>
      </w:tr>
      <w:tr w:rsidR="001002C3" w:rsidRPr="007122AB" w14:paraId="27AF955E" w14:textId="77777777">
        <w:tc>
          <w:tcPr>
            <w:tcW w:w="1817" w:type="dxa"/>
          </w:tcPr>
          <w:p w14:paraId="604E3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м</w:t>
            </w:r>
          </w:p>
        </w:tc>
        <w:tc>
          <w:tcPr>
            <w:tcW w:w="838" w:type="dxa"/>
          </w:tcPr>
          <w:p w14:paraId="34AB9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838" w:type="dxa"/>
          </w:tcPr>
          <w:p w14:paraId="3559C6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887" w:type="dxa"/>
          </w:tcPr>
          <w:p w14:paraId="501F0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1230" w:type="dxa"/>
          </w:tcPr>
          <w:p w14:paraId="523666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1230" w:type="dxa"/>
          </w:tcPr>
          <w:p w14:paraId="0C041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887" w:type="dxa"/>
          </w:tcPr>
          <w:p w14:paraId="13E7A6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936" w:type="dxa"/>
          </w:tcPr>
          <w:p w14:paraId="38E0A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691" w:type="dxa"/>
          </w:tcPr>
          <w:p w14:paraId="1C73F5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r>
      <w:tr w:rsidR="001002C3" w:rsidRPr="007122AB" w14:paraId="7DC37BB7" w14:textId="77777777">
        <w:tc>
          <w:tcPr>
            <w:tcW w:w="1817" w:type="dxa"/>
          </w:tcPr>
          <w:p w14:paraId="1601F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кг</w:t>
            </w:r>
          </w:p>
        </w:tc>
        <w:tc>
          <w:tcPr>
            <w:tcW w:w="838" w:type="dxa"/>
          </w:tcPr>
          <w:p w14:paraId="646FF8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6968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8DFD2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D96E2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307F0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5398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BA9ED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1135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70ED255" w14:textId="77777777">
        <w:tc>
          <w:tcPr>
            <w:tcW w:w="1817" w:type="dxa"/>
          </w:tcPr>
          <w:p w14:paraId="4F6E1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пустого</w:t>
            </w:r>
          </w:p>
        </w:tc>
        <w:tc>
          <w:tcPr>
            <w:tcW w:w="838" w:type="dxa"/>
          </w:tcPr>
          <w:p w14:paraId="4E6DD7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1386</w:t>
            </w:r>
          </w:p>
        </w:tc>
        <w:tc>
          <w:tcPr>
            <w:tcW w:w="838" w:type="dxa"/>
          </w:tcPr>
          <w:p w14:paraId="66E649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1323</w:t>
            </w:r>
          </w:p>
        </w:tc>
        <w:tc>
          <w:tcPr>
            <w:tcW w:w="887" w:type="dxa"/>
          </w:tcPr>
          <w:p w14:paraId="2B9F6C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1324</w:t>
            </w:r>
          </w:p>
        </w:tc>
        <w:tc>
          <w:tcPr>
            <w:tcW w:w="1230" w:type="dxa"/>
          </w:tcPr>
          <w:p w14:paraId="1E1CD2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1360</w:t>
            </w:r>
          </w:p>
        </w:tc>
        <w:tc>
          <w:tcPr>
            <w:tcW w:w="1230" w:type="dxa"/>
          </w:tcPr>
          <w:p w14:paraId="52C937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1357</w:t>
            </w:r>
          </w:p>
        </w:tc>
        <w:tc>
          <w:tcPr>
            <w:tcW w:w="887" w:type="dxa"/>
          </w:tcPr>
          <w:p w14:paraId="0C553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1441</w:t>
            </w:r>
          </w:p>
        </w:tc>
        <w:tc>
          <w:tcPr>
            <w:tcW w:w="936" w:type="dxa"/>
          </w:tcPr>
          <w:p w14:paraId="3B906A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2E420D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1430</w:t>
            </w:r>
          </w:p>
        </w:tc>
      </w:tr>
      <w:tr w:rsidR="001002C3" w:rsidRPr="007122AB" w14:paraId="2A635A7E" w14:textId="77777777">
        <w:tc>
          <w:tcPr>
            <w:tcW w:w="1817" w:type="dxa"/>
          </w:tcPr>
          <w:p w14:paraId="4EA7E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w:t>
            </w:r>
          </w:p>
        </w:tc>
        <w:tc>
          <w:tcPr>
            <w:tcW w:w="838" w:type="dxa"/>
          </w:tcPr>
          <w:p w14:paraId="1A5ED9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2154</w:t>
            </w:r>
          </w:p>
        </w:tc>
        <w:tc>
          <w:tcPr>
            <w:tcW w:w="838" w:type="dxa"/>
          </w:tcPr>
          <w:p w14:paraId="43C1D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2073</w:t>
            </w:r>
          </w:p>
        </w:tc>
        <w:tc>
          <w:tcPr>
            <w:tcW w:w="887" w:type="dxa"/>
          </w:tcPr>
          <w:p w14:paraId="7D9BA0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2071</w:t>
            </w:r>
          </w:p>
        </w:tc>
        <w:tc>
          <w:tcPr>
            <w:tcW w:w="1230" w:type="dxa"/>
          </w:tcPr>
          <w:p w14:paraId="5675F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2110</w:t>
            </w:r>
          </w:p>
        </w:tc>
        <w:tc>
          <w:tcPr>
            <w:tcW w:w="1230" w:type="dxa"/>
          </w:tcPr>
          <w:p w14:paraId="079EDC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747887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2191</w:t>
            </w:r>
          </w:p>
        </w:tc>
        <w:tc>
          <w:tcPr>
            <w:tcW w:w="936" w:type="dxa"/>
          </w:tcPr>
          <w:p w14:paraId="4EEEF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415D11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2180</w:t>
            </w:r>
          </w:p>
        </w:tc>
      </w:tr>
      <w:tr w:rsidR="001002C3" w:rsidRPr="007122AB" w14:paraId="2749F704" w14:textId="77777777">
        <w:tc>
          <w:tcPr>
            <w:tcW w:w="1817" w:type="dxa"/>
          </w:tcPr>
          <w:p w14:paraId="40934D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у земли, км/ч</w:t>
            </w:r>
          </w:p>
        </w:tc>
        <w:tc>
          <w:tcPr>
            <w:tcW w:w="838" w:type="dxa"/>
          </w:tcPr>
          <w:p w14:paraId="6E12A9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w:t>
            </w:r>
          </w:p>
        </w:tc>
        <w:tc>
          <w:tcPr>
            <w:tcW w:w="838" w:type="dxa"/>
          </w:tcPr>
          <w:p w14:paraId="5CEC7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w:t>
            </w:r>
          </w:p>
        </w:tc>
        <w:tc>
          <w:tcPr>
            <w:tcW w:w="887" w:type="dxa"/>
          </w:tcPr>
          <w:p w14:paraId="7781F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205</w:t>
            </w:r>
          </w:p>
        </w:tc>
        <w:tc>
          <w:tcPr>
            <w:tcW w:w="1230" w:type="dxa"/>
          </w:tcPr>
          <w:p w14:paraId="4F05C4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204</w:t>
            </w:r>
          </w:p>
        </w:tc>
        <w:tc>
          <w:tcPr>
            <w:tcW w:w="1230" w:type="dxa"/>
          </w:tcPr>
          <w:p w14:paraId="2B5C4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190</w:t>
            </w:r>
          </w:p>
        </w:tc>
        <w:tc>
          <w:tcPr>
            <w:tcW w:w="887" w:type="dxa"/>
          </w:tcPr>
          <w:p w14:paraId="0E745A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w:t>
            </w:r>
          </w:p>
        </w:tc>
        <w:tc>
          <w:tcPr>
            <w:tcW w:w="936" w:type="dxa"/>
          </w:tcPr>
          <w:p w14:paraId="20C75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1AEA3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191</w:t>
            </w:r>
          </w:p>
        </w:tc>
      </w:tr>
      <w:tr w:rsidR="001002C3" w:rsidRPr="007122AB" w14:paraId="16F403AD" w14:textId="77777777">
        <w:tc>
          <w:tcPr>
            <w:tcW w:w="1817" w:type="dxa"/>
          </w:tcPr>
          <w:p w14:paraId="5B962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 практический, м</w:t>
            </w:r>
          </w:p>
        </w:tc>
        <w:tc>
          <w:tcPr>
            <w:tcW w:w="838" w:type="dxa"/>
          </w:tcPr>
          <w:p w14:paraId="2A2A7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5360</w:t>
            </w:r>
          </w:p>
        </w:tc>
        <w:tc>
          <w:tcPr>
            <w:tcW w:w="838" w:type="dxa"/>
          </w:tcPr>
          <w:p w14:paraId="39B2D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5940</w:t>
            </w:r>
          </w:p>
        </w:tc>
        <w:tc>
          <w:tcPr>
            <w:tcW w:w="887" w:type="dxa"/>
          </w:tcPr>
          <w:p w14:paraId="1E3713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230" w:type="dxa"/>
          </w:tcPr>
          <w:p w14:paraId="41EDD8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230" w:type="dxa"/>
          </w:tcPr>
          <w:p w14:paraId="5CA150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5200</w:t>
            </w:r>
          </w:p>
        </w:tc>
        <w:tc>
          <w:tcPr>
            <w:tcW w:w="887" w:type="dxa"/>
          </w:tcPr>
          <w:p w14:paraId="3395AB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4800</w:t>
            </w:r>
          </w:p>
        </w:tc>
        <w:tc>
          <w:tcPr>
            <w:tcW w:w="936" w:type="dxa"/>
          </w:tcPr>
          <w:p w14:paraId="0FE11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5250</w:t>
            </w:r>
          </w:p>
        </w:tc>
        <w:tc>
          <w:tcPr>
            <w:tcW w:w="691" w:type="dxa"/>
          </w:tcPr>
          <w:p w14:paraId="492B2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5030</w:t>
            </w:r>
          </w:p>
        </w:tc>
      </w:tr>
      <w:tr w:rsidR="001002C3" w:rsidRPr="007122AB" w14:paraId="5C029849" w14:textId="77777777">
        <w:tc>
          <w:tcPr>
            <w:tcW w:w="1817" w:type="dxa"/>
          </w:tcPr>
          <w:p w14:paraId="2A3DC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Набор высоты, мин</w:t>
            </w:r>
          </w:p>
        </w:tc>
        <w:tc>
          <w:tcPr>
            <w:tcW w:w="838" w:type="dxa"/>
          </w:tcPr>
          <w:p w14:paraId="1F9CF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458B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3AD16D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0F54F1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8CBD7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F1447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80E2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11A60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1016BC" w14:textId="77777777">
        <w:tc>
          <w:tcPr>
            <w:tcW w:w="1817" w:type="dxa"/>
          </w:tcPr>
          <w:p w14:paraId="6A990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 м</w:t>
            </w:r>
          </w:p>
        </w:tc>
        <w:tc>
          <w:tcPr>
            <w:tcW w:w="838" w:type="dxa"/>
          </w:tcPr>
          <w:p w14:paraId="0B277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838" w:type="dxa"/>
          </w:tcPr>
          <w:p w14:paraId="037987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887" w:type="dxa"/>
          </w:tcPr>
          <w:p w14:paraId="684ED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1230" w:type="dxa"/>
          </w:tcPr>
          <w:p w14:paraId="341ED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w:t>
            </w:r>
          </w:p>
        </w:tc>
        <w:tc>
          <w:tcPr>
            <w:tcW w:w="1230" w:type="dxa"/>
          </w:tcPr>
          <w:p w14:paraId="1F449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887" w:type="dxa"/>
          </w:tcPr>
          <w:p w14:paraId="26B24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w:t>
            </w:r>
          </w:p>
        </w:tc>
        <w:tc>
          <w:tcPr>
            <w:tcW w:w="936" w:type="dxa"/>
          </w:tcPr>
          <w:p w14:paraId="2022E4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w:t>
            </w:r>
          </w:p>
        </w:tc>
        <w:tc>
          <w:tcPr>
            <w:tcW w:w="691" w:type="dxa"/>
          </w:tcPr>
          <w:p w14:paraId="75B05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4,04</w:t>
            </w:r>
          </w:p>
        </w:tc>
      </w:tr>
      <w:tr w:rsidR="001002C3" w:rsidRPr="007122AB" w14:paraId="4BC600EC" w14:textId="77777777">
        <w:tc>
          <w:tcPr>
            <w:tcW w:w="1817" w:type="dxa"/>
          </w:tcPr>
          <w:p w14:paraId="4944CD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 м</w:t>
            </w:r>
          </w:p>
        </w:tc>
        <w:tc>
          <w:tcPr>
            <w:tcW w:w="838" w:type="dxa"/>
          </w:tcPr>
          <w:p w14:paraId="6F95A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13,9</w:t>
            </w:r>
          </w:p>
        </w:tc>
        <w:tc>
          <w:tcPr>
            <w:tcW w:w="838" w:type="dxa"/>
          </w:tcPr>
          <w:p w14:paraId="5A7F5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9,25</w:t>
            </w:r>
          </w:p>
        </w:tc>
        <w:tc>
          <w:tcPr>
            <w:tcW w:w="887" w:type="dxa"/>
          </w:tcPr>
          <w:p w14:paraId="622F35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tc>
        <w:tc>
          <w:tcPr>
            <w:tcW w:w="1230" w:type="dxa"/>
          </w:tcPr>
          <w:p w14:paraId="4816D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8,15</w:t>
            </w:r>
          </w:p>
        </w:tc>
        <w:tc>
          <w:tcPr>
            <w:tcW w:w="1230" w:type="dxa"/>
          </w:tcPr>
          <w:p w14:paraId="305929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678F3F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tc>
        <w:tc>
          <w:tcPr>
            <w:tcW w:w="936" w:type="dxa"/>
          </w:tcPr>
          <w:p w14:paraId="7D8CC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691" w:type="dxa"/>
          </w:tcPr>
          <w:p w14:paraId="1C0D7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9,28</w:t>
            </w:r>
          </w:p>
        </w:tc>
      </w:tr>
      <w:tr w:rsidR="001002C3" w:rsidRPr="007122AB" w14:paraId="72E188AE" w14:textId="77777777">
        <w:tc>
          <w:tcPr>
            <w:tcW w:w="1817" w:type="dxa"/>
          </w:tcPr>
          <w:p w14:paraId="061E3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 м</w:t>
            </w:r>
          </w:p>
        </w:tc>
        <w:tc>
          <w:tcPr>
            <w:tcW w:w="838" w:type="dxa"/>
          </w:tcPr>
          <w:p w14:paraId="506672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71,0</w:t>
            </w:r>
          </w:p>
        </w:tc>
        <w:tc>
          <w:tcPr>
            <w:tcW w:w="838" w:type="dxa"/>
          </w:tcPr>
          <w:p w14:paraId="054943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w:t>
            </w:r>
          </w:p>
        </w:tc>
        <w:tc>
          <w:tcPr>
            <w:tcW w:w="887" w:type="dxa"/>
          </w:tcPr>
          <w:p w14:paraId="669F9B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w:t>
            </w:r>
          </w:p>
        </w:tc>
        <w:tc>
          <w:tcPr>
            <w:tcW w:w="1230" w:type="dxa"/>
          </w:tcPr>
          <w:p w14:paraId="142513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37,1</w:t>
            </w:r>
          </w:p>
        </w:tc>
        <w:tc>
          <w:tcPr>
            <w:tcW w:w="1230" w:type="dxa"/>
          </w:tcPr>
          <w:p w14:paraId="6D743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36,0</w:t>
            </w:r>
          </w:p>
        </w:tc>
        <w:tc>
          <w:tcPr>
            <w:tcW w:w="887" w:type="dxa"/>
          </w:tcPr>
          <w:p w14:paraId="1F3127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3BBD8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71089F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47,4</w:t>
            </w:r>
          </w:p>
        </w:tc>
      </w:tr>
      <w:tr w:rsidR="001002C3" w:rsidRPr="007122AB" w14:paraId="16FDFB3C" w14:textId="77777777">
        <w:tc>
          <w:tcPr>
            <w:tcW w:w="1817" w:type="dxa"/>
          </w:tcPr>
          <w:p w14:paraId="514572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Разбег, м </w:t>
            </w:r>
          </w:p>
        </w:tc>
        <w:tc>
          <w:tcPr>
            <w:tcW w:w="838" w:type="dxa"/>
          </w:tcPr>
          <w:p w14:paraId="703DB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tc>
        <w:tc>
          <w:tcPr>
            <w:tcW w:w="838" w:type="dxa"/>
          </w:tcPr>
          <w:p w14:paraId="0A0A1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4139A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5B9B6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1230" w:type="dxa"/>
          </w:tcPr>
          <w:p w14:paraId="734202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95-110</w:t>
            </w:r>
          </w:p>
        </w:tc>
        <w:tc>
          <w:tcPr>
            <w:tcW w:w="887" w:type="dxa"/>
          </w:tcPr>
          <w:p w14:paraId="4676E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5A555A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tc>
        <w:tc>
          <w:tcPr>
            <w:tcW w:w="691" w:type="dxa"/>
          </w:tcPr>
          <w:p w14:paraId="1782FB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D0D0884" w14:textId="77777777">
        <w:tc>
          <w:tcPr>
            <w:tcW w:w="1817" w:type="dxa"/>
          </w:tcPr>
          <w:p w14:paraId="289BE9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Пробег, м</w:t>
            </w:r>
          </w:p>
        </w:tc>
        <w:tc>
          <w:tcPr>
            <w:tcW w:w="838" w:type="dxa"/>
          </w:tcPr>
          <w:p w14:paraId="0047FF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w:t>
            </w:r>
          </w:p>
        </w:tc>
        <w:tc>
          <w:tcPr>
            <w:tcW w:w="838" w:type="dxa"/>
          </w:tcPr>
          <w:p w14:paraId="6533B7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0C01F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2150E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3CD67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w:t>
            </w:r>
          </w:p>
        </w:tc>
        <w:tc>
          <w:tcPr>
            <w:tcW w:w="887" w:type="dxa"/>
          </w:tcPr>
          <w:p w14:paraId="0AEE0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69555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691" w:type="dxa"/>
          </w:tcPr>
          <w:p w14:paraId="0ABA6D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A3839E5" w14:textId="77777777">
        <w:tc>
          <w:tcPr>
            <w:tcW w:w="1817" w:type="dxa"/>
          </w:tcPr>
          <w:p w14:paraId="680C8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 ч</w:t>
            </w:r>
          </w:p>
        </w:tc>
        <w:tc>
          <w:tcPr>
            <w:tcW w:w="838" w:type="dxa"/>
          </w:tcPr>
          <w:p w14:paraId="43542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838" w:type="dxa"/>
          </w:tcPr>
          <w:p w14:paraId="0EFBB9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887" w:type="dxa"/>
          </w:tcPr>
          <w:p w14:paraId="6A0327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1230" w:type="dxa"/>
          </w:tcPr>
          <w:p w14:paraId="160ACB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1230" w:type="dxa"/>
          </w:tcPr>
          <w:p w14:paraId="372B9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887" w:type="dxa"/>
          </w:tcPr>
          <w:p w14:paraId="1F33A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936" w:type="dxa"/>
          </w:tcPr>
          <w:p w14:paraId="1B0238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3F2D5C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05D1E0" w14:textId="77777777">
        <w:tc>
          <w:tcPr>
            <w:tcW w:w="1817" w:type="dxa"/>
          </w:tcPr>
          <w:p w14:paraId="6A11E6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BCC3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СП</w:t>
            </w:r>
          </w:p>
        </w:tc>
        <w:tc>
          <w:tcPr>
            <w:tcW w:w="838" w:type="dxa"/>
          </w:tcPr>
          <w:p w14:paraId="74B62B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Р-1ЛД</w:t>
            </w:r>
          </w:p>
        </w:tc>
        <w:tc>
          <w:tcPr>
            <w:tcW w:w="887" w:type="dxa"/>
          </w:tcPr>
          <w:p w14:paraId="0BACB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БМВ</w:t>
            </w:r>
          </w:p>
        </w:tc>
        <w:tc>
          <w:tcPr>
            <w:tcW w:w="1230" w:type="dxa"/>
          </w:tcPr>
          <w:p w14:paraId="7CFA4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МР-1 опыт. дерев.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1230" w:type="dxa"/>
          </w:tcPr>
          <w:p w14:paraId="296E5E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МР-1 опыт. метал.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887" w:type="dxa"/>
          </w:tcPr>
          <w:p w14:paraId="0A3DA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МР-1 Сер. 16 </w:t>
            </w:r>
          </w:p>
        </w:tc>
        <w:tc>
          <w:tcPr>
            <w:tcW w:w="936" w:type="dxa"/>
          </w:tcPr>
          <w:p w14:paraId="794974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МР-1 Сер. 18</w:t>
            </w:r>
          </w:p>
        </w:tc>
        <w:tc>
          <w:tcPr>
            <w:tcW w:w="691" w:type="dxa"/>
          </w:tcPr>
          <w:p w14:paraId="12042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МР-1 Сер. 19</w:t>
            </w:r>
          </w:p>
        </w:tc>
      </w:tr>
      <w:tr w:rsidR="001002C3" w:rsidRPr="007122AB" w14:paraId="18FFD5D0" w14:textId="77777777">
        <w:tc>
          <w:tcPr>
            <w:tcW w:w="1817" w:type="dxa"/>
          </w:tcPr>
          <w:p w14:paraId="2E515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крыльев, м</w:t>
            </w:r>
          </w:p>
        </w:tc>
        <w:tc>
          <w:tcPr>
            <w:tcW w:w="838" w:type="dxa"/>
          </w:tcPr>
          <w:p w14:paraId="019DE8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838" w:type="dxa"/>
          </w:tcPr>
          <w:p w14:paraId="21EF8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887" w:type="dxa"/>
          </w:tcPr>
          <w:p w14:paraId="7CEDB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w:t>
            </w:r>
          </w:p>
        </w:tc>
        <w:tc>
          <w:tcPr>
            <w:tcW w:w="1230" w:type="dxa"/>
          </w:tcPr>
          <w:p w14:paraId="47359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1230" w:type="dxa"/>
          </w:tcPr>
          <w:p w14:paraId="6EC26B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887" w:type="dxa"/>
          </w:tcPr>
          <w:p w14:paraId="33AD02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936" w:type="dxa"/>
          </w:tcPr>
          <w:p w14:paraId="0F4CF4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c>
          <w:tcPr>
            <w:tcW w:w="691" w:type="dxa"/>
          </w:tcPr>
          <w:p w14:paraId="16536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r>
      <w:tr w:rsidR="001002C3" w:rsidRPr="007122AB" w14:paraId="33FF7C2D" w14:textId="77777777">
        <w:tc>
          <w:tcPr>
            <w:tcW w:w="1817" w:type="dxa"/>
          </w:tcPr>
          <w:p w14:paraId="29BA3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м</w:t>
            </w:r>
          </w:p>
        </w:tc>
        <w:tc>
          <w:tcPr>
            <w:tcW w:w="838" w:type="dxa"/>
          </w:tcPr>
          <w:p w14:paraId="68267D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w:t>
            </w:r>
          </w:p>
        </w:tc>
        <w:tc>
          <w:tcPr>
            <w:tcW w:w="838" w:type="dxa"/>
          </w:tcPr>
          <w:p w14:paraId="27ACE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8,85</w:t>
            </w:r>
          </w:p>
        </w:tc>
        <w:tc>
          <w:tcPr>
            <w:tcW w:w="887" w:type="dxa"/>
          </w:tcPr>
          <w:p w14:paraId="2FC48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w:t>
            </w:r>
          </w:p>
        </w:tc>
        <w:tc>
          <w:tcPr>
            <w:tcW w:w="1230" w:type="dxa"/>
          </w:tcPr>
          <w:p w14:paraId="21B6B0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78A9C2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238A1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04295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413BF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7F7DCEA" w14:textId="77777777">
        <w:tc>
          <w:tcPr>
            <w:tcW w:w="1817" w:type="dxa"/>
          </w:tcPr>
          <w:p w14:paraId="6B4BA5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м</w:t>
            </w:r>
          </w:p>
        </w:tc>
        <w:tc>
          <w:tcPr>
            <w:tcW w:w="838" w:type="dxa"/>
          </w:tcPr>
          <w:p w14:paraId="5022F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838" w:type="dxa"/>
          </w:tcPr>
          <w:p w14:paraId="68069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3,46</w:t>
            </w:r>
          </w:p>
        </w:tc>
        <w:tc>
          <w:tcPr>
            <w:tcW w:w="887" w:type="dxa"/>
          </w:tcPr>
          <w:p w14:paraId="5FC26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3F9CB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7B4602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47E1AB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377EE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1A8C0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653BE57" w14:textId="77777777">
        <w:tc>
          <w:tcPr>
            <w:tcW w:w="1817" w:type="dxa"/>
          </w:tcPr>
          <w:p w14:paraId="4AE2B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кг</w:t>
            </w:r>
          </w:p>
        </w:tc>
        <w:tc>
          <w:tcPr>
            <w:tcW w:w="838" w:type="dxa"/>
          </w:tcPr>
          <w:p w14:paraId="765FAD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F9B3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0412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F481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B394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5EF76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57A36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C76D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6539C0" w14:textId="77777777">
        <w:tc>
          <w:tcPr>
            <w:tcW w:w="1817" w:type="dxa"/>
          </w:tcPr>
          <w:p w14:paraId="55B9B8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пустого</w:t>
            </w:r>
          </w:p>
        </w:tc>
        <w:tc>
          <w:tcPr>
            <w:tcW w:w="838" w:type="dxa"/>
          </w:tcPr>
          <w:p w14:paraId="50F9BF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1235</w:t>
            </w:r>
          </w:p>
        </w:tc>
        <w:tc>
          <w:tcPr>
            <w:tcW w:w="838" w:type="dxa"/>
          </w:tcPr>
          <w:p w14:paraId="183E6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1414</w:t>
            </w:r>
          </w:p>
        </w:tc>
        <w:tc>
          <w:tcPr>
            <w:tcW w:w="887" w:type="dxa"/>
          </w:tcPr>
          <w:p w14:paraId="2C472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1275</w:t>
            </w:r>
          </w:p>
        </w:tc>
        <w:tc>
          <w:tcPr>
            <w:tcW w:w="1230" w:type="dxa"/>
          </w:tcPr>
          <w:p w14:paraId="40C873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1925</w:t>
            </w:r>
          </w:p>
        </w:tc>
        <w:tc>
          <w:tcPr>
            <w:tcW w:w="1230" w:type="dxa"/>
          </w:tcPr>
          <w:p w14:paraId="64F1B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1798</w:t>
            </w:r>
          </w:p>
        </w:tc>
        <w:tc>
          <w:tcPr>
            <w:tcW w:w="887" w:type="dxa"/>
          </w:tcPr>
          <w:p w14:paraId="276FD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1900</w:t>
            </w:r>
          </w:p>
        </w:tc>
        <w:tc>
          <w:tcPr>
            <w:tcW w:w="936" w:type="dxa"/>
          </w:tcPr>
          <w:p w14:paraId="079C7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1935</w:t>
            </w:r>
          </w:p>
        </w:tc>
        <w:tc>
          <w:tcPr>
            <w:tcW w:w="691" w:type="dxa"/>
          </w:tcPr>
          <w:p w14:paraId="18C7FD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1955</w:t>
            </w:r>
          </w:p>
        </w:tc>
      </w:tr>
      <w:tr w:rsidR="001002C3" w:rsidRPr="007122AB" w14:paraId="2A025266" w14:textId="77777777">
        <w:tc>
          <w:tcPr>
            <w:tcW w:w="1817" w:type="dxa"/>
          </w:tcPr>
          <w:p w14:paraId="05654D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w:t>
            </w:r>
          </w:p>
        </w:tc>
        <w:tc>
          <w:tcPr>
            <w:tcW w:w="838" w:type="dxa"/>
          </w:tcPr>
          <w:p w14:paraId="1A5FA2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1640</w:t>
            </w:r>
          </w:p>
        </w:tc>
        <w:tc>
          <w:tcPr>
            <w:tcW w:w="838" w:type="dxa"/>
          </w:tcPr>
          <w:p w14:paraId="61EBFA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2105</w:t>
            </w:r>
          </w:p>
        </w:tc>
        <w:tc>
          <w:tcPr>
            <w:tcW w:w="887" w:type="dxa"/>
          </w:tcPr>
          <w:p w14:paraId="34F9B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1775</w:t>
            </w:r>
          </w:p>
        </w:tc>
        <w:tc>
          <w:tcPr>
            <w:tcW w:w="1230" w:type="dxa"/>
          </w:tcPr>
          <w:p w14:paraId="6B08E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2575</w:t>
            </w:r>
          </w:p>
        </w:tc>
        <w:tc>
          <w:tcPr>
            <w:tcW w:w="1230" w:type="dxa"/>
          </w:tcPr>
          <w:p w14:paraId="4EC5DA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175C2C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2550</w:t>
            </w:r>
          </w:p>
        </w:tc>
        <w:tc>
          <w:tcPr>
            <w:tcW w:w="936" w:type="dxa"/>
          </w:tcPr>
          <w:p w14:paraId="462BC4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2565</w:t>
            </w:r>
          </w:p>
        </w:tc>
        <w:tc>
          <w:tcPr>
            <w:tcW w:w="691" w:type="dxa"/>
          </w:tcPr>
          <w:p w14:paraId="182A4E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2605</w:t>
            </w:r>
          </w:p>
        </w:tc>
      </w:tr>
      <w:tr w:rsidR="001002C3" w:rsidRPr="007122AB" w14:paraId="08AC08AA" w14:textId="77777777">
        <w:tc>
          <w:tcPr>
            <w:tcW w:w="1817" w:type="dxa"/>
          </w:tcPr>
          <w:p w14:paraId="361FD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у земли, км/ч</w:t>
            </w:r>
          </w:p>
        </w:tc>
        <w:tc>
          <w:tcPr>
            <w:tcW w:w="838" w:type="dxa"/>
          </w:tcPr>
          <w:p w14:paraId="7E044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w:t>
            </w:r>
          </w:p>
        </w:tc>
        <w:tc>
          <w:tcPr>
            <w:tcW w:w="838" w:type="dxa"/>
          </w:tcPr>
          <w:p w14:paraId="05ADCE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w:t>
            </w:r>
          </w:p>
        </w:tc>
        <w:tc>
          <w:tcPr>
            <w:tcW w:w="887" w:type="dxa"/>
          </w:tcPr>
          <w:p w14:paraId="77DCD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173</w:t>
            </w:r>
          </w:p>
        </w:tc>
        <w:tc>
          <w:tcPr>
            <w:tcW w:w="1230" w:type="dxa"/>
          </w:tcPr>
          <w:p w14:paraId="6F7B5D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183</w:t>
            </w:r>
          </w:p>
        </w:tc>
        <w:tc>
          <w:tcPr>
            <w:tcW w:w="1230" w:type="dxa"/>
          </w:tcPr>
          <w:p w14:paraId="6ACA8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76509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182</w:t>
            </w:r>
          </w:p>
        </w:tc>
        <w:tc>
          <w:tcPr>
            <w:tcW w:w="936" w:type="dxa"/>
          </w:tcPr>
          <w:p w14:paraId="0CA78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176</w:t>
            </w:r>
          </w:p>
        </w:tc>
        <w:tc>
          <w:tcPr>
            <w:tcW w:w="691" w:type="dxa"/>
          </w:tcPr>
          <w:p w14:paraId="113DB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179</w:t>
            </w:r>
          </w:p>
        </w:tc>
      </w:tr>
      <w:tr w:rsidR="001002C3" w:rsidRPr="007122AB" w14:paraId="64F9B291" w14:textId="77777777">
        <w:tc>
          <w:tcPr>
            <w:tcW w:w="1817" w:type="dxa"/>
          </w:tcPr>
          <w:p w14:paraId="4AD513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 практический, м</w:t>
            </w:r>
          </w:p>
        </w:tc>
        <w:tc>
          <w:tcPr>
            <w:tcW w:w="838" w:type="dxa"/>
          </w:tcPr>
          <w:p w14:paraId="6B68B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4700</w:t>
            </w:r>
          </w:p>
        </w:tc>
        <w:tc>
          <w:tcPr>
            <w:tcW w:w="838" w:type="dxa"/>
          </w:tcPr>
          <w:p w14:paraId="2AA01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4600</w:t>
            </w:r>
          </w:p>
        </w:tc>
        <w:tc>
          <w:tcPr>
            <w:tcW w:w="887" w:type="dxa"/>
          </w:tcPr>
          <w:p w14:paraId="5A03E2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5440</w:t>
            </w:r>
          </w:p>
        </w:tc>
        <w:tc>
          <w:tcPr>
            <w:tcW w:w="1230" w:type="dxa"/>
          </w:tcPr>
          <w:p w14:paraId="62098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3575</w:t>
            </w:r>
          </w:p>
        </w:tc>
        <w:tc>
          <w:tcPr>
            <w:tcW w:w="1230" w:type="dxa"/>
          </w:tcPr>
          <w:p w14:paraId="221663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3680</w:t>
            </w:r>
          </w:p>
        </w:tc>
        <w:tc>
          <w:tcPr>
            <w:tcW w:w="887" w:type="dxa"/>
          </w:tcPr>
          <w:p w14:paraId="4FE5A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3680</w:t>
            </w:r>
          </w:p>
        </w:tc>
        <w:tc>
          <w:tcPr>
            <w:tcW w:w="936" w:type="dxa"/>
          </w:tcPr>
          <w:p w14:paraId="387F1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3650</w:t>
            </w:r>
          </w:p>
        </w:tc>
        <w:tc>
          <w:tcPr>
            <w:tcW w:w="691" w:type="dxa"/>
          </w:tcPr>
          <w:p w14:paraId="7FB1D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3515</w:t>
            </w:r>
          </w:p>
        </w:tc>
      </w:tr>
      <w:tr w:rsidR="001002C3" w:rsidRPr="007122AB" w14:paraId="165E0311" w14:textId="77777777">
        <w:tc>
          <w:tcPr>
            <w:tcW w:w="1817" w:type="dxa"/>
          </w:tcPr>
          <w:p w14:paraId="5A445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Набор высоты, мин</w:t>
            </w:r>
          </w:p>
        </w:tc>
        <w:tc>
          <w:tcPr>
            <w:tcW w:w="838" w:type="dxa"/>
          </w:tcPr>
          <w:p w14:paraId="0C0A26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C864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5B6CC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10E2F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6D26F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0BE9FA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2A3E87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BCF2F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CDB7088" w14:textId="77777777">
        <w:tc>
          <w:tcPr>
            <w:tcW w:w="1817" w:type="dxa"/>
          </w:tcPr>
          <w:p w14:paraId="2FA85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 м</w:t>
            </w:r>
          </w:p>
        </w:tc>
        <w:tc>
          <w:tcPr>
            <w:tcW w:w="838" w:type="dxa"/>
          </w:tcPr>
          <w:p w14:paraId="67B23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838" w:type="dxa"/>
          </w:tcPr>
          <w:p w14:paraId="3B7F3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887" w:type="dxa"/>
          </w:tcPr>
          <w:p w14:paraId="1AF80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39447A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230" w:type="dxa"/>
          </w:tcPr>
          <w:p w14:paraId="132A31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w:t>
            </w:r>
          </w:p>
        </w:tc>
        <w:tc>
          <w:tcPr>
            <w:tcW w:w="887" w:type="dxa"/>
          </w:tcPr>
          <w:p w14:paraId="54C16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w:t>
            </w:r>
          </w:p>
        </w:tc>
        <w:tc>
          <w:tcPr>
            <w:tcW w:w="936" w:type="dxa"/>
          </w:tcPr>
          <w:p w14:paraId="1AF787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8,33</w:t>
            </w:r>
          </w:p>
        </w:tc>
        <w:tc>
          <w:tcPr>
            <w:tcW w:w="691" w:type="dxa"/>
          </w:tcPr>
          <w:p w14:paraId="251B8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6,77</w:t>
            </w:r>
          </w:p>
        </w:tc>
      </w:tr>
      <w:tr w:rsidR="001002C3" w:rsidRPr="007122AB" w14:paraId="3DF2732E" w14:textId="77777777">
        <w:tc>
          <w:tcPr>
            <w:tcW w:w="1817" w:type="dxa"/>
          </w:tcPr>
          <w:p w14:paraId="7978E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 м</w:t>
            </w:r>
          </w:p>
        </w:tc>
        <w:tc>
          <w:tcPr>
            <w:tcW w:w="838" w:type="dxa"/>
          </w:tcPr>
          <w:p w14:paraId="2D619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11,3</w:t>
            </w:r>
          </w:p>
        </w:tc>
        <w:tc>
          <w:tcPr>
            <w:tcW w:w="838" w:type="dxa"/>
          </w:tcPr>
          <w:p w14:paraId="1351ED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w:t>
            </w:r>
          </w:p>
        </w:tc>
        <w:tc>
          <w:tcPr>
            <w:tcW w:w="887" w:type="dxa"/>
          </w:tcPr>
          <w:p w14:paraId="4904A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51878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w:t>
            </w:r>
          </w:p>
        </w:tc>
        <w:tc>
          <w:tcPr>
            <w:tcW w:w="1230" w:type="dxa"/>
          </w:tcPr>
          <w:p w14:paraId="58410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14,3</w:t>
            </w:r>
          </w:p>
        </w:tc>
        <w:tc>
          <w:tcPr>
            <w:tcW w:w="887" w:type="dxa"/>
          </w:tcPr>
          <w:p w14:paraId="522FB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14,2</w:t>
            </w:r>
          </w:p>
        </w:tc>
        <w:tc>
          <w:tcPr>
            <w:tcW w:w="936" w:type="dxa"/>
          </w:tcPr>
          <w:p w14:paraId="0B15F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659270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16,68</w:t>
            </w:r>
          </w:p>
        </w:tc>
      </w:tr>
      <w:tr w:rsidR="001002C3" w:rsidRPr="007122AB" w14:paraId="78B192EC" w14:textId="77777777">
        <w:tc>
          <w:tcPr>
            <w:tcW w:w="1817" w:type="dxa"/>
          </w:tcPr>
          <w:p w14:paraId="19398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 м</w:t>
            </w:r>
          </w:p>
        </w:tc>
        <w:tc>
          <w:tcPr>
            <w:tcW w:w="838" w:type="dxa"/>
          </w:tcPr>
          <w:p w14:paraId="4F88BB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38" w:type="dxa"/>
          </w:tcPr>
          <w:p w14:paraId="4B7EA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541F4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4FDF46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43AFEA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4EB7AD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77889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D98C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A0DA787" w14:textId="77777777">
        <w:tc>
          <w:tcPr>
            <w:tcW w:w="1817" w:type="dxa"/>
          </w:tcPr>
          <w:p w14:paraId="4F5E6C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Разбег, м</w:t>
            </w:r>
          </w:p>
        </w:tc>
        <w:tc>
          <w:tcPr>
            <w:tcW w:w="838" w:type="dxa"/>
          </w:tcPr>
          <w:p w14:paraId="7486C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233CE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w:t>
            </w:r>
          </w:p>
        </w:tc>
        <w:tc>
          <w:tcPr>
            <w:tcW w:w="887" w:type="dxa"/>
          </w:tcPr>
          <w:p w14:paraId="488E9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100-130</w:t>
            </w:r>
          </w:p>
        </w:tc>
        <w:tc>
          <w:tcPr>
            <w:tcW w:w="1230" w:type="dxa"/>
          </w:tcPr>
          <w:p w14:paraId="20EF77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1DCB5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C4809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12938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40697D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300-400</w:t>
            </w:r>
          </w:p>
        </w:tc>
      </w:tr>
      <w:tr w:rsidR="001002C3" w:rsidRPr="007122AB" w14:paraId="01E64CD4" w14:textId="77777777">
        <w:tc>
          <w:tcPr>
            <w:tcW w:w="1817" w:type="dxa"/>
          </w:tcPr>
          <w:p w14:paraId="68E0BA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Пробег, м</w:t>
            </w:r>
          </w:p>
        </w:tc>
        <w:tc>
          <w:tcPr>
            <w:tcW w:w="838" w:type="dxa"/>
          </w:tcPr>
          <w:p w14:paraId="1064DB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38" w:type="dxa"/>
          </w:tcPr>
          <w:p w14:paraId="08521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w:t>
            </w:r>
          </w:p>
        </w:tc>
        <w:tc>
          <w:tcPr>
            <w:tcW w:w="887" w:type="dxa"/>
          </w:tcPr>
          <w:p w14:paraId="50E19C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7A4A0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Pr>
          <w:p w14:paraId="03FD4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Pr>
          <w:p w14:paraId="266ADA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Pr>
          <w:p w14:paraId="6C4D60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Pr>
          <w:p w14:paraId="6F754B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100-150</w:t>
            </w:r>
          </w:p>
        </w:tc>
      </w:tr>
      <w:tr w:rsidR="001002C3" w:rsidRPr="007122AB" w14:paraId="41B14051" w14:textId="77777777">
        <w:tc>
          <w:tcPr>
            <w:tcW w:w="1817" w:type="dxa"/>
            <w:tcBorders>
              <w:bottom w:val="single" w:sz="12" w:space="0" w:color="auto"/>
            </w:tcBorders>
          </w:tcPr>
          <w:p w14:paraId="7B1E0E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Продолжительность полета, ч</w:t>
            </w:r>
          </w:p>
        </w:tc>
        <w:tc>
          <w:tcPr>
            <w:tcW w:w="838" w:type="dxa"/>
            <w:tcBorders>
              <w:bottom w:val="single" w:sz="12" w:space="0" w:color="auto"/>
            </w:tcBorders>
          </w:tcPr>
          <w:p w14:paraId="4B0DC2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838" w:type="dxa"/>
            <w:tcBorders>
              <w:bottom w:val="single" w:sz="12" w:space="0" w:color="auto"/>
            </w:tcBorders>
          </w:tcPr>
          <w:p w14:paraId="69EE2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887" w:type="dxa"/>
            <w:tcBorders>
              <w:bottom w:val="single" w:sz="12" w:space="0" w:color="auto"/>
            </w:tcBorders>
          </w:tcPr>
          <w:p w14:paraId="71727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Borders>
              <w:bottom w:val="single" w:sz="12" w:space="0" w:color="auto"/>
            </w:tcBorders>
          </w:tcPr>
          <w:p w14:paraId="4F90C8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30" w:type="dxa"/>
            <w:tcBorders>
              <w:bottom w:val="single" w:sz="12" w:space="0" w:color="auto"/>
            </w:tcBorders>
          </w:tcPr>
          <w:p w14:paraId="005B7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7" w:type="dxa"/>
            <w:tcBorders>
              <w:bottom w:val="single" w:sz="12" w:space="0" w:color="auto"/>
            </w:tcBorders>
          </w:tcPr>
          <w:p w14:paraId="506CD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6" w:type="dxa"/>
            <w:tcBorders>
              <w:bottom w:val="single" w:sz="12" w:space="0" w:color="auto"/>
            </w:tcBorders>
          </w:tcPr>
          <w:p w14:paraId="7AC58F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1" w:type="dxa"/>
            <w:tcBorders>
              <w:bottom w:val="single" w:sz="12" w:space="0" w:color="auto"/>
            </w:tcBorders>
          </w:tcPr>
          <w:p w14:paraId="081C5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47FD4D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(11923).</w:t>
      </w:r>
    </w:p>
    <w:p w14:paraId="5B8E2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C3C9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мая 1931 на КАСКР-2 было выполнено три контрольных полета перед показом новой авиационной техники советскому правительству (10224,35).</w:t>
      </w:r>
    </w:p>
    <w:p w14:paraId="0A1FE9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E8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мая 1931 открылись Авиационные высшие академические курсы ГВФ (</w:t>
      </w:r>
      <w:proofErr w:type="spellStart"/>
      <w:r w:rsidRPr="007122AB">
        <w:rPr>
          <w:rFonts w:ascii="Times New Roman" w:hAnsi="Times New Roman"/>
          <w:color w:val="000000" w:themeColor="text1"/>
          <w:sz w:val="16"/>
          <w:szCs w:val="16"/>
        </w:rPr>
        <w:t>АвиаВАК</w:t>
      </w:r>
      <w:proofErr w:type="spellEnd"/>
      <w:r w:rsidRPr="007122AB">
        <w:rPr>
          <w:rFonts w:ascii="Times New Roman" w:hAnsi="Times New Roman"/>
          <w:color w:val="000000" w:themeColor="text1"/>
          <w:sz w:val="16"/>
          <w:szCs w:val="16"/>
        </w:rPr>
        <w:t>) для подготовки руководящих кадров (442,77).</w:t>
      </w:r>
    </w:p>
    <w:p w14:paraId="31E8A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013F1D" w14:textId="071823E6" w:rsidR="002E2960" w:rsidRPr="009F5089" w:rsidRDefault="002E2960" w:rsidP="002E2960">
      <w:pPr>
        <w:spacing w:after="0" w:line="240" w:lineRule="auto"/>
        <w:jc w:val="both"/>
        <w:rPr>
          <w:rFonts w:ascii="Times New Roman" w:hAnsi="Times New Roman"/>
          <w:color w:val="0070C0"/>
          <w:sz w:val="16"/>
          <w:szCs w:val="16"/>
        </w:rPr>
      </w:pPr>
      <w:r>
        <w:rPr>
          <w:rFonts w:ascii="Times New Roman" w:hAnsi="Times New Roman"/>
          <w:color w:val="0070C0"/>
          <w:sz w:val="16"/>
          <w:szCs w:val="16"/>
        </w:rPr>
        <w:t>15</w:t>
      </w:r>
      <w:r w:rsidRPr="009F5089">
        <w:rPr>
          <w:rFonts w:ascii="Times New Roman" w:hAnsi="Times New Roman"/>
          <w:color w:val="0070C0"/>
          <w:sz w:val="16"/>
          <w:szCs w:val="16"/>
        </w:rPr>
        <w:t xml:space="preserve"> мая</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w:t>
      </w:r>
      <w:r>
        <w:rPr>
          <w:rFonts w:ascii="Times New Roman" w:hAnsi="Times New Roman"/>
          <w:color w:val="0070C0"/>
          <w:sz w:val="16"/>
          <w:szCs w:val="16"/>
        </w:rPr>
        <w:t>п</w:t>
      </w:r>
      <w:r w:rsidRPr="009F5089">
        <w:rPr>
          <w:rFonts w:ascii="Times New Roman" w:hAnsi="Times New Roman"/>
          <w:color w:val="0070C0"/>
          <w:sz w:val="16"/>
          <w:szCs w:val="16"/>
        </w:rPr>
        <w:t xml:space="preserve">ри военно-воздушной академии имени </w:t>
      </w:r>
      <w:proofErr w:type="spellStart"/>
      <w:r w:rsidRPr="009F5089">
        <w:rPr>
          <w:rFonts w:ascii="Times New Roman" w:hAnsi="Times New Roman"/>
          <w:color w:val="0070C0"/>
          <w:sz w:val="16"/>
          <w:szCs w:val="16"/>
        </w:rPr>
        <w:t>Н.Е.Жуковского</w:t>
      </w:r>
      <w:proofErr w:type="spellEnd"/>
      <w:r w:rsidRPr="009F5089">
        <w:rPr>
          <w:rFonts w:ascii="Times New Roman" w:hAnsi="Times New Roman"/>
          <w:color w:val="0070C0"/>
          <w:sz w:val="16"/>
          <w:szCs w:val="16"/>
        </w:rPr>
        <w:t xml:space="preserve"> </w:t>
      </w:r>
      <w:r>
        <w:rPr>
          <w:rFonts w:ascii="Times New Roman" w:hAnsi="Times New Roman"/>
          <w:color w:val="0070C0"/>
          <w:sz w:val="16"/>
          <w:szCs w:val="16"/>
        </w:rPr>
        <w:t>открылись</w:t>
      </w:r>
      <w:r w:rsidRPr="009F5089">
        <w:rPr>
          <w:rFonts w:ascii="Times New Roman" w:hAnsi="Times New Roman"/>
          <w:color w:val="0070C0"/>
          <w:sz w:val="16"/>
          <w:szCs w:val="16"/>
        </w:rPr>
        <w:t xml:space="preserve"> Авиационные высшие академические курсы /АВИАВАК/ для </w:t>
      </w:r>
      <w:r>
        <w:rPr>
          <w:rFonts w:ascii="Times New Roman" w:hAnsi="Times New Roman"/>
          <w:color w:val="0070C0"/>
          <w:sz w:val="16"/>
          <w:szCs w:val="16"/>
        </w:rPr>
        <w:t>подготовки</w:t>
      </w:r>
      <w:r w:rsidRPr="009F5089">
        <w:rPr>
          <w:rFonts w:ascii="Times New Roman" w:hAnsi="Times New Roman"/>
          <w:color w:val="0070C0"/>
          <w:sz w:val="16"/>
          <w:szCs w:val="16"/>
        </w:rPr>
        <w:t xml:space="preserve"> высшего, руководящего состава гражданского воздушного </w:t>
      </w:r>
      <w:r>
        <w:rPr>
          <w:rFonts w:ascii="Times New Roman" w:hAnsi="Times New Roman"/>
          <w:color w:val="0070C0"/>
          <w:sz w:val="16"/>
          <w:szCs w:val="16"/>
        </w:rPr>
        <w:t>флота. Курсы</w:t>
      </w:r>
      <w:r w:rsidRPr="009F5089">
        <w:rPr>
          <w:rFonts w:ascii="Times New Roman" w:hAnsi="Times New Roman"/>
          <w:color w:val="0070C0"/>
          <w:sz w:val="16"/>
          <w:szCs w:val="16"/>
        </w:rPr>
        <w:t xml:space="preserve"> </w:t>
      </w:r>
      <w:r>
        <w:rPr>
          <w:rFonts w:ascii="Times New Roman" w:hAnsi="Times New Roman"/>
          <w:color w:val="0070C0"/>
          <w:sz w:val="16"/>
          <w:szCs w:val="16"/>
        </w:rPr>
        <w:t>и</w:t>
      </w:r>
      <w:r w:rsidRPr="009F5089">
        <w:rPr>
          <w:rFonts w:ascii="Times New Roman" w:hAnsi="Times New Roman"/>
          <w:color w:val="0070C0"/>
          <w:sz w:val="16"/>
          <w:szCs w:val="16"/>
        </w:rPr>
        <w:t>мели три отделения:</w:t>
      </w:r>
      <w:r>
        <w:rPr>
          <w:rFonts w:ascii="Times New Roman" w:hAnsi="Times New Roman"/>
          <w:color w:val="0070C0"/>
          <w:sz w:val="16"/>
          <w:szCs w:val="16"/>
        </w:rPr>
        <w:t xml:space="preserve"> </w:t>
      </w:r>
      <w:r w:rsidRPr="009F5089">
        <w:rPr>
          <w:rFonts w:ascii="Times New Roman" w:hAnsi="Times New Roman"/>
          <w:color w:val="0070C0"/>
          <w:sz w:val="16"/>
          <w:szCs w:val="16"/>
        </w:rPr>
        <w:t>воздушных сообщений,</w:t>
      </w:r>
      <w:r>
        <w:rPr>
          <w:rFonts w:ascii="Times New Roman" w:hAnsi="Times New Roman"/>
          <w:color w:val="0070C0"/>
          <w:sz w:val="16"/>
          <w:szCs w:val="16"/>
        </w:rPr>
        <w:t xml:space="preserve"> </w:t>
      </w:r>
      <w:r w:rsidRPr="009F5089">
        <w:rPr>
          <w:rFonts w:ascii="Times New Roman" w:hAnsi="Times New Roman"/>
          <w:color w:val="0070C0"/>
          <w:sz w:val="16"/>
          <w:szCs w:val="16"/>
        </w:rPr>
        <w:t>про</w:t>
      </w:r>
      <w:r>
        <w:rPr>
          <w:rFonts w:ascii="Times New Roman" w:hAnsi="Times New Roman"/>
          <w:color w:val="0070C0"/>
          <w:sz w:val="16"/>
          <w:szCs w:val="16"/>
        </w:rPr>
        <w:t>и</w:t>
      </w:r>
      <w:r w:rsidRPr="009F5089">
        <w:rPr>
          <w:rFonts w:ascii="Times New Roman" w:hAnsi="Times New Roman"/>
          <w:color w:val="0070C0"/>
          <w:sz w:val="16"/>
          <w:szCs w:val="16"/>
        </w:rPr>
        <w:t>зводстве</w:t>
      </w:r>
      <w:r>
        <w:rPr>
          <w:rFonts w:ascii="Times New Roman" w:hAnsi="Times New Roman"/>
          <w:color w:val="0070C0"/>
          <w:sz w:val="16"/>
          <w:szCs w:val="16"/>
        </w:rPr>
        <w:t>нно</w:t>
      </w:r>
      <w:r w:rsidRPr="009F5089">
        <w:rPr>
          <w:rFonts w:ascii="Times New Roman" w:hAnsi="Times New Roman"/>
          <w:color w:val="0070C0"/>
          <w:sz w:val="16"/>
          <w:szCs w:val="16"/>
        </w:rPr>
        <w:t>-</w:t>
      </w:r>
      <w:proofErr w:type="spellStart"/>
      <w:r>
        <w:rPr>
          <w:rFonts w:ascii="Times New Roman" w:hAnsi="Times New Roman"/>
          <w:color w:val="0070C0"/>
          <w:sz w:val="16"/>
          <w:szCs w:val="16"/>
        </w:rPr>
        <w:t>р</w:t>
      </w:r>
      <w:r w:rsidRPr="009F5089">
        <w:rPr>
          <w:rFonts w:ascii="Times New Roman" w:hAnsi="Times New Roman"/>
          <w:color w:val="0070C0"/>
          <w:sz w:val="16"/>
          <w:szCs w:val="16"/>
        </w:rPr>
        <w:t>емонтвый</w:t>
      </w:r>
      <w:proofErr w:type="spellEnd"/>
      <w:r w:rsidRPr="009F5089">
        <w:rPr>
          <w:rFonts w:ascii="Times New Roman" w:hAnsi="Times New Roman"/>
          <w:color w:val="0070C0"/>
          <w:sz w:val="16"/>
          <w:szCs w:val="16"/>
        </w:rPr>
        <w:t xml:space="preserve"> и строительный.</w:t>
      </w:r>
      <w:r>
        <w:rPr>
          <w:rFonts w:ascii="Times New Roman" w:hAnsi="Times New Roman"/>
          <w:color w:val="0070C0"/>
          <w:sz w:val="16"/>
          <w:szCs w:val="16"/>
        </w:rPr>
        <w:t xml:space="preserve"> П</w:t>
      </w:r>
      <w:r w:rsidRPr="009F5089">
        <w:rPr>
          <w:rFonts w:ascii="Times New Roman" w:hAnsi="Times New Roman"/>
          <w:color w:val="0070C0"/>
          <w:sz w:val="16"/>
          <w:szCs w:val="16"/>
        </w:rPr>
        <w:t>ервый набор привлек 100 человек</w:t>
      </w:r>
      <w:r>
        <w:rPr>
          <w:rFonts w:ascii="Times New Roman" w:hAnsi="Times New Roman"/>
          <w:color w:val="0070C0"/>
          <w:sz w:val="16"/>
          <w:szCs w:val="16"/>
        </w:rPr>
        <w:t>.</w:t>
      </w:r>
    </w:p>
    <w:p w14:paraId="45DF0B2F" w14:textId="77777777" w:rsidR="002E2960" w:rsidRDefault="002E2960" w:rsidP="002E296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/"Гражданская авиация", 1931 № 2</w:t>
      </w:r>
      <w:r>
        <w:rPr>
          <w:rFonts w:ascii="Times New Roman" w:hAnsi="Times New Roman"/>
          <w:color w:val="0070C0"/>
          <w:sz w:val="16"/>
          <w:szCs w:val="16"/>
        </w:rPr>
        <w:t>/ (23370).</w:t>
      </w:r>
    </w:p>
    <w:p w14:paraId="18BCE723" w14:textId="77777777" w:rsidR="002E2960" w:rsidRDefault="002E2960" w:rsidP="002E2960">
      <w:pPr>
        <w:spacing w:after="0" w:line="240" w:lineRule="auto"/>
        <w:jc w:val="both"/>
        <w:rPr>
          <w:rFonts w:ascii="Times New Roman" w:hAnsi="Times New Roman"/>
          <w:color w:val="0070C0"/>
          <w:sz w:val="16"/>
          <w:szCs w:val="16"/>
        </w:rPr>
      </w:pPr>
    </w:p>
    <w:p w14:paraId="465D0EFC" w14:textId="77777777" w:rsidR="00E454F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B14BAA7" w14:textId="77777777" w:rsidR="00E454FF" w:rsidRPr="007122AB" w:rsidRDefault="00E454F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5498217"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38. 9. О ходе работ на Сталинградском тракторном заводе (ПБ от 10 декабря 1930 г., пр. № 20, п. 4/10) (Ильичев, Орджоникидзе). 32 а) об изменении закона об обязательной военной службе в части, касающейся льгот по семейно-имущественному положению; б) об изменении закона об обязательной военной службе в части, касающейся категорий годности к военной службе (Ворошилов). (Политбюро... Т. 2. С. 165, 166) (12416).</w:t>
      </w:r>
    </w:p>
    <w:p w14:paraId="50109C13"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p>
    <w:p w14:paraId="28405813"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15 мая 1931 </w:t>
      </w:r>
      <w:r w:rsidRPr="007122AB">
        <w:rPr>
          <w:rFonts w:ascii="Times New Roman" w:hAnsi="Times New Roman"/>
          <w:color w:val="000000" w:themeColor="text1"/>
          <w:sz w:val="16"/>
          <w:szCs w:val="16"/>
        </w:rPr>
        <w:t>Политбюро ЦК ВКП (б) предложило ВСНХ поставить в 1931 г. серийное производство экскаваторов, землечерпалок и оборудования для хлебозаводов, обеспечить лесозаготовки узкоколейными паровозами за счет внутреннего производства; приняло к сведению доклад Г. К. Орджоникидзе о положении на Сталинградском тракторном заводе и доклад ВСНХ об угольных залежах в районах ЦЧО и Нижней Волги; разрешило отсрочку от призыва в Красную Армию рабочим и служащим Донбасса при условии работы в Донбассе в течение года; одобрило проект постановления СНК об укреплении производственного режима на предприятиях и в учреждениях (12265).</w:t>
      </w:r>
    </w:p>
    <w:p w14:paraId="477F9C35"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Комиссия исполнения при СНК приняла постановление «О выполнении директив СТО о Курской магнитной аномалии» (12265).</w:t>
      </w:r>
    </w:p>
    <w:p w14:paraId="059865CA"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285A344"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15 мая 1931 г. проектная группа выполнила эскизный проект завода СК мощностью 10 тыс. тонн в год.</w:t>
      </w:r>
    </w:p>
    <w:p w14:paraId="1BD539FA"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СК немедленно организовало экспертную комиссию под председательством Н.П. Горбунова. Экспертная комиссия дала положительное заключение по проекту, в основном приняв его.</w:t>
      </w:r>
    </w:p>
    <w:p w14:paraId="5E1DF03A" w14:textId="77777777" w:rsidR="000C5254" w:rsidRPr="007122AB" w:rsidRDefault="000C52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Учитывая большой объем проектных работ, Управление СК организовало специальную проектную организацию, которая стала в дальнейшем ведущим проектный институтом промышленности синтетического каучука – «</w:t>
      </w:r>
      <w:proofErr w:type="spellStart"/>
      <w:r w:rsidRPr="007122AB">
        <w:rPr>
          <w:rFonts w:ascii="Times New Roman" w:hAnsi="Times New Roman"/>
          <w:color w:val="000000" w:themeColor="text1"/>
          <w:sz w:val="16"/>
          <w:szCs w:val="16"/>
        </w:rPr>
        <w:t>Гипрокаучук</w:t>
      </w:r>
      <w:proofErr w:type="spellEnd"/>
      <w:r w:rsidRPr="007122AB">
        <w:rPr>
          <w:rFonts w:ascii="Times New Roman" w:hAnsi="Times New Roman"/>
          <w:color w:val="000000" w:themeColor="text1"/>
          <w:sz w:val="16"/>
          <w:szCs w:val="16"/>
        </w:rPr>
        <w:t>» (18298).</w:t>
      </w:r>
    </w:p>
    <w:p w14:paraId="3D95DB0E" w14:textId="77777777" w:rsidR="000C5254" w:rsidRPr="007122AB" w:rsidRDefault="000C5254" w:rsidP="007122AB">
      <w:pPr>
        <w:spacing w:after="0" w:line="240" w:lineRule="auto"/>
        <w:jc w:val="both"/>
        <w:rPr>
          <w:rFonts w:ascii="Times New Roman" w:hAnsi="Times New Roman"/>
          <w:color w:val="000000" w:themeColor="text1"/>
          <w:sz w:val="16"/>
          <w:szCs w:val="16"/>
        </w:rPr>
      </w:pPr>
    </w:p>
    <w:p w14:paraId="390176D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838C5E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0D51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мая 1931 г. Приказом начальника УВВС предусматривалась передача 14 Р-ЗМ5, из них семи - исправных. Однако это распоряжение вряд ли выполнили, поскольку на 1 августа того же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6AEE8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F9399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0229B5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AE1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15 и 29 мая 1931. Из протокола заседания Политбюро № 38 1931 г.</w:t>
      </w:r>
    </w:p>
    <w:p w14:paraId="72DE6A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помощи пострадавшим от землетрясения </w:t>
      </w:r>
    </w:p>
    <w:p w14:paraId="5999E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Предложить "Комсомольской правде" и др. газетам прекратить шум в печати в связи с оказанием помощи пострадавшим от землетрясения в Закавказье. </w:t>
      </w:r>
    </w:p>
    <w:p w14:paraId="007D1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Созданный для сбора средств комитет ликвидировать. </w:t>
      </w:r>
    </w:p>
    <w:p w14:paraId="5B045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Собранные уже и поступающие в редакции газет суммы направить в </w:t>
      </w:r>
      <w:proofErr w:type="spellStart"/>
      <w:r w:rsidRPr="007122AB">
        <w:rPr>
          <w:rFonts w:ascii="Times New Roman" w:hAnsi="Times New Roman"/>
          <w:color w:val="000000" w:themeColor="text1"/>
          <w:sz w:val="16"/>
          <w:szCs w:val="16"/>
        </w:rPr>
        <w:t>Заксовнарком</w:t>
      </w:r>
      <w:proofErr w:type="spellEnd"/>
      <w:r w:rsidRPr="007122AB">
        <w:rPr>
          <w:rFonts w:ascii="Times New Roman" w:hAnsi="Times New Roman"/>
          <w:color w:val="000000" w:themeColor="text1"/>
          <w:sz w:val="16"/>
          <w:szCs w:val="16"/>
        </w:rPr>
        <w:t xml:space="preserve"> без сообщений об этом в печати (11652).</w:t>
      </w:r>
    </w:p>
    <w:p w14:paraId="50FF1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4D9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15 и 29 мая 1931. Из протокола заседания Политбюро № 38 1931 г.</w:t>
      </w:r>
    </w:p>
    <w:p w14:paraId="4A8267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некоторых изменениях трудового законодательства</w:t>
      </w:r>
    </w:p>
    <w:p w14:paraId="07D81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 случаях производственной необходимости администрация может перевести работников на срок до одного месяца на другую работу... </w:t>
      </w:r>
    </w:p>
    <w:p w14:paraId="087F5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Заработная плата выплачивается в нерабочее время. </w:t>
      </w:r>
    </w:p>
    <w:p w14:paraId="18549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Работник несет материальную ответственность за выданное ему в пользование имущество предприятия или учреждения (спецодежду, инструменты, измерительные приборы и т. п.) (11652).</w:t>
      </w:r>
    </w:p>
    <w:p w14:paraId="7FF21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1993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15 и 29 мая 1931. Из протокола заседания Политбюро № 38 1931 г.</w:t>
      </w:r>
    </w:p>
    <w:p w14:paraId="1E2E0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о водке</w:t>
      </w:r>
    </w:p>
    <w:p w14:paraId="66761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Отклонить проект предложения о прекращении повсеместно торговли вином и водочными изделиями на время мобилизации и на время войны (речь идет о возможной войне). </w:t>
      </w:r>
    </w:p>
    <w:p w14:paraId="5A5E2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Общий вопрос о нашей экономической политике на время войны снять (11652).</w:t>
      </w:r>
    </w:p>
    <w:p w14:paraId="69E4D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F8DE7A" w14:textId="77777777" w:rsidR="0097418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57BB4E7" w14:textId="77777777" w:rsidR="00974187" w:rsidRPr="007122AB" w:rsidRDefault="0097418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D7DFCD"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мая в 1931 году второй экземпляр </w:t>
      </w:r>
      <w:hyperlink r:id="rId94"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«S.17» «</w:t>
        </w:r>
        <w:proofErr w:type="spellStart"/>
        <w:r w:rsidRPr="007122AB">
          <w:rPr>
            <w:rFonts w:ascii="Times New Roman" w:hAnsi="Times New Roman"/>
            <w:color w:val="000000" w:themeColor="text1"/>
            <w:sz w:val="16"/>
            <w:szCs w:val="16"/>
          </w:rPr>
          <w:t>Kent</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(«G-ABFB» "</w:t>
      </w:r>
      <w:proofErr w:type="spellStart"/>
      <w:r w:rsidRPr="007122AB">
        <w:rPr>
          <w:rFonts w:ascii="Times New Roman" w:hAnsi="Times New Roman"/>
          <w:color w:val="000000" w:themeColor="text1"/>
          <w:sz w:val="16"/>
          <w:szCs w:val="16"/>
        </w:rPr>
        <w:t>Sylvanus</w:t>
      </w:r>
      <w:proofErr w:type="spellEnd"/>
      <w:r w:rsidRPr="007122AB">
        <w:rPr>
          <w:rFonts w:ascii="Times New Roman" w:hAnsi="Times New Roman"/>
          <w:color w:val="000000" w:themeColor="text1"/>
          <w:sz w:val="16"/>
          <w:szCs w:val="16"/>
        </w:rPr>
        <w:t>"), а 26 мая третий («G-AFBC» "</w:t>
      </w:r>
      <w:proofErr w:type="spellStart"/>
      <w:r w:rsidRPr="007122AB">
        <w:rPr>
          <w:rFonts w:ascii="Times New Roman" w:hAnsi="Times New Roman"/>
          <w:color w:val="000000" w:themeColor="text1"/>
          <w:sz w:val="16"/>
          <w:szCs w:val="16"/>
        </w:rPr>
        <w:t>Satyrus</w:t>
      </w:r>
      <w:proofErr w:type="spellEnd"/>
      <w:r w:rsidRPr="007122AB">
        <w:rPr>
          <w:rFonts w:ascii="Times New Roman" w:hAnsi="Times New Roman"/>
          <w:color w:val="000000" w:themeColor="text1"/>
          <w:sz w:val="16"/>
          <w:szCs w:val="16"/>
        </w:rPr>
        <w:t xml:space="preserve">"), вышел на трассу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w:t>
      </w:r>
      <w:proofErr w:type="spellStart"/>
      <w:r w:rsidRPr="007122AB">
        <w:rPr>
          <w:rFonts w:ascii="Times New Roman" w:hAnsi="Times New Roman"/>
          <w:color w:val="000000" w:themeColor="text1"/>
          <w:sz w:val="16"/>
          <w:szCs w:val="16"/>
        </w:rPr>
        <w:t>Лимассол</w:t>
      </w:r>
      <w:proofErr w:type="spellEnd"/>
      <w:r w:rsidRPr="007122AB">
        <w:rPr>
          <w:rFonts w:ascii="Times New Roman" w:hAnsi="Times New Roman"/>
          <w:color w:val="000000" w:themeColor="text1"/>
          <w:sz w:val="16"/>
          <w:szCs w:val="16"/>
        </w:rPr>
        <w:t xml:space="preserve"> - Хайфа - Александрия. В том же 1932 году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«S.17» полностью заменили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«S.8» «</w:t>
      </w:r>
      <w:proofErr w:type="spellStart"/>
      <w:r w:rsidRPr="007122AB">
        <w:rPr>
          <w:rFonts w:ascii="Times New Roman" w:hAnsi="Times New Roman"/>
          <w:color w:val="000000" w:themeColor="text1"/>
          <w:sz w:val="16"/>
          <w:szCs w:val="16"/>
        </w:rPr>
        <w:t>Calcutta</w:t>
      </w:r>
      <w:proofErr w:type="spellEnd"/>
      <w:r w:rsidRPr="007122AB">
        <w:rPr>
          <w:rFonts w:ascii="Times New Roman" w:hAnsi="Times New Roman"/>
          <w:color w:val="000000" w:themeColor="text1"/>
          <w:sz w:val="16"/>
          <w:szCs w:val="16"/>
        </w:rPr>
        <w:t>» на средиземноморской линии (14892).</w:t>
      </w:r>
    </w:p>
    <w:p w14:paraId="55B1AC2A"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1C26A84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213015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E273401"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середине мая 1931 г. первый экземпляр И-12 практически находился в заверша</w:t>
      </w:r>
      <w:r w:rsidRPr="007122AB">
        <w:rPr>
          <w:rFonts w:ascii="Times New Roman" w:hAnsi="Times New Roman"/>
          <w:color w:val="000000" w:themeColor="text1"/>
          <w:sz w:val="16"/>
          <w:szCs w:val="16"/>
        </w:rPr>
        <w:softHyphen/>
        <w:t>ющей стадии сборки. Основная задержка была связана с затянувшимися доводками пушек ДРП, входивших в конструкцию самолёта. Надо отметить, что к этому времени опытные образцы этих пушек были установлены и некоторые испытаны на самолётах: ТБ-1 — 76 мм для стрельбы по наземным целям; Р-3 — 76 мм для стрельбы по само</w:t>
      </w:r>
      <w:r w:rsidRPr="007122AB">
        <w:rPr>
          <w:rFonts w:ascii="Times New Roman" w:hAnsi="Times New Roman"/>
          <w:color w:val="000000" w:themeColor="text1"/>
          <w:sz w:val="16"/>
          <w:szCs w:val="16"/>
        </w:rPr>
        <w:softHyphen/>
        <w:t>лётам; И-4 — 67 мм для стрельбы по самолётам, 18 декабря 1931 г. на полигоне при стрельбе произошел разрыв пушки. В 1933 г. на И-4 установили 65-мм пушку (15823).</w:t>
      </w:r>
    </w:p>
    <w:p w14:paraId="4102FC8E"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2A9FA688" w14:textId="77777777" w:rsidR="00C21566" w:rsidRPr="007122AB" w:rsidRDefault="00C21566" w:rsidP="007122AB">
      <w:pPr>
        <w:pStyle w:val="rtejustify"/>
        <w:shd w:val="clear" w:color="auto" w:fill="FFFFFF"/>
        <w:spacing w:before="0" w:after="0"/>
        <w:rPr>
          <w:color w:val="000000" w:themeColor="text1"/>
          <w:sz w:val="16"/>
          <w:szCs w:val="16"/>
        </w:rPr>
      </w:pPr>
      <w:r w:rsidRPr="007122AB">
        <w:rPr>
          <w:color w:val="000000" w:themeColor="text1"/>
          <w:sz w:val="16"/>
          <w:szCs w:val="16"/>
        </w:rPr>
        <w:t>К середине мая 1931 года первый экземпляр самолета И-12, практически, находился в завершающей стадии сборки. Основная задержка была связана с затянувшимися доводками пушек ДРП, входивших в конструкцию самолета. Надо отметить, что испытания макетных образцов динамо-реактивных пушек начались еще в конце 1929 года. Первоначально для этих целей использовались самолеты Р-3ЛД, а затем – ТБ-1 (19172).</w:t>
      </w:r>
    </w:p>
    <w:p w14:paraId="49C48C2B" w14:textId="77777777" w:rsidR="00C21566" w:rsidRPr="007122AB" w:rsidRDefault="00C21566" w:rsidP="007122AB">
      <w:pPr>
        <w:pStyle w:val="ae"/>
        <w:shd w:val="clear" w:color="auto" w:fill="FFFFFF"/>
        <w:spacing w:before="0" w:after="0"/>
        <w:jc w:val="both"/>
        <w:textAlignment w:val="baseline"/>
        <w:rPr>
          <w:color w:val="000000" w:themeColor="text1"/>
          <w:sz w:val="16"/>
          <w:szCs w:val="16"/>
        </w:rPr>
      </w:pPr>
    </w:p>
    <w:p w14:paraId="144222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середине мая 1931 г. на заводе № 1 скопилось 67 истребителей И-5, ждущих двигателей. Машины отправляли в части без прицелов и ракетниц, обещая дослать их после получения.</w:t>
      </w:r>
    </w:p>
    <w:p w14:paraId="4832F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Серийные истребители, собранные на заводе № 1, внешне практически не отличались от малой серии завода № 39, но многие узлы машин оказались </w:t>
      </w:r>
      <w:proofErr w:type="spellStart"/>
      <w:r w:rsidRPr="007122AB">
        <w:rPr>
          <w:rFonts w:ascii="Times New Roman" w:hAnsi="Times New Roman"/>
          <w:color w:val="000000" w:themeColor="text1"/>
          <w:sz w:val="16"/>
          <w:szCs w:val="16"/>
        </w:rPr>
        <w:t>невзаимозаменяемы</w:t>
      </w:r>
      <w:proofErr w:type="spellEnd"/>
      <w:r w:rsidRPr="007122AB">
        <w:rPr>
          <w:rFonts w:ascii="Times New Roman" w:hAnsi="Times New Roman"/>
          <w:color w:val="000000" w:themeColor="text1"/>
          <w:sz w:val="16"/>
          <w:szCs w:val="16"/>
        </w:rPr>
        <w:t>. Отличались хвостовое оперение, центроплан, нижние крылья, элероны. На первых 15 самолётах подкосы капота мотора изготовлялись из дюралюминия, позже - из стали. Вооружение состояло из четырёх пулемётов ПВ-1 с боезапасом по 250 патронов на каждый. Примитивный коллиматорный прицел (кольцо и мушка) стоял на капоте перед ветровым козырьком. Под нижним крылом монтировались две балки Дер-5 под бомбы весом до 10 кг. Механический сбрасыватель оригинальной конструкции (в документах он именуется "СБР-спец.") монтировался в пилотской кабине.</w:t>
      </w:r>
    </w:p>
    <w:p w14:paraId="65CA5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Завод постоянно лихорадило от недостатка комплектующих. Запаздывали импортные дюралюминиевые трубы, не хватало прицелов, резины для колёс. Пулемёты ПВ-1 поступали только с левыми приёмниками ленты. Правые пулемёты на самолёты ставили, но они представляли собой фактически лишь декорацию, поскольку стрелять не могли. Стабильно шли перебои с поставками французских моторов Гном-Рон 9Aq. </w:t>
      </w:r>
    </w:p>
    <w:p w14:paraId="1EE183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Серийные истребители оказались примерно на 73 кг тяжелее, чем требовали технические условия. Соответственно упали лётные данные. Подъём на высоту 5000 м вместо 8 - 9 мин занимал от 11,5 до 14 мин. Ухудшились показатели по потолку и времени разворота (11997).</w:t>
      </w:r>
    </w:p>
    <w:p w14:paraId="4C7F79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6BE56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34D389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803F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мая 1931 состоялась первая Всесоюзная конференция по аэродинамике (274) и шла до 21 мая (271,126).</w:t>
      </w:r>
    </w:p>
    <w:p w14:paraId="3703E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C0F1E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40D89D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6D7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мая 1931 г. ЛМЗ было получено предварительно задание на проектирование 180-мм двухорудийной башенной установки. Установка должна была проектироваться под 180-мм пушку с клиновым затвором (3861).</w:t>
      </w:r>
    </w:p>
    <w:p w14:paraId="1FCD21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784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мая 1931 состоялось взвешивание танка Кристи без экипажа и вес был 9360 кг. В этот день начались и </w:t>
      </w:r>
      <w:proofErr w:type="spellStart"/>
      <w:r w:rsidRPr="007122AB">
        <w:rPr>
          <w:rFonts w:ascii="Times New Roman" w:hAnsi="Times New Roman"/>
          <w:color w:val="000000" w:themeColor="text1"/>
          <w:sz w:val="16"/>
          <w:szCs w:val="16"/>
        </w:rPr>
        <w:t>пробеговые</w:t>
      </w:r>
      <w:proofErr w:type="spellEnd"/>
      <w:r w:rsidRPr="007122AB">
        <w:rPr>
          <w:rFonts w:ascii="Times New Roman" w:hAnsi="Times New Roman"/>
          <w:color w:val="000000" w:themeColor="text1"/>
          <w:sz w:val="16"/>
          <w:szCs w:val="16"/>
        </w:rPr>
        <w:t xml:space="preserve"> испытания машины. За 10 дней прошли 150 км и 17 мая сломался кронштейн правого ленивца на повороте на травяном грунте (3879,7).</w:t>
      </w:r>
    </w:p>
    <w:p w14:paraId="70F55E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33FE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мая 1931 г. танк Кристи взвесили. Его масса без башни составила 9360 кг (585 пу</w:t>
      </w:r>
      <w:r w:rsidRPr="007122AB">
        <w:rPr>
          <w:rFonts w:ascii="Times New Roman" w:hAnsi="Times New Roman"/>
          <w:color w:val="000000" w:themeColor="text1"/>
          <w:sz w:val="16"/>
          <w:szCs w:val="16"/>
        </w:rPr>
        <w:softHyphen/>
        <w:t>дов). Так как башен не было, то вместо них в корпус танков был положен балласт в 800 кг. Для входа-выхода экипажа предусматривались распашные дверцы люка механика-во</w:t>
      </w:r>
      <w:r w:rsidRPr="007122AB">
        <w:rPr>
          <w:rFonts w:ascii="Times New Roman" w:hAnsi="Times New Roman"/>
          <w:color w:val="000000" w:themeColor="text1"/>
          <w:sz w:val="16"/>
          <w:szCs w:val="16"/>
        </w:rPr>
        <w:softHyphen/>
        <w:t>дителя, однако размер их был чрезмерно мал, и они не име</w:t>
      </w:r>
      <w:r w:rsidRPr="007122AB">
        <w:rPr>
          <w:rFonts w:ascii="Times New Roman" w:hAnsi="Times New Roman"/>
          <w:color w:val="000000" w:themeColor="text1"/>
          <w:sz w:val="16"/>
          <w:szCs w:val="16"/>
        </w:rPr>
        <w:softHyphen/>
        <w:t>ли никакой прорези для осмотра дороги в закрытом состо</w:t>
      </w:r>
      <w:r w:rsidRPr="007122AB">
        <w:rPr>
          <w:rFonts w:ascii="Times New Roman" w:hAnsi="Times New Roman"/>
          <w:color w:val="000000" w:themeColor="text1"/>
          <w:sz w:val="16"/>
          <w:szCs w:val="16"/>
        </w:rPr>
        <w:softHyphen/>
        <w:t>янии. Поэтому при испытаниях экипаж занимал свои мес</w:t>
      </w:r>
      <w:r w:rsidRPr="007122AB">
        <w:rPr>
          <w:rFonts w:ascii="Times New Roman" w:hAnsi="Times New Roman"/>
          <w:color w:val="000000" w:themeColor="text1"/>
          <w:sz w:val="16"/>
          <w:szCs w:val="16"/>
        </w:rPr>
        <w:softHyphen/>
        <w:t xml:space="preserve">та только через отверстие для башни и держал в движении двери механика-водителя открытыми. Также еще до начала испытаний было установлено, что для доступа к моторно-трансмиссионному отделению необходимо разобрать его крышу, так как никаких люков для доступа к механизмам танка предусмотрено не было. Особенностью танков «М. 1928» и «М. 1940» было то, что для перехода с гусениц на колеса с них надо было всего лишь снять гусеничные цепи, затем закрепить их на </w:t>
      </w:r>
      <w:proofErr w:type="spellStart"/>
      <w:r w:rsidRPr="007122AB">
        <w:rPr>
          <w:rFonts w:ascii="Times New Roman" w:hAnsi="Times New Roman"/>
          <w:color w:val="000000" w:themeColor="text1"/>
          <w:sz w:val="16"/>
          <w:szCs w:val="16"/>
        </w:rPr>
        <w:t>надгусенич-ных</w:t>
      </w:r>
      <w:proofErr w:type="spellEnd"/>
      <w:r w:rsidRPr="007122AB">
        <w:rPr>
          <w:rFonts w:ascii="Times New Roman" w:hAnsi="Times New Roman"/>
          <w:color w:val="000000" w:themeColor="text1"/>
          <w:sz w:val="16"/>
          <w:szCs w:val="16"/>
        </w:rPr>
        <w:t xml:space="preserve"> полках при помощи ремней и установить рулевое коле</w:t>
      </w:r>
      <w:r w:rsidRPr="007122AB">
        <w:rPr>
          <w:rFonts w:ascii="Times New Roman" w:hAnsi="Times New Roman"/>
          <w:color w:val="000000" w:themeColor="text1"/>
          <w:sz w:val="16"/>
          <w:szCs w:val="16"/>
        </w:rPr>
        <w:softHyphen/>
        <w:t>со для поворота передней пары катков, ослабляя усилие прижима второго опорного катка, вывернув головки соот</w:t>
      </w:r>
      <w:r w:rsidRPr="007122AB">
        <w:rPr>
          <w:rFonts w:ascii="Times New Roman" w:hAnsi="Times New Roman"/>
          <w:color w:val="000000" w:themeColor="text1"/>
          <w:sz w:val="16"/>
          <w:szCs w:val="16"/>
        </w:rPr>
        <w:softHyphen/>
        <w:t>ветствующих свечей. Все это даже слабо подготовленный экипаж мог проделать всего за полчаса - три четверти часа. Со стороны каждого борта располагалось по четыре алюминиевых обрезиненных опорных катка диаметром 813 мм. Направляющие и ведущие колеса гусеничного дви</w:t>
      </w:r>
      <w:r w:rsidRPr="007122AB">
        <w:rPr>
          <w:rFonts w:ascii="Times New Roman" w:hAnsi="Times New Roman"/>
          <w:color w:val="000000" w:themeColor="text1"/>
          <w:sz w:val="16"/>
          <w:szCs w:val="16"/>
        </w:rPr>
        <w:softHyphen/>
        <w:t>жителя имели наружную резиновую амортизацию. Круп-</w:t>
      </w:r>
      <w:proofErr w:type="spellStart"/>
      <w:r w:rsidRPr="007122AB">
        <w:rPr>
          <w:rFonts w:ascii="Times New Roman" w:hAnsi="Times New Roman"/>
          <w:color w:val="000000" w:themeColor="text1"/>
          <w:sz w:val="16"/>
          <w:szCs w:val="16"/>
        </w:rPr>
        <w:t>нозвенчатая</w:t>
      </w:r>
      <w:proofErr w:type="spellEnd"/>
      <w:r w:rsidRPr="007122AB">
        <w:rPr>
          <w:rFonts w:ascii="Times New Roman" w:hAnsi="Times New Roman"/>
          <w:color w:val="000000" w:themeColor="text1"/>
          <w:sz w:val="16"/>
          <w:szCs w:val="16"/>
        </w:rPr>
        <w:t xml:space="preserve"> гусеница, состоящая из 46 траков, имела греб</w:t>
      </w:r>
      <w:r w:rsidRPr="007122AB">
        <w:rPr>
          <w:rFonts w:ascii="Times New Roman" w:hAnsi="Times New Roman"/>
          <w:color w:val="000000" w:themeColor="text1"/>
          <w:sz w:val="16"/>
          <w:szCs w:val="16"/>
        </w:rPr>
        <w:softHyphen/>
        <w:t>невое зацепление с ведущим колесом. Первый день испытаний не принес ничего особенного. На второй день испытаний произошла внезапная поломка кронштейна правого направляющего колеса. Танк встал на два дня. По окончании ремонта танк прошел еще 500 км, после чего кронштейн сломался вновь. И опять ремонт. За</w:t>
      </w:r>
      <w:r w:rsidRPr="007122AB">
        <w:rPr>
          <w:rFonts w:ascii="Times New Roman" w:hAnsi="Times New Roman"/>
          <w:color w:val="000000" w:themeColor="text1"/>
          <w:sz w:val="16"/>
          <w:szCs w:val="16"/>
        </w:rPr>
        <w:softHyphen/>
        <w:t>тем более 10 дней танк испытывался только на колесном ходу, причем при прохождении песчаных участков даже на дороге танк буксовал (10733,196).</w:t>
      </w:r>
    </w:p>
    <w:p w14:paraId="35B531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4A0C4"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Вплоть до 16 мая 1931 полноценных испытаний танк Кристи не проходил.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w:t>
      </w:r>
      <w:proofErr w:type="spellStart"/>
      <w:r w:rsidRPr="007122AB">
        <w:rPr>
          <w:rFonts w:ascii="Times New Roman" w:hAnsi="Times New Roman"/>
          <w:color w:val="000000" w:themeColor="text1"/>
          <w:sz w:val="16"/>
          <w:szCs w:val="16"/>
          <w:shd w:val="clear" w:color="auto" w:fill="FFFFFF"/>
        </w:rPr>
        <w:t>надмоторной</w:t>
      </w:r>
      <w:proofErr w:type="spellEnd"/>
      <w:r w:rsidRPr="007122AB">
        <w:rPr>
          <w:rFonts w:ascii="Times New Roman" w:hAnsi="Times New Roman"/>
          <w:color w:val="000000" w:themeColor="text1"/>
          <w:sz w:val="16"/>
          <w:szCs w:val="16"/>
          <w:shd w:val="clear" w:color="auto" w:fill="FFFFFF"/>
        </w:rPr>
        <w:t xml:space="preserve">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w:t>
      </w:r>
    </w:p>
    <w:p w14:paraId="41E85EBD"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16 мая 1931 года испытания танка начались. Произошло это буквально за неделю до того, как было принято решение об организации производства БТ на ХПЗ. В одних источниках говорится, что испытания проходили на полигоне под Воронежем, другие говорят про испытательный полигон на Кубинке. На самом деле ни то, ни другое не верно. Действительно, испытания проходили в Подмосковье, но до Кубинки оттуда было далековато. Например, испытания на максимальную скорость проходили на Ленинградском шоссе, которое слегка так в другой стороне, нежели Минское шоссе. Да и официально полигон ведет свой отсчет с 10 июля 1931 года, когда было начато его строительство.</w:t>
      </w:r>
    </w:p>
    <w:p w14:paraId="0A8742D8"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При движении по Ленинградскому шоссе максимальная скорость не превышала 65-70 км/ч. Можно, конечно, списать это на менее качественную дорогу, но скорее связано снижение скорости с двумя факторами. Во-первых, машина была нагружена до боевой массы 9500 кг, дабы понимать, каковы окажутся скоростные характеристики с башней и вооружением. Во-вторых, испытания в США проводил Лео Андерсон, а фактор заводского водителя являлся весьма важным. Особенно это проявилось во время езды на высокой скорости. Водители сильно жаловались на то, что при скорости выше 60 км/ч происходил занос кормовой части машины. Еще сильнее он ощущался на влажной от дождя дороге. Это с завидной регулярностью приводило к ситуации, когда машина вставала поперек шоссе.</w:t>
      </w:r>
    </w:p>
    <w:p w14:paraId="021C0534"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Еще одной причиной для жалоб стали толчки на неровностях, которые хорошо передавались на руль. Это приводило к тому, что после 4-4,5 часов езды водитель сильно уставал. Также при езде приходилось машину постоянно подруливать. Дополнительной проблемой было, что на большой скорости радиус поворота оказывался слишком большим. В результате на резких поворотах приходилось сбрасывать скорость, дабы в них вписаться. По итогам средняя скорость движения оказалась сравнительно небольшой - 30-35 км/ч. Безусловно, на фоне других танков того периода это очень высокая скорость, но как-то ждали более высоких результатов. А еще довольно регулярно приходилось пользоваться помощью эвакуатора, поскольку машина оказывалась в кювете.</w:t>
      </w:r>
    </w:p>
    <w:p w14:paraId="0800603B"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Езда по шоссе на гусеничном ходу показала, что танк может развивать скорость до 50 км/ч. Управляемость при этом была удовлетворительной, но именно такая езда и привела к самой большой поломке в ходе испытаний. После прохождения одного из резких поворотов вырвало кривошип правого ленивца. На этом, собственно говоря, испытания на гусеничном ходу закончились. Далее езда была возможна только на колесном ходу. Надо сказать, что еще до начала испытаний, при демонстрации командованию РККА, танк вполне преодолел окоп шириной 2 метра и проволочные заграждения в 5 рядов. А вот окоп шириной 2,5 метра преодолеть не удалось - танк уперся носом в стенку и застрял.</w:t>
      </w:r>
    </w:p>
    <w:p w14:paraId="11785DBA"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результате ЧП с кривошипом правого ленивца дальнейшие ходовые испытания больше напоминали шоу "чем круче джип, тем дальше трактор". Как указывалось в отчете по испытаниям, езда по проселку была возможно только при наличии твердой, укатанной поверхности. В противном случае очень быстро становился нужен эвакуатор. Особенно запущенной выглядела ситуация при попытке ехать по песку. Настоящая битва с бездорожьем развернулась на лесной дороге между деревнями </w:t>
      </w:r>
      <w:proofErr w:type="spellStart"/>
      <w:r w:rsidRPr="007122AB">
        <w:rPr>
          <w:rFonts w:ascii="Times New Roman" w:hAnsi="Times New Roman"/>
          <w:color w:val="000000" w:themeColor="text1"/>
          <w:sz w:val="16"/>
          <w:szCs w:val="16"/>
          <w:shd w:val="clear" w:color="auto" w:fill="FFFFFF"/>
        </w:rPr>
        <w:t>Бузланово</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Поздняково</w:t>
      </w:r>
      <w:proofErr w:type="spellEnd"/>
      <w:r w:rsidRPr="007122AB">
        <w:rPr>
          <w:rFonts w:ascii="Times New Roman" w:hAnsi="Times New Roman"/>
          <w:color w:val="000000" w:themeColor="text1"/>
          <w:sz w:val="16"/>
          <w:szCs w:val="16"/>
          <w:shd w:val="clear" w:color="auto" w:fill="FFFFFF"/>
        </w:rPr>
        <w:t xml:space="preserve"> (ныне они находятся в районе Новорижского шоссе). Сначала американский танк штурмовал песок в районе речки Липка, а затем ее километр тащили на буксире по лесной дороге от </w:t>
      </w:r>
      <w:proofErr w:type="spellStart"/>
      <w:r w:rsidRPr="007122AB">
        <w:rPr>
          <w:rFonts w:ascii="Times New Roman" w:hAnsi="Times New Roman"/>
          <w:color w:val="000000" w:themeColor="text1"/>
          <w:sz w:val="16"/>
          <w:szCs w:val="16"/>
          <w:shd w:val="clear" w:color="auto" w:fill="FFFFFF"/>
        </w:rPr>
        <w:t>Бузланово</w:t>
      </w:r>
      <w:proofErr w:type="spellEnd"/>
      <w:r w:rsidRPr="007122AB">
        <w:rPr>
          <w:rFonts w:ascii="Times New Roman" w:hAnsi="Times New Roman"/>
          <w:color w:val="000000" w:themeColor="text1"/>
          <w:sz w:val="16"/>
          <w:szCs w:val="16"/>
          <w:shd w:val="clear" w:color="auto" w:fill="FFFFFF"/>
        </w:rPr>
        <w:t xml:space="preserve"> в </w:t>
      </w:r>
      <w:proofErr w:type="spellStart"/>
      <w:r w:rsidRPr="007122AB">
        <w:rPr>
          <w:rFonts w:ascii="Times New Roman" w:hAnsi="Times New Roman"/>
          <w:color w:val="000000" w:themeColor="text1"/>
          <w:sz w:val="16"/>
          <w:szCs w:val="16"/>
          <w:shd w:val="clear" w:color="auto" w:fill="FFFFFF"/>
        </w:rPr>
        <w:t>Поздняково</w:t>
      </w:r>
      <w:proofErr w:type="spellEnd"/>
      <w:r w:rsidRPr="007122AB">
        <w:rPr>
          <w:rFonts w:ascii="Times New Roman" w:hAnsi="Times New Roman"/>
          <w:color w:val="000000" w:themeColor="text1"/>
          <w:sz w:val="16"/>
          <w:szCs w:val="16"/>
          <w:shd w:val="clear" w:color="auto" w:fill="FFFFFF"/>
        </w:rPr>
        <w:t>. На ровной поверхности, но на сырой траве, машина не смогла стронуться с места. Испытания были закончены 21 июля 1931 года. (20339).</w:t>
      </w:r>
    </w:p>
    <w:p w14:paraId="51B06C12" w14:textId="77777777" w:rsidR="003C0F10" w:rsidRPr="007122AB" w:rsidRDefault="003C0F10" w:rsidP="007122AB">
      <w:pPr>
        <w:shd w:val="clear" w:color="auto" w:fill="FFFFFF"/>
        <w:spacing w:after="0" w:line="240" w:lineRule="auto"/>
        <w:jc w:val="both"/>
        <w:rPr>
          <w:rFonts w:ascii="Times New Roman" w:hAnsi="Times New Roman"/>
          <w:color w:val="000000" w:themeColor="text1"/>
          <w:sz w:val="16"/>
          <w:szCs w:val="16"/>
        </w:rPr>
      </w:pPr>
    </w:p>
    <w:p w14:paraId="033ED6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мая 1931 года в Московском авиационном институте была проведена реорганизация воздухоплавательного факультета в дирижаблестроительный. Начальником дирижаблестроительного факультета МАИ стал начальник кафедры эксплуатации воздушных судов в воздухе профессор М.Н. Канищев (11269).</w:t>
      </w:r>
    </w:p>
    <w:p w14:paraId="1CB77F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96042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429A50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ADEA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мая 1931 папа римский Пий XI заявил о несовместимости социализма с католицизмом (4962).</w:t>
      </w:r>
    </w:p>
    <w:p w14:paraId="471C00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05CA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E004A4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2ED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мая 1931 по приказу НКВМД был составлен план по выполнению решений правительства по организации производства БТ (танка Кристи) на ХПЗ. Завод не был занят, т.к. планировавшееся производство танков ТГ </w:t>
      </w:r>
      <w:proofErr w:type="spellStart"/>
      <w:r w:rsidRPr="007122AB">
        <w:rPr>
          <w:rFonts w:ascii="Times New Roman" w:hAnsi="Times New Roman"/>
          <w:color w:val="000000" w:themeColor="text1"/>
          <w:sz w:val="16"/>
          <w:szCs w:val="16"/>
        </w:rPr>
        <w:t>Э.Гроте</w:t>
      </w:r>
      <w:proofErr w:type="spellEnd"/>
      <w:r w:rsidRPr="007122AB">
        <w:rPr>
          <w:rFonts w:ascii="Times New Roman" w:hAnsi="Times New Roman"/>
          <w:color w:val="000000" w:themeColor="text1"/>
          <w:sz w:val="16"/>
          <w:szCs w:val="16"/>
        </w:rPr>
        <w:t xml:space="preserve"> и Т-24 - задерживалось (3879,6):</w:t>
      </w:r>
    </w:p>
    <w:p w14:paraId="3B5C94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Изготовление рабочих чертежей к 15.07.31 СКБ под руководством Нач. КБ оружейного объединения </w:t>
      </w:r>
      <w:proofErr w:type="spellStart"/>
      <w:r w:rsidRPr="007122AB">
        <w:rPr>
          <w:rFonts w:ascii="Times New Roman" w:hAnsi="Times New Roman"/>
          <w:color w:val="000000" w:themeColor="text1"/>
          <w:sz w:val="16"/>
          <w:szCs w:val="16"/>
        </w:rPr>
        <w:t>С.А.Гинзбурга</w:t>
      </w:r>
      <w:proofErr w:type="spellEnd"/>
      <w:r w:rsidRPr="007122AB">
        <w:rPr>
          <w:rFonts w:ascii="Times New Roman" w:hAnsi="Times New Roman"/>
          <w:color w:val="000000" w:themeColor="text1"/>
          <w:sz w:val="16"/>
          <w:szCs w:val="16"/>
        </w:rPr>
        <w:t xml:space="preserve"> и в составе 20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xml:space="preserve"> к от ГКВ N 8 оружейного объединения, 15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xml:space="preserve"> к от НАТИ ВАТО, от Ижорского завода два конструктора по корпусу, от УММ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xml:space="preserve"> в качестве зам. Нач. КБ и Рожкова в качестве ГК по укладке боеприпасов в башне. От ХПЗ - танковое КБ Алексеенко в полном составе. Кроме того, с 16.06 директор ХПЗ обеспечивает КБ 30-ю копировщиками.</w:t>
      </w:r>
    </w:p>
    <w:p w14:paraId="69BE68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Для разработки техпроцесса производства танка привлечь 5 высококвалифицированных специалистов </w:t>
      </w:r>
      <w:proofErr w:type="spellStart"/>
      <w:r w:rsidRPr="007122AB">
        <w:rPr>
          <w:rFonts w:ascii="Times New Roman" w:hAnsi="Times New Roman"/>
          <w:color w:val="000000" w:themeColor="text1"/>
          <w:sz w:val="16"/>
          <w:szCs w:val="16"/>
        </w:rPr>
        <w:t>Укргипромаша</w:t>
      </w:r>
      <w:proofErr w:type="spellEnd"/>
      <w:r w:rsidRPr="007122AB">
        <w:rPr>
          <w:rFonts w:ascii="Times New Roman" w:hAnsi="Times New Roman"/>
          <w:color w:val="000000" w:themeColor="text1"/>
          <w:sz w:val="16"/>
          <w:szCs w:val="16"/>
        </w:rPr>
        <w:t>.</w:t>
      </w:r>
    </w:p>
    <w:p w14:paraId="48CB81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Собрать </w:t>
      </w:r>
      <w:proofErr w:type="spellStart"/>
      <w:r w:rsidRPr="007122AB">
        <w:rPr>
          <w:rFonts w:ascii="Times New Roman" w:hAnsi="Times New Roman"/>
          <w:color w:val="000000" w:themeColor="text1"/>
          <w:sz w:val="16"/>
          <w:szCs w:val="16"/>
        </w:rPr>
        <w:t>спецбюро</w:t>
      </w:r>
      <w:proofErr w:type="spellEnd"/>
      <w:r w:rsidRPr="007122AB">
        <w:rPr>
          <w:rFonts w:ascii="Times New Roman" w:hAnsi="Times New Roman"/>
          <w:color w:val="000000" w:themeColor="text1"/>
          <w:sz w:val="16"/>
          <w:szCs w:val="16"/>
        </w:rPr>
        <w:t xml:space="preserve"> БТ ХПЗ к 25 мая 1931</w:t>
      </w:r>
    </w:p>
    <w:p w14:paraId="42387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Изготовить опытные образцы в количестве 3-х шт. К 15 сентября 1931, два образца изготавливает ХПЗ, один - опытный цех завода Большевик с подачей отливок и поковок с ХПЗ.</w:t>
      </w:r>
    </w:p>
    <w:p w14:paraId="0AFF6C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Изготовление первой партии 100 шт. 2 машины к 1 ноября 1931, 30 шт. К 30 декабря 1931, 50 шт. К 1 января 1932 (4240).</w:t>
      </w:r>
    </w:p>
    <w:p w14:paraId="03E26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6DE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года По приказу Народного комиссара военных и морских дел начальником УММ РККА был утвержденный план организации серийного производства танков БТ на ГХПЗ. Этот план стал основанием для Приказа ВСНХ СССР № 37 от 21 мая 1931 года об обеспечении организации производства танков БТ на ГХПЗ и создание специального конструкторского бюро БТ на базе конструкторского бюро Т2К (10278).</w:t>
      </w:r>
    </w:p>
    <w:p w14:paraId="33542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83A9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был подготовлен подробный план организации производства танков БТ на ХПЗ, в котором, в частности, го</w:t>
      </w:r>
      <w:r w:rsidRPr="007122AB">
        <w:rPr>
          <w:rFonts w:ascii="Times New Roman" w:hAnsi="Times New Roman"/>
          <w:color w:val="000000" w:themeColor="text1"/>
          <w:sz w:val="16"/>
          <w:szCs w:val="16"/>
        </w:rPr>
        <w:softHyphen/>
        <w:t>ворилось:</w:t>
      </w:r>
    </w:p>
    <w:p w14:paraId="391C05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Изготовление рабочих чертежей к 15.07.31 г. (один месяц) СКБ под руководством начальника конструкторского бюро оружейного объединения </w:t>
      </w:r>
      <w:proofErr w:type="spellStart"/>
      <w:r w:rsidRPr="007122AB">
        <w:rPr>
          <w:rFonts w:ascii="Times New Roman" w:hAnsi="Times New Roman"/>
          <w:color w:val="000000" w:themeColor="text1"/>
          <w:sz w:val="16"/>
          <w:szCs w:val="16"/>
        </w:rPr>
        <w:t>СЛ.Гинзбург</w:t>
      </w:r>
      <w:proofErr w:type="spellEnd"/>
      <w:r w:rsidRPr="007122AB">
        <w:rPr>
          <w:rFonts w:ascii="Times New Roman" w:hAnsi="Times New Roman"/>
          <w:color w:val="000000" w:themeColor="text1"/>
          <w:sz w:val="16"/>
          <w:szCs w:val="16"/>
        </w:rPr>
        <w:t xml:space="preserve"> и в составе 20 ин</w:t>
      </w:r>
      <w:r w:rsidRPr="007122AB">
        <w:rPr>
          <w:rFonts w:ascii="Times New Roman" w:hAnsi="Times New Roman"/>
          <w:color w:val="000000" w:themeColor="text1"/>
          <w:sz w:val="16"/>
          <w:szCs w:val="16"/>
        </w:rPr>
        <w:softHyphen/>
        <w:t>женеров и конструкторов от Г.К.В. N 8 оружейного объедине</w:t>
      </w:r>
      <w:r w:rsidRPr="007122AB">
        <w:rPr>
          <w:rFonts w:ascii="Times New Roman" w:hAnsi="Times New Roman"/>
          <w:color w:val="000000" w:themeColor="text1"/>
          <w:sz w:val="16"/>
          <w:szCs w:val="16"/>
        </w:rPr>
        <w:softHyphen/>
        <w:t xml:space="preserve">ния, 15 инженеров и конструкторов от НАГИ, ВАТО, от Ижорского завода 2 </w:t>
      </w:r>
      <w:proofErr w:type="spellStart"/>
      <w:r w:rsidRPr="007122AB">
        <w:rPr>
          <w:rFonts w:ascii="Times New Roman" w:hAnsi="Times New Roman"/>
          <w:color w:val="000000" w:themeColor="text1"/>
          <w:sz w:val="16"/>
          <w:szCs w:val="16"/>
        </w:rPr>
        <w:t>конструтора</w:t>
      </w:r>
      <w:proofErr w:type="spellEnd"/>
      <w:r w:rsidRPr="007122AB">
        <w:rPr>
          <w:rFonts w:ascii="Times New Roman" w:hAnsi="Times New Roman"/>
          <w:color w:val="000000" w:themeColor="text1"/>
          <w:sz w:val="16"/>
          <w:szCs w:val="16"/>
        </w:rPr>
        <w:t xml:space="preserve"> по корпусу, от УММ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xml:space="preserve"> в качестве заместителя начальника Конструкторского Бюро и Рожков в качестве конструктора по укладке боепри</w:t>
      </w:r>
      <w:r w:rsidRPr="007122AB">
        <w:rPr>
          <w:rFonts w:ascii="Times New Roman" w:hAnsi="Times New Roman"/>
          <w:color w:val="000000" w:themeColor="text1"/>
          <w:sz w:val="16"/>
          <w:szCs w:val="16"/>
        </w:rPr>
        <w:softHyphen/>
        <w:t>пасов и башне. От ХПЗ танковое КБ Алексенко в полном со</w:t>
      </w:r>
      <w:r w:rsidRPr="007122AB">
        <w:rPr>
          <w:rFonts w:ascii="Times New Roman" w:hAnsi="Times New Roman"/>
          <w:color w:val="000000" w:themeColor="text1"/>
          <w:sz w:val="16"/>
          <w:szCs w:val="16"/>
        </w:rPr>
        <w:softHyphen/>
        <w:t>ставе. Кроме того, с 10.06 директор ХПЗ обеспечивает бюро тридцатью копировщиками.</w:t>
      </w:r>
    </w:p>
    <w:p w14:paraId="031495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Для разработки техпроцесса производства танка при</w:t>
      </w:r>
      <w:r w:rsidRPr="007122AB">
        <w:rPr>
          <w:rFonts w:ascii="Times New Roman" w:hAnsi="Times New Roman"/>
          <w:color w:val="000000" w:themeColor="text1"/>
          <w:sz w:val="16"/>
          <w:szCs w:val="16"/>
        </w:rPr>
        <w:softHyphen/>
        <w:t xml:space="preserve">влечь пять высококвалифицированных специалистов от </w:t>
      </w:r>
      <w:proofErr w:type="spellStart"/>
      <w:r w:rsidRPr="007122AB">
        <w:rPr>
          <w:rFonts w:ascii="Times New Roman" w:hAnsi="Times New Roman"/>
          <w:color w:val="000000" w:themeColor="text1"/>
          <w:sz w:val="16"/>
          <w:szCs w:val="16"/>
        </w:rPr>
        <w:t>Укргипромаша</w:t>
      </w:r>
      <w:proofErr w:type="spellEnd"/>
      <w:r w:rsidRPr="007122AB">
        <w:rPr>
          <w:rFonts w:ascii="Times New Roman" w:hAnsi="Times New Roman"/>
          <w:color w:val="000000" w:themeColor="text1"/>
          <w:sz w:val="16"/>
          <w:szCs w:val="16"/>
        </w:rPr>
        <w:t>.</w:t>
      </w:r>
    </w:p>
    <w:p w14:paraId="47C0BC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Собрать </w:t>
      </w:r>
      <w:proofErr w:type="spellStart"/>
      <w:r w:rsidRPr="007122AB">
        <w:rPr>
          <w:rFonts w:ascii="Times New Roman" w:hAnsi="Times New Roman"/>
          <w:color w:val="000000" w:themeColor="text1"/>
          <w:sz w:val="16"/>
          <w:szCs w:val="16"/>
        </w:rPr>
        <w:t>спецбюро</w:t>
      </w:r>
      <w:proofErr w:type="spellEnd"/>
      <w:r w:rsidRPr="007122AB">
        <w:rPr>
          <w:rFonts w:ascii="Times New Roman" w:hAnsi="Times New Roman"/>
          <w:color w:val="000000" w:themeColor="text1"/>
          <w:sz w:val="16"/>
          <w:szCs w:val="16"/>
        </w:rPr>
        <w:t xml:space="preserve"> БТХПЗ к 25.05.31 г. 4. Изготовить | опытные образцы в количестве 3-х штук к 15.09.31 г. 2образца изготавливает ХПЗ и один - опытный цех завода «Большевик» с подачей отливок и поковок с ХПЗ.</w:t>
      </w:r>
    </w:p>
    <w:p w14:paraId="480433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Изготовление первой партии 100 штук. 2 машин — к 1.Х1.31 г. 30 штук - к ЗО.ХП.31 г. 50 штук - к 1.1.32 г.» (10733,195).</w:t>
      </w:r>
    </w:p>
    <w:p w14:paraId="64445D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671AA" w14:textId="77777777" w:rsidR="00971F0A" w:rsidRPr="007122AB" w:rsidRDefault="00971F0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во время пово</w:t>
      </w:r>
      <w:r w:rsidRPr="007122AB">
        <w:rPr>
          <w:rFonts w:ascii="Times New Roman" w:hAnsi="Times New Roman"/>
          <w:color w:val="000000" w:themeColor="text1"/>
          <w:sz w:val="16"/>
          <w:szCs w:val="16"/>
        </w:rPr>
        <w:softHyphen/>
        <w:t>рота на травяном грунте сломался кронштейн правого ленивца БТ-2. Бро</w:t>
      </w:r>
      <w:r w:rsidRPr="007122AB">
        <w:rPr>
          <w:rFonts w:ascii="Times New Roman" w:hAnsi="Times New Roman"/>
          <w:color w:val="000000" w:themeColor="text1"/>
          <w:sz w:val="16"/>
          <w:szCs w:val="16"/>
        </w:rPr>
        <w:softHyphen/>
        <w:t xml:space="preserve">невая защита машины была про- </w:t>
      </w:r>
      <w:proofErr w:type="spellStart"/>
      <w:r w:rsidRPr="007122AB">
        <w:rPr>
          <w:rFonts w:ascii="Times New Roman" w:hAnsi="Times New Roman"/>
          <w:color w:val="000000" w:themeColor="text1"/>
          <w:sz w:val="16"/>
          <w:szCs w:val="16"/>
        </w:rPr>
        <w:t>тивопульной</w:t>
      </w:r>
      <w:proofErr w:type="spellEnd"/>
      <w:r w:rsidRPr="007122AB">
        <w:rPr>
          <w:rFonts w:ascii="Times New Roman" w:hAnsi="Times New Roman"/>
          <w:color w:val="000000" w:themeColor="text1"/>
          <w:sz w:val="16"/>
          <w:szCs w:val="16"/>
        </w:rPr>
        <w:t>: клепаный корпус тан</w:t>
      </w:r>
      <w:r w:rsidRPr="007122AB">
        <w:rPr>
          <w:rFonts w:ascii="Times New Roman" w:hAnsi="Times New Roman"/>
          <w:color w:val="000000" w:themeColor="text1"/>
          <w:sz w:val="16"/>
          <w:szCs w:val="16"/>
        </w:rPr>
        <w:softHyphen/>
        <w:t>ка был выполнен из броневых лис</w:t>
      </w:r>
      <w:r w:rsidRPr="007122AB">
        <w:rPr>
          <w:rFonts w:ascii="Times New Roman" w:hAnsi="Times New Roman"/>
          <w:color w:val="000000" w:themeColor="text1"/>
          <w:sz w:val="16"/>
          <w:szCs w:val="16"/>
        </w:rPr>
        <w:softHyphen/>
        <w:t>тов толщиной от 5,5 до 14 мм. Поэ</w:t>
      </w:r>
      <w:r w:rsidRPr="007122AB">
        <w:rPr>
          <w:rFonts w:ascii="Times New Roman" w:hAnsi="Times New Roman"/>
          <w:color w:val="000000" w:themeColor="text1"/>
          <w:sz w:val="16"/>
          <w:szCs w:val="16"/>
        </w:rPr>
        <w:softHyphen/>
        <w:t>тому по заданию УММ РККА бое</w:t>
      </w:r>
      <w:r w:rsidRPr="007122AB">
        <w:rPr>
          <w:rFonts w:ascii="Times New Roman" w:hAnsi="Times New Roman"/>
          <w:color w:val="000000" w:themeColor="text1"/>
          <w:sz w:val="16"/>
          <w:szCs w:val="16"/>
        </w:rPr>
        <w:softHyphen/>
        <w:t>вую массу танка предполагалось поднять с 10,5 до 14 тонн (22518).</w:t>
      </w:r>
    </w:p>
    <w:p w14:paraId="1E0390DA" w14:textId="77777777" w:rsidR="00971F0A" w:rsidRPr="007122AB" w:rsidRDefault="00971F0A" w:rsidP="007122AB">
      <w:pPr>
        <w:spacing w:after="0" w:line="240" w:lineRule="auto"/>
        <w:jc w:val="both"/>
        <w:rPr>
          <w:rFonts w:ascii="Times New Roman" w:hAnsi="Times New Roman"/>
          <w:color w:val="000000" w:themeColor="text1"/>
          <w:sz w:val="16"/>
          <w:szCs w:val="16"/>
        </w:rPr>
      </w:pPr>
    </w:p>
    <w:p w14:paraId="09D8CC0C" w14:textId="77777777" w:rsidR="00971F0A" w:rsidRPr="007122AB" w:rsidRDefault="00971F0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начальник УММ РККА со</w:t>
      </w:r>
      <w:r w:rsidRPr="007122AB">
        <w:rPr>
          <w:rFonts w:ascii="Times New Roman" w:hAnsi="Times New Roman"/>
          <w:color w:val="000000" w:themeColor="text1"/>
          <w:sz w:val="16"/>
          <w:szCs w:val="16"/>
        </w:rPr>
        <w:softHyphen/>
        <w:t>ставил план выполнения решений пра</w:t>
      </w:r>
      <w:r w:rsidRPr="007122AB">
        <w:rPr>
          <w:rFonts w:ascii="Times New Roman" w:hAnsi="Times New Roman"/>
          <w:color w:val="000000" w:themeColor="text1"/>
          <w:sz w:val="16"/>
          <w:szCs w:val="16"/>
        </w:rPr>
        <w:softHyphen/>
        <w:t>вительства по организации производ</w:t>
      </w:r>
      <w:r w:rsidRPr="007122AB">
        <w:rPr>
          <w:rFonts w:ascii="Times New Roman" w:hAnsi="Times New Roman"/>
          <w:color w:val="000000" w:themeColor="text1"/>
          <w:sz w:val="16"/>
          <w:szCs w:val="16"/>
        </w:rPr>
        <w:softHyphen/>
        <w:t>ства танка БТ (танк «Кристи») на Харьковском паровозостроитель</w:t>
      </w:r>
      <w:r w:rsidRPr="007122AB">
        <w:rPr>
          <w:rFonts w:ascii="Times New Roman" w:hAnsi="Times New Roman"/>
          <w:color w:val="000000" w:themeColor="text1"/>
          <w:sz w:val="16"/>
          <w:szCs w:val="16"/>
        </w:rPr>
        <w:softHyphen/>
        <w:t>ном заводе. Этим планом предус</w:t>
      </w:r>
      <w:r w:rsidRPr="007122AB">
        <w:rPr>
          <w:rFonts w:ascii="Times New Roman" w:hAnsi="Times New Roman"/>
          <w:color w:val="000000" w:themeColor="text1"/>
          <w:sz w:val="16"/>
          <w:szCs w:val="16"/>
        </w:rPr>
        <w:softHyphen/>
        <w:t>матривалось изготовление в тече</w:t>
      </w:r>
      <w:r w:rsidRPr="007122AB">
        <w:rPr>
          <w:rFonts w:ascii="Times New Roman" w:hAnsi="Times New Roman"/>
          <w:color w:val="000000" w:themeColor="text1"/>
          <w:sz w:val="16"/>
          <w:szCs w:val="16"/>
        </w:rPr>
        <w:softHyphen/>
        <w:t>ние месяца рабочих чертежей груп</w:t>
      </w:r>
      <w:r w:rsidRPr="007122AB">
        <w:rPr>
          <w:rFonts w:ascii="Times New Roman" w:hAnsi="Times New Roman"/>
          <w:color w:val="000000" w:themeColor="text1"/>
          <w:sz w:val="16"/>
          <w:szCs w:val="16"/>
        </w:rPr>
        <w:softHyphen/>
        <w:t>пой разработчиков, в состав кото</w:t>
      </w:r>
      <w:r w:rsidRPr="007122AB">
        <w:rPr>
          <w:rFonts w:ascii="Times New Roman" w:hAnsi="Times New Roman"/>
          <w:color w:val="000000" w:themeColor="text1"/>
          <w:sz w:val="16"/>
          <w:szCs w:val="16"/>
        </w:rPr>
        <w:softHyphen/>
        <w:t>рой включалось 15 инженеров и конструкторов от НАМИ (22518).</w:t>
      </w:r>
    </w:p>
    <w:p w14:paraId="5D189B76" w14:textId="77777777" w:rsidR="00971F0A" w:rsidRPr="007122AB" w:rsidRDefault="00971F0A" w:rsidP="007122AB">
      <w:pPr>
        <w:spacing w:after="0" w:line="240" w:lineRule="auto"/>
        <w:jc w:val="both"/>
        <w:rPr>
          <w:rFonts w:ascii="Times New Roman" w:hAnsi="Times New Roman"/>
          <w:color w:val="000000" w:themeColor="text1"/>
          <w:sz w:val="16"/>
          <w:szCs w:val="16"/>
        </w:rPr>
      </w:pPr>
    </w:p>
    <w:p w14:paraId="2DBB0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г. Ремонтные мастерские Треста точной механики, созданные 9 августа 1930 г., были преобразованы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7C25A7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98621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FF734C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B010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г. Приказом РВС СССР No.033 ВТУ РККА было переформировано в два самостоятельных центральных управления - Военно-инженерное управление РККА и Управление связи РККА.</w:t>
      </w:r>
    </w:p>
    <w:p w14:paraId="3265B7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032BE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46CD31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F9E6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мая 1931 г. Приказом РВС СССР No.033 ВТУ РККА было переформировано в два самостоятельных центральных управления - Управление связи РККА и Военно-инженерное управление РККА (11226).</w:t>
      </w:r>
    </w:p>
    <w:p w14:paraId="3619CC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C26BE6" w14:textId="77777777" w:rsidR="0004566E" w:rsidRPr="007122AB" w:rsidRDefault="000456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мая 1931 г. приказом РВС СССР № 033 было образовано Управление связи (УС) РККА. По положению о Наркомате обороны СССР от 22 ноября 1934 г. на Управление связи РККА, как на центральный орган наркомата, возлагалось обеспечение армии всеми средствами связи. Во главе управления стоял начальник. На него возлагались следующие функции: а) развитие и техническое усовершенствование средств связи РККА; б) заготовка и вооружение РККА всеми средствами и видами связи по всем родам войск, кроме корабельной связи флотов; в) инспектирование частей связи РККА, с объявлением результатов инспектирования в приказах наркома обороны; г) разработка на основе директив начальника Штаба РККА инструкции, программ, методических указаний по тактической и технической подготовке частей связи и службы связи в РККА; д) руководство боевой подготовкой Электротехнической академии и Академии связи им. В. Н. Подбельского и курсов усовершенствования связи; 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 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 з) руководство вневойсковой подготовкой в гражданских высших учебных заведениях по связи. Управление связи РККА состояло из отделов: 1) учебно-строевого, 2) мобилизационного, 3) радио, 4) телеграфа, телефона и оптики и 5) финансового отделения. Приказом НКО № 0114 от 26 июля 1937 г. оно было объединено с Техническим управлением РККА в Управление связи Красной армии, которое ведало обеспечением армии всеми средствами связи и телемеханики, а также руководило службой связи и телемеханики. С июля 1940 г. в состав УС Красной армии входили следующие отделы: боевой подготовки; оперативно-технический; мобилизационно-плановый; телефонно-телеграфного вооружения; </w:t>
      </w:r>
      <w:proofErr w:type="spellStart"/>
      <w:r w:rsidRPr="007122AB">
        <w:rPr>
          <w:rFonts w:ascii="Times New Roman" w:hAnsi="Times New Roman"/>
          <w:color w:val="000000" w:themeColor="text1"/>
          <w:sz w:val="16"/>
          <w:szCs w:val="16"/>
        </w:rPr>
        <w:t>радиовооружения</w:t>
      </w:r>
      <w:proofErr w:type="spellEnd"/>
      <w:r w:rsidRPr="007122AB">
        <w:rPr>
          <w:rFonts w:ascii="Times New Roman" w:hAnsi="Times New Roman"/>
          <w:color w:val="000000" w:themeColor="text1"/>
          <w:sz w:val="16"/>
          <w:szCs w:val="16"/>
        </w:rPr>
        <w:t>; особой техники; складов и мастерских; кадров; финансовый, а также научно-технический комитет и общая и секретная часть. Приказом НКО № 0238 от 20 сентября 1940 г. на Управление связи дополнительно возлагалось техническое руководство, планирование и финансирование строительства связи.</w:t>
      </w:r>
    </w:p>
    <w:p w14:paraId="3BB2150C" w14:textId="77777777" w:rsidR="0004566E" w:rsidRPr="007122AB" w:rsidRDefault="0004566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 51. Оп. 2. Д. 445. Л. 57-61 об., 64 об.-65 об. Подлинник (17776).</w:t>
      </w:r>
    </w:p>
    <w:p w14:paraId="39DE3391" w14:textId="77777777" w:rsidR="0004566E" w:rsidRPr="007122AB" w:rsidRDefault="0004566E" w:rsidP="007122AB">
      <w:pPr>
        <w:spacing w:after="0" w:line="240" w:lineRule="auto"/>
        <w:jc w:val="both"/>
        <w:rPr>
          <w:rFonts w:ascii="Times New Roman" w:hAnsi="Times New Roman"/>
          <w:color w:val="000000" w:themeColor="text1"/>
          <w:sz w:val="16"/>
          <w:szCs w:val="16"/>
        </w:rPr>
      </w:pPr>
    </w:p>
    <w:p w14:paraId="1C6D231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1E7BB9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2136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мая 1931 на Москве-реке близ Филей был испытан АИР-2 на поплавках. Поплавки смонтировали тут же за 1 ч. 10 мин.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летал с В.Б.Ш. 10 мин. по кругу, а потом </w:t>
      </w:r>
      <w:proofErr w:type="spellStart"/>
      <w:r w:rsidRPr="007122AB">
        <w:rPr>
          <w:rFonts w:ascii="Times New Roman" w:hAnsi="Times New Roman"/>
          <w:color w:val="000000" w:themeColor="text1"/>
          <w:sz w:val="16"/>
          <w:szCs w:val="16"/>
        </w:rPr>
        <w:t>Ю.И.Пионтковский</w:t>
      </w:r>
      <w:proofErr w:type="spellEnd"/>
      <w:r w:rsidRPr="007122AB">
        <w:rPr>
          <w:rFonts w:ascii="Times New Roman" w:hAnsi="Times New Roman"/>
          <w:color w:val="000000" w:themeColor="text1"/>
          <w:sz w:val="16"/>
          <w:szCs w:val="16"/>
        </w:rPr>
        <w:t xml:space="preserve"> с А.С.Я. и опять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с женой и двумя детьми (1076,822).</w:t>
      </w:r>
    </w:p>
    <w:p w14:paraId="4CB58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6ED9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года за 1 час 10 минут колеса на АИР-2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16A3C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99C7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года – максимальная достигнутая высота полета геликоптера СОК ЭАО ЦАГИ была 25-30 метров с осуществлением плавного почти вертикального взлета и столь же спокойной посадки. Аппарат в воздухе совершил поворот почти на месте на 360 градусов (6926, 5).</w:t>
      </w:r>
    </w:p>
    <w:p w14:paraId="5D9344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185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года после полета при одном из повторных испытаний снова на высоте 25-30 метров при посадке геликоптер СОК ЭАО ЦАГИ ударился о землю и потерпел аварию (6926, 4а-5).</w:t>
      </w:r>
    </w:p>
    <w:p w14:paraId="366B20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4D4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г. произошла авария ЦАГИ-1ЭА в свободном полете при небольшом по</w:t>
      </w:r>
      <w:r w:rsidRPr="007122AB">
        <w:rPr>
          <w:rFonts w:ascii="Times New Roman" w:hAnsi="Times New Roman"/>
          <w:color w:val="000000" w:themeColor="text1"/>
          <w:sz w:val="16"/>
          <w:szCs w:val="16"/>
        </w:rPr>
        <w:softHyphen/>
        <w:t>рывистом ветре на высоте 15 — 30 м. При приземлении, как отме</w:t>
      </w:r>
      <w:r w:rsidRPr="007122AB">
        <w:rPr>
          <w:rFonts w:ascii="Times New Roman" w:hAnsi="Times New Roman"/>
          <w:color w:val="000000" w:themeColor="text1"/>
          <w:sz w:val="16"/>
          <w:szCs w:val="16"/>
        </w:rPr>
        <w:softHyphen/>
        <w:t xml:space="preserve">чал А. М. </w:t>
      </w:r>
      <w:proofErr w:type="spellStart"/>
      <w:r w:rsidRPr="007122AB">
        <w:rPr>
          <w:rFonts w:ascii="Times New Roman" w:hAnsi="Times New Roman"/>
          <w:color w:val="000000" w:themeColor="text1"/>
          <w:sz w:val="16"/>
          <w:szCs w:val="16"/>
        </w:rPr>
        <w:t>Изаксон</w:t>
      </w:r>
      <w:proofErr w:type="spellEnd"/>
      <w:r w:rsidRPr="007122AB">
        <w:rPr>
          <w:rFonts w:ascii="Times New Roman" w:hAnsi="Times New Roman"/>
          <w:color w:val="000000" w:themeColor="text1"/>
          <w:sz w:val="16"/>
          <w:szCs w:val="16"/>
        </w:rPr>
        <w:t>, «аппарат ударился хвостом и левым колесом, подпрыгнул на высоту 1 м, после чего, коснувшись земли вторич</w:t>
      </w:r>
      <w:r w:rsidRPr="007122AB">
        <w:rPr>
          <w:rFonts w:ascii="Times New Roman" w:hAnsi="Times New Roman"/>
          <w:color w:val="000000" w:themeColor="text1"/>
          <w:sz w:val="16"/>
          <w:szCs w:val="16"/>
        </w:rPr>
        <w:softHyphen/>
        <w:t>но, завалился на хвост и левую сторону. В результате сломана зад</w:t>
      </w:r>
      <w:r w:rsidRPr="007122AB">
        <w:rPr>
          <w:rFonts w:ascii="Times New Roman" w:hAnsi="Times New Roman"/>
          <w:color w:val="000000" w:themeColor="text1"/>
          <w:sz w:val="16"/>
          <w:szCs w:val="16"/>
        </w:rPr>
        <w:softHyphen/>
        <w:t>няя часть фюзеляжа, приведены в негодность все лопасти несуще</w:t>
      </w:r>
      <w:r w:rsidRPr="007122AB">
        <w:rPr>
          <w:rFonts w:ascii="Times New Roman" w:hAnsi="Times New Roman"/>
          <w:color w:val="000000" w:themeColor="text1"/>
          <w:sz w:val="16"/>
          <w:szCs w:val="16"/>
        </w:rPr>
        <w:softHyphen/>
        <w:t>го винта, втулка несущего винта, два задних рулевых винта...» После ремонта испытания были продолжены (10736).</w:t>
      </w:r>
    </w:p>
    <w:p w14:paraId="082AF1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AF4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года при при</w:t>
      </w:r>
      <w:r w:rsidRPr="007122AB">
        <w:rPr>
          <w:rFonts w:ascii="Times New Roman" w:hAnsi="Times New Roman"/>
          <w:color w:val="000000" w:themeColor="text1"/>
          <w:sz w:val="16"/>
          <w:szCs w:val="16"/>
        </w:rPr>
        <w:softHyphen/>
        <w:t>землении вертолета ЦАГИ 1-ЭА (полет проходил на высоте 15-30 м при небольшом порывистом ветре) произошла авария. Аппарат ударился хвостом и левым ко</w:t>
      </w:r>
      <w:r w:rsidRPr="007122AB">
        <w:rPr>
          <w:rFonts w:ascii="Times New Roman" w:hAnsi="Times New Roman"/>
          <w:color w:val="000000" w:themeColor="text1"/>
          <w:sz w:val="16"/>
          <w:szCs w:val="16"/>
        </w:rPr>
        <w:softHyphen/>
        <w:t>лесом, подпрыгнул на 1 м, после чего, коснувшись земли вторично, завалил</w:t>
      </w:r>
      <w:r w:rsidRPr="007122AB">
        <w:rPr>
          <w:rFonts w:ascii="Times New Roman" w:hAnsi="Times New Roman"/>
          <w:color w:val="000000" w:themeColor="text1"/>
          <w:sz w:val="16"/>
          <w:szCs w:val="16"/>
        </w:rPr>
        <w:softHyphen/>
        <w:t>ся на хвост и левую сторону. В резуль</w:t>
      </w:r>
      <w:r w:rsidRPr="007122AB">
        <w:rPr>
          <w:rFonts w:ascii="Times New Roman" w:hAnsi="Times New Roman"/>
          <w:color w:val="000000" w:themeColor="text1"/>
          <w:sz w:val="16"/>
          <w:szCs w:val="16"/>
        </w:rPr>
        <w:softHyphen/>
        <w:t>тате была сломана задняя часть фю</w:t>
      </w:r>
      <w:r w:rsidRPr="007122AB">
        <w:rPr>
          <w:rFonts w:ascii="Times New Roman" w:hAnsi="Times New Roman"/>
          <w:color w:val="000000" w:themeColor="text1"/>
          <w:sz w:val="16"/>
          <w:szCs w:val="16"/>
        </w:rPr>
        <w:softHyphen/>
        <w:t>зеляжа, пришли в негодность все ло</w:t>
      </w:r>
      <w:r w:rsidRPr="007122AB">
        <w:rPr>
          <w:rFonts w:ascii="Times New Roman" w:hAnsi="Times New Roman"/>
          <w:color w:val="000000" w:themeColor="text1"/>
          <w:sz w:val="16"/>
          <w:szCs w:val="16"/>
        </w:rPr>
        <w:softHyphen/>
        <w:t>пасти и втулка несущего винта, два задних рулевых винта. После ремонта вертолета испытания были продолжены (11401).</w:t>
      </w:r>
    </w:p>
    <w:p w14:paraId="71FFB9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9C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была серьезная авария вертолета ЭА-1 с 2 ротативными Рон, когда пробовали полет при небольшом прерывистом ветре и упали с 1 м, когда спускались с 15-30 м (2666,86).</w:t>
      </w:r>
    </w:p>
    <w:p w14:paraId="2DE9B7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3E065F" w14:textId="77777777" w:rsidR="00E454F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88759DB" w14:textId="77777777" w:rsidR="00E454FF" w:rsidRPr="007122AB" w:rsidRDefault="00E454F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8EFD67"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18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9Осс об обеспечении оборонного строительства местными строительными материалами (ГА РФ. Ф. Р?8418. Оп. 28. Д. 14а. Л. 18) (12415).</w:t>
      </w:r>
    </w:p>
    <w:p w14:paraId="779C1FE6"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p>
    <w:p w14:paraId="3B809F55" w14:textId="77777777" w:rsidR="008C3DD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506D658E" w14:textId="77777777" w:rsidR="008C3DDC" w:rsidRPr="007122AB" w:rsidRDefault="008C3DD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DDE516" w14:textId="77777777" w:rsidR="008C3DDC" w:rsidRPr="007122AB" w:rsidRDefault="008C3DD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18 мая 1931 г. Европа: СССР обсуждает план пан-Европы в Лиге Наций и предлагает заключить договор об экономическом ненападении (</w:t>
      </w:r>
      <w:r w:rsidRPr="007122AB">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4EAA3111" w14:textId="77777777" w:rsidR="008C3DDC" w:rsidRPr="007122AB" w:rsidRDefault="008C3DDC"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«План пан-Европы был передан на обсуждение так называемой европейской комиссии Лиги нации. Под давлением общественного мнения, встревоженного новыми антисоветскими планами, на заседание этой комиссии была приглашена и советская делегация. Однако по настоянию </w:t>
      </w:r>
      <w:proofErr w:type="spellStart"/>
      <w:r w:rsidRPr="007122AB">
        <w:rPr>
          <w:rFonts w:ascii="Times New Roman" w:eastAsia="Times New Roman" w:hAnsi="Times New Roman"/>
          <w:bCs/>
          <w:color w:val="000000" w:themeColor="text1"/>
          <w:sz w:val="16"/>
          <w:szCs w:val="16"/>
          <w:lang w:eastAsia="ru-RU"/>
        </w:rPr>
        <w:t>Бриана</w:t>
      </w:r>
      <w:proofErr w:type="spellEnd"/>
      <w:r w:rsidRPr="007122AB">
        <w:rPr>
          <w:rFonts w:ascii="Times New Roman" w:eastAsia="Times New Roman" w:hAnsi="Times New Roman"/>
          <w:bCs/>
          <w:color w:val="000000" w:themeColor="text1"/>
          <w:sz w:val="16"/>
          <w:szCs w:val="16"/>
          <w:lang w:eastAsia="ru-RU"/>
        </w:rPr>
        <w:t xml:space="preserve"> и его сторонников, участие СССР ограничивалось только экономической комиссией.» «Советская делегация могла принять участие в заседаниях комиссии лишь </w:t>
      </w:r>
      <w:r w:rsidRPr="007122AB">
        <w:rPr>
          <w:rFonts w:ascii="Times New Roman" w:eastAsia="Times New Roman" w:hAnsi="Times New Roman"/>
          <w:color w:val="000000" w:themeColor="text1"/>
          <w:sz w:val="16"/>
          <w:szCs w:val="16"/>
          <w:lang w:eastAsia="ru-RU"/>
        </w:rPr>
        <w:t>18 мая 1931 г.</w:t>
      </w:r>
      <w:r w:rsidRPr="007122AB">
        <w:rPr>
          <w:rFonts w:ascii="Times New Roman" w:eastAsia="Times New Roman" w:hAnsi="Times New Roman"/>
          <w:bCs/>
          <w:color w:val="000000" w:themeColor="text1"/>
          <w:sz w:val="16"/>
          <w:szCs w:val="16"/>
          <w:lang w:eastAsia="ru-RU"/>
        </w:rPr>
        <w:t xml:space="preserve"> Разоблачив в своём первом же выступлении несостоятельность и недобросовестность попыток представить экономическую политику Советского государства, в частности советский экспорт, как одни из факторов мирового экономического кризиса, она внесла в комиссию предложение заключить международный договор об экономическом ненападении.» (17325).</w:t>
      </w:r>
    </w:p>
    <w:p w14:paraId="72293C3A" w14:textId="77777777" w:rsidR="008C3DDC" w:rsidRPr="007122AB" w:rsidRDefault="008C3DDC" w:rsidP="007122AB">
      <w:pPr>
        <w:spacing w:after="0" w:line="240" w:lineRule="auto"/>
        <w:jc w:val="both"/>
        <w:rPr>
          <w:rFonts w:ascii="Times New Roman" w:hAnsi="Times New Roman"/>
          <w:color w:val="000000" w:themeColor="text1"/>
          <w:sz w:val="16"/>
          <w:szCs w:val="16"/>
        </w:rPr>
      </w:pPr>
    </w:p>
    <w:p w14:paraId="32F88238" w14:textId="77777777" w:rsidR="00C21566" w:rsidRPr="007122AB" w:rsidRDefault="00C2156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2A86FA5" w14:textId="77777777" w:rsidR="00C21566" w:rsidRPr="007122AB" w:rsidRDefault="00C2156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CFC37E" w14:textId="77777777" w:rsidR="00C21566" w:rsidRPr="007122AB" w:rsidRDefault="00C2156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19 мая 1931 г.</w:t>
      </w:r>
    </w:p>
    <w:p w14:paraId="478B753E" w14:textId="77777777" w:rsidR="00C21566" w:rsidRPr="007122AB" w:rsidRDefault="00C2156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 выдаче единовременных пособий Л. К. Рамзину «для поддержки его семьи». 19 мая 1931 г.</w:t>
      </w:r>
    </w:p>
    <w:p w14:paraId="4C1DAC68" w14:textId="77777777" w:rsidR="00C21566" w:rsidRPr="007122AB" w:rsidRDefault="00C2156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96BE64D" w14:textId="77777777" w:rsidR="00C21566" w:rsidRPr="007122AB" w:rsidRDefault="00C215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6EED9E" w14:textId="77777777" w:rsidR="00C21566" w:rsidRPr="007122AB" w:rsidRDefault="00C2156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599E917A" w14:textId="77777777" w:rsidR="00C21566" w:rsidRPr="007122AB" w:rsidRDefault="00C215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11</w:t>
      </w:r>
    </w:p>
    <w:p w14:paraId="333FCF4F" w14:textId="77777777" w:rsidR="00C21566" w:rsidRPr="007122AB" w:rsidRDefault="00C21566" w:rsidP="007122AB">
      <w:pPr>
        <w:pStyle w:val="rteright"/>
        <w:spacing w:before="0" w:after="0"/>
        <w:jc w:val="both"/>
        <w:rPr>
          <w:color w:val="000000" w:themeColor="text1"/>
          <w:sz w:val="16"/>
          <w:szCs w:val="16"/>
        </w:rPr>
      </w:pPr>
      <w:r w:rsidRPr="007122AB">
        <w:rPr>
          <w:color w:val="000000" w:themeColor="text1"/>
          <w:sz w:val="16"/>
          <w:szCs w:val="16"/>
        </w:rPr>
        <w:t>19 мая 1931 г.</w:t>
      </w:r>
    </w:p>
    <w:p w14:paraId="3200E94F" w14:textId="77777777" w:rsidR="00C21566" w:rsidRPr="007122AB" w:rsidRDefault="00C21566" w:rsidP="007122AB">
      <w:pPr>
        <w:pStyle w:val="ae"/>
        <w:spacing w:before="0" w:after="0"/>
        <w:jc w:val="both"/>
        <w:rPr>
          <w:color w:val="000000" w:themeColor="text1"/>
          <w:sz w:val="16"/>
          <w:szCs w:val="16"/>
        </w:rPr>
      </w:pPr>
      <w:r w:rsidRPr="007122AB">
        <w:rPr>
          <w:color w:val="000000" w:themeColor="text1"/>
          <w:sz w:val="16"/>
          <w:szCs w:val="16"/>
        </w:rPr>
        <w:t>НАЧ. ЭКУ ОГПУ</w:t>
      </w:r>
    </w:p>
    <w:p w14:paraId="68034CD8" w14:textId="77777777" w:rsidR="00C21566" w:rsidRPr="007122AB" w:rsidRDefault="00C21566" w:rsidP="007122AB">
      <w:pPr>
        <w:pStyle w:val="ae"/>
        <w:spacing w:before="0" w:after="0"/>
        <w:jc w:val="both"/>
        <w:rPr>
          <w:color w:val="000000" w:themeColor="text1"/>
          <w:sz w:val="16"/>
          <w:szCs w:val="16"/>
        </w:rPr>
      </w:pPr>
      <w:r w:rsidRPr="007122AB">
        <w:rPr>
          <w:color w:val="000000" w:themeColor="text1"/>
          <w:sz w:val="16"/>
          <w:szCs w:val="16"/>
        </w:rPr>
        <w:t>РАПОРТ</w:t>
      </w:r>
    </w:p>
    <w:p w14:paraId="61A7EFCE" w14:textId="77777777" w:rsidR="00C21566" w:rsidRPr="007122AB" w:rsidRDefault="00C21566" w:rsidP="007122AB">
      <w:pPr>
        <w:pStyle w:val="rtejustify"/>
        <w:spacing w:before="0" w:after="0"/>
        <w:rPr>
          <w:color w:val="000000" w:themeColor="text1"/>
          <w:sz w:val="16"/>
          <w:szCs w:val="16"/>
        </w:rPr>
      </w:pPr>
      <w:r w:rsidRPr="007122AB">
        <w:rPr>
          <w:color w:val="000000" w:themeColor="text1"/>
          <w:sz w:val="16"/>
          <w:szCs w:val="16"/>
        </w:rPr>
        <w:t>Прошу Вашего разрешения на выдачи осужден[ному] РАМЗИНУ Л. К. единовременных пособий для поддержки его семьи ежемесячно по Вашему усмотрению.</w:t>
      </w:r>
    </w:p>
    <w:p w14:paraId="02A79CEA" w14:textId="77777777" w:rsidR="00C21566" w:rsidRPr="007122AB" w:rsidRDefault="00C21566" w:rsidP="007122AB">
      <w:pPr>
        <w:pStyle w:val="rtejustify"/>
        <w:spacing w:before="0" w:after="0"/>
        <w:rPr>
          <w:color w:val="000000" w:themeColor="text1"/>
          <w:sz w:val="16"/>
          <w:szCs w:val="16"/>
        </w:rPr>
      </w:pPr>
      <w:r w:rsidRPr="007122AB">
        <w:rPr>
          <w:color w:val="000000" w:themeColor="text1"/>
          <w:sz w:val="16"/>
          <w:szCs w:val="16"/>
        </w:rPr>
        <w:t>РАМЗИН в настоящее время используется в Техн. Отд. ЭКУ ОГПУ на работе по специальности.</w:t>
      </w:r>
    </w:p>
    <w:p w14:paraId="733B5FC6" w14:textId="77777777" w:rsidR="00C21566" w:rsidRPr="007122AB" w:rsidRDefault="00C21566" w:rsidP="007122AB">
      <w:pPr>
        <w:pStyle w:val="rtejustify"/>
        <w:spacing w:before="0" w:after="0"/>
        <w:rPr>
          <w:color w:val="000000" w:themeColor="text1"/>
          <w:sz w:val="16"/>
          <w:szCs w:val="16"/>
        </w:rPr>
      </w:pPr>
      <w:r w:rsidRPr="007122AB">
        <w:rPr>
          <w:color w:val="000000" w:themeColor="text1"/>
          <w:sz w:val="16"/>
          <w:szCs w:val="16"/>
        </w:rPr>
        <w:t>Пом. Нач. ТЕХН. ОТД. ЭКУ &lt;М. Соколов&gt;</w:t>
      </w:r>
    </w:p>
    <w:p w14:paraId="47D61390" w14:textId="77777777" w:rsidR="00C21566" w:rsidRPr="007122AB" w:rsidRDefault="00C21566" w:rsidP="007122AB">
      <w:pPr>
        <w:pStyle w:val="rtejustify"/>
        <w:spacing w:before="0" w:after="0"/>
        <w:rPr>
          <w:color w:val="000000" w:themeColor="text1"/>
          <w:sz w:val="16"/>
          <w:szCs w:val="16"/>
        </w:rPr>
      </w:pPr>
      <w:r w:rsidRPr="007122AB">
        <w:rPr>
          <w:color w:val="000000" w:themeColor="text1"/>
          <w:sz w:val="16"/>
          <w:szCs w:val="16"/>
        </w:rPr>
        <w:t>«19» Мая 1931 г.</w:t>
      </w:r>
    </w:p>
    <w:p w14:paraId="7AB9439D" w14:textId="77777777" w:rsidR="00C21566" w:rsidRPr="007122AB" w:rsidRDefault="00C2156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11. Машинописный подлинник, подпись — автограф. Вверху слева рукописная помета «т. Бедняков. Зайди ко мне 21/V» (подпись неразборчива, возможно: Миронов) (19057).</w:t>
      </w:r>
    </w:p>
    <w:p w14:paraId="3063E91A" w14:textId="77777777" w:rsidR="00C21566" w:rsidRPr="007122AB" w:rsidRDefault="00C21566" w:rsidP="007122AB">
      <w:pPr>
        <w:spacing w:after="0" w:line="240" w:lineRule="auto"/>
        <w:jc w:val="both"/>
        <w:rPr>
          <w:rFonts w:ascii="Times New Roman" w:hAnsi="Times New Roman"/>
          <w:color w:val="000000" w:themeColor="text1"/>
          <w:sz w:val="16"/>
          <w:szCs w:val="16"/>
        </w:rPr>
      </w:pPr>
    </w:p>
    <w:p w14:paraId="03F26915" w14:textId="77777777" w:rsidR="0097418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5B60DEB" w14:textId="77777777" w:rsidR="00974187" w:rsidRPr="007122AB" w:rsidRDefault="0097418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40A832"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19 мая</w:t>
      </w:r>
      <w:r w:rsidRPr="007122AB">
        <w:rPr>
          <w:rFonts w:ascii="Times New Roman" w:hAnsi="Times New Roman"/>
          <w:color w:val="000000" w:themeColor="text1"/>
          <w:sz w:val="16"/>
          <w:szCs w:val="16"/>
        </w:rPr>
        <w:t xml:space="preserve"> в 1931 году, взлетел первый прототип литовского учебно-тренировочного самолета </w:t>
      </w:r>
      <w:hyperlink r:id="rId95" w:tgtFrame="_blank" w:history="1">
        <w:r w:rsidRPr="007122AB">
          <w:rPr>
            <w:rFonts w:ascii="Times New Roman" w:hAnsi="Times New Roman"/>
            <w:color w:val="000000" w:themeColor="text1"/>
            <w:sz w:val="16"/>
            <w:szCs w:val="16"/>
          </w:rPr>
          <w:t xml:space="preserve">«ANBO» V </w:t>
        </w:r>
      </w:hyperlink>
      <w:r w:rsidRPr="007122AB">
        <w:rPr>
          <w:rFonts w:ascii="Times New Roman" w:hAnsi="Times New Roman"/>
          <w:color w:val="000000" w:themeColor="text1"/>
          <w:sz w:val="16"/>
          <w:szCs w:val="16"/>
        </w:rPr>
        <w:t>с двигателем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Vega</w:t>
      </w:r>
      <w:proofErr w:type="spellEnd"/>
      <w:r w:rsidRPr="007122AB">
        <w:rPr>
          <w:rFonts w:ascii="Times New Roman" w:hAnsi="Times New Roman"/>
          <w:color w:val="000000" w:themeColor="text1"/>
          <w:sz w:val="16"/>
          <w:szCs w:val="16"/>
        </w:rPr>
        <w:t>» I. Остальные четыре серийные машины имели более мощные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Venus</w:t>
      </w:r>
      <w:proofErr w:type="spellEnd"/>
      <w:r w:rsidRPr="007122AB">
        <w:rPr>
          <w:rFonts w:ascii="Times New Roman" w:hAnsi="Times New Roman"/>
          <w:color w:val="000000" w:themeColor="text1"/>
          <w:sz w:val="16"/>
          <w:szCs w:val="16"/>
        </w:rPr>
        <w:t>» или «</w:t>
      </w:r>
      <w:proofErr w:type="spellStart"/>
      <w:r w:rsidRPr="007122AB">
        <w:rPr>
          <w:rFonts w:ascii="Times New Roman" w:hAnsi="Times New Roman"/>
          <w:color w:val="000000" w:themeColor="text1"/>
          <w:sz w:val="16"/>
          <w:szCs w:val="16"/>
        </w:rPr>
        <w:t>Armstrong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Siddeley</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Genet</w:t>
      </w:r>
      <w:proofErr w:type="spellEnd"/>
      <w:r w:rsidRPr="007122AB">
        <w:rPr>
          <w:rFonts w:ascii="Times New Roman" w:hAnsi="Times New Roman"/>
          <w:color w:val="000000" w:themeColor="text1"/>
          <w:sz w:val="16"/>
          <w:szCs w:val="16"/>
        </w:rPr>
        <w:t xml:space="preserve"> Major» мощностью 110 л.с.. «ANBO» V - учебно-тренировочный самолет, разработанный литовской фирмой «ANBO». До 1929 года летчики литовских ВВС обучались на старых немецких машинах, и поэтому остро ощущалась нехватка новых учебных самолетов. Антанас </w:t>
      </w:r>
      <w:proofErr w:type="spellStart"/>
      <w:r w:rsidRPr="007122AB">
        <w:rPr>
          <w:rFonts w:ascii="Times New Roman" w:hAnsi="Times New Roman"/>
          <w:color w:val="000000" w:themeColor="text1"/>
          <w:sz w:val="16"/>
          <w:szCs w:val="16"/>
        </w:rPr>
        <w:t>Густайтис</w:t>
      </w:r>
      <w:proofErr w:type="spellEnd"/>
      <w:r w:rsidRPr="007122AB">
        <w:rPr>
          <w:rFonts w:ascii="Times New Roman" w:hAnsi="Times New Roman"/>
          <w:color w:val="000000" w:themeColor="text1"/>
          <w:sz w:val="16"/>
          <w:szCs w:val="16"/>
        </w:rPr>
        <w:t xml:space="preserve"> на время оставил работы по ANBO-IV и стал конструировать учебный «ANBO-V». «ANBO» V использовали как самолет первоначального обучения (14896).</w:t>
      </w:r>
    </w:p>
    <w:p w14:paraId="2F814601"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0D6764EA" w14:textId="77777777" w:rsidR="00E9344B" w:rsidRPr="007122AB" w:rsidRDefault="00E9344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19 мая 1931 г. Германия построила линкор «</w:t>
      </w:r>
      <w:proofErr w:type="spellStart"/>
      <w:r w:rsidRPr="007122AB">
        <w:rPr>
          <w:rFonts w:ascii="Times New Roman" w:eastAsia="Times New Roman" w:hAnsi="Times New Roman"/>
          <w:color w:val="000000" w:themeColor="text1"/>
          <w:sz w:val="16"/>
          <w:szCs w:val="16"/>
          <w:lang w:eastAsia="ru-RU"/>
        </w:rPr>
        <w:t>Дойчланд</w:t>
      </w:r>
      <w:proofErr w:type="spellEnd"/>
      <w:r w:rsidRPr="007122AB">
        <w:rPr>
          <w:rFonts w:ascii="Times New Roman" w:eastAsia="Times New Roman" w:hAnsi="Times New Roman"/>
          <w:color w:val="000000" w:themeColor="text1"/>
          <w:sz w:val="16"/>
          <w:szCs w:val="16"/>
          <w:lang w:eastAsia="ru-RU"/>
        </w:rPr>
        <w:t>» (</w:t>
      </w:r>
      <w:proofErr w:type="spellStart"/>
      <w:r w:rsidRPr="007122AB">
        <w:rPr>
          <w:rFonts w:ascii="Times New Roman" w:eastAsia="Times New Roman" w:hAnsi="Times New Roman"/>
          <w:bCs/>
          <w:iCs/>
          <w:color w:val="000000" w:themeColor="text1"/>
          <w:sz w:val="16"/>
          <w:szCs w:val="16"/>
          <w:lang w:eastAsia="ru-RU"/>
        </w:rPr>
        <w:t>Э.Редер</w:t>
      </w:r>
      <w:proofErr w:type="spellEnd"/>
      <w:r w:rsidRPr="007122AB">
        <w:rPr>
          <w:rFonts w:ascii="Times New Roman" w:eastAsia="Times New Roman" w:hAnsi="Times New Roman"/>
          <w:bCs/>
          <w:iCs/>
          <w:color w:val="000000" w:themeColor="text1"/>
          <w:sz w:val="16"/>
          <w:szCs w:val="16"/>
          <w:lang w:eastAsia="ru-RU"/>
        </w:rPr>
        <w:t xml:space="preserve"> «Гросс-адмирал. Воспоминания ком-го ВМФ Тр.рейха.1935-1943», 1957):</w:t>
      </w:r>
    </w:p>
    <w:p w14:paraId="52972299" w14:textId="77777777" w:rsidR="00E9344B" w:rsidRPr="007122AB" w:rsidRDefault="00E9344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День </w:t>
      </w:r>
      <w:r w:rsidRPr="007122AB">
        <w:rPr>
          <w:rFonts w:ascii="Times New Roman" w:eastAsia="Times New Roman" w:hAnsi="Times New Roman"/>
          <w:color w:val="000000" w:themeColor="text1"/>
          <w:sz w:val="16"/>
          <w:szCs w:val="16"/>
          <w:lang w:eastAsia="ru-RU"/>
        </w:rPr>
        <w:t>19 мая 1931 года</w:t>
      </w:r>
      <w:r w:rsidRPr="007122AB">
        <w:rPr>
          <w:rFonts w:ascii="Times New Roman" w:eastAsia="Times New Roman" w:hAnsi="Times New Roman"/>
          <w:bCs/>
          <w:color w:val="000000" w:themeColor="text1"/>
          <w:sz w:val="16"/>
          <w:szCs w:val="16"/>
          <w:lang w:eastAsia="ru-RU"/>
        </w:rPr>
        <w:t>, когда на верфи в Киле был спущен на воду «карманный» линкор «А», получивший название «</w:t>
      </w:r>
      <w:proofErr w:type="spellStart"/>
      <w:r w:rsidRPr="007122AB">
        <w:rPr>
          <w:rFonts w:ascii="Times New Roman" w:eastAsia="Times New Roman" w:hAnsi="Times New Roman"/>
          <w:bCs/>
          <w:color w:val="000000" w:themeColor="text1"/>
          <w:sz w:val="16"/>
          <w:szCs w:val="16"/>
          <w:lang w:eastAsia="ru-RU"/>
        </w:rPr>
        <w:t>Дойчланд</w:t>
      </w:r>
      <w:proofErr w:type="spellEnd"/>
      <w:r w:rsidRPr="007122AB">
        <w:rPr>
          <w:rFonts w:ascii="Times New Roman" w:eastAsia="Times New Roman" w:hAnsi="Times New Roman"/>
          <w:bCs/>
          <w:color w:val="000000" w:themeColor="text1"/>
          <w:sz w:val="16"/>
          <w:szCs w:val="16"/>
          <w:lang w:eastAsia="ru-RU"/>
        </w:rPr>
        <w:t xml:space="preserve">», стал праздником для военно-морского флота. Канцлер </w:t>
      </w:r>
      <w:proofErr w:type="spellStart"/>
      <w:r w:rsidRPr="007122AB">
        <w:rPr>
          <w:rFonts w:ascii="Times New Roman" w:eastAsia="Times New Roman" w:hAnsi="Times New Roman"/>
          <w:bCs/>
          <w:color w:val="000000" w:themeColor="text1"/>
          <w:sz w:val="16"/>
          <w:szCs w:val="16"/>
          <w:lang w:eastAsia="ru-RU"/>
        </w:rPr>
        <w:t>Брюнинг</w:t>
      </w:r>
      <w:proofErr w:type="spellEnd"/>
      <w:r w:rsidRPr="007122AB">
        <w:rPr>
          <w:rFonts w:ascii="Times New Roman" w:eastAsia="Times New Roman" w:hAnsi="Times New Roman"/>
          <w:bCs/>
          <w:color w:val="000000" w:themeColor="text1"/>
          <w:sz w:val="16"/>
          <w:szCs w:val="16"/>
          <w:lang w:eastAsia="ru-RU"/>
        </w:rPr>
        <w:t xml:space="preserve"> в своей речи по поводу наречения линкора сказал: «Этой церемонией, за ходом которой следит весь мир, германский народ демонстрирует, что, даже будучи закованным в кандалы и при всех своих экономических проблемах он сохранил в себе способность защищать свое мирное существование и хранить свою честь… Мы добросовестно разоружились и ожидаем таких же действий от других стран, если договоры должны содержать в себе какую-либо надежду на гуманизм… Но мир не может быть достигнут принятием двух стандартов на справедливость и установлением двух уровней безопасности в сообществе наций. Мы сможем забыть о долгом периоде нашего унижения, если другие нации дадут свое согласие нам на тот же уровень национальной гордости и ту же любовь к своей стране, на которую они сами претендуют». Президент фон Гинденбург лично нарек корабль именем «</w:t>
      </w:r>
      <w:proofErr w:type="spellStart"/>
      <w:r w:rsidRPr="007122AB">
        <w:rPr>
          <w:rFonts w:ascii="Times New Roman" w:eastAsia="Times New Roman" w:hAnsi="Times New Roman"/>
          <w:bCs/>
          <w:color w:val="000000" w:themeColor="text1"/>
          <w:sz w:val="16"/>
          <w:szCs w:val="16"/>
          <w:lang w:eastAsia="ru-RU"/>
        </w:rPr>
        <w:t>Дойчланд</w:t>
      </w:r>
      <w:proofErr w:type="spellEnd"/>
      <w:r w:rsidRPr="007122AB">
        <w:rPr>
          <w:rFonts w:ascii="Times New Roman" w:eastAsia="Times New Roman" w:hAnsi="Times New Roman"/>
          <w:bCs/>
          <w:color w:val="000000" w:themeColor="text1"/>
          <w:sz w:val="16"/>
          <w:szCs w:val="16"/>
          <w:lang w:eastAsia="ru-RU"/>
        </w:rPr>
        <w:t>» и после спуска его на воду вышел в море на борту крейсера «Кенигсберг» для наблюдения за его артиллерийскими и торпедными стрельбами. На следующий день флот участвовал в больших маневрах, после которых в Киле состоялся большой парад всех кораблей флота, включая торпедные катера, минные тральщики и вспомогательные суда. В офицерской кают-компании я имел возможность от имени флота поблагодарить находящегося в почтенном возрасте президента за его визит. В своем ответном слове он в свойственной ему краткой и выразительной военной манере напомнил офицерам об их долге перед страной. Это было последнее посещение флота президентом Гинденбургом (17325).</w:t>
      </w:r>
    </w:p>
    <w:p w14:paraId="0B172D43" w14:textId="77777777" w:rsidR="00E9344B" w:rsidRPr="007122AB" w:rsidRDefault="00E9344B" w:rsidP="007122AB">
      <w:pPr>
        <w:spacing w:after="0" w:line="240" w:lineRule="auto"/>
        <w:jc w:val="both"/>
        <w:rPr>
          <w:rFonts w:ascii="Times New Roman" w:hAnsi="Times New Roman"/>
          <w:color w:val="000000" w:themeColor="text1"/>
          <w:sz w:val="16"/>
          <w:szCs w:val="16"/>
        </w:rPr>
      </w:pPr>
    </w:p>
    <w:p w14:paraId="1330297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9B3E16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DAC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мая 1931 Политбюро ЦК ВКП(б) рассмотрело выводы комиссии </w:t>
      </w:r>
      <w:proofErr w:type="spellStart"/>
      <w:r w:rsidRPr="007122AB">
        <w:rPr>
          <w:rFonts w:ascii="Times New Roman" w:hAnsi="Times New Roman"/>
          <w:color w:val="000000" w:themeColor="text1"/>
          <w:sz w:val="16"/>
          <w:szCs w:val="16"/>
        </w:rPr>
        <w:t>А.А.Андреева</w:t>
      </w:r>
      <w:proofErr w:type="spellEnd"/>
      <w:r w:rsidRPr="007122AB">
        <w:rPr>
          <w:rFonts w:ascii="Times New Roman" w:hAnsi="Times New Roman"/>
          <w:color w:val="000000" w:themeColor="text1"/>
          <w:sz w:val="16"/>
          <w:szCs w:val="16"/>
        </w:rPr>
        <w:t xml:space="preserve"> о работах ЦАГИ и признало их "совершенно неудовлетворительными как по срокам конструирования и опытной проработки образцов боевых самолетов, так и по их качеству" (1566,78).</w:t>
      </w:r>
    </w:p>
    <w:p w14:paraId="176DF8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D68134" w14:textId="77777777" w:rsidR="00F80904" w:rsidRPr="007122AB" w:rsidRDefault="00F80904" w:rsidP="007122AB">
      <w:pPr>
        <w:pStyle w:val="ae"/>
        <w:spacing w:before="0" w:after="0"/>
        <w:jc w:val="both"/>
        <w:rPr>
          <w:color w:val="000000" w:themeColor="text1"/>
          <w:sz w:val="16"/>
          <w:szCs w:val="16"/>
        </w:rPr>
      </w:pPr>
      <w:r w:rsidRPr="007122AB">
        <w:rPr>
          <w:color w:val="000000" w:themeColor="text1"/>
          <w:sz w:val="16"/>
          <w:szCs w:val="16"/>
        </w:rPr>
        <w:t>20 мая 1931 Предложения комиссии т. Андреева О ЦАГИ, утвержденные Политбюро 20 мая 1931 г. (РГАСПИ. Ф. 17. Оп. 162. Д. 10. Л. 48-50.</w:t>
      </w:r>
    </w:p>
    <w:p w14:paraId="7027A432" w14:textId="77777777" w:rsidR="00F80904" w:rsidRPr="007122AB" w:rsidRDefault="00F80904"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Приложение № 1</w:t>
      </w:r>
      <w:r w:rsidRPr="007122AB">
        <w:rPr>
          <w:rStyle w:val="af0"/>
          <w:rFonts w:ascii="Times New Roman" w:hAnsi="Times New Roman"/>
          <w:i w:val="0"/>
          <w:color w:val="000000" w:themeColor="text1"/>
          <w:sz w:val="16"/>
          <w:szCs w:val="16"/>
        </w:rPr>
        <w:noBreakHyphen/>
        <w:t>ОП к п. 30/33 (о. п.) пр. ПБ № 39</w:t>
      </w:r>
      <w:r w:rsidRPr="007122AB">
        <w:rPr>
          <w:rFonts w:ascii="Times New Roman" w:hAnsi="Times New Roman"/>
          <w:color w:val="000000" w:themeColor="text1"/>
          <w:sz w:val="16"/>
          <w:szCs w:val="16"/>
        </w:rPr>
        <w:t>) (17241).</w:t>
      </w:r>
    </w:p>
    <w:p w14:paraId="3BD2F931" w14:textId="77777777" w:rsidR="00F80904" w:rsidRPr="007122AB" w:rsidRDefault="00F80904" w:rsidP="007122AB">
      <w:pPr>
        <w:autoSpaceDE w:val="0"/>
        <w:autoSpaceDN w:val="0"/>
        <w:adjustRightInd w:val="0"/>
        <w:spacing w:after="0" w:line="240" w:lineRule="auto"/>
        <w:jc w:val="both"/>
        <w:rPr>
          <w:rFonts w:ascii="Times New Roman" w:hAnsi="Times New Roman"/>
          <w:color w:val="000000" w:themeColor="text1"/>
          <w:sz w:val="16"/>
          <w:szCs w:val="16"/>
        </w:rPr>
      </w:pPr>
    </w:p>
    <w:p w14:paraId="27AE9D5A"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20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39. Решения ПБ от 20 мая 1931 г. 30/33. О ЦАГИ (ПБ от 10 мая 1931 г., пр. № 37, п. 3/16) (Андреев, Каганович, </w:t>
      </w:r>
      <w:proofErr w:type="spellStart"/>
      <w:r w:rsidRPr="007122AB">
        <w:rPr>
          <w:rFonts w:ascii="Times New Roman" w:hAnsi="Times New Roman"/>
          <w:color w:val="000000" w:themeColor="text1"/>
          <w:sz w:val="16"/>
          <w:szCs w:val="16"/>
          <w:u w:color="002060"/>
        </w:rPr>
        <w:t>Межлаук</w:t>
      </w:r>
      <w:proofErr w:type="spellEnd"/>
      <w:r w:rsidRPr="007122AB">
        <w:rPr>
          <w:rFonts w:ascii="Times New Roman" w:hAnsi="Times New Roman"/>
          <w:color w:val="000000" w:themeColor="text1"/>
          <w:sz w:val="16"/>
          <w:szCs w:val="16"/>
          <w:u w:color="002060"/>
        </w:rPr>
        <w:t xml:space="preserve">, </w:t>
      </w:r>
      <w:proofErr w:type="spellStart"/>
      <w:r w:rsidRPr="007122AB">
        <w:rPr>
          <w:rFonts w:ascii="Times New Roman" w:hAnsi="Times New Roman"/>
          <w:color w:val="000000" w:themeColor="text1"/>
          <w:sz w:val="16"/>
          <w:szCs w:val="16"/>
          <w:u w:color="002060"/>
        </w:rPr>
        <w:t>Павлуновский</w:t>
      </w:r>
      <w:proofErr w:type="spellEnd"/>
      <w:r w:rsidRPr="007122AB">
        <w:rPr>
          <w:rFonts w:ascii="Times New Roman" w:hAnsi="Times New Roman"/>
          <w:color w:val="000000" w:themeColor="text1"/>
          <w:sz w:val="16"/>
          <w:szCs w:val="16"/>
          <w:u w:color="002060"/>
        </w:rPr>
        <w:t xml:space="preserve">, </w:t>
      </w:r>
      <w:proofErr w:type="spellStart"/>
      <w:r w:rsidRPr="007122AB">
        <w:rPr>
          <w:rFonts w:ascii="Times New Roman" w:hAnsi="Times New Roman"/>
          <w:color w:val="000000" w:themeColor="text1"/>
          <w:sz w:val="16"/>
          <w:szCs w:val="16"/>
          <w:u w:color="002060"/>
        </w:rPr>
        <w:t>Близниченко</w:t>
      </w:r>
      <w:proofErr w:type="spellEnd"/>
      <w:r w:rsidRPr="007122AB">
        <w:rPr>
          <w:rFonts w:ascii="Times New Roman" w:hAnsi="Times New Roman"/>
          <w:color w:val="000000" w:themeColor="text1"/>
          <w:sz w:val="16"/>
          <w:szCs w:val="16"/>
          <w:u w:color="002060"/>
        </w:rPr>
        <w:t>, Прокофьев, Баранов). — ОП. Постановили: а) утвердить проект постановления, представленный комиссией т. Андреева (см. приложение); б) поручить секретариату ЦК срочно подыскать кандидатуру на пост директора ЦАГИ. (Политбюро... Т. 2. С. 169; РГАСПИ. Ф. 17. Оп. 162. Д. 10. Л. 45) (12416).</w:t>
      </w:r>
    </w:p>
    <w:p w14:paraId="70D74349" w14:textId="77777777" w:rsidR="00E454FF" w:rsidRPr="007122AB" w:rsidRDefault="00E454FF" w:rsidP="007122AB">
      <w:pPr>
        <w:spacing w:after="0" w:line="240" w:lineRule="auto"/>
        <w:jc w:val="both"/>
        <w:rPr>
          <w:rFonts w:ascii="Times New Roman" w:hAnsi="Times New Roman"/>
          <w:color w:val="000000" w:themeColor="text1"/>
          <w:sz w:val="16"/>
          <w:szCs w:val="16"/>
          <w:u w:color="002060"/>
        </w:rPr>
      </w:pPr>
    </w:p>
    <w:p w14:paraId="0D3D2D33" w14:textId="77777777" w:rsidR="00C21566" w:rsidRPr="007122AB" w:rsidRDefault="00C215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мая 1931 г. благодаря активным действиям начальника ЦАГИ Н. М. Харламова и главного конструктора А. Н. Туполева правительство приняло решение о строительстве нового авиационного центра. После предварительных проработок был установлен масштаб сооружений, эти соображения рассмотрел ЦК ВКП(б) вынес решение о выводе ЦАГИ из Москвы. Необходимо было составить задание, смету и подыскать площадку под новые сооружения. При поиске площадки требовалось учитывать размещение научно-исследовательских лабораторий (больших и малых аэродинамических труб, лабораторий по изучению статической и динамической прочности </w:t>
      </w:r>
      <w:proofErr w:type="spellStart"/>
      <w:r w:rsidRPr="007122AB">
        <w:rPr>
          <w:rFonts w:ascii="Times New Roman" w:hAnsi="Times New Roman"/>
          <w:color w:val="000000" w:themeColor="text1"/>
          <w:sz w:val="16"/>
          <w:szCs w:val="16"/>
        </w:rPr>
        <w:t>авиаконструкций</w:t>
      </w:r>
      <w:proofErr w:type="spellEnd"/>
      <w:r w:rsidRPr="007122AB">
        <w:rPr>
          <w:rFonts w:ascii="Times New Roman" w:hAnsi="Times New Roman"/>
          <w:color w:val="000000" w:themeColor="text1"/>
          <w:sz w:val="16"/>
          <w:szCs w:val="16"/>
        </w:rPr>
        <w:t xml:space="preserve">, высотной лаборатории, лаборатории вооружения и т.д.), завода опытных конструкций, летного сектора с аэродромом и </w:t>
      </w:r>
      <w:proofErr w:type="spellStart"/>
      <w:r w:rsidRPr="007122AB">
        <w:rPr>
          <w:rFonts w:ascii="Times New Roman" w:hAnsi="Times New Roman"/>
          <w:color w:val="000000" w:themeColor="text1"/>
          <w:sz w:val="16"/>
          <w:szCs w:val="16"/>
        </w:rPr>
        <w:t>гидродромом</w:t>
      </w:r>
      <w:proofErr w:type="spellEnd"/>
      <w:r w:rsidRPr="007122AB">
        <w:rPr>
          <w:rFonts w:ascii="Times New Roman" w:hAnsi="Times New Roman"/>
          <w:color w:val="000000" w:themeColor="text1"/>
          <w:sz w:val="16"/>
          <w:szCs w:val="16"/>
        </w:rPr>
        <w:t xml:space="preserve"> (на что обращалось особое внимание), производственных и вспомогательных сооружений, жилого и бытового сектора. Количество работников после ввода в эксплуатацию всех сооружений в то время </w:t>
      </w:r>
      <w:proofErr w:type="spellStart"/>
      <w:r w:rsidRPr="007122AB">
        <w:rPr>
          <w:rFonts w:ascii="Times New Roman" w:hAnsi="Times New Roman"/>
          <w:color w:val="000000" w:themeColor="text1"/>
          <w:sz w:val="16"/>
          <w:szCs w:val="16"/>
        </w:rPr>
        <w:t>ориен</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тировочно</w:t>
      </w:r>
      <w:proofErr w:type="spellEnd"/>
      <w:r w:rsidRPr="007122AB">
        <w:rPr>
          <w:rFonts w:ascii="Times New Roman" w:hAnsi="Times New Roman"/>
          <w:color w:val="000000" w:themeColor="text1"/>
          <w:sz w:val="16"/>
          <w:szCs w:val="16"/>
        </w:rPr>
        <w:t xml:space="preserve"> определялось в 15 000 человек, городок рассчитывался на проживание 40—50 тыс. человек (учитывая членов семей работников). Начиная с 1931 г. для уточнения основных элементов контуров новых аэродинамических труб (АДТ) и схем оборудования строились их модели и проводились систематические научно-исследовательские работы. Изучались материалы по расчету потерь в АДТ, определялись допустимая степень расширения, потери и распределение давлений к коленах трубы, исследовалась эффективность поворотных лопаток, их число и расположение, влияние </w:t>
      </w:r>
      <w:proofErr w:type="spellStart"/>
      <w:r w:rsidRPr="007122AB">
        <w:rPr>
          <w:rFonts w:ascii="Times New Roman" w:hAnsi="Times New Roman"/>
          <w:color w:val="000000" w:themeColor="text1"/>
          <w:sz w:val="16"/>
          <w:szCs w:val="16"/>
        </w:rPr>
        <w:t>форкамер</w:t>
      </w:r>
      <w:proofErr w:type="spellEnd"/>
      <w:r w:rsidRPr="007122AB">
        <w:rPr>
          <w:rFonts w:ascii="Times New Roman" w:hAnsi="Times New Roman"/>
          <w:color w:val="000000" w:themeColor="text1"/>
          <w:sz w:val="16"/>
          <w:szCs w:val="16"/>
        </w:rPr>
        <w:t xml:space="preserve"> на качество потока, влияние формы сопла на распределение скоростей, скосов и давлений, разрабатывались мероприятия по борьбе с пульсациями давления потока и т.д. Кроме постройки отдельных элементов труб и их моделей, были созданы специальные приборы и аппаратура, что позволило в дальнейшем существенно сократить </w:t>
      </w:r>
      <w:r w:rsidRPr="007122AB">
        <w:rPr>
          <w:rFonts w:ascii="Times New Roman" w:hAnsi="Times New Roman"/>
          <w:color w:val="000000" w:themeColor="text1"/>
          <w:sz w:val="16"/>
          <w:szCs w:val="16"/>
        </w:rPr>
        <w:lastRenderedPageBreak/>
        <w:t xml:space="preserve">сроки исследования и наладки потоков в трубах Т-101 и Т-104. Для разработки проекта в начале 1933 г. было создано Бюро реконструкции ЦАГИ, начальником которого назначили Б. Я. Кузнецова. Разработку зданий и проектов консультировал Б. Н. Юрьев. </w:t>
      </w:r>
      <w:proofErr w:type="spellStart"/>
      <w:r w:rsidRPr="007122AB">
        <w:rPr>
          <w:rFonts w:ascii="Times New Roman" w:hAnsi="Times New Roman"/>
          <w:color w:val="000000" w:themeColor="text1"/>
          <w:sz w:val="16"/>
          <w:szCs w:val="16"/>
        </w:rPr>
        <w:t>Наблю</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дение</w:t>
      </w:r>
      <w:proofErr w:type="spellEnd"/>
      <w:r w:rsidRPr="007122AB">
        <w:rPr>
          <w:rFonts w:ascii="Times New Roman" w:hAnsi="Times New Roman"/>
          <w:color w:val="000000" w:themeColor="text1"/>
          <w:sz w:val="16"/>
          <w:szCs w:val="16"/>
        </w:rPr>
        <w:t xml:space="preserve"> за строительством и проектирование специального оборудования возложили на соответствующие организации, созданные в отделах института. Требовалось все оборудование изготовить в Совет - </w:t>
      </w:r>
      <w:proofErr w:type="spellStart"/>
      <w:r w:rsidRPr="007122AB">
        <w:rPr>
          <w:rFonts w:ascii="Times New Roman" w:hAnsi="Times New Roman"/>
          <w:color w:val="000000" w:themeColor="text1"/>
          <w:sz w:val="16"/>
          <w:szCs w:val="16"/>
        </w:rPr>
        <w:t>ском</w:t>
      </w:r>
      <w:proofErr w:type="spellEnd"/>
      <w:r w:rsidRPr="007122AB">
        <w:rPr>
          <w:rFonts w:ascii="Times New Roman" w:hAnsi="Times New Roman"/>
          <w:color w:val="000000" w:themeColor="text1"/>
          <w:sz w:val="16"/>
          <w:szCs w:val="16"/>
        </w:rPr>
        <w:t xml:space="preserve"> Союзе, надо было не только разработать технические задания проектным организациям, но и в значительной мере выполнить ряд проектов установок, изготовить и смонтировать их. Все эти работы сосредоточили в Бюро технологического проектирования, куда перевели некоторых руководящих работников института. Аэродинамические контуры труб, расчеты и наладку выполняли Г. Н. Абрамович, К. К. Баулин, И. Е. </w:t>
      </w:r>
      <w:proofErr w:type="spellStart"/>
      <w:r w:rsidRPr="007122AB">
        <w:rPr>
          <w:rFonts w:ascii="Times New Roman" w:hAnsi="Times New Roman"/>
          <w:color w:val="000000" w:themeColor="text1"/>
          <w:sz w:val="16"/>
          <w:szCs w:val="16"/>
        </w:rPr>
        <w:t>Идельчик</w:t>
      </w:r>
      <w:proofErr w:type="spellEnd"/>
      <w:r w:rsidRPr="007122AB">
        <w:rPr>
          <w:rFonts w:ascii="Times New Roman" w:hAnsi="Times New Roman"/>
          <w:color w:val="000000" w:themeColor="text1"/>
          <w:sz w:val="16"/>
          <w:szCs w:val="16"/>
        </w:rPr>
        <w:t xml:space="preserve"> и А. Т. Стрельцов. Во - про сами вибраций труб занималась бригада под руководством С. П. Стрелкова, аэродинамические весы для всех труб проектировали Г. М. </w:t>
      </w:r>
      <w:proofErr w:type="spellStart"/>
      <w:r w:rsidRPr="007122AB">
        <w:rPr>
          <w:rFonts w:ascii="Times New Roman" w:hAnsi="Times New Roman"/>
          <w:color w:val="000000" w:themeColor="text1"/>
          <w:sz w:val="16"/>
          <w:szCs w:val="16"/>
        </w:rPr>
        <w:t>Мусинянц</w:t>
      </w:r>
      <w:proofErr w:type="spellEnd"/>
      <w:r w:rsidRPr="007122AB">
        <w:rPr>
          <w:rFonts w:ascii="Times New Roman" w:hAnsi="Times New Roman"/>
          <w:color w:val="000000" w:themeColor="text1"/>
          <w:sz w:val="16"/>
          <w:szCs w:val="16"/>
        </w:rPr>
        <w:t xml:space="preserve">, Г. В. Ми </w:t>
      </w:r>
      <w:proofErr w:type="spellStart"/>
      <w:r w:rsidRPr="007122AB">
        <w:rPr>
          <w:rFonts w:ascii="Times New Roman" w:hAnsi="Times New Roman"/>
          <w:color w:val="000000" w:themeColor="text1"/>
          <w:sz w:val="16"/>
          <w:szCs w:val="16"/>
        </w:rPr>
        <w:t>клашевский</w:t>
      </w:r>
      <w:proofErr w:type="spellEnd"/>
      <w:r w:rsidRPr="007122AB">
        <w:rPr>
          <w:rFonts w:ascii="Times New Roman" w:hAnsi="Times New Roman"/>
          <w:color w:val="000000" w:themeColor="text1"/>
          <w:sz w:val="16"/>
          <w:szCs w:val="16"/>
        </w:rPr>
        <w:t xml:space="preserve">, М. В. Глазер, К. А. Колмаков, В. В. Бе </w:t>
      </w:r>
      <w:proofErr w:type="spellStart"/>
      <w:r w:rsidRPr="007122AB">
        <w:rPr>
          <w:rFonts w:ascii="Times New Roman" w:hAnsi="Times New Roman"/>
          <w:color w:val="000000" w:themeColor="text1"/>
          <w:sz w:val="16"/>
          <w:szCs w:val="16"/>
        </w:rPr>
        <w:t>ло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стоцкий</w:t>
      </w:r>
      <w:proofErr w:type="spellEnd"/>
      <w:r w:rsidRPr="007122AB">
        <w:rPr>
          <w:rFonts w:ascii="Times New Roman" w:hAnsi="Times New Roman"/>
          <w:color w:val="000000" w:themeColor="text1"/>
          <w:sz w:val="16"/>
          <w:szCs w:val="16"/>
        </w:rPr>
        <w:t>, Б. А. Талалай. Вентиляторные установки труб спроектировали и смонтировали К. А. Ушаков, А. Н. </w:t>
      </w:r>
      <w:proofErr w:type="spellStart"/>
      <w:r w:rsidRPr="007122AB">
        <w:rPr>
          <w:rFonts w:ascii="Times New Roman" w:hAnsi="Times New Roman"/>
          <w:color w:val="000000" w:themeColor="text1"/>
          <w:sz w:val="16"/>
          <w:szCs w:val="16"/>
        </w:rPr>
        <w:t>Глюске</w:t>
      </w:r>
      <w:proofErr w:type="spellEnd"/>
      <w:r w:rsidRPr="007122AB">
        <w:rPr>
          <w:rFonts w:ascii="Times New Roman" w:hAnsi="Times New Roman"/>
          <w:color w:val="000000" w:themeColor="text1"/>
          <w:sz w:val="16"/>
          <w:szCs w:val="16"/>
        </w:rPr>
        <w:t xml:space="preserve">, Л. М. Кокорев. В радиусе 150—250 км обследовали районы, окружающие Москву: </w:t>
      </w:r>
      <w:proofErr w:type="spellStart"/>
      <w:r w:rsidRPr="007122AB">
        <w:rPr>
          <w:rFonts w:ascii="Times New Roman" w:hAnsi="Times New Roman"/>
          <w:color w:val="000000" w:themeColor="text1"/>
          <w:sz w:val="16"/>
          <w:szCs w:val="16"/>
        </w:rPr>
        <w:t>Сенежское</w:t>
      </w:r>
      <w:proofErr w:type="spellEnd"/>
      <w:r w:rsidRPr="007122AB">
        <w:rPr>
          <w:rFonts w:ascii="Times New Roman" w:hAnsi="Times New Roman"/>
          <w:color w:val="000000" w:themeColor="text1"/>
          <w:sz w:val="16"/>
          <w:szCs w:val="16"/>
        </w:rPr>
        <w:t xml:space="preserve"> озеро, </w:t>
      </w:r>
      <w:proofErr w:type="spellStart"/>
      <w:r w:rsidRPr="007122AB">
        <w:rPr>
          <w:rFonts w:ascii="Times New Roman" w:hAnsi="Times New Roman"/>
          <w:color w:val="000000" w:themeColor="text1"/>
          <w:sz w:val="16"/>
          <w:szCs w:val="16"/>
        </w:rPr>
        <w:t>Тростинское</w:t>
      </w:r>
      <w:proofErr w:type="spellEnd"/>
      <w:r w:rsidRPr="007122AB">
        <w:rPr>
          <w:rFonts w:ascii="Times New Roman" w:hAnsi="Times New Roman"/>
          <w:color w:val="000000" w:themeColor="text1"/>
          <w:sz w:val="16"/>
          <w:szCs w:val="16"/>
        </w:rPr>
        <w:t xml:space="preserve"> озеро, Подольск, Дубровицы, Пушкино, Щелково, Плещеево озеро, Раменское и </w:t>
      </w:r>
      <w:proofErr w:type="spellStart"/>
      <w:r w:rsidRPr="007122AB">
        <w:rPr>
          <w:rFonts w:ascii="Times New Roman" w:hAnsi="Times New Roman"/>
          <w:color w:val="000000" w:themeColor="text1"/>
          <w:sz w:val="16"/>
          <w:szCs w:val="16"/>
        </w:rPr>
        <w:t>Иваньково</w:t>
      </w:r>
      <w:proofErr w:type="spellEnd"/>
      <w:r w:rsidRPr="007122AB">
        <w:rPr>
          <w:rFonts w:ascii="Times New Roman" w:hAnsi="Times New Roman"/>
          <w:color w:val="000000" w:themeColor="text1"/>
          <w:sz w:val="16"/>
          <w:szCs w:val="16"/>
        </w:rPr>
        <w:t>. Район Раменское между станциями Ильинское — Кратово Ленинской железной дороги признали наилучшим и летом 1933 г. здесь приступили к строительству временного жилья, дорог, аэродрома и плотины (19727).</w:t>
      </w:r>
    </w:p>
    <w:p w14:paraId="7EFBC3BB" w14:textId="77777777" w:rsidR="00C21566" w:rsidRPr="007122AB" w:rsidRDefault="00C21566" w:rsidP="007122AB">
      <w:pPr>
        <w:spacing w:after="0" w:line="240" w:lineRule="auto"/>
        <w:jc w:val="both"/>
        <w:rPr>
          <w:rFonts w:ascii="Times New Roman" w:hAnsi="Times New Roman"/>
          <w:color w:val="000000" w:themeColor="text1"/>
          <w:sz w:val="16"/>
          <w:szCs w:val="16"/>
        </w:rPr>
      </w:pPr>
    </w:p>
    <w:p w14:paraId="1B90E4B5"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 1931 г. — Постановление Политбюро ЦК ВКП(б) «О ЦАГИ»</w:t>
      </w:r>
    </w:p>
    <w:p w14:paraId="20A2AC54"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1. Несмотря на то что за последние годы достигнуты значительные успехи по превращению маленькой исследовательской ячейки ЦАГИ, зародившейся в 1923 г., в крупный, серьезный, оборудованный по последнему слову техники исследовательский институт, что поставило его в ряды первых мест среди научно-исследовательских институтов мира, однако результаты опытных работ ЦАГИ являются крайне неудовлетворительными, что выражается в медленных темпах конструирования и строительства опытных машин, в отсутствии системы связи между конструированием машин и их вооружением, в результате чего сконструированные машины зачастую оказываются мало удовлетворительными для оборонных целей, в недостаточной проработке сырьевых баз и возможностей </w:t>
      </w:r>
      <w:proofErr w:type="spellStart"/>
      <w:r w:rsidRPr="007122AB">
        <w:rPr>
          <w:color w:val="000000" w:themeColor="text1"/>
          <w:sz w:val="16"/>
          <w:szCs w:val="16"/>
        </w:rPr>
        <w:t>суррогатирования</w:t>
      </w:r>
      <w:proofErr w:type="spellEnd"/>
      <w:r w:rsidRPr="007122AB">
        <w:rPr>
          <w:color w:val="000000" w:themeColor="text1"/>
          <w:sz w:val="16"/>
          <w:szCs w:val="16"/>
        </w:rPr>
        <w:t xml:space="preserve"> </w:t>
      </w:r>
      <w:proofErr w:type="spellStart"/>
      <w:r w:rsidRPr="007122AB">
        <w:rPr>
          <w:color w:val="000000" w:themeColor="text1"/>
          <w:sz w:val="16"/>
          <w:szCs w:val="16"/>
        </w:rPr>
        <w:t>авиаматериалов</w:t>
      </w:r>
      <w:proofErr w:type="spellEnd"/>
      <w:r w:rsidRPr="007122AB">
        <w:rPr>
          <w:color w:val="000000" w:themeColor="text1"/>
          <w:sz w:val="16"/>
          <w:szCs w:val="16"/>
        </w:rPr>
        <w:t>.</w:t>
      </w:r>
    </w:p>
    <w:p w14:paraId="1BB9CB50"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2. Общим недостатком работ ЦАГИ считать чрезвычайно медленные темпы конструирования и постройки опытных самолетов. Постройка самолетов затягивается на 2</w:t>
      </w:r>
      <w:r w:rsidRPr="007122AB">
        <w:rPr>
          <w:color w:val="000000" w:themeColor="text1"/>
          <w:sz w:val="16"/>
          <w:szCs w:val="16"/>
        </w:rPr>
        <w:noBreakHyphen/>
        <w:t>3 года. Медленные темпы приводят к тому, что конструирование и постройка дают уже устаревающие машины.</w:t>
      </w:r>
    </w:p>
    <w:p w14:paraId="41B989C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3. Центральным недостатком в работе ЦАГИ является неправильный подход к конструированию самолетов, когда основной упор берется на создание хорошей летной машины без достаточного учета необходимых качеств самолета как боевой машины, что приводит к тому, что в построенных самолетах и бомбовозах не оказывается достаточных условий для вооружения и быстрого маневрирования в боевой обстановке.</w:t>
      </w:r>
    </w:p>
    <w:p w14:paraId="05E6E58B"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4. Констатировать, что на опытном заводе наряду с работой по строительству самолетов из лучших материалов, из которых они строятся за границей, не изыскивались достаточно способы </w:t>
      </w:r>
      <w:proofErr w:type="spellStart"/>
      <w:r w:rsidRPr="007122AB">
        <w:rPr>
          <w:color w:val="000000" w:themeColor="text1"/>
          <w:sz w:val="16"/>
          <w:szCs w:val="16"/>
        </w:rPr>
        <w:t>суррогатирования</w:t>
      </w:r>
      <w:proofErr w:type="spellEnd"/>
      <w:r w:rsidRPr="007122AB">
        <w:rPr>
          <w:color w:val="000000" w:themeColor="text1"/>
          <w:sz w:val="16"/>
          <w:szCs w:val="16"/>
        </w:rPr>
        <w:t xml:space="preserve"> материалов для постройки наших самолетов другими материалами.</w:t>
      </w:r>
    </w:p>
    <w:p w14:paraId="0600C7F6"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5. Слабое руководство и недостаточное внимание руководящих организаций к ЦАГИ привело к тому, что при подборе кадров институт оказался засорен чуждыми, а зачастую прямо враждебными элементами.</w:t>
      </w:r>
    </w:p>
    <w:p w14:paraId="6703E04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6. В целях быстрого устранения имеющихся недостатков, улучшения работы ЦАГИ и превращения ЦАГИ в действительно ведущий научно-исследовательский институт в области самолетостроения считать необходимым:</w:t>
      </w:r>
    </w:p>
    <w:p w14:paraId="1ABF578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а) решительно сократить срок конструирования и ускорить темпы выпуска опытных и серийных машин, перестроив работу конструкторского бюро с тем, чтобы максимально использовать имеющихся в ЦАГИ 300 инженеров, обеспечивая их инициативу и самодеятельность на конструкторской работе, тем самым рост конструкторских кадров;</w:t>
      </w:r>
    </w:p>
    <w:p w14:paraId="398D0904"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б) каждый проект конструкции должен иметь строго установленный календарный план продолжительности работ как конструирования опытных самолетов, так и переход их в серийное производство, причем необходимо добиться действительного осуществления ранее данной Политбюро директивы о сроке, не превышающего 6</w:t>
      </w:r>
      <w:r w:rsidRPr="007122AB">
        <w:rPr>
          <w:color w:val="000000" w:themeColor="text1"/>
          <w:sz w:val="16"/>
          <w:szCs w:val="16"/>
        </w:rPr>
        <w:noBreakHyphen/>
        <w:t>8 месяцев от начала проектирования до окончания постройки опытного образца самолета;</w:t>
      </w:r>
    </w:p>
    <w:p w14:paraId="729FC2C8"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в) в своей опытно-конструкторской работе ЦАГИ должен исходить из создания боевой машины, вполне отвечающей требованиям современной военной техники;</w:t>
      </w:r>
    </w:p>
    <w:p w14:paraId="760054CF"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г) сохранить полностью порядок предварительного утверждения всех проектов УВЭС и моделей Реввоенсоветом, усилив роль секции вооружения ЦАГИ как при разработке проектов, так и при постройке самолетов;</w:t>
      </w:r>
    </w:p>
    <w:p w14:paraId="05C2879B"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д) секция вооружения ЦАГИ существует как самостоятельная ячейка, не подчиняющаяся конструкторскому бюро. На секцию вооружения возложить обязанность участия во всех конструкторских работах с первого момента разработки проектов с задачей обеспечения такой конструкции, которая целиком обеспечила бы наиболее совершенное вооружение машины.</w:t>
      </w:r>
    </w:p>
    <w:p w14:paraId="12D90946"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В случае разногласий секция вооружения должна своевременно без задержки темпов конструкции ставить вопрос перед директором.</w:t>
      </w:r>
    </w:p>
    <w:p w14:paraId="2B456C3E"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7. Развернуть внутри ЦАГИ дело опытного применения новых </w:t>
      </w:r>
      <w:proofErr w:type="spellStart"/>
      <w:r w:rsidRPr="007122AB">
        <w:rPr>
          <w:color w:val="000000" w:themeColor="text1"/>
          <w:sz w:val="16"/>
          <w:szCs w:val="16"/>
        </w:rPr>
        <w:t>авиаматериалов</w:t>
      </w:r>
      <w:proofErr w:type="spellEnd"/>
      <w:r w:rsidRPr="007122AB">
        <w:rPr>
          <w:color w:val="000000" w:themeColor="text1"/>
          <w:sz w:val="16"/>
          <w:szCs w:val="16"/>
        </w:rPr>
        <w:t xml:space="preserve">, поставив задачей ЦАГИ в кратчайший срок добиться опытным путем замены целого ряда импортных материалов материалами советского производства (нержавеющая сталь, колеса, оси, шасси), а также всемерное развертывание работы по </w:t>
      </w:r>
      <w:proofErr w:type="spellStart"/>
      <w:r w:rsidRPr="007122AB">
        <w:rPr>
          <w:color w:val="000000" w:themeColor="text1"/>
          <w:sz w:val="16"/>
          <w:szCs w:val="16"/>
        </w:rPr>
        <w:t>суррогатированию</w:t>
      </w:r>
      <w:proofErr w:type="spellEnd"/>
      <w:r w:rsidRPr="007122AB">
        <w:rPr>
          <w:color w:val="000000" w:themeColor="text1"/>
          <w:sz w:val="16"/>
          <w:szCs w:val="16"/>
        </w:rPr>
        <w:t xml:space="preserve"> материалов в максимальных размерах и применению их в промышленности. Обязать директора ЦАГИ через 3 месяца доложить о результатах.</w:t>
      </w:r>
    </w:p>
    <w:p w14:paraId="215647A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8. Обязать ЦАГИ ввести в опытную постройку самолетов, 2</w:t>
      </w:r>
      <w:r w:rsidRPr="007122AB">
        <w:rPr>
          <w:color w:val="000000" w:themeColor="text1"/>
          <w:sz w:val="16"/>
          <w:szCs w:val="16"/>
        </w:rPr>
        <w:noBreakHyphen/>
        <w:t>3 машин, одновременно из материалов, которые применяются за границей, и из материалов советского производства.</w:t>
      </w:r>
    </w:p>
    <w:p w14:paraId="06070C2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9. ВСНХ в месячный срок разработать и доложить в СТО вопрос о создании специального завода </w:t>
      </w:r>
      <w:proofErr w:type="spellStart"/>
      <w:r w:rsidRPr="007122AB">
        <w:rPr>
          <w:color w:val="000000" w:themeColor="text1"/>
          <w:sz w:val="16"/>
          <w:szCs w:val="16"/>
        </w:rPr>
        <w:t>авиастали</w:t>
      </w:r>
      <w:proofErr w:type="spellEnd"/>
      <w:r w:rsidRPr="007122AB">
        <w:rPr>
          <w:color w:val="000000" w:themeColor="text1"/>
          <w:sz w:val="16"/>
          <w:szCs w:val="16"/>
        </w:rPr>
        <w:t>.</w:t>
      </w:r>
    </w:p>
    <w:p w14:paraId="57695EF9"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10. Для обеспечения непосредственной связи ЦАГИ с авиапромышленностью передать ЦАГИ из ведения Наркомвоенмора в ведение ВСНХ СССР. Установить, что начальник ЦАГИ одновременно является помощником директора ВАО.</w:t>
      </w:r>
    </w:p>
    <w:p w14:paraId="006D6282"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11. Ввиду особой важности ЦАГИ считать необходимым в течение ближайших 3</w:t>
      </w:r>
      <w:r w:rsidRPr="007122AB">
        <w:rPr>
          <w:color w:val="000000" w:themeColor="text1"/>
          <w:sz w:val="16"/>
          <w:szCs w:val="16"/>
        </w:rPr>
        <w:noBreakHyphen/>
        <w:t>х месяцев укрепить руководящий и весь остальной состав ЦАГИ за счет удаления из ЦАГИ негодных как по деловым, так и по политическим качествам сотрудников, а также за счет укрепления ЦАГИ новыми работниками.</w:t>
      </w:r>
    </w:p>
    <w:p w14:paraId="7F68C5DA"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Поручить директору ЦАГИ совместно с т. </w:t>
      </w:r>
      <w:hyperlink r:id="rId96" w:history="1">
        <w:r w:rsidRPr="007122AB">
          <w:rPr>
            <w:color w:val="000000" w:themeColor="text1"/>
            <w:sz w:val="16"/>
            <w:szCs w:val="16"/>
          </w:rPr>
          <w:t>Прокофьевым</w:t>
        </w:r>
      </w:hyperlink>
      <w:r w:rsidRPr="007122AB">
        <w:rPr>
          <w:color w:val="000000" w:themeColor="text1"/>
          <w:sz w:val="16"/>
          <w:szCs w:val="16"/>
        </w:rPr>
        <w:t xml:space="preserve">, </w:t>
      </w:r>
      <w:hyperlink r:id="rId97" w:history="1">
        <w:r w:rsidRPr="007122AB">
          <w:rPr>
            <w:color w:val="000000" w:themeColor="text1"/>
            <w:sz w:val="16"/>
            <w:szCs w:val="16"/>
          </w:rPr>
          <w:t>Александровым</w:t>
        </w:r>
      </w:hyperlink>
      <w:r w:rsidRPr="007122AB">
        <w:rPr>
          <w:color w:val="000000" w:themeColor="text1"/>
          <w:sz w:val="16"/>
          <w:szCs w:val="16"/>
        </w:rPr>
        <w:t xml:space="preserve">, </w:t>
      </w:r>
      <w:hyperlink r:id="rId98" w:history="1">
        <w:r w:rsidRPr="007122AB">
          <w:rPr>
            <w:color w:val="000000" w:themeColor="text1"/>
            <w:sz w:val="16"/>
            <w:szCs w:val="16"/>
          </w:rPr>
          <w:t>Гай</w:t>
        </w:r>
      </w:hyperlink>
      <w:r w:rsidRPr="007122AB">
        <w:rPr>
          <w:color w:val="000000" w:themeColor="text1"/>
          <w:sz w:val="16"/>
          <w:szCs w:val="16"/>
        </w:rPr>
        <w:t xml:space="preserve">, </w:t>
      </w:r>
      <w:hyperlink r:id="rId99" w:history="1">
        <w:proofErr w:type="spellStart"/>
        <w:r w:rsidRPr="007122AB">
          <w:rPr>
            <w:color w:val="000000" w:themeColor="text1"/>
            <w:sz w:val="16"/>
            <w:szCs w:val="16"/>
          </w:rPr>
          <w:t>Близниченко</w:t>
        </w:r>
        <w:proofErr w:type="spellEnd"/>
      </w:hyperlink>
      <w:r w:rsidRPr="007122AB">
        <w:rPr>
          <w:color w:val="000000" w:themeColor="text1"/>
          <w:sz w:val="16"/>
          <w:szCs w:val="16"/>
        </w:rPr>
        <w:t xml:space="preserve"> и </w:t>
      </w:r>
      <w:hyperlink r:id="rId100" w:history="1">
        <w:r w:rsidRPr="007122AB">
          <w:rPr>
            <w:color w:val="000000" w:themeColor="text1"/>
            <w:sz w:val="16"/>
            <w:szCs w:val="16"/>
          </w:rPr>
          <w:t>Хрущевым</w:t>
        </w:r>
      </w:hyperlink>
      <w:r w:rsidRPr="007122AB">
        <w:rPr>
          <w:color w:val="000000" w:themeColor="text1"/>
          <w:sz w:val="16"/>
          <w:szCs w:val="16"/>
        </w:rPr>
        <w:t xml:space="preserve"> провести эту работу в течение 3 месяцев, проводя ее в порядке органической работы, без объявления чистки.</w:t>
      </w:r>
    </w:p>
    <w:p w14:paraId="717B37FA"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12. Обязать ВСНХ и Наркомвоенмор разработать вопрос о подготовке Военно-воздушной академией кадров для авиапромышленности.</w:t>
      </w:r>
    </w:p>
    <w:p w14:paraId="1F1F59E6"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 xml:space="preserve">13. Особенно обратить внимание на укрепление важнейших отраслей работы ЦАГИ инженерно-коммунистическими силами (в </w:t>
      </w:r>
      <w:proofErr w:type="spellStart"/>
      <w:r w:rsidRPr="007122AB">
        <w:rPr>
          <w:color w:val="000000" w:themeColor="text1"/>
          <w:sz w:val="16"/>
          <w:szCs w:val="16"/>
        </w:rPr>
        <w:t>АГОСе</w:t>
      </w:r>
      <w:proofErr w:type="spellEnd"/>
      <w:r w:rsidRPr="007122AB">
        <w:rPr>
          <w:color w:val="000000" w:themeColor="text1"/>
          <w:sz w:val="16"/>
          <w:szCs w:val="16"/>
        </w:rPr>
        <w:t xml:space="preserve"> в моторной группе, в глиссерной группе и т. д.), выдвигая их в качестве зам. руководителей, а в отдельных случаях в качестве руководителей. В </w:t>
      </w:r>
      <w:proofErr w:type="spellStart"/>
      <w:r w:rsidRPr="007122AB">
        <w:rPr>
          <w:color w:val="000000" w:themeColor="text1"/>
          <w:sz w:val="16"/>
          <w:szCs w:val="16"/>
        </w:rPr>
        <w:t>АГОСе</w:t>
      </w:r>
      <w:proofErr w:type="spellEnd"/>
      <w:r w:rsidRPr="007122AB">
        <w:rPr>
          <w:color w:val="000000" w:themeColor="text1"/>
          <w:sz w:val="16"/>
          <w:szCs w:val="16"/>
        </w:rPr>
        <w:t xml:space="preserve"> назначить немедленно двух заместителей-коммунистов.</w:t>
      </w:r>
    </w:p>
    <w:p w14:paraId="10C88B9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14. Наладить постоянную связь ЦАГИ с авиазаводами, строящими серии самолетов по конструкции ЦАГИ, путем созыва производственных совещаний для обмена опытом между конструкторами, проектировавшими машину, и персоналом, строившим таковые.</w:t>
      </w:r>
    </w:p>
    <w:p w14:paraId="789F30A9"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Разработка рабочих чертежей должна быть теснейшим образом увязана с работой опытного завода, с тем чтобы уже при постройке опытных самолетов учитывались условия постановки серийного производства (стандарты, нормали, инструменты и т. д.). Заводы, которым предназначается производить данную систему самолетов, должны выделять своих работников для участия в опытных работах на опытном заводе ЦАГИ.</w:t>
      </w:r>
    </w:p>
    <w:p w14:paraId="0E1AAE52"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15. Считать необходимым, что ВСНХ приступил уже в текущем году к постепенному переводу части работ института, особенно опытного завода, в другое место, за пределы города, в более подходящее для устройства разнообразных опытов и испытаний с точки зрения площадки и воды.</w:t>
      </w:r>
    </w:p>
    <w:p w14:paraId="309E3B0F"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16. Организовать при ВАО научно-технический отдел для объединения научно-исследовательской работы всех институтов в авиапромышленности, для наблюдения и руководства ими.</w:t>
      </w:r>
    </w:p>
    <w:p w14:paraId="414C7BED"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На этот же отдел возложить обязанность учета всех научно-технических достижений в области авиапромышленности за границей, тщательное изучение по печатным материалам (журналы, книги и т. д.) новейших достижений техники в области самолетостроения и моторостроения. Научно-технический отдел должен объединять научно-изобретательские работы в области самолетостроения и издавать научно-технический журнал в области самолетостроения и моторостроения. Начальник научно-технического отдела должен быть зам. директора ЦАГИ.</w:t>
      </w:r>
    </w:p>
    <w:p w14:paraId="2E3B05E5"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17. Предложить ВСНХ выделить из ЦАГИ отдел ветряных двигателей и гидравлический отдел.</w:t>
      </w:r>
    </w:p>
    <w:p w14:paraId="295DF105"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18. Констатировать, что работа опытного завода ЦАГИ носит в большой своей части полукустарный характер, поручить ВСНХ разработать проект технического вооружения этого завода для проведения более серьезных конструктивных работ.</w:t>
      </w:r>
    </w:p>
    <w:p w14:paraId="13F40398"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19. Ввиду наличия в ЦАГИ солидной группы инженеров-коммунистов (35 чел.) считать, что эта группа должна быть целиком использована исключительно на технической и конструкторской работе, с освобождением их от всех других обязанностей (секретарей ячеек, месткомов и т. д.). Одновременно с этим поручить ВАО вместе с райкомом создать наиболее благоприятные условия для максимального использования технической инициативы коммунистов.</w:t>
      </w:r>
    </w:p>
    <w:p w14:paraId="133A893B"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20. Обязать директора ЦАГИ и ВАО развернуть широкую работу в ЦАГИ по подготовке как научно-исследовательских кадров, так и кадров для заводов авиапромышленности (техникум, вечерний вуз и др.).</w:t>
      </w:r>
    </w:p>
    <w:p w14:paraId="47AF59F3"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21. Поручить комиссии в составе т. </w:t>
      </w:r>
      <w:proofErr w:type="spellStart"/>
      <w:r w:rsidR="00000000">
        <w:fldChar w:fldCharType="begin"/>
      </w:r>
      <w:r w:rsidR="00000000">
        <w:instrText>HYPERLINK "http://www.hrono.ru/biograf/bio_p/pavlunovski_ip.php"</w:instrText>
      </w:r>
      <w:r w:rsidR="00000000">
        <w:fldChar w:fldCharType="separate"/>
      </w:r>
      <w:r w:rsidRPr="007122AB">
        <w:rPr>
          <w:color w:val="000000" w:themeColor="text1"/>
          <w:sz w:val="16"/>
          <w:szCs w:val="16"/>
        </w:rPr>
        <w:t>Павлуновского</w:t>
      </w:r>
      <w:proofErr w:type="spellEnd"/>
      <w:r w:rsidR="00000000">
        <w:rPr>
          <w:color w:val="000000" w:themeColor="text1"/>
          <w:sz w:val="16"/>
          <w:szCs w:val="16"/>
        </w:rPr>
        <w:fldChar w:fldCharType="end"/>
      </w:r>
      <w:r w:rsidRPr="007122AB">
        <w:rPr>
          <w:color w:val="000000" w:themeColor="text1"/>
          <w:sz w:val="16"/>
          <w:szCs w:val="16"/>
        </w:rPr>
        <w:t xml:space="preserve"> (председатель), </w:t>
      </w:r>
      <w:proofErr w:type="spellStart"/>
      <w:r w:rsidRPr="007122AB">
        <w:rPr>
          <w:color w:val="000000" w:themeColor="text1"/>
          <w:sz w:val="16"/>
          <w:szCs w:val="16"/>
        </w:rPr>
        <w:t>Близниченко</w:t>
      </w:r>
      <w:proofErr w:type="spellEnd"/>
      <w:r w:rsidRPr="007122AB">
        <w:rPr>
          <w:color w:val="000000" w:themeColor="text1"/>
          <w:sz w:val="16"/>
          <w:szCs w:val="16"/>
        </w:rPr>
        <w:t xml:space="preserve">, </w:t>
      </w:r>
      <w:hyperlink r:id="rId101" w:history="1">
        <w:r w:rsidRPr="007122AB">
          <w:rPr>
            <w:color w:val="000000" w:themeColor="text1"/>
            <w:sz w:val="16"/>
            <w:szCs w:val="16"/>
          </w:rPr>
          <w:t>Куйбышева Н. В.</w:t>
        </w:r>
      </w:hyperlink>
      <w:r w:rsidRPr="007122AB">
        <w:rPr>
          <w:color w:val="000000" w:themeColor="text1"/>
          <w:sz w:val="16"/>
          <w:szCs w:val="16"/>
        </w:rPr>
        <w:t xml:space="preserve">, </w:t>
      </w:r>
      <w:hyperlink r:id="rId102" w:history="1">
        <w:r w:rsidRPr="007122AB">
          <w:rPr>
            <w:color w:val="000000" w:themeColor="text1"/>
            <w:sz w:val="16"/>
            <w:szCs w:val="16"/>
          </w:rPr>
          <w:t>Баранова</w:t>
        </w:r>
      </w:hyperlink>
      <w:r w:rsidRPr="007122AB">
        <w:rPr>
          <w:color w:val="000000" w:themeColor="text1"/>
          <w:sz w:val="16"/>
          <w:szCs w:val="16"/>
        </w:rPr>
        <w:t>, Прокофьева в месячный срок, с привлечением необходимого количества коммунистов-инженеров, специально разработать вопрос о технических качествах самолетов с точки зрения скорости движения, радиуса действия, продолжительности пребывания в воздухе и разработать практические меры поднятия боеспособности и мощности, продолжительности пребывания в воздухе, скорости движения наших самолетов.</w:t>
      </w:r>
    </w:p>
    <w:p w14:paraId="2D1A9DFD" w14:textId="77777777" w:rsidR="00E454FF" w:rsidRPr="007122AB" w:rsidRDefault="00E454FF" w:rsidP="007122AB">
      <w:pPr>
        <w:pStyle w:val="rtejustify"/>
        <w:spacing w:before="0" w:after="0"/>
        <w:rPr>
          <w:color w:val="000000" w:themeColor="text1"/>
          <w:sz w:val="16"/>
          <w:szCs w:val="16"/>
        </w:rPr>
      </w:pPr>
      <w:r w:rsidRPr="007122AB">
        <w:rPr>
          <w:color w:val="000000" w:themeColor="text1"/>
          <w:sz w:val="16"/>
          <w:szCs w:val="16"/>
        </w:rPr>
        <w:t>РГАСПИ. Ф. 17. Оп. 162. Д. 10. Л. 48—50. Заверенная копия.</w:t>
      </w:r>
    </w:p>
    <w:p w14:paraId="712BBD29"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Архив: РГАСПИ. Ф. 17. Оп. 162. Д. 10. Л. 48—50. Заверенная копия. </w:t>
      </w:r>
    </w:p>
    <w:p w14:paraId="3604CE53"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547-550 (12529).</w:t>
      </w:r>
    </w:p>
    <w:p w14:paraId="716C0683" w14:textId="77777777" w:rsidR="00E454FF" w:rsidRPr="007122AB" w:rsidRDefault="00E454FF" w:rsidP="007122AB">
      <w:pPr>
        <w:spacing w:after="0" w:line="240" w:lineRule="auto"/>
        <w:jc w:val="both"/>
        <w:rPr>
          <w:rFonts w:ascii="Times New Roman" w:hAnsi="Times New Roman"/>
          <w:color w:val="000000" w:themeColor="text1"/>
          <w:sz w:val="16"/>
          <w:szCs w:val="16"/>
        </w:rPr>
      </w:pPr>
    </w:p>
    <w:p w14:paraId="5842D0EA"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 1931 г. был заключен предварительный договор о сотрудничестве между Аэрофлотом и германской фирмой «</w:t>
      </w:r>
      <w:proofErr w:type="spellStart"/>
      <w:r w:rsidRPr="007122AB">
        <w:rPr>
          <w:rFonts w:ascii="Times New Roman" w:hAnsi="Times New Roman"/>
          <w:color w:val="000000" w:themeColor="text1"/>
          <w:sz w:val="16"/>
          <w:szCs w:val="16"/>
        </w:rPr>
        <w:t>Люфтшифбау</w:t>
      </w:r>
      <w:proofErr w:type="spellEnd"/>
      <w:r w:rsidRPr="007122AB">
        <w:rPr>
          <w:rFonts w:ascii="Times New Roman" w:hAnsi="Times New Roman"/>
          <w:color w:val="000000" w:themeColor="text1"/>
          <w:sz w:val="16"/>
          <w:szCs w:val="16"/>
        </w:rPr>
        <w:t xml:space="preserve"> Цеппелин» (LZ), но дело далее не продвинулось [Российский государственный архив экономики. Ф. 9574. Оп. 1. Ед. хр. 12, л. 19-26]. После изменения политического строя в Германии в 1933 г. для советско-германского сотрудничества возникли серьёзные препятствия [Российский государственный архив экономики. Ф. 9574. Оп. 1. Ед. хр. 12, л. 160] (15234).</w:t>
      </w:r>
    </w:p>
    <w:p w14:paraId="16558EA1"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3FFDF5DA" w14:textId="77777777" w:rsidR="004B5CB9" w:rsidRPr="007122AB" w:rsidRDefault="004B5CB9"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 1931 г. был заключен предварительный договор о сотрудничестве между Аэрофлотом и германской фирмой «</w:t>
      </w:r>
      <w:proofErr w:type="spellStart"/>
      <w:r w:rsidRPr="007122AB">
        <w:rPr>
          <w:rFonts w:ascii="Times New Roman" w:hAnsi="Times New Roman"/>
          <w:color w:val="000000" w:themeColor="text1"/>
          <w:sz w:val="16"/>
          <w:szCs w:val="16"/>
        </w:rPr>
        <w:t>Люфтшифбау</w:t>
      </w:r>
      <w:proofErr w:type="spellEnd"/>
      <w:r w:rsidRPr="007122AB">
        <w:rPr>
          <w:rFonts w:ascii="Times New Roman" w:hAnsi="Times New Roman"/>
          <w:color w:val="000000" w:themeColor="text1"/>
          <w:sz w:val="16"/>
          <w:szCs w:val="16"/>
        </w:rPr>
        <w:t xml:space="preserve"> Цеппелин» (LZ) по </w:t>
      </w:r>
      <w:proofErr w:type="spellStart"/>
      <w:r w:rsidRPr="007122AB">
        <w:rPr>
          <w:rFonts w:ascii="Times New Roman" w:hAnsi="Times New Roman"/>
          <w:color w:val="000000" w:themeColor="text1"/>
          <w:sz w:val="16"/>
          <w:szCs w:val="16"/>
        </w:rPr>
        <w:t>строимтельству</w:t>
      </w:r>
      <w:proofErr w:type="spellEnd"/>
      <w:r w:rsidRPr="007122AB">
        <w:rPr>
          <w:rFonts w:ascii="Times New Roman" w:hAnsi="Times New Roman"/>
          <w:color w:val="000000" w:themeColor="text1"/>
          <w:sz w:val="16"/>
          <w:szCs w:val="16"/>
        </w:rPr>
        <w:t xml:space="preserve"> жестких дирижаблей, но дело далее не продвинулось [Российский государственный архив экономики. Ф. 9574. Оп. 1. Ед. хр. 12, л. 19-26]. После изменения политического строя в Германии в 1933 г. для советско-германского сотрудничества возникли серьёзные препятствия [Российский государственный военный архив. Ф. 29. Оп. 76. Ед. хр. 673, л. 160] (22295).</w:t>
      </w:r>
    </w:p>
    <w:p w14:paraId="0CCD8BA8" w14:textId="77777777" w:rsidR="004B5CB9" w:rsidRPr="007122AB" w:rsidRDefault="004B5CB9" w:rsidP="007122AB">
      <w:pPr>
        <w:shd w:val="clear" w:color="auto" w:fill="FFFFFF"/>
        <w:spacing w:after="0" w:line="240" w:lineRule="auto"/>
        <w:jc w:val="both"/>
        <w:rPr>
          <w:rFonts w:ascii="Times New Roman" w:hAnsi="Times New Roman"/>
          <w:color w:val="000000" w:themeColor="text1"/>
          <w:sz w:val="16"/>
          <w:szCs w:val="16"/>
        </w:rPr>
      </w:pPr>
    </w:p>
    <w:p w14:paraId="6B4D865C" w14:textId="77777777" w:rsidR="0097418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8286964" w14:textId="77777777" w:rsidR="00974187" w:rsidRPr="007122AB" w:rsidRDefault="0097418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5FDF71"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20 мая</w:t>
      </w:r>
      <w:r w:rsidRPr="007122AB">
        <w:rPr>
          <w:rFonts w:ascii="Times New Roman" w:hAnsi="Times New Roman"/>
          <w:color w:val="000000" w:themeColor="text1"/>
          <w:sz w:val="16"/>
          <w:szCs w:val="16"/>
        </w:rPr>
        <w:t xml:space="preserve"> в 1931 году в центре Нью-Йорка состоялось торжественное открытие самого высокого на тот момент здания на планете — «Эмпайр Стейт Билдинг» (Empire State Building) высотой 381 м. Названием башне послужило прозвище штата Нью-Йорк — Эмпайр Стейт. В 1950-х годах на макушке небоскреба выросла мачта, и тогда общая высота сооружения достигла 449 м. Холл 102-этажного здания украшают панно с изображениями восьми чудес света — восьмым предстает сам «Эмпайр Стейт Билдинг» (14897).</w:t>
      </w:r>
    </w:p>
    <w:p w14:paraId="360BE225"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00EF751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D6BD06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2763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В.М.П. в письме в ВАО сообщил данные Ми-3 и И-12 для проектирования и постройки лыж (1077,246).</w:t>
      </w:r>
    </w:p>
    <w:p w14:paraId="7E186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5C5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мая 1931 на подмосковном аэродроме руководителям партии и правительства была показана новая техника. В том числе И-5 Н.Н.П. и </w:t>
      </w:r>
      <w:proofErr w:type="spellStart"/>
      <w:r w:rsidRPr="007122AB">
        <w:rPr>
          <w:rFonts w:ascii="Times New Roman" w:hAnsi="Times New Roman"/>
          <w:color w:val="000000" w:themeColor="text1"/>
          <w:sz w:val="16"/>
          <w:szCs w:val="16"/>
        </w:rPr>
        <w:t>Д.П.Григоровича</w:t>
      </w:r>
      <w:proofErr w:type="spellEnd"/>
      <w:r w:rsidRPr="007122AB">
        <w:rPr>
          <w:rFonts w:ascii="Times New Roman" w:hAnsi="Times New Roman"/>
          <w:color w:val="000000" w:themeColor="text1"/>
          <w:sz w:val="16"/>
          <w:szCs w:val="16"/>
        </w:rPr>
        <w:t>, ТБ-3 (АНТ-6) А.Н.Т. и автожира КАСКР-2 "Красный инженер" (256,26).</w:t>
      </w:r>
    </w:p>
    <w:p w14:paraId="35CC3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другим данным - 31 мая 1931 - на Ходынке - был И-5, ТБ-3 (АНТ-6) и др., в т.ч. КАСКР-2, который заинтересовал </w:t>
      </w:r>
      <w:proofErr w:type="spellStart"/>
      <w:r w:rsidRPr="007122AB">
        <w:rPr>
          <w:rFonts w:ascii="Times New Roman" w:hAnsi="Times New Roman"/>
          <w:color w:val="000000" w:themeColor="text1"/>
          <w:sz w:val="16"/>
          <w:szCs w:val="16"/>
        </w:rPr>
        <w:t>И.В.Сталина</w:t>
      </w:r>
      <w:proofErr w:type="spellEnd"/>
      <w:r w:rsidRPr="007122AB">
        <w:rPr>
          <w:rFonts w:ascii="Times New Roman" w:hAnsi="Times New Roman"/>
          <w:color w:val="000000" w:themeColor="text1"/>
          <w:sz w:val="16"/>
          <w:szCs w:val="16"/>
        </w:rPr>
        <w:t xml:space="preserve"> возможностью вертикальной посадки. Отправил </w:t>
      </w:r>
      <w:proofErr w:type="spellStart"/>
      <w:r w:rsidRPr="007122AB">
        <w:rPr>
          <w:rFonts w:ascii="Times New Roman" w:hAnsi="Times New Roman"/>
          <w:color w:val="000000" w:themeColor="text1"/>
          <w:sz w:val="16"/>
          <w:szCs w:val="16"/>
        </w:rPr>
        <w:t>Н.И.Камова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И.К.Скржинского</w:t>
      </w:r>
      <w:proofErr w:type="spellEnd"/>
      <w:r w:rsidRPr="007122AB">
        <w:rPr>
          <w:rFonts w:ascii="Times New Roman" w:hAnsi="Times New Roman"/>
          <w:color w:val="000000" w:themeColor="text1"/>
          <w:sz w:val="16"/>
          <w:szCs w:val="16"/>
        </w:rPr>
        <w:t xml:space="preserve"> из Осоавиахима в ЦАГИ, где была СОК </w:t>
      </w:r>
      <w:proofErr w:type="spellStart"/>
      <w:r w:rsidRPr="007122AB">
        <w:rPr>
          <w:rFonts w:ascii="Times New Roman" w:hAnsi="Times New Roman"/>
          <w:color w:val="000000" w:themeColor="text1"/>
          <w:sz w:val="16"/>
          <w:szCs w:val="16"/>
        </w:rPr>
        <w:t>А.М.Черемухина</w:t>
      </w:r>
      <w:proofErr w:type="spellEnd"/>
      <w:r w:rsidRPr="007122AB">
        <w:rPr>
          <w:rFonts w:ascii="Times New Roman" w:hAnsi="Times New Roman"/>
          <w:color w:val="000000" w:themeColor="text1"/>
          <w:sz w:val="16"/>
          <w:szCs w:val="16"/>
        </w:rPr>
        <w:t xml:space="preserve"> (93,121).</w:t>
      </w:r>
    </w:p>
    <w:p w14:paraId="773D3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СОК пришел и </w:t>
      </w:r>
      <w:proofErr w:type="spellStart"/>
      <w:r w:rsidRPr="007122AB">
        <w:rPr>
          <w:rFonts w:ascii="Times New Roman" w:hAnsi="Times New Roman"/>
          <w:color w:val="000000" w:themeColor="text1"/>
          <w:sz w:val="16"/>
          <w:szCs w:val="16"/>
        </w:rPr>
        <w:t>М.Л.Миль</w:t>
      </w:r>
      <w:proofErr w:type="spellEnd"/>
      <w:r w:rsidRPr="007122AB">
        <w:rPr>
          <w:rFonts w:ascii="Times New Roman" w:hAnsi="Times New Roman"/>
          <w:color w:val="000000" w:themeColor="text1"/>
          <w:sz w:val="16"/>
          <w:szCs w:val="16"/>
        </w:rPr>
        <w:t xml:space="preserve">, который только что кончил институт. СОК с конца года стал возглавлять </w:t>
      </w:r>
      <w:proofErr w:type="spellStart"/>
      <w:r w:rsidRPr="007122AB">
        <w:rPr>
          <w:rFonts w:ascii="Times New Roman" w:hAnsi="Times New Roman"/>
          <w:color w:val="000000" w:themeColor="text1"/>
          <w:sz w:val="16"/>
          <w:szCs w:val="16"/>
        </w:rPr>
        <w:t>А.М.Изаксон</w:t>
      </w:r>
      <w:proofErr w:type="spellEnd"/>
      <w:r w:rsidRPr="007122AB">
        <w:rPr>
          <w:rFonts w:ascii="Times New Roman" w:hAnsi="Times New Roman"/>
          <w:color w:val="000000" w:themeColor="text1"/>
          <w:sz w:val="16"/>
          <w:szCs w:val="16"/>
        </w:rPr>
        <w:t xml:space="preserve">, а </w:t>
      </w:r>
      <w:proofErr w:type="spellStart"/>
      <w:r w:rsidRPr="007122AB">
        <w:rPr>
          <w:rFonts w:ascii="Times New Roman" w:hAnsi="Times New Roman"/>
          <w:color w:val="000000" w:themeColor="text1"/>
          <w:sz w:val="16"/>
          <w:szCs w:val="16"/>
        </w:rPr>
        <w:t>А.М.Черемухин</w:t>
      </w:r>
      <w:proofErr w:type="spellEnd"/>
      <w:r w:rsidRPr="007122AB">
        <w:rPr>
          <w:rFonts w:ascii="Times New Roman" w:hAnsi="Times New Roman"/>
          <w:color w:val="000000" w:themeColor="text1"/>
          <w:sz w:val="16"/>
          <w:szCs w:val="16"/>
        </w:rPr>
        <w:t xml:space="preserve"> стал заместителем (64,19).</w:t>
      </w:r>
    </w:p>
    <w:p w14:paraId="01783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Имеются сведения, что на упомянутых демонстрациях показывали и Z в отдаленном ангаре (самолет еще не летал). Вел лично начальник ЦКБ (79,128) - тут то и отказала </w:t>
      </w:r>
      <w:proofErr w:type="spellStart"/>
      <w:r w:rsidRPr="007122AB">
        <w:rPr>
          <w:rFonts w:ascii="Times New Roman" w:hAnsi="Times New Roman"/>
          <w:color w:val="000000" w:themeColor="text1"/>
          <w:sz w:val="16"/>
          <w:szCs w:val="16"/>
        </w:rPr>
        <w:t>перезярядка</w:t>
      </w:r>
      <w:proofErr w:type="spellEnd"/>
      <w:r w:rsidRPr="007122AB">
        <w:rPr>
          <w:rFonts w:ascii="Times New Roman" w:hAnsi="Times New Roman"/>
          <w:color w:val="000000" w:themeColor="text1"/>
          <w:sz w:val="16"/>
          <w:szCs w:val="16"/>
        </w:rPr>
        <w:t xml:space="preserve"> ДРП, когда И.В.С. сев в кабину попробовал (97,22).</w:t>
      </w:r>
    </w:p>
    <w:p w14:paraId="7B3F9F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Есть байка, что А.А. (скорее ли </w:t>
      </w:r>
      <w:proofErr w:type="spellStart"/>
      <w:r w:rsidRPr="007122AB">
        <w:rPr>
          <w:rFonts w:ascii="Times New Roman" w:hAnsi="Times New Roman"/>
          <w:color w:val="000000" w:themeColor="text1"/>
          <w:sz w:val="16"/>
          <w:szCs w:val="16"/>
        </w:rPr>
        <w:t>Б.А.Туржанский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Туржанский</w:t>
      </w:r>
      <w:proofErr w:type="spellEnd"/>
      <w:r w:rsidRPr="007122AB">
        <w:rPr>
          <w:rFonts w:ascii="Times New Roman" w:hAnsi="Times New Roman"/>
          <w:color w:val="000000" w:themeColor="text1"/>
          <w:sz w:val="16"/>
          <w:szCs w:val="16"/>
        </w:rPr>
        <w:t xml:space="preserve"> не разрешил И.В.С. курить у самолетов, тот обиделся, к </w:t>
      </w:r>
      <w:proofErr w:type="spellStart"/>
      <w:r w:rsidRPr="007122AB">
        <w:rPr>
          <w:rFonts w:ascii="Times New Roman" w:hAnsi="Times New Roman"/>
          <w:color w:val="000000" w:themeColor="text1"/>
          <w:sz w:val="16"/>
          <w:szCs w:val="16"/>
        </w:rPr>
        <w:t>А.Ф.Анисимову</w:t>
      </w:r>
      <w:proofErr w:type="spellEnd"/>
      <w:r w:rsidRPr="007122AB">
        <w:rPr>
          <w:rFonts w:ascii="Times New Roman" w:hAnsi="Times New Roman"/>
          <w:color w:val="000000" w:themeColor="text1"/>
          <w:sz w:val="16"/>
          <w:szCs w:val="16"/>
        </w:rPr>
        <w:t xml:space="preserve"> и В.П.Ч. не подошел и ругал П.И.Б., что на истребителях нет радио. Потом потребовал показать первый ТБ-3 (АНТ-6) в полете, а могли только М.М.Г. и </w:t>
      </w:r>
      <w:proofErr w:type="spellStart"/>
      <w:r w:rsidRPr="007122AB">
        <w:rPr>
          <w:rFonts w:ascii="Times New Roman" w:hAnsi="Times New Roman"/>
          <w:color w:val="000000" w:themeColor="text1"/>
          <w:sz w:val="16"/>
          <w:szCs w:val="16"/>
        </w:rPr>
        <w:t>М.А.Волковойнов</w:t>
      </w:r>
      <w:proofErr w:type="spellEnd"/>
      <w:r w:rsidRPr="007122AB">
        <w:rPr>
          <w:rFonts w:ascii="Times New Roman" w:hAnsi="Times New Roman"/>
          <w:color w:val="000000" w:themeColor="text1"/>
          <w:sz w:val="16"/>
          <w:szCs w:val="16"/>
        </w:rPr>
        <w:t xml:space="preserve">, которого не было в Москве. Послали </w:t>
      </w:r>
      <w:proofErr w:type="spellStart"/>
      <w:r w:rsidRPr="007122AB">
        <w:rPr>
          <w:rFonts w:ascii="Times New Roman" w:hAnsi="Times New Roman"/>
          <w:color w:val="000000" w:themeColor="text1"/>
          <w:sz w:val="16"/>
          <w:szCs w:val="16"/>
        </w:rPr>
        <w:t>И.Ф.Козлова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Залевского</w:t>
      </w:r>
      <w:proofErr w:type="spellEnd"/>
      <w:r w:rsidRPr="007122AB">
        <w:rPr>
          <w:rFonts w:ascii="Times New Roman" w:hAnsi="Times New Roman"/>
          <w:color w:val="000000" w:themeColor="text1"/>
          <w:sz w:val="16"/>
          <w:szCs w:val="16"/>
        </w:rPr>
        <w:t xml:space="preserve">, но те пока летали только на ТБ-1. И.В.С. тоже просился в полет. Еле-еле уговорили. Когда ТБ-3 (АНТ-6) сел - вновь хотел. В.П.Ч. и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пофигуряли</w:t>
      </w:r>
      <w:proofErr w:type="spellEnd"/>
      <w:r w:rsidRPr="007122AB">
        <w:rPr>
          <w:rFonts w:ascii="Times New Roman" w:hAnsi="Times New Roman"/>
          <w:color w:val="000000" w:themeColor="text1"/>
          <w:sz w:val="16"/>
          <w:szCs w:val="16"/>
        </w:rPr>
        <w:t xml:space="preserve">. Тут И.В.С увидел ТБ-1 с </w:t>
      </w:r>
      <w:proofErr w:type="spellStart"/>
      <w:r w:rsidRPr="007122AB">
        <w:rPr>
          <w:rFonts w:ascii="Times New Roman" w:hAnsi="Times New Roman"/>
          <w:color w:val="000000" w:themeColor="text1"/>
          <w:sz w:val="16"/>
          <w:szCs w:val="16"/>
        </w:rPr>
        <w:t>авиабусом</w:t>
      </w:r>
      <w:proofErr w:type="spellEnd"/>
      <w:r w:rsidRPr="007122AB">
        <w:rPr>
          <w:rFonts w:ascii="Times New Roman" w:hAnsi="Times New Roman"/>
          <w:color w:val="000000" w:themeColor="text1"/>
          <w:sz w:val="16"/>
          <w:szCs w:val="16"/>
        </w:rPr>
        <w:t xml:space="preserve"> и отцепку. И.В.С. сначала не понравилось, </w:t>
      </w:r>
      <w:proofErr w:type="spellStart"/>
      <w:r w:rsidRPr="007122AB">
        <w:rPr>
          <w:rFonts w:ascii="Times New Roman" w:hAnsi="Times New Roman"/>
          <w:color w:val="000000" w:themeColor="text1"/>
          <w:sz w:val="16"/>
          <w:szCs w:val="16"/>
        </w:rPr>
        <w:t>П.И.Гроховский</w:t>
      </w:r>
      <w:proofErr w:type="spellEnd"/>
      <w:r w:rsidRPr="007122AB">
        <w:rPr>
          <w:rFonts w:ascii="Times New Roman" w:hAnsi="Times New Roman"/>
          <w:color w:val="000000" w:themeColor="text1"/>
          <w:sz w:val="16"/>
          <w:szCs w:val="16"/>
        </w:rPr>
        <w:t xml:space="preserve"> вылез и когда узнал, что </w:t>
      </w:r>
      <w:proofErr w:type="spellStart"/>
      <w:r w:rsidRPr="007122AB">
        <w:rPr>
          <w:rFonts w:ascii="Times New Roman" w:hAnsi="Times New Roman"/>
          <w:color w:val="000000" w:themeColor="text1"/>
          <w:sz w:val="16"/>
          <w:szCs w:val="16"/>
        </w:rPr>
        <w:t>П.И.Гроховский</w:t>
      </w:r>
      <w:proofErr w:type="spellEnd"/>
      <w:r w:rsidRPr="007122AB">
        <w:rPr>
          <w:rFonts w:ascii="Times New Roman" w:hAnsi="Times New Roman"/>
          <w:color w:val="000000" w:themeColor="text1"/>
          <w:sz w:val="16"/>
          <w:szCs w:val="16"/>
        </w:rPr>
        <w:t xml:space="preserve"> и Титов пробовали сами - похвалил. Однако, комбриг </w:t>
      </w:r>
      <w:proofErr w:type="spellStart"/>
      <w:r w:rsidRPr="007122AB">
        <w:rPr>
          <w:rFonts w:ascii="Times New Roman" w:hAnsi="Times New Roman"/>
          <w:color w:val="000000" w:themeColor="text1"/>
          <w:sz w:val="16"/>
          <w:szCs w:val="16"/>
        </w:rPr>
        <w:t>Молодков</w:t>
      </w:r>
      <w:proofErr w:type="spellEnd"/>
      <w:r w:rsidRPr="007122AB">
        <w:rPr>
          <w:rFonts w:ascii="Times New Roman" w:hAnsi="Times New Roman"/>
          <w:color w:val="000000" w:themeColor="text1"/>
          <w:sz w:val="16"/>
          <w:szCs w:val="16"/>
        </w:rPr>
        <w:t xml:space="preserve"> написал рапорт о всех промашках П.И.Б. и его освободили, заменив </w:t>
      </w:r>
      <w:proofErr w:type="spellStart"/>
      <w:r w:rsidRPr="007122AB">
        <w:rPr>
          <w:rFonts w:ascii="Times New Roman" w:hAnsi="Times New Roman"/>
          <w:color w:val="000000" w:themeColor="text1"/>
          <w:sz w:val="16"/>
          <w:szCs w:val="16"/>
        </w:rPr>
        <w:t>Я.И.Алкснисом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 xml:space="preserve"> пригласил к себе в ВАО (1101,82).</w:t>
      </w:r>
    </w:p>
    <w:p w14:paraId="52CA8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F71060"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г. КАСКР-2 наряду с другими летательны</w:t>
      </w:r>
      <w:r w:rsidRPr="007122AB">
        <w:rPr>
          <w:rFonts w:ascii="Times New Roman" w:hAnsi="Times New Roman"/>
          <w:color w:val="000000" w:themeColor="text1"/>
          <w:sz w:val="16"/>
          <w:szCs w:val="16"/>
        </w:rPr>
        <w:softHyphen/>
        <w:t>ми аппаратами советской постройки демонстрировался на Центральном аэродроме правительству во главе с И.В. Сталиным. На одной линейке с автожиром стояли ТБ-3, Р-5, Р-ЗЕТ, И-5 и другие самолеты. При осмотре ав</w:t>
      </w:r>
      <w:r w:rsidRPr="007122AB">
        <w:rPr>
          <w:rFonts w:ascii="Times New Roman" w:hAnsi="Times New Roman"/>
          <w:color w:val="000000" w:themeColor="text1"/>
          <w:sz w:val="16"/>
          <w:szCs w:val="16"/>
        </w:rPr>
        <w:softHyphen/>
        <w:t>тожира Сталиным, Молотовым и Ворошиловым пояснения давал лично Камов.</w:t>
      </w:r>
    </w:p>
    <w:p w14:paraId="7F3C39BE"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осмотра начались показательные полеты. Комен</w:t>
      </w:r>
      <w:r w:rsidRPr="007122AB">
        <w:rPr>
          <w:rFonts w:ascii="Times New Roman" w:hAnsi="Times New Roman"/>
          <w:color w:val="000000" w:themeColor="text1"/>
          <w:sz w:val="16"/>
          <w:szCs w:val="16"/>
        </w:rPr>
        <w:softHyphen/>
        <w:t>дант аэродрома, с тревогой наблюдавший приготовле</w:t>
      </w:r>
      <w:r w:rsidRPr="007122AB">
        <w:rPr>
          <w:rFonts w:ascii="Times New Roman" w:hAnsi="Times New Roman"/>
          <w:color w:val="000000" w:themeColor="text1"/>
          <w:sz w:val="16"/>
          <w:szCs w:val="16"/>
        </w:rPr>
        <w:softHyphen/>
        <w:t>ния создателей КАСКР к старту, в последний момент за</w:t>
      </w:r>
      <w:r w:rsidRPr="007122AB">
        <w:rPr>
          <w:rFonts w:ascii="Times New Roman" w:hAnsi="Times New Roman"/>
          <w:color w:val="000000" w:themeColor="text1"/>
          <w:sz w:val="16"/>
          <w:szCs w:val="16"/>
        </w:rPr>
        <w:softHyphen/>
        <w:t>претил вылет. Однако Кошиц все-таки взлетел, набрал вы</w:t>
      </w:r>
      <w:r w:rsidRPr="007122AB">
        <w:rPr>
          <w:rFonts w:ascii="Times New Roman" w:hAnsi="Times New Roman"/>
          <w:color w:val="000000" w:themeColor="text1"/>
          <w:sz w:val="16"/>
          <w:szCs w:val="16"/>
        </w:rPr>
        <w:softHyphen/>
        <w:t>соту триста метров и по периметру три раза облетел весь Центральный аэродром. Затем он круто спланировал и с пробегом всего несколько метров посадил автожир вбли</w:t>
      </w:r>
      <w:r w:rsidRPr="007122AB">
        <w:rPr>
          <w:rFonts w:ascii="Times New Roman" w:hAnsi="Times New Roman"/>
          <w:color w:val="000000" w:themeColor="text1"/>
          <w:sz w:val="16"/>
          <w:szCs w:val="16"/>
        </w:rPr>
        <w:softHyphen/>
        <w:t>зи правительственной делегации. Все присутствующие были в восторге от увиденного, особо отмечалось, что КАСКР произвел хорошее впечатление на И. Сталина.</w:t>
      </w:r>
    </w:p>
    <w:p w14:paraId="44802C6D"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и характеристики КАСКР-2</w:t>
      </w:r>
    </w:p>
    <w:tbl>
      <w:tblPr>
        <w:tblOverlap w:val="never"/>
        <w:tblW w:w="0" w:type="auto"/>
        <w:jc w:val="center"/>
        <w:tblLayout w:type="fixed"/>
        <w:tblCellMar>
          <w:left w:w="10" w:type="dxa"/>
          <w:right w:w="10" w:type="dxa"/>
        </w:tblCellMar>
        <w:tblLook w:val="04A0" w:firstRow="1" w:lastRow="0" w:firstColumn="1" w:lastColumn="0" w:noHBand="0" w:noVBand="1"/>
      </w:tblPr>
      <w:tblGrid>
        <w:gridCol w:w="3806"/>
        <w:gridCol w:w="1277"/>
      </w:tblGrid>
      <w:tr w:rsidR="001002C3" w:rsidRPr="007122AB" w14:paraId="41B857C2" w14:textId="77777777" w:rsidTr="00027DFA">
        <w:trPr>
          <w:trHeight w:hRule="exact" w:val="293"/>
          <w:jc w:val="center"/>
        </w:trPr>
        <w:tc>
          <w:tcPr>
            <w:tcW w:w="3806" w:type="dxa"/>
            <w:tcBorders>
              <w:top w:val="single" w:sz="4" w:space="0" w:color="auto"/>
              <w:left w:val="single" w:sz="4" w:space="0" w:color="auto"/>
              <w:bottom w:val="nil"/>
              <w:right w:val="nil"/>
            </w:tcBorders>
            <w:vAlign w:val="bottom"/>
            <w:hideMark/>
          </w:tcPr>
          <w:p w14:paraId="04353BED"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без ротора (м)</w:t>
            </w:r>
          </w:p>
        </w:tc>
        <w:tc>
          <w:tcPr>
            <w:tcW w:w="1277" w:type="dxa"/>
            <w:tcBorders>
              <w:top w:val="single" w:sz="4" w:space="0" w:color="auto"/>
              <w:left w:val="nil"/>
              <w:bottom w:val="nil"/>
              <w:right w:val="single" w:sz="4" w:space="0" w:color="auto"/>
            </w:tcBorders>
            <w:vAlign w:val="bottom"/>
            <w:hideMark/>
          </w:tcPr>
          <w:p w14:paraId="09489CE9"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9,30</w:t>
            </w:r>
          </w:p>
        </w:tc>
      </w:tr>
      <w:tr w:rsidR="001002C3" w:rsidRPr="007122AB" w14:paraId="7C7CEB1B" w14:textId="77777777" w:rsidTr="00027DFA">
        <w:trPr>
          <w:trHeight w:hRule="exact" w:val="202"/>
          <w:jc w:val="center"/>
        </w:trPr>
        <w:tc>
          <w:tcPr>
            <w:tcW w:w="3806" w:type="dxa"/>
            <w:tcBorders>
              <w:top w:val="nil"/>
              <w:left w:val="single" w:sz="4" w:space="0" w:color="auto"/>
              <w:bottom w:val="nil"/>
              <w:right w:val="nil"/>
            </w:tcBorders>
            <w:hideMark/>
          </w:tcPr>
          <w:p w14:paraId="580B8165"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ротора (м)</w:t>
            </w:r>
          </w:p>
        </w:tc>
        <w:tc>
          <w:tcPr>
            <w:tcW w:w="1277" w:type="dxa"/>
            <w:tcBorders>
              <w:top w:val="nil"/>
              <w:left w:val="nil"/>
              <w:bottom w:val="nil"/>
              <w:right w:val="single" w:sz="4" w:space="0" w:color="auto"/>
            </w:tcBorders>
            <w:hideMark/>
          </w:tcPr>
          <w:p w14:paraId="4C6FEA50"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tc>
      </w:tr>
      <w:tr w:rsidR="001002C3" w:rsidRPr="007122AB" w14:paraId="09E9F142" w14:textId="77777777" w:rsidTr="00027DFA">
        <w:trPr>
          <w:trHeight w:hRule="exact" w:val="187"/>
          <w:jc w:val="center"/>
        </w:trPr>
        <w:tc>
          <w:tcPr>
            <w:tcW w:w="3806" w:type="dxa"/>
            <w:tcBorders>
              <w:top w:val="nil"/>
              <w:left w:val="single" w:sz="4" w:space="0" w:color="auto"/>
              <w:bottom w:val="nil"/>
              <w:right w:val="nil"/>
            </w:tcBorders>
            <w:vAlign w:val="bottom"/>
            <w:hideMark/>
          </w:tcPr>
          <w:p w14:paraId="5F546829"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в линии полета (м)</w:t>
            </w:r>
          </w:p>
        </w:tc>
        <w:tc>
          <w:tcPr>
            <w:tcW w:w="1277" w:type="dxa"/>
            <w:tcBorders>
              <w:top w:val="nil"/>
              <w:left w:val="nil"/>
              <w:bottom w:val="nil"/>
              <w:right w:val="single" w:sz="4" w:space="0" w:color="auto"/>
            </w:tcBorders>
            <w:vAlign w:val="bottom"/>
            <w:hideMark/>
          </w:tcPr>
          <w:p w14:paraId="442CE8C0"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4,60</w:t>
            </w:r>
          </w:p>
        </w:tc>
      </w:tr>
      <w:tr w:rsidR="001002C3" w:rsidRPr="007122AB" w14:paraId="639623DB" w14:textId="77777777" w:rsidTr="00027DFA">
        <w:trPr>
          <w:trHeight w:hRule="exact" w:val="211"/>
          <w:jc w:val="center"/>
        </w:trPr>
        <w:tc>
          <w:tcPr>
            <w:tcW w:w="3806" w:type="dxa"/>
            <w:tcBorders>
              <w:top w:val="nil"/>
              <w:left w:val="single" w:sz="4" w:space="0" w:color="auto"/>
              <w:bottom w:val="nil"/>
              <w:right w:val="nil"/>
            </w:tcBorders>
            <w:vAlign w:val="bottom"/>
            <w:hideMark/>
          </w:tcPr>
          <w:p w14:paraId="6ED92CD7"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крыльев (м)</w:t>
            </w:r>
          </w:p>
        </w:tc>
        <w:tc>
          <w:tcPr>
            <w:tcW w:w="1277" w:type="dxa"/>
            <w:tcBorders>
              <w:top w:val="nil"/>
              <w:left w:val="nil"/>
              <w:bottom w:val="nil"/>
              <w:right w:val="single" w:sz="4" w:space="0" w:color="auto"/>
            </w:tcBorders>
            <w:vAlign w:val="bottom"/>
            <w:hideMark/>
          </w:tcPr>
          <w:p w14:paraId="1C9A3955"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w:t>
            </w:r>
          </w:p>
        </w:tc>
      </w:tr>
      <w:tr w:rsidR="001002C3" w:rsidRPr="007122AB" w14:paraId="6155CA52" w14:textId="77777777" w:rsidTr="00027DFA">
        <w:trPr>
          <w:trHeight w:hRule="exact" w:val="192"/>
          <w:jc w:val="center"/>
        </w:trPr>
        <w:tc>
          <w:tcPr>
            <w:tcW w:w="3806" w:type="dxa"/>
            <w:tcBorders>
              <w:top w:val="nil"/>
              <w:left w:val="single" w:sz="4" w:space="0" w:color="auto"/>
              <w:bottom w:val="nil"/>
              <w:right w:val="nil"/>
            </w:tcBorders>
            <w:hideMark/>
          </w:tcPr>
          <w:p w14:paraId="11EA6852"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277" w:type="dxa"/>
            <w:tcBorders>
              <w:top w:val="nil"/>
              <w:left w:val="nil"/>
              <w:bottom w:val="nil"/>
              <w:right w:val="single" w:sz="4" w:space="0" w:color="auto"/>
            </w:tcBorders>
            <w:hideMark/>
          </w:tcPr>
          <w:p w14:paraId="68B0CA82"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876</w:t>
            </w:r>
          </w:p>
        </w:tc>
      </w:tr>
      <w:tr w:rsidR="001002C3" w:rsidRPr="007122AB" w14:paraId="327E9B0B" w14:textId="77777777" w:rsidTr="00027DFA">
        <w:trPr>
          <w:trHeight w:hRule="exact" w:val="269"/>
          <w:jc w:val="center"/>
        </w:trPr>
        <w:tc>
          <w:tcPr>
            <w:tcW w:w="3806" w:type="dxa"/>
            <w:tcBorders>
              <w:top w:val="nil"/>
              <w:left w:val="single" w:sz="4" w:space="0" w:color="auto"/>
              <w:bottom w:val="single" w:sz="4" w:space="0" w:color="auto"/>
              <w:right w:val="nil"/>
            </w:tcBorders>
            <w:hideMark/>
          </w:tcPr>
          <w:p w14:paraId="333F979D"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высота полета (м)</w:t>
            </w:r>
          </w:p>
        </w:tc>
        <w:tc>
          <w:tcPr>
            <w:tcW w:w="1277" w:type="dxa"/>
            <w:tcBorders>
              <w:top w:val="nil"/>
              <w:left w:val="nil"/>
              <w:bottom w:val="single" w:sz="4" w:space="0" w:color="auto"/>
              <w:right w:val="single" w:sz="4" w:space="0" w:color="auto"/>
            </w:tcBorders>
            <w:hideMark/>
          </w:tcPr>
          <w:p w14:paraId="29A82420"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r>
    </w:tbl>
    <w:p w14:paraId="3E0ED069" w14:textId="77777777" w:rsidR="008707F5" w:rsidRPr="007122AB" w:rsidRDefault="008707F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демонстрации членам правительства испытания ав</w:t>
      </w:r>
      <w:r w:rsidRPr="007122AB">
        <w:rPr>
          <w:rFonts w:ascii="Times New Roman" w:hAnsi="Times New Roman"/>
          <w:color w:val="000000" w:themeColor="text1"/>
          <w:sz w:val="16"/>
          <w:szCs w:val="16"/>
        </w:rPr>
        <w:softHyphen/>
        <w:t>тожира продолжились (20361).</w:t>
      </w:r>
    </w:p>
    <w:p w14:paraId="595E16B2" w14:textId="77777777" w:rsidR="008707F5" w:rsidRPr="007122AB" w:rsidRDefault="008707F5" w:rsidP="007122AB">
      <w:pPr>
        <w:shd w:val="clear" w:color="auto" w:fill="FFFFFF"/>
        <w:spacing w:after="0" w:line="240" w:lineRule="auto"/>
        <w:jc w:val="both"/>
        <w:rPr>
          <w:rFonts w:ascii="Times New Roman" w:hAnsi="Times New Roman"/>
          <w:color w:val="000000" w:themeColor="text1"/>
          <w:sz w:val="16"/>
          <w:szCs w:val="16"/>
        </w:rPr>
      </w:pPr>
    </w:p>
    <w:p w14:paraId="3DB93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мая 1931 г. на Центральном аэродроме в Тушино автожир Камова и </w:t>
      </w:r>
      <w:proofErr w:type="spellStart"/>
      <w:r w:rsidRPr="007122AB">
        <w:rPr>
          <w:rFonts w:ascii="Times New Roman" w:hAnsi="Times New Roman"/>
          <w:color w:val="000000" w:themeColor="text1"/>
          <w:sz w:val="16"/>
          <w:szCs w:val="16"/>
        </w:rPr>
        <w:t>Скрижинского</w:t>
      </w:r>
      <w:proofErr w:type="spellEnd"/>
      <w:r w:rsidRPr="007122AB">
        <w:rPr>
          <w:rFonts w:ascii="Times New Roman" w:hAnsi="Times New Roman"/>
          <w:color w:val="000000" w:themeColor="text1"/>
          <w:sz w:val="16"/>
          <w:szCs w:val="16"/>
        </w:rPr>
        <w:t xml:space="preserve">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w:t>
      </w:r>
      <w:proofErr w:type="spellStart"/>
      <w:r w:rsidRPr="007122AB">
        <w:rPr>
          <w:rFonts w:ascii="Times New Roman" w:hAnsi="Times New Roman"/>
          <w:color w:val="000000" w:themeColor="text1"/>
          <w:sz w:val="16"/>
          <w:szCs w:val="16"/>
        </w:rPr>
        <w:t>КАСКРом</w:t>
      </w:r>
      <w:proofErr w:type="spellEnd"/>
      <w:r w:rsidRPr="007122AB">
        <w:rPr>
          <w:rFonts w:ascii="Times New Roman" w:hAnsi="Times New Roman"/>
          <w:color w:val="000000" w:themeColor="text1"/>
          <w:sz w:val="16"/>
          <w:szCs w:val="16"/>
        </w:rPr>
        <w:t>.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06607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A32C49"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21 мая</w:t>
      </w:r>
      <w:r w:rsidRPr="007122AB">
        <w:rPr>
          <w:rFonts w:ascii="Times New Roman" w:hAnsi="Times New Roman"/>
          <w:color w:val="000000" w:themeColor="text1"/>
          <w:sz w:val="16"/>
          <w:szCs w:val="16"/>
        </w:rPr>
        <w:t xml:space="preserve"> в 1931 году автожир </w:t>
      </w:r>
      <w:hyperlink r:id="rId103" w:tgtFrame="_blank" w:history="1">
        <w:r w:rsidRPr="007122AB">
          <w:rPr>
            <w:rFonts w:ascii="Times New Roman" w:hAnsi="Times New Roman"/>
            <w:color w:val="000000" w:themeColor="text1"/>
            <w:sz w:val="16"/>
            <w:szCs w:val="16"/>
          </w:rPr>
          <w:t xml:space="preserve">«КАСКР-II» </w:t>
        </w:r>
      </w:hyperlink>
      <w:r w:rsidRPr="007122AB">
        <w:rPr>
          <w:rFonts w:ascii="Times New Roman" w:hAnsi="Times New Roman"/>
          <w:color w:val="000000" w:themeColor="text1"/>
          <w:sz w:val="16"/>
          <w:szCs w:val="16"/>
        </w:rPr>
        <w:t xml:space="preserve">(«Красный инженер») был показан на смотре авиационной техники руководителям партии. Имел двигатель Гном-Рон «Титан» в 225 л.с. Было выполнено 90 испытательных полетов с наибольшей продолжительностью 28 мин (летчик </w:t>
      </w:r>
      <w:proofErr w:type="spellStart"/>
      <w:r w:rsidRPr="007122AB">
        <w:rPr>
          <w:rFonts w:ascii="Times New Roman" w:hAnsi="Times New Roman"/>
          <w:color w:val="000000" w:themeColor="text1"/>
          <w:sz w:val="16"/>
          <w:szCs w:val="16"/>
        </w:rPr>
        <w:t>Д.А.Кошиц</w:t>
      </w:r>
      <w:proofErr w:type="spellEnd"/>
      <w:r w:rsidRPr="007122AB">
        <w:rPr>
          <w:rFonts w:ascii="Times New Roman" w:hAnsi="Times New Roman"/>
          <w:color w:val="000000" w:themeColor="text1"/>
          <w:sz w:val="16"/>
          <w:szCs w:val="16"/>
        </w:rPr>
        <w:t xml:space="preserve">).. В группе КАСКР проходил стажировку и студент Новочеркасского политехнического института </w:t>
      </w:r>
      <w:proofErr w:type="spellStart"/>
      <w:r w:rsidRPr="007122AB">
        <w:rPr>
          <w:rFonts w:ascii="Times New Roman" w:hAnsi="Times New Roman"/>
          <w:color w:val="000000" w:themeColor="text1"/>
          <w:sz w:val="16"/>
          <w:szCs w:val="16"/>
        </w:rPr>
        <w:t>М.Л.Миль</w:t>
      </w:r>
      <w:proofErr w:type="spellEnd"/>
      <w:r w:rsidRPr="007122AB">
        <w:rPr>
          <w:rFonts w:ascii="Times New Roman" w:hAnsi="Times New Roman"/>
          <w:color w:val="000000" w:themeColor="text1"/>
          <w:sz w:val="16"/>
          <w:szCs w:val="16"/>
        </w:rPr>
        <w:t xml:space="preserve"> (14898).</w:t>
      </w:r>
    </w:p>
    <w:p w14:paraId="14E6CBFB"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06C402AA" w14:textId="0A8FB138" w:rsidR="00E95682" w:rsidRPr="007122AB" w:rsidRDefault="00E95682" w:rsidP="007122AB">
      <w:pPr>
        <w:pStyle w:val="5b"/>
        <w:spacing w:line="240" w:lineRule="auto"/>
        <w:jc w:val="both"/>
        <w:rPr>
          <w:color w:val="000000" w:themeColor="text1"/>
          <w:sz w:val="16"/>
          <w:szCs w:val="16"/>
        </w:rPr>
      </w:pPr>
      <w:r w:rsidRPr="007122AB">
        <w:rPr>
          <w:color w:val="000000" w:themeColor="text1"/>
          <w:sz w:val="16"/>
          <w:szCs w:val="16"/>
          <w:lang w:bidi="ru-RU"/>
        </w:rPr>
        <w:t xml:space="preserve">20 мая 1931 года </w:t>
      </w:r>
      <w:proofErr w:type="spellStart"/>
      <w:r w:rsidRPr="007122AB">
        <w:rPr>
          <w:color w:val="000000" w:themeColor="text1"/>
          <w:sz w:val="16"/>
          <w:szCs w:val="16"/>
          <w:lang w:bidi="ru-RU"/>
        </w:rPr>
        <w:t>Эккенер</w:t>
      </w:r>
      <w:proofErr w:type="spellEnd"/>
      <w:r w:rsidRPr="007122AB">
        <w:rPr>
          <w:color w:val="000000" w:themeColor="text1"/>
          <w:sz w:val="16"/>
          <w:szCs w:val="16"/>
          <w:lang w:bidi="ru-RU"/>
        </w:rPr>
        <w:t xml:space="preserve"> и </w:t>
      </w:r>
      <w:proofErr w:type="spellStart"/>
      <w:r w:rsidRPr="007122AB">
        <w:rPr>
          <w:color w:val="000000" w:themeColor="text1"/>
          <w:sz w:val="16"/>
          <w:szCs w:val="16"/>
          <w:lang w:bidi="ru-RU"/>
        </w:rPr>
        <w:t>Гольцман</w:t>
      </w:r>
      <w:proofErr w:type="spellEnd"/>
      <w:r w:rsidRPr="007122AB">
        <w:rPr>
          <w:color w:val="000000" w:themeColor="text1"/>
          <w:sz w:val="16"/>
          <w:szCs w:val="16"/>
          <w:lang w:bidi="ru-RU"/>
        </w:rPr>
        <w:t xml:space="preserve">, специально приехавший в Берлин, заключили предварительный договор, подлежавший ратификации правительствами Германии и СССР. Его условия несколько отличались от изложенных в письме </w:t>
      </w:r>
      <w:proofErr w:type="spellStart"/>
      <w:r w:rsidRPr="007122AB">
        <w:rPr>
          <w:color w:val="000000" w:themeColor="text1"/>
          <w:sz w:val="16"/>
          <w:szCs w:val="16"/>
          <w:lang w:bidi="ru-RU"/>
        </w:rPr>
        <w:t>Эккенера</w:t>
      </w:r>
      <w:proofErr w:type="spellEnd"/>
      <w:r w:rsidRPr="007122AB">
        <w:rPr>
          <w:color w:val="000000" w:themeColor="text1"/>
          <w:sz w:val="16"/>
          <w:szCs w:val="16"/>
          <w:lang w:bidi="ru-RU"/>
        </w:rPr>
        <w:t>. За вознаграждение в общей сумме 5 млн марок «</w:t>
      </w:r>
      <w:proofErr w:type="spellStart"/>
      <w:r w:rsidRPr="007122AB">
        <w:rPr>
          <w:color w:val="000000" w:themeColor="text1"/>
          <w:sz w:val="16"/>
          <w:szCs w:val="16"/>
          <w:lang w:bidi="ru-RU"/>
        </w:rPr>
        <w:t>Люфтшиффбау</w:t>
      </w:r>
      <w:proofErr w:type="spellEnd"/>
      <w:r w:rsidRPr="007122AB">
        <w:rPr>
          <w:color w:val="000000" w:themeColor="text1"/>
          <w:sz w:val="16"/>
          <w:szCs w:val="16"/>
          <w:lang w:bidi="ru-RU"/>
        </w:rPr>
        <w:t xml:space="preserve"> Цеппелин» бралась решить две задачи:</w:t>
      </w:r>
    </w:p>
    <w:p w14:paraId="28A6F8EB" w14:textId="77777777" w:rsidR="00E95682" w:rsidRPr="007122AB" w:rsidRDefault="00E95682" w:rsidP="007122AB">
      <w:pPr>
        <w:pStyle w:val="5b"/>
        <w:spacing w:line="240" w:lineRule="auto"/>
        <w:jc w:val="both"/>
        <w:rPr>
          <w:color w:val="000000" w:themeColor="text1"/>
          <w:sz w:val="16"/>
          <w:szCs w:val="16"/>
        </w:rPr>
      </w:pPr>
      <w:r w:rsidRPr="007122AB">
        <w:rPr>
          <w:color w:val="000000" w:themeColor="text1"/>
          <w:sz w:val="16"/>
          <w:szCs w:val="16"/>
          <w:lang w:bidi="ru-RU"/>
        </w:rPr>
        <w:t>1) за 3,5 млн марок построить в Германии для СССР дирижабль объёмом около 30 тыс. кубометров и</w:t>
      </w:r>
    </w:p>
    <w:p w14:paraId="6386DC9D" w14:textId="77777777" w:rsidR="0099054C" w:rsidRPr="007122AB" w:rsidRDefault="00E95682" w:rsidP="007122AB">
      <w:pPr>
        <w:pStyle w:val="5b"/>
        <w:spacing w:line="240" w:lineRule="auto"/>
        <w:jc w:val="both"/>
        <w:rPr>
          <w:color w:val="000000" w:themeColor="text1"/>
          <w:sz w:val="16"/>
          <w:szCs w:val="16"/>
          <w:lang w:bidi="ru-RU"/>
        </w:rPr>
      </w:pPr>
      <w:r w:rsidRPr="007122AB">
        <w:rPr>
          <w:color w:val="000000" w:themeColor="text1"/>
          <w:sz w:val="16"/>
          <w:szCs w:val="16"/>
          <w:lang w:bidi="ru-RU"/>
        </w:rPr>
        <w:t>2) оказать советской стороне помощь в налаживании выпуска большого корабля в 150-200 тыс. кубометров за вознаграждение в размере 1,5 млн марок</w:t>
      </w:r>
      <w:r w:rsidR="0099054C" w:rsidRPr="007122AB">
        <w:rPr>
          <w:color w:val="000000" w:themeColor="text1"/>
          <w:sz w:val="16"/>
          <w:szCs w:val="16"/>
          <w:lang w:bidi="ru-RU"/>
        </w:rPr>
        <w:t>.</w:t>
      </w:r>
    </w:p>
    <w:p w14:paraId="47CA514B" w14:textId="77777777" w:rsidR="0099054C" w:rsidRPr="007122AB" w:rsidRDefault="0099054C" w:rsidP="007122AB">
      <w:pPr>
        <w:pStyle w:val="5b"/>
        <w:spacing w:line="240" w:lineRule="auto"/>
        <w:jc w:val="both"/>
        <w:rPr>
          <w:color w:val="000000" w:themeColor="text1"/>
          <w:sz w:val="16"/>
          <w:szCs w:val="16"/>
        </w:rPr>
      </w:pPr>
      <w:proofErr w:type="spellStart"/>
      <w:r w:rsidRPr="007122AB">
        <w:rPr>
          <w:color w:val="000000" w:themeColor="text1"/>
          <w:sz w:val="16"/>
          <w:szCs w:val="16"/>
          <w:lang w:bidi="ru-RU"/>
        </w:rPr>
        <w:t>Гольцман</w:t>
      </w:r>
      <w:proofErr w:type="spellEnd"/>
      <w:r w:rsidRPr="007122AB">
        <w:rPr>
          <w:color w:val="000000" w:themeColor="text1"/>
          <w:sz w:val="16"/>
          <w:szCs w:val="16"/>
          <w:lang w:bidi="ru-RU"/>
        </w:rPr>
        <w:t xml:space="preserve">, вернувшись в Москву, представил проект договора с </w:t>
      </w:r>
      <w:proofErr w:type="spellStart"/>
      <w:r w:rsidRPr="007122AB">
        <w:rPr>
          <w:color w:val="000000" w:themeColor="text1"/>
          <w:sz w:val="16"/>
          <w:szCs w:val="16"/>
          <w:lang w:bidi="ru-RU"/>
        </w:rPr>
        <w:t>Эккенером</w:t>
      </w:r>
      <w:proofErr w:type="spellEnd"/>
      <w:r w:rsidRPr="007122AB">
        <w:rPr>
          <w:color w:val="000000" w:themeColor="text1"/>
          <w:sz w:val="16"/>
          <w:szCs w:val="16"/>
          <w:lang w:bidi="ru-RU"/>
        </w:rPr>
        <w:t xml:space="preserve"> в Политбюро, которое в начале июня передало его на предварительное рассмотрение Молотова, а ещё через месяц - в комиссию под его же председательством с участием Ворошилова, В. Куйбышева и </w:t>
      </w:r>
      <w:proofErr w:type="spellStart"/>
      <w:r w:rsidRPr="007122AB">
        <w:rPr>
          <w:color w:val="000000" w:themeColor="text1"/>
          <w:sz w:val="16"/>
          <w:szCs w:val="16"/>
          <w:lang w:bidi="ru-RU"/>
        </w:rPr>
        <w:t>Гольцмана</w:t>
      </w:r>
      <w:proofErr w:type="spellEnd"/>
      <w:r w:rsidRPr="007122AB">
        <w:rPr>
          <w:color w:val="000000" w:themeColor="text1"/>
          <w:sz w:val="16"/>
          <w:szCs w:val="16"/>
          <w:lang w:bidi="ru-RU"/>
        </w:rPr>
        <w:t>, дав поручение при отсутствии разногласий утвердить договор от имени Политбюро.</w:t>
      </w:r>
    </w:p>
    <w:p w14:paraId="28A81BF3" w14:textId="78ADD6E7" w:rsidR="00E95682" w:rsidRPr="007122AB" w:rsidRDefault="0099054C" w:rsidP="007122AB">
      <w:pPr>
        <w:pStyle w:val="5b"/>
        <w:spacing w:line="240" w:lineRule="auto"/>
        <w:jc w:val="both"/>
        <w:rPr>
          <w:color w:val="000000" w:themeColor="text1"/>
          <w:sz w:val="16"/>
          <w:szCs w:val="16"/>
        </w:rPr>
      </w:pPr>
      <w:r w:rsidRPr="007122AB">
        <w:rPr>
          <w:color w:val="000000" w:themeColor="text1"/>
          <w:sz w:val="16"/>
          <w:szCs w:val="16"/>
          <w:lang w:bidi="ru-RU"/>
        </w:rPr>
        <w:t xml:space="preserve">Если только намерения </w:t>
      </w:r>
      <w:proofErr w:type="spellStart"/>
      <w:r w:rsidRPr="007122AB">
        <w:rPr>
          <w:color w:val="000000" w:themeColor="text1"/>
          <w:sz w:val="16"/>
          <w:szCs w:val="16"/>
          <w:lang w:bidi="ru-RU"/>
        </w:rPr>
        <w:t>Эккенера</w:t>
      </w:r>
      <w:proofErr w:type="spellEnd"/>
      <w:r w:rsidRPr="007122AB">
        <w:rPr>
          <w:color w:val="000000" w:themeColor="text1"/>
          <w:sz w:val="16"/>
          <w:szCs w:val="16"/>
          <w:lang w:bidi="ru-RU"/>
        </w:rPr>
        <w:t xml:space="preserve"> были действительно серьёзными, этот момент стал развилкой, на которой советское дирижаблестроение могло свернуть на «</w:t>
      </w:r>
      <w:proofErr w:type="spellStart"/>
      <w:r w:rsidRPr="007122AB">
        <w:rPr>
          <w:color w:val="000000" w:themeColor="text1"/>
          <w:sz w:val="16"/>
          <w:szCs w:val="16"/>
          <w:lang w:bidi="ru-RU"/>
        </w:rPr>
        <w:t>цеппелиновский</w:t>
      </w:r>
      <w:proofErr w:type="spellEnd"/>
      <w:r w:rsidRPr="007122AB">
        <w:rPr>
          <w:color w:val="000000" w:themeColor="text1"/>
          <w:sz w:val="16"/>
          <w:szCs w:val="16"/>
          <w:lang w:bidi="ru-RU"/>
        </w:rPr>
        <w:t xml:space="preserve">» путь больших жёстких кораблей, и вся его история сложилась бы иначе </w:t>
      </w:r>
      <w:r w:rsidR="00E95682" w:rsidRPr="007122AB">
        <w:rPr>
          <w:color w:val="000000" w:themeColor="text1"/>
          <w:sz w:val="16"/>
          <w:szCs w:val="16"/>
          <w:lang w:bidi="ru-RU"/>
        </w:rPr>
        <w:t>(23192).</w:t>
      </w:r>
    </w:p>
    <w:p w14:paraId="6B751C1A" w14:textId="77777777" w:rsidR="00E95682" w:rsidRPr="007122AB" w:rsidRDefault="00E95682"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752C1F64" w14:textId="78839842"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8BD3CE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D67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вышел приказ ВСНХ СССР N 73 об обеспечении организации производства БТ на ХПЗ и создании (3879,6).</w:t>
      </w:r>
    </w:p>
    <w:p w14:paraId="152A5C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2AC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года вышел Приказ ВСНХ СССР № 37 об обеспечении организации производства танков БТ на ГХПЗ и создание специального конструкторского бюро БТ на базе конструкторского бюро Т2К.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(10278).</w:t>
      </w:r>
    </w:p>
    <w:p w14:paraId="246772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AC80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21 мая 1931 года вышел Приказа ВСНХ СССР № 37 об обеспечении организации производства танков БТ на ГХПЗ и создание специального конструкторского бюро БТ на базе конструкторского бюро Т2К. Правда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Окончательное решение о свертывании производства маневренного танка Т-24 и организацию серийного производства танка БТ было закреплено в Протоколе № 6 Комиссии Обороны СССР от 23 мая 1931 года (10710).</w:t>
      </w:r>
    </w:p>
    <w:p w14:paraId="07BE77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ECB741"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21 Мая 1931 г. вышел приказ:</w:t>
      </w:r>
    </w:p>
    <w:p w14:paraId="043F0E09"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ВЫПИСКА ИЗ ПРИКАЗА</w:t>
      </w:r>
    </w:p>
    <w:p w14:paraId="020A2572"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 Высшему Совету Народного Хозяйства № 73 сс Москва, 21 Мая 31 г.</w:t>
      </w:r>
    </w:p>
    <w:p w14:paraId="5A4B4667"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целях обеспечения организации на Харьковском Паровозостроительном Заводе производства танков Б-Т (танка Кристи) и выполнения программы строительства таковых в 1931 г. НАДЛЕЖИТ: </w:t>
      </w:r>
    </w:p>
    <w:p w14:paraId="14D8BBE8"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w:t>
      </w:r>
      <w:proofErr w:type="spellStart"/>
      <w:r w:rsidRPr="007122AB">
        <w:rPr>
          <w:rFonts w:ascii="Times New Roman" w:eastAsia="Times New Roman" w:hAnsi="Times New Roman"/>
          <w:color w:val="000000" w:themeColor="text1"/>
          <w:sz w:val="16"/>
          <w:szCs w:val="16"/>
          <w:lang w:eastAsia="ru-RU"/>
        </w:rPr>
        <w:t>ПАРВАГДИЗу</w:t>
      </w:r>
      <w:proofErr w:type="spellEnd"/>
      <w:r w:rsidRPr="007122AB">
        <w:rPr>
          <w:rFonts w:ascii="Times New Roman" w:eastAsia="Times New Roman" w:hAnsi="Times New Roman"/>
          <w:color w:val="000000" w:themeColor="text1"/>
          <w:sz w:val="16"/>
          <w:szCs w:val="16"/>
          <w:lang w:eastAsia="ru-RU"/>
        </w:rPr>
        <w:t xml:space="preserve"> немедленно организовать на ХПЗ Конструкторское Бюро в составе: а) 11 инженеров и 4 чертежников-конструкторов от Главного Конструкторского Бюро ОРПО, б) 15 инженеров и конструкторов от НАТИ ВАТО, в) от Ижорского завода </w:t>
      </w:r>
      <w:proofErr w:type="spellStart"/>
      <w:r w:rsidRPr="007122AB">
        <w:rPr>
          <w:rFonts w:ascii="Times New Roman" w:eastAsia="Times New Roman" w:hAnsi="Times New Roman"/>
          <w:color w:val="000000" w:themeColor="text1"/>
          <w:sz w:val="16"/>
          <w:szCs w:val="16"/>
          <w:lang w:eastAsia="ru-RU"/>
        </w:rPr>
        <w:t>ВОМТа</w:t>
      </w:r>
      <w:proofErr w:type="spellEnd"/>
      <w:r w:rsidRPr="007122AB">
        <w:rPr>
          <w:rFonts w:ascii="Times New Roman" w:eastAsia="Times New Roman" w:hAnsi="Times New Roman"/>
          <w:color w:val="000000" w:themeColor="text1"/>
          <w:sz w:val="16"/>
          <w:szCs w:val="16"/>
          <w:lang w:eastAsia="ru-RU"/>
        </w:rPr>
        <w:t xml:space="preserve"> 2 конструкторов тт. </w:t>
      </w:r>
      <w:proofErr w:type="spellStart"/>
      <w:r w:rsidRPr="007122AB">
        <w:rPr>
          <w:rFonts w:ascii="Times New Roman" w:eastAsia="Times New Roman" w:hAnsi="Times New Roman"/>
          <w:color w:val="000000" w:themeColor="text1"/>
          <w:sz w:val="16"/>
          <w:szCs w:val="16"/>
          <w:lang w:eastAsia="ru-RU"/>
        </w:rPr>
        <w:t>Кульмина</w:t>
      </w:r>
      <w:proofErr w:type="spellEnd"/>
      <w:r w:rsidRPr="007122AB">
        <w:rPr>
          <w:rFonts w:ascii="Times New Roman" w:eastAsia="Times New Roman" w:hAnsi="Times New Roman"/>
          <w:color w:val="000000" w:themeColor="text1"/>
          <w:sz w:val="16"/>
          <w:szCs w:val="16"/>
          <w:lang w:eastAsia="ru-RU"/>
        </w:rPr>
        <w:t xml:space="preserve"> и Мицкевича, г) от УММ РККА тт. </w:t>
      </w:r>
      <w:proofErr w:type="spellStart"/>
      <w:r w:rsidRPr="007122AB">
        <w:rPr>
          <w:rFonts w:ascii="Times New Roman" w:eastAsia="Times New Roman" w:hAnsi="Times New Roman"/>
          <w:color w:val="000000" w:themeColor="text1"/>
          <w:sz w:val="16"/>
          <w:szCs w:val="16"/>
          <w:lang w:eastAsia="ru-RU"/>
        </w:rPr>
        <w:t>Тоскина</w:t>
      </w:r>
      <w:proofErr w:type="spellEnd"/>
      <w:r w:rsidRPr="007122AB">
        <w:rPr>
          <w:rFonts w:ascii="Times New Roman" w:eastAsia="Times New Roman" w:hAnsi="Times New Roman"/>
          <w:color w:val="000000" w:themeColor="text1"/>
          <w:sz w:val="16"/>
          <w:szCs w:val="16"/>
          <w:lang w:eastAsia="ru-RU"/>
        </w:rPr>
        <w:t xml:space="preserve"> и Рожкова, д) от ХПЗ – танко-конструкторское бюро в полном составе; кроме того с 10 Июня директор ХПЗ обеспечивает Бюро 30-ю копировщиками. </w:t>
      </w:r>
    </w:p>
    <w:p w14:paraId="59AD7FA2"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Руководство организацией этого конструкторского бюро и налаживание конструкторских работ возложить на Н-ка Гл. Конструкторского Бюро ОРПО т. Гинзбурга, который командируется для этой цели на ХПЗ на 10 дней с последующими поездками для руководства. Заместителем т. Гинсбурга назначается Председатель танковой Техкома УММ РККА т. </w:t>
      </w:r>
      <w:proofErr w:type="spellStart"/>
      <w:r w:rsidRPr="007122AB">
        <w:rPr>
          <w:rFonts w:ascii="Times New Roman" w:eastAsia="Times New Roman" w:hAnsi="Times New Roman"/>
          <w:color w:val="000000" w:themeColor="text1"/>
          <w:sz w:val="16"/>
          <w:szCs w:val="16"/>
          <w:lang w:eastAsia="ru-RU"/>
        </w:rPr>
        <w:t>Тоскин</w:t>
      </w:r>
      <w:proofErr w:type="spellEnd"/>
      <w:r w:rsidRPr="007122AB">
        <w:rPr>
          <w:rFonts w:ascii="Times New Roman" w:eastAsia="Times New Roman" w:hAnsi="Times New Roman"/>
          <w:color w:val="000000" w:themeColor="text1"/>
          <w:sz w:val="16"/>
          <w:szCs w:val="16"/>
          <w:lang w:eastAsia="ru-RU"/>
        </w:rPr>
        <w:t xml:space="preserve">. </w:t>
      </w:r>
    </w:p>
    <w:p w14:paraId="70064736"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ОРПО, ВАТО и </w:t>
      </w:r>
      <w:proofErr w:type="spellStart"/>
      <w:r w:rsidRPr="007122AB">
        <w:rPr>
          <w:rFonts w:ascii="Times New Roman" w:eastAsia="Times New Roman" w:hAnsi="Times New Roman"/>
          <w:color w:val="000000" w:themeColor="text1"/>
          <w:sz w:val="16"/>
          <w:szCs w:val="16"/>
          <w:lang w:eastAsia="ru-RU"/>
        </w:rPr>
        <w:t>ВОМТу</w:t>
      </w:r>
      <w:proofErr w:type="spellEnd"/>
      <w:r w:rsidRPr="007122AB">
        <w:rPr>
          <w:rFonts w:ascii="Times New Roman" w:eastAsia="Times New Roman" w:hAnsi="Times New Roman"/>
          <w:color w:val="000000" w:themeColor="text1"/>
          <w:sz w:val="16"/>
          <w:szCs w:val="16"/>
          <w:lang w:eastAsia="ru-RU"/>
        </w:rPr>
        <w:t xml:space="preserve"> принять меры к немедленному командированию на ХПЗ перечисленных работников. </w:t>
      </w:r>
    </w:p>
    <w:p w14:paraId="3BE6C8E5"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Конструкторское Бюро ХПЗ в указанном составе изготовляет рабочие чертежи и спецификации танка Б-Т в 1½ месячный срок (к 15 Июля </w:t>
      </w:r>
      <w:proofErr w:type="spellStart"/>
      <w:r w:rsidRPr="007122AB">
        <w:rPr>
          <w:rFonts w:ascii="Times New Roman" w:eastAsia="Times New Roman" w:hAnsi="Times New Roman"/>
          <w:color w:val="000000" w:themeColor="text1"/>
          <w:sz w:val="16"/>
          <w:szCs w:val="16"/>
          <w:lang w:eastAsia="ru-RU"/>
        </w:rPr>
        <w:t>с.г</w:t>
      </w:r>
      <w:proofErr w:type="spellEnd"/>
      <w:r w:rsidRPr="007122AB">
        <w:rPr>
          <w:rFonts w:ascii="Times New Roman" w:eastAsia="Times New Roman" w:hAnsi="Times New Roman"/>
          <w:color w:val="000000" w:themeColor="text1"/>
          <w:sz w:val="16"/>
          <w:szCs w:val="16"/>
          <w:lang w:eastAsia="ru-RU"/>
        </w:rPr>
        <w:t xml:space="preserve">.). </w:t>
      </w:r>
    </w:p>
    <w:p w14:paraId="1FB5D0C9"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Для разработки технологического процесса производства танков Б-Т директор ХПЗ организует Техническое Бюро; в помощь работникам завода выделяется: от </w:t>
      </w:r>
      <w:proofErr w:type="spellStart"/>
      <w:r w:rsidRPr="007122AB">
        <w:rPr>
          <w:rFonts w:ascii="Times New Roman" w:eastAsia="Times New Roman" w:hAnsi="Times New Roman"/>
          <w:color w:val="000000" w:themeColor="text1"/>
          <w:sz w:val="16"/>
          <w:szCs w:val="16"/>
          <w:lang w:eastAsia="ru-RU"/>
        </w:rPr>
        <w:t>Укргипромаша</w:t>
      </w:r>
      <w:proofErr w:type="spellEnd"/>
      <w:r w:rsidRPr="007122AB">
        <w:rPr>
          <w:rFonts w:ascii="Times New Roman" w:eastAsia="Times New Roman" w:hAnsi="Times New Roman"/>
          <w:color w:val="000000" w:themeColor="text1"/>
          <w:sz w:val="16"/>
          <w:szCs w:val="16"/>
          <w:lang w:eastAsia="ru-RU"/>
        </w:rPr>
        <w:t xml:space="preserve"> 5 высококвалифицированных инженеров. Проектирование технологического процесса, приспособлений, инструмента, штампов и пр. должно быть закончено не позднее 15-го Августа </w:t>
      </w:r>
      <w:proofErr w:type="spellStart"/>
      <w:r w:rsidRPr="007122AB">
        <w:rPr>
          <w:rFonts w:ascii="Times New Roman" w:eastAsia="Times New Roman" w:hAnsi="Times New Roman"/>
          <w:color w:val="000000" w:themeColor="text1"/>
          <w:sz w:val="16"/>
          <w:szCs w:val="16"/>
          <w:lang w:eastAsia="ru-RU"/>
        </w:rPr>
        <w:t>с.г</w:t>
      </w:r>
      <w:proofErr w:type="spellEnd"/>
      <w:r w:rsidRPr="007122AB">
        <w:rPr>
          <w:rFonts w:ascii="Times New Roman" w:eastAsia="Times New Roman" w:hAnsi="Times New Roman"/>
          <w:color w:val="000000" w:themeColor="text1"/>
          <w:sz w:val="16"/>
          <w:szCs w:val="16"/>
          <w:lang w:eastAsia="ru-RU"/>
        </w:rPr>
        <w:t xml:space="preserve">. </w:t>
      </w:r>
    </w:p>
    <w:p w14:paraId="1D176F76"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п.п</w:t>
      </w:r>
      <w:proofErr w:type="spellEnd"/>
      <w:r w:rsidRPr="007122AB">
        <w:rPr>
          <w:rFonts w:ascii="Times New Roman" w:eastAsia="Times New Roman" w:hAnsi="Times New Roman"/>
          <w:color w:val="000000" w:themeColor="text1"/>
          <w:sz w:val="16"/>
          <w:szCs w:val="16"/>
          <w:lang w:eastAsia="ru-RU"/>
        </w:rPr>
        <w:t xml:space="preserve">. Зам. Пред. ВСНХ СССР – </w:t>
      </w:r>
      <w:proofErr w:type="spellStart"/>
      <w:r w:rsidRPr="007122AB">
        <w:rPr>
          <w:rFonts w:ascii="Times New Roman" w:eastAsia="Times New Roman" w:hAnsi="Times New Roman"/>
          <w:color w:val="000000" w:themeColor="text1"/>
          <w:sz w:val="16"/>
          <w:szCs w:val="16"/>
          <w:lang w:eastAsia="ru-RU"/>
        </w:rPr>
        <w:t>Павлуновский</w:t>
      </w:r>
      <w:proofErr w:type="spellEnd"/>
    </w:p>
    <w:p w14:paraId="271BBD70"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Верно: Пом. секретаря СШО ВСНХ СССР – Сидорова</w:t>
      </w:r>
    </w:p>
    <w:p w14:paraId="6E3F34AC"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Выписка отпечатана в 3 экз. </w:t>
      </w:r>
    </w:p>
    <w:p w14:paraId="09D4932A"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"22" Мая 1931 г. </w:t>
      </w:r>
    </w:p>
    <w:p w14:paraId="3B1E5C4B"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Выписка верна: Управделами НТК УММ РККА подпись</w:t>
      </w:r>
    </w:p>
    <w:p w14:paraId="16C77F44"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3 Дело 88 лист 1</w:t>
      </w:r>
      <w:r w:rsidRPr="007122AB">
        <w:rPr>
          <w:rFonts w:ascii="Times New Roman" w:eastAsia="Times New Roman" w:hAnsi="Times New Roman"/>
          <w:color w:val="000000" w:themeColor="text1"/>
          <w:sz w:val="16"/>
          <w:szCs w:val="16"/>
          <w:lang w:eastAsia="ru-RU"/>
        </w:rPr>
        <w:t xml:space="preserve"> (17508).</w:t>
      </w:r>
    </w:p>
    <w:p w14:paraId="7E6A1B42" w14:textId="77777777" w:rsidR="0034735B" w:rsidRPr="007122AB" w:rsidRDefault="0034735B" w:rsidP="007122AB">
      <w:pPr>
        <w:spacing w:after="0" w:line="240" w:lineRule="auto"/>
        <w:jc w:val="both"/>
        <w:rPr>
          <w:rFonts w:ascii="Times New Roman" w:eastAsia="Times New Roman" w:hAnsi="Times New Roman"/>
          <w:color w:val="000000" w:themeColor="text1"/>
          <w:sz w:val="16"/>
          <w:szCs w:val="16"/>
          <w:lang w:eastAsia="ru-RU"/>
        </w:rPr>
      </w:pPr>
    </w:p>
    <w:p w14:paraId="47A49EB9"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г.</w:t>
      </w:r>
    </w:p>
    <w:p w14:paraId="116A00D7"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Копия. </w:t>
      </w:r>
    </w:p>
    <w:p w14:paraId="2AAF0595"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Сов. Секретно </w:t>
      </w:r>
    </w:p>
    <w:p w14:paraId="1775F7ED"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Экз. № 3 </w:t>
      </w:r>
    </w:p>
    <w:p w14:paraId="23B50DED"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ВЫПИСКА ИЗ ПРИКАЗА</w:t>
      </w:r>
    </w:p>
    <w:p w14:paraId="73E3F3DE"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Высшему Совету Народного Хозяйства № 73 сс Москва, 21 Мая 31 г.</w:t>
      </w:r>
    </w:p>
    <w:p w14:paraId="0B0F8363"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целях обеспечения организации на Харьковском Паровозостроительном Заводе производства танков Б-Т (танка Кристи) и выполнения программы строительства таковых в 1931 г. НАДЛЕЖИТ: </w:t>
      </w:r>
    </w:p>
    <w:p w14:paraId="6D302AA1"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ПАРВАГДИЗу</w:t>
      </w:r>
      <w:proofErr w:type="spellEnd"/>
      <w:r w:rsidRPr="007122AB">
        <w:rPr>
          <w:rFonts w:ascii="Times New Roman" w:hAnsi="Times New Roman"/>
          <w:color w:val="000000" w:themeColor="text1"/>
          <w:sz w:val="16"/>
          <w:szCs w:val="16"/>
        </w:rPr>
        <w:t xml:space="preserve"> немедленно организовать на ХПЗ Конструкторское Бюро в составе: а) 11 инженеров и 4 чертежников-конструкторов от Главного Конструкторского Бюро ОРПО, б) 15 инженеров и конструкторов от НАТИ ВАТО, в) от Ижорского завода </w:t>
      </w:r>
      <w:proofErr w:type="spellStart"/>
      <w:r w:rsidRPr="007122AB">
        <w:rPr>
          <w:rFonts w:ascii="Times New Roman" w:hAnsi="Times New Roman"/>
          <w:color w:val="000000" w:themeColor="text1"/>
          <w:sz w:val="16"/>
          <w:szCs w:val="16"/>
        </w:rPr>
        <w:t>ВОМТа</w:t>
      </w:r>
      <w:proofErr w:type="spellEnd"/>
      <w:r w:rsidRPr="007122AB">
        <w:rPr>
          <w:rFonts w:ascii="Times New Roman" w:hAnsi="Times New Roman"/>
          <w:color w:val="000000" w:themeColor="text1"/>
          <w:sz w:val="16"/>
          <w:szCs w:val="16"/>
        </w:rPr>
        <w:t xml:space="preserve"> 2 конструкторов тт. </w:t>
      </w:r>
      <w:proofErr w:type="spellStart"/>
      <w:r w:rsidRPr="007122AB">
        <w:rPr>
          <w:rFonts w:ascii="Times New Roman" w:hAnsi="Times New Roman"/>
          <w:color w:val="000000" w:themeColor="text1"/>
          <w:sz w:val="16"/>
          <w:szCs w:val="16"/>
        </w:rPr>
        <w:t>Кульмина</w:t>
      </w:r>
      <w:proofErr w:type="spellEnd"/>
      <w:r w:rsidRPr="007122AB">
        <w:rPr>
          <w:rFonts w:ascii="Times New Roman" w:hAnsi="Times New Roman"/>
          <w:color w:val="000000" w:themeColor="text1"/>
          <w:sz w:val="16"/>
          <w:szCs w:val="16"/>
        </w:rPr>
        <w:t xml:space="preserve"> и Мицкевича, г) от УММ РККА тт. </w:t>
      </w:r>
      <w:proofErr w:type="spellStart"/>
      <w:r w:rsidRPr="007122AB">
        <w:rPr>
          <w:rFonts w:ascii="Times New Roman" w:hAnsi="Times New Roman"/>
          <w:color w:val="000000" w:themeColor="text1"/>
          <w:sz w:val="16"/>
          <w:szCs w:val="16"/>
        </w:rPr>
        <w:t>Тоскина</w:t>
      </w:r>
      <w:proofErr w:type="spellEnd"/>
      <w:r w:rsidRPr="007122AB">
        <w:rPr>
          <w:rFonts w:ascii="Times New Roman" w:hAnsi="Times New Roman"/>
          <w:color w:val="000000" w:themeColor="text1"/>
          <w:sz w:val="16"/>
          <w:szCs w:val="16"/>
        </w:rPr>
        <w:t xml:space="preserve"> и Рожкова, д) от ХПЗ – танко-конструкторское бюро в полном составе; кроме того с 10 Июня директор ХПЗ обеспечивает Бюро 30-ю копировщиками. </w:t>
      </w:r>
    </w:p>
    <w:p w14:paraId="6BE04F22"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Руководство организацией этого конструкторского бюро и налаживание конструкторских работ возложить на Н-ка Гл. Конструкторского Бюро ОРПО т. Гинзбурга, который командируется для этой цели на ХПЗ на 10 дней с последующими поездками для руководства. Заместителем т. Гинсбурга назначается Председатель танковой Техкома УММ РККА т.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xml:space="preserve">. </w:t>
      </w:r>
    </w:p>
    <w:p w14:paraId="1748B3E1"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ОРПО, ВАТО и </w:t>
      </w:r>
      <w:proofErr w:type="spellStart"/>
      <w:r w:rsidRPr="007122AB">
        <w:rPr>
          <w:rFonts w:ascii="Times New Roman" w:hAnsi="Times New Roman"/>
          <w:color w:val="000000" w:themeColor="text1"/>
          <w:sz w:val="16"/>
          <w:szCs w:val="16"/>
        </w:rPr>
        <w:t>ВОМТу</w:t>
      </w:r>
      <w:proofErr w:type="spellEnd"/>
      <w:r w:rsidRPr="007122AB">
        <w:rPr>
          <w:rFonts w:ascii="Times New Roman" w:hAnsi="Times New Roman"/>
          <w:color w:val="000000" w:themeColor="text1"/>
          <w:sz w:val="16"/>
          <w:szCs w:val="16"/>
        </w:rPr>
        <w:t xml:space="preserve"> принять меры к немедленному командированию на ХПЗ перечисленных работников. </w:t>
      </w:r>
    </w:p>
    <w:p w14:paraId="5B298133"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Конструкторское Бюро ХПЗ в указанном составе изготовляет рабочие чертежи и спецификации танка Б-Т в 1½ месячный срок (к 15 Июля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w:t>
      </w:r>
    </w:p>
    <w:p w14:paraId="624E5FC9"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Для разработки технологического процесса производства танков Б-Т директор ХПЗ организует Техническое Бюро; в помощь работникам завода выделяется: от </w:t>
      </w:r>
      <w:proofErr w:type="spellStart"/>
      <w:r w:rsidRPr="007122AB">
        <w:rPr>
          <w:rFonts w:ascii="Times New Roman" w:hAnsi="Times New Roman"/>
          <w:color w:val="000000" w:themeColor="text1"/>
          <w:sz w:val="16"/>
          <w:szCs w:val="16"/>
        </w:rPr>
        <w:t>Укргипромаша</w:t>
      </w:r>
      <w:proofErr w:type="spellEnd"/>
      <w:r w:rsidRPr="007122AB">
        <w:rPr>
          <w:rFonts w:ascii="Times New Roman" w:hAnsi="Times New Roman"/>
          <w:color w:val="000000" w:themeColor="text1"/>
          <w:sz w:val="16"/>
          <w:szCs w:val="16"/>
        </w:rPr>
        <w:t xml:space="preserve"> 5 высококвалифицированных инженеров. Проектирование технологического процесса, приспособлений, инструмента, штампов и пр. должно быть закончено не позднее 15-го Августа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w:t>
      </w:r>
    </w:p>
    <w:p w14:paraId="73BD8F30" w14:textId="77777777" w:rsidR="0034735B" w:rsidRPr="007122AB" w:rsidRDefault="0034735B"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п.п</w:t>
      </w:r>
      <w:proofErr w:type="spellEnd"/>
      <w:r w:rsidRPr="007122AB">
        <w:rPr>
          <w:rFonts w:ascii="Times New Roman" w:hAnsi="Times New Roman"/>
          <w:color w:val="000000" w:themeColor="text1"/>
          <w:sz w:val="16"/>
          <w:szCs w:val="16"/>
        </w:rPr>
        <w:t xml:space="preserve">. Зам. Пред. ВСНХ СССР – </w:t>
      </w:r>
      <w:proofErr w:type="spellStart"/>
      <w:r w:rsidRPr="007122AB">
        <w:rPr>
          <w:rFonts w:ascii="Times New Roman" w:hAnsi="Times New Roman"/>
          <w:color w:val="000000" w:themeColor="text1"/>
          <w:sz w:val="16"/>
          <w:szCs w:val="16"/>
        </w:rPr>
        <w:t>Павлуновский</w:t>
      </w:r>
      <w:proofErr w:type="spellEnd"/>
    </w:p>
    <w:p w14:paraId="4A2B173A"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Верно: Пом. секретаря СШО ВСНХ СССР – Сидорова</w:t>
      </w:r>
    </w:p>
    <w:p w14:paraId="7226F066"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Выписка отпечатана в 3 экз. </w:t>
      </w:r>
    </w:p>
    <w:p w14:paraId="5AE15B36"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Мая 1931 г. </w:t>
      </w:r>
    </w:p>
    <w:p w14:paraId="1274FEA9"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Выписка верна: Управделами НТК УММ РККА подпись</w:t>
      </w:r>
    </w:p>
    <w:p w14:paraId="2D5A5D48" w14:textId="77777777" w:rsidR="0034735B" w:rsidRPr="007122AB" w:rsidRDefault="003473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РГВА Фонд 31811 Опись 3 Дело 88 лист 1 (17931).</w:t>
      </w:r>
    </w:p>
    <w:p w14:paraId="7EB95C5C" w14:textId="77777777" w:rsidR="0034735B" w:rsidRPr="007122AB" w:rsidRDefault="0034735B" w:rsidP="007122AB">
      <w:pPr>
        <w:spacing w:after="0" w:line="240" w:lineRule="auto"/>
        <w:jc w:val="both"/>
        <w:rPr>
          <w:rFonts w:ascii="Times New Roman" w:hAnsi="Times New Roman"/>
          <w:color w:val="000000" w:themeColor="text1"/>
          <w:sz w:val="16"/>
          <w:szCs w:val="16"/>
        </w:rPr>
      </w:pPr>
    </w:p>
    <w:p w14:paraId="28192105" w14:textId="77777777" w:rsidR="00756F6A" w:rsidRPr="007122AB" w:rsidRDefault="00756F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21 мая 1931 г.</w:t>
      </w:r>
    </w:p>
    <w:p w14:paraId="6714905C" w14:textId="77777777" w:rsidR="00756F6A" w:rsidRPr="007122AB" w:rsidRDefault="00756F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 формировании рабочей группы по разработке и постройке котла «</w:t>
      </w:r>
      <w:proofErr w:type="spellStart"/>
      <w:r w:rsidRPr="007122AB">
        <w:rPr>
          <w:rFonts w:ascii="Times New Roman" w:hAnsi="Times New Roman"/>
          <w:color w:val="000000" w:themeColor="text1"/>
          <w:sz w:val="16"/>
          <w:szCs w:val="16"/>
        </w:rPr>
        <w:t>безбарабанного</w:t>
      </w:r>
      <w:proofErr w:type="spellEnd"/>
      <w:r w:rsidRPr="007122AB">
        <w:rPr>
          <w:rFonts w:ascii="Times New Roman" w:hAnsi="Times New Roman"/>
          <w:color w:val="000000" w:themeColor="text1"/>
          <w:sz w:val="16"/>
          <w:szCs w:val="16"/>
        </w:rPr>
        <w:t xml:space="preserve"> типа». 21 мая 1931 г.</w:t>
      </w:r>
    </w:p>
    <w:p w14:paraId="1AF30792" w14:textId="77777777" w:rsidR="00756F6A" w:rsidRPr="007122AB" w:rsidRDefault="00756F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8761FF6"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6B51BD9" w14:textId="77777777" w:rsidR="00756F6A" w:rsidRPr="007122AB" w:rsidRDefault="00756F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4CFA3ADC"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12</w:t>
      </w:r>
    </w:p>
    <w:p w14:paraId="36B0DA65" w14:textId="77777777" w:rsidR="00756F6A" w:rsidRPr="007122AB" w:rsidRDefault="00756F6A" w:rsidP="007122AB">
      <w:pPr>
        <w:pStyle w:val="rteright"/>
        <w:spacing w:before="0" w:after="0"/>
        <w:jc w:val="both"/>
        <w:rPr>
          <w:color w:val="000000" w:themeColor="text1"/>
          <w:sz w:val="16"/>
          <w:szCs w:val="16"/>
        </w:rPr>
      </w:pPr>
      <w:r w:rsidRPr="007122AB">
        <w:rPr>
          <w:color w:val="000000" w:themeColor="text1"/>
          <w:sz w:val="16"/>
          <w:szCs w:val="16"/>
        </w:rPr>
        <w:t>Не позднее 21 мая 1931 г.</w:t>
      </w:r>
    </w:p>
    <w:p w14:paraId="39B731AE" w14:textId="77777777" w:rsidR="00756F6A" w:rsidRPr="007122AB" w:rsidRDefault="00756F6A" w:rsidP="007122AB">
      <w:pPr>
        <w:pStyle w:val="ae"/>
        <w:spacing w:before="0" w:after="0"/>
        <w:jc w:val="both"/>
        <w:rPr>
          <w:color w:val="000000" w:themeColor="text1"/>
          <w:sz w:val="16"/>
          <w:szCs w:val="16"/>
        </w:rPr>
      </w:pPr>
      <w:r w:rsidRPr="007122AB">
        <w:rPr>
          <w:color w:val="000000" w:themeColor="text1"/>
          <w:sz w:val="16"/>
          <w:szCs w:val="16"/>
        </w:rPr>
        <w:t>НАЧАЛЬНИКУ ЭКУ ОГПУ тов. ПРОКОФЬЕВУ</w:t>
      </w:r>
    </w:p>
    <w:p w14:paraId="43F9A3A6" w14:textId="77777777" w:rsidR="00756F6A" w:rsidRPr="007122AB" w:rsidRDefault="00756F6A" w:rsidP="007122AB">
      <w:pPr>
        <w:pStyle w:val="ae"/>
        <w:spacing w:before="0" w:after="0"/>
        <w:jc w:val="both"/>
        <w:rPr>
          <w:color w:val="000000" w:themeColor="text1"/>
          <w:sz w:val="16"/>
          <w:szCs w:val="16"/>
        </w:rPr>
      </w:pPr>
      <w:r w:rsidRPr="007122AB">
        <w:rPr>
          <w:color w:val="000000" w:themeColor="text1"/>
          <w:sz w:val="16"/>
          <w:szCs w:val="16"/>
        </w:rPr>
        <w:t>РАПОРТ</w:t>
      </w:r>
    </w:p>
    <w:p w14:paraId="5B07DD10" w14:textId="77777777" w:rsidR="00756F6A" w:rsidRPr="007122AB" w:rsidRDefault="00756F6A" w:rsidP="007122AB">
      <w:pPr>
        <w:pStyle w:val="rtejustify"/>
        <w:spacing w:before="0" w:after="0"/>
        <w:rPr>
          <w:color w:val="000000" w:themeColor="text1"/>
          <w:sz w:val="16"/>
          <w:szCs w:val="16"/>
        </w:rPr>
      </w:pPr>
      <w:r w:rsidRPr="007122AB">
        <w:rPr>
          <w:color w:val="000000" w:themeColor="text1"/>
          <w:sz w:val="16"/>
          <w:szCs w:val="16"/>
        </w:rPr>
        <w:t>Доношу, что заключенным РАМЗИНЫМ Л. К. закончен теоретический &lt;проект&gt; котла оригинальной конструкции без барабанного типа. В настоящее время необходимо приступить к его конструированию, составлению чертежей и постройке, — для этой цели прошу придать к РАМЗИНУ нижеследующих инженеров теплотехников:</w:t>
      </w:r>
    </w:p>
    <w:tbl>
      <w:tblPr>
        <w:tblW w:w="0" w:type="auto"/>
        <w:tblCellMar>
          <w:top w:w="15" w:type="dxa"/>
          <w:left w:w="15" w:type="dxa"/>
          <w:bottom w:w="15" w:type="dxa"/>
          <w:right w:w="15" w:type="dxa"/>
        </w:tblCellMar>
        <w:tblLook w:val="04A0" w:firstRow="1" w:lastRow="0" w:firstColumn="1" w:lastColumn="0" w:noHBand="0" w:noVBand="1"/>
      </w:tblPr>
      <w:tblGrid>
        <w:gridCol w:w="2653"/>
        <w:gridCol w:w="70"/>
        <w:gridCol w:w="2582"/>
      </w:tblGrid>
      <w:tr w:rsidR="001002C3" w:rsidRPr="007122AB" w14:paraId="19237217" w14:textId="77777777" w:rsidTr="001C3F77">
        <w:tc>
          <w:tcPr>
            <w:tcW w:w="0" w:type="auto"/>
            <w:vAlign w:val="center"/>
            <w:hideMark/>
          </w:tcPr>
          <w:p w14:paraId="57B88CC5"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ЦЕЙЦ Николай Валентинович</w:t>
            </w:r>
          </w:p>
          <w:p w14:paraId="5DFD593A"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РЕВАКАТОВ Николай Николаевич</w:t>
            </w:r>
          </w:p>
          <w:p w14:paraId="5B54E2FB"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МИЛЛЕР Антон Николаевич</w:t>
            </w:r>
          </w:p>
          <w:p w14:paraId="62949A03"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ЩЕГОЛЕВ Михаил Михайлович</w:t>
            </w:r>
          </w:p>
          <w:p w14:paraId="79E55554"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ТИТОВ Иван Сергеевич</w:t>
            </w:r>
          </w:p>
          <w:p w14:paraId="6E077B76"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ДАВЫДОВ Николай Андреевич</w:t>
            </w:r>
          </w:p>
          <w:p w14:paraId="30185920"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НОВИ Юлий Осипович</w:t>
            </w:r>
          </w:p>
        </w:tc>
        <w:tc>
          <w:tcPr>
            <w:tcW w:w="0" w:type="auto"/>
            <w:vAlign w:val="center"/>
            <w:hideMark/>
          </w:tcPr>
          <w:p w14:paraId="311FF2D3"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vAlign w:val="center"/>
            <w:hideMark/>
          </w:tcPr>
          <w:p w14:paraId="31B34618"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БУЛАШЕВИЧ Николай Фролович</w:t>
            </w:r>
          </w:p>
          <w:p w14:paraId="4594DE76"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СБРОДОВ Владимир Алексеевич</w:t>
            </w:r>
          </w:p>
          <w:p w14:paraId="7B27233D"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ПРОСОЛОВ Борис Николаевич</w:t>
            </w:r>
          </w:p>
          <w:p w14:paraId="277FDB37"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ДЕДЕНЕВ</w:t>
            </w:r>
          </w:p>
          <w:p w14:paraId="6F0990CA"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КУТАРКИН</w:t>
            </w:r>
          </w:p>
          <w:p w14:paraId="5D047DFB"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БИМАН</w:t>
            </w:r>
          </w:p>
          <w:p w14:paraId="1061F5E8" w14:textId="77777777" w:rsidR="00756F6A" w:rsidRPr="007122AB" w:rsidRDefault="00756F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САФОНОВ</w:t>
            </w:r>
          </w:p>
        </w:tc>
      </w:tr>
    </w:tbl>
    <w:p w14:paraId="7FDCA7A8" w14:textId="77777777" w:rsidR="00756F6A" w:rsidRPr="007122AB" w:rsidRDefault="00756F6A" w:rsidP="007122AB">
      <w:pPr>
        <w:pStyle w:val="rtejustify"/>
        <w:spacing w:before="0" w:after="0"/>
        <w:rPr>
          <w:color w:val="000000" w:themeColor="text1"/>
          <w:sz w:val="16"/>
          <w:szCs w:val="16"/>
        </w:rPr>
      </w:pPr>
      <w:r w:rsidRPr="007122AB">
        <w:rPr>
          <w:color w:val="000000" w:themeColor="text1"/>
          <w:sz w:val="16"/>
          <w:szCs w:val="16"/>
        </w:rPr>
        <w:t>Означенные инженеры переданы в 5 ЭКУ из СПО на использование.</w:t>
      </w:r>
    </w:p>
    <w:p w14:paraId="4F18C6ED" w14:textId="77777777" w:rsidR="00756F6A" w:rsidRPr="007122AB" w:rsidRDefault="00756F6A" w:rsidP="007122AB">
      <w:pPr>
        <w:pStyle w:val="rtejustify"/>
        <w:spacing w:before="0" w:after="0"/>
        <w:rPr>
          <w:color w:val="000000" w:themeColor="text1"/>
          <w:sz w:val="16"/>
          <w:szCs w:val="16"/>
        </w:rPr>
      </w:pPr>
      <w:r w:rsidRPr="007122AB">
        <w:rPr>
          <w:color w:val="000000" w:themeColor="text1"/>
          <w:sz w:val="16"/>
          <w:szCs w:val="16"/>
        </w:rPr>
        <w:t>Кроме изложенного прошу Вашего разрешения вывести всю группу в ОКБ или же в Тепло-Институт или на Электрозавод по Вашему усмотрению.</w:t>
      </w:r>
    </w:p>
    <w:p w14:paraId="04944559" w14:textId="77777777" w:rsidR="00756F6A" w:rsidRPr="007122AB" w:rsidRDefault="00756F6A" w:rsidP="007122AB">
      <w:pPr>
        <w:pStyle w:val="ae"/>
        <w:spacing w:before="0" w:after="0"/>
        <w:jc w:val="both"/>
        <w:rPr>
          <w:color w:val="000000" w:themeColor="text1"/>
          <w:sz w:val="16"/>
          <w:szCs w:val="16"/>
        </w:rPr>
      </w:pPr>
      <w:r w:rsidRPr="007122AB">
        <w:rPr>
          <w:color w:val="000000" w:themeColor="text1"/>
          <w:sz w:val="16"/>
          <w:szCs w:val="16"/>
        </w:rPr>
        <w:t>П/Нач. Тех. Отд. ЭКУ ОГПУ Бедняков</w:t>
      </w:r>
    </w:p>
    <w:p w14:paraId="4735133D" w14:textId="77777777" w:rsidR="00756F6A" w:rsidRPr="007122AB" w:rsidRDefault="00756F6A" w:rsidP="007122AB">
      <w:pPr>
        <w:pStyle w:val="ae"/>
        <w:spacing w:before="0" w:after="0"/>
        <w:jc w:val="both"/>
        <w:rPr>
          <w:color w:val="000000" w:themeColor="text1"/>
          <w:sz w:val="16"/>
          <w:szCs w:val="16"/>
        </w:rPr>
      </w:pPr>
      <w:r w:rsidRPr="007122AB">
        <w:rPr>
          <w:color w:val="000000" w:themeColor="text1"/>
          <w:sz w:val="16"/>
          <w:szCs w:val="16"/>
        </w:rPr>
        <w:t>«...» мая 1931 года</w:t>
      </w:r>
    </w:p>
    <w:p w14:paraId="5A2FF5EF" w14:textId="77777777" w:rsidR="00756F6A" w:rsidRPr="007122AB" w:rsidRDefault="00756F6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12. Машинописный подлинник, подпись — автограф. Число в дате отсутствует. Внизу справа написано от руки: «т. Бедняков Тов. Прокофьев категорически приказал не спаривать. Переговори со мной. 21/V &lt;М. Соколов&gt;» (датируется по этой помете) (19110).</w:t>
      </w:r>
    </w:p>
    <w:p w14:paraId="7CFAA571" w14:textId="77777777" w:rsidR="00756F6A" w:rsidRPr="007122AB" w:rsidRDefault="00756F6A" w:rsidP="007122AB">
      <w:pPr>
        <w:spacing w:after="0" w:line="240" w:lineRule="auto"/>
        <w:jc w:val="both"/>
        <w:rPr>
          <w:rFonts w:ascii="Times New Roman" w:hAnsi="Times New Roman"/>
          <w:color w:val="000000" w:themeColor="text1"/>
          <w:sz w:val="16"/>
          <w:szCs w:val="16"/>
        </w:rPr>
      </w:pPr>
    </w:p>
    <w:p w14:paraId="36A9D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г. на Балтийском заводе в Ленинграде заложили головную лодку, получив</w:t>
      </w:r>
      <w:r w:rsidRPr="007122AB">
        <w:rPr>
          <w:rFonts w:ascii="Times New Roman" w:hAnsi="Times New Roman"/>
          <w:color w:val="000000" w:themeColor="text1"/>
          <w:sz w:val="16"/>
          <w:szCs w:val="16"/>
        </w:rPr>
        <w:softHyphen/>
        <w:t>шую название "Правда" (3898).</w:t>
      </w:r>
    </w:p>
    <w:p w14:paraId="2C638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9244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заложили головную лодку, получившую наименование "Правда" (тип "П" IV серии), и 19 декабря еще два корпуса (10672).</w:t>
      </w:r>
    </w:p>
    <w:p w14:paraId="066C7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2E585C" w14:textId="77777777" w:rsidR="00323FFD" w:rsidRPr="007122AB" w:rsidRDefault="00323FF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21 мая 1931 года на Балтийском заводе в Ленинграде заложили головной подводный крейсер, а 19 декабря—еще два. Они получили названия в честь центральных газет: “Правда”, “Звезда” и “Искра”. Впоследствии к ним добавили и буквенно-цифровые обозначения: П-1, П-2, П-3 соответственно.</w:t>
      </w:r>
    </w:p>
    <w:p w14:paraId="520081E4" w14:textId="77777777" w:rsidR="00323FFD" w:rsidRPr="007122AB" w:rsidRDefault="00323FF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Уже в ходе строительства лодок с критикой проекта выступила группа опытных инженеров-кораблестроителей, в том числе конструктор первых трех серий советских субмарин Б. М. Малинин. Компетентная комиссия выявила многочисленные недостатки, вызвавшие необходимость переработки проекта. Так, ценой огромных усилий глубину погружения удалось довести до 60 м, сняв при атом 800-сильный вспомогательный дизель-генератор. Главный калибр орудий уменьшили со 130 мм до 100 мм. Но наибольших затрат потребовала переделка носовой части корпуса, так как его чрезмерное удлинение при выстреле торпедой вызывало риск удара ее хвостовой части о волнорез (12718).</w:t>
      </w:r>
    </w:p>
    <w:p w14:paraId="7883F8CC" w14:textId="77777777" w:rsidR="00323FFD" w:rsidRPr="007122AB" w:rsidRDefault="00323FFD" w:rsidP="007122AB">
      <w:pPr>
        <w:spacing w:after="0" w:line="240" w:lineRule="auto"/>
        <w:jc w:val="both"/>
        <w:rPr>
          <w:rFonts w:ascii="Times New Roman" w:hAnsi="Times New Roman"/>
          <w:color w:val="000000" w:themeColor="text1"/>
          <w:sz w:val="16"/>
          <w:szCs w:val="16"/>
        </w:rPr>
      </w:pPr>
    </w:p>
    <w:p w14:paraId="79ECAEE1"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мая 1931 года на заводе № 189 (Балтийский завод) в Ленинграде была заложена ПЛ "П-3" ("Искра") Заложена. Строительный номер 218.</w:t>
      </w:r>
    </w:p>
    <w:p w14:paraId="07FDE8D9"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января 1934 года подводная лодка спущена на воду, 9 июня 1936 года вступила в строй, и 23 июля 1936 года вошла в состав Краснознаменного Балтийского флота.</w:t>
      </w:r>
    </w:p>
    <w:p w14:paraId="32DA9118"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Уже в ходе строительства выявлена масса недостатков лодок этого проекта, которые исключали их боевое использование, поэтому субмарина служила в качестве учебного корабля, готовя кадры для подводного флота.</w:t>
      </w:r>
    </w:p>
    <w:p w14:paraId="05FD0B68"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1937 по 6 ноября 1939 года субмарина прошла капремонт.</w:t>
      </w:r>
    </w:p>
    <w:p w14:paraId="57AB4569"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1940 года «Правда» вместе со своими </w:t>
      </w:r>
      <w:proofErr w:type="spellStart"/>
      <w:r w:rsidRPr="007122AB">
        <w:rPr>
          <w:rFonts w:ascii="Times New Roman" w:hAnsi="Times New Roman"/>
          <w:color w:val="000000" w:themeColor="text1"/>
          <w:sz w:val="16"/>
          <w:szCs w:val="16"/>
        </w:rPr>
        <w:t>систершипами</w:t>
      </w:r>
      <w:proofErr w:type="spellEnd"/>
      <w:r w:rsidRPr="007122AB">
        <w:rPr>
          <w:rFonts w:ascii="Times New Roman" w:hAnsi="Times New Roman"/>
          <w:color w:val="000000" w:themeColor="text1"/>
          <w:sz w:val="16"/>
          <w:szCs w:val="16"/>
        </w:rPr>
        <w:t xml:space="preserve"> «П-2» и «П-3» совершила групповое плавание по Балтийскому морю, с заходом в Таллин, Ригу, </w:t>
      </w:r>
      <w:proofErr w:type="spellStart"/>
      <w:r w:rsidRPr="007122AB">
        <w:rPr>
          <w:rFonts w:ascii="Times New Roman" w:hAnsi="Times New Roman"/>
          <w:color w:val="000000" w:themeColor="text1"/>
          <w:sz w:val="16"/>
          <w:szCs w:val="16"/>
        </w:rPr>
        <w:t>Либаву</w:t>
      </w:r>
      <w:proofErr w:type="spellEnd"/>
      <w:r w:rsidRPr="007122AB">
        <w:rPr>
          <w:rFonts w:ascii="Times New Roman" w:hAnsi="Times New Roman"/>
          <w:color w:val="000000" w:themeColor="text1"/>
          <w:sz w:val="16"/>
          <w:szCs w:val="16"/>
        </w:rPr>
        <w:t>.</w:t>
      </w:r>
    </w:p>
    <w:p w14:paraId="6092A290"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июня 1941 года встретила под командованием капитан-лейтенанта Логинова Ивана Андреевича в составе Отдельного учебного дивизиона ПЛ в Ораниенбауме.</w:t>
      </w:r>
    </w:p>
    <w:p w14:paraId="74734AD9" w14:textId="77777777" w:rsidR="00E04E98" w:rsidRPr="007122AB" w:rsidRDefault="00E04E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1941 года субмарину решили привлечь для снабжения гарнизона Ханко. Мостик, рубочный люк; Имя корабля; фрагмент верхней палубы; 45-мм орудие 21-К с мемориальной табличкой (12719).</w:t>
      </w:r>
    </w:p>
    <w:p w14:paraId="060B4D30" w14:textId="77777777" w:rsidR="00E04E98" w:rsidRPr="007122AB" w:rsidRDefault="00E04E98" w:rsidP="007122AB">
      <w:pPr>
        <w:spacing w:after="0" w:line="240" w:lineRule="auto"/>
        <w:jc w:val="both"/>
        <w:rPr>
          <w:rFonts w:ascii="Times New Roman" w:hAnsi="Times New Roman"/>
          <w:color w:val="000000" w:themeColor="text1"/>
          <w:sz w:val="16"/>
          <w:szCs w:val="16"/>
        </w:rPr>
      </w:pPr>
    </w:p>
    <w:p w14:paraId="7A9CE2B5" w14:textId="77777777" w:rsidR="0097418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FB22366" w14:textId="77777777" w:rsidR="00974187" w:rsidRPr="007122AB" w:rsidRDefault="0097418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0504C1"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21 мая</w:t>
      </w:r>
      <w:r w:rsidRPr="007122AB">
        <w:rPr>
          <w:rFonts w:ascii="Times New Roman" w:hAnsi="Times New Roman"/>
          <w:color w:val="000000" w:themeColor="text1"/>
          <w:sz w:val="16"/>
          <w:szCs w:val="16"/>
        </w:rPr>
        <w:t xml:space="preserve"> в 1931 году совершил первый полет пассажирский транспортный самолет </w:t>
      </w:r>
      <w:hyperlink r:id="rId104"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Dewoitine</w:t>
        </w:r>
        <w:proofErr w:type="spellEnd"/>
        <w:r w:rsidRPr="007122AB">
          <w:rPr>
            <w:rFonts w:ascii="Times New Roman" w:hAnsi="Times New Roman"/>
            <w:color w:val="000000" w:themeColor="text1"/>
            <w:sz w:val="16"/>
            <w:szCs w:val="16"/>
          </w:rPr>
          <w:t xml:space="preserve">» «D.30». </w:t>
        </w:r>
      </w:hyperlink>
      <w:r w:rsidRPr="007122AB">
        <w:rPr>
          <w:rFonts w:ascii="Times New Roman" w:hAnsi="Times New Roman"/>
          <w:color w:val="000000" w:themeColor="text1"/>
          <w:sz w:val="16"/>
          <w:szCs w:val="16"/>
        </w:rPr>
        <w:t xml:space="preserve">«D.30» - транспортный самолет, цельнометаллический высокоплан разработанный французской компанией </w:t>
      </w:r>
      <w:proofErr w:type="spellStart"/>
      <w:r w:rsidRPr="007122AB">
        <w:rPr>
          <w:rFonts w:ascii="Times New Roman" w:hAnsi="Times New Roman"/>
          <w:color w:val="000000" w:themeColor="text1"/>
          <w:sz w:val="16"/>
          <w:szCs w:val="16"/>
        </w:rPr>
        <w:t>Dewoitine</w:t>
      </w:r>
      <w:proofErr w:type="spellEnd"/>
      <w:r w:rsidRPr="007122AB">
        <w:rPr>
          <w:rFonts w:ascii="Times New Roman" w:hAnsi="Times New Roman"/>
          <w:color w:val="000000" w:themeColor="text1"/>
          <w:sz w:val="16"/>
          <w:szCs w:val="16"/>
        </w:rPr>
        <w:t>. Самолет был оборудован одним двигателем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«12Nbr» мощностью 650 л.с., позволявшем перевозить восемь пассажиров на расстояние до 900 километров (14898).</w:t>
      </w:r>
    </w:p>
    <w:p w14:paraId="7B942DF6"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7EB42C0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109031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C89C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мая 1931 в комиссию обороны СССР поступил проект предложений по перевооружению авиации, разработанный Я.И.А. по требованию П.И.Б. и Р-5 занимал одно из главных мест. Хотели создать 12 </w:t>
      </w:r>
      <w:proofErr w:type="spellStart"/>
      <w:r w:rsidRPr="007122AB">
        <w:rPr>
          <w:rFonts w:ascii="Times New Roman" w:hAnsi="Times New Roman"/>
          <w:color w:val="000000" w:themeColor="text1"/>
          <w:sz w:val="16"/>
          <w:szCs w:val="16"/>
        </w:rPr>
        <w:t>лб</w:t>
      </w:r>
      <w:proofErr w:type="spellEnd"/>
      <w:r w:rsidRPr="007122AB">
        <w:rPr>
          <w:rFonts w:ascii="Times New Roman" w:hAnsi="Times New Roman"/>
          <w:color w:val="000000" w:themeColor="text1"/>
          <w:sz w:val="16"/>
          <w:szCs w:val="16"/>
        </w:rPr>
        <w:t xml:space="preserve"> эскадрилий по 30 машин, 9 разведывательных э и 4 корпусных отряда (1366,13).</w:t>
      </w:r>
    </w:p>
    <w:p w14:paraId="7831E3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F20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мая 1931 года в комиссию обороны СССР поступил проект предложений по перевооружению авиации, разработанный под руководством Якова Алксниса по требованию начальника ВВС Павла Баранова. Самолет Р-5 в новом плане занимал главенствующее место. Предполагалось создать 12 легкобомбардировочных эскадрилий (эскадрилья тогда состояла из трех отрядов общей численностью порядка 30 самолетов), 9 разведывательных эскадрилий и 4 корпусных отряда, вооруженных самолетами Р-5. В значительной степени этот план удалось реализовать - общее количество построенных в 1931 г. </w:t>
      </w:r>
      <w:proofErr w:type="spellStart"/>
      <w:r w:rsidRPr="007122AB">
        <w:rPr>
          <w:rFonts w:ascii="Times New Roman" w:hAnsi="Times New Roman"/>
          <w:color w:val="000000" w:themeColor="text1"/>
          <w:sz w:val="16"/>
          <w:szCs w:val="16"/>
        </w:rPr>
        <w:t>поликарповских</w:t>
      </w:r>
      <w:proofErr w:type="spellEnd"/>
      <w:r w:rsidRPr="007122AB">
        <w:rPr>
          <w:rFonts w:ascii="Times New Roman" w:hAnsi="Times New Roman"/>
          <w:color w:val="000000" w:themeColor="text1"/>
          <w:sz w:val="16"/>
          <w:szCs w:val="16"/>
        </w:rPr>
        <w:t xml:space="preserve"> разведчиков составило 336 единиц (5016).</w:t>
      </w:r>
    </w:p>
    <w:p w14:paraId="5BBCD7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9F63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мая 1931 состоялся официальный показ бомбардировщика ТБ-3 членам правительства. Они осмотрели его на Центральном аэродроме, а затем поглядели на короткий полет. За последний пилотов Козлова и </w:t>
      </w:r>
      <w:proofErr w:type="spellStart"/>
      <w:r w:rsidRPr="007122AB">
        <w:rPr>
          <w:rFonts w:ascii="Times New Roman" w:hAnsi="Times New Roman"/>
          <w:color w:val="000000" w:themeColor="text1"/>
          <w:sz w:val="16"/>
          <w:szCs w:val="16"/>
        </w:rPr>
        <w:t>Залевского</w:t>
      </w:r>
      <w:proofErr w:type="spellEnd"/>
      <w:r w:rsidRPr="007122AB">
        <w:rPr>
          <w:rFonts w:ascii="Times New Roman" w:hAnsi="Times New Roman"/>
          <w:color w:val="000000" w:themeColor="text1"/>
          <w:sz w:val="16"/>
          <w:szCs w:val="16"/>
        </w:rPr>
        <w:t xml:space="preserve"> начальник НИИ наградил «заграничными часами «Мозер» с секундомером» - очевидно, самолет произвел должное впечатление (8887).</w:t>
      </w:r>
    </w:p>
    <w:p w14:paraId="5BC3A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841F0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6A73AB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83688D"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мая 1931 г. Постановление Президиума ВСНХ СССР о состоянии военного судостроения на заводах </w:t>
      </w:r>
      <w:proofErr w:type="spellStart"/>
      <w:r w:rsidRPr="007122AB">
        <w:rPr>
          <w:rFonts w:ascii="Times New Roman" w:hAnsi="Times New Roman"/>
          <w:color w:val="000000" w:themeColor="text1"/>
          <w:sz w:val="16"/>
          <w:szCs w:val="16"/>
        </w:rPr>
        <w:t>Союзверфи</w:t>
      </w:r>
      <w:proofErr w:type="spellEnd"/>
      <w:r w:rsidRPr="007122AB">
        <w:rPr>
          <w:rFonts w:ascii="Times New Roman" w:hAnsi="Times New Roman"/>
          <w:color w:val="000000" w:themeColor="text1"/>
          <w:sz w:val="16"/>
          <w:szCs w:val="16"/>
        </w:rPr>
        <w:t xml:space="preserve"> (РГАЭ. Ф. 3429. Оп. 16. Д. 189. Л. 173?170. Ф. 3429, Оп. 6. Д. 671. Л. 4?7) (12417).</w:t>
      </w:r>
    </w:p>
    <w:p w14:paraId="544EB14E" w14:textId="77777777" w:rsidR="00E454FF" w:rsidRPr="007122AB" w:rsidRDefault="00E454FF" w:rsidP="007122AB">
      <w:pPr>
        <w:spacing w:after="0" w:line="240" w:lineRule="auto"/>
        <w:jc w:val="both"/>
        <w:rPr>
          <w:rFonts w:ascii="Times New Roman" w:hAnsi="Times New Roman"/>
          <w:color w:val="000000" w:themeColor="text1"/>
          <w:sz w:val="16"/>
          <w:szCs w:val="16"/>
        </w:rPr>
      </w:pPr>
    </w:p>
    <w:p w14:paraId="69F4C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мая 1931 г. подводный Минный заградитель "Рабочий" в походе был протаранен лодкой "Красноармеец" и получил пробоину в кор</w:t>
      </w:r>
      <w:r w:rsidRPr="007122AB">
        <w:rPr>
          <w:rFonts w:ascii="Times New Roman" w:hAnsi="Times New Roman"/>
          <w:color w:val="000000" w:themeColor="text1"/>
          <w:sz w:val="16"/>
          <w:szCs w:val="16"/>
        </w:rPr>
        <w:softHyphen/>
        <w:t>мовой части. Несмотря на сравнительно небольшие размеры про</w:t>
      </w:r>
      <w:r w:rsidRPr="007122AB">
        <w:rPr>
          <w:rFonts w:ascii="Times New Roman" w:hAnsi="Times New Roman"/>
          <w:color w:val="000000" w:themeColor="text1"/>
          <w:sz w:val="16"/>
          <w:szCs w:val="16"/>
        </w:rPr>
        <w:softHyphen/>
        <w:t>боины, личный состав не смог предотвратить затопление лодки, не имевшей водонепроницаемых переборок. Минный заградитель по</w:t>
      </w:r>
      <w:r w:rsidRPr="007122AB">
        <w:rPr>
          <w:rFonts w:ascii="Times New Roman" w:hAnsi="Times New Roman"/>
          <w:color w:val="000000" w:themeColor="text1"/>
          <w:sz w:val="16"/>
          <w:szCs w:val="16"/>
        </w:rPr>
        <w:softHyphen/>
        <w:t>гиб через 5 мин. после таранного удара со всем личным составом (45 чел.).</w:t>
      </w:r>
    </w:p>
    <w:p w14:paraId="6F6E7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Гибель "Рабочего" привлекла внимание руководства УВМС к проблеме "спасения подлодок". В частности, были возобновлены тренировки спасательного судна "Коммуна" по подъему затоплен</w:t>
      </w:r>
      <w:r w:rsidRPr="007122AB">
        <w:rPr>
          <w:rFonts w:ascii="Times New Roman" w:hAnsi="Times New Roman"/>
          <w:color w:val="000000" w:themeColor="text1"/>
          <w:sz w:val="16"/>
          <w:szCs w:val="16"/>
        </w:rPr>
        <w:softHyphen/>
        <w:t>ного корпуса недостроенной лодки "Форель" (3898).</w:t>
      </w:r>
    </w:p>
    <w:p w14:paraId="7CA54A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359C62"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22 мая</w:t>
      </w:r>
      <w:r w:rsidRPr="007122AB">
        <w:rPr>
          <w:rFonts w:ascii="Times New Roman" w:hAnsi="Times New Roman"/>
          <w:color w:val="000000" w:themeColor="text1"/>
          <w:sz w:val="16"/>
          <w:szCs w:val="16"/>
        </w:rPr>
        <w:t xml:space="preserve"> в 1931 году советская подводная лодка "Рабочий" затонула после столкновения с лодкой "Красноармеец". 39 человек погибли (14899).</w:t>
      </w:r>
    </w:p>
    <w:p w14:paraId="5FBD39EF"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5D407EE6" w14:textId="77777777" w:rsidR="008707F5" w:rsidRPr="007122AB" w:rsidRDefault="008707F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E512602" w14:textId="77777777" w:rsidR="008707F5" w:rsidRPr="007122AB" w:rsidRDefault="008707F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4AA908"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мая 1931 состоялся первый полет Berliner-</w:t>
      </w:r>
      <w:proofErr w:type="spellStart"/>
      <w:r w:rsidRPr="007122AB">
        <w:rPr>
          <w:rFonts w:ascii="Times New Roman" w:hAnsi="Times New Roman"/>
          <w:color w:val="000000" w:themeColor="text1"/>
          <w:sz w:val="16"/>
          <w:szCs w:val="16"/>
        </w:rPr>
        <w:t>Joyce</w:t>
      </w:r>
      <w:proofErr w:type="spellEnd"/>
      <w:r w:rsidRPr="007122AB">
        <w:rPr>
          <w:rFonts w:ascii="Times New Roman" w:hAnsi="Times New Roman"/>
          <w:color w:val="000000" w:themeColor="text1"/>
          <w:sz w:val="16"/>
          <w:szCs w:val="16"/>
        </w:rPr>
        <w:t xml:space="preserve"> XFJ-2 (20804).</w:t>
      </w:r>
    </w:p>
    <w:p w14:paraId="3A435A4B" w14:textId="77777777" w:rsidR="008707F5" w:rsidRPr="007122AB" w:rsidRDefault="008707F5" w:rsidP="007122AB">
      <w:pPr>
        <w:spacing w:after="0" w:line="240" w:lineRule="auto"/>
        <w:jc w:val="both"/>
        <w:rPr>
          <w:rFonts w:ascii="Times New Roman" w:hAnsi="Times New Roman"/>
          <w:color w:val="000000" w:themeColor="text1"/>
          <w:sz w:val="16"/>
          <w:szCs w:val="16"/>
        </w:rPr>
      </w:pPr>
    </w:p>
    <w:p w14:paraId="44EBC68A"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мая 1931 года — первый полёт палубного истребителя Berliner-</w:t>
      </w:r>
      <w:proofErr w:type="spellStart"/>
      <w:r w:rsidRPr="007122AB">
        <w:rPr>
          <w:rFonts w:ascii="Times New Roman" w:hAnsi="Times New Roman"/>
          <w:color w:val="000000" w:themeColor="text1"/>
          <w:sz w:val="16"/>
          <w:szCs w:val="16"/>
        </w:rPr>
        <w:t>Joyce</w:t>
      </w:r>
      <w:proofErr w:type="spellEnd"/>
      <w:r w:rsidRPr="007122AB">
        <w:rPr>
          <w:rFonts w:ascii="Times New Roman" w:hAnsi="Times New Roman"/>
          <w:color w:val="000000" w:themeColor="text1"/>
          <w:sz w:val="16"/>
          <w:szCs w:val="16"/>
        </w:rPr>
        <w:t xml:space="preserve"> XFJ-2. /США/</w:t>
      </w:r>
    </w:p>
    <w:p w14:paraId="242C6710"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Компания Berliner-</w:t>
      </w:r>
      <w:proofErr w:type="spellStart"/>
      <w:r w:rsidRPr="007122AB">
        <w:rPr>
          <w:rFonts w:ascii="Times New Roman" w:hAnsi="Times New Roman"/>
          <w:color w:val="000000" w:themeColor="text1"/>
          <w:sz w:val="16"/>
          <w:szCs w:val="16"/>
        </w:rPr>
        <w:t>Joyce</w:t>
      </w:r>
      <w:proofErr w:type="spellEnd"/>
      <w:r w:rsidRPr="007122AB">
        <w:rPr>
          <w:rFonts w:ascii="Times New Roman" w:hAnsi="Times New Roman"/>
          <w:color w:val="000000" w:themeColor="text1"/>
          <w:sz w:val="16"/>
          <w:szCs w:val="16"/>
        </w:rPr>
        <w:t xml:space="preserve"> Aircraft, основанная в 1929 году, почти сразу получила правительственный заказ на разработку палубного истребителя для ВМФ США. Конструкторы компании справились за 1 год. Но прототип XFJ-1 сильно повредили при посадке во время испытаний, и он нуждался в ремонте. На восстановление и доработки ушёл ещё год, и самолёт получил новое обозначение — XFJ-2.</w:t>
      </w:r>
    </w:p>
    <w:p w14:paraId="567A9CDD"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 был одноместный биплан с неубирающимся шасси. Нижнее крыло располагалось нетипично — ниже фюзеляжа. Устанавливался двигатель Pratt &amp; Whitney R-1340-92 </w:t>
      </w:r>
      <w:proofErr w:type="spellStart"/>
      <w:r w:rsidRPr="007122AB">
        <w:rPr>
          <w:rFonts w:ascii="Times New Roman" w:hAnsi="Times New Roman"/>
          <w:color w:val="000000" w:themeColor="text1"/>
          <w:sz w:val="16"/>
          <w:szCs w:val="16"/>
        </w:rPr>
        <w:t>Wasp</w:t>
      </w:r>
      <w:proofErr w:type="spellEnd"/>
      <w:r w:rsidRPr="007122AB">
        <w:rPr>
          <w:rFonts w:ascii="Times New Roman" w:hAnsi="Times New Roman"/>
          <w:color w:val="000000" w:themeColor="text1"/>
          <w:sz w:val="16"/>
          <w:szCs w:val="16"/>
        </w:rPr>
        <w:t xml:space="preserve"> (500 л.с.) Максимальная скорость — 310 км/ч, дальность полёта — 837 км. Вооружение — 2 × 7,62-мм пулемёта.</w:t>
      </w:r>
    </w:p>
    <w:p w14:paraId="38E0B223"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XFJ-2 страдал от той же проблемы, что и предыдущий прототип. Из-за такого расположения нижнего крыла самолёт имел тенденцию к заваливанию при посадке. К тому же, был не очень устойчив в полёте. ВМФ США заказывать серийное производство не стали и в 1931 году проект закрыли (22300).</w:t>
      </w:r>
    </w:p>
    <w:p w14:paraId="1F1EB91E" w14:textId="77777777" w:rsidR="008707F5" w:rsidRPr="007122AB" w:rsidRDefault="008707F5" w:rsidP="007122AB">
      <w:pPr>
        <w:spacing w:after="0" w:line="240" w:lineRule="auto"/>
        <w:jc w:val="both"/>
        <w:rPr>
          <w:rFonts w:ascii="Times New Roman" w:hAnsi="Times New Roman"/>
          <w:color w:val="000000" w:themeColor="text1"/>
          <w:sz w:val="16"/>
          <w:szCs w:val="16"/>
        </w:rPr>
      </w:pPr>
    </w:p>
    <w:p w14:paraId="79647A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EAAA0E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EBC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ЦАГИ вновь был передан в ВСНХ (71,243).</w:t>
      </w:r>
    </w:p>
    <w:p w14:paraId="79F1F1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B8C4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состоялось Заседание КО (</w:t>
      </w:r>
      <w:proofErr w:type="spellStart"/>
      <w:r w:rsidRPr="007122AB">
        <w:rPr>
          <w:rFonts w:ascii="Times New Roman" w:hAnsi="Times New Roman"/>
          <w:color w:val="000000" w:themeColor="text1"/>
          <w:sz w:val="16"/>
          <w:szCs w:val="16"/>
        </w:rPr>
        <w:t>прот</w:t>
      </w:r>
      <w:proofErr w:type="spellEnd"/>
      <w:r w:rsidRPr="007122AB">
        <w:rPr>
          <w:rFonts w:ascii="Times New Roman" w:hAnsi="Times New Roman"/>
          <w:color w:val="000000" w:themeColor="text1"/>
          <w:sz w:val="16"/>
          <w:szCs w:val="16"/>
        </w:rPr>
        <w:t xml:space="preserve">. 6) и слушали "Об авиации". Докладывали П.И.Б., </w:t>
      </w:r>
      <w:proofErr w:type="spellStart"/>
      <w:r w:rsidRPr="007122AB">
        <w:rPr>
          <w:rFonts w:ascii="Times New Roman" w:hAnsi="Times New Roman"/>
          <w:color w:val="000000" w:themeColor="text1"/>
          <w:sz w:val="16"/>
          <w:szCs w:val="16"/>
        </w:rPr>
        <w:t>Близниченко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Анвельт</w:t>
      </w:r>
      <w:proofErr w:type="spellEnd"/>
      <w:r w:rsidRPr="007122AB">
        <w:rPr>
          <w:rFonts w:ascii="Times New Roman" w:hAnsi="Times New Roman"/>
          <w:color w:val="000000" w:themeColor="text1"/>
          <w:sz w:val="16"/>
          <w:szCs w:val="16"/>
        </w:rPr>
        <w:t>. Образовали комиссию для разработки проектов постановлений по ВВС и поручили ей вскрыть все недостатки и внести конкретные предложения (1028,112).</w:t>
      </w:r>
    </w:p>
    <w:p w14:paraId="3849F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7944D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5230F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2E27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вышло постановление КО О танкостроении (протокол 6) и в пятом пункте было написано: “Разрешить РВС СССР ввести танк Кристи в систему авто-броне-танко-тракторного вооружения РККА в качестве быстроходного истребителя БТ.</w:t>
      </w:r>
    </w:p>
    <w:p w14:paraId="2DB55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Ворошилову и Орджоникидзе в декадный срок окончательно договориться, какое максимальное количество БТ (в имеющемся образце, без всяких изменений, может быть изготовлен на ХПЗ, имея в виду полное снятие заказа на Т-24. Всего сделали 24 Т-24 (28 шасси, 25 бронекорпусов, 26 башен), хотя заказ был на 200, а потом встречный - на 300 (4243,23).</w:t>
      </w:r>
    </w:p>
    <w:p w14:paraId="20475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обязать РВС форсировать работы по модернизации танка Кристи.” (4241).</w:t>
      </w:r>
    </w:p>
    <w:p w14:paraId="6BC3C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B75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на вооружение приняли танк БТ (176,26), а по другим данным - по постановлению РВС началось его серийное производство на Харьковском паровозостроительном заводе им. Коминтерна (3398,191).</w:t>
      </w:r>
    </w:p>
    <w:p w14:paraId="0252C9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1AFCDF"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lastRenderedPageBreak/>
        <w:t>23 мая</w:t>
      </w:r>
      <w:r w:rsidRPr="007122AB">
        <w:rPr>
          <w:rFonts w:ascii="Times New Roman" w:hAnsi="Times New Roman"/>
          <w:color w:val="000000" w:themeColor="text1"/>
          <w:sz w:val="16"/>
          <w:szCs w:val="16"/>
        </w:rPr>
        <w:t xml:space="preserve"> в 1931 году по постановлению Реввоенсовета СССР начато серийное производство танка «БТ-2» на Харьковском паровозостроительном заводе имени Коминтерна. Всего было выпущено более 8 тысяч танков «БТ-2», «БТ-5», «БТ-7» (14900).</w:t>
      </w:r>
    </w:p>
    <w:p w14:paraId="4F63BF52"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40AF82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70 лет назад - в 1931 году - по постановлению Реввоенсовета СССР начато серийное производство танка БТ-2 на Харьковском паровозостроительном заводе имени Коминтерна. Всего было выпущено более 8 тысяч танков БТ-2, БТ-5, БТ-7 (4963 ).</w:t>
      </w:r>
    </w:p>
    <w:p w14:paraId="282027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A84C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мая 1931 года РВС не дожидаясь постройки и испытаний советских прототипов, принял танк Кристи на вооружение Красной Армии и рекомендовал машину к серийному выпуску под обозначением БТ (быстроходный танк). Иногда в литературе танки БТ называют Танк А или "Танк-истребитель малой мощности". В танке БТ видели идеальное средство для воплощения теоретических принципов военной доктрины - выполнения самостоятельных (или во взаимодействии с кавалерией) дальних рейдов по тылам противника. Первоначально план предусматривал, что танки БТ будет выпускаться на Ярославском автомобильном Заводе (ЯАЗ). Но затем планы изменились и выпуск наладили на Харьковском Паровозостроительном Заводе им. Коминтерна (ХПЗ), а точнее на заводе № 183, представлявшим собой подразделение ХПЗ, специализирующееся по танкам. На ХПЗ имелось специальное КБ, которое возглавляли </w:t>
      </w:r>
      <w:proofErr w:type="spellStart"/>
      <w:r w:rsidRPr="007122AB">
        <w:rPr>
          <w:rFonts w:ascii="Times New Roman" w:hAnsi="Times New Roman"/>
          <w:color w:val="000000" w:themeColor="text1"/>
          <w:sz w:val="16"/>
          <w:szCs w:val="16"/>
        </w:rPr>
        <w:t>И.Алексеенко</w:t>
      </w:r>
      <w:proofErr w:type="spellEnd"/>
      <w:r w:rsidRPr="007122AB">
        <w:rPr>
          <w:rFonts w:ascii="Times New Roman" w:hAnsi="Times New Roman"/>
          <w:color w:val="000000" w:themeColor="text1"/>
          <w:sz w:val="16"/>
          <w:szCs w:val="16"/>
        </w:rPr>
        <w:t xml:space="preserve">, затем </w:t>
      </w:r>
      <w:proofErr w:type="spellStart"/>
      <w:r w:rsidRPr="007122AB">
        <w:rPr>
          <w:rFonts w:ascii="Times New Roman" w:hAnsi="Times New Roman"/>
          <w:color w:val="000000" w:themeColor="text1"/>
          <w:sz w:val="16"/>
          <w:szCs w:val="16"/>
        </w:rPr>
        <w:t>Н.М.Тоскин</w:t>
      </w:r>
      <w:proofErr w:type="spellEnd"/>
      <w:r w:rsidRPr="007122AB">
        <w:rPr>
          <w:rFonts w:ascii="Times New Roman" w:hAnsi="Times New Roman"/>
          <w:color w:val="000000" w:themeColor="text1"/>
          <w:sz w:val="16"/>
          <w:szCs w:val="16"/>
        </w:rPr>
        <w:t xml:space="preserve">, а с 1932 года - </w:t>
      </w:r>
      <w:proofErr w:type="spellStart"/>
      <w:r w:rsidRPr="007122AB">
        <w:rPr>
          <w:rFonts w:ascii="Times New Roman" w:hAnsi="Times New Roman"/>
          <w:color w:val="000000" w:themeColor="text1"/>
          <w:sz w:val="16"/>
          <w:szCs w:val="16"/>
        </w:rPr>
        <w:t>А.О.Кучеренко</w:t>
      </w:r>
      <w:proofErr w:type="spellEnd"/>
      <w:r w:rsidRPr="007122AB">
        <w:rPr>
          <w:rFonts w:ascii="Times New Roman" w:hAnsi="Times New Roman"/>
          <w:color w:val="000000" w:themeColor="text1"/>
          <w:sz w:val="16"/>
          <w:szCs w:val="16"/>
        </w:rPr>
        <w:t xml:space="preserve"> (3862).</w:t>
      </w:r>
    </w:p>
    <w:p w14:paraId="7798D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157B53" w14:textId="77777777" w:rsidR="008707F5" w:rsidRPr="007122AB" w:rsidRDefault="008707F5"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23 мая 1931 года на заседании Комиссии Обороны СССР было решено ввести танк Кристи в систему автобронетанкового вооружения РККА как быстроходный танк-истребитель. В этот день. Производство данной машины, получившей обозначение БТ, было решено организовать на ХПЗ. По этому поводу идет масса споров насчет того, было ли верным такое решение. Некоторые исследователи называют данное решение чуть ли не ошибкой, приводя примеры возможной модернизации Т-24. Приводится также информация о том, что Т-24 якобы сдавался и с броней 30 мм, о чем Ижорский завод может только развести руками. У них по Т-24 фигурируют толщины 8,5 и 20 мм, так что информация про "утолщенные" Т-24 занятная, но не имеющая под собой никаких оснований. Самое же главное, сравнивая БТ и Т-24, исследователи делают одну принципиальную ошибку. Дело в том, что БТ был последней, но отнюдь не единственной заменой Т-24. Фактически вопрос стоял не в том, заменит ли на БТ данный танк, а на какой именно танк заменяют Т-24 (20204).</w:t>
      </w:r>
    </w:p>
    <w:p w14:paraId="7E28D8C5" w14:textId="77777777" w:rsidR="008707F5" w:rsidRPr="007122AB" w:rsidRDefault="008707F5" w:rsidP="007122AB">
      <w:pPr>
        <w:spacing w:after="0" w:line="240" w:lineRule="auto"/>
        <w:jc w:val="both"/>
        <w:rPr>
          <w:rFonts w:ascii="Times New Roman" w:hAnsi="Times New Roman"/>
          <w:color w:val="000000" w:themeColor="text1"/>
          <w:sz w:val="16"/>
          <w:szCs w:val="16"/>
        </w:rPr>
      </w:pPr>
    </w:p>
    <w:p w14:paraId="00110890"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23 мая 1931 г. на очередном заседа</w:t>
      </w:r>
      <w:r w:rsidRPr="007122AB">
        <w:rPr>
          <w:rFonts w:ascii="Times New Roman" w:hAnsi="Times New Roman"/>
          <w:color w:val="000000" w:themeColor="text1"/>
          <w:sz w:val="16"/>
          <w:szCs w:val="16"/>
          <w:lang w:eastAsia="ru-RU" w:bidi="ru-RU"/>
        </w:rPr>
        <w:softHyphen/>
        <w:t>нии Комиссии Обороны при СНК СССР было принято решение создать специаль</w:t>
      </w:r>
      <w:r w:rsidRPr="007122AB">
        <w:rPr>
          <w:rFonts w:ascii="Times New Roman" w:hAnsi="Times New Roman"/>
          <w:color w:val="000000" w:themeColor="text1"/>
          <w:sz w:val="16"/>
          <w:szCs w:val="16"/>
          <w:lang w:eastAsia="ru-RU" w:bidi="ru-RU"/>
        </w:rPr>
        <w:softHyphen/>
        <w:t>ную комиссию, которая должна была де</w:t>
      </w:r>
      <w:r w:rsidRPr="007122AB">
        <w:rPr>
          <w:rFonts w:ascii="Times New Roman" w:hAnsi="Times New Roman"/>
          <w:color w:val="000000" w:themeColor="text1"/>
          <w:sz w:val="16"/>
          <w:szCs w:val="16"/>
          <w:lang w:eastAsia="ru-RU" w:bidi="ru-RU"/>
        </w:rPr>
        <w:softHyphen/>
        <w:t>тально разобраться с причинами невы</w:t>
      </w:r>
      <w:r w:rsidRPr="007122AB">
        <w:rPr>
          <w:rFonts w:ascii="Times New Roman" w:hAnsi="Times New Roman"/>
          <w:color w:val="000000" w:themeColor="text1"/>
          <w:sz w:val="16"/>
          <w:szCs w:val="16"/>
          <w:lang w:eastAsia="ru-RU" w:bidi="ru-RU"/>
        </w:rPr>
        <w:softHyphen/>
        <w:t>полнения авиапромом плановых заданий по выпуску самолетов и опытному стро</w:t>
      </w:r>
      <w:r w:rsidRPr="007122AB">
        <w:rPr>
          <w:rFonts w:ascii="Times New Roman" w:hAnsi="Times New Roman"/>
          <w:color w:val="000000" w:themeColor="text1"/>
          <w:sz w:val="16"/>
          <w:szCs w:val="16"/>
          <w:lang w:eastAsia="ru-RU" w:bidi="ru-RU"/>
        </w:rPr>
        <w:softHyphen/>
        <w:t>ительству и на основании этого внести в правительство конкретные предложения по коренному улучшению ситуации.</w:t>
      </w:r>
    </w:p>
    <w:p w14:paraId="28822DB1"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Первые выводы из работы комиссии были доложены 25 июля на заседании Совета Труда и Обороны. По итогам обсу</w:t>
      </w:r>
      <w:r w:rsidRPr="007122AB">
        <w:rPr>
          <w:rFonts w:ascii="Times New Roman" w:hAnsi="Times New Roman"/>
          <w:color w:val="000000" w:themeColor="text1"/>
          <w:sz w:val="16"/>
          <w:szCs w:val="16"/>
          <w:lang w:eastAsia="ru-RU" w:bidi="ru-RU"/>
        </w:rPr>
        <w:softHyphen/>
        <w:t>ждения вышло постановление №158сс.</w:t>
      </w:r>
    </w:p>
    <w:p w14:paraId="251FADAE"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ряду первоочередных мероприя</w:t>
      </w:r>
      <w:r w:rsidRPr="007122AB">
        <w:rPr>
          <w:rFonts w:ascii="Times New Roman" w:hAnsi="Times New Roman"/>
          <w:color w:val="000000" w:themeColor="text1"/>
          <w:sz w:val="16"/>
          <w:szCs w:val="16"/>
          <w:lang w:eastAsia="ru-RU" w:bidi="ru-RU"/>
        </w:rPr>
        <w:softHyphen/>
        <w:t>тий, направленных на ликвидацию про</w:t>
      </w:r>
      <w:r w:rsidRPr="007122AB">
        <w:rPr>
          <w:rFonts w:ascii="Times New Roman" w:hAnsi="Times New Roman"/>
          <w:color w:val="000000" w:themeColor="text1"/>
          <w:sz w:val="16"/>
          <w:szCs w:val="16"/>
          <w:lang w:eastAsia="ru-RU" w:bidi="ru-RU"/>
        </w:rPr>
        <w:softHyphen/>
        <w:t>рыва в авиапромышленности, предла</w:t>
      </w:r>
      <w:r w:rsidRPr="007122AB">
        <w:rPr>
          <w:rFonts w:ascii="Times New Roman" w:hAnsi="Times New Roman"/>
          <w:color w:val="000000" w:themeColor="text1"/>
          <w:sz w:val="16"/>
          <w:szCs w:val="16"/>
          <w:lang w:eastAsia="ru-RU" w:bidi="ru-RU"/>
        </w:rPr>
        <w:softHyphen/>
        <w:t>галось «ВАО поставить себе главной за</w:t>
      </w:r>
      <w:r w:rsidRPr="007122AB">
        <w:rPr>
          <w:rFonts w:ascii="Times New Roman" w:hAnsi="Times New Roman"/>
          <w:color w:val="000000" w:themeColor="text1"/>
          <w:sz w:val="16"/>
          <w:szCs w:val="16"/>
          <w:lang w:eastAsia="ru-RU" w:bidi="ru-RU"/>
        </w:rPr>
        <w:softHyphen/>
        <w:t>дачей переход в кратчайший срок на механизированное производство, при</w:t>
      </w:r>
      <w:r w:rsidRPr="007122AB">
        <w:rPr>
          <w:rFonts w:ascii="Times New Roman" w:hAnsi="Times New Roman"/>
          <w:color w:val="000000" w:themeColor="text1"/>
          <w:sz w:val="16"/>
          <w:szCs w:val="16"/>
          <w:lang w:eastAsia="ru-RU" w:bidi="ru-RU"/>
        </w:rPr>
        <w:softHyphen/>
        <w:t>менение штамповки, сварки и прочих способов массового изготовления дета</w:t>
      </w:r>
      <w:r w:rsidRPr="007122AB">
        <w:rPr>
          <w:rFonts w:ascii="Times New Roman" w:hAnsi="Times New Roman"/>
          <w:color w:val="000000" w:themeColor="text1"/>
          <w:sz w:val="16"/>
          <w:szCs w:val="16"/>
          <w:lang w:eastAsia="ru-RU" w:bidi="ru-RU"/>
        </w:rPr>
        <w:softHyphen/>
        <w:t>лей и их сборки».</w:t>
      </w:r>
    </w:p>
    <w:p w14:paraId="4B56AD2C"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Требовалось «обязать ВАО, реши</w:t>
      </w:r>
      <w:r w:rsidRPr="007122AB">
        <w:rPr>
          <w:rFonts w:ascii="Times New Roman" w:hAnsi="Times New Roman"/>
          <w:color w:val="000000" w:themeColor="text1"/>
          <w:sz w:val="16"/>
          <w:szCs w:val="16"/>
          <w:lang w:eastAsia="ru-RU" w:bidi="ru-RU"/>
        </w:rPr>
        <w:softHyphen/>
        <w:t>тельно пресекая попытки отдельных това</w:t>
      </w:r>
      <w:r w:rsidRPr="007122AB">
        <w:rPr>
          <w:rFonts w:ascii="Times New Roman" w:hAnsi="Times New Roman"/>
          <w:color w:val="000000" w:themeColor="text1"/>
          <w:sz w:val="16"/>
          <w:szCs w:val="16"/>
          <w:lang w:eastAsia="ru-RU" w:bidi="ru-RU"/>
        </w:rPr>
        <w:softHyphen/>
        <w:t>рищей превратить опытное производство в самоцель, взять основную установку на скорейшее внедрение в серийное про</w:t>
      </w:r>
      <w:r w:rsidRPr="007122AB">
        <w:rPr>
          <w:rFonts w:ascii="Times New Roman" w:hAnsi="Times New Roman"/>
          <w:color w:val="000000" w:themeColor="text1"/>
          <w:sz w:val="16"/>
          <w:szCs w:val="16"/>
          <w:lang w:eastAsia="ru-RU" w:bidi="ru-RU"/>
        </w:rPr>
        <w:softHyphen/>
        <w:t>изводство построенных и испытанных образцов самолетов и моторов, как пер</w:t>
      </w:r>
      <w:r w:rsidRPr="007122AB">
        <w:rPr>
          <w:rFonts w:ascii="Times New Roman" w:hAnsi="Times New Roman"/>
          <w:color w:val="000000" w:themeColor="text1"/>
          <w:sz w:val="16"/>
          <w:szCs w:val="16"/>
          <w:lang w:eastAsia="ru-RU" w:bidi="ru-RU"/>
        </w:rPr>
        <w:softHyphen/>
        <w:t>воочередную свою задачу (в сроки не бо</w:t>
      </w:r>
      <w:r w:rsidRPr="007122AB">
        <w:rPr>
          <w:rFonts w:ascii="Times New Roman" w:hAnsi="Times New Roman"/>
          <w:color w:val="000000" w:themeColor="text1"/>
          <w:sz w:val="16"/>
          <w:szCs w:val="16"/>
          <w:lang w:eastAsia="ru-RU" w:bidi="ru-RU"/>
        </w:rPr>
        <w:softHyphen/>
        <w:t>лее как 6-8 месяцев)».</w:t>
      </w:r>
    </w:p>
    <w:p w14:paraId="573E5D54"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С целью экономии дефицитного дюра</w:t>
      </w:r>
      <w:r w:rsidRPr="007122AB">
        <w:rPr>
          <w:rFonts w:ascii="Times New Roman" w:hAnsi="Times New Roman"/>
          <w:color w:val="000000" w:themeColor="text1"/>
          <w:sz w:val="16"/>
          <w:szCs w:val="16"/>
          <w:lang w:eastAsia="ru-RU" w:bidi="ru-RU"/>
        </w:rPr>
        <w:softHyphen/>
        <w:t>люминия считалось необходимым «проек</w:t>
      </w:r>
      <w:r w:rsidRPr="007122AB">
        <w:rPr>
          <w:rFonts w:ascii="Times New Roman" w:hAnsi="Times New Roman"/>
          <w:color w:val="000000" w:themeColor="text1"/>
          <w:sz w:val="16"/>
          <w:szCs w:val="16"/>
          <w:lang w:eastAsia="ru-RU" w:bidi="ru-RU"/>
        </w:rPr>
        <w:softHyphen/>
        <w:t>тировать и производить тяжелые и сверх</w:t>
      </w:r>
      <w:r w:rsidRPr="007122AB">
        <w:rPr>
          <w:rFonts w:ascii="Times New Roman" w:hAnsi="Times New Roman"/>
          <w:color w:val="000000" w:themeColor="text1"/>
          <w:sz w:val="16"/>
          <w:szCs w:val="16"/>
          <w:lang w:eastAsia="ru-RU" w:bidi="ru-RU"/>
        </w:rPr>
        <w:softHyphen/>
        <w:t>тяжелые самолеты из металла с возможно большим применением стали и уменьше</w:t>
      </w:r>
      <w:r w:rsidRPr="007122AB">
        <w:rPr>
          <w:rFonts w:ascii="Times New Roman" w:hAnsi="Times New Roman"/>
          <w:color w:val="000000" w:themeColor="text1"/>
          <w:sz w:val="16"/>
          <w:szCs w:val="16"/>
          <w:lang w:eastAsia="ru-RU" w:bidi="ru-RU"/>
        </w:rPr>
        <w:softHyphen/>
        <w:t>нием алюминия, а самолетов легкого типа по преимуществу смешанной конструкции (сталь, дерево, полотно)».</w:t>
      </w:r>
    </w:p>
    <w:p w14:paraId="0E8F5262"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Предлагалось закупить лицензии и ос</w:t>
      </w:r>
      <w:r w:rsidRPr="007122AB">
        <w:rPr>
          <w:rFonts w:ascii="Times New Roman" w:hAnsi="Times New Roman"/>
          <w:color w:val="000000" w:themeColor="text1"/>
          <w:sz w:val="16"/>
          <w:szCs w:val="16"/>
          <w:lang w:eastAsia="ru-RU" w:bidi="ru-RU"/>
        </w:rPr>
        <w:softHyphen/>
        <w:t>воить технологии и зарубежный опыт на производство разрезных крыльев, совре</w:t>
      </w:r>
      <w:r w:rsidRPr="007122AB">
        <w:rPr>
          <w:rFonts w:ascii="Times New Roman" w:hAnsi="Times New Roman"/>
          <w:color w:val="000000" w:themeColor="text1"/>
          <w:sz w:val="16"/>
          <w:szCs w:val="16"/>
          <w:lang w:eastAsia="ru-RU" w:bidi="ru-RU"/>
        </w:rPr>
        <w:softHyphen/>
        <w:t>менных моторов жидкостного и воздуш</w:t>
      </w:r>
      <w:r w:rsidRPr="007122AB">
        <w:rPr>
          <w:rFonts w:ascii="Times New Roman" w:hAnsi="Times New Roman"/>
          <w:color w:val="000000" w:themeColor="text1"/>
          <w:sz w:val="16"/>
          <w:szCs w:val="16"/>
          <w:lang w:eastAsia="ru-RU" w:bidi="ru-RU"/>
        </w:rPr>
        <w:softHyphen/>
        <w:t>ного охлаждения, хромомолибденовых труб, по литью, ковке, штамповке и термо</w:t>
      </w:r>
      <w:r w:rsidRPr="007122AB">
        <w:rPr>
          <w:rFonts w:ascii="Times New Roman" w:hAnsi="Times New Roman"/>
          <w:color w:val="000000" w:themeColor="text1"/>
          <w:sz w:val="16"/>
          <w:szCs w:val="16"/>
          <w:lang w:eastAsia="ru-RU" w:bidi="ru-RU"/>
        </w:rPr>
        <w:softHyphen/>
        <w:t>обработке алюминиевых сплавов, изго</w:t>
      </w:r>
      <w:r w:rsidRPr="007122AB">
        <w:rPr>
          <w:rFonts w:ascii="Times New Roman" w:hAnsi="Times New Roman"/>
          <w:color w:val="000000" w:themeColor="text1"/>
          <w:sz w:val="16"/>
          <w:szCs w:val="16"/>
          <w:lang w:eastAsia="ru-RU" w:bidi="ru-RU"/>
        </w:rPr>
        <w:softHyphen/>
        <w:t>товления металлических винтов, самопу</w:t>
      </w:r>
      <w:r w:rsidRPr="007122AB">
        <w:rPr>
          <w:rFonts w:ascii="Times New Roman" w:hAnsi="Times New Roman"/>
          <w:color w:val="000000" w:themeColor="text1"/>
          <w:sz w:val="16"/>
          <w:szCs w:val="16"/>
          <w:lang w:eastAsia="ru-RU" w:bidi="ru-RU"/>
        </w:rPr>
        <w:softHyphen/>
        <w:t>сков, тормозных колес и т.д.</w:t>
      </w:r>
    </w:p>
    <w:p w14:paraId="2B583E8A" w14:textId="77777777" w:rsidR="008707F5" w:rsidRPr="007122AB" w:rsidRDefault="008707F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Управление ВВС и ВАО обязывались «в месячный срок разработать и предста</w:t>
      </w:r>
      <w:r w:rsidRPr="007122AB">
        <w:rPr>
          <w:rFonts w:ascii="Times New Roman" w:hAnsi="Times New Roman"/>
          <w:color w:val="000000" w:themeColor="text1"/>
          <w:sz w:val="16"/>
          <w:szCs w:val="16"/>
          <w:lang w:eastAsia="ru-RU" w:bidi="ru-RU"/>
        </w:rPr>
        <w:softHyphen/>
        <w:t>вить на утверждение СТО план опытного строительства самолетов и моторов, имея в виду «сокращение типов моторов и са</w:t>
      </w:r>
      <w:r w:rsidRPr="007122AB">
        <w:rPr>
          <w:rFonts w:ascii="Times New Roman" w:hAnsi="Times New Roman"/>
          <w:color w:val="000000" w:themeColor="text1"/>
          <w:sz w:val="16"/>
          <w:szCs w:val="16"/>
          <w:lang w:eastAsia="ru-RU" w:bidi="ru-RU"/>
        </w:rPr>
        <w:softHyphen/>
        <w:t>молетов ВВС и унификацию военных и гражданских моторов и самолетов».</w:t>
      </w:r>
    </w:p>
    <w:p w14:paraId="7363EBCD" w14:textId="77777777" w:rsidR="008707F5" w:rsidRPr="007122AB" w:rsidRDefault="008707F5"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Одновременно по инициативе ВАО была принята сокращенная программа производства боевых самолетов в 1931 г., согласно которой к концу года советский авиапром, помимо других машин, должен выпустить 10 бронированных штурмови</w:t>
      </w:r>
      <w:r w:rsidRPr="007122AB">
        <w:rPr>
          <w:rFonts w:ascii="Times New Roman" w:hAnsi="Times New Roman"/>
          <w:color w:val="000000" w:themeColor="text1"/>
          <w:sz w:val="16"/>
          <w:szCs w:val="16"/>
          <w:lang w:eastAsia="ru-RU" w:bidi="ru-RU"/>
        </w:rPr>
        <w:softHyphen/>
        <w:t>ков ТШ-2 М-17 войсковой серии (21062).</w:t>
      </w:r>
    </w:p>
    <w:p w14:paraId="5B5A161A" w14:textId="77777777" w:rsidR="008707F5" w:rsidRPr="007122AB" w:rsidRDefault="008707F5" w:rsidP="007122AB">
      <w:pPr>
        <w:spacing w:after="0" w:line="240" w:lineRule="auto"/>
        <w:jc w:val="both"/>
        <w:rPr>
          <w:rFonts w:ascii="Times New Roman" w:hAnsi="Times New Roman"/>
          <w:color w:val="000000" w:themeColor="text1"/>
          <w:sz w:val="16"/>
          <w:szCs w:val="16"/>
        </w:rPr>
      </w:pPr>
    </w:p>
    <w:p w14:paraId="2A0EBC63" w14:textId="77777777" w:rsidR="008707F5" w:rsidRPr="007122AB" w:rsidRDefault="008707F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23 мая 1931 года на заседании Комиссии Обороны СССР было решено организовать на ХПЗ выпуск танков Б-Т. Это стало итогом изучения образцов танка Кристи, которые были закуплены для Советского Союза (20375).</w:t>
      </w:r>
    </w:p>
    <w:p w14:paraId="125DECBF" w14:textId="77777777" w:rsidR="008707F5" w:rsidRPr="007122AB" w:rsidRDefault="008707F5" w:rsidP="007122AB">
      <w:pPr>
        <w:shd w:val="clear" w:color="auto" w:fill="FFFFFF"/>
        <w:spacing w:after="0" w:line="240" w:lineRule="auto"/>
        <w:jc w:val="both"/>
        <w:rPr>
          <w:rFonts w:ascii="Times New Roman" w:hAnsi="Times New Roman"/>
          <w:color w:val="000000" w:themeColor="text1"/>
          <w:sz w:val="16"/>
          <w:szCs w:val="16"/>
        </w:rPr>
      </w:pPr>
    </w:p>
    <w:p w14:paraId="3DB985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г. в протоколе КО «О танкостроении» было принято окончательное решение о производстве танка «БТ-Кристи» на ХПЗ, где особо оговаривалось: «Разрешить РВСССР ввести танк Кристи в систему авто-броне-танко-тракторного вооружения РККА в качестве быстро</w:t>
      </w:r>
      <w:r w:rsidRPr="007122AB">
        <w:rPr>
          <w:rFonts w:ascii="Times New Roman" w:hAnsi="Times New Roman"/>
          <w:color w:val="000000" w:themeColor="text1"/>
          <w:sz w:val="16"/>
          <w:szCs w:val="16"/>
        </w:rPr>
        <w:softHyphen/>
        <w:t>ходного истребителя (Б-Т).» (10733,195).</w:t>
      </w:r>
    </w:p>
    <w:p w14:paraId="113025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24D4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года в Протоколе № 6 Комиссии Обороны СССР было принято окончательное решение о производстве БТ на ХПЗ и о свертывании производства маневренного танка Т-24. Правда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Не смотря на снятие с серийного производства танка Т-24, тракторный отдел технической конторы ГХПЗ в 1930-1935 году разработал на базе танка средний артиллерийский тягач, принятый на вооружение РККА под маркой "Коминтерн". Артиллерийский тягач "Коминтерн" серийно изготовлялся до 1940 года. Этот тягач стал классическим образцом компоновки специализированного артиллерийского тягача. За время производства было собрано 1798 тягачей, которые широко использовались как в армии, так и в народном хозяйстве. Танкам Т-24 не посчастливилось со службой в войсках. Первоначально 24 изготовленных танка Т-24 предусматривалось использовать в качестве танков усиления. Однако со временем их перевели в разряд учебных машин. Небольшое количество изготовленных танков определила их локальное расположение. 18 танков Т-24 остались в Харьковском военном округе в составе учебного танкового полка. Один танк Т-24 был приписан к Московскому военному округу в составе Военной Академии механизации и моторизации РККА. Пять танков Т-24 остались в распоряжении НИАП и НИИБТ полигона. Однако их служба была довольно недолгой. В начале 1938 года 22 танка Т-24 было передано на склады НЗ. Состояние танков было ужасным. Большинство из них имели неисправные двигатели, трансмиссию и вооружение. Некоторые танки были совсем разоружены (10278).</w:t>
      </w:r>
    </w:p>
    <w:p w14:paraId="42FBCA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85BC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года было принято решение начать на ХПЗ произ</w:t>
      </w:r>
      <w:r w:rsidRPr="007122AB">
        <w:rPr>
          <w:rFonts w:ascii="Times New Roman" w:hAnsi="Times New Roman"/>
          <w:color w:val="000000" w:themeColor="text1"/>
          <w:sz w:val="16"/>
          <w:szCs w:val="16"/>
        </w:rPr>
        <w:softHyphen/>
        <w:t>водство танка БТ на базе шасси танка «Кристи» и тогдашний главный ин</w:t>
      </w:r>
      <w:r w:rsidRPr="007122AB">
        <w:rPr>
          <w:rFonts w:ascii="Times New Roman" w:hAnsi="Times New Roman"/>
          <w:color w:val="000000" w:themeColor="text1"/>
          <w:sz w:val="16"/>
          <w:szCs w:val="16"/>
        </w:rPr>
        <w:softHyphen/>
        <w:t xml:space="preserve">женер завода </w:t>
      </w:r>
      <w:proofErr w:type="spellStart"/>
      <w:r w:rsidRPr="007122AB">
        <w:rPr>
          <w:rFonts w:ascii="Times New Roman" w:hAnsi="Times New Roman"/>
          <w:color w:val="000000" w:themeColor="text1"/>
          <w:sz w:val="16"/>
          <w:szCs w:val="16"/>
        </w:rPr>
        <w:t>И.П.Бондаренко</w:t>
      </w:r>
      <w:proofErr w:type="spellEnd"/>
      <w:r w:rsidRPr="007122AB">
        <w:rPr>
          <w:rFonts w:ascii="Times New Roman" w:hAnsi="Times New Roman"/>
          <w:color w:val="000000" w:themeColor="text1"/>
          <w:sz w:val="16"/>
          <w:szCs w:val="16"/>
        </w:rPr>
        <w:t xml:space="preserve"> в разговоре с Председателей Совнаркома Украины Власом Яковлевичем Чубарем посетовал, что для организации такого важного и крупного дела на заводе почти нет грамотных инжене</w:t>
      </w:r>
      <w:r w:rsidRPr="007122AB">
        <w:rPr>
          <w:rFonts w:ascii="Times New Roman" w:hAnsi="Times New Roman"/>
          <w:color w:val="000000" w:themeColor="text1"/>
          <w:sz w:val="16"/>
          <w:szCs w:val="16"/>
        </w:rPr>
        <w:softHyphen/>
        <w:t>ров-машиностроителей, способных не только организовать производство, но и тут же приняться за его совершенствование.</w:t>
      </w:r>
    </w:p>
    <w:p w14:paraId="358D74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Хотя это и говорит о доверии к танкостроителям, об уверенности в безошибочности конструктивных решений, — сказал Бондаренко Чуба-рю, но из практики известно, что с танком еще придется повозиться.</w:t>
      </w:r>
    </w:p>
    <w:p w14:paraId="0EA826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Где же их взять, грамотных инженеров-машиностроителей? — спро</w:t>
      </w:r>
      <w:r w:rsidRPr="007122AB">
        <w:rPr>
          <w:rFonts w:ascii="Times New Roman" w:hAnsi="Times New Roman"/>
          <w:color w:val="000000" w:themeColor="text1"/>
          <w:sz w:val="16"/>
          <w:szCs w:val="16"/>
        </w:rPr>
        <w:softHyphen/>
        <w:t>сил Чубарь.</w:t>
      </w:r>
    </w:p>
    <w:p w14:paraId="63D22C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Слышал я, Влас Яковлевич, летом прошлого года в Николаеве суди</w:t>
      </w:r>
      <w:r w:rsidRPr="007122AB">
        <w:rPr>
          <w:rFonts w:ascii="Times New Roman" w:hAnsi="Times New Roman"/>
          <w:color w:val="000000" w:themeColor="text1"/>
          <w:sz w:val="16"/>
          <w:szCs w:val="16"/>
        </w:rPr>
        <w:softHyphen/>
        <w:t>ли «старых спецов». Не знаю, виноваты ли они, но говорили, что грамот</w:t>
      </w:r>
      <w:r w:rsidRPr="007122AB">
        <w:rPr>
          <w:rFonts w:ascii="Times New Roman" w:hAnsi="Times New Roman"/>
          <w:color w:val="000000" w:themeColor="text1"/>
          <w:sz w:val="16"/>
          <w:szCs w:val="16"/>
        </w:rPr>
        <w:softHyphen/>
        <w:t>ные и толковые, причем дизелисты. А нам ведь на танк нужен тоже дизель — так поговаривают военные, рассказывал Бондаренко Чубарю.</w:t>
      </w:r>
    </w:p>
    <w:p w14:paraId="1112F2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Поговорите с начальником ОГПУ Балицким и с Серго Орджони</w:t>
      </w:r>
      <w:r w:rsidRPr="007122AB">
        <w:rPr>
          <w:rFonts w:ascii="Times New Roman" w:hAnsi="Times New Roman"/>
          <w:color w:val="000000" w:themeColor="text1"/>
          <w:sz w:val="16"/>
          <w:szCs w:val="16"/>
        </w:rPr>
        <w:softHyphen/>
        <w:t>кидзе, может быть они помогут?</w:t>
      </w:r>
    </w:p>
    <w:p w14:paraId="1EF356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следующий день Чубарь позвонил председателю ОГПУ Украины Балицкому и председателю ВСНХ Серго Орджоникидзе. Через несколь</w:t>
      </w:r>
      <w:r w:rsidRPr="007122AB">
        <w:rPr>
          <w:rFonts w:ascii="Times New Roman" w:hAnsi="Times New Roman"/>
          <w:color w:val="000000" w:themeColor="text1"/>
          <w:sz w:val="16"/>
          <w:szCs w:val="16"/>
        </w:rPr>
        <w:softHyphen/>
        <w:t>ко дней Иван Петрович Бондаренко, сидя в одном из кабинетов на Со</w:t>
      </w:r>
      <w:r w:rsidRPr="007122AB">
        <w:rPr>
          <w:rFonts w:ascii="Times New Roman" w:hAnsi="Times New Roman"/>
          <w:color w:val="000000" w:themeColor="text1"/>
          <w:sz w:val="16"/>
          <w:szCs w:val="16"/>
        </w:rPr>
        <w:softHyphen/>
        <w:t xml:space="preserve">внаркомовской, просматривал анкетные данные инженеров по </w:t>
      </w:r>
      <w:proofErr w:type="spellStart"/>
      <w:r w:rsidRPr="007122AB">
        <w:rPr>
          <w:rFonts w:ascii="Times New Roman" w:hAnsi="Times New Roman"/>
          <w:color w:val="000000" w:themeColor="text1"/>
          <w:sz w:val="16"/>
          <w:szCs w:val="16"/>
        </w:rPr>
        <w:t>дизелест</w:t>
      </w:r>
      <w:proofErr w:type="spellEnd"/>
      <w:r w:rsidRPr="007122AB">
        <w:rPr>
          <w:rFonts w:ascii="Times New Roman" w:hAnsi="Times New Roman"/>
          <w:color w:val="000000" w:themeColor="text1"/>
          <w:sz w:val="16"/>
          <w:szCs w:val="16"/>
        </w:rPr>
        <w:t>-роению на Николаевских государственных судостроительных заводах им. А. Марти, осужденных коллегией ОГПУ 23 июня 1930 года по ст. 54-7 УК УССР (вредительство) к 5 годам лишения свободы, с отбыванием наказа</w:t>
      </w:r>
      <w:r w:rsidRPr="007122AB">
        <w:rPr>
          <w:rFonts w:ascii="Times New Roman" w:hAnsi="Times New Roman"/>
          <w:color w:val="000000" w:themeColor="text1"/>
          <w:sz w:val="16"/>
          <w:szCs w:val="16"/>
        </w:rPr>
        <w:softHyphen/>
        <w:t>ния в концлагере.</w:t>
      </w:r>
    </w:p>
    <w:p w14:paraId="784257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Внимание Бондаренко привлекли четыре фамилии: </w:t>
      </w:r>
      <w:proofErr w:type="spellStart"/>
      <w:r w:rsidRPr="007122AB">
        <w:rPr>
          <w:rFonts w:ascii="Times New Roman" w:hAnsi="Times New Roman"/>
          <w:color w:val="000000" w:themeColor="text1"/>
          <w:sz w:val="16"/>
          <w:szCs w:val="16"/>
        </w:rPr>
        <w:t>А.С.Куприянов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А.О.Фирсов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В.Э.Клодт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К.И.Цареквицкий</w:t>
      </w:r>
      <w:proofErr w:type="spellEnd"/>
      <w:r w:rsidRPr="007122AB">
        <w:rPr>
          <w:rFonts w:ascii="Times New Roman" w:hAnsi="Times New Roman"/>
          <w:color w:val="000000" w:themeColor="text1"/>
          <w:sz w:val="16"/>
          <w:szCs w:val="16"/>
        </w:rPr>
        <w:t>.</w:t>
      </w:r>
    </w:p>
    <w:p w14:paraId="2422FA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«Подайте ходатайство на имя председателя ОГПУ </w:t>
      </w:r>
      <w:proofErr w:type="spellStart"/>
      <w:r w:rsidRPr="007122AB">
        <w:rPr>
          <w:rFonts w:ascii="Times New Roman" w:hAnsi="Times New Roman"/>
          <w:color w:val="000000" w:themeColor="text1"/>
          <w:sz w:val="16"/>
          <w:szCs w:val="16"/>
        </w:rPr>
        <w:t>В.Р.Менжинского</w:t>
      </w:r>
      <w:proofErr w:type="spellEnd"/>
      <w:r w:rsidRPr="007122AB">
        <w:rPr>
          <w:rFonts w:ascii="Times New Roman" w:hAnsi="Times New Roman"/>
          <w:color w:val="000000" w:themeColor="text1"/>
          <w:sz w:val="16"/>
          <w:szCs w:val="16"/>
        </w:rPr>
        <w:t xml:space="preserve"> о пересмотре дел и освобождении выбранных Вами инженеров хотя бы ус</w:t>
      </w:r>
      <w:r w:rsidRPr="007122AB">
        <w:rPr>
          <w:rFonts w:ascii="Times New Roman" w:hAnsi="Times New Roman"/>
          <w:color w:val="000000" w:themeColor="text1"/>
          <w:sz w:val="16"/>
          <w:szCs w:val="16"/>
        </w:rPr>
        <w:softHyphen/>
        <w:t xml:space="preserve">ловно и просите на оставшийся срок выслать их в распоряжение ХПЗ, сказал Балицкий Бондаренко. — Пусть ходатайство поддержит </w:t>
      </w:r>
      <w:proofErr w:type="spellStart"/>
      <w:r w:rsidRPr="007122AB">
        <w:rPr>
          <w:rFonts w:ascii="Times New Roman" w:hAnsi="Times New Roman"/>
          <w:color w:val="000000" w:themeColor="text1"/>
          <w:sz w:val="16"/>
          <w:szCs w:val="16"/>
        </w:rPr>
        <w:t>Предсов</w:t>
      </w:r>
      <w:proofErr w:type="spellEnd"/>
      <w:r w:rsidRPr="007122AB">
        <w:rPr>
          <w:rFonts w:ascii="Times New Roman" w:hAnsi="Times New Roman"/>
          <w:color w:val="000000" w:themeColor="text1"/>
          <w:sz w:val="16"/>
          <w:szCs w:val="16"/>
        </w:rPr>
        <w:t>-наркома Украины Чубарь и председатель ВСНХ СССР Орджоникидзе».</w:t>
      </w:r>
    </w:p>
    <w:p w14:paraId="6CF1D5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Иван Петрович Бондаренко сыграл роль в судьбе четырех инжене</w:t>
      </w:r>
      <w:r w:rsidRPr="007122AB">
        <w:rPr>
          <w:rFonts w:ascii="Times New Roman" w:hAnsi="Times New Roman"/>
          <w:color w:val="000000" w:themeColor="text1"/>
          <w:sz w:val="16"/>
          <w:szCs w:val="16"/>
        </w:rPr>
        <w:softHyphen/>
        <w:t>ров, которых видел только на фотографиях их уголовных дел. А те, кого выбрал в свои помощники главный инженер ХПЗ, находились в это время в Николаевской тюрьме и ждали этапа «для отбытия наказания в Соло</w:t>
      </w:r>
      <w:r w:rsidRPr="007122AB">
        <w:rPr>
          <w:rFonts w:ascii="Times New Roman" w:hAnsi="Times New Roman"/>
          <w:color w:val="000000" w:themeColor="text1"/>
          <w:sz w:val="16"/>
          <w:szCs w:val="16"/>
        </w:rPr>
        <w:softHyphen/>
        <w:t xml:space="preserve">вецкие лагеря особого назначения». Указание об этом поступило 30 июня 1931 года уже от начальника ОЦР (отдела центральной регистратуры). ОГПУ. Это указание хранится в архивном уголовном деле </w:t>
      </w:r>
      <w:proofErr w:type="spellStart"/>
      <w:r w:rsidRPr="007122AB">
        <w:rPr>
          <w:rFonts w:ascii="Times New Roman" w:hAnsi="Times New Roman"/>
          <w:color w:val="000000" w:themeColor="text1"/>
          <w:sz w:val="16"/>
          <w:szCs w:val="16"/>
        </w:rPr>
        <w:t>А.О.Фирсова</w:t>
      </w:r>
      <w:proofErr w:type="spellEnd"/>
      <w:r w:rsidRPr="007122AB">
        <w:rPr>
          <w:rFonts w:ascii="Times New Roman" w:hAnsi="Times New Roman"/>
          <w:color w:val="000000" w:themeColor="text1"/>
          <w:sz w:val="16"/>
          <w:szCs w:val="16"/>
        </w:rPr>
        <w:t>. Больше трех месяцев решалась «в верхах» судьба четырех «старых спе</w:t>
      </w:r>
      <w:r w:rsidRPr="007122AB">
        <w:rPr>
          <w:rFonts w:ascii="Times New Roman" w:hAnsi="Times New Roman"/>
          <w:color w:val="000000" w:themeColor="text1"/>
          <w:sz w:val="16"/>
          <w:szCs w:val="16"/>
        </w:rPr>
        <w:softHyphen/>
        <w:t>цов» с Николаевских судостроительных заводов, о чем и не ведали сами осужденные, сидя в переполненной камере тюрьмы вместе с уголовника</w:t>
      </w:r>
      <w:r w:rsidRPr="007122AB">
        <w:rPr>
          <w:rFonts w:ascii="Times New Roman" w:hAnsi="Times New Roman"/>
          <w:color w:val="000000" w:themeColor="text1"/>
          <w:sz w:val="16"/>
          <w:szCs w:val="16"/>
        </w:rPr>
        <w:softHyphen/>
        <w:t xml:space="preserve">ми. И вот, недоумевающие и гадающие: «Куда и зачем везут?», Фирсов, Клод, Куприянов и </w:t>
      </w:r>
      <w:proofErr w:type="spellStart"/>
      <w:r w:rsidRPr="007122AB">
        <w:rPr>
          <w:rFonts w:ascii="Times New Roman" w:hAnsi="Times New Roman"/>
          <w:color w:val="000000" w:themeColor="text1"/>
          <w:sz w:val="16"/>
          <w:szCs w:val="16"/>
        </w:rPr>
        <w:t>Цереквицкий</w:t>
      </w:r>
      <w:proofErr w:type="spellEnd"/>
      <w:r w:rsidRPr="007122AB">
        <w:rPr>
          <w:rFonts w:ascii="Times New Roman" w:hAnsi="Times New Roman"/>
          <w:color w:val="000000" w:themeColor="text1"/>
          <w:sz w:val="16"/>
          <w:szCs w:val="16"/>
        </w:rPr>
        <w:t xml:space="preserve"> ехали с небольшим этапом в Москву, а не тем же путем, которым обычно шли этапы из Николаева в Соловки, и не тем, которым проследовал в Москву из Соловецких лагерей нэпман инженер Френкель для осуществления своего «гениального плана» о «ра</w:t>
      </w:r>
      <w:r w:rsidRPr="007122AB">
        <w:rPr>
          <w:rFonts w:ascii="Times New Roman" w:hAnsi="Times New Roman"/>
          <w:color w:val="000000" w:themeColor="text1"/>
          <w:sz w:val="16"/>
          <w:szCs w:val="16"/>
        </w:rPr>
        <w:softHyphen/>
        <w:t>циональном» использовании огромных масс заключенных.</w:t>
      </w:r>
    </w:p>
    <w:p w14:paraId="14A3DB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Однако Фирсов, Клодт и </w:t>
      </w:r>
      <w:proofErr w:type="spellStart"/>
      <w:r w:rsidRPr="007122AB">
        <w:rPr>
          <w:rFonts w:ascii="Times New Roman" w:hAnsi="Times New Roman"/>
          <w:color w:val="000000" w:themeColor="text1"/>
          <w:sz w:val="16"/>
          <w:szCs w:val="16"/>
        </w:rPr>
        <w:t>Цереквицкий</w:t>
      </w:r>
      <w:proofErr w:type="spellEnd"/>
      <w:r w:rsidRPr="007122AB">
        <w:rPr>
          <w:rFonts w:ascii="Times New Roman" w:hAnsi="Times New Roman"/>
          <w:color w:val="000000" w:themeColor="text1"/>
          <w:sz w:val="16"/>
          <w:szCs w:val="16"/>
        </w:rPr>
        <w:t xml:space="preserve"> не сразу попали на ХПЗ, сначала они оказались во внутренней тюрьме на Лубянке. Заключенные недоумева</w:t>
      </w:r>
      <w:r w:rsidRPr="007122AB">
        <w:rPr>
          <w:rFonts w:ascii="Times New Roman" w:hAnsi="Times New Roman"/>
          <w:color w:val="000000" w:themeColor="text1"/>
          <w:sz w:val="16"/>
          <w:szCs w:val="16"/>
        </w:rPr>
        <w:softHyphen/>
        <w:t>ли, зачем их привезли на Лубянку, ожидая, естественно самого худшего... (11504).</w:t>
      </w:r>
    </w:p>
    <w:p w14:paraId="6D1F5F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B9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года Окончательное решение о свертывании производства маневренного танка Т-24 и организацию серийного производства танка БТ было закреплено в Протоколе № 6 Комиссии Обороны СССР (10710).</w:t>
      </w:r>
    </w:p>
    <w:p w14:paraId="5843BF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0375B6" w14:textId="77777777" w:rsidR="00E454FF" w:rsidRPr="007122AB" w:rsidRDefault="00E454F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г. постановление Комиссии обороны СССР заказ на танки Т-24 был сокращен до 24 машин (12303).</w:t>
      </w:r>
    </w:p>
    <w:p w14:paraId="31C7939F" w14:textId="77777777" w:rsidR="00E454FF" w:rsidRPr="007122AB" w:rsidRDefault="00E454FF" w:rsidP="007122AB">
      <w:pPr>
        <w:spacing w:after="0" w:line="240" w:lineRule="auto"/>
        <w:jc w:val="both"/>
        <w:rPr>
          <w:rFonts w:ascii="Times New Roman" w:hAnsi="Times New Roman"/>
          <w:color w:val="000000" w:themeColor="text1"/>
          <w:sz w:val="16"/>
          <w:szCs w:val="16"/>
        </w:rPr>
      </w:pPr>
    </w:p>
    <w:p w14:paraId="5076F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у танка Кристи на испытаниях вновь сломался кронштейн ленивца и машину отправили на ремонт, занявший трое суток (3879,7).</w:t>
      </w:r>
    </w:p>
    <w:p w14:paraId="003C2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B204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мая 1931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w:t>
      </w:r>
      <w:proofErr w:type="spellStart"/>
      <w:r w:rsidRPr="007122AB">
        <w:rPr>
          <w:rFonts w:ascii="Times New Roman" w:hAnsi="Times New Roman"/>
          <w:color w:val="000000" w:themeColor="text1"/>
          <w:sz w:val="16"/>
          <w:szCs w:val="16"/>
        </w:rPr>
        <w:t>Минтрансмаша</w:t>
      </w:r>
      <w:proofErr w:type="spellEnd"/>
      <w:r w:rsidRPr="007122AB">
        <w:rPr>
          <w:rFonts w:ascii="Times New Roman" w:hAnsi="Times New Roman"/>
          <w:color w:val="000000" w:themeColor="text1"/>
          <w:sz w:val="16"/>
          <w:szCs w:val="16"/>
        </w:rPr>
        <w:t>, ПО «УВЗ» им. Ф.Э. Дзержинского», ФГУП «ПО «УВЗ им. Ф.Э. Дзержинского» ФАП, ОАО «Научно-производственная корпорация (НПК) «УВЗ» / г. Харьков п/я 61 «</w:t>
      </w:r>
      <w:proofErr w:type="spellStart"/>
      <w:r w:rsidRPr="007122AB">
        <w:rPr>
          <w:rFonts w:ascii="Times New Roman" w:hAnsi="Times New Roman"/>
          <w:color w:val="000000" w:themeColor="text1"/>
          <w:sz w:val="16"/>
          <w:szCs w:val="16"/>
        </w:rPr>
        <w:t>Коминтернзавод</w:t>
      </w:r>
      <w:proofErr w:type="spellEnd"/>
      <w:r w:rsidRPr="007122AB">
        <w:rPr>
          <w:rFonts w:ascii="Times New Roman" w:hAnsi="Times New Roman"/>
          <w:color w:val="000000" w:themeColor="text1"/>
          <w:sz w:val="16"/>
          <w:szCs w:val="16"/>
        </w:rPr>
        <w:t xml:space="preserve">» (1938 г.);  г. Нижний Тагил/ /622007(51) начато освоение производства танка БТ. Требовалось изготовить два опытных танка к 15.09.1931 г., первые 20 серийных машин - к 1.11.1931 г., </w:t>
      </w:r>
      <w:proofErr w:type="spellStart"/>
      <w:r w:rsidRPr="007122AB">
        <w:rPr>
          <w:rFonts w:ascii="Times New Roman" w:hAnsi="Times New Roman"/>
          <w:color w:val="000000" w:themeColor="text1"/>
          <w:sz w:val="16"/>
          <w:szCs w:val="16"/>
        </w:rPr>
        <w:t>ак</w:t>
      </w:r>
      <w:proofErr w:type="spellEnd"/>
      <w:r w:rsidRPr="007122AB">
        <w:rPr>
          <w:rFonts w:ascii="Times New Roman" w:hAnsi="Times New Roman"/>
          <w:color w:val="000000" w:themeColor="text1"/>
          <w:sz w:val="16"/>
          <w:szCs w:val="16"/>
        </w:rPr>
        <w:t xml:space="preserve"> 1.01.1932 г.-100 машин.</w:t>
      </w:r>
    </w:p>
    <w:p w14:paraId="0B5B8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 СНК заводу во втором полугодии 1933 г. было поручено начать серийный выпуск танка Т-35А, для этого в 06.1933 г. на завод передан опытный Т-35-2. Первый танк собран в 11.1933 г. Пост. Главного Военного Совета СССР о 8.06.1939 г. производство Т-35 было прекращено.</w:t>
      </w:r>
    </w:p>
    <w:p w14:paraId="51CB6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1931-33 г. на заводе был спроектирован и построен опытный танковый дизель БД-1, затем - БД-2. Приказом № 00156 от 14.07.1937 г. на завод командировано 10 специалистов по дизелям. По распоряжению СНК № 2358сс от 27.07.1937 г. и пр. НКОП № 00174 от 9.08.1937 г. заводу передан из ведения ГУ ГВФ Харьковский НИ </w:t>
      </w:r>
      <w:proofErr w:type="spellStart"/>
      <w:r w:rsidRPr="007122AB">
        <w:rPr>
          <w:rFonts w:ascii="Times New Roman" w:hAnsi="Times New Roman"/>
          <w:color w:val="000000" w:themeColor="text1"/>
          <w:sz w:val="16"/>
          <w:szCs w:val="16"/>
        </w:rPr>
        <w:t>авиадизельный</w:t>
      </w:r>
      <w:proofErr w:type="spellEnd"/>
      <w:r w:rsidRPr="007122AB">
        <w:rPr>
          <w:rFonts w:ascii="Times New Roman" w:hAnsi="Times New Roman"/>
          <w:color w:val="000000" w:themeColor="text1"/>
          <w:sz w:val="16"/>
          <w:szCs w:val="16"/>
        </w:rPr>
        <w:t xml:space="preserve">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w:t>
      </w:r>
    </w:p>
    <w:p w14:paraId="041C1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СНК № 94сс от 15.08.1937 г. на заводе создано отдельное КБ для разработки танка БТ-20.</w:t>
      </w:r>
    </w:p>
    <w:p w14:paraId="45652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неудовлетворительными темпами работ» 13/20.01.1938 г. вышел приказ № Юс провести обследование реконструкции завода.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w:t>
      </w:r>
    </w:p>
    <w:p w14:paraId="55371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50сс от 4/9.02.1938 г. заводу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3D3DBE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 121с от 3.04.1938 г. заводу требовалось к 15.04.1938 г. сдать </w:t>
      </w:r>
      <w:proofErr w:type="spellStart"/>
      <w:r w:rsidRPr="007122AB">
        <w:rPr>
          <w:rFonts w:ascii="Times New Roman" w:hAnsi="Times New Roman"/>
          <w:color w:val="000000" w:themeColor="text1"/>
          <w:sz w:val="16"/>
          <w:szCs w:val="16"/>
        </w:rPr>
        <w:t>мторы</w:t>
      </w:r>
      <w:proofErr w:type="spellEnd"/>
      <w:r w:rsidRPr="007122AB">
        <w:rPr>
          <w:rFonts w:ascii="Times New Roman" w:hAnsi="Times New Roman"/>
          <w:color w:val="000000" w:themeColor="text1"/>
          <w:sz w:val="16"/>
          <w:szCs w:val="16"/>
        </w:rPr>
        <w:t xml:space="preserve"> КИН для катеров крейсера «Киров».</w:t>
      </w:r>
    </w:p>
    <w:p w14:paraId="04C32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1939 г. планировался выпуск танков: БТ-8: усовершенствованный, </w:t>
      </w:r>
      <w:proofErr w:type="spellStart"/>
      <w:r w:rsidRPr="007122AB">
        <w:rPr>
          <w:rFonts w:ascii="Times New Roman" w:hAnsi="Times New Roman"/>
          <w:color w:val="000000" w:themeColor="text1"/>
          <w:sz w:val="16"/>
          <w:szCs w:val="16"/>
        </w:rPr>
        <w:t>химтанк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арттанк</w:t>
      </w:r>
      <w:proofErr w:type="spellEnd"/>
      <w:r w:rsidRPr="007122AB">
        <w:rPr>
          <w:rFonts w:ascii="Times New Roman" w:hAnsi="Times New Roman"/>
          <w:color w:val="000000" w:themeColor="text1"/>
          <w:sz w:val="16"/>
          <w:szCs w:val="16"/>
        </w:rPr>
        <w:t xml:space="preserve"> с 76-мм пушкой Л-10, с оборудованием для подводного хождения; усовершенствованный Т-35.</w:t>
      </w:r>
    </w:p>
    <w:p w14:paraId="4E1308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КО № 443 от 19.12.1939 г. начато производство Т-34. Требовалось изготовить 2 опытные машины к 15.01.1940 г. и 03.1940 г., до конца года - 200 машин. В 01-02.1940 г. изготовлены два опытных А-34. Строился новый мощный конвейер для крупносерийного производства Т-34. В соответствии с пост. Политбюро ЦК ВКП (б) от 01.1940 г. и пост. СНК № 967-368сс от 06.1940 г. в 1940 г. заводу необходимо было выпустить 500 Т-34 (было выпущено 115). Пост. СНК № 1216-502сс/оп от 5.05.1941 г. заводу утвержден план выпуска Т-34 на 1941 г. 1800 танков с выпуском 140 шт. в мае и 175 шт. в августе.</w:t>
      </w:r>
      <w:r w:rsidRPr="007122AB">
        <w:rPr>
          <w:rFonts w:ascii="Times New Roman" w:hAnsi="Times New Roman"/>
          <w:color w:val="000000" w:themeColor="text1"/>
          <w:sz w:val="16"/>
          <w:szCs w:val="16"/>
          <w:vertAlign w:val="superscript"/>
        </w:rPr>
        <w:t>128</w:t>
      </w:r>
    </w:p>
    <w:p w14:paraId="4B4AED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1930-е  г. завод выпускал также паровозы, тракторы, мощные дизели. В 1936 г. построено 264 паровоза.</w:t>
      </w:r>
    </w:p>
    <w:p w14:paraId="147F78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составе завода отделы (1938 г.): 100,200, 300, дизельный 400, 500, 630, 700.</w:t>
      </w:r>
    </w:p>
    <w:p w14:paraId="794FB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образованием НКТП завод № 183 передан в его подчинение. В соответствии с </w:t>
      </w:r>
      <w:proofErr w:type="spellStart"/>
      <w:r w:rsidRPr="007122AB">
        <w:rPr>
          <w:rFonts w:ascii="Times New Roman" w:hAnsi="Times New Roman"/>
          <w:color w:val="000000" w:themeColor="text1"/>
          <w:sz w:val="16"/>
          <w:szCs w:val="16"/>
        </w:rPr>
        <w:t>пост.ениями</w:t>
      </w:r>
      <w:proofErr w:type="spellEnd"/>
      <w:r w:rsidRPr="007122AB">
        <w:rPr>
          <w:rFonts w:ascii="Times New Roman" w:hAnsi="Times New Roman"/>
          <w:color w:val="000000" w:themeColor="text1"/>
          <w:sz w:val="16"/>
          <w:szCs w:val="16"/>
        </w:rPr>
        <w:t xml:space="preserve"> ГКО № 667с от 12.09.1941 г. (1-я очередь) и № 731 от 4.10.1941 г. (2-я очередь) завод эвакуирован в период 17.09-19.10.1941 г. на площадку Нижнетагильского </w:t>
      </w:r>
      <w:proofErr w:type="spellStart"/>
      <w:r w:rsidRPr="007122AB">
        <w:rPr>
          <w:rFonts w:ascii="Times New Roman" w:hAnsi="Times New Roman"/>
          <w:color w:val="000000" w:themeColor="text1"/>
          <w:sz w:val="16"/>
          <w:szCs w:val="16"/>
        </w:rPr>
        <w:t>вагонзавода</w:t>
      </w:r>
      <w:proofErr w:type="spellEnd"/>
      <w:r w:rsidRPr="007122AB">
        <w:rPr>
          <w:rFonts w:ascii="Times New Roman" w:hAnsi="Times New Roman"/>
          <w:color w:val="000000" w:themeColor="text1"/>
          <w:sz w:val="16"/>
          <w:szCs w:val="16"/>
        </w:rPr>
        <w:t>,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7122AB">
        <w:rPr>
          <w:rFonts w:ascii="Times New Roman" w:hAnsi="Times New Roman"/>
          <w:color w:val="000000" w:themeColor="text1"/>
          <w:sz w:val="16"/>
          <w:szCs w:val="16"/>
          <w:vertAlign w:val="superscript"/>
        </w:rPr>
        <w:t>128</w:t>
      </w:r>
    </w:p>
    <w:p w14:paraId="0207F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7122AB">
        <w:rPr>
          <w:rFonts w:ascii="Times New Roman" w:hAnsi="Times New Roman"/>
          <w:color w:val="000000" w:themeColor="text1"/>
          <w:sz w:val="16"/>
          <w:szCs w:val="16"/>
          <w:vertAlign w:val="superscript"/>
        </w:rPr>
        <w:t>128</w:t>
      </w:r>
    </w:p>
    <w:p w14:paraId="07B26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  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620490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6438A0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6B72B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войны на заводе № 183 им. Коминтерна действовало Главное КБ-34 - центр по работе над Т-34 и модификациям.</w:t>
      </w:r>
    </w:p>
    <w:p w14:paraId="2BC962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годы войны выпущено более 30 тыс. единиц бронетанковой техники.</w:t>
      </w:r>
    </w:p>
    <w:p w14:paraId="67DC1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02144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60342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возобновлено производство вагонов.</w:t>
      </w:r>
    </w:p>
    <w:p w14:paraId="4CEC58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2205A0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4CFB7B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66ADF6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3AE0E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0F649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w:t>
      </w:r>
      <w:proofErr w:type="spellStart"/>
      <w:r w:rsidRPr="007122AB">
        <w:rPr>
          <w:rFonts w:ascii="Times New Roman" w:hAnsi="Times New Roman"/>
          <w:color w:val="000000" w:themeColor="text1"/>
          <w:sz w:val="16"/>
          <w:szCs w:val="16"/>
        </w:rPr>
        <w:t>нестадартизованного</w:t>
      </w:r>
      <w:proofErr w:type="spellEnd"/>
      <w:r w:rsidRPr="007122AB">
        <w:rPr>
          <w:rFonts w:ascii="Times New Roman" w:hAnsi="Times New Roman"/>
          <w:color w:val="000000" w:themeColor="text1"/>
          <w:sz w:val="16"/>
          <w:szCs w:val="16"/>
        </w:rPr>
        <w:t xml:space="preserve">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6371B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1C9DD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w:t>
      </w:r>
      <w:proofErr w:type="spellStart"/>
      <w:r w:rsidRPr="007122AB">
        <w:rPr>
          <w:rFonts w:ascii="Times New Roman" w:hAnsi="Times New Roman"/>
          <w:color w:val="000000" w:themeColor="text1"/>
          <w:sz w:val="16"/>
          <w:szCs w:val="16"/>
        </w:rPr>
        <w:t>УралНИТИ</w:t>
      </w:r>
      <w:proofErr w:type="spellEnd"/>
      <w:r w:rsidRPr="007122AB">
        <w:rPr>
          <w:rFonts w:ascii="Times New Roman" w:hAnsi="Times New Roman"/>
          <w:color w:val="000000" w:themeColor="text1"/>
          <w:sz w:val="16"/>
          <w:szCs w:val="16"/>
        </w:rPr>
        <w:t xml:space="preserve">»,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w:t>
      </w:r>
      <w:proofErr w:type="spellStart"/>
      <w:r w:rsidRPr="007122AB">
        <w:rPr>
          <w:rFonts w:ascii="Times New Roman" w:hAnsi="Times New Roman"/>
          <w:color w:val="000000" w:themeColor="text1"/>
          <w:sz w:val="16"/>
          <w:szCs w:val="16"/>
        </w:rPr>
        <w:t>ВНИИтрансмаш</w:t>
      </w:r>
      <w:proofErr w:type="spellEnd"/>
      <w:r w:rsidRPr="007122AB">
        <w:rPr>
          <w:rFonts w:ascii="Times New Roman" w:hAnsi="Times New Roman"/>
          <w:color w:val="000000" w:themeColor="text1"/>
          <w:sz w:val="16"/>
          <w:szCs w:val="16"/>
        </w:rPr>
        <w:t xml:space="preserve">, Мотовилихинские </w:t>
      </w:r>
      <w:r w:rsidRPr="007122AB">
        <w:rPr>
          <w:rFonts w:ascii="Times New Roman" w:hAnsi="Times New Roman"/>
          <w:color w:val="000000" w:themeColor="text1"/>
          <w:sz w:val="16"/>
          <w:szCs w:val="16"/>
        </w:rPr>
        <w:lastRenderedPageBreak/>
        <w:t>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6F50C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контракту с Индией завод строил 300 танков Т-90 (на 06.2009 г. </w:t>
      </w:r>
      <w:proofErr w:type="spellStart"/>
      <w:r w:rsidRPr="007122AB">
        <w:rPr>
          <w:rFonts w:ascii="Times New Roman" w:hAnsi="Times New Roman"/>
          <w:color w:val="000000" w:themeColor="text1"/>
          <w:sz w:val="16"/>
          <w:szCs w:val="16"/>
        </w:rPr>
        <w:t>выбущено</w:t>
      </w:r>
      <w:proofErr w:type="spellEnd"/>
      <w:r w:rsidRPr="007122AB">
        <w:rPr>
          <w:rFonts w:ascii="Times New Roman" w:hAnsi="Times New Roman"/>
          <w:color w:val="000000" w:themeColor="text1"/>
          <w:sz w:val="16"/>
          <w:szCs w:val="16"/>
        </w:rPr>
        <w:t xml:space="preserve"> более 100) и 1000 комплектов для сборки в Индии.</w:t>
      </w:r>
    </w:p>
    <w:p w14:paraId="0A1AE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451D5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 производственная площадь (ВОВ)- 312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1266B8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(2006 г.)- более 30 тыс. чел.</w:t>
      </w:r>
    </w:p>
    <w:p w14:paraId="09C25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(1914 г.)- С. </w:t>
      </w:r>
      <w:proofErr w:type="spellStart"/>
      <w:r w:rsidRPr="007122AB">
        <w:rPr>
          <w:rFonts w:ascii="Times New Roman" w:hAnsi="Times New Roman"/>
          <w:color w:val="000000" w:themeColor="text1"/>
          <w:sz w:val="16"/>
          <w:szCs w:val="16"/>
        </w:rPr>
        <w:t>Палашковский</w:t>
      </w:r>
      <w:proofErr w:type="spellEnd"/>
      <w:r w:rsidRPr="007122AB">
        <w:rPr>
          <w:rFonts w:ascii="Times New Roman" w:hAnsi="Times New Roman"/>
          <w:color w:val="000000" w:themeColor="text1"/>
          <w:sz w:val="16"/>
          <w:szCs w:val="16"/>
        </w:rPr>
        <w:t xml:space="preserve">, (09.1933-03.1937; 11.01-26.07.1938 г.)- И.П. Бондаренко (снят); и.о. (07.1937 г.-)- </w:t>
      </w:r>
      <w:proofErr w:type="spellStart"/>
      <w:r w:rsidRPr="007122AB">
        <w:rPr>
          <w:rFonts w:ascii="Times New Roman" w:hAnsi="Times New Roman"/>
          <w:color w:val="000000" w:themeColor="text1"/>
          <w:sz w:val="16"/>
          <w:szCs w:val="16"/>
        </w:rPr>
        <w:t>Лящ</w:t>
      </w:r>
      <w:proofErr w:type="spellEnd"/>
      <w:r w:rsidRPr="007122AB">
        <w:rPr>
          <w:rFonts w:ascii="Times New Roman" w:hAnsi="Times New Roman"/>
          <w:color w:val="000000" w:themeColor="text1"/>
          <w:sz w:val="16"/>
          <w:szCs w:val="16"/>
        </w:rPr>
        <w:t xml:space="preserve">, (08.1938 г.)- Парфенов; (27.10.1938-41 г.-)- Ю.Е. </w:t>
      </w:r>
      <w:proofErr w:type="spellStart"/>
      <w:r w:rsidRPr="007122AB">
        <w:rPr>
          <w:rFonts w:ascii="Times New Roman" w:hAnsi="Times New Roman"/>
          <w:color w:val="000000" w:themeColor="text1"/>
          <w:sz w:val="16"/>
          <w:szCs w:val="16"/>
        </w:rPr>
        <w:t>Максарев</w:t>
      </w:r>
      <w:proofErr w:type="spellEnd"/>
      <w:r w:rsidRPr="007122AB">
        <w:rPr>
          <w:rFonts w:ascii="Times New Roman" w:hAnsi="Times New Roman"/>
          <w:color w:val="000000" w:themeColor="text1"/>
          <w:sz w:val="16"/>
          <w:szCs w:val="16"/>
        </w:rPr>
        <w:t>, С.А. Скачков. Гендиректор (07.1997- 10.04.2009 г.)- Н.А. Малых, (16.04.2009 г.-)- О.В. Сиенко.</w:t>
      </w:r>
    </w:p>
    <w:p w14:paraId="00E2E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строительства (11.1937 г.)- </w:t>
      </w:r>
      <w:proofErr w:type="spellStart"/>
      <w:r w:rsidRPr="007122AB">
        <w:rPr>
          <w:rFonts w:ascii="Times New Roman" w:hAnsi="Times New Roman"/>
          <w:color w:val="000000" w:themeColor="text1"/>
          <w:sz w:val="16"/>
          <w:szCs w:val="16"/>
        </w:rPr>
        <w:t>Лобойченко</w:t>
      </w:r>
      <w:proofErr w:type="spellEnd"/>
      <w:r w:rsidRPr="007122AB">
        <w:rPr>
          <w:rFonts w:ascii="Times New Roman" w:hAnsi="Times New Roman"/>
          <w:color w:val="000000" w:themeColor="text1"/>
          <w:sz w:val="16"/>
          <w:szCs w:val="16"/>
        </w:rPr>
        <w:t xml:space="preserve">. Зам. директора (8.05.1937-11.04.1938 г.)- Ф.И. </w:t>
      </w:r>
      <w:proofErr w:type="spellStart"/>
      <w:r w:rsidRPr="007122AB">
        <w:rPr>
          <w:rFonts w:ascii="Times New Roman" w:hAnsi="Times New Roman"/>
          <w:color w:val="000000" w:themeColor="text1"/>
          <w:sz w:val="16"/>
          <w:szCs w:val="16"/>
        </w:rPr>
        <w:t>Лящ</w:t>
      </w:r>
      <w:proofErr w:type="spellEnd"/>
      <w:r w:rsidRPr="007122AB">
        <w:rPr>
          <w:rFonts w:ascii="Times New Roman" w:hAnsi="Times New Roman"/>
          <w:color w:val="000000" w:themeColor="text1"/>
          <w:sz w:val="16"/>
          <w:szCs w:val="16"/>
        </w:rPr>
        <w:t xml:space="preserve">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w:t>
      </w:r>
      <w:proofErr w:type="spellStart"/>
      <w:r w:rsidRPr="007122AB">
        <w:rPr>
          <w:rFonts w:ascii="Times New Roman" w:hAnsi="Times New Roman"/>
          <w:color w:val="000000" w:themeColor="text1"/>
          <w:sz w:val="16"/>
          <w:szCs w:val="16"/>
        </w:rPr>
        <w:t>Мильдон</w:t>
      </w:r>
      <w:proofErr w:type="spellEnd"/>
      <w:r w:rsidRPr="007122AB">
        <w:rPr>
          <w:rFonts w:ascii="Times New Roman" w:hAnsi="Times New Roman"/>
          <w:color w:val="000000" w:themeColor="text1"/>
          <w:sz w:val="16"/>
          <w:szCs w:val="16"/>
        </w:rPr>
        <w:t>.</w:t>
      </w:r>
    </w:p>
    <w:p w14:paraId="1B86E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Коммерческий директор (2010 г.)- А. Шленский.</w:t>
      </w:r>
    </w:p>
    <w:p w14:paraId="21960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(8.05.1937-11.04.1938 г.)- Ф.И. </w:t>
      </w:r>
      <w:proofErr w:type="spellStart"/>
      <w:r w:rsidRPr="007122AB">
        <w:rPr>
          <w:rFonts w:ascii="Times New Roman" w:hAnsi="Times New Roman"/>
          <w:color w:val="000000" w:themeColor="text1"/>
          <w:sz w:val="16"/>
          <w:szCs w:val="16"/>
        </w:rPr>
        <w:t>Лящ</w:t>
      </w:r>
      <w:proofErr w:type="spellEnd"/>
      <w:r w:rsidRPr="007122AB">
        <w:rPr>
          <w:rFonts w:ascii="Times New Roman" w:hAnsi="Times New Roman"/>
          <w:color w:val="000000" w:themeColor="text1"/>
          <w:sz w:val="16"/>
          <w:szCs w:val="16"/>
        </w:rPr>
        <w:t>, (25.09.1941 г.-)- В. Ниценко, (2003 г.)- В. Шишков.</w:t>
      </w:r>
    </w:p>
    <w:p w14:paraId="13003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инженера (1928 г.)- М. Андриянов.</w:t>
      </w:r>
    </w:p>
    <w:p w14:paraId="09F460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(-1939-09.1940 г.)- М.И. Кошкин, (1940 г.-)- А.А. Морозов.</w:t>
      </w:r>
    </w:p>
    <w:p w14:paraId="7F34B5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технолог (1932 г.-)- К. </w:t>
      </w:r>
      <w:proofErr w:type="spellStart"/>
      <w:r w:rsidRPr="007122AB">
        <w:rPr>
          <w:rFonts w:ascii="Times New Roman" w:hAnsi="Times New Roman"/>
          <w:color w:val="000000" w:themeColor="text1"/>
          <w:sz w:val="16"/>
          <w:szCs w:val="16"/>
        </w:rPr>
        <w:t>Церевицкий</w:t>
      </w:r>
      <w:proofErr w:type="spellEnd"/>
      <w:r w:rsidRPr="007122AB">
        <w:rPr>
          <w:rFonts w:ascii="Times New Roman" w:hAnsi="Times New Roman"/>
          <w:color w:val="000000" w:themeColor="text1"/>
          <w:sz w:val="16"/>
          <w:szCs w:val="16"/>
        </w:rPr>
        <w:t>. Гл. энергетик (1937-44 г.)- А.И. Чурин.</w:t>
      </w:r>
    </w:p>
    <w:p w14:paraId="2422A1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управления по связям с общественностью (2006 г.)- Б. Минеев.</w:t>
      </w:r>
    </w:p>
    <w:p w14:paraId="5F8B8F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механического (03.1937 г.)- П.А. Бобров.</w:t>
      </w:r>
    </w:p>
    <w:p w14:paraId="0810FE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цеха: тракторного (1928 г.)- В. Дудка.</w:t>
      </w:r>
    </w:p>
    <w:p w14:paraId="0EFBB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Т2 (1931 г.)-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xml:space="preserve">, (1932-03.1937 г.-)- Л. Зайчик; 400 (14.07.1937-02.1938 г.-)- Т.П. Чупахин; опытного (1932 г.-)- А. Кулик; ОТК (1932 г.-)- С, Махонин; снабжения (-1937 г.)- Л. Г. </w:t>
      </w:r>
      <w:proofErr w:type="spellStart"/>
      <w:r w:rsidRPr="007122AB">
        <w:rPr>
          <w:rFonts w:ascii="Times New Roman" w:hAnsi="Times New Roman"/>
          <w:color w:val="000000" w:themeColor="text1"/>
          <w:sz w:val="16"/>
          <w:szCs w:val="16"/>
        </w:rPr>
        <w:t>Гольденфарб</w:t>
      </w:r>
      <w:proofErr w:type="spellEnd"/>
      <w:r w:rsidRPr="007122AB">
        <w:rPr>
          <w:rFonts w:ascii="Times New Roman" w:hAnsi="Times New Roman"/>
          <w:color w:val="000000" w:themeColor="text1"/>
          <w:sz w:val="16"/>
          <w:szCs w:val="16"/>
        </w:rPr>
        <w:t xml:space="preserve"> (репрессирован), (1938 г.)- Шульман; бюро финансового управления (2006 г.)- М. Курашова.</w:t>
      </w:r>
    </w:p>
    <w:p w14:paraId="6AA5D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дизельного отдела (14.07.1937 г.-)- К.Ф. </w:t>
      </w:r>
      <w:proofErr w:type="spellStart"/>
      <w:r w:rsidRPr="007122AB">
        <w:rPr>
          <w:rFonts w:ascii="Times New Roman" w:hAnsi="Times New Roman"/>
          <w:color w:val="000000" w:themeColor="text1"/>
          <w:sz w:val="16"/>
          <w:szCs w:val="16"/>
        </w:rPr>
        <w:t>Челпан</w:t>
      </w:r>
      <w:proofErr w:type="spellEnd"/>
      <w:r w:rsidRPr="007122AB">
        <w:rPr>
          <w:rFonts w:ascii="Times New Roman" w:hAnsi="Times New Roman"/>
          <w:color w:val="000000" w:themeColor="text1"/>
          <w:sz w:val="16"/>
          <w:szCs w:val="16"/>
        </w:rPr>
        <w:t>; зам. гл. технолога дизельного отдела (07.1937 г.-)- Поддубный.</w:t>
      </w:r>
    </w:p>
    <w:p w14:paraId="76896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Заведующие бюро: курортным (-1937 г.)- Барков.</w:t>
      </w:r>
    </w:p>
    <w:p w14:paraId="105900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паровые котлы: для линкора «Императрица Мария» (1913), </w:t>
      </w:r>
      <w:proofErr w:type="spellStart"/>
      <w:r w:rsidRPr="007122AB">
        <w:rPr>
          <w:rFonts w:ascii="Times New Roman" w:hAnsi="Times New Roman"/>
          <w:color w:val="000000" w:themeColor="text1"/>
          <w:sz w:val="16"/>
          <w:szCs w:val="16"/>
        </w:rPr>
        <w:t>Ярроу</w:t>
      </w:r>
      <w:proofErr w:type="spellEnd"/>
      <w:r w:rsidRPr="007122AB">
        <w:rPr>
          <w:rFonts w:ascii="Times New Roman" w:hAnsi="Times New Roman"/>
          <w:color w:val="000000" w:themeColor="text1"/>
          <w:sz w:val="16"/>
          <w:szCs w:val="16"/>
        </w:rPr>
        <w:t xml:space="preserve"> для крейсеров (1914)- 14; паровые шпили, лебедки и рулевые машины для 20 десантных кораблей типа «</w:t>
      </w:r>
      <w:proofErr w:type="spellStart"/>
      <w:r w:rsidRPr="007122AB">
        <w:rPr>
          <w:rFonts w:ascii="Times New Roman" w:hAnsi="Times New Roman"/>
          <w:color w:val="000000" w:themeColor="text1"/>
          <w:sz w:val="16"/>
          <w:szCs w:val="16"/>
        </w:rPr>
        <w:t>эльпидифор</w:t>
      </w:r>
      <w:proofErr w:type="spellEnd"/>
      <w:r w:rsidRPr="007122AB">
        <w:rPr>
          <w:rFonts w:ascii="Times New Roman" w:hAnsi="Times New Roman"/>
          <w:color w:val="000000" w:themeColor="text1"/>
          <w:sz w:val="16"/>
          <w:szCs w:val="16"/>
        </w:rPr>
        <w:t xml:space="preserve">» (1917); дизели типа </w:t>
      </w:r>
      <w:proofErr w:type="spellStart"/>
      <w:r w:rsidRPr="007122AB">
        <w:rPr>
          <w:rFonts w:ascii="Times New Roman" w:hAnsi="Times New Roman"/>
          <w:color w:val="000000" w:themeColor="text1"/>
          <w:sz w:val="16"/>
          <w:szCs w:val="16"/>
        </w:rPr>
        <w:t>Зульцер</w:t>
      </w:r>
      <w:proofErr w:type="spellEnd"/>
      <w:r w:rsidRPr="007122AB">
        <w:rPr>
          <w:rFonts w:ascii="Times New Roman" w:hAnsi="Times New Roman"/>
          <w:color w:val="000000" w:themeColor="text1"/>
          <w:sz w:val="16"/>
          <w:szCs w:val="16"/>
        </w:rPr>
        <w:t xml:space="preserve">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7122AB">
        <w:rPr>
          <w:rFonts w:ascii="Times New Roman" w:hAnsi="Times New Roman"/>
          <w:color w:val="000000" w:themeColor="text1"/>
          <w:sz w:val="16"/>
          <w:szCs w:val="16"/>
          <w:vertAlign w:val="superscript"/>
        </w:rPr>
        <w:t>128</w:t>
      </w:r>
      <w:r w:rsidRPr="007122AB">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w:t>
      </w:r>
      <w:proofErr w:type="spellStart"/>
      <w:r w:rsidRPr="007122AB">
        <w:rPr>
          <w:rFonts w:ascii="Times New Roman" w:hAnsi="Times New Roman"/>
          <w:color w:val="000000" w:themeColor="text1"/>
          <w:sz w:val="16"/>
          <w:szCs w:val="16"/>
        </w:rPr>
        <w:t>мостоукладчики</w:t>
      </w:r>
      <w:proofErr w:type="spellEnd"/>
      <w:r w:rsidRPr="007122AB">
        <w:rPr>
          <w:rFonts w:ascii="Times New Roman" w:hAnsi="Times New Roman"/>
          <w:color w:val="000000" w:themeColor="text1"/>
          <w:sz w:val="16"/>
          <w:szCs w:val="16"/>
        </w:rPr>
        <w:t xml:space="preserve"> МТУ-1, МТУ-72 (2005), </w:t>
      </w:r>
      <w:proofErr w:type="spellStart"/>
      <w:r w:rsidRPr="007122AB">
        <w:rPr>
          <w:rFonts w:ascii="Times New Roman" w:hAnsi="Times New Roman"/>
          <w:color w:val="000000" w:themeColor="text1"/>
          <w:sz w:val="16"/>
          <w:szCs w:val="16"/>
        </w:rPr>
        <w:t>разграждения</w:t>
      </w:r>
      <w:proofErr w:type="spellEnd"/>
      <w:r w:rsidRPr="007122AB">
        <w:rPr>
          <w:rFonts w:ascii="Times New Roman" w:hAnsi="Times New Roman"/>
          <w:color w:val="000000" w:themeColor="text1"/>
          <w:sz w:val="16"/>
          <w:szCs w:val="16"/>
        </w:rPr>
        <w:t xml:space="preserve"> ИМР-2, БМР-3, ремонтно-эвакуационная БРЭМ-1, траншейная БТМ-4М (2004), БМПТ; цилиндры авиационного мотора М-85 (1937); коленвалы и муфты «</w:t>
      </w:r>
      <w:proofErr w:type="spellStart"/>
      <w:r w:rsidRPr="007122AB">
        <w:rPr>
          <w:rFonts w:ascii="Times New Roman" w:hAnsi="Times New Roman"/>
          <w:color w:val="000000" w:themeColor="text1"/>
          <w:sz w:val="16"/>
          <w:szCs w:val="16"/>
        </w:rPr>
        <w:t>Бамаг</w:t>
      </w:r>
      <w:proofErr w:type="spellEnd"/>
      <w:r w:rsidRPr="007122AB">
        <w:rPr>
          <w:rFonts w:ascii="Times New Roman" w:hAnsi="Times New Roman"/>
          <w:color w:val="000000" w:themeColor="text1"/>
          <w:sz w:val="16"/>
          <w:szCs w:val="16"/>
        </w:rPr>
        <w:t xml:space="preserve">» для судовых дизелей (1937); бронекорпуса для Ил-2, корпуса авиабомб, детали для </w:t>
      </w:r>
      <w:r w:rsidRPr="007122AB">
        <w:rPr>
          <w:rFonts w:ascii="Times New Roman" w:hAnsi="Times New Roman"/>
          <w:color w:val="000000" w:themeColor="text1"/>
          <w:sz w:val="16"/>
          <w:szCs w:val="16"/>
          <w:lang w:val="en-US"/>
        </w:rPr>
        <w:t>PC</w:t>
      </w:r>
      <w:r w:rsidRPr="007122AB">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4176E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9388A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BED494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21ED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утвердили первое общесоюзное Положение о РК милиции (3398,191).</w:t>
      </w:r>
    </w:p>
    <w:p w14:paraId="059C9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4D238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E5864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026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1931 года ракета «Repulsor-2» была готова к запуску. На этот раз «</w:t>
      </w:r>
      <w:proofErr w:type="spellStart"/>
      <w:r w:rsidRPr="007122AB">
        <w:rPr>
          <w:rFonts w:ascii="Times New Roman" w:hAnsi="Times New Roman"/>
          <w:color w:val="000000" w:themeColor="text1"/>
          <w:sz w:val="16"/>
          <w:szCs w:val="16"/>
        </w:rPr>
        <w:t>Repulsor</w:t>
      </w:r>
      <w:proofErr w:type="spellEnd"/>
      <w:r w:rsidRPr="007122AB">
        <w:rPr>
          <w:rFonts w:ascii="Times New Roman" w:hAnsi="Times New Roman"/>
          <w:color w:val="000000" w:themeColor="text1"/>
          <w:sz w:val="16"/>
          <w:szCs w:val="16"/>
        </w:rPr>
        <w:t>» поднялся с земли, сначала медленно, а затем быстро набирая скорость. Он достиг высоты около 60 метров, затем перешел на горизонтальный полет и в таком положении, сохраняя скорость, перелетел через территорию «</w:t>
      </w:r>
      <w:proofErr w:type="spellStart"/>
      <w:r w:rsidRPr="007122AB">
        <w:rPr>
          <w:rFonts w:ascii="Times New Roman" w:hAnsi="Times New Roman"/>
          <w:color w:val="000000" w:themeColor="text1"/>
          <w:sz w:val="16"/>
          <w:szCs w:val="16"/>
        </w:rPr>
        <w:t>Ракетенфлюгплатц</w:t>
      </w:r>
      <w:proofErr w:type="spellEnd"/>
      <w:r w:rsidRPr="007122AB">
        <w:rPr>
          <w:rFonts w:ascii="Times New Roman" w:hAnsi="Times New Roman"/>
          <w:color w:val="000000" w:themeColor="text1"/>
          <w:sz w:val="16"/>
          <w:szCs w:val="16"/>
        </w:rPr>
        <w:t>». Самодеятельные ракетчики нашли его висящим на ветвях большого дерева на высоте 9 м над землей, и он был совершенно разбит. Расстояние от места старта до дерева составило 600 м. Работа над «Repulsor-2» началась в ночь неудачи с  «Repulsor-1». В ходе работ был модернизирован двигатель. Кроме того, к ракете были приделаны опоры-стабилизаторы, благодаря которым отпала необходимость в пусковой направляющей (11688).</w:t>
      </w:r>
    </w:p>
    <w:p w14:paraId="16772E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4D8DF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B4CAA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4070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мая 1931 г. на совещании в НИИ ВВС обсуждались идеи, проекты и предложения в области десантного снаряжения, предложенные группами Гроховского и </w:t>
      </w:r>
      <w:proofErr w:type="spellStart"/>
      <w:r w:rsidRPr="007122AB">
        <w:rPr>
          <w:rFonts w:ascii="Times New Roman" w:hAnsi="Times New Roman"/>
          <w:color w:val="000000" w:themeColor="text1"/>
          <w:sz w:val="16"/>
          <w:szCs w:val="16"/>
        </w:rPr>
        <w:t>Благина</w:t>
      </w:r>
      <w:proofErr w:type="spellEnd"/>
      <w:r w:rsidRPr="007122AB">
        <w:rPr>
          <w:rFonts w:ascii="Times New Roman" w:hAnsi="Times New Roman"/>
          <w:color w:val="000000" w:themeColor="text1"/>
          <w:sz w:val="16"/>
          <w:szCs w:val="16"/>
        </w:rPr>
        <w:t>, которые работали в конст</w:t>
      </w:r>
      <w:r w:rsidRPr="007122AB">
        <w:rPr>
          <w:rFonts w:ascii="Times New Roman" w:hAnsi="Times New Roman"/>
          <w:color w:val="000000" w:themeColor="text1"/>
          <w:sz w:val="16"/>
          <w:szCs w:val="16"/>
        </w:rPr>
        <w:softHyphen/>
        <w:t>рукторском отделе НИИ ВВС (10690).</w:t>
      </w:r>
    </w:p>
    <w:p w14:paraId="4E3B1B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BD76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BD3D9F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5DD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мая 1931 года РВС страны по предложению начальника Управления механизации и моторизации И.А.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принял постановление о постановке в производство танка БТ-2 (3861).</w:t>
      </w:r>
    </w:p>
    <w:p w14:paraId="212CD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57EF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мая 1931 для доводки танка и организа</w:t>
      </w:r>
      <w:r w:rsidRPr="007122AB">
        <w:rPr>
          <w:rFonts w:ascii="Times New Roman" w:hAnsi="Times New Roman"/>
          <w:color w:val="000000" w:themeColor="text1"/>
          <w:sz w:val="16"/>
          <w:szCs w:val="16"/>
        </w:rPr>
        <w:softHyphen/>
        <w:t>ции его производства было сформировано специ</w:t>
      </w:r>
      <w:r w:rsidRPr="007122AB">
        <w:rPr>
          <w:rFonts w:ascii="Times New Roman" w:hAnsi="Times New Roman"/>
          <w:color w:val="000000" w:themeColor="text1"/>
          <w:sz w:val="16"/>
          <w:szCs w:val="16"/>
        </w:rPr>
        <w:softHyphen/>
        <w:t xml:space="preserve">альное конструкторское бюро (СКВ). Возглавил его </w:t>
      </w:r>
      <w:proofErr w:type="spellStart"/>
      <w:r w:rsidRPr="007122AB">
        <w:rPr>
          <w:rFonts w:ascii="Times New Roman" w:hAnsi="Times New Roman"/>
          <w:color w:val="000000" w:themeColor="text1"/>
          <w:sz w:val="16"/>
          <w:szCs w:val="16"/>
        </w:rPr>
        <w:t>воен</w:t>
      </w:r>
      <w:proofErr w:type="spellEnd"/>
      <w:r w:rsidRPr="007122AB">
        <w:rPr>
          <w:rFonts w:ascii="Times New Roman" w:hAnsi="Times New Roman"/>
          <w:color w:val="000000" w:themeColor="text1"/>
          <w:sz w:val="16"/>
          <w:szCs w:val="16"/>
        </w:rPr>
        <w:t xml:space="preserve">-инженер 2-го ранга Н.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который был откомандиро</w:t>
      </w:r>
      <w:r w:rsidRPr="007122AB">
        <w:rPr>
          <w:rFonts w:ascii="Times New Roman" w:hAnsi="Times New Roman"/>
          <w:color w:val="000000" w:themeColor="text1"/>
          <w:sz w:val="16"/>
          <w:szCs w:val="16"/>
        </w:rPr>
        <w:softHyphen/>
        <w:t>ван УММ РККА на ХПЗ из Москвы. В СКВ было занято 22 конструктора, большинство из которых не имело высшего образования. Всего было сформировано три конструкторские груп</w:t>
      </w:r>
      <w:r w:rsidRPr="007122AB">
        <w:rPr>
          <w:rFonts w:ascii="Times New Roman" w:hAnsi="Times New Roman"/>
          <w:color w:val="000000" w:themeColor="text1"/>
          <w:sz w:val="16"/>
          <w:szCs w:val="16"/>
        </w:rPr>
        <w:softHyphen/>
        <w:t>пы. Сопровождением силовой установки занимались кон</w:t>
      </w:r>
      <w:r w:rsidRPr="007122AB">
        <w:rPr>
          <w:rFonts w:ascii="Times New Roman" w:hAnsi="Times New Roman"/>
          <w:color w:val="000000" w:themeColor="text1"/>
          <w:sz w:val="16"/>
          <w:szCs w:val="16"/>
        </w:rPr>
        <w:softHyphen/>
        <w:t xml:space="preserve">структоры Давыденко, Михайлов, Флеров и </w:t>
      </w:r>
      <w:proofErr w:type="spellStart"/>
      <w:r w:rsidRPr="007122AB">
        <w:rPr>
          <w:rFonts w:ascii="Times New Roman" w:hAnsi="Times New Roman"/>
          <w:color w:val="000000" w:themeColor="text1"/>
          <w:sz w:val="16"/>
          <w:szCs w:val="16"/>
        </w:rPr>
        <w:t>Андрыхевич</w:t>
      </w:r>
      <w:proofErr w:type="spellEnd"/>
      <w:r w:rsidRPr="007122AB">
        <w:rPr>
          <w:rFonts w:ascii="Times New Roman" w:hAnsi="Times New Roman"/>
          <w:color w:val="000000" w:themeColor="text1"/>
          <w:sz w:val="16"/>
          <w:szCs w:val="16"/>
        </w:rPr>
        <w:t>. Трансмиссию доводила группа в составе Куприна, Дави-</w:t>
      </w:r>
      <w:proofErr w:type="spellStart"/>
      <w:r w:rsidRPr="007122AB">
        <w:rPr>
          <w:rFonts w:ascii="Times New Roman" w:hAnsi="Times New Roman"/>
          <w:color w:val="000000" w:themeColor="text1"/>
          <w:sz w:val="16"/>
          <w:szCs w:val="16"/>
        </w:rPr>
        <w:t>денко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Серковского</w:t>
      </w:r>
      <w:proofErr w:type="spellEnd"/>
      <w:r w:rsidRPr="007122AB">
        <w:rPr>
          <w:rFonts w:ascii="Times New Roman" w:hAnsi="Times New Roman"/>
          <w:color w:val="000000" w:themeColor="text1"/>
          <w:sz w:val="16"/>
          <w:szCs w:val="16"/>
        </w:rPr>
        <w:t>. Ходовая часть адаптировалась Каш</w:t>
      </w:r>
      <w:r w:rsidRPr="007122AB">
        <w:rPr>
          <w:rFonts w:ascii="Times New Roman" w:hAnsi="Times New Roman"/>
          <w:color w:val="000000" w:themeColor="text1"/>
          <w:sz w:val="16"/>
          <w:szCs w:val="16"/>
        </w:rPr>
        <w:softHyphen/>
        <w:t xml:space="preserve">тановым, </w:t>
      </w:r>
      <w:proofErr w:type="spellStart"/>
      <w:r w:rsidRPr="007122AB">
        <w:rPr>
          <w:rFonts w:ascii="Times New Roman" w:hAnsi="Times New Roman"/>
          <w:color w:val="000000" w:themeColor="text1"/>
          <w:sz w:val="16"/>
          <w:szCs w:val="16"/>
        </w:rPr>
        <w:t>Мариным</w:t>
      </w:r>
      <w:proofErr w:type="spellEnd"/>
      <w:r w:rsidRPr="007122AB">
        <w:rPr>
          <w:rFonts w:ascii="Times New Roman" w:hAnsi="Times New Roman"/>
          <w:color w:val="000000" w:themeColor="text1"/>
          <w:sz w:val="16"/>
          <w:szCs w:val="16"/>
        </w:rPr>
        <w:t xml:space="preserve">, Дорошенко и Гуревичем. За чертежи общего вида машины отвечал Скворцов. Однако сначала не все силы ХПЗ были брошены на освоение БТ. Завод все еще ждал заказа на знакомый Т-24. Даже директор завода Бондаренко больше склонялся к среднему танку, называя танк Кристи «вредительским». Поэтому руководству УММ и даже правительству СССР пришлось применять ряд крутых мер, чтобы в текущем, 1931 г. первый опытный БТ увидел свет. После ноябрьского парада Н.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xml:space="preserve"> был отозван в Москву для про</w:t>
      </w:r>
      <w:r w:rsidRPr="007122AB">
        <w:rPr>
          <w:rFonts w:ascii="Times New Roman" w:hAnsi="Times New Roman"/>
          <w:color w:val="000000" w:themeColor="text1"/>
          <w:sz w:val="16"/>
          <w:szCs w:val="16"/>
        </w:rPr>
        <w:softHyphen/>
        <w:t>хождения дальнейшей службы в УММ, а начальником тан</w:t>
      </w:r>
      <w:r w:rsidRPr="007122AB">
        <w:rPr>
          <w:rFonts w:ascii="Times New Roman" w:hAnsi="Times New Roman"/>
          <w:color w:val="000000" w:themeColor="text1"/>
          <w:sz w:val="16"/>
          <w:szCs w:val="16"/>
        </w:rPr>
        <w:softHyphen/>
        <w:t>кового СКВ ХПЗ был назначен инженер А. Фирсов. (10733,198).</w:t>
      </w:r>
    </w:p>
    <w:p w14:paraId="7B895F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D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мая 1931 г. решением КО на базе КБ (КБ ХПЗ, Специальное КБ (СКБ) ХПЗ, Т2К) ХПЗ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w:t>
      </w:r>
      <w:proofErr w:type="spellStart"/>
      <w:r w:rsidRPr="007122AB">
        <w:rPr>
          <w:rFonts w:ascii="Times New Roman" w:hAnsi="Times New Roman"/>
          <w:color w:val="000000" w:themeColor="text1"/>
          <w:sz w:val="16"/>
          <w:szCs w:val="16"/>
        </w:rPr>
        <w:t>Минтрансмаша</w:t>
      </w:r>
      <w:proofErr w:type="spellEnd"/>
      <w:r w:rsidRPr="007122AB">
        <w:rPr>
          <w:rFonts w:ascii="Times New Roman" w:hAnsi="Times New Roman"/>
          <w:color w:val="000000" w:themeColor="text1"/>
          <w:sz w:val="16"/>
          <w:szCs w:val="16"/>
        </w:rPr>
        <w:t>, ПО «УВЗ» им. Ф.Э. Дзержинского», ФГУП «ПО «УВЗ им. Ф.Э. Дзержинского» ФАП, ОАО «Научно-производственная корпорация (НПК) «УВЗ» / г. Харьков п/я 61 «</w:t>
      </w:r>
      <w:proofErr w:type="spellStart"/>
      <w:r w:rsidRPr="007122AB">
        <w:rPr>
          <w:rFonts w:ascii="Times New Roman" w:hAnsi="Times New Roman"/>
          <w:color w:val="000000" w:themeColor="text1"/>
          <w:sz w:val="16"/>
          <w:szCs w:val="16"/>
        </w:rPr>
        <w:t>Коминтернзавод</w:t>
      </w:r>
      <w:proofErr w:type="spellEnd"/>
      <w:r w:rsidRPr="007122AB">
        <w:rPr>
          <w:rFonts w:ascii="Times New Roman" w:hAnsi="Times New Roman"/>
          <w:color w:val="000000" w:themeColor="text1"/>
          <w:sz w:val="16"/>
          <w:szCs w:val="16"/>
        </w:rPr>
        <w:t xml:space="preserve">» (1938 г.);  г. Нижний Тагил/ /622007(51) было организовано СКБ для разработки чертежей (к 15.07.1931 г.) и внедрения в серию танка БТ («быстроходный танк») по образцу американского «Кристи». Для усиления коллектива в СКБ переведены 20 специалистов от ГКВ № 8, 15 чел. из НАТИ, ВАТО, 2 конструктора с Ижорского завода, 5 специалистов из </w:t>
      </w:r>
      <w:proofErr w:type="spellStart"/>
      <w:r w:rsidRPr="007122AB">
        <w:rPr>
          <w:rFonts w:ascii="Times New Roman" w:hAnsi="Times New Roman"/>
          <w:color w:val="000000" w:themeColor="text1"/>
          <w:sz w:val="16"/>
          <w:szCs w:val="16"/>
        </w:rPr>
        <w:t>Укргипромаша</w:t>
      </w:r>
      <w:proofErr w:type="spellEnd"/>
      <w:r w:rsidRPr="007122AB">
        <w:rPr>
          <w:rFonts w:ascii="Times New Roman" w:hAnsi="Times New Roman"/>
          <w:color w:val="000000" w:themeColor="text1"/>
          <w:sz w:val="16"/>
          <w:szCs w:val="16"/>
        </w:rPr>
        <w:t xml:space="preserve"> и 2 чел. из УММ КА. С ХПЗ переведено 30 копировщиков. Требовалось изготовить два опытных танка к 15.09.1931 г. Всего работало 22 конструктора в трех группах - силовой установки, ходовой части и трансмиссии. В 1932 г. СКБ, вошедшее в состав танкового отдела завода Т2, получило индекс Т2К. В нем была создана группа совершенствования серийных танков.</w:t>
      </w:r>
    </w:p>
    <w:p w14:paraId="338EA5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 БТ переименован в БТ-2. Разработаны дальнейшие модификации: БТ-4 (07.1932 г.), БТ-5, БТ-6. В 1934 г. велись работы по модификации БТ-7 с 76-мм пушкой, опытный построен к 1.05.1934 г. В конце 1936 г. создан БТ-7М (А-8), в 1938 г. - проект БТ-7-ИС. Возможно, к 1939 г. КБ объединено с ОКБ по танку А-20.</w:t>
      </w:r>
    </w:p>
    <w:p w14:paraId="026CD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1933  г. был разработан улучшенный вариант танка Т-35Б (не строился).</w:t>
      </w:r>
    </w:p>
    <w:p w14:paraId="23E320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Имелся двигательный отдел КБ. В 1936 г. здесь спроектирован и построен опытный дизель БД-2 мощностью 700 л.с. для танка Т-35. Здесь же проведены работы по форсированию двигателя М-17 до 580л.с.</w:t>
      </w:r>
    </w:p>
    <w:p w14:paraId="5B5797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(-05.1931 г.)- И. Алексеенко, (25.05-11.1931 г.)- Н.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(11.1931-37 г.)- А. Фирсов (арестован), (1937 г.-)- М.И. Кошкин.</w:t>
      </w:r>
    </w:p>
    <w:p w14:paraId="4A6E32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(1931 г.-)-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w:t>
      </w:r>
    </w:p>
    <w:p w14:paraId="00A497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группы: (193 8</w:t>
      </w:r>
      <w:r w:rsidRPr="007122AB">
        <w:rPr>
          <w:rFonts w:ascii="Times New Roman" w:hAnsi="Times New Roman"/>
          <w:color w:val="000000" w:themeColor="text1"/>
          <w:sz w:val="16"/>
          <w:szCs w:val="16"/>
          <w:lang w:val="en-US"/>
        </w:rPr>
        <w:t>r</w:t>
      </w:r>
      <w:r w:rsidRPr="007122AB">
        <w:rPr>
          <w:rFonts w:ascii="Times New Roman" w:hAnsi="Times New Roman"/>
          <w:color w:val="000000" w:themeColor="text1"/>
          <w:sz w:val="16"/>
          <w:szCs w:val="16"/>
        </w:rPr>
        <w:t xml:space="preserve">.)- Е. </w:t>
      </w:r>
      <w:proofErr w:type="spellStart"/>
      <w:r w:rsidRPr="007122AB">
        <w:rPr>
          <w:rFonts w:ascii="Times New Roman" w:hAnsi="Times New Roman"/>
          <w:color w:val="000000" w:themeColor="text1"/>
          <w:sz w:val="16"/>
          <w:szCs w:val="16"/>
        </w:rPr>
        <w:t>Дикалов</w:t>
      </w:r>
      <w:proofErr w:type="spellEnd"/>
      <w:r w:rsidRPr="007122AB">
        <w:rPr>
          <w:rFonts w:ascii="Times New Roman" w:hAnsi="Times New Roman"/>
          <w:color w:val="000000" w:themeColor="text1"/>
          <w:sz w:val="16"/>
          <w:szCs w:val="16"/>
        </w:rPr>
        <w:t xml:space="preserve"> (11982).</w:t>
      </w:r>
    </w:p>
    <w:p w14:paraId="4555B8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5DB1C7" w14:textId="77777777" w:rsidR="009A6BD4" w:rsidRPr="007122AB" w:rsidRDefault="009A6BD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период с 25 мая по 26 июля 1931 года </w:t>
      </w:r>
      <w:proofErr w:type="spellStart"/>
      <w:r w:rsidRPr="007122AB">
        <w:rPr>
          <w:rFonts w:ascii="Times New Roman" w:hAnsi="Times New Roman"/>
          <w:color w:val="000000" w:themeColor="text1"/>
          <w:sz w:val="16"/>
          <w:szCs w:val="16"/>
          <w:shd w:val="clear" w:color="auto" w:fill="FFFFFF"/>
        </w:rPr>
        <w:t>Гизбурга</w:t>
      </w:r>
      <w:proofErr w:type="spellEnd"/>
      <w:r w:rsidRPr="007122AB">
        <w:rPr>
          <w:rFonts w:ascii="Times New Roman" w:hAnsi="Times New Roman"/>
          <w:color w:val="000000" w:themeColor="text1"/>
          <w:sz w:val="16"/>
          <w:szCs w:val="16"/>
          <w:shd w:val="clear" w:color="auto" w:fill="FFFFFF"/>
        </w:rPr>
        <w:t>, вместе с 14 инженерами-конструкторами, перебросили в Харьков. Поскольку отчасти танк Кристи выглядел как набор "сделай сам", конструкцию машины пришлось дорабатывать, выкидывая откровенно спорные и дорогостоящие решения. Башню и вовсе пришлось делать с нуля. Следует отметить, что башня изначально имела спаренную установку 37-мм пушки и пулемета, а серийный БТ-2 имел установку попроще (20375).</w:t>
      </w:r>
    </w:p>
    <w:p w14:paraId="067A0EA4" w14:textId="77777777" w:rsidR="009A6BD4" w:rsidRPr="007122AB" w:rsidRDefault="009A6BD4" w:rsidP="007122AB">
      <w:pPr>
        <w:shd w:val="clear" w:color="auto" w:fill="FFFFFF"/>
        <w:spacing w:after="0" w:line="240" w:lineRule="auto"/>
        <w:jc w:val="both"/>
        <w:rPr>
          <w:rFonts w:ascii="Times New Roman" w:hAnsi="Times New Roman"/>
          <w:color w:val="000000" w:themeColor="text1"/>
          <w:sz w:val="16"/>
          <w:szCs w:val="16"/>
        </w:rPr>
      </w:pPr>
    </w:p>
    <w:p w14:paraId="04A5819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C6898E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BFA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мая 1931 Алкснис утвердил предложение НИИ ВВС организовать в составе 9-й авиабригады на Черном море "торпедную ячейку". Сюда решили передать один ТБ-1, имевшийся в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и такую же машину, наряженную для Воздушных сил Черного моря. В тот же день черноморцам выделили новенький самолет на колесах. В июле "ячейку"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59CDB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437F5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083F9B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0B3F7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1C782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49BE8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xml:space="preserve"> весной 1933 г. (12001).</w:t>
      </w:r>
    </w:p>
    <w:p w14:paraId="2D45B2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CE4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мая 1931 создание торпедной ячейки (два торпедоносца ТБ-1а) в составе 9-й авиабригады ВВС МСЧМ - первого реального </w:t>
      </w:r>
      <w:proofErr w:type="spellStart"/>
      <w:r w:rsidRPr="007122AB">
        <w:rPr>
          <w:rFonts w:ascii="Times New Roman" w:hAnsi="Times New Roman"/>
          <w:color w:val="000000" w:themeColor="text1"/>
          <w:sz w:val="16"/>
          <w:szCs w:val="16"/>
        </w:rPr>
        <w:t>подраз</w:t>
      </w:r>
      <w:proofErr w:type="spellEnd"/>
      <w:r w:rsidRPr="007122AB">
        <w:rPr>
          <w:rFonts w:ascii="Times New Roman" w:hAnsi="Times New Roman"/>
          <w:color w:val="000000" w:themeColor="text1"/>
          <w:sz w:val="16"/>
          <w:szCs w:val="16"/>
        </w:rPr>
        <w:t xml:space="preserve"> деления минно-торпедной авиации РККФ (12002).</w:t>
      </w:r>
    </w:p>
    <w:p w14:paraId="351B0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E46FF1" w14:textId="77777777"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25 мая 1931 г. была создана торпедная ячейка (два торпедоносца ТБ-1 а) в составе 9-й авиабригады ВВС МСЧМ - первого реального подразделения </w:t>
      </w:r>
      <w:proofErr w:type="spellStart"/>
      <w:r w:rsidRPr="00441F34">
        <w:rPr>
          <w:rFonts w:ascii="Times New Roman" w:hAnsi="Times New Roman"/>
          <w:color w:val="0070C0"/>
          <w:sz w:val="16"/>
          <w:szCs w:val="16"/>
        </w:rPr>
        <w:t>минно</w:t>
      </w:r>
      <w:r w:rsidRPr="00441F34">
        <w:rPr>
          <w:rFonts w:ascii="Times New Roman" w:hAnsi="Times New Roman"/>
          <w:color w:val="0070C0"/>
          <w:sz w:val="16"/>
          <w:szCs w:val="16"/>
        </w:rPr>
        <w:softHyphen/>
        <w:t>торпедной</w:t>
      </w:r>
      <w:proofErr w:type="spellEnd"/>
      <w:r w:rsidRPr="00441F34">
        <w:rPr>
          <w:rFonts w:ascii="Times New Roman" w:hAnsi="Times New Roman"/>
          <w:color w:val="0070C0"/>
          <w:sz w:val="16"/>
          <w:szCs w:val="16"/>
        </w:rPr>
        <w:t xml:space="preserve"> авиации РККФ (23464).</w:t>
      </w:r>
    </w:p>
    <w:p w14:paraId="37A7606B" w14:textId="77777777" w:rsidR="00A24023" w:rsidRPr="00441F34" w:rsidRDefault="00A24023" w:rsidP="00A24023">
      <w:pPr>
        <w:spacing w:after="0" w:line="240" w:lineRule="auto"/>
        <w:jc w:val="both"/>
        <w:rPr>
          <w:rFonts w:ascii="Times New Roman" w:hAnsi="Times New Roman"/>
          <w:color w:val="0070C0"/>
          <w:sz w:val="16"/>
          <w:szCs w:val="16"/>
        </w:rPr>
      </w:pPr>
    </w:p>
    <w:p w14:paraId="68F05C4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8123DA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D432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мая 1931 г. СНК СССР утверждает первое общесоюзное "Положение о рабоче-крестьянской милиции" (действовавшее до 1962 г.), которое установило статус милиции как единой централизованной жестко вертикальной структуры (10303).</w:t>
      </w:r>
    </w:p>
    <w:p w14:paraId="4DA7AA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5413EB" w14:textId="77777777" w:rsidR="00647D80" w:rsidRPr="007122AB" w:rsidRDefault="00647D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мая 1931 года принято специальное постановление ЦК ВКП(б) «О постановке производственно-технической пропаганды», в котором были определены средства пропаганды достижений отечественной технической мысли и передового опыта. Особое внимание уделялось изданию технической литературы через Объединение государственных издательств (ОГИЗ), а также изданию </w:t>
      </w:r>
      <w:proofErr w:type="spellStart"/>
      <w:r w:rsidRPr="007122AB">
        <w:rPr>
          <w:rFonts w:ascii="Times New Roman" w:hAnsi="Times New Roman"/>
          <w:color w:val="000000" w:themeColor="text1"/>
          <w:sz w:val="16"/>
          <w:szCs w:val="16"/>
        </w:rPr>
        <w:t>научнотехнических</w:t>
      </w:r>
      <w:proofErr w:type="spellEnd"/>
      <w:r w:rsidRPr="007122AB">
        <w:rPr>
          <w:rFonts w:ascii="Times New Roman" w:hAnsi="Times New Roman"/>
          <w:color w:val="000000" w:themeColor="text1"/>
          <w:sz w:val="16"/>
          <w:szCs w:val="16"/>
        </w:rPr>
        <w:t xml:space="preserve"> журналов и специальных трудов европейских и отечественных деятелей науки и техники (19546).</w:t>
      </w:r>
    </w:p>
    <w:p w14:paraId="188CFA76" w14:textId="77777777" w:rsidR="00647D80" w:rsidRPr="007122AB" w:rsidRDefault="00647D80" w:rsidP="007122AB">
      <w:pPr>
        <w:spacing w:after="0" w:line="240" w:lineRule="auto"/>
        <w:jc w:val="both"/>
        <w:rPr>
          <w:rFonts w:ascii="Times New Roman" w:hAnsi="Times New Roman"/>
          <w:color w:val="000000" w:themeColor="text1"/>
          <w:sz w:val="16"/>
          <w:szCs w:val="16"/>
        </w:rPr>
      </w:pPr>
    </w:p>
    <w:p w14:paraId="73713D68" w14:textId="77777777" w:rsidR="006966DD" w:rsidRPr="007122AB" w:rsidRDefault="006966DD" w:rsidP="007122AB">
      <w:pPr>
        <w:autoSpaceDE w:val="0"/>
        <w:autoSpaceDN w:val="0"/>
        <w:adjustRightInd w:val="0"/>
        <w:spacing w:after="0" w:line="240" w:lineRule="auto"/>
        <w:jc w:val="both"/>
        <w:rPr>
          <w:rFonts w:ascii="Times New Roman" w:hAnsi="Times New Roman"/>
          <w:iCs/>
          <w:color w:val="000000" w:themeColor="text1"/>
          <w:sz w:val="16"/>
          <w:szCs w:val="16"/>
        </w:rPr>
      </w:pPr>
      <w:proofErr w:type="spellStart"/>
      <w:r w:rsidRPr="007122AB">
        <w:rPr>
          <w:rFonts w:ascii="Times New Roman" w:hAnsi="Times New Roman"/>
          <w:i/>
          <w:iCs/>
          <w:color w:val="000000" w:themeColor="text1"/>
          <w:sz w:val="16"/>
          <w:szCs w:val="16"/>
        </w:rPr>
        <w:t>Внешня</w:t>
      </w:r>
      <w:proofErr w:type="spellEnd"/>
      <w:r w:rsidRPr="007122AB">
        <w:rPr>
          <w:rFonts w:ascii="Times New Roman" w:hAnsi="Times New Roman"/>
          <w:i/>
          <w:iCs/>
          <w:color w:val="000000" w:themeColor="text1"/>
          <w:sz w:val="16"/>
          <w:szCs w:val="16"/>
        </w:rPr>
        <w:t xml:space="preserve"> политика:</w:t>
      </w:r>
    </w:p>
    <w:p w14:paraId="5A4DB5FE" w14:textId="77777777" w:rsidR="006966DD" w:rsidRPr="007122AB" w:rsidRDefault="006966D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4BAACF" w14:textId="77777777" w:rsidR="006966DD" w:rsidRPr="007122AB" w:rsidRDefault="006966D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25 мая 1931 г.</w:t>
      </w:r>
    </w:p>
    <w:p w14:paraId="5BE4C9B9" w14:textId="77777777" w:rsidR="006966DD" w:rsidRPr="007122AB" w:rsidRDefault="006966D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Письмо из редакционно-издательского отдела Коминтерна в отдел печати НКИД СССР по поводу издания сокращенной версии стенограммы процесса «Промпартии» на французском языке. 25 мая 1931 г.</w:t>
      </w:r>
    </w:p>
    <w:p w14:paraId="731BA83A" w14:textId="77777777" w:rsidR="006966DD" w:rsidRPr="007122AB" w:rsidRDefault="006966D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711BA1A" w14:textId="77777777" w:rsidR="006966DD" w:rsidRPr="007122AB" w:rsidRDefault="006966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1D22D4" w14:textId="77777777" w:rsidR="006966DD" w:rsidRPr="007122AB" w:rsidRDefault="006966D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4ECDFF5F" w14:textId="77777777" w:rsidR="006966DD" w:rsidRPr="007122AB" w:rsidRDefault="006966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056. On. 16. П. 34. Д. 14. Л. 92</w:t>
      </w:r>
    </w:p>
    <w:p w14:paraId="4FCACFFA" w14:textId="77777777" w:rsidR="006966DD" w:rsidRPr="007122AB" w:rsidRDefault="006966DD" w:rsidP="007122AB">
      <w:pPr>
        <w:pStyle w:val="ae"/>
        <w:spacing w:before="0" w:after="0"/>
        <w:jc w:val="both"/>
        <w:rPr>
          <w:color w:val="000000" w:themeColor="text1"/>
          <w:sz w:val="16"/>
          <w:szCs w:val="16"/>
        </w:rPr>
      </w:pPr>
      <w:r w:rsidRPr="007122AB">
        <w:rPr>
          <w:color w:val="000000" w:themeColor="text1"/>
          <w:sz w:val="16"/>
          <w:szCs w:val="16"/>
        </w:rPr>
        <w:t>25 мая 1931 г.</w:t>
      </w:r>
    </w:p>
    <w:p w14:paraId="32999C50" w14:textId="77777777" w:rsidR="006966DD" w:rsidRPr="007122AB" w:rsidRDefault="006966DD" w:rsidP="007122AB">
      <w:pPr>
        <w:pStyle w:val="ae"/>
        <w:spacing w:before="0" w:after="0"/>
        <w:jc w:val="both"/>
        <w:rPr>
          <w:color w:val="000000" w:themeColor="text1"/>
          <w:sz w:val="16"/>
          <w:szCs w:val="16"/>
        </w:rPr>
      </w:pPr>
      <w:r w:rsidRPr="007122AB">
        <w:rPr>
          <w:color w:val="000000" w:themeColor="text1"/>
          <w:sz w:val="16"/>
          <w:szCs w:val="16"/>
        </w:rPr>
        <w:t>Секретно</w:t>
      </w:r>
    </w:p>
    <w:p w14:paraId="4A0E7185" w14:textId="77777777" w:rsidR="006966DD" w:rsidRPr="007122AB" w:rsidRDefault="006966DD" w:rsidP="007122AB">
      <w:pPr>
        <w:pStyle w:val="ae"/>
        <w:spacing w:before="0" w:after="0"/>
        <w:jc w:val="both"/>
        <w:rPr>
          <w:color w:val="000000" w:themeColor="text1"/>
          <w:sz w:val="16"/>
          <w:szCs w:val="16"/>
        </w:rPr>
      </w:pPr>
      <w:r w:rsidRPr="007122AB">
        <w:rPr>
          <w:color w:val="000000" w:themeColor="text1"/>
          <w:sz w:val="16"/>
          <w:szCs w:val="16"/>
        </w:rPr>
        <w:t>Тов. АРЕНС</w:t>
      </w:r>
    </w:p>
    <w:p w14:paraId="2725C798" w14:textId="77777777" w:rsidR="006966DD" w:rsidRPr="007122AB" w:rsidRDefault="006966DD" w:rsidP="007122AB">
      <w:pPr>
        <w:pStyle w:val="rtejustify"/>
        <w:spacing w:before="0" w:after="0"/>
        <w:rPr>
          <w:color w:val="000000" w:themeColor="text1"/>
          <w:sz w:val="16"/>
          <w:szCs w:val="16"/>
        </w:rPr>
      </w:pPr>
      <w:r w:rsidRPr="007122AB">
        <w:rPr>
          <w:color w:val="000000" w:themeColor="text1"/>
          <w:sz w:val="16"/>
          <w:szCs w:val="16"/>
        </w:rPr>
        <w:t>Посылаем изданный нами на французском языке сжатый протокол ПРОЦЕССА ПРОМПАРТИИ с предисловием ПЬЕРА ДОМИНИКА, известного французского писателя, радикала по политическим связям, автора нашумевшей в прошлом году дружественной Советскому Союзу книги «Да, но Москва...». Книге предпослано введение от издателей, углубляющее предисловие Доминика.</w:t>
      </w:r>
    </w:p>
    <w:p w14:paraId="6F66E89C" w14:textId="77777777" w:rsidR="006966DD" w:rsidRPr="007122AB" w:rsidRDefault="006966DD" w:rsidP="007122AB">
      <w:pPr>
        <w:pStyle w:val="rtejustify"/>
        <w:spacing w:before="0" w:after="0"/>
        <w:rPr>
          <w:color w:val="000000" w:themeColor="text1"/>
          <w:sz w:val="16"/>
          <w:szCs w:val="16"/>
        </w:rPr>
      </w:pPr>
      <w:r w:rsidRPr="007122AB">
        <w:rPr>
          <w:color w:val="000000" w:themeColor="text1"/>
          <w:sz w:val="16"/>
          <w:szCs w:val="16"/>
        </w:rPr>
        <w:t>В таком виде и иллюстрированная рядом рисунков и фотографиями документов, а также при проводимой издательством ШИРОКОЙ РЕКЛАМЕ ЧЕРЕЗ БУРЖУАЗНУЮ ПРЕССУ и при цене в 12 фр. (около одного рубля), книга эта сыграет значительную роль в деле популяризации процесса и разоблачения интервенционистских планов.</w:t>
      </w:r>
    </w:p>
    <w:p w14:paraId="59F69312" w14:textId="77777777" w:rsidR="006966DD" w:rsidRPr="007122AB" w:rsidRDefault="006966DD" w:rsidP="007122AB">
      <w:pPr>
        <w:pStyle w:val="rtejustify"/>
        <w:spacing w:before="0" w:after="0"/>
        <w:rPr>
          <w:color w:val="000000" w:themeColor="text1"/>
          <w:sz w:val="16"/>
          <w:szCs w:val="16"/>
        </w:rPr>
      </w:pPr>
      <w:r w:rsidRPr="007122AB">
        <w:rPr>
          <w:color w:val="000000" w:themeColor="text1"/>
          <w:sz w:val="16"/>
          <w:szCs w:val="16"/>
        </w:rPr>
        <w:t>25.5.1931 г.</w:t>
      </w:r>
    </w:p>
    <w:p w14:paraId="6374F0AE" w14:textId="77777777" w:rsidR="006966DD" w:rsidRPr="007122AB" w:rsidRDefault="006966DD" w:rsidP="007122AB">
      <w:pPr>
        <w:pStyle w:val="ae"/>
        <w:spacing w:before="0" w:after="0"/>
        <w:jc w:val="both"/>
        <w:rPr>
          <w:color w:val="000000" w:themeColor="text1"/>
          <w:sz w:val="16"/>
          <w:szCs w:val="16"/>
        </w:rPr>
      </w:pPr>
      <w:r w:rsidRPr="007122AB">
        <w:rPr>
          <w:color w:val="000000" w:themeColor="text1"/>
          <w:sz w:val="16"/>
          <w:szCs w:val="16"/>
        </w:rPr>
        <w:t>РЕДИЗДАТ ИККИ.</w:t>
      </w:r>
    </w:p>
    <w:p w14:paraId="18422692" w14:textId="77777777" w:rsidR="006966DD" w:rsidRPr="007122AB" w:rsidRDefault="006966DD" w:rsidP="007122AB">
      <w:pPr>
        <w:pStyle w:val="ae"/>
        <w:spacing w:before="0" w:after="0"/>
        <w:jc w:val="both"/>
        <w:rPr>
          <w:color w:val="000000" w:themeColor="text1"/>
          <w:sz w:val="16"/>
          <w:szCs w:val="16"/>
        </w:rPr>
      </w:pPr>
      <w:r w:rsidRPr="007122AB">
        <w:rPr>
          <w:rStyle w:val="af0"/>
          <w:i w:val="0"/>
          <w:color w:val="000000" w:themeColor="text1"/>
          <w:sz w:val="16"/>
          <w:szCs w:val="16"/>
        </w:rPr>
        <w:t>АВП РФ. Ф. 056. On. 16. П. 34. Д. 14. Л. 92. Машинописная копия того времени. Гриф секретности машинописью. Вверху справа исходящий номер и дата «25.5.31» (штампом). Вверху слева написаны от руки входящий номер и дата получения документа «26/V-31 г.» (18836).</w:t>
      </w:r>
    </w:p>
    <w:p w14:paraId="3CCE5CF8" w14:textId="77777777" w:rsidR="006966DD" w:rsidRPr="007122AB" w:rsidRDefault="006966DD" w:rsidP="007122AB">
      <w:pPr>
        <w:spacing w:after="0" w:line="240" w:lineRule="auto"/>
        <w:jc w:val="both"/>
        <w:rPr>
          <w:rFonts w:ascii="Times New Roman" w:hAnsi="Times New Roman"/>
          <w:color w:val="000000" w:themeColor="text1"/>
          <w:sz w:val="16"/>
          <w:szCs w:val="16"/>
        </w:rPr>
      </w:pPr>
    </w:p>
    <w:p w14:paraId="53D17D3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6BCBE9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E91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мая 1931 СНК принял постановление о расширении работ ГВФ (271,126). "Союз ССР имеет в настоящее время полную возможность приступить к выполнению широкой программы </w:t>
      </w:r>
      <w:proofErr w:type="spellStart"/>
      <w:r w:rsidRPr="007122AB">
        <w:rPr>
          <w:rFonts w:ascii="Times New Roman" w:hAnsi="Times New Roman"/>
          <w:color w:val="000000" w:themeColor="text1"/>
          <w:sz w:val="16"/>
          <w:szCs w:val="16"/>
        </w:rPr>
        <w:t>аэрофикации</w:t>
      </w:r>
      <w:proofErr w:type="spellEnd"/>
      <w:r w:rsidRPr="007122AB">
        <w:rPr>
          <w:rFonts w:ascii="Times New Roman" w:hAnsi="Times New Roman"/>
          <w:color w:val="000000" w:themeColor="text1"/>
          <w:sz w:val="16"/>
          <w:szCs w:val="16"/>
        </w:rPr>
        <w:t>, долженствующей содействовать ускорению темпов строительства социализма, экономии энергии при передвижении и усилению живой, почтовой и грузовой связи в СССР" (438,623).</w:t>
      </w:r>
    </w:p>
    <w:p w14:paraId="56779728" w14:textId="77777777" w:rsidR="005C4849" w:rsidRPr="007122AB" w:rsidRDefault="005C4849" w:rsidP="002E2960">
      <w:pPr>
        <w:autoSpaceDE w:val="0"/>
        <w:autoSpaceDN w:val="0"/>
        <w:adjustRightInd w:val="0"/>
        <w:spacing w:after="0" w:line="240" w:lineRule="auto"/>
        <w:jc w:val="both"/>
        <w:rPr>
          <w:rFonts w:ascii="Times New Roman" w:hAnsi="Times New Roman"/>
          <w:color w:val="000000" w:themeColor="text1"/>
          <w:sz w:val="16"/>
          <w:szCs w:val="16"/>
        </w:rPr>
      </w:pPr>
    </w:p>
    <w:p w14:paraId="120571D5" w14:textId="77777777" w:rsidR="002E2960" w:rsidRDefault="002E2960" w:rsidP="002E296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2</w:t>
      </w:r>
      <w:r>
        <w:rPr>
          <w:rFonts w:ascii="Times New Roman" w:hAnsi="Times New Roman"/>
          <w:color w:val="0070C0"/>
          <w:sz w:val="16"/>
          <w:szCs w:val="16"/>
        </w:rPr>
        <w:t>6</w:t>
      </w:r>
      <w:r w:rsidRPr="009F5089">
        <w:rPr>
          <w:rFonts w:ascii="Times New Roman" w:hAnsi="Times New Roman"/>
          <w:color w:val="0070C0"/>
          <w:sz w:val="16"/>
          <w:szCs w:val="16"/>
        </w:rPr>
        <w:t xml:space="preserve"> мая</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С</w:t>
      </w:r>
      <w:r>
        <w:rPr>
          <w:rFonts w:ascii="Times New Roman" w:hAnsi="Times New Roman"/>
          <w:color w:val="0070C0"/>
          <w:sz w:val="16"/>
          <w:szCs w:val="16"/>
        </w:rPr>
        <w:t>Н</w:t>
      </w:r>
      <w:r w:rsidRPr="009F5089">
        <w:rPr>
          <w:rFonts w:ascii="Times New Roman" w:hAnsi="Times New Roman"/>
          <w:color w:val="0070C0"/>
          <w:sz w:val="16"/>
          <w:szCs w:val="16"/>
        </w:rPr>
        <w:t>К СССР вынес постановлен</w:t>
      </w:r>
      <w:r>
        <w:rPr>
          <w:rFonts w:ascii="Times New Roman" w:hAnsi="Times New Roman"/>
          <w:color w:val="0070C0"/>
          <w:sz w:val="16"/>
          <w:szCs w:val="16"/>
        </w:rPr>
        <w:t xml:space="preserve">ие </w:t>
      </w:r>
      <w:r w:rsidRPr="009F5089">
        <w:rPr>
          <w:rFonts w:ascii="Times New Roman" w:hAnsi="Times New Roman"/>
          <w:color w:val="0070C0"/>
          <w:sz w:val="16"/>
          <w:szCs w:val="16"/>
        </w:rPr>
        <w:t xml:space="preserve">об </w:t>
      </w:r>
      <w:proofErr w:type="spellStart"/>
      <w:r w:rsidRPr="009F5089">
        <w:rPr>
          <w:rFonts w:ascii="Times New Roman" w:hAnsi="Times New Roman"/>
          <w:color w:val="0070C0"/>
          <w:sz w:val="16"/>
          <w:szCs w:val="16"/>
        </w:rPr>
        <w:t>а</w:t>
      </w:r>
      <w:r>
        <w:rPr>
          <w:rFonts w:ascii="Times New Roman" w:hAnsi="Times New Roman"/>
          <w:color w:val="0070C0"/>
          <w:sz w:val="16"/>
          <w:szCs w:val="16"/>
        </w:rPr>
        <w:t>э</w:t>
      </w:r>
      <w:r w:rsidRPr="009F5089">
        <w:rPr>
          <w:rFonts w:ascii="Times New Roman" w:hAnsi="Times New Roman"/>
          <w:color w:val="0070C0"/>
          <w:sz w:val="16"/>
          <w:szCs w:val="16"/>
        </w:rPr>
        <w:t>роф</w:t>
      </w:r>
      <w:r>
        <w:rPr>
          <w:rFonts w:ascii="Times New Roman" w:hAnsi="Times New Roman"/>
          <w:color w:val="0070C0"/>
          <w:sz w:val="16"/>
          <w:szCs w:val="16"/>
        </w:rPr>
        <w:t>и</w:t>
      </w:r>
      <w:r w:rsidRPr="009F5089">
        <w:rPr>
          <w:rFonts w:ascii="Times New Roman" w:hAnsi="Times New Roman"/>
          <w:color w:val="0070C0"/>
          <w:sz w:val="16"/>
          <w:szCs w:val="16"/>
        </w:rPr>
        <w:t>ка</w:t>
      </w:r>
      <w:r>
        <w:rPr>
          <w:rFonts w:ascii="Times New Roman" w:hAnsi="Times New Roman"/>
          <w:color w:val="0070C0"/>
          <w:sz w:val="16"/>
          <w:szCs w:val="16"/>
        </w:rPr>
        <w:t>ции</w:t>
      </w:r>
      <w:proofErr w:type="spellEnd"/>
      <w:r w:rsidRPr="009F5089">
        <w:rPr>
          <w:rFonts w:ascii="Times New Roman" w:hAnsi="Times New Roman"/>
          <w:color w:val="0070C0"/>
          <w:sz w:val="16"/>
          <w:szCs w:val="16"/>
        </w:rPr>
        <w:t xml:space="preserve"> страны.</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w:t>
      </w:r>
      <w:r>
        <w:rPr>
          <w:rFonts w:ascii="Times New Roman" w:hAnsi="Times New Roman"/>
          <w:color w:val="0070C0"/>
          <w:sz w:val="16"/>
          <w:szCs w:val="16"/>
        </w:rPr>
        <w:t>нем</w:t>
      </w:r>
      <w:r w:rsidRPr="009F5089">
        <w:rPr>
          <w:rFonts w:ascii="Times New Roman" w:hAnsi="Times New Roman"/>
          <w:color w:val="0070C0"/>
          <w:sz w:val="16"/>
          <w:szCs w:val="16"/>
        </w:rPr>
        <w:t xml:space="preserve"> говорилось: "Союз ССР </w:t>
      </w:r>
      <w:r>
        <w:rPr>
          <w:rFonts w:ascii="Times New Roman" w:hAnsi="Times New Roman"/>
          <w:color w:val="0070C0"/>
          <w:sz w:val="16"/>
          <w:szCs w:val="16"/>
        </w:rPr>
        <w:t>и</w:t>
      </w:r>
      <w:r w:rsidRPr="009F5089">
        <w:rPr>
          <w:rFonts w:ascii="Times New Roman" w:hAnsi="Times New Roman"/>
          <w:color w:val="0070C0"/>
          <w:sz w:val="16"/>
          <w:szCs w:val="16"/>
        </w:rPr>
        <w:t>меет в настоящее время полную во</w:t>
      </w:r>
      <w:r>
        <w:rPr>
          <w:rFonts w:ascii="Times New Roman" w:hAnsi="Times New Roman"/>
          <w:color w:val="0070C0"/>
          <w:sz w:val="16"/>
          <w:szCs w:val="16"/>
        </w:rPr>
        <w:t>зм</w:t>
      </w:r>
      <w:r w:rsidRPr="009F5089">
        <w:rPr>
          <w:rFonts w:ascii="Times New Roman" w:hAnsi="Times New Roman"/>
          <w:color w:val="0070C0"/>
          <w:sz w:val="16"/>
          <w:szCs w:val="16"/>
        </w:rPr>
        <w:t>ож</w:t>
      </w:r>
      <w:r>
        <w:rPr>
          <w:rFonts w:ascii="Times New Roman" w:hAnsi="Times New Roman"/>
          <w:color w:val="0070C0"/>
          <w:sz w:val="16"/>
          <w:szCs w:val="16"/>
        </w:rPr>
        <w:t>ность</w:t>
      </w:r>
      <w:r w:rsidRPr="009F5089">
        <w:rPr>
          <w:rFonts w:ascii="Times New Roman" w:hAnsi="Times New Roman"/>
          <w:color w:val="0070C0"/>
          <w:sz w:val="16"/>
          <w:szCs w:val="16"/>
        </w:rPr>
        <w:t xml:space="preserve"> приступить к выполнению широкой программы </w:t>
      </w:r>
      <w:proofErr w:type="spellStart"/>
      <w:r w:rsidRPr="009F5089">
        <w:rPr>
          <w:rFonts w:ascii="Times New Roman" w:hAnsi="Times New Roman"/>
          <w:color w:val="0070C0"/>
          <w:sz w:val="16"/>
          <w:szCs w:val="16"/>
        </w:rPr>
        <w:t>аэрофи</w:t>
      </w:r>
      <w:r>
        <w:rPr>
          <w:rFonts w:ascii="Times New Roman" w:hAnsi="Times New Roman"/>
          <w:color w:val="0070C0"/>
          <w:sz w:val="16"/>
          <w:szCs w:val="16"/>
        </w:rPr>
        <w:t>к</w:t>
      </w:r>
      <w:r w:rsidRPr="009F5089">
        <w:rPr>
          <w:rFonts w:ascii="Times New Roman" w:hAnsi="Times New Roman"/>
          <w:color w:val="0070C0"/>
          <w:sz w:val="16"/>
          <w:szCs w:val="16"/>
        </w:rPr>
        <w:t>ации</w:t>
      </w:r>
      <w:proofErr w:type="spellEnd"/>
      <w:r w:rsidRPr="009F5089">
        <w:rPr>
          <w:rFonts w:ascii="Times New Roman" w:hAnsi="Times New Roman"/>
          <w:color w:val="0070C0"/>
          <w:sz w:val="16"/>
          <w:szCs w:val="16"/>
        </w:rPr>
        <w:t>, дол</w:t>
      </w:r>
      <w:r>
        <w:rPr>
          <w:rFonts w:ascii="Times New Roman" w:hAnsi="Times New Roman"/>
          <w:color w:val="0070C0"/>
          <w:sz w:val="16"/>
          <w:szCs w:val="16"/>
        </w:rPr>
        <w:t>жен</w:t>
      </w:r>
      <w:r w:rsidRPr="009F5089">
        <w:rPr>
          <w:rFonts w:ascii="Times New Roman" w:hAnsi="Times New Roman"/>
          <w:color w:val="0070C0"/>
          <w:sz w:val="16"/>
          <w:szCs w:val="16"/>
        </w:rPr>
        <w:t>ствую</w:t>
      </w:r>
      <w:r>
        <w:rPr>
          <w:rFonts w:ascii="Times New Roman" w:hAnsi="Times New Roman"/>
          <w:color w:val="0070C0"/>
          <w:sz w:val="16"/>
          <w:szCs w:val="16"/>
        </w:rPr>
        <w:t>щ</w:t>
      </w:r>
      <w:r w:rsidRPr="009F5089">
        <w:rPr>
          <w:rFonts w:ascii="Times New Roman" w:hAnsi="Times New Roman"/>
          <w:color w:val="0070C0"/>
          <w:sz w:val="16"/>
          <w:szCs w:val="16"/>
        </w:rPr>
        <w:t>ей содействовать ускорению темпов строительства соц</w:t>
      </w:r>
      <w:r>
        <w:rPr>
          <w:rFonts w:ascii="Times New Roman" w:hAnsi="Times New Roman"/>
          <w:color w:val="0070C0"/>
          <w:sz w:val="16"/>
          <w:szCs w:val="16"/>
        </w:rPr>
        <w:t>иализма</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экономил энергии при передвижении и усилению живой,</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почтовой </w:t>
      </w:r>
      <w:r>
        <w:rPr>
          <w:rFonts w:ascii="Times New Roman" w:hAnsi="Times New Roman"/>
          <w:color w:val="0070C0"/>
          <w:sz w:val="16"/>
          <w:szCs w:val="16"/>
        </w:rPr>
        <w:t xml:space="preserve">и </w:t>
      </w:r>
      <w:r w:rsidRPr="009F5089">
        <w:rPr>
          <w:rFonts w:ascii="Times New Roman" w:hAnsi="Times New Roman"/>
          <w:color w:val="0070C0"/>
          <w:sz w:val="16"/>
          <w:szCs w:val="16"/>
        </w:rPr>
        <w:t>грузовой связи в СССР".</w:t>
      </w:r>
      <w:r>
        <w:rPr>
          <w:rFonts w:ascii="Times New Roman" w:hAnsi="Times New Roman"/>
          <w:color w:val="0070C0"/>
          <w:sz w:val="16"/>
          <w:szCs w:val="16"/>
        </w:rPr>
        <w:t xml:space="preserve"> </w:t>
      </w:r>
      <w:r w:rsidRPr="009F5089">
        <w:rPr>
          <w:rFonts w:ascii="Times New Roman" w:hAnsi="Times New Roman"/>
          <w:color w:val="0070C0"/>
          <w:sz w:val="16"/>
          <w:szCs w:val="16"/>
        </w:rPr>
        <w:t>Индустриализация страны,</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начатая в годы </w:t>
      </w:r>
      <w:r>
        <w:rPr>
          <w:rFonts w:ascii="Times New Roman" w:hAnsi="Times New Roman"/>
          <w:color w:val="0070C0"/>
          <w:sz w:val="16"/>
          <w:szCs w:val="16"/>
        </w:rPr>
        <w:t>пе</w:t>
      </w:r>
      <w:r w:rsidRPr="009F5089">
        <w:rPr>
          <w:rFonts w:ascii="Times New Roman" w:hAnsi="Times New Roman"/>
          <w:color w:val="0070C0"/>
          <w:sz w:val="16"/>
          <w:szCs w:val="16"/>
        </w:rPr>
        <w:t xml:space="preserve">рвой пятилетки, способствовала осуществлению плана </w:t>
      </w:r>
      <w:proofErr w:type="spellStart"/>
      <w:r>
        <w:rPr>
          <w:rFonts w:ascii="Times New Roman" w:hAnsi="Times New Roman"/>
          <w:color w:val="0070C0"/>
          <w:sz w:val="16"/>
          <w:szCs w:val="16"/>
        </w:rPr>
        <w:t>аэ</w:t>
      </w:r>
      <w:r w:rsidRPr="009F5089">
        <w:rPr>
          <w:rFonts w:ascii="Times New Roman" w:hAnsi="Times New Roman"/>
          <w:color w:val="0070C0"/>
          <w:sz w:val="16"/>
          <w:szCs w:val="16"/>
        </w:rPr>
        <w:t>рофикации</w:t>
      </w:r>
      <w:proofErr w:type="spellEnd"/>
      <w:r w:rsidRPr="009F5089">
        <w:rPr>
          <w:rFonts w:ascii="Times New Roman" w:hAnsi="Times New Roman"/>
          <w:color w:val="0070C0"/>
          <w:sz w:val="16"/>
          <w:szCs w:val="16"/>
        </w:rPr>
        <w:t>.</w:t>
      </w:r>
    </w:p>
    <w:p w14:paraId="75ECC5C7" w14:textId="77777777" w:rsidR="002E2960" w:rsidRDefault="002E2960" w:rsidP="002E296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/"15 лет гражданского воздушного флота", 1938,</w:t>
      </w:r>
      <w:r>
        <w:rPr>
          <w:rFonts w:ascii="Times New Roman" w:hAnsi="Times New Roman"/>
          <w:color w:val="0070C0"/>
          <w:sz w:val="16"/>
          <w:szCs w:val="16"/>
        </w:rPr>
        <w:t xml:space="preserve"> </w:t>
      </w:r>
      <w:r w:rsidRPr="009F5089">
        <w:rPr>
          <w:rFonts w:ascii="Times New Roman" w:hAnsi="Times New Roman"/>
          <w:color w:val="0070C0"/>
          <w:sz w:val="16"/>
          <w:szCs w:val="16"/>
        </w:rPr>
        <w:t>стр.79/</w:t>
      </w:r>
      <w:r>
        <w:rPr>
          <w:rFonts w:ascii="Times New Roman" w:hAnsi="Times New Roman"/>
          <w:color w:val="0070C0"/>
          <w:sz w:val="16"/>
          <w:szCs w:val="16"/>
        </w:rPr>
        <w:t xml:space="preserve"> (23370).</w:t>
      </w:r>
    </w:p>
    <w:p w14:paraId="176C557D" w14:textId="77777777" w:rsidR="002E2960" w:rsidRPr="009F5089" w:rsidRDefault="002E2960" w:rsidP="002E2960">
      <w:pPr>
        <w:spacing w:after="0" w:line="240" w:lineRule="auto"/>
        <w:jc w:val="both"/>
        <w:rPr>
          <w:rFonts w:ascii="Times New Roman" w:hAnsi="Times New Roman"/>
          <w:color w:val="0070C0"/>
          <w:sz w:val="16"/>
          <w:szCs w:val="16"/>
        </w:rPr>
      </w:pPr>
    </w:p>
    <w:p w14:paraId="2F65F820"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26 мая 1931 года «СНК СССР при утверждении транспортно-финансового плана Гражданского воздушного флота принял историческое постановление, в котором констатировал, что СССР имеет в настоящее время полную возможность приступить к выполнению широкой программы </w:t>
      </w:r>
      <w:proofErr w:type="spellStart"/>
      <w:r w:rsidRPr="007122AB">
        <w:rPr>
          <w:rFonts w:ascii="Times New Roman" w:hAnsi="Times New Roman"/>
          <w:color w:val="000000" w:themeColor="text1"/>
          <w:sz w:val="16"/>
          <w:szCs w:val="16"/>
        </w:rPr>
        <w:t>аэрофикации</w:t>
      </w:r>
      <w:proofErr w:type="spellEnd"/>
      <w:r w:rsidRPr="007122AB">
        <w:rPr>
          <w:rFonts w:ascii="Times New Roman" w:hAnsi="Times New Roman"/>
          <w:color w:val="000000" w:themeColor="text1"/>
          <w:sz w:val="16"/>
          <w:szCs w:val="16"/>
        </w:rPr>
        <w:t xml:space="preserve"> для ускорения темпов строительства социализма, усиления живой, почтовой и грузовой связи в СССР» (Гагин В.В. Авиастроение и </w:t>
      </w:r>
      <w:proofErr w:type="spellStart"/>
      <w:r w:rsidRPr="007122AB">
        <w:rPr>
          <w:rFonts w:ascii="Times New Roman" w:hAnsi="Times New Roman"/>
          <w:color w:val="000000" w:themeColor="text1"/>
          <w:sz w:val="16"/>
          <w:szCs w:val="16"/>
        </w:rPr>
        <w:t>аэрофикация</w:t>
      </w:r>
      <w:proofErr w:type="spellEnd"/>
      <w:r w:rsidRPr="007122AB">
        <w:rPr>
          <w:rFonts w:ascii="Times New Roman" w:hAnsi="Times New Roman"/>
          <w:color w:val="000000" w:themeColor="text1"/>
          <w:sz w:val="16"/>
          <w:szCs w:val="16"/>
        </w:rPr>
        <w:t xml:space="preserve"> страны как главные факторы развития парашютизма в СССР в предвоенные годы // Вестник НИИ гуманитарных наук при Правительстве Республики Мордовия. 2019. № 4 (52). С. 100-102). Тем самым самолет ставился на службу хозяйственного и культурного строительства, что позволяло рекрутировать в авиацию и парашютизм тысячи юношей и девушек (21402).</w:t>
      </w:r>
    </w:p>
    <w:p w14:paraId="75ECC2DB"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44EEC222" w14:textId="77777777" w:rsidR="001A7FA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69A5BB6" w14:textId="77777777" w:rsidR="001A7FA6" w:rsidRPr="007122AB" w:rsidRDefault="001A7FA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BD01ED"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26 мая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104сс об объявлении Севастопольского порта военно-морским портом (ГА РФ. Ф. Р?8418. Оп. 28. Д. 1а. Л. 31) (12415).</w:t>
      </w:r>
    </w:p>
    <w:p w14:paraId="7FFFAC66"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p>
    <w:p w14:paraId="0E85B3F4" w14:textId="77777777" w:rsidR="0097418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A554486" w14:textId="77777777" w:rsidR="00974187" w:rsidRPr="007122AB" w:rsidRDefault="0097418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329AF3" w14:textId="77777777" w:rsidR="00974187" w:rsidRPr="007122AB" w:rsidRDefault="0097418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26 мая</w:t>
      </w:r>
      <w:r w:rsidRPr="007122AB">
        <w:rPr>
          <w:rFonts w:ascii="Times New Roman" w:hAnsi="Times New Roman"/>
          <w:color w:val="000000" w:themeColor="text1"/>
          <w:sz w:val="16"/>
          <w:szCs w:val="16"/>
        </w:rPr>
        <w:t xml:space="preserve"> в 1931 году ВМС США выдали фирме </w:t>
      </w:r>
      <w:proofErr w:type="spellStart"/>
      <w:r w:rsidRPr="007122AB">
        <w:rPr>
          <w:rFonts w:ascii="Times New Roman" w:hAnsi="Times New Roman"/>
          <w:color w:val="000000" w:themeColor="text1"/>
          <w:sz w:val="16"/>
          <w:szCs w:val="16"/>
        </w:rPr>
        <w:t>Консолидейтед</w:t>
      </w:r>
      <w:proofErr w:type="spellEnd"/>
      <w:r w:rsidRPr="007122AB">
        <w:rPr>
          <w:rFonts w:ascii="Times New Roman" w:hAnsi="Times New Roman"/>
          <w:color w:val="000000" w:themeColor="text1"/>
          <w:sz w:val="16"/>
          <w:szCs w:val="16"/>
        </w:rPr>
        <w:t xml:space="preserve"> заказ на рабочее проектирование и постройку одного прототипа летающей лодки </w:t>
      </w:r>
      <w:hyperlink r:id="rId105" w:tgtFrame="_blank" w:history="1">
        <w:r w:rsidRPr="007122AB">
          <w:rPr>
            <w:rFonts w:ascii="Times New Roman" w:hAnsi="Times New Roman"/>
            <w:color w:val="000000" w:themeColor="text1"/>
            <w:sz w:val="16"/>
            <w:szCs w:val="16"/>
          </w:rPr>
          <w:t>«P2Y» «</w:t>
        </w:r>
        <w:proofErr w:type="spellStart"/>
        <w:r w:rsidRPr="007122AB">
          <w:rPr>
            <w:rFonts w:ascii="Times New Roman" w:hAnsi="Times New Roman"/>
            <w:color w:val="000000" w:themeColor="text1"/>
            <w:sz w:val="16"/>
            <w:szCs w:val="16"/>
          </w:rPr>
          <w:t>Ranger</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с расчетной дальностью полета 4828 км - почти вдвое больше, чем у «XPY-1» (14903).</w:t>
      </w:r>
    </w:p>
    <w:p w14:paraId="546F470D" w14:textId="77777777" w:rsidR="00974187" w:rsidRPr="007122AB" w:rsidRDefault="00974187" w:rsidP="007122AB">
      <w:pPr>
        <w:spacing w:after="0" w:line="240" w:lineRule="auto"/>
        <w:jc w:val="both"/>
        <w:rPr>
          <w:rFonts w:ascii="Times New Roman" w:hAnsi="Times New Roman"/>
          <w:color w:val="000000" w:themeColor="text1"/>
          <w:sz w:val="16"/>
          <w:szCs w:val="16"/>
        </w:rPr>
      </w:pPr>
    </w:p>
    <w:p w14:paraId="4C05916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CA88B9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FFF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мая 1931 был первый полет АНТ-31 (И-14) (2989).</w:t>
      </w:r>
    </w:p>
    <w:p w14:paraId="4DF000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5AFF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мая 1931 года Приказом начальника НИИ ВВС №145 структура Института была приведена в соответствие с возложенными на него задачами. В институте было образовано 19 отделов, сектор рационализации и изобретательства, авиапарк в составе 130 человек, Центральный авиационный полигон в составе 32 человек и авиагруппа в составе 221 человека. В последствии авиагруппа была переименована в авиабригаду, которой в тот период командовали </w:t>
      </w:r>
      <w:proofErr w:type="spellStart"/>
      <w:r w:rsidRPr="007122AB">
        <w:rPr>
          <w:rFonts w:ascii="Times New Roman" w:hAnsi="Times New Roman"/>
          <w:color w:val="000000" w:themeColor="text1"/>
          <w:sz w:val="16"/>
          <w:szCs w:val="16"/>
        </w:rPr>
        <w:t>А.А.Туржанский</w:t>
      </w:r>
      <w:proofErr w:type="spellEnd"/>
      <w:r w:rsidRPr="007122AB">
        <w:rPr>
          <w:rFonts w:ascii="Times New Roman" w:hAnsi="Times New Roman"/>
          <w:color w:val="000000" w:themeColor="text1"/>
          <w:sz w:val="16"/>
          <w:szCs w:val="16"/>
        </w:rPr>
        <w:t xml:space="preserve">, затем </w:t>
      </w:r>
      <w:proofErr w:type="spellStart"/>
      <w:r w:rsidRPr="007122AB">
        <w:rPr>
          <w:rFonts w:ascii="Times New Roman" w:hAnsi="Times New Roman"/>
          <w:color w:val="000000" w:themeColor="text1"/>
          <w:sz w:val="16"/>
          <w:szCs w:val="16"/>
        </w:rPr>
        <w:t>Скробук</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А.И.Залевский</w:t>
      </w:r>
      <w:proofErr w:type="spellEnd"/>
      <w:r w:rsidRPr="007122AB">
        <w:rPr>
          <w:rFonts w:ascii="Times New Roman" w:hAnsi="Times New Roman"/>
          <w:color w:val="000000" w:themeColor="text1"/>
          <w:sz w:val="16"/>
          <w:szCs w:val="16"/>
        </w:rPr>
        <w:t xml:space="preserve">. Комиссаром авиабригады был назначен Киль, начальником штаба </w:t>
      </w:r>
      <w:proofErr w:type="spellStart"/>
      <w:r w:rsidRPr="007122AB">
        <w:rPr>
          <w:rFonts w:ascii="Times New Roman" w:hAnsi="Times New Roman"/>
          <w:color w:val="000000" w:themeColor="text1"/>
          <w:sz w:val="16"/>
          <w:szCs w:val="16"/>
        </w:rPr>
        <w:t>Н.И.Шауров</w:t>
      </w:r>
      <w:proofErr w:type="spellEnd"/>
      <w:r w:rsidRPr="007122AB">
        <w:rPr>
          <w:rFonts w:ascii="Times New Roman" w:hAnsi="Times New Roman"/>
          <w:color w:val="000000" w:themeColor="text1"/>
          <w:sz w:val="16"/>
          <w:szCs w:val="16"/>
        </w:rPr>
        <w:t xml:space="preserve"> (затем Петров). В бригаде работали летчики </w:t>
      </w:r>
      <w:proofErr w:type="spellStart"/>
      <w:r w:rsidRPr="007122AB">
        <w:rPr>
          <w:rFonts w:ascii="Times New Roman" w:hAnsi="Times New Roman"/>
          <w:color w:val="000000" w:themeColor="text1"/>
          <w:sz w:val="16"/>
          <w:szCs w:val="16"/>
        </w:rPr>
        <w:t>А.Б.Юмашев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М.М.Громов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С.М.Иванов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xml:space="preserve">, П.М .Стефановский, </w:t>
      </w:r>
      <w:proofErr w:type="spellStart"/>
      <w:r w:rsidRPr="007122AB">
        <w:rPr>
          <w:rFonts w:ascii="Times New Roman" w:hAnsi="Times New Roman"/>
          <w:color w:val="000000" w:themeColor="text1"/>
          <w:sz w:val="16"/>
          <w:szCs w:val="16"/>
        </w:rPr>
        <w:t>В.А.Степанченок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И.Ф.Петров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И.Ф.Козлов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Ж.В.Паунтас,В.О.Писаренко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В.Г.Рахов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А.Г.Растригин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В.И.Фортинский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В.М.Жарновский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М.Каверин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Благонадежин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Нольдс</w:t>
      </w:r>
      <w:proofErr w:type="spellEnd"/>
      <w:r w:rsidRPr="007122AB">
        <w:rPr>
          <w:rFonts w:ascii="Times New Roman" w:hAnsi="Times New Roman"/>
          <w:color w:val="000000" w:themeColor="text1"/>
          <w:sz w:val="16"/>
          <w:szCs w:val="16"/>
        </w:rPr>
        <w:t>, борттехник Ткачев и другие (11017).</w:t>
      </w:r>
    </w:p>
    <w:p w14:paraId="3CF59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AE48A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D25A88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BEF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27 мая по 13 июня 1931 танк Кристи испытывался пробегом по шоссе и грунтовым дорогам на колесном ходу. Максимальная скорость не превышала 65-70 км/час. На колесах нельзя было двигаться по песку (3879,7).</w:t>
      </w:r>
    </w:p>
    <w:p w14:paraId="619F5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D9A265"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27 мая и до 13 июня 1931 танк БТ испытывался пробегом по шоссе и грунтовым дорогам только на колесном ходу. Максимальная скорость не превышала 65-70 км/час. Существенным недостатком оказалась полная невозможность движения на колесах по песку из-за значительного их погружения в грунт. Было также отмечено, что посадка в танк может производиться только через верхний люк, поскольку водительский люк слишком узок, непригоден для эвакуации и не оборудован приборами бокового обзора. Доступ к агрегатам моторно-трансмиссионного отделения был возможен лишь после полной разборки крыши. Недостатком признали отсутствие башни и установку только пулеметного вооружения в корпусе. Общий “набег” М1931 за 10 дней составил 200 км на колесах, но 50 из них танк прошел ещё в США. </w:t>
      </w:r>
    </w:p>
    <w:p w14:paraId="1037DF27"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Впрочем, во время демонстрации М1931 членам правительства машина, даже с поломанным кронштейном, показала себя хорошо. На колесном ходу танк свободно прошел 5 рядов проволочных заграждений, а затем преодолел двухметровый окоп. Экипаж машины за 44 минуты установил гусеничные ленты, а после 10-минутного перерыва за 35 минут снял и уложил их на </w:t>
      </w:r>
      <w:proofErr w:type="spellStart"/>
      <w:r w:rsidRPr="007122AB">
        <w:rPr>
          <w:rFonts w:ascii="Times New Roman" w:hAnsi="Times New Roman"/>
          <w:color w:val="000000" w:themeColor="text1"/>
          <w:sz w:val="16"/>
          <w:szCs w:val="16"/>
        </w:rPr>
        <w:t>надгусеничные</w:t>
      </w:r>
      <w:proofErr w:type="spellEnd"/>
      <w:r w:rsidRPr="007122AB">
        <w:rPr>
          <w:rFonts w:ascii="Times New Roman" w:hAnsi="Times New Roman"/>
          <w:color w:val="000000" w:themeColor="text1"/>
          <w:sz w:val="16"/>
          <w:szCs w:val="16"/>
        </w:rPr>
        <w:t xml:space="preserve"> полки. </w:t>
      </w:r>
    </w:p>
    <w:p w14:paraId="4A788235"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Последняя попытка провести испытания М1931 на гусеничном ходу была предпринята 13 июня, но после того как танк прошел всего 1 км, злополучный кронштейн снова сломался. Тремя днями позже начала заедать коробка передач на 2-й и 3-й скорости. Всего с 16 мая по 21 июня танк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0C27F716"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743EB392"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Гусеницы. После 40,5 км сломано 8 пальцев. </w:t>
      </w:r>
    </w:p>
    <w:p w14:paraId="247BEB2A"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40F97F4D"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3E958D08"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A504081" w14:textId="77777777" w:rsidR="00E00206" w:rsidRPr="007122AB" w:rsidRDefault="00E002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43C74B1D" w14:textId="77777777" w:rsidR="00E00206" w:rsidRPr="007122AB" w:rsidRDefault="00E00206" w:rsidP="007122AB">
      <w:pPr>
        <w:spacing w:after="0" w:line="240" w:lineRule="auto"/>
        <w:jc w:val="both"/>
        <w:rPr>
          <w:rFonts w:ascii="Times New Roman" w:hAnsi="Times New Roman"/>
          <w:color w:val="000000" w:themeColor="text1"/>
          <w:sz w:val="16"/>
          <w:szCs w:val="16"/>
        </w:rPr>
      </w:pPr>
    </w:p>
    <w:p w14:paraId="4F995E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мая 1931 года был составлен отчет об осмотре машин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в котором говорилось: «Д-13 («Форд-АА» шестиколесный). Расположение боковых пулеметных установок про</w:t>
      </w:r>
      <w:r w:rsidRPr="007122AB">
        <w:rPr>
          <w:rFonts w:ascii="Times New Roman" w:hAnsi="Times New Roman"/>
          <w:color w:val="000000" w:themeColor="text1"/>
          <w:sz w:val="16"/>
          <w:szCs w:val="16"/>
        </w:rPr>
        <w:softHyphen/>
        <w:t>изведено без учета возможности их целесообразного ис</w:t>
      </w:r>
      <w:r w:rsidRPr="007122AB">
        <w:rPr>
          <w:rFonts w:ascii="Times New Roman" w:hAnsi="Times New Roman"/>
          <w:color w:val="000000" w:themeColor="text1"/>
          <w:sz w:val="16"/>
          <w:szCs w:val="16"/>
        </w:rPr>
        <w:softHyphen/>
        <w:t>пользования. Поэтому целесообразно оставить лишь одну установку спереди и одну сзади, а боковые убрать, так как они стесняют командира башни. Условия наблюдения из машины при наличии башни с круговым вращением и от{срываемого в ней вверху люка в общем удовлетворитель</w:t>
      </w:r>
      <w:r w:rsidRPr="007122AB">
        <w:rPr>
          <w:rFonts w:ascii="Times New Roman" w:hAnsi="Times New Roman"/>
          <w:color w:val="000000" w:themeColor="text1"/>
          <w:sz w:val="16"/>
          <w:szCs w:val="16"/>
        </w:rPr>
        <w:softHyphen/>
        <w:t xml:space="preserve">ные. </w:t>
      </w:r>
      <w:proofErr w:type="spellStart"/>
      <w:r w:rsidRPr="007122AB">
        <w:rPr>
          <w:rFonts w:ascii="Times New Roman" w:hAnsi="Times New Roman"/>
          <w:color w:val="000000" w:themeColor="text1"/>
          <w:sz w:val="16"/>
          <w:szCs w:val="16"/>
        </w:rPr>
        <w:t>Турельная</w:t>
      </w:r>
      <w:proofErr w:type="spellEnd"/>
      <w:r w:rsidRPr="007122AB">
        <w:rPr>
          <w:rFonts w:ascii="Times New Roman" w:hAnsi="Times New Roman"/>
          <w:color w:val="000000" w:themeColor="text1"/>
          <w:sz w:val="16"/>
          <w:szCs w:val="16"/>
        </w:rPr>
        <w:t xml:space="preserve"> установка не оправдывает своего назначе</w:t>
      </w:r>
      <w:r w:rsidRPr="007122AB">
        <w:rPr>
          <w:rFonts w:ascii="Times New Roman" w:hAnsi="Times New Roman"/>
          <w:color w:val="000000" w:themeColor="text1"/>
          <w:sz w:val="16"/>
          <w:szCs w:val="16"/>
        </w:rPr>
        <w:softHyphen/>
        <w:t>ния, так как она имеет недостаточный угол возвышения и не защищает стрелка от поражения с воздуха (турель авиационного типа).</w:t>
      </w:r>
    </w:p>
    <w:p w14:paraId="49CAE2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Артиллерийское вооружение — 37-мм пушка — не оправдано тяжестью и громоздкостью самой машины. Проходимость и поворотливость «</w:t>
      </w:r>
      <w:proofErr w:type="spellStart"/>
      <w:r w:rsidRPr="007122AB">
        <w:rPr>
          <w:rFonts w:ascii="Times New Roman" w:hAnsi="Times New Roman"/>
          <w:color w:val="000000" w:themeColor="text1"/>
          <w:sz w:val="16"/>
          <w:szCs w:val="16"/>
        </w:rPr>
        <w:t>Мореланда</w:t>
      </w:r>
      <w:proofErr w:type="spellEnd"/>
      <w:r w:rsidRPr="007122AB">
        <w:rPr>
          <w:rFonts w:ascii="Times New Roman" w:hAnsi="Times New Roman"/>
          <w:color w:val="000000" w:themeColor="text1"/>
          <w:sz w:val="16"/>
          <w:szCs w:val="16"/>
        </w:rPr>
        <w:t>», по сравнению с шестиколесным «Форд-АА», более ограни</w:t>
      </w:r>
      <w:r w:rsidRPr="007122AB">
        <w:rPr>
          <w:rFonts w:ascii="Times New Roman" w:hAnsi="Times New Roman"/>
          <w:color w:val="000000" w:themeColor="text1"/>
          <w:sz w:val="16"/>
          <w:szCs w:val="16"/>
        </w:rPr>
        <w:softHyphen/>
        <w:t>чена вследствие большого веса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7 т, Д-13 4,25 т) и большей длины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6,23 м, Д-13 4,75 м). «</w:t>
      </w:r>
      <w:proofErr w:type="spellStart"/>
      <w:r w:rsidRPr="007122AB">
        <w:rPr>
          <w:rFonts w:ascii="Times New Roman" w:hAnsi="Times New Roman"/>
          <w:color w:val="000000" w:themeColor="text1"/>
          <w:sz w:val="16"/>
          <w:szCs w:val="16"/>
        </w:rPr>
        <w:t>Море</w:t>
      </w:r>
      <w:r w:rsidRPr="007122AB">
        <w:rPr>
          <w:rFonts w:ascii="Times New Roman" w:hAnsi="Times New Roman"/>
          <w:color w:val="000000" w:themeColor="text1"/>
          <w:sz w:val="16"/>
          <w:szCs w:val="16"/>
        </w:rPr>
        <w:softHyphen/>
        <w:t>ланд</w:t>
      </w:r>
      <w:proofErr w:type="spellEnd"/>
      <w:r w:rsidRPr="007122AB">
        <w:rPr>
          <w:rFonts w:ascii="Times New Roman" w:hAnsi="Times New Roman"/>
          <w:color w:val="000000" w:themeColor="text1"/>
          <w:sz w:val="16"/>
          <w:szCs w:val="16"/>
        </w:rPr>
        <w:t>» ничем положительным по сравнению с «Форд-АА» шестиколесным или БА-27 отличиться не может, но изоби</w:t>
      </w:r>
      <w:r w:rsidRPr="007122AB">
        <w:rPr>
          <w:rFonts w:ascii="Times New Roman" w:hAnsi="Times New Roman"/>
          <w:color w:val="000000" w:themeColor="text1"/>
          <w:sz w:val="16"/>
          <w:szCs w:val="16"/>
        </w:rPr>
        <w:softHyphen/>
        <w:t>лует отрицательными качествами (тихоходность, большие габаритные размеры)».</w:t>
      </w:r>
    </w:p>
    <w:p w14:paraId="075234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по Д-13 отмечалась высокая трудоемкость изготовления - корпус бронемашины имел 55 броневых де</w:t>
      </w:r>
      <w:r w:rsidRPr="007122AB">
        <w:rPr>
          <w:rFonts w:ascii="Times New Roman" w:hAnsi="Times New Roman"/>
          <w:color w:val="000000" w:themeColor="text1"/>
          <w:sz w:val="16"/>
          <w:szCs w:val="16"/>
        </w:rPr>
        <w:softHyphen/>
        <w:t xml:space="preserve">талей разнообразной формы, а протяженность сварного шва составляла 122 м — и высокая стоимость — 15696 руб. 74 коп. Поэтому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рекомендовали доработать конструкцию бронеавтомобилей (11284).</w:t>
      </w:r>
    </w:p>
    <w:p w14:paraId="77C07F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E37D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мая 1931 года комиссия НТК УММ РККА в своем за</w:t>
      </w:r>
      <w:r w:rsidRPr="007122AB">
        <w:rPr>
          <w:rFonts w:ascii="Times New Roman" w:hAnsi="Times New Roman"/>
          <w:color w:val="000000" w:themeColor="text1"/>
          <w:sz w:val="16"/>
          <w:szCs w:val="16"/>
        </w:rPr>
        <w:softHyphen/>
        <w:t>ключении от сообщала:</w:t>
      </w:r>
    </w:p>
    <w:p w14:paraId="68428E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«Форд-А» (Д-8, Д-12).</w:t>
      </w:r>
    </w:p>
    <w:p w14:paraId="5C62D3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Имеющиеся на машинах установки для ДТ расположе</w:t>
      </w:r>
      <w:r w:rsidRPr="007122AB">
        <w:rPr>
          <w:rFonts w:ascii="Times New Roman" w:hAnsi="Times New Roman"/>
          <w:color w:val="000000" w:themeColor="text1"/>
          <w:sz w:val="16"/>
          <w:szCs w:val="16"/>
        </w:rPr>
        <w:softHyphen/>
        <w:t>ны без учета возможности ведения из них огня. Установка пулемета у водителя вследствие невозможности приведе</w:t>
      </w:r>
      <w:r w:rsidRPr="007122AB">
        <w:rPr>
          <w:rFonts w:ascii="Times New Roman" w:hAnsi="Times New Roman"/>
          <w:color w:val="000000" w:themeColor="text1"/>
          <w:sz w:val="16"/>
          <w:szCs w:val="16"/>
        </w:rPr>
        <w:softHyphen/>
        <w:t>ния пулемета до горизонтального положения, так как голо</w:t>
      </w:r>
      <w:r w:rsidRPr="007122AB">
        <w:rPr>
          <w:rFonts w:ascii="Times New Roman" w:hAnsi="Times New Roman"/>
          <w:color w:val="000000" w:themeColor="text1"/>
          <w:sz w:val="16"/>
          <w:szCs w:val="16"/>
        </w:rPr>
        <w:softHyphen/>
        <w:t>ва стрелка упирается в крышу и отсутствие угла снижения допускает возможность ведения пулеметного огня только по высоким целям.</w:t>
      </w:r>
    </w:p>
    <w:p w14:paraId="565B4B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Стрельба из боковых установок также невозможна вви</w:t>
      </w:r>
      <w:r w:rsidRPr="007122AB">
        <w:rPr>
          <w:rFonts w:ascii="Times New Roman" w:hAnsi="Times New Roman"/>
          <w:color w:val="000000" w:themeColor="text1"/>
          <w:sz w:val="16"/>
          <w:szCs w:val="16"/>
        </w:rPr>
        <w:softHyphen/>
        <w:t>ду трудности приспособления стрелка к этим установкам. Если стрелять с левой установки, то мешает задняя стенка машины и спина водителя. При стрельбе из правой уста</w:t>
      </w:r>
      <w:r w:rsidRPr="007122AB">
        <w:rPr>
          <w:rFonts w:ascii="Times New Roman" w:hAnsi="Times New Roman"/>
          <w:color w:val="000000" w:themeColor="text1"/>
          <w:sz w:val="16"/>
          <w:szCs w:val="16"/>
        </w:rPr>
        <w:softHyphen/>
        <w:t>новки можно стрелять прямо перед собой. При этом стрел</w:t>
      </w:r>
      <w:r w:rsidRPr="007122AB">
        <w:rPr>
          <w:rFonts w:ascii="Times New Roman" w:hAnsi="Times New Roman"/>
          <w:color w:val="000000" w:themeColor="text1"/>
          <w:sz w:val="16"/>
          <w:szCs w:val="16"/>
        </w:rPr>
        <w:softHyphen/>
        <w:t>ку приходится втискиваться между водителем и задней стенкой корпуса. Сектора обстрела при стрельбе из правой и левой установок совершенно отсутствуют. Такое же поло</w:t>
      </w:r>
      <w:r w:rsidRPr="007122AB">
        <w:rPr>
          <w:rFonts w:ascii="Times New Roman" w:hAnsi="Times New Roman"/>
          <w:color w:val="000000" w:themeColor="text1"/>
          <w:sz w:val="16"/>
          <w:szCs w:val="16"/>
        </w:rPr>
        <w:softHyphen/>
        <w:t>жение и при стрельбе из задней установки, имеющей те же недостатки, что и бортовые.</w:t>
      </w:r>
    </w:p>
    <w:p w14:paraId="076E2C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турели на Д-12 не оправдывает своего на</w:t>
      </w:r>
      <w:r w:rsidRPr="007122AB">
        <w:rPr>
          <w:rFonts w:ascii="Times New Roman" w:hAnsi="Times New Roman"/>
          <w:color w:val="000000" w:themeColor="text1"/>
          <w:sz w:val="16"/>
          <w:szCs w:val="16"/>
        </w:rPr>
        <w:softHyphen/>
        <w:t>значения, так как она имеет недостаточный угол воз</w:t>
      </w:r>
      <w:r w:rsidRPr="007122AB">
        <w:rPr>
          <w:rFonts w:ascii="Times New Roman" w:hAnsi="Times New Roman"/>
          <w:color w:val="000000" w:themeColor="text1"/>
          <w:sz w:val="16"/>
          <w:szCs w:val="16"/>
        </w:rPr>
        <w:softHyphen/>
        <w:t>вышения и не защищает стрелка от поражения с возду</w:t>
      </w:r>
      <w:r w:rsidRPr="007122AB">
        <w:rPr>
          <w:rFonts w:ascii="Times New Roman" w:hAnsi="Times New Roman"/>
          <w:color w:val="000000" w:themeColor="text1"/>
          <w:sz w:val="16"/>
          <w:szCs w:val="16"/>
        </w:rPr>
        <w:softHyphen/>
        <w:t>ха (турель авиационного типа). Перестановка пулемета из одного гнезда в другое в бою на ходу совершенно не</w:t>
      </w:r>
      <w:r w:rsidRPr="007122AB">
        <w:rPr>
          <w:rFonts w:ascii="Times New Roman" w:hAnsi="Times New Roman"/>
          <w:color w:val="000000" w:themeColor="text1"/>
          <w:sz w:val="16"/>
          <w:szCs w:val="16"/>
        </w:rPr>
        <w:softHyphen/>
        <w:t>возможна, так как пулемет после стрельбы сильно пере</w:t>
      </w:r>
      <w:r w:rsidRPr="007122AB">
        <w:rPr>
          <w:rFonts w:ascii="Times New Roman" w:hAnsi="Times New Roman"/>
          <w:color w:val="000000" w:themeColor="text1"/>
          <w:sz w:val="16"/>
          <w:szCs w:val="16"/>
        </w:rPr>
        <w:softHyphen/>
        <w:t>гревается и взять его голыми руками совершенно невоз</w:t>
      </w:r>
      <w:r w:rsidRPr="007122AB">
        <w:rPr>
          <w:rFonts w:ascii="Times New Roman" w:hAnsi="Times New Roman"/>
          <w:color w:val="000000" w:themeColor="text1"/>
          <w:sz w:val="16"/>
          <w:szCs w:val="16"/>
        </w:rPr>
        <w:softHyphen/>
        <w:t>можно.</w:t>
      </w:r>
    </w:p>
    <w:p w14:paraId="28BF40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иметь не один, а 2—3 пулемета, установленных в имеющихся установках, то они делают совершенно невоз</w:t>
      </w:r>
      <w:r w:rsidRPr="007122AB">
        <w:rPr>
          <w:rFonts w:ascii="Times New Roman" w:hAnsi="Times New Roman"/>
          <w:color w:val="000000" w:themeColor="text1"/>
          <w:sz w:val="16"/>
          <w:szCs w:val="16"/>
        </w:rPr>
        <w:softHyphen/>
        <w:t>можным ведение огня из машины вследствие стесненности стрелка. Условия наблюдения для командира машины (он же стрелок) совершенно не отвечают тактическим требова</w:t>
      </w:r>
      <w:r w:rsidRPr="007122AB">
        <w:rPr>
          <w:rFonts w:ascii="Times New Roman" w:hAnsi="Times New Roman"/>
          <w:color w:val="000000" w:themeColor="text1"/>
          <w:sz w:val="16"/>
          <w:szCs w:val="16"/>
        </w:rPr>
        <w:softHyphen/>
        <w:t>ниям».</w:t>
      </w:r>
    </w:p>
    <w:p w14:paraId="4C0B90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 не менее, после небольших доработок эти бронеав</w:t>
      </w:r>
      <w:r w:rsidRPr="007122AB">
        <w:rPr>
          <w:rFonts w:ascii="Times New Roman" w:hAnsi="Times New Roman"/>
          <w:color w:val="000000" w:themeColor="text1"/>
          <w:sz w:val="16"/>
          <w:szCs w:val="16"/>
        </w:rPr>
        <w:softHyphen/>
        <w:t>томобили были рекомендованы для серийного производства — ведь ничего другого просто не было, а Красная Армия нуждалась в новой технике. Кроме того, конструктор ма</w:t>
      </w:r>
      <w:r w:rsidRPr="007122AB">
        <w:rPr>
          <w:rFonts w:ascii="Times New Roman" w:hAnsi="Times New Roman"/>
          <w:color w:val="000000" w:themeColor="text1"/>
          <w:sz w:val="16"/>
          <w:szCs w:val="16"/>
        </w:rPr>
        <w:softHyphen/>
        <w:t xml:space="preserve">шин Н.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всеми правдами и неправдами «протал</w:t>
      </w:r>
      <w:r w:rsidRPr="007122AB">
        <w:rPr>
          <w:rFonts w:ascii="Times New Roman" w:hAnsi="Times New Roman"/>
          <w:color w:val="000000" w:themeColor="text1"/>
          <w:sz w:val="16"/>
          <w:szCs w:val="16"/>
        </w:rPr>
        <w:softHyphen/>
        <w:t xml:space="preserve">кивал» свои конструкции, пользуясь хорошим </w:t>
      </w:r>
      <w:r w:rsidRPr="007122AB">
        <w:rPr>
          <w:rFonts w:ascii="Times New Roman" w:hAnsi="Times New Roman"/>
          <w:color w:val="000000" w:themeColor="text1"/>
          <w:sz w:val="16"/>
          <w:szCs w:val="16"/>
        </w:rPr>
        <w:lastRenderedPageBreak/>
        <w:t>к нему рас</w:t>
      </w:r>
      <w:r w:rsidRPr="007122AB">
        <w:rPr>
          <w:rFonts w:ascii="Times New Roman" w:hAnsi="Times New Roman"/>
          <w:color w:val="000000" w:themeColor="text1"/>
          <w:sz w:val="16"/>
          <w:szCs w:val="16"/>
        </w:rPr>
        <w:softHyphen/>
        <w:t>положением руководства УММ и Красной Армии. Правда, в самом начале серийного производства военные высказы</w:t>
      </w:r>
      <w:r w:rsidRPr="007122AB">
        <w:rPr>
          <w:rFonts w:ascii="Times New Roman" w:hAnsi="Times New Roman"/>
          <w:color w:val="000000" w:themeColor="text1"/>
          <w:sz w:val="16"/>
          <w:szCs w:val="16"/>
        </w:rPr>
        <w:softHyphen/>
        <w:t>вали ряд предложений об улучшении конструкции броне</w:t>
      </w:r>
      <w:r w:rsidRPr="007122AB">
        <w:rPr>
          <w:rFonts w:ascii="Times New Roman" w:hAnsi="Times New Roman"/>
          <w:color w:val="000000" w:themeColor="text1"/>
          <w:sz w:val="16"/>
          <w:szCs w:val="16"/>
        </w:rPr>
        <w:softHyphen/>
        <w:t>виков (11284).</w:t>
      </w:r>
    </w:p>
    <w:p w14:paraId="72B60A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AEC30" w14:textId="77777777" w:rsidR="00647D80" w:rsidRPr="007122AB" w:rsidRDefault="00647D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мая 1931 г. в помещении законсервированной махорочной Фабрики начало свою деятельность управление строительства завода СК-1, состоящее из 4-х человек. 14 июня 1931 г. в котлован, вырытый под здание печного цеха, лег первый кирпич (18298).</w:t>
      </w:r>
    </w:p>
    <w:p w14:paraId="3A03B931" w14:textId="77777777" w:rsidR="00647D80" w:rsidRPr="007122AB" w:rsidRDefault="00647D80" w:rsidP="007122AB">
      <w:pPr>
        <w:spacing w:after="0" w:line="240" w:lineRule="auto"/>
        <w:jc w:val="both"/>
        <w:rPr>
          <w:rFonts w:ascii="Times New Roman" w:hAnsi="Times New Roman"/>
          <w:color w:val="000000" w:themeColor="text1"/>
          <w:sz w:val="16"/>
          <w:szCs w:val="16"/>
        </w:rPr>
      </w:pPr>
    </w:p>
    <w:p w14:paraId="3BE458C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22EAB2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69B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мая 1931 швейцарцы </w:t>
      </w:r>
      <w:proofErr w:type="spellStart"/>
      <w:r w:rsidRPr="007122AB">
        <w:rPr>
          <w:rFonts w:ascii="Times New Roman" w:hAnsi="Times New Roman"/>
          <w:color w:val="000000" w:themeColor="text1"/>
          <w:sz w:val="16"/>
          <w:szCs w:val="16"/>
        </w:rPr>
        <w:t>О.Пикар</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П.Кипфер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Книпфер</w:t>
      </w:r>
      <w:proofErr w:type="spellEnd"/>
      <w:r w:rsidRPr="007122AB">
        <w:rPr>
          <w:rFonts w:ascii="Times New Roman" w:hAnsi="Times New Roman"/>
          <w:color w:val="000000" w:themeColor="text1"/>
          <w:sz w:val="16"/>
          <w:szCs w:val="16"/>
        </w:rPr>
        <w:t xml:space="preserve"> - 2100) совершили первый полет на стратостате в стратосферу и стартовав в </w:t>
      </w:r>
      <w:proofErr w:type="spellStart"/>
      <w:r w:rsidRPr="007122AB">
        <w:rPr>
          <w:rFonts w:ascii="Times New Roman" w:hAnsi="Times New Roman"/>
          <w:color w:val="000000" w:themeColor="text1"/>
          <w:sz w:val="16"/>
          <w:szCs w:val="16"/>
        </w:rPr>
        <w:t>Аусбурге</w:t>
      </w:r>
      <w:proofErr w:type="spellEnd"/>
      <w:r w:rsidRPr="007122AB">
        <w:rPr>
          <w:rFonts w:ascii="Times New Roman" w:hAnsi="Times New Roman"/>
          <w:color w:val="000000" w:themeColor="text1"/>
          <w:sz w:val="16"/>
          <w:szCs w:val="16"/>
        </w:rPr>
        <w:t xml:space="preserve"> (Германия) достигли высоты 15781 м (237,161).</w:t>
      </w:r>
    </w:p>
    <w:p w14:paraId="58D967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5C73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мая 1931 г. состоялся первый полет в стратосферу швейцарского физика </w:t>
      </w:r>
      <w:proofErr w:type="spellStart"/>
      <w:r w:rsidRPr="007122AB">
        <w:rPr>
          <w:rFonts w:ascii="Times New Roman" w:hAnsi="Times New Roman"/>
          <w:color w:val="000000" w:themeColor="text1"/>
          <w:sz w:val="16"/>
          <w:szCs w:val="16"/>
        </w:rPr>
        <w:t>О.Пиккара</w:t>
      </w:r>
      <w:proofErr w:type="spellEnd"/>
      <w:r w:rsidRPr="007122AB">
        <w:rPr>
          <w:rFonts w:ascii="Times New Roman" w:hAnsi="Times New Roman"/>
          <w:color w:val="000000" w:themeColor="text1"/>
          <w:sz w:val="16"/>
          <w:szCs w:val="16"/>
        </w:rPr>
        <w:t xml:space="preserve"> и конструктора стратостата </w:t>
      </w:r>
      <w:proofErr w:type="spellStart"/>
      <w:r w:rsidRPr="007122AB">
        <w:rPr>
          <w:rFonts w:ascii="Times New Roman" w:hAnsi="Times New Roman"/>
          <w:color w:val="000000" w:themeColor="text1"/>
          <w:sz w:val="16"/>
          <w:szCs w:val="16"/>
        </w:rPr>
        <w:t>Кипфера</w:t>
      </w:r>
      <w:proofErr w:type="spellEnd"/>
      <w:r w:rsidRPr="007122AB">
        <w:rPr>
          <w:rFonts w:ascii="Times New Roman" w:hAnsi="Times New Roman"/>
          <w:color w:val="000000" w:themeColor="text1"/>
          <w:sz w:val="16"/>
          <w:szCs w:val="16"/>
        </w:rPr>
        <w:t xml:space="preserve"> на высоту 15780 м - абсолютный мировой рекорд (6395).</w:t>
      </w:r>
    </w:p>
    <w:p w14:paraId="20C111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BB71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мая 1931 г. - Швейцарский физик Огюст Пиккар (</w:t>
      </w:r>
      <w:proofErr w:type="spellStart"/>
      <w:r w:rsidRPr="007122AB">
        <w:rPr>
          <w:rFonts w:ascii="Times New Roman" w:hAnsi="Times New Roman"/>
          <w:color w:val="000000" w:themeColor="text1"/>
          <w:sz w:val="16"/>
          <w:szCs w:val="16"/>
        </w:rPr>
        <w:t>Piccard</w:t>
      </w:r>
      <w:proofErr w:type="spellEnd"/>
      <w:r w:rsidRPr="007122AB">
        <w:rPr>
          <w:rFonts w:ascii="Times New Roman" w:hAnsi="Times New Roman"/>
          <w:color w:val="000000" w:themeColor="text1"/>
          <w:sz w:val="16"/>
          <w:szCs w:val="16"/>
        </w:rPr>
        <w:t xml:space="preserve">) (1884-1962) и его ассистент Пауль </w:t>
      </w:r>
      <w:proofErr w:type="spellStart"/>
      <w:r w:rsidRPr="007122AB">
        <w:rPr>
          <w:rFonts w:ascii="Times New Roman" w:hAnsi="Times New Roman"/>
          <w:color w:val="000000" w:themeColor="text1"/>
          <w:sz w:val="16"/>
          <w:szCs w:val="16"/>
        </w:rPr>
        <w:t>Кипфер</w:t>
      </w:r>
      <w:proofErr w:type="spellEnd"/>
      <w:r w:rsidRPr="007122AB">
        <w:rPr>
          <w:rFonts w:ascii="Times New Roman" w:hAnsi="Times New Roman"/>
          <w:color w:val="000000" w:themeColor="text1"/>
          <w:sz w:val="16"/>
          <w:szCs w:val="16"/>
        </w:rPr>
        <w:t xml:space="preserve"> впервые в мире осуществили подъем на стратостате в стратосферу (высота 15781 м) и пробыли в воздухе 16 часов. Финансировал работы Пиккара Бельгийский национальный фонд научных исследований (ФНРС). В знак признательности О. Пиккар назвал воздушный шар в его честь: ФНРС-1 (11013).</w:t>
      </w:r>
    </w:p>
    <w:p w14:paraId="17053E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2BA0F8"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27 мая</w:t>
      </w:r>
      <w:r w:rsidRPr="007122AB">
        <w:rPr>
          <w:rFonts w:ascii="Times New Roman" w:hAnsi="Times New Roman"/>
          <w:color w:val="000000" w:themeColor="text1"/>
          <w:sz w:val="16"/>
          <w:szCs w:val="16"/>
        </w:rPr>
        <w:t xml:space="preserve"> в 1931 году первый полет в стратосферу на стратостате </w:t>
      </w:r>
      <w:hyperlink r:id="rId106" w:tgtFrame="_blank" w:history="1">
        <w:r w:rsidRPr="007122AB">
          <w:rPr>
            <w:rFonts w:ascii="Times New Roman" w:hAnsi="Times New Roman"/>
            <w:color w:val="000000" w:themeColor="text1"/>
            <w:sz w:val="16"/>
            <w:szCs w:val="16"/>
          </w:rPr>
          <w:t xml:space="preserve">«FNRS» </w:t>
        </w:r>
      </w:hyperlink>
      <w:r w:rsidRPr="007122AB">
        <w:rPr>
          <w:rFonts w:ascii="Times New Roman" w:hAnsi="Times New Roman"/>
          <w:color w:val="000000" w:themeColor="text1"/>
          <w:sz w:val="16"/>
          <w:szCs w:val="16"/>
        </w:rPr>
        <w:t xml:space="preserve">швейцарского физика </w:t>
      </w:r>
      <w:proofErr w:type="spellStart"/>
      <w:r w:rsidRPr="007122AB">
        <w:rPr>
          <w:rFonts w:ascii="Times New Roman" w:hAnsi="Times New Roman"/>
          <w:color w:val="000000" w:themeColor="text1"/>
          <w:sz w:val="16"/>
          <w:szCs w:val="16"/>
        </w:rPr>
        <w:t>О.Пиккара</w:t>
      </w:r>
      <w:proofErr w:type="spellEnd"/>
      <w:r w:rsidRPr="007122AB">
        <w:rPr>
          <w:rFonts w:ascii="Times New Roman" w:hAnsi="Times New Roman"/>
          <w:color w:val="000000" w:themeColor="text1"/>
          <w:sz w:val="16"/>
          <w:szCs w:val="16"/>
        </w:rPr>
        <w:t xml:space="preserve"> и конструктора стратостата </w:t>
      </w:r>
      <w:proofErr w:type="spellStart"/>
      <w:r w:rsidRPr="007122AB">
        <w:rPr>
          <w:rFonts w:ascii="Times New Roman" w:hAnsi="Times New Roman"/>
          <w:color w:val="000000" w:themeColor="text1"/>
          <w:sz w:val="16"/>
          <w:szCs w:val="16"/>
        </w:rPr>
        <w:t>И.Кипфера</w:t>
      </w:r>
      <w:proofErr w:type="spellEnd"/>
      <w:r w:rsidRPr="007122AB">
        <w:rPr>
          <w:rFonts w:ascii="Times New Roman" w:hAnsi="Times New Roman"/>
          <w:color w:val="000000" w:themeColor="text1"/>
          <w:sz w:val="16"/>
          <w:szCs w:val="16"/>
        </w:rPr>
        <w:t xml:space="preserve"> на высоту 15787 м - абсолютный мировой рекорд. Стратостат был с водородным наполнением и алюминиевой герметичной гондолой. Это был первый в истории человечества полет в стратосферу (14904).</w:t>
      </w:r>
    </w:p>
    <w:p w14:paraId="07CB0ECF" w14:textId="77777777" w:rsidR="005C1E16" w:rsidRPr="007122AB" w:rsidRDefault="005C1E16" w:rsidP="007122AB">
      <w:pPr>
        <w:spacing w:after="0" w:line="240" w:lineRule="auto"/>
        <w:jc w:val="both"/>
        <w:rPr>
          <w:rFonts w:ascii="Times New Roman" w:hAnsi="Times New Roman"/>
          <w:color w:val="000000" w:themeColor="text1"/>
          <w:sz w:val="16"/>
          <w:szCs w:val="16"/>
        </w:rPr>
      </w:pPr>
    </w:p>
    <w:p w14:paraId="1403BDF8" w14:textId="77777777" w:rsidR="00647D80" w:rsidRPr="007122AB" w:rsidRDefault="00647D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27 мая 1931 года Пиккар и </w:t>
      </w:r>
      <w:proofErr w:type="spellStart"/>
      <w:r w:rsidRPr="007122AB">
        <w:rPr>
          <w:rFonts w:ascii="Times New Roman" w:hAnsi="Times New Roman"/>
          <w:color w:val="000000" w:themeColor="text1"/>
          <w:sz w:val="16"/>
          <w:szCs w:val="16"/>
          <w:shd w:val="clear" w:color="auto" w:fill="FFFFFF"/>
        </w:rPr>
        <w:t>Кипфер</w:t>
      </w:r>
      <w:proofErr w:type="spellEnd"/>
      <w:r w:rsidRPr="007122AB">
        <w:rPr>
          <w:rFonts w:ascii="Times New Roman" w:hAnsi="Times New Roman"/>
          <w:color w:val="000000" w:themeColor="text1"/>
          <w:sz w:val="16"/>
          <w:szCs w:val="16"/>
          <w:shd w:val="clear" w:color="auto" w:fill="FFFFFF"/>
        </w:rPr>
        <w:t xml:space="preserve"> в герметической гондоле благополучно достигли высоты 15 871 м (19611).</w:t>
      </w:r>
    </w:p>
    <w:p w14:paraId="6E9B915B" w14:textId="77777777" w:rsidR="00647D80" w:rsidRPr="007122AB" w:rsidRDefault="00647D80" w:rsidP="007122AB">
      <w:pPr>
        <w:spacing w:after="0" w:line="240" w:lineRule="auto"/>
        <w:jc w:val="both"/>
        <w:rPr>
          <w:rFonts w:ascii="Times New Roman" w:hAnsi="Times New Roman"/>
          <w:color w:val="000000" w:themeColor="text1"/>
          <w:sz w:val="16"/>
          <w:szCs w:val="16"/>
        </w:rPr>
      </w:pPr>
    </w:p>
    <w:p w14:paraId="61244E16" w14:textId="77777777" w:rsidR="00647D80" w:rsidRPr="007122AB" w:rsidRDefault="00647D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27 мая 1931 года, бельгийский экипаж в составе </w:t>
      </w:r>
      <w:proofErr w:type="spellStart"/>
      <w:r w:rsidRPr="007122AB">
        <w:rPr>
          <w:rFonts w:ascii="Times New Roman" w:hAnsi="Times New Roman"/>
          <w:color w:val="000000" w:themeColor="text1"/>
          <w:sz w:val="16"/>
          <w:szCs w:val="16"/>
          <w:shd w:val="clear" w:color="auto" w:fill="FFFFFF"/>
        </w:rPr>
        <w:t>О.Пикара</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П.Кипфера</w:t>
      </w:r>
      <w:proofErr w:type="spellEnd"/>
      <w:r w:rsidRPr="007122AB">
        <w:rPr>
          <w:rFonts w:ascii="Times New Roman" w:hAnsi="Times New Roman"/>
          <w:color w:val="000000" w:themeColor="text1"/>
          <w:sz w:val="16"/>
          <w:szCs w:val="16"/>
          <w:shd w:val="clear" w:color="auto" w:fill="FFFFFF"/>
        </w:rPr>
        <w:t xml:space="preserve"> впервые достиг стратосферы. Покоренная стратонавтами высота оказалась рекордной — она составила 15781 м. </w:t>
      </w:r>
      <w:r w:rsidRPr="007122AB">
        <w:rPr>
          <w:rFonts w:ascii="Times New Roman" w:hAnsi="Times New Roman"/>
          <w:color w:val="000000" w:themeColor="text1"/>
          <w:sz w:val="16"/>
          <w:szCs w:val="16"/>
        </w:rPr>
        <w:t>Первый высотный полет Огюста Пикара в 1931 году на высоту 15781 м проходил в труднейших условиях — наблюдалась деформация гондолы, произошел обрыв управления, одним словом, экипаж чудом остался жив. Следующий полет бельгийца 18 августа 1932 года закончился аварией. В 1934 году Пикар построил стратостат с объемом оболочки 112000 м3, на котором надеялся достичь высоты 30 км. Известно, что 23 ноября 1934 года на этом стратостате поднимался брат профессора Жак Пикар, который добраться до желаемых 30 км не смог, достигнув высоты 17672 м.</w:t>
      </w:r>
      <w:r w:rsidRPr="007122AB">
        <w:rPr>
          <w:rFonts w:ascii="Times New Roman" w:hAnsi="Times New Roman"/>
          <w:color w:val="000000" w:themeColor="text1"/>
          <w:sz w:val="16"/>
          <w:szCs w:val="16"/>
          <w:shd w:val="clear" w:color="auto" w:fill="FFFFFF"/>
        </w:rPr>
        <w:t xml:space="preserve"> (19614).</w:t>
      </w:r>
    </w:p>
    <w:p w14:paraId="48D48FE9" w14:textId="77777777" w:rsidR="00647D80" w:rsidRPr="007122AB" w:rsidRDefault="00647D80" w:rsidP="007122AB">
      <w:pPr>
        <w:spacing w:after="0" w:line="240" w:lineRule="auto"/>
        <w:jc w:val="both"/>
        <w:rPr>
          <w:rFonts w:ascii="Times New Roman" w:hAnsi="Times New Roman"/>
          <w:color w:val="000000" w:themeColor="text1"/>
          <w:sz w:val="16"/>
          <w:szCs w:val="16"/>
        </w:rPr>
      </w:pPr>
    </w:p>
    <w:p w14:paraId="6F73762A"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мая 1931 г. Пиккар и </w:t>
      </w:r>
      <w:proofErr w:type="spellStart"/>
      <w:r w:rsidRPr="007122AB">
        <w:rPr>
          <w:rFonts w:ascii="Times New Roman" w:hAnsi="Times New Roman"/>
          <w:color w:val="000000" w:themeColor="text1"/>
          <w:sz w:val="16"/>
          <w:szCs w:val="16"/>
        </w:rPr>
        <w:t>Кипфер</w:t>
      </w:r>
      <w:proofErr w:type="spellEnd"/>
      <w:r w:rsidRPr="007122AB">
        <w:rPr>
          <w:rFonts w:ascii="Times New Roman" w:hAnsi="Times New Roman"/>
          <w:color w:val="000000" w:themeColor="text1"/>
          <w:sz w:val="16"/>
          <w:szCs w:val="16"/>
        </w:rPr>
        <w:t xml:space="preserve"> стартовали из Аугсбурга. Полёт сопровождался рядом непо</w:t>
      </w:r>
      <w:r w:rsidRPr="007122AB">
        <w:rPr>
          <w:rFonts w:ascii="Times New Roman" w:hAnsi="Times New Roman"/>
          <w:color w:val="000000" w:themeColor="text1"/>
          <w:sz w:val="16"/>
          <w:szCs w:val="16"/>
        </w:rPr>
        <w:softHyphen/>
        <w:t>ладок (утечка воздуха из гондолы, обрыв клапан</w:t>
      </w:r>
      <w:r w:rsidRPr="007122AB">
        <w:rPr>
          <w:rFonts w:ascii="Times New Roman" w:hAnsi="Times New Roman"/>
          <w:color w:val="000000" w:themeColor="text1"/>
          <w:sz w:val="16"/>
          <w:szCs w:val="16"/>
        </w:rPr>
        <w:softHyphen/>
        <w:t>ной верёвки, поломка электромотора пропелле</w:t>
      </w:r>
      <w:r w:rsidRPr="007122AB">
        <w:rPr>
          <w:rFonts w:ascii="Times New Roman" w:hAnsi="Times New Roman"/>
          <w:color w:val="000000" w:themeColor="text1"/>
          <w:sz w:val="16"/>
          <w:szCs w:val="16"/>
        </w:rPr>
        <w:softHyphen/>
        <w:t>ра и ряда приборов и т. д.), но всё же позволил установить, что ионизация на высоте 16 000 м в 2,5 раза больше, чем на высоте 9000 м. «FNRS» достиг рекордной высоты 15 781 м (по барогра</w:t>
      </w:r>
      <w:r w:rsidRPr="007122AB">
        <w:rPr>
          <w:rFonts w:ascii="Times New Roman" w:hAnsi="Times New Roman"/>
          <w:color w:val="000000" w:themeColor="text1"/>
          <w:sz w:val="16"/>
          <w:szCs w:val="16"/>
        </w:rPr>
        <w:softHyphen/>
        <w:t>фу). Из-за обрыва клапанной верёвки учёные на</w:t>
      </w:r>
      <w:r w:rsidRPr="007122AB">
        <w:rPr>
          <w:rFonts w:ascii="Times New Roman" w:hAnsi="Times New Roman"/>
          <w:color w:val="000000" w:themeColor="text1"/>
          <w:sz w:val="16"/>
          <w:szCs w:val="16"/>
        </w:rPr>
        <w:softHyphen/>
        <w:t>ходились в стратосфере до захода солнца, когда стратостат начал спуск вследствие охлаждения газа в оболочке. После 17 часов полёта «FNRS» благополучно спустился в итальянском Тироле.</w:t>
      </w:r>
    </w:p>
    <w:p w14:paraId="3B891B99"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Стратостат Пиккара «FNRS», названный в честь Бельгийского национального фонда для научных исследований (</w:t>
      </w:r>
      <w:proofErr w:type="spellStart"/>
      <w:r w:rsidRPr="007122AB">
        <w:rPr>
          <w:rFonts w:ascii="Times New Roman" w:hAnsi="Times New Roman"/>
          <w:color w:val="000000" w:themeColor="text1"/>
          <w:sz w:val="16"/>
          <w:szCs w:val="16"/>
        </w:rPr>
        <w:t>Fonds</w:t>
      </w:r>
      <w:proofErr w:type="spellEnd"/>
      <w:r w:rsidRPr="007122AB">
        <w:rPr>
          <w:rFonts w:ascii="Times New Roman" w:hAnsi="Times New Roman"/>
          <w:color w:val="000000" w:themeColor="text1"/>
          <w:sz w:val="16"/>
          <w:szCs w:val="16"/>
        </w:rPr>
        <w:t xml:space="preserve"> Nationale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Recherche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Scientifique</w:t>
      </w:r>
      <w:proofErr w:type="spellEnd"/>
      <w:r w:rsidRPr="007122AB">
        <w:rPr>
          <w:rFonts w:ascii="Times New Roman" w:hAnsi="Times New Roman"/>
          <w:color w:val="000000" w:themeColor="text1"/>
          <w:sz w:val="16"/>
          <w:szCs w:val="16"/>
        </w:rPr>
        <w:t>), выдавшего учёному кредит на исследования, имел оболочку объё</w:t>
      </w:r>
      <w:r w:rsidRPr="007122AB">
        <w:rPr>
          <w:rFonts w:ascii="Times New Roman" w:hAnsi="Times New Roman"/>
          <w:color w:val="000000" w:themeColor="text1"/>
          <w:sz w:val="16"/>
          <w:szCs w:val="16"/>
        </w:rPr>
        <w:softHyphen/>
        <w:t>мом 14 130 м3 и алюминиевую гондолу диа</w:t>
      </w:r>
      <w:r w:rsidRPr="007122AB">
        <w:rPr>
          <w:rFonts w:ascii="Times New Roman" w:hAnsi="Times New Roman"/>
          <w:color w:val="000000" w:themeColor="text1"/>
          <w:sz w:val="16"/>
          <w:szCs w:val="16"/>
        </w:rPr>
        <w:softHyphen/>
        <w:t>метром 2,1 м с толщиной стенок 3,5 мм. Одну сторону гондолы выкрасили в чёрный цвет, а другую — оставили блестящей. Пропеллер с электромотором позволял поворачивать гон</w:t>
      </w:r>
      <w:r w:rsidRPr="007122AB">
        <w:rPr>
          <w:rFonts w:ascii="Times New Roman" w:hAnsi="Times New Roman"/>
          <w:color w:val="000000" w:themeColor="text1"/>
          <w:sz w:val="16"/>
          <w:szCs w:val="16"/>
        </w:rPr>
        <w:softHyphen/>
        <w:t>долу той или иной стороной к солнцу для по</w:t>
      </w:r>
      <w:r w:rsidRPr="007122AB">
        <w:rPr>
          <w:rFonts w:ascii="Times New Roman" w:hAnsi="Times New Roman"/>
          <w:color w:val="000000" w:themeColor="text1"/>
          <w:sz w:val="16"/>
          <w:szCs w:val="16"/>
        </w:rPr>
        <w:softHyphen/>
        <w:t>вышения или понижения температуры внутри неё. К стропам, прикреплённым к подвесному обручу, подвешивался парашют диаметром 4 м, который препятствовал переворачиванию гондолы при падении и, тормозя его, позволял стратонавтам воспользоваться индивидуаль</w:t>
      </w:r>
      <w:r w:rsidRPr="007122AB">
        <w:rPr>
          <w:rFonts w:ascii="Times New Roman" w:hAnsi="Times New Roman"/>
          <w:color w:val="000000" w:themeColor="text1"/>
          <w:sz w:val="16"/>
          <w:szCs w:val="16"/>
        </w:rPr>
        <w:softHyphen/>
        <w:t>ными парашютами (20120).</w:t>
      </w:r>
    </w:p>
    <w:p w14:paraId="15F49D9E"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644F727D" w14:textId="1F039E02"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мая 1931 </w:t>
      </w:r>
      <w:proofErr w:type="spellStart"/>
      <w:r w:rsidRPr="007122AB">
        <w:rPr>
          <w:rFonts w:ascii="Times New Roman" w:hAnsi="Times New Roman"/>
          <w:color w:val="000000" w:themeColor="text1"/>
          <w:sz w:val="16"/>
          <w:szCs w:val="16"/>
        </w:rPr>
        <w:t>выдлетев</w:t>
      </w:r>
      <w:proofErr w:type="spellEnd"/>
      <w:r w:rsidRPr="007122AB">
        <w:rPr>
          <w:rFonts w:ascii="Times New Roman" w:hAnsi="Times New Roman"/>
          <w:color w:val="000000" w:themeColor="text1"/>
          <w:sz w:val="16"/>
          <w:szCs w:val="16"/>
        </w:rPr>
        <w:t xml:space="preserve"> из Аугсбурга, Германия, швейцарский профессор Огюст Пикар и его помощник Пол </w:t>
      </w:r>
      <w:proofErr w:type="spellStart"/>
      <w:r w:rsidRPr="007122AB">
        <w:rPr>
          <w:rFonts w:ascii="Times New Roman" w:hAnsi="Times New Roman"/>
          <w:color w:val="000000" w:themeColor="text1"/>
          <w:sz w:val="16"/>
          <w:szCs w:val="16"/>
        </w:rPr>
        <w:t>Кипфер</w:t>
      </w:r>
      <w:proofErr w:type="spellEnd"/>
      <w:r w:rsidRPr="007122AB">
        <w:rPr>
          <w:rFonts w:ascii="Times New Roman" w:hAnsi="Times New Roman"/>
          <w:color w:val="000000" w:themeColor="text1"/>
          <w:sz w:val="16"/>
          <w:szCs w:val="16"/>
        </w:rPr>
        <w:t xml:space="preserve"> поднимаются на воздушном шаре на высоту 15 781 метр (51 774 фута), устанавливая новый мировой рекорд высоты полета человека и собирая существенные данные о верхних слоях атмосферы. и космические лучи перед посадкой на ледник в Австрии (20804).</w:t>
      </w:r>
    </w:p>
    <w:p w14:paraId="56E8192C"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211A9F2D"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мая 1931 - Запуск в эксплуатацию полномасштабной аэродинамической трубы Национального консультативного комитета по аэронавтике (NACA) лаборатории в Лэнгли Филд, штат Вирджиния (22488).</w:t>
      </w:r>
    </w:p>
    <w:p w14:paraId="1559544C"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1DA1C96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2B7E2C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850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мая 1931 состоялось заседание рабочей п/комиссии (по заданию СНК) под председательством начальника ВВС Баранова:</w:t>
      </w:r>
    </w:p>
    <w:p w14:paraId="61219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Повестка дня:</w:t>
      </w:r>
    </w:p>
    <w:p w14:paraId="5FD710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Вопросы кап. строительства существующих и вновь строящихся самолетостроительных и вспомогательных заводов.</w:t>
      </w:r>
    </w:p>
    <w:p w14:paraId="58925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Программа заказов 1931 г. по ВВС и ВОГВФ.</w:t>
      </w:r>
    </w:p>
    <w:p w14:paraId="017E1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Опытное строительство. (3065,13-17).</w:t>
      </w:r>
    </w:p>
    <w:p w14:paraId="5D75E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6653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мая 1931 СТО принял решение об изменении профиля ЦАГИ и из его компетенции изымались практические работы по созданию самолетов и моторов. ЦАГИ должен был превратиться в НИ и экспериментальный институт, основной задачей которого стало обеспечение авиации проверенными теоретическими данными, позволяющими КБ и заводам создавать и производить опыт технически совершенных аппаратов (66,148).</w:t>
      </w:r>
    </w:p>
    <w:p w14:paraId="408E7D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6A2561" w14:textId="77777777" w:rsidR="001209D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428C05F" w14:textId="77777777" w:rsidR="001209D1" w:rsidRPr="007122AB" w:rsidRDefault="001209D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68D6F3"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мая 1931 г. в письме заместителя начальника </w:t>
      </w:r>
      <w:proofErr w:type="spellStart"/>
      <w:r w:rsidRPr="007122AB">
        <w:rPr>
          <w:rFonts w:ascii="Times New Roman" w:hAnsi="Times New Roman"/>
          <w:color w:val="000000" w:themeColor="text1"/>
          <w:sz w:val="16"/>
          <w:szCs w:val="16"/>
        </w:rPr>
        <w:t>Артуправления</w:t>
      </w:r>
      <w:proofErr w:type="spellEnd"/>
      <w:r w:rsidRPr="007122AB">
        <w:rPr>
          <w:rFonts w:ascii="Times New Roman" w:hAnsi="Times New Roman"/>
          <w:color w:val="000000" w:themeColor="text1"/>
          <w:sz w:val="16"/>
          <w:szCs w:val="16"/>
        </w:rPr>
        <w:t xml:space="preserve"> Роговского говорилось:</w:t>
      </w:r>
    </w:p>
    <w:p w14:paraId="530B0B55"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Ильин Н.Я. назначен распоряжением зампреда РВС СССР т. Уборевичем - уполномоченным представителя </w:t>
      </w:r>
      <w:proofErr w:type="spellStart"/>
      <w:r w:rsidRPr="007122AB">
        <w:rPr>
          <w:rFonts w:ascii="Times New Roman" w:hAnsi="Times New Roman"/>
          <w:color w:val="000000" w:themeColor="text1"/>
          <w:sz w:val="16"/>
          <w:szCs w:val="16"/>
        </w:rPr>
        <w:t>нач</w:t>
      </w:r>
      <w:proofErr w:type="spellEnd"/>
      <w:r w:rsidRPr="007122AB">
        <w:rPr>
          <w:rFonts w:ascii="Times New Roman" w:hAnsi="Times New Roman"/>
          <w:color w:val="000000" w:themeColor="text1"/>
          <w:sz w:val="16"/>
          <w:szCs w:val="16"/>
        </w:rPr>
        <w:t>-ка Вооружений РККА для наблюдения за ходом работ по внедрению в производство новых артиллерийских систем, изготавливаемых на з-</w:t>
      </w:r>
      <w:proofErr w:type="spellStart"/>
      <w:r w:rsidRPr="007122AB">
        <w:rPr>
          <w:rFonts w:ascii="Times New Roman" w:hAnsi="Times New Roman"/>
          <w:color w:val="000000" w:themeColor="text1"/>
          <w:sz w:val="16"/>
          <w:szCs w:val="16"/>
        </w:rPr>
        <w:t>дах</w:t>
      </w:r>
      <w:proofErr w:type="spellEnd"/>
      <w:r w:rsidRPr="007122AB">
        <w:rPr>
          <w:rFonts w:ascii="Times New Roman" w:hAnsi="Times New Roman"/>
          <w:color w:val="000000" w:themeColor="text1"/>
          <w:sz w:val="16"/>
          <w:szCs w:val="16"/>
        </w:rPr>
        <w:t xml:space="preserve"> Ленинградской области «Большевик», «Красный Путиловец», з-д № 7 и на заводах, изготавливающих снаряды.</w:t>
      </w:r>
    </w:p>
    <w:p w14:paraId="69BE9AA9"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силу этого предлагаю оказывать Ильину Н.Я. всяческое содействие и помощь в случае его обращения в АНИИ за выяснением или уточнением каких-либо вопросов по конструкции артсистем, снарядов и др. вопросов.</w:t>
      </w:r>
    </w:p>
    <w:p w14:paraId="50403CFB"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 Ильин Н.Я. подчинен </w:t>
      </w:r>
      <w:proofErr w:type="spellStart"/>
      <w:r w:rsidRPr="007122AB">
        <w:rPr>
          <w:rFonts w:ascii="Times New Roman" w:hAnsi="Times New Roman"/>
          <w:color w:val="000000" w:themeColor="text1"/>
          <w:sz w:val="16"/>
          <w:szCs w:val="16"/>
        </w:rPr>
        <w:t>нач</w:t>
      </w:r>
      <w:proofErr w:type="spellEnd"/>
      <w:r w:rsidRPr="007122AB">
        <w:rPr>
          <w:rFonts w:ascii="Times New Roman" w:hAnsi="Times New Roman"/>
          <w:color w:val="000000" w:themeColor="text1"/>
          <w:sz w:val="16"/>
          <w:szCs w:val="16"/>
        </w:rPr>
        <w:t xml:space="preserve">-ку Вооружений РККА и </w:t>
      </w:r>
      <w:proofErr w:type="spellStart"/>
      <w:r w:rsidRPr="007122AB">
        <w:rPr>
          <w:rFonts w:ascii="Times New Roman" w:hAnsi="Times New Roman"/>
          <w:color w:val="000000" w:themeColor="text1"/>
          <w:sz w:val="16"/>
          <w:szCs w:val="16"/>
        </w:rPr>
        <w:t>нач</w:t>
      </w:r>
      <w:proofErr w:type="spellEnd"/>
      <w:r w:rsidRPr="007122AB">
        <w:rPr>
          <w:rFonts w:ascii="Times New Roman" w:hAnsi="Times New Roman"/>
          <w:color w:val="000000" w:themeColor="text1"/>
          <w:sz w:val="16"/>
          <w:szCs w:val="16"/>
        </w:rPr>
        <w:t>-ку АУРККА…»</w:t>
      </w:r>
    </w:p>
    <w:p w14:paraId="4B703F20"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Положения об уполномоченном на него возлагалось:</w:t>
      </w:r>
    </w:p>
    <w:p w14:paraId="2C329594"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общее наблюдение за реализацией в назначенные сроки военных изобретений и научно-исследовательских работ, проводимых ленинградскими научно-исследовательскими институтами, лабораториями, конструкторскими бюро и экспериментальными мастерскими, как военных, так и граждан, работавших на оборону;</w:t>
      </w:r>
    </w:p>
    <w:p w14:paraId="2BA11846"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участие в заводских и полигонных испытаниях опытных образцов…»</w:t>
      </w:r>
    </w:p>
    <w:p w14:paraId="5E2CF02C"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Подчиняясь начальнику Вооружений РККА, уполномоченный выполнял и распоряжения начальника Отдела военных изобретений (12702).</w:t>
      </w:r>
    </w:p>
    <w:p w14:paraId="7D06B168" w14:textId="77777777" w:rsidR="001209D1" w:rsidRPr="007122AB" w:rsidRDefault="001209D1" w:rsidP="007122AB">
      <w:pPr>
        <w:spacing w:after="0" w:line="240" w:lineRule="auto"/>
        <w:jc w:val="both"/>
        <w:rPr>
          <w:rFonts w:ascii="Times New Roman" w:hAnsi="Times New Roman"/>
          <w:color w:val="000000" w:themeColor="text1"/>
          <w:sz w:val="16"/>
          <w:szCs w:val="16"/>
        </w:rPr>
      </w:pPr>
    </w:p>
    <w:p w14:paraId="04D0D26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A256BF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7B0837"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мая 1931 Уолтер Э. Лиз и Фредерик </w:t>
      </w:r>
      <w:proofErr w:type="spellStart"/>
      <w:r w:rsidRPr="007122AB">
        <w:rPr>
          <w:rFonts w:ascii="Times New Roman" w:hAnsi="Times New Roman"/>
          <w:color w:val="000000" w:themeColor="text1"/>
          <w:sz w:val="16"/>
          <w:szCs w:val="16"/>
        </w:rPr>
        <w:t>Бросси</w:t>
      </w:r>
      <w:proofErr w:type="spellEnd"/>
      <w:r w:rsidRPr="007122AB">
        <w:rPr>
          <w:rFonts w:ascii="Times New Roman" w:hAnsi="Times New Roman"/>
          <w:color w:val="000000" w:themeColor="text1"/>
          <w:sz w:val="16"/>
          <w:szCs w:val="16"/>
        </w:rPr>
        <w:t xml:space="preserve"> установили новый рекорд выносливости для полета без дозаправки, приземлившись на дизельном самолете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J2 в Джексонвилл-Бич, Флорида после непрерывного пребывания в воздухе в течение 84 часов 32 минут. Рекорд продержится до июля 1986 года (20804).</w:t>
      </w:r>
    </w:p>
    <w:p w14:paraId="44F6DF73"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4DE724D5"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мая 1931 -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CH-200, оснащенный дизельным двигателем Packard DR-980, пилотируемый Уолтером Эдвином Лисом и Фредериком </w:t>
      </w:r>
      <w:proofErr w:type="spellStart"/>
      <w:r w:rsidRPr="007122AB">
        <w:rPr>
          <w:rFonts w:ascii="Times New Roman" w:hAnsi="Times New Roman"/>
          <w:color w:val="000000" w:themeColor="text1"/>
          <w:sz w:val="16"/>
          <w:szCs w:val="16"/>
        </w:rPr>
        <w:t>Бросси</w:t>
      </w:r>
      <w:proofErr w:type="spellEnd"/>
      <w:r w:rsidRPr="007122AB">
        <w:rPr>
          <w:rFonts w:ascii="Times New Roman" w:hAnsi="Times New Roman"/>
          <w:color w:val="000000" w:themeColor="text1"/>
          <w:sz w:val="16"/>
          <w:szCs w:val="16"/>
        </w:rPr>
        <w:t>, установил рекорд пребывания в воздухе 84 часа 32 минуты без дозаправки. Побив предыдущий рекорд на 9 часов 10 минут. Всего было заправлено 1820 л (481 галлон) топлива, но не известно, сколько топлива осталось в конце полета. Этот рекорд был побит только 55 лет спустя, во время кругосветного полёта "Рутан Вояджер" (22487).</w:t>
      </w:r>
    </w:p>
    <w:p w14:paraId="377CD8FE"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4B9D6B67" w14:textId="77777777" w:rsidR="00C450B6" w:rsidRPr="007122AB" w:rsidRDefault="00C450B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мая 1931 Джон М. Миллер на автожире Питкэрн PCA-2 </w:t>
      </w:r>
      <w:proofErr w:type="spellStart"/>
      <w:r w:rsidRPr="007122AB">
        <w:rPr>
          <w:rFonts w:ascii="Times New Roman" w:hAnsi="Times New Roman"/>
          <w:color w:val="000000" w:themeColor="text1"/>
          <w:sz w:val="16"/>
          <w:szCs w:val="16"/>
        </w:rPr>
        <w:t>Missing</w:t>
      </w:r>
      <w:proofErr w:type="spellEnd"/>
      <w:r w:rsidRPr="007122AB">
        <w:rPr>
          <w:rFonts w:ascii="Times New Roman" w:hAnsi="Times New Roman"/>
          <w:color w:val="000000" w:themeColor="text1"/>
          <w:sz w:val="16"/>
          <w:szCs w:val="16"/>
        </w:rPr>
        <w:t xml:space="preserve"> Link завершает первый полет через США на винтокрылых летательных аппаратах (20804).</w:t>
      </w:r>
    </w:p>
    <w:p w14:paraId="712E342B" w14:textId="77777777" w:rsidR="00C450B6" w:rsidRPr="007122AB" w:rsidRDefault="00C450B6" w:rsidP="007122AB">
      <w:pPr>
        <w:spacing w:after="0" w:line="240" w:lineRule="auto"/>
        <w:jc w:val="both"/>
        <w:rPr>
          <w:rFonts w:ascii="Times New Roman" w:hAnsi="Times New Roman"/>
          <w:color w:val="000000" w:themeColor="text1"/>
          <w:sz w:val="16"/>
          <w:szCs w:val="16"/>
        </w:rPr>
      </w:pPr>
    </w:p>
    <w:p w14:paraId="68AB26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28 мая 1931 в Китае члены оппозиции в рядах Гоминдана сформировали в </w:t>
      </w:r>
      <w:proofErr w:type="spellStart"/>
      <w:r w:rsidRPr="007122AB">
        <w:rPr>
          <w:rFonts w:ascii="Times New Roman" w:hAnsi="Times New Roman"/>
          <w:color w:val="000000" w:themeColor="text1"/>
          <w:sz w:val="16"/>
          <w:szCs w:val="16"/>
        </w:rPr>
        <w:t>Гуаньчжоу</w:t>
      </w:r>
      <w:proofErr w:type="spellEnd"/>
      <w:r w:rsidRPr="007122AB">
        <w:rPr>
          <w:rFonts w:ascii="Times New Roman" w:hAnsi="Times New Roman"/>
          <w:color w:val="000000" w:themeColor="text1"/>
          <w:sz w:val="16"/>
          <w:szCs w:val="16"/>
        </w:rPr>
        <w:t xml:space="preserve"> еще одно правительство (3907,167).</w:t>
      </w:r>
    </w:p>
    <w:p w14:paraId="08F621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6FB64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9B114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749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мая 1931 состоялось заседание рабочей п/комиссии (по заданию СНК) под председательством начальника ВВС Баранова от 30.05.1931 г.</w:t>
      </w:r>
    </w:p>
    <w:p w14:paraId="38BFC8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Повестка дня:</w:t>
      </w:r>
    </w:p>
    <w:p w14:paraId="30771D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Продолжение проработки вопросов по заданию зампреда СНК от 25.05.31 г.</w:t>
      </w:r>
    </w:p>
    <w:p w14:paraId="64B11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Программа заказов 1931 г. по ВВС и ВОГВФ.</w:t>
      </w:r>
    </w:p>
    <w:p w14:paraId="77C95A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Рассмотрение вопросов по заводам ремонтными и подсобными - специального производства (3065,4-7).</w:t>
      </w:r>
    </w:p>
    <w:p w14:paraId="02ACD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6783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30 мая 1931 Все самолеты десантного отряда были переоборудованы в десантные и 1 июня доложили РВС о готовности к войсковым экспериментам - иногда считают днем ВДВ.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оказался менее восторженным и более скептическим, чем П.И.Б. (1101,91).</w:t>
      </w:r>
    </w:p>
    <w:p w14:paraId="0D2CCE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F9C3F0" w14:textId="77777777" w:rsidR="00647D80" w:rsidRPr="007122AB" w:rsidRDefault="00647D8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ADE88B5" w14:textId="77777777" w:rsidR="00647D80" w:rsidRPr="007122AB" w:rsidRDefault="00647D8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2F5C46" w14:textId="77777777" w:rsidR="00647D80" w:rsidRPr="007122AB" w:rsidRDefault="00647D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мая 1931 г. руководитель МГЖД </w:t>
      </w:r>
      <w:proofErr w:type="spellStart"/>
      <w:r w:rsidRPr="007122AB">
        <w:rPr>
          <w:rFonts w:ascii="Times New Roman" w:hAnsi="Times New Roman"/>
          <w:color w:val="000000" w:themeColor="text1"/>
          <w:sz w:val="16"/>
          <w:szCs w:val="16"/>
        </w:rPr>
        <w:t>Генде</w:t>
      </w:r>
      <w:proofErr w:type="spellEnd"/>
      <w:r w:rsidRPr="007122AB">
        <w:rPr>
          <w:rFonts w:ascii="Times New Roman" w:hAnsi="Times New Roman"/>
          <w:color w:val="000000" w:themeColor="text1"/>
          <w:sz w:val="16"/>
          <w:szCs w:val="16"/>
        </w:rPr>
        <w:t xml:space="preserve">-Роте также поместил статью в «Известиях», приведя аргументацию, аналогичную позиции Цейтлина и </w:t>
      </w:r>
      <w:proofErr w:type="spellStart"/>
      <w:r w:rsidRPr="007122AB">
        <w:rPr>
          <w:rFonts w:ascii="Times New Roman" w:hAnsi="Times New Roman"/>
          <w:color w:val="000000" w:themeColor="text1"/>
          <w:sz w:val="16"/>
          <w:szCs w:val="16"/>
        </w:rPr>
        <w:t>Катцена</w:t>
      </w:r>
      <w:proofErr w:type="spellEnd"/>
      <w:r w:rsidRPr="007122AB">
        <w:rPr>
          <w:rFonts w:ascii="Times New Roman" w:hAnsi="Times New Roman"/>
          <w:color w:val="000000" w:themeColor="text1"/>
          <w:sz w:val="16"/>
          <w:szCs w:val="16"/>
        </w:rPr>
        <w:t>. Он описал меры, предпринятые в последние месяцы для того, чтобы сделать трамвайное движение более эффективным. Одновременно автор подчеркивал, что следует все же пустить больше автобусов и подумать о строительстве ряда линий на собственном железнодорожном полотне, прежде всего диаметральной железнодорожной линии, которая помогла бы разгрузить Каланчевскую пл. от пригородного сообщения{321} (18299).</w:t>
      </w:r>
    </w:p>
    <w:p w14:paraId="51F3BF12" w14:textId="77777777" w:rsidR="00647D80" w:rsidRPr="007122AB" w:rsidRDefault="00647D80" w:rsidP="007122AB">
      <w:pPr>
        <w:spacing w:after="0" w:line="240" w:lineRule="auto"/>
        <w:jc w:val="both"/>
        <w:rPr>
          <w:rFonts w:ascii="Times New Roman" w:hAnsi="Times New Roman"/>
          <w:color w:val="000000" w:themeColor="text1"/>
          <w:sz w:val="16"/>
          <w:szCs w:val="16"/>
        </w:rPr>
      </w:pPr>
    </w:p>
    <w:p w14:paraId="0EF606F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F76A52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AB6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мая 1931 согласно записке УММ РККА были подготовлены:</w:t>
      </w:r>
    </w:p>
    <w:p w14:paraId="2BD860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Производственные показатели и план МВ-10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275"/>
        <w:gridCol w:w="1418"/>
        <w:gridCol w:w="1276"/>
        <w:gridCol w:w="1205"/>
        <w:gridCol w:w="1204"/>
      </w:tblGrid>
      <w:tr w:rsidR="001002C3" w:rsidRPr="007122AB" w14:paraId="66E85E4F" w14:textId="77777777">
        <w:tc>
          <w:tcPr>
            <w:tcW w:w="1610" w:type="dxa"/>
          </w:tcPr>
          <w:p w14:paraId="26F5C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3D9821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наличии на 01.01.32</w:t>
            </w:r>
          </w:p>
        </w:tc>
        <w:tc>
          <w:tcPr>
            <w:tcW w:w="1275" w:type="dxa"/>
          </w:tcPr>
          <w:p w14:paraId="1043A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на 1932</w:t>
            </w:r>
          </w:p>
        </w:tc>
        <w:tc>
          <w:tcPr>
            <w:tcW w:w="1418" w:type="dxa"/>
          </w:tcPr>
          <w:p w14:paraId="0EC58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наличии на 01.05.33</w:t>
            </w:r>
          </w:p>
        </w:tc>
        <w:tc>
          <w:tcPr>
            <w:tcW w:w="1276" w:type="dxa"/>
          </w:tcPr>
          <w:p w14:paraId="4AB7EA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наличии по МВ-10</w:t>
            </w:r>
          </w:p>
        </w:tc>
        <w:tc>
          <w:tcPr>
            <w:tcW w:w="1205" w:type="dxa"/>
          </w:tcPr>
          <w:p w14:paraId="0CB56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т.ч. резерв</w:t>
            </w:r>
          </w:p>
        </w:tc>
        <w:tc>
          <w:tcPr>
            <w:tcW w:w="1204" w:type="dxa"/>
          </w:tcPr>
          <w:p w14:paraId="268211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Дефицит</w:t>
            </w:r>
          </w:p>
        </w:tc>
      </w:tr>
      <w:tr w:rsidR="001002C3" w:rsidRPr="007122AB" w14:paraId="14899F06" w14:textId="77777777">
        <w:tc>
          <w:tcPr>
            <w:tcW w:w="1610" w:type="dxa"/>
          </w:tcPr>
          <w:p w14:paraId="7B76E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Малые танки</w:t>
            </w:r>
          </w:p>
        </w:tc>
        <w:tc>
          <w:tcPr>
            <w:tcW w:w="1192" w:type="dxa"/>
          </w:tcPr>
          <w:p w14:paraId="1AC34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1259</w:t>
            </w:r>
          </w:p>
        </w:tc>
        <w:tc>
          <w:tcPr>
            <w:tcW w:w="1275" w:type="dxa"/>
          </w:tcPr>
          <w:p w14:paraId="510556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470</w:t>
            </w:r>
          </w:p>
        </w:tc>
        <w:tc>
          <w:tcPr>
            <w:tcW w:w="1418" w:type="dxa"/>
          </w:tcPr>
          <w:p w14:paraId="54DF6A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1729</w:t>
            </w:r>
          </w:p>
        </w:tc>
        <w:tc>
          <w:tcPr>
            <w:tcW w:w="1276" w:type="dxa"/>
          </w:tcPr>
          <w:p w14:paraId="1A106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2512</w:t>
            </w:r>
          </w:p>
        </w:tc>
        <w:tc>
          <w:tcPr>
            <w:tcW w:w="1205" w:type="dxa"/>
          </w:tcPr>
          <w:p w14:paraId="0357B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865</w:t>
            </w:r>
          </w:p>
        </w:tc>
        <w:tc>
          <w:tcPr>
            <w:tcW w:w="1204" w:type="dxa"/>
          </w:tcPr>
          <w:p w14:paraId="564E4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783</w:t>
            </w:r>
          </w:p>
        </w:tc>
      </w:tr>
      <w:tr w:rsidR="001002C3" w:rsidRPr="007122AB" w14:paraId="36340C64" w14:textId="77777777">
        <w:tc>
          <w:tcPr>
            <w:tcW w:w="1610" w:type="dxa"/>
          </w:tcPr>
          <w:p w14:paraId="7EA66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Средние танки</w:t>
            </w:r>
          </w:p>
        </w:tc>
        <w:tc>
          <w:tcPr>
            <w:tcW w:w="1192" w:type="dxa"/>
          </w:tcPr>
          <w:p w14:paraId="51AA4E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w:t>
            </w:r>
          </w:p>
        </w:tc>
        <w:tc>
          <w:tcPr>
            <w:tcW w:w="1275" w:type="dxa"/>
          </w:tcPr>
          <w:p w14:paraId="0D9CA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418" w:type="dxa"/>
          </w:tcPr>
          <w:p w14:paraId="4EB1B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385</w:t>
            </w:r>
          </w:p>
        </w:tc>
        <w:tc>
          <w:tcPr>
            <w:tcW w:w="1276" w:type="dxa"/>
          </w:tcPr>
          <w:p w14:paraId="12B01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736</w:t>
            </w:r>
          </w:p>
        </w:tc>
        <w:tc>
          <w:tcPr>
            <w:tcW w:w="1205" w:type="dxa"/>
          </w:tcPr>
          <w:p w14:paraId="087C30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196</w:t>
            </w:r>
          </w:p>
        </w:tc>
        <w:tc>
          <w:tcPr>
            <w:tcW w:w="1204" w:type="dxa"/>
          </w:tcPr>
          <w:p w14:paraId="1F6664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tc>
      </w:tr>
      <w:tr w:rsidR="001002C3" w:rsidRPr="007122AB" w14:paraId="52DA7D78" w14:textId="77777777">
        <w:tc>
          <w:tcPr>
            <w:tcW w:w="1610" w:type="dxa"/>
          </w:tcPr>
          <w:p w14:paraId="05CC2E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танкетки</w:t>
            </w:r>
          </w:p>
        </w:tc>
        <w:tc>
          <w:tcPr>
            <w:tcW w:w="1192" w:type="dxa"/>
          </w:tcPr>
          <w:p w14:paraId="05293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430</w:t>
            </w:r>
          </w:p>
        </w:tc>
        <w:tc>
          <w:tcPr>
            <w:tcW w:w="1275" w:type="dxa"/>
          </w:tcPr>
          <w:p w14:paraId="189FA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540</w:t>
            </w:r>
          </w:p>
        </w:tc>
        <w:tc>
          <w:tcPr>
            <w:tcW w:w="1418" w:type="dxa"/>
          </w:tcPr>
          <w:p w14:paraId="40166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970</w:t>
            </w:r>
          </w:p>
        </w:tc>
        <w:tc>
          <w:tcPr>
            <w:tcW w:w="1276" w:type="dxa"/>
          </w:tcPr>
          <w:p w14:paraId="3631D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755</w:t>
            </w:r>
          </w:p>
        </w:tc>
        <w:tc>
          <w:tcPr>
            <w:tcW w:w="1205" w:type="dxa"/>
          </w:tcPr>
          <w:p w14:paraId="3217F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255</w:t>
            </w:r>
          </w:p>
        </w:tc>
        <w:tc>
          <w:tcPr>
            <w:tcW w:w="1204" w:type="dxa"/>
          </w:tcPr>
          <w:p w14:paraId="5C235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r>
      <w:tr w:rsidR="001002C3" w:rsidRPr="007122AB" w14:paraId="6B0ECEBF" w14:textId="77777777">
        <w:tc>
          <w:tcPr>
            <w:tcW w:w="1610" w:type="dxa"/>
          </w:tcPr>
          <w:p w14:paraId="230C4E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1192" w:type="dxa"/>
          </w:tcPr>
          <w:p w14:paraId="2A369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1260</w:t>
            </w:r>
          </w:p>
        </w:tc>
        <w:tc>
          <w:tcPr>
            <w:tcW w:w="1275" w:type="dxa"/>
          </w:tcPr>
          <w:p w14:paraId="0C50B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AA7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C95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05" w:type="dxa"/>
          </w:tcPr>
          <w:p w14:paraId="13123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Pr>
          <w:p w14:paraId="3E15F2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321E60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Производственные показатели и план МВ-12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275"/>
        <w:gridCol w:w="1418"/>
        <w:gridCol w:w="1276"/>
        <w:gridCol w:w="1205"/>
        <w:gridCol w:w="1204"/>
      </w:tblGrid>
      <w:tr w:rsidR="001002C3" w:rsidRPr="007122AB" w14:paraId="64301322" w14:textId="77777777">
        <w:tc>
          <w:tcPr>
            <w:tcW w:w="1610" w:type="dxa"/>
          </w:tcPr>
          <w:p w14:paraId="525BD8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2890E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наличии на 01.01.32</w:t>
            </w:r>
          </w:p>
        </w:tc>
        <w:tc>
          <w:tcPr>
            <w:tcW w:w="1275" w:type="dxa"/>
          </w:tcPr>
          <w:p w14:paraId="5B1D4F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на 1932</w:t>
            </w:r>
          </w:p>
        </w:tc>
        <w:tc>
          <w:tcPr>
            <w:tcW w:w="1418" w:type="dxa"/>
          </w:tcPr>
          <w:p w14:paraId="0E7DC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наличии на 01.05.33</w:t>
            </w:r>
          </w:p>
        </w:tc>
        <w:tc>
          <w:tcPr>
            <w:tcW w:w="1276" w:type="dxa"/>
          </w:tcPr>
          <w:p w14:paraId="09EDC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наличии по МВ-12</w:t>
            </w:r>
          </w:p>
        </w:tc>
        <w:tc>
          <w:tcPr>
            <w:tcW w:w="1205" w:type="dxa"/>
          </w:tcPr>
          <w:p w14:paraId="0301CA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т.ч. резерв</w:t>
            </w:r>
          </w:p>
        </w:tc>
        <w:tc>
          <w:tcPr>
            <w:tcW w:w="1204" w:type="dxa"/>
          </w:tcPr>
          <w:p w14:paraId="76CAF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Дефицит</w:t>
            </w:r>
          </w:p>
        </w:tc>
      </w:tr>
      <w:tr w:rsidR="001002C3" w:rsidRPr="007122AB" w14:paraId="42424EBD" w14:textId="77777777">
        <w:tc>
          <w:tcPr>
            <w:tcW w:w="1610" w:type="dxa"/>
          </w:tcPr>
          <w:p w14:paraId="235AF4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Малые танки</w:t>
            </w:r>
          </w:p>
        </w:tc>
        <w:tc>
          <w:tcPr>
            <w:tcW w:w="1192" w:type="dxa"/>
          </w:tcPr>
          <w:p w14:paraId="735B8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1259</w:t>
            </w:r>
          </w:p>
        </w:tc>
        <w:tc>
          <w:tcPr>
            <w:tcW w:w="1275" w:type="dxa"/>
          </w:tcPr>
          <w:p w14:paraId="1AA2FD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418" w:type="dxa"/>
          </w:tcPr>
          <w:p w14:paraId="79EE2B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2759</w:t>
            </w:r>
          </w:p>
        </w:tc>
        <w:tc>
          <w:tcPr>
            <w:tcW w:w="1276" w:type="dxa"/>
          </w:tcPr>
          <w:p w14:paraId="40F5C2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4905</w:t>
            </w:r>
          </w:p>
        </w:tc>
        <w:tc>
          <w:tcPr>
            <w:tcW w:w="1205" w:type="dxa"/>
          </w:tcPr>
          <w:p w14:paraId="2F260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1700</w:t>
            </w:r>
          </w:p>
        </w:tc>
        <w:tc>
          <w:tcPr>
            <w:tcW w:w="1204" w:type="dxa"/>
          </w:tcPr>
          <w:p w14:paraId="6148D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2146</w:t>
            </w:r>
          </w:p>
        </w:tc>
      </w:tr>
      <w:tr w:rsidR="001002C3" w:rsidRPr="007122AB" w14:paraId="0E002EB5" w14:textId="77777777">
        <w:tc>
          <w:tcPr>
            <w:tcW w:w="1610" w:type="dxa"/>
          </w:tcPr>
          <w:p w14:paraId="04D38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Средние танки</w:t>
            </w:r>
          </w:p>
        </w:tc>
        <w:tc>
          <w:tcPr>
            <w:tcW w:w="1192" w:type="dxa"/>
          </w:tcPr>
          <w:p w14:paraId="42700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w:t>
            </w:r>
          </w:p>
        </w:tc>
        <w:tc>
          <w:tcPr>
            <w:tcW w:w="1275" w:type="dxa"/>
          </w:tcPr>
          <w:p w14:paraId="5F9FF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418" w:type="dxa"/>
          </w:tcPr>
          <w:p w14:paraId="160FAD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w:t>
            </w:r>
          </w:p>
        </w:tc>
        <w:tc>
          <w:tcPr>
            <w:tcW w:w="1276" w:type="dxa"/>
          </w:tcPr>
          <w:p w14:paraId="727BAE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1920</w:t>
            </w:r>
          </w:p>
        </w:tc>
        <w:tc>
          <w:tcPr>
            <w:tcW w:w="1205" w:type="dxa"/>
          </w:tcPr>
          <w:p w14:paraId="0DF33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w:t>
            </w:r>
          </w:p>
        </w:tc>
        <w:tc>
          <w:tcPr>
            <w:tcW w:w="1204" w:type="dxa"/>
          </w:tcPr>
          <w:p w14:paraId="468597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670</w:t>
            </w:r>
          </w:p>
        </w:tc>
      </w:tr>
      <w:tr w:rsidR="001002C3" w:rsidRPr="007122AB" w14:paraId="7991BE16" w14:textId="77777777">
        <w:tc>
          <w:tcPr>
            <w:tcW w:w="1610" w:type="dxa"/>
          </w:tcPr>
          <w:p w14:paraId="380C81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танкетки</w:t>
            </w:r>
          </w:p>
        </w:tc>
        <w:tc>
          <w:tcPr>
            <w:tcW w:w="1192" w:type="dxa"/>
          </w:tcPr>
          <w:p w14:paraId="52D43B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430</w:t>
            </w:r>
          </w:p>
        </w:tc>
        <w:tc>
          <w:tcPr>
            <w:tcW w:w="1275" w:type="dxa"/>
          </w:tcPr>
          <w:p w14:paraId="32F3A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1920</w:t>
            </w:r>
          </w:p>
        </w:tc>
        <w:tc>
          <w:tcPr>
            <w:tcW w:w="1418" w:type="dxa"/>
          </w:tcPr>
          <w:p w14:paraId="48DB0D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2350</w:t>
            </w:r>
          </w:p>
        </w:tc>
        <w:tc>
          <w:tcPr>
            <w:tcW w:w="1276" w:type="dxa"/>
          </w:tcPr>
          <w:p w14:paraId="169145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3200</w:t>
            </w:r>
          </w:p>
        </w:tc>
        <w:tc>
          <w:tcPr>
            <w:tcW w:w="1205" w:type="dxa"/>
          </w:tcPr>
          <w:p w14:paraId="5E19A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204" w:type="dxa"/>
          </w:tcPr>
          <w:p w14:paraId="19EEC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w:t>
            </w:r>
          </w:p>
        </w:tc>
      </w:tr>
      <w:tr w:rsidR="001002C3" w:rsidRPr="007122AB" w14:paraId="1B159AE5" w14:textId="77777777">
        <w:tc>
          <w:tcPr>
            <w:tcW w:w="1610" w:type="dxa"/>
          </w:tcPr>
          <w:p w14:paraId="67364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1192" w:type="dxa"/>
          </w:tcPr>
          <w:p w14:paraId="28EDE6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4420</w:t>
            </w:r>
          </w:p>
        </w:tc>
        <w:tc>
          <w:tcPr>
            <w:tcW w:w="1275" w:type="dxa"/>
          </w:tcPr>
          <w:p w14:paraId="499FF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EAD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23CC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05" w:type="dxa"/>
          </w:tcPr>
          <w:p w14:paraId="50130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Pr>
          <w:p w14:paraId="05AB63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3666</w:t>
            </w:r>
          </w:p>
        </w:tc>
      </w:tr>
    </w:tbl>
    <w:p w14:paraId="26E3F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(9443)</w:t>
      </w:r>
    </w:p>
    <w:p w14:paraId="11BFF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A19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мая 1931 Зам. Пред. РВС </w:t>
      </w:r>
      <w:proofErr w:type="spellStart"/>
      <w:r w:rsidRPr="007122AB">
        <w:rPr>
          <w:rFonts w:ascii="Times New Roman" w:hAnsi="Times New Roman"/>
          <w:color w:val="000000" w:themeColor="text1"/>
          <w:sz w:val="16"/>
          <w:szCs w:val="16"/>
        </w:rPr>
        <w:t>Я.Г.Гамарник</w:t>
      </w:r>
      <w:proofErr w:type="spellEnd"/>
      <w:r w:rsidRPr="007122AB">
        <w:rPr>
          <w:rFonts w:ascii="Times New Roman" w:hAnsi="Times New Roman"/>
          <w:color w:val="000000" w:themeColor="text1"/>
          <w:sz w:val="16"/>
          <w:szCs w:val="16"/>
        </w:rPr>
        <w:t xml:space="preserve"> утвердил штат НИИ военного кораблестроения (НИИВК) (10346,21).</w:t>
      </w:r>
    </w:p>
    <w:p w14:paraId="2DE74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B8CE52"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31 мая 1931 </w:t>
      </w:r>
      <w:r w:rsidRPr="007122AB">
        <w:rPr>
          <w:rFonts w:ascii="Times New Roman" w:hAnsi="Times New Roman"/>
          <w:color w:val="000000" w:themeColor="text1"/>
          <w:sz w:val="16"/>
          <w:szCs w:val="16"/>
        </w:rPr>
        <w:t>Политбюро ЦК ВКП (б) предложило ВСНХ приступить к строительству Криворожского металлургического завода (12265).</w:t>
      </w:r>
    </w:p>
    <w:p w14:paraId="78CFE864"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B1344E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За</w:t>
      </w:r>
      <w:r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рубежом</w:t>
      </w:r>
      <w:r w:rsidRPr="007122AB">
        <w:rPr>
          <w:rFonts w:ascii="Times New Roman" w:hAnsi="Times New Roman"/>
          <w:i/>
          <w:iCs/>
          <w:color w:val="000000" w:themeColor="text1"/>
          <w:sz w:val="16"/>
          <w:szCs w:val="16"/>
          <w:lang w:val="en-US"/>
        </w:rPr>
        <w:t>:</w:t>
      </w:r>
    </w:p>
    <w:p w14:paraId="0D47466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265D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 xml:space="preserve">May 31 1931 A pilotless airplane was successfully flown by radio control from another plane at Houston, Tex. </w:t>
      </w:r>
      <w:r w:rsidRPr="007122AB">
        <w:rPr>
          <w:rFonts w:ascii="Times New Roman" w:hAnsi="Times New Roman"/>
          <w:color w:val="000000" w:themeColor="text1"/>
          <w:sz w:val="16"/>
          <w:szCs w:val="16"/>
        </w:rPr>
        <w:t>(1038).</w:t>
      </w:r>
    </w:p>
    <w:p w14:paraId="17AD63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C62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мая 1931 состоялся полет беспилотного самолета, управляемого по радио с другого самолета (3908,335).</w:t>
      </w:r>
    </w:p>
    <w:p w14:paraId="5AF5A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E572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66FE15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251C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мая 1931 за неделю до последних полетов КАСКР-2 познакомиться с машиной приехали </w:t>
      </w:r>
      <w:proofErr w:type="spellStart"/>
      <w:r w:rsidRPr="007122AB">
        <w:rPr>
          <w:rFonts w:ascii="Times New Roman" w:hAnsi="Times New Roman"/>
          <w:color w:val="000000" w:themeColor="text1"/>
          <w:sz w:val="16"/>
          <w:szCs w:val="16"/>
        </w:rPr>
        <w:t>А.М.Черемухин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И.П.Братухин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В.А.Кузнецов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А.М.Изаксон</w:t>
      </w:r>
      <w:proofErr w:type="spellEnd"/>
      <w:r w:rsidRPr="007122AB">
        <w:rPr>
          <w:rFonts w:ascii="Times New Roman" w:hAnsi="Times New Roman"/>
          <w:color w:val="000000" w:themeColor="text1"/>
          <w:sz w:val="16"/>
          <w:szCs w:val="16"/>
        </w:rPr>
        <w:t xml:space="preserve"> и другие сотрудники ЦАГИ, занятые разработкой первого советского вертолета. Устойчивые полеты автожира произвели на специалистов благоприятное впечатление.</w:t>
      </w:r>
    </w:p>
    <w:p w14:paraId="63D570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Руководство Всесоюзного </w:t>
      </w:r>
      <w:proofErr w:type="spellStart"/>
      <w:r w:rsidRPr="007122AB">
        <w:rPr>
          <w:rFonts w:ascii="Times New Roman" w:hAnsi="Times New Roman"/>
          <w:color w:val="000000" w:themeColor="text1"/>
          <w:sz w:val="16"/>
          <w:szCs w:val="16"/>
        </w:rPr>
        <w:t>Авиаобъединения</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Авиасекции</w:t>
      </w:r>
      <w:proofErr w:type="spellEnd"/>
      <w:r w:rsidRPr="007122AB">
        <w:rPr>
          <w:rFonts w:ascii="Times New Roman" w:hAnsi="Times New Roman"/>
          <w:color w:val="000000" w:themeColor="text1"/>
          <w:sz w:val="16"/>
          <w:szCs w:val="16"/>
        </w:rPr>
        <w:t xml:space="preserve"> ЦК ОСО-</w:t>
      </w:r>
      <w:proofErr w:type="spellStart"/>
      <w:r w:rsidRPr="007122AB">
        <w:rPr>
          <w:rFonts w:ascii="Times New Roman" w:hAnsi="Times New Roman"/>
          <w:color w:val="000000" w:themeColor="text1"/>
          <w:sz w:val="16"/>
          <w:szCs w:val="16"/>
        </w:rPr>
        <w:t>АВИАХИМа</w:t>
      </w:r>
      <w:proofErr w:type="spellEnd"/>
      <w:r w:rsidRPr="007122AB">
        <w:rPr>
          <w:rFonts w:ascii="Times New Roman" w:hAnsi="Times New Roman"/>
          <w:color w:val="000000" w:themeColor="text1"/>
          <w:sz w:val="16"/>
          <w:szCs w:val="16"/>
        </w:rPr>
        <w:t xml:space="preserve"> пришло к выводу, что энтузиастам-любителям нужно со</w:t>
      </w:r>
      <w:r w:rsidRPr="007122AB">
        <w:rPr>
          <w:rFonts w:ascii="Times New Roman" w:hAnsi="Times New Roman"/>
          <w:color w:val="000000" w:themeColor="text1"/>
          <w:sz w:val="16"/>
          <w:szCs w:val="16"/>
        </w:rPr>
        <w:softHyphen/>
        <w:t>здать более благоприятные условия для работы над винтокрылой техни</w:t>
      </w:r>
      <w:r w:rsidRPr="007122AB">
        <w:rPr>
          <w:rFonts w:ascii="Times New Roman" w:hAnsi="Times New Roman"/>
          <w:color w:val="000000" w:themeColor="text1"/>
          <w:sz w:val="16"/>
          <w:szCs w:val="16"/>
        </w:rPr>
        <w:softHyphen/>
        <w:t>кой (10224,36).</w:t>
      </w:r>
    </w:p>
    <w:p w14:paraId="0E3C26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41E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мая 1931 был подготовлен Доклад о состоянии работ по опытному </w:t>
      </w:r>
      <w:proofErr w:type="spellStart"/>
      <w:r w:rsidRPr="007122AB">
        <w:rPr>
          <w:rFonts w:ascii="Times New Roman" w:hAnsi="Times New Roman"/>
          <w:color w:val="000000" w:themeColor="text1"/>
          <w:sz w:val="16"/>
          <w:szCs w:val="16"/>
        </w:rPr>
        <w:t>моторо</w:t>
      </w:r>
      <w:proofErr w:type="spellEnd"/>
      <w:r w:rsidRPr="007122AB">
        <w:rPr>
          <w:rFonts w:ascii="Times New Roman" w:hAnsi="Times New Roman"/>
          <w:color w:val="000000" w:themeColor="text1"/>
          <w:sz w:val="16"/>
          <w:szCs w:val="16"/>
        </w:rPr>
        <w:t xml:space="preserve"> и самолетостроению на 15 мая 1931 года (6918).</w:t>
      </w:r>
    </w:p>
    <w:p w14:paraId="173F610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7122AB" w14:paraId="06392B09" w14:textId="77777777">
        <w:tc>
          <w:tcPr>
            <w:tcW w:w="3024" w:type="dxa"/>
          </w:tcPr>
          <w:p w14:paraId="757A950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7AB4D4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М-15</w:t>
            </w:r>
          </w:p>
        </w:tc>
      </w:tr>
      <w:tr w:rsidR="001002C3" w:rsidRPr="007122AB" w14:paraId="3793E1E5" w14:textId="77777777">
        <w:tc>
          <w:tcPr>
            <w:tcW w:w="3024" w:type="dxa"/>
          </w:tcPr>
          <w:p w14:paraId="5A34A0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2FED243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2AC0736D" w14:textId="77777777">
        <w:tc>
          <w:tcPr>
            <w:tcW w:w="3024" w:type="dxa"/>
          </w:tcPr>
          <w:p w14:paraId="3F4DEE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2BCB21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r>
      <w:tr w:rsidR="001002C3" w:rsidRPr="007122AB" w14:paraId="17DEE716" w14:textId="77777777">
        <w:tc>
          <w:tcPr>
            <w:tcW w:w="3024" w:type="dxa"/>
          </w:tcPr>
          <w:p w14:paraId="3418E5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3A34D5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r>
      <w:tr w:rsidR="001002C3" w:rsidRPr="007122AB" w14:paraId="14E45577" w14:textId="77777777">
        <w:tc>
          <w:tcPr>
            <w:tcW w:w="3024" w:type="dxa"/>
          </w:tcPr>
          <w:p w14:paraId="5D53FE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7A61CC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года</w:t>
            </w:r>
          </w:p>
        </w:tc>
      </w:tr>
      <w:tr w:rsidR="001002C3" w:rsidRPr="007122AB" w14:paraId="5E0CF9BE" w14:textId="77777777">
        <w:tc>
          <w:tcPr>
            <w:tcW w:w="3024" w:type="dxa"/>
          </w:tcPr>
          <w:p w14:paraId="16AF76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470FF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отчетный период мотор был в третий раз предъявлен на гос. испытания. На 41 часу испытаний потерпел аварию. Другой мотор установленный на И-5 также потерпел аварию на 11 часу работы. В связи с этой аварией летные качества самолета с этим мотором не выявлены полностью. В конце апреля 1931 года предположительно летные испытания продлить: мотор пущен в серийную постройку с условием сдачи его по техническим требованиям на серийную поставку моторов и дополнительного проведения 100 часовых гос. испытаний. Предъявлен на гос. испытания 17 января 1931 года. Прошел неудовлетворительно. Срок последующего предъявления истек 1 мая 1931 года.</w:t>
            </w:r>
          </w:p>
        </w:tc>
      </w:tr>
      <w:tr w:rsidR="001002C3" w:rsidRPr="007122AB" w14:paraId="43B5BD1B" w14:textId="77777777">
        <w:tc>
          <w:tcPr>
            <w:tcW w:w="3024" w:type="dxa"/>
          </w:tcPr>
          <w:p w14:paraId="32D5D7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50C57F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М-19а</w:t>
            </w:r>
          </w:p>
        </w:tc>
      </w:tr>
      <w:tr w:rsidR="001002C3" w:rsidRPr="007122AB" w14:paraId="1E57F3AD" w14:textId="77777777">
        <w:tc>
          <w:tcPr>
            <w:tcW w:w="3024" w:type="dxa"/>
          </w:tcPr>
          <w:p w14:paraId="2E2486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A3996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4B40215A" w14:textId="77777777">
        <w:tc>
          <w:tcPr>
            <w:tcW w:w="3024" w:type="dxa"/>
          </w:tcPr>
          <w:p w14:paraId="2F2BFD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45B1A6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23BC3606" w14:textId="77777777">
        <w:tc>
          <w:tcPr>
            <w:tcW w:w="3024" w:type="dxa"/>
          </w:tcPr>
          <w:p w14:paraId="764C44D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66FA19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w:t>
            </w:r>
          </w:p>
        </w:tc>
      </w:tr>
      <w:tr w:rsidR="001002C3" w:rsidRPr="007122AB" w14:paraId="17C94D95" w14:textId="77777777">
        <w:tc>
          <w:tcPr>
            <w:tcW w:w="3024" w:type="dxa"/>
          </w:tcPr>
          <w:p w14:paraId="06713D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414890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 1932 года</w:t>
            </w:r>
          </w:p>
        </w:tc>
      </w:tr>
      <w:tr w:rsidR="001002C3" w:rsidRPr="007122AB" w14:paraId="2B317585" w14:textId="77777777">
        <w:tc>
          <w:tcPr>
            <w:tcW w:w="3024" w:type="dxa"/>
          </w:tcPr>
          <w:p w14:paraId="20B211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A466F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Принят к исполнению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с использованием проектировочной работы, проделанной на заводе № 24. Проект мотора окончен. Подготавливаются рабочие чертежи.</w:t>
            </w:r>
          </w:p>
        </w:tc>
      </w:tr>
      <w:tr w:rsidR="001002C3" w:rsidRPr="007122AB" w14:paraId="56D3D7EB" w14:textId="77777777">
        <w:tc>
          <w:tcPr>
            <w:tcW w:w="3024" w:type="dxa"/>
          </w:tcPr>
          <w:p w14:paraId="2376433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0AFE3F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 М-34 (должен быть построен в 6 экземплярах для ВВС и к 1 августа 1931 года – 3 экземпляра для ВМС)</w:t>
            </w:r>
          </w:p>
        </w:tc>
      </w:tr>
      <w:tr w:rsidR="001002C3" w:rsidRPr="007122AB" w14:paraId="1938696E" w14:textId="77777777">
        <w:tc>
          <w:tcPr>
            <w:tcW w:w="3024" w:type="dxa"/>
          </w:tcPr>
          <w:p w14:paraId="180F29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8B2AA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4B659C8D" w14:textId="77777777">
        <w:tc>
          <w:tcPr>
            <w:tcW w:w="3024" w:type="dxa"/>
          </w:tcPr>
          <w:p w14:paraId="243160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156128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27DF0612" w14:textId="77777777">
        <w:tc>
          <w:tcPr>
            <w:tcW w:w="3024" w:type="dxa"/>
          </w:tcPr>
          <w:p w14:paraId="1433B3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Мощность</w:t>
            </w:r>
          </w:p>
        </w:tc>
        <w:tc>
          <w:tcPr>
            <w:tcW w:w="7432" w:type="dxa"/>
          </w:tcPr>
          <w:p w14:paraId="1E7FCC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750-900</w:t>
            </w:r>
          </w:p>
        </w:tc>
      </w:tr>
      <w:tr w:rsidR="001002C3" w:rsidRPr="007122AB" w14:paraId="1FD9471A" w14:textId="77777777">
        <w:tc>
          <w:tcPr>
            <w:tcW w:w="3024" w:type="dxa"/>
          </w:tcPr>
          <w:p w14:paraId="31F8A0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2A4478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года</w:t>
            </w:r>
          </w:p>
        </w:tc>
      </w:tr>
      <w:tr w:rsidR="001002C3" w:rsidRPr="007122AB" w14:paraId="39032386" w14:textId="77777777">
        <w:tc>
          <w:tcPr>
            <w:tcW w:w="3024" w:type="dxa"/>
          </w:tcPr>
          <w:p w14:paraId="6D8972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D044C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отчетный период проведены экспериментальные испытания блока этого мотора на картере мотора Л-5. Мотор собран, прошел притирку. Пущен на заводские испытания.</w:t>
            </w:r>
          </w:p>
        </w:tc>
      </w:tr>
      <w:tr w:rsidR="001002C3" w:rsidRPr="007122AB" w14:paraId="006E85F8" w14:textId="77777777">
        <w:tc>
          <w:tcPr>
            <w:tcW w:w="3024" w:type="dxa"/>
          </w:tcPr>
          <w:p w14:paraId="487697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089969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 М-27</w:t>
            </w:r>
          </w:p>
        </w:tc>
      </w:tr>
      <w:tr w:rsidR="001002C3" w:rsidRPr="007122AB" w14:paraId="66A78351" w14:textId="77777777">
        <w:tc>
          <w:tcPr>
            <w:tcW w:w="3024" w:type="dxa"/>
          </w:tcPr>
          <w:p w14:paraId="2B1628E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0C2AF2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00391479" w14:textId="77777777">
        <w:tc>
          <w:tcPr>
            <w:tcW w:w="3024" w:type="dxa"/>
          </w:tcPr>
          <w:p w14:paraId="4365A1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2CE5A0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2B17E006" w14:textId="77777777">
        <w:tc>
          <w:tcPr>
            <w:tcW w:w="3024" w:type="dxa"/>
          </w:tcPr>
          <w:p w14:paraId="28D316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4524AD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750-850</w:t>
            </w:r>
          </w:p>
        </w:tc>
      </w:tr>
      <w:tr w:rsidR="001002C3" w:rsidRPr="007122AB" w14:paraId="4BF78BC9" w14:textId="77777777">
        <w:tc>
          <w:tcPr>
            <w:tcW w:w="3024" w:type="dxa"/>
          </w:tcPr>
          <w:p w14:paraId="4DFA03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0B5B63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1931 года</w:t>
            </w:r>
          </w:p>
        </w:tc>
      </w:tr>
      <w:tr w:rsidR="001002C3" w:rsidRPr="007122AB" w14:paraId="2C70E9A3" w14:textId="77777777">
        <w:tc>
          <w:tcPr>
            <w:tcW w:w="3024" w:type="dxa"/>
          </w:tcPr>
          <w:p w14:paraId="72BA75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764768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прошел 100 часовые гос. испытания удовлетворительно. Прорабатывается вопрос об установке его на самолеты. Ввиду </w:t>
            </w:r>
            <w:proofErr w:type="spellStart"/>
            <w:r w:rsidRPr="007122AB">
              <w:rPr>
                <w:rFonts w:ascii="Times New Roman" w:hAnsi="Times New Roman"/>
                <w:color w:val="000000" w:themeColor="text1"/>
                <w:sz w:val="16"/>
                <w:szCs w:val="16"/>
              </w:rPr>
              <w:t>многооборотности</w:t>
            </w:r>
            <w:proofErr w:type="spellEnd"/>
            <w:r w:rsidRPr="007122AB">
              <w:rPr>
                <w:rFonts w:ascii="Times New Roman" w:hAnsi="Times New Roman"/>
                <w:color w:val="000000" w:themeColor="text1"/>
                <w:sz w:val="16"/>
                <w:szCs w:val="16"/>
              </w:rPr>
              <w:t xml:space="preserve"> мотора </w:t>
            </w:r>
            <w:proofErr w:type="spellStart"/>
            <w:r w:rsidRPr="007122AB">
              <w:rPr>
                <w:rFonts w:ascii="Times New Roman" w:hAnsi="Times New Roman"/>
                <w:color w:val="000000" w:themeColor="text1"/>
                <w:sz w:val="16"/>
                <w:szCs w:val="16"/>
              </w:rPr>
              <w:t>ИАМу</w:t>
            </w:r>
            <w:proofErr w:type="spellEnd"/>
            <w:r w:rsidRPr="007122AB">
              <w:rPr>
                <w:rFonts w:ascii="Times New Roman" w:hAnsi="Times New Roman"/>
                <w:color w:val="000000" w:themeColor="text1"/>
                <w:sz w:val="16"/>
                <w:szCs w:val="16"/>
              </w:rPr>
              <w:t xml:space="preserve"> поставлено было задание спроектировать и изготовить редуктор к этому мотору. Проектирование редуктора заканчивается, однако производство его еще не обеспечено. Предъявление редуктора 1 октября 1931 года.</w:t>
            </w:r>
          </w:p>
        </w:tc>
      </w:tr>
      <w:tr w:rsidR="001002C3" w:rsidRPr="007122AB" w14:paraId="2654274D" w14:textId="77777777">
        <w:tc>
          <w:tcPr>
            <w:tcW w:w="3024" w:type="dxa"/>
          </w:tcPr>
          <w:p w14:paraId="02BFDD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159C40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 бомбардировщиков ФЭД-3</w:t>
            </w:r>
          </w:p>
        </w:tc>
      </w:tr>
      <w:tr w:rsidR="001002C3" w:rsidRPr="007122AB" w14:paraId="2A0D88BD" w14:textId="77777777">
        <w:tc>
          <w:tcPr>
            <w:tcW w:w="3024" w:type="dxa"/>
          </w:tcPr>
          <w:p w14:paraId="057477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600B3C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064A5523" w14:textId="77777777">
        <w:tc>
          <w:tcPr>
            <w:tcW w:w="3024" w:type="dxa"/>
          </w:tcPr>
          <w:p w14:paraId="644385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0D68BD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787C6D1F" w14:textId="77777777">
        <w:tc>
          <w:tcPr>
            <w:tcW w:w="3024" w:type="dxa"/>
          </w:tcPr>
          <w:p w14:paraId="6CB0C9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5538A0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322646E6" w14:textId="77777777">
        <w:tc>
          <w:tcPr>
            <w:tcW w:w="3024" w:type="dxa"/>
          </w:tcPr>
          <w:p w14:paraId="58732A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551F70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 1931 года</w:t>
            </w:r>
          </w:p>
        </w:tc>
      </w:tr>
      <w:tr w:rsidR="001002C3" w:rsidRPr="007122AB" w14:paraId="66028274" w14:textId="77777777">
        <w:tc>
          <w:tcPr>
            <w:tcW w:w="3024" w:type="dxa"/>
          </w:tcPr>
          <w:p w14:paraId="017AB8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BFF23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отчетный период мотор после капитальных переделок был дважды на заводских испытаниях. Первый раз на 19 часу работы потерпел аварию. Мотор был вторично поставлен на заводские испытания, которые прошел в количестве 20 часов. Мотор прошел 46 часов заводских испытаний. Предъявление ожидается 20 мая 1931 года.</w:t>
            </w:r>
          </w:p>
        </w:tc>
      </w:tr>
      <w:tr w:rsidR="001002C3" w:rsidRPr="007122AB" w14:paraId="6EBC0992" w14:textId="77777777">
        <w:tc>
          <w:tcPr>
            <w:tcW w:w="3024" w:type="dxa"/>
          </w:tcPr>
          <w:p w14:paraId="095378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6254EA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М-38</w:t>
            </w:r>
          </w:p>
        </w:tc>
      </w:tr>
      <w:tr w:rsidR="001002C3" w:rsidRPr="007122AB" w14:paraId="05D8F6A3" w14:textId="77777777">
        <w:tc>
          <w:tcPr>
            <w:tcW w:w="3024" w:type="dxa"/>
          </w:tcPr>
          <w:p w14:paraId="3EC829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FF1446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6EDAA731" w14:textId="77777777">
        <w:tc>
          <w:tcPr>
            <w:tcW w:w="3024" w:type="dxa"/>
          </w:tcPr>
          <w:p w14:paraId="6F7A83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4A2454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r>
      <w:tr w:rsidR="001002C3" w:rsidRPr="007122AB" w14:paraId="6017460F" w14:textId="77777777">
        <w:tc>
          <w:tcPr>
            <w:tcW w:w="3024" w:type="dxa"/>
          </w:tcPr>
          <w:p w14:paraId="554CEB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02E9D82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199DC6B4" w14:textId="77777777">
        <w:tc>
          <w:tcPr>
            <w:tcW w:w="3024" w:type="dxa"/>
          </w:tcPr>
          <w:p w14:paraId="77E7962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0A7730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 1932 года</w:t>
            </w:r>
          </w:p>
        </w:tc>
      </w:tr>
      <w:tr w:rsidR="001002C3" w:rsidRPr="007122AB" w14:paraId="19A0E27A" w14:textId="77777777">
        <w:tc>
          <w:tcPr>
            <w:tcW w:w="3024" w:type="dxa"/>
          </w:tcPr>
          <w:p w14:paraId="54DC94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2D39B3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принят к исполнению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с использованием работ, проделанных на заводе № 24. Проект мотора окончен. Идет разработка чертежей.</w:t>
            </w:r>
          </w:p>
        </w:tc>
      </w:tr>
      <w:tr w:rsidR="001002C3" w:rsidRPr="007122AB" w14:paraId="0642257C" w14:textId="77777777">
        <w:tc>
          <w:tcPr>
            <w:tcW w:w="3024" w:type="dxa"/>
          </w:tcPr>
          <w:p w14:paraId="4C1D10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12168D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 бомбардировщиков М-44</w:t>
            </w:r>
          </w:p>
        </w:tc>
      </w:tr>
      <w:tr w:rsidR="001002C3" w:rsidRPr="007122AB" w14:paraId="11C92D3B" w14:textId="77777777">
        <w:tc>
          <w:tcPr>
            <w:tcW w:w="3024" w:type="dxa"/>
          </w:tcPr>
          <w:p w14:paraId="32A4BA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749EF9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02856367" w14:textId="77777777">
        <w:tc>
          <w:tcPr>
            <w:tcW w:w="3024" w:type="dxa"/>
          </w:tcPr>
          <w:p w14:paraId="6DD8DE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33E8BC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3353017C" w14:textId="77777777">
        <w:tc>
          <w:tcPr>
            <w:tcW w:w="3024" w:type="dxa"/>
          </w:tcPr>
          <w:p w14:paraId="524329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758CBD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5706C028" w14:textId="77777777">
        <w:tc>
          <w:tcPr>
            <w:tcW w:w="3024" w:type="dxa"/>
          </w:tcPr>
          <w:p w14:paraId="126CB6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6FA639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1932 года</w:t>
            </w:r>
          </w:p>
        </w:tc>
      </w:tr>
      <w:tr w:rsidR="001002C3" w:rsidRPr="007122AB" w14:paraId="25ED9A9F" w14:textId="77777777">
        <w:tc>
          <w:tcPr>
            <w:tcW w:w="3024" w:type="dxa"/>
          </w:tcPr>
          <w:p w14:paraId="390695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CA30B1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 мотора выполнен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В настоящее время идет его деталировка и подготовка поковочных чертежей. Одновременно ведутся экспериментальные испытания на моторе с цилиндром большого диаметра.</w:t>
            </w:r>
          </w:p>
        </w:tc>
      </w:tr>
      <w:tr w:rsidR="001002C3" w:rsidRPr="007122AB" w14:paraId="70C0DA82" w14:textId="77777777">
        <w:tc>
          <w:tcPr>
            <w:tcW w:w="3024" w:type="dxa"/>
          </w:tcPr>
          <w:p w14:paraId="275185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7D84F5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М-32</w:t>
            </w:r>
          </w:p>
        </w:tc>
      </w:tr>
      <w:tr w:rsidR="001002C3" w:rsidRPr="007122AB" w14:paraId="380083B9" w14:textId="77777777">
        <w:tc>
          <w:tcPr>
            <w:tcW w:w="3024" w:type="dxa"/>
          </w:tcPr>
          <w:p w14:paraId="318B93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52AC533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5B033B65" w14:textId="77777777">
        <w:tc>
          <w:tcPr>
            <w:tcW w:w="3024" w:type="dxa"/>
          </w:tcPr>
          <w:p w14:paraId="06CA32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160F10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1CB08914" w14:textId="77777777">
        <w:tc>
          <w:tcPr>
            <w:tcW w:w="3024" w:type="dxa"/>
          </w:tcPr>
          <w:p w14:paraId="260A65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77EEBC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13A7421E" w14:textId="77777777">
        <w:tc>
          <w:tcPr>
            <w:tcW w:w="3024" w:type="dxa"/>
          </w:tcPr>
          <w:p w14:paraId="3B8775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56B909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1932 года</w:t>
            </w:r>
          </w:p>
        </w:tc>
      </w:tr>
      <w:tr w:rsidR="001002C3" w:rsidRPr="007122AB" w14:paraId="2BAA0686" w14:textId="77777777">
        <w:tc>
          <w:tcPr>
            <w:tcW w:w="3024" w:type="dxa"/>
          </w:tcPr>
          <w:p w14:paraId="12A03C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2842F4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принят к исполнению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с использованием работы, проделанной по этому мотору на заводе № 24. Проект мотора окончен и принят на </w:t>
            </w:r>
            <w:proofErr w:type="spellStart"/>
            <w:r w:rsidRPr="007122AB">
              <w:rPr>
                <w:rFonts w:ascii="Times New Roman" w:hAnsi="Times New Roman"/>
                <w:color w:val="000000" w:themeColor="text1"/>
                <w:sz w:val="16"/>
                <w:szCs w:val="16"/>
              </w:rPr>
              <w:t>техсовещании</w:t>
            </w:r>
            <w:proofErr w:type="spellEnd"/>
            <w:r w:rsidRPr="007122AB">
              <w:rPr>
                <w:rFonts w:ascii="Times New Roman" w:hAnsi="Times New Roman"/>
                <w:color w:val="000000" w:themeColor="text1"/>
                <w:sz w:val="16"/>
                <w:szCs w:val="16"/>
              </w:rPr>
              <w:t xml:space="preserve"> 1 апреля 1931 года. Проводятся опыты с цилиндром большого диаметра.</w:t>
            </w:r>
          </w:p>
        </w:tc>
      </w:tr>
      <w:tr w:rsidR="001002C3" w:rsidRPr="007122AB" w14:paraId="242A4094" w14:textId="77777777">
        <w:tc>
          <w:tcPr>
            <w:tcW w:w="3024" w:type="dxa"/>
          </w:tcPr>
          <w:p w14:paraId="34C915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2149B8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Модернизация М-43</w:t>
            </w:r>
          </w:p>
        </w:tc>
      </w:tr>
      <w:tr w:rsidR="001002C3" w:rsidRPr="007122AB" w14:paraId="7E5676ED" w14:textId="77777777">
        <w:tc>
          <w:tcPr>
            <w:tcW w:w="3024" w:type="dxa"/>
          </w:tcPr>
          <w:p w14:paraId="03FC3F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7F0F05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63B96AF1" w14:textId="77777777">
        <w:tc>
          <w:tcPr>
            <w:tcW w:w="3024" w:type="dxa"/>
          </w:tcPr>
          <w:p w14:paraId="561D52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3DFB10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3BA0FD1F" w14:textId="77777777">
        <w:tc>
          <w:tcPr>
            <w:tcW w:w="3024" w:type="dxa"/>
          </w:tcPr>
          <w:p w14:paraId="5B488E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099BDE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700-1000</w:t>
            </w:r>
          </w:p>
        </w:tc>
      </w:tr>
      <w:tr w:rsidR="001002C3" w:rsidRPr="007122AB" w14:paraId="60D085D3" w14:textId="77777777">
        <w:tc>
          <w:tcPr>
            <w:tcW w:w="3024" w:type="dxa"/>
          </w:tcPr>
          <w:p w14:paraId="2A1B54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758740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1932 года</w:t>
            </w:r>
          </w:p>
        </w:tc>
      </w:tr>
      <w:tr w:rsidR="001002C3" w:rsidRPr="007122AB" w14:paraId="0498367F" w14:textId="77777777">
        <w:tc>
          <w:tcPr>
            <w:tcW w:w="3024" w:type="dxa"/>
          </w:tcPr>
          <w:p w14:paraId="3AAACF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5DB2E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так как мотор снят с плана.</w:t>
            </w:r>
          </w:p>
        </w:tc>
      </w:tr>
      <w:tr w:rsidR="001002C3" w:rsidRPr="007122AB" w14:paraId="0970E38C" w14:textId="77777777">
        <w:tc>
          <w:tcPr>
            <w:tcW w:w="3024" w:type="dxa"/>
          </w:tcPr>
          <w:p w14:paraId="5E6F6A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7354709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Нефтяной М-42</w:t>
            </w:r>
          </w:p>
        </w:tc>
      </w:tr>
      <w:tr w:rsidR="001002C3" w:rsidRPr="007122AB" w14:paraId="5464D915" w14:textId="77777777">
        <w:tc>
          <w:tcPr>
            <w:tcW w:w="3024" w:type="dxa"/>
          </w:tcPr>
          <w:p w14:paraId="4AD621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3CDAC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6AB6167C" w14:textId="77777777">
        <w:tc>
          <w:tcPr>
            <w:tcW w:w="3024" w:type="dxa"/>
          </w:tcPr>
          <w:p w14:paraId="3BE8DB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6F42A4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CCF5CD" w14:textId="77777777">
        <w:tc>
          <w:tcPr>
            <w:tcW w:w="3024" w:type="dxa"/>
          </w:tcPr>
          <w:p w14:paraId="668985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44DD67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40753C18" w14:textId="77777777">
        <w:tc>
          <w:tcPr>
            <w:tcW w:w="3024" w:type="dxa"/>
          </w:tcPr>
          <w:p w14:paraId="5DFEB7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0FCCD7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1932 года</w:t>
            </w:r>
          </w:p>
        </w:tc>
      </w:tr>
      <w:tr w:rsidR="001002C3" w:rsidRPr="007122AB" w14:paraId="4EBCCC11" w14:textId="77777777">
        <w:tc>
          <w:tcPr>
            <w:tcW w:w="3024" w:type="dxa"/>
          </w:tcPr>
          <w:p w14:paraId="6C8F4D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0A46B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так как мотор снят с плана.</w:t>
            </w:r>
          </w:p>
        </w:tc>
      </w:tr>
      <w:tr w:rsidR="001002C3" w:rsidRPr="007122AB" w14:paraId="04CCAE7F" w14:textId="77777777">
        <w:tc>
          <w:tcPr>
            <w:tcW w:w="3024" w:type="dxa"/>
          </w:tcPr>
          <w:p w14:paraId="3BED75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1FBBDA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Нефтяной ЭН-1</w:t>
            </w:r>
          </w:p>
        </w:tc>
      </w:tr>
      <w:tr w:rsidR="001002C3" w:rsidRPr="007122AB" w14:paraId="5AEE1785" w14:textId="77777777">
        <w:tc>
          <w:tcPr>
            <w:tcW w:w="3024" w:type="dxa"/>
          </w:tcPr>
          <w:p w14:paraId="3B4EF3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5EDCE2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1E2D352F" w14:textId="77777777">
        <w:tc>
          <w:tcPr>
            <w:tcW w:w="3024" w:type="dxa"/>
          </w:tcPr>
          <w:p w14:paraId="7B0920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2831EB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5240B84" w14:textId="77777777">
        <w:tc>
          <w:tcPr>
            <w:tcW w:w="3024" w:type="dxa"/>
          </w:tcPr>
          <w:p w14:paraId="475E14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7F3812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r>
      <w:tr w:rsidR="001002C3" w:rsidRPr="007122AB" w14:paraId="3BBCF5F6" w14:textId="77777777">
        <w:tc>
          <w:tcPr>
            <w:tcW w:w="3024" w:type="dxa"/>
          </w:tcPr>
          <w:p w14:paraId="72DA89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44CB06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года</w:t>
            </w:r>
          </w:p>
        </w:tc>
      </w:tr>
      <w:tr w:rsidR="001002C3" w:rsidRPr="007122AB" w14:paraId="3D2FEEE9" w14:textId="77777777">
        <w:tc>
          <w:tcPr>
            <w:tcW w:w="3024" w:type="dxa"/>
          </w:tcPr>
          <w:p w14:paraId="5B34B7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0663C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так как мотор снят с плана. ИАМ ведет экспериментальные испытания на одноцилиндровых установках.</w:t>
            </w:r>
          </w:p>
        </w:tc>
      </w:tr>
      <w:tr w:rsidR="001002C3" w:rsidRPr="007122AB" w14:paraId="00460471" w14:textId="77777777">
        <w:tc>
          <w:tcPr>
            <w:tcW w:w="3024" w:type="dxa"/>
          </w:tcPr>
          <w:p w14:paraId="72ED29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0F7115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w:t>
            </w:r>
          </w:p>
        </w:tc>
      </w:tr>
      <w:tr w:rsidR="001002C3" w:rsidRPr="007122AB" w14:paraId="04ED5929" w14:textId="77777777">
        <w:tc>
          <w:tcPr>
            <w:tcW w:w="3024" w:type="dxa"/>
          </w:tcPr>
          <w:p w14:paraId="192513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E5CB0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1FFDE8D" w14:textId="77777777">
        <w:tc>
          <w:tcPr>
            <w:tcW w:w="3024" w:type="dxa"/>
          </w:tcPr>
          <w:p w14:paraId="20823A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3F04B0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DEF0C4" w14:textId="77777777">
        <w:tc>
          <w:tcPr>
            <w:tcW w:w="3024" w:type="dxa"/>
          </w:tcPr>
          <w:p w14:paraId="400989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48EE1D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525</w:t>
            </w:r>
          </w:p>
        </w:tc>
      </w:tr>
      <w:tr w:rsidR="001002C3" w:rsidRPr="007122AB" w14:paraId="74057FEF" w14:textId="77777777">
        <w:tc>
          <w:tcPr>
            <w:tcW w:w="3024" w:type="dxa"/>
          </w:tcPr>
          <w:p w14:paraId="10C781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50B6130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1930 года</w:t>
            </w:r>
          </w:p>
        </w:tc>
      </w:tr>
      <w:tr w:rsidR="001002C3" w:rsidRPr="007122AB" w14:paraId="6DE14193" w14:textId="77777777">
        <w:tc>
          <w:tcPr>
            <w:tcW w:w="3024" w:type="dxa"/>
          </w:tcPr>
          <w:p w14:paraId="1209E6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Степень выполнения на 15 мая 1931 года</w:t>
            </w:r>
          </w:p>
        </w:tc>
        <w:tc>
          <w:tcPr>
            <w:tcW w:w="7432" w:type="dxa"/>
          </w:tcPr>
          <w:p w14:paraId="20CCDA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прошел 100 часовые гос. испытания, причем в части передачи к импеллеру неудовлетворительно. Мотор передан для установки на самолет Р-5 и проведения летных испытаний. Ориентировочный срок летных испытаний – май 1931 года. Проводятся летные заводские испытания.</w:t>
            </w:r>
          </w:p>
        </w:tc>
      </w:tr>
      <w:tr w:rsidR="001002C3" w:rsidRPr="007122AB" w14:paraId="6FE11E33" w14:textId="77777777">
        <w:tc>
          <w:tcPr>
            <w:tcW w:w="3024" w:type="dxa"/>
          </w:tcPr>
          <w:p w14:paraId="759D9B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3A732F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гражданской авиации М-26</w:t>
            </w:r>
          </w:p>
        </w:tc>
      </w:tr>
      <w:tr w:rsidR="001002C3" w:rsidRPr="007122AB" w14:paraId="7D25C2AA" w14:textId="77777777">
        <w:tc>
          <w:tcPr>
            <w:tcW w:w="3024" w:type="dxa"/>
          </w:tcPr>
          <w:p w14:paraId="2A507C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6CD331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0DD2C0D4" w14:textId="77777777">
        <w:tc>
          <w:tcPr>
            <w:tcW w:w="3024" w:type="dxa"/>
          </w:tcPr>
          <w:p w14:paraId="2CA9E7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0D298B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r>
      <w:tr w:rsidR="001002C3" w:rsidRPr="007122AB" w14:paraId="722D7275" w14:textId="77777777">
        <w:tc>
          <w:tcPr>
            <w:tcW w:w="3024" w:type="dxa"/>
          </w:tcPr>
          <w:p w14:paraId="693C38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463ECC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34DCF7F5" w14:textId="77777777">
        <w:tc>
          <w:tcPr>
            <w:tcW w:w="3024" w:type="dxa"/>
          </w:tcPr>
          <w:p w14:paraId="548CE4D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3C3413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1930 года</w:t>
            </w:r>
          </w:p>
        </w:tc>
      </w:tr>
      <w:tr w:rsidR="001002C3" w:rsidRPr="007122AB" w14:paraId="4D76E79E" w14:textId="77777777">
        <w:tc>
          <w:tcPr>
            <w:tcW w:w="3024" w:type="dxa"/>
          </w:tcPr>
          <w:p w14:paraId="1C213F6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28A44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прошел 50 часовые гос. испытания удовлетворительно 20 февраля 1931 года. Предъявляется на вооружение.</w:t>
            </w:r>
          </w:p>
        </w:tc>
      </w:tr>
      <w:tr w:rsidR="001002C3" w:rsidRPr="007122AB" w14:paraId="4E626981" w14:textId="77777777">
        <w:tc>
          <w:tcPr>
            <w:tcW w:w="3024" w:type="dxa"/>
          </w:tcPr>
          <w:p w14:paraId="65A075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57BB7A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М-15а</w:t>
            </w:r>
          </w:p>
        </w:tc>
      </w:tr>
      <w:tr w:rsidR="001002C3" w:rsidRPr="007122AB" w14:paraId="70D4B4D3" w14:textId="77777777">
        <w:tc>
          <w:tcPr>
            <w:tcW w:w="3024" w:type="dxa"/>
          </w:tcPr>
          <w:p w14:paraId="307656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6E8EC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08B216E8" w14:textId="77777777">
        <w:tc>
          <w:tcPr>
            <w:tcW w:w="3024" w:type="dxa"/>
          </w:tcPr>
          <w:p w14:paraId="2B2A06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063DB76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r>
      <w:tr w:rsidR="001002C3" w:rsidRPr="007122AB" w14:paraId="732D308A" w14:textId="77777777">
        <w:tc>
          <w:tcPr>
            <w:tcW w:w="3024" w:type="dxa"/>
          </w:tcPr>
          <w:p w14:paraId="33257B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3FEC9C1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515C7CCC" w14:textId="77777777">
        <w:tc>
          <w:tcPr>
            <w:tcW w:w="3024" w:type="dxa"/>
          </w:tcPr>
          <w:p w14:paraId="27AC06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0D8564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59100804" w14:textId="77777777">
        <w:tc>
          <w:tcPr>
            <w:tcW w:w="3024" w:type="dxa"/>
          </w:tcPr>
          <w:p w14:paraId="642C86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B3B9D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исполнению не принят.</w:t>
            </w:r>
          </w:p>
        </w:tc>
      </w:tr>
      <w:tr w:rsidR="001002C3" w:rsidRPr="007122AB" w14:paraId="7BDF3471" w14:textId="77777777">
        <w:tc>
          <w:tcPr>
            <w:tcW w:w="3024" w:type="dxa"/>
          </w:tcPr>
          <w:p w14:paraId="571073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2D2B94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 бомбардировщиков М-35</w:t>
            </w:r>
          </w:p>
        </w:tc>
      </w:tr>
      <w:tr w:rsidR="001002C3" w:rsidRPr="007122AB" w14:paraId="6B8ED816" w14:textId="77777777">
        <w:tc>
          <w:tcPr>
            <w:tcW w:w="3024" w:type="dxa"/>
          </w:tcPr>
          <w:p w14:paraId="3CEBCD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D39C0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12481E89" w14:textId="77777777">
        <w:tc>
          <w:tcPr>
            <w:tcW w:w="3024" w:type="dxa"/>
          </w:tcPr>
          <w:p w14:paraId="6204BE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432" w:type="dxa"/>
          </w:tcPr>
          <w:p w14:paraId="6B074D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1F4EC41D" w14:textId="77777777">
        <w:tc>
          <w:tcPr>
            <w:tcW w:w="3024" w:type="dxa"/>
          </w:tcPr>
          <w:p w14:paraId="73C81A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432" w:type="dxa"/>
          </w:tcPr>
          <w:p w14:paraId="5EB34A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1250-1500</w:t>
            </w:r>
          </w:p>
        </w:tc>
      </w:tr>
      <w:tr w:rsidR="001002C3" w:rsidRPr="007122AB" w14:paraId="4150A0F8" w14:textId="77777777">
        <w:tc>
          <w:tcPr>
            <w:tcW w:w="3024" w:type="dxa"/>
          </w:tcPr>
          <w:p w14:paraId="2BC647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432" w:type="dxa"/>
          </w:tcPr>
          <w:p w14:paraId="70BA97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1932 года</w:t>
            </w:r>
          </w:p>
        </w:tc>
      </w:tr>
      <w:tr w:rsidR="001002C3" w:rsidRPr="007122AB" w14:paraId="61165725" w14:textId="77777777">
        <w:tc>
          <w:tcPr>
            <w:tcW w:w="3024" w:type="dxa"/>
          </w:tcPr>
          <w:p w14:paraId="4D3C18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5866D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будет развитием М-34. Работы по этому мотору будут вестись в зависимости от удачи с мотором М-34.</w:t>
            </w:r>
          </w:p>
        </w:tc>
      </w:tr>
      <w:tr w:rsidR="001002C3" w:rsidRPr="007122AB" w14:paraId="2727037D" w14:textId="77777777">
        <w:tc>
          <w:tcPr>
            <w:tcW w:w="3024" w:type="dxa"/>
          </w:tcPr>
          <w:p w14:paraId="311A08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432" w:type="dxa"/>
          </w:tcPr>
          <w:p w14:paraId="4EC2ED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Нефтяные моторы</w:t>
            </w:r>
          </w:p>
        </w:tc>
      </w:tr>
      <w:tr w:rsidR="001002C3" w:rsidRPr="007122AB" w14:paraId="20F597DB" w14:textId="77777777">
        <w:tc>
          <w:tcPr>
            <w:tcW w:w="3024" w:type="dxa"/>
          </w:tcPr>
          <w:p w14:paraId="1EBDA3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C2734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в 1932 году будут проектироваться три нефтяных двигателя:</w:t>
            </w:r>
          </w:p>
          <w:p w14:paraId="371D94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 л.с. для ГВФ</w:t>
            </w:r>
          </w:p>
          <w:p w14:paraId="04D560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500-600 л.с. для ВВС</w:t>
            </w:r>
          </w:p>
          <w:p w14:paraId="08D7EB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600-800 л.с. для дирижаблей</w:t>
            </w:r>
          </w:p>
          <w:p w14:paraId="5E7DF3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Технические требования еще не разработаны и срок предъявления не проработан.</w:t>
            </w:r>
          </w:p>
        </w:tc>
      </w:tr>
    </w:tbl>
    <w:p w14:paraId="08CF7D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7122AB" w14:paraId="2586F343" w14:textId="77777777">
        <w:tc>
          <w:tcPr>
            <w:tcW w:w="3024" w:type="dxa"/>
          </w:tcPr>
          <w:p w14:paraId="1B0AD8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0A16BE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r>
      <w:tr w:rsidR="001002C3" w:rsidRPr="007122AB" w14:paraId="0E8DF5AD" w14:textId="77777777">
        <w:tc>
          <w:tcPr>
            <w:tcW w:w="3024" w:type="dxa"/>
          </w:tcPr>
          <w:p w14:paraId="452F1D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B92EC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2D19AB82" w14:textId="77777777">
        <w:tc>
          <w:tcPr>
            <w:tcW w:w="3024" w:type="dxa"/>
          </w:tcPr>
          <w:p w14:paraId="77169E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9DEA2D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41C78F3" w14:textId="77777777">
        <w:tc>
          <w:tcPr>
            <w:tcW w:w="3024" w:type="dxa"/>
          </w:tcPr>
          <w:p w14:paraId="4CD563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162BD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6142E0C" w14:textId="77777777">
        <w:tc>
          <w:tcPr>
            <w:tcW w:w="3024" w:type="dxa"/>
          </w:tcPr>
          <w:p w14:paraId="4358CB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409458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53ED967A" w14:textId="77777777">
        <w:tc>
          <w:tcPr>
            <w:tcW w:w="3024" w:type="dxa"/>
          </w:tcPr>
          <w:p w14:paraId="1F374C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277A5D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пулеметов</w:t>
            </w:r>
          </w:p>
          <w:p w14:paraId="1C6150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p w14:paraId="5C6CC5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перегрузкой 25% 6000 кг бомб</w:t>
            </w:r>
          </w:p>
        </w:tc>
      </w:tr>
      <w:tr w:rsidR="001002C3" w:rsidRPr="007122AB" w14:paraId="6582F3D0" w14:textId="77777777">
        <w:tc>
          <w:tcPr>
            <w:tcW w:w="3024" w:type="dxa"/>
          </w:tcPr>
          <w:p w14:paraId="5CB29E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4B8918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1AD22889" w14:textId="77777777">
        <w:tc>
          <w:tcPr>
            <w:tcW w:w="3024" w:type="dxa"/>
          </w:tcPr>
          <w:p w14:paraId="6BD061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342C19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w:t>
            </w:r>
          </w:p>
        </w:tc>
      </w:tr>
      <w:tr w:rsidR="001002C3" w:rsidRPr="007122AB" w14:paraId="2C769976" w14:textId="77777777">
        <w:tc>
          <w:tcPr>
            <w:tcW w:w="3024" w:type="dxa"/>
          </w:tcPr>
          <w:p w14:paraId="0B69D9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76CF92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Постановлением РВС от 3 февраля 1931 года утверждены основные данные нагрузок самолета, принято решение о проектировании самолета под 4хМ35 или 6хМ34 с установкой на опытный самолет 6 моторов </w:t>
            </w:r>
            <w:proofErr w:type="spellStart"/>
            <w:r w:rsidRPr="007122AB">
              <w:rPr>
                <w:rFonts w:ascii="Times New Roman" w:hAnsi="Times New Roman"/>
                <w:color w:val="000000" w:themeColor="text1"/>
                <w:sz w:val="16"/>
                <w:szCs w:val="16"/>
              </w:rPr>
              <w:t>Роллс</w:t>
            </w:r>
            <w:proofErr w:type="spellEnd"/>
            <w:r w:rsidRPr="007122AB">
              <w:rPr>
                <w:rFonts w:ascii="Times New Roman" w:hAnsi="Times New Roman"/>
                <w:color w:val="000000" w:themeColor="text1"/>
                <w:sz w:val="16"/>
                <w:szCs w:val="16"/>
              </w:rPr>
              <w:t xml:space="preserve"> Ройс с НХII и о постройке двух вариантов первого </w:t>
            </w:r>
            <w:proofErr w:type="spellStart"/>
            <w:r w:rsidRPr="007122AB">
              <w:rPr>
                <w:rFonts w:ascii="Times New Roman" w:hAnsi="Times New Roman"/>
                <w:color w:val="000000" w:themeColor="text1"/>
                <w:sz w:val="16"/>
                <w:szCs w:val="16"/>
              </w:rPr>
              <w:t>дюр</w:t>
            </w:r>
            <w:proofErr w:type="spellEnd"/>
            <w:r w:rsidRPr="007122AB">
              <w:rPr>
                <w:rFonts w:ascii="Times New Roman" w:hAnsi="Times New Roman"/>
                <w:color w:val="000000" w:themeColor="text1"/>
                <w:sz w:val="16"/>
                <w:szCs w:val="16"/>
              </w:rPr>
              <w:t xml:space="preserve"> алюминиевого с площадью крыльев 410 м кв. и второго стального с площадью крыльев 340 м кв.</w:t>
            </w:r>
          </w:p>
          <w:p w14:paraId="144309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Утверждены схемы самолета ТБ4 (с площадью крыльев 410 м кв.) и макет в части кабин летчиков и командира. В ЦАГИ развернуты работы по постройке самолета. Происходит сборка хвостовой части фюзеляжа. Дан в Англию заказ на моторы </w:t>
            </w:r>
            <w:proofErr w:type="spellStart"/>
            <w:r w:rsidRPr="007122AB">
              <w:rPr>
                <w:rFonts w:ascii="Times New Roman" w:hAnsi="Times New Roman"/>
                <w:color w:val="000000" w:themeColor="text1"/>
                <w:sz w:val="16"/>
                <w:szCs w:val="16"/>
              </w:rPr>
              <w:t>Роллс</w:t>
            </w:r>
            <w:proofErr w:type="spellEnd"/>
            <w:r w:rsidRPr="007122AB">
              <w:rPr>
                <w:rFonts w:ascii="Times New Roman" w:hAnsi="Times New Roman"/>
                <w:color w:val="000000" w:themeColor="text1"/>
                <w:sz w:val="16"/>
                <w:szCs w:val="16"/>
              </w:rPr>
              <w:t xml:space="preserve"> Ройс с НХII.</w:t>
            </w:r>
          </w:p>
          <w:p w14:paraId="6AD5F0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2B396E5D" w14:textId="77777777">
        <w:tc>
          <w:tcPr>
            <w:tcW w:w="3024" w:type="dxa"/>
          </w:tcPr>
          <w:p w14:paraId="5CEA1F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1CC777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ТБ5-4ЮVI</w:t>
            </w:r>
          </w:p>
        </w:tc>
      </w:tr>
      <w:tr w:rsidR="001002C3" w:rsidRPr="007122AB" w14:paraId="3F86A753" w14:textId="77777777">
        <w:tc>
          <w:tcPr>
            <w:tcW w:w="3024" w:type="dxa"/>
          </w:tcPr>
          <w:p w14:paraId="554BBD0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559E93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6DFAB667" w14:textId="77777777">
        <w:tc>
          <w:tcPr>
            <w:tcW w:w="3024" w:type="dxa"/>
          </w:tcPr>
          <w:p w14:paraId="2BCE02A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1947AE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208/3000</w:t>
            </w:r>
          </w:p>
        </w:tc>
      </w:tr>
      <w:tr w:rsidR="001002C3" w:rsidRPr="007122AB" w14:paraId="264F9CDE" w14:textId="77777777">
        <w:tc>
          <w:tcPr>
            <w:tcW w:w="3024" w:type="dxa"/>
          </w:tcPr>
          <w:p w14:paraId="463479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6624A1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19/3000</w:t>
            </w:r>
          </w:p>
        </w:tc>
      </w:tr>
      <w:tr w:rsidR="001002C3" w:rsidRPr="007122AB" w14:paraId="0EE3361D" w14:textId="77777777">
        <w:tc>
          <w:tcPr>
            <w:tcW w:w="3024" w:type="dxa"/>
          </w:tcPr>
          <w:p w14:paraId="5741C4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112D38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60CA6059" w14:textId="77777777">
        <w:tc>
          <w:tcPr>
            <w:tcW w:w="3024" w:type="dxa"/>
          </w:tcPr>
          <w:p w14:paraId="3D9FA9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3124A8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 пулеметов</w:t>
            </w:r>
          </w:p>
          <w:p w14:paraId="665EDF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кг бомб</w:t>
            </w:r>
          </w:p>
          <w:p w14:paraId="60B6D3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перегрузкой и за счет горючего 4000 кг бомб</w:t>
            </w:r>
          </w:p>
        </w:tc>
      </w:tr>
      <w:tr w:rsidR="001002C3" w:rsidRPr="007122AB" w14:paraId="5A3444A6" w14:textId="77777777">
        <w:tc>
          <w:tcPr>
            <w:tcW w:w="3024" w:type="dxa"/>
          </w:tcPr>
          <w:p w14:paraId="4EDF27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620E50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4AAD59FD" w14:textId="77777777">
        <w:tc>
          <w:tcPr>
            <w:tcW w:w="3024" w:type="dxa"/>
          </w:tcPr>
          <w:p w14:paraId="223A8C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3B3DBD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4C951915" w14:textId="77777777">
        <w:tc>
          <w:tcPr>
            <w:tcW w:w="3024" w:type="dxa"/>
          </w:tcPr>
          <w:p w14:paraId="77620D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07B2E2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самолета закончено. Ведется постройка. Ввиду недостатка квалифицированной рабочей силы на заводе № 39 самолет постройкой задерживается. Заводом предложена передача его на гос. испытания в первой половине июля 1931 года с запозданием против срока по плану на 2 месяца.</w:t>
            </w:r>
          </w:p>
          <w:p w14:paraId="74AA83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Вахмистров.</w:t>
            </w:r>
          </w:p>
        </w:tc>
      </w:tr>
      <w:tr w:rsidR="001002C3" w:rsidRPr="007122AB" w14:paraId="2612DEA8" w14:textId="77777777">
        <w:tc>
          <w:tcPr>
            <w:tcW w:w="3024" w:type="dxa"/>
          </w:tcPr>
          <w:p w14:paraId="0EF014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B5990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МИ3-М17</w:t>
            </w:r>
          </w:p>
        </w:tc>
      </w:tr>
      <w:tr w:rsidR="001002C3" w:rsidRPr="007122AB" w14:paraId="03D013BA" w14:textId="77777777">
        <w:tc>
          <w:tcPr>
            <w:tcW w:w="3024" w:type="dxa"/>
          </w:tcPr>
          <w:p w14:paraId="3CF4A2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014AA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6B787B15" w14:textId="77777777">
        <w:tc>
          <w:tcPr>
            <w:tcW w:w="3024" w:type="dxa"/>
          </w:tcPr>
          <w:p w14:paraId="609188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4A3196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260/5000</w:t>
            </w:r>
          </w:p>
        </w:tc>
      </w:tr>
      <w:tr w:rsidR="001002C3" w:rsidRPr="007122AB" w14:paraId="775735B4" w14:textId="77777777">
        <w:tc>
          <w:tcPr>
            <w:tcW w:w="3024" w:type="dxa"/>
          </w:tcPr>
          <w:p w14:paraId="0816C5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6C96FC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10,5/13,5/5000</w:t>
            </w:r>
          </w:p>
        </w:tc>
      </w:tr>
      <w:tr w:rsidR="001002C3" w:rsidRPr="007122AB" w14:paraId="2AE62D24" w14:textId="77777777">
        <w:tc>
          <w:tcPr>
            <w:tcW w:w="3024" w:type="dxa"/>
          </w:tcPr>
          <w:p w14:paraId="67B425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05084F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ABC71A9" w14:textId="77777777">
        <w:tc>
          <w:tcPr>
            <w:tcW w:w="3024" w:type="dxa"/>
          </w:tcPr>
          <w:p w14:paraId="5B5E90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55E8B0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tc>
      </w:tr>
      <w:tr w:rsidR="001002C3" w:rsidRPr="007122AB" w14:paraId="42AC9C5C" w14:textId="77777777">
        <w:tc>
          <w:tcPr>
            <w:tcW w:w="3024" w:type="dxa"/>
          </w:tcPr>
          <w:p w14:paraId="0A6158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37ECD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250-275</w:t>
            </w:r>
          </w:p>
        </w:tc>
      </w:tr>
      <w:tr w:rsidR="001002C3" w:rsidRPr="007122AB" w14:paraId="084D3660" w14:textId="77777777">
        <w:tc>
          <w:tcPr>
            <w:tcW w:w="3024" w:type="dxa"/>
          </w:tcPr>
          <w:p w14:paraId="72F73F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1252A9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года</w:t>
            </w:r>
          </w:p>
        </w:tc>
      </w:tr>
      <w:tr w:rsidR="001002C3" w:rsidRPr="007122AB" w14:paraId="7494C466" w14:textId="77777777">
        <w:tc>
          <w:tcPr>
            <w:tcW w:w="3024" w:type="dxa"/>
          </w:tcPr>
          <w:p w14:paraId="152BB5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мая 1931 года</w:t>
            </w:r>
          </w:p>
        </w:tc>
        <w:tc>
          <w:tcPr>
            <w:tcW w:w="7432" w:type="dxa"/>
          </w:tcPr>
          <w:p w14:paraId="48DDD06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Первые заводские полеты самолет сделал в начале января 1931 года. В течение квартала ЦКБ завода № 39 вело заводские испытания, подбор винтов и устранение ряда выявленных дефектов. Самолет передан на гос. испытания в последних числах апреля 1931 года с запозданием против срока по плану на 3 месяца. Ведущиеся гос. испытания показывают невыполнение </w:t>
            </w:r>
            <w:proofErr w:type="spellStart"/>
            <w:r w:rsidRPr="007122AB">
              <w:rPr>
                <w:rFonts w:ascii="Times New Roman" w:hAnsi="Times New Roman"/>
                <w:color w:val="000000" w:themeColor="text1"/>
                <w:sz w:val="16"/>
                <w:szCs w:val="16"/>
              </w:rPr>
              <w:t>техтребований</w:t>
            </w:r>
            <w:proofErr w:type="spellEnd"/>
            <w:r w:rsidRPr="007122AB">
              <w:rPr>
                <w:rFonts w:ascii="Times New Roman" w:hAnsi="Times New Roman"/>
                <w:color w:val="000000" w:themeColor="text1"/>
                <w:sz w:val="16"/>
                <w:szCs w:val="16"/>
              </w:rPr>
              <w:t xml:space="preserve"> в части скорости и скороподъемности.</w:t>
            </w:r>
          </w:p>
          <w:p w14:paraId="0091CD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6254B36F" w14:textId="77777777">
        <w:tc>
          <w:tcPr>
            <w:tcW w:w="3024" w:type="dxa"/>
          </w:tcPr>
          <w:p w14:paraId="0A3F60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Наименование самолета</w:t>
            </w:r>
          </w:p>
        </w:tc>
        <w:tc>
          <w:tcPr>
            <w:tcW w:w="7432" w:type="dxa"/>
          </w:tcPr>
          <w:p w14:paraId="3C6DFB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МИ3-2хМ34</w:t>
            </w:r>
          </w:p>
        </w:tc>
      </w:tr>
      <w:tr w:rsidR="001002C3" w:rsidRPr="007122AB" w14:paraId="1B8B5E95" w14:textId="77777777">
        <w:tc>
          <w:tcPr>
            <w:tcW w:w="3024" w:type="dxa"/>
          </w:tcPr>
          <w:p w14:paraId="667493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2156D7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60C6401E" w14:textId="77777777">
        <w:tc>
          <w:tcPr>
            <w:tcW w:w="3024" w:type="dxa"/>
          </w:tcPr>
          <w:p w14:paraId="4CB828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4FF40D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300/3000-6000</w:t>
            </w:r>
          </w:p>
        </w:tc>
      </w:tr>
      <w:tr w:rsidR="001002C3" w:rsidRPr="007122AB" w14:paraId="7C25F8F4" w14:textId="77777777">
        <w:tc>
          <w:tcPr>
            <w:tcW w:w="3024" w:type="dxa"/>
          </w:tcPr>
          <w:p w14:paraId="309699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1C90DA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13/5000</w:t>
            </w:r>
          </w:p>
        </w:tc>
      </w:tr>
      <w:tr w:rsidR="001002C3" w:rsidRPr="007122AB" w14:paraId="23334ADB" w14:textId="77777777">
        <w:tc>
          <w:tcPr>
            <w:tcW w:w="3024" w:type="dxa"/>
          </w:tcPr>
          <w:p w14:paraId="57CCA1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6065246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7000-8000</w:t>
            </w:r>
          </w:p>
        </w:tc>
      </w:tr>
      <w:tr w:rsidR="001002C3" w:rsidRPr="007122AB" w14:paraId="3383CDAC" w14:textId="77777777">
        <w:tc>
          <w:tcPr>
            <w:tcW w:w="3024" w:type="dxa"/>
          </w:tcPr>
          <w:p w14:paraId="01CB84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7A922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тяжелых пулемета</w:t>
            </w:r>
          </w:p>
          <w:p w14:paraId="2EB010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легкий пулемет</w:t>
            </w:r>
          </w:p>
        </w:tc>
      </w:tr>
      <w:tr w:rsidR="001002C3" w:rsidRPr="007122AB" w14:paraId="3288533B" w14:textId="77777777">
        <w:tc>
          <w:tcPr>
            <w:tcW w:w="3024" w:type="dxa"/>
          </w:tcPr>
          <w:p w14:paraId="6275FB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6346E9E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52EB1ECD" w14:textId="77777777">
        <w:tc>
          <w:tcPr>
            <w:tcW w:w="3024" w:type="dxa"/>
          </w:tcPr>
          <w:p w14:paraId="32EDD2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68A311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1932 года</w:t>
            </w:r>
          </w:p>
        </w:tc>
      </w:tr>
      <w:tr w:rsidR="001002C3" w:rsidRPr="007122AB" w14:paraId="1C7E7A6C" w14:textId="77777777">
        <w:tc>
          <w:tcPr>
            <w:tcW w:w="3024" w:type="dxa"/>
          </w:tcPr>
          <w:p w14:paraId="210974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02C10D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Утверждена схема самолета. Разработаны и представлены ЦАГИ </w:t>
            </w:r>
            <w:proofErr w:type="spellStart"/>
            <w:r w:rsidRPr="007122AB">
              <w:rPr>
                <w:rFonts w:ascii="Times New Roman" w:hAnsi="Times New Roman"/>
                <w:color w:val="000000" w:themeColor="text1"/>
                <w:sz w:val="16"/>
                <w:szCs w:val="16"/>
              </w:rPr>
              <w:t>техтребования</w:t>
            </w:r>
            <w:proofErr w:type="spellEnd"/>
            <w:r w:rsidRPr="007122AB">
              <w:rPr>
                <w:rFonts w:ascii="Times New Roman" w:hAnsi="Times New Roman"/>
                <w:color w:val="000000" w:themeColor="text1"/>
                <w:sz w:val="16"/>
                <w:szCs w:val="16"/>
              </w:rPr>
              <w:t>. Начато проектирование самолета.</w:t>
            </w:r>
          </w:p>
          <w:p w14:paraId="433327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1C35FC4F" w14:textId="77777777">
        <w:tc>
          <w:tcPr>
            <w:tcW w:w="3024" w:type="dxa"/>
          </w:tcPr>
          <w:p w14:paraId="3B2B38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0421B5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w:t>
            </w:r>
          </w:p>
        </w:tc>
      </w:tr>
      <w:tr w:rsidR="001002C3" w:rsidRPr="007122AB" w14:paraId="0CBE7AD3" w14:textId="77777777">
        <w:tc>
          <w:tcPr>
            <w:tcW w:w="3024" w:type="dxa"/>
          </w:tcPr>
          <w:p w14:paraId="5E1D1D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DF9A1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381B5CC8" w14:textId="77777777">
        <w:tc>
          <w:tcPr>
            <w:tcW w:w="3024" w:type="dxa"/>
          </w:tcPr>
          <w:p w14:paraId="027A95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3CF70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245/3000</w:t>
            </w:r>
          </w:p>
        </w:tc>
      </w:tr>
      <w:tr w:rsidR="001002C3" w:rsidRPr="007122AB" w14:paraId="1A9AF1F4" w14:textId="77777777">
        <w:tc>
          <w:tcPr>
            <w:tcW w:w="3024" w:type="dxa"/>
          </w:tcPr>
          <w:p w14:paraId="0CC328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5EE86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10/3000</w:t>
            </w:r>
          </w:p>
        </w:tc>
      </w:tr>
      <w:tr w:rsidR="001002C3" w:rsidRPr="007122AB" w14:paraId="1316B847" w14:textId="77777777">
        <w:tc>
          <w:tcPr>
            <w:tcW w:w="3024" w:type="dxa"/>
          </w:tcPr>
          <w:p w14:paraId="4540F0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674668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r>
      <w:tr w:rsidR="001002C3" w:rsidRPr="007122AB" w14:paraId="214D8624" w14:textId="77777777">
        <w:tc>
          <w:tcPr>
            <w:tcW w:w="3024" w:type="dxa"/>
          </w:tcPr>
          <w:p w14:paraId="69A824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29D8D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w:t>
            </w:r>
          </w:p>
        </w:tc>
      </w:tr>
      <w:tr w:rsidR="001002C3" w:rsidRPr="007122AB" w14:paraId="3DD2BCB0" w14:textId="77777777">
        <w:tc>
          <w:tcPr>
            <w:tcW w:w="3024" w:type="dxa"/>
          </w:tcPr>
          <w:p w14:paraId="361FD40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7E166F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7488384" w14:textId="77777777">
        <w:tc>
          <w:tcPr>
            <w:tcW w:w="3024" w:type="dxa"/>
          </w:tcPr>
          <w:p w14:paraId="589D70F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2B02D8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3BC11DBE" w14:textId="77777777">
        <w:tc>
          <w:tcPr>
            <w:tcW w:w="3024" w:type="dxa"/>
          </w:tcPr>
          <w:p w14:paraId="23EA381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B77B6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Переработаны и представлены ЦКБ завода № 39 в окончательном виде </w:t>
            </w:r>
            <w:proofErr w:type="spellStart"/>
            <w:r w:rsidRPr="007122AB">
              <w:rPr>
                <w:rFonts w:ascii="Times New Roman" w:hAnsi="Times New Roman"/>
                <w:color w:val="000000" w:themeColor="text1"/>
                <w:sz w:val="16"/>
                <w:szCs w:val="16"/>
              </w:rPr>
              <w:t>техтребования</w:t>
            </w:r>
            <w:proofErr w:type="spellEnd"/>
            <w:r w:rsidRPr="007122AB">
              <w:rPr>
                <w:rFonts w:ascii="Times New Roman" w:hAnsi="Times New Roman"/>
                <w:color w:val="000000" w:themeColor="text1"/>
                <w:sz w:val="16"/>
                <w:szCs w:val="16"/>
              </w:rPr>
              <w:t xml:space="preserve"> на самолет. Завод остановился на схеме моноплана двухвостки с кольчугалюминиевыми крыльями взамен разработанного ранее полутораплана с деревянными крыльями. Решение принятое заводом опротестовывается ввиду недопустимости базирования на кольчугалюминий для самолетов среднего веса. Завод № 39 (ЦКБ) предполагает передать самолет на гос. испытания в августе с запозданием против срока по плану более чем на три месяца.</w:t>
            </w:r>
          </w:p>
          <w:p w14:paraId="6AA44A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6D93C2C1" w14:textId="77777777">
        <w:tc>
          <w:tcPr>
            <w:tcW w:w="3024" w:type="dxa"/>
          </w:tcPr>
          <w:p w14:paraId="7A9EC7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384942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r>
      <w:tr w:rsidR="001002C3" w:rsidRPr="007122AB" w14:paraId="45BFB7B9" w14:textId="77777777">
        <w:tc>
          <w:tcPr>
            <w:tcW w:w="3024" w:type="dxa"/>
          </w:tcPr>
          <w:p w14:paraId="58A346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0AD919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66DA9C91" w14:textId="77777777">
        <w:tc>
          <w:tcPr>
            <w:tcW w:w="3024" w:type="dxa"/>
          </w:tcPr>
          <w:p w14:paraId="66F7FD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52C190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250/3000</w:t>
            </w:r>
          </w:p>
        </w:tc>
      </w:tr>
      <w:tr w:rsidR="001002C3" w:rsidRPr="007122AB" w14:paraId="2ACBC0F6" w14:textId="77777777">
        <w:tc>
          <w:tcPr>
            <w:tcW w:w="3024" w:type="dxa"/>
          </w:tcPr>
          <w:p w14:paraId="6BB554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2683D6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8/10/3000</w:t>
            </w:r>
          </w:p>
        </w:tc>
      </w:tr>
      <w:tr w:rsidR="001002C3" w:rsidRPr="007122AB" w14:paraId="34CEC30F" w14:textId="77777777">
        <w:tc>
          <w:tcPr>
            <w:tcW w:w="3024" w:type="dxa"/>
          </w:tcPr>
          <w:p w14:paraId="65B664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214D7D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7000-7500</w:t>
            </w:r>
          </w:p>
        </w:tc>
      </w:tr>
      <w:tr w:rsidR="001002C3" w:rsidRPr="007122AB" w14:paraId="48C7BACE" w14:textId="77777777">
        <w:tc>
          <w:tcPr>
            <w:tcW w:w="3024" w:type="dxa"/>
          </w:tcPr>
          <w:p w14:paraId="7B1DD6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42B585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w:t>
            </w:r>
          </w:p>
        </w:tc>
      </w:tr>
      <w:tr w:rsidR="001002C3" w:rsidRPr="007122AB" w14:paraId="169F53E3" w14:textId="77777777">
        <w:tc>
          <w:tcPr>
            <w:tcW w:w="3024" w:type="dxa"/>
          </w:tcPr>
          <w:p w14:paraId="315656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8502B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650-750</w:t>
            </w:r>
          </w:p>
        </w:tc>
      </w:tr>
      <w:tr w:rsidR="001002C3" w:rsidRPr="007122AB" w14:paraId="30C8BD11" w14:textId="77777777">
        <w:tc>
          <w:tcPr>
            <w:tcW w:w="3024" w:type="dxa"/>
          </w:tcPr>
          <w:p w14:paraId="7961EA0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3C5C02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года</w:t>
            </w:r>
          </w:p>
        </w:tc>
      </w:tr>
      <w:tr w:rsidR="001002C3" w:rsidRPr="007122AB" w14:paraId="3735A4AD" w14:textId="77777777">
        <w:tc>
          <w:tcPr>
            <w:tcW w:w="3024" w:type="dxa"/>
          </w:tcPr>
          <w:p w14:paraId="2009FC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3A179ED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не начата.</w:t>
            </w:r>
          </w:p>
        </w:tc>
      </w:tr>
      <w:tr w:rsidR="001002C3" w:rsidRPr="007122AB" w14:paraId="155AAC62" w14:textId="77777777">
        <w:tc>
          <w:tcPr>
            <w:tcW w:w="3024" w:type="dxa"/>
          </w:tcPr>
          <w:p w14:paraId="1FFB636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0A2054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МДР3-4ЮП6</w:t>
            </w:r>
          </w:p>
        </w:tc>
      </w:tr>
      <w:tr w:rsidR="001002C3" w:rsidRPr="007122AB" w14:paraId="319E7B17" w14:textId="77777777">
        <w:tc>
          <w:tcPr>
            <w:tcW w:w="3024" w:type="dxa"/>
          </w:tcPr>
          <w:p w14:paraId="5293D8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0CE7BF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00EB6DAA" w14:textId="77777777">
        <w:tc>
          <w:tcPr>
            <w:tcW w:w="3024" w:type="dxa"/>
          </w:tcPr>
          <w:p w14:paraId="27E4F5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15A548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r>
      <w:tr w:rsidR="001002C3" w:rsidRPr="007122AB" w14:paraId="53A4E30E" w14:textId="77777777">
        <w:tc>
          <w:tcPr>
            <w:tcW w:w="3024" w:type="dxa"/>
          </w:tcPr>
          <w:p w14:paraId="62DAC3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7D94E1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51CB5DCA" w14:textId="77777777">
        <w:tc>
          <w:tcPr>
            <w:tcW w:w="3024" w:type="dxa"/>
          </w:tcPr>
          <w:p w14:paraId="77A770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6D8EAF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15F543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p w14:paraId="7D2D66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кг бомб</w:t>
            </w:r>
          </w:p>
        </w:tc>
      </w:tr>
      <w:tr w:rsidR="001002C3" w:rsidRPr="007122AB" w14:paraId="5A4DC363" w14:textId="77777777">
        <w:tc>
          <w:tcPr>
            <w:tcW w:w="3024" w:type="dxa"/>
          </w:tcPr>
          <w:p w14:paraId="01D9F56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21A88D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1000-1200</w:t>
            </w:r>
          </w:p>
        </w:tc>
      </w:tr>
      <w:tr w:rsidR="001002C3" w:rsidRPr="007122AB" w14:paraId="6F1EC9E3" w14:textId="77777777">
        <w:tc>
          <w:tcPr>
            <w:tcW w:w="3024" w:type="dxa"/>
          </w:tcPr>
          <w:p w14:paraId="744D87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5D505D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w:t>
            </w:r>
          </w:p>
        </w:tc>
      </w:tr>
      <w:tr w:rsidR="001002C3" w:rsidRPr="007122AB" w14:paraId="2FF5811E" w14:textId="77777777">
        <w:tc>
          <w:tcPr>
            <w:tcW w:w="3024" w:type="dxa"/>
          </w:tcPr>
          <w:p w14:paraId="0B340E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72FCD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велись с опозданием. Самолет к сроку 1 июня 1931 года не будет. Строится лодка. Концевые части крыла строятся по типу ТБ5-4ЮVI. Впервые для гидросамолета использован гидроканал ЦАГИ, </w:t>
            </w:r>
            <w:proofErr w:type="spellStart"/>
            <w:r w:rsidRPr="007122AB">
              <w:rPr>
                <w:rFonts w:ascii="Times New Roman" w:hAnsi="Times New Roman"/>
                <w:color w:val="000000" w:themeColor="text1"/>
                <w:sz w:val="16"/>
                <w:szCs w:val="16"/>
              </w:rPr>
              <w:t>протаски</w:t>
            </w:r>
            <w:proofErr w:type="spellEnd"/>
            <w:r w:rsidRPr="007122AB">
              <w:rPr>
                <w:rFonts w:ascii="Times New Roman" w:hAnsi="Times New Roman"/>
                <w:color w:val="000000" w:themeColor="text1"/>
                <w:sz w:val="16"/>
                <w:szCs w:val="16"/>
              </w:rPr>
              <w:t xml:space="preserve"> которого дали весьма ценные результаты. МДР3-4ЮVI является во всем плане </w:t>
            </w:r>
            <w:proofErr w:type="spellStart"/>
            <w:r w:rsidRPr="007122AB">
              <w:rPr>
                <w:rFonts w:ascii="Times New Roman" w:hAnsi="Times New Roman"/>
                <w:color w:val="000000" w:themeColor="text1"/>
                <w:sz w:val="16"/>
                <w:szCs w:val="16"/>
              </w:rPr>
              <w:t>гидросамолетостроения</w:t>
            </w:r>
            <w:proofErr w:type="spellEnd"/>
            <w:r w:rsidRPr="007122AB">
              <w:rPr>
                <w:rFonts w:ascii="Times New Roman" w:hAnsi="Times New Roman"/>
                <w:color w:val="000000" w:themeColor="text1"/>
                <w:sz w:val="16"/>
                <w:szCs w:val="16"/>
              </w:rPr>
              <w:t xml:space="preserve"> единственным первой очереди. Пробная установка двух моторов тандем до сих пор не выполнена – ВАО задерживает моторы. Опоздание предъявления на типовые испытания примерно на 3 месяца.</w:t>
            </w:r>
          </w:p>
        </w:tc>
      </w:tr>
    </w:tbl>
    <w:p w14:paraId="786716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7122AB" w14:paraId="0927BABA" w14:textId="77777777">
        <w:tc>
          <w:tcPr>
            <w:tcW w:w="3024" w:type="dxa"/>
          </w:tcPr>
          <w:p w14:paraId="25C85B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127AB9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ДИ4-М19</w:t>
            </w:r>
          </w:p>
        </w:tc>
      </w:tr>
      <w:tr w:rsidR="001002C3" w:rsidRPr="007122AB" w14:paraId="6C8D1685" w14:textId="77777777">
        <w:tc>
          <w:tcPr>
            <w:tcW w:w="3024" w:type="dxa"/>
          </w:tcPr>
          <w:p w14:paraId="543333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B4336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55FD7927" w14:textId="77777777">
        <w:tc>
          <w:tcPr>
            <w:tcW w:w="3024" w:type="dxa"/>
          </w:tcPr>
          <w:p w14:paraId="7BA5DB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4DD39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280/5000</w:t>
            </w:r>
          </w:p>
        </w:tc>
      </w:tr>
      <w:tr w:rsidR="001002C3" w:rsidRPr="007122AB" w14:paraId="0423BD94" w14:textId="77777777">
        <w:tc>
          <w:tcPr>
            <w:tcW w:w="3024" w:type="dxa"/>
          </w:tcPr>
          <w:p w14:paraId="781DB76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27124D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8,5/5000</w:t>
            </w:r>
          </w:p>
        </w:tc>
      </w:tr>
      <w:tr w:rsidR="001002C3" w:rsidRPr="007122AB" w14:paraId="4F989692" w14:textId="77777777">
        <w:tc>
          <w:tcPr>
            <w:tcW w:w="3024" w:type="dxa"/>
          </w:tcPr>
          <w:p w14:paraId="6A2C8A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49DA1D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1DD9D290" w14:textId="77777777">
        <w:tc>
          <w:tcPr>
            <w:tcW w:w="3024" w:type="dxa"/>
          </w:tcPr>
          <w:p w14:paraId="2BD530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2CB7AF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tc>
      </w:tr>
      <w:tr w:rsidR="001002C3" w:rsidRPr="007122AB" w14:paraId="35841999" w14:textId="77777777">
        <w:tc>
          <w:tcPr>
            <w:tcW w:w="3024" w:type="dxa"/>
          </w:tcPr>
          <w:p w14:paraId="486FA9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7ECDBA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450-500</w:t>
            </w:r>
          </w:p>
        </w:tc>
      </w:tr>
      <w:tr w:rsidR="001002C3" w:rsidRPr="007122AB" w14:paraId="746FA42A" w14:textId="77777777">
        <w:tc>
          <w:tcPr>
            <w:tcW w:w="3024" w:type="dxa"/>
          </w:tcPr>
          <w:p w14:paraId="27D6D5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77BEF9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 года</w:t>
            </w:r>
          </w:p>
        </w:tc>
      </w:tr>
      <w:tr w:rsidR="001002C3" w:rsidRPr="007122AB" w14:paraId="00CFD9EF" w14:textId="77777777">
        <w:tc>
          <w:tcPr>
            <w:tcW w:w="3024" w:type="dxa"/>
          </w:tcPr>
          <w:p w14:paraId="79F9D6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009FD3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ВАО приняло решение проектировать и строить самолет не под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(высотный) как было раньше намечено, а под М19а. С указанным мотором самолет будет обладать более низкими летно-тактическими данными, которые могут быть улучшены при замене мотора М19 более высотным мотором М19а (со специальным импеллером). Макет самолета утвержден. Проектирование и постройка ведутся группой французского инженера </w:t>
            </w:r>
            <w:proofErr w:type="spellStart"/>
            <w:r w:rsidRPr="007122AB">
              <w:rPr>
                <w:rFonts w:ascii="Times New Roman" w:hAnsi="Times New Roman"/>
                <w:color w:val="000000" w:themeColor="text1"/>
                <w:sz w:val="16"/>
                <w:szCs w:val="16"/>
              </w:rPr>
              <w:t>Лавиля</w:t>
            </w:r>
            <w:proofErr w:type="spellEnd"/>
            <w:r w:rsidRPr="007122AB">
              <w:rPr>
                <w:rFonts w:ascii="Times New Roman" w:hAnsi="Times New Roman"/>
                <w:color w:val="000000" w:themeColor="text1"/>
                <w:sz w:val="16"/>
                <w:szCs w:val="16"/>
              </w:rPr>
              <w:t>.</w:t>
            </w:r>
          </w:p>
          <w:p w14:paraId="0E7D87C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0173CBEC" w14:textId="77777777">
        <w:tc>
          <w:tcPr>
            <w:tcW w:w="3024" w:type="dxa"/>
          </w:tcPr>
          <w:p w14:paraId="40E85A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CE8FE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ДИ5-ФЭД</w:t>
            </w:r>
          </w:p>
        </w:tc>
      </w:tr>
      <w:tr w:rsidR="001002C3" w:rsidRPr="007122AB" w14:paraId="02A0E2BF" w14:textId="77777777">
        <w:tc>
          <w:tcPr>
            <w:tcW w:w="3024" w:type="dxa"/>
          </w:tcPr>
          <w:p w14:paraId="5262D9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54A68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1A2FD920" w14:textId="77777777">
        <w:tc>
          <w:tcPr>
            <w:tcW w:w="3024" w:type="dxa"/>
          </w:tcPr>
          <w:p w14:paraId="712762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0F06FD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270/3000</w:t>
            </w:r>
          </w:p>
        </w:tc>
      </w:tr>
      <w:tr w:rsidR="001002C3" w:rsidRPr="007122AB" w14:paraId="404D8297" w14:textId="77777777">
        <w:tc>
          <w:tcPr>
            <w:tcW w:w="3024" w:type="dxa"/>
          </w:tcPr>
          <w:p w14:paraId="38A960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54F7C50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7,6/3000</w:t>
            </w:r>
          </w:p>
        </w:tc>
      </w:tr>
      <w:tr w:rsidR="001002C3" w:rsidRPr="007122AB" w14:paraId="4BDC9A3A" w14:textId="77777777">
        <w:tc>
          <w:tcPr>
            <w:tcW w:w="3024" w:type="dxa"/>
          </w:tcPr>
          <w:p w14:paraId="7897C2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71184A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61B969AE" w14:textId="77777777">
        <w:tc>
          <w:tcPr>
            <w:tcW w:w="3024" w:type="dxa"/>
          </w:tcPr>
          <w:p w14:paraId="691579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7D04F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0D7522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tc>
      </w:tr>
      <w:tr w:rsidR="001002C3" w:rsidRPr="007122AB" w14:paraId="788BD32B" w14:textId="77777777">
        <w:tc>
          <w:tcPr>
            <w:tcW w:w="3024" w:type="dxa"/>
          </w:tcPr>
          <w:p w14:paraId="2118289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36DA87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FBC1BF" w14:textId="77777777">
        <w:tc>
          <w:tcPr>
            <w:tcW w:w="3024" w:type="dxa"/>
          </w:tcPr>
          <w:p w14:paraId="27310A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Время предъявления на гос. испытания</w:t>
            </w:r>
          </w:p>
        </w:tc>
        <w:tc>
          <w:tcPr>
            <w:tcW w:w="7432" w:type="dxa"/>
          </w:tcPr>
          <w:p w14:paraId="1F7B80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w:t>
            </w:r>
          </w:p>
        </w:tc>
      </w:tr>
      <w:tr w:rsidR="001002C3" w:rsidRPr="007122AB" w14:paraId="48BB8B07" w14:textId="77777777">
        <w:tc>
          <w:tcPr>
            <w:tcW w:w="3024" w:type="dxa"/>
          </w:tcPr>
          <w:p w14:paraId="5844B3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EB64D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ввиду неясности вопроса с успешным выпуском мотора ФЭД.</w:t>
            </w:r>
          </w:p>
          <w:p w14:paraId="12C91F1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2CD01113" w14:textId="77777777">
        <w:tc>
          <w:tcPr>
            <w:tcW w:w="3024" w:type="dxa"/>
          </w:tcPr>
          <w:p w14:paraId="5DD170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46C91F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ТШ1-2М34</w:t>
            </w:r>
          </w:p>
        </w:tc>
      </w:tr>
      <w:tr w:rsidR="001002C3" w:rsidRPr="007122AB" w14:paraId="02CC6B43" w14:textId="77777777">
        <w:tc>
          <w:tcPr>
            <w:tcW w:w="3024" w:type="dxa"/>
          </w:tcPr>
          <w:p w14:paraId="452BE3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FCBA6D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6D999105" w14:textId="77777777">
        <w:tc>
          <w:tcPr>
            <w:tcW w:w="3024" w:type="dxa"/>
          </w:tcPr>
          <w:p w14:paraId="773BA5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4638016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18A9C65" w14:textId="77777777">
        <w:tc>
          <w:tcPr>
            <w:tcW w:w="3024" w:type="dxa"/>
          </w:tcPr>
          <w:p w14:paraId="375D62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148B5D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4A557F1" w14:textId="77777777">
        <w:tc>
          <w:tcPr>
            <w:tcW w:w="3024" w:type="dxa"/>
          </w:tcPr>
          <w:p w14:paraId="7D9EAB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4B15F6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5439B6" w14:textId="77777777">
        <w:tc>
          <w:tcPr>
            <w:tcW w:w="3024" w:type="dxa"/>
          </w:tcPr>
          <w:p w14:paraId="762B6D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B0738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пулеметов</w:t>
            </w:r>
          </w:p>
          <w:p w14:paraId="5F06BD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p w14:paraId="20AC62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 кг бомб</w:t>
            </w:r>
          </w:p>
        </w:tc>
      </w:tr>
      <w:tr w:rsidR="001002C3" w:rsidRPr="007122AB" w14:paraId="49486F1A" w14:textId="77777777">
        <w:tc>
          <w:tcPr>
            <w:tcW w:w="3024" w:type="dxa"/>
          </w:tcPr>
          <w:p w14:paraId="0A36C1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719DAE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r>
      <w:tr w:rsidR="001002C3" w:rsidRPr="007122AB" w14:paraId="4EDA7269" w14:textId="77777777">
        <w:tc>
          <w:tcPr>
            <w:tcW w:w="3024" w:type="dxa"/>
          </w:tcPr>
          <w:p w14:paraId="7ADB16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420B84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1932 года</w:t>
            </w:r>
          </w:p>
        </w:tc>
      </w:tr>
      <w:tr w:rsidR="001002C3" w:rsidRPr="007122AB" w14:paraId="7AFBB2C8" w14:textId="77777777">
        <w:tc>
          <w:tcPr>
            <w:tcW w:w="3024" w:type="dxa"/>
          </w:tcPr>
          <w:p w14:paraId="2D640B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721DC4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не ведутся ввиду </w:t>
            </w:r>
            <w:proofErr w:type="spellStart"/>
            <w:r w:rsidRPr="007122AB">
              <w:rPr>
                <w:rFonts w:ascii="Times New Roman" w:hAnsi="Times New Roman"/>
                <w:color w:val="000000" w:themeColor="text1"/>
                <w:sz w:val="16"/>
                <w:szCs w:val="16"/>
              </w:rPr>
              <w:t>невыясненности</w:t>
            </w:r>
            <w:proofErr w:type="spellEnd"/>
            <w:r w:rsidRPr="007122AB">
              <w:rPr>
                <w:rFonts w:ascii="Times New Roman" w:hAnsi="Times New Roman"/>
                <w:color w:val="000000" w:themeColor="text1"/>
                <w:sz w:val="16"/>
                <w:szCs w:val="16"/>
              </w:rPr>
              <w:t xml:space="preserve"> останется ли самолет в системе вооружения.</w:t>
            </w:r>
          </w:p>
        </w:tc>
      </w:tr>
      <w:tr w:rsidR="001002C3" w:rsidRPr="007122AB" w14:paraId="222263AC" w14:textId="77777777">
        <w:tc>
          <w:tcPr>
            <w:tcW w:w="3024" w:type="dxa"/>
          </w:tcPr>
          <w:p w14:paraId="2506AA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0BD915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МТБ3-4М34</w:t>
            </w:r>
          </w:p>
        </w:tc>
      </w:tr>
      <w:tr w:rsidR="001002C3" w:rsidRPr="007122AB" w14:paraId="23675BF1" w14:textId="77777777">
        <w:tc>
          <w:tcPr>
            <w:tcW w:w="3024" w:type="dxa"/>
          </w:tcPr>
          <w:p w14:paraId="1C5689B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EECF4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255D6FE0" w14:textId="77777777">
        <w:tc>
          <w:tcPr>
            <w:tcW w:w="3024" w:type="dxa"/>
          </w:tcPr>
          <w:p w14:paraId="4F3F03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F6F21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26FD986C" w14:textId="77777777">
        <w:tc>
          <w:tcPr>
            <w:tcW w:w="3024" w:type="dxa"/>
          </w:tcPr>
          <w:p w14:paraId="0C99A3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7D1844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3BC57E" w14:textId="77777777">
        <w:tc>
          <w:tcPr>
            <w:tcW w:w="3024" w:type="dxa"/>
          </w:tcPr>
          <w:p w14:paraId="69CD21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7D94BDA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4500-5000</w:t>
            </w:r>
          </w:p>
        </w:tc>
      </w:tr>
      <w:tr w:rsidR="001002C3" w:rsidRPr="007122AB" w14:paraId="6A63DE79" w14:textId="77777777">
        <w:tc>
          <w:tcPr>
            <w:tcW w:w="3024" w:type="dxa"/>
          </w:tcPr>
          <w:p w14:paraId="661464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37584BD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пулеметов</w:t>
            </w:r>
          </w:p>
          <w:p w14:paraId="516252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p w14:paraId="440762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3200-4000 кг бомб</w:t>
            </w:r>
          </w:p>
        </w:tc>
      </w:tr>
      <w:tr w:rsidR="001002C3" w:rsidRPr="007122AB" w14:paraId="18185CFD" w14:textId="77777777">
        <w:tc>
          <w:tcPr>
            <w:tcW w:w="3024" w:type="dxa"/>
          </w:tcPr>
          <w:p w14:paraId="145AC4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793C44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1B499C53" w14:textId="77777777">
        <w:tc>
          <w:tcPr>
            <w:tcW w:w="3024" w:type="dxa"/>
          </w:tcPr>
          <w:p w14:paraId="79B413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0C545B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1932 года</w:t>
            </w:r>
          </w:p>
        </w:tc>
      </w:tr>
      <w:tr w:rsidR="001002C3" w:rsidRPr="007122AB" w14:paraId="1F8A79CA" w14:textId="77777777">
        <w:tc>
          <w:tcPr>
            <w:tcW w:w="3024" w:type="dxa"/>
          </w:tcPr>
          <w:p w14:paraId="71FEDD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972AE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Первоначально разработка схемы велась для выполнения требований штаба РККА, затем ЦАГИ, считая для себя необходимым построить в виде этапа промежуточного тоннажа самолет, разработал второй эскизный проект, используя крыло ТБ3-4М17. Данные этого эскизного проекта требованиям штаба не удовлетворяют. По своей схеме </w:t>
            </w:r>
            <w:proofErr w:type="spellStart"/>
            <w:r w:rsidRPr="007122AB">
              <w:rPr>
                <w:rFonts w:ascii="Times New Roman" w:hAnsi="Times New Roman"/>
                <w:color w:val="000000" w:themeColor="text1"/>
                <w:sz w:val="16"/>
                <w:szCs w:val="16"/>
              </w:rPr>
              <w:t>двухлодки</w:t>
            </w:r>
            <w:proofErr w:type="spellEnd"/>
            <w:r w:rsidRPr="007122AB">
              <w:rPr>
                <w:rFonts w:ascii="Times New Roman" w:hAnsi="Times New Roman"/>
                <w:color w:val="000000" w:themeColor="text1"/>
                <w:sz w:val="16"/>
                <w:szCs w:val="16"/>
              </w:rPr>
              <w:t xml:space="preserve"> самолет может быть задан как «К» крейсер, для чего потребуется повысить скорость с 200 км/час на 275-300 км/час и рабочую высоту с 3000 м на 4500-5000 м. Однако, ЦАГИ остается на той позиции, что переходный самолет будет с теми данными, какие получаются у ЦАГИ. Вопрос окончательного решения не имеет. Мнение ВВС – переходный самолет должен быть построен по требованиям к самолету «К1». Задание и срок на МТБ3 должен быть оставлен без изменений.</w:t>
            </w:r>
          </w:p>
        </w:tc>
      </w:tr>
    </w:tbl>
    <w:p w14:paraId="1E6F05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7122AB" w14:paraId="173051FD" w14:textId="77777777">
        <w:tc>
          <w:tcPr>
            <w:tcW w:w="3024" w:type="dxa"/>
          </w:tcPr>
          <w:p w14:paraId="244299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9F7818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ВС1-2М26 (Р9-2М26)</w:t>
            </w:r>
          </w:p>
        </w:tc>
      </w:tr>
      <w:tr w:rsidR="001002C3" w:rsidRPr="007122AB" w14:paraId="7E3BF44F" w14:textId="77777777">
        <w:tc>
          <w:tcPr>
            <w:tcW w:w="3024" w:type="dxa"/>
          </w:tcPr>
          <w:p w14:paraId="33C610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507D9E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77955D92" w14:textId="77777777">
        <w:tc>
          <w:tcPr>
            <w:tcW w:w="3024" w:type="dxa"/>
          </w:tcPr>
          <w:p w14:paraId="5D1868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0C7820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4D41D8BE" w14:textId="77777777">
        <w:tc>
          <w:tcPr>
            <w:tcW w:w="3024" w:type="dxa"/>
          </w:tcPr>
          <w:p w14:paraId="3833B2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2644F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12/3000</w:t>
            </w:r>
          </w:p>
        </w:tc>
      </w:tr>
      <w:tr w:rsidR="001002C3" w:rsidRPr="007122AB" w14:paraId="1F5140EC" w14:textId="77777777">
        <w:tc>
          <w:tcPr>
            <w:tcW w:w="3024" w:type="dxa"/>
          </w:tcPr>
          <w:p w14:paraId="7224C0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06EF24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4E2F2E3" w14:textId="77777777">
        <w:tc>
          <w:tcPr>
            <w:tcW w:w="3024" w:type="dxa"/>
          </w:tcPr>
          <w:p w14:paraId="0B345D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2E561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w:t>
            </w:r>
          </w:p>
        </w:tc>
      </w:tr>
      <w:tr w:rsidR="001002C3" w:rsidRPr="007122AB" w14:paraId="08A65A46" w14:textId="77777777">
        <w:tc>
          <w:tcPr>
            <w:tcW w:w="3024" w:type="dxa"/>
          </w:tcPr>
          <w:p w14:paraId="718CD1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425D19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часа на мощности 0,9 от номинальной</w:t>
            </w:r>
          </w:p>
        </w:tc>
      </w:tr>
      <w:tr w:rsidR="001002C3" w:rsidRPr="007122AB" w14:paraId="0C88C1B9" w14:textId="77777777">
        <w:tc>
          <w:tcPr>
            <w:tcW w:w="3024" w:type="dxa"/>
          </w:tcPr>
          <w:p w14:paraId="70E1EE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2693BB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 1932 года</w:t>
            </w:r>
          </w:p>
        </w:tc>
      </w:tr>
      <w:tr w:rsidR="001002C3" w:rsidRPr="007122AB" w14:paraId="754DC0B2" w14:textId="77777777">
        <w:tc>
          <w:tcPr>
            <w:tcW w:w="3024" w:type="dxa"/>
          </w:tcPr>
          <w:p w14:paraId="757C9A3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83613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Проектирование и постройку самолета ВАО передало в ГРОС. Разработаны и представлены в ВАО </w:t>
            </w:r>
            <w:proofErr w:type="spellStart"/>
            <w:r w:rsidRPr="007122AB">
              <w:rPr>
                <w:rFonts w:ascii="Times New Roman" w:hAnsi="Times New Roman"/>
                <w:color w:val="000000" w:themeColor="text1"/>
                <w:sz w:val="16"/>
                <w:szCs w:val="16"/>
              </w:rPr>
              <w:t>техтребования</w:t>
            </w:r>
            <w:proofErr w:type="spellEnd"/>
            <w:r w:rsidRPr="007122AB">
              <w:rPr>
                <w:rFonts w:ascii="Times New Roman" w:hAnsi="Times New Roman"/>
                <w:color w:val="000000" w:themeColor="text1"/>
                <w:sz w:val="16"/>
                <w:szCs w:val="16"/>
              </w:rPr>
              <w:t>.</w:t>
            </w:r>
          </w:p>
          <w:p w14:paraId="5D9D44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185343B6" w14:textId="77777777">
        <w:tc>
          <w:tcPr>
            <w:tcW w:w="3024" w:type="dxa"/>
          </w:tcPr>
          <w:p w14:paraId="42E676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1E4A02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ТШ2-М17 (ТШ2-М27)</w:t>
            </w:r>
          </w:p>
        </w:tc>
      </w:tr>
      <w:tr w:rsidR="001002C3" w:rsidRPr="007122AB" w14:paraId="68E2807B" w14:textId="77777777">
        <w:tc>
          <w:tcPr>
            <w:tcW w:w="3024" w:type="dxa"/>
          </w:tcPr>
          <w:p w14:paraId="4D596E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7AF375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7D9A2630" w14:textId="77777777">
        <w:tc>
          <w:tcPr>
            <w:tcW w:w="3024" w:type="dxa"/>
          </w:tcPr>
          <w:p w14:paraId="5467DF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FFFA6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35A1C5CC" w14:textId="77777777">
        <w:tc>
          <w:tcPr>
            <w:tcW w:w="3024" w:type="dxa"/>
          </w:tcPr>
          <w:p w14:paraId="1DB7F5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541BA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11,6/3000</w:t>
            </w:r>
          </w:p>
        </w:tc>
      </w:tr>
      <w:tr w:rsidR="001002C3" w:rsidRPr="007122AB" w14:paraId="12D6E4C4" w14:textId="77777777">
        <w:tc>
          <w:tcPr>
            <w:tcW w:w="3024" w:type="dxa"/>
          </w:tcPr>
          <w:p w14:paraId="1A2E00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71E900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5860</w:t>
            </w:r>
          </w:p>
        </w:tc>
      </w:tr>
      <w:tr w:rsidR="001002C3" w:rsidRPr="007122AB" w14:paraId="33B41CCF" w14:textId="77777777">
        <w:tc>
          <w:tcPr>
            <w:tcW w:w="3024" w:type="dxa"/>
          </w:tcPr>
          <w:p w14:paraId="5912EF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4675E3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пулеметов</w:t>
            </w:r>
          </w:p>
        </w:tc>
      </w:tr>
      <w:tr w:rsidR="001002C3" w:rsidRPr="007122AB" w14:paraId="7BDD9D3C" w14:textId="77777777">
        <w:tc>
          <w:tcPr>
            <w:tcW w:w="3024" w:type="dxa"/>
          </w:tcPr>
          <w:p w14:paraId="1FC204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71343B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B67C22" w14:textId="77777777">
        <w:tc>
          <w:tcPr>
            <w:tcW w:w="3024" w:type="dxa"/>
          </w:tcPr>
          <w:p w14:paraId="7FE601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35CCE6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1930 года</w:t>
            </w:r>
          </w:p>
        </w:tc>
      </w:tr>
      <w:tr w:rsidR="001002C3" w:rsidRPr="007122AB" w14:paraId="76D7C5C7" w14:textId="77777777">
        <w:tc>
          <w:tcPr>
            <w:tcW w:w="3024" w:type="dxa"/>
          </w:tcPr>
          <w:p w14:paraId="43C4D8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71C3CF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испытаний ТШ2-БМВ VI Е=7,3 выявлена недостаточная мощность мотора, почему принято решение отказаться от постройки серии ТШ2-М17 для войсковых испытаний. ВАО дало задание ЦКБ при заводе № 39 построить 3 экземпляра самолета ТШ-2 с мотором М27. На гос. испытания самолет ТШ2-М27 должен поступить в начале июня 1931 года.</w:t>
            </w:r>
          </w:p>
          <w:p w14:paraId="0005BA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02DA4637" w14:textId="77777777">
        <w:tc>
          <w:tcPr>
            <w:tcW w:w="3024" w:type="dxa"/>
          </w:tcPr>
          <w:p w14:paraId="4ECB6D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6D2D6D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МДР1-2М17</w:t>
            </w:r>
          </w:p>
        </w:tc>
      </w:tr>
      <w:tr w:rsidR="001002C3" w:rsidRPr="007122AB" w14:paraId="45C7F7BB" w14:textId="77777777">
        <w:tc>
          <w:tcPr>
            <w:tcW w:w="3024" w:type="dxa"/>
          </w:tcPr>
          <w:p w14:paraId="0AC45F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2A8EDD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53AA41D8" w14:textId="77777777">
        <w:tc>
          <w:tcPr>
            <w:tcW w:w="3024" w:type="dxa"/>
          </w:tcPr>
          <w:p w14:paraId="23779D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ED6DB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32/3000</w:t>
            </w:r>
          </w:p>
        </w:tc>
      </w:tr>
      <w:tr w:rsidR="001002C3" w:rsidRPr="007122AB" w14:paraId="2EFEB916" w14:textId="77777777">
        <w:tc>
          <w:tcPr>
            <w:tcW w:w="3024" w:type="dxa"/>
          </w:tcPr>
          <w:p w14:paraId="45ACEB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15C483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32/3000</w:t>
            </w:r>
          </w:p>
        </w:tc>
      </w:tr>
      <w:tr w:rsidR="001002C3" w:rsidRPr="007122AB" w14:paraId="21F38111" w14:textId="77777777">
        <w:tc>
          <w:tcPr>
            <w:tcW w:w="3024" w:type="dxa"/>
          </w:tcPr>
          <w:p w14:paraId="7D0F49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4E760D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r>
      <w:tr w:rsidR="001002C3" w:rsidRPr="007122AB" w14:paraId="05606AAF" w14:textId="77777777">
        <w:tc>
          <w:tcPr>
            <w:tcW w:w="3024" w:type="dxa"/>
          </w:tcPr>
          <w:p w14:paraId="15AB39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64CF72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Отсутствует</w:t>
            </w:r>
          </w:p>
        </w:tc>
      </w:tr>
      <w:tr w:rsidR="001002C3" w:rsidRPr="007122AB" w14:paraId="68E94467" w14:textId="77777777">
        <w:tc>
          <w:tcPr>
            <w:tcW w:w="3024" w:type="dxa"/>
          </w:tcPr>
          <w:p w14:paraId="5EE981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3F1377D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r>
      <w:tr w:rsidR="001002C3" w:rsidRPr="007122AB" w14:paraId="72531535" w14:textId="77777777">
        <w:tc>
          <w:tcPr>
            <w:tcW w:w="3024" w:type="dxa"/>
          </w:tcPr>
          <w:p w14:paraId="57F200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7A0379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w:t>
            </w:r>
          </w:p>
        </w:tc>
      </w:tr>
      <w:tr w:rsidR="001002C3" w:rsidRPr="007122AB" w14:paraId="36B91431" w14:textId="77777777">
        <w:tc>
          <w:tcPr>
            <w:tcW w:w="3024" w:type="dxa"/>
          </w:tcPr>
          <w:p w14:paraId="786196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2D1DD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Переделка из неудавшегося типа. Работы по постройке крыльев самолета и незначительной переделке лодки протекают между делом. Лодка по своим взлетным свойствам показала себя при испытаниях, проводившихся в 1929 году (с другими крыльями) с самой лучшей стороны.</w:t>
            </w:r>
          </w:p>
          <w:p w14:paraId="582C4D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эксперимент постройка оправдает себя лишь в том случае, если даст опыт раньше выхода МДР3-4ЮVI, ход производственной работы показывает, что даже твердых сроков для этого самолета не имеется.</w:t>
            </w:r>
          </w:p>
        </w:tc>
      </w:tr>
      <w:tr w:rsidR="001002C3" w:rsidRPr="007122AB" w14:paraId="566087FA" w14:textId="77777777">
        <w:tc>
          <w:tcPr>
            <w:tcW w:w="3024" w:type="dxa"/>
          </w:tcPr>
          <w:p w14:paraId="75486C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767736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И12-2ЮVI</w:t>
            </w:r>
          </w:p>
        </w:tc>
      </w:tr>
      <w:tr w:rsidR="001002C3" w:rsidRPr="007122AB" w14:paraId="2ED7D524" w14:textId="77777777">
        <w:tc>
          <w:tcPr>
            <w:tcW w:w="3024" w:type="dxa"/>
          </w:tcPr>
          <w:p w14:paraId="504D6F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5AD927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203E023" w14:textId="77777777">
        <w:tc>
          <w:tcPr>
            <w:tcW w:w="3024" w:type="dxa"/>
          </w:tcPr>
          <w:p w14:paraId="291882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C57DE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r>
      <w:tr w:rsidR="001002C3" w:rsidRPr="007122AB" w14:paraId="47226525" w14:textId="77777777">
        <w:tc>
          <w:tcPr>
            <w:tcW w:w="3024" w:type="dxa"/>
          </w:tcPr>
          <w:p w14:paraId="29BA73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70FD79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10/5000</w:t>
            </w:r>
          </w:p>
        </w:tc>
      </w:tr>
      <w:tr w:rsidR="001002C3" w:rsidRPr="007122AB" w14:paraId="538C0E28" w14:textId="77777777">
        <w:tc>
          <w:tcPr>
            <w:tcW w:w="3024" w:type="dxa"/>
          </w:tcPr>
          <w:p w14:paraId="0D8F19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Потолок</w:t>
            </w:r>
          </w:p>
        </w:tc>
        <w:tc>
          <w:tcPr>
            <w:tcW w:w="7432" w:type="dxa"/>
          </w:tcPr>
          <w:p w14:paraId="45E093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F4D012B" w14:textId="77777777">
        <w:tc>
          <w:tcPr>
            <w:tcW w:w="3024" w:type="dxa"/>
          </w:tcPr>
          <w:p w14:paraId="3F07F4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2F44D9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 ДРП</w:t>
            </w:r>
          </w:p>
        </w:tc>
      </w:tr>
      <w:tr w:rsidR="001002C3" w:rsidRPr="007122AB" w14:paraId="384A7DDF" w14:textId="77777777">
        <w:tc>
          <w:tcPr>
            <w:tcW w:w="3024" w:type="dxa"/>
          </w:tcPr>
          <w:p w14:paraId="4832BC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D7DA5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0A7FA5B" w14:textId="77777777">
        <w:tc>
          <w:tcPr>
            <w:tcW w:w="3024" w:type="dxa"/>
          </w:tcPr>
          <w:p w14:paraId="1CCBB6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4E26C6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года</w:t>
            </w:r>
          </w:p>
        </w:tc>
      </w:tr>
      <w:tr w:rsidR="001002C3" w:rsidRPr="007122AB" w14:paraId="48A13474" w14:textId="77777777">
        <w:tc>
          <w:tcPr>
            <w:tcW w:w="3024" w:type="dxa"/>
          </w:tcPr>
          <w:p w14:paraId="073C48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2EB18A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самолета закончено, постройка заканчивается. Основной задержкой является доводка пушек 2 РП, которые входят в конструкцию самолета, являясь частью хвостовых труб. При окончании постройки самолета к 25 мая 1931 года пушки смогут задержать выпуск самолета на аэродром до конца июня 1931 года.</w:t>
            </w:r>
          </w:p>
          <w:p w14:paraId="6C1A50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4088B929" w14:textId="77777777">
        <w:tc>
          <w:tcPr>
            <w:tcW w:w="3024" w:type="dxa"/>
          </w:tcPr>
          <w:p w14:paraId="6B66117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45B80AF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И11-М41 (электронный)</w:t>
            </w:r>
          </w:p>
        </w:tc>
      </w:tr>
      <w:tr w:rsidR="001002C3" w:rsidRPr="007122AB" w14:paraId="647F3086" w14:textId="77777777">
        <w:tc>
          <w:tcPr>
            <w:tcW w:w="3024" w:type="dxa"/>
          </w:tcPr>
          <w:p w14:paraId="58342C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48F320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Работы не начаты.</w:t>
            </w:r>
          </w:p>
        </w:tc>
      </w:tr>
    </w:tbl>
    <w:p w14:paraId="7E7579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7122AB" w14:paraId="5476C5D2" w14:textId="77777777">
        <w:tc>
          <w:tcPr>
            <w:tcW w:w="3024" w:type="dxa"/>
          </w:tcPr>
          <w:p w14:paraId="7BCE36E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311D84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Армейский разведчик Р5-М17</w:t>
            </w:r>
          </w:p>
        </w:tc>
      </w:tr>
      <w:tr w:rsidR="001002C3" w:rsidRPr="007122AB" w14:paraId="0B3D8A7A" w14:textId="77777777">
        <w:tc>
          <w:tcPr>
            <w:tcW w:w="3024" w:type="dxa"/>
          </w:tcPr>
          <w:p w14:paraId="6B8FEA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0B1A4E6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3F0A9ADF" w14:textId="77777777">
        <w:tc>
          <w:tcPr>
            <w:tcW w:w="3024" w:type="dxa"/>
          </w:tcPr>
          <w:p w14:paraId="52F6166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45C559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1930 года</w:t>
            </w:r>
          </w:p>
        </w:tc>
      </w:tr>
      <w:tr w:rsidR="001002C3" w:rsidRPr="007122AB" w14:paraId="64BB5C4E" w14:textId="77777777">
        <w:tc>
          <w:tcPr>
            <w:tcW w:w="3024" w:type="dxa"/>
          </w:tcPr>
          <w:p w14:paraId="14E42C8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08C6C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мотора М-19:</w:t>
            </w:r>
          </w:p>
          <w:p w14:paraId="76337B2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установке мотора М-19 сильно задержаны.</w:t>
            </w:r>
          </w:p>
          <w:p w14:paraId="300761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самолет проходит заводские испытания и должен быть в ближайшее время передан на гос. испытания с запозданием против срока по плану почти на полгода.</w:t>
            </w:r>
          </w:p>
          <w:p w14:paraId="2642B3E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разрезных крыльев:</w:t>
            </w:r>
          </w:p>
          <w:p w14:paraId="67FC83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 завода № 39 разработана аэродинамическая часть разрезных крыльев. Представление на испытание Р5-М17 с разрезными крыльями намечено ЦКБ на сентябрь 1931 года.</w:t>
            </w:r>
          </w:p>
          <w:p w14:paraId="5D4CC20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Осипенко.</w:t>
            </w:r>
          </w:p>
        </w:tc>
      </w:tr>
      <w:tr w:rsidR="001002C3" w:rsidRPr="007122AB" w14:paraId="4A3A3DB7" w14:textId="77777777">
        <w:tc>
          <w:tcPr>
            <w:tcW w:w="3024" w:type="dxa"/>
          </w:tcPr>
          <w:p w14:paraId="02D102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74CD9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 истребитель И5-ЮVI</w:t>
            </w:r>
          </w:p>
        </w:tc>
      </w:tr>
      <w:tr w:rsidR="001002C3" w:rsidRPr="007122AB" w14:paraId="2B89B621" w14:textId="77777777">
        <w:tc>
          <w:tcPr>
            <w:tcW w:w="3024" w:type="dxa"/>
          </w:tcPr>
          <w:p w14:paraId="375E69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C1277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5E427C22" w14:textId="77777777">
        <w:tc>
          <w:tcPr>
            <w:tcW w:w="3024" w:type="dxa"/>
          </w:tcPr>
          <w:p w14:paraId="5D1CE9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93A9C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268/0</w:t>
            </w:r>
          </w:p>
          <w:p w14:paraId="18826A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252/5000</w:t>
            </w:r>
          </w:p>
        </w:tc>
      </w:tr>
      <w:tr w:rsidR="001002C3" w:rsidRPr="007122AB" w14:paraId="3B87DD7C" w14:textId="77777777">
        <w:tc>
          <w:tcPr>
            <w:tcW w:w="3024" w:type="dxa"/>
          </w:tcPr>
          <w:p w14:paraId="37A0FA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5BD55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8,6/5000</w:t>
            </w:r>
          </w:p>
        </w:tc>
      </w:tr>
      <w:tr w:rsidR="001002C3" w:rsidRPr="007122AB" w14:paraId="039AFBC5" w14:textId="77777777">
        <w:tc>
          <w:tcPr>
            <w:tcW w:w="3024" w:type="dxa"/>
          </w:tcPr>
          <w:p w14:paraId="6648C1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102201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8220</w:t>
            </w:r>
          </w:p>
        </w:tc>
      </w:tr>
      <w:tr w:rsidR="001002C3" w:rsidRPr="007122AB" w14:paraId="15BEC8D2" w14:textId="77777777">
        <w:tc>
          <w:tcPr>
            <w:tcW w:w="3024" w:type="dxa"/>
          </w:tcPr>
          <w:p w14:paraId="6BB963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423567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 пулемета</w:t>
            </w:r>
          </w:p>
        </w:tc>
      </w:tr>
      <w:tr w:rsidR="001002C3" w:rsidRPr="007122AB" w14:paraId="276AC5BA" w14:textId="77777777">
        <w:tc>
          <w:tcPr>
            <w:tcW w:w="3024" w:type="dxa"/>
          </w:tcPr>
          <w:p w14:paraId="532AE0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2EE522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2CA71106" w14:textId="77777777">
        <w:tc>
          <w:tcPr>
            <w:tcW w:w="3024" w:type="dxa"/>
          </w:tcPr>
          <w:p w14:paraId="46302F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41A9DD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квартал 1931 года</w:t>
            </w:r>
          </w:p>
        </w:tc>
      </w:tr>
      <w:tr w:rsidR="001002C3" w:rsidRPr="007122AB" w14:paraId="3DEAC1A7" w14:textId="77777777">
        <w:tc>
          <w:tcPr>
            <w:tcW w:w="3024" w:type="dxa"/>
          </w:tcPr>
          <w:p w14:paraId="2044CFE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0AE77C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 закончены войсковые испытания самолета, давшие вполне удовлетворительные результаты. В процессе испытаний выявлены дефекты тяг управления и масляного бака, устраняемые в серийной постройке. Были усилены капоты.</w:t>
            </w:r>
          </w:p>
          <w:p w14:paraId="6DAB6F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Головной серийный самолет И5-ЮVI постройки завода № 1 выпущен со значительным </w:t>
            </w:r>
            <w:proofErr w:type="spellStart"/>
            <w:r w:rsidRPr="007122AB">
              <w:rPr>
                <w:rFonts w:ascii="Times New Roman" w:hAnsi="Times New Roman"/>
                <w:color w:val="000000" w:themeColor="text1"/>
                <w:sz w:val="16"/>
                <w:szCs w:val="16"/>
              </w:rPr>
              <w:t>перетяжелением</w:t>
            </w:r>
            <w:proofErr w:type="spellEnd"/>
            <w:r w:rsidRPr="007122AB">
              <w:rPr>
                <w:rFonts w:ascii="Times New Roman" w:hAnsi="Times New Roman"/>
                <w:color w:val="000000" w:themeColor="text1"/>
                <w:sz w:val="16"/>
                <w:szCs w:val="16"/>
              </w:rPr>
              <w:t xml:space="preserve">, объясняющимся доводкой вооружения, устранением ряда дефектов, присущих опытным самолетам и </w:t>
            </w:r>
            <w:proofErr w:type="spellStart"/>
            <w:r w:rsidRPr="007122AB">
              <w:rPr>
                <w:rFonts w:ascii="Times New Roman" w:hAnsi="Times New Roman"/>
                <w:color w:val="000000" w:themeColor="text1"/>
                <w:sz w:val="16"/>
                <w:szCs w:val="16"/>
              </w:rPr>
              <w:t>перетяжелением</w:t>
            </w:r>
            <w:proofErr w:type="spellEnd"/>
            <w:r w:rsidRPr="007122AB">
              <w:rPr>
                <w:rFonts w:ascii="Times New Roman" w:hAnsi="Times New Roman"/>
                <w:color w:val="000000" w:themeColor="text1"/>
                <w:sz w:val="16"/>
                <w:szCs w:val="16"/>
              </w:rPr>
              <w:t xml:space="preserve"> в процессе серийной постройки.</w:t>
            </w:r>
          </w:p>
          <w:p w14:paraId="64DAE5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заявлено о необходимости разработать конкретные мероприятия по облегчению М5-М22.</w:t>
            </w:r>
          </w:p>
          <w:p w14:paraId="3CAF90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Головной серийный самолет И5-М22 постройки завода № 1 проходит испытания в НИИ.</w:t>
            </w:r>
          </w:p>
          <w:p w14:paraId="364043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М15:</w:t>
            </w:r>
          </w:p>
          <w:p w14:paraId="5A79AB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И5-М15 были прерваны поломкой мотора. ЦКБ завода № 39 установило мотор М15 на два самолета И5. Первый самолет не имеющий вооружения и усиленный находится в НИИ, проходя сравнительные испытания, второй, который является образцом для постройки серии И5-М15 должен быть передан на гос. испытания в конце мая – начале июня 1931 года.</w:t>
            </w:r>
          </w:p>
          <w:p w14:paraId="08B6B6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улучшению штопора:</w:t>
            </w:r>
          </w:p>
          <w:p w14:paraId="6494B4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середины апреля 1931 года ЦАГИ совместно с НИИ начали полеты на специально оборудованном самолете для снятия характеристики штопора.. Самолет с переделанными консолями крыльев до настоящего времени на испытания не предъявлен, так как ВАО в течение более полутора месяца не мог обеспечить установку переделанных крыльев на заводе № 1 на готовый фюзеляж. В настоящее время эту работу взял завод № 39. Самолет должен быть передан на испытания в начале июня 1931 года.</w:t>
            </w:r>
          </w:p>
          <w:p w14:paraId="37E096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Петров.</w:t>
            </w:r>
          </w:p>
        </w:tc>
      </w:tr>
      <w:tr w:rsidR="001002C3" w:rsidRPr="007122AB" w14:paraId="00F4878A" w14:textId="77777777">
        <w:tc>
          <w:tcPr>
            <w:tcW w:w="3024" w:type="dxa"/>
          </w:tcPr>
          <w:p w14:paraId="721400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046710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ТБ3-4 Кертис </w:t>
            </w:r>
            <w:proofErr w:type="spellStart"/>
            <w:r w:rsidRPr="007122AB">
              <w:rPr>
                <w:rFonts w:ascii="Times New Roman" w:hAnsi="Times New Roman"/>
                <w:color w:val="000000" w:themeColor="text1"/>
                <w:sz w:val="16"/>
                <w:szCs w:val="16"/>
              </w:rPr>
              <w:t>Конкверор</w:t>
            </w:r>
            <w:proofErr w:type="spellEnd"/>
          </w:p>
        </w:tc>
      </w:tr>
      <w:tr w:rsidR="001002C3" w:rsidRPr="007122AB" w14:paraId="14123131" w14:textId="77777777">
        <w:tc>
          <w:tcPr>
            <w:tcW w:w="3024" w:type="dxa"/>
          </w:tcPr>
          <w:p w14:paraId="400077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6CEE7B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338CC9F6" w14:textId="77777777">
        <w:tc>
          <w:tcPr>
            <w:tcW w:w="3024" w:type="dxa"/>
          </w:tcPr>
          <w:p w14:paraId="18F5D3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9D034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w:t>
            </w:r>
          </w:p>
        </w:tc>
      </w:tr>
      <w:tr w:rsidR="001002C3" w:rsidRPr="007122AB" w14:paraId="23E02A2A" w14:textId="77777777">
        <w:tc>
          <w:tcPr>
            <w:tcW w:w="3024" w:type="dxa"/>
          </w:tcPr>
          <w:p w14:paraId="3B2CC1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EFDA6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r>
      <w:tr w:rsidR="001002C3" w:rsidRPr="007122AB" w14:paraId="53C6A0CD" w14:textId="77777777">
        <w:tc>
          <w:tcPr>
            <w:tcW w:w="3024" w:type="dxa"/>
          </w:tcPr>
          <w:p w14:paraId="69BE4E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44CBA6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433669" w14:textId="77777777">
        <w:tc>
          <w:tcPr>
            <w:tcW w:w="3024" w:type="dxa"/>
          </w:tcPr>
          <w:p w14:paraId="0613C3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3F4A3A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6-11 пулеметов</w:t>
            </w:r>
          </w:p>
          <w:p w14:paraId="1DB6FE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2000-4000 кг</w:t>
            </w:r>
          </w:p>
        </w:tc>
      </w:tr>
      <w:tr w:rsidR="001002C3" w:rsidRPr="007122AB" w14:paraId="2E13561F" w14:textId="77777777">
        <w:tc>
          <w:tcPr>
            <w:tcW w:w="3024" w:type="dxa"/>
          </w:tcPr>
          <w:p w14:paraId="7D8B16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BFDAE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36550B6" w14:textId="77777777">
        <w:tc>
          <w:tcPr>
            <w:tcW w:w="3024" w:type="dxa"/>
          </w:tcPr>
          <w:p w14:paraId="36DBC0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2784F9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1930 года</w:t>
            </w:r>
          </w:p>
        </w:tc>
      </w:tr>
      <w:tr w:rsidR="001002C3" w:rsidRPr="007122AB" w14:paraId="5218D69E" w14:textId="77777777">
        <w:tc>
          <w:tcPr>
            <w:tcW w:w="3024" w:type="dxa"/>
          </w:tcPr>
          <w:p w14:paraId="50D637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51A0E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с 4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прошел испытания по сокращенной программе, показав хорошие летные данные.</w:t>
            </w:r>
          </w:p>
          <w:p w14:paraId="13B4724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был обнаружен ряд дефектов, из которых основными являются чрезмерное давление на ручку и педали при управлении. 10 февраля 1931 года самолет передан в ЦАГИ для установки на него моторов БМВVI Е=7,3 и переделки элеронов, руля высоты, руля направления и костыля.</w:t>
            </w:r>
          </w:p>
          <w:p w14:paraId="0C91E7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апреля 1931 года установка моторов БМВVI Е=7,3 была закончена. Самолет с моторами БМВ VI в конце апреля и начале мая 1931 года совершил ряд полетов, которые показали, что при значительном уменьшении давлений на ручку необходимы все же дальнейшие незначительные переделки рулей.</w:t>
            </w:r>
          </w:p>
          <w:p w14:paraId="547129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должен в ближайшее время поступить на гос. испытания в НИИ.</w:t>
            </w:r>
          </w:p>
          <w:p w14:paraId="145669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Вахмистров.</w:t>
            </w:r>
          </w:p>
        </w:tc>
      </w:tr>
      <w:tr w:rsidR="001002C3" w:rsidRPr="007122AB" w14:paraId="695016D8" w14:textId="77777777">
        <w:tc>
          <w:tcPr>
            <w:tcW w:w="3024" w:type="dxa"/>
          </w:tcPr>
          <w:p w14:paraId="1DEE43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58AC69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Р6-М17 7,3</w:t>
            </w:r>
          </w:p>
        </w:tc>
      </w:tr>
      <w:tr w:rsidR="001002C3" w:rsidRPr="007122AB" w14:paraId="3AA9E341" w14:textId="77777777">
        <w:tc>
          <w:tcPr>
            <w:tcW w:w="3024" w:type="dxa"/>
          </w:tcPr>
          <w:p w14:paraId="408949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6DE664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5FE62385" w14:textId="77777777">
        <w:tc>
          <w:tcPr>
            <w:tcW w:w="3024" w:type="dxa"/>
          </w:tcPr>
          <w:p w14:paraId="228018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732B8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244/3000</w:t>
            </w:r>
          </w:p>
        </w:tc>
      </w:tr>
      <w:tr w:rsidR="001002C3" w:rsidRPr="007122AB" w14:paraId="7419060B" w14:textId="77777777">
        <w:tc>
          <w:tcPr>
            <w:tcW w:w="3024" w:type="dxa"/>
          </w:tcPr>
          <w:p w14:paraId="1AED7E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241FD4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8,09/3000</w:t>
            </w:r>
          </w:p>
        </w:tc>
      </w:tr>
      <w:tr w:rsidR="001002C3" w:rsidRPr="007122AB" w14:paraId="4F0318A3" w14:textId="77777777">
        <w:tc>
          <w:tcPr>
            <w:tcW w:w="3024" w:type="dxa"/>
          </w:tcPr>
          <w:p w14:paraId="7F09C5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34FC52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6500</w:t>
            </w:r>
          </w:p>
        </w:tc>
      </w:tr>
      <w:tr w:rsidR="001002C3" w:rsidRPr="007122AB" w14:paraId="2CFC5B92" w14:textId="77777777">
        <w:tc>
          <w:tcPr>
            <w:tcW w:w="3024" w:type="dxa"/>
          </w:tcPr>
          <w:p w14:paraId="44D4FB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39CDF3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пулеметов</w:t>
            </w:r>
          </w:p>
        </w:tc>
      </w:tr>
      <w:tr w:rsidR="001002C3" w:rsidRPr="007122AB" w14:paraId="42311FFD" w14:textId="77777777">
        <w:tc>
          <w:tcPr>
            <w:tcW w:w="3024" w:type="dxa"/>
          </w:tcPr>
          <w:p w14:paraId="6851AE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2092FE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5766300" w14:textId="77777777">
        <w:tc>
          <w:tcPr>
            <w:tcW w:w="3024" w:type="dxa"/>
          </w:tcPr>
          <w:p w14:paraId="71A509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637C5F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711C1EF" w14:textId="77777777">
        <w:tc>
          <w:tcPr>
            <w:tcW w:w="3024" w:type="dxa"/>
          </w:tcPr>
          <w:p w14:paraId="19C0B5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Степень выполнения на 15 мая 1931 года</w:t>
            </w:r>
          </w:p>
        </w:tc>
        <w:tc>
          <w:tcPr>
            <w:tcW w:w="7432" w:type="dxa"/>
          </w:tcPr>
          <w:p w14:paraId="1110A8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Головной самолет серии, строящийся на заводе № 22 должен поступить на испытания в июне 1931 года. Задержка объясняется отсутствием на заводе моторов М17.</w:t>
            </w:r>
          </w:p>
        </w:tc>
      </w:tr>
      <w:tr w:rsidR="001002C3" w:rsidRPr="007122AB" w14:paraId="4FF55CA2" w14:textId="77777777">
        <w:tc>
          <w:tcPr>
            <w:tcW w:w="3024" w:type="dxa"/>
          </w:tcPr>
          <w:p w14:paraId="0F49CF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1D9749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И8-Кертис </w:t>
            </w:r>
            <w:proofErr w:type="spellStart"/>
            <w:r w:rsidRPr="007122AB">
              <w:rPr>
                <w:rFonts w:ascii="Times New Roman" w:hAnsi="Times New Roman"/>
                <w:color w:val="000000" w:themeColor="text1"/>
                <w:sz w:val="16"/>
                <w:szCs w:val="16"/>
              </w:rPr>
              <w:t>Конкверор</w:t>
            </w:r>
            <w:proofErr w:type="spellEnd"/>
          </w:p>
        </w:tc>
      </w:tr>
      <w:tr w:rsidR="001002C3" w:rsidRPr="007122AB" w14:paraId="49FC4238" w14:textId="77777777">
        <w:tc>
          <w:tcPr>
            <w:tcW w:w="3024" w:type="dxa"/>
          </w:tcPr>
          <w:p w14:paraId="12EFA5C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0EB828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1F92BEAD" w14:textId="77777777">
        <w:tc>
          <w:tcPr>
            <w:tcW w:w="3024" w:type="dxa"/>
          </w:tcPr>
          <w:p w14:paraId="6D8536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A9B36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619EE6B" w14:textId="77777777">
        <w:tc>
          <w:tcPr>
            <w:tcW w:w="3024" w:type="dxa"/>
          </w:tcPr>
          <w:p w14:paraId="5BA9C9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1B9173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ECE586" w14:textId="77777777">
        <w:tc>
          <w:tcPr>
            <w:tcW w:w="3024" w:type="dxa"/>
          </w:tcPr>
          <w:p w14:paraId="1BDC61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708601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376CE9" w14:textId="77777777">
        <w:tc>
          <w:tcPr>
            <w:tcW w:w="3024" w:type="dxa"/>
          </w:tcPr>
          <w:p w14:paraId="1E2E3D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6F0B0E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w:t>
            </w:r>
          </w:p>
        </w:tc>
      </w:tr>
      <w:tr w:rsidR="001002C3" w:rsidRPr="007122AB" w14:paraId="1F0F550B" w14:textId="77777777">
        <w:tc>
          <w:tcPr>
            <w:tcW w:w="3024" w:type="dxa"/>
          </w:tcPr>
          <w:p w14:paraId="6759F3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00E2FC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1,5-2 часа</w:t>
            </w:r>
          </w:p>
        </w:tc>
      </w:tr>
      <w:tr w:rsidR="001002C3" w:rsidRPr="007122AB" w14:paraId="5155C00B" w14:textId="77777777">
        <w:tc>
          <w:tcPr>
            <w:tcW w:w="3024" w:type="dxa"/>
          </w:tcPr>
          <w:p w14:paraId="2A3E3B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306FEF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сентября 1930 года</w:t>
            </w:r>
          </w:p>
        </w:tc>
      </w:tr>
      <w:tr w:rsidR="001002C3" w:rsidRPr="007122AB" w14:paraId="2831E043" w14:textId="77777777">
        <w:tc>
          <w:tcPr>
            <w:tcW w:w="3024" w:type="dxa"/>
          </w:tcPr>
          <w:p w14:paraId="61B538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003263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Производится переделка хвостового оперения из-за больших давлений на ручку. ЦАГИ предполагает заменить невысотный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стоящий на самолете на высотный, который должен быть в ближайшее время получен из Америки.</w:t>
            </w:r>
          </w:p>
        </w:tc>
      </w:tr>
      <w:tr w:rsidR="001002C3" w:rsidRPr="007122AB" w14:paraId="1E373941" w14:textId="77777777">
        <w:tc>
          <w:tcPr>
            <w:tcW w:w="3024" w:type="dxa"/>
          </w:tcPr>
          <w:p w14:paraId="1C7522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54BAD2D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И7-М17 7,3 (НД-67с)</w:t>
            </w:r>
          </w:p>
        </w:tc>
      </w:tr>
      <w:tr w:rsidR="001002C3" w:rsidRPr="007122AB" w14:paraId="56880972" w14:textId="77777777">
        <w:tc>
          <w:tcPr>
            <w:tcW w:w="3024" w:type="dxa"/>
          </w:tcPr>
          <w:p w14:paraId="479C40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5061E4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280/3000</w:t>
            </w:r>
          </w:p>
        </w:tc>
      </w:tr>
      <w:tr w:rsidR="001002C3" w:rsidRPr="007122AB" w14:paraId="1C221B5E" w14:textId="77777777">
        <w:tc>
          <w:tcPr>
            <w:tcW w:w="3024" w:type="dxa"/>
          </w:tcPr>
          <w:p w14:paraId="3BDF39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7DAACA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10,8/5000</w:t>
            </w:r>
          </w:p>
        </w:tc>
      </w:tr>
      <w:tr w:rsidR="001002C3" w:rsidRPr="007122AB" w14:paraId="1AA9ED82" w14:textId="77777777">
        <w:tc>
          <w:tcPr>
            <w:tcW w:w="3024" w:type="dxa"/>
          </w:tcPr>
          <w:p w14:paraId="6380A7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5993EA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14F0EF2B" w14:textId="77777777">
        <w:tc>
          <w:tcPr>
            <w:tcW w:w="3024" w:type="dxa"/>
          </w:tcPr>
          <w:p w14:paraId="04095D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65AD0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w:t>
            </w:r>
          </w:p>
        </w:tc>
      </w:tr>
      <w:tr w:rsidR="001002C3" w:rsidRPr="007122AB" w14:paraId="148AEE2B" w14:textId="77777777">
        <w:tc>
          <w:tcPr>
            <w:tcW w:w="3024" w:type="dxa"/>
          </w:tcPr>
          <w:p w14:paraId="7A140D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6E5D83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DF34F7F" w14:textId="77777777">
        <w:tc>
          <w:tcPr>
            <w:tcW w:w="3024" w:type="dxa"/>
          </w:tcPr>
          <w:p w14:paraId="30DF96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0C95E8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B22D22" w14:textId="77777777">
        <w:tc>
          <w:tcPr>
            <w:tcW w:w="3024" w:type="dxa"/>
          </w:tcPr>
          <w:p w14:paraId="2A3DBE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DB325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1 ведет постройку двух первых машин серии. Выпуск намечен на июнь 1931 года.</w:t>
            </w:r>
          </w:p>
        </w:tc>
      </w:tr>
      <w:tr w:rsidR="001002C3" w:rsidRPr="007122AB" w14:paraId="3102D3F5" w14:textId="77777777">
        <w:tc>
          <w:tcPr>
            <w:tcW w:w="3024" w:type="dxa"/>
          </w:tcPr>
          <w:p w14:paraId="5A7A73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6B962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ХБ1-2М17</w:t>
            </w:r>
          </w:p>
        </w:tc>
      </w:tr>
      <w:tr w:rsidR="001002C3" w:rsidRPr="007122AB" w14:paraId="4B3C0C07" w14:textId="77777777">
        <w:tc>
          <w:tcPr>
            <w:tcW w:w="3024" w:type="dxa"/>
          </w:tcPr>
          <w:p w14:paraId="548A33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4E0B2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ВОХИМУ продолжает работы по приспособлению ТБ1-2М17.</w:t>
            </w:r>
          </w:p>
        </w:tc>
      </w:tr>
      <w:tr w:rsidR="001002C3" w:rsidRPr="007122AB" w14:paraId="772C9995" w14:textId="77777777">
        <w:tc>
          <w:tcPr>
            <w:tcW w:w="3024" w:type="dxa"/>
          </w:tcPr>
          <w:p w14:paraId="59A646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5AF153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w:t>
            </w:r>
          </w:p>
        </w:tc>
      </w:tr>
      <w:tr w:rsidR="001002C3" w:rsidRPr="007122AB" w14:paraId="146B2746" w14:textId="77777777">
        <w:tc>
          <w:tcPr>
            <w:tcW w:w="3024" w:type="dxa"/>
          </w:tcPr>
          <w:p w14:paraId="050CF3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CD5E2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Работы не ведутся.</w:t>
            </w:r>
          </w:p>
        </w:tc>
      </w:tr>
      <w:tr w:rsidR="001002C3" w:rsidRPr="007122AB" w14:paraId="7CFF360C" w14:textId="77777777">
        <w:tc>
          <w:tcPr>
            <w:tcW w:w="3024" w:type="dxa"/>
          </w:tcPr>
          <w:p w14:paraId="6DCE568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1FD9AE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Горелова под мотор Вальтер</w:t>
            </w:r>
          </w:p>
        </w:tc>
      </w:tr>
      <w:tr w:rsidR="001002C3" w:rsidRPr="007122AB" w14:paraId="1A70F9AC" w14:textId="77777777">
        <w:tc>
          <w:tcPr>
            <w:tcW w:w="3024" w:type="dxa"/>
          </w:tcPr>
          <w:p w14:paraId="65C978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7D17F0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r>
      <w:tr w:rsidR="001002C3" w:rsidRPr="007122AB" w14:paraId="2BDDB2DE" w14:textId="77777777">
        <w:tc>
          <w:tcPr>
            <w:tcW w:w="3024" w:type="dxa"/>
          </w:tcPr>
          <w:p w14:paraId="7B26F9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213C92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На заводе № 39 ведется очень медленными темпом доводка самолета. После организации производственной базы у БОК ЦАГИ самолет для доводки и испытаний будет передан в БОК.</w:t>
            </w:r>
          </w:p>
        </w:tc>
      </w:tr>
      <w:tr w:rsidR="001002C3" w:rsidRPr="007122AB" w14:paraId="779D0E20" w14:textId="77777777">
        <w:tc>
          <w:tcPr>
            <w:tcW w:w="3024" w:type="dxa"/>
          </w:tcPr>
          <w:p w14:paraId="7323B2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3B84FA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«Парабола» М11</w:t>
            </w:r>
          </w:p>
        </w:tc>
      </w:tr>
      <w:tr w:rsidR="001002C3" w:rsidRPr="007122AB" w14:paraId="64F01957" w14:textId="77777777">
        <w:tc>
          <w:tcPr>
            <w:tcW w:w="3024" w:type="dxa"/>
          </w:tcPr>
          <w:p w14:paraId="5F33E2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648532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r>
      <w:tr w:rsidR="001002C3" w:rsidRPr="007122AB" w14:paraId="77EC106D" w14:textId="77777777">
        <w:tc>
          <w:tcPr>
            <w:tcW w:w="3024" w:type="dxa"/>
          </w:tcPr>
          <w:p w14:paraId="6A0916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79B38B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Ведение работ по самолету будет передано в БОК ЦАГИ после организации у него производственной базы. В настоящее время работы не ведутся.</w:t>
            </w:r>
          </w:p>
        </w:tc>
      </w:tr>
      <w:tr w:rsidR="001002C3" w:rsidRPr="007122AB" w14:paraId="0C7808B3" w14:textId="77777777">
        <w:tc>
          <w:tcPr>
            <w:tcW w:w="3024" w:type="dxa"/>
          </w:tcPr>
          <w:p w14:paraId="363F176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D7214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И4-ЮVI моноплан</w:t>
            </w:r>
          </w:p>
        </w:tc>
      </w:tr>
      <w:tr w:rsidR="001002C3" w:rsidRPr="007122AB" w14:paraId="6DD9291F" w14:textId="77777777">
        <w:tc>
          <w:tcPr>
            <w:tcW w:w="3024" w:type="dxa"/>
          </w:tcPr>
          <w:p w14:paraId="73F263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34E26F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5804E013" w14:textId="77777777">
        <w:tc>
          <w:tcPr>
            <w:tcW w:w="3024" w:type="dxa"/>
          </w:tcPr>
          <w:p w14:paraId="3F0B6E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349B99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ЦАГИ заканчивает переделку самолета, последний в течение мая 1931 года должен поступить на испытания. Ведутся работы по вариантам с разрезным крылом.</w:t>
            </w:r>
          </w:p>
          <w:p w14:paraId="505495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E150E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(6918)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7122AB" w14:paraId="786FCE28" w14:textId="77777777">
        <w:tc>
          <w:tcPr>
            <w:tcW w:w="3024" w:type="dxa"/>
          </w:tcPr>
          <w:p w14:paraId="18DEBB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33D7CA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МТБ1-2М17</w:t>
            </w:r>
          </w:p>
        </w:tc>
      </w:tr>
      <w:tr w:rsidR="001002C3" w:rsidRPr="007122AB" w14:paraId="1E5CF462" w14:textId="77777777">
        <w:tc>
          <w:tcPr>
            <w:tcW w:w="3024" w:type="dxa"/>
          </w:tcPr>
          <w:p w14:paraId="7444C8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0DCD77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4B46AD94" w14:textId="77777777">
        <w:tc>
          <w:tcPr>
            <w:tcW w:w="3024" w:type="dxa"/>
          </w:tcPr>
          <w:p w14:paraId="6F1812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097AE8E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170/180/0</w:t>
            </w:r>
          </w:p>
        </w:tc>
      </w:tr>
      <w:tr w:rsidR="001002C3" w:rsidRPr="007122AB" w14:paraId="5569EE0B" w14:textId="77777777">
        <w:tc>
          <w:tcPr>
            <w:tcW w:w="3024" w:type="dxa"/>
          </w:tcPr>
          <w:p w14:paraId="717DEC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06ED37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20-30/3000</w:t>
            </w:r>
          </w:p>
        </w:tc>
      </w:tr>
      <w:tr w:rsidR="001002C3" w:rsidRPr="007122AB" w14:paraId="6FCD1CA3" w14:textId="77777777">
        <w:tc>
          <w:tcPr>
            <w:tcW w:w="3024" w:type="dxa"/>
          </w:tcPr>
          <w:p w14:paraId="5BDE07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6FC4E6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3500-4000</w:t>
            </w:r>
          </w:p>
        </w:tc>
      </w:tr>
      <w:tr w:rsidR="001002C3" w:rsidRPr="007122AB" w14:paraId="3A6BB7B7" w14:textId="77777777">
        <w:tc>
          <w:tcPr>
            <w:tcW w:w="3024" w:type="dxa"/>
          </w:tcPr>
          <w:p w14:paraId="2AD097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1F5572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2C1EF3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торпеда</w:t>
            </w:r>
          </w:p>
        </w:tc>
      </w:tr>
      <w:tr w:rsidR="001002C3" w:rsidRPr="007122AB" w14:paraId="0DE432E6" w14:textId="77777777">
        <w:tc>
          <w:tcPr>
            <w:tcW w:w="3024" w:type="dxa"/>
          </w:tcPr>
          <w:p w14:paraId="5173BB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FE922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 4 часа</w:t>
            </w:r>
          </w:p>
        </w:tc>
      </w:tr>
      <w:tr w:rsidR="001002C3" w:rsidRPr="007122AB" w14:paraId="27AB8050" w14:textId="77777777">
        <w:tc>
          <w:tcPr>
            <w:tcW w:w="3024" w:type="dxa"/>
          </w:tcPr>
          <w:p w14:paraId="068152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2A3AAA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ноября 1930 года</w:t>
            </w:r>
          </w:p>
        </w:tc>
      </w:tr>
      <w:tr w:rsidR="001002C3" w:rsidRPr="007122AB" w14:paraId="71CB9F0A" w14:textId="77777777">
        <w:tc>
          <w:tcPr>
            <w:tcW w:w="3024" w:type="dxa"/>
          </w:tcPr>
          <w:p w14:paraId="79663D0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240FA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отправленный в Севастополь находится 4,5 месяца в доводке. После первых полетов самолетов вновь поступил в ремонт из-за поломавшегося в воздухе мотора. Первоначальные сведения говорят о летучести машины (хорошее качество профиля крыла). Максимальная скорость примерно 190 км/час. Предъявление ожидается 1 июля 1931 года.</w:t>
            </w:r>
          </w:p>
        </w:tc>
      </w:tr>
      <w:tr w:rsidR="001002C3" w:rsidRPr="007122AB" w14:paraId="126A3258" w14:textId="77777777">
        <w:tc>
          <w:tcPr>
            <w:tcW w:w="3024" w:type="dxa"/>
          </w:tcPr>
          <w:p w14:paraId="2BA130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61BC5DE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МБР1-БМВVI</w:t>
            </w:r>
          </w:p>
        </w:tc>
      </w:tr>
      <w:tr w:rsidR="001002C3" w:rsidRPr="007122AB" w14:paraId="75EC639A" w14:textId="77777777">
        <w:tc>
          <w:tcPr>
            <w:tcW w:w="3024" w:type="dxa"/>
          </w:tcPr>
          <w:p w14:paraId="0F1A16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76ECCF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20745785" w14:textId="77777777">
        <w:tc>
          <w:tcPr>
            <w:tcW w:w="3024" w:type="dxa"/>
          </w:tcPr>
          <w:p w14:paraId="08B608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4A6F07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w:t>
            </w:r>
          </w:p>
        </w:tc>
      </w:tr>
      <w:tr w:rsidR="001002C3" w:rsidRPr="007122AB" w14:paraId="30279DEC" w14:textId="77777777">
        <w:tc>
          <w:tcPr>
            <w:tcW w:w="3024" w:type="dxa"/>
          </w:tcPr>
          <w:p w14:paraId="2A4E45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7DDB9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Переделка из неудавшегося типа. Для ВВС самолет интереса не представляет. Работы возобновились для передачи его в КОМСЕВПУТЬ. Самолет с плана снят.</w:t>
            </w:r>
          </w:p>
        </w:tc>
      </w:tr>
      <w:tr w:rsidR="001002C3" w:rsidRPr="007122AB" w14:paraId="5A253399" w14:textId="77777777">
        <w:tc>
          <w:tcPr>
            <w:tcW w:w="3024" w:type="dxa"/>
          </w:tcPr>
          <w:p w14:paraId="7AE23C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543040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МБР2-БМВVI</w:t>
            </w:r>
          </w:p>
        </w:tc>
      </w:tr>
      <w:tr w:rsidR="001002C3" w:rsidRPr="007122AB" w14:paraId="63AF1BA1" w14:textId="77777777">
        <w:tc>
          <w:tcPr>
            <w:tcW w:w="3024" w:type="dxa"/>
          </w:tcPr>
          <w:p w14:paraId="60395A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35CA1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6B51FE8D" w14:textId="77777777">
        <w:tc>
          <w:tcPr>
            <w:tcW w:w="3024" w:type="dxa"/>
          </w:tcPr>
          <w:p w14:paraId="4FC3D5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26D598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57B212BA" w14:textId="77777777">
        <w:tc>
          <w:tcPr>
            <w:tcW w:w="3024" w:type="dxa"/>
          </w:tcPr>
          <w:p w14:paraId="439F4A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50F164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15-50/3000</w:t>
            </w:r>
          </w:p>
        </w:tc>
      </w:tr>
      <w:tr w:rsidR="001002C3" w:rsidRPr="007122AB" w14:paraId="0AD6C50D" w14:textId="77777777">
        <w:tc>
          <w:tcPr>
            <w:tcW w:w="3024" w:type="dxa"/>
          </w:tcPr>
          <w:p w14:paraId="65855D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4865F7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548A836E" w14:textId="77777777">
        <w:tc>
          <w:tcPr>
            <w:tcW w:w="3024" w:type="dxa"/>
          </w:tcPr>
          <w:p w14:paraId="6C523B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29C609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2D69F2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за счет перегрузки</w:t>
            </w:r>
          </w:p>
        </w:tc>
      </w:tr>
      <w:tr w:rsidR="001002C3" w:rsidRPr="007122AB" w14:paraId="429BFCB5" w14:textId="77777777">
        <w:tc>
          <w:tcPr>
            <w:tcW w:w="3024" w:type="dxa"/>
          </w:tcPr>
          <w:p w14:paraId="60E0F0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308A3E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r>
      <w:tr w:rsidR="001002C3" w:rsidRPr="007122AB" w14:paraId="12325DA1" w14:textId="77777777">
        <w:tc>
          <w:tcPr>
            <w:tcW w:w="3024" w:type="dxa"/>
          </w:tcPr>
          <w:p w14:paraId="753A8E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628B39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931 года</w:t>
            </w:r>
          </w:p>
        </w:tc>
      </w:tr>
      <w:tr w:rsidR="001002C3" w:rsidRPr="007122AB" w14:paraId="21303E3C" w14:textId="77777777">
        <w:tc>
          <w:tcPr>
            <w:tcW w:w="3024" w:type="dxa"/>
          </w:tcPr>
          <w:p w14:paraId="313EA0C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AAB1A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 поступил в ЦКБ из расформированного бюро ВАО из </w:t>
            </w:r>
            <w:proofErr w:type="spellStart"/>
            <w:r w:rsidRPr="007122AB">
              <w:rPr>
                <w:rFonts w:ascii="Times New Roman" w:hAnsi="Times New Roman"/>
                <w:color w:val="000000" w:themeColor="text1"/>
                <w:sz w:val="16"/>
                <w:szCs w:val="16"/>
              </w:rPr>
              <w:t>МОСа</w:t>
            </w:r>
            <w:proofErr w:type="spellEnd"/>
            <w:r w:rsidRPr="007122AB">
              <w:rPr>
                <w:rFonts w:ascii="Times New Roman" w:hAnsi="Times New Roman"/>
                <w:color w:val="000000" w:themeColor="text1"/>
                <w:sz w:val="16"/>
                <w:szCs w:val="16"/>
              </w:rPr>
              <w:t>; переделан заново. Бюро уделяет проекту большое внимание. На самом деле ВАО при наличии такого же типа (тоже деревянного) самолета С62бис в МБР2-М27 особой заинтересованности не имеет. Постройку ВВС рассматривает главным образом как получение КБ опыта проектирования и постройки деревянных гидросамолетов.</w:t>
            </w:r>
          </w:p>
        </w:tc>
      </w:tr>
      <w:tr w:rsidR="001002C3" w:rsidRPr="007122AB" w14:paraId="42D9FDE7" w14:textId="77777777">
        <w:tc>
          <w:tcPr>
            <w:tcW w:w="3024" w:type="dxa"/>
          </w:tcPr>
          <w:p w14:paraId="52D03E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1A04BD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на поплавках</w:t>
            </w:r>
          </w:p>
        </w:tc>
      </w:tr>
      <w:tr w:rsidR="001002C3" w:rsidRPr="007122AB" w14:paraId="103CAB75" w14:textId="77777777">
        <w:tc>
          <w:tcPr>
            <w:tcW w:w="3024" w:type="dxa"/>
          </w:tcPr>
          <w:p w14:paraId="3FEE54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3522B9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года</w:t>
            </w:r>
          </w:p>
        </w:tc>
      </w:tr>
      <w:tr w:rsidR="001002C3" w:rsidRPr="007122AB" w14:paraId="67405B3B" w14:textId="77777777">
        <w:tc>
          <w:tcPr>
            <w:tcW w:w="3024" w:type="dxa"/>
          </w:tcPr>
          <w:p w14:paraId="028A5D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1132DC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должен выйти к 20 июля 1931 года. Передан в ЦКБ сухопутный самолет для ускорения выполнения переделок. Задержка произошла по вине ЦКБ, который предполагал снять задание.</w:t>
            </w:r>
          </w:p>
        </w:tc>
      </w:tr>
      <w:tr w:rsidR="001002C3" w:rsidRPr="007122AB" w14:paraId="3FE262A1" w14:textId="77777777">
        <w:tc>
          <w:tcPr>
            <w:tcW w:w="3024" w:type="dxa"/>
          </w:tcPr>
          <w:p w14:paraId="2AF8D8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2792A5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ТБ1-2БМВVI, установленный на поплавки</w:t>
            </w:r>
          </w:p>
        </w:tc>
      </w:tr>
      <w:tr w:rsidR="001002C3" w:rsidRPr="007122AB" w14:paraId="590D85C2" w14:textId="77777777">
        <w:tc>
          <w:tcPr>
            <w:tcW w:w="3024" w:type="dxa"/>
          </w:tcPr>
          <w:p w14:paraId="6AEE8E4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Кто строит </w:t>
            </w:r>
          </w:p>
        </w:tc>
        <w:tc>
          <w:tcPr>
            <w:tcW w:w="7432" w:type="dxa"/>
          </w:tcPr>
          <w:p w14:paraId="5CD456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51321BA0" w14:textId="77777777">
        <w:tc>
          <w:tcPr>
            <w:tcW w:w="3024" w:type="dxa"/>
          </w:tcPr>
          <w:p w14:paraId="76D140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54AB78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Закуплены поплавки фирмы ШОРТ, ЦАГИ ведет всю работу по установке самолета на поплавки, производственную работу выполняет завод № 31. Машина ожидает поплавки в Таганроге. ЦАГИ пытается свалить с себя ответственность как по заданной ему работе, так и предстоящим заводским пробам. Увеличение веса против сухопутного около 500 кг.</w:t>
            </w:r>
          </w:p>
        </w:tc>
      </w:tr>
      <w:tr w:rsidR="001002C3" w:rsidRPr="007122AB" w14:paraId="016D47FD" w14:textId="77777777">
        <w:tc>
          <w:tcPr>
            <w:tcW w:w="3024" w:type="dxa"/>
          </w:tcPr>
          <w:p w14:paraId="0A5AAF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53FF3A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1-ВГ Геликоптер</w:t>
            </w:r>
          </w:p>
        </w:tc>
      </w:tr>
      <w:tr w:rsidR="001002C3" w:rsidRPr="007122AB" w14:paraId="16F0DCE4" w14:textId="77777777">
        <w:tc>
          <w:tcPr>
            <w:tcW w:w="3024" w:type="dxa"/>
          </w:tcPr>
          <w:p w14:paraId="586F73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6ADDC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1113783C" w14:textId="77777777">
        <w:tc>
          <w:tcPr>
            <w:tcW w:w="3024" w:type="dxa"/>
          </w:tcPr>
          <w:p w14:paraId="3156C7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693A28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Ремонт геликоптера закончен. Аппарат переведен в </w:t>
            </w:r>
            <w:proofErr w:type="spellStart"/>
            <w:r w:rsidRPr="007122AB">
              <w:rPr>
                <w:rFonts w:ascii="Times New Roman" w:hAnsi="Times New Roman"/>
                <w:color w:val="000000" w:themeColor="text1"/>
                <w:sz w:val="16"/>
                <w:szCs w:val="16"/>
              </w:rPr>
              <w:t>Ухтомское</w:t>
            </w:r>
            <w:proofErr w:type="spellEnd"/>
            <w:r w:rsidRPr="007122AB">
              <w:rPr>
                <w:rFonts w:ascii="Times New Roman" w:hAnsi="Times New Roman"/>
                <w:color w:val="000000" w:themeColor="text1"/>
                <w:sz w:val="16"/>
                <w:szCs w:val="16"/>
              </w:rPr>
              <w:t>. Ведутся опытные взлеты при которых достигнута высота до 10 метров. Геликоптер показывает достаточную устойчивость.</w:t>
            </w:r>
          </w:p>
          <w:p w14:paraId="772CE9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Кравцов.</w:t>
            </w:r>
          </w:p>
        </w:tc>
      </w:tr>
      <w:tr w:rsidR="001002C3" w:rsidRPr="007122AB" w14:paraId="47FD7864" w14:textId="77777777">
        <w:tc>
          <w:tcPr>
            <w:tcW w:w="3024" w:type="dxa"/>
          </w:tcPr>
          <w:p w14:paraId="32F83F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78BB64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Вертолет (автожир)</w:t>
            </w:r>
          </w:p>
        </w:tc>
      </w:tr>
      <w:tr w:rsidR="001002C3" w:rsidRPr="007122AB" w14:paraId="5359344D" w14:textId="77777777">
        <w:tc>
          <w:tcPr>
            <w:tcW w:w="3024" w:type="dxa"/>
          </w:tcPr>
          <w:p w14:paraId="620080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85DD8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r>
      <w:tr w:rsidR="001002C3" w:rsidRPr="007122AB" w14:paraId="49FB610F" w14:textId="77777777">
        <w:tc>
          <w:tcPr>
            <w:tcW w:w="3024" w:type="dxa"/>
          </w:tcPr>
          <w:p w14:paraId="20384D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2AF3DF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новым мотором вертолет совершил ряд полетов в районе аэродрома, достигая высоты до 100 м. Дальнейшие работы по вертолету передаются БОК ЦАГИ.</w:t>
            </w:r>
          </w:p>
          <w:p w14:paraId="68C0DD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Кравцов.</w:t>
            </w:r>
          </w:p>
        </w:tc>
      </w:tr>
      <w:tr w:rsidR="001002C3" w:rsidRPr="007122AB" w14:paraId="3D7C5686" w14:textId="77777777">
        <w:tc>
          <w:tcPr>
            <w:tcW w:w="3024" w:type="dxa"/>
          </w:tcPr>
          <w:p w14:paraId="4BC75A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39EFBE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МДР2-2БМВVI Е=6</w:t>
            </w:r>
          </w:p>
        </w:tc>
      </w:tr>
      <w:tr w:rsidR="001002C3" w:rsidRPr="007122AB" w14:paraId="08229AFF" w14:textId="77777777">
        <w:tc>
          <w:tcPr>
            <w:tcW w:w="3024" w:type="dxa"/>
          </w:tcPr>
          <w:p w14:paraId="661037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171B29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r>
      <w:tr w:rsidR="001002C3" w:rsidRPr="007122AB" w14:paraId="5A596F09" w14:textId="77777777">
        <w:tc>
          <w:tcPr>
            <w:tcW w:w="3024" w:type="dxa"/>
          </w:tcPr>
          <w:p w14:paraId="32A0DE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6087F1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Ном. 188</w:t>
            </w:r>
          </w:p>
        </w:tc>
      </w:tr>
      <w:tr w:rsidR="001002C3" w:rsidRPr="007122AB" w14:paraId="2BD1A7C4" w14:textId="77777777">
        <w:tc>
          <w:tcPr>
            <w:tcW w:w="3024" w:type="dxa"/>
          </w:tcPr>
          <w:p w14:paraId="340586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531370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39,75/3000 при полезной нагрузке в 2360 кг</w:t>
            </w:r>
          </w:p>
        </w:tc>
      </w:tr>
      <w:tr w:rsidR="001002C3" w:rsidRPr="007122AB" w14:paraId="2BFC49FE" w14:textId="77777777">
        <w:tc>
          <w:tcPr>
            <w:tcW w:w="3024" w:type="dxa"/>
          </w:tcPr>
          <w:p w14:paraId="251DDC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059479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3330</w:t>
            </w:r>
          </w:p>
        </w:tc>
      </w:tr>
      <w:tr w:rsidR="001002C3" w:rsidRPr="007122AB" w14:paraId="573B6D1A" w14:textId="77777777">
        <w:tc>
          <w:tcPr>
            <w:tcW w:w="3024" w:type="dxa"/>
          </w:tcPr>
          <w:p w14:paraId="08AF62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4B6392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пулеметов</w:t>
            </w:r>
          </w:p>
          <w:p w14:paraId="4608B6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в счет перегрузки 4х250 или 2х250, 4х100</w:t>
            </w:r>
          </w:p>
        </w:tc>
      </w:tr>
      <w:tr w:rsidR="001002C3" w:rsidRPr="007122AB" w14:paraId="1FAF5822" w14:textId="77777777">
        <w:tc>
          <w:tcPr>
            <w:tcW w:w="3024" w:type="dxa"/>
          </w:tcPr>
          <w:p w14:paraId="1DD55A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1CF936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w:t>
            </w:r>
          </w:p>
        </w:tc>
      </w:tr>
      <w:tr w:rsidR="001002C3" w:rsidRPr="007122AB" w14:paraId="1E819DF8" w14:textId="77777777">
        <w:tc>
          <w:tcPr>
            <w:tcW w:w="3024" w:type="dxa"/>
          </w:tcPr>
          <w:p w14:paraId="24D4C2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113E4FA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1930 года</w:t>
            </w:r>
          </w:p>
        </w:tc>
      </w:tr>
      <w:tr w:rsidR="001002C3" w:rsidRPr="007122AB" w14:paraId="705755C8" w14:textId="77777777">
        <w:tc>
          <w:tcPr>
            <w:tcW w:w="3024" w:type="dxa"/>
          </w:tcPr>
          <w:p w14:paraId="6D95FB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2DE5DC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Проведены в Севастополе летные испытания, морские были прерваны по причине недостаточной боковой остойчивости; приступили к изготовлению новых боковых поплавков большого водоизмещения.</w:t>
            </w:r>
          </w:p>
          <w:p w14:paraId="663F04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Летные данные уступают ДВ и должны будут еще несколько понизиться с увеличением веса, потребным для основных переделок.</w:t>
            </w:r>
          </w:p>
          <w:p w14:paraId="1AA325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Оценка: как первый построенный ЦАГИ гидросамолет – эксперимент удовлетворительный, но успех нельзя признать полным. С целью улучшения обзора и связи между лицами экипажа необходимо понизить расположение крыла по высоте лодки, ЦАГИ считает это необходимым и возможным, но условием выполнения ставит вопрос о снятии других работ.</w:t>
            </w:r>
          </w:p>
          <w:p w14:paraId="7FE787F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Предъявление для окончания испытаний ожидается к 1 июля 1931 года.</w:t>
            </w:r>
          </w:p>
        </w:tc>
      </w:tr>
      <w:tr w:rsidR="001002C3" w:rsidRPr="007122AB" w14:paraId="00F5F91B" w14:textId="77777777">
        <w:tc>
          <w:tcPr>
            <w:tcW w:w="3024" w:type="dxa"/>
          </w:tcPr>
          <w:p w14:paraId="6182D8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73A7A1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МУ3-М11</w:t>
            </w:r>
          </w:p>
        </w:tc>
      </w:tr>
      <w:tr w:rsidR="001002C3" w:rsidRPr="007122AB" w14:paraId="449CA69C" w14:textId="77777777">
        <w:tc>
          <w:tcPr>
            <w:tcW w:w="3024" w:type="dxa"/>
          </w:tcPr>
          <w:p w14:paraId="776242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0F8D8E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19B24E9A" w14:textId="77777777">
        <w:tc>
          <w:tcPr>
            <w:tcW w:w="3024" w:type="dxa"/>
          </w:tcPr>
          <w:p w14:paraId="48B09A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A20DC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120/130/0</w:t>
            </w:r>
          </w:p>
        </w:tc>
      </w:tr>
      <w:tr w:rsidR="001002C3" w:rsidRPr="007122AB" w14:paraId="708D00EB" w14:textId="77777777">
        <w:tc>
          <w:tcPr>
            <w:tcW w:w="3024" w:type="dxa"/>
          </w:tcPr>
          <w:p w14:paraId="687E1E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496987D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r>
      <w:tr w:rsidR="001002C3" w:rsidRPr="007122AB" w14:paraId="2984B092" w14:textId="77777777">
        <w:tc>
          <w:tcPr>
            <w:tcW w:w="3024" w:type="dxa"/>
          </w:tcPr>
          <w:p w14:paraId="6C6931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1AAE3D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r>
      <w:tr w:rsidR="001002C3" w:rsidRPr="007122AB" w14:paraId="65D51250" w14:textId="77777777">
        <w:tc>
          <w:tcPr>
            <w:tcW w:w="3024" w:type="dxa"/>
          </w:tcPr>
          <w:p w14:paraId="62768A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89E23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A132D31" w14:textId="77777777">
        <w:tc>
          <w:tcPr>
            <w:tcW w:w="3024" w:type="dxa"/>
          </w:tcPr>
          <w:p w14:paraId="3A2C71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606B3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3 часа</w:t>
            </w:r>
          </w:p>
        </w:tc>
      </w:tr>
      <w:tr w:rsidR="001002C3" w:rsidRPr="007122AB" w14:paraId="0B7ECE48" w14:textId="77777777">
        <w:tc>
          <w:tcPr>
            <w:tcW w:w="3024" w:type="dxa"/>
          </w:tcPr>
          <w:p w14:paraId="2CB984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642571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0EDB193A" w14:textId="77777777">
        <w:tc>
          <w:tcPr>
            <w:tcW w:w="3024" w:type="dxa"/>
          </w:tcPr>
          <w:p w14:paraId="1ABC50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57404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строится на заводе № 23, который ведет его сверх своего основного производственного плана. Самолет выйдет с опозданием примерно на 2 месяца.</w:t>
            </w:r>
          </w:p>
        </w:tc>
      </w:tr>
      <w:tr w:rsidR="001002C3" w:rsidRPr="007122AB" w14:paraId="260E6B8A" w14:textId="77777777">
        <w:tc>
          <w:tcPr>
            <w:tcW w:w="3024" w:type="dxa"/>
          </w:tcPr>
          <w:p w14:paraId="066386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432" w:type="dxa"/>
          </w:tcPr>
          <w:p w14:paraId="331ACB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А1-М11</w:t>
            </w:r>
          </w:p>
        </w:tc>
      </w:tr>
      <w:tr w:rsidR="001002C3" w:rsidRPr="007122AB" w14:paraId="3893F0FE" w14:textId="77777777">
        <w:tc>
          <w:tcPr>
            <w:tcW w:w="3024" w:type="dxa"/>
          </w:tcPr>
          <w:p w14:paraId="12404D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432" w:type="dxa"/>
          </w:tcPr>
          <w:p w14:paraId="47DE5C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7B6E3DB5" w14:textId="77777777">
        <w:tc>
          <w:tcPr>
            <w:tcW w:w="3024" w:type="dxa"/>
          </w:tcPr>
          <w:p w14:paraId="1E9100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432" w:type="dxa"/>
          </w:tcPr>
          <w:p w14:paraId="3BD528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w:t>
            </w:r>
          </w:p>
        </w:tc>
      </w:tr>
      <w:tr w:rsidR="001002C3" w:rsidRPr="007122AB" w14:paraId="762CB470" w14:textId="77777777">
        <w:tc>
          <w:tcPr>
            <w:tcW w:w="3024" w:type="dxa"/>
          </w:tcPr>
          <w:p w14:paraId="4F42316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432" w:type="dxa"/>
          </w:tcPr>
          <w:p w14:paraId="396F19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0091270" w14:textId="77777777">
        <w:tc>
          <w:tcPr>
            <w:tcW w:w="3024" w:type="dxa"/>
          </w:tcPr>
          <w:p w14:paraId="2C131A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432" w:type="dxa"/>
          </w:tcPr>
          <w:p w14:paraId="73F098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8C4B9F0" w14:textId="77777777">
        <w:tc>
          <w:tcPr>
            <w:tcW w:w="3024" w:type="dxa"/>
          </w:tcPr>
          <w:p w14:paraId="271534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432" w:type="dxa"/>
          </w:tcPr>
          <w:p w14:paraId="73907A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w:t>
            </w:r>
          </w:p>
        </w:tc>
      </w:tr>
      <w:tr w:rsidR="001002C3" w:rsidRPr="007122AB" w14:paraId="11BD372F" w14:textId="77777777">
        <w:tc>
          <w:tcPr>
            <w:tcW w:w="3024" w:type="dxa"/>
          </w:tcPr>
          <w:p w14:paraId="7E1DD2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432" w:type="dxa"/>
          </w:tcPr>
          <w:p w14:paraId="5914E5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150-200 км</w:t>
            </w:r>
          </w:p>
        </w:tc>
      </w:tr>
      <w:tr w:rsidR="001002C3" w:rsidRPr="007122AB" w14:paraId="5D8272A2" w14:textId="77777777">
        <w:tc>
          <w:tcPr>
            <w:tcW w:w="3024" w:type="dxa"/>
          </w:tcPr>
          <w:p w14:paraId="22FAC5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432" w:type="dxa"/>
          </w:tcPr>
          <w:p w14:paraId="096AB3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7DCB31" w14:textId="77777777">
        <w:tc>
          <w:tcPr>
            <w:tcW w:w="3024" w:type="dxa"/>
          </w:tcPr>
          <w:p w14:paraId="707492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15 мая 1931 года</w:t>
            </w:r>
          </w:p>
        </w:tc>
        <w:tc>
          <w:tcPr>
            <w:tcW w:w="7432" w:type="dxa"/>
          </w:tcPr>
          <w:p w14:paraId="432FEC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Амфибия по проекту инженера Шаврова (Ш2). Вне плана строится на заводе № 23 по заказу ОСОАВИАХИМА. ВВС заказал второй экземпляр. При начале испытаний первого экземпляра самолет разбит, находится в капитальном ремонте. Предполагается использовать как самолет связи (экипаж 2 человека, необходимо будет дать минимальное вооружение). Испытания ожидаются с 15 июня 1931 года на Москве реке.</w:t>
            </w:r>
          </w:p>
        </w:tc>
      </w:tr>
    </w:tbl>
    <w:p w14:paraId="14E8CE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(6918, 24-33).</w:t>
      </w:r>
    </w:p>
    <w:p w14:paraId="424E6FD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5FA0A" w14:textId="77777777" w:rsidR="00557EA0" w:rsidRPr="007122AB" w:rsidRDefault="00557EA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 концу мая 1931 </w:t>
      </w:r>
      <w:proofErr w:type="spellStart"/>
      <w:r w:rsidRPr="007122AB">
        <w:rPr>
          <w:rFonts w:ascii="Times New Roman" w:eastAsia="Times New Roman" w:hAnsi="Times New Roman"/>
          <w:color w:val="000000" w:themeColor="text1"/>
          <w:sz w:val="16"/>
          <w:szCs w:val="16"/>
          <w:lang w:eastAsia="ru-RU"/>
        </w:rPr>
        <w:t>Глдбцман</w:t>
      </w:r>
      <w:proofErr w:type="spellEnd"/>
      <w:r w:rsidRPr="007122AB">
        <w:rPr>
          <w:rFonts w:ascii="Times New Roman" w:eastAsia="Times New Roman" w:hAnsi="Times New Roman"/>
          <w:color w:val="000000" w:themeColor="text1"/>
          <w:sz w:val="16"/>
          <w:szCs w:val="16"/>
          <w:lang w:eastAsia="ru-RU"/>
        </w:rPr>
        <w:t xml:space="preserve"> согласовал с Хуго </w:t>
      </w:r>
      <w:proofErr w:type="spellStart"/>
      <w:r w:rsidRPr="007122AB">
        <w:rPr>
          <w:rFonts w:ascii="Times New Roman" w:eastAsia="Times New Roman" w:hAnsi="Times New Roman"/>
          <w:color w:val="000000" w:themeColor="text1"/>
          <w:sz w:val="16"/>
          <w:szCs w:val="16"/>
          <w:lang w:eastAsia="ru-RU"/>
        </w:rPr>
        <w:t>Эккенером</w:t>
      </w:r>
      <w:proofErr w:type="spellEnd"/>
      <w:r w:rsidRPr="007122AB">
        <w:rPr>
          <w:rFonts w:ascii="Times New Roman" w:eastAsia="Times New Roman" w:hAnsi="Times New Roman"/>
          <w:color w:val="000000" w:themeColor="text1"/>
          <w:sz w:val="16"/>
          <w:szCs w:val="16"/>
          <w:lang w:eastAsia="ru-RU"/>
        </w:rPr>
        <w:t xml:space="preserve"> предварительные условия соглашения. Немецкая сторона запрашивала за свои консультации и техническую помощь пять миллионов марок (два с половиной миллиона золотых рублей), желая их получить в течение года-двух. Но Политбюро, ознакомившись с претензиями «</w:t>
      </w:r>
      <w:proofErr w:type="spellStart"/>
      <w:r w:rsidRPr="007122AB">
        <w:rPr>
          <w:rFonts w:ascii="Times New Roman" w:eastAsia="Times New Roman" w:hAnsi="Times New Roman"/>
          <w:color w:val="000000" w:themeColor="text1"/>
          <w:sz w:val="16"/>
          <w:szCs w:val="16"/>
          <w:lang w:eastAsia="ru-RU"/>
        </w:rPr>
        <w:t>Люфтшифбау</w:t>
      </w:r>
      <w:proofErr w:type="spellEnd"/>
      <w:r w:rsidRPr="007122AB">
        <w:rPr>
          <w:rFonts w:ascii="Times New Roman" w:eastAsia="Times New Roman" w:hAnsi="Times New Roman"/>
          <w:color w:val="000000" w:themeColor="text1"/>
          <w:sz w:val="16"/>
          <w:szCs w:val="16"/>
          <w:lang w:eastAsia="ru-RU"/>
        </w:rPr>
        <w:t xml:space="preserve"> Цеппелин», потребовало от </w:t>
      </w:r>
      <w:proofErr w:type="spellStart"/>
      <w:r w:rsidRPr="007122AB">
        <w:rPr>
          <w:rFonts w:ascii="Times New Roman" w:eastAsia="Times New Roman" w:hAnsi="Times New Roman"/>
          <w:color w:val="000000" w:themeColor="text1"/>
          <w:sz w:val="16"/>
          <w:szCs w:val="16"/>
          <w:lang w:eastAsia="ru-RU"/>
        </w:rPr>
        <w:t>Гольцмана</w:t>
      </w:r>
      <w:proofErr w:type="spellEnd"/>
      <w:r w:rsidRPr="007122AB">
        <w:rPr>
          <w:rFonts w:ascii="Times New Roman" w:eastAsia="Times New Roman" w:hAnsi="Times New Roman"/>
          <w:color w:val="000000" w:themeColor="text1"/>
          <w:sz w:val="16"/>
          <w:szCs w:val="16"/>
          <w:lang w:eastAsia="ru-RU"/>
        </w:rPr>
        <w:t xml:space="preserve"> добиться обязательного снижения общей суммы до четырех миллионов, а платежи текущего года ограничить 150 тысячами марок. Срок остальных выплат согласовать с наркомом внешней торговли А.П. </w:t>
      </w:r>
      <w:proofErr w:type="spellStart"/>
      <w:r w:rsidRPr="007122AB">
        <w:rPr>
          <w:rFonts w:ascii="Times New Roman" w:eastAsia="Times New Roman" w:hAnsi="Times New Roman"/>
          <w:color w:val="000000" w:themeColor="text1"/>
          <w:sz w:val="16"/>
          <w:szCs w:val="16"/>
          <w:lang w:eastAsia="ru-RU"/>
        </w:rPr>
        <w:t>Розенгольцем</w:t>
      </w:r>
      <w:proofErr w:type="spellEnd"/>
      <w:r w:rsidRPr="007122AB">
        <w:rPr>
          <w:rFonts w:ascii="Times New Roman" w:eastAsia="Times New Roman" w:hAnsi="Times New Roman"/>
          <w:color w:val="000000" w:themeColor="text1"/>
          <w:sz w:val="16"/>
          <w:szCs w:val="16"/>
          <w:lang w:eastAsia="ru-RU"/>
        </w:rPr>
        <w:t>, и непременно таким образом, чтобы по меньшей мере половину всей суммы, обусловленной договором, можно было бы перевести на счет «Цеппелин» лишь после постройки первого советского дирижабля58.</w:t>
      </w:r>
    </w:p>
    <w:p w14:paraId="126600FE" w14:textId="77777777" w:rsidR="00557EA0" w:rsidRPr="007122AB" w:rsidRDefault="00557EA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Надежды заключить весьма выгодный контракт, обеспечивший бы фирму работой в условиях мирового кризиса на год, а то и два, заставили X. </w:t>
      </w:r>
      <w:proofErr w:type="spellStart"/>
      <w:r w:rsidRPr="007122AB">
        <w:rPr>
          <w:rFonts w:ascii="Times New Roman" w:eastAsia="Times New Roman" w:hAnsi="Times New Roman"/>
          <w:color w:val="000000" w:themeColor="text1"/>
          <w:sz w:val="16"/>
          <w:szCs w:val="16"/>
          <w:lang w:eastAsia="ru-RU"/>
        </w:rPr>
        <w:t>Эккенера</w:t>
      </w:r>
      <w:proofErr w:type="spellEnd"/>
      <w:r w:rsidRPr="007122AB">
        <w:rPr>
          <w:rFonts w:ascii="Times New Roman" w:eastAsia="Times New Roman" w:hAnsi="Times New Roman"/>
          <w:color w:val="000000" w:themeColor="text1"/>
          <w:sz w:val="16"/>
          <w:szCs w:val="16"/>
          <w:lang w:eastAsia="ru-RU"/>
        </w:rPr>
        <w:t xml:space="preserve"> официально подтвердить А.З. </w:t>
      </w:r>
      <w:proofErr w:type="spellStart"/>
      <w:r w:rsidRPr="007122AB">
        <w:rPr>
          <w:rFonts w:ascii="Times New Roman" w:eastAsia="Times New Roman" w:hAnsi="Times New Roman"/>
          <w:color w:val="000000" w:themeColor="text1"/>
          <w:sz w:val="16"/>
          <w:szCs w:val="16"/>
          <w:lang w:eastAsia="ru-RU"/>
        </w:rPr>
        <w:t>Гольцману</w:t>
      </w:r>
      <w:proofErr w:type="spellEnd"/>
      <w:r w:rsidRPr="007122AB">
        <w:rPr>
          <w:rFonts w:ascii="Times New Roman" w:eastAsia="Times New Roman" w:hAnsi="Times New Roman"/>
          <w:color w:val="000000" w:themeColor="text1"/>
          <w:sz w:val="16"/>
          <w:szCs w:val="16"/>
          <w:lang w:eastAsia="ru-RU"/>
        </w:rPr>
        <w:t xml:space="preserve"> готовность предоставить в ближайшие месяцы LZ-127 для полета в советский сектор Арктики. Достаточно протяженным рейсом продемонстрировать в полярных условиях все преимущества дирижабля их жесткой конструкции по сравнению с итальянским полужестким, спроектированным У. Нобиле (20467).</w:t>
      </w:r>
    </w:p>
    <w:p w14:paraId="6E40BBF4" w14:textId="77777777" w:rsidR="00557EA0" w:rsidRPr="007122AB" w:rsidRDefault="00557EA0" w:rsidP="007122AB">
      <w:pPr>
        <w:spacing w:after="0" w:line="240" w:lineRule="auto"/>
        <w:jc w:val="both"/>
        <w:rPr>
          <w:rFonts w:ascii="Times New Roman" w:hAnsi="Times New Roman"/>
          <w:color w:val="000000" w:themeColor="text1"/>
          <w:sz w:val="16"/>
          <w:szCs w:val="16"/>
        </w:rPr>
      </w:pPr>
    </w:p>
    <w:p w14:paraId="5625312B" w14:textId="77777777" w:rsidR="005C4849" w:rsidRPr="007122AB" w:rsidRDefault="00874B1E"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BDC22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735A6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мая 1931 года на ХПЗ прибыл образец колесно-гусеничного танка Кристи, его чертежи, закупленные в США и чертежи танка БТ-2, разработанные в ГКБ ОАТ. С этим образцов и чертежами прибыли на ХПЗ два человека. Первым был военинженер 2-го ранга Николай Михай</w:t>
      </w:r>
      <w:r w:rsidRPr="007122AB">
        <w:rPr>
          <w:rFonts w:ascii="Times New Roman" w:hAnsi="Times New Roman"/>
          <w:color w:val="000000" w:themeColor="text1"/>
          <w:sz w:val="16"/>
          <w:szCs w:val="16"/>
        </w:rPr>
        <w:softHyphen/>
        <w:t xml:space="preserve">лович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командированный на завод из УММ РККА для оказания помощи в изготовлении опытных образцов и организации серийного производства, которое он почти год изучал на американских заводах. Вторым был военный инженер, выпускник Военно-технической ака</w:t>
      </w:r>
      <w:r w:rsidRPr="007122AB">
        <w:rPr>
          <w:rFonts w:ascii="Times New Roman" w:hAnsi="Times New Roman"/>
          <w:color w:val="000000" w:themeColor="text1"/>
          <w:sz w:val="16"/>
          <w:szCs w:val="16"/>
        </w:rPr>
        <w:softHyphen/>
        <w:t>демии Семен Александрович Гинзбург, с января 1931 года, работавший начальником ГКБ АОТ, а с марта по май 1931 года на заводе «Больше</w:t>
      </w:r>
      <w:r w:rsidRPr="007122AB">
        <w:rPr>
          <w:rFonts w:ascii="Times New Roman" w:hAnsi="Times New Roman"/>
          <w:color w:val="000000" w:themeColor="text1"/>
          <w:sz w:val="16"/>
          <w:szCs w:val="16"/>
        </w:rPr>
        <w:softHyphen/>
        <w:t>вик», оказывавший помощь в изготовлении опытных образцов танков Т-26, принятых на вооружение 13 февраля 1931 года.</w:t>
      </w:r>
    </w:p>
    <w:p w14:paraId="603EC8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принятием на вооружение танка БТ на ХПЗ началось строительство ряда цехов для производства новой машины: корпусного, механического, сборочного, инструментального.</w:t>
      </w:r>
    </w:p>
    <w:p w14:paraId="639982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Однако принятие на вооружение танка БТ-2 по чертежам, до изготов</w:t>
      </w:r>
      <w:r w:rsidRPr="007122AB">
        <w:rPr>
          <w:rFonts w:ascii="Times New Roman" w:hAnsi="Times New Roman"/>
          <w:color w:val="000000" w:themeColor="text1"/>
          <w:sz w:val="16"/>
          <w:szCs w:val="16"/>
        </w:rPr>
        <w:softHyphen/>
        <w:t>ления опытного образца, еще не говорит о безошибочности конструктив</w:t>
      </w:r>
      <w:r w:rsidRPr="007122AB">
        <w:rPr>
          <w:rFonts w:ascii="Times New Roman" w:hAnsi="Times New Roman"/>
          <w:color w:val="000000" w:themeColor="text1"/>
          <w:sz w:val="16"/>
          <w:szCs w:val="16"/>
        </w:rPr>
        <w:softHyphen/>
        <w:t xml:space="preserve">ных решений. Коллектив КБ-Т2К, возглавляемый </w:t>
      </w:r>
      <w:proofErr w:type="spellStart"/>
      <w:r w:rsidRPr="007122AB">
        <w:rPr>
          <w:rFonts w:ascii="Times New Roman" w:hAnsi="Times New Roman"/>
          <w:color w:val="000000" w:themeColor="text1"/>
          <w:sz w:val="16"/>
          <w:szCs w:val="16"/>
        </w:rPr>
        <w:t>И.Н.Алексенко</w:t>
      </w:r>
      <w:proofErr w:type="spellEnd"/>
      <w:r w:rsidRPr="007122AB">
        <w:rPr>
          <w:rFonts w:ascii="Times New Roman" w:hAnsi="Times New Roman"/>
          <w:color w:val="000000" w:themeColor="text1"/>
          <w:sz w:val="16"/>
          <w:szCs w:val="16"/>
        </w:rPr>
        <w:t>, на</w:t>
      </w:r>
      <w:r w:rsidRPr="007122AB">
        <w:rPr>
          <w:rFonts w:ascii="Times New Roman" w:hAnsi="Times New Roman"/>
          <w:color w:val="000000" w:themeColor="text1"/>
          <w:sz w:val="16"/>
          <w:szCs w:val="16"/>
        </w:rPr>
        <w:softHyphen/>
        <w:t>считывал в то время всего 22 человека. Из 22 конструкторов этого КБ только 7 человек имели высшее техническое образование, остальные же вообще не имели технического образования, а были практиками. И с этим составом следовало разработать техническую документацию для серий</w:t>
      </w:r>
      <w:r w:rsidRPr="007122AB">
        <w:rPr>
          <w:rFonts w:ascii="Times New Roman" w:hAnsi="Times New Roman"/>
          <w:color w:val="000000" w:themeColor="text1"/>
          <w:sz w:val="16"/>
          <w:szCs w:val="16"/>
        </w:rPr>
        <w:softHyphen/>
        <w:t>ного производства. Для оказания помощи в этом из ГКБ АОТ был коман</w:t>
      </w:r>
      <w:r w:rsidRPr="007122AB">
        <w:rPr>
          <w:rFonts w:ascii="Times New Roman" w:hAnsi="Times New Roman"/>
          <w:color w:val="000000" w:themeColor="text1"/>
          <w:sz w:val="16"/>
          <w:szCs w:val="16"/>
        </w:rPr>
        <w:softHyphen/>
        <w:t xml:space="preserve">дирован профессор </w:t>
      </w:r>
      <w:proofErr w:type="spellStart"/>
      <w:r w:rsidRPr="007122AB">
        <w:rPr>
          <w:rFonts w:ascii="Times New Roman" w:hAnsi="Times New Roman"/>
          <w:color w:val="000000" w:themeColor="text1"/>
          <w:sz w:val="16"/>
          <w:szCs w:val="16"/>
        </w:rPr>
        <w:t>В.И.Заславский</w:t>
      </w:r>
      <w:proofErr w:type="spellEnd"/>
      <w:r w:rsidRPr="007122AB">
        <w:rPr>
          <w:rFonts w:ascii="Times New Roman" w:hAnsi="Times New Roman"/>
          <w:color w:val="000000" w:themeColor="text1"/>
          <w:sz w:val="16"/>
          <w:szCs w:val="16"/>
        </w:rPr>
        <w:t>.</w:t>
      </w:r>
    </w:p>
    <w:p w14:paraId="13213C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Коллектив КБ, возглавляемый </w:t>
      </w:r>
      <w:proofErr w:type="spellStart"/>
      <w:r w:rsidRPr="007122AB">
        <w:rPr>
          <w:rFonts w:ascii="Times New Roman" w:hAnsi="Times New Roman"/>
          <w:color w:val="000000" w:themeColor="text1"/>
          <w:sz w:val="16"/>
          <w:szCs w:val="16"/>
        </w:rPr>
        <w:t>И.Н.Алексенко</w:t>
      </w:r>
      <w:proofErr w:type="spellEnd"/>
      <w:r w:rsidRPr="007122AB">
        <w:rPr>
          <w:rFonts w:ascii="Times New Roman" w:hAnsi="Times New Roman"/>
          <w:color w:val="000000" w:themeColor="text1"/>
          <w:sz w:val="16"/>
          <w:szCs w:val="16"/>
        </w:rPr>
        <w:t xml:space="preserve">, находившейся под неусыпной опекой представителя заказчика — УММ РККА </w:t>
      </w:r>
      <w:proofErr w:type="spellStart"/>
      <w:r w:rsidRPr="007122AB">
        <w:rPr>
          <w:rFonts w:ascii="Times New Roman" w:hAnsi="Times New Roman"/>
          <w:color w:val="000000" w:themeColor="text1"/>
          <w:sz w:val="16"/>
          <w:szCs w:val="16"/>
        </w:rPr>
        <w:t>военинжене-ра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Тоскина</w:t>
      </w:r>
      <w:proofErr w:type="spellEnd"/>
      <w:r w:rsidRPr="007122AB">
        <w:rPr>
          <w:rFonts w:ascii="Times New Roman" w:hAnsi="Times New Roman"/>
          <w:color w:val="000000" w:themeColor="text1"/>
          <w:sz w:val="16"/>
          <w:szCs w:val="16"/>
        </w:rPr>
        <w:t>, главного конструктора ГКБ АОТ профессора Заславского и поднаторевшего на «Большевике» в организации серийного производ</w:t>
      </w:r>
      <w:r w:rsidRPr="007122AB">
        <w:rPr>
          <w:rFonts w:ascii="Times New Roman" w:hAnsi="Times New Roman"/>
          <w:color w:val="000000" w:themeColor="text1"/>
          <w:sz w:val="16"/>
          <w:szCs w:val="16"/>
        </w:rPr>
        <w:softHyphen/>
        <w:t>ства танков военинженера Гинзбурга, был далек от самоуверенности.</w:t>
      </w:r>
    </w:p>
    <w:p w14:paraId="7D14E3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ни старались конструкторы КБ во главе с Алексенко, по воспо</w:t>
      </w:r>
      <w:r w:rsidRPr="007122AB">
        <w:rPr>
          <w:rFonts w:ascii="Times New Roman" w:hAnsi="Times New Roman"/>
          <w:color w:val="000000" w:themeColor="text1"/>
          <w:sz w:val="16"/>
          <w:szCs w:val="16"/>
        </w:rPr>
        <w:softHyphen/>
        <w:t xml:space="preserve">минаниям </w:t>
      </w:r>
      <w:proofErr w:type="spellStart"/>
      <w:r w:rsidRPr="007122AB">
        <w:rPr>
          <w:rFonts w:ascii="Times New Roman" w:hAnsi="Times New Roman"/>
          <w:color w:val="000000" w:themeColor="text1"/>
          <w:sz w:val="16"/>
          <w:szCs w:val="16"/>
        </w:rPr>
        <w:t>И.Ш.Бер</w:t>
      </w:r>
      <w:proofErr w:type="spellEnd"/>
      <w:r w:rsidRPr="007122AB">
        <w:rPr>
          <w:rFonts w:ascii="Times New Roman" w:hAnsi="Times New Roman"/>
          <w:color w:val="000000" w:themeColor="text1"/>
          <w:sz w:val="16"/>
          <w:szCs w:val="16"/>
        </w:rPr>
        <w:t>, «КБ плохо справилось с выпуском чертежно-технической документации: рабочих чертежей, узлов и деталей, а также техни</w:t>
      </w:r>
      <w:r w:rsidRPr="007122AB">
        <w:rPr>
          <w:rFonts w:ascii="Times New Roman" w:hAnsi="Times New Roman"/>
          <w:color w:val="000000" w:themeColor="text1"/>
          <w:sz w:val="16"/>
          <w:szCs w:val="16"/>
        </w:rPr>
        <w:softHyphen/>
        <w:t>ческих условий на машину».</w:t>
      </w:r>
    </w:p>
    <w:p w14:paraId="256660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Иначе и быть не могло. В КБ буквально кипела работа по доработке чертежей поступивших из ГКБ ОАТ и вновь разработанных: башни с воо</w:t>
      </w:r>
      <w:r w:rsidRPr="007122AB">
        <w:rPr>
          <w:rFonts w:ascii="Times New Roman" w:hAnsi="Times New Roman"/>
          <w:color w:val="000000" w:themeColor="text1"/>
          <w:sz w:val="16"/>
          <w:szCs w:val="16"/>
        </w:rPr>
        <w:softHyphen/>
        <w:t>ружением и других узлов. Чертежи немедленно в цехах пускались в работу. Для ускорения немало чертежей было выдано в производство в виде эскизов. Документация в следствии отсутствия разобранного образца и невозможности сличить чертежи ГКБ ОАТ с деталями шасси пестрела всевозможными примечаниями и оговорками об уточнении ряда пара</w:t>
      </w:r>
      <w:r w:rsidRPr="007122AB">
        <w:rPr>
          <w:rFonts w:ascii="Times New Roman" w:hAnsi="Times New Roman"/>
          <w:color w:val="000000" w:themeColor="text1"/>
          <w:sz w:val="16"/>
          <w:szCs w:val="16"/>
        </w:rPr>
        <w:softHyphen/>
        <w:t>метров по месту, при сборке первых образцов.</w:t>
      </w:r>
    </w:p>
    <w:p w14:paraId="638A87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Производственники понимали, какие трудности испытывают конст</w:t>
      </w:r>
      <w:r w:rsidRPr="007122AB">
        <w:rPr>
          <w:rFonts w:ascii="Times New Roman" w:hAnsi="Times New Roman"/>
          <w:color w:val="000000" w:themeColor="text1"/>
          <w:sz w:val="16"/>
          <w:szCs w:val="16"/>
        </w:rPr>
        <w:softHyphen/>
        <w:t>рукторы КБ, поэтому всеми способами старались им помочь (11504).</w:t>
      </w:r>
    </w:p>
    <w:p w14:paraId="547D25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642D9"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мая 1931 </w:t>
      </w:r>
      <w:proofErr w:type="spellStart"/>
      <w:r w:rsidRPr="007122AB">
        <w:rPr>
          <w:rFonts w:ascii="Times New Roman" w:hAnsi="Times New Roman"/>
          <w:color w:val="000000" w:themeColor="text1"/>
          <w:sz w:val="16"/>
          <w:szCs w:val="16"/>
        </w:rPr>
        <w:t>бвло</w:t>
      </w:r>
      <w:proofErr w:type="spellEnd"/>
      <w:r w:rsidRPr="007122AB">
        <w:rPr>
          <w:rFonts w:ascii="Times New Roman" w:hAnsi="Times New Roman"/>
          <w:color w:val="000000" w:themeColor="text1"/>
          <w:sz w:val="16"/>
          <w:szCs w:val="16"/>
        </w:rPr>
        <w:t xml:space="preserve"> подготовлено ЗАКЛЮЧЕНИЕ ОБ АВТОМОБИЛЬНОМ ЗАВОДЕ «АМО», Москва</w:t>
      </w:r>
    </w:p>
    <w:p w14:paraId="510F7A9D"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желанию Председателя Автотреста т. Сорокина, я, вместе с заведующими производством и бюро, осмотрел в промежуток между 6 и 9 мая завод «АМО» и настоящим даю об этом отчет. </w:t>
      </w:r>
    </w:p>
    <w:p w14:paraId="59DFB592"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p w14:paraId="76458863"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Проработке подверглись: 1. Механический цех 2. Сборка групп и шасси 3. Литейная 4. Кузница 5. Прессовая 6. Рессорная мастерская 7. Склады 8. Лаборатория и отделение испытания материалов 9. Кузовной отдел К этому присоединились: 10. Техническое бюро 11. Бюро приспособлений (Френкель) 12. Бюро производства (Богданов) 13. Бюро распределения (Моргенштерн) 14. Нормирование и предварительная калькуляция (Назаров) 15. Расчетный отдел (Петров) 16. Исполнительная калькуляция и определение накладных расходов (</w:t>
      </w:r>
      <w:proofErr w:type="spellStart"/>
      <w:r w:rsidRPr="007122AB">
        <w:rPr>
          <w:rFonts w:ascii="Times New Roman" w:hAnsi="Times New Roman"/>
          <w:color w:val="000000" w:themeColor="text1"/>
          <w:sz w:val="16"/>
          <w:szCs w:val="16"/>
        </w:rPr>
        <w:t>Колотилин</w:t>
      </w:r>
      <w:proofErr w:type="spellEnd"/>
      <w:r w:rsidRPr="007122AB">
        <w:rPr>
          <w:rFonts w:ascii="Times New Roman" w:hAnsi="Times New Roman"/>
          <w:color w:val="000000" w:themeColor="text1"/>
          <w:sz w:val="16"/>
          <w:szCs w:val="16"/>
        </w:rPr>
        <w:t>) 17. Расширение завода</w:t>
      </w:r>
    </w:p>
    <w:p w14:paraId="648E42D0"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К п. 1. Механический цех Механические цехи оборудованы почти исключительно станками лучших американских фирм. Все они, в среднем, 10–12-летнего возраста. Усовершенствование станков за последние десять лет получило, однако, такое развитие, что имеющиеся сегодня на АМО станки лишь в незначительной части пригодны для современного крупносерийного производства – 10–15 автомобилей в день. На станках вперемежку обрабатывают алюминий, латунь, чугун, мягкую сталь, стальное литье и хромоникелевую сталь, в то время как станки эти в большинстве случаев приспособлены для обработки стали или, может быть, чугуна. Для серьезного и рационального крупносерийного производства смогут быть использованы следующие станки: большинство кругло-шлифовальных станков, автоматы и полуавтоматы, часть револьверных и токарных станков, зуборезные, фрезерные и долбежные станки и часть сверлильных станков для работы на стали, чугуне и, при нужде, на бронзе. На фрезерных станках слишком коротки столы, и поэтому они пригодны только для обработки мелких деталей. Зажимные приспособления в большинстве случаев малопригодны и отнимают много времени на закрепление. Для алюминия пригодны лишь фрезерные станки с большими фрезерами со вставными ножами; остальные станки слишком тихоходны. Все остальные машины рациональней перевести в мастерские для работ по ремонту поврежденных станков, для производства запасных частей старых типов и, наконец, для выделяемой ремонтной мастерской для автомобилей. Перестановка эта может быть проведена спокойно, равномерно и систематично. Наличные станки используются в настоящее время чрезвычайно неравномерно, между тем как Нормировочное бюро (Назаров) на операционных карточках предписывает и кладет в основу предварительной калькуляции в большинстве случаев правильные скорости.</w:t>
      </w:r>
    </w:p>
    <w:p w14:paraId="40A6015A"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сам проверил скорости резания на большом количестве работающих в Механическом цехе станков и установил, что при одном и том же материале они очень различны. Разница между предписанным нормировочным бюро и в действительности использованным временем очень велика. Это было подтверждено проверкой отдельных выборочных оплатных листков в расчетном отделе (Петров). &lt;…&gt; Станки «</w:t>
      </w:r>
      <w:proofErr w:type="spellStart"/>
      <w:r w:rsidRPr="007122AB">
        <w:rPr>
          <w:rFonts w:ascii="Times New Roman" w:hAnsi="Times New Roman"/>
          <w:color w:val="000000" w:themeColor="text1"/>
          <w:sz w:val="16"/>
          <w:szCs w:val="16"/>
        </w:rPr>
        <w:t>Феллоу</w:t>
      </w:r>
      <w:proofErr w:type="spellEnd"/>
      <w:r w:rsidRPr="007122AB">
        <w:rPr>
          <w:rFonts w:ascii="Times New Roman" w:hAnsi="Times New Roman"/>
          <w:color w:val="000000" w:themeColor="text1"/>
          <w:sz w:val="16"/>
          <w:szCs w:val="16"/>
        </w:rPr>
        <w:t xml:space="preserve">» устарели и тихоходны. Прямолинейные строгальные станки для конических колес «Глисона» также надлежит перевести в мастерские изготовления запасных частей и ремонтные. Если в отдельных случаях и перемешиваются обдирочные и отделочные работы, то все же заведующие производствами и мастера должны больше обращать внимания на то, что наличные, еще хорошо сохранившиеся, американские станки были бы полностью использованы в смысле применения надлежащих скоростей резания и подач и тогда, когда данные о времени нормировочного бюро слишком велики. Обрабатываемый материал надо разбить по отдельным главнейшим группам: сталь, бронзовое литье и алюминий, и по этим трем группам работать лишь на специально для этих материалов приспособленных станках. Для обработки стали, в зависимости от ее твердости, требуются скорости резания от 10 до 35 м/мин, для обработки бронзового литья – от 25 до 50 м/мин и алюминия − от 150 до 300 м/мин. Нельзя требовать от одних и тех же станков столь разных скоростей резания без того, чтобы они работали неэкономично. Употребляемые для производства приспособления распадаются на группы: 1) кондукторы и 2) приспособления для закрепления обрабатываемого предмета. Кондукторы в общем хороши и имеются в достаточном количестве. Зажимных приспособлений для фрезерных и строгальных станков недостаточно, а имеющиеся могли бы быть значительно улучшены. У части фрезерных станков подача ручная. Эти станки не подходят для производства: в настоящее время применение ручной подачи при регулярной работе с экономической точки зрения просто необъяснимо. Эти станки следует перестроить или выбросить вон. Распределение обслуживающего персонала часто неправильное. Вовсе необязательно приставлять к каждому отдельному автомату или полуавтомату специального рабочего. Около циркулярной пилы для разрезки материалов стоял при мне без дела рабочий, на расстоянии десяти метров от него стоял около приводной ножовки другой, в то время как для обеих этих машин и одного рабочего слишком много. Тоже самое и с зуборезными станками: для их обслуживания достаточно одного рабочего на четыре станка. У плоско-шлифовального станка для длинных </w:t>
      </w:r>
    </w:p>
    <w:p w14:paraId="3B8EA0BA"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ножей в Инструментальном цехе я видел сидевшего без дела и читавшего газету рабочего. На заводе с такой высококвалифицированной работой, как «АМО», не должно быть такой неравномерности в состоянии и использовании станков и не могут рабочие ходить без дела от половины до трех четвертей своего времени без того, чтобы это не вызвало соответствующей плохой оценки мастеров и заведующих производством. В Механическом, также как и в Заготовительных цехах, Кузнице и Литейной, о которых речь будет впереди, не хватает темпа. Исключение составляет только одна Рессорная мастерская, несмотря на то, что расположена она наихудшим образом.</w:t>
      </w:r>
    </w:p>
    <w:p w14:paraId="69B8E0E6"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 Система и порядок контроля на АМО стоят на высоте. Допуски употребляются, по большей части, точные и отделочные и лишь в некоторых случаях грубые и свободные. Наличные калибры приспособлены для четырех способов посадки: свободная посадка на вращение, нормальная посадка на вращение, посадка на скольжение и посадка с загоном, скользящее и тугое. Этого в общем достаточно. Оптические контрольные аппараты, такие как оптиметры, компараторы, измерительные машины, − первоклассны («Цейс-</w:t>
      </w:r>
      <w:proofErr w:type="spellStart"/>
      <w:r w:rsidRPr="007122AB">
        <w:rPr>
          <w:rFonts w:ascii="Times New Roman" w:hAnsi="Times New Roman"/>
          <w:color w:val="000000" w:themeColor="text1"/>
          <w:sz w:val="16"/>
          <w:szCs w:val="16"/>
        </w:rPr>
        <w:t>Иенна</w:t>
      </w:r>
      <w:proofErr w:type="spellEnd"/>
      <w:r w:rsidRPr="007122AB">
        <w:rPr>
          <w:rFonts w:ascii="Times New Roman" w:hAnsi="Times New Roman"/>
          <w:color w:val="000000" w:themeColor="text1"/>
          <w:sz w:val="16"/>
          <w:szCs w:val="16"/>
        </w:rPr>
        <w:t>») и допускают хороший и надежный надзор за продукцией, как при летучем цеховом контроле, так и при постоянном главном контроле. Летучий контроль следует, по возможности, производить на рабочих местах.</w:t>
      </w:r>
    </w:p>
    <w:p w14:paraId="7498D5E2"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 Сборка По данным г. Лапина, в настоящий момент уходит на сборку групп и шасси около 22 000 минут, в то время как было бы достаточно 12 000, если бы отдельные части поступали из Механического цеха в действительно готовом и взаимозаменяемом виде. В настоящий момент при сборке, как отдельных групп, так и шасси, отдельные части не просто собираются, как это должно было бы быть, а подгоняются напильником-шабером, наждачным полотном, молотком и зубилом, на что тратится очень много времени. Систематически пришабривать следует только, и то в небольших размерах, подшипники коленчатого вала и шатуна. Следовало бы, по возможности, скорей перейти на шлифование поверхностей картеров на больших плоско-шлифовальных станках. После такой обработки при обычной прокладке верхний и нижний картер без пришабровки должны плотно прилегать друг к другу и быть маслонепроницаемыми. На сборке, по моему мнению, можно уже сейчас перейти с помощью небольших мероприятий на поток. Для этого следует повернуть на 90 градусов монтажные станки и продвигать шасси вперед от руки по легкому рельсовому пути на вспомогательных или собственных колесах мимо слесарей для прогрессивной сборки. На четверти площади, занимаемой сейчас под сборку, можно было бы удобно разместить от 10-15 шасси. Для выпуска двух автомобилей в день ни в коем случае не должно быть одновременно в работе больше недельного выпуска, то есть 6*2=12 шасси. Это действительно также и для всех подгрупп. Цеховой оборот при этом составит лишь 1/5 от теперешнего. Полнейшим абсурдом является то, что теперь на сборке лежат до 70 шасси и соответственно больше излишнее количество деталей на сборке подгрупп и главных групп (двигатель, коробка скоростей, сцепление, управление, передняя и задняя ось), в то время как явно не хватает других мелких частей. Если бы последнего не было, был бы непонятным такой низкий дневной выпуск, как 2–2,3 автомобиля в день. Еще хуже обстоит дело с отдельными частями, лежащими около станков по 100 и 200 штук (кардан, блок цилиндров, алюминиевый картер, кронштейн, тормозные колодки и пр.). Детали эти к тому же принадлежат к самым крупным, на которые идет большое количество материалов, благодаря чему большие суммы денег лежат без движения. Очевидно, это происходит по вине планировочного и производственного бюро, также как и распределительного. Для поддержания общей равномерности руководители этих бюро должны в первую очередь определить время и подогнать производство отдельных недостающих деталей. У руководителей должно хватать мужества всюду сокращать производство − там, где налицо продолжительное время, слишком большой запас частей и соответствующе уменьшать количество рабочей силы на несколько недель или месяцев до тех пор, пока не будут использованы все излишки. Для производства вполне достаточно двухнедельного буферного склада. Даже при выпуске трех автомобилей в день это составит максимум 40–45 штук каждой детали.</w:t>
      </w:r>
    </w:p>
    <w:p w14:paraId="26522262"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Отладка нового оборудования по обработке блоков цилиндров</w:t>
      </w:r>
    </w:p>
    <w:p w14:paraId="37FDD701"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серийном производстве, подобному тому, которое мы имеем на АМО, следует располагать и работать не больше, чем с недельными порциями, если мертвый капитал в материалах должен быть минимален, а производительность, получаемая с одного рабочего – максимальна. Идеалом серийного производства является работа </w:t>
      </w:r>
      <w:r w:rsidRPr="007122AB">
        <w:rPr>
          <w:rFonts w:ascii="Times New Roman" w:hAnsi="Times New Roman"/>
          <w:color w:val="000000" w:themeColor="text1"/>
          <w:sz w:val="16"/>
          <w:szCs w:val="16"/>
        </w:rPr>
        <w:lastRenderedPageBreak/>
        <w:t>с двухдневной потребностью, что, однако, возможно, лишь начиная от 15 автомобилей ежедневного выпуска, и не относится к работе на автоматах. При этом должно быть обеспечено вполне равномерное продвижение материалов. Если заменить характерное для сегодняшнего дня производство с колоссальными обращающимися запасами материалов хотя бы на крупных деталях групповым производством с выравненными и установленными по такту нормировочным бюро правильно, точно и соответственно временам обработки, то можно будет удивиться, как мало места понадобится тогда под производство и как понизится аккордное время. Само собой разумеется, надо лишить рабочих и мастеров возможности утверждать, что русская быстрорежущая сталь не надежна или вообще никуда не годится.</w:t>
      </w:r>
    </w:p>
    <w:p w14:paraId="202E0D31"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К п.3. Литейная В Литейной одновременно производится как чугунное и стальное литье, так бронзовое и алюминиевое. Это должно быть отмечено как совершенно исключительное явление. В будущем следует отделить Литейную цветных металлов от Чугунно-литейной. Они вовсе не должны быть вместе − ни для формовки, ни еще меньше для плавки и литья. Литейная к тому же очень узка. С целью обеспечения ежедневного выпуска 15–20 моторов она должна быть расширена для установки роликовых транспортеров, или передних столов, а главным образом для того, что можно было разместить формовочные машины. Стержневые сушила устарели и занимают слишком много места. Механизируя подачу земли и подняв выше подающие трубы для песка, удастся освободить часть площади Литейной. Производительность литейной в 1,2–1,5 т в год на рабочего – слишком мала, она должна была бы быть хотя бы в 2 раза больше. В Очистной нет очистительных барабанов и пескоструйных аппаратов. Употребляющаяся в настоящее время песочная обдувка очень вредно действует на здоровье рабочих. Циркулярные пилы для обрезки приливов и прибылей устарели, особенно для отделки стального литья; их следует заменить современными полуавтоматическими пилами, обслуживаемыми одним рабочих. Для стального литья лучше всего употреблять беззубые пилы Марса.</w:t>
      </w:r>
    </w:p>
    <w:p w14:paraId="21BCE3C0"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VI К п.4. Кузница Этот цех нуждается в улучшении больше других. Печи в нем отчаянно дымят, так что копоть, по-видимому, лишь наполовину сгоревшая, вылетает густыми тучами из, в большинстве случаев, полуоткрытых дверец, делая чрезвычайно неприятным пребывание в Кузнице. Печное пространство загружается чрезвычайно слабо. Отсутствуют подъемные механизмы при печах для облегчения посадки и вытаскивания раскаленных тяжелых блоков, в связи с чем очень плохо используется пламя; муфельные стенки легко повреждаются и страдают из-за постоянного притока холодного воздуха. Печи расположены очень неудобно по отношению к молотам и прессам, так что обслуживающий персонал должен проходить большое расстояние с раскаленными предметами в клещах. Оборудование очень плохо подобрано, для мелких частей не хватает надлежащих, быстро работающих молотов, также как и прессов и </w:t>
      </w:r>
      <w:proofErr w:type="spellStart"/>
      <w:r w:rsidRPr="007122AB">
        <w:rPr>
          <w:rFonts w:ascii="Times New Roman" w:hAnsi="Times New Roman"/>
          <w:color w:val="000000" w:themeColor="text1"/>
          <w:sz w:val="16"/>
          <w:szCs w:val="16"/>
        </w:rPr>
        <w:t>абграт</w:t>
      </w:r>
      <w:proofErr w:type="spellEnd"/>
      <w:r w:rsidRPr="007122AB">
        <w:rPr>
          <w:rFonts w:ascii="Times New Roman" w:hAnsi="Times New Roman"/>
          <w:color w:val="000000" w:themeColor="text1"/>
          <w:sz w:val="16"/>
          <w:szCs w:val="16"/>
        </w:rPr>
        <w:t>-машин для крупных частей. 6-миллиметровая жесть для штампования частей в 300 кв. см накаляется докрасна, ибо утверждается, что прессы недостаточно сильны для холодной работы. Под колоссальным двухколенчатым прессом изгибаются нагретые до красна миниатюрные предметы с производительностью 300 штук в день, в то время как на надлежащих машинах с рядом стоящими маленьким нагревателем эта производительность могла бы быть получена в течение двух часов.</w:t>
      </w:r>
    </w:p>
    <w:p w14:paraId="6679F325"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 К п. 5. Прессовая Осмотренная Прессовая для коленчатых валов должна быть улучшением отделочного штампа доведена до максимального припуска от 10 до 15 % по весу вчерне. Мне кажется сомнительным: хватит ли имеющегося пресса для предстоящего производства, может быть, еще удлиненных шасси. Также кажется мне сомнительным возможность их приспособления для рационального производства грязевых щитов. Следовало бы своевременно приобрести крупный пресс, примерно в 1000–1200 т для производства колесных дисков, грязевых щитов коленчатых валов и пр.</w:t>
      </w:r>
    </w:p>
    <w:p w14:paraId="6F71CDB2"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Американский станок для нарезки отверстий в блоке цилиндров</w:t>
      </w:r>
    </w:p>
    <w:p w14:paraId="7BED1E25"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фасонных частей из 6-миллиметровой жести и площадью 1 200 см2 под гидравлическим прессом, обслуживаемым тремя рабочими, с одним ходом на каждые 2 минуты явно нерационально. Для этого нужен эксцентриковый пресс с </w:t>
      </w:r>
      <w:proofErr w:type="spellStart"/>
      <w:r w:rsidRPr="007122AB">
        <w:rPr>
          <w:rFonts w:ascii="Times New Roman" w:hAnsi="Times New Roman"/>
          <w:color w:val="000000" w:themeColor="text1"/>
          <w:sz w:val="16"/>
          <w:szCs w:val="16"/>
        </w:rPr>
        <w:t>прижимателем</w:t>
      </w:r>
      <w:proofErr w:type="spellEnd"/>
      <w:r w:rsidRPr="007122AB">
        <w:rPr>
          <w:rFonts w:ascii="Times New Roman" w:hAnsi="Times New Roman"/>
          <w:color w:val="000000" w:themeColor="text1"/>
          <w:sz w:val="16"/>
          <w:szCs w:val="16"/>
        </w:rPr>
        <w:t xml:space="preserve"> и 5–8 ходами в минуту, обслуживаемый одним человеком, наподобие сейчас очень неэкономично используемых для производства мелких частей в Кузнице. Разметка шасси задних мостов и других крупных прессованных частей, также как и разметка кернером от руки и ручная вырезка автогенной горелкой, должна быть срочном порядком заменена работой по шаблону автогенными горелками. Теперешний метод требует слишком много времени, дорог и плох. Еще лучше было бы, конечно, заменить устарелую, впрочем, очень солидную, заднюю ось «</w:t>
      </w:r>
      <w:proofErr w:type="spellStart"/>
      <w:r w:rsidRPr="007122AB">
        <w:rPr>
          <w:rFonts w:ascii="Times New Roman" w:hAnsi="Times New Roman"/>
          <w:color w:val="000000" w:themeColor="text1"/>
          <w:sz w:val="16"/>
          <w:szCs w:val="16"/>
        </w:rPr>
        <w:t>фиата</w:t>
      </w:r>
      <w:proofErr w:type="spellEnd"/>
      <w:r w:rsidRPr="007122AB">
        <w:rPr>
          <w:rFonts w:ascii="Times New Roman" w:hAnsi="Times New Roman"/>
          <w:color w:val="000000" w:themeColor="text1"/>
          <w:sz w:val="16"/>
          <w:szCs w:val="16"/>
        </w:rPr>
        <w:t xml:space="preserve">» другой, более современной конструкции. Штампы для Прессовой и Кузницы лежат в цехах в печальном беспорядке − один на другом на полу, в грязи и пыли. Штампы − настолько дорогие инструменты, что они безусловно заслуживают лучшего с ними обращения. Не следует недооценивать и морального влияния, оказываемого на рабочих подобным беспорядком. Штампы изготовляются в хороших и светлых помещениях, однако употребляемые станки, несмотря на их американское происхождение, не рациональны. Хочет АМО производить </w:t>
      </w:r>
      <w:proofErr w:type="spellStart"/>
      <w:r w:rsidRPr="007122AB">
        <w:rPr>
          <w:rFonts w:ascii="Times New Roman" w:hAnsi="Times New Roman"/>
          <w:color w:val="000000" w:themeColor="text1"/>
          <w:sz w:val="16"/>
          <w:szCs w:val="16"/>
        </w:rPr>
        <w:t>прессованые</w:t>
      </w:r>
      <w:proofErr w:type="spellEnd"/>
      <w:r w:rsidRPr="007122AB">
        <w:rPr>
          <w:rFonts w:ascii="Times New Roman" w:hAnsi="Times New Roman"/>
          <w:color w:val="000000" w:themeColor="text1"/>
          <w:sz w:val="16"/>
          <w:szCs w:val="16"/>
        </w:rPr>
        <w:t xml:space="preserve"> части с припусками в 2 мм, то надо хорошо, быстро и скоро изготовлять штампы. Для этого необходимо приобрести полуавтоматы Келлера. Не надо экономить при выборе инструментальной стали. Я привык в Германии выбивать на простом штампе по меньшей мере от 6 000 до 10 000 штук прессованных частей (также и из стального литья), как, например, камер и гильз для пехотного оружия при употреблении </w:t>
      </w:r>
      <w:proofErr w:type="spellStart"/>
      <w:r w:rsidRPr="007122AB">
        <w:rPr>
          <w:rFonts w:ascii="Times New Roman" w:hAnsi="Times New Roman"/>
          <w:color w:val="000000" w:themeColor="text1"/>
          <w:sz w:val="16"/>
          <w:szCs w:val="16"/>
        </w:rPr>
        <w:t>Беллеровской</w:t>
      </w:r>
      <w:proofErr w:type="spellEnd"/>
      <w:r w:rsidRPr="007122AB">
        <w:rPr>
          <w:rFonts w:ascii="Times New Roman" w:hAnsi="Times New Roman"/>
          <w:color w:val="000000" w:themeColor="text1"/>
          <w:sz w:val="16"/>
          <w:szCs w:val="16"/>
        </w:rPr>
        <w:t xml:space="preserve"> или </w:t>
      </w:r>
      <w:proofErr w:type="spellStart"/>
      <w:r w:rsidRPr="007122AB">
        <w:rPr>
          <w:rFonts w:ascii="Times New Roman" w:hAnsi="Times New Roman"/>
          <w:color w:val="000000" w:themeColor="text1"/>
          <w:sz w:val="16"/>
          <w:szCs w:val="16"/>
        </w:rPr>
        <w:t>Крупповской</w:t>
      </w:r>
      <w:proofErr w:type="spellEnd"/>
      <w:r w:rsidRPr="007122AB">
        <w:rPr>
          <w:rFonts w:ascii="Times New Roman" w:hAnsi="Times New Roman"/>
          <w:color w:val="000000" w:themeColor="text1"/>
          <w:sz w:val="16"/>
          <w:szCs w:val="16"/>
        </w:rPr>
        <w:t xml:space="preserve"> штамповой стали. Подобные высококачественные сорта стали нельзя не покупать до тех пор, пока сам не научишься хорошо их производить.</w:t>
      </w:r>
    </w:p>
    <w:p w14:paraId="52AA74A4"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п.6. Рессорная мастерская Рессорная мастерская чрезмерно узка и страдает из-за почти полного отсутствия надлежащих машин. Несмотря на это, получаемая продукция по количеству и качеству превосходит все воз</w:t>
      </w:r>
    </w:p>
    <w:p w14:paraId="70499383" w14:textId="77777777" w:rsidR="00D0786A" w:rsidRPr="007122AB" w:rsidRDefault="00D0786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можное</w:t>
      </w:r>
      <w:proofErr w:type="spellEnd"/>
      <w:r w:rsidRPr="007122AB">
        <w:rPr>
          <w:rFonts w:ascii="Times New Roman" w:hAnsi="Times New Roman"/>
          <w:color w:val="000000" w:themeColor="text1"/>
          <w:sz w:val="16"/>
          <w:szCs w:val="16"/>
        </w:rPr>
        <w:t xml:space="preserve">. Руководитель мастерской должен быть исключительным знатоком своего дела, а его рабочие – прямо художниками, для того чтобы изготовить от руки и сравнительно в большом количестве настолько хорошие рессоры. Так как мне было известно об очень плохом состоянии оборудования этой мастерской, то я в Германии вместе с фирмой </w:t>
      </w:r>
      <w:proofErr w:type="spellStart"/>
      <w:r w:rsidRPr="007122AB">
        <w:rPr>
          <w:rFonts w:ascii="Times New Roman" w:hAnsi="Times New Roman"/>
          <w:color w:val="000000" w:themeColor="text1"/>
          <w:sz w:val="16"/>
          <w:szCs w:val="16"/>
        </w:rPr>
        <w:t>Бр</w:t>
      </w:r>
      <w:proofErr w:type="spellEnd"/>
      <w:r w:rsidRPr="007122AB">
        <w:rPr>
          <w:rFonts w:ascii="Times New Roman" w:hAnsi="Times New Roman"/>
          <w:color w:val="000000" w:themeColor="text1"/>
          <w:sz w:val="16"/>
          <w:szCs w:val="16"/>
        </w:rPr>
        <w:t>. Геллер-</w:t>
      </w:r>
      <w:proofErr w:type="spellStart"/>
      <w:r w:rsidRPr="007122AB">
        <w:rPr>
          <w:rFonts w:ascii="Times New Roman" w:hAnsi="Times New Roman"/>
          <w:color w:val="000000" w:themeColor="text1"/>
          <w:sz w:val="16"/>
          <w:szCs w:val="16"/>
        </w:rPr>
        <w:t>Каппенберг</w:t>
      </w:r>
      <w:proofErr w:type="spellEnd"/>
      <w:r w:rsidRPr="007122AB">
        <w:rPr>
          <w:rFonts w:ascii="Times New Roman" w:hAnsi="Times New Roman"/>
          <w:color w:val="000000" w:themeColor="text1"/>
          <w:sz w:val="16"/>
          <w:szCs w:val="16"/>
        </w:rPr>
        <w:t xml:space="preserve"> разработал при сем прилагаемый проект мастерской для производства рессор на 4 500 автомобилей в год: 9 000 передних и 9 000 задних рессор. Фирма «Геллер» согласна при практическом пуске в ход этой специальной мастерской поделиться своим опытом с вашими специалистами.</w:t>
      </w:r>
    </w:p>
    <w:p w14:paraId="51AD03EC"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п. 7. Склады Старые склады находятся, в общем, на надлежащих местах, однако типы штабелей, также как и вытаскивание и резка материалов, должны быть улучшены. Новые склады в западной части завода, со строительной точки зрения очень велики. Это очень солидные железобетонные помещения имеют высоту, которая вряд ли может быть использована в складочном помещении, особенно при отсутствии каких бы то ни было подъемных приспособлений. Как раз на складах легкие ручные краны имеют совершенно исключительное значение. Очень полезны эти массивные здания будут при планируемой перестановке производства. В них можно будет, хотя бы временно, разместить целые цехи, хотя бы сейчас же – Рессорную мастерскую, также как и мастерскую для производства гаек, болтов и стандартных частей со всеми </w:t>
      </w:r>
      <w:proofErr w:type="spellStart"/>
      <w:r w:rsidRPr="007122AB">
        <w:rPr>
          <w:rFonts w:ascii="Times New Roman" w:hAnsi="Times New Roman"/>
          <w:color w:val="000000" w:themeColor="text1"/>
          <w:sz w:val="16"/>
          <w:szCs w:val="16"/>
        </w:rPr>
        <w:t>болто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гайкорезными</w:t>
      </w:r>
      <w:proofErr w:type="spellEnd"/>
      <w:r w:rsidRPr="007122AB">
        <w:rPr>
          <w:rFonts w:ascii="Times New Roman" w:hAnsi="Times New Roman"/>
          <w:color w:val="000000" w:themeColor="text1"/>
          <w:sz w:val="16"/>
          <w:szCs w:val="16"/>
        </w:rPr>
        <w:t xml:space="preserve"> автоматами, полуавтоматами, фрезерными машинами и всеми принадлежностями. Если бы оказалось, что стены или бетонные колонны слишком слабы для размещения потолочных </w:t>
      </w:r>
      <w:proofErr w:type="spellStart"/>
      <w:r w:rsidRPr="007122AB">
        <w:rPr>
          <w:rFonts w:ascii="Times New Roman" w:hAnsi="Times New Roman"/>
          <w:color w:val="000000" w:themeColor="text1"/>
          <w:sz w:val="16"/>
          <w:szCs w:val="16"/>
        </w:rPr>
        <w:t>контр-приводов</w:t>
      </w:r>
      <w:proofErr w:type="spellEnd"/>
      <w:r w:rsidRPr="007122AB">
        <w:rPr>
          <w:rFonts w:ascii="Times New Roman" w:hAnsi="Times New Roman"/>
          <w:color w:val="000000" w:themeColor="text1"/>
          <w:sz w:val="16"/>
          <w:szCs w:val="16"/>
        </w:rPr>
        <w:t xml:space="preserve"> или для того чтобы выдержать кран, следует или перейти к одиночному приводу, или же устроить в этом высоком помещении самоподдерживающиеся железные помосты, что не должно вызвать никаких затруднений. При этом случае я не могу не поднять предупреждающе свой голос, для того, чтобы обратить ваше внимание на необходимость осторожного применения железобетонных конструкций там, </w:t>
      </w:r>
    </w:p>
    <w:p w14:paraId="757C4DF9"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Механосборочный цех завода, укомплектованный новым оборудованием Сборка редукторов задних мостов конвейерным способом</w:t>
      </w:r>
    </w:p>
    <w:p w14:paraId="3CC8301C"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где при устройстве фабрик можно не предусмотреть изменений или расширений, и где, во всяком случае, наверное, несколько раз должны будут быть перестанавливаться машины. В таких случаях надо выбирать пластично-приспособляющиеся железные конструкции и, во всяком случае, не жесткие железобетонные, которые может быть потом придется совсем убрать, если они будут стоять, мешая и не допуская изменений.</w:t>
      </w:r>
    </w:p>
    <w:p w14:paraId="66EA7650"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8. Лаборатория и отделения для испытания материалов Оборудование комплектно, соответствует цели и хорошо продумано. Хорошее влияние этих отделений на надежную и равномерную поставку всех материалов, как от своих собственных заготовительных цехов, Кузницы и Литейной, так и со стороны посторонних поставщиков. Оно будет тем значительней, чем больше будет производство завода «АМО».</w:t>
      </w:r>
    </w:p>
    <w:p w14:paraId="4BC9DA97"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п. 9. Кузовной отдел В общем, вся обработка отдельных деревянных деталей, начиная от дерева и сушил через станки до сборки, производит хорошее впечатление. При увеличивающемся, однако, производстве, для повышения производительности отдельные станки должны быть снабжены больше и более удобными обслуживаемыми приспособлениями для закрепления обрабатываемых предметов, а также направляющими шаблонами. На сборке, несмотря на различные типы </w:t>
      </w:r>
      <w:proofErr w:type="spellStart"/>
      <w:r w:rsidRPr="007122AB">
        <w:rPr>
          <w:rFonts w:ascii="Times New Roman" w:hAnsi="Times New Roman"/>
          <w:color w:val="000000" w:themeColor="text1"/>
          <w:sz w:val="16"/>
          <w:szCs w:val="16"/>
        </w:rPr>
        <w:t>кароссери</w:t>
      </w:r>
      <w:proofErr w:type="spellEnd"/>
      <w:r w:rsidRPr="007122AB">
        <w:rPr>
          <w:rFonts w:ascii="Times New Roman" w:hAnsi="Times New Roman"/>
          <w:color w:val="000000" w:themeColor="text1"/>
          <w:sz w:val="16"/>
          <w:szCs w:val="16"/>
        </w:rPr>
        <w:t xml:space="preserve"> (кузовов. – Прим. ред.) (14- и 22−местный автобус, грузовик, санитарка, автомобиль для заключенных и пр.), уже сейчас можно было бы ввести поток путем установки колен с движущимися по ним тележками. При этом следует обратить особое внимание на сборочные шаблоны, в которые должны быть целиком заключены </w:t>
      </w:r>
      <w:proofErr w:type="spellStart"/>
      <w:r w:rsidRPr="007122AB">
        <w:rPr>
          <w:rFonts w:ascii="Times New Roman" w:hAnsi="Times New Roman"/>
          <w:color w:val="000000" w:themeColor="text1"/>
          <w:sz w:val="16"/>
          <w:szCs w:val="16"/>
        </w:rPr>
        <w:t>кароссери</w:t>
      </w:r>
      <w:proofErr w:type="spellEnd"/>
      <w:r w:rsidRPr="007122AB">
        <w:rPr>
          <w:rFonts w:ascii="Times New Roman" w:hAnsi="Times New Roman"/>
          <w:color w:val="000000" w:themeColor="text1"/>
          <w:sz w:val="16"/>
          <w:szCs w:val="16"/>
        </w:rPr>
        <w:t xml:space="preserve"> для облегчения правильной </w:t>
      </w:r>
      <w:proofErr w:type="spellStart"/>
      <w:r w:rsidRPr="007122AB">
        <w:rPr>
          <w:rFonts w:ascii="Times New Roman" w:hAnsi="Times New Roman"/>
          <w:color w:val="000000" w:themeColor="text1"/>
          <w:sz w:val="16"/>
          <w:szCs w:val="16"/>
        </w:rPr>
        <w:t>заменяемости</w:t>
      </w:r>
      <w:proofErr w:type="spellEnd"/>
      <w:r w:rsidRPr="007122AB">
        <w:rPr>
          <w:rFonts w:ascii="Times New Roman" w:hAnsi="Times New Roman"/>
          <w:color w:val="000000" w:themeColor="text1"/>
          <w:sz w:val="16"/>
          <w:szCs w:val="16"/>
        </w:rPr>
        <w:t xml:space="preserve"> частей, так как это имеет место на заводах </w:t>
      </w:r>
      <w:proofErr w:type="spellStart"/>
      <w:r w:rsidRPr="007122AB">
        <w:rPr>
          <w:rFonts w:ascii="Times New Roman" w:hAnsi="Times New Roman"/>
          <w:color w:val="000000" w:themeColor="text1"/>
          <w:sz w:val="16"/>
          <w:szCs w:val="16"/>
        </w:rPr>
        <w:t>Вандерера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Вреннабора</w:t>
      </w:r>
      <w:proofErr w:type="spellEnd"/>
      <w:r w:rsidRPr="007122AB">
        <w:rPr>
          <w:rFonts w:ascii="Times New Roman" w:hAnsi="Times New Roman"/>
          <w:color w:val="000000" w:themeColor="text1"/>
          <w:sz w:val="16"/>
          <w:szCs w:val="16"/>
        </w:rPr>
        <w:t xml:space="preserve"> и других. В случае выпуска 10–15 </w:t>
      </w:r>
      <w:proofErr w:type="spellStart"/>
      <w:r w:rsidRPr="007122AB">
        <w:rPr>
          <w:rFonts w:ascii="Times New Roman" w:hAnsi="Times New Roman"/>
          <w:color w:val="000000" w:themeColor="text1"/>
          <w:sz w:val="16"/>
          <w:szCs w:val="16"/>
        </w:rPr>
        <w:t>кароссери</w:t>
      </w:r>
      <w:proofErr w:type="spellEnd"/>
      <w:r w:rsidRPr="007122AB">
        <w:rPr>
          <w:rFonts w:ascii="Times New Roman" w:hAnsi="Times New Roman"/>
          <w:color w:val="000000" w:themeColor="text1"/>
          <w:sz w:val="16"/>
          <w:szCs w:val="16"/>
        </w:rPr>
        <w:t xml:space="preserve"> в день можно было бы организовать поточный процесс в красильне и сушильне (сравнить с «</w:t>
      </w:r>
      <w:proofErr w:type="spellStart"/>
      <w:r w:rsidRPr="007122AB">
        <w:rPr>
          <w:rFonts w:ascii="Times New Roman" w:hAnsi="Times New Roman"/>
          <w:color w:val="000000" w:themeColor="text1"/>
          <w:sz w:val="16"/>
          <w:szCs w:val="16"/>
        </w:rPr>
        <w:t>Амби</w:t>
      </w:r>
      <w:proofErr w:type="spellEnd"/>
      <w:r w:rsidRPr="007122AB">
        <w:rPr>
          <w:rFonts w:ascii="Times New Roman" w:hAnsi="Times New Roman"/>
          <w:color w:val="000000" w:themeColor="text1"/>
          <w:sz w:val="16"/>
          <w:szCs w:val="16"/>
        </w:rPr>
        <w:t xml:space="preserve">-Буд», Берлин). В теперешней </w:t>
      </w:r>
      <w:proofErr w:type="spellStart"/>
      <w:r w:rsidRPr="007122AB">
        <w:rPr>
          <w:rFonts w:ascii="Times New Roman" w:hAnsi="Times New Roman"/>
          <w:color w:val="000000" w:themeColor="text1"/>
          <w:sz w:val="16"/>
          <w:szCs w:val="16"/>
        </w:rPr>
        <w:t>лакировальне</w:t>
      </w:r>
      <w:proofErr w:type="spellEnd"/>
      <w:r w:rsidRPr="007122AB">
        <w:rPr>
          <w:rFonts w:ascii="Times New Roman" w:hAnsi="Times New Roman"/>
          <w:color w:val="000000" w:themeColor="text1"/>
          <w:sz w:val="16"/>
          <w:szCs w:val="16"/>
        </w:rPr>
        <w:t xml:space="preserve"> для облегчения передвижения готовых лакированных </w:t>
      </w:r>
      <w:proofErr w:type="spellStart"/>
      <w:r w:rsidRPr="007122AB">
        <w:rPr>
          <w:rFonts w:ascii="Times New Roman" w:hAnsi="Times New Roman"/>
          <w:color w:val="000000" w:themeColor="text1"/>
          <w:sz w:val="16"/>
          <w:szCs w:val="16"/>
        </w:rPr>
        <w:t>кароссери</w:t>
      </w:r>
      <w:proofErr w:type="spellEnd"/>
      <w:r w:rsidRPr="007122AB">
        <w:rPr>
          <w:rFonts w:ascii="Times New Roman" w:hAnsi="Times New Roman"/>
          <w:color w:val="000000" w:themeColor="text1"/>
          <w:sz w:val="16"/>
          <w:szCs w:val="16"/>
        </w:rPr>
        <w:t xml:space="preserve"> не хватает потолочной кошки или драна. Лакировочное помещение не свободно от пыли, и теперешняя окраска грязевых щитов не украшает автомобиля. Причиной последнего может, однако, быть и ручная изготовка щитов, в то время как их следовало бы прессовать (сравнить с п. 8. Прессовая). Жестяные пластинки для арматурного щита слишком малы, и к ним приходится на сварочной машине припаивать кусок жести в 100 мм. О нерациональности подобных производственных методов говорить, очевидно, не приходится. Впрочем, это, по-видимому, применяется только как выход из положения вследствие неполучения надлежащего листового материала.</w:t>
      </w:r>
    </w:p>
    <w:p w14:paraId="19D3B28B"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п.10. Техническое бюро</w:t>
      </w:r>
    </w:p>
    <w:p w14:paraId="6975303F"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(сравнить с п. 5. Сборка) Чертежи Технического бюро изготовлены тщательно, со знанием дела и приспособлены к конструкции старого грузовика «</w:t>
      </w:r>
      <w:proofErr w:type="spellStart"/>
      <w:r w:rsidRPr="007122AB">
        <w:rPr>
          <w:rFonts w:ascii="Times New Roman" w:hAnsi="Times New Roman"/>
          <w:color w:val="000000" w:themeColor="text1"/>
          <w:sz w:val="16"/>
          <w:szCs w:val="16"/>
        </w:rPr>
        <w:t>фиат</w:t>
      </w:r>
      <w:proofErr w:type="spellEnd"/>
      <w:r w:rsidRPr="007122AB">
        <w:rPr>
          <w:rFonts w:ascii="Times New Roman" w:hAnsi="Times New Roman"/>
          <w:color w:val="000000" w:themeColor="text1"/>
          <w:sz w:val="16"/>
          <w:szCs w:val="16"/>
        </w:rPr>
        <w:t>». В чертежах, помимо всего необходимого для производства, приведены данные о посадках и допусках. К сожалению, на заводе применяется американская система нарезки «Селлерса», однако сейчас уже начинают переходить на метрическую систему. Основная ошибка всей конструкции в целом состоит в том, что хотя конструкция «</w:t>
      </w:r>
      <w:proofErr w:type="spellStart"/>
      <w:r w:rsidRPr="007122AB">
        <w:rPr>
          <w:rFonts w:ascii="Times New Roman" w:hAnsi="Times New Roman"/>
          <w:color w:val="000000" w:themeColor="text1"/>
          <w:sz w:val="16"/>
          <w:szCs w:val="16"/>
        </w:rPr>
        <w:t>фиата</w:t>
      </w:r>
      <w:proofErr w:type="spellEnd"/>
      <w:r w:rsidRPr="007122AB">
        <w:rPr>
          <w:rFonts w:ascii="Times New Roman" w:hAnsi="Times New Roman"/>
          <w:color w:val="000000" w:themeColor="text1"/>
          <w:sz w:val="16"/>
          <w:szCs w:val="16"/>
        </w:rPr>
        <w:t xml:space="preserve">» хороша и солидна, однако в ней не обращено никакого внимания на возможность дешевого производства отдельных частей, а также на легкую собираемость групп и сборку последних в шасси. В этом главная причина малой производительности завода «АМО». Блок цилиндров следует делать со съемной головкой, следствием чего будут простые модели, надежное литье, простое и дешевое производство. Подобный новый пробный двигатель сейчас уже изготовляется на заводе. Коробка скоростей должна быть по отношению к картеру двигателя принудительно центрирована. Лучше всего это осуществить введением круглой направляющей для облегчения сборки и поддержания постоянного совпадения оси коленчатого вала и главного вала коробки скоростей. Задняя ось очень сложна и тяжела; сейчас в </w:t>
      </w:r>
      <w:r w:rsidRPr="007122AB">
        <w:rPr>
          <w:rFonts w:ascii="Times New Roman" w:hAnsi="Times New Roman"/>
          <w:color w:val="000000" w:themeColor="text1"/>
          <w:sz w:val="16"/>
          <w:szCs w:val="16"/>
        </w:rPr>
        <w:lastRenderedPageBreak/>
        <w:t>бюро на полном ходу разработка новой конструкции оси. Принимая во внимание спокойный ход конической зубчатой передачи и планетарных колес, следовало бы особенно, еще вследствие их большей жизнеспособности, перейти на дуговое зацепление («Глисон») или спиральное («</w:t>
      </w:r>
      <w:proofErr w:type="spellStart"/>
      <w:r w:rsidRPr="007122AB">
        <w:rPr>
          <w:rFonts w:ascii="Times New Roman" w:hAnsi="Times New Roman"/>
          <w:color w:val="000000" w:themeColor="text1"/>
          <w:sz w:val="16"/>
          <w:szCs w:val="16"/>
        </w:rPr>
        <w:t>Гейденрайх</w:t>
      </w:r>
      <w:proofErr w:type="spellEnd"/>
      <w:r w:rsidRPr="007122AB">
        <w:rPr>
          <w:rFonts w:ascii="Times New Roman" w:hAnsi="Times New Roman"/>
          <w:color w:val="000000" w:themeColor="text1"/>
          <w:sz w:val="16"/>
          <w:szCs w:val="16"/>
        </w:rPr>
        <w:t>» и «</w:t>
      </w:r>
      <w:proofErr w:type="spellStart"/>
      <w:r w:rsidRPr="007122AB">
        <w:rPr>
          <w:rFonts w:ascii="Times New Roman" w:hAnsi="Times New Roman"/>
          <w:color w:val="000000" w:themeColor="text1"/>
          <w:sz w:val="16"/>
          <w:szCs w:val="16"/>
        </w:rPr>
        <w:t>Гарбен</w:t>
      </w:r>
      <w:proofErr w:type="spellEnd"/>
      <w:r w:rsidRPr="007122AB">
        <w:rPr>
          <w:rFonts w:ascii="Times New Roman" w:hAnsi="Times New Roman"/>
          <w:color w:val="000000" w:themeColor="text1"/>
          <w:sz w:val="16"/>
          <w:szCs w:val="16"/>
        </w:rPr>
        <w:t xml:space="preserve">»). На обработку зубьев этих передач требуется лишь около одной трети времени, затрачиваемого сейчас, что является большим экономическим преимуществом. Так как наличные строгальные старки для производства конических колес ни в коем случае не смогут удовлетворить будущее увеличение производства, то следовало бы новые станки выбрать для работы по наилучшему принципу, а старые перевести на изготовление колес для ранее выпущенных автомобилей в целях удовлетворения потребности собственного большого станкового хозяйства, а, может быть, также и для снабжения посторонних потребителей. В случае выбора </w:t>
      </w:r>
      <w:proofErr w:type="spellStart"/>
      <w:r w:rsidRPr="007122AB">
        <w:rPr>
          <w:rFonts w:ascii="Times New Roman" w:hAnsi="Times New Roman"/>
          <w:color w:val="000000" w:themeColor="text1"/>
          <w:sz w:val="16"/>
          <w:szCs w:val="16"/>
        </w:rPr>
        <w:t>гипоидальной</w:t>
      </w:r>
      <w:proofErr w:type="spellEnd"/>
      <w:r w:rsidRPr="007122AB">
        <w:rPr>
          <w:rFonts w:ascii="Times New Roman" w:hAnsi="Times New Roman"/>
          <w:color w:val="000000" w:themeColor="text1"/>
          <w:sz w:val="16"/>
          <w:szCs w:val="16"/>
        </w:rPr>
        <w:t xml:space="preserve"> передачи следует принять во внимание это обстоятельство при конструировании новой задней оси. Изготовление всего шасси в целом в настоящее время покоится на ручной пригонке. Это явление должно совершенно исчезнуть. Все соединительные бруски, колодки, втулки и корпусы подшипников должны быть пригнаны к раме, после чего рама в целом, закрепленная в большом зажимном приспособлении, должна рассверливаться и фрезероваться на специальном станке.</w:t>
      </w:r>
    </w:p>
    <w:p w14:paraId="4FC8D21A"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Прессовый отдел завода</w:t>
      </w:r>
    </w:p>
    <w:p w14:paraId="66311AE4"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Обработка распределительных валов двигателей</w:t>
      </w:r>
    </w:p>
    <w:p w14:paraId="04E188CE"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одну установку должны быть обработаны и рассверлены все места для </w:t>
      </w:r>
      <w:proofErr w:type="spellStart"/>
      <w:r w:rsidRPr="007122AB">
        <w:rPr>
          <w:rFonts w:ascii="Times New Roman" w:hAnsi="Times New Roman"/>
          <w:color w:val="000000" w:themeColor="text1"/>
          <w:sz w:val="16"/>
          <w:szCs w:val="16"/>
        </w:rPr>
        <w:t>приклепления</w:t>
      </w:r>
      <w:proofErr w:type="spellEnd"/>
      <w:r w:rsidRPr="007122AB">
        <w:rPr>
          <w:rFonts w:ascii="Times New Roman" w:hAnsi="Times New Roman"/>
          <w:color w:val="000000" w:themeColor="text1"/>
          <w:sz w:val="16"/>
          <w:szCs w:val="16"/>
        </w:rPr>
        <w:t xml:space="preserve"> двигателя, коробки скоростей, передней оси, задней оси, арматурного щита, тормозных рычагов и </w:t>
      </w:r>
      <w:proofErr w:type="spellStart"/>
      <w:r w:rsidRPr="007122AB">
        <w:rPr>
          <w:rFonts w:ascii="Times New Roman" w:hAnsi="Times New Roman"/>
          <w:color w:val="000000" w:themeColor="text1"/>
          <w:sz w:val="16"/>
          <w:szCs w:val="16"/>
        </w:rPr>
        <w:t>прч</w:t>
      </w:r>
      <w:proofErr w:type="spellEnd"/>
      <w:r w:rsidRPr="007122AB">
        <w:rPr>
          <w:rFonts w:ascii="Times New Roman" w:hAnsi="Times New Roman"/>
          <w:color w:val="000000" w:themeColor="text1"/>
          <w:sz w:val="16"/>
          <w:szCs w:val="16"/>
        </w:rPr>
        <w:t xml:space="preserve">. При сборке шасси и </w:t>
      </w:r>
      <w:proofErr w:type="spellStart"/>
      <w:r w:rsidRPr="007122AB">
        <w:rPr>
          <w:rFonts w:ascii="Times New Roman" w:hAnsi="Times New Roman"/>
          <w:color w:val="000000" w:themeColor="text1"/>
          <w:sz w:val="16"/>
          <w:szCs w:val="16"/>
        </w:rPr>
        <w:t>кароссери</w:t>
      </w:r>
      <w:proofErr w:type="spellEnd"/>
      <w:r w:rsidRPr="007122AB">
        <w:rPr>
          <w:rFonts w:ascii="Times New Roman" w:hAnsi="Times New Roman"/>
          <w:color w:val="000000" w:themeColor="text1"/>
          <w:sz w:val="16"/>
          <w:szCs w:val="16"/>
        </w:rPr>
        <w:t xml:space="preserve"> все части должны просто без пригонки привинчиваться с минимальной потребностью в добавочных операциях. Для сборки, при выпуске десяти автомобилей в день, достаточно двадцати сборочных платформ и не больше 1/5 занимаемой в настоящий момент под сборку площади. Для монтажа передней оси употребляется известная вертикальная цепь, для задней оси – подводящие пути. Поставить специального инженера, работающего в тесной связи с цехами, для разработки надлежащих типов допусков, благодаря чему чертежи получаются уже созревшими для производства, отдельные части удешевляются, сохраняя в то же время достаточную точность, объем ручной работы на сборке сводится до минимума.</w:t>
      </w:r>
    </w:p>
    <w:p w14:paraId="5B49F07F"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XIII К п. 11. Бюро приспособлений Настолько же важным, как наличие в Техническом бюро специального инженера для определения допусков, является и объединение в одном помещении Технического бюро и Бюро приспособлений. Работа заведующих этими отделениями должна происходить совместно и спаяно. Очень правильно обеспечение внутреннего единения бюро приспособлений и цехов тем, что 5 опытных техников – 2 для Механического цеха, 2 – для Прессовой и 1 – для Деревообделочного, находятся постоянно в соответствующих цехах и свои заключения и наблюдения сейчас же в практической форме передают в Главное бюро для проработки. Я считаю эту систему проработки вопросов под общим ответственным руководством заведующего единственно правильной и предупреждаю от дачи самостоятельности отдельным цехам. Это и дорого, и единство при этом теряется. Литейная, Кузница, Механический цех, Сборка, Кузовной отдел с точки зрения приспособлений представляют собой одно целое и, конечно, на такой небольшой фабрике, как АМО, могут так же хорошо находиться в ведении одного способного человека, как и проработка всей конструкции автомобиля АМО у одного шефа. Кондукторы в хорошем состоянии и имеются в достаточном количестве, тоже действительно, в общем, и для большей части инструментов. Напротив, вопрос об отделочных развертках и зажимных приспособлениях для токарных, револьверных, фрезерных, строгальных и шлифовальных станков должен быть тщательно проработан, особенно с точки зрения скорости работы с ними.</w:t>
      </w:r>
    </w:p>
    <w:p w14:paraId="3E9C11AD"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XIV Внутренняя организация</w:t>
      </w:r>
    </w:p>
    <w:p w14:paraId="045EF603"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пунктам: 12. Подготовление и планирование 13. Распределение 14. Нормирование 15. Расчетный отдел 16. Исполнительная калькуляция и определение накладных расходов</w:t>
      </w:r>
    </w:p>
    <w:p w14:paraId="4A10949A"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Каждое из этих бюро в отдельности работает точно, детально, пунктуально и со знанием своего дела. Я, однако, должен принципиально возразить против существующего рода взаимных отношений в работе отдельных важных отделов. Как мне кажется, на АМО каждый из заведующих отдельным бюро представляет собой маленького самостоятельного властителя. В моем представлении, как заводского организатора, каждый из отделов является лишь частью одного и того же целого. Глаз, который только видит, ухо, которое только слышит, а рука осязает, вместе служат в тоже время как необходимейшие элементы на благо всего, подчиненного центральному мозгу организма. Так же, как одно целое, должно быть устроено и управление фабрики. Не должно быть множественного дуализма, иначе растет канцелярщина, требуются всюду добавочные контроли, и чрезмерно разрастается конторский персонал.</w:t>
      </w:r>
    </w:p>
    <w:p w14:paraId="7921A4AB"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Прежде всего, создают план согласно предопределяемой Главным управлением программы выпуска, далее определяется потребность в материале, заказывают его и заботятся о его равномерном поступлении (Богданов). Затем изготовляют операционную карточку и нормируют время, по возможности полнее используя наличные станки (Назаров). Загружают машины, устраняют затруднения, распределяют работу по мастерам и заботятся о правильном, дешевом и своевременном исполнении задания (Моргенштерн). Выплачивают заработок на основании аккордных листков после сравнения их с нормировочными карточками (Петров).</w:t>
      </w:r>
    </w:p>
    <w:p w14:paraId="1AB73453"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мощный пресс, установленный на заводе</w:t>
      </w:r>
    </w:p>
    <w:p w14:paraId="015F25E7"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Определяют расходы производства сложением стоимости материала, заработка и накладных расходов (</w:t>
      </w:r>
      <w:proofErr w:type="spellStart"/>
      <w:r w:rsidRPr="007122AB">
        <w:rPr>
          <w:rFonts w:ascii="Times New Roman" w:hAnsi="Times New Roman"/>
          <w:color w:val="000000" w:themeColor="text1"/>
          <w:sz w:val="16"/>
          <w:szCs w:val="16"/>
        </w:rPr>
        <w:t>Колотилин</w:t>
      </w:r>
      <w:proofErr w:type="spellEnd"/>
      <w:r w:rsidRPr="007122AB">
        <w:rPr>
          <w:rFonts w:ascii="Times New Roman" w:hAnsi="Times New Roman"/>
          <w:color w:val="000000" w:themeColor="text1"/>
          <w:sz w:val="16"/>
          <w:szCs w:val="16"/>
        </w:rPr>
        <w:t>). Каждый может работать для себя, однако все материалы должны быть созданы так, чтобы формуляры (материальные и аккордные листки) подготовительного бюро годились и для производства, и для денежного расчета. Этого объединения сейчас на АМО нет. Единство как будто бы и предусмотрено центральным управлением, и указание к его оформлению также даны. Каждый из вышеназванных заведующих делает наилучшим образом все то, что он только может для выполнения ему порученного, однако при организации во всем целом весьма сложной документной системы не хватило центрального работника, который продумал бы все таким образом, чтобы каждый исполнитель вместе с приказом получил бы и соответствующие формуляры. Благодаря этому, при самостоятельной работе отдельных органов был бы обеспечен определенный порядок обращения документов без того, чтобы порывались соединительные нити с центральным управлением. Организация вырастает из работы. Для АМО – это производство грузовиков, двигателей для Ярославля, запасных частей и пр. Контроль организации должен взять на себя расчет. Так как работа контролируется расчетом, а то время, как расчет, наоборот не может контролироваться работой, то расчет должен быть построен по принципу двойной бухгалтерии. Только тогда можно быть действительно уверенным в том, что расчет, как сопутствующий работе, составлен на основании проверенных данных принудительно, правильно и точно. Вряд ли стоит говорить об отдельных мелких недостатках, имеющихся в пяти вышеназванных бюро. &lt;…&gt;</w:t>
      </w:r>
    </w:p>
    <w:p w14:paraId="3A3DC8EA"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XV Из всех русских заводов, мною ранее осмотренных, «АМО» с точки зрения производства по качеству и количеству стоит несомненно в первом ряду. В настоящее время Автотрест хочет это сравнительно лучшее производство совершенно модернизировать. Поскольку мне пришлось обследовать внутреннюю управленческую организацию в России, я могу поставить АМО в центральное управление. Однако здесь дальновидное центральное управление не должно было бы затягивать замену наличного в настоящее время несвоевременного дуалистического аппарата управления на </w:t>
      </w:r>
      <w:proofErr w:type="spellStart"/>
      <w:r w:rsidRPr="007122AB">
        <w:rPr>
          <w:rFonts w:ascii="Times New Roman" w:hAnsi="Times New Roman"/>
          <w:color w:val="000000" w:themeColor="text1"/>
          <w:sz w:val="16"/>
          <w:szCs w:val="16"/>
        </w:rPr>
        <w:t>совре</w:t>
      </w:r>
      <w:proofErr w:type="spellEnd"/>
    </w:p>
    <w:p w14:paraId="6F51831C" w14:textId="77777777" w:rsidR="00D0786A" w:rsidRPr="007122AB" w:rsidRDefault="00D0786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менный</w:t>
      </w:r>
      <w:proofErr w:type="spellEnd"/>
      <w:r w:rsidRPr="007122AB">
        <w:rPr>
          <w:rFonts w:ascii="Times New Roman" w:hAnsi="Times New Roman"/>
          <w:color w:val="000000" w:themeColor="text1"/>
          <w:sz w:val="16"/>
          <w:szCs w:val="16"/>
        </w:rPr>
        <w:t>, унитарный. Этим оно сможет сэкономить много средств, а результаты получить и скорее и совершеннее. Данные расчета должны быть превращены из судьи прошедшего в руководителя настоящего и указателя будущего.</w:t>
      </w:r>
    </w:p>
    <w:p w14:paraId="251FC721"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XVI К п.17. Расширение завода Показанный мне проект простого расширения считаю я в общем и целом совершенно правильным. Я рекомендовал бы разместить в отдельных постройках или же в допускающих расширения пристройках следующие цехи: Рессорная мастерская; Инструментальный цех и изготовление приспособлений; Револьверная и автоматное отделение для изготовления болтов, гаек и всех стандартных деталей; Термическая мастерская должна быть тщательно разработана и устроена централизованно по отношению ко всем снабжающим ее цехам. По моему опыту на заводах с выпуском в 10–20 автомобилей в день хорошо группировать цехи таким образом, чтобы маленькие и средние группы, такие как коробка скоростей, сцепление, управление, радиатор, кардан, дифференциал, масляной и водяной насос, собирать в непосредственной близости к тем производственным улицам (линиям станков), по которым они проходят в готовом виде, как подгруппы ежедневно подавать на сборку. Тогда соответствующий мастер должен будет очень тщательно следить за соблюдением допусков, иначе он не сможет подавать свои группы. Транспорт благодаря этому уменьшится, и облегчится расчет. Крупные группы: двигатель, задний мост, передняя ось и рама остаются в главном сборочном отделении. Производство на легко обозримые большие производственные улицы, конечно, может быть основательно проведено только при постройке нового завода на 12 тысяч автомобилей в год.</w:t>
      </w:r>
    </w:p>
    <w:p w14:paraId="4F26FD80"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XVII Заключение Завод «АМО» в настоящий момент страдает из-за неправильного использования наличных станков. В общем, совершенно не в том дело, чтобы полно загрузить все станки и рабочих. Основными вопросами являются следующие. Какие машины требуются для ежедневного выпуска: а) двух грузовиков; б) трех; в) четырех; г) шести вместе с принадлежностями, двигателями для Ярославля и пр. Как должны быть использованы, улучшены или изменены наличные станки для наилучшего разрешения этой задачи. К ответу на эти вопросы следует сейчас же привлечь заведующих производством (Лапин, Моргенштерн), заведующего Бюро приспособлений (Френкель), нормировщика (Назаров) и Бюро производства (Богданов). После чего следует приобрести выяснившееся необходимое добавочное оборудование, чтобы сделать одинаковой пропускную способность всех цехов. Если револьверный станок ежедневно дает три каких-нибудь детали для трех автомобилей, то это будет поточной работой и рациональней, чем работа, скажем, по шести операциям на шести станках.</w:t>
      </w:r>
    </w:p>
    <w:p w14:paraId="25D80067" w14:textId="77777777" w:rsidR="00D0786A" w:rsidRPr="007122AB" w:rsidRDefault="00D078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Профессор Шлезингер- (17494).</w:t>
      </w:r>
    </w:p>
    <w:p w14:paraId="6A942E48" w14:textId="77777777" w:rsidR="00D0786A" w:rsidRPr="007122AB" w:rsidRDefault="00D0786A" w:rsidP="007122AB">
      <w:pPr>
        <w:spacing w:after="0" w:line="240" w:lineRule="auto"/>
        <w:jc w:val="both"/>
        <w:rPr>
          <w:rFonts w:ascii="Times New Roman" w:eastAsia="Times New Roman" w:hAnsi="Times New Roman"/>
          <w:color w:val="000000" w:themeColor="text1"/>
          <w:sz w:val="16"/>
          <w:szCs w:val="16"/>
          <w:lang w:eastAsia="ru-RU"/>
        </w:rPr>
      </w:pPr>
    </w:p>
    <w:p w14:paraId="51C069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D90E30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8DB8E1"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мае 1931 г. штаб ВВС КА вышел с инициативой пересмотреть существующую систему вооружений ВВС.</w:t>
      </w:r>
    </w:p>
    <w:p w14:paraId="51FA78A3"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Дело в том, что планы перевооруже</w:t>
      </w:r>
      <w:r w:rsidRPr="007122AB">
        <w:rPr>
          <w:rFonts w:ascii="Times New Roman" w:hAnsi="Times New Roman"/>
          <w:color w:val="000000" w:themeColor="text1"/>
          <w:sz w:val="16"/>
          <w:szCs w:val="16"/>
          <w:lang w:eastAsia="ru-RU" w:bidi="ru-RU"/>
        </w:rPr>
        <w:softHyphen/>
        <w:t>ния ВВС КА современными боевыми са</w:t>
      </w:r>
      <w:r w:rsidRPr="007122AB">
        <w:rPr>
          <w:rFonts w:ascii="Times New Roman" w:hAnsi="Times New Roman"/>
          <w:color w:val="000000" w:themeColor="text1"/>
          <w:sz w:val="16"/>
          <w:szCs w:val="16"/>
          <w:lang w:eastAsia="ru-RU" w:bidi="ru-RU"/>
        </w:rPr>
        <w:softHyphen/>
        <w:t>молетами и развертывания новых фор</w:t>
      </w:r>
      <w:r w:rsidRPr="007122AB">
        <w:rPr>
          <w:rFonts w:ascii="Times New Roman" w:hAnsi="Times New Roman"/>
          <w:color w:val="000000" w:themeColor="text1"/>
          <w:sz w:val="16"/>
          <w:szCs w:val="16"/>
          <w:lang w:eastAsia="ru-RU" w:bidi="ru-RU"/>
        </w:rPr>
        <w:softHyphen/>
        <w:t>мирований оказались под угрозой срыва. Учитывая фактические поставки матери</w:t>
      </w:r>
      <w:r w:rsidRPr="007122AB">
        <w:rPr>
          <w:rFonts w:ascii="Times New Roman" w:hAnsi="Times New Roman"/>
          <w:color w:val="000000" w:themeColor="text1"/>
          <w:sz w:val="16"/>
          <w:szCs w:val="16"/>
          <w:lang w:eastAsia="ru-RU" w:bidi="ru-RU"/>
        </w:rPr>
        <w:softHyphen/>
        <w:t>альной части промышленностью в 1-м и 2-м кварталах, выполнение плана зака</w:t>
      </w:r>
      <w:r w:rsidRPr="007122AB">
        <w:rPr>
          <w:rFonts w:ascii="Times New Roman" w:hAnsi="Times New Roman"/>
          <w:color w:val="000000" w:themeColor="text1"/>
          <w:sz w:val="16"/>
          <w:szCs w:val="16"/>
          <w:lang w:eastAsia="ru-RU" w:bidi="ru-RU"/>
        </w:rPr>
        <w:softHyphen/>
        <w:t>зов УВВС в 1931 г. прогнозировалось на уровне 30% - по самолетам, и 20% - по моторам. Получалось так, что к концу года почти вся истребительная авиация будет продолжать летать на устаревших само</w:t>
      </w:r>
      <w:r w:rsidRPr="007122AB">
        <w:rPr>
          <w:rFonts w:ascii="Times New Roman" w:hAnsi="Times New Roman"/>
          <w:color w:val="000000" w:themeColor="text1"/>
          <w:sz w:val="16"/>
          <w:szCs w:val="16"/>
          <w:lang w:eastAsia="ru-RU" w:bidi="ru-RU"/>
        </w:rPr>
        <w:softHyphen/>
        <w:t>летах И-3 и И-4, а легкобомбардировоч</w:t>
      </w:r>
      <w:r w:rsidRPr="007122AB">
        <w:rPr>
          <w:rFonts w:ascii="Times New Roman" w:hAnsi="Times New Roman"/>
          <w:color w:val="000000" w:themeColor="text1"/>
          <w:sz w:val="16"/>
          <w:szCs w:val="16"/>
          <w:lang w:eastAsia="ru-RU" w:bidi="ru-RU"/>
        </w:rPr>
        <w:softHyphen/>
        <w:t>ная, штурмовая, разведывательная и вой</w:t>
      </w:r>
      <w:r w:rsidRPr="007122AB">
        <w:rPr>
          <w:rFonts w:ascii="Times New Roman" w:hAnsi="Times New Roman"/>
          <w:color w:val="000000" w:themeColor="text1"/>
          <w:sz w:val="16"/>
          <w:szCs w:val="16"/>
          <w:lang w:eastAsia="ru-RU" w:bidi="ru-RU"/>
        </w:rPr>
        <w:softHyphen/>
        <w:t>сковая авиация - на разведчиках Р-1. Но</w:t>
      </w:r>
      <w:r w:rsidRPr="007122AB">
        <w:rPr>
          <w:rFonts w:ascii="Times New Roman" w:hAnsi="Times New Roman"/>
          <w:color w:val="000000" w:themeColor="text1"/>
          <w:sz w:val="16"/>
          <w:szCs w:val="16"/>
          <w:lang w:eastAsia="ru-RU" w:bidi="ru-RU"/>
        </w:rPr>
        <w:softHyphen/>
        <w:t xml:space="preserve">выми истребителями И-5 и разведчиками Р-5 удастся вооружить </w:t>
      </w:r>
      <w:r w:rsidRPr="007122AB">
        <w:rPr>
          <w:rFonts w:ascii="Times New Roman" w:hAnsi="Times New Roman"/>
          <w:color w:val="000000" w:themeColor="text1"/>
          <w:sz w:val="16"/>
          <w:szCs w:val="16"/>
          <w:lang w:eastAsia="ru-RU" w:bidi="ru-RU"/>
        </w:rPr>
        <w:lastRenderedPageBreak/>
        <w:t>не более 10</w:t>
      </w:r>
      <w:r w:rsidRPr="007122AB">
        <w:rPr>
          <w:rFonts w:ascii="Times New Roman" w:hAnsi="Times New Roman"/>
          <w:color w:val="000000" w:themeColor="text1"/>
          <w:sz w:val="16"/>
          <w:szCs w:val="16"/>
          <w:lang w:eastAsia="ru-RU" w:bidi="ru-RU"/>
        </w:rPr>
        <w:softHyphen/>
        <w:t>12 эскадрилий. Одновременно придется частично свернуть планы подготовки лет</w:t>
      </w:r>
      <w:r w:rsidRPr="007122AB">
        <w:rPr>
          <w:rFonts w:ascii="Times New Roman" w:hAnsi="Times New Roman"/>
          <w:color w:val="000000" w:themeColor="text1"/>
          <w:sz w:val="16"/>
          <w:szCs w:val="16"/>
          <w:lang w:eastAsia="ru-RU" w:bidi="ru-RU"/>
        </w:rPr>
        <w:softHyphen/>
        <w:t>ного состава, так как предназначавшиеся для передачи в авиашколы самолеты Р-1 останутся в строю, и школы окажутся не</w:t>
      </w:r>
      <w:r w:rsidRPr="007122AB">
        <w:rPr>
          <w:rFonts w:ascii="Times New Roman" w:hAnsi="Times New Roman"/>
          <w:color w:val="000000" w:themeColor="text1"/>
          <w:sz w:val="16"/>
          <w:szCs w:val="16"/>
          <w:lang w:eastAsia="ru-RU" w:bidi="ru-RU"/>
        </w:rPr>
        <w:softHyphen/>
        <w:t>доукомплектованными.</w:t>
      </w:r>
    </w:p>
    <w:p w14:paraId="10F2EA72"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Кроме того, существующие образцы самолетов и моторов, вооружения и сна</w:t>
      </w:r>
      <w:r w:rsidRPr="007122AB">
        <w:rPr>
          <w:rFonts w:ascii="Times New Roman" w:hAnsi="Times New Roman"/>
          <w:color w:val="000000" w:themeColor="text1"/>
          <w:sz w:val="16"/>
          <w:szCs w:val="16"/>
          <w:lang w:eastAsia="ru-RU" w:bidi="ru-RU"/>
        </w:rPr>
        <w:softHyphen/>
        <w:t>ряжения (пулеметы, пушки, прицелы, фо</w:t>
      </w:r>
      <w:r w:rsidRPr="007122AB">
        <w:rPr>
          <w:rFonts w:ascii="Times New Roman" w:hAnsi="Times New Roman"/>
          <w:color w:val="000000" w:themeColor="text1"/>
          <w:sz w:val="16"/>
          <w:szCs w:val="16"/>
          <w:lang w:eastAsia="ru-RU" w:bidi="ru-RU"/>
        </w:rPr>
        <w:softHyphen/>
        <w:t>тоаппаратура, радио) заметно уступают лучшим образцам иностранной техники.</w:t>
      </w:r>
    </w:p>
    <w:p w14:paraId="5218DA19"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Становилось очевидным, что произ</w:t>
      </w:r>
      <w:r w:rsidRPr="007122AB">
        <w:rPr>
          <w:rFonts w:ascii="Times New Roman" w:hAnsi="Times New Roman"/>
          <w:color w:val="000000" w:themeColor="text1"/>
          <w:sz w:val="16"/>
          <w:szCs w:val="16"/>
          <w:lang w:eastAsia="ru-RU" w:bidi="ru-RU"/>
        </w:rPr>
        <w:softHyphen/>
        <w:t>водственные мощности и уровень разви</w:t>
      </w:r>
      <w:r w:rsidRPr="007122AB">
        <w:rPr>
          <w:rFonts w:ascii="Times New Roman" w:hAnsi="Times New Roman"/>
          <w:color w:val="000000" w:themeColor="text1"/>
          <w:sz w:val="16"/>
          <w:szCs w:val="16"/>
          <w:lang w:eastAsia="ru-RU" w:bidi="ru-RU"/>
        </w:rPr>
        <w:softHyphen/>
        <w:t>тия технологий советского авиапрома, а также организация опытного строитель</w:t>
      </w:r>
      <w:r w:rsidRPr="007122AB">
        <w:rPr>
          <w:rFonts w:ascii="Times New Roman" w:hAnsi="Times New Roman"/>
          <w:color w:val="000000" w:themeColor="text1"/>
          <w:sz w:val="16"/>
          <w:szCs w:val="16"/>
          <w:lang w:eastAsia="ru-RU" w:bidi="ru-RU"/>
        </w:rPr>
        <w:softHyphen/>
        <w:t>ства явно не отвечают реалиям постав</w:t>
      </w:r>
      <w:r w:rsidRPr="007122AB">
        <w:rPr>
          <w:rFonts w:ascii="Times New Roman" w:hAnsi="Times New Roman"/>
          <w:color w:val="000000" w:themeColor="text1"/>
          <w:sz w:val="16"/>
          <w:szCs w:val="16"/>
          <w:lang w:eastAsia="ru-RU" w:bidi="ru-RU"/>
        </w:rPr>
        <w:softHyphen/>
        <w:t>ленных задач. Заводам, конструкторским и научным организациям ВАО параллель</w:t>
      </w:r>
      <w:r w:rsidRPr="007122AB">
        <w:rPr>
          <w:rFonts w:ascii="Times New Roman" w:hAnsi="Times New Roman"/>
          <w:color w:val="000000" w:themeColor="text1"/>
          <w:sz w:val="16"/>
          <w:szCs w:val="16"/>
          <w:lang w:eastAsia="ru-RU" w:bidi="ru-RU"/>
        </w:rPr>
        <w:softHyphen/>
        <w:t>ный выпуск и проектирование нескольких типов боевых самолетов и различного во</w:t>
      </w:r>
      <w:r w:rsidRPr="007122AB">
        <w:rPr>
          <w:rFonts w:ascii="Times New Roman" w:hAnsi="Times New Roman"/>
          <w:color w:val="000000" w:themeColor="text1"/>
          <w:sz w:val="16"/>
          <w:szCs w:val="16"/>
          <w:lang w:eastAsia="ru-RU" w:bidi="ru-RU"/>
        </w:rPr>
        <w:softHyphen/>
        <w:t>оружения было не под силу.</w:t>
      </w:r>
    </w:p>
    <w:p w14:paraId="1E73E440"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 тому же в концепции применения наземных войск (и авиации) в бою и опе</w:t>
      </w:r>
      <w:r w:rsidRPr="007122AB">
        <w:rPr>
          <w:rFonts w:ascii="Times New Roman" w:hAnsi="Times New Roman"/>
          <w:color w:val="000000" w:themeColor="text1"/>
          <w:sz w:val="16"/>
          <w:szCs w:val="16"/>
          <w:lang w:eastAsia="ru-RU" w:bidi="ru-RU"/>
        </w:rPr>
        <w:softHyphen/>
        <w:t>рации наметились серьезные изменения.</w:t>
      </w:r>
    </w:p>
    <w:p w14:paraId="5F0825B1"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 этим причинам предлагалось со</w:t>
      </w:r>
      <w:r w:rsidRPr="007122AB">
        <w:rPr>
          <w:rFonts w:ascii="Times New Roman" w:hAnsi="Times New Roman"/>
          <w:color w:val="000000" w:themeColor="text1"/>
          <w:sz w:val="16"/>
          <w:szCs w:val="16"/>
          <w:lang w:eastAsia="ru-RU" w:bidi="ru-RU"/>
        </w:rPr>
        <w:softHyphen/>
        <w:t>кратить количество типов самолетов и моторов (как серийных, так и опытных образцов), а также по возможности уни</w:t>
      </w:r>
      <w:r w:rsidRPr="007122AB">
        <w:rPr>
          <w:rFonts w:ascii="Times New Roman" w:hAnsi="Times New Roman"/>
          <w:color w:val="000000" w:themeColor="text1"/>
          <w:sz w:val="16"/>
          <w:szCs w:val="16"/>
          <w:lang w:eastAsia="ru-RU" w:bidi="ru-RU"/>
        </w:rPr>
        <w:softHyphen/>
        <w:t>фицировать военные и гражданские са</w:t>
      </w:r>
      <w:r w:rsidRPr="007122AB">
        <w:rPr>
          <w:rFonts w:ascii="Times New Roman" w:hAnsi="Times New Roman"/>
          <w:color w:val="000000" w:themeColor="text1"/>
          <w:sz w:val="16"/>
          <w:szCs w:val="16"/>
          <w:lang w:eastAsia="ru-RU" w:bidi="ru-RU"/>
        </w:rPr>
        <w:softHyphen/>
        <w:t>молеты. При этом «основной упор в сис</w:t>
      </w:r>
      <w:r w:rsidRPr="007122AB">
        <w:rPr>
          <w:rFonts w:ascii="Times New Roman" w:hAnsi="Times New Roman"/>
          <w:color w:val="000000" w:themeColor="text1"/>
          <w:sz w:val="16"/>
          <w:szCs w:val="16"/>
          <w:lang w:eastAsia="ru-RU" w:bidi="ru-RU"/>
        </w:rPr>
        <w:softHyphen/>
        <w:t>теме вооружения ВВС» требовалось пере</w:t>
      </w:r>
      <w:r w:rsidRPr="007122AB">
        <w:rPr>
          <w:rFonts w:ascii="Times New Roman" w:hAnsi="Times New Roman"/>
          <w:color w:val="000000" w:themeColor="text1"/>
          <w:sz w:val="16"/>
          <w:szCs w:val="16"/>
          <w:lang w:eastAsia="ru-RU" w:bidi="ru-RU"/>
        </w:rPr>
        <w:softHyphen/>
        <w:t>нести «на развитие и совершенствование бомбардировочной, преимущественно тя</w:t>
      </w:r>
      <w:r w:rsidRPr="007122AB">
        <w:rPr>
          <w:rFonts w:ascii="Times New Roman" w:hAnsi="Times New Roman"/>
          <w:color w:val="000000" w:themeColor="text1"/>
          <w:sz w:val="16"/>
          <w:szCs w:val="16"/>
          <w:lang w:eastAsia="ru-RU" w:bidi="ru-RU"/>
        </w:rPr>
        <w:softHyphen/>
        <w:t>желой, авиации в смысле увеличения ее радиуса действия и повышения бомбовой нагрузки», и повышение «активно насту</w:t>
      </w:r>
      <w:r w:rsidRPr="007122AB">
        <w:rPr>
          <w:rFonts w:ascii="Times New Roman" w:hAnsi="Times New Roman"/>
          <w:color w:val="000000" w:themeColor="text1"/>
          <w:sz w:val="16"/>
          <w:szCs w:val="16"/>
          <w:lang w:eastAsia="ru-RU" w:bidi="ru-RU"/>
        </w:rPr>
        <w:softHyphen/>
        <w:t>пательной роли двухместных истребите</w:t>
      </w:r>
      <w:r w:rsidRPr="007122AB">
        <w:rPr>
          <w:rFonts w:ascii="Times New Roman" w:hAnsi="Times New Roman"/>
          <w:color w:val="000000" w:themeColor="text1"/>
          <w:sz w:val="16"/>
          <w:szCs w:val="16"/>
          <w:lang w:eastAsia="ru-RU" w:bidi="ru-RU"/>
        </w:rPr>
        <w:softHyphen/>
        <w:t>лей за счет одноместных». Огневую мощь самолетов штурмовой авиации следовало резко усилить преимущественно за счет «бомбардировочного и военно-химиче</w:t>
      </w:r>
      <w:r w:rsidRPr="007122AB">
        <w:rPr>
          <w:rFonts w:ascii="Times New Roman" w:hAnsi="Times New Roman"/>
          <w:color w:val="000000" w:themeColor="text1"/>
          <w:sz w:val="16"/>
          <w:szCs w:val="16"/>
          <w:lang w:eastAsia="ru-RU" w:bidi="ru-RU"/>
        </w:rPr>
        <w:softHyphen/>
        <w:t>ского вооружения», а также путем широ</w:t>
      </w:r>
      <w:r w:rsidRPr="007122AB">
        <w:rPr>
          <w:rFonts w:ascii="Times New Roman" w:hAnsi="Times New Roman"/>
          <w:color w:val="000000" w:themeColor="text1"/>
          <w:sz w:val="16"/>
          <w:szCs w:val="16"/>
          <w:lang w:eastAsia="ru-RU" w:bidi="ru-RU"/>
        </w:rPr>
        <w:softHyphen/>
        <w:t>кого применения крупнокалиберных пу</w:t>
      </w:r>
      <w:r w:rsidRPr="007122AB">
        <w:rPr>
          <w:rFonts w:ascii="Times New Roman" w:hAnsi="Times New Roman"/>
          <w:color w:val="000000" w:themeColor="text1"/>
          <w:sz w:val="16"/>
          <w:szCs w:val="16"/>
          <w:lang w:eastAsia="ru-RU" w:bidi="ru-RU"/>
        </w:rPr>
        <w:softHyphen/>
        <w:t>леметов и пушек.</w:t>
      </w:r>
    </w:p>
    <w:p w14:paraId="569AEB37" w14:textId="77777777" w:rsidR="00A4352B" w:rsidRPr="007122AB" w:rsidRDefault="00A4352B"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Отметим, что сокращение типов бо</w:t>
      </w:r>
      <w:r w:rsidRPr="007122AB">
        <w:rPr>
          <w:rFonts w:ascii="Times New Roman" w:hAnsi="Times New Roman"/>
          <w:color w:val="000000" w:themeColor="text1"/>
          <w:sz w:val="16"/>
          <w:szCs w:val="16"/>
          <w:lang w:eastAsia="ru-RU" w:bidi="ru-RU"/>
        </w:rPr>
        <w:softHyphen/>
        <w:t>евых самолетов в строю позволяло за</w:t>
      </w:r>
      <w:r w:rsidRPr="007122AB">
        <w:rPr>
          <w:rFonts w:ascii="Times New Roman" w:hAnsi="Times New Roman"/>
          <w:color w:val="000000" w:themeColor="text1"/>
          <w:sz w:val="16"/>
          <w:szCs w:val="16"/>
          <w:lang w:eastAsia="ru-RU" w:bidi="ru-RU"/>
        </w:rPr>
        <w:softHyphen/>
        <w:t>метно снизить затраты на эксплуата</w:t>
      </w:r>
      <w:r w:rsidRPr="007122AB">
        <w:rPr>
          <w:rFonts w:ascii="Times New Roman" w:hAnsi="Times New Roman"/>
          <w:color w:val="000000" w:themeColor="text1"/>
          <w:sz w:val="16"/>
          <w:szCs w:val="16"/>
          <w:lang w:eastAsia="ru-RU" w:bidi="ru-RU"/>
        </w:rPr>
        <w:softHyphen/>
        <w:t>цию и поддержание в боеготовом состо</w:t>
      </w:r>
      <w:r w:rsidRPr="007122AB">
        <w:rPr>
          <w:rFonts w:ascii="Times New Roman" w:hAnsi="Times New Roman"/>
          <w:color w:val="000000" w:themeColor="text1"/>
          <w:sz w:val="16"/>
          <w:szCs w:val="16"/>
          <w:lang w:eastAsia="ru-RU" w:bidi="ru-RU"/>
        </w:rPr>
        <w:softHyphen/>
        <w:t>янии имеющегося состава самолетов, а также на подготовку летного и техниче</w:t>
      </w:r>
      <w:r w:rsidRPr="007122AB">
        <w:rPr>
          <w:rFonts w:ascii="Times New Roman" w:hAnsi="Times New Roman"/>
          <w:color w:val="000000" w:themeColor="text1"/>
          <w:sz w:val="16"/>
          <w:szCs w:val="16"/>
          <w:lang w:eastAsia="ru-RU" w:bidi="ru-RU"/>
        </w:rPr>
        <w:softHyphen/>
        <w:t>ского состава (21062).</w:t>
      </w:r>
    </w:p>
    <w:p w14:paraId="103E76BF" w14:textId="77777777" w:rsidR="00A4352B" w:rsidRPr="007122AB" w:rsidRDefault="00A4352B" w:rsidP="007122AB">
      <w:pPr>
        <w:spacing w:after="0" w:line="240" w:lineRule="auto"/>
        <w:jc w:val="both"/>
        <w:rPr>
          <w:rFonts w:ascii="Times New Roman" w:hAnsi="Times New Roman"/>
          <w:color w:val="000000" w:themeColor="text1"/>
          <w:sz w:val="16"/>
          <w:szCs w:val="16"/>
        </w:rPr>
      </w:pPr>
    </w:p>
    <w:p w14:paraId="73ADE116" w14:textId="77777777"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1931 г. закончили бомбардировщик ТБ-5, созданный под руководством Д П Григоровича в тюремном КБ - ЦКБ-39 на заводе №39 им. Менжинского. По одной из версий ОГПУ предложило взять за образец для подражания многомоторные высокопланы француз</w:t>
      </w:r>
      <w:r w:rsidRPr="00441F34">
        <w:rPr>
          <w:rFonts w:ascii="Times New Roman" w:hAnsi="Times New Roman"/>
          <w:color w:val="0070C0"/>
          <w:sz w:val="16"/>
          <w:szCs w:val="16"/>
        </w:rPr>
        <w:softHyphen/>
        <w:t>ского конструктора Фармана, у которых четыре мотора размещались под крылом в двух тандемных установках. Проект получил обозначение ЦКБ № 8, а в ВВС - ТБ-5.</w:t>
      </w:r>
    </w:p>
    <w:p w14:paraId="70A0F676" w14:textId="77777777"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ТБ-5 проектировались 24-цилиндровые моторы ФЭД, выдававшие 1100-1250 л.с. на высоте 3000 м. Однако к сроку </w:t>
      </w:r>
      <w:proofErr w:type="spellStart"/>
      <w:r w:rsidRPr="00441F34">
        <w:rPr>
          <w:rFonts w:ascii="Times New Roman" w:hAnsi="Times New Roman"/>
          <w:color w:val="0070C0"/>
          <w:sz w:val="16"/>
          <w:szCs w:val="16"/>
        </w:rPr>
        <w:t>ФЭДы</w:t>
      </w:r>
      <w:proofErr w:type="spellEnd"/>
      <w:r w:rsidRPr="00441F34">
        <w:rPr>
          <w:rFonts w:ascii="Times New Roman" w:hAnsi="Times New Roman"/>
          <w:color w:val="0070C0"/>
          <w:sz w:val="16"/>
          <w:szCs w:val="16"/>
        </w:rPr>
        <w:t xml:space="preserve"> не были готовы, и пришлось поставить 4 мотора Гном Рон «Юпитер» по 480 л.с., расположенные тандемом под каждой консолью высокорасположенного крыла. Воздушные винты деревянные, передний - тянущий, задний – толкающий. Григорович был амнистирован и далее работал как вольнонаёмный человек (23907).</w:t>
      </w:r>
    </w:p>
    <w:p w14:paraId="6A1BF53D" w14:textId="77777777" w:rsidR="00A24023" w:rsidRPr="00441F34" w:rsidRDefault="00A24023" w:rsidP="00A24023">
      <w:pPr>
        <w:spacing w:after="0" w:line="240" w:lineRule="auto"/>
        <w:jc w:val="both"/>
        <w:rPr>
          <w:rFonts w:ascii="Times New Roman" w:hAnsi="Times New Roman"/>
          <w:color w:val="0070C0"/>
          <w:sz w:val="16"/>
          <w:szCs w:val="16"/>
        </w:rPr>
      </w:pPr>
    </w:p>
    <w:p w14:paraId="1A637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освободили конструктора Григорович, который был советской властью амнистирован и далее работал как вольнонаемный человек (5854,33).</w:t>
      </w:r>
    </w:p>
    <w:p w14:paraId="73EECE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7E28CA" w14:textId="77777777" w:rsidR="003562F3" w:rsidRPr="007122AB" w:rsidRDefault="003562F3" w:rsidP="007122AB">
      <w:pPr>
        <w:pStyle w:val="a3"/>
        <w:rPr>
          <w:color w:val="000000" w:themeColor="text1"/>
          <w:lang w:val="ru-RU"/>
        </w:rPr>
      </w:pPr>
      <w:r w:rsidRPr="007122AB">
        <w:rPr>
          <w:color w:val="000000" w:themeColor="text1"/>
          <w:lang w:val="ru-RU"/>
        </w:rPr>
        <w:t>В мае 1931 г. газета «Правда» писала:</w:t>
      </w:r>
      <w:r w:rsidRPr="007122AB">
        <w:rPr>
          <w:rStyle w:val="aff5"/>
          <w:rFonts w:ascii="Times New Roman" w:hAnsi="Times New Roman" w:cs="Times New Roman"/>
          <w:i w:val="0"/>
          <w:color w:val="000000" w:themeColor="text1"/>
          <w:lang w:val="ru-RU"/>
        </w:rPr>
        <w:t xml:space="preserve"> «...Амни</w:t>
      </w:r>
      <w:r w:rsidRPr="007122AB">
        <w:rPr>
          <w:rStyle w:val="aff5"/>
          <w:rFonts w:ascii="Times New Roman" w:hAnsi="Times New Roman" w:cs="Times New Roman"/>
          <w:i w:val="0"/>
          <w:color w:val="000000" w:themeColor="text1"/>
          <w:lang w:val="ru-RU"/>
        </w:rPr>
        <w:softHyphen/>
        <w:t xml:space="preserve">стировать нижеследующих конструкторов </w:t>
      </w:r>
      <w:r w:rsidRPr="007122AB">
        <w:rPr>
          <w:color w:val="000000" w:themeColor="text1"/>
          <w:lang w:val="ru-RU"/>
        </w:rPr>
        <w:t xml:space="preserve">бывших вредителей, приговоренных коллегией ОГПУ к различным мерам социальной защиты, с одновременным их награждением, а главного конструктора по опытному самолетостроению </w:t>
      </w:r>
      <w:proofErr w:type="spellStart"/>
      <w:r w:rsidRPr="007122AB">
        <w:rPr>
          <w:color w:val="000000" w:themeColor="text1"/>
          <w:lang w:val="ru-RU"/>
        </w:rPr>
        <w:t>Гоигоровича</w:t>
      </w:r>
      <w:proofErr w:type="spellEnd"/>
      <w:r w:rsidRPr="007122AB">
        <w:rPr>
          <w:color w:val="000000" w:themeColor="text1"/>
          <w:lang w:val="ru-RU"/>
        </w:rPr>
        <w:t xml:space="preserve"> Дмитрия Павловича, раскаявшегося в своих прежних поступках и годичной работой доказавшего на деле свое рас</w:t>
      </w:r>
      <w:r w:rsidRPr="007122AB">
        <w:rPr>
          <w:color w:val="000000" w:themeColor="text1"/>
          <w:lang w:val="ru-RU"/>
        </w:rPr>
        <w:softHyphen/>
        <w:t>каяние, - грамотой ЦИК Союза ССР и денежной наградой в 10.000 рублей...» (12731).</w:t>
      </w:r>
    </w:p>
    <w:p w14:paraId="21EF983D" w14:textId="77777777" w:rsidR="003562F3" w:rsidRPr="007122AB" w:rsidRDefault="003562F3" w:rsidP="007122AB">
      <w:pPr>
        <w:pStyle w:val="a3"/>
        <w:rPr>
          <w:color w:val="000000" w:themeColor="text1"/>
          <w:lang w:val="ru-RU"/>
        </w:rPr>
      </w:pPr>
    </w:p>
    <w:p w14:paraId="7FB02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сдали последний истребитель И-2. Им стал И-2бис № 1990, который являлся первым эталонным И-2бис, построенным еще в 1927 г. Три года аппарат простоял на заводе, прежде чем отправился к месту службы - во 2-ю летную школу (4652).</w:t>
      </w:r>
    </w:p>
    <w:p w14:paraId="22F83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DC5F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в производство были согласованы сроки передачи для серийного производства пассажирской версии АНТ-8 на 31 заводе, но во второй половине 1931 задание сняли (346,41).</w:t>
      </w:r>
    </w:p>
    <w:p w14:paraId="6F3E6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27C5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один из серийных АНТ-9 оснастили тремя М-26, серийное производство которых началось в феврале 1931 (10542,28).</w:t>
      </w:r>
    </w:p>
    <w:p w14:paraId="5BCBD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Важно - что только </w:t>
      </w:r>
      <w:proofErr w:type="spellStart"/>
      <w:r w:rsidRPr="007122AB">
        <w:rPr>
          <w:rFonts w:ascii="Times New Roman" w:hAnsi="Times New Roman"/>
          <w:color w:val="000000" w:themeColor="text1"/>
          <w:sz w:val="16"/>
          <w:szCs w:val="16"/>
        </w:rPr>
        <w:t>авиатематика</w:t>
      </w:r>
      <w:proofErr w:type="spellEnd"/>
      <w:r w:rsidRPr="007122AB">
        <w:rPr>
          <w:rFonts w:ascii="Times New Roman" w:hAnsi="Times New Roman"/>
          <w:color w:val="000000" w:themeColor="text1"/>
          <w:sz w:val="16"/>
          <w:szCs w:val="16"/>
        </w:rPr>
        <w:t xml:space="preserve">, а другое </w:t>
      </w:r>
      <w:proofErr w:type="spellStart"/>
      <w:r w:rsidRPr="007122AB">
        <w:rPr>
          <w:rFonts w:ascii="Times New Roman" w:hAnsi="Times New Roman"/>
          <w:color w:val="000000" w:themeColor="text1"/>
          <w:sz w:val="16"/>
          <w:szCs w:val="16"/>
        </w:rPr>
        <w:t>аэро</w:t>
      </w:r>
      <w:proofErr w:type="spellEnd"/>
      <w:r w:rsidRPr="007122AB">
        <w:rPr>
          <w:rFonts w:ascii="Times New Roman" w:hAnsi="Times New Roman"/>
          <w:color w:val="000000" w:themeColor="text1"/>
          <w:sz w:val="16"/>
          <w:szCs w:val="16"/>
        </w:rPr>
        <w:t>-гидро - должно было перейти другим. Таким образом, на централизацию опытных работ в ЦКБ действительно делали ставку.</w:t>
      </w:r>
    </w:p>
    <w:p w14:paraId="37181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C52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ВОГВФ передан ЦАГИ ВАО для переоборудования под тип тяжелого бомбардировщика самолет АНТ-9 (3045,19).</w:t>
      </w:r>
    </w:p>
    <w:p w14:paraId="514924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14F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Н.Н.П. назначили зам. П.О.С. в бригаду N 3 ЦКБ-ЦАГИ, где в тот момент разрабатывали И-14 (1808,3).</w:t>
      </w:r>
    </w:p>
    <w:p w14:paraId="055F4A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C6F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комиссии НИИ ВВС, ГУ ВВС, АП и ЦАГИ предъявили полноразмерный макет пассажирской версии АНТ-8. Одобрили (7610, 34).</w:t>
      </w:r>
    </w:p>
    <w:p w14:paraId="7221E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CA6047" w14:textId="77777777"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1931 г. согласовали сроки передачи се</w:t>
      </w:r>
      <w:r w:rsidRPr="00441F34">
        <w:rPr>
          <w:rFonts w:ascii="Times New Roman" w:hAnsi="Times New Roman"/>
          <w:color w:val="0070C0"/>
          <w:sz w:val="16"/>
          <w:szCs w:val="16"/>
        </w:rPr>
        <w:softHyphen/>
        <w:t>рийных чертежей АНТ-8 в пассажирском варианте Таганрогскому заводу №31, где намечали наладить серийный выпуск машины. Однако во второй поло</w:t>
      </w:r>
      <w:r w:rsidRPr="00441F34">
        <w:rPr>
          <w:rFonts w:ascii="Times New Roman" w:hAnsi="Times New Roman"/>
          <w:color w:val="0070C0"/>
          <w:sz w:val="16"/>
          <w:szCs w:val="16"/>
        </w:rPr>
        <w:softHyphen/>
        <w:t>вине 1931 г. работу сняли с плана (23474).</w:t>
      </w:r>
    </w:p>
    <w:p w14:paraId="09DC58B1" w14:textId="77777777" w:rsidR="00A24023" w:rsidRPr="00441F34" w:rsidRDefault="00A24023" w:rsidP="00A24023">
      <w:pPr>
        <w:spacing w:after="0" w:line="240" w:lineRule="auto"/>
        <w:jc w:val="both"/>
        <w:rPr>
          <w:rFonts w:ascii="Times New Roman" w:hAnsi="Times New Roman"/>
          <w:color w:val="0070C0"/>
          <w:sz w:val="16"/>
          <w:szCs w:val="16"/>
        </w:rPr>
      </w:pPr>
    </w:p>
    <w:p w14:paraId="18CAD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были готовы первые две серии Р-5. Сдача машин происходила следующим образом. Приемщик выбирал приглянувшийся ему самолет из готовой серии, который подвергался взвешиванию и определению центровки, после чего все машины серии испытывались в воздухе. Основными летчиками-сдатчиками в тот период были А.И. Жуков и </w:t>
      </w:r>
      <w:proofErr w:type="spellStart"/>
      <w:r w:rsidRPr="007122AB">
        <w:rPr>
          <w:rFonts w:ascii="Times New Roman" w:hAnsi="Times New Roman"/>
          <w:color w:val="000000" w:themeColor="text1"/>
          <w:sz w:val="16"/>
          <w:szCs w:val="16"/>
        </w:rPr>
        <w:t>А.Н.Екатов</w:t>
      </w:r>
      <w:proofErr w:type="spellEnd"/>
      <w:r w:rsidRPr="007122AB">
        <w:rPr>
          <w:rFonts w:ascii="Times New Roman" w:hAnsi="Times New Roman"/>
          <w:color w:val="000000" w:themeColor="text1"/>
          <w:sz w:val="16"/>
          <w:szCs w:val="16"/>
        </w:rPr>
        <w:t>, поработать им в лето 1931 г. пришлось изрядно. Вот основные данные, полученные испытателями при приемке 2-й серии (Р-5 №4584 - №4633):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002C3" w:rsidRPr="007122AB" w14:paraId="6812854D" w14:textId="77777777">
        <w:tc>
          <w:tcPr>
            <w:tcW w:w="4261" w:type="dxa"/>
          </w:tcPr>
          <w:p w14:paraId="395FC8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w:t>
            </w:r>
          </w:p>
        </w:tc>
        <w:tc>
          <w:tcPr>
            <w:tcW w:w="4261" w:type="dxa"/>
          </w:tcPr>
          <w:p w14:paraId="2A8C6B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1976,5 кг</w:t>
            </w:r>
          </w:p>
        </w:tc>
      </w:tr>
      <w:tr w:rsidR="001002C3" w:rsidRPr="007122AB" w14:paraId="547651CE" w14:textId="77777777">
        <w:tc>
          <w:tcPr>
            <w:tcW w:w="4261" w:type="dxa"/>
          </w:tcPr>
          <w:p w14:paraId="2990C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Центровка</w:t>
            </w:r>
          </w:p>
        </w:tc>
        <w:tc>
          <w:tcPr>
            <w:tcW w:w="4261" w:type="dxa"/>
          </w:tcPr>
          <w:p w14:paraId="31F66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w:t>
            </w:r>
          </w:p>
        </w:tc>
      </w:tr>
      <w:tr w:rsidR="001002C3" w:rsidRPr="007122AB" w14:paraId="639061B4" w14:textId="77777777">
        <w:tc>
          <w:tcPr>
            <w:tcW w:w="4261" w:type="dxa"/>
          </w:tcPr>
          <w:p w14:paraId="5A2D20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w:t>
            </w:r>
          </w:p>
        </w:tc>
        <w:tc>
          <w:tcPr>
            <w:tcW w:w="4261" w:type="dxa"/>
          </w:tcPr>
          <w:p w14:paraId="10533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2885 кг (вариант разведчика)</w:t>
            </w:r>
          </w:p>
        </w:tc>
      </w:tr>
      <w:tr w:rsidR="001002C3" w:rsidRPr="007122AB" w14:paraId="6FD82826" w14:textId="77777777">
        <w:tc>
          <w:tcPr>
            <w:tcW w:w="4261" w:type="dxa"/>
          </w:tcPr>
          <w:p w14:paraId="350113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Центровка</w:t>
            </w:r>
          </w:p>
        </w:tc>
        <w:tc>
          <w:tcPr>
            <w:tcW w:w="4261" w:type="dxa"/>
          </w:tcPr>
          <w:p w14:paraId="0542D4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31,5 %</w:t>
            </w:r>
          </w:p>
        </w:tc>
      </w:tr>
      <w:tr w:rsidR="001002C3" w:rsidRPr="007122AB" w14:paraId="3127DB09" w14:textId="77777777">
        <w:tc>
          <w:tcPr>
            <w:tcW w:w="4261" w:type="dxa"/>
          </w:tcPr>
          <w:p w14:paraId="52893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w:t>
            </w:r>
          </w:p>
        </w:tc>
        <w:tc>
          <w:tcPr>
            <w:tcW w:w="4261" w:type="dxa"/>
          </w:tcPr>
          <w:p w14:paraId="75D96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3084 кг (вариант бомбардировщика)</w:t>
            </w:r>
          </w:p>
        </w:tc>
      </w:tr>
      <w:tr w:rsidR="001002C3" w:rsidRPr="007122AB" w14:paraId="7EF8CF6A" w14:textId="77777777">
        <w:tc>
          <w:tcPr>
            <w:tcW w:w="4261" w:type="dxa"/>
          </w:tcPr>
          <w:p w14:paraId="610AB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Центровка</w:t>
            </w:r>
          </w:p>
        </w:tc>
        <w:tc>
          <w:tcPr>
            <w:tcW w:w="4261" w:type="dxa"/>
          </w:tcPr>
          <w:p w14:paraId="74190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37,5%</w:t>
            </w:r>
          </w:p>
        </w:tc>
      </w:tr>
      <w:tr w:rsidR="001002C3" w:rsidRPr="007122AB" w14:paraId="1C37D44E" w14:textId="77777777">
        <w:tc>
          <w:tcPr>
            <w:tcW w:w="4261" w:type="dxa"/>
          </w:tcPr>
          <w:p w14:paraId="2A3A1A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w:t>
            </w:r>
          </w:p>
        </w:tc>
        <w:tc>
          <w:tcPr>
            <w:tcW w:w="4261" w:type="dxa"/>
          </w:tcPr>
          <w:p w14:paraId="12067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93B672" w14:textId="77777777">
        <w:tc>
          <w:tcPr>
            <w:tcW w:w="4261" w:type="dxa"/>
          </w:tcPr>
          <w:p w14:paraId="24D86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Н=0м</w:t>
            </w:r>
          </w:p>
        </w:tc>
        <w:tc>
          <w:tcPr>
            <w:tcW w:w="4261" w:type="dxa"/>
          </w:tcPr>
          <w:p w14:paraId="1DF95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218 км/ч;</w:t>
            </w:r>
          </w:p>
        </w:tc>
      </w:tr>
      <w:tr w:rsidR="001002C3" w:rsidRPr="007122AB" w14:paraId="6545D015" w14:textId="77777777">
        <w:tc>
          <w:tcPr>
            <w:tcW w:w="4261" w:type="dxa"/>
          </w:tcPr>
          <w:p w14:paraId="77CAD2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Н=1000м</w:t>
            </w:r>
          </w:p>
        </w:tc>
        <w:tc>
          <w:tcPr>
            <w:tcW w:w="4261" w:type="dxa"/>
          </w:tcPr>
          <w:p w14:paraId="3B090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 км/ч;</w:t>
            </w:r>
          </w:p>
        </w:tc>
      </w:tr>
      <w:tr w:rsidR="001002C3" w:rsidRPr="007122AB" w14:paraId="0A978C51" w14:textId="77777777">
        <w:tc>
          <w:tcPr>
            <w:tcW w:w="4261" w:type="dxa"/>
          </w:tcPr>
          <w:p w14:paraId="424CB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Н=4000м</w:t>
            </w:r>
          </w:p>
        </w:tc>
        <w:tc>
          <w:tcPr>
            <w:tcW w:w="4261" w:type="dxa"/>
          </w:tcPr>
          <w:p w14:paraId="1310E7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160 км/ч;</w:t>
            </w:r>
          </w:p>
        </w:tc>
      </w:tr>
      <w:tr w:rsidR="001002C3" w:rsidRPr="007122AB" w14:paraId="09B91D37" w14:textId="77777777">
        <w:tc>
          <w:tcPr>
            <w:tcW w:w="4261" w:type="dxa"/>
          </w:tcPr>
          <w:p w14:paraId="72EEB1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Н=2000м</w:t>
            </w:r>
          </w:p>
        </w:tc>
        <w:tc>
          <w:tcPr>
            <w:tcW w:w="4261" w:type="dxa"/>
          </w:tcPr>
          <w:p w14:paraId="4A1E5B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 км/ч;</w:t>
            </w:r>
          </w:p>
        </w:tc>
      </w:tr>
      <w:tr w:rsidR="001002C3" w:rsidRPr="007122AB" w14:paraId="388A848C" w14:textId="77777777">
        <w:tc>
          <w:tcPr>
            <w:tcW w:w="4261" w:type="dxa"/>
          </w:tcPr>
          <w:p w14:paraId="1DA28E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Н=5000 м</w:t>
            </w:r>
          </w:p>
        </w:tc>
        <w:tc>
          <w:tcPr>
            <w:tcW w:w="4261" w:type="dxa"/>
          </w:tcPr>
          <w:p w14:paraId="004029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 км/ч;</w:t>
            </w:r>
          </w:p>
        </w:tc>
      </w:tr>
      <w:tr w:rsidR="001002C3" w:rsidRPr="007122AB" w14:paraId="140AEE83" w14:textId="77777777">
        <w:tc>
          <w:tcPr>
            <w:tcW w:w="4261" w:type="dxa"/>
          </w:tcPr>
          <w:p w14:paraId="350BAE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Н=3000м</w:t>
            </w:r>
          </w:p>
        </w:tc>
        <w:tc>
          <w:tcPr>
            <w:tcW w:w="4261" w:type="dxa"/>
          </w:tcPr>
          <w:p w14:paraId="1C2009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178 км/ч;</w:t>
            </w:r>
          </w:p>
        </w:tc>
      </w:tr>
      <w:tr w:rsidR="001002C3" w:rsidRPr="007122AB" w14:paraId="47BEB2E0" w14:textId="77777777">
        <w:tc>
          <w:tcPr>
            <w:tcW w:w="4261" w:type="dxa"/>
          </w:tcPr>
          <w:p w14:paraId="026CE1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Н=6000м</w:t>
            </w:r>
          </w:p>
        </w:tc>
        <w:tc>
          <w:tcPr>
            <w:tcW w:w="4261" w:type="dxa"/>
          </w:tcPr>
          <w:p w14:paraId="2623D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 км/ч.</w:t>
            </w:r>
          </w:p>
        </w:tc>
      </w:tr>
      <w:tr w:rsidR="001002C3" w:rsidRPr="007122AB" w14:paraId="580922B7" w14:textId="77777777">
        <w:tc>
          <w:tcPr>
            <w:tcW w:w="4261" w:type="dxa"/>
          </w:tcPr>
          <w:p w14:paraId="79E11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высоту 1000 м Р-5 поднимался за</w:t>
            </w:r>
          </w:p>
        </w:tc>
        <w:tc>
          <w:tcPr>
            <w:tcW w:w="4261" w:type="dxa"/>
          </w:tcPr>
          <w:p w14:paraId="4C8CFE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мин. 34 сек.,</w:t>
            </w:r>
          </w:p>
        </w:tc>
      </w:tr>
      <w:tr w:rsidR="001002C3" w:rsidRPr="007122AB" w14:paraId="44522702" w14:textId="77777777">
        <w:tc>
          <w:tcPr>
            <w:tcW w:w="4261" w:type="dxa"/>
          </w:tcPr>
          <w:p w14:paraId="7185A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5000 м</w:t>
            </w:r>
          </w:p>
        </w:tc>
        <w:tc>
          <w:tcPr>
            <w:tcW w:w="4261" w:type="dxa"/>
          </w:tcPr>
          <w:p w14:paraId="2FDCC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30 мин. 32 сек.</w:t>
            </w:r>
          </w:p>
        </w:tc>
      </w:tr>
      <w:tr w:rsidR="001002C3" w:rsidRPr="007122AB" w14:paraId="712A25DD" w14:textId="77777777">
        <w:tc>
          <w:tcPr>
            <w:tcW w:w="4261" w:type="dxa"/>
          </w:tcPr>
          <w:p w14:paraId="1EAF5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самолета в варианте разведчика левый вираж выполнялся за</w:t>
            </w:r>
          </w:p>
        </w:tc>
        <w:tc>
          <w:tcPr>
            <w:tcW w:w="4261" w:type="dxa"/>
          </w:tcPr>
          <w:p w14:paraId="47C1C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 сек.,</w:t>
            </w:r>
          </w:p>
        </w:tc>
      </w:tr>
      <w:tr w:rsidR="001002C3" w:rsidRPr="007122AB" w14:paraId="2F7CFF9D" w14:textId="77777777">
        <w:tc>
          <w:tcPr>
            <w:tcW w:w="4261" w:type="dxa"/>
          </w:tcPr>
          <w:p w14:paraId="78FB7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самолета в варианте разведчика правый вираж выполнялся за</w:t>
            </w:r>
          </w:p>
        </w:tc>
        <w:tc>
          <w:tcPr>
            <w:tcW w:w="4261" w:type="dxa"/>
          </w:tcPr>
          <w:p w14:paraId="62CB6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16 сек.</w:t>
            </w:r>
          </w:p>
        </w:tc>
      </w:tr>
      <w:tr w:rsidR="001002C3" w:rsidRPr="007122AB" w14:paraId="50DA45D0" w14:textId="77777777">
        <w:tc>
          <w:tcPr>
            <w:tcW w:w="4261" w:type="dxa"/>
          </w:tcPr>
          <w:p w14:paraId="6966E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варианте бомбардировщика все виражи выполнялись за</w:t>
            </w:r>
          </w:p>
        </w:tc>
        <w:tc>
          <w:tcPr>
            <w:tcW w:w="4261" w:type="dxa"/>
          </w:tcPr>
          <w:p w14:paraId="2B860E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16,5 секунд.</w:t>
            </w:r>
          </w:p>
        </w:tc>
      </w:tr>
    </w:tbl>
    <w:p w14:paraId="60B50D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эти данные соответствовали самолетам Р-5, оснащенными двигателями М-17 мощностью 615 л. с. с воздушным винтом диаметром 3,35 метра, выпуска рыбинского авиамоторного завода №26. Самолеты, которые выпускалась с немецкими BMW-VI, мощностью 680 л. с., как правило, выполнялись особенно тщательно, соответственно и летные данные имели более высокие. В воинские части такие Р-5 выделялись поштучно и доставались обычно начальникам соединений (5016).</w:t>
      </w:r>
    </w:p>
    <w:p w14:paraId="1CCA8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D7B816" w14:textId="77777777" w:rsidR="008F5899" w:rsidRPr="007122AB" w:rsidRDefault="008F5899"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В мае 1931 года, закончив производство истребителей И-5 и И-7, завод № 1 полностью перешел на выпуск Р-5. Так требовали ВВС страны, где был разработан план перевооружения военно-воздушных сил. Было решено создать 12 бомбардировочных эскадрилий из самолетов Р-5. В общей сложности в 1931 году было построено 336 таких машин, большую часть которых дал завод № 1. А всего за первую пятилетку завод построил 6240 самолетов. За успешное выполнение планов 150 тружеников предприятия во главе с директором </w:t>
      </w:r>
      <w:proofErr w:type="spellStart"/>
      <w:r w:rsidRPr="007122AB">
        <w:rPr>
          <w:color w:val="000000" w:themeColor="text1"/>
          <w:sz w:val="16"/>
          <w:szCs w:val="16"/>
        </w:rPr>
        <w:t>Ф.П.Муратовым</w:t>
      </w:r>
      <w:proofErr w:type="spellEnd"/>
      <w:r w:rsidRPr="007122AB">
        <w:rPr>
          <w:color w:val="000000" w:themeColor="text1"/>
          <w:sz w:val="16"/>
          <w:szCs w:val="16"/>
        </w:rPr>
        <w:t xml:space="preserve"> получили правительственные награды и Почетные Грамоты (19827).</w:t>
      </w:r>
    </w:p>
    <w:p w14:paraId="6BBDEADF" w14:textId="77777777" w:rsidR="008F5899" w:rsidRPr="007122AB" w:rsidRDefault="008F5899" w:rsidP="007122AB">
      <w:pPr>
        <w:pStyle w:val="ae"/>
        <w:shd w:val="clear" w:color="auto" w:fill="FFFFFF"/>
        <w:spacing w:before="0" w:after="0"/>
        <w:jc w:val="both"/>
        <w:rPr>
          <w:color w:val="000000" w:themeColor="text1"/>
          <w:sz w:val="16"/>
          <w:szCs w:val="16"/>
        </w:rPr>
      </w:pPr>
    </w:p>
    <w:p w14:paraId="38034D80"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мае 1931 г. полеты на КАСКР-2 продолжил Кошиц, ко</w:t>
      </w:r>
      <w:r w:rsidRPr="007122AB">
        <w:rPr>
          <w:rFonts w:ascii="Times New Roman" w:hAnsi="Times New Roman"/>
          <w:color w:val="000000" w:themeColor="text1"/>
          <w:sz w:val="16"/>
          <w:szCs w:val="16"/>
        </w:rPr>
        <w:softHyphen/>
        <w:t>торый отметил, что с повышением температуры окружаю</w:t>
      </w:r>
      <w:r w:rsidRPr="007122AB">
        <w:rPr>
          <w:rFonts w:ascii="Times New Roman" w:hAnsi="Times New Roman"/>
          <w:color w:val="000000" w:themeColor="text1"/>
          <w:sz w:val="16"/>
          <w:szCs w:val="16"/>
        </w:rPr>
        <w:softHyphen/>
        <w:t>щего воздуха заметно грелся двигатель. По предложению П.И. Баранова, присутствующего 15 мая 1931 г. при проб</w:t>
      </w:r>
      <w:r w:rsidRPr="007122AB">
        <w:rPr>
          <w:rFonts w:ascii="Times New Roman" w:hAnsi="Times New Roman"/>
          <w:color w:val="000000" w:themeColor="text1"/>
          <w:sz w:val="16"/>
          <w:szCs w:val="16"/>
        </w:rPr>
        <w:softHyphen/>
        <w:t>ных стартах с воздушного винта сняли кок-обтекатель, а в лобовой части капота прорезали дополнительные отвер</w:t>
      </w:r>
      <w:r w:rsidRPr="007122AB">
        <w:rPr>
          <w:rFonts w:ascii="Times New Roman" w:hAnsi="Times New Roman"/>
          <w:color w:val="000000" w:themeColor="text1"/>
          <w:sz w:val="16"/>
          <w:szCs w:val="16"/>
        </w:rPr>
        <w:softHyphen/>
        <w:t>стия для охлаждения (20361).</w:t>
      </w:r>
    </w:p>
    <w:p w14:paraId="71C0F6C5" w14:textId="77777777" w:rsidR="00A4352B" w:rsidRPr="007122AB" w:rsidRDefault="00A4352B" w:rsidP="007122AB">
      <w:pPr>
        <w:shd w:val="clear" w:color="auto" w:fill="FFFFFF"/>
        <w:spacing w:after="0" w:line="240" w:lineRule="auto"/>
        <w:jc w:val="both"/>
        <w:rPr>
          <w:rFonts w:ascii="Times New Roman" w:hAnsi="Times New Roman"/>
          <w:color w:val="000000" w:themeColor="text1"/>
          <w:sz w:val="16"/>
          <w:szCs w:val="16"/>
        </w:rPr>
      </w:pPr>
    </w:p>
    <w:p w14:paraId="6FE866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на заводе № 1 скопилось 57 Р-5 без моторов. Самолет проходил облет, затем мотор с него снимали и переставляли на следующий. Двигатели были столь дефицитны, что их гнали из Рыбинска в Москву сразу после приемки, цепляя товарные вагоны к пассажирским поездам (11936).</w:t>
      </w:r>
    </w:p>
    <w:p w14:paraId="41BB7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583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на заводе № 1 скопилось 57 Р-5 без моторов. УВВС (в обязанность которого входила поставка двигателей) было вынуждено разрешить приемку некомплектных (а стало быть, небоеспособных) машин. Самолет проходил облет, затем мотор с пего снимали и переставляли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разрешили отправлять их даже поштучно, не обращая внимания на загрузку вагона.</w:t>
      </w:r>
    </w:p>
    <w:p w14:paraId="0605A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этом в течение большей части 1931 г. продолжался импорт двигателей из Германии. Немецкие моторы ставились вперемешку с советскими, причем иногда монтировали и более высотные двигатели со степенью сжатия 7,3. В частности, такой стоял на Р-5 № 4601, объявленном головным для 4-й серии.</w:t>
      </w:r>
    </w:p>
    <w:p w14:paraId="22F0F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Объем производства быстро рос, но самолетостроители никак не могли угнаться за планом. За 1931 г. изготовили 336 самолетов (сдали 301) при плане 675. В феврале 1932 г. военные даже потребовали отдать в счет договора личный Р-5 начальника ГУАП.</w:t>
      </w:r>
    </w:p>
    <w:p w14:paraId="11B22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время ВВС срочно требовались самолеты - разведчики, причем в больших количествах - на замену старым Р-1 и для формирования новых авиачастей. Простой и сравнительно дешевый Р-5 позволял выполнить эти задачи даже в условиях ограниченности выделенных средств. Закупочная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цельнометаллического Р-6.</w:t>
      </w:r>
    </w:p>
    <w:p w14:paraId="79E3E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Основное внимание работников завода было обращено на ликвидацию дефектов, выявленных на ранних сериях Р-5. С неэффективностью радиаторов уже справились, но самолеты продолжали страдать самопроизвольной перекачкой бензина из нижних баков в верхние, </w:t>
      </w:r>
      <w:proofErr w:type="spellStart"/>
      <w:r w:rsidRPr="007122AB">
        <w:rPr>
          <w:rFonts w:ascii="Times New Roman" w:hAnsi="Times New Roman"/>
          <w:color w:val="000000" w:themeColor="text1"/>
          <w:sz w:val="16"/>
          <w:szCs w:val="16"/>
        </w:rPr>
        <w:t>невзаимозаменяемостью</w:t>
      </w:r>
      <w:proofErr w:type="spellEnd"/>
      <w:r w:rsidRPr="007122AB">
        <w:rPr>
          <w:rFonts w:ascii="Times New Roman" w:hAnsi="Times New Roman"/>
          <w:color w:val="000000" w:themeColor="text1"/>
          <w:sz w:val="16"/>
          <w:szCs w:val="16"/>
        </w:rPr>
        <w:t xml:space="preserve"> основных узлов. Ненадежно работали замки бомбодержателей Дер-13, рвались тросы ограничителей хода радиаторов, лопались крепления капота, при запуске моторов ломались храповики на коках винтов. Имели также место неприятности с лыжным шасси.</w:t>
      </w:r>
    </w:p>
    <w:p w14:paraId="386C0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Устранение всего этого планировали на 1932 г. Эталоном на тот год стал самолет № 4629. 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w:t>
      </w:r>
    </w:p>
    <w:p w14:paraId="236C1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(12034).</w:t>
      </w:r>
    </w:p>
    <w:p w14:paraId="04A732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4417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был подписан проект соглашения, который гласил: «Общество с ограниченной ответственностью «</w:t>
      </w:r>
      <w:proofErr w:type="spellStart"/>
      <w:r w:rsidRPr="007122AB">
        <w:rPr>
          <w:rFonts w:ascii="Times New Roman" w:hAnsi="Times New Roman"/>
          <w:color w:val="000000" w:themeColor="text1"/>
          <w:sz w:val="16"/>
          <w:szCs w:val="16"/>
        </w:rPr>
        <w:t>Люфтшифтбау</w:t>
      </w:r>
      <w:proofErr w:type="spellEnd"/>
      <w:r w:rsidRPr="007122AB">
        <w:rPr>
          <w:rFonts w:ascii="Times New Roman" w:hAnsi="Times New Roman"/>
          <w:color w:val="000000" w:themeColor="text1"/>
          <w:sz w:val="16"/>
          <w:szCs w:val="16"/>
        </w:rPr>
        <w:t xml:space="preserve"> Цеппелин», именуемое в дальнейшем «Л. Ц.» и «Объе</w:t>
      </w:r>
      <w:r w:rsidRPr="007122AB">
        <w:rPr>
          <w:rFonts w:ascii="Times New Roman" w:hAnsi="Times New Roman"/>
          <w:color w:val="000000" w:themeColor="text1"/>
          <w:sz w:val="16"/>
          <w:szCs w:val="16"/>
        </w:rPr>
        <w:softHyphen/>
        <w:t>динение Гражданской Авиации СССР», именуемое в дальней</w:t>
      </w:r>
      <w:r w:rsidRPr="007122AB">
        <w:rPr>
          <w:rFonts w:ascii="Times New Roman" w:hAnsi="Times New Roman"/>
          <w:color w:val="000000" w:themeColor="text1"/>
          <w:sz w:val="16"/>
          <w:szCs w:val="16"/>
        </w:rPr>
        <w:softHyphen/>
        <w:t>шем «Бюро», заключает настоящий предварительный договор при условии его ратификации Правительством СССР и Прави</w:t>
      </w:r>
      <w:r w:rsidRPr="007122AB">
        <w:rPr>
          <w:rFonts w:ascii="Times New Roman" w:hAnsi="Times New Roman"/>
          <w:color w:val="000000" w:themeColor="text1"/>
          <w:sz w:val="16"/>
          <w:szCs w:val="16"/>
        </w:rPr>
        <w:softHyphen/>
        <w:t>тельством Германии, а равно при условии окончательного бо</w:t>
      </w:r>
      <w:r w:rsidRPr="007122AB">
        <w:rPr>
          <w:rFonts w:ascii="Times New Roman" w:hAnsi="Times New Roman"/>
          <w:color w:val="000000" w:themeColor="text1"/>
          <w:sz w:val="16"/>
          <w:szCs w:val="16"/>
        </w:rPr>
        <w:softHyphen/>
        <w:t>лее подробного и точного формулирования деталей договора:</w:t>
      </w:r>
    </w:p>
    <w:p w14:paraId="583895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 Ц. берет на себя обязательства содействовать Бюро в деле организации дирижаблестроения в России. Эта помощь должна распространяться на нижеследующее:</w:t>
      </w:r>
    </w:p>
    <w:p w14:paraId="0DCC05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Конструирование и сооружение дирижаблей во всех их частях: для начала — одного дирижабля емкостью в 30 000— 40 000 кубометров, а затем также дирижабля емкостью в 150—200 тыс. кубометров.</w:t>
      </w:r>
    </w:p>
    <w:p w14:paraId="67027D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Сооружение и оборудование Воздухоплавательной Вер</w:t>
      </w:r>
      <w:r w:rsidRPr="007122AB">
        <w:rPr>
          <w:rFonts w:ascii="Times New Roman" w:hAnsi="Times New Roman"/>
          <w:color w:val="000000" w:themeColor="text1"/>
          <w:sz w:val="16"/>
          <w:szCs w:val="16"/>
        </w:rPr>
        <w:softHyphen/>
        <w:t>фи в СССР со всеми принадлежностями.</w:t>
      </w:r>
    </w:p>
    <w:p w14:paraId="65A259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Консультирование по добыче и использованию гелия, газа для наполнения дирижабля.</w:t>
      </w:r>
    </w:p>
    <w:p w14:paraId="2045E1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Изучение и производство современных моторов для ди</w:t>
      </w:r>
      <w:r w:rsidRPr="007122AB">
        <w:rPr>
          <w:rFonts w:ascii="Times New Roman" w:hAnsi="Times New Roman"/>
          <w:color w:val="000000" w:themeColor="text1"/>
          <w:sz w:val="16"/>
          <w:szCs w:val="16"/>
        </w:rPr>
        <w:softHyphen/>
        <w:t>рижаблей, работающих на жидком и газообразном горючем, поскольку таковые производятся фирмой «Майбах-</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фенбау</w:t>
      </w:r>
      <w:proofErr w:type="spellEnd"/>
      <w:r w:rsidRPr="007122AB">
        <w:rPr>
          <w:rFonts w:ascii="Times New Roman" w:hAnsi="Times New Roman"/>
          <w:color w:val="000000" w:themeColor="text1"/>
          <w:sz w:val="16"/>
          <w:szCs w:val="16"/>
        </w:rPr>
        <w:t>».</w:t>
      </w:r>
    </w:p>
    <w:p w14:paraId="33F39C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 течение 5 лет; считая от подписания настоящего до</w:t>
      </w:r>
      <w:r w:rsidRPr="007122AB">
        <w:rPr>
          <w:rFonts w:ascii="Times New Roman" w:hAnsi="Times New Roman"/>
          <w:color w:val="000000" w:themeColor="text1"/>
          <w:sz w:val="16"/>
          <w:szCs w:val="16"/>
        </w:rPr>
        <w:softHyphen/>
        <w:t>говора, Л. Ц. предоставляет в распоряжение Бюро все нынеш</w:t>
      </w:r>
      <w:r w:rsidRPr="007122AB">
        <w:rPr>
          <w:rFonts w:ascii="Times New Roman" w:hAnsi="Times New Roman"/>
          <w:color w:val="000000" w:themeColor="text1"/>
          <w:sz w:val="16"/>
          <w:szCs w:val="16"/>
        </w:rPr>
        <w:softHyphen/>
        <w:t>ние и будущие патенты и изобретения, как относящиеся к ди</w:t>
      </w:r>
      <w:r w:rsidRPr="007122AB">
        <w:rPr>
          <w:rFonts w:ascii="Times New Roman" w:hAnsi="Times New Roman"/>
          <w:color w:val="000000" w:themeColor="text1"/>
          <w:sz w:val="16"/>
          <w:szCs w:val="16"/>
        </w:rPr>
        <w:softHyphen/>
        <w:t>рижаблестроению в узком смысле, так и к отдельным участ</w:t>
      </w:r>
      <w:r w:rsidRPr="007122AB">
        <w:rPr>
          <w:rFonts w:ascii="Times New Roman" w:hAnsi="Times New Roman"/>
          <w:color w:val="000000" w:themeColor="text1"/>
          <w:sz w:val="16"/>
          <w:szCs w:val="16"/>
        </w:rPr>
        <w:softHyphen/>
        <w:t>кам дирижабельного хозяйства в целом, например, к мото</w:t>
      </w:r>
      <w:r w:rsidRPr="007122AB">
        <w:rPr>
          <w:rFonts w:ascii="Times New Roman" w:hAnsi="Times New Roman"/>
          <w:color w:val="000000" w:themeColor="text1"/>
          <w:sz w:val="16"/>
          <w:szCs w:val="16"/>
        </w:rPr>
        <w:softHyphen/>
        <w:t>рам, баллонам, к газу для наполнения дирижаблей, к новым видам горючего и т.п. Бюро (или Русское правительство) уп</w:t>
      </w:r>
      <w:r w:rsidRPr="007122AB">
        <w:rPr>
          <w:rFonts w:ascii="Times New Roman" w:hAnsi="Times New Roman"/>
          <w:color w:val="000000" w:themeColor="text1"/>
          <w:sz w:val="16"/>
          <w:szCs w:val="16"/>
        </w:rPr>
        <w:softHyphen/>
        <w:t>лачивают Л. Ц. за всё вышеизложенное и за дирижабль ем</w:t>
      </w:r>
      <w:r w:rsidRPr="007122AB">
        <w:rPr>
          <w:rFonts w:ascii="Times New Roman" w:hAnsi="Times New Roman"/>
          <w:color w:val="000000" w:themeColor="text1"/>
          <w:sz w:val="16"/>
          <w:szCs w:val="16"/>
        </w:rPr>
        <w:softHyphen/>
        <w:t>костью 30—40 тыс. кубометров 5 миллионов германских марок» (10670, 144).</w:t>
      </w:r>
    </w:p>
    <w:p w14:paraId="23B7B7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77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три специально подготовленных Р-5 участвовали в Международном конкурсе разведывательных самолетов (10667).</w:t>
      </w:r>
    </w:p>
    <w:p w14:paraId="05CBE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D5E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w:t>
      </w:r>
      <w:proofErr w:type="spellStart"/>
      <w:r w:rsidRPr="007122AB">
        <w:rPr>
          <w:rFonts w:ascii="Times New Roman" w:hAnsi="Times New Roman"/>
          <w:color w:val="000000" w:themeColor="text1"/>
          <w:sz w:val="16"/>
          <w:szCs w:val="16"/>
        </w:rPr>
        <w:t>И.Г.Неман</w:t>
      </w:r>
      <w:proofErr w:type="spellEnd"/>
      <w:r w:rsidRPr="007122AB">
        <w:rPr>
          <w:rFonts w:ascii="Times New Roman" w:hAnsi="Times New Roman"/>
          <w:color w:val="000000" w:themeColor="text1"/>
          <w:sz w:val="16"/>
          <w:szCs w:val="16"/>
        </w:rPr>
        <w:t xml:space="preserve"> получил заказ от Совета Осоавиахима Украины на ХАИ-1 - шестиместный пассажирский, который должен был быть готов к февралю 1932 (143,22).</w:t>
      </w:r>
    </w:p>
    <w:p w14:paraId="1DA6F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И.Г.Н. предложил студентам поработать (562,41).</w:t>
      </w:r>
    </w:p>
    <w:p w14:paraId="29CC5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025E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состоялся Первый полет многоцелевого самолета К-10 (10674).</w:t>
      </w:r>
    </w:p>
    <w:p w14:paraId="38F5CD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088161" w14:textId="0B2362DF"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мае 1931, после появления в США скоростного одномоторного авиалайнера Локхид Орион, </w:t>
      </w:r>
      <w:r w:rsidR="00E760AA">
        <w:rPr>
          <w:rFonts w:ascii="Times New Roman" w:hAnsi="Times New Roman"/>
          <w:color w:val="0070C0"/>
          <w:sz w:val="16"/>
          <w:szCs w:val="16"/>
        </w:rPr>
        <w:t>Неман</w:t>
      </w:r>
      <w:r w:rsidRPr="00441F34">
        <w:rPr>
          <w:rFonts w:ascii="Times New Roman" w:hAnsi="Times New Roman"/>
          <w:color w:val="0070C0"/>
          <w:sz w:val="16"/>
          <w:szCs w:val="16"/>
        </w:rPr>
        <w:t xml:space="preserve"> предложил своим дипломникам создать нечто подобное. Так возник проект ХАИ-1 по схеме и конструкции напоминавший американский самолёт. Правда, харьковская модель не имела механизации крыла. Самолёт разрабатывался с учётом существующих отечественных технологий и условий эксплуатации. Особое внимание уделялось отделке поверхности. Ради улучшения аэродинамических характеристик из скоростного потока были убраны все выступающие детали - тросы, рычаги и т.п., обшивка оклеена тканью, покрыта лаком и отполирована (24249).</w:t>
      </w:r>
    </w:p>
    <w:p w14:paraId="78581DE8" w14:textId="77777777" w:rsidR="00A24023" w:rsidRPr="00441F34" w:rsidRDefault="00A24023" w:rsidP="00A24023">
      <w:pPr>
        <w:spacing w:after="0" w:line="240" w:lineRule="auto"/>
        <w:jc w:val="both"/>
        <w:rPr>
          <w:rFonts w:ascii="Times New Roman" w:hAnsi="Times New Roman"/>
          <w:color w:val="0070C0"/>
          <w:sz w:val="16"/>
          <w:szCs w:val="16"/>
        </w:rPr>
      </w:pPr>
    </w:p>
    <w:p w14:paraId="12474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на Москве-реке испытали У-2 на поплавках </w:t>
      </w:r>
      <w:proofErr w:type="spellStart"/>
      <w:r w:rsidRPr="007122AB">
        <w:rPr>
          <w:rFonts w:ascii="Times New Roman" w:hAnsi="Times New Roman"/>
          <w:color w:val="000000" w:themeColor="text1"/>
          <w:sz w:val="16"/>
          <w:szCs w:val="16"/>
        </w:rPr>
        <w:t>С.А.Кочеригина</w:t>
      </w:r>
      <w:proofErr w:type="spellEnd"/>
      <w:r w:rsidRPr="007122AB">
        <w:rPr>
          <w:rFonts w:ascii="Times New Roman" w:hAnsi="Times New Roman"/>
          <w:color w:val="000000" w:themeColor="text1"/>
          <w:sz w:val="16"/>
          <w:szCs w:val="16"/>
        </w:rPr>
        <w:t>, построенный в ООС в 1930 вскоре после выхода первого У-2. Не пошел из-за трудности запуска двигателя с поплавка (1076,730).</w:t>
      </w:r>
    </w:p>
    <w:p w14:paraId="52965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507FA5" w14:textId="77777777" w:rsidR="00A24023" w:rsidRPr="007122AB" w:rsidRDefault="00A24023" w:rsidP="00A24023">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в Авиационном переулке, в филиале завода им. Менжинского, построили макет АИР-5 (машина 49) (3971,6).</w:t>
      </w:r>
    </w:p>
    <w:p w14:paraId="073D8A0D" w14:textId="77777777" w:rsidR="00A24023" w:rsidRPr="007122AB" w:rsidRDefault="00A24023" w:rsidP="00A24023">
      <w:pPr>
        <w:autoSpaceDE w:val="0"/>
        <w:autoSpaceDN w:val="0"/>
        <w:adjustRightInd w:val="0"/>
        <w:spacing w:after="0" w:line="240" w:lineRule="auto"/>
        <w:jc w:val="both"/>
        <w:rPr>
          <w:rFonts w:ascii="Times New Roman" w:hAnsi="Times New Roman"/>
          <w:color w:val="000000" w:themeColor="text1"/>
          <w:sz w:val="16"/>
          <w:szCs w:val="16"/>
        </w:rPr>
      </w:pPr>
    </w:p>
    <w:p w14:paraId="5EE5D589" w14:textId="77777777" w:rsidR="00A24023" w:rsidRPr="007122AB" w:rsidRDefault="00A24023" w:rsidP="00A24023">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 мае 1931 г. в филиале завода № 39 в Авиационном переулке изготовили полноразмерный макет АИР-5. Данных о его изучении какой-либо комиссией пока не обнаружено (19099).</w:t>
      </w:r>
    </w:p>
    <w:p w14:paraId="323DC72E" w14:textId="77777777" w:rsidR="00A24023" w:rsidRPr="007122AB" w:rsidRDefault="00A24023" w:rsidP="00A24023">
      <w:pPr>
        <w:pStyle w:val="a8"/>
        <w:jc w:val="both"/>
        <w:rPr>
          <w:rFonts w:ascii="Times New Roman" w:hAnsi="Times New Roman" w:cs="Times New Roman"/>
          <w:color w:val="000000" w:themeColor="text1"/>
        </w:rPr>
      </w:pPr>
    </w:p>
    <w:p w14:paraId="6C396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на Москве-реке испытали АИР-2 на </w:t>
      </w:r>
      <w:proofErr w:type="spellStart"/>
      <w:r w:rsidRPr="007122AB">
        <w:rPr>
          <w:rFonts w:ascii="Times New Roman" w:hAnsi="Times New Roman"/>
          <w:color w:val="000000" w:themeColor="text1"/>
          <w:sz w:val="16"/>
          <w:szCs w:val="16"/>
        </w:rPr>
        <w:t>поплавказх</w:t>
      </w:r>
      <w:proofErr w:type="spellEnd"/>
      <w:r w:rsidRPr="007122AB">
        <w:rPr>
          <w:rFonts w:ascii="Times New Roman" w:hAnsi="Times New Roman"/>
          <w:color w:val="000000" w:themeColor="text1"/>
          <w:sz w:val="16"/>
          <w:szCs w:val="16"/>
        </w:rPr>
        <w:t xml:space="preserve"> В.Б.Ш. (7393, 29).</w:t>
      </w:r>
    </w:p>
    <w:p w14:paraId="717CF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84D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года с авиетками А. С. Яковлева АИР-4 познакомился и дал прекрасный отзыв о них английский экипаж самолета "Моте" - летчик </w:t>
      </w:r>
      <w:proofErr w:type="spellStart"/>
      <w:r w:rsidRPr="007122AB">
        <w:rPr>
          <w:rFonts w:ascii="Times New Roman" w:hAnsi="Times New Roman"/>
          <w:color w:val="000000" w:themeColor="text1"/>
          <w:sz w:val="16"/>
          <w:szCs w:val="16"/>
        </w:rPr>
        <w:t>Белльвиль</w:t>
      </w:r>
      <w:proofErr w:type="spellEnd"/>
      <w:r w:rsidRPr="007122AB">
        <w:rPr>
          <w:rFonts w:ascii="Times New Roman" w:hAnsi="Times New Roman"/>
          <w:color w:val="000000" w:themeColor="text1"/>
          <w:sz w:val="16"/>
          <w:szCs w:val="16"/>
        </w:rPr>
        <w:t xml:space="preserve"> и летчица Монтегю, которые побывали в Москве во время перелета Лондон- Индия-Персия-СССР-Лондон. В свою очередь, Пионтковский и Яковлев полетали на английском самолете. Информацию об АИР-4 опубликовал известный международный ежегодник </w:t>
      </w:r>
      <w:proofErr w:type="spellStart"/>
      <w:r w:rsidRPr="007122AB">
        <w:rPr>
          <w:rFonts w:ascii="Times New Roman" w:hAnsi="Times New Roman"/>
          <w:color w:val="000000" w:themeColor="text1"/>
          <w:sz w:val="16"/>
          <w:szCs w:val="16"/>
        </w:rPr>
        <w:t>Джейна</w:t>
      </w:r>
      <w:proofErr w:type="spellEnd"/>
      <w:r w:rsidRPr="007122AB">
        <w:rPr>
          <w:rFonts w:ascii="Times New Roman" w:hAnsi="Times New Roman"/>
          <w:color w:val="000000" w:themeColor="text1"/>
          <w:sz w:val="16"/>
          <w:szCs w:val="16"/>
        </w:rPr>
        <w:t xml:space="preserve"> "Самолеты мира" за 1931 год (11981).</w:t>
      </w:r>
    </w:p>
    <w:p w14:paraId="4147E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КРАТКОЕ ТЕХНИЧЕСКОЕ ОПИСАНИЕ АИР-4</w:t>
      </w:r>
    </w:p>
    <w:p w14:paraId="7ED1C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Конструктивно самолет АИР-4 практически не отличался от АИР-3. Ниже приводятся основные отличия и особенности самолета.</w:t>
      </w:r>
    </w:p>
    <w:p w14:paraId="502DD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Фюзеляж. Доступ в обе кабины облегчается благодаря дверкам в бортах фюзеляжа, укрепленным на верхнем лонжероне. Для контроля и замены амортизации костыля в хвостовой части фюзеляжа сделан люк с крышкой.</w:t>
      </w:r>
    </w:p>
    <w:p w14:paraId="098BDA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Крыло самолета АИР-4 аналогично крылу АИР-3. Элероны подвешены на четырех шарнирах.</w:t>
      </w:r>
    </w:p>
    <w:p w14:paraId="5539E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Хвостовое оперение на АИР-4 более тонкого профиля и изменено по форме. Управление двойное, из стальных труб с дюралевыми съемными ручками.</w:t>
      </w:r>
    </w:p>
    <w:p w14:paraId="2A53A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Шасси безосное, с увеличенной колеей, из стальных круглых труб со съемными дюралевыми обтекателями. Полуось и задняя, упорная труба шасси соединены между собой жестко и вращаются вокруг одной оси. Амортизация осуществляется резиновыми шайбами обтекаемого сечения, работающими на сжатие. Между шайбами проложены пластины из миллиметрового дюраля. Шайбы из резины марки 50-С толщиной 18 мм, в количестве 12 штук, вместе с дюралевыми прокладками представляют собой пакет высотой 180 мм (после предварительной затяжки, равной половине веса самолета на стоянке). Шайбы нанизаны на две телескопические трубы с упорами. Упоры соединены стяжными болтами, проходящими через шайбы, и в свою очередь обеспечены от ударов при обратной отдаче маленькими резиновыми прокладками.</w:t>
      </w:r>
    </w:p>
    <w:p w14:paraId="678CF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Как выяснилось в результате эксплуатации, шасси оказалось очень прочным. Амортизация шайбами достаточно мягкая и упругая, не требующая частой замены, как шнуровая. Масса шасси без колес 12 кг - на 2 кг меньше, чем на АИР-3. Амортизирующая труба упирается верхним своим концом в перехваченный передний подкос крыла и передает усилие на один из основных узлов фюзеляжа, к которому подходит и стойка центроплана.</w:t>
      </w:r>
    </w:p>
    <w:p w14:paraId="26E52A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Топливная система. Бензобаки - по 110 л, всего 330 л. В передней части фюзеляжа находится резервный бачок на 13 л. На крышке каждого бака установлены напорные трубки - "</w:t>
      </w:r>
      <w:proofErr w:type="spellStart"/>
      <w:r w:rsidRPr="007122AB">
        <w:rPr>
          <w:rFonts w:ascii="Times New Roman" w:hAnsi="Times New Roman"/>
          <w:color w:val="000000" w:themeColor="text1"/>
          <w:sz w:val="16"/>
          <w:szCs w:val="16"/>
        </w:rPr>
        <w:t>граммофончики</w:t>
      </w:r>
      <w:proofErr w:type="spellEnd"/>
      <w:r w:rsidRPr="007122AB">
        <w:rPr>
          <w:rFonts w:ascii="Times New Roman" w:hAnsi="Times New Roman"/>
          <w:color w:val="000000" w:themeColor="text1"/>
          <w:sz w:val="16"/>
          <w:szCs w:val="16"/>
        </w:rPr>
        <w:t>" (то есть в форме раструба) (11981).</w:t>
      </w:r>
    </w:p>
    <w:p w14:paraId="40A13F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044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года в НИИ ГВФ поступил самолет К-5 для испытаний, но он был возвращен </w:t>
      </w:r>
      <w:proofErr w:type="spellStart"/>
      <w:r w:rsidRPr="007122AB">
        <w:rPr>
          <w:rFonts w:ascii="Times New Roman" w:hAnsi="Times New Roman"/>
          <w:color w:val="000000" w:themeColor="text1"/>
          <w:sz w:val="16"/>
          <w:szCs w:val="16"/>
        </w:rPr>
        <w:t>ХАЗу</w:t>
      </w:r>
      <w:proofErr w:type="spellEnd"/>
      <w:r w:rsidRPr="007122AB">
        <w:rPr>
          <w:rFonts w:ascii="Times New Roman" w:hAnsi="Times New Roman"/>
          <w:color w:val="000000" w:themeColor="text1"/>
          <w:sz w:val="16"/>
          <w:szCs w:val="16"/>
        </w:rPr>
        <w:t xml:space="preserve"> из-за наличия большого количества дефектов.23 августа 1931 года в НИИ поступил другой экземпляр К-5 с частично устраненными дефектами. Самолет был испытан и условно утвержден для производства (7738, 12-10).</w:t>
      </w:r>
    </w:p>
    <w:p w14:paraId="115D1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514126" w14:textId="77777777" w:rsidR="0033769F" w:rsidRPr="007122AB" w:rsidRDefault="0033769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мае 1931 г. был произведен первый в СССР реактивный старт учебного самолета У-1 на твердотопливных ракетах. Аэродромные эксперименты по применению </w:t>
      </w:r>
      <w:proofErr w:type="spellStart"/>
      <w:r w:rsidRPr="007122AB">
        <w:rPr>
          <w:rFonts w:ascii="Times New Roman" w:eastAsia="Times New Roman" w:hAnsi="Times New Roman"/>
          <w:color w:val="000000" w:themeColor="text1"/>
          <w:sz w:val="16"/>
          <w:szCs w:val="16"/>
          <w:lang w:eastAsia="ru-RU"/>
        </w:rPr>
        <w:t>твердотоплив</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ных</w:t>
      </w:r>
      <w:proofErr w:type="spellEnd"/>
      <w:r w:rsidRPr="007122AB">
        <w:rPr>
          <w:rFonts w:ascii="Times New Roman" w:eastAsia="Times New Roman" w:hAnsi="Times New Roman"/>
          <w:color w:val="000000" w:themeColor="text1"/>
          <w:sz w:val="16"/>
          <w:szCs w:val="16"/>
          <w:lang w:eastAsia="ru-RU"/>
        </w:rPr>
        <w:t xml:space="preserve"> реактивных двигателей для старта самолетов начались в ГДЛ с 1930 г. по предложению, которое В.И. Дудаков и В.А. Константинов сделали еще в 1927 г. Эта работа </w:t>
      </w:r>
      <w:proofErr w:type="spellStart"/>
      <w:r w:rsidRPr="007122AB">
        <w:rPr>
          <w:rFonts w:ascii="Times New Roman" w:eastAsia="Times New Roman" w:hAnsi="Times New Roman"/>
          <w:color w:val="000000" w:themeColor="text1"/>
          <w:sz w:val="16"/>
          <w:szCs w:val="16"/>
          <w:lang w:eastAsia="ru-RU"/>
        </w:rPr>
        <w:t>продол</w:t>
      </w:r>
      <w:proofErr w:type="spellEnd"/>
      <w:r w:rsidRPr="007122AB">
        <w:rPr>
          <w:rFonts w:ascii="Times New Roman" w:eastAsia="Times New Roman" w:hAnsi="Times New Roman"/>
          <w:color w:val="000000" w:themeColor="text1"/>
          <w:sz w:val="16"/>
          <w:szCs w:val="16"/>
          <w:lang w:eastAsia="ru-RU"/>
        </w:rPr>
        <w:t xml:space="preserve"> жалась в РНИИ под руководством Вячеслава Ивановича </w:t>
      </w:r>
      <w:proofErr w:type="spellStart"/>
      <w:r w:rsidRPr="007122AB">
        <w:rPr>
          <w:rFonts w:ascii="Times New Roman" w:eastAsia="Times New Roman" w:hAnsi="Times New Roman"/>
          <w:color w:val="000000" w:themeColor="text1"/>
          <w:sz w:val="16"/>
          <w:szCs w:val="16"/>
          <w:lang w:eastAsia="ru-RU"/>
        </w:rPr>
        <w:t>Дудакова</w:t>
      </w:r>
      <w:proofErr w:type="spellEnd"/>
      <w:r w:rsidRPr="007122AB">
        <w:rPr>
          <w:rFonts w:ascii="Times New Roman" w:eastAsia="Times New Roman" w:hAnsi="Times New Roman"/>
          <w:color w:val="000000" w:themeColor="text1"/>
          <w:sz w:val="16"/>
          <w:szCs w:val="16"/>
          <w:lang w:eastAsia="ru-RU"/>
        </w:rPr>
        <w:t xml:space="preserve">. Всего в 1931 г. было произведено около 100 </w:t>
      </w:r>
      <w:proofErr w:type="spellStart"/>
      <w:r w:rsidRPr="007122AB">
        <w:rPr>
          <w:rFonts w:ascii="Times New Roman" w:eastAsia="Times New Roman" w:hAnsi="Times New Roman"/>
          <w:color w:val="000000" w:themeColor="text1"/>
          <w:sz w:val="16"/>
          <w:szCs w:val="16"/>
          <w:lang w:eastAsia="ru-RU"/>
        </w:rPr>
        <w:t>взле</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тов</w:t>
      </w:r>
      <w:proofErr w:type="spellEnd"/>
      <w:r w:rsidRPr="007122AB">
        <w:rPr>
          <w:rFonts w:ascii="Times New Roman" w:eastAsia="Times New Roman" w:hAnsi="Times New Roman"/>
          <w:color w:val="000000" w:themeColor="text1"/>
          <w:sz w:val="16"/>
          <w:szCs w:val="16"/>
          <w:lang w:eastAsia="ru-RU"/>
        </w:rPr>
        <w:t xml:space="preserve"> (летчик СИ. Мухин) легкого учебного самолета У-1 с по </w:t>
      </w:r>
      <w:proofErr w:type="spellStart"/>
      <w:r w:rsidRPr="007122AB">
        <w:rPr>
          <w:rFonts w:ascii="Times New Roman" w:eastAsia="Times New Roman" w:hAnsi="Times New Roman"/>
          <w:color w:val="000000" w:themeColor="text1"/>
          <w:sz w:val="16"/>
          <w:szCs w:val="16"/>
          <w:lang w:eastAsia="ru-RU"/>
        </w:rPr>
        <w:t>роховыми</w:t>
      </w:r>
      <w:proofErr w:type="spellEnd"/>
      <w:r w:rsidRPr="007122AB">
        <w:rPr>
          <w:rFonts w:ascii="Times New Roman" w:eastAsia="Times New Roman" w:hAnsi="Times New Roman"/>
          <w:color w:val="000000" w:themeColor="text1"/>
          <w:sz w:val="16"/>
          <w:szCs w:val="16"/>
          <w:lang w:eastAsia="ru-RU"/>
        </w:rPr>
        <w:t xml:space="preserve"> ракетными ускорителями. Время разбега У-1 было всего 1,5 с. Эти опыты проводились в СССР впервые.</w:t>
      </w:r>
    </w:p>
    <w:p w14:paraId="5A3D2AAA" w14:textId="77777777" w:rsidR="0033769F" w:rsidRPr="007122AB" w:rsidRDefault="0033769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После успешных опытов с самолетом У-1 в 1931 г. было ре </w:t>
      </w:r>
      <w:proofErr w:type="spellStart"/>
      <w:r w:rsidRPr="007122AB">
        <w:rPr>
          <w:rFonts w:ascii="Times New Roman" w:eastAsia="Times New Roman" w:hAnsi="Times New Roman"/>
          <w:color w:val="000000" w:themeColor="text1"/>
          <w:sz w:val="16"/>
          <w:szCs w:val="16"/>
          <w:lang w:eastAsia="ru-RU"/>
        </w:rPr>
        <w:t>шено</w:t>
      </w:r>
      <w:proofErr w:type="spellEnd"/>
      <w:r w:rsidRPr="007122AB">
        <w:rPr>
          <w:rFonts w:ascii="Times New Roman" w:eastAsia="Times New Roman" w:hAnsi="Times New Roman"/>
          <w:color w:val="000000" w:themeColor="text1"/>
          <w:sz w:val="16"/>
          <w:szCs w:val="16"/>
          <w:lang w:eastAsia="ru-RU"/>
        </w:rPr>
        <w:t xml:space="preserve"> установить стартовые ракеты на более тяжелый самолет ТБ-1 (масса 7 т). В течение 1931—1933 гг. велись </w:t>
      </w:r>
      <w:proofErr w:type="spellStart"/>
      <w:r w:rsidRPr="007122AB">
        <w:rPr>
          <w:rFonts w:ascii="Times New Roman" w:eastAsia="Times New Roman" w:hAnsi="Times New Roman"/>
          <w:color w:val="000000" w:themeColor="text1"/>
          <w:sz w:val="16"/>
          <w:szCs w:val="16"/>
          <w:lang w:eastAsia="ru-RU"/>
        </w:rPr>
        <w:t>теоретичес</w:t>
      </w:r>
      <w:proofErr w:type="spellEnd"/>
      <w:r w:rsidRPr="007122AB">
        <w:rPr>
          <w:rFonts w:ascii="Times New Roman" w:eastAsia="Times New Roman" w:hAnsi="Times New Roman"/>
          <w:color w:val="000000" w:themeColor="text1"/>
          <w:sz w:val="16"/>
          <w:szCs w:val="16"/>
          <w:lang w:eastAsia="ru-RU"/>
        </w:rPr>
        <w:t xml:space="preserve"> кие и экспериментальные работы по выбору оптимальных раз меров ракет и мест их установки, по динамике разгона </w:t>
      </w:r>
      <w:proofErr w:type="spellStart"/>
      <w:r w:rsidRPr="007122AB">
        <w:rPr>
          <w:rFonts w:ascii="Times New Roman" w:eastAsia="Times New Roman" w:hAnsi="Times New Roman"/>
          <w:color w:val="000000" w:themeColor="text1"/>
          <w:sz w:val="16"/>
          <w:szCs w:val="16"/>
          <w:lang w:eastAsia="ru-RU"/>
        </w:rPr>
        <w:t>самоле</w:t>
      </w:r>
      <w:proofErr w:type="spellEnd"/>
      <w:r w:rsidRPr="007122AB">
        <w:rPr>
          <w:rFonts w:ascii="Times New Roman" w:eastAsia="Times New Roman" w:hAnsi="Times New Roman"/>
          <w:color w:val="000000" w:themeColor="text1"/>
          <w:sz w:val="16"/>
          <w:szCs w:val="16"/>
          <w:lang w:eastAsia="ru-RU"/>
        </w:rPr>
        <w:t xml:space="preserve"> та, упрочнению конструкции и т.д. (19586).</w:t>
      </w:r>
    </w:p>
    <w:p w14:paraId="779AB01E" w14:textId="77777777" w:rsidR="0033769F" w:rsidRPr="007122AB" w:rsidRDefault="0033769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4637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началась постройка автожира ЭА-4 с М-26 (1017,277).</w:t>
      </w:r>
    </w:p>
    <w:p w14:paraId="762B6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B397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прошел 50-часовое испытание мотор М-15 24 завода, но т.к. гос. испытаний не было был запущен в серию для ГВФ (3029,205).</w:t>
      </w:r>
    </w:p>
    <w:p w14:paraId="79C2D0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1C114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 июне 1931 г. М-19 Облетывался на самолете Р-5. Готовился к серийному производству на заводе № 24. С февраля 1930 г. делалась малая серия из 10 экз.</w:t>
      </w:r>
    </w:p>
    <w:p w14:paraId="27365E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6BD7B2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4CF71E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в зависимости от модификации;</w:t>
      </w:r>
    </w:p>
    <w:p w14:paraId="3F69A6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6,4;</w:t>
      </w:r>
    </w:p>
    <w:p w14:paraId="531770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135/160 мм;</w:t>
      </w:r>
    </w:p>
    <w:p w14:paraId="4538F6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27,47 л;</w:t>
      </w:r>
    </w:p>
    <w:p w14:paraId="355844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6,4;</w:t>
      </w:r>
    </w:p>
    <w:p w14:paraId="163F96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 с ПЦН;</w:t>
      </w:r>
    </w:p>
    <w:p w14:paraId="207EB1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3761E5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М-19 (М-19К), основной вариант мощностью 500/600 л.с. (фактиче</w:t>
      </w:r>
      <w:r w:rsidRPr="007122AB">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7122AB">
        <w:rPr>
          <w:rFonts w:ascii="Times New Roman" w:hAnsi="Times New Roman"/>
          <w:color w:val="000000" w:themeColor="text1"/>
          <w:sz w:val="16"/>
          <w:szCs w:val="16"/>
        </w:rPr>
        <w:softHyphen/>
        <w:t>метра) крыльчаткой ПЦН.</w:t>
      </w:r>
    </w:p>
    <w:p w14:paraId="41AA40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М-19а, усовершенствованный вариант мощностью 600/650 л.с. с но</w:t>
      </w:r>
      <w:r w:rsidRPr="007122AB">
        <w:rPr>
          <w:rFonts w:ascii="Times New Roman" w:hAnsi="Times New Roman"/>
          <w:color w:val="000000" w:themeColor="text1"/>
          <w:sz w:val="16"/>
          <w:szCs w:val="16"/>
        </w:rPr>
        <w:softHyphen/>
        <w:t>вым блоком головок и измененным механизмом привода ПЦН. Про</w:t>
      </w:r>
      <w:r w:rsidRPr="007122AB">
        <w:rPr>
          <w:rFonts w:ascii="Times New Roman" w:hAnsi="Times New Roman"/>
          <w:color w:val="000000" w:themeColor="text1"/>
          <w:sz w:val="16"/>
          <w:szCs w:val="16"/>
        </w:rPr>
        <w:softHyphen/>
        <w:t>ектировался в ИАМ в 1931 г., опытный образец не изготавливался.</w:t>
      </w:r>
    </w:p>
    <w:p w14:paraId="3B678C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0E77DF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Планировались варианты с редуктором, двухскоростным и </w:t>
      </w:r>
      <w:proofErr w:type="spellStart"/>
      <w:r w:rsidRPr="007122AB">
        <w:rPr>
          <w:rFonts w:ascii="Times New Roman" w:hAnsi="Times New Roman"/>
          <w:color w:val="000000" w:themeColor="text1"/>
          <w:sz w:val="16"/>
          <w:szCs w:val="16"/>
        </w:rPr>
        <w:t>трехскорост-ным</w:t>
      </w:r>
      <w:proofErr w:type="spellEnd"/>
      <w:r w:rsidRPr="007122AB">
        <w:rPr>
          <w:rFonts w:ascii="Times New Roman" w:hAnsi="Times New Roman"/>
          <w:color w:val="000000" w:themeColor="text1"/>
          <w:sz w:val="16"/>
          <w:szCs w:val="16"/>
        </w:rPr>
        <w:t xml:space="preserve"> ПЦН.</w:t>
      </w:r>
    </w:p>
    <w:p w14:paraId="27CBC1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Устанавливался на одном из опытных образцов самолета Р-5. Предла</w:t>
      </w:r>
      <w:r w:rsidRPr="007122AB">
        <w:rPr>
          <w:rFonts w:ascii="Times New Roman" w:hAnsi="Times New Roman"/>
          <w:color w:val="000000" w:themeColor="text1"/>
          <w:sz w:val="16"/>
          <w:szCs w:val="16"/>
        </w:rPr>
        <w:softHyphen/>
        <w:t>галось также использовать его на истребителе ДИ-4 (11852).</w:t>
      </w:r>
    </w:p>
    <w:p w14:paraId="4EC4FE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728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проект М-38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7122AB">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231D6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7122AB">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3912B9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мощности двигателя заданию и превышения веса (по заданию не более 400 кг).</w:t>
      </w:r>
    </w:p>
    <w:p w14:paraId="1E65DF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452999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9-цилиндровый,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67F2F0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6DF335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проекту 570/600 л.с. (фактически получено 575 л.с.);</w:t>
      </w:r>
    </w:p>
    <w:p w14:paraId="265362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460 кг (по заданию 450 кг);</w:t>
      </w:r>
    </w:p>
    <w:p w14:paraId="67F176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135/160 мм;</w:t>
      </w:r>
    </w:p>
    <w:p w14:paraId="355C22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30,7 л;</w:t>
      </w:r>
    </w:p>
    <w:p w14:paraId="2A9921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Проектировались несколько модификаций:</w:t>
      </w:r>
    </w:p>
    <w:p w14:paraId="4FB820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 без редуктора и нагнетателя.</w:t>
      </w:r>
    </w:p>
    <w:p w14:paraId="65D005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М-38Н с односкоростным ПЦН.</w:t>
      </w:r>
    </w:p>
    <w:p w14:paraId="78688C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М-38Г (М-38Гр) для гражданских самолетов на базе М-38Н.</w:t>
      </w:r>
    </w:p>
    <w:p w14:paraId="5DE4E9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7122AB">
        <w:rPr>
          <w:rFonts w:ascii="Times New Roman" w:hAnsi="Times New Roman"/>
          <w:color w:val="000000" w:themeColor="text1"/>
          <w:sz w:val="16"/>
          <w:szCs w:val="16"/>
        </w:rPr>
        <w:softHyphen/>
        <w:t>ведчика КР-2 (11852).</w:t>
      </w:r>
    </w:p>
    <w:p w14:paraId="31E9F2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FE80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проект М-44 в основном был готов. Но в план опытных работ на 1932 г. двигатель внесли как второочередной, ожидая окончания до</w:t>
      </w:r>
      <w:r w:rsidRPr="007122AB">
        <w:rPr>
          <w:rFonts w:ascii="Times New Roman" w:hAnsi="Times New Roman"/>
          <w:color w:val="000000" w:themeColor="text1"/>
          <w:sz w:val="16"/>
          <w:szCs w:val="16"/>
        </w:rPr>
        <w:softHyphen/>
        <w:t>водки М-170/44. По мере проработки проекта М-44 изменялось задание — допустимый вес с 1500 кг поднялся до 1800 кг. Лишь с начала 1933 г. приступили к изготовлению опытных образцов двигателя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7122AB">
        <w:rPr>
          <w:rFonts w:ascii="Times New Roman" w:hAnsi="Times New Roman"/>
          <w:color w:val="000000" w:themeColor="text1"/>
          <w:sz w:val="16"/>
          <w:szCs w:val="16"/>
        </w:rPr>
        <w:softHyphen/>
        <w:t>дины 1936 г. Но его также не запустили в серийное производство.</w:t>
      </w:r>
    </w:p>
    <w:p w14:paraId="1CA6AB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7122AB">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410DF5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Существовали модификации:</w:t>
      </w:r>
    </w:p>
    <w:p w14:paraId="4F87DC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М-44, авиационный вариант. Изготовлен в двух экземплярах. Мощ</w:t>
      </w:r>
      <w:r w:rsidRPr="007122AB">
        <w:rPr>
          <w:rFonts w:ascii="Times New Roman" w:hAnsi="Times New Roman"/>
          <w:color w:val="000000" w:themeColor="text1"/>
          <w:sz w:val="16"/>
          <w:szCs w:val="16"/>
        </w:rPr>
        <w:softHyphen/>
        <w:t>ность 1700/2000 л.с., вес 1700 кг (по другим данным — 1800 кг).</w:t>
      </w:r>
    </w:p>
    <w:p w14:paraId="2A295C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FC3B0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616473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65A5AF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203928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.редукторный;</w:t>
      </w:r>
    </w:p>
    <w:p w14:paraId="4BD607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w:t>
      </w:r>
    </w:p>
    <w:p w14:paraId="6CFA49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222/286 мм;</w:t>
      </w:r>
    </w:p>
    <w:p w14:paraId="58D6A4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132,8 л;</w:t>
      </w:r>
    </w:p>
    <w:p w14:paraId="3D74C2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435917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03F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проект М-44, который разрабатывался с февраля 1931, в основном закончили; руководил работой Н.П. Сердюков. Однако изготовление опытных образцов задержали, поскольку хотели в максимальной степени отладить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-поршневую группу, испытывая ее на М-170/44. Интересно, что в плане института на 1932 г. работа по М-44 числилась "второочередной".</w:t>
      </w:r>
    </w:p>
    <w:p w14:paraId="5AC94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76B82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12A7BE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48517A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78E2C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CE03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недалеко от дирижаблестроительной верфи был заложен Газовый завод для заправки дирижаблей водородом (Завод № 244 НКХП, Газовый завод, </w:t>
      </w:r>
      <w:proofErr w:type="spellStart"/>
      <w:r w:rsidRPr="007122AB">
        <w:rPr>
          <w:rFonts w:ascii="Times New Roman" w:hAnsi="Times New Roman"/>
          <w:color w:val="000000" w:themeColor="text1"/>
          <w:sz w:val="16"/>
          <w:szCs w:val="16"/>
        </w:rPr>
        <w:t>Долгопрудненский</w:t>
      </w:r>
      <w:proofErr w:type="spellEnd"/>
      <w:r w:rsidRPr="007122AB">
        <w:rPr>
          <w:rFonts w:ascii="Times New Roman" w:hAnsi="Times New Roman"/>
          <w:color w:val="000000" w:themeColor="text1"/>
          <w:sz w:val="16"/>
          <w:szCs w:val="16"/>
        </w:rPr>
        <w:t xml:space="preserve"> Химический Завод Тонкого Органического Синтеза (ДХЗ ТОС), Экспериментальный завод красителей (ГС ЭЗК), ОАО «ПО «Тонкий органический синтез» /пос.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 г. Долгопрудный Московской обл. Лихачевское ш., 5/), пущен в эксплуатацию в 09.1937 г. После начала войны, возможно, эвакуирован.</w:t>
      </w:r>
    </w:p>
    <w:p w14:paraId="306B4F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1943 г. - завод № 244 НКХП, в 1947 г. переименован в ГС Экспериментальный завод Красителей (ГС ЭЗК). В 1951 г. ГС ЭЗК переименован в ДХЗТОС.</w:t>
      </w:r>
    </w:p>
    <w:p w14:paraId="1FC49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войны начата организация производства органических красителей для текстильной промышленности, с 1947 г. завод начал переходить на выпуск химикатов для черно-белой кино- , </w:t>
      </w:r>
      <w:proofErr w:type="spellStart"/>
      <w:r w:rsidRPr="007122AB">
        <w:rPr>
          <w:rFonts w:ascii="Times New Roman" w:hAnsi="Times New Roman"/>
          <w:color w:val="000000" w:themeColor="text1"/>
          <w:sz w:val="16"/>
          <w:szCs w:val="16"/>
        </w:rPr>
        <w:t>фотопромышленности</w:t>
      </w:r>
      <w:proofErr w:type="spellEnd"/>
      <w:r w:rsidRPr="007122AB">
        <w:rPr>
          <w:rFonts w:ascii="Times New Roman" w:hAnsi="Times New Roman"/>
          <w:color w:val="000000" w:themeColor="text1"/>
          <w:sz w:val="16"/>
          <w:szCs w:val="16"/>
        </w:rPr>
        <w:t>. В 1953 г. ?</w:t>
      </w:r>
      <w:proofErr w:type="spellStart"/>
      <w:r w:rsidRPr="007122AB">
        <w:rPr>
          <w:rFonts w:ascii="Times New Roman" w:hAnsi="Times New Roman"/>
          <w:color w:val="000000" w:themeColor="text1"/>
          <w:sz w:val="16"/>
          <w:szCs w:val="16"/>
        </w:rPr>
        <w:t>ошли</w:t>
      </w:r>
      <w:proofErr w:type="spellEnd"/>
      <w:r w:rsidRPr="007122AB">
        <w:rPr>
          <w:rFonts w:ascii="Times New Roman" w:hAnsi="Times New Roman"/>
          <w:color w:val="000000" w:themeColor="text1"/>
          <w:sz w:val="16"/>
          <w:szCs w:val="16"/>
        </w:rPr>
        <w:t xml:space="preserve"> в строй три основных цеха. В 1967 г. пущен цех для цветной кино-, </w:t>
      </w:r>
      <w:proofErr w:type="spellStart"/>
      <w:r w:rsidRPr="007122AB">
        <w:rPr>
          <w:rFonts w:ascii="Times New Roman" w:hAnsi="Times New Roman"/>
          <w:color w:val="000000" w:themeColor="text1"/>
          <w:sz w:val="16"/>
          <w:szCs w:val="16"/>
        </w:rPr>
        <w:t>фотопромышленности</w:t>
      </w:r>
      <w:proofErr w:type="spellEnd"/>
      <w:r w:rsidRPr="007122AB">
        <w:rPr>
          <w:rFonts w:ascii="Times New Roman" w:hAnsi="Times New Roman"/>
          <w:color w:val="000000" w:themeColor="text1"/>
          <w:sz w:val="16"/>
          <w:szCs w:val="16"/>
        </w:rPr>
        <w:t xml:space="preserve">. К 1979 г. завод </w:t>
      </w:r>
      <w:proofErr w:type="spellStart"/>
      <w:r w:rsidRPr="007122AB">
        <w:rPr>
          <w:rFonts w:ascii="Times New Roman" w:hAnsi="Times New Roman"/>
          <w:color w:val="000000" w:themeColor="text1"/>
          <w:sz w:val="16"/>
          <w:szCs w:val="16"/>
        </w:rPr>
        <w:t>ишускал</w:t>
      </w:r>
      <w:proofErr w:type="spellEnd"/>
      <w:r w:rsidRPr="007122AB">
        <w:rPr>
          <w:rFonts w:ascii="Times New Roman" w:hAnsi="Times New Roman"/>
          <w:color w:val="000000" w:themeColor="text1"/>
          <w:sz w:val="16"/>
          <w:szCs w:val="16"/>
        </w:rPr>
        <w:t xml:space="preserve"> более 80 наименований продукции для 600 предприятий текстильной, полиграфической, горнорудной, медицинской, металлургической и </w:t>
      </w:r>
      <w:proofErr w:type="spellStart"/>
      <w:r w:rsidRPr="007122AB">
        <w:rPr>
          <w:rFonts w:ascii="Times New Roman" w:hAnsi="Times New Roman"/>
          <w:color w:val="000000" w:themeColor="text1"/>
          <w:sz w:val="16"/>
          <w:szCs w:val="16"/>
        </w:rPr>
        <w:t>кинофотопромышленноста</w:t>
      </w:r>
      <w:proofErr w:type="spellEnd"/>
      <w:r w:rsidRPr="007122AB">
        <w:rPr>
          <w:rFonts w:ascii="Times New Roman" w:hAnsi="Times New Roman"/>
          <w:color w:val="000000" w:themeColor="text1"/>
          <w:sz w:val="16"/>
          <w:szCs w:val="16"/>
        </w:rPr>
        <w:t xml:space="preserve"> (11982).</w:t>
      </w:r>
    </w:p>
    <w:p w14:paraId="54103E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ADED95" w14:textId="77777777" w:rsidR="00A4352B" w:rsidRPr="007122AB" w:rsidRDefault="00A435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был подписан предварительный договор между ВО ГВФ и «</w:t>
      </w:r>
      <w:proofErr w:type="spellStart"/>
      <w:r w:rsidRPr="007122AB">
        <w:rPr>
          <w:rFonts w:ascii="Times New Roman" w:hAnsi="Times New Roman"/>
          <w:color w:val="000000" w:themeColor="text1"/>
          <w:sz w:val="16"/>
          <w:szCs w:val="16"/>
        </w:rPr>
        <w:t>Люфтшифбау</w:t>
      </w:r>
      <w:proofErr w:type="spellEnd"/>
      <w:r w:rsidRPr="007122AB">
        <w:rPr>
          <w:rFonts w:ascii="Times New Roman" w:hAnsi="Times New Roman"/>
          <w:color w:val="000000" w:themeColor="text1"/>
          <w:sz w:val="16"/>
          <w:szCs w:val="16"/>
        </w:rPr>
        <w:t xml:space="preserve"> Цеппе</w:t>
      </w:r>
      <w:r w:rsidRPr="007122AB">
        <w:rPr>
          <w:rFonts w:ascii="Times New Roman" w:hAnsi="Times New Roman"/>
          <w:color w:val="000000" w:themeColor="text1"/>
          <w:sz w:val="16"/>
          <w:szCs w:val="16"/>
        </w:rPr>
        <w:softHyphen/>
        <w:t>лин», предусматривавший постройку дирижабля в 30 000-40 000 м3, а затем дирижабля ёмкостью 150 000-200 000 м3, сооружение и оборудование воздухоплавательной верфи в СССР, производ</w:t>
      </w:r>
      <w:r w:rsidRPr="007122AB">
        <w:rPr>
          <w:rFonts w:ascii="Times New Roman" w:hAnsi="Times New Roman"/>
          <w:color w:val="000000" w:themeColor="text1"/>
          <w:sz w:val="16"/>
          <w:szCs w:val="16"/>
        </w:rPr>
        <w:softHyphen/>
        <w:t>ство современных моторов для дирижаблей. Фирма в течение пяти лет, считая от подписания договора, обязывалась предоставлять все свои патенты по дирижаблестроению. За это и за ди</w:t>
      </w:r>
      <w:r w:rsidRPr="007122AB">
        <w:rPr>
          <w:rFonts w:ascii="Times New Roman" w:hAnsi="Times New Roman"/>
          <w:color w:val="000000" w:themeColor="text1"/>
          <w:sz w:val="16"/>
          <w:szCs w:val="16"/>
        </w:rPr>
        <w:softHyphen/>
        <w:t>рижабль в 30 000-40 000 м3 советская сторона должна была уплатить 5 млн германских марок. Однако отчёт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за 1931 г. кон</w:t>
      </w:r>
      <w:r w:rsidRPr="007122AB">
        <w:rPr>
          <w:rFonts w:ascii="Times New Roman" w:hAnsi="Times New Roman"/>
          <w:color w:val="000000" w:themeColor="text1"/>
          <w:sz w:val="16"/>
          <w:szCs w:val="16"/>
        </w:rPr>
        <w:softHyphen/>
        <w:t>статировал: «Если принять во внимание то рве</w:t>
      </w:r>
      <w:r w:rsidRPr="007122AB">
        <w:rPr>
          <w:rFonts w:ascii="Times New Roman" w:hAnsi="Times New Roman"/>
          <w:color w:val="000000" w:themeColor="text1"/>
          <w:sz w:val="16"/>
          <w:szCs w:val="16"/>
        </w:rPr>
        <w:softHyphen/>
        <w:t>ние, с которым фирма Цеппелин начала вести переговоры и те проволочки, которые сейчас по вине фирмы происходят, то следует умоза</w:t>
      </w:r>
      <w:r w:rsidRPr="007122AB">
        <w:rPr>
          <w:rFonts w:ascii="Times New Roman" w:hAnsi="Times New Roman"/>
          <w:color w:val="000000" w:themeColor="text1"/>
          <w:sz w:val="16"/>
          <w:szCs w:val="16"/>
        </w:rPr>
        <w:softHyphen/>
        <w:t>ключение, что в настоящее время фирма созна</w:t>
      </w:r>
      <w:r w:rsidRPr="007122AB">
        <w:rPr>
          <w:rFonts w:ascii="Times New Roman" w:hAnsi="Times New Roman"/>
          <w:color w:val="000000" w:themeColor="text1"/>
          <w:sz w:val="16"/>
          <w:szCs w:val="16"/>
        </w:rPr>
        <w:softHyphen/>
        <w:t>тельно задерживает окончание переговоров». Тем не менее, в разработанной в 1932 г. про</w:t>
      </w:r>
      <w:r w:rsidRPr="007122AB">
        <w:rPr>
          <w:rFonts w:ascii="Times New Roman" w:hAnsi="Times New Roman"/>
          <w:color w:val="000000" w:themeColor="text1"/>
          <w:sz w:val="16"/>
          <w:szCs w:val="16"/>
        </w:rPr>
        <w:softHyphen/>
        <w:t>грамме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на вторую пятилетку намечалось до 1937 г. построить при немецкой техпомощи пять жёстких дирижаблей объёмом 125 000 м3, а также приступить к изготовлению дирижабля объёмом 200 000 м3 (20120).</w:t>
      </w:r>
    </w:p>
    <w:p w14:paraId="6C803296" w14:textId="77777777" w:rsidR="00A4352B" w:rsidRPr="007122AB" w:rsidRDefault="00A4352B" w:rsidP="007122AB">
      <w:pPr>
        <w:spacing w:after="0" w:line="240" w:lineRule="auto"/>
        <w:jc w:val="both"/>
        <w:rPr>
          <w:rFonts w:ascii="Times New Roman" w:hAnsi="Times New Roman"/>
          <w:color w:val="000000" w:themeColor="text1"/>
          <w:sz w:val="16"/>
          <w:szCs w:val="16"/>
        </w:rPr>
      </w:pPr>
    </w:p>
    <w:p w14:paraId="0E381A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первыми серийные изделия ВАП-4, сделанные на заводе "Вулкан", получила 56-я эскадрилья3-й авиабригады в Гомеле. Прибор ВАП-4 </w:t>
      </w:r>
      <w:proofErr w:type="spellStart"/>
      <w:r w:rsidRPr="007122AB">
        <w:rPr>
          <w:rFonts w:ascii="Times New Roman" w:hAnsi="Times New Roman"/>
          <w:color w:val="000000" w:themeColor="text1"/>
          <w:sz w:val="16"/>
          <w:szCs w:val="16"/>
        </w:rPr>
        <w:t>обеспечивад</w:t>
      </w:r>
      <w:proofErr w:type="spellEnd"/>
      <w:r w:rsidRPr="007122AB">
        <w:rPr>
          <w:rFonts w:ascii="Times New Roman" w:hAnsi="Times New Roman"/>
          <w:color w:val="000000" w:themeColor="text1"/>
          <w:sz w:val="16"/>
          <w:szCs w:val="16"/>
        </w:rPr>
        <w:t xml:space="preserve"> постепенный слив. Он имел сварной каплевидный корпус из железа длиной немного больше метра. В нем умещались 82 л раствора. Снизу бак имел три ножки, они же ручки для переноски. В действие он приводился тросом от бомбосбрасывателя СБР-8. Механизм одновременно открывал передний люк и сливную горловину. Жидкость вытеснялось напором набегающего потока - для этого и нужен был передний люк. Расход раствора мог изменяться сменой насадок на сливной горловине. Над ней размещался щиток, защищающий сам самолет от ядовитых брызг. После слива прибор закрывался. ВАП-4 подвешивался на бомбодержателях Дер-7 под крылом, но не штатных ухватах, а на хомутах. Р-1 нес два ВАП-4, подвеска которых немного ограничивала маневренность. В том же году провели модернизацию ВАП-4: улучшили характеристики разбрызгивания раствора и предусмотрели сброс прибора при отказе механизма открывания. В последнем случае он превращался в химическую бомбу. ВАП-4 надолго стал самым распространенным выливным прибором в нашей авиации (11931).</w:t>
      </w:r>
    </w:p>
    <w:p w14:paraId="196F4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C82B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Правда писала: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 а ГК по опытному самолетостроению Д.П.Г., раскаявшегося в своих прежних поступках и годичной работой доказавшего на деле свое раскаяние, - грамотой ЦИК и денежной наградой в 10000 руб..." (2692,5).</w:t>
      </w:r>
    </w:p>
    <w:p w14:paraId="633FC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2370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газета "Правда" писала: "Амнистировать нижеследующих конструкторов - бывших вредителей, приговорённых коллегией ОГПУ к различным мерам социальной защиты, с одновременным их награждением, а главного конструктора по опытному самолётостроению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 (12005).</w:t>
      </w:r>
    </w:p>
    <w:p w14:paraId="67914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B3D1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Где-то в мае 1931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был назначен начальников УВВС (1053,38).</w:t>
      </w:r>
    </w:p>
    <w:p w14:paraId="2977E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CEA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НИИ ВВС предложил организовать в составе 9-й авиабригады на ЧМ "торпедную ячейку" из двух ТБ-1, использовав машину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и один ВВС и 25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согласился (561,5).</w:t>
      </w:r>
    </w:p>
    <w:p w14:paraId="4F3FB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FE2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был подписан проект соглашения Объединения ГА с </w:t>
      </w:r>
      <w:proofErr w:type="spellStart"/>
      <w:r w:rsidRPr="007122AB">
        <w:rPr>
          <w:rFonts w:ascii="Times New Roman" w:hAnsi="Times New Roman"/>
          <w:color w:val="000000" w:themeColor="text1"/>
          <w:sz w:val="16"/>
          <w:szCs w:val="16"/>
        </w:rPr>
        <w:t>Люфтшифтбау</w:t>
      </w:r>
      <w:proofErr w:type="spellEnd"/>
      <w:r w:rsidRPr="007122AB">
        <w:rPr>
          <w:rFonts w:ascii="Times New Roman" w:hAnsi="Times New Roman"/>
          <w:color w:val="000000" w:themeColor="text1"/>
          <w:sz w:val="16"/>
          <w:szCs w:val="16"/>
        </w:rPr>
        <w:t xml:space="preserve"> Цеппелин о сотрудничестве, который должен был быть ратифицирован правительствами Германии и России. Хотели построить один дирижабль в 30-40 тыс. кубометров в Германии, а затем в 150-200 тыс. в России и верфь со всеми принадлежностями. Мы обещали заплатить за все + малый дирижабль 5 млн. марок. С предложением о сотрудничестве обращалась и фирма Общество воздушных судов - б. </w:t>
      </w:r>
      <w:proofErr w:type="spellStart"/>
      <w:r w:rsidRPr="007122AB">
        <w:rPr>
          <w:rFonts w:ascii="Times New Roman" w:hAnsi="Times New Roman"/>
          <w:color w:val="000000" w:themeColor="text1"/>
          <w:sz w:val="16"/>
          <w:szCs w:val="16"/>
        </w:rPr>
        <w:t>Персифаль</w:t>
      </w:r>
      <w:proofErr w:type="spellEnd"/>
      <w:r w:rsidRPr="007122AB">
        <w:rPr>
          <w:rFonts w:ascii="Times New Roman" w:hAnsi="Times New Roman"/>
          <w:color w:val="000000" w:themeColor="text1"/>
          <w:sz w:val="16"/>
          <w:szCs w:val="16"/>
        </w:rPr>
        <w:t xml:space="preserve">, но для постройки полужесткого дирижабля решили пригласить </w:t>
      </w:r>
      <w:proofErr w:type="spellStart"/>
      <w:r w:rsidRPr="007122AB">
        <w:rPr>
          <w:rFonts w:ascii="Times New Roman" w:hAnsi="Times New Roman"/>
          <w:color w:val="000000" w:themeColor="text1"/>
          <w:sz w:val="16"/>
          <w:szCs w:val="16"/>
        </w:rPr>
        <w:t>У.Нобиле</w:t>
      </w:r>
      <w:proofErr w:type="spellEnd"/>
      <w:r w:rsidRPr="007122AB">
        <w:rPr>
          <w:rFonts w:ascii="Times New Roman" w:hAnsi="Times New Roman"/>
          <w:color w:val="000000" w:themeColor="text1"/>
          <w:sz w:val="16"/>
          <w:szCs w:val="16"/>
        </w:rPr>
        <w:t xml:space="preserve"> (1795,29).</w:t>
      </w:r>
    </w:p>
    <w:p w14:paraId="054B6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7A5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в Евпатории вновь испытывались аппараты и Майзеля. И Соколов-Соколенок докладывал Нач. НИИ ВВС: “...необходимо самым экстренным порядком начать развивать </w:t>
      </w:r>
      <w:proofErr w:type="spellStart"/>
      <w:r w:rsidRPr="007122AB">
        <w:rPr>
          <w:rFonts w:ascii="Times New Roman" w:hAnsi="Times New Roman"/>
          <w:color w:val="000000" w:themeColor="text1"/>
          <w:sz w:val="16"/>
          <w:szCs w:val="16"/>
        </w:rPr>
        <w:t>ЗАМы</w:t>
      </w:r>
      <w:proofErr w:type="spellEnd"/>
      <w:r w:rsidRPr="007122AB">
        <w:rPr>
          <w:rFonts w:ascii="Times New Roman" w:hAnsi="Times New Roman"/>
          <w:color w:val="000000" w:themeColor="text1"/>
          <w:sz w:val="16"/>
          <w:szCs w:val="16"/>
        </w:rPr>
        <w:t xml:space="preserve">, повышая их вес и разрабатывая к ним различного рода взрыватели и радиоуправление; ближайшая задача - перенос по воздуху не 25 кг, а 250 кг ВВ. В качестве </w:t>
      </w:r>
      <w:proofErr w:type="spellStart"/>
      <w:r w:rsidRPr="007122AB">
        <w:rPr>
          <w:rFonts w:ascii="Times New Roman" w:hAnsi="Times New Roman"/>
          <w:color w:val="000000" w:themeColor="text1"/>
          <w:sz w:val="16"/>
          <w:szCs w:val="16"/>
        </w:rPr>
        <w:t>ЗАМоносца</w:t>
      </w:r>
      <w:proofErr w:type="spellEnd"/>
      <w:r w:rsidRPr="007122AB">
        <w:rPr>
          <w:rFonts w:ascii="Times New Roman" w:hAnsi="Times New Roman"/>
          <w:color w:val="000000" w:themeColor="text1"/>
          <w:sz w:val="16"/>
          <w:szCs w:val="16"/>
        </w:rPr>
        <w:t xml:space="preserve"> предлагал использовать Р-3 и Р-6 для стрельбы по вражеским самолетам с 500-1000 м, а </w:t>
      </w:r>
      <w:proofErr w:type="spellStart"/>
      <w:r w:rsidRPr="007122AB">
        <w:rPr>
          <w:rFonts w:ascii="Times New Roman" w:hAnsi="Times New Roman"/>
          <w:color w:val="000000" w:themeColor="text1"/>
          <w:sz w:val="16"/>
          <w:szCs w:val="16"/>
        </w:rPr>
        <w:t>ддля</w:t>
      </w:r>
      <w:proofErr w:type="spellEnd"/>
      <w:r w:rsidRPr="007122AB">
        <w:rPr>
          <w:rFonts w:ascii="Times New Roman" w:hAnsi="Times New Roman"/>
          <w:color w:val="000000" w:themeColor="text1"/>
          <w:sz w:val="16"/>
          <w:szCs w:val="16"/>
        </w:rPr>
        <w:t xml:space="preserve"> ПБМ - ТБ-3 (8908,36).</w:t>
      </w:r>
    </w:p>
    <w:p w14:paraId="485ECF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4873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звено «новоиспеченных» разведчиков отправилось в Тегеран, где в соревновании с французскими, голландскими и английскими образцами Р-5 был признан наилучшим самолетом (5016).</w:t>
      </w:r>
    </w:p>
    <w:p w14:paraId="0E95D6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4351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мая 1931 года по решению Совета Народных комиссаров (СНК СССР) силами ЦС Осоавиахима вблизи ж/д. ст.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xml:space="preserve"> в 18 км. от Москвы началось строительство первой опытной дирижаблестроительной базы в СССР. Одновременно 25 апреля 1931 года Совет Труда и Обороны при СНК СССР принимают "Постановление о создании "Базы опытного строительства и эксплуатации дирижаблей" - (БОСЭД) в Гражданском воздушном флоте. Такая база была основана в Москве 18 августа 1931 года в системе ГВФ. Первым ее начальником был назначен Павел Мартынович </w:t>
      </w:r>
      <w:proofErr w:type="spellStart"/>
      <w:r w:rsidRPr="007122AB">
        <w:rPr>
          <w:rFonts w:ascii="Times New Roman" w:hAnsi="Times New Roman"/>
          <w:color w:val="000000" w:themeColor="text1"/>
          <w:sz w:val="16"/>
          <w:szCs w:val="16"/>
        </w:rPr>
        <w:t>Пурмаль</w:t>
      </w:r>
      <w:proofErr w:type="spellEnd"/>
      <w:r w:rsidRPr="007122AB">
        <w:rPr>
          <w:rFonts w:ascii="Times New Roman" w:hAnsi="Times New Roman"/>
          <w:color w:val="000000" w:themeColor="text1"/>
          <w:sz w:val="16"/>
          <w:szCs w:val="16"/>
        </w:rPr>
        <w:t>. Уже в декабре 1931 года БОСЭД была переименована в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задачей которого являлось проектирование дирижаблей, организация портов и воздушных линий, подготовка кадров по строительству и эксплуатации дирижаблей. Когда 25 февраля 1932 года ВОГВФ преобразовали в Главное управление ГВФ (ГУГВФ),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стал называться "Научно-исследовательский комбинат по опытному строительству и эксплуатации дирижаблей". </w:t>
      </w:r>
    </w:p>
    <w:p w14:paraId="228FF7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произошло слияние Воздухоплавательной базы Осоавиахима и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Долгопрудной</w:t>
      </w:r>
      <w:proofErr w:type="spellEnd"/>
      <w:r w:rsidRPr="007122AB">
        <w:rPr>
          <w:rFonts w:ascii="Times New Roman" w:hAnsi="Times New Roman"/>
          <w:color w:val="000000" w:themeColor="text1"/>
          <w:sz w:val="16"/>
          <w:szCs w:val="16"/>
        </w:rPr>
        <w:t xml:space="preserve">. В 1933 г. база частично введена в эксплуатацию. В .3.1934 г. территория была увеличена еще более чем вдвое. Строился аэродром. Один из цехов размещался на ул. </w:t>
      </w:r>
      <w:proofErr w:type="spellStart"/>
      <w:r w:rsidRPr="007122AB">
        <w:rPr>
          <w:rFonts w:ascii="Times New Roman" w:hAnsi="Times New Roman"/>
          <w:color w:val="000000" w:themeColor="text1"/>
          <w:sz w:val="16"/>
          <w:szCs w:val="16"/>
        </w:rPr>
        <w:t>Б.Никитской</w:t>
      </w:r>
      <w:proofErr w:type="spellEnd"/>
      <w:r w:rsidRPr="007122AB">
        <w:rPr>
          <w:rFonts w:ascii="Times New Roman" w:hAnsi="Times New Roman"/>
          <w:color w:val="000000" w:themeColor="text1"/>
          <w:sz w:val="16"/>
          <w:szCs w:val="16"/>
        </w:rPr>
        <w:t xml:space="preserve"> (на 1933 г.). </w:t>
      </w:r>
    </w:p>
    <w:p w14:paraId="080C9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исполнение приказа НКТП №287 от 21.8.36 г. производственная часть предприятия со всеми сооружениями и личным составом была выделена и передана из ГВФ в систему 1ГУ ГУАП НКТП и получила наименование завод №207 по пр-ву дирижаблей. Эксплуатационная часть осталась в составе ГВФ как Управление Воздухоплавания. Акт разделения юридически не оформлялся. </w:t>
      </w:r>
    </w:p>
    <w:p w14:paraId="66427E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НИО и КБ-4 завода №207 (КБ-207 руководил </w:t>
      </w:r>
      <w:proofErr w:type="spellStart"/>
      <w:r w:rsidRPr="007122AB">
        <w:rPr>
          <w:rFonts w:ascii="Times New Roman" w:hAnsi="Times New Roman"/>
          <w:color w:val="000000" w:themeColor="text1"/>
          <w:sz w:val="16"/>
          <w:szCs w:val="16"/>
        </w:rPr>
        <w:t>А.И.Путилов</w:t>
      </w:r>
      <w:proofErr w:type="spellEnd"/>
      <w:r w:rsidRPr="007122AB">
        <w:rPr>
          <w:rFonts w:ascii="Times New Roman" w:hAnsi="Times New Roman"/>
          <w:color w:val="000000" w:themeColor="text1"/>
          <w:sz w:val="16"/>
          <w:szCs w:val="16"/>
        </w:rPr>
        <w:t xml:space="preserve">)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А.И.Путилова</w:t>
      </w:r>
      <w:proofErr w:type="spellEnd"/>
      <w:r w:rsidRPr="007122AB">
        <w:rPr>
          <w:rFonts w:ascii="Times New Roman" w:hAnsi="Times New Roman"/>
          <w:color w:val="000000" w:themeColor="text1"/>
          <w:sz w:val="16"/>
          <w:szCs w:val="16"/>
        </w:rPr>
        <w:t xml:space="preserve"> (он же </w:t>
      </w:r>
      <w:proofErr w:type="spellStart"/>
      <w:r w:rsidRPr="007122AB">
        <w:rPr>
          <w:rFonts w:ascii="Times New Roman" w:hAnsi="Times New Roman"/>
          <w:color w:val="000000" w:themeColor="text1"/>
          <w:sz w:val="16"/>
          <w:szCs w:val="16"/>
        </w:rPr>
        <w:t>гл.инж</w:t>
      </w:r>
      <w:proofErr w:type="spellEnd"/>
      <w:r w:rsidRPr="007122AB">
        <w:rPr>
          <w:rFonts w:ascii="Times New Roman" w:hAnsi="Times New Roman"/>
          <w:color w:val="000000" w:themeColor="text1"/>
          <w:sz w:val="16"/>
          <w:szCs w:val="16"/>
        </w:rPr>
        <w:t xml:space="preserve">. завода, он переведен в .1.37 г. с завода №81, с 1939 г. переведен в ОКБ-22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В.М.Петлякова</w:t>
      </w:r>
      <w:proofErr w:type="spellEnd"/>
      <w:r w:rsidRPr="007122AB">
        <w:rPr>
          <w:rFonts w:ascii="Times New Roman" w:hAnsi="Times New Roman"/>
          <w:color w:val="000000" w:themeColor="text1"/>
          <w:sz w:val="16"/>
          <w:szCs w:val="16"/>
        </w:rPr>
        <w:t xml:space="preserve">). Всего с 1933 по 1940 год на заводе №207 построили 13 дирижаблей. </w:t>
      </w:r>
    </w:p>
    <w:p w14:paraId="20074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А.А.Боровкова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И.Ф.Флорова</w:t>
      </w:r>
      <w:proofErr w:type="spellEnd"/>
      <w:r w:rsidRPr="007122AB">
        <w:rPr>
          <w:rFonts w:ascii="Times New Roman" w:hAnsi="Times New Roman"/>
          <w:color w:val="000000" w:themeColor="text1"/>
          <w:sz w:val="16"/>
          <w:szCs w:val="16"/>
        </w:rPr>
        <w:t xml:space="preserve">. КБ было переведено с завода №21 НКАП. Проводились работы по ряду вариантов И-207. Выпущен проект (1940 г.) </w:t>
      </w:r>
      <w:r w:rsidRPr="007122AB">
        <w:rPr>
          <w:rFonts w:ascii="Times New Roman" w:hAnsi="Times New Roman"/>
          <w:color w:val="000000" w:themeColor="text1"/>
          <w:sz w:val="16"/>
          <w:szCs w:val="16"/>
        </w:rPr>
        <w:lastRenderedPageBreak/>
        <w:t xml:space="preserve">экспериментального истребителя "Д" с комбинированной двигательной установкой. Далее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А.А.Боровков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И.Ф.Флоров</w:t>
      </w:r>
      <w:proofErr w:type="spellEnd"/>
      <w:r w:rsidRPr="007122AB">
        <w:rPr>
          <w:rFonts w:ascii="Times New Roman" w:hAnsi="Times New Roman"/>
          <w:color w:val="000000" w:themeColor="text1"/>
          <w:sz w:val="16"/>
          <w:szCs w:val="16"/>
        </w:rPr>
        <w:t xml:space="preserve"> были откомандированы (приказ №792 от 3/4.8.41 г.) с завода №207 на завод №293 НКАП, где работали по истребителю БИ в ОКБ </w:t>
      </w:r>
      <w:proofErr w:type="spellStart"/>
      <w:r w:rsidRPr="007122AB">
        <w:rPr>
          <w:rFonts w:ascii="Times New Roman" w:hAnsi="Times New Roman"/>
          <w:color w:val="000000" w:themeColor="text1"/>
          <w:sz w:val="16"/>
          <w:szCs w:val="16"/>
        </w:rPr>
        <w:t>В.Ф.Болховитинова</w:t>
      </w:r>
      <w:proofErr w:type="spellEnd"/>
      <w:r w:rsidRPr="007122AB">
        <w:rPr>
          <w:rFonts w:ascii="Times New Roman" w:hAnsi="Times New Roman"/>
          <w:color w:val="000000" w:themeColor="text1"/>
          <w:sz w:val="16"/>
          <w:szCs w:val="16"/>
        </w:rPr>
        <w:t xml:space="preserve">. </w:t>
      </w:r>
    </w:p>
    <w:p w14:paraId="5294E0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решению СНХ №68 от 8.2.40 г. дирижаблестроение на заводе №207 было окончательно свернуто, </w:t>
      </w:r>
      <w:proofErr w:type="spellStart"/>
      <w:r w:rsidRPr="007122AB">
        <w:rPr>
          <w:rFonts w:ascii="Times New Roman" w:hAnsi="Times New Roman"/>
          <w:color w:val="000000" w:themeColor="text1"/>
          <w:sz w:val="16"/>
          <w:szCs w:val="16"/>
        </w:rPr>
        <w:t>мат.часть</w:t>
      </w:r>
      <w:proofErr w:type="spellEnd"/>
      <w:r w:rsidRPr="007122AB">
        <w:rPr>
          <w:rFonts w:ascii="Times New Roman" w:hAnsi="Times New Roman"/>
          <w:color w:val="000000" w:themeColor="text1"/>
          <w:sz w:val="16"/>
          <w:szCs w:val="16"/>
        </w:rPr>
        <w:t xml:space="preserve"> законсервирована. Приказом НКАП №353 от 18.7.40 г. на базе НИО, аэростатного КБ и части </w:t>
      </w:r>
      <w:proofErr w:type="spellStart"/>
      <w:r w:rsidRPr="007122AB">
        <w:rPr>
          <w:rFonts w:ascii="Times New Roman" w:hAnsi="Times New Roman"/>
          <w:color w:val="000000" w:themeColor="text1"/>
          <w:sz w:val="16"/>
          <w:szCs w:val="16"/>
        </w:rPr>
        <w:t>дирижабельно</w:t>
      </w:r>
      <w:proofErr w:type="spellEnd"/>
      <w:r w:rsidRPr="007122AB">
        <w:rPr>
          <w:rFonts w:ascii="Times New Roman" w:hAnsi="Times New Roman"/>
          <w:color w:val="000000" w:themeColor="text1"/>
          <w:sz w:val="16"/>
          <w:szCs w:val="16"/>
        </w:rPr>
        <w:t xml:space="preserve">-конструкторского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347939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ВОВ на заводе осуществлялась постройка самолета "СПБ" (модификация И-16, конструктор </w:t>
      </w:r>
      <w:proofErr w:type="spellStart"/>
      <w:r w:rsidRPr="007122AB">
        <w:rPr>
          <w:rFonts w:ascii="Times New Roman" w:hAnsi="Times New Roman"/>
          <w:color w:val="000000" w:themeColor="text1"/>
          <w:sz w:val="16"/>
          <w:szCs w:val="16"/>
        </w:rPr>
        <w:t>В.С.Вахмистров</w:t>
      </w:r>
      <w:proofErr w:type="spellEnd"/>
      <w:r w:rsidRPr="007122AB">
        <w:rPr>
          <w:rFonts w:ascii="Times New Roman" w:hAnsi="Times New Roman"/>
          <w:color w:val="000000" w:themeColor="text1"/>
          <w:sz w:val="16"/>
          <w:szCs w:val="16"/>
        </w:rPr>
        <w:t xml:space="preserve">), освоено производство Су-2 (шло в 1940-41гг.), изготавливались самолетные запчасти. </w:t>
      </w:r>
    </w:p>
    <w:p w14:paraId="29A1CC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завода </w:t>
      </w:r>
      <w:proofErr w:type="spellStart"/>
      <w:r w:rsidRPr="007122AB">
        <w:rPr>
          <w:rFonts w:ascii="Times New Roman" w:hAnsi="Times New Roman"/>
          <w:color w:val="000000" w:themeColor="text1"/>
          <w:sz w:val="16"/>
          <w:szCs w:val="16"/>
        </w:rPr>
        <w:t>В.П.Горин</w:t>
      </w:r>
      <w:proofErr w:type="spellEnd"/>
      <w:r w:rsidRPr="007122AB">
        <w:rPr>
          <w:rFonts w:ascii="Times New Roman" w:hAnsi="Times New Roman"/>
          <w:color w:val="000000" w:themeColor="text1"/>
          <w:sz w:val="16"/>
          <w:szCs w:val="16"/>
        </w:rPr>
        <w:t xml:space="preserve"> (1940-41гг.), далее по 1945гг. директорами последовательно были Н.В. </w:t>
      </w:r>
      <w:proofErr w:type="spellStart"/>
      <w:r w:rsidRPr="007122AB">
        <w:rPr>
          <w:rFonts w:ascii="Times New Roman" w:hAnsi="Times New Roman"/>
          <w:color w:val="000000" w:themeColor="text1"/>
          <w:sz w:val="16"/>
          <w:szCs w:val="16"/>
        </w:rPr>
        <w:t>Климовицкий</w:t>
      </w:r>
      <w:proofErr w:type="spellEnd"/>
      <w:r w:rsidRPr="007122AB">
        <w:rPr>
          <w:rFonts w:ascii="Times New Roman" w:hAnsi="Times New Roman"/>
          <w:color w:val="000000" w:themeColor="text1"/>
          <w:sz w:val="16"/>
          <w:szCs w:val="16"/>
        </w:rPr>
        <w:t xml:space="preserve">., М.П. </w:t>
      </w:r>
      <w:proofErr w:type="spellStart"/>
      <w:r w:rsidRPr="007122AB">
        <w:rPr>
          <w:rFonts w:ascii="Times New Roman" w:hAnsi="Times New Roman"/>
          <w:color w:val="000000" w:themeColor="text1"/>
          <w:sz w:val="16"/>
          <w:szCs w:val="16"/>
        </w:rPr>
        <w:t>Озимков</w:t>
      </w:r>
      <w:proofErr w:type="spellEnd"/>
      <w:r w:rsidRPr="007122AB">
        <w:rPr>
          <w:rFonts w:ascii="Times New Roman" w:hAnsi="Times New Roman"/>
          <w:color w:val="000000" w:themeColor="text1"/>
          <w:sz w:val="16"/>
          <w:szCs w:val="16"/>
        </w:rPr>
        <w:t xml:space="preserve">, П.П. Перовский (1943г), И.М. Шелухин (1943г), А.В. Агуреев (1944г), Н.А. Шпаков (1945г). </w:t>
      </w:r>
    </w:p>
    <w:p w14:paraId="3F3356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к.1941 г. завод №207 1ГУ НКАП был эвакуирован (приказ №1053 от 9.10.41 г.) в </w:t>
      </w:r>
      <w:proofErr w:type="spellStart"/>
      <w:r w:rsidRPr="007122AB">
        <w:rPr>
          <w:rFonts w:ascii="Times New Roman" w:hAnsi="Times New Roman"/>
          <w:color w:val="000000" w:themeColor="text1"/>
          <w:sz w:val="16"/>
          <w:szCs w:val="16"/>
        </w:rPr>
        <w:t>г.Молотов</w:t>
      </w:r>
      <w:proofErr w:type="spellEnd"/>
      <w:r w:rsidRPr="007122AB">
        <w:rPr>
          <w:rFonts w:ascii="Times New Roman" w:hAnsi="Times New Roman"/>
          <w:color w:val="000000" w:themeColor="text1"/>
          <w:sz w:val="16"/>
          <w:szCs w:val="16"/>
        </w:rPr>
        <w:t xml:space="preserve">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w:t>
      </w:r>
      <w:proofErr w:type="spellStart"/>
      <w:r w:rsidRPr="007122AB">
        <w:rPr>
          <w:rFonts w:ascii="Times New Roman" w:hAnsi="Times New Roman"/>
          <w:color w:val="000000" w:themeColor="text1"/>
          <w:sz w:val="16"/>
          <w:szCs w:val="16"/>
        </w:rPr>
        <w:t>дир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П.В.Гулянский</w:t>
      </w:r>
      <w:proofErr w:type="spellEnd"/>
      <w:r w:rsidRPr="007122AB">
        <w:rPr>
          <w:rFonts w:ascii="Times New Roman" w:hAnsi="Times New Roman"/>
          <w:color w:val="000000" w:themeColor="text1"/>
          <w:sz w:val="16"/>
          <w:szCs w:val="16"/>
        </w:rPr>
        <w:t xml:space="preserve">). На площадях в Долгопрудном с .10.41 г. (приказ №1073(а) от 20.10.41 г. и приказ №93 от 2.2.42 г.) образованы самолетные Ремонтные мастерские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w:t>
      </w:r>
      <w:proofErr w:type="spellStart"/>
      <w:r w:rsidRPr="007122AB">
        <w:rPr>
          <w:rFonts w:ascii="Times New Roman" w:hAnsi="Times New Roman"/>
          <w:color w:val="000000" w:themeColor="text1"/>
          <w:sz w:val="16"/>
          <w:szCs w:val="16"/>
        </w:rPr>
        <w:t>А.Г.Костикова</w:t>
      </w:r>
      <w:proofErr w:type="spellEnd"/>
      <w:r w:rsidRPr="007122AB">
        <w:rPr>
          <w:rFonts w:ascii="Times New Roman" w:hAnsi="Times New Roman"/>
          <w:color w:val="000000" w:themeColor="text1"/>
          <w:sz w:val="16"/>
          <w:szCs w:val="16"/>
        </w:rPr>
        <w:t xml:space="preserve"> для завода №55 НКАП. </w:t>
      </w:r>
    </w:p>
    <w:p w14:paraId="2F7F3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1943 г. на площади завода №462 НКАП на ст.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xml:space="preserve">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3DA58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128C0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эти годы проводились следующие работы. С 7.46 г.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опытного завода №464 (и одновременно завода №115) был </w:t>
      </w:r>
      <w:proofErr w:type="spellStart"/>
      <w:r w:rsidRPr="007122AB">
        <w:rPr>
          <w:rFonts w:ascii="Times New Roman" w:hAnsi="Times New Roman"/>
          <w:color w:val="000000" w:themeColor="text1"/>
          <w:sz w:val="16"/>
          <w:szCs w:val="16"/>
        </w:rPr>
        <w:t>А.С.Яковлев</w:t>
      </w:r>
      <w:proofErr w:type="spellEnd"/>
      <w:r w:rsidRPr="007122AB">
        <w:rPr>
          <w:rFonts w:ascii="Times New Roman" w:hAnsi="Times New Roman"/>
          <w:color w:val="000000" w:themeColor="text1"/>
          <w:sz w:val="16"/>
          <w:szCs w:val="16"/>
        </w:rPr>
        <w:t xml:space="preserve">. Тогда завод был определен в качестве производственной базы ОКБ </w:t>
      </w:r>
      <w:proofErr w:type="spellStart"/>
      <w:r w:rsidRPr="007122AB">
        <w:rPr>
          <w:rFonts w:ascii="Times New Roman" w:hAnsi="Times New Roman"/>
          <w:color w:val="000000" w:themeColor="text1"/>
          <w:sz w:val="16"/>
          <w:szCs w:val="16"/>
        </w:rPr>
        <w:t>А.С.Яковлева</w:t>
      </w:r>
      <w:proofErr w:type="spellEnd"/>
      <w:r w:rsidRPr="007122AB">
        <w:rPr>
          <w:rFonts w:ascii="Times New Roman" w:hAnsi="Times New Roman"/>
          <w:color w:val="000000" w:themeColor="text1"/>
          <w:sz w:val="16"/>
          <w:szCs w:val="16"/>
        </w:rPr>
        <w:t xml:space="preserve">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20694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01DC34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w:t>
      </w:r>
      <w:proofErr w:type="spellStart"/>
      <w:r w:rsidRPr="007122AB">
        <w:rPr>
          <w:rFonts w:ascii="Times New Roman" w:hAnsi="Times New Roman"/>
          <w:color w:val="000000" w:themeColor="text1"/>
          <w:sz w:val="16"/>
          <w:szCs w:val="16"/>
        </w:rPr>
        <w:t>Л.Г.Головин</w:t>
      </w:r>
      <w:proofErr w:type="spellEnd"/>
      <w:r w:rsidRPr="007122AB">
        <w:rPr>
          <w:rFonts w:ascii="Times New Roman" w:hAnsi="Times New Roman"/>
          <w:color w:val="000000" w:themeColor="text1"/>
          <w:sz w:val="16"/>
          <w:szCs w:val="16"/>
        </w:rPr>
        <w:t xml:space="preserve">. Первой самостоятельной работой вновь созданного ОКБ была разработка </w:t>
      </w:r>
      <w:proofErr w:type="spellStart"/>
      <w:r w:rsidRPr="007122AB">
        <w:rPr>
          <w:rFonts w:ascii="Times New Roman" w:hAnsi="Times New Roman"/>
          <w:color w:val="000000" w:themeColor="text1"/>
          <w:sz w:val="16"/>
          <w:szCs w:val="16"/>
        </w:rPr>
        <w:t>предаванпроекта</w:t>
      </w:r>
      <w:proofErr w:type="spellEnd"/>
      <w:r w:rsidRPr="007122AB">
        <w:rPr>
          <w:rFonts w:ascii="Times New Roman" w:hAnsi="Times New Roman"/>
          <w:color w:val="000000" w:themeColor="text1"/>
          <w:sz w:val="16"/>
          <w:szCs w:val="16"/>
        </w:rPr>
        <w:t xml:space="preserve"> противоракеты для комплекса «Сатурн». Однако развития тема не получила и была закрыта. В 1961 году вместо </w:t>
      </w:r>
      <w:proofErr w:type="spellStart"/>
      <w:r w:rsidRPr="007122AB">
        <w:rPr>
          <w:rFonts w:ascii="Times New Roman" w:hAnsi="Times New Roman"/>
          <w:color w:val="000000" w:themeColor="text1"/>
          <w:sz w:val="16"/>
          <w:szCs w:val="16"/>
        </w:rPr>
        <w:t>Л.Г.Головина</w:t>
      </w:r>
      <w:proofErr w:type="spellEnd"/>
      <w:r w:rsidRPr="007122AB">
        <w:rPr>
          <w:rFonts w:ascii="Times New Roman" w:hAnsi="Times New Roman"/>
          <w:color w:val="000000" w:themeColor="text1"/>
          <w:sz w:val="16"/>
          <w:szCs w:val="16"/>
        </w:rPr>
        <w:t xml:space="preserve"> главным конструктором ОКБ был назначен </w:t>
      </w:r>
      <w:proofErr w:type="spellStart"/>
      <w:r w:rsidRPr="007122AB">
        <w:rPr>
          <w:rFonts w:ascii="Times New Roman" w:hAnsi="Times New Roman"/>
          <w:color w:val="000000" w:themeColor="text1"/>
          <w:sz w:val="16"/>
          <w:szCs w:val="16"/>
        </w:rPr>
        <w:t>М.А.Любомудров</w:t>
      </w:r>
      <w:proofErr w:type="spellEnd"/>
      <w:r w:rsidRPr="007122AB">
        <w:rPr>
          <w:rFonts w:ascii="Times New Roman" w:hAnsi="Times New Roman"/>
          <w:color w:val="000000" w:themeColor="text1"/>
          <w:sz w:val="16"/>
          <w:szCs w:val="16"/>
        </w:rPr>
        <w:t xml:space="preserve">. После ухода </w:t>
      </w:r>
      <w:proofErr w:type="spellStart"/>
      <w:r w:rsidRPr="007122AB">
        <w:rPr>
          <w:rFonts w:ascii="Times New Roman" w:hAnsi="Times New Roman"/>
          <w:color w:val="000000" w:themeColor="text1"/>
          <w:sz w:val="16"/>
          <w:szCs w:val="16"/>
        </w:rPr>
        <w:t>Л.Г.Головина</w:t>
      </w:r>
      <w:proofErr w:type="spellEnd"/>
      <w:r w:rsidRPr="007122AB">
        <w:rPr>
          <w:rFonts w:ascii="Times New Roman" w:hAnsi="Times New Roman"/>
          <w:color w:val="000000" w:themeColor="text1"/>
          <w:sz w:val="16"/>
          <w:szCs w:val="16"/>
        </w:rPr>
        <w:t xml:space="preserve"> ОКБ </w:t>
      </w:r>
      <w:proofErr w:type="spellStart"/>
      <w:r w:rsidRPr="007122AB">
        <w:rPr>
          <w:rFonts w:ascii="Times New Roman" w:hAnsi="Times New Roman"/>
          <w:color w:val="000000" w:themeColor="text1"/>
          <w:sz w:val="16"/>
          <w:szCs w:val="16"/>
        </w:rPr>
        <w:t>соориентировано</w:t>
      </w:r>
      <w:proofErr w:type="spellEnd"/>
      <w:r w:rsidRPr="007122AB">
        <w:rPr>
          <w:rFonts w:ascii="Times New Roman" w:hAnsi="Times New Roman"/>
          <w:color w:val="000000" w:themeColor="text1"/>
          <w:sz w:val="16"/>
          <w:szCs w:val="16"/>
        </w:rPr>
        <w:t xml:space="preserve">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77DCE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7119F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1960-х на ДМЗ производились самолеты Ан-2М. </w:t>
      </w:r>
    </w:p>
    <w:p w14:paraId="0D6A3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3E748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выпускались пороховые двигатели для ЗУР: ПРД-18М и ПРД-290 для В-755, ПРД-45 для В-625 (</w:t>
      </w:r>
      <w:proofErr w:type="spellStart"/>
      <w:r w:rsidRPr="007122AB">
        <w:rPr>
          <w:rFonts w:ascii="Times New Roman" w:hAnsi="Times New Roman"/>
          <w:color w:val="000000" w:themeColor="text1"/>
          <w:sz w:val="16"/>
          <w:szCs w:val="16"/>
        </w:rPr>
        <w:t>сист</w:t>
      </w:r>
      <w:proofErr w:type="spellEnd"/>
      <w:r w:rsidRPr="007122AB">
        <w:rPr>
          <w:rFonts w:ascii="Times New Roman" w:hAnsi="Times New Roman"/>
          <w:color w:val="000000" w:themeColor="text1"/>
          <w:sz w:val="16"/>
          <w:szCs w:val="16"/>
        </w:rPr>
        <w:t xml:space="preserve">. С-125) и др. </w:t>
      </w:r>
    </w:p>
    <w:p w14:paraId="168501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М.А. Любомудрова с 1969 г. главным конструктором предприятия назначен </w:t>
      </w:r>
      <w:proofErr w:type="spellStart"/>
      <w:r w:rsidRPr="007122AB">
        <w:rPr>
          <w:rFonts w:ascii="Times New Roman" w:hAnsi="Times New Roman"/>
          <w:color w:val="000000" w:themeColor="text1"/>
          <w:sz w:val="16"/>
          <w:szCs w:val="16"/>
        </w:rPr>
        <w:t>В.П.Эктов</w:t>
      </w:r>
      <w:proofErr w:type="spellEnd"/>
      <w:r w:rsidRPr="007122AB">
        <w:rPr>
          <w:rFonts w:ascii="Times New Roman" w:hAnsi="Times New Roman"/>
          <w:color w:val="000000" w:themeColor="text1"/>
          <w:sz w:val="16"/>
          <w:szCs w:val="16"/>
        </w:rPr>
        <w:t xml:space="preserve">. </w:t>
      </w:r>
    </w:p>
    <w:p w14:paraId="07A08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w:t>
      </w:r>
      <w:proofErr w:type="spellStart"/>
      <w:r w:rsidRPr="007122AB">
        <w:rPr>
          <w:rFonts w:ascii="Times New Roman" w:hAnsi="Times New Roman"/>
          <w:color w:val="000000" w:themeColor="text1"/>
          <w:sz w:val="16"/>
          <w:szCs w:val="16"/>
        </w:rPr>
        <w:t>Фаустово</w:t>
      </w:r>
      <w:proofErr w:type="spellEnd"/>
      <w:r w:rsidRPr="007122AB">
        <w:rPr>
          <w:rFonts w:ascii="Times New Roman" w:hAnsi="Times New Roman"/>
          <w:color w:val="000000" w:themeColor="text1"/>
          <w:sz w:val="16"/>
          <w:szCs w:val="16"/>
        </w:rPr>
        <w:t xml:space="preserve"> Московской обл.) и Кимовский завод металлоизделий (</w:t>
      </w:r>
      <w:proofErr w:type="spellStart"/>
      <w:r w:rsidRPr="007122AB">
        <w:rPr>
          <w:rFonts w:ascii="Times New Roman" w:hAnsi="Times New Roman"/>
          <w:color w:val="000000" w:themeColor="text1"/>
          <w:sz w:val="16"/>
          <w:szCs w:val="16"/>
        </w:rPr>
        <w:t>г.Кимовск</w:t>
      </w:r>
      <w:proofErr w:type="spellEnd"/>
      <w:r w:rsidRPr="007122AB">
        <w:rPr>
          <w:rFonts w:ascii="Times New Roman" w:hAnsi="Times New Roman"/>
          <w:color w:val="000000" w:themeColor="text1"/>
          <w:sz w:val="16"/>
          <w:szCs w:val="16"/>
        </w:rPr>
        <w:t xml:space="preserve"> Тульской обл.). </w:t>
      </w:r>
    </w:p>
    <w:p w14:paraId="336914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61558B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Долгопрудненское</w:t>
      </w:r>
      <w:proofErr w:type="spellEnd"/>
      <w:r w:rsidRPr="007122AB">
        <w:rPr>
          <w:rFonts w:ascii="Times New Roman" w:hAnsi="Times New Roman"/>
          <w:color w:val="000000" w:themeColor="text1"/>
          <w:sz w:val="16"/>
          <w:szCs w:val="16"/>
        </w:rPr>
        <w:t xml:space="preserve"> научно-производственное предприятие, ОАО (ОАО ДНПП) </w:t>
      </w:r>
    </w:p>
    <w:p w14:paraId="29DDB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ранее: Завод №207, Завод №464, </w:t>
      </w:r>
      <w:proofErr w:type="spellStart"/>
      <w:r w:rsidRPr="007122AB">
        <w:rPr>
          <w:rFonts w:ascii="Times New Roman" w:hAnsi="Times New Roman"/>
          <w:color w:val="000000" w:themeColor="text1"/>
          <w:sz w:val="16"/>
          <w:szCs w:val="16"/>
        </w:rPr>
        <w:t>Долгопруднинский</w:t>
      </w:r>
      <w:proofErr w:type="spellEnd"/>
      <w:r w:rsidRPr="007122AB">
        <w:rPr>
          <w:rFonts w:ascii="Times New Roman" w:hAnsi="Times New Roman"/>
          <w:color w:val="000000" w:themeColor="text1"/>
          <w:sz w:val="16"/>
          <w:szCs w:val="16"/>
        </w:rPr>
        <w:t xml:space="preserve"> машиностроительный завод (ДМЗ), ДМПО, </w:t>
      </w:r>
      <w:proofErr w:type="spellStart"/>
      <w:r w:rsidRPr="007122AB">
        <w:rPr>
          <w:rFonts w:ascii="Times New Roman" w:hAnsi="Times New Roman"/>
          <w:color w:val="000000" w:themeColor="text1"/>
          <w:sz w:val="16"/>
          <w:szCs w:val="16"/>
        </w:rPr>
        <w:t>Долгопрудненское</w:t>
      </w:r>
      <w:proofErr w:type="spellEnd"/>
      <w:r w:rsidRPr="007122AB">
        <w:rPr>
          <w:rFonts w:ascii="Times New Roman" w:hAnsi="Times New Roman"/>
          <w:color w:val="000000" w:themeColor="text1"/>
          <w:sz w:val="16"/>
          <w:szCs w:val="16"/>
        </w:rPr>
        <w:t xml:space="preserve"> государственное научно-производственное объединение (ДНПО), АО "</w:t>
      </w:r>
      <w:proofErr w:type="spellStart"/>
      <w:r w:rsidRPr="007122AB">
        <w:rPr>
          <w:rFonts w:ascii="Times New Roman" w:hAnsi="Times New Roman"/>
          <w:color w:val="000000" w:themeColor="text1"/>
          <w:sz w:val="16"/>
          <w:szCs w:val="16"/>
        </w:rPr>
        <w:t>Долгопрудненское</w:t>
      </w:r>
      <w:proofErr w:type="spellEnd"/>
      <w:r w:rsidRPr="007122AB">
        <w:rPr>
          <w:rFonts w:ascii="Times New Roman" w:hAnsi="Times New Roman"/>
          <w:color w:val="000000" w:themeColor="text1"/>
          <w:sz w:val="16"/>
          <w:szCs w:val="16"/>
        </w:rPr>
        <w:t xml:space="preserve"> НПП" </w:t>
      </w:r>
    </w:p>
    <w:p w14:paraId="39106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141700 Россия </w:t>
      </w:r>
      <w:proofErr w:type="spellStart"/>
      <w:r w:rsidRPr="007122AB">
        <w:rPr>
          <w:rFonts w:ascii="Times New Roman" w:hAnsi="Times New Roman"/>
          <w:color w:val="000000" w:themeColor="text1"/>
          <w:sz w:val="16"/>
          <w:szCs w:val="16"/>
        </w:rPr>
        <w:t>г.Долгопрудный</w:t>
      </w:r>
      <w:proofErr w:type="spellEnd"/>
      <w:r w:rsidRPr="007122AB">
        <w:rPr>
          <w:rFonts w:ascii="Times New Roman" w:hAnsi="Times New Roman"/>
          <w:color w:val="000000" w:themeColor="text1"/>
          <w:sz w:val="16"/>
          <w:szCs w:val="16"/>
        </w:rPr>
        <w:t xml:space="preserve"> М.О., ул. Собина, 1, Тел.: (095) 408-41-68, Факс: (095) 408-44-22, E-mail: dnpp@orc.ru (10777).</w:t>
      </w:r>
    </w:p>
    <w:p w14:paraId="46395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D4E2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в 18 км от Москвы был отведен пустующий участок земли и с помощью итальянцев (с 05.1932 г. работал У. Нобиле) началось строительство дирижаблестроительной верфи, Газового завода и поселка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7F118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от 31.05.1933 г. членами НТС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утверждены: А.Н. Туполев (председатель расчетно-конструкторской секции),  Г.А. Озеров (председатель научно-исследовательской секции), И.И. </w:t>
      </w:r>
      <w:proofErr w:type="spellStart"/>
      <w:r w:rsidRPr="007122AB">
        <w:rPr>
          <w:rFonts w:ascii="Times New Roman" w:hAnsi="Times New Roman"/>
          <w:color w:val="000000" w:themeColor="text1"/>
          <w:sz w:val="16"/>
          <w:szCs w:val="16"/>
        </w:rPr>
        <w:t>Погосский</w:t>
      </w:r>
      <w:proofErr w:type="spellEnd"/>
      <w:r w:rsidRPr="007122AB">
        <w:rPr>
          <w:rFonts w:ascii="Times New Roman" w:hAnsi="Times New Roman"/>
          <w:color w:val="000000" w:themeColor="text1"/>
          <w:sz w:val="16"/>
          <w:szCs w:val="16"/>
        </w:rPr>
        <w:t>.</w:t>
      </w:r>
    </w:p>
    <w:p w14:paraId="5F3FB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со всеми сооружениями и личным составом передана из ГВФ в ГУАП НКТП, в 12.1936 г. - в 1ГУ НКОП. 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2AE606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558AA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09.1937 г. был пущен в эксплуатацию Газовый завод для заправки дирижаблей.</w:t>
      </w:r>
    </w:p>
    <w:p w14:paraId="42FA5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19A99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1A77F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0649F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w:t>
      </w:r>
      <w:proofErr w:type="spellStart"/>
      <w:r w:rsidRPr="007122AB">
        <w:rPr>
          <w:rFonts w:ascii="Times New Roman" w:hAnsi="Times New Roman"/>
          <w:color w:val="000000" w:themeColor="text1"/>
          <w:sz w:val="16"/>
          <w:szCs w:val="16"/>
        </w:rPr>
        <w:t>дирижабельно</w:t>
      </w:r>
      <w:proofErr w:type="spellEnd"/>
      <w:r w:rsidRPr="007122AB">
        <w:rPr>
          <w:rFonts w:ascii="Times New Roman" w:hAnsi="Times New Roman"/>
          <w:color w:val="000000" w:themeColor="text1"/>
          <w:sz w:val="16"/>
          <w:szCs w:val="16"/>
        </w:rPr>
        <w:t>-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5E1C58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00760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08.1941 г. на завод № 207 с завода № 156 НКАП переведена конструкторская группа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w:t>
      </w:r>
    </w:p>
    <w:p w14:paraId="4C1BB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5F4B8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приказам № 1073с от 20.10.1941 г. и № 93с от 2.02.1942 г. на площадке эвакуированного завода № 207 с 10.1941 г. образовались самолетные Ремонтные мастерские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далее- при </w:t>
      </w:r>
      <w:proofErr w:type="spellStart"/>
      <w:r w:rsidRPr="007122AB">
        <w:rPr>
          <w:rFonts w:ascii="Times New Roman" w:hAnsi="Times New Roman"/>
          <w:color w:val="000000" w:themeColor="text1"/>
          <w:sz w:val="16"/>
          <w:szCs w:val="16"/>
        </w:rPr>
        <w:t>Главремуправлении</w:t>
      </w:r>
      <w:proofErr w:type="spellEnd"/>
      <w:r w:rsidRPr="007122AB">
        <w:rPr>
          <w:rFonts w:ascii="Times New Roman" w:hAnsi="Times New Roman"/>
          <w:color w:val="000000" w:themeColor="text1"/>
          <w:sz w:val="16"/>
          <w:szCs w:val="16"/>
        </w:rPr>
        <w:t xml:space="preserve"> НКАП. Начальник с 01.1942 г.- М.П. </w:t>
      </w:r>
      <w:proofErr w:type="spellStart"/>
      <w:r w:rsidRPr="007122AB">
        <w:rPr>
          <w:rFonts w:ascii="Times New Roman" w:hAnsi="Times New Roman"/>
          <w:color w:val="000000" w:themeColor="text1"/>
          <w:sz w:val="16"/>
          <w:szCs w:val="16"/>
        </w:rPr>
        <w:t>Озимков</w:t>
      </w:r>
      <w:proofErr w:type="spellEnd"/>
      <w:r w:rsidRPr="007122AB">
        <w:rPr>
          <w:rFonts w:ascii="Times New Roman" w:hAnsi="Times New Roman"/>
          <w:color w:val="000000" w:themeColor="text1"/>
          <w:sz w:val="16"/>
          <w:szCs w:val="16"/>
        </w:rPr>
        <w:t xml:space="preserve"> (с завода № 487). Сюда возвращены кадры, ранее отправленные на завод № 156. Ремонт ЛаГГ-1, Ла-5, МиГ-3, Як-3, Як-9, Ил-2.</w:t>
      </w:r>
    </w:p>
    <w:p w14:paraId="6F7B9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73EDBA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Количество оборудования: (11.1940 г.)- 198 металлорежущих станков.</w:t>
      </w:r>
    </w:p>
    <w:p w14:paraId="02059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(1932 г.)- П. Пурмаль,</w:t>
      </w:r>
      <w:r w:rsidRPr="007122AB">
        <w:rPr>
          <w:rFonts w:ascii="Times New Roman" w:hAnsi="Times New Roman"/>
          <w:color w:val="000000" w:themeColor="text1"/>
          <w:sz w:val="16"/>
          <w:szCs w:val="16"/>
          <w:vertAlign w:val="superscript"/>
        </w:rPr>
        <w:t>104</w:t>
      </w:r>
      <w:r w:rsidRPr="007122AB">
        <w:rPr>
          <w:rFonts w:ascii="Times New Roman" w:hAnsi="Times New Roman"/>
          <w:color w:val="000000" w:themeColor="text1"/>
          <w:sz w:val="16"/>
          <w:szCs w:val="16"/>
        </w:rPr>
        <w:t xml:space="preserve"> (1932 г.)- И. </w:t>
      </w:r>
      <w:proofErr w:type="spellStart"/>
      <w:r w:rsidRPr="007122AB">
        <w:rPr>
          <w:rFonts w:ascii="Times New Roman" w:hAnsi="Times New Roman"/>
          <w:color w:val="000000" w:themeColor="text1"/>
          <w:sz w:val="16"/>
          <w:szCs w:val="16"/>
        </w:rPr>
        <w:t>Фильдман</w:t>
      </w:r>
      <w:proofErr w:type="spellEnd"/>
      <w:r w:rsidRPr="007122AB">
        <w:rPr>
          <w:rFonts w:ascii="Times New Roman" w:hAnsi="Times New Roman"/>
          <w:color w:val="000000" w:themeColor="text1"/>
          <w:sz w:val="16"/>
          <w:szCs w:val="16"/>
        </w:rPr>
        <w:t xml:space="preserve">, (-06.193 7-11.04.193 8 г.)- С. Г. Хорьков (арестован), (19.06-09.1938 г.-)- С.В. Житенев, (1938-05.1941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II</w:t>
      </w:r>
      <w:r w:rsidRPr="007122AB">
        <w:rPr>
          <w:rFonts w:ascii="Times New Roman" w:hAnsi="Times New Roman"/>
          <w:color w:val="000000" w:themeColor="text1"/>
          <w:sz w:val="16"/>
          <w:szCs w:val="16"/>
        </w:rPr>
        <w:t>. Горин.</w:t>
      </w:r>
    </w:p>
    <w:p w14:paraId="2CD78E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(-06-20.12.1937 г.)- П.Б. </w:t>
      </w:r>
      <w:proofErr w:type="spellStart"/>
      <w:r w:rsidRPr="007122AB">
        <w:rPr>
          <w:rFonts w:ascii="Times New Roman" w:hAnsi="Times New Roman"/>
          <w:color w:val="000000" w:themeColor="text1"/>
          <w:sz w:val="16"/>
          <w:szCs w:val="16"/>
        </w:rPr>
        <w:t>Рудини</w:t>
      </w:r>
      <w:proofErr w:type="spellEnd"/>
      <w:r w:rsidRPr="007122AB">
        <w:rPr>
          <w:rFonts w:ascii="Times New Roman" w:hAnsi="Times New Roman"/>
          <w:color w:val="000000" w:themeColor="text1"/>
          <w:sz w:val="16"/>
          <w:szCs w:val="16"/>
        </w:rPr>
        <w:t xml:space="preserve"> (снят); по строительству (28.02.1937 г.-)- И.П. Афанасьев.</w:t>
      </w:r>
    </w:p>
    <w:p w14:paraId="648FB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(01.1937-39 г.)- А.И. Путилов (репрессирован), (-06-20.12.1937 г.)- П.Б. Рудини,</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xml:space="preserve"> (10.1941 г.)- В.К. Таиров.</w:t>
      </w:r>
    </w:p>
    <w:p w14:paraId="787DD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(1932 г.-)- Умберто Нобиле.</w:t>
      </w:r>
      <w:r w:rsidRPr="007122AB">
        <w:rPr>
          <w:rFonts w:ascii="Times New Roman" w:hAnsi="Times New Roman"/>
          <w:color w:val="000000" w:themeColor="text1"/>
          <w:sz w:val="16"/>
          <w:szCs w:val="16"/>
          <w:vertAlign w:val="superscript"/>
        </w:rPr>
        <w:t>104</w:t>
      </w:r>
    </w:p>
    <w:p w14:paraId="0F8D2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КБ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(1938-46 г.)- Умберто Нобиле.</w:t>
      </w:r>
    </w:p>
    <w:p w14:paraId="35CC69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7E03FC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завода № 207 НКАП гл. конструкторов А.А. Боровкова и И.Ф. Флорова</w:t>
      </w:r>
    </w:p>
    <w:p w14:paraId="7A04F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2ABEF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BBF9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СЖБ-207 НКАП гл. конструктора С.А. </w:t>
      </w:r>
      <w:proofErr w:type="spellStart"/>
      <w:r w:rsidRPr="007122AB">
        <w:rPr>
          <w:rFonts w:ascii="Times New Roman" w:hAnsi="Times New Roman"/>
          <w:color w:val="000000" w:themeColor="text1"/>
          <w:sz w:val="16"/>
          <w:szCs w:val="16"/>
        </w:rPr>
        <w:t>Кочеригина</w:t>
      </w:r>
      <w:proofErr w:type="spellEnd"/>
    </w:p>
    <w:p w14:paraId="00D34F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08.1941 г. конструкторская группа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 xml:space="preserve"> назначен гл. редактором БНТ НКАП (11982).</w:t>
      </w:r>
    </w:p>
    <w:p w14:paraId="45AA6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81527A" w14:textId="77777777" w:rsidR="00783E43" w:rsidRPr="007122AB" w:rsidRDefault="00783E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мая 1931 года трассу Москва – Новосибирск – Омск начали обслуживать АНТ-9 (21125). </w:t>
      </w:r>
    </w:p>
    <w:p w14:paraId="2E45FDB2" w14:textId="77777777" w:rsidR="00783E43" w:rsidRPr="007122AB" w:rsidRDefault="00783E43" w:rsidP="007122AB">
      <w:pPr>
        <w:spacing w:after="0" w:line="240" w:lineRule="auto"/>
        <w:jc w:val="both"/>
        <w:rPr>
          <w:rFonts w:ascii="Times New Roman" w:hAnsi="Times New Roman"/>
          <w:color w:val="000000" w:themeColor="text1"/>
          <w:sz w:val="16"/>
          <w:szCs w:val="16"/>
        </w:rPr>
      </w:pPr>
    </w:p>
    <w:p w14:paraId="59A77D5A" w14:textId="77777777" w:rsidR="00CC42DB" w:rsidRDefault="00CC42DB" w:rsidP="00CC42DB">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м</w:t>
      </w:r>
      <w:r w:rsidRPr="009F5089">
        <w:rPr>
          <w:rFonts w:ascii="Times New Roman" w:hAnsi="Times New Roman"/>
          <w:color w:val="0070C0"/>
          <w:sz w:val="16"/>
          <w:szCs w:val="16"/>
        </w:rPr>
        <w:t>а</w:t>
      </w:r>
      <w:r>
        <w:rPr>
          <w:rFonts w:ascii="Times New Roman" w:hAnsi="Times New Roman"/>
          <w:color w:val="0070C0"/>
          <w:sz w:val="16"/>
          <w:szCs w:val="16"/>
        </w:rPr>
        <w:t>е 1931 г.</w:t>
      </w:r>
      <w:r w:rsidRPr="009F5089">
        <w:rPr>
          <w:rFonts w:ascii="Times New Roman" w:hAnsi="Times New Roman"/>
          <w:color w:val="0070C0"/>
          <w:sz w:val="16"/>
          <w:szCs w:val="16"/>
        </w:rPr>
        <w:t xml:space="preserve"> начал издаваться новый авиационный журнал "Гражданская </w:t>
      </w:r>
      <w:r>
        <w:rPr>
          <w:rFonts w:ascii="Times New Roman" w:hAnsi="Times New Roman"/>
          <w:color w:val="0070C0"/>
          <w:sz w:val="16"/>
          <w:szCs w:val="16"/>
        </w:rPr>
        <w:t>авиация</w:t>
      </w:r>
      <w:r w:rsidRPr="009F5089">
        <w:rPr>
          <w:rFonts w:ascii="Times New Roman" w:hAnsi="Times New Roman"/>
          <w:color w:val="0070C0"/>
          <w:sz w:val="16"/>
          <w:szCs w:val="16"/>
        </w:rPr>
        <w:t>” - орган Всесоюзного об</w:t>
      </w:r>
      <w:r>
        <w:rPr>
          <w:rFonts w:ascii="Times New Roman" w:hAnsi="Times New Roman"/>
          <w:color w:val="0070C0"/>
          <w:sz w:val="16"/>
          <w:szCs w:val="16"/>
        </w:rPr>
        <w:t>ъ</w:t>
      </w:r>
      <w:r w:rsidRPr="009F5089">
        <w:rPr>
          <w:rFonts w:ascii="Times New Roman" w:hAnsi="Times New Roman"/>
          <w:color w:val="0070C0"/>
          <w:sz w:val="16"/>
          <w:szCs w:val="16"/>
        </w:rPr>
        <w:t>ед</w:t>
      </w:r>
      <w:r>
        <w:rPr>
          <w:rFonts w:ascii="Times New Roman" w:hAnsi="Times New Roman"/>
          <w:color w:val="0070C0"/>
          <w:sz w:val="16"/>
          <w:szCs w:val="16"/>
        </w:rPr>
        <w:t>и</w:t>
      </w:r>
      <w:r w:rsidRPr="009F5089">
        <w:rPr>
          <w:rFonts w:ascii="Times New Roman" w:hAnsi="Times New Roman"/>
          <w:color w:val="0070C0"/>
          <w:sz w:val="16"/>
          <w:szCs w:val="16"/>
        </w:rPr>
        <w:t>нен</w:t>
      </w:r>
      <w:r>
        <w:rPr>
          <w:rFonts w:ascii="Times New Roman" w:hAnsi="Times New Roman"/>
          <w:color w:val="0070C0"/>
          <w:sz w:val="16"/>
          <w:szCs w:val="16"/>
        </w:rPr>
        <w:t>и</w:t>
      </w:r>
      <w:r w:rsidRPr="009F5089">
        <w:rPr>
          <w:rFonts w:ascii="Times New Roman" w:hAnsi="Times New Roman"/>
          <w:color w:val="0070C0"/>
          <w:sz w:val="16"/>
          <w:szCs w:val="16"/>
        </w:rPr>
        <w:t xml:space="preserve">я гражданского воздушного </w:t>
      </w:r>
      <w:r>
        <w:rPr>
          <w:rFonts w:ascii="Times New Roman" w:hAnsi="Times New Roman"/>
          <w:color w:val="0070C0"/>
          <w:sz w:val="16"/>
          <w:szCs w:val="16"/>
        </w:rPr>
        <w:t>фл</w:t>
      </w:r>
      <w:r w:rsidRPr="009F5089">
        <w:rPr>
          <w:rFonts w:ascii="Times New Roman" w:hAnsi="Times New Roman"/>
          <w:color w:val="0070C0"/>
          <w:sz w:val="16"/>
          <w:szCs w:val="16"/>
        </w:rPr>
        <w:t>ота,</w:t>
      </w:r>
      <w:r>
        <w:rPr>
          <w:rFonts w:ascii="Times New Roman" w:hAnsi="Times New Roman"/>
          <w:color w:val="0070C0"/>
          <w:sz w:val="16"/>
          <w:szCs w:val="16"/>
        </w:rPr>
        <w:t xml:space="preserve"> </w:t>
      </w:r>
      <w:proofErr w:type="spellStart"/>
      <w:r>
        <w:rPr>
          <w:rFonts w:ascii="Times New Roman" w:hAnsi="Times New Roman"/>
          <w:color w:val="0070C0"/>
          <w:sz w:val="16"/>
          <w:szCs w:val="16"/>
        </w:rPr>
        <w:t>ж</w:t>
      </w:r>
      <w:r w:rsidRPr="009F5089">
        <w:rPr>
          <w:rFonts w:ascii="Times New Roman" w:hAnsi="Times New Roman"/>
          <w:color w:val="0070C0"/>
          <w:sz w:val="16"/>
          <w:szCs w:val="16"/>
        </w:rPr>
        <w:t>уриал</w:t>
      </w:r>
      <w:proofErr w:type="spellEnd"/>
      <w:r w:rsidRPr="009F5089">
        <w:rPr>
          <w:rFonts w:ascii="Times New Roman" w:hAnsi="Times New Roman"/>
          <w:color w:val="0070C0"/>
          <w:sz w:val="16"/>
          <w:szCs w:val="16"/>
        </w:rPr>
        <w:t xml:space="preserve"> издавался до 1941 года,</w:t>
      </w:r>
      <w:r>
        <w:rPr>
          <w:rFonts w:ascii="Times New Roman" w:hAnsi="Times New Roman"/>
          <w:color w:val="0070C0"/>
          <w:sz w:val="16"/>
          <w:szCs w:val="16"/>
        </w:rPr>
        <w:t xml:space="preserve"> </w:t>
      </w:r>
      <w:r w:rsidRPr="009F5089">
        <w:rPr>
          <w:rFonts w:ascii="Times New Roman" w:hAnsi="Times New Roman"/>
          <w:color w:val="0070C0"/>
          <w:sz w:val="16"/>
          <w:szCs w:val="16"/>
        </w:rPr>
        <w:t>с января 1955 года возобно</w:t>
      </w:r>
      <w:r>
        <w:rPr>
          <w:rFonts w:ascii="Times New Roman" w:hAnsi="Times New Roman"/>
          <w:color w:val="0070C0"/>
          <w:sz w:val="16"/>
          <w:szCs w:val="16"/>
        </w:rPr>
        <w:t>влен (23370).</w:t>
      </w:r>
    </w:p>
    <w:p w14:paraId="0980CC33" w14:textId="77777777" w:rsidR="00CC42DB" w:rsidRDefault="00CC42DB" w:rsidP="00CC42DB">
      <w:pPr>
        <w:spacing w:after="0" w:line="240" w:lineRule="auto"/>
        <w:jc w:val="both"/>
        <w:rPr>
          <w:rFonts w:ascii="Times New Roman" w:hAnsi="Times New Roman"/>
          <w:color w:val="0070C0"/>
          <w:sz w:val="16"/>
          <w:szCs w:val="16"/>
        </w:rPr>
      </w:pPr>
    </w:p>
    <w:p w14:paraId="2D268696" w14:textId="77777777" w:rsidR="00CC42DB" w:rsidRDefault="00CC42DB" w:rsidP="00CC42DB">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мае 1931 п</w:t>
      </w:r>
      <w:r w:rsidRPr="009F5089">
        <w:rPr>
          <w:rFonts w:ascii="Times New Roman" w:hAnsi="Times New Roman"/>
          <w:color w:val="0070C0"/>
          <w:sz w:val="16"/>
          <w:szCs w:val="16"/>
        </w:rPr>
        <w:t xml:space="preserve">ри Бюро воздушной техники ЦС </w:t>
      </w:r>
      <w:proofErr w:type="spellStart"/>
      <w:r w:rsidRPr="009F5089">
        <w:rPr>
          <w:rFonts w:ascii="Times New Roman" w:hAnsi="Times New Roman"/>
          <w:color w:val="0070C0"/>
          <w:sz w:val="16"/>
          <w:szCs w:val="16"/>
        </w:rPr>
        <w:t>Овоавиахима</w:t>
      </w:r>
      <w:proofErr w:type="spellEnd"/>
      <w:r w:rsidRPr="009F5089">
        <w:rPr>
          <w:rFonts w:ascii="Times New Roman" w:hAnsi="Times New Roman"/>
          <w:color w:val="0070C0"/>
          <w:sz w:val="16"/>
          <w:szCs w:val="16"/>
        </w:rPr>
        <w:t xml:space="preserve"> организовалась </w:t>
      </w:r>
      <w:r>
        <w:rPr>
          <w:rFonts w:ascii="Times New Roman" w:hAnsi="Times New Roman"/>
          <w:color w:val="0070C0"/>
          <w:sz w:val="16"/>
          <w:szCs w:val="16"/>
        </w:rPr>
        <w:t>секция</w:t>
      </w:r>
      <w:r w:rsidRPr="009F5089">
        <w:rPr>
          <w:rFonts w:ascii="Times New Roman" w:hAnsi="Times New Roman"/>
          <w:color w:val="0070C0"/>
          <w:sz w:val="16"/>
          <w:szCs w:val="16"/>
        </w:rPr>
        <w:t xml:space="preserve"> реактивных двигателей,</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преобразованная позже в Группу </w:t>
      </w:r>
      <w:r>
        <w:rPr>
          <w:rFonts w:ascii="Times New Roman" w:hAnsi="Times New Roman"/>
          <w:color w:val="0070C0"/>
          <w:sz w:val="16"/>
          <w:szCs w:val="16"/>
        </w:rPr>
        <w:t>и</w:t>
      </w:r>
      <w:r w:rsidRPr="009F5089">
        <w:rPr>
          <w:rFonts w:ascii="Times New Roman" w:hAnsi="Times New Roman"/>
          <w:color w:val="0070C0"/>
          <w:sz w:val="16"/>
          <w:szCs w:val="16"/>
        </w:rPr>
        <w:t>зу</w:t>
      </w:r>
      <w:r>
        <w:rPr>
          <w:rFonts w:ascii="Times New Roman" w:hAnsi="Times New Roman"/>
          <w:color w:val="0070C0"/>
          <w:sz w:val="16"/>
          <w:szCs w:val="16"/>
        </w:rPr>
        <w:t>чения</w:t>
      </w:r>
      <w:r w:rsidRPr="009F5089">
        <w:rPr>
          <w:rFonts w:ascii="Times New Roman" w:hAnsi="Times New Roman"/>
          <w:color w:val="0070C0"/>
          <w:sz w:val="16"/>
          <w:szCs w:val="16"/>
        </w:rPr>
        <w:t xml:space="preserve"> реактивного движения /</w:t>
      </w:r>
      <w:r>
        <w:rPr>
          <w:rFonts w:ascii="Times New Roman" w:hAnsi="Times New Roman"/>
          <w:color w:val="0070C0"/>
          <w:sz w:val="16"/>
          <w:szCs w:val="16"/>
        </w:rPr>
        <w:t>ГИРД</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Руководителем Секции был из</w:t>
      </w:r>
      <w:r>
        <w:rPr>
          <w:rFonts w:ascii="Times New Roman" w:hAnsi="Times New Roman"/>
          <w:color w:val="0070C0"/>
          <w:sz w:val="16"/>
          <w:szCs w:val="16"/>
        </w:rPr>
        <w:t>бран</w:t>
      </w:r>
      <w:r w:rsidRPr="009F5089">
        <w:rPr>
          <w:rFonts w:ascii="Times New Roman" w:hAnsi="Times New Roman"/>
          <w:color w:val="0070C0"/>
          <w:sz w:val="16"/>
          <w:szCs w:val="16"/>
        </w:rPr>
        <w:t xml:space="preserve"> </w:t>
      </w:r>
      <w:r>
        <w:rPr>
          <w:rFonts w:ascii="Times New Roman" w:hAnsi="Times New Roman"/>
          <w:color w:val="0070C0"/>
          <w:sz w:val="16"/>
          <w:szCs w:val="16"/>
        </w:rPr>
        <w:t>ин</w:t>
      </w:r>
      <w:r w:rsidRPr="009F5089">
        <w:rPr>
          <w:rFonts w:ascii="Times New Roman" w:hAnsi="Times New Roman"/>
          <w:color w:val="0070C0"/>
          <w:sz w:val="16"/>
          <w:szCs w:val="16"/>
        </w:rPr>
        <w:t xml:space="preserve">женер </w:t>
      </w:r>
      <w:proofErr w:type="spellStart"/>
      <w:r w:rsidRPr="009F5089">
        <w:rPr>
          <w:rFonts w:ascii="Times New Roman" w:hAnsi="Times New Roman"/>
          <w:color w:val="0070C0"/>
          <w:sz w:val="16"/>
          <w:szCs w:val="16"/>
        </w:rPr>
        <w:t>Ф.А.Цандер</w:t>
      </w:r>
      <w:proofErr w:type="spellEnd"/>
      <w:r w:rsidRPr="009F5089">
        <w:rPr>
          <w:rFonts w:ascii="Times New Roman" w:hAnsi="Times New Roman"/>
          <w:color w:val="0070C0"/>
          <w:sz w:val="16"/>
          <w:szCs w:val="16"/>
        </w:rPr>
        <w:t xml:space="preserve"> - энтузиаст ракетной техники</w:t>
      </w:r>
      <w:r>
        <w:rPr>
          <w:rFonts w:ascii="Times New Roman" w:hAnsi="Times New Roman"/>
          <w:color w:val="0070C0"/>
          <w:sz w:val="16"/>
          <w:szCs w:val="16"/>
        </w:rPr>
        <w:t xml:space="preserve"> (23370)</w:t>
      </w:r>
      <w:r w:rsidRPr="009F5089">
        <w:rPr>
          <w:rFonts w:ascii="Times New Roman" w:hAnsi="Times New Roman"/>
          <w:color w:val="0070C0"/>
          <w:sz w:val="16"/>
          <w:szCs w:val="16"/>
        </w:rPr>
        <w:t>.</w:t>
      </w:r>
    </w:p>
    <w:p w14:paraId="3A05FBF7" w14:textId="77777777" w:rsidR="00CC42DB" w:rsidRPr="009F5089" w:rsidRDefault="00CC42DB" w:rsidP="00CC42DB">
      <w:pPr>
        <w:spacing w:after="0" w:line="240" w:lineRule="auto"/>
        <w:jc w:val="both"/>
        <w:rPr>
          <w:rFonts w:ascii="Times New Roman" w:hAnsi="Times New Roman"/>
          <w:color w:val="0070C0"/>
          <w:sz w:val="16"/>
          <w:szCs w:val="16"/>
        </w:rPr>
      </w:pPr>
    </w:p>
    <w:p w14:paraId="35C1E5D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A9A386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737B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Управлением ВМС был утвержден проект 102-мм зенитной пушки с длиной ствола 45 калибров, но при этом угол возвышения был увеличен с +75 до +85 (3861).</w:t>
      </w:r>
    </w:p>
    <w:p w14:paraId="1E597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A239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последовало распоряжение об изготовлении заводом второго образца для Главного артиллерийского управления 102-мм зенитной пушки с длиной ствола 45 калибров. Опытный образец для Управления ВМС получил индекс Б-14М, а для ГАУ Б-14С (3861).</w:t>
      </w:r>
    </w:p>
    <w:p w14:paraId="0F74E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DF0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305-мм ДРП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и 20 штук чугунных ядер весом 350 кг, которые отправили на НИАП 17 июня 1931 г.</w:t>
      </w:r>
    </w:p>
    <w:p w14:paraId="33C94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посещении завода «Большевик» в январе 1932 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дал указание укоротить ствол на 10 калибров и оставить длину 3429 мм, то есть 11,2 калибра, а вес снаряда уменьшить до 250 кг.</w:t>
      </w:r>
    </w:p>
    <w:p w14:paraId="4C87A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марта 1932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было произведено испытание 305-мм мортиры ДРП. Результаты испытаний:</w:t>
      </w:r>
    </w:p>
    <w:p w14:paraId="0B891F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26939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Понятно, что эта ДРП была лишь макетом орудия. Поэтому в 1933–1934 гг.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разработал проект новой установки — 305-мм самоходной полевой гаубицы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(СПГК). За проект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получил 700 тыс. рублей.</w:t>
      </w:r>
    </w:p>
    <w:p w14:paraId="0819C3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5F6438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ее прошли неудачно, и в 1935 г. в план работ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включил разработать рабочий чертеж и изготовить опытный образец 305-мм гаубицы СПГК-305.</w:t>
      </w:r>
    </w:p>
    <w:p w14:paraId="22E40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20D6C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99B2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был выдан заказ на изготовление четырех 356/52-мм ж/д установок ТМ-1-14 ( 1 означает номер установки, 14 калибр в дюймах).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(3861).</w:t>
      </w:r>
    </w:p>
    <w:p w14:paraId="4868C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484561"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завод «Большевик» закончил ствол без сопла и затвора 305-мм ДРП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и 20 штук чугунных ядер весом 350 кг отправили на НИАП 17 июня 1931 г.</w:t>
      </w:r>
    </w:p>
    <w:p w14:paraId="2A9AA2FC"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посещении завода «Большевик» в январе 1932 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дал указание укоротить ствол на 10 калибров и оставить длину 3429 мм, то есть 11,2 калибра, а вес снаряда уменьшить до 250 кг.</w:t>
      </w:r>
    </w:p>
    <w:p w14:paraId="096B640F"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марта 1932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77EA4400"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Понятно, что эта ДРП была лишь макетом орудия. Поэтому в 1933—1934 гг.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разработал проект новой установки — 305-мм самоходной полевой гаубицы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(СПГК). За проект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получил 700 тыс. рублей.</w:t>
      </w:r>
    </w:p>
    <w:p w14:paraId="713FA8CF"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323C144C"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ее прошли неудачно, и в 1935 г. в план работ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включил разработать рабочий чертеж и изготовить опытный образец 305-мм гаубицы СПГК-305.</w:t>
      </w:r>
    </w:p>
    <w:p w14:paraId="45E36E44"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410A0B8F"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Внутренний диаметр сопла у каморы 230 мм, а сзади диаметр 810 мм. Заглушка деревянная диаметром 305 мм толщиной 75 мм. Ее прижимали длинным </w:t>
      </w:r>
      <w:proofErr w:type="spellStart"/>
      <w:r w:rsidRPr="007122AB">
        <w:rPr>
          <w:rFonts w:ascii="Times New Roman" w:hAnsi="Times New Roman"/>
          <w:color w:val="000000" w:themeColor="text1"/>
          <w:sz w:val="16"/>
          <w:szCs w:val="16"/>
        </w:rPr>
        <w:t>прибойником</w:t>
      </w:r>
      <w:proofErr w:type="spellEnd"/>
      <w:r w:rsidRPr="007122AB">
        <w:rPr>
          <w:rFonts w:ascii="Times New Roman" w:hAnsi="Times New Roman"/>
          <w:color w:val="000000" w:themeColor="text1"/>
          <w:sz w:val="16"/>
          <w:szCs w:val="16"/>
        </w:rPr>
        <w:t xml:space="preserve"> к переднему срезу сопла.</w:t>
      </w:r>
    </w:p>
    <w:p w14:paraId="396A3328"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w:t>
      </w:r>
      <w:proofErr w:type="spellStart"/>
      <w:r w:rsidRPr="007122AB">
        <w:rPr>
          <w:rFonts w:ascii="Times New Roman" w:hAnsi="Times New Roman"/>
          <w:color w:val="000000" w:themeColor="text1"/>
          <w:sz w:val="16"/>
          <w:szCs w:val="16"/>
        </w:rPr>
        <w:t>прибойника</w:t>
      </w:r>
      <w:proofErr w:type="spellEnd"/>
      <w:r w:rsidRPr="007122AB">
        <w:rPr>
          <w:rFonts w:ascii="Times New Roman" w:hAnsi="Times New Roman"/>
          <w:color w:val="000000" w:themeColor="text1"/>
          <w:sz w:val="16"/>
          <w:szCs w:val="16"/>
        </w:rPr>
        <w:t>.</w:t>
      </w:r>
    </w:p>
    <w:p w14:paraId="3A3966F0"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Понятно, что эта ДРП была лишь макетом орудия. Поэтому в 1933—1934 гг.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разработал проект новой установки — 305-мм самоходной полевой гаубицы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(СПГК). За проект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получил 700 тыс. рублей.</w:t>
      </w:r>
    </w:p>
    <w:p w14:paraId="472EE41F"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6CF2586B"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ее прошли неудачно, и в 1935 г. в план работ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включил разработать рабочий чертеж и изготовить опытный образец 305-мм гаубицы СПГК-305.</w:t>
      </w:r>
    </w:p>
    <w:p w14:paraId="2836F4F0" w14:textId="77777777" w:rsidR="005C1E16" w:rsidRPr="007122AB" w:rsidRDefault="005C1E1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5F5F5C99" w14:textId="77777777" w:rsidR="005C1E16" w:rsidRPr="007122AB" w:rsidRDefault="005C1E16" w:rsidP="007122AB">
      <w:pPr>
        <w:spacing w:after="0" w:line="240" w:lineRule="auto"/>
        <w:jc w:val="both"/>
        <w:rPr>
          <w:rFonts w:ascii="Times New Roman" w:hAnsi="Times New Roman"/>
          <w:color w:val="000000" w:themeColor="text1"/>
          <w:sz w:val="16"/>
          <w:szCs w:val="16"/>
        </w:rPr>
      </w:pPr>
    </w:p>
    <w:p w14:paraId="687049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года стволы 107-мм минометов МС-107 были испытаны на прочность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(3861).</w:t>
      </w:r>
    </w:p>
    <w:p w14:paraId="36BBC2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0EDAA2"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стволы 107-мм минометов были испытаны на прочность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А с 1 по 11 августа 1931 г. были проведены испытания минометов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w:t>
      </w:r>
    </w:p>
    <w:p w14:paraId="40E6681F"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Химические мины снаряжались на заводе № 15, а фосфорные — на заводе № 80. Химическая мина типа Р-100 содержала 2,21 кг отравляющего вещества, состоящего из смеси 72 % вещества «Ю» и 28 % вещества «О», а мина Р-5 содержала 1,7 кг иприта. Дымовые мины снаряжены фосфором весом 7, 4 кг. На испытаниях в Гороховце дальность стрельбы миной весом 7,4 кг под углом 45° оказалась 2050 м.</w:t>
      </w:r>
    </w:p>
    <w:p w14:paraId="62353CFC"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ходе испытаний выяснилось:</w:t>
      </w:r>
    </w:p>
    <w:p w14:paraId="2F717394"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Осколочного действия мины не имеют совершенно, если не считать отрыва горловины и дробления запаянного стакана, которые, как правило, остаются в воронке. На всех зарядах на углах 45–55° система в основном устойчива.</w:t>
      </w:r>
    </w:p>
    <w:p w14:paraId="2E6BBB0D"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Из-за большого бокового и продольного рассеиваний исключалась возможность стрельбы по отдельным огневым точкам. Постоянные недолеты почти исключали возможность стрельбы через голову своих войск.</w:t>
      </w:r>
    </w:p>
    <w:p w14:paraId="75F3A3BB"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Система была излишне утяжелена — около 90 кг, особенно ствол (47,9 кг). Носка ствола одним человеком была невозможна, а двумя — неудобна. Ударник давал осечки. Опорная плита давала прогибы. Ноги миномета носили на плече, а плиту — за веревку в руках (как портфель). Дымный порох в хвостовом запальном патроне давал большой нагар, а дым демаскировал миномет. У взрывателя не было мгновенного действия.</w:t>
      </w:r>
    </w:p>
    <w:p w14:paraId="1EDD3E1D"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определения действия отравляющего вещества при взрыве мин было использовано 20 животных. Отчет об этом до сих пор строго засекречен.</w:t>
      </w:r>
    </w:p>
    <w:p w14:paraId="28A497B5"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Минометы МС-107 выпускались небольшими сериями. К весне 1933 г. в частях они использовались только как учебные. По неясным причинам, в ряде документов миномет МС-107 именовался «минометом обр. 1928/30 г.». На самом деле в 1928 г. этого миномета и в проекте не было.</w:t>
      </w:r>
    </w:p>
    <w:p w14:paraId="4D5CC4EF"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группа «Д» произвела модернизацию миномета МС-107. Модернизированный миномет получил название ХМ-107 обр. 1931 г. (ХМ — химический миномет). В конструкцию нового миномета был введен колесный ход и пружинный амортизатор, состоявший из четырех колец. Ход состоял из боевой оси, двух металлических колес и складных трубчатых поручней. При стрельбе ход легко отделялся.</w:t>
      </w:r>
    </w:p>
    <w:p w14:paraId="7AFBD7EB"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Опорная плита та же, что и у МС-107.На колесном ходу два номера расчета могли перевозить миномет на поле боя (рис. 10.8).</w:t>
      </w:r>
    </w:p>
    <w:p w14:paraId="2A973D12"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Миномет ХМ-107 был запущен в серийное производство.</w:t>
      </w:r>
    </w:p>
    <w:p w14:paraId="070EA832"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Данные миномета ХМ-107 </w:t>
      </w:r>
    </w:p>
    <w:p w14:paraId="585732AC"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Калибр, мм — 107</w:t>
      </w:r>
    </w:p>
    <w:p w14:paraId="243FC647"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Длина ствола, мм — 1400</w:t>
      </w:r>
    </w:p>
    <w:p w14:paraId="3DA66ACF"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Угол вертикального наведения, град — +45; +75</w:t>
      </w:r>
    </w:p>
    <w:p w14:paraId="345C58F2"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Площадь опорной плиты, см — 2500</w:t>
      </w:r>
    </w:p>
    <w:p w14:paraId="55CD1C45"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Толщина стенок ствола, мм — от 7 до 4</w:t>
      </w:r>
    </w:p>
    <w:p w14:paraId="38C27389"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Толщина листа плиты, мм — 7</w:t>
      </w:r>
    </w:p>
    <w:p w14:paraId="16D71AE6"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ствола, кг — около 30</w:t>
      </w:r>
    </w:p>
    <w:p w14:paraId="552FB202"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двуноги, кг — около 22</w:t>
      </w:r>
    </w:p>
    <w:p w14:paraId="21CCE95E"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колесного хода, кг — около 30</w:t>
      </w:r>
    </w:p>
    <w:p w14:paraId="4D21918A"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опорной плиты, кг — около 24,5</w:t>
      </w:r>
    </w:p>
    <w:p w14:paraId="1BD94589"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миномета в походном положении, кг — около 110</w:t>
      </w:r>
    </w:p>
    <w:p w14:paraId="794D498B"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 до 20</w:t>
      </w:r>
    </w:p>
    <w:p w14:paraId="250B6337"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Время перехода из походного положения в боевое, мин — 2–5</w:t>
      </w:r>
    </w:p>
    <w:p w14:paraId="40EA096D"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Стрельба из миномета ХМ-107 велась минами с восемью перьями. Вес мин — от 6,5 кг до 7,2 кг. Мины снаряжались веществами СОВ, НОВ[99] и фосфором. Ипритная мина заражала площадь 80–100 м2, а мина с НОВ создавала дымовое облако площадью около 80 м2 с концентрацией отравляющего вещества не менее 3 мг/литр в момент взрыва. Фосфорная мина создавала дымовое облако шириной 10 м и длиной по ветру около 100 м.</w:t>
      </w:r>
    </w:p>
    <w:p w14:paraId="6D786945"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испытаниях миномета ХМ-107 были получены следующие результаты: при стрельбе миной весом 6,5 кг полным зарядом (160 г) револьверного пороха под углом 45° и начальной скорости мины 210 м/с дальность составила 3252 м.</w:t>
      </w:r>
    </w:p>
    <w:p w14:paraId="3F6B71A1"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Было отмечено большое рассеивание — 1/50 по дальности.</w:t>
      </w:r>
    </w:p>
    <w:p w14:paraId="17F3072E" w14:textId="77777777" w:rsidR="001209D1" w:rsidRPr="007122AB" w:rsidRDefault="001209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завод «Красный Октябрь» изготовил несколько опытных 107-мм минометов ХМ-4. Внешне миномет был похож на МС-107 — схема мнимого треугольника, опорная плита прямоугольная. Длина ствола — 1700 мм. Вес ствола — 37 кг. Вес опорной плиты — 48 кг (12705).</w:t>
      </w:r>
    </w:p>
    <w:p w14:paraId="61673372" w14:textId="77777777" w:rsidR="001209D1" w:rsidRPr="007122AB" w:rsidRDefault="001209D1" w:rsidP="007122AB">
      <w:pPr>
        <w:spacing w:after="0" w:line="240" w:lineRule="auto"/>
        <w:jc w:val="both"/>
        <w:rPr>
          <w:rFonts w:ascii="Times New Roman" w:hAnsi="Times New Roman"/>
          <w:color w:val="000000" w:themeColor="text1"/>
          <w:sz w:val="16"/>
          <w:szCs w:val="16"/>
        </w:rPr>
      </w:pPr>
    </w:p>
    <w:p w14:paraId="7D87BB4F" w14:textId="77777777" w:rsidR="00A660BD" w:rsidRPr="007122AB" w:rsidRDefault="00A660BD" w:rsidP="007122AB">
      <w:pPr>
        <w:pStyle w:val="article-renderblock"/>
        <w:shd w:val="clear" w:color="auto" w:fill="FFFFFF"/>
        <w:spacing w:before="0" w:beforeAutospacing="0" w:after="0" w:afterAutospacing="0"/>
        <w:jc w:val="both"/>
        <w:rPr>
          <w:color w:val="000000" w:themeColor="text1"/>
          <w:sz w:val="16"/>
          <w:szCs w:val="16"/>
          <w:shd w:val="clear" w:color="auto" w:fill="FFFFFF"/>
        </w:rPr>
      </w:pPr>
      <w:r w:rsidRPr="007122AB">
        <w:rPr>
          <w:color w:val="000000" w:themeColor="text1"/>
          <w:sz w:val="16"/>
          <w:szCs w:val="16"/>
        </w:rPr>
        <w:t xml:space="preserve">По состоянию на май 1931 года корпус Т-19 собрали, но мотор всё еще находился в стадии испытаний. В дальнейшей мотор подвергался неоднократным доработкам, которые шли до самого конца 1931 года. Фактически единственный опытный образец танка сдали в самом конце декабря 1931 года. Поскольку с ним уже и так все было понятно, башню со спаренной установкой вооружения делать не стали. Не поставили и пулеметную установку в лобовой части корпуса. Судя по всему, каких-то крупных испытаний не проводилось, но скорость танка оказалась куда скромнее - около 20 км/ч. Позже опытный образец танка оказался в распоряжении Академии Механизации и Моторизации Красной Армии как учебное пособие. Там его жизненный путь и закончился. Для </w:t>
      </w:r>
      <w:proofErr w:type="spellStart"/>
      <w:r w:rsidRPr="007122AB">
        <w:rPr>
          <w:color w:val="000000" w:themeColor="text1"/>
          <w:sz w:val="16"/>
          <w:szCs w:val="16"/>
        </w:rPr>
        <w:t>Прахье</w:t>
      </w:r>
      <w:proofErr w:type="spellEnd"/>
      <w:r w:rsidRPr="007122AB">
        <w:rPr>
          <w:color w:val="000000" w:themeColor="text1"/>
          <w:sz w:val="16"/>
          <w:szCs w:val="16"/>
        </w:rPr>
        <w:t xml:space="preserve"> Т-19 стал последним танком, который он вел как ведущий инженер. Позже он преподавал в Ленинградском Индустриальном Институте, 18 января 1937 года его арестовали, обвинив во вредительской деятельности, а 5 мая того же года приговорили к ВМН. Приговор привели в исполнение на следующий день. 6 марта 1958 года </w:t>
      </w:r>
      <w:proofErr w:type="spellStart"/>
      <w:r w:rsidRPr="007122AB">
        <w:rPr>
          <w:color w:val="000000" w:themeColor="text1"/>
          <w:sz w:val="16"/>
          <w:szCs w:val="16"/>
        </w:rPr>
        <w:t>Прахье</w:t>
      </w:r>
      <w:proofErr w:type="spellEnd"/>
      <w:r w:rsidRPr="007122AB">
        <w:rPr>
          <w:color w:val="000000" w:themeColor="text1"/>
          <w:sz w:val="16"/>
          <w:szCs w:val="16"/>
        </w:rPr>
        <w:t xml:space="preserve"> был посмертно реабилитирован </w:t>
      </w:r>
      <w:r w:rsidRPr="007122AB">
        <w:rPr>
          <w:color w:val="000000" w:themeColor="text1"/>
          <w:sz w:val="16"/>
          <w:szCs w:val="16"/>
          <w:shd w:val="clear" w:color="auto" w:fill="FFFFFF"/>
        </w:rPr>
        <w:t>(20842)</w:t>
      </w:r>
    </w:p>
    <w:p w14:paraId="5B29B0FF" w14:textId="77777777" w:rsidR="00A660BD" w:rsidRPr="007122AB" w:rsidRDefault="00A660BD" w:rsidP="007122AB">
      <w:pPr>
        <w:spacing w:after="0" w:line="240" w:lineRule="auto"/>
        <w:jc w:val="both"/>
        <w:rPr>
          <w:rFonts w:ascii="Times New Roman" w:hAnsi="Times New Roman"/>
          <w:color w:val="000000" w:themeColor="text1"/>
          <w:sz w:val="16"/>
          <w:szCs w:val="16"/>
          <w:shd w:val="clear" w:color="auto" w:fill="FFFFFF"/>
        </w:rPr>
      </w:pPr>
    </w:p>
    <w:p w14:paraId="4D2FB0AD" w14:textId="77777777" w:rsidR="00A24023" w:rsidRPr="00441F34" w:rsidRDefault="00A24023" w:rsidP="00A2402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мае 1931 г. на совещании в Реввоенсовете СССР была поставлена точка в попытке запустить производство танков Т-18 на Мотовилихинском заводе который ввиду «малочисленности технического персонала по танкостроению», не смог справиться с возложенным на него заданием[34]: «Больше танковых заказов на Мотовилиху не давать»[35]. Кроме того, в 1928 г. начиналась подготовка выпуска нового танка Т-12 (впрочем, тоже имевшего в своей основе всё тот же «Рено ФТ») на Харьковском паровозостроительном заводе им. Коминтерна при условии запуска его производства в 1929 году. По планам на 1929-1930 </w:t>
      </w:r>
      <w:proofErr w:type="spellStart"/>
      <w:r w:rsidRPr="00441F34">
        <w:rPr>
          <w:rFonts w:ascii="Times New Roman" w:hAnsi="Times New Roman"/>
          <w:color w:val="0070C0"/>
          <w:sz w:val="16"/>
          <w:szCs w:val="16"/>
        </w:rPr>
        <w:t>х.г</w:t>
      </w:r>
      <w:proofErr w:type="spellEnd"/>
      <w:r w:rsidRPr="00441F34">
        <w:rPr>
          <w:rFonts w:ascii="Times New Roman" w:hAnsi="Times New Roman"/>
          <w:color w:val="0070C0"/>
          <w:sz w:val="16"/>
          <w:szCs w:val="16"/>
        </w:rPr>
        <w:t>. необходимо было изготовить 30 таких танков[36] (23536).</w:t>
      </w:r>
    </w:p>
    <w:p w14:paraId="3999AA19" w14:textId="77777777" w:rsidR="00A24023" w:rsidRPr="00441F34" w:rsidRDefault="00A24023" w:rsidP="00A24023">
      <w:pPr>
        <w:spacing w:after="0" w:line="240" w:lineRule="auto"/>
        <w:jc w:val="both"/>
        <w:rPr>
          <w:rFonts w:ascii="Times New Roman" w:hAnsi="Times New Roman"/>
          <w:color w:val="0070C0"/>
          <w:sz w:val="16"/>
          <w:szCs w:val="16"/>
        </w:rPr>
      </w:pPr>
    </w:p>
    <w:p w14:paraId="697804AB" w14:textId="77777777" w:rsidR="00A660BD" w:rsidRPr="007122AB" w:rsidRDefault="00A660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осторожно была высказана мысль, что надо бы Т-21 отменить. Сделано это было в июне. Еще одна танкетка на базе Т-17, получившая обозначения Т-25, даже не дошла до стадии изготовления. По большому счету, это была скорее совсем другая машина, схожая только по габаритам. 2-местная боевая машина с 30-сильным мотором должна была развивать скорость до 35 км/ч (22298).</w:t>
      </w:r>
    </w:p>
    <w:p w14:paraId="3C5812C0" w14:textId="77777777" w:rsidR="00A660BD" w:rsidRPr="007122AB" w:rsidRDefault="00A660BD" w:rsidP="007122AB">
      <w:pPr>
        <w:spacing w:after="0" w:line="240" w:lineRule="auto"/>
        <w:jc w:val="both"/>
        <w:rPr>
          <w:rFonts w:ascii="Times New Roman" w:hAnsi="Times New Roman"/>
          <w:color w:val="000000" w:themeColor="text1"/>
          <w:sz w:val="16"/>
          <w:szCs w:val="16"/>
        </w:rPr>
      </w:pPr>
    </w:p>
    <w:p w14:paraId="4F2D7E0C" w14:textId="77777777" w:rsidR="005C1E16" w:rsidRPr="007122AB" w:rsidRDefault="005C1E16" w:rsidP="007122AB">
      <w:pPr>
        <w:pStyle w:val="a3"/>
        <w:rPr>
          <w:color w:val="000000" w:themeColor="text1"/>
          <w:lang w:val="ru-RU"/>
        </w:rPr>
      </w:pPr>
      <w:r w:rsidRPr="007122AB">
        <w:rPr>
          <w:color w:val="000000" w:themeColor="text1"/>
          <w:lang w:val="ru-RU"/>
        </w:rPr>
        <w:t>В мае 1931 была проведена очередная корректировка сроков график поставки 12-ти тонных танков Виккерс, который теперь выглядел следующим образом: 4-я ма</w:t>
      </w:r>
      <w:r w:rsidRPr="007122AB">
        <w:rPr>
          <w:color w:val="000000" w:themeColor="text1"/>
          <w:lang w:val="ru-RU"/>
        </w:rPr>
        <w:softHyphen/>
        <w:t>шина - 15 мая; 5-я - 22 мая; 6-я - 29 мая; 7-я - 5 июня; 8-я - 12 июня; 9-я - 17 июня; 10-я - 6 августа; 11-я - 13 августа; 12-я - 20 августа; 13-я-27 августа; 14-я - 3 сентября; 15-я-15 сентября. Для экономии времени предлагалось к середине мая предъявить на приемные испытания первые шесть машин (начиная с танка №4) без башен; в ходе их проведения установить доработанные башни (должны быть предоставлены к 1 июня) и по завершении необходимых дополни</w:t>
      </w:r>
      <w:r w:rsidRPr="007122AB">
        <w:rPr>
          <w:color w:val="000000" w:themeColor="text1"/>
          <w:lang w:val="ru-RU"/>
        </w:rPr>
        <w:softHyphen/>
        <w:t>тельных испытаний отправить танки в СССР. Однако англичане и на этот раз подвели, и от этого замысла пришлось отказаться (15745).</w:t>
      </w:r>
    </w:p>
    <w:p w14:paraId="1F495FD6" w14:textId="77777777" w:rsidR="005C1E16" w:rsidRPr="007122AB" w:rsidRDefault="005C1E16" w:rsidP="007122AB">
      <w:pPr>
        <w:pStyle w:val="a3"/>
        <w:rPr>
          <w:color w:val="000000" w:themeColor="text1"/>
          <w:lang w:val="ru-RU"/>
        </w:rPr>
      </w:pPr>
    </w:p>
    <w:p w14:paraId="5CEE6789" w14:textId="77777777" w:rsidR="00B72A27" w:rsidRPr="007122AB" w:rsidRDefault="00B72A27"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мае 1931 г. Во исполнение </w:t>
      </w:r>
      <w:hyperlink r:id="rId107" w:tgtFrame="_blank" w:history="1">
        <w:r w:rsidRPr="007122AB">
          <w:rPr>
            <w:rFonts w:ascii="Times New Roman" w:eastAsia="Times New Roman" w:hAnsi="Times New Roman"/>
            <w:color w:val="000000" w:themeColor="text1"/>
            <w:sz w:val="16"/>
            <w:szCs w:val="16"/>
            <w:lang w:eastAsia="ru-RU"/>
          </w:rPr>
          <w:t>приказа Высшего Совета Народного Хозяйства СССР № 73сс</w:t>
        </w:r>
      </w:hyperlink>
      <w:r w:rsidRPr="007122AB">
        <w:rPr>
          <w:rFonts w:ascii="Times New Roman" w:eastAsia="Times New Roman" w:hAnsi="Times New Roman"/>
          <w:color w:val="000000" w:themeColor="text1"/>
          <w:sz w:val="16"/>
          <w:szCs w:val="16"/>
          <w:lang w:eastAsia="ru-RU"/>
        </w:rPr>
        <w:t xml:space="preserve"> на ХПЗ было создано конструкторское бюро (КБ) под руководством С.А. Гинзбурга. Основной задачей созданного КБ являлась разработка в сжатые сроки чертежей для обеспечения начала серийного выпуска на ХПЗ танков «Кристи». Необходимо отметить, что С.А. Гинзбург возглавлял данное КБ только в мае – июле 1931 г., а с июля по декабрь 1931 г. обязанности начальника КБ выполнял военинженер 2 ранга Н.М. </w:t>
      </w:r>
      <w:proofErr w:type="spellStart"/>
      <w:r w:rsidRPr="007122AB">
        <w:rPr>
          <w:rFonts w:ascii="Times New Roman" w:eastAsia="Times New Roman" w:hAnsi="Times New Roman"/>
          <w:color w:val="000000" w:themeColor="text1"/>
          <w:sz w:val="16"/>
          <w:szCs w:val="16"/>
          <w:lang w:eastAsia="ru-RU"/>
        </w:rPr>
        <w:t>Тоскин</w:t>
      </w:r>
      <w:proofErr w:type="spellEnd"/>
      <w:r w:rsidRPr="007122AB">
        <w:rPr>
          <w:rFonts w:ascii="Times New Roman" w:eastAsia="Times New Roman" w:hAnsi="Times New Roman"/>
          <w:color w:val="000000" w:themeColor="text1"/>
          <w:sz w:val="16"/>
          <w:szCs w:val="16"/>
          <w:lang w:eastAsia="ru-RU"/>
        </w:rPr>
        <w:t xml:space="preserve">. В ходе организации производства в течение 7 месяцев в чертежи опытного танка «Кристи» конструкторами и технологами было внесено 1293 изменений. Большая часть вносимых в чертежи изменений была вызвана переводом конструкторской документации (КД) по танку «Кристи» с английской системы мер на используемую в СССР метрическую систему – дюймовые размеры деталей переводились в метрические. В связи с тем, что у полученных из США двух танков отсутствовали башни, башню с установкой вооружения для танка, получившего название БТ-2, конструкторам ХПЗ пришлось проектировать «с нуля» самостоятельно. Основным оружием танка БТ-2 являлась 37-мм пушка Б-3, но так как промышленность СССР не смогла обеспечить требуемый выпуск пушек, часть танков была оснащена спаренной установкой 7,62-мм пулеметов Дегтярева (ДТ). </w:t>
      </w:r>
    </w:p>
    <w:p w14:paraId="4106E7F5" w14:textId="77777777" w:rsidR="00B72A27" w:rsidRPr="007122AB" w:rsidRDefault="00B72A27"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lastRenderedPageBreak/>
        <w:t xml:space="preserve">Основу силовой установки танка БТ-2 составлял карбюраторный (бензиновый) отечественный двигатель М-5 либо закупавшийся в США двигатель «Либерти» с эксплуатационной мощностью 360 л.с. (265 кВт), обеспечивавший танку возможность двигаться со скоростью до 52 км/ч на гусеницах и до 72 км/ч на колёсах. Главной особенностью танка БТ-2, отличавшей его от всех остальных танков, состоявших в то время на вооружении РККА, была его высокая оперативная подвижность, которая обеспечивалась колесно-гусеничным движителем совмещенного типа. Следует подчеркнуть, что в созданной Дж. Уолтером Кристи конструкции ходовой части танка больше половины элементов колёсно-гусеничного движителя были задействованы и для движения на гусеницах и для движения на колёсах. Так, восемь опорных катков большого диаметра с наружной резиновой амортизацией при движении танка со снятыми гусеницами выполняли роль колёс. При этом первая пара опорных катков выполняла роль управляемых колёс, а последняя (четвертая) – ведущих колёс. Передача крутящего момента на ведущие колёса осуществлялась от бортовых редукторов с помощью шестеренчатых редукторов («гитар»). Переход с одного типа движения на другой осуществлялся силами экипажа в течение 30 минут. При подготовке танка к движению на колёсах каждая гусеница разъединялась на четыре части, которые укладывались на специальные </w:t>
      </w:r>
      <w:proofErr w:type="spellStart"/>
      <w:r w:rsidRPr="007122AB">
        <w:rPr>
          <w:rFonts w:ascii="Times New Roman" w:eastAsia="Times New Roman" w:hAnsi="Times New Roman"/>
          <w:color w:val="000000" w:themeColor="text1"/>
          <w:sz w:val="16"/>
          <w:szCs w:val="16"/>
          <w:lang w:eastAsia="ru-RU"/>
        </w:rPr>
        <w:t>надгусеничные</w:t>
      </w:r>
      <w:proofErr w:type="spellEnd"/>
      <w:r w:rsidRPr="007122AB">
        <w:rPr>
          <w:rFonts w:ascii="Times New Roman" w:eastAsia="Times New Roman" w:hAnsi="Times New Roman"/>
          <w:color w:val="000000" w:themeColor="text1"/>
          <w:sz w:val="16"/>
          <w:szCs w:val="16"/>
          <w:lang w:eastAsia="ru-RU"/>
        </w:rPr>
        <w:t xml:space="preserve"> полки, располагавшиеся по бортам танка, и крепились к ним ремнями.</w:t>
      </w:r>
    </w:p>
    <w:p w14:paraId="40FD7F24" w14:textId="77777777" w:rsidR="00B72A27" w:rsidRPr="007122AB" w:rsidRDefault="00B72A27"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Работы по совершенствованию танков серии БТ велись на ХПЗ в основном в опытном цехе Т2О («Т» – танковый отдел, «2» – порядковый номер отдела, «О» – опытный цех) отдела Т2. Этот опытный цех был создан в марте 1932 г. в виде опытно-исследовательской секции Т2Ки при конструкторском бюро Т2К, начальником которого с 6 декабря 1931 г. являлся А.О. Фирсов. </w:t>
      </w:r>
    </w:p>
    <w:p w14:paraId="58035973" w14:textId="77777777" w:rsidR="00B72A27" w:rsidRPr="007122AB" w:rsidRDefault="00B72A27"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Результатом работ по усовершенствованию танка БТ-2, проводившихся конструкторами и технологами ХПЗ совместно с военнослужащими Управления по механизации и моторизации (</w:t>
      </w:r>
      <w:proofErr w:type="spellStart"/>
      <w:r w:rsidRPr="007122AB">
        <w:rPr>
          <w:rFonts w:ascii="Times New Roman" w:eastAsia="Times New Roman" w:hAnsi="Times New Roman"/>
          <w:color w:val="000000" w:themeColor="text1"/>
          <w:sz w:val="16"/>
          <w:szCs w:val="16"/>
          <w:lang w:eastAsia="ru-RU"/>
        </w:rPr>
        <w:t>УМиМ</w:t>
      </w:r>
      <w:proofErr w:type="spellEnd"/>
      <w:r w:rsidRPr="007122AB">
        <w:rPr>
          <w:rFonts w:ascii="Times New Roman" w:eastAsia="Times New Roman" w:hAnsi="Times New Roman"/>
          <w:color w:val="000000" w:themeColor="text1"/>
          <w:sz w:val="16"/>
          <w:szCs w:val="16"/>
          <w:lang w:eastAsia="ru-RU"/>
        </w:rPr>
        <w:t xml:space="preserve">) РККА, стало создание колесно-гусеничного танка БТ-5, серийное производство которого было организовано на ХПЗ в 1933 г. От танка БТ-2 танк БТ-5 отличался главным образом установкой в новой двухместной башне более мощной 45-мм танковой пушки, спаренной с пулеметом ДТ, в связи с чем боевая масса танка возросла на 700 кг и составила 11,7 т. </w:t>
      </w:r>
    </w:p>
    <w:p w14:paraId="138B74A9" w14:textId="77777777" w:rsidR="00B72A27" w:rsidRPr="007122AB" w:rsidRDefault="00B72A27"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Параллельно с выпуском танков БТ-5 на ХПЗ в конструкторском бюро Т2К продолжалась работа по дальнейшему совершенствованию боевых свойств этой машины. Результатом проводимых опытно-конструкторских работ (ОКР) явилось создание колесно-гусеничного танка БТ-7. Этот танк был создан на базе танка БТ-5, но имел усиленную броневую защиту корпуса, в котором основная часть броневых листов соединялась с помощью сварки. Башня и вооружение на танках первого выпуска были такими же, как и на танке БТ-5, но измененная конструкция корпуса позволяла устанавливать башню и с более мощной 76,2-мм танковой пушкой. Значительным изменениям подверглась силовая установка – вместо авиационного бензинового двигателя М-5 или «Либерти» в танке БТ-7 стал устанавливаться более надежный двигатель М-17-Т, с эксплуатационной мощностью 400 л.с. (294 кВт). Увеличение емкости топливных баков с 360 до 800 л позволило в два с лишним раза повысить запас хода танка. Серийный выпуск танков БТ-7 начался на ХПЗ в 1935 г. (17502). </w:t>
      </w:r>
    </w:p>
    <w:p w14:paraId="68072FBD" w14:textId="77777777" w:rsidR="00B72A27" w:rsidRPr="007122AB" w:rsidRDefault="00B72A27" w:rsidP="007122AB">
      <w:pPr>
        <w:spacing w:after="0" w:line="240" w:lineRule="auto"/>
        <w:jc w:val="both"/>
        <w:rPr>
          <w:rFonts w:ascii="Times New Roman" w:eastAsia="Times New Roman" w:hAnsi="Times New Roman"/>
          <w:color w:val="000000" w:themeColor="text1"/>
          <w:sz w:val="16"/>
          <w:szCs w:val="16"/>
          <w:lang w:eastAsia="ru-RU"/>
        </w:rPr>
      </w:pPr>
    </w:p>
    <w:p w14:paraId="76BF5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КБ ХПЗ руководил </w:t>
      </w:r>
      <w:proofErr w:type="spellStart"/>
      <w:r w:rsidRPr="007122AB">
        <w:rPr>
          <w:rFonts w:ascii="Times New Roman" w:hAnsi="Times New Roman"/>
          <w:color w:val="000000" w:themeColor="text1"/>
          <w:sz w:val="16"/>
          <w:szCs w:val="16"/>
        </w:rPr>
        <w:t>Н.М.Тоскин</w:t>
      </w:r>
      <w:proofErr w:type="spellEnd"/>
      <w:r w:rsidRPr="007122AB">
        <w:rPr>
          <w:rFonts w:ascii="Times New Roman" w:hAnsi="Times New Roman"/>
          <w:color w:val="000000" w:themeColor="text1"/>
          <w:sz w:val="16"/>
          <w:szCs w:val="16"/>
        </w:rPr>
        <w:t xml:space="preserve">, а с декабря 1931 - </w:t>
      </w:r>
      <w:proofErr w:type="spellStart"/>
      <w:r w:rsidRPr="007122AB">
        <w:rPr>
          <w:rFonts w:ascii="Times New Roman" w:hAnsi="Times New Roman"/>
          <w:color w:val="000000" w:themeColor="text1"/>
          <w:sz w:val="16"/>
          <w:szCs w:val="16"/>
        </w:rPr>
        <w:t>А.О.Фирсов</w:t>
      </w:r>
      <w:proofErr w:type="spellEnd"/>
      <w:r w:rsidRPr="007122AB">
        <w:rPr>
          <w:rFonts w:ascii="Times New Roman" w:hAnsi="Times New Roman"/>
          <w:color w:val="000000" w:themeColor="text1"/>
          <w:sz w:val="16"/>
          <w:szCs w:val="16"/>
        </w:rPr>
        <w:t xml:space="preserve"> (9527,62).</w:t>
      </w:r>
    </w:p>
    <w:p w14:paraId="255DB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FCA7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мая 1931 10 самоходных 76 мм </w:t>
      </w:r>
      <w:proofErr w:type="spellStart"/>
      <w:r w:rsidRPr="007122AB">
        <w:rPr>
          <w:rFonts w:ascii="Times New Roman" w:hAnsi="Times New Roman"/>
          <w:color w:val="000000" w:themeColor="text1"/>
          <w:sz w:val="16"/>
          <w:szCs w:val="16"/>
        </w:rPr>
        <w:t>динамореактивных</w:t>
      </w:r>
      <w:proofErr w:type="spellEnd"/>
      <w:r w:rsidRPr="007122AB">
        <w:rPr>
          <w:rFonts w:ascii="Times New Roman" w:hAnsi="Times New Roman"/>
          <w:color w:val="000000" w:themeColor="text1"/>
          <w:sz w:val="16"/>
          <w:szCs w:val="16"/>
        </w:rPr>
        <w:t xml:space="preserve"> пушек на базе Форд-АА были переданы на испытания в механизированные части (9527,261).</w:t>
      </w:r>
    </w:p>
    <w:p w14:paraId="52AA7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903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w:t>
      </w:r>
      <w:proofErr w:type="spellStart"/>
      <w:r w:rsidRPr="007122AB">
        <w:rPr>
          <w:rFonts w:ascii="Times New Roman" w:hAnsi="Times New Roman"/>
          <w:color w:val="000000" w:themeColor="text1"/>
          <w:sz w:val="16"/>
          <w:szCs w:val="16"/>
        </w:rPr>
        <w:t>бронетракторы</w:t>
      </w:r>
      <w:proofErr w:type="spellEnd"/>
      <w:r w:rsidRPr="007122AB">
        <w:rPr>
          <w:rFonts w:ascii="Times New Roman" w:hAnsi="Times New Roman"/>
          <w:color w:val="000000" w:themeColor="text1"/>
          <w:sz w:val="16"/>
          <w:szCs w:val="16"/>
        </w:rPr>
        <w:t xml:space="preserve"> Д-10, Д-11 и Д-14 прибыли на НИБП УММ РККА (ст. Кубинка) для проверки их боевых и эксплуатационных качеств (4306).</w:t>
      </w:r>
    </w:p>
    <w:p w14:paraId="6813D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7E1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был изготовлен разработанный весной 1931 под руководством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ба Д-9 на шасси трехосного полноприводного Мериленда (9527,325)</w:t>
      </w:r>
    </w:p>
    <w:p w14:paraId="0FA2C1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E016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КО СССР принял решение о передаче заказа на танки типа «БТ-Кристи» с чрезмерно загруженного «Боль</w:t>
      </w:r>
      <w:r w:rsidRPr="007122AB">
        <w:rPr>
          <w:rFonts w:ascii="Times New Roman" w:hAnsi="Times New Roman"/>
          <w:color w:val="000000" w:themeColor="text1"/>
          <w:sz w:val="16"/>
          <w:szCs w:val="16"/>
        </w:rPr>
        <w:softHyphen/>
        <w:t>шевика» в Харьков. Это решение было вполне разумным. Имевшиеся на заводе станочный и инструментальный парки позволяли практически полностью изготовить этот танк, лишь двига</w:t>
      </w:r>
      <w:r w:rsidRPr="007122AB">
        <w:rPr>
          <w:rFonts w:ascii="Times New Roman" w:hAnsi="Times New Roman"/>
          <w:color w:val="000000" w:themeColor="text1"/>
          <w:sz w:val="16"/>
          <w:szCs w:val="16"/>
        </w:rPr>
        <w:softHyphen/>
        <w:t>тели, вооружение, радиаторы, конические шестерни КПП и литье предполагалось получать по кооперации (10733,194).</w:t>
      </w:r>
    </w:p>
    <w:p w14:paraId="3CD680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0E53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начальник инженерно-конструкторского бюро по танкам А. Адамс указывал, что процесс полного копирования не был достаточно обоснован и танк БТ требовал доработок (10733,198).</w:t>
      </w:r>
    </w:p>
    <w:p w14:paraId="1CB1AA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DD3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под Нижним Новгородом, у деревни Монастырка заложили большой завод полного цикла, рассчитанный уже не на 100 000, а на 140 000 машин, Он начал давать продукцию в январе 1932 г.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5095F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24716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Особенно трудно было научить людей, привыкших к поштучной работе, работать на конвейере или на скоростных станках. Специалист по производству тракторов </w:t>
      </w:r>
      <w:proofErr w:type="spellStart"/>
      <w:r w:rsidRPr="007122AB">
        <w:rPr>
          <w:rFonts w:ascii="Times New Roman" w:hAnsi="Times New Roman"/>
          <w:color w:val="000000" w:themeColor="text1"/>
          <w:sz w:val="16"/>
          <w:szCs w:val="16"/>
        </w:rPr>
        <w:t>П.Макгрегор</w:t>
      </w:r>
      <w:proofErr w:type="spellEnd"/>
      <w:r w:rsidRPr="007122AB">
        <w:rPr>
          <w:rFonts w:ascii="Times New Roman" w:hAnsi="Times New Roman"/>
          <w:color w:val="000000" w:themeColor="text1"/>
          <w:sz w:val="16"/>
          <w:szCs w:val="16"/>
        </w:rPr>
        <w:t xml:space="preserve">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2CB2A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5E10BB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Вместо 72 000 комплектов к 1932/33 финансовому году их было закуплено вдвое меньше (11506).</w:t>
      </w:r>
    </w:p>
    <w:p w14:paraId="430442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654B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заводом КИМ впервые в стране была предложена и успешно внедрена сдельная оплата труда в условиях конвейерного производства (до того в этих условиях считалась нормой и применялась лишь повременная форма оплаты), обеспечившая резкое увеличение производительности труда и впоследствии, после бурной дискуссии в прессе, внедренная на всех остальных автозаводах страны. В 1936 году инженерами завода впервые в стране был разработан и освоен новый метод погрузочно-разгрузочных работ на железнодорожном транспорте, предусматривавший погрузку грузовых автомобилей на железнодорожные платформы звеньями по три автомобиля, с погрузкой их передних осей на платформу впередистоящего автомобиля, что позволило в полтора раза уменьшить потребное для перевозок количество подвижного состава. Этот метод «Елочка» был одобрен коллегией НКПС СССР и впоследствии применялся на всех железных дорогах страны (10766).</w:t>
      </w:r>
    </w:p>
    <w:p w14:paraId="6A0B62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C9C52E"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была заключена серия договоров между заводом им. Коминтерна и ВТУ В соответствии с ними были изготовлены:</w:t>
      </w:r>
    </w:p>
    <w:p w14:paraId="449E5A6A"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одна фронтовая радио</w:t>
      </w:r>
      <w:r w:rsidRPr="007122AB">
        <w:rPr>
          <w:rFonts w:ascii="Times New Roman" w:hAnsi="Times New Roman"/>
          <w:color w:val="000000" w:themeColor="text1"/>
          <w:sz w:val="16"/>
          <w:szCs w:val="16"/>
        </w:rPr>
        <w:softHyphen/>
        <w:t>станция 1ВФ;</w:t>
      </w:r>
    </w:p>
    <w:p w14:paraId="09FF7325"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тринадцать комплектов специальных передатчиков типа 44ПА, 45ПА, 46ПД, 47ПД;</w:t>
      </w:r>
    </w:p>
    <w:p w14:paraId="27F115BB"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- 206 артиллерийских радиостанций 31ДП;</w:t>
      </w:r>
    </w:p>
    <w:p w14:paraId="66DB5EC1"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станции на ИК-лучах (БЛОК1, ИКА1, ИКА2);</w:t>
      </w:r>
    </w:p>
    <w:p w14:paraId="08CEF852"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два опытных образца полевых радиомаяков для ВВС типа 13А(19098).</w:t>
      </w:r>
    </w:p>
    <w:p w14:paraId="07190BFA"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66ED3369"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в проекте постановления СТО «О состоянии военно-химического дела» говорилось, что в артиллерии в наличии имелось 420 тыс. новых боеприпасов, снаряженных ипритом, фосгеном и дифосгеном, и 400 тыс. старых химснарядов подлежали перезарядке. Были успешно испытаны дистанционные химические снаряды и новые взрыватели к ним. На вооружении авиации находились 8- и 32-килограммовые бомбы, снаряженные ипритом (для заражения местности) и 8-килограммовые осколочно-химические бомбы, снаряженные </w:t>
      </w:r>
      <w:proofErr w:type="spellStart"/>
      <w:r w:rsidRPr="007122AB">
        <w:rPr>
          <w:rFonts w:ascii="Times New Roman" w:hAnsi="Times New Roman"/>
          <w:color w:val="000000" w:themeColor="text1"/>
          <w:sz w:val="16"/>
          <w:szCs w:val="16"/>
        </w:rPr>
        <w:t>хлорацетофеном</w:t>
      </w:r>
      <w:proofErr w:type="spellEnd"/>
      <w:r w:rsidRPr="007122AB">
        <w:rPr>
          <w:rFonts w:ascii="Times New Roman" w:hAnsi="Times New Roman"/>
          <w:color w:val="000000" w:themeColor="text1"/>
          <w:sz w:val="16"/>
          <w:szCs w:val="16"/>
        </w:rPr>
        <w:t xml:space="preserve"> (для поражения и изматывания живой силы противника). На 1 мая 1931 г.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Имелось также 75 комплектов выливных авиационных приборов ВАП-4, и до конца года планировалось поставить еще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w:t>
      </w:r>
    </w:p>
    <w:p w14:paraId="34DA28D3"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1930 г. и первой половине 1931 г. в РККА был проведен ряд крупных химических испытаний, на которых изучались и совершенствовались средства химической войны: ипритные и осколочно-химические снаряды, стойкие ОВ с использованием </w:t>
      </w:r>
      <w:proofErr w:type="spellStart"/>
      <w:r w:rsidRPr="007122AB">
        <w:rPr>
          <w:rFonts w:ascii="Times New Roman" w:hAnsi="Times New Roman"/>
          <w:color w:val="000000" w:themeColor="text1"/>
          <w:sz w:val="16"/>
          <w:szCs w:val="16"/>
        </w:rPr>
        <w:t>ВАПов</w:t>
      </w:r>
      <w:proofErr w:type="spellEnd"/>
      <w:r w:rsidRPr="007122AB">
        <w:rPr>
          <w:rFonts w:ascii="Times New Roman" w:hAnsi="Times New Roman"/>
          <w:color w:val="000000" w:themeColor="text1"/>
          <w:sz w:val="16"/>
          <w:szCs w:val="16"/>
        </w:rPr>
        <w:t xml:space="preserve">, ядовитые дымы. На всех этих испытаниях проверялись противогазы различных конструкций. Химические войска РККА в 1931 г. состояли из пяти батальонов. Для них военно-химической службой Красной Армии только в 1930 г. были </w:t>
      </w:r>
      <w:r w:rsidRPr="007122AB">
        <w:rPr>
          <w:rFonts w:ascii="Times New Roman" w:hAnsi="Times New Roman"/>
          <w:color w:val="000000" w:themeColor="text1"/>
          <w:sz w:val="16"/>
          <w:szCs w:val="16"/>
        </w:rPr>
        <w:lastRenderedPageBreak/>
        <w:t xml:space="preserve">испытаны и переданы на вооружение ядовито-дымные шашки, дымовые шашки, прибор ВАП-4, ранцевый прибор для заражения, фильтр для огневых точек. В это же время в стадии войсковых испытаний находились разборный боевой противогаз, химическая боевая машина, химический фугас, </w:t>
      </w:r>
      <w:proofErr w:type="spellStart"/>
      <w:r w:rsidRPr="007122AB">
        <w:rPr>
          <w:rFonts w:ascii="Times New Roman" w:hAnsi="Times New Roman"/>
          <w:color w:val="000000" w:themeColor="text1"/>
          <w:sz w:val="16"/>
          <w:szCs w:val="16"/>
        </w:rPr>
        <w:t>дымприбор</w:t>
      </w:r>
      <w:proofErr w:type="spellEnd"/>
      <w:r w:rsidRPr="007122AB">
        <w:rPr>
          <w:rFonts w:ascii="Times New Roman" w:hAnsi="Times New Roman"/>
          <w:color w:val="000000" w:themeColor="text1"/>
          <w:sz w:val="16"/>
          <w:szCs w:val="16"/>
        </w:rPr>
        <w:t xml:space="preserve"> для танка, передвижной дымовой прибор, мортира СТО-КСА (35-миллиметровый миномет), новые рецептуры для </w:t>
      </w:r>
      <w:proofErr w:type="spellStart"/>
      <w:r w:rsidRPr="007122AB">
        <w:rPr>
          <w:rFonts w:ascii="Times New Roman" w:hAnsi="Times New Roman"/>
          <w:color w:val="000000" w:themeColor="text1"/>
          <w:sz w:val="16"/>
          <w:szCs w:val="16"/>
        </w:rPr>
        <w:t>ВАПов</w:t>
      </w:r>
      <w:proofErr w:type="spellEnd"/>
      <w:r w:rsidRPr="007122AB">
        <w:rPr>
          <w:rFonts w:ascii="Times New Roman" w:hAnsi="Times New Roman"/>
          <w:color w:val="000000" w:themeColor="text1"/>
          <w:sz w:val="16"/>
          <w:szCs w:val="16"/>
        </w:rPr>
        <w:t xml:space="preserve"> и химснарядов.</w:t>
      </w:r>
    </w:p>
    <w:p w14:paraId="305CECC9"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Достигнутые результаты были немалыми, но они были далеки от тех целей, которые ставились перед руководством РККА. Поэтому в упомянутом проекте постановления СТО говорилось:</w:t>
      </w:r>
    </w:p>
    <w:p w14:paraId="77F4B574"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«Учитывая исключительную важность средств </w:t>
      </w:r>
      <w:proofErr w:type="spellStart"/>
      <w:r w:rsidRPr="007122AB">
        <w:rPr>
          <w:rFonts w:ascii="Times New Roman" w:hAnsi="Times New Roman"/>
          <w:color w:val="000000" w:themeColor="text1"/>
          <w:sz w:val="16"/>
          <w:szCs w:val="16"/>
        </w:rPr>
        <w:t>химборьбы</w:t>
      </w:r>
      <w:proofErr w:type="spellEnd"/>
      <w:r w:rsidRPr="007122AB">
        <w:rPr>
          <w:rFonts w:ascii="Times New Roman" w:hAnsi="Times New Roman"/>
          <w:color w:val="000000" w:themeColor="text1"/>
          <w:sz w:val="16"/>
          <w:szCs w:val="16"/>
        </w:rPr>
        <w:t xml:space="preserve"> в современной войне, не ликвидированную в то же время отсталость </w:t>
      </w:r>
      <w:proofErr w:type="spellStart"/>
      <w:r w:rsidRPr="007122AB">
        <w:rPr>
          <w:rFonts w:ascii="Times New Roman" w:hAnsi="Times New Roman"/>
          <w:color w:val="000000" w:themeColor="text1"/>
          <w:sz w:val="16"/>
          <w:szCs w:val="16"/>
        </w:rPr>
        <w:t>химвооружения</w:t>
      </w:r>
      <w:proofErr w:type="spellEnd"/>
      <w:r w:rsidRPr="007122AB">
        <w:rPr>
          <w:rFonts w:ascii="Times New Roman" w:hAnsi="Times New Roman"/>
          <w:color w:val="000000" w:themeColor="text1"/>
          <w:sz w:val="16"/>
          <w:szCs w:val="16"/>
        </w:rPr>
        <w:t xml:space="preserve"> РККА и необходимость добиться решительного перелома в 1931 г. Комиссия Обороны постановляет: Президиуму ВСНХ &lt;…&gt; 2. Приравнять капитальное строительство по хлору, сере, мышьяку и отравляющим веществам к ударным наравне со строительством военной промышленности и обеспечить выполнение в срок заказов на оборудование, завоз импортного имущества, необходимые стройматериалы, рабсилу и техперсонал. Особо усилить темпы строительства по противогазу в целях скорейшего обеспечения потребностей не только РККА, но и гражданского населения» (18265).</w:t>
      </w:r>
    </w:p>
    <w:p w14:paraId="01E22C90"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5CD44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вопрос о развитии ТГМЗ (к тому времени получившего звание имени А.А. Андреева - первого секретаря Северо-Кавказского крайкома партии) обсуждался Президиумом ЦК ВКП (б) и коллегией НК РКИ. По итогам заседания было издано постановление, в котором говорилось:</w:t>
      </w:r>
    </w:p>
    <w:p w14:paraId="56FCE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"…учитывая настойчивое требование хозяйственных, партийных и профсоюзных организаций Таганрога, Президиум ЦК ВКП (б) и коллегия НК РКИ предлагают Гипромезу не позднее 15 июня представить обоснованные расчеты строительства в Таганроге трубного завода". </w:t>
      </w:r>
    </w:p>
    <w:p w14:paraId="3EF42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Модернизация завода - также как и его основание, не прошла без участия иностранцев. Согласно плану реконструкции ТГМЗ предполагалось фактически построить новое производство – в составе нового мартеновского (№ 2), трубопрокатного и трубоэлектросварочного цехов. Первоначально проект мартеновского цеха сделал </w:t>
      </w:r>
      <w:proofErr w:type="spellStart"/>
      <w:r w:rsidRPr="007122AB">
        <w:rPr>
          <w:rFonts w:ascii="Times New Roman" w:hAnsi="Times New Roman"/>
          <w:color w:val="000000" w:themeColor="text1"/>
          <w:sz w:val="16"/>
          <w:szCs w:val="16"/>
        </w:rPr>
        <w:t>Стальпроект</w:t>
      </w:r>
      <w:proofErr w:type="spellEnd"/>
      <w:r w:rsidRPr="007122AB">
        <w:rPr>
          <w:rFonts w:ascii="Times New Roman" w:hAnsi="Times New Roman"/>
          <w:color w:val="000000" w:themeColor="text1"/>
          <w:sz w:val="16"/>
          <w:szCs w:val="16"/>
        </w:rPr>
        <w:t>, однако он оказался не совсем удачным. Что касается остальных цехов, то к ним руку, по всей видимости, приложили зарубежные проектировщики. Эти цеха предполагалось оснастить полностью импортным оборудованием. Поставщиком его была выбрана германская машиностроительная компания MEER. На каких условиях происходил выбор поставщика не известно.</w:t>
      </w:r>
    </w:p>
    <w:p w14:paraId="367E2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Тоже самое касается и стоимости реконструкции предприятия – полных данных о ней не существует. Известно лишь, что изначально на развитие металлургического завода было выделено около 34,77 млн. рублей. Строительство мартеновского цеха № 2 по проекту </w:t>
      </w:r>
      <w:proofErr w:type="spellStart"/>
      <w:r w:rsidRPr="007122AB">
        <w:rPr>
          <w:rFonts w:ascii="Times New Roman" w:hAnsi="Times New Roman"/>
          <w:color w:val="000000" w:themeColor="text1"/>
          <w:sz w:val="16"/>
          <w:szCs w:val="16"/>
        </w:rPr>
        <w:t>Стальпроекта</w:t>
      </w:r>
      <w:proofErr w:type="spellEnd"/>
      <w:r w:rsidRPr="007122AB">
        <w:rPr>
          <w:rFonts w:ascii="Times New Roman" w:hAnsi="Times New Roman"/>
          <w:color w:val="000000" w:themeColor="text1"/>
          <w:sz w:val="16"/>
          <w:szCs w:val="16"/>
        </w:rPr>
        <w:t xml:space="preserve"> было начато еще в 1930 году, но есть мнение, что достраивали цех по немецкому проекту. Чуть позже, в 1931 году в Таганроге развернулось возведение новых трубоэлектросварочного и трубопрокатного цехов. Мартеновский цех возводился ударными темпами - уже в марте 1932 года свою первую плавку дала мартеновская печь №5. Всего в цехе было запланировано 3 печи по 60 тонн каждая. Производительность цеха была рассчитана на 180 тыс. тонн металла в год. В 1934 году печи реконструировали на садку в 150 тонн, что позволило вывести номинальную производственную мощность цеха до почти 400 тыс. тонн стали. </w:t>
      </w:r>
    </w:p>
    <w:p w14:paraId="20501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достичь полной производственной мощности сходу не удалось. Как всегда сказались нехватка квалифицированных кадров, последствия штурмовщины, недочеты в планировании (например, в работе лебедок). Поэтому даже в 1934 году мартеновский цех №2 (он получил название "имени Правды"») произвел лишь 157 тыс. тонн. Мартеновский цех №1 имени ОГПУ выпустил лишь 78 тыс. тонн стали, так что в негласном соревновании по объемам между "правдой" и ОГПУ победила первая. Впрочем, если без юмора, то производственные возможности второго цеха не использовались на полную – так, выход готового металла вместо 86% долгое время составлял лишь 75-82%. Поэтому с точки зрения эффективности первый цех работал все же лучше и в 1934 году он получил третье место в конкурсе мартеновских цехов СССР. </w:t>
      </w:r>
    </w:p>
    <w:p w14:paraId="3CA102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Создание трубопрокатного и трубоэлектросварочного цехов находилось в рамках концепции развития ТГМЗ, созданной в 30-х годах в ВСНХ. Предприятие планировалось как </w:t>
      </w:r>
      <w:proofErr w:type="spellStart"/>
      <w:r w:rsidRPr="007122AB">
        <w:rPr>
          <w:rFonts w:ascii="Times New Roman" w:hAnsi="Times New Roman"/>
          <w:color w:val="000000" w:themeColor="text1"/>
          <w:sz w:val="16"/>
          <w:szCs w:val="16"/>
        </w:rPr>
        <w:t>передельное</w:t>
      </w:r>
      <w:proofErr w:type="spellEnd"/>
      <w:r w:rsidRPr="007122AB">
        <w:rPr>
          <w:rFonts w:ascii="Times New Roman" w:hAnsi="Times New Roman"/>
          <w:color w:val="000000" w:themeColor="text1"/>
          <w:sz w:val="16"/>
          <w:szCs w:val="16"/>
        </w:rPr>
        <w:t xml:space="preserve"> с производством труб, а также листопрокатным и бандажным производством. Новые цеха были построены в достаточно сжатые сроки – в 1931-1935 годах. Примечательно, что во всех источниках о зарубежной иностранной помощи пишется очень скромно и, как правило, рефреном идут упоминания о затягивании работ со стороны </w:t>
      </w:r>
      <w:proofErr w:type="spellStart"/>
      <w:r w:rsidRPr="007122AB">
        <w:rPr>
          <w:rFonts w:ascii="Times New Roman" w:hAnsi="Times New Roman"/>
          <w:color w:val="000000" w:themeColor="text1"/>
          <w:sz w:val="16"/>
          <w:szCs w:val="16"/>
        </w:rPr>
        <w:t>иноспециалистов</w:t>
      </w:r>
      <w:proofErr w:type="spellEnd"/>
      <w:r w:rsidRPr="007122AB">
        <w:rPr>
          <w:rFonts w:ascii="Times New Roman" w:hAnsi="Times New Roman"/>
          <w:color w:val="000000" w:themeColor="text1"/>
          <w:sz w:val="16"/>
          <w:szCs w:val="16"/>
        </w:rPr>
        <w:t xml:space="preserve">. </w:t>
      </w:r>
    </w:p>
    <w:p w14:paraId="07F91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Между тем, </w:t>
      </w:r>
      <w:proofErr w:type="spellStart"/>
      <w:r w:rsidRPr="007122AB">
        <w:rPr>
          <w:rFonts w:ascii="Times New Roman" w:hAnsi="Times New Roman"/>
          <w:color w:val="000000" w:themeColor="text1"/>
          <w:sz w:val="16"/>
          <w:szCs w:val="16"/>
        </w:rPr>
        <w:t>свежепостроенные</w:t>
      </w:r>
      <w:proofErr w:type="spellEnd"/>
      <w:r w:rsidRPr="007122AB">
        <w:rPr>
          <w:rFonts w:ascii="Times New Roman" w:hAnsi="Times New Roman"/>
          <w:color w:val="000000" w:themeColor="text1"/>
          <w:sz w:val="16"/>
          <w:szCs w:val="16"/>
        </w:rPr>
        <w:t xml:space="preserve"> цеха были укомплектованы новейшим на тот момент германским оборудованием. В том числе были установлены: прошивной, 2 </w:t>
      </w:r>
      <w:proofErr w:type="spellStart"/>
      <w:r w:rsidRPr="007122AB">
        <w:rPr>
          <w:rFonts w:ascii="Times New Roman" w:hAnsi="Times New Roman"/>
          <w:color w:val="000000" w:themeColor="text1"/>
          <w:sz w:val="16"/>
          <w:szCs w:val="16"/>
        </w:rPr>
        <w:t>пилигриммовых</w:t>
      </w:r>
      <w:proofErr w:type="spellEnd"/>
      <w:r w:rsidRPr="007122AB">
        <w:rPr>
          <w:rFonts w:ascii="Times New Roman" w:hAnsi="Times New Roman"/>
          <w:color w:val="000000" w:themeColor="text1"/>
          <w:sz w:val="16"/>
          <w:szCs w:val="16"/>
        </w:rPr>
        <w:t xml:space="preserve"> стана, редукционный, калибровочный, правильный станы, прессовое оборудование в трубопрокатном цехе. В гигантском трубоэлектросварочном цехе были установлены протяжной маятниковый трубосварочный стан, печное оборудование, гидравлические прессы, калибровочный стан, цинковальная установка. Примечательно, что многое из этого оборудования работало на предприятии долгие десятилетия – так, центробежные насосы фирмы «</w:t>
      </w:r>
      <w:proofErr w:type="spellStart"/>
      <w:r w:rsidRPr="007122AB">
        <w:rPr>
          <w:rFonts w:ascii="Times New Roman" w:hAnsi="Times New Roman"/>
          <w:color w:val="000000" w:themeColor="text1"/>
          <w:sz w:val="16"/>
          <w:szCs w:val="16"/>
        </w:rPr>
        <w:t>Бальке</w:t>
      </w:r>
      <w:proofErr w:type="spellEnd"/>
      <w:r w:rsidRPr="007122AB">
        <w:rPr>
          <w:rFonts w:ascii="Times New Roman" w:hAnsi="Times New Roman"/>
          <w:color w:val="000000" w:themeColor="text1"/>
          <w:sz w:val="16"/>
          <w:szCs w:val="16"/>
        </w:rPr>
        <w:t xml:space="preserve"> и Вагнер», выпуска 1927 года (установлены в трубопрокатном цехе в 1933 году) эксплуатировались вплоть до 2007 года.</w:t>
      </w:r>
    </w:p>
    <w:p w14:paraId="7A113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Шеф-монтажные работы в новых цехах вели немецкие специалисты, которые не совсем понимали, зачем надо стремиться опередить установленный график. Поэтому трубопрокатный цех (новотрубный) был запущен в строй 6 ноября 1933 года (руководство завода хотело успеть к годовщине революции). Как пишут историки, первую трубу торжественно вынесли на митинг 7 ноября, провезли через весь город и положили к памятнику Ленину. Трубоэлектросварочный цех строился чуть дольше и в эксплуатацию был введен только 15 декабря 1935 года. Общая мощность цеха была рассчитана на порядка 100 тыс. тонн труб в год, однако до войны на этот уровень цех так и не вышел. </w:t>
      </w:r>
    </w:p>
    <w:p w14:paraId="02855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 не менее, к концу 30-х годов благодаря глубокой реконструкции и финансовым вливаниям (в 1936 году в трубоэлектросварочный цех было инвестировано 5 млн. рублей), ТГМЗ перестал быть второстепенным заводом. Так, уже в 1938 году ТГМЗ уже выпускал 17% всех производимых в СССР стальных труб и более 30% всех производимых бандажей. Доля ТГМЗ в всесоюзном производстве бурильных труб тогда составила 75%, обсадных и газопроводных – 25%. Техническое развитие предприятия во второй половине 30-х годов было в немалой степени обусловлено созданием новой промышленной инфраструктуры: установкой новых турбогенераторов, проведения двух высоковольтных линий, строительством механического и копрового цеха. В литейном цехе были установлены две электропечи. В 1940 году была перекрыта производственная мощность трубопрокатного цеха (новотрубного) (11584).</w:t>
      </w:r>
    </w:p>
    <w:p w14:paraId="4F600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0CCE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в проекте постановления СТО «О состоянии военно-химического дела» говорилось, что в артиллерии в наличии имелось 420 тыс. новых боеприпасов, снаряженных ипритом, фосгеном и дифосгеном, и 400 тыс. старых химснарядов подлежали перезарядке. Были успешно испытаны дистанционные химические снаряды и новые взрыватели к ним. На вооружении авиации находились 8- и 32-килограммовые бомбы, снаряженные ипритом (для заражения местности) и 8-килограммовые осколочно-химические бомбы, снаряженные </w:t>
      </w:r>
      <w:proofErr w:type="spellStart"/>
      <w:r w:rsidRPr="007122AB">
        <w:rPr>
          <w:rFonts w:ascii="Times New Roman" w:hAnsi="Times New Roman"/>
          <w:color w:val="000000" w:themeColor="text1"/>
          <w:sz w:val="16"/>
          <w:szCs w:val="16"/>
        </w:rPr>
        <w:t>хлорацетофеном</w:t>
      </w:r>
      <w:proofErr w:type="spellEnd"/>
      <w:r w:rsidRPr="007122AB">
        <w:rPr>
          <w:rFonts w:ascii="Times New Roman" w:hAnsi="Times New Roman"/>
          <w:color w:val="000000" w:themeColor="text1"/>
          <w:sz w:val="16"/>
          <w:szCs w:val="16"/>
        </w:rPr>
        <w:t xml:space="preserve"> (для поражения и изматывания живой силы противника). На 1 мая 1931 г.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Имелось также 75 комплектов выливных авиационных приборов ВАП-4, и до конца года планировалось поставить еще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 В 1930 г. и первой половине 1931 г. в РККА был проведен ряд крупных химических испытаний, на которых изучались и совершенствовались средства химической войны: ипритные и осколочно-химические снаряды, стойкие ОВ с использованием </w:t>
      </w:r>
      <w:proofErr w:type="spellStart"/>
      <w:r w:rsidRPr="007122AB">
        <w:rPr>
          <w:rFonts w:ascii="Times New Roman" w:hAnsi="Times New Roman"/>
          <w:color w:val="000000" w:themeColor="text1"/>
          <w:sz w:val="16"/>
          <w:szCs w:val="16"/>
        </w:rPr>
        <w:t>ВАПов</w:t>
      </w:r>
      <w:proofErr w:type="spellEnd"/>
      <w:r w:rsidRPr="007122AB">
        <w:rPr>
          <w:rFonts w:ascii="Times New Roman" w:hAnsi="Times New Roman"/>
          <w:color w:val="000000" w:themeColor="text1"/>
          <w:sz w:val="16"/>
          <w:szCs w:val="16"/>
        </w:rPr>
        <w:t xml:space="preserve">, ядовитые дымы. На всех этих испытаниях проверялись противогазы различных конструкций. Химические войска РККА в 1931 г. состояли из пяти батальонов. Для них военно-химической службой Красной Армии только в 1930 г. были испытаны и переданы на вооружение ядовито-дымные шашки, дымовые шашки, прибор ВАП-4, ранцевый прибор для заражения, фильтр для огневых точек. В это же время в стадии войсковых испытаний находились разборный боевой противогаз, химическая боевая машина, химический фугас, </w:t>
      </w:r>
      <w:proofErr w:type="spellStart"/>
      <w:r w:rsidRPr="007122AB">
        <w:rPr>
          <w:rFonts w:ascii="Times New Roman" w:hAnsi="Times New Roman"/>
          <w:color w:val="000000" w:themeColor="text1"/>
          <w:sz w:val="16"/>
          <w:szCs w:val="16"/>
        </w:rPr>
        <w:t>дымприбор</w:t>
      </w:r>
      <w:proofErr w:type="spellEnd"/>
      <w:r w:rsidRPr="007122AB">
        <w:rPr>
          <w:rFonts w:ascii="Times New Roman" w:hAnsi="Times New Roman"/>
          <w:color w:val="000000" w:themeColor="text1"/>
          <w:sz w:val="16"/>
          <w:szCs w:val="16"/>
        </w:rPr>
        <w:t xml:space="preserve"> для танка, передвижной дымовой прибор, мортира СТО-КСА (35-миллиметровый миномет), новые рецептуры для </w:t>
      </w:r>
      <w:proofErr w:type="spellStart"/>
      <w:r w:rsidRPr="007122AB">
        <w:rPr>
          <w:rFonts w:ascii="Times New Roman" w:hAnsi="Times New Roman"/>
          <w:color w:val="000000" w:themeColor="text1"/>
          <w:sz w:val="16"/>
          <w:szCs w:val="16"/>
        </w:rPr>
        <w:t>ВАПов</w:t>
      </w:r>
      <w:proofErr w:type="spellEnd"/>
      <w:r w:rsidRPr="007122AB">
        <w:rPr>
          <w:rFonts w:ascii="Times New Roman" w:hAnsi="Times New Roman"/>
          <w:color w:val="000000" w:themeColor="text1"/>
          <w:sz w:val="16"/>
          <w:szCs w:val="16"/>
        </w:rPr>
        <w:t xml:space="preserve"> и химснарядов. Достигнутые результаты были немалыми, но они были далеки от тех целей, которые ставились перед руководством РККА. Поэтому в упомянутом проекте постановления СТО говорилось: «Учитывая исключительную важность средств </w:t>
      </w:r>
      <w:proofErr w:type="spellStart"/>
      <w:r w:rsidRPr="007122AB">
        <w:rPr>
          <w:rFonts w:ascii="Times New Roman" w:hAnsi="Times New Roman"/>
          <w:color w:val="000000" w:themeColor="text1"/>
          <w:sz w:val="16"/>
          <w:szCs w:val="16"/>
        </w:rPr>
        <w:t>химборьбы</w:t>
      </w:r>
      <w:proofErr w:type="spellEnd"/>
      <w:r w:rsidRPr="007122AB">
        <w:rPr>
          <w:rFonts w:ascii="Times New Roman" w:hAnsi="Times New Roman"/>
          <w:color w:val="000000" w:themeColor="text1"/>
          <w:sz w:val="16"/>
          <w:szCs w:val="16"/>
        </w:rPr>
        <w:t xml:space="preserve"> в современной войне, не ликвидированную в то же время отсталость </w:t>
      </w:r>
      <w:proofErr w:type="spellStart"/>
      <w:r w:rsidRPr="007122AB">
        <w:rPr>
          <w:rFonts w:ascii="Times New Roman" w:hAnsi="Times New Roman"/>
          <w:color w:val="000000" w:themeColor="text1"/>
          <w:sz w:val="16"/>
          <w:szCs w:val="16"/>
        </w:rPr>
        <w:t>химвооружения</w:t>
      </w:r>
      <w:proofErr w:type="spellEnd"/>
      <w:r w:rsidRPr="007122AB">
        <w:rPr>
          <w:rFonts w:ascii="Times New Roman" w:hAnsi="Times New Roman"/>
          <w:color w:val="000000" w:themeColor="text1"/>
          <w:sz w:val="16"/>
          <w:szCs w:val="16"/>
        </w:rPr>
        <w:t xml:space="preserve"> РККА и необходимость добиться решительного перелома в 1931 г. Комиссия Обороны постановляет: Президиуму ВСНХ &lt;...&gt; 2. Приравнять капитальное строительство по хлору, сере, мышьяку и отравляющим веществам к ударным наравне со строительством военной промышленности и обеспечить выполнение в срок заказов на оборудование, завоз импортного имущества, необходимые стройматериалы, рабсилу и техперсонал. Особо усилить темпы строительства по противогазу в целях скорейшего обеспечения потребностей не только РККА, но и гражданского населения». Это в определенной степени проясняет Неудовлетворенность Москвы темпами и результатами военно-химических испытаний в «Томке» (11784).</w:t>
      </w:r>
    </w:p>
    <w:p w14:paraId="0D65B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4B27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группой (3 чел.), работавшей в химической лаборатории завода № 24 по получению металлического бериллия в составе Б.М. </w:t>
      </w:r>
      <w:proofErr w:type="spellStart"/>
      <w:r w:rsidRPr="007122AB">
        <w:rPr>
          <w:rFonts w:ascii="Times New Roman" w:hAnsi="Times New Roman"/>
          <w:color w:val="000000" w:themeColor="text1"/>
          <w:sz w:val="16"/>
          <w:szCs w:val="16"/>
        </w:rPr>
        <w:t>Порватов</w:t>
      </w:r>
      <w:proofErr w:type="spellEnd"/>
      <w:r w:rsidRPr="007122AB">
        <w:rPr>
          <w:rFonts w:ascii="Times New Roman" w:hAnsi="Times New Roman"/>
          <w:color w:val="000000" w:themeColor="text1"/>
          <w:sz w:val="16"/>
          <w:szCs w:val="16"/>
        </w:rPr>
        <w:t xml:space="preserve"> - руководитель, К.С. Лукьянова, О.Э. Гаспарян и находящейся в подчинении Техотдела Экономического управления ОГПУ, был получен первый бериллий. В 1931 г. для его получения был основан завод «Б» на ул. </w:t>
      </w:r>
      <w:proofErr w:type="spellStart"/>
      <w:r w:rsidRPr="007122AB">
        <w:rPr>
          <w:rFonts w:ascii="Times New Roman" w:hAnsi="Times New Roman"/>
          <w:color w:val="000000" w:themeColor="text1"/>
          <w:sz w:val="16"/>
          <w:szCs w:val="16"/>
        </w:rPr>
        <w:t>Мочальской</w:t>
      </w:r>
      <w:proofErr w:type="spellEnd"/>
      <w:r w:rsidRPr="007122AB">
        <w:rPr>
          <w:rFonts w:ascii="Times New Roman" w:hAnsi="Times New Roman"/>
          <w:color w:val="000000" w:themeColor="text1"/>
          <w:sz w:val="16"/>
          <w:szCs w:val="16"/>
        </w:rPr>
        <w:t xml:space="preserve"> /г. Москва ул. </w:t>
      </w:r>
      <w:proofErr w:type="spellStart"/>
      <w:r w:rsidRPr="007122AB">
        <w:rPr>
          <w:rFonts w:ascii="Times New Roman" w:hAnsi="Times New Roman"/>
          <w:color w:val="000000" w:themeColor="text1"/>
          <w:sz w:val="16"/>
          <w:szCs w:val="16"/>
        </w:rPr>
        <w:t>Мочальская</w:t>
      </w:r>
      <w:proofErr w:type="spellEnd"/>
      <w:r w:rsidRPr="007122AB">
        <w:rPr>
          <w:rFonts w:ascii="Times New Roman" w:hAnsi="Times New Roman"/>
          <w:color w:val="000000" w:themeColor="text1"/>
          <w:sz w:val="16"/>
          <w:szCs w:val="16"/>
        </w:rPr>
        <w:t xml:space="preserve">, ул. Ибрагимова/. Он разместился в здании церкви Дмитрия </w:t>
      </w:r>
      <w:proofErr w:type="spellStart"/>
      <w:r w:rsidRPr="007122AB">
        <w:rPr>
          <w:rFonts w:ascii="Times New Roman" w:hAnsi="Times New Roman"/>
          <w:color w:val="000000" w:themeColor="text1"/>
          <w:sz w:val="16"/>
          <w:szCs w:val="16"/>
        </w:rPr>
        <w:t>Солунского</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Благуше</w:t>
      </w:r>
      <w:proofErr w:type="spellEnd"/>
      <w:r w:rsidRPr="007122AB">
        <w:rPr>
          <w:rFonts w:ascii="Times New Roman" w:hAnsi="Times New Roman"/>
          <w:color w:val="000000" w:themeColor="text1"/>
          <w:sz w:val="16"/>
          <w:szCs w:val="16"/>
        </w:rPr>
        <w:t>, построенном в 1911 г. Завод действовал самостоятельно до 1936г., затем был передан Гиредмету в качестве опытной базы и работал до начала войны (11982).</w:t>
      </w:r>
    </w:p>
    <w:p w14:paraId="682F6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95F7A5" w14:textId="77777777" w:rsidR="003210F7" w:rsidRPr="007122AB" w:rsidRDefault="003210F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Ивановский обком ВКП(б) рекомендовал начальником строительства Ярославского завода СК-1 Л.Т. </w:t>
      </w:r>
      <w:proofErr w:type="spellStart"/>
      <w:r w:rsidRPr="007122AB">
        <w:rPr>
          <w:rFonts w:ascii="Times New Roman" w:hAnsi="Times New Roman"/>
          <w:color w:val="000000" w:themeColor="text1"/>
          <w:sz w:val="16"/>
          <w:szCs w:val="16"/>
        </w:rPr>
        <w:t>Стрежа</w:t>
      </w:r>
      <w:proofErr w:type="spellEnd"/>
      <w:r w:rsidRPr="007122AB">
        <w:rPr>
          <w:rFonts w:ascii="Times New Roman" w:hAnsi="Times New Roman"/>
          <w:color w:val="000000" w:themeColor="text1"/>
          <w:sz w:val="16"/>
          <w:szCs w:val="16"/>
        </w:rPr>
        <w:t xml:space="preserve">, работавшего до этого директором Костромской текстильной фабрики. Сын питерского рабочего, Л.Т. </w:t>
      </w:r>
      <w:proofErr w:type="spellStart"/>
      <w:r w:rsidRPr="007122AB">
        <w:rPr>
          <w:rFonts w:ascii="Times New Roman" w:hAnsi="Times New Roman"/>
          <w:color w:val="000000" w:themeColor="text1"/>
          <w:sz w:val="16"/>
          <w:szCs w:val="16"/>
        </w:rPr>
        <w:t>Стреж</w:t>
      </w:r>
      <w:proofErr w:type="spellEnd"/>
      <w:r w:rsidRPr="007122AB">
        <w:rPr>
          <w:rFonts w:ascii="Times New Roman" w:hAnsi="Times New Roman"/>
          <w:color w:val="000000" w:themeColor="text1"/>
          <w:sz w:val="16"/>
          <w:szCs w:val="16"/>
        </w:rPr>
        <w:t xml:space="preserve"> в 17 лет был бойцом продотряда, потом воевал на фронтах гражданской войны против Колчака и Деникина. После демобилизации учился в Московском институте народного хозяйства им. Плеханова, который окончил с отличием в 1928 г. (18298).</w:t>
      </w:r>
    </w:p>
    <w:p w14:paraId="7D4A6E06" w14:textId="77777777" w:rsidR="003210F7" w:rsidRPr="007122AB" w:rsidRDefault="003210F7" w:rsidP="007122AB">
      <w:pPr>
        <w:spacing w:after="0" w:line="240" w:lineRule="auto"/>
        <w:jc w:val="both"/>
        <w:rPr>
          <w:rFonts w:ascii="Times New Roman" w:hAnsi="Times New Roman"/>
          <w:color w:val="000000" w:themeColor="text1"/>
          <w:sz w:val="16"/>
          <w:szCs w:val="16"/>
        </w:rPr>
      </w:pPr>
    </w:p>
    <w:p w14:paraId="2B6BCA6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1408C6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568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мае 1931 г., когда серийные ВАП-4 получила 56-я эскадрилья, летавшая на бипланах Р-1, началось их реальное освоение в войсках. В этот период Р-1 были быстро вытеснены из легкобомбардировочной авиации новыми самолетами Р-5. Именно они стали основными носителями химического оружия. К осени 1932 г. ВВС РККА теоретически могли выставить под сотню машин, оснащенных выливными приборами. Обычно комплект из четырех ВАП-4 выдавали на половину парка самолетов бригады. С 1936 г. часть бригад получила статус особых химических, им выливные приборы полагались на все машины.</w:t>
      </w:r>
    </w:p>
    <w:p w14:paraId="06F65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мало было наладить производство ВАП. Требовалось создать запасы самого химического оружия, оборудовать тыловые склады ВВС, построить помещения для хранения ОВ на аэродромах. Поначалу проверяющие комиссии приходили в ужас, обнаружив бочки с ипритом стоящими где-нибудь возле ангаров. Но и этого было мало. При недостаточно осторожном обращении химическое оружие становилось опаснее для своих, чем для врага. Значит, нужно было обучить специалистов, отработать технологию безопасной заправки ВАП, снабдить людей средствами индивидуальной защиты.</w:t>
      </w:r>
    </w:p>
    <w:p w14:paraId="32D11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Летный состав тоже требовалось обучать и защищать. Обучать надо было тактике и технике применения ВАП, а защищать - от почти неизбежного </w:t>
      </w:r>
      <w:proofErr w:type="spellStart"/>
      <w:r w:rsidRPr="007122AB">
        <w:rPr>
          <w:rFonts w:ascii="Times New Roman" w:hAnsi="Times New Roman"/>
          <w:color w:val="000000" w:themeColor="text1"/>
          <w:sz w:val="16"/>
          <w:szCs w:val="16"/>
        </w:rPr>
        <w:t>забрызгивания</w:t>
      </w:r>
      <w:proofErr w:type="spellEnd"/>
      <w:r w:rsidRPr="007122AB">
        <w:rPr>
          <w:rFonts w:ascii="Times New Roman" w:hAnsi="Times New Roman"/>
          <w:color w:val="000000" w:themeColor="text1"/>
          <w:sz w:val="16"/>
          <w:szCs w:val="16"/>
        </w:rPr>
        <w:t xml:space="preserve"> самолетов. Пары ОВ попадали в кабины, которые и у Р-1, и у Р-5 были открытыми. Поэтому летали в противогазах, иногда в специальных комбинезонах. И вы- </w:t>
      </w:r>
      <w:proofErr w:type="spellStart"/>
      <w:r w:rsidRPr="007122AB">
        <w:rPr>
          <w:rFonts w:ascii="Times New Roman" w:hAnsi="Times New Roman"/>
          <w:color w:val="000000" w:themeColor="text1"/>
          <w:sz w:val="16"/>
          <w:szCs w:val="16"/>
        </w:rPr>
        <w:t>ливные</w:t>
      </w:r>
      <w:proofErr w:type="spellEnd"/>
      <w:r w:rsidRPr="007122AB">
        <w:rPr>
          <w:rFonts w:ascii="Times New Roman" w:hAnsi="Times New Roman"/>
          <w:color w:val="000000" w:themeColor="text1"/>
          <w:sz w:val="16"/>
          <w:szCs w:val="16"/>
        </w:rPr>
        <w:t xml:space="preserve"> приборы, и сами самолеты по возвращении на аэродром подлежали дегазации.</w:t>
      </w:r>
    </w:p>
    <w:p w14:paraId="196D11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Техника и тактика применения химического оружия отрабатывались на Центральном военно-химическом полигоне (ЦВХП) в Шиханах. Его обслуживал 36-й отдельный авиаотряд. Там имелись специальные мишенные городки с размещенными в них животными - собаками и свиньями. Их поливали настоящими боевыми растворами, оценивая их эффективность. На ЦВХП периодически отправляли подразделения из строевых частей, давая им возможность поработать в условиях, приближенных к боевым.</w:t>
      </w:r>
    </w:p>
    <w:p w14:paraId="08474B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учениях же, проходивших в разных частях страны, чаще заливали в ВАП подкрашенную воду. Иногда в ход пускали разбавленную дымовую смесь. Реже пользовались боевыми ОВ, но сильно разбавленными (обычно до 5%). Считалось, что при этом войска на земле будут за- </w:t>
      </w:r>
    </w:p>
    <w:p w14:paraId="322E22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щищаться</w:t>
      </w:r>
      <w:proofErr w:type="spellEnd"/>
      <w:r w:rsidRPr="007122AB">
        <w:rPr>
          <w:rFonts w:ascii="Times New Roman" w:hAnsi="Times New Roman"/>
          <w:color w:val="000000" w:themeColor="text1"/>
          <w:sz w:val="16"/>
          <w:szCs w:val="16"/>
        </w:rPr>
        <w:t xml:space="preserve"> всерьез, не пренебрегая противогазами и накидками.</w:t>
      </w:r>
    </w:p>
    <w:p w14:paraId="2EDD4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этом происходило множество курьезных историй. Атаковать предписывалось с бреющего полета. Нередко, увлекаясь выполнением задачи, летчики за что-то цеплялись. 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7AA65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59FA1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45F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1931 г. НИИ ВВС внес предложение организовать в составе 9-й авиабригады на Черном море "торпедную ячейку". Сюда решили передать один ТБ-1, имевшийся в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и такую же машину, наряженную для Воздушных сил Черного моря. 25 мая Алкснис утвердил предложение, и в тот же день черноморцам выделили новенький самолет на колесах. В июле "ячейку"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3B293A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37C614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451F7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636C7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536C9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07A1EF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xml:space="preserve"> весной 1933 г. (12001).</w:t>
      </w:r>
    </w:p>
    <w:p w14:paraId="6A748D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6FBB2D"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принято постановление Политбюро ЦК ВКП (б) о пересмотре договоров о технической помощи. В нем говорилось о низкой эффективности использования иностранной помощи, об постоянных переплатах и обогащении иностранных фирм. При этом ставилась задача централизовать все дело заключения договоров, перенести заказы внутрь страны (18297).</w:t>
      </w:r>
    </w:p>
    <w:p w14:paraId="1D6C6373"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622FEBC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375D3B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47E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Май 1931 г. При УРКМ </w:t>
      </w:r>
      <w:proofErr w:type="spellStart"/>
      <w:r w:rsidRPr="007122AB">
        <w:rPr>
          <w:rFonts w:ascii="Times New Roman" w:hAnsi="Times New Roman"/>
          <w:color w:val="000000" w:themeColor="text1"/>
          <w:sz w:val="16"/>
          <w:szCs w:val="16"/>
        </w:rPr>
        <w:t>г.Москвы</w:t>
      </w:r>
      <w:proofErr w:type="spellEnd"/>
      <w:r w:rsidRPr="007122AB">
        <w:rPr>
          <w:rFonts w:ascii="Times New Roman" w:hAnsi="Times New Roman"/>
          <w:color w:val="000000" w:themeColor="text1"/>
          <w:sz w:val="16"/>
          <w:szCs w:val="16"/>
        </w:rPr>
        <w:t xml:space="preserve"> создан отряд регулирования уличного движения (РУД) (10303).</w:t>
      </w:r>
    </w:p>
    <w:p w14:paraId="74A1B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31B211" w14:textId="77777777" w:rsidR="005C4849" w:rsidRPr="007122AB" w:rsidRDefault="005C4849" w:rsidP="007122AB">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 «Через 15 месяцев после подписания договора... Мориц Кан так описывал размеры московского бюро: "</w:t>
      </w:r>
      <w:proofErr w:type="spellStart"/>
      <w:r w:rsidRPr="007122AB">
        <w:rPr>
          <w:rFonts w:ascii="Times New Roman" w:hAnsi="Times New Roman"/>
          <w:color w:val="000000" w:themeColor="text1"/>
          <w:sz w:val="16"/>
          <w:szCs w:val="16"/>
        </w:rPr>
        <w:t>Госпроектстрой</w:t>
      </w:r>
      <w:proofErr w:type="spellEnd"/>
      <w:r w:rsidRPr="007122AB">
        <w:rPr>
          <w:rFonts w:ascii="Times New Roman" w:hAnsi="Times New Roman"/>
          <w:color w:val="000000" w:themeColor="text1"/>
          <w:sz w:val="16"/>
          <w:szCs w:val="16"/>
        </w:rPr>
        <w:t xml:space="preserve"> существует всего только год. Раньше наше бюро в Детройте, насчитывающее в обычное время от 400 до 500 архитекторов, инженеров и чертёжников, считалось самым большим в мире. </w:t>
      </w:r>
      <w:proofErr w:type="spellStart"/>
      <w:r w:rsidRPr="007122AB">
        <w:rPr>
          <w:rFonts w:ascii="Times New Roman" w:hAnsi="Times New Roman"/>
          <w:color w:val="000000" w:themeColor="text1"/>
          <w:sz w:val="16"/>
          <w:szCs w:val="16"/>
        </w:rPr>
        <w:t>Госпроектстрой</w:t>
      </w:r>
      <w:proofErr w:type="spellEnd"/>
      <w:r w:rsidRPr="007122AB">
        <w:rPr>
          <w:rFonts w:ascii="Times New Roman" w:hAnsi="Times New Roman"/>
          <w:color w:val="000000" w:themeColor="text1"/>
          <w:sz w:val="16"/>
          <w:szCs w:val="16"/>
        </w:rPr>
        <w:t xml:space="preserve"> сейчас насчитывает около 600 сотрудников в московском бюро, не считая студентов, ещё 150 будут вскоре приняты. В бюро в Ленинграде — 300 сотрудников, в Харькове — 100"» (</w:t>
      </w:r>
      <w:proofErr w:type="spellStart"/>
      <w:r w:rsidRPr="007122AB">
        <w:rPr>
          <w:rFonts w:ascii="Times New Roman" w:hAnsi="Times New Roman"/>
          <w:color w:val="000000" w:themeColor="text1"/>
          <w:sz w:val="16"/>
          <w:szCs w:val="16"/>
        </w:rPr>
        <w:t>Senkevitch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Anatole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Albert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Kahn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in</w:t>
      </w:r>
      <w:proofErr w:type="spellEnd"/>
      <w:r w:rsidRPr="007122AB">
        <w:rPr>
          <w:rFonts w:ascii="Times New Roman" w:hAnsi="Times New Roman"/>
          <w:color w:val="000000" w:themeColor="text1"/>
          <w:sz w:val="16"/>
          <w:szCs w:val="16"/>
        </w:rPr>
        <w:t xml:space="preserve"> Russland. </w:t>
      </w:r>
      <w:proofErr w:type="spellStart"/>
      <w:r w:rsidRPr="007122AB">
        <w:rPr>
          <w:rFonts w:ascii="Times New Roman" w:hAnsi="Times New Roman"/>
          <w:color w:val="000000" w:themeColor="text1"/>
          <w:sz w:val="16"/>
          <w:szCs w:val="16"/>
        </w:rPr>
        <w:t>Bauwelt</w:t>
      </w:r>
      <w:proofErr w:type="spellEnd"/>
      <w:r w:rsidRPr="007122AB">
        <w:rPr>
          <w:rFonts w:ascii="Times New Roman" w:hAnsi="Times New Roman"/>
          <w:color w:val="000000" w:themeColor="text1"/>
          <w:sz w:val="16"/>
          <w:szCs w:val="16"/>
        </w:rPr>
        <w:t xml:space="preserve">, 1995. </w:t>
      </w:r>
      <w:proofErr w:type="spellStart"/>
      <w:r w:rsidRPr="007122AB">
        <w:rPr>
          <w:rFonts w:ascii="Times New Roman" w:hAnsi="Times New Roman"/>
          <w:color w:val="000000" w:themeColor="text1"/>
          <w:sz w:val="16"/>
          <w:szCs w:val="16"/>
        </w:rPr>
        <w:t>Heft</w:t>
      </w:r>
      <w:proofErr w:type="spellEnd"/>
      <w:r w:rsidRPr="007122AB">
        <w:rPr>
          <w:rFonts w:ascii="Times New Roman" w:hAnsi="Times New Roman"/>
          <w:color w:val="000000" w:themeColor="text1"/>
          <w:sz w:val="16"/>
          <w:szCs w:val="16"/>
        </w:rPr>
        <w:t xml:space="preserve"> 48. S. 2814 — 2815) (11596). </w:t>
      </w:r>
    </w:p>
    <w:p w14:paraId="5F893255" w14:textId="77777777" w:rsidR="005C4849" w:rsidRPr="007122AB" w:rsidRDefault="005C4849" w:rsidP="007122AB">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2D5CBFF8"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Май 1931</w:t>
      </w:r>
    </w:p>
    <w:p w14:paraId="5A3D65CF"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Письмо члена ЦКК ВКП(б) [В. Г.] Фейгина Е. М. Ярославскому о результатах расследования «дела проф. Линника». [Май] 1931 г.</w:t>
      </w:r>
    </w:p>
    <w:p w14:paraId="00779271"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06399D2C"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4F433A"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[Май] 1931 г.</w:t>
      </w:r>
    </w:p>
    <w:p w14:paraId="5AD2EDC8"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68F8E6D9"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ЦКК ВКП(б)</w:t>
      </w:r>
    </w:p>
    <w:p w14:paraId="2FBD00D4"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ЯРОСЛАВСКОМУ.</w:t>
      </w:r>
    </w:p>
    <w:p w14:paraId="00D5915F"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расследования порученного мне Вами дела проф. ЛИННИКА в связи с опубликованием в газете «За Индустриализацию» статьи тов. Горского, обвиняющего проф. ЛИННИКА в потворстве деятельности вредителя ФЕДОТОВА выяснилось следующее:</w:t>
      </w:r>
    </w:p>
    <w:p w14:paraId="1C36A083"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Проф. ЛИННИК — один из немногих членов ВКП(б) с 1919 г. не только не ходил на поводу у ФЕДОТОВА, оказавшегося впоследствии членом ЦК Промпартии, но, наоборот, еще в июне 19&lt;29&gt; г. сигнализировал о вредительской деятельности ФЕДОТОВА в области научно-исследовательской работы по лубяным волокнам.</w:t>
      </w:r>
    </w:p>
    <w:p w14:paraId="76B88180"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своем заявлении на имя тов. БУХАРИНА, КИЛЕВИЦА и БРАГИНСКОГО проф. ЛИННИК предупреждал, что проф. ФЕДОТОВ, в то время Председатель «НИТИ», препятствует изучению машин по текстилю, препятствует испытанию ватера ЗВОРКИНА. развалил бюро по изучению текстильных машин, учинил разгром (подлинное выражение проф. ЛИННИКА) отдела лубяных волокон, задержал рассмотрение уже законченной работы по изучению льна-кудряша. провалил программу и план подготовки стажеров и аспирантов, отказался печатать законченные научно-</w:t>
      </w:r>
      <w:proofErr w:type="spellStart"/>
      <w:r w:rsidRPr="007122AB">
        <w:rPr>
          <w:rFonts w:ascii="Times New Roman" w:hAnsi="Times New Roman"/>
          <w:color w:val="000000" w:themeColor="text1"/>
          <w:sz w:val="16"/>
          <w:szCs w:val="16"/>
        </w:rPr>
        <w:t>исслеловательские</w:t>
      </w:r>
      <w:proofErr w:type="spellEnd"/>
      <w:r w:rsidRPr="007122AB">
        <w:rPr>
          <w:rFonts w:ascii="Times New Roman" w:hAnsi="Times New Roman"/>
          <w:color w:val="000000" w:themeColor="text1"/>
          <w:sz w:val="16"/>
          <w:szCs w:val="16"/>
        </w:rPr>
        <w:t xml:space="preserve"> работы «НИТИ» и пр.</w:t>
      </w:r>
    </w:p>
    <w:p w14:paraId="1F4D14E2"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Отсюда проф. ЛИННИК делал вывод выраженный им следующими словами: «Злейшие враги Советской власти, пожалуй[,] не смогли бы так портить темп научно-исследовательской работы», как проф. ФЕДОТОВ.</w:t>
      </w:r>
    </w:p>
    <w:p w14:paraId="6B26EA41"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это было сообщено еще до раскрытия вредительской деятельности ФЕДОТОВА т. БУХАРИНУ, КИЛЕВИЦУ и БРАГИНСКОМУ.</w:t>
      </w:r>
    </w:p>
    <w:p w14:paraId="4EF5BCBE"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Почему это заявление не получило движения, мною еще до конца не расследовано.</w:t>
      </w:r>
    </w:p>
    <w:p w14:paraId="4456AC0D"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Газета «За Индустриализацию», имея эти документы, говорящие о том, что проф. ЛИННИК бил в набат, все же ошельмовала его в </w:t>
      </w:r>
      <w:proofErr w:type="spellStart"/>
      <w:r w:rsidRPr="007122AB">
        <w:rPr>
          <w:rFonts w:ascii="Times New Roman" w:hAnsi="Times New Roman"/>
          <w:color w:val="000000" w:themeColor="text1"/>
          <w:sz w:val="16"/>
          <w:szCs w:val="16"/>
        </w:rPr>
        <w:t>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атье</w:t>
      </w:r>
      <w:proofErr w:type="spellEnd"/>
      <w:r w:rsidRPr="007122AB">
        <w:rPr>
          <w:rFonts w:ascii="Times New Roman" w:hAnsi="Times New Roman"/>
          <w:color w:val="000000" w:themeColor="text1"/>
          <w:sz w:val="16"/>
          <w:szCs w:val="16"/>
        </w:rPr>
        <w:t>] тов. ГОРСКОГО и отказалась к тому же печатать опровержение проф. ЛИННИКА.</w:t>
      </w:r>
    </w:p>
    <w:p w14:paraId="4C133F32"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коммунистическим приветом</w:t>
      </w:r>
    </w:p>
    <w:p w14:paraId="196C3E27"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(Фейгин)</w:t>
      </w:r>
    </w:p>
    <w:p w14:paraId="6899219A"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356. Л. 136. Машинописная копия того времени. Вверху справа напечатано «Копия», ниже «Секретно». В третьем абзаце «В своем заявлении на имя тов. БУХАРИНА, КИЛЕВИЦА и БРАГИНСКОГО [...]» после фамилии Брагинского проставлен надстрочный знак «х)»; внизу листа после машинописного текста под этим же знаком написано от руки чернилами: «Записка к т. Бухарину не попала, т. к. проф. Линник решил ограничиться посылкой ее лишь во фракцию [ВТС] т. </w:t>
      </w:r>
      <w:proofErr w:type="spellStart"/>
      <w:r w:rsidRPr="007122AB">
        <w:rPr>
          <w:rFonts w:ascii="Times New Roman" w:hAnsi="Times New Roman"/>
          <w:color w:val="000000" w:themeColor="text1"/>
          <w:sz w:val="16"/>
          <w:szCs w:val="16"/>
        </w:rPr>
        <w:t>Килевицу</w:t>
      </w:r>
      <w:proofErr w:type="spellEnd"/>
      <w:r w:rsidRPr="007122AB">
        <w:rPr>
          <w:rFonts w:ascii="Times New Roman" w:hAnsi="Times New Roman"/>
          <w:color w:val="000000" w:themeColor="text1"/>
          <w:sz w:val="16"/>
          <w:szCs w:val="16"/>
        </w:rPr>
        <w:t>. Верно: &lt;В. ...&gt; 31.V-31[г.]» (подпись неразборчива). Датируется по этой помете и препроводительной записке Ем. Ярославского (Л. 135) от 31 мая 1931 г.: «Секретно. Лично. Тов. АНДРЕЕВУ. Тов. СТАЛИНУ. Посылаю копию записки члена ЦКК, тов. ФЕЙГИНА, по делу профессора] ЛИННИКА. ПРИЛОЖЕНИЕ: на 1 листе. Ем. Ярославский». Машинописный подлинник на листке из именного блокнота Ем. Ярославского, подпись- автограф. Грифы «Секретно. Лично» написаны рукой Ярославского вверху справа; дата «31 мая 1931 г.» машинописью (число от руки) (18673).</w:t>
      </w:r>
    </w:p>
    <w:p w14:paraId="55AAFD11"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1BBB532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C71370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584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года (</w:t>
      </w:r>
      <w:proofErr w:type="spellStart"/>
      <w:r w:rsidRPr="007122AB">
        <w:rPr>
          <w:rFonts w:ascii="Times New Roman" w:hAnsi="Times New Roman"/>
          <w:color w:val="000000" w:themeColor="text1"/>
          <w:sz w:val="16"/>
          <w:szCs w:val="16"/>
        </w:rPr>
        <w:t>Даллин</w:t>
      </w:r>
      <w:proofErr w:type="spellEnd"/>
      <w:r w:rsidRPr="007122AB">
        <w:rPr>
          <w:rFonts w:ascii="Times New Roman" w:hAnsi="Times New Roman"/>
          <w:color w:val="000000" w:themeColor="text1"/>
          <w:sz w:val="16"/>
          <w:szCs w:val="16"/>
        </w:rPr>
        <w:t xml:space="preserve"> Д. Шпионаж по-советски. — М., 2001, с. 113—116.) в Германии арестовали вторую группу советских разведчиков, руководимую Л. Хоффманом, которая состояла из рабочих коммунистов с верфей Бремена и Гамбурга (11765).</w:t>
      </w:r>
    </w:p>
    <w:p w14:paraId="3C4221D5" w14:textId="0046F0A1"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89EEC3" w14:textId="34947C42" w:rsidR="00C573D5" w:rsidRPr="007122AB" w:rsidRDefault="00C573D5"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23910423" w14:textId="77777777" w:rsidR="00C573D5" w:rsidRPr="007122AB" w:rsidRDefault="00C573D5"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6C4258D2" w14:textId="77777777" w:rsidR="00C573D5" w:rsidRPr="007122AB" w:rsidRDefault="00C573D5"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В мае 1931 английская путешественница Монтегю (</w:t>
      </w:r>
      <w:proofErr w:type="spellStart"/>
      <w:r w:rsidRPr="007122AB">
        <w:rPr>
          <w:rFonts w:ascii="Times New Roman" w:hAnsi="Times New Roman"/>
          <w:color w:val="000000" w:themeColor="text1"/>
          <w:sz w:val="16"/>
          <w:szCs w:val="16"/>
          <w:shd w:val="clear" w:color="auto" w:fill="FFFFFF"/>
        </w:rPr>
        <w:t>Edwin</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Montague</w:t>
      </w:r>
      <w:proofErr w:type="spellEnd"/>
      <w:r w:rsidRPr="007122AB">
        <w:rPr>
          <w:rFonts w:ascii="Times New Roman" w:hAnsi="Times New Roman"/>
          <w:color w:val="000000" w:themeColor="text1"/>
          <w:sz w:val="16"/>
          <w:szCs w:val="16"/>
          <w:shd w:val="clear" w:color="auto" w:fill="FFFFFF"/>
        </w:rPr>
        <w:t xml:space="preserve">) прилетела в СССР из Персии. Монтегю летела на самолете «Де </w:t>
      </w:r>
      <w:proofErr w:type="spellStart"/>
      <w:r w:rsidRPr="007122AB">
        <w:rPr>
          <w:rFonts w:ascii="Times New Roman" w:hAnsi="Times New Roman"/>
          <w:color w:val="000000" w:themeColor="text1"/>
          <w:sz w:val="16"/>
          <w:szCs w:val="16"/>
          <w:shd w:val="clear" w:color="auto" w:fill="FFFFFF"/>
        </w:rPr>
        <w:t>Хэвеленд</w:t>
      </w:r>
      <w:proofErr w:type="spellEnd"/>
      <w:r w:rsidRPr="007122AB">
        <w:rPr>
          <w:rFonts w:ascii="Times New Roman" w:hAnsi="Times New Roman"/>
          <w:color w:val="000000" w:themeColor="text1"/>
          <w:sz w:val="16"/>
          <w:szCs w:val="16"/>
          <w:shd w:val="clear" w:color="auto" w:fill="FFFFFF"/>
        </w:rPr>
        <w:t>» DH.60G «</w:t>
      </w:r>
      <w:proofErr w:type="spellStart"/>
      <w:r w:rsidRPr="007122AB">
        <w:rPr>
          <w:rFonts w:ascii="Times New Roman" w:hAnsi="Times New Roman"/>
          <w:color w:val="000000" w:themeColor="text1"/>
          <w:sz w:val="16"/>
          <w:szCs w:val="16"/>
          <w:shd w:val="clear" w:color="auto" w:fill="FFFFFF"/>
        </w:rPr>
        <w:t>Джипси</w:t>
      </w:r>
      <w:proofErr w:type="spellEnd"/>
      <w:r w:rsidRPr="007122AB">
        <w:rPr>
          <w:rFonts w:ascii="Times New Roman" w:hAnsi="Times New Roman"/>
          <w:color w:val="000000" w:themeColor="text1"/>
          <w:sz w:val="16"/>
          <w:szCs w:val="16"/>
          <w:shd w:val="clear" w:color="auto" w:fill="FFFFFF"/>
        </w:rPr>
        <w:t xml:space="preserve"> Мот» (</w:t>
      </w:r>
      <w:proofErr w:type="spellStart"/>
      <w:r w:rsidRPr="007122AB">
        <w:rPr>
          <w:rFonts w:ascii="Times New Roman" w:hAnsi="Times New Roman"/>
          <w:color w:val="000000" w:themeColor="text1"/>
          <w:sz w:val="16"/>
          <w:szCs w:val="16"/>
          <w:shd w:val="clear" w:color="auto" w:fill="FFFFFF"/>
        </w:rPr>
        <w:t>Gipsy</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Moth</w:t>
      </w:r>
      <w:proofErr w:type="spellEnd"/>
      <w:r w:rsidRPr="007122AB">
        <w:rPr>
          <w:rFonts w:ascii="Times New Roman" w:hAnsi="Times New Roman"/>
          <w:color w:val="000000" w:themeColor="text1"/>
          <w:sz w:val="16"/>
          <w:szCs w:val="16"/>
          <w:shd w:val="clear" w:color="auto" w:fill="FFFFFF"/>
        </w:rPr>
        <w:t>), который пилотировал летчик Руперт Бельвиль (</w:t>
      </w:r>
      <w:proofErr w:type="spellStart"/>
      <w:r w:rsidRPr="007122AB">
        <w:rPr>
          <w:rFonts w:ascii="Times New Roman" w:hAnsi="Times New Roman"/>
          <w:color w:val="000000" w:themeColor="text1"/>
          <w:sz w:val="16"/>
          <w:szCs w:val="16"/>
          <w:shd w:val="clear" w:color="auto" w:fill="FFFFFF"/>
        </w:rPr>
        <w:t>Rupert</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Belville</w:t>
      </w:r>
      <w:proofErr w:type="spellEnd"/>
      <w:r w:rsidRPr="007122AB">
        <w:rPr>
          <w:rFonts w:ascii="Times New Roman" w:hAnsi="Times New Roman"/>
          <w:color w:val="000000" w:themeColor="text1"/>
          <w:sz w:val="16"/>
          <w:szCs w:val="16"/>
          <w:shd w:val="clear" w:color="auto" w:fill="FFFFFF"/>
        </w:rPr>
        <w:t>). Монтегю и Бельвиль летели по маршруту: Лондон – Мюнхен – Вена – Будапешт – Белград – София – Константинополь – Багдад – Исфахан – Тегеран – Ашхабад – Чарджоу – Ташкент – Челкар – Оренбург – Самара – Пенза – Москва – Смоленск – Берлин – Лондон (21438).</w:t>
      </w:r>
    </w:p>
    <w:p w14:paraId="485659CA" w14:textId="77777777" w:rsidR="00C573D5" w:rsidRPr="007122AB" w:rsidRDefault="00C573D5" w:rsidP="007122AB">
      <w:pPr>
        <w:spacing w:after="0" w:line="240" w:lineRule="auto"/>
        <w:jc w:val="both"/>
        <w:rPr>
          <w:rFonts w:ascii="Times New Roman" w:hAnsi="Times New Roman"/>
          <w:color w:val="000000" w:themeColor="text1"/>
          <w:sz w:val="16"/>
          <w:szCs w:val="16"/>
          <w:shd w:val="clear" w:color="auto" w:fill="FFFFFF"/>
        </w:rPr>
      </w:pPr>
    </w:p>
    <w:p w14:paraId="33BF6AA2" w14:textId="77777777" w:rsidR="00C573D5" w:rsidRPr="007122AB" w:rsidRDefault="00C573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1931 состоялся первый полет Berliner-</w:t>
      </w:r>
      <w:proofErr w:type="spellStart"/>
      <w:r w:rsidRPr="007122AB">
        <w:rPr>
          <w:rFonts w:ascii="Times New Roman" w:hAnsi="Times New Roman"/>
          <w:color w:val="000000" w:themeColor="text1"/>
          <w:sz w:val="16"/>
          <w:szCs w:val="16"/>
        </w:rPr>
        <w:t>Joyce</w:t>
      </w:r>
      <w:proofErr w:type="spellEnd"/>
      <w:r w:rsidRPr="007122AB">
        <w:rPr>
          <w:rFonts w:ascii="Times New Roman" w:hAnsi="Times New Roman"/>
          <w:color w:val="000000" w:themeColor="text1"/>
          <w:sz w:val="16"/>
          <w:szCs w:val="16"/>
        </w:rPr>
        <w:t xml:space="preserve"> XOJ-1, прототипа Berliner-</w:t>
      </w:r>
      <w:proofErr w:type="spellStart"/>
      <w:r w:rsidRPr="007122AB">
        <w:rPr>
          <w:rFonts w:ascii="Times New Roman" w:hAnsi="Times New Roman"/>
          <w:color w:val="000000" w:themeColor="text1"/>
          <w:sz w:val="16"/>
          <w:szCs w:val="16"/>
        </w:rPr>
        <w:t>Joyce</w:t>
      </w:r>
      <w:proofErr w:type="spellEnd"/>
      <w:r w:rsidRPr="007122AB">
        <w:rPr>
          <w:rFonts w:ascii="Times New Roman" w:hAnsi="Times New Roman"/>
          <w:color w:val="000000" w:themeColor="text1"/>
          <w:sz w:val="16"/>
          <w:szCs w:val="16"/>
        </w:rPr>
        <w:t xml:space="preserve"> OJ (20804). </w:t>
      </w:r>
    </w:p>
    <w:p w14:paraId="516A90EF" w14:textId="77777777" w:rsidR="00C573D5" w:rsidRPr="007122AB" w:rsidRDefault="00C573D5" w:rsidP="007122AB">
      <w:pPr>
        <w:spacing w:after="0" w:line="240" w:lineRule="auto"/>
        <w:jc w:val="both"/>
        <w:rPr>
          <w:rFonts w:ascii="Times New Roman" w:hAnsi="Times New Roman"/>
          <w:color w:val="000000" w:themeColor="text1"/>
          <w:sz w:val="16"/>
          <w:szCs w:val="16"/>
        </w:rPr>
      </w:pPr>
    </w:p>
    <w:p w14:paraId="5018B24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E7B6B8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DA4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мае-ноябре 1931 на ЧМ в районе Качи состоялись гос. испытания высотной торпеды ТАВ-15. Председателем комиссии был Командующий ЧФ </w:t>
      </w:r>
      <w:proofErr w:type="spellStart"/>
      <w:r w:rsidRPr="007122AB">
        <w:rPr>
          <w:rFonts w:ascii="Times New Roman" w:hAnsi="Times New Roman"/>
          <w:color w:val="000000" w:themeColor="text1"/>
          <w:sz w:val="16"/>
          <w:szCs w:val="16"/>
        </w:rPr>
        <w:t>В.К.Лавров</w:t>
      </w:r>
      <w:proofErr w:type="spellEnd"/>
      <w:r w:rsidRPr="007122AB">
        <w:rPr>
          <w:rFonts w:ascii="Times New Roman" w:hAnsi="Times New Roman"/>
          <w:color w:val="000000" w:themeColor="text1"/>
          <w:sz w:val="16"/>
          <w:szCs w:val="16"/>
        </w:rPr>
        <w:t xml:space="preserve"> (1085,126).</w:t>
      </w:r>
    </w:p>
    <w:p w14:paraId="340E0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DC34D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FE337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DF9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мае-июне 1931 танк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Д-10 прошел испытания на НИБТ полигоне. На вооружение принят не был (9527,88).</w:t>
      </w:r>
    </w:p>
    <w:p w14:paraId="2FDC83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A8F6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мае-июне 1931 прошел испытания на НИБТ полигоне изготовленный весной 1931 опытный образец десантного танка Д-14, разработанного ОКИБ УММ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Показал неплохие качества, но выявилась слабость силовой установки из-за неудачного охлаждения, плохой обзор, перегрузка задних тележек (9527,206).</w:t>
      </w:r>
    </w:p>
    <w:p w14:paraId="220D48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AD0D7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3EBA4D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20A9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возрос интерес к работе Д.П.Г. над ЦКБ7, ЦКБ N 7, Z (И-7). Начались осмотры и визиты чинов ОГПУ, затем - Кремля. Были Г.К.О., В.М.М., К.Е.В., Андреев. Основную часть арестованных решили освободить (2692,5).</w:t>
      </w:r>
    </w:p>
    <w:p w14:paraId="2A134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8B3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интерес к строящемуся "</w:t>
      </w:r>
      <w:proofErr w:type="spellStart"/>
      <w:r w:rsidRPr="007122AB">
        <w:rPr>
          <w:rFonts w:ascii="Times New Roman" w:hAnsi="Times New Roman"/>
          <w:color w:val="000000" w:themeColor="text1"/>
          <w:sz w:val="16"/>
          <w:szCs w:val="16"/>
        </w:rPr>
        <w:t>ЗЕТу</w:t>
      </w:r>
      <w:proofErr w:type="spellEnd"/>
      <w:r w:rsidRPr="007122AB">
        <w:rPr>
          <w:rFonts w:ascii="Times New Roman" w:hAnsi="Times New Roman"/>
          <w:color w:val="000000" w:themeColor="text1"/>
          <w:sz w:val="16"/>
          <w:szCs w:val="16"/>
        </w:rPr>
        <w:t>" заметно повысился. Начались придирчивые осмотры и проверки чинами ОГПУ, затем на заводе № 39 побывали Орджоникидзе, Молотов, Андреев, Ворошилов. Далее последовала положительная реакция от увиденного - основную часть арестованных инженеров решили освободить. В мае 1931 г. газета "Правда" писала: "Амнистировать нижеследующих конструкторов - бывших вредителей, приговорённых коллегией ОГПУ к различным мерам социальной защиты, с одновременным их награждением, а главного конструктора по опытному самолётостроению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 Таким образом, заключительная фаза работ по самолёту И-ЗЕТ проходила под руководством уже не "консультанта", а главного конструктора Григоровича (12005).</w:t>
      </w:r>
    </w:p>
    <w:p w14:paraId="37CA3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DDADAC" w14:textId="77777777" w:rsidR="003562F3" w:rsidRPr="007122AB" w:rsidRDefault="003562F3" w:rsidP="007122AB">
      <w:pPr>
        <w:pStyle w:val="a3"/>
        <w:rPr>
          <w:color w:val="000000" w:themeColor="text1"/>
          <w:lang w:val="ru-RU"/>
        </w:rPr>
      </w:pPr>
      <w:r w:rsidRPr="007122AB">
        <w:rPr>
          <w:color w:val="000000" w:themeColor="text1"/>
          <w:lang w:val="ru-RU"/>
        </w:rPr>
        <w:t>Весной 1931 г. Интерес к строящемуся «</w:t>
      </w:r>
      <w:proofErr w:type="spellStart"/>
      <w:r w:rsidRPr="007122AB">
        <w:rPr>
          <w:color w:val="000000" w:themeColor="text1"/>
          <w:lang w:val="ru-RU"/>
        </w:rPr>
        <w:t>ЗЕТу</w:t>
      </w:r>
      <w:proofErr w:type="spellEnd"/>
      <w:r w:rsidRPr="007122AB">
        <w:rPr>
          <w:color w:val="000000" w:themeColor="text1"/>
          <w:lang w:val="ru-RU"/>
        </w:rPr>
        <w:t>» Д.П.Г. заметно возрос. Начались при</w:t>
      </w:r>
      <w:r w:rsidRPr="007122AB">
        <w:rPr>
          <w:color w:val="000000" w:themeColor="text1"/>
          <w:lang w:val="ru-RU"/>
        </w:rPr>
        <w:softHyphen/>
        <w:t>дирчивые осмотры и проверки чинами из ГПУ, затем последовали визиты из Кремля -на заводе №39 бывали Орджоникидзе, Молотов, Андреев, Ворошилов. Далее последовала положительная реакция от увиденного - основную часть арестованных инженеров решили освободить. В мае 1931 г. газета «Правда» писала:</w:t>
      </w:r>
      <w:r w:rsidRPr="007122AB">
        <w:rPr>
          <w:rStyle w:val="aff5"/>
          <w:rFonts w:ascii="Times New Roman" w:hAnsi="Times New Roman" w:cs="Times New Roman"/>
          <w:i w:val="0"/>
          <w:color w:val="000000" w:themeColor="text1"/>
          <w:lang w:val="ru-RU"/>
        </w:rPr>
        <w:t xml:space="preserve"> «...Амни</w:t>
      </w:r>
      <w:r w:rsidRPr="007122AB">
        <w:rPr>
          <w:rStyle w:val="aff5"/>
          <w:rFonts w:ascii="Times New Roman" w:hAnsi="Times New Roman" w:cs="Times New Roman"/>
          <w:i w:val="0"/>
          <w:color w:val="000000" w:themeColor="text1"/>
          <w:lang w:val="ru-RU"/>
        </w:rPr>
        <w:softHyphen/>
        <w:t xml:space="preserve">стировать нижеследующих конструкторов </w:t>
      </w:r>
      <w:r w:rsidRPr="007122AB">
        <w:rPr>
          <w:color w:val="000000" w:themeColor="text1"/>
          <w:lang w:val="ru-RU"/>
        </w:rPr>
        <w:t xml:space="preserve">бывших вредителей, приговоренных коллегией ОГПУ к различным мерам социальной защиты, с одновременным их награждением, а главного конструктора по опытному самолетостроению </w:t>
      </w:r>
      <w:proofErr w:type="spellStart"/>
      <w:r w:rsidRPr="007122AB">
        <w:rPr>
          <w:color w:val="000000" w:themeColor="text1"/>
          <w:lang w:val="ru-RU"/>
        </w:rPr>
        <w:t>Гоигоровича</w:t>
      </w:r>
      <w:proofErr w:type="spellEnd"/>
      <w:r w:rsidRPr="007122AB">
        <w:rPr>
          <w:color w:val="000000" w:themeColor="text1"/>
          <w:lang w:val="ru-RU"/>
        </w:rPr>
        <w:t xml:space="preserve"> Дмитрия Павловича, раскаявшегося в своих прежних поступках и годичной работой доказавшего на деле свое рас</w:t>
      </w:r>
      <w:r w:rsidRPr="007122AB">
        <w:rPr>
          <w:color w:val="000000" w:themeColor="text1"/>
          <w:lang w:val="ru-RU"/>
        </w:rPr>
        <w:softHyphen/>
        <w:t>каяние, - грамотой ЦИК Союза ССР и денежной наградой в 10.000 рублей...» (12731).</w:t>
      </w:r>
    </w:p>
    <w:p w14:paraId="6D5C7952" w14:textId="77777777" w:rsidR="003562F3" w:rsidRPr="007122AB" w:rsidRDefault="003562F3" w:rsidP="007122AB">
      <w:pPr>
        <w:pStyle w:val="a3"/>
        <w:rPr>
          <w:color w:val="000000" w:themeColor="text1"/>
          <w:lang w:val="ru-RU"/>
        </w:rPr>
      </w:pPr>
    </w:p>
    <w:p w14:paraId="0FA736D4"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года усилился интерес к истребителю «И-Z» Григоровича.</w:t>
      </w:r>
    </w:p>
    <w:p w14:paraId="1CEF1632"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«И-Z» (ЦКБ № 7) был специально создан в 1930 году под динамо-реактивные пушки (ДРП) конструктора Л.В.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Пушки создавались для усиления огневой мощи самолетов-истребителей, пулеметы которых уже становились малоэффективными в борьбе с тяжелыми цельно-металлическими бомбардировщиками. Даже при значительном количестве пробоин от обычных пуль самолеты с трубчатыми лонжеронами и гофрированной обшивкой продолжали держаться в воздухе. Не столь опасным стало и попадание пуль в бензобак, так как их стали </w:t>
      </w:r>
      <w:proofErr w:type="spellStart"/>
      <w:r w:rsidRPr="007122AB">
        <w:rPr>
          <w:rFonts w:ascii="Times New Roman" w:hAnsi="Times New Roman"/>
          <w:color w:val="000000" w:themeColor="text1"/>
          <w:sz w:val="16"/>
          <w:szCs w:val="16"/>
        </w:rPr>
        <w:t>протектировать</w:t>
      </w:r>
      <w:proofErr w:type="spellEnd"/>
      <w:r w:rsidRPr="007122AB">
        <w:rPr>
          <w:rFonts w:ascii="Times New Roman" w:hAnsi="Times New Roman"/>
          <w:color w:val="000000" w:themeColor="text1"/>
          <w:sz w:val="16"/>
          <w:szCs w:val="16"/>
        </w:rPr>
        <w:t>.</w:t>
      </w:r>
    </w:p>
    <w:p w14:paraId="1B3331F7"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Д.П. Григорович организовал небольшую группу, в которую вошли А.Н. </w:t>
      </w:r>
      <w:proofErr w:type="spellStart"/>
      <w:r w:rsidRPr="007122AB">
        <w:rPr>
          <w:rFonts w:ascii="Times New Roman" w:hAnsi="Times New Roman"/>
          <w:color w:val="000000" w:themeColor="text1"/>
          <w:sz w:val="16"/>
          <w:szCs w:val="16"/>
        </w:rPr>
        <w:t>Седель</w:t>
      </w:r>
      <w:proofErr w:type="spellEnd"/>
      <w:r w:rsidRPr="007122AB">
        <w:rPr>
          <w:rFonts w:ascii="Times New Roman" w:hAnsi="Times New Roman"/>
          <w:color w:val="000000" w:themeColor="text1"/>
          <w:sz w:val="16"/>
          <w:szCs w:val="16"/>
        </w:rPr>
        <w:t xml:space="preserve">, В.Л. Корвин, А.Н.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xml:space="preserve">, Е.И. Майоранов, В.Д. </w:t>
      </w:r>
      <w:proofErr w:type="spellStart"/>
      <w:r w:rsidRPr="007122AB">
        <w:rPr>
          <w:rFonts w:ascii="Times New Roman" w:hAnsi="Times New Roman"/>
          <w:color w:val="000000" w:themeColor="text1"/>
          <w:sz w:val="16"/>
          <w:szCs w:val="16"/>
        </w:rPr>
        <w:t>Яровицкий</w:t>
      </w:r>
      <w:proofErr w:type="spellEnd"/>
      <w:r w:rsidRPr="007122AB">
        <w:rPr>
          <w:rFonts w:ascii="Times New Roman" w:hAnsi="Times New Roman"/>
          <w:color w:val="000000" w:themeColor="text1"/>
          <w:sz w:val="16"/>
          <w:szCs w:val="16"/>
        </w:rPr>
        <w:t xml:space="preserve">, Г.Е. </w:t>
      </w:r>
      <w:proofErr w:type="spellStart"/>
      <w:r w:rsidRPr="007122AB">
        <w:rPr>
          <w:rFonts w:ascii="Times New Roman" w:hAnsi="Times New Roman"/>
          <w:color w:val="000000" w:themeColor="text1"/>
          <w:sz w:val="16"/>
          <w:szCs w:val="16"/>
        </w:rPr>
        <w:t>Чупилко</w:t>
      </w:r>
      <w:proofErr w:type="spellEnd"/>
      <w:r w:rsidRPr="007122AB">
        <w:rPr>
          <w:rFonts w:ascii="Times New Roman" w:hAnsi="Times New Roman"/>
          <w:color w:val="000000" w:themeColor="text1"/>
          <w:sz w:val="16"/>
          <w:szCs w:val="16"/>
        </w:rPr>
        <w:t>, С.Н. Шишкин. В основном это были специалисты, разрабатывавшие И-5. Самолет «И-Z» был сверхсекретным. Даже на малодоступной постороннему глазу территории завода № 39, специальная группа Григоровича находилась в особых условиях – они работали в отдельном, строго засекреченном ангаре.</w:t>
      </w:r>
    </w:p>
    <w:p w14:paraId="1610943E"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истребителя была избрана схема подкосного низкоплана.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хвостовая часть, выполненная в виде </w:t>
      </w:r>
      <w:proofErr w:type="spellStart"/>
      <w:r w:rsidRPr="007122AB">
        <w:rPr>
          <w:rFonts w:ascii="Times New Roman" w:hAnsi="Times New Roman"/>
          <w:color w:val="000000" w:themeColor="text1"/>
          <w:sz w:val="16"/>
          <w:szCs w:val="16"/>
        </w:rPr>
        <w:t>полумонококовой</w:t>
      </w:r>
      <w:proofErr w:type="spellEnd"/>
      <w:r w:rsidRPr="007122AB">
        <w:rPr>
          <w:rFonts w:ascii="Times New Roman" w:hAnsi="Times New Roman"/>
          <w:color w:val="000000" w:themeColor="text1"/>
          <w:sz w:val="16"/>
          <w:szCs w:val="16"/>
        </w:rPr>
        <w:t xml:space="preserve"> балки с высоко расположенным горизонтальным оперением. Эллипсовидное крыло - из нержавеющей стали с полотняной обшивкой. Хвостовая часть фюзеляжа имела высокий киль и горизонтальное оперение с подкосом. Две АПК подвешивались под крылом, вне диска вращения винта.</w:t>
      </w:r>
    </w:p>
    <w:p w14:paraId="1513DB41"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Начались осмотры и проверки чекистами ОГПУ, затем пошли визиты на завод кремлевских гостей: И.В. Сталина, К.Е. Ворошилова, Г.К. Орджоникидзе, В.М. Молотова, А.А. Андреева. Вскоре заводские летчики-испытатели Б.Л. Бухгольц и Ю.И. Пионтковский провели успешные летные испытания опытного экземпляра истребителя. С двигателем М-22 скорость «И-Z» достигала 300 км/час. Однако большие трудности вызывала стрельба из пушек. Конструкция истребителя была пересмотрена, вблизи подвески пушки полотняную обшивку крыла заменили дюралевой.</w:t>
      </w:r>
    </w:p>
    <w:p w14:paraId="35CF0017"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Созданием истребителя «И-Z» Д.П. Григорович занимался одновременно с бомбардировщиком ТБ-5: обе машины были построены в заданные сроки, в мае 1931 года (18293).</w:t>
      </w:r>
    </w:p>
    <w:p w14:paraId="61434407"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6C9599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самолет ДИ-3 впервые поднялся в воздух. Государственные испы</w:t>
      </w:r>
      <w:r w:rsidRPr="007122AB">
        <w:rPr>
          <w:rFonts w:ascii="Times New Roman" w:hAnsi="Times New Roman"/>
          <w:color w:val="000000" w:themeColor="text1"/>
          <w:sz w:val="16"/>
          <w:szCs w:val="16"/>
        </w:rPr>
        <w:softHyphen/>
        <w:t>тания в НИИ ВВС велись в период с 10 ап</w:t>
      </w:r>
      <w:r w:rsidRPr="007122AB">
        <w:rPr>
          <w:rFonts w:ascii="Times New Roman" w:hAnsi="Times New Roman"/>
          <w:color w:val="000000" w:themeColor="text1"/>
          <w:sz w:val="16"/>
          <w:szCs w:val="16"/>
        </w:rPr>
        <w:softHyphen/>
        <w:t>реля по 12 июля 1931 г. Выяснилось, что самолет не удовлетворяет тактико-техниче</w:t>
      </w:r>
      <w:r w:rsidRPr="007122AB">
        <w:rPr>
          <w:rFonts w:ascii="Times New Roman" w:hAnsi="Times New Roman"/>
          <w:color w:val="000000" w:themeColor="text1"/>
          <w:sz w:val="16"/>
          <w:szCs w:val="16"/>
        </w:rPr>
        <w:softHyphen/>
        <w:t>ским требованиям как по максимальным скоростям на всех высотах, так и по скоро</w:t>
      </w:r>
      <w:r w:rsidRPr="007122AB">
        <w:rPr>
          <w:rFonts w:ascii="Times New Roman" w:hAnsi="Times New Roman"/>
          <w:color w:val="000000" w:themeColor="text1"/>
          <w:sz w:val="16"/>
          <w:szCs w:val="16"/>
        </w:rPr>
        <w:softHyphen/>
        <w:t>подъемности, и вообще практически по всем летным характеристикам уступает самолету Д-2. В управлении ДИ-3 оказался строгой машиной, не позволял полет с бро</w:t>
      </w:r>
      <w:r w:rsidRPr="007122AB">
        <w:rPr>
          <w:rFonts w:ascii="Times New Roman" w:hAnsi="Times New Roman"/>
          <w:color w:val="000000" w:themeColor="text1"/>
          <w:sz w:val="16"/>
          <w:szCs w:val="16"/>
        </w:rPr>
        <w:softHyphen/>
        <w:t>шенной ручкой. Оборонительная турель ЦКБ была признана неудачной.</w:t>
      </w:r>
    </w:p>
    <w:p w14:paraId="423F34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итоге ДИ-3 не рекомендовали к мас</w:t>
      </w:r>
      <w:r w:rsidRPr="007122AB">
        <w:rPr>
          <w:rFonts w:ascii="Times New Roman" w:hAnsi="Times New Roman"/>
          <w:color w:val="000000" w:themeColor="text1"/>
          <w:sz w:val="16"/>
          <w:szCs w:val="16"/>
        </w:rPr>
        <w:softHyphen/>
        <w:t>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w:t>
      </w:r>
      <w:r w:rsidRPr="007122AB">
        <w:rPr>
          <w:rFonts w:ascii="Times New Roman" w:hAnsi="Times New Roman"/>
          <w:color w:val="000000" w:themeColor="text1"/>
          <w:sz w:val="16"/>
          <w:szCs w:val="16"/>
        </w:rPr>
        <w:softHyphen/>
        <w:t>ный ДИ-3 был оборудован застекленной кабиной и использовался как связной са</w:t>
      </w:r>
      <w:r w:rsidRPr="007122AB">
        <w:rPr>
          <w:rFonts w:ascii="Times New Roman" w:hAnsi="Times New Roman"/>
          <w:color w:val="000000" w:themeColor="text1"/>
          <w:sz w:val="16"/>
          <w:szCs w:val="16"/>
        </w:rPr>
        <w:softHyphen/>
        <w:t>молет.</w:t>
      </w:r>
    </w:p>
    <w:p w14:paraId="0DBCA2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Летные и технические характеристики самолета ДИ-3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002C3" w:rsidRPr="007122AB" w14:paraId="5F72484A" w14:textId="77777777">
        <w:tc>
          <w:tcPr>
            <w:tcW w:w="4788" w:type="dxa"/>
            <w:tcBorders>
              <w:top w:val="single" w:sz="12" w:space="0" w:color="auto"/>
            </w:tcBorders>
            <w:shd w:val="clear" w:color="auto" w:fill="FFFFFF"/>
          </w:tcPr>
          <w:p w14:paraId="18B1E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7D0FBA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7,8</w:t>
            </w:r>
          </w:p>
        </w:tc>
      </w:tr>
      <w:tr w:rsidR="001002C3" w:rsidRPr="007122AB" w14:paraId="6A482945" w14:textId="77777777">
        <w:tc>
          <w:tcPr>
            <w:tcW w:w="4788" w:type="dxa"/>
            <w:shd w:val="clear" w:color="auto" w:fill="FFFFFF"/>
          </w:tcPr>
          <w:p w14:paraId="3E4C3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верхнего крыла (м)</w:t>
            </w:r>
          </w:p>
        </w:tc>
        <w:tc>
          <w:tcPr>
            <w:tcW w:w="4788" w:type="dxa"/>
            <w:shd w:val="clear" w:color="auto" w:fill="FFFFFF"/>
          </w:tcPr>
          <w:p w14:paraId="0D7C07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11,8</w:t>
            </w:r>
          </w:p>
        </w:tc>
      </w:tr>
      <w:tr w:rsidR="001002C3" w:rsidRPr="007122AB" w14:paraId="28DBE1B0" w14:textId="77777777">
        <w:tc>
          <w:tcPr>
            <w:tcW w:w="4788" w:type="dxa"/>
            <w:shd w:val="clear" w:color="auto" w:fill="FFFFFF"/>
          </w:tcPr>
          <w:p w14:paraId="6D641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нижнего крыла (м)</w:t>
            </w:r>
          </w:p>
        </w:tc>
        <w:tc>
          <w:tcPr>
            <w:tcW w:w="4788" w:type="dxa"/>
            <w:shd w:val="clear" w:color="auto" w:fill="FFFFFF"/>
          </w:tcPr>
          <w:p w14:paraId="34868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5,55</w:t>
            </w:r>
          </w:p>
        </w:tc>
      </w:tr>
      <w:tr w:rsidR="001002C3" w:rsidRPr="007122AB" w14:paraId="38D90CC9" w14:textId="77777777">
        <w:tc>
          <w:tcPr>
            <w:tcW w:w="4788" w:type="dxa"/>
            <w:shd w:val="clear" w:color="auto" w:fill="FFFFFF"/>
          </w:tcPr>
          <w:p w14:paraId="166DE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крыльев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4788" w:type="dxa"/>
            <w:shd w:val="clear" w:color="auto" w:fill="FFFFFF"/>
          </w:tcPr>
          <w:p w14:paraId="1181BA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30,1</w:t>
            </w:r>
          </w:p>
        </w:tc>
      </w:tr>
      <w:tr w:rsidR="001002C3" w:rsidRPr="007122AB" w14:paraId="31262A12" w14:textId="77777777">
        <w:tc>
          <w:tcPr>
            <w:tcW w:w="4788" w:type="dxa"/>
            <w:shd w:val="clear" w:color="auto" w:fill="FFFFFF"/>
          </w:tcPr>
          <w:p w14:paraId="79CC4F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4788" w:type="dxa"/>
            <w:shd w:val="clear" w:color="auto" w:fill="FFFFFF"/>
          </w:tcPr>
          <w:p w14:paraId="2E05D7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1487</w:t>
            </w:r>
          </w:p>
        </w:tc>
      </w:tr>
      <w:tr w:rsidR="001002C3" w:rsidRPr="007122AB" w14:paraId="3F9CD831" w14:textId="77777777">
        <w:tc>
          <w:tcPr>
            <w:tcW w:w="4788" w:type="dxa"/>
            <w:shd w:val="clear" w:color="auto" w:fill="FFFFFF"/>
          </w:tcPr>
          <w:p w14:paraId="2028B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полетный (кг)</w:t>
            </w:r>
          </w:p>
        </w:tc>
        <w:tc>
          <w:tcPr>
            <w:tcW w:w="4788" w:type="dxa"/>
            <w:shd w:val="clear" w:color="auto" w:fill="FFFFFF"/>
          </w:tcPr>
          <w:p w14:paraId="5496FE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2122</w:t>
            </w:r>
          </w:p>
        </w:tc>
      </w:tr>
      <w:tr w:rsidR="001002C3" w:rsidRPr="007122AB" w14:paraId="4E370A9B" w14:textId="77777777">
        <w:tc>
          <w:tcPr>
            <w:tcW w:w="4788" w:type="dxa"/>
            <w:shd w:val="clear" w:color="auto" w:fill="FFFFFF"/>
          </w:tcPr>
          <w:p w14:paraId="7F1EB4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4788" w:type="dxa"/>
            <w:shd w:val="clear" w:color="auto" w:fill="FFFFFF"/>
          </w:tcPr>
          <w:p w14:paraId="580837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70,5</w:t>
            </w:r>
          </w:p>
        </w:tc>
      </w:tr>
      <w:tr w:rsidR="001002C3" w:rsidRPr="007122AB" w14:paraId="6482C064" w14:textId="77777777">
        <w:tc>
          <w:tcPr>
            <w:tcW w:w="4788" w:type="dxa"/>
            <w:shd w:val="clear" w:color="auto" w:fill="FFFFFF"/>
          </w:tcPr>
          <w:p w14:paraId="309EC9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у земли (км/час)</w:t>
            </w:r>
          </w:p>
        </w:tc>
        <w:tc>
          <w:tcPr>
            <w:tcW w:w="4788" w:type="dxa"/>
            <w:shd w:val="clear" w:color="auto" w:fill="FFFFFF"/>
          </w:tcPr>
          <w:p w14:paraId="56A71F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256</w:t>
            </w:r>
          </w:p>
        </w:tc>
      </w:tr>
      <w:tr w:rsidR="001002C3" w:rsidRPr="007122AB" w14:paraId="21582EF4" w14:textId="77777777">
        <w:tc>
          <w:tcPr>
            <w:tcW w:w="4788" w:type="dxa"/>
            <w:shd w:val="clear" w:color="auto" w:fill="FFFFFF"/>
          </w:tcPr>
          <w:p w14:paraId="071B9E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3000 м (км/час)</w:t>
            </w:r>
          </w:p>
        </w:tc>
        <w:tc>
          <w:tcPr>
            <w:tcW w:w="4788" w:type="dxa"/>
            <w:shd w:val="clear" w:color="auto" w:fill="FFFFFF"/>
          </w:tcPr>
          <w:p w14:paraId="49AA3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243</w:t>
            </w:r>
          </w:p>
        </w:tc>
      </w:tr>
      <w:tr w:rsidR="001002C3" w:rsidRPr="007122AB" w14:paraId="7EBDDFF5" w14:textId="77777777">
        <w:tc>
          <w:tcPr>
            <w:tcW w:w="4788" w:type="dxa"/>
            <w:shd w:val="clear" w:color="auto" w:fill="FFFFFF"/>
          </w:tcPr>
          <w:p w14:paraId="4F0E1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5000м(км/час)</w:t>
            </w:r>
          </w:p>
        </w:tc>
        <w:tc>
          <w:tcPr>
            <w:tcW w:w="4788" w:type="dxa"/>
            <w:shd w:val="clear" w:color="auto" w:fill="FFFFFF"/>
          </w:tcPr>
          <w:p w14:paraId="6B06CB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212</w:t>
            </w:r>
          </w:p>
        </w:tc>
      </w:tr>
      <w:tr w:rsidR="001002C3" w:rsidRPr="007122AB" w14:paraId="7DB351AA" w14:textId="77777777">
        <w:tc>
          <w:tcPr>
            <w:tcW w:w="4788" w:type="dxa"/>
            <w:shd w:val="clear" w:color="auto" w:fill="FFFFFF"/>
          </w:tcPr>
          <w:p w14:paraId="5545B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высоты 5000 м (мин)</w:t>
            </w:r>
          </w:p>
        </w:tc>
        <w:tc>
          <w:tcPr>
            <w:tcW w:w="4788" w:type="dxa"/>
            <w:shd w:val="clear" w:color="auto" w:fill="FFFFFF"/>
          </w:tcPr>
          <w:p w14:paraId="6E2ADE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17,5</w:t>
            </w:r>
          </w:p>
        </w:tc>
      </w:tr>
      <w:tr w:rsidR="001002C3" w:rsidRPr="007122AB" w14:paraId="6D82F233" w14:textId="77777777">
        <w:tc>
          <w:tcPr>
            <w:tcW w:w="4788" w:type="dxa"/>
            <w:shd w:val="clear" w:color="auto" w:fill="FFFFFF"/>
          </w:tcPr>
          <w:p w14:paraId="6350E1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Практический потолок (м)</w:t>
            </w:r>
          </w:p>
        </w:tc>
        <w:tc>
          <w:tcPr>
            <w:tcW w:w="4788" w:type="dxa"/>
            <w:shd w:val="clear" w:color="auto" w:fill="FFFFFF"/>
          </w:tcPr>
          <w:p w14:paraId="30DEC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6300</w:t>
            </w:r>
          </w:p>
        </w:tc>
      </w:tr>
      <w:tr w:rsidR="001002C3" w:rsidRPr="007122AB" w14:paraId="325A4919" w14:textId="77777777">
        <w:tc>
          <w:tcPr>
            <w:tcW w:w="4788" w:type="dxa"/>
            <w:tcBorders>
              <w:bottom w:val="single" w:sz="12" w:space="0" w:color="auto"/>
            </w:tcBorders>
            <w:shd w:val="clear" w:color="auto" w:fill="FFFFFF"/>
          </w:tcPr>
          <w:p w14:paraId="53928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виража на 1000 м (сек)</w:t>
            </w:r>
          </w:p>
        </w:tc>
        <w:tc>
          <w:tcPr>
            <w:tcW w:w="4788" w:type="dxa"/>
            <w:tcBorders>
              <w:bottom w:val="single" w:sz="12" w:space="0" w:color="auto"/>
            </w:tcBorders>
            <w:shd w:val="clear" w:color="auto" w:fill="FFFFFF"/>
          </w:tcPr>
          <w:p w14:paraId="379A37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13,1 (11134).</w:t>
            </w:r>
          </w:p>
        </w:tc>
      </w:tr>
    </w:tbl>
    <w:p w14:paraId="4CB317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2C3CA"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самолет Д-3 впервые поднялся в воз</w:t>
      </w:r>
      <w:r w:rsidRPr="007122AB">
        <w:rPr>
          <w:rFonts w:ascii="Times New Roman" w:hAnsi="Times New Roman"/>
          <w:color w:val="000000" w:themeColor="text1"/>
          <w:sz w:val="16"/>
          <w:szCs w:val="16"/>
        </w:rPr>
        <w:softHyphen/>
        <w:t>дух. Государственные испытания в НИИ ВВС велись в период с 10 апреля по 12 июля 1931 г.</w:t>
      </w:r>
    </w:p>
    <w:p w14:paraId="526DE0CB"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Признавалось, что самолет не удовлетво</w:t>
      </w:r>
      <w:r w:rsidRPr="007122AB">
        <w:rPr>
          <w:rFonts w:ascii="Times New Roman" w:hAnsi="Times New Roman"/>
          <w:color w:val="000000" w:themeColor="text1"/>
          <w:sz w:val="16"/>
          <w:szCs w:val="16"/>
        </w:rPr>
        <w:softHyphen/>
        <w:t>ряет тактико-техническим требованиям: как по максимальным скоростям на всех высо</w:t>
      </w:r>
      <w:r w:rsidRPr="007122AB">
        <w:rPr>
          <w:rFonts w:ascii="Times New Roman" w:hAnsi="Times New Roman"/>
          <w:color w:val="000000" w:themeColor="text1"/>
          <w:sz w:val="16"/>
          <w:szCs w:val="16"/>
        </w:rPr>
        <w:softHyphen/>
        <w:t>тах, так и по скороподъемности. Практиче</w:t>
      </w:r>
      <w:r w:rsidRPr="007122AB">
        <w:rPr>
          <w:rFonts w:ascii="Times New Roman" w:hAnsi="Times New Roman"/>
          <w:color w:val="000000" w:themeColor="text1"/>
          <w:sz w:val="16"/>
          <w:szCs w:val="16"/>
        </w:rPr>
        <w:softHyphen/>
        <w:t>ски по всем летным характеристикам уступа-</w:t>
      </w:r>
      <w:r w:rsidRPr="007122AB">
        <w:rPr>
          <w:rStyle w:val="MicrosoftSansSerif"/>
          <w:rFonts w:ascii="Times New Roman" w:hAnsi="Times New Roman"/>
          <w:i w:val="0"/>
          <w:color w:val="000000" w:themeColor="text1"/>
          <w:spacing w:val="0"/>
          <w:sz w:val="16"/>
          <w:szCs w:val="16"/>
        </w:rPr>
        <w:t xml:space="preserve"> Опытный </w:t>
      </w:r>
      <w:proofErr w:type="spellStart"/>
      <w:r w:rsidRPr="007122AB">
        <w:rPr>
          <w:rStyle w:val="MicrosoftSansSerif"/>
          <w:rFonts w:ascii="Times New Roman" w:hAnsi="Times New Roman"/>
          <w:i w:val="0"/>
          <w:color w:val="000000" w:themeColor="text1"/>
          <w:spacing w:val="0"/>
          <w:sz w:val="16"/>
          <w:szCs w:val="16"/>
        </w:rPr>
        <w:t>двухмест</w:t>
      </w:r>
      <w:proofErr w:type="spellEnd"/>
      <w:r w:rsidRPr="007122AB">
        <w:rPr>
          <w:rStyle w:val="MicrosoftSansSerif"/>
          <w:rFonts w:ascii="Times New Roman" w:hAnsi="Times New Roman"/>
          <w:i w:val="0"/>
          <w:color w:val="000000" w:themeColor="text1"/>
          <w:spacing w:val="0"/>
          <w:sz w:val="16"/>
          <w:szCs w:val="16"/>
        </w:rPr>
        <w:t xml:space="preserve">- </w:t>
      </w:r>
      <w:proofErr w:type="spellStart"/>
      <w:r w:rsidRPr="007122AB">
        <w:rPr>
          <w:rFonts w:ascii="Times New Roman" w:hAnsi="Times New Roman"/>
          <w:color w:val="000000" w:themeColor="text1"/>
          <w:sz w:val="16"/>
          <w:szCs w:val="16"/>
        </w:rPr>
        <w:t>ет</w:t>
      </w:r>
      <w:proofErr w:type="spellEnd"/>
      <w:r w:rsidRPr="007122AB">
        <w:rPr>
          <w:rFonts w:ascii="Times New Roman" w:hAnsi="Times New Roman"/>
          <w:color w:val="000000" w:themeColor="text1"/>
          <w:sz w:val="16"/>
          <w:szCs w:val="16"/>
        </w:rPr>
        <w:t xml:space="preserve"> самолету Д-2. В управлении ДИ-3 оказался</w:t>
      </w:r>
      <w:r w:rsidRPr="007122AB">
        <w:rPr>
          <w:rStyle w:val="MicrosoftSansSerif"/>
          <w:rFonts w:ascii="Times New Roman" w:hAnsi="Times New Roman"/>
          <w:i w:val="0"/>
          <w:color w:val="000000" w:themeColor="text1"/>
          <w:spacing w:val="0"/>
          <w:sz w:val="16"/>
          <w:szCs w:val="16"/>
        </w:rPr>
        <w:t xml:space="preserve"> </w:t>
      </w:r>
      <w:proofErr w:type="spellStart"/>
      <w:r w:rsidRPr="007122AB">
        <w:rPr>
          <w:rStyle w:val="MicrosoftSansSerif"/>
          <w:rFonts w:ascii="Times New Roman" w:hAnsi="Times New Roman"/>
          <w:i w:val="0"/>
          <w:color w:val="000000" w:themeColor="text1"/>
          <w:spacing w:val="0"/>
          <w:sz w:val="16"/>
          <w:szCs w:val="16"/>
        </w:rPr>
        <w:t>ный</w:t>
      </w:r>
      <w:proofErr w:type="spellEnd"/>
      <w:r w:rsidRPr="007122AB">
        <w:rPr>
          <w:rStyle w:val="MicrosoftSansSerif"/>
          <w:rFonts w:ascii="Times New Roman" w:hAnsi="Times New Roman"/>
          <w:i w:val="0"/>
          <w:color w:val="000000" w:themeColor="text1"/>
          <w:spacing w:val="0"/>
          <w:sz w:val="16"/>
          <w:szCs w:val="16"/>
        </w:rPr>
        <w:t xml:space="preserve"> истребитель </w:t>
      </w:r>
      <w:r w:rsidRPr="007122AB">
        <w:rPr>
          <w:rFonts w:ascii="Times New Roman" w:hAnsi="Times New Roman"/>
          <w:color w:val="000000" w:themeColor="text1"/>
          <w:sz w:val="16"/>
          <w:szCs w:val="16"/>
        </w:rPr>
        <w:t>строгой машиной, самолет не позволял вы-</w:t>
      </w:r>
      <w:r w:rsidRPr="007122AB">
        <w:rPr>
          <w:rStyle w:val="MicrosoftSansSerif"/>
          <w:rFonts w:ascii="Times New Roman" w:hAnsi="Times New Roman"/>
          <w:i w:val="0"/>
          <w:color w:val="000000" w:themeColor="text1"/>
          <w:spacing w:val="0"/>
          <w:sz w:val="16"/>
          <w:szCs w:val="16"/>
        </w:rPr>
        <w:t xml:space="preserve"> ДИ-3 на испытаниях </w:t>
      </w:r>
      <w:proofErr w:type="spellStart"/>
      <w:r w:rsidRPr="007122AB">
        <w:rPr>
          <w:rFonts w:ascii="Times New Roman" w:hAnsi="Times New Roman"/>
          <w:color w:val="000000" w:themeColor="text1"/>
          <w:sz w:val="16"/>
          <w:szCs w:val="16"/>
        </w:rPr>
        <w:t>полнять</w:t>
      </w:r>
      <w:proofErr w:type="spellEnd"/>
      <w:r w:rsidRPr="007122AB">
        <w:rPr>
          <w:rFonts w:ascii="Times New Roman" w:hAnsi="Times New Roman"/>
          <w:color w:val="000000" w:themeColor="text1"/>
          <w:sz w:val="16"/>
          <w:szCs w:val="16"/>
        </w:rPr>
        <w:t xml:space="preserve"> полет с «брошенной ручкой». Обо-</w:t>
      </w:r>
      <w:r w:rsidRPr="007122AB">
        <w:rPr>
          <w:rStyle w:val="MicrosoftSansSerif"/>
          <w:rFonts w:ascii="Times New Roman" w:hAnsi="Times New Roman"/>
          <w:i w:val="0"/>
          <w:color w:val="000000" w:themeColor="text1"/>
          <w:spacing w:val="0"/>
          <w:sz w:val="16"/>
          <w:szCs w:val="16"/>
        </w:rPr>
        <w:t xml:space="preserve"> летом 1931 г. </w:t>
      </w:r>
      <w:proofErr w:type="spellStart"/>
      <w:r w:rsidRPr="007122AB">
        <w:rPr>
          <w:rFonts w:ascii="Times New Roman" w:hAnsi="Times New Roman"/>
          <w:color w:val="000000" w:themeColor="text1"/>
          <w:sz w:val="16"/>
          <w:szCs w:val="16"/>
        </w:rPr>
        <w:t>ронительная</w:t>
      </w:r>
      <w:proofErr w:type="spellEnd"/>
      <w:r w:rsidRPr="007122AB">
        <w:rPr>
          <w:rFonts w:ascii="Times New Roman" w:hAnsi="Times New Roman"/>
          <w:color w:val="000000" w:themeColor="text1"/>
          <w:sz w:val="16"/>
          <w:szCs w:val="16"/>
        </w:rPr>
        <w:t xml:space="preserve"> турель ЦКБ признавалась неу</w:t>
      </w:r>
      <w:r w:rsidRPr="007122AB">
        <w:rPr>
          <w:rFonts w:ascii="Times New Roman" w:hAnsi="Times New Roman"/>
          <w:color w:val="000000" w:themeColor="text1"/>
          <w:sz w:val="16"/>
          <w:szCs w:val="16"/>
        </w:rPr>
        <w:softHyphen/>
        <w:t>дачной.</w:t>
      </w:r>
    </w:p>
    <w:p w14:paraId="5C559F5D"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7122AB">
        <w:rPr>
          <w:rFonts w:ascii="Times New Roman" w:hAnsi="Times New Roman"/>
          <w:color w:val="000000" w:themeColor="text1"/>
          <w:sz w:val="16"/>
          <w:szCs w:val="16"/>
        </w:rPr>
        <w:softHyphen/>
        <w:t>рудован прозрачным фонарем кабины лет</w:t>
      </w:r>
      <w:r w:rsidRPr="007122AB">
        <w:rPr>
          <w:rFonts w:ascii="Times New Roman" w:hAnsi="Times New Roman"/>
          <w:color w:val="000000" w:themeColor="text1"/>
          <w:sz w:val="16"/>
          <w:szCs w:val="16"/>
        </w:rPr>
        <w:softHyphen/>
        <w:t>чиков и использовался как связной самолет (12295).</w:t>
      </w:r>
    </w:p>
    <w:p w14:paraId="5BCFA7E6"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4868F8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были начаты испытания МУ-3 </w:t>
      </w:r>
      <w:proofErr w:type="spellStart"/>
      <w:r w:rsidRPr="007122AB">
        <w:rPr>
          <w:rFonts w:ascii="Times New Roman" w:hAnsi="Times New Roman"/>
          <w:color w:val="000000" w:themeColor="text1"/>
          <w:sz w:val="16"/>
          <w:szCs w:val="16"/>
        </w:rPr>
        <w:t>А.С.Москалева</w:t>
      </w:r>
      <w:proofErr w:type="spellEnd"/>
      <w:r w:rsidRPr="007122AB">
        <w:rPr>
          <w:rFonts w:ascii="Times New Roman" w:hAnsi="Times New Roman"/>
          <w:color w:val="000000" w:themeColor="text1"/>
          <w:sz w:val="16"/>
          <w:szCs w:val="16"/>
        </w:rPr>
        <w:t xml:space="preserve"> (92,384).</w:t>
      </w:r>
    </w:p>
    <w:p w14:paraId="7E1AA6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7A04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на Москве-реке провели испытания У-2 на поплавках, разработанных на за</w:t>
      </w:r>
      <w:r w:rsidRPr="007122AB">
        <w:rPr>
          <w:rFonts w:ascii="Times New Roman" w:hAnsi="Times New Roman"/>
          <w:color w:val="000000" w:themeColor="text1"/>
          <w:sz w:val="16"/>
          <w:szCs w:val="16"/>
        </w:rPr>
        <w:softHyphen/>
        <w:t>воде №25 в 1930 г. под руководст</w:t>
      </w:r>
      <w:r w:rsidRPr="007122AB">
        <w:rPr>
          <w:rFonts w:ascii="Times New Roman" w:hAnsi="Times New Roman"/>
          <w:color w:val="000000" w:themeColor="text1"/>
          <w:sz w:val="16"/>
          <w:szCs w:val="16"/>
        </w:rPr>
        <w:softHyphen/>
        <w:t xml:space="preserve">вом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Самолет, на</w:t>
      </w:r>
      <w:r w:rsidRPr="007122AB">
        <w:rPr>
          <w:rFonts w:ascii="Times New Roman" w:hAnsi="Times New Roman"/>
          <w:color w:val="000000" w:themeColor="text1"/>
          <w:sz w:val="16"/>
          <w:szCs w:val="16"/>
        </w:rPr>
        <w:softHyphen/>
        <w:t>зываемый МУ-2 (У-2М), оборудовали од</w:t>
      </w:r>
      <w:r w:rsidRPr="007122AB">
        <w:rPr>
          <w:rFonts w:ascii="Times New Roman" w:hAnsi="Times New Roman"/>
          <w:color w:val="000000" w:themeColor="text1"/>
          <w:sz w:val="16"/>
          <w:szCs w:val="16"/>
        </w:rPr>
        <w:softHyphen/>
        <w:t xml:space="preserve">ним центральным поплавком деревянной конструкции водоизмещением 2 </w:t>
      </w:r>
      <w:proofErr w:type="spellStart"/>
      <w:r w:rsidRPr="007122AB">
        <w:rPr>
          <w:rFonts w:ascii="Times New Roman" w:hAnsi="Times New Roman"/>
          <w:color w:val="000000" w:themeColor="text1"/>
          <w:sz w:val="16"/>
          <w:szCs w:val="16"/>
        </w:rPr>
        <w:t>мЗ</w:t>
      </w:r>
      <w:proofErr w:type="spellEnd"/>
      <w:r w:rsidRPr="007122AB">
        <w:rPr>
          <w:rFonts w:ascii="Times New Roman" w:hAnsi="Times New Roman"/>
          <w:color w:val="000000" w:themeColor="text1"/>
          <w:sz w:val="16"/>
          <w:szCs w:val="16"/>
        </w:rPr>
        <w:t xml:space="preserve"> и дву</w:t>
      </w:r>
      <w:r w:rsidRPr="007122AB">
        <w:rPr>
          <w:rFonts w:ascii="Times New Roman" w:hAnsi="Times New Roman"/>
          <w:color w:val="000000" w:themeColor="text1"/>
          <w:sz w:val="16"/>
          <w:szCs w:val="16"/>
        </w:rPr>
        <w:softHyphen/>
        <w:t>мя небольшими поплавками боковой ос</w:t>
      </w:r>
      <w:r w:rsidRPr="007122AB">
        <w:rPr>
          <w:rFonts w:ascii="Times New Roman" w:hAnsi="Times New Roman"/>
          <w:color w:val="000000" w:themeColor="text1"/>
          <w:sz w:val="16"/>
          <w:szCs w:val="16"/>
        </w:rPr>
        <w:softHyphen/>
        <w:t>тойчивости. Основным недостат</w:t>
      </w:r>
      <w:r w:rsidRPr="007122AB">
        <w:rPr>
          <w:rFonts w:ascii="Times New Roman" w:hAnsi="Times New Roman"/>
          <w:color w:val="000000" w:themeColor="text1"/>
          <w:sz w:val="16"/>
          <w:szCs w:val="16"/>
        </w:rPr>
        <w:softHyphen/>
        <w:t>ком признавалась сложность запуска дви</w:t>
      </w:r>
      <w:r w:rsidRPr="007122AB">
        <w:rPr>
          <w:rFonts w:ascii="Times New Roman" w:hAnsi="Times New Roman"/>
          <w:color w:val="000000" w:themeColor="text1"/>
          <w:sz w:val="16"/>
          <w:szCs w:val="16"/>
        </w:rPr>
        <w:softHyphen/>
        <w:t>гателя: проворачивать воздушный винт, стоя на одном поплавке, оказалось чрезвы</w:t>
      </w:r>
      <w:r w:rsidRPr="007122AB">
        <w:rPr>
          <w:rFonts w:ascii="Times New Roman" w:hAnsi="Times New Roman"/>
          <w:color w:val="000000" w:themeColor="text1"/>
          <w:sz w:val="16"/>
          <w:szCs w:val="16"/>
        </w:rPr>
        <w:softHyphen/>
        <w:t>чайно неудобно. Кроме того, при 100-силь</w:t>
      </w:r>
      <w:r w:rsidRPr="007122AB">
        <w:rPr>
          <w:rFonts w:ascii="Times New Roman" w:hAnsi="Times New Roman"/>
          <w:color w:val="000000" w:themeColor="text1"/>
          <w:sz w:val="16"/>
          <w:szCs w:val="16"/>
        </w:rPr>
        <w:softHyphen/>
        <w:t>ном двигателе поплавковый вариант обла</w:t>
      </w:r>
      <w:r w:rsidRPr="007122AB">
        <w:rPr>
          <w:rFonts w:ascii="Times New Roman" w:hAnsi="Times New Roman"/>
          <w:color w:val="000000" w:themeColor="text1"/>
          <w:sz w:val="16"/>
          <w:szCs w:val="16"/>
        </w:rPr>
        <w:softHyphen/>
        <w:t>дал невысокой скороподъемностью и ма</w:t>
      </w:r>
      <w:r w:rsidRPr="007122AB">
        <w:rPr>
          <w:rFonts w:ascii="Times New Roman" w:hAnsi="Times New Roman"/>
          <w:color w:val="000000" w:themeColor="text1"/>
          <w:sz w:val="16"/>
          <w:szCs w:val="16"/>
        </w:rPr>
        <w:softHyphen/>
        <w:t>лым потолком. После появления летающей лодки Ш-2 потребность в небольших ма</w:t>
      </w:r>
      <w:r w:rsidRPr="007122AB">
        <w:rPr>
          <w:rFonts w:ascii="Times New Roman" w:hAnsi="Times New Roman"/>
          <w:color w:val="000000" w:themeColor="text1"/>
          <w:sz w:val="16"/>
          <w:szCs w:val="16"/>
        </w:rPr>
        <w:softHyphen/>
        <w:t>шинах для использования с воды считалась в основном удовлетворенной, поэтому до</w:t>
      </w:r>
      <w:r w:rsidRPr="007122AB">
        <w:rPr>
          <w:rFonts w:ascii="Times New Roman" w:hAnsi="Times New Roman"/>
          <w:color w:val="000000" w:themeColor="text1"/>
          <w:sz w:val="16"/>
          <w:szCs w:val="16"/>
        </w:rPr>
        <w:softHyphen/>
        <w:t xml:space="preserve">работку </w:t>
      </w:r>
      <w:proofErr w:type="spellStart"/>
      <w:r w:rsidRPr="007122AB">
        <w:rPr>
          <w:rFonts w:ascii="Times New Roman" w:hAnsi="Times New Roman"/>
          <w:color w:val="000000" w:themeColor="text1"/>
          <w:sz w:val="16"/>
          <w:szCs w:val="16"/>
        </w:rPr>
        <w:t>гидроварианта</w:t>
      </w:r>
      <w:proofErr w:type="spellEnd"/>
      <w:r w:rsidRPr="007122AB">
        <w:rPr>
          <w:rFonts w:ascii="Times New Roman" w:hAnsi="Times New Roman"/>
          <w:color w:val="000000" w:themeColor="text1"/>
          <w:sz w:val="16"/>
          <w:szCs w:val="16"/>
        </w:rPr>
        <w:t xml:space="preserve"> У-2 временно пре</w:t>
      </w:r>
      <w:r w:rsidRPr="007122AB">
        <w:rPr>
          <w:rFonts w:ascii="Times New Roman" w:hAnsi="Times New Roman"/>
          <w:color w:val="000000" w:themeColor="text1"/>
          <w:sz w:val="16"/>
          <w:szCs w:val="16"/>
        </w:rPr>
        <w:softHyphen/>
        <w:t>кратили (11213).</w:t>
      </w:r>
    </w:p>
    <w:p w14:paraId="670CB7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DC7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летные ис</w:t>
      </w:r>
      <w:r w:rsidRPr="007122AB">
        <w:rPr>
          <w:rFonts w:ascii="Times New Roman" w:hAnsi="Times New Roman"/>
          <w:color w:val="000000" w:themeColor="text1"/>
          <w:sz w:val="16"/>
          <w:szCs w:val="16"/>
        </w:rPr>
        <w:softHyphen/>
        <w:t>пытания МУ-2 на воде начались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7122AB">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7122AB">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7122AB">
        <w:rPr>
          <w:rFonts w:ascii="Times New Roman" w:hAnsi="Times New Roman"/>
          <w:color w:val="000000" w:themeColor="text1"/>
          <w:sz w:val="16"/>
          <w:szCs w:val="16"/>
        </w:rPr>
        <w:softHyphen/>
        <w:t>просов зачастую выливалось в неразрешимую про</w:t>
      </w:r>
      <w:r w:rsidRPr="007122AB">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7122AB">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7122AB">
        <w:rPr>
          <w:rFonts w:ascii="Times New Roman" w:hAnsi="Times New Roman"/>
          <w:color w:val="000000" w:themeColor="text1"/>
          <w:sz w:val="16"/>
          <w:szCs w:val="16"/>
        </w:rPr>
        <w:softHyphen/>
        <w:t xml:space="preserve">бири и Дальнем Востоке в 1940 г. </w:t>
      </w:r>
      <w:proofErr w:type="spellStart"/>
      <w:r w:rsidRPr="007122AB">
        <w:rPr>
          <w:rFonts w:ascii="Times New Roman" w:hAnsi="Times New Roman"/>
          <w:color w:val="000000" w:themeColor="text1"/>
          <w:sz w:val="16"/>
          <w:szCs w:val="16"/>
        </w:rPr>
        <w:t>В.Б.Шавров</w:t>
      </w:r>
      <w:proofErr w:type="spellEnd"/>
      <w:r w:rsidRPr="007122AB">
        <w:rPr>
          <w:rFonts w:ascii="Times New Roman" w:hAnsi="Times New Roman"/>
          <w:color w:val="000000" w:themeColor="text1"/>
          <w:sz w:val="16"/>
          <w:szCs w:val="16"/>
        </w:rPr>
        <w:t xml:space="preserve"> спроекти</w:t>
      </w:r>
      <w:r w:rsidRPr="007122AB">
        <w:rPr>
          <w:rFonts w:ascii="Times New Roman" w:hAnsi="Times New Roman"/>
          <w:color w:val="000000" w:themeColor="text1"/>
          <w:sz w:val="16"/>
          <w:szCs w:val="16"/>
        </w:rPr>
        <w:softHyphen/>
        <w:t xml:space="preserve">ровал для У-2 </w:t>
      </w:r>
      <w:proofErr w:type="spellStart"/>
      <w:r w:rsidRPr="007122AB">
        <w:rPr>
          <w:rFonts w:ascii="Times New Roman" w:hAnsi="Times New Roman"/>
          <w:color w:val="000000" w:themeColor="text1"/>
          <w:sz w:val="16"/>
          <w:szCs w:val="16"/>
        </w:rPr>
        <w:t>двухпоплавковое</w:t>
      </w:r>
      <w:proofErr w:type="spellEnd"/>
      <w:r w:rsidRPr="007122AB">
        <w:rPr>
          <w:rFonts w:ascii="Times New Roman" w:hAnsi="Times New Roman"/>
          <w:color w:val="000000" w:themeColor="text1"/>
          <w:sz w:val="16"/>
          <w:szCs w:val="16"/>
        </w:rPr>
        <w:t xml:space="preserve"> шасси деревянной конструкции. Позже, в 1942 г. летал аналогичный двух-поплавковый У-2 по проекту </w:t>
      </w:r>
      <w:proofErr w:type="spellStart"/>
      <w:r w:rsidRPr="007122AB">
        <w:rPr>
          <w:rFonts w:ascii="Times New Roman" w:hAnsi="Times New Roman"/>
          <w:color w:val="000000" w:themeColor="text1"/>
          <w:sz w:val="16"/>
          <w:szCs w:val="16"/>
        </w:rPr>
        <w:t>А.Я.Щербакова</w:t>
      </w:r>
      <w:proofErr w:type="spellEnd"/>
      <w:r w:rsidRPr="007122AB">
        <w:rPr>
          <w:rFonts w:ascii="Times New Roman" w:hAnsi="Times New Roman"/>
          <w:color w:val="000000" w:themeColor="text1"/>
          <w:sz w:val="16"/>
          <w:szCs w:val="16"/>
        </w:rPr>
        <w:t xml:space="preserve"> (10667).</w:t>
      </w:r>
    </w:p>
    <w:p w14:paraId="55FAFC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5F6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началась постройка МДР-3 в ЦКБ (92,425).</w:t>
      </w:r>
    </w:p>
    <w:p w14:paraId="31F2D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A225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КР-1 опробовали на лыжах на складе 17 ВВС Балтфлота. На третьей посадке сломали и новый комплект поступил на испытания в январе 1932 (1083,7).</w:t>
      </w:r>
    </w:p>
    <w:p w14:paraId="268EB6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0B7D54"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лыжи конструкции Жохова, изготовленные на мос</w:t>
      </w:r>
      <w:r w:rsidRPr="007122AB">
        <w:rPr>
          <w:rFonts w:ascii="Times New Roman" w:hAnsi="Times New Roman"/>
          <w:color w:val="000000" w:themeColor="text1"/>
          <w:sz w:val="16"/>
          <w:szCs w:val="16"/>
        </w:rPr>
        <w:softHyphen/>
        <w:t>ковском авиазаводе №28, испытывали на КР-1. Боковые поплавки при этом снима</w:t>
      </w:r>
      <w:r w:rsidRPr="007122AB">
        <w:rPr>
          <w:rFonts w:ascii="Times New Roman" w:hAnsi="Times New Roman"/>
          <w:color w:val="000000" w:themeColor="text1"/>
          <w:sz w:val="16"/>
          <w:szCs w:val="16"/>
        </w:rPr>
        <w:softHyphen/>
        <w:t>лись и заменялись предохранительными ду</w:t>
      </w:r>
      <w:r w:rsidRPr="007122AB">
        <w:rPr>
          <w:rFonts w:ascii="Times New Roman" w:hAnsi="Times New Roman"/>
          <w:color w:val="000000" w:themeColor="text1"/>
          <w:sz w:val="16"/>
          <w:szCs w:val="16"/>
        </w:rPr>
        <w:softHyphen/>
        <w:t>гами. Две основные лыжи крепились к сквоз</w:t>
      </w:r>
      <w:r w:rsidRPr="007122AB">
        <w:rPr>
          <w:rFonts w:ascii="Times New Roman" w:hAnsi="Times New Roman"/>
          <w:color w:val="000000" w:themeColor="text1"/>
          <w:sz w:val="16"/>
          <w:szCs w:val="16"/>
        </w:rPr>
        <w:softHyphen/>
        <w:t>ной трубе, проходящей через корпус лодки, маленькая хвостовая лыжа крепилась на спе</w:t>
      </w:r>
      <w:r w:rsidRPr="007122AB">
        <w:rPr>
          <w:rFonts w:ascii="Times New Roman" w:hAnsi="Times New Roman"/>
          <w:color w:val="000000" w:themeColor="text1"/>
          <w:sz w:val="16"/>
          <w:szCs w:val="16"/>
        </w:rPr>
        <w:softHyphen/>
        <w:t>циально предусмотренном кронштейне. Позднее все КР-1 авиации Балтийского флота в период зимы были снабжены комплек</w:t>
      </w:r>
      <w:r w:rsidRPr="007122AB">
        <w:rPr>
          <w:rFonts w:ascii="Times New Roman" w:hAnsi="Times New Roman"/>
          <w:color w:val="000000" w:themeColor="text1"/>
          <w:sz w:val="16"/>
          <w:szCs w:val="16"/>
        </w:rPr>
        <w:softHyphen/>
        <w:t>том таких лыж.</w:t>
      </w:r>
    </w:p>
    <w:p w14:paraId="6FD3EF4E"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Очевидно, именно возможность установки самолета на лыжи привела к тому, что один КР-1 (заводской №348) в 1935 г. передали Управлению полярной авиации. С опознава</w:t>
      </w:r>
      <w:r w:rsidRPr="007122AB">
        <w:rPr>
          <w:rFonts w:ascii="Times New Roman" w:hAnsi="Times New Roman"/>
          <w:color w:val="000000" w:themeColor="text1"/>
          <w:sz w:val="16"/>
          <w:szCs w:val="16"/>
        </w:rPr>
        <w:softHyphen/>
        <w:t>тельным знаком СССР-Н133 самолет в лет</w:t>
      </w:r>
      <w:r w:rsidRPr="007122AB">
        <w:rPr>
          <w:rFonts w:ascii="Times New Roman" w:hAnsi="Times New Roman"/>
          <w:color w:val="000000" w:themeColor="text1"/>
          <w:sz w:val="16"/>
          <w:szCs w:val="16"/>
        </w:rPr>
        <w:softHyphen/>
        <w:t>нюю навигацию 1935 года участвовал в высо</w:t>
      </w:r>
      <w:r w:rsidRPr="007122AB">
        <w:rPr>
          <w:rFonts w:ascii="Times New Roman" w:hAnsi="Times New Roman"/>
          <w:color w:val="000000" w:themeColor="text1"/>
          <w:sz w:val="16"/>
          <w:szCs w:val="16"/>
        </w:rPr>
        <w:softHyphen/>
        <w:t>коширотной экспедиции ледокольного па</w:t>
      </w:r>
      <w:r w:rsidRPr="007122AB">
        <w:rPr>
          <w:rFonts w:ascii="Times New Roman" w:hAnsi="Times New Roman"/>
          <w:color w:val="000000" w:themeColor="text1"/>
          <w:sz w:val="16"/>
          <w:szCs w:val="16"/>
        </w:rPr>
        <w:softHyphen/>
        <w:t>рохода «Садко». В интересах экспедиции на -:ем неоднократно поднимались в воздух лет</w:t>
      </w:r>
      <w:r w:rsidRPr="007122AB">
        <w:rPr>
          <w:rFonts w:ascii="Times New Roman" w:hAnsi="Times New Roman"/>
          <w:color w:val="000000" w:themeColor="text1"/>
          <w:sz w:val="16"/>
          <w:szCs w:val="16"/>
        </w:rPr>
        <w:softHyphen/>
        <w:t>чики Бабушкин и Власов. Впрочем, это ока</w:t>
      </w:r>
      <w:r w:rsidRPr="007122AB">
        <w:rPr>
          <w:rFonts w:ascii="Times New Roman" w:hAnsi="Times New Roman"/>
          <w:color w:val="000000" w:themeColor="text1"/>
          <w:sz w:val="16"/>
          <w:szCs w:val="16"/>
        </w:rPr>
        <w:softHyphen/>
        <w:t xml:space="preserve">залось единственное появление «Хейнкеля» з Арктике. Деревянная конструкция немец- </w:t>
      </w:r>
      <w:proofErr w:type="spellStart"/>
      <w:r w:rsidRPr="007122AB">
        <w:rPr>
          <w:rFonts w:ascii="Times New Roman" w:hAnsi="Times New Roman"/>
          <w:color w:val="000000" w:themeColor="text1"/>
          <w:sz w:val="16"/>
          <w:szCs w:val="16"/>
        </w:rPr>
        <w:t>чого</w:t>
      </w:r>
      <w:proofErr w:type="spellEnd"/>
      <w:r w:rsidRPr="007122AB">
        <w:rPr>
          <w:rFonts w:ascii="Times New Roman" w:hAnsi="Times New Roman"/>
          <w:color w:val="000000" w:themeColor="text1"/>
          <w:sz w:val="16"/>
          <w:szCs w:val="16"/>
        </w:rPr>
        <w:t xml:space="preserve"> биплана, уже значительно ранее поле</w:t>
      </w:r>
      <w:r w:rsidRPr="007122AB">
        <w:rPr>
          <w:rFonts w:ascii="Times New Roman" w:hAnsi="Times New Roman"/>
          <w:color w:val="000000" w:themeColor="text1"/>
          <w:sz w:val="16"/>
          <w:szCs w:val="16"/>
        </w:rPr>
        <w:softHyphen/>
        <w:t>тавшего, не позволяла рассчитывать на дол</w:t>
      </w:r>
      <w:r w:rsidRPr="007122AB">
        <w:rPr>
          <w:rFonts w:ascii="Times New Roman" w:hAnsi="Times New Roman"/>
          <w:color w:val="000000" w:themeColor="text1"/>
          <w:sz w:val="16"/>
          <w:szCs w:val="16"/>
        </w:rPr>
        <w:softHyphen/>
        <w:t>гую эксплуатацию, и в начале 1936 года его списали (12301).</w:t>
      </w:r>
    </w:p>
    <w:p w14:paraId="309083D7"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331E96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весны 1931 ЦАГИ начал работы над первым АНТ-20 (не МГ) - пассажирской версии АНТ-16 (ТБ-4) с размахом больше на 2 м и фюзеляжем длиннее на 1 м (7425, 18).</w:t>
      </w:r>
    </w:p>
    <w:p w14:paraId="377B3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F948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весной 1931 начались работы в ЦАГИ по проектированию Ми-3 (АНТ-21) (2693,15).</w:t>
      </w:r>
    </w:p>
    <w:p w14:paraId="2F4BE6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C4F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был подготовлен материал, подписанный Нач. отдела требовании НИИ ВВС РККА Соколовым-Соколенком (6274).</w:t>
      </w:r>
    </w:p>
    <w:p w14:paraId="583B44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“системы” вооружения ВВС РККА /1932-1934/35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992"/>
        <w:gridCol w:w="425"/>
        <w:gridCol w:w="2127"/>
        <w:gridCol w:w="2085"/>
        <w:gridCol w:w="556"/>
        <w:gridCol w:w="760"/>
        <w:gridCol w:w="426"/>
        <w:gridCol w:w="369"/>
        <w:gridCol w:w="481"/>
        <w:gridCol w:w="1276"/>
        <w:gridCol w:w="1311"/>
      </w:tblGrid>
      <w:tr w:rsidR="001002C3" w:rsidRPr="007122AB" w14:paraId="19DD8E62" w14:textId="77777777">
        <w:tc>
          <w:tcPr>
            <w:tcW w:w="392" w:type="dxa"/>
            <w:tcBorders>
              <w:top w:val="single" w:sz="12" w:space="0" w:color="auto"/>
            </w:tcBorders>
          </w:tcPr>
          <w:p w14:paraId="74B601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992" w:type="dxa"/>
            <w:tcBorders>
              <w:top w:val="single" w:sz="12" w:space="0" w:color="auto"/>
            </w:tcBorders>
          </w:tcPr>
          <w:p w14:paraId="056732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Название самолета</w:t>
            </w:r>
          </w:p>
        </w:tc>
        <w:tc>
          <w:tcPr>
            <w:tcW w:w="425" w:type="dxa"/>
            <w:tcBorders>
              <w:top w:val="single" w:sz="12" w:space="0" w:color="auto"/>
            </w:tcBorders>
          </w:tcPr>
          <w:p w14:paraId="630296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Литерн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обознач</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очеред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стр-ва</w:t>
            </w:r>
            <w:proofErr w:type="spellEnd"/>
          </w:p>
        </w:tc>
        <w:tc>
          <w:tcPr>
            <w:tcW w:w="2127" w:type="dxa"/>
            <w:tcBorders>
              <w:top w:val="single" w:sz="12" w:space="0" w:color="auto"/>
            </w:tcBorders>
          </w:tcPr>
          <w:p w14:paraId="755E6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Назначение с-та</w:t>
            </w:r>
          </w:p>
          <w:p w14:paraId="428612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Метод применения</w:t>
            </w:r>
          </w:p>
          <w:p w14:paraId="2C834D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Порядок последовательности требований</w:t>
            </w:r>
          </w:p>
        </w:tc>
        <w:tc>
          <w:tcPr>
            <w:tcW w:w="2085" w:type="dxa"/>
            <w:tcBorders>
              <w:top w:val="single" w:sz="12" w:space="0" w:color="auto"/>
            </w:tcBorders>
          </w:tcPr>
          <w:p w14:paraId="44496E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стрелковое, пушечное и бомбовое</w:t>
            </w:r>
          </w:p>
        </w:tc>
        <w:tc>
          <w:tcPr>
            <w:tcW w:w="556" w:type="dxa"/>
            <w:tcBorders>
              <w:top w:val="single" w:sz="12" w:space="0" w:color="auto"/>
            </w:tcBorders>
          </w:tcPr>
          <w:p w14:paraId="50138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Боевая высота</w:t>
            </w:r>
          </w:p>
        </w:tc>
        <w:tc>
          <w:tcPr>
            <w:tcW w:w="760" w:type="dxa"/>
            <w:tcBorders>
              <w:top w:val="single" w:sz="12" w:space="0" w:color="auto"/>
            </w:tcBorders>
          </w:tcPr>
          <w:p w14:paraId="192D5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 скорость</w:t>
            </w:r>
          </w:p>
        </w:tc>
        <w:tc>
          <w:tcPr>
            <w:tcW w:w="426" w:type="dxa"/>
            <w:tcBorders>
              <w:top w:val="single" w:sz="12" w:space="0" w:color="auto"/>
            </w:tcBorders>
          </w:tcPr>
          <w:p w14:paraId="7AF95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w:t>
            </w:r>
          </w:p>
        </w:tc>
        <w:tc>
          <w:tcPr>
            <w:tcW w:w="369" w:type="dxa"/>
            <w:tcBorders>
              <w:top w:val="single" w:sz="12" w:space="0" w:color="auto"/>
            </w:tcBorders>
          </w:tcPr>
          <w:p w14:paraId="4A88C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Сбр</w:t>
            </w:r>
            <w:proofErr w:type="spellEnd"/>
            <w:r w:rsidRPr="007122AB">
              <w:rPr>
                <w:rFonts w:ascii="Times New Roman" w:hAnsi="Times New Roman"/>
                <w:color w:val="000000" w:themeColor="text1"/>
                <w:sz w:val="16"/>
                <w:szCs w:val="16"/>
              </w:rPr>
              <w:t>. груз</w:t>
            </w:r>
          </w:p>
        </w:tc>
        <w:tc>
          <w:tcPr>
            <w:tcW w:w="481" w:type="dxa"/>
            <w:tcBorders>
              <w:top w:val="single" w:sz="12" w:space="0" w:color="auto"/>
            </w:tcBorders>
          </w:tcPr>
          <w:p w14:paraId="7D1124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Радиус действия, </w:t>
            </w:r>
            <w:proofErr w:type="spellStart"/>
            <w:r w:rsidRPr="007122AB">
              <w:rPr>
                <w:rFonts w:ascii="Times New Roman" w:hAnsi="Times New Roman"/>
                <w:color w:val="000000" w:themeColor="text1"/>
                <w:sz w:val="16"/>
                <w:szCs w:val="16"/>
              </w:rPr>
              <w:t>запр</w:t>
            </w:r>
            <w:proofErr w:type="spellEnd"/>
            <w:r w:rsidRPr="007122AB">
              <w:rPr>
                <w:rFonts w:ascii="Times New Roman" w:hAnsi="Times New Roman"/>
                <w:color w:val="000000" w:themeColor="text1"/>
                <w:sz w:val="16"/>
                <w:szCs w:val="16"/>
              </w:rPr>
              <w:t>. Горючим</w:t>
            </w:r>
          </w:p>
        </w:tc>
        <w:tc>
          <w:tcPr>
            <w:tcW w:w="1276" w:type="dxa"/>
            <w:tcBorders>
              <w:top w:val="single" w:sz="12" w:space="0" w:color="auto"/>
            </w:tcBorders>
          </w:tcPr>
          <w:p w14:paraId="15AFF7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Особенности оборудования</w:t>
            </w:r>
          </w:p>
        </w:tc>
        <w:tc>
          <w:tcPr>
            <w:tcW w:w="1311" w:type="dxa"/>
            <w:tcBorders>
              <w:top w:val="single" w:sz="12" w:space="0" w:color="auto"/>
            </w:tcBorders>
          </w:tcPr>
          <w:p w14:paraId="1AC1D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r>
      <w:tr w:rsidR="001002C3" w:rsidRPr="007122AB" w14:paraId="68DB7950" w14:textId="77777777">
        <w:tc>
          <w:tcPr>
            <w:tcW w:w="392" w:type="dxa"/>
          </w:tcPr>
          <w:p w14:paraId="63ABF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6E06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046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AD2D7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Истребительная авиация</w:t>
            </w:r>
          </w:p>
        </w:tc>
        <w:tc>
          <w:tcPr>
            <w:tcW w:w="2085" w:type="dxa"/>
          </w:tcPr>
          <w:p w14:paraId="15ACA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BAEAB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16E61A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48AB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2921E7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14B00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0465A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5F7A7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6EF66DE" w14:textId="77777777">
        <w:tc>
          <w:tcPr>
            <w:tcW w:w="392" w:type="dxa"/>
          </w:tcPr>
          <w:p w14:paraId="46C9E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w:t>
            </w:r>
          </w:p>
        </w:tc>
        <w:tc>
          <w:tcPr>
            <w:tcW w:w="992" w:type="dxa"/>
          </w:tcPr>
          <w:p w14:paraId="49DEE9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 истребитель</w:t>
            </w:r>
          </w:p>
          <w:p w14:paraId="07A5B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Дальнейшее развитие и усовершенствование И5</w:t>
            </w:r>
          </w:p>
        </w:tc>
        <w:tc>
          <w:tcPr>
            <w:tcW w:w="425" w:type="dxa"/>
          </w:tcPr>
          <w:p w14:paraId="7BF639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И/2</w:t>
            </w:r>
          </w:p>
        </w:tc>
        <w:tc>
          <w:tcPr>
            <w:tcW w:w="2127" w:type="dxa"/>
          </w:tcPr>
          <w:p w14:paraId="3010D8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Наступательный бой со всеми, преимущественно легкими типами самолетов и воздухоплавательных аппаратов, как на фронте, так и, особенно, в собственном тылу</w:t>
            </w:r>
          </w:p>
          <w:p w14:paraId="115EE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исключительных случаях - штурмовые действия по живой силе противника и визуальная разведка</w:t>
            </w:r>
          </w:p>
          <w:p w14:paraId="00A38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в одиночку и в строю. Бой. Основанный на широком маневре, внезапности и силе огня.</w:t>
            </w:r>
          </w:p>
          <w:p w14:paraId="1D9C6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скороподъемность</w:t>
            </w:r>
          </w:p>
          <w:p w14:paraId="142D54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маневренность</w:t>
            </w:r>
          </w:p>
          <w:p w14:paraId="2A06ED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гор. Скорость на боевой высоте</w:t>
            </w:r>
          </w:p>
          <w:p w14:paraId="66CCE8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потолок</w:t>
            </w:r>
          </w:p>
        </w:tc>
        <w:tc>
          <w:tcPr>
            <w:tcW w:w="2085" w:type="dxa"/>
          </w:tcPr>
          <w:p w14:paraId="5E008B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 для стрельбы через винт</w:t>
            </w:r>
          </w:p>
          <w:p w14:paraId="55FA1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счет перегрузки предусматривается установка доп. 2-х пулеметов вперед</w:t>
            </w:r>
          </w:p>
        </w:tc>
        <w:tc>
          <w:tcPr>
            <w:tcW w:w="556" w:type="dxa"/>
          </w:tcPr>
          <w:p w14:paraId="7602B0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60" w:type="dxa"/>
          </w:tcPr>
          <w:p w14:paraId="603CF2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350-400</w:t>
            </w:r>
          </w:p>
        </w:tc>
        <w:tc>
          <w:tcPr>
            <w:tcW w:w="426" w:type="dxa"/>
          </w:tcPr>
          <w:p w14:paraId="1D38E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 м</w:t>
            </w:r>
          </w:p>
        </w:tc>
        <w:tc>
          <w:tcPr>
            <w:tcW w:w="369" w:type="dxa"/>
          </w:tcPr>
          <w:p w14:paraId="2C4A4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исключительных случаях</w:t>
            </w:r>
          </w:p>
        </w:tc>
        <w:tc>
          <w:tcPr>
            <w:tcW w:w="481" w:type="dxa"/>
          </w:tcPr>
          <w:p w14:paraId="37BCA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час. на 0,9 </w:t>
            </w:r>
            <w:proofErr w:type="spellStart"/>
            <w:r w:rsidRPr="007122AB">
              <w:rPr>
                <w:rFonts w:ascii="Times New Roman" w:hAnsi="Times New Roman"/>
                <w:color w:val="000000" w:themeColor="text1"/>
                <w:sz w:val="16"/>
                <w:szCs w:val="16"/>
              </w:rPr>
              <w:t>номин</w:t>
            </w:r>
            <w:proofErr w:type="spellEnd"/>
            <w:r w:rsidRPr="007122AB">
              <w:rPr>
                <w:rFonts w:ascii="Times New Roman" w:hAnsi="Times New Roman"/>
                <w:color w:val="000000" w:themeColor="text1"/>
                <w:sz w:val="16"/>
                <w:szCs w:val="16"/>
              </w:rPr>
              <w:t>.</w:t>
            </w:r>
          </w:p>
        </w:tc>
        <w:tc>
          <w:tcPr>
            <w:tcW w:w="1276" w:type="dxa"/>
          </w:tcPr>
          <w:p w14:paraId="5A5BC2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Радио - КИР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0D47B5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Фотоаппарат </w:t>
            </w:r>
            <w:r w:rsidRPr="007122AB">
              <w:rPr>
                <w:rFonts w:ascii="Times New Roman" w:hAnsi="Times New Roman"/>
                <w:color w:val="000000" w:themeColor="text1"/>
                <w:sz w:val="16"/>
                <w:szCs w:val="16"/>
                <w:lang w:val="en-US"/>
              </w:rPr>
              <w:t>FL</w:t>
            </w:r>
            <w:r w:rsidRPr="007122AB">
              <w:rPr>
                <w:rFonts w:ascii="Times New Roman" w:hAnsi="Times New Roman"/>
                <w:color w:val="000000" w:themeColor="text1"/>
                <w:sz w:val="16"/>
                <w:szCs w:val="16"/>
              </w:rPr>
              <w:t xml:space="preserve">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1303E2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КОСА 1 (съемная часть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1707E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Вспомогат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оборуд</w:t>
            </w:r>
            <w:proofErr w:type="spellEnd"/>
            <w:r w:rsidRPr="007122AB">
              <w:rPr>
                <w:rFonts w:ascii="Times New Roman" w:hAnsi="Times New Roman"/>
                <w:color w:val="000000" w:themeColor="text1"/>
                <w:sz w:val="16"/>
                <w:szCs w:val="16"/>
              </w:rPr>
              <w:t xml:space="preserve">. - норм. за </w:t>
            </w:r>
            <w:proofErr w:type="spellStart"/>
            <w:r w:rsidRPr="007122AB">
              <w:rPr>
                <w:rFonts w:ascii="Times New Roman" w:hAnsi="Times New Roman"/>
                <w:color w:val="000000" w:themeColor="text1"/>
                <w:sz w:val="16"/>
                <w:szCs w:val="16"/>
              </w:rPr>
              <w:t>исключ</w:t>
            </w:r>
            <w:proofErr w:type="spellEnd"/>
            <w:r w:rsidRPr="007122AB">
              <w:rPr>
                <w:rFonts w:ascii="Times New Roman" w:hAnsi="Times New Roman"/>
                <w:color w:val="000000" w:themeColor="text1"/>
                <w:sz w:val="16"/>
                <w:szCs w:val="16"/>
              </w:rPr>
              <w:t>. огнетушителя</w:t>
            </w:r>
          </w:p>
          <w:p w14:paraId="25B94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Аэронавигац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Оборуд</w:t>
            </w:r>
            <w:proofErr w:type="spellEnd"/>
            <w:r w:rsidRPr="007122AB">
              <w:rPr>
                <w:rFonts w:ascii="Times New Roman" w:hAnsi="Times New Roman"/>
                <w:color w:val="000000" w:themeColor="text1"/>
                <w:sz w:val="16"/>
                <w:szCs w:val="16"/>
              </w:rPr>
              <w:t xml:space="preserve">. Нормально, компас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 xml:space="preserve">. в счет </w:t>
            </w:r>
            <w:proofErr w:type="spellStart"/>
            <w:r w:rsidRPr="007122AB">
              <w:rPr>
                <w:rFonts w:ascii="Times New Roman" w:hAnsi="Times New Roman"/>
                <w:color w:val="000000" w:themeColor="text1"/>
                <w:sz w:val="16"/>
                <w:szCs w:val="16"/>
              </w:rPr>
              <w:t>перегрузк</w:t>
            </w:r>
            <w:proofErr w:type="spellEnd"/>
            <w:r w:rsidRPr="007122AB">
              <w:rPr>
                <w:rFonts w:ascii="Times New Roman" w:hAnsi="Times New Roman"/>
                <w:color w:val="000000" w:themeColor="text1"/>
                <w:sz w:val="16"/>
                <w:szCs w:val="16"/>
              </w:rPr>
              <w:t>.</w:t>
            </w:r>
          </w:p>
        </w:tc>
        <w:tc>
          <w:tcPr>
            <w:tcW w:w="1311" w:type="dxa"/>
          </w:tcPr>
          <w:p w14:paraId="4FBB2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примечание:</w:t>
            </w:r>
          </w:p>
          <w:p w14:paraId="5962F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Как правило, сбрасываемый бомбовый груз должен размещаться весь внутри самолета (кассеты)</w:t>
            </w:r>
          </w:p>
          <w:p w14:paraId="451C3A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Самолдеты</w:t>
            </w:r>
            <w:proofErr w:type="spellEnd"/>
            <w:r w:rsidRPr="007122AB">
              <w:rPr>
                <w:rFonts w:ascii="Times New Roman" w:hAnsi="Times New Roman"/>
                <w:color w:val="000000" w:themeColor="text1"/>
                <w:sz w:val="16"/>
                <w:szCs w:val="16"/>
              </w:rPr>
              <w:t xml:space="preserve"> “крейсер”, тяжелый бомбардировщик и один истребитель типа ИП усовершенствуются в направлении “высотного полета”</w:t>
            </w:r>
          </w:p>
        </w:tc>
      </w:tr>
      <w:tr w:rsidR="001002C3" w:rsidRPr="007122AB" w14:paraId="79442ACE" w14:textId="77777777">
        <w:tc>
          <w:tcPr>
            <w:tcW w:w="392" w:type="dxa"/>
          </w:tcPr>
          <w:p w14:paraId="094A53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992" w:type="dxa"/>
          </w:tcPr>
          <w:p w14:paraId="0364C6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 истребитель</w:t>
            </w:r>
          </w:p>
          <w:p w14:paraId="4C1A33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Дальнейшее развитие и усовершенствование ДИ3 или ДИ4</w:t>
            </w:r>
          </w:p>
        </w:tc>
        <w:tc>
          <w:tcPr>
            <w:tcW w:w="425" w:type="dxa"/>
          </w:tcPr>
          <w:p w14:paraId="243A6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ДИ/2</w:t>
            </w:r>
          </w:p>
        </w:tc>
        <w:tc>
          <w:tcPr>
            <w:tcW w:w="2127" w:type="dxa"/>
          </w:tcPr>
          <w:p w14:paraId="701B0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Активно-наступательный воздушный бой со всеми типами самолетов и воздухоплавательных аппаратов, как на фронте, так и в своем тылу. Обеспечение операций своей легкой и тяжелой бомбардировочной авиации. Воздушная разведка в интересах армейского командования. В исключительных случаях штурмовые и бомбардировочные действия.</w:t>
            </w:r>
          </w:p>
          <w:p w14:paraId="57C7CC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Совместные действия с рейдирующей конницей</w:t>
            </w:r>
          </w:p>
          <w:p w14:paraId="26FB40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преимущественно в строю. Бой, основанный на силе своего огня, маневре и внезапности</w:t>
            </w:r>
          </w:p>
          <w:p w14:paraId="0FDEB2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гор. Скорость на боевой высоте</w:t>
            </w:r>
          </w:p>
          <w:p w14:paraId="6D7B3A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маневренность</w:t>
            </w:r>
          </w:p>
          <w:p w14:paraId="2B800B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в/скороподъемность</w:t>
            </w:r>
          </w:p>
        </w:tc>
        <w:tc>
          <w:tcPr>
            <w:tcW w:w="2085" w:type="dxa"/>
          </w:tcPr>
          <w:p w14:paraId="6A4347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 для стрельбы через винт</w:t>
            </w:r>
          </w:p>
          <w:p w14:paraId="32082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на турели стрелка.</w:t>
            </w:r>
          </w:p>
          <w:p w14:paraId="7DA45E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соответственно 2х750 + 750</w:t>
            </w:r>
          </w:p>
          <w:p w14:paraId="25DB66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счет перегрузки бомб нагрузка 100 кг:</w:t>
            </w:r>
          </w:p>
          <w:p w14:paraId="6CF03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1х100</w:t>
            </w:r>
          </w:p>
          <w:p w14:paraId="56CDE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10х10 хим. бомб</w:t>
            </w:r>
          </w:p>
          <w:p w14:paraId="34E3C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50х2 кг осколочные или </w:t>
            </w:r>
            <w:proofErr w:type="spellStart"/>
            <w:r w:rsidRPr="007122AB">
              <w:rPr>
                <w:rFonts w:ascii="Times New Roman" w:hAnsi="Times New Roman"/>
                <w:color w:val="000000" w:themeColor="text1"/>
                <w:sz w:val="16"/>
                <w:szCs w:val="16"/>
              </w:rPr>
              <w:t>дист</w:t>
            </w:r>
            <w:proofErr w:type="spellEnd"/>
            <w:r w:rsidRPr="007122AB">
              <w:rPr>
                <w:rFonts w:ascii="Times New Roman" w:hAnsi="Times New Roman"/>
                <w:color w:val="000000" w:themeColor="text1"/>
                <w:sz w:val="16"/>
                <w:szCs w:val="16"/>
              </w:rPr>
              <w:t>.</w:t>
            </w:r>
          </w:p>
          <w:p w14:paraId="20E2D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2 </w:t>
            </w:r>
            <w:proofErr w:type="spellStart"/>
            <w:r w:rsidRPr="007122AB">
              <w:rPr>
                <w:rFonts w:ascii="Times New Roman" w:hAnsi="Times New Roman"/>
                <w:color w:val="000000" w:themeColor="text1"/>
                <w:sz w:val="16"/>
                <w:szCs w:val="16"/>
              </w:rPr>
              <w:t>ЗАМа</w:t>
            </w:r>
            <w:proofErr w:type="spellEnd"/>
          </w:p>
        </w:tc>
        <w:tc>
          <w:tcPr>
            <w:tcW w:w="556" w:type="dxa"/>
          </w:tcPr>
          <w:p w14:paraId="39FCB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60" w:type="dxa"/>
          </w:tcPr>
          <w:p w14:paraId="2F851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300-350</w:t>
            </w:r>
          </w:p>
        </w:tc>
        <w:tc>
          <w:tcPr>
            <w:tcW w:w="426" w:type="dxa"/>
          </w:tcPr>
          <w:p w14:paraId="20D15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369" w:type="dxa"/>
          </w:tcPr>
          <w:p w14:paraId="1B4A8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481" w:type="dxa"/>
          </w:tcPr>
          <w:p w14:paraId="166CB9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276" w:type="dxa"/>
          </w:tcPr>
          <w:p w14:paraId="6410E9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Радио - КИР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77E15C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Фотоаппарат </w:t>
            </w:r>
            <w:proofErr w:type="spellStart"/>
            <w:r w:rsidRPr="007122AB">
              <w:rPr>
                <w:rFonts w:ascii="Times New Roman" w:hAnsi="Times New Roman"/>
                <w:color w:val="000000" w:themeColor="text1"/>
                <w:sz w:val="16"/>
                <w:szCs w:val="16"/>
              </w:rPr>
              <w:t>ФТОМПа</w:t>
            </w:r>
            <w:proofErr w:type="spellEnd"/>
            <w:r w:rsidRPr="007122AB">
              <w:rPr>
                <w:rFonts w:ascii="Times New Roman" w:hAnsi="Times New Roman"/>
                <w:color w:val="000000" w:themeColor="text1"/>
                <w:sz w:val="16"/>
                <w:szCs w:val="16"/>
              </w:rPr>
              <w:t xml:space="preserve">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 Перспективный К (в счет перегрузки)</w:t>
            </w:r>
          </w:p>
          <w:p w14:paraId="1B972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КОСА П (съемная часть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116D0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Вспомогутельное</w:t>
            </w:r>
            <w:proofErr w:type="spellEnd"/>
            <w:r w:rsidRPr="007122AB">
              <w:rPr>
                <w:rFonts w:ascii="Times New Roman" w:hAnsi="Times New Roman"/>
                <w:color w:val="000000" w:themeColor="text1"/>
                <w:sz w:val="16"/>
                <w:szCs w:val="16"/>
              </w:rPr>
              <w:t xml:space="preserve"> - парашюты, </w:t>
            </w:r>
            <w:proofErr w:type="spellStart"/>
            <w:r w:rsidRPr="007122AB">
              <w:rPr>
                <w:rFonts w:ascii="Times New Roman" w:hAnsi="Times New Roman"/>
                <w:color w:val="000000" w:themeColor="text1"/>
                <w:sz w:val="16"/>
                <w:szCs w:val="16"/>
              </w:rPr>
              <w:t>кислородн</w:t>
            </w:r>
            <w:proofErr w:type="spellEnd"/>
            <w:r w:rsidRPr="007122AB">
              <w:rPr>
                <w:rFonts w:ascii="Times New Roman" w:hAnsi="Times New Roman"/>
                <w:color w:val="000000" w:themeColor="text1"/>
                <w:sz w:val="16"/>
                <w:szCs w:val="16"/>
              </w:rPr>
              <w:t>. Прибор и инструмент</w:t>
            </w:r>
          </w:p>
          <w:p w14:paraId="1DCA6B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нормально</w:t>
            </w:r>
          </w:p>
        </w:tc>
        <w:tc>
          <w:tcPr>
            <w:tcW w:w="1311" w:type="dxa"/>
          </w:tcPr>
          <w:p w14:paraId="798EE0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5A209DA" w14:textId="77777777">
        <w:tc>
          <w:tcPr>
            <w:tcW w:w="392" w:type="dxa"/>
          </w:tcPr>
          <w:p w14:paraId="472B1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992" w:type="dxa"/>
          </w:tcPr>
          <w:p w14:paraId="5BB958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 истребитель</w:t>
            </w:r>
          </w:p>
          <w:p w14:paraId="708DA8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самолета И12</w:t>
            </w:r>
          </w:p>
        </w:tc>
        <w:tc>
          <w:tcPr>
            <w:tcW w:w="425" w:type="dxa"/>
          </w:tcPr>
          <w:p w14:paraId="05800A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ДИ/1</w:t>
            </w:r>
          </w:p>
        </w:tc>
        <w:tc>
          <w:tcPr>
            <w:tcW w:w="2127" w:type="dxa"/>
          </w:tcPr>
          <w:p w14:paraId="1C1E50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Воздушный бой со всеми и преимущественно тяжелыми типами самолетов и воздухоплавательных аппаратов /дирижабли/, как на фронте, так и в своем тылу. Обеспечение операций своей бомбардировочной авиации. </w:t>
            </w:r>
          </w:p>
          <w:p w14:paraId="5207B1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в одиночку и в строю. Бой, основанный на силе своего огня.</w:t>
            </w:r>
          </w:p>
          <w:p w14:paraId="0C440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гор. Скорость на боевой высоте</w:t>
            </w:r>
          </w:p>
          <w:p w14:paraId="2826FF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маневренность</w:t>
            </w:r>
          </w:p>
          <w:p w14:paraId="7B2DB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грузоподъемность /количество снарядов/</w:t>
            </w:r>
          </w:p>
          <w:p w14:paraId="22CCA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г/скороподъемность</w:t>
            </w:r>
          </w:p>
        </w:tc>
        <w:tc>
          <w:tcPr>
            <w:tcW w:w="2085" w:type="dxa"/>
          </w:tcPr>
          <w:p w14:paraId="208512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 ДРП для стрельбы вперед</w:t>
            </w:r>
          </w:p>
          <w:p w14:paraId="2C135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пулемет для </w:t>
            </w:r>
            <w:proofErr w:type="spellStart"/>
            <w:r w:rsidRPr="007122AB">
              <w:rPr>
                <w:rFonts w:ascii="Times New Roman" w:hAnsi="Times New Roman"/>
                <w:color w:val="000000" w:themeColor="text1"/>
                <w:sz w:val="16"/>
                <w:szCs w:val="16"/>
              </w:rPr>
              <w:t>стредлльбы</w:t>
            </w:r>
            <w:proofErr w:type="spellEnd"/>
            <w:r w:rsidRPr="007122AB">
              <w:rPr>
                <w:rFonts w:ascii="Times New Roman" w:hAnsi="Times New Roman"/>
                <w:color w:val="000000" w:themeColor="text1"/>
                <w:sz w:val="16"/>
                <w:szCs w:val="16"/>
              </w:rPr>
              <w:t xml:space="preserve"> назад </w:t>
            </w:r>
          </w:p>
          <w:p w14:paraId="7C978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1000</w:t>
            </w:r>
          </w:p>
          <w:p w14:paraId="5D2DC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снарядов 20</w:t>
            </w:r>
          </w:p>
          <w:p w14:paraId="41828B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счет перегрузки бомб нагрузка 100 кг:</w:t>
            </w:r>
          </w:p>
          <w:p w14:paraId="48225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10х10 </w:t>
            </w:r>
            <w:proofErr w:type="spellStart"/>
            <w:r w:rsidRPr="007122AB">
              <w:rPr>
                <w:rFonts w:ascii="Times New Roman" w:hAnsi="Times New Roman"/>
                <w:color w:val="000000" w:themeColor="text1"/>
                <w:sz w:val="16"/>
                <w:szCs w:val="16"/>
              </w:rPr>
              <w:t>оскол</w:t>
            </w:r>
            <w:proofErr w:type="spellEnd"/>
            <w:r w:rsidRPr="007122AB">
              <w:rPr>
                <w:rFonts w:ascii="Times New Roman" w:hAnsi="Times New Roman"/>
                <w:color w:val="000000" w:themeColor="text1"/>
                <w:sz w:val="16"/>
                <w:szCs w:val="16"/>
              </w:rPr>
              <w:t xml:space="preserve"> или </w:t>
            </w:r>
            <w:proofErr w:type="spellStart"/>
            <w:r w:rsidRPr="007122AB">
              <w:rPr>
                <w:rFonts w:ascii="Times New Roman" w:hAnsi="Times New Roman"/>
                <w:color w:val="000000" w:themeColor="text1"/>
                <w:sz w:val="16"/>
                <w:szCs w:val="16"/>
              </w:rPr>
              <w:t>дист</w:t>
            </w:r>
            <w:proofErr w:type="spellEnd"/>
            <w:r w:rsidRPr="007122AB">
              <w:rPr>
                <w:rFonts w:ascii="Times New Roman" w:hAnsi="Times New Roman"/>
                <w:color w:val="000000" w:themeColor="text1"/>
                <w:sz w:val="16"/>
                <w:szCs w:val="16"/>
              </w:rPr>
              <w:t>. бомб</w:t>
            </w:r>
          </w:p>
          <w:p w14:paraId="68BF0C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2 </w:t>
            </w:r>
            <w:proofErr w:type="spellStart"/>
            <w:r w:rsidRPr="007122AB">
              <w:rPr>
                <w:rFonts w:ascii="Times New Roman" w:hAnsi="Times New Roman"/>
                <w:color w:val="000000" w:themeColor="text1"/>
                <w:sz w:val="16"/>
                <w:szCs w:val="16"/>
              </w:rPr>
              <w:t>ЗАМа</w:t>
            </w:r>
            <w:proofErr w:type="spellEnd"/>
          </w:p>
        </w:tc>
        <w:tc>
          <w:tcPr>
            <w:tcW w:w="556" w:type="dxa"/>
          </w:tcPr>
          <w:p w14:paraId="044CC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60" w:type="dxa"/>
          </w:tcPr>
          <w:p w14:paraId="108C9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325-350</w:t>
            </w:r>
          </w:p>
        </w:tc>
        <w:tc>
          <w:tcPr>
            <w:tcW w:w="426" w:type="dxa"/>
          </w:tcPr>
          <w:p w14:paraId="7BC10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10-12</w:t>
            </w:r>
          </w:p>
        </w:tc>
        <w:tc>
          <w:tcPr>
            <w:tcW w:w="369" w:type="dxa"/>
          </w:tcPr>
          <w:p w14:paraId="37B26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481" w:type="dxa"/>
          </w:tcPr>
          <w:p w14:paraId="522E13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w:t>
            </w:r>
          </w:p>
        </w:tc>
        <w:tc>
          <w:tcPr>
            <w:tcW w:w="1276" w:type="dxa"/>
          </w:tcPr>
          <w:p w14:paraId="4CB98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Радио - КИР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03FB4B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Фотоаппарат </w:t>
            </w:r>
            <w:proofErr w:type="spellStart"/>
            <w:r w:rsidRPr="007122AB">
              <w:rPr>
                <w:rFonts w:ascii="Times New Roman" w:hAnsi="Times New Roman"/>
                <w:color w:val="000000" w:themeColor="text1"/>
                <w:sz w:val="16"/>
                <w:szCs w:val="16"/>
              </w:rPr>
              <w:t>ФТОМПа</w:t>
            </w:r>
            <w:proofErr w:type="spellEnd"/>
            <w:r w:rsidRPr="007122AB">
              <w:rPr>
                <w:rFonts w:ascii="Times New Roman" w:hAnsi="Times New Roman"/>
                <w:color w:val="000000" w:themeColor="text1"/>
                <w:sz w:val="16"/>
                <w:szCs w:val="16"/>
              </w:rPr>
              <w:t xml:space="preserve">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 Перспективный К (в счет перегрузки)</w:t>
            </w:r>
          </w:p>
          <w:p w14:paraId="5A978D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КОСА П (съемная часть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0310D1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739F6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Двухмоторная схема</w:t>
            </w:r>
          </w:p>
        </w:tc>
      </w:tr>
      <w:tr w:rsidR="001002C3" w:rsidRPr="007122AB" w14:paraId="763E35EF" w14:textId="77777777">
        <w:tc>
          <w:tcPr>
            <w:tcW w:w="392" w:type="dxa"/>
          </w:tcPr>
          <w:p w14:paraId="7460B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992" w:type="dxa"/>
          </w:tcPr>
          <w:p w14:paraId="3E5662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p w14:paraId="130A29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Дальнейшее развитие и усовершенствование с-та МИ3</w:t>
            </w:r>
          </w:p>
        </w:tc>
        <w:tc>
          <w:tcPr>
            <w:tcW w:w="425" w:type="dxa"/>
          </w:tcPr>
          <w:p w14:paraId="07D73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К/2</w:t>
            </w:r>
          </w:p>
        </w:tc>
        <w:tc>
          <w:tcPr>
            <w:tcW w:w="2127" w:type="dxa"/>
          </w:tcPr>
          <w:p w14:paraId="65F73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Обеспечение операций своей тяжелой бомбардировочной авиации /сопровождение/. Глубокая стратегическая разведка в </w:t>
            </w:r>
            <w:proofErr w:type="spellStart"/>
            <w:r w:rsidRPr="007122AB">
              <w:rPr>
                <w:rFonts w:ascii="Times New Roman" w:hAnsi="Times New Roman"/>
                <w:color w:val="000000" w:themeColor="text1"/>
                <w:sz w:val="16"/>
                <w:szCs w:val="16"/>
              </w:rPr>
              <w:t>инетерсах</w:t>
            </w:r>
            <w:proofErr w:type="spellEnd"/>
            <w:r w:rsidRPr="007122AB">
              <w:rPr>
                <w:rFonts w:ascii="Times New Roman" w:hAnsi="Times New Roman"/>
                <w:color w:val="000000" w:themeColor="text1"/>
                <w:sz w:val="16"/>
                <w:szCs w:val="16"/>
              </w:rPr>
              <w:t xml:space="preserve"> фронтового командования</w:t>
            </w:r>
          </w:p>
          <w:p w14:paraId="58243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в одиночку и в строю. Маневр как средство максимального использования огня.</w:t>
            </w:r>
          </w:p>
          <w:p w14:paraId="00A679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а/ огневая </w:t>
            </w:r>
            <w:proofErr w:type="spellStart"/>
            <w:r w:rsidRPr="007122AB">
              <w:rPr>
                <w:rFonts w:ascii="Times New Roman" w:hAnsi="Times New Roman"/>
                <w:color w:val="000000" w:themeColor="text1"/>
                <w:sz w:val="16"/>
                <w:szCs w:val="16"/>
              </w:rPr>
              <w:t>мощ</w:t>
            </w:r>
            <w:proofErr w:type="spellEnd"/>
            <w:r w:rsidRPr="007122AB">
              <w:rPr>
                <w:rFonts w:ascii="Times New Roman" w:hAnsi="Times New Roman"/>
                <w:color w:val="000000" w:themeColor="text1"/>
                <w:sz w:val="16"/>
                <w:szCs w:val="16"/>
              </w:rPr>
              <w:t xml:space="preserve"> - сферический обстрел с максимальным </w:t>
            </w:r>
            <w:r w:rsidRPr="007122AB">
              <w:rPr>
                <w:rFonts w:ascii="Times New Roman" w:hAnsi="Times New Roman"/>
                <w:color w:val="000000" w:themeColor="text1"/>
                <w:sz w:val="16"/>
                <w:szCs w:val="16"/>
              </w:rPr>
              <w:lastRenderedPageBreak/>
              <w:t>уплотнением огня по бортам</w:t>
            </w:r>
          </w:p>
          <w:p w14:paraId="0D8F6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горизонтальная скорость на боевой высоте</w:t>
            </w:r>
          </w:p>
          <w:p w14:paraId="514569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дальность полета</w:t>
            </w:r>
          </w:p>
          <w:p w14:paraId="6EF2C7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потолок</w:t>
            </w:r>
          </w:p>
          <w:p w14:paraId="72E23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маневренность</w:t>
            </w:r>
          </w:p>
        </w:tc>
        <w:tc>
          <w:tcPr>
            <w:tcW w:w="2085" w:type="dxa"/>
          </w:tcPr>
          <w:p w14:paraId="6BA2F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тяжелых пулемета для стрельбы вперед</w:t>
            </w:r>
          </w:p>
          <w:p w14:paraId="65ADD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тяжелых пулемета для стрельбы назад</w:t>
            </w:r>
          </w:p>
          <w:p w14:paraId="58762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легкий для стрельбы вниз под хвост</w:t>
            </w:r>
          </w:p>
          <w:p w14:paraId="489045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для тяжелых пулеметов 4х?</w:t>
            </w:r>
          </w:p>
          <w:p w14:paraId="61C9D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для легких пулеметов 500</w:t>
            </w:r>
          </w:p>
          <w:p w14:paraId="17B5F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50х10 </w:t>
            </w:r>
            <w:proofErr w:type="spellStart"/>
            <w:r w:rsidRPr="007122AB">
              <w:rPr>
                <w:rFonts w:ascii="Times New Roman" w:hAnsi="Times New Roman"/>
                <w:color w:val="000000" w:themeColor="text1"/>
                <w:sz w:val="16"/>
                <w:szCs w:val="16"/>
              </w:rPr>
              <w:t>оскол</w:t>
            </w:r>
            <w:proofErr w:type="spellEnd"/>
            <w:r w:rsidRPr="007122AB">
              <w:rPr>
                <w:rFonts w:ascii="Times New Roman" w:hAnsi="Times New Roman"/>
                <w:color w:val="000000" w:themeColor="text1"/>
                <w:sz w:val="16"/>
                <w:szCs w:val="16"/>
              </w:rPr>
              <w:t>. бомб</w:t>
            </w:r>
          </w:p>
          <w:p w14:paraId="39D2AD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50х10 </w:t>
            </w:r>
            <w:proofErr w:type="spellStart"/>
            <w:r w:rsidRPr="007122AB">
              <w:rPr>
                <w:rFonts w:ascii="Times New Roman" w:hAnsi="Times New Roman"/>
                <w:color w:val="000000" w:themeColor="text1"/>
                <w:sz w:val="16"/>
                <w:szCs w:val="16"/>
              </w:rPr>
              <w:t>дист</w:t>
            </w:r>
            <w:proofErr w:type="spellEnd"/>
            <w:r w:rsidRPr="007122AB">
              <w:rPr>
                <w:rFonts w:ascii="Times New Roman" w:hAnsi="Times New Roman"/>
                <w:color w:val="000000" w:themeColor="text1"/>
                <w:sz w:val="16"/>
                <w:szCs w:val="16"/>
              </w:rPr>
              <w:t xml:space="preserve">. бомб </w:t>
            </w:r>
          </w:p>
        </w:tc>
        <w:tc>
          <w:tcPr>
            <w:tcW w:w="556" w:type="dxa"/>
          </w:tcPr>
          <w:p w14:paraId="624B44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760" w:type="dxa"/>
          </w:tcPr>
          <w:p w14:paraId="7C97C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426" w:type="dxa"/>
          </w:tcPr>
          <w:p w14:paraId="65218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53275D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481" w:type="dxa"/>
          </w:tcPr>
          <w:p w14:paraId="284BF9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750/1000</w:t>
            </w:r>
          </w:p>
        </w:tc>
        <w:tc>
          <w:tcPr>
            <w:tcW w:w="1276" w:type="dxa"/>
          </w:tcPr>
          <w:p w14:paraId="05B1CB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Радио ДСР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 в норм. нагрузке)</w:t>
            </w:r>
          </w:p>
          <w:p w14:paraId="10D20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(съемный в норм. нагрузке)</w:t>
            </w:r>
          </w:p>
          <w:p w14:paraId="64D52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КОСА Ш (съемная часть в счет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съемн</w:t>
            </w:r>
            <w:proofErr w:type="spellEnd"/>
            <w:r w:rsidRPr="007122AB">
              <w:rPr>
                <w:rFonts w:ascii="Times New Roman" w:hAnsi="Times New Roman"/>
                <w:color w:val="000000" w:themeColor="text1"/>
                <w:sz w:val="16"/>
                <w:szCs w:val="16"/>
              </w:rPr>
              <w:t>.)</w:t>
            </w:r>
          </w:p>
          <w:p w14:paraId="60768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Вспомогательное - нормально</w:t>
            </w:r>
          </w:p>
          <w:p w14:paraId="3D87E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Аэронавигация - нормально</w:t>
            </w:r>
          </w:p>
        </w:tc>
        <w:tc>
          <w:tcPr>
            <w:tcW w:w="1311" w:type="dxa"/>
          </w:tcPr>
          <w:p w14:paraId="2256C7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Полет на 7000 м обеспечивается: соответствующей мощностью и высотностью моторами, горючим, отеплением экипажа, приборов и вооружения и специально </w:t>
            </w:r>
            <w:proofErr w:type="spellStart"/>
            <w:r w:rsidRPr="007122AB">
              <w:rPr>
                <w:rFonts w:ascii="Times New Roman" w:hAnsi="Times New Roman"/>
                <w:color w:val="000000" w:themeColor="text1"/>
                <w:sz w:val="16"/>
                <w:szCs w:val="16"/>
              </w:rPr>
              <w:t>разрабатываеой</w:t>
            </w:r>
            <w:proofErr w:type="spellEnd"/>
            <w:r w:rsidRPr="007122AB">
              <w:rPr>
                <w:rFonts w:ascii="Times New Roman" w:hAnsi="Times New Roman"/>
                <w:color w:val="000000" w:themeColor="text1"/>
                <w:sz w:val="16"/>
                <w:szCs w:val="16"/>
              </w:rPr>
              <w:t xml:space="preserve"> одеждой </w:t>
            </w:r>
            <w:r w:rsidRPr="007122AB">
              <w:rPr>
                <w:rFonts w:ascii="Times New Roman" w:hAnsi="Times New Roman"/>
                <w:color w:val="000000" w:themeColor="text1"/>
                <w:sz w:val="16"/>
                <w:szCs w:val="16"/>
              </w:rPr>
              <w:lastRenderedPageBreak/>
              <w:t>(</w:t>
            </w:r>
            <w:proofErr w:type="spellStart"/>
            <w:r w:rsidRPr="007122AB">
              <w:rPr>
                <w:rFonts w:ascii="Times New Roman" w:hAnsi="Times New Roman"/>
                <w:color w:val="000000" w:themeColor="text1"/>
                <w:sz w:val="16"/>
                <w:szCs w:val="16"/>
              </w:rPr>
              <w:t>водола</w:t>
            </w:r>
            <w:proofErr w:type="spellEnd"/>
            <w:r w:rsidRPr="007122AB">
              <w:rPr>
                <w:rFonts w:ascii="Times New Roman" w:hAnsi="Times New Roman"/>
                <w:color w:val="000000" w:themeColor="text1"/>
                <w:sz w:val="16"/>
                <w:szCs w:val="16"/>
              </w:rPr>
              <w:t>. костюм)</w:t>
            </w:r>
          </w:p>
        </w:tc>
      </w:tr>
      <w:tr w:rsidR="001002C3" w:rsidRPr="007122AB" w14:paraId="7C906F49" w14:textId="77777777">
        <w:tc>
          <w:tcPr>
            <w:tcW w:w="392" w:type="dxa"/>
          </w:tcPr>
          <w:p w14:paraId="4BA80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8BD1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C42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823BE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Разведывательная авиация</w:t>
            </w:r>
          </w:p>
        </w:tc>
        <w:tc>
          <w:tcPr>
            <w:tcW w:w="2085" w:type="dxa"/>
          </w:tcPr>
          <w:p w14:paraId="0E563A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D0F29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9C83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0417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2BC2E1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6E50C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E798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4BC26B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F2BDF3E" w14:textId="77777777">
        <w:tc>
          <w:tcPr>
            <w:tcW w:w="392" w:type="dxa"/>
          </w:tcPr>
          <w:p w14:paraId="4C0A46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992" w:type="dxa"/>
          </w:tcPr>
          <w:p w14:paraId="414D9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Войсковой самолет (3-х местный)</w:t>
            </w:r>
          </w:p>
          <w:p w14:paraId="597A8D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и усовершенствование Р9</w:t>
            </w:r>
          </w:p>
        </w:tc>
        <w:tc>
          <w:tcPr>
            <w:tcW w:w="425" w:type="dxa"/>
          </w:tcPr>
          <w:p w14:paraId="4D8FA8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w:t>
            </w:r>
          </w:p>
        </w:tc>
        <w:tc>
          <w:tcPr>
            <w:tcW w:w="2127" w:type="dxa"/>
          </w:tcPr>
          <w:p w14:paraId="1B44AD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Разведка поля боя и ближайшего войскового тыла противника. Корректирование арт. Огня. Служба командования. Постановка на земле дымовых завес. Бомбардировка несложных сооружений противника в его ближайшем тылу (полевые парки, склады, аэродромы и т.д.), штурмовые действия</w:t>
            </w:r>
          </w:p>
          <w:p w14:paraId="34BE5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одиночный и в строю. Бой оборонительный</w:t>
            </w:r>
          </w:p>
          <w:p w14:paraId="04C4BE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взлетно-посадочные качества</w:t>
            </w:r>
          </w:p>
          <w:p w14:paraId="0AD4F1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обзор и обстрел</w:t>
            </w:r>
          </w:p>
          <w:p w14:paraId="2641D4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proofErr w:type="spellStart"/>
            <w:r w:rsidRPr="007122AB">
              <w:rPr>
                <w:rFonts w:ascii="Times New Roman" w:hAnsi="Times New Roman"/>
                <w:color w:val="000000" w:themeColor="text1"/>
                <w:sz w:val="16"/>
                <w:szCs w:val="16"/>
              </w:rPr>
              <w:t>дапазон</w:t>
            </w:r>
            <w:proofErr w:type="spellEnd"/>
            <w:r w:rsidRPr="007122AB">
              <w:rPr>
                <w:rFonts w:ascii="Times New Roman" w:hAnsi="Times New Roman"/>
                <w:color w:val="000000" w:themeColor="text1"/>
                <w:sz w:val="16"/>
                <w:szCs w:val="16"/>
              </w:rPr>
              <w:t xml:space="preserve"> скоростей</w:t>
            </w:r>
          </w:p>
          <w:p w14:paraId="4676A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скороподъемность</w:t>
            </w:r>
          </w:p>
          <w:p w14:paraId="524213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продолжительность полета</w:t>
            </w:r>
          </w:p>
          <w:p w14:paraId="4BF0F8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горизонтальная скорость</w:t>
            </w:r>
          </w:p>
        </w:tc>
        <w:tc>
          <w:tcPr>
            <w:tcW w:w="2085" w:type="dxa"/>
          </w:tcPr>
          <w:p w14:paraId="767712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в передней полусфере, на турели (носовая кабина)</w:t>
            </w:r>
          </w:p>
          <w:p w14:paraId="51066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 для стрельбы в задней полусфере на турели (задняя кабина стрелка)</w:t>
            </w:r>
          </w:p>
          <w:p w14:paraId="7CC60F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вниз-назад - специальная установка в кабине стрелка</w:t>
            </w:r>
          </w:p>
          <w:p w14:paraId="5549E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соответственно: 500, 1000, 500</w:t>
            </w:r>
          </w:p>
          <w:p w14:paraId="0E45A2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нормально - 300, с перегрузкой - 500</w:t>
            </w:r>
          </w:p>
          <w:p w14:paraId="20745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50х10 </w:t>
            </w:r>
            <w:proofErr w:type="spellStart"/>
            <w:r w:rsidRPr="007122AB">
              <w:rPr>
                <w:rFonts w:ascii="Times New Roman" w:hAnsi="Times New Roman"/>
                <w:color w:val="000000" w:themeColor="text1"/>
                <w:sz w:val="16"/>
                <w:szCs w:val="16"/>
              </w:rPr>
              <w:t>оскол</w:t>
            </w:r>
            <w:proofErr w:type="spellEnd"/>
            <w:r w:rsidRPr="007122AB">
              <w:rPr>
                <w:rFonts w:ascii="Times New Roman" w:hAnsi="Times New Roman"/>
                <w:color w:val="000000" w:themeColor="text1"/>
                <w:sz w:val="16"/>
                <w:szCs w:val="16"/>
              </w:rPr>
              <w:t xml:space="preserve">. Т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.-хим. бомб</w:t>
            </w:r>
          </w:p>
          <w:p w14:paraId="2ADCAC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10х50 </w:t>
            </w:r>
            <w:proofErr w:type="spellStart"/>
            <w:r w:rsidRPr="007122AB">
              <w:rPr>
                <w:rFonts w:ascii="Times New Roman" w:hAnsi="Times New Roman"/>
                <w:color w:val="000000" w:themeColor="text1"/>
                <w:sz w:val="16"/>
                <w:szCs w:val="16"/>
              </w:rPr>
              <w:t>фугаснн</w:t>
            </w:r>
            <w:proofErr w:type="spellEnd"/>
            <w:r w:rsidRPr="007122AB">
              <w:rPr>
                <w:rFonts w:ascii="Times New Roman" w:hAnsi="Times New Roman"/>
                <w:color w:val="000000" w:themeColor="text1"/>
                <w:sz w:val="16"/>
                <w:szCs w:val="16"/>
              </w:rPr>
              <w:t>. бомб</w:t>
            </w:r>
          </w:p>
          <w:p w14:paraId="6EC0F2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5х100 </w:t>
            </w:r>
            <w:proofErr w:type="spellStart"/>
            <w:r w:rsidRPr="007122AB">
              <w:rPr>
                <w:rFonts w:ascii="Times New Roman" w:hAnsi="Times New Roman"/>
                <w:color w:val="000000" w:themeColor="text1"/>
                <w:sz w:val="16"/>
                <w:szCs w:val="16"/>
              </w:rPr>
              <w:t>фкг</w:t>
            </w:r>
            <w:proofErr w:type="spellEnd"/>
            <w:r w:rsidRPr="007122AB">
              <w:rPr>
                <w:rFonts w:ascii="Times New Roman" w:hAnsi="Times New Roman"/>
                <w:color w:val="000000" w:themeColor="text1"/>
                <w:sz w:val="16"/>
                <w:szCs w:val="16"/>
              </w:rPr>
              <w:t>. бомб</w:t>
            </w:r>
          </w:p>
          <w:p w14:paraId="7B118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при отсутствии бомб устанавливается </w:t>
            </w:r>
            <w:proofErr w:type="spellStart"/>
            <w:r w:rsidRPr="007122AB">
              <w:rPr>
                <w:rFonts w:ascii="Times New Roman" w:hAnsi="Times New Roman"/>
                <w:color w:val="000000" w:themeColor="text1"/>
                <w:sz w:val="16"/>
                <w:szCs w:val="16"/>
              </w:rPr>
              <w:t>химич</w:t>
            </w:r>
            <w:proofErr w:type="spellEnd"/>
            <w:r w:rsidRPr="007122AB">
              <w:rPr>
                <w:rFonts w:ascii="Times New Roman" w:hAnsi="Times New Roman"/>
                <w:color w:val="000000" w:themeColor="text1"/>
                <w:sz w:val="16"/>
                <w:szCs w:val="16"/>
              </w:rPr>
              <w:t xml:space="preserve">. Или </w:t>
            </w:r>
            <w:proofErr w:type="spellStart"/>
            <w:r w:rsidRPr="007122AB">
              <w:rPr>
                <w:rFonts w:ascii="Times New Roman" w:hAnsi="Times New Roman"/>
                <w:color w:val="000000" w:themeColor="text1"/>
                <w:sz w:val="16"/>
                <w:szCs w:val="16"/>
              </w:rPr>
              <w:t>дымоаппаратуцра</w:t>
            </w:r>
            <w:proofErr w:type="spellEnd"/>
          </w:p>
        </w:tc>
        <w:tc>
          <w:tcPr>
            <w:tcW w:w="556" w:type="dxa"/>
          </w:tcPr>
          <w:p w14:paraId="69E91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760" w:type="dxa"/>
          </w:tcPr>
          <w:p w14:paraId="2E092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 посадочная не более 65</w:t>
            </w:r>
          </w:p>
        </w:tc>
        <w:tc>
          <w:tcPr>
            <w:tcW w:w="426" w:type="dxa"/>
          </w:tcPr>
          <w:p w14:paraId="30F016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369" w:type="dxa"/>
          </w:tcPr>
          <w:p w14:paraId="05A8B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w:t>
            </w:r>
          </w:p>
        </w:tc>
        <w:tc>
          <w:tcPr>
            <w:tcW w:w="481" w:type="dxa"/>
          </w:tcPr>
          <w:p w14:paraId="35C65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часа на 0,9 </w:t>
            </w:r>
            <w:proofErr w:type="spellStart"/>
            <w:r w:rsidRPr="007122AB">
              <w:rPr>
                <w:rFonts w:ascii="Times New Roman" w:hAnsi="Times New Roman"/>
                <w:color w:val="000000" w:themeColor="text1"/>
                <w:sz w:val="16"/>
                <w:szCs w:val="16"/>
              </w:rPr>
              <w:t>номин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w:t>
            </w:r>
          </w:p>
          <w:p w14:paraId="147D7D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Емкость б/баков на 4,5 часа</w:t>
            </w:r>
          </w:p>
        </w:tc>
        <w:tc>
          <w:tcPr>
            <w:tcW w:w="1276" w:type="dxa"/>
          </w:tcPr>
          <w:p w14:paraId="2D3D21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Оборудование - радио ДСР</w:t>
            </w:r>
          </w:p>
          <w:p w14:paraId="1D3D2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фотокамера для обработки снимков в воздухе</w:t>
            </w:r>
          </w:p>
          <w:p w14:paraId="4E0CB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Электро-КАСА Ш (съемная часть за счет перегрузки)</w:t>
            </w:r>
          </w:p>
          <w:p w14:paraId="59F61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Вспомогательное - нормально</w:t>
            </w:r>
          </w:p>
          <w:p w14:paraId="4FF6B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нормально</w:t>
            </w:r>
          </w:p>
          <w:p w14:paraId="4637E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9E8F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Предусмотреть установку 2-го управления на переднем месте</w:t>
            </w:r>
          </w:p>
          <w:p w14:paraId="29622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 приспосабливается для тех же целей из самолета борьбы с вредителями лесов ГВФ</w:t>
            </w:r>
          </w:p>
          <w:p w14:paraId="34D25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Применение разрезного крыла</w:t>
            </w:r>
          </w:p>
          <w:p w14:paraId="036A3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использовании </w:t>
            </w:r>
            <w:proofErr w:type="spellStart"/>
            <w:r w:rsidRPr="007122AB">
              <w:rPr>
                <w:rFonts w:ascii="Times New Roman" w:hAnsi="Times New Roman"/>
                <w:color w:val="000000" w:themeColor="text1"/>
                <w:sz w:val="16"/>
                <w:szCs w:val="16"/>
              </w:rPr>
              <w:t>самоЛета</w:t>
            </w:r>
            <w:proofErr w:type="spellEnd"/>
            <w:r w:rsidRPr="007122AB">
              <w:rPr>
                <w:rFonts w:ascii="Times New Roman" w:hAnsi="Times New Roman"/>
                <w:color w:val="000000" w:themeColor="text1"/>
                <w:sz w:val="16"/>
                <w:szCs w:val="16"/>
              </w:rPr>
              <w:t xml:space="preserve"> в качестве штурмовика, постановка съемной брони</w:t>
            </w:r>
          </w:p>
          <w:p w14:paraId="1C56F6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невозможности </w:t>
            </w:r>
            <w:proofErr w:type="spellStart"/>
            <w:r w:rsidRPr="007122AB">
              <w:rPr>
                <w:rFonts w:ascii="Times New Roman" w:hAnsi="Times New Roman"/>
                <w:color w:val="000000" w:themeColor="text1"/>
                <w:sz w:val="16"/>
                <w:szCs w:val="16"/>
              </w:rPr>
              <w:t>осущетсвления</w:t>
            </w:r>
            <w:proofErr w:type="spellEnd"/>
            <w:r w:rsidRPr="007122AB">
              <w:rPr>
                <w:rFonts w:ascii="Times New Roman" w:hAnsi="Times New Roman"/>
                <w:color w:val="000000" w:themeColor="text1"/>
                <w:sz w:val="16"/>
                <w:szCs w:val="16"/>
              </w:rPr>
              <w:t xml:space="preserve"> последнего требования допустимо при постройке 2-рамных фюзеляжей</w:t>
            </w:r>
          </w:p>
        </w:tc>
      </w:tr>
      <w:tr w:rsidR="001002C3" w:rsidRPr="007122AB" w14:paraId="73D0C889" w14:textId="77777777">
        <w:tc>
          <w:tcPr>
            <w:tcW w:w="392" w:type="dxa"/>
          </w:tcPr>
          <w:p w14:paraId="61203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CEF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426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8880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Штурмовая авиация</w:t>
            </w:r>
          </w:p>
        </w:tc>
        <w:tc>
          <w:tcPr>
            <w:tcW w:w="2085" w:type="dxa"/>
          </w:tcPr>
          <w:p w14:paraId="549247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ABCB4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0464CF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688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07059F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7DCBB7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52E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067C9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4C4A9F7" w14:textId="77777777">
        <w:tc>
          <w:tcPr>
            <w:tcW w:w="392" w:type="dxa"/>
          </w:tcPr>
          <w:p w14:paraId="2BAA1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992" w:type="dxa"/>
          </w:tcPr>
          <w:p w14:paraId="36CC2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штурмовик</w:t>
            </w:r>
          </w:p>
          <w:p w14:paraId="50CA3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самолета И5</w:t>
            </w:r>
          </w:p>
        </w:tc>
        <w:tc>
          <w:tcPr>
            <w:tcW w:w="425" w:type="dxa"/>
          </w:tcPr>
          <w:p w14:paraId="78FEF1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ЛШ/1</w:t>
            </w:r>
          </w:p>
        </w:tc>
        <w:tc>
          <w:tcPr>
            <w:tcW w:w="2127" w:type="dxa"/>
          </w:tcPr>
          <w:p w14:paraId="67845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Штурмовые действия по живой силе противника, преимущественно в зоне подхода к полю боя</w:t>
            </w:r>
          </w:p>
          <w:p w14:paraId="5A9E5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одиночный и в строю (преимущественно последнее), внезапность атаки. Выход на цель с резким снижением и с бреющего полета с последующим резким уходом на высоту и за закрытия</w:t>
            </w:r>
          </w:p>
        </w:tc>
        <w:tc>
          <w:tcPr>
            <w:tcW w:w="2085" w:type="dxa"/>
          </w:tcPr>
          <w:p w14:paraId="06E45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 для стрельбы через винт (2 пулемета съемные в счет перегрузки)</w:t>
            </w:r>
          </w:p>
          <w:p w14:paraId="7FEEE6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500х4</w:t>
            </w:r>
          </w:p>
          <w:p w14:paraId="0B0E9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200 кг</w:t>
            </w:r>
          </w:p>
          <w:p w14:paraId="4AA873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1-2, 10 и 50</w:t>
            </w:r>
          </w:p>
          <w:p w14:paraId="3B769C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Варианты нагрузок:</w:t>
            </w:r>
          </w:p>
          <w:p w14:paraId="507039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200х1 гранат пехотных</w:t>
            </w:r>
          </w:p>
          <w:p w14:paraId="7C6DC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100х2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.-хим. бомб</w:t>
            </w:r>
          </w:p>
          <w:p w14:paraId="19941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в/4х50 фуг. бомб (подвеска)</w:t>
            </w:r>
          </w:p>
        </w:tc>
        <w:tc>
          <w:tcPr>
            <w:tcW w:w="556" w:type="dxa"/>
          </w:tcPr>
          <w:p w14:paraId="609B44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3F93C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DB64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32A843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481" w:type="dxa"/>
          </w:tcPr>
          <w:p w14:paraId="7C38F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1AB6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КИР (съемный в счет перегрузки)</w:t>
            </w:r>
          </w:p>
          <w:p w14:paraId="18C8B0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66237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КАСА 1ё (</w:t>
            </w:r>
            <w:proofErr w:type="spellStart"/>
            <w:r w:rsidRPr="007122AB">
              <w:rPr>
                <w:rFonts w:ascii="Times New Roman" w:hAnsi="Times New Roman"/>
                <w:color w:val="000000" w:themeColor="text1"/>
                <w:sz w:val="16"/>
                <w:szCs w:val="16"/>
              </w:rPr>
              <w:t>суъемная</w:t>
            </w:r>
            <w:proofErr w:type="spellEnd"/>
            <w:r w:rsidRPr="007122AB">
              <w:rPr>
                <w:rFonts w:ascii="Times New Roman" w:hAnsi="Times New Roman"/>
                <w:color w:val="000000" w:themeColor="text1"/>
                <w:sz w:val="16"/>
                <w:szCs w:val="16"/>
              </w:rPr>
              <w:t xml:space="preserve"> часть за счет перегрузки)</w:t>
            </w:r>
          </w:p>
          <w:p w14:paraId="7AA04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Вспосогательные</w:t>
            </w:r>
            <w:proofErr w:type="spellEnd"/>
            <w:r w:rsidRPr="007122AB">
              <w:rPr>
                <w:rFonts w:ascii="Times New Roman" w:hAnsi="Times New Roman"/>
                <w:color w:val="000000" w:themeColor="text1"/>
                <w:sz w:val="16"/>
                <w:szCs w:val="16"/>
              </w:rPr>
              <w:t xml:space="preserve"> - парашюты</w:t>
            </w:r>
          </w:p>
          <w:p w14:paraId="72E0B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Огнетушители, кислородный прибор и инструмент - нет</w:t>
            </w:r>
          </w:p>
          <w:p w14:paraId="32785E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нормально</w:t>
            </w:r>
          </w:p>
        </w:tc>
        <w:tc>
          <w:tcPr>
            <w:tcW w:w="1311" w:type="dxa"/>
          </w:tcPr>
          <w:p w14:paraId="4ED88D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ЛТД полученные от самолета после приспособления</w:t>
            </w:r>
          </w:p>
        </w:tc>
      </w:tr>
      <w:tr w:rsidR="001002C3" w:rsidRPr="007122AB" w14:paraId="73FAADB4" w14:textId="77777777">
        <w:tc>
          <w:tcPr>
            <w:tcW w:w="392" w:type="dxa"/>
          </w:tcPr>
          <w:p w14:paraId="67B96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992" w:type="dxa"/>
          </w:tcPr>
          <w:p w14:paraId="4EBC2D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Легкий бронированный штурмовик (одноместный одномоторный)</w:t>
            </w:r>
          </w:p>
          <w:p w14:paraId="24244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самолета ТШ2</w:t>
            </w:r>
          </w:p>
        </w:tc>
        <w:tc>
          <w:tcPr>
            <w:tcW w:w="425" w:type="dxa"/>
          </w:tcPr>
          <w:p w14:paraId="1F351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ЛБШ/2</w:t>
            </w:r>
          </w:p>
        </w:tc>
        <w:tc>
          <w:tcPr>
            <w:tcW w:w="2127" w:type="dxa"/>
          </w:tcPr>
          <w:p w14:paraId="5378A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Штурмовые действия против живой силы противника, как на поле боя, так и в ближайшем го тылу</w:t>
            </w:r>
          </w:p>
          <w:p w14:paraId="55B9D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одиночный и в строю (преимущественно последнее). Внезапность атаки. Выход на цель преимущественно с бреющего полета с последующим быстрым и резким за прикрытия</w:t>
            </w:r>
          </w:p>
          <w:p w14:paraId="5692F4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а/ </w:t>
            </w:r>
            <w:proofErr w:type="spellStart"/>
            <w:r w:rsidRPr="007122AB">
              <w:rPr>
                <w:rFonts w:ascii="Times New Roman" w:hAnsi="Times New Roman"/>
                <w:color w:val="000000" w:themeColor="text1"/>
                <w:sz w:val="16"/>
                <w:szCs w:val="16"/>
              </w:rPr>
              <w:t>нажежность</w:t>
            </w:r>
            <w:proofErr w:type="spellEnd"/>
          </w:p>
          <w:p w14:paraId="5EAEA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горизонтальная скорость</w:t>
            </w:r>
          </w:p>
          <w:p w14:paraId="6E4AA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маневренность</w:t>
            </w:r>
          </w:p>
          <w:p w14:paraId="4195E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посадочная скорость</w:t>
            </w:r>
          </w:p>
          <w:p w14:paraId="2EC88B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скороподъемность</w:t>
            </w:r>
          </w:p>
        </w:tc>
        <w:tc>
          <w:tcPr>
            <w:tcW w:w="2085" w:type="dxa"/>
          </w:tcPr>
          <w:p w14:paraId="5EA54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 для стрельбы через винт (2 пулемета съемные в счет перегрузки)</w:t>
            </w:r>
          </w:p>
          <w:p w14:paraId="06AAE0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500х4=2000</w:t>
            </w:r>
          </w:p>
          <w:p w14:paraId="647B1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200 кг</w:t>
            </w:r>
          </w:p>
          <w:p w14:paraId="60924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перегрузкой - 400</w:t>
            </w:r>
          </w:p>
          <w:p w14:paraId="66DB0E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и варианты бомб:</w:t>
            </w:r>
          </w:p>
          <w:p w14:paraId="7CC14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400х1 гранат пехотных</w:t>
            </w:r>
          </w:p>
          <w:p w14:paraId="1E9B46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200х2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.-хим. бомб</w:t>
            </w:r>
          </w:p>
          <w:p w14:paraId="45F911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в/8х50 фуг. бомб (подвеска)</w:t>
            </w:r>
          </w:p>
        </w:tc>
        <w:tc>
          <w:tcPr>
            <w:tcW w:w="556" w:type="dxa"/>
          </w:tcPr>
          <w:p w14:paraId="7F327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0" w:type="dxa"/>
          </w:tcPr>
          <w:p w14:paraId="4DF67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426" w:type="dxa"/>
          </w:tcPr>
          <w:p w14:paraId="02DBE1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486FFF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200/400</w:t>
            </w:r>
          </w:p>
        </w:tc>
        <w:tc>
          <w:tcPr>
            <w:tcW w:w="481" w:type="dxa"/>
          </w:tcPr>
          <w:p w14:paraId="0BA7D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276" w:type="dxa"/>
          </w:tcPr>
          <w:p w14:paraId="422DA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КИР (съемный в счет перегрузки)</w:t>
            </w:r>
          </w:p>
          <w:p w14:paraId="6D130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0F2BEB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КАСА 1ё (</w:t>
            </w:r>
            <w:proofErr w:type="spellStart"/>
            <w:r w:rsidRPr="007122AB">
              <w:rPr>
                <w:rFonts w:ascii="Times New Roman" w:hAnsi="Times New Roman"/>
                <w:color w:val="000000" w:themeColor="text1"/>
                <w:sz w:val="16"/>
                <w:szCs w:val="16"/>
              </w:rPr>
              <w:t>суъемная</w:t>
            </w:r>
            <w:proofErr w:type="spellEnd"/>
            <w:r w:rsidRPr="007122AB">
              <w:rPr>
                <w:rFonts w:ascii="Times New Roman" w:hAnsi="Times New Roman"/>
                <w:color w:val="000000" w:themeColor="text1"/>
                <w:sz w:val="16"/>
                <w:szCs w:val="16"/>
              </w:rPr>
              <w:t xml:space="preserve"> часть за счет перегрузки)</w:t>
            </w:r>
          </w:p>
          <w:p w14:paraId="22FFE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Вспосогательные</w:t>
            </w:r>
            <w:proofErr w:type="spellEnd"/>
            <w:r w:rsidRPr="007122AB">
              <w:rPr>
                <w:rFonts w:ascii="Times New Roman" w:hAnsi="Times New Roman"/>
                <w:color w:val="000000" w:themeColor="text1"/>
                <w:sz w:val="16"/>
                <w:szCs w:val="16"/>
              </w:rPr>
              <w:t xml:space="preserve"> - парашюты</w:t>
            </w:r>
          </w:p>
          <w:p w14:paraId="4D9DE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Огнетушители, кислородный прибор и инструмент - </w:t>
            </w:r>
            <w:proofErr w:type="spellStart"/>
            <w:r w:rsidRPr="007122AB">
              <w:rPr>
                <w:rFonts w:ascii="Times New Roman" w:hAnsi="Times New Roman"/>
                <w:color w:val="000000" w:themeColor="text1"/>
                <w:sz w:val="16"/>
                <w:szCs w:val="16"/>
              </w:rPr>
              <w:t>отсутств</w:t>
            </w:r>
            <w:proofErr w:type="spellEnd"/>
            <w:r w:rsidRPr="007122AB">
              <w:rPr>
                <w:rFonts w:ascii="Times New Roman" w:hAnsi="Times New Roman"/>
                <w:color w:val="000000" w:themeColor="text1"/>
                <w:sz w:val="16"/>
                <w:szCs w:val="16"/>
              </w:rPr>
              <w:t>.</w:t>
            </w:r>
          </w:p>
          <w:p w14:paraId="3E0665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нормально</w:t>
            </w:r>
          </w:p>
        </w:tc>
        <w:tc>
          <w:tcPr>
            <w:tcW w:w="1311" w:type="dxa"/>
          </w:tcPr>
          <w:p w14:paraId="167260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случае принятия варианта </w:t>
            </w:r>
            <w:proofErr w:type="spellStart"/>
            <w:r w:rsidRPr="007122AB">
              <w:rPr>
                <w:rFonts w:ascii="Times New Roman" w:hAnsi="Times New Roman"/>
                <w:color w:val="000000" w:themeColor="text1"/>
                <w:sz w:val="16"/>
                <w:szCs w:val="16"/>
              </w:rPr>
              <w:t>двухкилевого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самолетавсе</w:t>
            </w:r>
            <w:proofErr w:type="spellEnd"/>
            <w:r w:rsidRPr="007122AB">
              <w:rPr>
                <w:rFonts w:ascii="Times New Roman" w:hAnsi="Times New Roman"/>
                <w:color w:val="000000" w:themeColor="text1"/>
                <w:sz w:val="16"/>
                <w:szCs w:val="16"/>
              </w:rPr>
              <w:t xml:space="preserve"> остается как и для одноместного, но вооружение распределяется след. образом:</w:t>
            </w:r>
          </w:p>
          <w:p w14:paraId="3CE59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 вперед вниз</w:t>
            </w:r>
          </w:p>
          <w:p w14:paraId="4EC14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 назад.</w:t>
            </w:r>
          </w:p>
          <w:p w14:paraId="67A65A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500х2 и 750х2</w:t>
            </w:r>
          </w:p>
        </w:tc>
      </w:tr>
      <w:tr w:rsidR="001002C3" w:rsidRPr="007122AB" w14:paraId="10D597E2" w14:textId="77777777">
        <w:tc>
          <w:tcPr>
            <w:tcW w:w="392" w:type="dxa"/>
          </w:tcPr>
          <w:p w14:paraId="72E6C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8.</w:t>
            </w:r>
          </w:p>
        </w:tc>
        <w:tc>
          <w:tcPr>
            <w:tcW w:w="992" w:type="dxa"/>
          </w:tcPr>
          <w:p w14:paraId="1A2FF9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Химический боевик легкий</w:t>
            </w:r>
          </w:p>
          <w:p w14:paraId="3D8C31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самолета для борьбы с вредителями сельского хозяйства и лесов ГВФ)</w:t>
            </w:r>
          </w:p>
        </w:tc>
        <w:tc>
          <w:tcPr>
            <w:tcW w:w="425" w:type="dxa"/>
          </w:tcPr>
          <w:p w14:paraId="46503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ЛХ/2</w:t>
            </w:r>
          </w:p>
        </w:tc>
        <w:tc>
          <w:tcPr>
            <w:tcW w:w="2127" w:type="dxa"/>
          </w:tcPr>
          <w:p w14:paraId="0F800D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Заражение ОВ живой силы противника, объектов со слабой противовоздушной обороной. Постановка </w:t>
            </w:r>
            <w:proofErr w:type="spellStart"/>
            <w:r w:rsidRPr="007122AB">
              <w:rPr>
                <w:rFonts w:ascii="Times New Roman" w:hAnsi="Times New Roman"/>
                <w:color w:val="000000" w:themeColor="text1"/>
                <w:sz w:val="16"/>
                <w:szCs w:val="16"/>
              </w:rPr>
              <w:t>дымзавес</w:t>
            </w:r>
            <w:proofErr w:type="spellEnd"/>
            <w:r w:rsidRPr="007122AB">
              <w:rPr>
                <w:rFonts w:ascii="Times New Roman" w:hAnsi="Times New Roman"/>
                <w:color w:val="000000" w:themeColor="text1"/>
                <w:sz w:val="16"/>
                <w:szCs w:val="16"/>
              </w:rPr>
              <w:t xml:space="preserve"> на земле</w:t>
            </w:r>
          </w:p>
          <w:p w14:paraId="3EA3B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одиночный и в строю. Бой оборонительный</w:t>
            </w:r>
          </w:p>
          <w:p w14:paraId="29341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максимальная емкость баков с ОВ</w:t>
            </w:r>
          </w:p>
          <w:p w14:paraId="4E907C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посадочные качества</w:t>
            </w:r>
          </w:p>
        </w:tc>
        <w:tc>
          <w:tcPr>
            <w:tcW w:w="2085" w:type="dxa"/>
          </w:tcPr>
          <w:p w14:paraId="1803E6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вперед</w:t>
            </w:r>
          </w:p>
          <w:p w14:paraId="68B567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назад (на турели)</w:t>
            </w:r>
          </w:p>
          <w:p w14:paraId="12617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- 500</w:t>
            </w:r>
          </w:p>
          <w:p w14:paraId="3FBA48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Сбрасываемого груза - нет</w:t>
            </w:r>
          </w:p>
        </w:tc>
        <w:tc>
          <w:tcPr>
            <w:tcW w:w="556" w:type="dxa"/>
          </w:tcPr>
          <w:p w14:paraId="688DE7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0" w:type="dxa"/>
          </w:tcPr>
          <w:p w14:paraId="26E97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26" w:type="dxa"/>
          </w:tcPr>
          <w:p w14:paraId="65B5C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099C3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81" w:type="dxa"/>
          </w:tcPr>
          <w:p w14:paraId="48AF0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6" w:type="dxa"/>
          </w:tcPr>
          <w:p w14:paraId="7DFC39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нет</w:t>
            </w:r>
          </w:p>
          <w:p w14:paraId="502974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617271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КАСА П</w:t>
            </w:r>
          </w:p>
          <w:p w14:paraId="7E7FE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Вспомогательное - нормально за исключением кислородного прибора</w:t>
            </w:r>
          </w:p>
          <w:p w14:paraId="0B3BDD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нормально</w:t>
            </w:r>
          </w:p>
        </w:tc>
        <w:tc>
          <w:tcPr>
            <w:tcW w:w="1311" w:type="dxa"/>
          </w:tcPr>
          <w:p w14:paraId="12BA51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E42EF45" w14:textId="77777777">
        <w:tc>
          <w:tcPr>
            <w:tcW w:w="392" w:type="dxa"/>
          </w:tcPr>
          <w:p w14:paraId="6D3080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C498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25EB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2ED8B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Бомбардировочная авиация</w:t>
            </w:r>
          </w:p>
        </w:tc>
        <w:tc>
          <w:tcPr>
            <w:tcW w:w="2085" w:type="dxa"/>
          </w:tcPr>
          <w:p w14:paraId="49FDAA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3723F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70F10B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A412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60604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67E842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415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AFD3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BA6094" w14:textId="77777777">
        <w:tc>
          <w:tcPr>
            <w:tcW w:w="392" w:type="dxa"/>
          </w:tcPr>
          <w:p w14:paraId="38E1D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992" w:type="dxa"/>
          </w:tcPr>
          <w:p w14:paraId="4B0B7A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среднего тоннажа</w:t>
            </w:r>
          </w:p>
          <w:p w14:paraId="12555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Дальнейшее развитие и усовершенствование самолетов ТБ-1 или Р6 или ТБ5</w:t>
            </w:r>
          </w:p>
        </w:tc>
        <w:tc>
          <w:tcPr>
            <w:tcW w:w="425" w:type="dxa"/>
          </w:tcPr>
          <w:p w14:paraId="7031D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Б/2</w:t>
            </w:r>
          </w:p>
        </w:tc>
        <w:tc>
          <w:tcPr>
            <w:tcW w:w="2127" w:type="dxa"/>
          </w:tcPr>
          <w:p w14:paraId="42F66F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Разрушение ж/д объектов, бомбардировка городов, заводов, электростанций и др. объектов оперативной зоны; бомбардировка аэродромов; десантные операции</w:t>
            </w:r>
          </w:p>
          <w:p w14:paraId="03142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Полет преимущественно группой. Бой оборонительный и основанный на максимальном использовании </w:t>
            </w:r>
            <w:proofErr w:type="spellStart"/>
            <w:r w:rsidRPr="007122AB">
              <w:rPr>
                <w:rFonts w:ascii="Times New Roman" w:hAnsi="Times New Roman"/>
                <w:color w:val="000000" w:themeColor="text1"/>
                <w:sz w:val="16"/>
                <w:szCs w:val="16"/>
              </w:rPr>
              <w:t>огновой</w:t>
            </w:r>
            <w:proofErr w:type="spellEnd"/>
            <w:r w:rsidRPr="007122AB">
              <w:rPr>
                <w:rFonts w:ascii="Times New Roman" w:hAnsi="Times New Roman"/>
                <w:color w:val="000000" w:themeColor="text1"/>
                <w:sz w:val="16"/>
                <w:szCs w:val="16"/>
              </w:rPr>
              <w:t xml:space="preserve"> мощи самолета. Полет днем и ночью</w:t>
            </w:r>
          </w:p>
          <w:p w14:paraId="384D6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огневая независимость</w:t>
            </w:r>
          </w:p>
          <w:p w14:paraId="0D76E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взлетно-посадочные качества</w:t>
            </w:r>
          </w:p>
          <w:p w14:paraId="262861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грузоподъемность</w:t>
            </w:r>
          </w:p>
          <w:p w14:paraId="761F41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дальность действия</w:t>
            </w:r>
          </w:p>
          <w:p w14:paraId="28182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горизонтальная скорость</w:t>
            </w:r>
          </w:p>
          <w:p w14:paraId="4143B9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потолок</w:t>
            </w:r>
          </w:p>
        </w:tc>
        <w:tc>
          <w:tcPr>
            <w:tcW w:w="2085" w:type="dxa"/>
          </w:tcPr>
          <w:p w14:paraId="5E275D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и бомбовая нагрузка подлежат специальному рассмотрению</w:t>
            </w:r>
          </w:p>
        </w:tc>
        <w:tc>
          <w:tcPr>
            <w:tcW w:w="556" w:type="dxa"/>
          </w:tcPr>
          <w:p w14:paraId="2732B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60" w:type="dxa"/>
          </w:tcPr>
          <w:p w14:paraId="5F764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426" w:type="dxa"/>
          </w:tcPr>
          <w:p w14:paraId="577F7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4F3E19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481" w:type="dxa"/>
          </w:tcPr>
          <w:p w14:paraId="1C6B9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500/750</w:t>
            </w:r>
          </w:p>
        </w:tc>
        <w:tc>
          <w:tcPr>
            <w:tcW w:w="1276" w:type="dxa"/>
          </w:tcPr>
          <w:p w14:paraId="67AE2A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Оборудование - тоже, что и на существующем, </w:t>
            </w:r>
            <w:proofErr w:type="spellStart"/>
            <w:r w:rsidRPr="007122AB">
              <w:rPr>
                <w:rFonts w:ascii="Times New Roman" w:hAnsi="Times New Roman"/>
                <w:color w:val="000000" w:themeColor="text1"/>
                <w:sz w:val="16"/>
                <w:szCs w:val="16"/>
              </w:rPr>
              <w:t>подлежазем</w:t>
            </w:r>
            <w:proofErr w:type="spellEnd"/>
            <w:r w:rsidRPr="007122AB">
              <w:rPr>
                <w:rFonts w:ascii="Times New Roman" w:hAnsi="Times New Roman"/>
                <w:color w:val="000000" w:themeColor="text1"/>
                <w:sz w:val="16"/>
                <w:szCs w:val="16"/>
              </w:rPr>
              <w:t xml:space="preserve"> модернизации самолете</w:t>
            </w:r>
          </w:p>
        </w:tc>
        <w:tc>
          <w:tcPr>
            <w:tcW w:w="1311" w:type="dxa"/>
          </w:tcPr>
          <w:p w14:paraId="1F937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Усровершенствование</w:t>
            </w:r>
            <w:proofErr w:type="spellEnd"/>
            <w:r w:rsidRPr="007122AB">
              <w:rPr>
                <w:rFonts w:ascii="Times New Roman" w:hAnsi="Times New Roman"/>
                <w:color w:val="000000" w:themeColor="text1"/>
                <w:sz w:val="16"/>
                <w:szCs w:val="16"/>
              </w:rPr>
              <w:t xml:space="preserve"> идет по линии увеличения грузоподъемности, </w:t>
            </w:r>
            <w:proofErr w:type="spellStart"/>
            <w:r w:rsidRPr="007122AB">
              <w:rPr>
                <w:rFonts w:ascii="Times New Roman" w:hAnsi="Times New Roman"/>
                <w:color w:val="000000" w:themeColor="text1"/>
                <w:sz w:val="16"/>
                <w:szCs w:val="16"/>
              </w:rPr>
              <w:t>скорост</w:t>
            </w:r>
            <w:proofErr w:type="spellEnd"/>
            <w:r w:rsidRPr="007122AB">
              <w:rPr>
                <w:rFonts w:ascii="Times New Roman" w:hAnsi="Times New Roman"/>
                <w:color w:val="000000" w:themeColor="text1"/>
                <w:sz w:val="16"/>
                <w:szCs w:val="16"/>
              </w:rPr>
              <w:t xml:space="preserve">  и огневой мощи (впереди сферическая башня, одна огневая точка на хвосте).</w:t>
            </w:r>
          </w:p>
        </w:tc>
      </w:tr>
      <w:tr w:rsidR="001002C3" w:rsidRPr="007122AB" w14:paraId="4C31C402" w14:textId="77777777">
        <w:tc>
          <w:tcPr>
            <w:tcW w:w="392" w:type="dxa"/>
          </w:tcPr>
          <w:p w14:paraId="6717FC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992" w:type="dxa"/>
          </w:tcPr>
          <w:p w14:paraId="1E365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тяжелый</w:t>
            </w:r>
          </w:p>
          <w:p w14:paraId="2528DE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самолета ГВФ</w:t>
            </w:r>
          </w:p>
        </w:tc>
        <w:tc>
          <w:tcPr>
            <w:tcW w:w="425" w:type="dxa"/>
          </w:tcPr>
          <w:p w14:paraId="2BE3BB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2127" w:type="dxa"/>
          </w:tcPr>
          <w:p w14:paraId="5A9C4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Разрушение и уничтожение объектов государственного значения /промышленного и военного/, бомбардировка баз и самого флота противника и его укрепленных </w:t>
            </w:r>
            <w:proofErr w:type="spellStart"/>
            <w:r w:rsidRPr="007122AB">
              <w:rPr>
                <w:rFonts w:ascii="Times New Roman" w:hAnsi="Times New Roman"/>
                <w:color w:val="000000" w:themeColor="text1"/>
                <w:sz w:val="16"/>
                <w:szCs w:val="16"/>
              </w:rPr>
              <w:t>районоы</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поберещье</w:t>
            </w:r>
            <w:proofErr w:type="spellEnd"/>
            <w:r w:rsidRPr="007122AB">
              <w:rPr>
                <w:rFonts w:ascii="Times New Roman" w:hAnsi="Times New Roman"/>
                <w:color w:val="000000" w:themeColor="text1"/>
                <w:sz w:val="16"/>
                <w:szCs w:val="16"/>
              </w:rPr>
              <w:t>. Десантные операции.</w:t>
            </w:r>
          </w:p>
          <w:p w14:paraId="37CE2D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 как одиночный, так и в строю. Бой оборонительный с максимальным использованием своей огневой мощи.</w:t>
            </w:r>
          </w:p>
          <w:p w14:paraId="7BA30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грузоподъемность</w:t>
            </w:r>
          </w:p>
          <w:p w14:paraId="37DA3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дальность действия</w:t>
            </w:r>
          </w:p>
          <w:p w14:paraId="4898A2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огневая независимость</w:t>
            </w:r>
          </w:p>
          <w:p w14:paraId="228FAC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горизонтальная скорость</w:t>
            </w:r>
          </w:p>
          <w:p w14:paraId="7CCF96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потолок</w:t>
            </w:r>
          </w:p>
        </w:tc>
        <w:tc>
          <w:tcPr>
            <w:tcW w:w="2085" w:type="dxa"/>
          </w:tcPr>
          <w:p w14:paraId="42CC72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Стрелковое и пушечное вооружение, обеспечивающее с одной стороны полный сферический обстрел, с другой - борьбу как на близких, так и на далеких дистанциях. Схема вооружение и его количество утверждаются УВВС перед закладкой самолета.</w:t>
            </w:r>
          </w:p>
          <w:p w14:paraId="385285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- 10000 кг. Калибр бомб: 50, 250, 500, 1000 и 2000 кг</w:t>
            </w:r>
          </w:p>
          <w:p w14:paraId="50D76A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должна быть предусмотрена установка средств химической и дымовой аппаратуры</w:t>
            </w:r>
          </w:p>
        </w:tc>
        <w:tc>
          <w:tcPr>
            <w:tcW w:w="556" w:type="dxa"/>
          </w:tcPr>
          <w:p w14:paraId="73196C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760" w:type="dxa"/>
          </w:tcPr>
          <w:p w14:paraId="316BD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426" w:type="dxa"/>
          </w:tcPr>
          <w:p w14:paraId="1144DB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19AC64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481" w:type="dxa"/>
          </w:tcPr>
          <w:p w14:paraId="058519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1000/1500</w:t>
            </w:r>
          </w:p>
        </w:tc>
        <w:tc>
          <w:tcPr>
            <w:tcW w:w="1276" w:type="dxa"/>
          </w:tcPr>
          <w:p w14:paraId="5E3FC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Оборудование самолета подлежит специальной разработке перед началом проектирования</w:t>
            </w:r>
          </w:p>
        </w:tc>
        <w:tc>
          <w:tcPr>
            <w:tcW w:w="1311" w:type="dxa"/>
          </w:tcPr>
          <w:p w14:paraId="4F7C3E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в своем строительстве совмещается с одним из самолетов ГВФ соответствующего тоннажа</w:t>
            </w:r>
          </w:p>
          <w:p w14:paraId="6C80C2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Высотность обеспечивается возможностью перехода на соотв. Моторы, установкой специальных устройств и </w:t>
            </w:r>
            <w:proofErr w:type="spellStart"/>
            <w:r w:rsidRPr="007122AB">
              <w:rPr>
                <w:rFonts w:ascii="Times New Roman" w:hAnsi="Times New Roman"/>
                <w:color w:val="000000" w:themeColor="text1"/>
                <w:sz w:val="16"/>
                <w:szCs w:val="16"/>
              </w:rPr>
              <w:t>др</w:t>
            </w:r>
            <w:proofErr w:type="spellEnd"/>
            <w:r w:rsidRPr="007122AB">
              <w:rPr>
                <w:rFonts w:ascii="Times New Roman" w:hAnsi="Times New Roman"/>
                <w:color w:val="000000" w:themeColor="text1"/>
                <w:sz w:val="16"/>
                <w:szCs w:val="16"/>
              </w:rPr>
              <w:t>, как для самолета крейсер и ИП</w:t>
            </w:r>
          </w:p>
          <w:p w14:paraId="22C07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Увеличение радиуса </w:t>
            </w:r>
            <w:proofErr w:type="spellStart"/>
            <w:r w:rsidRPr="007122AB">
              <w:rPr>
                <w:rFonts w:ascii="Times New Roman" w:hAnsi="Times New Roman"/>
                <w:color w:val="000000" w:themeColor="text1"/>
                <w:sz w:val="16"/>
                <w:szCs w:val="16"/>
              </w:rPr>
              <w:t>действи</w:t>
            </w:r>
            <w:proofErr w:type="spellEnd"/>
            <w:r w:rsidRPr="007122AB">
              <w:rPr>
                <w:rFonts w:ascii="Times New Roman" w:hAnsi="Times New Roman"/>
                <w:color w:val="000000" w:themeColor="text1"/>
                <w:sz w:val="16"/>
                <w:szCs w:val="16"/>
              </w:rPr>
              <w:t xml:space="preserve"> до 1000 км возможно произвести за счет некоторого снижения бомбовой нагрузки и емкостью баков</w:t>
            </w:r>
          </w:p>
        </w:tc>
      </w:tr>
      <w:tr w:rsidR="001002C3" w:rsidRPr="007122AB" w14:paraId="3D6AC48A" w14:textId="77777777">
        <w:tc>
          <w:tcPr>
            <w:tcW w:w="392" w:type="dxa"/>
          </w:tcPr>
          <w:p w14:paraId="2C3969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7F0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0FE8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018B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Вспомогательная авиация</w:t>
            </w:r>
          </w:p>
        </w:tc>
        <w:tc>
          <w:tcPr>
            <w:tcW w:w="2085" w:type="dxa"/>
          </w:tcPr>
          <w:p w14:paraId="0079F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61A09A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945D7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77B7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179E4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DB230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061F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0DF650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6C7467C" w14:textId="77777777">
        <w:tc>
          <w:tcPr>
            <w:tcW w:w="392" w:type="dxa"/>
          </w:tcPr>
          <w:p w14:paraId="4402C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992" w:type="dxa"/>
          </w:tcPr>
          <w:p w14:paraId="38C9A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сопровождения и связи</w:t>
            </w:r>
          </w:p>
          <w:p w14:paraId="2B28F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самолета ГВФ - местной авиации/</w:t>
            </w:r>
          </w:p>
        </w:tc>
        <w:tc>
          <w:tcPr>
            <w:tcW w:w="425" w:type="dxa"/>
          </w:tcPr>
          <w:p w14:paraId="5EABEE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СС/2</w:t>
            </w:r>
          </w:p>
        </w:tc>
        <w:tc>
          <w:tcPr>
            <w:tcW w:w="2127" w:type="dxa"/>
          </w:tcPr>
          <w:p w14:paraId="04F00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Поддержание связи между штабами /дивизии, </w:t>
            </w:r>
            <w:proofErr w:type="spellStart"/>
            <w:r w:rsidRPr="007122AB">
              <w:rPr>
                <w:rFonts w:ascii="Times New Roman" w:hAnsi="Times New Roman"/>
                <w:color w:val="000000" w:themeColor="text1"/>
                <w:sz w:val="16"/>
                <w:szCs w:val="16"/>
              </w:rPr>
              <w:t>коорпусов</w:t>
            </w:r>
            <w:proofErr w:type="spellEnd"/>
            <w:r w:rsidRPr="007122AB">
              <w:rPr>
                <w:rFonts w:ascii="Times New Roman" w:hAnsi="Times New Roman"/>
                <w:color w:val="000000" w:themeColor="text1"/>
                <w:sz w:val="16"/>
                <w:szCs w:val="16"/>
              </w:rPr>
              <w:t xml:space="preserve">, авиасоединений и т.д./, разведка на </w:t>
            </w:r>
            <w:proofErr w:type="spellStart"/>
            <w:r w:rsidRPr="007122AB">
              <w:rPr>
                <w:rFonts w:ascii="Times New Roman" w:hAnsi="Times New Roman"/>
                <w:color w:val="000000" w:themeColor="text1"/>
                <w:sz w:val="16"/>
                <w:szCs w:val="16"/>
              </w:rPr>
              <w:t>нихких</w:t>
            </w:r>
            <w:proofErr w:type="spellEnd"/>
            <w:r w:rsidRPr="007122AB">
              <w:rPr>
                <w:rFonts w:ascii="Times New Roman" w:hAnsi="Times New Roman"/>
                <w:color w:val="000000" w:themeColor="text1"/>
                <w:sz w:val="16"/>
                <w:szCs w:val="16"/>
              </w:rPr>
              <w:t xml:space="preserve"> высотах впереди расположенной </w:t>
            </w:r>
            <w:proofErr w:type="spellStart"/>
            <w:r w:rsidRPr="007122AB">
              <w:rPr>
                <w:rFonts w:ascii="Times New Roman" w:hAnsi="Times New Roman"/>
                <w:color w:val="000000" w:themeColor="text1"/>
                <w:sz w:val="16"/>
                <w:szCs w:val="16"/>
              </w:rPr>
              <w:t>местнгсти</w:t>
            </w:r>
            <w:proofErr w:type="spellEnd"/>
            <w:r w:rsidRPr="007122AB">
              <w:rPr>
                <w:rFonts w:ascii="Times New Roman" w:hAnsi="Times New Roman"/>
                <w:color w:val="000000" w:themeColor="text1"/>
                <w:sz w:val="16"/>
                <w:szCs w:val="16"/>
              </w:rPr>
              <w:t xml:space="preserve"> /на подходе, при сближении с противником/, особенно при отсутствии противодействия со стороны воздушного противника.</w:t>
            </w:r>
          </w:p>
          <w:p w14:paraId="082270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Полет преимущественно одиночный. Бой - </w:t>
            </w:r>
            <w:r w:rsidRPr="007122AB">
              <w:rPr>
                <w:rFonts w:ascii="Times New Roman" w:hAnsi="Times New Roman"/>
                <w:color w:val="000000" w:themeColor="text1"/>
                <w:sz w:val="16"/>
                <w:szCs w:val="16"/>
              </w:rPr>
              <w:lastRenderedPageBreak/>
              <w:t>исключение и оборонительный.</w:t>
            </w:r>
          </w:p>
          <w:p w14:paraId="2C42F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подъемно-посадочные качества</w:t>
            </w:r>
          </w:p>
          <w:p w14:paraId="21431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неприхотливость в дороге при движении вместе с войсками в колонных /складывающиеся крылья/</w:t>
            </w:r>
          </w:p>
          <w:p w14:paraId="262566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быстрое приведение самолета в готовность к полету.</w:t>
            </w:r>
          </w:p>
        </w:tc>
        <w:tc>
          <w:tcPr>
            <w:tcW w:w="2085" w:type="dxa"/>
          </w:tcPr>
          <w:p w14:paraId="03E7DC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пулемета на турели для стрельбы в верхней полусфере</w:t>
            </w:r>
          </w:p>
          <w:p w14:paraId="7112D2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250х2</w:t>
            </w:r>
          </w:p>
          <w:p w14:paraId="7A1F7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в счет перегрузки 100 кг</w:t>
            </w:r>
          </w:p>
          <w:p w14:paraId="24EA0A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бомб 10</w:t>
            </w:r>
          </w:p>
          <w:p w14:paraId="41AC59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Вариант нагрузок 1-х10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 бомб</w:t>
            </w:r>
          </w:p>
        </w:tc>
        <w:tc>
          <w:tcPr>
            <w:tcW w:w="556" w:type="dxa"/>
          </w:tcPr>
          <w:p w14:paraId="0BFEA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0" w:type="dxa"/>
          </w:tcPr>
          <w:p w14:paraId="44138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26" w:type="dxa"/>
          </w:tcPr>
          <w:p w14:paraId="3C1C3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20B30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81" w:type="dxa"/>
          </w:tcPr>
          <w:p w14:paraId="0EAE07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6" w:type="dxa"/>
          </w:tcPr>
          <w:p w14:paraId="457161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ДСР /в счет перегрузки/</w:t>
            </w:r>
          </w:p>
          <w:p w14:paraId="29BC74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w:t>
            </w:r>
          </w:p>
          <w:p w14:paraId="3DC2A0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КАСА Ш /съемная часть в счет перегрузки/</w:t>
            </w:r>
          </w:p>
          <w:p w14:paraId="6E8B4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Вспомогательное оборудование - нормальное за </w:t>
            </w:r>
            <w:r w:rsidRPr="007122AB">
              <w:rPr>
                <w:rFonts w:ascii="Times New Roman" w:hAnsi="Times New Roman"/>
                <w:color w:val="000000" w:themeColor="text1"/>
                <w:sz w:val="16"/>
                <w:szCs w:val="16"/>
              </w:rPr>
              <w:lastRenderedPageBreak/>
              <w:t>исключением кислородного прибора</w:t>
            </w:r>
          </w:p>
          <w:p w14:paraId="6FF3D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нормальная</w:t>
            </w:r>
          </w:p>
        </w:tc>
        <w:tc>
          <w:tcPr>
            <w:tcW w:w="1311" w:type="dxa"/>
          </w:tcPr>
          <w:p w14:paraId="78F51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зависимости от того, что будет получено в приспосабливаемом самолете</w:t>
            </w:r>
          </w:p>
          <w:p w14:paraId="6CBA0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Замечание Завьялова - какой-нибудь из самолетов связи и сопровождения - снять</w:t>
            </w:r>
          </w:p>
        </w:tc>
      </w:tr>
      <w:tr w:rsidR="001002C3" w:rsidRPr="007122AB" w14:paraId="5E291711" w14:textId="77777777">
        <w:tc>
          <w:tcPr>
            <w:tcW w:w="392" w:type="dxa"/>
          </w:tcPr>
          <w:p w14:paraId="15E7D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992" w:type="dxa"/>
          </w:tcPr>
          <w:p w14:paraId="7A820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сопровождения и связи легкий</w:t>
            </w:r>
          </w:p>
          <w:p w14:paraId="6990E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самолета ГВФ - местной авиации/</w:t>
            </w:r>
          </w:p>
        </w:tc>
        <w:tc>
          <w:tcPr>
            <w:tcW w:w="425" w:type="dxa"/>
          </w:tcPr>
          <w:p w14:paraId="76773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ЛС/2</w:t>
            </w:r>
          </w:p>
        </w:tc>
        <w:tc>
          <w:tcPr>
            <w:tcW w:w="2127" w:type="dxa"/>
          </w:tcPr>
          <w:p w14:paraId="56F7C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Поддержание связи между штабами /дивизии, </w:t>
            </w:r>
            <w:proofErr w:type="spellStart"/>
            <w:r w:rsidRPr="007122AB">
              <w:rPr>
                <w:rFonts w:ascii="Times New Roman" w:hAnsi="Times New Roman"/>
                <w:color w:val="000000" w:themeColor="text1"/>
                <w:sz w:val="16"/>
                <w:szCs w:val="16"/>
              </w:rPr>
              <w:t>коорпусов</w:t>
            </w:r>
            <w:proofErr w:type="spellEnd"/>
            <w:r w:rsidRPr="007122AB">
              <w:rPr>
                <w:rFonts w:ascii="Times New Roman" w:hAnsi="Times New Roman"/>
                <w:color w:val="000000" w:themeColor="text1"/>
                <w:sz w:val="16"/>
                <w:szCs w:val="16"/>
              </w:rPr>
              <w:t xml:space="preserve">, авиасоединений и т.д./, разведка на </w:t>
            </w:r>
            <w:proofErr w:type="spellStart"/>
            <w:r w:rsidRPr="007122AB">
              <w:rPr>
                <w:rFonts w:ascii="Times New Roman" w:hAnsi="Times New Roman"/>
                <w:color w:val="000000" w:themeColor="text1"/>
                <w:sz w:val="16"/>
                <w:szCs w:val="16"/>
              </w:rPr>
              <w:t>нихких</w:t>
            </w:r>
            <w:proofErr w:type="spellEnd"/>
            <w:r w:rsidRPr="007122AB">
              <w:rPr>
                <w:rFonts w:ascii="Times New Roman" w:hAnsi="Times New Roman"/>
                <w:color w:val="000000" w:themeColor="text1"/>
                <w:sz w:val="16"/>
                <w:szCs w:val="16"/>
              </w:rPr>
              <w:t xml:space="preserve"> высотах впереди расположенной </w:t>
            </w:r>
            <w:proofErr w:type="spellStart"/>
            <w:r w:rsidRPr="007122AB">
              <w:rPr>
                <w:rFonts w:ascii="Times New Roman" w:hAnsi="Times New Roman"/>
                <w:color w:val="000000" w:themeColor="text1"/>
                <w:sz w:val="16"/>
                <w:szCs w:val="16"/>
              </w:rPr>
              <w:t>местнгсти</w:t>
            </w:r>
            <w:proofErr w:type="spellEnd"/>
            <w:r w:rsidRPr="007122AB">
              <w:rPr>
                <w:rFonts w:ascii="Times New Roman" w:hAnsi="Times New Roman"/>
                <w:color w:val="000000" w:themeColor="text1"/>
                <w:sz w:val="16"/>
                <w:szCs w:val="16"/>
              </w:rPr>
              <w:t xml:space="preserve"> /на подходе, при сближении с противником/, особенно при отсутствии противодействия со стороны воздушного противника.</w:t>
            </w:r>
          </w:p>
          <w:p w14:paraId="7AD17F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преимущественно одиночный. Бой - исключение и оборонительный.</w:t>
            </w:r>
          </w:p>
          <w:p w14:paraId="52239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подъемно-посадочные качества</w:t>
            </w:r>
          </w:p>
          <w:p w14:paraId="39BD3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неприхотливость в дороге при движении вместе с войсками в колонных /складывающиеся крылья/</w:t>
            </w:r>
          </w:p>
          <w:p w14:paraId="2C06F8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быстрое приведение самолета в готовность к полету.</w:t>
            </w:r>
          </w:p>
        </w:tc>
        <w:tc>
          <w:tcPr>
            <w:tcW w:w="2085" w:type="dxa"/>
          </w:tcPr>
          <w:p w14:paraId="22724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w:t>
            </w:r>
          </w:p>
        </w:tc>
        <w:tc>
          <w:tcPr>
            <w:tcW w:w="556" w:type="dxa"/>
          </w:tcPr>
          <w:p w14:paraId="159DC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0" w:type="dxa"/>
          </w:tcPr>
          <w:p w14:paraId="61EC1C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26" w:type="dxa"/>
          </w:tcPr>
          <w:p w14:paraId="3A006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3D042B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81" w:type="dxa"/>
          </w:tcPr>
          <w:p w14:paraId="640CE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6" w:type="dxa"/>
          </w:tcPr>
          <w:p w14:paraId="5EEA5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Радио, фото,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вспомогательное оборудование - нет</w:t>
            </w:r>
          </w:p>
          <w:p w14:paraId="5F6BF0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Аэронавигация - минимальная</w:t>
            </w:r>
          </w:p>
        </w:tc>
        <w:tc>
          <w:tcPr>
            <w:tcW w:w="1311" w:type="dxa"/>
          </w:tcPr>
          <w:p w14:paraId="4AFE36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 мощностью мотора 35-100 л.с. 2-3 местный</w:t>
            </w:r>
          </w:p>
          <w:p w14:paraId="156BA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Такие самолета рекомендуется внести в план строительства ГВФ как спортивно-туристские</w:t>
            </w:r>
          </w:p>
        </w:tc>
      </w:tr>
      <w:tr w:rsidR="001002C3" w:rsidRPr="007122AB" w14:paraId="1A47413C" w14:textId="77777777">
        <w:tc>
          <w:tcPr>
            <w:tcW w:w="392" w:type="dxa"/>
          </w:tcPr>
          <w:p w14:paraId="6966CD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992" w:type="dxa"/>
          </w:tcPr>
          <w:p w14:paraId="27DC13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грузовой</w:t>
            </w:r>
          </w:p>
          <w:p w14:paraId="40D37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Приспособление грузового ГВФ</w:t>
            </w:r>
          </w:p>
        </w:tc>
        <w:tc>
          <w:tcPr>
            <w:tcW w:w="425" w:type="dxa"/>
          </w:tcPr>
          <w:p w14:paraId="0BDD31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Г/3</w:t>
            </w:r>
          </w:p>
        </w:tc>
        <w:tc>
          <w:tcPr>
            <w:tcW w:w="2127" w:type="dxa"/>
          </w:tcPr>
          <w:p w14:paraId="3FC9A0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Перевозка специальных грузов, горючего и войск. Десантные операции.</w:t>
            </w:r>
          </w:p>
          <w:p w14:paraId="35102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одиночный и в строю. Бой - исключение и оборонительный</w:t>
            </w:r>
          </w:p>
          <w:p w14:paraId="48F97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грузоподъемность</w:t>
            </w:r>
          </w:p>
          <w:p w14:paraId="25E959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минимальная посадочная скорость</w:t>
            </w:r>
          </w:p>
        </w:tc>
        <w:tc>
          <w:tcPr>
            <w:tcW w:w="2085" w:type="dxa"/>
          </w:tcPr>
          <w:p w14:paraId="040FD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разрабатывается перед началом проектирования</w:t>
            </w:r>
          </w:p>
          <w:p w14:paraId="6F042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Предусматривается подвеска специальных грузов</w:t>
            </w:r>
          </w:p>
        </w:tc>
        <w:tc>
          <w:tcPr>
            <w:tcW w:w="556" w:type="dxa"/>
          </w:tcPr>
          <w:p w14:paraId="0D10E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0" w:type="dxa"/>
          </w:tcPr>
          <w:p w14:paraId="5D734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26" w:type="dxa"/>
          </w:tcPr>
          <w:p w14:paraId="2B29C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7D1545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81" w:type="dxa"/>
          </w:tcPr>
          <w:p w14:paraId="340558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6" w:type="dxa"/>
          </w:tcPr>
          <w:p w14:paraId="4C0E2F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Оборудование разрабатывается перед началом проектирования</w:t>
            </w:r>
          </w:p>
        </w:tc>
        <w:tc>
          <w:tcPr>
            <w:tcW w:w="1311" w:type="dxa"/>
          </w:tcPr>
          <w:p w14:paraId="573B5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55F3AF7" w14:textId="77777777">
        <w:tc>
          <w:tcPr>
            <w:tcW w:w="392" w:type="dxa"/>
          </w:tcPr>
          <w:p w14:paraId="3A9E4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840C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5E94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186F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Самолеты </w:t>
            </w:r>
            <w:proofErr w:type="spellStart"/>
            <w:r w:rsidRPr="007122AB">
              <w:rPr>
                <w:rFonts w:ascii="Times New Roman" w:hAnsi="Times New Roman"/>
                <w:color w:val="000000" w:themeColor="text1"/>
                <w:sz w:val="16"/>
                <w:szCs w:val="16"/>
              </w:rPr>
              <w:t>эжкспериментально</w:t>
            </w:r>
            <w:proofErr w:type="spellEnd"/>
            <w:r w:rsidRPr="007122AB">
              <w:rPr>
                <w:rFonts w:ascii="Times New Roman" w:hAnsi="Times New Roman"/>
                <w:color w:val="000000" w:themeColor="text1"/>
                <w:sz w:val="16"/>
                <w:szCs w:val="16"/>
              </w:rPr>
              <w:t xml:space="preserve">-тактические (1932-34-34/35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tc>
        <w:tc>
          <w:tcPr>
            <w:tcW w:w="2085" w:type="dxa"/>
          </w:tcPr>
          <w:p w14:paraId="21BEBD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D6868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19774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7758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0921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FBDFC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9854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CE55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C1BC42" w14:textId="77777777">
        <w:tc>
          <w:tcPr>
            <w:tcW w:w="392" w:type="dxa"/>
          </w:tcPr>
          <w:p w14:paraId="7165E5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992" w:type="dxa"/>
          </w:tcPr>
          <w:p w14:paraId="6D14F7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 истребитель</w:t>
            </w:r>
          </w:p>
          <w:p w14:paraId="586EF1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/Дальнейшее развитие истребителя И12/</w:t>
            </w:r>
          </w:p>
        </w:tc>
        <w:tc>
          <w:tcPr>
            <w:tcW w:w="425" w:type="dxa"/>
          </w:tcPr>
          <w:p w14:paraId="333E4D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ИП/3</w:t>
            </w:r>
          </w:p>
        </w:tc>
        <w:tc>
          <w:tcPr>
            <w:tcW w:w="2127" w:type="dxa"/>
          </w:tcPr>
          <w:p w14:paraId="7824F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Наступательный бой с дальних дистанций со всеми и преимущественно тяжелыми типами самолетов и воздухоплавательных аппаратов как на фронте, так и в собственном тылу.</w:t>
            </w:r>
          </w:p>
          <w:p w14:paraId="3DF25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как одиночный, так и в строю. Бой, основанный на силе собственного огня и внезапности.</w:t>
            </w:r>
          </w:p>
          <w:p w14:paraId="15F0DF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а/ </w:t>
            </w:r>
            <w:proofErr w:type="spellStart"/>
            <w:r w:rsidRPr="007122AB">
              <w:rPr>
                <w:rFonts w:ascii="Times New Roman" w:hAnsi="Times New Roman"/>
                <w:color w:val="000000" w:themeColor="text1"/>
                <w:sz w:val="16"/>
                <w:szCs w:val="16"/>
              </w:rPr>
              <w:t>скороподхъемность</w:t>
            </w:r>
            <w:proofErr w:type="spellEnd"/>
          </w:p>
          <w:p w14:paraId="54C1F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горизонтальная скорость на боевой высоте</w:t>
            </w:r>
          </w:p>
          <w:p w14:paraId="305C4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потолок</w:t>
            </w:r>
          </w:p>
        </w:tc>
        <w:tc>
          <w:tcPr>
            <w:tcW w:w="2085" w:type="dxa"/>
          </w:tcPr>
          <w:p w14:paraId="5F01B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 ДРП.</w:t>
            </w:r>
          </w:p>
          <w:p w14:paraId="5FB63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снарядов 10х2</w:t>
            </w:r>
          </w:p>
          <w:p w14:paraId="6CDA37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счет перегрузки:</w:t>
            </w:r>
          </w:p>
          <w:p w14:paraId="0A913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2 </w:t>
            </w:r>
            <w:proofErr w:type="spellStart"/>
            <w:r w:rsidRPr="007122AB">
              <w:rPr>
                <w:rFonts w:ascii="Times New Roman" w:hAnsi="Times New Roman"/>
                <w:color w:val="000000" w:themeColor="text1"/>
                <w:sz w:val="16"/>
                <w:szCs w:val="16"/>
              </w:rPr>
              <w:t>ЗАМа</w:t>
            </w:r>
            <w:proofErr w:type="spellEnd"/>
            <w:r w:rsidRPr="007122AB">
              <w:rPr>
                <w:rFonts w:ascii="Times New Roman" w:hAnsi="Times New Roman"/>
                <w:color w:val="000000" w:themeColor="text1"/>
                <w:sz w:val="16"/>
                <w:szCs w:val="16"/>
              </w:rPr>
              <w:t xml:space="preserve"> или</w:t>
            </w:r>
          </w:p>
          <w:p w14:paraId="0064D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30х2 </w:t>
            </w:r>
            <w:proofErr w:type="spellStart"/>
            <w:r w:rsidRPr="007122AB">
              <w:rPr>
                <w:rFonts w:ascii="Times New Roman" w:hAnsi="Times New Roman"/>
                <w:color w:val="000000" w:themeColor="text1"/>
                <w:sz w:val="16"/>
                <w:szCs w:val="16"/>
              </w:rPr>
              <w:t>дист</w:t>
            </w:r>
            <w:proofErr w:type="spellEnd"/>
            <w:r w:rsidRPr="007122AB">
              <w:rPr>
                <w:rFonts w:ascii="Times New Roman" w:hAnsi="Times New Roman"/>
                <w:color w:val="000000" w:themeColor="text1"/>
                <w:sz w:val="16"/>
                <w:szCs w:val="16"/>
              </w:rPr>
              <w:t>. бом</w:t>
            </w:r>
          </w:p>
        </w:tc>
        <w:tc>
          <w:tcPr>
            <w:tcW w:w="556" w:type="dxa"/>
          </w:tcPr>
          <w:p w14:paraId="381C6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760" w:type="dxa"/>
          </w:tcPr>
          <w:p w14:paraId="33E6F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350-375</w:t>
            </w:r>
          </w:p>
        </w:tc>
        <w:tc>
          <w:tcPr>
            <w:tcW w:w="426" w:type="dxa"/>
          </w:tcPr>
          <w:p w14:paraId="3E89B1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5-6/5000</w:t>
            </w:r>
          </w:p>
        </w:tc>
        <w:tc>
          <w:tcPr>
            <w:tcW w:w="369" w:type="dxa"/>
          </w:tcPr>
          <w:p w14:paraId="4368B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81" w:type="dxa"/>
          </w:tcPr>
          <w:p w14:paraId="23E939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при 0,9 ном. мощности</w:t>
            </w:r>
          </w:p>
        </w:tc>
        <w:tc>
          <w:tcPr>
            <w:tcW w:w="1276" w:type="dxa"/>
          </w:tcPr>
          <w:p w14:paraId="455864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нет</w:t>
            </w:r>
          </w:p>
          <w:p w14:paraId="6B2654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3875A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по специальной спецификации</w:t>
            </w:r>
          </w:p>
          <w:p w14:paraId="1424F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Вспосогательное</w:t>
            </w:r>
            <w:proofErr w:type="spellEnd"/>
            <w:r w:rsidRPr="007122AB">
              <w:rPr>
                <w:rFonts w:ascii="Times New Roman" w:hAnsi="Times New Roman"/>
                <w:color w:val="000000" w:themeColor="text1"/>
                <w:sz w:val="16"/>
                <w:szCs w:val="16"/>
              </w:rPr>
              <w:t xml:space="preserve"> - нормальное за Исключением огнетушителя и инструмента, последний - в счет перегрузки</w:t>
            </w:r>
          </w:p>
          <w:p w14:paraId="686B90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нормально. Компас и зеркало в счет перегрузки, съемные</w:t>
            </w:r>
          </w:p>
        </w:tc>
        <w:tc>
          <w:tcPr>
            <w:tcW w:w="1311" w:type="dxa"/>
          </w:tcPr>
          <w:p w14:paraId="019EC3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 на 7000 м должен быть обеспечен:</w:t>
            </w:r>
          </w:p>
          <w:p w14:paraId="42CDDD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соответствующей мощностью и </w:t>
            </w:r>
            <w:proofErr w:type="spellStart"/>
            <w:r w:rsidRPr="007122AB">
              <w:rPr>
                <w:rFonts w:ascii="Times New Roman" w:hAnsi="Times New Roman"/>
                <w:color w:val="000000" w:themeColor="text1"/>
                <w:sz w:val="16"/>
                <w:szCs w:val="16"/>
              </w:rPr>
              <w:t>высотНостью</w:t>
            </w:r>
            <w:proofErr w:type="spellEnd"/>
            <w:r w:rsidRPr="007122AB">
              <w:rPr>
                <w:rFonts w:ascii="Times New Roman" w:hAnsi="Times New Roman"/>
                <w:color w:val="000000" w:themeColor="text1"/>
                <w:sz w:val="16"/>
                <w:szCs w:val="16"/>
              </w:rPr>
              <w:t xml:space="preserve"> мотора</w:t>
            </w:r>
          </w:p>
          <w:p w14:paraId="6EAD5E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соответствующим для полете на </w:t>
            </w:r>
            <w:proofErr w:type="spellStart"/>
            <w:r w:rsidRPr="007122AB">
              <w:rPr>
                <w:rFonts w:ascii="Times New Roman" w:hAnsi="Times New Roman"/>
                <w:color w:val="000000" w:themeColor="text1"/>
                <w:sz w:val="16"/>
                <w:szCs w:val="16"/>
              </w:rPr>
              <w:t>болЬшой</w:t>
            </w:r>
            <w:proofErr w:type="spellEnd"/>
            <w:r w:rsidRPr="007122AB">
              <w:rPr>
                <w:rFonts w:ascii="Times New Roman" w:hAnsi="Times New Roman"/>
                <w:color w:val="000000" w:themeColor="text1"/>
                <w:sz w:val="16"/>
                <w:szCs w:val="16"/>
              </w:rPr>
              <w:t xml:space="preserve"> высоте горючим</w:t>
            </w:r>
          </w:p>
          <w:p w14:paraId="0BFF0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отеплением экипажа, приборов, вооружения</w:t>
            </w:r>
          </w:p>
          <w:p w14:paraId="50BB7E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специальной одеждой</w:t>
            </w:r>
          </w:p>
          <w:p w14:paraId="43F04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подлежат уточнению по испытанию И12</w:t>
            </w:r>
          </w:p>
        </w:tc>
      </w:tr>
      <w:tr w:rsidR="001002C3" w:rsidRPr="007122AB" w14:paraId="71AD239F" w14:textId="77777777">
        <w:tc>
          <w:tcPr>
            <w:tcW w:w="392" w:type="dxa"/>
          </w:tcPr>
          <w:p w14:paraId="6A6036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992" w:type="dxa"/>
          </w:tcPr>
          <w:p w14:paraId="0824FA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 истребитель</w:t>
            </w:r>
          </w:p>
          <w:p w14:paraId="0DB927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самолет оригинальной схемы/</w:t>
            </w:r>
          </w:p>
        </w:tc>
        <w:tc>
          <w:tcPr>
            <w:tcW w:w="425" w:type="dxa"/>
          </w:tcPr>
          <w:p w14:paraId="1323F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ДИ/1</w:t>
            </w:r>
          </w:p>
        </w:tc>
        <w:tc>
          <w:tcPr>
            <w:tcW w:w="2127" w:type="dxa"/>
          </w:tcPr>
          <w:p w14:paraId="66E90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Активно-наступательный воздушный бой со всеми типами самолетов и воздухоплавательными аппаратами как на фронте, так и в своем тылу</w:t>
            </w:r>
          </w:p>
          <w:p w14:paraId="149B9A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Совместные действия с рейдирующей конницей</w:t>
            </w:r>
          </w:p>
          <w:p w14:paraId="3079E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Полет преимущественно в строю. Бой, основанный на силе своего огня, маневре и внезапности</w:t>
            </w:r>
          </w:p>
          <w:p w14:paraId="502571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горизонтальная скорость на боевой высоте</w:t>
            </w:r>
          </w:p>
          <w:p w14:paraId="4779C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маневренность</w:t>
            </w:r>
          </w:p>
          <w:p w14:paraId="25954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скороподъемность</w:t>
            </w:r>
          </w:p>
        </w:tc>
        <w:tc>
          <w:tcPr>
            <w:tcW w:w="2085" w:type="dxa"/>
          </w:tcPr>
          <w:p w14:paraId="69FCA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Одна автоматическая 20-37 мм пушка для стрельбы вперед и один пулемет на турели</w:t>
            </w:r>
          </w:p>
          <w:p w14:paraId="1CF5D9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снарядов</w:t>
            </w:r>
          </w:p>
          <w:p w14:paraId="1E9BB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Количество </w:t>
            </w:r>
            <w:proofErr w:type="spellStart"/>
            <w:r w:rsidRPr="007122AB">
              <w:rPr>
                <w:rFonts w:ascii="Times New Roman" w:hAnsi="Times New Roman"/>
                <w:color w:val="000000" w:themeColor="text1"/>
                <w:sz w:val="16"/>
                <w:szCs w:val="16"/>
              </w:rPr>
              <w:t>патрогов</w:t>
            </w:r>
            <w:proofErr w:type="spellEnd"/>
            <w:r w:rsidRPr="007122AB">
              <w:rPr>
                <w:rFonts w:ascii="Times New Roman" w:hAnsi="Times New Roman"/>
                <w:color w:val="000000" w:themeColor="text1"/>
                <w:sz w:val="16"/>
                <w:szCs w:val="16"/>
              </w:rPr>
              <w:t xml:space="preserve"> - 1000</w:t>
            </w:r>
          </w:p>
          <w:p w14:paraId="579EFF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счет перегрузки бомб. Нагрузка в 100 кг</w:t>
            </w:r>
          </w:p>
          <w:p w14:paraId="09B68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Варианты:</w:t>
            </w:r>
          </w:p>
          <w:p w14:paraId="3AEEA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1х100</w:t>
            </w:r>
          </w:p>
          <w:p w14:paraId="719506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10х10 </w:t>
            </w:r>
            <w:proofErr w:type="spellStart"/>
            <w:r w:rsidRPr="007122AB">
              <w:rPr>
                <w:rFonts w:ascii="Times New Roman" w:hAnsi="Times New Roman"/>
                <w:color w:val="000000" w:themeColor="text1"/>
                <w:sz w:val="16"/>
                <w:szCs w:val="16"/>
              </w:rPr>
              <w:t>оскол</w:t>
            </w:r>
            <w:proofErr w:type="spellEnd"/>
            <w:r w:rsidRPr="007122AB">
              <w:rPr>
                <w:rFonts w:ascii="Times New Roman" w:hAnsi="Times New Roman"/>
                <w:color w:val="000000" w:themeColor="text1"/>
                <w:sz w:val="16"/>
                <w:szCs w:val="16"/>
              </w:rPr>
              <w:t>. бомб</w:t>
            </w:r>
          </w:p>
          <w:p w14:paraId="7D222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50х2 </w:t>
            </w:r>
            <w:proofErr w:type="spellStart"/>
            <w:r w:rsidRPr="007122AB">
              <w:rPr>
                <w:rFonts w:ascii="Times New Roman" w:hAnsi="Times New Roman"/>
                <w:color w:val="000000" w:themeColor="text1"/>
                <w:sz w:val="16"/>
                <w:szCs w:val="16"/>
              </w:rPr>
              <w:t>оск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дист</w:t>
            </w:r>
            <w:proofErr w:type="spellEnd"/>
            <w:r w:rsidRPr="007122AB">
              <w:rPr>
                <w:rFonts w:ascii="Times New Roman" w:hAnsi="Times New Roman"/>
                <w:color w:val="000000" w:themeColor="text1"/>
                <w:sz w:val="16"/>
                <w:szCs w:val="16"/>
              </w:rPr>
              <w:t xml:space="preserve"> бомб</w:t>
            </w:r>
          </w:p>
          <w:p w14:paraId="223E35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2 </w:t>
            </w:r>
            <w:proofErr w:type="spellStart"/>
            <w:r w:rsidRPr="007122AB">
              <w:rPr>
                <w:rFonts w:ascii="Times New Roman" w:hAnsi="Times New Roman"/>
                <w:color w:val="000000" w:themeColor="text1"/>
                <w:sz w:val="16"/>
                <w:szCs w:val="16"/>
              </w:rPr>
              <w:t>ЗАМа</w:t>
            </w:r>
            <w:proofErr w:type="spellEnd"/>
          </w:p>
        </w:tc>
        <w:tc>
          <w:tcPr>
            <w:tcW w:w="556" w:type="dxa"/>
          </w:tcPr>
          <w:p w14:paraId="47896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5000</w:t>
            </w:r>
          </w:p>
        </w:tc>
        <w:tc>
          <w:tcPr>
            <w:tcW w:w="760" w:type="dxa"/>
          </w:tcPr>
          <w:p w14:paraId="7CDB5B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325-350</w:t>
            </w:r>
          </w:p>
        </w:tc>
        <w:tc>
          <w:tcPr>
            <w:tcW w:w="426" w:type="dxa"/>
          </w:tcPr>
          <w:p w14:paraId="065743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369" w:type="dxa"/>
          </w:tcPr>
          <w:p w14:paraId="5CCA0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в счет перег</w:t>
            </w:r>
            <w:r w:rsidRPr="007122AB">
              <w:rPr>
                <w:rFonts w:ascii="Times New Roman" w:hAnsi="Times New Roman"/>
                <w:color w:val="000000" w:themeColor="text1"/>
                <w:sz w:val="16"/>
                <w:szCs w:val="16"/>
              </w:rPr>
              <w:lastRenderedPageBreak/>
              <w:t>рузки</w:t>
            </w:r>
          </w:p>
        </w:tc>
        <w:tc>
          <w:tcPr>
            <w:tcW w:w="481" w:type="dxa"/>
          </w:tcPr>
          <w:p w14:paraId="4DBA9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400-400 кг</w:t>
            </w:r>
          </w:p>
        </w:tc>
        <w:tc>
          <w:tcPr>
            <w:tcW w:w="1276" w:type="dxa"/>
          </w:tcPr>
          <w:p w14:paraId="09983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нет</w:t>
            </w:r>
          </w:p>
          <w:p w14:paraId="2EBE8D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5F4974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КОСА П (съемная часть в счет перегрузки/</w:t>
            </w:r>
          </w:p>
        </w:tc>
        <w:tc>
          <w:tcPr>
            <w:tcW w:w="1311" w:type="dxa"/>
          </w:tcPr>
          <w:p w14:paraId="20016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Оригинальность схемы - мотор в центре тяжести, самолета, двухбалочный хвост</w:t>
            </w:r>
          </w:p>
        </w:tc>
      </w:tr>
      <w:tr w:rsidR="001002C3" w:rsidRPr="007122AB" w14:paraId="732879B3" w14:textId="77777777">
        <w:tc>
          <w:tcPr>
            <w:tcW w:w="392" w:type="dxa"/>
          </w:tcPr>
          <w:p w14:paraId="1A3C8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992" w:type="dxa"/>
          </w:tcPr>
          <w:p w14:paraId="201C12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Тяжелый штурмовик  /Трехместный, двухмоторной схемы/</w:t>
            </w:r>
          </w:p>
        </w:tc>
        <w:tc>
          <w:tcPr>
            <w:tcW w:w="425" w:type="dxa"/>
          </w:tcPr>
          <w:p w14:paraId="6FFEE5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w:t>
            </w:r>
          </w:p>
        </w:tc>
        <w:tc>
          <w:tcPr>
            <w:tcW w:w="2127" w:type="dxa"/>
          </w:tcPr>
          <w:p w14:paraId="20AEF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Штурмовые действия против живой силы и технических средств противника, как на поле боя, так и в ближайшем его тылу.</w:t>
            </w:r>
          </w:p>
          <w:p w14:paraId="73249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 одиночный и в строю /преимущественно последнее/. Внезапность атаки. Выход на цель с бреющего полета с последующем уходом за прикрытия.</w:t>
            </w:r>
          </w:p>
          <w:p w14:paraId="5D30BF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а/ надежность и </w:t>
            </w:r>
            <w:proofErr w:type="spellStart"/>
            <w:r w:rsidRPr="007122AB">
              <w:rPr>
                <w:rFonts w:ascii="Times New Roman" w:hAnsi="Times New Roman"/>
                <w:color w:val="000000" w:themeColor="text1"/>
                <w:sz w:val="16"/>
                <w:szCs w:val="16"/>
              </w:rPr>
              <w:t>забронированность</w:t>
            </w:r>
            <w:proofErr w:type="spellEnd"/>
          </w:p>
          <w:p w14:paraId="32348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горизонтальная скорость</w:t>
            </w:r>
          </w:p>
          <w:p w14:paraId="2322F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посадочные качества</w:t>
            </w:r>
          </w:p>
          <w:p w14:paraId="0F24C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маневренность</w:t>
            </w:r>
          </w:p>
        </w:tc>
        <w:tc>
          <w:tcPr>
            <w:tcW w:w="2085" w:type="dxa"/>
          </w:tcPr>
          <w:p w14:paraId="10AA0C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 для стрельбы вперед</w:t>
            </w:r>
          </w:p>
          <w:p w14:paraId="66A7A7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пулекмет</w:t>
            </w:r>
            <w:proofErr w:type="spellEnd"/>
            <w:r w:rsidRPr="007122AB">
              <w:rPr>
                <w:rFonts w:ascii="Times New Roman" w:hAnsi="Times New Roman"/>
                <w:color w:val="000000" w:themeColor="text1"/>
                <w:sz w:val="16"/>
                <w:szCs w:val="16"/>
              </w:rPr>
              <w:t xml:space="preserve"> для стрельбы в задней полусфере /на турели/</w:t>
            </w:r>
          </w:p>
          <w:p w14:paraId="48D15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вниз-назад в кабине заднего стрелка.</w:t>
            </w:r>
          </w:p>
          <w:p w14:paraId="2104A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снарядов</w:t>
            </w:r>
          </w:p>
          <w:p w14:paraId="4B722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Количество патронов </w:t>
            </w:r>
            <w:proofErr w:type="spellStart"/>
            <w:r w:rsidRPr="007122AB">
              <w:rPr>
                <w:rFonts w:ascii="Times New Roman" w:hAnsi="Times New Roman"/>
                <w:color w:val="000000" w:themeColor="text1"/>
                <w:sz w:val="16"/>
                <w:szCs w:val="16"/>
              </w:rPr>
              <w:t>соотиветственно</w:t>
            </w:r>
            <w:proofErr w:type="spellEnd"/>
            <w:r w:rsidRPr="007122AB">
              <w:rPr>
                <w:rFonts w:ascii="Times New Roman" w:hAnsi="Times New Roman"/>
                <w:color w:val="000000" w:themeColor="text1"/>
                <w:sz w:val="16"/>
                <w:szCs w:val="16"/>
              </w:rPr>
              <w:t xml:space="preserve"> 750 и 600 шт.</w:t>
            </w:r>
          </w:p>
          <w:p w14:paraId="764CD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нормально 400 кг, с перегрузкой - 800 кг</w:t>
            </w:r>
          </w:p>
          <w:p w14:paraId="7D1863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бомб: 2, 10, 50 кг</w:t>
            </w:r>
          </w:p>
          <w:p w14:paraId="2BA5A1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отсутствии бомб подвеска, соответственных емкостей химической и дымовой аппаратуры </w:t>
            </w:r>
          </w:p>
        </w:tc>
        <w:tc>
          <w:tcPr>
            <w:tcW w:w="556" w:type="dxa"/>
          </w:tcPr>
          <w:p w14:paraId="0C296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0" w:type="dxa"/>
          </w:tcPr>
          <w:p w14:paraId="2CA820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250/300</w:t>
            </w:r>
          </w:p>
        </w:tc>
        <w:tc>
          <w:tcPr>
            <w:tcW w:w="426" w:type="dxa"/>
          </w:tcPr>
          <w:p w14:paraId="48FE35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5B576D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400/800</w:t>
            </w:r>
          </w:p>
        </w:tc>
        <w:tc>
          <w:tcPr>
            <w:tcW w:w="481" w:type="dxa"/>
          </w:tcPr>
          <w:p w14:paraId="44008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4-4,5 час.</w:t>
            </w:r>
          </w:p>
        </w:tc>
        <w:tc>
          <w:tcPr>
            <w:tcW w:w="1276" w:type="dxa"/>
          </w:tcPr>
          <w:p w14:paraId="629EA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КИР /съемная в счет перегрузки/</w:t>
            </w:r>
          </w:p>
          <w:p w14:paraId="7C1413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292A7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Эленктро</w:t>
            </w:r>
            <w:proofErr w:type="spellEnd"/>
            <w:r w:rsidRPr="007122AB">
              <w:rPr>
                <w:rFonts w:ascii="Times New Roman" w:hAnsi="Times New Roman"/>
                <w:color w:val="000000" w:themeColor="text1"/>
                <w:sz w:val="16"/>
                <w:szCs w:val="16"/>
              </w:rPr>
              <w:t xml:space="preserve"> - КАСА Ш /съемная часть в счет перегрузки/.</w:t>
            </w:r>
          </w:p>
          <w:p w14:paraId="5DB368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Вспомогательное - нормально за исключением кислородного прибора</w:t>
            </w:r>
          </w:p>
          <w:p w14:paraId="46CCEB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Аэронпавигация</w:t>
            </w:r>
            <w:proofErr w:type="spellEnd"/>
            <w:r w:rsidRPr="007122AB">
              <w:rPr>
                <w:rFonts w:ascii="Times New Roman" w:hAnsi="Times New Roman"/>
                <w:color w:val="000000" w:themeColor="text1"/>
                <w:sz w:val="16"/>
                <w:szCs w:val="16"/>
              </w:rPr>
              <w:t xml:space="preserve"> - нормально</w:t>
            </w:r>
          </w:p>
        </w:tc>
        <w:tc>
          <w:tcPr>
            <w:tcW w:w="1311" w:type="dxa"/>
          </w:tcPr>
          <w:p w14:paraId="3E703E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Желательна съемная броня. В последнем случае с-т используется и для разведки и бомбометания. Для этих самолетов боевая высота 5000 м</w:t>
            </w:r>
          </w:p>
        </w:tc>
      </w:tr>
      <w:tr w:rsidR="001002C3" w:rsidRPr="007122AB" w14:paraId="6DC3E7B6" w14:textId="77777777">
        <w:tc>
          <w:tcPr>
            <w:tcW w:w="392" w:type="dxa"/>
          </w:tcPr>
          <w:p w14:paraId="72D1C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992" w:type="dxa"/>
          </w:tcPr>
          <w:p w14:paraId="7562C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Химический боевик тяжелый /</w:t>
            </w:r>
            <w:proofErr w:type="spellStart"/>
            <w:r w:rsidRPr="007122AB">
              <w:rPr>
                <w:rFonts w:ascii="Times New Roman" w:hAnsi="Times New Roman"/>
                <w:color w:val="000000" w:themeColor="text1"/>
                <w:sz w:val="16"/>
                <w:szCs w:val="16"/>
              </w:rPr>
              <w:t>летающшая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цмсцерна</w:t>
            </w:r>
            <w:proofErr w:type="spellEnd"/>
            <w:r w:rsidRPr="007122AB">
              <w:rPr>
                <w:rFonts w:ascii="Times New Roman" w:hAnsi="Times New Roman"/>
                <w:color w:val="000000" w:themeColor="text1"/>
                <w:sz w:val="16"/>
                <w:szCs w:val="16"/>
              </w:rPr>
              <w:t>/</w:t>
            </w:r>
          </w:p>
        </w:tc>
        <w:tc>
          <w:tcPr>
            <w:tcW w:w="425" w:type="dxa"/>
          </w:tcPr>
          <w:p w14:paraId="6A4D1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w:t>
            </w:r>
          </w:p>
        </w:tc>
        <w:tc>
          <w:tcPr>
            <w:tcW w:w="2127" w:type="dxa"/>
          </w:tcPr>
          <w:p w14:paraId="2A59C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Заражение ОВ живой силы </w:t>
            </w:r>
            <w:proofErr w:type="spellStart"/>
            <w:r w:rsidRPr="007122AB">
              <w:rPr>
                <w:rFonts w:ascii="Times New Roman" w:hAnsi="Times New Roman"/>
                <w:color w:val="000000" w:themeColor="text1"/>
                <w:sz w:val="16"/>
                <w:szCs w:val="16"/>
              </w:rPr>
              <w:t>протиивника</w:t>
            </w:r>
            <w:proofErr w:type="spellEnd"/>
            <w:r w:rsidRPr="007122AB">
              <w:rPr>
                <w:rFonts w:ascii="Times New Roman" w:hAnsi="Times New Roman"/>
                <w:color w:val="000000" w:themeColor="text1"/>
                <w:sz w:val="16"/>
                <w:szCs w:val="16"/>
              </w:rPr>
              <w:t xml:space="preserve">, его ж/д узлов, </w:t>
            </w:r>
            <w:proofErr w:type="spellStart"/>
            <w:r w:rsidRPr="007122AB">
              <w:rPr>
                <w:rFonts w:ascii="Times New Roman" w:hAnsi="Times New Roman"/>
                <w:color w:val="000000" w:themeColor="text1"/>
                <w:sz w:val="16"/>
                <w:szCs w:val="16"/>
              </w:rPr>
              <w:t>аэрожромов</w:t>
            </w:r>
            <w:proofErr w:type="spellEnd"/>
            <w:r w:rsidRPr="007122AB">
              <w:rPr>
                <w:rFonts w:ascii="Times New Roman" w:hAnsi="Times New Roman"/>
                <w:color w:val="000000" w:themeColor="text1"/>
                <w:sz w:val="16"/>
                <w:szCs w:val="16"/>
              </w:rPr>
              <w:t xml:space="preserve"> и других объектов. Постановка </w:t>
            </w:r>
            <w:proofErr w:type="spellStart"/>
            <w:r w:rsidRPr="007122AB">
              <w:rPr>
                <w:rFonts w:ascii="Times New Roman" w:hAnsi="Times New Roman"/>
                <w:color w:val="000000" w:themeColor="text1"/>
                <w:sz w:val="16"/>
                <w:szCs w:val="16"/>
              </w:rPr>
              <w:t>дымзавес</w:t>
            </w:r>
            <w:proofErr w:type="spellEnd"/>
            <w:r w:rsidRPr="007122AB">
              <w:rPr>
                <w:rFonts w:ascii="Times New Roman" w:hAnsi="Times New Roman"/>
                <w:color w:val="000000" w:themeColor="text1"/>
                <w:sz w:val="16"/>
                <w:szCs w:val="16"/>
              </w:rPr>
              <w:t xml:space="preserve"> на земле</w:t>
            </w:r>
          </w:p>
          <w:p w14:paraId="523C6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Переброска горючего для своих авиачастей</w:t>
            </w:r>
          </w:p>
          <w:p w14:paraId="724CA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в одиночку и в строю. Бой - оборонительный. Применение преимущественно ночью</w:t>
            </w:r>
          </w:p>
          <w:p w14:paraId="00E4F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максимальная емкость</w:t>
            </w:r>
          </w:p>
          <w:p w14:paraId="6ABFF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посадочные качества</w:t>
            </w:r>
          </w:p>
          <w:p w14:paraId="62097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горизонтальная скорость</w:t>
            </w:r>
          </w:p>
        </w:tc>
        <w:tc>
          <w:tcPr>
            <w:tcW w:w="2085" w:type="dxa"/>
          </w:tcPr>
          <w:p w14:paraId="20A34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вперед в кабине стрелка-химика</w:t>
            </w:r>
          </w:p>
          <w:p w14:paraId="31FF1B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в задней полусфере</w:t>
            </w:r>
          </w:p>
          <w:p w14:paraId="22D53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соответственно 500 и 750</w:t>
            </w:r>
          </w:p>
          <w:p w14:paraId="68F2D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Сбрасываемого груза - нет</w:t>
            </w:r>
          </w:p>
          <w:p w14:paraId="468F85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Вылливаемый</w:t>
            </w:r>
            <w:proofErr w:type="spellEnd"/>
            <w:r w:rsidRPr="007122AB">
              <w:rPr>
                <w:rFonts w:ascii="Times New Roman" w:hAnsi="Times New Roman"/>
                <w:color w:val="000000" w:themeColor="text1"/>
                <w:sz w:val="16"/>
                <w:szCs w:val="16"/>
              </w:rPr>
              <w:t xml:space="preserve"> груз 2000 кг</w:t>
            </w:r>
          </w:p>
        </w:tc>
        <w:tc>
          <w:tcPr>
            <w:tcW w:w="556" w:type="dxa"/>
          </w:tcPr>
          <w:p w14:paraId="0B027C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3000-4000</w:t>
            </w:r>
          </w:p>
        </w:tc>
        <w:tc>
          <w:tcPr>
            <w:tcW w:w="760" w:type="dxa"/>
          </w:tcPr>
          <w:p w14:paraId="797AF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200-250</w:t>
            </w:r>
          </w:p>
        </w:tc>
        <w:tc>
          <w:tcPr>
            <w:tcW w:w="426" w:type="dxa"/>
          </w:tcPr>
          <w:p w14:paraId="7DB6F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6F4FA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481" w:type="dxa"/>
          </w:tcPr>
          <w:p w14:paraId="5DCBB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276" w:type="dxa"/>
          </w:tcPr>
          <w:p w14:paraId="6B8782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нет</w:t>
            </w:r>
          </w:p>
          <w:p w14:paraId="48A3E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Фото - нет3.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КАСА П</w:t>
            </w:r>
          </w:p>
          <w:p w14:paraId="52838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Вспомогательное - нормально за исключением кислородного прибора</w:t>
            </w:r>
          </w:p>
          <w:p w14:paraId="1B795F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Аэронпавигация</w:t>
            </w:r>
            <w:proofErr w:type="spellEnd"/>
            <w:r w:rsidRPr="007122AB">
              <w:rPr>
                <w:rFonts w:ascii="Times New Roman" w:hAnsi="Times New Roman"/>
                <w:color w:val="000000" w:themeColor="text1"/>
                <w:sz w:val="16"/>
                <w:szCs w:val="16"/>
              </w:rPr>
              <w:t xml:space="preserve"> - нормально</w:t>
            </w:r>
          </w:p>
        </w:tc>
        <w:tc>
          <w:tcPr>
            <w:tcW w:w="1311" w:type="dxa"/>
          </w:tcPr>
          <w:p w14:paraId="1A615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 моторная схема</w:t>
            </w:r>
          </w:p>
          <w:p w14:paraId="24084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строительстве </w:t>
            </w:r>
            <w:proofErr w:type="spellStart"/>
            <w:r w:rsidRPr="007122AB">
              <w:rPr>
                <w:rFonts w:ascii="Times New Roman" w:hAnsi="Times New Roman"/>
                <w:color w:val="000000" w:themeColor="text1"/>
                <w:sz w:val="16"/>
                <w:szCs w:val="16"/>
              </w:rPr>
              <w:t>м.б.</w:t>
            </w:r>
            <w:proofErr w:type="spellEnd"/>
            <w:r w:rsidRPr="007122AB">
              <w:rPr>
                <w:rFonts w:ascii="Times New Roman" w:hAnsi="Times New Roman"/>
                <w:color w:val="000000" w:themeColor="text1"/>
                <w:sz w:val="16"/>
                <w:szCs w:val="16"/>
              </w:rPr>
              <w:t xml:space="preserve"> отнесен к “особой группе”</w:t>
            </w:r>
          </w:p>
        </w:tc>
      </w:tr>
      <w:tr w:rsidR="001002C3" w:rsidRPr="007122AB" w14:paraId="00F35669" w14:textId="77777777">
        <w:tc>
          <w:tcPr>
            <w:tcW w:w="392" w:type="dxa"/>
          </w:tcPr>
          <w:p w14:paraId="0F9D17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18</w:t>
            </w:r>
            <w:r w:rsidRPr="007122AB">
              <w:rPr>
                <w:rFonts w:ascii="Times New Roman" w:hAnsi="Times New Roman"/>
                <w:color w:val="000000" w:themeColor="text1"/>
                <w:sz w:val="16"/>
                <w:szCs w:val="16"/>
              </w:rPr>
              <w:t>.</w:t>
            </w:r>
          </w:p>
        </w:tc>
        <w:tc>
          <w:tcPr>
            <w:tcW w:w="992" w:type="dxa"/>
          </w:tcPr>
          <w:p w14:paraId="18A5B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Сверхтяжелвй</w:t>
            </w:r>
            <w:proofErr w:type="spellEnd"/>
            <w:r w:rsidRPr="007122AB">
              <w:rPr>
                <w:rFonts w:ascii="Times New Roman" w:hAnsi="Times New Roman"/>
                <w:color w:val="000000" w:themeColor="text1"/>
                <w:sz w:val="16"/>
                <w:szCs w:val="16"/>
              </w:rPr>
              <w:t xml:space="preserve"> бомбардировщик /летающее крыло/</w:t>
            </w:r>
          </w:p>
        </w:tc>
        <w:tc>
          <w:tcPr>
            <w:tcW w:w="425" w:type="dxa"/>
          </w:tcPr>
          <w:p w14:paraId="28128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СТБ/3</w:t>
            </w:r>
          </w:p>
        </w:tc>
        <w:tc>
          <w:tcPr>
            <w:tcW w:w="2127" w:type="dxa"/>
          </w:tcPr>
          <w:p w14:paraId="69434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Разрушение и уничтожение объектов противника исключительной государственной важности (Мальта, Суэц)</w:t>
            </w:r>
          </w:p>
          <w:p w14:paraId="541B50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одиночным и в строю. Бой оборонительный с максимальным использованием мощи своего преимущественно артиллерийского огня</w:t>
            </w:r>
          </w:p>
          <w:p w14:paraId="36E16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грузоподъемность</w:t>
            </w:r>
          </w:p>
          <w:p w14:paraId="00020A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дальность действия</w:t>
            </w:r>
          </w:p>
          <w:p w14:paraId="6955B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огневая независимость</w:t>
            </w:r>
          </w:p>
        </w:tc>
        <w:tc>
          <w:tcPr>
            <w:tcW w:w="2085" w:type="dxa"/>
          </w:tcPr>
          <w:p w14:paraId="17673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Стрелковое и пушечное вооружение, обеспечивающее , с одной стороны, сферический полный обстрел, с другой, - борьбу как на близких, так и дальних дистанциях. Схема вооружения и </w:t>
            </w:r>
            <w:proofErr w:type="spellStart"/>
            <w:r w:rsidRPr="007122AB">
              <w:rPr>
                <w:rFonts w:ascii="Times New Roman" w:hAnsi="Times New Roman"/>
                <w:color w:val="000000" w:themeColor="text1"/>
                <w:sz w:val="16"/>
                <w:szCs w:val="16"/>
              </w:rPr>
              <w:t>кго</w:t>
            </w:r>
            <w:proofErr w:type="spellEnd"/>
            <w:r w:rsidRPr="007122AB">
              <w:rPr>
                <w:rFonts w:ascii="Times New Roman" w:hAnsi="Times New Roman"/>
                <w:color w:val="000000" w:themeColor="text1"/>
                <w:sz w:val="16"/>
                <w:szCs w:val="16"/>
              </w:rPr>
              <w:t xml:space="preserve"> количество утверждаются УВВС перед началом проектирования.</w:t>
            </w:r>
          </w:p>
          <w:p w14:paraId="6E2095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 25000. Калибр бомб 1000 и 2000 кг.</w:t>
            </w:r>
          </w:p>
          <w:p w14:paraId="73032D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Требование сбрасывания всего груза одновременно и сериями</w:t>
            </w:r>
          </w:p>
        </w:tc>
        <w:tc>
          <w:tcPr>
            <w:tcW w:w="556" w:type="dxa"/>
          </w:tcPr>
          <w:p w14:paraId="5BF190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760" w:type="dxa"/>
          </w:tcPr>
          <w:p w14:paraId="5D4FA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426" w:type="dxa"/>
          </w:tcPr>
          <w:p w14:paraId="54C895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369" w:type="dxa"/>
          </w:tcPr>
          <w:p w14:paraId="2E2CB1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25000</w:t>
            </w:r>
          </w:p>
        </w:tc>
        <w:tc>
          <w:tcPr>
            <w:tcW w:w="481" w:type="dxa"/>
          </w:tcPr>
          <w:p w14:paraId="03AB77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w:t>
            </w:r>
          </w:p>
        </w:tc>
        <w:tc>
          <w:tcPr>
            <w:tcW w:w="1276" w:type="dxa"/>
          </w:tcPr>
          <w:p w14:paraId="6407D9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Оборудование самолета подлежит специальной разработке перед началом проектирования</w:t>
            </w:r>
          </w:p>
        </w:tc>
        <w:tc>
          <w:tcPr>
            <w:tcW w:w="1311" w:type="dxa"/>
          </w:tcPr>
          <w:p w14:paraId="1C239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 строительстве совмещается с самолетом ГВФ</w:t>
            </w:r>
          </w:p>
          <w:p w14:paraId="1DB4E4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Желательно осуществить постановку на самолете нефтяных двигателей</w:t>
            </w:r>
          </w:p>
          <w:p w14:paraId="3FBAEB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Высказывается мысль, что этот тип самолета может обслуживаться малыми быстроходными самолетами - истребителями, на нем подвешенными</w:t>
            </w:r>
          </w:p>
        </w:tc>
      </w:tr>
      <w:tr w:rsidR="001002C3" w:rsidRPr="007122AB" w14:paraId="2A22DF3E" w14:textId="77777777">
        <w:tc>
          <w:tcPr>
            <w:tcW w:w="392" w:type="dxa"/>
          </w:tcPr>
          <w:p w14:paraId="1246A0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99B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A665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B9821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 Самолеты особой группы</w:t>
            </w:r>
          </w:p>
        </w:tc>
        <w:tc>
          <w:tcPr>
            <w:tcW w:w="2085" w:type="dxa"/>
          </w:tcPr>
          <w:p w14:paraId="264BE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48FA2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407E4D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87806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3FAD7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7E0E5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71C9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702081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0B9DD49" w14:textId="77777777">
        <w:tc>
          <w:tcPr>
            <w:tcW w:w="392" w:type="dxa"/>
          </w:tcPr>
          <w:p w14:paraId="16DB0C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992" w:type="dxa"/>
          </w:tcPr>
          <w:p w14:paraId="6C8E1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Таран</w:t>
            </w:r>
          </w:p>
        </w:tc>
        <w:tc>
          <w:tcPr>
            <w:tcW w:w="425" w:type="dxa"/>
          </w:tcPr>
          <w:p w14:paraId="22878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ТА/1</w:t>
            </w:r>
          </w:p>
        </w:tc>
        <w:tc>
          <w:tcPr>
            <w:tcW w:w="2127" w:type="dxa"/>
          </w:tcPr>
          <w:p w14:paraId="43EE61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Таранные действия исключительно против тяжелых и </w:t>
            </w:r>
            <w:proofErr w:type="spellStart"/>
            <w:r w:rsidRPr="007122AB">
              <w:rPr>
                <w:rFonts w:ascii="Times New Roman" w:hAnsi="Times New Roman"/>
                <w:color w:val="000000" w:themeColor="text1"/>
                <w:sz w:val="16"/>
                <w:szCs w:val="16"/>
              </w:rPr>
              <w:t>сверхтяжеых</w:t>
            </w:r>
            <w:proofErr w:type="spellEnd"/>
            <w:r w:rsidRPr="007122AB">
              <w:rPr>
                <w:rFonts w:ascii="Times New Roman" w:hAnsi="Times New Roman"/>
                <w:color w:val="000000" w:themeColor="text1"/>
                <w:sz w:val="16"/>
                <w:szCs w:val="16"/>
              </w:rPr>
              <w:t xml:space="preserve"> бомбардировщиков противника и его гигантов-дирижаблей. Работа над объектами исключительной государственной важности.</w:t>
            </w:r>
          </w:p>
          <w:p w14:paraId="2B109A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 одиночный. Внезапность</w:t>
            </w:r>
          </w:p>
          <w:p w14:paraId="37081C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скорость</w:t>
            </w:r>
          </w:p>
          <w:p w14:paraId="4D4A8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скороподъемность</w:t>
            </w:r>
          </w:p>
          <w:p w14:paraId="3FA32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сохранение жизни летчику</w:t>
            </w:r>
          </w:p>
        </w:tc>
        <w:tc>
          <w:tcPr>
            <w:tcW w:w="2085" w:type="dxa"/>
          </w:tcPr>
          <w:p w14:paraId="72144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Стрелковое вооружение - отсутствует</w:t>
            </w:r>
          </w:p>
          <w:p w14:paraId="0F1A5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счет перегрузки 2 </w:t>
            </w:r>
            <w:proofErr w:type="spellStart"/>
            <w:r w:rsidRPr="007122AB">
              <w:rPr>
                <w:rFonts w:ascii="Times New Roman" w:hAnsi="Times New Roman"/>
                <w:color w:val="000000" w:themeColor="text1"/>
                <w:sz w:val="16"/>
                <w:szCs w:val="16"/>
              </w:rPr>
              <w:t>ЗАМа</w:t>
            </w:r>
            <w:proofErr w:type="spellEnd"/>
          </w:p>
        </w:tc>
        <w:tc>
          <w:tcPr>
            <w:tcW w:w="556" w:type="dxa"/>
          </w:tcPr>
          <w:p w14:paraId="01910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60" w:type="dxa"/>
          </w:tcPr>
          <w:p w14:paraId="32FF90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более 300</w:t>
            </w:r>
          </w:p>
        </w:tc>
        <w:tc>
          <w:tcPr>
            <w:tcW w:w="426" w:type="dxa"/>
          </w:tcPr>
          <w:p w14:paraId="11622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 достижимая</w:t>
            </w:r>
          </w:p>
        </w:tc>
        <w:tc>
          <w:tcPr>
            <w:tcW w:w="369" w:type="dxa"/>
          </w:tcPr>
          <w:p w14:paraId="7E19F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в счет перегрузки</w:t>
            </w:r>
          </w:p>
        </w:tc>
        <w:tc>
          <w:tcPr>
            <w:tcW w:w="481" w:type="dxa"/>
          </w:tcPr>
          <w:p w14:paraId="442EC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ч.</w:t>
            </w:r>
          </w:p>
        </w:tc>
        <w:tc>
          <w:tcPr>
            <w:tcW w:w="1276" w:type="dxa"/>
          </w:tcPr>
          <w:p w14:paraId="51EC5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нет</w:t>
            </w:r>
          </w:p>
          <w:p w14:paraId="7299E0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1441B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нет</w:t>
            </w:r>
          </w:p>
          <w:p w14:paraId="37EBBE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Впомогат</w:t>
            </w:r>
            <w:proofErr w:type="spellEnd"/>
            <w:r w:rsidRPr="007122AB">
              <w:rPr>
                <w:rFonts w:ascii="Times New Roman" w:hAnsi="Times New Roman"/>
                <w:color w:val="000000" w:themeColor="text1"/>
                <w:sz w:val="16"/>
                <w:szCs w:val="16"/>
              </w:rPr>
              <w:t>. - нет</w:t>
            </w:r>
          </w:p>
          <w:p w14:paraId="6A028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по спец. Перечню, минимальное</w:t>
            </w:r>
          </w:p>
        </w:tc>
        <w:tc>
          <w:tcPr>
            <w:tcW w:w="1311" w:type="dxa"/>
          </w:tcPr>
          <w:p w14:paraId="7F28F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DAD8C6" w14:textId="77777777">
        <w:tc>
          <w:tcPr>
            <w:tcW w:w="392" w:type="dxa"/>
          </w:tcPr>
          <w:p w14:paraId="556B16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w:t>
            </w:r>
          </w:p>
        </w:tc>
        <w:tc>
          <w:tcPr>
            <w:tcW w:w="992" w:type="dxa"/>
          </w:tcPr>
          <w:p w14:paraId="08457C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Бронированный истребител</w:t>
            </w:r>
            <w:r w:rsidRPr="007122AB">
              <w:rPr>
                <w:rFonts w:ascii="Times New Roman" w:hAnsi="Times New Roman"/>
                <w:color w:val="000000" w:themeColor="text1"/>
                <w:sz w:val="16"/>
                <w:szCs w:val="16"/>
              </w:rPr>
              <w:lastRenderedPageBreak/>
              <w:t>ь /миноносец/</w:t>
            </w:r>
          </w:p>
        </w:tc>
        <w:tc>
          <w:tcPr>
            <w:tcW w:w="425" w:type="dxa"/>
          </w:tcPr>
          <w:p w14:paraId="6CD63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М/2</w:t>
            </w:r>
          </w:p>
        </w:tc>
        <w:tc>
          <w:tcPr>
            <w:tcW w:w="2127" w:type="dxa"/>
          </w:tcPr>
          <w:p w14:paraId="71250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Активно-наступательный бой со всеми типами самолетов, вооруженными </w:t>
            </w:r>
            <w:r w:rsidRPr="007122AB">
              <w:rPr>
                <w:rFonts w:ascii="Times New Roman" w:hAnsi="Times New Roman"/>
                <w:color w:val="000000" w:themeColor="text1"/>
                <w:sz w:val="16"/>
                <w:szCs w:val="16"/>
              </w:rPr>
              <w:lastRenderedPageBreak/>
              <w:t>огневыми средствами дальнего действия</w:t>
            </w:r>
          </w:p>
          <w:p w14:paraId="342AC7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Полет одиночный. Выпуск по строю противника </w:t>
            </w:r>
            <w:proofErr w:type="spellStart"/>
            <w:r w:rsidRPr="007122AB">
              <w:rPr>
                <w:rFonts w:ascii="Times New Roman" w:hAnsi="Times New Roman"/>
                <w:color w:val="000000" w:themeColor="text1"/>
                <w:sz w:val="16"/>
                <w:szCs w:val="16"/>
              </w:rPr>
              <w:t>ЗАМов</w:t>
            </w:r>
            <w:proofErr w:type="spellEnd"/>
            <w:r w:rsidRPr="007122AB">
              <w:rPr>
                <w:rFonts w:ascii="Times New Roman" w:hAnsi="Times New Roman"/>
                <w:color w:val="000000" w:themeColor="text1"/>
                <w:sz w:val="16"/>
                <w:szCs w:val="16"/>
              </w:rPr>
              <w:t xml:space="preserve"> с дальних дистанций (до 4 км). Внезапное сближение с противником с последующем быстрым и резким выходом из поражаемой огнем противника зоны</w:t>
            </w:r>
          </w:p>
          <w:p w14:paraId="6836E5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горизонтальная скорость</w:t>
            </w:r>
          </w:p>
          <w:p w14:paraId="1D0F9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маневренность</w:t>
            </w:r>
          </w:p>
          <w:p w14:paraId="796B9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скороподъемность</w:t>
            </w:r>
          </w:p>
        </w:tc>
        <w:tc>
          <w:tcPr>
            <w:tcW w:w="2085" w:type="dxa"/>
          </w:tcPr>
          <w:p w14:paraId="2F83C9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4 пулемета для стрельбы вперед</w:t>
            </w:r>
          </w:p>
          <w:p w14:paraId="6DD232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пулемет для стрельбы назад</w:t>
            </w:r>
          </w:p>
          <w:p w14:paraId="33FABA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Количество </w:t>
            </w:r>
            <w:proofErr w:type="spellStart"/>
            <w:r w:rsidRPr="007122AB">
              <w:rPr>
                <w:rFonts w:ascii="Times New Roman" w:hAnsi="Times New Roman"/>
                <w:color w:val="000000" w:themeColor="text1"/>
                <w:sz w:val="16"/>
                <w:szCs w:val="16"/>
              </w:rPr>
              <w:t>патрогов</w:t>
            </w:r>
            <w:proofErr w:type="spellEnd"/>
            <w:r w:rsidRPr="007122AB">
              <w:rPr>
                <w:rFonts w:ascii="Times New Roman" w:hAnsi="Times New Roman"/>
                <w:color w:val="000000" w:themeColor="text1"/>
                <w:sz w:val="16"/>
                <w:szCs w:val="16"/>
              </w:rPr>
              <w:t xml:space="preserve"> 500х4 и 750 соответственно</w:t>
            </w:r>
          </w:p>
          <w:p w14:paraId="34DA2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счет перегрузки 2 </w:t>
            </w:r>
            <w:proofErr w:type="spellStart"/>
            <w:r w:rsidRPr="007122AB">
              <w:rPr>
                <w:rFonts w:ascii="Times New Roman" w:hAnsi="Times New Roman"/>
                <w:color w:val="000000" w:themeColor="text1"/>
                <w:sz w:val="16"/>
                <w:szCs w:val="16"/>
              </w:rPr>
              <w:t>ЗАМа</w:t>
            </w:r>
            <w:proofErr w:type="spellEnd"/>
          </w:p>
        </w:tc>
        <w:tc>
          <w:tcPr>
            <w:tcW w:w="556" w:type="dxa"/>
          </w:tcPr>
          <w:p w14:paraId="30560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5000</w:t>
            </w:r>
          </w:p>
        </w:tc>
        <w:tc>
          <w:tcPr>
            <w:tcW w:w="760" w:type="dxa"/>
          </w:tcPr>
          <w:p w14:paraId="6F9D5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w:t>
            </w:r>
          </w:p>
        </w:tc>
        <w:tc>
          <w:tcPr>
            <w:tcW w:w="426" w:type="dxa"/>
          </w:tcPr>
          <w:p w14:paraId="02945E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369" w:type="dxa"/>
          </w:tcPr>
          <w:p w14:paraId="10FCC3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481" w:type="dxa"/>
          </w:tcPr>
          <w:p w14:paraId="4BD99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w:t>
            </w:r>
          </w:p>
        </w:tc>
        <w:tc>
          <w:tcPr>
            <w:tcW w:w="1276" w:type="dxa"/>
          </w:tcPr>
          <w:p w14:paraId="765A84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Радио - КИР /съемный в </w:t>
            </w:r>
            <w:r w:rsidRPr="007122AB">
              <w:rPr>
                <w:rFonts w:ascii="Times New Roman" w:hAnsi="Times New Roman"/>
                <w:color w:val="000000" w:themeColor="text1"/>
                <w:sz w:val="16"/>
                <w:szCs w:val="16"/>
              </w:rPr>
              <w:lastRenderedPageBreak/>
              <w:t>счет перегрузки/</w:t>
            </w:r>
          </w:p>
          <w:p w14:paraId="09A6D0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Фото - нет</w:t>
            </w:r>
          </w:p>
          <w:p w14:paraId="5F8643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КАСА П /съемная часть в счет перегрузки/</w:t>
            </w:r>
          </w:p>
          <w:p w14:paraId="3CE2F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Вспомогат</w:t>
            </w:r>
            <w:proofErr w:type="spellEnd"/>
            <w:r w:rsidRPr="007122AB">
              <w:rPr>
                <w:rFonts w:ascii="Times New Roman" w:hAnsi="Times New Roman"/>
                <w:color w:val="000000" w:themeColor="text1"/>
                <w:sz w:val="16"/>
                <w:szCs w:val="16"/>
              </w:rPr>
              <w:t>. - нормальное, кроме отсутствующего огнетушителя</w:t>
            </w:r>
          </w:p>
          <w:p w14:paraId="693041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Аэронавигация - нормальная</w:t>
            </w:r>
          </w:p>
        </w:tc>
        <w:tc>
          <w:tcPr>
            <w:tcW w:w="1311" w:type="dxa"/>
          </w:tcPr>
          <w:p w14:paraId="7B431D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EF65BDB" w14:textId="77777777">
        <w:tc>
          <w:tcPr>
            <w:tcW w:w="392" w:type="dxa"/>
          </w:tcPr>
          <w:p w14:paraId="5EBB1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992" w:type="dxa"/>
          </w:tcPr>
          <w:p w14:paraId="497A9F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Армейский разведчик /исключительно скоростной/</w:t>
            </w:r>
          </w:p>
        </w:tc>
        <w:tc>
          <w:tcPr>
            <w:tcW w:w="425" w:type="dxa"/>
          </w:tcPr>
          <w:p w14:paraId="004B7A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2127" w:type="dxa"/>
          </w:tcPr>
          <w:p w14:paraId="6A940B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Разведка глубокого тыла противника с целью выявления его оперативно-стратегических намерений /инженерная подготовка театров, ж/д переброски, разведка аэродромов противника “по следу” и т.п./</w:t>
            </w:r>
          </w:p>
          <w:p w14:paraId="4C8BC0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Полет одиночный. Быстрота проникновения в глубокий тыл противника. Бой - исключение.</w:t>
            </w:r>
          </w:p>
          <w:p w14:paraId="28657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а/ горизонтальная скорость</w:t>
            </w:r>
          </w:p>
          <w:p w14:paraId="5833E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дальность</w:t>
            </w:r>
          </w:p>
        </w:tc>
        <w:tc>
          <w:tcPr>
            <w:tcW w:w="2085" w:type="dxa"/>
          </w:tcPr>
          <w:p w14:paraId="5B546D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пулемет для стрельбы вперед</w:t>
            </w:r>
          </w:p>
          <w:p w14:paraId="50EDF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патронов - 250</w:t>
            </w:r>
          </w:p>
        </w:tc>
        <w:tc>
          <w:tcPr>
            <w:tcW w:w="556" w:type="dxa"/>
          </w:tcPr>
          <w:p w14:paraId="534F04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3000-4000</w:t>
            </w:r>
          </w:p>
        </w:tc>
        <w:tc>
          <w:tcPr>
            <w:tcW w:w="760" w:type="dxa"/>
          </w:tcPr>
          <w:p w14:paraId="196D2B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более 400</w:t>
            </w:r>
          </w:p>
        </w:tc>
        <w:tc>
          <w:tcPr>
            <w:tcW w:w="426" w:type="dxa"/>
          </w:tcPr>
          <w:p w14:paraId="0C1FF9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 достижимая</w:t>
            </w:r>
          </w:p>
        </w:tc>
        <w:tc>
          <w:tcPr>
            <w:tcW w:w="369" w:type="dxa"/>
          </w:tcPr>
          <w:p w14:paraId="41B0D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81" w:type="dxa"/>
          </w:tcPr>
          <w:p w14:paraId="37E7DA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276" w:type="dxa"/>
          </w:tcPr>
          <w:p w14:paraId="54B86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Радио - нет</w:t>
            </w:r>
          </w:p>
          <w:p w14:paraId="4092F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Фото - аппарат </w:t>
            </w:r>
            <w:proofErr w:type="spellStart"/>
            <w:r w:rsidRPr="007122AB">
              <w:rPr>
                <w:rFonts w:ascii="Times New Roman" w:hAnsi="Times New Roman"/>
                <w:color w:val="000000" w:themeColor="text1"/>
                <w:sz w:val="16"/>
                <w:szCs w:val="16"/>
              </w:rPr>
              <w:t>ВООМПа</w:t>
            </w:r>
            <w:proofErr w:type="spellEnd"/>
          </w:p>
          <w:p w14:paraId="60D4C5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 КОСА 1 /съемная часть за счет перегрузки/</w:t>
            </w:r>
          </w:p>
          <w:p w14:paraId="5D9FC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Вспосогательное</w:t>
            </w:r>
            <w:proofErr w:type="spellEnd"/>
            <w:r w:rsidRPr="007122AB">
              <w:rPr>
                <w:rFonts w:ascii="Times New Roman" w:hAnsi="Times New Roman"/>
                <w:color w:val="000000" w:themeColor="text1"/>
                <w:sz w:val="16"/>
                <w:szCs w:val="16"/>
              </w:rPr>
              <w:t xml:space="preserve"> - нормальное</w:t>
            </w:r>
          </w:p>
          <w:p w14:paraId="56647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Аэронавигационное - нормальное</w:t>
            </w:r>
          </w:p>
        </w:tc>
        <w:tc>
          <w:tcPr>
            <w:tcW w:w="1311" w:type="dxa"/>
          </w:tcPr>
          <w:p w14:paraId="67D9F0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Горизонтальная скорость и повышенная нагрузка горючим </w:t>
            </w:r>
            <w:proofErr w:type="spellStart"/>
            <w:r w:rsidRPr="007122AB">
              <w:rPr>
                <w:rFonts w:ascii="Times New Roman" w:hAnsi="Times New Roman"/>
                <w:color w:val="000000" w:themeColor="text1"/>
                <w:sz w:val="16"/>
                <w:szCs w:val="16"/>
              </w:rPr>
              <w:t>достиган</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ется</w:t>
            </w:r>
            <w:proofErr w:type="spellEnd"/>
            <w:r w:rsidRPr="007122AB">
              <w:rPr>
                <w:rFonts w:ascii="Times New Roman" w:hAnsi="Times New Roman"/>
                <w:color w:val="000000" w:themeColor="text1"/>
                <w:sz w:val="16"/>
                <w:szCs w:val="16"/>
              </w:rPr>
              <w:t xml:space="preserve"> за счет: минимального вооружения, минимального оборудования. Снижения маневренных качеств /снижение норм прочности/ и повышения нагрузки на метр несущей поверхности</w:t>
            </w:r>
          </w:p>
        </w:tc>
      </w:tr>
      <w:tr w:rsidR="001002C3" w:rsidRPr="007122AB" w14:paraId="73C99CB7" w14:textId="77777777">
        <w:tc>
          <w:tcPr>
            <w:tcW w:w="392" w:type="dxa"/>
          </w:tcPr>
          <w:p w14:paraId="3C2EB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A65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7B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C0F6C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 Самолеты экспериментально-технические</w:t>
            </w:r>
          </w:p>
        </w:tc>
        <w:tc>
          <w:tcPr>
            <w:tcW w:w="2085" w:type="dxa"/>
          </w:tcPr>
          <w:p w14:paraId="36CB48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FAF1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C4A4D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9991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026A9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DA78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DEE8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26BF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0912EAE" w14:textId="77777777">
        <w:tc>
          <w:tcPr>
            <w:tcW w:w="392" w:type="dxa"/>
          </w:tcPr>
          <w:p w14:paraId="188DF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992" w:type="dxa"/>
          </w:tcPr>
          <w:p w14:paraId="1A031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 самолет Э1</w:t>
            </w:r>
          </w:p>
        </w:tc>
        <w:tc>
          <w:tcPr>
            <w:tcW w:w="425" w:type="dxa"/>
          </w:tcPr>
          <w:p w14:paraId="0350A1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Э1/3</w:t>
            </w:r>
          </w:p>
        </w:tc>
        <w:tc>
          <w:tcPr>
            <w:tcW w:w="2127" w:type="dxa"/>
          </w:tcPr>
          <w:p w14:paraId="4741A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C599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54727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46B6A3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7BDA2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100E2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9FAD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628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5913C7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из нержавеющей стали.</w:t>
            </w:r>
          </w:p>
          <w:p w14:paraId="66DFBE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и тип - по усмотрению Нач. ВВС</w:t>
            </w:r>
          </w:p>
        </w:tc>
      </w:tr>
      <w:tr w:rsidR="001002C3" w:rsidRPr="007122AB" w14:paraId="48CD216E" w14:textId="77777777">
        <w:tc>
          <w:tcPr>
            <w:tcW w:w="392" w:type="dxa"/>
          </w:tcPr>
          <w:p w14:paraId="4CB895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w:t>
            </w:r>
          </w:p>
        </w:tc>
        <w:tc>
          <w:tcPr>
            <w:tcW w:w="992" w:type="dxa"/>
          </w:tcPr>
          <w:p w14:paraId="605A1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 самолет Э2</w:t>
            </w:r>
          </w:p>
        </w:tc>
        <w:tc>
          <w:tcPr>
            <w:tcW w:w="425" w:type="dxa"/>
          </w:tcPr>
          <w:p w14:paraId="7A775E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Э2/3</w:t>
            </w:r>
          </w:p>
        </w:tc>
        <w:tc>
          <w:tcPr>
            <w:tcW w:w="2127" w:type="dxa"/>
          </w:tcPr>
          <w:p w14:paraId="506A6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E3796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55907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21D269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1FA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A634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E4816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E8E5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74CF63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из электрона.</w:t>
            </w:r>
          </w:p>
          <w:p w14:paraId="531AD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и тип - по усмотрению Нач. ВВС</w:t>
            </w:r>
          </w:p>
        </w:tc>
      </w:tr>
      <w:tr w:rsidR="001002C3" w:rsidRPr="007122AB" w14:paraId="4B0D4E9D" w14:textId="77777777">
        <w:tc>
          <w:tcPr>
            <w:tcW w:w="392" w:type="dxa"/>
          </w:tcPr>
          <w:p w14:paraId="00884D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w:t>
            </w:r>
          </w:p>
        </w:tc>
        <w:tc>
          <w:tcPr>
            <w:tcW w:w="992" w:type="dxa"/>
          </w:tcPr>
          <w:p w14:paraId="0805B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w:t>
            </w:r>
          </w:p>
        </w:tc>
        <w:tc>
          <w:tcPr>
            <w:tcW w:w="425" w:type="dxa"/>
          </w:tcPr>
          <w:p w14:paraId="5F50E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ГЭ</w:t>
            </w:r>
          </w:p>
        </w:tc>
        <w:tc>
          <w:tcPr>
            <w:tcW w:w="2127" w:type="dxa"/>
          </w:tcPr>
          <w:p w14:paraId="3D228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1AA8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35F97C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3F3BA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FAEB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1D997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2733C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E70B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FAFE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000BAE" w14:textId="77777777">
        <w:tc>
          <w:tcPr>
            <w:tcW w:w="392" w:type="dxa"/>
            <w:tcBorders>
              <w:bottom w:val="single" w:sz="12" w:space="0" w:color="auto"/>
            </w:tcBorders>
          </w:tcPr>
          <w:p w14:paraId="588DA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992" w:type="dxa"/>
            <w:tcBorders>
              <w:bottom w:val="single" w:sz="12" w:space="0" w:color="auto"/>
            </w:tcBorders>
          </w:tcPr>
          <w:p w14:paraId="4D7A1A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 реактивным двигателем</w:t>
            </w:r>
          </w:p>
        </w:tc>
        <w:tc>
          <w:tcPr>
            <w:tcW w:w="425" w:type="dxa"/>
            <w:tcBorders>
              <w:bottom w:val="single" w:sz="12" w:space="0" w:color="auto"/>
            </w:tcBorders>
          </w:tcPr>
          <w:p w14:paraId="60537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РЭ</w:t>
            </w:r>
          </w:p>
        </w:tc>
        <w:tc>
          <w:tcPr>
            <w:tcW w:w="2127" w:type="dxa"/>
            <w:tcBorders>
              <w:bottom w:val="single" w:sz="12" w:space="0" w:color="auto"/>
            </w:tcBorders>
          </w:tcPr>
          <w:p w14:paraId="7C036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Borders>
              <w:bottom w:val="single" w:sz="12" w:space="0" w:color="auto"/>
            </w:tcBorders>
          </w:tcPr>
          <w:p w14:paraId="2975D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bottom w:val="single" w:sz="12" w:space="0" w:color="auto"/>
            </w:tcBorders>
          </w:tcPr>
          <w:p w14:paraId="28CF88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Borders>
              <w:bottom w:val="single" w:sz="12" w:space="0" w:color="auto"/>
            </w:tcBorders>
          </w:tcPr>
          <w:p w14:paraId="3CBFA5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Borders>
              <w:bottom w:val="single" w:sz="12" w:space="0" w:color="auto"/>
            </w:tcBorders>
          </w:tcPr>
          <w:p w14:paraId="1F455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Borders>
              <w:bottom w:val="single" w:sz="12" w:space="0" w:color="auto"/>
            </w:tcBorders>
          </w:tcPr>
          <w:p w14:paraId="418427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Borders>
              <w:bottom w:val="single" w:sz="12" w:space="0" w:color="auto"/>
            </w:tcBorders>
          </w:tcPr>
          <w:p w14:paraId="05DDE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2D700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Borders>
              <w:bottom w:val="single" w:sz="12" w:space="0" w:color="auto"/>
            </w:tcBorders>
          </w:tcPr>
          <w:p w14:paraId="3E4C5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03CCC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(6274)</w:t>
      </w:r>
    </w:p>
    <w:p w14:paraId="62193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9248FF"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1930 г. взамен </w:t>
      </w:r>
      <w:proofErr w:type="spellStart"/>
      <w:r w:rsidRPr="007122AB">
        <w:rPr>
          <w:rFonts w:ascii="Times New Roman" w:hAnsi="Times New Roman"/>
          <w:color w:val="000000" w:themeColor="text1"/>
          <w:sz w:val="16"/>
          <w:szCs w:val="16"/>
        </w:rPr>
        <w:t>Авиатреста</w:t>
      </w:r>
      <w:proofErr w:type="spellEnd"/>
      <w:r w:rsidRPr="007122AB">
        <w:rPr>
          <w:rFonts w:ascii="Times New Roman" w:hAnsi="Times New Roman"/>
          <w:color w:val="000000" w:themeColor="text1"/>
          <w:sz w:val="16"/>
          <w:szCs w:val="16"/>
        </w:rPr>
        <w:t xml:space="preserve"> организовали Всесоюзное авиационное объединение (ВАО), ко</w:t>
      </w:r>
      <w:r w:rsidRPr="007122AB">
        <w:rPr>
          <w:rFonts w:ascii="Times New Roman" w:hAnsi="Times New Roman"/>
          <w:color w:val="000000" w:themeColor="text1"/>
          <w:sz w:val="16"/>
          <w:szCs w:val="16"/>
        </w:rPr>
        <w:softHyphen/>
        <w:t>торое более централизованно и жестко починялось государственным органам власти. В этот период продолжалось расширение ЦКБ, и, одновременно, появление заданий на целое семейство новых боевых самолетов. Значились среди них и самолеты-штурмовики. Известно о нескольких таких аппаратах, построенных в период 1930-1932 гг. в количестве около десяти экземпляров: ЛШ (легкий штурмовик), ШОН (штурмовик особого назначения), тяжелые штурмовики ТШ-1 и ТШ-2. Упоминание их общим списком вы</w:t>
      </w:r>
      <w:r w:rsidRPr="007122AB">
        <w:rPr>
          <w:rFonts w:ascii="Times New Roman" w:hAnsi="Times New Roman"/>
          <w:color w:val="000000" w:themeColor="text1"/>
          <w:sz w:val="16"/>
          <w:szCs w:val="16"/>
        </w:rPr>
        <w:softHyphen/>
        <w:t>звано тем обстоятельством, что авторство на них до сих пор просматривается как-то расплывчато. Судя по всему, в отношении самолетов ТШ, так же как и в отношении ВТ-11, главного конструктора пытались не называть. В ОГПУ было не принято устанавливать истинных авторов.</w:t>
      </w:r>
    </w:p>
    <w:p w14:paraId="70075DB6"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 Туполевым предполагал переделать в ТШ-1 уже построенный разведчик Р-6. Долгие переговоры с заказчиком затяну</w:t>
      </w:r>
      <w:r w:rsidRPr="007122AB">
        <w:rPr>
          <w:rFonts w:ascii="Times New Roman" w:hAnsi="Times New Roman"/>
          <w:color w:val="000000" w:themeColor="text1"/>
          <w:sz w:val="16"/>
          <w:szCs w:val="16"/>
        </w:rPr>
        <w:softHyphen/>
        <w:t xml:space="preserve">лись, и в </w:t>
      </w:r>
      <w:proofErr w:type="spellStart"/>
      <w:r w:rsidRPr="007122AB">
        <w:rPr>
          <w:rFonts w:ascii="Times New Roman" w:hAnsi="Times New Roman"/>
          <w:color w:val="000000" w:themeColor="text1"/>
          <w:sz w:val="16"/>
          <w:szCs w:val="16"/>
        </w:rPr>
        <w:t>резул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ьтате</w:t>
      </w:r>
      <w:proofErr w:type="spellEnd"/>
      <w:r w:rsidRPr="007122AB">
        <w:rPr>
          <w:rFonts w:ascii="Times New Roman" w:hAnsi="Times New Roman"/>
          <w:color w:val="000000" w:themeColor="text1"/>
          <w:sz w:val="16"/>
          <w:szCs w:val="16"/>
        </w:rPr>
        <w:t xml:space="preserve"> тяжелый двухмоторный штурмовик построен не был.</w:t>
      </w:r>
    </w:p>
    <w:p w14:paraId="65A311B7"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касается обозначения ТШ-1 при</w:t>
      </w:r>
      <w:r w:rsidRPr="007122AB">
        <w:rPr>
          <w:rFonts w:ascii="Times New Roman" w:hAnsi="Times New Roman"/>
          <w:color w:val="000000" w:themeColor="text1"/>
          <w:sz w:val="16"/>
          <w:szCs w:val="16"/>
        </w:rPr>
        <w:softHyphen/>
        <w:t>менительно к одномоторному самолету, автор считает, что по причине отсут</w:t>
      </w:r>
      <w:r w:rsidRPr="007122AB">
        <w:rPr>
          <w:rFonts w:ascii="Times New Roman" w:hAnsi="Times New Roman"/>
          <w:color w:val="000000" w:themeColor="text1"/>
          <w:sz w:val="16"/>
          <w:szCs w:val="16"/>
        </w:rPr>
        <w:softHyphen/>
        <w:t>ствия двухмоторной машины, в ЦКБ так стали называть (задним числом) первый опытный ТШ-2 (12612).</w:t>
      </w:r>
    </w:p>
    <w:p w14:paraId="3BEB8A66"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56293A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весны 1931 года согласно разработанного </w:t>
      </w:r>
      <w:proofErr w:type="spellStart"/>
      <w:r w:rsidRPr="007122AB">
        <w:rPr>
          <w:rFonts w:ascii="Times New Roman" w:hAnsi="Times New Roman"/>
          <w:color w:val="000000" w:themeColor="text1"/>
          <w:sz w:val="16"/>
          <w:szCs w:val="16"/>
        </w:rPr>
        <w:t>Гипроспецметом</w:t>
      </w:r>
      <w:proofErr w:type="spellEnd"/>
      <w:r w:rsidRPr="007122AB">
        <w:rPr>
          <w:rFonts w:ascii="Times New Roman" w:hAnsi="Times New Roman"/>
          <w:color w:val="000000" w:themeColor="text1"/>
          <w:sz w:val="16"/>
          <w:szCs w:val="16"/>
        </w:rPr>
        <w:t xml:space="preserve"> проекта С-47 было приступлено к постройке завода № 19, а равно после полного окончания проекта и получения в августе 1931 года всего проектного материала и на основании его, в сентябре того же года были составлены заявки на импортное и прочее оборудование. Однако, заявки были задержаны ВАО из-за лимитов. В октябре поступило распоряжение срочно пересоставить заявку на импорт в связи с тем, что объект производства завода меняется: вместо М-15 и М-26, снимаемых с производства, вводится М-22. В конце декабря на основании Постановления СТО, завод получил распоряжение от ВАО вновь вернуться к М-15 и М-26. В конце февраля 1932 года поступает распоряжение от только что организовавшегося моторного треста о новом изменении задания,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06BB0896"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50450AA7"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03B6904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Перепроектировку завода на полную мощность – 6000 моторов поручено в марте вновь организованной при </w:t>
      </w:r>
      <w:proofErr w:type="spellStart"/>
      <w:r w:rsidRPr="007122AB">
        <w:rPr>
          <w:rFonts w:ascii="Times New Roman" w:hAnsi="Times New Roman"/>
          <w:color w:val="000000" w:themeColor="text1"/>
          <w:sz w:val="16"/>
          <w:szCs w:val="16"/>
        </w:rPr>
        <w:t>ГУАПе</w:t>
      </w:r>
      <w:proofErr w:type="spellEnd"/>
      <w:r w:rsidRPr="007122AB">
        <w:rPr>
          <w:rFonts w:ascii="Times New Roman" w:hAnsi="Times New Roman"/>
          <w:color w:val="000000" w:themeColor="text1"/>
          <w:sz w:val="16"/>
          <w:szCs w:val="16"/>
        </w:rPr>
        <w:t xml:space="preserve"> проектной организации </w:t>
      </w:r>
      <w:proofErr w:type="spellStart"/>
      <w:r w:rsidRPr="007122AB">
        <w:rPr>
          <w:rFonts w:ascii="Times New Roman" w:hAnsi="Times New Roman"/>
          <w:color w:val="000000" w:themeColor="text1"/>
          <w:sz w:val="16"/>
          <w:szCs w:val="16"/>
        </w:rPr>
        <w:t>Гипроавио</w:t>
      </w:r>
      <w:proofErr w:type="spellEnd"/>
      <w:r w:rsidRPr="007122AB">
        <w:rPr>
          <w:rFonts w:ascii="Times New Roman" w:hAnsi="Times New Roman"/>
          <w:color w:val="000000" w:themeColor="text1"/>
          <w:sz w:val="16"/>
          <w:szCs w:val="16"/>
        </w:rPr>
        <w:t xml:space="preserve"> ………..</w:t>
      </w:r>
    </w:p>
    <w:p w14:paraId="0DCA6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Согласно произведенным </w:t>
      </w:r>
      <w:proofErr w:type="spellStart"/>
      <w:r w:rsidRPr="007122AB">
        <w:rPr>
          <w:rFonts w:ascii="Times New Roman" w:hAnsi="Times New Roman"/>
          <w:color w:val="000000" w:themeColor="text1"/>
          <w:sz w:val="16"/>
          <w:szCs w:val="16"/>
        </w:rPr>
        <w:t>Гипроавио</w:t>
      </w:r>
      <w:proofErr w:type="spellEnd"/>
      <w:r w:rsidRPr="007122AB">
        <w:rPr>
          <w:rFonts w:ascii="Times New Roman" w:hAnsi="Times New Roman"/>
          <w:color w:val="000000" w:themeColor="text1"/>
          <w:sz w:val="16"/>
          <w:szCs w:val="16"/>
        </w:rPr>
        <w:t xml:space="preserve">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2A151A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завода – Чубуков П.И. (9290).</w:t>
      </w:r>
    </w:p>
    <w:p w14:paraId="06B2FD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B1F4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года было приступлено к строительству будущего завода № 19. В 1932 году началось строительство производственных корпусов. В марте 1934 года директором завода был назначен </w:t>
      </w:r>
      <w:proofErr w:type="spellStart"/>
      <w:r w:rsidRPr="007122AB">
        <w:rPr>
          <w:rFonts w:ascii="Times New Roman" w:hAnsi="Times New Roman"/>
          <w:color w:val="000000" w:themeColor="text1"/>
          <w:sz w:val="16"/>
          <w:szCs w:val="16"/>
        </w:rPr>
        <w:t>Побережский</w:t>
      </w:r>
      <w:proofErr w:type="spellEnd"/>
      <w:r w:rsidRPr="007122AB">
        <w:rPr>
          <w:rFonts w:ascii="Times New Roman" w:hAnsi="Times New Roman"/>
          <w:color w:val="000000" w:themeColor="text1"/>
          <w:sz w:val="16"/>
          <w:szCs w:val="16"/>
        </w:rPr>
        <w:t xml:space="preserve"> И.И. В середине 1933 года завод получил задание подготовиться на 1934 год к производству моторов М-25.</w:t>
      </w:r>
    </w:p>
    <w:p w14:paraId="15065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2F238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007349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61E7B2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10CA3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38783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77BF74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6EE0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73C5F8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0CCB86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6EB8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программу 1939 года выполнил на 81%, а 1940 года – на 64%.</w:t>
      </w:r>
    </w:p>
    <w:p w14:paraId="44F91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2D2A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56E62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1002C3" w:rsidRPr="007122AB" w14:paraId="4CE61CF8" w14:textId="77777777">
        <w:tc>
          <w:tcPr>
            <w:tcW w:w="1160" w:type="dxa"/>
          </w:tcPr>
          <w:p w14:paraId="76C7DC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Типы изделий</w:t>
            </w:r>
          </w:p>
        </w:tc>
        <w:tc>
          <w:tcPr>
            <w:tcW w:w="791" w:type="dxa"/>
          </w:tcPr>
          <w:p w14:paraId="6C591D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1950 год</w:t>
            </w:r>
          </w:p>
        </w:tc>
        <w:tc>
          <w:tcPr>
            <w:tcW w:w="851" w:type="dxa"/>
          </w:tcPr>
          <w:p w14:paraId="31D25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1951 год</w:t>
            </w:r>
          </w:p>
        </w:tc>
        <w:tc>
          <w:tcPr>
            <w:tcW w:w="850" w:type="dxa"/>
          </w:tcPr>
          <w:p w14:paraId="6DE945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1952 год</w:t>
            </w:r>
          </w:p>
        </w:tc>
        <w:tc>
          <w:tcPr>
            <w:tcW w:w="851" w:type="dxa"/>
          </w:tcPr>
          <w:p w14:paraId="292089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1953 год</w:t>
            </w:r>
          </w:p>
        </w:tc>
        <w:tc>
          <w:tcPr>
            <w:tcW w:w="850" w:type="dxa"/>
          </w:tcPr>
          <w:p w14:paraId="603B67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1954 год</w:t>
            </w:r>
          </w:p>
        </w:tc>
        <w:tc>
          <w:tcPr>
            <w:tcW w:w="851" w:type="dxa"/>
          </w:tcPr>
          <w:p w14:paraId="6210B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1955 год</w:t>
            </w:r>
          </w:p>
        </w:tc>
        <w:tc>
          <w:tcPr>
            <w:tcW w:w="850" w:type="dxa"/>
          </w:tcPr>
          <w:p w14:paraId="36A8B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1956 год</w:t>
            </w:r>
          </w:p>
        </w:tc>
        <w:tc>
          <w:tcPr>
            <w:tcW w:w="851" w:type="dxa"/>
          </w:tcPr>
          <w:p w14:paraId="01A0A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1957 год</w:t>
            </w:r>
          </w:p>
        </w:tc>
        <w:tc>
          <w:tcPr>
            <w:tcW w:w="850" w:type="dxa"/>
          </w:tcPr>
          <w:p w14:paraId="0BC2D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1958 год</w:t>
            </w:r>
          </w:p>
        </w:tc>
      </w:tr>
      <w:tr w:rsidR="001002C3" w:rsidRPr="007122AB" w14:paraId="1FA8D439" w14:textId="77777777">
        <w:tc>
          <w:tcPr>
            <w:tcW w:w="1160" w:type="dxa"/>
          </w:tcPr>
          <w:p w14:paraId="32F243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АШ-82ФН</w:t>
            </w:r>
          </w:p>
        </w:tc>
        <w:tc>
          <w:tcPr>
            <w:tcW w:w="791" w:type="dxa"/>
          </w:tcPr>
          <w:p w14:paraId="131B2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32C10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510</w:t>
            </w:r>
          </w:p>
        </w:tc>
        <w:tc>
          <w:tcPr>
            <w:tcW w:w="850" w:type="dxa"/>
          </w:tcPr>
          <w:p w14:paraId="1C87A5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EA6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CA2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5D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45BA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9E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460E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C748D0B" w14:textId="77777777">
        <w:tc>
          <w:tcPr>
            <w:tcW w:w="1160" w:type="dxa"/>
          </w:tcPr>
          <w:p w14:paraId="2AE24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АШ-73</w:t>
            </w:r>
          </w:p>
        </w:tc>
        <w:tc>
          <w:tcPr>
            <w:tcW w:w="791" w:type="dxa"/>
          </w:tcPr>
          <w:p w14:paraId="46C3E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1973</w:t>
            </w:r>
          </w:p>
        </w:tc>
        <w:tc>
          <w:tcPr>
            <w:tcW w:w="851" w:type="dxa"/>
          </w:tcPr>
          <w:p w14:paraId="63F0A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1939</w:t>
            </w:r>
          </w:p>
        </w:tc>
        <w:tc>
          <w:tcPr>
            <w:tcW w:w="850" w:type="dxa"/>
          </w:tcPr>
          <w:p w14:paraId="230D8D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1207</w:t>
            </w:r>
          </w:p>
        </w:tc>
        <w:tc>
          <w:tcPr>
            <w:tcW w:w="851" w:type="dxa"/>
          </w:tcPr>
          <w:p w14:paraId="59EC4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B135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A0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AB1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09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CF2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923B1A" w14:textId="77777777">
        <w:tc>
          <w:tcPr>
            <w:tcW w:w="1160" w:type="dxa"/>
          </w:tcPr>
          <w:p w14:paraId="5E53A8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ТК-19</w:t>
            </w:r>
          </w:p>
        </w:tc>
        <w:tc>
          <w:tcPr>
            <w:tcW w:w="791" w:type="dxa"/>
          </w:tcPr>
          <w:p w14:paraId="4A62D8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1403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3678</w:t>
            </w:r>
          </w:p>
        </w:tc>
        <w:tc>
          <w:tcPr>
            <w:tcW w:w="850" w:type="dxa"/>
          </w:tcPr>
          <w:p w14:paraId="13D2DA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2800</w:t>
            </w:r>
          </w:p>
        </w:tc>
        <w:tc>
          <w:tcPr>
            <w:tcW w:w="851" w:type="dxa"/>
          </w:tcPr>
          <w:p w14:paraId="1B0FDC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850" w:type="dxa"/>
          </w:tcPr>
          <w:p w14:paraId="4A94B0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33D2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2112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C380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1DBA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F5A704" w14:textId="77777777">
        <w:tc>
          <w:tcPr>
            <w:tcW w:w="1160" w:type="dxa"/>
          </w:tcPr>
          <w:p w14:paraId="11F24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АШ-82В</w:t>
            </w:r>
          </w:p>
        </w:tc>
        <w:tc>
          <w:tcPr>
            <w:tcW w:w="791" w:type="dxa"/>
          </w:tcPr>
          <w:p w14:paraId="17D17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19D5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13CD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183</w:t>
            </w:r>
          </w:p>
        </w:tc>
        <w:tc>
          <w:tcPr>
            <w:tcW w:w="851" w:type="dxa"/>
          </w:tcPr>
          <w:p w14:paraId="57C84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c>
          <w:tcPr>
            <w:tcW w:w="850" w:type="dxa"/>
          </w:tcPr>
          <w:p w14:paraId="38C3B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w:t>
            </w:r>
          </w:p>
        </w:tc>
        <w:tc>
          <w:tcPr>
            <w:tcW w:w="851" w:type="dxa"/>
          </w:tcPr>
          <w:p w14:paraId="47E8E3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850" w:type="dxa"/>
          </w:tcPr>
          <w:p w14:paraId="4C7D1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C950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2A0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62539E5" w14:textId="77777777">
        <w:tc>
          <w:tcPr>
            <w:tcW w:w="1160" w:type="dxa"/>
          </w:tcPr>
          <w:p w14:paraId="3D153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АШ-82Т</w:t>
            </w:r>
          </w:p>
        </w:tc>
        <w:tc>
          <w:tcPr>
            <w:tcW w:w="791" w:type="dxa"/>
          </w:tcPr>
          <w:p w14:paraId="722EA7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3B8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4D0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70EF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850" w:type="dxa"/>
          </w:tcPr>
          <w:p w14:paraId="3FB14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255</w:t>
            </w:r>
          </w:p>
        </w:tc>
        <w:tc>
          <w:tcPr>
            <w:tcW w:w="851" w:type="dxa"/>
          </w:tcPr>
          <w:p w14:paraId="0E1EFC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850" w:type="dxa"/>
          </w:tcPr>
          <w:p w14:paraId="55D4EB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5EA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0461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447947" w14:textId="77777777">
        <w:tc>
          <w:tcPr>
            <w:tcW w:w="1160" w:type="dxa"/>
          </w:tcPr>
          <w:p w14:paraId="5D2AB1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ВК-1А</w:t>
            </w:r>
          </w:p>
        </w:tc>
        <w:tc>
          <w:tcPr>
            <w:tcW w:w="791" w:type="dxa"/>
          </w:tcPr>
          <w:p w14:paraId="49DCD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F3D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520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A9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w:t>
            </w:r>
          </w:p>
        </w:tc>
        <w:tc>
          <w:tcPr>
            <w:tcW w:w="850" w:type="dxa"/>
          </w:tcPr>
          <w:p w14:paraId="2659E3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954</w:t>
            </w:r>
          </w:p>
        </w:tc>
        <w:tc>
          <w:tcPr>
            <w:tcW w:w="851" w:type="dxa"/>
          </w:tcPr>
          <w:p w14:paraId="61884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51D9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0361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CC4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119F02" w14:textId="77777777">
        <w:tc>
          <w:tcPr>
            <w:tcW w:w="1160" w:type="dxa"/>
          </w:tcPr>
          <w:p w14:paraId="33ED8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АМ-3</w:t>
            </w:r>
          </w:p>
        </w:tc>
        <w:tc>
          <w:tcPr>
            <w:tcW w:w="791" w:type="dxa"/>
          </w:tcPr>
          <w:p w14:paraId="3A1C6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9BC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D2B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5EB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8AD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6B00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435</w:t>
            </w:r>
          </w:p>
        </w:tc>
        <w:tc>
          <w:tcPr>
            <w:tcW w:w="850" w:type="dxa"/>
          </w:tcPr>
          <w:p w14:paraId="5CFA17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556</w:t>
            </w:r>
          </w:p>
        </w:tc>
        <w:tc>
          <w:tcPr>
            <w:tcW w:w="851" w:type="dxa"/>
          </w:tcPr>
          <w:p w14:paraId="016C0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271</w:t>
            </w:r>
          </w:p>
        </w:tc>
        <w:tc>
          <w:tcPr>
            <w:tcW w:w="850" w:type="dxa"/>
          </w:tcPr>
          <w:p w14:paraId="28C9F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EC147E8" w14:textId="77777777">
        <w:tc>
          <w:tcPr>
            <w:tcW w:w="1160" w:type="dxa"/>
          </w:tcPr>
          <w:p w14:paraId="070DF4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Редуктор Р-5</w:t>
            </w:r>
          </w:p>
        </w:tc>
        <w:tc>
          <w:tcPr>
            <w:tcW w:w="791" w:type="dxa"/>
          </w:tcPr>
          <w:p w14:paraId="3D62AE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D9C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D93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w:t>
            </w:r>
          </w:p>
        </w:tc>
        <w:tc>
          <w:tcPr>
            <w:tcW w:w="851" w:type="dxa"/>
          </w:tcPr>
          <w:p w14:paraId="07183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588</w:t>
            </w:r>
          </w:p>
        </w:tc>
        <w:tc>
          <w:tcPr>
            <w:tcW w:w="850" w:type="dxa"/>
          </w:tcPr>
          <w:p w14:paraId="46F499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15E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850" w:type="dxa"/>
          </w:tcPr>
          <w:p w14:paraId="39C24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c>
          <w:tcPr>
            <w:tcW w:w="851" w:type="dxa"/>
          </w:tcPr>
          <w:p w14:paraId="6E2CF7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w:t>
            </w:r>
          </w:p>
        </w:tc>
        <w:tc>
          <w:tcPr>
            <w:tcW w:w="850" w:type="dxa"/>
          </w:tcPr>
          <w:p w14:paraId="4E16E0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w:t>
            </w:r>
          </w:p>
        </w:tc>
      </w:tr>
      <w:tr w:rsidR="001002C3" w:rsidRPr="007122AB" w14:paraId="06B69C9C" w14:textId="77777777">
        <w:tc>
          <w:tcPr>
            <w:tcW w:w="1160" w:type="dxa"/>
          </w:tcPr>
          <w:p w14:paraId="37F08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Редуктор Р-3-4</w:t>
            </w:r>
          </w:p>
        </w:tc>
        <w:tc>
          <w:tcPr>
            <w:tcW w:w="791" w:type="dxa"/>
          </w:tcPr>
          <w:p w14:paraId="21E5C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6B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9D16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w:t>
            </w:r>
          </w:p>
        </w:tc>
        <w:tc>
          <w:tcPr>
            <w:tcW w:w="851" w:type="dxa"/>
          </w:tcPr>
          <w:p w14:paraId="71D53E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w:t>
            </w:r>
          </w:p>
        </w:tc>
        <w:tc>
          <w:tcPr>
            <w:tcW w:w="850" w:type="dxa"/>
          </w:tcPr>
          <w:p w14:paraId="1CC240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3D7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5E6D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0B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016C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CAA0178" w14:textId="77777777">
        <w:tc>
          <w:tcPr>
            <w:tcW w:w="1160" w:type="dxa"/>
          </w:tcPr>
          <w:p w14:paraId="26A2B4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Редуктор ВР-1</w:t>
            </w:r>
          </w:p>
        </w:tc>
        <w:tc>
          <w:tcPr>
            <w:tcW w:w="791" w:type="dxa"/>
          </w:tcPr>
          <w:p w14:paraId="4AEEF7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48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D7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9E6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40B7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AD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89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c>
          <w:tcPr>
            <w:tcW w:w="851" w:type="dxa"/>
          </w:tcPr>
          <w:p w14:paraId="02C2C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320</w:t>
            </w:r>
          </w:p>
        </w:tc>
        <w:tc>
          <w:tcPr>
            <w:tcW w:w="850" w:type="dxa"/>
          </w:tcPr>
          <w:p w14:paraId="062A3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411</w:t>
            </w:r>
          </w:p>
        </w:tc>
      </w:tr>
      <w:tr w:rsidR="001002C3" w:rsidRPr="007122AB" w14:paraId="1E1AA935" w14:textId="77777777">
        <w:tc>
          <w:tcPr>
            <w:tcW w:w="1160" w:type="dxa"/>
          </w:tcPr>
          <w:p w14:paraId="41072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РД-3М</w:t>
            </w:r>
          </w:p>
        </w:tc>
        <w:tc>
          <w:tcPr>
            <w:tcW w:w="791" w:type="dxa"/>
          </w:tcPr>
          <w:p w14:paraId="4AE170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AE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E35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524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7ECB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D1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79BE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80A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617</w:t>
            </w:r>
          </w:p>
        </w:tc>
        <w:tc>
          <w:tcPr>
            <w:tcW w:w="850" w:type="dxa"/>
          </w:tcPr>
          <w:p w14:paraId="5E9BE7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570</w:t>
            </w:r>
          </w:p>
        </w:tc>
      </w:tr>
      <w:tr w:rsidR="001002C3" w:rsidRPr="007122AB" w14:paraId="491B6F77" w14:textId="77777777">
        <w:tc>
          <w:tcPr>
            <w:tcW w:w="1160" w:type="dxa"/>
          </w:tcPr>
          <w:p w14:paraId="7FDA1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АИ-20</w:t>
            </w:r>
          </w:p>
        </w:tc>
        <w:tc>
          <w:tcPr>
            <w:tcW w:w="791" w:type="dxa"/>
          </w:tcPr>
          <w:p w14:paraId="6CE1C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67E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F4B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69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3B6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3899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626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8B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8C80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bl>
    <w:p w14:paraId="3C8FF2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(9731)</w:t>
      </w:r>
    </w:p>
    <w:p w14:paraId="794519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EF2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г. изготовили опытные образцы мины ВОМИЗА-250 (МАВ-2). Она было более мощной и создавалась на базе якорной мины образца 1926 г. с зарядом 250 кг. Проектирование ВОМИЗы-250 начали в 1930 г.. Мощный заряд позволял нанести серьезное повреждение и крейсеру, и линкору. Вес системы в сборе составлял 1420 кг, длина - 3,5 м. Но общий принцип действия и все основные конструктивные элементы полностью копировали предыдущую мину с поправкой на размеры. В июле 1931 г. ВОМИЗу-250 представили на войсковые испытания, но выяснилось, что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еще ни разу не сбрасывало ее с самолета. Поэтому войсковые испытания отложили, дав возможность ОТБ отладить конструкцию после опробования в воздухе. МАВ-2 испытывали в июле-октябре 1932 г. на Копейском озере, а затем в ноябре - в </w:t>
      </w:r>
      <w:proofErr w:type="spellStart"/>
      <w:r w:rsidRPr="007122AB">
        <w:rPr>
          <w:rFonts w:ascii="Times New Roman" w:hAnsi="Times New Roman"/>
          <w:color w:val="000000" w:themeColor="text1"/>
          <w:sz w:val="16"/>
          <w:szCs w:val="16"/>
        </w:rPr>
        <w:t>Копорском</w:t>
      </w:r>
      <w:proofErr w:type="spellEnd"/>
      <w:r w:rsidRPr="007122AB">
        <w:rPr>
          <w:rFonts w:ascii="Times New Roman" w:hAnsi="Times New Roman"/>
          <w:color w:val="000000" w:themeColor="text1"/>
          <w:sz w:val="16"/>
          <w:szCs w:val="16"/>
        </w:rPr>
        <w:t xml:space="preserve"> заливе.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51A64A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738A1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E8EC0D" w14:textId="77777777" w:rsidR="00C573D5" w:rsidRPr="007122AB" w:rsidRDefault="00C573D5" w:rsidP="007122AB">
      <w:pPr>
        <w:pStyle w:val="ae"/>
        <w:shd w:val="clear" w:color="auto" w:fill="FFFFFF"/>
        <w:spacing w:before="0" w:after="0"/>
        <w:jc w:val="both"/>
        <w:textAlignment w:val="baseline"/>
        <w:rPr>
          <w:color w:val="000000" w:themeColor="text1"/>
          <w:sz w:val="16"/>
          <w:szCs w:val="16"/>
        </w:rPr>
      </w:pPr>
      <w:r w:rsidRPr="007122AB">
        <w:rPr>
          <w:color w:val="000000" w:themeColor="text1"/>
          <w:sz w:val="16"/>
          <w:szCs w:val="16"/>
        </w:rPr>
        <w:t xml:space="preserve">Весной 1931 года вместе с очередной перестановкой в воздухоплавательном руководстве поменялись и взгляды на размещение базы. Не исключено, что причиной тому стало выданное московскими властями разрешение надстроить в одном из домов на Садовом кольце два этажа – под жильё для </w:t>
      </w:r>
      <w:proofErr w:type="spellStart"/>
      <w:r w:rsidRPr="007122AB">
        <w:rPr>
          <w:color w:val="000000" w:themeColor="text1"/>
          <w:sz w:val="16"/>
          <w:szCs w:val="16"/>
        </w:rPr>
        <w:t>дирижаблестроителей</w:t>
      </w:r>
      <w:bookmarkStart w:id="18" w:name="read_n_20_back"/>
      <w:proofErr w:type="spellEnd"/>
      <w:r w:rsidRPr="007122AB">
        <w:rPr>
          <w:color w:val="000000" w:themeColor="text1"/>
          <w:sz w:val="16"/>
          <w:szCs w:val="16"/>
          <w:u w:val="single"/>
          <w:bdr w:val="none" w:sz="0" w:space="0" w:color="auto" w:frame="1"/>
          <w:shd w:val="clear" w:color="auto" w:fill="FFFFFF"/>
        </w:rPr>
        <w:t>[20]</w:t>
      </w:r>
      <w:bookmarkEnd w:id="18"/>
      <w:r w:rsidRPr="007122AB">
        <w:rPr>
          <w:color w:val="000000" w:themeColor="text1"/>
          <w:sz w:val="16"/>
          <w:szCs w:val="16"/>
        </w:rPr>
        <w:t xml:space="preserve">. Вполне возможно, в ожидании скорого получения квартир новое начальство просто не захотело менять столицу на заштатный городок, пусть и у тихого озера. Так или иначе, строительство на Плещеевом ликвидировали, а базу организовали ближе к Москве, у платформы </w:t>
      </w:r>
      <w:proofErr w:type="spellStart"/>
      <w:r w:rsidRPr="007122AB">
        <w:rPr>
          <w:color w:val="000000" w:themeColor="text1"/>
          <w:sz w:val="16"/>
          <w:szCs w:val="16"/>
        </w:rPr>
        <w:t>Долгопрудной</w:t>
      </w:r>
      <w:proofErr w:type="spellEnd"/>
      <w:r w:rsidRPr="007122AB">
        <w:rPr>
          <w:color w:val="000000" w:themeColor="text1"/>
          <w:sz w:val="16"/>
          <w:szCs w:val="16"/>
        </w:rPr>
        <w:t xml:space="preserve"> Северной железной дороги</w:t>
      </w:r>
      <w:bookmarkStart w:id="19" w:name="read_n_21_back"/>
      <w:r w:rsidRPr="007122AB">
        <w:rPr>
          <w:color w:val="000000" w:themeColor="text1"/>
          <w:sz w:val="16"/>
          <w:szCs w:val="16"/>
          <w:u w:val="single"/>
          <w:bdr w:val="none" w:sz="0" w:space="0" w:color="auto" w:frame="1"/>
          <w:shd w:val="clear" w:color="auto" w:fill="FFFFFF"/>
        </w:rPr>
        <w:t>[21]</w:t>
      </w:r>
      <w:bookmarkEnd w:id="19"/>
      <w:r w:rsidRPr="007122AB">
        <w:rPr>
          <w:color w:val="000000" w:themeColor="text1"/>
          <w:sz w:val="16"/>
          <w:szCs w:val="16"/>
        </w:rPr>
        <w:t>. Она поначалу считалась временной, «малой», но так и осталась единственным дирижаблестроительным центром страны (20466).</w:t>
      </w:r>
    </w:p>
    <w:p w14:paraId="20B48DCF" w14:textId="77777777" w:rsidR="00C573D5" w:rsidRPr="007122AB" w:rsidRDefault="00C573D5" w:rsidP="007122AB">
      <w:pPr>
        <w:spacing w:after="0" w:line="240" w:lineRule="auto"/>
        <w:jc w:val="both"/>
        <w:rPr>
          <w:rFonts w:ascii="Times New Roman" w:hAnsi="Times New Roman"/>
          <w:color w:val="000000" w:themeColor="text1"/>
          <w:sz w:val="16"/>
          <w:szCs w:val="16"/>
          <w:shd w:val="clear" w:color="auto" w:fill="FFFFFF"/>
        </w:rPr>
      </w:pPr>
    </w:p>
    <w:p w14:paraId="7A89CE3E"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Весной 1931 г. об экспериментах Цандера с ракетным двигателем узнал 24-летний Сергей Королев, который немедленно познакомился с ним. Его поразила непрактичность Цандера, не имевшего ни малейшего представления о том, где искать средства для финансирования своей работы.</w:t>
      </w:r>
    </w:p>
    <w:p w14:paraId="13BA0F32"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Королев сразу увидел возможность привлечения к финанси</w:t>
      </w:r>
      <w:r w:rsidRPr="00441F34">
        <w:rPr>
          <w:rFonts w:ascii="Times New Roman" w:hAnsi="Times New Roman"/>
          <w:color w:val="0070C0"/>
          <w:sz w:val="16"/>
          <w:szCs w:val="16"/>
        </w:rPr>
        <w:softHyphen/>
        <w:t xml:space="preserve">рованию </w:t>
      </w:r>
      <w:proofErr w:type="spellStart"/>
      <w:r w:rsidRPr="00441F34">
        <w:rPr>
          <w:rFonts w:ascii="Times New Roman" w:hAnsi="Times New Roman"/>
          <w:color w:val="0070C0"/>
          <w:sz w:val="16"/>
          <w:szCs w:val="16"/>
        </w:rPr>
        <w:t>ОСОВИАХИМа</w:t>
      </w:r>
      <w:proofErr w:type="spellEnd"/>
      <w:r w:rsidRPr="00441F34">
        <w:rPr>
          <w:rFonts w:ascii="Times New Roman" w:hAnsi="Times New Roman"/>
          <w:color w:val="0070C0"/>
          <w:sz w:val="16"/>
          <w:szCs w:val="16"/>
        </w:rPr>
        <w:t xml:space="preserve"> — если только не пугать его руковод</w:t>
      </w:r>
      <w:r w:rsidRPr="00441F34">
        <w:rPr>
          <w:rFonts w:ascii="Times New Roman" w:hAnsi="Times New Roman"/>
          <w:color w:val="0070C0"/>
          <w:sz w:val="16"/>
          <w:szCs w:val="16"/>
        </w:rPr>
        <w:softHyphen/>
        <w:t>ство рассуждениями о полетах в космос, а обратить внимание на более практичную тему создания реактив</w:t>
      </w:r>
      <w:r w:rsidRPr="00441F34">
        <w:rPr>
          <w:rFonts w:ascii="Times New Roman" w:hAnsi="Times New Roman"/>
          <w:color w:val="0070C0"/>
          <w:sz w:val="16"/>
          <w:szCs w:val="16"/>
        </w:rPr>
        <w:softHyphen/>
        <w:t>ного самолета. И дейст</w:t>
      </w:r>
      <w:r w:rsidRPr="00441F34">
        <w:rPr>
          <w:rFonts w:ascii="Times New Roman" w:hAnsi="Times New Roman"/>
          <w:color w:val="0070C0"/>
          <w:sz w:val="16"/>
          <w:szCs w:val="16"/>
        </w:rPr>
        <w:softHyphen/>
        <w:t>вительно, вскоре Коро</w:t>
      </w:r>
      <w:r w:rsidRPr="00441F34">
        <w:rPr>
          <w:rFonts w:ascii="Times New Roman" w:hAnsi="Times New Roman"/>
          <w:color w:val="0070C0"/>
          <w:sz w:val="16"/>
          <w:szCs w:val="16"/>
        </w:rPr>
        <w:softHyphen/>
        <w:t xml:space="preserve">лев договорился с Бюро воздушной техники </w:t>
      </w:r>
      <w:proofErr w:type="spellStart"/>
      <w:r w:rsidRPr="00441F34">
        <w:rPr>
          <w:rFonts w:ascii="Times New Roman" w:hAnsi="Times New Roman"/>
          <w:color w:val="0070C0"/>
          <w:sz w:val="16"/>
          <w:szCs w:val="16"/>
        </w:rPr>
        <w:t>ОСОВИАХИМа</w:t>
      </w:r>
      <w:proofErr w:type="spellEnd"/>
      <w:r w:rsidRPr="00441F34">
        <w:rPr>
          <w:rFonts w:ascii="Times New Roman" w:hAnsi="Times New Roman"/>
          <w:color w:val="0070C0"/>
          <w:sz w:val="16"/>
          <w:szCs w:val="16"/>
        </w:rPr>
        <w:t xml:space="preserve"> о соз</w:t>
      </w:r>
      <w:r w:rsidRPr="00441F34">
        <w:rPr>
          <w:rFonts w:ascii="Times New Roman" w:hAnsi="Times New Roman"/>
          <w:color w:val="0070C0"/>
          <w:sz w:val="16"/>
          <w:szCs w:val="16"/>
        </w:rPr>
        <w:softHyphen/>
        <w:t>дании в системе обще</w:t>
      </w:r>
      <w:r w:rsidRPr="00441F34">
        <w:rPr>
          <w:rFonts w:ascii="Times New Roman" w:hAnsi="Times New Roman"/>
          <w:color w:val="0070C0"/>
          <w:sz w:val="16"/>
          <w:szCs w:val="16"/>
        </w:rPr>
        <w:softHyphen/>
        <w:t>ства Группы по изуче</w:t>
      </w:r>
      <w:r w:rsidRPr="00441F34">
        <w:rPr>
          <w:rFonts w:ascii="Times New Roman" w:hAnsi="Times New Roman"/>
          <w:color w:val="0070C0"/>
          <w:sz w:val="16"/>
          <w:szCs w:val="16"/>
        </w:rPr>
        <w:softHyphen/>
        <w:t>нию реактивного дви</w:t>
      </w:r>
      <w:r w:rsidRPr="00441F34">
        <w:rPr>
          <w:rFonts w:ascii="Times New Roman" w:hAnsi="Times New Roman"/>
          <w:color w:val="0070C0"/>
          <w:sz w:val="16"/>
          <w:szCs w:val="16"/>
        </w:rPr>
        <w:softHyphen/>
        <w:t>жения (ГИРД) (23550).</w:t>
      </w:r>
    </w:p>
    <w:p w14:paraId="63E5AF94" w14:textId="77777777" w:rsidR="00E760AA" w:rsidRPr="00441F34" w:rsidRDefault="00E760AA" w:rsidP="00E760AA">
      <w:pPr>
        <w:spacing w:after="0" w:line="240" w:lineRule="auto"/>
        <w:jc w:val="both"/>
        <w:rPr>
          <w:rFonts w:ascii="Times New Roman" w:hAnsi="Times New Roman"/>
          <w:color w:val="0070C0"/>
          <w:sz w:val="16"/>
          <w:szCs w:val="16"/>
        </w:rPr>
      </w:pPr>
    </w:p>
    <w:p w14:paraId="133C737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125F53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3C4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года в Харькове на заводе "Красный Октябрь" была изготовлена установочная серия 107-мм минометов МС-107 (3861).</w:t>
      </w:r>
    </w:p>
    <w:p w14:paraId="3A891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46BD45"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в Харькове на заводе «Красный Октябрь» была изготовлена установочная серия 107-мм минометов МС-107.</w:t>
      </w:r>
    </w:p>
    <w:p w14:paraId="0CD7CE98"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с 82-мм минометом группа «Д» разработала в 1930 г. проект 107-мм химического МС-107 (миномет Стокса, калибр 107 мм). Миномет имел схему мнимого треугольника.</w:t>
      </w:r>
    </w:p>
    <w:p w14:paraId="4E1D5E7B"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Ствол гладкий. Казенник цилиндрический </w:t>
      </w:r>
      <w:proofErr w:type="spellStart"/>
      <w:r w:rsidRPr="007122AB">
        <w:rPr>
          <w:rFonts w:ascii="Times New Roman" w:hAnsi="Times New Roman"/>
          <w:color w:val="000000" w:themeColor="text1"/>
          <w:sz w:val="16"/>
          <w:szCs w:val="16"/>
        </w:rPr>
        <w:t>чашкообразной</w:t>
      </w:r>
      <w:proofErr w:type="spellEnd"/>
      <w:r w:rsidRPr="007122AB">
        <w:rPr>
          <w:rFonts w:ascii="Times New Roman" w:hAnsi="Times New Roman"/>
          <w:color w:val="000000" w:themeColor="text1"/>
          <w:sz w:val="16"/>
          <w:szCs w:val="16"/>
        </w:rPr>
        <w:t xml:space="preserve"> формы, навинчивался на ствол снаружи. Стреляющее приспособление, сделанное по схеме Стокса, </w:t>
      </w:r>
      <w:proofErr w:type="spellStart"/>
      <w:r w:rsidRPr="007122AB">
        <w:rPr>
          <w:rFonts w:ascii="Times New Roman" w:hAnsi="Times New Roman"/>
          <w:color w:val="000000" w:themeColor="text1"/>
          <w:sz w:val="16"/>
          <w:szCs w:val="16"/>
        </w:rPr>
        <w:t>Доровлев</w:t>
      </w:r>
      <w:proofErr w:type="spellEnd"/>
      <w:r w:rsidRPr="007122AB">
        <w:rPr>
          <w:rFonts w:ascii="Times New Roman" w:hAnsi="Times New Roman"/>
          <w:color w:val="000000" w:themeColor="text1"/>
          <w:sz w:val="16"/>
          <w:szCs w:val="16"/>
        </w:rPr>
        <w:t xml:space="preserve"> и K° ухитрились назвать в описании миномета… затвором (?!) — «В центре казенника рассверлено и нарезано отверстие, ось которого совпадает с осью ствола. В него ввинчивается затвор. На одном из концов затвора ударник с бойком для разбивания капсюля, а другой конец (пятка) имеет вид </w:t>
      </w:r>
      <w:proofErr w:type="spellStart"/>
      <w:r w:rsidRPr="007122AB">
        <w:rPr>
          <w:rFonts w:ascii="Times New Roman" w:hAnsi="Times New Roman"/>
          <w:color w:val="000000" w:themeColor="text1"/>
          <w:sz w:val="16"/>
          <w:szCs w:val="16"/>
        </w:rPr>
        <w:t>полушара</w:t>
      </w:r>
      <w:proofErr w:type="spellEnd"/>
      <w:r w:rsidRPr="007122AB">
        <w:rPr>
          <w:rFonts w:ascii="Times New Roman" w:hAnsi="Times New Roman"/>
          <w:color w:val="000000" w:themeColor="text1"/>
          <w:sz w:val="16"/>
          <w:szCs w:val="16"/>
        </w:rPr>
        <w:t xml:space="preserve">, которым ствол упирается в боевом положении в опорную плиту». Так что вполне возможно, что будущий историк с гуманитарным образованием, прочитав о затворе, решит, что миномет был </w:t>
      </w:r>
      <w:proofErr w:type="spellStart"/>
      <w:r w:rsidRPr="007122AB">
        <w:rPr>
          <w:rFonts w:ascii="Times New Roman" w:hAnsi="Times New Roman"/>
          <w:color w:val="000000" w:themeColor="text1"/>
          <w:sz w:val="16"/>
          <w:szCs w:val="16"/>
        </w:rPr>
        <w:t>казнозарядным</w:t>
      </w:r>
      <w:proofErr w:type="spellEnd"/>
      <w:r w:rsidRPr="007122AB">
        <w:rPr>
          <w:rFonts w:ascii="Times New Roman" w:hAnsi="Times New Roman"/>
          <w:color w:val="000000" w:themeColor="text1"/>
          <w:sz w:val="16"/>
          <w:szCs w:val="16"/>
        </w:rPr>
        <w:t>.</w:t>
      </w:r>
    </w:p>
    <w:p w14:paraId="57BE768A"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Миномет имел </w:t>
      </w:r>
      <w:proofErr w:type="spellStart"/>
      <w:r w:rsidRPr="007122AB">
        <w:rPr>
          <w:rFonts w:ascii="Times New Roman" w:hAnsi="Times New Roman"/>
          <w:color w:val="000000" w:themeColor="text1"/>
          <w:sz w:val="16"/>
          <w:szCs w:val="16"/>
        </w:rPr>
        <w:t>двуногу</w:t>
      </w:r>
      <w:proofErr w:type="spellEnd"/>
      <w:r w:rsidRPr="007122AB">
        <w:rPr>
          <w:rFonts w:ascii="Times New Roman" w:hAnsi="Times New Roman"/>
          <w:color w:val="000000" w:themeColor="text1"/>
          <w:sz w:val="16"/>
          <w:szCs w:val="16"/>
        </w:rPr>
        <w:t xml:space="preserve"> по типу 81-мм миномета Стокса — Брандта, на которой были смонтированы подъемный и поворотный механизмы. Оба механизма были винтового типа.</w:t>
      </w:r>
    </w:p>
    <w:p w14:paraId="40D66E84"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Изменение дальности стрельбы происходило как за счет изменения угла возвышения, так и за счет изменения заряда.</w:t>
      </w:r>
    </w:p>
    <w:p w14:paraId="7D5A8462"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Опорная плита миномета четырехугольная.</w:t>
      </w:r>
    </w:p>
    <w:p w14:paraId="149599EB"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Колесного хода миномет не имел, а на поле боя переносился расчетом, для чего разбирался на три части — ствол, </w:t>
      </w:r>
      <w:proofErr w:type="spellStart"/>
      <w:r w:rsidRPr="007122AB">
        <w:rPr>
          <w:rFonts w:ascii="Times New Roman" w:hAnsi="Times New Roman"/>
          <w:color w:val="000000" w:themeColor="text1"/>
          <w:sz w:val="16"/>
          <w:szCs w:val="16"/>
        </w:rPr>
        <w:t>двуногу</w:t>
      </w:r>
      <w:proofErr w:type="spellEnd"/>
      <w:r w:rsidRPr="007122AB">
        <w:rPr>
          <w:rFonts w:ascii="Times New Roman" w:hAnsi="Times New Roman"/>
          <w:color w:val="000000" w:themeColor="text1"/>
          <w:sz w:val="16"/>
          <w:szCs w:val="16"/>
        </w:rPr>
        <w:t xml:space="preserve"> и опорную плиту.</w:t>
      </w:r>
    </w:p>
    <w:p w14:paraId="4A3E78A7"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Данные миномета МС-107 </w:t>
      </w:r>
    </w:p>
    <w:p w14:paraId="59A785EB"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107</w:t>
      </w:r>
    </w:p>
    <w:p w14:paraId="0AC96DC1"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мм — 1300</w:t>
      </w:r>
    </w:p>
    <w:p w14:paraId="6C842F5F"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вертикального наведения, град — +45; +75</w:t>
      </w:r>
    </w:p>
    <w:p w14:paraId="261A3A70"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кг — 47,1</w:t>
      </w:r>
    </w:p>
    <w:p w14:paraId="574095F4"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системы в боевом положении, кг — 90</w:t>
      </w:r>
    </w:p>
    <w:p w14:paraId="63C5A57A"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Максимальное давление в канале ствола, кг/см2 — 470</w:t>
      </w:r>
    </w:p>
    <w:p w14:paraId="306A327B"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Стрельба производилась минами с четырьмя стабилизаторами (перьями). Основной заряд 3,5 г черного пороха помешался в обрезанной до 25 мм бумажной гильзе охотничьего патрона 12-го калибра. Дополнительные заряды весили по 15 г пороха «Глухарь» и в мешочках из шелковой ткани помещались между стабилизаторами (12705).</w:t>
      </w:r>
    </w:p>
    <w:p w14:paraId="751F6781" w14:textId="77777777" w:rsidR="007908DF" w:rsidRPr="007122AB" w:rsidRDefault="007908DF" w:rsidP="007122AB">
      <w:pPr>
        <w:spacing w:after="0" w:line="240" w:lineRule="auto"/>
        <w:jc w:val="both"/>
        <w:rPr>
          <w:rFonts w:ascii="Times New Roman" w:hAnsi="Times New Roman"/>
          <w:color w:val="000000" w:themeColor="text1"/>
          <w:sz w:val="16"/>
          <w:szCs w:val="16"/>
        </w:rPr>
      </w:pPr>
    </w:p>
    <w:p w14:paraId="50D2C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г., после назначения Тухачевского заместителем Наркомвоенмора - начальником вооружений РККА, разрешился спор военачальников.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w:t>
      </w:r>
      <w:proofErr w:type="spellStart"/>
      <w:r w:rsidRPr="007122AB">
        <w:rPr>
          <w:rFonts w:ascii="Times New Roman" w:hAnsi="Times New Roman"/>
          <w:color w:val="000000" w:themeColor="text1"/>
          <w:sz w:val="16"/>
          <w:szCs w:val="16"/>
        </w:rPr>
        <w:t>Корк</w:t>
      </w:r>
      <w:proofErr w:type="spellEnd"/>
      <w:r w:rsidRPr="007122AB">
        <w:rPr>
          <w:rFonts w:ascii="Times New Roman" w:hAnsi="Times New Roman"/>
          <w:color w:val="000000" w:themeColor="text1"/>
          <w:sz w:val="16"/>
          <w:szCs w:val="16"/>
        </w:rPr>
        <w:t xml:space="preserve"> и начальник артиллерийского управления РККА Г.И. Кулик рекомендовали воздержаться от принятия ее на вооружение.</w:t>
      </w:r>
    </w:p>
    <w:p w14:paraId="409D98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1935 г. сдали заказчику 134 пушки БПК.</w:t>
      </w:r>
    </w:p>
    <w:p w14:paraId="78E5F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29BF76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313B48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4977DE"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весны 1931 г. на заводе Большевик ударными темпами шла подготовка к серийному выпуску Т-26: переводились из дюймовой системы в метрическую чертежи, разрабатывались техпроцессы, проектировались и изготавливались специальный инструмент и приспособления (15132).</w:t>
      </w:r>
    </w:p>
    <w:p w14:paraId="7F884D7F" w14:textId="77777777" w:rsidR="00837F59" w:rsidRPr="007122AB" w:rsidRDefault="00837F59" w:rsidP="007122AB">
      <w:pPr>
        <w:spacing w:after="0" w:line="240" w:lineRule="auto"/>
        <w:jc w:val="both"/>
        <w:rPr>
          <w:rFonts w:ascii="Times New Roman" w:hAnsi="Times New Roman"/>
          <w:color w:val="000000" w:themeColor="text1"/>
          <w:sz w:val="16"/>
          <w:szCs w:val="16"/>
        </w:rPr>
      </w:pPr>
    </w:p>
    <w:p w14:paraId="2B11F6C7" w14:textId="77777777" w:rsidR="00837F59" w:rsidRPr="007122AB" w:rsidRDefault="00837F59" w:rsidP="007122AB">
      <w:pPr>
        <w:pStyle w:val="a3"/>
        <w:rPr>
          <w:color w:val="000000" w:themeColor="text1"/>
          <w:lang w:val="ru-RU"/>
        </w:rPr>
      </w:pPr>
      <w:r w:rsidRPr="007122AB">
        <w:rPr>
          <w:color w:val="000000" w:themeColor="text1"/>
          <w:lang w:val="ru-RU"/>
        </w:rPr>
        <w:t>Весной 1931 г. танк №1 использовали в основном для ознакомительных и учебных целей, хотя выявленные недостатки больше не по</w:t>
      </w:r>
      <w:r w:rsidRPr="007122AB">
        <w:rPr>
          <w:color w:val="000000" w:themeColor="text1"/>
          <w:lang w:val="ru-RU"/>
        </w:rPr>
        <w:softHyphen/>
        <w:t>вторялись. Полноценные ходовые испытания проводились на втором образце (15745).</w:t>
      </w:r>
    </w:p>
    <w:p w14:paraId="6B34EAA9" w14:textId="77777777" w:rsidR="00837F59" w:rsidRPr="007122AB" w:rsidRDefault="00837F59" w:rsidP="007122AB">
      <w:pPr>
        <w:pStyle w:val="a3"/>
        <w:rPr>
          <w:color w:val="000000" w:themeColor="text1"/>
          <w:lang w:val="ru-RU"/>
        </w:rPr>
      </w:pPr>
    </w:p>
    <w:p w14:paraId="681B4257"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г. по специальному заданию ЭКО ОГПУ ЛВО группа инженеров-конструкторов в составе Асафова, Алексеева и Скворцова приступила к проектированию нового </w:t>
      </w:r>
      <w:hyperlink r:id="rId10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Предполагалось, что </w:t>
      </w:r>
      <w:hyperlink r:id="rId10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будет относиться к среднему типу, а значит по массе, бронированию и вооружению он не должен уступать ТГ.</w:t>
      </w:r>
    </w:p>
    <w:p w14:paraId="78CCE1A3"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результате проведенных работ к апрелю 1931 года был спроектирован </w:t>
      </w:r>
      <w:hyperlink r:id="rId11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ТА-1 с мощным вооружением.</w:t>
      </w:r>
    </w:p>
    <w:p w14:paraId="66F928D7"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Компоновка машины была выполнена по классической схеме, которая включала в себя три отделения: управления, боевое и моторно-трансмиссионное. Экипаж </w:t>
      </w:r>
      <w:hyperlink r:id="rId11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состоял из пяти человек. На </w:t>
      </w:r>
      <w:hyperlink r:id="rId11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е была </w:t>
      </w:r>
      <w:proofErr w:type="spellStart"/>
      <w:r w:rsidRPr="007122AB">
        <w:rPr>
          <w:rFonts w:ascii="Times New Roman" w:hAnsi="Times New Roman"/>
          <w:color w:val="000000" w:themeColor="text1"/>
          <w:sz w:val="16"/>
          <w:szCs w:val="16"/>
        </w:rPr>
        <w:t>примененая</w:t>
      </w:r>
      <w:proofErr w:type="spellEnd"/>
      <w:r w:rsidRPr="007122AB">
        <w:rPr>
          <w:rFonts w:ascii="Times New Roman" w:hAnsi="Times New Roman"/>
          <w:color w:val="000000" w:themeColor="text1"/>
          <w:sz w:val="16"/>
          <w:szCs w:val="16"/>
        </w:rPr>
        <w:t xml:space="preserve"> двухярусная установка пушечного вооружения калибра 76,2 мм и 37 мм.</w:t>
      </w:r>
    </w:p>
    <w:p w14:paraId="7FA0BF68"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вспомогательного вооружения использовались четыре 7,62-мм пулемета "Максим", установленные в шаровых опорах - два в отделении управления в два в башне (один пулемет спарен с 76,2-мм пушкой). 76,2-мм пушка А-19 монтировалась в куполообразной вращающейся башне, на которой размещалась малая куполообразная башня с 37-мм пушкой. Поворот малой башни мог производиться независимо от нижней. Максимальный угол вертикального наведения 37-мм пушки составлял 65 град и обеспечивал возможность ведения стрельбы по воздушным целям. Боекомплект пулеметов был рассчитан на 10 мин. непрерывной стрельбы. Для наблюдения за полем боя на малой башне имелся стробоскоп.</w:t>
      </w:r>
    </w:p>
    <w:p w14:paraId="54DBE9EC"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Бронирование </w:t>
      </w:r>
      <w:hyperlink r:id="rId11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ТА-1 было слабее чем у ТГ. Так, например, основная башня изготовлялась методом штамповки и сварки из 20-мм брони (у </w:t>
      </w:r>
      <w:hyperlink r:id="rId11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Гроте – 30 мм), малая башня – из 13 мм брони. Тем не менее, боевая масса </w:t>
      </w:r>
      <w:hyperlink r:id="rId11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снизилась до 18000-18500 кг, что было на 50% меньше чем у ТГ.</w:t>
      </w:r>
    </w:p>
    <w:p w14:paraId="13A9E75E"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силовой установке предполагалось использовать авиационный карбюраторный “Либерти", но поскольку авиапромышленность осваивала лицензионный выпуск BMW-IV мощностью 500 л.с. при 1420 об./мин., проект был скорректирован под него. В состав механической трансмиссии входили: главный фрикцион, коробка передач, два бортовых фрикциона и два бортовых редуктора. В </w:t>
      </w:r>
      <w:hyperlink r:id="rId11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е использовались пневматическая система управления трансмиссией и механические приводы непосредственного действия.</w:t>
      </w:r>
    </w:p>
    <w:p w14:paraId="781DB273"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Подвеска </w:t>
      </w:r>
      <w:hyperlink r:id="rId11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представляла собой модернизированную подвеску американского </w:t>
      </w:r>
      <w:hyperlink r:id="rId11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М.1940 "Кристи" с измененной конструкцией балансиров опорных катков. В ходовой части использовались гусеницы из штампованных траков, которые имели цевочное зацепление с ведущими колесами. Опорные и поддерживающие катки, а также направляющие колеса имели наружную амортизацию. Расчетная максимальная скорость </w:t>
      </w:r>
      <w:hyperlink r:id="rId11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боевой массой 18,2 т составляла 50 км/ч.</w:t>
      </w:r>
    </w:p>
    <w:p w14:paraId="2653D38D"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эскизный проект ТА-1 предполагал, что </w:t>
      </w:r>
      <w:hyperlink r:id="rId12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будет иметь только гусеничный ход, но уже на начальном этапе проектирования было получено распоряжение оснастить машину колесно-гусеничным движителем. Это повлекло за собой целую серию доработок в конечном итоге проект был значительно переработан и получил индекс ТА-2.</w:t>
      </w:r>
    </w:p>
    <w:p w14:paraId="78E77FBE"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Главное внимание при проектировании ТА-2 было обращено на конструкцию передних поворотных колес и систему подвески заднего моста (привода ведущих колес колесного хода). Система </w:t>
      </w:r>
      <w:proofErr w:type="spellStart"/>
      <w:r w:rsidRPr="007122AB">
        <w:rPr>
          <w:rFonts w:ascii="Times New Roman" w:hAnsi="Times New Roman"/>
          <w:color w:val="000000" w:themeColor="text1"/>
          <w:sz w:val="16"/>
          <w:szCs w:val="16"/>
        </w:rPr>
        <w:t>подрессоривания</w:t>
      </w:r>
      <w:proofErr w:type="spellEnd"/>
      <w:r w:rsidRPr="007122AB">
        <w:rPr>
          <w:rFonts w:ascii="Times New Roman" w:hAnsi="Times New Roman"/>
          <w:color w:val="000000" w:themeColor="text1"/>
          <w:sz w:val="16"/>
          <w:szCs w:val="16"/>
        </w:rPr>
        <w:t xml:space="preserve"> была спроектирована по типу </w:t>
      </w:r>
      <w:hyperlink r:id="rId12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Кристи, но с горизонтальным расположением рессор. Из-за значительных усилий, возникающих в рулевом механизме управляемых колес при повороте на колесном ходу, он был снабжен пневматическим усилителем.</w:t>
      </w:r>
    </w:p>
    <w:p w14:paraId="641C8CB7"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движении на колёсном ходу две задние пары опорных катков являлись ведущими. Привод к ним осуществлялся от бортовых редукторов </w:t>
      </w:r>
      <w:hyperlink r:id="rId12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через шестеренчатые редукторы (гитары), расположенные по бортам </w:t>
      </w:r>
      <w:hyperlink r:id="rId12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Распределение крутящего момента между колесами производилось с помощью гитар-балансиров. Узлы и агрегаты моторно-трансмиссионного отделения, ведущие колеса гусеничного хода и гусеницы были такими же, как в </w:t>
      </w:r>
      <w:hyperlink r:id="rId12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е ТА-1. Из-за ограничения внутренних объемов отделений пришлось отказаться от ручных приводов управления и перейти на пневматические.</w:t>
      </w:r>
    </w:p>
    <w:p w14:paraId="364F2983"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части вооружения было увеличено до пяти число установленных пулеметов - дополнялось бортовыми пулеметами для обеспечения «зачистки окопов». Увеличение мощи вооружения происходило за счет сокращения боекомплекта, рассчитанного на ведение боя в течение 6 минут. Численность экипажа осталась без изменений. Танк должен был иметь массу 27,5 т и развивать максимальную скорость на колесном ходу до 80 км/ч, на гусеничном - до 50 км/ч.</w:t>
      </w:r>
    </w:p>
    <w:p w14:paraId="15F8690C" w14:textId="77777777" w:rsidR="00837F59" w:rsidRPr="007122AB" w:rsidRDefault="00837F5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Эти показатели сочли слишком оптимистичными, да и запас хода ТА-2 не совсем отвечал предъявляемым требованиям к “маневренному” </w:t>
      </w:r>
      <w:hyperlink r:id="rId12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у. Более того, военная комиссия обнаружила в проекте новые ошибки, что в совокупности с возросшей ценой привело к отказу от работ по этому проекту. Все это побудило конструкторов начать проектирование третьего </w:t>
      </w:r>
      <w:hyperlink r:id="rId12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 Т-3, который относился уже к «позиционным», так как имел массу свыше 32 т (15620).</w:t>
      </w:r>
    </w:p>
    <w:p w14:paraId="75E2BEC2" w14:textId="77777777" w:rsidR="00837F59" w:rsidRPr="007122AB" w:rsidRDefault="00837F59" w:rsidP="007122AB">
      <w:pPr>
        <w:spacing w:after="0" w:line="240" w:lineRule="auto"/>
        <w:jc w:val="both"/>
        <w:rPr>
          <w:rFonts w:ascii="Times New Roman" w:hAnsi="Times New Roman"/>
          <w:color w:val="000000" w:themeColor="text1"/>
          <w:sz w:val="16"/>
          <w:szCs w:val="16"/>
        </w:rPr>
      </w:pPr>
    </w:p>
    <w:p w14:paraId="16BD0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был изготовлен опытный образец десантного танка Д-14, разработанного ОКИБ УММ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В мае-июне 1931 прошел испытания на НИБТ полигоне. Показал неплохие качества, но выявилась слабость силовой установки из-за неудачного охлаждения, плохой обзор, перегрузка задних тележек (9527,206).</w:t>
      </w:r>
    </w:p>
    <w:p w14:paraId="6D4F1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E80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под руководством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был разработан и в мае изготовлен ба Д-9 на шасси трехосного полноприводного Мериленда (9527,325)</w:t>
      </w:r>
    </w:p>
    <w:p w14:paraId="19D2113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EBE4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велась лишь подготовка к производству танков по временному техпроцессу, началось также изго</w:t>
      </w:r>
      <w:r w:rsidRPr="007122AB">
        <w:rPr>
          <w:rFonts w:ascii="Times New Roman" w:hAnsi="Times New Roman"/>
          <w:color w:val="000000" w:themeColor="text1"/>
          <w:sz w:val="16"/>
          <w:szCs w:val="16"/>
        </w:rPr>
        <w:softHyphen/>
        <w:t>товление первых двух эталонных танков. Несмотря на то, что завод «Большевик» имел сравнительно мощное КБ, над Т-26 первоначально работало всего 5 человек, которые за</w:t>
      </w:r>
      <w:r w:rsidRPr="007122AB">
        <w:rPr>
          <w:rFonts w:ascii="Times New Roman" w:hAnsi="Times New Roman"/>
          <w:color w:val="000000" w:themeColor="text1"/>
          <w:sz w:val="16"/>
          <w:szCs w:val="16"/>
        </w:rPr>
        <w:softHyphen/>
        <w:t>нимались только переводом чертежей танка из дюймовых единиц в метрические (10733,175).</w:t>
      </w:r>
    </w:p>
    <w:p w14:paraId="36A98A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E14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согласно заказа № 70900311 предписывалось к праздни</w:t>
      </w:r>
      <w:r w:rsidRPr="007122AB">
        <w:rPr>
          <w:rFonts w:ascii="Times New Roman" w:hAnsi="Times New Roman"/>
          <w:color w:val="000000" w:themeColor="text1"/>
          <w:sz w:val="16"/>
          <w:szCs w:val="16"/>
        </w:rPr>
        <w:softHyphen/>
        <w:t>ку 7 ноября изготовить 6 образцов танка БТ для их участия в парадах г. Москвы и Харькова. Для этого назначили допол</w:t>
      </w:r>
      <w:r w:rsidRPr="007122AB">
        <w:rPr>
          <w:rFonts w:ascii="Times New Roman" w:hAnsi="Times New Roman"/>
          <w:color w:val="000000" w:themeColor="text1"/>
          <w:sz w:val="16"/>
          <w:szCs w:val="16"/>
        </w:rPr>
        <w:softHyphen/>
        <w:t>нительные меры материального стимулирования, усилиями Г. Орджоникидзе завод был снабжен всем необходимым. Выполнению заказов ХПЗ у соисполнителей была дана «зе</w:t>
      </w:r>
      <w:r w:rsidRPr="007122AB">
        <w:rPr>
          <w:rFonts w:ascii="Times New Roman" w:hAnsi="Times New Roman"/>
          <w:color w:val="000000" w:themeColor="text1"/>
          <w:sz w:val="16"/>
          <w:szCs w:val="16"/>
        </w:rPr>
        <w:softHyphen/>
        <w:t>леная улица». Но лишь три машины были готовы к указанно</w:t>
      </w:r>
      <w:r w:rsidRPr="007122AB">
        <w:rPr>
          <w:rFonts w:ascii="Times New Roman" w:hAnsi="Times New Roman"/>
          <w:color w:val="000000" w:themeColor="text1"/>
          <w:sz w:val="16"/>
          <w:szCs w:val="16"/>
        </w:rPr>
        <w:softHyphen/>
        <w:t>му сроку, из которых у одной при подходе к Москве загоре</w:t>
      </w:r>
      <w:r w:rsidRPr="007122AB">
        <w:rPr>
          <w:rFonts w:ascii="Times New Roman" w:hAnsi="Times New Roman"/>
          <w:color w:val="000000" w:themeColor="text1"/>
          <w:sz w:val="16"/>
          <w:szCs w:val="16"/>
        </w:rPr>
        <w:softHyphen/>
        <w:t>лось моторное отделение, и потому в параде 7 ноября 1931 г. приняли участие лишь два танка БТ. Во время движения по Москве оба танка испытывали многочисленные неисправ</w:t>
      </w:r>
      <w:r w:rsidRPr="007122AB">
        <w:rPr>
          <w:rFonts w:ascii="Times New Roman" w:hAnsi="Times New Roman"/>
          <w:color w:val="000000" w:themeColor="text1"/>
          <w:sz w:val="16"/>
          <w:szCs w:val="16"/>
        </w:rPr>
        <w:softHyphen/>
        <w:t>ности, и наибольшие опасения вызывало безостановочное быстрое движение их по Красной площади. Но обошлось. Все это подпортило впечатление о танке (10733,199).</w:t>
      </w:r>
    </w:p>
    <w:p w14:paraId="7FDF43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8C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года начались всесторонние испытания танков Кристи в СССР (3862). Проводились на полигоне под Воронежем (9527,98).</w:t>
      </w:r>
    </w:p>
    <w:p w14:paraId="23AFD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92A9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Харьковский паровозостроительный завод (ХПЗ им. Коминтерна) получил от управления "</w:t>
      </w:r>
      <w:proofErr w:type="spellStart"/>
      <w:r w:rsidRPr="007122AB">
        <w:rPr>
          <w:rFonts w:ascii="Times New Roman" w:hAnsi="Times New Roman"/>
          <w:color w:val="000000" w:themeColor="text1"/>
          <w:sz w:val="16"/>
          <w:szCs w:val="16"/>
        </w:rPr>
        <w:t>Парвагдиз</w:t>
      </w:r>
      <w:proofErr w:type="spellEnd"/>
      <w:r w:rsidRPr="007122AB">
        <w:rPr>
          <w:rFonts w:ascii="Times New Roman" w:hAnsi="Times New Roman"/>
          <w:color w:val="000000" w:themeColor="text1"/>
          <w:sz w:val="16"/>
          <w:szCs w:val="16"/>
        </w:rPr>
        <w:t xml:space="preserve">" (ведавшего производством паровозов, вагонов и дизелей) задание на разработку "мощного автотракторного мотора Дизеля". Цель заказа была сформулирована вполне определенно - "создать дизель как новый тип двигателя для танка". Дело в том, что к этому времени на ХПЗ разворачивалось массовое производство танков, требовавших мощных и надежных силовых установок, в составе которых приходилось использовать авиационные бензиновые карбюраторные двигатели. Но они не обладали требуемой выносливостью и долговечностью, были малоэкономичны и пожароопасны, слабо отвечали специфике эксплуатации - частым переменам тяговых усилий и скорости, тряске, ударам, запыленности. Двигателисты завода констатировали: "Наличие на заводе производства быстроходных танков БТ и мощных гусеничных тракторов поставило перед заводом задачу - в соответствии с новейшими тенденциями современной техники - заменить бензиновые моторы танков и тракторов двигателями Дизеля". Выданное заводу задание, помимо сосредоточения на нем производства и танков и двигателей, имело дополнительные резоны. На ХПЗ существовали давние традиции дизельного производства, начавшегося еще в дореволюционный период. Он выпускал судовые и стационарные "нефтянки" для промышленности, двигатели для тракторов и располагал собственным конструкторским отделом по дизелестроению, именовавшимся тогда "тепловым". Однако строились преимущественно тяжелые и тихоходные моторы, обладавшие абсолютно неудовлетворительными для новых задач параметрами. Громоздкие и массивные бескомпрессорные дизели годились для цехов, но никак не вписывались в компоновку танка. Тракторные моторы также не подходили ввиду малой мощности, кроме того, небольшой объем их выпуска никак не отвечал масштабным планам моторизации и механизации Красной Армии. Работникам конструкторского отдела, в том же 1931 г. переименованного в дизельный, предстояло создать мотор, аналогов которому в мире не было. Возглавил работы талантливый и энергичный 32-летний руководитель - Константин Федорович </w:t>
      </w:r>
      <w:proofErr w:type="spellStart"/>
      <w:r w:rsidRPr="007122AB">
        <w:rPr>
          <w:rFonts w:ascii="Times New Roman" w:hAnsi="Times New Roman"/>
          <w:color w:val="000000" w:themeColor="text1"/>
          <w:sz w:val="16"/>
          <w:szCs w:val="16"/>
        </w:rPr>
        <w:t>Челпан</w:t>
      </w:r>
      <w:proofErr w:type="spellEnd"/>
      <w:r w:rsidRPr="007122AB">
        <w:rPr>
          <w:rFonts w:ascii="Times New Roman" w:hAnsi="Times New Roman"/>
          <w:color w:val="000000" w:themeColor="text1"/>
          <w:sz w:val="16"/>
          <w:szCs w:val="16"/>
        </w:rPr>
        <w:t xml:space="preserve">. Молодой конструктор был энтузиастом дизельного дела с семилетним опытом работы в этой области. Он прошел стажировку в лабораториях и на заводах Германии, Швейцарии и Англии. Конструкторской проработкой дизеля занимался его сокурсник по институту Яков Ефимович </w:t>
      </w:r>
      <w:proofErr w:type="spellStart"/>
      <w:r w:rsidRPr="007122AB">
        <w:rPr>
          <w:rFonts w:ascii="Times New Roman" w:hAnsi="Times New Roman"/>
          <w:color w:val="000000" w:themeColor="text1"/>
          <w:sz w:val="16"/>
          <w:szCs w:val="16"/>
        </w:rPr>
        <w:t>Вихман</w:t>
      </w:r>
      <w:proofErr w:type="spellEnd"/>
      <w:r w:rsidRPr="007122AB">
        <w:rPr>
          <w:rFonts w:ascii="Times New Roman" w:hAnsi="Times New Roman"/>
          <w:color w:val="000000" w:themeColor="text1"/>
          <w:sz w:val="16"/>
          <w:szCs w:val="16"/>
        </w:rPr>
        <w:t>, назначенный начальником бюро практически одновременно с выдачей технического задания.</w:t>
      </w:r>
    </w:p>
    <w:p w14:paraId="3482E7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задании на разработку будущего дизеля устанавливалась мощность 300 л.с. при частоте вращения коленвала 1600 об/мин. Для него была выбрана V-образная 12-цилиндровая схема. Охлаждение - принудительное водяное, пуск - воздушный с электростартером. Предполагалось использовать топливную аппаратуру известной германской фирмы "Бош" с переходом в дальнейшем на отечественную. Мотор существенно отличался от предыдущих разработок, для которых была характерна простая рядная схема и рабочая частота вращения, не превышавшая 250 об/мин. Эти соображения навели на мысль об использовании авиационного двигателя жидкостного охлаждения- легкого, мощного и высокооборотного - в качестве прототипа танкового дизеля (9021).</w:t>
      </w:r>
    </w:p>
    <w:p w14:paraId="1CF9C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4A670E"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года группе арестованных конструкторов-паровозников было поручено сконструировать наиболее совершенный тип пассажирского паровоза. Эскизный проект мощного пассажирского паровоза был разработан достаточно оперативно и уже 3 ноября 1931 года председатель ОГПУ Рудольф Менжинский направил его секретарю ЦК ВКП(б) Сталину. Важным было то, что основные узлы нового паровоза были взаимозаменяемы с уже построенным по проекту ОГПУ на Луганском заводе товарным 20-тонным паровозом. Это являлось новым достижением в технике паровозного дела. Взаимозаменяемость была чрезвычайно важна как при постройке паровозов, так и при их ремонте и эксплуатации. Менжинский предлагал поручить постройку опытного экземпляра паровоза Локомотивному объединению ВСНХ, но под руководством ОГПУ (18728).</w:t>
      </w:r>
    </w:p>
    <w:p w14:paraId="256048DF"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79D86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модернизированный "Марат" вступил в строй. К этому времени не удалось создать ни отечественной катапульты, ни корабельного гидросамолета. Поэтому вскоре линкор вооружили гидросамолетом КР-1 из числа тридцати машин, закупленных у германской фирмы "Хейнкель". Самолет находился на крыше третьей башни, а перемещался на воду и с воды стрелой для подъ</w:t>
      </w:r>
      <w:r w:rsidRPr="007122AB">
        <w:rPr>
          <w:rFonts w:ascii="Times New Roman" w:hAnsi="Times New Roman"/>
          <w:color w:val="000000" w:themeColor="text1"/>
          <w:sz w:val="16"/>
          <w:szCs w:val="16"/>
        </w:rPr>
        <w:softHyphen/>
        <w:t xml:space="preserve">ема корабельных катеров. В 1932 г. на третьей башне "Парижской коммуны" </w:t>
      </w:r>
      <w:proofErr w:type="spellStart"/>
      <w:r w:rsidRPr="007122AB">
        <w:rPr>
          <w:rFonts w:ascii="Times New Roman" w:hAnsi="Times New Roman"/>
          <w:color w:val="000000" w:themeColor="text1"/>
          <w:sz w:val="16"/>
          <w:szCs w:val="16"/>
        </w:rPr>
        <w:t>бьша</w:t>
      </w:r>
      <w:proofErr w:type="spellEnd"/>
      <w:r w:rsidRPr="007122AB">
        <w:rPr>
          <w:rFonts w:ascii="Times New Roman" w:hAnsi="Times New Roman"/>
          <w:color w:val="000000" w:themeColor="text1"/>
          <w:sz w:val="16"/>
          <w:szCs w:val="16"/>
        </w:rPr>
        <w:t xml:space="preserve"> установлена и пневматическая катапульта К-3 той же фирмы, которая обеспечивала взлет корабельного гидросамолета (3898).</w:t>
      </w:r>
    </w:p>
    <w:p w14:paraId="7D5F0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033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после ус</w:t>
      </w:r>
      <w:r w:rsidRPr="007122AB">
        <w:rPr>
          <w:rFonts w:ascii="Times New Roman" w:hAnsi="Times New Roman"/>
          <w:color w:val="000000" w:themeColor="text1"/>
          <w:sz w:val="16"/>
          <w:szCs w:val="16"/>
        </w:rPr>
        <w:softHyphen/>
        <w:t>транения некоторых дефектов, сторожевой корабль николаевского завода Ураган был предъявлен Постоян</w:t>
      </w:r>
      <w:r w:rsidRPr="007122AB">
        <w:rPr>
          <w:rFonts w:ascii="Times New Roman" w:hAnsi="Times New Roman"/>
          <w:color w:val="000000" w:themeColor="text1"/>
          <w:sz w:val="16"/>
          <w:szCs w:val="16"/>
        </w:rPr>
        <w:softHyphen/>
        <w:t xml:space="preserve">ной комиссии А. К. </w:t>
      </w:r>
      <w:proofErr w:type="spellStart"/>
      <w:r w:rsidRPr="007122AB">
        <w:rPr>
          <w:rFonts w:ascii="Times New Roman" w:hAnsi="Times New Roman"/>
          <w:color w:val="000000" w:themeColor="text1"/>
          <w:sz w:val="16"/>
          <w:szCs w:val="16"/>
        </w:rPr>
        <w:t>Векмана</w:t>
      </w:r>
      <w:proofErr w:type="spellEnd"/>
      <w:r w:rsidRPr="007122AB">
        <w:rPr>
          <w:rFonts w:ascii="Times New Roman" w:hAnsi="Times New Roman"/>
          <w:color w:val="000000" w:themeColor="text1"/>
          <w:sz w:val="16"/>
          <w:szCs w:val="16"/>
        </w:rPr>
        <w:t>. Ответственным сдатчиком от завода был К. А. Камешков. На официальных испытаниях (1931 г.) "Ураган" при суммар</w:t>
      </w:r>
      <w:r w:rsidRPr="007122AB">
        <w:rPr>
          <w:rFonts w:ascii="Times New Roman" w:hAnsi="Times New Roman"/>
          <w:color w:val="000000" w:themeColor="text1"/>
          <w:sz w:val="16"/>
          <w:szCs w:val="16"/>
        </w:rPr>
        <w:softHyphen/>
        <w:t xml:space="preserve">ной мощности двух ГТЗА 6850 л. с. развил скорость 25,8 уз. Такое значительное отступление от задания и проекта </w:t>
      </w:r>
      <w:proofErr w:type="spellStart"/>
      <w:r w:rsidRPr="007122AB">
        <w:rPr>
          <w:rFonts w:ascii="Times New Roman" w:hAnsi="Times New Roman"/>
          <w:color w:val="000000" w:themeColor="text1"/>
          <w:sz w:val="16"/>
          <w:szCs w:val="16"/>
        </w:rPr>
        <w:t>бьыо</w:t>
      </w:r>
      <w:proofErr w:type="spellEnd"/>
      <w:r w:rsidRPr="007122AB">
        <w:rPr>
          <w:rFonts w:ascii="Times New Roman" w:hAnsi="Times New Roman"/>
          <w:color w:val="000000" w:themeColor="text1"/>
          <w:sz w:val="16"/>
          <w:szCs w:val="16"/>
        </w:rPr>
        <w:t xml:space="preserve"> вызвано пе</w:t>
      </w:r>
      <w:r w:rsidRPr="007122AB">
        <w:rPr>
          <w:rFonts w:ascii="Times New Roman" w:hAnsi="Times New Roman"/>
          <w:color w:val="000000" w:themeColor="text1"/>
          <w:sz w:val="16"/>
          <w:szCs w:val="16"/>
        </w:rPr>
        <w:softHyphen/>
        <w:t>регрузкой (полное водоизмещение возросло на 80 т) и "... неполуче</w:t>
      </w:r>
      <w:r w:rsidRPr="007122AB">
        <w:rPr>
          <w:rFonts w:ascii="Times New Roman" w:hAnsi="Times New Roman"/>
          <w:color w:val="000000" w:themeColor="text1"/>
          <w:sz w:val="16"/>
          <w:szCs w:val="16"/>
        </w:rPr>
        <w:softHyphen/>
        <w:t>нием механической установкой вследствие ошибок в проектирова</w:t>
      </w:r>
      <w:r w:rsidRPr="007122AB">
        <w:rPr>
          <w:rFonts w:ascii="Times New Roman" w:hAnsi="Times New Roman"/>
          <w:color w:val="000000" w:themeColor="text1"/>
          <w:sz w:val="16"/>
          <w:szCs w:val="16"/>
        </w:rPr>
        <w:softHyphen/>
        <w:t>нии назначенной мощности..." (3898).</w:t>
      </w:r>
    </w:p>
    <w:p w14:paraId="0F5EF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66649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B2D42E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DB25B7" w14:textId="77777777" w:rsidR="00C573D5" w:rsidRPr="007122AB" w:rsidRDefault="00C573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трехтысячная армия Ибрагим-бека перешла границу СССР со стороны Афганистана. Первые удары басмачей приняли на себя подразде</w:t>
      </w:r>
      <w:r w:rsidRPr="007122AB">
        <w:rPr>
          <w:rFonts w:ascii="Times New Roman" w:hAnsi="Times New Roman"/>
          <w:color w:val="000000" w:themeColor="text1"/>
          <w:sz w:val="16"/>
          <w:szCs w:val="16"/>
        </w:rPr>
        <w:softHyphen/>
        <w:t>ления и части пограничных войск. Из России прилетел авиационный отряд из 25 самолетов ВВС Красной Армии, так называемая «Уральская эскадрилья», вооруженная самолетами Р-1 и Р-3. Невиданные ранее «железные птицы», или по-местному «шайтан-арба», обрушивающие на противника пулеметный огонь, наводили ужас на суеверных басмачей и вселяли уверенность в рядах защитников границы. Иногда одно только появление самолетов в районе бое</w:t>
      </w:r>
      <w:r w:rsidRPr="007122AB">
        <w:rPr>
          <w:rFonts w:ascii="Times New Roman" w:hAnsi="Times New Roman"/>
          <w:color w:val="000000" w:themeColor="text1"/>
          <w:sz w:val="16"/>
          <w:szCs w:val="16"/>
        </w:rPr>
        <w:softHyphen/>
        <w:t>вых столкновений решало исход боя в пользу пограничников (20402).</w:t>
      </w:r>
    </w:p>
    <w:p w14:paraId="2B42A50A" w14:textId="77777777" w:rsidR="00C573D5" w:rsidRPr="007122AB" w:rsidRDefault="00C573D5" w:rsidP="007122AB">
      <w:pPr>
        <w:spacing w:after="0" w:line="240" w:lineRule="auto"/>
        <w:jc w:val="both"/>
        <w:rPr>
          <w:rFonts w:ascii="Times New Roman" w:hAnsi="Times New Roman"/>
          <w:color w:val="000000" w:themeColor="text1"/>
          <w:sz w:val="16"/>
          <w:szCs w:val="16"/>
        </w:rPr>
      </w:pPr>
    </w:p>
    <w:p w14:paraId="326B85A9"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г. согласно Директиве Штаба РККА от 18 апреля 1931 г. за № 1/013295 командование РККА приняло решение о создании в ЛВО нештатного Опытного </w:t>
      </w:r>
      <w:proofErr w:type="spellStart"/>
      <w:r w:rsidRPr="007122AB">
        <w:rPr>
          <w:rFonts w:ascii="Times New Roman" w:hAnsi="Times New Roman"/>
          <w:color w:val="000000" w:themeColor="text1"/>
          <w:sz w:val="16"/>
          <w:szCs w:val="16"/>
        </w:rPr>
        <w:t>воздухо</w:t>
      </w:r>
      <w:proofErr w:type="spellEnd"/>
      <w:r w:rsidRPr="007122AB">
        <w:rPr>
          <w:rFonts w:ascii="Times New Roman" w:hAnsi="Times New Roman"/>
          <w:color w:val="000000" w:themeColor="text1"/>
          <w:sz w:val="16"/>
          <w:szCs w:val="16"/>
        </w:rPr>
        <w:t xml:space="preserve">-десантного отряда в составе тяжелой бомбардировочной эскадрильи (12 самолетов ТБ-1) и корпусного авиаотряда (10 самолетов Р-5). Командиром этого отряда стал Е.Д. Лукин. Дату завершения формирования отряда – 1 июня 1931 г. – впоследствии официально утвердили как День создания </w:t>
      </w:r>
      <w:proofErr w:type="spellStart"/>
      <w:r w:rsidRPr="007122AB">
        <w:rPr>
          <w:rFonts w:ascii="Times New Roman" w:hAnsi="Times New Roman"/>
          <w:color w:val="000000" w:themeColor="text1"/>
          <w:sz w:val="16"/>
          <w:szCs w:val="16"/>
        </w:rPr>
        <w:t>Военнотранспортной</w:t>
      </w:r>
      <w:proofErr w:type="spellEnd"/>
      <w:r w:rsidRPr="007122AB">
        <w:rPr>
          <w:rFonts w:ascii="Times New Roman" w:hAnsi="Times New Roman"/>
          <w:color w:val="000000" w:themeColor="text1"/>
          <w:sz w:val="16"/>
          <w:szCs w:val="16"/>
        </w:rPr>
        <w:t xml:space="preserve"> авиации (ВТА) (19566).</w:t>
      </w:r>
    </w:p>
    <w:p w14:paraId="61F368A7"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5202B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строевые лётчики ещё только осваивали новые истребители. Заботясь о подготовке кадров, 27 июня 9-й школе лётчиков передали фюзеляж И-5 и несколько моторов М-22. Постепенно новых самолётов становилось всё больше. Внедрение И-5 началось с Ленинградского и Украинского военных округов. На них перевооружали эскадрильи и отряды, летавшие ранее на И-3 и D.XI. Каждая эскадрилья по штату состояла из 22 истребителей (три отряда по семь машин плюс командирская). Отдельные отряды должны были комплектоваться семью истребителями каждый. Позже штат эскадрильи довели до 31 самолёта, отряда - до десяти. Но поначалу новой техники на их полное укомплектование не хватало (11997).</w:t>
      </w:r>
    </w:p>
    <w:p w14:paraId="4DC1D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2758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года Тухачевский, который тогда еще коман</w:t>
      </w:r>
      <w:r w:rsidRPr="007122AB">
        <w:rPr>
          <w:rFonts w:ascii="Times New Roman" w:hAnsi="Times New Roman"/>
          <w:color w:val="000000" w:themeColor="text1"/>
          <w:sz w:val="16"/>
          <w:szCs w:val="16"/>
        </w:rPr>
        <w:softHyphen/>
        <w:t>довал войсками ЛВО, за десять лет до начала Великой Отечественной войны, начал широко задуманный капитальный труд под названием: «Новые вопросы войны».</w:t>
      </w:r>
    </w:p>
    <w:p w14:paraId="207637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1932 года Тухачевский лишь вчерне закончил первый том, в котором были рассмотрены вооруженные силы государств и способы их использования на сухопутных театрах. Многие положения, выдвинутые тогда Тухачевским, ныне устарели. Вместе с тем, в машинописной копии рукописи его труда, хранящейся в ЦГА Советской Армии, имеются поло</w:t>
      </w:r>
      <w:r w:rsidRPr="007122AB">
        <w:rPr>
          <w:rFonts w:ascii="Times New Roman" w:hAnsi="Times New Roman"/>
          <w:color w:val="000000" w:themeColor="text1"/>
          <w:sz w:val="16"/>
          <w:szCs w:val="16"/>
        </w:rPr>
        <w:softHyphen/>
        <w:t>жения, которые помогут нам понять, почему именно тем, а не иным пу</w:t>
      </w:r>
      <w:r w:rsidRPr="007122AB">
        <w:rPr>
          <w:rFonts w:ascii="Times New Roman" w:hAnsi="Times New Roman"/>
          <w:color w:val="000000" w:themeColor="text1"/>
          <w:sz w:val="16"/>
          <w:szCs w:val="16"/>
        </w:rPr>
        <w:softHyphen/>
        <w:t>тем пошло развитие советского танкостроения и моторостроения для тан</w:t>
      </w:r>
      <w:r w:rsidRPr="007122AB">
        <w:rPr>
          <w:rFonts w:ascii="Times New Roman" w:hAnsi="Times New Roman"/>
          <w:color w:val="000000" w:themeColor="text1"/>
          <w:sz w:val="16"/>
          <w:szCs w:val="16"/>
        </w:rPr>
        <w:softHyphen/>
        <w:t>ков в довоенный период и почему долгое время устойчиво придержива</w:t>
      </w:r>
      <w:r w:rsidRPr="007122AB">
        <w:rPr>
          <w:rFonts w:ascii="Times New Roman" w:hAnsi="Times New Roman"/>
          <w:color w:val="000000" w:themeColor="text1"/>
          <w:sz w:val="16"/>
          <w:szCs w:val="16"/>
        </w:rPr>
        <w:softHyphen/>
        <w:t>лись тех или иных концепций при конструировании танков.</w:t>
      </w:r>
    </w:p>
    <w:p w14:paraId="72389D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разделе «Тан</w:t>
      </w:r>
      <w:r w:rsidRPr="007122AB">
        <w:rPr>
          <w:rFonts w:ascii="Times New Roman" w:hAnsi="Times New Roman"/>
          <w:color w:val="000000" w:themeColor="text1"/>
          <w:sz w:val="16"/>
          <w:szCs w:val="16"/>
        </w:rPr>
        <w:softHyphen/>
        <w:t>ки» в первой главе труда «Новые вопросы войны» осветил проблемы бое</w:t>
      </w:r>
      <w:r w:rsidRPr="007122AB">
        <w:rPr>
          <w:rFonts w:ascii="Times New Roman" w:hAnsi="Times New Roman"/>
          <w:color w:val="000000" w:themeColor="text1"/>
          <w:sz w:val="16"/>
          <w:szCs w:val="16"/>
        </w:rPr>
        <w:softHyphen/>
        <w:t>вого предназначения и применения танков, обосновывая тактико-техни</w:t>
      </w:r>
      <w:r w:rsidRPr="007122AB">
        <w:rPr>
          <w:rFonts w:ascii="Times New Roman" w:hAnsi="Times New Roman"/>
          <w:color w:val="000000" w:themeColor="text1"/>
          <w:sz w:val="16"/>
          <w:szCs w:val="16"/>
        </w:rPr>
        <w:softHyphen/>
        <w:t>ческие требования к ним и высказал свои соображения, почему его пред</w:t>
      </w:r>
      <w:r w:rsidRPr="007122AB">
        <w:rPr>
          <w:rFonts w:ascii="Times New Roman" w:hAnsi="Times New Roman"/>
          <w:color w:val="000000" w:themeColor="text1"/>
          <w:sz w:val="16"/>
          <w:szCs w:val="16"/>
        </w:rPr>
        <w:softHyphen/>
        <w:t>шественником были отданы предпочтения тем или иным иностранным образцам при выборе перспективных моделей в качестве прототипов бу</w:t>
      </w:r>
      <w:r w:rsidRPr="007122AB">
        <w:rPr>
          <w:rFonts w:ascii="Times New Roman" w:hAnsi="Times New Roman"/>
          <w:color w:val="000000" w:themeColor="text1"/>
          <w:sz w:val="16"/>
          <w:szCs w:val="16"/>
        </w:rPr>
        <w:softHyphen/>
        <w:t>дущих советских танков.</w:t>
      </w:r>
    </w:p>
    <w:p w14:paraId="00FEEF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этого раздела труда Тухачевский сделал следующие краткие выводы:</w:t>
      </w:r>
    </w:p>
    <w:p w14:paraId="4F3B82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Количество танков, их удельный вес в сухопутных войсках «предоп</w:t>
      </w:r>
      <w:r w:rsidRPr="007122AB">
        <w:rPr>
          <w:rFonts w:ascii="Times New Roman" w:hAnsi="Times New Roman"/>
          <w:color w:val="000000" w:themeColor="text1"/>
          <w:sz w:val="16"/>
          <w:szCs w:val="16"/>
        </w:rPr>
        <w:softHyphen/>
        <w:t>ределяет характер организации армии с точки зрения ее механизации».</w:t>
      </w:r>
    </w:p>
    <w:p w14:paraId="390C22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Соотношение механизированных, то есть танковых и стрелковых или кавалерийских частей зависит от имеющихся танковых ресурсов.</w:t>
      </w:r>
    </w:p>
    <w:p w14:paraId="218B04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3. Имеющиеся танковые ресурсы, «возможность насыщения сухопут</w:t>
      </w:r>
      <w:r w:rsidRPr="007122AB">
        <w:rPr>
          <w:rFonts w:ascii="Times New Roman" w:hAnsi="Times New Roman"/>
          <w:color w:val="000000" w:themeColor="text1"/>
          <w:sz w:val="16"/>
          <w:szCs w:val="16"/>
        </w:rPr>
        <w:softHyphen/>
        <w:t>ных войск танками» зависят от уровня «развития автотракторной про</w:t>
      </w:r>
      <w:r w:rsidRPr="007122AB">
        <w:rPr>
          <w:rFonts w:ascii="Times New Roman" w:hAnsi="Times New Roman"/>
          <w:color w:val="000000" w:themeColor="text1"/>
          <w:sz w:val="16"/>
          <w:szCs w:val="16"/>
        </w:rPr>
        <w:softHyphen/>
        <w:t>мышленности страны», что служит базой для их создания.</w:t>
      </w:r>
    </w:p>
    <w:p w14:paraId="6D3500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Тухачевский писал в этом разделе, что для определения тактико-тех</w:t>
      </w:r>
      <w:r w:rsidRPr="007122AB">
        <w:rPr>
          <w:rFonts w:ascii="Times New Roman" w:hAnsi="Times New Roman"/>
          <w:color w:val="000000" w:themeColor="text1"/>
          <w:sz w:val="16"/>
          <w:szCs w:val="16"/>
        </w:rPr>
        <w:softHyphen/>
        <w:t>нических характеристик танков «очень важно установить, в какой степе</w:t>
      </w:r>
      <w:r w:rsidRPr="007122AB">
        <w:rPr>
          <w:rFonts w:ascii="Times New Roman" w:hAnsi="Times New Roman"/>
          <w:color w:val="000000" w:themeColor="text1"/>
          <w:sz w:val="16"/>
          <w:szCs w:val="16"/>
        </w:rPr>
        <w:softHyphen/>
        <w:t>ни будут механизированы армии возможных противников».</w:t>
      </w:r>
    </w:p>
    <w:p w14:paraId="25516B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 дело бороться своими танками против пехоты или конницы, -писал Тухачевский, — и совсем другое, вести борьбу против его танков. Точно также будет представлять совершенно различную картину бой про</w:t>
      </w:r>
      <w:r w:rsidRPr="007122AB">
        <w:rPr>
          <w:rFonts w:ascii="Times New Roman" w:hAnsi="Times New Roman"/>
          <w:color w:val="000000" w:themeColor="text1"/>
          <w:sz w:val="16"/>
          <w:szCs w:val="16"/>
        </w:rPr>
        <w:softHyphen/>
        <w:t>тив танков, усиливающих пехоту, и бой против самостоятельных танко</w:t>
      </w:r>
      <w:r w:rsidRPr="007122AB">
        <w:rPr>
          <w:rFonts w:ascii="Times New Roman" w:hAnsi="Times New Roman"/>
          <w:color w:val="000000" w:themeColor="text1"/>
          <w:sz w:val="16"/>
          <w:szCs w:val="16"/>
        </w:rPr>
        <w:softHyphen/>
        <w:t>вых или так называемых «механизированных соединений».</w:t>
      </w:r>
    </w:p>
    <w:p w14:paraId="3F8DD6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Тухачевский рассматривает способа применения танков в об</w:t>
      </w:r>
      <w:r w:rsidRPr="007122AB">
        <w:rPr>
          <w:rFonts w:ascii="Times New Roman" w:hAnsi="Times New Roman"/>
          <w:color w:val="000000" w:themeColor="text1"/>
          <w:sz w:val="16"/>
          <w:szCs w:val="16"/>
        </w:rPr>
        <w:softHyphen/>
        <w:t>щей системе глубокого боя и делит их на три типа:</w:t>
      </w:r>
    </w:p>
    <w:p w14:paraId="3F63B2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танки непосредственной поддержки пехоты (НПП) или танки усиле</w:t>
      </w:r>
      <w:r w:rsidRPr="007122AB">
        <w:rPr>
          <w:rFonts w:ascii="Times New Roman" w:hAnsi="Times New Roman"/>
          <w:color w:val="000000" w:themeColor="text1"/>
          <w:sz w:val="16"/>
          <w:szCs w:val="16"/>
        </w:rPr>
        <w:softHyphen/>
        <w:t>ния стрелковых соединений для «сопровождения, проталкивания пехоты»;</w:t>
      </w:r>
    </w:p>
    <w:p w14:paraId="6EC3A0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Танки «для своевременного проникновения в тыл противника как</w:t>
      </w:r>
    </w:p>
    <w:p w14:paraId="61F164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дезорганизации последнего, так и для того, чтобы отрезать его главные</w:t>
      </w:r>
    </w:p>
    <w:p w14:paraId="04985C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имеющихся у него резервов, или танки дальнего действия (ДД);</w:t>
      </w:r>
    </w:p>
    <w:p w14:paraId="64161F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артиллерийские танки (АТ) для действия против противотанковых ; </w:t>
      </w:r>
      <w:proofErr w:type="spellStart"/>
      <w:r w:rsidRPr="007122AB">
        <w:rPr>
          <w:rFonts w:ascii="Times New Roman" w:hAnsi="Times New Roman"/>
          <w:color w:val="000000" w:themeColor="text1"/>
          <w:sz w:val="16"/>
          <w:szCs w:val="16"/>
        </w:rPr>
        <w:t>эдрудий</w:t>
      </w:r>
      <w:proofErr w:type="spellEnd"/>
      <w:r w:rsidRPr="007122AB">
        <w:rPr>
          <w:rFonts w:ascii="Times New Roman" w:hAnsi="Times New Roman"/>
          <w:color w:val="000000" w:themeColor="text1"/>
          <w:sz w:val="16"/>
          <w:szCs w:val="16"/>
        </w:rPr>
        <w:t xml:space="preserve"> противника.</w:t>
      </w:r>
    </w:p>
    <w:p w14:paraId="3FB1AE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анализа конструкций существовавших в Красной Армии тро</w:t>
      </w:r>
      <w:r w:rsidRPr="007122AB">
        <w:rPr>
          <w:rFonts w:ascii="Times New Roman" w:hAnsi="Times New Roman"/>
          <w:color w:val="000000" w:themeColor="text1"/>
          <w:sz w:val="16"/>
          <w:szCs w:val="16"/>
        </w:rPr>
        <w:softHyphen/>
        <w:t>фейных танков, захваченных в ходе гражданской войны, и танков зарубежных стран, созданных в 20-е годы, Тухачевский пришел к выводу, что прото</w:t>
      </w:r>
      <w:r w:rsidRPr="007122AB">
        <w:rPr>
          <w:rFonts w:ascii="Times New Roman" w:hAnsi="Times New Roman"/>
          <w:color w:val="000000" w:themeColor="text1"/>
          <w:sz w:val="16"/>
          <w:szCs w:val="16"/>
        </w:rPr>
        <w:softHyphen/>
        <w:t>типом для создания советского танка НПП может служить, например, гусе</w:t>
      </w:r>
      <w:r w:rsidRPr="007122AB">
        <w:rPr>
          <w:rFonts w:ascii="Times New Roman" w:hAnsi="Times New Roman"/>
          <w:color w:val="000000" w:themeColor="text1"/>
          <w:sz w:val="16"/>
          <w:szCs w:val="16"/>
        </w:rPr>
        <w:softHyphen/>
        <w:t>ничный танк «Виккерса» (английский военно-промышленный концерн, основанный в 1828 году). Указанный танк развивает скорость свыше сорока «километров в час, которая была вполне достаточной для движения по поле-..</w:t>
      </w:r>
      <w:proofErr w:type="spellStart"/>
      <w:r w:rsidRPr="007122AB">
        <w:rPr>
          <w:rFonts w:ascii="Times New Roman" w:hAnsi="Times New Roman"/>
          <w:color w:val="000000" w:themeColor="text1"/>
          <w:sz w:val="16"/>
          <w:szCs w:val="16"/>
        </w:rPr>
        <w:t>вым</w:t>
      </w:r>
      <w:proofErr w:type="spellEnd"/>
      <w:r w:rsidRPr="007122AB">
        <w:rPr>
          <w:rFonts w:ascii="Times New Roman" w:hAnsi="Times New Roman"/>
          <w:color w:val="000000" w:themeColor="text1"/>
          <w:sz w:val="16"/>
          <w:szCs w:val="16"/>
        </w:rPr>
        <w:t xml:space="preserve"> дорогам. Вместе с тем эти танки имели большой запас прочности, что дозволяло им «без ремонта проходить очень большие расстояния».</w:t>
      </w:r>
    </w:p>
    <w:p w14:paraId="1E8FBF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Особенно жесткие тактико-технические требования Тухачевский предъявлял к конструкции танков дальнего действия.</w:t>
      </w:r>
    </w:p>
    <w:p w14:paraId="0BBE7D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Во-первых, конструкция этого танка должна позволять ему выполнять задачу оперативной </w:t>
      </w:r>
      <w:proofErr w:type="spellStart"/>
      <w:r w:rsidRPr="007122AB">
        <w:rPr>
          <w:rFonts w:ascii="Times New Roman" w:hAnsi="Times New Roman"/>
          <w:color w:val="000000" w:themeColor="text1"/>
          <w:sz w:val="16"/>
          <w:szCs w:val="16"/>
        </w:rPr>
        <w:t>самоходности</w:t>
      </w:r>
      <w:proofErr w:type="spellEnd"/>
      <w:r w:rsidRPr="007122AB">
        <w:rPr>
          <w:rFonts w:ascii="Times New Roman" w:hAnsi="Times New Roman"/>
          <w:color w:val="000000" w:themeColor="text1"/>
          <w:sz w:val="16"/>
          <w:szCs w:val="16"/>
        </w:rPr>
        <w:t>, т.е. «способности быстро передвигаться ни большие расстояния, не прибегая к железнодорожным перевозкам или «переброске на тяжелых грузовиках.</w:t>
      </w:r>
    </w:p>
    <w:p w14:paraId="25F3E3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Во-вторых, он должен быть быстроходным, способным бороться с ар</w:t>
      </w:r>
      <w:r w:rsidRPr="007122AB">
        <w:rPr>
          <w:rFonts w:ascii="Times New Roman" w:hAnsi="Times New Roman"/>
          <w:color w:val="000000" w:themeColor="text1"/>
          <w:sz w:val="16"/>
          <w:szCs w:val="16"/>
        </w:rPr>
        <w:softHyphen/>
        <w:t>тиллерией противника, т.е. сам быть вооруженным пушкой. Учитывая меньшую действительность огня танка с ходу по сравнению с огнем поле-^=</w:t>
      </w:r>
      <w:proofErr w:type="spellStart"/>
      <w:r w:rsidRPr="007122AB">
        <w:rPr>
          <w:rFonts w:ascii="Times New Roman" w:hAnsi="Times New Roman"/>
          <w:color w:val="000000" w:themeColor="text1"/>
          <w:sz w:val="16"/>
          <w:szCs w:val="16"/>
        </w:rPr>
        <w:t>аой</w:t>
      </w:r>
      <w:proofErr w:type="spellEnd"/>
      <w:r w:rsidRPr="007122AB">
        <w:rPr>
          <w:rFonts w:ascii="Times New Roman" w:hAnsi="Times New Roman"/>
          <w:color w:val="000000" w:themeColor="text1"/>
          <w:sz w:val="16"/>
          <w:szCs w:val="16"/>
        </w:rPr>
        <w:t xml:space="preserve"> и противотанковой артиллерии, следует ставить на танках пушки не ниже калибра 76-мм».</w:t>
      </w:r>
    </w:p>
    <w:p w14:paraId="1878B1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Тогда, считал Тухачевский, «Уязвимость щитовых полевых орудий осколками будет... противопоставлена необходимости прямого попадания в танк (осколки мало действительны)»</w:t>
      </w:r>
    </w:p>
    <w:p w14:paraId="6934F8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В-третьих, танки «дальнего действия, т.е. группа захвата тыла»,— полагал Тухачевский,— на своем пути встретят, «не считая естественных препятствий... ряд искусственных препятствий, главным образом, рвы и </w:t>
      </w:r>
      <w:proofErr w:type="spellStart"/>
      <w:r w:rsidRPr="007122AB">
        <w:rPr>
          <w:rFonts w:ascii="Times New Roman" w:hAnsi="Times New Roman"/>
          <w:color w:val="000000" w:themeColor="text1"/>
          <w:sz w:val="16"/>
          <w:szCs w:val="16"/>
        </w:rPr>
        <w:t>рщротивотанковые</w:t>
      </w:r>
      <w:proofErr w:type="spellEnd"/>
      <w:r w:rsidRPr="007122AB">
        <w:rPr>
          <w:rFonts w:ascii="Times New Roman" w:hAnsi="Times New Roman"/>
          <w:color w:val="000000" w:themeColor="text1"/>
          <w:sz w:val="16"/>
          <w:szCs w:val="16"/>
        </w:rPr>
        <w:t xml:space="preserve"> мины, противотанковые орудия и, наконец, полевую </w:t>
      </w:r>
      <w:proofErr w:type="spellStart"/>
      <w:r w:rsidRPr="007122AB">
        <w:rPr>
          <w:rFonts w:ascii="Times New Roman" w:hAnsi="Times New Roman"/>
          <w:color w:val="000000" w:themeColor="text1"/>
          <w:sz w:val="16"/>
          <w:szCs w:val="16"/>
        </w:rPr>
        <w:t>гартиллерию</w:t>
      </w:r>
      <w:proofErr w:type="spellEnd"/>
      <w:r w:rsidRPr="007122AB">
        <w:rPr>
          <w:rFonts w:ascii="Times New Roman" w:hAnsi="Times New Roman"/>
          <w:color w:val="000000" w:themeColor="text1"/>
          <w:sz w:val="16"/>
          <w:szCs w:val="16"/>
        </w:rPr>
        <w:t xml:space="preserve"> противника. «Все эти препятствия танки должны преодолеть. Остальные средства борьбы с ними, Тухачевский считал «малоопасными для танков».</w:t>
      </w:r>
    </w:p>
    <w:p w14:paraId="301B46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В-четвертых, танки ДД по своим габаритам и весу должны были </w:t>
      </w:r>
      <w:proofErr w:type="spellStart"/>
      <w:r w:rsidRPr="007122AB">
        <w:rPr>
          <w:rFonts w:ascii="Times New Roman" w:hAnsi="Times New Roman"/>
          <w:color w:val="000000" w:themeColor="text1"/>
          <w:sz w:val="16"/>
          <w:szCs w:val="16"/>
        </w:rPr>
        <w:t>позволятьть</w:t>
      </w:r>
      <w:proofErr w:type="spellEnd"/>
      <w:r w:rsidRPr="007122AB">
        <w:rPr>
          <w:rFonts w:ascii="Times New Roman" w:hAnsi="Times New Roman"/>
          <w:color w:val="000000" w:themeColor="text1"/>
          <w:sz w:val="16"/>
          <w:szCs w:val="16"/>
        </w:rPr>
        <w:t xml:space="preserve"> «перевозки их... на тяжелых самолетах» или, что еще лучше, сами были способны «летать».</w:t>
      </w:r>
    </w:p>
    <w:p w14:paraId="215B85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этом более эффективным, является использование на этих типах танков «авиационных моторов».</w:t>
      </w:r>
    </w:p>
    <w:p w14:paraId="4F1A16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Тухачевский счи</w:t>
      </w:r>
      <w:r w:rsidRPr="007122AB">
        <w:rPr>
          <w:rFonts w:ascii="Times New Roman" w:hAnsi="Times New Roman"/>
          <w:color w:val="000000" w:themeColor="text1"/>
          <w:sz w:val="16"/>
          <w:szCs w:val="16"/>
        </w:rPr>
        <w:softHyphen/>
        <w:t xml:space="preserve">тал, что задача создания летающего танка </w:t>
      </w:r>
      <w:proofErr w:type="spellStart"/>
      <w:r w:rsidRPr="007122AB">
        <w:rPr>
          <w:rFonts w:ascii="Times New Roman" w:hAnsi="Times New Roman"/>
          <w:color w:val="000000" w:themeColor="text1"/>
          <w:sz w:val="16"/>
          <w:szCs w:val="16"/>
        </w:rPr>
        <w:t>У.Кристи</w:t>
      </w:r>
      <w:proofErr w:type="spellEnd"/>
      <w:r w:rsidRPr="007122AB">
        <w:rPr>
          <w:rFonts w:ascii="Times New Roman" w:hAnsi="Times New Roman"/>
          <w:color w:val="000000" w:themeColor="text1"/>
          <w:sz w:val="16"/>
          <w:szCs w:val="16"/>
        </w:rPr>
        <w:t xml:space="preserve"> «скоро будет решена».</w:t>
      </w:r>
    </w:p>
    <w:p w14:paraId="36E910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Преодоление искусственных и естественных препятствий, которые встретят на своем пути танки ДД, «а также способность их десантировать» на тяжелых самолетах и «определяют тактико-технические требования к конструкции танков ДД», — писал Тухачевский.</w:t>
      </w:r>
    </w:p>
    <w:p w14:paraId="2632DA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подчеркнуть, что, выдвигая требования к танкам ДД, Ту</w:t>
      </w:r>
      <w:r w:rsidRPr="007122AB">
        <w:rPr>
          <w:rFonts w:ascii="Times New Roman" w:hAnsi="Times New Roman"/>
          <w:color w:val="000000" w:themeColor="text1"/>
          <w:sz w:val="16"/>
          <w:szCs w:val="16"/>
        </w:rPr>
        <w:softHyphen/>
        <w:t>хачевский особое внимание уделял их тактике-техническим характерис</w:t>
      </w:r>
      <w:r w:rsidRPr="007122AB">
        <w:rPr>
          <w:rFonts w:ascii="Times New Roman" w:hAnsi="Times New Roman"/>
          <w:color w:val="000000" w:themeColor="text1"/>
          <w:sz w:val="16"/>
          <w:szCs w:val="16"/>
        </w:rPr>
        <w:softHyphen/>
        <w:t>тикам. Так, танк ДД, способный десантироваться на тяжелых самолетах, должен был иметь минимально возможный вес и габариты, для придания танку быстроходности — мощный мотор, а для придания ему огневой мощи— пушку определенного калибра. А это значило, что при пушке калибром не ниже 76-мм и мощном двигателе, вес танка мог быть снижен только за счет толщины брони. Иначе, за счет чего же можно было умень</w:t>
      </w:r>
      <w:r w:rsidRPr="007122AB">
        <w:rPr>
          <w:rFonts w:ascii="Times New Roman" w:hAnsi="Times New Roman"/>
          <w:color w:val="000000" w:themeColor="text1"/>
          <w:sz w:val="16"/>
          <w:szCs w:val="16"/>
        </w:rPr>
        <w:softHyphen/>
        <w:t>шить вес десантного танка, как не за счет толщины брони и его габаритов, исходя из грузоподъемности и размеров фюзеляжа самолета?</w:t>
      </w:r>
    </w:p>
    <w:p w14:paraId="08077F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этом же разделе Тухачевский выдвинул требование о необходимости иметь «быстроходные танки-транспортеры», иными словами, боевую ма</w:t>
      </w:r>
      <w:r w:rsidRPr="007122AB">
        <w:rPr>
          <w:rFonts w:ascii="Times New Roman" w:hAnsi="Times New Roman"/>
          <w:color w:val="000000" w:themeColor="text1"/>
          <w:sz w:val="16"/>
          <w:szCs w:val="16"/>
        </w:rPr>
        <w:softHyphen/>
        <w:t>шину пехоты.</w:t>
      </w:r>
    </w:p>
    <w:p w14:paraId="22C203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еще одну особенность этого раздела в труде Тухачевского следует отметить. Во время встречного боя двух механизированных соединений он предрешал успех того соединения, «которое будет больше иметь ар</w:t>
      </w:r>
      <w:r w:rsidRPr="007122AB">
        <w:rPr>
          <w:rFonts w:ascii="Times New Roman" w:hAnsi="Times New Roman"/>
          <w:color w:val="000000" w:themeColor="text1"/>
          <w:sz w:val="16"/>
          <w:szCs w:val="16"/>
        </w:rPr>
        <w:softHyphen/>
        <w:t xml:space="preserve">тиллерийских танков, способных уничтожать танки противника». То есть в </w:t>
      </w:r>
      <w:proofErr w:type="spellStart"/>
      <w:r w:rsidRPr="007122AB">
        <w:rPr>
          <w:rFonts w:ascii="Times New Roman" w:hAnsi="Times New Roman"/>
          <w:color w:val="000000" w:themeColor="text1"/>
          <w:sz w:val="16"/>
          <w:szCs w:val="16"/>
        </w:rPr>
        <w:t>мехсоединениях</w:t>
      </w:r>
      <w:proofErr w:type="spellEnd"/>
      <w:r w:rsidRPr="007122AB">
        <w:rPr>
          <w:rFonts w:ascii="Times New Roman" w:hAnsi="Times New Roman"/>
          <w:color w:val="000000" w:themeColor="text1"/>
          <w:sz w:val="16"/>
          <w:szCs w:val="16"/>
        </w:rPr>
        <w:t>, помимо пулеметных и пушечных танков, он предпо</w:t>
      </w:r>
      <w:r w:rsidRPr="007122AB">
        <w:rPr>
          <w:rFonts w:ascii="Times New Roman" w:hAnsi="Times New Roman"/>
          <w:color w:val="000000" w:themeColor="text1"/>
          <w:sz w:val="16"/>
          <w:szCs w:val="16"/>
        </w:rPr>
        <w:softHyphen/>
        <w:t>лагал и наличие своего рода самоходных истребителей танков. Поэтому, делая заключение по разделу «Танки», Тухачевский писал, что «при борь</w:t>
      </w:r>
      <w:r w:rsidRPr="007122AB">
        <w:rPr>
          <w:rFonts w:ascii="Times New Roman" w:hAnsi="Times New Roman"/>
          <w:color w:val="000000" w:themeColor="text1"/>
          <w:sz w:val="16"/>
          <w:szCs w:val="16"/>
        </w:rPr>
        <w:softHyphen/>
        <w:t xml:space="preserve">бе против армии, в которой имеются </w:t>
      </w:r>
      <w:proofErr w:type="spellStart"/>
      <w:r w:rsidRPr="007122AB">
        <w:rPr>
          <w:rFonts w:ascii="Times New Roman" w:hAnsi="Times New Roman"/>
          <w:color w:val="000000" w:themeColor="text1"/>
          <w:sz w:val="16"/>
          <w:szCs w:val="16"/>
        </w:rPr>
        <w:t>мехсоединения</w:t>
      </w:r>
      <w:proofErr w:type="spellEnd"/>
      <w:r w:rsidRPr="007122AB">
        <w:rPr>
          <w:rFonts w:ascii="Times New Roman" w:hAnsi="Times New Roman"/>
          <w:color w:val="000000" w:themeColor="text1"/>
          <w:sz w:val="16"/>
          <w:szCs w:val="16"/>
        </w:rPr>
        <w:t xml:space="preserve">, наши </w:t>
      </w:r>
      <w:proofErr w:type="spellStart"/>
      <w:r w:rsidRPr="007122AB">
        <w:rPr>
          <w:rFonts w:ascii="Times New Roman" w:hAnsi="Times New Roman"/>
          <w:color w:val="000000" w:themeColor="text1"/>
          <w:sz w:val="16"/>
          <w:szCs w:val="16"/>
        </w:rPr>
        <w:t>мехсоедине-ния</w:t>
      </w:r>
      <w:proofErr w:type="spellEnd"/>
      <w:r w:rsidRPr="007122AB">
        <w:rPr>
          <w:rFonts w:ascii="Times New Roman" w:hAnsi="Times New Roman"/>
          <w:color w:val="000000" w:themeColor="text1"/>
          <w:sz w:val="16"/>
          <w:szCs w:val="16"/>
        </w:rPr>
        <w:t>, помимо транспортеров пехоты, саперных и прочих специальных тан</w:t>
      </w:r>
      <w:r w:rsidRPr="007122AB">
        <w:rPr>
          <w:rFonts w:ascii="Times New Roman" w:hAnsi="Times New Roman"/>
          <w:color w:val="000000" w:themeColor="text1"/>
          <w:sz w:val="16"/>
          <w:szCs w:val="16"/>
        </w:rPr>
        <w:softHyphen/>
        <w:t>ков, должны иметь на вооружении артиллерийские танки, хотя в боях против стрелковых войск это окажется излишней роскошью.</w:t>
      </w:r>
    </w:p>
    <w:p w14:paraId="081A9A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Подводя итог сказанному о перечисленных выше типах танков, Туха</w:t>
      </w:r>
      <w:r w:rsidRPr="007122AB">
        <w:rPr>
          <w:rFonts w:ascii="Times New Roman" w:hAnsi="Times New Roman"/>
          <w:color w:val="000000" w:themeColor="text1"/>
          <w:sz w:val="16"/>
          <w:szCs w:val="16"/>
        </w:rPr>
        <w:softHyphen/>
        <w:t>чевский писал, что «необходимо подчеркнуть ряд общих условий для кон</w:t>
      </w:r>
      <w:r w:rsidRPr="007122AB">
        <w:rPr>
          <w:rFonts w:ascii="Times New Roman" w:hAnsi="Times New Roman"/>
          <w:color w:val="000000" w:themeColor="text1"/>
          <w:sz w:val="16"/>
          <w:szCs w:val="16"/>
        </w:rPr>
        <w:softHyphen/>
        <w:t>струирования и производства танков». Эти условия, по его мнению, были следующими:</w:t>
      </w:r>
    </w:p>
    <w:p w14:paraId="7FAA39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прочих равных условиях колесно-гусеничный танк имеет пре</w:t>
      </w:r>
      <w:r w:rsidRPr="007122AB">
        <w:rPr>
          <w:rFonts w:ascii="Times New Roman" w:hAnsi="Times New Roman"/>
          <w:color w:val="000000" w:themeColor="text1"/>
          <w:sz w:val="16"/>
          <w:szCs w:val="16"/>
        </w:rPr>
        <w:softHyphen/>
        <w:t xml:space="preserve">имущества перед гусеничным. Точно также амфибия имеет преимущества перед </w:t>
      </w:r>
      <w:proofErr w:type="spellStart"/>
      <w:r w:rsidRPr="007122AB">
        <w:rPr>
          <w:rFonts w:ascii="Times New Roman" w:hAnsi="Times New Roman"/>
          <w:color w:val="000000" w:themeColor="text1"/>
          <w:sz w:val="16"/>
          <w:szCs w:val="16"/>
        </w:rPr>
        <w:t>неплавающим</w:t>
      </w:r>
      <w:proofErr w:type="spellEnd"/>
      <w:r w:rsidRPr="007122AB">
        <w:rPr>
          <w:rFonts w:ascii="Times New Roman" w:hAnsi="Times New Roman"/>
          <w:color w:val="000000" w:themeColor="text1"/>
          <w:sz w:val="16"/>
          <w:szCs w:val="16"/>
        </w:rPr>
        <w:t xml:space="preserve"> танком.</w:t>
      </w:r>
    </w:p>
    <w:p w14:paraId="4068D9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Габариты танков должны соизмеряться с габаритами фюзеляжей тя</w:t>
      </w:r>
      <w:r w:rsidRPr="007122AB">
        <w:rPr>
          <w:rFonts w:ascii="Times New Roman" w:hAnsi="Times New Roman"/>
          <w:color w:val="000000" w:themeColor="text1"/>
          <w:sz w:val="16"/>
          <w:szCs w:val="16"/>
        </w:rPr>
        <w:softHyphen/>
        <w:t>желых бомбардировщиков.</w:t>
      </w:r>
    </w:p>
    <w:p w14:paraId="115A5C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Запаса горючего должно хватить на 150-200 километров.</w:t>
      </w:r>
    </w:p>
    <w:p w14:paraId="528B14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Основная масса танков должна строиться на базе стандартизованного автотракторного парка страны. И, напротив, новые типы автомобилей и тракторов должны ставиться в производство лишь в том случае, если они могут стать механической основой танка».</w:t>
      </w:r>
    </w:p>
    <w:p w14:paraId="3CA8E1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подчеркнуть, что стремление Тухачевского повысить опе</w:t>
      </w:r>
      <w:r w:rsidRPr="007122AB">
        <w:rPr>
          <w:rFonts w:ascii="Times New Roman" w:hAnsi="Times New Roman"/>
          <w:color w:val="000000" w:themeColor="text1"/>
          <w:sz w:val="16"/>
          <w:szCs w:val="16"/>
        </w:rPr>
        <w:softHyphen/>
        <w:t>ративную подвижность танков путем переброски их по воздуху сыграло «злую шутку» при модернизации танков, так как предъявленные им весо</w:t>
      </w:r>
      <w:r w:rsidRPr="007122AB">
        <w:rPr>
          <w:rFonts w:ascii="Times New Roman" w:hAnsi="Times New Roman"/>
          <w:color w:val="000000" w:themeColor="text1"/>
          <w:sz w:val="16"/>
          <w:szCs w:val="16"/>
        </w:rPr>
        <w:softHyphen/>
        <w:t>вые и габаритные требования не позволяли эффективно ее осуществить, а на некоторых моделях и вовсе исключали ее.</w:t>
      </w:r>
    </w:p>
    <w:p w14:paraId="35EEF2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ходовая часть танка Т-26 была рассчитана на вес машины в шесть тонн, но ее вес получился 8 тонн. Когда же потребовалось модернизиро</w:t>
      </w:r>
      <w:r w:rsidRPr="007122AB">
        <w:rPr>
          <w:rFonts w:ascii="Times New Roman" w:hAnsi="Times New Roman"/>
          <w:color w:val="000000" w:themeColor="text1"/>
          <w:sz w:val="16"/>
          <w:szCs w:val="16"/>
        </w:rPr>
        <w:softHyphen/>
        <w:t>вать танк путем увеличения калибра пушки и толщины брони, то без пе</w:t>
      </w:r>
      <w:r w:rsidRPr="007122AB">
        <w:rPr>
          <w:rFonts w:ascii="Times New Roman" w:hAnsi="Times New Roman"/>
          <w:color w:val="000000" w:themeColor="text1"/>
          <w:sz w:val="16"/>
          <w:szCs w:val="16"/>
        </w:rPr>
        <w:softHyphen/>
        <w:t>ределок шасси осуществить модернизацию было невозможно.</w:t>
      </w:r>
    </w:p>
    <w:p w14:paraId="2ADD9A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же самое получилось и с танком БТ-2, хотя в этом отношении он оказался в несколько лучшем положении. Если вес первых БТ-2 был 10,5 тонн, то БТ-7 уже 14,6 тонн. Но это был уже предел, дальнейшее увеличе</w:t>
      </w:r>
      <w:r w:rsidRPr="007122AB">
        <w:rPr>
          <w:rFonts w:ascii="Times New Roman" w:hAnsi="Times New Roman"/>
          <w:color w:val="000000" w:themeColor="text1"/>
          <w:sz w:val="16"/>
          <w:szCs w:val="16"/>
        </w:rPr>
        <w:softHyphen/>
        <w:t>ние веса за счет утолщения брони, установки пушки иного калибра и т.д. требовало коренного усовершенствования ходовой части.</w:t>
      </w:r>
    </w:p>
    <w:p w14:paraId="1276F5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ни о каком десантировании этих танков не могло быть и речи. По сути, письмо Тухачевского в декабре 1930 года было направлено в защиту «теории глубокой операции» и против возвращения Красной Армии к линейной тактике.</w:t>
      </w:r>
    </w:p>
    <w:p w14:paraId="78BE30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Ответа на это письмо не последовало (11504).</w:t>
      </w:r>
    </w:p>
    <w:p w14:paraId="335194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17E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Весной 1931 первая созданная </w:t>
      </w:r>
      <w:proofErr w:type="spellStart"/>
      <w:r w:rsidRPr="007122AB">
        <w:rPr>
          <w:rFonts w:ascii="Times New Roman" w:hAnsi="Times New Roman"/>
          <w:color w:val="000000" w:themeColor="text1"/>
          <w:sz w:val="16"/>
          <w:szCs w:val="16"/>
        </w:rPr>
        <w:t>мехбригада</w:t>
      </w:r>
      <w:proofErr w:type="spellEnd"/>
      <w:r w:rsidRPr="007122AB">
        <w:rPr>
          <w:rFonts w:ascii="Times New Roman" w:hAnsi="Times New Roman"/>
          <w:color w:val="000000" w:themeColor="text1"/>
          <w:sz w:val="16"/>
          <w:szCs w:val="16"/>
        </w:rPr>
        <w:t xml:space="preserve"> была реорганизована и в ее основе были батальоны (3879,42).</w:t>
      </w:r>
    </w:p>
    <w:p w14:paraId="43440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C5EC39" w14:textId="77777777" w:rsidR="0033769F" w:rsidRPr="007122AB" w:rsidRDefault="0033769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B0402F2" w14:textId="77777777" w:rsidR="0033769F" w:rsidRPr="007122AB" w:rsidRDefault="0033769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F1FF9D" w14:textId="77777777" w:rsidR="0033769F" w:rsidRPr="007122AB" w:rsidRDefault="003376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 меньшевистская газета "Социалистический вестник", выходившая в Берлине, отмечала, что массовые аресты инженеров осуществлялись для того, чтобы с помощью террора подхлестнуть производительность труда. По данным эмигрантов, из 35 тыс. имевшихся тогда в стране инженеров в заключении находилось 7 тыс. человек. В тюрьмах, где они содержались, создавались специальные "технические бюро" (18527).</w:t>
      </w:r>
    </w:p>
    <w:p w14:paraId="55E8140F" w14:textId="77777777" w:rsidR="0033769F" w:rsidRPr="007122AB" w:rsidRDefault="0033769F" w:rsidP="007122AB">
      <w:pPr>
        <w:spacing w:after="0" w:line="240" w:lineRule="auto"/>
        <w:jc w:val="both"/>
        <w:rPr>
          <w:rFonts w:ascii="Times New Roman" w:hAnsi="Times New Roman"/>
          <w:color w:val="000000" w:themeColor="text1"/>
          <w:sz w:val="16"/>
          <w:szCs w:val="16"/>
        </w:rPr>
      </w:pPr>
    </w:p>
    <w:p w14:paraId="43565E1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365502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BFF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Весной 1931 года в результате разрыва бака с жидким кислородом взорвалась ракета «Mirak-2», которая представляла собой копию первой ракеты во всем, за исключением несколько больших размеров..</w:t>
      </w:r>
    </w:p>
    <w:p w14:paraId="20045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этого решено было построить третью ракету, учтя все ошибки проектирования. Двигатель теперь должен был располагаться под дном бака с жидким кислородом. И вместо одного трубчатого бака с бензином было предложено сделать два, симметрично прикрепленных к баку с кислородом, причем второй бак содержал сжатый азот для принудительной подачи обоих топливных компонентов в двигатель. Это позволяло обойтись без патрона двуокиси углерода. Но что важнее всего – на третьей ракете «</w:t>
      </w:r>
      <w:proofErr w:type="spellStart"/>
      <w:r w:rsidRPr="007122AB">
        <w:rPr>
          <w:rFonts w:ascii="Times New Roman" w:hAnsi="Times New Roman"/>
          <w:color w:val="000000" w:themeColor="text1"/>
          <w:sz w:val="16"/>
          <w:szCs w:val="16"/>
        </w:rPr>
        <w:t>Mirak</w:t>
      </w:r>
      <w:proofErr w:type="spellEnd"/>
      <w:r w:rsidRPr="007122AB">
        <w:rPr>
          <w:rFonts w:ascii="Times New Roman" w:hAnsi="Times New Roman"/>
          <w:color w:val="000000" w:themeColor="text1"/>
          <w:sz w:val="16"/>
          <w:szCs w:val="16"/>
        </w:rPr>
        <w:t>» устанавливался двигатель нового типа, а не «</w:t>
      </w:r>
      <w:proofErr w:type="spellStart"/>
      <w:r w:rsidRPr="007122AB">
        <w:rPr>
          <w:rFonts w:ascii="Times New Roman" w:hAnsi="Times New Roman"/>
          <w:color w:val="000000" w:themeColor="text1"/>
          <w:sz w:val="16"/>
          <w:szCs w:val="16"/>
        </w:rPr>
        <w:t>Kegelduse</w:t>
      </w:r>
      <w:proofErr w:type="spellEnd"/>
      <w:r w:rsidRPr="007122AB">
        <w:rPr>
          <w:rFonts w:ascii="Times New Roman" w:hAnsi="Times New Roman"/>
          <w:color w:val="000000" w:themeColor="text1"/>
          <w:sz w:val="16"/>
          <w:szCs w:val="16"/>
        </w:rPr>
        <w:t>».</w:t>
      </w:r>
    </w:p>
    <w:p w14:paraId="60887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Изготовляя «</w:t>
      </w:r>
      <w:proofErr w:type="spellStart"/>
      <w:r w:rsidRPr="007122AB">
        <w:rPr>
          <w:rFonts w:ascii="Times New Roman" w:hAnsi="Times New Roman"/>
          <w:color w:val="000000" w:themeColor="text1"/>
          <w:sz w:val="16"/>
          <w:szCs w:val="16"/>
        </w:rPr>
        <w:t>Kegelduse</w:t>
      </w:r>
      <w:proofErr w:type="spellEnd"/>
      <w:r w:rsidRPr="007122AB">
        <w:rPr>
          <w:rFonts w:ascii="Times New Roman" w:hAnsi="Times New Roman"/>
          <w:color w:val="000000" w:themeColor="text1"/>
          <w:sz w:val="16"/>
          <w:szCs w:val="16"/>
        </w:rPr>
        <w:t xml:space="preserve">» из стали, </w:t>
      </w:r>
      <w:proofErr w:type="spellStart"/>
      <w:r w:rsidRPr="007122AB">
        <w:rPr>
          <w:rFonts w:ascii="Times New Roman" w:hAnsi="Times New Roman"/>
          <w:color w:val="000000" w:themeColor="text1"/>
          <w:sz w:val="16"/>
          <w:szCs w:val="16"/>
        </w:rPr>
        <w:t>Оберт</w:t>
      </w:r>
      <w:proofErr w:type="spellEnd"/>
      <w:r w:rsidRPr="007122AB">
        <w:rPr>
          <w:rFonts w:ascii="Times New Roman" w:hAnsi="Times New Roman"/>
          <w:color w:val="000000" w:themeColor="text1"/>
          <w:sz w:val="16"/>
          <w:szCs w:val="16"/>
        </w:rPr>
        <w:t>, вероятно, не осознавал, что следовал примеру конструкторов пушек. Температура горения всех типов артиллерийского пороха также выше температуры плавления стали, из которой выполняются стволы орудий, но время горения слишком непродолжительно, чтобы причинить стволу ущерб. Этот принцип по-прежнему применим в ракетных двигателях с очень коротким периодом работы (не более 5 секунд). Но жидкостный ракетный двигатель должен работать довольно долго – по крайней мере, несколько минут. Поэтому проблема заключалась в том, чтобы не допустить перегрева металла.</w:t>
      </w:r>
    </w:p>
    <w:p w14:paraId="6F838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Реальным решением проблемы является предупреждение перегрева стенок камеры сгорания путем их охлаждения. Поэтому в качестве материала был использован очень чистый алюминий. Новый двигатель состоял из двух секций, сваренных вместе. В конечном виде он весил около 85 г и хорошо работал, поглощая 160 г жидкого кислорода и бензина за 1 секунду и обеспечивая при этом тягу в 32 кг. Между собой члены «Общества» прозвали новый двигатель «яйцом» (</w:t>
      </w:r>
      <w:proofErr w:type="spellStart"/>
      <w:r w:rsidRPr="007122AB">
        <w:rPr>
          <w:rFonts w:ascii="Times New Roman" w:hAnsi="Times New Roman"/>
          <w:color w:val="000000" w:themeColor="text1"/>
          <w:sz w:val="16"/>
          <w:szCs w:val="16"/>
        </w:rPr>
        <w:t>Ei</w:t>
      </w:r>
      <w:proofErr w:type="spellEnd"/>
      <w:r w:rsidRPr="007122AB">
        <w:rPr>
          <w:rFonts w:ascii="Times New Roman" w:hAnsi="Times New Roman"/>
          <w:color w:val="000000" w:themeColor="text1"/>
          <w:sz w:val="16"/>
          <w:szCs w:val="16"/>
        </w:rPr>
        <w:t>), потому что он и в самом деле и по форме, и по размерам походил на яйцо.</w:t>
      </w:r>
    </w:p>
    <w:p w14:paraId="24648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Теперь уже нельзя сказать, кто изобрел это «яйцо». Известно, что двигатель «</w:t>
      </w:r>
      <w:proofErr w:type="spellStart"/>
      <w:r w:rsidRPr="007122AB">
        <w:rPr>
          <w:rFonts w:ascii="Times New Roman" w:hAnsi="Times New Roman"/>
          <w:color w:val="000000" w:themeColor="text1"/>
          <w:sz w:val="16"/>
          <w:szCs w:val="16"/>
        </w:rPr>
        <w:t>Kegelduse</w:t>
      </w:r>
      <w:proofErr w:type="spellEnd"/>
      <w:r w:rsidRPr="007122AB">
        <w:rPr>
          <w:rFonts w:ascii="Times New Roman" w:hAnsi="Times New Roman"/>
          <w:color w:val="000000" w:themeColor="text1"/>
          <w:sz w:val="16"/>
          <w:szCs w:val="16"/>
        </w:rPr>
        <w:t xml:space="preserve">» был детищем Германа </w:t>
      </w:r>
      <w:proofErr w:type="spellStart"/>
      <w:r w:rsidRPr="007122AB">
        <w:rPr>
          <w:rFonts w:ascii="Times New Roman" w:hAnsi="Times New Roman"/>
          <w:color w:val="000000" w:themeColor="text1"/>
          <w:sz w:val="16"/>
          <w:szCs w:val="16"/>
        </w:rPr>
        <w:t>Оберта</w:t>
      </w:r>
      <w:proofErr w:type="spellEnd"/>
      <w:r w:rsidRPr="007122AB">
        <w:rPr>
          <w:rFonts w:ascii="Times New Roman" w:hAnsi="Times New Roman"/>
          <w:color w:val="000000" w:themeColor="text1"/>
          <w:sz w:val="16"/>
          <w:szCs w:val="16"/>
        </w:rPr>
        <w:t>, а первую ракету «</w:t>
      </w:r>
      <w:proofErr w:type="spellStart"/>
      <w:r w:rsidRPr="007122AB">
        <w:rPr>
          <w:rFonts w:ascii="Times New Roman" w:hAnsi="Times New Roman"/>
          <w:color w:val="000000" w:themeColor="text1"/>
          <w:sz w:val="16"/>
          <w:szCs w:val="16"/>
        </w:rPr>
        <w:t>Mirak</w:t>
      </w:r>
      <w:proofErr w:type="spellEnd"/>
      <w:r w:rsidRPr="007122AB">
        <w:rPr>
          <w:rFonts w:ascii="Times New Roman" w:hAnsi="Times New Roman"/>
          <w:color w:val="000000" w:themeColor="text1"/>
          <w:sz w:val="16"/>
          <w:szCs w:val="16"/>
        </w:rPr>
        <w:t xml:space="preserve">» создал Рудольф </w:t>
      </w:r>
      <w:proofErr w:type="spellStart"/>
      <w:r w:rsidRPr="007122AB">
        <w:rPr>
          <w:rFonts w:ascii="Times New Roman" w:hAnsi="Times New Roman"/>
          <w:color w:val="000000" w:themeColor="text1"/>
          <w:sz w:val="16"/>
          <w:szCs w:val="16"/>
        </w:rPr>
        <w:t>Небель</w:t>
      </w:r>
      <w:proofErr w:type="spellEnd"/>
      <w:r w:rsidRPr="007122AB">
        <w:rPr>
          <w:rFonts w:ascii="Times New Roman" w:hAnsi="Times New Roman"/>
          <w:color w:val="000000" w:themeColor="text1"/>
          <w:sz w:val="16"/>
          <w:szCs w:val="16"/>
        </w:rPr>
        <w:t>. Но после этого почти любые новые устройства или разработки были итогом неофициальных обсуждений и совещаний. Члены «Общества» не придавали никакого значения тому, кто и что придумал, зная, как много нужно сделать, прежде чем эксперименты дадут ощутимые результаты. Все успехи немецкого «Общества межпланетных сообщений» были коллективными.</w:t>
      </w:r>
    </w:p>
    <w:p w14:paraId="3F7C18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качестве испытательного стенда удалось приспособить старую пусковую направляющую ракеты </w:t>
      </w:r>
      <w:proofErr w:type="spellStart"/>
      <w:r w:rsidRPr="007122AB">
        <w:rPr>
          <w:rFonts w:ascii="Times New Roman" w:hAnsi="Times New Roman"/>
          <w:color w:val="000000" w:themeColor="text1"/>
          <w:sz w:val="16"/>
          <w:szCs w:val="16"/>
        </w:rPr>
        <w:t>Оберта</w:t>
      </w:r>
      <w:proofErr w:type="spellEnd"/>
      <w:r w:rsidRPr="007122AB">
        <w:rPr>
          <w:rFonts w:ascii="Times New Roman" w:hAnsi="Times New Roman"/>
          <w:color w:val="000000" w:themeColor="text1"/>
          <w:sz w:val="16"/>
          <w:szCs w:val="16"/>
        </w:rPr>
        <w:t>, снабженную весами. Ракетный двигатель прикреплялся к одной стороне весов, отклонение которых регистрировалось на вращающемся барабане. Баки с кислородом и бензином были зарыты в землю по обе стороны испытательного стенда. Каждый бак был снабжен баллоном со сжатым азотом для обеспечения подачи топливных компонентов в камеру сгорания под давлением. Оператор, управлявший подачей топлива и зажиганием, находился за толстой дверью в полной безопасности, но он не мог видеть испытательного стенда и только выполнял команды, которые отдавал человек, руководивший испытанием.</w:t>
      </w:r>
    </w:p>
    <w:p w14:paraId="16C9BF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проходили следующим образом. Ракетный двигатель помещался в металлический контейнер, который был соединен с весами стенда. Охлаждающая вода поступала из большой пожарной бочки и подавалась по трубе к отверстию вблизи от дна контейнера. Те, кто находился у стенда, наполняли бочку водой, а бак – бензином, и соединяли двигатель с весами. Затем они устанавливали на срезе сопла воспламеняющее устройство, которое представляло собой небольшую пороховую ракету. Порох в этой ракете был особым – он давал очень жаркое пламя и горел 10 секунд, не выделяя большого количества газов.</w:t>
      </w:r>
    </w:p>
    <w:p w14:paraId="54CD9B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установки воспламеняющего устройства заводился часовой механизм регистрирующего барабана и затем один из топливных баков заправлялся жидким кислородом. Обслуживающий персонал прятался, а у стенда оставался только один человек, который открывал стопорный кран в системе охлаждения. В тот момент, когда и этот человек уходил в укрытие, собственно и начиналось испытание.</w:t>
      </w:r>
    </w:p>
    <w:p w14:paraId="6EC19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Имелась определенная последовательность в командах, которые выкрикивал наблюдатель. По команде «Запал!» замыкалась электрическая цепь, отчего воспламенялась пороховая шашка, из которой горизонтально у среза сопла вырывалась струя пламени. После этого подавалась команда «Бензин!» – и мгновенно из двигателя вылетало желтое пламя. Тут же следовала команда «Кислород!» – и пламя становилось сначала ослепительно белым, а затем голубоватым, одновременно укорачиваясь в длину. Звук, создаваемый этим пламенем, напоминал рев огромного водопада и не прекращался, пока двигатель работал. Время испытательных запусков двигателя ограничивалось емкостью кислородного бака: самый долгий запуск, который могли себе позволить экспериментаторы из «Общества межпланетных сообщений», продолжался около 90 секунд (11688).</w:t>
      </w:r>
    </w:p>
    <w:p w14:paraId="15076B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B54866" w14:textId="77777777" w:rsidR="001A7FA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A764E5" w14:textId="77777777" w:rsidR="001A7FA6" w:rsidRPr="007122AB" w:rsidRDefault="001A7FA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D677FC" w14:textId="77777777" w:rsidR="00154AB9" w:rsidRPr="007122AB" w:rsidRDefault="00154AB9"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лету 1931 года на заводе № 39 построили двухместный истребитель ДИ-3. Самолет представлял собой одностоечный биплан смешанной конструкции. Фюзеляж – ферменный, сварной из труб с полотняной обтяжкой. Крылья – деревянные, стабилизатор с изменяемым в полете углом. Истребитель даже еще не строился, а уже готовилось его производство на строившемся заводе № 21. Истребитель вышел на испытания в августе 1931 года. Его отличительной особенностью было разнесенное вертикальное оперение, кстати, впервые в отечественных конструкциях самолетов для удобства ведения огня с задней точки. ДИ-3 на испытаниях показал неплохие летные качества, близкие к И-5, но в ходе испытаний из-за многих доводок оказался перетяжеленным, и его первоначальные характеристики снизились. На Государственных испытаниях он показал скорость у земли 256 км/ч, а потолок 6300 м. Военных такие показатели уже не удовлетворяли, и на вооружение ДИ-3 принят не был (15223).</w:t>
      </w:r>
    </w:p>
    <w:p w14:paraId="13C5F3BD" w14:textId="77777777" w:rsidR="00154AB9" w:rsidRPr="007122AB" w:rsidRDefault="00154AB9" w:rsidP="007122AB">
      <w:pPr>
        <w:shd w:val="clear" w:color="auto" w:fill="FFFFFF"/>
        <w:spacing w:after="0" w:line="240" w:lineRule="auto"/>
        <w:jc w:val="both"/>
        <w:rPr>
          <w:rFonts w:ascii="Times New Roman" w:hAnsi="Times New Roman"/>
          <w:color w:val="000000" w:themeColor="text1"/>
          <w:sz w:val="16"/>
          <w:szCs w:val="16"/>
        </w:rPr>
      </w:pPr>
    </w:p>
    <w:p w14:paraId="2C24506F" w14:textId="77777777" w:rsidR="00154AB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82E83B3" w14:textId="77777777" w:rsidR="00154AB9" w:rsidRPr="007122AB" w:rsidRDefault="00154AB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7F278A"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началу лета 1931 ХПЗ не сдал ни одного танка Т-24 представителям заказчика, так как по результатам заводских испытаний выявилась необходимость совершенствования его конструкции. К этой работе, помимо конструкторов завода, привлекли и представителей УММ РККА. В течение апреля—июня 1931 г. представители УММ РККА П.С. Озеров и В.И. Заславский внесли в конструкцию Т-24 около 200 различных изменений.9 июля 1931 г. завод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w:t>
      </w:r>
      <w:proofErr w:type="spellStart"/>
      <w:r w:rsidRPr="007122AB">
        <w:rPr>
          <w:rFonts w:ascii="Times New Roman" w:hAnsi="Times New Roman"/>
          <w:color w:val="000000" w:themeColor="text1"/>
          <w:sz w:val="16"/>
          <w:szCs w:val="16"/>
        </w:rPr>
        <w:t>пово-рачиваемость</w:t>
      </w:r>
      <w:proofErr w:type="spellEnd"/>
      <w:r w:rsidRPr="007122AB">
        <w:rPr>
          <w:rFonts w:ascii="Times New Roman" w:hAnsi="Times New Roman"/>
          <w:color w:val="000000" w:themeColor="text1"/>
          <w:sz w:val="16"/>
          <w:szCs w:val="16"/>
        </w:rPr>
        <w:t xml:space="preserve"> машины на месте на третьей и даже на четвертой </w:t>
      </w:r>
      <w:proofErr w:type="spellStart"/>
      <w:r w:rsidRPr="007122AB">
        <w:rPr>
          <w:rFonts w:ascii="Times New Roman" w:hAnsi="Times New Roman"/>
          <w:color w:val="000000" w:themeColor="text1"/>
          <w:sz w:val="16"/>
          <w:szCs w:val="16"/>
        </w:rPr>
        <w:t>скоростях.В</w:t>
      </w:r>
      <w:proofErr w:type="spellEnd"/>
      <w:r w:rsidRPr="007122AB">
        <w:rPr>
          <w:rFonts w:ascii="Times New Roman" w:hAnsi="Times New Roman"/>
          <w:color w:val="000000" w:themeColor="text1"/>
          <w:sz w:val="16"/>
          <w:szCs w:val="16"/>
        </w:rPr>
        <w:t xml:space="preserve">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581CDE34"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668561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началу лета 1931 г. на заводе Красный Октябрь в Ленинграде удалось изготовить три усовершенствован</w:t>
      </w:r>
      <w:r w:rsidRPr="007122AB">
        <w:rPr>
          <w:rFonts w:ascii="Times New Roman" w:hAnsi="Times New Roman"/>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 моделей [4.38] (11429).</w:t>
      </w:r>
    </w:p>
    <w:p w14:paraId="25FA92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CB077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FEA06E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174E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На базе ТБ-3 и Р-5 сформирован авиаотряд - начало отечественной военно-транспортной авиации (4963 ).</w:t>
      </w:r>
    </w:p>
    <w:p w14:paraId="692CEBA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A7375" w14:textId="77777777" w:rsidR="00154AB9" w:rsidRPr="007122AB" w:rsidRDefault="00154A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июня</w:t>
      </w:r>
      <w:r w:rsidRPr="007122AB">
        <w:rPr>
          <w:rFonts w:ascii="Times New Roman" w:hAnsi="Times New Roman"/>
          <w:color w:val="000000" w:themeColor="text1"/>
          <w:sz w:val="16"/>
          <w:szCs w:val="16"/>
        </w:rPr>
        <w:t xml:space="preserve"> в 1931 году из самолетов «ТБ-3» и «Р-5» сформирован опытный авиаотряд - начало отечественной военно-транспортной авиации. Самолет «Р-5», созданный под руководством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xml:space="preserve"> в конце 1928 г., стал в Советском Союзе в 30-х годах наиболее массовым самолетом этого класса. Это была многоцелевая машина, которая применялась ВВС в качестве разведчика и легкого бомбардировщика, способного выполнять боевые задачи в любое время суток. «Р-5» представлял собой двухместный одностоечный полутораплан с мотором жидкостного охлаждения «М-17б» (680л.с.). Конструкция самолета деревянная. Благодаря большей мощности и высокой весовой отдаче обладал большой грузоподъемностью. Три машины этого типа обеспечили эвакуацию 83 из 104 человек, дрейфовавших на льдине после гибели парохода "Челюскин" (14909).</w:t>
      </w:r>
    </w:p>
    <w:p w14:paraId="580C5C5E" w14:textId="77777777" w:rsidR="00154AB9" w:rsidRPr="007122AB" w:rsidRDefault="00154AB9" w:rsidP="007122AB">
      <w:pPr>
        <w:spacing w:after="0" w:line="240" w:lineRule="auto"/>
        <w:jc w:val="both"/>
        <w:rPr>
          <w:rFonts w:ascii="Times New Roman" w:hAnsi="Times New Roman"/>
          <w:color w:val="000000" w:themeColor="text1"/>
          <w:sz w:val="16"/>
          <w:szCs w:val="16"/>
        </w:rPr>
      </w:pPr>
    </w:p>
    <w:p w14:paraId="6D406E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по 30 июня 1931 в НИИ ВВС проходили испытание самолета ТБ1 № 669 с 2 моторами БМВVI</w:t>
      </w:r>
    </w:p>
    <w:p w14:paraId="5BDEAA8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измененной конструкции, постройки завода № 22. Основные изменения: установлены моторы со степенью сжатия Е-7,3, установлено жесткое управление рулями, усилен радиатор, устранен ряд недочетов, отмеченных при испытаниях серийного самолета.</w:t>
      </w:r>
    </w:p>
    <w:p w14:paraId="084024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1FC7219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с целью выявления </w:t>
      </w:r>
      <w:proofErr w:type="spellStart"/>
      <w:r w:rsidRPr="007122AB">
        <w:rPr>
          <w:rFonts w:ascii="Times New Roman" w:hAnsi="Times New Roman"/>
          <w:color w:val="000000" w:themeColor="text1"/>
          <w:sz w:val="16"/>
          <w:szCs w:val="16"/>
        </w:rPr>
        <w:t>полетно-эксплоатационных</w:t>
      </w:r>
      <w:proofErr w:type="spellEnd"/>
      <w:r w:rsidRPr="007122AB">
        <w:rPr>
          <w:rFonts w:ascii="Times New Roman" w:hAnsi="Times New Roman"/>
          <w:color w:val="000000" w:themeColor="text1"/>
          <w:sz w:val="16"/>
          <w:szCs w:val="16"/>
        </w:rPr>
        <w:t xml:space="preserve"> данных самолета с моторами со степенью сжатия Е=7,3 сравнительно с самолетами, имеющими моторы со степенью сжатия Е-6.</w:t>
      </w:r>
    </w:p>
    <w:p w14:paraId="355FAA8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и оценка конструктивных изменений и поверка устранения недочетов.</w:t>
      </w:r>
    </w:p>
    <w:p w14:paraId="321E5B6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1 июня 1931 года</w:t>
      </w:r>
    </w:p>
    <w:p w14:paraId="51A668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окончено 30 июня 1931 года</w:t>
      </w:r>
    </w:p>
    <w:p w14:paraId="7816D6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число дней – 30</w:t>
      </w:r>
    </w:p>
    <w:p w14:paraId="1F3F34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12</w:t>
      </w:r>
    </w:p>
    <w:p w14:paraId="56D5E7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70D11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эксплуатации самолетов ТБ1 с полетным весом до 8000 кг установка моторов БМВ VI Е-7,3 нецелесообразна (6933).</w:t>
      </w:r>
    </w:p>
    <w:p w14:paraId="7B68DF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0C9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с созданием опытного авиаотряда на базе ТБ-1 и Р-5 было положено начало военно-транспортной авиации (3398,201).</w:t>
      </w:r>
    </w:p>
    <w:p w14:paraId="13406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C06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начались работы над АНТ-21 (МИ-3) (514).</w:t>
      </w:r>
    </w:p>
    <w:p w14:paraId="1B7C9E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с 1 марта 1931 (2072,68).</w:t>
      </w:r>
    </w:p>
    <w:p w14:paraId="16E63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проектирование МИ-3 (АНТ-21) началось в январе 1932</w:t>
      </w:r>
    </w:p>
    <w:p w14:paraId="198EA8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E30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июня 1931 года начальник 2-го отдела НИИ ВВС Квитко писал письмо N 323 в 1-й отдел УСУ ВВС на N VI/258с от 27 апреля 1931 года.</w:t>
      </w:r>
    </w:p>
    <w:p w14:paraId="70D2E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отчет по войсковым испытаниям самолета И5 в 73 А.О. 5-й авиабригаде в Киеве.</w:t>
      </w:r>
    </w:p>
    <w:p w14:paraId="662AA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упомянутое на 26 листах (2979).</w:t>
      </w:r>
    </w:p>
    <w:p w14:paraId="0C53B8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E3B2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на КАСКР-2 была достигнута высота 450 метров (10224,36).</w:t>
      </w:r>
    </w:p>
    <w:p w14:paraId="744BA7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A46E6"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КАСКР-2 достиг высоты 450 метров. В этот день на Центральном аэродроме с ним ознакомились представители СОК ЦАГИ во главе с А.М. Черемухиным. Устойчивые полеты аппарата произве</w:t>
      </w:r>
      <w:r w:rsidRPr="007122AB">
        <w:rPr>
          <w:rFonts w:ascii="Times New Roman" w:hAnsi="Times New Roman"/>
          <w:color w:val="000000" w:themeColor="text1"/>
          <w:sz w:val="16"/>
          <w:szCs w:val="16"/>
        </w:rPr>
        <w:softHyphen/>
        <w:t xml:space="preserve">ли на </w:t>
      </w:r>
      <w:proofErr w:type="spellStart"/>
      <w:r w:rsidRPr="007122AB">
        <w:rPr>
          <w:rFonts w:ascii="Times New Roman" w:hAnsi="Times New Roman"/>
          <w:color w:val="000000" w:themeColor="text1"/>
          <w:sz w:val="16"/>
          <w:szCs w:val="16"/>
        </w:rPr>
        <w:t>цаговских</w:t>
      </w:r>
      <w:proofErr w:type="spellEnd"/>
      <w:r w:rsidRPr="007122AB">
        <w:rPr>
          <w:rFonts w:ascii="Times New Roman" w:hAnsi="Times New Roman"/>
          <w:color w:val="000000" w:themeColor="text1"/>
          <w:sz w:val="16"/>
          <w:szCs w:val="16"/>
        </w:rPr>
        <w:t xml:space="preserve"> инженеров вполне благоприятное впечат</w:t>
      </w:r>
      <w:r w:rsidRPr="007122AB">
        <w:rPr>
          <w:rFonts w:ascii="Times New Roman" w:hAnsi="Times New Roman"/>
          <w:color w:val="000000" w:themeColor="text1"/>
          <w:sz w:val="16"/>
          <w:szCs w:val="16"/>
        </w:rPr>
        <w:softHyphen/>
        <w:t>ление, тем более что интерес на этот раз был сугубо прак</w:t>
      </w:r>
      <w:r w:rsidRPr="007122AB">
        <w:rPr>
          <w:rFonts w:ascii="Times New Roman" w:hAnsi="Times New Roman"/>
          <w:color w:val="000000" w:themeColor="text1"/>
          <w:sz w:val="16"/>
          <w:szCs w:val="16"/>
        </w:rPr>
        <w:softHyphen/>
        <w:t>тическим — в аэрогидродинамическом институте приступи</w:t>
      </w:r>
      <w:r w:rsidRPr="007122AB">
        <w:rPr>
          <w:rFonts w:ascii="Times New Roman" w:hAnsi="Times New Roman"/>
          <w:color w:val="000000" w:themeColor="text1"/>
          <w:sz w:val="16"/>
          <w:szCs w:val="16"/>
        </w:rPr>
        <w:softHyphen/>
        <w:t>ли к проектированию автожира своей конструкции (20361).</w:t>
      </w:r>
    </w:p>
    <w:p w14:paraId="00BEA0D4" w14:textId="77777777" w:rsidR="008C3B80" w:rsidRPr="007122AB" w:rsidRDefault="008C3B80" w:rsidP="007122AB">
      <w:pPr>
        <w:shd w:val="clear" w:color="auto" w:fill="FFFFFF"/>
        <w:spacing w:after="0" w:line="240" w:lineRule="auto"/>
        <w:jc w:val="both"/>
        <w:rPr>
          <w:rFonts w:ascii="Times New Roman" w:hAnsi="Times New Roman"/>
          <w:color w:val="000000" w:themeColor="text1"/>
          <w:sz w:val="16"/>
          <w:szCs w:val="16"/>
        </w:rPr>
      </w:pPr>
    </w:p>
    <w:p w14:paraId="15654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был подготовлен План работ опытного самолетостроения АГОС ЦАГИ 1931-1934 (черновой, много исправлений) (351).</w:t>
      </w:r>
    </w:p>
    <w:p w14:paraId="69B4D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B3D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отменили заказ фирме "Роллс-Ройс", выданный в мае через торговое представительство в Лондоне, на моторы по 800 л.с. для первого опытного образца АНТ-16.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 (12024).</w:t>
      </w:r>
    </w:p>
    <w:p w14:paraId="054A2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6C1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проект звена Вахмистрова был утвержден Нач. ВВС (1076,573).</w:t>
      </w:r>
    </w:p>
    <w:p w14:paraId="13D3A7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D82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 Вахмистров изложил в письме, направленном в УВВС, идею самолета-авианосца (9807).</w:t>
      </w:r>
    </w:p>
    <w:p w14:paraId="3352C4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390A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 B.C. Вахмистров направленном в УВВС письмо с идеей "авиаматки" - бомбардировщика, несущего на себе истребители. Последние могли защитить своего носителя и другие самолеты группы там, куда истребители не могли бы добраться самостоятельно - не хватило бы горючего (12036).</w:t>
      </w:r>
    </w:p>
    <w:p w14:paraId="6C653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77C73F" w14:textId="77777777" w:rsidR="00303361" w:rsidRPr="007122AB" w:rsidRDefault="00303361"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1-го июня 1931 года проект установки И-4 на ТБ-1 с необходимыми аэродинамическими расчётами был представлен командующему ВВС Алкснису и начальнику штаба ВВС Меженинову. Проект понравился и получил благословление на реализацию» </w:t>
      </w:r>
      <w:hyperlink r:id="rId127" w:history="1">
        <w:r w:rsidRPr="007122AB">
          <w:rPr>
            <w:rFonts w:ascii="Times New Roman" w:eastAsia="Times New Roman" w:hAnsi="Times New Roman"/>
            <w:color w:val="000000" w:themeColor="text1"/>
            <w:sz w:val="16"/>
            <w:szCs w:val="16"/>
            <w:lang w:eastAsia="ru-RU"/>
          </w:rPr>
          <w:t>[73]</w:t>
        </w:r>
      </w:hyperlink>
      <w:r w:rsidRPr="007122AB">
        <w:rPr>
          <w:rFonts w:ascii="Times New Roman" w:eastAsia="Times New Roman" w:hAnsi="Times New Roman"/>
          <w:color w:val="000000" w:themeColor="text1"/>
          <w:sz w:val="16"/>
          <w:szCs w:val="16"/>
          <w:lang w:eastAsia="ru-RU"/>
        </w:rPr>
        <w:t xml:space="preserve"> .</w:t>
      </w:r>
    </w:p>
    <w:p w14:paraId="48237F3F" w14:textId="77777777" w:rsidR="00303361" w:rsidRPr="007122AB" w:rsidRDefault="00303361" w:rsidP="007122AB">
      <w:pPr>
        <w:spacing w:after="0" w:line="240" w:lineRule="auto"/>
        <w:jc w:val="both"/>
        <w:rPr>
          <w:rFonts w:ascii="Times New Roman" w:eastAsia="Times New Roman" w:hAnsi="Times New Roman"/>
          <w:color w:val="000000" w:themeColor="text1"/>
          <w:sz w:val="16"/>
          <w:szCs w:val="16"/>
          <w:lang w:eastAsia="ru-RU"/>
        </w:rPr>
      </w:pPr>
    </w:p>
    <w:p w14:paraId="14D5790C" w14:textId="77777777" w:rsidR="005C794C" w:rsidRPr="007122AB" w:rsidRDefault="005C794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1 июня 1931 г. предварительный проект Вахмистрова представили на рассмотрение Управления ВВС. Там его одобрили. Начальник ВВС Я.И Алкснис распорядился работу продолжить. Поддержку Вахмистрову оказал и М.Н. Тухачевский, курировавший тогда новое вооружение РККА.</w:t>
      </w:r>
    </w:p>
    <w:p w14:paraId="5C916DB7" w14:textId="77777777" w:rsidR="005C794C" w:rsidRPr="007122AB" w:rsidRDefault="005C794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Вахмистров подал документы об утверждении идеи СЗВ как изобретения. И действительно, 1 августа он получил соответствующее авторское свидетельство.</w:t>
      </w:r>
    </w:p>
    <w:p w14:paraId="522AF3B3" w14:textId="77777777" w:rsidR="005C794C" w:rsidRPr="007122AB" w:rsidRDefault="005C794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Уточненные расчеты и проектирование дополнительных узлов для ТБ-1 и И-4 возложили не на НИИ ВВС, а на ЦАГИ, мотивируя тем, что оба типа машин там и создавались. Работники 1-го отдела НИИ фактически лишь ставили перед ними задачи. В ЦАГИ этой работой загрузили группы Б.А. Новосельского и М.И. Родионова. Для облегчения с бомбардировщика сняли все, без чего можно было обойтись, включая все стрелковое и бомбовое вооружение. На крыле под истребители предусмотрели «пауки» с замками для фиксации передних колес (для них использовали замки бомбодержателей). Поскольку хотели, чтобы И-4 сразу находились в полетном положении (с поднятым хвостом), под задней частью фюзеляжа на крыле смонтировали пирамиды из труб, на которых крепились регулируемые по высоте опоры, тоже снабженные замками. Задние замки открывались тросовыми механизмами из кабин истребителей, передние - с места второго пилота ТБ-1.</w:t>
      </w:r>
    </w:p>
    <w:p w14:paraId="54D3FB49" w14:textId="77777777" w:rsidR="005C794C" w:rsidRPr="007122AB" w:rsidRDefault="005C794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И-4 для облегчения и отчасти из соображений безопасности избавили от рудиментарных нижних крылышек. На летных данных истребителя это практически не сказалось.</w:t>
      </w:r>
    </w:p>
    <w:p w14:paraId="635BF084" w14:textId="77777777" w:rsidR="005C794C" w:rsidRPr="007122AB" w:rsidRDefault="005C794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Все дополнительные узлы изготавливал Завод опытных конструкций ЦАГИ. Самолеты выделил НИИ ВВС, окончательный монтаж производился на аэродроме в Монино.</w:t>
      </w:r>
    </w:p>
    <w:p w14:paraId="5926DF5A" w14:textId="77777777" w:rsidR="005C794C" w:rsidRPr="007122AB" w:rsidRDefault="005C794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Истребители затаскивали на крыло с помощью громоздких деревянных помостов. По ним самолеты и тянули, и толкали, собрав целую толпу людей. Операция оказалась длительной и весьма трудоемкой (19100).</w:t>
      </w:r>
    </w:p>
    <w:p w14:paraId="43537303" w14:textId="77777777" w:rsidR="005C794C" w:rsidRPr="007122AB" w:rsidRDefault="005C794C" w:rsidP="007122AB">
      <w:pPr>
        <w:pStyle w:val="a8"/>
        <w:jc w:val="both"/>
        <w:rPr>
          <w:rFonts w:ascii="Times New Roman" w:hAnsi="Times New Roman" w:cs="Times New Roman"/>
          <w:color w:val="000000" w:themeColor="text1"/>
        </w:rPr>
      </w:pPr>
    </w:p>
    <w:p w14:paraId="73700278" w14:textId="77777777" w:rsidR="00303361" w:rsidRPr="007122AB" w:rsidRDefault="00303361" w:rsidP="007122AB">
      <w:pPr>
        <w:pStyle w:val="a3"/>
        <w:rPr>
          <w:color w:val="000000" w:themeColor="text1"/>
          <w:lang w:val="ru-RU"/>
        </w:rPr>
      </w:pPr>
      <w:r w:rsidRPr="007122AB">
        <w:rPr>
          <w:color w:val="000000" w:themeColor="text1"/>
          <w:lang w:val="ru-RU"/>
        </w:rPr>
        <w:t>1</w:t>
      </w:r>
      <w:r w:rsidRPr="007122AB">
        <w:rPr>
          <w:rStyle w:val="ArialNarrow14"/>
          <w:rFonts w:ascii="Times New Roman" w:hAnsi="Times New Roman" w:cs="Times New Roman"/>
          <w:b w:val="0"/>
          <w:color w:val="000000" w:themeColor="text1"/>
          <w:spacing w:val="0"/>
          <w:sz w:val="16"/>
          <w:szCs w:val="16"/>
          <w:lang w:val="ru-RU"/>
        </w:rPr>
        <w:t xml:space="preserve"> июня</w:t>
      </w:r>
      <w:r w:rsidRPr="007122AB">
        <w:rPr>
          <w:color w:val="000000" w:themeColor="text1"/>
          <w:lang w:val="ru-RU"/>
        </w:rPr>
        <w:t xml:space="preserve"> 1931 г. предварительный про</w:t>
      </w:r>
      <w:r w:rsidRPr="007122AB">
        <w:rPr>
          <w:color w:val="000000" w:themeColor="text1"/>
          <w:lang w:val="ru-RU"/>
        </w:rPr>
        <w:softHyphen/>
      </w:r>
      <w:r w:rsidRPr="007122AB">
        <w:rPr>
          <w:rStyle w:val="ArialNarrow14"/>
          <w:rFonts w:ascii="Times New Roman" w:hAnsi="Times New Roman" w:cs="Times New Roman"/>
          <w:b w:val="0"/>
          <w:color w:val="000000" w:themeColor="text1"/>
          <w:spacing w:val="0"/>
          <w:sz w:val="16"/>
          <w:szCs w:val="16"/>
          <w:lang w:val="ru-RU"/>
        </w:rPr>
        <w:t>ект</w:t>
      </w:r>
      <w:r w:rsidRPr="007122AB">
        <w:rPr>
          <w:color w:val="000000" w:themeColor="text1"/>
          <w:lang w:val="ru-RU"/>
        </w:rPr>
        <w:t xml:space="preserve"> Вахмистрова представили на рассмотрение Управ</w:t>
      </w:r>
      <w:r w:rsidRPr="007122AB">
        <w:rPr>
          <w:color w:val="000000" w:themeColor="text1"/>
          <w:lang w:val="ru-RU"/>
        </w:rPr>
        <w:softHyphen/>
      </w:r>
      <w:r w:rsidRPr="007122AB">
        <w:rPr>
          <w:rStyle w:val="ArialNarrow14"/>
          <w:rFonts w:ascii="Times New Roman" w:hAnsi="Times New Roman" w:cs="Times New Roman"/>
          <w:b w:val="0"/>
          <w:color w:val="000000" w:themeColor="text1"/>
          <w:spacing w:val="0"/>
          <w:sz w:val="16"/>
          <w:szCs w:val="16"/>
          <w:lang w:val="ru-RU"/>
        </w:rPr>
        <w:t>ления</w:t>
      </w:r>
      <w:r w:rsidRPr="007122AB">
        <w:rPr>
          <w:rStyle w:val="ArialNarrow15"/>
          <w:rFonts w:ascii="Times New Roman" w:hAnsi="Times New Roman" w:cs="Times New Roman"/>
          <w:b w:val="0"/>
          <w:color w:val="000000" w:themeColor="text1"/>
          <w:sz w:val="16"/>
          <w:szCs w:val="16"/>
          <w:lang w:val="ru-RU"/>
        </w:rPr>
        <w:t xml:space="preserve"> ВВС.</w:t>
      </w:r>
      <w:r w:rsidRPr="007122AB">
        <w:rPr>
          <w:color w:val="000000" w:themeColor="text1"/>
          <w:lang w:val="ru-RU"/>
        </w:rPr>
        <w:t xml:space="preserve"> Там его одобрили. Начальник </w:t>
      </w:r>
      <w:r w:rsidRPr="007122AB">
        <w:rPr>
          <w:rStyle w:val="ArialNarrow15"/>
          <w:rFonts w:ascii="Times New Roman" w:hAnsi="Times New Roman" w:cs="Times New Roman"/>
          <w:b w:val="0"/>
          <w:color w:val="000000" w:themeColor="text1"/>
          <w:sz w:val="16"/>
          <w:szCs w:val="16"/>
          <w:lang w:val="ru-RU"/>
        </w:rPr>
        <w:t>ВВС Я.И.</w:t>
      </w:r>
      <w:r w:rsidRPr="007122AB">
        <w:rPr>
          <w:color w:val="000000" w:themeColor="text1"/>
          <w:lang w:val="ru-RU"/>
        </w:rPr>
        <w:t xml:space="preserve"> Алкснис распорядился работу </w:t>
      </w:r>
      <w:r w:rsidRPr="007122AB">
        <w:rPr>
          <w:rStyle w:val="ArialNarrow15"/>
          <w:rFonts w:ascii="Times New Roman" w:hAnsi="Times New Roman" w:cs="Times New Roman"/>
          <w:b w:val="0"/>
          <w:color w:val="000000" w:themeColor="text1"/>
          <w:sz w:val="16"/>
          <w:szCs w:val="16"/>
          <w:lang w:val="ru-RU"/>
        </w:rPr>
        <w:t>продолжить.</w:t>
      </w:r>
      <w:r w:rsidRPr="007122AB">
        <w:rPr>
          <w:color w:val="000000" w:themeColor="text1"/>
          <w:lang w:val="ru-RU"/>
        </w:rPr>
        <w:t xml:space="preserve"> Поддержку Вахмистрову </w:t>
      </w:r>
      <w:r w:rsidRPr="007122AB">
        <w:rPr>
          <w:rStyle w:val="ArialNarrow14"/>
          <w:rFonts w:ascii="Times New Roman" w:hAnsi="Times New Roman" w:cs="Times New Roman"/>
          <w:b w:val="0"/>
          <w:color w:val="000000" w:themeColor="text1"/>
          <w:spacing w:val="0"/>
          <w:sz w:val="16"/>
          <w:szCs w:val="16"/>
          <w:lang w:val="ru-RU"/>
        </w:rPr>
        <w:t>оказал и</w:t>
      </w:r>
      <w:r w:rsidRPr="007122AB">
        <w:rPr>
          <w:color w:val="000000" w:themeColor="text1"/>
          <w:lang w:val="ru-RU"/>
        </w:rPr>
        <w:t xml:space="preserve"> М.Н. Тухачевский, курировавший </w:t>
      </w:r>
      <w:r w:rsidRPr="007122AB">
        <w:rPr>
          <w:rStyle w:val="ArialNarrow14"/>
          <w:rFonts w:ascii="Times New Roman" w:hAnsi="Times New Roman" w:cs="Times New Roman"/>
          <w:b w:val="0"/>
          <w:color w:val="000000" w:themeColor="text1"/>
          <w:spacing w:val="0"/>
          <w:sz w:val="16"/>
          <w:szCs w:val="16"/>
          <w:lang w:val="ru-RU"/>
        </w:rPr>
        <w:t>тогда</w:t>
      </w:r>
      <w:r w:rsidRPr="007122AB">
        <w:rPr>
          <w:rStyle w:val="ArialNarrow15"/>
          <w:rFonts w:ascii="Times New Roman" w:hAnsi="Times New Roman" w:cs="Times New Roman"/>
          <w:b w:val="0"/>
          <w:color w:val="000000" w:themeColor="text1"/>
          <w:sz w:val="16"/>
          <w:szCs w:val="16"/>
          <w:lang w:val="ru-RU"/>
        </w:rPr>
        <w:t xml:space="preserve"> новое</w:t>
      </w:r>
      <w:r w:rsidRPr="007122AB">
        <w:rPr>
          <w:color w:val="000000" w:themeColor="text1"/>
          <w:lang w:val="ru-RU"/>
        </w:rPr>
        <w:t xml:space="preserve"> вооружение РККА.</w:t>
      </w:r>
    </w:p>
    <w:p w14:paraId="2B1BA144" w14:textId="77777777" w:rsidR="00303361" w:rsidRPr="007122AB" w:rsidRDefault="00303361" w:rsidP="007122AB">
      <w:pPr>
        <w:pStyle w:val="a3"/>
        <w:rPr>
          <w:color w:val="000000" w:themeColor="text1"/>
          <w:lang w:val="ru-RU"/>
        </w:rPr>
      </w:pPr>
      <w:r w:rsidRPr="007122AB">
        <w:rPr>
          <w:rStyle w:val="ArialNarrow15"/>
          <w:rFonts w:ascii="Times New Roman" w:hAnsi="Times New Roman" w:cs="Times New Roman"/>
          <w:b w:val="0"/>
          <w:color w:val="000000" w:themeColor="text1"/>
          <w:sz w:val="16"/>
          <w:szCs w:val="16"/>
          <w:lang w:val="ru-RU"/>
        </w:rPr>
        <w:t>Вахмистров</w:t>
      </w:r>
      <w:r w:rsidRPr="007122AB">
        <w:rPr>
          <w:color w:val="000000" w:themeColor="text1"/>
          <w:lang w:val="ru-RU"/>
        </w:rPr>
        <w:t xml:space="preserve"> подал документы об ут</w:t>
      </w:r>
      <w:r w:rsidRPr="007122AB">
        <w:rPr>
          <w:color w:val="000000" w:themeColor="text1"/>
          <w:lang w:val="ru-RU"/>
        </w:rPr>
        <w:softHyphen/>
      </w:r>
      <w:r w:rsidRPr="007122AB">
        <w:rPr>
          <w:rStyle w:val="ArialNarrow15"/>
          <w:rFonts w:ascii="Times New Roman" w:hAnsi="Times New Roman" w:cs="Times New Roman"/>
          <w:b w:val="0"/>
          <w:color w:val="000000" w:themeColor="text1"/>
          <w:sz w:val="16"/>
          <w:szCs w:val="16"/>
          <w:lang w:val="ru-RU"/>
        </w:rPr>
        <w:t>верждении</w:t>
      </w:r>
      <w:r w:rsidRPr="007122AB">
        <w:rPr>
          <w:color w:val="000000" w:themeColor="text1"/>
          <w:lang w:val="ru-RU"/>
        </w:rPr>
        <w:t xml:space="preserve"> идеи СЗВ как изобретения. </w:t>
      </w:r>
      <w:r w:rsidRPr="007122AB">
        <w:rPr>
          <w:rStyle w:val="ArialNarrow14"/>
          <w:rFonts w:ascii="Times New Roman" w:hAnsi="Times New Roman" w:cs="Times New Roman"/>
          <w:b w:val="0"/>
          <w:color w:val="000000" w:themeColor="text1"/>
          <w:spacing w:val="0"/>
          <w:sz w:val="16"/>
          <w:szCs w:val="16"/>
          <w:lang w:val="ru-RU"/>
        </w:rPr>
        <w:t>И</w:t>
      </w:r>
      <w:r w:rsidRPr="007122AB">
        <w:rPr>
          <w:color w:val="000000" w:themeColor="text1"/>
          <w:lang w:val="ru-RU"/>
        </w:rPr>
        <w:t xml:space="preserve"> </w:t>
      </w:r>
      <w:r w:rsidRPr="007122AB">
        <w:rPr>
          <w:rStyle w:val="ArialNarrow15"/>
          <w:rFonts w:ascii="Times New Roman" w:hAnsi="Times New Roman" w:cs="Times New Roman"/>
          <w:b w:val="0"/>
          <w:color w:val="000000" w:themeColor="text1"/>
          <w:sz w:val="16"/>
          <w:szCs w:val="16"/>
          <w:lang w:val="ru-RU"/>
        </w:rPr>
        <w:t>действительно, 1</w:t>
      </w:r>
      <w:r w:rsidRPr="007122AB">
        <w:rPr>
          <w:color w:val="000000" w:themeColor="text1"/>
          <w:lang w:val="ru-RU"/>
        </w:rPr>
        <w:t xml:space="preserve"> августа он получил со</w:t>
      </w:r>
      <w:r w:rsidRPr="007122AB">
        <w:rPr>
          <w:color w:val="000000" w:themeColor="text1"/>
          <w:lang w:val="ru-RU"/>
        </w:rPr>
        <w:softHyphen/>
      </w:r>
      <w:r w:rsidRPr="007122AB">
        <w:rPr>
          <w:rStyle w:val="ArialNarrow15"/>
          <w:rFonts w:ascii="Times New Roman" w:hAnsi="Times New Roman" w:cs="Times New Roman"/>
          <w:b w:val="0"/>
          <w:color w:val="000000" w:themeColor="text1"/>
          <w:sz w:val="16"/>
          <w:szCs w:val="16"/>
          <w:lang w:val="ru-RU"/>
        </w:rPr>
        <w:t>ответствующее</w:t>
      </w:r>
      <w:r w:rsidRPr="007122AB">
        <w:rPr>
          <w:color w:val="000000" w:themeColor="text1"/>
          <w:lang w:val="ru-RU"/>
        </w:rPr>
        <w:t xml:space="preserve"> авторское свидетельство.</w:t>
      </w:r>
    </w:p>
    <w:p w14:paraId="5E06884A" w14:textId="77777777" w:rsidR="00303361" w:rsidRPr="007122AB" w:rsidRDefault="00303361" w:rsidP="007122AB">
      <w:pPr>
        <w:pStyle w:val="a3"/>
        <w:rPr>
          <w:color w:val="000000" w:themeColor="text1"/>
          <w:lang w:val="ru-RU"/>
        </w:rPr>
      </w:pPr>
      <w:r w:rsidRPr="007122AB">
        <w:rPr>
          <w:color w:val="000000" w:themeColor="text1"/>
          <w:lang w:val="ru-RU"/>
        </w:rPr>
        <w:t>Уточненные расчеты и проектиро</w:t>
      </w:r>
      <w:r w:rsidRPr="007122AB">
        <w:rPr>
          <w:color w:val="000000" w:themeColor="text1"/>
          <w:lang w:val="ru-RU"/>
        </w:rPr>
        <w:softHyphen/>
      </w:r>
      <w:r w:rsidRPr="007122AB">
        <w:rPr>
          <w:rStyle w:val="ArialNarrow15"/>
          <w:rFonts w:ascii="Times New Roman" w:hAnsi="Times New Roman" w:cs="Times New Roman"/>
          <w:b w:val="0"/>
          <w:color w:val="000000" w:themeColor="text1"/>
          <w:sz w:val="16"/>
          <w:szCs w:val="16"/>
          <w:lang w:val="ru-RU"/>
        </w:rPr>
        <w:t>вание</w:t>
      </w:r>
      <w:r w:rsidRPr="007122AB">
        <w:rPr>
          <w:color w:val="000000" w:themeColor="text1"/>
          <w:lang w:val="ru-RU"/>
        </w:rPr>
        <w:t xml:space="preserve"> дополнительных узлов для ТБ-1 </w:t>
      </w:r>
      <w:r w:rsidRPr="007122AB">
        <w:rPr>
          <w:rStyle w:val="ArialNarrow14"/>
          <w:rFonts w:ascii="Times New Roman" w:hAnsi="Times New Roman" w:cs="Times New Roman"/>
          <w:b w:val="0"/>
          <w:color w:val="000000" w:themeColor="text1"/>
          <w:spacing w:val="0"/>
          <w:sz w:val="16"/>
          <w:szCs w:val="16"/>
          <w:lang w:val="ru-RU"/>
        </w:rPr>
        <w:t>и</w:t>
      </w:r>
      <w:r w:rsidRPr="007122AB">
        <w:rPr>
          <w:rStyle w:val="ArialNarrow15"/>
          <w:rFonts w:ascii="Times New Roman" w:hAnsi="Times New Roman" w:cs="Times New Roman"/>
          <w:b w:val="0"/>
          <w:color w:val="000000" w:themeColor="text1"/>
          <w:sz w:val="16"/>
          <w:szCs w:val="16"/>
          <w:lang w:val="ru-RU"/>
        </w:rPr>
        <w:t xml:space="preserve"> И-4</w:t>
      </w:r>
      <w:r w:rsidRPr="007122AB">
        <w:rPr>
          <w:color w:val="000000" w:themeColor="text1"/>
          <w:lang w:val="ru-RU"/>
        </w:rPr>
        <w:t xml:space="preserve"> возложили не на НИИ ВВС, а на КОСОС ЦАГИ, мотивируя тем, что оба </w:t>
      </w:r>
      <w:r w:rsidRPr="007122AB">
        <w:rPr>
          <w:rStyle w:val="ArialNarrow15"/>
          <w:rFonts w:ascii="Times New Roman" w:hAnsi="Times New Roman" w:cs="Times New Roman"/>
          <w:b w:val="0"/>
          <w:color w:val="000000" w:themeColor="text1"/>
          <w:sz w:val="16"/>
          <w:szCs w:val="16"/>
          <w:lang w:val="ru-RU"/>
        </w:rPr>
        <w:t>типа</w:t>
      </w:r>
      <w:r w:rsidRPr="007122AB">
        <w:rPr>
          <w:color w:val="000000" w:themeColor="text1"/>
          <w:lang w:val="ru-RU"/>
        </w:rPr>
        <w:t xml:space="preserve"> машин там и создавались. Работники 1-го отдела НИИ фактически лишь ста</w:t>
      </w:r>
      <w:r w:rsidRPr="007122AB">
        <w:rPr>
          <w:color w:val="000000" w:themeColor="text1"/>
          <w:lang w:val="ru-RU"/>
        </w:rPr>
        <w:softHyphen/>
        <w:t>вили перед ними задачи. В КОСОС этой работой загрузили группы Б.А. Новосель</w:t>
      </w:r>
      <w:r w:rsidRPr="007122AB">
        <w:rPr>
          <w:color w:val="000000" w:themeColor="text1"/>
          <w:lang w:val="ru-RU"/>
        </w:rPr>
        <w:softHyphen/>
        <w:t>ского и М.И. Родионова. Для облегче</w:t>
      </w:r>
      <w:r w:rsidRPr="007122AB">
        <w:rPr>
          <w:color w:val="000000" w:themeColor="text1"/>
          <w:lang w:val="ru-RU"/>
        </w:rPr>
        <w:softHyphen/>
        <w:t>ния с бомбардировщика сняли все, без чего можно было обойтись, включая все стрелковое и бомбовое вооружение. На крыле под истребители предусмотрели «пауки» с замками для фиксации перед</w:t>
      </w:r>
      <w:r w:rsidRPr="007122AB">
        <w:rPr>
          <w:color w:val="000000" w:themeColor="text1"/>
          <w:lang w:val="ru-RU"/>
        </w:rPr>
        <w:softHyphen/>
        <w:t>них колес (для них использовали замки бомбодержателей).</w:t>
      </w:r>
    </w:p>
    <w:p w14:paraId="3BA76FE0" w14:textId="77777777" w:rsidR="00303361" w:rsidRPr="007122AB" w:rsidRDefault="00303361" w:rsidP="007122AB">
      <w:pPr>
        <w:pStyle w:val="a3"/>
        <w:rPr>
          <w:color w:val="000000" w:themeColor="text1"/>
          <w:lang w:val="ru-RU"/>
        </w:rPr>
      </w:pPr>
      <w:r w:rsidRPr="007122AB">
        <w:rPr>
          <w:color w:val="000000" w:themeColor="text1"/>
          <w:lang w:val="ru-RU"/>
        </w:rPr>
        <w:t>находились в полетном положении (с поднятым хвостом), под задней частью фюзеляжа на крыле смон</w:t>
      </w:r>
      <w:r w:rsidRPr="007122AB">
        <w:rPr>
          <w:color w:val="000000" w:themeColor="text1"/>
          <w:lang w:val="ru-RU"/>
        </w:rPr>
        <w:softHyphen/>
        <w:t>тировали пирамиды из труб, на которых крепились регулируемые по высоте опо</w:t>
      </w:r>
      <w:r w:rsidRPr="007122AB">
        <w:rPr>
          <w:color w:val="000000" w:themeColor="text1"/>
          <w:lang w:val="ru-RU"/>
        </w:rPr>
        <w:softHyphen/>
        <w:t>ры, тоже снабженные замками. Задние замки открывались тросовыми механиз</w:t>
      </w:r>
      <w:r w:rsidRPr="007122AB">
        <w:rPr>
          <w:color w:val="000000" w:themeColor="text1"/>
          <w:lang w:val="ru-RU"/>
        </w:rPr>
        <w:softHyphen/>
        <w:t>мами из кабин истребителей, передние - с места второго пилота ТБ-1.</w:t>
      </w:r>
    </w:p>
    <w:p w14:paraId="217BBAEB" w14:textId="77777777" w:rsidR="00303361" w:rsidRPr="007122AB" w:rsidRDefault="00303361" w:rsidP="007122AB">
      <w:pPr>
        <w:pStyle w:val="a3"/>
        <w:rPr>
          <w:color w:val="000000" w:themeColor="text1"/>
          <w:lang w:val="ru-RU"/>
        </w:rPr>
      </w:pPr>
      <w:r w:rsidRPr="007122AB">
        <w:rPr>
          <w:color w:val="000000" w:themeColor="text1"/>
          <w:lang w:val="ru-RU"/>
        </w:rPr>
        <w:t>И-4 для облегчения и отчасти из со</w:t>
      </w:r>
      <w:r w:rsidRPr="007122AB">
        <w:rPr>
          <w:color w:val="000000" w:themeColor="text1"/>
          <w:lang w:val="ru-RU"/>
        </w:rPr>
        <w:softHyphen/>
        <w:t>ображений безопасности избавили от ру</w:t>
      </w:r>
      <w:r w:rsidRPr="007122AB">
        <w:rPr>
          <w:color w:val="000000" w:themeColor="text1"/>
          <w:lang w:val="ru-RU"/>
        </w:rPr>
        <w:softHyphen/>
        <w:t>диментарных нижних крылышек. На лет</w:t>
      </w:r>
      <w:r w:rsidRPr="007122AB">
        <w:rPr>
          <w:color w:val="000000" w:themeColor="text1"/>
          <w:lang w:val="ru-RU"/>
        </w:rPr>
        <w:softHyphen/>
        <w:t>ных данных истребителя это практически не сказалось.</w:t>
      </w:r>
    </w:p>
    <w:p w14:paraId="22BE9B58" w14:textId="77777777" w:rsidR="00303361" w:rsidRPr="007122AB" w:rsidRDefault="00303361" w:rsidP="007122AB">
      <w:pPr>
        <w:pStyle w:val="a3"/>
        <w:rPr>
          <w:color w:val="000000" w:themeColor="text1"/>
          <w:lang w:val="ru-RU"/>
        </w:rPr>
      </w:pPr>
      <w:r w:rsidRPr="007122AB">
        <w:rPr>
          <w:color w:val="000000" w:themeColor="text1"/>
          <w:lang w:val="ru-RU"/>
        </w:rPr>
        <w:t>Все дополнительные узлы изготавли</w:t>
      </w:r>
      <w:r w:rsidRPr="007122AB">
        <w:rPr>
          <w:color w:val="000000" w:themeColor="text1"/>
          <w:lang w:val="ru-RU"/>
        </w:rPr>
        <w:softHyphen/>
        <w:t>вал Завод опытных конструкций ЦАГИ. Самолеты выделил НИИ ВВС, окончатель</w:t>
      </w:r>
      <w:r w:rsidRPr="007122AB">
        <w:rPr>
          <w:color w:val="000000" w:themeColor="text1"/>
          <w:lang w:val="ru-RU"/>
        </w:rPr>
        <w:softHyphen/>
        <w:t>ный монтаж производился на аэродроме в Монино.</w:t>
      </w:r>
    </w:p>
    <w:p w14:paraId="055A4DDF" w14:textId="77777777" w:rsidR="00303361" w:rsidRPr="007122AB" w:rsidRDefault="00303361" w:rsidP="007122AB">
      <w:pPr>
        <w:pStyle w:val="a3"/>
        <w:rPr>
          <w:color w:val="000000" w:themeColor="text1"/>
          <w:lang w:val="ru-RU"/>
        </w:rPr>
      </w:pPr>
      <w:r w:rsidRPr="007122AB">
        <w:rPr>
          <w:color w:val="000000" w:themeColor="text1"/>
          <w:lang w:val="ru-RU"/>
        </w:rPr>
        <w:t>Истребители затаскивали на кры</w:t>
      </w:r>
      <w:r w:rsidRPr="007122AB">
        <w:rPr>
          <w:color w:val="000000" w:themeColor="text1"/>
          <w:lang w:val="ru-RU"/>
        </w:rPr>
        <w:softHyphen/>
        <w:t>ло с помощью громоздких деревянных помостов. По ним самолеты и тянули, и толкали, собрав целую толпу людей. Операция оказалась длительной и весь</w:t>
      </w:r>
      <w:r w:rsidRPr="007122AB">
        <w:rPr>
          <w:color w:val="000000" w:themeColor="text1"/>
          <w:lang w:val="ru-RU"/>
        </w:rPr>
        <w:softHyphen/>
        <w:t>ма трудоемкой (17741).</w:t>
      </w:r>
    </w:p>
    <w:p w14:paraId="746A21C0" w14:textId="77777777" w:rsidR="00303361" w:rsidRPr="007122AB" w:rsidRDefault="00303361" w:rsidP="007122AB">
      <w:pPr>
        <w:spacing w:after="0" w:line="240" w:lineRule="auto"/>
        <w:jc w:val="both"/>
        <w:rPr>
          <w:rFonts w:ascii="Times New Roman" w:eastAsia="Times New Roman" w:hAnsi="Times New Roman"/>
          <w:color w:val="000000" w:themeColor="text1"/>
          <w:sz w:val="16"/>
          <w:szCs w:val="16"/>
          <w:lang w:eastAsia="ru-RU"/>
        </w:rPr>
      </w:pPr>
    </w:p>
    <w:p w14:paraId="6A88E4C7"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Весной 1931 г. об экспериментах Цандера с ракетным двигателем узнал 24-летний Сергей Королев, который немедленно познакомился с ним. Его поразила непрактичность Цандера, не имевшего ни малейшего представления о том, где искать средства для финансирования своей работы.</w:t>
      </w:r>
    </w:p>
    <w:p w14:paraId="20BDA752"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Королев сразу увидел возможность привлечения к финанси</w:t>
      </w:r>
      <w:r w:rsidRPr="00441F34">
        <w:rPr>
          <w:rFonts w:ascii="Times New Roman" w:hAnsi="Times New Roman"/>
          <w:color w:val="0070C0"/>
          <w:sz w:val="16"/>
          <w:szCs w:val="16"/>
        </w:rPr>
        <w:softHyphen/>
        <w:t xml:space="preserve">рованию </w:t>
      </w:r>
      <w:proofErr w:type="spellStart"/>
      <w:r w:rsidRPr="00441F34">
        <w:rPr>
          <w:rFonts w:ascii="Times New Roman" w:hAnsi="Times New Roman"/>
          <w:color w:val="0070C0"/>
          <w:sz w:val="16"/>
          <w:szCs w:val="16"/>
        </w:rPr>
        <w:t>ОСОВИАХИМа</w:t>
      </w:r>
      <w:proofErr w:type="spellEnd"/>
      <w:r w:rsidRPr="00441F34">
        <w:rPr>
          <w:rFonts w:ascii="Times New Roman" w:hAnsi="Times New Roman"/>
          <w:color w:val="0070C0"/>
          <w:sz w:val="16"/>
          <w:szCs w:val="16"/>
        </w:rPr>
        <w:t xml:space="preserve"> — если только не пугать его руковод</w:t>
      </w:r>
      <w:r w:rsidRPr="00441F34">
        <w:rPr>
          <w:rFonts w:ascii="Times New Roman" w:hAnsi="Times New Roman"/>
          <w:color w:val="0070C0"/>
          <w:sz w:val="16"/>
          <w:szCs w:val="16"/>
        </w:rPr>
        <w:softHyphen/>
        <w:t>ство рассуждениями о полетах в космос, а обратить внимание на более практичную тему создания реактив</w:t>
      </w:r>
      <w:r w:rsidRPr="00441F34">
        <w:rPr>
          <w:rFonts w:ascii="Times New Roman" w:hAnsi="Times New Roman"/>
          <w:color w:val="0070C0"/>
          <w:sz w:val="16"/>
          <w:szCs w:val="16"/>
        </w:rPr>
        <w:softHyphen/>
        <w:t>ного самолета. И дейст</w:t>
      </w:r>
      <w:r w:rsidRPr="00441F34">
        <w:rPr>
          <w:rFonts w:ascii="Times New Roman" w:hAnsi="Times New Roman"/>
          <w:color w:val="0070C0"/>
          <w:sz w:val="16"/>
          <w:szCs w:val="16"/>
        </w:rPr>
        <w:softHyphen/>
        <w:t>вительно, вскоре Коро</w:t>
      </w:r>
      <w:r w:rsidRPr="00441F34">
        <w:rPr>
          <w:rFonts w:ascii="Times New Roman" w:hAnsi="Times New Roman"/>
          <w:color w:val="0070C0"/>
          <w:sz w:val="16"/>
          <w:szCs w:val="16"/>
        </w:rPr>
        <w:softHyphen/>
        <w:t xml:space="preserve">лев договорился с Бюро воздушной техники </w:t>
      </w:r>
      <w:proofErr w:type="spellStart"/>
      <w:r w:rsidRPr="00441F34">
        <w:rPr>
          <w:rFonts w:ascii="Times New Roman" w:hAnsi="Times New Roman"/>
          <w:color w:val="0070C0"/>
          <w:sz w:val="16"/>
          <w:szCs w:val="16"/>
        </w:rPr>
        <w:t>ОСОВИАХИМа</w:t>
      </w:r>
      <w:proofErr w:type="spellEnd"/>
      <w:r w:rsidRPr="00441F34">
        <w:rPr>
          <w:rFonts w:ascii="Times New Roman" w:hAnsi="Times New Roman"/>
          <w:color w:val="0070C0"/>
          <w:sz w:val="16"/>
          <w:szCs w:val="16"/>
        </w:rPr>
        <w:t xml:space="preserve"> о соз</w:t>
      </w:r>
      <w:r w:rsidRPr="00441F34">
        <w:rPr>
          <w:rFonts w:ascii="Times New Roman" w:hAnsi="Times New Roman"/>
          <w:color w:val="0070C0"/>
          <w:sz w:val="16"/>
          <w:szCs w:val="16"/>
        </w:rPr>
        <w:softHyphen/>
        <w:t>дании в системе обще</w:t>
      </w:r>
      <w:r w:rsidRPr="00441F34">
        <w:rPr>
          <w:rFonts w:ascii="Times New Roman" w:hAnsi="Times New Roman"/>
          <w:color w:val="0070C0"/>
          <w:sz w:val="16"/>
          <w:szCs w:val="16"/>
        </w:rPr>
        <w:softHyphen/>
        <w:t>ства Группы по изуче</w:t>
      </w:r>
      <w:r w:rsidRPr="00441F34">
        <w:rPr>
          <w:rFonts w:ascii="Times New Roman" w:hAnsi="Times New Roman"/>
          <w:color w:val="0070C0"/>
          <w:sz w:val="16"/>
          <w:szCs w:val="16"/>
        </w:rPr>
        <w:softHyphen/>
        <w:t>нию реактивного дви</w:t>
      </w:r>
      <w:r w:rsidRPr="00441F34">
        <w:rPr>
          <w:rFonts w:ascii="Times New Roman" w:hAnsi="Times New Roman"/>
          <w:color w:val="0070C0"/>
          <w:sz w:val="16"/>
          <w:szCs w:val="16"/>
        </w:rPr>
        <w:softHyphen/>
        <w:t>жения (ГИРД) (23550).</w:t>
      </w:r>
    </w:p>
    <w:p w14:paraId="26C8C663" w14:textId="77777777" w:rsidR="00E760AA" w:rsidRPr="00441F34" w:rsidRDefault="00E760AA" w:rsidP="00E760AA">
      <w:pPr>
        <w:spacing w:after="0" w:line="240" w:lineRule="auto"/>
        <w:jc w:val="both"/>
        <w:rPr>
          <w:rFonts w:ascii="Times New Roman" w:hAnsi="Times New Roman"/>
          <w:color w:val="0070C0"/>
          <w:sz w:val="16"/>
          <w:szCs w:val="16"/>
        </w:rPr>
      </w:pPr>
    </w:p>
    <w:p w14:paraId="269DB65E"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 Постановление Президиума ВСНХ СССР об обеспечении потребности самолетостроения дюралюминиевыми полуфабрикатами на 1932/33 гг. (РГАЭ. Ф.3429. Оп. 1. Д. 5245. Л. 4) (12417).</w:t>
      </w:r>
    </w:p>
    <w:p w14:paraId="0B69F21E"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7A7A24B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ADE723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CF9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июня 1931 Пред. НТК УММ РККА Лебедев направил директору ХПЗ Владимирову письмо, утвержденное Нач. УММ </w:t>
      </w:r>
      <w:proofErr w:type="spellStart"/>
      <w:r w:rsidRPr="007122AB">
        <w:rPr>
          <w:rFonts w:ascii="Times New Roman" w:hAnsi="Times New Roman"/>
          <w:color w:val="000000" w:themeColor="text1"/>
          <w:sz w:val="16"/>
          <w:szCs w:val="16"/>
        </w:rPr>
        <w:t>И.А.Халепским</w:t>
      </w:r>
      <w:proofErr w:type="spellEnd"/>
      <w:r w:rsidRPr="007122AB">
        <w:rPr>
          <w:rFonts w:ascii="Times New Roman" w:hAnsi="Times New Roman"/>
          <w:color w:val="000000" w:themeColor="text1"/>
          <w:sz w:val="16"/>
          <w:szCs w:val="16"/>
        </w:rPr>
        <w:t>, задание на проектирование колесно-гусеничного танка БТ (Кристи). Согласно заданию</w:t>
      </w:r>
      <w:r w:rsidR="009146AD"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 xml:space="preserve"> машина </w:t>
      </w:r>
      <w:proofErr w:type="spellStart"/>
      <w:r w:rsidRPr="007122AB">
        <w:rPr>
          <w:rFonts w:ascii="Times New Roman" w:hAnsi="Times New Roman"/>
          <w:color w:val="000000" w:themeColor="text1"/>
          <w:sz w:val="16"/>
          <w:szCs w:val="16"/>
        </w:rPr>
        <w:t>д.б</w:t>
      </w:r>
      <w:proofErr w:type="spellEnd"/>
      <w:r w:rsidRPr="007122AB">
        <w:rPr>
          <w:rFonts w:ascii="Times New Roman" w:hAnsi="Times New Roman"/>
          <w:color w:val="000000" w:themeColor="text1"/>
          <w:sz w:val="16"/>
          <w:szCs w:val="16"/>
        </w:rPr>
        <w:t>. иметь массу 14 т, скорость - 70 км/час на колесах и 40 на гусеницах, вооружение - 76 мм противоштурмовая, временно 37 мм. Броня - лоб, башня, корма - не менее 20 мм, борт - 13 мм, крыши - 6 мм (3879,11).</w:t>
      </w:r>
    </w:p>
    <w:p w14:paraId="71F46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73E4ED" w14:textId="77777777" w:rsidR="0039152D" w:rsidRPr="007122AB" w:rsidRDefault="0039152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июня 1931 года, не дожидаясь завершения полного испытательного цикла, председатель НТК УММ РККА Лебедев направил директору ХПЗ Владимирову утвержденное Начальником УММ РККА </w:t>
      </w:r>
      <w:proofErr w:type="spellStart"/>
      <w:r w:rsidRPr="007122AB">
        <w:rPr>
          <w:rFonts w:ascii="Times New Roman" w:hAnsi="Times New Roman"/>
          <w:color w:val="000000" w:themeColor="text1"/>
          <w:sz w:val="16"/>
          <w:szCs w:val="16"/>
        </w:rPr>
        <w:t>Халепским</w:t>
      </w:r>
      <w:proofErr w:type="spellEnd"/>
      <w:r w:rsidRPr="007122AB">
        <w:rPr>
          <w:rFonts w:ascii="Times New Roman" w:hAnsi="Times New Roman"/>
          <w:color w:val="000000" w:themeColor="text1"/>
          <w:sz w:val="16"/>
          <w:szCs w:val="16"/>
        </w:rPr>
        <w:t xml:space="preserve"> задание на проектирование колесно-гусеничного танка БТ отечественного производства (17214). </w:t>
      </w:r>
    </w:p>
    <w:p w14:paraId="7E2223B2" w14:textId="77777777" w:rsidR="0039152D" w:rsidRPr="007122AB" w:rsidRDefault="0039152D" w:rsidP="007122AB">
      <w:pPr>
        <w:spacing w:after="0" w:line="240" w:lineRule="auto"/>
        <w:jc w:val="both"/>
        <w:rPr>
          <w:rFonts w:ascii="Times New Roman" w:hAnsi="Times New Roman"/>
          <w:color w:val="000000" w:themeColor="text1"/>
          <w:sz w:val="16"/>
          <w:szCs w:val="16"/>
        </w:rPr>
      </w:pPr>
    </w:p>
    <w:p w14:paraId="04707515"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июня 1931 г. Н.А. Кучеренко был назначен старшим конструктором «Танко-конструкторского бюро», специально созданного в танковом отделе Т2 ХПЗ и получившего в первой половине июня 1931 г. наименование «Т2К». Вместе с другими сотрудниками КБ и с конструкторами, прикомандированными из ряда организаций и заводов, участвовал в разработке конструкторской документации для обеспечения серийного выпуска быстроходного колесно-гусеничного танка БТ-2, прототип которого был закуплен в виде экспериментального образца у американского инженера Дж. Уолтера Кристи.</w:t>
      </w:r>
    </w:p>
    <w:p w14:paraId="69485395"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Среди сохранившихся синек чертежей танка БТ-2 есть и те, в штампах которых имеется роспись Н.А. Кучеренко. Так, в графе «конструктор» чертежа № 29-С3 (Корпус Б-Т. Общий вид. Продольный разрез) стоит его роспись и указана дата – 26 июня 1931 г. Имеются его росписи и на чертежах № 29-34 (Связь носа корпуса), № 30-С1 и № 30-С2 (Общий вид башни. «Продольный разрез» и «Вид в плане»). 4 ноября 1931 г. Н.А. Кучеренко в графах «конструктор» и «контролер» расписался за выполненный им чертеж № 30С-3 (Поворотный механизм башни (сборочный чертеж). Б-Т) (23450).</w:t>
      </w:r>
    </w:p>
    <w:p w14:paraId="16BB7ABC" w14:textId="77777777" w:rsidR="00E760AA" w:rsidRPr="00441F34" w:rsidRDefault="00E760AA" w:rsidP="00E760AA">
      <w:pPr>
        <w:spacing w:after="0" w:line="240" w:lineRule="auto"/>
        <w:jc w:val="both"/>
        <w:rPr>
          <w:rFonts w:ascii="Times New Roman" w:hAnsi="Times New Roman"/>
          <w:color w:val="0070C0"/>
          <w:sz w:val="16"/>
          <w:szCs w:val="16"/>
        </w:rPr>
      </w:pPr>
    </w:p>
    <w:p w14:paraId="7EC06E6E"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 Постановление Президиума ВСНХ СССР о поставке Люберецким заводом литья из ковкого чугуна для обеспечения программы 1931 г. по Т?26, выполняемой на заводе «Большевик» (РГАЭ. Ф. 3429. Оп. 6. Д. 189. Л. 81) (12417).</w:t>
      </w:r>
    </w:p>
    <w:p w14:paraId="37595B16"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7A082E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июня 1931 </w:t>
      </w:r>
      <w:proofErr w:type="spellStart"/>
      <w:r w:rsidRPr="007122AB">
        <w:rPr>
          <w:rFonts w:ascii="Times New Roman" w:hAnsi="Times New Roman"/>
          <w:color w:val="000000" w:themeColor="text1"/>
          <w:sz w:val="16"/>
          <w:szCs w:val="16"/>
        </w:rPr>
        <w:t>бронетракторы</w:t>
      </w:r>
      <w:proofErr w:type="spellEnd"/>
      <w:r w:rsidRPr="007122AB">
        <w:rPr>
          <w:rFonts w:ascii="Times New Roman" w:hAnsi="Times New Roman"/>
          <w:color w:val="000000" w:themeColor="text1"/>
          <w:sz w:val="16"/>
          <w:szCs w:val="16"/>
        </w:rPr>
        <w:t xml:space="preserve"> Д-10, 11 и 14 совершили 95-км пробег со скоростью 5-10 км/час. Выявилось множество недостатков. Испытания прекратили. Д-15 закончили к лету 1931, но он не испытывался (4306).</w:t>
      </w:r>
    </w:p>
    <w:p w14:paraId="26F9AB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3132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США заключили контракт с СССР об участии американских инженеров в постройке 90 советских металлургических заводов (4962).</w:t>
      </w:r>
    </w:p>
    <w:p w14:paraId="21585B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B2A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 считается официально утвержденной датой образования междугородной правительственной высокочастотной связи (ВЧ</w:t>
      </w:r>
      <w:r w:rsidRPr="007122AB">
        <w:rPr>
          <w:rFonts w:ascii="Times New Roman" w:hAnsi="Times New Roman"/>
          <w:color w:val="000000" w:themeColor="text1"/>
          <w:sz w:val="16"/>
          <w:szCs w:val="16"/>
        </w:rPr>
        <w:noBreakHyphen/>
        <w:t>связи). Вместе с тем, другие источники (например, схема ВЧ</w:t>
      </w:r>
      <w:r w:rsidRPr="007122AB">
        <w:rPr>
          <w:rFonts w:ascii="Times New Roman" w:hAnsi="Times New Roman"/>
          <w:color w:val="000000" w:themeColor="text1"/>
          <w:sz w:val="16"/>
          <w:szCs w:val="16"/>
        </w:rPr>
        <w:noBreakHyphen/>
        <w:t>связи связи, датированная 05.01.1939 г.) позволяют утверждать, что уже в 1930 г. была организована первая междугородная высокочастотная связь - Москва-Харьков. В докладной записке наркома внутренних дел Л.П. Берия Председателю СНК В.М. Молотову (май 1940 г.) также читаем: "В 1930 году была организована правительственная высокочастотная связь".</w:t>
      </w:r>
    </w:p>
    <w:p w14:paraId="422B02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уже в 1930 г. были сделаны первые шаги к созданию сети междугородной телефонной ВЧ</w:t>
      </w:r>
      <w:r w:rsidRPr="007122AB">
        <w:rPr>
          <w:rFonts w:ascii="Times New Roman" w:hAnsi="Times New Roman"/>
          <w:color w:val="000000" w:themeColor="text1"/>
          <w:sz w:val="16"/>
          <w:szCs w:val="16"/>
        </w:rPr>
        <w:noBreakHyphen/>
        <w:t>связи, которая, будучи по первоначальному предназначению сетью ведомственной специальной связи, стала сразу же использоваться для нужд высшего эшелона власти СССР. До 1936 года ВЧ-связь была установлена с 12 административными центрами СССР, в том числе со Смоленском и Минском (1932), Горьким и Ростовом (1933), Киевом (1934), Ярославлем. Тбилиси и Севастополем.</w:t>
      </w:r>
    </w:p>
    <w:p w14:paraId="06FBE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Следует отметить, что одновременно (с 1930 г.) был организован временный вариант связи высшего партийного и советского руководства СССР - "Спецсвязь", который не требовал больших капитальных затрат, так как был рассчитан на использование уже имевшейся в Европейской части страны небольшой сети каналов дальней связи Наркомата связи (НКС). "Спецсвязь" была организована по радиальной схеме, с задачей обеспечить связь только Москве (связь других городов между собой не предусматривалась). Отличительной ее чертой была работа по расписанию: каждому городу, входившему в сеть "Спецсвязи" предоставлялся один час в сутки, в течение которого так называемый "московский канал" переключался на </w:t>
      </w:r>
      <w:proofErr w:type="spellStart"/>
      <w:r w:rsidRPr="007122AB">
        <w:rPr>
          <w:rFonts w:ascii="Times New Roman" w:hAnsi="Times New Roman"/>
          <w:color w:val="000000" w:themeColor="text1"/>
          <w:sz w:val="16"/>
          <w:szCs w:val="16"/>
        </w:rPr>
        <w:t>спецкоммутатор</w:t>
      </w:r>
      <w:proofErr w:type="spellEnd"/>
      <w:r w:rsidRPr="007122AB">
        <w:rPr>
          <w:rFonts w:ascii="Times New Roman" w:hAnsi="Times New Roman"/>
          <w:color w:val="000000" w:themeColor="text1"/>
          <w:sz w:val="16"/>
          <w:szCs w:val="16"/>
        </w:rPr>
        <w:t>, обслуживаемый только старшей телефонисткой МТС и исключающий возможность контроля и прослушивания. В областных центрах абонентами "Спецсвязи", как правило, были только первые секретари обкомов ВКП(б), председатели облисполкомов и полномочные представители ОГПУ. Такая система, естественно, не могла удовлетворить растущих коммуникационных потребностей.</w:t>
      </w:r>
    </w:p>
    <w:p w14:paraId="0850B9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Более перспективной выглядела на этом фоне высокочастотная связь ОГПУ. Используя последние достижения в области теории и техники связи, она могла обеспечить надежный по тем временам уровень конфиденциальности, а также оперативность передачи информации. Эти факторы обусловили, в конечном итоге, выбор высшего руководства в пользу именно ВЧ</w:t>
      </w:r>
      <w:r w:rsidRPr="007122AB">
        <w:rPr>
          <w:rFonts w:ascii="Times New Roman" w:hAnsi="Times New Roman"/>
          <w:color w:val="000000" w:themeColor="text1"/>
          <w:sz w:val="16"/>
          <w:szCs w:val="16"/>
        </w:rPr>
        <w:noBreakHyphen/>
        <w:t>связи как технологической основы государственной системы управления (11671).</w:t>
      </w:r>
    </w:p>
    <w:p w14:paraId="1BF666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D50C7E" w14:textId="77777777" w:rsidR="00154AB9" w:rsidRPr="007122AB" w:rsidRDefault="00154A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июня</w:t>
      </w:r>
      <w:r w:rsidRPr="007122AB">
        <w:rPr>
          <w:rFonts w:ascii="Times New Roman" w:hAnsi="Times New Roman"/>
          <w:color w:val="000000" w:themeColor="text1"/>
          <w:sz w:val="16"/>
          <w:szCs w:val="16"/>
        </w:rPr>
        <w:t xml:space="preserve"> 1931 году приказом ОГПУ было сформировано 5-е отделение Оперативного отдела ОГПУ с целью создания и эксплуатации междугородной правительственной связи. День образования органов правительственной связи (14909).</w:t>
      </w:r>
    </w:p>
    <w:p w14:paraId="464D204E" w14:textId="77777777" w:rsidR="00154AB9" w:rsidRPr="007122AB" w:rsidRDefault="00154AB9" w:rsidP="007122AB">
      <w:pPr>
        <w:spacing w:after="0" w:line="240" w:lineRule="auto"/>
        <w:jc w:val="both"/>
        <w:rPr>
          <w:rFonts w:ascii="Times New Roman" w:hAnsi="Times New Roman"/>
          <w:color w:val="000000" w:themeColor="text1"/>
          <w:sz w:val="16"/>
          <w:szCs w:val="16"/>
        </w:rPr>
      </w:pPr>
    </w:p>
    <w:p w14:paraId="76BB5A6D" w14:textId="77777777" w:rsidR="009F158C" w:rsidRPr="009F5089" w:rsidRDefault="009F158C" w:rsidP="009F158C">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 июня 1931 г. в </w:t>
      </w:r>
      <w:r w:rsidRPr="009F5089">
        <w:rPr>
          <w:rFonts w:ascii="Times New Roman" w:hAnsi="Times New Roman"/>
          <w:color w:val="0070C0"/>
          <w:sz w:val="16"/>
          <w:szCs w:val="16"/>
        </w:rPr>
        <w:t>Ч</w:t>
      </w:r>
      <w:r>
        <w:rPr>
          <w:rFonts w:ascii="Times New Roman" w:hAnsi="Times New Roman"/>
          <w:color w:val="0070C0"/>
          <w:sz w:val="16"/>
          <w:szCs w:val="16"/>
        </w:rPr>
        <w:t>и</w:t>
      </w:r>
      <w:r w:rsidRPr="009F5089">
        <w:rPr>
          <w:rFonts w:ascii="Times New Roman" w:hAnsi="Times New Roman"/>
          <w:color w:val="0070C0"/>
          <w:sz w:val="16"/>
          <w:szCs w:val="16"/>
        </w:rPr>
        <w:t xml:space="preserve">ту прилетели японские летчики </w:t>
      </w:r>
      <w:proofErr w:type="spellStart"/>
      <w:r w:rsidRPr="009F5089">
        <w:rPr>
          <w:rFonts w:ascii="Times New Roman" w:hAnsi="Times New Roman"/>
          <w:color w:val="0070C0"/>
          <w:sz w:val="16"/>
          <w:szCs w:val="16"/>
        </w:rPr>
        <w:t>Кумак</w:t>
      </w:r>
      <w:r>
        <w:rPr>
          <w:rFonts w:ascii="Times New Roman" w:hAnsi="Times New Roman"/>
          <w:color w:val="0070C0"/>
          <w:sz w:val="16"/>
          <w:szCs w:val="16"/>
        </w:rPr>
        <w:t>а</w:t>
      </w:r>
      <w:r w:rsidRPr="009F5089">
        <w:rPr>
          <w:rFonts w:ascii="Times New Roman" w:hAnsi="Times New Roman"/>
          <w:color w:val="0070C0"/>
          <w:sz w:val="16"/>
          <w:szCs w:val="16"/>
        </w:rPr>
        <w:t>ва</w:t>
      </w:r>
      <w:proofErr w:type="spellEnd"/>
      <w:r w:rsidRPr="009F5089">
        <w:rPr>
          <w:rFonts w:ascii="Times New Roman" w:hAnsi="Times New Roman"/>
          <w:color w:val="0070C0"/>
          <w:sz w:val="16"/>
          <w:szCs w:val="16"/>
        </w:rPr>
        <w:t xml:space="preserve"> </w:t>
      </w:r>
      <w:r>
        <w:rPr>
          <w:rFonts w:ascii="Times New Roman" w:hAnsi="Times New Roman"/>
          <w:color w:val="0070C0"/>
          <w:sz w:val="16"/>
          <w:szCs w:val="16"/>
        </w:rPr>
        <w:t>и</w:t>
      </w:r>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Куримура</w:t>
      </w:r>
      <w:proofErr w:type="spellEnd"/>
      <w:r w:rsidRPr="009F5089">
        <w:rPr>
          <w:rFonts w:ascii="Times New Roman" w:hAnsi="Times New Roman"/>
          <w:color w:val="0070C0"/>
          <w:sz w:val="16"/>
          <w:szCs w:val="16"/>
        </w:rPr>
        <w:t xml:space="preserve">, </w:t>
      </w:r>
      <w:r>
        <w:rPr>
          <w:rFonts w:ascii="Times New Roman" w:hAnsi="Times New Roman"/>
          <w:color w:val="0070C0"/>
          <w:sz w:val="16"/>
          <w:szCs w:val="16"/>
        </w:rPr>
        <w:t>совершающие</w:t>
      </w:r>
      <w:r w:rsidRPr="009F5089">
        <w:rPr>
          <w:rFonts w:ascii="Times New Roman" w:hAnsi="Times New Roman"/>
          <w:color w:val="0070C0"/>
          <w:sz w:val="16"/>
          <w:szCs w:val="16"/>
        </w:rPr>
        <w:t xml:space="preserve"> перелет из Токио в Рим на спортивном самолете </w:t>
      </w:r>
      <w:r>
        <w:rPr>
          <w:rFonts w:ascii="Times New Roman" w:hAnsi="Times New Roman"/>
          <w:color w:val="0070C0"/>
          <w:sz w:val="16"/>
          <w:szCs w:val="16"/>
        </w:rPr>
        <w:t>«М</w:t>
      </w:r>
      <w:r w:rsidRPr="009F5089">
        <w:rPr>
          <w:rFonts w:ascii="Times New Roman" w:hAnsi="Times New Roman"/>
          <w:color w:val="0070C0"/>
          <w:sz w:val="16"/>
          <w:szCs w:val="16"/>
        </w:rPr>
        <w:t>оло</w:t>
      </w:r>
      <w:r>
        <w:rPr>
          <w:rFonts w:ascii="Times New Roman" w:hAnsi="Times New Roman"/>
          <w:color w:val="0070C0"/>
          <w:sz w:val="16"/>
          <w:szCs w:val="16"/>
        </w:rPr>
        <w:t>дая Япония»</w:t>
      </w:r>
      <w:r w:rsidRPr="009F5089">
        <w:rPr>
          <w:rFonts w:ascii="Times New Roman" w:hAnsi="Times New Roman"/>
          <w:color w:val="0070C0"/>
          <w:sz w:val="16"/>
          <w:szCs w:val="16"/>
        </w:rPr>
        <w:t xml:space="preserve"> с мотором </w:t>
      </w:r>
      <w:proofErr w:type="spellStart"/>
      <w:r>
        <w:rPr>
          <w:rFonts w:ascii="Times New Roman" w:hAnsi="Times New Roman"/>
          <w:color w:val="0070C0"/>
          <w:sz w:val="16"/>
          <w:szCs w:val="16"/>
        </w:rPr>
        <w:t>Ци</w:t>
      </w:r>
      <w:r w:rsidRPr="009F5089">
        <w:rPr>
          <w:rFonts w:ascii="Times New Roman" w:hAnsi="Times New Roman"/>
          <w:color w:val="0070C0"/>
          <w:sz w:val="16"/>
          <w:szCs w:val="16"/>
        </w:rPr>
        <w:t>ррус</w:t>
      </w:r>
      <w:proofErr w:type="spellEnd"/>
      <w:r w:rsidRPr="009F5089">
        <w:rPr>
          <w:rFonts w:ascii="Times New Roman" w:hAnsi="Times New Roman"/>
          <w:color w:val="0070C0"/>
          <w:sz w:val="16"/>
          <w:szCs w:val="16"/>
        </w:rPr>
        <w:t>- 100л</w:t>
      </w:r>
      <w:r>
        <w:rPr>
          <w:rFonts w:ascii="Times New Roman" w:hAnsi="Times New Roman"/>
          <w:color w:val="0070C0"/>
          <w:sz w:val="16"/>
          <w:szCs w:val="16"/>
        </w:rPr>
        <w:t>..с.. П</w:t>
      </w:r>
      <w:r w:rsidRPr="009F5089">
        <w:rPr>
          <w:rFonts w:ascii="Times New Roman" w:hAnsi="Times New Roman"/>
          <w:color w:val="0070C0"/>
          <w:sz w:val="16"/>
          <w:szCs w:val="16"/>
        </w:rPr>
        <w:t xml:space="preserve">ерелёт </w:t>
      </w:r>
      <w:r>
        <w:rPr>
          <w:rFonts w:ascii="Times New Roman" w:hAnsi="Times New Roman"/>
          <w:color w:val="0070C0"/>
          <w:sz w:val="16"/>
          <w:szCs w:val="16"/>
        </w:rPr>
        <w:t xml:space="preserve">был </w:t>
      </w:r>
      <w:r w:rsidRPr="009F5089">
        <w:rPr>
          <w:rFonts w:ascii="Times New Roman" w:hAnsi="Times New Roman"/>
          <w:color w:val="0070C0"/>
          <w:sz w:val="16"/>
          <w:szCs w:val="16"/>
        </w:rPr>
        <w:t>организован сту</w:t>
      </w:r>
      <w:r>
        <w:rPr>
          <w:rFonts w:ascii="Times New Roman" w:hAnsi="Times New Roman"/>
          <w:color w:val="0070C0"/>
          <w:sz w:val="16"/>
          <w:szCs w:val="16"/>
        </w:rPr>
        <w:t>денчес</w:t>
      </w:r>
      <w:r w:rsidRPr="009F5089">
        <w:rPr>
          <w:rFonts w:ascii="Times New Roman" w:hAnsi="Times New Roman"/>
          <w:color w:val="0070C0"/>
          <w:sz w:val="16"/>
          <w:szCs w:val="16"/>
        </w:rPr>
        <w:t>кой ассоциацией воздухоплавания,</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а сами летчики - студенты </w:t>
      </w:r>
      <w:r>
        <w:rPr>
          <w:rFonts w:ascii="Times New Roman" w:hAnsi="Times New Roman"/>
          <w:color w:val="0070C0"/>
          <w:sz w:val="16"/>
          <w:szCs w:val="16"/>
        </w:rPr>
        <w:t>университета</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Полет по СССР продолжался долго и с приключениями.</w:t>
      </w:r>
      <w:r>
        <w:rPr>
          <w:rFonts w:ascii="Times New Roman" w:hAnsi="Times New Roman"/>
          <w:color w:val="0070C0"/>
          <w:sz w:val="16"/>
          <w:szCs w:val="16"/>
        </w:rPr>
        <w:t xml:space="preserve"> В районе</w:t>
      </w:r>
      <w:r w:rsidRPr="009F5089">
        <w:rPr>
          <w:rFonts w:ascii="Times New Roman" w:hAnsi="Times New Roman"/>
          <w:color w:val="0070C0"/>
          <w:sz w:val="16"/>
          <w:szCs w:val="16"/>
        </w:rPr>
        <w:t xml:space="preserve"> Гороховца они при вынужденной посадке подломали самолет</w:t>
      </w:r>
      <w:r>
        <w:rPr>
          <w:rFonts w:ascii="Times New Roman" w:hAnsi="Times New Roman"/>
          <w:color w:val="0070C0"/>
          <w:sz w:val="16"/>
          <w:szCs w:val="16"/>
        </w:rPr>
        <w:t>. 30 и</w:t>
      </w:r>
      <w:r w:rsidRPr="009F5089">
        <w:rPr>
          <w:rFonts w:ascii="Times New Roman" w:hAnsi="Times New Roman"/>
          <w:color w:val="0070C0"/>
          <w:sz w:val="16"/>
          <w:szCs w:val="16"/>
        </w:rPr>
        <w:t>юня летчики с разобранным самолетом прибыли в Москву и</w:t>
      </w:r>
      <w:r>
        <w:rPr>
          <w:rFonts w:ascii="Times New Roman" w:hAnsi="Times New Roman"/>
          <w:color w:val="0070C0"/>
          <w:sz w:val="16"/>
          <w:szCs w:val="16"/>
        </w:rPr>
        <w:t xml:space="preserve"> т</w:t>
      </w:r>
      <w:r w:rsidRPr="009F5089">
        <w:rPr>
          <w:rFonts w:ascii="Times New Roman" w:hAnsi="Times New Roman"/>
          <w:color w:val="0070C0"/>
          <w:sz w:val="16"/>
          <w:szCs w:val="16"/>
        </w:rPr>
        <w:t xml:space="preserve">ько.21 июля после установки нового мотора и ремонта самолета </w:t>
      </w:r>
      <w:r>
        <w:rPr>
          <w:rFonts w:ascii="Times New Roman" w:hAnsi="Times New Roman"/>
          <w:color w:val="0070C0"/>
          <w:sz w:val="16"/>
          <w:szCs w:val="16"/>
        </w:rPr>
        <w:t>они вылетели</w:t>
      </w:r>
      <w:r w:rsidRPr="009F5089">
        <w:rPr>
          <w:rFonts w:ascii="Times New Roman" w:hAnsi="Times New Roman"/>
          <w:color w:val="0070C0"/>
          <w:sz w:val="16"/>
          <w:szCs w:val="16"/>
        </w:rPr>
        <w:t xml:space="preserve"> на Берлин.</w:t>
      </w:r>
      <w:r>
        <w:rPr>
          <w:rFonts w:ascii="Times New Roman" w:hAnsi="Times New Roman"/>
          <w:color w:val="0070C0"/>
          <w:sz w:val="16"/>
          <w:szCs w:val="16"/>
        </w:rPr>
        <w:t xml:space="preserve"> М</w:t>
      </w:r>
      <w:r w:rsidRPr="009F5089">
        <w:rPr>
          <w:rFonts w:ascii="Times New Roman" w:hAnsi="Times New Roman"/>
          <w:color w:val="0070C0"/>
          <w:sz w:val="16"/>
          <w:szCs w:val="16"/>
        </w:rPr>
        <w:t xml:space="preserve">естные власти всюду относились заботливо </w:t>
      </w:r>
      <w:r>
        <w:rPr>
          <w:rFonts w:ascii="Times New Roman" w:hAnsi="Times New Roman"/>
          <w:color w:val="0070C0"/>
          <w:sz w:val="16"/>
          <w:szCs w:val="16"/>
        </w:rPr>
        <w:t xml:space="preserve">к японцам и </w:t>
      </w:r>
      <w:r w:rsidRPr="009F5089">
        <w:rPr>
          <w:rFonts w:ascii="Times New Roman" w:hAnsi="Times New Roman"/>
          <w:color w:val="0070C0"/>
          <w:sz w:val="16"/>
          <w:szCs w:val="16"/>
        </w:rPr>
        <w:t>помогали им продолжать полет по СССР.</w:t>
      </w:r>
    </w:p>
    <w:p w14:paraId="0C88FD63" w14:textId="45910CE8" w:rsidR="009F158C" w:rsidRPr="009F5089" w:rsidRDefault="009F158C" w:rsidP="009F158C">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/«Известия ЦИК СССР</w:t>
      </w:r>
      <w:r w:rsidR="0026014F">
        <w:rPr>
          <w:rFonts w:ascii="Times New Roman" w:hAnsi="Times New Roman"/>
          <w:color w:val="0070C0"/>
          <w:sz w:val="16"/>
          <w:szCs w:val="16"/>
        </w:rPr>
        <w:t>»</w:t>
      </w:r>
      <w:r w:rsidRPr="009F5089">
        <w:rPr>
          <w:rFonts w:ascii="Times New Roman" w:hAnsi="Times New Roman"/>
          <w:color w:val="0070C0"/>
          <w:sz w:val="16"/>
          <w:szCs w:val="16"/>
        </w:rPr>
        <w:t xml:space="preserve"> за июнь-июль 1931; ВВФ,</w:t>
      </w:r>
      <w:r w:rsidR="0026014F">
        <w:rPr>
          <w:rFonts w:ascii="Times New Roman" w:hAnsi="Times New Roman"/>
          <w:color w:val="0070C0"/>
          <w:sz w:val="16"/>
          <w:szCs w:val="16"/>
        </w:rPr>
        <w:t xml:space="preserve"> </w:t>
      </w:r>
      <w:r w:rsidRPr="009F5089">
        <w:rPr>
          <w:rFonts w:ascii="Times New Roman" w:hAnsi="Times New Roman"/>
          <w:color w:val="0070C0"/>
          <w:sz w:val="16"/>
          <w:szCs w:val="16"/>
        </w:rPr>
        <w:t xml:space="preserve">1931 </w:t>
      </w:r>
      <w:r w:rsidR="0026014F">
        <w:rPr>
          <w:rFonts w:ascii="Times New Roman" w:hAnsi="Times New Roman"/>
          <w:color w:val="0070C0"/>
          <w:sz w:val="16"/>
          <w:szCs w:val="16"/>
        </w:rPr>
        <w:t>№</w:t>
      </w:r>
      <w:r w:rsidRPr="009F5089">
        <w:rPr>
          <w:rFonts w:ascii="Times New Roman" w:hAnsi="Times New Roman"/>
          <w:color w:val="0070C0"/>
          <w:sz w:val="16"/>
          <w:szCs w:val="16"/>
        </w:rPr>
        <w:t xml:space="preserve"> 9/</w:t>
      </w:r>
      <w:r w:rsidR="0026014F">
        <w:rPr>
          <w:rFonts w:ascii="Times New Roman" w:hAnsi="Times New Roman"/>
          <w:color w:val="0070C0"/>
          <w:sz w:val="16"/>
          <w:szCs w:val="16"/>
        </w:rPr>
        <w:t xml:space="preserve"> (23370).</w:t>
      </w:r>
    </w:p>
    <w:p w14:paraId="7E6D871E" w14:textId="77777777" w:rsidR="009F158C" w:rsidRDefault="009F158C" w:rsidP="009F158C">
      <w:pPr>
        <w:jc w:val="both"/>
        <w:rPr>
          <w:rFonts w:ascii="Times New Roman" w:hAnsi="Times New Roman"/>
          <w:color w:val="0070C0"/>
          <w:sz w:val="16"/>
          <w:szCs w:val="16"/>
        </w:rPr>
      </w:pPr>
    </w:p>
    <w:p w14:paraId="17DD24B5" w14:textId="77777777" w:rsidR="00BE256A" w:rsidRPr="007122AB" w:rsidRDefault="00BE256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9D5FB77" w14:textId="77777777" w:rsidR="00BE256A" w:rsidRPr="007122AB" w:rsidRDefault="00BE256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0D1959"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июня 1931 был создан первый </w:t>
      </w:r>
      <w:proofErr w:type="spellStart"/>
      <w:r w:rsidRPr="007122AB">
        <w:rPr>
          <w:rFonts w:ascii="Times New Roman" w:hAnsi="Times New Roman"/>
          <w:color w:val="000000" w:themeColor="text1"/>
          <w:sz w:val="16"/>
          <w:szCs w:val="16"/>
        </w:rPr>
        <w:t>воздухо</w:t>
      </w:r>
      <w:proofErr w:type="spellEnd"/>
      <w:r w:rsidRPr="007122AB">
        <w:rPr>
          <w:rFonts w:ascii="Times New Roman" w:hAnsi="Times New Roman"/>
          <w:color w:val="000000" w:themeColor="text1"/>
          <w:sz w:val="16"/>
          <w:szCs w:val="16"/>
        </w:rPr>
        <w:t xml:space="preserve">-десантный отряд (ПДО), который включал </w:t>
      </w:r>
      <w:proofErr w:type="spellStart"/>
      <w:r w:rsidRPr="007122AB">
        <w:rPr>
          <w:rFonts w:ascii="Times New Roman" w:hAnsi="Times New Roman"/>
          <w:color w:val="000000" w:themeColor="text1"/>
          <w:sz w:val="16"/>
          <w:szCs w:val="16"/>
        </w:rPr>
        <w:t>мотомехчасть</w:t>
      </w:r>
      <w:proofErr w:type="spellEnd"/>
      <w:r w:rsidRPr="007122AB">
        <w:rPr>
          <w:rFonts w:ascii="Times New Roman" w:hAnsi="Times New Roman"/>
          <w:color w:val="000000" w:themeColor="text1"/>
          <w:sz w:val="16"/>
          <w:szCs w:val="16"/>
        </w:rPr>
        <w:t>, тяжелую бомбардировочную эскадрилью и корпусной авиаотряд и насчитывал 33 самолета и около 300 человек только различных авиаспециалистов (21402).</w:t>
      </w:r>
    </w:p>
    <w:p w14:paraId="039230B8" w14:textId="77777777" w:rsidR="008C3B80" w:rsidRPr="007122AB" w:rsidRDefault="008C3B80" w:rsidP="007122AB">
      <w:pPr>
        <w:spacing w:after="0" w:line="240" w:lineRule="auto"/>
        <w:jc w:val="both"/>
        <w:rPr>
          <w:rFonts w:ascii="Times New Roman" w:hAnsi="Times New Roman"/>
          <w:color w:val="000000" w:themeColor="text1"/>
          <w:sz w:val="16"/>
          <w:szCs w:val="16"/>
        </w:rPr>
      </w:pPr>
    </w:p>
    <w:p w14:paraId="411CB130"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июня 1931</w:t>
      </w:r>
    </w:p>
    <w:p w14:paraId="04C657AE"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Школы Осоавиахима - </w:t>
      </w:r>
      <w:proofErr w:type="spellStart"/>
      <w:r w:rsidRPr="007122AB">
        <w:rPr>
          <w:rFonts w:ascii="Times New Roman" w:hAnsi="Times New Roman"/>
          <w:color w:val="000000" w:themeColor="text1"/>
          <w:sz w:val="16"/>
          <w:szCs w:val="16"/>
        </w:rPr>
        <w:t>шевствующие</w:t>
      </w:r>
      <w:proofErr w:type="spellEnd"/>
      <w:r w:rsidRPr="007122AB">
        <w:rPr>
          <w:rFonts w:ascii="Times New Roman" w:hAnsi="Times New Roman"/>
          <w:color w:val="000000" w:themeColor="text1"/>
          <w:sz w:val="16"/>
          <w:szCs w:val="16"/>
        </w:rPr>
        <w:t xml:space="preserve"> Части ВВС </w:t>
      </w:r>
    </w:p>
    <w:p w14:paraId="481E6E80"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Летные школы </w:t>
      </w:r>
    </w:p>
    <w:p w14:paraId="5281F87E"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Пензенская 2-я Военная Школа Летчиков </w:t>
      </w:r>
    </w:p>
    <w:p w14:paraId="5F26EB5D"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Харьковская 20-я Авиабригада </w:t>
      </w:r>
    </w:p>
    <w:p w14:paraId="732036B5"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Московская Под непосредственным наблюдением ЦС Осоавиахима </w:t>
      </w:r>
    </w:p>
    <w:p w14:paraId="35DFBB7C"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Николаевская Школа Морских Летчиков </w:t>
      </w:r>
    </w:p>
    <w:p w14:paraId="63285617"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Ленинградская Военно-Теоретическая Школа Летчиков </w:t>
      </w:r>
    </w:p>
    <w:p w14:paraId="1D7BAC97"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Тульская Окружная школа Пилотов МВО </w:t>
      </w:r>
    </w:p>
    <w:p w14:paraId="2C98D67A"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Ново-Сибирская 6-й Авиаотряд </w:t>
      </w:r>
    </w:p>
    <w:p w14:paraId="7E68D3F1"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Саратовская 7-я Военная Школа Летчиков </w:t>
      </w:r>
    </w:p>
    <w:p w14:paraId="1697CBA6"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Самарская 3-я Военная Школа Летчиков и Летчиков - Наблюдателей </w:t>
      </w:r>
    </w:p>
    <w:p w14:paraId="586C65F6"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Ростовская н/Дону 13-я Авиабригада </w:t>
      </w:r>
    </w:p>
    <w:p w14:paraId="51907338"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Алма-Атинская 16-я Авиабригада </w:t>
      </w:r>
    </w:p>
    <w:p w14:paraId="2DA117EB"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Тверская 10-я Авиабригада </w:t>
      </w:r>
    </w:p>
    <w:p w14:paraId="181F4D6B"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Бобрики-Богородская 17-я Авиабригада </w:t>
      </w:r>
    </w:p>
    <w:p w14:paraId="03E9BA72"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Полтавская 5-я Авиабригада </w:t>
      </w:r>
    </w:p>
    <w:p w14:paraId="38A26036"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Херсонская 8-я Военная Школа Пилотов </w:t>
      </w:r>
    </w:p>
    <w:p w14:paraId="4851C551"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Сталинская 11-я Военная Школа Пилотов </w:t>
      </w:r>
    </w:p>
    <w:p w14:paraId="040B9C21"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Нижегородская УВВС ПРИВО </w:t>
      </w:r>
    </w:p>
    <w:p w14:paraId="4C716073"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Витебская 2-я Авиабригада </w:t>
      </w:r>
    </w:p>
    <w:p w14:paraId="348DFA0A"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Бакинская 2-я Авиаэскадрилья </w:t>
      </w:r>
    </w:p>
    <w:p w14:paraId="45BE1871"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Симферопольская 29-я Авиаэскадрилья </w:t>
      </w:r>
    </w:p>
    <w:p w14:paraId="28BC737B"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Хабаровская 18-я Авиабригада </w:t>
      </w:r>
    </w:p>
    <w:p w14:paraId="60A6F3A6"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Иркутская 26-я Авиаэскадрилья </w:t>
      </w:r>
    </w:p>
    <w:p w14:paraId="7FDE0975"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Таганрогская Военная Школа Морских Летчиков </w:t>
      </w:r>
    </w:p>
    <w:p w14:paraId="041DCBC3"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Краснодарская 46-я Авиаэскадрилья </w:t>
      </w:r>
    </w:p>
    <w:p w14:paraId="061EADDE"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25.Воронежская 11-я Авиабригада </w:t>
      </w:r>
    </w:p>
    <w:p w14:paraId="6200CFB3"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Тифлисская УВВС ККА </w:t>
      </w:r>
    </w:p>
    <w:p w14:paraId="542CECC1"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Свердловская 42-й Авиаотряд Школы Осоавиахима Части ВВС </w:t>
      </w:r>
    </w:p>
    <w:p w14:paraId="5A838313"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Рязанская У ВВС МВО </w:t>
      </w:r>
    </w:p>
    <w:p w14:paraId="02485D60"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Ярославская Научно-Испытательный Институт ВВС </w:t>
      </w:r>
    </w:p>
    <w:p w14:paraId="2D32EDD0"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Иваново-Вознесенская 3-й Авиаотряд </w:t>
      </w:r>
    </w:p>
    <w:p w14:paraId="15DA186A"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Астраханская 7-я Военная Школа Летчиков </w:t>
      </w:r>
    </w:p>
    <w:p w14:paraId="6AE74870"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32. Киевская Окружная Школа Пилотов УВО </w:t>
      </w:r>
    </w:p>
    <w:p w14:paraId="45D2D7CA"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Школы летчиков-планеристов</w:t>
      </w:r>
    </w:p>
    <w:p w14:paraId="44AD37D3"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Московская Военная Воздушная Академия </w:t>
      </w:r>
    </w:p>
    <w:p w14:paraId="44437284"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Ленинградская Военная Техническая Школа ВВС</w:t>
      </w:r>
    </w:p>
    <w:p w14:paraId="6A8D1C20"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Симферопольская 29-я Авиаэскадрилья </w:t>
      </w:r>
    </w:p>
    <w:p w14:paraId="427CE03A"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Ново-Сибирская 6-й Авиаотряд </w:t>
      </w:r>
    </w:p>
    <w:p w14:paraId="4BB2DA6D"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Иркутская 25-й Авиаотряд </w:t>
      </w:r>
    </w:p>
    <w:p w14:paraId="27725AC5"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Рузаевская 26-й Авиаотряд </w:t>
      </w:r>
    </w:p>
    <w:p w14:paraId="691102DE"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7. Киевская 5-я Авиабригада </w:t>
      </w:r>
    </w:p>
    <w:p w14:paraId="4CA7ED8B"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Свердловская 3-я Военно-Техническая Школа ВВС </w:t>
      </w:r>
    </w:p>
    <w:p w14:paraId="6150C0BD"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Севастопольская 1-я Военная Школа Пилотов </w:t>
      </w:r>
    </w:p>
    <w:p w14:paraId="71FF0B4B"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Саратовская Объединенная Школа Летчиков и Авиатехников </w:t>
      </w:r>
    </w:p>
    <w:p w14:paraId="60612704"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Вяземская Окружная школа Пилотов БВО </w:t>
      </w:r>
    </w:p>
    <w:p w14:paraId="0A22BE84"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Владимирская 10-я Авиабригада </w:t>
      </w:r>
    </w:p>
    <w:p w14:paraId="71F37D4E" w14:textId="77777777" w:rsidR="00BE256A" w:rsidRPr="007122AB" w:rsidRDefault="00BE25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Самарская (станция) 3-я Военная школа Летчиков и Летчиков-Наблюдателей (19566).</w:t>
      </w:r>
    </w:p>
    <w:p w14:paraId="251B11BF" w14:textId="77777777" w:rsidR="00BE256A" w:rsidRPr="007122AB" w:rsidRDefault="00BE256A" w:rsidP="007122AB">
      <w:pPr>
        <w:spacing w:after="0" w:line="240" w:lineRule="auto"/>
        <w:jc w:val="both"/>
        <w:rPr>
          <w:rFonts w:ascii="Times New Roman" w:hAnsi="Times New Roman"/>
          <w:color w:val="000000" w:themeColor="text1"/>
          <w:sz w:val="16"/>
          <w:szCs w:val="16"/>
        </w:rPr>
      </w:pPr>
    </w:p>
    <w:p w14:paraId="61DD5636" w14:textId="77777777" w:rsidR="008C3B80" w:rsidRPr="007122AB" w:rsidRDefault="008C3B8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3412DA9" w14:textId="77777777" w:rsidR="008C3B80" w:rsidRPr="007122AB" w:rsidRDefault="008C3B80" w:rsidP="007122AB">
      <w:pPr>
        <w:autoSpaceDE w:val="0"/>
        <w:autoSpaceDN w:val="0"/>
        <w:adjustRightInd w:val="0"/>
        <w:spacing w:after="0" w:line="240" w:lineRule="auto"/>
        <w:jc w:val="both"/>
        <w:rPr>
          <w:rFonts w:ascii="Times New Roman" w:hAnsi="Times New Roman"/>
          <w:color w:val="000000" w:themeColor="text1"/>
          <w:sz w:val="16"/>
          <w:szCs w:val="16"/>
        </w:rPr>
      </w:pPr>
    </w:p>
    <w:p w14:paraId="3CF56E1B"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вышел на экраны первый советский звуковой фильм «Путевка в жизнь» (21166).</w:t>
      </w:r>
    </w:p>
    <w:p w14:paraId="2E8DCFF6" w14:textId="77777777" w:rsidR="008C3B80" w:rsidRPr="007122AB" w:rsidRDefault="008C3B80" w:rsidP="007122AB">
      <w:pPr>
        <w:spacing w:after="0" w:line="240" w:lineRule="auto"/>
        <w:jc w:val="both"/>
        <w:rPr>
          <w:rFonts w:ascii="Times New Roman" w:hAnsi="Times New Roman"/>
          <w:color w:val="000000" w:themeColor="text1"/>
          <w:sz w:val="16"/>
          <w:szCs w:val="16"/>
        </w:rPr>
      </w:pPr>
    </w:p>
    <w:p w14:paraId="6491ACA8" w14:textId="77777777" w:rsidR="008C3B80" w:rsidRPr="007122AB" w:rsidRDefault="008C3B8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39994A1" w14:textId="77777777" w:rsidR="008C3B80" w:rsidRPr="007122AB" w:rsidRDefault="008C3B8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1AE537"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 — первый полёт учебно-тренировочного самолёта </w:t>
      </w:r>
      <w:proofErr w:type="spellStart"/>
      <w:r w:rsidRPr="007122AB">
        <w:rPr>
          <w:rFonts w:ascii="Times New Roman" w:hAnsi="Times New Roman"/>
          <w:color w:val="000000" w:themeColor="text1"/>
          <w:sz w:val="16"/>
          <w:szCs w:val="16"/>
        </w:rPr>
        <w:t>Praga</w:t>
      </w:r>
      <w:proofErr w:type="spellEnd"/>
      <w:r w:rsidRPr="007122AB">
        <w:rPr>
          <w:rFonts w:ascii="Times New Roman" w:hAnsi="Times New Roman"/>
          <w:color w:val="000000" w:themeColor="text1"/>
          <w:sz w:val="16"/>
          <w:szCs w:val="16"/>
        </w:rPr>
        <w:t xml:space="preserve"> E-39/BH-39. /Чехословакия/.</w:t>
      </w:r>
    </w:p>
    <w:p w14:paraId="1CD83D22"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 году завод ČKD-</w:t>
      </w:r>
      <w:proofErr w:type="spellStart"/>
      <w:r w:rsidRPr="007122AB">
        <w:rPr>
          <w:rFonts w:ascii="Times New Roman" w:hAnsi="Times New Roman"/>
          <w:color w:val="000000" w:themeColor="text1"/>
          <w:sz w:val="16"/>
          <w:szCs w:val="16"/>
        </w:rPr>
        <w:t>Praga</w:t>
      </w:r>
      <w:proofErr w:type="spellEnd"/>
      <w:r w:rsidRPr="007122AB">
        <w:rPr>
          <w:rFonts w:ascii="Times New Roman" w:hAnsi="Times New Roman"/>
          <w:color w:val="000000" w:themeColor="text1"/>
          <w:sz w:val="16"/>
          <w:szCs w:val="16"/>
        </w:rPr>
        <w:t xml:space="preserve">, известный прежде всего своими автомобилями и грузовиками, занялся производством самолётов. Авиационный отдел возглавили инженеры Павел </w:t>
      </w:r>
      <w:proofErr w:type="spellStart"/>
      <w:r w:rsidRPr="007122AB">
        <w:rPr>
          <w:rFonts w:ascii="Times New Roman" w:hAnsi="Times New Roman"/>
          <w:color w:val="000000" w:themeColor="text1"/>
          <w:sz w:val="16"/>
          <w:szCs w:val="16"/>
        </w:rPr>
        <w:t>Бенес</w:t>
      </w:r>
      <w:proofErr w:type="spellEnd"/>
      <w:r w:rsidRPr="007122AB">
        <w:rPr>
          <w:rFonts w:ascii="Times New Roman" w:hAnsi="Times New Roman"/>
          <w:color w:val="000000" w:themeColor="text1"/>
          <w:sz w:val="16"/>
          <w:szCs w:val="16"/>
        </w:rPr>
        <w:t xml:space="preserve"> и Мирослав </w:t>
      </w:r>
      <w:proofErr w:type="spellStart"/>
      <w:r w:rsidRPr="007122AB">
        <w:rPr>
          <w:rFonts w:ascii="Times New Roman" w:hAnsi="Times New Roman"/>
          <w:color w:val="000000" w:themeColor="text1"/>
          <w:sz w:val="16"/>
          <w:szCs w:val="16"/>
        </w:rPr>
        <w:t>Хажн</w:t>
      </w:r>
      <w:proofErr w:type="spellEnd"/>
      <w:r w:rsidRPr="007122AB">
        <w:rPr>
          <w:rFonts w:ascii="Times New Roman" w:hAnsi="Times New Roman"/>
          <w:color w:val="000000" w:themeColor="text1"/>
          <w:sz w:val="16"/>
          <w:szCs w:val="16"/>
        </w:rPr>
        <w:t xml:space="preserve">, до этого работавшие в компании </w:t>
      </w:r>
      <w:proofErr w:type="spellStart"/>
      <w:r w:rsidRPr="007122AB">
        <w:rPr>
          <w:rFonts w:ascii="Times New Roman" w:hAnsi="Times New Roman"/>
          <w:color w:val="000000" w:themeColor="text1"/>
          <w:sz w:val="16"/>
          <w:szCs w:val="16"/>
        </w:rPr>
        <w:t>Avia</w:t>
      </w:r>
      <w:proofErr w:type="spellEnd"/>
      <w:r w:rsidRPr="007122AB">
        <w:rPr>
          <w:rFonts w:ascii="Times New Roman" w:hAnsi="Times New Roman"/>
          <w:color w:val="000000" w:themeColor="text1"/>
          <w:sz w:val="16"/>
          <w:szCs w:val="16"/>
        </w:rPr>
        <w:t>. Их первым проектом стал самолёт для базовой лётной подготовки.</w:t>
      </w:r>
    </w:p>
    <w:p w14:paraId="2EAE0623"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E-39 представлял собой классический биплан с неубирающимся шасси и радиальным двигателем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xml:space="preserve"> NZ-120. Силовой каркас был сварен из труб, фюзеляж обшит фанерой, а консоли крыла обтянуты полотном. Мог развивать скорость до 160 км/ч. Подобные самолёты были во всех авиационных странах — У-2 (СССР), </w:t>
      </w:r>
      <w:proofErr w:type="spellStart"/>
      <w:r w:rsidRPr="007122AB">
        <w:rPr>
          <w:rFonts w:ascii="Times New Roman" w:hAnsi="Times New Roman"/>
          <w:color w:val="000000" w:themeColor="text1"/>
          <w:sz w:val="16"/>
          <w:szCs w:val="16"/>
        </w:rPr>
        <w:t>Avro</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Tutor</w:t>
      </w:r>
      <w:proofErr w:type="spellEnd"/>
      <w:r w:rsidRPr="007122AB">
        <w:rPr>
          <w:rFonts w:ascii="Times New Roman" w:hAnsi="Times New Roman"/>
          <w:color w:val="000000" w:themeColor="text1"/>
          <w:sz w:val="16"/>
          <w:szCs w:val="16"/>
        </w:rPr>
        <w:t xml:space="preserve"> (Британия), </w:t>
      </w:r>
      <w:proofErr w:type="spellStart"/>
      <w:r w:rsidRPr="007122AB">
        <w:rPr>
          <w:rFonts w:ascii="Times New Roman" w:hAnsi="Times New Roman"/>
          <w:color w:val="000000" w:themeColor="text1"/>
          <w:sz w:val="16"/>
          <w:szCs w:val="16"/>
        </w:rPr>
        <w:t>Heinkel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w:t>
      </w:r>
      <w:proofErr w:type="spellEnd"/>
      <w:r w:rsidRPr="007122AB">
        <w:rPr>
          <w:rFonts w:ascii="Times New Roman" w:hAnsi="Times New Roman"/>
          <w:color w:val="000000" w:themeColor="text1"/>
          <w:sz w:val="16"/>
          <w:szCs w:val="16"/>
        </w:rPr>
        <w:t xml:space="preserve"> 72 </w:t>
      </w:r>
      <w:proofErr w:type="spellStart"/>
      <w:r w:rsidRPr="007122AB">
        <w:rPr>
          <w:rFonts w:ascii="Times New Roman" w:hAnsi="Times New Roman"/>
          <w:color w:val="000000" w:themeColor="text1"/>
          <w:sz w:val="16"/>
          <w:szCs w:val="16"/>
        </w:rPr>
        <w:t>Kadett</w:t>
      </w:r>
      <w:proofErr w:type="spellEnd"/>
      <w:r w:rsidRPr="007122AB">
        <w:rPr>
          <w:rFonts w:ascii="Times New Roman" w:hAnsi="Times New Roman"/>
          <w:color w:val="000000" w:themeColor="text1"/>
          <w:sz w:val="16"/>
          <w:szCs w:val="16"/>
        </w:rPr>
        <w:t xml:space="preserve"> (Германия) и т.д.</w:t>
      </w:r>
    </w:p>
    <w:p w14:paraId="652E3CD0" w14:textId="77777777" w:rsidR="008C3B80" w:rsidRPr="007122AB" w:rsidRDefault="008C3B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выпустили 139 единиц </w:t>
      </w:r>
      <w:proofErr w:type="spellStart"/>
      <w:r w:rsidRPr="007122AB">
        <w:rPr>
          <w:rFonts w:ascii="Times New Roman" w:hAnsi="Times New Roman"/>
          <w:color w:val="000000" w:themeColor="text1"/>
          <w:sz w:val="16"/>
          <w:szCs w:val="16"/>
        </w:rPr>
        <w:t>Praga</w:t>
      </w:r>
      <w:proofErr w:type="spellEnd"/>
      <w:r w:rsidRPr="007122AB">
        <w:rPr>
          <w:rFonts w:ascii="Times New Roman" w:hAnsi="Times New Roman"/>
          <w:color w:val="000000" w:themeColor="text1"/>
          <w:sz w:val="16"/>
          <w:szCs w:val="16"/>
        </w:rPr>
        <w:t xml:space="preserve"> E-39. Стояли на вооружении ВВС Чехословакии, а после оккупации страны Германией — в учебных частях Люфтваффе и Словацких воздушных силах (22300).</w:t>
      </w:r>
    </w:p>
    <w:p w14:paraId="39DFD812" w14:textId="77777777" w:rsidR="008C3B80" w:rsidRPr="007122AB" w:rsidRDefault="008C3B80" w:rsidP="007122AB">
      <w:pPr>
        <w:spacing w:after="0" w:line="240" w:lineRule="auto"/>
        <w:jc w:val="both"/>
        <w:rPr>
          <w:rFonts w:ascii="Times New Roman" w:hAnsi="Times New Roman"/>
          <w:color w:val="000000" w:themeColor="text1"/>
          <w:sz w:val="16"/>
          <w:szCs w:val="16"/>
        </w:rPr>
      </w:pPr>
    </w:p>
    <w:p w14:paraId="1A84A255" w14:textId="77777777" w:rsidR="001A7FA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D545777" w14:textId="77777777" w:rsidR="001A7FA6" w:rsidRPr="007122AB" w:rsidRDefault="001A7FA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AC6019"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СНК СССР № 103с о </w:t>
      </w:r>
      <w:proofErr w:type="spellStart"/>
      <w:r w:rsidRPr="007122AB">
        <w:rPr>
          <w:rFonts w:ascii="Times New Roman" w:hAnsi="Times New Roman"/>
          <w:color w:val="000000" w:themeColor="text1"/>
          <w:sz w:val="16"/>
          <w:szCs w:val="16"/>
          <w:u w:color="002060"/>
        </w:rPr>
        <w:t>мобготовности</w:t>
      </w:r>
      <w:proofErr w:type="spellEnd"/>
      <w:r w:rsidRPr="007122AB">
        <w:rPr>
          <w:rFonts w:ascii="Times New Roman" w:hAnsi="Times New Roman"/>
          <w:color w:val="000000" w:themeColor="text1"/>
          <w:sz w:val="16"/>
          <w:szCs w:val="16"/>
          <w:u w:color="002060"/>
        </w:rPr>
        <w:t xml:space="preserve"> железнодорожного транспорта (ГА РФ. Ф. Р?8418. Оп. 28. Д. 14а. Л. 19?38) (12415).</w:t>
      </w:r>
    </w:p>
    <w:p w14:paraId="0AEF8045"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СНК СССР № 104с о стратегическом шоссейно-дорожном строительстве на 1931 г. (ГА РФ. Ф. Р?8418. Оп. 28. Д. 14а. Л. 39?45) (12415).</w:t>
      </w:r>
    </w:p>
    <w:p w14:paraId="21187ABC"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p>
    <w:p w14:paraId="43294375" w14:textId="77777777" w:rsidR="00847BA0" w:rsidRPr="007122AB" w:rsidRDefault="00847BA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10DAC15" w14:textId="77777777" w:rsidR="00847BA0" w:rsidRPr="007122AB" w:rsidRDefault="00847BA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8F6D89" w14:textId="77777777" w:rsidR="00847BA0" w:rsidRPr="007122AB" w:rsidRDefault="00847B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июня 1931 г. для активизации деятельности Осоавиахима в деле расширения подготовки </w:t>
      </w:r>
      <w:proofErr w:type="spellStart"/>
      <w:r w:rsidRPr="007122AB">
        <w:rPr>
          <w:rFonts w:ascii="Times New Roman" w:hAnsi="Times New Roman"/>
          <w:color w:val="000000" w:themeColor="text1"/>
          <w:sz w:val="16"/>
          <w:szCs w:val="16"/>
        </w:rPr>
        <w:t>авиакадров</w:t>
      </w:r>
      <w:proofErr w:type="spellEnd"/>
      <w:r w:rsidRPr="007122AB">
        <w:rPr>
          <w:rFonts w:ascii="Times New Roman" w:hAnsi="Times New Roman"/>
          <w:color w:val="000000" w:themeColor="text1"/>
          <w:sz w:val="16"/>
          <w:szCs w:val="16"/>
        </w:rPr>
        <w:t xml:space="preserve"> был издан приказ Начальника ВВС РККА за № 149/69, в котором говорилось, что в развитие приказа по ВВС от 1930 г. № 93, направленного на улучшение работы Гражданских Летных Школ Осоавиахима, требуется:</w:t>
      </w:r>
    </w:p>
    <w:p w14:paraId="2D69D452" w14:textId="77777777" w:rsidR="00847BA0" w:rsidRPr="007122AB" w:rsidRDefault="00847B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Начальникам ВВС Округов осуществлять общее руководство содействием и инспектированием Школ Осоавиахима, расположенных в Округе. </w:t>
      </w:r>
    </w:p>
    <w:p w14:paraId="5003266E" w14:textId="77777777" w:rsidR="00847BA0" w:rsidRPr="007122AB" w:rsidRDefault="00847B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Плановое инспектирование Школ Осоавиахима производить не реже одного раза в год. </w:t>
      </w:r>
    </w:p>
    <w:p w14:paraId="23E61F3B" w14:textId="77777777" w:rsidR="00847BA0" w:rsidRPr="007122AB" w:rsidRDefault="00847B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 результатах инспектирования командирам строевых частей и Начальникам Школ ВВС доносить Начальникам ВВС Округов и в копии, во 2-е Управление УВВС РККА и Заведующему Авиационным Отделом ЦС Осоавиахима. </w:t>
      </w:r>
    </w:p>
    <w:p w14:paraId="4E48E908" w14:textId="77777777" w:rsidR="00847BA0" w:rsidRPr="007122AB" w:rsidRDefault="00847B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Школы Осоавиахима для содействия им в их работе и для инспектирования распределить между строевыми частями и Школами ВВС» (19566).</w:t>
      </w:r>
    </w:p>
    <w:p w14:paraId="5E20C680" w14:textId="77777777" w:rsidR="00847BA0" w:rsidRPr="007122AB" w:rsidRDefault="00847BA0" w:rsidP="007122AB">
      <w:pPr>
        <w:spacing w:after="0" w:line="240" w:lineRule="auto"/>
        <w:jc w:val="both"/>
        <w:rPr>
          <w:rFonts w:ascii="Times New Roman" w:hAnsi="Times New Roman"/>
          <w:color w:val="000000" w:themeColor="text1"/>
          <w:sz w:val="16"/>
          <w:szCs w:val="16"/>
        </w:rPr>
      </w:pPr>
    </w:p>
    <w:p w14:paraId="2A6BFA3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B6BB2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ADB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июня 1931-го Приказом ОГПУ № 330/198 в составе ГУЛАГа был организован Отдел по спецпереселенцам, в основном выселяемых из районов сплошной коллективизации кулаков; 29 июня приказом АОУ ОГПУ № 177 этот отдел возглавил Г. П. </w:t>
      </w:r>
      <w:proofErr w:type="spellStart"/>
      <w:r w:rsidRPr="007122AB">
        <w:rPr>
          <w:rFonts w:ascii="Times New Roman" w:hAnsi="Times New Roman"/>
          <w:color w:val="000000" w:themeColor="text1"/>
          <w:sz w:val="16"/>
          <w:szCs w:val="16"/>
        </w:rPr>
        <w:t>Закарьян</w:t>
      </w:r>
      <w:proofErr w:type="spellEnd"/>
      <w:r w:rsidRPr="007122AB">
        <w:rPr>
          <w:rFonts w:ascii="Times New Roman" w:hAnsi="Times New Roman"/>
          <w:color w:val="000000" w:themeColor="text1"/>
          <w:sz w:val="16"/>
          <w:szCs w:val="16"/>
        </w:rPr>
        <w:t xml:space="preserve"> (7560).</w:t>
      </w:r>
    </w:p>
    <w:p w14:paraId="4BF24D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A12BEA"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2 июня 1931 года была представлена деревянная модель </w:t>
      </w:r>
      <w:proofErr w:type="spellStart"/>
      <w:r w:rsidRPr="007122AB">
        <w:rPr>
          <w:color w:val="000000" w:themeColor="text1"/>
          <w:sz w:val="16"/>
          <w:szCs w:val="16"/>
        </w:rPr>
        <w:t>Kleinetraktor</w:t>
      </w:r>
      <w:proofErr w:type="spellEnd"/>
      <w:r w:rsidRPr="007122AB">
        <w:rPr>
          <w:color w:val="000000" w:themeColor="text1"/>
          <w:sz w:val="16"/>
          <w:szCs w:val="16"/>
        </w:rPr>
        <w:t xml:space="preserve">, который разительно отличался от танка, который мы знаем как </w:t>
      </w:r>
      <w:proofErr w:type="spellStart"/>
      <w:r w:rsidRPr="007122AB">
        <w:rPr>
          <w:color w:val="000000" w:themeColor="text1"/>
          <w:sz w:val="16"/>
          <w:szCs w:val="16"/>
        </w:rPr>
        <w:t>Pz.Kpfw.I</w:t>
      </w:r>
      <w:proofErr w:type="spellEnd"/>
      <w:r w:rsidRPr="007122AB">
        <w:rPr>
          <w:color w:val="000000" w:themeColor="text1"/>
          <w:sz w:val="16"/>
          <w:szCs w:val="16"/>
        </w:rPr>
        <w:t>. Его двигатель и трансмиссия находились впереди, ведущие колёса располагались сзади. Общая длина машины составляла 3460 мм, ширина 1820 мм, 60-сильный двигатель должен был разгонять её до 45 км/ч. Поскольку для башни места просто не осталось, 20-мм пушка располагалась в съёмной подбашенной коробке. Экипаж машины состоял из 3 человек: механика-водителя, который находился слева, командира, который выполнял и обязанности наводчика и размещался справа, и расположившегося сзади за ними заряжающего.</w:t>
      </w:r>
    </w:p>
    <w:p w14:paraId="271E7EAF"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Ходовая часть нового танка должна была состоять из 10 опорных катков на борт, напоминая ту, что ставилась на модифицированный </w:t>
      </w:r>
      <w:proofErr w:type="spellStart"/>
      <w:r w:rsidRPr="007122AB">
        <w:rPr>
          <w:color w:val="000000" w:themeColor="text1"/>
          <w:sz w:val="16"/>
          <w:szCs w:val="16"/>
        </w:rPr>
        <w:t>Leichttraktor</w:t>
      </w:r>
      <w:proofErr w:type="spellEnd"/>
      <w:r w:rsidRPr="007122AB">
        <w:rPr>
          <w:color w:val="000000" w:themeColor="text1"/>
          <w:sz w:val="16"/>
          <w:szCs w:val="16"/>
        </w:rPr>
        <w:t xml:space="preserve">. От </w:t>
      </w:r>
      <w:proofErr w:type="spellStart"/>
      <w:r w:rsidRPr="007122AB">
        <w:rPr>
          <w:color w:val="000000" w:themeColor="text1"/>
          <w:sz w:val="16"/>
          <w:szCs w:val="16"/>
        </w:rPr>
        <w:t>резино</w:t>
      </w:r>
      <w:proofErr w:type="spellEnd"/>
      <w:r w:rsidRPr="007122AB">
        <w:rPr>
          <w:color w:val="000000" w:themeColor="text1"/>
          <w:sz w:val="16"/>
          <w:szCs w:val="16"/>
        </w:rPr>
        <w:t xml:space="preserve">-металлических траков к тому моменту конструкторы уже отказались, заменив их на металлические. 2 июня в конкурентную борьбу вступила компания </w:t>
      </w:r>
      <w:proofErr w:type="spellStart"/>
      <w:r w:rsidRPr="007122AB">
        <w:rPr>
          <w:color w:val="000000" w:themeColor="text1"/>
          <w:sz w:val="16"/>
          <w:szCs w:val="16"/>
        </w:rPr>
        <w:t>Rheinmetall</w:t>
      </w:r>
      <w:proofErr w:type="spellEnd"/>
      <w:r w:rsidRPr="007122AB">
        <w:rPr>
          <w:color w:val="000000" w:themeColor="text1"/>
          <w:sz w:val="16"/>
          <w:szCs w:val="16"/>
        </w:rPr>
        <w:t xml:space="preserve">, которая стала разрабатывать собственный вариант подбашенной коробки с 20-мм пушкой. Кроме того, по настоянию </w:t>
      </w:r>
      <w:proofErr w:type="spellStart"/>
      <w:r w:rsidRPr="007122AB">
        <w:rPr>
          <w:color w:val="000000" w:themeColor="text1"/>
          <w:sz w:val="16"/>
          <w:szCs w:val="16"/>
        </w:rPr>
        <w:t>Книпкампа</w:t>
      </w:r>
      <w:proofErr w:type="spellEnd"/>
      <w:r w:rsidRPr="007122AB">
        <w:rPr>
          <w:color w:val="000000" w:themeColor="text1"/>
          <w:sz w:val="16"/>
          <w:szCs w:val="16"/>
        </w:rPr>
        <w:t xml:space="preserve"> концерн </w:t>
      </w:r>
      <w:proofErr w:type="spellStart"/>
      <w:r w:rsidRPr="007122AB">
        <w:rPr>
          <w:color w:val="000000" w:themeColor="text1"/>
          <w:sz w:val="16"/>
          <w:szCs w:val="16"/>
        </w:rPr>
        <w:t>Krupp</w:t>
      </w:r>
      <w:proofErr w:type="spellEnd"/>
      <w:r w:rsidRPr="007122AB">
        <w:rPr>
          <w:color w:val="000000" w:themeColor="text1"/>
          <w:sz w:val="16"/>
          <w:szCs w:val="16"/>
        </w:rPr>
        <w:t xml:space="preserve"> начал работу над вариантом ходовой части с четырьмя опорными катками на борт. Впрочем, продолжались они недолго.</w:t>
      </w:r>
    </w:p>
    <w:p w14:paraId="57EECEC6"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Испытания L.S.K. на полигоне </w:t>
      </w:r>
      <w:proofErr w:type="spellStart"/>
      <w:r w:rsidRPr="007122AB">
        <w:rPr>
          <w:color w:val="000000" w:themeColor="text1"/>
          <w:sz w:val="16"/>
          <w:szCs w:val="16"/>
        </w:rPr>
        <w:t>Куммерсдорф</w:t>
      </w:r>
      <w:proofErr w:type="spellEnd"/>
      <w:r w:rsidRPr="007122AB">
        <w:rPr>
          <w:color w:val="000000" w:themeColor="text1"/>
          <w:sz w:val="16"/>
          <w:szCs w:val="16"/>
        </w:rPr>
        <w:t xml:space="preserve"> и </w:t>
      </w:r>
      <w:proofErr w:type="spellStart"/>
      <w:r w:rsidRPr="007122AB">
        <w:rPr>
          <w:color w:val="000000" w:themeColor="text1"/>
          <w:sz w:val="16"/>
          <w:szCs w:val="16"/>
        </w:rPr>
        <w:t>Leichttraktorr</w:t>
      </w:r>
      <w:proofErr w:type="spellEnd"/>
      <w:r w:rsidRPr="007122AB">
        <w:rPr>
          <w:color w:val="000000" w:themeColor="text1"/>
          <w:sz w:val="16"/>
          <w:szCs w:val="16"/>
        </w:rPr>
        <w:t xml:space="preserve"> на ТЕКО под Казанью показали несостоятельность идеи с кормовым расположением ведущих колёс. Неудачной оказалась и идея с передним расположением мотора. 18 сентября 1931 года </w:t>
      </w:r>
      <w:proofErr w:type="spellStart"/>
      <w:r w:rsidRPr="007122AB">
        <w:rPr>
          <w:color w:val="000000" w:themeColor="text1"/>
          <w:sz w:val="16"/>
          <w:szCs w:val="16"/>
        </w:rPr>
        <w:t>Книпкамп</w:t>
      </w:r>
      <w:proofErr w:type="spellEnd"/>
      <w:r w:rsidRPr="007122AB">
        <w:rPr>
          <w:color w:val="000000" w:themeColor="text1"/>
          <w:sz w:val="16"/>
          <w:szCs w:val="16"/>
        </w:rPr>
        <w:t xml:space="preserve"> фактически поставил крест на трёхлетней работе </w:t>
      </w:r>
      <w:proofErr w:type="spellStart"/>
      <w:r w:rsidRPr="007122AB">
        <w:rPr>
          <w:color w:val="000000" w:themeColor="text1"/>
          <w:sz w:val="16"/>
          <w:szCs w:val="16"/>
        </w:rPr>
        <w:t>Krupp</w:t>
      </w:r>
      <w:proofErr w:type="spellEnd"/>
      <w:r w:rsidRPr="007122AB">
        <w:rPr>
          <w:color w:val="000000" w:themeColor="text1"/>
          <w:sz w:val="16"/>
          <w:szCs w:val="16"/>
        </w:rPr>
        <w:t xml:space="preserve"> и других фирм. В качестве ориентира при разработке новых танков был выбран тягач </w:t>
      </w:r>
      <w:proofErr w:type="spellStart"/>
      <w:r w:rsidRPr="007122AB">
        <w:rPr>
          <w:color w:val="000000" w:themeColor="text1"/>
          <w:sz w:val="16"/>
          <w:szCs w:val="16"/>
        </w:rPr>
        <w:t>Carden-Loyd</w:t>
      </w:r>
      <w:proofErr w:type="spellEnd"/>
      <w:r w:rsidRPr="007122AB">
        <w:rPr>
          <w:color w:val="000000" w:themeColor="text1"/>
          <w:sz w:val="16"/>
          <w:szCs w:val="16"/>
        </w:rPr>
        <w:t xml:space="preserve">, который производитель совместно с фирмой </w:t>
      </w:r>
      <w:proofErr w:type="spellStart"/>
      <w:r w:rsidRPr="007122AB">
        <w:rPr>
          <w:color w:val="000000" w:themeColor="text1"/>
          <w:sz w:val="16"/>
          <w:szCs w:val="16"/>
        </w:rPr>
        <w:t>Vickers</w:t>
      </w:r>
      <w:proofErr w:type="spellEnd"/>
      <w:r w:rsidRPr="007122AB">
        <w:rPr>
          <w:color w:val="000000" w:themeColor="text1"/>
          <w:sz w:val="16"/>
          <w:szCs w:val="16"/>
        </w:rPr>
        <w:t xml:space="preserve"> продвигал на зарубежные рынки с 1929 года. Машина постоянно модифицировалась, причём она существовала как в виде артиллерийского тягача, так и в качестве машины, имевшей грузовую платформу. Позже детище Джона Кардена и </w:t>
      </w:r>
      <w:proofErr w:type="spellStart"/>
      <w:r w:rsidRPr="007122AB">
        <w:rPr>
          <w:color w:val="000000" w:themeColor="text1"/>
          <w:sz w:val="16"/>
          <w:szCs w:val="16"/>
        </w:rPr>
        <w:t>Вивиана</w:t>
      </w:r>
      <w:proofErr w:type="spellEnd"/>
      <w:r w:rsidRPr="007122AB">
        <w:rPr>
          <w:color w:val="000000" w:themeColor="text1"/>
          <w:sz w:val="16"/>
          <w:szCs w:val="16"/>
        </w:rPr>
        <w:t xml:space="preserve"> </w:t>
      </w:r>
      <w:proofErr w:type="spellStart"/>
      <w:r w:rsidRPr="007122AB">
        <w:rPr>
          <w:color w:val="000000" w:themeColor="text1"/>
          <w:sz w:val="16"/>
          <w:szCs w:val="16"/>
        </w:rPr>
        <w:t>Лойда</w:t>
      </w:r>
      <w:proofErr w:type="spellEnd"/>
      <w:r w:rsidRPr="007122AB">
        <w:rPr>
          <w:color w:val="000000" w:themeColor="text1"/>
          <w:sz w:val="16"/>
          <w:szCs w:val="16"/>
        </w:rPr>
        <w:t xml:space="preserve"> превратилось в лёгкий танк, последнее звено в эволюции которого, Light </w:t>
      </w:r>
      <w:proofErr w:type="spellStart"/>
      <w:r w:rsidRPr="007122AB">
        <w:rPr>
          <w:color w:val="000000" w:themeColor="text1"/>
          <w:sz w:val="16"/>
          <w:szCs w:val="16"/>
        </w:rPr>
        <w:t>Tank</w:t>
      </w:r>
      <w:proofErr w:type="spellEnd"/>
      <w:r w:rsidRPr="007122AB">
        <w:rPr>
          <w:color w:val="000000" w:themeColor="text1"/>
          <w:sz w:val="16"/>
          <w:szCs w:val="16"/>
        </w:rPr>
        <w:t xml:space="preserve"> Mk.VI, составляло основу английских бронетанковых сил на начало Второй мировой войны.</w:t>
      </w:r>
    </w:p>
    <w:p w14:paraId="7F7F5B8A"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Продвижение тягачей на экспорт дорого обошлась англичанам. Английские наработки стали базой для создания немцами своих танков второго поколения, да и итальянские танки тоже базировались на английских конструкциях. В итоге через несколько лет англичанам пришлось воевать с тем, к созданию чего они сами приложили руку (17463).</w:t>
      </w:r>
    </w:p>
    <w:p w14:paraId="53E7C6A0"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BBCD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8D8DDB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BE6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июня 1931 </w:t>
      </w:r>
      <w:proofErr w:type="spellStart"/>
      <w:r w:rsidRPr="007122AB">
        <w:rPr>
          <w:rFonts w:ascii="Times New Roman" w:hAnsi="Times New Roman"/>
          <w:color w:val="000000" w:themeColor="text1"/>
          <w:sz w:val="16"/>
          <w:szCs w:val="16"/>
        </w:rPr>
        <w:t>М.А.Коровкин</w:t>
      </w:r>
      <w:proofErr w:type="spellEnd"/>
      <w:r w:rsidRPr="007122AB">
        <w:rPr>
          <w:rFonts w:ascii="Times New Roman" w:hAnsi="Times New Roman"/>
          <w:color w:val="000000" w:themeColor="text1"/>
          <w:sz w:val="16"/>
          <w:szCs w:val="16"/>
        </w:rPr>
        <w:t xml:space="preserve"> ввел Савойю 62 в штопор и погиб (99,169).</w:t>
      </w:r>
    </w:p>
    <w:p w14:paraId="7CADDD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49E4E4" w14:textId="77777777" w:rsidR="00C45168" w:rsidRPr="007122AB" w:rsidRDefault="00C451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июня 1931 самолет С-62 М. Коровкина на испытаниях в Италии вошел в штопор и разбился. </w:t>
      </w:r>
    </w:p>
    <w:p w14:paraId="62DEDAD7" w14:textId="77777777" w:rsidR="00C45168" w:rsidRPr="007122AB" w:rsidRDefault="00C451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S.62 упорно сопротивлялся попыткам ввести его в штопор. Сообщается, что фирма предложила демонстрацию невозможности ввести в него самолет (РГВА. Ф. 29. Оп. 76. Д. 927. Отчеты опытных головных серийных и летных испытаний самолета С-62 и переписке с УСС ВВС о поставке самолетов из Италии. 12.4.31-15.11.31. Л. 2.). М. Коровкин предложил искусственно спровоцировать срыв, создав опасную центровку размещением балласта. Было проведено расследование (РГВА. Ф. 29. Оп. 76. Д. 2511. Переписка с итальянскими торговыми фирмами о закупке самолетов СИАИ и моторов АССО. 7.1.31-31.12.31. Л. 128-148.). В итоге комиссия по расследованию катастрофы выявила расхождение русского и итальянского текстов договора (РГВА. Ф. 29. Оп. 76. Д. 2511. Переписка с итальянскими торговыми фирмами о закупке самолетов СИАИ и моторов АССО. 7.1.31-31.12.31. Л. 128-148.). В русском говорилось о возможности испытания самолета на штопор в любом режиме, а в итальянском – об испытании тенденции к входу в штопор. Самолет все же подняли, восстановили и отправили морем в СССР в декабре 1931 г.</w:t>
      </w:r>
    </w:p>
    <w:p w14:paraId="1A7E460C" w14:textId="77777777" w:rsidR="00C45168" w:rsidRPr="007122AB" w:rsidRDefault="00C45168" w:rsidP="007122AB">
      <w:pPr>
        <w:spacing w:after="0" w:line="240" w:lineRule="auto"/>
        <w:jc w:val="both"/>
        <w:rPr>
          <w:rFonts w:ascii="Times New Roman" w:hAnsi="Times New Roman"/>
          <w:color w:val="000000" w:themeColor="text1"/>
          <w:sz w:val="16"/>
          <w:szCs w:val="16"/>
        </w:rPr>
      </w:pPr>
    </w:p>
    <w:p w14:paraId="7951E8F6" w14:textId="77777777" w:rsidR="00C45168" w:rsidRPr="007122AB" w:rsidRDefault="00C45168" w:rsidP="007122AB">
      <w:pPr>
        <w:spacing w:after="0" w:line="240" w:lineRule="auto"/>
        <w:jc w:val="both"/>
        <w:rPr>
          <w:rFonts w:ascii="Times New Roman" w:hAnsi="Times New Roman"/>
          <w:color w:val="000000" w:themeColor="text1"/>
          <w:sz w:val="16"/>
          <w:szCs w:val="16"/>
          <w:shd w:val="clear" w:color="auto" w:fill="FFFFFF"/>
        </w:rPr>
      </w:pPr>
      <w:bookmarkStart w:id="20" w:name="_Hlk79306422"/>
      <w:r w:rsidRPr="007122AB">
        <w:rPr>
          <w:rFonts w:ascii="Times New Roman" w:hAnsi="Times New Roman"/>
          <w:color w:val="000000" w:themeColor="text1"/>
          <w:sz w:val="16"/>
          <w:szCs w:val="16"/>
          <w:shd w:val="clear" w:color="auto" w:fill="FFFFFF"/>
        </w:rPr>
        <w:t xml:space="preserve">3 июня 1931, пролетев до этого над Японским морем, затем над Кореей, Китаем и Монголией,  инструктор авиационной исследовательской группы университета </w:t>
      </w:r>
      <w:proofErr w:type="spellStart"/>
      <w:r w:rsidRPr="007122AB">
        <w:rPr>
          <w:rFonts w:ascii="Times New Roman" w:hAnsi="Times New Roman"/>
          <w:color w:val="000000" w:themeColor="text1"/>
          <w:sz w:val="16"/>
          <w:szCs w:val="16"/>
          <w:shd w:val="clear" w:color="auto" w:fill="FFFFFF"/>
        </w:rPr>
        <w:t>Хосэй</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Ретаро</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Кумакава</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Ryotaro</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Kumakawa</w:t>
      </w:r>
      <w:proofErr w:type="spellEnd"/>
      <w:r w:rsidRPr="007122AB">
        <w:rPr>
          <w:rFonts w:ascii="Times New Roman" w:hAnsi="Times New Roman"/>
          <w:color w:val="000000" w:themeColor="text1"/>
          <w:sz w:val="16"/>
          <w:szCs w:val="16"/>
          <w:shd w:val="clear" w:color="auto" w:fill="FFFFFF"/>
        </w:rPr>
        <w:t xml:space="preserve">) и студент первого курса экономического факультета </w:t>
      </w:r>
      <w:proofErr w:type="spellStart"/>
      <w:r w:rsidRPr="007122AB">
        <w:rPr>
          <w:rFonts w:ascii="Times New Roman" w:hAnsi="Times New Roman"/>
          <w:color w:val="000000" w:themeColor="text1"/>
          <w:sz w:val="16"/>
          <w:szCs w:val="16"/>
          <w:shd w:val="clear" w:color="auto" w:fill="FFFFFF"/>
        </w:rPr>
        <w:t>Моритаку</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Куримуру</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Moritaka</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Kurimura</w:t>
      </w:r>
      <w:proofErr w:type="spellEnd"/>
      <w:r w:rsidRPr="007122AB">
        <w:rPr>
          <w:rFonts w:ascii="Times New Roman" w:hAnsi="Times New Roman"/>
          <w:color w:val="000000" w:themeColor="text1"/>
          <w:sz w:val="16"/>
          <w:szCs w:val="16"/>
          <w:shd w:val="clear" w:color="auto" w:fill="FFFFFF"/>
        </w:rPr>
        <w:t>), незадолго до отлета получившего лицензию пилота, вылетевшие утром 29 мая 1931 года на самолете R-3 «</w:t>
      </w:r>
      <w:proofErr w:type="spellStart"/>
      <w:r w:rsidRPr="007122AB">
        <w:rPr>
          <w:rFonts w:ascii="Times New Roman" w:hAnsi="Times New Roman"/>
          <w:color w:val="000000" w:themeColor="text1"/>
          <w:sz w:val="16"/>
          <w:szCs w:val="16"/>
          <w:shd w:val="clear" w:color="auto" w:fill="FFFFFF"/>
        </w:rPr>
        <w:t>Seinen</w:t>
      </w:r>
      <w:proofErr w:type="spellEnd"/>
      <w:r w:rsidRPr="007122AB">
        <w:rPr>
          <w:rFonts w:ascii="Times New Roman" w:hAnsi="Times New Roman"/>
          <w:color w:val="000000" w:themeColor="text1"/>
          <w:sz w:val="16"/>
          <w:szCs w:val="16"/>
          <w:shd w:val="clear" w:color="auto" w:fill="FFFFFF"/>
        </w:rPr>
        <w:t xml:space="preserve"> Nippon» с аэродрома </w:t>
      </w:r>
      <w:proofErr w:type="spellStart"/>
      <w:r w:rsidRPr="007122AB">
        <w:rPr>
          <w:rFonts w:ascii="Times New Roman" w:hAnsi="Times New Roman"/>
          <w:color w:val="000000" w:themeColor="text1"/>
          <w:sz w:val="16"/>
          <w:szCs w:val="16"/>
          <w:shd w:val="clear" w:color="auto" w:fill="FFFFFF"/>
        </w:rPr>
        <w:t>Ханеда</w:t>
      </w:r>
      <w:proofErr w:type="spellEnd"/>
      <w:r w:rsidRPr="007122AB">
        <w:rPr>
          <w:rFonts w:ascii="Times New Roman" w:hAnsi="Times New Roman"/>
          <w:color w:val="000000" w:themeColor="text1"/>
          <w:sz w:val="16"/>
          <w:szCs w:val="16"/>
          <w:shd w:val="clear" w:color="auto" w:fill="FFFFFF"/>
        </w:rPr>
        <w:t xml:space="preserve">, начали свое путешествие по СССР. В этот день они приземлились в Чите. На следующий день японцы перелетели в Иркутск. После отдыха и технического обслуживания самолета, 6 июня они отправились в Нижнеудинск, но сразу после взлета произошло разрушение двигателя. Летчики выключили мотор и спланировали обратно на аэродром. Оказалось, что необходимо заменить головку цилиндра. Для этого </w:t>
      </w:r>
      <w:proofErr w:type="spellStart"/>
      <w:r w:rsidRPr="007122AB">
        <w:rPr>
          <w:rFonts w:ascii="Times New Roman" w:hAnsi="Times New Roman"/>
          <w:color w:val="000000" w:themeColor="text1"/>
          <w:sz w:val="16"/>
          <w:szCs w:val="16"/>
          <w:shd w:val="clear" w:color="auto" w:fill="FFFFFF"/>
        </w:rPr>
        <w:t>Куримура</w:t>
      </w:r>
      <w:proofErr w:type="spellEnd"/>
      <w:r w:rsidRPr="007122AB">
        <w:rPr>
          <w:rFonts w:ascii="Times New Roman" w:hAnsi="Times New Roman"/>
          <w:color w:val="000000" w:themeColor="text1"/>
          <w:sz w:val="16"/>
          <w:szCs w:val="16"/>
          <w:shd w:val="clear" w:color="auto" w:fill="FFFFFF"/>
        </w:rPr>
        <w:t xml:space="preserve"> отправился на поезде из Иркутска обратно в Манчжурию, куда из Японии прислали необходимые детали. Запчасти были доставлены в Иркутск и установлены на самолет.</w:t>
      </w:r>
    </w:p>
    <w:p w14:paraId="566324D2" w14:textId="77777777" w:rsidR="00C45168" w:rsidRPr="007122AB" w:rsidRDefault="00C4516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19 июня японские летчики оставили Иркутск, и с посадкой в Нижнеудинске, добрались до Красноярска. Далее, 20-го – посадка в Новосибирске, 22-го – в Омске и Кургане. 24 июня вылетели из Кургана, затем из-за ухудшения погоды, приземлились в Красноуфимске. 25-го добрались до Казани. 26 июня </w:t>
      </w:r>
      <w:proofErr w:type="spellStart"/>
      <w:r w:rsidRPr="007122AB">
        <w:rPr>
          <w:rFonts w:ascii="Times New Roman" w:hAnsi="Times New Roman"/>
          <w:color w:val="000000" w:themeColor="text1"/>
          <w:sz w:val="16"/>
          <w:szCs w:val="16"/>
          <w:shd w:val="clear" w:color="auto" w:fill="FFFFFF"/>
        </w:rPr>
        <w:t>Куримура</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Кумакава</w:t>
      </w:r>
      <w:proofErr w:type="spellEnd"/>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rPr>
        <w:lastRenderedPageBreak/>
        <w:t>вылетев из Казани, без посадок планировали достичь Москвы, но их вновь подвел двигатель. На этот раз шатун пробил картер двигателя, и летчики вынужденно спустились на пшеничное поле в районе города Гороховец.</w:t>
      </w:r>
    </w:p>
    <w:p w14:paraId="34886515" w14:textId="77777777" w:rsidR="00C45168" w:rsidRPr="007122AB" w:rsidRDefault="00C4516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27 июня самолет был разобран и отправлен в Москву железнодорожным транспортом. 29-го прибыли в Москву, а 7 июля из Англии был доставлен новый двигатель. После замены двигателя, 21 июля японцы вылетели из Москвы и приземлились в Даугавпилсе.</w:t>
      </w:r>
    </w:p>
    <w:p w14:paraId="6F9A9378" w14:textId="77777777" w:rsidR="00C45168" w:rsidRPr="007122AB" w:rsidRDefault="00C4516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Далее были: 23 июля – Кенигсберг, 25-го – Берлин, 30-го – Брюссель, 1 августа – Лондон, 10 августа – Париж, 23 августа – Лион. Попытка вылета из Лиона 25 августа закончилась вынужденной посадкой на аэродроме вылета – вновь подвел двигатель. Уже 26-го прибыл специалист по двигателю с запасными частями и отремонтировал мотор. 30 августа японцы совершили перелет Лион – Милан над Альпами. 31-го – вылетели из Милана с намерением добраться до конечной точки маршрута – Рима, но приземлились в Пизе из-за негерметичности масляной системы двигателя. Здесь авиаторы, не имея возможности отремонтировать двигатель, дозаправили его маслом и продолжили полет в Рим. В 18 часов они приземлились на аэродроме </w:t>
      </w:r>
      <w:proofErr w:type="spellStart"/>
      <w:r w:rsidRPr="007122AB">
        <w:rPr>
          <w:rFonts w:ascii="Times New Roman" w:hAnsi="Times New Roman"/>
          <w:color w:val="000000" w:themeColor="text1"/>
          <w:sz w:val="16"/>
          <w:szCs w:val="16"/>
          <w:shd w:val="clear" w:color="auto" w:fill="FFFFFF"/>
        </w:rPr>
        <w:t>Литторио</w:t>
      </w:r>
      <w:proofErr w:type="spellEnd"/>
      <w:r w:rsidRPr="007122AB">
        <w:rPr>
          <w:rFonts w:ascii="Times New Roman" w:hAnsi="Times New Roman"/>
          <w:color w:val="000000" w:themeColor="text1"/>
          <w:sz w:val="16"/>
          <w:szCs w:val="16"/>
          <w:shd w:val="clear" w:color="auto" w:fill="FFFFFF"/>
        </w:rPr>
        <w:t>.</w:t>
      </w:r>
    </w:p>
    <w:p w14:paraId="18184F51" w14:textId="77777777" w:rsidR="00C45168" w:rsidRPr="007122AB" w:rsidRDefault="00C4516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За 92 дня был преодолен путь длиной 13671 км. Общее полетное время составило 126 часов 53 минуты (21438).</w:t>
      </w:r>
    </w:p>
    <w:p w14:paraId="77A79F7A" w14:textId="77777777" w:rsidR="00C45168" w:rsidRPr="007122AB" w:rsidRDefault="00C45168" w:rsidP="007122AB">
      <w:pPr>
        <w:spacing w:after="0" w:line="240" w:lineRule="auto"/>
        <w:jc w:val="both"/>
        <w:rPr>
          <w:rFonts w:ascii="Times New Roman" w:hAnsi="Times New Roman"/>
          <w:color w:val="000000" w:themeColor="text1"/>
          <w:sz w:val="16"/>
          <w:szCs w:val="16"/>
          <w:shd w:val="clear" w:color="auto" w:fill="FFFFFF"/>
        </w:rPr>
      </w:pPr>
    </w:p>
    <w:bookmarkEnd w:id="20"/>
    <w:p w14:paraId="351B792C" w14:textId="77777777" w:rsidR="001A7FA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A045C2E" w14:textId="77777777" w:rsidR="001A7FA6" w:rsidRPr="007122AB" w:rsidRDefault="001A7FA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45150B1" w14:textId="77777777" w:rsidR="001A7FA6" w:rsidRPr="007122AB" w:rsidRDefault="001A7FA6" w:rsidP="007122AB">
      <w:pPr>
        <w:pStyle w:val="rtejustify"/>
        <w:spacing w:before="0" w:after="0"/>
        <w:rPr>
          <w:color w:val="000000" w:themeColor="text1"/>
          <w:sz w:val="16"/>
          <w:szCs w:val="16"/>
        </w:rPr>
      </w:pPr>
      <w:r w:rsidRPr="007122AB">
        <w:rPr>
          <w:rStyle w:val="af0"/>
          <w:i w:val="0"/>
          <w:color w:val="000000" w:themeColor="text1"/>
          <w:sz w:val="16"/>
          <w:szCs w:val="16"/>
        </w:rPr>
        <w:t>3 июня 1931 г. Протокол Реввоенсовета № 20.</w:t>
      </w:r>
      <w:r w:rsidRPr="007122AB">
        <w:rPr>
          <w:color w:val="000000" w:themeColor="text1"/>
          <w:sz w:val="16"/>
          <w:szCs w:val="16"/>
        </w:rPr>
        <w:t xml:space="preserve"> 1. О формированиях танковых частей РККА в военное время. (</w:t>
      </w:r>
      <w:proofErr w:type="spellStart"/>
      <w:r w:rsidRPr="007122AB">
        <w:rPr>
          <w:color w:val="000000" w:themeColor="text1"/>
          <w:sz w:val="16"/>
          <w:szCs w:val="16"/>
        </w:rPr>
        <w:t>Триандафилов</w:t>
      </w:r>
      <w:proofErr w:type="spellEnd"/>
      <w:r w:rsidRPr="007122AB">
        <w:rPr>
          <w:color w:val="000000" w:themeColor="text1"/>
          <w:sz w:val="16"/>
          <w:szCs w:val="16"/>
        </w:rPr>
        <w:t>). 2. План использования 180</w:t>
      </w:r>
      <w:r w:rsidRPr="007122AB">
        <w:rPr>
          <w:color w:val="000000" w:themeColor="text1"/>
          <w:sz w:val="16"/>
          <w:szCs w:val="16"/>
        </w:rPr>
        <w:noBreakHyphen/>
        <w:t>мм пушек (</w:t>
      </w:r>
      <w:proofErr w:type="spellStart"/>
      <w:r w:rsidRPr="007122AB">
        <w:rPr>
          <w:color w:val="000000" w:themeColor="text1"/>
          <w:sz w:val="16"/>
          <w:szCs w:val="16"/>
        </w:rPr>
        <w:t>Триандафилов</w:t>
      </w:r>
      <w:proofErr w:type="spellEnd"/>
      <w:r w:rsidRPr="007122AB">
        <w:rPr>
          <w:color w:val="000000" w:themeColor="text1"/>
          <w:sz w:val="16"/>
          <w:szCs w:val="16"/>
        </w:rPr>
        <w:t>). 9. О военной приемке (Гамарник). 12. О вознаграждении гр</w:t>
      </w:r>
      <w:r w:rsidRPr="007122AB">
        <w:rPr>
          <w:color w:val="000000" w:themeColor="text1"/>
          <w:sz w:val="16"/>
          <w:szCs w:val="16"/>
        </w:rPr>
        <w:noBreakHyphen/>
        <w:t xml:space="preserve">на </w:t>
      </w:r>
      <w:proofErr w:type="spellStart"/>
      <w:r w:rsidRPr="007122AB">
        <w:rPr>
          <w:color w:val="000000" w:themeColor="text1"/>
          <w:sz w:val="16"/>
          <w:szCs w:val="16"/>
        </w:rPr>
        <w:t>Дейло</w:t>
      </w:r>
      <w:proofErr w:type="spellEnd"/>
      <w:r w:rsidRPr="007122AB">
        <w:rPr>
          <w:color w:val="000000" w:themeColor="text1"/>
          <w:sz w:val="16"/>
          <w:szCs w:val="16"/>
        </w:rPr>
        <w:t xml:space="preserve"> за изобретенный им сигнальный буй для подлодок. (Курков). 29. О зенитных орудиях 102</w:t>
      </w:r>
      <w:r w:rsidRPr="007122AB">
        <w:rPr>
          <w:color w:val="000000" w:themeColor="text1"/>
          <w:sz w:val="16"/>
          <w:szCs w:val="16"/>
        </w:rPr>
        <w:noBreakHyphen/>
        <w:t>мм. (Ворошилов). 33. О снарядах с волосовиной. (Уборевич). 34. О танке БТ («Кристи»). (</w:t>
      </w:r>
      <w:proofErr w:type="spellStart"/>
      <w:r w:rsidRPr="007122AB">
        <w:rPr>
          <w:color w:val="000000" w:themeColor="text1"/>
          <w:sz w:val="16"/>
          <w:szCs w:val="16"/>
        </w:rPr>
        <w:t>Халепский</w:t>
      </w:r>
      <w:proofErr w:type="spellEnd"/>
      <w:r w:rsidRPr="007122AB">
        <w:rPr>
          <w:color w:val="000000" w:themeColor="text1"/>
          <w:sz w:val="16"/>
          <w:szCs w:val="16"/>
        </w:rPr>
        <w:t>). (РГВА. Ф. 4. Оп. 18. Д. 20. Л. 297, 299, 302, 303) (12342).</w:t>
      </w:r>
    </w:p>
    <w:p w14:paraId="0E915312" w14:textId="77777777" w:rsidR="001A7FA6" w:rsidRPr="007122AB" w:rsidRDefault="001A7FA6" w:rsidP="007122AB">
      <w:pPr>
        <w:pStyle w:val="rtejustify"/>
        <w:spacing w:before="0" w:after="0"/>
        <w:rPr>
          <w:color w:val="000000" w:themeColor="text1"/>
          <w:sz w:val="16"/>
          <w:szCs w:val="16"/>
        </w:rPr>
      </w:pPr>
    </w:p>
    <w:p w14:paraId="782C98ED"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3 июня 1931 </w:t>
      </w:r>
      <w:r w:rsidRPr="007122AB">
        <w:rPr>
          <w:rFonts w:ascii="Times New Roman" w:hAnsi="Times New Roman"/>
          <w:color w:val="000000" w:themeColor="text1"/>
          <w:sz w:val="16"/>
          <w:szCs w:val="16"/>
        </w:rPr>
        <w:t>Политбюро ЦК ВКП (б) утвердило постановление о неотложных мероприятиях по обеспечению огнеупорами и укреплению единоначалия на заводах объединения «Сталь» (12265).</w:t>
      </w:r>
    </w:p>
    <w:p w14:paraId="61F3AF8F"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CA2FDB4" w14:textId="77777777" w:rsidR="008B6E64" w:rsidRPr="007122AB" w:rsidRDefault="008B6E6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3-7 июня 1931 г.</w:t>
      </w:r>
      <w:r w:rsidRPr="007122AB">
        <w:rPr>
          <w:rFonts w:ascii="Times New Roman" w:hAnsi="Times New Roman"/>
          <w:color w:val="000000" w:themeColor="text1"/>
          <w:sz w:val="16"/>
          <w:szCs w:val="16"/>
        </w:rPr>
        <w:t xml:space="preserve"> Конференция по токсикологии ОВ и медико-санитарным вопросам подготовки к химической войне, созванная ВОХИМУ РККА и Военно-санитарным управлением РККА. Начальник ВОХИМУ </w:t>
      </w:r>
      <w:proofErr w:type="spellStart"/>
      <w:r w:rsidRPr="007122AB">
        <w:rPr>
          <w:rFonts w:ascii="Times New Roman" w:hAnsi="Times New Roman"/>
          <w:color w:val="000000" w:themeColor="text1"/>
          <w:sz w:val="16"/>
          <w:szCs w:val="16"/>
        </w:rPr>
        <w:t>Я.М.Фишман</w:t>
      </w:r>
      <w:proofErr w:type="spellEnd"/>
      <w:r w:rsidRPr="007122AB">
        <w:rPr>
          <w:rFonts w:ascii="Times New Roman" w:hAnsi="Times New Roman"/>
          <w:color w:val="000000" w:themeColor="text1"/>
          <w:sz w:val="16"/>
          <w:szCs w:val="16"/>
        </w:rPr>
        <w:t xml:space="preserve"> во вступительном выступлении изложил то, что ожидал в будущем от участников: «</w:t>
      </w:r>
      <w:r w:rsidRPr="007122AB">
        <w:rPr>
          <w:rFonts w:ascii="Times New Roman" w:hAnsi="Times New Roman"/>
          <w:iCs/>
          <w:color w:val="000000" w:themeColor="text1"/>
          <w:sz w:val="16"/>
          <w:szCs w:val="16"/>
        </w:rPr>
        <w:t xml:space="preserve">Я считаю, дальше, что одной из важнейших задач токсикологии в военно-химическом деле является задача изучения механизмов действия ОВ… Нужно в лаборатории создать такую методику, при которой мы в миниатюре будем получать то, что будет реально в поле… Надо, наконец, приблизиться к тому, как это будет отражаться на человеке. Мы все время оперируем кошками, баранами, лошадьми, козами и т.д. Но как это будет отражаться на человеке, мы не знаем. Я считаю, что нам необходимо разработать… такую методику, которая бы позволила… производить испытания над человеком… Нам нужно по возможности расширить масштаб испытаний на самом человеке. Наконец, к сожалению, у нас бывают несчастные случаи… Но если несчастный случай произошел, мы должны всесторонним образом изучить этот </w:t>
      </w:r>
      <w:r w:rsidRPr="007122AB">
        <w:rPr>
          <w:rFonts w:ascii="Times New Roman" w:hAnsi="Times New Roman"/>
          <w:bCs/>
          <w:iCs/>
          <w:color w:val="000000" w:themeColor="text1"/>
          <w:sz w:val="16"/>
          <w:szCs w:val="16"/>
        </w:rPr>
        <w:t>счастливый случай</w:t>
      </w:r>
      <w:r w:rsidRPr="007122AB">
        <w:rPr>
          <w:rFonts w:ascii="Times New Roman" w:hAnsi="Times New Roman"/>
          <w:iCs/>
          <w:color w:val="000000" w:themeColor="text1"/>
          <w:sz w:val="16"/>
          <w:szCs w:val="16"/>
        </w:rPr>
        <w:t>, потому что до войны где же его найдешь…</w:t>
      </w:r>
      <w:r w:rsidRPr="007122AB">
        <w:rPr>
          <w:rFonts w:ascii="Times New Roman" w:hAnsi="Times New Roman"/>
          <w:color w:val="000000" w:themeColor="text1"/>
          <w:sz w:val="16"/>
          <w:szCs w:val="16"/>
        </w:rPr>
        <w:t>» Вслед за </w:t>
      </w:r>
      <w:proofErr w:type="spellStart"/>
      <w:r w:rsidRPr="007122AB">
        <w:rPr>
          <w:rFonts w:ascii="Times New Roman" w:hAnsi="Times New Roman"/>
          <w:color w:val="000000" w:themeColor="text1"/>
          <w:sz w:val="16"/>
          <w:szCs w:val="16"/>
        </w:rPr>
        <w:t>Я.М.Фишманом</w:t>
      </w:r>
      <w:proofErr w:type="spellEnd"/>
      <w:r w:rsidRPr="007122AB">
        <w:rPr>
          <w:rFonts w:ascii="Times New Roman" w:hAnsi="Times New Roman"/>
          <w:color w:val="000000" w:themeColor="text1"/>
          <w:sz w:val="16"/>
          <w:szCs w:val="16"/>
        </w:rPr>
        <w:t xml:space="preserve"> проблему испытаний ОВ на людях рассмотрели профессионалы — токсикологи. В установочном докладе доктор </w:t>
      </w:r>
      <w:proofErr w:type="spellStart"/>
      <w:r w:rsidRPr="007122AB">
        <w:rPr>
          <w:rFonts w:ascii="Times New Roman" w:hAnsi="Times New Roman"/>
          <w:color w:val="000000" w:themeColor="text1"/>
          <w:sz w:val="16"/>
          <w:szCs w:val="16"/>
        </w:rPr>
        <w:t>Саноцкий</w:t>
      </w:r>
      <w:proofErr w:type="spellEnd"/>
      <w:r w:rsidRPr="007122AB">
        <w:rPr>
          <w:rFonts w:ascii="Times New Roman" w:hAnsi="Times New Roman"/>
          <w:color w:val="000000" w:themeColor="text1"/>
          <w:sz w:val="16"/>
          <w:szCs w:val="16"/>
        </w:rPr>
        <w:t xml:space="preserve"> объявил: «</w:t>
      </w:r>
      <w:r w:rsidRPr="007122AB">
        <w:rPr>
          <w:rFonts w:ascii="Times New Roman" w:hAnsi="Times New Roman"/>
          <w:iCs/>
          <w:color w:val="000000" w:themeColor="text1"/>
          <w:sz w:val="16"/>
          <w:szCs w:val="16"/>
        </w:rPr>
        <w:t>мы должны дать ответ, ну а как же отравляющие вещества при том или ином применении действуют на организм человека?</w:t>
      </w:r>
      <w:r w:rsidRPr="007122AB">
        <w:rPr>
          <w:rFonts w:ascii="Times New Roman" w:hAnsi="Times New Roman"/>
          <w:color w:val="000000" w:themeColor="text1"/>
          <w:sz w:val="16"/>
          <w:szCs w:val="16"/>
        </w:rPr>
        <w:t>». Ответ был дан в виде конкретных дел. Один доктор рассказал, что ими был разработана специальная методика: «</w:t>
      </w:r>
      <w:r w:rsidRPr="007122AB">
        <w:rPr>
          <w:rFonts w:ascii="Times New Roman" w:hAnsi="Times New Roman"/>
          <w:iCs/>
          <w:color w:val="000000" w:themeColor="text1"/>
          <w:sz w:val="16"/>
          <w:szCs w:val="16"/>
        </w:rPr>
        <w:t>Объект опыта включается непосредственно в камеру через специальное отверстие в стенке камеры, которое по размерам и по форме соответствует лицу человека. Прикрепленная к краям этого отверстия резиновая маска одевается на лицевую часть головы таким образом, что лицо объекта находится в одной плоскости со стенкой камеры… Размер камеры 1300 литров. Частота и глубина дыхания контролируется водяным затвором. Исследования ведутся статистическим методом (возгонка, распыление ОВ)… Таким образом,.. объект непосредственно и немедленно подвергается воздействию находящегося в камере ОВ… Объектами при испытании раздражающих ОВ должны быть только люди… Мы в своей практической работе предпочитаем пользоваться системой однократных всякий раз свежих объектов из красноармейцев Московского гарнизона</w:t>
      </w:r>
      <w:r w:rsidRPr="007122AB">
        <w:rPr>
          <w:rFonts w:ascii="Times New Roman" w:hAnsi="Times New Roman"/>
          <w:color w:val="000000" w:themeColor="text1"/>
          <w:sz w:val="16"/>
          <w:szCs w:val="16"/>
        </w:rPr>
        <w:t>». Женщина-доктор рассказала, что при изучении чувствительности кожи кролика и человека к иприту она располагала удовлетворительным количеством материала: «</w:t>
      </w:r>
      <w:r w:rsidRPr="007122AB">
        <w:rPr>
          <w:rFonts w:ascii="Times New Roman" w:hAnsi="Times New Roman"/>
          <w:iCs/>
          <w:color w:val="000000" w:themeColor="text1"/>
          <w:sz w:val="16"/>
          <w:szCs w:val="16"/>
        </w:rPr>
        <w:t>Всего под опытом было 24 человека и 135 кроликов… В опытах участвовали люди в возрасте от 19 до 45 лет и пять подростков от 12 до 15 лет, разных полов, разной окраски как кожи, так и тела</w:t>
      </w:r>
      <w:r w:rsidRPr="007122AB">
        <w:rPr>
          <w:rFonts w:ascii="Times New Roman" w:hAnsi="Times New Roman"/>
          <w:color w:val="000000" w:themeColor="text1"/>
          <w:sz w:val="16"/>
          <w:szCs w:val="16"/>
        </w:rPr>
        <w:t>». Ну а дальше — обычные подробности: «</w:t>
      </w:r>
      <w:r w:rsidRPr="007122AB">
        <w:rPr>
          <w:rFonts w:ascii="Times New Roman" w:hAnsi="Times New Roman"/>
          <w:iCs/>
          <w:color w:val="000000" w:themeColor="text1"/>
          <w:sz w:val="16"/>
          <w:szCs w:val="16"/>
        </w:rPr>
        <w:t>Подростки обоих полов… реагируют еще сильнее, чем женщины. По своей реакции они больше подходят к кроликам</w:t>
      </w:r>
      <w:r w:rsidRPr="007122AB">
        <w:rPr>
          <w:rFonts w:ascii="Times New Roman" w:hAnsi="Times New Roman"/>
          <w:color w:val="000000" w:themeColor="text1"/>
          <w:sz w:val="16"/>
          <w:szCs w:val="16"/>
        </w:rPr>
        <w:t>» (17133).</w:t>
      </w:r>
    </w:p>
    <w:p w14:paraId="73EBCCC9" w14:textId="77777777" w:rsidR="008B6E64" w:rsidRPr="007122AB" w:rsidRDefault="008B6E64" w:rsidP="007122AB">
      <w:pPr>
        <w:shd w:val="clear" w:color="auto" w:fill="FFFFFF"/>
        <w:spacing w:after="0" w:line="240" w:lineRule="auto"/>
        <w:jc w:val="both"/>
        <w:rPr>
          <w:rFonts w:ascii="Times New Roman" w:hAnsi="Times New Roman"/>
          <w:color w:val="000000" w:themeColor="text1"/>
          <w:sz w:val="16"/>
          <w:szCs w:val="16"/>
        </w:rPr>
      </w:pPr>
    </w:p>
    <w:p w14:paraId="381C388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DB1501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65B1D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июня 1931 г. Вышло постановление ЦИК и СНК СССР "Об изменении законодательства Союза ССР в связи с реорганизацией рабоче-крестьянской милиции", изменившее ст. 8 "Основных положений о районных съездах Советов и районных исполкомах" от 13.11.1930 г. В указанной статье было записано: "...при каждом районном исполкоме состоит районное управление рабоче-крестьянской милиции..." (10303).</w:t>
      </w:r>
    </w:p>
    <w:p w14:paraId="70850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829E27" w14:textId="77777777" w:rsidR="008B6E6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CFA1384" w14:textId="77777777" w:rsidR="008B6E64" w:rsidRPr="007122AB" w:rsidRDefault="008B6E6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CB5E29"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 июня</w:t>
      </w:r>
      <w:r w:rsidRPr="007122AB">
        <w:rPr>
          <w:rFonts w:ascii="Times New Roman" w:hAnsi="Times New Roman"/>
          <w:color w:val="000000" w:themeColor="text1"/>
          <w:sz w:val="16"/>
          <w:szCs w:val="16"/>
        </w:rPr>
        <w:t xml:space="preserve"> в 1931 году в Великобритании телевидение Би-би-си провело прямую трансляцию финальных заездов со скачек "Дерби" (14911).</w:t>
      </w:r>
    </w:p>
    <w:p w14:paraId="54E80F01" w14:textId="77777777" w:rsidR="008B6E64" w:rsidRPr="007122AB" w:rsidRDefault="008B6E64" w:rsidP="007122AB">
      <w:pPr>
        <w:spacing w:after="0" w:line="240" w:lineRule="auto"/>
        <w:jc w:val="both"/>
        <w:rPr>
          <w:rFonts w:ascii="Times New Roman" w:hAnsi="Times New Roman"/>
          <w:color w:val="000000" w:themeColor="text1"/>
          <w:sz w:val="16"/>
          <w:szCs w:val="16"/>
        </w:rPr>
      </w:pPr>
    </w:p>
    <w:p w14:paraId="6594777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BB83C3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E9F8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июня 1931 г. состоялся первый регулярный рейс Москва - Харьков для доставки матриц газеты "Правда" (6395).</w:t>
      </w:r>
    </w:p>
    <w:p w14:paraId="6BEDF7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303C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июня 1931 в исполнение решения ЦК ВКП(б) доставлять матрицы Правды в крупнейшие города в день ее выхода используя самолеты, в Харьков полетел П-5 (Р-1 - 438,624) (242,32). Вылетел в 10:58 и в 12:27 началась продажа отпечатанных газет (438,624).</w:t>
      </w:r>
    </w:p>
    <w:p w14:paraId="0C81B1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455B8D" w14:textId="77777777" w:rsidR="0026014F" w:rsidRPr="009F5089" w:rsidRDefault="0026014F" w:rsidP="0026014F">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4 июня</w:t>
      </w:r>
      <w:r>
        <w:rPr>
          <w:rFonts w:ascii="Times New Roman" w:hAnsi="Times New Roman"/>
          <w:color w:val="0070C0"/>
          <w:sz w:val="16"/>
          <w:szCs w:val="16"/>
        </w:rPr>
        <w:t xml:space="preserve"> 1931 г. п</w:t>
      </w:r>
      <w:r w:rsidRPr="009F5089">
        <w:rPr>
          <w:rFonts w:ascii="Times New Roman" w:hAnsi="Times New Roman"/>
          <w:color w:val="0070C0"/>
          <w:sz w:val="16"/>
          <w:szCs w:val="16"/>
        </w:rPr>
        <w:t>роведен первый опыт доставки самолетом матриц цент</w:t>
      </w:r>
      <w:r>
        <w:rPr>
          <w:rFonts w:ascii="Times New Roman" w:hAnsi="Times New Roman"/>
          <w:color w:val="0070C0"/>
          <w:sz w:val="16"/>
          <w:szCs w:val="16"/>
        </w:rPr>
        <w:t>раль</w:t>
      </w:r>
      <w:r w:rsidRPr="009F5089">
        <w:rPr>
          <w:rFonts w:ascii="Times New Roman" w:hAnsi="Times New Roman"/>
          <w:color w:val="0070C0"/>
          <w:sz w:val="16"/>
          <w:szCs w:val="16"/>
        </w:rPr>
        <w:t>н</w:t>
      </w:r>
      <w:r>
        <w:rPr>
          <w:rFonts w:ascii="Times New Roman" w:hAnsi="Times New Roman"/>
          <w:color w:val="0070C0"/>
          <w:sz w:val="16"/>
          <w:szCs w:val="16"/>
        </w:rPr>
        <w:t>ы</w:t>
      </w:r>
      <w:r w:rsidRPr="009F5089">
        <w:rPr>
          <w:rFonts w:ascii="Times New Roman" w:hAnsi="Times New Roman"/>
          <w:color w:val="0070C0"/>
          <w:sz w:val="16"/>
          <w:szCs w:val="16"/>
        </w:rPr>
        <w:t>х газет. Летчик ГВ</w:t>
      </w:r>
      <w:r>
        <w:rPr>
          <w:rFonts w:ascii="Times New Roman" w:hAnsi="Times New Roman"/>
          <w:color w:val="0070C0"/>
          <w:sz w:val="16"/>
          <w:szCs w:val="16"/>
        </w:rPr>
        <w:t>Ф</w:t>
      </w:r>
      <w:r w:rsidRPr="009F5089">
        <w:rPr>
          <w:rFonts w:ascii="Times New Roman" w:hAnsi="Times New Roman"/>
          <w:color w:val="0070C0"/>
          <w:sz w:val="16"/>
          <w:szCs w:val="16"/>
        </w:rPr>
        <w:t xml:space="preserve"> Борис Леонидович </w:t>
      </w:r>
      <w:proofErr w:type="spellStart"/>
      <w:r w:rsidRPr="009F5089">
        <w:rPr>
          <w:rFonts w:ascii="Times New Roman" w:hAnsi="Times New Roman"/>
          <w:color w:val="0070C0"/>
          <w:sz w:val="16"/>
          <w:szCs w:val="16"/>
        </w:rPr>
        <w:t>Место</w:t>
      </w:r>
      <w:r>
        <w:rPr>
          <w:rFonts w:ascii="Times New Roman" w:hAnsi="Times New Roman"/>
          <w:color w:val="0070C0"/>
          <w:sz w:val="16"/>
          <w:szCs w:val="16"/>
        </w:rPr>
        <w:t>н</w:t>
      </w:r>
      <w:proofErr w:type="spellEnd"/>
      <w:r w:rsidRPr="009F5089">
        <w:rPr>
          <w:rFonts w:ascii="Times New Roman" w:hAnsi="Times New Roman"/>
          <w:color w:val="0070C0"/>
          <w:sz w:val="16"/>
          <w:szCs w:val="16"/>
        </w:rPr>
        <w:t xml:space="preserve"> на самолете </w:t>
      </w:r>
      <w:r>
        <w:rPr>
          <w:rFonts w:ascii="Times New Roman" w:hAnsi="Times New Roman"/>
          <w:color w:val="0070C0"/>
          <w:sz w:val="16"/>
          <w:szCs w:val="16"/>
        </w:rPr>
        <w:t>Р</w:t>
      </w:r>
      <w:r w:rsidRPr="009F5089">
        <w:rPr>
          <w:rFonts w:ascii="Times New Roman" w:hAnsi="Times New Roman"/>
          <w:color w:val="0070C0"/>
          <w:sz w:val="16"/>
          <w:szCs w:val="16"/>
        </w:rPr>
        <w:t xml:space="preserve">-1 </w:t>
      </w:r>
      <w:r>
        <w:rPr>
          <w:rFonts w:ascii="Times New Roman" w:hAnsi="Times New Roman"/>
          <w:color w:val="0070C0"/>
          <w:sz w:val="16"/>
          <w:szCs w:val="16"/>
        </w:rPr>
        <w:t xml:space="preserve">доставил </w:t>
      </w:r>
      <w:r w:rsidRPr="009F5089">
        <w:rPr>
          <w:rFonts w:ascii="Times New Roman" w:hAnsi="Times New Roman"/>
          <w:color w:val="0070C0"/>
          <w:sz w:val="16"/>
          <w:szCs w:val="16"/>
        </w:rPr>
        <w:t xml:space="preserve">из </w:t>
      </w:r>
      <w:r>
        <w:rPr>
          <w:rFonts w:ascii="Times New Roman" w:hAnsi="Times New Roman"/>
          <w:color w:val="0070C0"/>
          <w:sz w:val="16"/>
          <w:szCs w:val="16"/>
        </w:rPr>
        <w:t>Мо</w:t>
      </w:r>
      <w:r w:rsidRPr="009F5089">
        <w:rPr>
          <w:rFonts w:ascii="Times New Roman" w:hAnsi="Times New Roman"/>
          <w:color w:val="0070C0"/>
          <w:sz w:val="16"/>
          <w:szCs w:val="16"/>
        </w:rPr>
        <w:t>скв</w:t>
      </w:r>
      <w:r>
        <w:rPr>
          <w:rFonts w:ascii="Times New Roman" w:hAnsi="Times New Roman"/>
          <w:color w:val="0070C0"/>
          <w:sz w:val="16"/>
          <w:szCs w:val="16"/>
        </w:rPr>
        <w:t>ы</w:t>
      </w:r>
      <w:r w:rsidRPr="009F5089">
        <w:rPr>
          <w:rFonts w:ascii="Times New Roman" w:hAnsi="Times New Roman"/>
          <w:color w:val="0070C0"/>
          <w:sz w:val="16"/>
          <w:szCs w:val="16"/>
        </w:rPr>
        <w:t xml:space="preserve"> в Харьков матрицы «Правды» в 10 ч.</w:t>
      </w:r>
      <w:r>
        <w:rPr>
          <w:rFonts w:ascii="Times New Roman" w:hAnsi="Times New Roman"/>
          <w:color w:val="0070C0"/>
          <w:sz w:val="16"/>
          <w:szCs w:val="16"/>
        </w:rPr>
        <w:t xml:space="preserve"> </w:t>
      </w:r>
      <w:r w:rsidRPr="009F5089">
        <w:rPr>
          <w:rFonts w:ascii="Times New Roman" w:hAnsi="Times New Roman"/>
          <w:color w:val="0070C0"/>
          <w:sz w:val="16"/>
          <w:szCs w:val="16"/>
        </w:rPr>
        <w:t>58 минут,</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а 2 </w:t>
      </w:r>
      <w:r>
        <w:rPr>
          <w:rFonts w:ascii="Times New Roman" w:hAnsi="Times New Roman"/>
          <w:color w:val="0070C0"/>
          <w:sz w:val="16"/>
          <w:szCs w:val="16"/>
        </w:rPr>
        <w:t>ч</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27 минут газеты, отпечатанные с этих матриц,</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уже продавались </w:t>
      </w:r>
      <w:r>
        <w:rPr>
          <w:rFonts w:ascii="Times New Roman" w:hAnsi="Times New Roman"/>
          <w:color w:val="0070C0"/>
          <w:sz w:val="16"/>
          <w:szCs w:val="16"/>
        </w:rPr>
        <w:t>Харьк</w:t>
      </w:r>
      <w:r w:rsidRPr="009F5089">
        <w:rPr>
          <w:rFonts w:ascii="Times New Roman" w:hAnsi="Times New Roman"/>
          <w:color w:val="0070C0"/>
          <w:sz w:val="16"/>
          <w:szCs w:val="16"/>
        </w:rPr>
        <w:t>ове.</w:t>
      </w:r>
      <w:r>
        <w:rPr>
          <w:rFonts w:ascii="Times New Roman" w:hAnsi="Times New Roman"/>
          <w:color w:val="0070C0"/>
          <w:sz w:val="16"/>
          <w:szCs w:val="16"/>
        </w:rPr>
        <w:t xml:space="preserve"> Опыт</w:t>
      </w:r>
      <w:r w:rsidRPr="009F5089">
        <w:rPr>
          <w:rFonts w:ascii="Times New Roman" w:hAnsi="Times New Roman"/>
          <w:color w:val="0070C0"/>
          <w:sz w:val="16"/>
          <w:szCs w:val="16"/>
        </w:rPr>
        <w:t xml:space="preserve"> воздушной доставки матриц был распространен </w:t>
      </w:r>
      <w:r>
        <w:rPr>
          <w:rFonts w:ascii="Times New Roman" w:hAnsi="Times New Roman"/>
          <w:color w:val="0070C0"/>
          <w:sz w:val="16"/>
          <w:szCs w:val="16"/>
        </w:rPr>
        <w:t>на</w:t>
      </w:r>
      <w:r w:rsidRPr="009F5089">
        <w:rPr>
          <w:rFonts w:ascii="Times New Roman" w:hAnsi="Times New Roman"/>
          <w:color w:val="0070C0"/>
          <w:sz w:val="16"/>
          <w:szCs w:val="16"/>
        </w:rPr>
        <w:t xml:space="preserve"> крупные города.</w:t>
      </w:r>
      <w:r>
        <w:rPr>
          <w:rFonts w:ascii="Times New Roman" w:hAnsi="Times New Roman"/>
          <w:color w:val="0070C0"/>
          <w:sz w:val="16"/>
          <w:szCs w:val="16"/>
        </w:rPr>
        <w:t xml:space="preserve"> </w:t>
      </w:r>
      <w:r w:rsidRPr="009F5089">
        <w:rPr>
          <w:rFonts w:ascii="Times New Roman" w:hAnsi="Times New Roman"/>
          <w:color w:val="0070C0"/>
          <w:sz w:val="16"/>
          <w:szCs w:val="16"/>
        </w:rPr>
        <w:t>Предполагавшаяся регулярная перевозка</w:t>
      </w:r>
      <w:r>
        <w:rPr>
          <w:rFonts w:ascii="Times New Roman" w:hAnsi="Times New Roman"/>
          <w:color w:val="0070C0"/>
          <w:sz w:val="16"/>
          <w:szCs w:val="16"/>
        </w:rPr>
        <w:t xml:space="preserve"> матриц, </w:t>
      </w:r>
      <w:r w:rsidRPr="009F5089">
        <w:rPr>
          <w:rFonts w:ascii="Times New Roman" w:hAnsi="Times New Roman"/>
          <w:color w:val="0070C0"/>
          <w:sz w:val="16"/>
          <w:szCs w:val="16"/>
        </w:rPr>
        <w:t>однако,</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не была осуществлена вследствие отсутствия тогда </w:t>
      </w:r>
      <w:r>
        <w:rPr>
          <w:rFonts w:ascii="Times New Roman" w:hAnsi="Times New Roman"/>
          <w:color w:val="0070C0"/>
          <w:sz w:val="16"/>
          <w:szCs w:val="16"/>
        </w:rPr>
        <w:t>самолетов и трас</w:t>
      </w:r>
      <w:r w:rsidRPr="009F5089">
        <w:rPr>
          <w:rFonts w:ascii="Times New Roman" w:hAnsi="Times New Roman"/>
          <w:color w:val="0070C0"/>
          <w:sz w:val="16"/>
          <w:szCs w:val="16"/>
        </w:rPr>
        <w:t>с,</w:t>
      </w:r>
      <w:r>
        <w:rPr>
          <w:rFonts w:ascii="Times New Roman" w:hAnsi="Times New Roman"/>
          <w:color w:val="0070C0"/>
          <w:sz w:val="16"/>
          <w:szCs w:val="16"/>
        </w:rPr>
        <w:t xml:space="preserve"> </w:t>
      </w:r>
      <w:r w:rsidRPr="009F5089">
        <w:rPr>
          <w:rFonts w:ascii="Times New Roman" w:hAnsi="Times New Roman"/>
          <w:color w:val="0070C0"/>
          <w:sz w:val="16"/>
          <w:szCs w:val="16"/>
        </w:rPr>
        <w:t>обеспечивающих полет в любую погоду.</w:t>
      </w:r>
    </w:p>
    <w:p w14:paraId="34D60425" w14:textId="77777777" w:rsidR="0026014F" w:rsidRDefault="0026014F" w:rsidP="0026014F">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 xml:space="preserve">/«Гражданская авиация», 1931 </w:t>
      </w:r>
      <w:r>
        <w:rPr>
          <w:rFonts w:ascii="Times New Roman" w:hAnsi="Times New Roman"/>
          <w:color w:val="0070C0"/>
          <w:sz w:val="16"/>
          <w:szCs w:val="16"/>
        </w:rPr>
        <w:t>№</w:t>
      </w:r>
      <w:r w:rsidRPr="009F5089">
        <w:rPr>
          <w:rFonts w:ascii="Times New Roman" w:hAnsi="Times New Roman"/>
          <w:color w:val="0070C0"/>
          <w:sz w:val="16"/>
          <w:szCs w:val="16"/>
        </w:rPr>
        <w:t xml:space="preserve"> </w:t>
      </w:r>
      <w:r>
        <w:rPr>
          <w:rFonts w:ascii="Times New Roman" w:hAnsi="Times New Roman"/>
          <w:color w:val="0070C0"/>
          <w:sz w:val="16"/>
          <w:szCs w:val="16"/>
        </w:rPr>
        <w:t>6</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«Авиация и химия», 1931</w:t>
      </w:r>
      <w:r>
        <w:rPr>
          <w:rFonts w:ascii="Times New Roman" w:hAnsi="Times New Roman"/>
          <w:color w:val="0070C0"/>
          <w:sz w:val="16"/>
          <w:szCs w:val="16"/>
        </w:rPr>
        <w:t>, № 10/ (23370).</w:t>
      </w:r>
    </w:p>
    <w:p w14:paraId="1169C3B4" w14:textId="77777777" w:rsidR="0026014F" w:rsidRPr="009F5089" w:rsidRDefault="0026014F" w:rsidP="0026014F">
      <w:pPr>
        <w:spacing w:after="0" w:line="240" w:lineRule="auto"/>
        <w:jc w:val="both"/>
        <w:rPr>
          <w:rFonts w:ascii="Times New Roman" w:hAnsi="Times New Roman"/>
          <w:color w:val="0070C0"/>
          <w:sz w:val="16"/>
          <w:szCs w:val="16"/>
        </w:rPr>
      </w:pPr>
    </w:p>
    <w:p w14:paraId="668F5120" w14:textId="77777777" w:rsidR="005C4849" w:rsidRPr="007122AB" w:rsidRDefault="00874B1E" w:rsidP="0026014F">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3282D4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5E4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июня 1931 года 152-мм мортира обр. 1931 (НМ - немецкая мортира) прибыла на НИАП и испытывалась с 5 по 30 июня 1931 года. Результаты испытаний:</w:t>
      </w:r>
    </w:p>
    <w:p w14:paraId="562DF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 сделан 141 выстрел. Вес снаряда 38,3 кг. Длина отката 875892 мм.</w:t>
      </w:r>
    </w:p>
    <w:p w14:paraId="3D2FB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Угол горизонтального наведения 936 при </w:t>
      </w:r>
      <w:proofErr w:type="spellStart"/>
      <w:r w:rsidRPr="007122AB">
        <w:rPr>
          <w:rFonts w:ascii="Times New Roman" w:hAnsi="Times New Roman"/>
          <w:color w:val="000000" w:themeColor="text1"/>
          <w:sz w:val="16"/>
          <w:szCs w:val="16"/>
        </w:rPr>
        <w:t>незакопанных</w:t>
      </w:r>
      <w:proofErr w:type="spellEnd"/>
      <w:r w:rsidRPr="007122AB">
        <w:rPr>
          <w:rFonts w:ascii="Times New Roman" w:hAnsi="Times New Roman"/>
          <w:color w:val="000000" w:themeColor="text1"/>
          <w:sz w:val="16"/>
          <w:szCs w:val="16"/>
        </w:rPr>
        <w:t xml:space="preserve"> сошниках и колесах, а при закопанных 350</w:t>
      </w:r>
    </w:p>
    <w:p w14:paraId="6AC670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Система на плотном грунте устойчива при углах возвышения больше 20. Система перестает прыгать при углах свыше 30.</w:t>
      </w:r>
    </w:p>
    <w:p w14:paraId="59E801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Сбиваемости</w:t>
      </w:r>
      <w:proofErr w:type="spellEnd"/>
      <w:r w:rsidRPr="007122AB">
        <w:rPr>
          <w:rFonts w:ascii="Times New Roman" w:hAnsi="Times New Roman"/>
          <w:color w:val="000000" w:themeColor="text1"/>
          <w:sz w:val="16"/>
          <w:szCs w:val="16"/>
        </w:rPr>
        <w:t xml:space="preserve"> установки прицела нет. При дальности 4900-5000 м рассеивание удовлетворительное (3861).</w:t>
      </w:r>
    </w:p>
    <w:p w14:paraId="34953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583CA3" w14:textId="77777777" w:rsidR="00347672" w:rsidRPr="007122AB" w:rsidRDefault="0034767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01B24E3" w14:textId="77777777" w:rsidR="00347672" w:rsidRPr="007122AB" w:rsidRDefault="0034767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62F2FA"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июня 1931 г. «Известия» опубликовали ответ работника Госплана Г. </w:t>
      </w:r>
      <w:proofErr w:type="spellStart"/>
      <w:r w:rsidRPr="007122AB">
        <w:rPr>
          <w:rFonts w:ascii="Times New Roman" w:hAnsi="Times New Roman"/>
          <w:color w:val="000000" w:themeColor="text1"/>
          <w:sz w:val="16"/>
          <w:szCs w:val="16"/>
        </w:rPr>
        <w:t>Пузиса</w:t>
      </w:r>
      <w:proofErr w:type="spellEnd"/>
      <w:r w:rsidRPr="007122AB">
        <w:rPr>
          <w:rFonts w:ascii="Times New Roman" w:hAnsi="Times New Roman"/>
          <w:color w:val="000000" w:themeColor="text1"/>
          <w:sz w:val="16"/>
          <w:szCs w:val="16"/>
        </w:rPr>
        <w:t xml:space="preserve"> на статьи Н. Осинского и Цейтлина. Автор исходил из того, что проблема сообщения в крупных городах может быть решена только с помощью их децентрализации (города-спутники). Осинский умолчал о том, что в Нью-Йорке и Лондоне, несмотря на густую сеть линий метро в центральной части города, уличное движение также застопоривается. Цейтлин опирается на ошибочный тезис, что Москва будет разрастаться в ширину. Если даже предположить, что в городе не будет размещено новых предприятий, уровень населения останется стабильным, а производительность труда возрастет по 25% в год, то объем промышленного производства в Москве за десятилетие с 1931 по 1942 г. все же вырастет с 5,5 до 70 млрд. руб., — перспектива успешного социалистического развития. За эти 10 лет можно заново распланировать и отстроить весь город и каждому горожанину предоставить 10-12 кв. метров жилплощади. Помимо того, метрополитен является устаревшим и антисоциальным средством сообщения. Историческая эволюция городского транспорта выглядит следующим образом: железная дорога — городская железная дорога или метрополитен — трамвай — автобус. Только специфические противоречия капитализма препятствовали окончательной ликвидации метрополитена. Решение проблемы на следующие 10-15 лет </w:t>
      </w:r>
      <w:proofErr w:type="spellStart"/>
      <w:r w:rsidRPr="007122AB">
        <w:rPr>
          <w:rFonts w:ascii="Times New Roman" w:hAnsi="Times New Roman"/>
          <w:color w:val="000000" w:themeColor="text1"/>
          <w:sz w:val="16"/>
          <w:szCs w:val="16"/>
        </w:rPr>
        <w:t>Пузис</w:t>
      </w:r>
      <w:proofErr w:type="spellEnd"/>
      <w:r w:rsidRPr="007122AB">
        <w:rPr>
          <w:rFonts w:ascii="Times New Roman" w:hAnsi="Times New Roman"/>
          <w:color w:val="000000" w:themeColor="text1"/>
          <w:sz w:val="16"/>
          <w:szCs w:val="16"/>
        </w:rPr>
        <w:t xml:space="preserve"> видел в проведении социалистической реконструкции и автомобилизации Москвы. На ближайшую перспективу следовало приобрести 2-2,5 тыс. автобусов и прекратить трамвайное </w:t>
      </w:r>
      <w:r w:rsidRPr="007122AB">
        <w:rPr>
          <w:rFonts w:ascii="Times New Roman" w:hAnsi="Times New Roman"/>
          <w:color w:val="000000" w:themeColor="text1"/>
          <w:sz w:val="16"/>
          <w:szCs w:val="16"/>
        </w:rPr>
        <w:lastRenderedPageBreak/>
        <w:t>движение внутри Бульварного кольца. При цене автобуса в 20 тыс. руб. реализация проекта с дополнительными инвестициями потребовала бы 70-90 млн. руб. На средства, сэкономленные по сравнению с затратами на строительство метро (150 млн. руб.) можно было бы построить автозавод по производству автобусов{322}.</w:t>
      </w:r>
    </w:p>
    <w:p w14:paraId="2B104AD8"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Редакция «Известий» поместила статью </w:t>
      </w:r>
      <w:proofErr w:type="spellStart"/>
      <w:r w:rsidRPr="007122AB">
        <w:rPr>
          <w:rFonts w:ascii="Times New Roman" w:hAnsi="Times New Roman"/>
          <w:color w:val="000000" w:themeColor="text1"/>
          <w:sz w:val="16"/>
          <w:szCs w:val="16"/>
        </w:rPr>
        <w:t>Пузиса</w:t>
      </w:r>
      <w:proofErr w:type="spellEnd"/>
      <w:r w:rsidRPr="007122AB">
        <w:rPr>
          <w:rFonts w:ascii="Times New Roman" w:hAnsi="Times New Roman"/>
          <w:color w:val="000000" w:themeColor="text1"/>
          <w:sz w:val="16"/>
          <w:szCs w:val="16"/>
        </w:rPr>
        <w:t xml:space="preserve"> как материал для дискуссии, приветствовала его требование расширить автобусный парк, но дистанцировалась от отрицания метрополитена и представлений автора о перспективах развитии Москвы. Не может быть и речи, что метрополитен устарел, так как в Берлине, Нью-Йорке и повсюду он успешно развивается. Только в Лондоне автобусы потеснили метро{323} (18299).</w:t>
      </w:r>
    </w:p>
    <w:p w14:paraId="2B141B35" w14:textId="77777777" w:rsidR="00347672" w:rsidRPr="007122AB" w:rsidRDefault="00347672" w:rsidP="007122AB">
      <w:pPr>
        <w:spacing w:after="0" w:line="240" w:lineRule="auto"/>
        <w:jc w:val="both"/>
        <w:rPr>
          <w:rFonts w:ascii="Times New Roman" w:hAnsi="Times New Roman"/>
          <w:color w:val="000000" w:themeColor="text1"/>
          <w:sz w:val="16"/>
          <w:szCs w:val="16"/>
        </w:rPr>
      </w:pPr>
    </w:p>
    <w:p w14:paraId="3D6498D2" w14:textId="77777777" w:rsidR="008B6E6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7477E97" w14:textId="77777777" w:rsidR="008B6E64" w:rsidRPr="007122AB" w:rsidRDefault="008B6E6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F5F54D" w14:textId="77777777" w:rsidR="00736279" w:rsidRPr="007122AB" w:rsidRDefault="007362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июня 1931 - Летающая лодка </w:t>
      </w:r>
      <w:proofErr w:type="spellStart"/>
      <w:r w:rsidRPr="007122AB">
        <w:rPr>
          <w:rFonts w:ascii="Times New Roman" w:hAnsi="Times New Roman"/>
          <w:color w:val="000000" w:themeColor="text1"/>
          <w:sz w:val="16"/>
          <w:szCs w:val="16"/>
        </w:rPr>
        <w:t>Latecoere</w:t>
      </w:r>
      <w:proofErr w:type="spellEnd"/>
      <w:r w:rsidRPr="007122AB">
        <w:rPr>
          <w:rFonts w:ascii="Times New Roman" w:hAnsi="Times New Roman"/>
          <w:color w:val="000000" w:themeColor="text1"/>
          <w:sz w:val="16"/>
          <w:szCs w:val="16"/>
        </w:rPr>
        <w:t xml:space="preserve"> 28-3, оснащенная двигателем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пилотируемая лейтенантом де </w:t>
      </w:r>
      <w:proofErr w:type="spellStart"/>
      <w:r w:rsidRPr="007122AB">
        <w:rPr>
          <w:rFonts w:ascii="Times New Roman" w:hAnsi="Times New Roman"/>
          <w:color w:val="000000" w:themeColor="text1"/>
          <w:sz w:val="16"/>
          <w:szCs w:val="16"/>
        </w:rPr>
        <w:t>Vaisseau</w:t>
      </w:r>
      <w:proofErr w:type="spellEnd"/>
      <w:r w:rsidRPr="007122AB">
        <w:rPr>
          <w:rFonts w:ascii="Times New Roman" w:hAnsi="Times New Roman"/>
          <w:color w:val="000000" w:themeColor="text1"/>
          <w:sz w:val="16"/>
          <w:szCs w:val="16"/>
        </w:rPr>
        <w:t xml:space="preserve"> Paris и М. </w:t>
      </w:r>
      <w:proofErr w:type="spellStart"/>
      <w:r w:rsidRPr="007122AB">
        <w:rPr>
          <w:rFonts w:ascii="Times New Roman" w:hAnsi="Times New Roman"/>
          <w:color w:val="000000" w:themeColor="text1"/>
          <w:sz w:val="16"/>
          <w:szCs w:val="16"/>
        </w:rPr>
        <w:t>Gonord</w:t>
      </w:r>
      <w:proofErr w:type="spellEnd"/>
      <w:r w:rsidRPr="007122AB">
        <w:rPr>
          <w:rFonts w:ascii="Times New Roman" w:hAnsi="Times New Roman"/>
          <w:color w:val="000000" w:themeColor="text1"/>
          <w:sz w:val="16"/>
          <w:szCs w:val="16"/>
        </w:rPr>
        <w:t xml:space="preserve"> установила рекорд дальности для гидросамолетов на 3113,8 миль (5011,2 км) в </w:t>
      </w:r>
      <w:proofErr w:type="spellStart"/>
      <w:r w:rsidRPr="007122AB">
        <w:rPr>
          <w:rFonts w:ascii="Times New Roman" w:hAnsi="Times New Roman"/>
          <w:color w:val="000000" w:themeColor="text1"/>
          <w:sz w:val="16"/>
          <w:szCs w:val="16"/>
        </w:rPr>
        <w:t>Арашоне</w:t>
      </w:r>
      <w:proofErr w:type="spellEnd"/>
      <w:r w:rsidRPr="007122AB">
        <w:rPr>
          <w:rFonts w:ascii="Times New Roman" w:hAnsi="Times New Roman"/>
          <w:color w:val="000000" w:themeColor="text1"/>
          <w:sz w:val="16"/>
          <w:szCs w:val="16"/>
        </w:rPr>
        <w:t>, Франция (22471).</w:t>
      </w:r>
    </w:p>
    <w:p w14:paraId="6ED069D4" w14:textId="77777777" w:rsidR="00736279" w:rsidRPr="007122AB" w:rsidRDefault="00736279" w:rsidP="007122AB">
      <w:pPr>
        <w:spacing w:after="0" w:line="240" w:lineRule="auto"/>
        <w:jc w:val="both"/>
        <w:rPr>
          <w:rFonts w:ascii="Times New Roman" w:hAnsi="Times New Roman"/>
          <w:color w:val="000000" w:themeColor="text1"/>
          <w:sz w:val="16"/>
          <w:szCs w:val="16"/>
        </w:rPr>
      </w:pPr>
    </w:p>
    <w:p w14:paraId="6CD03993"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июня 1930 г. А. </w:t>
      </w:r>
      <w:proofErr w:type="spellStart"/>
      <w:r w:rsidRPr="007122AB">
        <w:rPr>
          <w:rFonts w:ascii="Times New Roman" w:hAnsi="Times New Roman"/>
          <w:color w:val="000000" w:themeColor="text1"/>
          <w:sz w:val="16"/>
          <w:szCs w:val="16"/>
        </w:rPr>
        <w:t>Соучеком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lang w:val="en-US"/>
        </w:rPr>
        <w:t>ApolloSoucek</w:t>
      </w:r>
      <w:proofErr w:type="spellEnd"/>
      <w:r w:rsidRPr="007122AB">
        <w:rPr>
          <w:rFonts w:ascii="Times New Roman" w:hAnsi="Times New Roman"/>
          <w:color w:val="000000" w:themeColor="text1"/>
          <w:sz w:val="16"/>
          <w:szCs w:val="16"/>
        </w:rPr>
        <w:t>) на аме</w:t>
      </w:r>
      <w:r w:rsidRPr="007122AB">
        <w:rPr>
          <w:rFonts w:ascii="Times New Roman" w:hAnsi="Times New Roman"/>
          <w:color w:val="000000" w:themeColor="text1"/>
          <w:sz w:val="16"/>
          <w:szCs w:val="16"/>
        </w:rPr>
        <w:softHyphen/>
        <w:t xml:space="preserve">риканском самолёте Райт </w:t>
      </w:r>
      <w:r w:rsidRPr="007122AB">
        <w:rPr>
          <w:rFonts w:ascii="Times New Roman" w:hAnsi="Times New Roman"/>
          <w:color w:val="000000" w:themeColor="text1"/>
          <w:sz w:val="16"/>
          <w:szCs w:val="16"/>
          <w:lang w:val="en-US"/>
        </w:rPr>
        <w:t>F</w:t>
      </w:r>
      <w:r w:rsidRPr="007122AB">
        <w:rPr>
          <w:rFonts w:ascii="Times New Roman" w:hAnsi="Times New Roman"/>
          <w:color w:val="000000" w:themeColor="text1"/>
          <w:sz w:val="16"/>
          <w:szCs w:val="16"/>
        </w:rPr>
        <w:t>3</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-1 «Апач» был установлен рекорд 13157 м.</w:t>
      </w:r>
    </w:p>
    <w:p w14:paraId="0B3DAAA0"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одноместный биплан проектиро</w:t>
      </w:r>
      <w:r w:rsidRPr="007122AB">
        <w:rPr>
          <w:rFonts w:ascii="Times New Roman" w:hAnsi="Times New Roman"/>
          <w:color w:val="000000" w:themeColor="text1"/>
          <w:sz w:val="16"/>
          <w:szCs w:val="16"/>
        </w:rPr>
        <w:softHyphen/>
        <w:t>вался как лёгкий палубный истребитель. Самолёт использовался для испытаний двигателя Пратт &amp; Уитни «</w:t>
      </w:r>
      <w:proofErr w:type="spellStart"/>
      <w:r w:rsidRPr="007122AB">
        <w:rPr>
          <w:rFonts w:ascii="Times New Roman" w:hAnsi="Times New Roman"/>
          <w:color w:val="000000" w:themeColor="text1"/>
          <w:sz w:val="16"/>
          <w:szCs w:val="16"/>
        </w:rPr>
        <w:t>Уосп</w:t>
      </w:r>
      <w:proofErr w:type="spellEnd"/>
      <w:r w:rsidRPr="007122AB">
        <w:rPr>
          <w:rFonts w:ascii="Times New Roman" w:hAnsi="Times New Roman"/>
          <w:color w:val="000000" w:themeColor="text1"/>
          <w:sz w:val="16"/>
          <w:szCs w:val="16"/>
        </w:rPr>
        <w:t>» мощностью 420 л.с. со встроенным приводным центробежным на</w:t>
      </w:r>
      <w:r w:rsidRPr="007122AB">
        <w:rPr>
          <w:rFonts w:ascii="Times New Roman" w:hAnsi="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лётчика К. Чемпиона (С.С. </w:t>
      </w:r>
      <w:r w:rsidRPr="007122AB">
        <w:rPr>
          <w:rFonts w:ascii="Times New Roman" w:hAnsi="Times New Roman"/>
          <w:color w:val="000000" w:themeColor="text1"/>
          <w:sz w:val="16"/>
          <w:szCs w:val="16"/>
          <w:lang w:val="en-US"/>
        </w:rPr>
        <w:t>Champion</w:t>
      </w:r>
      <w:r w:rsidRPr="007122AB">
        <w:rPr>
          <w:rFonts w:ascii="Times New Roman" w:hAnsi="Times New Roman"/>
          <w:color w:val="000000" w:themeColor="text1"/>
          <w:sz w:val="16"/>
          <w:szCs w:val="16"/>
        </w:rPr>
        <w:t xml:space="preserve">) - 11710 м в июле 1927, конструкцию </w:t>
      </w:r>
      <w:r w:rsidRPr="007122AB">
        <w:rPr>
          <w:rFonts w:ascii="Times New Roman" w:hAnsi="Times New Roman"/>
          <w:color w:val="000000" w:themeColor="text1"/>
          <w:sz w:val="16"/>
          <w:szCs w:val="16"/>
          <w:lang w:val="en-US"/>
        </w:rPr>
        <w:t>F</w:t>
      </w:r>
      <w:r w:rsidRPr="007122AB">
        <w:rPr>
          <w:rFonts w:ascii="Times New Roman" w:hAnsi="Times New Roman"/>
          <w:color w:val="000000" w:themeColor="text1"/>
          <w:sz w:val="16"/>
          <w:szCs w:val="16"/>
        </w:rPr>
        <w:t>3</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7122AB">
        <w:rPr>
          <w:rFonts w:ascii="Times New Roman" w:hAnsi="Times New Roman"/>
          <w:color w:val="000000" w:themeColor="text1"/>
          <w:sz w:val="16"/>
          <w:szCs w:val="16"/>
        </w:rPr>
        <w:softHyphen/>
        <w:t>гой двигатель «</w:t>
      </w:r>
      <w:proofErr w:type="spellStart"/>
      <w:r w:rsidRPr="007122AB">
        <w:rPr>
          <w:rFonts w:ascii="Times New Roman" w:hAnsi="Times New Roman"/>
          <w:color w:val="000000" w:themeColor="text1"/>
          <w:sz w:val="16"/>
          <w:szCs w:val="16"/>
        </w:rPr>
        <w:t>Уосп</w:t>
      </w:r>
      <w:proofErr w:type="spellEnd"/>
      <w:r w:rsidRPr="007122AB">
        <w:rPr>
          <w:rFonts w:ascii="Times New Roman" w:hAnsi="Times New Roman"/>
          <w:color w:val="000000" w:themeColor="text1"/>
          <w:sz w:val="16"/>
          <w:szCs w:val="16"/>
        </w:rPr>
        <w:t>» с более совершенным нагнетателем и специальным карбюратором.</w:t>
      </w:r>
    </w:p>
    <w:p w14:paraId="57C77718"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Кабина обогревалась выхлопными газами. На случай потери сознания имелось устрой</w:t>
      </w:r>
      <w:r w:rsidRPr="007122AB">
        <w:rPr>
          <w:rFonts w:ascii="Times New Roman" w:hAnsi="Times New Roman"/>
          <w:color w:val="000000" w:themeColor="text1"/>
          <w:sz w:val="16"/>
          <w:szCs w:val="16"/>
        </w:rPr>
        <w:softHyphen/>
        <w:t>ство, прекращавшее подачу топлива и вы</w:t>
      </w:r>
      <w:r w:rsidRPr="007122AB">
        <w:rPr>
          <w:rFonts w:ascii="Times New Roman" w:hAnsi="Times New Roman"/>
          <w:color w:val="000000" w:themeColor="text1"/>
          <w:sz w:val="16"/>
          <w:szCs w:val="16"/>
        </w:rPr>
        <w:softHyphen/>
        <w:t>ключавшее нагнетатель.</w:t>
      </w:r>
    </w:p>
    <w:p w14:paraId="1A30ABB0"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Высотная экипировка </w:t>
      </w:r>
      <w:proofErr w:type="spellStart"/>
      <w:r w:rsidRPr="007122AB">
        <w:rPr>
          <w:rFonts w:ascii="Times New Roman" w:hAnsi="Times New Roman"/>
          <w:color w:val="000000" w:themeColor="text1"/>
          <w:sz w:val="16"/>
          <w:szCs w:val="16"/>
        </w:rPr>
        <w:t>Соучека</w:t>
      </w:r>
      <w:proofErr w:type="spellEnd"/>
      <w:r w:rsidRPr="007122AB">
        <w:rPr>
          <w:rFonts w:ascii="Times New Roman" w:hAnsi="Times New Roman"/>
          <w:color w:val="000000" w:themeColor="text1"/>
          <w:sz w:val="16"/>
          <w:szCs w:val="16"/>
        </w:rPr>
        <w:t xml:space="preserve"> помимо тёплой одежды включала очки с электро</w:t>
      </w:r>
      <w:r w:rsidRPr="007122AB">
        <w:rPr>
          <w:rFonts w:ascii="Times New Roman" w:hAnsi="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7122AB">
        <w:rPr>
          <w:rFonts w:ascii="Times New Roman" w:hAnsi="Times New Roman"/>
          <w:color w:val="000000" w:themeColor="text1"/>
          <w:sz w:val="16"/>
          <w:szCs w:val="16"/>
        </w:rPr>
        <w:softHyphen/>
        <w:t>га: «С опытом я понял, что на 40000 футов [12 км] или выше давление воздуха намно</w:t>
      </w:r>
      <w:r w:rsidRPr="007122AB">
        <w:rPr>
          <w:rFonts w:ascii="Times New Roman" w:hAnsi="Times New Roman"/>
          <w:color w:val="000000" w:themeColor="text1"/>
          <w:sz w:val="16"/>
          <w:szCs w:val="16"/>
        </w:rPr>
        <w:softHyphen/>
        <w:t>го меньше, чем давление в лёгких пилота, в результате чего, когда кислород из обыч</w:t>
      </w:r>
      <w:r w:rsidRPr="007122AB">
        <w:rPr>
          <w:rFonts w:ascii="Times New Roman" w:hAnsi="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7122AB">
        <w:rPr>
          <w:rFonts w:ascii="Times New Roman" w:hAnsi="Times New Roman"/>
          <w:color w:val="000000" w:themeColor="text1"/>
          <w:sz w:val="16"/>
          <w:szCs w:val="16"/>
        </w:rPr>
        <w:softHyphen/>
        <w:t>но ко рту, должным образом поступал в лёг</w:t>
      </w:r>
      <w:r w:rsidRPr="007122AB">
        <w:rPr>
          <w:rFonts w:ascii="Times New Roman" w:hAnsi="Times New Roman"/>
          <w:color w:val="000000" w:themeColor="text1"/>
          <w:sz w:val="16"/>
          <w:szCs w:val="16"/>
        </w:rPr>
        <w:softHyphen/>
        <w:t>кие».</w:t>
      </w:r>
    </w:p>
    <w:p w14:paraId="58373BDA"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не став исключением, полёты </w:t>
      </w:r>
      <w:proofErr w:type="spellStart"/>
      <w:r w:rsidRPr="007122AB">
        <w:rPr>
          <w:rFonts w:ascii="Times New Roman" w:hAnsi="Times New Roman"/>
          <w:color w:val="000000" w:themeColor="text1"/>
          <w:sz w:val="16"/>
          <w:szCs w:val="16"/>
        </w:rPr>
        <w:t>Соучека</w:t>
      </w:r>
      <w:proofErr w:type="spellEnd"/>
      <w:r w:rsidRPr="007122AB">
        <w:rPr>
          <w:rFonts w:ascii="Times New Roman" w:hAnsi="Times New Roman"/>
          <w:color w:val="000000" w:themeColor="text1"/>
          <w:sz w:val="16"/>
          <w:szCs w:val="16"/>
        </w:rPr>
        <w:t>, всё же, сопровождались непри</w:t>
      </w:r>
      <w:r w:rsidRPr="007122AB">
        <w:rPr>
          <w:rFonts w:ascii="Times New Roman" w:hAnsi="Times New Roman"/>
          <w:color w:val="000000" w:themeColor="text1"/>
          <w:sz w:val="16"/>
          <w:szCs w:val="16"/>
        </w:rPr>
        <w:softHyphen/>
        <w:t>ятными сюрпризами: «Эта трубка должна была довольно</w:t>
      </w:r>
      <w:r w:rsidRPr="007122AB">
        <w:rPr>
          <w:rStyle w:val="aff5"/>
          <w:rFonts w:ascii="Times New Roman" w:eastAsia="Arial Unicode MS" w:hAnsi="Times New Roman" w:cs="Times New Roman"/>
          <w:i w:val="0"/>
          <w:color w:val="000000" w:themeColor="text1"/>
        </w:rPr>
        <w:t xml:space="preserve"> часто</w:t>
      </w:r>
      <w:r w:rsidRPr="007122AB">
        <w:rPr>
          <w:rFonts w:ascii="Times New Roman" w:hAnsi="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7122AB">
        <w:rPr>
          <w:rFonts w:ascii="Times New Roman" w:hAnsi="Times New Roman"/>
          <w:color w:val="000000" w:themeColor="text1"/>
          <w:sz w:val="16"/>
          <w:szCs w:val="16"/>
        </w:rPr>
        <w:softHyphen/>
        <w:t xml:space="preserve">лёта на высоте около 35000 </w:t>
      </w:r>
      <w:proofErr w:type="spellStart"/>
      <w:r w:rsidRPr="007122AB">
        <w:rPr>
          <w:rFonts w:ascii="Times New Roman" w:hAnsi="Times New Roman"/>
          <w:color w:val="000000" w:themeColor="text1"/>
          <w:sz w:val="16"/>
          <w:szCs w:val="16"/>
        </w:rPr>
        <w:t>фт</w:t>
      </w:r>
      <w:proofErr w:type="spellEnd"/>
      <w:r w:rsidRPr="007122AB">
        <w:rPr>
          <w:rFonts w:ascii="Times New Roman" w:hAnsi="Times New Roman"/>
          <w:color w:val="000000" w:themeColor="text1"/>
          <w:sz w:val="16"/>
          <w:szCs w:val="16"/>
        </w:rPr>
        <w:t xml:space="preserve"> [10700 м] я забыл сжать трубку, из-за чего почти сразу же мне стало очень трудно дышать. Давле</w:t>
      </w:r>
      <w:r w:rsidRPr="007122AB">
        <w:rPr>
          <w:rFonts w:ascii="Times New Roman" w:hAnsi="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7122AB">
        <w:rPr>
          <w:rFonts w:ascii="Times New Roman" w:hAnsi="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7122AB">
        <w:rPr>
          <w:rFonts w:ascii="Times New Roman" w:hAnsi="Times New Roman"/>
          <w:color w:val="000000" w:themeColor="text1"/>
          <w:sz w:val="16"/>
          <w:szCs w:val="16"/>
        </w:rPr>
        <w:softHyphen/>
        <w:t xml:space="preserve">калывать его ударами трубки о фюзеляж и затем вытряхивать осколки. В полете 8 мая 1929 г. </w:t>
      </w:r>
      <w:proofErr w:type="spellStart"/>
      <w:r w:rsidRPr="007122AB">
        <w:rPr>
          <w:rFonts w:ascii="Times New Roman" w:hAnsi="Times New Roman"/>
          <w:color w:val="000000" w:themeColor="text1"/>
          <w:sz w:val="16"/>
          <w:szCs w:val="16"/>
        </w:rPr>
        <w:t>Соучек</w:t>
      </w:r>
      <w:proofErr w:type="spellEnd"/>
      <w:r w:rsidRPr="007122AB">
        <w:rPr>
          <w:rFonts w:ascii="Times New Roman" w:hAnsi="Times New Roman"/>
          <w:color w:val="000000" w:themeColor="text1"/>
          <w:sz w:val="16"/>
          <w:szCs w:val="16"/>
        </w:rPr>
        <w:t xml:space="preserve"> столкнулся и с другой проблемой. Ему пришлось прилагать боль</w:t>
      </w:r>
      <w:r w:rsidRPr="007122AB">
        <w:rPr>
          <w:rFonts w:ascii="Times New Roman" w:hAnsi="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5A000DE2" w14:textId="77777777" w:rsidR="008B6E64" w:rsidRPr="007122AB" w:rsidRDefault="008B6E64" w:rsidP="007122AB">
      <w:pPr>
        <w:spacing w:after="0" w:line="240" w:lineRule="auto"/>
        <w:jc w:val="both"/>
        <w:rPr>
          <w:rFonts w:ascii="Times New Roman" w:hAnsi="Times New Roman"/>
          <w:color w:val="000000" w:themeColor="text1"/>
          <w:sz w:val="16"/>
          <w:szCs w:val="16"/>
        </w:rPr>
      </w:pPr>
    </w:p>
    <w:p w14:paraId="036D911F" w14:textId="77777777" w:rsidR="00736279" w:rsidRPr="007122AB" w:rsidRDefault="007362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4 июня 1931 п/л «Наутилус» покинула США, но во время перехода через Атлантику один из его двух дизелей вышел из строя в 450 километрах от берегов Ирландии. В Лондон его пришлось доставить на буксире американского крейсера «Вайоминг». Все полагали, что на том отчаянное путешествие и закончится. И все же Уилкинс сделал все, зависящее от него, и «Наутилус» продолжил плавание. Хотя и без надежды встретиться с дирижаблем. 1 августа он пришел в Берген, спустя две недели зашел на Шпицберген, откуда и начал самый трудный переход. На 82° достиг кромки паковых льдов, где и потерял горизонтальные рули. Уилкинсу пришлось окончательно отказаться от своего намерения и повернуть назад. 10 сентября «Наутилус» вернулся в Берген, где год спустя его и затопили (20467).</w:t>
      </w:r>
    </w:p>
    <w:p w14:paraId="1D651420" w14:textId="77777777" w:rsidR="00736279" w:rsidRPr="007122AB" w:rsidRDefault="00736279" w:rsidP="007122AB">
      <w:pPr>
        <w:spacing w:after="0" w:line="240" w:lineRule="auto"/>
        <w:jc w:val="both"/>
        <w:rPr>
          <w:rFonts w:ascii="Times New Roman" w:hAnsi="Times New Roman"/>
          <w:color w:val="000000" w:themeColor="text1"/>
          <w:sz w:val="16"/>
          <w:szCs w:val="16"/>
        </w:rPr>
      </w:pPr>
    </w:p>
    <w:p w14:paraId="4F21825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391813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171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июня 1931 года закончились серийные испытания самолета Р-1 N ОГ26 серии N 34 с мотором М-5-400 НР N 3279, степень сжатия 5,4 завода N 24 серия Ч </w:t>
      </w: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винт диаметр 2,9 м завода 31, которые проводились с 21 декабря 1930.</w:t>
      </w:r>
    </w:p>
    <w:p w14:paraId="61DC6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в воздухе производил летчик-сдатчик завода N 31 </w:t>
      </w:r>
      <w:proofErr w:type="spellStart"/>
      <w:r w:rsidRPr="007122AB">
        <w:rPr>
          <w:rFonts w:ascii="Times New Roman" w:hAnsi="Times New Roman"/>
          <w:color w:val="000000" w:themeColor="text1"/>
          <w:sz w:val="16"/>
          <w:szCs w:val="16"/>
        </w:rPr>
        <w:t>Ремезюк</w:t>
      </w:r>
      <w:proofErr w:type="spellEnd"/>
      <w:r w:rsidRPr="007122AB">
        <w:rPr>
          <w:rFonts w:ascii="Times New Roman" w:hAnsi="Times New Roman"/>
          <w:color w:val="000000" w:themeColor="text1"/>
          <w:sz w:val="16"/>
          <w:szCs w:val="16"/>
        </w:rPr>
        <w:t>.</w:t>
      </w:r>
    </w:p>
    <w:p w14:paraId="5F75A8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3FBD22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летном отношении на основании полученных результатов от испытания, хотя и находящихся на крайних пределах норм положенных по техническим условиям.</w:t>
      </w:r>
    </w:p>
    <w:p w14:paraId="55DE03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Комиссия предлагает признать отвечающий техническим условиям на поставку Р-1 с мотором М5 - 400 НР, как самолет N ОГ26, так и самолеты всей серии (3215).</w:t>
      </w:r>
    </w:p>
    <w:p w14:paraId="413D8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5765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состоялся последний полет КАСКР-2. Задача состояла в том, чтобы продемонстрировать вер</w:t>
      </w:r>
      <w:r w:rsidRPr="007122AB">
        <w:rPr>
          <w:rFonts w:ascii="Times New Roman" w:hAnsi="Times New Roman"/>
          <w:color w:val="000000" w:themeColor="text1"/>
          <w:sz w:val="16"/>
          <w:szCs w:val="16"/>
        </w:rPr>
        <w:softHyphen/>
        <w:t>тикальное парашютирование аппарата. Фактически удалось осуществить крутое планирование под углом 60 градусов к горизонту и с вертикаль</w:t>
      </w:r>
      <w:r w:rsidRPr="007122AB">
        <w:rPr>
          <w:rFonts w:ascii="Times New Roman" w:hAnsi="Times New Roman"/>
          <w:color w:val="000000" w:themeColor="text1"/>
          <w:sz w:val="16"/>
          <w:szCs w:val="16"/>
        </w:rPr>
        <w:softHyphen/>
        <w:t>ной скоростью снижения 7 м/с. Перед приземлением Кошиц выполнил энергичное торможение с выравниванием и совершил посадку с пробе</w:t>
      </w:r>
      <w:r w:rsidRPr="007122AB">
        <w:rPr>
          <w:rFonts w:ascii="Times New Roman" w:hAnsi="Times New Roman"/>
          <w:color w:val="000000" w:themeColor="text1"/>
          <w:sz w:val="16"/>
          <w:szCs w:val="16"/>
        </w:rPr>
        <w:softHyphen/>
        <w:t>гом около 10 метров. КАСКР-2 показал все, на что он был способен.</w:t>
      </w:r>
    </w:p>
    <w:p w14:paraId="63CDE0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40AA3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г. состоялся последний полет КАСКР-2, в ко</w:t>
      </w:r>
      <w:r w:rsidRPr="007122AB">
        <w:rPr>
          <w:rFonts w:ascii="Times New Roman" w:hAnsi="Times New Roman"/>
          <w:color w:val="000000" w:themeColor="text1"/>
          <w:sz w:val="16"/>
          <w:szCs w:val="16"/>
        </w:rPr>
        <w:softHyphen/>
        <w:t>тором летчик Кошиц осуществил крутое планирование под углом 60о с вертикальной скоростью 7 м/с. Перед приземлением он выполнил энергичное выравнивание, позволившее уменьшить пробег по земле до 10 метров. Дальнейшее совершенствование аппарата признали нера</w:t>
      </w:r>
      <w:r w:rsidRPr="007122AB">
        <w:rPr>
          <w:rFonts w:ascii="Times New Roman" w:hAnsi="Times New Roman"/>
          <w:color w:val="000000" w:themeColor="text1"/>
          <w:sz w:val="16"/>
          <w:szCs w:val="16"/>
        </w:rPr>
        <w:softHyphen/>
        <w:t>циональным и работы по нему прекратили. Всего КАСКР выполнил 90 полетов, наибольшая продолжительность одного из них составила 28 минут, максимальная достиг</w:t>
      </w:r>
      <w:r w:rsidRPr="007122AB">
        <w:rPr>
          <w:rFonts w:ascii="Times New Roman" w:hAnsi="Times New Roman"/>
          <w:color w:val="000000" w:themeColor="text1"/>
          <w:sz w:val="16"/>
          <w:szCs w:val="16"/>
        </w:rPr>
        <w:softHyphen/>
        <w:t>нутая высота — 450 метров (20361).</w:t>
      </w:r>
    </w:p>
    <w:p w14:paraId="4ECF1157" w14:textId="77777777" w:rsidR="0040061B" w:rsidRPr="007122AB" w:rsidRDefault="0040061B" w:rsidP="007122AB">
      <w:pPr>
        <w:shd w:val="clear" w:color="auto" w:fill="FFFFFF"/>
        <w:spacing w:after="0" w:line="240" w:lineRule="auto"/>
        <w:jc w:val="both"/>
        <w:rPr>
          <w:rFonts w:ascii="Times New Roman" w:hAnsi="Times New Roman"/>
          <w:color w:val="000000" w:themeColor="text1"/>
          <w:sz w:val="16"/>
          <w:szCs w:val="16"/>
        </w:rPr>
      </w:pPr>
    </w:p>
    <w:p w14:paraId="6C300A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Нач. Отдела требований НИИ ВВС РККА Соколов-Соколенок подписал "План опытного самолетостроения ВВС РККА на 1932-1934/35 г (План N 2):</w:t>
      </w:r>
    </w:p>
    <w:p w14:paraId="0A066A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Самолеты "Системы вооружения 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746"/>
        <w:gridCol w:w="746"/>
        <w:gridCol w:w="746"/>
        <w:gridCol w:w="746"/>
        <w:gridCol w:w="746"/>
        <w:gridCol w:w="746"/>
        <w:gridCol w:w="746"/>
        <w:gridCol w:w="746"/>
        <w:gridCol w:w="2360"/>
      </w:tblGrid>
      <w:tr w:rsidR="001002C3" w:rsidRPr="007122AB" w14:paraId="7243E672" w14:textId="77777777">
        <w:tc>
          <w:tcPr>
            <w:tcW w:w="1526" w:type="dxa"/>
          </w:tcPr>
          <w:p w14:paraId="3331B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746" w:type="dxa"/>
          </w:tcPr>
          <w:p w14:paraId="14DCF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Литер</w:t>
            </w:r>
          </w:p>
        </w:tc>
        <w:tc>
          <w:tcPr>
            <w:tcW w:w="746" w:type="dxa"/>
          </w:tcPr>
          <w:p w14:paraId="7C9903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w:t>
            </w:r>
          </w:p>
        </w:tc>
        <w:tc>
          <w:tcPr>
            <w:tcW w:w="746" w:type="dxa"/>
          </w:tcPr>
          <w:p w14:paraId="15268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w:t>
            </w:r>
          </w:p>
        </w:tc>
        <w:tc>
          <w:tcPr>
            <w:tcW w:w="746" w:type="dxa"/>
          </w:tcPr>
          <w:p w14:paraId="030F3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w:t>
            </w:r>
          </w:p>
        </w:tc>
        <w:tc>
          <w:tcPr>
            <w:tcW w:w="746" w:type="dxa"/>
          </w:tcPr>
          <w:p w14:paraId="79450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w:t>
            </w:r>
          </w:p>
        </w:tc>
        <w:tc>
          <w:tcPr>
            <w:tcW w:w="746" w:type="dxa"/>
          </w:tcPr>
          <w:p w14:paraId="6972A0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w:t>
            </w:r>
          </w:p>
        </w:tc>
        <w:tc>
          <w:tcPr>
            <w:tcW w:w="746" w:type="dxa"/>
          </w:tcPr>
          <w:p w14:paraId="6D922C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Груз</w:t>
            </w:r>
          </w:p>
        </w:tc>
        <w:tc>
          <w:tcPr>
            <w:tcW w:w="746" w:type="dxa"/>
          </w:tcPr>
          <w:p w14:paraId="1BCDB1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w:t>
            </w:r>
          </w:p>
        </w:tc>
        <w:tc>
          <w:tcPr>
            <w:tcW w:w="746" w:type="dxa"/>
          </w:tcPr>
          <w:p w14:paraId="3D234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Замена</w:t>
            </w:r>
          </w:p>
        </w:tc>
        <w:tc>
          <w:tcPr>
            <w:tcW w:w="2360" w:type="dxa"/>
          </w:tcPr>
          <w:p w14:paraId="0D8CEB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r>
      <w:tr w:rsidR="001002C3" w:rsidRPr="007122AB" w14:paraId="0CB13C61" w14:textId="77777777">
        <w:tc>
          <w:tcPr>
            <w:tcW w:w="1526" w:type="dxa"/>
          </w:tcPr>
          <w:p w14:paraId="31EC8D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ТБ, он же</w:t>
            </w:r>
          </w:p>
        </w:tc>
        <w:tc>
          <w:tcPr>
            <w:tcW w:w="746" w:type="dxa"/>
          </w:tcPr>
          <w:p w14:paraId="5AF23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ТБ-7</w:t>
            </w:r>
          </w:p>
        </w:tc>
        <w:tc>
          <w:tcPr>
            <w:tcW w:w="746" w:type="dxa"/>
          </w:tcPr>
          <w:p w14:paraId="1A10FC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18B83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01.12.32</w:t>
            </w:r>
          </w:p>
        </w:tc>
        <w:tc>
          <w:tcPr>
            <w:tcW w:w="746" w:type="dxa"/>
          </w:tcPr>
          <w:p w14:paraId="6D3EE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746" w:type="dxa"/>
          </w:tcPr>
          <w:p w14:paraId="218B5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250/5000</w:t>
            </w:r>
          </w:p>
        </w:tc>
        <w:tc>
          <w:tcPr>
            <w:tcW w:w="746" w:type="dxa"/>
          </w:tcPr>
          <w:p w14:paraId="78B8F4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746" w:type="dxa"/>
          </w:tcPr>
          <w:p w14:paraId="6A8B43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746" w:type="dxa"/>
          </w:tcPr>
          <w:p w14:paraId="7B9EF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Сталь/дюраль</w:t>
            </w:r>
          </w:p>
        </w:tc>
        <w:tc>
          <w:tcPr>
            <w:tcW w:w="746" w:type="dxa"/>
          </w:tcPr>
          <w:p w14:paraId="1DB446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ТБ-4/К-7</w:t>
            </w:r>
          </w:p>
        </w:tc>
        <w:tc>
          <w:tcPr>
            <w:tcW w:w="2360" w:type="dxa"/>
          </w:tcPr>
          <w:p w14:paraId="28061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r>
      <w:tr w:rsidR="001002C3" w:rsidRPr="007122AB" w14:paraId="1FB63F3C" w14:textId="77777777">
        <w:tc>
          <w:tcPr>
            <w:tcW w:w="1526" w:type="dxa"/>
          </w:tcPr>
          <w:p w14:paraId="066619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пас/грузовой</w:t>
            </w:r>
          </w:p>
        </w:tc>
        <w:tc>
          <w:tcPr>
            <w:tcW w:w="746" w:type="dxa"/>
          </w:tcPr>
          <w:p w14:paraId="15E749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4М-44</w:t>
            </w:r>
          </w:p>
        </w:tc>
        <w:tc>
          <w:tcPr>
            <w:tcW w:w="746" w:type="dxa"/>
          </w:tcPr>
          <w:p w14:paraId="64F95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FCEC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0FDD1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486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F03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746" w:type="dxa"/>
          </w:tcPr>
          <w:p w14:paraId="1F175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4пу/4пул</w:t>
            </w:r>
          </w:p>
        </w:tc>
        <w:tc>
          <w:tcPr>
            <w:tcW w:w="746" w:type="dxa"/>
          </w:tcPr>
          <w:p w14:paraId="5CBEEE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D58F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2F1C2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4F91D6" w14:textId="77777777">
        <w:tc>
          <w:tcPr>
            <w:tcW w:w="1526" w:type="dxa"/>
          </w:tcPr>
          <w:p w14:paraId="2DA4B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Тяж. хим. боев.</w:t>
            </w:r>
          </w:p>
        </w:tc>
        <w:tc>
          <w:tcPr>
            <w:tcW w:w="746" w:type="dxa"/>
          </w:tcPr>
          <w:p w14:paraId="2245A0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ХI</w:t>
            </w:r>
          </w:p>
        </w:tc>
        <w:tc>
          <w:tcPr>
            <w:tcW w:w="746" w:type="dxa"/>
          </w:tcPr>
          <w:p w14:paraId="641D9E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746" w:type="dxa"/>
          </w:tcPr>
          <w:p w14:paraId="5F604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01.09.32</w:t>
            </w:r>
          </w:p>
        </w:tc>
        <w:tc>
          <w:tcPr>
            <w:tcW w:w="746" w:type="dxa"/>
          </w:tcPr>
          <w:p w14:paraId="0AA4F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746" w:type="dxa"/>
          </w:tcPr>
          <w:p w14:paraId="76939A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746" w:type="dxa"/>
          </w:tcPr>
          <w:p w14:paraId="17AC1F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746" w:type="dxa"/>
          </w:tcPr>
          <w:p w14:paraId="41521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3-4пул</w:t>
            </w:r>
          </w:p>
        </w:tc>
        <w:tc>
          <w:tcPr>
            <w:tcW w:w="746" w:type="dxa"/>
          </w:tcPr>
          <w:p w14:paraId="04F9A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Сталь/дюраль</w:t>
            </w:r>
          </w:p>
        </w:tc>
        <w:tc>
          <w:tcPr>
            <w:tcW w:w="746" w:type="dxa"/>
          </w:tcPr>
          <w:p w14:paraId="77956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360" w:type="dxa"/>
          </w:tcPr>
          <w:p w14:paraId="39C5DA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r>
      <w:tr w:rsidR="001002C3" w:rsidRPr="007122AB" w14:paraId="608F3540" w14:textId="77777777">
        <w:tc>
          <w:tcPr>
            <w:tcW w:w="1526" w:type="dxa"/>
          </w:tcPr>
          <w:p w14:paraId="659AC6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он же для горюч.</w:t>
            </w:r>
          </w:p>
        </w:tc>
        <w:tc>
          <w:tcPr>
            <w:tcW w:w="746" w:type="dxa"/>
          </w:tcPr>
          <w:p w14:paraId="7DB8AE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2М-34</w:t>
            </w:r>
          </w:p>
        </w:tc>
        <w:tc>
          <w:tcPr>
            <w:tcW w:w="746" w:type="dxa"/>
          </w:tcPr>
          <w:p w14:paraId="311BD5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E5D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8F3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AED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39C3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746" w:type="dxa"/>
          </w:tcPr>
          <w:p w14:paraId="360C7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BA3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22F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75E87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B3F909" w14:textId="77777777">
        <w:tc>
          <w:tcPr>
            <w:tcW w:w="1526" w:type="dxa"/>
          </w:tcPr>
          <w:p w14:paraId="70FACC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Арм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развед</w:t>
            </w:r>
            <w:proofErr w:type="spellEnd"/>
            <w:r w:rsidRPr="007122AB">
              <w:rPr>
                <w:rFonts w:ascii="Times New Roman" w:hAnsi="Times New Roman"/>
                <w:color w:val="000000" w:themeColor="text1"/>
                <w:sz w:val="16"/>
                <w:szCs w:val="16"/>
              </w:rPr>
              <w:t>.</w:t>
            </w:r>
          </w:p>
        </w:tc>
        <w:tc>
          <w:tcPr>
            <w:tcW w:w="746" w:type="dxa"/>
          </w:tcPr>
          <w:p w14:paraId="607741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746" w:type="dxa"/>
          </w:tcPr>
          <w:p w14:paraId="5A064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3EEC74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01.05.32</w:t>
            </w:r>
          </w:p>
        </w:tc>
        <w:tc>
          <w:tcPr>
            <w:tcW w:w="746" w:type="dxa"/>
          </w:tcPr>
          <w:p w14:paraId="10388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3-4000</w:t>
            </w:r>
          </w:p>
        </w:tc>
        <w:tc>
          <w:tcPr>
            <w:tcW w:w="746" w:type="dxa"/>
          </w:tcPr>
          <w:p w14:paraId="64794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400-450</w:t>
            </w:r>
          </w:p>
        </w:tc>
        <w:tc>
          <w:tcPr>
            <w:tcW w:w="746" w:type="dxa"/>
          </w:tcPr>
          <w:p w14:paraId="1C6B00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50117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1пул</w:t>
            </w:r>
          </w:p>
        </w:tc>
        <w:tc>
          <w:tcPr>
            <w:tcW w:w="746" w:type="dxa"/>
          </w:tcPr>
          <w:p w14:paraId="49690E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Трубы/дерево</w:t>
            </w:r>
          </w:p>
        </w:tc>
        <w:tc>
          <w:tcPr>
            <w:tcW w:w="746" w:type="dxa"/>
          </w:tcPr>
          <w:p w14:paraId="5E6B4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Р-5/Р-8</w:t>
            </w:r>
          </w:p>
        </w:tc>
        <w:tc>
          <w:tcPr>
            <w:tcW w:w="2360" w:type="dxa"/>
          </w:tcPr>
          <w:p w14:paraId="53B0F5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Особ. гр.</w:t>
            </w:r>
          </w:p>
        </w:tc>
      </w:tr>
      <w:tr w:rsidR="001002C3" w:rsidRPr="007122AB" w14:paraId="7896FEFF" w14:textId="77777777">
        <w:tc>
          <w:tcPr>
            <w:tcW w:w="1526" w:type="dxa"/>
          </w:tcPr>
          <w:p w14:paraId="0165A7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 почт/пас.</w:t>
            </w:r>
          </w:p>
        </w:tc>
        <w:tc>
          <w:tcPr>
            <w:tcW w:w="746" w:type="dxa"/>
          </w:tcPr>
          <w:p w14:paraId="33DDCC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746" w:type="dxa"/>
          </w:tcPr>
          <w:p w14:paraId="5EFFBB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C98E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6A0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6A3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8594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9489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606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5D55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BAF8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CE1993" w14:textId="77777777">
        <w:tc>
          <w:tcPr>
            <w:tcW w:w="1526" w:type="dxa"/>
          </w:tcPr>
          <w:p w14:paraId="53C17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Крейсер </w:t>
            </w:r>
            <w:proofErr w:type="spellStart"/>
            <w:r w:rsidRPr="007122AB">
              <w:rPr>
                <w:rFonts w:ascii="Times New Roman" w:hAnsi="Times New Roman"/>
                <w:color w:val="000000" w:themeColor="text1"/>
                <w:sz w:val="16"/>
                <w:szCs w:val="16"/>
              </w:rPr>
              <w:t>сухоп</w:t>
            </w:r>
            <w:proofErr w:type="spellEnd"/>
            <w:r w:rsidRPr="007122AB">
              <w:rPr>
                <w:rFonts w:ascii="Times New Roman" w:hAnsi="Times New Roman"/>
                <w:color w:val="000000" w:themeColor="text1"/>
                <w:sz w:val="16"/>
                <w:szCs w:val="16"/>
              </w:rPr>
              <w:t>.</w:t>
            </w:r>
          </w:p>
        </w:tc>
        <w:tc>
          <w:tcPr>
            <w:tcW w:w="746" w:type="dxa"/>
          </w:tcPr>
          <w:p w14:paraId="3F890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w:t>
            </w:r>
          </w:p>
        </w:tc>
        <w:tc>
          <w:tcPr>
            <w:tcW w:w="746" w:type="dxa"/>
          </w:tcPr>
          <w:p w14:paraId="069813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13385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01.12.32</w:t>
            </w:r>
          </w:p>
        </w:tc>
        <w:tc>
          <w:tcPr>
            <w:tcW w:w="746" w:type="dxa"/>
          </w:tcPr>
          <w:p w14:paraId="74219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746" w:type="dxa"/>
          </w:tcPr>
          <w:p w14:paraId="48C35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c>
          <w:tcPr>
            <w:tcW w:w="746" w:type="dxa"/>
          </w:tcPr>
          <w:p w14:paraId="08349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648F42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746" w:type="dxa"/>
          </w:tcPr>
          <w:p w14:paraId="66E64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Сталь/дюраль</w:t>
            </w:r>
          </w:p>
        </w:tc>
        <w:tc>
          <w:tcPr>
            <w:tcW w:w="746" w:type="dxa"/>
          </w:tcPr>
          <w:p w14:paraId="2B553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Ми-3</w:t>
            </w:r>
          </w:p>
        </w:tc>
        <w:tc>
          <w:tcPr>
            <w:tcW w:w="2360" w:type="dxa"/>
          </w:tcPr>
          <w:p w14:paraId="7EEA0B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085DC13" w14:textId="77777777">
        <w:tc>
          <w:tcPr>
            <w:tcW w:w="1526" w:type="dxa"/>
          </w:tcPr>
          <w:p w14:paraId="44B80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AA55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8CA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7601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2М-34</w:t>
            </w:r>
          </w:p>
        </w:tc>
        <w:tc>
          <w:tcPr>
            <w:tcW w:w="746" w:type="dxa"/>
          </w:tcPr>
          <w:p w14:paraId="6D95E3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5090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D0E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w:t>
            </w:r>
          </w:p>
        </w:tc>
        <w:tc>
          <w:tcPr>
            <w:tcW w:w="746" w:type="dxa"/>
          </w:tcPr>
          <w:p w14:paraId="3BBEA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4тпл/1лпл</w:t>
            </w:r>
          </w:p>
        </w:tc>
        <w:tc>
          <w:tcPr>
            <w:tcW w:w="746" w:type="dxa"/>
          </w:tcPr>
          <w:p w14:paraId="1CE78E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455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271B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A8C3FE1" w14:textId="77777777">
        <w:tc>
          <w:tcPr>
            <w:tcW w:w="1526" w:type="dxa"/>
          </w:tcPr>
          <w:p w14:paraId="5A58C3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Двухместный</w:t>
            </w:r>
          </w:p>
        </w:tc>
        <w:tc>
          <w:tcPr>
            <w:tcW w:w="746" w:type="dxa"/>
          </w:tcPr>
          <w:p w14:paraId="1A4C5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ДИП1</w:t>
            </w:r>
          </w:p>
        </w:tc>
        <w:tc>
          <w:tcPr>
            <w:tcW w:w="746" w:type="dxa"/>
          </w:tcPr>
          <w:p w14:paraId="7CDDB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614BF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1.12.32</w:t>
            </w:r>
          </w:p>
        </w:tc>
        <w:tc>
          <w:tcPr>
            <w:tcW w:w="746" w:type="dxa"/>
          </w:tcPr>
          <w:p w14:paraId="3A87B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46" w:type="dxa"/>
          </w:tcPr>
          <w:p w14:paraId="047720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746" w:type="dxa"/>
          </w:tcPr>
          <w:p w14:paraId="69145E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300/400/</w:t>
            </w:r>
          </w:p>
        </w:tc>
        <w:tc>
          <w:tcPr>
            <w:tcW w:w="746" w:type="dxa"/>
          </w:tcPr>
          <w:p w14:paraId="4D6F7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w:t>
            </w:r>
          </w:p>
        </w:tc>
        <w:tc>
          <w:tcPr>
            <w:tcW w:w="746" w:type="dxa"/>
          </w:tcPr>
          <w:p w14:paraId="47D8B4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5F8E7E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ДИ4</w:t>
            </w:r>
          </w:p>
        </w:tc>
        <w:tc>
          <w:tcPr>
            <w:tcW w:w="2360" w:type="dxa"/>
          </w:tcPr>
          <w:p w14:paraId="78A48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w:t>
            </w:r>
            <w:proofErr w:type="spellStart"/>
            <w:r w:rsidRPr="007122AB">
              <w:rPr>
                <w:rFonts w:ascii="Times New Roman" w:hAnsi="Times New Roman"/>
                <w:color w:val="000000" w:themeColor="text1"/>
                <w:sz w:val="16"/>
                <w:szCs w:val="16"/>
              </w:rPr>
              <w:t>неудовл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r>
      <w:tr w:rsidR="001002C3" w:rsidRPr="007122AB" w14:paraId="6BA5CFD5" w14:textId="77777777">
        <w:tc>
          <w:tcPr>
            <w:tcW w:w="1526" w:type="dxa"/>
          </w:tcPr>
          <w:p w14:paraId="517B7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746" w:type="dxa"/>
          </w:tcPr>
          <w:p w14:paraId="084B2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М32</w:t>
            </w:r>
          </w:p>
        </w:tc>
        <w:tc>
          <w:tcPr>
            <w:tcW w:w="746" w:type="dxa"/>
          </w:tcPr>
          <w:p w14:paraId="4573A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08A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8CC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0DA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23B7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746" w:type="dxa"/>
          </w:tcPr>
          <w:p w14:paraId="7A3F9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ДРП/ и</w:t>
            </w:r>
          </w:p>
        </w:tc>
        <w:tc>
          <w:tcPr>
            <w:tcW w:w="746" w:type="dxa"/>
          </w:tcPr>
          <w:p w14:paraId="757C6D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41747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B8A17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выполняются в</w:t>
            </w:r>
          </w:p>
        </w:tc>
      </w:tr>
      <w:tr w:rsidR="001002C3" w:rsidRPr="007122AB" w14:paraId="492081B2" w14:textId="77777777">
        <w:tc>
          <w:tcPr>
            <w:tcW w:w="1526" w:type="dxa"/>
          </w:tcPr>
          <w:p w14:paraId="53231A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C95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w:t>
            </w:r>
          </w:p>
        </w:tc>
        <w:tc>
          <w:tcPr>
            <w:tcW w:w="746" w:type="dxa"/>
          </w:tcPr>
          <w:p w14:paraId="3A68C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5FEEFC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5079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4276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DBD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C98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7CECE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4F01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A0266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вариантах И13,</w:t>
            </w:r>
          </w:p>
        </w:tc>
      </w:tr>
      <w:tr w:rsidR="001002C3" w:rsidRPr="007122AB" w14:paraId="25B1B08C" w14:textId="77777777">
        <w:tc>
          <w:tcPr>
            <w:tcW w:w="1526" w:type="dxa"/>
          </w:tcPr>
          <w:p w14:paraId="7F1C6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A90B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746" w:type="dxa"/>
          </w:tcPr>
          <w:p w14:paraId="703C2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B5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29BB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0BA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1A06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8788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4A852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611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59EBC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ДП</w:t>
            </w:r>
          </w:p>
        </w:tc>
      </w:tr>
      <w:tr w:rsidR="001002C3" w:rsidRPr="007122AB" w14:paraId="1C5D2DDB" w14:textId="77777777">
        <w:tc>
          <w:tcPr>
            <w:tcW w:w="1526" w:type="dxa"/>
          </w:tcPr>
          <w:p w14:paraId="2CCEB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C1C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9CFE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CB1E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4E9C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C623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3D57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57F5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05622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0870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BC12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BD4C51C" w14:textId="77777777">
        <w:tc>
          <w:tcPr>
            <w:tcW w:w="1526" w:type="dxa"/>
          </w:tcPr>
          <w:p w14:paraId="3DB4E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FF02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759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15BF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6EE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849C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66D7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77C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или тяж.</w:t>
            </w:r>
          </w:p>
        </w:tc>
        <w:tc>
          <w:tcPr>
            <w:tcW w:w="746" w:type="dxa"/>
          </w:tcPr>
          <w:p w14:paraId="7FD0D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FD2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FC9CD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855B06F" w14:textId="77777777">
        <w:tc>
          <w:tcPr>
            <w:tcW w:w="1526" w:type="dxa"/>
          </w:tcPr>
          <w:p w14:paraId="7C9A6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2E6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D7F8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60C0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B47F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989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0AE8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873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7579FB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B927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13EFB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F659600" w14:textId="77777777">
        <w:tc>
          <w:tcPr>
            <w:tcW w:w="1526" w:type="dxa"/>
          </w:tcPr>
          <w:p w14:paraId="0A5E9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6. Одноместный</w:t>
            </w:r>
          </w:p>
        </w:tc>
        <w:tc>
          <w:tcPr>
            <w:tcW w:w="746" w:type="dxa"/>
          </w:tcPr>
          <w:p w14:paraId="695BD4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w:t>
            </w:r>
          </w:p>
        </w:tc>
        <w:tc>
          <w:tcPr>
            <w:tcW w:w="746" w:type="dxa"/>
          </w:tcPr>
          <w:p w14:paraId="02F29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2F689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1.10.32</w:t>
            </w:r>
          </w:p>
        </w:tc>
        <w:tc>
          <w:tcPr>
            <w:tcW w:w="746" w:type="dxa"/>
          </w:tcPr>
          <w:p w14:paraId="5B79B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746" w:type="dxa"/>
          </w:tcPr>
          <w:p w14:paraId="671862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400/5000</w:t>
            </w:r>
          </w:p>
        </w:tc>
        <w:tc>
          <w:tcPr>
            <w:tcW w:w="746" w:type="dxa"/>
          </w:tcPr>
          <w:p w14:paraId="2D8E4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час./</w:t>
            </w:r>
          </w:p>
        </w:tc>
        <w:tc>
          <w:tcPr>
            <w:tcW w:w="746" w:type="dxa"/>
          </w:tcPr>
          <w:p w14:paraId="4609C0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w:t>
            </w:r>
          </w:p>
        </w:tc>
        <w:tc>
          <w:tcPr>
            <w:tcW w:w="746" w:type="dxa"/>
          </w:tcPr>
          <w:p w14:paraId="7F31D6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360C95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И7, И12</w:t>
            </w:r>
          </w:p>
        </w:tc>
        <w:tc>
          <w:tcPr>
            <w:tcW w:w="2360" w:type="dxa"/>
          </w:tcPr>
          <w:p w14:paraId="1BC5D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9E2F675" w14:textId="77777777">
        <w:tc>
          <w:tcPr>
            <w:tcW w:w="1526" w:type="dxa"/>
          </w:tcPr>
          <w:p w14:paraId="47384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746" w:type="dxa"/>
          </w:tcPr>
          <w:p w14:paraId="542A8B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c>
          <w:tcPr>
            <w:tcW w:w="746" w:type="dxa"/>
          </w:tcPr>
          <w:p w14:paraId="7F435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55154D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4D7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746" w:type="dxa"/>
          </w:tcPr>
          <w:p w14:paraId="0F8BFD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87771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час.</w:t>
            </w:r>
          </w:p>
        </w:tc>
        <w:tc>
          <w:tcPr>
            <w:tcW w:w="746" w:type="dxa"/>
          </w:tcPr>
          <w:p w14:paraId="69455C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ДРП</w:t>
            </w:r>
          </w:p>
        </w:tc>
        <w:tc>
          <w:tcPr>
            <w:tcW w:w="746" w:type="dxa"/>
          </w:tcPr>
          <w:p w14:paraId="250102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32C72E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E5EE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B3DDF2A" w14:textId="77777777">
        <w:tc>
          <w:tcPr>
            <w:tcW w:w="1526" w:type="dxa"/>
          </w:tcPr>
          <w:p w14:paraId="5315B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10D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5C97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3EA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C0E26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E0AA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08F9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4EA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5AA2F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B72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3652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5AE24C3" w14:textId="77777777">
        <w:tc>
          <w:tcPr>
            <w:tcW w:w="1526" w:type="dxa"/>
          </w:tcPr>
          <w:p w14:paraId="2FA70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CC31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94E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8203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BCC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3294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26B08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375F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2A502A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7A36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B87D9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83D81EF" w14:textId="77777777">
        <w:tc>
          <w:tcPr>
            <w:tcW w:w="1526" w:type="dxa"/>
          </w:tcPr>
          <w:p w14:paraId="74C51C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Войсковой</w:t>
            </w:r>
          </w:p>
        </w:tc>
        <w:tc>
          <w:tcPr>
            <w:tcW w:w="746" w:type="dxa"/>
          </w:tcPr>
          <w:p w14:paraId="48EB6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w:t>
            </w:r>
          </w:p>
        </w:tc>
        <w:tc>
          <w:tcPr>
            <w:tcW w:w="746" w:type="dxa"/>
          </w:tcPr>
          <w:p w14:paraId="096B5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746" w:type="dxa"/>
          </w:tcPr>
          <w:p w14:paraId="770621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1.3.32</w:t>
            </w:r>
          </w:p>
        </w:tc>
        <w:tc>
          <w:tcPr>
            <w:tcW w:w="746" w:type="dxa"/>
          </w:tcPr>
          <w:p w14:paraId="414F6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746" w:type="dxa"/>
          </w:tcPr>
          <w:p w14:paraId="1EB81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746" w:type="dxa"/>
          </w:tcPr>
          <w:p w14:paraId="17C311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746" w:type="dxa"/>
          </w:tcPr>
          <w:p w14:paraId="3193E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11469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5BD2D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w:t>
            </w:r>
          </w:p>
        </w:tc>
        <w:tc>
          <w:tcPr>
            <w:tcW w:w="2360" w:type="dxa"/>
          </w:tcPr>
          <w:p w14:paraId="419D3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 сам. Р9</w:t>
            </w:r>
          </w:p>
        </w:tc>
      </w:tr>
      <w:tr w:rsidR="001002C3" w:rsidRPr="007122AB" w14:paraId="60A19208" w14:textId="77777777">
        <w:tc>
          <w:tcPr>
            <w:tcW w:w="1526" w:type="dxa"/>
          </w:tcPr>
          <w:p w14:paraId="7AAE7A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 (он же</w:t>
            </w:r>
          </w:p>
        </w:tc>
        <w:tc>
          <w:tcPr>
            <w:tcW w:w="746" w:type="dxa"/>
          </w:tcPr>
          <w:p w14:paraId="12ABC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2М26</w:t>
            </w:r>
          </w:p>
        </w:tc>
        <w:tc>
          <w:tcPr>
            <w:tcW w:w="746" w:type="dxa"/>
          </w:tcPr>
          <w:p w14:paraId="63D2D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B9FF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7D04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1A0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82EE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0C8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4D66C7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7AEF9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5029F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8C979ED" w14:textId="77777777">
        <w:tc>
          <w:tcPr>
            <w:tcW w:w="1526" w:type="dxa"/>
          </w:tcPr>
          <w:p w14:paraId="316C33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Химбоевик</w:t>
            </w:r>
            <w:proofErr w:type="spellEnd"/>
            <w:r w:rsidRPr="007122AB">
              <w:rPr>
                <w:rFonts w:ascii="Times New Roman" w:hAnsi="Times New Roman"/>
                <w:color w:val="000000" w:themeColor="text1"/>
                <w:sz w:val="16"/>
                <w:szCs w:val="16"/>
              </w:rPr>
              <w:t>,</w:t>
            </w:r>
          </w:p>
        </w:tc>
        <w:tc>
          <w:tcPr>
            <w:tcW w:w="746" w:type="dxa"/>
          </w:tcPr>
          <w:p w14:paraId="1EFE5D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56D7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A7E2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BBEF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4F160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22E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C6B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50D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80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46604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769E40C" w14:textId="77777777">
        <w:tc>
          <w:tcPr>
            <w:tcW w:w="1526" w:type="dxa"/>
          </w:tcPr>
          <w:p w14:paraId="24575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 борьбы с</w:t>
            </w:r>
          </w:p>
        </w:tc>
        <w:tc>
          <w:tcPr>
            <w:tcW w:w="746" w:type="dxa"/>
          </w:tcPr>
          <w:p w14:paraId="45CD8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4A54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9167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336C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CCB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9D2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A305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26B4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DC1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C8E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C9FC9AC" w14:textId="77777777">
        <w:tc>
          <w:tcPr>
            <w:tcW w:w="1526" w:type="dxa"/>
          </w:tcPr>
          <w:p w14:paraId="445E7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вредит. с/х и</w:t>
            </w:r>
          </w:p>
        </w:tc>
        <w:tc>
          <w:tcPr>
            <w:tcW w:w="746" w:type="dxa"/>
          </w:tcPr>
          <w:p w14:paraId="778B67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1A6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6B6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631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6D5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13A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14F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625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D2A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E43D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30C0FE1" w14:textId="77777777">
        <w:tc>
          <w:tcPr>
            <w:tcW w:w="1526" w:type="dxa"/>
          </w:tcPr>
          <w:p w14:paraId="7908B6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лесов, </w:t>
            </w:r>
            <w:proofErr w:type="spellStart"/>
            <w:r w:rsidRPr="007122AB">
              <w:rPr>
                <w:rFonts w:ascii="Times New Roman" w:hAnsi="Times New Roman"/>
                <w:color w:val="000000" w:themeColor="text1"/>
                <w:sz w:val="16"/>
                <w:szCs w:val="16"/>
              </w:rPr>
              <w:t>фотосъемщ</w:t>
            </w:r>
            <w:proofErr w:type="spellEnd"/>
            <w:r w:rsidRPr="007122AB">
              <w:rPr>
                <w:rFonts w:ascii="Times New Roman" w:hAnsi="Times New Roman"/>
                <w:color w:val="000000" w:themeColor="text1"/>
                <w:sz w:val="16"/>
                <w:szCs w:val="16"/>
              </w:rPr>
              <w:t>.,</w:t>
            </w:r>
          </w:p>
        </w:tc>
        <w:tc>
          <w:tcPr>
            <w:tcW w:w="746" w:type="dxa"/>
          </w:tcPr>
          <w:p w14:paraId="5E3C35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EFD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670B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29B1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908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D4B7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7EA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2102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78F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AE29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F185A64" w14:textId="77777777">
        <w:tc>
          <w:tcPr>
            <w:tcW w:w="1526" w:type="dxa"/>
          </w:tcPr>
          <w:p w14:paraId="20C9E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санитарный)</w:t>
            </w:r>
          </w:p>
        </w:tc>
        <w:tc>
          <w:tcPr>
            <w:tcW w:w="746" w:type="dxa"/>
          </w:tcPr>
          <w:p w14:paraId="7CCBC5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5A2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EA54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B5B2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8C4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F4BF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5C0A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F95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943E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82283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24DB5D" w14:textId="77777777">
        <w:tc>
          <w:tcPr>
            <w:tcW w:w="1526" w:type="dxa"/>
          </w:tcPr>
          <w:p w14:paraId="74508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Пикирующий</w:t>
            </w:r>
          </w:p>
        </w:tc>
        <w:tc>
          <w:tcPr>
            <w:tcW w:w="746" w:type="dxa"/>
          </w:tcPr>
          <w:p w14:paraId="4FB894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ПБ1</w:t>
            </w:r>
          </w:p>
        </w:tc>
        <w:tc>
          <w:tcPr>
            <w:tcW w:w="746" w:type="dxa"/>
          </w:tcPr>
          <w:p w14:paraId="7724D7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5B6B1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1.10.32</w:t>
            </w:r>
          </w:p>
        </w:tc>
        <w:tc>
          <w:tcPr>
            <w:tcW w:w="746" w:type="dxa"/>
          </w:tcPr>
          <w:p w14:paraId="376775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46" w:type="dxa"/>
          </w:tcPr>
          <w:p w14:paraId="17191A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746" w:type="dxa"/>
          </w:tcPr>
          <w:p w14:paraId="3916A4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746" w:type="dxa"/>
          </w:tcPr>
          <w:p w14:paraId="34B68B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5A1A6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4149D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360" w:type="dxa"/>
          </w:tcPr>
          <w:p w14:paraId="48BCA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 сам.</w:t>
            </w:r>
          </w:p>
        </w:tc>
      </w:tr>
      <w:tr w:rsidR="001002C3" w:rsidRPr="007122AB" w14:paraId="71F631BB" w14:textId="77777777">
        <w:tc>
          <w:tcPr>
            <w:tcW w:w="1526" w:type="dxa"/>
          </w:tcPr>
          <w:p w14:paraId="66004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746" w:type="dxa"/>
          </w:tcPr>
          <w:p w14:paraId="3318E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746" w:type="dxa"/>
          </w:tcPr>
          <w:p w14:paraId="5DB121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71BC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52BF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783C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A86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F79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17BC95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38B90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CBD37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DC0D56" w14:textId="77777777">
        <w:tc>
          <w:tcPr>
            <w:tcW w:w="1526" w:type="dxa"/>
          </w:tcPr>
          <w:p w14:paraId="0CDED9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Морской</w:t>
            </w:r>
          </w:p>
        </w:tc>
        <w:tc>
          <w:tcPr>
            <w:tcW w:w="746" w:type="dxa"/>
          </w:tcPr>
          <w:p w14:paraId="5C53A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МК1</w:t>
            </w:r>
          </w:p>
        </w:tc>
        <w:tc>
          <w:tcPr>
            <w:tcW w:w="746" w:type="dxa"/>
          </w:tcPr>
          <w:p w14:paraId="10FD70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65D5AF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1.12.32</w:t>
            </w:r>
          </w:p>
        </w:tc>
        <w:tc>
          <w:tcPr>
            <w:tcW w:w="746" w:type="dxa"/>
          </w:tcPr>
          <w:p w14:paraId="51A81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46" w:type="dxa"/>
          </w:tcPr>
          <w:p w14:paraId="3944F7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746" w:type="dxa"/>
          </w:tcPr>
          <w:p w14:paraId="25D967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20577D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577CC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7F46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5BC8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371790A" w14:textId="77777777">
        <w:tc>
          <w:tcPr>
            <w:tcW w:w="1526" w:type="dxa"/>
          </w:tcPr>
          <w:p w14:paraId="53F86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746" w:type="dxa"/>
          </w:tcPr>
          <w:p w14:paraId="7C80C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4М34/</w:t>
            </w:r>
          </w:p>
        </w:tc>
        <w:tc>
          <w:tcPr>
            <w:tcW w:w="746" w:type="dxa"/>
          </w:tcPr>
          <w:p w14:paraId="73068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1DAA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10CB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654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2A5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746" w:type="dxa"/>
          </w:tcPr>
          <w:p w14:paraId="7D86F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3D7A4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 дюраль</w:t>
            </w:r>
          </w:p>
        </w:tc>
        <w:tc>
          <w:tcPr>
            <w:tcW w:w="746" w:type="dxa"/>
          </w:tcPr>
          <w:p w14:paraId="17972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 МДР2</w:t>
            </w:r>
          </w:p>
        </w:tc>
        <w:tc>
          <w:tcPr>
            <w:tcW w:w="2360" w:type="dxa"/>
          </w:tcPr>
          <w:p w14:paraId="1D7242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5D078C4" w14:textId="77777777">
        <w:tc>
          <w:tcPr>
            <w:tcW w:w="1526" w:type="dxa"/>
          </w:tcPr>
          <w:p w14:paraId="733D5A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D29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8FB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2М35</w:t>
            </w:r>
          </w:p>
        </w:tc>
        <w:tc>
          <w:tcPr>
            <w:tcW w:w="746" w:type="dxa"/>
          </w:tcPr>
          <w:p w14:paraId="759BDD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854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31E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7292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78F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67CD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тяж.</w:t>
            </w:r>
          </w:p>
        </w:tc>
        <w:tc>
          <w:tcPr>
            <w:tcW w:w="746" w:type="dxa"/>
          </w:tcPr>
          <w:p w14:paraId="76401C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49C93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8ACBAC8" w14:textId="77777777">
        <w:tc>
          <w:tcPr>
            <w:tcW w:w="1526" w:type="dxa"/>
          </w:tcPr>
          <w:p w14:paraId="39B5C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4F8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0B9B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590A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E1F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837C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3997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6468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19F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4D0FA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B8717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2CB9E06" w14:textId="77777777">
        <w:tc>
          <w:tcPr>
            <w:tcW w:w="1526" w:type="dxa"/>
          </w:tcPr>
          <w:p w14:paraId="558657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DBC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FD12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B78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CABF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314E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A3EE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F16E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17B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w:t>
            </w:r>
          </w:p>
        </w:tc>
        <w:tc>
          <w:tcPr>
            <w:tcW w:w="746" w:type="dxa"/>
          </w:tcPr>
          <w:p w14:paraId="1C706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0122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01F9C80" w14:textId="77777777">
        <w:tc>
          <w:tcPr>
            <w:tcW w:w="1526" w:type="dxa"/>
          </w:tcPr>
          <w:p w14:paraId="087A4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Базовый</w:t>
            </w:r>
          </w:p>
        </w:tc>
        <w:tc>
          <w:tcPr>
            <w:tcW w:w="746" w:type="dxa"/>
          </w:tcPr>
          <w:p w14:paraId="55CB8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746" w:type="dxa"/>
          </w:tcPr>
          <w:p w14:paraId="7C553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6CE2C7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1.4.32</w:t>
            </w:r>
          </w:p>
        </w:tc>
        <w:tc>
          <w:tcPr>
            <w:tcW w:w="746" w:type="dxa"/>
          </w:tcPr>
          <w:p w14:paraId="52FB8A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746" w:type="dxa"/>
          </w:tcPr>
          <w:p w14:paraId="16F1B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w:t>
            </w:r>
          </w:p>
        </w:tc>
        <w:tc>
          <w:tcPr>
            <w:tcW w:w="746" w:type="dxa"/>
          </w:tcPr>
          <w:p w14:paraId="52A719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 час.</w:t>
            </w:r>
          </w:p>
        </w:tc>
        <w:tc>
          <w:tcPr>
            <w:tcW w:w="746" w:type="dxa"/>
          </w:tcPr>
          <w:p w14:paraId="6F8AF1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4060F6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62CB3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S-62</w:t>
            </w:r>
          </w:p>
        </w:tc>
        <w:tc>
          <w:tcPr>
            <w:tcW w:w="2360" w:type="dxa"/>
          </w:tcPr>
          <w:p w14:paraId="29BDC4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86117E" w14:textId="77777777">
        <w:tc>
          <w:tcPr>
            <w:tcW w:w="1526" w:type="dxa"/>
          </w:tcPr>
          <w:p w14:paraId="07C3C9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746" w:type="dxa"/>
          </w:tcPr>
          <w:p w14:paraId="7D28F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07E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2М22/</w:t>
            </w:r>
          </w:p>
        </w:tc>
        <w:tc>
          <w:tcPr>
            <w:tcW w:w="746" w:type="dxa"/>
          </w:tcPr>
          <w:p w14:paraId="52BF4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A26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81A29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AEE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18B7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338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7D0C4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A1C16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890771" w14:textId="77777777">
        <w:tc>
          <w:tcPr>
            <w:tcW w:w="1526" w:type="dxa"/>
          </w:tcPr>
          <w:p w14:paraId="6C59C7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443A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71F2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741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2М26</w:t>
            </w:r>
          </w:p>
        </w:tc>
        <w:tc>
          <w:tcPr>
            <w:tcW w:w="746" w:type="dxa"/>
          </w:tcPr>
          <w:p w14:paraId="228EAD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B001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2511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E1AB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1904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12AA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F154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F422BBE" w14:textId="77777777">
        <w:tc>
          <w:tcPr>
            <w:tcW w:w="1526" w:type="dxa"/>
          </w:tcPr>
          <w:p w14:paraId="79EF65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10 самолетов "Системы" - 5 совмещаются с соответствующими самолетами ГВФ.</w:t>
            </w:r>
          </w:p>
        </w:tc>
        <w:tc>
          <w:tcPr>
            <w:tcW w:w="746" w:type="dxa"/>
          </w:tcPr>
          <w:p w14:paraId="70188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B25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AFA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CEC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A7A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C50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A282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6F5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D08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2054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B20B114" w14:textId="77777777">
        <w:tc>
          <w:tcPr>
            <w:tcW w:w="1526" w:type="dxa"/>
          </w:tcPr>
          <w:p w14:paraId="3894E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Самолеты, усовершенствуемые из существующих.</w:t>
            </w:r>
          </w:p>
        </w:tc>
        <w:tc>
          <w:tcPr>
            <w:tcW w:w="746" w:type="dxa"/>
          </w:tcPr>
          <w:p w14:paraId="4423C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ABB1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BFE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D8B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52B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108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8C5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19E6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A36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B4B84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FF1610" w14:textId="77777777">
        <w:tc>
          <w:tcPr>
            <w:tcW w:w="1526" w:type="dxa"/>
          </w:tcPr>
          <w:p w14:paraId="10364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Тяжел.</w:t>
            </w:r>
          </w:p>
        </w:tc>
        <w:tc>
          <w:tcPr>
            <w:tcW w:w="746" w:type="dxa"/>
          </w:tcPr>
          <w:p w14:paraId="0CE71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746" w:type="dxa"/>
          </w:tcPr>
          <w:p w14:paraId="187819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526453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1.10.33</w:t>
            </w:r>
          </w:p>
        </w:tc>
        <w:tc>
          <w:tcPr>
            <w:tcW w:w="746" w:type="dxa"/>
          </w:tcPr>
          <w:p w14:paraId="6DF151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46" w:type="dxa"/>
          </w:tcPr>
          <w:p w14:paraId="5DCE63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746" w:type="dxa"/>
          </w:tcPr>
          <w:p w14:paraId="51C42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746" w:type="dxa"/>
          </w:tcPr>
          <w:p w14:paraId="6E53BA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 и</w:t>
            </w:r>
          </w:p>
        </w:tc>
        <w:tc>
          <w:tcPr>
            <w:tcW w:w="746" w:type="dxa"/>
          </w:tcPr>
          <w:p w14:paraId="1D26A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 дюраль</w:t>
            </w:r>
          </w:p>
        </w:tc>
        <w:tc>
          <w:tcPr>
            <w:tcW w:w="746" w:type="dxa"/>
          </w:tcPr>
          <w:p w14:paraId="6FE72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2856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2615C92" w14:textId="77777777">
        <w:tc>
          <w:tcPr>
            <w:tcW w:w="1526" w:type="dxa"/>
          </w:tcPr>
          <w:p w14:paraId="51FE1C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746" w:type="dxa"/>
          </w:tcPr>
          <w:p w14:paraId="1C9C5A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2М35</w:t>
            </w:r>
          </w:p>
        </w:tc>
        <w:tc>
          <w:tcPr>
            <w:tcW w:w="746" w:type="dxa"/>
          </w:tcPr>
          <w:p w14:paraId="3543D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067DB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FFD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5A6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C2B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4D50E2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32FB9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A759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723C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6AE362C" w14:textId="77777777">
        <w:tc>
          <w:tcPr>
            <w:tcW w:w="1526" w:type="dxa"/>
          </w:tcPr>
          <w:p w14:paraId="2C293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(он же пассажир.</w:t>
            </w:r>
          </w:p>
        </w:tc>
        <w:tc>
          <w:tcPr>
            <w:tcW w:w="746" w:type="dxa"/>
          </w:tcPr>
          <w:p w14:paraId="4451D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2715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78E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D08C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89D8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BA07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B639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4DC54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0E34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D0FEA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DF4284" w14:textId="77777777">
        <w:tc>
          <w:tcPr>
            <w:tcW w:w="1526" w:type="dxa"/>
          </w:tcPr>
          <w:p w14:paraId="74610F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Грузовой)</w:t>
            </w:r>
          </w:p>
        </w:tc>
        <w:tc>
          <w:tcPr>
            <w:tcW w:w="746" w:type="dxa"/>
          </w:tcPr>
          <w:p w14:paraId="4A8C2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659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5D40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87B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47B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855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4475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6B74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6FD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2E81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22A4376" w14:textId="77777777">
        <w:tc>
          <w:tcPr>
            <w:tcW w:w="1526" w:type="dxa"/>
          </w:tcPr>
          <w:p w14:paraId="1C07C9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Лег. </w:t>
            </w:r>
            <w:proofErr w:type="spellStart"/>
            <w:r w:rsidRPr="007122AB">
              <w:rPr>
                <w:rFonts w:ascii="Times New Roman" w:hAnsi="Times New Roman"/>
                <w:color w:val="000000" w:themeColor="text1"/>
                <w:sz w:val="16"/>
                <w:szCs w:val="16"/>
              </w:rPr>
              <w:t>бронир</w:t>
            </w:r>
            <w:proofErr w:type="spellEnd"/>
            <w:r w:rsidRPr="007122AB">
              <w:rPr>
                <w:rFonts w:ascii="Times New Roman" w:hAnsi="Times New Roman"/>
                <w:color w:val="000000" w:themeColor="text1"/>
                <w:sz w:val="16"/>
                <w:szCs w:val="16"/>
              </w:rPr>
              <w:t>.</w:t>
            </w:r>
          </w:p>
        </w:tc>
        <w:tc>
          <w:tcPr>
            <w:tcW w:w="746" w:type="dxa"/>
          </w:tcPr>
          <w:p w14:paraId="71CFBD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746" w:type="dxa"/>
          </w:tcPr>
          <w:p w14:paraId="499FC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111104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1.8.32</w:t>
            </w:r>
          </w:p>
        </w:tc>
        <w:tc>
          <w:tcPr>
            <w:tcW w:w="746" w:type="dxa"/>
          </w:tcPr>
          <w:p w14:paraId="54EE1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4D6FE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746" w:type="dxa"/>
          </w:tcPr>
          <w:p w14:paraId="583770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250/400</w:t>
            </w:r>
          </w:p>
        </w:tc>
        <w:tc>
          <w:tcPr>
            <w:tcW w:w="746" w:type="dxa"/>
          </w:tcPr>
          <w:p w14:paraId="61F36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52CB96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xml:space="preserve">. трубы, </w:t>
            </w:r>
          </w:p>
        </w:tc>
        <w:tc>
          <w:tcPr>
            <w:tcW w:w="746" w:type="dxa"/>
          </w:tcPr>
          <w:p w14:paraId="674A2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2360" w:type="dxa"/>
          </w:tcPr>
          <w:p w14:paraId="22E7D0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690310E" w14:textId="77777777">
        <w:tc>
          <w:tcPr>
            <w:tcW w:w="1526" w:type="dxa"/>
          </w:tcPr>
          <w:p w14:paraId="1A6AD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w:t>
            </w:r>
          </w:p>
        </w:tc>
        <w:tc>
          <w:tcPr>
            <w:tcW w:w="746" w:type="dxa"/>
          </w:tcPr>
          <w:p w14:paraId="10881A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w:t>
            </w:r>
          </w:p>
        </w:tc>
        <w:tc>
          <w:tcPr>
            <w:tcW w:w="746" w:type="dxa"/>
          </w:tcPr>
          <w:p w14:paraId="50778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9CA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ED8B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092D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162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3D49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или тяж.</w:t>
            </w:r>
          </w:p>
        </w:tc>
        <w:tc>
          <w:tcPr>
            <w:tcW w:w="746" w:type="dxa"/>
          </w:tcPr>
          <w:p w14:paraId="3F273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5D98C4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8BF1B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CE04DE0" w14:textId="77777777">
        <w:tc>
          <w:tcPr>
            <w:tcW w:w="1526" w:type="dxa"/>
          </w:tcPr>
          <w:p w14:paraId="44B6E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F85E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55EF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746" w:type="dxa"/>
          </w:tcPr>
          <w:p w14:paraId="08DFC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CF91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F1E8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68C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72A9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DE5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6025A7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FA4B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C4E3A8" w14:textId="77777777">
        <w:tc>
          <w:tcPr>
            <w:tcW w:w="1526" w:type="dxa"/>
          </w:tcPr>
          <w:p w14:paraId="14184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Легкий</w:t>
            </w:r>
          </w:p>
        </w:tc>
        <w:tc>
          <w:tcPr>
            <w:tcW w:w="746" w:type="dxa"/>
          </w:tcPr>
          <w:p w14:paraId="02263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6802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746" w:type="dxa"/>
          </w:tcPr>
          <w:p w14:paraId="2429C4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746" w:type="dxa"/>
          </w:tcPr>
          <w:p w14:paraId="7174E4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1.3.32</w:t>
            </w:r>
          </w:p>
        </w:tc>
        <w:tc>
          <w:tcPr>
            <w:tcW w:w="746" w:type="dxa"/>
          </w:tcPr>
          <w:p w14:paraId="2C63A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2-3000</w:t>
            </w:r>
          </w:p>
        </w:tc>
        <w:tc>
          <w:tcPr>
            <w:tcW w:w="746" w:type="dxa"/>
          </w:tcPr>
          <w:p w14:paraId="062B7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46" w:type="dxa"/>
          </w:tcPr>
          <w:p w14:paraId="4D979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46" w:type="dxa"/>
          </w:tcPr>
          <w:p w14:paraId="4B12BE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292E47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2360" w:type="dxa"/>
          </w:tcPr>
          <w:p w14:paraId="6F787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C901828" w14:textId="77777777">
        <w:tc>
          <w:tcPr>
            <w:tcW w:w="1526" w:type="dxa"/>
          </w:tcPr>
          <w:p w14:paraId="6E5EAA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w:t>
            </w:r>
          </w:p>
        </w:tc>
        <w:tc>
          <w:tcPr>
            <w:tcW w:w="746" w:type="dxa"/>
          </w:tcPr>
          <w:p w14:paraId="40C0D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746" w:type="dxa"/>
          </w:tcPr>
          <w:p w14:paraId="41456A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1CE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85EC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D92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83F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01E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539E8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02F7D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80B8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EBCFEB1" w14:textId="77777777">
        <w:tc>
          <w:tcPr>
            <w:tcW w:w="1526" w:type="dxa"/>
          </w:tcPr>
          <w:p w14:paraId="6EFB9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 Самолеты получаемые от ГВФ (строятся по плану ВОГВФ).</w:t>
            </w:r>
          </w:p>
        </w:tc>
        <w:tc>
          <w:tcPr>
            <w:tcW w:w="746" w:type="dxa"/>
          </w:tcPr>
          <w:p w14:paraId="44F811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C77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AE4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5091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EB2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04FA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1B8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CC1D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9214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B275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E63EABA" w14:textId="77777777">
        <w:tc>
          <w:tcPr>
            <w:tcW w:w="1526" w:type="dxa"/>
          </w:tcPr>
          <w:p w14:paraId="3383C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Тяжел.</w:t>
            </w:r>
          </w:p>
        </w:tc>
        <w:tc>
          <w:tcPr>
            <w:tcW w:w="746" w:type="dxa"/>
          </w:tcPr>
          <w:p w14:paraId="6296DF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ТБ8</w:t>
            </w:r>
          </w:p>
        </w:tc>
        <w:tc>
          <w:tcPr>
            <w:tcW w:w="746" w:type="dxa"/>
          </w:tcPr>
          <w:p w14:paraId="50FD45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746" w:type="dxa"/>
          </w:tcPr>
          <w:p w14:paraId="1F714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1.10.33</w:t>
            </w:r>
          </w:p>
        </w:tc>
        <w:tc>
          <w:tcPr>
            <w:tcW w:w="746" w:type="dxa"/>
          </w:tcPr>
          <w:p w14:paraId="586582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46" w:type="dxa"/>
          </w:tcPr>
          <w:p w14:paraId="4947C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746" w:type="dxa"/>
          </w:tcPr>
          <w:p w14:paraId="60DC9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746" w:type="dxa"/>
          </w:tcPr>
          <w:p w14:paraId="0A2C80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мен.</w:t>
            </w:r>
          </w:p>
        </w:tc>
        <w:tc>
          <w:tcPr>
            <w:tcW w:w="746" w:type="dxa"/>
          </w:tcPr>
          <w:p w14:paraId="683FC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192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68A9A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F9927E4" w14:textId="77777777">
        <w:tc>
          <w:tcPr>
            <w:tcW w:w="1526" w:type="dxa"/>
          </w:tcPr>
          <w:p w14:paraId="4A309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 (он</w:t>
            </w:r>
          </w:p>
        </w:tc>
        <w:tc>
          <w:tcPr>
            <w:tcW w:w="746" w:type="dxa"/>
          </w:tcPr>
          <w:p w14:paraId="46344F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746" w:type="dxa"/>
          </w:tcPr>
          <w:p w14:paraId="5FCC4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200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BD4B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14E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DFA9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746" w:type="dxa"/>
          </w:tcPr>
          <w:p w14:paraId="70733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4-5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746" w:type="dxa"/>
          </w:tcPr>
          <w:p w14:paraId="0E290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757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DC5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568AA79" w14:textId="77777777">
        <w:tc>
          <w:tcPr>
            <w:tcW w:w="1526" w:type="dxa"/>
          </w:tcPr>
          <w:p w14:paraId="219C2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 пассаж. груз.)</w:t>
            </w:r>
          </w:p>
        </w:tc>
        <w:tc>
          <w:tcPr>
            <w:tcW w:w="746" w:type="dxa"/>
          </w:tcPr>
          <w:p w14:paraId="7F846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B56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2B0B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70B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75A6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C0BB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E14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тяж.</w:t>
            </w:r>
          </w:p>
        </w:tc>
        <w:tc>
          <w:tcPr>
            <w:tcW w:w="746" w:type="dxa"/>
          </w:tcPr>
          <w:p w14:paraId="335BC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61F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34191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D3E3EA" w14:textId="77777777">
        <w:tc>
          <w:tcPr>
            <w:tcW w:w="1526" w:type="dxa"/>
          </w:tcPr>
          <w:p w14:paraId="7B60D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C85C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676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4339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FF26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813B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E1F3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532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124B8F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C417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8B9B1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5F13D0E" w14:textId="77777777">
        <w:tc>
          <w:tcPr>
            <w:tcW w:w="1526" w:type="dxa"/>
          </w:tcPr>
          <w:p w14:paraId="49DB55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Тяжел.</w:t>
            </w:r>
          </w:p>
        </w:tc>
        <w:tc>
          <w:tcPr>
            <w:tcW w:w="746" w:type="dxa"/>
          </w:tcPr>
          <w:p w14:paraId="7E5A09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ТБ9</w:t>
            </w:r>
          </w:p>
        </w:tc>
        <w:tc>
          <w:tcPr>
            <w:tcW w:w="746" w:type="dxa"/>
          </w:tcPr>
          <w:p w14:paraId="5F2FD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746" w:type="dxa"/>
          </w:tcPr>
          <w:p w14:paraId="49C91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1.5.34</w:t>
            </w:r>
          </w:p>
        </w:tc>
        <w:tc>
          <w:tcPr>
            <w:tcW w:w="746" w:type="dxa"/>
          </w:tcPr>
          <w:p w14:paraId="43036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46" w:type="dxa"/>
          </w:tcPr>
          <w:p w14:paraId="740D0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746" w:type="dxa"/>
          </w:tcPr>
          <w:p w14:paraId="33392C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746" w:type="dxa"/>
          </w:tcPr>
          <w:p w14:paraId="336A58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w:t>
            </w:r>
          </w:p>
        </w:tc>
        <w:tc>
          <w:tcPr>
            <w:tcW w:w="746" w:type="dxa"/>
          </w:tcPr>
          <w:p w14:paraId="11C26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Сталь </w:t>
            </w:r>
            <w:proofErr w:type="spellStart"/>
            <w:r w:rsidRPr="007122AB">
              <w:rPr>
                <w:rFonts w:ascii="Times New Roman" w:hAnsi="Times New Roman"/>
                <w:color w:val="000000" w:themeColor="text1"/>
                <w:sz w:val="16"/>
                <w:szCs w:val="16"/>
              </w:rPr>
              <w:t>осн</w:t>
            </w:r>
            <w:proofErr w:type="spellEnd"/>
            <w:r w:rsidRPr="007122AB">
              <w:rPr>
                <w:rFonts w:ascii="Times New Roman" w:hAnsi="Times New Roman"/>
                <w:color w:val="000000" w:themeColor="text1"/>
                <w:sz w:val="16"/>
                <w:szCs w:val="16"/>
              </w:rPr>
              <w:t>. мат.,</w:t>
            </w:r>
          </w:p>
        </w:tc>
        <w:tc>
          <w:tcPr>
            <w:tcW w:w="746" w:type="dxa"/>
          </w:tcPr>
          <w:p w14:paraId="6AC0D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42A4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D54BF89" w14:textId="77777777">
        <w:tc>
          <w:tcPr>
            <w:tcW w:w="1526" w:type="dxa"/>
          </w:tcPr>
          <w:p w14:paraId="72C02F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 (он</w:t>
            </w:r>
          </w:p>
        </w:tc>
        <w:tc>
          <w:tcPr>
            <w:tcW w:w="746" w:type="dxa"/>
          </w:tcPr>
          <w:p w14:paraId="51FBA2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746" w:type="dxa"/>
          </w:tcPr>
          <w:p w14:paraId="3D8BE3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B07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E8E7F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C1F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AC93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w:t>
            </w:r>
          </w:p>
        </w:tc>
        <w:tc>
          <w:tcPr>
            <w:tcW w:w="746" w:type="dxa"/>
          </w:tcPr>
          <w:p w14:paraId="09903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 и</w:t>
            </w:r>
          </w:p>
        </w:tc>
        <w:tc>
          <w:tcPr>
            <w:tcW w:w="746" w:type="dxa"/>
          </w:tcPr>
          <w:p w14:paraId="7CC9B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вспом. мат. дюраль</w:t>
            </w:r>
          </w:p>
        </w:tc>
        <w:tc>
          <w:tcPr>
            <w:tcW w:w="746" w:type="dxa"/>
          </w:tcPr>
          <w:p w14:paraId="61BD9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2937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8E0108D" w14:textId="77777777">
        <w:tc>
          <w:tcPr>
            <w:tcW w:w="1526" w:type="dxa"/>
          </w:tcPr>
          <w:p w14:paraId="2744A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 пассаж. груз.)</w:t>
            </w:r>
          </w:p>
        </w:tc>
        <w:tc>
          <w:tcPr>
            <w:tcW w:w="746" w:type="dxa"/>
          </w:tcPr>
          <w:p w14:paraId="0F915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7ED8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493E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F74B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105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C63B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E6C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w:t>
            </w:r>
          </w:p>
        </w:tc>
        <w:tc>
          <w:tcPr>
            <w:tcW w:w="746" w:type="dxa"/>
          </w:tcPr>
          <w:p w14:paraId="7E2E6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AE4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A0E1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716D8A6" w14:textId="77777777">
        <w:tc>
          <w:tcPr>
            <w:tcW w:w="1526" w:type="dxa"/>
          </w:tcPr>
          <w:p w14:paraId="36E7B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Лег. </w:t>
            </w:r>
            <w:proofErr w:type="spellStart"/>
            <w:r w:rsidRPr="007122AB">
              <w:rPr>
                <w:rFonts w:ascii="Times New Roman" w:hAnsi="Times New Roman"/>
                <w:color w:val="000000" w:themeColor="text1"/>
                <w:sz w:val="16"/>
                <w:szCs w:val="16"/>
              </w:rPr>
              <w:t>химич</w:t>
            </w:r>
            <w:proofErr w:type="spellEnd"/>
            <w:r w:rsidRPr="007122AB">
              <w:rPr>
                <w:rFonts w:ascii="Times New Roman" w:hAnsi="Times New Roman"/>
                <w:color w:val="000000" w:themeColor="text1"/>
                <w:sz w:val="16"/>
                <w:szCs w:val="16"/>
              </w:rPr>
              <w:t>.</w:t>
            </w:r>
          </w:p>
        </w:tc>
        <w:tc>
          <w:tcPr>
            <w:tcW w:w="746" w:type="dxa"/>
          </w:tcPr>
          <w:p w14:paraId="71F65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ЛХI</w:t>
            </w:r>
          </w:p>
        </w:tc>
        <w:tc>
          <w:tcPr>
            <w:tcW w:w="746" w:type="dxa"/>
          </w:tcPr>
          <w:p w14:paraId="13833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746" w:type="dxa"/>
          </w:tcPr>
          <w:p w14:paraId="2C50D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05F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746" w:type="dxa"/>
          </w:tcPr>
          <w:p w14:paraId="63FD23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200/250</w:t>
            </w:r>
          </w:p>
        </w:tc>
        <w:tc>
          <w:tcPr>
            <w:tcW w:w="746" w:type="dxa"/>
          </w:tcPr>
          <w:p w14:paraId="01417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w:t>
            </w:r>
          </w:p>
        </w:tc>
        <w:tc>
          <w:tcPr>
            <w:tcW w:w="746" w:type="dxa"/>
          </w:tcPr>
          <w:p w14:paraId="4881E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3B128E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51E85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360" w:type="dxa"/>
          </w:tcPr>
          <w:p w14:paraId="5A5CD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4DC2282" w14:textId="77777777">
        <w:tc>
          <w:tcPr>
            <w:tcW w:w="1526" w:type="dxa"/>
          </w:tcPr>
          <w:p w14:paraId="02823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боевик (он же</w:t>
            </w:r>
          </w:p>
        </w:tc>
        <w:tc>
          <w:tcPr>
            <w:tcW w:w="746" w:type="dxa"/>
          </w:tcPr>
          <w:p w14:paraId="57A80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2М26</w:t>
            </w:r>
          </w:p>
        </w:tc>
        <w:tc>
          <w:tcPr>
            <w:tcW w:w="746" w:type="dxa"/>
          </w:tcPr>
          <w:p w14:paraId="64614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2D072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D481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8366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0C4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305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32D0F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15EC90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F6E4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89037A4" w14:textId="77777777">
        <w:tc>
          <w:tcPr>
            <w:tcW w:w="1526" w:type="dxa"/>
          </w:tcPr>
          <w:p w14:paraId="7C24A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 мест. авиац.)</w:t>
            </w:r>
          </w:p>
        </w:tc>
        <w:tc>
          <w:tcPr>
            <w:tcW w:w="746" w:type="dxa"/>
          </w:tcPr>
          <w:p w14:paraId="25B07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0FB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CFE2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316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1735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6C6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C316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6189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DCD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9CEAB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E0E397B" w14:textId="77777777">
        <w:tc>
          <w:tcPr>
            <w:tcW w:w="1526" w:type="dxa"/>
          </w:tcPr>
          <w:p w14:paraId="4FB385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С-т связи</w:t>
            </w:r>
          </w:p>
        </w:tc>
        <w:tc>
          <w:tcPr>
            <w:tcW w:w="746" w:type="dxa"/>
          </w:tcPr>
          <w:p w14:paraId="350C5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ЛС1</w:t>
            </w:r>
          </w:p>
        </w:tc>
        <w:tc>
          <w:tcPr>
            <w:tcW w:w="746" w:type="dxa"/>
          </w:tcPr>
          <w:p w14:paraId="3482C7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746" w:type="dxa"/>
          </w:tcPr>
          <w:p w14:paraId="18377B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1.8.31</w:t>
            </w:r>
          </w:p>
        </w:tc>
        <w:tc>
          <w:tcPr>
            <w:tcW w:w="746" w:type="dxa"/>
          </w:tcPr>
          <w:p w14:paraId="239380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746" w:type="dxa"/>
          </w:tcPr>
          <w:p w14:paraId="6CA6D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tc>
        <w:tc>
          <w:tcPr>
            <w:tcW w:w="746" w:type="dxa"/>
          </w:tcPr>
          <w:p w14:paraId="56FB2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час.</w:t>
            </w:r>
          </w:p>
        </w:tc>
        <w:tc>
          <w:tcPr>
            <w:tcW w:w="746" w:type="dxa"/>
          </w:tcPr>
          <w:p w14:paraId="7BF3D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53E80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08AC2F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B5E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4911784" w14:textId="77777777">
        <w:tc>
          <w:tcPr>
            <w:tcW w:w="1526" w:type="dxa"/>
          </w:tcPr>
          <w:p w14:paraId="32C01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 он же с-т</w:t>
            </w:r>
          </w:p>
        </w:tc>
        <w:tc>
          <w:tcPr>
            <w:tcW w:w="746" w:type="dxa"/>
          </w:tcPr>
          <w:p w14:paraId="0E648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М48</w:t>
            </w:r>
          </w:p>
        </w:tc>
        <w:tc>
          <w:tcPr>
            <w:tcW w:w="746" w:type="dxa"/>
          </w:tcPr>
          <w:p w14:paraId="40D08C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AA76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9C2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5E54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CAA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8CA5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3AA78E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4907F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109E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1A7490C" w14:textId="77777777">
        <w:tc>
          <w:tcPr>
            <w:tcW w:w="1526" w:type="dxa"/>
          </w:tcPr>
          <w:p w14:paraId="4D3FCC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туризма, спорта,</w:t>
            </w:r>
          </w:p>
        </w:tc>
        <w:tc>
          <w:tcPr>
            <w:tcW w:w="746" w:type="dxa"/>
          </w:tcPr>
          <w:p w14:paraId="2393B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C01B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F6B0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E8BC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945E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ECE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802F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CB8E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0A6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5142A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0F5E485" w14:textId="77777777">
        <w:tc>
          <w:tcPr>
            <w:tcW w:w="1526" w:type="dxa"/>
          </w:tcPr>
          <w:p w14:paraId="69AA4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лег. </w:t>
            </w:r>
            <w:proofErr w:type="spellStart"/>
            <w:r w:rsidRPr="007122AB">
              <w:rPr>
                <w:rFonts w:ascii="Times New Roman" w:hAnsi="Times New Roman"/>
                <w:color w:val="000000" w:themeColor="text1"/>
                <w:sz w:val="16"/>
                <w:szCs w:val="16"/>
              </w:rPr>
              <w:t>Санитарн</w:t>
            </w:r>
            <w:proofErr w:type="spellEnd"/>
            <w:r w:rsidRPr="007122AB">
              <w:rPr>
                <w:rFonts w:ascii="Times New Roman" w:hAnsi="Times New Roman"/>
                <w:color w:val="000000" w:themeColor="text1"/>
                <w:sz w:val="16"/>
                <w:szCs w:val="16"/>
              </w:rPr>
              <w:t>.,</w:t>
            </w:r>
          </w:p>
        </w:tc>
        <w:tc>
          <w:tcPr>
            <w:tcW w:w="746" w:type="dxa"/>
          </w:tcPr>
          <w:p w14:paraId="458C3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621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17DA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2DA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A1F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30DB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724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6EF6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FA4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6CA7B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26DD79A" w14:textId="77777777">
        <w:tc>
          <w:tcPr>
            <w:tcW w:w="1526" w:type="dxa"/>
          </w:tcPr>
          <w:p w14:paraId="344CA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учебно-</w:t>
            </w:r>
            <w:proofErr w:type="spellStart"/>
            <w:r w:rsidRPr="007122AB">
              <w:rPr>
                <w:rFonts w:ascii="Times New Roman" w:hAnsi="Times New Roman"/>
                <w:color w:val="000000" w:themeColor="text1"/>
                <w:sz w:val="16"/>
                <w:szCs w:val="16"/>
              </w:rPr>
              <w:t>тренир</w:t>
            </w:r>
            <w:proofErr w:type="spellEnd"/>
            <w:r w:rsidRPr="007122AB">
              <w:rPr>
                <w:rFonts w:ascii="Times New Roman" w:hAnsi="Times New Roman"/>
                <w:color w:val="000000" w:themeColor="text1"/>
                <w:sz w:val="16"/>
                <w:szCs w:val="16"/>
              </w:rPr>
              <w:t>.</w:t>
            </w:r>
          </w:p>
        </w:tc>
        <w:tc>
          <w:tcPr>
            <w:tcW w:w="746" w:type="dxa"/>
          </w:tcPr>
          <w:p w14:paraId="7BB049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FEA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DCF5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D39F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9E9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4503E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8BF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4D68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9EA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23E13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35BC2BB" w14:textId="77777777">
        <w:tc>
          <w:tcPr>
            <w:tcW w:w="1526" w:type="dxa"/>
          </w:tcPr>
          <w:p w14:paraId="0AF50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т.д.</w:t>
            </w:r>
          </w:p>
        </w:tc>
        <w:tc>
          <w:tcPr>
            <w:tcW w:w="746" w:type="dxa"/>
          </w:tcPr>
          <w:p w14:paraId="7644C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ACEE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577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CF87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8205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199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C6CE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DDF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229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3EE2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D8E684E" w14:textId="77777777">
        <w:tc>
          <w:tcPr>
            <w:tcW w:w="1526" w:type="dxa"/>
          </w:tcPr>
          <w:p w14:paraId="324A5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С-т связи</w:t>
            </w:r>
          </w:p>
        </w:tc>
        <w:tc>
          <w:tcPr>
            <w:tcW w:w="746" w:type="dxa"/>
          </w:tcPr>
          <w:p w14:paraId="69997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СС1</w:t>
            </w:r>
          </w:p>
        </w:tc>
        <w:tc>
          <w:tcPr>
            <w:tcW w:w="746" w:type="dxa"/>
          </w:tcPr>
          <w:p w14:paraId="3E7013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746" w:type="dxa"/>
          </w:tcPr>
          <w:p w14:paraId="6C9FA0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1.10.31</w:t>
            </w:r>
          </w:p>
        </w:tc>
        <w:tc>
          <w:tcPr>
            <w:tcW w:w="746" w:type="dxa"/>
          </w:tcPr>
          <w:p w14:paraId="42D63F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746" w:type="dxa"/>
          </w:tcPr>
          <w:p w14:paraId="304970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746" w:type="dxa"/>
          </w:tcPr>
          <w:p w14:paraId="0C74A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746" w:type="dxa"/>
          </w:tcPr>
          <w:p w14:paraId="73744D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746" w:type="dxa"/>
          </w:tcPr>
          <w:p w14:paraId="4FDFF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46" w:type="dxa"/>
          </w:tcPr>
          <w:p w14:paraId="5E4D9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360" w:type="dxa"/>
          </w:tcPr>
          <w:p w14:paraId="61852F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5513223" w14:textId="77777777">
        <w:tc>
          <w:tcPr>
            <w:tcW w:w="1526" w:type="dxa"/>
          </w:tcPr>
          <w:p w14:paraId="6B445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(штабной) он же</w:t>
            </w:r>
          </w:p>
        </w:tc>
        <w:tc>
          <w:tcPr>
            <w:tcW w:w="746" w:type="dxa"/>
          </w:tcPr>
          <w:p w14:paraId="375936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746" w:type="dxa"/>
          </w:tcPr>
          <w:p w14:paraId="7497A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43B3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46F2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D9A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DBED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33F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w:t>
            </w:r>
          </w:p>
        </w:tc>
        <w:tc>
          <w:tcPr>
            <w:tcW w:w="746" w:type="dxa"/>
          </w:tcPr>
          <w:p w14:paraId="7AB29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46" w:type="dxa"/>
          </w:tcPr>
          <w:p w14:paraId="30E82E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6521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6D80F3" w14:textId="77777777">
        <w:tc>
          <w:tcPr>
            <w:tcW w:w="1526" w:type="dxa"/>
          </w:tcPr>
          <w:p w14:paraId="36FD1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 </w:t>
            </w: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 авиац.,</w:t>
            </w:r>
          </w:p>
        </w:tc>
        <w:tc>
          <w:tcPr>
            <w:tcW w:w="746" w:type="dxa"/>
          </w:tcPr>
          <w:p w14:paraId="27859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2F45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797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C946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ACE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61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BCE0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9EEC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0F2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852CC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9F88C7" w14:textId="77777777">
        <w:tc>
          <w:tcPr>
            <w:tcW w:w="1526" w:type="dxa"/>
          </w:tcPr>
          <w:p w14:paraId="62F8D3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lastRenderedPageBreak/>
              <w:t>легк</w:t>
            </w:r>
            <w:proofErr w:type="spellEnd"/>
            <w:r w:rsidRPr="007122AB">
              <w:rPr>
                <w:rFonts w:ascii="Times New Roman" w:hAnsi="Times New Roman"/>
                <w:color w:val="000000" w:themeColor="text1"/>
                <w:sz w:val="16"/>
                <w:szCs w:val="16"/>
              </w:rPr>
              <w:t>., трансп. и</w:t>
            </w:r>
          </w:p>
        </w:tc>
        <w:tc>
          <w:tcPr>
            <w:tcW w:w="746" w:type="dxa"/>
          </w:tcPr>
          <w:p w14:paraId="7ECD2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E51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83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4AB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652F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7D27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0B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C26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9E2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D043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A28CCB" w14:textId="77777777">
        <w:tc>
          <w:tcPr>
            <w:tcW w:w="1526" w:type="dxa"/>
          </w:tcPr>
          <w:p w14:paraId="614F37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 д.</w:t>
            </w:r>
          </w:p>
        </w:tc>
        <w:tc>
          <w:tcPr>
            <w:tcW w:w="746" w:type="dxa"/>
          </w:tcPr>
          <w:p w14:paraId="37199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D2A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9ED4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45A9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794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251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2EFD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B3B0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99CD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77431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7A002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План экспериментального самолетостроения ВВС 1932-1934/35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522"/>
        <w:gridCol w:w="882"/>
        <w:gridCol w:w="1565"/>
        <w:gridCol w:w="768"/>
        <w:gridCol w:w="768"/>
        <w:gridCol w:w="768"/>
        <w:gridCol w:w="768"/>
        <w:gridCol w:w="768"/>
        <w:gridCol w:w="768"/>
      </w:tblGrid>
      <w:tr w:rsidR="001002C3" w:rsidRPr="007122AB" w14:paraId="7183C3FC" w14:textId="77777777">
        <w:tc>
          <w:tcPr>
            <w:tcW w:w="1668" w:type="dxa"/>
          </w:tcPr>
          <w:p w14:paraId="72856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Двухмест</w:t>
            </w:r>
            <w:proofErr w:type="spellEnd"/>
            <w:r w:rsidRPr="007122AB">
              <w:rPr>
                <w:rFonts w:ascii="Times New Roman" w:hAnsi="Times New Roman"/>
                <w:color w:val="000000" w:themeColor="text1"/>
                <w:sz w:val="16"/>
                <w:szCs w:val="16"/>
              </w:rPr>
              <w:t>.</w:t>
            </w:r>
          </w:p>
        </w:tc>
        <w:tc>
          <w:tcPr>
            <w:tcW w:w="1522" w:type="dxa"/>
          </w:tcPr>
          <w:p w14:paraId="025EC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ДИП2</w:t>
            </w:r>
          </w:p>
        </w:tc>
        <w:tc>
          <w:tcPr>
            <w:tcW w:w="882" w:type="dxa"/>
          </w:tcPr>
          <w:p w14:paraId="09B02B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БНК</w:t>
            </w:r>
          </w:p>
        </w:tc>
        <w:tc>
          <w:tcPr>
            <w:tcW w:w="1565" w:type="dxa"/>
          </w:tcPr>
          <w:p w14:paraId="467D2D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1.5.32</w:t>
            </w:r>
          </w:p>
        </w:tc>
        <w:tc>
          <w:tcPr>
            <w:tcW w:w="768" w:type="dxa"/>
          </w:tcPr>
          <w:p w14:paraId="4B4037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768" w:type="dxa"/>
          </w:tcPr>
          <w:p w14:paraId="7996B9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768" w:type="dxa"/>
          </w:tcPr>
          <w:p w14:paraId="2661C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768" w:type="dxa"/>
          </w:tcPr>
          <w:p w14:paraId="0FFEB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автом</w:t>
            </w:r>
            <w:proofErr w:type="spellEnd"/>
            <w:r w:rsidRPr="007122AB">
              <w:rPr>
                <w:rFonts w:ascii="Times New Roman" w:hAnsi="Times New Roman"/>
                <w:color w:val="000000" w:themeColor="text1"/>
                <w:sz w:val="16"/>
                <w:szCs w:val="16"/>
              </w:rPr>
              <w:t>.</w:t>
            </w:r>
          </w:p>
        </w:tc>
        <w:tc>
          <w:tcPr>
            <w:tcW w:w="768" w:type="dxa"/>
          </w:tcPr>
          <w:p w14:paraId="3983E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Сварн</w:t>
            </w:r>
            <w:proofErr w:type="spellEnd"/>
            <w:r w:rsidRPr="007122AB">
              <w:rPr>
                <w:rFonts w:ascii="Times New Roman" w:hAnsi="Times New Roman"/>
                <w:color w:val="000000" w:themeColor="text1"/>
                <w:sz w:val="16"/>
                <w:szCs w:val="16"/>
              </w:rPr>
              <w:t>. трубы,</w:t>
            </w:r>
          </w:p>
        </w:tc>
        <w:tc>
          <w:tcPr>
            <w:tcW w:w="768" w:type="dxa"/>
          </w:tcPr>
          <w:p w14:paraId="14FAB8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 схемы</w:t>
            </w:r>
          </w:p>
        </w:tc>
      </w:tr>
      <w:tr w:rsidR="001002C3" w:rsidRPr="007122AB" w14:paraId="132D9A86" w14:textId="77777777">
        <w:tc>
          <w:tcPr>
            <w:tcW w:w="1668" w:type="dxa"/>
          </w:tcPr>
          <w:p w14:paraId="670286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522" w:type="dxa"/>
          </w:tcPr>
          <w:p w14:paraId="66DE2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74788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4E6033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B9C03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B4DCD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2DDA7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768" w:type="dxa"/>
          </w:tcPr>
          <w:p w14:paraId="4C62C0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768" w:type="dxa"/>
          </w:tcPr>
          <w:p w14:paraId="0388D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68" w:type="dxa"/>
          </w:tcPr>
          <w:p w14:paraId="345099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93AD67" w14:textId="77777777">
        <w:tc>
          <w:tcPr>
            <w:tcW w:w="1668" w:type="dxa"/>
          </w:tcPr>
          <w:p w14:paraId="578DC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75C364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3ECCB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0E357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511B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3BD0B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66C19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C27D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пул.</w:t>
            </w:r>
          </w:p>
        </w:tc>
        <w:tc>
          <w:tcPr>
            <w:tcW w:w="768" w:type="dxa"/>
          </w:tcPr>
          <w:p w14:paraId="1EF9F2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5E77C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421897F" w14:textId="77777777">
        <w:tc>
          <w:tcPr>
            <w:tcW w:w="1668" w:type="dxa"/>
          </w:tcPr>
          <w:p w14:paraId="587027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Самолет</w:t>
            </w:r>
          </w:p>
        </w:tc>
        <w:tc>
          <w:tcPr>
            <w:tcW w:w="1522" w:type="dxa"/>
          </w:tcPr>
          <w:p w14:paraId="61A286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применения более 10000 м, с-т тоннажа двухместный истребитель; требования устанавливаются особо).</w:t>
            </w:r>
          </w:p>
        </w:tc>
        <w:tc>
          <w:tcPr>
            <w:tcW w:w="882" w:type="dxa"/>
          </w:tcPr>
          <w:p w14:paraId="331C4D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5FCCC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A209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C59E9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0690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8DF49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9170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3EE9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F8A4CAF" w14:textId="77777777">
        <w:tc>
          <w:tcPr>
            <w:tcW w:w="1668" w:type="dxa"/>
          </w:tcPr>
          <w:p w14:paraId="15A491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высотный</w:t>
            </w:r>
          </w:p>
        </w:tc>
        <w:tc>
          <w:tcPr>
            <w:tcW w:w="1522" w:type="dxa"/>
          </w:tcPr>
          <w:p w14:paraId="656D9B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8F78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0A57E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8DDC3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EB120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C310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0662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3F17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17C1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ABFCEB2" w14:textId="77777777">
        <w:tc>
          <w:tcPr>
            <w:tcW w:w="1668" w:type="dxa"/>
          </w:tcPr>
          <w:p w14:paraId="27ACD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С-т из новых</w:t>
            </w:r>
          </w:p>
        </w:tc>
        <w:tc>
          <w:tcPr>
            <w:tcW w:w="1522" w:type="dxa"/>
          </w:tcPr>
          <w:p w14:paraId="2D191F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Э1</w:t>
            </w:r>
          </w:p>
        </w:tc>
        <w:tc>
          <w:tcPr>
            <w:tcW w:w="882" w:type="dxa"/>
          </w:tcPr>
          <w:p w14:paraId="37C88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22256D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0F21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1A5F9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7646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1A05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079A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6523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6300A30" w14:textId="77777777">
        <w:tc>
          <w:tcPr>
            <w:tcW w:w="1668" w:type="dxa"/>
          </w:tcPr>
          <w:p w14:paraId="0B696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материалов или</w:t>
            </w:r>
          </w:p>
        </w:tc>
        <w:tc>
          <w:tcPr>
            <w:tcW w:w="1522" w:type="dxa"/>
          </w:tcPr>
          <w:p w14:paraId="66AF3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A7535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2D9521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359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BFC7C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04284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2F4A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1DD6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9B0F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AD4BAC" w14:textId="77777777">
        <w:tc>
          <w:tcPr>
            <w:tcW w:w="1668" w:type="dxa"/>
          </w:tcPr>
          <w:p w14:paraId="7C0389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их комбинации</w:t>
            </w:r>
          </w:p>
        </w:tc>
        <w:tc>
          <w:tcPr>
            <w:tcW w:w="1522" w:type="dxa"/>
          </w:tcPr>
          <w:p w14:paraId="2EB4A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4510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14C44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87E18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86E1D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37F71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B28A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C6A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C2D9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2B06AD5" w14:textId="77777777">
        <w:tc>
          <w:tcPr>
            <w:tcW w:w="1668" w:type="dxa"/>
          </w:tcPr>
          <w:p w14:paraId="523CE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w:t>
            </w:r>
          </w:p>
        </w:tc>
        <w:tc>
          <w:tcPr>
            <w:tcW w:w="1522" w:type="dxa"/>
          </w:tcPr>
          <w:p w14:paraId="04788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2" w:type="dxa"/>
          </w:tcPr>
          <w:p w14:paraId="1E46F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Э2</w:t>
            </w:r>
          </w:p>
        </w:tc>
        <w:tc>
          <w:tcPr>
            <w:tcW w:w="1565" w:type="dxa"/>
          </w:tcPr>
          <w:p w14:paraId="236BD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8CCD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6B951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79C9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13491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8B0D0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46D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50282CF" w14:textId="77777777">
        <w:tc>
          <w:tcPr>
            <w:tcW w:w="1668" w:type="dxa"/>
          </w:tcPr>
          <w:p w14:paraId="74FF6F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Геликоптер</w:t>
            </w:r>
          </w:p>
        </w:tc>
        <w:tc>
          <w:tcPr>
            <w:tcW w:w="1522" w:type="dxa"/>
          </w:tcPr>
          <w:p w14:paraId="066C52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Г2</w:t>
            </w:r>
          </w:p>
        </w:tc>
        <w:tc>
          <w:tcPr>
            <w:tcW w:w="882" w:type="dxa"/>
          </w:tcPr>
          <w:p w14:paraId="0499A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БОК</w:t>
            </w:r>
          </w:p>
        </w:tc>
        <w:tc>
          <w:tcPr>
            <w:tcW w:w="1565" w:type="dxa"/>
          </w:tcPr>
          <w:p w14:paraId="156269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устанавливаются.</w:t>
            </w:r>
          </w:p>
        </w:tc>
        <w:tc>
          <w:tcPr>
            <w:tcW w:w="768" w:type="dxa"/>
          </w:tcPr>
          <w:p w14:paraId="7B75D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3F1B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BBEE3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53A8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08B5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D6EF6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C2D9C2D" w14:textId="77777777">
        <w:tc>
          <w:tcPr>
            <w:tcW w:w="1668" w:type="dxa"/>
          </w:tcPr>
          <w:p w14:paraId="5C6134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1820B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A222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565" w:type="dxa"/>
          </w:tcPr>
          <w:p w14:paraId="4B629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F9F00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1D69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59D2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DEB31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CCB2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1DA3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97F22CB" w14:textId="77777777">
        <w:tc>
          <w:tcPr>
            <w:tcW w:w="1668" w:type="dxa"/>
          </w:tcPr>
          <w:p w14:paraId="6CCD46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Автожир</w:t>
            </w:r>
          </w:p>
        </w:tc>
        <w:tc>
          <w:tcPr>
            <w:tcW w:w="1522" w:type="dxa"/>
          </w:tcPr>
          <w:p w14:paraId="1A0E05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А2</w:t>
            </w:r>
          </w:p>
        </w:tc>
        <w:tc>
          <w:tcPr>
            <w:tcW w:w="882" w:type="dxa"/>
          </w:tcPr>
          <w:p w14:paraId="26F52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БОК</w:t>
            </w:r>
          </w:p>
        </w:tc>
        <w:tc>
          <w:tcPr>
            <w:tcW w:w="1565" w:type="dxa"/>
          </w:tcPr>
          <w:p w14:paraId="267BDD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8E77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3821A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363C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8C3A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3EB8A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E205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CFB319" w14:textId="77777777">
        <w:tc>
          <w:tcPr>
            <w:tcW w:w="1668" w:type="dxa"/>
          </w:tcPr>
          <w:p w14:paraId="4D66A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76807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A7231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565" w:type="dxa"/>
          </w:tcPr>
          <w:p w14:paraId="49D6E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403D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384C4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76FE2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A508F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FAE7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2577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7857D5" w14:textId="77777777">
        <w:tc>
          <w:tcPr>
            <w:tcW w:w="1668" w:type="dxa"/>
          </w:tcPr>
          <w:p w14:paraId="18167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С-т с </w:t>
            </w:r>
            <w:proofErr w:type="spellStart"/>
            <w:r w:rsidRPr="007122AB">
              <w:rPr>
                <w:rFonts w:ascii="Times New Roman" w:hAnsi="Times New Roman"/>
                <w:color w:val="000000" w:themeColor="text1"/>
                <w:sz w:val="16"/>
                <w:szCs w:val="16"/>
              </w:rPr>
              <w:t>реактивн</w:t>
            </w:r>
            <w:proofErr w:type="spellEnd"/>
            <w:r w:rsidRPr="007122AB">
              <w:rPr>
                <w:rFonts w:ascii="Times New Roman" w:hAnsi="Times New Roman"/>
                <w:color w:val="000000" w:themeColor="text1"/>
                <w:sz w:val="16"/>
                <w:szCs w:val="16"/>
              </w:rPr>
              <w:t>.</w:t>
            </w:r>
          </w:p>
        </w:tc>
        <w:tc>
          <w:tcPr>
            <w:tcW w:w="1522" w:type="dxa"/>
          </w:tcPr>
          <w:p w14:paraId="3147F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Ре1</w:t>
            </w:r>
          </w:p>
        </w:tc>
        <w:tc>
          <w:tcPr>
            <w:tcW w:w="882" w:type="dxa"/>
          </w:tcPr>
          <w:p w14:paraId="30767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1565" w:type="dxa"/>
          </w:tcPr>
          <w:p w14:paraId="4C7D6C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A8C0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EF23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1FD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A8CF4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C839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9E8C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62BDD1B" w14:textId="77777777">
        <w:tc>
          <w:tcPr>
            <w:tcW w:w="1668" w:type="dxa"/>
          </w:tcPr>
          <w:p w14:paraId="6ACE7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двигателем</w:t>
            </w:r>
          </w:p>
        </w:tc>
        <w:tc>
          <w:tcPr>
            <w:tcW w:w="1522" w:type="dxa"/>
          </w:tcPr>
          <w:p w14:paraId="0CC399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46F1C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44612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EFEA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B2D64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76DAC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5880B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F2C17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9845E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7122AB" w14:paraId="1116BB80" w14:textId="77777777">
        <w:tc>
          <w:tcPr>
            <w:tcW w:w="1668" w:type="dxa"/>
          </w:tcPr>
          <w:p w14:paraId="7BCE09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Резервные самолеты (3029).</w:t>
            </w:r>
          </w:p>
        </w:tc>
        <w:tc>
          <w:tcPr>
            <w:tcW w:w="1522" w:type="dxa"/>
          </w:tcPr>
          <w:p w14:paraId="2A5A27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2" w:type="dxa"/>
          </w:tcPr>
          <w:p w14:paraId="5FAE3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65" w:type="dxa"/>
          </w:tcPr>
          <w:p w14:paraId="39D370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F9C1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26317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E7AD9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9EB6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7680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CD20B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3023D4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9072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5 и 11 июня 1931. Из протокола заседания Политбюро № 41, 1931 г.</w:t>
      </w:r>
    </w:p>
    <w:p w14:paraId="6595F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иностранных перелетах</w:t>
      </w:r>
    </w:p>
    <w:p w14:paraId="460319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Впредь вопросы о разрешении тех или иных иностранных перелетов через территорию СССР поручить решать комиссии в составе т. т. Ворошилова, Менжинского и Крестинского (11652).</w:t>
      </w:r>
    </w:p>
    <w:p w14:paraId="7FEAA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019D8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г.</w:t>
      </w:r>
    </w:p>
    <w:p w14:paraId="740550FB"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Циркуляр ЭКУ ОГПУ № 211/ЭКУ «О порядке и условиях использования заключенных специалистов на работах и об агентурном обслуживании заключенных и высланных специалистов»</w:t>
      </w:r>
    </w:p>
    <w:p w14:paraId="0B00A094"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г.</w:t>
      </w:r>
    </w:p>
    <w:p w14:paraId="321CF6C1"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1C330B4E"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Всем нач. ЭКО ПП ОГПУ, ГПУ Башкирской, Татарской и Якутской АССР.</w:t>
      </w:r>
    </w:p>
    <w:p w14:paraId="6D4563DC"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 ПОРЯДКЕ И УСЛОВИЯХ ИСПОЛЬЗОВАНИЯ ЗАКЛЮЧЕННЫХ СПЕЦИАЛИСТОВ НА РАБОТАХ</w:t>
      </w:r>
    </w:p>
    <w:p w14:paraId="1A14D56D"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изоляторах ОГПУ как в центре, так и на местах, в заключении находится большее количество инженеров и техников, оторванных от производства, ввиду их вредительской деятельности и принадлежности, к ныне разгромленным ОГПУ, контрреволюционным организациям.</w:t>
      </w:r>
    </w:p>
    <w:p w14:paraId="2C4C7CA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ОГПУ — в Москве и в ряде Полномочных Представительств ОГПУ на местах, уже осуществляется использование специалистов на работе по их специальностям.</w:t>
      </w:r>
    </w:p>
    <w:p w14:paraId="0D570C81"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такого использования, ОГПУ имеет ряд больших технических достижений в области: самолетостроения и моторостроения (Москва), сооружении блюмингов (Ленинград), по эксплуатации угольных копий и новому шахтному строительству (Кузбасс) и т.д.</w:t>
      </w:r>
    </w:p>
    <w:p w14:paraId="5F8771AD"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дальнейшем установившуюся практику использования необходимо расширить и углубить.</w:t>
      </w:r>
    </w:p>
    <w:p w14:paraId="6A20D841"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Организационное оформление использования должно строится следующим порядком:</w:t>
      </w:r>
    </w:p>
    <w:p w14:paraId="091530B9"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ЭКО ПП ОГПУ, в условиях заключения, все осужденные специалисты, подлежащие использованию, организуются в особое техническое бюро.</w:t>
      </w:r>
    </w:p>
    <w:p w14:paraId="0CFAED6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Бюро размещается в особо изолированном помещении с сохранением тюремного режима. В составе бюро могут быть образованы отдельные группы по специальностям. </w:t>
      </w:r>
    </w:p>
    <w:p w14:paraId="1171FA69"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руководитель бюро и его помощник, а также руководители групп, назначаются из среды арестованных специалистов, по усмотрению ЭКО ПП ОГПУ.</w:t>
      </w:r>
    </w:p>
    <w:p w14:paraId="5CA042E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руководитель Бюро, его помощник и старшие групп отвечают за работоспособность используемых специалистов и несут вместе с исполнителями полную ответственность за выполняемую работу. Все бюро в административно -чекистском отношении, и в отношении общего руководства, подчиняются техническим отделениям ЭКО, а где их нет, специально выделенному для этой цели оперативному работнику.</w:t>
      </w:r>
    </w:p>
    <w:p w14:paraId="0B33203D"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круг деятельности бюро входят: проектные, конструкторские и консультативно -экспертные работы.</w:t>
      </w:r>
    </w:p>
    <w:p w14:paraId="43687DDB"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Деятельностью Бюро может быть также: опытное строительство и сооружения всевозможных объектов промышленной и оборонной техники (машин, моторов, котлов, станков и т.п.).</w:t>
      </w:r>
    </w:p>
    <w:p w14:paraId="1AB10F2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переброске отдельных групп заключенных специалистов из состава Бюро на предприятия для работы, последние размещаются в особо изолированных помещениях или корпусах, с сохранением тюремного режима.</w:t>
      </w:r>
    </w:p>
    <w:p w14:paraId="159F27C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переброске на предприятие, заключенные специалисты ни в коем случае не переходят в ведение и распоряжение предприятий и не руководятся администрацией предприятия.</w:t>
      </w:r>
    </w:p>
    <w:p w14:paraId="15C5EA9E"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Принцип руководства группой, выделенной для указанной работы на том или ином предприятии, остается тем же, что и для бюро в целом, т.е. во главе таковой становится оперработник ПП ОГПУ, в его распоряжении состоит вахтерская охрана. Он ответственен за соблюдение режима и изоляции заключенных специалистов и через него осуществляются все сношения с предприятием, администрацией и отдельными органами.</w:t>
      </w:r>
    </w:p>
    <w:p w14:paraId="64C66366"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Содержатся используемые специалисты во всех случаях в условиях исключительно тюремного режима. Посещение ими предприятий или цехов, мастерских и т.п. должно быть обязательно в сопровождении конвоя.</w:t>
      </w:r>
    </w:p>
    <w:p w14:paraId="29E01C2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Систематическая оплата работ заключенных специалистов, в виде жалования, категорически воспрещается. Отдельные денежные пособия возможны в порядке единовременных выдач за проведенную работу, представляющую особый интерес.</w:t>
      </w:r>
    </w:p>
    <w:p w14:paraId="15A473FD"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Содержание заключенных специалистов, их охрана и обслуживание, а также выдача единовременных пособий должны осуществляться из сумм, получаемых от госучреждений за работу, выполненную заключенными специалистами.</w:t>
      </w:r>
    </w:p>
    <w:p w14:paraId="61025B6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Расходование других сумм категорически воспрещается.</w:t>
      </w:r>
    </w:p>
    <w:p w14:paraId="32790B2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 АГЕНТУРНОМ ОБСЛУЖИВАНИИ ЗАКЛЮЧЕННЫХ И ВЫСЛАННЫХ СПЕЦИАЛИСТОВ</w:t>
      </w:r>
    </w:p>
    <w:p w14:paraId="68ADD2B9"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Практика работы по использованию специалистов в Москве установила, что всех заключенных специалистов по их настроениям можно разделить на три категории:</w:t>
      </w:r>
    </w:p>
    <w:p w14:paraId="6F79F133"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категория А — «лояльные», т.е. те, которые всерьез пересмотрели свои прежние политические воззрения и теперь готовы искренне и добросовестно служить Советской власти.</w:t>
      </w:r>
    </w:p>
    <w:p w14:paraId="3427243E"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Категория Б — «терпимые», которые озлоблены заключением, остались на своих прежних враждебных Соввласти позициях, но внешне этого не проявляют. При умелом подходе к ним и обработке, могут работать добросовестно.</w:t>
      </w:r>
    </w:p>
    <w:p w14:paraId="5CA63BF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Категория В — «злостные», не стараются особенно скрыть свою неприязнь к соввласти и даже в глаза, а за глаза ведут прямую контрреволюционную и вредительскую работу, в условиях заключения и использования их на работах.</w:t>
      </w:r>
    </w:p>
    <w:p w14:paraId="7057133F"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Изложенная градация заключенных специалистов на категории свидетельствует о том, что среди них необходимо вести углубленную агентурную работу, в целях разработки отрицательных и вредных для работы лиц и фактов и их своевременного устранения. Агентурно-профилактическая работа среди заключенных специалистов должна вестись с первых же дней использования, ибо в практике регистрировались случаи, когда 1—2 «злостных» в короткое время разлагали целую группу лояльно настроенных, или старались скомпрометировать даваемую ОГПУ работу и впоследствии приходилось употреблять много усилий, чтобы вернуть группу к ее нормальной работоспособности.</w:t>
      </w:r>
    </w:p>
    <w:p w14:paraId="578A51A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Сеть среди заключенных специалистов должна быть и в качественном и в количественном отношении вполне достаточной, продуманной и параллельной с расчетом взаимной проверки и освещения всех сторон жизни и работы заключенных специалистов, вплоть до бытовых мелочей и отношений.</w:t>
      </w:r>
    </w:p>
    <w:p w14:paraId="706B0739"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Вербовать руководителей или лиц, ответственных по работе среди заключенных специалистов, не рекомендуется.</w:t>
      </w:r>
    </w:p>
    <w:p w14:paraId="5500FF35"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большей полноты сведений, необходимо взять под агентурное обслуживание семьи и родственников заключенных специалистов, вербуя среди них осведомителей.</w:t>
      </w:r>
    </w:p>
    <w:p w14:paraId="224B6481"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Агентурному обслуживанию подвергнуть не только заключенных специалистов и находящихся на работе под руководством наших органов, но также специалистов-одиночек, работающих на предприятиях из категории высланных.</w:t>
      </w:r>
    </w:p>
    <w:p w14:paraId="415B70F2"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Агентурные разработки, содержащие в себе действия преступные и уголовно ^наказуемые, превращать в следственные дела, для заслушания Коллегии.</w:t>
      </w:r>
    </w:p>
    <w:p w14:paraId="6C08C3B6"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изложенного предлагается всем ЭКО ПП ОГПУ:</w:t>
      </w:r>
    </w:p>
    <w:p w14:paraId="2749081E"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 получением сего представить в ЭКУ ОГПУ по прилагаемой при сем форме, сведения на всех заключенных (подследственных и осужденных) специалистов, могущих быть использованными на работе.</w:t>
      </w:r>
    </w:p>
    <w:p w14:paraId="37C92910"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ПРИМЕЧАНИЯ:</w:t>
      </w:r>
    </w:p>
    <w:p w14:paraId="3B390D33"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Личные карточки должны быть заполнены по всем графам.</w:t>
      </w:r>
    </w:p>
    <w:p w14:paraId="16BC34D2"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ЭКО ПП ОГПУ, ранее выславшие в ЭКУ ОГПУ означенные карточки, высылают таковые на вновь используемых.</w:t>
      </w:r>
    </w:p>
    <w:p w14:paraId="4D432738"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ЭКО ПП ОГПУ, где уже созданы особые тех. Бюро, прислать в ЭКУ ОГПУ годичные планы работ с графиком сроков их исполнения.</w:t>
      </w:r>
    </w:p>
    <w:p w14:paraId="24445B66"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Составлять ежемесячные спец, агентурные сводки о настроении и характеристики работ используемых заключенных и высланных специалистов.</w:t>
      </w:r>
    </w:p>
    <w:p w14:paraId="6D73198A"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исполнения настоящего циркуляра, в соответствии с приказом ОГПУ 1931 года № 221 — пятидневный.</w:t>
      </w:r>
    </w:p>
    <w:p w14:paraId="73A7B9E4"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вопросы, возникающие в процессе выполнения настоящего циркуляра, направлять за разъяснением в Техническое отделение ЭКУ ОГПУ.</w:t>
      </w:r>
    </w:p>
    <w:p w14:paraId="04935C4A"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 ЭКУ ОГПУ</w:t>
      </w:r>
      <w:r w:rsidRPr="007122AB">
        <w:rPr>
          <w:rFonts w:ascii="Times New Roman" w:hAnsi="Times New Roman"/>
          <w:color w:val="000000" w:themeColor="text1"/>
          <w:sz w:val="16"/>
          <w:szCs w:val="16"/>
        </w:rPr>
        <w:tab/>
        <w:t>Миронов</w:t>
      </w:r>
    </w:p>
    <w:p w14:paraId="24482B1F"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Пом. нач. Технического] </w:t>
      </w:r>
      <w:proofErr w:type="spellStart"/>
      <w:r w:rsidRPr="007122AB">
        <w:rPr>
          <w:rFonts w:ascii="Times New Roman" w:hAnsi="Times New Roman"/>
          <w:color w:val="000000" w:themeColor="text1"/>
          <w:sz w:val="16"/>
          <w:szCs w:val="16"/>
        </w:rPr>
        <w:t>отд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еления</w:t>
      </w:r>
      <w:proofErr w:type="spellEnd"/>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Соколов</w:t>
      </w:r>
    </w:p>
    <w:p w14:paraId="7FAB0C7D" w14:textId="77777777" w:rsidR="0040061B" w:rsidRPr="007122AB" w:rsidRDefault="004006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 ФСБ РФ. Ф. 66. On. 1-т. Д. 4. Л. 98—102. Заверенная копия (20641).</w:t>
      </w:r>
    </w:p>
    <w:p w14:paraId="600B1B82" w14:textId="77777777" w:rsidR="0040061B" w:rsidRPr="007122AB" w:rsidRDefault="0040061B" w:rsidP="007122AB">
      <w:pPr>
        <w:spacing w:after="0" w:line="240" w:lineRule="auto"/>
        <w:jc w:val="both"/>
        <w:rPr>
          <w:rFonts w:ascii="Times New Roman" w:hAnsi="Times New Roman"/>
          <w:color w:val="000000" w:themeColor="text1"/>
          <w:sz w:val="16"/>
          <w:szCs w:val="16"/>
        </w:rPr>
      </w:pPr>
    </w:p>
    <w:p w14:paraId="6915416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F7BD76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D026379"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5FAF24D9"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против нашего минометного лобби!</w:t>
      </w:r>
    </w:p>
    <w:p w14:paraId="5D257777"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0164F9E2"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Минометное лобби в Артиллерийском управлении встретило МЛ-21 буквально в штыки. 13 июля 1938 г. из 2-го отдела </w:t>
      </w:r>
      <w:proofErr w:type="spellStart"/>
      <w:r w:rsidRPr="007122AB">
        <w:rPr>
          <w:rFonts w:ascii="Times New Roman" w:hAnsi="Times New Roman"/>
          <w:color w:val="000000" w:themeColor="text1"/>
          <w:sz w:val="16"/>
          <w:szCs w:val="16"/>
        </w:rPr>
        <w:t>Артуправления</w:t>
      </w:r>
      <w:proofErr w:type="spellEnd"/>
      <w:r w:rsidRPr="007122AB">
        <w:rPr>
          <w:rFonts w:ascii="Times New Roman" w:hAnsi="Times New Roman"/>
          <w:color w:val="000000" w:themeColor="text1"/>
          <w:sz w:val="16"/>
          <w:szCs w:val="16"/>
        </w:rPr>
        <w:t xml:space="preserve"> маршалу Кулику была направлена кляуза:</w:t>
      </w:r>
    </w:p>
    <w:p w14:paraId="19D30AED"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5056E5F0"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1938 г. маршал Кулик в письме к наркому Ворошилову как попугай переписал все аргументы </w:t>
      </w:r>
      <w:proofErr w:type="spellStart"/>
      <w:r w:rsidRPr="007122AB">
        <w:rPr>
          <w:rFonts w:ascii="Times New Roman" w:hAnsi="Times New Roman"/>
          <w:color w:val="000000" w:themeColor="text1"/>
          <w:sz w:val="16"/>
          <w:szCs w:val="16"/>
        </w:rPr>
        <w:t>Артуправления</w:t>
      </w:r>
      <w:proofErr w:type="spellEnd"/>
      <w:r w:rsidRPr="007122AB">
        <w:rPr>
          <w:rFonts w:ascii="Times New Roman" w:hAnsi="Times New Roman"/>
          <w:color w:val="000000" w:themeColor="text1"/>
          <w:sz w:val="16"/>
          <w:szCs w:val="16"/>
        </w:rPr>
        <w:t xml:space="preserve">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30C0043D" w14:textId="77777777" w:rsidR="007908DF" w:rsidRPr="007122AB" w:rsidRDefault="007908DF" w:rsidP="007122AB">
      <w:pPr>
        <w:spacing w:after="0" w:line="240" w:lineRule="auto"/>
        <w:jc w:val="both"/>
        <w:rPr>
          <w:rFonts w:ascii="Times New Roman" w:hAnsi="Times New Roman"/>
          <w:color w:val="000000" w:themeColor="text1"/>
          <w:sz w:val="16"/>
          <w:szCs w:val="16"/>
        </w:rPr>
      </w:pPr>
    </w:p>
    <w:p w14:paraId="516F6470"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41. 5. О Сталинградском тракторном заводе (Дьяконов, Косарев). 11. О строительстве судов судоверфью «Красное Сормово». Решения ПБ от 30 мая 1931 г. П. 9/18. О подлодках № 4 и 9 (Ворошилов). — ОП. Опросом членов ПБ от 5 июня 1931 г. 48/48. О состоянии судостроения и возможности его расширения (ПБ от 30 апреля 1931 г., пр. № 36, п. 10/12). (Политбюро... Т. 2. С. 173, 174, 176) (12416).</w:t>
      </w:r>
    </w:p>
    <w:p w14:paraId="396CF315" w14:textId="77777777" w:rsidR="001A7FA6" w:rsidRPr="007122AB" w:rsidRDefault="001A7FA6" w:rsidP="007122AB">
      <w:pPr>
        <w:spacing w:after="0" w:line="240" w:lineRule="auto"/>
        <w:jc w:val="both"/>
        <w:rPr>
          <w:rFonts w:ascii="Times New Roman" w:hAnsi="Times New Roman"/>
          <w:color w:val="000000" w:themeColor="text1"/>
          <w:sz w:val="16"/>
          <w:szCs w:val="16"/>
          <w:u w:color="002060"/>
        </w:rPr>
      </w:pPr>
    </w:p>
    <w:p w14:paraId="23B630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вышло постановление ЦК ВКП(б) об овладении техникой большевиками (66,186).</w:t>
      </w:r>
    </w:p>
    <w:p w14:paraId="1F75C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761A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г. постановлением ВСНХ СССР создана Государственная всесоюзная контора по защитным покрытиям металлов "</w:t>
      </w:r>
      <w:proofErr w:type="spellStart"/>
      <w:r w:rsidRPr="007122AB">
        <w:rPr>
          <w:rFonts w:ascii="Times New Roman" w:hAnsi="Times New Roman"/>
          <w:color w:val="000000" w:themeColor="text1"/>
          <w:sz w:val="16"/>
          <w:szCs w:val="16"/>
        </w:rPr>
        <w:t>Электрохимет</w:t>
      </w:r>
      <w:proofErr w:type="spellEnd"/>
      <w:r w:rsidRPr="007122AB">
        <w:rPr>
          <w:rFonts w:ascii="Times New Roman" w:hAnsi="Times New Roman"/>
          <w:color w:val="000000" w:themeColor="text1"/>
          <w:sz w:val="16"/>
          <w:szCs w:val="16"/>
        </w:rPr>
        <w:t>". В 1934 г. переименована во Всесоюзную техническую контору по борьбе с коррозией "</w:t>
      </w:r>
      <w:proofErr w:type="spellStart"/>
      <w:r w:rsidRPr="007122AB">
        <w:rPr>
          <w:rFonts w:ascii="Times New Roman" w:hAnsi="Times New Roman"/>
          <w:color w:val="000000" w:themeColor="text1"/>
          <w:sz w:val="16"/>
          <w:szCs w:val="16"/>
        </w:rPr>
        <w:t>Электрохимет</w:t>
      </w:r>
      <w:proofErr w:type="spellEnd"/>
      <w:r w:rsidRPr="007122AB">
        <w:rPr>
          <w:rFonts w:ascii="Times New Roman" w:hAnsi="Times New Roman"/>
          <w:color w:val="000000" w:themeColor="text1"/>
          <w:sz w:val="16"/>
          <w:szCs w:val="16"/>
        </w:rPr>
        <w:t>", в марте 1938 г. - во Всесоюзную техническую контору по борьбе с коррозией и применением химически стойких материалов "</w:t>
      </w:r>
      <w:proofErr w:type="spellStart"/>
      <w:r w:rsidRPr="007122AB">
        <w:rPr>
          <w:rFonts w:ascii="Times New Roman" w:hAnsi="Times New Roman"/>
          <w:color w:val="000000" w:themeColor="text1"/>
          <w:sz w:val="16"/>
          <w:szCs w:val="16"/>
        </w:rPr>
        <w:t>Металлохимзащита</w:t>
      </w:r>
      <w:proofErr w:type="spellEnd"/>
      <w:r w:rsidRPr="007122AB">
        <w:rPr>
          <w:rFonts w:ascii="Times New Roman" w:hAnsi="Times New Roman"/>
          <w:color w:val="000000" w:themeColor="text1"/>
          <w:sz w:val="16"/>
          <w:szCs w:val="16"/>
        </w:rPr>
        <w:t>". Во время Великой Отечественной войны контора была эвакуирована на Урал. Указанием Министерства машиностроения и приборостроения СССР от 11 октября 1950 г. контора ликвидирована (12102).</w:t>
      </w:r>
    </w:p>
    <w:p w14:paraId="64F330F0" w14:textId="77777777" w:rsidR="008B6E64" w:rsidRPr="007122AB" w:rsidRDefault="008B6E6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A94E4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A2D445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A2F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 вышло постановление ЦК ВКП(б) "О командном и политическом составе РККА" (356,65).</w:t>
      </w:r>
    </w:p>
    <w:p w14:paraId="28D16C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411EBB"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июня 1931</w:t>
      </w:r>
    </w:p>
    <w:p w14:paraId="2E448EED"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 41 заседания Политбюро ЦК ВКП(б) от 5 июня 1931 г.</w:t>
      </w:r>
    </w:p>
    <w:p w14:paraId="172BED45"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Заседание Политбюро ЦК ВКП(б) от 5-го июня 1931 года.</w:t>
      </w:r>
    </w:p>
    <w:p w14:paraId="0B3A3B5F"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55/55: О ходе выполнение решения ПБ от 5.IX.30 г. о передаче Наркомвоенмором объединению гражданского воздушного флота 750 пилотов и 750 техников</w:t>
      </w:r>
    </w:p>
    <w:p w14:paraId="5404740B"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от 1.VI.31 г., пр. № 58, п. 22).</w:t>
      </w:r>
    </w:p>
    <w:p w14:paraId="49E49D3E"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627125CB"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измененный план передачи летчиков и техников для объединения гражданского и воздушного флота (</w:t>
      </w:r>
      <w:hyperlink r:id="rId128" w:history="1">
        <w:r w:rsidRPr="007122AB">
          <w:rPr>
            <w:rStyle w:val="a5"/>
            <w:rFonts w:ascii="Times New Roman" w:hAnsi="Times New Roman"/>
            <w:color w:val="000000" w:themeColor="text1"/>
            <w:sz w:val="16"/>
            <w:szCs w:val="16"/>
            <w:u w:val="none"/>
          </w:rPr>
          <w:t>см. приложение № 4</w:t>
        </w:r>
        <w:r w:rsidRPr="007122AB">
          <w:rPr>
            <w:rStyle w:val="a5"/>
            <w:rFonts w:ascii="Times New Roman" w:hAnsi="Times New Roman"/>
            <w:color w:val="000000" w:themeColor="text1"/>
            <w:sz w:val="16"/>
            <w:szCs w:val="16"/>
            <w:u w:val="none"/>
          </w:rPr>
          <w:noBreakHyphen/>
          <w:t>ОП</w:t>
        </w:r>
      </w:hyperlink>
      <w:r w:rsidRPr="007122AB">
        <w:rPr>
          <w:rFonts w:ascii="Times New Roman" w:hAnsi="Times New Roman"/>
          <w:color w:val="000000" w:themeColor="text1"/>
          <w:sz w:val="16"/>
          <w:szCs w:val="16"/>
        </w:rPr>
        <w:t>).</w:t>
      </w:r>
    </w:p>
    <w:p w14:paraId="29C3C785"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56CA0CEF"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Баранову,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Оргбюро.</w:t>
      </w:r>
    </w:p>
    <w:p w14:paraId="205F21F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4</w:t>
      </w:r>
      <w:r w:rsidRPr="007122AB">
        <w:rPr>
          <w:rFonts w:ascii="Times New Roman" w:hAnsi="Times New Roman"/>
          <w:color w:val="000000" w:themeColor="text1"/>
          <w:sz w:val="16"/>
          <w:szCs w:val="16"/>
        </w:rPr>
        <w:noBreakHyphen/>
        <w:t>ОП</w:t>
      </w:r>
    </w:p>
    <w:p w14:paraId="7CA5CA5A"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55/55 (о. п.), пр. ПБ № 41</w:t>
      </w:r>
    </w:p>
    <w:p w14:paraId="7F50DA8C"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передачи летно-технического состава из управления Военно-Воздушных Сил РККА в объединение Гражданского Воздушного Флота.</w:t>
      </w:r>
    </w:p>
    <w:p w14:paraId="5BDD36CD"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 Политбюро ЦК ВКП(б) 5 июня 1931 г.).</w:t>
      </w:r>
    </w:p>
    <w:tbl>
      <w:tblPr>
        <w:tblW w:w="5000" w:type="pct"/>
        <w:shd w:val="clear" w:color="auto" w:fill="F2EEE1"/>
        <w:tblCellMar>
          <w:left w:w="0" w:type="dxa"/>
          <w:right w:w="0" w:type="dxa"/>
        </w:tblCellMar>
        <w:tblLook w:val="04A0" w:firstRow="1" w:lastRow="0" w:firstColumn="1" w:lastColumn="0" w:noHBand="0" w:noVBand="1"/>
      </w:tblPr>
      <w:tblGrid>
        <w:gridCol w:w="7622"/>
        <w:gridCol w:w="2124"/>
        <w:gridCol w:w="1592"/>
      </w:tblGrid>
      <w:tr w:rsidR="001002C3" w:rsidRPr="007122AB" w14:paraId="280136EF" w14:textId="77777777" w:rsidTr="001C3F77">
        <w:tc>
          <w:tcPr>
            <w:tcW w:w="0" w:type="auto"/>
            <w:shd w:val="clear" w:color="auto" w:fill="auto"/>
            <w:vAlign w:val="center"/>
            <w:hideMark/>
          </w:tcPr>
          <w:p w14:paraId="508C3FBF"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специальностей</w:t>
            </w:r>
          </w:p>
        </w:tc>
        <w:tc>
          <w:tcPr>
            <w:tcW w:w="0" w:type="auto"/>
            <w:shd w:val="clear" w:color="auto" w:fill="auto"/>
            <w:vAlign w:val="center"/>
            <w:hideMark/>
          </w:tcPr>
          <w:p w14:paraId="2F766418"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Сроки передачи</w:t>
            </w:r>
          </w:p>
        </w:tc>
        <w:tc>
          <w:tcPr>
            <w:tcW w:w="0" w:type="auto"/>
            <w:shd w:val="clear" w:color="auto" w:fill="auto"/>
            <w:vAlign w:val="center"/>
            <w:hideMark/>
          </w:tcPr>
          <w:p w14:paraId="6BEAC129"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w:t>
            </w:r>
          </w:p>
        </w:tc>
      </w:tr>
      <w:tr w:rsidR="001002C3" w:rsidRPr="007122AB" w14:paraId="1D8E9A89" w14:textId="77777777" w:rsidTr="001C3F77">
        <w:tc>
          <w:tcPr>
            <w:tcW w:w="0" w:type="auto"/>
            <w:shd w:val="clear" w:color="auto" w:fill="auto"/>
            <w:vAlign w:val="center"/>
            <w:hideMark/>
          </w:tcPr>
          <w:p w14:paraId="51A53E2C"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Летчиков из строя</w:t>
            </w:r>
          </w:p>
        </w:tc>
        <w:tc>
          <w:tcPr>
            <w:tcW w:w="0" w:type="auto"/>
            <w:shd w:val="clear" w:color="auto" w:fill="auto"/>
            <w:vAlign w:val="center"/>
            <w:hideMark/>
          </w:tcPr>
          <w:p w14:paraId="4B4F0589"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Июль 1931 г.</w:t>
            </w:r>
          </w:p>
        </w:tc>
        <w:tc>
          <w:tcPr>
            <w:tcW w:w="0" w:type="auto"/>
            <w:shd w:val="clear" w:color="auto" w:fill="auto"/>
            <w:vAlign w:val="center"/>
            <w:hideMark/>
          </w:tcPr>
          <w:p w14:paraId="319433A9"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человек</w:t>
            </w:r>
          </w:p>
        </w:tc>
      </w:tr>
      <w:tr w:rsidR="001002C3" w:rsidRPr="007122AB" w14:paraId="10591F1F" w14:textId="77777777" w:rsidTr="001C3F77">
        <w:tc>
          <w:tcPr>
            <w:tcW w:w="0" w:type="auto"/>
            <w:shd w:val="clear" w:color="auto" w:fill="auto"/>
            <w:vAlign w:val="center"/>
            <w:hideMark/>
          </w:tcPr>
          <w:p w14:paraId="02CB3FD5"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Летчиков из нормальной школы</w:t>
            </w:r>
          </w:p>
        </w:tc>
        <w:tc>
          <w:tcPr>
            <w:tcW w:w="0" w:type="auto"/>
            <w:shd w:val="clear" w:color="auto" w:fill="auto"/>
            <w:vAlign w:val="center"/>
            <w:hideMark/>
          </w:tcPr>
          <w:p w14:paraId="4A5C7B7C"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Июль 1931 г.</w:t>
            </w:r>
          </w:p>
        </w:tc>
        <w:tc>
          <w:tcPr>
            <w:tcW w:w="0" w:type="auto"/>
            <w:shd w:val="clear" w:color="auto" w:fill="auto"/>
            <w:vAlign w:val="center"/>
            <w:hideMark/>
          </w:tcPr>
          <w:p w14:paraId="58FA2B39"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 человек</w:t>
            </w:r>
          </w:p>
        </w:tc>
      </w:tr>
      <w:tr w:rsidR="001002C3" w:rsidRPr="007122AB" w14:paraId="28231FC9" w14:textId="77777777" w:rsidTr="001C3F77">
        <w:tc>
          <w:tcPr>
            <w:tcW w:w="0" w:type="auto"/>
            <w:shd w:val="clear" w:color="auto" w:fill="auto"/>
            <w:vAlign w:val="center"/>
            <w:hideMark/>
          </w:tcPr>
          <w:p w14:paraId="460BB3F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Молодых летчиков, окончивших школы на учебных самолетах</w:t>
            </w:r>
          </w:p>
        </w:tc>
        <w:tc>
          <w:tcPr>
            <w:tcW w:w="0" w:type="auto"/>
            <w:shd w:val="clear" w:color="auto" w:fill="auto"/>
            <w:vAlign w:val="center"/>
            <w:hideMark/>
          </w:tcPr>
          <w:p w14:paraId="4A02E98F"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Июнь 1931 г.</w:t>
            </w:r>
          </w:p>
        </w:tc>
        <w:tc>
          <w:tcPr>
            <w:tcW w:w="0" w:type="auto"/>
            <w:shd w:val="clear" w:color="auto" w:fill="auto"/>
            <w:vAlign w:val="center"/>
            <w:hideMark/>
          </w:tcPr>
          <w:p w14:paraId="6CC6F7F3"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 человек</w:t>
            </w:r>
          </w:p>
        </w:tc>
      </w:tr>
      <w:tr w:rsidR="001002C3" w:rsidRPr="007122AB" w14:paraId="124DD63B" w14:textId="77777777" w:rsidTr="001C3F77">
        <w:tc>
          <w:tcPr>
            <w:tcW w:w="0" w:type="auto"/>
            <w:shd w:val="clear" w:color="auto" w:fill="auto"/>
            <w:vAlign w:val="center"/>
            <w:hideMark/>
          </w:tcPr>
          <w:p w14:paraId="66873B42"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Летчиков разных категорий</w:t>
            </w:r>
          </w:p>
        </w:tc>
        <w:tc>
          <w:tcPr>
            <w:tcW w:w="0" w:type="auto"/>
            <w:shd w:val="clear" w:color="auto" w:fill="auto"/>
            <w:vAlign w:val="center"/>
            <w:hideMark/>
          </w:tcPr>
          <w:p w14:paraId="6CF939A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октября по</w:t>
            </w:r>
          </w:p>
          <w:p w14:paraId="3024A97C"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г</w:t>
            </w:r>
          </w:p>
        </w:tc>
        <w:tc>
          <w:tcPr>
            <w:tcW w:w="0" w:type="auto"/>
            <w:shd w:val="clear" w:color="auto" w:fill="auto"/>
            <w:vAlign w:val="center"/>
            <w:hideMark/>
          </w:tcPr>
          <w:p w14:paraId="0986C55A"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 человека</w:t>
            </w:r>
          </w:p>
        </w:tc>
      </w:tr>
      <w:tr w:rsidR="001002C3" w:rsidRPr="007122AB" w14:paraId="7C941E4E" w14:textId="77777777" w:rsidTr="001C3F77">
        <w:tc>
          <w:tcPr>
            <w:tcW w:w="0" w:type="auto"/>
            <w:shd w:val="clear" w:color="auto" w:fill="auto"/>
            <w:vAlign w:val="center"/>
            <w:hideMark/>
          </w:tcPr>
          <w:p w14:paraId="4F204251"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Летчиков разных категорий</w:t>
            </w:r>
          </w:p>
        </w:tc>
        <w:tc>
          <w:tcPr>
            <w:tcW w:w="0" w:type="auto"/>
            <w:shd w:val="clear" w:color="auto" w:fill="auto"/>
            <w:vAlign w:val="center"/>
            <w:hideMark/>
          </w:tcPr>
          <w:p w14:paraId="239CEFB3"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июля 1932 г.</w:t>
            </w:r>
          </w:p>
        </w:tc>
        <w:tc>
          <w:tcPr>
            <w:tcW w:w="0" w:type="auto"/>
            <w:shd w:val="clear" w:color="auto" w:fill="auto"/>
            <w:vAlign w:val="center"/>
            <w:hideMark/>
          </w:tcPr>
          <w:p w14:paraId="56A46A7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 человек</w:t>
            </w:r>
          </w:p>
        </w:tc>
      </w:tr>
      <w:tr w:rsidR="001002C3" w:rsidRPr="007122AB" w14:paraId="3479082D" w14:textId="77777777" w:rsidTr="001C3F77">
        <w:tc>
          <w:tcPr>
            <w:tcW w:w="0" w:type="auto"/>
            <w:shd w:val="clear" w:color="auto" w:fill="auto"/>
            <w:vAlign w:val="center"/>
            <w:hideMark/>
          </w:tcPr>
          <w:p w14:paraId="595B8B73"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Авиатехников и техников спецслужбы</w:t>
            </w:r>
          </w:p>
        </w:tc>
        <w:tc>
          <w:tcPr>
            <w:tcW w:w="0" w:type="auto"/>
            <w:shd w:val="clear" w:color="auto" w:fill="auto"/>
            <w:vAlign w:val="center"/>
            <w:hideMark/>
          </w:tcPr>
          <w:p w14:paraId="28019106"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Июнь 1931 г.</w:t>
            </w:r>
          </w:p>
        </w:tc>
        <w:tc>
          <w:tcPr>
            <w:tcW w:w="0" w:type="auto"/>
            <w:shd w:val="clear" w:color="auto" w:fill="auto"/>
            <w:vAlign w:val="center"/>
            <w:hideMark/>
          </w:tcPr>
          <w:p w14:paraId="5F254947"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человек</w:t>
            </w:r>
          </w:p>
        </w:tc>
      </w:tr>
      <w:tr w:rsidR="001002C3" w:rsidRPr="007122AB" w14:paraId="66ECE442" w14:textId="77777777" w:rsidTr="001C3F77">
        <w:tc>
          <w:tcPr>
            <w:tcW w:w="0" w:type="auto"/>
            <w:shd w:val="clear" w:color="auto" w:fill="auto"/>
            <w:vAlign w:val="center"/>
            <w:hideMark/>
          </w:tcPr>
          <w:p w14:paraId="223B88F5"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Авиатехников и техников спецслужбы</w:t>
            </w:r>
          </w:p>
        </w:tc>
        <w:tc>
          <w:tcPr>
            <w:tcW w:w="0" w:type="auto"/>
            <w:shd w:val="clear" w:color="auto" w:fill="auto"/>
            <w:vAlign w:val="center"/>
            <w:hideMark/>
          </w:tcPr>
          <w:p w14:paraId="6101D3FA"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Сентябрь 1931 г.</w:t>
            </w:r>
          </w:p>
        </w:tc>
        <w:tc>
          <w:tcPr>
            <w:tcW w:w="0" w:type="auto"/>
            <w:shd w:val="clear" w:color="auto" w:fill="auto"/>
            <w:vAlign w:val="center"/>
            <w:hideMark/>
          </w:tcPr>
          <w:p w14:paraId="1E2E07C5"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148 человек</w:t>
            </w:r>
          </w:p>
        </w:tc>
      </w:tr>
      <w:tr w:rsidR="001002C3" w:rsidRPr="007122AB" w14:paraId="1B8A8959" w14:textId="77777777" w:rsidTr="001C3F77">
        <w:tc>
          <w:tcPr>
            <w:tcW w:w="0" w:type="auto"/>
            <w:vMerge w:val="restart"/>
            <w:shd w:val="clear" w:color="auto" w:fill="auto"/>
            <w:vAlign w:val="center"/>
            <w:hideMark/>
          </w:tcPr>
          <w:p w14:paraId="28FDB40F"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0" w:type="auto"/>
            <w:shd w:val="clear" w:color="auto" w:fill="auto"/>
            <w:vAlign w:val="center"/>
            <w:hideMark/>
          </w:tcPr>
          <w:p w14:paraId="27F1757F"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летчиков</w:t>
            </w:r>
          </w:p>
        </w:tc>
        <w:tc>
          <w:tcPr>
            <w:tcW w:w="0" w:type="auto"/>
            <w:shd w:val="clear" w:color="auto" w:fill="auto"/>
            <w:vAlign w:val="center"/>
            <w:hideMark/>
          </w:tcPr>
          <w:p w14:paraId="75355F0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297 человек</w:t>
            </w:r>
          </w:p>
        </w:tc>
      </w:tr>
      <w:tr w:rsidR="001002C3" w:rsidRPr="007122AB" w14:paraId="5A84A4AF" w14:textId="77777777" w:rsidTr="001C3F77">
        <w:tc>
          <w:tcPr>
            <w:tcW w:w="0" w:type="auto"/>
            <w:vMerge/>
            <w:shd w:val="clear" w:color="auto" w:fill="auto"/>
            <w:vAlign w:val="center"/>
            <w:hideMark/>
          </w:tcPr>
          <w:p w14:paraId="2CC3E909" w14:textId="77777777" w:rsidR="00347672" w:rsidRPr="007122AB" w:rsidRDefault="00347672" w:rsidP="007122AB">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72CFBF9B"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техников</w:t>
            </w:r>
          </w:p>
        </w:tc>
        <w:tc>
          <w:tcPr>
            <w:tcW w:w="0" w:type="auto"/>
            <w:shd w:val="clear" w:color="auto" w:fill="auto"/>
            <w:vAlign w:val="center"/>
            <w:hideMark/>
          </w:tcPr>
          <w:p w14:paraId="26F68623"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198 человек</w:t>
            </w:r>
          </w:p>
        </w:tc>
      </w:tr>
      <w:tr w:rsidR="001002C3" w:rsidRPr="007122AB" w14:paraId="276147D8" w14:textId="77777777" w:rsidTr="001C3F77">
        <w:tc>
          <w:tcPr>
            <w:tcW w:w="0" w:type="auto"/>
            <w:vMerge w:val="restart"/>
            <w:shd w:val="clear" w:color="auto" w:fill="auto"/>
            <w:vAlign w:val="center"/>
            <w:hideMark/>
          </w:tcPr>
          <w:p w14:paraId="2DAEC1B7"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с ранее переданными в ВОГВФ в 1931 г. передается:</w:t>
            </w:r>
          </w:p>
        </w:tc>
        <w:tc>
          <w:tcPr>
            <w:tcW w:w="0" w:type="auto"/>
            <w:shd w:val="clear" w:color="auto" w:fill="auto"/>
            <w:vAlign w:val="center"/>
            <w:hideMark/>
          </w:tcPr>
          <w:p w14:paraId="244A51CA"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летчиков</w:t>
            </w:r>
          </w:p>
        </w:tc>
        <w:tc>
          <w:tcPr>
            <w:tcW w:w="0" w:type="auto"/>
            <w:shd w:val="clear" w:color="auto" w:fill="auto"/>
            <w:vAlign w:val="center"/>
            <w:hideMark/>
          </w:tcPr>
          <w:p w14:paraId="523070B9"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 человек</w:t>
            </w:r>
          </w:p>
        </w:tc>
      </w:tr>
      <w:tr w:rsidR="001002C3" w:rsidRPr="007122AB" w14:paraId="186BB71D" w14:textId="77777777" w:rsidTr="001C3F77">
        <w:tc>
          <w:tcPr>
            <w:tcW w:w="0" w:type="auto"/>
            <w:vMerge/>
            <w:shd w:val="clear" w:color="auto" w:fill="auto"/>
            <w:vAlign w:val="center"/>
            <w:hideMark/>
          </w:tcPr>
          <w:p w14:paraId="5A0DECC1" w14:textId="77777777" w:rsidR="00347672" w:rsidRPr="007122AB" w:rsidRDefault="00347672" w:rsidP="007122AB">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6340864C"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техников</w:t>
            </w:r>
          </w:p>
        </w:tc>
        <w:tc>
          <w:tcPr>
            <w:tcW w:w="0" w:type="auto"/>
            <w:shd w:val="clear" w:color="auto" w:fill="auto"/>
            <w:vAlign w:val="center"/>
            <w:hideMark/>
          </w:tcPr>
          <w:p w14:paraId="3D6CF7D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 человек</w:t>
            </w:r>
          </w:p>
        </w:tc>
      </w:tr>
      <w:tr w:rsidR="001002C3" w:rsidRPr="007122AB" w14:paraId="1D3061E8" w14:textId="77777777" w:rsidTr="001C3F77">
        <w:tc>
          <w:tcPr>
            <w:tcW w:w="0" w:type="auto"/>
            <w:shd w:val="clear" w:color="auto" w:fill="auto"/>
            <w:vAlign w:val="center"/>
            <w:hideMark/>
          </w:tcPr>
          <w:p w14:paraId="775C9120"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передать</w:t>
            </w:r>
          </w:p>
        </w:tc>
        <w:tc>
          <w:tcPr>
            <w:tcW w:w="0" w:type="auto"/>
            <w:shd w:val="clear" w:color="auto" w:fill="auto"/>
            <w:vAlign w:val="center"/>
            <w:hideMark/>
          </w:tcPr>
          <w:p w14:paraId="35385E4E"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shd w:val="clear" w:color="auto" w:fill="auto"/>
            <w:vAlign w:val="center"/>
            <w:hideMark/>
          </w:tcPr>
          <w:p w14:paraId="4E869C8B"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 летчиков</w:t>
            </w:r>
          </w:p>
        </w:tc>
      </w:tr>
    </w:tbl>
    <w:p w14:paraId="6428B9DA" w14:textId="77777777" w:rsidR="00347672" w:rsidRPr="007122AB" w:rsidRDefault="003476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(18112).</w:t>
      </w:r>
    </w:p>
    <w:p w14:paraId="096EBF5C" w14:textId="77777777" w:rsidR="00347672" w:rsidRPr="007122AB" w:rsidRDefault="00347672" w:rsidP="007122AB">
      <w:pPr>
        <w:spacing w:after="0" w:line="240" w:lineRule="auto"/>
        <w:jc w:val="both"/>
        <w:rPr>
          <w:rFonts w:ascii="Times New Roman" w:hAnsi="Times New Roman"/>
          <w:color w:val="000000" w:themeColor="text1"/>
          <w:sz w:val="16"/>
          <w:szCs w:val="16"/>
        </w:rPr>
      </w:pPr>
    </w:p>
    <w:p w14:paraId="78AFD3C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C5BA12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432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5 и 11 июня 1931. Из протокола заседания Политбюро № 42, 1931 г.</w:t>
      </w:r>
    </w:p>
    <w:p w14:paraId="54CF8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бюджете г. Москвы</w:t>
      </w:r>
    </w:p>
    <w:p w14:paraId="38F75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Дополнительную программу расходов по бюджету Москвы 1931 г. сверх контрольных цифр определить, за округлением, в 52 млн. руб... </w:t>
      </w:r>
    </w:p>
    <w:p w14:paraId="0438CE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Дополнительные ассигнования израсходовать на следующие работы: </w:t>
      </w:r>
    </w:p>
    <w:p w14:paraId="12472C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автобусному, таксомоторному и автогрузовому хозяйству: </w:t>
      </w:r>
    </w:p>
    <w:p w14:paraId="4F8A1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Представить Моссовету право установить известную накидку на оплату грузооборота по г. Москве, использовав полученные суммы на постройку гаражей и упорядочение гаражного хозяйства; размер накидки должен быть утвержден Советом труда и обороны. </w:t>
      </w:r>
    </w:p>
    <w:p w14:paraId="7FBD3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определить ассигнование на приобретение дополнительных — сверх программы — 200 таксомоторов в 525 тыс. руб. </w:t>
      </w:r>
    </w:p>
    <w:p w14:paraId="1939D2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благоустройству: </w:t>
      </w:r>
    </w:p>
    <w:p w14:paraId="5A5F1F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Признать необходимым ассигнование на постройку 20 поливочных машин 360 тыс. руб.; на производство 20 ассенизационных автомобилей 300 тыс. руб.; для ассенизационного обоза (400 бочек с лошадьми и всеми принадлежностями) 400 тыс. руб.; на постройку 10 подземных уборных 500 тыс. руб.; на </w:t>
      </w:r>
      <w:proofErr w:type="spellStart"/>
      <w:r w:rsidRPr="007122AB">
        <w:rPr>
          <w:rFonts w:ascii="Times New Roman" w:hAnsi="Times New Roman"/>
          <w:color w:val="000000" w:themeColor="text1"/>
          <w:sz w:val="16"/>
          <w:szCs w:val="16"/>
        </w:rPr>
        <w:t>бензоразливочные</w:t>
      </w:r>
      <w:proofErr w:type="spellEnd"/>
      <w:r w:rsidRPr="007122AB">
        <w:rPr>
          <w:rFonts w:ascii="Times New Roman" w:hAnsi="Times New Roman"/>
          <w:color w:val="000000" w:themeColor="text1"/>
          <w:sz w:val="16"/>
          <w:szCs w:val="16"/>
        </w:rPr>
        <w:t xml:space="preserve"> колонки. 10 шт. 100 тыс. руб.; на расширение осветительной сети 100 тыс. руб... </w:t>
      </w:r>
    </w:p>
    <w:p w14:paraId="0E3BEC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Ввиду того, что общегосударственные хозяйственные организации предъявляют с каждым годом все большие требования на жилстроительство (приглашение иностранных специалистов, вызов работников из провинции), а участие их в жилстроительстве крайне недостаточно, предложить хозяйственным и государственным органам запроектировать на 1932 г. строительство домов для удовлетворения нужд своих работников, а ВСНХ обеспечить строительство домов для вновь строящихся заводов. В частности, поручить ВСНХ уже в этом году начать строительство нескольких домов для перевода в них из гостиниц иностранных специалистов, живущих там длительное время. </w:t>
      </w:r>
      <w:proofErr w:type="spellStart"/>
      <w:r w:rsidRPr="007122AB">
        <w:rPr>
          <w:rFonts w:ascii="Times New Roman" w:hAnsi="Times New Roman"/>
          <w:color w:val="000000" w:themeColor="text1"/>
          <w:sz w:val="16"/>
          <w:szCs w:val="16"/>
        </w:rPr>
        <w:t>НКПСу</w:t>
      </w:r>
      <w:proofErr w:type="spellEnd"/>
      <w:r w:rsidRPr="007122AB">
        <w:rPr>
          <w:rFonts w:ascii="Times New Roman" w:hAnsi="Times New Roman"/>
          <w:color w:val="000000" w:themeColor="text1"/>
          <w:sz w:val="16"/>
          <w:szCs w:val="16"/>
        </w:rPr>
        <w:t xml:space="preserve"> приступить к строительству в текущем году одной гостиницы в привокзальном районе на Каланчевской площади (11652).</w:t>
      </w:r>
    </w:p>
    <w:p w14:paraId="2BE114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E5F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5 и 11 июня 1931. Из протокола заседания Политбюро № 41, 1931 г.</w:t>
      </w:r>
    </w:p>
    <w:p w14:paraId="35D12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В выборе места для постройки Дворца Советов остановиться на площадке храма Христа Спасителя; </w:t>
      </w:r>
    </w:p>
    <w:p w14:paraId="330189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 Дворце Советов иметь один зал на 12-15 тыс. и другой на 4-5 тыс. (11652).</w:t>
      </w:r>
    </w:p>
    <w:p w14:paraId="5D0D5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5F3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5 и 11 июня 1931. Из протокола заседания Политбюро № 42, 1931 г.</w:t>
      </w:r>
    </w:p>
    <w:p w14:paraId="57AF9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тиражах "Правды" и "Известий ЦИК СССР и ВЦИК"</w:t>
      </w:r>
    </w:p>
    <w:p w14:paraId="0750B9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Ввиду значительного невыполнения производственных программ бумажной промышленностью, в частности, благодаря остановке ряда предприятий во время наводнения, положение с газетной бумагой является крайне напряженным. ЦК одобряет предложение комиссии тов. </w:t>
      </w:r>
      <w:proofErr w:type="spellStart"/>
      <w:r w:rsidRPr="007122AB">
        <w:rPr>
          <w:rFonts w:ascii="Times New Roman" w:hAnsi="Times New Roman"/>
          <w:color w:val="000000" w:themeColor="text1"/>
          <w:sz w:val="16"/>
          <w:szCs w:val="16"/>
        </w:rPr>
        <w:t>Межлаука</w:t>
      </w:r>
      <w:proofErr w:type="spellEnd"/>
      <w:r w:rsidRPr="007122AB">
        <w:rPr>
          <w:rFonts w:ascii="Times New Roman" w:hAnsi="Times New Roman"/>
          <w:color w:val="000000" w:themeColor="text1"/>
          <w:sz w:val="16"/>
          <w:szCs w:val="16"/>
        </w:rPr>
        <w:t xml:space="preserve"> об ограничении на июнь месяц тиражей "Правды" — до 2 млн экз.; "Известий ЦИК СССР и ВЦИК" — до 1 млн 400 тыс. экз. </w:t>
      </w:r>
    </w:p>
    <w:p w14:paraId="3ED96D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тов. </w:t>
      </w:r>
      <w:proofErr w:type="spellStart"/>
      <w:r w:rsidRPr="007122AB">
        <w:rPr>
          <w:rFonts w:ascii="Times New Roman" w:hAnsi="Times New Roman"/>
          <w:color w:val="000000" w:themeColor="text1"/>
          <w:sz w:val="16"/>
          <w:szCs w:val="16"/>
        </w:rPr>
        <w:t>Межлауку</w:t>
      </w:r>
      <w:proofErr w:type="spellEnd"/>
      <w:r w:rsidRPr="007122AB">
        <w:rPr>
          <w:rFonts w:ascii="Times New Roman" w:hAnsi="Times New Roman"/>
          <w:color w:val="000000" w:themeColor="text1"/>
          <w:sz w:val="16"/>
          <w:szCs w:val="16"/>
        </w:rPr>
        <w:t xml:space="preserve"> В. в месячный срок наметить и провести ряд конкретных мероприятий для устранения неполадок в бумажной промышленности и в ее руководстве с тем, чтобы гарантировать бесперебойное снабжение газет бумагой и обеспечить накопление резерва газетной бумаги (11652).</w:t>
      </w:r>
    </w:p>
    <w:p w14:paraId="365B6E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9A9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5 и 11 июня 1931. Из протокола заседания Политбюро № 41, 1931 г.</w:t>
      </w:r>
    </w:p>
    <w:p w14:paraId="01F54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постройке кинотеатра на Сталинградском тракторном заводе</w:t>
      </w:r>
    </w:p>
    <w:p w14:paraId="3AA9B0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Обязать тов. Шумяцкого (председатель "</w:t>
      </w:r>
      <w:proofErr w:type="spellStart"/>
      <w:r w:rsidRPr="007122AB">
        <w:rPr>
          <w:rFonts w:ascii="Times New Roman" w:hAnsi="Times New Roman"/>
          <w:color w:val="000000" w:themeColor="text1"/>
          <w:sz w:val="16"/>
          <w:szCs w:val="16"/>
        </w:rPr>
        <w:t>Союзкино</w:t>
      </w:r>
      <w:proofErr w:type="spellEnd"/>
      <w:r w:rsidRPr="007122AB">
        <w:rPr>
          <w:rFonts w:ascii="Times New Roman" w:hAnsi="Times New Roman"/>
          <w:color w:val="000000" w:themeColor="text1"/>
          <w:sz w:val="16"/>
          <w:szCs w:val="16"/>
        </w:rPr>
        <w:t xml:space="preserve">") построить в месячный срок летнее помещение для кинотеатра для Сталинградского тракторного завода на не менее 1500-2000 мест. </w:t>
      </w:r>
    </w:p>
    <w:p w14:paraId="1AEEFD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Обязать тов. Шумяцкого теперь же приступить к постройке временного помещения зимнего кинотеатра на такое же количество мест (11652).</w:t>
      </w:r>
    </w:p>
    <w:p w14:paraId="5D74D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A863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5 и 11 июня 1931. Из протокола заседания Политбюро № 41, 1931 г.</w:t>
      </w:r>
    </w:p>
    <w:p w14:paraId="420856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порядке рубки леса </w:t>
      </w:r>
    </w:p>
    <w:p w14:paraId="54F04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СНК СССР в месячный срок подготовить проект закона об абсолютном воспрещении вырубки леса в известных районах в целях сохранения воды в реках, о некоторых ограничениях рубки в других районах и о неограниченной рубке леса в прочих районах (11652).</w:t>
      </w:r>
    </w:p>
    <w:p w14:paraId="20966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751C3D"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и 6 июня 1931 в газете «Экономическая жизнь», органе Госплана и Наркомат финансов появилась статья </w:t>
      </w:r>
      <w:proofErr w:type="spellStart"/>
      <w:r w:rsidRPr="007122AB">
        <w:rPr>
          <w:rFonts w:ascii="Times New Roman" w:hAnsi="Times New Roman"/>
          <w:color w:val="000000" w:themeColor="text1"/>
          <w:sz w:val="16"/>
          <w:szCs w:val="16"/>
        </w:rPr>
        <w:t>Пузиса</w:t>
      </w:r>
      <w:proofErr w:type="spellEnd"/>
      <w:r w:rsidRPr="007122AB">
        <w:rPr>
          <w:rFonts w:ascii="Times New Roman" w:hAnsi="Times New Roman"/>
          <w:color w:val="000000" w:themeColor="text1"/>
          <w:sz w:val="16"/>
          <w:szCs w:val="16"/>
        </w:rPr>
        <w:t>. В ней автор резко отверг метро как средство сообщения, противоречащее духу социалистического строительства. Проведенный весной 1930 г. опрос политиков о будущем развитии советской столицы показал, что большинство стремится к уменьшению Москвы. Социализм должен преодолеть громадные агломерации путем иного дислоцирования промышленности. Москва является политическим центром, ей нет необходимости оставаться и экономическим средоточием. Единственно верная городская планировка заключается в раздроблении крупного города на ряд самостоятельных, полностью автономных единиц, причем необходимость сообщения между этими частями снизится.</w:t>
      </w:r>
    </w:p>
    <w:p w14:paraId="38C937B6"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Значительный рост уличного движения служит не аргументом в пользу сооружения метрополитена, а просто симптомом слабого уровня снабжения и плохого городского планирования. Социалистическая планировка города должна быть нацелена на минимизацию уличного движения, так как каждая поездка означает потерю времени{324}.Опыт Парижа, Лондона или Нью-Йорка свидетельствует, что метрополитен носит глубочайший антисоциальный характер (мало комфорта, давка, плохой воздух, длинные переходы с одной линии на другую), и, кроме того, его строительство слишком дорого обходится{325} (18299).</w:t>
      </w:r>
    </w:p>
    <w:p w14:paraId="1A6B1C02" w14:textId="77777777" w:rsidR="008C0A45" w:rsidRPr="007122AB" w:rsidRDefault="008C0A45" w:rsidP="007122AB">
      <w:pPr>
        <w:spacing w:after="0" w:line="240" w:lineRule="auto"/>
        <w:jc w:val="both"/>
        <w:rPr>
          <w:rFonts w:ascii="Times New Roman" w:hAnsi="Times New Roman"/>
          <w:color w:val="000000" w:themeColor="text1"/>
          <w:sz w:val="16"/>
          <w:szCs w:val="16"/>
        </w:rPr>
      </w:pPr>
    </w:p>
    <w:p w14:paraId="5621D6D3" w14:textId="77777777" w:rsidR="000455FA" w:rsidRPr="007122AB" w:rsidRDefault="000455F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B3B4D58" w14:textId="77777777" w:rsidR="000455FA" w:rsidRPr="007122AB" w:rsidRDefault="000455F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CD339F1" w14:textId="77777777" w:rsidR="000455FA" w:rsidRPr="007122AB" w:rsidRDefault="000455F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июня 1931 CWA Скотт побил рекорд самого быстрого одиночного перелета из Австралии в Англию, пролетев 10 660 миль (17 160 км) из </w:t>
      </w:r>
      <w:proofErr w:type="spellStart"/>
      <w:r w:rsidRPr="007122AB">
        <w:rPr>
          <w:rFonts w:ascii="Times New Roman" w:hAnsi="Times New Roman"/>
          <w:color w:val="000000" w:themeColor="text1"/>
          <w:sz w:val="16"/>
          <w:szCs w:val="16"/>
        </w:rPr>
        <w:t>Виндема</w:t>
      </w:r>
      <w:proofErr w:type="spellEnd"/>
      <w:r w:rsidRPr="007122AB">
        <w:rPr>
          <w:rFonts w:ascii="Times New Roman" w:hAnsi="Times New Roman"/>
          <w:color w:val="000000" w:themeColor="text1"/>
          <w:sz w:val="16"/>
          <w:szCs w:val="16"/>
        </w:rPr>
        <w:t xml:space="preserve">, Австралия, в </w:t>
      </w:r>
      <w:proofErr w:type="spellStart"/>
      <w:r w:rsidRPr="007122AB">
        <w:rPr>
          <w:rFonts w:ascii="Times New Roman" w:hAnsi="Times New Roman"/>
          <w:color w:val="000000" w:themeColor="text1"/>
          <w:sz w:val="16"/>
          <w:szCs w:val="16"/>
        </w:rPr>
        <w:t>Лимпн</w:t>
      </w:r>
      <w:proofErr w:type="spellEnd"/>
      <w:r w:rsidRPr="007122AB">
        <w:rPr>
          <w:rFonts w:ascii="Times New Roman" w:hAnsi="Times New Roman"/>
          <w:color w:val="000000" w:themeColor="text1"/>
          <w:sz w:val="16"/>
          <w:szCs w:val="16"/>
        </w:rPr>
        <w:t>, Англия, с 26 мая по 5 июня за 10 дней 23 часа пилотирования на DH. 60 Мотылек (</w:t>
      </w:r>
      <w:proofErr w:type="spellStart"/>
      <w:r w:rsidRPr="007122AB">
        <w:rPr>
          <w:rFonts w:ascii="Times New Roman" w:hAnsi="Times New Roman"/>
          <w:color w:val="000000" w:themeColor="text1"/>
          <w:sz w:val="16"/>
          <w:szCs w:val="16"/>
        </w:rPr>
        <w:t>Gipsy</w:t>
      </w:r>
      <w:proofErr w:type="spellEnd"/>
      <w:r w:rsidRPr="007122AB">
        <w:rPr>
          <w:rFonts w:ascii="Times New Roman" w:hAnsi="Times New Roman"/>
          <w:color w:val="000000" w:themeColor="text1"/>
          <w:sz w:val="16"/>
          <w:szCs w:val="16"/>
        </w:rPr>
        <w:t xml:space="preserve"> II) (20804).</w:t>
      </w:r>
    </w:p>
    <w:p w14:paraId="0E62B72F" w14:textId="77777777" w:rsidR="000455FA" w:rsidRPr="007122AB" w:rsidRDefault="000455FA" w:rsidP="007122AB">
      <w:pPr>
        <w:spacing w:after="0" w:line="240" w:lineRule="auto"/>
        <w:jc w:val="both"/>
        <w:rPr>
          <w:rFonts w:ascii="Times New Roman" w:hAnsi="Times New Roman"/>
          <w:color w:val="000000" w:themeColor="text1"/>
          <w:sz w:val="16"/>
          <w:szCs w:val="16"/>
        </w:rPr>
      </w:pPr>
    </w:p>
    <w:p w14:paraId="1A1E38D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47862B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32E5FD"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июня 1931 г. начальником ВАО стал начальник УВВС П.И. Баранов, который в тот же день введен и в Президиум ВСНХ СССР. С 21 июня 1931 г. в связи с загрузкой работой в ВАО Баранов освобожден от должности начальника ВВС РККА, которую занял Я.И. Алкснис (24331).</w:t>
      </w:r>
    </w:p>
    <w:p w14:paraId="1AAE0E87" w14:textId="77777777" w:rsidR="00E760AA" w:rsidRPr="00441F34" w:rsidRDefault="00E760AA" w:rsidP="00E760AA">
      <w:pPr>
        <w:spacing w:after="0" w:line="240" w:lineRule="auto"/>
        <w:jc w:val="both"/>
        <w:rPr>
          <w:rFonts w:ascii="Times New Roman" w:hAnsi="Times New Roman"/>
          <w:color w:val="0070C0"/>
          <w:sz w:val="16"/>
          <w:szCs w:val="16"/>
        </w:rPr>
      </w:pPr>
    </w:p>
    <w:p w14:paraId="696F8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июня 1931 года состоялось совещания в НИИ по вопросам перевозки тяжелых самолетов и изменениях конструкции с целью облегчения самолета И5</w:t>
      </w:r>
    </w:p>
    <w:p w14:paraId="7789AA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Транспортировка построенных и запроектированных тяжелых самолетов. Докладчик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w:t>
      </w:r>
    </w:p>
    <w:p w14:paraId="776D7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Заявление представителя ЦАГИ, о том, что разобранные самолеты Р6 и ТБ1 укладываются в нормальный габарит ж/д, самолет АНТ-14 и ТБ3 имеют не нормальный габарит по высоте, самолеты же ТБ4 и АНТ20 и по высоте и по ширине выходят за пределы нормативного габарита, подходят только под увеличенный габарит и требуют при перевозке специальных мер - принять к сведению (3217,52-53).</w:t>
      </w:r>
    </w:p>
    <w:p w14:paraId="3E9B3C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6673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июня 1931 года начальник ЦАГИ </w:t>
      </w:r>
      <w:proofErr w:type="spellStart"/>
      <w:r w:rsidRPr="007122AB">
        <w:rPr>
          <w:rFonts w:ascii="Times New Roman" w:hAnsi="Times New Roman"/>
          <w:color w:val="000000" w:themeColor="text1"/>
          <w:sz w:val="16"/>
          <w:szCs w:val="16"/>
        </w:rPr>
        <w:t>Пурвин</w:t>
      </w:r>
      <w:proofErr w:type="spellEnd"/>
      <w:r w:rsidRPr="007122AB">
        <w:rPr>
          <w:rFonts w:ascii="Times New Roman" w:hAnsi="Times New Roman"/>
          <w:color w:val="000000" w:themeColor="text1"/>
          <w:sz w:val="16"/>
          <w:szCs w:val="16"/>
        </w:rPr>
        <w:t xml:space="preserve"> и зам. начальника ЭАО </w:t>
      </w:r>
      <w:proofErr w:type="spellStart"/>
      <w:r w:rsidRPr="007122AB">
        <w:rPr>
          <w:rFonts w:ascii="Times New Roman" w:hAnsi="Times New Roman"/>
          <w:color w:val="000000" w:themeColor="text1"/>
          <w:sz w:val="16"/>
          <w:szCs w:val="16"/>
        </w:rPr>
        <w:t>Изаксон</w:t>
      </w:r>
      <w:proofErr w:type="spellEnd"/>
      <w:r w:rsidRPr="007122AB">
        <w:rPr>
          <w:rFonts w:ascii="Times New Roman" w:hAnsi="Times New Roman"/>
          <w:color w:val="000000" w:themeColor="text1"/>
          <w:sz w:val="16"/>
          <w:szCs w:val="16"/>
        </w:rPr>
        <w:t xml:space="preserve"> писали письмо № 615сс начальнику ВВС Баранову</w:t>
      </w:r>
    </w:p>
    <w:p w14:paraId="4969E1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Начиная с 1925 года группа работников экспериментально-аэродинамического отдела ЦАГИ в лице Секции особых конструкций работает над проблемой осуществления геликоптера.</w:t>
      </w:r>
    </w:p>
    <w:p w14:paraId="7DFE8E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Постройка геликоптера производилась силами мастерских </w:t>
      </w:r>
      <w:proofErr w:type="spellStart"/>
      <w:r w:rsidRPr="007122AB">
        <w:rPr>
          <w:rFonts w:ascii="Times New Roman" w:hAnsi="Times New Roman"/>
          <w:color w:val="000000" w:themeColor="text1"/>
          <w:sz w:val="16"/>
          <w:szCs w:val="16"/>
        </w:rPr>
        <w:t>АГОСа</w:t>
      </w:r>
      <w:proofErr w:type="spellEnd"/>
      <w:r w:rsidRPr="007122AB">
        <w:rPr>
          <w:rFonts w:ascii="Times New Roman" w:hAnsi="Times New Roman"/>
          <w:color w:val="000000" w:themeColor="text1"/>
          <w:sz w:val="16"/>
          <w:szCs w:val="16"/>
        </w:rPr>
        <w:t xml:space="preserve"> ЦАГИ.</w:t>
      </w:r>
    </w:p>
    <w:p w14:paraId="29BB16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Аппарат был закончен постройкой в июле 1930 года.</w:t>
      </w:r>
    </w:p>
    <w:p w14:paraId="095F61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Построенный аппарат представляет собой одновинтовой геликоптер с винтом диаметром Д-11 м, приводимых во вращение от двух моторов РОН по 120 л.с. Аппарат одноместный и имеет запас горючего примерно на час полета.</w:t>
      </w:r>
    </w:p>
    <w:p w14:paraId="2B2F04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вначале в помещении на территории ЦАГИ, а затем на открытом воздухе на Ухтомском аэродроме длятся с 6 августа 1930 года.</w:t>
      </w:r>
    </w:p>
    <w:p w14:paraId="45C84E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машины проводились сначала на привязи, причем при первых испытаниях машина была крепко притянута к земле, а при последующих она имела возможность совершать подъемы примерно на 300 м.</w:t>
      </w:r>
    </w:p>
    <w:p w14:paraId="30845D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1930 года перешли к испытанию машины без привязи. Аппарат совершил несколько рулений по земле и подъем на высоту примерно 2,5-3 метра. После четырех таких свободных испытаний машина потерпела аварию и ее пришлось основательно ремонтировать.</w:t>
      </w:r>
    </w:p>
    <w:p w14:paraId="60FB2C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апреля 1931 года вновь было приступлено к проведению испытаний.</w:t>
      </w:r>
    </w:p>
    <w:p w14:paraId="1EF4B3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испытаний на привязи было приступлено вновь к свободным испытаниям.</w:t>
      </w:r>
    </w:p>
    <w:p w14:paraId="2C8451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12 мая 1931 года – геликоптер поднялся на максимальную высоту примерно 7-8 метров, совершив после этого достаточно плавную посадку.</w:t>
      </w:r>
    </w:p>
    <w:p w14:paraId="6B3E67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мая 1931 года – максимальная достигнутая высота полета была уже 11-12 м, причем в воздухе был осуществлен поворот направо и налево.</w:t>
      </w:r>
    </w:p>
    <w:p w14:paraId="5402C0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мая 1931 года – максимальная достигнутая высота была 25-30 метров с осуществлением плавного почти вертикального взлета и столь же спокойной посадки. Аппарат в воздухе совершил поворот почти на месте на 360 градусов.</w:t>
      </w:r>
    </w:p>
    <w:p w14:paraId="088D69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одном из повторных испытаний 18 мая 1931 года после полета снова на высоте 25-30 метров при посадке аппарат ударился о землю и потерпел аварию (6926, 4а-5).</w:t>
      </w:r>
    </w:p>
    <w:p w14:paraId="340B38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F030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274660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53759B" w14:textId="77777777" w:rsidR="00AF313F" w:rsidRPr="007122AB" w:rsidRDefault="00AF313F"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 xml:space="preserve">6 июня 1931 г. состоялось рассмотрение проекта МС-1. Сравнительные данные представленной системы и требований, утвержденных Начальником Вооружений РККА, 79 показали, что проект МС-1 не соответствует большинству требований и является недоработанным. Группе «Д» ГДЛ АНИИ было предложено доработать его и представить к 20 августа 1931 г. 19 августа 1931 г. Н. А. </w:t>
      </w:r>
      <w:proofErr w:type="spellStart"/>
      <w:r w:rsidRPr="007122AB">
        <w:rPr>
          <w:rFonts w:ascii="Times New Roman" w:hAnsi="Times New Roman"/>
          <w:color w:val="000000" w:themeColor="text1"/>
          <w:sz w:val="16"/>
          <w:szCs w:val="16"/>
        </w:rPr>
        <w:t>Доровлевым</w:t>
      </w:r>
      <w:proofErr w:type="spellEnd"/>
      <w:r w:rsidRPr="007122AB">
        <w:rPr>
          <w:rFonts w:ascii="Times New Roman" w:hAnsi="Times New Roman"/>
          <w:color w:val="000000" w:themeColor="text1"/>
          <w:sz w:val="16"/>
          <w:szCs w:val="16"/>
        </w:rPr>
        <w:t xml:space="preserve"> было сообщено во II секцию НТК АУ о том, что разработка представленного в апреле проекта преследовала цель выявления пригодности (или непригодности) схемы Стокса для тяжелых минометов и, по словам инженера, стала «иллюстрацией непригодности системы Стокса во всех отношениях, и в весовом, и в смысле обслуживания».278 Подтвердившиеся расчеты стали основой для продолжения работ по созданию тяжелых минометов на газодинамическом принципе. В развитие работ по проектированию тяжелого миномета, Н. А. </w:t>
      </w:r>
      <w:proofErr w:type="spellStart"/>
      <w:r w:rsidRPr="007122AB">
        <w:rPr>
          <w:rFonts w:ascii="Times New Roman" w:hAnsi="Times New Roman"/>
          <w:color w:val="000000" w:themeColor="text1"/>
          <w:sz w:val="16"/>
          <w:szCs w:val="16"/>
        </w:rPr>
        <w:t>Доровлевым</w:t>
      </w:r>
      <w:proofErr w:type="spellEnd"/>
      <w:r w:rsidRPr="007122AB">
        <w:rPr>
          <w:rFonts w:ascii="Times New Roman" w:hAnsi="Times New Roman"/>
          <w:color w:val="000000" w:themeColor="text1"/>
          <w:sz w:val="16"/>
          <w:szCs w:val="16"/>
        </w:rPr>
        <w:t xml:space="preserve"> было предложено провести модернизацию 240-мм тяжелого миномета </w:t>
      </w:r>
      <w:proofErr w:type="spellStart"/>
      <w:r w:rsidRPr="007122AB">
        <w:rPr>
          <w:rFonts w:ascii="Times New Roman" w:hAnsi="Times New Roman"/>
          <w:color w:val="000000" w:themeColor="text1"/>
          <w:sz w:val="16"/>
          <w:szCs w:val="16"/>
        </w:rPr>
        <w:t>Батиньоля</w:t>
      </w:r>
      <w:proofErr w:type="spellEnd"/>
      <w:r w:rsidRPr="007122AB">
        <w:rPr>
          <w:rFonts w:ascii="Times New Roman" w:hAnsi="Times New Roman"/>
          <w:color w:val="000000" w:themeColor="text1"/>
          <w:sz w:val="16"/>
          <w:szCs w:val="16"/>
        </w:rPr>
        <w:t>, для которой предварительно должны были быть проведены испытания 165-мм газодинамического миномета.279 Кроме этого, II секции НТК АУ было предложено возбудить ходатайство перед Начальником Вооружений РККА об изменении требований на проектирование тяжелых минометов в части изменения веса системы в боевом положении до 1 000 кг.280 (20074).</w:t>
      </w:r>
    </w:p>
    <w:p w14:paraId="7ED3A0D5" w14:textId="77777777" w:rsidR="00AF313F" w:rsidRPr="007122AB" w:rsidRDefault="00AF313F" w:rsidP="007122AB">
      <w:pPr>
        <w:spacing w:after="0" w:line="240" w:lineRule="auto"/>
        <w:jc w:val="both"/>
        <w:rPr>
          <w:rFonts w:ascii="Times New Roman" w:eastAsia="TimesNewRomanPSMT" w:hAnsi="Times New Roman"/>
          <w:color w:val="000000" w:themeColor="text1"/>
          <w:sz w:val="16"/>
          <w:szCs w:val="16"/>
        </w:rPr>
      </w:pPr>
    </w:p>
    <w:p w14:paraId="267C1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6 июня по 1 октября 1931 проходили испытания танка ТГ. Достигли скорости 34 км/час, получили хорошую проходимость и маневренность. Отметили много конструктивных недоработок (4658, 23).</w:t>
      </w:r>
    </w:p>
    <w:p w14:paraId="0155B2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9D69C7"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июня 1931 года начальник вооружения РККА И. Уборевич и начальник УММ РККА И.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xml:space="preserve"> утвердили "... задание на проектирование колесно-гусеничного </w:t>
      </w:r>
      <w:hyperlink r:id="rId12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типа Кристи". В этом образце предполагалось сделать следующее:</w:t>
      </w:r>
    </w:p>
    <w:p w14:paraId="64EFE031"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Основным требованием является быстроходность, высокая </w:t>
      </w:r>
      <w:proofErr w:type="spellStart"/>
      <w:r w:rsidRPr="007122AB">
        <w:rPr>
          <w:rFonts w:ascii="Times New Roman" w:hAnsi="Times New Roman"/>
          <w:color w:val="000000" w:themeColor="text1"/>
          <w:sz w:val="16"/>
          <w:szCs w:val="16"/>
        </w:rPr>
        <w:t>проходимлсть</w:t>
      </w:r>
      <w:proofErr w:type="spellEnd"/>
      <w:r w:rsidRPr="007122AB">
        <w:rPr>
          <w:rFonts w:ascii="Times New Roman" w:hAnsi="Times New Roman"/>
          <w:color w:val="000000" w:themeColor="text1"/>
          <w:sz w:val="16"/>
          <w:szCs w:val="16"/>
        </w:rPr>
        <w:t xml:space="preserve"> по всем грунтам и высокий километраж службы до ремонта.</w:t>
      </w:r>
    </w:p>
    <w:p w14:paraId="6178A87E"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не более 14 т.</w:t>
      </w:r>
    </w:p>
    <w:p w14:paraId="6CE4CACE"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Удельная нагрузка не более 0,35 кг/см2.</w:t>
      </w:r>
    </w:p>
    <w:p w14:paraId="2045234B"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Скорость на колесах по шоссе 70 км/ч, на гусеницах не ниже 40 км/ч. Преодолеваемые </w:t>
      </w:r>
      <w:proofErr w:type="spellStart"/>
      <w:r w:rsidRPr="007122AB">
        <w:rPr>
          <w:rFonts w:ascii="Times New Roman" w:hAnsi="Times New Roman"/>
          <w:color w:val="000000" w:themeColor="text1"/>
          <w:sz w:val="16"/>
          <w:szCs w:val="16"/>
        </w:rPr>
        <w:t>препятстви</w:t>
      </w:r>
      <w:proofErr w:type="spellEnd"/>
      <w:r w:rsidRPr="007122AB">
        <w:rPr>
          <w:rFonts w:ascii="Times New Roman" w:hAnsi="Times New Roman"/>
          <w:color w:val="000000" w:themeColor="text1"/>
          <w:sz w:val="16"/>
          <w:szCs w:val="16"/>
        </w:rPr>
        <w:t>: подъемы - 30 град., крен - 30 град.</w:t>
      </w:r>
    </w:p>
    <w:p w14:paraId="1767C1CD"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Километраж службы до износа </w:t>
      </w:r>
      <w:proofErr w:type="spellStart"/>
      <w:r w:rsidRPr="007122AB">
        <w:rPr>
          <w:rFonts w:ascii="Times New Roman" w:hAnsi="Times New Roman"/>
          <w:color w:val="000000" w:themeColor="text1"/>
          <w:sz w:val="16"/>
          <w:szCs w:val="16"/>
        </w:rPr>
        <w:t>гксеничного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движетеля</w:t>
      </w:r>
      <w:proofErr w:type="spellEnd"/>
      <w:r w:rsidRPr="007122AB">
        <w:rPr>
          <w:rFonts w:ascii="Times New Roman" w:hAnsi="Times New Roman"/>
          <w:color w:val="000000" w:themeColor="text1"/>
          <w:sz w:val="16"/>
          <w:szCs w:val="16"/>
        </w:rPr>
        <w:t xml:space="preserve"> и трансмиссии не менее 3000 км, на колесах - не ниже 10000 км.</w:t>
      </w:r>
    </w:p>
    <w:p w14:paraId="028288E1"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Живучесть мотора - не менее чем 500 часов работы.</w:t>
      </w:r>
    </w:p>
    <w:p w14:paraId="64C9C414"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Проходимость: клиренс - 350 мм, ров - 2 м, брод - 1 м, стенка - 0,6 м.</w:t>
      </w:r>
    </w:p>
    <w:p w14:paraId="2B7410C8"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- 76-мм противоштурмовая (временно) и 37-мм орудия и 2 пулемета. Одно орудие и один пулемет размещаются во вращающейся башне, второе орудие может быть установлено не в башне.</w:t>
      </w:r>
    </w:p>
    <w:p w14:paraId="1EB48726"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Боекомплект - 40 выстрелов к 76-мм, 100 выстрелов к 37-мм, 5000 патрон.</w:t>
      </w:r>
    </w:p>
    <w:p w14:paraId="0EB18304"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лоб - 30 мм, борт - 13 мм, башня - 20 мм, корма - 20 мм, дно, крыша - 6 мм.</w:t>
      </w:r>
    </w:p>
    <w:p w14:paraId="4AFBEB7F"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 не менее 3 человек.</w:t>
      </w:r>
    </w:p>
    <w:p w14:paraId="3D864612"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 не менее 4 часов.</w:t>
      </w:r>
    </w:p>
    <w:p w14:paraId="633AFFB2"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II. Обязать начальника Артиллерийского управления в 5-месячный срок изготовить опытные образцы специальной </w:t>
      </w:r>
      <w:hyperlink r:id="rId13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овой 76-мм пушки с полуавтоматическим затвором...</w:t>
      </w:r>
    </w:p>
    <w:p w14:paraId="697043BA"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Производственное требование - при проектировании этой машины должны быть приняты все меры к использованию идущих или предполагавшихся в производстве агрегатов, частей и механизмов" (15619).</w:t>
      </w:r>
    </w:p>
    <w:p w14:paraId="12E31E46" w14:textId="77777777" w:rsidR="008B6E64" w:rsidRPr="007122AB" w:rsidRDefault="008B6E64" w:rsidP="007122AB">
      <w:pPr>
        <w:spacing w:after="0" w:line="240" w:lineRule="auto"/>
        <w:jc w:val="both"/>
        <w:rPr>
          <w:rFonts w:ascii="Times New Roman" w:hAnsi="Times New Roman"/>
          <w:color w:val="000000" w:themeColor="text1"/>
          <w:sz w:val="16"/>
          <w:szCs w:val="16"/>
        </w:rPr>
      </w:pPr>
    </w:p>
    <w:p w14:paraId="2E0D25E4"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июня 1931 года начальник УММ РККА И.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xml:space="preserve"> утвердил тактико-технические требования на проектирование легкого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МВЛ-31 с двумя 7б,2-мм пушками образца 1909 года. При этом за основу предлагалось взять изготовленный для ОПТУ опытный образец Д-2:</w:t>
      </w:r>
    </w:p>
    <w:p w14:paraId="49737A16"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w:t>
      </w:r>
    </w:p>
    <w:p w14:paraId="6E1F8B29"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Характеристика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w:t>
      </w:r>
    </w:p>
    <w:p w14:paraId="4B2A96AF"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Мотор 90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стандартный, Ярославского завода.</w:t>
      </w:r>
    </w:p>
    <w:p w14:paraId="3BE39BE7"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Постановкой реверса должно быть обеспечено движение в обеих направлениях.</w:t>
      </w:r>
    </w:p>
    <w:p w14:paraId="25E0CF13"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Максимальная скорость - 75 км/ч, запас хода - 500 км.</w:t>
      </w:r>
    </w:p>
    <w:p w14:paraId="3C74E3CB"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Колея - нормальная СССР 1524 мм, путем передвижки должен быть обеспечен переход на Западно-Европейскую колею 1435 мм.</w:t>
      </w:r>
    </w:p>
    <w:p w14:paraId="6B53BF0E"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На </w:t>
      </w:r>
      <w:proofErr w:type="spellStart"/>
      <w:r w:rsidRPr="007122AB">
        <w:rPr>
          <w:rFonts w:ascii="Times New Roman" w:hAnsi="Times New Roman"/>
          <w:color w:val="000000" w:themeColor="text1"/>
          <w:sz w:val="16"/>
          <w:szCs w:val="16"/>
        </w:rPr>
        <w:t>мотоброневагоне</w:t>
      </w:r>
      <w:proofErr w:type="spellEnd"/>
      <w:r w:rsidRPr="007122AB">
        <w:rPr>
          <w:rFonts w:ascii="Times New Roman" w:hAnsi="Times New Roman"/>
          <w:color w:val="000000" w:themeColor="text1"/>
          <w:sz w:val="16"/>
          <w:szCs w:val="16"/>
        </w:rPr>
        <w:t xml:space="preserve"> должно быть предусмотрено воздушное и ручное торможение и песочницы.</w:t>
      </w:r>
    </w:p>
    <w:p w14:paraId="06D573E6"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Нагрузка на ось де должна быть больше 18 т.</w:t>
      </w:r>
    </w:p>
    <w:p w14:paraId="45CC031D"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ж. На </w:t>
      </w:r>
      <w:proofErr w:type="spellStart"/>
      <w:r w:rsidRPr="007122AB">
        <w:rPr>
          <w:rFonts w:ascii="Times New Roman" w:hAnsi="Times New Roman"/>
          <w:color w:val="000000" w:themeColor="text1"/>
          <w:sz w:val="16"/>
          <w:szCs w:val="16"/>
        </w:rPr>
        <w:t>мотоброневагоне</w:t>
      </w:r>
      <w:proofErr w:type="spellEnd"/>
      <w:r w:rsidRPr="007122AB">
        <w:rPr>
          <w:rFonts w:ascii="Times New Roman" w:hAnsi="Times New Roman"/>
          <w:color w:val="000000" w:themeColor="text1"/>
          <w:sz w:val="16"/>
          <w:szCs w:val="16"/>
        </w:rPr>
        <w:t xml:space="preserve"> должен находится пост управления огнем и движением с необходимым оборудованием.</w:t>
      </w:r>
    </w:p>
    <w:p w14:paraId="3EA05118"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Вооружение - 2 7б,2-мм орудия, 4 бортовых </w:t>
      </w:r>
      <w:proofErr w:type="spellStart"/>
      <w:r w:rsidRPr="007122AB">
        <w:rPr>
          <w:rFonts w:ascii="Times New Roman" w:hAnsi="Times New Roman"/>
          <w:color w:val="000000" w:themeColor="text1"/>
          <w:sz w:val="16"/>
          <w:szCs w:val="16"/>
        </w:rPr>
        <w:t>ir</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лемета</w:t>
      </w:r>
      <w:proofErr w:type="spellEnd"/>
      <w:r w:rsidRPr="007122AB">
        <w:rPr>
          <w:rFonts w:ascii="Times New Roman" w:hAnsi="Times New Roman"/>
          <w:color w:val="000000" w:themeColor="text1"/>
          <w:sz w:val="16"/>
          <w:szCs w:val="16"/>
        </w:rPr>
        <w:t xml:space="preserve"> Максима, 2 пулемета ДТ в башнях и 2 спаренных зенитных Максима. Боекомплект - 500 снарядов, 32000 патронов.</w:t>
      </w:r>
    </w:p>
    <w:p w14:paraId="2753CC3A"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Установка 76,2-мм орудий.</w:t>
      </w:r>
    </w:p>
    <w:p w14:paraId="54CEA3FC"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Орудия должны быть установлены на тумбах в башнях, обеспечивающих круговой обстрел и углы возвышения от -5 до +30 град.</w:t>
      </w:r>
    </w:p>
    <w:p w14:paraId="1675EF5D"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Скорострельность, допускаемая лафетом - не менее 10 выстрелов в минуту.</w:t>
      </w:r>
    </w:p>
    <w:p w14:paraId="456C7D14"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w:t>
      </w:r>
    </w:p>
    <w:p w14:paraId="6E074E3E" w14:textId="77777777" w:rsidR="008B6E64" w:rsidRPr="007122AB" w:rsidRDefault="008B6E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в ходе дальнейшего обсуждения УММ РККА отказалось от использования в качестве базового для серийного производства опытный образец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Д-2 (15624).</w:t>
      </w:r>
    </w:p>
    <w:p w14:paraId="29518288" w14:textId="77777777" w:rsidR="008B6E64" w:rsidRPr="007122AB" w:rsidRDefault="008B6E64" w:rsidP="007122AB">
      <w:pPr>
        <w:spacing w:after="0" w:line="240" w:lineRule="auto"/>
        <w:jc w:val="both"/>
        <w:rPr>
          <w:rFonts w:ascii="Times New Roman" w:hAnsi="Times New Roman"/>
          <w:color w:val="000000" w:themeColor="text1"/>
          <w:sz w:val="16"/>
          <w:szCs w:val="16"/>
        </w:rPr>
      </w:pPr>
    </w:p>
    <w:p w14:paraId="3709655D"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июня 1931 года начальник УММ РККА И.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xml:space="preserve"> утвердил тактико-технические требования на проектирование легкого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МВЛ-31 с двумя 76,2-мм пушками образца 1909 года. При этом за основу предлагалось взять изготовленный для ОПТУ опытный образец Д-2: </w:t>
      </w:r>
    </w:p>
    <w:p w14:paraId="7E825EF9"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 </w:t>
      </w:r>
    </w:p>
    <w:p w14:paraId="6A826D84"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Характеристика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w:t>
      </w:r>
    </w:p>
    <w:p w14:paraId="28B052EC"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Мотор 90 л. с, стандартный, Ярославского завода. </w:t>
      </w:r>
    </w:p>
    <w:p w14:paraId="0F69E5C7"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Постановкой реверса должно быть обеспечено движение в обеих направлениях. </w:t>
      </w:r>
    </w:p>
    <w:p w14:paraId="6CA0C60D"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Максимальная скорость - 75 км/ч, запас хода - 500 км. </w:t>
      </w:r>
    </w:p>
    <w:p w14:paraId="6EDADADA"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Колея - нормальная СССР 1524 мм, путем передвижки должен быть обеспечен переход на Западно-Европейскую колею 1435 мм. </w:t>
      </w:r>
    </w:p>
    <w:p w14:paraId="5D0AE065"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На </w:t>
      </w:r>
      <w:proofErr w:type="spellStart"/>
      <w:r w:rsidRPr="007122AB">
        <w:rPr>
          <w:rFonts w:ascii="Times New Roman" w:hAnsi="Times New Roman"/>
          <w:color w:val="000000" w:themeColor="text1"/>
          <w:sz w:val="16"/>
          <w:szCs w:val="16"/>
        </w:rPr>
        <w:t>мотоброневагоне</w:t>
      </w:r>
      <w:proofErr w:type="spellEnd"/>
      <w:r w:rsidRPr="007122AB">
        <w:rPr>
          <w:rFonts w:ascii="Times New Roman" w:hAnsi="Times New Roman"/>
          <w:color w:val="000000" w:themeColor="text1"/>
          <w:sz w:val="16"/>
          <w:szCs w:val="16"/>
        </w:rPr>
        <w:t xml:space="preserve"> должно быть предусмотрено воздушное и ручное торможение и песочницы. </w:t>
      </w:r>
    </w:p>
    <w:p w14:paraId="054F5EA2"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Нагрузка на ось де должна быть больше 18 т. </w:t>
      </w:r>
    </w:p>
    <w:p w14:paraId="50EE1B75"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ж. На </w:t>
      </w:r>
      <w:proofErr w:type="spellStart"/>
      <w:r w:rsidRPr="007122AB">
        <w:rPr>
          <w:rFonts w:ascii="Times New Roman" w:hAnsi="Times New Roman"/>
          <w:color w:val="000000" w:themeColor="text1"/>
          <w:sz w:val="16"/>
          <w:szCs w:val="16"/>
        </w:rPr>
        <w:t>мотоброневагоне</w:t>
      </w:r>
      <w:proofErr w:type="spellEnd"/>
      <w:r w:rsidRPr="007122AB">
        <w:rPr>
          <w:rFonts w:ascii="Times New Roman" w:hAnsi="Times New Roman"/>
          <w:color w:val="000000" w:themeColor="text1"/>
          <w:sz w:val="16"/>
          <w:szCs w:val="16"/>
        </w:rPr>
        <w:t xml:space="preserve"> должен находится пост управления огнем и движением с необходимым оборудованием. </w:t>
      </w:r>
    </w:p>
    <w:p w14:paraId="59A03098"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Вооружение - 2 7б,2-мм орудия, 4 бортовых пулемета Максима, 2 пулемета ДТ в башнях и 2 спаренных зенитных Максима. Боекомплект - 500 снарядов, 32000 патронов. </w:t>
      </w:r>
    </w:p>
    <w:p w14:paraId="71750FEE"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Установка 7б,2-мм орудий. </w:t>
      </w:r>
    </w:p>
    <w:p w14:paraId="32F12010"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Орудия должны быть установлены на тумбах в башнях, обеспечивающих круговой обстрел и углы возвышения от -5 до +30 град. </w:t>
      </w:r>
    </w:p>
    <w:p w14:paraId="6767D05D"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Скорострельность, допускаемая лафетом - не менее 10 выстрелов в минуту. </w:t>
      </w:r>
    </w:p>
    <w:p w14:paraId="14B175BA"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 </w:t>
      </w:r>
    </w:p>
    <w:p w14:paraId="76FE104C" w14:textId="77777777" w:rsidR="008C0A45" w:rsidRPr="007122AB" w:rsidRDefault="008C0A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в ходе дальнейшего обсуждения УММ РККА отказалось от использования в качестве базового для серийного производства опытный образец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Д-2 (18626).</w:t>
      </w:r>
    </w:p>
    <w:p w14:paraId="0BC42880" w14:textId="77777777" w:rsidR="008C0A45" w:rsidRPr="007122AB" w:rsidRDefault="008C0A45" w:rsidP="007122AB">
      <w:pPr>
        <w:spacing w:after="0" w:line="240" w:lineRule="auto"/>
        <w:jc w:val="both"/>
        <w:rPr>
          <w:rFonts w:ascii="Times New Roman" w:hAnsi="Times New Roman"/>
          <w:color w:val="000000" w:themeColor="text1"/>
          <w:sz w:val="16"/>
          <w:szCs w:val="16"/>
        </w:rPr>
      </w:pPr>
    </w:p>
    <w:p w14:paraId="7F5277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июня 1931 г. решением правления Государственного всесоюзного объединения тяжелого машиностроения "ВОМТ" ВСНХ СССР была создана Техническая контора "</w:t>
      </w:r>
      <w:proofErr w:type="spellStart"/>
      <w:r w:rsidRPr="007122AB">
        <w:rPr>
          <w:rFonts w:ascii="Times New Roman" w:hAnsi="Times New Roman"/>
          <w:color w:val="000000" w:themeColor="text1"/>
          <w:sz w:val="16"/>
          <w:szCs w:val="16"/>
        </w:rPr>
        <w:t>Азотмашстрой</w:t>
      </w:r>
      <w:proofErr w:type="spellEnd"/>
      <w:r w:rsidRPr="007122AB">
        <w:rPr>
          <w:rFonts w:ascii="Times New Roman" w:hAnsi="Times New Roman"/>
          <w:color w:val="000000" w:themeColor="text1"/>
          <w:sz w:val="16"/>
          <w:szCs w:val="16"/>
        </w:rPr>
        <w:t xml:space="preserve">". Приказом ВОМТ от 16 августа 1931 г. контора получает сокращенное название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В начале 30-х годов контора была преобразована в институт, который, начиная с 1931 г., назывался: Государственный институт проектирования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Государственный научно-исследовательский институт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Государственный экспериментально-конструкторский институт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Государственный институт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В 1941 г. институт переименован в Государственный институт химического и бумажного машиностроения "</w:t>
      </w:r>
      <w:proofErr w:type="spellStart"/>
      <w:r w:rsidRPr="007122AB">
        <w:rPr>
          <w:rFonts w:ascii="Times New Roman" w:hAnsi="Times New Roman"/>
          <w:color w:val="000000" w:themeColor="text1"/>
          <w:sz w:val="16"/>
          <w:szCs w:val="16"/>
        </w:rPr>
        <w:t>Гипрохимбуммаш</w:t>
      </w:r>
      <w:proofErr w:type="spellEnd"/>
      <w:r w:rsidRPr="007122AB">
        <w:rPr>
          <w:rFonts w:ascii="Times New Roman" w:hAnsi="Times New Roman"/>
          <w:color w:val="000000" w:themeColor="text1"/>
          <w:sz w:val="16"/>
          <w:szCs w:val="16"/>
        </w:rPr>
        <w:t xml:space="preserve">" и эвакуирован в г. Свердловск. Приказом Наркомата минометного вооружения СССР от 18 августа 1942 г. на базе </w:t>
      </w:r>
      <w:proofErr w:type="spellStart"/>
      <w:r w:rsidRPr="007122AB">
        <w:rPr>
          <w:rFonts w:ascii="Times New Roman" w:hAnsi="Times New Roman"/>
          <w:color w:val="000000" w:themeColor="text1"/>
          <w:sz w:val="16"/>
          <w:szCs w:val="16"/>
        </w:rPr>
        <w:t>Гипрохимбуммаша</w:t>
      </w:r>
      <w:proofErr w:type="spellEnd"/>
      <w:r w:rsidRPr="007122AB">
        <w:rPr>
          <w:rFonts w:ascii="Times New Roman" w:hAnsi="Times New Roman"/>
          <w:color w:val="000000" w:themeColor="text1"/>
          <w:sz w:val="16"/>
          <w:szCs w:val="16"/>
        </w:rPr>
        <w:t>, Экспериментально-конструкторского института химического машиностроения "</w:t>
      </w:r>
      <w:proofErr w:type="spellStart"/>
      <w:r w:rsidRPr="007122AB">
        <w:rPr>
          <w:rFonts w:ascii="Times New Roman" w:hAnsi="Times New Roman"/>
          <w:color w:val="000000" w:themeColor="text1"/>
          <w:sz w:val="16"/>
          <w:szCs w:val="16"/>
        </w:rPr>
        <w:t>ЭКИхиммаш</w:t>
      </w:r>
      <w:proofErr w:type="spellEnd"/>
      <w:r w:rsidRPr="007122AB">
        <w:rPr>
          <w:rFonts w:ascii="Times New Roman" w:hAnsi="Times New Roman"/>
          <w:color w:val="000000" w:themeColor="text1"/>
          <w:sz w:val="16"/>
          <w:szCs w:val="16"/>
        </w:rPr>
        <w:t>" и Конструкторского бюро Киевского завода "Большевик" организован Научно-исследовательский институт химического машиностроения "</w:t>
      </w:r>
      <w:proofErr w:type="spellStart"/>
      <w:r w:rsidRPr="007122AB">
        <w:rPr>
          <w:rFonts w:ascii="Times New Roman" w:hAnsi="Times New Roman"/>
          <w:color w:val="000000" w:themeColor="text1"/>
          <w:sz w:val="16"/>
          <w:szCs w:val="16"/>
        </w:rPr>
        <w:t>НИИхиммаш</w:t>
      </w:r>
      <w:proofErr w:type="spellEnd"/>
      <w:r w:rsidRPr="007122AB">
        <w:rPr>
          <w:rFonts w:ascii="Times New Roman" w:hAnsi="Times New Roman"/>
          <w:color w:val="000000" w:themeColor="text1"/>
          <w:sz w:val="16"/>
          <w:szCs w:val="16"/>
        </w:rPr>
        <w:t>" (12102).</w:t>
      </w:r>
    </w:p>
    <w:p w14:paraId="19C955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E97032" w14:textId="77777777" w:rsidR="00B03AC4" w:rsidRPr="007122AB" w:rsidRDefault="00B03AC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5820289" w14:textId="77777777" w:rsidR="00B03AC4" w:rsidRPr="007122AB" w:rsidRDefault="00B03AC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A8097B"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июня 1931 г. приказом РВС СССР за № 94 все военно-технические школы ВВС РККА переименовывались в военные школы авиационных техников (ВШАТ): 1-я Ленинградская («Военно-техническая школа ВВС РККА имени тов. Ворошилова) – в 1-ю Военную школу авиационных техников имени т. Ворошилова»), 3-я Пермская («3-я Военно-техническая школа ВВС РККА) – в 3-ю Военную школу авиационных техников». Вольская объединенная школа летчиков и авиационных техников переименовывалась во 2-ю ВШАТ, и она стала готовить только авиационных техников (19566).</w:t>
      </w:r>
    </w:p>
    <w:p w14:paraId="548060A4" w14:textId="77777777" w:rsidR="00B03AC4" w:rsidRPr="007122AB" w:rsidRDefault="00B03AC4" w:rsidP="007122AB">
      <w:pPr>
        <w:spacing w:after="0" w:line="240" w:lineRule="auto"/>
        <w:jc w:val="both"/>
        <w:rPr>
          <w:rFonts w:ascii="Times New Roman" w:hAnsi="Times New Roman"/>
          <w:color w:val="000000" w:themeColor="text1"/>
          <w:sz w:val="16"/>
          <w:szCs w:val="16"/>
        </w:rPr>
      </w:pPr>
    </w:p>
    <w:p w14:paraId="490A1AF4" w14:textId="77777777" w:rsidR="00AF313F" w:rsidRPr="007122AB" w:rsidRDefault="00AF313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3B8CC5F" w14:textId="77777777" w:rsidR="00AF313F" w:rsidRPr="007122AB" w:rsidRDefault="00AF31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9291FB"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июня 1931 в газете «Гудок» появилось объявление: «9 июня, в 1 час 30 мин. ночи, из Ленинграда на Москву отправится в первый рейс экспресс «Красная стрела». Расстояние между Ленинградом и Москвой экспресс покроет в 9 ч. 45 мин. Средняя скорость экспресса 70 км в час. На отдельных перегонах скорость дойдет до 100 км в час».</w:t>
      </w:r>
    </w:p>
    <w:p w14:paraId="05F6FA4B"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первый рейс «Красная стрела» отправилась в ночь с 9 на 10 июня 1931 года. В голове состава находился динамометрический вагон, в котором производились записи о ходе поезда. Экспресс вышел из Ленинграда в 1 час 30 минут ночи и прибыл в Москву в 11 часов 20 минут, преодолев расстояние между двумя крупнейшими городами страны за 9 часов 50 минут. Из сообщения газет того времени известно, что участок Ленинград-Малая Вишера (161,7 км) поезд прошел за 2 часа 20 минут со средней скоростью 75-80 км/час, участок </w:t>
      </w:r>
      <w:proofErr w:type="spellStart"/>
      <w:r w:rsidRPr="007122AB">
        <w:rPr>
          <w:rFonts w:ascii="Times New Roman" w:hAnsi="Times New Roman"/>
          <w:color w:val="000000" w:themeColor="text1"/>
          <w:sz w:val="16"/>
          <w:szCs w:val="16"/>
        </w:rPr>
        <w:t>М.Вишера</w:t>
      </w:r>
      <w:proofErr w:type="spellEnd"/>
      <w:r w:rsidRPr="007122AB">
        <w:rPr>
          <w:rFonts w:ascii="Times New Roman" w:hAnsi="Times New Roman"/>
          <w:color w:val="000000" w:themeColor="text1"/>
          <w:sz w:val="16"/>
          <w:szCs w:val="16"/>
        </w:rPr>
        <w:t>-Бологое (167,7 км) был преодолен за 2 часа 38 минут. Мимо станции Боровенка экспресс «проскочил» со скоростью 90 км/час, мимо Лихославля - со скоростью 93 км/час. Участок Бологое - Москва (330 км) был пройден за 4 часа 40 минут.</w:t>
      </w:r>
    </w:p>
    <w:p w14:paraId="6EECB3E2"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обратный рейс «Красная стрела» отправилась 11 июня 1931 года в 1 час 30 минут. На станции Завидово (около 100 км от Москвы) у одного из спальных вагонов загорелся подшипник, из-за чего поезд пришлось остановить и вагон отцепить. Несмотря на 30-минутную стоянку на этой станции, опоздание было быстро ликвидировано 100-километровой скоростью на одном из участков пути. В Ленинград поезд прибыл в 11 часов 18 минут 11 июня. Расстояние между Москвой и Ленинградом экспресс прошел за 9 часов 48 минут, что по тем временам считалось большим достижением.</w:t>
      </w:r>
    </w:p>
    <w:p w14:paraId="09BDDE7D"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состав «Красной стрелы» состоял из 12 вагонов, выкрашенных в синий цвет: 7 жестких купейных, 3 мягких, 1 спальный с двухместными купе и 1 багажный.</w:t>
      </w:r>
    </w:p>
    <w:p w14:paraId="540D1EC7"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Состав на паровозе серии Л вела локомотивная бригада, возглавляемая Василием Максимовичем Ивановым. «Красной стрелой» поезд был назван за красоту – в то время он сильно отличался от большинства других составов.</w:t>
      </w:r>
    </w:p>
    <w:p w14:paraId="16628912"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Впервые в истории советских железных дорог в «Красной стреле» был создан вагон СВ. Для этого четырехместные купе усовершенствовались: верхние полки сняли, на их место повесили зеркала и светильники. Оборудование и внутреннее убранство этих вагонов ни в чем не уступало зарубежным аналогам и даже превосходило их.</w:t>
      </w:r>
    </w:p>
    <w:p w14:paraId="5D3123AC"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Уровень сервиса в этом составе был для тех времен просто невероятным. Впервые пассажирам на время пути предоставлялись шашки, шахматы и другие настольные игры. В поезде работали буфеты, где можно было заказать ужин с доставкой в купе. Для удобства пассажиров в одном из вагонов был оборудован телефонный переговорный пункт, с которого во время стоянки на станциях Бологое, Окуловка и Малая Вишера можно было связаться не только с Кремлем, но даже с Лондоном и Парижем.</w:t>
      </w:r>
    </w:p>
    <w:p w14:paraId="413256CD" w14:textId="77777777" w:rsidR="00AF313F" w:rsidRPr="007122AB" w:rsidRDefault="00AF31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«Красная стрела» стала не только самым быстрым и комфортабельным, но и самым точным поездом. Если «Красная стрела» преодолевала расстояние между Ленинградом и Москвой за 10 часов, то обычные пассажирские поезда ехали не менее 12 часов. В мае 1931 года опоздание скорых поездов на 100 км по Октябрьской дороге составило всего 0,2 минуты, тогда как на многих других магистралях – не менее 1,8 минут (21166).</w:t>
      </w:r>
    </w:p>
    <w:p w14:paraId="4338BDBB" w14:textId="77777777" w:rsidR="00AF313F" w:rsidRPr="007122AB" w:rsidRDefault="00AF313F" w:rsidP="007122AB">
      <w:pPr>
        <w:spacing w:after="0" w:line="240" w:lineRule="auto"/>
        <w:jc w:val="both"/>
        <w:rPr>
          <w:rFonts w:ascii="Times New Roman" w:hAnsi="Times New Roman"/>
          <w:color w:val="000000" w:themeColor="text1"/>
          <w:sz w:val="16"/>
          <w:szCs w:val="16"/>
        </w:rPr>
      </w:pPr>
    </w:p>
    <w:p w14:paraId="5C084CD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4577D4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2305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июня 1931 Ибрагим-бек прорвался в Узбекистан, но в его распоряжении оставалось всего 350 всадников. Но и они постепенно рассеялись. 23 июня Ибрагим вышел к реке </w:t>
      </w:r>
      <w:proofErr w:type="spellStart"/>
      <w:r w:rsidRPr="007122AB">
        <w:rPr>
          <w:rFonts w:ascii="Times New Roman" w:hAnsi="Times New Roman"/>
          <w:color w:val="000000" w:themeColor="text1"/>
          <w:sz w:val="16"/>
          <w:szCs w:val="16"/>
        </w:rPr>
        <w:t>Кафирниган</w:t>
      </w:r>
      <w:proofErr w:type="spellEnd"/>
      <w:r w:rsidRPr="007122AB">
        <w:rPr>
          <w:rFonts w:ascii="Times New Roman" w:hAnsi="Times New Roman"/>
          <w:color w:val="000000" w:themeColor="text1"/>
          <w:sz w:val="16"/>
          <w:szCs w:val="16"/>
        </w:rPr>
        <w:t xml:space="preserve"> всего с двумя джигитами и пытался переправиться на другой берег, однако местные жители, прельщенные объявленной за его голову наградой, донесли об этом командиру местного добровольческого отряда. С курбаши было покончено. К концу июня около 1550 басмачей было убито, около 2000 взяли в плен. В связи с выполнением задачи Таджикскую группу войск расформировали (11985).</w:t>
      </w:r>
    </w:p>
    <w:p w14:paraId="57A0D5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1AD51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06E1DD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7A8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июня 1931 года был испытан «Repulsor-3». «Repulsor-3» была построена всего за несколько дней и отличалась от предыдущих лучшими характеристиками. Два топливных бака помещались теперь на расстоянии около 10 см друг от друга и крепились двумя рядами алюминиевых скоб, выступавших на 2,5 см с каждой стороны и входивших в U-образные пазы деревянной пусковой направляющей. Донные скобы несли контейнер с парашютом. Коробка контейнера имела легко снимающуюся крышку с отверстием в центре, через которое пропускалась основная стропа парашюта, – благодаря этому в момент выбрасывания парашюта из контейнера крышка его не терялась. Выбрасывание осуществлялось толстым пробковым диском с помощью небольшого заряда обычного пороха, который воспламенялся часовым механизмом. Этот механизм включался автоматически при взлете ракеты и устанавливался на такое время, которое соответствовало достижению ракетой максимальной высоты.</w:t>
      </w:r>
    </w:p>
    <w:p w14:paraId="76852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Поднимаясь почти вертикально, ракета быстро достигла высоты в 450 м. В это время по неизвестной причине сработал часовой механизм выбрасывания парашюта. Парашют раскрылся, но ракета продолжала быстро набирать высоту. Парашют был разорван в клочья, а ракета поднялась еще на 180 м, но теперь уже под углом около 60°. Описав огромную дугу, ракета приземлилась за пределами «</w:t>
      </w:r>
      <w:proofErr w:type="spellStart"/>
      <w:r w:rsidRPr="007122AB">
        <w:rPr>
          <w:rFonts w:ascii="Times New Roman" w:hAnsi="Times New Roman"/>
          <w:color w:val="000000" w:themeColor="text1"/>
          <w:sz w:val="16"/>
          <w:szCs w:val="16"/>
        </w:rPr>
        <w:t>Ракетенфлюгплатц</w:t>
      </w:r>
      <w:proofErr w:type="spellEnd"/>
      <w:r w:rsidRPr="007122AB">
        <w:rPr>
          <w:rFonts w:ascii="Times New Roman" w:hAnsi="Times New Roman"/>
          <w:color w:val="000000" w:themeColor="text1"/>
          <w:sz w:val="16"/>
          <w:szCs w:val="16"/>
        </w:rPr>
        <w:t>» в той же группе деревьев, где нашел свой конец «Repulsor-2».</w:t>
      </w:r>
    </w:p>
    <w:p w14:paraId="6CE18E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следующего месяца были запущены еще три ракеты той же модели. Все они очень хорошо взлетали, хотя недоразумения с парашютом по-прежнему имели место (11688).</w:t>
      </w:r>
    </w:p>
    <w:p w14:paraId="241E4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77B4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359040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8FCCA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июня 1931 членам Правительства были продемонстрированы возможности танка Кристи по преодолению препятствий. На колесном ходы преодолели 5 рядов проволочных заграждений и 2 м ров. На гусеницах все возможности не демонстрировались из-за поломки ленивца. Экипаж за 44 минуты поставил гусеницы и после 10 минутного перерыва за 35 мин. Снял их и уложил на </w:t>
      </w:r>
      <w:proofErr w:type="spellStart"/>
      <w:r w:rsidRPr="007122AB">
        <w:rPr>
          <w:rFonts w:ascii="Times New Roman" w:hAnsi="Times New Roman"/>
          <w:color w:val="000000" w:themeColor="text1"/>
          <w:sz w:val="16"/>
          <w:szCs w:val="16"/>
        </w:rPr>
        <w:t>надгусеничные</w:t>
      </w:r>
      <w:proofErr w:type="spellEnd"/>
      <w:r w:rsidRPr="007122AB">
        <w:rPr>
          <w:rFonts w:ascii="Times New Roman" w:hAnsi="Times New Roman"/>
          <w:color w:val="000000" w:themeColor="text1"/>
          <w:sz w:val="16"/>
          <w:szCs w:val="16"/>
        </w:rPr>
        <w:t xml:space="preserve"> полки (3879,7).</w:t>
      </w:r>
    </w:p>
    <w:p w14:paraId="44DF32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1A42E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июня 1931 танк Кристи демонстрировался членам правительства, но так как ремонт его ходовой части произведен не был, показ состоялся по сокращенной программе (10733,197).</w:t>
      </w:r>
    </w:p>
    <w:p w14:paraId="52A85D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D0A83"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7 июня 1931 </w:t>
      </w:r>
      <w:r w:rsidRPr="007122AB">
        <w:rPr>
          <w:rFonts w:ascii="Times New Roman" w:hAnsi="Times New Roman"/>
          <w:color w:val="000000" w:themeColor="text1"/>
          <w:sz w:val="16"/>
          <w:szCs w:val="16"/>
        </w:rPr>
        <w:t>Политбюро ЦК ВКП (б) обязало В. В. Куйбышева представить проект основных установок по второму пятилетнему плану к 20 июня (12265).</w:t>
      </w:r>
    </w:p>
    <w:p w14:paraId="15290455"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197E1F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AC44CD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C5CA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Утром 7 июня 1931 г. после тяжелого 38-ми секундного разбега длиной 1700 метров летчик Марсель </w:t>
      </w:r>
      <w:proofErr w:type="spellStart"/>
      <w:r w:rsidRPr="007122AB">
        <w:rPr>
          <w:rFonts w:ascii="Times New Roman" w:hAnsi="Times New Roman"/>
          <w:color w:val="000000" w:themeColor="text1"/>
          <w:sz w:val="16"/>
          <w:szCs w:val="16"/>
        </w:rPr>
        <w:t>Дорэ</w:t>
      </w:r>
      <w:proofErr w:type="spellEnd"/>
      <w:r w:rsidRPr="007122AB">
        <w:rPr>
          <w:rFonts w:ascii="Times New Roman" w:hAnsi="Times New Roman"/>
          <w:color w:val="000000" w:themeColor="text1"/>
          <w:sz w:val="16"/>
          <w:szCs w:val="16"/>
        </w:rPr>
        <w:t xml:space="preserve"> поднял в воздух 10-тонный D.33- 01. В период 7-10 июня </w:t>
      </w:r>
      <w:proofErr w:type="spellStart"/>
      <w:r w:rsidRPr="007122AB">
        <w:rPr>
          <w:rFonts w:ascii="Times New Roman" w:hAnsi="Times New Roman"/>
          <w:color w:val="000000" w:themeColor="text1"/>
          <w:sz w:val="16"/>
          <w:szCs w:val="16"/>
        </w:rPr>
        <w:t>Дорэ</w:t>
      </w:r>
      <w:proofErr w:type="spellEnd"/>
      <w:r w:rsidRPr="007122AB">
        <w:rPr>
          <w:rFonts w:ascii="Times New Roman" w:hAnsi="Times New Roman"/>
          <w:color w:val="000000" w:themeColor="text1"/>
          <w:sz w:val="16"/>
          <w:szCs w:val="16"/>
        </w:rPr>
        <w:t xml:space="preserve"> и Ле Бри в полете по кругу над аэродромом продержались в воздухе 70 часов 11 минут. При средней путевой скорости 150 км/ч, без учета ветра, это достижение соответствовало дальности 10500 км. Достигнутый результат позволял надеяться на установление полноценного рекорда дальности при полете по прямой.</w:t>
      </w:r>
    </w:p>
    <w:p w14:paraId="7A02C2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рассвете 11 июля (в 4 часа 30 минут) 1931 г. серебристый красавец D.33-01, несший на борту надпись "LE TRAIT D'UNION", стартовал с аэродрома Ля Бурже под Парижем в направлении на восток. Конечной целью задуманной акции являлась японская столица Токио. Поначалу события развивались в соответствии с графиком </w:t>
      </w:r>
      <w:r w:rsidRPr="007122AB">
        <w:rPr>
          <w:rFonts w:ascii="Times New Roman" w:hAnsi="Times New Roman"/>
          <w:color w:val="000000" w:themeColor="text1"/>
          <w:sz w:val="16"/>
          <w:szCs w:val="16"/>
        </w:rPr>
        <w:lastRenderedPageBreak/>
        <w:t xml:space="preserve">перелета. После того, как значительная часть пути была пройдена, в ночь с 12 на 13 июля, на удалении 6200 км от места старта французов подвела несовершенная система </w:t>
      </w:r>
      <w:proofErr w:type="spellStart"/>
      <w:r w:rsidRPr="007122AB">
        <w:rPr>
          <w:rFonts w:ascii="Times New Roman" w:hAnsi="Times New Roman"/>
          <w:color w:val="000000" w:themeColor="text1"/>
          <w:sz w:val="16"/>
          <w:szCs w:val="16"/>
        </w:rPr>
        <w:t>бензопитания</w:t>
      </w:r>
      <w:proofErr w:type="spellEnd"/>
      <w:r w:rsidRPr="007122AB">
        <w:rPr>
          <w:rFonts w:ascii="Times New Roman" w:hAnsi="Times New Roman"/>
          <w:color w:val="000000" w:themeColor="text1"/>
          <w:sz w:val="16"/>
          <w:szCs w:val="16"/>
        </w:rPr>
        <w:t xml:space="preserve">, и двигатель самолета остановился. В полной темноте над глухой сибирской тайгой в районе станции </w:t>
      </w:r>
      <w:proofErr w:type="spellStart"/>
      <w:r w:rsidRPr="007122AB">
        <w:rPr>
          <w:rFonts w:ascii="Times New Roman" w:hAnsi="Times New Roman"/>
          <w:color w:val="000000" w:themeColor="text1"/>
          <w:sz w:val="16"/>
          <w:szCs w:val="16"/>
        </w:rPr>
        <w:t>Шеборта</w:t>
      </w:r>
      <w:proofErr w:type="spellEnd"/>
      <w:r w:rsidRPr="007122AB">
        <w:rPr>
          <w:rFonts w:ascii="Times New Roman" w:hAnsi="Times New Roman"/>
          <w:color w:val="000000" w:themeColor="text1"/>
          <w:sz w:val="16"/>
          <w:szCs w:val="16"/>
        </w:rPr>
        <w:t xml:space="preserve"> Омской железной дороги в воздухе повисли два парашюта. Летчик Ле Бри и механик </w:t>
      </w:r>
      <w:proofErr w:type="spellStart"/>
      <w:r w:rsidRPr="007122AB">
        <w:rPr>
          <w:rFonts w:ascii="Times New Roman" w:hAnsi="Times New Roman"/>
          <w:color w:val="000000" w:themeColor="text1"/>
          <w:sz w:val="16"/>
          <w:szCs w:val="16"/>
        </w:rPr>
        <w:t>Месмин</w:t>
      </w:r>
      <w:proofErr w:type="spellEnd"/>
      <w:r w:rsidRPr="007122AB">
        <w:rPr>
          <w:rFonts w:ascii="Times New Roman" w:hAnsi="Times New Roman"/>
          <w:color w:val="000000" w:themeColor="text1"/>
          <w:sz w:val="16"/>
          <w:szCs w:val="16"/>
        </w:rPr>
        <w:t xml:space="preserve"> покинули самолет, третий член экипажа - Марсель Доре - попытался спасти машину и совершил вынужденную посадку на лесной поляне. Сам пилот уцелел, однако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оказался основательно поврежден. В тот же день шокированные, но не сломленные авиаторы на мотодрезине были доставлены в Нижне-Удинск, после чего отправились на свою родину за новым самолетом.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 имел цельнометаллическую конструкцию. Одно- лонжеронное крыло, с относительной толщиной в корне 17,5% и удлинением 10, отличалось высокими аэродинамическими характеристиками. Топливные баки общей емкостью 8000 литров располагались в средней части крыла симметрично по обе стороны лонжерона, причем передние баки являлись частью конструкции. Элероны были сбалансированы в весовом отношении. Это обстоятельство,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лонжеронов, набора силовых шпангоутов, подкрепляющих стрингеров и промежуточных шпангоутов, поддерживающих гладкую дюралевую обшивку. Двигатель "</w:t>
      </w:r>
      <w:proofErr w:type="spellStart"/>
      <w:r w:rsidRPr="007122AB">
        <w:rPr>
          <w:rFonts w:ascii="Times New Roman" w:hAnsi="Times New Roman"/>
          <w:color w:val="000000" w:themeColor="text1"/>
          <w:sz w:val="16"/>
          <w:szCs w:val="16"/>
        </w:rPr>
        <w:t>Испа</w:t>
      </w:r>
      <w:proofErr w:type="spellEnd"/>
      <w:r w:rsidRPr="007122AB">
        <w:rPr>
          <w:rFonts w:ascii="Times New Roman" w:hAnsi="Times New Roman"/>
          <w:color w:val="000000" w:themeColor="text1"/>
          <w:sz w:val="16"/>
          <w:szCs w:val="16"/>
        </w:rPr>
        <w:t>- 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12 </w:t>
      </w:r>
      <w:proofErr w:type="spellStart"/>
      <w:r w:rsidRPr="007122AB">
        <w:rPr>
          <w:rFonts w:ascii="Times New Roman" w:hAnsi="Times New Roman"/>
          <w:color w:val="000000" w:themeColor="text1"/>
          <w:sz w:val="16"/>
          <w:szCs w:val="16"/>
        </w:rPr>
        <w:t>Nbr</w:t>
      </w:r>
      <w:proofErr w:type="spellEnd"/>
      <w:r w:rsidRPr="007122AB">
        <w:rPr>
          <w:rFonts w:ascii="Times New Roman" w:hAnsi="Times New Roman"/>
          <w:color w:val="000000" w:themeColor="text1"/>
          <w:sz w:val="16"/>
          <w:szCs w:val="16"/>
        </w:rPr>
        <w:t xml:space="preserve"> мощностью 650 л. е., поначалу был снабжен двухлопастным воздушным винтом, который затем заменили более эффективным трехлопастным винтом. Радиатор охлаждения мотора выдвигаемый в полете. Шасси пирамидальное, </w:t>
      </w:r>
      <w:proofErr w:type="spellStart"/>
      <w:r w:rsidRPr="007122AB">
        <w:rPr>
          <w:rFonts w:ascii="Times New Roman" w:hAnsi="Times New Roman"/>
          <w:color w:val="000000" w:themeColor="text1"/>
          <w:sz w:val="16"/>
          <w:szCs w:val="16"/>
        </w:rPr>
        <w:t>неубираемое</w:t>
      </w:r>
      <w:proofErr w:type="spellEnd"/>
      <w:r w:rsidRPr="007122AB">
        <w:rPr>
          <w:rFonts w:ascii="Times New Roman" w:hAnsi="Times New Roman"/>
          <w:color w:val="000000" w:themeColor="text1"/>
          <w:sz w:val="16"/>
          <w:szCs w:val="16"/>
        </w:rPr>
        <w:t xml:space="preserve">, с масляно-пневматической амортизацией, колеса заключены в обтекатели.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 построили в двух экземплярах, его доводили с целью получения наибольших значений дальности полета. Начиная с декабря 1930-го и вплоть до середины 1931-го, машина поэтапно совершенствовалась (11941).</w:t>
      </w:r>
    </w:p>
    <w:p w14:paraId="56FB6E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1002C3" w:rsidRPr="007122AB" w14:paraId="2949DF2D" w14:textId="77777777">
        <w:tc>
          <w:tcPr>
            <w:tcW w:w="1145" w:type="dxa"/>
            <w:tcBorders>
              <w:top w:val="single" w:sz="12" w:space="0" w:color="auto"/>
            </w:tcBorders>
          </w:tcPr>
          <w:p w14:paraId="06BED4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145" w:type="dxa"/>
            <w:tcBorders>
              <w:top w:val="single" w:sz="12" w:space="0" w:color="auto"/>
            </w:tcBorders>
          </w:tcPr>
          <w:p w14:paraId="61E42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Двигатель(л.с.)</w:t>
            </w:r>
          </w:p>
        </w:tc>
        <w:tc>
          <w:tcPr>
            <w:tcW w:w="1145" w:type="dxa"/>
            <w:tcBorders>
              <w:top w:val="single" w:sz="12" w:space="0" w:color="auto"/>
            </w:tcBorders>
          </w:tcPr>
          <w:p w14:paraId="07AEC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(м)</w:t>
            </w:r>
          </w:p>
        </w:tc>
        <w:tc>
          <w:tcPr>
            <w:tcW w:w="1145" w:type="dxa"/>
            <w:tcBorders>
              <w:top w:val="single" w:sz="12" w:space="0" w:color="auto"/>
            </w:tcBorders>
          </w:tcPr>
          <w:p w14:paraId="5790C0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(мг)</w:t>
            </w:r>
          </w:p>
        </w:tc>
        <w:tc>
          <w:tcPr>
            <w:tcW w:w="1145" w:type="dxa"/>
            <w:tcBorders>
              <w:top w:val="single" w:sz="12" w:space="0" w:color="auto"/>
            </w:tcBorders>
          </w:tcPr>
          <w:p w14:paraId="672F2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tc>
        <w:tc>
          <w:tcPr>
            <w:tcW w:w="1145" w:type="dxa"/>
            <w:tcBorders>
              <w:top w:val="single" w:sz="12" w:space="0" w:color="auto"/>
            </w:tcBorders>
          </w:tcPr>
          <w:p w14:paraId="16B57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145" w:type="dxa"/>
            <w:tcBorders>
              <w:top w:val="single" w:sz="12" w:space="0" w:color="auto"/>
            </w:tcBorders>
          </w:tcPr>
          <w:p w14:paraId="4AC47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145" w:type="dxa"/>
            <w:tcBorders>
              <w:top w:val="single" w:sz="12" w:space="0" w:color="auto"/>
            </w:tcBorders>
          </w:tcPr>
          <w:p w14:paraId="6EC2E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4632E3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(кг/м2)</w:t>
            </w:r>
          </w:p>
        </w:tc>
      </w:tr>
      <w:tr w:rsidR="001002C3" w:rsidRPr="007122AB" w14:paraId="24B40C33" w14:textId="77777777">
        <w:tc>
          <w:tcPr>
            <w:tcW w:w="1145" w:type="dxa"/>
          </w:tcPr>
          <w:p w14:paraId="12037A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71A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5BF6B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B969A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BA34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3209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57AEB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7ABA9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F80A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0AD2C9" w14:textId="77777777">
        <w:tc>
          <w:tcPr>
            <w:tcW w:w="1145" w:type="dxa"/>
          </w:tcPr>
          <w:p w14:paraId="2A44B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Фэйри</w:t>
            </w:r>
            <w:proofErr w:type="spellEnd"/>
            <w:r w:rsidRPr="007122AB">
              <w:rPr>
                <w:rFonts w:ascii="Times New Roman" w:hAnsi="Times New Roman"/>
                <w:color w:val="000000" w:themeColor="text1"/>
                <w:sz w:val="16"/>
                <w:szCs w:val="16"/>
              </w:rPr>
              <w:t xml:space="preserve"> LR</w:t>
            </w:r>
          </w:p>
        </w:tc>
        <w:tc>
          <w:tcPr>
            <w:tcW w:w="1145" w:type="dxa"/>
          </w:tcPr>
          <w:p w14:paraId="28ABF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Нэпир</w:t>
            </w:r>
            <w:proofErr w:type="spellEnd"/>
            <w:r w:rsidRPr="007122AB">
              <w:rPr>
                <w:rFonts w:ascii="Times New Roman" w:hAnsi="Times New Roman"/>
                <w:color w:val="000000" w:themeColor="text1"/>
                <w:sz w:val="16"/>
                <w:szCs w:val="16"/>
              </w:rPr>
              <w:t xml:space="preserve"> XI (530)</w:t>
            </w:r>
          </w:p>
        </w:tc>
        <w:tc>
          <w:tcPr>
            <w:tcW w:w="1145" w:type="dxa"/>
          </w:tcPr>
          <w:p w14:paraId="69098D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145" w:type="dxa"/>
          </w:tcPr>
          <w:p w14:paraId="2E7AF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w:t>
            </w:r>
          </w:p>
        </w:tc>
        <w:tc>
          <w:tcPr>
            <w:tcW w:w="1145" w:type="dxa"/>
          </w:tcPr>
          <w:p w14:paraId="3E537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145" w:type="dxa"/>
          </w:tcPr>
          <w:p w14:paraId="22D607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145" w:type="dxa"/>
          </w:tcPr>
          <w:p w14:paraId="07E6A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w:t>
            </w:r>
          </w:p>
        </w:tc>
        <w:tc>
          <w:tcPr>
            <w:tcW w:w="1145" w:type="dxa"/>
          </w:tcPr>
          <w:p w14:paraId="3750DF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1145" w:type="dxa"/>
          </w:tcPr>
          <w:p w14:paraId="34A95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95,0</w:t>
            </w:r>
          </w:p>
        </w:tc>
      </w:tr>
      <w:tr w:rsidR="001002C3" w:rsidRPr="007122AB" w14:paraId="0A714A94" w14:textId="77777777">
        <w:tc>
          <w:tcPr>
            <w:tcW w:w="1145" w:type="dxa"/>
          </w:tcPr>
          <w:p w14:paraId="3D455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 S-64</w:t>
            </w:r>
          </w:p>
        </w:tc>
        <w:tc>
          <w:tcPr>
            <w:tcW w:w="1145" w:type="dxa"/>
          </w:tcPr>
          <w:p w14:paraId="27E30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Фиат А-22Т (620)</w:t>
            </w:r>
          </w:p>
        </w:tc>
        <w:tc>
          <w:tcPr>
            <w:tcW w:w="1145" w:type="dxa"/>
          </w:tcPr>
          <w:p w14:paraId="4B19C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145" w:type="dxa"/>
          </w:tcPr>
          <w:p w14:paraId="38202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145" w:type="dxa"/>
          </w:tcPr>
          <w:p w14:paraId="45348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w:t>
            </w:r>
          </w:p>
        </w:tc>
        <w:tc>
          <w:tcPr>
            <w:tcW w:w="1145" w:type="dxa"/>
          </w:tcPr>
          <w:p w14:paraId="0AFA72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2670</w:t>
            </w:r>
          </w:p>
        </w:tc>
        <w:tc>
          <w:tcPr>
            <w:tcW w:w="1145" w:type="dxa"/>
          </w:tcPr>
          <w:p w14:paraId="451135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7200</w:t>
            </w:r>
          </w:p>
        </w:tc>
        <w:tc>
          <w:tcPr>
            <w:tcW w:w="1145" w:type="dxa"/>
          </w:tcPr>
          <w:p w14:paraId="40410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4550</w:t>
            </w:r>
          </w:p>
        </w:tc>
        <w:tc>
          <w:tcPr>
            <w:tcW w:w="1145" w:type="dxa"/>
          </w:tcPr>
          <w:p w14:paraId="1A675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1002C3" w:rsidRPr="007122AB" w14:paraId="3E0070C6" w14:textId="77777777">
        <w:tc>
          <w:tcPr>
            <w:tcW w:w="1145" w:type="dxa"/>
          </w:tcPr>
          <w:p w14:paraId="3746B9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Блерио-110</w:t>
            </w:r>
          </w:p>
        </w:tc>
        <w:tc>
          <w:tcPr>
            <w:tcW w:w="1145" w:type="dxa"/>
          </w:tcPr>
          <w:p w14:paraId="2F4A2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12МЬг (500)</w:t>
            </w:r>
          </w:p>
        </w:tc>
        <w:tc>
          <w:tcPr>
            <w:tcW w:w="1145" w:type="dxa"/>
          </w:tcPr>
          <w:p w14:paraId="4A4F42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26,5</w:t>
            </w:r>
          </w:p>
        </w:tc>
        <w:tc>
          <w:tcPr>
            <w:tcW w:w="1145" w:type="dxa"/>
          </w:tcPr>
          <w:p w14:paraId="5DBD1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145" w:type="dxa"/>
          </w:tcPr>
          <w:p w14:paraId="395B1F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8,65</w:t>
            </w:r>
          </w:p>
        </w:tc>
        <w:tc>
          <w:tcPr>
            <w:tcW w:w="1145" w:type="dxa"/>
          </w:tcPr>
          <w:p w14:paraId="77DC86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c>
          <w:tcPr>
            <w:tcW w:w="1145" w:type="dxa"/>
          </w:tcPr>
          <w:p w14:paraId="621FA5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8500</w:t>
            </w:r>
          </w:p>
        </w:tc>
        <w:tc>
          <w:tcPr>
            <w:tcW w:w="1145" w:type="dxa"/>
          </w:tcPr>
          <w:p w14:paraId="731830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145" w:type="dxa"/>
          </w:tcPr>
          <w:p w14:paraId="02061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104,5</w:t>
            </w:r>
          </w:p>
        </w:tc>
      </w:tr>
      <w:tr w:rsidR="001002C3" w:rsidRPr="007122AB" w14:paraId="1F60DCEC" w14:textId="77777777">
        <w:tc>
          <w:tcPr>
            <w:tcW w:w="1145" w:type="dxa"/>
          </w:tcPr>
          <w:p w14:paraId="31F31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w:t>
            </w:r>
          </w:p>
        </w:tc>
        <w:tc>
          <w:tcPr>
            <w:tcW w:w="1145" w:type="dxa"/>
          </w:tcPr>
          <w:p w14:paraId="57017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Pr>
          <w:p w14:paraId="6E1F2C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145" w:type="dxa"/>
          </w:tcPr>
          <w:p w14:paraId="3D04DF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w:t>
            </w:r>
          </w:p>
        </w:tc>
        <w:tc>
          <w:tcPr>
            <w:tcW w:w="1145" w:type="dxa"/>
          </w:tcPr>
          <w:p w14:paraId="7F0C6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1145" w:type="dxa"/>
          </w:tcPr>
          <w:p w14:paraId="1A92C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Pr>
          <w:p w14:paraId="0B657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9200</w:t>
            </w:r>
          </w:p>
        </w:tc>
        <w:tc>
          <w:tcPr>
            <w:tcW w:w="1145" w:type="dxa"/>
          </w:tcPr>
          <w:p w14:paraId="4F0DD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5600</w:t>
            </w:r>
          </w:p>
        </w:tc>
        <w:tc>
          <w:tcPr>
            <w:tcW w:w="1145" w:type="dxa"/>
          </w:tcPr>
          <w:p w14:paraId="623B7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117,5</w:t>
            </w:r>
          </w:p>
        </w:tc>
      </w:tr>
      <w:tr w:rsidR="001002C3" w:rsidRPr="007122AB" w14:paraId="55EBBE47" w14:textId="77777777">
        <w:tc>
          <w:tcPr>
            <w:tcW w:w="1145" w:type="dxa"/>
            <w:tcBorders>
              <w:bottom w:val="single" w:sz="12" w:space="0" w:color="auto"/>
            </w:tcBorders>
          </w:tcPr>
          <w:p w14:paraId="62081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Бернар-80</w:t>
            </w:r>
          </w:p>
        </w:tc>
        <w:tc>
          <w:tcPr>
            <w:tcW w:w="1145" w:type="dxa"/>
            <w:tcBorders>
              <w:bottom w:val="single" w:sz="12" w:space="0" w:color="auto"/>
            </w:tcBorders>
          </w:tcPr>
          <w:p w14:paraId="6B38A7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Borders>
              <w:bottom w:val="single" w:sz="12" w:space="0" w:color="auto"/>
            </w:tcBorders>
          </w:tcPr>
          <w:p w14:paraId="778CE6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145" w:type="dxa"/>
            <w:tcBorders>
              <w:bottom w:val="single" w:sz="12" w:space="0" w:color="auto"/>
            </w:tcBorders>
          </w:tcPr>
          <w:p w14:paraId="737020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145" w:type="dxa"/>
            <w:tcBorders>
              <w:bottom w:val="single" w:sz="12" w:space="0" w:color="auto"/>
            </w:tcBorders>
          </w:tcPr>
          <w:p w14:paraId="2F919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w:t>
            </w:r>
          </w:p>
        </w:tc>
        <w:tc>
          <w:tcPr>
            <w:tcW w:w="1145" w:type="dxa"/>
            <w:tcBorders>
              <w:bottom w:val="single" w:sz="12" w:space="0" w:color="auto"/>
            </w:tcBorders>
          </w:tcPr>
          <w:p w14:paraId="7EB80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Borders>
              <w:bottom w:val="single" w:sz="12" w:space="0" w:color="auto"/>
            </w:tcBorders>
          </w:tcPr>
          <w:p w14:paraId="75906F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8625</w:t>
            </w:r>
          </w:p>
        </w:tc>
        <w:tc>
          <w:tcPr>
            <w:tcW w:w="1145" w:type="dxa"/>
            <w:tcBorders>
              <w:bottom w:val="single" w:sz="12" w:space="0" w:color="auto"/>
            </w:tcBorders>
          </w:tcPr>
          <w:p w14:paraId="4104BD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145" w:type="dxa"/>
            <w:tcBorders>
              <w:bottom w:val="single" w:sz="12" w:space="0" w:color="auto"/>
            </w:tcBorders>
          </w:tcPr>
          <w:p w14:paraId="6DD66B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w:t>
            </w:r>
          </w:p>
        </w:tc>
      </w:tr>
    </w:tbl>
    <w:p w14:paraId="4FEF8C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33DBA1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7CDDFA" w14:textId="77777777" w:rsidR="00526EC0" w:rsidRPr="007122AB" w:rsidRDefault="00526E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июня 1931 - Старт полета на рекорд дальности на замкнутом маршруте на самолете </w:t>
      </w:r>
      <w:proofErr w:type="spellStart"/>
      <w:r w:rsidRPr="007122AB">
        <w:rPr>
          <w:rFonts w:ascii="Times New Roman" w:hAnsi="Times New Roman"/>
          <w:color w:val="000000" w:themeColor="text1"/>
          <w:sz w:val="16"/>
          <w:szCs w:val="16"/>
        </w:rPr>
        <w:t>Dewoitine</w:t>
      </w:r>
      <w:proofErr w:type="spellEnd"/>
      <w:r w:rsidRPr="007122AB">
        <w:rPr>
          <w:rFonts w:ascii="Times New Roman" w:hAnsi="Times New Roman"/>
          <w:color w:val="000000" w:themeColor="text1"/>
          <w:sz w:val="16"/>
          <w:szCs w:val="16"/>
        </w:rPr>
        <w:t xml:space="preserve"> D-33. Джозеф Ле Бри и Марсель Доре пролетели 6444,9 миль (10370,6 км) в </w:t>
      </w:r>
      <w:proofErr w:type="spellStart"/>
      <w:r w:rsidRPr="007122AB">
        <w:rPr>
          <w:rFonts w:ascii="Times New Roman" w:hAnsi="Times New Roman"/>
          <w:color w:val="000000" w:themeColor="text1"/>
          <w:sz w:val="16"/>
          <w:szCs w:val="16"/>
        </w:rPr>
        <w:t>Истр</w:t>
      </w:r>
      <w:proofErr w:type="spellEnd"/>
      <w:r w:rsidRPr="007122AB">
        <w:rPr>
          <w:rFonts w:ascii="Times New Roman" w:hAnsi="Times New Roman"/>
          <w:color w:val="000000" w:themeColor="text1"/>
          <w:sz w:val="16"/>
          <w:szCs w:val="16"/>
        </w:rPr>
        <w:t>, Франция. Посадка состоялась 10 июня (22468).</w:t>
      </w:r>
    </w:p>
    <w:p w14:paraId="635C8102" w14:textId="77777777" w:rsidR="00526EC0" w:rsidRPr="007122AB" w:rsidRDefault="00526EC0" w:rsidP="007122AB">
      <w:pPr>
        <w:spacing w:after="0" w:line="240" w:lineRule="auto"/>
        <w:jc w:val="both"/>
        <w:rPr>
          <w:rFonts w:ascii="Times New Roman" w:hAnsi="Times New Roman"/>
          <w:color w:val="000000" w:themeColor="text1"/>
          <w:sz w:val="16"/>
          <w:szCs w:val="16"/>
        </w:rPr>
      </w:pPr>
    </w:p>
    <w:p w14:paraId="0BBDD4D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9A747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76D259"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июня 1931 г. начальник УММ РККА И.А. </w:t>
      </w:r>
      <w:proofErr w:type="spellStart"/>
      <w:r w:rsidRPr="00441F34">
        <w:rPr>
          <w:rFonts w:ascii="Times New Roman" w:hAnsi="Times New Roman"/>
          <w:color w:val="0070C0"/>
          <w:sz w:val="16"/>
          <w:szCs w:val="16"/>
        </w:rPr>
        <w:t>Халепский</w:t>
      </w:r>
      <w:proofErr w:type="spellEnd"/>
      <w:r w:rsidRPr="00441F34">
        <w:rPr>
          <w:rFonts w:ascii="Times New Roman" w:hAnsi="Times New Roman"/>
          <w:color w:val="0070C0"/>
          <w:sz w:val="16"/>
          <w:szCs w:val="16"/>
        </w:rPr>
        <w:t xml:space="preserve"> направил Народному комиссару по военным и морским делам и председателю Реввоенсовета СССР К.Е. Ворошилову письмо № 900541, в котором доложил о ходе работ по созданию танковых дизелей. В этом письме И.А. </w:t>
      </w:r>
      <w:proofErr w:type="spellStart"/>
      <w:r w:rsidRPr="00441F34">
        <w:rPr>
          <w:rFonts w:ascii="Times New Roman" w:hAnsi="Times New Roman"/>
          <w:color w:val="0070C0"/>
          <w:sz w:val="16"/>
          <w:szCs w:val="16"/>
        </w:rPr>
        <w:t>Халепский</w:t>
      </w:r>
      <w:proofErr w:type="spellEnd"/>
      <w:r w:rsidRPr="00441F34">
        <w:rPr>
          <w:rFonts w:ascii="Times New Roman" w:hAnsi="Times New Roman"/>
          <w:color w:val="0070C0"/>
          <w:sz w:val="16"/>
          <w:szCs w:val="16"/>
        </w:rPr>
        <w:t>, в частности, отметил:</w:t>
      </w:r>
    </w:p>
    <w:p w14:paraId="1970A63B"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сегодняшний день положение дел следующее:</w:t>
      </w:r>
    </w:p>
    <w:p w14:paraId="11A5EFB1"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Научный Авто-Тракторный Институт разрабатывает по заданию УММ проект со сроком окончания разработки чертежей 15 сентября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Основной расчет двигателя на прочность закончен и приступлено к разработке общего компоновочного проекта со сроком окончания в двадцатых числах июля. Работа выполняется специальным конструкторским бюро НАТИ в составе 9 человек, из которых 6 – квалифицированные инженеры.</w:t>
      </w:r>
    </w:p>
    <w:p w14:paraId="25E90D01"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Ввиду особой сложности изготовления танкового дизель-мотора большой мощности и отсутствия подобного рода двигателей, удовлетворительно выполненных даже заграницей, а также отсутствия опыта по такого рода двигателям у наших инженеров, изготовление проекта этого мотора и создание опытного образца требует колоссального напряжения и наличия лучших работников знакомых с постройкой дизель-моторов.</w:t>
      </w:r>
    </w:p>
    <w:p w14:paraId="78A49F93"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до настоящего времени ВАТО не выделило предприятия, на котором должен изготавливаться опытный образец дизель-мотора, несмотря на неоднократные напоминания.</w:t>
      </w:r>
    </w:p>
    <w:p w14:paraId="5E8ABDCA"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 сих пор не получены из-за границы образцы автомобильных дизель-моторов, без которых вести проектировку невозможно.</w:t>
      </w:r>
    </w:p>
    <w:p w14:paraId="0B9FE419"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Параллельно с работой ВАТО по созданию мощного дизель-мотора ведется проектирование танкового дизель-мотора мощностью 400 л.с. специальным конструкторским бюро ОГПУ».</w:t>
      </w:r>
    </w:p>
    <w:p w14:paraId="0FFE5446"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[РГВА. Ф. 31811. Оп. 3. Д. 14. Л. 1]</w:t>
      </w:r>
    </w:p>
    <w:p w14:paraId="2AF3B5F5"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Данные сведения были сообщены К.Е. Ворошиловым председателю Комиссии обороны СССР В.М. Молотову (24856).</w:t>
      </w:r>
    </w:p>
    <w:p w14:paraId="62983824" w14:textId="77777777" w:rsidR="00E760AA" w:rsidRPr="00441F34" w:rsidRDefault="00E760AA" w:rsidP="00E760AA">
      <w:pPr>
        <w:spacing w:after="0" w:line="240" w:lineRule="auto"/>
        <w:jc w:val="both"/>
        <w:rPr>
          <w:rFonts w:ascii="Times New Roman" w:hAnsi="Times New Roman"/>
          <w:color w:val="0070C0"/>
          <w:sz w:val="16"/>
          <w:szCs w:val="16"/>
        </w:rPr>
      </w:pPr>
    </w:p>
    <w:p w14:paraId="04AEA981"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 июня 1931 г.</w:t>
      </w:r>
    </w:p>
    <w:p w14:paraId="3BA966F9"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РГВА Фонд 31811 Опись 3 Дело 14 лист 1 с об. </w:t>
      </w:r>
    </w:p>
    <w:p w14:paraId="6CE01F45" w14:textId="77777777" w:rsidR="00E760AA" w:rsidRPr="00441F34" w:rsidRDefault="00E760AA" w:rsidP="00E760AA">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Сов.Секретно</w:t>
      </w:r>
      <w:proofErr w:type="spellEnd"/>
      <w:r w:rsidRPr="00441F34">
        <w:rPr>
          <w:rFonts w:ascii="Times New Roman" w:hAnsi="Times New Roman"/>
          <w:color w:val="0070C0"/>
          <w:sz w:val="16"/>
          <w:szCs w:val="16"/>
        </w:rPr>
        <w:t xml:space="preserve"> </w:t>
      </w:r>
    </w:p>
    <w:p w14:paraId="6D1C7879"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Экз. № 1</w:t>
      </w:r>
    </w:p>
    <w:p w14:paraId="7846B510"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июня 1931 г. </w:t>
      </w:r>
    </w:p>
    <w:p w14:paraId="4B9D116F"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900541</w:t>
      </w:r>
    </w:p>
    <w:p w14:paraId="63B2BB72"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НАРОДНОМУ КОМИССАРУ ПО ВОЕННЫМ И МОРСКИМ ДЕЛАМ И ПРЕДСЕДАТЕЛЮ РЕВОЛЮЦИОННОГО ВОЕННОГО СОВЕТА СССР тов. ВОРОШИЛОВУ</w:t>
      </w:r>
    </w:p>
    <w:p w14:paraId="5ACDE25F"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Постановлением ПБ от 20 февраля 1931 г. было предложено ВСНХ, НКВМ и ОГПУ в течение 1931 г. создать образцы мощных дизельных моторов в 240 – 300 л.с. Во исполнение этого постановления МПС ВСНХ поручил ВАТО спроектировать и построить в соответствии с тактико-техническими требованиями, разработанными УММ РККА, опытный образец мощного дизель-мотора для танков в 300 л.с. со сроком изготовления проекта в августе, а опытного образца – в октябре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xml:space="preserve">. </w:t>
      </w:r>
    </w:p>
    <w:p w14:paraId="27724E2D"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сегодняшний день положение дел следующее: </w:t>
      </w:r>
    </w:p>
    <w:p w14:paraId="672DCAE5"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Научный Авто-Тракторный Институт разрабатывает по заданию УММ проект со сроком окончания разработки чертежей 15 сентября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xml:space="preserve">. Основной расчет двигателя на прочность закончен и приступлено к разработке общего компоновочного проекта со сроком окончания в двадцатых числах июля. Работа выполняется специальным конструкторским бюро НАТИ в составе 9 человек, из которых 6 – квалифицированные инженеры. </w:t>
      </w:r>
    </w:p>
    <w:p w14:paraId="62CD9605"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Ввиду особой сложности изготовления танкового дизель-мотора большой мощности и отсутствия подобного рода двигателей, удовлетворительно выполненных даже заграницей, а также отсутствия опыта по такого рода двигателям у наших инженеров, изготовление проекта этого мотора и создание опытного образца требует колоссального напряжения и наличия лучших работников знакомых с постройкой дизель-моторов. </w:t>
      </w:r>
    </w:p>
    <w:p w14:paraId="04012E10"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Однако до настоящего времени ВАТО не выделило предприятия, на котором должен изготавливаться опытный образец дизель-мотора, несмотря на неоднократные напоминания. </w:t>
      </w:r>
    </w:p>
    <w:p w14:paraId="3C50D309"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До сих пор не получены из-за границы образцы автомобильных дизель-моторов, без которых вести проектировку невозможно. </w:t>
      </w:r>
    </w:p>
    <w:p w14:paraId="03BCD518"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Параллельно с работой ВАТО по созданию мощного дизель-мотора ведется проектирование танкового дизель-мотор мощностью 400 л.с. специальным конструкторским бюро ОГПУ. </w:t>
      </w:r>
    </w:p>
    <w:p w14:paraId="7E479E81"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ВЫВОДЫ:</w:t>
      </w:r>
    </w:p>
    <w:p w14:paraId="1C98C230"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Лично полагаю, что в 1931 г. по всем этим работам видимо будут выполнены только чертежи, на основе которых можно выполнять образцы. </w:t>
      </w:r>
    </w:p>
    <w:p w14:paraId="2B5E60B7"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Необходимо полагаться не только на собственные конструкторские силы, но изыскать возможность получить конструкции извне, чего ВСНХ не делает. </w:t>
      </w:r>
    </w:p>
    <w:p w14:paraId="5EB10593"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Решение этого вопроса необходимо заслушать ВСНХ в К.О. в порядке контроля.</w:t>
      </w:r>
    </w:p>
    <w:p w14:paraId="482FC1FA"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НАЧАЛЬНИК УПРАВЛЕНИЯ ПО МЕХАНИЗАЦИИ И МОТОРИЗАЦИИ РККА </w:t>
      </w:r>
    </w:p>
    <w:p w14:paraId="6B316B09"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подпись (</w:t>
      </w:r>
      <w:proofErr w:type="spellStart"/>
      <w:r w:rsidRPr="00441F34">
        <w:rPr>
          <w:rFonts w:ascii="Times New Roman" w:hAnsi="Times New Roman"/>
          <w:color w:val="0070C0"/>
          <w:sz w:val="16"/>
          <w:szCs w:val="16"/>
        </w:rPr>
        <w:t>Халепский</w:t>
      </w:r>
      <w:proofErr w:type="spellEnd"/>
      <w:r w:rsidRPr="00441F34">
        <w:rPr>
          <w:rFonts w:ascii="Times New Roman" w:hAnsi="Times New Roman"/>
          <w:color w:val="0070C0"/>
          <w:sz w:val="16"/>
          <w:szCs w:val="16"/>
        </w:rPr>
        <w:t>)</w:t>
      </w:r>
    </w:p>
    <w:p w14:paraId="61E42297" w14:textId="77777777" w:rsidR="00E760AA" w:rsidRPr="00441F34" w:rsidRDefault="00E760AA" w:rsidP="00E760AA">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w:t>
      </w:r>
      <w:proofErr w:type="spellEnd"/>
      <w:r w:rsidRPr="00441F34">
        <w:rPr>
          <w:rFonts w:ascii="Times New Roman" w:hAnsi="Times New Roman"/>
          <w:color w:val="0070C0"/>
          <w:sz w:val="16"/>
          <w:szCs w:val="16"/>
        </w:rPr>
        <w:t xml:space="preserve">. 2 экз. </w:t>
      </w:r>
    </w:p>
    <w:p w14:paraId="080FF178"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Допечатано на машинке:</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«Резолюция Зампред и в контрольном листе: "К сведению. Дать заказ IV </w:t>
      </w:r>
      <w:proofErr w:type="spellStart"/>
      <w:r w:rsidRPr="00441F34">
        <w:rPr>
          <w:rFonts w:ascii="Times New Roman" w:hAnsi="Times New Roman"/>
          <w:color w:val="0070C0"/>
          <w:sz w:val="16"/>
          <w:szCs w:val="16"/>
        </w:rPr>
        <w:t>Упр-нию</w:t>
      </w:r>
      <w:proofErr w:type="spellEnd"/>
      <w:r w:rsidRPr="00441F34">
        <w:rPr>
          <w:rFonts w:ascii="Times New Roman" w:hAnsi="Times New Roman"/>
          <w:color w:val="0070C0"/>
          <w:sz w:val="16"/>
          <w:szCs w:val="16"/>
        </w:rPr>
        <w:t xml:space="preserve"> и ОГПУ на приобретение герм. и </w:t>
      </w:r>
      <w:proofErr w:type="spellStart"/>
      <w:r w:rsidRPr="00441F34">
        <w:rPr>
          <w:rFonts w:ascii="Times New Roman" w:hAnsi="Times New Roman"/>
          <w:color w:val="0070C0"/>
          <w:sz w:val="16"/>
          <w:szCs w:val="16"/>
        </w:rPr>
        <w:t>америк</w:t>
      </w:r>
      <w:proofErr w:type="spellEnd"/>
      <w:r w:rsidRPr="00441F34">
        <w:rPr>
          <w:rFonts w:ascii="Times New Roman" w:hAnsi="Times New Roman"/>
          <w:color w:val="0070C0"/>
          <w:sz w:val="16"/>
          <w:szCs w:val="16"/>
        </w:rPr>
        <w:t xml:space="preserve">. чертежей. Тухачевский 14.VII.31 г." Верно: Ст. секретарь УММ» </w:t>
      </w:r>
    </w:p>
    <w:p w14:paraId="66AF50AC"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документе пометы: </w:t>
      </w:r>
    </w:p>
    <w:p w14:paraId="6EB6CCA5"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 </w:t>
      </w:r>
      <w:proofErr w:type="spellStart"/>
      <w:r w:rsidRPr="00441F34">
        <w:rPr>
          <w:rFonts w:ascii="Times New Roman" w:hAnsi="Times New Roman"/>
          <w:color w:val="0070C0"/>
          <w:sz w:val="16"/>
          <w:szCs w:val="16"/>
        </w:rPr>
        <w:t>Халепскому</w:t>
      </w:r>
      <w:proofErr w:type="spellEnd"/>
      <w:r w:rsidRPr="00441F34">
        <w:rPr>
          <w:rFonts w:ascii="Times New Roman" w:hAnsi="Times New Roman"/>
          <w:color w:val="0070C0"/>
          <w:sz w:val="16"/>
          <w:szCs w:val="16"/>
        </w:rPr>
        <w:t xml:space="preserve">. Для личного доклада Тухачевскому» </w:t>
      </w:r>
    </w:p>
    <w:p w14:paraId="75D5C0F0"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 Лебедеву. В IV Управлении составьте задание на имя т. Березина, а ОГП на имя т. </w:t>
      </w:r>
      <w:proofErr w:type="spellStart"/>
      <w:r w:rsidRPr="00441F34">
        <w:rPr>
          <w:rFonts w:ascii="Times New Roman" w:hAnsi="Times New Roman"/>
          <w:color w:val="0070C0"/>
          <w:sz w:val="16"/>
          <w:szCs w:val="16"/>
        </w:rPr>
        <w:t>Мейсенга</w:t>
      </w:r>
      <w:proofErr w:type="spellEnd"/>
      <w:r w:rsidRPr="00441F34">
        <w:rPr>
          <w:rFonts w:ascii="Times New Roman" w:hAnsi="Times New Roman"/>
          <w:color w:val="0070C0"/>
          <w:sz w:val="16"/>
          <w:szCs w:val="16"/>
        </w:rPr>
        <w:t xml:space="preserve">, так же включить в задание о 16 т танке </w:t>
      </w:r>
      <w:proofErr w:type="spellStart"/>
      <w:r w:rsidRPr="00441F34">
        <w:rPr>
          <w:rFonts w:ascii="Times New Roman" w:hAnsi="Times New Roman"/>
          <w:color w:val="0070C0"/>
          <w:sz w:val="16"/>
          <w:szCs w:val="16"/>
        </w:rPr>
        <w:t>Викерса</w:t>
      </w:r>
      <w:proofErr w:type="spellEnd"/>
      <w:r w:rsidRPr="00441F34">
        <w:rPr>
          <w:rFonts w:ascii="Times New Roman" w:hAnsi="Times New Roman"/>
          <w:color w:val="0070C0"/>
          <w:sz w:val="16"/>
          <w:szCs w:val="16"/>
        </w:rPr>
        <w:t xml:space="preserve">. Прежде чем писать переговорите со мной. подпись И.А. </w:t>
      </w:r>
      <w:proofErr w:type="spellStart"/>
      <w:r w:rsidRPr="00441F34">
        <w:rPr>
          <w:rFonts w:ascii="Times New Roman" w:hAnsi="Times New Roman"/>
          <w:color w:val="0070C0"/>
          <w:sz w:val="16"/>
          <w:szCs w:val="16"/>
        </w:rPr>
        <w:t>Халепского</w:t>
      </w:r>
      <w:proofErr w:type="spellEnd"/>
      <w:r w:rsidRPr="00441F34">
        <w:rPr>
          <w:rFonts w:ascii="Times New Roman" w:hAnsi="Times New Roman"/>
          <w:color w:val="0070C0"/>
          <w:sz w:val="16"/>
          <w:szCs w:val="16"/>
        </w:rPr>
        <w:t xml:space="preserve"> 16.VII.31 г.» </w:t>
      </w:r>
    </w:p>
    <w:p w14:paraId="24579FB7" w14:textId="77777777" w:rsidR="00E760AA" w:rsidRPr="00441F34" w:rsidRDefault="00E760AA" w:rsidP="00E760A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«Исполнено: 18.VII.31 г. подпись И.А. Лебедева» (24861).</w:t>
      </w:r>
    </w:p>
    <w:p w14:paraId="5096F1F1" w14:textId="77777777" w:rsidR="00E760AA" w:rsidRPr="00441F34" w:rsidRDefault="00E760AA" w:rsidP="00E760AA">
      <w:pPr>
        <w:spacing w:after="0" w:line="240" w:lineRule="auto"/>
        <w:jc w:val="both"/>
        <w:rPr>
          <w:rFonts w:ascii="Times New Roman" w:hAnsi="Times New Roman"/>
          <w:color w:val="0070C0"/>
          <w:sz w:val="16"/>
          <w:szCs w:val="16"/>
        </w:rPr>
      </w:pPr>
    </w:p>
    <w:p w14:paraId="1C732D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июня 1931 г., чтобы помочь заводу «Красный Октябрь», ВАТО разре</w:t>
      </w:r>
      <w:r w:rsidRPr="007122AB">
        <w:rPr>
          <w:rFonts w:ascii="Times New Roman" w:hAnsi="Times New Roman"/>
          <w:color w:val="000000" w:themeColor="text1"/>
          <w:sz w:val="16"/>
          <w:szCs w:val="16"/>
        </w:rPr>
        <w:softHyphen/>
        <w:t xml:space="preserve">шило </w:t>
      </w:r>
      <w:proofErr w:type="spellStart"/>
      <w:r w:rsidRPr="007122AB">
        <w:rPr>
          <w:rFonts w:ascii="Times New Roman" w:hAnsi="Times New Roman"/>
          <w:color w:val="000000" w:themeColor="text1"/>
          <w:sz w:val="16"/>
          <w:szCs w:val="16"/>
        </w:rPr>
        <w:t>АВТОДОРу</w:t>
      </w:r>
      <w:proofErr w:type="spellEnd"/>
      <w:r w:rsidRPr="007122AB">
        <w:rPr>
          <w:rFonts w:ascii="Times New Roman" w:hAnsi="Times New Roman"/>
          <w:color w:val="000000" w:themeColor="text1"/>
          <w:sz w:val="16"/>
          <w:szCs w:val="16"/>
        </w:rPr>
        <w:t xml:space="preserve"> сделать предоплату мотоциклов [4.48]. ВСНХ ещё раз заверил </w:t>
      </w:r>
      <w:proofErr w:type="spellStart"/>
      <w:r w:rsidRPr="007122AB">
        <w:rPr>
          <w:rFonts w:ascii="Times New Roman" w:hAnsi="Times New Roman"/>
          <w:color w:val="000000" w:themeColor="text1"/>
          <w:sz w:val="16"/>
          <w:szCs w:val="16"/>
        </w:rPr>
        <w:t>автодоровскую</w:t>
      </w:r>
      <w:proofErr w:type="spellEnd"/>
      <w:r w:rsidRPr="007122AB">
        <w:rPr>
          <w:rFonts w:ascii="Times New Roman" w:hAnsi="Times New Roman"/>
          <w:color w:val="000000" w:themeColor="text1"/>
          <w:sz w:val="16"/>
          <w:szCs w:val="16"/>
        </w:rPr>
        <w:t xml:space="preserve"> общественность в том, что «...к концу 1-й пятилетки у нас будет четыре завода, выпуска</w:t>
      </w:r>
      <w:r w:rsidRPr="007122AB">
        <w:rPr>
          <w:rFonts w:ascii="Times New Roman" w:hAnsi="Times New Roman"/>
          <w:color w:val="000000" w:themeColor="text1"/>
          <w:sz w:val="16"/>
          <w:szCs w:val="16"/>
        </w:rPr>
        <w:softHyphen/>
        <w:t>ющих мотоциклы», при этом А.П. Медведев официально сослал</w:t>
      </w:r>
      <w:r w:rsidRPr="007122AB">
        <w:rPr>
          <w:rFonts w:ascii="Times New Roman" w:hAnsi="Times New Roman"/>
          <w:color w:val="000000" w:themeColor="text1"/>
          <w:sz w:val="16"/>
          <w:szCs w:val="16"/>
        </w:rPr>
        <w:softHyphen/>
        <w:t xml:space="preserve">ся на якобы «неудачный опыт постройки Ижевским заводом пробных мотоциклов, которые в результате недостаточно умелого и вдумчивого отношения при проектировании затормозили развитие нашего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[4.49]. Это обещание так и не выполнили, а высказывание о мотоциклах, сделанных в Ижевске, перечёркивало положительные отзывы о них А.П. Медведева [4.45]. И всё же, АВТОДОР сумел заключить и утвердить договор с заводом «Красный Октябрь» на поставку в 1932 г. 1000 мотоциклов Л-300, а в 1933 г. - 3 тыс. [4.50], а затем распределил ожидаемые мотоциклы между низовыми автодоров-</w:t>
      </w:r>
      <w:proofErr w:type="spellStart"/>
      <w:r w:rsidRPr="007122AB">
        <w:rPr>
          <w:rFonts w:ascii="Times New Roman" w:hAnsi="Times New Roman"/>
          <w:color w:val="000000" w:themeColor="text1"/>
          <w:sz w:val="16"/>
          <w:szCs w:val="16"/>
        </w:rPr>
        <w:t>скими</w:t>
      </w:r>
      <w:proofErr w:type="spellEnd"/>
      <w:r w:rsidRPr="007122AB">
        <w:rPr>
          <w:rFonts w:ascii="Times New Roman" w:hAnsi="Times New Roman"/>
          <w:color w:val="000000" w:themeColor="text1"/>
          <w:sz w:val="16"/>
          <w:szCs w:val="16"/>
        </w:rPr>
        <w:t xml:space="preserve"> организациями [4.51]. Казалось, договор удастся выпол</w:t>
      </w:r>
      <w:r w:rsidRPr="007122AB">
        <w:rPr>
          <w:rFonts w:ascii="Times New Roman" w:hAnsi="Times New Roman"/>
          <w:color w:val="000000" w:themeColor="text1"/>
          <w:sz w:val="16"/>
          <w:szCs w:val="16"/>
        </w:rPr>
        <w:softHyphen/>
        <w:t>нить, поскольку ВСНХ установил выпуск мотоциклов в СССР на 1932 г. в количестве 7 тыс. экземпляров [4.47]. Для выполнения этой задачи предлагалось включить в состав ВАТО мотозаводы страны «Красный Октябрь» и ХАЗ [4.52], на котором предпола</w:t>
      </w:r>
      <w:r w:rsidRPr="007122AB">
        <w:rPr>
          <w:rFonts w:ascii="Times New Roman" w:hAnsi="Times New Roman"/>
          <w:color w:val="000000" w:themeColor="text1"/>
          <w:sz w:val="16"/>
          <w:szCs w:val="16"/>
        </w:rPr>
        <w:softHyphen/>
        <w:t>галось освоить серийный выпуск мотоциклов. Важным итогом 1931 г. стало распоряжение НАТИ о проек</w:t>
      </w:r>
      <w:r w:rsidRPr="007122AB">
        <w:rPr>
          <w:rFonts w:ascii="Times New Roman" w:hAnsi="Times New Roman"/>
          <w:color w:val="000000" w:themeColor="text1"/>
          <w:sz w:val="16"/>
          <w:szCs w:val="16"/>
        </w:rPr>
        <w:softHyphen/>
        <w:t>тировании армейских мотоциклов, принятое на расширенном за</w:t>
      </w:r>
      <w:r w:rsidRPr="007122AB">
        <w:rPr>
          <w:rFonts w:ascii="Times New Roman" w:hAnsi="Times New Roman"/>
          <w:color w:val="000000" w:themeColor="text1"/>
          <w:sz w:val="16"/>
          <w:szCs w:val="16"/>
        </w:rPr>
        <w:softHyphen/>
        <w:t xml:space="preserve">седании ведомств и организаций, созванном 5 октября 1931 г.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ВСНХ СССР [4.47]. Эту работу поручили П.В. Можарову [4.53] (11429).</w:t>
      </w:r>
    </w:p>
    <w:p w14:paraId="099D0F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8945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C109F1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B3C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июня 1931 г. </w:t>
      </w:r>
      <w:proofErr w:type="spellStart"/>
      <w:r w:rsidRPr="007122AB">
        <w:rPr>
          <w:rFonts w:ascii="Times New Roman" w:hAnsi="Times New Roman"/>
          <w:color w:val="000000" w:themeColor="text1"/>
          <w:sz w:val="16"/>
          <w:szCs w:val="16"/>
        </w:rPr>
        <w:t>пл</w:t>
      </w:r>
      <w:proofErr w:type="spellEnd"/>
      <w:r w:rsidRPr="007122AB">
        <w:rPr>
          <w:rFonts w:ascii="Times New Roman" w:hAnsi="Times New Roman"/>
          <w:color w:val="000000" w:themeColor="text1"/>
          <w:sz w:val="16"/>
          <w:szCs w:val="16"/>
        </w:rPr>
        <w:t xml:space="preserve"> "Металлист", выполняя учебную торпедную ата</w:t>
      </w:r>
      <w:r w:rsidRPr="007122AB">
        <w:rPr>
          <w:rFonts w:ascii="Times New Roman" w:hAnsi="Times New Roman"/>
          <w:color w:val="000000" w:themeColor="text1"/>
          <w:sz w:val="16"/>
          <w:szCs w:val="16"/>
        </w:rPr>
        <w:softHyphen/>
        <w:t>ку эсминца "Фрунзе", неудачно маневрировал и, всплывая, попал под таран корабля-цели. С двумя затопленными носовыми отсека</w:t>
      </w:r>
      <w:r w:rsidRPr="007122AB">
        <w:rPr>
          <w:rFonts w:ascii="Times New Roman" w:hAnsi="Times New Roman"/>
          <w:color w:val="000000" w:themeColor="text1"/>
          <w:sz w:val="16"/>
          <w:szCs w:val="16"/>
        </w:rPr>
        <w:softHyphen/>
        <w:t>ми лодка легла на грунт на глубине 28 м. Судоподъемные работы с привлечением водолазов и плавучих кранов увенчались успехом через 42,5 ч после аварии. Однако спасти удалось только трех чело</w:t>
      </w:r>
      <w:r w:rsidRPr="007122AB">
        <w:rPr>
          <w:rFonts w:ascii="Times New Roman" w:hAnsi="Times New Roman"/>
          <w:color w:val="000000" w:themeColor="text1"/>
          <w:sz w:val="16"/>
          <w:szCs w:val="16"/>
        </w:rPr>
        <w:softHyphen/>
        <w:t>век из кормового отсека. Еще шестеро подводников всплыли с воз</w:t>
      </w:r>
      <w:r w:rsidRPr="007122AB">
        <w:rPr>
          <w:rFonts w:ascii="Times New Roman" w:hAnsi="Times New Roman"/>
          <w:color w:val="000000" w:themeColor="text1"/>
          <w:sz w:val="16"/>
          <w:szCs w:val="16"/>
        </w:rPr>
        <w:softHyphen/>
        <w:t>душным пузырем во время гибели лодки. Погибли 24 моряка вме</w:t>
      </w:r>
      <w:r w:rsidRPr="007122AB">
        <w:rPr>
          <w:rFonts w:ascii="Times New Roman" w:hAnsi="Times New Roman"/>
          <w:color w:val="000000" w:themeColor="text1"/>
          <w:sz w:val="16"/>
          <w:szCs w:val="16"/>
        </w:rPr>
        <w:softHyphen/>
        <w:t>сте с командиром.</w:t>
      </w:r>
    </w:p>
    <w:p w14:paraId="0FD940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Катастрофа "Металлиста" показала явно недостаточную опера</w:t>
      </w:r>
      <w:r w:rsidRPr="007122AB">
        <w:rPr>
          <w:rFonts w:ascii="Times New Roman" w:hAnsi="Times New Roman"/>
          <w:color w:val="000000" w:themeColor="text1"/>
          <w:sz w:val="16"/>
          <w:szCs w:val="16"/>
        </w:rPr>
        <w:softHyphen/>
        <w:t>тивность спасательной службы и пренебрежение командования ВМФ к снабжению лодок индивидуальными спасательными сред</w:t>
      </w:r>
      <w:r w:rsidRPr="007122AB">
        <w:rPr>
          <w:rFonts w:ascii="Times New Roman" w:hAnsi="Times New Roman"/>
          <w:color w:val="000000" w:themeColor="text1"/>
          <w:sz w:val="16"/>
          <w:szCs w:val="16"/>
        </w:rPr>
        <w:softHyphen/>
        <w:t>ствами. Сама лодка была вновь восстановлена и в 1932 г. введена в строй под названием А-5. Она отличилась в боевых походах в Ве</w:t>
      </w:r>
      <w:r w:rsidRPr="007122AB">
        <w:rPr>
          <w:rFonts w:ascii="Times New Roman" w:hAnsi="Times New Roman"/>
          <w:color w:val="000000" w:themeColor="text1"/>
          <w:sz w:val="16"/>
          <w:szCs w:val="16"/>
        </w:rPr>
        <w:softHyphen/>
        <w:t>ликую Отечественную войну и стала Краснознаменной (3898).</w:t>
      </w:r>
    </w:p>
    <w:p w14:paraId="1C7CDE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7DB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июня 1931 г., во время учебных торпедных стрельб, в результате неправильных действий командира подводной лодки типа АГ «Металлист» В. </w:t>
      </w:r>
      <w:proofErr w:type="spellStart"/>
      <w:r w:rsidRPr="007122AB">
        <w:rPr>
          <w:rFonts w:ascii="Times New Roman" w:hAnsi="Times New Roman"/>
          <w:color w:val="000000" w:themeColor="text1"/>
          <w:sz w:val="16"/>
          <w:szCs w:val="16"/>
        </w:rPr>
        <w:t>Бебешина</w:t>
      </w:r>
      <w:proofErr w:type="spellEnd"/>
      <w:r w:rsidRPr="007122AB">
        <w:rPr>
          <w:rFonts w:ascii="Times New Roman" w:hAnsi="Times New Roman"/>
          <w:color w:val="000000" w:themeColor="text1"/>
          <w:sz w:val="16"/>
          <w:szCs w:val="16"/>
        </w:rPr>
        <w:t xml:space="preserve">, она была протаранена эсминцем "Фрунзе" и затонула на глубине 32 метра. С помощью четырех плавучих кранов </w:t>
      </w:r>
      <w:proofErr w:type="spellStart"/>
      <w:r w:rsidRPr="007122AB">
        <w:rPr>
          <w:rFonts w:ascii="Times New Roman" w:hAnsi="Times New Roman"/>
          <w:color w:val="000000" w:themeColor="text1"/>
          <w:sz w:val="16"/>
          <w:szCs w:val="16"/>
        </w:rPr>
        <w:t>эпроновцы</w:t>
      </w:r>
      <w:proofErr w:type="spellEnd"/>
      <w:r w:rsidRPr="007122AB">
        <w:rPr>
          <w:rFonts w:ascii="Times New Roman" w:hAnsi="Times New Roman"/>
          <w:color w:val="000000" w:themeColor="text1"/>
          <w:sz w:val="16"/>
          <w:szCs w:val="16"/>
        </w:rPr>
        <w:t xml:space="preserve"> подняли ее за 40 часов. Было спасено 9 человек. После восстановительного ремонта 1 января 1932 г. лодка вновь вошла в строй (11630).</w:t>
      </w:r>
    </w:p>
    <w:p w14:paraId="5BCFC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26983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CAAD18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34BD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июня 1931 роялистский мэр Мадрида растерзан революционной толпой испанцев (4962).</w:t>
      </w:r>
    </w:p>
    <w:p w14:paraId="224743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529B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24D3AE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D879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июня 1931 </w:t>
      </w:r>
      <w:proofErr w:type="spellStart"/>
      <w:r w:rsidRPr="007122AB">
        <w:rPr>
          <w:rFonts w:ascii="Times New Roman" w:hAnsi="Times New Roman"/>
          <w:color w:val="000000" w:themeColor="text1"/>
          <w:sz w:val="16"/>
          <w:szCs w:val="16"/>
        </w:rPr>
        <w:t>Крейсон</w:t>
      </w:r>
      <w:proofErr w:type="spellEnd"/>
      <w:r w:rsidRPr="007122AB">
        <w:rPr>
          <w:rFonts w:ascii="Times New Roman" w:hAnsi="Times New Roman"/>
          <w:color w:val="000000" w:themeColor="text1"/>
          <w:sz w:val="16"/>
          <w:szCs w:val="16"/>
        </w:rPr>
        <w:t xml:space="preserve"> дал данные на проектирование лыж для ТБ-5 (N 8), ДИ3 (N 5), ТШ2 (N 6), Р8 (N 12), ДИ5 (N 14), ФС (N 28), ФСМ (N 29), ПГР (N 27) (1041).</w:t>
      </w:r>
    </w:p>
    <w:p w14:paraId="26B8BF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88C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(10 - 274) июня 1931 впервые в СССР женщина (</w:t>
      </w:r>
      <w:proofErr w:type="spellStart"/>
      <w:r w:rsidRPr="007122AB">
        <w:rPr>
          <w:rFonts w:ascii="Times New Roman" w:hAnsi="Times New Roman"/>
          <w:color w:val="000000" w:themeColor="text1"/>
          <w:sz w:val="16"/>
          <w:szCs w:val="16"/>
        </w:rPr>
        <w:t>Л.Кулешова</w:t>
      </w:r>
      <w:proofErr w:type="spellEnd"/>
      <w:r w:rsidRPr="007122AB">
        <w:rPr>
          <w:rFonts w:ascii="Times New Roman" w:hAnsi="Times New Roman"/>
          <w:color w:val="000000" w:themeColor="text1"/>
          <w:sz w:val="16"/>
          <w:szCs w:val="16"/>
        </w:rPr>
        <w:t xml:space="preserve">) совершила прыжок с парашютом автоматического действия </w:t>
      </w:r>
      <w:proofErr w:type="spellStart"/>
      <w:r w:rsidRPr="007122AB">
        <w:rPr>
          <w:rFonts w:ascii="Times New Roman" w:hAnsi="Times New Roman"/>
          <w:color w:val="000000" w:themeColor="text1"/>
          <w:sz w:val="16"/>
          <w:szCs w:val="16"/>
        </w:rPr>
        <w:t>П.И.Гроховского</w:t>
      </w:r>
      <w:proofErr w:type="spellEnd"/>
      <w:r w:rsidRPr="007122AB">
        <w:rPr>
          <w:rFonts w:ascii="Times New Roman" w:hAnsi="Times New Roman"/>
          <w:color w:val="000000" w:themeColor="text1"/>
          <w:sz w:val="16"/>
          <w:szCs w:val="16"/>
        </w:rPr>
        <w:t xml:space="preserve"> с самолета ТБ-1 (237,161).</w:t>
      </w:r>
    </w:p>
    <w:p w14:paraId="52A7FB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другим данным первым прыгали </w:t>
      </w:r>
      <w:proofErr w:type="spellStart"/>
      <w:r w:rsidRPr="007122AB">
        <w:rPr>
          <w:rFonts w:ascii="Times New Roman" w:hAnsi="Times New Roman"/>
          <w:color w:val="000000" w:themeColor="text1"/>
          <w:sz w:val="16"/>
          <w:szCs w:val="16"/>
        </w:rPr>
        <w:t>П.И.Гроховский</w:t>
      </w:r>
      <w:proofErr w:type="spellEnd"/>
      <w:r w:rsidRPr="007122AB">
        <w:rPr>
          <w:rFonts w:ascii="Times New Roman" w:hAnsi="Times New Roman"/>
          <w:color w:val="000000" w:themeColor="text1"/>
          <w:sz w:val="16"/>
          <w:szCs w:val="16"/>
        </w:rPr>
        <w:t xml:space="preserve"> и Ефремов на ЦА и парашюты были </w:t>
      </w:r>
      <w:proofErr w:type="spellStart"/>
      <w:r w:rsidRPr="007122AB">
        <w:rPr>
          <w:rFonts w:ascii="Times New Roman" w:hAnsi="Times New Roman"/>
          <w:color w:val="000000" w:themeColor="text1"/>
          <w:sz w:val="16"/>
          <w:szCs w:val="16"/>
        </w:rPr>
        <w:t>хб</w:t>
      </w:r>
      <w:proofErr w:type="spellEnd"/>
      <w:r w:rsidRPr="007122AB">
        <w:rPr>
          <w:rFonts w:ascii="Times New Roman" w:hAnsi="Times New Roman"/>
          <w:color w:val="000000" w:themeColor="text1"/>
          <w:sz w:val="16"/>
          <w:szCs w:val="16"/>
        </w:rPr>
        <w:t xml:space="preserve">, а </w:t>
      </w:r>
      <w:proofErr w:type="spellStart"/>
      <w:r w:rsidRPr="007122AB">
        <w:rPr>
          <w:rFonts w:ascii="Times New Roman" w:hAnsi="Times New Roman"/>
          <w:color w:val="000000" w:themeColor="text1"/>
          <w:sz w:val="16"/>
          <w:szCs w:val="16"/>
        </w:rPr>
        <w:t>Л.Кулешова</w:t>
      </w:r>
      <w:proofErr w:type="spellEnd"/>
      <w:r w:rsidRPr="007122AB">
        <w:rPr>
          <w:rFonts w:ascii="Times New Roman" w:hAnsi="Times New Roman"/>
          <w:color w:val="000000" w:themeColor="text1"/>
          <w:sz w:val="16"/>
          <w:szCs w:val="16"/>
        </w:rPr>
        <w:t xml:space="preserve"> еще с 10 мужчинами - уже после обеда (1101,93).</w:t>
      </w:r>
    </w:p>
    <w:p w14:paraId="11699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25339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D396AE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C6A5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июня 1931 между Москвой и Ленинградом начала курсировать Красная стрела (3263,312).</w:t>
      </w:r>
    </w:p>
    <w:p w14:paraId="45D20A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E0F081" w14:textId="77777777" w:rsidR="006E3AAB" w:rsidRPr="007122AB" w:rsidRDefault="006E3A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9 июня</w:t>
      </w:r>
      <w:r w:rsidRPr="007122AB">
        <w:rPr>
          <w:rFonts w:ascii="Times New Roman" w:hAnsi="Times New Roman"/>
          <w:color w:val="000000" w:themeColor="text1"/>
          <w:sz w:val="16"/>
          <w:szCs w:val="16"/>
        </w:rPr>
        <w:t xml:space="preserve"> в 1931 году из Москвы в Ленинград по Октябрьской железной дороге отправился в рейс первый в стране фирменный поезд "Красная стрела". Также впервые в истории советских железных дорог в «Красной стреле» был запущен вагон СВ. Сегодня на этом поезде из Москвы в Санкт-Петербург можно доехать за восемь с половиной часов. Несмотря на то, что поезд сразу назвали «Красной стрелой», вначале вагоны поезда были синего цвета. Идея перекрасить их в красный пришла в голову одному из первых начальников «Стрелы» позже и была одобрена министром путей сообщения. Для создания вагона СВ четырехместные купе усовершенствовались работниками депо: верхние полки снимались и на их место вешались зеркала и красивые светильники. После начала войны регулярное движение поезда вынуждены были прервать. Произошло это 24 июня 1941 года. Для сохранения составов роскошного поезда, один из них поместили в «царский павильон» на Обводном канале, другой же, вместе с маленькими детьми, был эвакуирован на станцию </w:t>
      </w:r>
      <w:proofErr w:type="spellStart"/>
      <w:r w:rsidRPr="007122AB">
        <w:rPr>
          <w:rFonts w:ascii="Times New Roman" w:hAnsi="Times New Roman"/>
          <w:color w:val="000000" w:themeColor="text1"/>
          <w:sz w:val="16"/>
          <w:szCs w:val="16"/>
        </w:rPr>
        <w:t>Цирульск</w:t>
      </w:r>
      <w:proofErr w:type="spellEnd"/>
      <w:r w:rsidRPr="007122AB">
        <w:rPr>
          <w:rFonts w:ascii="Times New Roman" w:hAnsi="Times New Roman"/>
          <w:color w:val="000000" w:themeColor="text1"/>
          <w:sz w:val="16"/>
          <w:szCs w:val="16"/>
        </w:rPr>
        <w:t>. За время своего существования «Красная стрела» не раз сокращала время нахождения в пути. Но даже в эпоху скоростного движения она преодолевает 650 километровый путь между двумя столицами за восемь с половиной часов. Вагоны подобного класса могут развивать скорость до 160 км/ч, но экспресс специально идет с замедлениями, чтобы пассажиры могли спокойно отдохнуть в пути. Одна из причин, за которую пассажиры любят этот поезд, - это неизменная пунктуальность (14917).</w:t>
      </w:r>
    </w:p>
    <w:p w14:paraId="41774CDF" w14:textId="77777777" w:rsidR="006E3AAB" w:rsidRPr="007122AB" w:rsidRDefault="006E3AAB" w:rsidP="007122AB">
      <w:pPr>
        <w:spacing w:after="0" w:line="240" w:lineRule="auto"/>
        <w:jc w:val="both"/>
        <w:rPr>
          <w:rFonts w:ascii="Times New Roman" w:hAnsi="Times New Roman"/>
          <w:color w:val="000000" w:themeColor="text1"/>
          <w:sz w:val="16"/>
          <w:szCs w:val="16"/>
        </w:rPr>
      </w:pPr>
    </w:p>
    <w:p w14:paraId="18CCCFD8"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 11 июня 1931 г. в той же «Экономической жизни» опубликовал свою статью </w:t>
      </w:r>
      <w:proofErr w:type="spellStart"/>
      <w:r w:rsidRPr="007122AB">
        <w:rPr>
          <w:rFonts w:ascii="Times New Roman" w:hAnsi="Times New Roman"/>
          <w:color w:val="000000" w:themeColor="text1"/>
          <w:sz w:val="16"/>
          <w:szCs w:val="16"/>
        </w:rPr>
        <w:t>Генде</w:t>
      </w:r>
      <w:proofErr w:type="spellEnd"/>
      <w:r w:rsidRPr="007122AB">
        <w:rPr>
          <w:rFonts w:ascii="Times New Roman" w:hAnsi="Times New Roman"/>
          <w:color w:val="000000" w:themeColor="text1"/>
          <w:sz w:val="16"/>
          <w:szCs w:val="16"/>
        </w:rPr>
        <w:t xml:space="preserve">-Роте, опровергший тезисы </w:t>
      </w:r>
      <w:proofErr w:type="spellStart"/>
      <w:r w:rsidRPr="007122AB">
        <w:rPr>
          <w:rFonts w:ascii="Times New Roman" w:hAnsi="Times New Roman"/>
          <w:color w:val="000000" w:themeColor="text1"/>
          <w:sz w:val="16"/>
          <w:szCs w:val="16"/>
        </w:rPr>
        <w:t>Пузиса</w:t>
      </w:r>
      <w:proofErr w:type="spellEnd"/>
      <w:r w:rsidRPr="007122AB">
        <w:rPr>
          <w:rFonts w:ascii="Times New Roman" w:hAnsi="Times New Roman"/>
          <w:color w:val="000000" w:themeColor="text1"/>
          <w:sz w:val="16"/>
          <w:szCs w:val="16"/>
        </w:rPr>
        <w:t>: «Скоростные средства сообщения без сомнения соответствуют духу социалистического строительства. […] Центр пролетарского государства обязан иметь быстрый и удобный городской транспорт». Бессмысленными являются утверждения, что Москва как столичный город не нуждается в промышленности: «До сих пор мы полагали, что политическое значение города зависит от величины армии труда и парторганизации». Сильно выросшее уличное движение в Москве является следствием прогресса социальной структуры и культурной жизни: «Старая недвижная купеческая Москва уступила место могучему пролетарскому центру»{326}.</w:t>
      </w:r>
    </w:p>
    <w:p w14:paraId="044E5A3A"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Децентрализация же не ослабляет сообщения между районами города. </w:t>
      </w:r>
      <w:proofErr w:type="spellStart"/>
      <w:r w:rsidRPr="007122AB">
        <w:rPr>
          <w:rFonts w:ascii="Times New Roman" w:hAnsi="Times New Roman"/>
          <w:color w:val="000000" w:themeColor="text1"/>
          <w:sz w:val="16"/>
          <w:szCs w:val="16"/>
        </w:rPr>
        <w:t>Пузис</w:t>
      </w:r>
      <w:proofErr w:type="spellEnd"/>
      <w:r w:rsidRPr="007122AB">
        <w:rPr>
          <w:rFonts w:ascii="Times New Roman" w:hAnsi="Times New Roman"/>
          <w:color w:val="000000" w:themeColor="text1"/>
          <w:sz w:val="16"/>
          <w:szCs w:val="16"/>
        </w:rPr>
        <w:t xml:space="preserve"> обосновывает свое утверждение, что метрополитен устарел, одним лишь приростом числа автобусов в Лондоне. В Нью-Йорке же на долю метро приходится 54,4% всех пассажироперевозок, в Париже 43,3%, в Берлине 14,3% и дополнительно 23,2% по наземным городским железным дорогам. Если в Нью-Йорке метрополитен носит антисоциальный характер, то причина лежит в капиталистической системе. Буржуазная техника должна быть приспособлена к интересам социалистического строительства.</w:t>
      </w:r>
    </w:p>
    <w:p w14:paraId="4CE824DB"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Необходимость строительства в Москве метрополитена очевидна. Сейчас должно быть подготовлено сооружение первой очереди с тем, чтобы сдать ее в эксплуатацию в 1934/35 г. Одновременно нужно начать продолжение пригородных железнодорожных линий к центру города{327}.Редакция газеты (и тем самым также Госплан) присоединилась к этой позиции, но полагала, что нужно взять решительный курс на прекращение нового промышленного строительства в Москве (18299).</w:t>
      </w:r>
    </w:p>
    <w:p w14:paraId="00DAD1D6" w14:textId="77777777" w:rsidR="00B03AC4" w:rsidRPr="007122AB" w:rsidRDefault="00B03AC4" w:rsidP="007122AB">
      <w:pPr>
        <w:spacing w:after="0" w:line="240" w:lineRule="auto"/>
        <w:jc w:val="both"/>
        <w:rPr>
          <w:rFonts w:ascii="Times New Roman" w:hAnsi="Times New Roman"/>
          <w:color w:val="000000" w:themeColor="text1"/>
          <w:sz w:val="16"/>
          <w:szCs w:val="16"/>
        </w:rPr>
      </w:pPr>
    </w:p>
    <w:p w14:paraId="65B09DE9"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9 июня 1931 </w:t>
      </w:r>
      <w:r w:rsidRPr="007122AB">
        <w:rPr>
          <w:rFonts w:ascii="Times New Roman" w:hAnsi="Times New Roman"/>
          <w:color w:val="000000" w:themeColor="text1"/>
          <w:sz w:val="16"/>
          <w:szCs w:val="16"/>
        </w:rPr>
        <w:t>ЦИК и СНК приняли постановление «О втором выпуске государственного займа "Пятилетка в четыре года" (выпуск третьего решающего года пятилетки)» (12265).</w:t>
      </w:r>
    </w:p>
    <w:p w14:paraId="43A6E310"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 принял постановление «Об изменениях в системе финансирования капитального строительства промышленности» (12265).</w:t>
      </w:r>
    </w:p>
    <w:p w14:paraId="7461C5EF"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5F35BF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41BA2D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42ED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июня 1931 </w:t>
      </w:r>
      <w:proofErr w:type="spellStart"/>
      <w:r w:rsidRPr="007122AB">
        <w:rPr>
          <w:rFonts w:ascii="Times New Roman" w:hAnsi="Times New Roman"/>
          <w:color w:val="000000" w:themeColor="text1"/>
          <w:sz w:val="16"/>
          <w:szCs w:val="16"/>
        </w:rPr>
        <w:t>Р.Годдард</w:t>
      </w:r>
      <w:proofErr w:type="spellEnd"/>
      <w:r w:rsidRPr="007122AB">
        <w:rPr>
          <w:rFonts w:ascii="Times New Roman" w:hAnsi="Times New Roman"/>
          <w:color w:val="000000" w:themeColor="text1"/>
          <w:sz w:val="16"/>
          <w:szCs w:val="16"/>
        </w:rPr>
        <w:t xml:space="preserve"> запатентовал самолет с реактивным двигателем (2100).</w:t>
      </w:r>
    </w:p>
    <w:p w14:paraId="69B011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8CA3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июня 1931 у берегов Китая затонула английская подлодка «Посейдон» (4962).</w:t>
      </w:r>
    </w:p>
    <w:p w14:paraId="08563C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26E1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E277AB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9BCE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10 июня 1931 состоялось заседания рабочей п/комиссии:</w:t>
      </w:r>
    </w:p>
    <w:p w14:paraId="63507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Повестка дня:</w:t>
      </w:r>
    </w:p>
    <w:p w14:paraId="20C52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Опытное строительство.</w:t>
      </w:r>
    </w:p>
    <w:p w14:paraId="46A018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т.ч.: Проект предложений по плану опытного строительства и порядке внедрения опытных образцов в </w:t>
      </w:r>
      <w:proofErr w:type="spellStart"/>
      <w:r w:rsidRPr="007122AB">
        <w:rPr>
          <w:rFonts w:ascii="Times New Roman" w:hAnsi="Times New Roman"/>
          <w:color w:val="000000" w:themeColor="text1"/>
          <w:sz w:val="16"/>
          <w:szCs w:val="16"/>
        </w:rPr>
        <w:t>серийн</w:t>
      </w:r>
      <w:proofErr w:type="spellEnd"/>
      <w:r w:rsidRPr="007122AB">
        <w:rPr>
          <w:rFonts w:ascii="Times New Roman" w:hAnsi="Times New Roman"/>
          <w:color w:val="000000" w:themeColor="text1"/>
          <w:sz w:val="16"/>
          <w:szCs w:val="16"/>
        </w:rPr>
        <w:t>. производство. (</w:t>
      </w:r>
      <w:proofErr w:type="spellStart"/>
      <w:r w:rsidRPr="007122AB">
        <w:rPr>
          <w:rFonts w:ascii="Times New Roman" w:hAnsi="Times New Roman"/>
          <w:color w:val="000000" w:themeColor="text1"/>
          <w:sz w:val="16"/>
          <w:szCs w:val="16"/>
        </w:rPr>
        <w:t>Докл</w:t>
      </w:r>
      <w:proofErr w:type="spellEnd"/>
      <w:r w:rsidRPr="007122AB">
        <w:rPr>
          <w:rFonts w:ascii="Times New Roman" w:hAnsi="Times New Roman"/>
          <w:color w:val="000000" w:themeColor="text1"/>
          <w:sz w:val="16"/>
          <w:szCs w:val="16"/>
        </w:rPr>
        <w:t>. С.В.И. - НИИ). (3065,8-9).</w:t>
      </w:r>
    </w:p>
    <w:p w14:paraId="06C5BE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успешных гос. испытаний И-5 постановлением ЦИК от 11 июня 1931 репрессированные конструкторы были освобождены и перешли в ЦКБ ВАО (62,649).</w:t>
      </w:r>
    </w:p>
    <w:p w14:paraId="6B3569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Президиума и ЦИК, напечатанное в Правде:</w:t>
      </w:r>
    </w:p>
    <w:p w14:paraId="7B10F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550A0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ГК по опытному самолетостроению Д.П.Г., раскаявшегося в своих прежних поступках и годичной работой доказавшего на деле свое раскаяние - грамотой ЦИК и денежной наградой в 10 тыс. рублей.</w:t>
      </w:r>
    </w:p>
    <w:p w14:paraId="7CA98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Амнистировать...всех инженеров и техников, приговоренных ОГПУ к различным мерам социальной защиты за вредительство и ныне добровольно работающим в ЦКБ" "за исключительное увеличение темпов и сокращение сроков опытных самолетов, стоящих на уровне лучших заграничных образцов" (79,129).</w:t>
      </w:r>
    </w:p>
    <w:p w14:paraId="0E75F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 это была как бы перековка. Как на канале.</w:t>
      </w:r>
    </w:p>
    <w:p w14:paraId="5E850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Почему-то считается, что надо подчеркивать, что ничто не признавали и бумаг не подписывали и все отрицал (Д.П.Г. хвастал жене). Видно стыдно. Конечно же подписывали и раскаивались - ведь били и тех, кто не признавался - обычно до смерти.</w:t>
      </w:r>
    </w:p>
    <w:p w14:paraId="3150EE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Считается, что реабилитация была результатом многочисленных визитов правительства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А.А.Андреева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К.Е.Ворошилова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В.Р.Менжинского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И.В.Сталина</w:t>
      </w:r>
      <w:proofErr w:type="spellEnd"/>
      <w:r w:rsidRPr="007122AB">
        <w:rPr>
          <w:rFonts w:ascii="Times New Roman" w:hAnsi="Times New Roman"/>
          <w:color w:val="000000" w:themeColor="text1"/>
          <w:sz w:val="16"/>
          <w:szCs w:val="16"/>
        </w:rPr>
        <w:t>, которому демонстрировали новые типы самолетов (79,128).</w:t>
      </w:r>
    </w:p>
    <w:p w14:paraId="08D995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пришел в авиапромышленность летом 1931 став начальником Всесоюзного авиационного объединения (ВАО) (24,50).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сменил </w:t>
      </w:r>
      <w:proofErr w:type="spellStart"/>
      <w:r w:rsidRPr="007122AB">
        <w:rPr>
          <w:rFonts w:ascii="Times New Roman" w:hAnsi="Times New Roman"/>
          <w:color w:val="000000" w:themeColor="text1"/>
          <w:sz w:val="16"/>
          <w:szCs w:val="16"/>
        </w:rPr>
        <w:t>М.Н.Урываева</w:t>
      </w:r>
      <w:proofErr w:type="spellEnd"/>
      <w:r w:rsidRPr="007122AB">
        <w:rPr>
          <w:rFonts w:ascii="Times New Roman" w:hAnsi="Times New Roman"/>
          <w:color w:val="000000" w:themeColor="text1"/>
          <w:sz w:val="16"/>
          <w:szCs w:val="16"/>
        </w:rPr>
        <w:t xml:space="preserve"> (80,414). Руководителем ВВС стал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 чл. ВКП(б) с 1916, закончивший академии в 1924 (66,158).</w:t>
      </w:r>
    </w:p>
    <w:p w14:paraId="1E4D72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Пономарев считает, что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говорил </w:t>
      </w:r>
      <w:proofErr w:type="spellStart"/>
      <w:r w:rsidRPr="007122AB">
        <w:rPr>
          <w:rFonts w:ascii="Times New Roman" w:hAnsi="Times New Roman"/>
          <w:color w:val="000000" w:themeColor="text1"/>
          <w:sz w:val="16"/>
          <w:szCs w:val="16"/>
        </w:rPr>
        <w:t>П.И.Баранову</w:t>
      </w:r>
      <w:proofErr w:type="spellEnd"/>
      <w:r w:rsidRPr="007122AB">
        <w:rPr>
          <w:rFonts w:ascii="Times New Roman" w:hAnsi="Times New Roman"/>
          <w:color w:val="000000" w:themeColor="text1"/>
          <w:sz w:val="16"/>
          <w:szCs w:val="16"/>
        </w:rPr>
        <w:t xml:space="preserve"> о своем желании конструировать и строить самолеты еще до нового назначения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xml:space="preserve"> и считает что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любил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w:t>
      </w:r>
    </w:p>
    <w:p w14:paraId="1C403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случайно, рапорт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с просьбой о переводе в авиапромышленность был подан именно летом 1931 (24,51) и просьба была поддержана именно </w:t>
      </w:r>
      <w:proofErr w:type="spellStart"/>
      <w:r w:rsidRPr="007122AB">
        <w:rPr>
          <w:rFonts w:ascii="Times New Roman" w:hAnsi="Times New Roman"/>
          <w:color w:val="000000" w:themeColor="text1"/>
          <w:sz w:val="16"/>
          <w:szCs w:val="16"/>
        </w:rPr>
        <w:t>П.И.Барановым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был зачислен в резерв (37 лет).</w:t>
      </w:r>
    </w:p>
    <w:p w14:paraId="66F595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Видно,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потеряв союзника в ВВС, хотел иметь его в промышленности.</w:t>
      </w:r>
    </w:p>
    <w:p w14:paraId="76756C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ясно, что стало причиной, а что следствием и добровольный ли это был переход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xml:space="preserve">. Кстати, такой интересный переход - от потребителя к производителю наверное был характерным для того времени и </w:t>
      </w:r>
      <w:proofErr w:type="spellStart"/>
      <w:r w:rsidRPr="007122AB">
        <w:rPr>
          <w:rFonts w:ascii="Times New Roman" w:hAnsi="Times New Roman"/>
          <w:color w:val="000000" w:themeColor="text1"/>
          <w:sz w:val="16"/>
          <w:szCs w:val="16"/>
        </w:rPr>
        <w:t>И.В.Сталин</w:t>
      </w:r>
      <w:proofErr w:type="spellEnd"/>
      <w:r w:rsidRPr="007122AB">
        <w:rPr>
          <w:rFonts w:ascii="Times New Roman" w:hAnsi="Times New Roman"/>
          <w:color w:val="000000" w:themeColor="text1"/>
          <w:sz w:val="16"/>
          <w:szCs w:val="16"/>
        </w:rPr>
        <w:t xml:space="preserve"> решил, что лучше всего разберется с промышленностью тот, кто был ее главным клиентом. А может быть были и какие-то провалы в ВВС.</w:t>
      </w:r>
    </w:p>
    <w:p w14:paraId="11D50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Есть мнение, что И.В.С. снял П.И.Б. после показа техники и назначил Я.И.А. П.И.Б. спас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w:t>
      </w:r>
    </w:p>
    <w:p w14:paraId="353FAF0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2958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10 июня 1931 через военную приемку прошли семь моторов М-17б. На М-17Б стали ставить отечественные карбюраторы и бензонасосы. Ранее их импортировали из Франции. Советский карбюратор К-17, соз</w:t>
      </w:r>
      <w:r w:rsidRPr="007122AB">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7122AB">
        <w:rPr>
          <w:rFonts w:ascii="Times New Roman" w:hAnsi="Times New Roman"/>
          <w:color w:val="000000" w:themeColor="text1"/>
          <w:sz w:val="16"/>
          <w:szCs w:val="16"/>
        </w:rPr>
        <w:softHyphen/>
        <w:t>лись целые серии высотных двигателей. Например, все моторы, входив</w:t>
      </w:r>
      <w:r w:rsidRPr="007122AB">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7122AB">
        <w:rPr>
          <w:rFonts w:ascii="Times New Roman" w:hAnsi="Times New Roman"/>
          <w:color w:val="000000" w:themeColor="text1"/>
          <w:sz w:val="16"/>
          <w:szCs w:val="16"/>
        </w:rPr>
        <w:softHyphen/>
        <w:t>лись планы его последующей модернизации. При этом не только следова</w:t>
      </w:r>
      <w:r w:rsidRPr="007122AB">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7122AB">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7122AB">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7122AB">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7122AB">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383089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7D088" w14:textId="77777777" w:rsidR="006E3AAB" w:rsidRPr="007122AB" w:rsidRDefault="006E3A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10 июня</w:t>
      </w:r>
      <w:r w:rsidRPr="007122AB">
        <w:rPr>
          <w:rFonts w:ascii="Times New Roman" w:hAnsi="Times New Roman"/>
          <w:color w:val="000000" w:themeColor="text1"/>
          <w:sz w:val="16"/>
          <w:szCs w:val="16"/>
        </w:rPr>
        <w:t xml:space="preserve"> в 1931 году на Центральном аэродроме имени </w:t>
      </w:r>
      <w:proofErr w:type="spellStart"/>
      <w:r w:rsidRPr="007122AB">
        <w:rPr>
          <w:rFonts w:ascii="Times New Roman" w:hAnsi="Times New Roman"/>
          <w:color w:val="000000" w:themeColor="text1"/>
          <w:sz w:val="16"/>
          <w:szCs w:val="16"/>
        </w:rPr>
        <w:t>М.В.Фрунзе</w:t>
      </w:r>
      <w:proofErr w:type="spellEnd"/>
      <w:r w:rsidRPr="007122AB">
        <w:rPr>
          <w:rFonts w:ascii="Times New Roman" w:hAnsi="Times New Roman"/>
          <w:color w:val="000000" w:themeColor="text1"/>
          <w:sz w:val="16"/>
          <w:szCs w:val="16"/>
        </w:rPr>
        <w:t xml:space="preserve"> в Москве </w:t>
      </w:r>
      <w:proofErr w:type="spellStart"/>
      <w:r w:rsidRPr="007122AB">
        <w:rPr>
          <w:rFonts w:ascii="Times New Roman" w:hAnsi="Times New Roman"/>
          <w:color w:val="000000" w:themeColor="text1"/>
          <w:sz w:val="16"/>
          <w:szCs w:val="16"/>
        </w:rPr>
        <w:t>Л.С.Кулешова</w:t>
      </w:r>
      <w:proofErr w:type="spellEnd"/>
      <w:r w:rsidRPr="007122AB">
        <w:rPr>
          <w:rFonts w:ascii="Times New Roman" w:hAnsi="Times New Roman"/>
          <w:color w:val="000000" w:themeColor="text1"/>
          <w:sz w:val="16"/>
          <w:szCs w:val="16"/>
        </w:rPr>
        <w:t xml:space="preserve"> совершила прыжок с тяжелого двухмоторного бомбардировщика «ТБ-1» с автоматически открывающимся парашютом ОКБ </w:t>
      </w:r>
      <w:proofErr w:type="spellStart"/>
      <w:r w:rsidRPr="007122AB">
        <w:rPr>
          <w:rFonts w:ascii="Times New Roman" w:hAnsi="Times New Roman"/>
          <w:color w:val="000000" w:themeColor="text1"/>
          <w:sz w:val="16"/>
          <w:szCs w:val="16"/>
        </w:rPr>
        <w:t>П.И.Гроховского</w:t>
      </w:r>
      <w:proofErr w:type="spellEnd"/>
      <w:r w:rsidRPr="007122AB">
        <w:rPr>
          <w:rFonts w:ascii="Times New Roman" w:hAnsi="Times New Roman"/>
          <w:color w:val="000000" w:themeColor="text1"/>
          <w:sz w:val="16"/>
          <w:szCs w:val="16"/>
        </w:rPr>
        <w:t xml:space="preserve"> (1931). Прыгала она из особой подкрыльной люльки для десантирования парашютистов (14918).</w:t>
      </w:r>
    </w:p>
    <w:p w14:paraId="7BD7CC71" w14:textId="77777777" w:rsidR="006E3AAB" w:rsidRPr="007122AB" w:rsidRDefault="006E3AAB" w:rsidP="007122AB">
      <w:pPr>
        <w:spacing w:after="0" w:line="240" w:lineRule="auto"/>
        <w:jc w:val="both"/>
        <w:rPr>
          <w:rFonts w:ascii="Times New Roman" w:hAnsi="Times New Roman"/>
          <w:color w:val="000000" w:themeColor="text1"/>
          <w:sz w:val="16"/>
          <w:szCs w:val="16"/>
        </w:rPr>
      </w:pPr>
    </w:p>
    <w:p w14:paraId="20CAFF7E"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6B842BE"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E52ED2" w14:textId="77777777" w:rsidR="006E3AAB" w:rsidRPr="007122AB" w:rsidRDefault="006E3AAB"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color w:val="000000" w:themeColor="text1"/>
          <w:sz w:val="16"/>
          <w:szCs w:val="16"/>
        </w:rPr>
        <w:t xml:space="preserve">10 июня 1931 г. — Докладная записка заместителя начальника Сектора обороны Госплана СССР В. А. </w:t>
      </w:r>
      <w:proofErr w:type="spellStart"/>
      <w:r w:rsidRPr="007122AB">
        <w:rPr>
          <w:rFonts w:ascii="Times New Roman" w:hAnsi="Times New Roman"/>
          <w:color w:val="000000" w:themeColor="text1"/>
          <w:sz w:val="16"/>
          <w:szCs w:val="16"/>
        </w:rPr>
        <w:t>Колесинского</w:t>
      </w:r>
      <w:proofErr w:type="spellEnd"/>
      <w:r w:rsidRPr="007122AB">
        <w:rPr>
          <w:rFonts w:ascii="Times New Roman" w:hAnsi="Times New Roman"/>
          <w:color w:val="000000" w:themeColor="text1"/>
          <w:sz w:val="16"/>
          <w:szCs w:val="16"/>
        </w:rPr>
        <w:t xml:space="preserve"> в Комиссию В. М. Молотова о развитии орудийного производства</w:t>
      </w:r>
    </w:p>
    <w:p w14:paraId="4441DFD1"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2E34313D"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1. Все наши орудийные заводы уже длинный ряд лет находятся в процессе капитального строительства. Это обстоятельство крайне затрудняет освоение производства, накопление производственного опыта и создание квалифицированных кадров на новых заводах («Новое Сормово», «Баррикады») и постановку на должную высоту производства на старых заводах (ММЗ, № 8, «Большевик»).</w:t>
      </w:r>
    </w:p>
    <w:p w14:paraId="2351C29C"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Вследствие перманентного строительства мы не имеем до сих пор надлежащей мобилизационной готовности заводов, так как строящиеся заводы не обладают способностью быстрого мобилизационного развертывания и необходимой слаженностью всех своих частей.</w:t>
      </w:r>
    </w:p>
    <w:p w14:paraId="12A39F29"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В силу этих причин первейшей необходимостью надо признать скорейшее окончание строительства существующих орудийных заводов. Необходимо предрешить, что не позднее середины 1932 г. строительство должно быть полностью закончено для того, чтобы мобилизационный план МВ</w:t>
      </w:r>
      <w:r w:rsidRPr="007122AB">
        <w:rPr>
          <w:color w:val="000000" w:themeColor="text1"/>
          <w:sz w:val="16"/>
          <w:szCs w:val="16"/>
        </w:rPr>
        <w:noBreakHyphen/>
        <w:t>10 базировался на законченных и нормально работающих заводах. Без этого мы не обеспечим ни мобилизационного плана, ни заказов НКВМ на 1932 г.</w:t>
      </w:r>
    </w:p>
    <w:p w14:paraId="2A1D9C1F"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2. Дальнейшее наращивание мощностей по орудийному производству должно пойти: а) по пути рационализации производственных процессов; б) постановки орудийного производства на гражданских машиностроительных заводах и в) кооперирования кадровых заводов с гражданскими. Основная и единственно правильная линия дальнейшего развития нашей производственной базы артиллерии лежит на пути широкого и экономически целесообразного использования гражданской промышленности для постановки в ней орудийного производства.</w:t>
      </w:r>
    </w:p>
    <w:p w14:paraId="4CFB1BE4"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Это использование гражданской промышленности или, иначе говоря, ассимиляция орудийного производства на гражданских предприятиях должна пойти по трем путям: во-первых, путем постановки на заводах тяжелого машиностроения производства целой системы орудия; во-вторых, путем постановки на металлургических и машиностроительных заводах производства полуфабрикатов, деталей и отдельных орудийных частей, не требующих особой точности обработки и специальной квалификации рабочих; в-третьих, путем использования гражданских предприятий для расширения нашей ремонтно-арсенальной базы.</w:t>
      </w:r>
    </w:p>
    <w:p w14:paraId="5869D05E"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 xml:space="preserve">Такое использование гражданской промышленности даст нам возможность уже в перспективе ближайших лет значительно расширить производственную базу артиллерии без вложения больших средств в специально военное строительство и без связанного с этим омертвления капитала. Преимущество этого метода состоит также в том, что мобилизация в случае войны гражданского предприятия, освоившего орудийное производство, не связана с большими трудностями укомплектования </w:t>
      </w:r>
      <w:proofErr w:type="spellStart"/>
      <w:r w:rsidRPr="007122AB">
        <w:rPr>
          <w:color w:val="000000" w:themeColor="text1"/>
          <w:sz w:val="16"/>
          <w:szCs w:val="16"/>
        </w:rPr>
        <w:t>рабтехсилой</w:t>
      </w:r>
      <w:proofErr w:type="spellEnd"/>
      <w:r w:rsidRPr="007122AB">
        <w:rPr>
          <w:color w:val="000000" w:themeColor="text1"/>
          <w:sz w:val="16"/>
          <w:szCs w:val="16"/>
        </w:rPr>
        <w:t>, так как полнокровный и работающий с полной нагрузкой завод в основном будет обеспечен рабочей силой.</w:t>
      </w:r>
    </w:p>
    <w:p w14:paraId="6E6B9E7B"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3. В отношении кадровых орудийных заводов задача, как она поставлена в Комиссии обороны, сводится к тому, чтобы разгрузить Ленинград, сосредоточить орудийное дело на центральных и восточных базах и усилить эти базы техническими кадрами и квалифицированной рабочей силой за счет ленинградских заводов. Эта задача должна быть разрешена без ущерба для мобилизационной готовности по варианту № 10. Эту задачу я предлагаю решить в две очереди следующим образом: 1) полная разгрузка Ленинграда от орудийного производства, за исключением морской и береговой артиллерии, производится к весне 1933 г., так как проведение этой операции в более короткий срок повело бы к срыву мобилизационной программы 1932 г. по плану МВ</w:t>
      </w:r>
      <w:r w:rsidRPr="007122AB">
        <w:rPr>
          <w:color w:val="000000" w:themeColor="text1"/>
          <w:sz w:val="16"/>
          <w:szCs w:val="16"/>
        </w:rPr>
        <w:noBreakHyphen/>
        <w:t>10. К этому же времени (т. е. в 1933 г.) в Ленинграде сохраняется орудийное производство только на заводе «Большевик» по морской и береговой артиллерии; 2) в течение 1931 г. и первой половины 1932 г. полностью заканчивается реконструкция центральных и восточных орудийных заводов со следующей специализацией: Пермский завод (ММЗ) — полевая гаубичная артиллерия (122</w:t>
      </w:r>
      <w:r w:rsidRPr="007122AB">
        <w:rPr>
          <w:color w:val="000000" w:themeColor="text1"/>
          <w:sz w:val="16"/>
          <w:szCs w:val="16"/>
        </w:rPr>
        <w:noBreakHyphen/>
        <w:t>мм и 152</w:t>
      </w:r>
      <w:r w:rsidRPr="007122AB">
        <w:rPr>
          <w:color w:val="000000" w:themeColor="text1"/>
          <w:sz w:val="16"/>
          <w:szCs w:val="16"/>
        </w:rPr>
        <w:noBreakHyphen/>
        <w:t>мм). Снаряды и танки должны быть сняты и переданы на другие заводы; «Новое Сормово» — 76</w:t>
      </w:r>
      <w:r w:rsidRPr="007122AB">
        <w:rPr>
          <w:color w:val="000000" w:themeColor="text1"/>
          <w:sz w:val="16"/>
          <w:szCs w:val="16"/>
        </w:rPr>
        <w:noBreakHyphen/>
        <w:t>мм пушка всех видов (дивизионная, полковая, горная, зенитная); Сталинградский завод «Баррикады» — корпусная пушка (107 мм и 122 мм) и крупная сухопутная артиллерия; Мытищинский завод № 8 — мелкокалиберная танковая и противотанковая артиллерия. Кроме того, на вновь строящемся Свердловском машиностроительном заводе ставится производство гаубичной артиллерии с тем, чтобы во время войны он был полностью переведен на это производство.</w:t>
      </w:r>
    </w:p>
    <w:p w14:paraId="31ABC9F3"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lastRenderedPageBreak/>
        <w:t>4¹*. Специализация и реконструкция кадровых орудийных заводов производится на основе разгрузки этих заводов от производства менее ответственных частей, различных полуфабрикатов и деталей и передачи этого производства на гражданские заводы, которые должны быть кооперированы с кадровыми заводами. Кадровые орудийные заводы сосредоточивают у себя производство наиболее ответственных агрегатов орудий и сборку их, осуществляя по отношению к кооперированным с ними гражданскими предприятиями технический инструктаж.</w:t>
      </w:r>
    </w:p>
    <w:p w14:paraId="266F2D18"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Такая организация производства даст возможность без большого дополнительного расширения кадровых заводов значительно повысить их мощности и облегчит использование во время войны гражданской промышленности.</w:t>
      </w:r>
    </w:p>
    <w:p w14:paraId="1221C5F1"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Необходимо обязать ВСНХ в контрольных цифрах на 1932 г. детально разработать план кооперирования заводов по орудийному производству.</w:t>
      </w:r>
    </w:p>
    <w:p w14:paraId="34B36852"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5. К середине 1932 г. разгрузка ленинградских заводов проводится в следующих пределах: а) с «Красного Путиловца» снимается мобилизационное задание на 152</w:t>
      </w:r>
      <w:r w:rsidRPr="007122AB">
        <w:rPr>
          <w:color w:val="000000" w:themeColor="text1"/>
          <w:sz w:val="16"/>
          <w:szCs w:val="16"/>
        </w:rPr>
        <w:noBreakHyphen/>
        <w:t>мм и 203</w:t>
      </w:r>
      <w:r w:rsidRPr="007122AB">
        <w:rPr>
          <w:color w:val="000000" w:themeColor="text1"/>
          <w:sz w:val="16"/>
          <w:szCs w:val="16"/>
        </w:rPr>
        <w:noBreakHyphen/>
        <w:t>мм пушки с передачей их на «Баррикады» и на 45</w:t>
      </w:r>
      <w:r w:rsidRPr="007122AB">
        <w:rPr>
          <w:color w:val="000000" w:themeColor="text1"/>
          <w:sz w:val="16"/>
          <w:szCs w:val="16"/>
        </w:rPr>
        <w:noBreakHyphen/>
        <w:t>мм батальонную пушку с передачей ее на завод № 8. Задание по 76</w:t>
      </w:r>
      <w:r w:rsidRPr="007122AB">
        <w:rPr>
          <w:color w:val="000000" w:themeColor="text1"/>
          <w:sz w:val="16"/>
          <w:szCs w:val="16"/>
        </w:rPr>
        <w:noBreakHyphen/>
        <w:t>мм пушке сохраняется до 1933 г., когда она передается на «Новое Сормово»; б) с «Большевика» снимается задание по 107</w:t>
      </w:r>
      <w:r w:rsidRPr="007122AB">
        <w:rPr>
          <w:color w:val="000000" w:themeColor="text1"/>
          <w:sz w:val="16"/>
          <w:szCs w:val="16"/>
        </w:rPr>
        <w:noBreakHyphen/>
        <w:t xml:space="preserve">мм корпусной пушке с передачей этого задания на «Баррикады». Задания по тяжелым гаубицам (203 мм, 280 мм и 305 мм) до 1933 г. сохраняются, когда они тоже переносятся на «Баррикады»; в) с завода № 7 (арсенал) задание на танковую артиллерию полностью снимается к весне 1933 г. Снять его целиком с мобилизационного задания 1932 г. невозможно без ущерба для программы по варианту 10. Необходимо поэтому разгрузить этот завод в две очереди — наполовину к 1932 г. и полностью к 1933 г. Снимаемое с Ленинградского арсенала задание желательно полностью передать на завод № 8. Если это невозможно без ущерба для мобилизационной программы по варианту 10, то часть этого задания надо разместить на Брянском арсенале, расположенном в довольно глубоком тылу; г) в соответствии с намечаемой передачей на тыловые заводы заданий с ленинградских заводов необходимо к концу 1931 г. перевести часть </w:t>
      </w:r>
      <w:proofErr w:type="spellStart"/>
      <w:r w:rsidRPr="007122AB">
        <w:rPr>
          <w:color w:val="000000" w:themeColor="text1"/>
          <w:sz w:val="16"/>
          <w:szCs w:val="16"/>
        </w:rPr>
        <w:t>рабтехсилы</w:t>
      </w:r>
      <w:proofErr w:type="spellEnd"/>
      <w:r w:rsidRPr="007122AB">
        <w:rPr>
          <w:color w:val="000000" w:themeColor="text1"/>
          <w:sz w:val="16"/>
          <w:szCs w:val="16"/>
        </w:rPr>
        <w:t xml:space="preserve"> и заказанного для Ленинграда оборудования на усиление тыловых заводов, в первую очередь «Баррикады», «Новое Сормово» и завод № 8 в Мытищах. Переброску рабочих надо начать в 1931 г., так как без этой меры указанные заводы не сумеют овладеть производством даже в пределах заданий по МВ</w:t>
      </w:r>
      <w:r w:rsidRPr="007122AB">
        <w:rPr>
          <w:color w:val="000000" w:themeColor="text1"/>
          <w:sz w:val="16"/>
          <w:szCs w:val="16"/>
        </w:rPr>
        <w:noBreakHyphen/>
        <w:t>10.</w:t>
      </w:r>
    </w:p>
    <w:p w14:paraId="61B5ED5A" w14:textId="77777777" w:rsidR="001A7FA6" w:rsidRPr="007122AB" w:rsidRDefault="001A7FA6" w:rsidP="007122AB">
      <w:pPr>
        <w:pStyle w:val="rtejustify"/>
        <w:spacing w:before="0" w:after="0"/>
        <w:rPr>
          <w:color w:val="000000" w:themeColor="text1"/>
          <w:sz w:val="16"/>
          <w:szCs w:val="16"/>
        </w:rPr>
      </w:pPr>
      <w:r w:rsidRPr="007122AB">
        <w:rPr>
          <w:color w:val="000000" w:themeColor="text1"/>
          <w:sz w:val="16"/>
          <w:szCs w:val="16"/>
        </w:rPr>
        <w:t xml:space="preserve">Одновременно нужно увеличить ассигнования в 1931 г. на жилищное и культурно-бытовое строительство для этих заводов, чтобы обеспечить необходимое постоянство кадров </w:t>
      </w:r>
      <w:proofErr w:type="spellStart"/>
      <w:r w:rsidRPr="007122AB">
        <w:rPr>
          <w:color w:val="000000" w:themeColor="text1"/>
          <w:sz w:val="16"/>
          <w:szCs w:val="16"/>
        </w:rPr>
        <w:t>рабтехсилы</w:t>
      </w:r>
      <w:proofErr w:type="spellEnd"/>
      <w:r w:rsidRPr="007122AB">
        <w:rPr>
          <w:color w:val="000000" w:themeColor="text1"/>
          <w:sz w:val="16"/>
          <w:szCs w:val="16"/>
        </w:rPr>
        <w:t>. Размер дополнительных ассигнований на эту цель в текущем году определить в сумме 15 млн. руб.</w:t>
      </w:r>
    </w:p>
    <w:p w14:paraId="1B5F6E30" w14:textId="77777777" w:rsidR="001A7FA6" w:rsidRPr="007122AB" w:rsidRDefault="001A7FA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Зам. начальника Сектора обороны Госплана СССР </w:t>
      </w:r>
      <w:hyperlink r:id="rId131" w:history="1">
        <w:proofErr w:type="spellStart"/>
        <w:r w:rsidRPr="007122AB">
          <w:rPr>
            <w:rStyle w:val="af0"/>
            <w:i w:val="0"/>
            <w:color w:val="000000" w:themeColor="text1"/>
            <w:sz w:val="16"/>
            <w:szCs w:val="16"/>
          </w:rPr>
          <w:t>Колесинский</w:t>
        </w:r>
        <w:proofErr w:type="spellEnd"/>
      </w:hyperlink>
    </w:p>
    <w:p w14:paraId="3712EEC5" w14:textId="77777777" w:rsidR="001A7FA6" w:rsidRPr="007122AB" w:rsidRDefault="001A7FA6"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6C5ED268" w14:textId="77777777" w:rsidR="001A7FA6" w:rsidRPr="007122AB" w:rsidRDefault="001A7FA6" w:rsidP="007122AB">
      <w:pPr>
        <w:pStyle w:val="ae"/>
        <w:spacing w:before="0" w:after="0"/>
        <w:jc w:val="both"/>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В документе нумерация нарушена.</w:t>
      </w:r>
    </w:p>
    <w:p w14:paraId="0CBACDA1" w14:textId="77777777" w:rsidR="001A7FA6" w:rsidRPr="007122AB" w:rsidRDefault="001A7FA6" w:rsidP="007122AB">
      <w:pPr>
        <w:pStyle w:val="ae"/>
        <w:spacing w:before="0" w:after="0"/>
        <w:jc w:val="both"/>
        <w:rPr>
          <w:color w:val="000000" w:themeColor="text1"/>
          <w:sz w:val="16"/>
          <w:szCs w:val="16"/>
        </w:rPr>
      </w:pPr>
      <w:r w:rsidRPr="007122AB">
        <w:rPr>
          <w:color w:val="000000" w:themeColor="text1"/>
          <w:sz w:val="16"/>
          <w:szCs w:val="16"/>
        </w:rPr>
        <w:t>РГАЭ. Ф. 4372. Оп. 91. Д. 567. Л. 99—95. Подлинник.</w:t>
      </w:r>
    </w:p>
    <w:p w14:paraId="756F580D"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567. Л. 99—95. Подлинник. </w:t>
      </w:r>
    </w:p>
    <w:p w14:paraId="4B91DE43"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550-552 (12530).</w:t>
      </w:r>
    </w:p>
    <w:p w14:paraId="36088DC7" w14:textId="77777777" w:rsidR="001A7FA6" w:rsidRPr="007122AB" w:rsidRDefault="001A7FA6" w:rsidP="007122AB">
      <w:pPr>
        <w:spacing w:after="0" w:line="240" w:lineRule="auto"/>
        <w:jc w:val="both"/>
        <w:rPr>
          <w:rFonts w:ascii="Times New Roman" w:hAnsi="Times New Roman"/>
          <w:color w:val="000000" w:themeColor="text1"/>
          <w:sz w:val="16"/>
          <w:szCs w:val="16"/>
        </w:rPr>
      </w:pPr>
    </w:p>
    <w:p w14:paraId="0133D22E"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10 июня 1931 </w:t>
      </w:r>
      <w:r w:rsidRPr="007122AB">
        <w:rPr>
          <w:rFonts w:ascii="Times New Roman" w:hAnsi="Times New Roman"/>
          <w:color w:val="000000" w:themeColor="text1"/>
          <w:sz w:val="16"/>
          <w:szCs w:val="16"/>
        </w:rPr>
        <w:t>Политбюро ЦК ВКП (б) приняло решение о целесообразности производства комбайнов на Саратовском и Ростовском заводах с 15-футовым захватом; отклонило предложение о переходе СТЗ на производство тракторов «Мак-</w:t>
      </w:r>
      <w:proofErr w:type="spellStart"/>
      <w:r w:rsidRPr="007122AB">
        <w:rPr>
          <w:rFonts w:ascii="Times New Roman" w:hAnsi="Times New Roman"/>
          <w:color w:val="000000" w:themeColor="text1"/>
          <w:sz w:val="16"/>
          <w:szCs w:val="16"/>
        </w:rPr>
        <w:t>Кормик</w:t>
      </w:r>
      <w:proofErr w:type="spellEnd"/>
      <w:r w:rsidRPr="007122AB">
        <w:rPr>
          <w:rFonts w:ascii="Times New Roman" w:hAnsi="Times New Roman"/>
          <w:color w:val="000000" w:themeColor="text1"/>
          <w:sz w:val="16"/>
          <w:szCs w:val="16"/>
        </w:rPr>
        <w:t>» мощностью 22/36 л. е.; утвердило проект постановления ЦК ВКП (б) «По докладу Средне-Волжского крайкома» (12265).</w:t>
      </w:r>
    </w:p>
    <w:p w14:paraId="3C12DBBE" w14:textId="77777777" w:rsidR="001A7FA6" w:rsidRPr="007122AB" w:rsidRDefault="001A7FA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3A84E83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7CE0D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E60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июня 1931 года Приказом ОГПУ №308/183 сформировано 5-е отделение Оперативного отдела ОГПУ с целью создания и эксплуатации междугородной правительственной телефонной связи (8983).</w:t>
      </w:r>
    </w:p>
    <w:p w14:paraId="50CD37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D410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июня 1931 г. вышел приказ ОГПУ № 308/183, в соответствии с которым - 4</w:t>
      </w:r>
      <w:r w:rsidRPr="007122AB">
        <w:rPr>
          <w:rFonts w:ascii="Times New Roman" w:hAnsi="Times New Roman"/>
          <w:color w:val="000000" w:themeColor="text1"/>
          <w:sz w:val="16"/>
          <w:szCs w:val="16"/>
        </w:rPr>
        <w:noBreakHyphen/>
        <w:t xml:space="preserve">е отделение </w:t>
      </w:r>
      <w:proofErr w:type="spellStart"/>
      <w:r w:rsidRPr="007122AB">
        <w:rPr>
          <w:rFonts w:ascii="Times New Roman" w:hAnsi="Times New Roman"/>
          <w:color w:val="000000" w:themeColor="text1"/>
          <w:sz w:val="16"/>
          <w:szCs w:val="16"/>
        </w:rPr>
        <w:t>Оперода</w:t>
      </w:r>
      <w:proofErr w:type="spellEnd"/>
      <w:r w:rsidRPr="007122AB">
        <w:rPr>
          <w:rFonts w:ascii="Times New Roman" w:hAnsi="Times New Roman"/>
          <w:color w:val="000000" w:themeColor="text1"/>
          <w:sz w:val="16"/>
          <w:szCs w:val="16"/>
        </w:rPr>
        <w:t xml:space="preserve"> стало именоваться 5</w:t>
      </w:r>
      <w:r w:rsidRPr="007122AB">
        <w:rPr>
          <w:rFonts w:ascii="Times New Roman" w:hAnsi="Times New Roman"/>
          <w:color w:val="000000" w:themeColor="text1"/>
          <w:sz w:val="16"/>
          <w:szCs w:val="16"/>
        </w:rPr>
        <w:noBreakHyphen/>
        <w:t xml:space="preserve">м (техническим) с сохранением прежних функций. С 1934 г. отделение, занимавшееся организацией ВЧ - связи, входило в состав различных отделов (оперативного, а затем оперативной техники) Главного управления государственной безопасности (ГУГБ) Народного комиссариата внутренних дел СССР (НКВД), а с 1938 г. находилось в системе 2-го Спецотдела НКВД. На этом этапе отделение возглавили </w:t>
      </w:r>
      <w:proofErr w:type="spellStart"/>
      <w:r w:rsidRPr="007122AB">
        <w:rPr>
          <w:rFonts w:ascii="Times New Roman" w:hAnsi="Times New Roman"/>
          <w:color w:val="000000" w:themeColor="text1"/>
          <w:sz w:val="16"/>
          <w:szCs w:val="16"/>
        </w:rPr>
        <w:t>И.Ю.Лоренс</w:t>
      </w:r>
      <w:proofErr w:type="spellEnd"/>
      <w:r w:rsidRPr="007122AB">
        <w:rPr>
          <w:rFonts w:ascii="Times New Roman" w:hAnsi="Times New Roman"/>
          <w:color w:val="000000" w:themeColor="text1"/>
          <w:sz w:val="16"/>
          <w:szCs w:val="16"/>
        </w:rPr>
        <w:t xml:space="preserve"> (1929-1936) и И.Я. Воробьев (1936-1939).</w:t>
      </w:r>
    </w:p>
    <w:p w14:paraId="418A4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руководство эксплуатацией и развитием правительственной связи с 1938 г. осуществляли:</w:t>
      </w:r>
    </w:p>
    <w:p w14:paraId="712370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 центре - начальник 2-го специального отдела НКВД СССР и его заместитель через начальника отделения правительственной связи</w:t>
      </w:r>
    </w:p>
    <w:p w14:paraId="77A529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на периферии – начальники вторых специальных отделов и отделений НКВД союзных республик, управлений (УНКВД) краев и областей через начальников отделений (групп) правительственной связи (11671).</w:t>
      </w:r>
    </w:p>
    <w:p w14:paraId="163AEE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E0D0E1"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июня 1931 г. Политбюро одобрило перечень мероприятий по улучшению московского коммунального хозяйства Москвы, переработанный комиссией Кагановича, и вернуло его для окончательной редакции и внесения уточнений инициаторам дела, московским организациям (МК, МГК, областному и городскому исполкомам), с тем чтобы опубликовать документ от их имени{332}.Это произошло через несколько дней после июньского пленума{333}.</w:t>
      </w:r>
    </w:p>
    <w:p w14:paraId="64BA2B64"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окончательной версии документа городским властям Москвы поручалось немедленно составить проект строительства метрополитена и с этой целью образовать комитет с привлечением лучших специалистов. Одновременно следовало начать подготовительные работы с тем, чтобы проект был подготовлен в течение 3-4 месяцев, в январе 1932 г. утвержден, и с 1932 г. можно было приступить к строительству. В течение трех месяцев надлежало рассмотреть все существующие проекты, выработать всеобщую схему линий, утвердить окончательный вариант для первой очереди строительства и конструкции тоннелей и эстакад, определить объем инвестиций и подготовить календарный план сооружения первой очереди. В дополнение к метрополитену как главному средству внутригородского сообщения следовало рассмотреть проект о проведении пригородных железнодорожных поездов через центр города, чтобы при одобрении этой идеи работы могли начаться в том же 1932 г.{334}</w:t>
      </w:r>
    </w:p>
    <w:p w14:paraId="551F8BA5"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текста резолюции пленума следует, что теперь под метрополитеном понимался фактически внутригородской железнодорожный транспорт, причем необязательно подземный. В подготовительных заметках к пленуму Каганович писал, что метрополитеном считается не только подземная железная дорога, но любой электрифицированный рельсовый транспорт на собственном полотне. Из гигиенических соображений он тогда даже отзывался о метрополитене как о менее желательном виде транспорта по сравнению с наземной железной дорогой, поскольку под землей пассажиры лишены дневного света{335}.Проект, который Каганович в своей речи на пленуме наконец представил как возможную первую очередь метро, по сути оказался тем же проектом МГЖД (18299).</w:t>
      </w:r>
    </w:p>
    <w:p w14:paraId="363D1D7F" w14:textId="77777777" w:rsidR="00B03AC4" w:rsidRPr="007122AB" w:rsidRDefault="00B03AC4" w:rsidP="007122AB">
      <w:pPr>
        <w:spacing w:after="0" w:line="240" w:lineRule="auto"/>
        <w:jc w:val="both"/>
        <w:rPr>
          <w:rFonts w:ascii="Times New Roman" w:hAnsi="Times New Roman"/>
          <w:color w:val="000000" w:themeColor="text1"/>
          <w:sz w:val="16"/>
          <w:szCs w:val="16"/>
        </w:rPr>
      </w:pPr>
    </w:p>
    <w:p w14:paraId="61A161D5" w14:textId="77777777" w:rsidR="00B03AC4" w:rsidRPr="007122AB" w:rsidRDefault="00B03A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июня 1931. По маршруту Москва - Ленинград начал курсировать первый советский фирменный поезд "Красная стрела" (18724).</w:t>
      </w:r>
    </w:p>
    <w:p w14:paraId="07331A46" w14:textId="77777777" w:rsidR="00B03AC4" w:rsidRPr="007122AB" w:rsidRDefault="00B03AC4" w:rsidP="007122AB">
      <w:pPr>
        <w:spacing w:after="0" w:line="240" w:lineRule="auto"/>
        <w:jc w:val="both"/>
        <w:rPr>
          <w:rFonts w:ascii="Times New Roman" w:hAnsi="Times New Roman"/>
          <w:color w:val="000000" w:themeColor="text1"/>
          <w:sz w:val="16"/>
          <w:szCs w:val="16"/>
        </w:rPr>
      </w:pPr>
    </w:p>
    <w:p w14:paraId="4E83A680" w14:textId="77777777" w:rsidR="006E3AA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B9769BF" w14:textId="77777777" w:rsidR="006E3AAB" w:rsidRPr="007122AB" w:rsidRDefault="006E3AA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C097C8" w14:textId="77777777" w:rsidR="006E3AAB" w:rsidRPr="007122AB" w:rsidRDefault="006E3A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10 июня</w:t>
      </w:r>
      <w:r w:rsidRPr="007122AB">
        <w:rPr>
          <w:rFonts w:ascii="Times New Roman" w:hAnsi="Times New Roman"/>
          <w:color w:val="000000" w:themeColor="text1"/>
          <w:sz w:val="16"/>
          <w:szCs w:val="16"/>
        </w:rPr>
        <w:t xml:space="preserve"> в 1931 году экипажем самолета </w:t>
      </w:r>
      <w:hyperlink r:id="rId132"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Dewoitine</w:t>
        </w:r>
        <w:proofErr w:type="spellEnd"/>
        <w:r w:rsidRPr="007122AB">
          <w:rPr>
            <w:rFonts w:ascii="Times New Roman" w:hAnsi="Times New Roman"/>
            <w:color w:val="000000" w:themeColor="text1"/>
            <w:sz w:val="16"/>
            <w:szCs w:val="16"/>
          </w:rPr>
          <w:t xml:space="preserve"> 33» </w:t>
        </w:r>
      </w:hyperlink>
      <w:r w:rsidRPr="007122AB">
        <w:rPr>
          <w:rFonts w:ascii="Times New Roman" w:hAnsi="Times New Roman"/>
          <w:color w:val="000000" w:themeColor="text1"/>
          <w:sz w:val="16"/>
          <w:szCs w:val="16"/>
        </w:rPr>
        <w:t>установлен рекорд беспосадочного перелета. Новый рекорд на дальность полета составил 10371 км (14918).</w:t>
      </w:r>
    </w:p>
    <w:p w14:paraId="798BB3DC" w14:textId="77777777" w:rsidR="006E3AAB" w:rsidRPr="007122AB" w:rsidRDefault="006E3AAB" w:rsidP="007122AB">
      <w:pPr>
        <w:spacing w:after="0" w:line="240" w:lineRule="auto"/>
        <w:jc w:val="both"/>
        <w:rPr>
          <w:rFonts w:ascii="Times New Roman" w:hAnsi="Times New Roman"/>
          <w:color w:val="000000" w:themeColor="text1"/>
          <w:sz w:val="16"/>
          <w:szCs w:val="16"/>
        </w:rPr>
      </w:pPr>
    </w:p>
    <w:p w14:paraId="082DBD04" w14:textId="1B8461AC" w:rsidR="00F07475" w:rsidRDefault="00F07475"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1AEAC6B5" w14:textId="77777777" w:rsidR="00F07475" w:rsidRDefault="00F07475"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3BD5BED5" w14:textId="77777777" w:rsidR="00F07475" w:rsidRPr="00441F34" w:rsidRDefault="00F07475" w:rsidP="00F074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июня 1931 г. Постановлением Президиума Центрального исполнительного комитета (ЦИК) СССР с учетом раскаяния в содеянном (так значилось в опубликованном тексте Постановления) и результатов работы, прежде всего по самолету И-5, амнистированы арестованные авиаконструкторы и другие специалисты – работники ЦКБ-39 ОГПУ, а некоторые из них, в т.ч. Д.П. Григорович и Н.Н. Поликарпов также были награждены премиями в 10000 р. и почетными грамотами «за исключительное увеличение темпов и сокращение сроков опытных самолетов, стоящих на уровне лучших заграничных образцов» (23559).</w:t>
      </w:r>
    </w:p>
    <w:p w14:paraId="1206CA3F" w14:textId="77777777" w:rsidR="00F07475" w:rsidRPr="00441F34" w:rsidRDefault="00F07475" w:rsidP="00F07475">
      <w:pPr>
        <w:spacing w:after="0" w:line="240" w:lineRule="auto"/>
        <w:jc w:val="both"/>
        <w:rPr>
          <w:rFonts w:ascii="Times New Roman" w:hAnsi="Times New Roman"/>
          <w:color w:val="0070C0"/>
          <w:sz w:val="16"/>
          <w:szCs w:val="16"/>
        </w:rPr>
      </w:pPr>
    </w:p>
    <w:p w14:paraId="7F8007D0" w14:textId="5DB8F062"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DB8B15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7958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июня 1931 Нач. Штаба РККА Егоров представил проект оборонного бюджета на 1932. </w:t>
      </w:r>
      <w:proofErr w:type="spellStart"/>
      <w:r w:rsidRPr="007122AB">
        <w:rPr>
          <w:rFonts w:ascii="Times New Roman" w:hAnsi="Times New Roman"/>
          <w:color w:val="000000" w:themeColor="text1"/>
          <w:sz w:val="16"/>
          <w:szCs w:val="16"/>
        </w:rPr>
        <w:t>Мобплан</w:t>
      </w:r>
      <w:proofErr w:type="spellEnd"/>
      <w:r w:rsidRPr="007122AB">
        <w:rPr>
          <w:rFonts w:ascii="Times New Roman" w:hAnsi="Times New Roman"/>
          <w:color w:val="000000" w:themeColor="text1"/>
          <w:sz w:val="16"/>
          <w:szCs w:val="16"/>
        </w:rPr>
        <w:t xml:space="preserve"> 10 реализован быть не мог и ограничились М-12 (9089,146).</w:t>
      </w:r>
    </w:p>
    <w:p w14:paraId="073BD8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403130" w14:textId="77777777" w:rsidR="00526EC0" w:rsidRPr="007122AB" w:rsidRDefault="00526E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июня 1931 г. недавно назначенный начальник Штаба Егоров представил проект оборонного бюджета на 1932 г. Определяющей для бюджета стала «необходимость материально обеспечить развёртывание в соответствии с мобилизационным планом №12.» Мобилизационный план №10 ещё не был обеспечен необходимым производством промышленной продукции. Поэтому первый квартал 1932 г. должен был уйти на то, чтобы гарантировать выполнение этих планов. Затем в течение оставшейся части 1932 г. следовало обеспечить быстрое выполнение мобилизационного плана № 12 на случай войны в 1933 г. (9089)</w:t>
      </w:r>
    </w:p>
    <w:p w14:paraId="5DABF858" w14:textId="77777777" w:rsidR="00526EC0" w:rsidRPr="007122AB" w:rsidRDefault="00526EC0" w:rsidP="007122AB">
      <w:pPr>
        <w:spacing w:after="0" w:line="240" w:lineRule="auto"/>
        <w:jc w:val="both"/>
        <w:rPr>
          <w:rFonts w:ascii="Times New Roman" w:hAnsi="Times New Roman"/>
          <w:color w:val="000000" w:themeColor="text1"/>
          <w:sz w:val="16"/>
          <w:szCs w:val="16"/>
        </w:rPr>
      </w:pPr>
    </w:p>
    <w:p w14:paraId="1DF0A8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июня 1931 года Уборевич был назначен командующим войсками Бело</w:t>
      </w:r>
      <w:r w:rsidRPr="007122AB">
        <w:rPr>
          <w:rFonts w:ascii="Times New Roman" w:hAnsi="Times New Roman"/>
          <w:color w:val="000000" w:themeColor="text1"/>
          <w:sz w:val="16"/>
          <w:szCs w:val="16"/>
        </w:rPr>
        <w:softHyphen/>
        <w:t xml:space="preserve">русского военного округа с оставлением членом РВС, а Тухачевский был назначен начальником вооружений РККА, заместителем </w:t>
      </w:r>
      <w:proofErr w:type="spellStart"/>
      <w:r w:rsidRPr="007122AB">
        <w:rPr>
          <w:rFonts w:ascii="Times New Roman" w:hAnsi="Times New Roman"/>
          <w:color w:val="000000" w:themeColor="text1"/>
          <w:sz w:val="16"/>
          <w:szCs w:val="16"/>
        </w:rPr>
        <w:t>Наркомвоен</w:t>
      </w:r>
      <w:proofErr w:type="spellEnd"/>
      <w:r w:rsidRPr="007122AB">
        <w:rPr>
          <w:rFonts w:ascii="Times New Roman" w:hAnsi="Times New Roman"/>
          <w:color w:val="000000" w:themeColor="text1"/>
          <w:sz w:val="16"/>
          <w:szCs w:val="16"/>
        </w:rPr>
        <w:t xml:space="preserve">-мора и председателя Реввоенсовета СССР. На этом посту он оставался до 1936 года, пока не был назначен </w:t>
      </w:r>
      <w:r w:rsidRPr="007122AB">
        <w:rPr>
          <w:rFonts w:ascii="Times New Roman" w:hAnsi="Times New Roman"/>
          <w:color w:val="000000" w:themeColor="text1"/>
          <w:sz w:val="16"/>
          <w:szCs w:val="16"/>
        </w:rPr>
        <w:lastRenderedPageBreak/>
        <w:t>начальником Управления боевой подго</w:t>
      </w:r>
      <w:r w:rsidRPr="007122AB">
        <w:rPr>
          <w:rFonts w:ascii="Times New Roman" w:hAnsi="Times New Roman"/>
          <w:color w:val="000000" w:themeColor="text1"/>
          <w:sz w:val="16"/>
          <w:szCs w:val="16"/>
        </w:rPr>
        <w:softHyphen/>
        <w:t>товки войск. Это были весьма ответственные должности в стране и армии. В эти годы с его участием были приняты на вооружение армии новые образцы самолетов- истребителей, бомбардировщиков, танков, пулеме</w:t>
      </w:r>
      <w:r w:rsidRPr="007122AB">
        <w:rPr>
          <w:rFonts w:ascii="Times New Roman" w:hAnsi="Times New Roman"/>
          <w:color w:val="000000" w:themeColor="text1"/>
          <w:sz w:val="16"/>
          <w:szCs w:val="16"/>
        </w:rPr>
        <w:softHyphen/>
        <w:t>тов, другой боевой техники (11504).</w:t>
      </w:r>
    </w:p>
    <w:p w14:paraId="348088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76EC4" w14:textId="77777777" w:rsidR="001E7B51" w:rsidRPr="007122AB" w:rsidRDefault="001E7B5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C61308A" w14:textId="77777777" w:rsidR="001E7B51" w:rsidRPr="007122AB" w:rsidRDefault="001E7B5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900815" w14:textId="77777777" w:rsidR="001E7B51" w:rsidRPr="007122AB" w:rsidRDefault="001E7B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11-15 июня 1931 состоялся июньский пленум ЦК ВКП(б), решения которого столь обильно цитировались в литературе по истории московского метрополитена. Каганович сделал на нем трехчасовой основной доклад о строительстве социалистических городов в целом и московском коммунальном хозяйстве в частности, предложив проект резолюции, которая была единогласно принята{336}.Речь при этом шла о сокращенной до директив и целевых установок версии перечня практических мероприятий, подготовленного комиссией Кагановича. Пленум ЦК, таким образом, не принял принципиально нового решения, а придал ранее подготовленным и уже разработанным для практической реализации постановлениям более широкую, </w:t>
      </w:r>
      <w:proofErr w:type="spellStart"/>
      <w:r w:rsidRPr="007122AB">
        <w:rPr>
          <w:rFonts w:ascii="Times New Roman" w:hAnsi="Times New Roman"/>
          <w:color w:val="000000" w:themeColor="text1"/>
          <w:sz w:val="16"/>
          <w:szCs w:val="16"/>
        </w:rPr>
        <w:t>квазидемократическую</w:t>
      </w:r>
      <w:proofErr w:type="spellEnd"/>
      <w:r w:rsidRPr="007122AB">
        <w:rPr>
          <w:rFonts w:ascii="Times New Roman" w:hAnsi="Times New Roman"/>
          <w:color w:val="000000" w:themeColor="text1"/>
          <w:sz w:val="16"/>
          <w:szCs w:val="16"/>
        </w:rPr>
        <w:t xml:space="preserve"> основу, что было удобнее для их пропагандистского использования.</w:t>
      </w:r>
    </w:p>
    <w:p w14:paraId="7B92E152" w14:textId="77777777" w:rsidR="001E7B51" w:rsidRPr="007122AB" w:rsidRDefault="001E7B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своей речи Каганович дал резкую картину состояния городского транспорта в Москве и обозначил путь выхода из кризиса: расширение трамвайной сети и закупка 2 тыс. автобусов не могут в принципе решить проблему. Необходимо строительство метро и проведение электрифицированных пригородных поездов внутрь города. По поводу глубокого ввода пригородных дорог он смог уже назвать конкретную трассу, а именно сквозную железнодорожную линию, спроектированную Наркоматом путей сообщения в 1930/31 г. (см. рис. 18). Эта линия имела бы для Москвы такое же значение, как городская железная дорога в Берлине, но она могла служить только дополнением метрополитена. Что касается последнего, то соответствующий проект пока не устоялся. К тому времени имелся проект, согласно которому предстояло построить городскую железную дорогу только на городских окраинах. Но это был неверный путь, поскольку основная линия дороги призвана была разгрузить центр. Можно было бы по возможности построить линию и на окраинах, однако важнее было соорудить там третье трамвайное кольцо и продлить пригородные железные дороги для использования в качестве наземной городской дороги. В отношении метрополитена Каганович назвал первой возможной фазой его строительства прокладку линии от Каланчевской пл. к центру и далее к запланированному Дворцу Советов (к юго-западу от Кремля на берегу р. Москвы), а также через Арбат к Смоленскому рынку.</w:t>
      </w:r>
    </w:p>
    <w:p w14:paraId="4CDB02DF" w14:textId="77777777" w:rsidR="001E7B51" w:rsidRPr="007122AB" w:rsidRDefault="001E7B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Изложенное Кагановичем направление линий метро соответствовало проекту МГЖД. Новым словом здесь стало направление к Дворцу Советов, чье местоположение — его должны были возвести на месте Храма Христа-Спасителя — утвердили незадолго до пленума. Принципиальные возражения против метрополитена как якобы антисоциального вида транспорта, а также высказанную в ходе публичной дискуссии идею о раздроблении Москвы на ряд мелких административных единиц Каганович заклеймил как «глупости лево-уклонистского толка»{337}.</w:t>
      </w:r>
    </w:p>
    <w:p w14:paraId="0909F710" w14:textId="77777777" w:rsidR="001E7B51" w:rsidRPr="007122AB" w:rsidRDefault="001E7B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в своем реферате Каганович остановился на перспективах развития советских городов в целом. Его выступление свидетельствовало об окончании культурной революции и подводило черту под дискуссией о революционных концепциях городской планировки. В современных условиях, подчеркивал Каганович, наиболее неотложным делом является создание жилищного фонда и разработка плана застройки Москвы. С 1932 г. в Москве запрещено создавать новые промышленные предприятия, поскольку при социализме, в отличие от капитализма, индустрия не будет сконцентрирована в нескольких крупных городах. В то же время он осудил требование урезать исторически разросшиеся города и теорию отмирания и самораспада городов как «политически вредную болтовню»{338}.</w:t>
      </w:r>
    </w:p>
    <w:p w14:paraId="5E57D051" w14:textId="77777777" w:rsidR="001E7B51" w:rsidRPr="007122AB" w:rsidRDefault="001E7B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заседании пленума ЦК вопрос о метрополитене был всего лишь одним среди прочих. В последовавшем за докладом Кагановича обсуждении никто не взял слова по этому поводу. Основное внимание привлек вопрос о жилищном строительстве{339}.В отношении городского транспорта резолюция пленума констатировала, что реконструкция и расширение трамвайного дела не может в принципе решить проблему городского сообщения в Москве: «Пленум считает необходимым безотлагательно приступить к подготовительным работам по сооружению в Москве метрополитена как главного средства для решения проблемы скоростной и дешевой перевозки пассажиров с тем, чтобы строительство могло начаться уже в 1932 г. С этим должно быть связано строительство внутригородской электрифицированной железной дороги, которая соединит Северную, Октябрьскую и Курскую ж. д. непосредственно с городским центром. Помимо этого необходимо провести новую трамвайную кольцевую линию по </w:t>
      </w:r>
      <w:proofErr w:type="spellStart"/>
      <w:r w:rsidRPr="007122AB">
        <w:rPr>
          <w:rFonts w:ascii="Times New Roman" w:hAnsi="Times New Roman"/>
          <w:color w:val="000000" w:themeColor="text1"/>
          <w:sz w:val="16"/>
          <w:szCs w:val="16"/>
        </w:rPr>
        <w:t>Камерколлежскому</w:t>
      </w:r>
      <w:proofErr w:type="spellEnd"/>
      <w:r w:rsidRPr="007122AB">
        <w:rPr>
          <w:rFonts w:ascii="Times New Roman" w:hAnsi="Times New Roman"/>
          <w:color w:val="000000" w:themeColor="text1"/>
          <w:sz w:val="16"/>
          <w:szCs w:val="16"/>
        </w:rPr>
        <w:t xml:space="preserve"> валу, чтобы расширить трамвайную сеть в ближайшие годы минимум до 150 км, повысить число </w:t>
      </w:r>
      <w:proofErr w:type="spellStart"/>
      <w:r w:rsidRPr="007122AB">
        <w:rPr>
          <w:rFonts w:ascii="Times New Roman" w:hAnsi="Times New Roman"/>
          <w:color w:val="000000" w:themeColor="text1"/>
          <w:sz w:val="16"/>
          <w:szCs w:val="16"/>
        </w:rPr>
        <w:t>вагоновдо</w:t>
      </w:r>
      <w:proofErr w:type="spellEnd"/>
      <w:r w:rsidRPr="007122AB">
        <w:rPr>
          <w:rFonts w:ascii="Times New Roman" w:hAnsi="Times New Roman"/>
          <w:color w:val="000000" w:themeColor="text1"/>
          <w:sz w:val="16"/>
          <w:szCs w:val="16"/>
        </w:rPr>
        <w:t xml:space="preserve"> 3000 и в значительном масштабе развить автобусное сообщение, увеличив в ближайшие годы автобусный парк Москвы до 2000 машин»{340}.</w:t>
      </w:r>
    </w:p>
    <w:p w14:paraId="69DF9368" w14:textId="77777777" w:rsidR="001E7B51" w:rsidRPr="007122AB" w:rsidRDefault="001E7B5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Резолюция содержала также директивы дальнейшего развития столицы и дала толчок составлению генерального плана реконструкции Москвы, который находился в разработке до 1935 г.{341} (18299)</w:t>
      </w:r>
    </w:p>
    <w:p w14:paraId="4126F0C5" w14:textId="77777777" w:rsidR="001E7B51" w:rsidRPr="007122AB" w:rsidRDefault="001E7B51" w:rsidP="007122AB">
      <w:pPr>
        <w:spacing w:after="0" w:line="240" w:lineRule="auto"/>
        <w:jc w:val="both"/>
        <w:rPr>
          <w:rFonts w:ascii="Times New Roman" w:hAnsi="Times New Roman"/>
          <w:color w:val="000000" w:themeColor="text1"/>
          <w:sz w:val="16"/>
          <w:szCs w:val="16"/>
        </w:rPr>
      </w:pPr>
    </w:p>
    <w:p w14:paraId="2526879D" w14:textId="77777777" w:rsidR="00E02A38" w:rsidRPr="007122AB" w:rsidRDefault="00E02A38"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22D60EF" w14:textId="77777777" w:rsidR="00E02A38" w:rsidRPr="007122AB" w:rsidRDefault="00E02A3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90AF7A" w14:textId="77777777" w:rsidR="00E02A38" w:rsidRPr="007122AB" w:rsidRDefault="00E02A3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июня 1931 четырехмоторный биплан </w:t>
      </w:r>
      <w:proofErr w:type="spellStart"/>
      <w:r w:rsidRPr="007122AB">
        <w:rPr>
          <w:rFonts w:ascii="Times New Roman" w:hAnsi="Times New Roman"/>
          <w:color w:val="000000" w:themeColor="text1"/>
          <w:sz w:val="16"/>
          <w:szCs w:val="16"/>
        </w:rPr>
        <w:t>Handley</w:t>
      </w:r>
      <w:proofErr w:type="spellEnd"/>
      <w:r w:rsidRPr="007122AB">
        <w:rPr>
          <w:rFonts w:ascii="Times New Roman" w:hAnsi="Times New Roman"/>
          <w:color w:val="000000" w:themeColor="text1"/>
          <w:sz w:val="16"/>
          <w:szCs w:val="16"/>
        </w:rPr>
        <w:t xml:space="preserve"> Page HP42 с 40 пассажирами поступает на вооружение британской авиакомпании Imperial Airways, когда G-AAGX </w:t>
      </w:r>
      <w:proofErr w:type="spellStart"/>
      <w:r w:rsidRPr="007122AB">
        <w:rPr>
          <w:rFonts w:ascii="Times New Roman" w:hAnsi="Times New Roman"/>
          <w:color w:val="000000" w:themeColor="text1"/>
          <w:sz w:val="16"/>
          <w:szCs w:val="16"/>
        </w:rPr>
        <w:t>Hannibal</w:t>
      </w:r>
      <w:proofErr w:type="spellEnd"/>
      <w:r w:rsidRPr="007122AB">
        <w:rPr>
          <w:rFonts w:ascii="Times New Roman" w:hAnsi="Times New Roman"/>
          <w:color w:val="000000" w:themeColor="text1"/>
          <w:sz w:val="16"/>
          <w:szCs w:val="16"/>
        </w:rPr>
        <w:t xml:space="preserve"> выполняет рейс из аэропорта </w:t>
      </w:r>
      <w:proofErr w:type="spellStart"/>
      <w:r w:rsidRPr="007122AB">
        <w:rPr>
          <w:rFonts w:ascii="Times New Roman" w:hAnsi="Times New Roman"/>
          <w:color w:val="000000" w:themeColor="text1"/>
          <w:sz w:val="16"/>
          <w:szCs w:val="16"/>
        </w:rPr>
        <w:t>Кройдон</w:t>
      </w:r>
      <w:proofErr w:type="spellEnd"/>
      <w:r w:rsidRPr="007122AB">
        <w:rPr>
          <w:rFonts w:ascii="Times New Roman" w:hAnsi="Times New Roman"/>
          <w:color w:val="000000" w:themeColor="text1"/>
          <w:sz w:val="16"/>
          <w:szCs w:val="16"/>
        </w:rPr>
        <w:t xml:space="preserve"> в Париж – Ле Бурже, устанавливая новые стандарты обслуживания пассажиров и комфорта (20804).</w:t>
      </w:r>
    </w:p>
    <w:p w14:paraId="25A88F8C" w14:textId="77777777" w:rsidR="00E02A38" w:rsidRPr="007122AB" w:rsidRDefault="00E02A38" w:rsidP="007122AB">
      <w:pPr>
        <w:spacing w:after="0" w:line="240" w:lineRule="auto"/>
        <w:jc w:val="both"/>
        <w:rPr>
          <w:rFonts w:ascii="Times New Roman" w:hAnsi="Times New Roman"/>
          <w:color w:val="000000" w:themeColor="text1"/>
          <w:sz w:val="16"/>
          <w:szCs w:val="16"/>
        </w:rPr>
      </w:pPr>
    </w:p>
    <w:p w14:paraId="0DEF96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B65CE8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BB1FB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12 по 17 июня 1931 проходили гос. испытания Ш-2 в Ленинграде по линии НИИ ГВФ (то есть он тоже испытывал) (92,384).</w:t>
      </w:r>
    </w:p>
    <w:p w14:paraId="06091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68A08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6E423A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399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12 и 18 июня 1931. Из протокола заседания Политбюро № 43, 1931 г.</w:t>
      </w:r>
    </w:p>
    <w:p w14:paraId="417A2D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улучшении материально-бытового положения начсостава</w:t>
      </w:r>
    </w:p>
    <w:p w14:paraId="073E4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...Обеспечить к 1 августа 1931 г. организацию закрытых кооперативов для начсостава в гарнизонах... В небольших городах организовать закрытые распределители. </w:t>
      </w:r>
    </w:p>
    <w:p w14:paraId="7BB29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Наркомснабу</w:t>
      </w:r>
      <w:proofErr w:type="spellEnd"/>
      <w:r w:rsidRPr="007122AB">
        <w:rPr>
          <w:rFonts w:ascii="Times New Roman" w:hAnsi="Times New Roman"/>
          <w:color w:val="000000" w:themeColor="text1"/>
          <w:sz w:val="16"/>
          <w:szCs w:val="16"/>
        </w:rPr>
        <w:t xml:space="preserve"> и Центросоюзу: </w:t>
      </w:r>
    </w:p>
    <w:p w14:paraId="0D38D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распространить... на весь начсостав РККА, в том числе и сверхсрочной службы и членов их семей, нормы снабжения промышленных рабочих и их семей городов особого списка (снабжение и общественное питание)... </w:t>
      </w:r>
    </w:p>
    <w:p w14:paraId="57B8F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обеспечить... полный охват общественным питанием начсостава и членов их семей, развернув необходимую сеть столовых по списку и в сроки, согласованные НКВМ, </w:t>
      </w:r>
      <w:proofErr w:type="spellStart"/>
      <w:r w:rsidRPr="007122AB">
        <w:rPr>
          <w:rFonts w:ascii="Times New Roman" w:hAnsi="Times New Roman"/>
          <w:color w:val="000000" w:themeColor="text1"/>
          <w:sz w:val="16"/>
          <w:szCs w:val="16"/>
        </w:rPr>
        <w:t>Наркомснабом</w:t>
      </w:r>
      <w:proofErr w:type="spellEnd"/>
      <w:r w:rsidRPr="007122AB">
        <w:rPr>
          <w:rFonts w:ascii="Times New Roman" w:hAnsi="Times New Roman"/>
          <w:color w:val="000000" w:themeColor="text1"/>
          <w:sz w:val="16"/>
          <w:szCs w:val="16"/>
        </w:rPr>
        <w:t xml:space="preserve"> и Центросоюзом... </w:t>
      </w:r>
    </w:p>
    <w:p w14:paraId="6F0DE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Допустить, в виде исключения, организацию ремонтно-пошивочных мастерских при закрытых военных кооперативах и закрытых распределителях для начсостава и их семей, для чего обязать ВСНХ и </w:t>
      </w:r>
      <w:proofErr w:type="spellStart"/>
      <w:r w:rsidRPr="007122AB">
        <w:rPr>
          <w:rFonts w:ascii="Times New Roman" w:hAnsi="Times New Roman"/>
          <w:color w:val="000000" w:themeColor="text1"/>
          <w:sz w:val="16"/>
          <w:szCs w:val="16"/>
        </w:rPr>
        <w:t>НКСнаб</w:t>
      </w:r>
      <w:proofErr w:type="spellEnd"/>
      <w:r w:rsidRPr="007122AB">
        <w:rPr>
          <w:rFonts w:ascii="Times New Roman" w:hAnsi="Times New Roman"/>
          <w:color w:val="000000" w:themeColor="text1"/>
          <w:sz w:val="16"/>
          <w:szCs w:val="16"/>
        </w:rPr>
        <w:t xml:space="preserve"> выделить соответствующие фонды промтоваров. </w:t>
      </w:r>
    </w:p>
    <w:p w14:paraId="02E6E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В целях быстрейшего изжития тяжелого жилищного положения значительной части начсостава: </w:t>
      </w:r>
    </w:p>
    <w:p w14:paraId="704A36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НКТ и ВСНХ обеспечить окончание в 1931 г. жилстроительство домов начсостава рабсилой и материалами, независимо от того, кто является застройщиком... </w:t>
      </w:r>
    </w:p>
    <w:p w14:paraId="6A174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Оформить в советском порядке освобождение в трехмесячный срок квартир в домах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лицами, уходящими из рядов РККА, и обязать горсоветы в трехмесячный срок выселить из домов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всех </w:t>
      </w:r>
      <w:proofErr w:type="spellStart"/>
      <w:r w:rsidRPr="007122AB">
        <w:rPr>
          <w:rFonts w:ascii="Times New Roman" w:hAnsi="Times New Roman"/>
          <w:color w:val="000000" w:themeColor="text1"/>
          <w:sz w:val="16"/>
          <w:szCs w:val="16"/>
        </w:rPr>
        <w:t>невоеннослужащих</w:t>
      </w:r>
      <w:proofErr w:type="spellEnd"/>
      <w:r w:rsidRPr="007122AB">
        <w:rPr>
          <w:rFonts w:ascii="Times New Roman" w:hAnsi="Times New Roman"/>
          <w:color w:val="000000" w:themeColor="text1"/>
          <w:sz w:val="16"/>
          <w:szCs w:val="16"/>
        </w:rPr>
        <w:t xml:space="preserve">... Обязать Наркомвоенмор установить порядок закрепления жилищ в домах </w:t>
      </w:r>
      <w:proofErr w:type="spellStart"/>
      <w:r w:rsidRPr="007122AB">
        <w:rPr>
          <w:rFonts w:ascii="Times New Roman" w:hAnsi="Times New Roman"/>
          <w:color w:val="000000" w:themeColor="text1"/>
          <w:sz w:val="16"/>
          <w:szCs w:val="16"/>
        </w:rPr>
        <w:t>Военведа</w:t>
      </w:r>
      <w:proofErr w:type="spellEnd"/>
      <w:r w:rsidRPr="007122AB">
        <w:rPr>
          <w:rFonts w:ascii="Times New Roman" w:hAnsi="Times New Roman"/>
          <w:color w:val="000000" w:themeColor="text1"/>
          <w:sz w:val="16"/>
          <w:szCs w:val="16"/>
        </w:rPr>
        <w:t xml:space="preserve"> не за лицами, а за должностями. </w:t>
      </w:r>
    </w:p>
    <w:p w14:paraId="1A18F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 1 января 1932 г. денежное содержание комвзвода довести до 140 руб., соответственно этому подтянув вышестоящие группы: комроты с 140 до 170; комбат с 150 до 190 руб., комполка с 195 до 250 руб., комдив с 250 до 275 руб. и </w:t>
      </w:r>
      <w:proofErr w:type="spellStart"/>
      <w:r w:rsidRPr="007122AB">
        <w:rPr>
          <w:rFonts w:ascii="Times New Roman" w:hAnsi="Times New Roman"/>
          <w:color w:val="000000" w:themeColor="text1"/>
          <w:sz w:val="16"/>
          <w:szCs w:val="16"/>
        </w:rPr>
        <w:t>комкорпуса</w:t>
      </w:r>
      <w:proofErr w:type="spellEnd"/>
      <w:r w:rsidRPr="007122AB">
        <w:rPr>
          <w:rFonts w:ascii="Times New Roman" w:hAnsi="Times New Roman"/>
          <w:color w:val="000000" w:themeColor="text1"/>
          <w:sz w:val="16"/>
          <w:szCs w:val="16"/>
        </w:rPr>
        <w:t xml:space="preserve"> с 275 до 300 руб. </w:t>
      </w:r>
    </w:p>
    <w:p w14:paraId="4AEFDE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Комсостав технических войск (авиация, бронетанковые и </w:t>
      </w:r>
      <w:proofErr w:type="spellStart"/>
      <w:r w:rsidRPr="007122AB">
        <w:rPr>
          <w:rFonts w:ascii="Times New Roman" w:hAnsi="Times New Roman"/>
          <w:color w:val="000000" w:themeColor="text1"/>
          <w:sz w:val="16"/>
          <w:szCs w:val="16"/>
        </w:rPr>
        <w:t>морфлот</w:t>
      </w:r>
      <w:proofErr w:type="spellEnd"/>
      <w:r w:rsidRPr="007122AB">
        <w:rPr>
          <w:rFonts w:ascii="Times New Roman" w:hAnsi="Times New Roman"/>
          <w:color w:val="000000" w:themeColor="text1"/>
          <w:sz w:val="16"/>
          <w:szCs w:val="16"/>
        </w:rPr>
        <w:t>) должен находиться, как и раньше, несколько в преимущественном положении... (11652).</w:t>
      </w:r>
    </w:p>
    <w:p w14:paraId="6F27DF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A35A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12 и 18 июня 1931. Из протокола заседания Политбюро № 43, 1931 г.</w:t>
      </w:r>
    </w:p>
    <w:p w14:paraId="00E4BC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командном и политическом составе РККА </w:t>
      </w:r>
    </w:p>
    <w:p w14:paraId="62179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Центральный комитет констатирует, что... достигнуты значительные успехи в деле укрепления кадров начальствующего состава... </w:t>
      </w:r>
    </w:p>
    <w:p w14:paraId="3D589C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Отмечая за последний период некоторые, но пока еще явно недостаточные успехи в военной подготовке политсостава, ЦК считает совершенно обязательным дальнейшее решительное повышение его военных знаний... (11652).</w:t>
      </w:r>
    </w:p>
    <w:p w14:paraId="0B85A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B5A28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0295C4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C5E8F5" w14:textId="77777777" w:rsidR="00B60726" w:rsidRPr="007122AB" w:rsidRDefault="00B6072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июня 1931 в «Известиях» также появилась новая дискуссионная публикация. Г. Красин ратовал за то, чтобы в целях разрешения транспортной проблемы использовать все имеющиеся средства сообщения: автомобили, автобусы, трамваи, метрополитен, железные дороги «глубокого ввода», тротуарные транспортиры, лифты. Речь при этом шла не о том, нужен метрополитен или нет, а о наиболее срочных мерах. Главным препятствием для уличного движения являлась бессистемная застройка Москвы. Уже сейчас, при минимальном автомобильном движении, улицы были забиты, в том числе из-за отсутствия регулирования транспортных потоков. Выход Красин видел в устройстве транспортных развязок разного уровня на пересечении радиальных улиц с Бульварным и Садовым кольцом, а также </w:t>
      </w:r>
      <w:proofErr w:type="spellStart"/>
      <w:r w:rsidRPr="007122AB">
        <w:rPr>
          <w:rFonts w:ascii="Times New Roman" w:hAnsi="Times New Roman"/>
          <w:color w:val="000000" w:themeColor="text1"/>
          <w:sz w:val="16"/>
          <w:szCs w:val="16"/>
        </w:rPr>
        <w:t>Камерколлежским</w:t>
      </w:r>
      <w:proofErr w:type="spellEnd"/>
      <w:r w:rsidRPr="007122AB">
        <w:rPr>
          <w:rFonts w:ascii="Times New Roman" w:hAnsi="Times New Roman"/>
          <w:color w:val="000000" w:themeColor="text1"/>
          <w:sz w:val="16"/>
          <w:szCs w:val="16"/>
        </w:rPr>
        <w:t xml:space="preserve"> валом. Магистрали в будущем должны будут иметь восемь полос: две средние для трамвая, две для скоростного автотранспорта, две для гужевых </w:t>
      </w:r>
      <w:r w:rsidRPr="007122AB">
        <w:rPr>
          <w:rFonts w:ascii="Times New Roman" w:hAnsi="Times New Roman"/>
          <w:color w:val="000000" w:themeColor="text1"/>
          <w:sz w:val="16"/>
          <w:szCs w:val="16"/>
        </w:rPr>
        <w:lastRenderedPageBreak/>
        <w:t>повозок и остальные две для пешеходов. Транзитный проезд трамваев через центр осуществлялся по кольцевой линии. Последняя прокладывалась в самом сердце города, внутри Бульварного кольца, позднее ее можно было поднять на виадуки, за счет чего возникала первая линия метрополитена. Красин предлагал следующую иерархию приоритетов: 1. Регулирование трамвайного движения; 2. «Глубокий ввод» железных дорог; 3. Устройство транспортных развязок на перекрестках; 4. Наконец, метрополитен, но прежде, возможно, прокладка второго «глубокого ввода»{331} (18299).</w:t>
      </w:r>
    </w:p>
    <w:p w14:paraId="0C86DEB1" w14:textId="77777777" w:rsidR="00B60726" w:rsidRPr="007122AB" w:rsidRDefault="00B60726" w:rsidP="007122AB">
      <w:pPr>
        <w:spacing w:after="0" w:line="240" w:lineRule="auto"/>
        <w:jc w:val="both"/>
        <w:rPr>
          <w:rFonts w:ascii="Times New Roman" w:hAnsi="Times New Roman"/>
          <w:color w:val="000000" w:themeColor="text1"/>
          <w:sz w:val="16"/>
          <w:szCs w:val="16"/>
        </w:rPr>
      </w:pPr>
    </w:p>
    <w:p w14:paraId="2D19D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12 и 18 июня 1931. Из протокола заседания Политбюро № 43, 1931 г.</w:t>
      </w:r>
    </w:p>
    <w:p w14:paraId="54688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завозе нефтетоплива в г. Ленинград</w:t>
      </w:r>
    </w:p>
    <w:p w14:paraId="4980A7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Отклонить предложение о завозе нефти в Ленинград морским путем; </w:t>
      </w:r>
    </w:p>
    <w:p w14:paraId="67ABDD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Считать необходимым весь завоз нефтетоплива в Ленинград производить по Волге; </w:t>
      </w:r>
    </w:p>
    <w:p w14:paraId="4769B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Обязать </w:t>
      </w:r>
      <w:proofErr w:type="spellStart"/>
      <w:r w:rsidRPr="007122AB">
        <w:rPr>
          <w:rFonts w:ascii="Times New Roman" w:hAnsi="Times New Roman"/>
          <w:color w:val="000000" w:themeColor="text1"/>
          <w:sz w:val="16"/>
          <w:szCs w:val="16"/>
        </w:rPr>
        <w:t>Наркомвод</w:t>
      </w:r>
      <w:proofErr w:type="spellEnd"/>
      <w:r w:rsidRPr="007122AB">
        <w:rPr>
          <w:rFonts w:ascii="Times New Roman" w:hAnsi="Times New Roman"/>
          <w:color w:val="000000" w:themeColor="text1"/>
          <w:sz w:val="16"/>
          <w:szCs w:val="16"/>
        </w:rPr>
        <w:t xml:space="preserve"> установить календарную программу по месяцам завоза нефти в Ленинград и каждые 5 дней сообщать Политбюро о ходе выполнения этой программы (11652).</w:t>
      </w:r>
    </w:p>
    <w:p w14:paraId="3DB84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B14F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12 и 18 июня 1931. Из протокола заседания Политбюро № 43, 1931 г.</w:t>
      </w:r>
    </w:p>
    <w:p w14:paraId="0D3568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ценах и качестве овощей для рабочих</w:t>
      </w:r>
    </w:p>
    <w:p w14:paraId="54F6C3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признать, что партийные и советские организации не обращают достаточного внимания на положение дел в кооперации и на те грубые недочеты, которые имеют место в работе кооперации по рабочему снабжению. </w:t>
      </w:r>
    </w:p>
    <w:p w14:paraId="19AC6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Для решительной борьбы против повышения цен в городах с рабочим населением... создать комиссию ЦК и СНК СССР (11652).</w:t>
      </w:r>
    </w:p>
    <w:p w14:paraId="0534F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4D71D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2142D2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14FC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июня 1931 Аль Капоне и 68 членов его банды были обвинены в нарушении сухого закона (2100).</w:t>
      </w:r>
    </w:p>
    <w:p w14:paraId="6F37B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42E8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июня 1931 американский гангстер Аль Капоне обвинен в нарушении «сухого закона» (4962).</w:t>
      </w:r>
    </w:p>
    <w:p w14:paraId="6CD0DC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9C5E8" w14:textId="77777777" w:rsidR="00090A76" w:rsidRPr="007122AB" w:rsidRDefault="00090A76" w:rsidP="00090A76">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4EA4AB2" w14:textId="77777777" w:rsidR="00090A76" w:rsidRPr="007122AB" w:rsidRDefault="00090A76" w:rsidP="00090A76">
      <w:pPr>
        <w:autoSpaceDE w:val="0"/>
        <w:autoSpaceDN w:val="0"/>
        <w:adjustRightInd w:val="0"/>
        <w:spacing w:after="0" w:line="240" w:lineRule="auto"/>
        <w:jc w:val="both"/>
        <w:rPr>
          <w:rFonts w:ascii="Times New Roman" w:hAnsi="Times New Roman"/>
          <w:iCs/>
          <w:color w:val="000000" w:themeColor="text1"/>
          <w:sz w:val="16"/>
          <w:szCs w:val="16"/>
        </w:rPr>
      </w:pPr>
    </w:p>
    <w:p w14:paraId="1A805C1E" w14:textId="77777777" w:rsidR="00090A76" w:rsidRPr="00F07475" w:rsidRDefault="00090A76" w:rsidP="00F07475">
      <w:pPr>
        <w:spacing w:after="0" w:line="240" w:lineRule="auto"/>
        <w:rPr>
          <w:rFonts w:ascii="Times New Roman" w:hAnsi="Times New Roman"/>
          <w:color w:val="0070C0"/>
          <w:sz w:val="16"/>
          <w:szCs w:val="16"/>
        </w:rPr>
      </w:pPr>
      <w:r w:rsidRPr="00F07475">
        <w:rPr>
          <w:rFonts w:ascii="Times New Roman" w:hAnsi="Times New Roman"/>
          <w:color w:val="0070C0"/>
          <w:sz w:val="16"/>
          <w:szCs w:val="16"/>
        </w:rPr>
        <w:t xml:space="preserve">13 июня 1931 г. американский рабочий из Сан-Франциско </w:t>
      </w:r>
      <w:proofErr w:type="spellStart"/>
      <w:r w:rsidRPr="00F07475">
        <w:rPr>
          <w:rFonts w:ascii="Times New Roman" w:hAnsi="Times New Roman"/>
          <w:color w:val="0070C0"/>
          <w:sz w:val="16"/>
          <w:szCs w:val="16"/>
        </w:rPr>
        <w:t>Эмилен</w:t>
      </w:r>
      <w:proofErr w:type="spellEnd"/>
      <w:r w:rsidRPr="00F07475">
        <w:rPr>
          <w:rFonts w:ascii="Times New Roman" w:hAnsi="Times New Roman"/>
          <w:color w:val="0070C0"/>
          <w:sz w:val="16"/>
          <w:szCs w:val="16"/>
        </w:rPr>
        <w:t xml:space="preserve"> </w:t>
      </w:r>
      <w:proofErr w:type="spellStart"/>
      <w:r w:rsidRPr="00F07475">
        <w:rPr>
          <w:rFonts w:ascii="Times New Roman" w:hAnsi="Times New Roman"/>
          <w:color w:val="0070C0"/>
          <w:sz w:val="16"/>
          <w:szCs w:val="16"/>
        </w:rPr>
        <w:t>Гельбиг</w:t>
      </w:r>
      <w:proofErr w:type="spellEnd"/>
      <w:r w:rsidRPr="00F07475">
        <w:rPr>
          <w:rFonts w:ascii="Times New Roman" w:hAnsi="Times New Roman"/>
          <w:color w:val="0070C0"/>
          <w:sz w:val="16"/>
          <w:szCs w:val="16"/>
        </w:rPr>
        <w:t xml:space="preserve"> пожертвовал в фонд эскадрилий имени Ленина 400 американских долларов в золотой валюте.</w:t>
      </w:r>
    </w:p>
    <w:p w14:paraId="495AAB56" w14:textId="77777777" w:rsidR="00090A76" w:rsidRPr="00F07475" w:rsidRDefault="00090A76" w:rsidP="00F07475">
      <w:pPr>
        <w:spacing w:after="0" w:line="240" w:lineRule="auto"/>
        <w:rPr>
          <w:rFonts w:ascii="Times New Roman" w:hAnsi="Times New Roman"/>
          <w:color w:val="0070C0"/>
          <w:sz w:val="16"/>
          <w:szCs w:val="16"/>
        </w:rPr>
      </w:pPr>
      <w:r w:rsidRPr="00F07475">
        <w:rPr>
          <w:rFonts w:ascii="Times New Roman" w:hAnsi="Times New Roman"/>
          <w:color w:val="0070C0"/>
          <w:sz w:val="16"/>
          <w:szCs w:val="16"/>
        </w:rPr>
        <w:t>/«Известия ЦИК СССР» за 13 июня 1931 г./ (23370).</w:t>
      </w:r>
    </w:p>
    <w:p w14:paraId="1EBB823F" w14:textId="77777777" w:rsidR="00090A76" w:rsidRPr="00F07475" w:rsidRDefault="00090A76" w:rsidP="00F07475">
      <w:pPr>
        <w:spacing w:after="0" w:line="240" w:lineRule="auto"/>
        <w:rPr>
          <w:rFonts w:ascii="Times New Roman" w:hAnsi="Times New Roman"/>
          <w:color w:val="0070C0"/>
          <w:sz w:val="16"/>
          <w:szCs w:val="16"/>
        </w:rPr>
      </w:pPr>
    </w:p>
    <w:p w14:paraId="7F4B50C5" w14:textId="77777777" w:rsidR="00F07475" w:rsidRPr="00F07475" w:rsidRDefault="00F07475" w:rsidP="00F07475">
      <w:pPr>
        <w:spacing w:after="0" w:line="240" w:lineRule="auto"/>
        <w:rPr>
          <w:rFonts w:ascii="Times New Roman" w:hAnsi="Times New Roman"/>
          <w:color w:val="0070C0"/>
          <w:sz w:val="16"/>
          <w:szCs w:val="16"/>
        </w:rPr>
      </w:pPr>
      <w:r w:rsidRPr="00F07475">
        <w:rPr>
          <w:rFonts w:ascii="Times New Roman" w:hAnsi="Times New Roman"/>
          <w:color w:val="0070C0"/>
          <w:sz w:val="16"/>
          <w:szCs w:val="16"/>
        </w:rPr>
        <w:t xml:space="preserve">13 июня 1931 г. приказом начальника ВОГВФ № 272 сформирован специальный авиаотряд имени «Правды» для перевозки матриц центральных газет из Москвы на периферию. Отряд был укомплектован самолетами Р-1 и лучшими и военными под командованием </w:t>
      </w:r>
      <w:proofErr w:type="spellStart"/>
      <w:r w:rsidRPr="00F07475">
        <w:rPr>
          <w:rFonts w:ascii="Times New Roman" w:hAnsi="Times New Roman"/>
          <w:color w:val="0070C0"/>
          <w:sz w:val="16"/>
          <w:szCs w:val="16"/>
        </w:rPr>
        <w:t>Н.С.Никитченко</w:t>
      </w:r>
      <w:proofErr w:type="spellEnd"/>
      <w:r w:rsidRPr="00F07475">
        <w:rPr>
          <w:rFonts w:ascii="Times New Roman" w:hAnsi="Times New Roman"/>
          <w:color w:val="0070C0"/>
          <w:sz w:val="16"/>
          <w:szCs w:val="16"/>
        </w:rPr>
        <w:t xml:space="preserve">, просуществовал </w:t>
      </w:r>
      <w:proofErr w:type="spellStart"/>
      <w:r w:rsidRPr="00F07475">
        <w:rPr>
          <w:rFonts w:ascii="Times New Roman" w:hAnsi="Times New Roman"/>
          <w:color w:val="0070C0"/>
          <w:sz w:val="16"/>
          <w:szCs w:val="16"/>
        </w:rPr>
        <w:t>недолго_так</w:t>
      </w:r>
      <w:proofErr w:type="spellEnd"/>
      <w:r w:rsidRPr="00F07475">
        <w:rPr>
          <w:rFonts w:ascii="Times New Roman" w:hAnsi="Times New Roman"/>
          <w:color w:val="0070C0"/>
          <w:sz w:val="16"/>
          <w:szCs w:val="16"/>
        </w:rPr>
        <w:t>, как взятый им лозунг летать при «любой погоде» оказался преждевременным и привел к аварийности.</w:t>
      </w:r>
    </w:p>
    <w:p w14:paraId="07668224" w14:textId="77777777" w:rsidR="00F07475" w:rsidRPr="00F07475" w:rsidRDefault="00F07475" w:rsidP="00F07475">
      <w:pPr>
        <w:spacing w:after="0" w:line="240" w:lineRule="auto"/>
        <w:rPr>
          <w:rFonts w:ascii="Times New Roman" w:hAnsi="Times New Roman"/>
          <w:color w:val="0070C0"/>
          <w:sz w:val="16"/>
          <w:szCs w:val="16"/>
        </w:rPr>
      </w:pPr>
      <w:r w:rsidRPr="00F07475">
        <w:rPr>
          <w:rFonts w:ascii="Times New Roman" w:hAnsi="Times New Roman"/>
          <w:color w:val="0070C0"/>
          <w:sz w:val="16"/>
          <w:szCs w:val="16"/>
        </w:rPr>
        <w:t>/«Правда» за 16 июня 1931 г./ (23370).</w:t>
      </w:r>
    </w:p>
    <w:p w14:paraId="029B5A33" w14:textId="77777777" w:rsidR="00F07475" w:rsidRPr="00F07475" w:rsidRDefault="00F07475" w:rsidP="00F07475">
      <w:pPr>
        <w:spacing w:after="0" w:line="240" w:lineRule="auto"/>
        <w:rPr>
          <w:rFonts w:ascii="Times New Roman" w:hAnsi="Times New Roman"/>
          <w:color w:val="0070C0"/>
          <w:sz w:val="16"/>
          <w:szCs w:val="16"/>
        </w:rPr>
      </w:pPr>
    </w:p>
    <w:p w14:paraId="23A1A39D" w14:textId="0F006F53"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B0E85E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335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июня 1931 была предпринята последняя попытка испытать танк Кристи на гусеницах, но после того, как танк прошел 1 км кронштейн ленивца вновь сломался (3879,7).</w:t>
      </w:r>
    </w:p>
    <w:p w14:paraId="1886E5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3202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13 июня 1931 по оконча</w:t>
      </w:r>
      <w:r w:rsidRPr="007122AB">
        <w:rPr>
          <w:rFonts w:ascii="Times New Roman" w:hAnsi="Times New Roman"/>
          <w:color w:val="000000" w:themeColor="text1"/>
          <w:sz w:val="16"/>
          <w:szCs w:val="16"/>
        </w:rPr>
        <w:softHyphen/>
        <w:t>нии показа Правительству кронштейн на танке Кристи был отремонтирован, но при попытке вновь вывести его на испытания на гусенич</w:t>
      </w:r>
      <w:r w:rsidRPr="007122AB">
        <w:rPr>
          <w:rFonts w:ascii="Times New Roman" w:hAnsi="Times New Roman"/>
          <w:color w:val="000000" w:themeColor="text1"/>
          <w:sz w:val="16"/>
          <w:szCs w:val="16"/>
        </w:rPr>
        <w:softHyphen/>
        <w:t>ном ходу сломался опять. В общей сложности за весь пери</w:t>
      </w:r>
      <w:r w:rsidRPr="007122AB">
        <w:rPr>
          <w:rFonts w:ascii="Times New Roman" w:hAnsi="Times New Roman"/>
          <w:color w:val="000000" w:themeColor="text1"/>
          <w:sz w:val="16"/>
          <w:szCs w:val="16"/>
        </w:rPr>
        <w:softHyphen/>
        <w:t>од ходовых испытаний с 16.05. по 21.06 танк прошел на гу</w:t>
      </w:r>
      <w:r w:rsidRPr="007122AB">
        <w:rPr>
          <w:rFonts w:ascii="Times New Roman" w:hAnsi="Times New Roman"/>
          <w:color w:val="000000" w:themeColor="text1"/>
          <w:sz w:val="16"/>
          <w:szCs w:val="16"/>
        </w:rPr>
        <w:softHyphen/>
        <w:t>сеницах 43,5 км и 863 км на колесах (10733,197).</w:t>
      </w:r>
    </w:p>
    <w:p w14:paraId="3B8F84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C855D6"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июня 1931 закончились испытания танка БТ пробегом по шоссе и грунтовым дорогам только на колесном ходу, которые шли с 27 мая. Максимальная скорость не превышала 65-70 км/час. Существенным недостатком оказалась полная невозможность движения на колесах по песку из-за значительного их погружения в грунт. Было также отмечено, что посадка в танк может производиться только через верхний люк, поскольку водительский люк слишком узок, непригоден для эвакуации и не оборудован приборами бокового обзора. Доступ к агрегатам моторно-трансмиссионного отделения был возможен лишь после полной разборки крыши. Недостатком признали отсутствие башни и установку только пулеметного вооружения в корпусе. Общий “набег” М1931 за 10 дней составил 200 км на колесах, но 50 из них танк прошел ещё в США. </w:t>
      </w:r>
    </w:p>
    <w:p w14:paraId="1F91B80E"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Впрочем, во время демонстрации М1931 членам правительства машина, даже с поломанным кронштейном, показала себя хорошо. На колесном ходу танк свободно прошел 5 рядов проволочных заграждений, а затем преодолел двухметровый окоп. Экипаж машины за 44 минуты установил гусеничные ленты, а после 10-минутного перерыва за 35 минут снял и уложил их на </w:t>
      </w:r>
      <w:proofErr w:type="spellStart"/>
      <w:r w:rsidRPr="007122AB">
        <w:rPr>
          <w:rFonts w:ascii="Times New Roman" w:hAnsi="Times New Roman"/>
          <w:color w:val="000000" w:themeColor="text1"/>
          <w:sz w:val="16"/>
          <w:szCs w:val="16"/>
        </w:rPr>
        <w:t>надгусеничные</w:t>
      </w:r>
      <w:proofErr w:type="spellEnd"/>
      <w:r w:rsidRPr="007122AB">
        <w:rPr>
          <w:rFonts w:ascii="Times New Roman" w:hAnsi="Times New Roman"/>
          <w:color w:val="000000" w:themeColor="text1"/>
          <w:sz w:val="16"/>
          <w:szCs w:val="16"/>
        </w:rPr>
        <w:t xml:space="preserve"> полки. </w:t>
      </w:r>
    </w:p>
    <w:p w14:paraId="344EA53D"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Последняя попытка провести испытания М1931 на гусеничном ходу была предпринята 13 июня, но после того как танк прошел всего 1 км, злополучный кронштейн снова сломался. Тремя днями позже начала заедать коробка передач на 2-й и 3-й скорости. Всего с 16 мая по 21 июня танк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4825D8D2"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6EFBCAF3"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Гусеницы. После 40,5 км сломано 8 пальцев. </w:t>
      </w:r>
    </w:p>
    <w:p w14:paraId="4CA5C43D"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0E662AA9"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007F485A"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E074597"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680581BA" w14:textId="77777777" w:rsidR="00245CB3" w:rsidRPr="007122AB" w:rsidRDefault="00245CB3" w:rsidP="007122AB">
      <w:pPr>
        <w:spacing w:after="0" w:line="240" w:lineRule="auto"/>
        <w:jc w:val="both"/>
        <w:rPr>
          <w:rFonts w:ascii="Times New Roman" w:hAnsi="Times New Roman"/>
          <w:color w:val="000000" w:themeColor="text1"/>
          <w:sz w:val="16"/>
          <w:szCs w:val="16"/>
        </w:rPr>
      </w:pPr>
    </w:p>
    <w:p w14:paraId="32133AC3" w14:textId="77777777" w:rsidR="00702215" w:rsidRPr="007122AB" w:rsidRDefault="0070221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6C224AE" w14:textId="77777777" w:rsidR="00702215" w:rsidRPr="007122AB" w:rsidRDefault="0070221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49F1E7" w14:textId="77777777" w:rsidR="00702215" w:rsidRPr="007122AB" w:rsidRDefault="007022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июня 1931 - Мэй </w:t>
      </w:r>
      <w:proofErr w:type="spellStart"/>
      <w:r w:rsidRPr="007122AB">
        <w:rPr>
          <w:rFonts w:ascii="Times New Roman" w:hAnsi="Times New Roman"/>
          <w:color w:val="000000" w:themeColor="text1"/>
          <w:sz w:val="16"/>
          <w:szCs w:val="16"/>
        </w:rPr>
        <w:t>Хэйцлип</w:t>
      </w:r>
      <w:proofErr w:type="spellEnd"/>
      <w:r w:rsidRPr="007122AB">
        <w:rPr>
          <w:rFonts w:ascii="Times New Roman" w:hAnsi="Times New Roman"/>
          <w:color w:val="000000" w:themeColor="text1"/>
          <w:sz w:val="16"/>
          <w:szCs w:val="16"/>
        </w:rPr>
        <w:t xml:space="preserve"> устанавливает женский рекорд высоты для легких самолетов 18097 футов (5516 м) в Сент-Клер, штат Мичиган. Самолет - </w:t>
      </w:r>
      <w:proofErr w:type="spellStart"/>
      <w:r w:rsidRPr="007122AB">
        <w:rPr>
          <w:rFonts w:ascii="Times New Roman" w:hAnsi="Times New Roman"/>
          <w:color w:val="000000" w:themeColor="text1"/>
          <w:sz w:val="16"/>
          <w:szCs w:val="16"/>
        </w:rPr>
        <w:t>Buhl</w:t>
      </w:r>
      <w:proofErr w:type="spellEnd"/>
      <w:r w:rsidRPr="007122AB">
        <w:rPr>
          <w:rFonts w:ascii="Times New Roman" w:hAnsi="Times New Roman"/>
          <w:color w:val="000000" w:themeColor="text1"/>
          <w:sz w:val="16"/>
          <w:szCs w:val="16"/>
        </w:rPr>
        <w:t xml:space="preserve"> "Bull </w:t>
      </w:r>
      <w:proofErr w:type="spellStart"/>
      <w:r w:rsidRPr="007122AB">
        <w:rPr>
          <w:rFonts w:ascii="Times New Roman" w:hAnsi="Times New Roman"/>
          <w:color w:val="000000" w:themeColor="text1"/>
          <w:sz w:val="16"/>
          <w:szCs w:val="16"/>
        </w:rPr>
        <w:t>Pup</w:t>
      </w:r>
      <w:proofErr w:type="spellEnd"/>
      <w:r w:rsidRPr="007122AB">
        <w:rPr>
          <w:rFonts w:ascii="Times New Roman" w:hAnsi="Times New Roman"/>
          <w:color w:val="000000" w:themeColor="text1"/>
          <w:sz w:val="16"/>
          <w:szCs w:val="16"/>
        </w:rPr>
        <w:t>" (22462).</w:t>
      </w:r>
    </w:p>
    <w:p w14:paraId="2ED1DE18" w14:textId="77777777" w:rsidR="00702215" w:rsidRPr="007122AB" w:rsidRDefault="00702215" w:rsidP="007122AB">
      <w:pPr>
        <w:spacing w:after="0" w:line="240" w:lineRule="auto"/>
        <w:jc w:val="both"/>
        <w:rPr>
          <w:rFonts w:ascii="Times New Roman" w:hAnsi="Times New Roman"/>
          <w:color w:val="000000" w:themeColor="text1"/>
          <w:sz w:val="16"/>
          <w:szCs w:val="16"/>
        </w:rPr>
      </w:pPr>
    </w:p>
    <w:p w14:paraId="364EBA0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543DE5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B649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июня 1931 года начальник ВВС Алкснис писал письмо N А-3963сс МПУ ВСНХ.</w:t>
      </w:r>
    </w:p>
    <w:p w14:paraId="472561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w:t>
      </w:r>
    </w:p>
    <w:p w14:paraId="00078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рабочей подкомиссии к совещанию по вопросам потребностей</w:t>
      </w:r>
    </w:p>
    <w:p w14:paraId="3C320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авиапромышленности на 1932-1934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и перспектив</w:t>
      </w:r>
    </w:p>
    <w:p w14:paraId="658013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удовлетворения этих потребностей другими отраслями</w:t>
      </w:r>
    </w:p>
    <w:p w14:paraId="7D7509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промышленности.</w:t>
      </w:r>
    </w:p>
    <w:p w14:paraId="0E00C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Исходными данными для расчета потребностей принять следующий план развертывания </w:t>
      </w:r>
      <w:proofErr w:type="spellStart"/>
      <w:r w:rsidRPr="007122AB">
        <w:rPr>
          <w:rFonts w:ascii="Times New Roman" w:hAnsi="Times New Roman"/>
          <w:color w:val="000000" w:themeColor="text1"/>
          <w:sz w:val="16"/>
          <w:szCs w:val="16"/>
        </w:rPr>
        <w:t>самолето</w:t>
      </w:r>
      <w:proofErr w:type="spellEnd"/>
      <w:r w:rsidRPr="007122AB">
        <w:rPr>
          <w:rFonts w:ascii="Times New Roman" w:hAnsi="Times New Roman"/>
          <w:color w:val="000000" w:themeColor="text1"/>
          <w:sz w:val="16"/>
          <w:szCs w:val="16"/>
        </w:rPr>
        <w:t>-моторостроения по годам, в соответствии с заявками УВВС на военное время: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002C3" w:rsidRPr="007122AB" w14:paraId="39A6A684" w14:textId="77777777">
        <w:tc>
          <w:tcPr>
            <w:tcW w:w="1610" w:type="dxa"/>
          </w:tcPr>
          <w:p w14:paraId="4F0F25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30E44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1610" w:type="dxa"/>
          </w:tcPr>
          <w:p w14:paraId="25606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 г.</w:t>
            </w:r>
          </w:p>
        </w:tc>
        <w:tc>
          <w:tcPr>
            <w:tcW w:w="1610" w:type="dxa"/>
          </w:tcPr>
          <w:p w14:paraId="7EB9D1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 г.</w:t>
            </w:r>
          </w:p>
        </w:tc>
      </w:tr>
      <w:tr w:rsidR="001002C3" w:rsidRPr="007122AB" w14:paraId="33A3C036" w14:textId="77777777">
        <w:tc>
          <w:tcPr>
            <w:tcW w:w="1610" w:type="dxa"/>
          </w:tcPr>
          <w:p w14:paraId="494EE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Самолеты</w:t>
            </w:r>
          </w:p>
        </w:tc>
        <w:tc>
          <w:tcPr>
            <w:tcW w:w="1610" w:type="dxa"/>
          </w:tcPr>
          <w:p w14:paraId="729D2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7098</w:t>
            </w:r>
          </w:p>
        </w:tc>
        <w:tc>
          <w:tcPr>
            <w:tcW w:w="1610" w:type="dxa"/>
          </w:tcPr>
          <w:p w14:paraId="117DD2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15590</w:t>
            </w:r>
          </w:p>
        </w:tc>
        <w:tc>
          <w:tcPr>
            <w:tcW w:w="1610" w:type="dxa"/>
          </w:tcPr>
          <w:p w14:paraId="230FE3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22641</w:t>
            </w:r>
          </w:p>
        </w:tc>
      </w:tr>
      <w:tr w:rsidR="001002C3" w:rsidRPr="007122AB" w14:paraId="61964AB0" w14:textId="77777777">
        <w:tc>
          <w:tcPr>
            <w:tcW w:w="1610" w:type="dxa"/>
          </w:tcPr>
          <w:p w14:paraId="2C11B8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w:t>
            </w:r>
          </w:p>
        </w:tc>
        <w:tc>
          <w:tcPr>
            <w:tcW w:w="1610" w:type="dxa"/>
          </w:tcPr>
          <w:p w14:paraId="3ECE9B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9460</w:t>
            </w:r>
          </w:p>
        </w:tc>
        <w:tc>
          <w:tcPr>
            <w:tcW w:w="1610" w:type="dxa"/>
          </w:tcPr>
          <w:p w14:paraId="173BA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30550</w:t>
            </w:r>
          </w:p>
        </w:tc>
        <w:tc>
          <w:tcPr>
            <w:tcW w:w="1610" w:type="dxa"/>
          </w:tcPr>
          <w:p w14:paraId="66D3A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62000</w:t>
            </w:r>
          </w:p>
        </w:tc>
      </w:tr>
    </w:tbl>
    <w:p w14:paraId="5DBC2A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отсутствия определенного типажа и соответствующих спецификаций на самолеты и моторы, намеченные к производству в 1933-34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расчет необходимых материалов и материальных баз является только ориентировочным.</w:t>
      </w:r>
    </w:p>
    <w:p w14:paraId="16A77A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Основной единицей для расчета потребных материалов в моторостроении принять мотор М-17, как мотор средней мощности, установившийся в производстве и имеющий более или менее уточненную спецификацию.</w:t>
      </w:r>
    </w:p>
    <w:p w14:paraId="320A48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Типовой машиной для самолетов сварных конструкций признан самолет ТШ-1, для деревянных конструкций - Р5 и металлических конструкций ТБ3.</w:t>
      </w:r>
    </w:p>
    <w:p w14:paraId="4F821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Количественное соотношение этих конструкций по годам принято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002C3" w:rsidRPr="007122AB" w14:paraId="074697F8" w14:textId="77777777">
        <w:tc>
          <w:tcPr>
            <w:tcW w:w="2818" w:type="dxa"/>
          </w:tcPr>
          <w:p w14:paraId="4C74BC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575BB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18" w:type="dxa"/>
          </w:tcPr>
          <w:p w14:paraId="00A1CC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 г.</w:t>
            </w:r>
          </w:p>
        </w:tc>
        <w:tc>
          <w:tcPr>
            <w:tcW w:w="2818" w:type="dxa"/>
          </w:tcPr>
          <w:p w14:paraId="5A22E2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 г.</w:t>
            </w:r>
          </w:p>
        </w:tc>
      </w:tr>
      <w:tr w:rsidR="001002C3" w:rsidRPr="007122AB" w14:paraId="3C49B6EB" w14:textId="77777777">
        <w:tc>
          <w:tcPr>
            <w:tcW w:w="2818" w:type="dxa"/>
          </w:tcPr>
          <w:p w14:paraId="3A40A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w:t>
            </w:r>
          </w:p>
        </w:tc>
        <w:tc>
          <w:tcPr>
            <w:tcW w:w="2818" w:type="dxa"/>
          </w:tcPr>
          <w:p w14:paraId="5D57C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Приняты</w:t>
            </w:r>
          </w:p>
        </w:tc>
        <w:tc>
          <w:tcPr>
            <w:tcW w:w="2818" w:type="dxa"/>
          </w:tcPr>
          <w:p w14:paraId="0BC0E0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8775</w:t>
            </w:r>
          </w:p>
        </w:tc>
        <w:tc>
          <w:tcPr>
            <w:tcW w:w="2818" w:type="dxa"/>
          </w:tcPr>
          <w:p w14:paraId="0183E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11970</w:t>
            </w:r>
          </w:p>
        </w:tc>
      </w:tr>
      <w:tr w:rsidR="001002C3" w:rsidRPr="007122AB" w14:paraId="2EEA621C" w14:textId="77777777">
        <w:tc>
          <w:tcPr>
            <w:tcW w:w="2818" w:type="dxa"/>
          </w:tcPr>
          <w:p w14:paraId="72FB26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2818" w:type="dxa"/>
          </w:tcPr>
          <w:p w14:paraId="2812D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заявки</w:t>
            </w:r>
          </w:p>
        </w:tc>
        <w:tc>
          <w:tcPr>
            <w:tcW w:w="2818" w:type="dxa"/>
          </w:tcPr>
          <w:p w14:paraId="75A7C8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3845</w:t>
            </w:r>
          </w:p>
        </w:tc>
        <w:tc>
          <w:tcPr>
            <w:tcW w:w="2818" w:type="dxa"/>
          </w:tcPr>
          <w:p w14:paraId="40C70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4540</w:t>
            </w:r>
          </w:p>
        </w:tc>
      </w:tr>
      <w:tr w:rsidR="001002C3" w:rsidRPr="007122AB" w14:paraId="4D0AE380" w14:textId="77777777">
        <w:tc>
          <w:tcPr>
            <w:tcW w:w="2818" w:type="dxa"/>
          </w:tcPr>
          <w:p w14:paraId="70C299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2818" w:type="dxa"/>
          </w:tcPr>
          <w:p w14:paraId="7498C7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2818" w:type="dxa"/>
          </w:tcPr>
          <w:p w14:paraId="242D8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3170</w:t>
            </w:r>
          </w:p>
        </w:tc>
        <w:tc>
          <w:tcPr>
            <w:tcW w:w="2818" w:type="dxa"/>
          </w:tcPr>
          <w:p w14:paraId="012A40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6130</w:t>
            </w:r>
          </w:p>
        </w:tc>
      </w:tr>
    </w:tbl>
    <w:p w14:paraId="35C67F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приведенными расчетными данными определился объем материальных потребностей авиапромышленности на период 1932-1934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(3947,73-76).</w:t>
      </w:r>
    </w:p>
    <w:p w14:paraId="1B270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85DE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июня 1931 Торгсин, который 4 января 1931 года Торгсин получил всесоюзный статус,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01B67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Автором идеи продаж на бытовое золото был директор столичного универмага N1 Ефрем Владимирович </w:t>
      </w:r>
      <w:proofErr w:type="spellStart"/>
      <w:r w:rsidRPr="007122AB">
        <w:rPr>
          <w:rFonts w:ascii="Times New Roman" w:hAnsi="Times New Roman"/>
          <w:color w:val="000000" w:themeColor="text1"/>
          <w:sz w:val="16"/>
          <w:szCs w:val="16"/>
        </w:rPr>
        <w:t>Курлянд</w:t>
      </w:r>
      <w:proofErr w:type="spellEnd"/>
      <w:r w:rsidRPr="007122AB">
        <w:rPr>
          <w:rFonts w:ascii="Times New Roman" w:hAnsi="Times New Roman"/>
          <w:color w:val="000000" w:themeColor="text1"/>
          <w:sz w:val="16"/>
          <w:szCs w:val="16"/>
        </w:rPr>
        <w:t xml:space="preserve">, который в марте 1931 года обратился с этим предложением к руководству Наркомата внешней торговли. 3 ноября 1931 года Политбюро поручило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СССР организовать в магазинах Торгсина скупку бытового золота в обмен на товары. Специальная комиссия, куда вошли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Наркомвнешторг</w:t>
      </w:r>
      <w:proofErr w:type="spellEnd"/>
      <w:r w:rsidRPr="007122AB">
        <w:rPr>
          <w:rFonts w:ascii="Times New Roman" w:hAnsi="Times New Roman"/>
          <w:color w:val="000000" w:themeColor="text1"/>
          <w:sz w:val="16"/>
          <w:szCs w:val="16"/>
        </w:rPr>
        <w:t>), Гринько (Наркомфин), Серебровский (</w:t>
      </w:r>
      <w:proofErr w:type="spellStart"/>
      <w:r w:rsidRPr="007122AB">
        <w:rPr>
          <w:rFonts w:ascii="Times New Roman" w:hAnsi="Times New Roman"/>
          <w:color w:val="000000" w:themeColor="text1"/>
          <w:sz w:val="16"/>
          <w:szCs w:val="16"/>
        </w:rPr>
        <w:t>Союззолото</w:t>
      </w:r>
      <w:proofErr w:type="spellEnd"/>
      <w:r w:rsidRPr="007122AB">
        <w:rPr>
          <w:rFonts w:ascii="Times New Roman" w:hAnsi="Times New Roman"/>
          <w:color w:val="000000" w:themeColor="text1"/>
          <w:sz w:val="16"/>
          <w:szCs w:val="16"/>
        </w:rPr>
        <w:t xml:space="preserve">), Калманович, </w:t>
      </w:r>
      <w:proofErr w:type="spellStart"/>
      <w:r w:rsidRPr="007122AB">
        <w:rPr>
          <w:rFonts w:ascii="Times New Roman" w:hAnsi="Times New Roman"/>
          <w:color w:val="000000" w:themeColor="text1"/>
          <w:sz w:val="16"/>
          <w:szCs w:val="16"/>
        </w:rPr>
        <w:t>Дерибас</w:t>
      </w:r>
      <w:proofErr w:type="spellEnd"/>
      <w:r w:rsidRPr="007122AB">
        <w:rPr>
          <w:rFonts w:ascii="Times New Roman" w:hAnsi="Times New Roman"/>
          <w:color w:val="000000" w:themeColor="text1"/>
          <w:sz w:val="16"/>
          <w:szCs w:val="16"/>
        </w:rPr>
        <w:t xml:space="preserve">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50A0EF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188B42"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DA33CAA"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5B2FDC" w14:textId="77777777" w:rsidR="00877950" w:rsidRPr="007122AB" w:rsidRDefault="00877950" w:rsidP="007122AB">
      <w:pPr>
        <w:pStyle w:val="rtejustify"/>
        <w:spacing w:before="0" w:after="0"/>
        <w:rPr>
          <w:color w:val="000000" w:themeColor="text1"/>
          <w:sz w:val="16"/>
          <w:szCs w:val="16"/>
        </w:rPr>
      </w:pPr>
      <w:r w:rsidRPr="007122AB">
        <w:rPr>
          <w:rStyle w:val="af0"/>
          <w:i w:val="0"/>
          <w:color w:val="000000" w:themeColor="text1"/>
          <w:sz w:val="16"/>
          <w:szCs w:val="16"/>
        </w:rPr>
        <w:t>14 июня 1931 г. Протокол Реввоенсовета № 22.</w:t>
      </w:r>
      <w:r w:rsidRPr="007122AB">
        <w:rPr>
          <w:color w:val="000000" w:themeColor="text1"/>
          <w:sz w:val="16"/>
          <w:szCs w:val="16"/>
        </w:rPr>
        <w:t xml:space="preserve"> 1. Контрольные цифры бюджета НКВМ на 1932 г. (РГВА. Ф. 4. Оп. 18. Д. 20. Л. 315</w:t>
      </w:r>
      <w:r w:rsidRPr="007122AB">
        <w:rPr>
          <w:color w:val="000000" w:themeColor="text1"/>
          <w:sz w:val="16"/>
          <w:szCs w:val="16"/>
        </w:rPr>
        <w:noBreakHyphen/>
        <w:t>316) (12342).</w:t>
      </w:r>
    </w:p>
    <w:p w14:paraId="6747C630" w14:textId="77777777" w:rsidR="00877950" w:rsidRPr="007122AB" w:rsidRDefault="00877950" w:rsidP="007122AB">
      <w:pPr>
        <w:pStyle w:val="rtejustify"/>
        <w:spacing w:before="0" w:after="0"/>
        <w:rPr>
          <w:color w:val="000000" w:themeColor="text1"/>
          <w:sz w:val="16"/>
          <w:szCs w:val="16"/>
        </w:rPr>
      </w:pPr>
    </w:p>
    <w:p w14:paraId="478B1347"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14 июня 1931 </w:t>
      </w:r>
      <w:r w:rsidRPr="007122AB">
        <w:rPr>
          <w:rFonts w:ascii="Times New Roman" w:hAnsi="Times New Roman"/>
          <w:color w:val="000000" w:themeColor="text1"/>
          <w:sz w:val="16"/>
          <w:szCs w:val="16"/>
        </w:rPr>
        <w:t>Политбюро ЦК ВКП (б) приняло решение о приступе к строительству в 1931 г. завода малой металлургии в Ленинграде (12265).</w:t>
      </w:r>
    </w:p>
    <w:p w14:paraId="3D6F5D97"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E288B0A"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июня 1931 г. представители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и НИПС подписали протокол об успешном испытании гидроакустической системы обнаружения барьерного типа с приемом информации с надводного корабля (22288).</w:t>
      </w:r>
    </w:p>
    <w:p w14:paraId="046AE4D7" w14:textId="77777777" w:rsidR="00091E56" w:rsidRPr="007122AB" w:rsidRDefault="00091E56" w:rsidP="007122AB">
      <w:pPr>
        <w:spacing w:after="0" w:line="240" w:lineRule="auto"/>
        <w:jc w:val="both"/>
        <w:rPr>
          <w:rFonts w:ascii="Times New Roman" w:hAnsi="Times New Roman"/>
          <w:color w:val="000000" w:themeColor="text1"/>
          <w:sz w:val="16"/>
          <w:szCs w:val="16"/>
        </w:rPr>
      </w:pPr>
    </w:p>
    <w:p w14:paraId="746638A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099485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794F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в НИИ ВВС закончился второй этап испытаний И5 № 3 с мотором М15, который проходил с 6 мая 1931.</w:t>
      </w:r>
    </w:p>
    <w:p w14:paraId="3FF670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 (образца для серии) самолета И5 № 18 с мотором М15</w:t>
      </w:r>
    </w:p>
    <w:p w14:paraId="6C38EF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5F4F3D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7E00C5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7E9DA0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сообщению завода № 39 данный самолет в сравнении с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xml:space="preserve"> VI усилен ………….</w:t>
      </w:r>
    </w:p>
    <w:p w14:paraId="001853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404415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0EF782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485224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 испытания</w:t>
      </w:r>
    </w:p>
    <w:p w14:paraId="125C6F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первого испытания самолет И5 № 18 произвел следующие полеты:</w:t>
      </w:r>
    </w:p>
    <w:p w14:paraId="7F3227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42209C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781D00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BAEA2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второго испытания произведены следующие полеты:</w:t>
      </w:r>
    </w:p>
    <w:p w14:paraId="45AFB7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114F4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1BF2CB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C73D5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w:t>
      </w:r>
      <w:proofErr w:type="spellStart"/>
      <w:r w:rsidRPr="007122AB">
        <w:rPr>
          <w:rFonts w:ascii="Times New Roman" w:hAnsi="Times New Roman"/>
          <w:color w:val="000000" w:themeColor="text1"/>
          <w:sz w:val="16"/>
          <w:szCs w:val="16"/>
        </w:rPr>
        <w:t>ЮпVI</w:t>
      </w:r>
      <w:proofErr w:type="spellEnd"/>
      <w:r w:rsidRPr="007122AB">
        <w:rPr>
          <w:rFonts w:ascii="Times New Roman" w:hAnsi="Times New Roman"/>
          <w:color w:val="000000" w:themeColor="text1"/>
          <w:sz w:val="16"/>
          <w:szCs w:val="16"/>
        </w:rPr>
        <w:t xml:space="preserve"> (6964, 32-40).</w:t>
      </w:r>
    </w:p>
    <w:p w14:paraId="12CA6D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418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г. закончился второй этап испытаний И-5 №3 с двигателем М-15, который шел с 6 мая. Однако этот самолет по-прежнему не имел вооружения и обладал множеством отличий от серийных об</w:t>
      </w:r>
      <w:r w:rsidRPr="007122AB">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7122AB">
        <w:rPr>
          <w:rFonts w:ascii="Times New Roman" w:hAnsi="Times New Roman"/>
          <w:color w:val="000000" w:themeColor="text1"/>
          <w:sz w:val="16"/>
          <w:szCs w:val="16"/>
        </w:rPr>
        <w:softHyphen/>
        <w:t xml:space="preserve">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Другим отличи</w:t>
      </w:r>
      <w:r w:rsidRPr="007122AB">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7122AB">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7122AB">
        <w:rPr>
          <w:rFonts w:ascii="Times New Roman" w:hAnsi="Times New Roman"/>
          <w:color w:val="000000" w:themeColor="text1"/>
          <w:sz w:val="16"/>
          <w:szCs w:val="16"/>
        </w:rPr>
        <w:softHyphen/>
        <w:t xml:space="preserve">ломки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После ремонта самолет предъявили к тестированию с новым двигате</w:t>
      </w:r>
      <w:r w:rsidRPr="007122AB">
        <w:rPr>
          <w:rFonts w:ascii="Times New Roman" w:hAnsi="Times New Roman"/>
          <w:color w:val="000000" w:themeColor="text1"/>
          <w:sz w:val="16"/>
          <w:szCs w:val="16"/>
        </w:rPr>
        <w:softHyphen/>
        <w:t>лем - М-15 № 24109. Полеты начались 10 ок</w:t>
      </w:r>
      <w:r w:rsidRPr="007122AB">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7122AB">
        <w:rPr>
          <w:rFonts w:ascii="Times New Roman" w:hAnsi="Times New Roman"/>
          <w:color w:val="000000" w:themeColor="text1"/>
          <w:sz w:val="16"/>
          <w:szCs w:val="16"/>
        </w:rPr>
        <w:softHyphen/>
        <w:t xml:space="preserve">садки. Дальнейшая судьба машины не </w:t>
      </w:r>
      <w:proofErr w:type="spellStart"/>
      <w:r w:rsidRPr="007122AB">
        <w:rPr>
          <w:rFonts w:ascii="Times New Roman" w:hAnsi="Times New Roman"/>
          <w:color w:val="000000" w:themeColor="text1"/>
          <w:sz w:val="16"/>
          <w:szCs w:val="16"/>
        </w:rPr>
        <w:t>просле</w:t>
      </w:r>
      <w:proofErr w:type="spellEnd"/>
      <w:r w:rsidRPr="007122AB">
        <w:rPr>
          <w:rFonts w:ascii="Times New Roman" w:hAnsi="Times New Roman"/>
          <w:color w:val="000000" w:themeColor="text1"/>
          <w:sz w:val="16"/>
          <w:szCs w:val="16"/>
        </w:rPr>
        <w:t xml:space="preserve"> живется, однако из переписки завода №39 известно, что какой-то И-5 с М-15 потерпел аварию и не восстанавливался (вероятно это был И-5 №18).</w:t>
      </w:r>
    </w:p>
    <w:p w14:paraId="35AE92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смотря на аварию, основные выводы в отношении </w:t>
      </w:r>
      <w:proofErr w:type="spellStart"/>
      <w:r w:rsidRPr="007122AB">
        <w:rPr>
          <w:rFonts w:ascii="Times New Roman" w:hAnsi="Times New Roman"/>
          <w:color w:val="000000" w:themeColor="text1"/>
          <w:sz w:val="16"/>
          <w:szCs w:val="16"/>
        </w:rPr>
        <w:t>испытывавшегося</w:t>
      </w:r>
      <w:proofErr w:type="spellEnd"/>
      <w:r w:rsidRPr="007122AB">
        <w:rPr>
          <w:rFonts w:ascii="Times New Roman" w:hAnsi="Times New Roman"/>
          <w:color w:val="000000" w:themeColor="text1"/>
          <w:sz w:val="16"/>
          <w:szCs w:val="16"/>
        </w:rPr>
        <w:t xml:space="preserve"> самолета были, получены. В частности, указывалось, что се</w:t>
      </w:r>
      <w:r w:rsidRPr="007122AB">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7122AB">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7122AB">
        <w:rPr>
          <w:rFonts w:ascii="Times New Roman" w:hAnsi="Times New Roman"/>
          <w:color w:val="000000" w:themeColor="text1"/>
          <w:sz w:val="16"/>
          <w:szCs w:val="16"/>
        </w:rPr>
        <w:softHyphen/>
        <w:t>ность чуть ниже, чем у второго опытного эк</w:t>
      </w:r>
      <w:r w:rsidRPr="007122AB">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7122AB" w14:paraId="130B1E0B" w14:textId="77777777">
        <w:tc>
          <w:tcPr>
            <w:tcW w:w="3736" w:type="dxa"/>
            <w:tcBorders>
              <w:top w:val="single" w:sz="12" w:space="0" w:color="auto"/>
            </w:tcBorders>
          </w:tcPr>
          <w:p w14:paraId="053D54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1CD25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М-15</w:t>
            </w:r>
          </w:p>
        </w:tc>
        <w:tc>
          <w:tcPr>
            <w:tcW w:w="3736" w:type="dxa"/>
            <w:tcBorders>
              <w:top w:val="single" w:sz="12" w:space="0" w:color="auto"/>
            </w:tcBorders>
          </w:tcPr>
          <w:p w14:paraId="4C9BE0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w:t>
            </w:r>
            <w:r w:rsidRPr="007122AB">
              <w:rPr>
                <w:rFonts w:ascii="Times New Roman" w:hAnsi="Times New Roman"/>
                <w:color w:val="000000" w:themeColor="text1"/>
                <w:sz w:val="16"/>
                <w:szCs w:val="16"/>
                <w:lang w:val="en-US"/>
              </w:rPr>
              <w:t>-VI</w:t>
            </w:r>
          </w:p>
        </w:tc>
      </w:tr>
      <w:tr w:rsidR="001002C3" w:rsidRPr="007122AB" w14:paraId="13A3F5A6" w14:textId="77777777">
        <w:tc>
          <w:tcPr>
            <w:tcW w:w="3736" w:type="dxa"/>
          </w:tcPr>
          <w:p w14:paraId="2C8C47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1000 м (км/ч)</w:t>
            </w:r>
          </w:p>
        </w:tc>
        <w:tc>
          <w:tcPr>
            <w:tcW w:w="3736" w:type="dxa"/>
          </w:tcPr>
          <w:p w14:paraId="1C910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3736" w:type="dxa"/>
          </w:tcPr>
          <w:p w14:paraId="0323E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r>
      <w:tr w:rsidR="001002C3" w:rsidRPr="007122AB" w14:paraId="0D379BED" w14:textId="77777777">
        <w:tc>
          <w:tcPr>
            <w:tcW w:w="3736" w:type="dxa"/>
            <w:tcBorders>
              <w:bottom w:val="single" w:sz="12" w:space="0" w:color="auto"/>
            </w:tcBorders>
          </w:tcPr>
          <w:p w14:paraId="14139F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FCC5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3736" w:type="dxa"/>
            <w:tcBorders>
              <w:bottom w:val="single" w:sz="12" w:space="0" w:color="auto"/>
            </w:tcBorders>
          </w:tcPr>
          <w:p w14:paraId="6CAB9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w:t>
            </w:r>
          </w:p>
        </w:tc>
      </w:tr>
    </w:tbl>
    <w:p w14:paraId="296585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Между тем, значительные усилия, потра</w:t>
      </w:r>
      <w:r w:rsidRPr="007122AB">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7122AB">
        <w:rPr>
          <w:rFonts w:ascii="Times New Roman" w:hAnsi="Times New Roman"/>
          <w:color w:val="000000" w:themeColor="text1"/>
          <w:sz w:val="16"/>
          <w:szCs w:val="16"/>
        </w:rPr>
        <w:softHyphen/>
        <w:t>должение работ по его внедрению. Было ре</w:t>
      </w:r>
      <w:r w:rsidRPr="007122AB">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7122AB">
        <w:rPr>
          <w:rFonts w:ascii="Times New Roman" w:hAnsi="Times New Roman"/>
          <w:color w:val="000000" w:themeColor="text1"/>
          <w:sz w:val="16"/>
          <w:szCs w:val="16"/>
        </w:rPr>
        <w:softHyphen/>
        <w:t xml:space="preserve">ября 1931 г.,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36B4C9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9F4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15 июня 1931 г. испытывался с перерывами из-за поломок И-5 с М-15 "Подарок XVI партсъезду" и оказался далеко не подарком. 30 июля того же года приступили к испытаниям доработанного серийного истребителя № 18. Его собрали на заводе № 39 из узлов собственного производства и доставленных с завода № 1. Кое-что на заказ изготовили на заводе № 22 в подмосковных Филях. Лонжероны крыльев и нижний лонжерон фюзеляжа по сравнению с опытными образцами И-5 усилили, одинарные ленты расчалок заменили двойными, ввели дополнительный подкос в </w:t>
      </w:r>
      <w:proofErr w:type="spellStart"/>
      <w:r w:rsidRPr="007122AB">
        <w:rPr>
          <w:rFonts w:ascii="Times New Roman" w:hAnsi="Times New Roman"/>
          <w:color w:val="000000" w:themeColor="text1"/>
          <w:sz w:val="16"/>
          <w:szCs w:val="16"/>
        </w:rPr>
        <w:t>мотораме</w:t>
      </w:r>
      <w:proofErr w:type="spellEnd"/>
      <w:r w:rsidRPr="007122AB">
        <w:rPr>
          <w:rFonts w:ascii="Times New Roman" w:hAnsi="Times New Roman"/>
          <w:color w:val="000000" w:themeColor="text1"/>
          <w:sz w:val="16"/>
          <w:szCs w:val="16"/>
        </w:rPr>
        <w:t xml:space="preserve">. На самолёте стоял мотор М-15 № 6 из опытной малой серии. Уже при пробных запусках двигателя выявилась тряска в некоторых диапазонах оборотов, всё вокруг забрызгивало маслом. На этой машине совершили всего один полёт, закончившийся аварией. 5 августа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w:t>
      </w:r>
      <w:proofErr w:type="spellStart"/>
      <w:r w:rsidRPr="007122AB">
        <w:rPr>
          <w:rFonts w:ascii="Times New Roman" w:hAnsi="Times New Roman"/>
          <w:color w:val="000000" w:themeColor="text1"/>
          <w:sz w:val="16"/>
          <w:szCs w:val="16"/>
        </w:rPr>
        <w:t>моторамой</w:t>
      </w:r>
      <w:proofErr w:type="spellEnd"/>
      <w:r w:rsidRPr="007122AB">
        <w:rPr>
          <w:rFonts w:ascii="Times New Roman" w:hAnsi="Times New Roman"/>
          <w:color w:val="000000" w:themeColor="text1"/>
          <w:sz w:val="16"/>
          <w:szCs w:val="16"/>
        </w:rPr>
        <w:t xml:space="preserve"> и изменённым капотом. Этот двигатель работал лучше предыдущего, но расход масла оставался чрезмерно большим.</w:t>
      </w:r>
    </w:p>
    <w:p w14:paraId="0A1710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31ED2D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72E6C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1AFE19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w:t>
      </w:r>
      <w:proofErr w:type="spellStart"/>
      <w:r w:rsidRPr="007122AB">
        <w:rPr>
          <w:rFonts w:ascii="Times New Roman" w:hAnsi="Times New Roman"/>
          <w:color w:val="000000" w:themeColor="text1"/>
          <w:sz w:val="16"/>
          <w:szCs w:val="16"/>
        </w:rPr>
        <w:t>Хорнету</w:t>
      </w:r>
      <w:proofErr w:type="spellEnd"/>
      <w:r w:rsidRPr="007122AB">
        <w:rPr>
          <w:rFonts w:ascii="Times New Roman" w:hAnsi="Times New Roman"/>
          <w:color w:val="000000" w:themeColor="text1"/>
          <w:sz w:val="16"/>
          <w:szCs w:val="16"/>
        </w:rPr>
        <w:t>"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21316B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w:t>
      </w:r>
      <w:proofErr w:type="spellStart"/>
      <w:r w:rsidRPr="007122AB">
        <w:rPr>
          <w:rFonts w:ascii="Times New Roman" w:hAnsi="Times New Roman"/>
          <w:color w:val="000000" w:themeColor="text1"/>
          <w:sz w:val="16"/>
          <w:szCs w:val="16"/>
        </w:rPr>
        <w:t>невзаимозаменяемы</w:t>
      </w:r>
      <w:proofErr w:type="spellEnd"/>
      <w:r w:rsidRPr="007122AB">
        <w:rPr>
          <w:rFonts w:ascii="Times New Roman" w:hAnsi="Times New Roman"/>
          <w:color w:val="000000" w:themeColor="text1"/>
          <w:sz w:val="16"/>
          <w:szCs w:val="16"/>
        </w:rPr>
        <w:t>. Всю серию "Б" после предъявления военпред отклонил и потребовал довести её до уровня требований технических условий (11997).</w:t>
      </w:r>
    </w:p>
    <w:p w14:paraId="000626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FB5B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15 июня по август 1931 на </w:t>
      </w:r>
      <w:proofErr w:type="spellStart"/>
      <w:r w:rsidRPr="007122AB">
        <w:rPr>
          <w:rFonts w:ascii="Times New Roman" w:hAnsi="Times New Roman"/>
          <w:color w:val="000000" w:themeColor="text1"/>
          <w:sz w:val="16"/>
          <w:szCs w:val="16"/>
        </w:rPr>
        <w:t>гидробазе</w:t>
      </w:r>
      <w:proofErr w:type="spellEnd"/>
      <w:r w:rsidRPr="007122AB">
        <w:rPr>
          <w:rFonts w:ascii="Times New Roman" w:hAnsi="Times New Roman"/>
          <w:color w:val="000000" w:themeColor="text1"/>
          <w:sz w:val="16"/>
          <w:szCs w:val="16"/>
        </w:rPr>
        <w:t xml:space="preserve"> в Таганроге состоялись гос. испытания ТБ-1 с поплавками от ЮГ-1 и его запустили в серию. Всего на 31 заводе сделали 66 ТБ-1П. Первую партию поплавков заказали шведской фирме </w:t>
      </w:r>
      <w:proofErr w:type="spellStart"/>
      <w:r w:rsidRPr="007122AB">
        <w:rPr>
          <w:rFonts w:ascii="Times New Roman" w:hAnsi="Times New Roman"/>
          <w:color w:val="000000" w:themeColor="text1"/>
          <w:sz w:val="16"/>
          <w:szCs w:val="16"/>
        </w:rPr>
        <w:t>Short</w:t>
      </w:r>
      <w:proofErr w:type="spellEnd"/>
      <w:r w:rsidRPr="007122AB">
        <w:rPr>
          <w:rFonts w:ascii="Times New Roman" w:hAnsi="Times New Roman"/>
          <w:color w:val="000000" w:themeColor="text1"/>
          <w:sz w:val="16"/>
          <w:szCs w:val="16"/>
        </w:rPr>
        <w:t>, а с 1932 - освоили сами (346,17).</w:t>
      </w:r>
    </w:p>
    <w:p w14:paraId="73FD14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4CAF6C" w14:textId="77777777" w:rsidR="00091E56" w:rsidRPr="007122AB" w:rsidRDefault="00091E56"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 xml:space="preserve">15 июня 1931 ТБ-1 (заводской №649), поставленный в Таганроге на поплавки, передали морскому отделу НИИ ВВС для </w:t>
      </w:r>
      <w:proofErr w:type="spellStart"/>
      <w:r w:rsidRPr="007122AB">
        <w:rPr>
          <w:rFonts w:ascii="Times New Roman" w:hAnsi="Times New Roman"/>
          <w:color w:val="000000" w:themeColor="text1"/>
          <w:sz w:val="16"/>
          <w:szCs w:val="16"/>
          <w:lang w:eastAsia="ru-RU" w:bidi="ru-RU"/>
        </w:rPr>
        <w:t>госис</w:t>
      </w:r>
      <w:proofErr w:type="spellEnd"/>
      <w:r w:rsidRPr="007122AB">
        <w:rPr>
          <w:rFonts w:ascii="Times New Roman" w:hAnsi="Times New Roman"/>
          <w:color w:val="000000" w:themeColor="text1"/>
          <w:sz w:val="16"/>
          <w:szCs w:val="16"/>
          <w:lang w:eastAsia="ru-RU" w:bidi="ru-RU"/>
        </w:rPr>
        <w:t xml:space="preserve">- </w:t>
      </w:r>
      <w:proofErr w:type="spellStart"/>
      <w:r w:rsidRPr="007122AB">
        <w:rPr>
          <w:rFonts w:ascii="Times New Roman" w:hAnsi="Times New Roman"/>
          <w:color w:val="000000" w:themeColor="text1"/>
          <w:sz w:val="16"/>
          <w:szCs w:val="16"/>
          <w:lang w:eastAsia="ru-RU" w:bidi="ru-RU"/>
        </w:rPr>
        <w:t>пытаний</w:t>
      </w:r>
      <w:proofErr w:type="spellEnd"/>
      <w:r w:rsidRPr="007122AB">
        <w:rPr>
          <w:rFonts w:ascii="Times New Roman" w:hAnsi="Times New Roman"/>
          <w:color w:val="000000" w:themeColor="text1"/>
          <w:sz w:val="16"/>
          <w:szCs w:val="16"/>
          <w:lang w:eastAsia="ru-RU" w:bidi="ru-RU"/>
        </w:rPr>
        <w:t>. Их проводили в Севастополе до конца августа. Поплавковый вариант в АГОС назвали ТБ-1а («а» — от «</w:t>
      </w:r>
      <w:proofErr w:type="spellStart"/>
      <w:r w:rsidRPr="007122AB">
        <w:rPr>
          <w:rFonts w:ascii="Times New Roman" w:hAnsi="Times New Roman"/>
          <w:color w:val="000000" w:themeColor="text1"/>
          <w:sz w:val="16"/>
          <w:szCs w:val="16"/>
          <w:lang w:eastAsia="ru-RU" w:bidi="ru-RU"/>
        </w:rPr>
        <w:t>аква</w:t>
      </w:r>
      <w:proofErr w:type="spellEnd"/>
      <w:r w:rsidRPr="007122AB">
        <w:rPr>
          <w:rFonts w:ascii="Times New Roman" w:hAnsi="Times New Roman"/>
          <w:color w:val="000000" w:themeColor="text1"/>
          <w:sz w:val="16"/>
          <w:szCs w:val="16"/>
          <w:lang w:eastAsia="ru-RU" w:bidi="ru-RU"/>
        </w:rPr>
        <w:t>», «вода») (20325).</w:t>
      </w:r>
    </w:p>
    <w:p w14:paraId="21F2885F" w14:textId="77777777" w:rsidR="00091E56" w:rsidRPr="007122AB" w:rsidRDefault="00091E56" w:rsidP="007122AB">
      <w:pPr>
        <w:spacing w:after="0" w:line="240" w:lineRule="auto"/>
        <w:jc w:val="both"/>
        <w:rPr>
          <w:rFonts w:ascii="Times New Roman" w:hAnsi="Times New Roman"/>
          <w:color w:val="000000" w:themeColor="text1"/>
          <w:sz w:val="16"/>
          <w:szCs w:val="16"/>
          <w:lang w:eastAsia="ru-RU" w:bidi="ru-RU"/>
        </w:rPr>
      </w:pPr>
    </w:p>
    <w:p w14:paraId="4EFDAC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ТБ-1 на поплавках передали морскому отделу НИИ ВВС для госиспытаний. Их проводили в Севастополе до конца августа. Поплавковый вариант в АГОС назвали ТБ-1 а ("а" - от "</w:t>
      </w:r>
      <w:proofErr w:type="spellStart"/>
      <w:r w:rsidRPr="007122AB">
        <w:rPr>
          <w:rFonts w:ascii="Times New Roman" w:hAnsi="Times New Roman"/>
          <w:color w:val="000000" w:themeColor="text1"/>
          <w:sz w:val="16"/>
          <w:szCs w:val="16"/>
        </w:rPr>
        <w:t>аква</w:t>
      </w:r>
      <w:proofErr w:type="spellEnd"/>
      <w:r w:rsidRPr="007122AB">
        <w:rPr>
          <w:rFonts w:ascii="Times New Roman" w:hAnsi="Times New Roman"/>
          <w:color w:val="000000" w:themeColor="text1"/>
          <w:sz w:val="16"/>
          <w:szCs w:val="16"/>
        </w:rPr>
        <w:t>" - "вода").</w:t>
      </w:r>
    </w:p>
    <w:p w14:paraId="74DF4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346BDE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294B5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4B99CA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65FE00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F1ABDD" w14:textId="77777777" w:rsidR="00F07475" w:rsidRPr="00441F34" w:rsidRDefault="00F07475" w:rsidP="00F074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15 июня по август 1931 г. ТБ—1П ус</w:t>
      </w:r>
      <w:r w:rsidRPr="00441F34">
        <w:rPr>
          <w:rFonts w:ascii="Times New Roman" w:hAnsi="Times New Roman"/>
          <w:color w:val="0070C0"/>
          <w:sz w:val="16"/>
          <w:szCs w:val="16"/>
        </w:rPr>
        <w:softHyphen/>
        <w:t>пешно прошел государственные испы</w:t>
      </w:r>
      <w:r w:rsidRPr="00441F34">
        <w:rPr>
          <w:rFonts w:ascii="Times New Roman" w:hAnsi="Times New Roman"/>
          <w:color w:val="0070C0"/>
          <w:sz w:val="16"/>
          <w:szCs w:val="16"/>
        </w:rPr>
        <w:softHyphen/>
        <w:t>тания был запущен в серийное производство. Все</w:t>
      </w:r>
      <w:r w:rsidRPr="00441F34">
        <w:rPr>
          <w:rFonts w:ascii="Times New Roman" w:hAnsi="Times New Roman"/>
          <w:color w:val="0070C0"/>
          <w:sz w:val="16"/>
          <w:szCs w:val="16"/>
        </w:rPr>
        <w:softHyphen/>
        <w:t>го завод №31 в Таганроге построил 66.</w:t>
      </w:r>
    </w:p>
    <w:p w14:paraId="125B067E" w14:textId="77777777" w:rsidR="00F07475" w:rsidRPr="00441F34" w:rsidRDefault="00F07475" w:rsidP="00F074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Первую партию поплавков ВВС заказали английской фирме </w:t>
      </w:r>
      <w:proofErr w:type="spellStart"/>
      <w:r w:rsidRPr="00441F34">
        <w:rPr>
          <w:rFonts w:ascii="Times New Roman" w:hAnsi="Times New Roman"/>
          <w:color w:val="0070C0"/>
          <w:sz w:val="16"/>
          <w:szCs w:val="16"/>
        </w:rPr>
        <w:t>Short</w:t>
      </w:r>
      <w:proofErr w:type="spellEnd"/>
      <w:r w:rsidRPr="00441F34">
        <w:rPr>
          <w:rFonts w:ascii="Times New Roman" w:hAnsi="Times New Roman"/>
          <w:color w:val="0070C0"/>
          <w:sz w:val="16"/>
          <w:szCs w:val="16"/>
        </w:rPr>
        <w:t>. А с 1932 г. их серийное производство под шифром «Ж» освоил завод №31. Размер поплавков: длина — 10,66 м, ширина и высота —1,15 м, объем — 7,25 м3, масса поплавка шасси — 816 кг (23474).</w:t>
      </w:r>
    </w:p>
    <w:p w14:paraId="4914D502" w14:textId="77777777" w:rsidR="00F07475" w:rsidRPr="00441F34" w:rsidRDefault="00F07475" w:rsidP="00F07475">
      <w:pPr>
        <w:spacing w:after="0" w:line="240" w:lineRule="auto"/>
        <w:jc w:val="both"/>
        <w:rPr>
          <w:rFonts w:ascii="Times New Roman" w:hAnsi="Times New Roman"/>
          <w:color w:val="0070C0"/>
          <w:sz w:val="16"/>
          <w:szCs w:val="16"/>
        </w:rPr>
      </w:pPr>
    </w:p>
    <w:p w14:paraId="5C71EC00" w14:textId="77777777" w:rsidR="00DA60EA" w:rsidRPr="007122AB" w:rsidRDefault="00DA60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15 июня</w:t>
      </w:r>
      <w:r w:rsidRPr="007122AB">
        <w:rPr>
          <w:rFonts w:ascii="Times New Roman" w:hAnsi="Times New Roman"/>
          <w:color w:val="000000" w:themeColor="text1"/>
          <w:sz w:val="16"/>
          <w:szCs w:val="16"/>
        </w:rPr>
        <w:t xml:space="preserve"> в 1931 году в Севастополе в морском отделе НИИ ВВС начались госиспытания </w:t>
      </w:r>
      <w:hyperlink r:id="rId133" w:tgtFrame="_blank" w:history="1">
        <w:r w:rsidRPr="007122AB">
          <w:rPr>
            <w:rFonts w:ascii="Times New Roman" w:hAnsi="Times New Roman"/>
            <w:color w:val="000000" w:themeColor="text1"/>
            <w:sz w:val="16"/>
            <w:szCs w:val="16"/>
          </w:rPr>
          <w:t xml:space="preserve">«ТБ-1А» </w:t>
        </w:r>
      </w:hyperlink>
      <w:r w:rsidRPr="007122AB">
        <w:rPr>
          <w:rFonts w:ascii="Times New Roman" w:hAnsi="Times New Roman"/>
          <w:color w:val="000000" w:themeColor="text1"/>
          <w:sz w:val="16"/>
          <w:szCs w:val="16"/>
        </w:rPr>
        <w:t>("а" - от "</w:t>
      </w:r>
      <w:proofErr w:type="spellStart"/>
      <w:r w:rsidRPr="007122AB">
        <w:rPr>
          <w:rFonts w:ascii="Times New Roman" w:hAnsi="Times New Roman"/>
          <w:color w:val="000000" w:themeColor="text1"/>
          <w:sz w:val="16"/>
          <w:szCs w:val="16"/>
        </w:rPr>
        <w:t>аква</w:t>
      </w:r>
      <w:proofErr w:type="spellEnd"/>
      <w:r w:rsidRPr="007122AB">
        <w:rPr>
          <w:rFonts w:ascii="Times New Roman" w:hAnsi="Times New Roman"/>
          <w:color w:val="000000" w:themeColor="text1"/>
          <w:sz w:val="16"/>
          <w:szCs w:val="16"/>
        </w:rPr>
        <w:t>" - "вода") на поплавках (14923).</w:t>
      </w:r>
    </w:p>
    <w:p w14:paraId="19779DEF" w14:textId="77777777" w:rsidR="00DA60EA" w:rsidRPr="007122AB" w:rsidRDefault="00DA60EA" w:rsidP="007122AB">
      <w:pPr>
        <w:spacing w:after="0" w:line="240" w:lineRule="auto"/>
        <w:jc w:val="both"/>
        <w:rPr>
          <w:rFonts w:ascii="Times New Roman" w:hAnsi="Times New Roman"/>
          <w:color w:val="000000" w:themeColor="text1"/>
          <w:sz w:val="16"/>
          <w:szCs w:val="16"/>
        </w:rPr>
      </w:pPr>
    </w:p>
    <w:p w14:paraId="6979EDF5" w14:textId="77777777" w:rsidR="00091E56" w:rsidRPr="007122AB" w:rsidRDefault="00091E5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15 июня 1931 г. по постановлению Совнаркома предусматривалось за 1932 г. выпустить уже 10 000 условных парашютов, доведя темп производства к концу года до 2000 парашютов в месяц. «Условных» потому, что трудоемкость у разных типов отличалась. Парашюты для летчика и летнаба брали за единицу, маленькие грузовые – за половину, а для больших для сброса боевой техники коэффициент поднимался до пяти. В 1933 г. выпуск требовалось увеличить в два раза, в 1934 г. – в три. На условия лицензионного соглашения при этом откровенно наплевали.</w:t>
      </w:r>
    </w:p>
    <w:p w14:paraId="05AABFCD" w14:textId="77777777" w:rsidR="00091E56" w:rsidRPr="007122AB" w:rsidRDefault="00091E5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Сделать столько в маленькой мастерской было невозможно. Савицкому передали ситценабивную фабрику в Тушино, которая стала именоваться фабрикой N 1 </w:t>
      </w:r>
      <w:proofErr w:type="spellStart"/>
      <w:r w:rsidRPr="007122AB">
        <w:rPr>
          <w:rFonts w:ascii="Times New Roman" w:eastAsia="Times New Roman" w:hAnsi="Times New Roman"/>
          <w:color w:val="000000" w:themeColor="text1"/>
          <w:sz w:val="16"/>
          <w:szCs w:val="16"/>
          <w:lang w:eastAsia="ru-RU"/>
        </w:rPr>
        <w:t>Мостекстильшвейсоюза</w:t>
      </w:r>
      <w:proofErr w:type="spellEnd"/>
      <w:r w:rsidRPr="007122AB">
        <w:rPr>
          <w:rFonts w:ascii="Times New Roman" w:eastAsia="Times New Roman" w:hAnsi="Times New Roman"/>
          <w:color w:val="000000" w:themeColor="text1"/>
          <w:sz w:val="16"/>
          <w:szCs w:val="16"/>
          <w:lang w:eastAsia="ru-RU"/>
        </w:rPr>
        <w:t>.</w:t>
      </w:r>
    </w:p>
    <w:p w14:paraId="028CCF41" w14:textId="77777777" w:rsidR="00091E56" w:rsidRPr="007122AB" w:rsidRDefault="00091E5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Первым освоенным в производстве «Ирвином» стал пилотский, который у нас именовался ПЛ-1. По конструкции он соответствовал оригиналу, но был чуть больше и тяжелее. Диаметр купола равнялся 7,4 м, площадь – 43 м2; весил ПЛ-1 10,5 кг. Почти одновременно приступили к выпуску ПН-1 для наблюдателей. Он имел такой же купол, но ранец подвешивался горизонтально на груди или на боку.</w:t>
      </w:r>
    </w:p>
    <w:p w14:paraId="6EF7916E" w14:textId="77777777" w:rsidR="00091E56" w:rsidRPr="007122AB" w:rsidRDefault="00091E56"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Освоение производства шло нелегко. Не хватало шелка, отечественная ткань была не такой плотной и прочной, как использовавшаяся американцами. Шелковые полотнища большого размера и шнуры для строп поставлял </w:t>
      </w:r>
      <w:proofErr w:type="spellStart"/>
      <w:r w:rsidRPr="007122AB">
        <w:rPr>
          <w:rFonts w:ascii="Times New Roman" w:eastAsia="Times New Roman" w:hAnsi="Times New Roman"/>
          <w:color w:val="000000" w:themeColor="text1"/>
          <w:sz w:val="16"/>
          <w:szCs w:val="16"/>
          <w:lang w:eastAsia="ru-RU"/>
        </w:rPr>
        <w:t>Шелкотрест</w:t>
      </w:r>
      <w:proofErr w:type="spellEnd"/>
      <w:r w:rsidRPr="007122AB">
        <w:rPr>
          <w:rFonts w:ascii="Times New Roman" w:eastAsia="Times New Roman" w:hAnsi="Times New Roman"/>
          <w:color w:val="000000" w:themeColor="text1"/>
          <w:sz w:val="16"/>
          <w:szCs w:val="16"/>
          <w:lang w:eastAsia="ru-RU"/>
        </w:rPr>
        <w:t>. Вытяжные тросики и трубки для них сначала закупали за границей, в США приобрели 250 комплектов. Остальные металлические детали делал завод № 33 (21505).</w:t>
      </w:r>
    </w:p>
    <w:p w14:paraId="2A93183C" w14:textId="77777777" w:rsidR="00091E56" w:rsidRPr="007122AB" w:rsidRDefault="00091E56" w:rsidP="007122AB">
      <w:pPr>
        <w:spacing w:after="0" w:line="240" w:lineRule="auto"/>
        <w:jc w:val="both"/>
        <w:rPr>
          <w:rFonts w:ascii="Times New Roman" w:hAnsi="Times New Roman"/>
          <w:color w:val="000000" w:themeColor="text1"/>
          <w:sz w:val="16"/>
          <w:szCs w:val="16"/>
          <w:shd w:val="clear" w:color="auto" w:fill="FFFFFF"/>
        </w:rPr>
      </w:pPr>
    </w:p>
    <w:p w14:paraId="5CCEDCD7"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июня 1931 года в постановлении СНК СССР, посвященном вооружению и оборудованию самолетов и аэродромов ВВС РККА. Правительство в VII разделе «По парашютам» требовало обеспечить развитие на фабрике № 1 </w:t>
      </w:r>
      <w:proofErr w:type="spellStart"/>
      <w:r w:rsidRPr="007122AB">
        <w:rPr>
          <w:rFonts w:ascii="Times New Roman" w:hAnsi="Times New Roman"/>
          <w:color w:val="000000" w:themeColor="text1"/>
          <w:sz w:val="16"/>
          <w:szCs w:val="16"/>
        </w:rPr>
        <w:t>Мостекстильшвейсоюза</w:t>
      </w:r>
      <w:proofErr w:type="spellEnd"/>
      <w:r w:rsidRPr="007122AB">
        <w:rPr>
          <w:rFonts w:ascii="Times New Roman" w:hAnsi="Times New Roman"/>
          <w:color w:val="000000" w:themeColor="text1"/>
          <w:sz w:val="16"/>
          <w:szCs w:val="16"/>
        </w:rPr>
        <w:t xml:space="preserve"> опытной базы производства образцов парашютов различного назначения.</w:t>
      </w:r>
    </w:p>
    <w:p w14:paraId="06FB1E51"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позволило бы наладить фактический выпуск парашютов на 1 мая 1932 года по 2.000 парашютов в месяц, а за год выполнить заказ на 10.000 парашютов типа «Ирвинг» для летчиков и летчиков-наблюдателей. Ставилась задача по наращиванию производственных возможностей с таким расчетом, чтобы к 1 мая 1933 года увеличить выпуск парашютов в 2 раза, а к 1 мая 1934 года – в 3 раза (Архив ЦДА и К. Ф. 50. Оп. 1. Д. 3. Л. 12.) (21402).</w:t>
      </w:r>
    </w:p>
    <w:p w14:paraId="6AC6C6B7" w14:textId="77777777" w:rsidR="00091E56" w:rsidRPr="007122AB" w:rsidRDefault="00091E56" w:rsidP="007122AB">
      <w:pPr>
        <w:spacing w:after="0" w:line="240" w:lineRule="auto"/>
        <w:jc w:val="both"/>
        <w:rPr>
          <w:rFonts w:ascii="Times New Roman" w:hAnsi="Times New Roman"/>
          <w:color w:val="000000" w:themeColor="text1"/>
          <w:sz w:val="16"/>
          <w:szCs w:val="16"/>
        </w:rPr>
      </w:pPr>
    </w:p>
    <w:p w14:paraId="1CF29CD0" w14:textId="77777777" w:rsidR="00D9344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27699E0" w14:textId="77777777" w:rsidR="00D93444" w:rsidRPr="007122AB" w:rsidRDefault="00D9344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F9F6B3" w14:textId="77777777" w:rsidR="00D93444" w:rsidRPr="007122AB" w:rsidRDefault="00D9344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15 июня 1931 г.</w:t>
      </w:r>
      <w:r w:rsidRPr="007122AB">
        <w:rPr>
          <w:rFonts w:ascii="Times New Roman" w:hAnsi="Times New Roman"/>
          <w:color w:val="000000" w:themeColor="text1"/>
          <w:sz w:val="16"/>
          <w:szCs w:val="16"/>
        </w:rPr>
        <w:t xml:space="preserve"> Утверждение </w:t>
      </w:r>
      <w:proofErr w:type="spellStart"/>
      <w:r w:rsidRPr="007122AB">
        <w:rPr>
          <w:rFonts w:ascii="Times New Roman" w:hAnsi="Times New Roman"/>
          <w:color w:val="000000" w:themeColor="text1"/>
          <w:sz w:val="16"/>
          <w:szCs w:val="16"/>
        </w:rPr>
        <w:t>Я.М.Фишманом</w:t>
      </w:r>
      <w:proofErr w:type="spellEnd"/>
      <w:r w:rsidRPr="007122AB">
        <w:rPr>
          <w:rFonts w:ascii="Times New Roman" w:hAnsi="Times New Roman"/>
          <w:color w:val="000000" w:themeColor="text1"/>
          <w:sz w:val="16"/>
          <w:szCs w:val="16"/>
        </w:rPr>
        <w:t xml:space="preserve"> инструкции по проведению в августе 1931 года на военно-химическом полигоне во Фролищах (Нижегородская область) тактико-технических испытаний средств химической борьбы. В инструкции было записано следующее: «</w:t>
      </w:r>
      <w:r w:rsidRPr="007122AB">
        <w:rPr>
          <w:rFonts w:ascii="Times New Roman" w:hAnsi="Times New Roman"/>
          <w:iCs/>
          <w:color w:val="000000" w:themeColor="text1"/>
          <w:sz w:val="16"/>
          <w:szCs w:val="16"/>
        </w:rPr>
        <w:t>При стрельбе обнаруженные подтекающие мины должны быть отделены и </w:t>
      </w:r>
      <w:r w:rsidRPr="007122AB">
        <w:rPr>
          <w:rFonts w:ascii="Times New Roman" w:hAnsi="Times New Roman"/>
          <w:bCs/>
          <w:iCs/>
          <w:color w:val="000000" w:themeColor="text1"/>
          <w:sz w:val="16"/>
          <w:szCs w:val="16"/>
        </w:rPr>
        <w:t>зарыты в землю</w:t>
      </w:r>
      <w:r w:rsidRPr="007122AB">
        <w:rPr>
          <w:rFonts w:ascii="Times New Roman" w:hAnsi="Times New Roman"/>
          <w:iCs/>
          <w:color w:val="000000" w:themeColor="text1"/>
          <w:sz w:val="16"/>
          <w:szCs w:val="16"/>
        </w:rPr>
        <w:t>…</w:t>
      </w:r>
      <w:r w:rsidRPr="007122AB">
        <w:rPr>
          <w:rFonts w:ascii="Times New Roman" w:hAnsi="Times New Roman"/>
          <w:color w:val="000000" w:themeColor="text1"/>
          <w:sz w:val="16"/>
          <w:szCs w:val="16"/>
        </w:rPr>
        <w:t>» Инструкцию ту пришлось писать потому, что командир химического батальона, получивший партию мин со снаряжательного завода, был настолько обескуражен протеканием некоторых из них, что решил застраховать себя и написал непосредственно заместителю председателя РВС СССР о «</w:t>
      </w:r>
      <w:r w:rsidRPr="007122AB">
        <w:rPr>
          <w:rFonts w:ascii="Times New Roman" w:hAnsi="Times New Roman"/>
          <w:iCs/>
          <w:color w:val="000000" w:themeColor="text1"/>
          <w:sz w:val="16"/>
          <w:szCs w:val="16"/>
        </w:rPr>
        <w:t>вредительских минах, текущих по всем швам</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Я.М.Фишман</w:t>
      </w:r>
      <w:proofErr w:type="spellEnd"/>
      <w:r w:rsidRPr="007122AB">
        <w:rPr>
          <w:rFonts w:ascii="Times New Roman" w:hAnsi="Times New Roman"/>
          <w:color w:val="000000" w:themeColor="text1"/>
          <w:sz w:val="16"/>
          <w:szCs w:val="16"/>
        </w:rPr>
        <w:t xml:space="preserve"> в свою очередь успокоил высокого начальника, выяснив с помощью комиссии, «</w:t>
      </w:r>
      <w:r w:rsidRPr="007122AB">
        <w:rPr>
          <w:rFonts w:ascii="Times New Roman" w:hAnsi="Times New Roman"/>
          <w:iCs/>
          <w:color w:val="000000" w:themeColor="text1"/>
          <w:sz w:val="16"/>
          <w:szCs w:val="16"/>
        </w:rPr>
        <w:t xml:space="preserve">что дают утечку ОВ </w:t>
      </w:r>
      <w:r w:rsidRPr="007122AB">
        <w:rPr>
          <w:rFonts w:ascii="Times New Roman" w:hAnsi="Times New Roman"/>
          <w:iCs/>
          <w:color w:val="000000" w:themeColor="text1"/>
          <w:sz w:val="16"/>
          <w:szCs w:val="16"/>
        </w:rPr>
        <w:lastRenderedPageBreak/>
        <w:t>около 1% изготовленных мин, что … не дает никаких поводов к панике</w:t>
      </w:r>
      <w:r w:rsidRPr="007122AB">
        <w:rPr>
          <w:rFonts w:ascii="Times New Roman" w:hAnsi="Times New Roman"/>
          <w:color w:val="000000" w:themeColor="text1"/>
          <w:sz w:val="16"/>
          <w:szCs w:val="16"/>
        </w:rPr>
        <w:t>». Паника была предотвращена, а 1% от опытной партии мин и поныне покоятся где-то во Фролищах в земле полигона (17133).</w:t>
      </w:r>
    </w:p>
    <w:p w14:paraId="227A0014" w14:textId="77777777" w:rsidR="00D93444" w:rsidRPr="007122AB" w:rsidRDefault="00D93444" w:rsidP="007122AB">
      <w:pPr>
        <w:shd w:val="clear" w:color="auto" w:fill="FFFFFF"/>
        <w:spacing w:after="0" w:line="240" w:lineRule="auto"/>
        <w:jc w:val="both"/>
        <w:rPr>
          <w:rFonts w:ascii="Times New Roman" w:hAnsi="Times New Roman"/>
          <w:color w:val="000000" w:themeColor="text1"/>
          <w:sz w:val="16"/>
          <w:szCs w:val="16"/>
        </w:rPr>
      </w:pPr>
    </w:p>
    <w:p w14:paraId="3D61CAF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BB36AE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19C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Пленум ЦК ВКП(б) принял решение о строительстве метро (3398,171).</w:t>
      </w:r>
    </w:p>
    <w:p w14:paraId="409D5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B169FF" w14:textId="77777777" w:rsidR="00DA60EA" w:rsidRPr="007122AB" w:rsidRDefault="00DA60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15 июня</w:t>
      </w:r>
      <w:r w:rsidRPr="007122AB">
        <w:rPr>
          <w:rFonts w:ascii="Times New Roman" w:hAnsi="Times New Roman"/>
          <w:color w:val="000000" w:themeColor="text1"/>
          <w:sz w:val="16"/>
          <w:szCs w:val="16"/>
        </w:rPr>
        <w:t xml:space="preserve"> в 1931 году Пленум ЦК ВКП(б) принял постановление «О строительстве московского метрополитена». В документе содержалось указание «немедленно приступить к подготовительной работе по сооружению метро в Москве, как главного средства, разрешающего проблему быстрых и дешевых людских перевозок». Первая линия «Сокольники» - «Парк культуры» открылась в мае 1935 года (14923).</w:t>
      </w:r>
    </w:p>
    <w:p w14:paraId="043C61B0" w14:textId="77777777" w:rsidR="00DA60EA" w:rsidRPr="007122AB" w:rsidRDefault="00DA60EA" w:rsidP="007122AB">
      <w:pPr>
        <w:spacing w:after="0" w:line="240" w:lineRule="auto"/>
        <w:jc w:val="both"/>
        <w:rPr>
          <w:rFonts w:ascii="Times New Roman" w:hAnsi="Times New Roman"/>
          <w:color w:val="000000" w:themeColor="text1"/>
          <w:sz w:val="16"/>
          <w:szCs w:val="16"/>
        </w:rPr>
      </w:pPr>
    </w:p>
    <w:p w14:paraId="45B507CE"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Пленум ЦК ВКП(б) принял Постановление о строительстве московского метрополитена. Его строительство было начато в ноябре 1931 г., и первая линия «Сокольники» — «Парк культуры» была открыта 15 мая 1935 года (21166).</w:t>
      </w:r>
    </w:p>
    <w:p w14:paraId="4CF95668" w14:textId="77777777" w:rsidR="00091E56" w:rsidRPr="007122AB" w:rsidRDefault="00091E56" w:rsidP="007122AB">
      <w:pPr>
        <w:spacing w:after="0" w:line="240" w:lineRule="auto"/>
        <w:jc w:val="both"/>
        <w:rPr>
          <w:rFonts w:ascii="Times New Roman" w:hAnsi="Times New Roman"/>
          <w:color w:val="000000" w:themeColor="text1"/>
          <w:sz w:val="16"/>
          <w:szCs w:val="16"/>
        </w:rPr>
      </w:pPr>
    </w:p>
    <w:p w14:paraId="1474B531"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июня 1931 г. вышло постановление Пленума ЦК ВКП(б) от «О Московском городском хозяйстве и о развитии городского хозяйства СССР», в котором говорилось об организации в столице движения нового вида городского наземного транспорта — троллейбуса. Разрабатывали конструкцию первого советского троллейбуса инженеры НАТИ (Научно-опытного автотракторного института, в дальнейшем — НАМИ) под руководством А. </w:t>
      </w:r>
      <w:proofErr w:type="spellStart"/>
      <w:r w:rsidRPr="007122AB">
        <w:rPr>
          <w:rFonts w:ascii="Times New Roman" w:hAnsi="Times New Roman"/>
          <w:color w:val="000000" w:themeColor="text1"/>
          <w:sz w:val="16"/>
          <w:szCs w:val="16"/>
        </w:rPr>
        <w:t>Липгарта</w:t>
      </w:r>
      <w:proofErr w:type="spellEnd"/>
      <w:r w:rsidRPr="007122AB">
        <w:rPr>
          <w:rFonts w:ascii="Times New Roman" w:hAnsi="Times New Roman"/>
          <w:color w:val="000000" w:themeColor="text1"/>
          <w:sz w:val="16"/>
          <w:szCs w:val="16"/>
        </w:rPr>
        <w:t xml:space="preserve"> (22735).</w:t>
      </w:r>
    </w:p>
    <w:p w14:paraId="5C57D15F" w14:textId="77777777" w:rsidR="00091E56" w:rsidRPr="007122AB" w:rsidRDefault="00091E56" w:rsidP="007122AB">
      <w:pPr>
        <w:spacing w:after="0" w:line="240" w:lineRule="auto"/>
        <w:jc w:val="both"/>
        <w:rPr>
          <w:rFonts w:ascii="Times New Roman" w:hAnsi="Times New Roman"/>
          <w:color w:val="000000" w:themeColor="text1"/>
          <w:sz w:val="16"/>
          <w:szCs w:val="16"/>
        </w:rPr>
      </w:pPr>
    </w:p>
    <w:p w14:paraId="1B7C4EC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AE687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D6D8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СССР и Польша заключили договор о дружбе и торговом сотрудничестве (3907,167).</w:t>
      </w:r>
    </w:p>
    <w:p w14:paraId="753CB9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9A191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3C27F4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995F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июня 1931 г. в Германии были проведены первые испытания ракеты </w:t>
      </w:r>
      <w:proofErr w:type="spellStart"/>
      <w:r w:rsidRPr="007122AB">
        <w:rPr>
          <w:rFonts w:ascii="Times New Roman" w:hAnsi="Times New Roman"/>
          <w:color w:val="000000" w:themeColor="text1"/>
          <w:sz w:val="16"/>
          <w:szCs w:val="16"/>
        </w:rPr>
        <w:t>Тилинга</w:t>
      </w:r>
      <w:proofErr w:type="spellEnd"/>
      <w:r w:rsidRPr="007122AB">
        <w:rPr>
          <w:rFonts w:ascii="Times New Roman" w:hAnsi="Times New Roman"/>
          <w:color w:val="000000" w:themeColor="text1"/>
          <w:sz w:val="16"/>
          <w:szCs w:val="16"/>
        </w:rPr>
        <w:t xml:space="preserve">. В 1932 г. </w:t>
      </w:r>
      <w:proofErr w:type="spellStart"/>
      <w:r w:rsidRPr="007122AB">
        <w:rPr>
          <w:rFonts w:ascii="Times New Roman" w:hAnsi="Times New Roman"/>
          <w:color w:val="000000" w:themeColor="text1"/>
          <w:sz w:val="16"/>
          <w:szCs w:val="16"/>
        </w:rPr>
        <w:t>Тилинг</w:t>
      </w:r>
      <w:proofErr w:type="spellEnd"/>
      <w:r w:rsidRPr="007122AB">
        <w:rPr>
          <w:rFonts w:ascii="Times New Roman" w:hAnsi="Times New Roman"/>
          <w:color w:val="000000" w:themeColor="text1"/>
          <w:sz w:val="16"/>
          <w:szCs w:val="16"/>
        </w:rPr>
        <w:t xml:space="preserve"> в очередной раз усовершенствовал конструкцию своей ракеты: в полете раскрывались только два крыла, а четыре стабилизатора в качестве хвостового оперения оставались неподвижными. </w:t>
      </w:r>
      <w:proofErr w:type="spellStart"/>
      <w:r w:rsidRPr="007122AB">
        <w:rPr>
          <w:rFonts w:ascii="Times New Roman" w:hAnsi="Times New Roman"/>
          <w:color w:val="000000" w:themeColor="text1"/>
          <w:sz w:val="16"/>
          <w:szCs w:val="16"/>
        </w:rPr>
        <w:t>Тилинг</w:t>
      </w:r>
      <w:proofErr w:type="spellEnd"/>
      <w:r w:rsidRPr="007122AB">
        <w:rPr>
          <w:rFonts w:ascii="Times New Roman" w:hAnsi="Times New Roman"/>
          <w:color w:val="000000" w:themeColor="text1"/>
          <w:sz w:val="16"/>
          <w:szCs w:val="16"/>
        </w:rPr>
        <w:t xml:space="preserve"> не рассматривал возможность установки на своей КР ни системы автоматического управления, ни жидкостного ракетного двигателя (11686).</w:t>
      </w:r>
    </w:p>
    <w:p w14:paraId="21E10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3D57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июня 1931 в Бискайском заливе затонул французский пароход «Сен-</w:t>
      </w:r>
      <w:proofErr w:type="spellStart"/>
      <w:r w:rsidRPr="007122AB">
        <w:rPr>
          <w:rFonts w:ascii="Times New Roman" w:hAnsi="Times New Roman"/>
          <w:color w:val="000000" w:themeColor="text1"/>
          <w:sz w:val="16"/>
          <w:szCs w:val="16"/>
        </w:rPr>
        <w:t>Филибер</w:t>
      </w:r>
      <w:proofErr w:type="spellEnd"/>
      <w:r w:rsidRPr="007122AB">
        <w:rPr>
          <w:rFonts w:ascii="Times New Roman" w:hAnsi="Times New Roman"/>
          <w:color w:val="000000" w:themeColor="text1"/>
          <w:sz w:val="16"/>
          <w:szCs w:val="16"/>
        </w:rPr>
        <w:t>», в результате чего погибли 500 человек (4962).</w:t>
      </w:r>
    </w:p>
    <w:p w14:paraId="395BCD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E18116" w14:textId="77777777" w:rsidR="00DA60EA" w:rsidRPr="007122AB" w:rsidRDefault="00DA60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15 июня</w:t>
      </w:r>
      <w:r w:rsidRPr="007122AB">
        <w:rPr>
          <w:rFonts w:ascii="Times New Roman" w:hAnsi="Times New Roman"/>
          <w:color w:val="000000" w:themeColor="text1"/>
          <w:sz w:val="16"/>
          <w:szCs w:val="16"/>
        </w:rPr>
        <w:t xml:space="preserve"> в 1931 году началась война Боливии с Парагваем из-за территории </w:t>
      </w:r>
      <w:proofErr w:type="spellStart"/>
      <w:r w:rsidRPr="007122AB">
        <w:rPr>
          <w:rFonts w:ascii="Times New Roman" w:hAnsi="Times New Roman"/>
          <w:color w:val="000000" w:themeColor="text1"/>
          <w:sz w:val="16"/>
          <w:szCs w:val="16"/>
        </w:rPr>
        <w:t>Чако</w:t>
      </w:r>
      <w:proofErr w:type="spellEnd"/>
      <w:r w:rsidRPr="007122AB">
        <w:rPr>
          <w:rFonts w:ascii="Times New Roman" w:hAnsi="Times New Roman"/>
          <w:color w:val="000000" w:themeColor="text1"/>
          <w:sz w:val="16"/>
          <w:szCs w:val="16"/>
        </w:rPr>
        <w:t xml:space="preserve">. Боливия обладала большей и лучше вооруженной армией, но парагвайцами руководили русские офицеры-эмигранты (около 80 человек). Опираясь на укрепленные пункты, </w:t>
      </w:r>
      <w:proofErr w:type="spellStart"/>
      <w:r w:rsidRPr="007122AB">
        <w:rPr>
          <w:rFonts w:ascii="Times New Roman" w:hAnsi="Times New Roman"/>
          <w:color w:val="000000" w:themeColor="text1"/>
          <w:sz w:val="16"/>
          <w:szCs w:val="16"/>
        </w:rPr>
        <w:t>дивиерсионные</w:t>
      </w:r>
      <w:proofErr w:type="spellEnd"/>
      <w:r w:rsidRPr="007122AB">
        <w:rPr>
          <w:rFonts w:ascii="Times New Roman" w:hAnsi="Times New Roman"/>
          <w:color w:val="000000" w:themeColor="text1"/>
          <w:sz w:val="16"/>
          <w:szCs w:val="16"/>
        </w:rPr>
        <w:t xml:space="preserve"> отряды парагвайцев к 1935 году взяли под контроль спорную территорию и около 300 т. боливийцев пленными. Потери сторон - до 250 т.ч. убитыми и ранеными. Именами русских офицеров в столице Парагвая Асунсьоне названы 10 улиц (14923).</w:t>
      </w:r>
    </w:p>
    <w:p w14:paraId="1321F3D9" w14:textId="77777777" w:rsidR="00DA60EA" w:rsidRPr="007122AB" w:rsidRDefault="00DA60EA" w:rsidP="007122AB">
      <w:pPr>
        <w:spacing w:after="0" w:line="240" w:lineRule="auto"/>
        <w:jc w:val="both"/>
        <w:rPr>
          <w:rFonts w:ascii="Times New Roman" w:hAnsi="Times New Roman"/>
          <w:color w:val="000000" w:themeColor="text1"/>
          <w:sz w:val="16"/>
          <w:szCs w:val="16"/>
        </w:rPr>
      </w:pPr>
    </w:p>
    <w:p w14:paraId="189490E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6884CF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306615"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К середине июня 1931 специалистами НИИ ВВС был подготовлен проект плана опытного и серийного </w:t>
      </w:r>
      <w:proofErr w:type="spellStart"/>
      <w:r w:rsidRPr="007122AB">
        <w:rPr>
          <w:rFonts w:ascii="Times New Roman" w:hAnsi="Times New Roman"/>
          <w:color w:val="000000" w:themeColor="text1"/>
          <w:sz w:val="16"/>
          <w:szCs w:val="16"/>
          <w:lang w:eastAsia="ru-RU" w:bidi="ru-RU"/>
        </w:rPr>
        <w:t>самолето</w:t>
      </w:r>
      <w:proofErr w:type="spellEnd"/>
      <w:r w:rsidRPr="007122AB">
        <w:rPr>
          <w:rFonts w:ascii="Times New Roman" w:hAnsi="Times New Roman"/>
          <w:color w:val="000000" w:themeColor="text1"/>
          <w:sz w:val="16"/>
          <w:szCs w:val="16"/>
          <w:lang w:eastAsia="ru-RU" w:bidi="ru-RU"/>
        </w:rPr>
        <w:t>- и моторостроения на период 1931-34 гг., но его доработка по результатам обсужде</w:t>
      </w:r>
      <w:r w:rsidRPr="007122AB">
        <w:rPr>
          <w:rFonts w:ascii="Times New Roman" w:hAnsi="Times New Roman"/>
          <w:color w:val="000000" w:themeColor="text1"/>
          <w:sz w:val="16"/>
          <w:szCs w:val="16"/>
          <w:lang w:eastAsia="ru-RU" w:bidi="ru-RU"/>
        </w:rPr>
        <w:softHyphen/>
        <w:t>ния с заинтересованными подразделени</w:t>
      </w:r>
      <w:r w:rsidRPr="007122AB">
        <w:rPr>
          <w:rFonts w:ascii="Times New Roman" w:hAnsi="Times New Roman"/>
          <w:color w:val="000000" w:themeColor="text1"/>
          <w:sz w:val="16"/>
          <w:szCs w:val="16"/>
          <w:lang w:eastAsia="ru-RU" w:bidi="ru-RU"/>
        </w:rPr>
        <w:softHyphen/>
        <w:t>ями Управления ВВС, НТК и штаба ВВС за</w:t>
      </w:r>
      <w:r w:rsidRPr="007122AB">
        <w:rPr>
          <w:rFonts w:ascii="Times New Roman" w:hAnsi="Times New Roman"/>
          <w:color w:val="000000" w:themeColor="text1"/>
          <w:sz w:val="16"/>
          <w:szCs w:val="16"/>
          <w:lang w:eastAsia="ru-RU" w:bidi="ru-RU"/>
        </w:rPr>
        <w:softHyphen/>
        <w:t>вершилась лишь к началу августа.</w:t>
      </w:r>
    </w:p>
    <w:p w14:paraId="66C8DF76"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Наряду с другими предложениями, ре</w:t>
      </w:r>
      <w:r w:rsidRPr="007122AB">
        <w:rPr>
          <w:rFonts w:ascii="Times New Roman" w:hAnsi="Times New Roman"/>
          <w:color w:val="000000" w:themeColor="text1"/>
          <w:sz w:val="16"/>
          <w:szCs w:val="16"/>
          <w:lang w:eastAsia="ru-RU" w:bidi="ru-RU"/>
        </w:rPr>
        <w:softHyphen/>
        <w:t>комендовалось считать мотор М-17 ос</w:t>
      </w:r>
      <w:r w:rsidRPr="007122AB">
        <w:rPr>
          <w:rFonts w:ascii="Times New Roman" w:hAnsi="Times New Roman"/>
          <w:color w:val="000000" w:themeColor="text1"/>
          <w:sz w:val="16"/>
          <w:szCs w:val="16"/>
          <w:lang w:eastAsia="ru-RU" w:bidi="ru-RU"/>
        </w:rPr>
        <w:softHyphen/>
        <w:t>новным для строящихся в 1932 г. самоле</w:t>
      </w:r>
      <w:r w:rsidRPr="007122AB">
        <w:rPr>
          <w:rFonts w:ascii="Times New Roman" w:hAnsi="Times New Roman"/>
          <w:color w:val="000000" w:themeColor="text1"/>
          <w:sz w:val="16"/>
          <w:szCs w:val="16"/>
          <w:lang w:eastAsia="ru-RU" w:bidi="ru-RU"/>
        </w:rPr>
        <w:softHyphen/>
        <w:t>тов. Именно на этот мотор следовало ори</w:t>
      </w:r>
      <w:r w:rsidRPr="007122AB">
        <w:rPr>
          <w:rFonts w:ascii="Times New Roman" w:hAnsi="Times New Roman"/>
          <w:color w:val="000000" w:themeColor="text1"/>
          <w:sz w:val="16"/>
          <w:szCs w:val="16"/>
          <w:lang w:eastAsia="ru-RU" w:bidi="ru-RU"/>
        </w:rPr>
        <w:softHyphen/>
        <w:t>ентировать конструкторские коллективы и заводы. В то же время все работы по мо</w:t>
      </w:r>
      <w:r w:rsidRPr="007122AB">
        <w:rPr>
          <w:rFonts w:ascii="Times New Roman" w:hAnsi="Times New Roman"/>
          <w:color w:val="000000" w:themeColor="text1"/>
          <w:sz w:val="16"/>
          <w:szCs w:val="16"/>
          <w:lang w:eastAsia="ru-RU" w:bidi="ru-RU"/>
        </w:rPr>
        <w:softHyphen/>
        <w:t>тору М-27 предлагалось свернуть в пользу мотора М-34, который имел лучшие пер</w:t>
      </w:r>
      <w:r w:rsidRPr="007122AB">
        <w:rPr>
          <w:rFonts w:ascii="Times New Roman" w:hAnsi="Times New Roman"/>
          <w:color w:val="000000" w:themeColor="text1"/>
          <w:sz w:val="16"/>
          <w:szCs w:val="16"/>
          <w:lang w:eastAsia="ru-RU" w:bidi="ru-RU"/>
        </w:rPr>
        <w:softHyphen/>
        <w:t>спективы развития.</w:t>
      </w:r>
    </w:p>
    <w:p w14:paraId="433195AC"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этой связи предполагалось самолет ТШ-2 серийно выпускать сначала с мото</w:t>
      </w:r>
      <w:r w:rsidRPr="007122AB">
        <w:rPr>
          <w:rFonts w:ascii="Times New Roman" w:hAnsi="Times New Roman"/>
          <w:color w:val="000000" w:themeColor="text1"/>
          <w:sz w:val="16"/>
          <w:szCs w:val="16"/>
          <w:lang w:eastAsia="ru-RU" w:bidi="ru-RU"/>
        </w:rPr>
        <w:softHyphen/>
        <w:t>ром М-17, а затем с мотором М-34.</w:t>
      </w:r>
    </w:p>
    <w:p w14:paraId="6047BF39"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С учетом принятых решений счита</w:t>
      </w:r>
      <w:r w:rsidRPr="007122AB">
        <w:rPr>
          <w:rFonts w:ascii="Times New Roman" w:hAnsi="Times New Roman"/>
          <w:color w:val="000000" w:themeColor="text1"/>
          <w:sz w:val="16"/>
          <w:szCs w:val="16"/>
          <w:lang w:eastAsia="ru-RU" w:bidi="ru-RU"/>
        </w:rPr>
        <w:softHyphen/>
        <w:t>лось необходимым форсировать органи</w:t>
      </w:r>
      <w:r w:rsidRPr="007122AB">
        <w:rPr>
          <w:rFonts w:ascii="Times New Roman" w:hAnsi="Times New Roman"/>
          <w:color w:val="000000" w:themeColor="text1"/>
          <w:sz w:val="16"/>
          <w:szCs w:val="16"/>
          <w:lang w:eastAsia="ru-RU" w:bidi="ru-RU"/>
        </w:rPr>
        <w:softHyphen/>
        <w:t>зацию массовой серии М-34 на заводе №24, обеспечив его выпуск уже с сере</w:t>
      </w:r>
      <w:r w:rsidRPr="007122AB">
        <w:rPr>
          <w:rFonts w:ascii="Times New Roman" w:hAnsi="Times New Roman"/>
          <w:color w:val="000000" w:themeColor="text1"/>
          <w:sz w:val="16"/>
          <w:szCs w:val="16"/>
          <w:lang w:eastAsia="ru-RU" w:bidi="ru-RU"/>
        </w:rPr>
        <w:softHyphen/>
        <w:t>дины 1932 г. От ВАО требовалось разра</w:t>
      </w:r>
      <w:r w:rsidRPr="007122AB">
        <w:rPr>
          <w:rFonts w:ascii="Times New Roman" w:hAnsi="Times New Roman"/>
          <w:color w:val="000000" w:themeColor="text1"/>
          <w:sz w:val="16"/>
          <w:szCs w:val="16"/>
          <w:lang w:eastAsia="ru-RU" w:bidi="ru-RU"/>
        </w:rPr>
        <w:softHyphen/>
        <w:t>ботать порядок и сроки замены мотора М-17 в производстве мотором М-34 с та</w:t>
      </w:r>
      <w:r w:rsidRPr="007122AB">
        <w:rPr>
          <w:rFonts w:ascii="Times New Roman" w:hAnsi="Times New Roman"/>
          <w:color w:val="000000" w:themeColor="text1"/>
          <w:sz w:val="16"/>
          <w:szCs w:val="16"/>
          <w:lang w:eastAsia="ru-RU" w:bidi="ru-RU"/>
        </w:rPr>
        <w:softHyphen/>
        <w:t>ким расчетом, чтобы к середине 1933 г. полностью прекратить его изготовление.</w:t>
      </w:r>
    </w:p>
    <w:p w14:paraId="3B7FE272"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системе вооружения ВВС планиро</w:t>
      </w:r>
      <w:r w:rsidRPr="007122AB">
        <w:rPr>
          <w:rFonts w:ascii="Times New Roman" w:hAnsi="Times New Roman"/>
          <w:color w:val="000000" w:themeColor="text1"/>
          <w:sz w:val="16"/>
          <w:szCs w:val="16"/>
          <w:lang w:eastAsia="ru-RU" w:bidi="ru-RU"/>
        </w:rPr>
        <w:softHyphen/>
        <w:t>валось иметь легкий одноместный штур</w:t>
      </w:r>
      <w:r w:rsidRPr="007122AB">
        <w:rPr>
          <w:rFonts w:ascii="Times New Roman" w:hAnsi="Times New Roman"/>
          <w:color w:val="000000" w:themeColor="text1"/>
          <w:sz w:val="16"/>
          <w:szCs w:val="16"/>
          <w:lang w:eastAsia="ru-RU" w:bidi="ru-RU"/>
        </w:rPr>
        <w:softHyphen/>
        <w:t>мовик ЛШ-4 М-22 (на базе серийного ис</w:t>
      </w:r>
      <w:r w:rsidRPr="007122AB">
        <w:rPr>
          <w:rFonts w:ascii="Times New Roman" w:hAnsi="Times New Roman"/>
          <w:color w:val="000000" w:themeColor="text1"/>
          <w:sz w:val="16"/>
          <w:szCs w:val="16"/>
          <w:lang w:eastAsia="ru-RU" w:bidi="ru-RU"/>
        </w:rPr>
        <w:softHyphen/>
        <w:t>требителя И-5 - «как штурмовик мало</w:t>
      </w:r>
      <w:r w:rsidRPr="007122AB">
        <w:rPr>
          <w:rFonts w:ascii="Times New Roman" w:hAnsi="Times New Roman"/>
          <w:color w:val="000000" w:themeColor="text1"/>
          <w:sz w:val="16"/>
          <w:szCs w:val="16"/>
          <w:lang w:eastAsia="ru-RU" w:bidi="ru-RU"/>
        </w:rPr>
        <w:softHyphen/>
        <w:t>пригоден, /.../ остается только с целью ис</w:t>
      </w:r>
      <w:r w:rsidRPr="007122AB">
        <w:rPr>
          <w:rFonts w:ascii="Times New Roman" w:hAnsi="Times New Roman"/>
          <w:color w:val="000000" w:themeColor="text1"/>
          <w:sz w:val="16"/>
          <w:szCs w:val="16"/>
          <w:lang w:eastAsia="ru-RU" w:bidi="ru-RU"/>
        </w:rPr>
        <w:softHyphen/>
        <w:t>пользования И-5 по снятию с вооружения истребительной авиации») и легкий бро</w:t>
      </w:r>
      <w:r w:rsidRPr="007122AB">
        <w:rPr>
          <w:rFonts w:ascii="Times New Roman" w:hAnsi="Times New Roman"/>
          <w:color w:val="000000" w:themeColor="text1"/>
          <w:sz w:val="16"/>
          <w:szCs w:val="16"/>
          <w:lang w:eastAsia="ru-RU" w:bidi="ru-RU"/>
        </w:rPr>
        <w:softHyphen/>
        <w:t>нированный штурмовик ЛБШ-3 с М-34 («модификация ТШ-2»). Двухмоторный тя</w:t>
      </w:r>
      <w:r w:rsidRPr="007122AB">
        <w:rPr>
          <w:rFonts w:ascii="Times New Roman" w:hAnsi="Times New Roman"/>
          <w:color w:val="000000" w:themeColor="text1"/>
          <w:sz w:val="16"/>
          <w:szCs w:val="16"/>
          <w:lang w:eastAsia="ru-RU" w:bidi="ru-RU"/>
        </w:rPr>
        <w:softHyphen/>
        <w:t>желый штурмовик ТШ-1 из плана опыт</w:t>
      </w:r>
      <w:r w:rsidRPr="007122AB">
        <w:rPr>
          <w:rFonts w:ascii="Times New Roman" w:hAnsi="Times New Roman"/>
          <w:color w:val="000000" w:themeColor="text1"/>
          <w:sz w:val="16"/>
          <w:szCs w:val="16"/>
          <w:lang w:eastAsia="ru-RU" w:bidi="ru-RU"/>
        </w:rPr>
        <w:softHyphen/>
        <w:t>ного строительства исключался.</w:t>
      </w:r>
    </w:p>
    <w:p w14:paraId="341F091B"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Предъявление на государственные ис</w:t>
      </w:r>
      <w:r w:rsidRPr="007122AB">
        <w:rPr>
          <w:rFonts w:ascii="Times New Roman" w:hAnsi="Times New Roman"/>
          <w:color w:val="000000" w:themeColor="text1"/>
          <w:sz w:val="16"/>
          <w:szCs w:val="16"/>
          <w:lang w:eastAsia="ru-RU" w:bidi="ru-RU"/>
        </w:rPr>
        <w:softHyphen/>
        <w:t>пытания самолета ЛБШ-3 предполагалось к 1 августа, а ЛШ-4 - к 1 марта 1932 г.</w:t>
      </w:r>
    </w:p>
    <w:p w14:paraId="25AD148C" w14:textId="77777777" w:rsidR="00091E56" w:rsidRPr="007122AB" w:rsidRDefault="00091E5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Серийное производство ЛБШ-3 рас</w:t>
      </w:r>
      <w:r w:rsidRPr="007122AB">
        <w:rPr>
          <w:rFonts w:ascii="Times New Roman" w:hAnsi="Times New Roman"/>
          <w:color w:val="000000" w:themeColor="text1"/>
          <w:sz w:val="16"/>
          <w:szCs w:val="16"/>
          <w:lang w:eastAsia="ru-RU" w:bidi="ru-RU"/>
        </w:rPr>
        <w:softHyphen/>
        <w:t>считывали организовать на заводе №1 в Москве (где выпускался разведчик и легкий бомбардировщик Р-5 М-17), а ЛШ-4 - на заводе № 21 в Нижнем Нов</w:t>
      </w:r>
      <w:r w:rsidRPr="007122AB">
        <w:rPr>
          <w:rFonts w:ascii="Times New Roman" w:hAnsi="Times New Roman"/>
          <w:color w:val="000000" w:themeColor="text1"/>
          <w:sz w:val="16"/>
          <w:szCs w:val="16"/>
          <w:lang w:eastAsia="ru-RU" w:bidi="ru-RU"/>
        </w:rPr>
        <w:softHyphen/>
        <w:t>городе (где намечался массовый выпуск истребителя И-5 М-22).</w:t>
      </w:r>
    </w:p>
    <w:p w14:paraId="7BF9FA20" w14:textId="77777777" w:rsidR="00091E56" w:rsidRPr="007122AB" w:rsidRDefault="00091E56"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Примерно в это же время ЦКБ подго</w:t>
      </w:r>
      <w:r w:rsidRPr="007122AB">
        <w:rPr>
          <w:rFonts w:ascii="Times New Roman" w:hAnsi="Times New Roman"/>
          <w:color w:val="000000" w:themeColor="text1"/>
          <w:sz w:val="16"/>
          <w:szCs w:val="16"/>
          <w:lang w:eastAsia="ru-RU" w:bidi="ru-RU"/>
        </w:rPr>
        <w:softHyphen/>
        <w:t>товило свой вариант проекта плана стро</w:t>
      </w:r>
      <w:r w:rsidRPr="007122AB">
        <w:rPr>
          <w:rFonts w:ascii="Times New Roman" w:hAnsi="Times New Roman"/>
          <w:color w:val="000000" w:themeColor="text1"/>
          <w:sz w:val="16"/>
          <w:szCs w:val="16"/>
          <w:lang w:eastAsia="ru-RU" w:bidi="ru-RU"/>
        </w:rPr>
        <w:softHyphen/>
        <w:t>ительства опытных самолетов до 1934 г. (21062).</w:t>
      </w:r>
    </w:p>
    <w:p w14:paraId="3FFD9177" w14:textId="77777777" w:rsidR="00091E56" w:rsidRPr="007122AB" w:rsidRDefault="00091E56" w:rsidP="007122AB">
      <w:pPr>
        <w:spacing w:after="0" w:line="240" w:lineRule="auto"/>
        <w:jc w:val="both"/>
        <w:rPr>
          <w:rFonts w:ascii="Times New Roman" w:hAnsi="Times New Roman"/>
          <w:color w:val="000000" w:themeColor="text1"/>
          <w:sz w:val="16"/>
          <w:szCs w:val="16"/>
          <w:lang w:eastAsia="ru-RU" w:bidi="ru-RU"/>
        </w:rPr>
      </w:pPr>
    </w:p>
    <w:p w14:paraId="05FE09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июня 1931 г. состоялся смотр авиацион</w:t>
      </w:r>
      <w:r w:rsidRPr="007122AB">
        <w:rPr>
          <w:rFonts w:ascii="Times New Roman" w:hAnsi="Times New Roman"/>
          <w:color w:val="000000" w:themeColor="text1"/>
          <w:sz w:val="16"/>
          <w:szCs w:val="16"/>
        </w:rPr>
        <w:softHyphen/>
        <w:t>ной техники. На Центральный аэродром приехали Ста</w:t>
      </w:r>
      <w:r w:rsidRPr="007122AB">
        <w:rPr>
          <w:rFonts w:ascii="Times New Roman" w:hAnsi="Times New Roman"/>
          <w:color w:val="000000" w:themeColor="text1"/>
          <w:sz w:val="16"/>
          <w:szCs w:val="16"/>
        </w:rPr>
        <w:softHyphen/>
        <w:t xml:space="preserve">лин, Ворошилов, Орджоникидзе, другие партийные и государственные деятели. В печати об этом событии не появилось ни строчки. Правительственные машины прибыли в одиннадцать часов. Начальник ВВС </w:t>
      </w:r>
      <w:proofErr w:type="spellStart"/>
      <w:r w:rsidRPr="007122AB">
        <w:rPr>
          <w:rFonts w:ascii="Times New Roman" w:hAnsi="Times New Roman"/>
          <w:color w:val="000000" w:themeColor="text1"/>
          <w:sz w:val="16"/>
          <w:szCs w:val="16"/>
        </w:rPr>
        <w:t>П.И.Ба</w:t>
      </w:r>
      <w:r w:rsidRPr="007122AB">
        <w:rPr>
          <w:rFonts w:ascii="Times New Roman" w:hAnsi="Times New Roman"/>
          <w:color w:val="000000" w:themeColor="text1"/>
          <w:sz w:val="16"/>
          <w:szCs w:val="16"/>
        </w:rPr>
        <w:softHyphen/>
        <w:t>ранов</w:t>
      </w:r>
      <w:proofErr w:type="spellEnd"/>
      <w:r w:rsidRPr="007122AB">
        <w:rPr>
          <w:rFonts w:ascii="Times New Roman" w:hAnsi="Times New Roman"/>
          <w:color w:val="000000" w:themeColor="text1"/>
          <w:sz w:val="16"/>
          <w:szCs w:val="16"/>
        </w:rPr>
        <w:t xml:space="preserve"> отдал рапорт Председателю Совнаркома. На лет</w:t>
      </w:r>
      <w:r w:rsidRPr="007122AB">
        <w:rPr>
          <w:rFonts w:ascii="Times New Roman" w:hAnsi="Times New Roman"/>
          <w:color w:val="000000" w:themeColor="text1"/>
          <w:sz w:val="16"/>
          <w:szCs w:val="16"/>
        </w:rPr>
        <w:softHyphen/>
        <w:t>ном поле выстроились истребители, разведчики, бомбардировщики, в том числе готовая к вылету пара истребителей И-5, за ними на стоянке - И-4, И-5, а ря</w:t>
      </w:r>
      <w:r w:rsidRPr="007122AB">
        <w:rPr>
          <w:rFonts w:ascii="Times New Roman" w:hAnsi="Times New Roman"/>
          <w:color w:val="000000" w:themeColor="text1"/>
          <w:sz w:val="16"/>
          <w:szCs w:val="16"/>
        </w:rPr>
        <w:softHyphen/>
        <w:t>дом, для сравнения, французский истребитель «</w:t>
      </w:r>
      <w:proofErr w:type="spellStart"/>
      <w:r w:rsidRPr="007122AB">
        <w:rPr>
          <w:rFonts w:ascii="Times New Roman" w:hAnsi="Times New Roman"/>
          <w:color w:val="000000" w:themeColor="text1"/>
          <w:sz w:val="16"/>
          <w:szCs w:val="16"/>
        </w:rPr>
        <w:t>Потез</w:t>
      </w:r>
      <w:proofErr w:type="spellEnd"/>
      <w:r w:rsidRPr="007122AB">
        <w:rPr>
          <w:rFonts w:ascii="Times New Roman" w:hAnsi="Times New Roman"/>
          <w:color w:val="000000" w:themeColor="text1"/>
          <w:sz w:val="16"/>
          <w:szCs w:val="16"/>
        </w:rPr>
        <w:t>», отечественные разведчики Р-5, опытный экземпляр бомбардировщика ТБ-3, другие машины. Сталин приблизился, дымя папиросой. Когда до сто</w:t>
      </w:r>
      <w:r w:rsidRPr="007122AB">
        <w:rPr>
          <w:rFonts w:ascii="Times New Roman" w:hAnsi="Times New Roman"/>
          <w:color w:val="000000" w:themeColor="text1"/>
          <w:sz w:val="16"/>
          <w:szCs w:val="16"/>
        </w:rPr>
        <w:softHyphen/>
        <w:t>янки истребителей оставалось около десяти шагов, ком</w:t>
      </w:r>
      <w:r w:rsidRPr="007122AB">
        <w:rPr>
          <w:rFonts w:ascii="Times New Roman" w:hAnsi="Times New Roman"/>
          <w:color w:val="000000" w:themeColor="text1"/>
          <w:sz w:val="16"/>
          <w:szCs w:val="16"/>
        </w:rPr>
        <w:softHyphen/>
        <w:t xml:space="preserve">бриг </w:t>
      </w:r>
      <w:proofErr w:type="spellStart"/>
      <w:r w:rsidRPr="007122AB">
        <w:rPr>
          <w:rFonts w:ascii="Times New Roman" w:hAnsi="Times New Roman"/>
          <w:color w:val="000000" w:themeColor="text1"/>
          <w:sz w:val="16"/>
          <w:szCs w:val="16"/>
        </w:rPr>
        <w:t>Туржанский</w:t>
      </w:r>
      <w:proofErr w:type="spellEnd"/>
      <w:r w:rsidRPr="007122AB">
        <w:rPr>
          <w:rFonts w:ascii="Times New Roman" w:hAnsi="Times New Roman"/>
          <w:color w:val="000000" w:themeColor="text1"/>
          <w:sz w:val="16"/>
          <w:szCs w:val="16"/>
        </w:rPr>
        <w:t xml:space="preserve"> подошел к Сталину и громко сказал: «Извините, Иосиф Виссарионович, может быть, Вы здесь докурите? У самолетов нельзя...». Его поддержал начальник ВВС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Сталин остановился и, ни</w:t>
      </w:r>
      <w:r w:rsidRPr="007122AB">
        <w:rPr>
          <w:rFonts w:ascii="Times New Roman" w:hAnsi="Times New Roman"/>
          <w:color w:val="000000" w:themeColor="text1"/>
          <w:sz w:val="16"/>
          <w:szCs w:val="16"/>
        </w:rPr>
        <w:softHyphen/>
        <w:t xml:space="preserve">чего не сказав, каблуком вдавил окурок в землю. В принципе и </w:t>
      </w:r>
      <w:proofErr w:type="spellStart"/>
      <w:r w:rsidRPr="007122AB">
        <w:rPr>
          <w:rFonts w:ascii="Times New Roman" w:hAnsi="Times New Roman"/>
          <w:color w:val="000000" w:themeColor="text1"/>
          <w:sz w:val="16"/>
          <w:szCs w:val="16"/>
        </w:rPr>
        <w:t>Туржанский</w:t>
      </w:r>
      <w:proofErr w:type="spellEnd"/>
      <w:r w:rsidRPr="007122AB">
        <w:rPr>
          <w:rFonts w:ascii="Times New Roman" w:hAnsi="Times New Roman"/>
          <w:color w:val="000000" w:themeColor="text1"/>
          <w:sz w:val="16"/>
          <w:szCs w:val="16"/>
        </w:rPr>
        <w:t>, и Баранов были правы: прави</w:t>
      </w:r>
      <w:r w:rsidRPr="007122AB">
        <w:rPr>
          <w:rFonts w:ascii="Times New Roman" w:hAnsi="Times New Roman"/>
          <w:color w:val="000000" w:themeColor="text1"/>
          <w:sz w:val="16"/>
          <w:szCs w:val="16"/>
        </w:rPr>
        <w:softHyphen/>
        <w:t>ла пожарной безопасности являются общими для всех. Однако то же самое можно сказать полушепотом, в сто</w:t>
      </w:r>
      <w:r w:rsidRPr="007122AB">
        <w:rPr>
          <w:rFonts w:ascii="Times New Roman" w:hAnsi="Times New Roman"/>
          <w:color w:val="000000" w:themeColor="text1"/>
          <w:sz w:val="16"/>
          <w:szCs w:val="16"/>
        </w:rPr>
        <w:softHyphen/>
        <w:t>роне, не привлекая внимания. Существуют определен</w:t>
      </w:r>
      <w:r w:rsidRPr="007122AB">
        <w:rPr>
          <w:rFonts w:ascii="Times New Roman" w:hAnsi="Times New Roman"/>
          <w:color w:val="000000" w:themeColor="text1"/>
          <w:sz w:val="16"/>
          <w:szCs w:val="16"/>
        </w:rPr>
        <w:softHyphen/>
        <w:t>ные нормы взаимоотношений, согласно которым считается неэтичным распекать учителя в присутствии учеников, командира - перед строем солдат, а государст</w:t>
      </w:r>
      <w:r w:rsidRPr="007122AB">
        <w:rPr>
          <w:rFonts w:ascii="Times New Roman" w:hAnsi="Times New Roman"/>
          <w:color w:val="000000" w:themeColor="text1"/>
          <w:sz w:val="16"/>
          <w:szCs w:val="16"/>
        </w:rPr>
        <w:softHyphen/>
        <w:t>венного деятеля - публично перед гражданами государ</w:t>
      </w:r>
      <w:r w:rsidRPr="007122AB">
        <w:rPr>
          <w:rFonts w:ascii="Times New Roman" w:hAnsi="Times New Roman"/>
          <w:color w:val="000000" w:themeColor="text1"/>
          <w:sz w:val="16"/>
          <w:szCs w:val="16"/>
        </w:rPr>
        <w:softHyphen/>
        <w:t xml:space="preserve">ства. И, хотя Сталин ничем не высказал своего неудовольствия, настроение его изменилось. Осмотрев бомбардировщик ТБ-3, Сталин захотел полетать на нем, но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отказал, так как само</w:t>
      </w:r>
      <w:r w:rsidRPr="007122AB">
        <w:rPr>
          <w:rFonts w:ascii="Times New Roman" w:hAnsi="Times New Roman"/>
          <w:color w:val="000000" w:themeColor="text1"/>
          <w:sz w:val="16"/>
          <w:szCs w:val="16"/>
        </w:rPr>
        <w:softHyphen/>
        <w:t>лет был опытным. Последовал вопрос: «Почему затяги</w:t>
      </w:r>
      <w:r w:rsidRPr="007122AB">
        <w:rPr>
          <w:rFonts w:ascii="Times New Roman" w:hAnsi="Times New Roman"/>
          <w:color w:val="000000" w:themeColor="text1"/>
          <w:sz w:val="16"/>
          <w:szCs w:val="16"/>
        </w:rPr>
        <w:softHyphen/>
        <w:t>ваются сроки испытаний?»</w:t>
      </w:r>
    </w:p>
    <w:p w14:paraId="7DB40F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Делегация подошла к истребителям. Новый вопрос: «Почему на них нет радио?»</w:t>
      </w:r>
    </w:p>
    <w:p w14:paraId="7FCEBA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Объяснения по самолету И-5 давал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xml:space="preserve">, по его вооружению - </w:t>
      </w:r>
      <w:proofErr w:type="spellStart"/>
      <w:r w:rsidRPr="007122AB">
        <w:rPr>
          <w:rFonts w:ascii="Times New Roman" w:hAnsi="Times New Roman"/>
          <w:color w:val="000000" w:themeColor="text1"/>
          <w:sz w:val="16"/>
          <w:szCs w:val="16"/>
        </w:rPr>
        <w:t>А.В.Надашкевич</w:t>
      </w:r>
      <w:proofErr w:type="spellEnd"/>
      <w:r w:rsidRPr="007122AB">
        <w:rPr>
          <w:rFonts w:ascii="Times New Roman" w:hAnsi="Times New Roman"/>
          <w:color w:val="000000" w:themeColor="text1"/>
          <w:sz w:val="16"/>
          <w:szCs w:val="16"/>
        </w:rPr>
        <w:t xml:space="preserve">, оба осужденные на десять лет. Недавно выпущенный на свободу </w:t>
      </w:r>
      <w:proofErr w:type="spellStart"/>
      <w:r w:rsidRPr="007122AB">
        <w:rPr>
          <w:rFonts w:ascii="Times New Roman" w:hAnsi="Times New Roman"/>
          <w:color w:val="000000" w:themeColor="text1"/>
          <w:sz w:val="16"/>
          <w:szCs w:val="16"/>
        </w:rPr>
        <w:t>Д.П.Григорович</w:t>
      </w:r>
      <w:proofErr w:type="spellEnd"/>
      <w:r w:rsidRPr="007122AB">
        <w:rPr>
          <w:rFonts w:ascii="Times New Roman" w:hAnsi="Times New Roman"/>
          <w:color w:val="000000" w:themeColor="text1"/>
          <w:sz w:val="16"/>
          <w:szCs w:val="16"/>
        </w:rPr>
        <w:t xml:space="preserve"> предпочел не рисковать и под разными предлогами не явился на смотр. Из-за стечения обстоя</w:t>
      </w:r>
      <w:r w:rsidRPr="007122AB">
        <w:rPr>
          <w:rFonts w:ascii="Times New Roman" w:hAnsi="Times New Roman"/>
          <w:color w:val="000000" w:themeColor="text1"/>
          <w:sz w:val="16"/>
          <w:szCs w:val="16"/>
        </w:rPr>
        <w:softHyphen/>
        <w:t xml:space="preserve">тельств стоянка И-5 находилась неподалеку от ангара, где жили заключенные конструкторы. После докладов Сталин, кивнув в сторону седьмого ангара, спросил у </w:t>
      </w:r>
      <w:proofErr w:type="spellStart"/>
      <w:r w:rsidRPr="007122AB">
        <w:rPr>
          <w:rFonts w:ascii="Times New Roman" w:hAnsi="Times New Roman"/>
          <w:color w:val="000000" w:themeColor="text1"/>
          <w:sz w:val="16"/>
          <w:szCs w:val="16"/>
        </w:rPr>
        <w:t>Надашкевича</w:t>
      </w:r>
      <w:proofErr w:type="spellEnd"/>
      <w:r w:rsidRPr="007122AB">
        <w:rPr>
          <w:rFonts w:ascii="Times New Roman" w:hAnsi="Times New Roman"/>
          <w:color w:val="000000" w:themeColor="text1"/>
          <w:sz w:val="16"/>
          <w:szCs w:val="16"/>
        </w:rPr>
        <w:t>: «А вас здесь не угнетают?» До революции сам сидевший в тюрьме и побывавший в ссылке, он не мог не знать, что даже самая красивая и удобная тюрьма всегда останется только тюрьмой. Смысл вопроса состо</w:t>
      </w:r>
      <w:r w:rsidRPr="007122AB">
        <w:rPr>
          <w:rFonts w:ascii="Times New Roman" w:hAnsi="Times New Roman"/>
          <w:color w:val="000000" w:themeColor="text1"/>
          <w:sz w:val="16"/>
          <w:szCs w:val="16"/>
        </w:rPr>
        <w:softHyphen/>
        <w:t>ял в другом. Намек, содержавшийся в нем, относился прежде всего к членам делегации и сопровождающим.</w:t>
      </w:r>
    </w:p>
    <w:p w14:paraId="38E540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летчики Чкалов и Анисимов с блеском проде</w:t>
      </w:r>
      <w:r w:rsidRPr="007122AB">
        <w:rPr>
          <w:rFonts w:ascii="Times New Roman" w:hAnsi="Times New Roman"/>
          <w:color w:val="000000" w:themeColor="text1"/>
          <w:sz w:val="16"/>
          <w:szCs w:val="16"/>
        </w:rPr>
        <w:softHyphen/>
        <w:t>монстрировали И-5 в воздухе. Состоялись полеты и других самолетов: ТБ-3, Р-5 (10667).</w:t>
      </w:r>
    </w:p>
    <w:p w14:paraId="4DE0C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Результаты смотра сказались довольно быстро. Через неделю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был отстранен от должности на-</w:t>
      </w:r>
      <w:proofErr w:type="spellStart"/>
      <w:r w:rsidRPr="007122AB">
        <w:rPr>
          <w:rFonts w:ascii="Times New Roman" w:hAnsi="Times New Roman"/>
          <w:color w:val="000000" w:themeColor="text1"/>
          <w:sz w:val="16"/>
          <w:szCs w:val="16"/>
        </w:rPr>
        <w:t>чальника</w:t>
      </w:r>
      <w:proofErr w:type="spellEnd"/>
      <w:r w:rsidRPr="007122AB">
        <w:rPr>
          <w:rFonts w:ascii="Times New Roman" w:hAnsi="Times New Roman"/>
          <w:color w:val="000000" w:themeColor="text1"/>
          <w:sz w:val="16"/>
          <w:szCs w:val="16"/>
        </w:rPr>
        <w:t xml:space="preserve"> ВВС и временно назначен руководить </w:t>
      </w:r>
      <w:proofErr w:type="spellStart"/>
      <w:r w:rsidRPr="007122AB">
        <w:rPr>
          <w:rFonts w:ascii="Times New Roman" w:hAnsi="Times New Roman"/>
          <w:color w:val="000000" w:themeColor="text1"/>
          <w:sz w:val="16"/>
          <w:szCs w:val="16"/>
        </w:rPr>
        <w:t>авиаобъ</w:t>
      </w:r>
      <w:r w:rsidRPr="007122AB">
        <w:rPr>
          <w:rFonts w:ascii="Times New Roman" w:hAnsi="Times New Roman"/>
          <w:color w:val="000000" w:themeColor="text1"/>
          <w:sz w:val="16"/>
          <w:szCs w:val="16"/>
        </w:rPr>
        <w:softHyphen/>
        <w:t>единением</w:t>
      </w:r>
      <w:proofErr w:type="spellEnd"/>
      <w:r w:rsidRPr="007122AB">
        <w:rPr>
          <w:rFonts w:ascii="Times New Roman" w:hAnsi="Times New Roman"/>
          <w:color w:val="000000" w:themeColor="text1"/>
          <w:sz w:val="16"/>
          <w:szCs w:val="16"/>
        </w:rPr>
        <w:t xml:space="preserve">. Новым начальником ВВС стал </w:t>
      </w:r>
      <w:proofErr w:type="spellStart"/>
      <w:r w:rsidRPr="007122AB">
        <w:rPr>
          <w:rFonts w:ascii="Times New Roman" w:hAnsi="Times New Roman"/>
          <w:color w:val="000000" w:themeColor="text1"/>
          <w:sz w:val="16"/>
          <w:szCs w:val="16"/>
        </w:rPr>
        <w:t>А.И.Алкснис</w:t>
      </w:r>
      <w:proofErr w:type="spellEnd"/>
      <w:r w:rsidRPr="007122AB">
        <w:rPr>
          <w:rFonts w:ascii="Times New Roman" w:hAnsi="Times New Roman"/>
          <w:color w:val="000000" w:themeColor="text1"/>
          <w:sz w:val="16"/>
          <w:szCs w:val="16"/>
        </w:rPr>
        <w:t xml:space="preserve"> (10667).</w:t>
      </w:r>
    </w:p>
    <w:p w14:paraId="43DB70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7679E5" w14:textId="79FCE94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(в середине июня - 2433,28) 1931 состоялся смотр авиатехники на ЦА и приезжали И.В.С., К.Н.В., </w:t>
      </w:r>
      <w:proofErr w:type="spellStart"/>
      <w:r w:rsidRPr="007122AB">
        <w:rPr>
          <w:rFonts w:ascii="Times New Roman" w:hAnsi="Times New Roman"/>
          <w:color w:val="000000" w:themeColor="text1"/>
          <w:sz w:val="16"/>
          <w:szCs w:val="16"/>
        </w:rPr>
        <w:t>Г.К.Орджоникидзе</w:t>
      </w:r>
      <w:proofErr w:type="spellEnd"/>
      <w:r w:rsidRPr="007122AB">
        <w:rPr>
          <w:rFonts w:ascii="Times New Roman" w:hAnsi="Times New Roman"/>
          <w:color w:val="000000" w:themeColor="text1"/>
          <w:sz w:val="16"/>
          <w:szCs w:val="16"/>
        </w:rPr>
        <w:t xml:space="preserve"> и др. Именно тогда Н.Н.П. давал пояснения по И-5, а </w:t>
      </w:r>
      <w:proofErr w:type="spellStart"/>
      <w:r w:rsidRPr="007122AB">
        <w:rPr>
          <w:rFonts w:ascii="Times New Roman" w:hAnsi="Times New Roman"/>
          <w:color w:val="000000" w:themeColor="text1"/>
          <w:sz w:val="16"/>
          <w:szCs w:val="16"/>
        </w:rPr>
        <w:t>А.В.Надашкевич</w:t>
      </w:r>
      <w:proofErr w:type="spellEnd"/>
      <w:r w:rsidRPr="007122AB">
        <w:rPr>
          <w:rFonts w:ascii="Times New Roman" w:hAnsi="Times New Roman"/>
          <w:color w:val="000000" w:themeColor="text1"/>
          <w:sz w:val="16"/>
          <w:szCs w:val="16"/>
        </w:rPr>
        <w:t xml:space="preserve"> - по вооружению. Стоянка</w:t>
      </w:r>
      <w:r w:rsidR="002733A2">
        <w:rPr>
          <w:rFonts w:ascii="Times New Roman" w:hAnsi="Times New Roman"/>
          <w:color w:val="000000" w:themeColor="text1"/>
          <w:sz w:val="16"/>
          <w:szCs w:val="16"/>
        </w:rPr>
        <w:t>,</w:t>
      </w:r>
      <w:r w:rsidRPr="007122AB">
        <w:rPr>
          <w:rFonts w:ascii="Times New Roman" w:hAnsi="Times New Roman"/>
          <w:color w:val="000000" w:themeColor="text1"/>
          <w:sz w:val="16"/>
          <w:szCs w:val="16"/>
        </w:rPr>
        <w:t xml:space="preserve"> где был И-5 была рядом с ангаром ВТ и И.В.С. якобы спросил </w:t>
      </w:r>
      <w:proofErr w:type="spellStart"/>
      <w:r w:rsidRPr="007122AB">
        <w:rPr>
          <w:rFonts w:ascii="Times New Roman" w:hAnsi="Times New Roman"/>
          <w:color w:val="000000" w:themeColor="text1"/>
          <w:sz w:val="16"/>
          <w:szCs w:val="16"/>
        </w:rPr>
        <w:t>А.В.Надашкевича</w:t>
      </w:r>
      <w:proofErr w:type="spellEnd"/>
      <w:r w:rsidRPr="007122AB">
        <w:rPr>
          <w:rFonts w:ascii="Times New Roman" w:hAnsi="Times New Roman"/>
          <w:color w:val="000000" w:themeColor="text1"/>
          <w:sz w:val="16"/>
          <w:szCs w:val="16"/>
        </w:rPr>
        <w:t xml:space="preserve">: "А вас здесь не угнетают". В.П.Ч. и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xml:space="preserve"> демонстрировали И-5 в воздухе (228,83).</w:t>
      </w:r>
    </w:p>
    <w:p w14:paraId="602F18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Смотрели и истребители И-4, чешский Авиа, </w:t>
      </w:r>
      <w:proofErr w:type="spellStart"/>
      <w:r w:rsidRPr="007122AB">
        <w:rPr>
          <w:rFonts w:ascii="Times New Roman" w:hAnsi="Times New Roman"/>
          <w:color w:val="000000" w:themeColor="text1"/>
          <w:sz w:val="16"/>
          <w:szCs w:val="16"/>
        </w:rPr>
        <w:t>Потез</w:t>
      </w:r>
      <w:proofErr w:type="spellEnd"/>
      <w:r w:rsidRPr="007122AB">
        <w:rPr>
          <w:rFonts w:ascii="Times New Roman" w:hAnsi="Times New Roman"/>
          <w:color w:val="000000" w:themeColor="text1"/>
          <w:sz w:val="16"/>
          <w:szCs w:val="16"/>
        </w:rPr>
        <w:t xml:space="preserve"> и Р-5 и ТБ-3 и представлял директор НИИ ВВС </w:t>
      </w:r>
      <w:proofErr w:type="spellStart"/>
      <w:r w:rsidRPr="007122AB">
        <w:rPr>
          <w:rFonts w:ascii="Times New Roman" w:hAnsi="Times New Roman"/>
          <w:color w:val="000000" w:themeColor="text1"/>
          <w:sz w:val="16"/>
          <w:szCs w:val="16"/>
        </w:rPr>
        <w:t>А.А.Туржанский</w:t>
      </w:r>
      <w:proofErr w:type="spellEnd"/>
      <w:r w:rsidRPr="007122AB">
        <w:rPr>
          <w:rFonts w:ascii="Times New Roman" w:hAnsi="Times New Roman"/>
          <w:color w:val="000000" w:themeColor="text1"/>
          <w:sz w:val="16"/>
          <w:szCs w:val="16"/>
        </w:rPr>
        <w:t xml:space="preserve"> и И.В.С. поссорился с П.И.Б. (2433,28).</w:t>
      </w:r>
    </w:p>
    <w:p w14:paraId="09DB90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А.А.Туржанскому</w:t>
      </w:r>
      <w:proofErr w:type="spellEnd"/>
      <w:r w:rsidRPr="007122AB">
        <w:rPr>
          <w:rFonts w:ascii="Times New Roman" w:hAnsi="Times New Roman"/>
          <w:color w:val="000000" w:themeColor="text1"/>
          <w:sz w:val="16"/>
          <w:szCs w:val="16"/>
        </w:rPr>
        <w:t xml:space="preserve"> - командиру авиабригады НОА были: И-4, и-5, </w:t>
      </w:r>
      <w:proofErr w:type="spellStart"/>
      <w:r w:rsidRPr="007122AB">
        <w:rPr>
          <w:rFonts w:ascii="Times New Roman" w:hAnsi="Times New Roman"/>
          <w:color w:val="000000" w:themeColor="text1"/>
          <w:sz w:val="16"/>
          <w:szCs w:val="16"/>
        </w:rPr>
        <w:t>Потез</w:t>
      </w:r>
      <w:proofErr w:type="spellEnd"/>
      <w:r w:rsidRPr="007122AB">
        <w:rPr>
          <w:rFonts w:ascii="Times New Roman" w:hAnsi="Times New Roman"/>
          <w:color w:val="000000" w:themeColor="text1"/>
          <w:sz w:val="16"/>
          <w:szCs w:val="16"/>
        </w:rPr>
        <w:t>, чешский Авиа, Р-5, ТБ-1. Приехали около полудня. К.Е.В. приказал А.А.Т. давать пояснения. И.В.С. поднялся по стремянке, залез и осмотрел кабину И-5 интересовался прежде всего, имеется ли радио. Удивился, что нет на истребителях и обрадовался, что было на Р-5 (3573).</w:t>
      </w:r>
    </w:p>
    <w:p w14:paraId="47514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FD93BF" w14:textId="77777777" w:rsidR="007D2466" w:rsidRPr="00441F34" w:rsidRDefault="007D2466" w:rsidP="007D246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июня 1931 г. после смотра авиационной техники П.И. Ба</w:t>
      </w:r>
      <w:r w:rsidRPr="00441F34">
        <w:rPr>
          <w:rFonts w:ascii="Times New Roman" w:hAnsi="Times New Roman"/>
          <w:color w:val="0070C0"/>
          <w:sz w:val="16"/>
          <w:szCs w:val="16"/>
        </w:rPr>
        <w:softHyphen/>
        <w:t xml:space="preserve">ранов был отстранен от должности начальника ВВС и временно назначен руководить </w:t>
      </w:r>
      <w:proofErr w:type="spellStart"/>
      <w:r w:rsidRPr="00441F34">
        <w:rPr>
          <w:rFonts w:ascii="Times New Roman" w:hAnsi="Times New Roman"/>
          <w:color w:val="0070C0"/>
          <w:sz w:val="16"/>
          <w:szCs w:val="16"/>
        </w:rPr>
        <w:t>Авиаобъединением</w:t>
      </w:r>
      <w:proofErr w:type="spellEnd"/>
      <w:r w:rsidRPr="00441F34">
        <w:rPr>
          <w:rFonts w:ascii="Times New Roman" w:hAnsi="Times New Roman"/>
          <w:color w:val="0070C0"/>
          <w:sz w:val="16"/>
          <w:szCs w:val="16"/>
        </w:rPr>
        <w:t>. Новым начальником ВВС стал А.И. Алкснис (23406).</w:t>
      </w:r>
    </w:p>
    <w:p w14:paraId="3519F834" w14:textId="77777777" w:rsidR="007D2466" w:rsidRPr="00441F34" w:rsidRDefault="007D2466" w:rsidP="007D2466">
      <w:pPr>
        <w:spacing w:after="0" w:line="240" w:lineRule="auto"/>
        <w:jc w:val="both"/>
        <w:rPr>
          <w:rFonts w:ascii="Times New Roman" w:hAnsi="Times New Roman"/>
          <w:color w:val="0070C0"/>
          <w:sz w:val="16"/>
          <w:szCs w:val="16"/>
        </w:rPr>
      </w:pPr>
    </w:p>
    <w:p w14:paraId="5D785C0D" w14:textId="77777777" w:rsidR="00872E55" w:rsidRPr="007122AB" w:rsidRDefault="00872E5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D7039D5" w14:textId="77777777" w:rsidR="00872E55" w:rsidRPr="007122AB" w:rsidRDefault="00872E5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0E4A2D" w14:textId="77777777" w:rsidR="00872E55" w:rsidRPr="007122AB" w:rsidRDefault="00872E55" w:rsidP="007122AB">
      <w:pPr>
        <w:shd w:val="clear" w:color="auto" w:fill="FFFFFF"/>
        <w:spacing w:after="0" w:line="240" w:lineRule="auto"/>
        <w:jc w:val="both"/>
        <w:textAlignment w:val="top"/>
        <w:rPr>
          <w:rFonts w:ascii="Times New Roman" w:hAnsi="Times New Roman"/>
          <w:color w:val="000000" w:themeColor="text1"/>
          <w:sz w:val="16"/>
          <w:szCs w:val="16"/>
        </w:rPr>
      </w:pPr>
      <w:r w:rsidRPr="007122AB">
        <w:rPr>
          <w:rFonts w:ascii="Times New Roman" w:hAnsi="Times New Roman"/>
          <w:color w:val="000000" w:themeColor="text1"/>
          <w:sz w:val="16"/>
          <w:szCs w:val="16"/>
        </w:rPr>
        <w:t>16 июня 1931 года</w:t>
      </w:r>
    </w:p>
    <w:p w14:paraId="75407563" w14:textId="77777777" w:rsidR="00872E55" w:rsidRPr="007122AB" w:rsidRDefault="00872E55" w:rsidP="007122AB">
      <w:pPr>
        <w:shd w:val="clear" w:color="auto" w:fill="FFFFFF"/>
        <w:spacing w:after="0" w:line="240" w:lineRule="auto"/>
        <w:jc w:val="both"/>
        <w:textAlignment w:val="top"/>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 ВОГВФ №275 все функции инспекции ГВФ, кроме проверки исполнения и периодических инспектирований, окончательно переданы соответствующим центральным управлениям ВОГВФ и НИИ ГВФ (20226).</w:t>
      </w:r>
    </w:p>
    <w:p w14:paraId="44E45D63" w14:textId="77777777" w:rsidR="00872E55" w:rsidRPr="007122AB" w:rsidRDefault="00872E55" w:rsidP="007122AB">
      <w:pPr>
        <w:shd w:val="clear" w:color="auto" w:fill="FFFFFF"/>
        <w:spacing w:after="0" w:line="240" w:lineRule="auto"/>
        <w:jc w:val="both"/>
        <w:textAlignment w:val="top"/>
        <w:rPr>
          <w:rFonts w:ascii="Times New Roman" w:hAnsi="Times New Roman"/>
          <w:color w:val="000000" w:themeColor="text1"/>
          <w:sz w:val="16"/>
          <w:szCs w:val="16"/>
        </w:rPr>
      </w:pPr>
    </w:p>
    <w:p w14:paraId="1565587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C00C12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FFA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июня 1931 года Управлением ВМС было внесено вторичное изменение угла возвышения 102-мм зенитной пушки с длиной ствола 45 калибров с +85 на +85 +90, что потребовало новой переработки проекта (3861).</w:t>
      </w:r>
    </w:p>
    <w:p w14:paraId="31E85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E1FA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июня 1931 был одобрен тех-процесс производства Т-26 и завод Большевик начал изготовление приспособлений и ин</w:t>
      </w:r>
      <w:r w:rsidRPr="007122AB">
        <w:rPr>
          <w:rFonts w:ascii="Times New Roman" w:hAnsi="Times New Roman"/>
          <w:color w:val="000000" w:themeColor="text1"/>
          <w:sz w:val="16"/>
          <w:szCs w:val="16"/>
        </w:rPr>
        <w:softHyphen/>
        <w:t>струментов для массового производства. С самых первых дней работы над Т-26 КБ неоднократ</w:t>
      </w:r>
      <w:r w:rsidRPr="007122AB">
        <w:rPr>
          <w:rFonts w:ascii="Times New Roman" w:hAnsi="Times New Roman"/>
          <w:color w:val="000000" w:themeColor="text1"/>
          <w:sz w:val="16"/>
          <w:szCs w:val="16"/>
        </w:rPr>
        <w:softHyphen/>
        <w:t>но предлагало внести в конструкцию танка изменения, на</w:t>
      </w:r>
      <w:r w:rsidRPr="007122AB">
        <w:rPr>
          <w:rFonts w:ascii="Times New Roman" w:hAnsi="Times New Roman"/>
          <w:color w:val="000000" w:themeColor="text1"/>
          <w:sz w:val="16"/>
          <w:szCs w:val="16"/>
        </w:rPr>
        <w:softHyphen/>
        <w:t>правленные на упрощение технологии изготовления, но все они разбивались о непроходимые запреты (10736,175).</w:t>
      </w:r>
    </w:p>
    <w:p w14:paraId="2D4CAC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F91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июня 1931 на ленинградском заводе «Большевик» был одобрен техпроцесс и завод начал изготовление приспособлений и инструментов для массового производства Т-26. С первых дней все попытки заводчан хоть как то упростить технологию изготовления, разбивались о запреты. Требовалось точное копирование заморской «штуковины». Поначалу камнем преткновения стал двигатель, нормой брака по моторам считалось 65%! Ижорский завод подавал отвратительного качества бронекорпуса, они неизменно имели большое количество сквозных трещин. </w:t>
      </w:r>
      <w:proofErr w:type="spellStart"/>
      <w:r w:rsidRPr="007122AB">
        <w:rPr>
          <w:rFonts w:ascii="Times New Roman" w:hAnsi="Times New Roman"/>
          <w:color w:val="000000" w:themeColor="text1"/>
          <w:sz w:val="16"/>
          <w:szCs w:val="16"/>
        </w:rPr>
        <w:t>Бронелисты</w:t>
      </w:r>
      <w:proofErr w:type="spellEnd"/>
      <w:r w:rsidRPr="007122AB">
        <w:rPr>
          <w:rFonts w:ascii="Times New Roman" w:hAnsi="Times New Roman"/>
          <w:color w:val="000000" w:themeColor="text1"/>
          <w:sz w:val="16"/>
          <w:szCs w:val="16"/>
        </w:rPr>
        <w:t xml:space="preserve"> толщиной 10 мм в первый год пробивались винтовочной бронебойной пулей со 150–200 м, хотя это считалось невозможным, тем более, что спешка с освоением танка привела к появлению кустарщины, которая процветала до 1934 года. К тому же стоимость первых Т-26 в два раза превышала стоимость «</w:t>
      </w:r>
      <w:proofErr w:type="spellStart"/>
      <w:r w:rsidRPr="007122AB">
        <w:rPr>
          <w:rFonts w:ascii="Times New Roman" w:hAnsi="Times New Roman"/>
          <w:color w:val="000000" w:themeColor="text1"/>
          <w:sz w:val="16"/>
          <w:szCs w:val="16"/>
        </w:rPr>
        <w:t>Виккерсов</w:t>
      </w:r>
      <w:proofErr w:type="spellEnd"/>
      <w:r w:rsidRPr="007122AB">
        <w:rPr>
          <w:rFonts w:ascii="Times New Roman" w:hAnsi="Times New Roman"/>
          <w:color w:val="000000" w:themeColor="text1"/>
          <w:sz w:val="16"/>
          <w:szCs w:val="16"/>
        </w:rPr>
        <w:t>». Первые Т-26 были собраны с точнейшим следованием английским чертежам, с широким использованием импортных деталей, но двигатели на них работать отказались. Следующие 15 танков тоже не могли двигаться своим ходом и обретали прыть только при перекидке в них мотора с эталонного «Виккерса». Только осенью наши Т-26 стали выползать с территории завода самостоятельно.</w:t>
      </w:r>
    </w:p>
    <w:p w14:paraId="45FE2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в то время, когда «наверху» решались судьбы танка сопровождения, закупленные «</w:t>
      </w:r>
      <w:proofErr w:type="spellStart"/>
      <w:r w:rsidRPr="007122AB">
        <w:rPr>
          <w:rFonts w:ascii="Times New Roman" w:hAnsi="Times New Roman"/>
          <w:color w:val="000000" w:themeColor="text1"/>
          <w:sz w:val="16"/>
          <w:szCs w:val="16"/>
        </w:rPr>
        <w:t>шеститонники</w:t>
      </w:r>
      <w:proofErr w:type="spellEnd"/>
      <w:r w:rsidRPr="007122AB">
        <w:rPr>
          <w:rFonts w:ascii="Times New Roman" w:hAnsi="Times New Roman"/>
          <w:color w:val="000000" w:themeColor="text1"/>
          <w:sz w:val="16"/>
          <w:szCs w:val="16"/>
        </w:rPr>
        <w:t xml:space="preserve">» начали расползаться по стране. Танк 216 поступил в ВАММ - военная академия механизации и моторизации имени </w:t>
      </w:r>
      <w:proofErr w:type="spellStart"/>
      <w:r w:rsidRPr="007122AB">
        <w:rPr>
          <w:rFonts w:ascii="Times New Roman" w:hAnsi="Times New Roman"/>
          <w:color w:val="000000" w:themeColor="text1"/>
          <w:sz w:val="16"/>
          <w:szCs w:val="16"/>
        </w:rPr>
        <w:t>И.В.Сталина</w:t>
      </w:r>
      <w:proofErr w:type="spellEnd"/>
      <w:r w:rsidRPr="007122AB">
        <w:rPr>
          <w:rFonts w:ascii="Times New Roman" w:hAnsi="Times New Roman"/>
          <w:color w:val="000000" w:themeColor="text1"/>
          <w:sz w:val="16"/>
          <w:szCs w:val="16"/>
        </w:rPr>
        <w:t xml:space="preserve">, где был разобран для изучения, а танк 215 был для тех же целей отправлен в Сталинград, где предполагалось развернуть его производство. Там новинку разобрали, но собрать, в отличии от </w:t>
      </w:r>
      <w:proofErr w:type="spellStart"/>
      <w:r w:rsidRPr="007122AB">
        <w:rPr>
          <w:rFonts w:ascii="Times New Roman" w:hAnsi="Times New Roman"/>
          <w:color w:val="000000" w:themeColor="text1"/>
          <w:sz w:val="16"/>
          <w:szCs w:val="16"/>
        </w:rPr>
        <w:t>ВАММовцев</w:t>
      </w:r>
      <w:proofErr w:type="spellEnd"/>
      <w:r w:rsidRPr="007122AB">
        <w:rPr>
          <w:rFonts w:ascii="Times New Roman" w:hAnsi="Times New Roman"/>
          <w:color w:val="000000" w:themeColor="text1"/>
          <w:sz w:val="16"/>
          <w:szCs w:val="16"/>
        </w:rPr>
        <w:t xml:space="preserve"> не смогли, поскольку ряд деталей по многолетней традиции были не то утеряны, не то украдены в пути. Кроме того еще два танка (номера не установлены) были отправлены для ознакомления в Харьков и в Ленинград. Уже в ходе работ по сборке первых Т-26, корпус одного из «</w:t>
      </w:r>
      <w:proofErr w:type="spellStart"/>
      <w:r w:rsidRPr="007122AB">
        <w:rPr>
          <w:rFonts w:ascii="Times New Roman" w:hAnsi="Times New Roman"/>
          <w:color w:val="000000" w:themeColor="text1"/>
          <w:sz w:val="16"/>
          <w:szCs w:val="16"/>
        </w:rPr>
        <w:t>Виккерсов</w:t>
      </w:r>
      <w:proofErr w:type="spellEnd"/>
      <w:r w:rsidRPr="007122AB">
        <w:rPr>
          <w:rFonts w:ascii="Times New Roman" w:hAnsi="Times New Roman"/>
          <w:color w:val="000000" w:themeColor="text1"/>
          <w:sz w:val="16"/>
          <w:szCs w:val="16"/>
        </w:rPr>
        <w:t xml:space="preserve">» был отправлен на завод им. Орджоникидзе для изучения его брони. В ходе исследований отдельные детали корпуса подвергались обстрелу простой остроконечной пулей и бронебойной пулей типа АУ-30 из винтовки и пулемета с дистанции 50 м. Обстрел танк выдержал на «отлично» После химического анализа и исследований микроструктуры брони специалистами отмечалось «что </w:t>
      </w:r>
      <w:proofErr w:type="spellStart"/>
      <w:r w:rsidRPr="007122AB">
        <w:rPr>
          <w:rFonts w:ascii="Times New Roman" w:hAnsi="Times New Roman"/>
          <w:color w:val="000000" w:themeColor="text1"/>
          <w:sz w:val="16"/>
          <w:szCs w:val="16"/>
        </w:rPr>
        <w:t>цементованная</w:t>
      </w:r>
      <w:proofErr w:type="spellEnd"/>
      <w:r w:rsidRPr="007122AB">
        <w:rPr>
          <w:rFonts w:ascii="Times New Roman" w:hAnsi="Times New Roman"/>
          <w:color w:val="000000" w:themeColor="text1"/>
          <w:sz w:val="16"/>
          <w:szCs w:val="16"/>
        </w:rPr>
        <w:t xml:space="preserve"> броня очень высокого качества». Сравнение с поданными образцами брони Ижорского завода показало худшее качество отечественных листов, что было связано с отсутствием в СССР современного металлургического оборудования. Ввиду неготовности Ижорского завода к выпуску брони требуемого качества, решено было первые 15 танков выполнить с корпусами из </w:t>
      </w:r>
      <w:proofErr w:type="spellStart"/>
      <w:r w:rsidRPr="007122AB">
        <w:rPr>
          <w:rFonts w:ascii="Times New Roman" w:hAnsi="Times New Roman"/>
          <w:color w:val="000000" w:themeColor="text1"/>
          <w:sz w:val="16"/>
          <w:szCs w:val="16"/>
        </w:rPr>
        <w:t>неброневой</w:t>
      </w:r>
      <w:proofErr w:type="spellEnd"/>
      <w:r w:rsidRPr="007122AB">
        <w:rPr>
          <w:rFonts w:ascii="Times New Roman" w:hAnsi="Times New Roman"/>
          <w:color w:val="000000" w:themeColor="text1"/>
          <w:sz w:val="16"/>
          <w:szCs w:val="16"/>
        </w:rPr>
        <w:t xml:space="preserve"> стали. В связи с тем, что СТЗ еще не был достроен, то заказ на постройку первых 500 машин был спущен ленинградскому заводу «Большевик». Уже через месяц план был скорректирован до 300 шт., но и это количество оказалось нереальным (11809). </w:t>
      </w:r>
    </w:p>
    <w:p w14:paraId="4208B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C6AEA1" w14:textId="77777777" w:rsidR="00245CB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w:t>
      </w:r>
      <w:r w:rsidR="00245CB3" w:rsidRPr="007122AB">
        <w:rPr>
          <w:rFonts w:ascii="Times New Roman" w:hAnsi="Times New Roman"/>
          <w:color w:val="000000" w:themeColor="text1"/>
          <w:sz w:val="16"/>
          <w:szCs w:val="16"/>
        </w:rPr>
        <w:t xml:space="preserve"> 16 мая по 21 июня 1931 танк Кристи в ходе испытаний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58263F76"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4E5D7E10"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Гусеницы. После 40,5 км сломано 8 пальцев. </w:t>
      </w:r>
    </w:p>
    <w:p w14:paraId="73BA10BD"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44211633"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445D7FF7"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202ED9D" w14:textId="77777777" w:rsidR="00245CB3" w:rsidRPr="007122AB" w:rsidRDefault="00245CB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5562736E" w14:textId="77777777" w:rsidR="00245CB3" w:rsidRPr="007122AB" w:rsidRDefault="00245CB3" w:rsidP="007122AB">
      <w:pPr>
        <w:spacing w:after="0" w:line="240" w:lineRule="auto"/>
        <w:jc w:val="both"/>
        <w:rPr>
          <w:rFonts w:ascii="Times New Roman" w:hAnsi="Times New Roman"/>
          <w:color w:val="000000" w:themeColor="text1"/>
          <w:sz w:val="16"/>
          <w:szCs w:val="16"/>
        </w:rPr>
      </w:pPr>
    </w:p>
    <w:p w14:paraId="3CF3232B"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16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43. 16. О работе на Сталинградском тракторном заводе (ПБ от 10 декабря 1930 г., пр. № 20, п. 4/10) (Грачев, </w:t>
      </w:r>
      <w:proofErr w:type="spellStart"/>
      <w:r w:rsidRPr="007122AB">
        <w:rPr>
          <w:rFonts w:ascii="Times New Roman" w:hAnsi="Times New Roman"/>
          <w:color w:val="000000" w:themeColor="text1"/>
          <w:sz w:val="16"/>
          <w:szCs w:val="16"/>
          <w:u w:color="002060"/>
        </w:rPr>
        <w:t>Пудалов</w:t>
      </w:r>
      <w:proofErr w:type="spellEnd"/>
      <w:r w:rsidRPr="007122AB">
        <w:rPr>
          <w:rFonts w:ascii="Times New Roman" w:hAnsi="Times New Roman"/>
          <w:color w:val="000000" w:themeColor="text1"/>
          <w:sz w:val="16"/>
          <w:szCs w:val="16"/>
          <w:u w:color="002060"/>
        </w:rPr>
        <w:t>, Орджоникидзе, Михайлов, Птуха). (Политбюро... Т. 2. С. 179) (12416).</w:t>
      </w:r>
    </w:p>
    <w:p w14:paraId="56990B27"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p>
    <w:p w14:paraId="2E6F5B46"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июня 1931 г. В докладной записке № 91212сс о выполнении программы по танкостроению, адресованной В.М. Молотову, относительно работ по танковым дизелям К.Е. Ворошилов написал следующее:</w:t>
      </w:r>
    </w:p>
    <w:p w14:paraId="010D6AEB"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«Приступлено к разработке конструкции дизель-мотора. Работа идет очень медленным темпом из-за новизны конструкции и отсутствия заграничных опытных образцов. Состояние работ таково, что установленный инстанцией срок изготовления опытного образца в текущем году вряд ли будет выполнен».</w:t>
      </w:r>
    </w:p>
    <w:p w14:paraId="7ACB6EB7"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[РГВА. Ф. 4. Оп. 14. Д. 505. Л. 123 об.] (24856).</w:t>
      </w:r>
    </w:p>
    <w:p w14:paraId="69636F45"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1 мая 1933 г. был изготовлен, собран и обкатан первый советский дизель БД-2 мощностью 400 л. с. (24855)</w:t>
      </w:r>
    </w:p>
    <w:p w14:paraId="26B09B23" w14:textId="77777777" w:rsidR="002733A2" w:rsidRPr="00441F34" w:rsidRDefault="002733A2" w:rsidP="002733A2">
      <w:pPr>
        <w:spacing w:after="0" w:line="240" w:lineRule="auto"/>
        <w:jc w:val="both"/>
        <w:rPr>
          <w:rFonts w:ascii="Times New Roman" w:hAnsi="Times New Roman"/>
          <w:color w:val="0070C0"/>
          <w:sz w:val="16"/>
          <w:szCs w:val="16"/>
        </w:rPr>
      </w:pPr>
    </w:p>
    <w:p w14:paraId="603C44DC"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июня 1931 г.</w:t>
      </w:r>
    </w:p>
    <w:p w14:paraId="032AA024"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РГВА Фонд 4 Опись 14 Дело 505 лист 123 – 125 </w:t>
      </w:r>
    </w:p>
    <w:p w14:paraId="154E2DFE" w14:textId="77777777" w:rsidR="002733A2" w:rsidRPr="00441F34" w:rsidRDefault="002733A2" w:rsidP="002733A2">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Сов.Секретно</w:t>
      </w:r>
      <w:proofErr w:type="spellEnd"/>
      <w:r w:rsidRPr="00441F34">
        <w:rPr>
          <w:rFonts w:ascii="Times New Roman" w:hAnsi="Times New Roman"/>
          <w:color w:val="0070C0"/>
          <w:sz w:val="16"/>
          <w:szCs w:val="16"/>
        </w:rPr>
        <w:t xml:space="preserve">. </w:t>
      </w:r>
    </w:p>
    <w:p w14:paraId="7347237E"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Экз. № ___</w:t>
      </w:r>
    </w:p>
    <w:p w14:paraId="0B298ECA"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16 июня 1931 г. </w:t>
      </w:r>
    </w:p>
    <w:p w14:paraId="54579228"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01214сс</w:t>
      </w:r>
    </w:p>
    <w:p w14:paraId="3E8ED9E7"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ПРЕДСЕДАТЕЛЮ КОМИССИИ ОБОРОНЫ </w:t>
      </w:r>
    </w:p>
    <w:p w14:paraId="094A56CD"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тов. МОЛОТОВУ.</w:t>
      </w:r>
    </w:p>
    <w:p w14:paraId="03F0AED3"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20.II-31 г. инстанция приняла важнейшее решение о танкостроении. Дополнением и развитием этого основного решения является постановление Комиссии обороны по этому вопросу от 23.V-31 г. </w:t>
      </w:r>
    </w:p>
    <w:p w14:paraId="436F788B"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порядке контроля за выполнением этих решений докладываю. </w:t>
      </w:r>
    </w:p>
    <w:p w14:paraId="26704690"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w:t>
      </w:r>
      <w:r>
        <w:rPr>
          <w:rFonts w:ascii="Times New Roman" w:hAnsi="Times New Roman"/>
          <w:color w:val="0070C0"/>
          <w:sz w:val="16"/>
          <w:szCs w:val="16"/>
        </w:rPr>
        <w:t xml:space="preserve"> </w:t>
      </w:r>
      <w:r w:rsidRPr="00441F34">
        <w:rPr>
          <w:rFonts w:ascii="Times New Roman" w:hAnsi="Times New Roman"/>
          <w:color w:val="0070C0"/>
          <w:sz w:val="16"/>
          <w:szCs w:val="16"/>
        </w:rPr>
        <w:t>Танкетка.</w:t>
      </w:r>
      <w:r>
        <w:rPr>
          <w:rFonts w:ascii="Times New Roman" w:hAnsi="Times New Roman"/>
          <w:color w:val="0070C0"/>
          <w:sz w:val="16"/>
          <w:szCs w:val="16"/>
        </w:rPr>
        <w:t xml:space="preserve"> </w:t>
      </w:r>
      <w:r w:rsidRPr="00441F34">
        <w:rPr>
          <w:rFonts w:ascii="Times New Roman" w:hAnsi="Times New Roman"/>
          <w:color w:val="0070C0"/>
          <w:sz w:val="16"/>
          <w:szCs w:val="16"/>
        </w:rPr>
        <w:t>Заказ текущего года на 400 штук танкеток выполняется 2-м автозаводом</w:t>
      </w:r>
      <w:r>
        <w:rPr>
          <w:rFonts w:ascii="Times New Roman" w:hAnsi="Times New Roman"/>
          <w:color w:val="0070C0"/>
          <w:sz w:val="16"/>
          <w:szCs w:val="16"/>
        </w:rPr>
        <w:t xml:space="preserve"> </w:t>
      </w:r>
      <w:r w:rsidRPr="00441F34">
        <w:rPr>
          <w:rFonts w:ascii="Times New Roman" w:hAnsi="Times New Roman"/>
          <w:color w:val="0070C0"/>
          <w:sz w:val="16"/>
          <w:szCs w:val="16"/>
        </w:rPr>
        <w:t>неудовлетворительно</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из-за неподачи Ижорским заводом броневых корпусов. За пять месяцев 1931 года изготовлено только 25 танкеток или 6% годовой программы. </w:t>
      </w:r>
    </w:p>
    <w:p w14:paraId="3C4FC287"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Решением инстанции предлагалось проработать вопрос о </w:t>
      </w:r>
      <w:proofErr w:type="spellStart"/>
      <w:r w:rsidRPr="00441F34">
        <w:rPr>
          <w:rFonts w:ascii="Times New Roman" w:hAnsi="Times New Roman"/>
          <w:color w:val="0070C0"/>
          <w:sz w:val="16"/>
          <w:szCs w:val="16"/>
        </w:rPr>
        <w:t>танкетной</w:t>
      </w:r>
      <w:proofErr w:type="spellEnd"/>
      <w:r w:rsidRPr="00441F34">
        <w:rPr>
          <w:rFonts w:ascii="Times New Roman" w:hAnsi="Times New Roman"/>
          <w:color w:val="0070C0"/>
          <w:sz w:val="16"/>
          <w:szCs w:val="16"/>
        </w:rPr>
        <w:t xml:space="preserve"> базе на Нижегородском автозаводе, с использованием для этой цели 20 – 25% его производственной мощности. На сегодняшний день выяснилась возможность производства на автозаводе, начиная с весны 1932 года, 11 – 12 тыс. танкеток,</w:t>
      </w:r>
      <w:r>
        <w:rPr>
          <w:rFonts w:ascii="Times New Roman" w:hAnsi="Times New Roman"/>
          <w:color w:val="0070C0"/>
          <w:sz w:val="16"/>
          <w:szCs w:val="16"/>
        </w:rPr>
        <w:t xml:space="preserve"> </w:t>
      </w:r>
      <w:r w:rsidRPr="00441F34">
        <w:rPr>
          <w:rFonts w:ascii="Times New Roman" w:hAnsi="Times New Roman"/>
          <w:color w:val="0070C0"/>
          <w:sz w:val="16"/>
          <w:szCs w:val="16"/>
        </w:rPr>
        <w:t>при условии</w:t>
      </w:r>
      <w:r>
        <w:rPr>
          <w:rFonts w:ascii="Times New Roman" w:hAnsi="Times New Roman"/>
          <w:color w:val="0070C0"/>
          <w:sz w:val="16"/>
          <w:szCs w:val="16"/>
        </w:rPr>
        <w:t xml:space="preserve"> </w:t>
      </w:r>
      <w:r w:rsidRPr="00441F34">
        <w:rPr>
          <w:rFonts w:ascii="Times New Roman" w:hAnsi="Times New Roman"/>
          <w:color w:val="0070C0"/>
          <w:sz w:val="16"/>
          <w:szCs w:val="16"/>
        </w:rPr>
        <w:t>– сборки танкеток на одном их сборочных заводов (Москва, Н.-Новгород), изготовления для них броневых корпусов на Подольском заводе и проката цементированной брони для этих корпусов на Кулебакском металлургическом заводе.</w:t>
      </w:r>
      <w:r>
        <w:rPr>
          <w:rFonts w:ascii="Times New Roman" w:hAnsi="Times New Roman"/>
          <w:color w:val="0070C0"/>
          <w:sz w:val="16"/>
          <w:szCs w:val="16"/>
        </w:rPr>
        <w:t xml:space="preserve"> </w:t>
      </w:r>
      <w:r w:rsidRPr="00441F34">
        <w:rPr>
          <w:rFonts w:ascii="Times New Roman" w:hAnsi="Times New Roman"/>
          <w:color w:val="0070C0"/>
          <w:sz w:val="16"/>
          <w:szCs w:val="16"/>
        </w:rPr>
        <w:t>Этим заводам даны задания, но они ничем реально не обеспечены</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(объем работ не определен, стройматериалы не выделены, заказы на оборудование не размещены). </w:t>
      </w:r>
    </w:p>
    <w:p w14:paraId="5AE68211"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Таким образом, как текущий заказ на танкетки, так и подготовка к выполнению мобилизационного задания находятся в</w:t>
      </w:r>
      <w:r>
        <w:rPr>
          <w:rFonts w:ascii="Times New Roman" w:hAnsi="Times New Roman"/>
          <w:color w:val="0070C0"/>
          <w:sz w:val="16"/>
          <w:szCs w:val="16"/>
        </w:rPr>
        <w:t xml:space="preserve"> </w:t>
      </w:r>
      <w:r w:rsidRPr="00441F34">
        <w:rPr>
          <w:rFonts w:ascii="Times New Roman" w:hAnsi="Times New Roman"/>
          <w:color w:val="0070C0"/>
          <w:sz w:val="16"/>
          <w:szCs w:val="16"/>
        </w:rPr>
        <w:t>неудовлетворительном состоянии</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и требуют немедленных мероприятий. </w:t>
      </w:r>
    </w:p>
    <w:p w14:paraId="5818BBE3"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w:t>
      </w:r>
      <w:r>
        <w:rPr>
          <w:rFonts w:ascii="Times New Roman" w:hAnsi="Times New Roman"/>
          <w:color w:val="0070C0"/>
          <w:sz w:val="16"/>
          <w:szCs w:val="16"/>
        </w:rPr>
        <w:t xml:space="preserve"> </w:t>
      </w:r>
      <w:r w:rsidRPr="00441F34">
        <w:rPr>
          <w:rFonts w:ascii="Times New Roman" w:hAnsi="Times New Roman"/>
          <w:color w:val="0070C0"/>
          <w:sz w:val="16"/>
          <w:szCs w:val="16"/>
        </w:rPr>
        <w:t>Малый танк Виккерса.</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Подготовка к производству на заводе "Большевик" идет нормально. Но кооперированный с "Большевиком" </w:t>
      </w:r>
      <w:proofErr w:type="spellStart"/>
      <w:r w:rsidRPr="00441F34">
        <w:rPr>
          <w:rFonts w:ascii="Times New Roman" w:hAnsi="Times New Roman"/>
          <w:color w:val="0070C0"/>
          <w:sz w:val="16"/>
          <w:szCs w:val="16"/>
        </w:rPr>
        <w:t>Союзсельмаш</w:t>
      </w:r>
      <w:proofErr w:type="spellEnd"/>
      <w:r w:rsidRPr="00441F34">
        <w:rPr>
          <w:rFonts w:ascii="Times New Roman" w:hAnsi="Times New Roman"/>
          <w:color w:val="0070C0"/>
          <w:sz w:val="16"/>
          <w:szCs w:val="16"/>
        </w:rPr>
        <w:t xml:space="preserve"> не выполняет приказа ВСНХ по литью из ковкого чугуна, и тот же Ижорский завод совершенно не справляется с изготовлением броневых корпусов. </w:t>
      </w:r>
    </w:p>
    <w:p w14:paraId="47ECDB04"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Подготовка Сталинградского тракторного завода к выполнению мобилизационного задания по малым танкам Виккерса находится в таком состоянии, что не обеспечивает готовности завода к танковому производству к установленному сроку (весна 1932 г.). </w:t>
      </w:r>
    </w:p>
    <w:p w14:paraId="649B0357"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3.</w:t>
      </w:r>
      <w:r>
        <w:rPr>
          <w:rFonts w:ascii="Times New Roman" w:hAnsi="Times New Roman"/>
          <w:color w:val="0070C0"/>
          <w:sz w:val="16"/>
          <w:szCs w:val="16"/>
        </w:rPr>
        <w:t xml:space="preserve"> </w:t>
      </w:r>
      <w:r w:rsidRPr="00441F34">
        <w:rPr>
          <w:rFonts w:ascii="Times New Roman" w:hAnsi="Times New Roman"/>
          <w:color w:val="0070C0"/>
          <w:sz w:val="16"/>
          <w:szCs w:val="16"/>
        </w:rPr>
        <w:t>Быстроходный танк Кристи.</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Подготовка к производству на ХПЗ идет неудовлетворительно. Не закончена отделка и не приступлено к монтажу оборудования нового механического цеха; не начато строительство термической и инструментальной мастерских; ни один заказ по приказу ВСНХ кооперированным заводам ХПЗ не выдан. Такое положение не внушает уверенности в выполнении программы. </w:t>
      </w:r>
    </w:p>
    <w:p w14:paraId="29DC071C"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w:t>
      </w:r>
      <w:r>
        <w:rPr>
          <w:rFonts w:ascii="Times New Roman" w:hAnsi="Times New Roman"/>
          <w:color w:val="0070C0"/>
          <w:sz w:val="16"/>
          <w:szCs w:val="16"/>
        </w:rPr>
        <w:t xml:space="preserve"> </w:t>
      </w:r>
      <w:r w:rsidRPr="00441F34">
        <w:rPr>
          <w:rFonts w:ascii="Times New Roman" w:hAnsi="Times New Roman"/>
          <w:color w:val="0070C0"/>
          <w:sz w:val="16"/>
          <w:szCs w:val="16"/>
        </w:rPr>
        <w:t>По моторам для среднего танка.</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Еще не решен вопрос, строить ли новый завод или восстанавливать производство М5 на одном из существующих авиамоторных заводов. </w:t>
      </w:r>
    </w:p>
    <w:p w14:paraId="7909833A"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w:t>
      </w:r>
      <w:r>
        <w:rPr>
          <w:rFonts w:ascii="Times New Roman" w:hAnsi="Times New Roman"/>
          <w:color w:val="0070C0"/>
          <w:sz w:val="16"/>
          <w:szCs w:val="16"/>
        </w:rPr>
        <w:t xml:space="preserve"> </w:t>
      </w:r>
      <w:r w:rsidRPr="00441F34">
        <w:rPr>
          <w:rFonts w:ascii="Times New Roman" w:hAnsi="Times New Roman"/>
          <w:color w:val="0070C0"/>
          <w:sz w:val="16"/>
          <w:szCs w:val="16"/>
        </w:rPr>
        <w:t>По дизель-моторам.</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Приступлено к разработке конструкции дизель-мотора. Работа идет очень медленным темпом из-за новизны конструкции и отсутствия заграничных опытных образцов. Состояние работ таково, что установленный инстанцией срок изготовления опытного образца в текущем году вряд ли будет выполнен. </w:t>
      </w:r>
    </w:p>
    <w:p w14:paraId="7CFC41E6"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w:t>
      </w:r>
      <w:r>
        <w:rPr>
          <w:rFonts w:ascii="Times New Roman" w:hAnsi="Times New Roman"/>
          <w:color w:val="0070C0"/>
          <w:sz w:val="16"/>
          <w:szCs w:val="16"/>
        </w:rPr>
        <w:t xml:space="preserve"> </w:t>
      </w:r>
      <w:r w:rsidRPr="00441F34">
        <w:rPr>
          <w:rFonts w:ascii="Times New Roman" w:hAnsi="Times New Roman"/>
          <w:color w:val="0070C0"/>
          <w:sz w:val="16"/>
          <w:szCs w:val="16"/>
        </w:rPr>
        <w:t>По мелкому стальному фасонному литью.</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Составлен эскизный проект литейного цеха по мелкому фасонному стальному литью при Сталинградском тракторном заводе. Разрабатывается технологический процесс со сроком окончания к 1-му августа. Разработан и утвержден строительный проект, с 10-го июня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xml:space="preserve">. будет приступлено к работам по фундаментам. </w:t>
      </w:r>
    </w:p>
    <w:p w14:paraId="7479223E"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Строительство не обеспечено специальным фоном стройматериалов, и последние выделяются за счет общих фондов Сталинградского завода, которые к тому же весьма недостаточны. </w:t>
      </w:r>
    </w:p>
    <w:p w14:paraId="662390F1"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w:t>
      </w:r>
      <w:r>
        <w:rPr>
          <w:rFonts w:ascii="Times New Roman" w:hAnsi="Times New Roman"/>
          <w:color w:val="0070C0"/>
          <w:sz w:val="16"/>
          <w:szCs w:val="16"/>
        </w:rPr>
        <w:t xml:space="preserve"> </w:t>
      </w:r>
      <w:r w:rsidRPr="00441F34">
        <w:rPr>
          <w:rFonts w:ascii="Times New Roman" w:hAnsi="Times New Roman"/>
          <w:color w:val="0070C0"/>
          <w:sz w:val="16"/>
          <w:szCs w:val="16"/>
        </w:rPr>
        <w:t>По броне.</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Для броневого завода в Сталинграде разработан проект мартеновского и прокатного цехов. Площадка разбита и приступлено к рытью котлованов. Работы первой очереди стройматериалами обеспечены. Имеется спецификация на оборудование, к реализации заказов на которое приступлено. </w:t>
      </w:r>
    </w:p>
    <w:p w14:paraId="7D7C6775"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Особо необходимо остановиться на выполнении постановления К.О. об обязательном переходе с 1-го июля 1931 г. на массовое изготовление цементированного железа и цементированной брони с пониженным содержанием ферро-сплавов. Для этого пока что предпринято весьма мало: выделен незначительный фонд шамотного кирпича для ремонтирования старых печей на Ижорском заводе, к постройке же 8-ми дополнительных термических печей на Ижорском заводе еще не приступлено. Новая броневая мастерская на Ижорском заводе, вместо мая 1931 г., будет пущена в ход не ранее сентября. Такое положение создает узкое место по корпусам и угрожает выполнению всей программы по танкам. </w:t>
      </w:r>
    </w:p>
    <w:p w14:paraId="2899E1A6"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 изложенного видно, что важнейшие решения инстанции и К.О. о танкостроении выполняются неудовлетворительно. Поэтому считаю полезным заслушать, в порядке контроля, доклад об этом ВСНХ и РВСС на ближайшем заседании К.О.</w:t>
      </w:r>
    </w:p>
    <w:p w14:paraId="327277BF"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п/п НАРОДНЫЙ КОМИССАР ПО ВОЕННЫМ и МОРСКИМ ДЕЛАМ и </w:t>
      </w:r>
    </w:p>
    <w:p w14:paraId="6C689714"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ПРЕДСЕДАТЕЛЬ РВС СОЮЗА ССР (К. ВОРОШИЛОВ)</w:t>
      </w:r>
    </w:p>
    <w:p w14:paraId="0378B90E" w14:textId="77777777" w:rsidR="002733A2" w:rsidRPr="00441F34" w:rsidRDefault="002733A2" w:rsidP="002733A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Верно: Техн. Исп. 2-го Сект. Упр. Дел подпись (24862).</w:t>
      </w:r>
    </w:p>
    <w:p w14:paraId="495FF905" w14:textId="77777777" w:rsidR="002733A2" w:rsidRPr="00441F34" w:rsidRDefault="002733A2" w:rsidP="002733A2">
      <w:pPr>
        <w:spacing w:after="0" w:line="240" w:lineRule="auto"/>
        <w:jc w:val="both"/>
        <w:rPr>
          <w:rFonts w:ascii="Times New Roman" w:hAnsi="Times New Roman"/>
          <w:color w:val="0070C0"/>
          <w:sz w:val="16"/>
          <w:szCs w:val="16"/>
        </w:rPr>
      </w:pPr>
    </w:p>
    <w:p w14:paraId="484DAB89"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16 июня 1931 г.</w:t>
      </w:r>
    </w:p>
    <w:p w14:paraId="66BA94D6"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Докладная записка Л. К. Рамзина начальнику ЭКУ ОГПУ Г. Е. Прокофьеву об организации работ «по проектированию и постройке </w:t>
      </w:r>
      <w:proofErr w:type="spellStart"/>
      <w:r w:rsidRPr="007122AB">
        <w:rPr>
          <w:rFonts w:ascii="Times New Roman" w:hAnsi="Times New Roman"/>
          <w:color w:val="000000" w:themeColor="text1"/>
          <w:sz w:val="16"/>
          <w:szCs w:val="16"/>
        </w:rPr>
        <w:t>безбарабанного</w:t>
      </w:r>
      <w:proofErr w:type="spellEnd"/>
      <w:r w:rsidRPr="007122AB">
        <w:rPr>
          <w:rFonts w:ascii="Times New Roman" w:hAnsi="Times New Roman"/>
          <w:color w:val="000000" w:themeColor="text1"/>
          <w:sz w:val="16"/>
          <w:szCs w:val="16"/>
        </w:rPr>
        <w:t xml:space="preserve"> котла». 16 июня 1931 г.</w:t>
      </w:r>
    </w:p>
    <w:p w14:paraId="1EECCF6E"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DDE61D5" w14:textId="77777777" w:rsidR="00B60726" w:rsidRPr="007122AB" w:rsidRDefault="00B6072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5C3565"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77937D7" w14:textId="77777777" w:rsidR="00B60726" w:rsidRPr="007122AB" w:rsidRDefault="00B6072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69. Л. 30-30 об.</w:t>
      </w:r>
    </w:p>
    <w:p w14:paraId="505FE5E8" w14:textId="77777777" w:rsidR="00B60726" w:rsidRPr="007122AB" w:rsidRDefault="00B60726" w:rsidP="007122AB">
      <w:pPr>
        <w:pStyle w:val="rteright"/>
        <w:spacing w:before="0" w:after="0"/>
        <w:jc w:val="both"/>
        <w:rPr>
          <w:color w:val="000000" w:themeColor="text1"/>
          <w:sz w:val="16"/>
          <w:szCs w:val="16"/>
        </w:rPr>
      </w:pPr>
      <w:r w:rsidRPr="007122AB">
        <w:rPr>
          <w:color w:val="000000" w:themeColor="text1"/>
          <w:sz w:val="16"/>
          <w:szCs w:val="16"/>
        </w:rPr>
        <w:t>16 июня 1931 г.</w:t>
      </w:r>
    </w:p>
    <w:p w14:paraId="0A03D4F8"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Начальнику Экономического Управления ОГПУ</w:t>
      </w:r>
    </w:p>
    <w:p w14:paraId="500DDFD8"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Тов. Прокофьеву</w:t>
      </w:r>
    </w:p>
    <w:p w14:paraId="3F5152B0"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План работы по проектированию и постройке</w:t>
      </w:r>
    </w:p>
    <w:p w14:paraId="2DDDEF06" w14:textId="77777777" w:rsidR="00B60726" w:rsidRPr="007122AB" w:rsidRDefault="00B60726" w:rsidP="007122AB">
      <w:pPr>
        <w:pStyle w:val="ae"/>
        <w:spacing w:before="0" w:after="0"/>
        <w:jc w:val="both"/>
        <w:rPr>
          <w:color w:val="000000" w:themeColor="text1"/>
          <w:sz w:val="16"/>
          <w:szCs w:val="16"/>
        </w:rPr>
      </w:pPr>
      <w:proofErr w:type="spellStart"/>
      <w:r w:rsidRPr="007122AB">
        <w:rPr>
          <w:color w:val="000000" w:themeColor="text1"/>
          <w:sz w:val="16"/>
          <w:szCs w:val="16"/>
        </w:rPr>
        <w:t>безбарабанного</w:t>
      </w:r>
      <w:proofErr w:type="spellEnd"/>
      <w:r w:rsidRPr="007122AB">
        <w:rPr>
          <w:color w:val="000000" w:themeColor="text1"/>
          <w:sz w:val="16"/>
          <w:szCs w:val="16"/>
        </w:rPr>
        <w:t xml:space="preserve"> котла Рамзина</w:t>
      </w:r>
    </w:p>
    <w:p w14:paraId="36277ECA"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&lt;1&gt; Проект опытного котла Рамзина</w:t>
      </w:r>
    </w:p>
    <w:p w14:paraId="2437DB69"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Необходимо создать под руководством проф. Л. К. Рамзина проектную группу из специалистов-конструкторов по котлам. Наиболее подходящими являются </w:t>
      </w:r>
      <w:proofErr w:type="spellStart"/>
      <w:r w:rsidRPr="007122AB">
        <w:rPr>
          <w:color w:val="000000" w:themeColor="text1"/>
          <w:sz w:val="16"/>
          <w:szCs w:val="16"/>
        </w:rPr>
        <w:t>инж</w:t>
      </w:r>
      <w:proofErr w:type="spellEnd"/>
      <w:r w:rsidRPr="007122AB">
        <w:rPr>
          <w:color w:val="000000" w:themeColor="text1"/>
          <w:sz w:val="16"/>
          <w:szCs w:val="16"/>
        </w:rPr>
        <w:t xml:space="preserve">. Н. В. Пейн, </w:t>
      </w:r>
      <w:proofErr w:type="spellStart"/>
      <w:r w:rsidRPr="007122AB">
        <w:rPr>
          <w:color w:val="000000" w:themeColor="text1"/>
          <w:sz w:val="16"/>
          <w:szCs w:val="16"/>
        </w:rPr>
        <w:t>инж</w:t>
      </w:r>
      <w:proofErr w:type="spellEnd"/>
      <w:r w:rsidRPr="007122AB">
        <w:rPr>
          <w:color w:val="000000" w:themeColor="text1"/>
          <w:sz w:val="16"/>
          <w:szCs w:val="16"/>
        </w:rPr>
        <w:t xml:space="preserve">. Н. Н. Ревокатов и </w:t>
      </w:r>
      <w:proofErr w:type="spellStart"/>
      <w:r w:rsidRPr="007122AB">
        <w:rPr>
          <w:color w:val="000000" w:themeColor="text1"/>
          <w:sz w:val="16"/>
          <w:szCs w:val="16"/>
        </w:rPr>
        <w:t>инж</w:t>
      </w:r>
      <w:proofErr w:type="spellEnd"/>
      <w:r w:rsidRPr="007122AB">
        <w:rPr>
          <w:color w:val="000000" w:themeColor="text1"/>
          <w:sz w:val="16"/>
          <w:szCs w:val="16"/>
        </w:rPr>
        <w:t xml:space="preserve">. Ю. О. Нови. Кроме того, еще нужен 1 чертежник; можно напр. использовать </w:t>
      </w:r>
      <w:proofErr w:type="spellStart"/>
      <w:r w:rsidRPr="007122AB">
        <w:rPr>
          <w:color w:val="000000" w:themeColor="text1"/>
          <w:sz w:val="16"/>
          <w:szCs w:val="16"/>
        </w:rPr>
        <w:t>инж</w:t>
      </w:r>
      <w:proofErr w:type="spellEnd"/>
      <w:r w:rsidRPr="007122AB">
        <w:rPr>
          <w:color w:val="000000" w:themeColor="text1"/>
          <w:sz w:val="16"/>
          <w:szCs w:val="16"/>
        </w:rPr>
        <w:t xml:space="preserve">. Титова (из </w:t>
      </w:r>
      <w:proofErr w:type="spellStart"/>
      <w:r w:rsidRPr="007122AB">
        <w:rPr>
          <w:color w:val="000000" w:themeColor="text1"/>
          <w:sz w:val="16"/>
          <w:szCs w:val="16"/>
        </w:rPr>
        <w:t>Теплоинститута</w:t>
      </w:r>
      <w:proofErr w:type="spellEnd"/>
      <w:r w:rsidRPr="007122AB">
        <w:rPr>
          <w:color w:val="000000" w:themeColor="text1"/>
          <w:sz w:val="16"/>
          <w:szCs w:val="16"/>
        </w:rPr>
        <w:t xml:space="preserve">). Кроме того, для связи с внешним миром в смысле получения литературы, материалов, справок, консультаций и т. п. крайне желательно вхождение в состав группы 1-2 инженеров-коммунистов, теплотехников. Из них для связи с </w:t>
      </w:r>
      <w:proofErr w:type="spellStart"/>
      <w:r w:rsidRPr="007122AB">
        <w:rPr>
          <w:color w:val="000000" w:themeColor="text1"/>
          <w:sz w:val="16"/>
          <w:szCs w:val="16"/>
        </w:rPr>
        <w:t>Теплоинститутом</w:t>
      </w:r>
      <w:proofErr w:type="spellEnd"/>
      <w:r w:rsidRPr="007122AB">
        <w:rPr>
          <w:color w:val="000000" w:themeColor="text1"/>
          <w:sz w:val="16"/>
          <w:szCs w:val="16"/>
          <w:vertAlign w:val="superscript"/>
        </w:rPr>
        <w:t> </w:t>
      </w:r>
      <w:r w:rsidRPr="007122AB">
        <w:rPr>
          <w:color w:val="000000" w:themeColor="text1"/>
          <w:sz w:val="16"/>
          <w:szCs w:val="16"/>
        </w:rPr>
        <w:t xml:space="preserve">очень &lt;желателен&gt; здесь </w:t>
      </w:r>
      <w:proofErr w:type="spellStart"/>
      <w:r w:rsidRPr="007122AB">
        <w:rPr>
          <w:color w:val="000000" w:themeColor="text1"/>
          <w:sz w:val="16"/>
          <w:szCs w:val="16"/>
        </w:rPr>
        <w:t>инж</w:t>
      </w:r>
      <w:proofErr w:type="spellEnd"/>
      <w:r w:rsidRPr="007122AB">
        <w:rPr>
          <w:color w:val="000000" w:themeColor="text1"/>
          <w:sz w:val="16"/>
          <w:szCs w:val="16"/>
        </w:rPr>
        <w:t>. А. Миркин (</w:t>
      </w:r>
      <w:proofErr w:type="spellStart"/>
      <w:r w:rsidRPr="007122AB">
        <w:rPr>
          <w:color w:val="000000" w:themeColor="text1"/>
          <w:sz w:val="16"/>
          <w:szCs w:val="16"/>
        </w:rPr>
        <w:t>Теплоинститут</w:t>
      </w:r>
      <w:proofErr w:type="spellEnd"/>
      <w:r w:rsidRPr="007122AB">
        <w:rPr>
          <w:color w:val="000000" w:themeColor="text1"/>
          <w:sz w:val="16"/>
          <w:szCs w:val="16"/>
        </w:rPr>
        <w:t xml:space="preserve">). Всю группу, </w:t>
      </w:r>
      <w:proofErr w:type="spellStart"/>
      <w:r w:rsidRPr="007122AB">
        <w:rPr>
          <w:color w:val="000000" w:themeColor="text1"/>
          <w:sz w:val="16"/>
          <w:szCs w:val="16"/>
        </w:rPr>
        <w:t>ок</w:t>
      </w:r>
      <w:proofErr w:type="spellEnd"/>
      <w:r w:rsidRPr="007122AB">
        <w:rPr>
          <w:color w:val="000000" w:themeColor="text1"/>
          <w:sz w:val="16"/>
          <w:szCs w:val="16"/>
        </w:rPr>
        <w:t xml:space="preserve">. 5 человек целесообразно перебросить на завод </w:t>
      </w:r>
      <w:proofErr w:type="spellStart"/>
      <w:r w:rsidRPr="007122AB">
        <w:rPr>
          <w:color w:val="000000" w:themeColor="text1"/>
          <w:sz w:val="16"/>
          <w:szCs w:val="16"/>
        </w:rPr>
        <w:t>Парострой</w:t>
      </w:r>
      <w:proofErr w:type="spellEnd"/>
      <w:r w:rsidRPr="007122AB">
        <w:rPr>
          <w:color w:val="000000" w:themeColor="text1"/>
          <w:sz w:val="16"/>
          <w:szCs w:val="16"/>
        </w:rPr>
        <w:t xml:space="preserve">, где будет строиться котел. Группу поручить постоянному наблюдению одного из сотрудников ОГПУ. желательно инженера или техника, и </w:t>
      </w:r>
      <w:proofErr w:type="spellStart"/>
      <w:r w:rsidRPr="007122AB">
        <w:rPr>
          <w:color w:val="000000" w:themeColor="text1"/>
          <w:sz w:val="16"/>
          <w:szCs w:val="16"/>
        </w:rPr>
        <w:t>обезпечить</w:t>
      </w:r>
      <w:proofErr w:type="spellEnd"/>
      <w:r w:rsidRPr="007122AB">
        <w:rPr>
          <w:color w:val="000000" w:themeColor="text1"/>
          <w:sz w:val="16"/>
          <w:szCs w:val="16"/>
        </w:rPr>
        <w:t xml:space="preserve"> ее литературой, необходимыми данным и т. п.</w:t>
      </w:r>
    </w:p>
    <w:p w14:paraId="0DE8FE53"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Срок изготовления эскизного проекта 1—1</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w:t>
      </w:r>
      <w:r w:rsidRPr="007122AB">
        <w:rPr>
          <w:color w:val="000000" w:themeColor="text1"/>
          <w:sz w:val="16"/>
          <w:szCs w:val="16"/>
        </w:rPr>
        <w:t> месяца: параллельно идет заготовка и испытания материалов и оборудования для котла (трубки, форсунки, дымосос, мотор и т. п.); делаются запросы Торгпредством на заграничную арматуру и инструменты.</w:t>
      </w:r>
    </w:p>
    <w:p w14:paraId="3E716BF4"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2. Заказ материалов и оборудования в СССР и заграницей по получении ответов и предложений. Здесь крайне нужна для ускорения энергичная помощь ОГПУ.</w:t>
      </w:r>
    </w:p>
    <w:p w14:paraId="20473327"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&lt;3.&gt; Постройка опытного котла на заводе </w:t>
      </w:r>
      <w:proofErr w:type="spellStart"/>
      <w:r w:rsidRPr="007122AB">
        <w:rPr>
          <w:color w:val="000000" w:themeColor="text1"/>
          <w:sz w:val="16"/>
          <w:szCs w:val="16"/>
        </w:rPr>
        <w:t>Парострой</w:t>
      </w:r>
      <w:proofErr w:type="spellEnd"/>
      <w:r w:rsidRPr="007122AB">
        <w:rPr>
          <w:color w:val="000000" w:themeColor="text1"/>
          <w:sz w:val="16"/>
          <w:szCs w:val="16"/>
        </w:rPr>
        <w:t xml:space="preserve"> в Москве (как наиболее подходящем из Московских заводов) под наблюдением группы Рамзина потребует примерно 2-3 месяца. &lt;Необходимо&gt; получить здесь личную помощь со стороны тов. Прокофьева для &lt;...&gt; постройки и привлечь опытный заводской персонал.</w:t>
      </w:r>
    </w:p>
    <w:p w14:paraId="66822BE4"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4. Установка опытного котла в Теплотехническом Институте будет наиболее целесообразна, ибо там есть нужные инструменты и оборудование, что сильно облегчит и ускорит дело. Срок 1-1</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w:t>
      </w:r>
      <w:r w:rsidRPr="007122AB">
        <w:rPr>
          <w:color w:val="000000" w:themeColor="text1"/>
          <w:sz w:val="16"/>
          <w:szCs w:val="16"/>
        </w:rPr>
        <w:t> месяца. К этому времени надо получить уже заграничные инструменты и арматуру.</w:t>
      </w:r>
    </w:p>
    <w:p w14:paraId="2ADACA08"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5. Испытания опытного котла в </w:t>
      </w:r>
      <w:proofErr w:type="spellStart"/>
      <w:r w:rsidRPr="007122AB">
        <w:rPr>
          <w:color w:val="000000" w:themeColor="text1"/>
          <w:sz w:val="16"/>
          <w:szCs w:val="16"/>
        </w:rPr>
        <w:t>Теплоинституте</w:t>
      </w:r>
      <w:proofErr w:type="spellEnd"/>
      <w:r w:rsidRPr="007122AB">
        <w:rPr>
          <w:color w:val="000000" w:themeColor="text1"/>
          <w:sz w:val="16"/>
          <w:szCs w:val="16"/>
        </w:rPr>
        <w:t>, производимые Рамзиным и его группой, потребуют добавки еще 2-3 человек опытных экспериментаторов теплотехников. Время для испытаний — ориентировочно &lt;2-4 ме&gt;</w:t>
      </w:r>
      <w:proofErr w:type="spellStart"/>
      <w:r w:rsidRPr="007122AB">
        <w:rPr>
          <w:color w:val="000000" w:themeColor="text1"/>
          <w:sz w:val="16"/>
          <w:szCs w:val="16"/>
        </w:rPr>
        <w:t>сяца</w:t>
      </w:r>
      <w:proofErr w:type="spellEnd"/>
      <w:r w:rsidRPr="007122AB">
        <w:rPr>
          <w:color w:val="000000" w:themeColor="text1"/>
          <w:sz w:val="16"/>
          <w:szCs w:val="16"/>
        </w:rPr>
        <w:t>.</w:t>
      </w:r>
    </w:p>
    <w:p w14:paraId="26856694"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Таким образом, при отсутствии задержек с заказом советского и заграничного оборудования и с изготовлением и </w:t>
      </w:r>
      <w:proofErr w:type="spellStart"/>
      <w:r w:rsidRPr="007122AB">
        <w:rPr>
          <w:color w:val="000000" w:themeColor="text1"/>
          <w:sz w:val="16"/>
          <w:szCs w:val="16"/>
        </w:rPr>
        <w:t>монтажем</w:t>
      </w:r>
      <w:proofErr w:type="spellEnd"/>
      <w:r w:rsidRPr="007122AB">
        <w:rPr>
          <w:color w:val="000000" w:themeColor="text1"/>
          <w:sz w:val="16"/>
          <w:szCs w:val="16"/>
        </w:rPr>
        <w:t xml:space="preserve"> котла, всего от начала проектирования до конца опытов потребуется 6-9 месяцев.</w:t>
      </w:r>
    </w:p>
    <w:p w14:paraId="66BD1527"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6. Параллельно с постройкой и испытанием опытного котла будет идти проектировка и крупного промышленного котла </w:t>
      </w:r>
      <w:proofErr w:type="spellStart"/>
      <w:r w:rsidRPr="007122AB">
        <w:rPr>
          <w:color w:val="000000" w:themeColor="text1"/>
          <w:sz w:val="16"/>
          <w:szCs w:val="16"/>
        </w:rPr>
        <w:t>сист</w:t>
      </w:r>
      <w:proofErr w:type="spellEnd"/>
      <w:r w:rsidRPr="007122AB">
        <w:rPr>
          <w:color w:val="000000" w:themeColor="text1"/>
          <w:sz w:val="16"/>
          <w:szCs w:val="16"/>
        </w:rPr>
        <w:t>[</w:t>
      </w:r>
      <w:proofErr w:type="spellStart"/>
      <w:r w:rsidRPr="007122AB">
        <w:rPr>
          <w:color w:val="000000" w:themeColor="text1"/>
          <w:sz w:val="16"/>
          <w:szCs w:val="16"/>
        </w:rPr>
        <w:t>емы</w:t>
      </w:r>
      <w:proofErr w:type="spellEnd"/>
      <w:r w:rsidRPr="007122AB">
        <w:rPr>
          <w:color w:val="000000" w:themeColor="text1"/>
          <w:sz w:val="16"/>
          <w:szCs w:val="16"/>
        </w:rPr>
        <w:t>] Рамзина, так что через 9-10 месяцев будет &lt;—&gt; эскизный проект и промышленного крупного котла.</w:t>
      </w:r>
    </w:p>
    <w:p w14:paraId="7EE16DC1"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7. Потребные средства</w:t>
      </w:r>
    </w:p>
    <w:p w14:paraId="293C773B"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Проектирование, постройка, монтаж и испытания опытного котла потребуют при использовании имеющегося в </w:t>
      </w:r>
      <w:proofErr w:type="spellStart"/>
      <w:r w:rsidRPr="007122AB">
        <w:rPr>
          <w:color w:val="000000" w:themeColor="text1"/>
          <w:sz w:val="16"/>
          <w:szCs w:val="16"/>
        </w:rPr>
        <w:t>Теплоинституте</w:t>
      </w:r>
      <w:proofErr w:type="spellEnd"/>
      <w:r w:rsidRPr="007122AB">
        <w:rPr>
          <w:color w:val="000000" w:themeColor="text1"/>
          <w:sz w:val="16"/>
          <w:szCs w:val="16"/>
        </w:rPr>
        <w:t xml:space="preserve"> оборудования и приборов ориентировочно </w:t>
      </w:r>
      <w:proofErr w:type="spellStart"/>
      <w:r w:rsidRPr="007122AB">
        <w:rPr>
          <w:color w:val="000000" w:themeColor="text1"/>
          <w:sz w:val="16"/>
          <w:szCs w:val="16"/>
        </w:rPr>
        <w:t>ок</w:t>
      </w:r>
      <w:proofErr w:type="spellEnd"/>
      <w:r w:rsidRPr="007122AB">
        <w:rPr>
          <w:color w:val="000000" w:themeColor="text1"/>
          <w:sz w:val="16"/>
          <w:szCs w:val="16"/>
        </w:rPr>
        <w:t xml:space="preserve">. 35-40 </w:t>
      </w:r>
      <w:proofErr w:type="spellStart"/>
      <w:r w:rsidRPr="007122AB">
        <w:rPr>
          <w:color w:val="000000" w:themeColor="text1"/>
          <w:sz w:val="16"/>
          <w:szCs w:val="16"/>
        </w:rPr>
        <w:t>тыс</w:t>
      </w:r>
      <w:proofErr w:type="spellEnd"/>
      <w:r w:rsidRPr="007122AB">
        <w:rPr>
          <w:color w:val="000000" w:themeColor="text1"/>
          <w:sz w:val="16"/>
          <w:szCs w:val="16"/>
        </w:rPr>
        <w:t xml:space="preserve">, рублей; кроме того, на приобретение заграничных частей, как то арматуры и &lt;...&gt; высокого давления, регуляторов и измерительных приборов потребуется ориентировочно </w:t>
      </w:r>
      <w:proofErr w:type="spellStart"/>
      <w:r w:rsidRPr="007122AB">
        <w:rPr>
          <w:color w:val="000000" w:themeColor="text1"/>
          <w:sz w:val="16"/>
          <w:szCs w:val="16"/>
        </w:rPr>
        <w:t>ок</w:t>
      </w:r>
      <w:proofErr w:type="spellEnd"/>
      <w:r w:rsidRPr="007122AB">
        <w:rPr>
          <w:color w:val="000000" w:themeColor="text1"/>
          <w:sz w:val="16"/>
          <w:szCs w:val="16"/>
        </w:rPr>
        <w:t xml:space="preserve">. 5000-10000 </w:t>
      </w:r>
      <w:proofErr w:type="spellStart"/>
      <w:r w:rsidRPr="007122AB">
        <w:rPr>
          <w:color w:val="000000" w:themeColor="text1"/>
          <w:sz w:val="16"/>
          <w:szCs w:val="16"/>
        </w:rPr>
        <w:t>руб</w:t>
      </w:r>
      <w:proofErr w:type="spellEnd"/>
      <w:r w:rsidRPr="007122AB">
        <w:rPr>
          <w:color w:val="000000" w:themeColor="text1"/>
          <w:sz w:val="16"/>
          <w:szCs w:val="16"/>
        </w:rPr>
        <w:t xml:space="preserve">, валюты. Точные цифры будут указаны по окончании эскизного проекта и по &lt;...&gt; предложений от фирм. Подробный эскизный проект промышленного котла будет стоить еще вероятно </w:t>
      </w:r>
      <w:proofErr w:type="spellStart"/>
      <w:r w:rsidRPr="007122AB">
        <w:rPr>
          <w:color w:val="000000" w:themeColor="text1"/>
          <w:sz w:val="16"/>
          <w:szCs w:val="16"/>
        </w:rPr>
        <w:t>ок</w:t>
      </w:r>
      <w:proofErr w:type="spellEnd"/>
      <w:r w:rsidRPr="007122AB">
        <w:rPr>
          <w:color w:val="000000" w:themeColor="text1"/>
          <w:sz w:val="16"/>
          <w:szCs w:val="16"/>
        </w:rPr>
        <w:t>. 5000-10000 рублей.</w:t>
      </w:r>
    </w:p>
    <w:p w14:paraId="0FB6DE7D"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8. Серийное производство крупных промышленных котлов </w:t>
      </w:r>
      <w:proofErr w:type="spellStart"/>
      <w:r w:rsidRPr="007122AB">
        <w:rPr>
          <w:color w:val="000000" w:themeColor="text1"/>
          <w:sz w:val="16"/>
          <w:szCs w:val="16"/>
        </w:rPr>
        <w:t>сист</w:t>
      </w:r>
      <w:proofErr w:type="spellEnd"/>
      <w:r w:rsidRPr="007122AB">
        <w:rPr>
          <w:color w:val="000000" w:themeColor="text1"/>
          <w:sz w:val="16"/>
          <w:szCs w:val="16"/>
        </w:rPr>
        <w:t xml:space="preserve">. Рамзина и изготовление рабочих чертежей их будет целесообразно организовать уже на одном из сильных котельных заводов — на Ленинградском металлическом заводе им. Сталина, при чем &lt;...&gt; котел можно будет строить и на </w:t>
      </w:r>
      <w:proofErr w:type="spellStart"/>
      <w:r w:rsidRPr="007122AB">
        <w:rPr>
          <w:color w:val="000000" w:themeColor="text1"/>
          <w:sz w:val="16"/>
          <w:szCs w:val="16"/>
        </w:rPr>
        <w:t>Парострое</w:t>
      </w:r>
      <w:proofErr w:type="spellEnd"/>
      <w:r w:rsidRPr="007122AB">
        <w:rPr>
          <w:color w:val="000000" w:themeColor="text1"/>
          <w:sz w:val="16"/>
          <w:szCs w:val="16"/>
        </w:rPr>
        <w:t>.</w:t>
      </w:r>
    </w:p>
    <w:p w14:paraId="758222E5"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16.VI.1931 г.</w:t>
      </w:r>
    </w:p>
    <w:p w14:paraId="1C81A1F5"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Л. Рамзин</w:t>
      </w:r>
    </w:p>
    <w:p w14:paraId="342EE3BC" w14:textId="77777777" w:rsidR="00B60726" w:rsidRPr="007122AB" w:rsidRDefault="00B6072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69. Л. 30-30 об. Рукописный подлинник, автограф Л. К. Рамзина (написано карандашом). Данный текст положен в основу докладной записки А. Г. </w:t>
      </w:r>
      <w:proofErr w:type="spellStart"/>
      <w:r w:rsidRPr="007122AB">
        <w:rPr>
          <w:rStyle w:val="af0"/>
          <w:i w:val="0"/>
          <w:color w:val="000000" w:themeColor="text1"/>
          <w:sz w:val="16"/>
          <w:szCs w:val="16"/>
        </w:rPr>
        <w:t>Горянова</w:t>
      </w:r>
      <w:proofErr w:type="spellEnd"/>
      <w:r w:rsidRPr="007122AB">
        <w:rPr>
          <w:rStyle w:val="af0"/>
          <w:i w:val="0"/>
          <w:color w:val="000000" w:themeColor="text1"/>
          <w:sz w:val="16"/>
          <w:szCs w:val="16"/>
        </w:rPr>
        <w:t xml:space="preserve"> на имя Г. Е. Прокофьева «План работы по проектированию и постройке </w:t>
      </w:r>
      <w:proofErr w:type="spellStart"/>
      <w:r w:rsidRPr="007122AB">
        <w:rPr>
          <w:rStyle w:val="af0"/>
          <w:i w:val="0"/>
          <w:color w:val="000000" w:themeColor="text1"/>
          <w:sz w:val="16"/>
          <w:szCs w:val="16"/>
        </w:rPr>
        <w:t>безбарабанного</w:t>
      </w:r>
      <w:proofErr w:type="spellEnd"/>
      <w:r w:rsidRPr="007122AB">
        <w:rPr>
          <w:rStyle w:val="af0"/>
          <w:i w:val="0"/>
          <w:color w:val="000000" w:themeColor="text1"/>
          <w:sz w:val="16"/>
          <w:szCs w:val="16"/>
        </w:rPr>
        <w:t xml:space="preserve"> котла Рамзина» от 17 июня 1931 г. (см. док. № 7 данного раздела) (19064).</w:t>
      </w:r>
    </w:p>
    <w:p w14:paraId="05E371D3" w14:textId="77777777" w:rsidR="00B60726" w:rsidRPr="007122AB" w:rsidRDefault="00B60726" w:rsidP="007122AB">
      <w:pPr>
        <w:spacing w:after="0" w:line="240" w:lineRule="auto"/>
        <w:jc w:val="both"/>
        <w:rPr>
          <w:rFonts w:ascii="Times New Roman" w:hAnsi="Times New Roman"/>
          <w:color w:val="000000" w:themeColor="text1"/>
          <w:sz w:val="16"/>
          <w:szCs w:val="16"/>
        </w:rPr>
      </w:pPr>
    </w:p>
    <w:p w14:paraId="01926CE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9692ED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37B6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июня 1931 года пленум ЦК ВКП(б) принял решение о строительстве канала Москва-Волга, первоначально порученном </w:t>
      </w:r>
      <w:proofErr w:type="spellStart"/>
      <w:r w:rsidRPr="007122AB">
        <w:rPr>
          <w:rFonts w:ascii="Times New Roman" w:hAnsi="Times New Roman"/>
          <w:color w:val="000000" w:themeColor="text1"/>
          <w:sz w:val="16"/>
          <w:szCs w:val="16"/>
        </w:rPr>
        <w:t>Наркомводу</w:t>
      </w:r>
      <w:proofErr w:type="spellEnd"/>
      <w:r w:rsidRPr="007122AB">
        <w:rPr>
          <w:rFonts w:ascii="Times New Roman" w:hAnsi="Times New Roman"/>
          <w:color w:val="000000" w:themeColor="text1"/>
          <w:sz w:val="16"/>
          <w:szCs w:val="16"/>
        </w:rPr>
        <w:t xml:space="preserve"> СССР. При этом продолжали обсуждаться различные варианты трассы канала: Старицкий (от села Родня в нескольких километрах выше города Старица через Волоколамск с выходом на реку Истра); </w:t>
      </w:r>
      <w:proofErr w:type="spellStart"/>
      <w:r w:rsidRPr="007122AB">
        <w:rPr>
          <w:rFonts w:ascii="Times New Roman" w:hAnsi="Times New Roman"/>
          <w:color w:val="000000" w:themeColor="text1"/>
          <w:sz w:val="16"/>
          <w:szCs w:val="16"/>
        </w:rPr>
        <w:t>Шошинский</w:t>
      </w:r>
      <w:proofErr w:type="spellEnd"/>
      <w:r w:rsidRPr="007122AB">
        <w:rPr>
          <w:rFonts w:ascii="Times New Roman" w:hAnsi="Times New Roman"/>
          <w:color w:val="000000" w:themeColor="text1"/>
          <w:sz w:val="16"/>
          <w:szCs w:val="16"/>
        </w:rPr>
        <w:t xml:space="preserve"> (от города Корчева по линии Городище-Клин-Истра); наконец, Дмитровский (7560).</w:t>
      </w:r>
    </w:p>
    <w:p w14:paraId="0B6790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6AA3B2" w14:textId="77777777" w:rsidR="00A231EC" w:rsidRPr="007122AB" w:rsidRDefault="00A231E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июня 1931 года председатель ВСНХ СССР Григорий Орджоникидзе подписывает приказ о строительстве Криворожского металлургического завода. Согласно приказу завод необходимо было ввести в строй уже к концу 1932 года.</w:t>
      </w:r>
    </w:p>
    <w:p w14:paraId="7716CD4F" w14:textId="77777777" w:rsidR="00A231EC" w:rsidRPr="007122AB" w:rsidRDefault="00A231E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гигантского строительства необходимо было огромное количество людей. Небольшой отряд профессиональных строителей прибыл из Харькова. Всех остальных необходимо было вначале найти, а затем обучить.</w:t>
      </w:r>
    </w:p>
    <w:p w14:paraId="40CF543F" w14:textId="77777777" w:rsidR="00A231EC" w:rsidRPr="007122AB" w:rsidRDefault="00A231E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и этого оказалось недостаточно. По партийной разнарядке в Кривой Рог прибывали люди из близлежащих сёл. Ставя перед собой задачу построить предприятие, не уступающее лучшим зарубежным производствам, на завершающем этапе от услуг иностранных специалистов решили отказаться. Хотя поначалу здесь работали немцы и американцы (21166).</w:t>
      </w:r>
    </w:p>
    <w:p w14:paraId="6CDFDB29" w14:textId="77777777" w:rsidR="00A231EC" w:rsidRPr="007122AB" w:rsidRDefault="00A231EC" w:rsidP="007122AB">
      <w:pPr>
        <w:shd w:val="clear" w:color="auto" w:fill="FFFFFF"/>
        <w:spacing w:after="0" w:line="240" w:lineRule="auto"/>
        <w:jc w:val="both"/>
        <w:textAlignment w:val="top"/>
        <w:rPr>
          <w:rFonts w:ascii="Times New Roman" w:hAnsi="Times New Roman"/>
          <w:color w:val="000000" w:themeColor="text1"/>
          <w:sz w:val="16"/>
          <w:szCs w:val="16"/>
        </w:rPr>
      </w:pPr>
    </w:p>
    <w:p w14:paraId="1F0CD7C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ABDB99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864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июня 1931 Банк Англии предоставил Австрии заем, а Франция отказала в поддержке (3907,167).</w:t>
      </w:r>
    </w:p>
    <w:p w14:paraId="19DAB6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9A995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3F96F1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272F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июня 1931 состоялось техническое совещание руководителей групп отдела АГОС о ходе работ по АНТ-16 (1077,174).</w:t>
      </w:r>
    </w:p>
    <w:p w14:paraId="01525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6550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июня 1931 закончились гос. испытания Ш-2 в Ленинграде по линии НИИ ГВФ, которые шли с 12 июня 1931 (92,384).</w:t>
      </w:r>
    </w:p>
    <w:p w14:paraId="1FC4F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933D7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5A8EA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299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июня 1931 г. 305-мм ДРП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и 20 штук чугунных ядер весом 350 кг отправили на НИАП</w:t>
      </w:r>
    </w:p>
    <w:p w14:paraId="6290C8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посещении завода «Большевик» в январе 1932 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дал указание укоротить ствол на 10 калибров и оставить длину 3429 мм, то есть 11,2 калибра, а вес снаряда уменьшить до 250 кг.</w:t>
      </w:r>
    </w:p>
    <w:p w14:paraId="675F80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марта 1932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было произведено испытание 305-мм мортиры ДРП. Результаты испытаний:</w:t>
      </w:r>
    </w:p>
    <w:p w14:paraId="55BFE7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3E1A90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Понятно, что эта ДРП была лишь макетом орудия. Поэтому в 1933–1934 гг.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разработал проект новой установки — 305-мм самоходной полевой гаубицы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(СПГК). За проект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получил 700 тыс. рублей.</w:t>
      </w:r>
    </w:p>
    <w:p w14:paraId="1C2E27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31B3F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ее прошли неудачно, и в 1935 г. в план работ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включил разработать рабочий чертеж и изготовить опытный образец 305-мм гаубицы СПГК-305.</w:t>
      </w:r>
    </w:p>
    <w:p w14:paraId="60502C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7ED17F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1D71A3"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17 июня 1931 г.</w:t>
      </w:r>
    </w:p>
    <w:p w14:paraId="729D5241"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Предварительный план работы «по проектированию и постройке» котла по проекту Л. К. Рамзина. 17 июня 1931 г.</w:t>
      </w:r>
    </w:p>
    <w:p w14:paraId="186971DD"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041F4A4" w14:textId="77777777" w:rsidR="00B60726" w:rsidRPr="007122AB" w:rsidRDefault="00B6072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530AC0" w14:textId="77777777" w:rsidR="00B60726" w:rsidRPr="007122AB" w:rsidRDefault="00B6072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5D0330E" w14:textId="77777777" w:rsidR="00B60726" w:rsidRPr="007122AB" w:rsidRDefault="00B6072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22-21</w:t>
      </w:r>
    </w:p>
    <w:p w14:paraId="6F43689D" w14:textId="77777777" w:rsidR="00B60726" w:rsidRPr="007122AB" w:rsidRDefault="00B60726" w:rsidP="007122AB">
      <w:pPr>
        <w:pStyle w:val="rteright"/>
        <w:spacing w:before="0" w:after="0"/>
        <w:jc w:val="both"/>
        <w:rPr>
          <w:color w:val="000000" w:themeColor="text1"/>
          <w:sz w:val="16"/>
          <w:szCs w:val="16"/>
        </w:rPr>
      </w:pPr>
      <w:r w:rsidRPr="007122AB">
        <w:rPr>
          <w:color w:val="000000" w:themeColor="text1"/>
          <w:sz w:val="16"/>
          <w:szCs w:val="16"/>
        </w:rPr>
        <w:t>17 июня 1931 г.</w:t>
      </w:r>
    </w:p>
    <w:p w14:paraId="081148A6"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НАЧАЛЬНИКУ ЭКУ ОГПУ тов. ПРОКОФЬЕВУ</w:t>
      </w:r>
    </w:p>
    <w:p w14:paraId="1A1CB44A"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ПЛАН</w:t>
      </w:r>
    </w:p>
    <w:p w14:paraId="5A3D4642"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РАБОТЫ ПО ПРОЕКТИРОВАНИЮ И ПОСТРОЙКЕ</w:t>
      </w:r>
    </w:p>
    <w:p w14:paraId="7BBD47D6"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БЕЗБАРАБАННОГО КОТЛА РАМЗИНА</w:t>
      </w:r>
    </w:p>
    <w:p w14:paraId="2779D23B"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1. ПРОЕКТ ОПЫТНОГО КОТЛА РАМЗИНА</w:t>
      </w:r>
    </w:p>
    <w:p w14:paraId="0782F415"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Необходимо создать под руководством Л. К. РАМЗИНА проектную группу из специалистов-конструкторов по котлам.</w:t>
      </w:r>
    </w:p>
    <w:p w14:paraId="45DA8A84"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Наиболее подходящими являются: </w:t>
      </w:r>
      <w:proofErr w:type="spellStart"/>
      <w:r w:rsidRPr="007122AB">
        <w:rPr>
          <w:color w:val="000000" w:themeColor="text1"/>
          <w:sz w:val="16"/>
          <w:szCs w:val="16"/>
        </w:rPr>
        <w:t>инж</w:t>
      </w:r>
      <w:proofErr w:type="spellEnd"/>
      <w:r w:rsidRPr="007122AB">
        <w:rPr>
          <w:color w:val="000000" w:themeColor="text1"/>
          <w:sz w:val="16"/>
          <w:szCs w:val="16"/>
        </w:rPr>
        <w:t>[</w:t>
      </w:r>
      <w:proofErr w:type="spellStart"/>
      <w:r w:rsidRPr="007122AB">
        <w:rPr>
          <w:color w:val="000000" w:themeColor="text1"/>
          <w:sz w:val="16"/>
          <w:szCs w:val="16"/>
        </w:rPr>
        <w:t>енеры</w:t>
      </w:r>
      <w:proofErr w:type="spellEnd"/>
      <w:r w:rsidRPr="007122AB">
        <w:rPr>
          <w:color w:val="000000" w:themeColor="text1"/>
          <w:sz w:val="16"/>
          <w:szCs w:val="16"/>
        </w:rPr>
        <w:t>] Н. В. ЦЕЙЦ, Н. Н. РЕВОКАТОВ и Ю. О. НОВИ.</w:t>
      </w:r>
    </w:p>
    <w:p w14:paraId="6C00CF54"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Кроме того, еще нужен 1 чертежник-конструктор, а также для связи с внешним миром в смысле получения необходимой литературы, материалов, справок, консультаций и т. п. крайне желательно включить в состав группы 1-2 инженеров членов ВКП(б) — по специальности теплотехников.</w:t>
      </w:r>
    </w:p>
    <w:p w14:paraId="761EC080"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Всю группу в 5 человек целесообразно перебросить на завод «ПАРОСТРОЙ», где будет строится котел.</w:t>
      </w:r>
    </w:p>
    <w:p w14:paraId="14CBD96D"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Срок изготовления эскизного проекта 1 — 1</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w:t>
      </w:r>
      <w:r w:rsidRPr="007122AB">
        <w:rPr>
          <w:color w:val="000000" w:themeColor="text1"/>
          <w:sz w:val="16"/>
          <w:szCs w:val="16"/>
        </w:rPr>
        <w:t> месяца, — параллельно идет заготовка и испытание материалов и оборудования для котла (трубки, форсунки, дымосос, мотор и пр.); делаются запросы Торгпредством на заграничную арматуру и инструменты.</w:t>
      </w:r>
    </w:p>
    <w:p w14:paraId="6B60E5DD" w14:textId="77777777" w:rsidR="00B60726" w:rsidRPr="007122AB" w:rsidRDefault="00B60726" w:rsidP="007122AB">
      <w:pPr>
        <w:numPr>
          <w:ilvl w:val="0"/>
          <w:numId w:val="1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Заказ материалов и оборудования в СССР и за границей по получении ответов и предложений.</w:t>
      </w:r>
    </w:p>
    <w:p w14:paraId="7F5F431F" w14:textId="77777777" w:rsidR="00B60726" w:rsidRPr="007122AB" w:rsidRDefault="00B60726" w:rsidP="007122AB">
      <w:pPr>
        <w:numPr>
          <w:ilvl w:val="0"/>
          <w:numId w:val="1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опытного котла на заводе «ПАРОСТРОЙ» в Москве (на наиболее подходящих из Московских заводов) под наблюдением проектирующей группы потребует примерно 2-3 месяца, — для этого частично придется привлечь для работы опытный заводской персонал.</w:t>
      </w:r>
    </w:p>
    <w:p w14:paraId="049EF593" w14:textId="77777777" w:rsidR="00B60726" w:rsidRPr="007122AB" w:rsidRDefault="00B60726" w:rsidP="007122AB">
      <w:pPr>
        <w:numPr>
          <w:ilvl w:val="0"/>
          <w:numId w:val="1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опытного котла в Теплотехническом Институте будет наиболее целесообразна, так как там есть нужные инструменты и оборудование, что сильно облегчит и ускорит дело.</w:t>
      </w:r>
    </w:p>
    <w:p w14:paraId="613FBEE0"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Срок 1 — 1</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w:t>
      </w:r>
      <w:r w:rsidRPr="007122AB">
        <w:rPr>
          <w:color w:val="000000" w:themeColor="text1"/>
          <w:sz w:val="16"/>
          <w:szCs w:val="16"/>
        </w:rPr>
        <w:t> месяца. К этому времени надо получить уже заграничные инструменты и арматуру.</w:t>
      </w:r>
    </w:p>
    <w:p w14:paraId="658A733C" w14:textId="77777777" w:rsidR="00B60726" w:rsidRPr="007122AB" w:rsidRDefault="00B60726" w:rsidP="007122AB">
      <w:pPr>
        <w:numPr>
          <w:ilvl w:val="0"/>
          <w:numId w:val="1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опытного котла в Теплотехническом Институте производится 2-4 месяца.</w:t>
      </w:r>
    </w:p>
    <w:p w14:paraId="0B73B92A"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 xml:space="preserve">Таким образом при отсутствии задержки с заказом советского и заграничного оборудования и с изготовлением и </w:t>
      </w:r>
      <w:proofErr w:type="spellStart"/>
      <w:r w:rsidRPr="007122AB">
        <w:rPr>
          <w:color w:val="000000" w:themeColor="text1"/>
          <w:sz w:val="16"/>
          <w:szCs w:val="16"/>
        </w:rPr>
        <w:t>монтажем</w:t>
      </w:r>
      <w:proofErr w:type="spellEnd"/>
      <w:r w:rsidRPr="007122AB">
        <w:rPr>
          <w:color w:val="000000" w:themeColor="text1"/>
          <w:sz w:val="16"/>
          <w:szCs w:val="16"/>
        </w:rPr>
        <w:t xml:space="preserve"> котла, всего от начала проектирования и до конца опытов потребуется 6-9 месяцев.</w:t>
      </w:r>
    </w:p>
    <w:p w14:paraId="7193371A" w14:textId="77777777" w:rsidR="00B60726" w:rsidRPr="007122AB" w:rsidRDefault="00B60726" w:rsidP="007122AB">
      <w:pPr>
        <w:numPr>
          <w:ilvl w:val="0"/>
          <w:numId w:val="1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постройки и испытания опытного котла будет идти проектировка и другого промышленного котла, той же системы, также через 9-10 месяцев будет дан уже эскизный проект и промышленного крупного котла.</w:t>
      </w:r>
    </w:p>
    <w:p w14:paraId="37B5DF26" w14:textId="77777777" w:rsidR="00B60726" w:rsidRPr="007122AB" w:rsidRDefault="00B60726" w:rsidP="007122AB">
      <w:pPr>
        <w:numPr>
          <w:ilvl w:val="0"/>
          <w:numId w:val="20"/>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НЕОБХОДИМЫЕ СРЕДСТВА</w:t>
      </w:r>
    </w:p>
    <w:p w14:paraId="573E94A3"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Проектирование, постройка, монтаж и испытание опытного котла потребует при использовании имеющихся в Теплотехническом Институте оборудования и приборов ориентировочно 35-40 тысяч рублей и, кроме того, на приобретение заграничного оборудования от 5000-10000 рублей валюты.</w:t>
      </w:r>
    </w:p>
    <w:p w14:paraId="16D91745" w14:textId="77777777" w:rsidR="00B60726" w:rsidRPr="007122AB" w:rsidRDefault="00B60726" w:rsidP="007122AB">
      <w:pPr>
        <w:numPr>
          <w:ilvl w:val="0"/>
          <w:numId w:val="21"/>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Серийное производство крупных промышленных котлов данной системы будет затем целесообразно организовать уже на заводе им. СТАЛИНА в Ленинграде, — при чем часть котлов можно будет строить на ПАРОСТРОЕ.</w:t>
      </w:r>
    </w:p>
    <w:p w14:paraId="215E74AE" w14:textId="77777777" w:rsidR="00B60726" w:rsidRPr="007122AB" w:rsidRDefault="00B60726" w:rsidP="007122AB">
      <w:pPr>
        <w:pStyle w:val="rtejustify"/>
        <w:spacing w:before="0" w:after="0"/>
        <w:rPr>
          <w:color w:val="000000" w:themeColor="text1"/>
          <w:sz w:val="16"/>
          <w:szCs w:val="16"/>
        </w:rPr>
      </w:pPr>
      <w:r w:rsidRPr="007122AB">
        <w:rPr>
          <w:color w:val="000000" w:themeColor="text1"/>
          <w:sz w:val="16"/>
          <w:szCs w:val="16"/>
        </w:rPr>
        <w:t>НАЧАЛЬНИК ТЕХ. ОТД. ЭКУ ОГПУ (</w:t>
      </w:r>
      <w:proofErr w:type="spellStart"/>
      <w:r w:rsidRPr="007122AB">
        <w:rPr>
          <w:color w:val="000000" w:themeColor="text1"/>
          <w:sz w:val="16"/>
          <w:szCs w:val="16"/>
        </w:rPr>
        <w:t>Горянов</w:t>
      </w:r>
      <w:proofErr w:type="spellEnd"/>
      <w:r w:rsidRPr="007122AB">
        <w:rPr>
          <w:color w:val="000000" w:themeColor="text1"/>
          <w:sz w:val="16"/>
          <w:szCs w:val="16"/>
        </w:rPr>
        <w:t>)</w:t>
      </w:r>
    </w:p>
    <w:p w14:paraId="3FAEFD0B" w14:textId="77777777" w:rsidR="00B60726" w:rsidRPr="007122AB" w:rsidRDefault="00B60726" w:rsidP="007122AB">
      <w:pPr>
        <w:pStyle w:val="ae"/>
        <w:spacing w:before="0" w:after="0"/>
        <w:jc w:val="both"/>
        <w:rPr>
          <w:color w:val="000000" w:themeColor="text1"/>
          <w:sz w:val="16"/>
          <w:szCs w:val="16"/>
        </w:rPr>
      </w:pPr>
      <w:r w:rsidRPr="007122AB">
        <w:rPr>
          <w:color w:val="000000" w:themeColor="text1"/>
          <w:sz w:val="16"/>
          <w:szCs w:val="16"/>
        </w:rPr>
        <w:t>«17» июня 1931 года</w:t>
      </w:r>
    </w:p>
    <w:p w14:paraId="372E73ED" w14:textId="77777777" w:rsidR="00B60726" w:rsidRPr="007122AB" w:rsidRDefault="00B6072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2. Л. 22-21. Машинописный экземпляр того времени. Число в дате вписано от руки. Внизу листа слева подписи-автографы «Бедняков», «М. Еме&lt;...&gt;» (неразборчиво). На Л. 22 вверху слева написана </w:t>
      </w:r>
      <w:proofErr w:type="spellStart"/>
      <w:r w:rsidRPr="007122AB">
        <w:rPr>
          <w:rStyle w:val="af0"/>
          <w:i w:val="0"/>
          <w:color w:val="000000" w:themeColor="text1"/>
          <w:sz w:val="16"/>
          <w:szCs w:val="16"/>
        </w:rPr>
        <w:t>отруки</w:t>
      </w:r>
      <w:proofErr w:type="spellEnd"/>
      <w:r w:rsidRPr="007122AB">
        <w:rPr>
          <w:rStyle w:val="af0"/>
          <w:i w:val="0"/>
          <w:color w:val="000000" w:themeColor="text1"/>
          <w:sz w:val="16"/>
          <w:szCs w:val="16"/>
        </w:rPr>
        <w:t xml:space="preserve"> дата «17/VI», справа также </w:t>
      </w:r>
      <w:proofErr w:type="spellStart"/>
      <w:r w:rsidRPr="007122AB">
        <w:rPr>
          <w:rStyle w:val="af0"/>
          <w:i w:val="0"/>
          <w:color w:val="000000" w:themeColor="text1"/>
          <w:sz w:val="16"/>
          <w:szCs w:val="16"/>
        </w:rPr>
        <w:t>отруки</w:t>
      </w:r>
      <w:proofErr w:type="spellEnd"/>
      <w:r w:rsidRPr="007122AB">
        <w:rPr>
          <w:rStyle w:val="af0"/>
          <w:i w:val="0"/>
          <w:color w:val="000000" w:themeColor="text1"/>
          <w:sz w:val="16"/>
          <w:szCs w:val="16"/>
        </w:rPr>
        <w:t xml:space="preserve"> «Котел» (19065).</w:t>
      </w:r>
    </w:p>
    <w:p w14:paraId="0C221847" w14:textId="77777777" w:rsidR="00B60726" w:rsidRPr="007122AB" w:rsidRDefault="00B60726" w:rsidP="007122AB">
      <w:pPr>
        <w:spacing w:after="0" w:line="240" w:lineRule="auto"/>
        <w:jc w:val="both"/>
        <w:rPr>
          <w:rFonts w:ascii="Times New Roman" w:hAnsi="Times New Roman"/>
          <w:color w:val="000000" w:themeColor="text1"/>
          <w:sz w:val="16"/>
          <w:szCs w:val="16"/>
        </w:rPr>
      </w:pPr>
    </w:p>
    <w:p w14:paraId="130A12B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47CD5C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228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июня 1931 Британские власти в Китае арестовали Хо Ши Мина (2100).</w:t>
      </w:r>
    </w:p>
    <w:p w14:paraId="7AE2D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B63C0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июня 1931 английскими властями в Китае арестован вьетнамский коммунистический лидер Хо Ши Мин (4962).</w:t>
      </w:r>
    </w:p>
    <w:p w14:paraId="4928C9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CCFD09" w14:textId="77777777" w:rsidR="00E9344B" w:rsidRPr="007122AB" w:rsidRDefault="00E9344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17 июня 1931 г. в Гонконге британские власти арестовали лидера коммунистов Индокитая Хо Ши Мина (17325).</w:t>
      </w:r>
    </w:p>
    <w:p w14:paraId="1F14154B" w14:textId="77777777" w:rsidR="00E9344B" w:rsidRPr="007122AB" w:rsidRDefault="00E9344B"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0ED83" w14:textId="77777777" w:rsidR="000868EC" w:rsidRPr="007122AB" w:rsidRDefault="000868EC" w:rsidP="000868EC">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C54B279" w14:textId="77777777" w:rsidR="000868EC" w:rsidRPr="007122AB" w:rsidRDefault="000868EC" w:rsidP="000868EC">
      <w:pPr>
        <w:autoSpaceDE w:val="0"/>
        <w:autoSpaceDN w:val="0"/>
        <w:adjustRightInd w:val="0"/>
        <w:spacing w:after="0" w:line="240" w:lineRule="auto"/>
        <w:jc w:val="both"/>
        <w:rPr>
          <w:rFonts w:ascii="Times New Roman" w:hAnsi="Times New Roman"/>
          <w:iCs/>
          <w:color w:val="000000" w:themeColor="text1"/>
          <w:sz w:val="16"/>
          <w:szCs w:val="16"/>
        </w:rPr>
      </w:pPr>
    </w:p>
    <w:p w14:paraId="0585A965" w14:textId="77777777" w:rsidR="000868EC" w:rsidRPr="009F5089" w:rsidRDefault="000868EC" w:rsidP="000868EC">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18 июня 1931 г. в </w:t>
      </w:r>
      <w:r w:rsidRPr="009F5089">
        <w:rPr>
          <w:rFonts w:ascii="Times New Roman" w:hAnsi="Times New Roman"/>
          <w:color w:val="0070C0"/>
          <w:sz w:val="16"/>
          <w:szCs w:val="16"/>
        </w:rPr>
        <w:t xml:space="preserve">Москве состоялась торжественная передача ВВС нового до самолета </w:t>
      </w:r>
      <w:r>
        <w:rPr>
          <w:rFonts w:ascii="Times New Roman" w:hAnsi="Times New Roman"/>
          <w:color w:val="0070C0"/>
          <w:sz w:val="16"/>
          <w:szCs w:val="16"/>
        </w:rPr>
        <w:t>Р</w:t>
      </w:r>
      <w:r w:rsidRPr="009F5089">
        <w:rPr>
          <w:rFonts w:ascii="Times New Roman" w:hAnsi="Times New Roman"/>
          <w:color w:val="0070C0"/>
          <w:sz w:val="16"/>
          <w:szCs w:val="16"/>
        </w:rPr>
        <w:t>-</w:t>
      </w:r>
      <w:r>
        <w:rPr>
          <w:rFonts w:ascii="Times New Roman" w:hAnsi="Times New Roman"/>
          <w:color w:val="0070C0"/>
          <w:sz w:val="16"/>
          <w:szCs w:val="16"/>
        </w:rPr>
        <w:t>5</w:t>
      </w:r>
      <w:r w:rsidRPr="009F5089">
        <w:rPr>
          <w:rFonts w:ascii="Times New Roman" w:hAnsi="Times New Roman"/>
          <w:color w:val="0070C0"/>
          <w:sz w:val="16"/>
          <w:szCs w:val="16"/>
        </w:rPr>
        <w:t xml:space="preserve"> "Красногвардеец Украины",</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построенного на </w:t>
      </w:r>
      <w:r>
        <w:rPr>
          <w:rFonts w:ascii="Times New Roman" w:hAnsi="Times New Roman"/>
          <w:color w:val="0070C0"/>
          <w:sz w:val="16"/>
          <w:szCs w:val="16"/>
        </w:rPr>
        <w:t>средства</w:t>
      </w:r>
      <w:r w:rsidRPr="009F5089">
        <w:rPr>
          <w:rFonts w:ascii="Times New Roman" w:hAnsi="Times New Roman"/>
          <w:color w:val="0070C0"/>
          <w:sz w:val="16"/>
          <w:szCs w:val="16"/>
        </w:rPr>
        <w:t xml:space="preserve"> военного инженера,</w:t>
      </w:r>
      <w:r>
        <w:rPr>
          <w:rFonts w:ascii="Times New Roman" w:hAnsi="Times New Roman"/>
          <w:color w:val="0070C0"/>
          <w:sz w:val="16"/>
          <w:szCs w:val="16"/>
        </w:rPr>
        <w:t xml:space="preserve"> </w:t>
      </w:r>
      <w:r w:rsidRPr="009F5089">
        <w:rPr>
          <w:rFonts w:ascii="Times New Roman" w:hAnsi="Times New Roman"/>
          <w:color w:val="0070C0"/>
          <w:sz w:val="16"/>
          <w:szCs w:val="16"/>
        </w:rPr>
        <w:t>быв</w:t>
      </w:r>
      <w:r>
        <w:rPr>
          <w:rFonts w:ascii="Times New Roman" w:hAnsi="Times New Roman"/>
          <w:color w:val="0070C0"/>
          <w:sz w:val="16"/>
          <w:szCs w:val="16"/>
        </w:rPr>
        <w:t>ш</w:t>
      </w:r>
      <w:r w:rsidRPr="009F5089">
        <w:rPr>
          <w:rFonts w:ascii="Times New Roman" w:hAnsi="Times New Roman"/>
          <w:color w:val="0070C0"/>
          <w:sz w:val="16"/>
          <w:szCs w:val="16"/>
        </w:rPr>
        <w:t>его красногвардейца,</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Б.П.А</w:t>
      </w:r>
      <w:r>
        <w:rPr>
          <w:rFonts w:ascii="Times New Roman" w:hAnsi="Times New Roman"/>
          <w:color w:val="0070C0"/>
          <w:sz w:val="16"/>
          <w:szCs w:val="16"/>
        </w:rPr>
        <w:t>ндреянова</w:t>
      </w:r>
      <w:proofErr w:type="spellEnd"/>
      <w:r>
        <w:rPr>
          <w:rFonts w:ascii="Times New Roman" w:hAnsi="Times New Roman"/>
          <w:color w:val="0070C0"/>
          <w:sz w:val="16"/>
          <w:szCs w:val="16"/>
        </w:rPr>
        <w:t>. Инженер</w:t>
      </w:r>
      <w:r w:rsidRPr="009F5089">
        <w:rPr>
          <w:rFonts w:ascii="Times New Roman" w:hAnsi="Times New Roman"/>
          <w:color w:val="0070C0"/>
          <w:sz w:val="16"/>
          <w:szCs w:val="16"/>
        </w:rPr>
        <w:t xml:space="preserve"> Андреянов получил за свое изобретение гонорар в сум</w:t>
      </w:r>
      <w:r>
        <w:rPr>
          <w:rFonts w:ascii="Times New Roman" w:hAnsi="Times New Roman"/>
          <w:color w:val="0070C0"/>
          <w:sz w:val="16"/>
          <w:szCs w:val="16"/>
        </w:rPr>
        <w:t>ме 40 тыс. рублей</w:t>
      </w:r>
      <w:r w:rsidRPr="009F5089">
        <w:rPr>
          <w:rFonts w:ascii="Times New Roman" w:hAnsi="Times New Roman"/>
          <w:color w:val="0070C0"/>
          <w:sz w:val="16"/>
          <w:szCs w:val="16"/>
        </w:rPr>
        <w:t>, из коих 35 тысяч отдал на постройку самолета</w:t>
      </w:r>
      <w:r>
        <w:rPr>
          <w:rFonts w:ascii="Times New Roman" w:hAnsi="Times New Roman"/>
          <w:color w:val="0070C0"/>
          <w:sz w:val="16"/>
          <w:szCs w:val="16"/>
        </w:rPr>
        <w:t>, остальные -</w:t>
      </w:r>
      <w:r w:rsidRPr="009F5089">
        <w:rPr>
          <w:rFonts w:ascii="Times New Roman" w:hAnsi="Times New Roman"/>
          <w:color w:val="0070C0"/>
          <w:sz w:val="16"/>
          <w:szCs w:val="16"/>
        </w:rPr>
        <w:t xml:space="preserve"> своему землячеству "Красногвардеец Украины".</w:t>
      </w:r>
      <w:r>
        <w:rPr>
          <w:rFonts w:ascii="Times New Roman" w:hAnsi="Times New Roman"/>
          <w:color w:val="0070C0"/>
          <w:sz w:val="16"/>
          <w:szCs w:val="16"/>
        </w:rPr>
        <w:t xml:space="preserve"> Э</w:t>
      </w:r>
      <w:r w:rsidRPr="009F5089">
        <w:rPr>
          <w:rFonts w:ascii="Times New Roman" w:hAnsi="Times New Roman"/>
          <w:color w:val="0070C0"/>
          <w:sz w:val="16"/>
          <w:szCs w:val="16"/>
        </w:rPr>
        <w:t xml:space="preserve">то </w:t>
      </w:r>
      <w:r>
        <w:rPr>
          <w:rFonts w:ascii="Times New Roman" w:hAnsi="Times New Roman"/>
          <w:color w:val="0070C0"/>
          <w:sz w:val="16"/>
          <w:szCs w:val="16"/>
        </w:rPr>
        <w:t>был первый</w:t>
      </w:r>
      <w:r w:rsidRPr="009F5089">
        <w:rPr>
          <w:rFonts w:ascii="Times New Roman" w:hAnsi="Times New Roman"/>
          <w:color w:val="0070C0"/>
          <w:sz w:val="16"/>
          <w:szCs w:val="16"/>
        </w:rPr>
        <w:t xml:space="preserve"> в СССР патриотический по ступок</w:t>
      </w:r>
      <w:r>
        <w:rPr>
          <w:rFonts w:ascii="Times New Roman" w:hAnsi="Times New Roman"/>
          <w:color w:val="0070C0"/>
          <w:sz w:val="16"/>
          <w:szCs w:val="16"/>
        </w:rPr>
        <w:t>,</w:t>
      </w:r>
      <w:r w:rsidRPr="009F5089">
        <w:rPr>
          <w:rFonts w:ascii="Times New Roman" w:hAnsi="Times New Roman"/>
          <w:color w:val="0070C0"/>
          <w:sz w:val="16"/>
          <w:szCs w:val="16"/>
        </w:rPr>
        <w:t xml:space="preserve"> выраженный в пожертво</w:t>
      </w:r>
      <w:r>
        <w:rPr>
          <w:rFonts w:ascii="Times New Roman" w:hAnsi="Times New Roman"/>
          <w:color w:val="0070C0"/>
          <w:sz w:val="16"/>
          <w:szCs w:val="16"/>
        </w:rPr>
        <w:t xml:space="preserve">вании </w:t>
      </w:r>
      <w:r w:rsidRPr="009F5089">
        <w:rPr>
          <w:rFonts w:ascii="Times New Roman" w:hAnsi="Times New Roman"/>
          <w:color w:val="0070C0"/>
          <w:sz w:val="16"/>
          <w:szCs w:val="16"/>
        </w:rPr>
        <w:t>боевого самолета на оборону родины.</w:t>
      </w:r>
    </w:p>
    <w:p w14:paraId="73C0329F" w14:textId="77777777" w:rsidR="000868EC" w:rsidRDefault="000868EC" w:rsidP="000868EC">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lastRenderedPageBreak/>
        <w:t>/«Красная звезда</w:t>
      </w:r>
      <w:r>
        <w:rPr>
          <w:rFonts w:ascii="Times New Roman" w:hAnsi="Times New Roman"/>
          <w:color w:val="0070C0"/>
          <w:sz w:val="16"/>
          <w:szCs w:val="16"/>
        </w:rPr>
        <w:t>»</w:t>
      </w:r>
      <w:r w:rsidRPr="009F5089">
        <w:rPr>
          <w:rFonts w:ascii="Times New Roman" w:hAnsi="Times New Roman"/>
          <w:color w:val="0070C0"/>
          <w:sz w:val="16"/>
          <w:szCs w:val="16"/>
        </w:rPr>
        <w:t xml:space="preserve"> за 21 июня 1931;</w:t>
      </w:r>
      <w:r>
        <w:rPr>
          <w:rFonts w:ascii="Times New Roman" w:hAnsi="Times New Roman"/>
          <w:color w:val="0070C0"/>
          <w:sz w:val="16"/>
          <w:szCs w:val="16"/>
        </w:rPr>
        <w:t xml:space="preserve"> </w:t>
      </w:r>
      <w:r w:rsidRPr="009F5089">
        <w:rPr>
          <w:rFonts w:ascii="Times New Roman" w:hAnsi="Times New Roman"/>
          <w:color w:val="0070C0"/>
          <w:sz w:val="16"/>
          <w:szCs w:val="16"/>
        </w:rPr>
        <w:t>приказ РВС № 8/2 от 13.6.31/</w:t>
      </w:r>
      <w:r>
        <w:rPr>
          <w:rFonts w:ascii="Times New Roman" w:hAnsi="Times New Roman"/>
          <w:color w:val="0070C0"/>
          <w:sz w:val="16"/>
          <w:szCs w:val="16"/>
        </w:rPr>
        <w:t xml:space="preserve"> (23370).</w:t>
      </w:r>
    </w:p>
    <w:p w14:paraId="2F63010A" w14:textId="77777777" w:rsidR="000868EC" w:rsidRPr="009F5089" w:rsidRDefault="000868EC" w:rsidP="000868EC">
      <w:pPr>
        <w:spacing w:after="0" w:line="240" w:lineRule="auto"/>
        <w:jc w:val="both"/>
        <w:rPr>
          <w:rFonts w:ascii="Times New Roman" w:hAnsi="Times New Roman"/>
          <w:color w:val="0070C0"/>
          <w:sz w:val="16"/>
          <w:szCs w:val="16"/>
        </w:rPr>
      </w:pPr>
    </w:p>
    <w:p w14:paraId="60819B9C"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73BA6CE"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7B25B1" w14:textId="77777777" w:rsidR="00052365" w:rsidRPr="007122AB" w:rsidRDefault="0005236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18 июня 1931 г. Серго Орджоникидзе проводит президиум ВСНХ, посвященный пуску Харьковского тракторного завода. Через год ВСНХ будет существенно понижен в статусе и преобразован в Наркомат тяжелой промышленности. После самоубийства Орджоникидзе наркомат существовал 2 года и был ликвидирован, вместо него волновой герой Сталин создал 7 отдельных наркоматов (17325).</w:t>
      </w:r>
    </w:p>
    <w:p w14:paraId="6D61F6FA" w14:textId="77777777" w:rsidR="00052365" w:rsidRPr="007122AB" w:rsidRDefault="0005236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4CC270"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18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СНК СССР № 114с об отчуждении земель в районе ст. </w:t>
      </w:r>
      <w:proofErr w:type="spellStart"/>
      <w:r w:rsidRPr="007122AB">
        <w:rPr>
          <w:rFonts w:ascii="Times New Roman" w:hAnsi="Times New Roman"/>
          <w:color w:val="000000" w:themeColor="text1"/>
          <w:sz w:val="16"/>
          <w:szCs w:val="16"/>
          <w:u w:color="002060"/>
        </w:rPr>
        <w:t>Дангаузской</w:t>
      </w:r>
      <w:proofErr w:type="spellEnd"/>
      <w:r w:rsidRPr="007122AB">
        <w:rPr>
          <w:rFonts w:ascii="Times New Roman" w:hAnsi="Times New Roman"/>
          <w:color w:val="000000" w:themeColor="text1"/>
          <w:sz w:val="16"/>
          <w:szCs w:val="16"/>
          <w:u w:color="002060"/>
        </w:rPr>
        <w:t xml:space="preserve"> и Маячной для размещения научно-испытательного зенитного полигона (ГА РФ. Ф. Р?8418. Оп. 28. Д. 14а. Л. 47) (12415).</w:t>
      </w:r>
    </w:p>
    <w:p w14:paraId="35CC3900"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p>
    <w:p w14:paraId="76B38791" w14:textId="77777777" w:rsidR="001E6C64" w:rsidRPr="007122AB" w:rsidRDefault="001E6C6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064CC52" w14:textId="77777777" w:rsidR="001E6C64" w:rsidRPr="007122AB" w:rsidRDefault="001E6C6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FF4F5E" w14:textId="77777777" w:rsidR="001E6C64" w:rsidRPr="007122AB" w:rsidRDefault="001E6C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июня 1931 г. состоялся совместный пленум МК, МГК и президиума областного и городского исполкома. Как и пленум ЦК, это заседание носило пропагандистский характер «всеобщего одобрения». Каганович представил окончательный вариант перечня практических мероприятий, подчеркнув, что пленум должен его обсудить и утвердить. Так и произошло, причем даже в обратном порядке. Пленум поручил Бюро МК и МГК составить календарный план выполнения намеченных мер{342} (18299).</w:t>
      </w:r>
    </w:p>
    <w:p w14:paraId="7E947A00" w14:textId="77777777" w:rsidR="001E6C64" w:rsidRPr="007122AB" w:rsidRDefault="001E6C64" w:rsidP="007122AB">
      <w:pPr>
        <w:spacing w:after="0" w:line="240" w:lineRule="auto"/>
        <w:jc w:val="both"/>
        <w:rPr>
          <w:rFonts w:ascii="Times New Roman" w:hAnsi="Times New Roman"/>
          <w:color w:val="000000" w:themeColor="text1"/>
          <w:sz w:val="16"/>
          <w:szCs w:val="16"/>
        </w:rPr>
      </w:pPr>
    </w:p>
    <w:p w14:paraId="21193C5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02C0C6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4E49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июня 1931 г. начальник </w:t>
      </w:r>
      <w:proofErr w:type="spellStart"/>
      <w:r w:rsidRPr="007122AB">
        <w:rPr>
          <w:rFonts w:ascii="Times New Roman" w:hAnsi="Times New Roman"/>
          <w:color w:val="000000" w:themeColor="text1"/>
          <w:sz w:val="16"/>
          <w:szCs w:val="16"/>
        </w:rPr>
        <w:t>Военвоздухсил</w:t>
      </w:r>
      <w:proofErr w:type="spellEnd"/>
      <w:r w:rsidRPr="007122AB">
        <w:rPr>
          <w:rFonts w:ascii="Times New Roman" w:hAnsi="Times New Roman"/>
          <w:color w:val="000000" w:themeColor="text1"/>
          <w:sz w:val="16"/>
          <w:szCs w:val="16"/>
        </w:rPr>
        <w:t xml:space="preserve"> Черного моря Лавров и ст. инженер НИИ ВВС Кудрявцев писали письмо N 00282с начальнику ВВС.</w:t>
      </w:r>
    </w:p>
    <w:p w14:paraId="1FFB6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Предварительная оценка самолета ТБ1а-2М17 установленного на поплавки фирмы "ШОРТА" на основании заводских полетов и начала гос. испытаний.</w:t>
      </w:r>
    </w:p>
    <w:p w14:paraId="0A69F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w:t>
      </w:r>
    </w:p>
    <w:p w14:paraId="1F7FC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 данным нескольких взлетов и посадок с различными полетными весами можно сказать о достаточно хороших мореходных, взлетных и посадочных качествах самолета ТБ1а-2М17 на </w:t>
      </w:r>
      <w:proofErr w:type="spellStart"/>
      <w:r w:rsidRPr="007122AB">
        <w:rPr>
          <w:rFonts w:ascii="Times New Roman" w:hAnsi="Times New Roman"/>
          <w:color w:val="000000" w:themeColor="text1"/>
          <w:sz w:val="16"/>
          <w:szCs w:val="16"/>
        </w:rPr>
        <w:t>Шортовских</w:t>
      </w:r>
      <w:proofErr w:type="spellEnd"/>
      <w:r w:rsidRPr="007122AB">
        <w:rPr>
          <w:rFonts w:ascii="Times New Roman" w:hAnsi="Times New Roman"/>
          <w:color w:val="000000" w:themeColor="text1"/>
          <w:sz w:val="16"/>
          <w:szCs w:val="16"/>
        </w:rPr>
        <w:t xml:space="preserve"> поплавках.</w:t>
      </w:r>
    </w:p>
    <w:p w14:paraId="03D56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 условиях работы ВВС БМ самолет ТБ1а-2М17 можно считать вполне мореходным, в условиях ВВС ЧМ самолет следует считать основным мобилизационным ресурсом на ближайший год, т.к. его мореходные и ожидаемые летные данные близки к самолету ДВ-2БМВVIZ (3260,58-60).</w:t>
      </w:r>
    </w:p>
    <w:p w14:paraId="2C957A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D65A6A"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июня 1931 г.</w:t>
      </w:r>
    </w:p>
    <w:p w14:paraId="0F578C19"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ПИСЬМО ЗАВЕДУЮЩЕГО III ЗАПАДНЫМ ОТДЕЛОМ НКИД СССР Е.В. РУБИНИНА ЗАМЕСТИТЕЛЮ НАЧАЛЬНИКА ВОГВФ Я.Я. АНВЕЛЬТУ', ПОМОЩНИКУ НАЧАЛЬНИКА ШТАБА РККА В.К. ТРИАНДАФИЛЛОВУ И НАЧАЛЬНИКУ ОО ОГПУ Я. ОЛЬСКОМУ’ О РАЗРЕШЕНИИ ПЕРЕЛЕТА НЬЮ-ЙОРК - МОСКВА АМЕРИКАНСКИМ ЛЕТЧИКАМ Р.Н. БОРДМАНУ И ДЖ. ПОЛАНСУ</w:t>
      </w:r>
    </w:p>
    <w:p w14:paraId="2CA64AAA"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июня 1931 г.</w:t>
      </w:r>
    </w:p>
    <w:p w14:paraId="028B1C5A"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2DCB4BD7"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срочно</w:t>
      </w:r>
    </w:p>
    <w:p w14:paraId="6B2931D9"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Американские летчики </w:t>
      </w:r>
      <w:proofErr w:type="spellStart"/>
      <w:r w:rsidRPr="007122AB">
        <w:rPr>
          <w:rFonts w:ascii="Times New Roman" w:hAnsi="Times New Roman"/>
          <w:color w:val="000000" w:themeColor="text1"/>
          <w:sz w:val="16"/>
          <w:szCs w:val="16"/>
        </w:rPr>
        <w:t>Рессель</w:t>
      </w:r>
      <w:proofErr w:type="spellEnd"/>
      <w:r w:rsidRPr="007122AB">
        <w:rPr>
          <w:rFonts w:ascii="Times New Roman" w:hAnsi="Times New Roman"/>
          <w:color w:val="000000" w:themeColor="text1"/>
          <w:sz w:val="16"/>
          <w:szCs w:val="16"/>
        </w:rPr>
        <w:t xml:space="preserve"> Н. </w:t>
      </w:r>
      <w:proofErr w:type="spellStart"/>
      <w:r w:rsidRPr="007122AB">
        <w:rPr>
          <w:rFonts w:ascii="Times New Roman" w:hAnsi="Times New Roman"/>
          <w:color w:val="000000" w:themeColor="text1"/>
          <w:sz w:val="16"/>
          <w:szCs w:val="16"/>
        </w:rPr>
        <w:t>Бордман</w:t>
      </w:r>
      <w:proofErr w:type="spellEnd"/>
      <w:r w:rsidRPr="007122AB">
        <w:rPr>
          <w:rFonts w:ascii="Times New Roman" w:hAnsi="Times New Roman"/>
          <w:color w:val="000000" w:themeColor="text1"/>
          <w:sz w:val="16"/>
          <w:szCs w:val="16"/>
        </w:rPr>
        <w:t xml:space="preserve">, 33 лет, и Джон </w:t>
      </w:r>
      <w:proofErr w:type="spellStart"/>
      <w:r w:rsidRPr="007122AB">
        <w:rPr>
          <w:rFonts w:ascii="Times New Roman" w:hAnsi="Times New Roman"/>
          <w:color w:val="000000" w:themeColor="text1"/>
          <w:sz w:val="16"/>
          <w:szCs w:val="16"/>
        </w:rPr>
        <w:t>Поланс</w:t>
      </w:r>
      <w:proofErr w:type="spellEnd"/>
      <w:r w:rsidRPr="007122AB">
        <w:rPr>
          <w:rFonts w:ascii="Times New Roman" w:hAnsi="Times New Roman"/>
          <w:color w:val="000000" w:themeColor="text1"/>
          <w:sz w:val="16"/>
          <w:szCs w:val="16"/>
        </w:rPr>
        <w:t>, 29 лет, обратились через т. Сквирского за разрешением на перелет по маршруту Нью-Йорк — Москва (без посадки в Европе) и затем в Японию. Цель: побить мировой рекорд беспосадочного полета на большую дистанцию. Готовы, в случае благоприятной погоды, стартовать в ближайшие дни.</w:t>
      </w:r>
    </w:p>
    <w:p w14:paraId="266A5243"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w:t>
      </w:r>
      <w:proofErr w:type="spellStart"/>
      <w:r w:rsidRPr="007122AB">
        <w:rPr>
          <w:rFonts w:ascii="Times New Roman" w:hAnsi="Times New Roman"/>
          <w:color w:val="000000" w:themeColor="text1"/>
          <w:sz w:val="16"/>
          <w:szCs w:val="16"/>
        </w:rPr>
        <w:t>Беланка</w:t>
      </w:r>
      <w:proofErr w:type="spellEnd"/>
      <w:r w:rsidRPr="007122AB">
        <w:rPr>
          <w:rFonts w:ascii="Times New Roman" w:hAnsi="Times New Roman"/>
          <w:color w:val="000000" w:themeColor="text1"/>
          <w:sz w:val="16"/>
          <w:szCs w:val="16"/>
        </w:rPr>
        <w:t>. Мотор Райт. Отличительный знак NR-761W, цвет черный и желтый. Радио и фотокамеры не имеются. Предполагает забрать в Москве 700 галлонов газолина и 25 галлонов масла.</w:t>
      </w:r>
    </w:p>
    <w:p w14:paraId="57E294B4"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Просим дать Ваше заключение в срочном порядке. В случае разрешения полета оформление въезда (виза) будет совершено по прибытии летчиков в Москву, т.к. наших консульств в западном полушарии не имеется.</w:t>
      </w:r>
    </w:p>
    <w:p w14:paraId="2A6F985B"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 Ш Западным отделом РУБИНИН</w:t>
      </w:r>
    </w:p>
    <w:p w14:paraId="1634A22B"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Референт ВИНОГРАДОВ</w:t>
      </w:r>
    </w:p>
    <w:p w14:paraId="7C3E0D8E" w14:textId="77777777" w:rsidR="00D77FC3" w:rsidRPr="007122AB" w:rsidRDefault="00D77F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w:t>
      </w:r>
      <w:r w:rsidRPr="007122AB">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РФ</w:t>
      </w:r>
      <w:r w:rsidRPr="007122AB">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Ф</w:t>
      </w:r>
      <w:r w:rsidRPr="007122AB">
        <w:rPr>
          <w:rFonts w:ascii="Times New Roman" w:hAnsi="Times New Roman"/>
          <w:color w:val="000000" w:themeColor="text1"/>
          <w:sz w:val="16"/>
          <w:szCs w:val="16"/>
          <w:lang w:val="en-US"/>
        </w:rPr>
        <w:t xml:space="preserve">. 0129. On. 14. </w:t>
      </w:r>
      <w:r w:rsidRPr="007122AB">
        <w:rPr>
          <w:rFonts w:ascii="Times New Roman" w:hAnsi="Times New Roman"/>
          <w:color w:val="000000" w:themeColor="text1"/>
          <w:sz w:val="16"/>
          <w:szCs w:val="16"/>
        </w:rPr>
        <w:t>П</w:t>
      </w:r>
      <w:r w:rsidRPr="007122AB">
        <w:rPr>
          <w:rFonts w:ascii="Times New Roman" w:hAnsi="Times New Roman"/>
          <w:color w:val="000000" w:themeColor="text1"/>
          <w:sz w:val="16"/>
          <w:szCs w:val="16"/>
          <w:lang w:val="en-US"/>
        </w:rPr>
        <w:t xml:space="preserve">. 127. </w:t>
      </w:r>
      <w:r w:rsidRPr="007122AB">
        <w:rPr>
          <w:rFonts w:ascii="Times New Roman" w:hAnsi="Times New Roman"/>
          <w:color w:val="000000" w:themeColor="text1"/>
          <w:sz w:val="16"/>
          <w:szCs w:val="16"/>
        </w:rPr>
        <w:t>Д</w:t>
      </w:r>
      <w:r w:rsidRPr="007122AB">
        <w:rPr>
          <w:rFonts w:ascii="Times New Roman" w:hAnsi="Times New Roman"/>
          <w:color w:val="000000" w:themeColor="text1"/>
          <w:sz w:val="16"/>
          <w:szCs w:val="16"/>
          <w:lang w:val="en-US"/>
        </w:rPr>
        <w:t xml:space="preserve">. 325. </w:t>
      </w:r>
      <w:r w:rsidRPr="007122AB">
        <w:rPr>
          <w:rFonts w:ascii="Times New Roman" w:hAnsi="Times New Roman"/>
          <w:color w:val="000000" w:themeColor="text1"/>
          <w:sz w:val="16"/>
          <w:szCs w:val="16"/>
        </w:rPr>
        <w:t>Л. 9. Заверенная копия (20850).</w:t>
      </w:r>
    </w:p>
    <w:p w14:paraId="739AFACB" w14:textId="77777777" w:rsidR="00D77FC3" w:rsidRPr="007122AB" w:rsidRDefault="00D77FC3" w:rsidP="007122AB">
      <w:pPr>
        <w:spacing w:after="0" w:line="240" w:lineRule="auto"/>
        <w:jc w:val="both"/>
        <w:rPr>
          <w:rFonts w:ascii="Times New Roman" w:hAnsi="Times New Roman"/>
          <w:color w:val="000000" w:themeColor="text1"/>
          <w:sz w:val="16"/>
          <w:szCs w:val="16"/>
        </w:rPr>
      </w:pPr>
    </w:p>
    <w:p w14:paraId="7D80E71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52E030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37A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июня 1931 </w:t>
      </w:r>
      <w:proofErr w:type="spellStart"/>
      <w:r w:rsidRPr="007122AB">
        <w:rPr>
          <w:rFonts w:ascii="Times New Roman" w:hAnsi="Times New Roman"/>
          <w:color w:val="000000" w:themeColor="text1"/>
          <w:sz w:val="16"/>
          <w:szCs w:val="16"/>
        </w:rPr>
        <w:t>М.Н.Тухачевский</w:t>
      </w:r>
      <w:proofErr w:type="spellEnd"/>
      <w:r w:rsidRPr="007122AB">
        <w:rPr>
          <w:rFonts w:ascii="Times New Roman" w:hAnsi="Times New Roman"/>
          <w:color w:val="000000" w:themeColor="text1"/>
          <w:sz w:val="16"/>
          <w:szCs w:val="16"/>
        </w:rPr>
        <w:t xml:space="preserve"> был назначен зам. председателя РВС СССР и начальником вооружений РККА (376,25).</w:t>
      </w:r>
    </w:p>
    <w:p w14:paraId="2EBEC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35BC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июня 1931 г. командарма 1 ранга </w:t>
      </w:r>
      <w:proofErr w:type="spellStart"/>
      <w:r w:rsidRPr="007122AB">
        <w:rPr>
          <w:rFonts w:ascii="Times New Roman" w:hAnsi="Times New Roman"/>
          <w:color w:val="000000" w:themeColor="text1"/>
          <w:sz w:val="16"/>
          <w:szCs w:val="16"/>
        </w:rPr>
        <w:t>М.Н.Тухачевского</w:t>
      </w:r>
      <w:proofErr w:type="spellEnd"/>
      <w:r w:rsidRPr="007122AB">
        <w:rPr>
          <w:rFonts w:ascii="Times New Roman" w:hAnsi="Times New Roman"/>
          <w:color w:val="000000" w:themeColor="text1"/>
          <w:sz w:val="16"/>
          <w:szCs w:val="16"/>
        </w:rPr>
        <w:t xml:space="preserve"> назначили за</w:t>
      </w:r>
      <w:r w:rsidRPr="007122AB">
        <w:rPr>
          <w:rFonts w:ascii="Times New Roman" w:hAnsi="Times New Roman"/>
          <w:color w:val="000000" w:themeColor="text1"/>
          <w:sz w:val="16"/>
          <w:szCs w:val="16"/>
        </w:rPr>
        <w:softHyphen/>
        <w:t>местителем наркома по военным и морским делам и начальником воору</w:t>
      </w:r>
      <w:r w:rsidRPr="007122AB">
        <w:rPr>
          <w:rFonts w:ascii="Times New Roman" w:hAnsi="Times New Roman"/>
          <w:color w:val="000000" w:themeColor="text1"/>
          <w:sz w:val="16"/>
          <w:szCs w:val="16"/>
        </w:rPr>
        <w:softHyphen/>
        <w:t>жений РККА, а также заместителем председателя Реввоенсовета СССР. Это предоставило ему несравнимо большие полномочия, в том числе для реализации давних замыслов и планов по оснащению РККА современ</w:t>
      </w:r>
      <w:r w:rsidRPr="007122AB">
        <w:rPr>
          <w:rFonts w:ascii="Times New Roman" w:hAnsi="Times New Roman"/>
          <w:color w:val="000000" w:themeColor="text1"/>
          <w:sz w:val="16"/>
          <w:szCs w:val="16"/>
        </w:rPr>
        <w:softHyphen/>
        <w:t>ными и передовыми образцами боевой техники. Первейшей заботой Ту</w:t>
      </w:r>
      <w:r w:rsidRPr="007122AB">
        <w:rPr>
          <w:rFonts w:ascii="Times New Roman" w:hAnsi="Times New Roman"/>
          <w:color w:val="000000" w:themeColor="text1"/>
          <w:sz w:val="16"/>
          <w:szCs w:val="16"/>
        </w:rPr>
        <w:softHyphen/>
        <w:t>хачевского в новой должности стала техническая реконструкция РККА (11402).</w:t>
      </w:r>
    </w:p>
    <w:p w14:paraId="708743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44B6C8" w14:textId="77777777" w:rsidR="001E6C64" w:rsidRPr="007122AB" w:rsidRDefault="001E6C6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724E39C" w14:textId="77777777" w:rsidR="001E6C64" w:rsidRPr="007122AB" w:rsidRDefault="001E6C6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3CA00E" w14:textId="77777777" w:rsidR="001E6C64" w:rsidRPr="007122AB" w:rsidRDefault="001E6C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июня 1931 г. председатель ВСНХ В. В. Куйбышев выступил перед Московским партийным активом с информацией об июньском пленуме. Он охарактеризовал резолюцию ЦК как политически значимую программу строительства социалистической столицы, направленную на то, чтобы в короткий срок превзойти в этом отношении капиталистические </w:t>
      </w:r>
      <w:proofErr w:type="spellStart"/>
      <w:r w:rsidRPr="007122AB">
        <w:rPr>
          <w:rFonts w:ascii="Times New Roman" w:hAnsi="Times New Roman"/>
          <w:color w:val="000000" w:themeColor="text1"/>
          <w:sz w:val="16"/>
          <w:szCs w:val="16"/>
        </w:rPr>
        <w:t>страны.Собрание</w:t>
      </w:r>
      <w:proofErr w:type="spellEnd"/>
      <w:r w:rsidRPr="007122AB">
        <w:rPr>
          <w:rFonts w:ascii="Times New Roman" w:hAnsi="Times New Roman"/>
          <w:color w:val="000000" w:themeColor="text1"/>
          <w:sz w:val="16"/>
          <w:szCs w:val="16"/>
        </w:rPr>
        <w:t xml:space="preserve"> постановило одобрить установки пленума ЦК. Хотя в дискуссии прозвучали многочисленные выступления по всевозможным аспектам резолюции, но никто не взял слово по вопросу о метрополитене{343}.При сравнении такого «приобщения» партийной массы к процессу принятия решения с претензиями, которые предъявлял Рабкрин в конце 1928 г., становится очевидным, насколько в годы первой пятилетки изменилась политическая культура.</w:t>
      </w:r>
    </w:p>
    <w:p w14:paraId="39D4FE65" w14:textId="77777777" w:rsidR="001E6C64" w:rsidRPr="007122AB" w:rsidRDefault="001E6C6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июня 1931 г. Булганин созвал совещание руководителей коммунальных служб и обязал их в двухдневный срок представить календарные планы по реализации решений </w:t>
      </w:r>
      <w:proofErr w:type="spellStart"/>
      <w:r w:rsidRPr="007122AB">
        <w:rPr>
          <w:rFonts w:ascii="Times New Roman" w:hAnsi="Times New Roman"/>
          <w:color w:val="000000" w:themeColor="text1"/>
          <w:sz w:val="16"/>
          <w:szCs w:val="16"/>
        </w:rPr>
        <w:t>пленума.Ответственным</w:t>
      </w:r>
      <w:proofErr w:type="spellEnd"/>
      <w:r w:rsidRPr="007122AB">
        <w:rPr>
          <w:rFonts w:ascii="Times New Roman" w:hAnsi="Times New Roman"/>
          <w:color w:val="000000" w:themeColor="text1"/>
          <w:sz w:val="16"/>
          <w:szCs w:val="16"/>
        </w:rPr>
        <w:t xml:space="preserve"> за создание комитета по строительству метрополитена был назначен руководитель МГЖД </w:t>
      </w:r>
      <w:proofErr w:type="spellStart"/>
      <w:r w:rsidRPr="007122AB">
        <w:rPr>
          <w:rFonts w:ascii="Times New Roman" w:hAnsi="Times New Roman"/>
          <w:color w:val="000000" w:themeColor="text1"/>
          <w:sz w:val="16"/>
          <w:szCs w:val="16"/>
        </w:rPr>
        <w:t>Генде</w:t>
      </w:r>
      <w:proofErr w:type="spellEnd"/>
      <w:r w:rsidRPr="007122AB">
        <w:rPr>
          <w:rFonts w:ascii="Times New Roman" w:hAnsi="Times New Roman"/>
          <w:color w:val="000000" w:themeColor="text1"/>
          <w:sz w:val="16"/>
          <w:szCs w:val="16"/>
        </w:rPr>
        <w:t xml:space="preserve">-Роте{344}. 27июня 1931 г. Булганин выступил с докладом о решениях пленума ЦК на пленуме Моссовета. При этом он уточнил проект сквозной железнодорожной линии. Расходы на ее сооружение по данным Наркомата путей сообщения он вывел в сумме 35 млн. руб. Железнодорожную линию Булганин охарактеризовал как конструкцию менее сложную и легче подготавливаемую к сдаче в эксплуатацию по сравнению с метрополитеном. Линии метро и железной дороги должны быть связаны друг с другом пересадочными станциями{345}. 13июля 1931 г. Моссовет принял обширный план по реализации решений ЦК. Организацию строительства метро и разработку вопроса о сквозной железной дороге предстояло согласовать в том же месяце. Ответственными за этот участок были назначены Булганин и </w:t>
      </w:r>
      <w:proofErr w:type="spellStart"/>
      <w:r w:rsidRPr="007122AB">
        <w:rPr>
          <w:rFonts w:ascii="Times New Roman" w:hAnsi="Times New Roman"/>
          <w:color w:val="000000" w:themeColor="text1"/>
          <w:sz w:val="16"/>
          <w:szCs w:val="16"/>
        </w:rPr>
        <w:t>Генде</w:t>
      </w:r>
      <w:proofErr w:type="spellEnd"/>
      <w:r w:rsidRPr="007122AB">
        <w:rPr>
          <w:rFonts w:ascii="Times New Roman" w:hAnsi="Times New Roman"/>
          <w:color w:val="000000" w:themeColor="text1"/>
          <w:sz w:val="16"/>
          <w:szCs w:val="16"/>
        </w:rPr>
        <w:t>-Роте{346} (18299).</w:t>
      </w:r>
    </w:p>
    <w:p w14:paraId="3B304335" w14:textId="77777777" w:rsidR="001E6C64" w:rsidRPr="007122AB" w:rsidRDefault="001E6C64" w:rsidP="007122AB">
      <w:pPr>
        <w:spacing w:after="0" w:line="240" w:lineRule="auto"/>
        <w:jc w:val="both"/>
        <w:rPr>
          <w:rFonts w:ascii="Times New Roman" w:hAnsi="Times New Roman"/>
          <w:color w:val="000000" w:themeColor="text1"/>
          <w:sz w:val="16"/>
          <w:szCs w:val="16"/>
        </w:rPr>
      </w:pPr>
    </w:p>
    <w:p w14:paraId="5ACAE204" w14:textId="77777777" w:rsidR="00BF2CC0" w:rsidRPr="007122AB" w:rsidRDefault="00BF2CC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44D87D3" w14:textId="77777777" w:rsidR="00BF2CC0" w:rsidRPr="007122AB" w:rsidRDefault="00BF2CC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7A8D44" w14:textId="77777777" w:rsidR="00BF2CC0" w:rsidRPr="007122AB" w:rsidRDefault="00BF2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июня 1931 - Самолёт </w:t>
      </w:r>
      <w:proofErr w:type="spellStart"/>
      <w:r w:rsidRPr="007122AB">
        <w:rPr>
          <w:rFonts w:ascii="Times New Roman" w:hAnsi="Times New Roman"/>
          <w:color w:val="000000" w:themeColor="text1"/>
          <w:sz w:val="16"/>
          <w:szCs w:val="16"/>
        </w:rPr>
        <w:t>Dewoitine</w:t>
      </w:r>
      <w:proofErr w:type="spellEnd"/>
      <w:r w:rsidRPr="007122AB">
        <w:rPr>
          <w:rFonts w:ascii="Times New Roman" w:hAnsi="Times New Roman"/>
          <w:color w:val="000000" w:themeColor="text1"/>
          <w:sz w:val="16"/>
          <w:szCs w:val="16"/>
        </w:rPr>
        <w:t xml:space="preserve"> D-33 "</w:t>
      </w:r>
      <w:proofErr w:type="spellStart"/>
      <w:r w:rsidRPr="007122AB">
        <w:rPr>
          <w:rFonts w:ascii="Times New Roman" w:hAnsi="Times New Roman"/>
          <w:color w:val="000000" w:themeColor="text1"/>
          <w:sz w:val="16"/>
          <w:szCs w:val="16"/>
        </w:rPr>
        <w:t>Trait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d'union</w:t>
      </w:r>
      <w:proofErr w:type="spellEnd"/>
      <w:r w:rsidRPr="007122AB">
        <w:rPr>
          <w:rFonts w:ascii="Times New Roman" w:hAnsi="Times New Roman"/>
          <w:color w:val="000000" w:themeColor="text1"/>
          <w:sz w:val="16"/>
          <w:szCs w:val="16"/>
        </w:rPr>
        <w:t xml:space="preserve">", пилотируемый </w:t>
      </w:r>
      <w:proofErr w:type="spellStart"/>
      <w:r w:rsidRPr="007122AB">
        <w:rPr>
          <w:rFonts w:ascii="Times New Roman" w:hAnsi="Times New Roman"/>
          <w:color w:val="000000" w:themeColor="text1"/>
          <w:sz w:val="16"/>
          <w:szCs w:val="16"/>
        </w:rPr>
        <w:t>Доретом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ЛеБриксом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Мэсмином</w:t>
      </w:r>
      <w:proofErr w:type="spellEnd"/>
      <w:r w:rsidRPr="007122AB">
        <w:rPr>
          <w:rFonts w:ascii="Times New Roman" w:hAnsi="Times New Roman"/>
          <w:color w:val="000000" w:themeColor="text1"/>
          <w:sz w:val="16"/>
          <w:szCs w:val="16"/>
        </w:rPr>
        <w:t>, преодолел расстояние в 10520 километров за 70 часов, это стало новым мировым рекордом при полёте по замкнутому маршруту (22465).</w:t>
      </w:r>
    </w:p>
    <w:p w14:paraId="508A3096" w14:textId="77777777" w:rsidR="00BF2CC0" w:rsidRPr="007122AB" w:rsidRDefault="00BF2CC0" w:rsidP="007122AB">
      <w:pPr>
        <w:spacing w:after="0" w:line="240" w:lineRule="auto"/>
        <w:jc w:val="both"/>
        <w:rPr>
          <w:rFonts w:ascii="Times New Roman" w:hAnsi="Times New Roman"/>
          <w:color w:val="000000" w:themeColor="text1"/>
          <w:sz w:val="16"/>
          <w:szCs w:val="16"/>
        </w:rPr>
      </w:pPr>
    </w:p>
    <w:p w14:paraId="458F0BE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BC8EAA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DF9A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июня 1931 года состоялось (Протокол N 528/1958с) совещание представителей ВАО, ЦАГИ, заводов NN 1, 22, 39 НИИ и 1-го управления УВВС от 18 июня 1931 года По вопросу вооружения самолетов Р-6, ТБ-1 и ТБ-3 под председательством зам. нач. УВВС Алкснис.</w:t>
      </w:r>
    </w:p>
    <w:p w14:paraId="6E26E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Информация начальника 3 отдела НИИ Солдатова о состоянии вооружения самолетов Р-6, ТБ-1, ТБ-3.</w:t>
      </w:r>
    </w:p>
    <w:p w14:paraId="65EDC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то, что все указанные самолеты изготовляются в серийном производстве, вооружение на них до сих пор не закончено, а именно:</w:t>
      </w:r>
    </w:p>
    <w:p w14:paraId="6DFAC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самолету Р-6</w:t>
      </w:r>
    </w:p>
    <w:p w14:paraId="48FD8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Нет установки бомбардировочного вооружения</w:t>
      </w:r>
    </w:p>
    <w:p w14:paraId="4259D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Окончательно не доделана стрелковая башня</w:t>
      </w:r>
    </w:p>
    <w:p w14:paraId="0C13D1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самолету ТБ-1</w:t>
      </w:r>
    </w:p>
    <w:p w14:paraId="6F517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Заводу N 22 не даны из ВАО чертежи установки СБР-9, а также чертежи установки и проводки и спецификации ДЕР-13-6.</w:t>
      </w:r>
    </w:p>
    <w:p w14:paraId="23950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ТБ-3</w:t>
      </w:r>
    </w:p>
    <w:p w14:paraId="27677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Нет чертежей и установки подкрыльных замен</w:t>
      </w:r>
    </w:p>
    <w:p w14:paraId="46859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Установки ДЕР-13, 15 и 16. Не доделан Дер-9.</w:t>
      </w:r>
    </w:p>
    <w:p w14:paraId="0EBC3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65AC1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самолету Р-6</w:t>
      </w:r>
    </w:p>
    <w:p w14:paraId="15C5BF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Считать окончательно типовым вооружением самолета Р-6:</w:t>
      </w:r>
    </w:p>
    <w:p w14:paraId="5E3EB3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2 турели ТУР-5</w:t>
      </w:r>
    </w:p>
    <w:p w14:paraId="26756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Стрелковая башня</w:t>
      </w:r>
    </w:p>
    <w:p w14:paraId="023AD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6 укороченных балок ДЕР-7 и сбрасыватель СБР-8 (3217).</w:t>
      </w:r>
    </w:p>
    <w:p w14:paraId="254E89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Обязать ЦАГИ установить на опытном самолете Р-6 6 укороченных балок ДЕР-7 и сбрасыватель СБР-8 не позже 26 июня, а стрелковую башню к 30 июня.</w:t>
      </w:r>
    </w:p>
    <w:p w14:paraId="50FB1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испытать и дать заключение ЦАГИ по этим установкам не позже 2 июля.</w:t>
      </w:r>
    </w:p>
    <w:p w14:paraId="4AC1C4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самолету ТБ-1.</w:t>
      </w:r>
    </w:p>
    <w:p w14:paraId="06966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Принять к сведению заявление завода N 22 о том, что все самолеты ТБ-1 до 68-го номера выпущены со СБР-8, ДЕР-9 и ушками под ДЕР-13-6.</w:t>
      </w:r>
    </w:p>
    <w:p w14:paraId="52C73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ТБ-1 начиная с N 69.</w:t>
      </w:r>
    </w:p>
    <w:p w14:paraId="4031F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Считать типовым вооружением самолетов ТБ-1 с N 69 (670):</w:t>
      </w:r>
    </w:p>
    <w:p w14:paraId="5799D4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Турели ТУР-5</w:t>
      </w:r>
    </w:p>
    <w:p w14:paraId="437A9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Турели ТУР-6</w:t>
      </w:r>
    </w:p>
    <w:p w14:paraId="520C3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6 балок ДЕР-13</w:t>
      </w:r>
    </w:p>
    <w:p w14:paraId="3A6193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ДЕР-9 и 5. СБР-9.</w:t>
      </w:r>
    </w:p>
    <w:p w14:paraId="4C697B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ЦАГИ в 3-х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дать заключение о возможности установки ДЕР-13-6 на ТБ-1, так чтобы установка ДЕР-13-6 не закрыла люк от ДЕР-9. В случае положительных результатов разработать и подать на испытание установку к 20 июля.</w:t>
      </w:r>
    </w:p>
    <w:p w14:paraId="05B2D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ТБ-3.</w:t>
      </w:r>
    </w:p>
    <w:p w14:paraId="391757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Установку подкрыльных башен на опытном самолете ТБ-3 ЦАГИ закончить 20 августа.</w:t>
      </w:r>
    </w:p>
    <w:p w14:paraId="4F8B19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Установку ДЕР-13-12 ЦАГИ изготовить и установить на опытном самолете к 15 июля.</w:t>
      </w:r>
    </w:p>
    <w:p w14:paraId="264B2C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Заводу N 39 изготовить и передать ЦАГИ 4 балки ДЕР-16 не позже 15 июля.</w:t>
      </w:r>
    </w:p>
    <w:p w14:paraId="2CE5F6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ДЕР-9 на опытном ТБ-3 ЦАГИ установить не позже 15 июля 1931 года (3217,63-64).</w:t>
      </w:r>
    </w:p>
    <w:p w14:paraId="0D1FBF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FCD376"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F4921B2"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9E7C9C"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20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122сс об отпуске заводу «Большевик» 3 тыс. руб. (ГА РФ. Ф. Р?8418. Оп. 28. Д. 1а. Л. 32) (12415).</w:t>
      </w:r>
    </w:p>
    <w:p w14:paraId="021F4970"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p>
    <w:p w14:paraId="0550FC39"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июня 1931. На Красной площади состоялся финиш участников автопробега Москва -Харьков - Воронеж - Москва (18724).</w:t>
      </w:r>
    </w:p>
    <w:p w14:paraId="0EE8C279" w14:textId="77777777" w:rsidR="00E37213" w:rsidRPr="007122AB" w:rsidRDefault="00E37213" w:rsidP="007122AB">
      <w:pPr>
        <w:spacing w:after="0" w:line="240" w:lineRule="auto"/>
        <w:jc w:val="both"/>
        <w:rPr>
          <w:rFonts w:ascii="Times New Roman" w:hAnsi="Times New Roman"/>
          <w:color w:val="000000" w:themeColor="text1"/>
          <w:sz w:val="16"/>
          <w:szCs w:val="16"/>
        </w:rPr>
      </w:pPr>
    </w:p>
    <w:p w14:paraId="5ADF733E" w14:textId="77777777" w:rsidR="00BB5D43" w:rsidRPr="007122AB" w:rsidRDefault="00BB5D4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495509C8" w14:textId="77777777" w:rsidR="00BB5D43" w:rsidRPr="007122AB" w:rsidRDefault="00BB5D4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7E4DD3" w14:textId="77777777" w:rsidR="00BB5D43" w:rsidRPr="007122AB" w:rsidRDefault="00BB5D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20 июня по 15 августа 1931 года под руководством Л. </w:t>
      </w:r>
      <w:proofErr w:type="spellStart"/>
      <w:r w:rsidRPr="007122AB">
        <w:rPr>
          <w:rFonts w:ascii="Times New Roman" w:hAnsi="Times New Roman"/>
          <w:color w:val="000000" w:themeColor="text1"/>
          <w:sz w:val="16"/>
          <w:szCs w:val="16"/>
        </w:rPr>
        <w:t>Минова</w:t>
      </w:r>
      <w:proofErr w:type="spellEnd"/>
      <w:r w:rsidRPr="007122AB">
        <w:rPr>
          <w:rFonts w:ascii="Times New Roman" w:hAnsi="Times New Roman"/>
          <w:color w:val="000000" w:themeColor="text1"/>
          <w:sz w:val="16"/>
          <w:szCs w:val="16"/>
        </w:rPr>
        <w:t xml:space="preserve"> в Ленинградском военном округе осуществлялась подготовка ПДО, когда по ходу сбора Высшего начсостава ЛВО была проведена первая показательная операция по высадке парашютного десанта. К началу операции при содействии бригады врачей Военно-медицинской академии, проводившей исследования парашютистов, состав ПДО окончательно определился в 45 человек, которые были отобраны из 55 красноармейцев и командиров, зачисленных в отряд (Архив ЦДА и К. Ф. 50. Оп. 1. Д. 2. Л. 22.) (21402).</w:t>
      </w:r>
    </w:p>
    <w:p w14:paraId="787C6BA5" w14:textId="77777777" w:rsidR="00BB5D43" w:rsidRPr="007122AB" w:rsidRDefault="00BB5D43" w:rsidP="007122AB">
      <w:pPr>
        <w:spacing w:after="0" w:line="240" w:lineRule="auto"/>
        <w:jc w:val="both"/>
        <w:rPr>
          <w:rFonts w:ascii="Times New Roman" w:hAnsi="Times New Roman"/>
          <w:color w:val="000000" w:themeColor="text1"/>
          <w:sz w:val="16"/>
          <w:szCs w:val="16"/>
        </w:rPr>
      </w:pPr>
    </w:p>
    <w:p w14:paraId="1279431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10E805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5F2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июня 1931 вышел меморандум президента Гувера о предоставлении Германии моратория в оплате репараций (3186) на 1 год (3907,167).</w:t>
      </w:r>
    </w:p>
    <w:p w14:paraId="424712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9FE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F736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D1790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41D8C5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C9E9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июня 1931 г. на расширенном заседании НТК ВВС и ЦАГИ А. Н. Туполев доложил, что заданные НТК летно-технические данные ТШ-1 не могут быть осуществлены ввиду большой массы неработающей навесной брони и отсутствия моторов мощностью в 1300 л. с.</w:t>
      </w:r>
    </w:p>
    <w:p w14:paraId="2C3F28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альтернативы А. Н. Туполев предложил приспособить двухмоторный разведчик Р-б для действий в качестве штурмовика. Военные с предложением А. Н. Туполева согласились, установив срок предъявления новой машины (заводское обозначение АНТ-18) на государственные испытания к 1 января 1932 г. Позже, из-за отсутствия моторов необходимой мощности, постройка штурмовика на базе Р-б также была прекращена (9649).</w:t>
      </w:r>
    </w:p>
    <w:p w14:paraId="0E041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6AF54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B5057B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430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июня 1931 закончились ходовые испытания танка Кристи, которые шли с 16 мая. Прошел 43.5 км. На лыжах и 863 км на колесах. Подготовили отчет на 15 л и отметили: “... Танк испытывался только на колесах, причем испытания показали, что средние скорости на шоссе не превышают 30-35 км/час. Водитель после 4-5 часов сильно устает (благодаря трудности управления и неравномерности хода)... Двигатель работал хорошо но необходима частая регулировка клапанов, КУБ недостаточны для запуска двигателя (холодный запускался как правило, с буксира... В КП после 600-650 км выскакивают 2 и 3 передачи при большой нагрузке на двигатель.... КПП через 2-3 часа нагревается до 85-88 гр... После 40.5 км сломано 8 пальцев. гусениц... Управление танком - удовлетворительное.... При езде по неровностям толчки выбивают руль из рук водителя. На скорости 55-60 км/час управление затруднительно. Заключение:...танк Кристи в том виде, в котором он был представлен на испытания,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(3879,7).</w:t>
      </w:r>
    </w:p>
    <w:p w14:paraId="49A2E6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7DAB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июня 1931 закончились испытания танка БТ. По окончании испытаний был составлен отчет, в кото</w:t>
      </w:r>
      <w:r w:rsidRPr="007122AB">
        <w:rPr>
          <w:rFonts w:ascii="Times New Roman" w:hAnsi="Times New Roman"/>
          <w:color w:val="000000" w:themeColor="text1"/>
          <w:sz w:val="16"/>
          <w:szCs w:val="16"/>
        </w:rPr>
        <w:softHyphen/>
        <w:t>ром после перечислений всех поломок и недоработок, а также трудностей управления танком при движении на ко</w:t>
      </w:r>
      <w:r w:rsidRPr="007122AB">
        <w:rPr>
          <w:rFonts w:ascii="Times New Roman" w:hAnsi="Times New Roman"/>
          <w:color w:val="000000" w:themeColor="text1"/>
          <w:sz w:val="16"/>
          <w:szCs w:val="16"/>
        </w:rPr>
        <w:softHyphen/>
        <w:t>лесах по проселку в заключении говорилось: «...Танк Крис</w:t>
      </w:r>
      <w:r w:rsidRPr="007122AB">
        <w:rPr>
          <w:rFonts w:ascii="Times New Roman" w:hAnsi="Times New Roman"/>
          <w:color w:val="000000" w:themeColor="text1"/>
          <w:sz w:val="16"/>
          <w:szCs w:val="16"/>
        </w:rPr>
        <w:softHyphen/>
        <w:t>ти в том виде, в котором он был представлен на испытаниях, является исключительно интересной машиной с универсаль</w:t>
      </w:r>
      <w:r w:rsidRPr="007122AB">
        <w:rPr>
          <w:rFonts w:ascii="Times New Roman" w:hAnsi="Times New Roman"/>
          <w:color w:val="000000" w:themeColor="text1"/>
          <w:sz w:val="16"/>
          <w:szCs w:val="16"/>
        </w:rPr>
        <w:softHyphen/>
        <w:t>ным движением, но требует как боевая машина большой раз</w:t>
      </w:r>
      <w:r w:rsidRPr="007122AB">
        <w:rPr>
          <w:rFonts w:ascii="Times New Roman" w:hAnsi="Times New Roman"/>
          <w:color w:val="000000" w:themeColor="text1"/>
          <w:sz w:val="16"/>
          <w:szCs w:val="16"/>
        </w:rPr>
        <w:softHyphen/>
        <w:t>работки и введения ряда конструктивных усовершенствова</w:t>
      </w:r>
      <w:r w:rsidRPr="007122AB">
        <w:rPr>
          <w:rFonts w:ascii="Times New Roman" w:hAnsi="Times New Roman"/>
          <w:color w:val="000000" w:themeColor="text1"/>
          <w:sz w:val="16"/>
          <w:szCs w:val="16"/>
        </w:rPr>
        <w:softHyphen/>
        <w:t>ний и изменений». Это заключение делало процесс выпуска танка почти невозможным. Ведь согласно заданию танк БТ должен был выпускаться, как и Т-26, без внесения каких бы то ни было конструктивных изменений в заокеанскую машину в точ</w:t>
      </w:r>
      <w:r w:rsidRPr="007122AB">
        <w:rPr>
          <w:rFonts w:ascii="Times New Roman" w:hAnsi="Times New Roman"/>
          <w:color w:val="000000" w:themeColor="text1"/>
          <w:sz w:val="16"/>
          <w:szCs w:val="16"/>
        </w:rPr>
        <w:softHyphen/>
        <w:t>ном соответствии с имеющимся образцом, получившим условное название «Оригинал-1», что, по мнению руководства ГУВП, должно было значительно упростить организа</w:t>
      </w:r>
      <w:r w:rsidRPr="007122AB">
        <w:rPr>
          <w:rFonts w:ascii="Times New Roman" w:hAnsi="Times New Roman"/>
          <w:color w:val="000000" w:themeColor="text1"/>
          <w:sz w:val="16"/>
          <w:szCs w:val="16"/>
        </w:rPr>
        <w:softHyphen/>
        <w:t>цию его производства. Однако здесь процесс полного копирования не был достаточно обоснован. БТ требовал доработок, на что еще в мае указывал начальник инженерно-конструкторского бюро по танкам А. Адамс (10733,198).</w:t>
      </w:r>
    </w:p>
    <w:p w14:paraId="352FFE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375853"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июня 1931 закончились шедшие с 16 мая </w:t>
      </w:r>
      <w:proofErr w:type="spellStart"/>
      <w:r w:rsidRPr="007122AB">
        <w:rPr>
          <w:rFonts w:ascii="Times New Roman" w:hAnsi="Times New Roman"/>
          <w:color w:val="000000" w:themeColor="text1"/>
          <w:sz w:val="16"/>
          <w:szCs w:val="16"/>
        </w:rPr>
        <w:t>холовые</w:t>
      </w:r>
      <w:proofErr w:type="spellEnd"/>
      <w:r w:rsidRPr="007122AB">
        <w:rPr>
          <w:rFonts w:ascii="Times New Roman" w:hAnsi="Times New Roman"/>
          <w:color w:val="000000" w:themeColor="text1"/>
          <w:sz w:val="16"/>
          <w:szCs w:val="16"/>
        </w:rPr>
        <w:t xml:space="preserve"> испытания танка Кристи, который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1F44164F"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w:t>
      </w:r>
      <w:r w:rsidRPr="007122AB">
        <w:rPr>
          <w:rFonts w:ascii="Times New Roman" w:hAnsi="Times New Roman"/>
          <w:color w:val="000000" w:themeColor="text1"/>
          <w:sz w:val="16"/>
          <w:szCs w:val="16"/>
        </w:rPr>
        <w:lastRenderedPageBreak/>
        <w:t>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1218AA58"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Гусеницы. После 40,5 км сломано 8 пальцев. </w:t>
      </w:r>
    </w:p>
    <w:p w14:paraId="574BBD0C"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0FA04F5A"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1410E8F2"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7C536B2" w14:textId="77777777" w:rsidR="00DC6103" w:rsidRPr="007122AB" w:rsidRDefault="00DC61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13D04001" w14:textId="77777777" w:rsidR="00DC6103" w:rsidRPr="007122AB" w:rsidRDefault="00DC6103" w:rsidP="007122AB">
      <w:pPr>
        <w:spacing w:after="0" w:line="240" w:lineRule="auto"/>
        <w:jc w:val="both"/>
        <w:rPr>
          <w:rFonts w:ascii="Times New Roman" w:hAnsi="Times New Roman"/>
          <w:color w:val="000000" w:themeColor="text1"/>
          <w:sz w:val="16"/>
          <w:szCs w:val="16"/>
        </w:rPr>
      </w:pPr>
    </w:p>
    <w:p w14:paraId="37342B13"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7654108"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8A9594" w14:textId="77777777" w:rsidR="00086AB8" w:rsidRPr="00441F34" w:rsidRDefault="00086AB8" w:rsidP="00086A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21 июня 1931 г. в связи с загрузкой работой в ВАО Баранов освобожден от должности начальника ВВС РККА, которую занял Я.И. Алкснис (24331).</w:t>
      </w:r>
    </w:p>
    <w:p w14:paraId="569943BA" w14:textId="77777777" w:rsidR="00086AB8" w:rsidRPr="00441F34" w:rsidRDefault="00086AB8" w:rsidP="00086AB8">
      <w:pPr>
        <w:spacing w:after="0" w:line="240" w:lineRule="auto"/>
        <w:jc w:val="both"/>
        <w:rPr>
          <w:rFonts w:ascii="Times New Roman" w:hAnsi="Times New Roman"/>
          <w:color w:val="0070C0"/>
          <w:sz w:val="16"/>
          <w:szCs w:val="16"/>
        </w:rPr>
      </w:pPr>
    </w:p>
    <w:p w14:paraId="327CB489"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21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120сс о проведении опытных мобилизаций в 1931 г. (ГА РФ. Ф. Р?8418. Оп. 28. Д. 14а. Л. 48?51) (12415).</w:t>
      </w:r>
    </w:p>
    <w:p w14:paraId="7526C36F"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p>
    <w:p w14:paraId="6B24671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E93E19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42C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июня 1931 И.В.С. выступил с осуждением спецсредства и призвал к большей заботе о специалистах старой школы, всерьез подружившихся с рабочим классов. Чистки, однако, продолжились и только за 1933 от работы отстранили 153 тыс. служащих, ставших козлами отпущения за срывы в экономике (3240).</w:t>
      </w:r>
    </w:p>
    <w:p w14:paraId="2E0E4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677C1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E10E17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A65A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июня 1931 В Австрии новое правительство формирует Карл </w:t>
      </w:r>
      <w:proofErr w:type="spellStart"/>
      <w:r w:rsidRPr="007122AB">
        <w:rPr>
          <w:rFonts w:ascii="Times New Roman" w:hAnsi="Times New Roman"/>
          <w:color w:val="000000" w:themeColor="text1"/>
          <w:sz w:val="16"/>
          <w:szCs w:val="16"/>
        </w:rPr>
        <w:t>Буреш</w:t>
      </w:r>
      <w:proofErr w:type="spellEnd"/>
      <w:r w:rsidRPr="007122AB">
        <w:rPr>
          <w:rFonts w:ascii="Times New Roman" w:hAnsi="Times New Roman"/>
          <w:color w:val="000000" w:themeColor="text1"/>
          <w:sz w:val="16"/>
          <w:szCs w:val="16"/>
        </w:rPr>
        <w:t>, представитель христианских социалистов (7444).</w:t>
      </w:r>
    </w:p>
    <w:p w14:paraId="70FD5D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0061F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0B9F9C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B0D7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года НИИ ВВС РККА сообщил ЦАГИ свои тактико-технические требования к высотному бомбардировщику, обозначенному в этом документе как ТБ-7. Согласно предварительным требованиям ВВС, будущий высотный "бомбовоз" предназначался для уничтожения объектов государственного и стратегического назначения, ударов по базам флота противника и проведения десантных операций. По требованиям УВВС будущий ТБ-7 должен был иметь: боевую высоту полета - 7000 м, максимальную скорость полета - 250 км/ч, радиус действия 1500-2000 км, бомбовую нагрузку - 10000 кг, экипаж должен был состоять из 10-14 человек. Конструкция самолета должна была позволять использовать самолет в качестве крейсера сопровождения. В этом случае за счет снятия бомбового вооружения и отказа от бомбовой нагрузки устанавливались дополнительные огневые точки. Крейсер предполагалось использовать для сопровождения в дальних полетах соединений бомбардировщиков основной базовой модификации. Как видно из приведенных характеристик, по своим летно-тактическим данным ТБ-7 в своем первом варианте проекта 1931 года практически недалеко ушел от проектов туполевских "супербомбардировщиков" конца 20-х начала 30-х годов - проектов ТБ-4 и ТБ-6 (АНТ-16 и АНТ-26). Судя по всему из-за этого предложения ВВС по новому бомбардировщику дальнейшего развития не получили (7685).</w:t>
      </w:r>
    </w:p>
    <w:p w14:paraId="103A0C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0D6E9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458F9B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71A1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22-23 июня 1931 года состоялось совещание хозяйственников при ЦК ВКП(б). В нем участвовали представители многих организаций, объеди</w:t>
      </w:r>
      <w:r w:rsidRPr="007122AB">
        <w:rPr>
          <w:rFonts w:ascii="Times New Roman" w:hAnsi="Times New Roman"/>
          <w:color w:val="000000" w:themeColor="text1"/>
          <w:sz w:val="16"/>
          <w:szCs w:val="16"/>
        </w:rPr>
        <w:softHyphen/>
        <w:t>нявшиеся Высшим Советом народного хозяйства СССР (ВСНХ) и на</w:t>
      </w:r>
      <w:r w:rsidRPr="007122AB">
        <w:rPr>
          <w:rFonts w:ascii="Times New Roman" w:hAnsi="Times New Roman"/>
          <w:color w:val="000000" w:themeColor="text1"/>
          <w:sz w:val="16"/>
          <w:szCs w:val="16"/>
        </w:rPr>
        <w:softHyphen/>
        <w:t>родного комиссариата снабжения. В работе совещания приняли участие Молотов, Ворошилов, Андреев, Каганович, Микоян, Шверник, Кали</w:t>
      </w:r>
      <w:r w:rsidRPr="007122AB">
        <w:rPr>
          <w:rFonts w:ascii="Times New Roman" w:hAnsi="Times New Roman"/>
          <w:color w:val="000000" w:themeColor="text1"/>
          <w:sz w:val="16"/>
          <w:szCs w:val="16"/>
        </w:rPr>
        <w:softHyphen/>
        <w:t>нин, Орджоникидзе, Куйбышев.</w:t>
      </w:r>
    </w:p>
    <w:p w14:paraId="7658FC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заседании 23 июня Сталин выступил с докладом: «Новая обстанов</w:t>
      </w:r>
      <w:r w:rsidRPr="007122AB">
        <w:rPr>
          <w:rFonts w:ascii="Times New Roman" w:hAnsi="Times New Roman"/>
          <w:color w:val="000000" w:themeColor="text1"/>
          <w:sz w:val="16"/>
          <w:szCs w:val="16"/>
        </w:rPr>
        <w:softHyphen/>
        <w:t>ка новые задачи хозяйственного строительства». В четвертом разделе док</w:t>
      </w:r>
      <w:r w:rsidRPr="007122AB">
        <w:rPr>
          <w:rFonts w:ascii="Times New Roman" w:hAnsi="Times New Roman"/>
          <w:color w:val="000000" w:themeColor="text1"/>
          <w:sz w:val="16"/>
          <w:szCs w:val="16"/>
        </w:rPr>
        <w:softHyphen/>
        <w:t>лада: «Вопрос о производственно-технической интеллигенции рабочего класса», Сталин сказал: «Нам нужно теперь обеспечить себя втрое, впяте</w:t>
      </w:r>
      <w:r w:rsidRPr="007122AB">
        <w:rPr>
          <w:rFonts w:ascii="Times New Roman" w:hAnsi="Times New Roman"/>
          <w:color w:val="000000" w:themeColor="text1"/>
          <w:sz w:val="16"/>
          <w:szCs w:val="16"/>
        </w:rPr>
        <w:softHyphen/>
        <w:t>ро больше инженерно-техническими и командными силами, если мы действительно думаем осуществить программу социалистической индус</w:t>
      </w:r>
      <w:r w:rsidRPr="007122AB">
        <w:rPr>
          <w:rFonts w:ascii="Times New Roman" w:hAnsi="Times New Roman"/>
          <w:color w:val="000000" w:themeColor="text1"/>
          <w:sz w:val="16"/>
          <w:szCs w:val="16"/>
        </w:rPr>
        <w:softHyphen/>
        <w:t>триализации СССР».</w:t>
      </w:r>
    </w:p>
    <w:p w14:paraId="4EE181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где же было их взять в то время, в тех условиях?</w:t>
      </w:r>
    </w:p>
    <w:p w14:paraId="3C42A3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Советская власть, учитывая это обстоятельство, «открыла двери выс</w:t>
      </w:r>
      <w:r w:rsidRPr="007122AB">
        <w:rPr>
          <w:rFonts w:ascii="Times New Roman" w:hAnsi="Times New Roman"/>
          <w:color w:val="000000" w:themeColor="text1"/>
          <w:sz w:val="16"/>
          <w:szCs w:val="16"/>
        </w:rPr>
        <w:softHyphen/>
        <w:t>ших учебных заведений по всем отраслям народного хозяйства для людей рабочего класса и трудового крестьянства».</w:t>
      </w:r>
    </w:p>
    <w:p w14:paraId="6399E5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Сталин в своем докладе отметил, что «производственно-техни</w:t>
      </w:r>
      <w:r w:rsidRPr="007122AB">
        <w:rPr>
          <w:rFonts w:ascii="Times New Roman" w:hAnsi="Times New Roman"/>
          <w:color w:val="000000" w:themeColor="text1"/>
          <w:sz w:val="16"/>
          <w:szCs w:val="16"/>
        </w:rPr>
        <w:softHyphen/>
        <w:t>ческая интеллигенция рабочего класса» для сети новых очагов промыш</w:t>
      </w:r>
      <w:r w:rsidRPr="007122AB">
        <w:rPr>
          <w:rFonts w:ascii="Times New Roman" w:hAnsi="Times New Roman"/>
          <w:color w:val="000000" w:themeColor="text1"/>
          <w:sz w:val="16"/>
          <w:szCs w:val="16"/>
        </w:rPr>
        <w:softHyphen/>
        <w:t>ленности и транспортного строительства «будет формироваться не толь</w:t>
      </w:r>
      <w:r w:rsidRPr="007122AB">
        <w:rPr>
          <w:rFonts w:ascii="Times New Roman" w:hAnsi="Times New Roman"/>
          <w:color w:val="000000" w:themeColor="text1"/>
          <w:sz w:val="16"/>
          <w:szCs w:val="16"/>
        </w:rPr>
        <w:softHyphen/>
        <w:t>ко из людей, прошедших высшую школу, — она будет рекрутироваться также из практических работников наших предприятий, из квалифици</w:t>
      </w:r>
      <w:r w:rsidRPr="007122AB">
        <w:rPr>
          <w:rFonts w:ascii="Times New Roman" w:hAnsi="Times New Roman"/>
          <w:color w:val="000000" w:themeColor="text1"/>
          <w:sz w:val="16"/>
          <w:szCs w:val="16"/>
        </w:rPr>
        <w:softHyphen/>
        <w:t>рованных рабочих, из культурных сил рабочего класса на заводе, на фаб</w:t>
      </w:r>
      <w:r w:rsidRPr="007122AB">
        <w:rPr>
          <w:rFonts w:ascii="Times New Roman" w:hAnsi="Times New Roman"/>
          <w:color w:val="000000" w:themeColor="text1"/>
          <w:sz w:val="16"/>
          <w:szCs w:val="16"/>
        </w:rPr>
        <w:softHyphen/>
        <w:t>рике, в шахте... — вот новая прослойка рабочего класса, которая и должна составить ядро интеллигенции рабочего класса, ядро командного состава нашей промышленности».</w:t>
      </w:r>
    </w:p>
    <w:p w14:paraId="2207EE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докладе Сталина отмечалось еще два очень важных момента; первое — это отношение к беспартийным и второе — отношение к старой, бур</w:t>
      </w:r>
      <w:r w:rsidRPr="007122AB">
        <w:rPr>
          <w:rFonts w:ascii="Times New Roman" w:hAnsi="Times New Roman"/>
          <w:color w:val="000000" w:themeColor="text1"/>
          <w:sz w:val="16"/>
          <w:szCs w:val="16"/>
        </w:rPr>
        <w:softHyphen/>
        <w:t>жуазной производственно-технической интеллигенции. Сталин говорил: «Среди этих товарищей немало беспартийных. Но это не может служить препятствием к тому, чтобы смелее выдвигать их на руководящие долж</w:t>
      </w:r>
      <w:r w:rsidRPr="007122AB">
        <w:rPr>
          <w:rFonts w:ascii="Times New Roman" w:hAnsi="Times New Roman"/>
          <w:color w:val="000000" w:themeColor="text1"/>
          <w:sz w:val="16"/>
          <w:szCs w:val="16"/>
        </w:rPr>
        <w:softHyphen/>
        <w:t>ности..., партия умеет ценить способных и талантливых работников.</w:t>
      </w:r>
    </w:p>
    <w:p w14:paraId="25431E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Некоторые товарищи думают, что на руководящие должности на фаб</w:t>
      </w:r>
      <w:r w:rsidRPr="007122AB">
        <w:rPr>
          <w:rFonts w:ascii="Times New Roman" w:hAnsi="Times New Roman"/>
          <w:color w:val="000000" w:themeColor="text1"/>
          <w:sz w:val="16"/>
          <w:szCs w:val="16"/>
        </w:rPr>
        <w:softHyphen/>
        <w:t>риках, на заводах можно выдвигать лишь партийных товарищей... Едва ли нужно доказывать, что такой «политикой» можно лишь дискредити</w:t>
      </w:r>
      <w:r w:rsidRPr="007122AB">
        <w:rPr>
          <w:rFonts w:ascii="Times New Roman" w:hAnsi="Times New Roman"/>
          <w:color w:val="000000" w:themeColor="text1"/>
          <w:sz w:val="16"/>
          <w:szCs w:val="16"/>
        </w:rPr>
        <w:softHyphen/>
        <w:t>ровать партию и оттолкнуть от партии беспартийных рабочих. Наша по</w:t>
      </w:r>
      <w:r w:rsidRPr="007122AB">
        <w:rPr>
          <w:rFonts w:ascii="Times New Roman" w:hAnsi="Times New Roman"/>
          <w:color w:val="000000" w:themeColor="text1"/>
          <w:sz w:val="16"/>
          <w:szCs w:val="16"/>
        </w:rPr>
        <w:softHyphen/>
        <w:t>литика состоит не в том, чтобы превратить партию в замкнутую касту» (11504).</w:t>
      </w:r>
    </w:p>
    <w:p w14:paraId="1AF877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91179"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года, выступая на совещании хозяйственников с речью «Новая обстановка — новые задачи хозяйственного строительства», товарищ Сталин указал шесть условий, осуществление которых решает задачу руководства по-новому. Вот эти условия:</w:t>
      </w:r>
    </w:p>
    <w:p w14:paraId="42B013F7"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 Организованно набирать рабочую силу в порядке договоров с колхозами, механизировать труд.</w:t>
      </w:r>
    </w:p>
    <w:p w14:paraId="77FACFBB"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 Ликвидировать текучесть рабочей силы, уничтожить уравниловку, правильно организовать зарплату, улучшить бытовые условия рабочих.</w:t>
      </w:r>
    </w:p>
    <w:p w14:paraId="6C003370"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 Ликвидировать обезличку, улучшить организацию труда, правильно расставить силы на предприятии.</w:t>
      </w:r>
    </w:p>
    <w:p w14:paraId="5EC24F4A"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 Добиться того, чтобы у рабочего класса СССР была своя собственная </w:t>
      </w:r>
      <w:proofErr w:type="spellStart"/>
      <w:r w:rsidRPr="007122AB">
        <w:rPr>
          <w:rFonts w:ascii="Times New Roman" w:hAnsi="Times New Roman"/>
          <w:color w:val="000000" w:themeColor="text1"/>
          <w:sz w:val="16"/>
          <w:szCs w:val="16"/>
        </w:rPr>
        <w:t>производственно</w:t>
      </w:r>
      <w:proofErr w:type="spellEnd"/>
      <w:r w:rsidRPr="007122AB">
        <w:rPr>
          <w:rFonts w:ascii="Times New Roman" w:hAnsi="Times New Roman"/>
          <w:color w:val="000000" w:themeColor="text1"/>
          <w:sz w:val="16"/>
          <w:szCs w:val="16"/>
        </w:rPr>
        <w:t xml:space="preserve"> - техническая интеллигенция.</w:t>
      </w:r>
    </w:p>
    <w:p w14:paraId="5F68B09C"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 Изменить отношение к </w:t>
      </w:r>
      <w:proofErr w:type="spellStart"/>
      <w:r w:rsidRPr="007122AB">
        <w:rPr>
          <w:rFonts w:ascii="Times New Roman" w:hAnsi="Times New Roman"/>
          <w:color w:val="000000" w:themeColor="text1"/>
          <w:sz w:val="16"/>
          <w:szCs w:val="16"/>
        </w:rPr>
        <w:t>инженерно</w:t>
      </w:r>
      <w:proofErr w:type="spellEnd"/>
      <w:r w:rsidRPr="007122AB">
        <w:rPr>
          <w:rFonts w:ascii="Times New Roman" w:hAnsi="Times New Roman"/>
          <w:color w:val="000000" w:themeColor="text1"/>
          <w:sz w:val="16"/>
          <w:szCs w:val="16"/>
        </w:rPr>
        <w:t xml:space="preserve"> техническим силам старой школы, проявлять к ним побольше внимания и заботы, смелее привлекать их к работе.</w:t>
      </w:r>
    </w:p>
    <w:p w14:paraId="4E4C2BA2" w14:textId="77777777" w:rsidR="00647E8F" w:rsidRPr="007122AB" w:rsidRDefault="00647E8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 Внедрять и укреплять хозрасчет, поднять внутрипромышленное накопление (21166).</w:t>
      </w:r>
    </w:p>
    <w:p w14:paraId="5B32D352" w14:textId="77777777" w:rsidR="00647E8F" w:rsidRPr="007122AB" w:rsidRDefault="00647E8F" w:rsidP="007122AB">
      <w:pPr>
        <w:spacing w:after="0" w:line="240" w:lineRule="auto"/>
        <w:jc w:val="both"/>
        <w:rPr>
          <w:rFonts w:ascii="Times New Roman" w:hAnsi="Times New Roman"/>
          <w:color w:val="000000" w:themeColor="text1"/>
          <w:sz w:val="16"/>
          <w:szCs w:val="16"/>
        </w:rPr>
      </w:pPr>
    </w:p>
    <w:p w14:paraId="491F3006"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C82223B"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7681949" w14:textId="77777777" w:rsidR="00E37213" w:rsidRPr="007122AB" w:rsidRDefault="00E37213"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И. Сталин на совещании хозяйственников выступил против уравнительного принципа в оплате труда (4962).</w:t>
      </w:r>
    </w:p>
    <w:p w14:paraId="2F9ED5EB" w14:textId="77777777" w:rsidR="00E37213" w:rsidRPr="007122AB" w:rsidRDefault="00E37213"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816E63" w14:textId="77777777" w:rsidR="00E37213" w:rsidRPr="007122AB" w:rsidRDefault="00E37213"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в речи на совещании хозяйственников И.В.С. настаивал на более организованном наборе и предотвращении текучести рабочих кадров, а также выступил против уравниловки в оплате труда. Призвал оказывать больше доверия старым специалистов и прекратить выдвижение рабочих от станка на инженерные должности (3908,335).</w:t>
      </w:r>
    </w:p>
    <w:p w14:paraId="2F74B9E3" w14:textId="77777777" w:rsidR="00E37213" w:rsidRPr="007122AB" w:rsidRDefault="00E37213" w:rsidP="007122AB">
      <w:pPr>
        <w:autoSpaceDE w:val="0"/>
        <w:autoSpaceDN w:val="0"/>
        <w:adjustRightInd w:val="0"/>
        <w:spacing w:after="0" w:line="240" w:lineRule="auto"/>
        <w:jc w:val="both"/>
        <w:rPr>
          <w:rFonts w:ascii="Times New Roman" w:hAnsi="Times New Roman"/>
          <w:color w:val="000000" w:themeColor="text1"/>
          <w:sz w:val="16"/>
          <w:szCs w:val="16"/>
        </w:rPr>
      </w:pPr>
    </w:p>
    <w:p w14:paraId="2C0BFEED" w14:textId="77777777" w:rsidR="00E37213" w:rsidRPr="007122AB" w:rsidRDefault="00E37213"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июня 1931 года на хозяйственном совещании выступил И.В. Сталин, который посвятил свою речь принципам единоначалия и их реализации в деле управления промышленностью. Значительное место в его выступлении заняли вопросы о месте и значении старых специалистов, признавались также допущенные ошибки с указанием "ограничить произвол". Все основные положения этой речи были реализованы в циркуляре ВСНХ от 8 августа 1931 года. В данном документе прямо указывалось на неправильную политику прокуратуры при ведении следствия в отношении инженерно-технических работников, обвинявшихся во вредительстве. Отныне всякие уголовные преследования были возможны только после соответствующего разрешения дирекции предприятий; категорически запрещалось привлекать к уголовной ответственности за производственный риск. Органы власти впервые пошли дальше простого признания ошибок и перегибов. В циркуляре указывалось, что для исправления допущенных ошибок в неправильном осуждении специалистов и возможности загладить совершенные правонарушения на всех предприятиях и в учреждениях, где работали данные специалисты, должны быть немедленно учреждены комиссии, которые, если осужденный характеризуется положительно, уполномочены ставить вопрос об освобождении его от отбывания принудительных работ со снятием судимости. В циркуляре еще раз подчеркивалось требование об </w:t>
      </w:r>
      <w:r w:rsidRPr="007122AB">
        <w:rPr>
          <w:rFonts w:ascii="Times New Roman" w:hAnsi="Times New Roman"/>
          <w:color w:val="000000" w:themeColor="text1"/>
          <w:sz w:val="16"/>
          <w:szCs w:val="16"/>
        </w:rPr>
        <w:lastRenderedPageBreak/>
        <w:t>улучшении быта специалистов и членов их семей. Им должны были представляться уже не только коммунальные льготы и отдельное жилье, но и денежные пособия, дома отдыха и т.п. (11025).</w:t>
      </w:r>
    </w:p>
    <w:p w14:paraId="633F8C2F" w14:textId="77777777" w:rsidR="00E37213" w:rsidRPr="007122AB" w:rsidRDefault="00E37213" w:rsidP="007122AB">
      <w:pPr>
        <w:autoSpaceDE w:val="0"/>
        <w:autoSpaceDN w:val="0"/>
        <w:adjustRightInd w:val="0"/>
        <w:spacing w:after="0" w:line="240" w:lineRule="auto"/>
        <w:jc w:val="both"/>
        <w:rPr>
          <w:rFonts w:ascii="Times New Roman" w:hAnsi="Times New Roman"/>
          <w:color w:val="000000" w:themeColor="text1"/>
          <w:sz w:val="16"/>
          <w:szCs w:val="16"/>
        </w:rPr>
      </w:pPr>
    </w:p>
    <w:p w14:paraId="17F1C8DC" w14:textId="77777777" w:rsidR="00E37213" w:rsidRPr="007122AB" w:rsidRDefault="00E37213"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г. Сталин осудил травлю специалистов старой шко</w:t>
      </w:r>
      <w:r w:rsidRPr="007122AB">
        <w:rPr>
          <w:rFonts w:ascii="Times New Roman" w:hAnsi="Times New Roman"/>
          <w:color w:val="000000" w:themeColor="text1"/>
          <w:sz w:val="16"/>
          <w:szCs w:val="16"/>
        </w:rPr>
        <w:softHyphen/>
        <w:t>лы. Пришло осознание того, что гонения на них в условиях не</w:t>
      </w:r>
      <w:r w:rsidRPr="007122AB">
        <w:rPr>
          <w:rFonts w:ascii="Times New Roman" w:hAnsi="Times New Roman"/>
          <w:color w:val="000000" w:themeColor="text1"/>
          <w:sz w:val="16"/>
          <w:szCs w:val="16"/>
        </w:rPr>
        <w:softHyphen/>
        <w:t>хватки квалифицированных кадров только усугубляют трудно</w:t>
      </w:r>
      <w:r w:rsidRPr="007122AB">
        <w:rPr>
          <w:rFonts w:ascii="Times New Roman" w:hAnsi="Times New Roman"/>
          <w:color w:val="000000" w:themeColor="text1"/>
          <w:sz w:val="16"/>
          <w:szCs w:val="16"/>
        </w:rPr>
        <w:softHyphen/>
        <w:t>сти на производстве. Специалистов сначала под присмотром ор</w:t>
      </w:r>
      <w:r w:rsidRPr="007122AB">
        <w:rPr>
          <w:rFonts w:ascii="Times New Roman" w:hAnsi="Times New Roman"/>
          <w:color w:val="000000" w:themeColor="text1"/>
          <w:sz w:val="16"/>
          <w:szCs w:val="16"/>
        </w:rPr>
        <w:softHyphen/>
        <w:t>ганов ОГПУ стали возвращать на прежние места, потом было объявлено о "прощении" ряда лиц, связанных с "вредителями" ввиду их готовности работать на благо социализма (10788).</w:t>
      </w:r>
    </w:p>
    <w:p w14:paraId="31B354F9" w14:textId="77777777" w:rsidR="00E37213" w:rsidRPr="007122AB" w:rsidRDefault="00E37213" w:rsidP="007122AB">
      <w:pPr>
        <w:autoSpaceDE w:val="0"/>
        <w:autoSpaceDN w:val="0"/>
        <w:adjustRightInd w:val="0"/>
        <w:spacing w:after="0" w:line="240" w:lineRule="auto"/>
        <w:jc w:val="both"/>
        <w:rPr>
          <w:rFonts w:ascii="Times New Roman" w:hAnsi="Times New Roman"/>
          <w:color w:val="000000" w:themeColor="text1"/>
          <w:sz w:val="16"/>
          <w:szCs w:val="16"/>
        </w:rPr>
      </w:pPr>
    </w:p>
    <w:p w14:paraId="47CF9F03"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июня 1931 г. в выступлении Сталина перед хозяйственными руководителями, среди которых было немало работников </w:t>
      </w:r>
      <w:proofErr w:type="spellStart"/>
      <w:r w:rsidRPr="007122AB">
        <w:rPr>
          <w:rFonts w:ascii="Times New Roman" w:hAnsi="Times New Roman"/>
          <w:color w:val="000000" w:themeColor="text1"/>
          <w:sz w:val="16"/>
          <w:szCs w:val="16"/>
        </w:rPr>
        <w:t>военпрома</w:t>
      </w:r>
      <w:proofErr w:type="spellEnd"/>
      <w:r w:rsidRPr="007122AB">
        <w:rPr>
          <w:rFonts w:ascii="Times New Roman" w:hAnsi="Times New Roman"/>
          <w:color w:val="000000" w:themeColor="text1"/>
          <w:sz w:val="16"/>
          <w:szCs w:val="16"/>
        </w:rPr>
        <w:t>, Сталин говорил о необходимости ликви</w:t>
      </w:r>
      <w:r w:rsidRPr="007122AB">
        <w:rPr>
          <w:rFonts w:ascii="Times New Roman" w:hAnsi="Times New Roman"/>
          <w:color w:val="000000" w:themeColor="text1"/>
          <w:sz w:val="16"/>
          <w:szCs w:val="16"/>
        </w:rPr>
        <w:softHyphen/>
        <w:t>дировать текучесть на заводах, усилить организованный набор рабочей силы в колхозах, преодолеть уравниловку в оплате тру</w:t>
      </w:r>
      <w:r w:rsidRPr="007122AB">
        <w:rPr>
          <w:rFonts w:ascii="Times New Roman" w:hAnsi="Times New Roman"/>
          <w:color w:val="000000" w:themeColor="text1"/>
          <w:sz w:val="16"/>
          <w:szCs w:val="16"/>
        </w:rPr>
        <w:softHyphen/>
        <w:t>да, обезличку, правильно организовать труд, улучшить бытовые условия, правильно расставить кадры, переходить к хозрасчету. Наряду с призывом создавать новую рабочую интеллигенцию Сталин осудил травлю специалистов старой школы, указывая на то, что будто бы среди них под влиянием успехов социалистиче</w:t>
      </w:r>
      <w:r w:rsidRPr="007122AB">
        <w:rPr>
          <w:rFonts w:ascii="Times New Roman" w:hAnsi="Times New Roman"/>
          <w:color w:val="000000" w:themeColor="text1"/>
          <w:sz w:val="16"/>
          <w:szCs w:val="16"/>
        </w:rPr>
        <w:softHyphen/>
        <w:t>ского строительства произошел “перелом”. На деле пришло осознание того, что гонения на них в условиях нехватки квалифи</w:t>
      </w:r>
      <w:r w:rsidRPr="007122AB">
        <w:rPr>
          <w:rFonts w:ascii="Times New Roman" w:hAnsi="Times New Roman"/>
          <w:color w:val="000000" w:themeColor="text1"/>
          <w:sz w:val="16"/>
          <w:szCs w:val="16"/>
        </w:rPr>
        <w:softHyphen/>
        <w:t xml:space="preserve">цированных работников только усугубляют трудности на </w:t>
      </w:r>
      <w:proofErr w:type="spellStart"/>
      <w:r w:rsidRPr="007122AB">
        <w:rPr>
          <w:rFonts w:ascii="Times New Roman" w:hAnsi="Times New Roman"/>
          <w:color w:val="000000" w:themeColor="text1"/>
          <w:sz w:val="16"/>
          <w:szCs w:val="16"/>
        </w:rPr>
        <w:t>произ</w:t>
      </w:r>
      <w:proofErr w:type="spellEnd"/>
      <w:r w:rsidRPr="007122AB">
        <w:rPr>
          <w:rFonts w:ascii="Times New Roman" w:hAnsi="Times New Roman"/>
          <w:color w:val="000000" w:themeColor="text1"/>
          <w:sz w:val="16"/>
          <w:szCs w:val="16"/>
        </w:rPr>
        <w:t>[186]</w:t>
      </w:r>
      <w:proofErr w:type="spellStart"/>
      <w:r w:rsidRPr="007122AB">
        <w:rPr>
          <w:rFonts w:ascii="Times New Roman" w:hAnsi="Times New Roman"/>
          <w:color w:val="000000" w:themeColor="text1"/>
          <w:sz w:val="16"/>
          <w:szCs w:val="16"/>
        </w:rPr>
        <w:t>водстве</w:t>
      </w:r>
      <w:proofErr w:type="spellEnd"/>
      <w:r w:rsidRPr="007122AB">
        <w:rPr>
          <w:rFonts w:ascii="Times New Roman" w:hAnsi="Times New Roman"/>
          <w:color w:val="000000" w:themeColor="text1"/>
          <w:sz w:val="16"/>
          <w:szCs w:val="16"/>
        </w:rPr>
        <w:t>. На основании этого выступления были сформулирова</w:t>
      </w:r>
      <w:r w:rsidRPr="007122AB">
        <w:rPr>
          <w:rFonts w:ascii="Times New Roman" w:hAnsi="Times New Roman"/>
          <w:color w:val="000000" w:themeColor="text1"/>
          <w:sz w:val="16"/>
          <w:szCs w:val="16"/>
        </w:rPr>
        <w:softHyphen/>
        <w:t>ны “шесть условий т. Сталина, необходимые для построения со</w:t>
      </w:r>
      <w:r w:rsidRPr="007122AB">
        <w:rPr>
          <w:rFonts w:ascii="Times New Roman" w:hAnsi="Times New Roman"/>
          <w:color w:val="000000" w:themeColor="text1"/>
          <w:sz w:val="16"/>
          <w:szCs w:val="16"/>
        </w:rPr>
        <w:softHyphen/>
        <w:t>циализма в СССР” (18393).</w:t>
      </w:r>
    </w:p>
    <w:p w14:paraId="031405AB" w14:textId="77777777" w:rsidR="00E37213" w:rsidRPr="007122AB" w:rsidRDefault="00E37213" w:rsidP="007122AB">
      <w:pPr>
        <w:spacing w:after="0" w:line="240" w:lineRule="auto"/>
        <w:jc w:val="both"/>
        <w:rPr>
          <w:rFonts w:ascii="Times New Roman" w:hAnsi="Times New Roman"/>
          <w:color w:val="000000" w:themeColor="text1"/>
          <w:sz w:val="16"/>
          <w:szCs w:val="16"/>
        </w:rPr>
      </w:pPr>
    </w:p>
    <w:p w14:paraId="322A20DA"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г. в своей речи о «Шести условиях» Сталин указал новый путь: он потребовал покончить с «уравниловкой» и существенно повысить оплату труда квалифицированных рабочих, чтобы с помощью материального стимула способствовать образованию эффективного ядра в рабочем коллективе предприятия{1052}.</w:t>
      </w:r>
    </w:p>
    <w:p w14:paraId="153B19BA"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1930 г. структура заработной платы в Советском Союзе была аналогична западноевропейской. Квалифицированные рабочие получали в среднем 70-100 руб. в месяц, причем серьезных различий между ними не имелось{1051}.</w:t>
      </w:r>
    </w:p>
    <w:p w14:paraId="1756A67A"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Тарифная реформа 1931 г. разделила рабочих с повременной заработной платой на 7 разрядов, получавших ежедневно от 2,30 до 7,60 руб., рабочих сдельной (аккордной) системы оплаты — на 8 разрядов, зарабатывавших в день от 3,5 до 13 руб. Высококвалифицированные рабочие отныне могли получать в 3,5 раза больше необученных рабочих. Снижение в начале 1930-х гг. реальной заработной платы в связи с резким ростом цен раздробило рабочий класс на слои, чье положение очевидно ухудшилось, а также такие группы, которые смогли сохранить или даже улучшить свой жизненный уровень. Таким путем режим осознанно содействовал образованию «рабочей аристократии», на которую мог опираться в дальнейшем{1053}.</w:t>
      </w:r>
    </w:p>
    <w:p w14:paraId="723D48BF"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Впрочем, реализации тарифной реформы мешала введенная одновременно система сдельной оплаты труда, с помощью которой стремились повысить производительность труда, поскольку при сдельной оплате различия в размере заработка были резче, чем при повременной тарифной сетке. Оба подхода нередко, правда, удавалось обойти с молчаливого согласия администрации и рабочих, повышая в целом зарплату и устанавливая столь низкие нормы выработки, что их было легко перевыполнить. Рост заработной платы в начале 1930-х гг. во всяком случае опережал повышение производительности труда{1054}.</w:t>
      </w:r>
    </w:p>
    <w:p w14:paraId="341CAA98"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Тарифной реформой 1931 г. была введена серьезная дифференциация оплаты труда не только внутри рабочего класса, но и между рабочими, служащими и инженерно-техническим персоналом. Разрыв между заработком рабочего и инженера увеличился (18299).</w:t>
      </w:r>
    </w:p>
    <w:p w14:paraId="4AC94F93" w14:textId="77777777" w:rsidR="00E37213" w:rsidRPr="007122AB" w:rsidRDefault="00E37213" w:rsidP="007122AB">
      <w:pPr>
        <w:spacing w:after="0" w:line="240" w:lineRule="auto"/>
        <w:jc w:val="both"/>
        <w:rPr>
          <w:rFonts w:ascii="Times New Roman" w:hAnsi="Times New Roman"/>
          <w:color w:val="000000" w:themeColor="text1"/>
          <w:sz w:val="16"/>
          <w:szCs w:val="16"/>
        </w:rPr>
      </w:pPr>
    </w:p>
    <w:p w14:paraId="27FEA9BF" w14:textId="77777777" w:rsidR="00877950" w:rsidRPr="007122AB" w:rsidRDefault="00877950" w:rsidP="007122AB">
      <w:pPr>
        <w:pStyle w:val="rtejustify"/>
        <w:spacing w:before="0" w:after="0"/>
        <w:rPr>
          <w:color w:val="000000" w:themeColor="text1"/>
          <w:sz w:val="16"/>
          <w:szCs w:val="16"/>
        </w:rPr>
      </w:pPr>
      <w:r w:rsidRPr="007122AB">
        <w:rPr>
          <w:rStyle w:val="af0"/>
          <w:i w:val="0"/>
          <w:color w:val="000000" w:themeColor="text1"/>
          <w:sz w:val="16"/>
          <w:szCs w:val="16"/>
        </w:rPr>
        <w:t>23 июня 1931 г. Протокол Реввоенсовета № 23.</w:t>
      </w:r>
      <w:r w:rsidRPr="007122AB">
        <w:rPr>
          <w:color w:val="000000" w:themeColor="text1"/>
          <w:sz w:val="16"/>
          <w:szCs w:val="16"/>
        </w:rPr>
        <w:t xml:space="preserve"> 1. Доклад «</w:t>
      </w:r>
      <w:proofErr w:type="spellStart"/>
      <w:r w:rsidRPr="007122AB">
        <w:rPr>
          <w:color w:val="000000" w:themeColor="text1"/>
          <w:sz w:val="16"/>
          <w:szCs w:val="16"/>
        </w:rPr>
        <w:t>Союзверфи</w:t>
      </w:r>
      <w:proofErr w:type="spellEnd"/>
      <w:r w:rsidRPr="007122AB">
        <w:rPr>
          <w:color w:val="000000" w:themeColor="text1"/>
          <w:sz w:val="16"/>
          <w:szCs w:val="16"/>
        </w:rPr>
        <w:t xml:space="preserve">» о ходе работ по военному судостроению. (Кондратьев, </w:t>
      </w:r>
      <w:proofErr w:type="spellStart"/>
      <w:r w:rsidRPr="007122AB">
        <w:rPr>
          <w:color w:val="000000" w:themeColor="text1"/>
          <w:sz w:val="16"/>
          <w:szCs w:val="16"/>
        </w:rPr>
        <w:t>Муклевич</w:t>
      </w:r>
      <w:proofErr w:type="spellEnd"/>
      <w:r w:rsidRPr="007122AB">
        <w:rPr>
          <w:color w:val="000000" w:themeColor="text1"/>
          <w:sz w:val="16"/>
          <w:szCs w:val="16"/>
        </w:rPr>
        <w:t>). 2. О постройке второй подводной лодки на средства общественных организаций. (</w:t>
      </w:r>
      <w:proofErr w:type="spellStart"/>
      <w:r w:rsidRPr="007122AB">
        <w:rPr>
          <w:color w:val="000000" w:themeColor="text1"/>
          <w:sz w:val="16"/>
          <w:szCs w:val="16"/>
        </w:rPr>
        <w:t>Муклевич</w:t>
      </w:r>
      <w:proofErr w:type="spellEnd"/>
      <w:r w:rsidRPr="007122AB">
        <w:rPr>
          <w:color w:val="000000" w:themeColor="text1"/>
          <w:sz w:val="16"/>
          <w:szCs w:val="16"/>
        </w:rPr>
        <w:t>). 3. Железнодорожная система вооружения (</w:t>
      </w:r>
      <w:proofErr w:type="spellStart"/>
      <w:r w:rsidRPr="007122AB">
        <w:rPr>
          <w:color w:val="000000" w:themeColor="text1"/>
          <w:sz w:val="16"/>
          <w:szCs w:val="16"/>
        </w:rPr>
        <w:t>Аппога</w:t>
      </w:r>
      <w:proofErr w:type="spellEnd"/>
      <w:r w:rsidRPr="007122AB">
        <w:rPr>
          <w:color w:val="000000" w:themeColor="text1"/>
          <w:sz w:val="16"/>
          <w:szCs w:val="16"/>
        </w:rPr>
        <w:t>). (РГВА. Ф. 4. Оп. 18. Д. 20. Л. 318</w:t>
      </w:r>
      <w:r w:rsidRPr="007122AB">
        <w:rPr>
          <w:color w:val="000000" w:themeColor="text1"/>
          <w:sz w:val="16"/>
          <w:szCs w:val="16"/>
        </w:rPr>
        <w:noBreakHyphen/>
        <w:t>319) (12342).</w:t>
      </w:r>
    </w:p>
    <w:p w14:paraId="6FC2DB13" w14:textId="77777777" w:rsidR="00877950" w:rsidRPr="007122AB" w:rsidRDefault="00877950" w:rsidP="007122AB">
      <w:pPr>
        <w:pStyle w:val="rtejustify"/>
        <w:spacing w:before="0" w:after="0"/>
        <w:rPr>
          <w:color w:val="000000" w:themeColor="text1"/>
          <w:sz w:val="16"/>
          <w:szCs w:val="16"/>
        </w:rPr>
      </w:pPr>
    </w:p>
    <w:p w14:paraId="215B6E2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B9E7B0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E1BA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июня 1931 была речь Бухарина на совещании хозяйственников: он настаивает на более организованном наборе и предотвращении текучести рабочих кадров, а также выступает против уравнительного принципа в оплате труда (4962).</w:t>
      </w:r>
    </w:p>
    <w:p w14:paraId="03B1BC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9B4EA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524556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DEDEF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июня 1931 г. начался первый кругосветный перелет </w:t>
      </w:r>
      <w:proofErr w:type="spellStart"/>
      <w:r w:rsidRPr="007122AB">
        <w:rPr>
          <w:rFonts w:ascii="Times New Roman" w:hAnsi="Times New Roman"/>
          <w:color w:val="000000" w:themeColor="text1"/>
          <w:sz w:val="16"/>
          <w:szCs w:val="16"/>
        </w:rPr>
        <w:t>В.Поста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Г.Гетти</w:t>
      </w:r>
      <w:proofErr w:type="spellEnd"/>
      <w:r w:rsidRPr="007122AB">
        <w:rPr>
          <w:rFonts w:ascii="Times New Roman" w:hAnsi="Times New Roman"/>
          <w:color w:val="000000" w:themeColor="text1"/>
          <w:sz w:val="16"/>
          <w:szCs w:val="16"/>
        </w:rPr>
        <w:t xml:space="preserve"> (США) (6395).</w:t>
      </w:r>
    </w:p>
    <w:p w14:paraId="6C05C3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5BB08" w14:textId="77777777" w:rsidR="009233AF" w:rsidRPr="007122AB" w:rsidRDefault="009233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23 июня</w:t>
      </w:r>
      <w:r w:rsidRPr="007122AB">
        <w:rPr>
          <w:rFonts w:ascii="Times New Roman" w:hAnsi="Times New Roman"/>
          <w:color w:val="000000" w:themeColor="text1"/>
          <w:sz w:val="16"/>
          <w:szCs w:val="16"/>
        </w:rPr>
        <w:t xml:space="preserve"> в 1931 году начало первого кругосветного перелета, пилоты Вилли Пост и Гарольд Гетти (США); На моноплане "Локхид Вега" они сумели побить достижение Хуго </w:t>
      </w:r>
      <w:proofErr w:type="spellStart"/>
      <w:r w:rsidRPr="007122AB">
        <w:rPr>
          <w:rFonts w:ascii="Times New Roman" w:hAnsi="Times New Roman"/>
          <w:color w:val="000000" w:themeColor="text1"/>
          <w:sz w:val="16"/>
          <w:szCs w:val="16"/>
        </w:rPr>
        <w:t>Эккенера</w:t>
      </w:r>
      <w:proofErr w:type="spellEnd"/>
      <w:r w:rsidRPr="007122AB">
        <w:rPr>
          <w:rFonts w:ascii="Times New Roman" w:hAnsi="Times New Roman"/>
          <w:color w:val="000000" w:themeColor="text1"/>
          <w:sz w:val="16"/>
          <w:szCs w:val="16"/>
        </w:rPr>
        <w:t xml:space="preserve"> на дирижабле «</w:t>
      </w:r>
      <w:proofErr w:type="spellStart"/>
      <w:r w:rsidRPr="007122AB">
        <w:rPr>
          <w:rFonts w:ascii="Times New Roman" w:hAnsi="Times New Roman"/>
          <w:color w:val="000000" w:themeColor="text1"/>
          <w:sz w:val="16"/>
          <w:szCs w:val="16"/>
        </w:rPr>
        <w:t>Graf</w:t>
      </w:r>
      <w:proofErr w:type="spellEnd"/>
      <w:r w:rsidRPr="007122AB">
        <w:rPr>
          <w:rFonts w:ascii="Times New Roman" w:hAnsi="Times New Roman"/>
          <w:color w:val="000000" w:themeColor="text1"/>
          <w:sz w:val="16"/>
          <w:szCs w:val="16"/>
        </w:rPr>
        <w:t xml:space="preserve"> Zeppelin». Маршрут Поста и Гетти, в принципе, был похож на трассу, ранее проложенную дирижаблем «</w:t>
      </w:r>
      <w:proofErr w:type="spellStart"/>
      <w:r w:rsidRPr="007122AB">
        <w:rPr>
          <w:rFonts w:ascii="Times New Roman" w:hAnsi="Times New Roman"/>
          <w:color w:val="000000" w:themeColor="text1"/>
          <w:sz w:val="16"/>
          <w:szCs w:val="16"/>
        </w:rPr>
        <w:t>Graf</w:t>
      </w:r>
      <w:proofErr w:type="spellEnd"/>
      <w:r w:rsidRPr="007122AB">
        <w:rPr>
          <w:rFonts w:ascii="Times New Roman" w:hAnsi="Times New Roman"/>
          <w:color w:val="000000" w:themeColor="text1"/>
          <w:sz w:val="16"/>
          <w:szCs w:val="16"/>
        </w:rPr>
        <w:t xml:space="preserve"> Zeppelin»: Нью-Йорк - </w:t>
      </w:r>
      <w:proofErr w:type="spellStart"/>
      <w:r w:rsidRPr="007122AB">
        <w:rPr>
          <w:rFonts w:ascii="Times New Roman" w:hAnsi="Times New Roman"/>
          <w:color w:val="000000" w:themeColor="text1"/>
          <w:sz w:val="16"/>
          <w:szCs w:val="16"/>
        </w:rPr>
        <w:t>Ньюфауленд</w:t>
      </w:r>
      <w:proofErr w:type="spellEnd"/>
      <w:r w:rsidRPr="007122AB">
        <w:rPr>
          <w:rFonts w:ascii="Times New Roman" w:hAnsi="Times New Roman"/>
          <w:color w:val="000000" w:themeColor="text1"/>
          <w:sz w:val="16"/>
          <w:szCs w:val="16"/>
        </w:rPr>
        <w:t xml:space="preserve"> - Англия - Германия - Россия (Москва - Новосибирск - Иркутск - Благовещенск - Хабаровск - Камчатка) - Аляска - Канада - Нью-Йорк. Весь путь удалось пройти 8 суток 15 часов.</w:t>
      </w:r>
    </w:p>
    <w:p w14:paraId="2684E45F" w14:textId="77777777" w:rsidR="009233AF" w:rsidRPr="007122AB" w:rsidRDefault="009233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14 остановок на дозаправку 5 было сделано в СССР – в Москве, Новосибирске, Иркутске, Благовещенске и Хабаровске. За эти дни они отдыхали считанное число раз, проводя без сна в полете по тридцать–сорок часов кряду. Во время путешествия им первым довелось </w:t>
      </w:r>
      <w:proofErr w:type="spellStart"/>
      <w:r w:rsidRPr="007122AB">
        <w:rPr>
          <w:rFonts w:ascii="Times New Roman" w:hAnsi="Times New Roman"/>
          <w:color w:val="000000" w:themeColor="text1"/>
          <w:sz w:val="16"/>
          <w:szCs w:val="16"/>
        </w:rPr>
        <w:t>испытатьощущение</w:t>
      </w:r>
      <w:proofErr w:type="spellEnd"/>
      <w:r w:rsidRPr="007122AB">
        <w:rPr>
          <w:rFonts w:ascii="Times New Roman" w:hAnsi="Times New Roman"/>
          <w:color w:val="000000" w:themeColor="text1"/>
          <w:sz w:val="16"/>
          <w:szCs w:val="16"/>
        </w:rPr>
        <w:t>, когда биологические часы не поспевают за быстрой сменой часовых поясов при движении. В 1933 году Пост улучшил свой результат почти на сутки, совершив первый в истории одиночный кругосветный перелет. При посадке бывшего фермера восторженно приветствовали 50 тысяч человек. После этого Пост всерьез занялся скоростными перелетами. После взлета он уходил в субстратосферу, что позволило повысить скорость полета от 290 до 650 км/ч. Правда, для этого пришлось применять специальный высотный костюм. В 1935 году Пост решает осуществить перелет из Америки в Москву через Аляску и Сибирь. Сопровождал его друг, известнейший писатель и актер Уилл Роджерс. Полет закончился трагедией – самолет разбился из–за отказа мотора на Аляске (14931).</w:t>
      </w:r>
    </w:p>
    <w:p w14:paraId="5339C868" w14:textId="77777777" w:rsidR="009233AF" w:rsidRPr="007122AB" w:rsidRDefault="009233AF" w:rsidP="007122AB">
      <w:pPr>
        <w:spacing w:after="0" w:line="240" w:lineRule="auto"/>
        <w:jc w:val="both"/>
        <w:rPr>
          <w:rFonts w:ascii="Times New Roman" w:hAnsi="Times New Roman"/>
          <w:color w:val="000000" w:themeColor="text1"/>
          <w:sz w:val="16"/>
          <w:szCs w:val="16"/>
        </w:rPr>
      </w:pPr>
    </w:p>
    <w:p w14:paraId="2E6EB4A8" w14:textId="77777777" w:rsidR="009A7BA5" w:rsidRPr="007122AB" w:rsidRDefault="009A7BA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июня 1931 - Начало первого кругосветного перелета </w:t>
      </w:r>
      <w:proofErr w:type="spellStart"/>
      <w:r w:rsidRPr="007122AB">
        <w:rPr>
          <w:rFonts w:ascii="Times New Roman" w:hAnsi="Times New Roman"/>
          <w:color w:val="000000" w:themeColor="text1"/>
          <w:sz w:val="16"/>
          <w:szCs w:val="16"/>
        </w:rPr>
        <w:t>В.Поста</w:t>
      </w:r>
      <w:proofErr w:type="spellEnd"/>
      <w:r w:rsidRPr="007122AB">
        <w:rPr>
          <w:rFonts w:ascii="Times New Roman" w:hAnsi="Times New Roman"/>
          <w:color w:val="000000" w:themeColor="text1"/>
          <w:sz w:val="16"/>
          <w:szCs w:val="16"/>
        </w:rPr>
        <w:t xml:space="preserve"> и Г. Гетти (США).  На моноплане "Локхид Вега" они сумели побить достижение Хуго </w:t>
      </w:r>
      <w:proofErr w:type="spellStart"/>
      <w:r w:rsidRPr="007122AB">
        <w:rPr>
          <w:rFonts w:ascii="Times New Roman" w:hAnsi="Times New Roman"/>
          <w:color w:val="000000" w:themeColor="text1"/>
          <w:sz w:val="16"/>
          <w:szCs w:val="16"/>
        </w:rPr>
        <w:t>Эккенера</w:t>
      </w:r>
      <w:proofErr w:type="spellEnd"/>
      <w:r w:rsidRPr="007122AB">
        <w:rPr>
          <w:rFonts w:ascii="Times New Roman" w:hAnsi="Times New Roman"/>
          <w:color w:val="000000" w:themeColor="text1"/>
          <w:sz w:val="16"/>
          <w:szCs w:val="16"/>
        </w:rPr>
        <w:t xml:space="preserve"> на дирижабле </w:t>
      </w:r>
      <w:proofErr w:type="spellStart"/>
      <w:r w:rsidRPr="007122AB">
        <w:rPr>
          <w:rFonts w:ascii="Times New Roman" w:hAnsi="Times New Roman"/>
          <w:color w:val="000000" w:themeColor="text1"/>
          <w:sz w:val="16"/>
          <w:szCs w:val="16"/>
        </w:rPr>
        <w:t>Graf</w:t>
      </w:r>
      <w:proofErr w:type="spellEnd"/>
      <w:r w:rsidRPr="007122AB">
        <w:rPr>
          <w:rFonts w:ascii="Times New Roman" w:hAnsi="Times New Roman"/>
          <w:color w:val="000000" w:themeColor="text1"/>
          <w:sz w:val="16"/>
          <w:szCs w:val="16"/>
        </w:rPr>
        <w:t xml:space="preserve"> Zeppelin . Маршрут Поста и Гетти, в принципе, был похож на трассу, ранее проложенную дирижаблем </w:t>
      </w:r>
      <w:proofErr w:type="spellStart"/>
      <w:r w:rsidRPr="007122AB">
        <w:rPr>
          <w:rFonts w:ascii="Times New Roman" w:hAnsi="Times New Roman"/>
          <w:color w:val="000000" w:themeColor="text1"/>
          <w:sz w:val="16"/>
          <w:szCs w:val="16"/>
        </w:rPr>
        <w:t>Graf</w:t>
      </w:r>
      <w:proofErr w:type="spellEnd"/>
      <w:r w:rsidRPr="007122AB">
        <w:rPr>
          <w:rFonts w:ascii="Times New Roman" w:hAnsi="Times New Roman"/>
          <w:color w:val="000000" w:themeColor="text1"/>
          <w:sz w:val="16"/>
          <w:szCs w:val="16"/>
        </w:rPr>
        <w:t xml:space="preserve"> Zeppelin: Нью-Йорк - </w:t>
      </w:r>
      <w:proofErr w:type="spellStart"/>
      <w:r w:rsidRPr="007122AB">
        <w:rPr>
          <w:rFonts w:ascii="Times New Roman" w:hAnsi="Times New Roman"/>
          <w:color w:val="000000" w:themeColor="text1"/>
          <w:sz w:val="16"/>
          <w:szCs w:val="16"/>
        </w:rPr>
        <w:t>Ньюфауленд</w:t>
      </w:r>
      <w:proofErr w:type="spellEnd"/>
      <w:r w:rsidRPr="007122AB">
        <w:rPr>
          <w:rFonts w:ascii="Times New Roman" w:hAnsi="Times New Roman"/>
          <w:color w:val="000000" w:themeColor="text1"/>
          <w:sz w:val="16"/>
          <w:szCs w:val="16"/>
        </w:rPr>
        <w:t xml:space="preserve"> - Англия - Германия - Россия (Москва - Новосибирск - Иркутск - Благовещенск - Хабаровск - Камчатка) - Аляска - Канада - Нью-Йорк. Весь путь удалось пройти 8 суток 15 часов.</w:t>
      </w:r>
    </w:p>
    <w:p w14:paraId="68154D32" w14:textId="77777777" w:rsidR="009A7BA5" w:rsidRPr="007122AB" w:rsidRDefault="009A7BA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14 остановок на дозаправку 5 было сделано в СССР – в Москве, Новосибирске, Иркутске, Благовещенске и Хабаровске. За эти дни они отдыхали считанное число раз, проводя без сна в полете по тридцать–сорок часов кряду (22452).</w:t>
      </w:r>
    </w:p>
    <w:p w14:paraId="143F71E6" w14:textId="77777777" w:rsidR="009A7BA5" w:rsidRPr="007122AB" w:rsidRDefault="009A7BA5" w:rsidP="007122AB">
      <w:pPr>
        <w:spacing w:after="0" w:line="240" w:lineRule="auto"/>
        <w:jc w:val="both"/>
        <w:rPr>
          <w:rFonts w:ascii="Times New Roman" w:hAnsi="Times New Roman"/>
          <w:color w:val="000000" w:themeColor="text1"/>
          <w:sz w:val="16"/>
          <w:szCs w:val="16"/>
        </w:rPr>
      </w:pPr>
    </w:p>
    <w:p w14:paraId="2F7A07B1" w14:textId="77777777" w:rsidR="009A7BA5" w:rsidRPr="007122AB" w:rsidRDefault="009A7BA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июня - 1 июля 1931 </w:t>
      </w:r>
      <w:proofErr w:type="spellStart"/>
      <w:r w:rsidRPr="007122AB">
        <w:rPr>
          <w:rFonts w:ascii="Times New Roman" w:hAnsi="Times New Roman"/>
          <w:color w:val="000000" w:themeColor="text1"/>
          <w:sz w:val="16"/>
          <w:szCs w:val="16"/>
        </w:rPr>
        <w:t>Wiley</w:t>
      </w:r>
      <w:proofErr w:type="spellEnd"/>
      <w:r w:rsidRPr="007122AB">
        <w:rPr>
          <w:rFonts w:ascii="Times New Roman" w:hAnsi="Times New Roman"/>
          <w:color w:val="000000" w:themeColor="text1"/>
          <w:sz w:val="16"/>
          <w:szCs w:val="16"/>
        </w:rPr>
        <w:t xml:space="preserve"> Post и Гарольд </w:t>
      </w:r>
      <w:proofErr w:type="spellStart"/>
      <w:r w:rsidRPr="007122AB">
        <w:rPr>
          <w:rFonts w:ascii="Times New Roman" w:hAnsi="Times New Roman"/>
          <w:color w:val="000000" w:themeColor="text1"/>
          <w:sz w:val="16"/>
          <w:szCs w:val="16"/>
        </w:rPr>
        <w:t>Гатти</w:t>
      </w:r>
      <w:proofErr w:type="spellEnd"/>
      <w:r w:rsidRPr="007122AB">
        <w:rPr>
          <w:rFonts w:ascii="Times New Roman" w:hAnsi="Times New Roman"/>
          <w:color w:val="000000" w:themeColor="text1"/>
          <w:sz w:val="16"/>
          <w:szCs w:val="16"/>
        </w:rPr>
        <w:t xml:space="preserve"> облетают весь мир на Lockheed </w:t>
      </w:r>
      <w:proofErr w:type="spellStart"/>
      <w:r w:rsidRPr="007122AB">
        <w:rPr>
          <w:rFonts w:ascii="Times New Roman" w:hAnsi="Times New Roman"/>
          <w:color w:val="000000" w:themeColor="text1"/>
          <w:sz w:val="16"/>
          <w:szCs w:val="16"/>
        </w:rPr>
        <w:t>Vega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Winnie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Mae</w:t>
      </w:r>
      <w:proofErr w:type="spellEnd"/>
      <w:r w:rsidRPr="007122AB">
        <w:rPr>
          <w:rFonts w:ascii="Times New Roman" w:hAnsi="Times New Roman"/>
          <w:color w:val="000000" w:themeColor="text1"/>
          <w:sz w:val="16"/>
          <w:szCs w:val="16"/>
        </w:rPr>
        <w:t>, преодолевая 15 474 миль (24 918 км) за 8 дней 15 часов 51 минуту - новый рекорд (20804).</w:t>
      </w:r>
    </w:p>
    <w:p w14:paraId="7785E824" w14:textId="77777777" w:rsidR="009A7BA5" w:rsidRPr="007122AB" w:rsidRDefault="009A7BA5" w:rsidP="007122AB">
      <w:pPr>
        <w:spacing w:after="0" w:line="240" w:lineRule="auto"/>
        <w:jc w:val="both"/>
        <w:rPr>
          <w:rFonts w:ascii="Times New Roman" w:hAnsi="Times New Roman"/>
          <w:color w:val="000000" w:themeColor="text1"/>
          <w:sz w:val="16"/>
          <w:szCs w:val="16"/>
        </w:rPr>
      </w:pPr>
    </w:p>
    <w:p w14:paraId="6ACA2A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DE9F1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8933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24 июня по 3 июля 1931 проходили серийные испытания самолета ТБ1 N 704 серии N 1 построенного на зав. N 22 с 2 моторами типа М-17 НР 616-646 NN 26261-26255.</w:t>
      </w:r>
    </w:p>
    <w:p w14:paraId="0D89BE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предъявлен заводом для производства испытаний 26 июня 1931 г.</w:t>
      </w:r>
    </w:p>
    <w:p w14:paraId="784B9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материалов испытаний и акта по серийному испытанию комиссия сочла возможным данную серию самолетов признать кондиционной (3263).</w:t>
      </w:r>
    </w:p>
    <w:p w14:paraId="07EE05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452E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61A749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F85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июня 1931 в Кабуле был подписан договор о нейтралитете и взаимном ненападении между СССР и Афганистаном (1348,242).</w:t>
      </w:r>
    </w:p>
    <w:p w14:paraId="166B5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1A9B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июня 1931 состоялось подписание в Кабуле договора о нейтралитете и взаимном ненападении между СССР и Афганистаном. Он заменяет договор от 31 авг. 1926 и будет возобновлен 29 марта 1936 (4962).</w:t>
      </w:r>
    </w:p>
    <w:p w14:paraId="2AD18E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896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июня 1931 был продлен на три года договор о дружбе и нейтралитете с Германией 1926 (Берлинский договор). Протокол к нему будет ратифицирован 5 мая 1933, несколько месяцев спустя после прихода к власти Гитлера (4962).</w:t>
      </w:r>
    </w:p>
    <w:p w14:paraId="2FBC45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D3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июня 1931 был продлен на три года договор о дружбе и нейтралитете с Германией (1348,242). Протокол к нему ратифицируют 5 мая 1933 уже после прихода А.Г. к власти (3908,335).</w:t>
      </w:r>
    </w:p>
    <w:p w14:paraId="49971C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28B6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24 июня 1931 г. в Москве </w:t>
      </w:r>
      <w:proofErr w:type="spellStart"/>
      <w:r w:rsidRPr="007122AB">
        <w:rPr>
          <w:rFonts w:ascii="Times New Roman" w:hAnsi="Times New Roman"/>
          <w:color w:val="000000" w:themeColor="text1"/>
          <w:sz w:val="16"/>
          <w:szCs w:val="16"/>
        </w:rPr>
        <w:t>нодписав</w:t>
      </w:r>
      <w:proofErr w:type="spellEnd"/>
      <w:r w:rsidRPr="007122AB">
        <w:rPr>
          <w:rFonts w:ascii="Times New Roman" w:hAnsi="Times New Roman"/>
          <w:color w:val="000000" w:themeColor="text1"/>
          <w:sz w:val="16"/>
          <w:szCs w:val="16"/>
        </w:rPr>
        <w:t xml:space="preserve"> протокол о продлении Берлинского договора, правительство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так и не ратифицировало его (11784).</w:t>
      </w:r>
    </w:p>
    <w:p w14:paraId="45F93F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01E1A2" w14:textId="77777777" w:rsidR="009233A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139B276" w14:textId="77777777" w:rsidR="009233AF" w:rsidRPr="007122AB" w:rsidRDefault="009233A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800B97" w14:textId="77777777" w:rsidR="009233AF" w:rsidRPr="007122AB" w:rsidRDefault="009233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24 июня</w:t>
      </w:r>
      <w:r w:rsidRPr="007122AB">
        <w:rPr>
          <w:rFonts w:ascii="Times New Roman" w:hAnsi="Times New Roman"/>
          <w:color w:val="000000" w:themeColor="text1"/>
          <w:sz w:val="16"/>
          <w:szCs w:val="16"/>
        </w:rPr>
        <w:t xml:space="preserve"> в 1931 году в </w:t>
      </w:r>
      <w:proofErr w:type="spellStart"/>
      <w:r w:rsidRPr="007122AB">
        <w:rPr>
          <w:rFonts w:ascii="Times New Roman" w:hAnsi="Times New Roman"/>
          <w:color w:val="000000" w:themeColor="text1"/>
          <w:sz w:val="16"/>
          <w:szCs w:val="16"/>
        </w:rPr>
        <w:t>Рэдлетте</w:t>
      </w:r>
      <w:proofErr w:type="spellEnd"/>
      <w:r w:rsidRPr="007122AB">
        <w:rPr>
          <w:rFonts w:ascii="Times New Roman" w:hAnsi="Times New Roman"/>
          <w:color w:val="000000" w:themeColor="text1"/>
          <w:sz w:val="16"/>
          <w:szCs w:val="16"/>
        </w:rPr>
        <w:t xml:space="preserve"> впервые поднялся в воздух второй самолет в варианте </w:t>
      </w:r>
      <w:hyperlink r:id="rId134" w:tgtFrame="_blank" w:history="1">
        <w:r w:rsidRPr="007122AB">
          <w:rPr>
            <w:rFonts w:ascii="Times New Roman" w:hAnsi="Times New Roman"/>
            <w:color w:val="000000" w:themeColor="text1"/>
            <w:sz w:val="16"/>
            <w:szCs w:val="16"/>
          </w:rPr>
          <w:t xml:space="preserve">«Н.Р.42Е», </w:t>
        </w:r>
      </w:hyperlink>
      <w:r w:rsidRPr="007122AB">
        <w:rPr>
          <w:rFonts w:ascii="Times New Roman" w:hAnsi="Times New Roman"/>
          <w:color w:val="000000" w:themeColor="text1"/>
          <w:sz w:val="16"/>
          <w:szCs w:val="16"/>
        </w:rPr>
        <w:t>с именем "Гардиан" ("</w:t>
      </w:r>
      <w:proofErr w:type="spellStart"/>
      <w:r w:rsidRPr="007122AB">
        <w:rPr>
          <w:rFonts w:ascii="Times New Roman" w:hAnsi="Times New Roman"/>
          <w:color w:val="000000" w:themeColor="text1"/>
          <w:sz w:val="16"/>
          <w:szCs w:val="16"/>
        </w:rPr>
        <w:t>Hardian</w:t>
      </w:r>
      <w:proofErr w:type="spellEnd"/>
      <w:r w:rsidRPr="007122AB">
        <w:rPr>
          <w:rFonts w:ascii="Times New Roman" w:hAnsi="Times New Roman"/>
          <w:color w:val="000000" w:themeColor="text1"/>
          <w:sz w:val="16"/>
          <w:szCs w:val="16"/>
        </w:rPr>
        <w:t>") и номером G-MUE (14932).</w:t>
      </w:r>
    </w:p>
    <w:p w14:paraId="64499EEF" w14:textId="77777777" w:rsidR="009233AF" w:rsidRPr="007122AB" w:rsidRDefault="009233AF" w:rsidP="007122AB">
      <w:pPr>
        <w:spacing w:after="0" w:line="240" w:lineRule="auto"/>
        <w:jc w:val="both"/>
        <w:rPr>
          <w:rFonts w:ascii="Times New Roman" w:hAnsi="Times New Roman"/>
          <w:color w:val="000000" w:themeColor="text1"/>
          <w:sz w:val="16"/>
          <w:szCs w:val="16"/>
        </w:rPr>
      </w:pPr>
    </w:p>
    <w:p w14:paraId="776313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EDF174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424CF5" w14:textId="77777777" w:rsidR="0062380D" w:rsidRPr="007122AB" w:rsidRDefault="0062380D"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rPr>
        <w:t>25 июня 1931 г. в материалах АГОС от сообщалось, что самолёт АНТ-2 сделал только один полёт, испытания пришлось прервать из-за течи масла. Да он был уже и не нужен – разворачивался серийный выпуск трехмоторного 9-местного АНТ-9 со значительно лучшими характеристиками (21472).</w:t>
      </w:r>
    </w:p>
    <w:p w14:paraId="0C8F4473" w14:textId="77777777" w:rsidR="0062380D" w:rsidRPr="007122AB" w:rsidRDefault="0062380D"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55F3DD5"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июня 1931 г.</w:t>
      </w:r>
    </w:p>
    <w:p w14:paraId="31D3B69F"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ПИСЬМО ЗАМЕСТИТЕЛЯ НАРОДНОГО КОМИССАРА ИНОСТРАННЫХ ДЕЛ СССР Н.Н. КРЕСТИНСКОГО ПРЕДСЕДАТЕЛЮ РВС СССР К.Е. ВОРОШИЛОВУ И ПРЕДСЕДАТЕЛЮ КОЛЛЕГИИ ОГПУ В.Р. МЕНЖИНСКОМУ О БЕСПОСАДОЧНОМ ПЕРЕЛЕТЕ АМЕРИКАНСКОГО САМОЛЕТА ПО МАРШРУТУ НЬЮ-ЙОРК - МОСКВА</w:t>
      </w:r>
    </w:p>
    <w:p w14:paraId="2211CBFA"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июня 1931 г.</w:t>
      </w:r>
    </w:p>
    <w:p w14:paraId="1FCB03F9"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4A642C3E"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срочно.</w:t>
      </w:r>
    </w:p>
    <w:p w14:paraId="000216A0"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ПОЛЕТЕ американцев </w:t>
      </w:r>
      <w:proofErr w:type="spellStart"/>
      <w:r w:rsidRPr="007122AB">
        <w:rPr>
          <w:rFonts w:ascii="Times New Roman" w:hAnsi="Times New Roman"/>
          <w:color w:val="000000" w:themeColor="text1"/>
          <w:sz w:val="16"/>
          <w:szCs w:val="16"/>
        </w:rPr>
        <w:t>Рессела</w:t>
      </w:r>
      <w:proofErr w:type="spellEnd"/>
      <w:r w:rsidRPr="007122AB">
        <w:rPr>
          <w:rFonts w:ascii="Times New Roman" w:hAnsi="Times New Roman"/>
          <w:color w:val="000000" w:themeColor="text1"/>
          <w:sz w:val="16"/>
          <w:szCs w:val="16"/>
        </w:rPr>
        <w:t xml:space="preserve"> Н. </w:t>
      </w:r>
      <w:proofErr w:type="spellStart"/>
      <w:r w:rsidRPr="007122AB">
        <w:rPr>
          <w:rFonts w:ascii="Times New Roman" w:hAnsi="Times New Roman"/>
          <w:color w:val="000000" w:themeColor="text1"/>
          <w:sz w:val="16"/>
          <w:szCs w:val="16"/>
        </w:rPr>
        <w:t>Бордмана</w:t>
      </w:r>
      <w:proofErr w:type="spellEnd"/>
      <w:r w:rsidRPr="007122AB">
        <w:rPr>
          <w:rFonts w:ascii="Times New Roman" w:hAnsi="Times New Roman"/>
          <w:color w:val="000000" w:themeColor="text1"/>
          <w:sz w:val="16"/>
          <w:szCs w:val="16"/>
        </w:rPr>
        <w:t xml:space="preserve"> и Джона </w:t>
      </w:r>
      <w:proofErr w:type="spellStart"/>
      <w:r w:rsidRPr="007122AB">
        <w:rPr>
          <w:rFonts w:ascii="Times New Roman" w:hAnsi="Times New Roman"/>
          <w:color w:val="000000" w:themeColor="text1"/>
          <w:sz w:val="16"/>
          <w:szCs w:val="16"/>
        </w:rPr>
        <w:t>Поланса</w:t>
      </w:r>
      <w:proofErr w:type="spellEnd"/>
      <w:r w:rsidRPr="007122AB">
        <w:rPr>
          <w:rFonts w:ascii="Times New Roman" w:hAnsi="Times New Roman"/>
          <w:color w:val="000000" w:themeColor="text1"/>
          <w:sz w:val="16"/>
          <w:szCs w:val="16"/>
        </w:rPr>
        <w:t>.</w:t>
      </w:r>
    </w:p>
    <w:p w14:paraId="6B2AB244"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Эти летчики обратились через т. </w:t>
      </w:r>
      <w:proofErr w:type="spellStart"/>
      <w:r w:rsidRPr="007122AB">
        <w:rPr>
          <w:rFonts w:ascii="Times New Roman" w:hAnsi="Times New Roman"/>
          <w:color w:val="000000" w:themeColor="text1"/>
          <w:sz w:val="16"/>
          <w:szCs w:val="16"/>
        </w:rPr>
        <w:t>Скиирского</w:t>
      </w:r>
      <w:proofErr w:type="spellEnd"/>
      <w:r w:rsidRPr="007122AB">
        <w:rPr>
          <w:rFonts w:ascii="Times New Roman" w:hAnsi="Times New Roman"/>
          <w:color w:val="000000" w:themeColor="text1"/>
          <w:sz w:val="16"/>
          <w:szCs w:val="16"/>
        </w:rPr>
        <w:t xml:space="preserve"> за разрешением на перелет по маршруту Нью-Йорк — Москва (без посадки в Европе) и затем в Японию.</w:t>
      </w:r>
    </w:p>
    <w:p w14:paraId="6005D91B"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побить мировой рекорд беспосадочного полета на большую дистанцию. Готовы стартовать в ближайшие дни.</w:t>
      </w:r>
    </w:p>
    <w:p w14:paraId="5B66D8EB"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Ведомства запрошены 19 июня. </w:t>
      </w:r>
      <w:proofErr w:type="spellStart"/>
      <w:r w:rsidRPr="007122AB">
        <w:rPr>
          <w:rFonts w:ascii="Times New Roman" w:hAnsi="Times New Roman"/>
          <w:color w:val="000000" w:themeColor="text1"/>
          <w:sz w:val="16"/>
          <w:szCs w:val="16"/>
        </w:rPr>
        <w:t>Военвед</w:t>
      </w:r>
      <w:proofErr w:type="spellEnd"/>
      <w:r w:rsidRPr="007122AB">
        <w:rPr>
          <w:rFonts w:ascii="Times New Roman" w:hAnsi="Times New Roman"/>
          <w:color w:val="000000" w:themeColor="text1"/>
          <w:sz w:val="16"/>
          <w:szCs w:val="16"/>
        </w:rPr>
        <w:t xml:space="preserve"> вернул запрос без рассмотрения.</w:t>
      </w:r>
    </w:p>
    <w:p w14:paraId="139C8FBB"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ОГПУ не ответило. ВОГВФ не возражает против полета по маршруту </w:t>
      </w:r>
      <w:proofErr w:type="spellStart"/>
      <w:r w:rsidRPr="007122AB">
        <w:rPr>
          <w:rFonts w:ascii="Times New Roman" w:hAnsi="Times New Roman"/>
          <w:color w:val="000000" w:themeColor="text1"/>
          <w:sz w:val="16"/>
          <w:szCs w:val="16"/>
        </w:rPr>
        <w:t>Дерулюфта</w:t>
      </w:r>
      <w:proofErr w:type="spellEnd"/>
      <w:r w:rsidRPr="007122AB">
        <w:rPr>
          <w:rFonts w:ascii="Times New Roman" w:hAnsi="Times New Roman"/>
          <w:color w:val="000000" w:themeColor="text1"/>
          <w:sz w:val="16"/>
          <w:szCs w:val="16"/>
        </w:rPr>
        <w:t xml:space="preserve"> и далее существующими маршрутами на восток с вылетом через границу уст. Маньчжурия.</w:t>
      </w:r>
    </w:p>
    <w:p w14:paraId="7842C309"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Предлагаю полет разрешить. Оформление въезда (виза) совершить в Москве, т.к. наших консульств в западном полушарии не имеется.</w:t>
      </w:r>
    </w:p>
    <w:p w14:paraId="344122C3"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наркома КРЕСТИНСКИЙ</w:t>
      </w:r>
    </w:p>
    <w:p w14:paraId="41DF5B4C" w14:textId="77777777" w:rsidR="0062380D" w:rsidRPr="007122AB" w:rsidRDefault="0062380D" w:rsidP="007122AB">
      <w:pPr>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 xml:space="preserve">АВП РФ. Ф. 0129. </w:t>
      </w:r>
      <w:r w:rsidRPr="007122AB">
        <w:rPr>
          <w:rFonts w:ascii="Times New Roman" w:hAnsi="Times New Roman"/>
          <w:color w:val="000000" w:themeColor="text1"/>
          <w:sz w:val="16"/>
          <w:szCs w:val="16"/>
          <w:lang w:val="en-US"/>
        </w:rPr>
        <w:t xml:space="preserve">On. 14. </w:t>
      </w:r>
      <w:r w:rsidRPr="007122AB">
        <w:rPr>
          <w:rFonts w:ascii="Times New Roman" w:hAnsi="Times New Roman"/>
          <w:color w:val="000000" w:themeColor="text1"/>
          <w:sz w:val="16"/>
          <w:szCs w:val="16"/>
        </w:rPr>
        <w:t>Л</w:t>
      </w:r>
      <w:r w:rsidRPr="007122AB">
        <w:rPr>
          <w:rFonts w:ascii="Times New Roman" w:hAnsi="Times New Roman"/>
          <w:color w:val="000000" w:themeColor="text1"/>
          <w:sz w:val="16"/>
          <w:szCs w:val="16"/>
          <w:lang w:val="en-US"/>
        </w:rPr>
        <w:t xml:space="preserve">. 127. </w:t>
      </w:r>
      <w:r w:rsidRPr="007122AB">
        <w:rPr>
          <w:rFonts w:ascii="Times New Roman" w:hAnsi="Times New Roman"/>
          <w:color w:val="000000" w:themeColor="text1"/>
          <w:sz w:val="16"/>
          <w:szCs w:val="16"/>
        </w:rPr>
        <w:t>Д</w:t>
      </w:r>
      <w:r w:rsidRPr="007122AB">
        <w:rPr>
          <w:rFonts w:ascii="Times New Roman" w:hAnsi="Times New Roman"/>
          <w:color w:val="000000" w:themeColor="text1"/>
          <w:sz w:val="16"/>
          <w:szCs w:val="16"/>
          <w:lang w:val="en-US"/>
        </w:rPr>
        <w:t xml:space="preserve">. 325. </w:t>
      </w:r>
      <w:r w:rsidRPr="007122AB">
        <w:rPr>
          <w:rFonts w:ascii="Times New Roman" w:hAnsi="Times New Roman"/>
          <w:color w:val="000000" w:themeColor="text1"/>
          <w:sz w:val="16"/>
          <w:szCs w:val="16"/>
        </w:rPr>
        <w:t>Л</w:t>
      </w:r>
      <w:r w:rsidRPr="007122AB">
        <w:rPr>
          <w:rFonts w:ascii="Times New Roman" w:hAnsi="Times New Roman"/>
          <w:color w:val="000000" w:themeColor="text1"/>
          <w:sz w:val="16"/>
          <w:szCs w:val="16"/>
          <w:lang w:val="en-US"/>
        </w:rPr>
        <w:t xml:space="preserve">. 7. </w:t>
      </w:r>
      <w:r w:rsidRPr="007122AB">
        <w:rPr>
          <w:rFonts w:ascii="Times New Roman" w:hAnsi="Times New Roman"/>
          <w:color w:val="000000" w:themeColor="text1"/>
          <w:sz w:val="16"/>
          <w:szCs w:val="16"/>
        </w:rPr>
        <w:t>Копия</w:t>
      </w:r>
      <w:r w:rsidRPr="007122AB">
        <w:rPr>
          <w:rFonts w:ascii="Times New Roman" w:hAnsi="Times New Roman"/>
          <w:color w:val="000000" w:themeColor="text1"/>
          <w:sz w:val="16"/>
          <w:szCs w:val="16"/>
          <w:lang w:val="en-US"/>
        </w:rPr>
        <w:t xml:space="preserve"> (20882).</w:t>
      </w:r>
    </w:p>
    <w:p w14:paraId="30BE3EE3" w14:textId="77777777" w:rsidR="0062380D" w:rsidRPr="007122AB" w:rsidRDefault="0062380D" w:rsidP="007122AB">
      <w:pPr>
        <w:spacing w:after="0" w:line="240" w:lineRule="auto"/>
        <w:jc w:val="both"/>
        <w:rPr>
          <w:rFonts w:ascii="Times New Roman" w:hAnsi="Times New Roman"/>
          <w:color w:val="000000" w:themeColor="text1"/>
          <w:sz w:val="16"/>
          <w:szCs w:val="16"/>
          <w:lang w:val="en-US"/>
        </w:rPr>
      </w:pPr>
    </w:p>
    <w:p w14:paraId="0D7F60DC"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июня 1931 г.</w:t>
      </w:r>
    </w:p>
    <w:p w14:paraId="6AB39BF4"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ПИСЬМО ЗАМЕСТИТЕЛЯ НАРОДНОГО КОМИССАРА ИНОСТРАННЫХ ДЕЛ СССР Н.Н. КРЕСТИНСКОГО ПРЕДСЕДАТЕЛЮ РВС СССР К.Е. ВОРОШИЛОВУ И ПРЕДСЕДАТЕЛЮ КОЛЛЕГИИ ОГПУ В.Р. МЕНЖИНСКОМУ О РАЗРЕШЕНИИ БЕСПОСАДОЧНОГО ПЕРЕЛЕТА СИЭТЛ - ТОКИО ЧЕРЕЗ СОВЕТСКУЮ ТЕРРИТОРИЮ АМЕРИКАНСКИМ ЛЕТЧИКАМ Р. РОББИНСУ И Г.С. ДЖОНСУ</w:t>
      </w:r>
    </w:p>
    <w:p w14:paraId="0772DD26"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июня 1931 г.</w:t>
      </w:r>
    </w:p>
    <w:p w14:paraId="5C9AB7CB"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3689E168"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срочно</w:t>
      </w:r>
    </w:p>
    <w:p w14:paraId="62991384"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Летчики намереваются в июне, в самые ближайшие дни, совершить беспосадочный полет из Сиэтла в Токио через мыс Дежнева и мыс Лопатка (Камчатка). Оговаривают возможность вынужденной посадки в случае шторма. Ни радио, ни оружия, ни камеры с собой не берут.</w:t>
      </w:r>
    </w:p>
    <w:p w14:paraId="258EACC2"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Ведомства запрошены 18 июня. </w:t>
      </w:r>
      <w:proofErr w:type="spellStart"/>
      <w:r w:rsidRPr="007122AB">
        <w:rPr>
          <w:rFonts w:ascii="Times New Roman" w:hAnsi="Times New Roman"/>
          <w:color w:val="000000" w:themeColor="text1"/>
          <w:sz w:val="16"/>
          <w:szCs w:val="16"/>
        </w:rPr>
        <w:t>Военвед</w:t>
      </w:r>
      <w:proofErr w:type="spellEnd"/>
      <w:r w:rsidRPr="007122AB">
        <w:rPr>
          <w:rFonts w:ascii="Times New Roman" w:hAnsi="Times New Roman"/>
          <w:color w:val="000000" w:themeColor="text1"/>
          <w:sz w:val="16"/>
          <w:szCs w:val="16"/>
        </w:rPr>
        <w:t xml:space="preserve"> вернул запрос без рассмотрения.</w:t>
      </w:r>
    </w:p>
    <w:p w14:paraId="6D866757"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ОГПУ заключения не дало. ВО ГВФ не возражает, оговаривая невозможность оказания технической помощи перелету поданному маршруту.</w:t>
      </w:r>
    </w:p>
    <w:p w14:paraId="58375EC7"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Предлагаю полет разрешить.</w:t>
      </w:r>
    </w:p>
    <w:p w14:paraId="5F3BE0F7"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наркома КРЕСТИНСКИЙ</w:t>
      </w:r>
    </w:p>
    <w:p w14:paraId="17325A6B"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w:t>
      </w:r>
      <w:r w:rsidRPr="007122AB">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РФ</w:t>
      </w:r>
      <w:r w:rsidRPr="007122AB">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Ф</w:t>
      </w:r>
      <w:r w:rsidRPr="007122AB">
        <w:rPr>
          <w:rFonts w:ascii="Times New Roman" w:hAnsi="Times New Roman"/>
          <w:color w:val="000000" w:themeColor="text1"/>
          <w:sz w:val="16"/>
          <w:szCs w:val="16"/>
          <w:lang w:val="en-US"/>
        </w:rPr>
        <w:t xml:space="preserve">. 0129. On. 14. </w:t>
      </w:r>
      <w:r w:rsidRPr="007122AB">
        <w:rPr>
          <w:rFonts w:ascii="Times New Roman" w:hAnsi="Times New Roman"/>
          <w:color w:val="000000" w:themeColor="text1"/>
          <w:sz w:val="16"/>
          <w:szCs w:val="16"/>
        </w:rPr>
        <w:t>П</w:t>
      </w:r>
      <w:r w:rsidRPr="007122AB">
        <w:rPr>
          <w:rFonts w:ascii="Times New Roman" w:hAnsi="Times New Roman"/>
          <w:color w:val="000000" w:themeColor="text1"/>
          <w:sz w:val="16"/>
          <w:szCs w:val="16"/>
          <w:lang w:val="en-US"/>
        </w:rPr>
        <w:t xml:space="preserve">. 127. </w:t>
      </w:r>
      <w:r w:rsidRPr="007122AB">
        <w:rPr>
          <w:rFonts w:ascii="Times New Roman" w:hAnsi="Times New Roman"/>
          <w:color w:val="000000" w:themeColor="text1"/>
          <w:sz w:val="16"/>
          <w:szCs w:val="16"/>
        </w:rPr>
        <w:t>Д</w:t>
      </w:r>
      <w:r w:rsidRPr="007122AB">
        <w:rPr>
          <w:rFonts w:ascii="Times New Roman" w:hAnsi="Times New Roman"/>
          <w:color w:val="000000" w:themeColor="text1"/>
          <w:sz w:val="16"/>
          <w:szCs w:val="16"/>
          <w:lang w:val="en-US"/>
        </w:rPr>
        <w:t xml:space="preserve">. 385. </w:t>
      </w:r>
      <w:r w:rsidRPr="007122AB">
        <w:rPr>
          <w:rFonts w:ascii="Times New Roman" w:hAnsi="Times New Roman"/>
          <w:color w:val="000000" w:themeColor="text1"/>
          <w:sz w:val="16"/>
          <w:szCs w:val="16"/>
        </w:rPr>
        <w:t>Л. 43. Копия (20882).</w:t>
      </w:r>
    </w:p>
    <w:p w14:paraId="01C389ED" w14:textId="77777777" w:rsidR="0062380D" w:rsidRPr="007122AB" w:rsidRDefault="0062380D" w:rsidP="007122AB">
      <w:pPr>
        <w:spacing w:after="0" w:line="240" w:lineRule="auto"/>
        <w:jc w:val="both"/>
        <w:rPr>
          <w:rFonts w:ascii="Times New Roman" w:hAnsi="Times New Roman"/>
          <w:color w:val="000000" w:themeColor="text1"/>
          <w:sz w:val="16"/>
          <w:szCs w:val="16"/>
        </w:rPr>
      </w:pPr>
    </w:p>
    <w:p w14:paraId="3F8D61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июня 1931 в Москву прилетели американские летчики </w:t>
      </w:r>
      <w:proofErr w:type="spellStart"/>
      <w:r w:rsidRPr="007122AB">
        <w:rPr>
          <w:rFonts w:ascii="Times New Roman" w:hAnsi="Times New Roman"/>
          <w:color w:val="000000" w:themeColor="text1"/>
          <w:sz w:val="16"/>
          <w:szCs w:val="16"/>
        </w:rPr>
        <w:t>У.Пост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Г.Гети</w:t>
      </w:r>
      <w:proofErr w:type="spellEnd"/>
      <w:r w:rsidRPr="007122AB">
        <w:rPr>
          <w:rFonts w:ascii="Times New Roman" w:hAnsi="Times New Roman"/>
          <w:color w:val="000000" w:themeColor="text1"/>
          <w:sz w:val="16"/>
          <w:szCs w:val="16"/>
        </w:rPr>
        <w:t xml:space="preserve"> на Локхид Вега, которые выполняли кругосветный перелет и садились в Новосибирске, Иркутске, Благовещенске и Хабаровске (28 июня) (438,624).</w:t>
      </w:r>
    </w:p>
    <w:p w14:paraId="2DCF25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3FD11A" w14:textId="77777777" w:rsidR="00B602F8" w:rsidRDefault="00B602F8" w:rsidP="00B602F8">
      <w:pPr>
        <w:spacing w:after="0" w:line="240" w:lineRule="auto"/>
        <w:jc w:val="both"/>
        <w:rPr>
          <w:rFonts w:ascii="Times New Roman" w:hAnsi="Times New Roman"/>
          <w:color w:val="0070C0"/>
          <w:sz w:val="16"/>
          <w:szCs w:val="16"/>
        </w:rPr>
      </w:pPr>
      <w:r>
        <w:rPr>
          <w:rFonts w:ascii="Times New Roman" w:hAnsi="Times New Roman"/>
          <w:color w:val="0070C0"/>
          <w:sz w:val="16"/>
          <w:szCs w:val="16"/>
        </w:rPr>
        <w:t>25 ию</w:t>
      </w:r>
      <w:r w:rsidRPr="009F5089">
        <w:rPr>
          <w:rFonts w:ascii="Times New Roman" w:hAnsi="Times New Roman"/>
          <w:color w:val="0070C0"/>
          <w:sz w:val="16"/>
          <w:szCs w:val="16"/>
        </w:rPr>
        <w:t>ня</w:t>
      </w:r>
      <w:r>
        <w:rPr>
          <w:rFonts w:ascii="Times New Roman" w:hAnsi="Times New Roman"/>
          <w:color w:val="0070C0"/>
          <w:sz w:val="16"/>
          <w:szCs w:val="16"/>
        </w:rPr>
        <w:t xml:space="preserve"> 1930 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Москву прилетели американские летчики </w:t>
      </w:r>
      <w:proofErr w:type="spellStart"/>
      <w:r w:rsidRPr="009F5089">
        <w:rPr>
          <w:rFonts w:ascii="Times New Roman" w:hAnsi="Times New Roman"/>
          <w:color w:val="0070C0"/>
          <w:sz w:val="16"/>
          <w:szCs w:val="16"/>
        </w:rPr>
        <w:t>У.Пост</w:t>
      </w:r>
      <w:proofErr w:type="spellEnd"/>
      <w:r w:rsidRPr="009F5089">
        <w:rPr>
          <w:rFonts w:ascii="Times New Roman" w:hAnsi="Times New Roman"/>
          <w:color w:val="0070C0"/>
          <w:sz w:val="16"/>
          <w:szCs w:val="16"/>
        </w:rPr>
        <w:t xml:space="preserve"> </w:t>
      </w:r>
      <w:r>
        <w:rPr>
          <w:rFonts w:ascii="Times New Roman" w:hAnsi="Times New Roman"/>
          <w:color w:val="0070C0"/>
          <w:sz w:val="16"/>
          <w:szCs w:val="16"/>
        </w:rPr>
        <w:t>и</w:t>
      </w:r>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г.</w:t>
      </w:r>
      <w:r>
        <w:rPr>
          <w:rFonts w:ascii="Times New Roman" w:hAnsi="Times New Roman"/>
          <w:color w:val="0070C0"/>
          <w:sz w:val="16"/>
          <w:szCs w:val="16"/>
        </w:rPr>
        <w:t>Г</w:t>
      </w:r>
      <w:r w:rsidRPr="009F5089">
        <w:rPr>
          <w:rFonts w:ascii="Times New Roman" w:hAnsi="Times New Roman"/>
          <w:color w:val="0070C0"/>
          <w:sz w:val="16"/>
          <w:szCs w:val="16"/>
        </w:rPr>
        <w:t>ет</w:t>
      </w:r>
      <w:r>
        <w:rPr>
          <w:rFonts w:ascii="Times New Roman" w:hAnsi="Times New Roman"/>
          <w:color w:val="0070C0"/>
          <w:sz w:val="16"/>
          <w:szCs w:val="16"/>
        </w:rPr>
        <w:t>ти</w:t>
      </w:r>
      <w:proofErr w:type="spellEnd"/>
      <w:r>
        <w:rPr>
          <w:rFonts w:ascii="Times New Roman" w:hAnsi="Times New Roman"/>
          <w:color w:val="0070C0"/>
          <w:sz w:val="16"/>
          <w:szCs w:val="16"/>
        </w:rPr>
        <w:t>, совершающие</w:t>
      </w:r>
      <w:r w:rsidRPr="009F5089">
        <w:rPr>
          <w:rFonts w:ascii="Times New Roman" w:hAnsi="Times New Roman"/>
          <w:color w:val="0070C0"/>
          <w:sz w:val="16"/>
          <w:szCs w:val="16"/>
        </w:rPr>
        <w:t xml:space="preserve"> кругосветный перелет на самолете </w:t>
      </w:r>
      <w:r>
        <w:rPr>
          <w:rFonts w:ascii="Times New Roman" w:hAnsi="Times New Roman"/>
          <w:color w:val="0070C0"/>
          <w:sz w:val="16"/>
          <w:szCs w:val="16"/>
        </w:rPr>
        <w:t>Л</w:t>
      </w:r>
      <w:r w:rsidRPr="009F5089">
        <w:rPr>
          <w:rFonts w:ascii="Times New Roman" w:hAnsi="Times New Roman"/>
          <w:color w:val="0070C0"/>
          <w:sz w:val="16"/>
          <w:szCs w:val="16"/>
        </w:rPr>
        <w:t>окх</w:t>
      </w:r>
      <w:r>
        <w:rPr>
          <w:rFonts w:ascii="Times New Roman" w:hAnsi="Times New Roman"/>
          <w:color w:val="0070C0"/>
          <w:sz w:val="16"/>
          <w:szCs w:val="16"/>
        </w:rPr>
        <w:t>и</w:t>
      </w:r>
      <w:r w:rsidRPr="009F5089">
        <w:rPr>
          <w:rFonts w:ascii="Times New Roman" w:hAnsi="Times New Roman"/>
          <w:color w:val="0070C0"/>
          <w:sz w:val="16"/>
          <w:szCs w:val="16"/>
        </w:rPr>
        <w:t>д-"Вега».</w:t>
      </w:r>
      <w:r>
        <w:rPr>
          <w:rFonts w:ascii="Times New Roman" w:hAnsi="Times New Roman"/>
          <w:color w:val="0070C0"/>
          <w:sz w:val="16"/>
          <w:szCs w:val="16"/>
        </w:rPr>
        <w:t xml:space="preserve"> </w:t>
      </w:r>
      <w:r w:rsidRPr="009F5089">
        <w:rPr>
          <w:rFonts w:ascii="Times New Roman" w:hAnsi="Times New Roman"/>
          <w:color w:val="0070C0"/>
          <w:sz w:val="16"/>
          <w:szCs w:val="16"/>
        </w:rPr>
        <w:t>В даль</w:t>
      </w:r>
      <w:r>
        <w:rPr>
          <w:rFonts w:ascii="Times New Roman" w:hAnsi="Times New Roman"/>
          <w:color w:val="0070C0"/>
          <w:sz w:val="16"/>
          <w:szCs w:val="16"/>
        </w:rPr>
        <w:t>нейшем</w:t>
      </w:r>
      <w:r w:rsidRPr="009F5089">
        <w:rPr>
          <w:rFonts w:ascii="Times New Roman" w:hAnsi="Times New Roman"/>
          <w:color w:val="0070C0"/>
          <w:sz w:val="16"/>
          <w:szCs w:val="16"/>
        </w:rPr>
        <w:t xml:space="preserve"> полете американцы имели остановки в Новосибирске,</w:t>
      </w:r>
      <w:r>
        <w:rPr>
          <w:rFonts w:ascii="Times New Roman" w:hAnsi="Times New Roman"/>
          <w:color w:val="0070C0"/>
          <w:sz w:val="16"/>
          <w:szCs w:val="16"/>
        </w:rPr>
        <w:t xml:space="preserve"> </w:t>
      </w:r>
      <w:r w:rsidRPr="009F5089">
        <w:rPr>
          <w:rFonts w:ascii="Times New Roman" w:hAnsi="Times New Roman"/>
          <w:color w:val="0070C0"/>
          <w:sz w:val="16"/>
          <w:szCs w:val="16"/>
        </w:rPr>
        <w:t>Иркутске</w:t>
      </w:r>
      <w:r>
        <w:rPr>
          <w:rFonts w:ascii="Times New Roman" w:hAnsi="Times New Roman"/>
          <w:color w:val="0070C0"/>
          <w:sz w:val="16"/>
          <w:szCs w:val="16"/>
        </w:rPr>
        <w:t xml:space="preserve">, Благовещенске и </w:t>
      </w:r>
      <w:r w:rsidRPr="009F5089">
        <w:rPr>
          <w:rFonts w:ascii="Times New Roman" w:hAnsi="Times New Roman"/>
          <w:color w:val="0070C0"/>
          <w:sz w:val="16"/>
          <w:szCs w:val="16"/>
        </w:rPr>
        <w:t>Хабаровске,</w:t>
      </w:r>
      <w:r>
        <w:rPr>
          <w:rFonts w:ascii="Times New Roman" w:hAnsi="Times New Roman"/>
          <w:color w:val="0070C0"/>
          <w:sz w:val="16"/>
          <w:szCs w:val="16"/>
        </w:rPr>
        <w:t xml:space="preserve"> </w:t>
      </w:r>
      <w:r w:rsidRPr="009F5089">
        <w:rPr>
          <w:rFonts w:ascii="Times New Roman" w:hAnsi="Times New Roman"/>
          <w:color w:val="0070C0"/>
          <w:sz w:val="16"/>
          <w:szCs w:val="16"/>
        </w:rPr>
        <w:t>куда прибыли 26 июня</w:t>
      </w:r>
      <w:r>
        <w:rPr>
          <w:rFonts w:ascii="Times New Roman" w:hAnsi="Times New Roman"/>
          <w:color w:val="0070C0"/>
          <w:sz w:val="16"/>
          <w:szCs w:val="16"/>
        </w:rPr>
        <w:t>.</w:t>
      </w:r>
      <w:r w:rsidRPr="009F5089">
        <w:rPr>
          <w:rFonts w:ascii="Times New Roman" w:hAnsi="Times New Roman"/>
          <w:color w:val="0070C0"/>
          <w:sz w:val="16"/>
          <w:szCs w:val="16"/>
        </w:rPr>
        <w:t xml:space="preserve"> </w:t>
      </w:r>
      <w:r>
        <w:rPr>
          <w:rFonts w:ascii="Times New Roman" w:hAnsi="Times New Roman"/>
          <w:color w:val="0070C0"/>
          <w:sz w:val="16"/>
          <w:szCs w:val="16"/>
        </w:rPr>
        <w:t>Л</w:t>
      </w:r>
      <w:r w:rsidRPr="009F5089">
        <w:rPr>
          <w:rFonts w:ascii="Times New Roman" w:hAnsi="Times New Roman"/>
          <w:color w:val="0070C0"/>
          <w:sz w:val="16"/>
          <w:szCs w:val="16"/>
        </w:rPr>
        <w:t>етчикам вс</w:t>
      </w:r>
      <w:r>
        <w:rPr>
          <w:rFonts w:ascii="Times New Roman" w:hAnsi="Times New Roman"/>
          <w:color w:val="0070C0"/>
          <w:sz w:val="16"/>
          <w:szCs w:val="16"/>
        </w:rPr>
        <w:t>ю</w:t>
      </w:r>
      <w:r w:rsidRPr="009F5089">
        <w:rPr>
          <w:rFonts w:ascii="Times New Roman" w:hAnsi="Times New Roman"/>
          <w:color w:val="0070C0"/>
          <w:sz w:val="16"/>
          <w:szCs w:val="16"/>
        </w:rPr>
        <w:t>ду</w:t>
      </w:r>
      <w:r>
        <w:rPr>
          <w:rFonts w:ascii="Times New Roman" w:hAnsi="Times New Roman"/>
          <w:color w:val="0070C0"/>
          <w:sz w:val="16"/>
          <w:szCs w:val="16"/>
        </w:rPr>
        <w:t xml:space="preserve"> оказывалась </w:t>
      </w:r>
      <w:r w:rsidRPr="009F5089">
        <w:rPr>
          <w:rFonts w:ascii="Times New Roman" w:hAnsi="Times New Roman"/>
          <w:color w:val="0070C0"/>
          <w:sz w:val="16"/>
          <w:szCs w:val="16"/>
        </w:rPr>
        <w:t>надлежащая помощь, благодаря чему им удалось устано</w:t>
      </w:r>
      <w:r>
        <w:rPr>
          <w:rFonts w:ascii="Times New Roman" w:hAnsi="Times New Roman"/>
          <w:color w:val="0070C0"/>
          <w:sz w:val="16"/>
          <w:szCs w:val="16"/>
        </w:rPr>
        <w:t>вить</w:t>
      </w:r>
      <w:r w:rsidRPr="009F5089">
        <w:rPr>
          <w:rFonts w:ascii="Times New Roman" w:hAnsi="Times New Roman"/>
          <w:color w:val="0070C0"/>
          <w:sz w:val="16"/>
          <w:szCs w:val="16"/>
        </w:rPr>
        <w:t xml:space="preserve"> рекорд скорости кругосветного перелета,</w:t>
      </w:r>
      <w:r>
        <w:rPr>
          <w:rFonts w:ascii="Times New Roman" w:hAnsi="Times New Roman"/>
          <w:color w:val="0070C0"/>
          <w:sz w:val="16"/>
          <w:szCs w:val="16"/>
        </w:rPr>
        <w:t xml:space="preserve"> </w:t>
      </w:r>
      <w:r w:rsidRPr="009F5089">
        <w:rPr>
          <w:rFonts w:ascii="Times New Roman" w:hAnsi="Times New Roman"/>
          <w:color w:val="0070C0"/>
          <w:sz w:val="16"/>
          <w:szCs w:val="16"/>
        </w:rPr>
        <w:t>закончив его за 8 су</w:t>
      </w:r>
      <w:r>
        <w:rPr>
          <w:rFonts w:ascii="Times New Roman" w:hAnsi="Times New Roman"/>
          <w:color w:val="0070C0"/>
          <w:sz w:val="16"/>
          <w:szCs w:val="16"/>
        </w:rPr>
        <w:t xml:space="preserve">ток 16 </w:t>
      </w:r>
      <w:r w:rsidRPr="009F5089">
        <w:rPr>
          <w:rFonts w:ascii="Times New Roman" w:hAnsi="Times New Roman"/>
          <w:color w:val="0070C0"/>
          <w:sz w:val="16"/>
          <w:szCs w:val="16"/>
        </w:rPr>
        <w:t>часов</w:t>
      </w:r>
      <w:r>
        <w:rPr>
          <w:rFonts w:ascii="Times New Roman" w:hAnsi="Times New Roman"/>
          <w:color w:val="0070C0"/>
          <w:sz w:val="16"/>
          <w:szCs w:val="16"/>
        </w:rPr>
        <w:t>.</w:t>
      </w:r>
    </w:p>
    <w:p w14:paraId="1F458DA5" w14:textId="77777777" w:rsidR="00B602F8" w:rsidRDefault="00B602F8" w:rsidP="00B602F8">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/ВВФ, </w:t>
      </w:r>
      <w:r w:rsidRPr="009F5089">
        <w:rPr>
          <w:rFonts w:ascii="Times New Roman" w:hAnsi="Times New Roman"/>
          <w:color w:val="0070C0"/>
          <w:sz w:val="16"/>
          <w:szCs w:val="16"/>
        </w:rPr>
        <w:t>1</w:t>
      </w:r>
      <w:r>
        <w:rPr>
          <w:rFonts w:ascii="Times New Roman" w:hAnsi="Times New Roman"/>
          <w:color w:val="0070C0"/>
          <w:sz w:val="16"/>
          <w:szCs w:val="16"/>
        </w:rPr>
        <w:t>9</w:t>
      </w:r>
      <w:r w:rsidRPr="009F5089">
        <w:rPr>
          <w:rFonts w:ascii="Times New Roman" w:hAnsi="Times New Roman"/>
          <w:color w:val="0070C0"/>
          <w:sz w:val="16"/>
          <w:szCs w:val="16"/>
        </w:rPr>
        <w:t xml:space="preserve">31 </w:t>
      </w:r>
      <w:r>
        <w:rPr>
          <w:rFonts w:ascii="Times New Roman" w:hAnsi="Times New Roman"/>
          <w:color w:val="0070C0"/>
          <w:sz w:val="16"/>
          <w:szCs w:val="16"/>
        </w:rPr>
        <w:t>№</w:t>
      </w:r>
      <w:r w:rsidRPr="009F5089">
        <w:rPr>
          <w:rFonts w:ascii="Times New Roman" w:hAnsi="Times New Roman"/>
          <w:color w:val="0070C0"/>
          <w:sz w:val="16"/>
          <w:szCs w:val="16"/>
        </w:rPr>
        <w:t xml:space="preserve"> 9;</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"Самолет", 1931 </w:t>
      </w:r>
      <w:r>
        <w:rPr>
          <w:rFonts w:ascii="Times New Roman" w:hAnsi="Times New Roman"/>
          <w:color w:val="0070C0"/>
          <w:sz w:val="16"/>
          <w:szCs w:val="16"/>
        </w:rPr>
        <w:t>№</w:t>
      </w:r>
      <w:r w:rsidRPr="009F5089">
        <w:rPr>
          <w:rFonts w:ascii="Times New Roman" w:hAnsi="Times New Roman"/>
          <w:color w:val="0070C0"/>
          <w:sz w:val="16"/>
          <w:szCs w:val="16"/>
        </w:rPr>
        <w:t xml:space="preserve"> 7;</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Известия </w:t>
      </w:r>
      <w:proofErr w:type="spellStart"/>
      <w:r>
        <w:rPr>
          <w:rFonts w:ascii="Times New Roman" w:hAnsi="Times New Roman"/>
          <w:color w:val="0070C0"/>
          <w:sz w:val="16"/>
          <w:szCs w:val="16"/>
        </w:rPr>
        <w:t>Ц</w:t>
      </w:r>
      <w:r w:rsidRPr="009F5089">
        <w:rPr>
          <w:rFonts w:ascii="Times New Roman" w:hAnsi="Times New Roman"/>
          <w:color w:val="0070C0"/>
          <w:sz w:val="16"/>
          <w:szCs w:val="16"/>
        </w:rPr>
        <w:t>ик</w:t>
      </w:r>
      <w:proofErr w:type="spellEnd"/>
      <w:r w:rsidRPr="009F5089">
        <w:rPr>
          <w:rFonts w:ascii="Times New Roman" w:hAnsi="Times New Roman"/>
          <w:color w:val="0070C0"/>
          <w:sz w:val="16"/>
          <w:szCs w:val="16"/>
        </w:rPr>
        <w:t>» за 27 июня 1931/</w:t>
      </w:r>
      <w:r>
        <w:rPr>
          <w:rFonts w:ascii="Times New Roman" w:hAnsi="Times New Roman"/>
          <w:color w:val="0070C0"/>
          <w:sz w:val="16"/>
          <w:szCs w:val="16"/>
        </w:rPr>
        <w:t xml:space="preserve"> (23370).</w:t>
      </w:r>
    </w:p>
    <w:p w14:paraId="4A57AA14" w14:textId="77777777" w:rsidR="00B602F8" w:rsidRPr="009F5089" w:rsidRDefault="00B602F8" w:rsidP="00B602F8">
      <w:pPr>
        <w:spacing w:after="0" w:line="240" w:lineRule="auto"/>
        <w:jc w:val="both"/>
        <w:rPr>
          <w:rFonts w:ascii="Times New Roman" w:hAnsi="Times New Roman"/>
          <w:color w:val="0070C0"/>
          <w:sz w:val="16"/>
          <w:szCs w:val="16"/>
        </w:rPr>
      </w:pPr>
    </w:p>
    <w:p w14:paraId="7ED10F13"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53C37CD"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357C87"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45. 2. О назначениях по Наркомвоенмору (Ворошилов). (Политбюро... Т. 2. С. 183) (12416).</w:t>
      </w:r>
    </w:p>
    <w:p w14:paraId="38F724B4"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p>
    <w:p w14:paraId="7C47E92D"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июня 1931</w:t>
      </w:r>
    </w:p>
    <w:p w14:paraId="6DC950BE"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 45 заседания Политбюро ЦК ВКП(б) от 25 июня 1931 года</w:t>
      </w:r>
    </w:p>
    <w:p w14:paraId="5F2B6A5B"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Заседание Политбюро ЦК ВКП(б) от 25-го июня 1931 года.</w:t>
      </w:r>
    </w:p>
    <w:p w14:paraId="1F9BFD1A"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2: О назначениях по Наркомвоенмору</w:t>
      </w:r>
    </w:p>
    <w:p w14:paraId="3E499255"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(Ворошилов).</w:t>
      </w:r>
    </w:p>
    <w:p w14:paraId="277F9016"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Освободить т. </w:t>
      </w:r>
      <w:proofErr w:type="spellStart"/>
      <w:r w:rsidRPr="007122AB">
        <w:rPr>
          <w:rFonts w:ascii="Times New Roman" w:hAnsi="Times New Roman"/>
          <w:color w:val="000000" w:themeColor="text1"/>
          <w:sz w:val="16"/>
          <w:szCs w:val="16"/>
        </w:rPr>
        <w:t>Муклевича</w:t>
      </w:r>
      <w:proofErr w:type="spellEnd"/>
      <w:r w:rsidRPr="007122AB">
        <w:rPr>
          <w:rFonts w:ascii="Times New Roman" w:hAnsi="Times New Roman"/>
          <w:color w:val="000000" w:themeColor="text1"/>
          <w:sz w:val="16"/>
          <w:szCs w:val="16"/>
        </w:rPr>
        <w:t xml:space="preserve"> от должности начальника морских сил РККА.</w:t>
      </w:r>
    </w:p>
    <w:p w14:paraId="63C76139"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Назначить начальником морских сил РККА т. Орлова В. М.</w:t>
      </w:r>
    </w:p>
    <w:p w14:paraId="72E9C19D"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Назначить т. Алксниса Я. И. начальником воздушных сил РККА.</w:t>
      </w:r>
    </w:p>
    <w:p w14:paraId="0CB5922F"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Назначить т. Кожанова командующим Черноморским флотом.</w:t>
      </w:r>
    </w:p>
    <w:p w14:paraId="2CB5C927"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Назначить т. Левичева заместителем начальника Штаба РККА.</w:t>
      </w:r>
    </w:p>
    <w:p w14:paraId="54F299DC" w14:textId="77777777" w:rsidR="00E37213" w:rsidRPr="007122AB" w:rsidRDefault="00E37213" w:rsidP="007122AB">
      <w:pPr>
        <w:spacing w:after="0" w:line="240" w:lineRule="auto"/>
        <w:jc w:val="both"/>
        <w:rPr>
          <w:rFonts w:ascii="Times New Roman" w:hAnsi="Times New Roman"/>
          <w:color w:val="000000" w:themeColor="text1"/>
          <w:sz w:val="16"/>
          <w:szCs w:val="16"/>
        </w:rPr>
      </w:pPr>
    </w:p>
    <w:p w14:paraId="1CB0642E" w14:textId="77777777" w:rsidR="0062380D" w:rsidRPr="007122AB" w:rsidRDefault="0062380D"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5FFF39B" w14:textId="77777777" w:rsidR="0062380D" w:rsidRPr="007122AB" w:rsidRDefault="0062380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2BD446" w14:textId="04EB9D0E" w:rsidR="0062380D" w:rsidRPr="007122AB" w:rsidRDefault="0062380D"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25 июня 1931 в 17.30 американцы Вили Пост (</w:t>
      </w:r>
      <w:r w:rsidRPr="007122AB">
        <w:rPr>
          <w:rFonts w:ascii="Times New Roman" w:hAnsi="Times New Roman"/>
          <w:color w:val="000000" w:themeColor="text1"/>
          <w:sz w:val="16"/>
          <w:szCs w:val="16"/>
          <w:shd w:val="clear" w:color="auto" w:fill="FFFFFF"/>
          <w:lang w:val="en-US"/>
        </w:rPr>
        <w:t>Wiley</w:t>
      </w:r>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Hardeman</w:t>
      </w:r>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Post</w:t>
      </w:r>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аэронавигатора</w:t>
      </w:r>
      <w:proofErr w:type="spellEnd"/>
      <w:r w:rsidRPr="007122AB">
        <w:rPr>
          <w:rFonts w:ascii="Times New Roman" w:hAnsi="Times New Roman"/>
          <w:color w:val="000000" w:themeColor="text1"/>
          <w:sz w:val="16"/>
          <w:szCs w:val="16"/>
          <w:shd w:val="clear" w:color="auto" w:fill="FFFFFF"/>
        </w:rPr>
        <w:t xml:space="preserve"> Гарольд </w:t>
      </w:r>
      <w:proofErr w:type="spellStart"/>
      <w:r w:rsidRPr="007122AB">
        <w:rPr>
          <w:rFonts w:ascii="Times New Roman" w:hAnsi="Times New Roman"/>
          <w:color w:val="000000" w:themeColor="text1"/>
          <w:sz w:val="16"/>
          <w:szCs w:val="16"/>
          <w:shd w:val="clear" w:color="auto" w:fill="FFFFFF"/>
        </w:rPr>
        <w:t>Гэтти</w:t>
      </w:r>
      <w:proofErr w:type="spellEnd"/>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Harold</w:t>
      </w:r>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Charles</w:t>
      </w:r>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Gatty</w:t>
      </w:r>
      <w:r w:rsidRPr="007122AB">
        <w:rPr>
          <w:rFonts w:ascii="Times New Roman" w:hAnsi="Times New Roman"/>
          <w:color w:val="000000" w:themeColor="text1"/>
          <w:sz w:val="16"/>
          <w:szCs w:val="16"/>
          <w:shd w:val="clear" w:color="auto" w:fill="FFFFFF"/>
        </w:rPr>
        <w:t>), которые с 23 июня по 1 июля в течение 8 дней 15 часов и 51 минуты на самолете «Локхид Вега» (</w:t>
      </w:r>
      <w:r w:rsidRPr="007122AB">
        <w:rPr>
          <w:rFonts w:ascii="Times New Roman" w:hAnsi="Times New Roman"/>
          <w:color w:val="000000" w:themeColor="text1"/>
          <w:sz w:val="16"/>
          <w:szCs w:val="16"/>
          <w:shd w:val="clear" w:color="auto" w:fill="FFFFFF"/>
          <w:lang w:val="en-US"/>
        </w:rPr>
        <w:t>Lockheed</w:t>
      </w:r>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Vega</w:t>
      </w:r>
      <w:r w:rsidRPr="007122AB">
        <w:rPr>
          <w:rFonts w:ascii="Times New Roman" w:hAnsi="Times New Roman"/>
          <w:color w:val="000000" w:themeColor="text1"/>
          <w:sz w:val="16"/>
          <w:szCs w:val="16"/>
          <w:shd w:val="clear" w:color="auto" w:fill="FFFFFF"/>
        </w:rPr>
        <w:t>) с именем «Винни Мэй» (</w:t>
      </w:r>
      <w:r w:rsidRPr="007122AB">
        <w:rPr>
          <w:rFonts w:ascii="Times New Roman" w:hAnsi="Times New Roman"/>
          <w:color w:val="000000" w:themeColor="text1"/>
          <w:sz w:val="16"/>
          <w:szCs w:val="16"/>
          <w:shd w:val="clear" w:color="auto" w:fill="FFFFFF"/>
          <w:lang w:val="en-US"/>
        </w:rPr>
        <w:t>Winnie</w:t>
      </w:r>
      <w:r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lang w:val="en-US"/>
        </w:rPr>
        <w:t>Mae</w:t>
      </w:r>
      <w:r w:rsidRPr="007122AB">
        <w:rPr>
          <w:rFonts w:ascii="Times New Roman" w:hAnsi="Times New Roman"/>
          <w:color w:val="000000" w:themeColor="text1"/>
          <w:sz w:val="16"/>
          <w:szCs w:val="16"/>
          <w:shd w:val="clear" w:color="auto" w:fill="FFFFFF"/>
        </w:rPr>
        <w:t xml:space="preserve">) на борту преодолели около 25000 км по маршруту: Нью-Йорк – Харбор-Грэйс (Ньюфаундленд) – </w:t>
      </w:r>
      <w:proofErr w:type="spellStart"/>
      <w:r w:rsidRPr="007122AB">
        <w:rPr>
          <w:rFonts w:ascii="Times New Roman" w:hAnsi="Times New Roman"/>
          <w:color w:val="000000" w:themeColor="text1"/>
          <w:sz w:val="16"/>
          <w:szCs w:val="16"/>
          <w:shd w:val="clear" w:color="auto" w:fill="FFFFFF"/>
        </w:rPr>
        <w:t>Флинтшир</w:t>
      </w:r>
      <w:proofErr w:type="spellEnd"/>
      <w:r w:rsidRPr="007122AB">
        <w:rPr>
          <w:rFonts w:ascii="Times New Roman" w:hAnsi="Times New Roman"/>
          <w:color w:val="000000" w:themeColor="text1"/>
          <w:sz w:val="16"/>
          <w:szCs w:val="16"/>
          <w:shd w:val="clear" w:color="auto" w:fill="FFFFFF"/>
        </w:rPr>
        <w:t xml:space="preserve"> (Англия) – Ганновер – Берлин – Москва – Новосибирск – Иркутск – Благовещенск – Хабаровск – Ном (Аляска) – Фербенкс (Аляска) – Эдмонтон (Канада) – Кливленд – Нью-Йорк</w:t>
      </w:r>
      <w:r w:rsidR="00C55C7E" w:rsidRPr="007122AB">
        <w:rPr>
          <w:rFonts w:ascii="Times New Roman" w:hAnsi="Times New Roman"/>
          <w:color w:val="000000" w:themeColor="text1"/>
          <w:sz w:val="16"/>
          <w:szCs w:val="16"/>
          <w:shd w:val="clear" w:color="auto" w:fill="FFFFFF"/>
        </w:rPr>
        <w:t xml:space="preserve"> </w:t>
      </w:r>
      <w:r w:rsidRPr="007122AB">
        <w:rPr>
          <w:rFonts w:ascii="Times New Roman" w:hAnsi="Times New Roman"/>
          <w:color w:val="000000" w:themeColor="text1"/>
          <w:sz w:val="16"/>
          <w:szCs w:val="16"/>
          <w:shd w:val="clear" w:color="auto" w:fill="FFFFFF"/>
        </w:rPr>
        <w:t xml:space="preserve">прилетели, в Москву. На следующий день они предполагали преодолеть без посадок расстояние от Москвы до Иркутска. Однако в 20.30 авиаторы были вынуждены приземлиться в Новосибирске. Здесь они не задержались и после четырехчасового отдыха в ночь на 27 июля вылетели в Иркутск, куда прибыли в 11 часов утра. После трехчасовой стоянки Пост и </w:t>
      </w:r>
      <w:proofErr w:type="spellStart"/>
      <w:r w:rsidRPr="007122AB">
        <w:rPr>
          <w:rFonts w:ascii="Times New Roman" w:hAnsi="Times New Roman"/>
          <w:color w:val="000000" w:themeColor="text1"/>
          <w:sz w:val="16"/>
          <w:szCs w:val="16"/>
          <w:shd w:val="clear" w:color="auto" w:fill="FFFFFF"/>
        </w:rPr>
        <w:t>Гэтти</w:t>
      </w:r>
      <w:proofErr w:type="spellEnd"/>
      <w:r w:rsidRPr="007122AB">
        <w:rPr>
          <w:rFonts w:ascii="Times New Roman" w:hAnsi="Times New Roman"/>
          <w:color w:val="000000" w:themeColor="text1"/>
          <w:sz w:val="16"/>
          <w:szCs w:val="16"/>
          <w:shd w:val="clear" w:color="auto" w:fill="FFFFFF"/>
        </w:rPr>
        <w:t xml:space="preserve"> вылетели в Благовещенск, куда они прибыли в 23 часа и в темноте благополучно сели на неизвестном им аэродроме.</w:t>
      </w:r>
    </w:p>
    <w:p w14:paraId="0B7B6C81" w14:textId="77777777" w:rsidR="0062380D" w:rsidRPr="007122AB" w:rsidRDefault="0062380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28 июля в 12 часов летчики вылетели из Благовещенска на Хабаровск, куда прибыли в тот же день в 15.30. 29 июня, после суток отдыха и тщательной подготовки самолета, в 19 часов американские авиаторы вылетели на Аляску. Самый сложный и рискованный участок маршрута через Охотское море и Тихий океан был выполнен блестяще (21438).</w:t>
      </w:r>
    </w:p>
    <w:p w14:paraId="18FE5A12" w14:textId="77777777" w:rsidR="0062380D" w:rsidRPr="007122AB" w:rsidRDefault="0062380D" w:rsidP="007122AB">
      <w:pPr>
        <w:spacing w:after="0" w:line="240" w:lineRule="auto"/>
        <w:jc w:val="both"/>
        <w:rPr>
          <w:rFonts w:ascii="Times New Roman" w:hAnsi="Times New Roman"/>
          <w:color w:val="000000" w:themeColor="text1"/>
          <w:sz w:val="16"/>
          <w:szCs w:val="16"/>
        </w:rPr>
      </w:pPr>
    </w:p>
    <w:p w14:paraId="7A056BB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01CF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947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июня 1931 УВВС сообщило КБ А.Н.Т. уточненные ТТТ к двухместному пушечному истребителю и он стал АНТ-29 или ДИП-1 (2072,76).</w:t>
      </w:r>
    </w:p>
    <w:p w14:paraId="20F64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0344B0" w14:textId="77777777" w:rsidR="00086AB8" w:rsidRPr="00441F34" w:rsidRDefault="00086AB8" w:rsidP="00086A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июня 1931 г., ОКБ А.Н.Т. поступил первый вариант ТТТ к самолету ДИП—1. Окончательные же требования к пушечному истребителю с двумя моторами М—34 ВВС сформулиро</w:t>
      </w:r>
      <w:r w:rsidRPr="00441F34">
        <w:rPr>
          <w:rFonts w:ascii="Times New Roman" w:hAnsi="Times New Roman"/>
          <w:color w:val="0070C0"/>
          <w:sz w:val="16"/>
          <w:szCs w:val="16"/>
        </w:rPr>
        <w:softHyphen/>
        <w:t>вали только в конце декабря 1932 г.</w:t>
      </w:r>
    </w:p>
    <w:p w14:paraId="7A6EF4AB" w14:textId="77777777" w:rsidR="00086AB8" w:rsidRPr="00441F34" w:rsidRDefault="00086AB8" w:rsidP="00086A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Задания несколько отличались друг от друга:</w:t>
      </w:r>
    </w:p>
    <w:tbl>
      <w:tblPr>
        <w:tblOverlap w:val="never"/>
        <w:tblW w:w="0" w:type="auto"/>
        <w:tblLayout w:type="fixed"/>
        <w:tblCellMar>
          <w:left w:w="10" w:type="dxa"/>
          <w:right w:w="10" w:type="dxa"/>
        </w:tblCellMar>
        <w:tblLook w:val="04A0" w:firstRow="1" w:lastRow="0" w:firstColumn="1" w:lastColumn="0" w:noHBand="0" w:noVBand="1"/>
      </w:tblPr>
      <w:tblGrid>
        <w:gridCol w:w="1445"/>
        <w:gridCol w:w="653"/>
        <w:gridCol w:w="682"/>
        <w:gridCol w:w="653"/>
      </w:tblGrid>
      <w:tr w:rsidR="00086AB8" w:rsidRPr="00441F34" w14:paraId="3949B8E4" w14:textId="77777777" w:rsidTr="004B2EA4">
        <w:trPr>
          <w:trHeight w:val="202"/>
        </w:trPr>
        <w:tc>
          <w:tcPr>
            <w:tcW w:w="1445" w:type="dxa"/>
            <w:vMerge w:val="restart"/>
            <w:shd w:val="clear" w:color="auto" w:fill="auto"/>
          </w:tcPr>
          <w:p w14:paraId="0DAD3112"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Параметр</w:t>
            </w:r>
          </w:p>
        </w:tc>
        <w:tc>
          <w:tcPr>
            <w:tcW w:w="653" w:type="dxa"/>
            <w:vMerge w:val="restart"/>
            <w:shd w:val="clear" w:color="auto" w:fill="auto"/>
            <w:vAlign w:val="bottom"/>
          </w:tcPr>
          <w:p w14:paraId="48403736"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26.07.30</w:t>
            </w:r>
          </w:p>
        </w:tc>
        <w:tc>
          <w:tcPr>
            <w:tcW w:w="1335" w:type="dxa"/>
            <w:gridSpan w:val="2"/>
            <w:shd w:val="clear" w:color="auto" w:fill="auto"/>
          </w:tcPr>
          <w:p w14:paraId="6292EAE2"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ГТТ УВВС</w:t>
            </w:r>
          </w:p>
        </w:tc>
      </w:tr>
      <w:tr w:rsidR="00086AB8" w:rsidRPr="00441F34" w14:paraId="28606C81" w14:textId="77777777" w:rsidTr="004B2EA4">
        <w:trPr>
          <w:trHeight w:val="216"/>
        </w:trPr>
        <w:tc>
          <w:tcPr>
            <w:tcW w:w="1445" w:type="dxa"/>
            <w:vMerge/>
            <w:shd w:val="clear" w:color="auto" w:fill="auto"/>
          </w:tcPr>
          <w:p w14:paraId="5C46E608" w14:textId="77777777" w:rsidR="00086AB8" w:rsidRPr="00441F34" w:rsidRDefault="00086AB8" w:rsidP="004B2EA4">
            <w:pPr>
              <w:spacing w:after="0" w:line="240" w:lineRule="auto"/>
              <w:jc w:val="both"/>
              <w:rPr>
                <w:rFonts w:ascii="Times New Roman" w:hAnsi="Times New Roman"/>
                <w:color w:val="0070C0"/>
                <w:sz w:val="16"/>
                <w:szCs w:val="16"/>
              </w:rPr>
            </w:pPr>
          </w:p>
        </w:tc>
        <w:tc>
          <w:tcPr>
            <w:tcW w:w="653" w:type="dxa"/>
            <w:vMerge/>
            <w:shd w:val="clear" w:color="auto" w:fill="auto"/>
            <w:vAlign w:val="bottom"/>
          </w:tcPr>
          <w:p w14:paraId="26F3ADA1" w14:textId="77777777" w:rsidR="00086AB8" w:rsidRPr="00441F34" w:rsidRDefault="00086AB8" w:rsidP="004B2EA4">
            <w:pPr>
              <w:spacing w:after="0" w:line="240" w:lineRule="auto"/>
              <w:jc w:val="both"/>
              <w:rPr>
                <w:rFonts w:ascii="Times New Roman" w:hAnsi="Times New Roman"/>
                <w:color w:val="0070C0"/>
                <w:sz w:val="16"/>
                <w:szCs w:val="16"/>
              </w:rPr>
            </w:pPr>
          </w:p>
        </w:tc>
        <w:tc>
          <w:tcPr>
            <w:tcW w:w="682" w:type="dxa"/>
            <w:shd w:val="clear" w:color="auto" w:fill="auto"/>
            <w:vAlign w:val="bottom"/>
          </w:tcPr>
          <w:p w14:paraId="6D58C277"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26.06.31</w:t>
            </w:r>
          </w:p>
        </w:tc>
        <w:tc>
          <w:tcPr>
            <w:tcW w:w="653" w:type="dxa"/>
            <w:shd w:val="clear" w:color="auto" w:fill="auto"/>
            <w:vAlign w:val="bottom"/>
          </w:tcPr>
          <w:p w14:paraId="01294C4A"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26.12.32</w:t>
            </w:r>
          </w:p>
        </w:tc>
      </w:tr>
      <w:tr w:rsidR="00086AB8" w:rsidRPr="00441F34" w14:paraId="544A76FF" w14:textId="77777777" w:rsidTr="004B2EA4">
        <w:trPr>
          <w:trHeight w:val="451"/>
        </w:trPr>
        <w:tc>
          <w:tcPr>
            <w:tcW w:w="1445" w:type="dxa"/>
            <w:shd w:val="clear" w:color="auto" w:fill="auto"/>
          </w:tcPr>
          <w:p w14:paraId="162F5E7E"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боевая</w:t>
            </w:r>
          </w:p>
          <w:p w14:paraId="3248CDA5"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высота, м</w:t>
            </w:r>
          </w:p>
        </w:tc>
        <w:tc>
          <w:tcPr>
            <w:tcW w:w="653" w:type="dxa"/>
            <w:shd w:val="clear" w:color="auto" w:fill="auto"/>
            <w:vAlign w:val="bottom"/>
          </w:tcPr>
          <w:p w14:paraId="2E06082C"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5000</w:t>
            </w:r>
          </w:p>
        </w:tc>
        <w:tc>
          <w:tcPr>
            <w:tcW w:w="682" w:type="dxa"/>
            <w:shd w:val="clear" w:color="auto" w:fill="auto"/>
            <w:vAlign w:val="bottom"/>
          </w:tcPr>
          <w:p w14:paraId="38745E48"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5000</w:t>
            </w:r>
          </w:p>
        </w:tc>
        <w:tc>
          <w:tcPr>
            <w:tcW w:w="653" w:type="dxa"/>
            <w:shd w:val="clear" w:color="auto" w:fill="auto"/>
            <w:vAlign w:val="bottom"/>
          </w:tcPr>
          <w:p w14:paraId="6351CDA1"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5000</w:t>
            </w:r>
          </w:p>
        </w:tc>
      </w:tr>
      <w:tr w:rsidR="00086AB8" w:rsidRPr="00441F34" w14:paraId="4E695304" w14:textId="77777777" w:rsidTr="004B2EA4">
        <w:trPr>
          <w:trHeight w:val="451"/>
        </w:trPr>
        <w:tc>
          <w:tcPr>
            <w:tcW w:w="1445" w:type="dxa"/>
            <w:shd w:val="clear" w:color="auto" w:fill="auto"/>
            <w:vAlign w:val="center"/>
          </w:tcPr>
          <w:p w14:paraId="47C408DA"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полезная</w:t>
            </w:r>
          </w:p>
          <w:p w14:paraId="46946278"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нагрузка, кг</w:t>
            </w:r>
          </w:p>
        </w:tc>
        <w:tc>
          <w:tcPr>
            <w:tcW w:w="653" w:type="dxa"/>
            <w:shd w:val="clear" w:color="auto" w:fill="auto"/>
            <w:vAlign w:val="bottom"/>
          </w:tcPr>
          <w:p w14:paraId="4592762D"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1115</w:t>
            </w:r>
          </w:p>
        </w:tc>
        <w:tc>
          <w:tcPr>
            <w:tcW w:w="682" w:type="dxa"/>
            <w:shd w:val="clear" w:color="auto" w:fill="auto"/>
            <w:vAlign w:val="bottom"/>
          </w:tcPr>
          <w:p w14:paraId="1ECC7B5C"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53" w:type="dxa"/>
            <w:shd w:val="clear" w:color="auto" w:fill="auto"/>
            <w:vAlign w:val="bottom"/>
          </w:tcPr>
          <w:p w14:paraId="25A53830"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1180</w:t>
            </w:r>
          </w:p>
        </w:tc>
      </w:tr>
      <w:tr w:rsidR="00086AB8" w:rsidRPr="00441F34" w14:paraId="481388A9" w14:textId="77777777" w:rsidTr="004B2EA4">
        <w:trPr>
          <w:trHeight w:val="432"/>
        </w:trPr>
        <w:tc>
          <w:tcPr>
            <w:tcW w:w="1445" w:type="dxa"/>
            <w:shd w:val="clear" w:color="auto" w:fill="auto"/>
          </w:tcPr>
          <w:p w14:paraId="39A2A887"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дальность</w:t>
            </w:r>
          </w:p>
          <w:p w14:paraId="30282859"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полета, км</w:t>
            </w:r>
          </w:p>
        </w:tc>
        <w:tc>
          <w:tcPr>
            <w:tcW w:w="653" w:type="dxa"/>
            <w:shd w:val="clear" w:color="auto" w:fill="auto"/>
            <w:vAlign w:val="bottom"/>
          </w:tcPr>
          <w:p w14:paraId="0FA0A7FD"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1000</w:t>
            </w:r>
          </w:p>
        </w:tc>
        <w:tc>
          <w:tcPr>
            <w:tcW w:w="682" w:type="dxa"/>
            <w:shd w:val="clear" w:color="auto" w:fill="auto"/>
            <w:vAlign w:val="bottom"/>
          </w:tcPr>
          <w:p w14:paraId="21595D98"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600</w:t>
            </w:r>
          </w:p>
        </w:tc>
        <w:tc>
          <w:tcPr>
            <w:tcW w:w="653" w:type="dxa"/>
            <w:shd w:val="clear" w:color="auto" w:fill="auto"/>
            <w:vAlign w:val="bottom"/>
          </w:tcPr>
          <w:p w14:paraId="7C684B09"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600</w:t>
            </w:r>
          </w:p>
        </w:tc>
      </w:tr>
      <w:tr w:rsidR="00086AB8" w:rsidRPr="00441F34" w14:paraId="5261DB79" w14:textId="77777777" w:rsidTr="004B2EA4">
        <w:trPr>
          <w:trHeight w:val="446"/>
        </w:trPr>
        <w:tc>
          <w:tcPr>
            <w:tcW w:w="1445" w:type="dxa"/>
            <w:shd w:val="clear" w:color="auto" w:fill="auto"/>
            <w:vAlign w:val="center"/>
          </w:tcPr>
          <w:p w14:paraId="306EA6EB"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скорость</w:t>
            </w:r>
          </w:p>
          <w:p w14:paraId="200651F3"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 км/ч</w:t>
            </w:r>
          </w:p>
        </w:tc>
        <w:tc>
          <w:tcPr>
            <w:tcW w:w="653" w:type="dxa"/>
            <w:shd w:val="clear" w:color="auto" w:fill="auto"/>
            <w:vAlign w:val="bottom"/>
          </w:tcPr>
          <w:p w14:paraId="2D82A32E"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82" w:type="dxa"/>
            <w:shd w:val="clear" w:color="auto" w:fill="auto"/>
            <w:vAlign w:val="bottom"/>
          </w:tcPr>
          <w:p w14:paraId="07BAF5A1"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350</w:t>
            </w:r>
          </w:p>
        </w:tc>
        <w:tc>
          <w:tcPr>
            <w:tcW w:w="653" w:type="dxa"/>
            <w:shd w:val="clear" w:color="auto" w:fill="auto"/>
            <w:vAlign w:val="bottom"/>
          </w:tcPr>
          <w:p w14:paraId="2A6DD3C4"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086AB8" w:rsidRPr="00441F34" w14:paraId="13300FE7" w14:textId="77777777" w:rsidTr="004B2EA4">
        <w:trPr>
          <w:trHeight w:val="432"/>
        </w:trPr>
        <w:tc>
          <w:tcPr>
            <w:tcW w:w="1445" w:type="dxa"/>
            <w:shd w:val="clear" w:color="auto" w:fill="auto"/>
          </w:tcPr>
          <w:p w14:paraId="0F2D7F8F"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высоте</w:t>
            </w:r>
          </w:p>
          <w:p w14:paraId="5F83592E"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5000 м, км/ч</w:t>
            </w:r>
          </w:p>
        </w:tc>
        <w:tc>
          <w:tcPr>
            <w:tcW w:w="653" w:type="dxa"/>
            <w:shd w:val="clear" w:color="auto" w:fill="auto"/>
            <w:vAlign w:val="bottom"/>
          </w:tcPr>
          <w:p w14:paraId="4D011772"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250</w:t>
            </w:r>
          </w:p>
        </w:tc>
        <w:tc>
          <w:tcPr>
            <w:tcW w:w="682" w:type="dxa"/>
            <w:shd w:val="clear" w:color="auto" w:fill="auto"/>
            <w:vAlign w:val="bottom"/>
          </w:tcPr>
          <w:p w14:paraId="3DED532C"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53" w:type="dxa"/>
            <w:shd w:val="clear" w:color="auto" w:fill="auto"/>
            <w:vAlign w:val="bottom"/>
          </w:tcPr>
          <w:p w14:paraId="549C81E5"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325</w:t>
            </w:r>
          </w:p>
        </w:tc>
      </w:tr>
      <w:tr w:rsidR="00086AB8" w:rsidRPr="00441F34" w14:paraId="161AB597" w14:textId="77777777" w:rsidTr="004B2EA4">
        <w:trPr>
          <w:trHeight w:val="437"/>
        </w:trPr>
        <w:tc>
          <w:tcPr>
            <w:tcW w:w="1445" w:type="dxa"/>
            <w:shd w:val="clear" w:color="auto" w:fill="auto"/>
          </w:tcPr>
          <w:p w14:paraId="35DEBF00"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практический потолок, м</w:t>
            </w:r>
          </w:p>
        </w:tc>
        <w:tc>
          <w:tcPr>
            <w:tcW w:w="653" w:type="dxa"/>
            <w:shd w:val="clear" w:color="auto" w:fill="auto"/>
            <w:vAlign w:val="bottom"/>
          </w:tcPr>
          <w:p w14:paraId="3D5231AD"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82" w:type="dxa"/>
            <w:shd w:val="clear" w:color="auto" w:fill="auto"/>
            <w:vAlign w:val="bottom"/>
          </w:tcPr>
          <w:p w14:paraId="1548890D"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8000</w:t>
            </w:r>
          </w:p>
        </w:tc>
        <w:tc>
          <w:tcPr>
            <w:tcW w:w="653" w:type="dxa"/>
            <w:shd w:val="clear" w:color="auto" w:fill="auto"/>
            <w:vAlign w:val="bottom"/>
          </w:tcPr>
          <w:p w14:paraId="1ABE6AFA"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8000</w:t>
            </w:r>
          </w:p>
        </w:tc>
      </w:tr>
      <w:tr w:rsidR="00086AB8" w:rsidRPr="00441F34" w14:paraId="31F4AEF9" w14:textId="77777777" w:rsidTr="004B2EA4">
        <w:trPr>
          <w:trHeight w:val="432"/>
        </w:trPr>
        <w:tc>
          <w:tcPr>
            <w:tcW w:w="1445" w:type="dxa"/>
            <w:shd w:val="clear" w:color="auto" w:fill="auto"/>
            <w:vAlign w:val="bottom"/>
          </w:tcPr>
          <w:p w14:paraId="19B5213F"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скорость</w:t>
            </w:r>
          </w:p>
          <w:p w14:paraId="54C93AFD"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посадочная, км/ч</w:t>
            </w:r>
          </w:p>
        </w:tc>
        <w:tc>
          <w:tcPr>
            <w:tcW w:w="653" w:type="dxa"/>
            <w:shd w:val="clear" w:color="auto" w:fill="auto"/>
            <w:vAlign w:val="bottom"/>
          </w:tcPr>
          <w:p w14:paraId="46E8D23A"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w:t>
            </w:r>
          </w:p>
        </w:tc>
        <w:tc>
          <w:tcPr>
            <w:tcW w:w="682" w:type="dxa"/>
            <w:shd w:val="clear" w:color="auto" w:fill="auto"/>
            <w:vAlign w:val="bottom"/>
          </w:tcPr>
          <w:p w14:paraId="6CD5DE7F"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w:t>
            </w:r>
          </w:p>
        </w:tc>
        <w:tc>
          <w:tcPr>
            <w:tcW w:w="653" w:type="dxa"/>
            <w:shd w:val="clear" w:color="auto" w:fill="auto"/>
            <w:vAlign w:val="bottom"/>
          </w:tcPr>
          <w:p w14:paraId="63C5AFC3"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90</w:t>
            </w:r>
          </w:p>
        </w:tc>
      </w:tr>
      <w:tr w:rsidR="00086AB8" w:rsidRPr="00441F34" w14:paraId="2251877E" w14:textId="77777777" w:rsidTr="004B2EA4">
        <w:trPr>
          <w:trHeight w:val="226"/>
        </w:trPr>
        <w:tc>
          <w:tcPr>
            <w:tcW w:w="1445" w:type="dxa"/>
            <w:shd w:val="clear" w:color="auto" w:fill="auto"/>
            <w:vAlign w:val="center"/>
          </w:tcPr>
          <w:p w14:paraId="12E945D9"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разбега, м</w:t>
            </w:r>
          </w:p>
        </w:tc>
        <w:tc>
          <w:tcPr>
            <w:tcW w:w="653" w:type="dxa"/>
            <w:shd w:val="clear" w:color="auto" w:fill="auto"/>
            <w:vAlign w:val="center"/>
          </w:tcPr>
          <w:p w14:paraId="1A2962F0"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82" w:type="dxa"/>
            <w:shd w:val="clear" w:color="auto" w:fill="auto"/>
            <w:vAlign w:val="center"/>
          </w:tcPr>
          <w:p w14:paraId="40C54124"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53" w:type="dxa"/>
            <w:shd w:val="clear" w:color="auto" w:fill="auto"/>
            <w:vAlign w:val="center"/>
          </w:tcPr>
          <w:p w14:paraId="6A60E581"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140</w:t>
            </w:r>
          </w:p>
        </w:tc>
      </w:tr>
      <w:tr w:rsidR="00086AB8" w:rsidRPr="00441F34" w14:paraId="516E9CF8" w14:textId="77777777" w:rsidTr="004B2EA4">
        <w:trPr>
          <w:trHeight w:val="226"/>
        </w:trPr>
        <w:tc>
          <w:tcPr>
            <w:tcW w:w="1445" w:type="dxa"/>
            <w:shd w:val="clear" w:color="auto" w:fill="auto"/>
            <w:vAlign w:val="center"/>
          </w:tcPr>
          <w:p w14:paraId="2CC7A964"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пробега, м</w:t>
            </w:r>
          </w:p>
        </w:tc>
        <w:tc>
          <w:tcPr>
            <w:tcW w:w="653" w:type="dxa"/>
            <w:shd w:val="clear" w:color="auto" w:fill="auto"/>
            <w:vAlign w:val="center"/>
          </w:tcPr>
          <w:p w14:paraId="02BA3926"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82" w:type="dxa"/>
            <w:shd w:val="clear" w:color="auto" w:fill="auto"/>
            <w:vAlign w:val="center"/>
          </w:tcPr>
          <w:p w14:paraId="3D2F15C9"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653" w:type="dxa"/>
            <w:shd w:val="clear" w:color="auto" w:fill="auto"/>
            <w:vAlign w:val="center"/>
          </w:tcPr>
          <w:p w14:paraId="52639597"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w:t>
            </w:r>
          </w:p>
        </w:tc>
      </w:tr>
      <w:tr w:rsidR="00086AB8" w:rsidRPr="00441F34" w14:paraId="4EDF4234" w14:textId="77777777" w:rsidTr="004B2EA4">
        <w:trPr>
          <w:trHeight w:val="422"/>
        </w:trPr>
        <w:tc>
          <w:tcPr>
            <w:tcW w:w="1445" w:type="dxa"/>
            <w:shd w:val="clear" w:color="auto" w:fill="auto"/>
            <w:vAlign w:val="bottom"/>
          </w:tcPr>
          <w:p w14:paraId="1B88AB24"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вооружение пушки</w:t>
            </w:r>
          </w:p>
        </w:tc>
        <w:tc>
          <w:tcPr>
            <w:tcW w:w="653" w:type="dxa"/>
            <w:shd w:val="clear" w:color="auto" w:fill="auto"/>
            <w:vAlign w:val="bottom"/>
          </w:tcPr>
          <w:p w14:paraId="651A3DC5"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2хДРП</w:t>
            </w:r>
          </w:p>
        </w:tc>
        <w:tc>
          <w:tcPr>
            <w:tcW w:w="682" w:type="dxa"/>
            <w:shd w:val="clear" w:color="auto" w:fill="auto"/>
            <w:vAlign w:val="bottom"/>
          </w:tcPr>
          <w:p w14:paraId="3AC0A986"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2хДРП</w:t>
            </w:r>
          </w:p>
        </w:tc>
        <w:tc>
          <w:tcPr>
            <w:tcW w:w="653" w:type="dxa"/>
            <w:shd w:val="clear" w:color="auto" w:fill="auto"/>
            <w:vAlign w:val="bottom"/>
          </w:tcPr>
          <w:p w14:paraId="0C34564B"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2хАПК</w:t>
            </w:r>
          </w:p>
        </w:tc>
      </w:tr>
      <w:tr w:rsidR="00086AB8" w:rsidRPr="00441F34" w14:paraId="0AE4116B" w14:textId="77777777" w:rsidTr="004B2EA4">
        <w:trPr>
          <w:trHeight w:val="216"/>
        </w:trPr>
        <w:tc>
          <w:tcPr>
            <w:tcW w:w="1445" w:type="dxa"/>
            <w:shd w:val="clear" w:color="auto" w:fill="auto"/>
            <w:vAlign w:val="bottom"/>
          </w:tcPr>
          <w:p w14:paraId="65FB9F41"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пулеметы ШКАС</w:t>
            </w:r>
          </w:p>
        </w:tc>
        <w:tc>
          <w:tcPr>
            <w:tcW w:w="653" w:type="dxa"/>
            <w:shd w:val="clear" w:color="auto" w:fill="auto"/>
            <w:vAlign w:val="bottom"/>
          </w:tcPr>
          <w:p w14:paraId="01195CB4"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w:t>
            </w:r>
          </w:p>
        </w:tc>
        <w:tc>
          <w:tcPr>
            <w:tcW w:w="682" w:type="dxa"/>
            <w:shd w:val="clear" w:color="auto" w:fill="auto"/>
            <w:vAlign w:val="bottom"/>
          </w:tcPr>
          <w:p w14:paraId="450621EF"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w:t>
            </w:r>
          </w:p>
        </w:tc>
        <w:tc>
          <w:tcPr>
            <w:tcW w:w="653" w:type="dxa"/>
            <w:shd w:val="clear" w:color="auto" w:fill="auto"/>
            <w:vAlign w:val="bottom"/>
          </w:tcPr>
          <w:p w14:paraId="17509EAD" w14:textId="77777777" w:rsidR="00086AB8" w:rsidRPr="00441F34" w:rsidRDefault="00086AB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w:t>
            </w:r>
          </w:p>
        </w:tc>
      </w:tr>
    </w:tbl>
    <w:p w14:paraId="6A7CDCAF" w14:textId="77777777" w:rsidR="00086AB8" w:rsidRPr="00441F34" w:rsidRDefault="00086AB8" w:rsidP="00086A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Проектирование машины, которая по</w:t>
      </w:r>
      <w:r w:rsidRPr="00441F34">
        <w:rPr>
          <w:rFonts w:ascii="Times New Roman" w:hAnsi="Times New Roman"/>
          <w:color w:val="0070C0"/>
          <w:sz w:val="16"/>
          <w:szCs w:val="16"/>
        </w:rPr>
        <w:softHyphen/>
        <w:t>лучила в КБ обозначение АНТ—29, поручили бригаде №3 под руководством П.О. Сухого. Трудно сказать, когда присту</w:t>
      </w:r>
      <w:r w:rsidRPr="00441F34">
        <w:rPr>
          <w:rFonts w:ascii="Times New Roman" w:hAnsi="Times New Roman"/>
          <w:color w:val="0070C0"/>
          <w:sz w:val="16"/>
          <w:szCs w:val="16"/>
        </w:rPr>
        <w:softHyphen/>
        <w:t>пили к этой работе, но на 1 января 1933 г. готовность самолета составляла 12% (23474).</w:t>
      </w:r>
    </w:p>
    <w:p w14:paraId="532B02DC" w14:textId="77777777" w:rsidR="00086AB8" w:rsidRPr="00441F34" w:rsidRDefault="00086AB8" w:rsidP="00086AB8">
      <w:pPr>
        <w:spacing w:after="0" w:line="240" w:lineRule="auto"/>
        <w:jc w:val="both"/>
        <w:rPr>
          <w:rFonts w:ascii="Times New Roman" w:hAnsi="Times New Roman"/>
          <w:color w:val="0070C0"/>
          <w:sz w:val="16"/>
          <w:szCs w:val="16"/>
        </w:rPr>
      </w:pPr>
    </w:p>
    <w:p w14:paraId="226D2F4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1BA8B5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810B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26 июня и 2 июля 1931. Из протокола заседания Политбюро № 46, 1931 г.</w:t>
      </w:r>
    </w:p>
    <w:p w14:paraId="7DA25D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отходничестве </w:t>
      </w:r>
    </w:p>
    <w:p w14:paraId="58E32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Установить следующие льготы для тех колхозников, которые контрактуются на работу в государственной промышленности, на транспорте, в совхозах, а также в государственных строительствах и строительствах потребительской кооперации: </w:t>
      </w:r>
    </w:p>
    <w:p w14:paraId="1E16C1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Отходники-колхозники полностью освобождаются от всяких отчислений с заработков в общественные фонды колхозов. </w:t>
      </w:r>
    </w:p>
    <w:p w14:paraId="69FA2F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Чтобы обеспечить участие колхозников-отходников в распределении денежной и натуральной части дохода колхоза, им предоставляется работа в колхозе после возвращения с заработков в первую очередь. </w:t>
      </w:r>
    </w:p>
    <w:p w14:paraId="3E0B77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При распределении урожая в колхозе обязательно выделяется часть урожая для снабжения колхозников-отходников. </w:t>
      </w:r>
    </w:p>
    <w:p w14:paraId="58FEA0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Остающиеся в колхозе трудоспособные члены семьи отходника принимают участие в работах колхоза на общих основаниях (11652). </w:t>
      </w:r>
    </w:p>
    <w:p w14:paraId="3B6AA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B3B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26 июня и 2 июля 1931. Из протокола заседания Политбюро № 46, 1931 г.</w:t>
      </w:r>
    </w:p>
    <w:p w14:paraId="37D620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водопроводе на Сталинградском тракторном заводе</w:t>
      </w:r>
    </w:p>
    <w:p w14:paraId="2CB7B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ВСНХ СССР в трехдневный срок достать насос и отправить в Сталинград... (11652).</w:t>
      </w:r>
    </w:p>
    <w:p w14:paraId="1F197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10698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0AD5A6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71EC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июня 1931 года Гроховский писал письмо зам. председателя и начальнику вооружения Тухачевскому:</w:t>
      </w:r>
    </w:p>
    <w:p w14:paraId="4E905D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1929 году мною было предложено ВВС ряд изобретений, связанных с производством десантных операций. Все мои предложения отклонялись и оттягивалось их изготовление (ругает Баранова, Дубенского ….).</w:t>
      </w:r>
    </w:p>
    <w:p w14:paraId="136DF0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1930 года при поддержке отдела изобретений </w:t>
      </w:r>
      <w:proofErr w:type="spellStart"/>
      <w:r w:rsidRPr="007122AB">
        <w:rPr>
          <w:rFonts w:ascii="Times New Roman" w:hAnsi="Times New Roman"/>
          <w:color w:val="000000" w:themeColor="text1"/>
          <w:sz w:val="16"/>
          <w:szCs w:val="16"/>
        </w:rPr>
        <w:t>Техштаба</w:t>
      </w:r>
      <w:proofErr w:type="spellEnd"/>
      <w:r w:rsidRPr="007122AB">
        <w:rPr>
          <w:rFonts w:ascii="Times New Roman" w:hAnsi="Times New Roman"/>
          <w:color w:val="000000" w:themeColor="text1"/>
          <w:sz w:val="16"/>
          <w:szCs w:val="16"/>
        </w:rPr>
        <w:t xml:space="preserve"> НВ было назначено совещание инженеров НТК ВВС, которые пришли к решению, что идея производства десанта выдвинута вполне своевременно и технически возможна, что этим должен заняться Штаб РККА. Свалив с себя всякую ответственность ВВС, я опять остался у разбитого корыта, но благодаря </w:t>
      </w:r>
      <w:proofErr w:type="spellStart"/>
      <w:r w:rsidRPr="007122AB">
        <w:rPr>
          <w:rFonts w:ascii="Times New Roman" w:hAnsi="Times New Roman"/>
          <w:color w:val="000000" w:themeColor="text1"/>
          <w:sz w:val="16"/>
          <w:szCs w:val="16"/>
        </w:rPr>
        <w:t>Техштабу</w:t>
      </w:r>
      <w:proofErr w:type="spellEnd"/>
      <w:r w:rsidRPr="007122AB">
        <w:rPr>
          <w:rFonts w:ascii="Times New Roman" w:hAnsi="Times New Roman"/>
          <w:color w:val="000000" w:themeColor="text1"/>
          <w:sz w:val="16"/>
          <w:szCs w:val="16"/>
        </w:rPr>
        <w:t xml:space="preserve"> в скором времени мне разрешили формирование КБ при </w:t>
      </w:r>
      <w:proofErr w:type="spellStart"/>
      <w:r w:rsidRPr="007122AB">
        <w:rPr>
          <w:rFonts w:ascii="Times New Roman" w:hAnsi="Times New Roman"/>
          <w:color w:val="000000" w:themeColor="text1"/>
          <w:sz w:val="16"/>
          <w:szCs w:val="16"/>
        </w:rPr>
        <w:t>Техштабе</w:t>
      </w:r>
      <w:proofErr w:type="spellEnd"/>
      <w:r w:rsidRPr="007122AB">
        <w:rPr>
          <w:rFonts w:ascii="Times New Roman" w:hAnsi="Times New Roman"/>
          <w:color w:val="000000" w:themeColor="text1"/>
          <w:sz w:val="16"/>
          <w:szCs w:val="16"/>
        </w:rPr>
        <w:t>. В ноябре 1930 года Бюро мною было сформировано и 11 января 1931 года была проведена демонстрация наркому Ворошилову отечественных десантных парашютов …………….</w:t>
      </w:r>
    </w:p>
    <w:p w14:paraId="7BB0D8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демонстрации Баранов поднял вопрос о переводе меня в его распоряжение на что и получил согласие бывшего зампреда Уборевича.</w:t>
      </w:r>
    </w:p>
    <w:p w14:paraId="4A6CFEE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первых же дней с переходом в ВВС началась старая история ………………. (Просить обеспечить условия для нормальной работы) (6769, 32-33).</w:t>
      </w:r>
    </w:p>
    <w:p w14:paraId="527BF49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3AE7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3298C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F2D4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27 июня по 1 октября 1931 проходили испытания ТГ (танка </w:t>
      </w:r>
      <w:proofErr w:type="spellStart"/>
      <w:r w:rsidRPr="007122AB">
        <w:rPr>
          <w:rFonts w:ascii="Times New Roman" w:hAnsi="Times New Roman"/>
          <w:color w:val="000000" w:themeColor="text1"/>
          <w:sz w:val="16"/>
          <w:szCs w:val="16"/>
        </w:rPr>
        <w:t>Э.Гротте</w:t>
      </w:r>
      <w:proofErr w:type="spellEnd"/>
      <w:r w:rsidRPr="007122AB">
        <w:rPr>
          <w:rFonts w:ascii="Times New Roman" w:hAnsi="Times New Roman"/>
          <w:color w:val="000000" w:themeColor="text1"/>
          <w:sz w:val="16"/>
          <w:szCs w:val="16"/>
        </w:rPr>
        <w:t>) с двигателем М-6. Достигли скорости 38 км/час. Хорошая проходимость и маневренность, но множество недоработок (4402).</w:t>
      </w:r>
    </w:p>
    <w:p w14:paraId="7DDDFA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CED3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июня 1931 г. начались испытания танка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продолжались с перерывами до 1.10.1931 г. В ходе них была достигнута максимальная скорость движения 34 км/ч. Танк продемон</w:t>
      </w:r>
      <w:r w:rsidRPr="007122AB">
        <w:rPr>
          <w:rFonts w:ascii="Times New Roman" w:hAnsi="Times New Roman"/>
          <w:color w:val="000000" w:themeColor="text1"/>
          <w:sz w:val="16"/>
          <w:szCs w:val="16"/>
        </w:rPr>
        <w:softHyphen/>
        <w:t>стрировал неплохую проходимость и маневренность. Хо</w:t>
      </w:r>
      <w:r w:rsidRPr="007122AB">
        <w:rPr>
          <w:rFonts w:ascii="Times New Roman" w:hAnsi="Times New Roman"/>
          <w:color w:val="000000" w:themeColor="text1"/>
          <w:sz w:val="16"/>
          <w:szCs w:val="16"/>
        </w:rPr>
        <w:softHyphen/>
        <w:t>рошо зарекомендовала себя в работе трансмиссия ТГ, кото</w:t>
      </w:r>
      <w:r w:rsidRPr="007122AB">
        <w:rPr>
          <w:rFonts w:ascii="Times New Roman" w:hAnsi="Times New Roman"/>
          <w:color w:val="000000" w:themeColor="text1"/>
          <w:sz w:val="16"/>
          <w:szCs w:val="16"/>
        </w:rPr>
        <w:softHyphen/>
        <w:t>рая благодаря примененным шевронным шестерням и ку</w:t>
      </w:r>
      <w:r w:rsidRPr="007122AB">
        <w:rPr>
          <w:rFonts w:ascii="Times New Roman" w:hAnsi="Times New Roman"/>
          <w:color w:val="000000" w:themeColor="text1"/>
          <w:sz w:val="16"/>
          <w:szCs w:val="16"/>
        </w:rPr>
        <w:softHyphen/>
        <w:t>лачковым муфтам оказалась весьма прочной и надежной. Использование пневматических приводов делало процесс управления машиной такого веса необычайно легким. Правда, воздушные магистрали иногда выходили из строя из-за плохого качества резины в уплотнениях. Вместе с тем было отмечено множество конструктивных недоработок. Так, из-за малых размеров боевого отделения была практически невозможна одновременная стрельба из 76-мм орудия и хотя бы одного башенного пулемета. Разме</w:t>
      </w:r>
      <w:r w:rsidRPr="007122AB">
        <w:rPr>
          <w:rFonts w:ascii="Times New Roman" w:hAnsi="Times New Roman"/>
          <w:color w:val="000000" w:themeColor="text1"/>
          <w:sz w:val="16"/>
          <w:szCs w:val="16"/>
        </w:rPr>
        <w:softHyphen/>
        <w:t>щение в одном картере КПП и бортовых фрикционов за</w:t>
      </w:r>
      <w:r w:rsidRPr="007122AB">
        <w:rPr>
          <w:rFonts w:ascii="Times New Roman" w:hAnsi="Times New Roman"/>
          <w:color w:val="000000" w:themeColor="text1"/>
          <w:sz w:val="16"/>
          <w:szCs w:val="16"/>
        </w:rPr>
        <w:softHyphen/>
        <w:t>трудняло доступ к ним во время ремонта и вело к перегреву всего узла во время движения. Выявилась также неудовлет</w:t>
      </w:r>
      <w:r w:rsidRPr="007122AB">
        <w:rPr>
          <w:rFonts w:ascii="Times New Roman" w:hAnsi="Times New Roman"/>
          <w:color w:val="000000" w:themeColor="text1"/>
          <w:sz w:val="16"/>
          <w:szCs w:val="16"/>
        </w:rPr>
        <w:softHyphen/>
        <w:t>ворительная работа бортовых тормозов и недостаточная эф</w:t>
      </w:r>
      <w:r w:rsidRPr="007122AB">
        <w:rPr>
          <w:rFonts w:ascii="Times New Roman" w:hAnsi="Times New Roman"/>
          <w:color w:val="000000" w:themeColor="text1"/>
          <w:sz w:val="16"/>
          <w:szCs w:val="16"/>
        </w:rPr>
        <w:softHyphen/>
        <w:t>фективность гусеницы на мягких и вязких грунтах, посколь</w:t>
      </w:r>
      <w:r w:rsidRPr="007122AB">
        <w:rPr>
          <w:rFonts w:ascii="Times New Roman" w:hAnsi="Times New Roman"/>
          <w:color w:val="000000" w:themeColor="text1"/>
          <w:sz w:val="16"/>
          <w:szCs w:val="16"/>
        </w:rPr>
        <w:softHyphen/>
        <w:t>ку высота гребней гусеницы была очень мала (10733,249).</w:t>
      </w:r>
    </w:p>
    <w:p w14:paraId="6481F1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BC745" w14:textId="77777777" w:rsidR="009233AF" w:rsidRPr="007122AB" w:rsidRDefault="009233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ИЮНЯ 1931 года начались и продолжались с перерывами до 1 октября испытания ТГ. На них была достигнута максимальная скорость движения 34 км/ч. Танк продемонстрировал неплохую проходимость и маневренность. Хорошо зарекомендовала себя в работе трансмиссия ТГ, а использование пневматических приводов делало процесс управления машиной необычайно легким. Вместе с тем было отмечено множество конструктивных недоработок теснота боевого отделения, неудобство доступа к узлам и агрегатам трансмиссии, недостаточное сцепление гусеницы с грунтом и ряд других (15608).</w:t>
      </w:r>
    </w:p>
    <w:p w14:paraId="0CB88C3E" w14:textId="77777777" w:rsidR="009233AF" w:rsidRPr="007122AB" w:rsidRDefault="009233AF" w:rsidP="007122AB">
      <w:pPr>
        <w:spacing w:after="0" w:line="240" w:lineRule="auto"/>
        <w:jc w:val="both"/>
        <w:rPr>
          <w:rFonts w:ascii="Times New Roman" w:hAnsi="Times New Roman"/>
          <w:color w:val="000000" w:themeColor="text1"/>
          <w:sz w:val="16"/>
          <w:szCs w:val="16"/>
        </w:rPr>
      </w:pPr>
    </w:p>
    <w:p w14:paraId="1EE8E8C3" w14:textId="77777777" w:rsidR="009233AF" w:rsidRPr="007122AB" w:rsidRDefault="009233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июня 1931 г. начались испытания танка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ТГ и продолжались с перерывами до 1 октября. Танк продемонстрировал неплохую проходимость и манёвренность. Хорошо зарекомендовала себя в работе трансмиссия. Вместе с </w:t>
      </w:r>
      <w:proofErr w:type="spellStart"/>
      <w:r w:rsidRPr="007122AB">
        <w:rPr>
          <w:rFonts w:ascii="Times New Roman" w:hAnsi="Times New Roman"/>
          <w:color w:val="000000" w:themeColor="text1"/>
          <w:sz w:val="16"/>
          <w:szCs w:val="16"/>
        </w:rPr>
        <w:t>гем</w:t>
      </w:r>
      <w:proofErr w:type="spellEnd"/>
      <w:r w:rsidRPr="007122AB">
        <w:rPr>
          <w:rFonts w:ascii="Times New Roman" w:hAnsi="Times New Roman"/>
          <w:color w:val="000000" w:themeColor="text1"/>
          <w:sz w:val="16"/>
          <w:szCs w:val="16"/>
        </w:rPr>
        <w:t xml:space="preserve"> выявилось множество конструктивных недоработок (15132).</w:t>
      </w:r>
    </w:p>
    <w:p w14:paraId="68364A31" w14:textId="77777777" w:rsidR="009233AF" w:rsidRPr="007122AB" w:rsidRDefault="009233AF" w:rsidP="007122AB">
      <w:pPr>
        <w:spacing w:after="0" w:line="240" w:lineRule="auto"/>
        <w:jc w:val="both"/>
        <w:rPr>
          <w:rFonts w:ascii="Times New Roman" w:hAnsi="Times New Roman"/>
          <w:color w:val="000000" w:themeColor="text1"/>
          <w:sz w:val="16"/>
          <w:szCs w:val="16"/>
        </w:rPr>
      </w:pPr>
    </w:p>
    <w:p w14:paraId="05C933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июня 1931 доработанный вариант Д-9 и другой вариант Д-13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осмотрели представители научно-технического комитета (НТК) УММ. Второй образец Д-13 получил башню другой конструкции, сваренную из плоских броневых листов, зенитная турель и пулеметные установки в бортах ликвидировали. Несмотря на это, в своем заключе</w:t>
      </w:r>
      <w:r w:rsidRPr="007122AB">
        <w:rPr>
          <w:rFonts w:ascii="Times New Roman" w:hAnsi="Times New Roman"/>
          <w:color w:val="000000" w:themeColor="text1"/>
          <w:sz w:val="16"/>
          <w:szCs w:val="16"/>
        </w:rPr>
        <w:softHyphen/>
        <w:t>нии по этому броневику военные отмечали «сильную пере</w:t>
      </w:r>
      <w:r w:rsidRPr="007122AB">
        <w:rPr>
          <w:rFonts w:ascii="Times New Roman" w:hAnsi="Times New Roman"/>
          <w:color w:val="000000" w:themeColor="text1"/>
          <w:sz w:val="16"/>
          <w:szCs w:val="16"/>
        </w:rPr>
        <w:softHyphen/>
        <w:t>грузку шасси, слабую броневую защиту в 6 мм, отсутствие заднего поста управления и средств радиосвязи, плохой об</w:t>
      </w:r>
      <w:r w:rsidRPr="007122AB">
        <w:rPr>
          <w:rFonts w:ascii="Times New Roman" w:hAnsi="Times New Roman"/>
          <w:color w:val="000000" w:themeColor="text1"/>
          <w:sz w:val="16"/>
          <w:szCs w:val="16"/>
        </w:rPr>
        <w:softHyphen/>
        <w:t>зор с места водителя». Тем не менее было принято решение о выпуске первой серии из 10 Д-13, внеся в их конструкцию ряд изменений. В дальнейшем представители УММ считали «признать необходимым наряду с устранением в первой се</w:t>
      </w:r>
      <w:r w:rsidRPr="007122AB">
        <w:rPr>
          <w:rFonts w:ascii="Times New Roman" w:hAnsi="Times New Roman"/>
          <w:color w:val="000000" w:themeColor="text1"/>
          <w:sz w:val="16"/>
          <w:szCs w:val="16"/>
        </w:rPr>
        <w:softHyphen/>
        <w:t>рии вышеперечисленных недостатков одновременно при</w:t>
      </w:r>
      <w:r w:rsidRPr="007122AB">
        <w:rPr>
          <w:rFonts w:ascii="Times New Roman" w:hAnsi="Times New Roman"/>
          <w:color w:val="000000" w:themeColor="text1"/>
          <w:sz w:val="16"/>
          <w:szCs w:val="16"/>
        </w:rPr>
        <w:softHyphen/>
        <w:t>ступить к переработке всего бронекорпуса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в соответствии с требованиями системы вооружения».</w:t>
      </w:r>
    </w:p>
    <w:p w14:paraId="12C335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бронированному «</w:t>
      </w:r>
      <w:proofErr w:type="spellStart"/>
      <w:r w:rsidRPr="007122AB">
        <w:rPr>
          <w:rFonts w:ascii="Times New Roman" w:hAnsi="Times New Roman"/>
          <w:color w:val="000000" w:themeColor="text1"/>
          <w:sz w:val="16"/>
          <w:szCs w:val="16"/>
        </w:rPr>
        <w:t>Мореланду</w:t>
      </w:r>
      <w:proofErr w:type="spellEnd"/>
      <w:r w:rsidRPr="007122AB">
        <w:rPr>
          <w:rFonts w:ascii="Times New Roman" w:hAnsi="Times New Roman"/>
          <w:color w:val="000000" w:themeColor="text1"/>
          <w:sz w:val="16"/>
          <w:szCs w:val="16"/>
        </w:rPr>
        <w:t>» мнение военных бы</w:t>
      </w:r>
      <w:r w:rsidRPr="007122AB">
        <w:rPr>
          <w:rFonts w:ascii="Times New Roman" w:hAnsi="Times New Roman"/>
          <w:color w:val="000000" w:themeColor="text1"/>
          <w:sz w:val="16"/>
          <w:szCs w:val="16"/>
        </w:rPr>
        <w:softHyphen/>
        <w:t>ло категоричным: «Исходя из того, что Д-9 как образец тя</w:t>
      </w:r>
      <w:r w:rsidRPr="007122AB">
        <w:rPr>
          <w:rFonts w:ascii="Times New Roman" w:hAnsi="Times New Roman"/>
          <w:color w:val="000000" w:themeColor="text1"/>
          <w:sz w:val="16"/>
          <w:szCs w:val="16"/>
        </w:rPr>
        <w:softHyphen/>
        <w:t>желого бронеавтомобиля оказался чрезвычайно громозд</w:t>
      </w:r>
      <w:r w:rsidRPr="007122AB">
        <w:rPr>
          <w:rFonts w:ascii="Times New Roman" w:hAnsi="Times New Roman"/>
          <w:color w:val="000000" w:themeColor="text1"/>
          <w:sz w:val="16"/>
          <w:szCs w:val="16"/>
        </w:rPr>
        <w:softHyphen/>
        <w:t>ким, неповоротливым, имеет пониженную динамику и не обладает какими-либо существенными боевыми преимуществами по сравнению со средним бронеавтомобилем, признать, что шасси автомобиля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xml:space="preserve">» не пригодно для бронировки и может быть использовано под </w:t>
      </w:r>
      <w:proofErr w:type="spellStart"/>
      <w:r w:rsidRPr="007122AB">
        <w:rPr>
          <w:rFonts w:ascii="Times New Roman" w:hAnsi="Times New Roman"/>
          <w:color w:val="000000" w:themeColor="text1"/>
          <w:sz w:val="16"/>
          <w:szCs w:val="16"/>
        </w:rPr>
        <w:t>спецуста</w:t>
      </w:r>
      <w:r w:rsidRPr="007122AB">
        <w:rPr>
          <w:rFonts w:ascii="Times New Roman" w:hAnsi="Times New Roman"/>
          <w:color w:val="000000" w:themeColor="text1"/>
          <w:sz w:val="16"/>
          <w:szCs w:val="16"/>
        </w:rPr>
        <w:softHyphen/>
        <w:t>новки</w:t>
      </w:r>
      <w:proofErr w:type="spellEnd"/>
      <w:r w:rsidRPr="007122AB">
        <w:rPr>
          <w:rFonts w:ascii="Times New Roman" w:hAnsi="Times New Roman"/>
          <w:color w:val="000000" w:themeColor="text1"/>
          <w:sz w:val="16"/>
          <w:szCs w:val="16"/>
        </w:rPr>
        <w:t>: счетверенного пулемета, химические и т.д.</w:t>
      </w:r>
    </w:p>
    <w:p w14:paraId="65EA04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трехосного автомобиля АМО-6 как од</w:t>
      </w:r>
      <w:r w:rsidRPr="007122AB">
        <w:rPr>
          <w:rFonts w:ascii="Times New Roman" w:hAnsi="Times New Roman"/>
          <w:color w:val="000000" w:themeColor="text1"/>
          <w:sz w:val="16"/>
          <w:szCs w:val="16"/>
        </w:rPr>
        <w:softHyphen/>
        <w:t>нотипного с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считать нецелесообразным» (11284).</w:t>
      </w:r>
    </w:p>
    <w:p w14:paraId="5DB743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A830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июня 1931 года в журнале НТК УММ РККА № 26 говорилось следующее:</w:t>
      </w:r>
    </w:p>
    <w:p w14:paraId="016021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Опытные бронемашины Д-8 и Д-12. Признать, что Д-8 и Д-12 не удовлетворяют требованиям, предъявляе</w:t>
      </w:r>
      <w:r w:rsidRPr="007122AB">
        <w:rPr>
          <w:rFonts w:ascii="Times New Roman" w:hAnsi="Times New Roman"/>
          <w:color w:val="000000" w:themeColor="text1"/>
          <w:sz w:val="16"/>
          <w:szCs w:val="16"/>
        </w:rPr>
        <w:softHyphen/>
        <w:t>мым к легким разведывательным автомобилям ввиду не</w:t>
      </w:r>
      <w:r w:rsidRPr="007122AB">
        <w:rPr>
          <w:rFonts w:ascii="Times New Roman" w:hAnsi="Times New Roman"/>
          <w:color w:val="000000" w:themeColor="text1"/>
          <w:sz w:val="16"/>
          <w:szCs w:val="16"/>
        </w:rPr>
        <w:softHyphen/>
        <w:t>удобства пользования вооружением, плохой видимости для водителя и перегрузки передней оси (300 кг).</w:t>
      </w:r>
    </w:p>
    <w:p w14:paraId="5FE8B4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внести следующие изменения и дополне1). Сохранение бронирования моторной будки до пе</w:t>
      </w:r>
      <w:r w:rsidRPr="007122AB">
        <w:rPr>
          <w:rFonts w:ascii="Times New Roman" w:hAnsi="Times New Roman"/>
          <w:color w:val="000000" w:themeColor="text1"/>
          <w:sz w:val="16"/>
          <w:szCs w:val="16"/>
        </w:rPr>
        <w:softHyphen/>
        <w:t>редней стенки броневого корпуса;</w:t>
      </w:r>
    </w:p>
    <w:p w14:paraId="7D6520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Для улучшения видимости водителя переднюю стенку броневика перенести назад;</w:t>
      </w:r>
    </w:p>
    <w:p w14:paraId="2B963E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Для улучшения наблюдения при поворотах срезать выступающий мыс передней стенки автомобиля;</w:t>
      </w:r>
    </w:p>
    <w:p w14:paraId="3DE8F5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Все шаровые установки упразднить;</w:t>
      </w:r>
    </w:p>
    <w:p w14:paraId="2D113F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Установить вооружение в один пулемет ДТ, </w:t>
      </w:r>
      <w:proofErr w:type="spellStart"/>
      <w:r w:rsidRPr="007122AB">
        <w:rPr>
          <w:rFonts w:ascii="Times New Roman" w:hAnsi="Times New Roman"/>
          <w:color w:val="000000" w:themeColor="text1"/>
          <w:sz w:val="16"/>
          <w:szCs w:val="16"/>
        </w:rPr>
        <w:t>пулрмет</w:t>
      </w:r>
      <w:proofErr w:type="spellEnd"/>
      <w:r w:rsidRPr="007122AB">
        <w:rPr>
          <w:rFonts w:ascii="Times New Roman" w:hAnsi="Times New Roman"/>
          <w:color w:val="000000" w:themeColor="text1"/>
          <w:sz w:val="16"/>
          <w:szCs w:val="16"/>
        </w:rPr>
        <w:t>-ная установка должна обеспечить круговой обстрел поверх кузова как по земным, так и по воздушным целям;</w:t>
      </w:r>
    </w:p>
    <w:p w14:paraId="09CB0C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Конфигурацию изменить в соответствии с пунктом 5;</w:t>
      </w:r>
    </w:p>
    <w:p w14:paraId="4D9ED1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Прорезать в корме люк для наблюдения при движе</w:t>
      </w:r>
      <w:r w:rsidRPr="007122AB">
        <w:rPr>
          <w:rFonts w:ascii="Times New Roman" w:hAnsi="Times New Roman"/>
          <w:color w:val="000000" w:themeColor="text1"/>
          <w:sz w:val="16"/>
          <w:szCs w:val="16"/>
        </w:rPr>
        <w:softHyphen/>
        <w:t>нии задним ходом».</w:t>
      </w:r>
    </w:p>
    <w:p w14:paraId="60D7C2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из-за недостатка времени и загруженности другими заказами КБ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не смогло внести все требуемые изменения в конструкцию бронемашин, и их приняли к выпуску в первоначальном виде с небольшими доделками.</w:t>
      </w:r>
    </w:p>
    <w:p w14:paraId="506033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Сначала выпуск Д-8 и Д-12 планировалось развернуть на Ижорском заводе, но затем, в связи с загрузкой послед</w:t>
      </w:r>
      <w:r w:rsidRPr="007122AB">
        <w:rPr>
          <w:rFonts w:ascii="Times New Roman" w:hAnsi="Times New Roman"/>
          <w:color w:val="000000" w:themeColor="text1"/>
          <w:sz w:val="16"/>
          <w:szCs w:val="16"/>
        </w:rPr>
        <w:softHyphen/>
        <w:t xml:space="preserve">него, их изготовление передали на завод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(11284).</w:t>
      </w:r>
    </w:p>
    <w:p w14:paraId="159872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73760B"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27 июня 1931 </w:t>
      </w:r>
      <w:r w:rsidRPr="007122AB">
        <w:rPr>
          <w:rFonts w:ascii="Times New Roman" w:hAnsi="Times New Roman"/>
          <w:color w:val="000000" w:themeColor="text1"/>
          <w:sz w:val="16"/>
          <w:szCs w:val="16"/>
        </w:rPr>
        <w:t>Политбюро ЦК ВКП(б) одобрило решение СТО об отпуске в 1931 г. дополнительных средств на строительство первых трех и подготовку к строительству еще трех заводов синтетического каучука (12265).</w:t>
      </w:r>
    </w:p>
    <w:p w14:paraId="2C8443C3" w14:textId="35CC6A2F" w:rsidR="00877950" w:rsidRPr="007122AB" w:rsidRDefault="00877950" w:rsidP="007122AB">
      <w:pPr>
        <w:spacing w:after="0" w:line="240" w:lineRule="auto"/>
        <w:jc w:val="both"/>
        <w:rPr>
          <w:rFonts w:ascii="Times New Roman" w:hAnsi="Times New Roman"/>
          <w:color w:val="000000" w:themeColor="text1"/>
          <w:sz w:val="16"/>
          <w:szCs w:val="16"/>
        </w:rPr>
      </w:pPr>
    </w:p>
    <w:p w14:paraId="25CF40AF" w14:textId="77777777" w:rsidR="00C55C7E" w:rsidRPr="007122AB" w:rsidRDefault="00C55C7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AF14AB9" w14:textId="77777777" w:rsidR="00C55C7E" w:rsidRPr="007122AB" w:rsidRDefault="00C55C7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C2F0E5"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27 июня 1931 г. в постановлении РВС СССР "О формированиях в военное время" были суммированы проработки январского плана применительно к мобилизационным расписаниям 1932 и 1933 гг. Поскольку в ноябре 1930 г. Политбюро приняло решение о составе РККА, развертываемой по мобилизации, и сформированиях первых месяцев войны при ее возникновении в 1931 г., Реввоенсовет Союза вносил на утверждение Комиссии обороны состав РККА военного времени на два последующих года. Документ содержал обобщенные данные по развертыванию (без разбивки сил на 1, 2 и 3-ю очередь) и по новым формированиям в течение первого и второго полугодия войны - на случай, если она приобретет "большой размах" (см. табл. 7) (Составлено по: Постановление РВС СССР "О формированиях в военное время*, 27.06.1931 // Там же. Ф. 40442. Оп. 2. Д. 9. Л. 13-15).</w:t>
      </w:r>
    </w:p>
    <w:p w14:paraId="05A06453"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ТАБЛИЦА 7</w:t>
      </w:r>
    </w:p>
    <w:p w14:paraId="7535838A"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Предложения по мобилизационному развертыванию на 1932 и 1933 гг.</w:t>
      </w:r>
    </w:p>
    <w:p w14:paraId="21043899"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Развертываемые силы</w:t>
      </w:r>
      <w:r w:rsidRPr="007122AB">
        <w:rPr>
          <w:rFonts w:ascii="Times New Roman" w:eastAsia="Times New Roman" w:hAnsi="Times New Roman"/>
          <w:color w:val="000000" w:themeColor="text1"/>
          <w:sz w:val="16"/>
          <w:szCs w:val="16"/>
          <w:lang w:eastAsia="ru-RU"/>
        </w:rPr>
        <w:tab/>
        <w:t>Численность развертываемых сил к исходу</w:t>
      </w:r>
    </w:p>
    <w:p w14:paraId="39FC1BFA"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мая 1932 г.</w:t>
      </w:r>
      <w:r w:rsidRPr="007122AB">
        <w:rPr>
          <w:rFonts w:ascii="Times New Roman" w:eastAsia="Times New Roman" w:hAnsi="Times New Roman"/>
          <w:color w:val="000000" w:themeColor="text1"/>
          <w:sz w:val="16"/>
          <w:szCs w:val="16"/>
          <w:lang w:eastAsia="ru-RU"/>
        </w:rPr>
        <w:tab/>
        <w:t xml:space="preserve"> 1 мая 1933 г.</w:t>
      </w:r>
    </w:p>
    <w:p w14:paraId="17CA09DC"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первых двух месяцев войны</w:t>
      </w:r>
      <w:r w:rsidRPr="007122AB">
        <w:rPr>
          <w:rFonts w:ascii="Times New Roman" w:eastAsia="Times New Roman" w:hAnsi="Times New Roman"/>
          <w:color w:val="000000" w:themeColor="text1"/>
          <w:sz w:val="16"/>
          <w:szCs w:val="16"/>
          <w:lang w:eastAsia="ru-RU"/>
        </w:rPr>
        <w:tab/>
        <w:t>первого года войны</w:t>
      </w:r>
      <w:r w:rsidRPr="007122AB">
        <w:rPr>
          <w:rFonts w:ascii="Times New Roman" w:eastAsia="Times New Roman" w:hAnsi="Times New Roman"/>
          <w:color w:val="000000" w:themeColor="text1"/>
          <w:sz w:val="16"/>
          <w:szCs w:val="16"/>
          <w:lang w:eastAsia="ru-RU"/>
        </w:rPr>
        <w:tab/>
        <w:t>первых двух месяцев войны</w:t>
      </w:r>
      <w:r w:rsidRPr="007122AB">
        <w:rPr>
          <w:rFonts w:ascii="Times New Roman" w:eastAsia="Times New Roman" w:hAnsi="Times New Roman"/>
          <w:color w:val="000000" w:themeColor="text1"/>
          <w:sz w:val="16"/>
          <w:szCs w:val="16"/>
          <w:lang w:eastAsia="ru-RU"/>
        </w:rPr>
        <w:tab/>
        <w:t>первого года войны</w:t>
      </w:r>
    </w:p>
    <w:p w14:paraId="3CE8EDB3"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Стрелковые дивизии</w:t>
      </w:r>
      <w:r w:rsidRPr="007122AB">
        <w:rPr>
          <w:rFonts w:ascii="Times New Roman" w:eastAsia="Times New Roman" w:hAnsi="Times New Roman"/>
          <w:color w:val="000000" w:themeColor="text1"/>
          <w:sz w:val="16"/>
          <w:szCs w:val="16"/>
          <w:lang w:eastAsia="ru-RU"/>
        </w:rPr>
        <w:tab/>
        <w:t>140</w:t>
      </w:r>
      <w:r w:rsidRPr="007122AB">
        <w:rPr>
          <w:rFonts w:ascii="Times New Roman" w:eastAsia="Times New Roman" w:hAnsi="Times New Roman"/>
          <w:color w:val="000000" w:themeColor="text1"/>
          <w:sz w:val="16"/>
          <w:szCs w:val="16"/>
          <w:lang w:eastAsia="ru-RU"/>
        </w:rPr>
        <w:tab/>
        <w:t>170</w:t>
      </w:r>
      <w:r w:rsidRPr="007122AB">
        <w:rPr>
          <w:rFonts w:ascii="Times New Roman" w:eastAsia="Times New Roman" w:hAnsi="Times New Roman"/>
          <w:color w:val="000000" w:themeColor="text1"/>
          <w:sz w:val="16"/>
          <w:szCs w:val="16"/>
          <w:lang w:eastAsia="ru-RU"/>
        </w:rPr>
        <w:tab/>
        <w:t>150</w:t>
      </w:r>
      <w:r w:rsidRPr="007122AB">
        <w:rPr>
          <w:rFonts w:ascii="Times New Roman" w:eastAsia="Times New Roman" w:hAnsi="Times New Roman"/>
          <w:color w:val="000000" w:themeColor="text1"/>
          <w:sz w:val="16"/>
          <w:szCs w:val="16"/>
          <w:lang w:eastAsia="ru-RU"/>
        </w:rPr>
        <w:tab/>
        <w:t>180</w:t>
      </w:r>
    </w:p>
    <w:p w14:paraId="4EF3CF62"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Кавалерийские дивизии</w:t>
      </w:r>
      <w:r w:rsidRPr="007122AB">
        <w:rPr>
          <w:rFonts w:ascii="Times New Roman" w:eastAsia="Times New Roman" w:hAnsi="Times New Roman"/>
          <w:color w:val="000000" w:themeColor="text1"/>
          <w:sz w:val="16"/>
          <w:szCs w:val="16"/>
          <w:lang w:eastAsia="ru-RU"/>
        </w:rPr>
        <w:tab/>
        <w:t>12</w:t>
      </w:r>
      <w:r w:rsidRPr="007122AB">
        <w:rPr>
          <w:rFonts w:ascii="Times New Roman" w:eastAsia="Times New Roman" w:hAnsi="Times New Roman"/>
          <w:color w:val="000000" w:themeColor="text1"/>
          <w:sz w:val="16"/>
          <w:szCs w:val="16"/>
          <w:lang w:eastAsia="ru-RU"/>
        </w:rPr>
        <w:tab/>
        <w:t>15</w:t>
      </w:r>
      <w:r w:rsidRPr="007122AB">
        <w:rPr>
          <w:rFonts w:ascii="Times New Roman" w:eastAsia="Times New Roman" w:hAnsi="Times New Roman"/>
          <w:color w:val="000000" w:themeColor="text1"/>
          <w:sz w:val="16"/>
          <w:szCs w:val="16"/>
          <w:lang w:eastAsia="ru-RU"/>
        </w:rPr>
        <w:tab/>
        <w:t>19 (из них 6 горных)</w:t>
      </w:r>
      <w:r w:rsidRPr="007122AB">
        <w:rPr>
          <w:rFonts w:ascii="Times New Roman" w:eastAsia="Times New Roman" w:hAnsi="Times New Roman"/>
          <w:color w:val="000000" w:themeColor="text1"/>
          <w:sz w:val="16"/>
          <w:szCs w:val="16"/>
          <w:lang w:eastAsia="ru-RU"/>
        </w:rPr>
        <w:tab/>
      </w:r>
      <w:r w:rsidRPr="007122AB">
        <w:rPr>
          <w:rFonts w:ascii="Times New Roman" w:eastAsia="Times New Roman" w:hAnsi="Times New Roman"/>
          <w:color w:val="000000" w:themeColor="text1"/>
          <w:sz w:val="16"/>
          <w:szCs w:val="16"/>
          <w:lang w:eastAsia="ru-RU"/>
        </w:rPr>
        <w:tab/>
        <w:t>24</w:t>
      </w:r>
    </w:p>
    <w:p w14:paraId="7A67B6E5"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Отдельные кавалерийские бригады</w:t>
      </w:r>
      <w:r w:rsidRPr="007122AB">
        <w:rPr>
          <w:rFonts w:ascii="Times New Roman" w:eastAsia="Times New Roman" w:hAnsi="Times New Roman"/>
          <w:color w:val="000000" w:themeColor="text1"/>
          <w:sz w:val="16"/>
          <w:szCs w:val="16"/>
          <w:lang w:eastAsia="ru-RU"/>
        </w:rPr>
        <w:tab/>
        <w:t>7</w:t>
      </w:r>
      <w:r w:rsidRPr="007122AB">
        <w:rPr>
          <w:rFonts w:ascii="Times New Roman" w:eastAsia="Times New Roman" w:hAnsi="Times New Roman"/>
          <w:color w:val="000000" w:themeColor="text1"/>
          <w:sz w:val="16"/>
          <w:szCs w:val="16"/>
          <w:lang w:eastAsia="ru-RU"/>
        </w:rPr>
        <w:tab/>
        <w:t>7</w:t>
      </w:r>
      <w:r w:rsidRPr="007122AB">
        <w:rPr>
          <w:rFonts w:ascii="Times New Roman" w:eastAsia="Times New Roman" w:hAnsi="Times New Roman"/>
          <w:color w:val="000000" w:themeColor="text1"/>
          <w:sz w:val="16"/>
          <w:szCs w:val="16"/>
          <w:lang w:eastAsia="ru-RU"/>
        </w:rPr>
        <w:tab/>
        <w:t>-</w:t>
      </w:r>
      <w:r w:rsidRPr="007122AB">
        <w:rPr>
          <w:rFonts w:ascii="Times New Roman" w:eastAsia="Times New Roman" w:hAnsi="Times New Roman"/>
          <w:color w:val="000000" w:themeColor="text1"/>
          <w:sz w:val="16"/>
          <w:szCs w:val="16"/>
          <w:lang w:eastAsia="ru-RU"/>
        </w:rPr>
        <w:tab/>
        <w:t>-</w:t>
      </w:r>
    </w:p>
    <w:p w14:paraId="77E0564A"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Артполки РГК</w:t>
      </w:r>
      <w:r w:rsidRPr="007122AB">
        <w:rPr>
          <w:rFonts w:ascii="Times New Roman" w:eastAsia="Times New Roman" w:hAnsi="Times New Roman"/>
          <w:color w:val="000000" w:themeColor="text1"/>
          <w:sz w:val="16"/>
          <w:szCs w:val="16"/>
          <w:lang w:eastAsia="ru-RU"/>
        </w:rPr>
        <w:tab/>
        <w:t>31</w:t>
      </w:r>
      <w:r w:rsidRPr="007122AB">
        <w:rPr>
          <w:rFonts w:ascii="Times New Roman" w:eastAsia="Times New Roman" w:hAnsi="Times New Roman"/>
          <w:color w:val="000000" w:themeColor="text1"/>
          <w:sz w:val="16"/>
          <w:szCs w:val="16"/>
          <w:lang w:eastAsia="ru-RU"/>
        </w:rPr>
        <w:tab/>
        <w:t>41</w:t>
      </w:r>
      <w:r w:rsidRPr="007122AB">
        <w:rPr>
          <w:rFonts w:ascii="Times New Roman" w:eastAsia="Times New Roman" w:hAnsi="Times New Roman"/>
          <w:color w:val="000000" w:themeColor="text1"/>
          <w:sz w:val="16"/>
          <w:szCs w:val="16"/>
          <w:lang w:eastAsia="ru-RU"/>
        </w:rPr>
        <w:tab/>
        <w:t>53</w:t>
      </w:r>
      <w:r w:rsidRPr="007122AB">
        <w:rPr>
          <w:rFonts w:ascii="Times New Roman" w:eastAsia="Times New Roman" w:hAnsi="Times New Roman"/>
          <w:color w:val="000000" w:themeColor="text1"/>
          <w:sz w:val="16"/>
          <w:szCs w:val="16"/>
          <w:lang w:eastAsia="ru-RU"/>
        </w:rPr>
        <w:tab/>
        <w:t>93</w:t>
      </w:r>
    </w:p>
    <w:p w14:paraId="745B52AF"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Мортирные полки</w:t>
      </w:r>
      <w:r w:rsidRPr="007122AB">
        <w:rPr>
          <w:rFonts w:ascii="Times New Roman" w:eastAsia="Times New Roman" w:hAnsi="Times New Roman"/>
          <w:color w:val="000000" w:themeColor="text1"/>
          <w:sz w:val="16"/>
          <w:szCs w:val="16"/>
          <w:lang w:eastAsia="ru-RU"/>
        </w:rPr>
        <w:tab/>
        <w:t>-</w:t>
      </w:r>
      <w:r w:rsidRPr="007122AB">
        <w:rPr>
          <w:rFonts w:ascii="Times New Roman" w:eastAsia="Times New Roman" w:hAnsi="Times New Roman"/>
          <w:color w:val="000000" w:themeColor="text1"/>
          <w:sz w:val="16"/>
          <w:szCs w:val="16"/>
          <w:lang w:eastAsia="ru-RU"/>
        </w:rPr>
        <w:tab/>
        <w:t>10</w:t>
      </w:r>
      <w:r w:rsidRPr="007122AB">
        <w:rPr>
          <w:rFonts w:ascii="Times New Roman" w:eastAsia="Times New Roman" w:hAnsi="Times New Roman"/>
          <w:color w:val="000000" w:themeColor="text1"/>
          <w:sz w:val="16"/>
          <w:szCs w:val="16"/>
          <w:lang w:eastAsia="ru-RU"/>
        </w:rPr>
        <w:tab/>
        <w:t>-</w:t>
      </w:r>
      <w:r w:rsidRPr="007122AB">
        <w:rPr>
          <w:rFonts w:ascii="Times New Roman" w:eastAsia="Times New Roman" w:hAnsi="Times New Roman"/>
          <w:color w:val="000000" w:themeColor="text1"/>
          <w:sz w:val="16"/>
          <w:szCs w:val="16"/>
          <w:lang w:eastAsia="ru-RU"/>
        </w:rPr>
        <w:tab/>
        <w:t>10</w:t>
      </w:r>
    </w:p>
    <w:p w14:paraId="6E8002E0"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Танки и танкетки разных типов</w:t>
      </w:r>
      <w:r w:rsidRPr="007122AB">
        <w:rPr>
          <w:rFonts w:ascii="Times New Roman" w:eastAsia="Times New Roman" w:hAnsi="Times New Roman"/>
          <w:color w:val="000000" w:themeColor="text1"/>
          <w:sz w:val="16"/>
          <w:szCs w:val="16"/>
          <w:lang w:eastAsia="ru-RU"/>
        </w:rPr>
        <w:tab/>
        <w:t>2580</w:t>
      </w:r>
      <w:r w:rsidRPr="007122AB">
        <w:rPr>
          <w:rFonts w:ascii="Times New Roman" w:eastAsia="Times New Roman" w:hAnsi="Times New Roman"/>
          <w:color w:val="000000" w:themeColor="text1"/>
          <w:sz w:val="16"/>
          <w:szCs w:val="16"/>
          <w:lang w:eastAsia="ru-RU"/>
        </w:rPr>
        <w:tab/>
        <w:t>6325</w:t>
      </w:r>
      <w:r w:rsidRPr="007122AB">
        <w:rPr>
          <w:rFonts w:ascii="Times New Roman" w:eastAsia="Times New Roman" w:hAnsi="Times New Roman"/>
          <w:color w:val="000000" w:themeColor="text1"/>
          <w:sz w:val="16"/>
          <w:szCs w:val="16"/>
          <w:lang w:eastAsia="ru-RU"/>
        </w:rPr>
        <w:tab/>
        <w:t>6550</w:t>
      </w:r>
      <w:r w:rsidRPr="007122AB">
        <w:rPr>
          <w:rFonts w:ascii="Times New Roman" w:eastAsia="Times New Roman" w:hAnsi="Times New Roman"/>
          <w:color w:val="000000" w:themeColor="text1"/>
          <w:sz w:val="16"/>
          <w:szCs w:val="16"/>
          <w:lang w:eastAsia="ru-RU"/>
        </w:rPr>
        <w:tab/>
        <w:t>9750</w:t>
      </w:r>
    </w:p>
    <w:p w14:paraId="3FFB3C98"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Самолеты</w:t>
      </w:r>
      <w:r w:rsidRPr="007122AB">
        <w:rPr>
          <w:rFonts w:ascii="Times New Roman" w:eastAsia="Times New Roman" w:hAnsi="Times New Roman"/>
          <w:color w:val="000000" w:themeColor="text1"/>
          <w:sz w:val="16"/>
          <w:szCs w:val="16"/>
          <w:lang w:eastAsia="ru-RU"/>
        </w:rPr>
        <w:tab/>
        <w:t>2460</w:t>
      </w:r>
      <w:r w:rsidRPr="007122AB">
        <w:rPr>
          <w:rFonts w:ascii="Times New Roman" w:eastAsia="Times New Roman" w:hAnsi="Times New Roman"/>
          <w:color w:val="000000" w:themeColor="text1"/>
          <w:sz w:val="16"/>
          <w:szCs w:val="16"/>
          <w:lang w:eastAsia="ru-RU"/>
        </w:rPr>
        <w:tab/>
        <w:t>3000</w:t>
      </w:r>
      <w:r w:rsidRPr="007122AB">
        <w:rPr>
          <w:rFonts w:ascii="Times New Roman" w:eastAsia="Times New Roman" w:hAnsi="Times New Roman"/>
          <w:color w:val="000000" w:themeColor="text1"/>
          <w:sz w:val="16"/>
          <w:szCs w:val="16"/>
          <w:lang w:eastAsia="ru-RU"/>
        </w:rPr>
        <w:tab/>
        <w:t>4075</w:t>
      </w:r>
      <w:r w:rsidRPr="007122AB">
        <w:rPr>
          <w:rFonts w:ascii="Times New Roman" w:eastAsia="Times New Roman" w:hAnsi="Times New Roman"/>
          <w:color w:val="000000" w:themeColor="text1"/>
          <w:sz w:val="16"/>
          <w:szCs w:val="16"/>
          <w:lang w:eastAsia="ru-RU"/>
        </w:rPr>
        <w:tab/>
        <w:t>5075</w:t>
      </w:r>
    </w:p>
    <w:p w14:paraId="24505861"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lang w:eastAsia="ru-RU" w:bidi="ru-RU"/>
        </w:rPr>
        <w:t>Таким образом, по сравнению с планом полугодичной давности число развертываемых соединений оставалось прежним (</w:t>
      </w:r>
      <w:r w:rsidRPr="007122AB">
        <w:rPr>
          <w:rFonts w:ascii="Times New Roman" w:eastAsia="Times New Roman" w:hAnsi="Times New Roman"/>
          <w:color w:val="000000" w:themeColor="text1"/>
          <w:sz w:val="16"/>
          <w:szCs w:val="16"/>
          <w:lang w:eastAsia="ru-RU"/>
        </w:rPr>
        <w:t>В самом постановлении численность личного состава армии военного времени на конец пятилетки не фигурировала. Судя по более поздним документам, после января 1931 г. она не пересматривалась. Личный состав распределялся на боевой, обслуживающий и тыловой в следующих соотношениях:</w:t>
      </w:r>
    </w:p>
    <w:p w14:paraId="395B4DD1"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в войсках - 2724 тыс. человек (из них 630 тыс. - обсуживающий состав);</w:t>
      </w:r>
    </w:p>
    <w:p w14:paraId="7EC516D3"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в тылах действующей армии - 552 тыс. человек;</w:t>
      </w:r>
    </w:p>
    <w:p w14:paraId="6A099CED"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итого в действующей армии - 3277 тыс. (из них 1182 тыс. - обслуживающий состав);</w:t>
      </w:r>
    </w:p>
    <w:p w14:paraId="0DD62F1B"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тыл страны - 1123 тыс. человек;</w:t>
      </w:r>
    </w:p>
    <w:p w14:paraId="6CD9CDB6"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общий итог - 4400 тыс. человек.</w:t>
      </w:r>
    </w:p>
    <w:p w14:paraId="7AB5B414" w14:textId="77777777" w:rsidR="00C55C7E" w:rsidRPr="007122AB" w:rsidRDefault="00C55C7E"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 xml:space="preserve">(см.: Численность личного состава РККА военного времени на конец пятилетки по проекту [март(?), 1931] // Там же. </w:t>
      </w:r>
      <w:proofErr w:type="spellStart"/>
      <w:r w:rsidRPr="007122AB">
        <w:rPr>
          <w:rFonts w:ascii="Times New Roman" w:eastAsia="Times New Roman" w:hAnsi="Times New Roman"/>
          <w:color w:val="000000" w:themeColor="text1"/>
          <w:sz w:val="16"/>
          <w:szCs w:val="16"/>
          <w:lang w:eastAsia="ru-RU"/>
        </w:rPr>
        <w:t>Oп</w:t>
      </w:r>
      <w:proofErr w:type="spellEnd"/>
      <w:r w:rsidRPr="007122AB">
        <w:rPr>
          <w:rFonts w:ascii="Times New Roman" w:eastAsia="Times New Roman" w:hAnsi="Times New Roman"/>
          <w:color w:val="000000" w:themeColor="text1"/>
          <w:sz w:val="16"/>
          <w:szCs w:val="16"/>
          <w:lang w:eastAsia="ru-RU"/>
        </w:rPr>
        <w:t>. 1. Д. 375. Л. 17).</w:t>
      </w:r>
      <w:r w:rsidRPr="007122AB">
        <w:rPr>
          <w:rFonts w:ascii="Times New Roman" w:hAnsi="Times New Roman"/>
          <w:color w:val="000000" w:themeColor="text1"/>
          <w:sz w:val="16"/>
          <w:szCs w:val="16"/>
          <w:lang w:eastAsia="ru-RU" w:bidi="ru-RU"/>
        </w:rPr>
        <w:t>). Состав техниче</w:t>
      </w:r>
      <w:r w:rsidRPr="007122AB">
        <w:rPr>
          <w:rFonts w:ascii="Times New Roman" w:hAnsi="Times New Roman"/>
          <w:color w:val="000000" w:themeColor="text1"/>
          <w:sz w:val="16"/>
          <w:szCs w:val="16"/>
          <w:lang w:eastAsia="ru-RU" w:bidi="ru-RU"/>
        </w:rPr>
        <w:softHyphen/>
        <w:t>ских средств борьбы, напротив, претерпел изменения. Количество са</w:t>
      </w:r>
      <w:r w:rsidRPr="007122AB">
        <w:rPr>
          <w:rFonts w:ascii="Times New Roman" w:hAnsi="Times New Roman"/>
          <w:color w:val="000000" w:themeColor="text1"/>
          <w:sz w:val="16"/>
          <w:szCs w:val="16"/>
          <w:lang w:eastAsia="ru-RU" w:bidi="ru-RU"/>
        </w:rPr>
        <w:softHyphen/>
        <w:t xml:space="preserve">молетов определялось почти в прежних размерах, но число танков и танкеток в 1932 г. увеличивалось на 900, а в 1933 г. — на 1960 единиц (т. е. более чем на 40%). Новый скачок в танковой программе, вероятно, был связан с результатами ее рассмотрения в Комиссии обороны 4 мая, а также с активностью Тухачевского и </w:t>
      </w:r>
      <w:proofErr w:type="spellStart"/>
      <w:r w:rsidRPr="007122AB">
        <w:rPr>
          <w:rFonts w:ascii="Times New Roman" w:hAnsi="Times New Roman"/>
          <w:color w:val="000000" w:themeColor="text1"/>
          <w:sz w:val="16"/>
          <w:szCs w:val="16"/>
          <w:lang w:eastAsia="ru-RU" w:bidi="ru-RU"/>
        </w:rPr>
        <w:t>Триандафиллова</w:t>
      </w:r>
      <w:proofErr w:type="spellEnd"/>
      <w:r w:rsidRPr="007122AB">
        <w:rPr>
          <w:rFonts w:ascii="Times New Roman" w:hAnsi="Times New Roman"/>
          <w:color w:val="000000" w:themeColor="text1"/>
          <w:sz w:val="16"/>
          <w:szCs w:val="16"/>
          <w:lang w:eastAsia="ru-RU" w:bidi="ru-RU"/>
        </w:rPr>
        <w:t>, дока</w:t>
      </w:r>
      <w:r w:rsidRPr="007122AB">
        <w:rPr>
          <w:rFonts w:ascii="Times New Roman" w:hAnsi="Times New Roman"/>
          <w:color w:val="000000" w:themeColor="text1"/>
          <w:sz w:val="16"/>
          <w:szCs w:val="16"/>
          <w:u w:val="single"/>
          <w:lang w:eastAsia="ru-RU" w:bidi="ru-RU"/>
        </w:rPr>
        <w:t>зывавши</w:t>
      </w:r>
      <w:r w:rsidRPr="007122AB">
        <w:rPr>
          <w:rFonts w:ascii="Times New Roman" w:hAnsi="Times New Roman"/>
          <w:color w:val="000000" w:themeColor="text1"/>
          <w:sz w:val="16"/>
          <w:szCs w:val="16"/>
          <w:lang w:eastAsia="ru-RU" w:bidi="ru-RU"/>
        </w:rPr>
        <w:t>х необходимость создания уже в мирное время крупных бронетанковых соединений с тем, чтобы из них и кавалерийских соединений можно было бы в случае войны создать конно-механизированные армии (группы) для развития успеха во фронтовой операции» (</w:t>
      </w:r>
      <w:r w:rsidRPr="007122AB">
        <w:rPr>
          <w:rFonts w:ascii="Times New Roman" w:eastAsia="Times New Roman" w:hAnsi="Times New Roman"/>
          <w:color w:val="000000" w:themeColor="text1"/>
          <w:sz w:val="16"/>
          <w:szCs w:val="16"/>
          <w:lang w:eastAsia="ru-RU"/>
        </w:rPr>
        <w:t xml:space="preserve">Рыжаков А. К вопросу о строительстве бронетанковых войск Красной Армии в 30-е годы // ВИЖ. 1968. № 8. С. 107. А. Рыжаков упомянул о докладных записках Тухачевского и </w:t>
      </w:r>
      <w:proofErr w:type="spellStart"/>
      <w:r w:rsidRPr="007122AB">
        <w:rPr>
          <w:rFonts w:ascii="Times New Roman" w:eastAsia="Times New Roman" w:hAnsi="Times New Roman"/>
          <w:color w:val="000000" w:themeColor="text1"/>
          <w:sz w:val="16"/>
          <w:szCs w:val="16"/>
          <w:lang w:eastAsia="ru-RU"/>
        </w:rPr>
        <w:t>Триандафиллова</w:t>
      </w:r>
      <w:proofErr w:type="spellEnd"/>
      <w:r w:rsidRPr="007122AB">
        <w:rPr>
          <w:rFonts w:ascii="Times New Roman" w:eastAsia="Times New Roman" w:hAnsi="Times New Roman"/>
          <w:color w:val="000000" w:themeColor="text1"/>
          <w:sz w:val="16"/>
          <w:szCs w:val="16"/>
          <w:lang w:eastAsia="ru-RU"/>
        </w:rPr>
        <w:t xml:space="preserve"> как раз в связи с подготовкой в первой половине 1931 г. новой версии уточненного плана на конец Пятилетки. О записках Тухачевского в Управление моторизации и механизации РККА (3 марта и 14 апреля 1931 г.) см.: SAMUELSON L </w:t>
      </w:r>
      <w:proofErr w:type="spellStart"/>
      <w:r w:rsidRPr="007122AB">
        <w:rPr>
          <w:rFonts w:ascii="Times New Roman" w:eastAsia="Times New Roman" w:hAnsi="Times New Roman"/>
          <w:color w:val="000000" w:themeColor="text1"/>
          <w:sz w:val="16"/>
          <w:szCs w:val="16"/>
          <w:lang w:eastAsia="ru-RU"/>
        </w:rPr>
        <w:t>Soviet</w:t>
      </w:r>
      <w:proofErr w:type="spellEnd"/>
      <w:r w:rsidRPr="007122AB">
        <w:rPr>
          <w:rFonts w:ascii="Times New Roman" w:eastAsia="Times New Roman" w:hAnsi="Times New Roman"/>
          <w:color w:val="000000" w:themeColor="text1"/>
          <w:sz w:val="16"/>
          <w:szCs w:val="16"/>
          <w:lang w:eastAsia="ru-RU"/>
        </w:rPr>
        <w:t xml:space="preserve"> Defence </w:t>
      </w:r>
      <w:r w:rsidRPr="007122AB">
        <w:rPr>
          <w:rFonts w:ascii="Times New Roman" w:eastAsia="Times New Roman" w:hAnsi="Times New Roman"/>
          <w:color w:val="000000" w:themeColor="text1"/>
          <w:sz w:val="16"/>
          <w:szCs w:val="16"/>
          <w:lang w:val="en-US" w:eastAsia="ru-RU"/>
        </w:rPr>
        <w:t>Industry</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Planning</w:t>
      </w:r>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val="en-US" w:eastAsia="ru-RU"/>
        </w:rPr>
        <w:t>Tukhachevskii</w:t>
      </w:r>
      <w:proofErr w:type="spellEnd"/>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and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Military</w:t>
      </w:r>
      <w:r w:rsidRPr="007122AB">
        <w:rPr>
          <w:rFonts w:ascii="Times New Roman" w:eastAsia="Times New Roman" w:hAnsi="Times New Roman"/>
          <w:color w:val="000000" w:themeColor="text1"/>
          <w:sz w:val="16"/>
          <w:szCs w:val="16"/>
          <w:lang w:eastAsia="ru-RU"/>
        </w:rPr>
        <w:t>-</w:t>
      </w:r>
      <w:r w:rsidRPr="007122AB">
        <w:rPr>
          <w:rFonts w:ascii="Times New Roman" w:eastAsia="Times New Roman" w:hAnsi="Times New Roman"/>
          <w:color w:val="000000" w:themeColor="text1"/>
          <w:sz w:val="16"/>
          <w:szCs w:val="16"/>
          <w:lang w:val="en-US" w:eastAsia="ru-RU"/>
        </w:rPr>
        <w:t>Industrial</w:t>
      </w:r>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val="en-US" w:eastAsia="ru-RU"/>
        </w:rPr>
        <w:t>Mobilisation</w:t>
      </w:r>
      <w:proofErr w:type="spellEnd"/>
      <w:r w:rsidRPr="007122AB">
        <w:rPr>
          <w:rFonts w:ascii="Times New Roman" w:eastAsia="Times New Roman" w:hAnsi="Times New Roman"/>
          <w:color w:val="000000" w:themeColor="text1"/>
          <w:sz w:val="16"/>
          <w:szCs w:val="16"/>
          <w:lang w:eastAsia="ru-RU"/>
        </w:rPr>
        <w:t>, 1926-1937. Stockholm, 1996. P. 169 (</w:t>
      </w:r>
      <w:proofErr w:type="spellStart"/>
      <w:r w:rsidRPr="007122AB">
        <w:rPr>
          <w:rFonts w:ascii="Times New Roman" w:eastAsia="Times New Roman" w:hAnsi="Times New Roman"/>
          <w:color w:val="000000" w:themeColor="text1"/>
          <w:sz w:val="16"/>
          <w:szCs w:val="16"/>
          <w:lang w:eastAsia="ru-RU"/>
        </w:rPr>
        <w:t>note</w:t>
      </w:r>
      <w:proofErr w:type="spellEnd"/>
      <w:r w:rsidRPr="007122AB">
        <w:rPr>
          <w:rFonts w:ascii="Times New Roman" w:eastAsia="Times New Roman" w:hAnsi="Times New Roman"/>
          <w:color w:val="000000" w:themeColor="text1"/>
          <w:sz w:val="16"/>
          <w:szCs w:val="16"/>
          <w:lang w:eastAsia="ru-RU"/>
        </w:rPr>
        <w:t xml:space="preserve"> 40).</w:t>
      </w:r>
      <w:r w:rsidRPr="007122AB">
        <w:rPr>
          <w:rFonts w:ascii="Times New Roman" w:hAnsi="Times New Roman"/>
          <w:color w:val="000000" w:themeColor="text1"/>
          <w:sz w:val="16"/>
          <w:szCs w:val="16"/>
          <w:lang w:eastAsia="ru-RU" w:bidi="ru-RU"/>
        </w:rPr>
        <w:t>).</w:t>
      </w:r>
    </w:p>
    <w:p w14:paraId="27CA51F0" w14:textId="77777777" w:rsidR="00C55C7E" w:rsidRPr="007122AB" w:rsidRDefault="00C55C7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докладе РВСС в Комиссию обороны предлагаемые меры обос</w:t>
      </w:r>
      <w:r w:rsidRPr="007122AB">
        <w:rPr>
          <w:rFonts w:ascii="Times New Roman" w:hAnsi="Times New Roman"/>
          <w:color w:val="000000" w:themeColor="text1"/>
          <w:sz w:val="16"/>
          <w:szCs w:val="16"/>
          <w:lang w:eastAsia="ru-RU" w:bidi="ru-RU"/>
        </w:rPr>
        <w:softHyphen/>
        <w:t>новывались в соответствии с январской директивой высшего руковод</w:t>
      </w:r>
      <w:r w:rsidRPr="007122AB">
        <w:rPr>
          <w:rFonts w:ascii="Times New Roman" w:hAnsi="Times New Roman"/>
          <w:color w:val="000000" w:themeColor="text1"/>
          <w:sz w:val="16"/>
          <w:szCs w:val="16"/>
          <w:lang w:eastAsia="ru-RU" w:bidi="ru-RU"/>
        </w:rPr>
        <w:softHyphen/>
        <w:t>ства: «по численности — превосходить наших вероятных противни</w:t>
      </w:r>
      <w:r w:rsidRPr="007122AB">
        <w:rPr>
          <w:rFonts w:ascii="Times New Roman" w:hAnsi="Times New Roman"/>
          <w:color w:val="000000" w:themeColor="text1"/>
          <w:sz w:val="16"/>
          <w:szCs w:val="16"/>
          <w:lang w:eastAsia="ru-RU" w:bidi="ru-RU"/>
        </w:rPr>
        <w:softHyphen/>
        <w:t>ков на главнейшем театре войны», «быть сильнее противника по трем решающим видам борьбы (артиллерии, танкам, авиации)». По-новому формулировались основы строительства армии мирного времени:</w:t>
      </w:r>
    </w:p>
    <w:p w14:paraId="17B6229B"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"Создание на нашей Западной границе сильных частей прикрытия", в состав которых должны были входить кадровые и смешанные стрелковые дивизии, конница, по организации близкая к военному времени, зенитная артиллерия, бронетанковые части, "мощный воздушный флот".</w:t>
      </w:r>
    </w:p>
    <w:p w14:paraId="415A538C"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"Исходя из развития индустриализации страны и социалистической реконструкции сельского хозяйства, дальнейшее углубление территориальной системы, направленной к увеличению числа территориальных дивизий, с одновременным </w:t>
      </w:r>
      <w:proofErr w:type="spellStart"/>
      <w:r w:rsidRPr="007122AB">
        <w:rPr>
          <w:rFonts w:ascii="Times New Roman" w:eastAsia="Times New Roman" w:hAnsi="Times New Roman"/>
          <w:color w:val="000000" w:themeColor="text1"/>
          <w:sz w:val="16"/>
          <w:szCs w:val="16"/>
          <w:lang w:eastAsia="ru-RU"/>
        </w:rPr>
        <w:t>распpocтpaнением</w:t>
      </w:r>
      <w:proofErr w:type="spellEnd"/>
      <w:r w:rsidRPr="007122AB">
        <w:rPr>
          <w:rFonts w:ascii="Times New Roman" w:eastAsia="Times New Roman" w:hAnsi="Times New Roman"/>
          <w:color w:val="000000" w:themeColor="text1"/>
          <w:sz w:val="16"/>
          <w:szCs w:val="16"/>
          <w:lang w:eastAsia="ru-RU"/>
        </w:rPr>
        <w:t xml:space="preserve"> территориальной системы на артиллерию Резерва Главного Командования и специальные части всех видов".</w:t>
      </w:r>
    </w:p>
    <w:p w14:paraId="41440763"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Комиссии обороны предлагалось утвердить следующий график увеличения штатов РККА</w:t>
      </w:r>
    </w:p>
    <w:p w14:paraId="69DC3F86"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Для обеспечения развертывания по </w:t>
      </w:r>
      <w:proofErr w:type="spellStart"/>
      <w:r w:rsidRPr="007122AB">
        <w:rPr>
          <w:rFonts w:ascii="Times New Roman" w:eastAsia="Times New Roman" w:hAnsi="Times New Roman"/>
          <w:color w:val="000000" w:themeColor="text1"/>
          <w:sz w:val="16"/>
          <w:szCs w:val="16"/>
          <w:lang w:eastAsia="ru-RU"/>
        </w:rPr>
        <w:t>мобплану</w:t>
      </w:r>
      <w:proofErr w:type="spellEnd"/>
      <w:r w:rsidRPr="007122AB">
        <w:rPr>
          <w:rFonts w:ascii="Times New Roman" w:eastAsia="Times New Roman" w:hAnsi="Times New Roman"/>
          <w:color w:val="000000" w:themeColor="text1"/>
          <w:sz w:val="16"/>
          <w:szCs w:val="16"/>
          <w:lang w:eastAsia="ru-RU"/>
        </w:rPr>
        <w:t xml:space="preserve"> № 10:</w:t>
      </w:r>
    </w:p>
    <w:p w14:paraId="417DDA5C"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2 января 1931 г. - 652 000 человек.</w:t>
      </w:r>
    </w:p>
    <w:p w14:paraId="142EDDBB"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Для обеспечения развертывания по </w:t>
      </w:r>
      <w:proofErr w:type="spellStart"/>
      <w:r w:rsidRPr="007122AB">
        <w:rPr>
          <w:rFonts w:ascii="Times New Roman" w:eastAsia="Times New Roman" w:hAnsi="Times New Roman"/>
          <w:color w:val="000000" w:themeColor="text1"/>
          <w:sz w:val="16"/>
          <w:szCs w:val="16"/>
          <w:lang w:eastAsia="ru-RU"/>
        </w:rPr>
        <w:t>мобплану</w:t>
      </w:r>
      <w:proofErr w:type="spellEnd"/>
      <w:r w:rsidRPr="007122AB">
        <w:rPr>
          <w:rFonts w:ascii="Times New Roman" w:eastAsia="Times New Roman" w:hAnsi="Times New Roman"/>
          <w:color w:val="000000" w:themeColor="text1"/>
          <w:sz w:val="16"/>
          <w:szCs w:val="16"/>
          <w:lang w:eastAsia="ru-RU"/>
        </w:rPr>
        <w:t xml:space="preserve"> № 11:</w:t>
      </w:r>
    </w:p>
    <w:p w14:paraId="64FD0E65"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1 июня 1931 г. - 658 000 человек,</w:t>
      </w:r>
    </w:p>
    <w:p w14:paraId="5B1E331F"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1 октября 1931 г. - 709 000 человек,</w:t>
      </w:r>
    </w:p>
    <w:p w14:paraId="309C24D3"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2 января 1932 г. - 755 000 человек.</w:t>
      </w:r>
    </w:p>
    <w:p w14:paraId="713D7017"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Для обеспечения развертывания по </w:t>
      </w:r>
      <w:proofErr w:type="spellStart"/>
      <w:r w:rsidRPr="007122AB">
        <w:rPr>
          <w:rFonts w:ascii="Times New Roman" w:eastAsia="Times New Roman" w:hAnsi="Times New Roman"/>
          <w:color w:val="000000" w:themeColor="text1"/>
          <w:sz w:val="16"/>
          <w:szCs w:val="16"/>
          <w:lang w:eastAsia="ru-RU"/>
        </w:rPr>
        <w:t>мобплану</w:t>
      </w:r>
      <w:proofErr w:type="spellEnd"/>
      <w:r w:rsidRPr="007122AB">
        <w:rPr>
          <w:rFonts w:ascii="Times New Roman" w:eastAsia="Times New Roman" w:hAnsi="Times New Roman"/>
          <w:color w:val="000000" w:themeColor="text1"/>
          <w:sz w:val="16"/>
          <w:szCs w:val="16"/>
          <w:lang w:eastAsia="ru-RU"/>
        </w:rPr>
        <w:t xml:space="preserve"> № 12:</w:t>
      </w:r>
    </w:p>
    <w:p w14:paraId="5D022075"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1 июня 1932 г. - 765 000,</w:t>
      </w:r>
    </w:p>
    <w:p w14:paraId="35A41D51"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на 1 </w:t>
      </w:r>
      <w:proofErr w:type="spellStart"/>
      <w:r w:rsidRPr="007122AB">
        <w:rPr>
          <w:rFonts w:ascii="Times New Roman" w:eastAsia="Times New Roman" w:hAnsi="Times New Roman"/>
          <w:color w:val="000000" w:themeColor="text1"/>
          <w:sz w:val="16"/>
          <w:szCs w:val="16"/>
          <w:lang w:eastAsia="ru-RU"/>
        </w:rPr>
        <w:t>окгября</w:t>
      </w:r>
      <w:proofErr w:type="spellEnd"/>
      <w:r w:rsidRPr="007122AB">
        <w:rPr>
          <w:rFonts w:ascii="Times New Roman" w:eastAsia="Times New Roman" w:hAnsi="Times New Roman"/>
          <w:color w:val="000000" w:themeColor="text1"/>
          <w:sz w:val="16"/>
          <w:szCs w:val="16"/>
          <w:lang w:eastAsia="ru-RU"/>
        </w:rPr>
        <w:t xml:space="preserve"> 1932 г. - 811 500 человек._</w:t>
      </w:r>
    </w:p>
    <w:p w14:paraId="74058D15" w14:textId="77777777" w:rsidR="00C55C7E" w:rsidRPr="007122AB" w:rsidRDefault="00C55C7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Намеченный темп означал формирование каждую неделю примерно по одному новому полку. Численность на конец 1932 г. вышла за пределы, установленные в середине июня Реввоенсоветом СССР, - 800 тыс. человек (22725).</w:t>
      </w:r>
    </w:p>
    <w:p w14:paraId="1402449C" w14:textId="77777777" w:rsidR="00C55C7E" w:rsidRPr="007122AB" w:rsidRDefault="00C55C7E" w:rsidP="007122AB">
      <w:pPr>
        <w:spacing w:after="0" w:line="240" w:lineRule="auto"/>
        <w:jc w:val="both"/>
        <w:rPr>
          <w:rFonts w:ascii="Times New Roman" w:hAnsi="Times New Roman"/>
          <w:color w:val="000000" w:themeColor="text1"/>
          <w:sz w:val="16"/>
          <w:szCs w:val="16"/>
        </w:rPr>
      </w:pPr>
    </w:p>
    <w:p w14:paraId="6928596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BFB45F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B73A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июня 1931 в США изобретатель Игорь Сикорский получил патент на изобретение первого вертолета (4962).</w:t>
      </w:r>
    </w:p>
    <w:p w14:paraId="6D413F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108A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8F6F37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E73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июня 1931 Коллегия ОГПУ постановила: приговор в отношении Н.Н.П. считать условным (228,83).</w:t>
      </w:r>
    </w:p>
    <w:p w14:paraId="344E3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762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июня 1931 Коллегия ГПУ постановила приговор в </w:t>
      </w:r>
      <w:proofErr w:type="spellStart"/>
      <w:r w:rsidRPr="007122AB">
        <w:rPr>
          <w:rFonts w:ascii="Times New Roman" w:hAnsi="Times New Roman"/>
          <w:color w:val="000000" w:themeColor="text1"/>
          <w:sz w:val="16"/>
          <w:szCs w:val="16"/>
        </w:rPr>
        <w:t>отно-шениии</w:t>
      </w:r>
      <w:proofErr w:type="spellEnd"/>
      <w:r w:rsidRPr="007122AB">
        <w:rPr>
          <w:rFonts w:ascii="Times New Roman" w:hAnsi="Times New Roman"/>
          <w:color w:val="000000" w:themeColor="text1"/>
          <w:sz w:val="16"/>
          <w:szCs w:val="16"/>
        </w:rPr>
        <w:t xml:space="preserve"> Поликарпова считать условным (6593).</w:t>
      </w:r>
    </w:p>
    <w:p w14:paraId="28125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F9B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июня 1931 г. Коллегия ОГПУ постановила: приго</w:t>
      </w:r>
      <w:r w:rsidRPr="007122AB">
        <w:rPr>
          <w:rFonts w:ascii="Times New Roman" w:hAnsi="Times New Roman"/>
          <w:color w:val="000000" w:themeColor="text1"/>
          <w:sz w:val="16"/>
          <w:szCs w:val="16"/>
        </w:rPr>
        <w:softHyphen/>
        <w:t xml:space="preserve">вор в отношении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xml:space="preserve"> считать условным. 7 июля 1931 г. Президиум ЦИК СССР принял решение об амнистии группы лиц, в том числе Поликарпова, продублированное 8 июля соответствующим постанов</w:t>
      </w:r>
      <w:r w:rsidRPr="007122AB">
        <w:rPr>
          <w:rFonts w:ascii="Times New Roman" w:hAnsi="Times New Roman"/>
          <w:color w:val="000000" w:themeColor="text1"/>
          <w:sz w:val="16"/>
          <w:szCs w:val="16"/>
        </w:rPr>
        <w:softHyphen/>
        <w:t>лением Коллегии ОГПУ (10667).</w:t>
      </w:r>
    </w:p>
    <w:p w14:paraId="20186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FA152F"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июня 1931 г. Коллегия ОГПУ постановила: приговор в отно</w:t>
      </w:r>
      <w:r w:rsidRPr="00441F34">
        <w:rPr>
          <w:rFonts w:ascii="Times New Roman" w:hAnsi="Times New Roman"/>
          <w:color w:val="0070C0"/>
          <w:sz w:val="16"/>
          <w:szCs w:val="16"/>
        </w:rPr>
        <w:softHyphen/>
        <w:t>шении Н.Н. Поликарпова считать условным. 7 июля 1931 г. Прези</w:t>
      </w:r>
      <w:r w:rsidRPr="00441F34">
        <w:rPr>
          <w:rFonts w:ascii="Times New Roman" w:hAnsi="Times New Roman"/>
          <w:color w:val="0070C0"/>
          <w:sz w:val="16"/>
          <w:szCs w:val="16"/>
        </w:rPr>
        <w:softHyphen/>
        <w:t>диум ЦИК СССР принял решение об амнистии группы лиц, в том числе Н.Н. Поликарпова, продубли</w:t>
      </w:r>
      <w:r w:rsidRPr="00441F34">
        <w:rPr>
          <w:rFonts w:ascii="Times New Roman" w:hAnsi="Times New Roman"/>
          <w:color w:val="0070C0"/>
          <w:sz w:val="16"/>
          <w:szCs w:val="16"/>
        </w:rPr>
        <w:softHyphen/>
        <w:t>рованное 8 июля соответствующим постановлением Коллегии ОГПУ.</w:t>
      </w:r>
    </w:p>
    <w:p w14:paraId="6C0B9798"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Николай Николаевич, как только узнал об амнистии, сразу позвонил по телефону в квартиру и сказал, что едет домой. Вскоре его привез на своей машине заводской летчик-испы</w:t>
      </w:r>
      <w:r w:rsidRPr="00441F34">
        <w:rPr>
          <w:rFonts w:ascii="Times New Roman" w:hAnsi="Times New Roman"/>
          <w:color w:val="0070C0"/>
          <w:sz w:val="16"/>
          <w:szCs w:val="16"/>
        </w:rPr>
        <w:softHyphen/>
        <w:t>татель Б.Л. Бухгольц.</w:t>
      </w:r>
    </w:p>
    <w:p w14:paraId="13C39529"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до конца дней своих дней Н.Н. Поликарпов не был реабилитиро</w:t>
      </w:r>
      <w:r w:rsidRPr="00441F34">
        <w:rPr>
          <w:rFonts w:ascii="Times New Roman" w:hAnsi="Times New Roman"/>
          <w:color w:val="0070C0"/>
          <w:sz w:val="16"/>
          <w:szCs w:val="16"/>
        </w:rPr>
        <w:softHyphen/>
        <w:t>ван, оставаясь «прощённым преступни</w:t>
      </w:r>
      <w:r w:rsidRPr="00441F34">
        <w:rPr>
          <w:rFonts w:ascii="Times New Roman" w:hAnsi="Times New Roman"/>
          <w:color w:val="0070C0"/>
          <w:sz w:val="16"/>
          <w:szCs w:val="16"/>
        </w:rPr>
        <w:softHyphen/>
        <w:t>ком». И только после смерти конструк</w:t>
      </w:r>
      <w:r w:rsidRPr="00441F34">
        <w:rPr>
          <w:rFonts w:ascii="Times New Roman" w:hAnsi="Times New Roman"/>
          <w:color w:val="0070C0"/>
          <w:sz w:val="16"/>
          <w:szCs w:val="16"/>
        </w:rPr>
        <w:softHyphen/>
        <w:t>тора, после получения характеристик и рекомендаций от С.В. Ильюшина и А.Н. Туполева, 1 сентября 1956 г. Во</w:t>
      </w:r>
      <w:r w:rsidRPr="00441F34">
        <w:rPr>
          <w:rFonts w:ascii="Times New Roman" w:hAnsi="Times New Roman"/>
          <w:color w:val="0070C0"/>
          <w:sz w:val="16"/>
          <w:szCs w:val="16"/>
        </w:rPr>
        <w:softHyphen/>
        <w:t>енная коллегия Верховного Суда СССР отменила решение Коллегии ОГПУ от 18 марта 1931 г. и прекратила дело в отношении Н.Н. Поликарпова «за отсут</w:t>
      </w:r>
      <w:r w:rsidRPr="00441F34">
        <w:rPr>
          <w:rFonts w:ascii="Times New Roman" w:hAnsi="Times New Roman"/>
          <w:color w:val="0070C0"/>
          <w:sz w:val="16"/>
          <w:szCs w:val="16"/>
        </w:rPr>
        <w:softHyphen/>
        <w:t>ствием состава преступления» (23406).</w:t>
      </w:r>
    </w:p>
    <w:p w14:paraId="513E11F2" w14:textId="77777777" w:rsidR="00862F5B" w:rsidRPr="00441F34" w:rsidRDefault="00862F5B" w:rsidP="00862F5B">
      <w:pPr>
        <w:spacing w:after="0" w:line="240" w:lineRule="auto"/>
        <w:jc w:val="both"/>
        <w:rPr>
          <w:rFonts w:ascii="Times New Roman" w:hAnsi="Times New Roman"/>
          <w:color w:val="0070C0"/>
          <w:sz w:val="16"/>
          <w:szCs w:val="16"/>
        </w:rPr>
      </w:pPr>
    </w:p>
    <w:p w14:paraId="026BA474" w14:textId="77777777" w:rsidR="00862F5B" w:rsidRPr="007122AB" w:rsidRDefault="00862F5B" w:rsidP="00862F5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6909D07" w14:textId="77777777" w:rsidR="00862F5B" w:rsidRPr="007122AB" w:rsidRDefault="00862F5B" w:rsidP="00862F5B">
      <w:pPr>
        <w:autoSpaceDE w:val="0"/>
        <w:autoSpaceDN w:val="0"/>
        <w:adjustRightInd w:val="0"/>
        <w:spacing w:after="0" w:line="240" w:lineRule="auto"/>
        <w:jc w:val="both"/>
        <w:rPr>
          <w:rFonts w:ascii="Times New Roman" w:hAnsi="Times New Roman"/>
          <w:iCs/>
          <w:color w:val="000000" w:themeColor="text1"/>
          <w:sz w:val="16"/>
          <w:szCs w:val="16"/>
        </w:rPr>
      </w:pPr>
    </w:p>
    <w:p w14:paraId="24E4F9CD" w14:textId="77777777" w:rsidR="00862F5B" w:rsidRPr="007122AB" w:rsidRDefault="00862F5B" w:rsidP="00862F5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28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130сс об отпуске Харьковскому паровозостроительному заводу «</w:t>
      </w:r>
      <w:proofErr w:type="spellStart"/>
      <w:r w:rsidRPr="007122AB">
        <w:rPr>
          <w:rFonts w:ascii="Times New Roman" w:hAnsi="Times New Roman"/>
          <w:color w:val="000000" w:themeColor="text1"/>
          <w:sz w:val="16"/>
          <w:szCs w:val="16"/>
          <w:u w:color="002060"/>
        </w:rPr>
        <w:t>Парвагдиз</w:t>
      </w:r>
      <w:proofErr w:type="spellEnd"/>
      <w:r w:rsidRPr="007122AB">
        <w:rPr>
          <w:rFonts w:ascii="Times New Roman" w:hAnsi="Times New Roman"/>
          <w:color w:val="000000" w:themeColor="text1"/>
          <w:sz w:val="16"/>
          <w:szCs w:val="16"/>
          <w:u w:color="002060"/>
        </w:rPr>
        <w:t>» 1 тыс. руб. (ГА РФ. Ф. Р?8418. Оп. 28. Д. 1а. Л. ЗЗ) (12415).</w:t>
      </w:r>
    </w:p>
    <w:p w14:paraId="7F4FF95F" w14:textId="77777777" w:rsidR="00862F5B" w:rsidRPr="007122AB" w:rsidRDefault="00862F5B" w:rsidP="00862F5B">
      <w:pPr>
        <w:spacing w:after="0" w:line="240" w:lineRule="auto"/>
        <w:jc w:val="both"/>
        <w:rPr>
          <w:rFonts w:ascii="Times New Roman" w:hAnsi="Times New Roman"/>
          <w:color w:val="000000" w:themeColor="text1"/>
          <w:sz w:val="16"/>
          <w:szCs w:val="16"/>
          <w:u w:color="002060"/>
        </w:rPr>
      </w:pPr>
    </w:p>
    <w:p w14:paraId="635FA968" w14:textId="77777777" w:rsidR="00E37213" w:rsidRPr="007122AB" w:rsidRDefault="00E3721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7F2D871" w14:textId="77777777" w:rsidR="00E37213" w:rsidRPr="007122AB" w:rsidRDefault="00E3721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6642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июня 1931 ЦИК назначил </w:t>
      </w:r>
      <w:proofErr w:type="spellStart"/>
      <w:r w:rsidRPr="007122AB">
        <w:rPr>
          <w:rFonts w:ascii="Times New Roman" w:hAnsi="Times New Roman"/>
          <w:color w:val="000000" w:themeColor="text1"/>
          <w:sz w:val="16"/>
          <w:szCs w:val="16"/>
        </w:rPr>
        <w:t>Я.И.Алксниса</w:t>
      </w:r>
      <w:proofErr w:type="spellEnd"/>
      <w:r w:rsidRPr="007122AB">
        <w:rPr>
          <w:rFonts w:ascii="Times New Roman" w:hAnsi="Times New Roman"/>
          <w:color w:val="000000" w:themeColor="text1"/>
          <w:sz w:val="16"/>
          <w:szCs w:val="16"/>
        </w:rPr>
        <w:t xml:space="preserve"> начальником ВВС (506,110) и членом РВС (591,110).</w:t>
      </w:r>
    </w:p>
    <w:p w14:paraId="701EF9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48950B" w14:textId="77777777" w:rsidR="00E37213" w:rsidRPr="007122AB" w:rsidRDefault="00E372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июня 1931 г. в ВВС РККА приказом РВС СССР за № 531 на должность Начальника ВВС РККА вместо П.И. Баранова, ставшего Начальником ВАО, был назначен его Заместитель Я.И. Алкснис (19566).</w:t>
      </w:r>
    </w:p>
    <w:p w14:paraId="4E8AC566" w14:textId="77777777" w:rsidR="00E37213" w:rsidRPr="007122AB" w:rsidRDefault="00E37213" w:rsidP="007122AB">
      <w:pPr>
        <w:spacing w:after="0" w:line="240" w:lineRule="auto"/>
        <w:jc w:val="both"/>
        <w:rPr>
          <w:rFonts w:ascii="Times New Roman" w:hAnsi="Times New Roman"/>
          <w:color w:val="000000" w:themeColor="text1"/>
          <w:sz w:val="16"/>
          <w:szCs w:val="16"/>
        </w:rPr>
      </w:pPr>
    </w:p>
    <w:p w14:paraId="7FA05D29" w14:textId="77777777" w:rsidR="00AC1E50" w:rsidRDefault="00AC1E50" w:rsidP="00AC1E50">
      <w:pPr>
        <w:spacing w:after="0" w:line="240" w:lineRule="auto"/>
        <w:jc w:val="both"/>
        <w:rPr>
          <w:rFonts w:ascii="Times New Roman" w:hAnsi="Times New Roman"/>
          <w:color w:val="0070C0"/>
          <w:sz w:val="16"/>
          <w:szCs w:val="16"/>
        </w:rPr>
      </w:pPr>
      <w:r>
        <w:rPr>
          <w:rFonts w:ascii="Times New Roman" w:hAnsi="Times New Roman"/>
          <w:color w:val="0070C0"/>
          <w:sz w:val="16"/>
          <w:szCs w:val="16"/>
        </w:rPr>
        <w:t>28 и</w:t>
      </w:r>
      <w:r w:rsidRPr="009F5089">
        <w:rPr>
          <w:rFonts w:ascii="Times New Roman" w:hAnsi="Times New Roman"/>
          <w:color w:val="0070C0"/>
          <w:sz w:val="16"/>
          <w:szCs w:val="16"/>
        </w:rPr>
        <w:t>юня</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w:t>
      </w:r>
      <w:r>
        <w:rPr>
          <w:rFonts w:ascii="Times New Roman" w:hAnsi="Times New Roman"/>
          <w:color w:val="0070C0"/>
          <w:sz w:val="16"/>
          <w:szCs w:val="16"/>
        </w:rPr>
        <w:t>п</w:t>
      </w:r>
      <w:r w:rsidRPr="009F5089">
        <w:rPr>
          <w:rFonts w:ascii="Times New Roman" w:hAnsi="Times New Roman"/>
          <w:color w:val="0070C0"/>
          <w:sz w:val="16"/>
          <w:szCs w:val="16"/>
        </w:rPr>
        <w:t>риказом РВС СССР № 521 начальник ВВС Петр Ионович освобожден от занимаемой дол</w:t>
      </w:r>
      <w:r>
        <w:rPr>
          <w:rFonts w:ascii="Times New Roman" w:hAnsi="Times New Roman"/>
          <w:color w:val="0070C0"/>
          <w:sz w:val="16"/>
          <w:szCs w:val="16"/>
        </w:rPr>
        <w:t>ж</w:t>
      </w:r>
      <w:r w:rsidRPr="009F5089">
        <w:rPr>
          <w:rFonts w:ascii="Times New Roman" w:hAnsi="Times New Roman"/>
          <w:color w:val="0070C0"/>
          <w:sz w:val="16"/>
          <w:szCs w:val="16"/>
        </w:rPr>
        <w:t>ности</w:t>
      </w:r>
      <w:r>
        <w:rPr>
          <w:rFonts w:ascii="Times New Roman" w:hAnsi="Times New Roman"/>
          <w:color w:val="0070C0"/>
          <w:sz w:val="16"/>
          <w:szCs w:val="16"/>
        </w:rPr>
        <w:t xml:space="preserve"> </w:t>
      </w:r>
      <w:r w:rsidRPr="009F5089">
        <w:rPr>
          <w:rFonts w:ascii="Times New Roman" w:hAnsi="Times New Roman"/>
          <w:color w:val="0070C0"/>
          <w:sz w:val="16"/>
          <w:szCs w:val="16"/>
        </w:rPr>
        <w:t>в связи с назначением</w:t>
      </w:r>
      <w:r>
        <w:rPr>
          <w:rFonts w:ascii="Times New Roman" w:hAnsi="Times New Roman"/>
          <w:color w:val="0070C0"/>
          <w:sz w:val="16"/>
          <w:szCs w:val="16"/>
        </w:rPr>
        <w:t xml:space="preserve"> Н</w:t>
      </w:r>
      <w:r w:rsidRPr="009F5089">
        <w:rPr>
          <w:rFonts w:ascii="Times New Roman" w:hAnsi="Times New Roman"/>
          <w:color w:val="0070C0"/>
          <w:sz w:val="16"/>
          <w:szCs w:val="16"/>
        </w:rPr>
        <w:t>а</w:t>
      </w:r>
      <w:r>
        <w:rPr>
          <w:rFonts w:ascii="Times New Roman" w:hAnsi="Times New Roman"/>
          <w:color w:val="0070C0"/>
          <w:sz w:val="16"/>
          <w:szCs w:val="16"/>
        </w:rPr>
        <w:t>ча</w:t>
      </w:r>
      <w:r w:rsidRPr="009F5089">
        <w:rPr>
          <w:rFonts w:ascii="Times New Roman" w:hAnsi="Times New Roman"/>
          <w:color w:val="0070C0"/>
          <w:sz w:val="16"/>
          <w:szCs w:val="16"/>
        </w:rPr>
        <w:t>льником Всесоюзного объединения а</w:t>
      </w:r>
      <w:r>
        <w:rPr>
          <w:rFonts w:ascii="Times New Roman" w:hAnsi="Times New Roman"/>
          <w:color w:val="0070C0"/>
          <w:sz w:val="16"/>
          <w:szCs w:val="16"/>
        </w:rPr>
        <w:t>виап</w:t>
      </w:r>
      <w:r w:rsidRPr="009F5089">
        <w:rPr>
          <w:rFonts w:ascii="Times New Roman" w:hAnsi="Times New Roman"/>
          <w:color w:val="0070C0"/>
          <w:sz w:val="16"/>
          <w:szCs w:val="16"/>
        </w:rPr>
        <w:t>ромы</w:t>
      </w:r>
      <w:r>
        <w:rPr>
          <w:rFonts w:ascii="Times New Roman" w:hAnsi="Times New Roman"/>
          <w:color w:val="0070C0"/>
          <w:sz w:val="16"/>
          <w:szCs w:val="16"/>
        </w:rPr>
        <w:t>шленности</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Вме</w:t>
      </w:r>
      <w:r>
        <w:rPr>
          <w:rFonts w:ascii="Times New Roman" w:hAnsi="Times New Roman"/>
          <w:color w:val="0070C0"/>
          <w:sz w:val="16"/>
          <w:szCs w:val="16"/>
        </w:rPr>
        <w:t>сто не</w:t>
      </w:r>
      <w:r w:rsidRPr="009F5089">
        <w:rPr>
          <w:rFonts w:ascii="Times New Roman" w:hAnsi="Times New Roman"/>
          <w:color w:val="0070C0"/>
          <w:sz w:val="16"/>
          <w:szCs w:val="16"/>
        </w:rPr>
        <w:t xml:space="preserve">го начальником ВВС назначен </w:t>
      </w:r>
      <w:proofErr w:type="spellStart"/>
      <w:r w:rsidRPr="009F5089">
        <w:rPr>
          <w:rFonts w:ascii="Times New Roman" w:hAnsi="Times New Roman"/>
          <w:color w:val="0070C0"/>
          <w:sz w:val="16"/>
          <w:szCs w:val="16"/>
        </w:rPr>
        <w:t>его_замест</w:t>
      </w:r>
      <w:r>
        <w:rPr>
          <w:rFonts w:ascii="Times New Roman" w:hAnsi="Times New Roman"/>
          <w:color w:val="0070C0"/>
          <w:sz w:val="16"/>
          <w:szCs w:val="16"/>
        </w:rPr>
        <w:t>и</w:t>
      </w:r>
      <w:r w:rsidRPr="009F5089">
        <w:rPr>
          <w:rFonts w:ascii="Times New Roman" w:hAnsi="Times New Roman"/>
          <w:color w:val="0070C0"/>
          <w:sz w:val="16"/>
          <w:szCs w:val="16"/>
        </w:rPr>
        <w:t>тель</w:t>
      </w:r>
      <w:proofErr w:type="spellEnd"/>
      <w:r w:rsidRPr="009F5089">
        <w:rPr>
          <w:rFonts w:ascii="Times New Roman" w:hAnsi="Times New Roman"/>
          <w:color w:val="0070C0"/>
          <w:sz w:val="16"/>
          <w:szCs w:val="16"/>
        </w:rPr>
        <w:t xml:space="preserve"> по политической р</w:t>
      </w:r>
      <w:r>
        <w:rPr>
          <w:rFonts w:ascii="Times New Roman" w:hAnsi="Times New Roman"/>
          <w:color w:val="0070C0"/>
          <w:sz w:val="16"/>
          <w:szCs w:val="16"/>
        </w:rPr>
        <w:t>аботе</w:t>
      </w:r>
      <w:r w:rsidRPr="009F5089">
        <w:rPr>
          <w:rFonts w:ascii="Times New Roman" w:hAnsi="Times New Roman"/>
          <w:color w:val="0070C0"/>
          <w:sz w:val="16"/>
          <w:szCs w:val="16"/>
        </w:rPr>
        <w:t xml:space="preserve"> </w:t>
      </w:r>
      <w:r>
        <w:rPr>
          <w:rFonts w:ascii="Times New Roman" w:hAnsi="Times New Roman"/>
          <w:color w:val="0070C0"/>
          <w:sz w:val="16"/>
          <w:szCs w:val="16"/>
        </w:rPr>
        <w:t xml:space="preserve">Яков </w:t>
      </w:r>
      <w:r w:rsidRPr="009F5089">
        <w:rPr>
          <w:rFonts w:ascii="Times New Roman" w:hAnsi="Times New Roman"/>
          <w:color w:val="0070C0"/>
          <w:sz w:val="16"/>
          <w:szCs w:val="16"/>
        </w:rPr>
        <w:t>Иванов</w:t>
      </w:r>
      <w:r>
        <w:rPr>
          <w:rFonts w:ascii="Times New Roman" w:hAnsi="Times New Roman"/>
          <w:color w:val="0070C0"/>
          <w:sz w:val="16"/>
          <w:szCs w:val="16"/>
        </w:rPr>
        <w:t>ич</w:t>
      </w:r>
      <w:r w:rsidRPr="009F5089">
        <w:rPr>
          <w:rFonts w:ascii="Times New Roman" w:hAnsi="Times New Roman"/>
          <w:color w:val="0070C0"/>
          <w:sz w:val="16"/>
          <w:szCs w:val="16"/>
        </w:rPr>
        <w:t xml:space="preserve"> Ал</w:t>
      </w:r>
      <w:r>
        <w:rPr>
          <w:rFonts w:ascii="Times New Roman" w:hAnsi="Times New Roman"/>
          <w:color w:val="0070C0"/>
          <w:sz w:val="16"/>
          <w:szCs w:val="16"/>
        </w:rPr>
        <w:t>кснис</w:t>
      </w:r>
      <w:r w:rsidRPr="009F5089">
        <w:rPr>
          <w:rFonts w:ascii="Times New Roman" w:hAnsi="Times New Roman"/>
          <w:color w:val="0070C0"/>
          <w:sz w:val="16"/>
          <w:szCs w:val="16"/>
        </w:rPr>
        <w:t>.</w:t>
      </w:r>
    </w:p>
    <w:p w14:paraId="4622EE2C" w14:textId="77777777" w:rsidR="00AC1E50" w:rsidRDefault="00AC1E50" w:rsidP="00AC1E5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ВВФ, 1</w:t>
      </w:r>
      <w:r w:rsidRPr="009F5089">
        <w:rPr>
          <w:rFonts w:ascii="Times New Roman" w:hAnsi="Times New Roman"/>
          <w:color w:val="0070C0"/>
          <w:sz w:val="16"/>
          <w:szCs w:val="16"/>
        </w:rPr>
        <w:t>931</w:t>
      </w:r>
      <w:r>
        <w:rPr>
          <w:rFonts w:ascii="Times New Roman" w:hAnsi="Times New Roman"/>
          <w:color w:val="0070C0"/>
          <w:sz w:val="16"/>
          <w:szCs w:val="16"/>
        </w:rPr>
        <w:t xml:space="preserve">, № </w:t>
      </w:r>
      <w:r w:rsidRPr="009F5089">
        <w:rPr>
          <w:rFonts w:ascii="Times New Roman" w:hAnsi="Times New Roman"/>
          <w:color w:val="0070C0"/>
          <w:sz w:val="16"/>
          <w:szCs w:val="16"/>
        </w:rPr>
        <w:t>7/</w:t>
      </w:r>
      <w:r>
        <w:rPr>
          <w:rFonts w:ascii="Times New Roman" w:hAnsi="Times New Roman"/>
          <w:color w:val="0070C0"/>
          <w:sz w:val="16"/>
          <w:szCs w:val="16"/>
        </w:rPr>
        <w:t xml:space="preserve"> (23370).</w:t>
      </w:r>
    </w:p>
    <w:p w14:paraId="4517E6A0" w14:textId="77777777" w:rsidR="00AC1E50" w:rsidRDefault="00AC1E50" w:rsidP="00AC1E50">
      <w:pPr>
        <w:spacing w:after="0" w:line="240" w:lineRule="auto"/>
        <w:jc w:val="both"/>
        <w:rPr>
          <w:rFonts w:ascii="Times New Roman" w:hAnsi="Times New Roman"/>
          <w:color w:val="0070C0"/>
          <w:sz w:val="16"/>
          <w:szCs w:val="16"/>
        </w:rPr>
      </w:pPr>
    </w:p>
    <w:p w14:paraId="49F3898A" w14:textId="77777777" w:rsidR="004655BD" w:rsidRPr="007122AB" w:rsidRDefault="004655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июня 1931 года Н.А. Ефимов отчитался об итогах командировки в Германию на заседании РВС, на котором было принято решение издать секретное учебное пособие «Методы мобилизации промышленности в Германии» (РГВА. Ф. 4. Оп. 14. Д. 393. Л. 206.) (21412).</w:t>
      </w:r>
    </w:p>
    <w:p w14:paraId="1EF0584A" w14:textId="77777777" w:rsidR="004655BD" w:rsidRPr="007122AB" w:rsidRDefault="004655BD" w:rsidP="007122AB">
      <w:pPr>
        <w:spacing w:after="0" w:line="240" w:lineRule="auto"/>
        <w:jc w:val="both"/>
        <w:rPr>
          <w:rFonts w:ascii="Times New Roman" w:hAnsi="Times New Roman"/>
          <w:color w:val="000000" w:themeColor="text1"/>
          <w:sz w:val="16"/>
          <w:szCs w:val="16"/>
        </w:rPr>
      </w:pPr>
    </w:p>
    <w:p w14:paraId="54E7C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июня 1931 года Н.А. Ефимов отчитался на заседании РВС об итогах командировки в Германию. 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w:t>
      </w:r>
      <w:proofErr w:type="spellStart"/>
      <w:r w:rsidRPr="007122AB">
        <w:rPr>
          <w:rFonts w:ascii="Times New Roman" w:hAnsi="Times New Roman"/>
          <w:color w:val="000000" w:themeColor="text1"/>
          <w:sz w:val="16"/>
          <w:szCs w:val="16"/>
        </w:rPr>
        <w:t>Н.А.Ефимов</w:t>
      </w:r>
      <w:proofErr w:type="spellEnd"/>
      <w:r w:rsidRPr="007122AB">
        <w:rPr>
          <w:rFonts w:ascii="Times New Roman" w:hAnsi="Times New Roman"/>
          <w:color w:val="000000" w:themeColor="text1"/>
          <w:sz w:val="16"/>
          <w:szCs w:val="16"/>
        </w:rPr>
        <w:t xml:space="preserve"> — заместитель начальника вооружений РККА (старший группы), А.И. Егоров — командующий войсками Белорусского военного округа, В.К. </w:t>
      </w:r>
      <w:proofErr w:type="spellStart"/>
      <w:r w:rsidRPr="007122AB">
        <w:rPr>
          <w:rFonts w:ascii="Times New Roman" w:hAnsi="Times New Roman"/>
          <w:color w:val="000000" w:themeColor="text1"/>
          <w:sz w:val="16"/>
          <w:szCs w:val="16"/>
        </w:rPr>
        <w:t>Триандафиллов</w:t>
      </w:r>
      <w:proofErr w:type="spellEnd"/>
      <w:r w:rsidRPr="007122AB">
        <w:rPr>
          <w:rFonts w:ascii="Times New Roman" w:hAnsi="Times New Roman"/>
          <w:color w:val="000000" w:themeColor="text1"/>
          <w:sz w:val="16"/>
          <w:szCs w:val="16"/>
        </w:rPr>
        <w:t xml:space="preserve"> — заместитель начальника Штаба РККА, Э.Ф. </w:t>
      </w:r>
      <w:proofErr w:type="spellStart"/>
      <w:r w:rsidRPr="007122AB">
        <w:rPr>
          <w:rFonts w:ascii="Times New Roman" w:hAnsi="Times New Roman"/>
          <w:color w:val="000000" w:themeColor="text1"/>
          <w:sz w:val="16"/>
          <w:szCs w:val="16"/>
        </w:rPr>
        <w:t>Аппога</w:t>
      </w:r>
      <w:proofErr w:type="spellEnd"/>
      <w:r w:rsidRPr="007122AB">
        <w:rPr>
          <w:rFonts w:ascii="Times New Roman" w:hAnsi="Times New Roman"/>
          <w:color w:val="000000" w:themeColor="text1"/>
          <w:sz w:val="16"/>
          <w:szCs w:val="16"/>
        </w:rPr>
        <w:t xml:space="preserve"> — начальник 3-го управления Штаба РККА и В.К. </w:t>
      </w:r>
      <w:proofErr w:type="spellStart"/>
      <w:r w:rsidRPr="007122AB">
        <w:rPr>
          <w:rFonts w:ascii="Times New Roman" w:hAnsi="Times New Roman"/>
          <w:color w:val="000000" w:themeColor="text1"/>
          <w:sz w:val="16"/>
          <w:szCs w:val="16"/>
        </w:rPr>
        <w:t>Путна</w:t>
      </w:r>
      <w:proofErr w:type="spellEnd"/>
      <w:r w:rsidRPr="007122AB">
        <w:rPr>
          <w:rFonts w:ascii="Times New Roman" w:hAnsi="Times New Roman"/>
          <w:color w:val="000000" w:themeColor="text1"/>
          <w:sz w:val="16"/>
          <w:szCs w:val="16"/>
        </w:rPr>
        <w:t xml:space="preserve">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Было принято решение издать секретное учебное пособие «Методы мобилизации промышленности в Германии» (Там же. Д. 393. Л. 206.) (11173).</w:t>
      </w:r>
    </w:p>
    <w:p w14:paraId="5B7A35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5D7AD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F3E45F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0F4064"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28 июня</w:t>
      </w:r>
      <w:r w:rsidRPr="007122AB">
        <w:rPr>
          <w:rFonts w:ascii="Times New Roman" w:hAnsi="Times New Roman"/>
          <w:color w:val="000000" w:themeColor="text1"/>
          <w:sz w:val="16"/>
          <w:szCs w:val="16"/>
        </w:rPr>
        <w:t xml:space="preserve"> в 1931 году начался первый в мире беспосадочный полёт через Тихий океан. Кругосветный перелёт был совершен американскими лётчиками Клайдом </w:t>
      </w:r>
      <w:proofErr w:type="spellStart"/>
      <w:r w:rsidRPr="007122AB">
        <w:rPr>
          <w:rFonts w:ascii="Times New Roman" w:hAnsi="Times New Roman"/>
          <w:color w:val="000000" w:themeColor="text1"/>
          <w:sz w:val="16"/>
          <w:szCs w:val="16"/>
        </w:rPr>
        <w:t>Пангборном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Херндоном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Hugh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Herndon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Jr</w:t>
      </w:r>
      <w:proofErr w:type="spellEnd"/>
      <w:r w:rsidRPr="007122AB">
        <w:rPr>
          <w:rFonts w:ascii="Times New Roman" w:hAnsi="Times New Roman"/>
          <w:color w:val="000000" w:themeColor="text1"/>
          <w:sz w:val="16"/>
          <w:szCs w:val="16"/>
        </w:rPr>
        <w:t>.) из США в Японию на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Skyrocket</w:t>
      </w:r>
      <w:proofErr w:type="spellEnd"/>
      <w:r w:rsidRPr="007122AB">
        <w:rPr>
          <w:rFonts w:ascii="Times New Roman" w:hAnsi="Times New Roman"/>
          <w:color w:val="000000" w:themeColor="text1"/>
          <w:sz w:val="16"/>
          <w:szCs w:val="16"/>
        </w:rPr>
        <w:t xml:space="preserve">» «CH-400» носившем собственное имя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Перелёт они благополучно завершили 15 октября 1931 года (14936).</w:t>
      </w:r>
    </w:p>
    <w:p w14:paraId="3B261B90" w14:textId="77777777" w:rsidR="00452F24" w:rsidRPr="007122AB" w:rsidRDefault="00452F24" w:rsidP="007122AB">
      <w:pPr>
        <w:spacing w:after="0" w:line="240" w:lineRule="auto"/>
        <w:jc w:val="both"/>
        <w:rPr>
          <w:rFonts w:ascii="Times New Roman" w:hAnsi="Times New Roman"/>
          <w:color w:val="000000" w:themeColor="text1"/>
          <w:sz w:val="16"/>
          <w:szCs w:val="16"/>
        </w:rPr>
      </w:pPr>
    </w:p>
    <w:p w14:paraId="3C3F9315" w14:textId="77777777" w:rsidR="004655BD" w:rsidRPr="007122AB" w:rsidRDefault="004655BD"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28 июня 1931 французская летчица </w:t>
      </w:r>
      <w:proofErr w:type="spellStart"/>
      <w:r w:rsidRPr="007122AB">
        <w:rPr>
          <w:rFonts w:ascii="Times New Roman" w:hAnsi="Times New Roman"/>
          <w:color w:val="000000" w:themeColor="text1"/>
          <w:sz w:val="16"/>
          <w:szCs w:val="16"/>
          <w:shd w:val="clear" w:color="auto" w:fill="FFFFFF"/>
        </w:rPr>
        <w:t>Бастье</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Marie-Louise</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Maryse</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Basti</w:t>
      </w:r>
      <w:proofErr w:type="spellEnd"/>
      <w:r w:rsidRPr="007122AB">
        <w:rPr>
          <w:rFonts w:ascii="Times New Roman" w:hAnsi="Times New Roman"/>
          <w:color w:val="000000" w:themeColor="text1"/>
          <w:sz w:val="16"/>
          <w:szCs w:val="16"/>
          <w:shd w:val="clear" w:color="auto" w:fill="FFFFFF"/>
        </w:rPr>
        <w:t>;) на авиетке «Клемм» 25 (</w:t>
      </w:r>
      <w:proofErr w:type="spellStart"/>
      <w:r w:rsidRPr="007122AB">
        <w:rPr>
          <w:rFonts w:ascii="Times New Roman" w:hAnsi="Times New Roman"/>
          <w:color w:val="000000" w:themeColor="text1"/>
          <w:sz w:val="16"/>
          <w:szCs w:val="16"/>
          <w:shd w:val="clear" w:color="auto" w:fill="FFFFFF"/>
        </w:rPr>
        <w:t>Klemm</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Kl</w:t>
      </w:r>
      <w:proofErr w:type="spellEnd"/>
      <w:r w:rsidRPr="007122AB">
        <w:rPr>
          <w:rFonts w:ascii="Times New Roman" w:hAnsi="Times New Roman"/>
          <w:color w:val="000000" w:themeColor="text1"/>
          <w:sz w:val="16"/>
          <w:szCs w:val="16"/>
          <w:shd w:val="clear" w:color="auto" w:fill="FFFFFF"/>
        </w:rPr>
        <w:t xml:space="preserve"> 25) предприняла перелет из Парижа (Ле-Бурже) для установления рекорда дальности для легкомоторных самолетов. Преодолев за 30 часов 30 минут 2976 км, </w:t>
      </w:r>
      <w:proofErr w:type="spellStart"/>
      <w:r w:rsidRPr="007122AB">
        <w:rPr>
          <w:rFonts w:ascii="Times New Roman" w:hAnsi="Times New Roman"/>
          <w:color w:val="000000" w:themeColor="text1"/>
          <w:sz w:val="16"/>
          <w:szCs w:val="16"/>
          <w:shd w:val="clear" w:color="auto" w:fill="FFFFFF"/>
        </w:rPr>
        <w:t>Бастье</w:t>
      </w:r>
      <w:proofErr w:type="spellEnd"/>
      <w:r w:rsidRPr="007122AB">
        <w:rPr>
          <w:rFonts w:ascii="Times New Roman" w:hAnsi="Times New Roman"/>
          <w:color w:val="000000" w:themeColor="text1"/>
          <w:sz w:val="16"/>
          <w:szCs w:val="16"/>
          <w:shd w:val="clear" w:color="auto" w:fill="FFFFFF"/>
        </w:rPr>
        <w:t xml:space="preserve"> произвела посадку у села Юрино (Нижегородской области). Рекорд был установлен. Утром, переночевав в крестьянской избе, летчица вылетела в Нижний Новгород, после чего вернулась в Москву. 4 июля </w:t>
      </w:r>
      <w:proofErr w:type="spellStart"/>
      <w:r w:rsidRPr="007122AB">
        <w:rPr>
          <w:rFonts w:ascii="Times New Roman" w:hAnsi="Times New Roman"/>
          <w:color w:val="000000" w:themeColor="text1"/>
          <w:sz w:val="16"/>
          <w:szCs w:val="16"/>
          <w:shd w:val="clear" w:color="auto" w:fill="FFFFFF"/>
        </w:rPr>
        <w:t>Бастье</w:t>
      </w:r>
      <w:proofErr w:type="spellEnd"/>
      <w:r w:rsidRPr="007122AB">
        <w:rPr>
          <w:rFonts w:ascii="Times New Roman" w:hAnsi="Times New Roman"/>
          <w:color w:val="000000" w:themeColor="text1"/>
          <w:sz w:val="16"/>
          <w:szCs w:val="16"/>
          <w:shd w:val="clear" w:color="auto" w:fill="FFFFFF"/>
        </w:rPr>
        <w:t xml:space="preserve"> вылетела из Москвы обратно в Париж (21438).</w:t>
      </w:r>
    </w:p>
    <w:p w14:paraId="6DFA5DB3" w14:textId="77777777" w:rsidR="004655BD" w:rsidRPr="007122AB" w:rsidRDefault="004655BD" w:rsidP="007122AB">
      <w:pPr>
        <w:spacing w:after="0" w:line="240" w:lineRule="auto"/>
        <w:jc w:val="both"/>
        <w:rPr>
          <w:rFonts w:ascii="Times New Roman" w:hAnsi="Times New Roman"/>
          <w:color w:val="000000" w:themeColor="text1"/>
          <w:sz w:val="16"/>
          <w:szCs w:val="16"/>
          <w:shd w:val="clear" w:color="auto" w:fill="FFFFFF"/>
        </w:rPr>
      </w:pPr>
    </w:p>
    <w:p w14:paraId="79909E6E" w14:textId="42D3F496"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июня</w:t>
      </w:r>
      <w:r>
        <w:rPr>
          <w:rFonts w:ascii="Times New Roman" w:hAnsi="Times New Roman"/>
          <w:color w:val="0070C0"/>
          <w:sz w:val="16"/>
          <w:szCs w:val="16"/>
        </w:rPr>
        <w:t xml:space="preserve"> 1931 г.</w:t>
      </w:r>
      <w:r w:rsidRPr="00441F34">
        <w:rPr>
          <w:rFonts w:ascii="Times New Roman" w:hAnsi="Times New Roman"/>
          <w:color w:val="0070C0"/>
          <w:sz w:val="16"/>
          <w:szCs w:val="16"/>
        </w:rPr>
        <w:t xml:space="preserve"> с аэродрома </w:t>
      </w:r>
      <w:proofErr w:type="spellStart"/>
      <w:r w:rsidRPr="00441F34">
        <w:rPr>
          <w:rFonts w:ascii="Times New Roman" w:hAnsi="Times New Roman"/>
          <w:color w:val="0070C0"/>
          <w:sz w:val="16"/>
          <w:szCs w:val="16"/>
        </w:rPr>
        <w:t>Тальедо</w:t>
      </w:r>
      <w:proofErr w:type="spellEnd"/>
      <w:r w:rsidRPr="00441F34">
        <w:rPr>
          <w:rFonts w:ascii="Times New Roman" w:hAnsi="Times New Roman"/>
          <w:color w:val="0070C0"/>
          <w:sz w:val="16"/>
          <w:szCs w:val="16"/>
        </w:rPr>
        <w:t xml:space="preserve"> под Миланом состоялся первый полет на планёре</w:t>
      </w:r>
      <w:r>
        <w:rPr>
          <w:rFonts w:ascii="Times New Roman" w:hAnsi="Times New Roman"/>
          <w:color w:val="0070C0"/>
          <w:sz w:val="16"/>
          <w:szCs w:val="16"/>
        </w:rPr>
        <w:t xml:space="preserve"> с ракетным</w:t>
      </w:r>
      <w:r w:rsidRPr="00441F34">
        <w:rPr>
          <w:rFonts w:ascii="Times New Roman" w:hAnsi="Times New Roman"/>
          <w:color w:val="0070C0"/>
          <w:sz w:val="16"/>
          <w:szCs w:val="16"/>
        </w:rPr>
        <w:t xml:space="preserve"> двигателем «</w:t>
      </w:r>
      <w:proofErr w:type="spellStart"/>
      <w:r w:rsidRPr="00441F34">
        <w:rPr>
          <w:rFonts w:ascii="Times New Roman" w:hAnsi="Times New Roman"/>
          <w:color w:val="0070C0"/>
          <w:sz w:val="16"/>
          <w:szCs w:val="16"/>
        </w:rPr>
        <w:t>Avio</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Razzo</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Cattaneo</w:t>
      </w:r>
      <w:proofErr w:type="spellEnd"/>
      <w:r w:rsidRPr="00441F34">
        <w:rPr>
          <w:rFonts w:ascii="Times New Roman" w:hAnsi="Times New Roman"/>
          <w:color w:val="0070C0"/>
          <w:sz w:val="16"/>
          <w:szCs w:val="16"/>
        </w:rPr>
        <w:t xml:space="preserve">» итальянского </w:t>
      </w:r>
      <w:proofErr w:type="spellStart"/>
      <w:r w:rsidRPr="00441F34">
        <w:rPr>
          <w:rFonts w:ascii="Times New Roman" w:hAnsi="Times New Roman"/>
          <w:color w:val="0070C0"/>
          <w:sz w:val="16"/>
          <w:szCs w:val="16"/>
        </w:rPr>
        <w:t>пилоталюбителя</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Этторе</w:t>
      </w:r>
      <w:proofErr w:type="spellEnd"/>
      <w:r w:rsidRPr="00441F34">
        <w:rPr>
          <w:rFonts w:ascii="Times New Roman" w:hAnsi="Times New Roman"/>
          <w:color w:val="0070C0"/>
          <w:sz w:val="16"/>
          <w:szCs w:val="16"/>
        </w:rPr>
        <w:t xml:space="preserve"> Каттанео (1898–1972), который он сам спроектировал и  построил. Выполнил несколько пилотажных фигур планер  успешно приземлился. За это достижение итальянский король Виктор Эммануил III даровал </w:t>
      </w:r>
      <w:proofErr w:type="spellStart"/>
      <w:r w:rsidRPr="00441F34">
        <w:rPr>
          <w:rFonts w:ascii="Times New Roman" w:hAnsi="Times New Roman"/>
          <w:color w:val="0070C0"/>
          <w:sz w:val="16"/>
          <w:szCs w:val="16"/>
        </w:rPr>
        <w:t>Этторе</w:t>
      </w:r>
      <w:proofErr w:type="spellEnd"/>
      <w:r w:rsidRPr="00441F34">
        <w:rPr>
          <w:rFonts w:ascii="Times New Roman" w:hAnsi="Times New Roman"/>
          <w:color w:val="0070C0"/>
          <w:sz w:val="16"/>
          <w:szCs w:val="16"/>
        </w:rPr>
        <w:t xml:space="preserve"> Каттанео титул графа </w:t>
      </w:r>
      <w:proofErr w:type="spellStart"/>
      <w:r w:rsidRPr="00441F34">
        <w:rPr>
          <w:rFonts w:ascii="Times New Roman" w:hAnsi="Times New Roman"/>
          <w:color w:val="0070C0"/>
          <w:sz w:val="16"/>
          <w:szCs w:val="16"/>
        </w:rPr>
        <w:t>Тальедо</w:t>
      </w:r>
      <w:proofErr w:type="spellEnd"/>
      <w:r w:rsidRPr="00441F34">
        <w:rPr>
          <w:rFonts w:ascii="Times New Roman" w:hAnsi="Times New Roman"/>
          <w:color w:val="0070C0"/>
          <w:sz w:val="16"/>
          <w:szCs w:val="16"/>
        </w:rPr>
        <w:t xml:space="preserve"> (23372).</w:t>
      </w:r>
    </w:p>
    <w:p w14:paraId="3C1ADBF2" w14:textId="77777777" w:rsidR="00862F5B" w:rsidRPr="00441F34" w:rsidRDefault="00862F5B" w:rsidP="00862F5B">
      <w:pPr>
        <w:spacing w:after="0" w:line="240" w:lineRule="auto"/>
        <w:jc w:val="both"/>
        <w:rPr>
          <w:rFonts w:ascii="Times New Roman" w:hAnsi="Times New Roman"/>
          <w:color w:val="0070C0"/>
          <w:sz w:val="16"/>
          <w:szCs w:val="16"/>
        </w:rPr>
      </w:pPr>
    </w:p>
    <w:p w14:paraId="3FFC3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июня 1931 в Испании на выборах в учредительные кортесы ощутимую победу одержали республиканцы и социалисты (3186).</w:t>
      </w:r>
    </w:p>
    <w:p w14:paraId="49FC7B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24D1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D74475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E2E0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июня 1931 был готов И-5 с исправленным шасси конструкции инженера </w:t>
      </w:r>
      <w:proofErr w:type="spellStart"/>
      <w:r w:rsidRPr="007122AB">
        <w:rPr>
          <w:rFonts w:ascii="Times New Roman" w:hAnsi="Times New Roman"/>
          <w:color w:val="000000" w:themeColor="text1"/>
          <w:sz w:val="16"/>
          <w:szCs w:val="16"/>
        </w:rPr>
        <w:t>И.Ф.Петрова</w:t>
      </w:r>
      <w:proofErr w:type="spellEnd"/>
      <w:r w:rsidRPr="007122AB">
        <w:rPr>
          <w:rFonts w:ascii="Times New Roman" w:hAnsi="Times New Roman"/>
          <w:color w:val="000000" w:themeColor="text1"/>
          <w:sz w:val="16"/>
          <w:szCs w:val="16"/>
        </w:rPr>
        <w:t xml:space="preserve"> (191,23).</w:t>
      </w:r>
    </w:p>
    <w:p w14:paraId="4ABE0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193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июня 1931 был датирован чертеж планера СК-8 С.П.К. (105,69).</w:t>
      </w:r>
    </w:p>
    <w:p w14:paraId="795C38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FEC3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июня 1930 в с. </w:t>
      </w:r>
      <w:proofErr w:type="spellStart"/>
      <w:r w:rsidRPr="007122AB">
        <w:rPr>
          <w:rFonts w:ascii="Times New Roman" w:hAnsi="Times New Roman"/>
          <w:color w:val="000000" w:themeColor="text1"/>
          <w:sz w:val="16"/>
          <w:szCs w:val="16"/>
        </w:rPr>
        <w:t>Урино</w:t>
      </w:r>
      <w:proofErr w:type="spellEnd"/>
      <w:r w:rsidRPr="007122AB">
        <w:rPr>
          <w:rFonts w:ascii="Times New Roman" w:hAnsi="Times New Roman"/>
          <w:color w:val="000000" w:themeColor="text1"/>
          <w:sz w:val="16"/>
          <w:szCs w:val="16"/>
        </w:rPr>
        <w:t xml:space="preserve">, район Нижнего Новгорода приземлилась Мариз </w:t>
      </w:r>
      <w:proofErr w:type="spellStart"/>
      <w:r w:rsidRPr="007122AB">
        <w:rPr>
          <w:rFonts w:ascii="Times New Roman" w:hAnsi="Times New Roman"/>
          <w:color w:val="000000" w:themeColor="text1"/>
          <w:sz w:val="16"/>
          <w:szCs w:val="16"/>
        </w:rPr>
        <w:t>Бастье</w:t>
      </w:r>
      <w:proofErr w:type="spellEnd"/>
      <w:r w:rsidRPr="007122AB">
        <w:rPr>
          <w:rFonts w:ascii="Times New Roman" w:hAnsi="Times New Roman"/>
          <w:color w:val="000000" w:themeColor="text1"/>
          <w:sz w:val="16"/>
          <w:szCs w:val="16"/>
        </w:rPr>
        <w:t xml:space="preserve">, летевшая из Парижа на Дальний Восток на авиетке Клемм с 40 сильным мотором. 30 часов летела без посадки сделав 2976 км. 4 июля </w:t>
      </w:r>
      <w:proofErr w:type="spellStart"/>
      <w:r w:rsidRPr="007122AB">
        <w:rPr>
          <w:rFonts w:ascii="Times New Roman" w:hAnsi="Times New Roman"/>
          <w:color w:val="000000" w:themeColor="text1"/>
          <w:sz w:val="16"/>
          <w:szCs w:val="16"/>
        </w:rPr>
        <w:t>Бастье</w:t>
      </w:r>
      <w:proofErr w:type="spellEnd"/>
      <w:r w:rsidRPr="007122AB">
        <w:rPr>
          <w:rFonts w:ascii="Times New Roman" w:hAnsi="Times New Roman"/>
          <w:color w:val="000000" w:themeColor="text1"/>
          <w:sz w:val="16"/>
          <w:szCs w:val="16"/>
        </w:rPr>
        <w:t xml:space="preserve"> вылетела из Москвы на родину (438,624).</w:t>
      </w:r>
    </w:p>
    <w:p w14:paraId="059F6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20F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июня 1931 француженка </w:t>
      </w:r>
      <w:proofErr w:type="spellStart"/>
      <w:r w:rsidRPr="007122AB">
        <w:rPr>
          <w:rFonts w:ascii="Times New Roman" w:hAnsi="Times New Roman"/>
          <w:color w:val="000000" w:themeColor="text1"/>
          <w:sz w:val="16"/>
          <w:szCs w:val="16"/>
        </w:rPr>
        <w:t>Бастье</w:t>
      </w:r>
      <w:proofErr w:type="spellEnd"/>
      <w:r w:rsidRPr="007122AB">
        <w:rPr>
          <w:rFonts w:ascii="Times New Roman" w:hAnsi="Times New Roman"/>
          <w:color w:val="000000" w:themeColor="text1"/>
          <w:sz w:val="16"/>
          <w:szCs w:val="16"/>
        </w:rPr>
        <w:t xml:space="preserve"> на моноплане "Клемм" с двигателем мощностью 40 л.с., преодолев за 30 часов без посадки 2976 км, она приземлилась на полевой площадке у села </w:t>
      </w:r>
      <w:proofErr w:type="spellStart"/>
      <w:r w:rsidRPr="007122AB">
        <w:rPr>
          <w:rFonts w:ascii="Times New Roman" w:hAnsi="Times New Roman"/>
          <w:color w:val="000000" w:themeColor="text1"/>
          <w:sz w:val="16"/>
          <w:szCs w:val="16"/>
        </w:rPr>
        <w:t>Урино</w:t>
      </w:r>
      <w:proofErr w:type="spellEnd"/>
      <w:r w:rsidRPr="007122AB">
        <w:rPr>
          <w:rFonts w:ascii="Times New Roman" w:hAnsi="Times New Roman"/>
          <w:color w:val="000000" w:themeColor="text1"/>
          <w:sz w:val="16"/>
          <w:szCs w:val="16"/>
        </w:rPr>
        <w:t xml:space="preserve">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w:t>
      </w:r>
      <w:proofErr w:type="spellStart"/>
      <w:r w:rsidRPr="007122AB">
        <w:rPr>
          <w:rFonts w:ascii="Times New Roman" w:hAnsi="Times New Roman"/>
          <w:color w:val="000000" w:themeColor="text1"/>
          <w:sz w:val="16"/>
          <w:szCs w:val="16"/>
        </w:rPr>
        <w:t>Кодрон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Симун</w:t>
      </w:r>
      <w:proofErr w:type="spellEnd"/>
      <w:r w:rsidRPr="007122AB">
        <w:rPr>
          <w:rFonts w:ascii="Times New Roman" w:hAnsi="Times New Roman"/>
          <w:color w:val="000000" w:themeColor="text1"/>
          <w:sz w:val="16"/>
          <w:szCs w:val="16"/>
        </w:rPr>
        <w:t xml:space="preserve">" Мариза </w:t>
      </w:r>
      <w:proofErr w:type="spellStart"/>
      <w:r w:rsidRPr="007122AB">
        <w:rPr>
          <w:rFonts w:ascii="Times New Roman" w:hAnsi="Times New Roman"/>
          <w:color w:val="000000" w:themeColor="text1"/>
          <w:sz w:val="16"/>
          <w:szCs w:val="16"/>
        </w:rPr>
        <w:t>Бастье</w:t>
      </w:r>
      <w:proofErr w:type="spellEnd"/>
      <w:r w:rsidRPr="007122AB">
        <w:rPr>
          <w:rFonts w:ascii="Times New Roman" w:hAnsi="Times New Roman"/>
          <w:color w:val="000000" w:themeColor="text1"/>
          <w:sz w:val="16"/>
          <w:szCs w:val="16"/>
        </w:rPr>
        <w:t xml:space="preserve"> вдвоем с Сюзанной </w:t>
      </w:r>
      <w:proofErr w:type="spellStart"/>
      <w:r w:rsidRPr="007122AB">
        <w:rPr>
          <w:rFonts w:ascii="Times New Roman" w:hAnsi="Times New Roman"/>
          <w:color w:val="000000" w:themeColor="text1"/>
          <w:sz w:val="16"/>
          <w:szCs w:val="16"/>
        </w:rPr>
        <w:t>Телье</w:t>
      </w:r>
      <w:proofErr w:type="spellEnd"/>
      <w:r w:rsidRPr="007122AB">
        <w:rPr>
          <w:rFonts w:ascii="Times New Roman" w:hAnsi="Times New Roman"/>
          <w:color w:val="000000" w:themeColor="text1"/>
          <w:sz w:val="16"/>
          <w:szCs w:val="16"/>
        </w:rPr>
        <w:t xml:space="preserve"> предприняла скоростной дальний перелет с промежуточными посадками по маршруту Париж-Москва-Казань-Омск-Иркутск (11947).</w:t>
      </w:r>
    </w:p>
    <w:p w14:paraId="3E76A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0C7D4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C2EF5E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9D0C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июня 1931 папа римский Пий XI осудил вынуждение итальянских детей приносить фашистскую присягу (4962).</w:t>
      </w:r>
    </w:p>
    <w:p w14:paraId="13E79D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A1F5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июня 1931 в Болгарии к власти пришло правительство </w:t>
      </w:r>
      <w:proofErr w:type="spellStart"/>
      <w:r w:rsidRPr="007122AB">
        <w:rPr>
          <w:rFonts w:ascii="Times New Roman" w:hAnsi="Times New Roman"/>
          <w:color w:val="000000" w:themeColor="text1"/>
          <w:sz w:val="16"/>
          <w:szCs w:val="16"/>
        </w:rPr>
        <w:t>Нарлдного</w:t>
      </w:r>
      <w:proofErr w:type="spellEnd"/>
      <w:r w:rsidRPr="007122AB">
        <w:rPr>
          <w:rFonts w:ascii="Times New Roman" w:hAnsi="Times New Roman"/>
          <w:color w:val="000000" w:themeColor="text1"/>
          <w:sz w:val="16"/>
          <w:szCs w:val="16"/>
        </w:rPr>
        <w:t xml:space="preserve"> блока (3960, 253).</w:t>
      </w:r>
    </w:p>
    <w:p w14:paraId="5B623A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5862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3BFFC4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3F68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 в НИИ ВВС проходили испытание самолета ТБ1 № 669 с 2 моторами БМВVI, которые проходили с 1 июня 1931.</w:t>
      </w:r>
    </w:p>
    <w:p w14:paraId="46A51F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Самолет измененной конструкции, постройки завода № 22. Основные изменения: установлены моторы со степенью сжатия Е-7,3, установлено жесткое управление рулями, усилен радиатор, устранен ряд недочетов, отмеченных при испытаниях серийного самолета.</w:t>
      </w:r>
    </w:p>
    <w:p w14:paraId="47B72C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592D35E9"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с целью выявления </w:t>
      </w:r>
      <w:proofErr w:type="spellStart"/>
      <w:r w:rsidRPr="007122AB">
        <w:rPr>
          <w:rFonts w:ascii="Times New Roman" w:hAnsi="Times New Roman"/>
          <w:color w:val="000000" w:themeColor="text1"/>
          <w:sz w:val="16"/>
          <w:szCs w:val="16"/>
        </w:rPr>
        <w:t>полетно-эксплоатационных</w:t>
      </w:r>
      <w:proofErr w:type="spellEnd"/>
      <w:r w:rsidRPr="007122AB">
        <w:rPr>
          <w:rFonts w:ascii="Times New Roman" w:hAnsi="Times New Roman"/>
          <w:color w:val="000000" w:themeColor="text1"/>
          <w:sz w:val="16"/>
          <w:szCs w:val="16"/>
        </w:rPr>
        <w:t xml:space="preserve"> данных самолета с моторами со степенью сжатия Е=7,3 сравнительно с самолетами, имеющими моторы со степенью сжатия Е-6.</w:t>
      </w:r>
    </w:p>
    <w:p w14:paraId="367A14D8"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и оценка конструктивных изменений и поверка устранения недочетов.</w:t>
      </w:r>
    </w:p>
    <w:p w14:paraId="047E7D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1 июня 1931 года</w:t>
      </w:r>
    </w:p>
    <w:p w14:paraId="039632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окончено 30 июня 1931 года</w:t>
      </w:r>
    </w:p>
    <w:p w14:paraId="342870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число дней – 30</w:t>
      </w:r>
    </w:p>
    <w:p w14:paraId="0E7423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12</w:t>
      </w:r>
    </w:p>
    <w:p w14:paraId="1885AC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B3C31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эксплуатации самолетов ТБ1 с полетным весом до 8000 кг установка моторов БМВ VI Е-7,3 нецелесообразна (6933).</w:t>
      </w:r>
    </w:p>
    <w:p w14:paraId="2F315D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E8DBF7"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 летчик Бенедикт Бухгольц совершил первый проб</w:t>
      </w:r>
      <w:r w:rsidRPr="007122AB">
        <w:rPr>
          <w:rFonts w:ascii="Times New Roman" w:hAnsi="Times New Roman"/>
          <w:color w:val="000000" w:themeColor="text1"/>
          <w:sz w:val="16"/>
          <w:szCs w:val="16"/>
        </w:rPr>
        <w:softHyphen/>
        <w:t>ный полет самолета в зоне Ходынского аэро</w:t>
      </w:r>
      <w:r w:rsidRPr="007122AB">
        <w:rPr>
          <w:rFonts w:ascii="Times New Roman" w:hAnsi="Times New Roman"/>
          <w:color w:val="000000" w:themeColor="text1"/>
          <w:sz w:val="16"/>
          <w:szCs w:val="16"/>
        </w:rPr>
        <w:softHyphen/>
        <w:t xml:space="preserve">дрома. Естественно, перед полетом имелись опасения в отношении управляемости такой тяжелой машины в воздухе, интересовало в частности, как поведет себя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Бухгольц после приземления все опасения развеял, заявив буквально следующее: «Устойчивость в воздухе хорошая. Легкость управления самолетом невиданная. Очень малы нагрузки на рули».</w:t>
      </w:r>
    </w:p>
    <w:p w14:paraId="674B5FAE"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 июля 1931 г. самолет совершил 4 успешных полета. При взлетном весе 11200 кг, запасе топлива 1850 кг, даль</w:t>
      </w:r>
      <w:r w:rsidRPr="007122AB">
        <w:rPr>
          <w:rFonts w:ascii="Times New Roman" w:hAnsi="Times New Roman"/>
          <w:color w:val="000000" w:themeColor="text1"/>
          <w:sz w:val="16"/>
          <w:szCs w:val="16"/>
        </w:rPr>
        <w:softHyphen/>
        <w:t>ность полета определялась в 1100 км. Достигнутая продолжительность нахож</w:t>
      </w:r>
      <w:r w:rsidRPr="007122AB">
        <w:rPr>
          <w:rFonts w:ascii="Times New Roman" w:hAnsi="Times New Roman"/>
          <w:color w:val="000000" w:themeColor="text1"/>
          <w:sz w:val="16"/>
          <w:szCs w:val="16"/>
        </w:rPr>
        <w:softHyphen/>
        <w:t xml:space="preserve">дения в воздухе при крейсерской скорости 162 км/ч на высоте 3000 м составляла 6,7 </w:t>
      </w:r>
      <w:proofErr w:type="spellStart"/>
      <w:r w:rsidRPr="007122AB">
        <w:rPr>
          <w:rFonts w:ascii="Times New Roman" w:hAnsi="Times New Roman"/>
          <w:color w:val="000000" w:themeColor="text1"/>
          <w:sz w:val="16"/>
          <w:szCs w:val="16"/>
        </w:rPr>
        <w:t>ч.Максимальная</w:t>
      </w:r>
      <w:proofErr w:type="spellEnd"/>
      <w:r w:rsidRPr="007122AB">
        <w:rPr>
          <w:rFonts w:ascii="Times New Roman" w:hAnsi="Times New Roman"/>
          <w:color w:val="000000" w:themeColor="text1"/>
          <w:sz w:val="16"/>
          <w:szCs w:val="16"/>
        </w:rPr>
        <w:t xml:space="preserve"> дальность полета при пол</w:t>
      </w:r>
      <w:r w:rsidRPr="007122AB">
        <w:rPr>
          <w:rFonts w:ascii="Times New Roman" w:hAnsi="Times New Roman"/>
          <w:color w:val="000000" w:themeColor="text1"/>
          <w:sz w:val="16"/>
          <w:szCs w:val="16"/>
        </w:rPr>
        <w:softHyphen/>
        <w:t>ной загрузке топливом 2410 кг составляла 2100 км. Взлетный вес при этом —12060 кг, из них бомб 500 кг. Максимальная скорость составила 180 км/ч у земли, практический потолок — 3500 м, разбег на взлете — 400-420 м.</w:t>
      </w:r>
    </w:p>
    <w:p w14:paraId="51A284F4"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Полученные на испытаниях летные характеристики ТБ-5 оценили как невысо</w:t>
      </w:r>
      <w:r w:rsidRPr="007122AB">
        <w:rPr>
          <w:rFonts w:ascii="Times New Roman" w:hAnsi="Times New Roman"/>
          <w:color w:val="000000" w:themeColor="text1"/>
          <w:sz w:val="16"/>
          <w:szCs w:val="16"/>
        </w:rPr>
        <w:softHyphen/>
        <w:t>кие, особенно в сравнении с уже летающим в течении полугода ТБ-3. Причиной полу</w:t>
      </w:r>
      <w:r w:rsidRPr="007122AB">
        <w:rPr>
          <w:rFonts w:ascii="Times New Roman" w:hAnsi="Times New Roman"/>
          <w:color w:val="000000" w:themeColor="text1"/>
          <w:sz w:val="16"/>
          <w:szCs w:val="16"/>
        </w:rPr>
        <w:softHyphen/>
        <w:t>ченных результатов являлась не вполне удачная тандемная установка двигателей Гном Рон «Юпитер». Двигатели были оснащены воздушными винтами, более подходящими для самолетов истребите</w:t>
      </w:r>
      <w:r w:rsidRPr="007122AB">
        <w:rPr>
          <w:rFonts w:ascii="Times New Roman" w:hAnsi="Times New Roman"/>
          <w:color w:val="000000" w:themeColor="text1"/>
          <w:sz w:val="16"/>
          <w:szCs w:val="16"/>
        </w:rPr>
        <w:softHyphen/>
        <w:t>лей, нежели для бомбардировщика. Кроме того, толкающие винты задних двигателей по условиям их размещения под крылом самолета пришлось значительно умень</w:t>
      </w:r>
      <w:r w:rsidRPr="007122AB">
        <w:rPr>
          <w:rFonts w:ascii="Times New Roman" w:hAnsi="Times New Roman"/>
          <w:color w:val="000000" w:themeColor="text1"/>
          <w:sz w:val="16"/>
          <w:szCs w:val="16"/>
        </w:rPr>
        <w:softHyphen/>
        <w:t>шить в диаметре.</w:t>
      </w:r>
    </w:p>
    <w:p w14:paraId="62D37050"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в сравнении с ТБ-3, у бом</w:t>
      </w:r>
      <w:r w:rsidRPr="007122AB">
        <w:rPr>
          <w:rFonts w:ascii="Times New Roman" w:hAnsi="Times New Roman"/>
          <w:color w:val="000000" w:themeColor="text1"/>
          <w:sz w:val="16"/>
          <w:szCs w:val="16"/>
        </w:rPr>
        <w:softHyphen/>
        <w:t>бардировщика Григоровича имелись и неоспоримые преимущества. ТБ-5 имел более совершенную схему размещения оборонительных установок, внутрен</w:t>
      </w:r>
      <w:r w:rsidRPr="007122AB">
        <w:rPr>
          <w:rFonts w:ascii="Times New Roman" w:hAnsi="Times New Roman"/>
          <w:color w:val="000000" w:themeColor="text1"/>
          <w:sz w:val="16"/>
          <w:szCs w:val="16"/>
        </w:rPr>
        <w:softHyphen/>
        <w:t>нюю подвеску всего ассортимента бомб, обладал меньшими геометрическими размерами. Главным его достоинством считалась меньшая стоимость и мень</w:t>
      </w:r>
      <w:r w:rsidRPr="007122AB">
        <w:rPr>
          <w:rFonts w:ascii="Times New Roman" w:hAnsi="Times New Roman"/>
          <w:color w:val="000000" w:themeColor="text1"/>
          <w:sz w:val="16"/>
          <w:szCs w:val="16"/>
        </w:rPr>
        <w:softHyphen/>
        <w:t>шие трудозатраты при производстве. По последнему показателю ТБ-5 оценивался равнозначно с ТБ-1 и на четверть проще в изготовлении, чем ТБ-3.</w:t>
      </w:r>
    </w:p>
    <w:p w14:paraId="64888793"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Назначе</w:t>
      </w:r>
      <w:r w:rsidRPr="007122AB">
        <w:rPr>
          <w:rFonts w:ascii="Times New Roman" w:hAnsi="Times New Roman"/>
          <w:color w:val="000000" w:themeColor="text1"/>
          <w:sz w:val="16"/>
          <w:szCs w:val="16"/>
        </w:rPr>
        <w:softHyphen/>
        <w:t xml:space="preserve">ние </w:t>
      </w:r>
      <w:proofErr w:type="spellStart"/>
      <w:r w:rsidRPr="007122AB">
        <w:rPr>
          <w:rFonts w:ascii="Times New Roman" w:hAnsi="Times New Roman"/>
          <w:color w:val="000000" w:themeColor="text1"/>
          <w:sz w:val="16"/>
          <w:szCs w:val="16"/>
        </w:rPr>
        <w:t>стабилирона</w:t>
      </w:r>
      <w:proofErr w:type="spellEnd"/>
      <w:r w:rsidRPr="007122AB">
        <w:rPr>
          <w:rFonts w:ascii="Times New Roman" w:hAnsi="Times New Roman"/>
          <w:color w:val="000000" w:themeColor="text1"/>
          <w:sz w:val="16"/>
          <w:szCs w:val="16"/>
        </w:rPr>
        <w:t xml:space="preserve"> — облегчить усилия на рулях во время посадки и при изменении центровки.</w:t>
      </w:r>
    </w:p>
    <w:p w14:paraId="64C5FC6D"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самолета из металла с полотняной обшивкой. Фюзеляж фер</w:t>
      </w:r>
      <w:r w:rsidRPr="007122AB">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7122AB">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7122AB">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7122AB">
        <w:rPr>
          <w:rFonts w:ascii="Times New Roman" w:hAnsi="Times New Roman"/>
          <w:color w:val="000000" w:themeColor="text1"/>
          <w:sz w:val="16"/>
          <w:szCs w:val="16"/>
        </w:rPr>
        <w:softHyphen/>
        <w:t>ками для отдыха.</w:t>
      </w:r>
    </w:p>
    <w:p w14:paraId="1A71BC43"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Оборонительное вооружение ТБ-5 состояло из трех турелей ТУ Р-5 со спарен</w:t>
      </w:r>
      <w:r w:rsidRPr="007122AB">
        <w:rPr>
          <w:rFonts w:ascii="Times New Roman" w:hAnsi="Times New Roman"/>
          <w:color w:val="000000" w:themeColor="text1"/>
          <w:sz w:val="16"/>
          <w:szCs w:val="16"/>
        </w:rPr>
        <w:softHyphen/>
        <w:t>ными пулеметами ДА. Одна турель нахо</w:t>
      </w:r>
      <w:r w:rsidRPr="007122AB">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185027F1"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место в носовой части фюзе</w:t>
      </w:r>
      <w:r w:rsidRPr="007122AB">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7122AB">
        <w:rPr>
          <w:rFonts w:ascii="Times New Roman" w:hAnsi="Times New Roman"/>
          <w:color w:val="000000" w:themeColor="text1"/>
          <w:sz w:val="16"/>
          <w:szCs w:val="16"/>
        </w:rPr>
        <w:softHyphen/>
        <w:t xml:space="preserve">ния под руководством А.В. </w:t>
      </w:r>
      <w:proofErr w:type="spellStart"/>
      <w:r w:rsidRPr="007122AB">
        <w:rPr>
          <w:rFonts w:ascii="Times New Roman" w:hAnsi="Times New Roman"/>
          <w:color w:val="000000" w:themeColor="text1"/>
          <w:sz w:val="16"/>
          <w:szCs w:val="16"/>
        </w:rPr>
        <w:t>Надашкевича</w:t>
      </w:r>
      <w:proofErr w:type="spellEnd"/>
      <w:r w:rsidRPr="007122AB">
        <w:rPr>
          <w:rFonts w:ascii="Times New Roman" w:hAnsi="Times New Roman"/>
          <w:color w:val="000000" w:themeColor="text1"/>
          <w:sz w:val="16"/>
          <w:szCs w:val="16"/>
        </w:rPr>
        <w:t>. Практически это была первая в стране заявка на серьезную механизированную и электрифицированную оборонитель</w:t>
      </w:r>
      <w:r w:rsidRPr="007122AB">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7122AB">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7122AB">
        <w:rPr>
          <w:rFonts w:ascii="Times New Roman" w:hAnsi="Times New Roman"/>
          <w:color w:val="000000" w:themeColor="text1"/>
          <w:sz w:val="16"/>
          <w:szCs w:val="16"/>
        </w:rPr>
        <w:softHyphen/>
        <w:t>положенную за его спиной.</w:t>
      </w:r>
    </w:p>
    <w:p w14:paraId="5618F49C"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w:t>
      </w:r>
      <w:proofErr w:type="spellStart"/>
      <w:r w:rsidRPr="007122AB">
        <w:rPr>
          <w:rFonts w:ascii="Times New Roman" w:hAnsi="Times New Roman"/>
          <w:color w:val="000000" w:themeColor="text1"/>
          <w:sz w:val="16"/>
          <w:szCs w:val="16"/>
        </w:rPr>
        <w:t>максимов</w:t>
      </w:r>
      <w:proofErr w:type="spellEnd"/>
      <w:r w:rsidRPr="007122AB">
        <w:rPr>
          <w:rFonts w:ascii="Times New Roman" w:hAnsi="Times New Roman"/>
          <w:color w:val="000000" w:themeColor="text1"/>
          <w:sz w:val="16"/>
          <w:szCs w:val="16"/>
        </w:rPr>
        <w:t>», у которых вместо водяного применялось воздушное охлаждение. Башня, являв</w:t>
      </w:r>
      <w:r w:rsidRPr="007122AB">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7122AB">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7122AB">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166CD705"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Крыло ТБ-5 </w:t>
      </w:r>
      <w:proofErr w:type="spellStart"/>
      <w:r w:rsidRPr="007122AB">
        <w:rPr>
          <w:rFonts w:ascii="Times New Roman" w:hAnsi="Times New Roman"/>
          <w:color w:val="000000" w:themeColor="text1"/>
          <w:sz w:val="16"/>
          <w:szCs w:val="16"/>
        </w:rPr>
        <w:t>трехлонжеронное</w:t>
      </w:r>
      <w:proofErr w:type="spellEnd"/>
      <w:r w:rsidRPr="007122AB">
        <w:rPr>
          <w:rFonts w:ascii="Times New Roman" w:hAnsi="Times New Roman"/>
          <w:color w:val="000000" w:themeColor="text1"/>
          <w:sz w:val="16"/>
          <w:szCs w:val="16"/>
        </w:rPr>
        <w:t>, с частым шагом нервюр (поэтому и очень трудоем</w:t>
      </w:r>
      <w:r w:rsidRPr="007122AB">
        <w:rPr>
          <w:rFonts w:ascii="Times New Roman" w:hAnsi="Times New Roman"/>
          <w:color w:val="000000" w:themeColor="text1"/>
          <w:sz w:val="16"/>
          <w:szCs w:val="16"/>
        </w:rPr>
        <w:softHyphen/>
        <w:t>кое, особенно но части крепления полотня</w:t>
      </w:r>
      <w:r w:rsidRPr="007122AB">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6881A631"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7122AB">
        <w:rPr>
          <w:rFonts w:ascii="Times New Roman" w:hAnsi="Times New Roman"/>
          <w:color w:val="000000" w:themeColor="text1"/>
          <w:sz w:val="16"/>
          <w:szCs w:val="16"/>
        </w:rPr>
        <w:softHyphen/>
        <w:t xml:space="preserve">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Воздушные винты деревянные, передний — тянущий, задний — толкающий (12611).</w:t>
      </w:r>
    </w:p>
    <w:p w14:paraId="50D19BAA" w14:textId="77777777" w:rsidR="00877950" w:rsidRPr="007122AB" w:rsidRDefault="00877950" w:rsidP="007122AB">
      <w:pPr>
        <w:spacing w:after="0" w:line="240" w:lineRule="auto"/>
        <w:jc w:val="both"/>
        <w:rPr>
          <w:rFonts w:ascii="Times New Roman" w:hAnsi="Times New Roman"/>
          <w:color w:val="000000" w:themeColor="text1"/>
          <w:sz w:val="16"/>
          <w:szCs w:val="16"/>
        </w:rPr>
      </w:pPr>
    </w:p>
    <w:p w14:paraId="144D9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июня 1931 летчик </w:t>
      </w:r>
      <w:proofErr w:type="spellStart"/>
      <w:r w:rsidRPr="007122AB">
        <w:rPr>
          <w:rFonts w:ascii="Times New Roman" w:hAnsi="Times New Roman"/>
          <w:color w:val="000000" w:themeColor="text1"/>
          <w:sz w:val="16"/>
          <w:szCs w:val="16"/>
        </w:rPr>
        <w:t>Б.Бухгольц</w:t>
      </w:r>
      <w:proofErr w:type="spellEnd"/>
      <w:r w:rsidRPr="007122AB">
        <w:rPr>
          <w:rFonts w:ascii="Times New Roman" w:hAnsi="Times New Roman"/>
          <w:color w:val="000000" w:themeColor="text1"/>
          <w:sz w:val="16"/>
          <w:szCs w:val="16"/>
        </w:rPr>
        <w:t xml:space="preserve"> совершил первый пробный полет на ТБ-5 в зоне Ходынского аэродрома. Перед полетом высказывались опасения в отношении управляемости такой тяжелой машины, всех интересовало в частности, как поведет себя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Бухгольц после приземления опасения развеял, заявив буквально следующее: «Устойчивость в воздухе хорошая. Легкость управления самолетом невиданная. Очень малы нагрузки на рули» (5854,34).</w:t>
      </w:r>
    </w:p>
    <w:p w14:paraId="7FC88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A605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 был закончен постройкой (3029,207) и состоялся первый полет ТБ-5. Еще до начала заводских решили сделать войсковую серию из 5, чтобы сравнить с ТБ-3 (АНТ-6) (80,309). Оказался хуже ТБ-3 (АНТ-6), испытания затянулись и в конце 1931 - остановились, так как уже был готов ТБ-3 (АНТ-6) (92,435).</w:t>
      </w:r>
    </w:p>
    <w:p w14:paraId="3B332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EF0E96" w14:textId="77777777" w:rsidR="002E2179" w:rsidRPr="007122AB" w:rsidRDefault="002E21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30-го июня 1931 летчик–испытатель Б.Л. Бухгольц совершил первый пробный полет ТБ-5 вблизи Центрального аэродрома. Перед полетом высказывались опасения в отношении управляемости такой тяжелой машины. Всех интересовало, в частности, как поведет себя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Бухгольц после приземления развеял все сомнения, заявив следующее:</w:t>
      </w:r>
    </w:p>
    <w:p w14:paraId="750F4CCE" w14:textId="77777777" w:rsidR="002E2179" w:rsidRPr="007122AB" w:rsidRDefault="002E21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Устойчивость в воздухе хорошая. Легкость управления машиной невиданная. Очень малы нагрузки на рули.</w:t>
      </w:r>
    </w:p>
    <w:p w14:paraId="67028381" w14:textId="77777777" w:rsidR="002E2179" w:rsidRPr="007122AB" w:rsidRDefault="002E21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20-му июля самолет совершил несколько успешных полетов. Максимальная дальность при полной загрузке составила 2100 км. Полетная масса при этом равнялась 12060 кг, из них топливо - 2410 кг, бомбовая нагрузка - 500 кг. Максимальная скорость составила 180 км/час у земли, практический потолок 3500 м, разбег при взлете 400-420 м.</w:t>
      </w:r>
    </w:p>
    <w:p w14:paraId="667BD1B0" w14:textId="77777777" w:rsidR="002E2179" w:rsidRPr="007122AB" w:rsidRDefault="002E21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полученные на испытаниях летные характеристики ТБ-5 оценивались как невысокие в сравнении с уже летавшим в течение полугода бомбардировщиком ТБ-3, опытный экземпляр которого был поднят летчиком М.М. Громовым 22-го декабря 1930 года. Причиной тому являлась не вполне удачная </w:t>
      </w:r>
      <w:proofErr w:type="spellStart"/>
      <w:r w:rsidRPr="007122AB">
        <w:rPr>
          <w:rFonts w:ascii="Times New Roman" w:hAnsi="Times New Roman"/>
          <w:color w:val="000000" w:themeColor="text1"/>
          <w:sz w:val="16"/>
          <w:szCs w:val="16"/>
        </w:rPr>
        <w:t>мотоустановка</w:t>
      </w:r>
      <w:proofErr w:type="spellEnd"/>
      <w:r w:rsidRPr="007122AB">
        <w:rPr>
          <w:rFonts w:ascii="Times New Roman" w:hAnsi="Times New Roman"/>
          <w:color w:val="000000" w:themeColor="text1"/>
          <w:sz w:val="16"/>
          <w:szCs w:val="16"/>
        </w:rPr>
        <w:t xml:space="preserve"> ТБ-5. Двигатели были оснащены воздушными винтами, более подходящими для истребителей. Кроме того, винты задних «Юпитеров» пришлось значительно уменьшить в диаметре из-за невозможности размещения их под крылом.</w:t>
      </w:r>
    </w:p>
    <w:p w14:paraId="3728475F" w14:textId="77777777" w:rsidR="002E2179" w:rsidRPr="007122AB" w:rsidRDefault="002E217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Вместе с тем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Улучшение </w:t>
      </w:r>
      <w:proofErr w:type="spellStart"/>
      <w:r w:rsidRPr="007122AB">
        <w:rPr>
          <w:rFonts w:ascii="Times New Roman" w:hAnsi="Times New Roman"/>
          <w:color w:val="000000" w:themeColor="text1"/>
          <w:sz w:val="16"/>
          <w:szCs w:val="16"/>
        </w:rPr>
        <w:t>летно</w:t>
      </w:r>
      <w:proofErr w:type="spellEnd"/>
      <w:r w:rsidRPr="007122AB">
        <w:rPr>
          <w:rFonts w:ascii="Times New Roman" w:hAnsi="Times New Roman"/>
          <w:color w:val="000000" w:themeColor="text1"/>
          <w:sz w:val="16"/>
          <w:szCs w:val="16"/>
        </w:rPr>
        <w:t xml:space="preserve">–технических характеристик самолета связывали с установкой двигателей ФЭД. Летом 1931 года на моторном заводе № 24 находилось 12 </w:t>
      </w:r>
      <w:proofErr w:type="spellStart"/>
      <w:r w:rsidRPr="007122AB">
        <w:rPr>
          <w:rFonts w:ascii="Times New Roman" w:hAnsi="Times New Roman"/>
          <w:color w:val="000000" w:themeColor="text1"/>
          <w:sz w:val="16"/>
          <w:szCs w:val="16"/>
        </w:rPr>
        <w:t>ФЭДов</w:t>
      </w:r>
      <w:proofErr w:type="spellEnd"/>
      <w:r w:rsidRPr="007122AB">
        <w:rPr>
          <w:rFonts w:ascii="Times New Roman" w:hAnsi="Times New Roman"/>
          <w:color w:val="000000" w:themeColor="text1"/>
          <w:sz w:val="16"/>
          <w:szCs w:val="16"/>
        </w:rPr>
        <w:t>, и еще на 10 имелся задел деталей (18293).</w:t>
      </w:r>
    </w:p>
    <w:p w14:paraId="1F46D9B6" w14:textId="77777777" w:rsidR="002E2179" w:rsidRPr="007122AB" w:rsidRDefault="002E2179" w:rsidP="007122AB">
      <w:pPr>
        <w:spacing w:after="0" w:line="240" w:lineRule="auto"/>
        <w:jc w:val="both"/>
        <w:rPr>
          <w:rFonts w:ascii="Times New Roman" w:hAnsi="Times New Roman"/>
          <w:color w:val="000000" w:themeColor="text1"/>
          <w:sz w:val="16"/>
          <w:szCs w:val="16"/>
        </w:rPr>
      </w:pPr>
    </w:p>
    <w:p w14:paraId="6B46D662"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июня 1931 г. ТБ-5 (ЦКБ-8), созданный в ЦКБ под ру</w:t>
      </w:r>
      <w:r w:rsidRPr="00441F34">
        <w:rPr>
          <w:rFonts w:ascii="Times New Roman" w:hAnsi="Times New Roman"/>
          <w:color w:val="0070C0"/>
          <w:sz w:val="16"/>
          <w:szCs w:val="16"/>
        </w:rPr>
        <w:softHyphen/>
        <w:t>ководством ДП. Григоровича, совершил первый полёт Он имел четыре фран</w:t>
      </w:r>
      <w:r w:rsidRPr="00441F34">
        <w:rPr>
          <w:rFonts w:ascii="Times New Roman" w:hAnsi="Times New Roman"/>
          <w:color w:val="0070C0"/>
          <w:sz w:val="16"/>
          <w:szCs w:val="16"/>
        </w:rPr>
        <w:softHyphen/>
        <w:t>цузских мотора Гном-Рон 9Акх. Са</w:t>
      </w:r>
      <w:r w:rsidRPr="00441F34">
        <w:rPr>
          <w:rFonts w:ascii="Times New Roman" w:hAnsi="Times New Roman"/>
          <w:color w:val="0070C0"/>
          <w:sz w:val="16"/>
          <w:szCs w:val="16"/>
        </w:rPr>
        <w:softHyphen/>
        <w:t>молёт имел ряд преимуществ по сравнению с ТБ-3 в компоновке, но лётные данные оказались хуже. Так как ТБ-3 уже строился серийно, работу по ТБ-5 закрыли (23469).</w:t>
      </w:r>
    </w:p>
    <w:p w14:paraId="179B6F61" w14:textId="77777777" w:rsidR="00862F5B" w:rsidRPr="00441F34" w:rsidRDefault="00862F5B" w:rsidP="00862F5B">
      <w:pPr>
        <w:spacing w:after="0" w:line="240" w:lineRule="auto"/>
        <w:jc w:val="both"/>
        <w:rPr>
          <w:rFonts w:ascii="Times New Roman" w:hAnsi="Times New Roman"/>
          <w:color w:val="0070C0"/>
          <w:sz w:val="16"/>
          <w:szCs w:val="16"/>
        </w:rPr>
      </w:pPr>
    </w:p>
    <w:p w14:paraId="410CA6CB"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июня 1931 г. состоялся первый пробный полёт ТБ-5 (ЦКБ-8), а к 20 июля самолет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w:t>
      </w:r>
    </w:p>
    <w:p w14:paraId="1D678953"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Полученные летные данные ТБ-5 оценивались как невысокие. Причиной была не вполне удачная </w:t>
      </w:r>
      <w:proofErr w:type="spellStart"/>
      <w:r w:rsidRPr="00441F34">
        <w:rPr>
          <w:rFonts w:ascii="Times New Roman" w:hAnsi="Times New Roman"/>
          <w:color w:val="0070C0"/>
          <w:sz w:val="16"/>
          <w:szCs w:val="16"/>
        </w:rPr>
        <w:t>мотоустановка</w:t>
      </w:r>
      <w:proofErr w:type="spellEnd"/>
      <w:r w:rsidRPr="00441F34">
        <w:rPr>
          <w:rFonts w:ascii="Times New Roman" w:hAnsi="Times New Roman"/>
          <w:color w:val="0070C0"/>
          <w:sz w:val="16"/>
          <w:szCs w:val="16"/>
        </w:rPr>
        <w:t xml:space="preserve"> с воздушными винтами, более подхо</w:t>
      </w:r>
      <w:r w:rsidRPr="00441F34">
        <w:rPr>
          <w:rFonts w:ascii="Times New Roman" w:hAnsi="Times New Roman"/>
          <w:color w:val="0070C0"/>
          <w:sz w:val="16"/>
          <w:szCs w:val="16"/>
        </w:rPr>
        <w:softHyphen/>
        <w:t>дящими для истребителей. Кроме того, винты задних «Юпитеров» пришлось значительно уменьшить в диаметре из-за размещения их под крылом.</w:t>
      </w:r>
    </w:p>
    <w:p w14:paraId="280BE4E2"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Судьбу самолёта решил аварийный случай, произо</w:t>
      </w:r>
      <w:r w:rsidRPr="00441F34">
        <w:rPr>
          <w:rFonts w:ascii="Times New Roman" w:hAnsi="Times New Roman"/>
          <w:color w:val="0070C0"/>
          <w:sz w:val="16"/>
          <w:szCs w:val="16"/>
        </w:rPr>
        <w:softHyphen/>
        <w:t xml:space="preserve">шедший в мае 1932 года. В полёте на высоте 800 м левый задний двигатель сорвался с </w:t>
      </w:r>
      <w:proofErr w:type="spellStart"/>
      <w:r w:rsidRPr="00441F34">
        <w:rPr>
          <w:rFonts w:ascii="Times New Roman" w:hAnsi="Times New Roman"/>
          <w:color w:val="0070C0"/>
          <w:sz w:val="16"/>
          <w:szCs w:val="16"/>
        </w:rPr>
        <w:t>моторамы</w:t>
      </w:r>
      <w:proofErr w:type="spellEnd"/>
      <w:r w:rsidRPr="00441F34">
        <w:rPr>
          <w:rFonts w:ascii="Times New Roman" w:hAnsi="Times New Roman"/>
          <w:color w:val="0070C0"/>
          <w:sz w:val="16"/>
          <w:szCs w:val="16"/>
        </w:rPr>
        <w:t xml:space="preserve"> и повис, зацепившись за шасси. Пилот </w:t>
      </w:r>
      <w:proofErr w:type="spellStart"/>
      <w:r w:rsidRPr="00441F34">
        <w:rPr>
          <w:rFonts w:ascii="Times New Roman" w:hAnsi="Times New Roman"/>
          <w:color w:val="0070C0"/>
          <w:sz w:val="16"/>
          <w:szCs w:val="16"/>
        </w:rPr>
        <w:t>М.Громов</w:t>
      </w:r>
      <w:proofErr w:type="spellEnd"/>
      <w:r w:rsidRPr="00441F34">
        <w:rPr>
          <w:rFonts w:ascii="Times New Roman" w:hAnsi="Times New Roman"/>
          <w:color w:val="0070C0"/>
          <w:sz w:val="16"/>
          <w:szCs w:val="16"/>
        </w:rPr>
        <w:t xml:space="preserve"> успешно посадил самолёт, однако до его восстановления дело так и не дошло. В феврале 1933 г. начальник ГУАП Баранов распорядился: «Самолет разобрать. Дальнейшие работы по этому самолету прекратить» (23907).</w:t>
      </w:r>
    </w:p>
    <w:p w14:paraId="6B5880A0" w14:textId="77777777" w:rsidR="00862F5B" w:rsidRPr="00441F34" w:rsidRDefault="00862F5B" w:rsidP="00862F5B">
      <w:pPr>
        <w:spacing w:after="0" w:line="240" w:lineRule="auto"/>
        <w:jc w:val="both"/>
        <w:rPr>
          <w:rFonts w:ascii="Times New Roman" w:hAnsi="Times New Roman"/>
          <w:color w:val="0070C0"/>
          <w:sz w:val="16"/>
          <w:szCs w:val="16"/>
        </w:rPr>
      </w:pPr>
    </w:p>
    <w:p w14:paraId="7C1AD8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 был подготовлен Отчет об испытании прибора ДАП-Д на сам. И-3.</w:t>
      </w:r>
    </w:p>
    <w:p w14:paraId="2CF2B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w:t>
      </w:r>
    </w:p>
    <w:p w14:paraId="7763F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Прибор может быть применен для создания вертикальных дымовых завес с истребительных самолетов (3208,283-295).</w:t>
      </w:r>
    </w:p>
    <w:p w14:paraId="520A8F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2C6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 Правда писала об успешном опыте перевозки на самолете матриц Правды (442,69).</w:t>
      </w:r>
    </w:p>
    <w:p w14:paraId="15A7A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3A34EE"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00D81B3"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3597CD"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 г. немецкая 152-мм мортира «Н» успешно прошла испытания на Главном артиллерийском полигоне в объеме 141 выстрела, которые шли с 5 июня, а осенью того же года она прошла войсковые испытания в 20-й стрелковой дивизии.</w:t>
      </w:r>
    </w:p>
    <w:p w14:paraId="600D8344"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против нашего минометного лобби!</w:t>
      </w:r>
    </w:p>
    <w:p w14:paraId="0171A1D9"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7F5AA2A6"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Минометное лобби в Артиллерийском управлении встретило МЛ-21 буквально в штыки. 13 июля 1938 г. из 2-го отдела </w:t>
      </w:r>
      <w:proofErr w:type="spellStart"/>
      <w:r w:rsidRPr="007122AB">
        <w:rPr>
          <w:rFonts w:ascii="Times New Roman" w:hAnsi="Times New Roman"/>
          <w:color w:val="000000" w:themeColor="text1"/>
          <w:sz w:val="16"/>
          <w:szCs w:val="16"/>
        </w:rPr>
        <w:t>Артуправления</w:t>
      </w:r>
      <w:proofErr w:type="spellEnd"/>
      <w:r w:rsidRPr="007122AB">
        <w:rPr>
          <w:rFonts w:ascii="Times New Roman" w:hAnsi="Times New Roman"/>
          <w:color w:val="000000" w:themeColor="text1"/>
          <w:sz w:val="16"/>
          <w:szCs w:val="16"/>
        </w:rPr>
        <w:t xml:space="preserve"> маршалу Кулику была направлена кляуза:</w:t>
      </w:r>
    </w:p>
    <w:p w14:paraId="531EA993"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5A5C47BD"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1938 г. маршал Кулик в письме к наркому Ворошилову как попугай переписал все аргументы </w:t>
      </w:r>
      <w:proofErr w:type="spellStart"/>
      <w:r w:rsidRPr="007122AB">
        <w:rPr>
          <w:rFonts w:ascii="Times New Roman" w:hAnsi="Times New Roman"/>
          <w:color w:val="000000" w:themeColor="text1"/>
          <w:sz w:val="16"/>
          <w:szCs w:val="16"/>
        </w:rPr>
        <w:t>Артуправления</w:t>
      </w:r>
      <w:proofErr w:type="spellEnd"/>
      <w:r w:rsidRPr="007122AB">
        <w:rPr>
          <w:rFonts w:ascii="Times New Roman" w:hAnsi="Times New Roman"/>
          <w:color w:val="000000" w:themeColor="text1"/>
          <w:sz w:val="16"/>
          <w:szCs w:val="16"/>
        </w:rPr>
        <w:t xml:space="preserve">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2139079C" w14:textId="77777777" w:rsidR="007908DF" w:rsidRPr="007122AB" w:rsidRDefault="007908DF" w:rsidP="007122AB">
      <w:pPr>
        <w:spacing w:after="0" w:line="240" w:lineRule="auto"/>
        <w:jc w:val="both"/>
        <w:rPr>
          <w:rFonts w:ascii="Times New Roman" w:hAnsi="Times New Roman"/>
          <w:color w:val="000000" w:themeColor="text1"/>
          <w:sz w:val="16"/>
          <w:szCs w:val="16"/>
        </w:rPr>
      </w:pPr>
    </w:p>
    <w:p w14:paraId="23E5BF5E"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30 июня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ЦИК и СНК СССР об отмене военно-производственной службы (СЗ. 1931. № 42. Ст. 287) (12415).</w:t>
      </w:r>
    </w:p>
    <w:p w14:paraId="3FEB4EDE" w14:textId="77777777" w:rsidR="00877950" w:rsidRPr="007122AB" w:rsidRDefault="00877950" w:rsidP="007122AB">
      <w:pPr>
        <w:spacing w:after="0" w:line="240" w:lineRule="auto"/>
        <w:jc w:val="both"/>
        <w:rPr>
          <w:rFonts w:ascii="Times New Roman" w:hAnsi="Times New Roman"/>
          <w:color w:val="000000" w:themeColor="text1"/>
          <w:sz w:val="16"/>
          <w:szCs w:val="16"/>
          <w:u w:color="002060"/>
        </w:rPr>
      </w:pPr>
    </w:p>
    <w:p w14:paraId="413D6CB2"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30 июня 1931 </w:t>
      </w:r>
      <w:r w:rsidRPr="007122AB">
        <w:rPr>
          <w:rFonts w:ascii="Times New Roman" w:hAnsi="Times New Roman"/>
          <w:color w:val="000000" w:themeColor="text1"/>
          <w:sz w:val="16"/>
          <w:szCs w:val="16"/>
        </w:rPr>
        <w:t>Политбюро ЦК ВКП(б) одобрило проект постановления ЦИК и СНК об отходничестве; утвердило проект постановления ЦК ВКП (б) о мероприятиях по окончанию реконструкции и своевременному пуску московского автомобильного завода «АМО» (12265).</w:t>
      </w:r>
    </w:p>
    <w:p w14:paraId="6C7FBE88"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ЦИК и СНК приняли постановление «Об отходничестве» (12265).</w:t>
      </w:r>
    </w:p>
    <w:p w14:paraId="7BBD4763"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7689508" w14:textId="77777777" w:rsidR="00033436" w:rsidRPr="007122AB" w:rsidRDefault="00033436" w:rsidP="007122AB">
      <w:pPr>
        <w:spacing w:after="0" w:line="240" w:lineRule="auto"/>
        <w:jc w:val="both"/>
        <w:rPr>
          <w:rFonts w:ascii="Times New Roman" w:eastAsia="Times New Roman" w:hAnsi="Times New Roman"/>
          <w:bCs/>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30 июня 1931 г. О реконструкции завода “АМО”. (Предложения комиссии т. Андреева, утвержденные Политбюро ЦК 30 июня 1931 г.) Приложение № 3 к п. 13/29 пр. ПБ № 46. </w:t>
      </w:r>
    </w:p>
    <w:p w14:paraId="722A1551"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Архив: </w:t>
      </w:r>
    </w:p>
    <w:p w14:paraId="5380B438"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РГАСПИ. Ф. 17. Оп. 3. Д. 833. Л. 16-17.</w:t>
      </w:r>
    </w:p>
    <w:p w14:paraId="0B8EA27C"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iCs/>
          <w:color w:val="000000" w:themeColor="text1"/>
          <w:sz w:val="16"/>
          <w:szCs w:val="16"/>
          <w:lang w:eastAsia="ru-RU"/>
        </w:rPr>
        <w:t>Приложение № 3</w:t>
      </w:r>
    </w:p>
    <w:p w14:paraId="79FC363A"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iCs/>
          <w:color w:val="000000" w:themeColor="text1"/>
          <w:sz w:val="16"/>
          <w:szCs w:val="16"/>
          <w:lang w:eastAsia="ru-RU"/>
        </w:rPr>
        <w:t>к п. 13/29 пр. ПБ № 46.</w:t>
      </w:r>
    </w:p>
    <w:p w14:paraId="5BB93E56" w14:textId="77777777" w:rsidR="00033436" w:rsidRPr="007122AB" w:rsidRDefault="00033436" w:rsidP="007122AB">
      <w:pPr>
        <w:spacing w:after="0" w:line="240" w:lineRule="auto"/>
        <w:jc w:val="both"/>
        <w:rPr>
          <w:rFonts w:ascii="Times New Roman" w:eastAsia="Times New Roman" w:hAnsi="Times New Roman"/>
          <w:bCs/>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О реконструкции завода “АМО”.</w:t>
      </w:r>
    </w:p>
    <w:p w14:paraId="6C995F67"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(Предложения комиссии т. Андреева, утвержденные Политбюро ЦК 30 июня 1931 г.)</w:t>
      </w:r>
    </w:p>
    <w:p w14:paraId="52EDDD6A"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Заслушав доклад о ходе реконструкции завода “АМО” ЦК ВКП(б) отмечает запоздание с окончанием работ по реконструкции, против установленного срока (1 июня 1931 г.); медленные темпы и неудовлетворительное качество строительных работ, осуществляемых Московской конторой “Строитель”.</w:t>
      </w:r>
    </w:p>
    <w:p w14:paraId="0A541409"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ЦК ВКП(б) постановляет:</w:t>
      </w:r>
    </w:p>
    <w:p w14:paraId="56915FA8"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w:t>
      </w:r>
      <w:r w:rsidRPr="007122AB">
        <w:rPr>
          <w:rFonts w:ascii="Times New Roman" w:eastAsia="Times New Roman" w:hAnsi="Times New Roman"/>
          <w:color w:val="000000" w:themeColor="text1"/>
          <w:sz w:val="16"/>
          <w:szCs w:val="16"/>
          <w:lang w:eastAsia="ru-RU"/>
        </w:rPr>
        <w:t>. Обязать контору “Строитель”, под личной ответственностью т. Прокофьева, закончить все строительные работы не позднее 15.VII.1931 г.</w:t>
      </w:r>
    </w:p>
    <w:p w14:paraId="220F8753"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2</w:t>
      </w:r>
      <w:r w:rsidRPr="007122AB">
        <w:rPr>
          <w:rFonts w:ascii="Times New Roman" w:eastAsia="Times New Roman" w:hAnsi="Times New Roman"/>
          <w:color w:val="000000" w:themeColor="text1"/>
          <w:sz w:val="16"/>
          <w:szCs w:val="16"/>
          <w:lang w:eastAsia="ru-RU"/>
        </w:rPr>
        <w:t>. Согласиться с решением ВСНХ СССР об установлении срока пуска завода “АМО” 1</w:t>
      </w:r>
      <w:r w:rsidRPr="007122AB">
        <w:rPr>
          <w:rFonts w:ascii="Times New Roman" w:eastAsia="Times New Roman" w:hAnsi="Times New Roman"/>
          <w:color w:val="000000" w:themeColor="text1"/>
          <w:sz w:val="16"/>
          <w:szCs w:val="16"/>
          <w:lang w:eastAsia="ru-RU"/>
        </w:rPr>
        <w:noBreakHyphen/>
        <w:t>го августа 1931 года.</w:t>
      </w:r>
    </w:p>
    <w:p w14:paraId="48C74615"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Считать необходимым установить для завода “АМО” двухмесячный пусковой период для проверки технологических процессов, освоения оборудования, подготовки инструментов и т. д. с тем, чтобы завод приступил к развернутой работе по выполнению программы с 1.Х.1931 г.</w:t>
      </w:r>
    </w:p>
    <w:p w14:paraId="1FD85FAF"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Обязать ВСНХ СССР установить программу выпуска машин заводом “АМО” в 1931 г. не позднее 15 августа 1931 г.</w:t>
      </w:r>
    </w:p>
    <w:p w14:paraId="4ADB7E10"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3</w:t>
      </w:r>
      <w:r w:rsidRPr="007122AB">
        <w:rPr>
          <w:rFonts w:ascii="Times New Roman" w:eastAsia="Times New Roman" w:hAnsi="Times New Roman"/>
          <w:color w:val="000000" w:themeColor="text1"/>
          <w:sz w:val="16"/>
          <w:szCs w:val="16"/>
          <w:lang w:eastAsia="ru-RU"/>
        </w:rPr>
        <w:t>. Для обеспечения быстрейшего окончания строительных работ вести строительные работы в две смены по 10 часов в день, сосредоточив особое внимание на строительстве литейной ковкого чугуна, томильного цеха, сушила и на отделочных работах других цехов.</w:t>
      </w:r>
    </w:p>
    <w:p w14:paraId="617FFC35"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4</w:t>
      </w:r>
      <w:r w:rsidRPr="007122AB">
        <w:rPr>
          <w:rFonts w:ascii="Times New Roman" w:eastAsia="Times New Roman" w:hAnsi="Times New Roman"/>
          <w:color w:val="000000" w:themeColor="text1"/>
          <w:sz w:val="16"/>
          <w:szCs w:val="16"/>
          <w:lang w:eastAsia="ru-RU"/>
        </w:rPr>
        <w:t>. Принять к сведению, что московскими организациями принят уже ряд мер по форсированию хода строительных работ, в том числе: перебрасываются на завод “АМО” 1200 чел. дополнительных строительных рабочих, строительные работы обеспечиваются необходимыми механизмами, строительными материалами и гужевым транспортом.</w:t>
      </w:r>
    </w:p>
    <w:p w14:paraId="05FB79A4"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5</w:t>
      </w:r>
      <w:r w:rsidRPr="007122AB">
        <w:rPr>
          <w:rFonts w:ascii="Times New Roman" w:eastAsia="Times New Roman" w:hAnsi="Times New Roman"/>
          <w:color w:val="000000" w:themeColor="text1"/>
          <w:sz w:val="16"/>
          <w:szCs w:val="16"/>
          <w:lang w:eastAsia="ru-RU"/>
        </w:rPr>
        <w:t>. Обязать “</w:t>
      </w:r>
      <w:proofErr w:type="spellStart"/>
      <w:r w:rsidRPr="007122AB">
        <w:rPr>
          <w:rFonts w:ascii="Times New Roman" w:eastAsia="Times New Roman" w:hAnsi="Times New Roman"/>
          <w:color w:val="000000" w:themeColor="text1"/>
          <w:sz w:val="16"/>
          <w:szCs w:val="16"/>
          <w:lang w:eastAsia="ru-RU"/>
        </w:rPr>
        <w:t>Авторемснаб</w:t>
      </w:r>
      <w:proofErr w:type="spellEnd"/>
      <w:r w:rsidRPr="007122AB">
        <w:rPr>
          <w:rFonts w:ascii="Times New Roman" w:eastAsia="Times New Roman" w:hAnsi="Times New Roman"/>
          <w:color w:val="000000" w:themeColor="text1"/>
          <w:sz w:val="16"/>
          <w:szCs w:val="16"/>
          <w:lang w:eastAsia="ru-RU"/>
        </w:rPr>
        <w:t>” в 5</w:t>
      </w:r>
      <w:r w:rsidRPr="007122AB">
        <w:rPr>
          <w:rFonts w:ascii="Times New Roman" w:eastAsia="Times New Roman" w:hAnsi="Times New Roman"/>
          <w:color w:val="000000" w:themeColor="text1"/>
          <w:sz w:val="16"/>
          <w:szCs w:val="16"/>
          <w:lang w:eastAsia="ru-RU"/>
        </w:rPr>
        <w:noBreakHyphen/>
        <w:t>дневный срок выделить заводу “АМО” 10 грузовых машин.</w:t>
      </w:r>
    </w:p>
    <w:p w14:paraId="1B7629C6"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6</w:t>
      </w:r>
      <w:r w:rsidRPr="007122AB">
        <w:rPr>
          <w:rFonts w:ascii="Times New Roman" w:eastAsia="Times New Roman" w:hAnsi="Times New Roman"/>
          <w:color w:val="000000" w:themeColor="text1"/>
          <w:sz w:val="16"/>
          <w:szCs w:val="16"/>
          <w:lang w:eastAsia="ru-RU"/>
        </w:rPr>
        <w:t>. Обязать ВСНХ СССР своевременно обеспечить необходимые фонды строительных материалов на 3</w:t>
      </w:r>
      <w:r w:rsidRPr="007122AB">
        <w:rPr>
          <w:rFonts w:ascii="Times New Roman" w:eastAsia="Times New Roman" w:hAnsi="Times New Roman"/>
          <w:color w:val="000000" w:themeColor="text1"/>
          <w:sz w:val="16"/>
          <w:szCs w:val="16"/>
          <w:lang w:eastAsia="ru-RU"/>
        </w:rPr>
        <w:noBreakHyphen/>
        <w:t>й квартал 1931 г.</w:t>
      </w:r>
    </w:p>
    <w:p w14:paraId="1F2D5651"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7</w:t>
      </w:r>
      <w:r w:rsidRPr="007122AB">
        <w:rPr>
          <w:rFonts w:ascii="Times New Roman" w:eastAsia="Times New Roman" w:hAnsi="Times New Roman"/>
          <w:color w:val="000000" w:themeColor="text1"/>
          <w:sz w:val="16"/>
          <w:szCs w:val="16"/>
          <w:lang w:eastAsia="ru-RU"/>
        </w:rPr>
        <w:t>. Решение  — особая папка.</w:t>
      </w:r>
    </w:p>
    <w:p w14:paraId="29551C8C"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8</w:t>
      </w:r>
      <w:r w:rsidRPr="007122AB">
        <w:rPr>
          <w:rFonts w:ascii="Times New Roman" w:eastAsia="Times New Roman" w:hAnsi="Times New Roman"/>
          <w:color w:val="000000" w:themeColor="text1"/>
          <w:sz w:val="16"/>
          <w:szCs w:val="16"/>
          <w:lang w:eastAsia="ru-RU"/>
        </w:rPr>
        <w:t>. Решение — особая папка.</w:t>
      </w:r>
    </w:p>
    <w:p w14:paraId="4134E666"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9</w:t>
      </w:r>
      <w:r w:rsidRPr="007122AB">
        <w:rPr>
          <w:rFonts w:ascii="Times New Roman" w:eastAsia="Times New Roman" w:hAnsi="Times New Roman"/>
          <w:color w:val="000000" w:themeColor="text1"/>
          <w:sz w:val="16"/>
          <w:szCs w:val="16"/>
          <w:lang w:eastAsia="ru-RU"/>
        </w:rPr>
        <w:t>. Обязать “</w:t>
      </w:r>
      <w:proofErr w:type="spellStart"/>
      <w:r w:rsidRPr="007122AB">
        <w:rPr>
          <w:rFonts w:ascii="Times New Roman" w:eastAsia="Times New Roman" w:hAnsi="Times New Roman"/>
          <w:color w:val="000000" w:themeColor="text1"/>
          <w:sz w:val="16"/>
          <w:szCs w:val="16"/>
          <w:lang w:eastAsia="ru-RU"/>
        </w:rPr>
        <w:t>Шарснаб</w:t>
      </w:r>
      <w:proofErr w:type="spellEnd"/>
      <w:r w:rsidRPr="007122AB">
        <w:rPr>
          <w:rFonts w:ascii="Times New Roman" w:eastAsia="Times New Roman" w:hAnsi="Times New Roman"/>
          <w:color w:val="000000" w:themeColor="text1"/>
          <w:sz w:val="16"/>
          <w:szCs w:val="16"/>
          <w:lang w:eastAsia="ru-RU"/>
        </w:rPr>
        <w:t>”, под личной ответственностью т. Жука, обеспечить своевременную доставку на завод “АМО” шариковых и роликовых подшипников, в пределах отпущенных контингентов и в сроки, установленные в договоре.</w:t>
      </w:r>
    </w:p>
    <w:p w14:paraId="2577B218"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10</w:t>
      </w:r>
      <w:r w:rsidRPr="007122AB">
        <w:rPr>
          <w:rFonts w:ascii="Times New Roman" w:eastAsia="Times New Roman" w:hAnsi="Times New Roman"/>
          <w:color w:val="000000" w:themeColor="text1"/>
          <w:sz w:val="16"/>
          <w:szCs w:val="16"/>
          <w:lang w:eastAsia="ru-RU"/>
        </w:rPr>
        <w:t>. Обязать директоров металлургических заводов: “Серп и Молот” — т. Степанова, Мариупольского — т. Радина, “Красный Октябрь” т. </w:t>
      </w:r>
      <w:proofErr w:type="spellStart"/>
      <w:r w:rsidRPr="007122AB">
        <w:rPr>
          <w:rFonts w:ascii="Times New Roman" w:eastAsia="Times New Roman" w:hAnsi="Times New Roman"/>
          <w:color w:val="000000" w:themeColor="text1"/>
          <w:sz w:val="16"/>
          <w:szCs w:val="16"/>
          <w:lang w:eastAsia="ru-RU"/>
        </w:rPr>
        <w:t>Клипова</w:t>
      </w:r>
      <w:proofErr w:type="spellEnd"/>
      <w:r w:rsidRPr="007122AB">
        <w:rPr>
          <w:rFonts w:ascii="Times New Roman" w:eastAsia="Times New Roman" w:hAnsi="Times New Roman"/>
          <w:color w:val="000000" w:themeColor="text1"/>
          <w:sz w:val="16"/>
          <w:szCs w:val="16"/>
          <w:lang w:eastAsia="ru-RU"/>
        </w:rPr>
        <w:t xml:space="preserve"> и Златоустовского — т. </w:t>
      </w:r>
      <w:proofErr w:type="spellStart"/>
      <w:r w:rsidRPr="007122AB">
        <w:rPr>
          <w:rFonts w:ascii="Times New Roman" w:eastAsia="Times New Roman" w:hAnsi="Times New Roman"/>
          <w:color w:val="000000" w:themeColor="text1"/>
          <w:sz w:val="16"/>
          <w:szCs w:val="16"/>
          <w:lang w:eastAsia="ru-RU"/>
        </w:rPr>
        <w:t>Упенина</w:t>
      </w:r>
      <w:proofErr w:type="spellEnd"/>
      <w:r w:rsidRPr="007122AB">
        <w:rPr>
          <w:rFonts w:ascii="Times New Roman" w:eastAsia="Times New Roman" w:hAnsi="Times New Roman"/>
          <w:color w:val="000000" w:themeColor="text1"/>
          <w:sz w:val="16"/>
          <w:szCs w:val="16"/>
          <w:lang w:eastAsia="ru-RU"/>
        </w:rPr>
        <w:t xml:space="preserve"> полностью и своевременно выполнить свои обязательства по поставке заводу “АМО” необходимых металлов, согласно заключенных договоров.</w:t>
      </w:r>
    </w:p>
    <w:p w14:paraId="7BF810CA"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11</w:t>
      </w:r>
      <w:r w:rsidRPr="007122AB">
        <w:rPr>
          <w:rFonts w:ascii="Times New Roman" w:eastAsia="Times New Roman" w:hAnsi="Times New Roman"/>
          <w:color w:val="000000" w:themeColor="text1"/>
          <w:sz w:val="16"/>
          <w:szCs w:val="16"/>
          <w:lang w:eastAsia="ru-RU"/>
        </w:rPr>
        <w:t>. Обязать ВСНХ произвести необходимые работы по реконструкции на заводе “Серп и Молот”, который намечен ВСНХ в качестве основной базы по поставке качественных сталей для завода “АМО”, в сроки, обеспечивающие производство на заводе “АМО”.</w:t>
      </w:r>
    </w:p>
    <w:p w14:paraId="76A91FEC"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12</w:t>
      </w:r>
      <w:r w:rsidRPr="007122AB">
        <w:rPr>
          <w:rFonts w:ascii="Times New Roman" w:eastAsia="Times New Roman" w:hAnsi="Times New Roman"/>
          <w:color w:val="000000" w:themeColor="text1"/>
          <w:sz w:val="16"/>
          <w:szCs w:val="16"/>
          <w:lang w:eastAsia="ru-RU"/>
        </w:rPr>
        <w:t xml:space="preserve">. Обязать </w:t>
      </w:r>
      <w:proofErr w:type="spellStart"/>
      <w:r w:rsidRPr="007122AB">
        <w:rPr>
          <w:rFonts w:ascii="Times New Roman" w:eastAsia="Times New Roman" w:hAnsi="Times New Roman"/>
          <w:color w:val="000000" w:themeColor="text1"/>
          <w:sz w:val="16"/>
          <w:szCs w:val="16"/>
          <w:lang w:eastAsia="ru-RU"/>
        </w:rPr>
        <w:t>Союзлеслром</w:t>
      </w:r>
      <w:proofErr w:type="spellEnd"/>
      <w:r w:rsidRPr="007122AB">
        <w:rPr>
          <w:rFonts w:ascii="Times New Roman" w:eastAsia="Times New Roman" w:hAnsi="Times New Roman"/>
          <w:color w:val="000000" w:themeColor="text1"/>
          <w:sz w:val="16"/>
          <w:szCs w:val="16"/>
          <w:lang w:eastAsia="ru-RU"/>
        </w:rPr>
        <w:t>, под личной ответственностью т. </w:t>
      </w:r>
      <w:proofErr w:type="spellStart"/>
      <w:r w:rsidRPr="007122AB">
        <w:rPr>
          <w:rFonts w:ascii="Times New Roman" w:eastAsia="Times New Roman" w:hAnsi="Times New Roman"/>
          <w:color w:val="000000" w:themeColor="text1"/>
          <w:sz w:val="16"/>
          <w:szCs w:val="16"/>
          <w:lang w:eastAsia="ru-RU"/>
        </w:rPr>
        <w:t>Бергавинова</w:t>
      </w:r>
      <w:proofErr w:type="spellEnd"/>
      <w:r w:rsidRPr="007122AB">
        <w:rPr>
          <w:rFonts w:ascii="Times New Roman" w:eastAsia="Times New Roman" w:hAnsi="Times New Roman"/>
          <w:color w:val="000000" w:themeColor="text1"/>
          <w:sz w:val="16"/>
          <w:szCs w:val="16"/>
          <w:lang w:eastAsia="ru-RU"/>
        </w:rPr>
        <w:t>, отгрузить своевременно заводу “АМО” лес, согласно заключенного договора.</w:t>
      </w:r>
    </w:p>
    <w:p w14:paraId="513A9B64"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13</w:t>
      </w:r>
      <w:r w:rsidRPr="007122AB">
        <w:rPr>
          <w:rFonts w:ascii="Times New Roman" w:eastAsia="Times New Roman" w:hAnsi="Times New Roman"/>
          <w:color w:val="000000" w:themeColor="text1"/>
          <w:sz w:val="16"/>
          <w:szCs w:val="16"/>
          <w:lang w:eastAsia="ru-RU"/>
        </w:rPr>
        <w:t>. Обязать ВСНХ принять меры к заключению в 5</w:t>
      </w:r>
      <w:r w:rsidRPr="007122AB">
        <w:rPr>
          <w:rFonts w:ascii="Times New Roman" w:eastAsia="Times New Roman" w:hAnsi="Times New Roman"/>
          <w:color w:val="000000" w:themeColor="text1"/>
          <w:sz w:val="16"/>
          <w:szCs w:val="16"/>
          <w:lang w:eastAsia="ru-RU"/>
        </w:rPr>
        <w:noBreakHyphen/>
        <w:t xml:space="preserve">дневный срок договора между заводом “АМО” и </w:t>
      </w:r>
      <w:proofErr w:type="spellStart"/>
      <w:r w:rsidRPr="007122AB">
        <w:rPr>
          <w:rFonts w:ascii="Times New Roman" w:eastAsia="Times New Roman" w:hAnsi="Times New Roman"/>
          <w:color w:val="000000" w:themeColor="text1"/>
          <w:sz w:val="16"/>
          <w:szCs w:val="16"/>
          <w:lang w:eastAsia="ru-RU"/>
        </w:rPr>
        <w:t>Резинообъединением</w:t>
      </w:r>
      <w:proofErr w:type="spellEnd"/>
      <w:r w:rsidRPr="007122AB">
        <w:rPr>
          <w:rFonts w:ascii="Times New Roman" w:eastAsia="Times New Roman" w:hAnsi="Times New Roman"/>
          <w:color w:val="000000" w:themeColor="text1"/>
          <w:sz w:val="16"/>
          <w:szCs w:val="16"/>
          <w:lang w:eastAsia="ru-RU"/>
        </w:rPr>
        <w:t xml:space="preserve"> на поставку </w:t>
      </w:r>
      <w:proofErr w:type="spellStart"/>
      <w:r w:rsidRPr="007122AB">
        <w:rPr>
          <w:rFonts w:ascii="Times New Roman" w:eastAsia="Times New Roman" w:hAnsi="Times New Roman"/>
          <w:color w:val="000000" w:themeColor="text1"/>
          <w:sz w:val="16"/>
          <w:szCs w:val="16"/>
          <w:lang w:eastAsia="ru-RU"/>
        </w:rPr>
        <w:t>резино</w:t>
      </w:r>
      <w:proofErr w:type="spellEnd"/>
      <w:r w:rsidRPr="007122AB">
        <w:rPr>
          <w:rFonts w:ascii="Times New Roman" w:eastAsia="Times New Roman" w:hAnsi="Times New Roman"/>
          <w:color w:val="000000" w:themeColor="text1"/>
          <w:sz w:val="16"/>
          <w:szCs w:val="16"/>
          <w:lang w:eastAsia="ru-RU"/>
        </w:rPr>
        <w:t>-асбестовых изделий.</w:t>
      </w:r>
    </w:p>
    <w:p w14:paraId="50683281"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14</w:t>
      </w:r>
      <w:r w:rsidRPr="007122AB">
        <w:rPr>
          <w:rFonts w:ascii="Times New Roman" w:eastAsia="Times New Roman" w:hAnsi="Times New Roman"/>
          <w:color w:val="000000" w:themeColor="text1"/>
          <w:sz w:val="16"/>
          <w:szCs w:val="16"/>
          <w:lang w:eastAsia="ru-RU"/>
        </w:rPr>
        <w:t xml:space="preserve">. Обязать т. Москвина не позднее 15.VII.1931 г. выделить заводу “АМО” 50 молодых инженеров из числа оканчивающих </w:t>
      </w:r>
      <w:proofErr w:type="spellStart"/>
      <w:r w:rsidRPr="007122AB">
        <w:rPr>
          <w:rFonts w:ascii="Times New Roman" w:eastAsia="Times New Roman" w:hAnsi="Times New Roman"/>
          <w:color w:val="000000" w:themeColor="text1"/>
          <w:sz w:val="16"/>
          <w:szCs w:val="16"/>
          <w:lang w:eastAsia="ru-RU"/>
        </w:rPr>
        <w:t>ВТУЗ’ы</w:t>
      </w:r>
      <w:proofErr w:type="spellEnd"/>
      <w:r w:rsidRPr="007122AB">
        <w:rPr>
          <w:rFonts w:ascii="Times New Roman" w:eastAsia="Times New Roman" w:hAnsi="Times New Roman"/>
          <w:color w:val="000000" w:themeColor="text1"/>
          <w:sz w:val="16"/>
          <w:szCs w:val="16"/>
          <w:lang w:eastAsia="ru-RU"/>
        </w:rPr>
        <w:t>.</w:t>
      </w:r>
    </w:p>
    <w:p w14:paraId="48665D46"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15</w:t>
      </w:r>
      <w:r w:rsidRPr="007122AB">
        <w:rPr>
          <w:rFonts w:ascii="Times New Roman" w:eastAsia="Times New Roman" w:hAnsi="Times New Roman"/>
          <w:color w:val="000000" w:themeColor="text1"/>
          <w:sz w:val="16"/>
          <w:szCs w:val="16"/>
          <w:lang w:eastAsia="ru-RU"/>
        </w:rPr>
        <w:t>. Считая необходимым выделение заводу “АМО” собственных оборотных средств, предложить Совету Труда и Обороны определить размер и сроки отпуска этих средств.</w:t>
      </w:r>
    </w:p>
    <w:p w14:paraId="1A151B2D"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16</w:t>
      </w:r>
      <w:r w:rsidRPr="007122AB">
        <w:rPr>
          <w:rFonts w:ascii="Times New Roman" w:eastAsia="Times New Roman" w:hAnsi="Times New Roman"/>
          <w:color w:val="000000" w:themeColor="text1"/>
          <w:sz w:val="16"/>
          <w:szCs w:val="16"/>
          <w:lang w:eastAsia="ru-RU"/>
        </w:rPr>
        <w:t>. Обязать т. Лихачева безусловно выполнить намеченный план жилстроительства, в соответствии с отпущенными средствами и стройматериалами.</w:t>
      </w:r>
    </w:p>
    <w:p w14:paraId="36C05189"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17</w:t>
      </w:r>
      <w:r w:rsidRPr="007122AB">
        <w:rPr>
          <w:rFonts w:ascii="Times New Roman" w:eastAsia="Times New Roman" w:hAnsi="Times New Roman"/>
          <w:color w:val="000000" w:themeColor="text1"/>
          <w:sz w:val="16"/>
          <w:szCs w:val="16"/>
          <w:lang w:eastAsia="ru-RU"/>
        </w:rPr>
        <w:t>. Считать необходимым постановку производства на “АМО” 3</w:t>
      </w:r>
      <w:r w:rsidRPr="007122AB">
        <w:rPr>
          <w:rFonts w:ascii="Times New Roman" w:eastAsia="Times New Roman" w:hAnsi="Times New Roman"/>
          <w:color w:val="000000" w:themeColor="text1"/>
          <w:sz w:val="16"/>
          <w:szCs w:val="16"/>
          <w:lang w:eastAsia="ru-RU"/>
        </w:rPr>
        <w:noBreakHyphen/>
        <w:t xml:space="preserve">х </w:t>
      </w:r>
      <w:proofErr w:type="spellStart"/>
      <w:r w:rsidRPr="007122AB">
        <w:rPr>
          <w:rFonts w:ascii="Times New Roman" w:eastAsia="Times New Roman" w:hAnsi="Times New Roman"/>
          <w:color w:val="000000" w:themeColor="text1"/>
          <w:sz w:val="16"/>
          <w:szCs w:val="16"/>
          <w:lang w:eastAsia="ru-RU"/>
        </w:rPr>
        <w:t>осных</w:t>
      </w:r>
      <w:proofErr w:type="spellEnd"/>
      <w:r w:rsidRPr="007122AB">
        <w:rPr>
          <w:rFonts w:ascii="Times New Roman" w:eastAsia="Times New Roman" w:hAnsi="Times New Roman"/>
          <w:color w:val="000000" w:themeColor="text1"/>
          <w:sz w:val="16"/>
          <w:szCs w:val="16"/>
          <w:lang w:eastAsia="ru-RU"/>
        </w:rPr>
        <w:t xml:space="preserve"> машин. Предложить ВСНХ и </w:t>
      </w:r>
      <w:proofErr w:type="spellStart"/>
      <w:r w:rsidRPr="007122AB">
        <w:rPr>
          <w:rFonts w:ascii="Times New Roman" w:eastAsia="Times New Roman" w:hAnsi="Times New Roman"/>
          <w:color w:val="000000" w:themeColor="text1"/>
          <w:sz w:val="16"/>
          <w:szCs w:val="16"/>
          <w:lang w:eastAsia="ru-RU"/>
        </w:rPr>
        <w:t>НКВоенмору</w:t>
      </w:r>
      <w:proofErr w:type="spellEnd"/>
      <w:r w:rsidRPr="007122AB">
        <w:rPr>
          <w:rFonts w:ascii="Times New Roman" w:eastAsia="Times New Roman" w:hAnsi="Times New Roman"/>
          <w:color w:val="000000" w:themeColor="text1"/>
          <w:sz w:val="16"/>
          <w:szCs w:val="16"/>
          <w:lang w:eastAsia="ru-RU"/>
        </w:rPr>
        <w:t xml:space="preserve"> внести свои окончательные предложения в ПБ в декадный срок, установив программу выпуска в 1931/32 г. и потребное количество средств для приобретения импортного оборудования.</w:t>
      </w:r>
    </w:p>
    <w:p w14:paraId="0B04B37D"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18</w:t>
      </w:r>
      <w:r w:rsidRPr="007122AB">
        <w:rPr>
          <w:rFonts w:ascii="Times New Roman" w:eastAsia="Times New Roman" w:hAnsi="Times New Roman"/>
          <w:color w:val="000000" w:themeColor="text1"/>
          <w:sz w:val="16"/>
          <w:szCs w:val="16"/>
          <w:lang w:eastAsia="ru-RU"/>
        </w:rPr>
        <w:t>. Обязать т. Лихачева принять самке энергичные меры к расчистке и приведению в порядок внутренней площади завода. Поручить московской организации оказать в этом отношении “АМО” необходимую помощь.</w:t>
      </w:r>
    </w:p>
    <w:p w14:paraId="4E667729"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19</w:t>
      </w:r>
      <w:r w:rsidRPr="007122AB">
        <w:rPr>
          <w:rFonts w:ascii="Times New Roman" w:eastAsia="Times New Roman" w:hAnsi="Times New Roman"/>
          <w:color w:val="000000" w:themeColor="text1"/>
          <w:sz w:val="16"/>
          <w:szCs w:val="16"/>
          <w:lang w:eastAsia="ru-RU"/>
        </w:rPr>
        <w:t>. На примере “АМО”, ЦК констатирует неудовлетворительность приемки оборудования заграницей, в результате чего целый ряд предметов импортного оборудования приходится по прибытии на заводы переделывать. ЦК обязывает:</w:t>
      </w:r>
    </w:p>
    <w:p w14:paraId="4BF634F0"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а) </w:t>
      </w:r>
      <w:proofErr w:type="spellStart"/>
      <w:r w:rsidRPr="007122AB">
        <w:rPr>
          <w:rFonts w:ascii="Times New Roman" w:eastAsia="Times New Roman" w:hAnsi="Times New Roman"/>
          <w:color w:val="000000" w:themeColor="text1"/>
          <w:sz w:val="16"/>
          <w:szCs w:val="16"/>
          <w:lang w:eastAsia="ru-RU"/>
        </w:rPr>
        <w:t>НКВнешторг</w:t>
      </w:r>
      <w:proofErr w:type="spellEnd"/>
      <w:r w:rsidRPr="007122AB">
        <w:rPr>
          <w:rFonts w:ascii="Times New Roman" w:eastAsia="Times New Roman" w:hAnsi="Times New Roman"/>
          <w:color w:val="000000" w:themeColor="text1"/>
          <w:sz w:val="16"/>
          <w:szCs w:val="16"/>
          <w:lang w:eastAsia="ru-RU"/>
        </w:rPr>
        <w:t> — организовать при Амторге и Берлинском торгпредстве технически грамотные аппараты по приемке заграничного оборудования, из числа наиболее проверенных и посланных из Союза работников, возложив на эти аппараты наблюдение за выбором заказываемого оборудования, изготовлением и предварительным испытанием его на заграничных заводах-поставщиках. ВСНХ СССР обеспечить приемочные аппараты заграничных торгпредств необходимыми работниками;</w:t>
      </w:r>
    </w:p>
    <w:p w14:paraId="3F59BB3F" w14:textId="77777777" w:rsidR="00033436" w:rsidRPr="007122AB" w:rsidRDefault="00033436"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б) считать необходимым привлечение заводов СССР, для которых заказывается импортное оборудование, к участию в наблюдении за изготовлением оборудования и его приемкой, путем посылки заграницу квалифицированных работников самих заводов (17309).</w:t>
      </w:r>
    </w:p>
    <w:p w14:paraId="7071347A" w14:textId="77777777" w:rsidR="00033436" w:rsidRPr="007122AB" w:rsidRDefault="00033436" w:rsidP="007122AB">
      <w:pPr>
        <w:spacing w:after="0" w:line="240" w:lineRule="auto"/>
        <w:jc w:val="both"/>
        <w:rPr>
          <w:rFonts w:ascii="Times New Roman" w:hAnsi="Times New Roman"/>
          <w:color w:val="000000" w:themeColor="text1"/>
          <w:sz w:val="16"/>
          <w:szCs w:val="16"/>
        </w:rPr>
      </w:pPr>
    </w:p>
    <w:p w14:paraId="41F72F4C"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июня 1931</w:t>
      </w:r>
    </w:p>
    <w:p w14:paraId="42DE3D91"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 13/29: О заводе “АМО”</w:t>
      </w:r>
    </w:p>
    <w:p w14:paraId="62ECBE0A"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5.VI.31 г., пр. № 41, п. З).</w:t>
      </w:r>
    </w:p>
    <w:p w14:paraId="2F4361B9"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(Андреев).</w:t>
      </w:r>
    </w:p>
    <w:p w14:paraId="4708B2C0"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представленный комиссией т. Андреева проект постановления ЦК о реконструкции завода “АМО” (</w:t>
      </w:r>
      <w:hyperlink r:id="rId135" w:history="1">
        <w:r w:rsidRPr="007122AB">
          <w:rPr>
            <w:rStyle w:val="a5"/>
            <w:rFonts w:ascii="Times New Roman" w:hAnsi="Times New Roman"/>
            <w:color w:val="000000" w:themeColor="text1"/>
            <w:sz w:val="16"/>
            <w:szCs w:val="16"/>
          </w:rPr>
          <w:t>см. приложение № 3</w:t>
        </w:r>
      </w:hyperlink>
      <w:r w:rsidRPr="007122AB">
        <w:rPr>
          <w:rFonts w:ascii="Times New Roman" w:hAnsi="Times New Roman"/>
          <w:color w:val="000000" w:themeColor="text1"/>
          <w:sz w:val="16"/>
          <w:szCs w:val="16"/>
        </w:rPr>
        <w:t>).</w:t>
      </w:r>
    </w:p>
    <w:p w14:paraId="33BE4099"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3</w:t>
      </w:r>
    </w:p>
    <w:p w14:paraId="24C1070C"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13/29 пр. ПБ № 46.</w:t>
      </w:r>
    </w:p>
    <w:p w14:paraId="1C382C8E"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реконструкции завода “АМО”.</w:t>
      </w:r>
    </w:p>
    <w:p w14:paraId="32120B38"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(Предложения комиссии т. Андреева, утвержденные Политбюро ЦК 30 июня 1931 г.)</w:t>
      </w:r>
    </w:p>
    <w:p w14:paraId="79452FB1"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Заслушав доклад о ходе реконструкции завода “АМО” ЦК ВКП(б) отмечает запоздание с окончанием работ по реконструкции, против установленного срока (1 июня 1931 г.); медленные темпы и неудовлетворительное качество строительных работ, осуществляемых Московской конторой “Строитель”.</w:t>
      </w:r>
    </w:p>
    <w:p w14:paraId="6E439D06"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 ВКП(б) постановляет:</w:t>
      </w:r>
    </w:p>
    <w:p w14:paraId="32EBD59C"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Обязать контору “Строитель”, под личной ответственностью т. Прокофьева, закончить все строительные работы не позднее 15.VII.1931 г.</w:t>
      </w:r>
    </w:p>
    <w:p w14:paraId="1C6E80D7"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Согласиться с решением ВСНХ СССР об установлении срока пуска завода “АМО” 1</w:t>
      </w:r>
      <w:r w:rsidRPr="007122AB">
        <w:rPr>
          <w:rFonts w:ascii="Times New Roman" w:hAnsi="Times New Roman"/>
          <w:color w:val="000000" w:themeColor="text1"/>
          <w:sz w:val="16"/>
          <w:szCs w:val="16"/>
        </w:rPr>
        <w:noBreakHyphen/>
        <w:t>го августа 1931 года.</w:t>
      </w:r>
    </w:p>
    <w:p w14:paraId="5651704D"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Считать необходимым установить для завода “АМО” двухмесячный пусковой период для проверки технологических процессов, освоения оборудования, подготовки инструментов и т. д. с тем, чтобы завод приступил к развернутой работе по выполнению программы с 1.Х.1931 г.</w:t>
      </w:r>
    </w:p>
    <w:p w14:paraId="0D4E1CA8"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ВСНХ СССР установить программу выпуска машин заводом “АМО” в 1931 г. не позднее 15 августа 1931 г.</w:t>
      </w:r>
    </w:p>
    <w:p w14:paraId="08AE14FA"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Для обеспечения быстрейшего окончания строительных работ вести строительные работы в две смены по 10 часов в день, сосредоточив особое внимание на строительстве литейной ковкого чугуна, томильного цеха, сушила и на отделочных работах других цехов.</w:t>
      </w:r>
    </w:p>
    <w:p w14:paraId="19677A4A"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Принять к сведению, что московскими организациями принят уже ряд мер по форсированию хода строительных работ, в том числе: перебрасываются на завод “АМО” 1200 чел. дополнительных строительных рабочих, строительные работы обеспечиваются необходимыми механизмами, строительными материалами и гужевым транспортом.</w:t>
      </w:r>
    </w:p>
    <w:p w14:paraId="31CB1697"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Обязать “</w:t>
      </w:r>
      <w:proofErr w:type="spellStart"/>
      <w:r w:rsidRPr="007122AB">
        <w:rPr>
          <w:rFonts w:ascii="Times New Roman" w:hAnsi="Times New Roman"/>
          <w:color w:val="000000" w:themeColor="text1"/>
          <w:sz w:val="16"/>
          <w:szCs w:val="16"/>
        </w:rPr>
        <w:t>Авторемснаб</w:t>
      </w:r>
      <w:proofErr w:type="spellEnd"/>
      <w:r w:rsidRPr="007122AB">
        <w:rPr>
          <w:rFonts w:ascii="Times New Roman" w:hAnsi="Times New Roman"/>
          <w:color w:val="000000" w:themeColor="text1"/>
          <w:sz w:val="16"/>
          <w:szCs w:val="16"/>
        </w:rPr>
        <w:t>” в 5</w:t>
      </w:r>
      <w:r w:rsidRPr="007122AB">
        <w:rPr>
          <w:rFonts w:ascii="Times New Roman" w:hAnsi="Times New Roman"/>
          <w:color w:val="000000" w:themeColor="text1"/>
          <w:sz w:val="16"/>
          <w:szCs w:val="16"/>
        </w:rPr>
        <w:noBreakHyphen/>
        <w:t>дневный срок выделить заводу “АМО” 10 грузовых машин.</w:t>
      </w:r>
    </w:p>
    <w:p w14:paraId="572E710D"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Обязать ВСНХ СССР своевременно обеспечить необходимые фонды строительных материалов на 3</w:t>
      </w:r>
      <w:r w:rsidRPr="007122AB">
        <w:rPr>
          <w:rFonts w:ascii="Times New Roman" w:hAnsi="Times New Roman"/>
          <w:color w:val="000000" w:themeColor="text1"/>
          <w:sz w:val="16"/>
          <w:szCs w:val="16"/>
        </w:rPr>
        <w:noBreakHyphen/>
        <w:t>й квартал 1931 г.</w:t>
      </w:r>
    </w:p>
    <w:p w14:paraId="2BB3E387"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Решение  — особая папка.</w:t>
      </w:r>
    </w:p>
    <w:p w14:paraId="2F2C89C9"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Решение — особая папка.</w:t>
      </w:r>
    </w:p>
    <w:p w14:paraId="5AAEB265"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Обязать “</w:t>
      </w:r>
      <w:proofErr w:type="spellStart"/>
      <w:r w:rsidRPr="007122AB">
        <w:rPr>
          <w:rFonts w:ascii="Times New Roman" w:hAnsi="Times New Roman"/>
          <w:color w:val="000000" w:themeColor="text1"/>
          <w:sz w:val="16"/>
          <w:szCs w:val="16"/>
        </w:rPr>
        <w:t>Шарснаб</w:t>
      </w:r>
      <w:proofErr w:type="spellEnd"/>
      <w:r w:rsidRPr="007122AB">
        <w:rPr>
          <w:rFonts w:ascii="Times New Roman" w:hAnsi="Times New Roman"/>
          <w:color w:val="000000" w:themeColor="text1"/>
          <w:sz w:val="16"/>
          <w:szCs w:val="16"/>
        </w:rPr>
        <w:t>”, под личной ответственностью т. Жука, обеспечить своевременную доставку на завод “АМО” шариковых и роликовых подшипников, в пределах отпущенных контингентов и в сроки, установленные в договоре.</w:t>
      </w:r>
    </w:p>
    <w:p w14:paraId="7AFEA661"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Обязать директоров металлургических заводов: “Серп и Молот” — т. Степанова, Мариупольского — т. Радина, “Красный Октябрь” т. </w:t>
      </w:r>
      <w:proofErr w:type="spellStart"/>
      <w:r w:rsidRPr="007122AB">
        <w:rPr>
          <w:rFonts w:ascii="Times New Roman" w:hAnsi="Times New Roman"/>
          <w:color w:val="000000" w:themeColor="text1"/>
          <w:sz w:val="16"/>
          <w:szCs w:val="16"/>
        </w:rPr>
        <w:t>Клипова</w:t>
      </w:r>
      <w:proofErr w:type="spellEnd"/>
      <w:r w:rsidRPr="007122AB">
        <w:rPr>
          <w:rFonts w:ascii="Times New Roman" w:hAnsi="Times New Roman"/>
          <w:color w:val="000000" w:themeColor="text1"/>
          <w:sz w:val="16"/>
          <w:szCs w:val="16"/>
        </w:rPr>
        <w:t xml:space="preserve"> и Златоустовского — т. </w:t>
      </w:r>
      <w:proofErr w:type="spellStart"/>
      <w:r w:rsidRPr="007122AB">
        <w:rPr>
          <w:rFonts w:ascii="Times New Roman" w:hAnsi="Times New Roman"/>
          <w:color w:val="000000" w:themeColor="text1"/>
          <w:sz w:val="16"/>
          <w:szCs w:val="16"/>
        </w:rPr>
        <w:t>Упенина</w:t>
      </w:r>
      <w:proofErr w:type="spellEnd"/>
      <w:r w:rsidRPr="007122AB">
        <w:rPr>
          <w:rFonts w:ascii="Times New Roman" w:hAnsi="Times New Roman"/>
          <w:color w:val="000000" w:themeColor="text1"/>
          <w:sz w:val="16"/>
          <w:szCs w:val="16"/>
        </w:rPr>
        <w:t xml:space="preserve"> полностью и своевременно выполнить свои обязательства по поставке заводу “АМО” необходимых металлов, согласно заключенных договоров.</w:t>
      </w:r>
    </w:p>
    <w:p w14:paraId="1641C157"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Обязать ВСНХ произвести необходимые работы по реконструкции на заводе “Серп и Молот”, который намечен ВСНХ в качестве основной базы по поставке качественных сталей для завода “АМО”, в сроки, обеспечивающие производство на заводе “АМО”.</w:t>
      </w:r>
    </w:p>
    <w:p w14:paraId="73A2E1DF"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Обязать </w:t>
      </w:r>
      <w:proofErr w:type="spellStart"/>
      <w:r w:rsidRPr="007122AB">
        <w:rPr>
          <w:rFonts w:ascii="Times New Roman" w:hAnsi="Times New Roman"/>
          <w:color w:val="000000" w:themeColor="text1"/>
          <w:sz w:val="16"/>
          <w:szCs w:val="16"/>
        </w:rPr>
        <w:t>Союзлеслром</w:t>
      </w:r>
      <w:proofErr w:type="spellEnd"/>
      <w:r w:rsidRPr="007122AB">
        <w:rPr>
          <w:rFonts w:ascii="Times New Roman" w:hAnsi="Times New Roman"/>
          <w:color w:val="000000" w:themeColor="text1"/>
          <w:sz w:val="16"/>
          <w:szCs w:val="16"/>
        </w:rPr>
        <w:t>, под личной ответственностью т. </w:t>
      </w:r>
      <w:proofErr w:type="spellStart"/>
      <w:r w:rsidRPr="007122AB">
        <w:rPr>
          <w:rFonts w:ascii="Times New Roman" w:hAnsi="Times New Roman"/>
          <w:color w:val="000000" w:themeColor="text1"/>
          <w:sz w:val="16"/>
          <w:szCs w:val="16"/>
        </w:rPr>
        <w:t>Бергавинова</w:t>
      </w:r>
      <w:proofErr w:type="spellEnd"/>
      <w:r w:rsidRPr="007122AB">
        <w:rPr>
          <w:rFonts w:ascii="Times New Roman" w:hAnsi="Times New Roman"/>
          <w:color w:val="000000" w:themeColor="text1"/>
          <w:sz w:val="16"/>
          <w:szCs w:val="16"/>
        </w:rPr>
        <w:t>, отгрузить своевременно заводу “АМО” лес, согласно заключенного договора.</w:t>
      </w:r>
    </w:p>
    <w:p w14:paraId="4AC01BDA"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Обязать ВСНХ принять меры к заключению в 5</w:t>
      </w:r>
      <w:r w:rsidRPr="007122AB">
        <w:rPr>
          <w:rFonts w:ascii="Times New Roman" w:hAnsi="Times New Roman"/>
          <w:color w:val="000000" w:themeColor="text1"/>
          <w:sz w:val="16"/>
          <w:szCs w:val="16"/>
        </w:rPr>
        <w:noBreakHyphen/>
        <w:t xml:space="preserve">дневный срок договора между заводом “АМО” и </w:t>
      </w:r>
      <w:proofErr w:type="spellStart"/>
      <w:r w:rsidRPr="007122AB">
        <w:rPr>
          <w:rFonts w:ascii="Times New Roman" w:hAnsi="Times New Roman"/>
          <w:color w:val="000000" w:themeColor="text1"/>
          <w:sz w:val="16"/>
          <w:szCs w:val="16"/>
        </w:rPr>
        <w:t>Резинообъединением</w:t>
      </w:r>
      <w:proofErr w:type="spellEnd"/>
      <w:r w:rsidRPr="007122AB">
        <w:rPr>
          <w:rFonts w:ascii="Times New Roman" w:hAnsi="Times New Roman"/>
          <w:color w:val="000000" w:themeColor="text1"/>
          <w:sz w:val="16"/>
          <w:szCs w:val="16"/>
        </w:rPr>
        <w:t xml:space="preserve"> на поставку </w:t>
      </w:r>
      <w:proofErr w:type="spellStart"/>
      <w:r w:rsidRPr="007122AB">
        <w:rPr>
          <w:rFonts w:ascii="Times New Roman" w:hAnsi="Times New Roman"/>
          <w:color w:val="000000" w:themeColor="text1"/>
          <w:sz w:val="16"/>
          <w:szCs w:val="16"/>
        </w:rPr>
        <w:t>резино</w:t>
      </w:r>
      <w:proofErr w:type="spellEnd"/>
      <w:r w:rsidRPr="007122AB">
        <w:rPr>
          <w:rFonts w:ascii="Times New Roman" w:hAnsi="Times New Roman"/>
          <w:color w:val="000000" w:themeColor="text1"/>
          <w:sz w:val="16"/>
          <w:szCs w:val="16"/>
        </w:rPr>
        <w:t>-асбестовых изделий.</w:t>
      </w:r>
    </w:p>
    <w:p w14:paraId="46F94D24"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Обязать т. Москвина не позднее 15.VII.1931 г. выделить заводу “АМО” 50 молодых инженеров из числа оканчивающих </w:t>
      </w:r>
      <w:proofErr w:type="spellStart"/>
      <w:r w:rsidRPr="007122AB">
        <w:rPr>
          <w:rFonts w:ascii="Times New Roman" w:hAnsi="Times New Roman"/>
          <w:color w:val="000000" w:themeColor="text1"/>
          <w:sz w:val="16"/>
          <w:szCs w:val="16"/>
        </w:rPr>
        <w:t>ВТУЗ’ы</w:t>
      </w:r>
      <w:proofErr w:type="spellEnd"/>
      <w:r w:rsidRPr="007122AB">
        <w:rPr>
          <w:rFonts w:ascii="Times New Roman" w:hAnsi="Times New Roman"/>
          <w:color w:val="000000" w:themeColor="text1"/>
          <w:sz w:val="16"/>
          <w:szCs w:val="16"/>
        </w:rPr>
        <w:t>.</w:t>
      </w:r>
    </w:p>
    <w:p w14:paraId="65113AD6"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Считая необходимым выделение заводу “АМО” собственных оборотных средств, предложить Совету Труда и Обороны определить размер и сроки отпуска этих средств.</w:t>
      </w:r>
    </w:p>
    <w:p w14:paraId="610B1EFF"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Обязать т. Лихачева безусловно выполнить намеченный план жилстроительства, в соответствии с отпущенными средствами и стройматериалами.</w:t>
      </w:r>
    </w:p>
    <w:p w14:paraId="02B11520"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Считать необходимым постановку производства на “АМО” 3</w:t>
      </w:r>
      <w:r w:rsidRPr="007122AB">
        <w:rPr>
          <w:rFonts w:ascii="Times New Roman" w:hAnsi="Times New Roman"/>
          <w:color w:val="000000" w:themeColor="text1"/>
          <w:sz w:val="16"/>
          <w:szCs w:val="16"/>
        </w:rPr>
        <w:noBreakHyphen/>
        <w:t xml:space="preserve">х </w:t>
      </w:r>
      <w:proofErr w:type="spellStart"/>
      <w:r w:rsidRPr="007122AB">
        <w:rPr>
          <w:rFonts w:ascii="Times New Roman" w:hAnsi="Times New Roman"/>
          <w:color w:val="000000" w:themeColor="text1"/>
          <w:sz w:val="16"/>
          <w:szCs w:val="16"/>
        </w:rPr>
        <w:t>осных</w:t>
      </w:r>
      <w:proofErr w:type="spellEnd"/>
      <w:r w:rsidRPr="007122AB">
        <w:rPr>
          <w:rFonts w:ascii="Times New Roman" w:hAnsi="Times New Roman"/>
          <w:color w:val="000000" w:themeColor="text1"/>
          <w:sz w:val="16"/>
          <w:szCs w:val="16"/>
        </w:rPr>
        <w:t xml:space="preserve"> машин. Предложить ВСНХ и </w:t>
      </w:r>
      <w:proofErr w:type="spellStart"/>
      <w:r w:rsidRPr="007122AB">
        <w:rPr>
          <w:rFonts w:ascii="Times New Roman" w:hAnsi="Times New Roman"/>
          <w:color w:val="000000" w:themeColor="text1"/>
          <w:sz w:val="16"/>
          <w:szCs w:val="16"/>
        </w:rPr>
        <w:t>НКВоенмору</w:t>
      </w:r>
      <w:proofErr w:type="spellEnd"/>
      <w:r w:rsidRPr="007122AB">
        <w:rPr>
          <w:rFonts w:ascii="Times New Roman" w:hAnsi="Times New Roman"/>
          <w:color w:val="000000" w:themeColor="text1"/>
          <w:sz w:val="16"/>
          <w:szCs w:val="16"/>
        </w:rPr>
        <w:t xml:space="preserve"> внести свои окончательные предложения в ПБ в декадный срок, установив программу выпуска в 1931/32 г. и потребное количество средств для приобретения импортного оборудования.</w:t>
      </w:r>
    </w:p>
    <w:p w14:paraId="5E842319"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Обязать т. Лихачева принять самке энергичные меры к расчистке и приведению в порядок внутренней площади завода. Поручить московской организации оказать в этом отношении “АМО” необходимую помощь.</w:t>
      </w:r>
    </w:p>
    <w:p w14:paraId="0E4351F3"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На примере “АМО”, ЦК констатирует неудовлетворительность приемки оборудования заграницей, в результате чего целый ряд предметов импортного оборудования приходится по прибытии на заводы переделывать. ЦК обязывает:</w:t>
      </w:r>
    </w:p>
    <w:p w14:paraId="47AB95EB"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w:t>
      </w:r>
      <w:proofErr w:type="spellStart"/>
      <w:r w:rsidRPr="007122AB">
        <w:rPr>
          <w:rFonts w:ascii="Times New Roman" w:hAnsi="Times New Roman"/>
          <w:color w:val="000000" w:themeColor="text1"/>
          <w:sz w:val="16"/>
          <w:szCs w:val="16"/>
        </w:rPr>
        <w:t>НКВнешторг</w:t>
      </w:r>
      <w:proofErr w:type="spellEnd"/>
      <w:r w:rsidRPr="007122AB">
        <w:rPr>
          <w:rFonts w:ascii="Times New Roman" w:hAnsi="Times New Roman"/>
          <w:color w:val="000000" w:themeColor="text1"/>
          <w:sz w:val="16"/>
          <w:szCs w:val="16"/>
        </w:rPr>
        <w:t> — организовать при Амторге и Берлинском торгпредстве технически грамотные аппараты по приемке заграничного оборудования, из числа наиболее проверенных и посланных из Союза работников, возложив на эти аппараты наблюдение за выбором заказываемого оборудования, изготовлением и предварительным испытанием его на заграничных заводах-поставщиках. ВСНХ СССР обеспечить приемочные аппараты заграничных торгпредств необходимыми работниками;</w:t>
      </w:r>
    </w:p>
    <w:p w14:paraId="1CA32C85"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считать необходимым привлечение заводов СССР, для которых заказывается импортное оборудование, к участию в наблюдении за изготовлением оборудования и его приемкой, путем посылки заграницу квалифицированных работников самих заводов.</w:t>
      </w:r>
    </w:p>
    <w:p w14:paraId="3AEF9D1E" w14:textId="77777777" w:rsidR="001B5062" w:rsidRPr="007122AB" w:rsidRDefault="001B50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(18113).</w:t>
      </w:r>
    </w:p>
    <w:p w14:paraId="156B6796" w14:textId="77777777" w:rsidR="001B5062" w:rsidRPr="007122AB" w:rsidRDefault="001B5062" w:rsidP="007122AB">
      <w:pPr>
        <w:spacing w:after="0" w:line="240" w:lineRule="auto"/>
        <w:jc w:val="both"/>
        <w:rPr>
          <w:rFonts w:ascii="Times New Roman" w:hAnsi="Times New Roman"/>
          <w:color w:val="000000" w:themeColor="text1"/>
          <w:sz w:val="16"/>
          <w:szCs w:val="16"/>
        </w:rPr>
      </w:pPr>
    </w:p>
    <w:p w14:paraId="5471973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4C416B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A93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июня 1931 Комиссия ЦК ВКП(б) по спецпоселениям под руководством </w:t>
      </w:r>
      <w:proofErr w:type="spellStart"/>
      <w:r w:rsidRPr="007122AB">
        <w:rPr>
          <w:rFonts w:ascii="Times New Roman" w:hAnsi="Times New Roman"/>
          <w:color w:val="000000" w:themeColor="text1"/>
          <w:sz w:val="16"/>
          <w:szCs w:val="16"/>
        </w:rPr>
        <w:t>А.Андреева</w:t>
      </w:r>
      <w:proofErr w:type="spellEnd"/>
      <w:r w:rsidRPr="007122AB">
        <w:rPr>
          <w:rFonts w:ascii="Times New Roman" w:hAnsi="Times New Roman"/>
          <w:color w:val="000000" w:themeColor="text1"/>
          <w:sz w:val="16"/>
          <w:szCs w:val="16"/>
        </w:rPr>
        <w:t xml:space="preserve"> приняла решение о четком </w:t>
      </w:r>
      <w:proofErr w:type="spellStart"/>
      <w:r w:rsidRPr="007122AB">
        <w:rPr>
          <w:rFonts w:ascii="Times New Roman" w:hAnsi="Times New Roman"/>
          <w:color w:val="000000" w:themeColor="text1"/>
          <w:sz w:val="16"/>
          <w:szCs w:val="16"/>
        </w:rPr>
        <w:t>pазделении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спецпеpеселенцев</w:t>
      </w:r>
      <w:proofErr w:type="spellEnd"/>
      <w:r w:rsidRPr="007122AB">
        <w:rPr>
          <w:rFonts w:ascii="Times New Roman" w:hAnsi="Times New Roman"/>
          <w:color w:val="000000" w:themeColor="text1"/>
          <w:sz w:val="16"/>
          <w:szCs w:val="16"/>
        </w:rPr>
        <w:t xml:space="preserve"> и вольнонаемных рабочих на </w:t>
      </w:r>
      <w:proofErr w:type="spellStart"/>
      <w:r w:rsidRPr="007122AB">
        <w:rPr>
          <w:rFonts w:ascii="Times New Roman" w:hAnsi="Times New Roman"/>
          <w:color w:val="000000" w:themeColor="text1"/>
          <w:sz w:val="16"/>
          <w:szCs w:val="16"/>
        </w:rPr>
        <w:t>пpоизводстве</w:t>
      </w:r>
      <w:proofErr w:type="spellEnd"/>
      <w:r w:rsidRPr="007122AB">
        <w:rPr>
          <w:rFonts w:ascii="Times New Roman" w:hAnsi="Times New Roman"/>
          <w:color w:val="000000" w:themeColor="text1"/>
          <w:sz w:val="16"/>
          <w:szCs w:val="16"/>
        </w:rPr>
        <w:t xml:space="preserve"> (10687).</w:t>
      </w:r>
    </w:p>
    <w:p w14:paraId="2473C3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5AAED3" w14:textId="77777777" w:rsidR="00285ABF" w:rsidRPr="007122AB" w:rsidRDefault="00285AB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4F1E437" w14:textId="77777777" w:rsidR="00285ABF" w:rsidRPr="007122AB" w:rsidRDefault="00285AB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5F4E15" w14:textId="77777777" w:rsidR="00285ABF" w:rsidRPr="007122AB" w:rsidRDefault="00285ABF" w:rsidP="007122AB">
      <w:pPr>
        <w:pStyle w:val="ae"/>
        <w:spacing w:before="0" w:after="0"/>
        <w:jc w:val="both"/>
        <w:textAlignment w:val="baseline"/>
        <w:rPr>
          <w:color w:val="000000" w:themeColor="text1"/>
          <w:sz w:val="16"/>
          <w:szCs w:val="16"/>
          <w:bdr w:val="none" w:sz="0" w:space="0" w:color="auto" w:frame="1"/>
        </w:rPr>
      </w:pPr>
      <w:r w:rsidRPr="007122AB">
        <w:rPr>
          <w:color w:val="000000" w:themeColor="text1"/>
          <w:sz w:val="16"/>
          <w:szCs w:val="16"/>
          <w:bdr w:val="none" w:sz="0" w:space="0" w:color="auto" w:frame="1"/>
        </w:rPr>
        <w:t>В конце июня 1931 г. ОГПУ передало ВАО полный комплект документации по последней модификации дизеля «Паккард» мощностью 230 л. с., датированный ноябрем 1930 г. В Москву доставили около 1500 чертежей, спецификации, технологические документы. Но позже от развертывания выпуска дизеля отказались, сочтя его неудачным по конструкции. Большее внимание, обращенное на американские двигатели, объяснялось тем, что их считали более простыми в производстве, чем английские (20442).</w:t>
      </w:r>
    </w:p>
    <w:p w14:paraId="7D436127" w14:textId="77777777" w:rsidR="00285ABF" w:rsidRPr="007122AB" w:rsidRDefault="00285ABF" w:rsidP="007122AB">
      <w:pPr>
        <w:pStyle w:val="ae"/>
        <w:spacing w:before="0" w:after="0"/>
        <w:jc w:val="both"/>
        <w:textAlignment w:val="baseline"/>
        <w:rPr>
          <w:color w:val="000000" w:themeColor="text1"/>
          <w:sz w:val="16"/>
          <w:szCs w:val="16"/>
          <w:bdr w:val="none" w:sz="0" w:space="0" w:color="auto" w:frame="1"/>
        </w:rPr>
      </w:pPr>
    </w:p>
    <w:p w14:paraId="082A9FAF" w14:textId="77777777" w:rsidR="0087795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63CAFC0" w14:textId="77777777" w:rsidR="00877950" w:rsidRPr="007122AB" w:rsidRDefault="008779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2F34E9" w14:textId="77777777" w:rsidR="00877950" w:rsidRPr="007122AB" w:rsidRDefault="00877950" w:rsidP="007122AB">
      <w:pPr>
        <w:pStyle w:val="a3"/>
        <w:rPr>
          <w:color w:val="000000" w:themeColor="text1"/>
          <w:lang w:val="ru-RU"/>
        </w:rPr>
      </w:pPr>
      <w:r w:rsidRPr="007122AB">
        <w:rPr>
          <w:color w:val="000000" w:themeColor="text1"/>
          <w:lang w:val="ru-RU"/>
        </w:rPr>
        <w:t>Во второй половине июня 1931 г. испыта</w:t>
      </w:r>
      <w:r w:rsidRPr="007122AB">
        <w:rPr>
          <w:color w:val="000000" w:themeColor="text1"/>
          <w:lang w:val="ru-RU"/>
        </w:rPr>
        <w:softHyphen/>
        <w:t>тельный отдел НИАБТП провел испытания ко</w:t>
      </w:r>
      <w:r w:rsidRPr="007122AB">
        <w:rPr>
          <w:color w:val="000000" w:themeColor="text1"/>
          <w:lang w:val="ru-RU"/>
        </w:rPr>
        <w:softHyphen/>
        <w:t>лесного трактора СХТЗ-15/ЗО, оснащенного гу</w:t>
      </w:r>
      <w:r w:rsidRPr="007122AB">
        <w:rPr>
          <w:color w:val="000000" w:themeColor="text1"/>
          <w:lang w:val="ru-RU"/>
        </w:rPr>
        <w:softHyphen/>
        <w:t>сеничным ходом «Варко-</w:t>
      </w:r>
      <w:proofErr w:type="spellStart"/>
      <w:r w:rsidRPr="007122AB">
        <w:rPr>
          <w:color w:val="000000" w:themeColor="text1"/>
          <w:lang w:val="ru-RU"/>
        </w:rPr>
        <w:t>Риддель</w:t>
      </w:r>
      <w:proofErr w:type="spellEnd"/>
      <w:r w:rsidRPr="007122AB">
        <w:rPr>
          <w:color w:val="000000" w:themeColor="text1"/>
          <w:lang w:val="ru-RU"/>
        </w:rPr>
        <w:t>». Целью этих испытаний являлось определение:</w:t>
      </w:r>
    </w:p>
    <w:p w14:paraId="4B0DB885" w14:textId="77777777" w:rsidR="00877950" w:rsidRPr="007122AB" w:rsidRDefault="00877950" w:rsidP="007122AB">
      <w:pPr>
        <w:pStyle w:val="65"/>
        <w:shd w:val="clear" w:color="auto" w:fill="auto"/>
        <w:spacing w:before="0" w:line="240" w:lineRule="auto"/>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Тяготных</w:t>
      </w:r>
      <w:proofErr w:type="spellEnd"/>
      <w:r w:rsidRPr="007122AB">
        <w:rPr>
          <w:rFonts w:ascii="Times New Roman" w:hAnsi="Times New Roman"/>
          <w:color w:val="000000" w:themeColor="text1"/>
          <w:sz w:val="16"/>
          <w:szCs w:val="16"/>
        </w:rPr>
        <w:t xml:space="preserve"> и скоростных свойств тракто</w:t>
      </w:r>
      <w:r w:rsidRPr="007122AB">
        <w:rPr>
          <w:rFonts w:ascii="Times New Roman" w:hAnsi="Times New Roman"/>
          <w:color w:val="000000" w:themeColor="text1"/>
          <w:sz w:val="16"/>
          <w:szCs w:val="16"/>
        </w:rPr>
        <w:softHyphen/>
        <w:t>ра при тяге дивизионных и корпусных артилле</w:t>
      </w:r>
      <w:r w:rsidRPr="007122AB">
        <w:rPr>
          <w:rFonts w:ascii="Times New Roman" w:hAnsi="Times New Roman"/>
          <w:color w:val="000000" w:themeColor="text1"/>
          <w:sz w:val="16"/>
          <w:szCs w:val="16"/>
        </w:rPr>
        <w:softHyphen/>
        <w:t>рийских систем.</w:t>
      </w:r>
    </w:p>
    <w:p w14:paraId="686C930A" w14:textId="77777777" w:rsidR="00877950" w:rsidRPr="007122AB" w:rsidRDefault="00877950" w:rsidP="007122AB">
      <w:pPr>
        <w:pStyle w:val="65"/>
        <w:shd w:val="clear" w:color="auto" w:fill="auto"/>
        <w:tabs>
          <w:tab w:val="left" w:pos="468"/>
        </w:tabs>
        <w:spacing w:before="0" w:line="240" w:lineRule="auto"/>
        <w:rPr>
          <w:rFonts w:ascii="Times New Roman" w:hAnsi="Times New Roman"/>
          <w:color w:val="000000" w:themeColor="text1"/>
          <w:sz w:val="16"/>
          <w:szCs w:val="16"/>
        </w:rPr>
      </w:pPr>
      <w:r w:rsidRPr="007122AB">
        <w:rPr>
          <w:rFonts w:ascii="Times New Roman" w:hAnsi="Times New Roman"/>
          <w:color w:val="000000" w:themeColor="text1"/>
          <w:sz w:val="16"/>
          <w:szCs w:val="16"/>
        </w:rPr>
        <w:t>2. Прочности и надежности трактора.</w:t>
      </w:r>
    </w:p>
    <w:p w14:paraId="2851E6D6" w14:textId="77777777" w:rsidR="00877950" w:rsidRPr="007122AB" w:rsidRDefault="00877950" w:rsidP="007122AB">
      <w:pPr>
        <w:pStyle w:val="65"/>
        <w:shd w:val="clear" w:color="auto" w:fill="auto"/>
        <w:tabs>
          <w:tab w:val="left" w:pos="463"/>
        </w:tabs>
        <w:spacing w:before="0" w:line="240" w:lineRule="auto"/>
        <w:rPr>
          <w:rFonts w:ascii="Times New Roman" w:hAnsi="Times New Roman"/>
          <w:color w:val="000000" w:themeColor="text1"/>
          <w:sz w:val="16"/>
          <w:szCs w:val="16"/>
        </w:rPr>
      </w:pPr>
      <w:r w:rsidRPr="007122AB">
        <w:rPr>
          <w:rFonts w:ascii="Times New Roman" w:hAnsi="Times New Roman"/>
          <w:color w:val="000000" w:themeColor="text1"/>
          <w:sz w:val="16"/>
          <w:szCs w:val="16"/>
        </w:rPr>
        <w:t>3. Удобства обслуживания и управления.</w:t>
      </w:r>
    </w:p>
    <w:p w14:paraId="69117169" w14:textId="77777777" w:rsidR="00877950" w:rsidRPr="007122AB" w:rsidRDefault="00877950" w:rsidP="007122AB">
      <w:pPr>
        <w:pStyle w:val="65"/>
        <w:shd w:val="clear" w:color="auto" w:fill="auto"/>
        <w:tabs>
          <w:tab w:val="left" w:pos="463"/>
        </w:tabs>
        <w:spacing w:before="0" w:line="240" w:lineRule="auto"/>
        <w:rPr>
          <w:rFonts w:ascii="Times New Roman" w:hAnsi="Times New Roman"/>
          <w:color w:val="000000" w:themeColor="text1"/>
          <w:sz w:val="16"/>
          <w:szCs w:val="16"/>
        </w:rPr>
      </w:pPr>
      <w:r w:rsidRPr="007122AB">
        <w:rPr>
          <w:rFonts w:ascii="Times New Roman" w:hAnsi="Times New Roman"/>
          <w:color w:val="000000" w:themeColor="text1"/>
          <w:sz w:val="16"/>
          <w:szCs w:val="16"/>
        </w:rPr>
        <w:t>4. Расхода горючего и смазки.</w:t>
      </w:r>
    </w:p>
    <w:p w14:paraId="5D38C8E5" w14:textId="77777777" w:rsidR="00877950" w:rsidRPr="007122AB" w:rsidRDefault="00877950" w:rsidP="007122AB">
      <w:pPr>
        <w:pStyle w:val="65"/>
        <w:shd w:val="clear" w:color="auto" w:fill="auto"/>
        <w:tabs>
          <w:tab w:val="left" w:pos="463"/>
        </w:tabs>
        <w:spacing w:before="0" w:line="240" w:lineRule="auto"/>
        <w:rPr>
          <w:rFonts w:ascii="Times New Roman" w:hAnsi="Times New Roman"/>
          <w:color w:val="000000" w:themeColor="text1"/>
          <w:sz w:val="16"/>
          <w:szCs w:val="16"/>
        </w:rPr>
      </w:pPr>
      <w:r w:rsidRPr="007122AB">
        <w:rPr>
          <w:rFonts w:ascii="Times New Roman" w:hAnsi="Times New Roman"/>
          <w:color w:val="000000" w:themeColor="text1"/>
          <w:sz w:val="16"/>
          <w:szCs w:val="16"/>
        </w:rPr>
        <w:t>5. Проходимости.</w:t>
      </w:r>
    </w:p>
    <w:p w14:paraId="667FEDC7" w14:textId="77777777" w:rsidR="00877950" w:rsidRPr="007122AB" w:rsidRDefault="00877950" w:rsidP="007122AB">
      <w:pPr>
        <w:pStyle w:val="65"/>
        <w:shd w:val="clear" w:color="auto" w:fill="auto"/>
        <w:tabs>
          <w:tab w:val="left" w:pos="476"/>
        </w:tabs>
        <w:spacing w:before="0" w:line="240" w:lineRule="auto"/>
        <w:rPr>
          <w:rFonts w:ascii="Times New Roman" w:hAnsi="Times New Roman"/>
          <w:color w:val="000000" w:themeColor="text1"/>
          <w:sz w:val="16"/>
          <w:szCs w:val="16"/>
        </w:rPr>
      </w:pPr>
      <w:r w:rsidRPr="007122AB">
        <w:rPr>
          <w:rFonts w:ascii="Times New Roman" w:hAnsi="Times New Roman"/>
          <w:color w:val="000000" w:themeColor="text1"/>
          <w:sz w:val="16"/>
          <w:szCs w:val="16"/>
        </w:rPr>
        <w:t>6. Времени, потребного для перевода с ко</w:t>
      </w:r>
      <w:r w:rsidRPr="007122AB">
        <w:rPr>
          <w:rFonts w:ascii="Times New Roman" w:hAnsi="Times New Roman"/>
          <w:color w:val="000000" w:themeColor="text1"/>
          <w:sz w:val="16"/>
          <w:szCs w:val="16"/>
        </w:rPr>
        <w:softHyphen/>
        <w:t>лесного хода на гусеничный и обратно».</w:t>
      </w:r>
    </w:p>
    <w:p w14:paraId="54D1DD68" w14:textId="77777777" w:rsidR="00877950" w:rsidRPr="007122AB" w:rsidRDefault="00877950" w:rsidP="007122AB">
      <w:pPr>
        <w:pStyle w:val="aff1"/>
        <w:shd w:val="clear" w:color="auto" w:fill="auto"/>
        <w:spacing w:line="240" w:lineRule="auto"/>
        <w:rPr>
          <w:rFonts w:ascii="Times New Roman" w:hAnsi="Times New Roman" w:cs="Times New Roman"/>
          <w:i w:val="0"/>
          <w:color w:val="000000" w:themeColor="text1"/>
          <w:sz w:val="16"/>
          <w:szCs w:val="16"/>
          <w:lang w:val="ru-RU"/>
        </w:rPr>
      </w:pPr>
      <w:r w:rsidRPr="007122AB">
        <w:rPr>
          <w:rFonts w:ascii="Times New Roman" w:hAnsi="Times New Roman" w:cs="Times New Roman"/>
          <w:i w:val="0"/>
          <w:color w:val="000000" w:themeColor="text1"/>
          <w:sz w:val="16"/>
          <w:szCs w:val="16"/>
          <w:lang w:val="ru-RU"/>
        </w:rPr>
        <w:t>Основные данные трактора СТЗ с гусеничным ходом «Варко-Риддель»</w:t>
      </w:r>
    </w:p>
    <w:tbl>
      <w:tblPr>
        <w:tblW w:w="0" w:type="auto"/>
        <w:tblInd w:w="5" w:type="dxa"/>
        <w:tblLayout w:type="fixed"/>
        <w:tblCellMar>
          <w:left w:w="0" w:type="dxa"/>
          <w:right w:w="0" w:type="dxa"/>
        </w:tblCellMar>
        <w:tblLook w:val="0000" w:firstRow="0" w:lastRow="0" w:firstColumn="0" w:lastColumn="0" w:noHBand="0" w:noVBand="0"/>
      </w:tblPr>
      <w:tblGrid>
        <w:gridCol w:w="2746"/>
        <w:gridCol w:w="427"/>
      </w:tblGrid>
      <w:tr w:rsidR="001002C3" w:rsidRPr="007122AB" w14:paraId="1FE426F6" w14:textId="77777777" w:rsidTr="00BB323F">
        <w:trPr>
          <w:trHeight w:val="442"/>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227D120"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Общий вес трактора в походном положении с водителем, кг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1C8E7326"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5250</w:t>
            </w:r>
          </w:p>
        </w:tc>
      </w:tr>
      <w:tr w:rsidR="001002C3" w:rsidRPr="007122AB" w14:paraId="2D681A9D" w14:textId="77777777" w:rsidTr="00BB323F">
        <w:trPr>
          <w:trHeight w:val="235"/>
        </w:trPr>
        <w:tc>
          <w:tcPr>
            <w:tcW w:w="2746" w:type="dxa"/>
            <w:tcBorders>
              <w:top w:val="single" w:sz="4" w:space="0" w:color="auto"/>
              <w:left w:val="single" w:sz="4" w:space="0" w:color="auto"/>
              <w:bottom w:val="single" w:sz="4" w:space="0" w:color="auto"/>
              <w:right w:val="nil"/>
            </w:tcBorders>
            <w:shd w:val="clear" w:color="auto" w:fill="FFFFFF"/>
          </w:tcPr>
          <w:p w14:paraId="0EB78103"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Нагрузка на переднюю ось, кг</w:t>
            </w:r>
          </w:p>
        </w:tc>
        <w:tc>
          <w:tcPr>
            <w:tcW w:w="427" w:type="dxa"/>
            <w:tcBorders>
              <w:top w:val="single" w:sz="4" w:space="0" w:color="auto"/>
              <w:left w:val="nil"/>
              <w:bottom w:val="single" w:sz="4" w:space="0" w:color="auto"/>
              <w:right w:val="single" w:sz="4" w:space="0" w:color="auto"/>
            </w:tcBorders>
            <w:shd w:val="clear" w:color="auto" w:fill="FFFFFF"/>
          </w:tcPr>
          <w:p w14:paraId="30DD1B2B"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4020</w:t>
            </w:r>
          </w:p>
        </w:tc>
      </w:tr>
      <w:tr w:rsidR="001002C3" w:rsidRPr="007122AB" w14:paraId="6BBC904F"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0DD1B249"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Нагрузка на заднюю ось, кг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40B1454E"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1230</w:t>
            </w:r>
          </w:p>
        </w:tc>
      </w:tr>
      <w:tr w:rsidR="001002C3" w:rsidRPr="007122AB" w14:paraId="6DF7DDF2" w14:textId="77777777" w:rsidTr="00BB323F">
        <w:trPr>
          <w:trHeight w:val="42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3BF911C6"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Удельное давление гусеничного хода при погружении на 50 мм, кг/</w:t>
            </w:r>
            <w:proofErr w:type="spellStart"/>
            <w:r w:rsidRPr="007122AB">
              <w:rPr>
                <w:rFonts w:ascii="Times New Roman" w:hAnsi="Times New Roman" w:cs="Times New Roman"/>
                <w:color w:val="000000" w:themeColor="text1"/>
                <w:sz w:val="16"/>
                <w:szCs w:val="16"/>
              </w:rPr>
              <w:t>см</w:t>
            </w:r>
            <w:r w:rsidRPr="007122AB">
              <w:rPr>
                <w:rFonts w:ascii="Times New Roman" w:hAnsi="Times New Roman" w:cs="Times New Roman"/>
                <w:color w:val="000000" w:themeColor="text1"/>
                <w:sz w:val="16"/>
                <w:szCs w:val="16"/>
                <w:vertAlign w:val="superscript"/>
              </w:rPr>
              <w:t>г</w:t>
            </w:r>
            <w:proofErr w:type="spellEnd"/>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5D2BA222"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0,27</w:t>
            </w:r>
          </w:p>
        </w:tc>
      </w:tr>
      <w:tr w:rsidR="001002C3" w:rsidRPr="007122AB" w14:paraId="3996A07C" w14:textId="77777777" w:rsidTr="00BB323F">
        <w:trPr>
          <w:trHeight w:val="24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90A86D2"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Общая длина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03E31483"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3900</w:t>
            </w:r>
          </w:p>
        </w:tc>
      </w:tr>
      <w:tr w:rsidR="001002C3" w:rsidRPr="007122AB" w14:paraId="59398501"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6297860B"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Общая ширина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69FE3B65"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3373</w:t>
            </w:r>
          </w:p>
        </w:tc>
      </w:tr>
      <w:tr w:rsidR="001002C3" w:rsidRPr="007122AB" w14:paraId="52C11A32" w14:textId="77777777" w:rsidTr="00BB323F">
        <w:trPr>
          <w:trHeight w:val="42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0EB0661C"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lastRenderedPageBreak/>
              <w:t>Высота трактора с гусеницей до рулевой колонки,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204A057C"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1750</w:t>
            </w:r>
          </w:p>
        </w:tc>
      </w:tr>
      <w:tr w:rsidR="001002C3" w:rsidRPr="007122AB" w14:paraId="3F043D0B" w14:textId="77777777" w:rsidTr="00BB323F">
        <w:trPr>
          <w:trHeight w:val="240"/>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516DA30"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Емкость керосинового бака, л</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68BD3E19"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70</w:t>
            </w:r>
          </w:p>
        </w:tc>
      </w:tr>
      <w:tr w:rsidR="001002C3" w:rsidRPr="007122AB" w14:paraId="03C427BA"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20A6A16B"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Клиренс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338B5838"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270</w:t>
            </w:r>
          </w:p>
        </w:tc>
      </w:tr>
      <w:tr w:rsidR="001002C3" w:rsidRPr="007122AB" w14:paraId="138B8B63" w14:textId="77777777" w:rsidTr="00BB323F">
        <w:trPr>
          <w:trHeight w:val="250"/>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734B3B5"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Клиренс трактора на колесах,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5BDEF5E0"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300</w:t>
            </w:r>
          </w:p>
        </w:tc>
      </w:tr>
    </w:tbl>
    <w:p w14:paraId="6B6F15DA" w14:textId="77777777" w:rsidR="00877950" w:rsidRPr="007122AB" w:rsidRDefault="00877950" w:rsidP="007122AB">
      <w:pPr>
        <w:pStyle w:val="a3"/>
        <w:rPr>
          <w:color w:val="000000" w:themeColor="text1"/>
          <w:lang w:val="ru-RU"/>
        </w:rPr>
      </w:pPr>
      <w:r w:rsidRPr="007122AB">
        <w:rPr>
          <w:color w:val="000000" w:themeColor="text1"/>
          <w:lang w:val="ru-RU"/>
        </w:rPr>
        <w:t>С принятием принципиального решения об организации производства советской вер</w:t>
      </w:r>
      <w:r w:rsidRPr="007122AB">
        <w:rPr>
          <w:color w:val="000000" w:themeColor="text1"/>
          <w:lang w:val="ru-RU"/>
        </w:rPr>
        <w:softHyphen/>
        <w:t>сии трактора «Мак-</w:t>
      </w:r>
      <w:proofErr w:type="spellStart"/>
      <w:r w:rsidRPr="007122AB">
        <w:rPr>
          <w:color w:val="000000" w:themeColor="text1"/>
          <w:lang w:val="ru-RU"/>
        </w:rPr>
        <w:t>Кормик</w:t>
      </w:r>
      <w:proofErr w:type="spellEnd"/>
      <w:r w:rsidRPr="007122AB">
        <w:rPr>
          <w:color w:val="000000" w:themeColor="text1"/>
          <w:lang w:val="ru-RU"/>
        </w:rPr>
        <w:t>-Диринг» («Интер</w:t>
      </w:r>
      <w:r w:rsidRPr="007122AB">
        <w:rPr>
          <w:color w:val="000000" w:themeColor="text1"/>
          <w:lang w:val="ru-RU"/>
        </w:rPr>
        <w:softHyphen/>
        <w:t>национал») закономерно был поднят вопрос о применении на нем сменного гусеничного хода («придатка»). Основным их заказчиком выступали военные, которые еще в период проведения конкурса выражали заинтересо</w:t>
      </w:r>
      <w:r w:rsidRPr="007122AB">
        <w:rPr>
          <w:color w:val="000000" w:themeColor="text1"/>
          <w:lang w:val="ru-RU"/>
        </w:rPr>
        <w:softHyphen/>
        <w:t>ванность в оснащении «Интернационала» гу</w:t>
      </w:r>
      <w:r w:rsidRPr="007122AB">
        <w:rPr>
          <w:color w:val="000000" w:themeColor="text1"/>
          <w:lang w:val="ru-RU"/>
        </w:rPr>
        <w:softHyphen/>
        <w:t>сеничным ходом. Наряду с гусеничными хода</w:t>
      </w:r>
      <w:r w:rsidRPr="007122AB">
        <w:rPr>
          <w:color w:val="000000" w:themeColor="text1"/>
          <w:lang w:val="ru-RU"/>
        </w:rPr>
        <w:softHyphen/>
        <w:t>ми «</w:t>
      </w:r>
      <w:proofErr w:type="spellStart"/>
      <w:r w:rsidRPr="007122AB">
        <w:rPr>
          <w:color w:val="000000" w:themeColor="text1"/>
          <w:lang w:val="ru-RU"/>
        </w:rPr>
        <w:t>Траксон</w:t>
      </w:r>
      <w:proofErr w:type="spellEnd"/>
      <w:r w:rsidRPr="007122AB">
        <w:rPr>
          <w:color w:val="000000" w:themeColor="text1"/>
          <w:lang w:val="ru-RU"/>
        </w:rPr>
        <w:t>» и «Мун трак» рассматривалась возможность использования гусеничных при</w:t>
      </w:r>
      <w:r w:rsidRPr="007122AB">
        <w:rPr>
          <w:color w:val="000000" w:themeColor="text1"/>
          <w:lang w:val="ru-RU"/>
        </w:rPr>
        <w:softHyphen/>
        <w:t xml:space="preserve">датков «В.А. </w:t>
      </w:r>
      <w:proofErr w:type="spellStart"/>
      <w:r w:rsidRPr="007122AB">
        <w:rPr>
          <w:color w:val="000000" w:themeColor="text1"/>
          <w:lang w:val="ru-RU"/>
        </w:rPr>
        <w:t>Риддель</w:t>
      </w:r>
      <w:proofErr w:type="spellEnd"/>
      <w:r w:rsidRPr="007122AB">
        <w:rPr>
          <w:color w:val="000000" w:themeColor="text1"/>
          <w:lang w:val="ru-RU"/>
        </w:rPr>
        <w:t>-Компани», или просто «Варко-</w:t>
      </w:r>
      <w:proofErr w:type="spellStart"/>
      <w:r w:rsidRPr="007122AB">
        <w:rPr>
          <w:color w:val="000000" w:themeColor="text1"/>
          <w:lang w:val="ru-RU"/>
        </w:rPr>
        <w:t>Ридцель</w:t>
      </w:r>
      <w:proofErr w:type="spellEnd"/>
      <w:r w:rsidRPr="007122AB">
        <w:rPr>
          <w:color w:val="000000" w:themeColor="text1"/>
          <w:lang w:val="ru-RU"/>
        </w:rPr>
        <w:t>».</w:t>
      </w:r>
    </w:p>
    <w:p w14:paraId="1FA63193" w14:textId="77777777" w:rsidR="00877950" w:rsidRPr="007122AB" w:rsidRDefault="00877950" w:rsidP="007122AB">
      <w:pPr>
        <w:pStyle w:val="a3"/>
        <w:rPr>
          <w:color w:val="000000" w:themeColor="text1"/>
          <w:lang w:val="ru-RU"/>
        </w:rPr>
      </w:pPr>
      <w:r w:rsidRPr="007122AB">
        <w:rPr>
          <w:color w:val="000000" w:themeColor="text1"/>
          <w:lang w:val="ru-RU"/>
        </w:rPr>
        <w:t>Вопрос об организации производства гусеничных ходов рассматривался в госу</w:t>
      </w:r>
      <w:r w:rsidRPr="007122AB">
        <w:rPr>
          <w:color w:val="000000" w:themeColor="text1"/>
          <w:lang w:val="ru-RU"/>
        </w:rPr>
        <w:softHyphen/>
        <w:t>дарственном масштабе еще до начала выпу</w:t>
      </w:r>
      <w:r w:rsidRPr="007122AB">
        <w:rPr>
          <w:color w:val="000000" w:themeColor="text1"/>
          <w:lang w:val="ru-RU"/>
        </w:rPr>
        <w:softHyphen/>
        <w:t>ска базового трактора.</w:t>
      </w:r>
    </w:p>
    <w:p w14:paraId="45C8A51A" w14:textId="77777777" w:rsidR="00877950" w:rsidRPr="007122AB" w:rsidRDefault="00877950" w:rsidP="007122AB">
      <w:pPr>
        <w:pStyle w:val="a3"/>
        <w:rPr>
          <w:color w:val="000000" w:themeColor="text1"/>
          <w:lang w:val="ru-RU"/>
        </w:rPr>
      </w:pPr>
      <w:r w:rsidRPr="007122AB">
        <w:rPr>
          <w:color w:val="000000" w:themeColor="text1"/>
          <w:lang w:val="ru-RU"/>
        </w:rPr>
        <w:t xml:space="preserve">Американская фирма «В.А. </w:t>
      </w:r>
      <w:proofErr w:type="spellStart"/>
      <w:r w:rsidRPr="007122AB">
        <w:rPr>
          <w:color w:val="000000" w:themeColor="text1"/>
          <w:lang w:val="ru-RU"/>
        </w:rPr>
        <w:t>Риддель</w:t>
      </w:r>
      <w:proofErr w:type="spellEnd"/>
      <w:r w:rsidRPr="007122AB">
        <w:rPr>
          <w:color w:val="000000" w:themeColor="text1"/>
          <w:lang w:val="ru-RU"/>
        </w:rPr>
        <w:t xml:space="preserve">- Компани» (№.А. </w:t>
      </w:r>
      <w:proofErr w:type="spellStart"/>
      <w:r w:rsidRPr="007122AB">
        <w:rPr>
          <w:color w:val="000000" w:themeColor="text1"/>
          <w:lang w:val="ru-RU"/>
        </w:rPr>
        <w:t>РИсЮе</w:t>
      </w:r>
      <w:proofErr w:type="spellEnd"/>
      <w:r w:rsidRPr="007122AB">
        <w:rPr>
          <w:color w:val="000000" w:themeColor="text1"/>
          <w:lang w:val="ru-RU"/>
        </w:rPr>
        <w:t xml:space="preserve">! </w:t>
      </w:r>
      <w:proofErr w:type="spellStart"/>
      <w:r w:rsidRPr="007122AB">
        <w:rPr>
          <w:color w:val="000000" w:themeColor="text1"/>
          <w:lang w:val="ru-RU"/>
        </w:rPr>
        <w:t>Сотрапу</w:t>
      </w:r>
      <w:proofErr w:type="spellEnd"/>
      <w:r w:rsidRPr="007122AB">
        <w:rPr>
          <w:color w:val="000000" w:themeColor="text1"/>
          <w:lang w:val="ru-RU"/>
        </w:rPr>
        <w:t xml:space="preserve">) из </w:t>
      </w:r>
      <w:proofErr w:type="spellStart"/>
      <w:r w:rsidRPr="007122AB">
        <w:rPr>
          <w:color w:val="000000" w:themeColor="text1"/>
          <w:lang w:val="ru-RU"/>
        </w:rPr>
        <w:t>Бюсайруса</w:t>
      </w:r>
      <w:proofErr w:type="spellEnd"/>
      <w:r w:rsidRPr="007122AB">
        <w:rPr>
          <w:color w:val="000000" w:themeColor="text1"/>
          <w:lang w:val="ru-RU"/>
        </w:rPr>
        <w:t xml:space="preserve"> (</w:t>
      </w:r>
      <w:proofErr w:type="spellStart"/>
      <w:r w:rsidRPr="007122AB">
        <w:rPr>
          <w:color w:val="000000" w:themeColor="text1"/>
          <w:lang w:val="ru-RU"/>
        </w:rPr>
        <w:t>Висугиз</w:t>
      </w:r>
      <w:proofErr w:type="spellEnd"/>
      <w:r w:rsidRPr="007122AB">
        <w:rPr>
          <w:color w:val="000000" w:themeColor="text1"/>
          <w:lang w:val="ru-RU"/>
        </w:rPr>
        <w:t xml:space="preserve">, </w:t>
      </w:r>
      <w:proofErr w:type="spellStart"/>
      <w:r w:rsidRPr="007122AB">
        <w:rPr>
          <w:color w:val="000000" w:themeColor="text1"/>
          <w:lang w:val="ru-RU"/>
        </w:rPr>
        <w:t>ОЫо</w:t>
      </w:r>
      <w:proofErr w:type="spellEnd"/>
      <w:r w:rsidRPr="007122AB">
        <w:rPr>
          <w:color w:val="000000" w:themeColor="text1"/>
          <w:lang w:val="ru-RU"/>
        </w:rPr>
        <w:t>) была известна своими механи</w:t>
      </w:r>
      <w:r w:rsidRPr="007122AB">
        <w:rPr>
          <w:color w:val="000000" w:themeColor="text1"/>
          <w:lang w:val="ru-RU"/>
        </w:rPr>
        <w:softHyphen/>
        <w:t>ческими лопатами, агрегатируемыми с гусенич</w:t>
      </w:r>
      <w:r w:rsidRPr="007122AB">
        <w:rPr>
          <w:color w:val="000000" w:themeColor="text1"/>
          <w:lang w:val="ru-RU"/>
        </w:rPr>
        <w:softHyphen/>
        <w:t>ными тракторами, сменными гусеничными хо</w:t>
      </w:r>
      <w:r w:rsidRPr="007122AB">
        <w:rPr>
          <w:color w:val="000000" w:themeColor="text1"/>
          <w:lang w:val="ru-RU"/>
        </w:rPr>
        <w:softHyphen/>
        <w:t>дами и всякого рода дорожно-строительными машинами. Фирма предлагала гусеничные хода к тракторам «</w:t>
      </w:r>
      <w:proofErr w:type="spellStart"/>
      <w:r w:rsidRPr="007122AB">
        <w:rPr>
          <w:color w:val="000000" w:themeColor="text1"/>
          <w:lang w:val="ru-RU"/>
        </w:rPr>
        <w:t>МсСогтюк</w:t>
      </w:r>
      <w:proofErr w:type="spellEnd"/>
      <w:r w:rsidRPr="007122AB">
        <w:rPr>
          <w:color w:val="000000" w:themeColor="text1"/>
          <w:lang w:val="ru-RU"/>
        </w:rPr>
        <w:t xml:space="preserve"> </w:t>
      </w:r>
      <w:proofErr w:type="spellStart"/>
      <w:r w:rsidRPr="007122AB">
        <w:rPr>
          <w:color w:val="000000" w:themeColor="text1"/>
          <w:lang w:val="ru-RU"/>
        </w:rPr>
        <w:t>Бееппд</w:t>
      </w:r>
      <w:proofErr w:type="spellEnd"/>
      <w:r w:rsidRPr="007122AB">
        <w:rPr>
          <w:color w:val="000000" w:themeColor="text1"/>
          <w:lang w:val="ru-RU"/>
        </w:rPr>
        <w:t>», модер</w:t>
      </w:r>
      <w:r w:rsidRPr="007122AB">
        <w:rPr>
          <w:color w:val="000000" w:themeColor="text1"/>
          <w:lang w:val="ru-RU"/>
        </w:rPr>
        <w:softHyphen/>
        <w:t>низированному «</w:t>
      </w:r>
      <w:proofErr w:type="spellStart"/>
      <w:r w:rsidRPr="007122AB">
        <w:rPr>
          <w:color w:val="000000" w:themeColor="text1"/>
          <w:lang w:val="ru-RU"/>
        </w:rPr>
        <w:t>Рогйзоп</w:t>
      </w:r>
      <w:proofErr w:type="spellEnd"/>
      <w:r w:rsidRPr="007122AB">
        <w:rPr>
          <w:color w:val="000000" w:themeColor="text1"/>
          <w:lang w:val="ru-RU"/>
        </w:rPr>
        <w:t>», «Сазе» модели С1 и «</w:t>
      </w:r>
      <w:proofErr w:type="spellStart"/>
      <w:r w:rsidRPr="007122AB">
        <w:rPr>
          <w:color w:val="000000" w:themeColor="text1"/>
          <w:lang w:val="ru-RU"/>
        </w:rPr>
        <w:t>АШз-СМтегз</w:t>
      </w:r>
      <w:proofErr w:type="spellEnd"/>
      <w:r w:rsidRPr="007122AB">
        <w:rPr>
          <w:color w:val="000000" w:themeColor="text1"/>
          <w:lang w:val="ru-RU"/>
        </w:rPr>
        <w:t>» марки</w:t>
      </w:r>
      <w:r w:rsidRPr="007122AB">
        <w:rPr>
          <w:rStyle w:val="710"/>
          <w:rFonts w:ascii="Times New Roman" w:eastAsia="Microsoft Sans Serif" w:hAnsi="Times New Roman" w:cs="Times New Roman"/>
          <w:color w:val="000000" w:themeColor="text1"/>
          <w:sz w:val="16"/>
          <w:szCs w:val="16"/>
          <w:lang w:val="ru-RU"/>
        </w:rPr>
        <w:t xml:space="preserve"> и. Эти</w:t>
      </w:r>
      <w:r w:rsidRPr="007122AB">
        <w:rPr>
          <w:color w:val="000000" w:themeColor="text1"/>
          <w:lang w:val="ru-RU"/>
        </w:rPr>
        <w:t xml:space="preserve"> хода устанавлива</w:t>
      </w:r>
      <w:r w:rsidRPr="007122AB">
        <w:rPr>
          <w:color w:val="000000" w:themeColor="text1"/>
          <w:lang w:val="ru-RU"/>
        </w:rPr>
        <w:softHyphen/>
        <w:t>лись на задней оси трактора и благодаря своей качающейся конструкции могли приспосабли</w:t>
      </w:r>
      <w:r w:rsidRPr="007122AB">
        <w:rPr>
          <w:color w:val="000000" w:themeColor="text1"/>
          <w:lang w:val="ru-RU"/>
        </w:rPr>
        <w:softHyphen/>
        <w:t>ваться к рельефу местности.</w:t>
      </w:r>
    </w:p>
    <w:p w14:paraId="3D72A1F9" w14:textId="77777777" w:rsidR="00877950" w:rsidRPr="007122AB" w:rsidRDefault="00877950" w:rsidP="007122AB">
      <w:pPr>
        <w:pStyle w:val="a3"/>
        <w:rPr>
          <w:color w:val="000000" w:themeColor="text1"/>
          <w:lang w:val="ru-RU"/>
        </w:rPr>
      </w:pPr>
      <w:r w:rsidRPr="007122AB">
        <w:rPr>
          <w:color w:val="000000" w:themeColor="text1"/>
          <w:lang w:val="ru-RU"/>
        </w:rPr>
        <w:t>Программа испытаний включала выпол</w:t>
      </w:r>
      <w:r w:rsidRPr="007122AB">
        <w:rPr>
          <w:color w:val="000000" w:themeColor="text1"/>
          <w:lang w:val="ru-RU"/>
        </w:rPr>
        <w:softHyphen/>
        <w:t>нение трех дневных пробегов продолжитель</w:t>
      </w:r>
      <w:r w:rsidRPr="007122AB">
        <w:rPr>
          <w:color w:val="000000" w:themeColor="text1"/>
          <w:lang w:val="ru-RU"/>
        </w:rPr>
        <w:softHyphen/>
        <w:t>ностью до 8 ч по шоссе, грунтовым дорогам и бездорожью. При движении на грунтовых доро</w:t>
      </w:r>
      <w:r w:rsidRPr="007122AB">
        <w:rPr>
          <w:color w:val="000000" w:themeColor="text1"/>
          <w:lang w:val="ru-RU"/>
        </w:rPr>
        <w:softHyphen/>
        <w:t>гах и бездорожье следовало определить мак</w:t>
      </w:r>
      <w:r w:rsidRPr="007122AB">
        <w:rPr>
          <w:color w:val="000000" w:themeColor="text1"/>
          <w:lang w:val="ru-RU"/>
        </w:rPr>
        <w:softHyphen/>
        <w:t>симальные преодолеваемые подъемы с при</w:t>
      </w:r>
      <w:r w:rsidRPr="007122AB">
        <w:rPr>
          <w:color w:val="000000" w:themeColor="text1"/>
          <w:lang w:val="ru-RU"/>
        </w:rPr>
        <w:softHyphen/>
        <w:t>цепным грузом. Предполагалась буксировка 107-мм пушки обр. 1910 г. с передком, общим весом 2800 кг и 122-мм гаубиц 1909 г. и 1910 г. с передком, общим весом 2600 кг.</w:t>
      </w:r>
    </w:p>
    <w:p w14:paraId="71BCAAE4" w14:textId="77777777" w:rsidR="00877950" w:rsidRPr="007122AB" w:rsidRDefault="00877950" w:rsidP="007122AB">
      <w:pPr>
        <w:pStyle w:val="aff1"/>
        <w:shd w:val="clear" w:color="auto" w:fill="auto"/>
        <w:spacing w:line="240" w:lineRule="auto"/>
        <w:rPr>
          <w:rFonts w:ascii="Times New Roman" w:hAnsi="Times New Roman" w:cs="Times New Roman"/>
          <w:i w:val="0"/>
          <w:color w:val="000000" w:themeColor="text1"/>
          <w:sz w:val="16"/>
          <w:szCs w:val="16"/>
          <w:lang w:val="ru-RU"/>
        </w:rPr>
      </w:pPr>
      <w:r w:rsidRPr="007122AB">
        <w:rPr>
          <w:rFonts w:ascii="Times New Roman" w:hAnsi="Times New Roman" w:cs="Times New Roman"/>
          <w:i w:val="0"/>
          <w:color w:val="000000" w:themeColor="text1"/>
          <w:sz w:val="16"/>
          <w:szCs w:val="16"/>
          <w:lang w:val="ru-RU"/>
        </w:rPr>
        <w:t>Основные данные гусеничного хода «Варко-Риддель»</w:t>
      </w:r>
    </w:p>
    <w:tbl>
      <w:tblPr>
        <w:tblW w:w="0" w:type="auto"/>
        <w:tblInd w:w="5" w:type="dxa"/>
        <w:tblLayout w:type="fixed"/>
        <w:tblCellMar>
          <w:left w:w="0" w:type="dxa"/>
          <w:right w:w="0" w:type="dxa"/>
        </w:tblCellMar>
        <w:tblLook w:val="0000" w:firstRow="0" w:lastRow="0" w:firstColumn="0" w:lastColumn="0" w:noHBand="0" w:noVBand="0"/>
      </w:tblPr>
      <w:tblGrid>
        <w:gridCol w:w="2664"/>
        <w:gridCol w:w="509"/>
      </w:tblGrid>
      <w:tr w:rsidR="001002C3" w:rsidRPr="007122AB" w14:paraId="0388A9A3" w14:textId="77777777" w:rsidTr="00BB323F">
        <w:trPr>
          <w:trHeight w:val="24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DF4DA12"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Диаметр ведущего зубчатого колеса,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655EDE72"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792</w:t>
            </w:r>
          </w:p>
        </w:tc>
      </w:tr>
      <w:tr w:rsidR="001002C3" w:rsidRPr="007122AB" w14:paraId="2E1B2506" w14:textId="77777777" w:rsidTr="00BB323F">
        <w:trPr>
          <w:trHeight w:val="24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2CE08D1C"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Ширина рельс по внешней стороне,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3D923C2B"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131</w:t>
            </w:r>
          </w:p>
        </w:tc>
      </w:tr>
      <w:tr w:rsidR="001002C3" w:rsidRPr="007122AB" w14:paraId="1A3F959C" w14:textId="77777777" w:rsidTr="00BB323F">
        <w:trPr>
          <w:trHeight w:val="427"/>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2682421"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Ширина рельс по внутренней стороне,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03EF4BB"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103</w:t>
            </w:r>
          </w:p>
        </w:tc>
      </w:tr>
      <w:tr w:rsidR="001002C3" w:rsidRPr="007122AB" w14:paraId="6D820EB9"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145B35D3"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Число траков одной гусеницы, шт.</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0A2CA351"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27</w:t>
            </w:r>
          </w:p>
        </w:tc>
      </w:tr>
      <w:tr w:rsidR="001002C3" w:rsidRPr="007122AB" w14:paraId="02434B38" w14:textId="77777777" w:rsidTr="00BB323F">
        <w:trPr>
          <w:trHeight w:val="24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317BC72B"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Шаг гусеницы,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4948F1D"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83</w:t>
            </w:r>
          </w:p>
        </w:tc>
      </w:tr>
      <w:tr w:rsidR="001002C3" w:rsidRPr="007122AB" w14:paraId="265A43E1"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AA9443C"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Ширина гусеницы,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AABA808"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407</w:t>
            </w:r>
          </w:p>
        </w:tc>
      </w:tr>
      <w:tr w:rsidR="001002C3" w:rsidRPr="007122AB" w14:paraId="1E12EB06" w14:textId="77777777" w:rsidTr="00BB323F">
        <w:trPr>
          <w:trHeight w:val="24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FEAC3B6"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Ширина колеи гусеничного хода,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1C630711"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1420</w:t>
            </w:r>
          </w:p>
        </w:tc>
      </w:tr>
      <w:tr w:rsidR="001002C3" w:rsidRPr="007122AB" w14:paraId="074A0076"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56CF0278"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Ширина гусеничного хода,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E9EA5C3"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1837</w:t>
            </w:r>
          </w:p>
        </w:tc>
      </w:tr>
      <w:tr w:rsidR="001002C3" w:rsidRPr="007122AB" w14:paraId="7017C547" w14:textId="77777777" w:rsidTr="00BB323F">
        <w:trPr>
          <w:trHeight w:val="432"/>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3D006172"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Длина опорной поверхности гусеницы при погружении на 30 мм,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2A71D31"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1770</w:t>
            </w:r>
          </w:p>
        </w:tc>
      </w:tr>
      <w:tr w:rsidR="001002C3" w:rsidRPr="007122AB" w14:paraId="69F47D98" w14:textId="77777777" w:rsidTr="00BB323F">
        <w:trPr>
          <w:trHeight w:val="25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5AF824E2"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Вес гусеничного хода, кг</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CABE81C" w14:textId="77777777" w:rsidR="00877950" w:rsidRPr="007122AB" w:rsidRDefault="00877950" w:rsidP="007122AB">
            <w:pPr>
              <w:pStyle w:val="152"/>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2520</w:t>
            </w:r>
            <w:r w:rsidRPr="007122AB">
              <w:rPr>
                <w:rFonts w:ascii="Times New Roman" w:hAnsi="Times New Roman" w:cs="Times New Roman"/>
                <w:color w:val="000000" w:themeColor="text1"/>
                <w:sz w:val="16"/>
                <w:szCs w:val="16"/>
                <w:vertAlign w:val="superscript"/>
              </w:rPr>
              <w:t>1</w:t>
            </w:r>
          </w:p>
        </w:tc>
      </w:tr>
    </w:tbl>
    <w:p w14:paraId="63832122" w14:textId="77777777" w:rsidR="00877950" w:rsidRPr="007122AB" w:rsidRDefault="00877950" w:rsidP="007122AB">
      <w:pPr>
        <w:pStyle w:val="a3"/>
        <w:rPr>
          <w:color w:val="000000" w:themeColor="text1"/>
          <w:lang w:val="ru-RU"/>
        </w:rPr>
      </w:pPr>
      <w:r w:rsidRPr="007122AB">
        <w:rPr>
          <w:color w:val="000000" w:themeColor="text1"/>
          <w:lang w:val="ru-RU"/>
        </w:rPr>
        <w:t xml:space="preserve">Гусеничный ход фирмы «В.А. </w:t>
      </w:r>
      <w:proofErr w:type="spellStart"/>
      <w:r w:rsidRPr="007122AB">
        <w:rPr>
          <w:color w:val="000000" w:themeColor="text1"/>
          <w:lang w:val="ru-RU"/>
        </w:rPr>
        <w:t>Ридцель</w:t>
      </w:r>
      <w:proofErr w:type="spellEnd"/>
      <w:r w:rsidRPr="007122AB">
        <w:rPr>
          <w:color w:val="000000" w:themeColor="text1"/>
          <w:lang w:val="ru-RU"/>
        </w:rPr>
        <w:t>- преемники» (</w:t>
      </w:r>
      <w:proofErr w:type="spellStart"/>
      <w:r w:rsidRPr="007122AB">
        <w:rPr>
          <w:color w:val="000000" w:themeColor="text1"/>
          <w:lang w:val="ru-RU"/>
        </w:rPr>
        <w:t>Ше</w:t>
      </w:r>
      <w:proofErr w:type="spellEnd"/>
      <w:r w:rsidRPr="007122AB">
        <w:rPr>
          <w:color w:val="000000" w:themeColor="text1"/>
          <w:lang w:val="ru-RU"/>
        </w:rPr>
        <w:t xml:space="preserve"> </w:t>
      </w:r>
      <w:proofErr w:type="spellStart"/>
      <w:r w:rsidRPr="007122AB">
        <w:rPr>
          <w:color w:val="000000" w:themeColor="text1"/>
          <w:lang w:val="ru-RU"/>
        </w:rPr>
        <w:t>НасМеЮ-РепНеЮ</w:t>
      </w:r>
      <w:proofErr w:type="spellEnd"/>
      <w:r w:rsidRPr="007122AB">
        <w:rPr>
          <w:color w:val="000000" w:themeColor="text1"/>
          <w:lang w:val="ru-RU"/>
        </w:rPr>
        <w:t xml:space="preserve"> з!ее1 Сот- рапу — модель «Т-Н») представлял из себя две рамы с гусеницами, в каждой из которых имелось по одному ведущему зубчатому ко</w:t>
      </w:r>
      <w:r w:rsidRPr="007122AB">
        <w:rPr>
          <w:color w:val="000000" w:themeColor="text1"/>
          <w:lang w:val="ru-RU"/>
        </w:rPr>
        <w:softHyphen/>
        <w:t>лесу, расположенному таким образом, что за</w:t>
      </w:r>
      <w:r w:rsidRPr="007122AB">
        <w:rPr>
          <w:color w:val="000000" w:themeColor="text1"/>
          <w:lang w:val="ru-RU"/>
        </w:rPr>
        <w:softHyphen/>
        <w:t>цепление осуществлялось с верхней ветвью гусеницы. Внутри зубчатых колес помещались тормозные колодки, позволявшие раздельно подтормаживать гусеницы и осуществлять по</w:t>
      </w:r>
      <w:r w:rsidRPr="007122AB">
        <w:rPr>
          <w:color w:val="000000" w:themeColor="text1"/>
          <w:lang w:val="ru-RU"/>
        </w:rPr>
        <w:softHyphen/>
        <w:t>вороты с малым радиусом. Управление тормо</w:t>
      </w:r>
      <w:r w:rsidRPr="007122AB">
        <w:rPr>
          <w:color w:val="000000" w:themeColor="text1"/>
          <w:lang w:val="ru-RU"/>
        </w:rPr>
        <w:softHyphen/>
        <w:t>зами ведущих колес гусеничного хода и руле</w:t>
      </w:r>
      <w:r w:rsidRPr="007122AB">
        <w:rPr>
          <w:color w:val="000000" w:themeColor="text1"/>
          <w:lang w:val="ru-RU"/>
        </w:rPr>
        <w:softHyphen/>
        <w:t>вое управление не было синхронизировано, что делало управление несколько утомительным, однако в начале 1930-х гг. не рассматривалось как существенный недостаток. Так, раздельное управление поворотом передних колес и тор</w:t>
      </w:r>
      <w:r w:rsidRPr="007122AB">
        <w:rPr>
          <w:color w:val="000000" w:themeColor="text1"/>
          <w:lang w:val="ru-RU"/>
        </w:rPr>
        <w:softHyphen/>
        <w:t>мозами гусеничного хода было применено и на первых отечественных полугусеничных артил</w:t>
      </w:r>
      <w:r w:rsidRPr="007122AB">
        <w:rPr>
          <w:color w:val="000000" w:themeColor="text1"/>
          <w:lang w:val="ru-RU"/>
        </w:rPr>
        <w:softHyphen/>
        <w:t>лерийских тягачах ЯСП, ЗИС-</w:t>
      </w:r>
      <w:proofErr w:type="spellStart"/>
      <w:r w:rsidRPr="007122AB">
        <w:rPr>
          <w:color w:val="000000" w:themeColor="text1"/>
          <w:lang w:val="ru-RU"/>
        </w:rPr>
        <w:t>Сомуа</w:t>
      </w:r>
      <w:proofErr w:type="spellEnd"/>
      <w:r w:rsidRPr="007122AB">
        <w:rPr>
          <w:color w:val="000000" w:themeColor="text1"/>
          <w:lang w:val="ru-RU"/>
        </w:rPr>
        <w:t xml:space="preserve"> и др.</w:t>
      </w:r>
    </w:p>
    <w:p w14:paraId="389B0B4A" w14:textId="77777777" w:rsidR="00877950" w:rsidRPr="007122AB" w:rsidRDefault="00877950" w:rsidP="007122AB">
      <w:pPr>
        <w:pStyle w:val="a3"/>
        <w:rPr>
          <w:color w:val="000000" w:themeColor="text1"/>
          <w:lang w:val="ru-RU"/>
        </w:rPr>
      </w:pPr>
      <w:r w:rsidRPr="007122AB">
        <w:rPr>
          <w:color w:val="000000" w:themeColor="text1"/>
          <w:lang w:val="ru-RU"/>
        </w:rPr>
        <w:t xml:space="preserve">Трактор постройки СТЗ был условно </w:t>
      </w:r>
      <w:proofErr w:type="spellStart"/>
      <w:r w:rsidRPr="007122AB">
        <w:rPr>
          <w:color w:val="000000" w:themeColor="text1"/>
          <w:lang w:val="ru-RU"/>
        </w:rPr>
        <w:t>ме</w:t>
      </w:r>
      <w:r w:rsidRPr="007122AB">
        <w:rPr>
          <w:color w:val="000000" w:themeColor="text1"/>
          <w:lang w:val="ru-RU"/>
        </w:rPr>
        <w:softHyphen/>
        <w:t>тризованной</w:t>
      </w:r>
      <w:proofErr w:type="spellEnd"/>
      <w:r w:rsidRPr="007122AB">
        <w:rPr>
          <w:color w:val="000000" w:themeColor="text1"/>
          <w:lang w:val="ru-RU"/>
        </w:rPr>
        <w:t xml:space="preserve"> копией «Интернационала», поэто</w:t>
      </w:r>
      <w:r w:rsidRPr="007122AB">
        <w:rPr>
          <w:color w:val="000000" w:themeColor="text1"/>
          <w:lang w:val="ru-RU"/>
        </w:rPr>
        <w:softHyphen/>
        <w:t>му ряд их узлов и агрегатов не были взаимо</w:t>
      </w:r>
      <w:r w:rsidRPr="007122AB">
        <w:rPr>
          <w:color w:val="000000" w:themeColor="text1"/>
          <w:lang w:val="ru-RU"/>
        </w:rPr>
        <w:softHyphen/>
        <w:t>заменяемыми. Выяснилось, что посадочные места на американском гусеничном ходу не соответствовали посадочным местам на со</w:t>
      </w:r>
      <w:r w:rsidRPr="007122AB">
        <w:rPr>
          <w:color w:val="000000" w:themeColor="text1"/>
          <w:lang w:val="ru-RU"/>
        </w:rPr>
        <w:softHyphen/>
        <w:t>ветском тракторе, что вынудило провести сле</w:t>
      </w:r>
      <w:r w:rsidRPr="007122AB">
        <w:rPr>
          <w:color w:val="000000" w:themeColor="text1"/>
          <w:lang w:val="ru-RU"/>
        </w:rPr>
        <w:softHyphen/>
        <w:t>сарную обработку и подгонку деталей. Четверо рабочих с домкратами затратили на снятие ко</w:t>
      </w:r>
      <w:r w:rsidRPr="007122AB">
        <w:rPr>
          <w:color w:val="000000" w:themeColor="text1"/>
          <w:lang w:val="ru-RU"/>
        </w:rPr>
        <w:softHyphen/>
        <w:t>лесного хода 1,5 ч и на монтаж гусениц 5 ч, на снятие гусениц — 11 ч, а на установку колес — еще около 1,5 ч.</w:t>
      </w:r>
    </w:p>
    <w:p w14:paraId="2F0CEBFA" w14:textId="77777777" w:rsidR="00877950" w:rsidRPr="007122AB" w:rsidRDefault="00877950" w:rsidP="007122AB">
      <w:pPr>
        <w:pStyle w:val="a3"/>
        <w:rPr>
          <w:color w:val="000000" w:themeColor="text1"/>
          <w:lang w:val="ru-RU"/>
        </w:rPr>
      </w:pPr>
      <w:r w:rsidRPr="007122AB">
        <w:rPr>
          <w:color w:val="000000" w:themeColor="text1"/>
          <w:lang w:val="ru-RU"/>
        </w:rPr>
        <w:t>За все время испытаний трактор и гусе</w:t>
      </w:r>
      <w:r w:rsidRPr="007122AB">
        <w:rPr>
          <w:color w:val="000000" w:themeColor="text1"/>
          <w:lang w:val="ru-RU"/>
        </w:rPr>
        <w:softHyphen/>
        <w:t>ничный ход не имели никаких поломок или неисправностей. Трактор</w:t>
      </w:r>
      <w:r w:rsidRPr="007122AB">
        <w:rPr>
          <w:rStyle w:val="64"/>
          <w:rFonts w:ascii="Times New Roman" w:hAnsi="Times New Roman" w:cs="Times New Roman"/>
          <w:i w:val="0"/>
          <w:color w:val="000000" w:themeColor="text1"/>
          <w:sz w:val="16"/>
          <w:szCs w:val="16"/>
          <w:lang w:val="ru-RU"/>
        </w:rPr>
        <w:t xml:space="preserve"> «свободно буксиро</w:t>
      </w:r>
      <w:r w:rsidRPr="007122AB">
        <w:rPr>
          <w:rStyle w:val="64"/>
          <w:rFonts w:ascii="Times New Roman" w:hAnsi="Times New Roman" w:cs="Times New Roman"/>
          <w:i w:val="0"/>
          <w:color w:val="000000" w:themeColor="text1"/>
          <w:sz w:val="16"/>
          <w:szCs w:val="16"/>
          <w:lang w:val="ru-RU"/>
        </w:rPr>
        <w:softHyphen/>
        <w:t>вал пушку на третьей передаче, давая вторую передачу только на подъемах».</w:t>
      </w:r>
      <w:r w:rsidRPr="007122AB">
        <w:rPr>
          <w:color w:val="000000" w:themeColor="text1"/>
          <w:lang w:val="ru-RU"/>
        </w:rPr>
        <w:t xml:space="preserve"> Из немного</w:t>
      </w:r>
      <w:r w:rsidRPr="007122AB">
        <w:rPr>
          <w:color w:val="000000" w:themeColor="text1"/>
          <w:lang w:val="ru-RU"/>
        </w:rPr>
        <w:softHyphen/>
        <w:t>численных недостатков испытатели отметили неудобную прицепку орудия и отсутствие на тракторе места под инструментальный ящик, который пришлось перенести на лафет.</w:t>
      </w:r>
    </w:p>
    <w:p w14:paraId="1DC5A459" w14:textId="77777777" w:rsidR="00877950" w:rsidRPr="007122AB" w:rsidRDefault="00877950" w:rsidP="007122AB">
      <w:pPr>
        <w:pStyle w:val="a3"/>
        <w:rPr>
          <w:color w:val="000000" w:themeColor="text1"/>
          <w:lang w:val="ru-RU"/>
        </w:rPr>
      </w:pPr>
      <w:r w:rsidRPr="007122AB">
        <w:rPr>
          <w:color w:val="000000" w:themeColor="text1"/>
          <w:lang w:val="ru-RU"/>
        </w:rPr>
        <w:t>Серийное производство гусеничных ходов «Варко-</w:t>
      </w:r>
      <w:proofErr w:type="spellStart"/>
      <w:r w:rsidRPr="007122AB">
        <w:rPr>
          <w:color w:val="000000" w:themeColor="text1"/>
          <w:lang w:val="ru-RU"/>
        </w:rPr>
        <w:t>Риддель</w:t>
      </w:r>
      <w:proofErr w:type="spellEnd"/>
      <w:r w:rsidRPr="007122AB">
        <w:rPr>
          <w:color w:val="000000" w:themeColor="text1"/>
          <w:lang w:val="ru-RU"/>
        </w:rPr>
        <w:t xml:space="preserve">» не было освоено по причинам, не связанным с их техническим </w:t>
      </w:r>
      <w:proofErr w:type="spellStart"/>
      <w:r w:rsidRPr="007122AB">
        <w:rPr>
          <w:color w:val="000000" w:themeColor="text1"/>
          <w:lang w:val="ru-RU"/>
        </w:rPr>
        <w:t>совершенством.После</w:t>
      </w:r>
      <w:proofErr w:type="spellEnd"/>
      <w:r w:rsidRPr="007122AB">
        <w:rPr>
          <w:color w:val="000000" w:themeColor="text1"/>
          <w:lang w:val="ru-RU"/>
        </w:rPr>
        <w:t xml:space="preserve"> принятия решения о внедрении в произ</w:t>
      </w:r>
      <w:r w:rsidRPr="007122AB">
        <w:rPr>
          <w:color w:val="000000" w:themeColor="text1"/>
          <w:lang w:val="ru-RU"/>
        </w:rPr>
        <w:softHyphen/>
        <w:t>водство во второй пятилетке на ХТЗ и СТЗ гусе</w:t>
      </w:r>
      <w:r w:rsidRPr="007122AB">
        <w:rPr>
          <w:color w:val="000000" w:themeColor="text1"/>
          <w:lang w:val="ru-RU"/>
        </w:rPr>
        <w:softHyphen/>
        <w:t>ничного трактора проводившиеся Институтом механизации сельского хозяйства (ВИМ) рабо</w:t>
      </w:r>
      <w:r w:rsidRPr="007122AB">
        <w:rPr>
          <w:color w:val="000000" w:themeColor="text1"/>
          <w:lang w:val="ru-RU"/>
        </w:rPr>
        <w:softHyphen/>
        <w:t>ты по проектированию оригинальных конструк</w:t>
      </w:r>
      <w:r w:rsidRPr="007122AB">
        <w:rPr>
          <w:color w:val="000000" w:themeColor="text1"/>
          <w:lang w:val="ru-RU"/>
        </w:rPr>
        <w:softHyphen/>
        <w:t>ций гусеничных ходов потеряли актуальность (12620).</w:t>
      </w:r>
    </w:p>
    <w:p w14:paraId="423EAB98" w14:textId="77777777" w:rsidR="00877950" w:rsidRPr="007122AB" w:rsidRDefault="00877950" w:rsidP="007122AB">
      <w:pPr>
        <w:pStyle w:val="a3"/>
        <w:rPr>
          <w:color w:val="000000" w:themeColor="text1"/>
          <w:lang w:val="ru-RU"/>
        </w:rPr>
      </w:pPr>
    </w:p>
    <w:p w14:paraId="7949C81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E8D634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A74BFA" w14:textId="77777777" w:rsidR="00CE2613" w:rsidRPr="007122AB" w:rsidRDefault="00CE2613" w:rsidP="007122AB">
      <w:pPr>
        <w:pStyle w:val="ae"/>
        <w:spacing w:before="0" w:after="0"/>
        <w:jc w:val="both"/>
        <w:textAlignment w:val="baseline"/>
        <w:rPr>
          <w:color w:val="000000" w:themeColor="text1"/>
          <w:sz w:val="16"/>
          <w:szCs w:val="16"/>
        </w:rPr>
      </w:pPr>
      <w:r w:rsidRPr="007122AB">
        <w:rPr>
          <w:color w:val="000000" w:themeColor="text1"/>
          <w:sz w:val="16"/>
          <w:szCs w:val="16"/>
        </w:rPr>
        <w:t xml:space="preserve">В июне 1931 г. А.Н. Туполев заявил о невозможности осуществления проекта ТШ-1 — для него требовались моторы мощностью порядка 1300 л.с., которых в то время попросту не существовало. </w:t>
      </w:r>
    </w:p>
    <w:p w14:paraId="0F1A8014" w14:textId="77777777" w:rsidR="00CE2613" w:rsidRPr="007122AB" w:rsidRDefault="00CE2613" w:rsidP="007122AB">
      <w:pPr>
        <w:pStyle w:val="ae"/>
        <w:spacing w:before="0" w:after="0"/>
        <w:jc w:val="both"/>
        <w:textAlignment w:val="baseline"/>
        <w:rPr>
          <w:color w:val="000000" w:themeColor="text1"/>
          <w:sz w:val="16"/>
          <w:szCs w:val="16"/>
        </w:rPr>
      </w:pPr>
      <w:r w:rsidRPr="007122AB">
        <w:rPr>
          <w:color w:val="000000" w:themeColor="text1"/>
          <w:sz w:val="16"/>
          <w:szCs w:val="16"/>
        </w:rPr>
        <w:t>Проектирование осуществлялось на базе уже существующего самолета —двухмоторного цельнометаллического бомбардировщика-моноплана ТБ-1. Проект, получивший «фирменный» индекс АНТ-17, предусматривал установку бронирования общей массой 1000 кг, из которых только 380 кг входило в конструкцию самолета. Броня толщиной 3,5-4,5 мм защищала экипаж из четырех человек, моторы и бензобаки. Параллельно велась проработка не менее дюжины вариантов компоновки самолета под различные моторы — как отечественные М-34 (750 л.с.), так и импортные «</w:t>
      </w:r>
      <w:proofErr w:type="spellStart"/>
      <w:r w:rsidRPr="007122AB">
        <w:rPr>
          <w:color w:val="000000" w:themeColor="text1"/>
          <w:sz w:val="16"/>
          <w:szCs w:val="16"/>
        </w:rPr>
        <w:t>ИзотаФраскини</w:t>
      </w:r>
      <w:proofErr w:type="spellEnd"/>
      <w:r w:rsidRPr="007122AB">
        <w:rPr>
          <w:color w:val="000000" w:themeColor="text1"/>
          <w:sz w:val="16"/>
          <w:szCs w:val="16"/>
        </w:rPr>
        <w:t>» и ВМ</w:t>
      </w:r>
      <w:r w:rsidRPr="007122AB">
        <w:rPr>
          <w:color w:val="000000" w:themeColor="text1"/>
          <w:sz w:val="16"/>
          <w:szCs w:val="16"/>
          <w:lang w:val="en-US"/>
        </w:rPr>
        <w:t>W</w:t>
      </w:r>
      <w:r w:rsidRPr="007122AB">
        <w:rPr>
          <w:color w:val="000000" w:themeColor="text1"/>
          <w:sz w:val="16"/>
          <w:szCs w:val="16"/>
        </w:rPr>
        <w:t xml:space="preserve"> мощностью порядка 800 л.с. Наступательное стрелково-пушечное вооружение должно было состоять из </w:t>
      </w:r>
      <w:proofErr w:type="spellStart"/>
      <w:r w:rsidRPr="007122AB">
        <w:rPr>
          <w:color w:val="000000" w:themeColor="text1"/>
          <w:sz w:val="16"/>
          <w:szCs w:val="16"/>
        </w:rPr>
        <w:t>динамореактивных</w:t>
      </w:r>
      <w:proofErr w:type="spellEnd"/>
      <w:r w:rsidRPr="007122AB">
        <w:rPr>
          <w:color w:val="000000" w:themeColor="text1"/>
          <w:sz w:val="16"/>
          <w:szCs w:val="16"/>
        </w:rPr>
        <w:t xml:space="preserve"> (безоткатных) пушек конструкции Л.В. </w:t>
      </w:r>
      <w:proofErr w:type="spellStart"/>
      <w:r w:rsidRPr="007122AB">
        <w:rPr>
          <w:color w:val="000000" w:themeColor="text1"/>
          <w:sz w:val="16"/>
          <w:szCs w:val="16"/>
        </w:rPr>
        <w:t>Курчевского</w:t>
      </w:r>
      <w:proofErr w:type="spellEnd"/>
      <w:r w:rsidRPr="007122AB">
        <w:rPr>
          <w:color w:val="000000" w:themeColor="text1"/>
          <w:sz w:val="16"/>
          <w:szCs w:val="16"/>
        </w:rPr>
        <w:t xml:space="preserve"> (двух 37-мм или одной 76,2-мм), а также четырех 7,62-мм пулеметов ПВ-1, оборонительное — двух турелей с 7,62-мм пулеметами ДА. Масса бомбовой нагрузки определялась в 800 кг. С учетом всего вышеперечисленного, взлетный вес АНТ-17, согласно расчетам, достигал 8000 кг, и мощности двигателей явно не хватало.</w:t>
      </w:r>
    </w:p>
    <w:p w14:paraId="06B032F8" w14:textId="77777777" w:rsidR="00CE2613" w:rsidRPr="007122AB" w:rsidRDefault="00CE2613" w:rsidP="007122AB">
      <w:pPr>
        <w:pStyle w:val="ae"/>
        <w:spacing w:before="0" w:after="0"/>
        <w:jc w:val="both"/>
        <w:textAlignment w:val="baseline"/>
        <w:rPr>
          <w:color w:val="000000" w:themeColor="text1"/>
          <w:sz w:val="16"/>
          <w:szCs w:val="16"/>
          <w:bdr w:val="none" w:sz="0" w:space="0" w:color="auto" w:frame="1"/>
        </w:rPr>
      </w:pPr>
      <w:r w:rsidRPr="007122AB">
        <w:rPr>
          <w:color w:val="000000" w:themeColor="text1"/>
          <w:sz w:val="16"/>
          <w:szCs w:val="16"/>
        </w:rPr>
        <w:t>Вместо этого конструктор предложил переделать в штурмовик двухмоторный дальний разведчик Р-6. Но и этот проект под обозначением АНТ-18 не был осуществлен из-за отсутствия подходящих двигателей (21241).</w:t>
      </w:r>
    </w:p>
    <w:p w14:paraId="30A0144F" w14:textId="77777777" w:rsidR="00CE2613" w:rsidRPr="007122AB" w:rsidRDefault="00CE2613" w:rsidP="007122AB">
      <w:pPr>
        <w:pStyle w:val="ae"/>
        <w:spacing w:before="0" w:after="0"/>
        <w:jc w:val="both"/>
        <w:textAlignment w:val="baseline"/>
        <w:rPr>
          <w:color w:val="000000" w:themeColor="text1"/>
          <w:sz w:val="16"/>
          <w:szCs w:val="16"/>
          <w:bdr w:val="none" w:sz="0" w:space="0" w:color="auto" w:frame="1"/>
        </w:rPr>
      </w:pPr>
    </w:p>
    <w:p w14:paraId="3126AE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на ЦА у </w:t>
      </w:r>
      <w:proofErr w:type="spellStart"/>
      <w:r w:rsidRPr="007122AB">
        <w:rPr>
          <w:rFonts w:ascii="Times New Roman" w:hAnsi="Times New Roman"/>
          <w:color w:val="000000" w:themeColor="text1"/>
          <w:sz w:val="16"/>
          <w:szCs w:val="16"/>
        </w:rPr>
        <w:t>А.Анисимова</w:t>
      </w:r>
      <w:proofErr w:type="spellEnd"/>
      <w:r w:rsidRPr="007122AB">
        <w:rPr>
          <w:rFonts w:ascii="Times New Roman" w:hAnsi="Times New Roman"/>
          <w:color w:val="000000" w:themeColor="text1"/>
          <w:sz w:val="16"/>
          <w:szCs w:val="16"/>
        </w:rPr>
        <w:t xml:space="preserve"> при полете на И-4 (АНТ-5) на большой скорости на правой консоли сорвалась обшивка. Покидать машину не стал и спланировав на низкой скорости совершил посадку (4338,18).</w:t>
      </w:r>
    </w:p>
    <w:p w14:paraId="33EF19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B092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с УВВС согласовали предложение опустить крыло на серийных АНТ-8 на 300 мм (7610, 34).</w:t>
      </w:r>
    </w:p>
    <w:p w14:paraId="6EEA0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2B21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г. окончательно определились с составом бомбового вооружения ТБ-3 (АНТ-6). На опытном АНТ-6 имелись только внутренние кассетные бомбодержатели Дер-9, да и те недоведённые. Но кроме этого самолет должен был нести еще три типа наружных держателей. которые еще предстояло изготовить. До июля ни одной выдвижной башни для ТБ-3 не получили. Впрочем, чертежей, как их монтировать, пока тоже не приготовили (8887).</w:t>
      </w:r>
    </w:p>
    <w:p w14:paraId="25BAD9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28B6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июня 1931 г., на машине ТБ-5 усилили фюзеляж (в полете отмечалось скручивание его хвостовой части) и крепление двигателей, прорезали верхние люки в кабине пилотов, установили остекление в районе задней кромки центроплана, сняли «</w:t>
      </w:r>
      <w:proofErr w:type="spellStart"/>
      <w:r w:rsidRPr="007122AB">
        <w:rPr>
          <w:rFonts w:ascii="Times New Roman" w:hAnsi="Times New Roman"/>
          <w:color w:val="000000" w:themeColor="text1"/>
          <w:sz w:val="16"/>
          <w:szCs w:val="16"/>
        </w:rPr>
        <w:t>тауненды</w:t>
      </w:r>
      <w:proofErr w:type="spellEnd"/>
      <w:r w:rsidRPr="007122AB">
        <w:rPr>
          <w:rFonts w:ascii="Times New Roman" w:hAnsi="Times New Roman"/>
          <w:color w:val="000000" w:themeColor="text1"/>
          <w:sz w:val="16"/>
          <w:szCs w:val="16"/>
        </w:rPr>
        <w:t>» с задних двигателей (5854,34).</w:t>
      </w:r>
    </w:p>
    <w:p w14:paraId="10DC32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7A6662"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Начиная с июня 1931 г. на ТБМ-22 усилили фюзеляж (отмечалось скручивание хвостовой части фюзеляжа в полете) и крепление двига</w:t>
      </w:r>
      <w:r w:rsidRPr="007122AB">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7122AB">
        <w:rPr>
          <w:rFonts w:ascii="Times New Roman" w:hAnsi="Times New Roman"/>
          <w:color w:val="000000" w:themeColor="text1"/>
          <w:sz w:val="16"/>
          <w:szCs w:val="16"/>
        </w:rPr>
        <w:softHyphen/>
        <w:t xml:space="preserve">плане, сняты кольца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xml:space="preserve"> с задних двигателей. В период зимы 1931—1932 гг. ТБ-5 был поставлен на лыжи и совершил еще ряд полетов.</w:t>
      </w:r>
    </w:p>
    <w:p w14:paraId="74B6A91F"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Продолжались и проектные работы по установке двигателей ФЭД. Были отрабо</w:t>
      </w:r>
      <w:r w:rsidRPr="007122AB">
        <w:rPr>
          <w:rFonts w:ascii="Times New Roman" w:hAnsi="Times New Roman"/>
          <w:color w:val="000000" w:themeColor="text1"/>
          <w:sz w:val="16"/>
          <w:szCs w:val="16"/>
        </w:rPr>
        <w:softHyphen/>
        <w:t xml:space="preserve">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Другими известными впо</w:t>
      </w:r>
      <w:r w:rsidRPr="007122AB">
        <w:rPr>
          <w:rFonts w:ascii="Times New Roman" w:hAnsi="Times New Roman"/>
          <w:color w:val="000000" w:themeColor="text1"/>
          <w:sz w:val="16"/>
          <w:szCs w:val="16"/>
        </w:rPr>
        <w:softHyphen/>
        <w:t xml:space="preserve">следствии конструкторами, отметившимися на ТБ-5, можно назвать Б.И. </w:t>
      </w:r>
      <w:proofErr w:type="spellStart"/>
      <w:r w:rsidRPr="007122AB">
        <w:rPr>
          <w:rFonts w:ascii="Times New Roman" w:hAnsi="Times New Roman"/>
          <w:color w:val="000000" w:themeColor="text1"/>
          <w:sz w:val="16"/>
          <w:szCs w:val="16"/>
        </w:rPr>
        <w:t>Черановского</w:t>
      </w:r>
      <w:proofErr w:type="spellEnd"/>
      <w:r w:rsidRPr="007122AB">
        <w:rPr>
          <w:rFonts w:ascii="Times New Roman" w:hAnsi="Times New Roman"/>
          <w:color w:val="000000" w:themeColor="text1"/>
          <w:sz w:val="16"/>
          <w:szCs w:val="16"/>
        </w:rPr>
        <w:t xml:space="preserve">, В.П. Яценко и А.Н. </w:t>
      </w:r>
      <w:proofErr w:type="spellStart"/>
      <w:r w:rsidRPr="007122AB">
        <w:rPr>
          <w:rFonts w:ascii="Times New Roman" w:hAnsi="Times New Roman"/>
          <w:color w:val="000000" w:themeColor="text1"/>
          <w:sz w:val="16"/>
          <w:szCs w:val="16"/>
        </w:rPr>
        <w:t>Рафаэлянца</w:t>
      </w:r>
      <w:proofErr w:type="spellEnd"/>
      <w:r w:rsidRPr="007122AB">
        <w:rPr>
          <w:rFonts w:ascii="Times New Roman" w:hAnsi="Times New Roman"/>
          <w:color w:val="000000" w:themeColor="text1"/>
          <w:sz w:val="16"/>
          <w:szCs w:val="16"/>
        </w:rPr>
        <w:t>.</w:t>
      </w:r>
    </w:p>
    <w:p w14:paraId="1E82FD34" w14:textId="77777777" w:rsidR="00877950" w:rsidRPr="007122AB" w:rsidRDefault="008779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7122AB">
        <w:rPr>
          <w:rFonts w:ascii="Times New Roman" w:hAnsi="Times New Roman"/>
          <w:color w:val="000000" w:themeColor="text1"/>
          <w:sz w:val="16"/>
          <w:szCs w:val="16"/>
        </w:rPr>
        <w:softHyphen/>
        <w:t xml:space="preserve">тился в ВСНХ СССР. Однако Председатель СНК СССР В.М. Молотов руководствовался </w:t>
      </w:r>
      <w:proofErr w:type="spellStart"/>
      <w:r w:rsidRPr="007122AB">
        <w:rPr>
          <w:rFonts w:ascii="Times New Roman" w:hAnsi="Times New Roman"/>
          <w:color w:val="000000" w:themeColor="text1"/>
          <w:sz w:val="16"/>
          <w:szCs w:val="16"/>
        </w:rPr>
        <w:t>какимито</w:t>
      </w:r>
      <w:proofErr w:type="spellEnd"/>
      <w:r w:rsidRPr="007122AB">
        <w:rPr>
          <w:rFonts w:ascii="Times New Roman" w:hAnsi="Times New Roman"/>
          <w:color w:val="000000" w:themeColor="text1"/>
          <w:sz w:val="16"/>
          <w:szCs w:val="16"/>
        </w:rPr>
        <w:t xml:space="preserve"> особыми соображениями, поэ</w:t>
      </w:r>
      <w:r w:rsidRPr="007122AB">
        <w:rPr>
          <w:rFonts w:ascii="Times New Roman" w:hAnsi="Times New Roman"/>
          <w:color w:val="000000" w:themeColor="text1"/>
          <w:sz w:val="16"/>
          <w:szCs w:val="16"/>
        </w:rPr>
        <w:softHyphen/>
        <w:t>тому идею его отклонил и предложил при</w:t>
      </w:r>
      <w:r w:rsidRPr="007122AB">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7122AB">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7122AB">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7122AB">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7122AB">
        <w:rPr>
          <w:rFonts w:ascii="Times New Roman" w:hAnsi="Times New Roman"/>
          <w:color w:val="000000" w:themeColor="text1"/>
          <w:sz w:val="16"/>
          <w:szCs w:val="16"/>
        </w:rPr>
        <w:softHyphen/>
        <w:t xml:space="preserve">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(12611).</w:t>
      </w:r>
    </w:p>
    <w:p w14:paraId="22387FF2" w14:textId="77777777" w:rsidR="00877950" w:rsidRPr="007122AB" w:rsidRDefault="00877950" w:rsidP="007122AB">
      <w:pPr>
        <w:spacing w:after="0" w:line="240" w:lineRule="auto"/>
        <w:jc w:val="both"/>
        <w:rPr>
          <w:rFonts w:ascii="Times New Roman" w:hAnsi="Times New Roman"/>
          <w:color w:val="000000" w:themeColor="text1"/>
          <w:sz w:val="16"/>
          <w:szCs w:val="16"/>
        </w:rPr>
      </w:pPr>
    </w:p>
    <w:p w14:paraId="6C912866"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г. НТК УВВС РККА представил ЦАГИ новый вариант лётно-технических требований к ДИП-1.</w:t>
      </w:r>
    </w:p>
    <w:p w14:paraId="17C7C7D2"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Наступательный бой со всеми и преимущественно с тяжёлыми типами самолётов и воздухоплавательными аппаратами (дирижабли) противника, как на фрон</w:t>
      </w:r>
      <w:r w:rsidRPr="007122AB">
        <w:rPr>
          <w:rFonts w:ascii="Times New Roman" w:hAnsi="Times New Roman"/>
          <w:color w:val="000000" w:themeColor="text1"/>
          <w:sz w:val="16"/>
          <w:szCs w:val="16"/>
        </w:rPr>
        <w:softHyphen/>
        <w:t>те, так и в своем и противника тылу. Обеспечение (сопровождение) операций своей бомбардировочной авиации. В исключительных случаях самолёт может быть использо</w:t>
      </w:r>
      <w:r w:rsidRPr="007122AB">
        <w:rPr>
          <w:rFonts w:ascii="Times New Roman" w:hAnsi="Times New Roman"/>
          <w:color w:val="000000" w:themeColor="text1"/>
          <w:sz w:val="16"/>
          <w:szCs w:val="16"/>
        </w:rPr>
        <w:softHyphen/>
        <w:t>ван для разведывательных целей армии.</w:t>
      </w:r>
    </w:p>
    <w:p w14:paraId="66497304"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Метод применения: Полёт как одиночный, так и в строю. Бой с дальних и ближних дистанций; основан на силе своего огня, маневра и внезапности. Прорыв тяжёлых и сверхтяжёлых самолётов противника; применение дистанционных бомб и «Защитных авиационных мин» — ЗАМ.</w:t>
      </w:r>
    </w:p>
    <w:p w14:paraId="2ACE5558"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Последовательность требований:</w:t>
      </w:r>
    </w:p>
    <w:p w14:paraId="48ACD23B"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горизонтальная скорость на боевой высоте;</w:t>
      </w:r>
    </w:p>
    <w:p w14:paraId="290A034B" w14:textId="77777777" w:rsidR="00452F24" w:rsidRPr="007122AB" w:rsidRDefault="00452F24" w:rsidP="007122AB">
      <w:pPr>
        <w:tabs>
          <w:tab w:val="left" w:pos="33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маневренность;</w:t>
      </w:r>
    </w:p>
    <w:p w14:paraId="002D1045" w14:textId="77777777" w:rsidR="00452F24" w:rsidRPr="007122AB" w:rsidRDefault="00452F24" w:rsidP="007122AB">
      <w:pPr>
        <w:tabs>
          <w:tab w:val="left" w:pos="33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грузоподъёмность (количество снарядов);</w:t>
      </w:r>
    </w:p>
    <w:p w14:paraId="5BD5C722" w14:textId="77777777" w:rsidR="00452F24" w:rsidRPr="007122AB" w:rsidRDefault="00452F24" w:rsidP="007122AB">
      <w:pPr>
        <w:tabs>
          <w:tab w:val="left" w:pos="33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скороподъёмность;</w:t>
      </w:r>
    </w:p>
    <w:p w14:paraId="334559AA" w14:textId="77777777" w:rsidR="00452F24" w:rsidRPr="007122AB" w:rsidRDefault="00452F24" w:rsidP="007122AB">
      <w:pPr>
        <w:tabs>
          <w:tab w:val="left" w:pos="32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взлётно-посадочные качества.</w:t>
      </w:r>
    </w:p>
    <w:p w14:paraId="068DAFB8"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Лётно-тактические данные для боевой высоты 5000 м:</w:t>
      </w:r>
    </w:p>
    <w:p w14:paraId="049ADAF9" w14:textId="77777777" w:rsidR="00452F24" w:rsidRPr="007122AB" w:rsidRDefault="00452F24" w:rsidP="007122AB">
      <w:pPr>
        <w:tabs>
          <w:tab w:val="left" w:pos="32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горизонтальная скорость</w:t>
      </w:r>
      <w:r w:rsidRPr="007122AB">
        <w:rPr>
          <w:rFonts w:ascii="Times New Roman" w:hAnsi="Times New Roman"/>
          <w:color w:val="000000" w:themeColor="text1"/>
          <w:sz w:val="16"/>
          <w:szCs w:val="16"/>
        </w:rPr>
        <w:tab/>
        <w:t>325-350 км/ч</w:t>
      </w:r>
    </w:p>
    <w:p w14:paraId="43CF2D9E" w14:textId="77777777" w:rsidR="00452F24" w:rsidRPr="007122AB" w:rsidRDefault="00452F24" w:rsidP="007122AB">
      <w:pPr>
        <w:tabs>
          <w:tab w:val="left" w:pos="325"/>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время подъёма на Н=5000 м</w:t>
      </w:r>
      <w:r w:rsidRPr="007122AB">
        <w:rPr>
          <w:rFonts w:ascii="Times New Roman" w:hAnsi="Times New Roman"/>
          <w:color w:val="000000" w:themeColor="text1"/>
          <w:sz w:val="16"/>
          <w:szCs w:val="16"/>
        </w:rPr>
        <w:tab/>
        <w:t>10-12 мин</w:t>
      </w:r>
    </w:p>
    <w:p w14:paraId="7E15D1D9" w14:textId="77777777" w:rsidR="00452F24" w:rsidRPr="007122AB" w:rsidRDefault="00452F24" w:rsidP="007122AB">
      <w:pPr>
        <w:tabs>
          <w:tab w:val="left" w:pos="32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посадочная скорость не свыше</w:t>
      </w:r>
      <w:r w:rsidRPr="007122AB">
        <w:rPr>
          <w:rFonts w:ascii="Times New Roman" w:hAnsi="Times New Roman"/>
          <w:color w:val="000000" w:themeColor="text1"/>
          <w:sz w:val="16"/>
          <w:szCs w:val="16"/>
        </w:rPr>
        <w:tab/>
        <w:t>100 км/ч</w:t>
      </w:r>
    </w:p>
    <w:p w14:paraId="26206EAA" w14:textId="77777777" w:rsidR="00452F24" w:rsidRPr="007122AB" w:rsidRDefault="00452F24" w:rsidP="007122AB">
      <w:pPr>
        <w:tabs>
          <w:tab w:val="left" w:pos="325"/>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радиус действия нормальный</w:t>
      </w:r>
      <w:r w:rsidRPr="007122AB">
        <w:rPr>
          <w:rFonts w:ascii="Times New Roman" w:hAnsi="Times New Roman"/>
          <w:color w:val="000000" w:themeColor="text1"/>
          <w:sz w:val="16"/>
          <w:szCs w:val="16"/>
        </w:rPr>
        <w:tab/>
        <w:t>300</w:t>
      </w:r>
    </w:p>
    <w:p w14:paraId="45423AE9" w14:textId="77777777" w:rsidR="00452F24" w:rsidRPr="007122AB" w:rsidRDefault="00452F24" w:rsidP="007122AB">
      <w:pPr>
        <w:tabs>
          <w:tab w:val="left" w:pos="315"/>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ёмкость баков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 xml:space="preserve">. вариант без бомб, </w:t>
      </w:r>
      <w:proofErr w:type="spellStart"/>
      <w:r w:rsidRPr="007122AB">
        <w:rPr>
          <w:rFonts w:ascii="Times New Roman" w:hAnsi="Times New Roman"/>
          <w:color w:val="000000" w:themeColor="text1"/>
          <w:sz w:val="16"/>
          <w:szCs w:val="16"/>
        </w:rPr>
        <w:t>нагр</w:t>
      </w:r>
      <w:proofErr w:type="spellEnd"/>
      <w:r w:rsidRPr="007122AB">
        <w:rPr>
          <w:rFonts w:ascii="Times New Roman" w:hAnsi="Times New Roman"/>
          <w:color w:val="000000" w:themeColor="text1"/>
          <w:sz w:val="16"/>
          <w:szCs w:val="16"/>
        </w:rPr>
        <w:t>), обеспечивающая радиус действия</w:t>
      </w:r>
      <w:r w:rsidRPr="007122AB">
        <w:rPr>
          <w:rFonts w:ascii="Times New Roman" w:hAnsi="Times New Roman"/>
          <w:color w:val="000000" w:themeColor="text1"/>
          <w:sz w:val="16"/>
          <w:szCs w:val="16"/>
        </w:rPr>
        <w:tab/>
        <w:t>500</w:t>
      </w:r>
    </w:p>
    <w:p w14:paraId="18DADD9B"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и сбрасываемый груз:</w:t>
      </w:r>
    </w:p>
    <w:p w14:paraId="1F74386F"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Нормальный вариант</w:t>
      </w:r>
    </w:p>
    <w:p w14:paraId="48A5CBD9" w14:textId="77777777" w:rsidR="00452F24" w:rsidRPr="007122AB" w:rsidRDefault="00452F24" w:rsidP="007122AB">
      <w:pPr>
        <w:tabs>
          <w:tab w:val="left" w:pos="32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 ДРП для стрельбы вперед;</w:t>
      </w:r>
    </w:p>
    <w:p w14:paraId="1B8A0F4A" w14:textId="77777777" w:rsidR="00452F24" w:rsidRPr="007122AB" w:rsidRDefault="00452F24" w:rsidP="007122AB">
      <w:pPr>
        <w:tabs>
          <w:tab w:val="left" w:pos="325"/>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пулемёт для стрельбы в заднюю полусферу;</w:t>
      </w:r>
    </w:p>
    <w:p w14:paraId="1A7939FD" w14:textId="77777777" w:rsidR="00452F24" w:rsidRPr="007122AB" w:rsidRDefault="00452F24" w:rsidP="007122AB">
      <w:pPr>
        <w:tabs>
          <w:tab w:val="left" w:pos="320"/>
          <w:tab w:val="left" w:pos="4947"/>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количество снарядов</w:t>
      </w:r>
      <w:r w:rsidRPr="007122AB">
        <w:rPr>
          <w:rFonts w:ascii="Times New Roman" w:hAnsi="Times New Roman"/>
          <w:color w:val="000000" w:themeColor="text1"/>
          <w:sz w:val="16"/>
          <w:szCs w:val="16"/>
        </w:rPr>
        <w:tab/>
        <w:t>не менее 30;</w:t>
      </w:r>
    </w:p>
    <w:p w14:paraId="37B269EA" w14:textId="77777777" w:rsidR="00452F24" w:rsidRPr="007122AB" w:rsidRDefault="00452F24" w:rsidP="007122AB">
      <w:pPr>
        <w:tabs>
          <w:tab w:val="left" w:pos="320"/>
          <w:tab w:val="left" w:pos="4928"/>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количество патронов</w:t>
      </w:r>
      <w:r w:rsidRPr="007122AB">
        <w:rPr>
          <w:rFonts w:ascii="Times New Roman" w:hAnsi="Times New Roman"/>
          <w:color w:val="000000" w:themeColor="text1"/>
          <w:sz w:val="16"/>
          <w:szCs w:val="16"/>
        </w:rPr>
        <w:tab/>
        <w:t>— 750</w:t>
      </w:r>
    </w:p>
    <w:p w14:paraId="52960907"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Перегрузочный вариант (добавляется) —10x10 дистанционных бомб или 2хЗАМ...»</w:t>
      </w:r>
    </w:p>
    <w:p w14:paraId="60E53545" w14:textId="77777777" w:rsidR="00452F24" w:rsidRPr="007122AB" w:rsidRDefault="00452F2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Сведений о работе над проектом ДИП по вышеприведённым ЛТТ не обнаружено (15823).</w:t>
      </w:r>
    </w:p>
    <w:p w14:paraId="54398F34" w14:textId="77777777" w:rsidR="00452F24" w:rsidRPr="007122AB" w:rsidRDefault="00452F24" w:rsidP="007122AB">
      <w:pPr>
        <w:spacing w:after="0" w:line="240" w:lineRule="auto"/>
        <w:jc w:val="both"/>
        <w:rPr>
          <w:rFonts w:ascii="Times New Roman" w:hAnsi="Times New Roman"/>
          <w:color w:val="000000" w:themeColor="text1"/>
          <w:sz w:val="16"/>
          <w:szCs w:val="16"/>
        </w:rPr>
      </w:pPr>
    </w:p>
    <w:p w14:paraId="3F379063"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color w:val="000000" w:themeColor="text1"/>
          <w:sz w:val="16"/>
          <w:szCs w:val="16"/>
        </w:rPr>
        <w:t>В июне 1931 года НТК УВВС РККА представил ЦАГИ новый вариант летно-технических требований к ДИП-1.</w:t>
      </w:r>
    </w:p>
    <w:p w14:paraId="51AAFF47"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«Назначение: Наступательный бой со всеми и преимущественно с тяжелыми типами самолетов и воздухоплавательными аппаратами (дирижабли) противника, как на фронте, так и в своем и противника тылу. Обеспечение (сопровождение) операций своей бомбардировочной авиации. В исключительных случаях самолет может быть использован для разведывательных целей армии.</w:t>
      </w:r>
    </w:p>
    <w:p w14:paraId="2810346A"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Метод применения: Полет как одиночный, так и в строю. Бой с дальних и ближних дистанций; основан на силе своего огня, маневра и внезапности. Прорыв тяжелых и сверхтяжелых самолетов противника; применение дистанционных бомб и «Защитных авиационных мин» – ЗАМ.</w:t>
      </w:r>
    </w:p>
    <w:p w14:paraId="10B79662"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Последовательность требований:</w:t>
      </w:r>
    </w:p>
    <w:p w14:paraId="6E10F934"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горизонтальная скорость на боевой высоте;</w:t>
      </w:r>
    </w:p>
    <w:p w14:paraId="1C35244C"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маневренность;</w:t>
      </w:r>
    </w:p>
    <w:p w14:paraId="3DBE3A5F"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грузоподъемность (количество снарядов);</w:t>
      </w:r>
    </w:p>
    <w:p w14:paraId="45D22248"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скороподъемность;</w:t>
      </w:r>
    </w:p>
    <w:p w14:paraId="297A00D8"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взлетно-посадочные качества.</w:t>
      </w:r>
    </w:p>
    <w:p w14:paraId="487F2C65"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Летно-тактические данные для боевой высоты 5000 м:</w:t>
      </w:r>
    </w:p>
    <w:p w14:paraId="51D6F4EF"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горизонтальная скорость – 325-350 км/ч</w:t>
      </w:r>
    </w:p>
    <w:p w14:paraId="3E7F5149"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время подъема на Н=5000 м – 10-12 мин</w:t>
      </w:r>
    </w:p>
    <w:p w14:paraId="355E3CE7"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посадочная скорость не свыше – 100 км/ч</w:t>
      </w:r>
    </w:p>
    <w:p w14:paraId="7B534C85"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радиус действия нормальный – 300 км</w:t>
      </w:r>
    </w:p>
    <w:p w14:paraId="45AB8C04"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емкость баков (</w:t>
      </w:r>
      <w:proofErr w:type="spellStart"/>
      <w:r w:rsidRPr="007122AB">
        <w:rPr>
          <w:rStyle w:val="af0"/>
          <w:i w:val="0"/>
          <w:color w:val="000000" w:themeColor="text1"/>
          <w:sz w:val="16"/>
          <w:szCs w:val="16"/>
          <w:bdr w:val="none" w:sz="0" w:space="0" w:color="auto" w:frame="1"/>
        </w:rPr>
        <w:t>перегр</w:t>
      </w:r>
      <w:proofErr w:type="spellEnd"/>
      <w:r w:rsidRPr="007122AB">
        <w:rPr>
          <w:rStyle w:val="af0"/>
          <w:i w:val="0"/>
          <w:color w:val="000000" w:themeColor="text1"/>
          <w:sz w:val="16"/>
          <w:szCs w:val="16"/>
          <w:bdr w:val="none" w:sz="0" w:space="0" w:color="auto" w:frame="1"/>
        </w:rPr>
        <w:t xml:space="preserve">. вариант без бомб, </w:t>
      </w:r>
      <w:proofErr w:type="spellStart"/>
      <w:r w:rsidRPr="007122AB">
        <w:rPr>
          <w:rStyle w:val="af0"/>
          <w:i w:val="0"/>
          <w:color w:val="000000" w:themeColor="text1"/>
          <w:sz w:val="16"/>
          <w:szCs w:val="16"/>
          <w:bdr w:val="none" w:sz="0" w:space="0" w:color="auto" w:frame="1"/>
        </w:rPr>
        <w:t>нагр</w:t>
      </w:r>
      <w:proofErr w:type="spellEnd"/>
      <w:r w:rsidRPr="007122AB">
        <w:rPr>
          <w:rStyle w:val="af0"/>
          <w:i w:val="0"/>
          <w:color w:val="000000" w:themeColor="text1"/>
          <w:sz w:val="16"/>
          <w:szCs w:val="16"/>
          <w:bdr w:val="none" w:sz="0" w:space="0" w:color="auto" w:frame="1"/>
        </w:rPr>
        <w:t>), обеспечивающая радиус действия – 500 км</w:t>
      </w:r>
    </w:p>
    <w:p w14:paraId="61275F7A"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Вооружение и сбрасываемый груз:</w:t>
      </w:r>
    </w:p>
    <w:p w14:paraId="3E86A5FC"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Нормальный вариант</w:t>
      </w:r>
    </w:p>
    <w:p w14:paraId="4E9A8625"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2 ДРП для стрельбы вперед;</w:t>
      </w:r>
    </w:p>
    <w:p w14:paraId="19190BDD"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пулемет для стрельбы в заднюю полусферу;</w:t>
      </w:r>
    </w:p>
    <w:p w14:paraId="70E8EFA1"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количество снарядов не менее 30;</w:t>
      </w:r>
    </w:p>
    <w:p w14:paraId="333DE53B"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количество патронов – 750</w:t>
      </w:r>
    </w:p>
    <w:p w14:paraId="688FD815"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Перегрузочный вариант (добавляется)</w:t>
      </w:r>
    </w:p>
    <w:p w14:paraId="71617AB0"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rStyle w:val="af0"/>
          <w:i w:val="0"/>
          <w:color w:val="000000" w:themeColor="text1"/>
          <w:sz w:val="16"/>
          <w:szCs w:val="16"/>
          <w:bdr w:val="none" w:sz="0" w:space="0" w:color="auto" w:frame="1"/>
        </w:rPr>
        <w:t>– 10×10 дистанционных бомб или 2×ЗАМ…»</w:t>
      </w:r>
    </w:p>
    <w:p w14:paraId="43ACA2B4"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r w:rsidRPr="007122AB">
        <w:rPr>
          <w:color w:val="000000" w:themeColor="text1"/>
          <w:sz w:val="16"/>
          <w:szCs w:val="16"/>
        </w:rPr>
        <w:t>Сведений о работе над проектом ДИП по вышеприведенным ТТТ не обнаружено (19175).</w:t>
      </w:r>
    </w:p>
    <w:p w14:paraId="50EABB77" w14:textId="77777777" w:rsidR="00707F3B" w:rsidRPr="007122AB" w:rsidRDefault="00707F3B" w:rsidP="007122AB">
      <w:pPr>
        <w:pStyle w:val="ae"/>
        <w:shd w:val="clear" w:color="auto" w:fill="FFFFFF"/>
        <w:spacing w:before="0" w:after="0"/>
        <w:jc w:val="both"/>
        <w:textAlignment w:val="baseline"/>
        <w:rPr>
          <w:color w:val="000000" w:themeColor="text1"/>
          <w:sz w:val="16"/>
          <w:szCs w:val="16"/>
        </w:rPr>
      </w:pPr>
    </w:p>
    <w:p w14:paraId="0D0677A4"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июне 1931г. ЦАГИ получил письмо начальника отдела требова</w:t>
      </w:r>
      <w:r w:rsidRPr="00441F34">
        <w:rPr>
          <w:rFonts w:ascii="Times New Roman" w:hAnsi="Times New Roman"/>
          <w:color w:val="0070C0"/>
          <w:sz w:val="16"/>
          <w:szCs w:val="16"/>
        </w:rPr>
        <w:softHyphen/>
        <w:t>ний НИИ ВВС. В нем излагались требования к «тяжелому бомбардировщику ТБ—7 (высотному)». Он предназначался «для разрушения и уничтожения объектов противника государственно-стратегичес</w:t>
      </w:r>
      <w:r w:rsidRPr="00441F34">
        <w:rPr>
          <w:rFonts w:ascii="Times New Roman" w:hAnsi="Times New Roman"/>
          <w:color w:val="0070C0"/>
          <w:sz w:val="16"/>
          <w:szCs w:val="16"/>
        </w:rPr>
        <w:softHyphen/>
        <w:t>кого значения, для бомбардировки баз и флота противника, его укрепленных рай</w:t>
      </w:r>
      <w:r w:rsidRPr="00441F34">
        <w:rPr>
          <w:rFonts w:ascii="Times New Roman" w:hAnsi="Times New Roman"/>
          <w:color w:val="0070C0"/>
          <w:sz w:val="16"/>
          <w:szCs w:val="16"/>
        </w:rPr>
        <w:softHyphen/>
        <w:t>онов на побережье, для десантных опера</w:t>
      </w:r>
      <w:r w:rsidRPr="00441F34">
        <w:rPr>
          <w:rFonts w:ascii="Times New Roman" w:hAnsi="Times New Roman"/>
          <w:color w:val="0070C0"/>
          <w:sz w:val="16"/>
          <w:szCs w:val="16"/>
        </w:rPr>
        <w:softHyphen/>
        <w:t>ций». Устанавливались требования к ма</w:t>
      </w:r>
      <w:r w:rsidRPr="00441F34">
        <w:rPr>
          <w:rFonts w:ascii="Times New Roman" w:hAnsi="Times New Roman"/>
          <w:color w:val="0070C0"/>
          <w:sz w:val="16"/>
          <w:szCs w:val="16"/>
        </w:rPr>
        <w:softHyphen/>
        <w:t>шине: высота полета; грузоподъемность; дальность; огневая независимость (он мог применяться как при одиночном, так и при строевом решении задания); горизон</w:t>
      </w:r>
      <w:r w:rsidRPr="00441F34">
        <w:rPr>
          <w:rFonts w:ascii="Times New Roman" w:hAnsi="Times New Roman"/>
          <w:color w:val="0070C0"/>
          <w:sz w:val="16"/>
          <w:szCs w:val="16"/>
        </w:rPr>
        <w:softHyphen/>
        <w:t>тальная скорость. Расположение пулемет</w:t>
      </w:r>
      <w:r w:rsidRPr="00441F34">
        <w:rPr>
          <w:rFonts w:ascii="Times New Roman" w:hAnsi="Times New Roman"/>
          <w:color w:val="0070C0"/>
          <w:sz w:val="16"/>
          <w:szCs w:val="16"/>
        </w:rPr>
        <w:softHyphen/>
        <w:t>но-пушечного вооружения — согласно приложенной схеме. Самолет должен был допускать использование его в качестве тя</w:t>
      </w:r>
      <w:r w:rsidRPr="00441F34">
        <w:rPr>
          <w:rFonts w:ascii="Times New Roman" w:hAnsi="Times New Roman"/>
          <w:color w:val="0070C0"/>
          <w:sz w:val="16"/>
          <w:szCs w:val="16"/>
        </w:rPr>
        <w:softHyphen/>
        <w:t>желого крейсера для сопровождения од</w:t>
      </w:r>
      <w:r w:rsidRPr="00441F34">
        <w:rPr>
          <w:rFonts w:ascii="Times New Roman" w:hAnsi="Times New Roman"/>
          <w:color w:val="0070C0"/>
          <w:sz w:val="16"/>
          <w:szCs w:val="16"/>
        </w:rPr>
        <w:softHyphen/>
        <w:t>нотипных ему бомбардировщиков. Далее шли разделы, определявшие необходи</w:t>
      </w:r>
      <w:r w:rsidRPr="00441F34">
        <w:rPr>
          <w:rFonts w:ascii="Times New Roman" w:hAnsi="Times New Roman"/>
          <w:color w:val="0070C0"/>
          <w:sz w:val="16"/>
          <w:szCs w:val="16"/>
        </w:rPr>
        <w:softHyphen/>
        <w:t>мое оборудование и аппаратуру. Получив письмо, ЦАГИ молчало... 3 года! Объясняется это двумя причи</w:t>
      </w:r>
      <w:r w:rsidRPr="00441F34">
        <w:rPr>
          <w:rFonts w:ascii="Times New Roman" w:hAnsi="Times New Roman"/>
          <w:color w:val="0070C0"/>
          <w:sz w:val="16"/>
          <w:szCs w:val="16"/>
        </w:rPr>
        <w:softHyphen/>
        <w:t>нами:</w:t>
      </w:r>
    </w:p>
    <w:p w14:paraId="4C28941C"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1931 г. — год подготовки к серий</w:t>
      </w:r>
      <w:r w:rsidRPr="00441F34">
        <w:rPr>
          <w:rFonts w:ascii="Times New Roman" w:hAnsi="Times New Roman"/>
          <w:color w:val="0070C0"/>
          <w:sz w:val="16"/>
          <w:szCs w:val="16"/>
        </w:rPr>
        <w:softHyphen/>
        <w:t>ному строительству тяжелых бомбарди</w:t>
      </w:r>
      <w:r w:rsidRPr="00441F34">
        <w:rPr>
          <w:rFonts w:ascii="Times New Roman" w:hAnsi="Times New Roman"/>
          <w:color w:val="0070C0"/>
          <w:sz w:val="16"/>
          <w:szCs w:val="16"/>
        </w:rPr>
        <w:softHyphen/>
        <w:t>ровщиков ТБ—3, что потребовало от КБ огромных сил.</w:t>
      </w:r>
    </w:p>
    <w:p w14:paraId="4BC6E597"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Туполев отнесся к письму ВВС не как к задаче создания некоего улучшен</w:t>
      </w:r>
      <w:r w:rsidRPr="00441F34">
        <w:rPr>
          <w:rFonts w:ascii="Times New Roman" w:hAnsi="Times New Roman"/>
          <w:color w:val="0070C0"/>
          <w:sz w:val="16"/>
          <w:szCs w:val="16"/>
        </w:rPr>
        <w:softHyphen/>
        <w:t>ного варианта ТБ—3 (по этому пути по</w:t>
      </w:r>
      <w:r w:rsidRPr="00441F34">
        <w:rPr>
          <w:rFonts w:ascii="Times New Roman" w:hAnsi="Times New Roman"/>
          <w:color w:val="0070C0"/>
          <w:sz w:val="16"/>
          <w:szCs w:val="16"/>
        </w:rPr>
        <w:softHyphen/>
        <w:t>шли конструкторы ДБ—А). Он считал, что настало время создать бомбардиров</w:t>
      </w:r>
      <w:r w:rsidRPr="00441F34">
        <w:rPr>
          <w:rFonts w:ascii="Times New Roman" w:hAnsi="Times New Roman"/>
          <w:color w:val="0070C0"/>
          <w:sz w:val="16"/>
          <w:szCs w:val="16"/>
        </w:rPr>
        <w:softHyphen/>
        <w:t>щик нового поколения. Самолет, который успешно защитит страну в следующем десятилетии — в 1940-е годы. И такая рабо</w:t>
      </w:r>
      <w:r w:rsidRPr="00441F34">
        <w:rPr>
          <w:rFonts w:ascii="Times New Roman" w:hAnsi="Times New Roman"/>
          <w:color w:val="0070C0"/>
          <w:sz w:val="16"/>
          <w:szCs w:val="16"/>
        </w:rPr>
        <w:softHyphen/>
        <w:t>та, по определению «лица» нового бомбар</w:t>
      </w:r>
      <w:r w:rsidRPr="00441F34">
        <w:rPr>
          <w:rFonts w:ascii="Times New Roman" w:hAnsi="Times New Roman"/>
          <w:color w:val="0070C0"/>
          <w:sz w:val="16"/>
          <w:szCs w:val="16"/>
        </w:rPr>
        <w:softHyphen/>
        <w:t>дировщика, в течение трех лет молчания, безусловно, велась (23474).</w:t>
      </w:r>
    </w:p>
    <w:p w14:paraId="2862AF85" w14:textId="77777777" w:rsidR="00862F5B" w:rsidRPr="00441F34" w:rsidRDefault="00862F5B" w:rsidP="00862F5B">
      <w:pPr>
        <w:spacing w:after="0" w:line="240" w:lineRule="auto"/>
        <w:jc w:val="both"/>
        <w:rPr>
          <w:rFonts w:ascii="Times New Roman" w:hAnsi="Times New Roman"/>
          <w:color w:val="0070C0"/>
          <w:sz w:val="16"/>
          <w:szCs w:val="16"/>
        </w:rPr>
      </w:pPr>
    </w:p>
    <w:p w14:paraId="5826A988" w14:textId="77777777" w:rsidR="002A49F7" w:rsidRPr="007122AB" w:rsidRDefault="0067564A" w:rsidP="007122AB">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122AB">
        <w:rPr>
          <w:rFonts w:ascii="Times New Roman" w:eastAsia="TimesNewRomanPSMT" w:hAnsi="Times New Roman"/>
          <w:color w:val="000000" w:themeColor="text1"/>
          <w:sz w:val="16"/>
          <w:szCs w:val="16"/>
          <w:lang w:eastAsia="ru-RU"/>
        </w:rPr>
        <w:t>В июне 1931 на строительстве новых цехов завода № 23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w:t>
      </w:r>
      <w:r w:rsidR="002A49F7" w:rsidRPr="007122AB">
        <w:rPr>
          <w:rFonts w:ascii="Times New Roman" w:eastAsia="TimesNewRomanPSMT" w:hAnsi="Times New Roman"/>
          <w:color w:val="000000" w:themeColor="text1"/>
          <w:sz w:val="16"/>
          <w:szCs w:val="16"/>
          <w:lang w:eastAsia="ru-RU"/>
        </w:rPr>
        <w:t>.</w:t>
      </w:r>
    </w:p>
    <w:p w14:paraId="5E42B66C" w14:textId="77777777" w:rsidR="002A49F7" w:rsidRPr="007122AB" w:rsidRDefault="002A49F7" w:rsidP="007122AB">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122AB">
        <w:rPr>
          <w:rFonts w:ascii="Times New Roman" w:eastAsia="TimesNewRomanPSMT" w:hAnsi="Times New Roman"/>
          <w:color w:val="000000" w:themeColor="text1"/>
          <w:sz w:val="16"/>
          <w:szCs w:val="16"/>
          <w:lang w:eastAsia="ru-RU"/>
        </w:rPr>
        <w:t>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[3, л. 42].</w:t>
      </w:r>
    </w:p>
    <w:p w14:paraId="405D3C47" w14:textId="77777777" w:rsidR="0067564A" w:rsidRPr="007122AB" w:rsidRDefault="002A49F7"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eastAsia="TimesNewRomanPSMT" w:hAnsi="Times New Roman"/>
          <w:color w:val="000000" w:themeColor="text1"/>
          <w:sz w:val="16"/>
          <w:szCs w:val="16"/>
          <w:lang w:eastAsia="ru-RU"/>
        </w:rPr>
        <w:t xml:space="preserve">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w:t>
      </w:r>
      <w:proofErr w:type="spellStart"/>
      <w:r w:rsidRPr="007122AB">
        <w:rPr>
          <w:rFonts w:ascii="Times New Roman" w:eastAsia="TimesNewRomanPSMT" w:hAnsi="Times New Roman"/>
          <w:color w:val="000000" w:themeColor="text1"/>
          <w:sz w:val="16"/>
          <w:szCs w:val="16"/>
          <w:lang w:eastAsia="ru-RU"/>
        </w:rPr>
        <w:t>деревозаготовительный</w:t>
      </w:r>
      <w:proofErr w:type="spellEnd"/>
      <w:r w:rsidRPr="007122AB">
        <w:rPr>
          <w:rFonts w:ascii="Times New Roman" w:eastAsia="TimesNewRomanPSMT" w:hAnsi="Times New Roman"/>
          <w:color w:val="000000" w:themeColor="text1"/>
          <w:sz w:val="16"/>
          <w:szCs w:val="16"/>
          <w:lang w:eastAsia="ru-RU"/>
        </w:rPr>
        <w:t>, деревообделочный, столярный (самый большой по размерам), медницко-</w:t>
      </w:r>
      <w:proofErr w:type="spellStart"/>
      <w:r w:rsidRPr="007122AB">
        <w:rPr>
          <w:rFonts w:ascii="Times New Roman" w:eastAsia="TimesNewRomanPSMT" w:hAnsi="Times New Roman"/>
          <w:color w:val="000000" w:themeColor="text1"/>
          <w:sz w:val="16"/>
          <w:szCs w:val="16"/>
          <w:lang w:eastAsia="ru-RU"/>
        </w:rPr>
        <w:lastRenderedPageBreak/>
        <w:t>жестяницкий,термический</w:t>
      </w:r>
      <w:proofErr w:type="spellEnd"/>
      <w:r w:rsidRPr="007122AB">
        <w:rPr>
          <w:rFonts w:ascii="Times New Roman" w:eastAsia="TimesNewRomanPSMT" w:hAnsi="Times New Roman"/>
          <w:color w:val="000000" w:themeColor="text1"/>
          <w:sz w:val="16"/>
          <w:szCs w:val="16"/>
          <w:lang w:eastAsia="ru-RU"/>
        </w:rPr>
        <w:t xml:space="preserve">, </w:t>
      </w:r>
      <w:proofErr w:type="spellStart"/>
      <w:r w:rsidRPr="007122AB">
        <w:rPr>
          <w:rFonts w:ascii="Times New Roman" w:eastAsia="TimesNewRomanPSMT" w:hAnsi="Times New Roman"/>
          <w:color w:val="000000" w:themeColor="text1"/>
          <w:sz w:val="16"/>
          <w:szCs w:val="16"/>
          <w:lang w:eastAsia="ru-RU"/>
        </w:rPr>
        <w:t>фюзеляжно</w:t>
      </w:r>
      <w:proofErr w:type="spellEnd"/>
      <w:r w:rsidRPr="007122AB">
        <w:rPr>
          <w:rFonts w:ascii="Times New Roman" w:eastAsia="TimesNewRomanPSMT" w:hAnsi="Times New Roman"/>
          <w:color w:val="000000" w:themeColor="text1"/>
          <w:sz w:val="16"/>
          <w:szCs w:val="16"/>
          <w:lang w:eastAsia="ru-RU"/>
        </w:rPr>
        <w:t xml:space="preserve">-сборочный, </w:t>
      </w:r>
      <w:proofErr w:type="spellStart"/>
      <w:r w:rsidRPr="007122AB">
        <w:rPr>
          <w:rFonts w:ascii="Times New Roman" w:eastAsia="TimesNewRomanPSMT" w:hAnsi="Times New Roman"/>
          <w:color w:val="000000" w:themeColor="text1"/>
          <w:sz w:val="16"/>
          <w:szCs w:val="16"/>
          <w:lang w:eastAsia="ru-RU"/>
        </w:rPr>
        <w:t>эмалитно</w:t>
      </w:r>
      <w:proofErr w:type="spellEnd"/>
      <w:r w:rsidRPr="007122AB">
        <w:rPr>
          <w:rFonts w:ascii="Times New Roman" w:eastAsia="TimesNewRomanPSMT" w:hAnsi="Times New Roman"/>
          <w:color w:val="000000" w:themeColor="text1"/>
          <w:sz w:val="16"/>
          <w:szCs w:val="16"/>
          <w:lang w:eastAsia="ru-RU"/>
        </w:rPr>
        <w:t xml:space="preserve">-сборочный цеха и цех ширпотреба, а также лаборатория механических </w:t>
      </w:r>
      <w:proofErr w:type="spellStart"/>
      <w:r w:rsidRPr="007122AB">
        <w:rPr>
          <w:rFonts w:ascii="Times New Roman" w:eastAsia="TimesNewRomanPSMT" w:hAnsi="Times New Roman"/>
          <w:color w:val="000000" w:themeColor="text1"/>
          <w:sz w:val="16"/>
          <w:szCs w:val="16"/>
          <w:lang w:eastAsia="ru-RU"/>
        </w:rPr>
        <w:t>испытаний,химическа</w:t>
      </w:r>
      <w:r w:rsidR="00F82516" w:rsidRPr="007122AB">
        <w:rPr>
          <w:rFonts w:ascii="Times New Roman" w:eastAsia="TimesNewRomanPSMT" w:hAnsi="Times New Roman"/>
          <w:color w:val="000000" w:themeColor="text1"/>
          <w:sz w:val="16"/>
          <w:szCs w:val="16"/>
          <w:lang w:eastAsia="ru-RU"/>
        </w:rPr>
        <w:t>я</w:t>
      </w:r>
      <w:proofErr w:type="spellEnd"/>
      <w:r w:rsidR="00F82516" w:rsidRPr="007122AB">
        <w:rPr>
          <w:rFonts w:ascii="Times New Roman" w:eastAsia="TimesNewRomanPSMT" w:hAnsi="Times New Roman"/>
          <w:color w:val="000000" w:themeColor="text1"/>
          <w:sz w:val="16"/>
          <w:szCs w:val="16"/>
          <w:lang w:eastAsia="ru-RU"/>
        </w:rPr>
        <w:t xml:space="preserve"> и метрологическая лаборатории</w:t>
      </w:r>
      <w:r w:rsidR="0067564A" w:rsidRPr="007122AB">
        <w:rPr>
          <w:rFonts w:ascii="Times New Roman" w:eastAsia="TimesNewRomanPSMT" w:hAnsi="Times New Roman"/>
          <w:color w:val="000000" w:themeColor="text1"/>
          <w:sz w:val="16"/>
          <w:szCs w:val="16"/>
          <w:lang w:eastAsia="ru-RU"/>
        </w:rPr>
        <w:t xml:space="preserve"> (17311).</w:t>
      </w:r>
    </w:p>
    <w:p w14:paraId="53DE50F9" w14:textId="77777777" w:rsidR="0067564A" w:rsidRPr="007122AB" w:rsidRDefault="0067564A" w:rsidP="007122AB">
      <w:pPr>
        <w:spacing w:after="0" w:line="240" w:lineRule="auto"/>
        <w:jc w:val="both"/>
        <w:rPr>
          <w:rFonts w:ascii="Times New Roman" w:hAnsi="Times New Roman"/>
          <w:color w:val="000000" w:themeColor="text1"/>
          <w:sz w:val="16"/>
          <w:szCs w:val="16"/>
        </w:rPr>
      </w:pPr>
    </w:p>
    <w:p w14:paraId="12D550DA" w14:textId="77777777" w:rsidR="00707F3B" w:rsidRPr="007122AB" w:rsidRDefault="00707F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на строительстве новых цехов завода № 23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 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w:t>
      </w:r>
      <w:proofErr w:type="spellStart"/>
      <w:r w:rsidRPr="007122AB">
        <w:rPr>
          <w:rFonts w:ascii="Times New Roman" w:hAnsi="Times New Roman"/>
          <w:color w:val="000000" w:themeColor="text1"/>
          <w:sz w:val="16"/>
          <w:szCs w:val="16"/>
        </w:rPr>
        <w:t>деревозаготовительный</w:t>
      </w:r>
      <w:proofErr w:type="spellEnd"/>
      <w:r w:rsidRPr="007122AB">
        <w:rPr>
          <w:rFonts w:ascii="Times New Roman" w:hAnsi="Times New Roman"/>
          <w:color w:val="000000" w:themeColor="text1"/>
          <w:sz w:val="16"/>
          <w:szCs w:val="16"/>
        </w:rPr>
        <w:t xml:space="preserve">, деревообделочный, столярный (самый большой по размерам), медницко-жестяницкий, термический, </w:t>
      </w:r>
      <w:proofErr w:type="spellStart"/>
      <w:r w:rsidRPr="007122AB">
        <w:rPr>
          <w:rFonts w:ascii="Times New Roman" w:hAnsi="Times New Roman"/>
          <w:color w:val="000000" w:themeColor="text1"/>
          <w:sz w:val="16"/>
          <w:szCs w:val="16"/>
        </w:rPr>
        <w:t>фюзеляжно</w:t>
      </w:r>
      <w:proofErr w:type="spellEnd"/>
      <w:r w:rsidRPr="007122AB">
        <w:rPr>
          <w:rFonts w:ascii="Times New Roman" w:hAnsi="Times New Roman"/>
          <w:color w:val="000000" w:themeColor="text1"/>
          <w:sz w:val="16"/>
          <w:szCs w:val="16"/>
        </w:rPr>
        <w:t xml:space="preserve">-сборочный, </w:t>
      </w:r>
      <w:proofErr w:type="spellStart"/>
      <w:r w:rsidRPr="007122AB">
        <w:rPr>
          <w:rFonts w:ascii="Times New Roman" w:hAnsi="Times New Roman"/>
          <w:color w:val="000000" w:themeColor="text1"/>
          <w:sz w:val="16"/>
          <w:szCs w:val="16"/>
        </w:rPr>
        <w:t>эмалитно</w:t>
      </w:r>
      <w:proofErr w:type="spellEnd"/>
      <w:r w:rsidRPr="007122AB">
        <w:rPr>
          <w:rFonts w:ascii="Times New Roman" w:hAnsi="Times New Roman"/>
          <w:color w:val="000000" w:themeColor="text1"/>
          <w:sz w:val="16"/>
          <w:szCs w:val="16"/>
        </w:rPr>
        <w:t>-сборочный цеха и цех ширпотреба, а также лаборатория механических испытаний, химическая и метрологическая лаборатории (19548)</w:t>
      </w:r>
    </w:p>
    <w:p w14:paraId="1C8B805B" w14:textId="77777777" w:rsidR="00707F3B" w:rsidRPr="007122AB" w:rsidRDefault="00707F3B" w:rsidP="007122AB">
      <w:pPr>
        <w:spacing w:after="0" w:line="240" w:lineRule="auto"/>
        <w:jc w:val="both"/>
        <w:rPr>
          <w:rFonts w:ascii="Times New Roman" w:hAnsi="Times New Roman"/>
          <w:color w:val="000000" w:themeColor="text1"/>
          <w:sz w:val="16"/>
          <w:szCs w:val="16"/>
        </w:rPr>
      </w:pPr>
    </w:p>
    <w:p w14:paraId="533B604F" w14:textId="77777777" w:rsidR="00BB4B21" w:rsidRPr="007122AB" w:rsidRDefault="00BB4B2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мотор М-23 (НАМИ-65) установили на самолете АИР-2, а позд</w:t>
      </w:r>
      <w:r w:rsidRPr="007122AB">
        <w:rPr>
          <w:rFonts w:ascii="Times New Roman" w:hAnsi="Times New Roman"/>
          <w:color w:val="000000" w:themeColor="text1"/>
          <w:sz w:val="16"/>
          <w:szCs w:val="16"/>
        </w:rPr>
        <w:softHyphen/>
        <w:t>нее - на АИР-4, который успешно прошел государ</w:t>
      </w:r>
      <w:r w:rsidRPr="007122AB">
        <w:rPr>
          <w:rFonts w:ascii="Times New Roman" w:hAnsi="Times New Roman"/>
          <w:color w:val="000000" w:themeColor="text1"/>
          <w:sz w:val="16"/>
          <w:szCs w:val="16"/>
        </w:rPr>
        <w:softHyphen/>
        <w:t>ственные испытания (22518).</w:t>
      </w:r>
    </w:p>
    <w:p w14:paraId="27EA9928" w14:textId="77777777" w:rsidR="00BB4B21" w:rsidRPr="007122AB" w:rsidRDefault="00BB4B21" w:rsidP="007122AB">
      <w:pPr>
        <w:spacing w:after="0" w:line="240" w:lineRule="auto"/>
        <w:jc w:val="both"/>
        <w:rPr>
          <w:rFonts w:ascii="Times New Roman" w:hAnsi="Times New Roman"/>
          <w:color w:val="000000" w:themeColor="text1"/>
          <w:sz w:val="16"/>
          <w:szCs w:val="16"/>
        </w:rPr>
      </w:pPr>
    </w:p>
    <w:p w14:paraId="2EC7EF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были подготовлены Ведомости о состоянии заводов опытного самолетостроения и потребностей этих заводов на 1931-1934 (ГРОСС, ЦКБ, АГОС) (351), а также Ведомости о состоянии заводов опытного самолетостроения и потребностей этих заводов на 1931-1934 (ГРОСС, ЦКБ, АГОС) (экономические, финансовые и промышленные данные).</w:t>
      </w:r>
    </w:p>
    <w:p w14:paraId="47410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7AB4D0" w14:textId="77777777" w:rsidR="00E51240" w:rsidRPr="007122AB" w:rsidRDefault="00E51240" w:rsidP="007122AB">
      <w:pPr>
        <w:pStyle w:val="a3"/>
        <w:rPr>
          <w:color w:val="000000" w:themeColor="text1"/>
          <w:lang w:val="ru-RU"/>
        </w:rPr>
      </w:pPr>
      <w:r w:rsidRPr="007122AB">
        <w:rPr>
          <w:color w:val="000000" w:themeColor="text1"/>
          <w:lang w:val="ru-RU"/>
        </w:rPr>
        <w:t xml:space="preserve">В июне 1931 г., согласно выдержки из доклада </w:t>
      </w:r>
      <w:r w:rsidRPr="007122AB">
        <w:rPr>
          <w:color w:val="000000" w:themeColor="text1"/>
        </w:rPr>
        <w:t>B</w:t>
      </w:r>
      <w:r w:rsidRPr="007122AB">
        <w:rPr>
          <w:color w:val="000000" w:themeColor="text1"/>
          <w:lang w:val="ru-RU"/>
        </w:rPr>
        <w:t>.</w:t>
      </w:r>
      <w:r w:rsidRPr="007122AB">
        <w:rPr>
          <w:color w:val="000000" w:themeColor="text1"/>
        </w:rPr>
        <w:t>C</w:t>
      </w:r>
      <w:r w:rsidRPr="007122AB">
        <w:rPr>
          <w:color w:val="000000" w:themeColor="text1"/>
          <w:lang w:val="ru-RU"/>
        </w:rPr>
        <w:t xml:space="preserve">. Вахмистрова, прочитанного им спустя 40 лет после первого полёта, 20 декабря 1971 г., на заседании в Научно-мемориальном музее </w:t>
      </w:r>
      <w:proofErr w:type="spellStart"/>
      <w:r w:rsidRPr="007122AB">
        <w:rPr>
          <w:color w:val="000000" w:themeColor="text1"/>
          <w:lang w:val="ru-RU"/>
        </w:rPr>
        <w:t>Н.Е.Жуковского</w:t>
      </w:r>
      <w:proofErr w:type="spellEnd"/>
      <w:r w:rsidRPr="007122AB">
        <w:rPr>
          <w:color w:val="000000" w:themeColor="text1"/>
          <w:lang w:val="ru-RU"/>
        </w:rPr>
        <w:t>, предложение [составного самолёта] доложили командованию ВВС и поучили одобрение. С большим интересом отнёсся к этому предложению и зам. Наркома обороны М.Н. Тухачевский. На протяжении всех наших работ мы чувствовали его внимание и помощь. Составному самолёту дали название «Звено».</w:t>
      </w:r>
    </w:p>
    <w:p w14:paraId="6F776833" w14:textId="77777777" w:rsidR="00E51240" w:rsidRPr="007122AB" w:rsidRDefault="00E51240" w:rsidP="007122AB">
      <w:pPr>
        <w:pStyle w:val="a3"/>
        <w:rPr>
          <w:color w:val="000000" w:themeColor="text1"/>
          <w:lang w:val="ru-RU"/>
        </w:rPr>
      </w:pPr>
      <w:r w:rsidRPr="007122AB">
        <w:rPr>
          <w:color w:val="000000" w:themeColor="text1"/>
          <w:lang w:val="ru-RU"/>
        </w:rPr>
        <w:t>Возглавил все работы по реали</w:t>
      </w:r>
      <w:r w:rsidRPr="007122AB">
        <w:rPr>
          <w:color w:val="000000" w:themeColor="text1"/>
          <w:lang w:val="ru-RU"/>
        </w:rPr>
        <w:softHyphen/>
        <w:t xml:space="preserve">зации предложения самолётный отдел НИИ ВВС, которым тогда руководил Б.Т. </w:t>
      </w:r>
      <w:proofErr w:type="spellStart"/>
      <w:r w:rsidRPr="007122AB">
        <w:rPr>
          <w:color w:val="000000" w:themeColor="text1"/>
          <w:lang w:val="ru-RU"/>
        </w:rPr>
        <w:t>Горощенко</w:t>
      </w:r>
      <w:proofErr w:type="spellEnd"/>
      <w:r w:rsidRPr="007122AB">
        <w:rPr>
          <w:color w:val="000000" w:themeColor="text1"/>
          <w:lang w:val="ru-RU"/>
        </w:rPr>
        <w:t xml:space="preserve"> и его заместитель Н.А. Жемчужин.</w:t>
      </w:r>
    </w:p>
    <w:p w14:paraId="52E56829" w14:textId="77777777" w:rsidR="00E51240" w:rsidRPr="007122AB" w:rsidRDefault="00E51240" w:rsidP="007122AB">
      <w:pPr>
        <w:pStyle w:val="a3"/>
        <w:rPr>
          <w:color w:val="000000" w:themeColor="text1"/>
          <w:lang w:val="ru-RU"/>
        </w:rPr>
      </w:pPr>
      <w:r w:rsidRPr="007122AB">
        <w:rPr>
          <w:color w:val="000000" w:themeColor="text1"/>
          <w:lang w:val="ru-RU"/>
        </w:rPr>
        <w:t>Исполняющий обязанности на</w:t>
      </w:r>
      <w:r w:rsidRPr="007122AB">
        <w:rPr>
          <w:color w:val="000000" w:themeColor="text1"/>
          <w:lang w:val="ru-RU"/>
        </w:rPr>
        <w:softHyphen/>
        <w:t>чальника НИИ т. Аузан также уде</w:t>
      </w:r>
      <w:r w:rsidRPr="007122AB">
        <w:rPr>
          <w:color w:val="000000" w:themeColor="text1"/>
          <w:lang w:val="ru-RU"/>
        </w:rPr>
        <w:softHyphen/>
        <w:t>лял много внимания этим работам. Разработкой тактических вопросов применения «самолёта-звена» за</w:t>
      </w:r>
      <w:r w:rsidRPr="007122AB">
        <w:rPr>
          <w:color w:val="000000" w:themeColor="text1"/>
          <w:lang w:val="ru-RU"/>
        </w:rPr>
        <w:softHyphen/>
        <w:t xml:space="preserve">нимался тактический отдел НИИ ВВС (К.И. Трунов и Н.И. </w:t>
      </w:r>
      <w:proofErr w:type="spellStart"/>
      <w:r w:rsidRPr="007122AB">
        <w:rPr>
          <w:color w:val="000000" w:themeColor="text1"/>
          <w:lang w:val="ru-RU"/>
        </w:rPr>
        <w:t>Шауров</w:t>
      </w:r>
      <w:proofErr w:type="spellEnd"/>
      <w:r w:rsidRPr="007122AB">
        <w:rPr>
          <w:color w:val="000000" w:themeColor="text1"/>
          <w:lang w:val="ru-RU"/>
        </w:rPr>
        <w:t xml:space="preserve">). Большую помощь оказывал ЦАГИ: в группе инженера </w:t>
      </w:r>
      <w:proofErr w:type="spellStart"/>
      <w:r w:rsidRPr="007122AB">
        <w:rPr>
          <w:color w:val="000000" w:themeColor="text1"/>
          <w:lang w:val="ru-RU"/>
        </w:rPr>
        <w:t>Белостоцкого</w:t>
      </w:r>
      <w:proofErr w:type="spellEnd"/>
      <w:r w:rsidRPr="007122AB">
        <w:rPr>
          <w:color w:val="000000" w:themeColor="text1"/>
          <w:lang w:val="ru-RU"/>
        </w:rPr>
        <w:t xml:space="preserve"> производились продувки моделей. Сами модели изготавливались в мастерских Военно-Воздушной Академии модельщиками И.С. Пушкиным и С. Дружининым на базе материалов продувок. В груп</w:t>
      </w:r>
      <w:r w:rsidRPr="007122AB">
        <w:rPr>
          <w:color w:val="000000" w:themeColor="text1"/>
          <w:lang w:val="ru-RU"/>
        </w:rPr>
        <w:softHyphen/>
        <w:t>пах М.Н. Родионова и Б.А. Ново</w:t>
      </w:r>
      <w:r w:rsidRPr="007122AB">
        <w:rPr>
          <w:color w:val="000000" w:themeColor="text1"/>
          <w:lang w:val="ru-RU"/>
        </w:rPr>
        <w:softHyphen/>
        <w:t>сельского были произведены аэро</w:t>
      </w:r>
      <w:r w:rsidRPr="007122AB">
        <w:rPr>
          <w:color w:val="000000" w:themeColor="text1"/>
          <w:lang w:val="ru-RU"/>
        </w:rPr>
        <w:softHyphen/>
        <w:t xml:space="preserve">динамические расчёты, которые сделали инженеры Д.Л. </w:t>
      </w:r>
      <w:proofErr w:type="spellStart"/>
      <w:r w:rsidRPr="007122AB">
        <w:rPr>
          <w:color w:val="000000" w:themeColor="text1"/>
          <w:lang w:val="ru-RU"/>
        </w:rPr>
        <w:t>Привен</w:t>
      </w:r>
      <w:proofErr w:type="spellEnd"/>
      <w:r w:rsidRPr="007122AB">
        <w:rPr>
          <w:color w:val="000000" w:themeColor="text1"/>
          <w:lang w:val="ru-RU"/>
        </w:rPr>
        <w:t xml:space="preserve"> и </w:t>
      </w:r>
      <w:proofErr w:type="spellStart"/>
      <w:r w:rsidRPr="007122AB">
        <w:rPr>
          <w:rStyle w:val="8pt1"/>
          <w:rFonts w:ascii="Times New Roman" w:hAnsi="Times New Roman" w:cs="Times New Roman"/>
          <w:b w:val="0"/>
          <w:color w:val="000000" w:themeColor="text1"/>
          <w:spacing w:val="0"/>
          <w:lang w:val="ru-RU"/>
        </w:rPr>
        <w:t>и</w:t>
      </w:r>
      <w:r w:rsidRPr="007122AB">
        <w:rPr>
          <w:color w:val="000000" w:themeColor="text1"/>
          <w:lang w:val="ru-RU"/>
        </w:rPr>
        <w:t>.И</w:t>
      </w:r>
      <w:proofErr w:type="spellEnd"/>
      <w:r w:rsidRPr="007122AB">
        <w:rPr>
          <w:color w:val="000000" w:themeColor="text1"/>
          <w:lang w:val="ru-RU"/>
        </w:rPr>
        <w:t>. Никитенко, они же разрабаты</w:t>
      </w:r>
      <w:r w:rsidRPr="007122AB">
        <w:rPr>
          <w:color w:val="000000" w:themeColor="text1"/>
          <w:lang w:val="ru-RU"/>
        </w:rPr>
        <w:softHyphen/>
        <w:t>вали конструкцию креплений со</w:t>
      </w:r>
      <w:r w:rsidRPr="007122AB">
        <w:rPr>
          <w:color w:val="000000" w:themeColor="text1"/>
          <w:lang w:val="ru-RU"/>
        </w:rPr>
        <w:softHyphen/>
        <w:t>ставного самолёта.</w:t>
      </w:r>
    </w:p>
    <w:p w14:paraId="45D9BBA5" w14:textId="77777777" w:rsidR="00E51240" w:rsidRPr="007122AB" w:rsidRDefault="00E51240" w:rsidP="007122AB">
      <w:pPr>
        <w:pStyle w:val="a3"/>
        <w:rPr>
          <w:color w:val="000000" w:themeColor="text1"/>
          <w:lang w:val="ru-RU"/>
        </w:rPr>
      </w:pPr>
      <w:r w:rsidRPr="007122AB">
        <w:rPr>
          <w:color w:val="000000" w:themeColor="text1"/>
          <w:lang w:val="ru-RU"/>
        </w:rPr>
        <w:t>Производственные работы вы</w:t>
      </w:r>
      <w:r w:rsidRPr="007122AB">
        <w:rPr>
          <w:color w:val="000000" w:themeColor="text1"/>
          <w:lang w:val="ru-RU"/>
        </w:rPr>
        <w:softHyphen/>
        <w:t>полнялись ЗОК ЦАГИ, его возгла</w:t>
      </w:r>
      <w:r w:rsidRPr="007122AB">
        <w:rPr>
          <w:color w:val="000000" w:themeColor="text1"/>
          <w:lang w:val="ru-RU"/>
        </w:rPr>
        <w:softHyphen/>
        <w:t xml:space="preserve">влял тогда А.А. Осипов. Для конструкторских </w:t>
      </w:r>
      <w:proofErr w:type="spellStart"/>
      <w:r w:rsidRPr="007122AB">
        <w:rPr>
          <w:color w:val="000000" w:themeColor="text1"/>
          <w:lang w:val="ru-RU"/>
        </w:rPr>
        <w:t>работ</w:t>
      </w:r>
      <w:r w:rsidRPr="007122AB">
        <w:rPr>
          <w:rStyle w:val="710"/>
          <w:rFonts w:ascii="Times New Roman" w:hAnsi="Times New Roman" w:cs="Times New Roman"/>
          <w:color w:val="000000" w:themeColor="text1"/>
          <w:sz w:val="16"/>
          <w:szCs w:val="16"/>
          <w:lang w:val="ru-RU"/>
        </w:rPr>
        <w:t>привлекли</w:t>
      </w:r>
      <w:r w:rsidRPr="007122AB">
        <w:rPr>
          <w:color w:val="000000" w:themeColor="text1"/>
          <w:lang w:val="ru-RU"/>
        </w:rPr>
        <w:t>студентов</w:t>
      </w:r>
      <w:proofErr w:type="spellEnd"/>
      <w:r w:rsidRPr="007122AB">
        <w:rPr>
          <w:color w:val="000000" w:themeColor="text1"/>
          <w:lang w:val="ru-RU"/>
        </w:rPr>
        <w:t xml:space="preserve"> старших курсов МАИ.</w:t>
      </w:r>
    </w:p>
    <w:p w14:paraId="4D007F1C" w14:textId="77777777" w:rsidR="00E51240" w:rsidRPr="007122AB" w:rsidRDefault="00E51240" w:rsidP="007122AB">
      <w:pPr>
        <w:pStyle w:val="a3"/>
        <w:rPr>
          <w:color w:val="000000" w:themeColor="text1"/>
          <w:lang w:val="ru-RU"/>
        </w:rPr>
      </w:pPr>
      <w:r w:rsidRPr="007122AB">
        <w:rPr>
          <w:color w:val="000000" w:themeColor="text1"/>
          <w:lang w:val="ru-RU"/>
        </w:rPr>
        <w:t>За неполные 6 месяцев все рас</w:t>
      </w:r>
      <w:r w:rsidRPr="007122AB">
        <w:rPr>
          <w:color w:val="000000" w:themeColor="text1"/>
          <w:lang w:val="ru-RU"/>
        </w:rPr>
        <w:softHyphen/>
        <w:t>чётные, конструкторские работы и производство были закончены, са</w:t>
      </w:r>
      <w:r w:rsidRPr="007122AB">
        <w:rPr>
          <w:color w:val="000000" w:themeColor="text1"/>
          <w:lang w:val="ru-RU"/>
        </w:rPr>
        <w:softHyphen/>
        <w:t>молёты полностью оборудовали и подготовили к лётным испытаниям (15821).</w:t>
      </w:r>
    </w:p>
    <w:p w14:paraId="27192AAB" w14:textId="77777777" w:rsidR="00E51240" w:rsidRPr="007122AB" w:rsidRDefault="00E51240" w:rsidP="007122AB">
      <w:pPr>
        <w:spacing w:after="0" w:line="240" w:lineRule="auto"/>
        <w:jc w:val="both"/>
        <w:rPr>
          <w:rFonts w:ascii="Times New Roman" w:hAnsi="Times New Roman"/>
          <w:color w:val="000000" w:themeColor="text1"/>
          <w:sz w:val="16"/>
          <w:szCs w:val="16"/>
        </w:rPr>
      </w:pPr>
    </w:p>
    <w:p w14:paraId="0B869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К-6 был передан в Аэрофлот для опытной эксплуатации и получил номер СССР-59. Возили матрицы Правды из Москвы в Харьков и летал </w:t>
      </w:r>
      <w:proofErr w:type="spellStart"/>
      <w:r w:rsidRPr="007122AB">
        <w:rPr>
          <w:rFonts w:ascii="Times New Roman" w:hAnsi="Times New Roman"/>
          <w:color w:val="000000" w:themeColor="text1"/>
          <w:sz w:val="16"/>
          <w:szCs w:val="16"/>
        </w:rPr>
        <w:t>П.П.Качура</w:t>
      </w:r>
      <w:proofErr w:type="spellEnd"/>
      <w:r w:rsidRPr="007122AB">
        <w:rPr>
          <w:rFonts w:ascii="Times New Roman" w:hAnsi="Times New Roman"/>
          <w:color w:val="000000" w:themeColor="text1"/>
          <w:sz w:val="16"/>
          <w:szCs w:val="16"/>
        </w:rPr>
        <w:t>. Серии так и не было (70,182).</w:t>
      </w:r>
    </w:p>
    <w:p w14:paraId="4698A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945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были завершены заводские испытания МУ-3 </w:t>
      </w:r>
      <w:proofErr w:type="spellStart"/>
      <w:r w:rsidRPr="007122AB">
        <w:rPr>
          <w:rFonts w:ascii="Times New Roman" w:hAnsi="Times New Roman"/>
          <w:color w:val="000000" w:themeColor="text1"/>
          <w:sz w:val="16"/>
          <w:szCs w:val="16"/>
        </w:rPr>
        <w:t>А.С.Москалева</w:t>
      </w:r>
      <w:proofErr w:type="spellEnd"/>
      <w:r w:rsidRPr="007122AB">
        <w:rPr>
          <w:rFonts w:ascii="Times New Roman" w:hAnsi="Times New Roman"/>
          <w:color w:val="000000" w:themeColor="text1"/>
          <w:sz w:val="16"/>
          <w:szCs w:val="16"/>
        </w:rPr>
        <w:t>, который продолжил на Красном летчике работу Д.П.Г. В это время А.С.М. заболел, забросили машину и его перевели в Воронеж (99,221).</w:t>
      </w:r>
    </w:p>
    <w:p w14:paraId="573D19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118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в Москве начались испытания МР-3бис (МР-5) </w:t>
      </w:r>
      <w:proofErr w:type="spellStart"/>
      <w:r w:rsidRPr="007122AB">
        <w:rPr>
          <w:rFonts w:ascii="Times New Roman" w:hAnsi="Times New Roman"/>
          <w:color w:val="000000" w:themeColor="text1"/>
          <w:sz w:val="16"/>
          <w:szCs w:val="16"/>
        </w:rPr>
        <w:t>В.Четверикова</w:t>
      </w:r>
      <w:proofErr w:type="spellEnd"/>
      <w:r w:rsidRPr="007122AB">
        <w:rPr>
          <w:rFonts w:ascii="Times New Roman" w:hAnsi="Times New Roman"/>
          <w:color w:val="000000" w:themeColor="text1"/>
          <w:sz w:val="16"/>
          <w:szCs w:val="16"/>
        </w:rPr>
        <w:t xml:space="preserve"> (641,176).</w:t>
      </w:r>
    </w:p>
    <w:p w14:paraId="61568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75C8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июня 1931 </w:t>
      </w:r>
      <w:proofErr w:type="spellStart"/>
      <w:r w:rsidRPr="007122AB">
        <w:rPr>
          <w:rFonts w:ascii="Times New Roman" w:hAnsi="Times New Roman"/>
          <w:color w:val="000000" w:themeColor="text1"/>
          <w:sz w:val="16"/>
          <w:szCs w:val="16"/>
        </w:rPr>
        <w:t>И.Ф.Петров</w:t>
      </w:r>
      <w:proofErr w:type="spellEnd"/>
      <w:r w:rsidRPr="007122AB">
        <w:rPr>
          <w:rFonts w:ascii="Times New Roman" w:hAnsi="Times New Roman"/>
          <w:color w:val="000000" w:themeColor="text1"/>
          <w:sz w:val="16"/>
          <w:szCs w:val="16"/>
        </w:rPr>
        <w:t xml:space="preserve"> стал начальником истребительного отдела НИИ ВВС (262,35).</w:t>
      </w:r>
    </w:p>
    <w:p w14:paraId="748AC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E8B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предложение по составному самолету (ТБ-1 + И-4) было доложено командованию ВВС и получило одобрение и название "самолет-звено". Работы возглавил самолетный отдел НИИ ВВС под руководством </w:t>
      </w:r>
      <w:proofErr w:type="spellStart"/>
      <w:r w:rsidRPr="007122AB">
        <w:rPr>
          <w:rFonts w:ascii="Times New Roman" w:hAnsi="Times New Roman"/>
          <w:color w:val="000000" w:themeColor="text1"/>
          <w:sz w:val="16"/>
          <w:szCs w:val="16"/>
        </w:rPr>
        <w:t>Б.Т.Горощенко</w:t>
      </w:r>
      <w:proofErr w:type="spellEnd"/>
      <w:r w:rsidRPr="007122AB">
        <w:rPr>
          <w:rFonts w:ascii="Times New Roman" w:hAnsi="Times New Roman"/>
          <w:color w:val="000000" w:themeColor="text1"/>
          <w:sz w:val="16"/>
          <w:szCs w:val="16"/>
        </w:rPr>
        <w:t>. Разрабатывались и тактические вопросы. ЦАГИ помогало с продувками моделей и опытными работами на ЗОК (372,88).</w:t>
      </w:r>
    </w:p>
    <w:p w14:paraId="7ABD4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8EBB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мину ВОМИЗА-250 на базе мины М-26, изготовленную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передали на войсковые испытания. В июле-октябре 1931 прошел цикл испытаний мины на </w:t>
      </w:r>
      <w:proofErr w:type="spellStart"/>
      <w:r w:rsidRPr="007122AB">
        <w:rPr>
          <w:rFonts w:ascii="Times New Roman" w:hAnsi="Times New Roman"/>
          <w:color w:val="000000" w:themeColor="text1"/>
          <w:sz w:val="16"/>
          <w:szCs w:val="16"/>
        </w:rPr>
        <w:t>Копенском</w:t>
      </w:r>
      <w:proofErr w:type="spellEnd"/>
      <w:r w:rsidRPr="007122AB">
        <w:rPr>
          <w:rFonts w:ascii="Times New Roman" w:hAnsi="Times New Roman"/>
          <w:color w:val="000000" w:themeColor="text1"/>
          <w:sz w:val="16"/>
          <w:szCs w:val="16"/>
        </w:rPr>
        <w:t xml:space="preserve"> озере, а затем в </w:t>
      </w:r>
      <w:proofErr w:type="spellStart"/>
      <w:r w:rsidRPr="007122AB">
        <w:rPr>
          <w:rFonts w:ascii="Times New Roman" w:hAnsi="Times New Roman"/>
          <w:color w:val="000000" w:themeColor="text1"/>
          <w:sz w:val="16"/>
          <w:szCs w:val="16"/>
        </w:rPr>
        <w:t>Коперском</w:t>
      </w:r>
      <w:proofErr w:type="spellEnd"/>
      <w:r w:rsidRPr="007122AB">
        <w:rPr>
          <w:rFonts w:ascii="Times New Roman" w:hAnsi="Times New Roman"/>
          <w:color w:val="000000" w:themeColor="text1"/>
          <w:sz w:val="16"/>
          <w:szCs w:val="16"/>
        </w:rPr>
        <w:t xml:space="preserve"> заливе. Мину назвали МАВ-2, но на вооружение не приняли. Потом делали МАН-1 и МАН-2, но тоже не получилось (561,14).</w:t>
      </w:r>
    </w:p>
    <w:p w14:paraId="03B777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71D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после войсковых и сдаточных испытаний комиссия, назначенная нач. УВВС </w:t>
      </w:r>
      <w:proofErr w:type="spellStart"/>
      <w:r w:rsidRPr="007122AB">
        <w:rPr>
          <w:rFonts w:ascii="Times New Roman" w:hAnsi="Times New Roman"/>
          <w:color w:val="000000" w:themeColor="text1"/>
          <w:sz w:val="16"/>
          <w:szCs w:val="16"/>
        </w:rPr>
        <w:t>Я.Алкснис</w:t>
      </w:r>
      <w:proofErr w:type="spellEnd"/>
      <w:r w:rsidRPr="007122AB">
        <w:rPr>
          <w:rFonts w:ascii="Times New Roman" w:hAnsi="Times New Roman"/>
          <w:color w:val="000000" w:themeColor="text1"/>
          <w:sz w:val="16"/>
          <w:szCs w:val="16"/>
        </w:rPr>
        <w:t xml:space="preserve"> во главе с нач. Воздушных сил ЧМ </w:t>
      </w:r>
      <w:proofErr w:type="spellStart"/>
      <w:r w:rsidRPr="007122AB">
        <w:rPr>
          <w:rFonts w:ascii="Times New Roman" w:hAnsi="Times New Roman"/>
          <w:color w:val="000000" w:themeColor="text1"/>
          <w:sz w:val="16"/>
          <w:szCs w:val="16"/>
        </w:rPr>
        <w:t>В.К.Лавровым</w:t>
      </w:r>
      <w:proofErr w:type="spellEnd"/>
      <w:r w:rsidRPr="007122AB">
        <w:rPr>
          <w:rFonts w:ascii="Times New Roman" w:hAnsi="Times New Roman"/>
          <w:color w:val="000000" w:themeColor="text1"/>
          <w:sz w:val="16"/>
          <w:szCs w:val="16"/>
        </w:rPr>
        <w:t xml:space="preserve"> на первом заседании обсудила результаты проведенных сбросов высоких торпед 10/15 и указала на выявленные дефекты и дала 2 месяца на их устранение.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должно было подготовить пять комплектов и на войсковых испытаниях хотели проверить возможность сброса до высоты 800 м. По разным причинам испытания не удалось начать ни в июле, ни в августе и они стартовали 19 сентября 1931 (1966,10).</w:t>
      </w:r>
    </w:p>
    <w:p w14:paraId="1ACF9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63A1A1"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июне 1931 года в ЦАГИ было закон</w:t>
      </w:r>
      <w:r w:rsidRPr="00441F34">
        <w:rPr>
          <w:rFonts w:ascii="Times New Roman" w:hAnsi="Times New Roman"/>
          <w:color w:val="0070C0"/>
          <w:sz w:val="16"/>
          <w:szCs w:val="16"/>
        </w:rPr>
        <w:softHyphen/>
        <w:t>чено рабочее проектирование 2ЭА, а постройка и назем</w:t>
      </w:r>
      <w:r w:rsidRPr="00441F34">
        <w:rPr>
          <w:rFonts w:ascii="Times New Roman" w:hAnsi="Times New Roman"/>
          <w:color w:val="0070C0"/>
          <w:sz w:val="16"/>
          <w:szCs w:val="16"/>
        </w:rPr>
        <w:softHyphen/>
        <w:t xml:space="preserve">ная отладка в мастерских </w:t>
      </w:r>
      <w:proofErr w:type="spellStart"/>
      <w:r w:rsidRPr="00441F34">
        <w:rPr>
          <w:rFonts w:ascii="Times New Roman" w:hAnsi="Times New Roman"/>
          <w:color w:val="0070C0"/>
          <w:sz w:val="16"/>
          <w:szCs w:val="16"/>
        </w:rPr>
        <w:t>АГОСа</w:t>
      </w:r>
      <w:proofErr w:type="spellEnd"/>
      <w:r w:rsidRPr="00441F34">
        <w:rPr>
          <w:rFonts w:ascii="Times New Roman" w:hAnsi="Times New Roman"/>
          <w:color w:val="0070C0"/>
          <w:sz w:val="16"/>
          <w:szCs w:val="16"/>
        </w:rPr>
        <w:t xml:space="preserve"> продолжа</w:t>
      </w:r>
      <w:r w:rsidRPr="00441F34">
        <w:rPr>
          <w:rFonts w:ascii="Times New Roman" w:hAnsi="Times New Roman"/>
          <w:color w:val="0070C0"/>
          <w:sz w:val="16"/>
          <w:szCs w:val="16"/>
        </w:rPr>
        <w:softHyphen/>
        <w:t>лись до глубокой осени. К октябрьским праздникам работы завершились, и вскоре 2ЭА перевезли на аэродром. В мире автожи</w:t>
      </w:r>
      <w:r w:rsidRPr="00441F34">
        <w:rPr>
          <w:rFonts w:ascii="Times New Roman" w:hAnsi="Times New Roman"/>
          <w:color w:val="0070C0"/>
          <w:sz w:val="16"/>
          <w:szCs w:val="16"/>
        </w:rPr>
        <w:softHyphen/>
        <w:t>ры хоть и не сумели как-то заметно потеснить самолеты, но диковинкой к началу 1930-х годов уже не были. Тем не менее, даже не</w:t>
      </w:r>
      <w:r w:rsidRPr="00441F34">
        <w:rPr>
          <w:rFonts w:ascii="Times New Roman" w:hAnsi="Times New Roman"/>
          <w:color w:val="0070C0"/>
          <w:sz w:val="16"/>
          <w:szCs w:val="16"/>
        </w:rPr>
        <w:softHyphen/>
        <w:t>смотря на то, что машина ЦАГИ была третьим летающим экземпляром этой разновидности летательных аппаратов, у нас нередко в по</w:t>
      </w:r>
      <w:r w:rsidRPr="00441F34">
        <w:rPr>
          <w:rFonts w:ascii="Times New Roman" w:hAnsi="Times New Roman"/>
          <w:color w:val="0070C0"/>
          <w:sz w:val="16"/>
          <w:szCs w:val="16"/>
        </w:rPr>
        <w:softHyphen/>
        <w:t>священных 2ЭА документах термин «Авто</w:t>
      </w:r>
      <w:r w:rsidRPr="00441F34">
        <w:rPr>
          <w:rFonts w:ascii="Times New Roman" w:hAnsi="Times New Roman"/>
          <w:color w:val="0070C0"/>
          <w:sz w:val="16"/>
          <w:szCs w:val="16"/>
        </w:rPr>
        <w:softHyphen/>
        <w:t>жир» использовали как имя собственное и писали с заглавной буквы (23518).</w:t>
      </w:r>
    </w:p>
    <w:p w14:paraId="463C8976" w14:textId="77777777" w:rsidR="00862F5B" w:rsidRPr="00441F34" w:rsidRDefault="00862F5B" w:rsidP="00862F5B">
      <w:pPr>
        <w:spacing w:after="0" w:line="240" w:lineRule="auto"/>
        <w:jc w:val="both"/>
        <w:rPr>
          <w:rFonts w:ascii="Times New Roman" w:hAnsi="Times New Roman"/>
          <w:color w:val="0070C0"/>
          <w:sz w:val="16"/>
          <w:szCs w:val="16"/>
        </w:rPr>
      </w:pPr>
    </w:p>
    <w:p w14:paraId="286A1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w:t>
      </w:r>
      <w:proofErr w:type="spellStart"/>
      <w:r w:rsidRPr="007122AB">
        <w:rPr>
          <w:rFonts w:ascii="Times New Roman" w:hAnsi="Times New Roman"/>
          <w:color w:val="000000" w:themeColor="text1"/>
          <w:sz w:val="16"/>
          <w:szCs w:val="16"/>
        </w:rPr>
        <w:t>А.П.Карпинский</w:t>
      </w:r>
      <w:proofErr w:type="spellEnd"/>
      <w:r w:rsidRPr="007122AB">
        <w:rPr>
          <w:rFonts w:ascii="Times New Roman" w:hAnsi="Times New Roman"/>
          <w:color w:val="000000" w:themeColor="text1"/>
          <w:sz w:val="16"/>
          <w:szCs w:val="16"/>
        </w:rPr>
        <w:t xml:space="preserve"> повторил </w:t>
      </w:r>
      <w:proofErr w:type="spellStart"/>
      <w:r w:rsidRPr="007122AB">
        <w:rPr>
          <w:rFonts w:ascii="Times New Roman" w:hAnsi="Times New Roman"/>
          <w:color w:val="000000" w:themeColor="text1"/>
          <w:sz w:val="16"/>
          <w:szCs w:val="16"/>
        </w:rPr>
        <w:t>У.Нобиле</w:t>
      </w:r>
      <w:proofErr w:type="spellEnd"/>
      <w:r w:rsidRPr="007122AB">
        <w:rPr>
          <w:rFonts w:ascii="Times New Roman" w:hAnsi="Times New Roman"/>
          <w:color w:val="000000" w:themeColor="text1"/>
          <w:sz w:val="16"/>
          <w:szCs w:val="16"/>
        </w:rPr>
        <w:t xml:space="preserve"> предложение возглавить советское дирижаблестроение. Сказал "вы нужны в Москве. У нас хотят строить дирижабли типа Норге и Италия. В это время получили телеграмму от </w:t>
      </w:r>
      <w:proofErr w:type="spellStart"/>
      <w:r w:rsidRPr="007122AB">
        <w:rPr>
          <w:rFonts w:ascii="Times New Roman" w:hAnsi="Times New Roman"/>
          <w:color w:val="000000" w:themeColor="text1"/>
          <w:sz w:val="16"/>
          <w:szCs w:val="16"/>
        </w:rPr>
        <w:t>Р.Л.Самайловича</w:t>
      </w:r>
      <w:proofErr w:type="spellEnd"/>
      <w:r w:rsidRPr="007122AB">
        <w:rPr>
          <w:rFonts w:ascii="Times New Roman" w:hAnsi="Times New Roman"/>
          <w:color w:val="000000" w:themeColor="text1"/>
          <w:sz w:val="16"/>
          <w:szCs w:val="16"/>
        </w:rPr>
        <w:t xml:space="preserve">, предлагавшего на Малыгине идти к </w:t>
      </w:r>
      <w:proofErr w:type="spellStart"/>
      <w:r w:rsidRPr="007122AB">
        <w:rPr>
          <w:rFonts w:ascii="Times New Roman" w:hAnsi="Times New Roman"/>
          <w:color w:val="000000" w:themeColor="text1"/>
          <w:sz w:val="16"/>
          <w:szCs w:val="16"/>
        </w:rPr>
        <w:t>Замле</w:t>
      </w:r>
      <w:proofErr w:type="spellEnd"/>
      <w:r w:rsidRPr="007122AB">
        <w:rPr>
          <w:rFonts w:ascii="Times New Roman" w:hAnsi="Times New Roman"/>
          <w:color w:val="000000" w:themeColor="text1"/>
          <w:sz w:val="16"/>
          <w:szCs w:val="16"/>
        </w:rPr>
        <w:t xml:space="preserve"> Франца-Иосифа. Первое предложение было сделано осенью 1929, однако, официальное приглашение пришло уже после согласия Дуче, данного в октябре, в январе 1932 (1228,7).</w:t>
      </w:r>
    </w:p>
    <w:p w14:paraId="09A901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AC4EBE" w14:textId="77777777" w:rsidR="00E51240" w:rsidRPr="007122AB" w:rsidRDefault="00E51240"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г. </w:t>
      </w:r>
      <w:proofErr w:type="spellStart"/>
      <w:r w:rsidRPr="007122AB">
        <w:rPr>
          <w:rFonts w:ascii="Times New Roman" w:hAnsi="Times New Roman"/>
          <w:color w:val="000000" w:themeColor="text1"/>
          <w:sz w:val="16"/>
          <w:szCs w:val="16"/>
        </w:rPr>
        <w:t>Б.С.Петропавловский</w:t>
      </w:r>
      <w:proofErr w:type="spellEnd"/>
      <w:r w:rsidRPr="007122AB">
        <w:rPr>
          <w:rFonts w:ascii="Times New Roman" w:hAnsi="Times New Roman"/>
          <w:color w:val="000000" w:themeColor="text1"/>
          <w:sz w:val="16"/>
          <w:szCs w:val="16"/>
        </w:rPr>
        <w:t xml:space="preserve"> пишет руководству Артиллерийского научно-исследовательского института АУ РККА о недопустимости параллельного с ГДЛ создания в различного рода учреждениях реактивных конструкций без использования опыта ГДЛ; работа не должна дублироваться и распыляться. </w:t>
      </w:r>
      <w:proofErr w:type="spellStart"/>
      <w:r w:rsidRPr="007122AB">
        <w:rPr>
          <w:rFonts w:ascii="Times New Roman" w:hAnsi="Times New Roman"/>
          <w:color w:val="000000" w:themeColor="text1"/>
          <w:sz w:val="16"/>
          <w:szCs w:val="16"/>
        </w:rPr>
        <w:t>Б.С.Петропавловский</w:t>
      </w:r>
      <w:proofErr w:type="spellEnd"/>
      <w:r w:rsidRPr="007122AB">
        <w:rPr>
          <w:rFonts w:ascii="Times New Roman" w:hAnsi="Times New Roman"/>
          <w:color w:val="000000" w:themeColor="text1"/>
          <w:sz w:val="16"/>
          <w:szCs w:val="16"/>
        </w:rPr>
        <w:t xml:space="preserve"> настаивает на обязательном контроле ГДЛ над всеми проектами, выполняемыми вне ГДЛ (15252).</w:t>
      </w:r>
    </w:p>
    <w:p w14:paraId="7455996D" w14:textId="77777777" w:rsidR="00E51240" w:rsidRPr="007122AB" w:rsidRDefault="00E51240" w:rsidP="007122AB">
      <w:pPr>
        <w:shd w:val="clear" w:color="auto" w:fill="FFFFFF"/>
        <w:spacing w:after="0" w:line="240" w:lineRule="auto"/>
        <w:jc w:val="both"/>
        <w:rPr>
          <w:rFonts w:ascii="Times New Roman" w:hAnsi="Times New Roman"/>
          <w:color w:val="000000" w:themeColor="text1"/>
          <w:sz w:val="16"/>
          <w:szCs w:val="16"/>
        </w:rPr>
      </w:pPr>
    </w:p>
    <w:p w14:paraId="2D167950" w14:textId="77777777" w:rsidR="00BB4B21" w:rsidRPr="007122AB" w:rsidRDefault="00BB4B21"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июне 1931 в Москве проходила обучение группа, состоявшая только из командиров – девять человек. 12 июня их подняли в небо на трехмоторном АНТ-9. Прыгнули только семеро, двое подошли к дверям и вернулись.</w:t>
      </w:r>
    </w:p>
    <w:p w14:paraId="5238AC6E" w14:textId="77777777" w:rsidR="00BB4B21" w:rsidRPr="007122AB" w:rsidRDefault="00BB4B21"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Всего за 1931 г. под руководством </w:t>
      </w:r>
      <w:proofErr w:type="spellStart"/>
      <w:r w:rsidRPr="007122AB">
        <w:rPr>
          <w:rFonts w:ascii="Times New Roman" w:eastAsia="Times New Roman" w:hAnsi="Times New Roman"/>
          <w:color w:val="000000" w:themeColor="text1"/>
          <w:sz w:val="16"/>
          <w:szCs w:val="16"/>
          <w:lang w:eastAsia="ru-RU"/>
        </w:rPr>
        <w:t>Минова</w:t>
      </w:r>
      <w:proofErr w:type="spellEnd"/>
      <w:r w:rsidRPr="007122AB">
        <w:rPr>
          <w:rFonts w:ascii="Times New Roman" w:eastAsia="Times New Roman" w:hAnsi="Times New Roman"/>
          <w:color w:val="000000" w:themeColor="text1"/>
          <w:sz w:val="16"/>
          <w:szCs w:val="16"/>
          <w:lang w:eastAsia="ru-RU"/>
        </w:rPr>
        <w:t xml:space="preserve"> обучили 160 парашютистов, но только 97 из них относились к летному составу. Еще 71 человек прошел подготовку у П.И. Гроховского, но там учили только будущих десантников. При этом в ВВС числились 2600 летчиков и 1300 летнабов. Далее в разных местах организовали сборы, на которых готовили инструкторов; они подчинялись Парашютно-десантной службе ВВС. Следует отметить, что в этот период началось формирование первых воздушно-десантных частей, которые тогда тоже входили в структуру ВВС (21505).</w:t>
      </w:r>
    </w:p>
    <w:p w14:paraId="633BE4E8" w14:textId="77777777" w:rsidR="00BB4B21" w:rsidRPr="007122AB" w:rsidRDefault="00BB4B21" w:rsidP="007122AB">
      <w:pPr>
        <w:spacing w:after="0" w:line="240" w:lineRule="auto"/>
        <w:jc w:val="both"/>
        <w:rPr>
          <w:rFonts w:ascii="Times New Roman" w:hAnsi="Times New Roman"/>
          <w:color w:val="000000" w:themeColor="text1"/>
          <w:sz w:val="16"/>
          <w:szCs w:val="16"/>
          <w:shd w:val="clear" w:color="auto" w:fill="FFFFFF"/>
        </w:rPr>
      </w:pPr>
    </w:p>
    <w:p w14:paraId="691066AE" w14:textId="6827BC62"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В июне 1931 римскую квартиру Нобиле посетил известный геолог, профессор, президент Академии наук СССР Александр Карпинский. Он приехал на международный геологический конгресс и заодно выполнил просьбу товарищей то ли из УВВС Красной армии, то ли из ведомства </w:t>
      </w:r>
      <w:proofErr w:type="spellStart"/>
      <w:r w:rsidRPr="007122AB">
        <w:rPr>
          <w:rFonts w:ascii="Times New Roman" w:hAnsi="Times New Roman"/>
          <w:color w:val="000000" w:themeColor="text1"/>
          <w:sz w:val="16"/>
          <w:szCs w:val="16"/>
          <w:lang w:eastAsia="ru-RU" w:bidi="ru-RU"/>
        </w:rPr>
        <w:t>Гольцмана</w:t>
      </w:r>
      <w:proofErr w:type="spellEnd"/>
      <w:r w:rsidRPr="007122AB">
        <w:rPr>
          <w:rFonts w:ascii="Times New Roman" w:hAnsi="Times New Roman"/>
          <w:color w:val="000000" w:themeColor="text1"/>
          <w:sz w:val="16"/>
          <w:szCs w:val="16"/>
          <w:lang w:eastAsia="ru-RU" w:bidi="ru-RU"/>
        </w:rPr>
        <w:t>: пригласить Нобиле в Советский Союз для обстоятельной беседы. «Мы в Москве нуждаемся в вас. Мы хотим строить дирижабли такого же типа, какими были дирижабли «Норвегия» и «Италия», - сообщил советский гость.</w:t>
      </w:r>
    </w:p>
    <w:p w14:paraId="354019EC" w14:textId="77777777"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Нобиле ответил, что был бы рад поехать в Россию, но сначала желал бы принять участие в походе на ледоколе «Малыгин» к Земле Франца-Иосифа, запланированном на вторую половину лета. Карпинский согласовал вопрос в Москве и передал утвердительный ответ. По возвращении из этой экспедиции Нобиле должен был остаться в Советском Союзе на несколько недель и основательно проконсультировать начинающих советских </w:t>
      </w:r>
      <w:proofErr w:type="spellStart"/>
      <w:r w:rsidRPr="007122AB">
        <w:rPr>
          <w:rFonts w:ascii="Times New Roman" w:hAnsi="Times New Roman"/>
          <w:color w:val="000000" w:themeColor="text1"/>
          <w:sz w:val="16"/>
          <w:szCs w:val="16"/>
          <w:lang w:eastAsia="ru-RU" w:bidi="ru-RU"/>
        </w:rPr>
        <w:t>дирижаблестроителей</w:t>
      </w:r>
      <w:proofErr w:type="spellEnd"/>
      <w:r w:rsidRPr="007122AB">
        <w:rPr>
          <w:rFonts w:ascii="Times New Roman" w:hAnsi="Times New Roman"/>
          <w:color w:val="000000" w:themeColor="text1"/>
          <w:sz w:val="16"/>
          <w:szCs w:val="16"/>
          <w:lang w:eastAsia="ru-RU" w:bidi="ru-RU"/>
        </w:rPr>
        <w:t>.</w:t>
      </w:r>
    </w:p>
    <w:p w14:paraId="772F3E1C" w14:textId="5772F44F"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На поезде через Финляндию он приехал сначала в Ленинград, а затем отправился в Москву, где 15 июля впервые встретился с </w:t>
      </w:r>
      <w:proofErr w:type="spellStart"/>
      <w:r w:rsidRPr="007122AB">
        <w:rPr>
          <w:rFonts w:ascii="Times New Roman" w:hAnsi="Times New Roman"/>
          <w:color w:val="000000" w:themeColor="text1"/>
          <w:sz w:val="16"/>
          <w:szCs w:val="16"/>
          <w:lang w:eastAsia="ru-RU" w:bidi="ru-RU"/>
        </w:rPr>
        <w:t>Гольцманом</w:t>
      </w:r>
      <w:proofErr w:type="spellEnd"/>
      <w:r w:rsidRPr="007122AB">
        <w:rPr>
          <w:rFonts w:ascii="Times New Roman" w:hAnsi="Times New Roman"/>
          <w:color w:val="000000" w:themeColor="text1"/>
          <w:sz w:val="16"/>
          <w:szCs w:val="16"/>
          <w:lang w:eastAsia="ru-RU" w:bidi="ru-RU"/>
        </w:rPr>
        <w:t>, внешность которого - «тёмный цвет его лица и волос, его жёсткие вьющиеся как у негра волосы и блестящие глаза, светящиеся интеллигентностью» - произвела на Нобиле изрядное впечатление. Быть может, руководитель гражданской авиации подкупил итальянца сходством с его соотечественниками-</w:t>
      </w:r>
      <w:proofErr w:type="spellStart"/>
      <w:r w:rsidRPr="007122AB">
        <w:rPr>
          <w:rFonts w:ascii="Times New Roman" w:hAnsi="Times New Roman"/>
          <w:color w:val="000000" w:themeColor="text1"/>
          <w:sz w:val="16"/>
          <w:szCs w:val="16"/>
          <w:lang w:eastAsia="ru-RU" w:bidi="ru-RU"/>
        </w:rPr>
        <w:t>средиземноморцами</w:t>
      </w:r>
      <w:proofErr w:type="spellEnd"/>
      <w:r w:rsidRPr="007122AB">
        <w:rPr>
          <w:rFonts w:ascii="Times New Roman" w:hAnsi="Times New Roman"/>
          <w:color w:val="000000" w:themeColor="text1"/>
          <w:sz w:val="16"/>
          <w:szCs w:val="16"/>
          <w:lang w:eastAsia="ru-RU" w:bidi="ru-RU"/>
        </w:rPr>
        <w:t>?</w:t>
      </w:r>
    </w:p>
    <w:p w14:paraId="6A6EAE08" w14:textId="77777777"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lastRenderedPageBreak/>
        <w:t>Уже через два дня Нобиле уехал в Архангельск, к месту отправления «Малыгина». Стремясь в это плавание, он втайне надеялся получить хотя бы крупицу сведений, могущих пролить свет на судьбу пропавших членов экипажа «Италии». Если дирижабль упал где-то неподалёку от места катастрофы, его обломки могло принести дрейфующими льдами к побережью Земли Александры - одного из крайних западных островов Земли Франца-Иосифа. Шансы были ничтожны, но они были. Однако чуда не произошло - к острову не удалось даже подойти из-за сплошного льда. Спустя годы Нобиле с горечью вспоминал:</w:t>
      </w:r>
    </w:p>
    <w:p w14:paraId="33175E78" w14:textId="70136C70"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Я думал об этом в течение целого месяца. Там была возможность найти следы нашего дирижабля, следы шести наших товарищей, которых я видел исчезающими в небе Арктики три года тому назад. В самом деле, я никогда не осмеливался сформулировать мысль, даже себе самому, о том, что была некоторая реальная надежда иметь возможность прояснить тайну их судьбы. Но была только эта возможность, и я чувствовал себя обязанным прийти туда и посмотреть там, даже если имелся к тому лишь один шанс из миллиона, чтобы разыскать что- </w:t>
      </w:r>
      <w:proofErr w:type="spellStart"/>
      <w:r w:rsidRPr="007122AB">
        <w:rPr>
          <w:rFonts w:ascii="Times New Roman" w:hAnsi="Times New Roman"/>
          <w:color w:val="000000" w:themeColor="text1"/>
          <w:sz w:val="16"/>
          <w:szCs w:val="16"/>
          <w:lang w:eastAsia="ru-RU" w:bidi="ru-RU"/>
        </w:rPr>
        <w:t>нибудь</w:t>
      </w:r>
      <w:proofErr w:type="spellEnd"/>
      <w:r w:rsidRPr="007122AB">
        <w:rPr>
          <w:rFonts w:ascii="Times New Roman" w:hAnsi="Times New Roman"/>
          <w:color w:val="000000" w:themeColor="text1"/>
          <w:sz w:val="16"/>
          <w:szCs w:val="16"/>
          <w:lang w:eastAsia="ru-RU" w:bidi="ru-RU"/>
        </w:rPr>
        <w:t>.</w:t>
      </w:r>
    </w:p>
    <w:p w14:paraId="228FFB36" w14:textId="77777777"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После неудачи у берегов Земли Александры плавание утратило для него всю свою привлекательность. «Оставшийся один на один со своим чувством унижения» Нобиле проделал обратный путь и к 20 августа был уже в Москве.</w:t>
      </w:r>
    </w:p>
    <w:p w14:paraId="08A50363" w14:textId="3433FA8D"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Кстати, на ледоколе он встретил Папанина. «Низкорослый, но крепко сложённый, с круглым, румяным, улыбающимся лицом, с живыми, сверкающими умом глазами», «...весёлый южанин из Севастополя, был, несомненно, самой привлекательной и романтической фигурой на борту.».</w:t>
      </w:r>
    </w:p>
    <w:p w14:paraId="3D7FAC5B" w14:textId="1F2204A4" w:rsidR="00F030F3" w:rsidRPr="007122AB" w:rsidRDefault="00F030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Как и было условлено, после возвращения в Москву Нобиле пробыл в СССР до 30 сентября. Всё это время он провёл в совещаниях и встречах с советскими инженерами, которых консультировал по части конструирования и производства дирижаблей различных типов, перспективным планам дирижаблестроения, строительству дирижабельных баз и вообще по всем вопросам, связанным с воздухоплаванием и дирижаблестроением (23192).</w:t>
      </w:r>
    </w:p>
    <w:p w14:paraId="484DBB1F" w14:textId="77777777" w:rsidR="00F030F3" w:rsidRPr="007122AB" w:rsidRDefault="00F030F3" w:rsidP="007122AB">
      <w:pPr>
        <w:autoSpaceDE w:val="0"/>
        <w:autoSpaceDN w:val="0"/>
        <w:adjustRightInd w:val="0"/>
        <w:spacing w:after="0" w:line="240" w:lineRule="auto"/>
        <w:jc w:val="both"/>
        <w:rPr>
          <w:rFonts w:ascii="Times New Roman" w:hAnsi="Times New Roman"/>
          <w:color w:val="000000" w:themeColor="text1"/>
          <w:sz w:val="16"/>
          <w:szCs w:val="16"/>
        </w:rPr>
      </w:pPr>
    </w:p>
    <w:p w14:paraId="12EBD29A" w14:textId="097E2B3F"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BFB15E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84A625"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июня 1931 г. вслед выступлением И.В. Сталина перед хозяйственным активом реализация «Шести условий т. Сталина» вылилась прежде всего во внедрение «социалистического хозрасчета». Целями этого ставились предоставление относительной самостоятельности предприятиям, формирование фондов денежных средств для обеспечения капитальных вложений, создание дополнительных стимулов к труду, а также повышение качества кадров рабочих, служащих и ИТР (18297).</w:t>
      </w:r>
    </w:p>
    <w:p w14:paraId="7DE6C842" w14:textId="77777777" w:rsidR="0069396A" w:rsidRPr="007122AB" w:rsidRDefault="0069396A" w:rsidP="007122AB">
      <w:pPr>
        <w:spacing w:after="0" w:line="240" w:lineRule="auto"/>
        <w:jc w:val="both"/>
        <w:rPr>
          <w:rFonts w:ascii="Times New Roman" w:hAnsi="Times New Roman"/>
          <w:color w:val="000000" w:themeColor="text1"/>
          <w:sz w:val="16"/>
          <w:szCs w:val="16"/>
        </w:rPr>
      </w:pPr>
    </w:p>
    <w:p w14:paraId="199D7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АНИИ с использованием зенитной пушки обр. 1914 проводил испытания высотного прицела и </w:t>
      </w:r>
      <w:proofErr w:type="spellStart"/>
      <w:r w:rsidRPr="007122AB">
        <w:rPr>
          <w:rFonts w:ascii="Times New Roman" w:hAnsi="Times New Roman"/>
          <w:color w:val="000000" w:themeColor="text1"/>
          <w:sz w:val="16"/>
          <w:szCs w:val="16"/>
        </w:rPr>
        <w:t>Ф.Ф.Лендера</w:t>
      </w:r>
      <w:proofErr w:type="spellEnd"/>
      <w:r w:rsidRPr="007122AB">
        <w:rPr>
          <w:rFonts w:ascii="Times New Roman" w:hAnsi="Times New Roman"/>
          <w:color w:val="000000" w:themeColor="text1"/>
          <w:sz w:val="16"/>
          <w:szCs w:val="16"/>
        </w:rPr>
        <w:t>, разработанного на заводе Красный Путиловец по заказу Волга (6402, 33).</w:t>
      </w:r>
    </w:p>
    <w:p w14:paraId="4A0F4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947486"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В июне 1931 начальник опытных и исследовательских работ завода В.Г. Федоров отозван в Москву в распоряжение Орудийно-оружейно-пулеметного объединения. На его должность с 20 июня назначен заместитель начальника бюро новых конструкций стандартизации инженер А.И. Гнатенко.</w:t>
      </w:r>
    </w:p>
    <w:p w14:paraId="25470795"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В.А. Дегтярев представляет новый образец пистолета-пулемета. Особенностью его является то, что все основные детали имеют цилиндрическую поверхность, что позволяет изготавливать их на токарных станках.</w:t>
      </w:r>
    </w:p>
    <w:p w14:paraId="30FA9CDF"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 xml:space="preserve">Испытания крупнокалиберного пулемета Дегтярева и пулемета системы </w:t>
      </w:r>
      <w:proofErr w:type="spellStart"/>
      <w:r w:rsidRPr="007122AB">
        <w:rPr>
          <w:color w:val="000000" w:themeColor="text1"/>
          <w:sz w:val="16"/>
          <w:szCs w:val="16"/>
        </w:rPr>
        <w:t>Дрейзе</w:t>
      </w:r>
      <w:proofErr w:type="spellEnd"/>
      <w:r w:rsidRPr="007122AB">
        <w:rPr>
          <w:color w:val="000000" w:themeColor="text1"/>
          <w:sz w:val="16"/>
          <w:szCs w:val="16"/>
        </w:rPr>
        <w:t xml:space="preserve">. Пулемет Дегтярева демонстрирует превосходство по простоте изготовления, </w:t>
      </w:r>
      <w:proofErr w:type="spellStart"/>
      <w:r w:rsidRPr="007122AB">
        <w:rPr>
          <w:color w:val="000000" w:themeColor="text1"/>
          <w:sz w:val="16"/>
          <w:szCs w:val="16"/>
        </w:rPr>
        <w:t>бронепробиваемости</w:t>
      </w:r>
      <w:proofErr w:type="spellEnd"/>
      <w:r w:rsidRPr="007122AB">
        <w:rPr>
          <w:color w:val="000000" w:themeColor="text1"/>
          <w:sz w:val="16"/>
          <w:szCs w:val="16"/>
        </w:rPr>
        <w:t xml:space="preserve"> и массе.</w:t>
      </w:r>
    </w:p>
    <w:p w14:paraId="1960E444"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Испытания облегченного станкового пулемета Дегтярева. В общем дано положительное заключение, но отмечаются отдельно недостатки, после их устранения планируется заказ первой серийной партии. Однако работа над пулеметом затягивается до 1939 года.</w:t>
      </w:r>
    </w:p>
    <w:p w14:paraId="3521C298"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 xml:space="preserve">Для ВВС проводилась разработка 12,7-мм пулемета ДАК-32 по схеме ДК с приемником конструкции Шпагина, </w:t>
      </w:r>
      <w:proofErr w:type="spellStart"/>
      <w:r w:rsidRPr="007122AB">
        <w:rPr>
          <w:color w:val="000000" w:themeColor="text1"/>
          <w:sz w:val="16"/>
          <w:szCs w:val="16"/>
        </w:rPr>
        <w:t>противоотскоком</w:t>
      </w:r>
      <w:proofErr w:type="spellEnd"/>
      <w:r w:rsidRPr="007122AB">
        <w:rPr>
          <w:color w:val="000000" w:themeColor="text1"/>
          <w:sz w:val="16"/>
          <w:szCs w:val="16"/>
        </w:rPr>
        <w:t xml:space="preserve"> рамы и синхронным ударно-спусковым механизмом. Изготовлен первый экземпляр пулемета.</w:t>
      </w:r>
    </w:p>
    <w:p w14:paraId="6B331C67"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Объявлен конкурс на создание автоматической винтовки.</w:t>
      </w:r>
    </w:p>
    <w:p w14:paraId="22D59DCC" w14:textId="77777777" w:rsidR="007F6BD6" w:rsidRPr="007122AB" w:rsidRDefault="007F6BD6" w:rsidP="007122AB">
      <w:pPr>
        <w:pStyle w:val="ae"/>
        <w:spacing w:before="0" w:after="0"/>
        <w:jc w:val="both"/>
        <w:rPr>
          <w:color w:val="000000" w:themeColor="text1"/>
          <w:sz w:val="16"/>
          <w:szCs w:val="16"/>
        </w:rPr>
      </w:pPr>
      <w:r w:rsidRPr="007122AB">
        <w:rPr>
          <w:color w:val="000000" w:themeColor="text1"/>
          <w:sz w:val="16"/>
          <w:szCs w:val="16"/>
        </w:rPr>
        <w:t xml:space="preserve">Полигонные испытания автоматических винтовок В.А. Дегтярева, Ф.В. Токарева и С. Г. Симонова. Испытания проводились на живучесть и безотказность. Это значило сделать 343 каждой винтовки не менее 10000 выстрелов. Винтовка Симонова выдержала 10340, Дегтярева - 8000, Токарева -5000 выстрелов. Побеждает созданная Симоновым </w:t>
      </w:r>
      <w:proofErr w:type="spellStart"/>
      <w:r w:rsidRPr="007122AB">
        <w:rPr>
          <w:color w:val="000000" w:themeColor="text1"/>
          <w:sz w:val="16"/>
          <w:szCs w:val="16"/>
        </w:rPr>
        <w:t>автовинтовка</w:t>
      </w:r>
      <w:proofErr w:type="spellEnd"/>
      <w:r w:rsidRPr="007122AB">
        <w:rPr>
          <w:color w:val="000000" w:themeColor="text1"/>
          <w:sz w:val="16"/>
          <w:szCs w:val="16"/>
        </w:rPr>
        <w:t>. Принимается решение о постановке ее на производство (12221).</w:t>
      </w:r>
    </w:p>
    <w:p w14:paraId="781350AE" w14:textId="77777777" w:rsidR="007F6BD6" w:rsidRPr="007122AB" w:rsidRDefault="007F6BD6" w:rsidP="007122AB">
      <w:pPr>
        <w:pStyle w:val="ae"/>
        <w:spacing w:before="0" w:after="0"/>
        <w:jc w:val="both"/>
        <w:rPr>
          <w:color w:val="000000" w:themeColor="text1"/>
          <w:sz w:val="16"/>
          <w:szCs w:val="16"/>
        </w:rPr>
      </w:pPr>
    </w:p>
    <w:p w14:paraId="0B6606FB" w14:textId="77777777" w:rsidR="00B2577B" w:rsidRPr="007122AB" w:rsidRDefault="00B2577B"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В июне 1931 г. группой «Д» на рассмотрение НТК АУ был представлен проект новой конструкции газодинамического 165-мм миномета, которая предполагала увеличение дальности и меткости опытной системы посредством использования 152-мм трубы. Особенностью конструкции было увеличение толщины стенок казенной части для того, чтобы с помощью нарезки, имеющейся на наружной поверхности трубы, иметь возможность ввернуть ее в казенную часть миномета. Такая система, по предположению разработчиков, обеспечивала наибольшую дальность стрельбы до 4 500 м трофейной миной весом 19 кг. Вес системы в боевом положении составлял около 350 кг. Предложение группы «Д» было принято НТК АУ, было решено выдать ГВООПО заказ на изготовление на заводе «Большевик» одного опытного образца 152-мм трубы к 165-мм миномету (в счет снятого опытного заказа на М-А-II) в срок до 15 июля 1931 г. (№964/оп от 30 июня 1931 г., заказ «Лефортово»).285 Однако ГВООПО вернуло заказ, мотивируя это тем, что завод перегружен работой. Тогда НТК АУ обратился в адрес МПУ ВСНХ с разъяснением о том, что изготовление одной 152-мм трубы является весьма простой работой, и согласие на это со стороны представителей «Большевика» уже получено. В результате межведомственной переписки к концу августа 1931 г. заказ был принят ГВООПО к исполнению.28 (20074).</w:t>
      </w:r>
    </w:p>
    <w:p w14:paraId="64267D9C" w14:textId="77777777" w:rsidR="00B2577B" w:rsidRPr="007122AB" w:rsidRDefault="00B2577B" w:rsidP="007122AB">
      <w:pPr>
        <w:spacing w:after="0" w:line="240" w:lineRule="auto"/>
        <w:jc w:val="both"/>
        <w:rPr>
          <w:rFonts w:ascii="Times New Roman" w:eastAsia="TimesNewRomanPSMT" w:hAnsi="Times New Roman"/>
          <w:color w:val="000000" w:themeColor="text1"/>
          <w:sz w:val="16"/>
          <w:szCs w:val="16"/>
        </w:rPr>
      </w:pPr>
    </w:p>
    <w:p w14:paraId="180B1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началось изготовление первого Т-19 и закончили в конце августа (4243,16).</w:t>
      </w:r>
    </w:p>
    <w:p w14:paraId="7D9F9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005A11" w14:textId="77777777" w:rsidR="00B2577B" w:rsidRPr="007122AB" w:rsidRDefault="00B257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тема танкетки Т-21 была отменен. Еще одна танкетка на базе Т-17, получившая обозначения Т-25, даже не дошла до стадии изготовления. По большому счету, это была скорее совсем другая машина, схожая только по габаритам. 2-местная боевая машина с 30-сильным мотором должна была развивать скорость до 35 км/ч (22298).</w:t>
      </w:r>
    </w:p>
    <w:p w14:paraId="058BEE82" w14:textId="77777777" w:rsidR="00B2577B" w:rsidRPr="007122AB" w:rsidRDefault="00B2577B" w:rsidP="007122AB">
      <w:pPr>
        <w:spacing w:after="0" w:line="240" w:lineRule="auto"/>
        <w:jc w:val="both"/>
        <w:rPr>
          <w:rFonts w:ascii="Times New Roman" w:hAnsi="Times New Roman"/>
          <w:color w:val="000000" w:themeColor="text1"/>
          <w:sz w:val="16"/>
          <w:szCs w:val="16"/>
        </w:rPr>
      </w:pPr>
    </w:p>
    <w:p w14:paraId="6DF379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он прошел испытания на научном инженерно-техническом полигоне РККА малый трактор, изготовленный в апреле 1931 заводом № 2 ВАТО на базе легкого танка Т-18. Из-за малого хода, маломощного двигателя и сложности в эксплуатации работы по машине прекратили (9527,211).</w:t>
      </w:r>
    </w:p>
    <w:p w14:paraId="309A3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B38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были развернуты работы по созданию легкого трактора на базе узлов и агрегатов легкого танка Т-20 и танкетки Т-23, которые прекратились осенью 1931 (9527,211).</w:t>
      </w:r>
    </w:p>
    <w:p w14:paraId="5193F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2863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и октяб</w:t>
      </w:r>
      <w:r w:rsidRPr="007122AB">
        <w:rPr>
          <w:rFonts w:ascii="Times New Roman" w:hAnsi="Times New Roman"/>
          <w:color w:val="000000" w:themeColor="text1"/>
          <w:sz w:val="16"/>
          <w:szCs w:val="16"/>
        </w:rPr>
        <w:softHyphen/>
        <w:t>ре 1931 года грузовики, известные как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доставлялись в Советский Союз двумя партиями и собирались на заводе «Гудок Октября» (11284).</w:t>
      </w:r>
    </w:p>
    <w:p w14:paraId="698462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0711A" w14:textId="77777777" w:rsidR="00B2577B" w:rsidRPr="007122AB" w:rsidRDefault="00B257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для сборки на заводе «Гудок Октяб</w:t>
      </w:r>
      <w:r w:rsidRPr="007122AB">
        <w:rPr>
          <w:rFonts w:ascii="Times New Roman" w:hAnsi="Times New Roman"/>
          <w:color w:val="000000" w:themeColor="text1"/>
          <w:sz w:val="16"/>
          <w:szCs w:val="16"/>
        </w:rPr>
        <w:softHyphen/>
        <w:t>ря» прибыла первая пар</w:t>
      </w:r>
      <w:r w:rsidRPr="007122AB">
        <w:rPr>
          <w:rFonts w:ascii="Times New Roman" w:hAnsi="Times New Roman"/>
          <w:color w:val="000000" w:themeColor="text1"/>
          <w:sz w:val="16"/>
          <w:szCs w:val="16"/>
        </w:rPr>
        <w:softHyphen/>
        <w:t>тия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(вто</w:t>
      </w:r>
      <w:r w:rsidRPr="007122AB">
        <w:rPr>
          <w:rFonts w:ascii="Times New Roman" w:hAnsi="Times New Roman"/>
          <w:color w:val="000000" w:themeColor="text1"/>
          <w:sz w:val="16"/>
          <w:szCs w:val="16"/>
        </w:rPr>
        <w:softHyphen/>
        <w:t>рая прибудет в октябре).</w:t>
      </w:r>
    </w:p>
    <w:p w14:paraId="7F9FA9BD" w14:textId="77777777" w:rsidR="00B2577B" w:rsidRPr="007122AB" w:rsidRDefault="00B257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же время УММ РККА считало, что для отечествен</w:t>
      </w:r>
      <w:r w:rsidRPr="007122AB">
        <w:rPr>
          <w:rFonts w:ascii="Times New Roman" w:hAnsi="Times New Roman"/>
          <w:color w:val="000000" w:themeColor="text1"/>
          <w:sz w:val="16"/>
          <w:szCs w:val="16"/>
        </w:rPr>
        <w:softHyphen/>
        <w:t>ного производства больше подходит 6-колесная мо</w:t>
      </w:r>
      <w:r w:rsidRPr="007122AB">
        <w:rPr>
          <w:rFonts w:ascii="Times New Roman" w:hAnsi="Times New Roman"/>
          <w:color w:val="000000" w:themeColor="text1"/>
          <w:sz w:val="16"/>
          <w:szCs w:val="16"/>
        </w:rPr>
        <w:softHyphen/>
        <w:t>дификация Форд-АА, разработка которой не была еще завершена, и категорически настаивало на орга</w:t>
      </w:r>
      <w:r w:rsidRPr="007122AB">
        <w:rPr>
          <w:rFonts w:ascii="Times New Roman" w:hAnsi="Times New Roman"/>
          <w:color w:val="000000" w:themeColor="text1"/>
          <w:sz w:val="16"/>
          <w:szCs w:val="16"/>
        </w:rPr>
        <w:softHyphen/>
        <w:t>низации ее производства к концу 1931 г. параллель</w:t>
      </w:r>
      <w:r w:rsidRPr="007122AB">
        <w:rPr>
          <w:rFonts w:ascii="Times New Roman" w:hAnsi="Times New Roman"/>
          <w:color w:val="000000" w:themeColor="text1"/>
          <w:sz w:val="16"/>
          <w:szCs w:val="16"/>
        </w:rPr>
        <w:softHyphen/>
        <w:t>но с пуском Нижегородского завода (22518).</w:t>
      </w:r>
    </w:p>
    <w:p w14:paraId="2B3FB9D0" w14:textId="77777777" w:rsidR="00B2577B" w:rsidRPr="007122AB" w:rsidRDefault="00B2577B" w:rsidP="007122AB">
      <w:pPr>
        <w:spacing w:after="0" w:line="240" w:lineRule="auto"/>
        <w:jc w:val="both"/>
        <w:rPr>
          <w:rFonts w:ascii="Times New Roman" w:hAnsi="Times New Roman"/>
          <w:color w:val="000000" w:themeColor="text1"/>
          <w:sz w:val="16"/>
          <w:szCs w:val="16"/>
        </w:rPr>
      </w:pPr>
    </w:p>
    <w:p w14:paraId="16BDD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года ВСНХ принимает решение о начале строительства на базе халиловских руд и карагандинских углей крупного металлургического комбината. Сроки при этом ставятся достаточно ограниченные – полный запуск комбината запланирован на 1936 год. О том, как в следующие 5 лет шло строительство, известно мало. Геологи продолжали проводить исследования, однако реального возведения промышленного объекта черной металлургии не происходило. Одной из причин стали проволочки с проектированием. Только в 1933 году «Гипромез» и «Гипроруда» разработали проектное задание на строительство Халиловского металлургического завода. Предлагалось построить рудник, сортировочную фабрику, доменный, мартеновский и прокатный цехи. По всей видимости, в силу нехватки финансовых средств и рабочей силы, строительство было заморожено. На тот момент это не было случаем уникальным – точно также были заморожены проекты Бакальского (Челябинского) и Нижнетагильского меткомбинатов. Объективно страна не могла одновременно тянуть строительство полудюжины крупных металлургических производств (вместе с КМК, Магниткой, Азовсталью и т.п.).</w:t>
      </w:r>
    </w:p>
    <w:p w14:paraId="0C1E3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1936 году по приказу наркома тяжелой промышленности С. Орджоникидзе был создан трест «</w:t>
      </w:r>
      <w:proofErr w:type="spellStart"/>
      <w:r w:rsidRPr="007122AB">
        <w:rPr>
          <w:rFonts w:ascii="Times New Roman" w:hAnsi="Times New Roman"/>
          <w:color w:val="000000" w:themeColor="text1"/>
          <w:sz w:val="16"/>
          <w:szCs w:val="16"/>
        </w:rPr>
        <w:t>Орскхалилстрой</w:t>
      </w:r>
      <w:proofErr w:type="spellEnd"/>
      <w:r w:rsidRPr="007122AB">
        <w:rPr>
          <w:rFonts w:ascii="Times New Roman" w:hAnsi="Times New Roman"/>
          <w:color w:val="000000" w:themeColor="text1"/>
          <w:sz w:val="16"/>
          <w:szCs w:val="16"/>
        </w:rPr>
        <w:t>» (с 1939 года – «</w:t>
      </w:r>
      <w:proofErr w:type="spellStart"/>
      <w:r w:rsidRPr="007122AB">
        <w:rPr>
          <w:rFonts w:ascii="Times New Roman" w:hAnsi="Times New Roman"/>
          <w:color w:val="000000" w:themeColor="text1"/>
          <w:sz w:val="16"/>
          <w:szCs w:val="16"/>
        </w:rPr>
        <w:t>Южуралтяжстрой</w:t>
      </w:r>
      <w:proofErr w:type="spellEnd"/>
      <w:r w:rsidRPr="007122AB">
        <w:rPr>
          <w:rFonts w:ascii="Times New Roman" w:hAnsi="Times New Roman"/>
          <w:color w:val="000000" w:themeColor="text1"/>
          <w:sz w:val="16"/>
          <w:szCs w:val="16"/>
        </w:rPr>
        <w:t>»), которому поручалось строительство Халиловского завода. Однако на этот раз предприятие пришлось заново проектировать, поскольку речь уже шла о комбинате мощностью до 1 млн. тонн чугуна в год. Управляющим трестом был назначен С.М. Франкфурт, занимавший тогда должность уполномоченного Наркомтяжпрома по строительству в Орском районе (до этого он руководил «</w:t>
      </w:r>
      <w:proofErr w:type="spellStart"/>
      <w:r w:rsidRPr="007122AB">
        <w:rPr>
          <w:rFonts w:ascii="Times New Roman" w:hAnsi="Times New Roman"/>
          <w:color w:val="000000" w:themeColor="text1"/>
          <w:sz w:val="16"/>
          <w:szCs w:val="16"/>
        </w:rPr>
        <w:t>Кузнецкстроем</w:t>
      </w:r>
      <w:proofErr w:type="spellEnd"/>
      <w:r w:rsidRPr="007122AB">
        <w:rPr>
          <w:rFonts w:ascii="Times New Roman" w:hAnsi="Times New Roman"/>
          <w:color w:val="000000" w:themeColor="text1"/>
          <w:sz w:val="16"/>
          <w:szCs w:val="16"/>
        </w:rPr>
        <w:t>»). Тем не менее, вплоть до 1938 года не решенным оставался выбор конкретной площадки под будущий комбинат и, соответственно, с контрольными цифрами царила понятная неразбериха (11540).</w:t>
      </w:r>
    </w:p>
    <w:p w14:paraId="7DA488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237495"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г. было начато строительство трех заводов синтетического каучука в городах Ярославле, Воронеже и Ефремове, мощностью 10 тыс. тонн каучука в год каждый. Строительство велось исключительно быстрыми темпами, что можно показать по материалам строительства Ярославского завода СК (18298).</w:t>
      </w:r>
    </w:p>
    <w:p w14:paraId="673C39FD" w14:textId="77777777" w:rsidR="0069396A" w:rsidRPr="007122AB" w:rsidRDefault="0069396A" w:rsidP="007122AB">
      <w:pPr>
        <w:spacing w:after="0" w:line="240" w:lineRule="auto"/>
        <w:jc w:val="both"/>
        <w:rPr>
          <w:rFonts w:ascii="Times New Roman" w:hAnsi="Times New Roman"/>
          <w:color w:val="000000" w:themeColor="text1"/>
          <w:sz w:val="16"/>
          <w:szCs w:val="16"/>
        </w:rPr>
      </w:pPr>
    </w:p>
    <w:p w14:paraId="0C899227"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г. на совещании у начальника УСКА руководство ВЭО согласилось принять заказ на 1932 г. в объеме около 6400 радиостанций, отказавшись при этом от изготовления еще 581 радиоустановки. Сразу после образования ВЭСО в сентябре 1931 г. на специально созванном совещании были выработаны условия организации работы предприятий объединения по выполнению военных заказов. В соответствии с постановлением СТО от 12 октября 1931 г. задание ВЭСО было установлено в объеме 6000 раций различного типа (18297).</w:t>
      </w:r>
    </w:p>
    <w:p w14:paraId="14B8A395" w14:textId="77777777" w:rsidR="0069396A" w:rsidRPr="007122AB" w:rsidRDefault="0069396A" w:rsidP="007122AB">
      <w:pPr>
        <w:spacing w:after="0" w:line="240" w:lineRule="auto"/>
        <w:jc w:val="both"/>
        <w:rPr>
          <w:rFonts w:ascii="Times New Roman" w:hAnsi="Times New Roman"/>
          <w:color w:val="000000" w:themeColor="text1"/>
          <w:sz w:val="16"/>
          <w:szCs w:val="16"/>
        </w:rPr>
      </w:pPr>
    </w:p>
    <w:p w14:paraId="0A685490" w14:textId="77777777" w:rsidR="0069396A" w:rsidRPr="007122AB" w:rsidRDefault="006939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Июнь 1931 г.</w:t>
      </w:r>
    </w:p>
    <w:p w14:paraId="5F80CC16" w14:textId="77777777" w:rsidR="0069396A" w:rsidRPr="007122AB" w:rsidRDefault="006939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Докладная записка Л. К. Рамзина начальнику ЭКУ ОГПУ Г. Е. Прокофьеву о преимуществах котла новой конструкции. Июнь 1931 г.</w:t>
      </w:r>
    </w:p>
    <w:p w14:paraId="6B225589" w14:textId="77777777" w:rsidR="0069396A" w:rsidRPr="007122AB" w:rsidRDefault="006939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F38580A"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96476E" w14:textId="77777777" w:rsidR="0069396A" w:rsidRPr="007122AB" w:rsidRDefault="0069396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533F31F5"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19-13</w:t>
      </w:r>
    </w:p>
    <w:p w14:paraId="3A6C6C88" w14:textId="77777777" w:rsidR="0069396A" w:rsidRPr="007122AB" w:rsidRDefault="0069396A" w:rsidP="007122AB">
      <w:pPr>
        <w:pStyle w:val="rteright"/>
        <w:spacing w:before="0" w:after="0"/>
        <w:jc w:val="both"/>
        <w:rPr>
          <w:color w:val="000000" w:themeColor="text1"/>
          <w:sz w:val="16"/>
          <w:szCs w:val="16"/>
        </w:rPr>
      </w:pPr>
      <w:r w:rsidRPr="007122AB">
        <w:rPr>
          <w:color w:val="000000" w:themeColor="text1"/>
          <w:sz w:val="16"/>
          <w:szCs w:val="16"/>
        </w:rPr>
        <w:t>Июнь 1931 г.</w:t>
      </w:r>
    </w:p>
    <w:p w14:paraId="6C8C5FCA"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НАЧАЛЬНИКУ ЭКОНОМИЧЕСКОГО УПРАВЛЕНИЯ ОГПУ</w:t>
      </w:r>
    </w:p>
    <w:p w14:paraId="6043C609"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т. ПРОКОФЬЕВУ</w:t>
      </w:r>
    </w:p>
    <w:p w14:paraId="231138A3"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Великий лозунг — догнать и перегнать технику капиталистических стран может быть осуществлен советской промышленностью в весьма короткие сроки, если последняя в своей реконструкции будет переходить прямо к технике завтрашнего дня, перешагивая через промежуточные, переходные этапы развития мировой техники, сильно замедляющие темп ее развития, вследствие консервативного, задерживающего влияния уже имеющегося оборудования заводов, приспособленного к существующим типам и конструкциям машин, ибо переход к новой конструкции требует коренной ломки оборудования заводов и крупных капиталовложений.</w:t>
      </w:r>
    </w:p>
    <w:p w14:paraId="66B6983C"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В этом отношении советская промышленность находится в более благоприятном положении, выгоды которого можно и должно всемерно использовать.</w:t>
      </w:r>
    </w:p>
    <w:p w14:paraId="05FB1988"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Особенно отстала наша промышленность в производстве энергетического оборудования, и прежде всего котельных агрегатов, представляющих основу современных теплосиловых установок, ибо </w:t>
      </w:r>
      <w:proofErr w:type="spellStart"/>
      <w:r w:rsidRPr="007122AB">
        <w:rPr>
          <w:color w:val="000000" w:themeColor="text1"/>
          <w:sz w:val="16"/>
          <w:szCs w:val="16"/>
        </w:rPr>
        <w:t>ок</w:t>
      </w:r>
      <w:proofErr w:type="spellEnd"/>
      <w:r w:rsidRPr="007122AB">
        <w:rPr>
          <w:color w:val="000000" w:themeColor="text1"/>
          <w:sz w:val="16"/>
          <w:szCs w:val="16"/>
        </w:rPr>
        <w:t>. 50 % всей стоимости современной электростанции составляет котельная установка.</w:t>
      </w:r>
    </w:p>
    <w:p w14:paraId="0D0F20D2"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Котлы и их принадлежности, производимые советскими заводами, отмечаются устарелостью конструкций, крайне малы по мощности, строятся лишь на низкие давления, требуют громадного расхода металла и совершенно не отвечают потребностям бурно растущей энергетики страны ни по количеству[,] ни по качеству выпускаемых котлов. Вместе с тем наше котлостроение находится в громадной зависимости от заграницы ибо[,] помимо ввоза большого количества комплектных заграничных котлов[,] целый ряд деталей котлов, как-то цельнокованые барабаны, коробки перегревателей, змеевидные секции котлов, грязевики, арматура и даже кипятильные трубки так же в больших количествах ввозятся из </w:t>
      </w:r>
      <w:proofErr w:type="spellStart"/>
      <w:r w:rsidRPr="007122AB">
        <w:rPr>
          <w:color w:val="000000" w:themeColor="text1"/>
          <w:sz w:val="16"/>
          <w:szCs w:val="16"/>
        </w:rPr>
        <w:t>загранитты</w:t>
      </w:r>
      <w:proofErr w:type="spellEnd"/>
      <w:r w:rsidRPr="007122AB">
        <w:rPr>
          <w:color w:val="000000" w:themeColor="text1"/>
          <w:sz w:val="16"/>
          <w:szCs w:val="16"/>
        </w:rPr>
        <w:t>. так что для многих котлов «советского производства» этот термин совершено неправилен, ибо котел лишь собирается на советских заводах, почти целиком состоя из импортных частей и материалов.</w:t>
      </w:r>
    </w:p>
    <w:p w14:paraId="186AC46D"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На конец пятилетки намечается колоссальная программа развития котлостроения до 1 мил. кв. метров в год, которая потребует громадных капитальных затрат на оборудование котельных и металлургических заводов, а также и колоссального расхода металла на постройку опять устаревших типов котлов, которые уже бросила, бросает или завтра оставит мировая техника, почему к моменту их окончания котельные заводы окажутся уже устаревшими: их неизбежно придется переделывать, приспосабливая к новым типам котлов, ибо намеченные типы с громадным </w:t>
      </w:r>
      <w:proofErr w:type="spellStart"/>
      <w:r w:rsidRPr="007122AB">
        <w:rPr>
          <w:color w:val="000000" w:themeColor="text1"/>
          <w:sz w:val="16"/>
          <w:szCs w:val="16"/>
        </w:rPr>
        <w:t>метражем</w:t>
      </w:r>
      <w:proofErr w:type="spellEnd"/>
      <w:r w:rsidRPr="007122AB">
        <w:rPr>
          <w:color w:val="000000" w:themeColor="text1"/>
          <w:sz w:val="16"/>
          <w:szCs w:val="16"/>
        </w:rPr>
        <w:t> и весом металла будут явно невыгодны и неприемлемы для социалистического хозяйства.</w:t>
      </w:r>
    </w:p>
    <w:p w14:paraId="52FE3C8C"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Чтобы не пропали напрасно большие капиталовложения, чтобы не терять темпа и не отставать безнадежно от мирового котлостроения, необходимо теперь же немедленно перейти на новую технику в котельном деле, и строиться на производство тех типов котлов, к которым уже подходит и скоро придет мировая техника. Тогда через 1</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w:t>
      </w:r>
      <w:r w:rsidRPr="007122AB">
        <w:rPr>
          <w:color w:val="000000" w:themeColor="text1"/>
          <w:sz w:val="16"/>
          <w:szCs w:val="16"/>
        </w:rPr>
        <w:t>-2 года мы уже сможем смело сказать, что в основной отрасли энергооборудования — в котлостроении, мы не только догнали, а уже сильно перегнали мировую технику.</w:t>
      </w:r>
    </w:p>
    <w:p w14:paraId="7E65B47A"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Более 20-ти лет занимаясь вопросами теплотехники и в частности паровыми котлами, я разработал и рас[с]читал новый тип парового котла, работающий на совершенно ином принципе, чем теперешние котлы. Прежде всего, в моем котле совершенно отсутствуют барабаны, представляющие самую тяжелую и дорогую часть котла, особенно при высоких давлениях[,] когда вес и стоимость барабанов доходит до 75 % от стоимости всего котла; кроме того, до сих пор все цельнокованые барабаны (на давления в 30-35 [</w:t>
      </w:r>
      <w:proofErr w:type="spellStart"/>
      <w:r w:rsidRPr="007122AB">
        <w:rPr>
          <w:color w:val="000000" w:themeColor="text1"/>
          <w:sz w:val="16"/>
          <w:szCs w:val="16"/>
        </w:rPr>
        <w:t>ат</w:t>
      </w:r>
      <w:proofErr w:type="spellEnd"/>
      <w:r w:rsidRPr="007122AB">
        <w:rPr>
          <w:color w:val="000000" w:themeColor="text1"/>
          <w:sz w:val="16"/>
          <w:szCs w:val="16"/>
        </w:rPr>
        <w:t xml:space="preserve">.] и выше) ввозились из заграницы, ибо производство их весьма </w:t>
      </w:r>
      <w:proofErr w:type="spellStart"/>
      <w:r w:rsidRPr="007122AB">
        <w:rPr>
          <w:color w:val="000000" w:themeColor="text1"/>
          <w:sz w:val="16"/>
          <w:szCs w:val="16"/>
        </w:rPr>
        <w:t>сложн</w:t>
      </w:r>
      <w:proofErr w:type="spellEnd"/>
      <w:r w:rsidRPr="007122AB">
        <w:rPr>
          <w:color w:val="000000" w:themeColor="text1"/>
          <w:sz w:val="16"/>
          <w:szCs w:val="16"/>
        </w:rPr>
        <w:t>[о].</w:t>
      </w:r>
    </w:p>
    <w:p w14:paraId="1EC9A28F"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Далее в своем котле, путем систематического применения всех научных достижений мне удалось довести </w:t>
      </w:r>
      <w:proofErr w:type="spellStart"/>
      <w:r w:rsidRPr="007122AB">
        <w:rPr>
          <w:color w:val="000000" w:themeColor="text1"/>
          <w:sz w:val="16"/>
          <w:szCs w:val="16"/>
        </w:rPr>
        <w:t>паронапряжение</w:t>
      </w:r>
      <w:proofErr w:type="spellEnd"/>
      <w:r w:rsidRPr="007122AB">
        <w:rPr>
          <w:color w:val="000000" w:themeColor="text1"/>
          <w:sz w:val="16"/>
          <w:szCs w:val="16"/>
        </w:rPr>
        <w:t xml:space="preserve"> до 1.000 кг в час на 1 кв. м эффективной поверхности нагрева, в то время как наши современные советские котлы дают лишь 25-60 кг, а рекордные заграничные котлы не более 100-150 кг.</w:t>
      </w:r>
    </w:p>
    <w:p w14:paraId="386E13B4"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Мой котел целиком состоит лишь из тонких трубок, совершенно безопасен в смысле взрыва, крайне легок, компактен и пригоден для любого давления[,] начиная с 25 </w:t>
      </w:r>
      <w:proofErr w:type="spellStart"/>
      <w:r w:rsidRPr="007122AB">
        <w:rPr>
          <w:color w:val="000000" w:themeColor="text1"/>
          <w:sz w:val="16"/>
          <w:szCs w:val="16"/>
        </w:rPr>
        <w:t>ат</w:t>
      </w:r>
      <w:proofErr w:type="spellEnd"/>
      <w:r w:rsidRPr="007122AB">
        <w:rPr>
          <w:color w:val="000000" w:themeColor="text1"/>
          <w:sz w:val="16"/>
          <w:szCs w:val="16"/>
        </w:rPr>
        <w:t xml:space="preserve">. и до 200 </w:t>
      </w:r>
      <w:proofErr w:type="spellStart"/>
      <w:r w:rsidRPr="007122AB">
        <w:rPr>
          <w:color w:val="000000" w:themeColor="text1"/>
          <w:sz w:val="16"/>
          <w:szCs w:val="16"/>
        </w:rPr>
        <w:t>ат</w:t>
      </w:r>
      <w:proofErr w:type="spellEnd"/>
      <w:r w:rsidRPr="007122AB">
        <w:rPr>
          <w:color w:val="000000" w:themeColor="text1"/>
          <w:sz w:val="16"/>
          <w:szCs w:val="16"/>
        </w:rPr>
        <w:t>. и выше, полностью разрешая задачу высоких давлений; и в то же время мой котел крайне прост по конструкции, доступен для изготовления любому, даже слабому заводу, и целиком освобождает советскую промышленность от импорта.</w:t>
      </w:r>
    </w:p>
    <w:p w14:paraId="71F6AC5D"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Для характеристики моего котла по сравнению с существующими можно дать следующие приблизительные цифры при одинаковой паропроизводительности 100 </w:t>
      </w:r>
      <w:proofErr w:type="spellStart"/>
      <w:r w:rsidRPr="007122AB">
        <w:rPr>
          <w:color w:val="000000" w:themeColor="text1"/>
          <w:sz w:val="16"/>
          <w:szCs w:val="16"/>
        </w:rPr>
        <w:t>тн</w:t>
      </w:r>
      <w:proofErr w:type="spellEnd"/>
      <w:r w:rsidRPr="007122AB">
        <w:rPr>
          <w:color w:val="000000" w:themeColor="text1"/>
          <w:sz w:val="16"/>
          <w:szCs w:val="16"/>
        </w:rPr>
        <w:t xml:space="preserve">/час при 140 </w:t>
      </w:r>
      <w:proofErr w:type="spellStart"/>
      <w:r w:rsidRPr="007122AB">
        <w:rPr>
          <w:color w:val="000000" w:themeColor="text1"/>
          <w:sz w:val="16"/>
          <w:szCs w:val="16"/>
        </w:rPr>
        <w:t>ат</w:t>
      </w:r>
      <w:proofErr w:type="spellEnd"/>
      <w:r w:rsidRPr="007122AB">
        <w:rPr>
          <w:color w:val="000000" w:themeColor="text1"/>
          <w:sz w:val="16"/>
          <w:szCs w:val="16"/>
        </w:rPr>
        <w:t>.</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3"/>
        <w:gridCol w:w="582"/>
        <w:gridCol w:w="1313"/>
        <w:gridCol w:w="2109"/>
      </w:tblGrid>
      <w:tr w:rsidR="001002C3" w:rsidRPr="007122AB" w14:paraId="5009A82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F3F7308"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Тип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CE80"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Рамзина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AE11D" w14:textId="77777777" w:rsidR="0069396A" w:rsidRPr="007122AB" w:rsidRDefault="0069396A" w:rsidP="007122AB">
            <w:pPr>
              <w:pStyle w:val="rtecenter"/>
              <w:spacing w:before="0" w:after="0"/>
              <w:jc w:val="both"/>
              <w:rPr>
                <w:color w:val="000000" w:themeColor="text1"/>
                <w:sz w:val="16"/>
                <w:szCs w:val="16"/>
              </w:rPr>
            </w:pPr>
            <w:proofErr w:type="spellStart"/>
            <w:r w:rsidRPr="007122AB">
              <w:rPr>
                <w:color w:val="000000" w:themeColor="text1"/>
                <w:sz w:val="16"/>
                <w:szCs w:val="16"/>
              </w:rPr>
              <w:t>Бабкок</w:t>
            </w:r>
            <w:proofErr w:type="spellEnd"/>
            <w:r w:rsidRPr="007122AB">
              <w:rPr>
                <w:color w:val="000000" w:themeColor="text1"/>
                <w:sz w:val="16"/>
                <w:szCs w:val="16"/>
              </w:rPr>
              <w:t xml:space="preserve"> и </w:t>
            </w:r>
            <w:proofErr w:type="spellStart"/>
            <w:r w:rsidRPr="007122AB">
              <w:rPr>
                <w:color w:val="000000" w:themeColor="text1"/>
                <w:sz w:val="16"/>
                <w:szCs w:val="16"/>
              </w:rPr>
              <w:t>Вилькокс</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09ADC7F"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Вертикальный 3[-]барабанный</w:t>
            </w:r>
          </w:p>
        </w:tc>
      </w:tr>
      <w:tr w:rsidR="001002C3" w:rsidRPr="007122AB" w14:paraId="4A8130B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D8422CE"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Поверхность нагрева полная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800D7"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274D"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17DBA"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1000 КВ. м.</w:t>
            </w:r>
          </w:p>
        </w:tc>
      </w:tr>
      <w:tr w:rsidR="001002C3" w:rsidRPr="007122AB" w14:paraId="4A198614"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936EF44"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Вес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5D72D"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9A29"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2F54E"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 xml:space="preserve">200 </w:t>
            </w:r>
            <w:proofErr w:type="spellStart"/>
            <w:r w:rsidRPr="007122AB">
              <w:rPr>
                <w:color w:val="000000" w:themeColor="text1"/>
                <w:sz w:val="16"/>
                <w:szCs w:val="16"/>
              </w:rPr>
              <w:t>тн</w:t>
            </w:r>
            <w:proofErr w:type="spellEnd"/>
            <w:r w:rsidRPr="007122AB">
              <w:rPr>
                <w:color w:val="000000" w:themeColor="text1"/>
                <w:sz w:val="16"/>
                <w:szCs w:val="16"/>
              </w:rPr>
              <w:t>.</w:t>
            </w:r>
          </w:p>
        </w:tc>
      </w:tr>
      <w:tr w:rsidR="001002C3" w:rsidRPr="007122AB" w14:paraId="03A3140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03997D0"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В том числе вес барабанов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1EBA4"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CDB1"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4D458"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 xml:space="preserve">150 </w:t>
            </w:r>
            <w:proofErr w:type="spellStart"/>
            <w:r w:rsidRPr="007122AB">
              <w:rPr>
                <w:color w:val="000000" w:themeColor="text1"/>
                <w:sz w:val="16"/>
                <w:szCs w:val="16"/>
              </w:rPr>
              <w:t>тн</w:t>
            </w:r>
            <w:proofErr w:type="spellEnd"/>
            <w:r w:rsidRPr="007122AB">
              <w:rPr>
                <w:color w:val="000000" w:themeColor="text1"/>
                <w:sz w:val="16"/>
                <w:szCs w:val="16"/>
              </w:rPr>
              <w:t>.</w:t>
            </w:r>
          </w:p>
        </w:tc>
      </w:tr>
      <w:tr w:rsidR="001002C3" w:rsidRPr="007122AB" w14:paraId="644D730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2442524"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Себестоимость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18C54"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3978" w14:textId="77777777" w:rsidR="0069396A" w:rsidRPr="007122AB" w:rsidRDefault="0069396A" w:rsidP="007122AB">
            <w:pPr>
              <w:pStyle w:val="ae"/>
              <w:spacing w:before="0" w:after="0"/>
              <w:jc w:val="both"/>
              <w:rPr>
                <w:color w:val="000000" w:themeColor="text1"/>
                <w:sz w:val="16"/>
                <w:szCs w:val="16"/>
              </w:rPr>
            </w:pPr>
            <w:r w:rsidRPr="007122AB">
              <w:rPr>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B152" w14:textId="77777777" w:rsidR="0069396A" w:rsidRPr="007122AB" w:rsidRDefault="0069396A" w:rsidP="007122AB">
            <w:pPr>
              <w:pStyle w:val="rtecenter"/>
              <w:spacing w:before="0" w:after="0"/>
              <w:jc w:val="both"/>
              <w:rPr>
                <w:color w:val="000000" w:themeColor="text1"/>
                <w:sz w:val="16"/>
                <w:szCs w:val="16"/>
              </w:rPr>
            </w:pPr>
            <w:r w:rsidRPr="007122AB">
              <w:rPr>
                <w:color w:val="000000" w:themeColor="text1"/>
                <w:sz w:val="16"/>
                <w:szCs w:val="16"/>
              </w:rPr>
              <w:t>320 тыс. руб.</w:t>
            </w:r>
          </w:p>
        </w:tc>
      </w:tr>
    </w:tbl>
    <w:p w14:paraId="0A429E06"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38B514C9"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5EB3D3C"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C98F4F2"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2F9D311"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522DD10"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58776E4"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мой котел дает[:]</w:t>
      </w:r>
    </w:p>
    <w:p w14:paraId="68E8FEFD"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Экономию металла в 13-20 раз.</w:t>
      </w:r>
    </w:p>
    <w:p w14:paraId="4D8B1AFB"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 — в себестоимости в 11-16 раз.</w:t>
      </w:r>
    </w:p>
    <w:p w14:paraId="6C96FEAD"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Кроме того[,] благодаря компактности мой котел дает еще громадную экономию на размерах и стоимости котельных зданий.</w:t>
      </w:r>
    </w:p>
    <w:p w14:paraId="77B51779"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Я тщательно продумал и просчитал свой котел за последние месяцы и ручаюсь за отсутствие какой[-]либо существенной ошибки, тем более, что мой котел состоит из элементов, которые каждый в отдельности испытан и проверен, так что весь секрет заключается лишь в целесообразной и удачной комбинации этих элементов.</w:t>
      </w:r>
    </w:p>
    <w:p w14:paraId="79527B0F"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Кроме электростанций и котельных фабрично-заводских установок мой котел будет иметь громадное значение для флота, и особенно для боевого флота, где экономия веса играет первостепенное значение. Далее, если опыты оправдают имеющиеся литературные сообщения о возможности питания пролетных котлов обычной водой, а не чистым конденсатом, то для моего котла открывается широкое поле применения и в паровозах, тракторах, локомобилях и т. п.</w:t>
      </w:r>
    </w:p>
    <w:p w14:paraId="6C47E343"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Являясь не увлекающимся изобретателем, а специалистом, глубоко изучившим за 20 лет свое дело, я твердо убежден в том, что предлагаемый мною тип представляет собою котел близкого будущего, и что к этому типу очень скоро перейдет вся мировая техника. Не дайте же капиталистическим странам и на этот раз опередить нас и отнять приоритет, который по праву принадлежит здесь советской науке и технике. Предлагаемый мною тип котла произведет полный революционный переворот в котлостроении и энергетике и принесет неисчислимые выгоды социалистическому хозяйству и советской энергетике.</w:t>
      </w:r>
    </w:p>
    <w:p w14:paraId="1CE66213"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Своим поведением во время следствия и на процессе Промпартии я решительно и </w:t>
      </w:r>
      <w:proofErr w:type="spellStart"/>
      <w:r w:rsidRPr="007122AB">
        <w:rPr>
          <w:color w:val="000000" w:themeColor="text1"/>
          <w:sz w:val="16"/>
          <w:szCs w:val="16"/>
        </w:rPr>
        <w:t>безповоротно</w:t>
      </w:r>
      <w:proofErr w:type="spellEnd"/>
      <w:r w:rsidRPr="007122AB">
        <w:rPr>
          <w:color w:val="000000" w:themeColor="text1"/>
          <w:sz w:val="16"/>
          <w:szCs w:val="16"/>
        </w:rPr>
        <w:t xml:space="preserve"> порвал с контрреволюционными кругами, как в Союзе, так и заграницей. После того, как Советская Власть даровала мне жизнь, я твердо и навсегда решил посвятить ее целиком на активную борьбу с </w:t>
      </w:r>
      <w:proofErr w:type="spellStart"/>
      <w:r w:rsidRPr="007122AB">
        <w:rPr>
          <w:color w:val="000000" w:themeColor="text1"/>
          <w:sz w:val="16"/>
          <w:szCs w:val="16"/>
        </w:rPr>
        <w:t>контр-революцией</w:t>
      </w:r>
      <w:proofErr w:type="spellEnd"/>
      <w:r w:rsidRPr="007122AB">
        <w:rPr>
          <w:color w:val="000000" w:themeColor="text1"/>
          <w:sz w:val="16"/>
          <w:szCs w:val="16"/>
        </w:rPr>
        <w:t xml:space="preserve"> и на социалистическое строительство. Принося Советскому Союзу свое изобретение[,] являющееся завершением моей многолетней научной работы, я хочу на деле искупить хотя бы частично тот вред, который принесла моя позорная деятельность в Промпартии и прошу ВАС предоставить мне возможность проработать и построить мой котел.</w:t>
      </w:r>
    </w:p>
    <w:p w14:paraId="4D4D398F"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Для этого мне необходимо лишь иметь небольшую группу конструкторов в 3-4 человека, знакомых с котельным делом, из известных мне лиц здесь наиболее подходящими являются Н. В. </w:t>
      </w:r>
      <w:proofErr w:type="spellStart"/>
      <w:r w:rsidRPr="007122AB">
        <w:rPr>
          <w:color w:val="000000" w:themeColor="text1"/>
          <w:sz w:val="16"/>
          <w:szCs w:val="16"/>
        </w:rPr>
        <w:t>Цейц</w:t>
      </w:r>
      <w:proofErr w:type="spellEnd"/>
      <w:r w:rsidRPr="007122AB">
        <w:rPr>
          <w:color w:val="000000" w:themeColor="text1"/>
          <w:sz w:val="16"/>
          <w:szCs w:val="16"/>
        </w:rPr>
        <w:t>, Н. Н. Ревокатов, Ю. О. Нови и кто[-]</w:t>
      </w:r>
      <w:proofErr w:type="spellStart"/>
      <w:r w:rsidRPr="007122AB">
        <w:rPr>
          <w:color w:val="000000" w:themeColor="text1"/>
          <w:sz w:val="16"/>
          <w:szCs w:val="16"/>
        </w:rPr>
        <w:t>нибудь</w:t>
      </w:r>
      <w:proofErr w:type="spellEnd"/>
      <w:r w:rsidRPr="007122AB">
        <w:rPr>
          <w:color w:val="000000" w:themeColor="text1"/>
          <w:sz w:val="16"/>
          <w:szCs w:val="16"/>
        </w:rPr>
        <w:t xml:space="preserve"> из молодых инженеров конструкторов, например: Титов[.] Далее необходимо определить завод для постройки первого небольшого опытного котла и обеспечить нашей группе тесную связь с ним, перебросив ее на завод. Здесь из Московских котельных заводов наиболее подходит </w:t>
      </w:r>
      <w:proofErr w:type="spellStart"/>
      <w:r w:rsidRPr="007122AB">
        <w:rPr>
          <w:color w:val="000000" w:themeColor="text1"/>
          <w:sz w:val="16"/>
          <w:szCs w:val="16"/>
        </w:rPr>
        <w:t>Парострой</w:t>
      </w:r>
      <w:proofErr w:type="spellEnd"/>
      <w:r w:rsidRPr="007122AB">
        <w:rPr>
          <w:color w:val="000000" w:themeColor="text1"/>
          <w:sz w:val="16"/>
          <w:szCs w:val="16"/>
        </w:rPr>
        <w:t>. Для связи с внешним миром, получения литературы, необходимых справок, консультаций и т. п. необходимо поручить постоянное наблюдение за нашей группой одному сотруднику О ГПУ, желательно техник[у] или еще лучше инженер[у]. Наконец необходимо срочно сделать запрос заграницу на арматуру высокого давления, для опытного котла (ибо ее нельзя достать в СССР) и далее обеспечить заказ и срочное получение этой арматуры, которая будет стоить немного. Необходимо заказать нужное советское оборудование. И наконец самое главное, это получить Вашу личную поддержку и помощь в смысле ускорения всего дела.</w:t>
      </w:r>
    </w:p>
    <w:p w14:paraId="26A607CE"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 xml:space="preserve">При наличии этих условий я даю обязательство в 1/2 года спроектировать и построить первый небольшой опытный котел, который затем целесообразнее всего поставить в Теплотехнический институт, </w:t>
      </w:r>
      <w:proofErr w:type="spellStart"/>
      <w:r w:rsidRPr="007122AB">
        <w:rPr>
          <w:color w:val="000000" w:themeColor="text1"/>
          <w:sz w:val="16"/>
          <w:szCs w:val="16"/>
        </w:rPr>
        <w:t>вследствии</w:t>
      </w:r>
      <w:proofErr w:type="spellEnd"/>
      <w:r w:rsidRPr="007122AB">
        <w:rPr>
          <w:color w:val="000000" w:themeColor="text1"/>
          <w:sz w:val="16"/>
          <w:szCs w:val="16"/>
        </w:rPr>
        <w:t xml:space="preserve"> наличия там подходящего оборудования и приборов. Затем в течении нескольких месяцев (3-4 месяцев) я берусь провести все необходимые опыты, выяснить отдельные детали и дать в результате работы проект промышленного котла для его серийного производства. Таким образом, менее чем в 1 год вся работа может быть закончена и Советское котлостроение получит не устаревший бросаемый тип котла, а котел будущего. Если Вы </w:t>
      </w:r>
      <w:r w:rsidRPr="007122AB">
        <w:rPr>
          <w:color w:val="000000" w:themeColor="text1"/>
          <w:sz w:val="16"/>
          <w:szCs w:val="16"/>
        </w:rPr>
        <w:lastRenderedPageBreak/>
        <w:t>поддержите меня в этом деле и создадите необходимые условия для работы, я с полной ответственностью заявляю, что уже через 1</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 — </w:t>
      </w:r>
      <w:r w:rsidRPr="007122AB">
        <w:rPr>
          <w:color w:val="000000" w:themeColor="text1"/>
          <w:sz w:val="16"/>
          <w:szCs w:val="16"/>
        </w:rPr>
        <w:t xml:space="preserve">2 года, т. е. </w:t>
      </w:r>
      <w:proofErr w:type="spellStart"/>
      <w:r w:rsidRPr="007122AB">
        <w:rPr>
          <w:color w:val="000000" w:themeColor="text1"/>
          <w:sz w:val="16"/>
          <w:szCs w:val="16"/>
        </w:rPr>
        <w:t>еше</w:t>
      </w:r>
      <w:proofErr w:type="spellEnd"/>
      <w:r w:rsidRPr="007122AB">
        <w:rPr>
          <w:color w:val="000000" w:themeColor="text1"/>
          <w:sz w:val="16"/>
          <w:szCs w:val="16"/>
        </w:rPr>
        <w:t xml:space="preserve"> в пределах текущей пятилетки мы перегоним в котельном деле мировую технику, дадим социалистической промышленности громадные выгоды в виде колос[с]</w:t>
      </w:r>
      <w:proofErr w:type="spellStart"/>
      <w:r w:rsidRPr="007122AB">
        <w:rPr>
          <w:color w:val="000000" w:themeColor="text1"/>
          <w:sz w:val="16"/>
          <w:szCs w:val="16"/>
        </w:rPr>
        <w:t>альной</w:t>
      </w:r>
      <w:proofErr w:type="spellEnd"/>
      <w:r w:rsidRPr="007122AB">
        <w:rPr>
          <w:color w:val="000000" w:themeColor="text1"/>
          <w:sz w:val="16"/>
          <w:szCs w:val="16"/>
        </w:rPr>
        <w:t xml:space="preserve"> экономии металла, введения сверхвысоких давлений и полного освобождения от заграничной зависимости.</w:t>
      </w:r>
    </w:p>
    <w:p w14:paraId="4A86300B"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Я горю желанием загладить свои преступления и принести максимальную пользу социалистическому строительству и даю обещание работать изо всех сил, отдавая все мои знания и опыт. Окажите только мне Вашу поддержку в этом деле.</w:t>
      </w:r>
    </w:p>
    <w:p w14:paraId="18EDF768"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Л. РАМЗИН</w:t>
      </w:r>
    </w:p>
    <w:p w14:paraId="7C390959" w14:textId="77777777" w:rsidR="0069396A" w:rsidRPr="007122AB" w:rsidRDefault="0069396A" w:rsidP="007122AB">
      <w:pPr>
        <w:pStyle w:val="rtejustify"/>
        <w:spacing w:before="0" w:after="0"/>
        <w:rPr>
          <w:color w:val="000000" w:themeColor="text1"/>
          <w:sz w:val="16"/>
          <w:szCs w:val="16"/>
        </w:rPr>
      </w:pPr>
      <w:r w:rsidRPr="007122AB">
        <w:rPr>
          <w:color w:val="000000" w:themeColor="text1"/>
          <w:sz w:val="16"/>
          <w:szCs w:val="16"/>
        </w:rPr>
        <w:t>Июня 1931 г.</w:t>
      </w:r>
    </w:p>
    <w:p w14:paraId="3328A0DB" w14:textId="77777777" w:rsidR="0069396A" w:rsidRPr="007122AB" w:rsidRDefault="0069396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2. Л. 19-13. Машинописная копия того времени (обратная нумерация листов). Число в дате отсутствует. Некоторые фрагменты текста выделены (отчеркнуты вертикально на поле слева, подчеркнуты). В частности, на Л. 17 выделен вертикальной чертой (простой карандаш) на поле слева абзац «Далее в своем котле, путем систематического применения всех научных достижений мне удалось довести </w:t>
      </w:r>
      <w:proofErr w:type="spellStart"/>
      <w:r w:rsidRPr="007122AB">
        <w:rPr>
          <w:rStyle w:val="af0"/>
          <w:i w:val="0"/>
          <w:color w:val="000000" w:themeColor="text1"/>
          <w:sz w:val="16"/>
          <w:szCs w:val="16"/>
        </w:rPr>
        <w:t>паронапряжение</w:t>
      </w:r>
      <w:proofErr w:type="spellEnd"/>
      <w:r w:rsidRPr="007122AB">
        <w:rPr>
          <w:rStyle w:val="af0"/>
          <w:i w:val="0"/>
          <w:color w:val="000000" w:themeColor="text1"/>
          <w:sz w:val="16"/>
          <w:szCs w:val="16"/>
        </w:rPr>
        <w:t xml:space="preserve"> до 1.000 кг в час на 1 кв. м эффективной поверхности нагрева, в то время как наши современные советские котлы дают лишь 25-60 кг., а рекордные заграничные котлы не более 100-150 кг». На Л. 15 выделены вертикальной чертой (зеленый карандаш) на поле слева и помечены знаком «X» два абзаца: «Являясь не увлекающимся изобретателем, а специалистом, глубоко изучившим за 20 лет свое дело, я твердо убежден в том, что предлагаемый мною тип представляет собою котел близкого будущего, и что к этому типу очень скоро перейдет вся мировая техника. [...] Принося Советскому Союзу свое изобретение[,] являющееся завершением моей многолетней научной работы, я хочу на деле искупить хотя бы частично тот вред, который принесла моя позорная деятельность в Промпартии и прошу ВАС предоставить мне возможность проработать и построить мой котел». Ниже отчеркнут синим карандашом текст «Для этого мне необходимо лишь иметь небольшую группу конструкторов в 3-4 человека, знакомых -с котельным делом, из известных мне лиц здесь наиболее подходящими являются Н. В. </w:t>
      </w:r>
      <w:proofErr w:type="spellStart"/>
      <w:r w:rsidRPr="007122AB">
        <w:rPr>
          <w:rStyle w:val="af0"/>
          <w:i w:val="0"/>
          <w:color w:val="000000" w:themeColor="text1"/>
          <w:sz w:val="16"/>
          <w:szCs w:val="16"/>
        </w:rPr>
        <w:t>Цейц</w:t>
      </w:r>
      <w:proofErr w:type="spellEnd"/>
      <w:r w:rsidRPr="007122AB">
        <w:rPr>
          <w:rStyle w:val="af0"/>
          <w:i w:val="0"/>
          <w:color w:val="000000" w:themeColor="text1"/>
          <w:sz w:val="16"/>
          <w:szCs w:val="16"/>
        </w:rPr>
        <w:t>, Н. Н. Ревокатов, Ю. О. Нови». На Л. 13 выделен вертикальной чертой (красный карандаш) на поле слева последний абзац, подчеркнуты слова «мои знания и опыт» (19066).</w:t>
      </w:r>
    </w:p>
    <w:p w14:paraId="38AFBF69" w14:textId="77777777" w:rsidR="0069396A" w:rsidRPr="007122AB" w:rsidRDefault="0069396A" w:rsidP="007122AB">
      <w:pPr>
        <w:spacing w:after="0" w:line="240" w:lineRule="auto"/>
        <w:jc w:val="both"/>
        <w:rPr>
          <w:rFonts w:ascii="Times New Roman" w:hAnsi="Times New Roman"/>
          <w:color w:val="000000" w:themeColor="text1"/>
          <w:sz w:val="16"/>
          <w:szCs w:val="16"/>
        </w:rPr>
      </w:pPr>
    </w:p>
    <w:p w14:paraId="494EEE6B"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Июньский 1931 Пленум ЦК ВКП (б) перевел </w:t>
      </w:r>
      <w:proofErr w:type="spellStart"/>
      <w:r w:rsidRPr="007122AB">
        <w:rPr>
          <w:rFonts w:ascii="Times New Roman" w:hAnsi="Times New Roman"/>
          <w:color w:val="000000" w:themeColor="text1"/>
          <w:sz w:val="16"/>
          <w:szCs w:val="16"/>
        </w:rPr>
        <w:t>теплозостроение</w:t>
      </w:r>
      <w:proofErr w:type="spellEnd"/>
      <w:r w:rsidRPr="007122AB">
        <w:rPr>
          <w:rFonts w:ascii="Times New Roman" w:hAnsi="Times New Roman"/>
          <w:color w:val="000000" w:themeColor="text1"/>
          <w:sz w:val="16"/>
          <w:szCs w:val="16"/>
        </w:rPr>
        <w:t xml:space="preserve"> на новые рельсы — на линию массовой, серийной постройки тепловозов и наметил к переводу на тепловозы целы е железнодорожные безводные линии Красноводск— Чарджоу , Сальск— Батайск, Сталинград— Тихорецкая. По решению Пленума ЦК ВКП (б ) 1931 г. советская </w:t>
      </w:r>
      <w:proofErr w:type="spellStart"/>
      <w:r w:rsidRPr="007122AB">
        <w:rPr>
          <w:rFonts w:ascii="Times New Roman" w:hAnsi="Times New Roman"/>
          <w:color w:val="000000" w:themeColor="text1"/>
          <w:sz w:val="16"/>
          <w:szCs w:val="16"/>
        </w:rPr>
        <w:t>промыш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ленность</w:t>
      </w:r>
      <w:proofErr w:type="spellEnd"/>
      <w:r w:rsidRPr="007122AB">
        <w:rPr>
          <w:rFonts w:ascii="Times New Roman" w:hAnsi="Times New Roman"/>
          <w:color w:val="000000" w:themeColor="text1"/>
          <w:sz w:val="16"/>
          <w:szCs w:val="16"/>
        </w:rPr>
        <w:t xml:space="preserve"> на базе Коломенского завода в кооперации с заводам и электропромышленности приступила к изготовлению серии </w:t>
      </w:r>
      <w:proofErr w:type="spellStart"/>
      <w:r w:rsidRPr="007122AB">
        <w:rPr>
          <w:rFonts w:ascii="Times New Roman" w:hAnsi="Times New Roman"/>
          <w:color w:val="000000" w:themeColor="text1"/>
          <w:sz w:val="16"/>
          <w:szCs w:val="16"/>
        </w:rPr>
        <w:t>грузовы</w:t>
      </w:r>
      <w:proofErr w:type="spellEnd"/>
      <w:r w:rsidRPr="007122AB">
        <w:rPr>
          <w:rFonts w:ascii="Times New Roman" w:hAnsi="Times New Roman"/>
          <w:color w:val="000000" w:themeColor="text1"/>
          <w:sz w:val="16"/>
          <w:szCs w:val="16"/>
        </w:rPr>
        <w:t xml:space="preserve"> х тепловозов Э=&gt;" типа 2-5о-1 </w:t>
      </w:r>
      <w:proofErr w:type="spellStart"/>
      <w:r w:rsidRPr="007122AB">
        <w:rPr>
          <w:rFonts w:ascii="Times New Roman" w:hAnsi="Times New Roman"/>
          <w:color w:val="000000" w:themeColor="text1"/>
          <w:sz w:val="16"/>
          <w:szCs w:val="16"/>
        </w:rPr>
        <w:t>мощ</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rPr>
        <w:softHyphen/>
        <w:t xml:space="preserve"> </w:t>
      </w:r>
      <w:proofErr w:type="spellStart"/>
      <w:r w:rsidRPr="007122AB">
        <w:rPr>
          <w:rFonts w:ascii="Times New Roman" w:hAnsi="Times New Roman"/>
          <w:color w:val="000000" w:themeColor="text1"/>
          <w:sz w:val="16"/>
          <w:szCs w:val="16"/>
        </w:rPr>
        <w:t>ностью</w:t>
      </w:r>
      <w:proofErr w:type="spellEnd"/>
      <w:r w:rsidRPr="007122AB">
        <w:rPr>
          <w:rFonts w:ascii="Times New Roman" w:hAnsi="Times New Roman"/>
          <w:color w:val="000000" w:themeColor="text1"/>
          <w:sz w:val="16"/>
          <w:szCs w:val="16"/>
        </w:rPr>
        <w:t xml:space="preserve"> 1050 л. с. В этот ж е период были заказан ы и построены в Германии по проектам тепловозной комиссии НКПС тепловозы серии Э®^5 (типа 2-5о-1 мощностью 1000 л. с.) и Э'’''’8 (типа 2-5о-1) с двум я </w:t>
      </w:r>
      <w:proofErr w:type="spellStart"/>
      <w:r w:rsidRPr="007122AB">
        <w:rPr>
          <w:rFonts w:ascii="Times New Roman" w:hAnsi="Times New Roman"/>
          <w:color w:val="000000" w:themeColor="text1"/>
          <w:sz w:val="16"/>
          <w:szCs w:val="16"/>
        </w:rPr>
        <w:t>дизельгенераторными</w:t>
      </w:r>
      <w:proofErr w:type="spellEnd"/>
      <w:r w:rsidRPr="007122AB">
        <w:rPr>
          <w:rFonts w:ascii="Times New Roman" w:hAnsi="Times New Roman"/>
          <w:color w:val="000000" w:themeColor="text1"/>
          <w:sz w:val="16"/>
          <w:szCs w:val="16"/>
        </w:rPr>
        <w:t xml:space="preserve"> установкам и общей мощностью 2</w:t>
      </w:r>
      <w:r w:rsidRPr="007122AB">
        <w:rPr>
          <w:rFonts w:ascii="Times New Roman" w:hAnsi="Times New Roman"/>
          <w:color w:val="000000" w:themeColor="text1"/>
          <w:sz w:val="16"/>
          <w:szCs w:val="16"/>
          <w:lang w:val="en-US"/>
        </w:rPr>
        <w:t>x</w:t>
      </w:r>
      <w:r w:rsidRPr="007122AB">
        <w:rPr>
          <w:rFonts w:ascii="Times New Roman" w:hAnsi="Times New Roman"/>
          <w:color w:val="000000" w:themeColor="text1"/>
          <w:sz w:val="16"/>
          <w:szCs w:val="16"/>
        </w:rPr>
        <w:t xml:space="preserve">825 л. с. По </w:t>
      </w:r>
      <w:proofErr w:type="spellStart"/>
      <w:r w:rsidRPr="007122AB">
        <w:rPr>
          <w:rFonts w:ascii="Times New Roman" w:hAnsi="Times New Roman"/>
          <w:color w:val="000000" w:themeColor="text1"/>
          <w:sz w:val="16"/>
          <w:szCs w:val="16"/>
        </w:rPr>
        <w:t>проектуинж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енеров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Локомотивопроекта</w:t>
      </w:r>
      <w:proofErr w:type="spellEnd"/>
      <w:r w:rsidRPr="007122AB">
        <w:rPr>
          <w:rFonts w:ascii="Times New Roman" w:hAnsi="Times New Roman"/>
          <w:color w:val="000000" w:themeColor="text1"/>
          <w:sz w:val="16"/>
          <w:szCs w:val="16"/>
        </w:rPr>
        <w:t xml:space="preserve">» был построен в Коломне в 1934 г. сочлененный двухсекционный тепловоз ВМ типа 2-4о-1 + 1 -4о-2 </w:t>
      </w:r>
      <w:proofErr w:type="spellStart"/>
      <w:r w:rsidRPr="007122AB">
        <w:rPr>
          <w:rFonts w:ascii="Times New Roman" w:hAnsi="Times New Roman"/>
          <w:color w:val="000000" w:themeColor="text1"/>
          <w:sz w:val="16"/>
          <w:szCs w:val="16"/>
        </w:rPr>
        <w:t>мощ</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ностью</w:t>
      </w:r>
      <w:proofErr w:type="spellEnd"/>
      <w:r w:rsidRPr="007122AB">
        <w:rPr>
          <w:rFonts w:ascii="Times New Roman" w:hAnsi="Times New Roman"/>
          <w:color w:val="000000" w:themeColor="text1"/>
          <w:sz w:val="16"/>
          <w:szCs w:val="16"/>
        </w:rPr>
        <w:t xml:space="preserve"> 2100 л. с. Эту машину сделали коломенцы в подарок XVII съезду ВКП (б). С сентября 1931 г. на участках Ашхабад—</w:t>
      </w:r>
      <w:proofErr w:type="spellStart"/>
      <w:r w:rsidRPr="007122AB">
        <w:rPr>
          <w:rFonts w:ascii="Times New Roman" w:hAnsi="Times New Roman"/>
          <w:color w:val="000000" w:themeColor="text1"/>
          <w:sz w:val="16"/>
          <w:szCs w:val="16"/>
        </w:rPr>
        <w:t>Душак</w:t>
      </w:r>
      <w:proofErr w:type="spellEnd"/>
      <w:r w:rsidRPr="007122AB">
        <w:rPr>
          <w:rFonts w:ascii="Times New Roman" w:hAnsi="Times New Roman"/>
          <w:color w:val="000000" w:themeColor="text1"/>
          <w:sz w:val="16"/>
          <w:szCs w:val="16"/>
        </w:rPr>
        <w:t xml:space="preserve"> и Ашхабад— </w:t>
      </w:r>
      <w:proofErr w:type="spellStart"/>
      <w:r w:rsidRPr="007122AB">
        <w:rPr>
          <w:rFonts w:ascii="Times New Roman" w:hAnsi="Times New Roman"/>
          <w:color w:val="000000" w:themeColor="text1"/>
          <w:sz w:val="16"/>
          <w:szCs w:val="16"/>
        </w:rPr>
        <w:t>Бами</w:t>
      </w:r>
      <w:proofErr w:type="spellEnd"/>
      <w:r w:rsidRPr="007122AB">
        <w:rPr>
          <w:rFonts w:ascii="Times New Roman" w:hAnsi="Times New Roman"/>
          <w:color w:val="000000" w:themeColor="text1"/>
          <w:sz w:val="16"/>
          <w:szCs w:val="16"/>
        </w:rPr>
        <w:t xml:space="preserve"> впервые в мировой практике началось регулярное </w:t>
      </w:r>
      <w:proofErr w:type="spellStart"/>
      <w:r w:rsidRPr="007122AB">
        <w:rPr>
          <w:rFonts w:ascii="Times New Roman" w:hAnsi="Times New Roman"/>
          <w:color w:val="000000" w:themeColor="text1"/>
          <w:sz w:val="16"/>
          <w:szCs w:val="16"/>
        </w:rPr>
        <w:t>обслуж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ивание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грузовы</w:t>
      </w:r>
      <w:proofErr w:type="spellEnd"/>
      <w:r w:rsidRPr="007122AB">
        <w:rPr>
          <w:rFonts w:ascii="Times New Roman" w:hAnsi="Times New Roman"/>
          <w:color w:val="000000" w:themeColor="text1"/>
          <w:sz w:val="16"/>
          <w:szCs w:val="16"/>
        </w:rPr>
        <w:t xml:space="preserve"> х и пассаж </w:t>
      </w:r>
      <w:proofErr w:type="spellStart"/>
      <w:r w:rsidRPr="007122AB">
        <w:rPr>
          <w:rFonts w:ascii="Times New Roman" w:hAnsi="Times New Roman"/>
          <w:color w:val="000000" w:themeColor="text1"/>
          <w:sz w:val="16"/>
          <w:szCs w:val="16"/>
        </w:rPr>
        <w:t>ирских</w:t>
      </w:r>
      <w:proofErr w:type="spellEnd"/>
      <w:r w:rsidRPr="007122AB">
        <w:rPr>
          <w:rFonts w:ascii="Times New Roman" w:hAnsi="Times New Roman"/>
          <w:color w:val="000000" w:themeColor="text1"/>
          <w:sz w:val="16"/>
          <w:szCs w:val="16"/>
        </w:rPr>
        <w:t xml:space="preserve"> поездов тепловозами. Тепловозы Э^-’^2 и Э “ ^’3 блестяще выдержали в 1931 г. испытания на Среднеазиатской магистрали. 3 сентября 1931 г. газета «Известия» писала: «Ташкент, 2 сентября (от наш. корр.). На участке Чарджоу — К </w:t>
      </w:r>
      <w:proofErr w:type="spellStart"/>
      <w:r w:rsidRPr="007122AB">
        <w:rPr>
          <w:rFonts w:ascii="Times New Roman" w:hAnsi="Times New Roman"/>
          <w:color w:val="000000" w:themeColor="text1"/>
          <w:sz w:val="16"/>
          <w:szCs w:val="16"/>
        </w:rPr>
        <w:t>расноводск</w:t>
      </w:r>
      <w:proofErr w:type="spellEnd"/>
      <w:r w:rsidRPr="007122AB">
        <w:rPr>
          <w:rFonts w:ascii="Times New Roman" w:hAnsi="Times New Roman"/>
          <w:color w:val="000000" w:themeColor="text1"/>
          <w:sz w:val="16"/>
          <w:szCs w:val="16"/>
        </w:rPr>
        <w:t xml:space="preserve"> Среднеазиатской железной дороги производятся опыты по введению тепловозной тяги. Тепловоз Э ” ^3 с механической передачей работает блестяще. Сейчас на участке Чарджоу — Красноводск отправился тепловоз Э=&gt;''2 с электрической передачей. Тепловоз возит тяж елы е составы».</w:t>
      </w:r>
    </w:p>
    <w:p w14:paraId="741D5F73"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1936 г. на советских дорогах находилось в эксплуатации около 20 тепловозов, из них 8 — ВМ. В 1937 г. в Ашхабаде было построено первое специализированное тепловозное депо, позднее </w:t>
      </w:r>
      <w:proofErr w:type="spellStart"/>
      <w:r w:rsidRPr="007122AB">
        <w:rPr>
          <w:rFonts w:ascii="Times New Roman" w:hAnsi="Times New Roman"/>
          <w:color w:val="000000" w:themeColor="text1"/>
          <w:sz w:val="16"/>
          <w:szCs w:val="16"/>
        </w:rPr>
        <w:t>преобразованноев</w:t>
      </w:r>
      <w:proofErr w:type="spellEnd"/>
      <w:r w:rsidRPr="007122AB">
        <w:rPr>
          <w:rFonts w:ascii="Times New Roman" w:hAnsi="Times New Roman"/>
          <w:color w:val="000000" w:themeColor="text1"/>
          <w:sz w:val="16"/>
          <w:szCs w:val="16"/>
        </w:rPr>
        <w:t xml:space="preserve"> Тепловозоремонтные мастерские. К 1940 г. из 106186 км протяженности железных дорог тепловозам и обслуживалось всего лишь 335 км, т. е. 0,32 %. С 1932 по 1937 г. бы </w:t>
      </w:r>
      <w:proofErr w:type="spellStart"/>
      <w:r w:rsidRPr="007122AB">
        <w:rPr>
          <w:rFonts w:ascii="Times New Roman" w:hAnsi="Times New Roman"/>
          <w:color w:val="000000" w:themeColor="text1"/>
          <w:sz w:val="16"/>
          <w:szCs w:val="16"/>
        </w:rPr>
        <w:t>ло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выпущ</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ено</w:t>
      </w:r>
      <w:proofErr w:type="spellEnd"/>
      <w:r w:rsidRPr="007122AB">
        <w:rPr>
          <w:rFonts w:ascii="Times New Roman" w:hAnsi="Times New Roman"/>
          <w:color w:val="000000" w:themeColor="text1"/>
          <w:sz w:val="16"/>
          <w:szCs w:val="16"/>
        </w:rPr>
        <w:t xml:space="preserve"> 29 грузовых тепловозов, незадолго до Великой Отечественной войны постройка тепловозов (с 1937 г.) прекратилась. На линиях, где испытывались затруднения со снабжением водой, вместо хорошо приспособленных к безводным условиям тепловозов начали работать ненадежные и громоздкие паровозы СО " с конденсацией пара. Такая ошибочная тенденция в локомотивостроении дорого обошлась транспорту и народному хозяйству в целом. И все же дизельная тяга настойчиво и планомерно </w:t>
      </w:r>
      <w:proofErr w:type="spellStart"/>
      <w:r w:rsidRPr="007122AB">
        <w:rPr>
          <w:rFonts w:ascii="Times New Roman" w:hAnsi="Times New Roman"/>
          <w:color w:val="000000" w:themeColor="text1"/>
          <w:sz w:val="16"/>
          <w:szCs w:val="16"/>
        </w:rPr>
        <w:t>проби</w:t>
      </w:r>
      <w:proofErr w:type="spellEnd"/>
      <w:r w:rsidRPr="007122AB">
        <w:rPr>
          <w:rFonts w:ascii="Times New Roman" w:hAnsi="Times New Roman"/>
          <w:color w:val="000000" w:themeColor="text1"/>
          <w:sz w:val="16"/>
          <w:szCs w:val="16"/>
        </w:rPr>
        <w:t xml:space="preserve"> вала себе дорогу. Здесь уместно отметить, что большую роль тепловозы сыграли в осуществлении перевозок в годы Великой О </w:t>
      </w:r>
      <w:proofErr w:type="spellStart"/>
      <w:r w:rsidRPr="007122AB">
        <w:rPr>
          <w:rFonts w:ascii="Times New Roman" w:hAnsi="Times New Roman"/>
          <w:color w:val="000000" w:themeColor="text1"/>
          <w:sz w:val="16"/>
          <w:szCs w:val="16"/>
        </w:rPr>
        <w:t>течественной</w:t>
      </w:r>
      <w:proofErr w:type="spellEnd"/>
      <w:r w:rsidRPr="007122AB">
        <w:rPr>
          <w:rFonts w:ascii="Times New Roman" w:hAnsi="Times New Roman"/>
          <w:color w:val="000000" w:themeColor="text1"/>
          <w:sz w:val="16"/>
          <w:szCs w:val="16"/>
        </w:rPr>
        <w:t xml:space="preserve"> войны, особенно в период когда Ташкентская и Ашхабадская дороги остались единственной транспортной связью Закавказья с Центром страны. После войны, с 1946 г., тепловозостроение было восстановлено (19607).</w:t>
      </w:r>
    </w:p>
    <w:p w14:paraId="25E3C427" w14:textId="77777777" w:rsidR="0069396A" w:rsidRPr="007122AB" w:rsidRDefault="0069396A" w:rsidP="007122AB">
      <w:pPr>
        <w:spacing w:after="0" w:line="240" w:lineRule="auto"/>
        <w:jc w:val="both"/>
        <w:rPr>
          <w:rFonts w:ascii="Times New Roman" w:hAnsi="Times New Roman"/>
          <w:color w:val="000000" w:themeColor="text1"/>
          <w:sz w:val="16"/>
          <w:szCs w:val="16"/>
        </w:rPr>
      </w:pPr>
    </w:p>
    <w:p w14:paraId="2DE8CBE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6E4596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46AC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1926 г. на Черном море сформировали 1-ю отдельную морскую миноносную авиаэскадрилью на самолетах ЮГ-1. Поскольку мины в том году на вооружение так и не были приняты, в октябре эскадрилью переименовали в 60-ю морскую разведывательную. В результате до весны 1931 г. торпедоносцами в ВВС РККА числились только те 2-3 машины ("</w:t>
      </w:r>
      <w:proofErr w:type="spellStart"/>
      <w:r w:rsidRPr="007122AB">
        <w:rPr>
          <w:rFonts w:ascii="Times New Roman" w:hAnsi="Times New Roman"/>
          <w:color w:val="000000" w:themeColor="text1"/>
          <w:sz w:val="16"/>
          <w:szCs w:val="16"/>
        </w:rPr>
        <w:t>Хэнли</w:t>
      </w:r>
      <w:proofErr w:type="spellEnd"/>
      <w:r w:rsidRPr="007122AB">
        <w:rPr>
          <w:rFonts w:ascii="Times New Roman" w:hAnsi="Times New Roman"/>
          <w:color w:val="000000" w:themeColor="text1"/>
          <w:sz w:val="16"/>
          <w:szCs w:val="16"/>
        </w:rPr>
        <w:t xml:space="preserve">", затем ЮГ-1 и ТБ-1), которые были переданы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для проведения полигонных испытаний. Когда весной 1931 г. системы были доработаны настолько, что настала пора выдвигать их на войсковые испытания, выяснилось, что провести их возможно только при условии перевода самолетов и летчиков ОТБ в строевые части. В мае НИИ ВВС внес предложение организовать в составе 9-й авиабригады на Черном море "торпедную ячейку", куда вошел бы ТБ-1, имевшийся в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и еще один самолет данного типа, наряженный для Воздушных сил Черного моря. 25 мая начальник ВВС РККА Я.И. Алкснис утвердил предложение, и без проволочек черноморцам в тот же день выделили новенькую машину. В июле "ячейку" переименовали в торпедный отряд, который использовали для испытаний нового оружия (12002).</w:t>
      </w:r>
    </w:p>
    <w:p w14:paraId="5F544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9E1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г. </w:t>
      </w:r>
      <w:proofErr w:type="spellStart"/>
      <w:r w:rsidRPr="007122AB">
        <w:rPr>
          <w:rFonts w:ascii="Times New Roman" w:hAnsi="Times New Roman"/>
          <w:color w:val="000000" w:themeColor="text1"/>
          <w:sz w:val="16"/>
          <w:szCs w:val="16"/>
        </w:rPr>
        <w:t>Муклевич</w:t>
      </w:r>
      <w:proofErr w:type="spellEnd"/>
      <w:r w:rsidRPr="007122AB">
        <w:rPr>
          <w:rFonts w:ascii="Times New Roman" w:hAnsi="Times New Roman"/>
          <w:color w:val="000000" w:themeColor="text1"/>
          <w:sz w:val="16"/>
          <w:szCs w:val="16"/>
        </w:rPr>
        <w:t>, "пригревший” у се</w:t>
      </w:r>
      <w:r w:rsidRPr="007122AB">
        <w:rPr>
          <w:rFonts w:ascii="Times New Roman" w:hAnsi="Times New Roman"/>
          <w:color w:val="000000" w:themeColor="text1"/>
          <w:sz w:val="16"/>
          <w:szCs w:val="16"/>
        </w:rPr>
        <w:softHyphen/>
        <w:t>бя под боком столько "врагов", стал инспектором ВМС, уступив должность начальника ВМС РККА В. М. Орлову, бывшему до этого во главе Морских сил Черного моря (3898).</w:t>
      </w:r>
    </w:p>
    <w:p w14:paraId="533B6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47E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начальником вооружений РККА и зам. наркомвоенмора назначили </w:t>
      </w:r>
      <w:proofErr w:type="spellStart"/>
      <w:r w:rsidRPr="007122AB">
        <w:rPr>
          <w:rFonts w:ascii="Times New Roman" w:hAnsi="Times New Roman"/>
          <w:color w:val="000000" w:themeColor="text1"/>
          <w:sz w:val="16"/>
          <w:szCs w:val="16"/>
        </w:rPr>
        <w:t>М.Н.Тухачевского</w:t>
      </w:r>
      <w:proofErr w:type="spellEnd"/>
      <w:r w:rsidRPr="007122AB">
        <w:rPr>
          <w:rFonts w:ascii="Times New Roman" w:hAnsi="Times New Roman"/>
          <w:color w:val="000000" w:themeColor="text1"/>
          <w:sz w:val="16"/>
          <w:szCs w:val="16"/>
        </w:rPr>
        <w:t xml:space="preserve"> (1073,30).</w:t>
      </w:r>
    </w:p>
    <w:p w14:paraId="46B698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FEBA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w:t>
      </w:r>
      <w:proofErr w:type="spellStart"/>
      <w:r w:rsidRPr="007122AB">
        <w:rPr>
          <w:rFonts w:ascii="Times New Roman" w:hAnsi="Times New Roman"/>
          <w:color w:val="000000" w:themeColor="text1"/>
          <w:sz w:val="16"/>
          <w:szCs w:val="16"/>
        </w:rPr>
        <w:t>Н.А.Ефимов</w:t>
      </w:r>
      <w:proofErr w:type="spellEnd"/>
      <w:r w:rsidRPr="007122AB">
        <w:rPr>
          <w:rFonts w:ascii="Times New Roman" w:hAnsi="Times New Roman"/>
          <w:color w:val="000000" w:themeColor="text1"/>
          <w:sz w:val="16"/>
          <w:szCs w:val="16"/>
        </w:rPr>
        <w:t xml:space="preserve"> — заместитель начальника вооружений РККА (старший группы), А.И. Егоров — командующий войсками Белорусского военного округа, В.К. </w:t>
      </w:r>
      <w:proofErr w:type="spellStart"/>
      <w:r w:rsidRPr="007122AB">
        <w:rPr>
          <w:rFonts w:ascii="Times New Roman" w:hAnsi="Times New Roman"/>
          <w:color w:val="000000" w:themeColor="text1"/>
          <w:sz w:val="16"/>
          <w:szCs w:val="16"/>
        </w:rPr>
        <w:t>Триандафиллов</w:t>
      </w:r>
      <w:proofErr w:type="spellEnd"/>
      <w:r w:rsidRPr="007122AB">
        <w:rPr>
          <w:rFonts w:ascii="Times New Roman" w:hAnsi="Times New Roman"/>
          <w:color w:val="000000" w:themeColor="text1"/>
          <w:sz w:val="16"/>
          <w:szCs w:val="16"/>
        </w:rPr>
        <w:t xml:space="preserve"> — заместитель начальника Штаба РККА, Э.Ф. </w:t>
      </w:r>
      <w:proofErr w:type="spellStart"/>
      <w:r w:rsidRPr="007122AB">
        <w:rPr>
          <w:rFonts w:ascii="Times New Roman" w:hAnsi="Times New Roman"/>
          <w:color w:val="000000" w:themeColor="text1"/>
          <w:sz w:val="16"/>
          <w:szCs w:val="16"/>
        </w:rPr>
        <w:t>Аппога</w:t>
      </w:r>
      <w:proofErr w:type="spellEnd"/>
      <w:r w:rsidRPr="007122AB">
        <w:rPr>
          <w:rFonts w:ascii="Times New Roman" w:hAnsi="Times New Roman"/>
          <w:color w:val="000000" w:themeColor="text1"/>
          <w:sz w:val="16"/>
          <w:szCs w:val="16"/>
        </w:rPr>
        <w:t xml:space="preserve"> — начальник 3-го управления Штаба РККА и В.К. </w:t>
      </w:r>
      <w:proofErr w:type="spellStart"/>
      <w:r w:rsidRPr="007122AB">
        <w:rPr>
          <w:rFonts w:ascii="Times New Roman" w:hAnsi="Times New Roman"/>
          <w:color w:val="000000" w:themeColor="text1"/>
          <w:sz w:val="16"/>
          <w:szCs w:val="16"/>
        </w:rPr>
        <w:t>Путна</w:t>
      </w:r>
      <w:proofErr w:type="spellEnd"/>
      <w:r w:rsidRPr="007122AB">
        <w:rPr>
          <w:rFonts w:ascii="Times New Roman" w:hAnsi="Times New Roman"/>
          <w:color w:val="000000" w:themeColor="text1"/>
          <w:sz w:val="16"/>
          <w:szCs w:val="16"/>
        </w:rPr>
        <w:t xml:space="preserve">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Об итогах командировки Н.А. Ефимов отчитался на заседании РВС 28 июня 1931 года, на котором было принято решение издать секретное учебное пособие «Методы мобилизации промышленности в Германии» (Там же. Д. 393. Л. 206.) (11173).</w:t>
      </w:r>
    </w:p>
    <w:p w14:paraId="7833DE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E08984" w14:textId="77777777" w:rsidR="00E51240" w:rsidRPr="007122AB" w:rsidRDefault="00E512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июня 1931 года объединение РКК ВМФ на Каспии стало называться Каспийской военной флотилией. Собственных ВВС флотилия не имела (хотя в некоторых источниках используется именно эта аббревиатура), но в её составе перед войной было сформировано несколько авиационных частей и подразделений, которые подчинялись непосредственно командованию флотилии. До ноября 1939 года в составе флотилии был сформирован </w:t>
      </w:r>
      <w:r w:rsidRPr="007122AB">
        <w:rPr>
          <w:rFonts w:ascii="Times New Roman" w:hAnsi="Times New Roman"/>
          <w:bCs/>
          <w:color w:val="000000" w:themeColor="text1"/>
          <w:sz w:val="16"/>
          <w:szCs w:val="16"/>
        </w:rPr>
        <w:t xml:space="preserve">79-й отдельный морской разведывательный авиационный отряд, </w:t>
      </w:r>
      <w:r w:rsidRPr="007122AB">
        <w:rPr>
          <w:rFonts w:ascii="Times New Roman" w:hAnsi="Times New Roman"/>
          <w:color w:val="000000" w:themeColor="text1"/>
          <w:sz w:val="16"/>
          <w:szCs w:val="16"/>
        </w:rPr>
        <w:t>базирующийся в Баку, который в мае 1940 года был переформирован в</w:t>
      </w:r>
      <w:r w:rsidRPr="007122AB">
        <w:rPr>
          <w:rFonts w:ascii="Times New Roman" w:hAnsi="Times New Roman"/>
          <w:bCs/>
          <w:color w:val="000000" w:themeColor="text1"/>
          <w:sz w:val="16"/>
          <w:szCs w:val="16"/>
        </w:rPr>
        <w:t xml:space="preserve">79-ю отдельную авиационную эскадрилью. </w:t>
      </w:r>
      <w:r w:rsidRPr="007122AB">
        <w:rPr>
          <w:rFonts w:ascii="Times New Roman" w:hAnsi="Times New Roman"/>
          <w:color w:val="000000" w:themeColor="text1"/>
          <w:sz w:val="16"/>
          <w:szCs w:val="16"/>
        </w:rPr>
        <w:t>В составе эскадрильи насчитывалось 12 гидросамолётов МБР-2, главной задачей которых было патрулирование над Каспийским морем, особенно в районе границы с Ираном. В феврале 1940 года в составе воздушных сил флотилии имелось отдельное авиационное звено ПВО, вооружённое истребителями И-16. С мая 1941 года 79-я ОАЭ стала именоваться</w:t>
      </w:r>
      <w:r w:rsidRPr="007122AB">
        <w:rPr>
          <w:rFonts w:ascii="Times New Roman" w:hAnsi="Times New Roman"/>
          <w:bCs/>
          <w:color w:val="000000" w:themeColor="text1"/>
          <w:sz w:val="16"/>
          <w:szCs w:val="16"/>
        </w:rPr>
        <w:t xml:space="preserve">79-й отдельной морской </w:t>
      </w:r>
      <w:proofErr w:type="spellStart"/>
      <w:r w:rsidRPr="007122AB">
        <w:rPr>
          <w:rFonts w:ascii="Times New Roman" w:hAnsi="Times New Roman"/>
          <w:bCs/>
          <w:color w:val="000000" w:themeColor="text1"/>
          <w:sz w:val="16"/>
          <w:szCs w:val="16"/>
        </w:rPr>
        <w:t>ближнеразведывательной</w:t>
      </w:r>
      <w:proofErr w:type="spellEnd"/>
      <w:r w:rsidRPr="007122AB">
        <w:rPr>
          <w:rFonts w:ascii="Times New Roman" w:hAnsi="Times New Roman"/>
          <w:bCs/>
          <w:color w:val="000000" w:themeColor="text1"/>
          <w:sz w:val="16"/>
          <w:szCs w:val="16"/>
        </w:rPr>
        <w:t xml:space="preserve"> авиационной эскадрильей.</w:t>
      </w:r>
      <w:r w:rsidRPr="007122AB">
        <w:rPr>
          <w:rFonts w:ascii="Times New Roman" w:hAnsi="Times New Roman"/>
          <w:color w:val="000000" w:themeColor="text1"/>
          <w:sz w:val="16"/>
          <w:szCs w:val="16"/>
        </w:rPr>
        <w:t xml:space="preserve"> По состоянию на 22 июня 1941 года, в составе ВВС флотилии имелось 18 </w:t>
      </w:r>
      <w:r w:rsidRPr="007122AB">
        <w:rPr>
          <w:rFonts w:ascii="Times New Roman" w:hAnsi="Times New Roman"/>
          <w:iCs/>
          <w:color w:val="000000" w:themeColor="text1"/>
          <w:sz w:val="16"/>
          <w:szCs w:val="16"/>
        </w:rPr>
        <w:t xml:space="preserve">(по другим данным, 13) </w:t>
      </w:r>
      <w:r w:rsidRPr="007122AB">
        <w:rPr>
          <w:rFonts w:ascii="Times New Roman" w:hAnsi="Times New Roman"/>
          <w:color w:val="000000" w:themeColor="text1"/>
          <w:sz w:val="16"/>
          <w:szCs w:val="16"/>
        </w:rPr>
        <w:t xml:space="preserve">самолётов различных типов. В ходе войны боевой состав авиации флотилии на короткое время значительно увеличился, когда к августу 1942 года в неё включили </w:t>
      </w:r>
      <w:r w:rsidRPr="007122AB">
        <w:rPr>
          <w:rFonts w:ascii="Times New Roman" w:hAnsi="Times New Roman"/>
          <w:bCs/>
          <w:color w:val="000000" w:themeColor="text1"/>
          <w:sz w:val="16"/>
          <w:szCs w:val="16"/>
        </w:rPr>
        <w:t xml:space="preserve">22-й отдельный морской разведывательный авиационный полк. </w:t>
      </w:r>
      <w:r w:rsidRPr="007122AB">
        <w:rPr>
          <w:rFonts w:ascii="Times New Roman" w:hAnsi="Times New Roman"/>
          <w:color w:val="000000" w:themeColor="text1"/>
          <w:sz w:val="16"/>
          <w:szCs w:val="16"/>
        </w:rPr>
        <w:t>Этот полк, вооружённый самолётами МБР-2, был сформирован в с. Али-</w:t>
      </w:r>
      <w:proofErr w:type="spellStart"/>
      <w:r w:rsidRPr="007122AB">
        <w:rPr>
          <w:rFonts w:ascii="Times New Roman" w:hAnsi="Times New Roman"/>
          <w:color w:val="000000" w:themeColor="text1"/>
          <w:sz w:val="16"/>
          <w:szCs w:val="16"/>
        </w:rPr>
        <w:t>Байрамли</w:t>
      </w:r>
      <w:proofErr w:type="spellEnd"/>
      <w:r w:rsidRPr="007122AB">
        <w:rPr>
          <w:rFonts w:ascii="Times New Roman" w:hAnsi="Times New Roman"/>
          <w:color w:val="000000" w:themeColor="text1"/>
          <w:sz w:val="16"/>
          <w:szCs w:val="16"/>
        </w:rPr>
        <w:t xml:space="preserve"> (Азербайджан), на базе ВМАУ морских пилотов. Однако уже в сентябре этого же года полк был перебазирован на Север, где вошёл в состав ВВС СФ. Авиация </w:t>
      </w:r>
      <w:proofErr w:type="spellStart"/>
      <w:r w:rsidRPr="007122AB">
        <w:rPr>
          <w:rFonts w:ascii="Times New Roman" w:hAnsi="Times New Roman"/>
          <w:color w:val="000000" w:themeColor="text1"/>
          <w:sz w:val="16"/>
          <w:szCs w:val="16"/>
        </w:rPr>
        <w:t>КаВФ</w:t>
      </w:r>
      <w:proofErr w:type="spellEnd"/>
      <w:r w:rsidRPr="007122AB">
        <w:rPr>
          <w:rFonts w:ascii="Times New Roman" w:hAnsi="Times New Roman"/>
          <w:color w:val="000000" w:themeColor="text1"/>
          <w:sz w:val="16"/>
          <w:szCs w:val="16"/>
        </w:rPr>
        <w:t xml:space="preserve"> непосредственного участия в боевых действиях в ходе Великой Отечественной войны не принимала, и, так же, как ВВС ТОФ, СТОФ и </w:t>
      </w:r>
      <w:proofErr w:type="spellStart"/>
      <w:r w:rsidRPr="007122AB">
        <w:rPr>
          <w:rFonts w:ascii="Times New Roman" w:hAnsi="Times New Roman"/>
          <w:color w:val="000000" w:themeColor="text1"/>
          <w:sz w:val="16"/>
          <w:szCs w:val="16"/>
        </w:rPr>
        <w:t>АмВФ</w:t>
      </w:r>
      <w:proofErr w:type="spellEnd"/>
      <w:r w:rsidRPr="007122AB">
        <w:rPr>
          <w:rFonts w:ascii="Times New Roman" w:hAnsi="Times New Roman"/>
          <w:color w:val="000000" w:themeColor="text1"/>
          <w:sz w:val="16"/>
          <w:szCs w:val="16"/>
        </w:rPr>
        <w:t xml:space="preserve">, была кузницей лётных кадров для ВВС воюющих флотов. Однако в период с августа 1942 года по февраль 1943 года, когда существовала реальная угроза прорыва немецких войск к Каспию, её силы были включены в состав действующей армии. На основании приказа НК ВМФ №0216 от 05.04.1943 года, 79-я ОМБРАЭ была переформирована в 79-й отдельный морской авиационный отряд. Этот отряд числился в боевом составе </w:t>
      </w:r>
      <w:proofErr w:type="spellStart"/>
      <w:r w:rsidRPr="007122AB">
        <w:rPr>
          <w:rFonts w:ascii="Times New Roman" w:hAnsi="Times New Roman"/>
          <w:color w:val="000000" w:themeColor="text1"/>
          <w:sz w:val="16"/>
          <w:szCs w:val="16"/>
        </w:rPr>
        <w:t>КаВФ</w:t>
      </w:r>
      <w:proofErr w:type="spellEnd"/>
      <w:r w:rsidRPr="007122AB">
        <w:rPr>
          <w:rFonts w:ascii="Times New Roman" w:hAnsi="Times New Roman"/>
          <w:color w:val="000000" w:themeColor="text1"/>
          <w:sz w:val="16"/>
          <w:szCs w:val="16"/>
        </w:rPr>
        <w:t xml:space="preserve"> до июня 1947 года и в этом же году был </w:t>
      </w:r>
      <w:proofErr w:type="spellStart"/>
      <w:r w:rsidRPr="007122AB">
        <w:rPr>
          <w:rFonts w:ascii="Times New Roman" w:hAnsi="Times New Roman"/>
          <w:color w:val="000000" w:themeColor="text1"/>
          <w:sz w:val="16"/>
          <w:szCs w:val="16"/>
        </w:rPr>
        <w:t>расформирован.</w:t>
      </w:r>
      <w:r w:rsidRPr="007122AB">
        <w:rPr>
          <w:rFonts w:ascii="Times New Roman" w:hAnsi="Times New Roman"/>
          <w:bCs/>
          <w:color w:val="000000" w:themeColor="text1"/>
          <w:sz w:val="16"/>
          <w:szCs w:val="16"/>
        </w:rPr>
        <w:t>В</w:t>
      </w:r>
      <w:proofErr w:type="spellEnd"/>
      <w:r w:rsidRPr="007122AB">
        <w:rPr>
          <w:rFonts w:ascii="Times New Roman" w:hAnsi="Times New Roman"/>
          <w:bCs/>
          <w:color w:val="000000" w:themeColor="text1"/>
          <w:sz w:val="16"/>
          <w:szCs w:val="16"/>
        </w:rPr>
        <w:t xml:space="preserve"> 1948 году, в связи с реорганизацией ВВС ВМФ, авиационные части </w:t>
      </w:r>
      <w:proofErr w:type="spellStart"/>
      <w:r w:rsidRPr="007122AB">
        <w:rPr>
          <w:rFonts w:ascii="Times New Roman" w:hAnsi="Times New Roman"/>
          <w:bCs/>
          <w:color w:val="000000" w:themeColor="text1"/>
          <w:sz w:val="16"/>
          <w:szCs w:val="16"/>
        </w:rPr>
        <w:t>КаВФ</w:t>
      </w:r>
      <w:proofErr w:type="spellEnd"/>
      <w:r w:rsidRPr="007122AB">
        <w:rPr>
          <w:rFonts w:ascii="Times New Roman" w:hAnsi="Times New Roman"/>
          <w:bCs/>
          <w:color w:val="000000" w:themeColor="text1"/>
          <w:sz w:val="16"/>
          <w:szCs w:val="16"/>
        </w:rPr>
        <w:t xml:space="preserve"> были расформированы. </w:t>
      </w:r>
      <w:r w:rsidRPr="007122AB">
        <w:rPr>
          <w:rFonts w:ascii="Times New Roman" w:hAnsi="Times New Roman"/>
          <w:color w:val="000000" w:themeColor="text1"/>
          <w:sz w:val="16"/>
          <w:szCs w:val="16"/>
        </w:rPr>
        <w:t xml:space="preserve">В конце ноября 1942 года из состава Ейского ВМАУ (училище) была выделена </w:t>
      </w:r>
      <w:r w:rsidRPr="007122AB">
        <w:rPr>
          <w:rFonts w:ascii="Times New Roman" w:hAnsi="Times New Roman"/>
          <w:bCs/>
          <w:color w:val="000000" w:themeColor="text1"/>
          <w:sz w:val="16"/>
          <w:szCs w:val="16"/>
        </w:rPr>
        <w:t xml:space="preserve">9-я отдельная истребительная авиационная эскадрилья, </w:t>
      </w:r>
      <w:r w:rsidRPr="007122AB">
        <w:rPr>
          <w:rFonts w:ascii="Times New Roman" w:hAnsi="Times New Roman"/>
          <w:color w:val="000000" w:themeColor="text1"/>
          <w:sz w:val="16"/>
          <w:szCs w:val="16"/>
        </w:rPr>
        <w:t xml:space="preserve">и с 15 декабря 1942 года она была включена в состав </w:t>
      </w:r>
      <w:proofErr w:type="spellStart"/>
      <w:r w:rsidRPr="007122AB">
        <w:rPr>
          <w:rFonts w:ascii="Times New Roman" w:hAnsi="Times New Roman"/>
          <w:color w:val="000000" w:themeColor="text1"/>
          <w:sz w:val="16"/>
          <w:szCs w:val="16"/>
        </w:rPr>
        <w:t>КаВФ</w:t>
      </w:r>
      <w:proofErr w:type="spellEnd"/>
      <w:r w:rsidRPr="007122AB">
        <w:rPr>
          <w:rFonts w:ascii="Times New Roman" w:hAnsi="Times New Roman"/>
          <w:color w:val="000000" w:themeColor="text1"/>
          <w:sz w:val="16"/>
          <w:szCs w:val="16"/>
        </w:rPr>
        <w:t xml:space="preserve">, с перебазированием в Форт-Шевченко. Её задачей стала ПВО коммуникаций на Каспийском море и объектов флотилии. В январе 1943 года 9-я ОИАЭ была выведена в тыл, в с. Борское, для переформирования на базе «родного» ВМАУ им. </w:t>
      </w:r>
      <w:proofErr w:type="spellStart"/>
      <w:r w:rsidRPr="007122AB">
        <w:rPr>
          <w:rFonts w:ascii="Times New Roman" w:hAnsi="Times New Roman"/>
          <w:color w:val="000000" w:themeColor="text1"/>
          <w:sz w:val="16"/>
          <w:szCs w:val="16"/>
        </w:rPr>
        <w:t>И.В.Сталина</w:t>
      </w:r>
      <w:proofErr w:type="spellEnd"/>
      <w:r w:rsidRPr="007122AB">
        <w:rPr>
          <w:rFonts w:ascii="Times New Roman" w:hAnsi="Times New Roman"/>
          <w:color w:val="000000" w:themeColor="text1"/>
          <w:sz w:val="16"/>
          <w:szCs w:val="16"/>
        </w:rPr>
        <w:t xml:space="preserve">. Кроме того, в 1940-1944 гг. в составе </w:t>
      </w:r>
      <w:proofErr w:type="spellStart"/>
      <w:r w:rsidRPr="007122AB">
        <w:rPr>
          <w:rFonts w:ascii="Times New Roman" w:hAnsi="Times New Roman"/>
          <w:color w:val="000000" w:themeColor="text1"/>
          <w:sz w:val="16"/>
          <w:szCs w:val="16"/>
        </w:rPr>
        <w:t>КаВФ</w:t>
      </w:r>
      <w:proofErr w:type="spellEnd"/>
      <w:r w:rsidRPr="007122AB">
        <w:rPr>
          <w:rFonts w:ascii="Times New Roman" w:hAnsi="Times New Roman"/>
          <w:color w:val="000000" w:themeColor="text1"/>
          <w:sz w:val="16"/>
          <w:szCs w:val="16"/>
        </w:rPr>
        <w:t xml:space="preserve"> был химический полигон, при котором имелось </w:t>
      </w:r>
      <w:r w:rsidRPr="007122AB">
        <w:rPr>
          <w:rFonts w:ascii="Times New Roman" w:hAnsi="Times New Roman"/>
          <w:bCs/>
          <w:color w:val="000000" w:themeColor="text1"/>
          <w:sz w:val="16"/>
          <w:szCs w:val="16"/>
        </w:rPr>
        <w:t>отдельное испытательное авиационное звено (15140).</w:t>
      </w:r>
    </w:p>
    <w:p w14:paraId="59088D4E" w14:textId="77777777" w:rsidR="00E51240" w:rsidRPr="007122AB" w:rsidRDefault="00E51240" w:rsidP="007122AB">
      <w:pPr>
        <w:spacing w:after="0" w:line="240" w:lineRule="auto"/>
        <w:jc w:val="both"/>
        <w:rPr>
          <w:rFonts w:ascii="Times New Roman" w:hAnsi="Times New Roman"/>
          <w:color w:val="000000" w:themeColor="text1"/>
          <w:sz w:val="16"/>
          <w:szCs w:val="16"/>
        </w:rPr>
      </w:pPr>
    </w:p>
    <w:p w14:paraId="3821C90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3299CF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7647AD" w14:textId="77777777" w:rsidR="0069396A" w:rsidRPr="007122AB" w:rsidRDefault="006939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июне 1931 г. в докладе «Новая обстановка – новые задачи …» Генеральный секретарь ЦК ВКП(б) заявил, что «за последнее время условия развития (…) изменились в корне, создалась новая обстановка, требующая новых приемов руководства». Согласно «новой» обстановке была произведена расстановка руководящих кадров: в июне 1931 г. три видных военачальника М.Н. Тухачевский, П.И. Баранов и Я.И. Алкснис назначаются на должности для непосредственного руководства реконструкцией РККА, авиапромышленности и ВВС соответственно. Во многом, благодаря энергии и организаторскому таланту этих руководителей, РККА, ВВС и авиапром были реконструированы в короткие сроки и с должным качеством. Правильная расстановка высших руководящих кадров имеет непреходящее значение в организационном строительстве отечественных ВВС и в настоящее время (19566).</w:t>
      </w:r>
    </w:p>
    <w:p w14:paraId="4AA8A34C" w14:textId="77777777" w:rsidR="0069396A" w:rsidRPr="007122AB" w:rsidRDefault="0069396A" w:rsidP="007122AB">
      <w:pPr>
        <w:spacing w:after="0" w:line="240" w:lineRule="auto"/>
        <w:jc w:val="both"/>
        <w:rPr>
          <w:rFonts w:ascii="Times New Roman" w:hAnsi="Times New Roman"/>
          <w:color w:val="000000" w:themeColor="text1"/>
          <w:sz w:val="16"/>
          <w:szCs w:val="16"/>
        </w:rPr>
      </w:pPr>
    </w:p>
    <w:p w14:paraId="428D77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и октябре 1931 пленумы ЦК ВКП(б) обсуждал вопросы развития транспорта. Решили электрифицировать ж/д (226,417).</w:t>
      </w:r>
    </w:p>
    <w:p w14:paraId="48266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Также на июньском пленуме предложили Москве разработать план реконструкции и построить метрополитен (226,417).</w:t>
      </w:r>
    </w:p>
    <w:p w14:paraId="051E9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июньском пленуме рекомендовали колхозам организовывать работы на основе сдельщины и ввести оценку труда в трудоднях (226,421).</w:t>
      </w:r>
    </w:p>
    <w:p w14:paraId="02074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6A9D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ЦК созвал совещание хозяйственников по вопросам развития промышленности. Основная проблема - трудности в освоении вновь построенных мощностей. Определили что требуется: оргнабор РС, упорядочение ЗП, улучшение организации труда, укрепление хозрасчета, привлечение старой и создание новой интеллигенции (226,418).</w:t>
      </w:r>
    </w:p>
    <w:p w14:paraId="742D2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14746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2C33B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C16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был подписан советско-германский протокол о продлении действия Договора о нейтралитете и ненападении 1926 г. между СССР и Германией (3871).</w:t>
      </w:r>
    </w:p>
    <w:p w14:paraId="553CD2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1D1B8A"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 Ефимов — заместитель начальника вооружений РККА (старший группы), А.И. Егоров — командующий войсками Белорусского военного округа, В.К. </w:t>
      </w:r>
      <w:proofErr w:type="spellStart"/>
      <w:r w:rsidRPr="007122AB">
        <w:rPr>
          <w:rFonts w:ascii="Times New Roman" w:hAnsi="Times New Roman"/>
          <w:color w:val="000000" w:themeColor="text1"/>
          <w:sz w:val="16"/>
          <w:szCs w:val="16"/>
        </w:rPr>
        <w:t>Триандафиллов</w:t>
      </w:r>
      <w:proofErr w:type="spellEnd"/>
      <w:r w:rsidRPr="007122AB">
        <w:rPr>
          <w:rFonts w:ascii="Times New Roman" w:hAnsi="Times New Roman"/>
          <w:color w:val="000000" w:themeColor="text1"/>
          <w:sz w:val="16"/>
          <w:szCs w:val="16"/>
        </w:rPr>
        <w:t xml:space="preserve"> — заместитель начальника Штаба РККА, Э.Ф. </w:t>
      </w:r>
      <w:proofErr w:type="spellStart"/>
      <w:r w:rsidRPr="007122AB">
        <w:rPr>
          <w:rFonts w:ascii="Times New Roman" w:hAnsi="Times New Roman"/>
          <w:color w:val="000000" w:themeColor="text1"/>
          <w:sz w:val="16"/>
          <w:szCs w:val="16"/>
        </w:rPr>
        <w:t>Аппога</w:t>
      </w:r>
      <w:proofErr w:type="spellEnd"/>
      <w:r w:rsidRPr="007122AB">
        <w:rPr>
          <w:rFonts w:ascii="Times New Roman" w:hAnsi="Times New Roman"/>
          <w:color w:val="000000" w:themeColor="text1"/>
          <w:sz w:val="16"/>
          <w:szCs w:val="16"/>
        </w:rPr>
        <w:t xml:space="preserve"> — начальник 3-го управления Штаба РККА и В.К. </w:t>
      </w:r>
      <w:proofErr w:type="spellStart"/>
      <w:r w:rsidRPr="007122AB">
        <w:rPr>
          <w:rFonts w:ascii="Times New Roman" w:hAnsi="Times New Roman"/>
          <w:color w:val="000000" w:themeColor="text1"/>
          <w:sz w:val="16"/>
          <w:szCs w:val="16"/>
        </w:rPr>
        <w:t>Путна</w:t>
      </w:r>
      <w:proofErr w:type="spellEnd"/>
      <w:r w:rsidRPr="007122AB">
        <w:rPr>
          <w:rFonts w:ascii="Times New Roman" w:hAnsi="Times New Roman"/>
          <w:color w:val="000000" w:themeColor="text1"/>
          <w:sz w:val="16"/>
          <w:szCs w:val="16"/>
        </w:rPr>
        <w:t xml:space="preserve">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Об итогах командировки Н.А. Ефимов отчитался на заседании РВС 28 июня 1931 года, на котором было принято решение издать секретное учебное пособие «Методы мобилизации промышленности в Германии» (РГВА. Ф. 4. Оп. 14. Д. 393. Л. 206.) (21412).</w:t>
      </w:r>
    </w:p>
    <w:p w14:paraId="71B6614F" w14:textId="77777777" w:rsidR="00665803" w:rsidRPr="007122AB" w:rsidRDefault="00665803" w:rsidP="007122AB">
      <w:pPr>
        <w:spacing w:after="0" w:line="240" w:lineRule="auto"/>
        <w:jc w:val="both"/>
        <w:rPr>
          <w:rFonts w:ascii="Times New Roman" w:hAnsi="Times New Roman"/>
          <w:color w:val="000000" w:themeColor="text1"/>
          <w:sz w:val="16"/>
          <w:szCs w:val="16"/>
        </w:rPr>
      </w:pPr>
    </w:p>
    <w:p w14:paraId="195A536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93DE60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B0B060"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1931 состоялся первый полет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XA-8, прототип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A-8 </w:t>
      </w:r>
      <w:proofErr w:type="spellStart"/>
      <w:r w:rsidRPr="007122AB">
        <w:rPr>
          <w:rFonts w:ascii="Times New Roman" w:hAnsi="Times New Roman"/>
          <w:color w:val="000000" w:themeColor="text1"/>
          <w:sz w:val="16"/>
          <w:szCs w:val="16"/>
        </w:rPr>
        <w:t>Shrike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(20804).</w:t>
      </w:r>
    </w:p>
    <w:p w14:paraId="536B25F8" w14:textId="77777777" w:rsidR="00665803" w:rsidRPr="007122AB" w:rsidRDefault="00665803" w:rsidP="007122AB">
      <w:pPr>
        <w:spacing w:after="0" w:line="240" w:lineRule="auto"/>
        <w:jc w:val="both"/>
        <w:rPr>
          <w:rFonts w:ascii="Times New Roman" w:hAnsi="Times New Roman"/>
          <w:color w:val="000000" w:themeColor="text1"/>
          <w:sz w:val="16"/>
          <w:szCs w:val="16"/>
        </w:rPr>
      </w:pPr>
    </w:p>
    <w:p w14:paraId="509C85CA" w14:textId="77777777" w:rsidR="00665803" w:rsidRPr="007122AB" w:rsidRDefault="00665803"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 июне 1931 французский летчик Сибур с женой на самолете Фарман 190 совершал туристический полет из Парижа в Токио. Над советской территорией он прошел по маршруту: </w:t>
      </w:r>
      <w:proofErr w:type="spellStart"/>
      <w:r w:rsidRPr="007122AB">
        <w:rPr>
          <w:rFonts w:ascii="Times New Roman" w:hAnsi="Times New Roman"/>
          <w:color w:val="000000" w:themeColor="text1"/>
          <w:sz w:val="16"/>
          <w:szCs w:val="16"/>
          <w:shd w:val="clear" w:color="auto" w:fill="FFFFFF"/>
        </w:rPr>
        <w:t>Бигосово</w:t>
      </w:r>
      <w:proofErr w:type="spellEnd"/>
      <w:r w:rsidRPr="007122AB">
        <w:rPr>
          <w:rFonts w:ascii="Times New Roman" w:hAnsi="Times New Roman"/>
          <w:color w:val="000000" w:themeColor="text1"/>
          <w:sz w:val="16"/>
          <w:szCs w:val="16"/>
          <w:shd w:val="clear" w:color="auto" w:fill="FFFFFF"/>
        </w:rPr>
        <w:t xml:space="preserve"> – Смоленск – Москва – Казань – Свердловск – Курган – Омск — Красноярск – Иркутск – Чита (21438).</w:t>
      </w:r>
    </w:p>
    <w:p w14:paraId="1FC58966" w14:textId="77777777" w:rsidR="00665803" w:rsidRPr="007122AB" w:rsidRDefault="00665803" w:rsidP="007122AB">
      <w:pPr>
        <w:spacing w:after="0" w:line="240" w:lineRule="auto"/>
        <w:jc w:val="both"/>
        <w:rPr>
          <w:rFonts w:ascii="Times New Roman" w:hAnsi="Times New Roman"/>
          <w:color w:val="000000" w:themeColor="text1"/>
          <w:sz w:val="16"/>
          <w:szCs w:val="16"/>
          <w:shd w:val="clear" w:color="auto" w:fill="FFFFFF"/>
        </w:rPr>
      </w:pPr>
    </w:p>
    <w:p w14:paraId="16ADF4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года французский флот, после долгого перерыва, получил новый дирижабль «Зодиак-</w:t>
      </w:r>
      <w:proofErr w:type="spellStart"/>
      <w:r w:rsidRPr="007122AB">
        <w:rPr>
          <w:rFonts w:ascii="Times New Roman" w:hAnsi="Times New Roman"/>
          <w:color w:val="000000" w:themeColor="text1"/>
          <w:sz w:val="16"/>
          <w:szCs w:val="16"/>
        </w:rPr>
        <w:t>Ведетта</w:t>
      </w:r>
      <w:proofErr w:type="spellEnd"/>
      <w:r w:rsidRPr="007122AB">
        <w:rPr>
          <w:rFonts w:ascii="Times New Roman" w:hAnsi="Times New Roman"/>
          <w:color w:val="000000" w:themeColor="text1"/>
          <w:sz w:val="16"/>
          <w:szCs w:val="16"/>
        </w:rPr>
        <w:t xml:space="preserve">» V-11. Он стал первым французским дирижаблем полужесткой конструкции, построенным после войны, и имел объем 3400 куб. м, длину — 46 м, высоту — 16,5 м. V-11 был очень похож на дирижабли американской фирмы «Гудиер». Форма оболочки — двухдольная. Баллонетов внутри дирижабля было три. Килевая ферма состояла из </w:t>
      </w:r>
      <w:proofErr w:type="spellStart"/>
      <w:r w:rsidRPr="007122AB">
        <w:rPr>
          <w:rFonts w:ascii="Times New Roman" w:hAnsi="Times New Roman"/>
          <w:color w:val="000000" w:themeColor="text1"/>
          <w:sz w:val="16"/>
          <w:szCs w:val="16"/>
        </w:rPr>
        <w:t>дюралюминевых</w:t>
      </w:r>
      <w:proofErr w:type="spellEnd"/>
      <w:r w:rsidRPr="007122AB">
        <w:rPr>
          <w:rFonts w:ascii="Times New Roman" w:hAnsi="Times New Roman"/>
          <w:color w:val="000000" w:themeColor="text1"/>
          <w:sz w:val="16"/>
          <w:szCs w:val="16"/>
        </w:rPr>
        <w:t xml:space="preserve"> элементов. Гондола управления прикреплялась непосредственно к килю треугольной формы. На ее боковых сторонах размещались 2 двигателя «</w:t>
      </w:r>
      <w:proofErr w:type="spellStart"/>
      <w:r w:rsidRPr="007122AB">
        <w:rPr>
          <w:rFonts w:ascii="Times New Roman" w:hAnsi="Times New Roman"/>
          <w:color w:val="000000" w:themeColor="text1"/>
          <w:sz w:val="16"/>
          <w:szCs w:val="16"/>
        </w:rPr>
        <w:t>Сальмсон</w:t>
      </w:r>
      <w:proofErr w:type="spellEnd"/>
      <w:r w:rsidRPr="007122AB">
        <w:rPr>
          <w:rFonts w:ascii="Times New Roman" w:hAnsi="Times New Roman"/>
          <w:color w:val="000000" w:themeColor="text1"/>
          <w:sz w:val="16"/>
          <w:szCs w:val="16"/>
        </w:rPr>
        <w:t>» АС.9 мощностью по 120 л. с. каждый. Воздушный корабль развивал скорость 103 км/ч и мог пролететь 1500 км. В 1936 году его заменил V-12 аналогичной конструкции и [340] размеров, но с моторами «</w:t>
      </w:r>
      <w:proofErr w:type="spellStart"/>
      <w:r w:rsidRPr="007122AB">
        <w:rPr>
          <w:rFonts w:ascii="Times New Roman" w:hAnsi="Times New Roman"/>
          <w:color w:val="000000" w:themeColor="text1"/>
          <w:sz w:val="16"/>
          <w:szCs w:val="16"/>
        </w:rPr>
        <w:t>Сальмсон</w:t>
      </w:r>
      <w:proofErr w:type="spellEnd"/>
      <w:r w:rsidRPr="007122AB">
        <w:rPr>
          <w:rFonts w:ascii="Times New Roman" w:hAnsi="Times New Roman"/>
          <w:color w:val="000000" w:themeColor="text1"/>
          <w:sz w:val="16"/>
          <w:szCs w:val="16"/>
        </w:rPr>
        <w:t xml:space="preserve">» мощностью 135 л. с. </w:t>
      </w:r>
    </w:p>
    <w:p w14:paraId="2A8042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сопровождения морских конвоев применялись полужесткие дирижабли типа «</w:t>
      </w:r>
      <w:proofErr w:type="spellStart"/>
      <w:r w:rsidRPr="007122AB">
        <w:rPr>
          <w:rFonts w:ascii="Times New Roman" w:hAnsi="Times New Roman"/>
          <w:color w:val="000000" w:themeColor="text1"/>
          <w:sz w:val="16"/>
          <w:szCs w:val="16"/>
        </w:rPr>
        <w:t>Эскортер</w:t>
      </w:r>
      <w:proofErr w:type="spellEnd"/>
      <w:r w:rsidRPr="007122AB">
        <w:rPr>
          <w:rFonts w:ascii="Times New Roman" w:hAnsi="Times New Roman"/>
          <w:color w:val="000000" w:themeColor="text1"/>
          <w:sz w:val="16"/>
          <w:szCs w:val="16"/>
        </w:rPr>
        <w:t xml:space="preserve">» Е-6 и Е-7, которые строила компания «Астра-Торрес» уже в конце войны. Они являлись развитием воздушных кораблей серии «AT», имели объем 10 700 куб. м и были оснащены двумя моторами «Рено» мощностью по 260 л. с. Е-6 и Е-7 оставались на активной службе относительно долго, до 1936 года, разумеется после серьезной модернизации и с новыми оболочками. </w:t>
      </w:r>
    </w:p>
    <w:p w14:paraId="1580F6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Фирма «Зодиак» с 1930 по 1935 год построила 3 следующих корабля серии «</w:t>
      </w:r>
      <w:proofErr w:type="spellStart"/>
      <w:r w:rsidRPr="007122AB">
        <w:rPr>
          <w:rFonts w:ascii="Times New Roman" w:hAnsi="Times New Roman"/>
          <w:color w:val="000000" w:themeColor="text1"/>
          <w:sz w:val="16"/>
          <w:szCs w:val="16"/>
        </w:rPr>
        <w:t>Эскортер</w:t>
      </w:r>
      <w:proofErr w:type="spellEnd"/>
      <w:r w:rsidRPr="007122AB">
        <w:rPr>
          <w:rFonts w:ascii="Times New Roman" w:hAnsi="Times New Roman"/>
          <w:color w:val="000000" w:themeColor="text1"/>
          <w:sz w:val="16"/>
          <w:szCs w:val="16"/>
        </w:rPr>
        <w:t xml:space="preserve">» — Е-8 (1931 год), Е-9 (1932 год) и Е-10 (1935 год). В отличие от ранних типов это были дирижабли полужесткой конструкции, с развитым треугольным килем под оболочкой объемом 10 000 куб. м, в которой размещались баки с топливом, балласт и небольшой двигатель для приведения в движение вентилятора. Оболочка имела 4 баллонета, сверхдавление поддерживалось </w:t>
      </w:r>
      <w:proofErr w:type="spellStart"/>
      <w:r w:rsidRPr="007122AB">
        <w:rPr>
          <w:rFonts w:ascii="Times New Roman" w:hAnsi="Times New Roman"/>
          <w:color w:val="000000" w:themeColor="text1"/>
          <w:sz w:val="16"/>
          <w:szCs w:val="16"/>
        </w:rPr>
        <w:t>ветроулавливателем</w:t>
      </w:r>
      <w:proofErr w:type="spellEnd"/>
      <w:r w:rsidRPr="007122AB">
        <w:rPr>
          <w:rFonts w:ascii="Times New Roman" w:hAnsi="Times New Roman"/>
          <w:color w:val="000000" w:themeColor="text1"/>
          <w:sz w:val="16"/>
          <w:szCs w:val="16"/>
        </w:rPr>
        <w:t xml:space="preserve"> или вентилятором, если дирижабль не находился в движении. В кабине, прикрепленной к килю, размещался экипаж, состоящий из семи человек. Два двигателя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8Ff мощностью по 350 л. с. были установлены по обе стороны гондолы. Скорость дирижаблей достигала 112 км/ч, а дальность полета 1800 км. Е-8 использовался до 1939 года, Е-9 потерпел аварию в феврале 1935 года, а Е-10 так и не был достроен. </w:t>
      </w:r>
    </w:p>
    <w:p w14:paraId="0F885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обучения экипажей предназначался небольшой учебный дирижабль «Эколе», объемом всего 1200 куб. м. Под оболочкой была подвешена гондола, похожая на фюзеляж самолета, с закрытой кабиной для двух пилотов, сидящих рядом. В передней части гондолы находился мотор «</w:t>
      </w:r>
      <w:proofErr w:type="spellStart"/>
      <w:r w:rsidRPr="007122AB">
        <w:rPr>
          <w:rFonts w:ascii="Times New Roman" w:hAnsi="Times New Roman"/>
          <w:color w:val="000000" w:themeColor="text1"/>
          <w:sz w:val="16"/>
          <w:szCs w:val="16"/>
        </w:rPr>
        <w:t>Анзани</w:t>
      </w:r>
      <w:proofErr w:type="spellEnd"/>
      <w:r w:rsidRPr="007122AB">
        <w:rPr>
          <w:rFonts w:ascii="Times New Roman" w:hAnsi="Times New Roman"/>
          <w:color w:val="000000" w:themeColor="text1"/>
          <w:sz w:val="16"/>
          <w:szCs w:val="16"/>
        </w:rPr>
        <w:t xml:space="preserve">» мощностью 70 л. с. Это была, безусловно, интересная конструкция, но, к сожалению, она осталась не реализована. [341] </w:t>
      </w:r>
    </w:p>
    <w:p w14:paraId="7C762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Армия совершенно не интересовалась дирижаблями. В 1933 году, однако, сделала одну небольшую уступку в своей позиции по этому вопросу. Обнаружилось, что из-за очень насыщенной сети наземных электрических и телефонных проводов во время армейских маневров перемещение наблюдательных привязных аэростатов в наполненном состоянии весьма затруднено. Из этой ситуации и возник заказ на строительство наблюдательных самодвижущихся аэростатов. «Зодиаку» было поручено разработать проект моторизованного аэростата в течение семи недель, чтобы во время ближайших армейских маневров 1934 года его уже можно было использовать. </w:t>
      </w:r>
    </w:p>
    <w:p w14:paraId="5BDEC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основу взяли оболочку стандартного наблюдательного аэростата MB компании «Зодиак». Единственным различием выступало то, что при транспортировании оставались ненаполненными только три хвостовых отсека. Под оболочкой была установлена деревянная </w:t>
      </w:r>
      <w:proofErr w:type="spellStart"/>
      <w:r w:rsidRPr="007122AB">
        <w:rPr>
          <w:rFonts w:ascii="Times New Roman" w:hAnsi="Times New Roman"/>
          <w:color w:val="000000" w:themeColor="text1"/>
          <w:sz w:val="16"/>
          <w:szCs w:val="16"/>
        </w:rPr>
        <w:t>монококовая</w:t>
      </w:r>
      <w:proofErr w:type="spellEnd"/>
      <w:r w:rsidRPr="007122AB">
        <w:rPr>
          <w:rFonts w:ascii="Times New Roman" w:hAnsi="Times New Roman"/>
          <w:color w:val="000000" w:themeColor="text1"/>
          <w:sz w:val="16"/>
          <w:szCs w:val="16"/>
        </w:rPr>
        <w:t xml:space="preserve"> гондола. В ее передней части располагался мотор «</w:t>
      </w:r>
      <w:proofErr w:type="spellStart"/>
      <w:r w:rsidRPr="007122AB">
        <w:rPr>
          <w:rFonts w:ascii="Times New Roman" w:hAnsi="Times New Roman"/>
          <w:color w:val="000000" w:themeColor="text1"/>
          <w:sz w:val="16"/>
          <w:szCs w:val="16"/>
        </w:rPr>
        <w:t>Сальмсон</w:t>
      </w:r>
      <w:proofErr w:type="spellEnd"/>
      <w:r w:rsidRPr="007122AB">
        <w:rPr>
          <w:rFonts w:ascii="Times New Roman" w:hAnsi="Times New Roman"/>
          <w:color w:val="000000" w:themeColor="text1"/>
          <w:sz w:val="16"/>
          <w:szCs w:val="16"/>
        </w:rPr>
        <w:t xml:space="preserve">» 9 </w:t>
      </w:r>
      <w:proofErr w:type="spellStart"/>
      <w:r w:rsidRPr="007122AB">
        <w:rPr>
          <w:rFonts w:ascii="Times New Roman" w:hAnsi="Times New Roman"/>
          <w:color w:val="000000" w:themeColor="text1"/>
          <w:sz w:val="16"/>
          <w:szCs w:val="16"/>
        </w:rPr>
        <w:t>Adr</w:t>
      </w:r>
      <w:proofErr w:type="spellEnd"/>
      <w:r w:rsidRPr="007122AB">
        <w:rPr>
          <w:rFonts w:ascii="Times New Roman" w:hAnsi="Times New Roman"/>
          <w:color w:val="000000" w:themeColor="text1"/>
          <w:sz w:val="16"/>
          <w:szCs w:val="16"/>
        </w:rPr>
        <w:t xml:space="preserve"> мощностью 60 л. с., сразу за ним рули высоты и в самом конце — киль. Под винтом размещалась мощная лыжа для предохранения от столкновения с землей. Кабина перевозилась по земле на специальном шасси. Этот моторизованный баллон, обозначенный MBZ-2, развивал скорость 60 км/ч. При скорости перелета 50 км/ч он держался 2 часа, потолок от 600 до 1200 м в зависимости от количества водорода. Монтаж и демонтаж моторной гондолы занимал от 6 до 9 минут. Аэростаты MBZ-2 были выпущены большой серией. Каждое подразделение наблюдательных аэростатов получило по одному MBZ-2, а их экипажи обучались на воздухоплавательной базе ВМФ в Рошфоре. Фирма «Зодиак» в 1937 году разработала усовершенствованную версию MBZ-3, воздушные рули которого были меньшей площади, и их не надо было складывать при наземном транспортировании (11324). </w:t>
      </w:r>
    </w:p>
    <w:p w14:paraId="0BBA7D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74E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B7FA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85957F"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июне 1931 г. фирму «</w:t>
      </w:r>
      <w:proofErr w:type="spellStart"/>
      <w:r w:rsidRPr="00441F34">
        <w:rPr>
          <w:rFonts w:ascii="Times New Roman" w:hAnsi="Times New Roman"/>
          <w:color w:val="0070C0"/>
          <w:sz w:val="16"/>
          <w:szCs w:val="16"/>
        </w:rPr>
        <w:t>Байерише</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Флюгцойгверке</w:t>
      </w:r>
      <w:proofErr w:type="spellEnd"/>
      <w:r w:rsidRPr="00441F34">
        <w:rPr>
          <w:rFonts w:ascii="Times New Roman" w:hAnsi="Times New Roman"/>
          <w:color w:val="0070C0"/>
          <w:sz w:val="16"/>
          <w:szCs w:val="16"/>
        </w:rPr>
        <w:t>» объявили банкротом. Распродав все имущест</w:t>
      </w:r>
      <w:r w:rsidRPr="00441F34">
        <w:rPr>
          <w:rFonts w:ascii="Times New Roman" w:hAnsi="Times New Roman"/>
          <w:color w:val="0070C0"/>
          <w:sz w:val="16"/>
          <w:szCs w:val="16"/>
        </w:rPr>
        <w:softHyphen/>
        <w:t>во, включая личный автомобиль, В. Мес</w:t>
      </w:r>
      <w:r w:rsidRPr="00441F34">
        <w:rPr>
          <w:rFonts w:ascii="Times New Roman" w:hAnsi="Times New Roman"/>
          <w:color w:val="0070C0"/>
          <w:sz w:val="16"/>
          <w:szCs w:val="16"/>
        </w:rPr>
        <w:softHyphen/>
        <w:t>сершмитт чудом удержался на плаву благода</w:t>
      </w:r>
      <w:r w:rsidRPr="00441F34">
        <w:rPr>
          <w:rFonts w:ascii="Times New Roman" w:hAnsi="Times New Roman"/>
          <w:color w:val="0070C0"/>
          <w:sz w:val="16"/>
          <w:szCs w:val="16"/>
        </w:rPr>
        <w:softHyphen/>
        <w:t>ря поддержке румынской авиакомпании, которая приобрела лицензию на производст</w:t>
      </w:r>
      <w:r w:rsidRPr="00441F34">
        <w:rPr>
          <w:rFonts w:ascii="Times New Roman" w:hAnsi="Times New Roman"/>
          <w:color w:val="0070C0"/>
          <w:sz w:val="16"/>
          <w:szCs w:val="16"/>
        </w:rPr>
        <w:softHyphen/>
        <w:t>во легкого двухместного спортивного самоле</w:t>
      </w:r>
      <w:r w:rsidRPr="00441F34">
        <w:rPr>
          <w:rFonts w:ascii="Times New Roman" w:hAnsi="Times New Roman"/>
          <w:color w:val="0070C0"/>
          <w:sz w:val="16"/>
          <w:szCs w:val="16"/>
        </w:rPr>
        <w:softHyphen/>
        <w:t>та М 23 (в Румынии он получил обозначение IAR-36). Еще несколько таких машин купили частные лица, в том числе видный дея</w:t>
      </w:r>
      <w:r w:rsidRPr="00441F34">
        <w:rPr>
          <w:rFonts w:ascii="Times New Roman" w:hAnsi="Times New Roman"/>
          <w:color w:val="0070C0"/>
          <w:sz w:val="16"/>
          <w:szCs w:val="16"/>
        </w:rPr>
        <w:softHyphen/>
        <w:t>тель германской национал-социалистической партии Р. Гесс. Впоследствии Мессершмитт и Гесс стали близкими друзьями, что свидетель</w:t>
      </w:r>
      <w:r w:rsidRPr="00441F34">
        <w:rPr>
          <w:rFonts w:ascii="Times New Roman" w:hAnsi="Times New Roman"/>
          <w:color w:val="0070C0"/>
          <w:sz w:val="16"/>
          <w:szCs w:val="16"/>
        </w:rPr>
        <w:softHyphen/>
        <w:t>ствует о симпатиях конструктора к нацист</w:t>
      </w:r>
      <w:r w:rsidRPr="00441F34">
        <w:rPr>
          <w:rFonts w:ascii="Times New Roman" w:hAnsi="Times New Roman"/>
          <w:color w:val="0070C0"/>
          <w:sz w:val="16"/>
          <w:szCs w:val="16"/>
        </w:rPr>
        <w:softHyphen/>
        <w:t>ской идеологии (заметим, что с 1924 г. В. Мес</w:t>
      </w:r>
      <w:r w:rsidRPr="00441F34">
        <w:rPr>
          <w:rFonts w:ascii="Times New Roman" w:hAnsi="Times New Roman"/>
          <w:color w:val="0070C0"/>
          <w:sz w:val="16"/>
          <w:szCs w:val="16"/>
        </w:rPr>
        <w:softHyphen/>
        <w:t>сершмитт был членом НСДАП и впоследст</w:t>
      </w:r>
      <w:r w:rsidRPr="00441F34">
        <w:rPr>
          <w:rFonts w:ascii="Times New Roman" w:hAnsi="Times New Roman"/>
          <w:color w:val="0070C0"/>
          <w:sz w:val="16"/>
          <w:szCs w:val="16"/>
        </w:rPr>
        <w:softHyphen/>
        <w:t>вии получил даже золотой значок как ее вете</w:t>
      </w:r>
      <w:r w:rsidRPr="00441F34">
        <w:rPr>
          <w:rFonts w:ascii="Times New Roman" w:hAnsi="Times New Roman"/>
          <w:color w:val="0070C0"/>
          <w:sz w:val="16"/>
          <w:szCs w:val="16"/>
        </w:rPr>
        <w:softHyphen/>
        <w:t xml:space="preserve">ран). Еще в 1920-х годах Мессершмитт близко познакомился с Э. </w:t>
      </w:r>
      <w:proofErr w:type="spellStart"/>
      <w:r w:rsidRPr="00441F34">
        <w:rPr>
          <w:rFonts w:ascii="Times New Roman" w:hAnsi="Times New Roman"/>
          <w:color w:val="0070C0"/>
          <w:sz w:val="16"/>
          <w:szCs w:val="16"/>
        </w:rPr>
        <w:t>Удетом</w:t>
      </w:r>
      <w:proofErr w:type="spellEnd"/>
      <w:r w:rsidRPr="00441F34">
        <w:rPr>
          <w:rFonts w:ascii="Times New Roman" w:hAnsi="Times New Roman"/>
          <w:color w:val="0070C0"/>
          <w:sz w:val="16"/>
          <w:szCs w:val="16"/>
        </w:rPr>
        <w:t>, будущим главой Технического управления. Однако знакомст</w:t>
      </w:r>
      <w:r w:rsidRPr="00441F34">
        <w:rPr>
          <w:rFonts w:ascii="Times New Roman" w:hAnsi="Times New Roman"/>
          <w:color w:val="0070C0"/>
          <w:sz w:val="16"/>
          <w:szCs w:val="16"/>
        </w:rPr>
        <w:softHyphen/>
        <w:t>ва не помогли, и в 1931 г. Вилли остался прак</w:t>
      </w:r>
      <w:r w:rsidRPr="00441F34">
        <w:rPr>
          <w:rFonts w:ascii="Times New Roman" w:hAnsi="Times New Roman"/>
          <w:color w:val="0070C0"/>
          <w:sz w:val="16"/>
          <w:szCs w:val="16"/>
        </w:rPr>
        <w:softHyphen/>
        <w:t>тически у разбитого корыта, сохранив лишь небольшую группу ближайших помощников, которые стали сотрудниками новой компа</w:t>
      </w:r>
      <w:r w:rsidRPr="00441F34">
        <w:rPr>
          <w:rFonts w:ascii="Times New Roman" w:hAnsi="Times New Roman"/>
          <w:color w:val="0070C0"/>
          <w:sz w:val="16"/>
          <w:szCs w:val="16"/>
        </w:rPr>
        <w:softHyphen/>
        <w:t xml:space="preserve">нии «Мессершмитт </w:t>
      </w:r>
      <w:proofErr w:type="spellStart"/>
      <w:r w:rsidRPr="00441F34">
        <w:rPr>
          <w:rFonts w:ascii="Times New Roman" w:hAnsi="Times New Roman"/>
          <w:color w:val="0070C0"/>
          <w:sz w:val="16"/>
          <w:szCs w:val="16"/>
        </w:rPr>
        <w:t>Флюгцойгбау</w:t>
      </w:r>
      <w:proofErr w:type="spellEnd"/>
      <w:r w:rsidRPr="00441F34">
        <w:rPr>
          <w:rFonts w:ascii="Times New Roman" w:hAnsi="Times New Roman"/>
          <w:color w:val="0070C0"/>
          <w:sz w:val="16"/>
          <w:szCs w:val="16"/>
        </w:rPr>
        <w:t>».</w:t>
      </w:r>
    </w:p>
    <w:p w14:paraId="26C501B4"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приходом нацистов к власти в 1933 г. Р. Гесс оказал содействие в восстановлении прежней, уже заслужившей в авиационных кругах определенное имя компании «</w:t>
      </w:r>
      <w:proofErr w:type="spellStart"/>
      <w:r w:rsidRPr="00441F34">
        <w:rPr>
          <w:rFonts w:ascii="Times New Roman" w:hAnsi="Times New Roman"/>
          <w:color w:val="0070C0"/>
          <w:sz w:val="16"/>
          <w:szCs w:val="16"/>
        </w:rPr>
        <w:t>Байери</w:t>
      </w:r>
      <w:r w:rsidRPr="00441F34">
        <w:rPr>
          <w:rFonts w:ascii="Times New Roman" w:hAnsi="Times New Roman"/>
          <w:color w:val="0070C0"/>
          <w:sz w:val="16"/>
          <w:szCs w:val="16"/>
        </w:rPr>
        <w:softHyphen/>
        <w:t>ше</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Флюгцойгверке</w:t>
      </w:r>
      <w:proofErr w:type="spellEnd"/>
      <w:r w:rsidRPr="00441F34">
        <w:rPr>
          <w:rFonts w:ascii="Times New Roman" w:hAnsi="Times New Roman"/>
          <w:color w:val="0070C0"/>
          <w:sz w:val="16"/>
          <w:szCs w:val="16"/>
        </w:rPr>
        <w:t>»; более того, она получи</w:t>
      </w:r>
      <w:r w:rsidRPr="00441F34">
        <w:rPr>
          <w:rFonts w:ascii="Times New Roman" w:hAnsi="Times New Roman"/>
          <w:color w:val="0070C0"/>
          <w:sz w:val="16"/>
          <w:szCs w:val="16"/>
        </w:rPr>
        <w:softHyphen/>
        <w:t>ла в свое распоряжение новый завод в Реген</w:t>
      </w:r>
      <w:r w:rsidRPr="00441F34">
        <w:rPr>
          <w:rFonts w:ascii="Times New Roman" w:hAnsi="Times New Roman"/>
          <w:color w:val="0070C0"/>
          <w:sz w:val="16"/>
          <w:szCs w:val="16"/>
        </w:rPr>
        <w:softHyphen/>
        <w:t xml:space="preserve">сбурге. Однако Э. </w:t>
      </w:r>
      <w:proofErr w:type="spellStart"/>
      <w:r w:rsidRPr="00441F34">
        <w:rPr>
          <w:rFonts w:ascii="Times New Roman" w:hAnsi="Times New Roman"/>
          <w:color w:val="0070C0"/>
          <w:sz w:val="16"/>
          <w:szCs w:val="16"/>
        </w:rPr>
        <w:t>Мильх</w:t>
      </w:r>
      <w:proofErr w:type="spellEnd"/>
      <w:r w:rsidRPr="00441F34">
        <w:rPr>
          <w:rFonts w:ascii="Times New Roman" w:hAnsi="Times New Roman"/>
          <w:color w:val="0070C0"/>
          <w:sz w:val="16"/>
          <w:szCs w:val="16"/>
        </w:rPr>
        <w:t>, также возвысив</w:t>
      </w:r>
      <w:r w:rsidRPr="00441F34">
        <w:rPr>
          <w:rFonts w:ascii="Times New Roman" w:hAnsi="Times New Roman"/>
          <w:color w:val="0070C0"/>
          <w:sz w:val="16"/>
          <w:szCs w:val="16"/>
        </w:rPr>
        <w:softHyphen/>
        <w:t>шийся, по-прежнему недолюбливал Мес</w:t>
      </w:r>
      <w:r w:rsidRPr="00441F34">
        <w:rPr>
          <w:rFonts w:ascii="Times New Roman" w:hAnsi="Times New Roman"/>
          <w:color w:val="0070C0"/>
          <w:sz w:val="16"/>
          <w:szCs w:val="16"/>
        </w:rPr>
        <w:softHyphen/>
        <w:t>сершмитта и решил превратить его фирму в своеобразный филиал компании своего друга Э. Хейнкеля, поручив ей лицензионное про</w:t>
      </w:r>
      <w:r w:rsidRPr="00441F34">
        <w:rPr>
          <w:rFonts w:ascii="Times New Roman" w:hAnsi="Times New Roman"/>
          <w:color w:val="0070C0"/>
          <w:sz w:val="16"/>
          <w:szCs w:val="16"/>
        </w:rPr>
        <w:softHyphen/>
        <w:t>изводство разведчика Не 45. Хейнкель даже попытался перекупить завод в Регенсбурге и ликвидировать производственную базу кон</w:t>
      </w:r>
      <w:r w:rsidRPr="00441F34">
        <w:rPr>
          <w:rFonts w:ascii="Times New Roman" w:hAnsi="Times New Roman"/>
          <w:color w:val="0070C0"/>
          <w:sz w:val="16"/>
          <w:szCs w:val="16"/>
        </w:rPr>
        <w:softHyphen/>
        <w:t>курента, но это ему не удалось. Взаимная не</w:t>
      </w:r>
      <w:r w:rsidRPr="00441F34">
        <w:rPr>
          <w:rFonts w:ascii="Times New Roman" w:hAnsi="Times New Roman"/>
          <w:color w:val="0070C0"/>
          <w:sz w:val="16"/>
          <w:szCs w:val="16"/>
        </w:rPr>
        <w:softHyphen/>
        <w:t>приязнь двух видных германских авиаконст</w:t>
      </w:r>
      <w:r w:rsidRPr="00441F34">
        <w:rPr>
          <w:rFonts w:ascii="Times New Roman" w:hAnsi="Times New Roman"/>
          <w:color w:val="0070C0"/>
          <w:sz w:val="16"/>
          <w:szCs w:val="16"/>
        </w:rPr>
        <w:softHyphen/>
        <w:t>рукторов стала еще глубже (24195).</w:t>
      </w:r>
    </w:p>
    <w:p w14:paraId="6EDF24B0" w14:textId="77777777" w:rsidR="00862F5B" w:rsidRPr="00441F34" w:rsidRDefault="00862F5B" w:rsidP="00862F5B">
      <w:pPr>
        <w:spacing w:after="0" w:line="240" w:lineRule="auto"/>
        <w:jc w:val="both"/>
        <w:rPr>
          <w:rFonts w:ascii="Times New Roman" w:hAnsi="Times New Roman"/>
          <w:color w:val="0070C0"/>
          <w:sz w:val="16"/>
          <w:szCs w:val="16"/>
        </w:rPr>
      </w:pPr>
    </w:p>
    <w:p w14:paraId="018F6D07" w14:textId="77777777" w:rsidR="00862F5B" w:rsidRPr="00441F34" w:rsidRDefault="00862F5B" w:rsidP="00862F5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июне 1931 г. прототип Ju-52 передали для проведения эксплуатационных испытаний в авиакомпанию </w:t>
      </w:r>
      <w:proofErr w:type="spellStart"/>
      <w:r w:rsidRPr="00441F34">
        <w:rPr>
          <w:rFonts w:ascii="Times New Roman" w:hAnsi="Times New Roman"/>
          <w:color w:val="0070C0"/>
          <w:sz w:val="16"/>
          <w:szCs w:val="16"/>
        </w:rPr>
        <w:t>Luftfrako</w:t>
      </w:r>
      <w:proofErr w:type="spellEnd"/>
      <w:r w:rsidRPr="00441F34">
        <w:rPr>
          <w:rFonts w:ascii="Times New Roman" w:hAnsi="Times New Roman"/>
          <w:color w:val="0070C0"/>
          <w:sz w:val="16"/>
          <w:szCs w:val="16"/>
        </w:rPr>
        <w:t xml:space="preserve"> Air Express GmbH. Испытания продолжались четыре недели, после чего машину вернули фирме Юнкерс. Специалисты авиакомпании высоко оценили самолет (24200).</w:t>
      </w:r>
    </w:p>
    <w:p w14:paraId="76564708" w14:textId="77777777" w:rsidR="00862F5B" w:rsidRPr="00441F34" w:rsidRDefault="00862F5B" w:rsidP="00862F5B">
      <w:pPr>
        <w:spacing w:after="0" w:line="240" w:lineRule="auto"/>
        <w:jc w:val="both"/>
        <w:rPr>
          <w:rFonts w:ascii="Times New Roman" w:hAnsi="Times New Roman"/>
          <w:color w:val="0070C0"/>
          <w:sz w:val="16"/>
          <w:szCs w:val="16"/>
        </w:rPr>
      </w:pPr>
    </w:p>
    <w:p w14:paraId="6BED83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1931 в Испании было выбрано социал-демократическое правительство (2283).</w:t>
      </w:r>
    </w:p>
    <w:p w14:paraId="11DD84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77C6C4" w14:textId="77777777" w:rsidR="00665803" w:rsidRPr="007122AB" w:rsidRDefault="0066580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D110F11" w14:textId="77777777" w:rsidR="00665803" w:rsidRPr="007122AB" w:rsidRDefault="0066580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D938EB"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июня по сентябрь 1931 силами конструкторского бюро </w:t>
      </w:r>
      <w:proofErr w:type="spellStart"/>
      <w:r w:rsidRPr="007122AB">
        <w:rPr>
          <w:rFonts w:ascii="Times New Roman" w:hAnsi="Times New Roman"/>
          <w:color w:val="000000" w:themeColor="text1"/>
          <w:sz w:val="16"/>
          <w:szCs w:val="16"/>
        </w:rPr>
        <w:t>автоотдела</w:t>
      </w:r>
      <w:proofErr w:type="spellEnd"/>
      <w:r w:rsidRPr="007122AB">
        <w:rPr>
          <w:rFonts w:ascii="Times New Roman" w:hAnsi="Times New Roman"/>
          <w:color w:val="000000" w:themeColor="text1"/>
          <w:sz w:val="16"/>
          <w:szCs w:val="16"/>
        </w:rPr>
        <w:t xml:space="preserve"> НАТИ проектируются трёхосные автомобили Я-НАТИ-9Д, входящие в серию тяжёлых грузовиков Я-НАТИ-Х (22518).</w:t>
      </w:r>
    </w:p>
    <w:p w14:paraId="2F696816" w14:textId="77777777" w:rsidR="00665803" w:rsidRPr="007122AB" w:rsidRDefault="00665803" w:rsidP="007122AB">
      <w:pPr>
        <w:spacing w:after="0" w:line="240" w:lineRule="auto"/>
        <w:jc w:val="both"/>
        <w:rPr>
          <w:rFonts w:ascii="Times New Roman" w:hAnsi="Times New Roman"/>
          <w:color w:val="000000" w:themeColor="text1"/>
          <w:sz w:val="16"/>
          <w:szCs w:val="16"/>
        </w:rPr>
      </w:pPr>
    </w:p>
    <w:p w14:paraId="7A321F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FDE717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B4D0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втором квартале 1931 г. первые И-5 начали поступать на вооружение ВВС. К 1 октября 1931 г. в ВВС РККА насчитывалось 54 И-5, а к 1 января 1933 г. - 348. В 1936 г. их уже начали снимать с вооружения. В 1938 г. в ВВС Забайкальского военного округа оставалось 6 ма</w:t>
      </w:r>
      <w:r w:rsidRPr="007122AB">
        <w:rPr>
          <w:rFonts w:ascii="Times New Roman" w:hAnsi="Times New Roman"/>
          <w:color w:val="000000" w:themeColor="text1"/>
          <w:sz w:val="16"/>
          <w:szCs w:val="16"/>
        </w:rPr>
        <w:softHyphen/>
        <w:t xml:space="preserve">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w:t>
      </w:r>
      <w:proofErr w:type="spellStart"/>
      <w:r w:rsidRPr="007122AB">
        <w:rPr>
          <w:rFonts w:ascii="Times New Roman" w:hAnsi="Times New Roman"/>
          <w:color w:val="000000" w:themeColor="text1"/>
          <w:sz w:val="16"/>
          <w:szCs w:val="16"/>
        </w:rPr>
        <w:t>Тамсаг</w:t>
      </w:r>
      <w:proofErr w:type="spellEnd"/>
      <w:r w:rsidRPr="007122AB">
        <w:rPr>
          <w:rFonts w:ascii="Times New Roman" w:hAnsi="Times New Roman"/>
          <w:color w:val="000000" w:themeColor="text1"/>
          <w:sz w:val="16"/>
          <w:szCs w:val="16"/>
        </w:rPr>
        <w:t>-Булак, где занималась патрулированием границы (10667).</w:t>
      </w:r>
    </w:p>
    <w:p w14:paraId="0AA073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89361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EC8CD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E3B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лета 1931 закончилась сборка И-12 и в июне машина вышла на аэродром. Потребовался месяц на доводки и первый вылет был только 29 августа 1931 (2693,14) или июле (3996, 96).</w:t>
      </w:r>
    </w:p>
    <w:p w14:paraId="5555F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8C81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лета 1931 г. И-12 был закончен постройкой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w:t>
      </w:r>
      <w:proofErr w:type="spellStart"/>
      <w:r w:rsidRPr="007122AB">
        <w:rPr>
          <w:rFonts w:ascii="Times New Roman" w:hAnsi="Times New Roman"/>
          <w:color w:val="000000" w:themeColor="text1"/>
          <w:sz w:val="16"/>
          <w:szCs w:val="16"/>
        </w:rPr>
        <w:t>перекомпенсации</w:t>
      </w:r>
      <w:proofErr w:type="spellEnd"/>
      <w:r w:rsidRPr="007122AB">
        <w:rPr>
          <w:rFonts w:ascii="Times New Roman" w:hAnsi="Times New Roman"/>
          <w:color w:val="000000" w:themeColor="text1"/>
          <w:sz w:val="16"/>
          <w:szCs w:val="16"/>
        </w:rPr>
        <w:t>). После этой доработки задняя кромка элеронов стала выступать за контур крыла.</w:t>
      </w:r>
    </w:p>
    <w:p w14:paraId="726161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Начальная скорость оказалась 397 м/с. Первые наземные стрельбы И-12 с АПК-5 состоялись 11 ноября 1931 г. на аэродроме НИИ ВВС.</w:t>
      </w:r>
    </w:p>
    <w:p w14:paraId="1CEFD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38394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592B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лета 1931 г. ТБ-5 вывезли на аэродром. После проверок и доводок было решено выпустить машину в воздух (5854,33).</w:t>
      </w:r>
    </w:p>
    <w:p w14:paraId="5FDFC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B326BB"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лета 1931 г. ТБ-5 вывезли на аэродром. После проведения соответ</w:t>
      </w:r>
      <w:r w:rsidRPr="007122AB">
        <w:rPr>
          <w:rFonts w:ascii="Times New Roman" w:hAnsi="Times New Roman"/>
          <w:color w:val="000000" w:themeColor="text1"/>
          <w:sz w:val="16"/>
          <w:szCs w:val="16"/>
        </w:rPr>
        <w:softHyphen/>
        <w:t>ствующих проверок и доводок было решено выпустить машину в воздух. 30 июня летчик Бенедикт Бухгольц совершил первый проб</w:t>
      </w:r>
      <w:r w:rsidRPr="007122AB">
        <w:rPr>
          <w:rFonts w:ascii="Times New Roman" w:hAnsi="Times New Roman"/>
          <w:color w:val="000000" w:themeColor="text1"/>
          <w:sz w:val="16"/>
          <w:szCs w:val="16"/>
        </w:rPr>
        <w:softHyphen/>
        <w:t>ный полет самолета в зоне Ходынского аэро</w:t>
      </w:r>
      <w:r w:rsidRPr="007122AB">
        <w:rPr>
          <w:rFonts w:ascii="Times New Roman" w:hAnsi="Times New Roman"/>
          <w:color w:val="000000" w:themeColor="text1"/>
          <w:sz w:val="16"/>
          <w:szCs w:val="16"/>
        </w:rPr>
        <w:softHyphen/>
        <w:t xml:space="preserve">дрома. Естественно, перед полетом имелись опасения в отношении управляемости такой тяжелой машины в воздухе, интересовало в частности, как поведет себя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Бухгольц после приземления все опасения развеял, заявив буквально следующее: «Устойчивость в воздухе хорошая. Легкость управления самолетом невиданная. Очень малы нагрузки на рули».</w:t>
      </w:r>
    </w:p>
    <w:p w14:paraId="41E199B1"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 июля 1931 г. самолет совершил 4 успешных полета. При взлетном весе 11200 кг, запасе топлива 1850 кг, даль</w:t>
      </w:r>
      <w:r w:rsidRPr="007122AB">
        <w:rPr>
          <w:rFonts w:ascii="Times New Roman" w:hAnsi="Times New Roman"/>
          <w:color w:val="000000" w:themeColor="text1"/>
          <w:sz w:val="16"/>
          <w:szCs w:val="16"/>
        </w:rPr>
        <w:softHyphen/>
        <w:t>ность полета определялась в 1100 км. Достигнутая продолжительность нахож</w:t>
      </w:r>
      <w:r w:rsidRPr="007122AB">
        <w:rPr>
          <w:rFonts w:ascii="Times New Roman" w:hAnsi="Times New Roman"/>
          <w:color w:val="000000" w:themeColor="text1"/>
          <w:sz w:val="16"/>
          <w:szCs w:val="16"/>
        </w:rPr>
        <w:softHyphen/>
        <w:t xml:space="preserve">дения в воздухе при крейсерской скорости 162 км/ч на высоте 3000 м составляла 6,7 </w:t>
      </w:r>
      <w:proofErr w:type="spellStart"/>
      <w:r w:rsidRPr="007122AB">
        <w:rPr>
          <w:rFonts w:ascii="Times New Roman" w:hAnsi="Times New Roman"/>
          <w:color w:val="000000" w:themeColor="text1"/>
          <w:sz w:val="16"/>
          <w:szCs w:val="16"/>
        </w:rPr>
        <w:t>ч.Максимальная</w:t>
      </w:r>
      <w:proofErr w:type="spellEnd"/>
      <w:r w:rsidRPr="007122AB">
        <w:rPr>
          <w:rFonts w:ascii="Times New Roman" w:hAnsi="Times New Roman"/>
          <w:color w:val="000000" w:themeColor="text1"/>
          <w:sz w:val="16"/>
          <w:szCs w:val="16"/>
        </w:rPr>
        <w:t xml:space="preserve"> дальность полета при пол</w:t>
      </w:r>
      <w:r w:rsidRPr="007122AB">
        <w:rPr>
          <w:rFonts w:ascii="Times New Roman" w:hAnsi="Times New Roman"/>
          <w:color w:val="000000" w:themeColor="text1"/>
          <w:sz w:val="16"/>
          <w:szCs w:val="16"/>
        </w:rPr>
        <w:softHyphen/>
        <w:t>ной загрузке топливом 2410 кг составляла 2100 км. Взлетный вес при этом —12060 кг, из них бомб 500 кг. Максимальная скорость составила 180 км/ч у земли, практический потолок — 3500 м, разбег на взлете — 400-420 м.</w:t>
      </w:r>
    </w:p>
    <w:p w14:paraId="06D1F944"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Полученные на испытаниях летные характеристики ТБ-5 оценили как невысо</w:t>
      </w:r>
      <w:r w:rsidRPr="007122AB">
        <w:rPr>
          <w:rFonts w:ascii="Times New Roman" w:hAnsi="Times New Roman"/>
          <w:color w:val="000000" w:themeColor="text1"/>
          <w:sz w:val="16"/>
          <w:szCs w:val="16"/>
        </w:rPr>
        <w:softHyphen/>
        <w:t>кие, особенно в сравнении с уже летающим в течении полугода ТБ-3. Причиной полу</w:t>
      </w:r>
      <w:r w:rsidRPr="007122AB">
        <w:rPr>
          <w:rFonts w:ascii="Times New Roman" w:hAnsi="Times New Roman"/>
          <w:color w:val="000000" w:themeColor="text1"/>
          <w:sz w:val="16"/>
          <w:szCs w:val="16"/>
        </w:rPr>
        <w:softHyphen/>
        <w:t>ченных результатов являлась не вполне удачная тандемная установка двигателей Гном Рон «Юпитер». Двигатели были оснащены воздушными винтами, более подходящими для самолетов истребите</w:t>
      </w:r>
      <w:r w:rsidRPr="007122AB">
        <w:rPr>
          <w:rFonts w:ascii="Times New Roman" w:hAnsi="Times New Roman"/>
          <w:color w:val="000000" w:themeColor="text1"/>
          <w:sz w:val="16"/>
          <w:szCs w:val="16"/>
        </w:rPr>
        <w:softHyphen/>
        <w:t>лей, нежели для бомбардировщика. Кроме того, толкающие винты задних двигателей по условиям их размещения под крылом самолета пришлось значительно умень</w:t>
      </w:r>
      <w:r w:rsidRPr="007122AB">
        <w:rPr>
          <w:rFonts w:ascii="Times New Roman" w:hAnsi="Times New Roman"/>
          <w:color w:val="000000" w:themeColor="text1"/>
          <w:sz w:val="16"/>
          <w:szCs w:val="16"/>
        </w:rPr>
        <w:softHyphen/>
        <w:t>шить в диаметре.</w:t>
      </w:r>
    </w:p>
    <w:p w14:paraId="405450A3"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в сравнении с ТБ-3, у бом</w:t>
      </w:r>
      <w:r w:rsidRPr="007122AB">
        <w:rPr>
          <w:rFonts w:ascii="Times New Roman" w:hAnsi="Times New Roman"/>
          <w:color w:val="000000" w:themeColor="text1"/>
          <w:sz w:val="16"/>
          <w:szCs w:val="16"/>
        </w:rPr>
        <w:softHyphen/>
        <w:t>бардировщика Григоровича имелись и неоспоримые преимущества. ТБ-5 имел более совершенную схему размещения оборонительных установок, внутрен</w:t>
      </w:r>
      <w:r w:rsidRPr="007122AB">
        <w:rPr>
          <w:rFonts w:ascii="Times New Roman" w:hAnsi="Times New Roman"/>
          <w:color w:val="000000" w:themeColor="text1"/>
          <w:sz w:val="16"/>
          <w:szCs w:val="16"/>
        </w:rPr>
        <w:softHyphen/>
        <w:t>нюю подвеску всего ассортимента бомб, обладал меньшими геометрическими размерами. Главным его достоинством считалась меньшая стоимость и мень</w:t>
      </w:r>
      <w:r w:rsidRPr="007122AB">
        <w:rPr>
          <w:rFonts w:ascii="Times New Roman" w:hAnsi="Times New Roman"/>
          <w:color w:val="000000" w:themeColor="text1"/>
          <w:sz w:val="16"/>
          <w:szCs w:val="16"/>
        </w:rPr>
        <w:softHyphen/>
        <w:t>шие трудозатраты при производстве. По последнему показателю ТБ-5 оценивался равнозначно с ТБ-1 и на четверть проще в изготовлении, чем ТБ-3.</w:t>
      </w:r>
    </w:p>
    <w:p w14:paraId="7DA65A1F"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w:t>
      </w:r>
      <w:proofErr w:type="spellStart"/>
      <w:r w:rsidRPr="007122AB">
        <w:rPr>
          <w:rFonts w:ascii="Times New Roman" w:hAnsi="Times New Roman"/>
          <w:color w:val="000000" w:themeColor="text1"/>
          <w:sz w:val="16"/>
          <w:szCs w:val="16"/>
        </w:rPr>
        <w:t>стабилирон</w:t>
      </w:r>
      <w:proofErr w:type="spellEnd"/>
      <w:r w:rsidRPr="007122AB">
        <w:rPr>
          <w:rFonts w:ascii="Times New Roman" w:hAnsi="Times New Roman"/>
          <w:color w:val="000000" w:themeColor="text1"/>
          <w:sz w:val="16"/>
          <w:szCs w:val="16"/>
        </w:rPr>
        <w:t>. Назначе</w:t>
      </w:r>
      <w:r w:rsidRPr="007122AB">
        <w:rPr>
          <w:rFonts w:ascii="Times New Roman" w:hAnsi="Times New Roman"/>
          <w:color w:val="000000" w:themeColor="text1"/>
          <w:sz w:val="16"/>
          <w:szCs w:val="16"/>
        </w:rPr>
        <w:softHyphen/>
        <w:t xml:space="preserve">ние </w:t>
      </w:r>
      <w:proofErr w:type="spellStart"/>
      <w:r w:rsidRPr="007122AB">
        <w:rPr>
          <w:rFonts w:ascii="Times New Roman" w:hAnsi="Times New Roman"/>
          <w:color w:val="000000" w:themeColor="text1"/>
          <w:sz w:val="16"/>
          <w:szCs w:val="16"/>
        </w:rPr>
        <w:t>стабилирона</w:t>
      </w:r>
      <w:proofErr w:type="spellEnd"/>
      <w:r w:rsidRPr="007122AB">
        <w:rPr>
          <w:rFonts w:ascii="Times New Roman" w:hAnsi="Times New Roman"/>
          <w:color w:val="000000" w:themeColor="text1"/>
          <w:sz w:val="16"/>
          <w:szCs w:val="16"/>
        </w:rPr>
        <w:t xml:space="preserve"> — облегчить усилия на рулях во время посадки и при изменении центровки.</w:t>
      </w:r>
    </w:p>
    <w:p w14:paraId="71DC6074"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самолета из металла с полотняной обшивкой. Фюзеляж фер</w:t>
      </w:r>
      <w:r w:rsidRPr="007122AB">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7122AB">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7122AB">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7122AB">
        <w:rPr>
          <w:rFonts w:ascii="Times New Roman" w:hAnsi="Times New Roman"/>
          <w:color w:val="000000" w:themeColor="text1"/>
          <w:sz w:val="16"/>
          <w:szCs w:val="16"/>
        </w:rPr>
        <w:softHyphen/>
        <w:t>ками для отдыха.</w:t>
      </w:r>
    </w:p>
    <w:p w14:paraId="2E6D3276"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Оборонительное вооружение ТБ-5 состояло из трех турелей ТУ Р-5 со спарен</w:t>
      </w:r>
      <w:r w:rsidRPr="007122AB">
        <w:rPr>
          <w:rFonts w:ascii="Times New Roman" w:hAnsi="Times New Roman"/>
          <w:color w:val="000000" w:themeColor="text1"/>
          <w:sz w:val="16"/>
          <w:szCs w:val="16"/>
        </w:rPr>
        <w:softHyphen/>
        <w:t>ными пулеметами ДА. Одна турель нахо</w:t>
      </w:r>
      <w:r w:rsidRPr="007122AB">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2E359722"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место в носовой части фюзе</w:t>
      </w:r>
      <w:r w:rsidRPr="007122AB">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7122AB">
        <w:rPr>
          <w:rFonts w:ascii="Times New Roman" w:hAnsi="Times New Roman"/>
          <w:color w:val="000000" w:themeColor="text1"/>
          <w:sz w:val="16"/>
          <w:szCs w:val="16"/>
        </w:rPr>
        <w:softHyphen/>
        <w:t xml:space="preserve">ния под руководством А.В. </w:t>
      </w:r>
      <w:proofErr w:type="spellStart"/>
      <w:r w:rsidRPr="007122AB">
        <w:rPr>
          <w:rFonts w:ascii="Times New Roman" w:hAnsi="Times New Roman"/>
          <w:color w:val="000000" w:themeColor="text1"/>
          <w:sz w:val="16"/>
          <w:szCs w:val="16"/>
        </w:rPr>
        <w:t>Надашкевича</w:t>
      </w:r>
      <w:proofErr w:type="spellEnd"/>
      <w:r w:rsidRPr="007122AB">
        <w:rPr>
          <w:rFonts w:ascii="Times New Roman" w:hAnsi="Times New Roman"/>
          <w:color w:val="000000" w:themeColor="text1"/>
          <w:sz w:val="16"/>
          <w:szCs w:val="16"/>
        </w:rPr>
        <w:t>. Практически это была первая в стране заявка на серьезную механизированную и электрифицированную оборонитель</w:t>
      </w:r>
      <w:r w:rsidRPr="007122AB">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7122AB">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7122AB">
        <w:rPr>
          <w:rFonts w:ascii="Times New Roman" w:hAnsi="Times New Roman"/>
          <w:color w:val="000000" w:themeColor="text1"/>
          <w:sz w:val="16"/>
          <w:szCs w:val="16"/>
        </w:rPr>
        <w:softHyphen/>
        <w:t>положенную за его спиной.</w:t>
      </w:r>
    </w:p>
    <w:p w14:paraId="58F3CB04"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w:t>
      </w:r>
      <w:proofErr w:type="spellStart"/>
      <w:r w:rsidRPr="007122AB">
        <w:rPr>
          <w:rFonts w:ascii="Times New Roman" w:hAnsi="Times New Roman"/>
          <w:color w:val="000000" w:themeColor="text1"/>
          <w:sz w:val="16"/>
          <w:szCs w:val="16"/>
        </w:rPr>
        <w:t>максимов</w:t>
      </w:r>
      <w:proofErr w:type="spellEnd"/>
      <w:r w:rsidRPr="007122AB">
        <w:rPr>
          <w:rFonts w:ascii="Times New Roman" w:hAnsi="Times New Roman"/>
          <w:color w:val="000000" w:themeColor="text1"/>
          <w:sz w:val="16"/>
          <w:szCs w:val="16"/>
        </w:rPr>
        <w:t>», у которых вместо водяного применялось воздушное охлаждение. Башня, являв</w:t>
      </w:r>
      <w:r w:rsidRPr="007122AB">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7122AB">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7122AB">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1BC0463A"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Крыло ТБ-5 </w:t>
      </w:r>
      <w:proofErr w:type="spellStart"/>
      <w:r w:rsidRPr="007122AB">
        <w:rPr>
          <w:rFonts w:ascii="Times New Roman" w:hAnsi="Times New Roman"/>
          <w:color w:val="000000" w:themeColor="text1"/>
          <w:sz w:val="16"/>
          <w:szCs w:val="16"/>
        </w:rPr>
        <w:t>трехлонжеронное</w:t>
      </w:r>
      <w:proofErr w:type="spellEnd"/>
      <w:r w:rsidRPr="007122AB">
        <w:rPr>
          <w:rFonts w:ascii="Times New Roman" w:hAnsi="Times New Roman"/>
          <w:color w:val="000000" w:themeColor="text1"/>
          <w:sz w:val="16"/>
          <w:szCs w:val="16"/>
        </w:rPr>
        <w:t>, с частым шагом нервюр (поэтому и очень трудоем</w:t>
      </w:r>
      <w:r w:rsidRPr="007122AB">
        <w:rPr>
          <w:rFonts w:ascii="Times New Roman" w:hAnsi="Times New Roman"/>
          <w:color w:val="000000" w:themeColor="text1"/>
          <w:sz w:val="16"/>
          <w:szCs w:val="16"/>
        </w:rPr>
        <w:softHyphen/>
        <w:t>кое, особенно но части крепления полотня</w:t>
      </w:r>
      <w:r w:rsidRPr="007122AB">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3A52D685"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7122AB">
        <w:rPr>
          <w:rFonts w:ascii="Times New Roman" w:hAnsi="Times New Roman"/>
          <w:color w:val="000000" w:themeColor="text1"/>
          <w:sz w:val="16"/>
          <w:szCs w:val="16"/>
        </w:rPr>
        <w:softHyphen/>
        <w:t xml:space="preserve">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Воздушные винты деревянные, передний — тянущий, задний — толкающий (12611) (12611).</w:t>
      </w:r>
    </w:p>
    <w:p w14:paraId="16FC6FAE"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6D552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лета 1931 г. пушечный истребитель Григоровича вывезли на аэродром Поднимал его в воздух известный лётчик-испытатель Бенедикт Бухгольц, точная дата первого полёта автору неизвестна (12005).</w:t>
      </w:r>
    </w:p>
    <w:p w14:paraId="767953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58BF4D" w14:textId="12D89F0F" w:rsidR="000B7ADA" w:rsidRDefault="000B7ADA"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05EBC2F7" w14:textId="77777777" w:rsidR="000B7ADA" w:rsidRDefault="000B7ADA"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40A323F2"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 начале лета 1931 г. документов следует, что работы по созданию в СССР танковых дизелей только начинали набирать обороты. При этом проектирование танковых дизелей велось параллельно в двух конструкторских бюро – в Специальном конструкторском бюро дизельного отдела НАТИ ВАТО и в Особом конструкторском бюро при Техническом отделе Экономического управления ОГПУ (ТО ЭКУ ОГПУ).</w:t>
      </w:r>
    </w:p>
    <w:p w14:paraId="4DA6C6D1"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Отметим, что в отличие от разрабатывавшегося в НАТИ дизеля Д-300, не предназначавшегося для установки в конкретный образец танка, дизель с максимальной мощностью 400 л.с., проектируемый в ОКБ при ТО ЭКУ ОГПУ, был изначально предназначен для создаваемого в этом же ОКБ колесно-гусеничного плавающего танка ПТ-1. В честь начальника ЭКУ ОГПУ Прокофьева Георгия Евгеньевича этот дизель был назван ПГЕ (24856).</w:t>
      </w:r>
    </w:p>
    <w:p w14:paraId="122619D8" w14:textId="77777777" w:rsidR="000B7ADA" w:rsidRPr="00441F34" w:rsidRDefault="000B7ADA" w:rsidP="000B7ADA">
      <w:pPr>
        <w:spacing w:after="0" w:line="240" w:lineRule="auto"/>
        <w:jc w:val="both"/>
        <w:rPr>
          <w:rFonts w:ascii="Times New Roman" w:hAnsi="Times New Roman"/>
          <w:color w:val="0070C0"/>
          <w:sz w:val="16"/>
          <w:szCs w:val="16"/>
        </w:rPr>
      </w:pPr>
    </w:p>
    <w:p w14:paraId="27751DA1" w14:textId="50AFDE30"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FE6A9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AE4816"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на должность начальника ВАО назначен П.И. Баранов (при этом он сохранил и должность начальника УВВС, в 1932 г. назначен еще и заместителем наркома тяжелой промышленности). При Баранове на фоне резко осложнившейся международной обстановки были предприняты чрезвычайные меры по форсированию не только разработки новых военных самолетов, но и запуска их в серийное производство и наращиванию поставок в войска. При этом он делал упор на контроль качества продукции и выполнения планов не по линии ОГПУ, а через ВАО и УВВС, что благотворно сказалось на обстановке в ЦКБ-39. Также он способствовал развитию экспериментальной и производственной базы ЦКБ и комплектации его подготовленными кадрами (23559).</w:t>
      </w:r>
    </w:p>
    <w:p w14:paraId="7C103B8C" w14:textId="77777777" w:rsidR="000B7ADA" w:rsidRPr="00441F34" w:rsidRDefault="000B7ADA" w:rsidP="000B7ADA">
      <w:pPr>
        <w:spacing w:after="0" w:line="240" w:lineRule="auto"/>
        <w:jc w:val="both"/>
        <w:rPr>
          <w:rFonts w:ascii="Times New Roman" w:hAnsi="Times New Roman"/>
          <w:color w:val="0070C0"/>
          <w:sz w:val="16"/>
          <w:szCs w:val="16"/>
        </w:rPr>
      </w:pPr>
    </w:p>
    <w:p w14:paraId="70632C18"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результаты своей работы по испытаниям самолета ТБ- 2 НИИ ВВС оформил в несколько странном от</w:t>
      </w:r>
      <w:r w:rsidRPr="00441F34">
        <w:rPr>
          <w:rFonts w:ascii="Times New Roman" w:hAnsi="Times New Roman"/>
          <w:color w:val="0070C0"/>
          <w:sz w:val="16"/>
          <w:szCs w:val="16"/>
        </w:rPr>
        <w:softHyphen/>
        <w:t>чете. В нем не были указаны исполнители, сроки проведения работ, отсутствовала про</w:t>
      </w:r>
      <w:r w:rsidRPr="00441F34">
        <w:rPr>
          <w:rFonts w:ascii="Times New Roman" w:hAnsi="Times New Roman"/>
          <w:color w:val="0070C0"/>
          <w:sz w:val="16"/>
          <w:szCs w:val="16"/>
        </w:rPr>
        <w:softHyphen/>
        <w:t>грамма испытаний и их дневник. Тем не менее, был выполнен большой объем работ и даже проведен сравнительный анализ полученных результатов с данными испытаний ТБ-1.</w:t>
      </w:r>
    </w:p>
    <w:p w14:paraId="279F813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Эксплуатационно-летная оценка ТБ-2 в отчете звучала достаточно благоприятно: «Работа на земле. - При работе моторов на малых оборотах наблюдаются значитель</w:t>
      </w:r>
      <w:r w:rsidRPr="00441F34">
        <w:rPr>
          <w:rFonts w:ascii="Times New Roman" w:hAnsi="Times New Roman"/>
          <w:color w:val="0070C0"/>
          <w:sz w:val="16"/>
          <w:szCs w:val="16"/>
        </w:rPr>
        <w:softHyphen/>
        <w:t>ные вибрации консолей крыльев. С увеличе</w:t>
      </w:r>
      <w:r w:rsidRPr="00441F34">
        <w:rPr>
          <w:rFonts w:ascii="Times New Roman" w:hAnsi="Times New Roman"/>
          <w:color w:val="0070C0"/>
          <w:sz w:val="16"/>
          <w:szCs w:val="16"/>
        </w:rPr>
        <w:softHyphen/>
        <w:t>нием оборотов вибрации уменьшаются до нормальных. При пробе моторов вполне до</w:t>
      </w:r>
      <w:r w:rsidRPr="00441F34">
        <w:rPr>
          <w:rFonts w:ascii="Times New Roman" w:hAnsi="Times New Roman"/>
          <w:color w:val="0070C0"/>
          <w:sz w:val="16"/>
          <w:szCs w:val="16"/>
        </w:rPr>
        <w:softHyphen/>
        <w:t>статочны подкладки под колеса обычного образца. Максимальное число оборотов мо</w:t>
      </w:r>
      <w:r w:rsidRPr="00441F34">
        <w:rPr>
          <w:rFonts w:ascii="Times New Roman" w:hAnsi="Times New Roman"/>
          <w:color w:val="0070C0"/>
          <w:sz w:val="16"/>
          <w:szCs w:val="16"/>
        </w:rPr>
        <w:softHyphen/>
        <w:t>торов с высотным газом - 1420.</w:t>
      </w:r>
    </w:p>
    <w:p w14:paraId="2D2CF56C"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Руление - Рулежка производится при 700</w:t>
      </w:r>
    </w:p>
    <w:p w14:paraId="30CFECED"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Сравнительная таблица характеристик ТБ-1 и ТБ-2 (по данным НИИ ВВС)</w:t>
      </w:r>
    </w:p>
    <w:tbl>
      <w:tblPr>
        <w:tblOverlap w:val="never"/>
        <w:tblW w:w="0" w:type="auto"/>
        <w:tblLayout w:type="fixed"/>
        <w:tblCellMar>
          <w:left w:w="10" w:type="dxa"/>
          <w:right w:w="10" w:type="dxa"/>
        </w:tblCellMar>
        <w:tblLook w:val="04A0" w:firstRow="1" w:lastRow="0" w:firstColumn="1" w:lastColumn="0" w:noHBand="0" w:noVBand="1"/>
      </w:tblPr>
      <w:tblGrid>
        <w:gridCol w:w="4075"/>
        <w:gridCol w:w="1195"/>
        <w:gridCol w:w="1099"/>
      </w:tblGrid>
      <w:tr w:rsidR="000B7ADA" w:rsidRPr="00441F34" w14:paraId="2FB2EAAC" w14:textId="77777777" w:rsidTr="004B2EA4">
        <w:trPr>
          <w:trHeight w:val="168"/>
        </w:trPr>
        <w:tc>
          <w:tcPr>
            <w:tcW w:w="4075" w:type="dxa"/>
            <w:shd w:val="clear" w:color="auto" w:fill="auto"/>
            <w:vAlign w:val="bottom"/>
          </w:tcPr>
          <w:p w14:paraId="33C11EE2"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Наименование</w:t>
            </w:r>
          </w:p>
        </w:tc>
        <w:tc>
          <w:tcPr>
            <w:tcW w:w="1195" w:type="dxa"/>
            <w:shd w:val="clear" w:color="auto" w:fill="auto"/>
            <w:vAlign w:val="bottom"/>
          </w:tcPr>
          <w:p w14:paraId="12CA9554"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ТБ-1</w:t>
            </w:r>
          </w:p>
        </w:tc>
        <w:tc>
          <w:tcPr>
            <w:tcW w:w="1099" w:type="dxa"/>
            <w:shd w:val="clear" w:color="auto" w:fill="auto"/>
            <w:vAlign w:val="bottom"/>
          </w:tcPr>
          <w:p w14:paraId="00CF6719"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ТБ-2</w:t>
            </w:r>
          </w:p>
        </w:tc>
      </w:tr>
      <w:tr w:rsidR="000B7ADA" w:rsidRPr="00441F34" w14:paraId="110CE12C" w14:textId="77777777" w:rsidTr="004B2EA4">
        <w:trPr>
          <w:trHeight w:val="154"/>
        </w:trPr>
        <w:tc>
          <w:tcPr>
            <w:tcW w:w="4075" w:type="dxa"/>
            <w:shd w:val="clear" w:color="auto" w:fill="auto"/>
          </w:tcPr>
          <w:p w14:paraId="7DE191FD"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 пустого (кг)</w:t>
            </w:r>
          </w:p>
        </w:tc>
        <w:tc>
          <w:tcPr>
            <w:tcW w:w="1195" w:type="dxa"/>
            <w:shd w:val="clear" w:color="auto" w:fill="auto"/>
          </w:tcPr>
          <w:p w14:paraId="51AA8385"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4427</w:t>
            </w:r>
          </w:p>
        </w:tc>
        <w:tc>
          <w:tcPr>
            <w:tcW w:w="1099" w:type="dxa"/>
            <w:shd w:val="clear" w:color="auto" w:fill="auto"/>
          </w:tcPr>
          <w:p w14:paraId="15845711"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5142</w:t>
            </w:r>
          </w:p>
        </w:tc>
      </w:tr>
      <w:tr w:rsidR="000B7ADA" w:rsidRPr="00441F34" w14:paraId="48D53324" w14:textId="77777777" w:rsidTr="004B2EA4">
        <w:trPr>
          <w:trHeight w:val="144"/>
        </w:trPr>
        <w:tc>
          <w:tcPr>
            <w:tcW w:w="4075" w:type="dxa"/>
            <w:shd w:val="clear" w:color="auto" w:fill="auto"/>
          </w:tcPr>
          <w:p w14:paraId="36271F17"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 нагрузки (кг)</w:t>
            </w:r>
          </w:p>
        </w:tc>
        <w:tc>
          <w:tcPr>
            <w:tcW w:w="1195" w:type="dxa"/>
            <w:shd w:val="clear" w:color="auto" w:fill="auto"/>
          </w:tcPr>
          <w:p w14:paraId="15E0817C"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2285</w:t>
            </w:r>
          </w:p>
        </w:tc>
        <w:tc>
          <w:tcPr>
            <w:tcW w:w="1099" w:type="dxa"/>
            <w:shd w:val="clear" w:color="auto" w:fill="auto"/>
          </w:tcPr>
          <w:p w14:paraId="60D43A80"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1301</w:t>
            </w:r>
          </w:p>
        </w:tc>
      </w:tr>
      <w:tr w:rsidR="000B7ADA" w:rsidRPr="00441F34" w14:paraId="043E47DE" w14:textId="77777777" w:rsidTr="004B2EA4">
        <w:trPr>
          <w:trHeight w:val="134"/>
        </w:trPr>
        <w:tc>
          <w:tcPr>
            <w:tcW w:w="4075" w:type="dxa"/>
            <w:shd w:val="clear" w:color="auto" w:fill="auto"/>
          </w:tcPr>
          <w:p w14:paraId="3617C279"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Полетный вес (кг)</w:t>
            </w:r>
          </w:p>
        </w:tc>
        <w:tc>
          <w:tcPr>
            <w:tcW w:w="1195" w:type="dxa"/>
            <w:shd w:val="clear" w:color="auto" w:fill="auto"/>
          </w:tcPr>
          <w:p w14:paraId="488C5FFE"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6712</w:t>
            </w:r>
          </w:p>
        </w:tc>
        <w:tc>
          <w:tcPr>
            <w:tcW w:w="1099" w:type="dxa"/>
            <w:shd w:val="clear" w:color="auto" w:fill="auto"/>
          </w:tcPr>
          <w:p w14:paraId="4C4B6A6A"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6443</w:t>
            </w:r>
          </w:p>
        </w:tc>
      </w:tr>
      <w:tr w:rsidR="000B7ADA" w:rsidRPr="00441F34" w14:paraId="3BA5DC39" w14:textId="77777777" w:rsidTr="004B2EA4">
        <w:trPr>
          <w:trHeight w:val="149"/>
        </w:trPr>
        <w:tc>
          <w:tcPr>
            <w:tcW w:w="4075" w:type="dxa"/>
            <w:shd w:val="clear" w:color="auto" w:fill="auto"/>
            <w:vAlign w:val="bottom"/>
          </w:tcPr>
          <w:p w14:paraId="6457BD94"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Мощность моторов (л.с.)</w:t>
            </w:r>
          </w:p>
        </w:tc>
        <w:tc>
          <w:tcPr>
            <w:tcW w:w="1195" w:type="dxa"/>
            <w:shd w:val="clear" w:color="auto" w:fill="auto"/>
            <w:vAlign w:val="bottom"/>
          </w:tcPr>
          <w:p w14:paraId="1510BDDF"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900-1200</w:t>
            </w:r>
          </w:p>
        </w:tc>
        <w:tc>
          <w:tcPr>
            <w:tcW w:w="1099" w:type="dxa"/>
            <w:shd w:val="clear" w:color="auto" w:fill="auto"/>
            <w:vAlign w:val="bottom"/>
          </w:tcPr>
          <w:p w14:paraId="3E50C517"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1000-1360</w:t>
            </w:r>
          </w:p>
        </w:tc>
      </w:tr>
      <w:tr w:rsidR="000B7ADA" w:rsidRPr="00441F34" w14:paraId="27D212B9" w14:textId="77777777" w:rsidTr="004B2EA4">
        <w:trPr>
          <w:trHeight w:val="149"/>
        </w:trPr>
        <w:tc>
          <w:tcPr>
            <w:tcW w:w="4075" w:type="dxa"/>
            <w:shd w:val="clear" w:color="auto" w:fill="auto"/>
          </w:tcPr>
          <w:p w14:paraId="64FE3A84"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Нагрузка (кг на </w:t>
            </w:r>
            <w:proofErr w:type="spellStart"/>
            <w:r w:rsidRPr="00441F34">
              <w:rPr>
                <w:rFonts w:ascii="Times New Roman" w:hAnsi="Times New Roman"/>
                <w:color w:val="0070C0"/>
                <w:sz w:val="16"/>
                <w:szCs w:val="16"/>
              </w:rPr>
              <w:t>кв.м</w:t>
            </w:r>
            <w:proofErr w:type="spellEnd"/>
            <w:r w:rsidRPr="00441F34">
              <w:rPr>
                <w:rFonts w:ascii="Times New Roman" w:hAnsi="Times New Roman"/>
                <w:color w:val="0070C0"/>
                <w:sz w:val="16"/>
                <w:szCs w:val="16"/>
              </w:rPr>
              <w:t>)</w:t>
            </w:r>
          </w:p>
        </w:tc>
        <w:tc>
          <w:tcPr>
            <w:tcW w:w="1195" w:type="dxa"/>
            <w:shd w:val="clear" w:color="auto" w:fill="auto"/>
          </w:tcPr>
          <w:p w14:paraId="0817C28F"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58</w:t>
            </w:r>
          </w:p>
        </w:tc>
        <w:tc>
          <w:tcPr>
            <w:tcW w:w="1099" w:type="dxa"/>
            <w:shd w:val="clear" w:color="auto" w:fill="auto"/>
          </w:tcPr>
          <w:p w14:paraId="128F8AF2"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50,4</w:t>
            </w:r>
          </w:p>
        </w:tc>
      </w:tr>
      <w:tr w:rsidR="000B7ADA" w:rsidRPr="00441F34" w14:paraId="1BA76580" w14:textId="77777777" w:rsidTr="004B2EA4">
        <w:trPr>
          <w:trHeight w:val="144"/>
        </w:trPr>
        <w:tc>
          <w:tcPr>
            <w:tcW w:w="4075" w:type="dxa"/>
            <w:shd w:val="clear" w:color="auto" w:fill="auto"/>
          </w:tcPr>
          <w:p w14:paraId="41250E83"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Нагрузка (кг на л.с.)</w:t>
            </w:r>
          </w:p>
        </w:tc>
        <w:tc>
          <w:tcPr>
            <w:tcW w:w="1195" w:type="dxa"/>
            <w:shd w:val="clear" w:color="auto" w:fill="auto"/>
          </w:tcPr>
          <w:p w14:paraId="45AA801F"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7,45-5,59</w:t>
            </w:r>
          </w:p>
        </w:tc>
        <w:tc>
          <w:tcPr>
            <w:tcW w:w="1099" w:type="dxa"/>
            <w:shd w:val="clear" w:color="auto" w:fill="auto"/>
          </w:tcPr>
          <w:p w14:paraId="3901F882"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6,44-4,74</w:t>
            </w:r>
          </w:p>
        </w:tc>
      </w:tr>
      <w:tr w:rsidR="000B7ADA" w:rsidRPr="00441F34" w14:paraId="3611384F" w14:textId="77777777" w:rsidTr="004B2EA4">
        <w:trPr>
          <w:trHeight w:val="144"/>
        </w:trPr>
        <w:tc>
          <w:tcPr>
            <w:tcW w:w="4075" w:type="dxa"/>
            <w:shd w:val="clear" w:color="auto" w:fill="auto"/>
          </w:tcPr>
          <w:p w14:paraId="7FEDA3E8"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 скорость у земли (км/час/ при оборотах в минуту)</w:t>
            </w:r>
          </w:p>
        </w:tc>
        <w:tc>
          <w:tcPr>
            <w:tcW w:w="1195" w:type="dxa"/>
            <w:shd w:val="clear" w:color="auto" w:fill="auto"/>
          </w:tcPr>
          <w:p w14:paraId="5AB5F543"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178/1400</w:t>
            </w:r>
          </w:p>
        </w:tc>
        <w:tc>
          <w:tcPr>
            <w:tcW w:w="1099" w:type="dxa"/>
            <w:shd w:val="clear" w:color="auto" w:fill="auto"/>
          </w:tcPr>
          <w:p w14:paraId="118F0075"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155,8/1400</w:t>
            </w:r>
          </w:p>
        </w:tc>
      </w:tr>
      <w:tr w:rsidR="000B7ADA" w:rsidRPr="00441F34" w14:paraId="739F0A88" w14:textId="77777777" w:rsidTr="004B2EA4">
        <w:trPr>
          <w:trHeight w:val="144"/>
        </w:trPr>
        <w:tc>
          <w:tcPr>
            <w:tcW w:w="4075" w:type="dxa"/>
            <w:shd w:val="clear" w:color="auto" w:fill="auto"/>
          </w:tcPr>
          <w:p w14:paraId="4DAA0431"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 скорость на 3000 м (км/час/ при оборотах в минуту)</w:t>
            </w:r>
          </w:p>
        </w:tc>
        <w:tc>
          <w:tcPr>
            <w:tcW w:w="1195" w:type="dxa"/>
            <w:shd w:val="clear" w:color="auto" w:fill="auto"/>
          </w:tcPr>
          <w:p w14:paraId="0E6FAF4F"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174/1400</w:t>
            </w:r>
          </w:p>
        </w:tc>
        <w:tc>
          <w:tcPr>
            <w:tcW w:w="1099" w:type="dxa"/>
            <w:shd w:val="clear" w:color="auto" w:fill="auto"/>
          </w:tcPr>
          <w:p w14:paraId="6DA52591"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153,8/1400</w:t>
            </w:r>
          </w:p>
        </w:tc>
      </w:tr>
      <w:tr w:rsidR="000B7ADA" w:rsidRPr="00441F34" w14:paraId="03D7537D" w14:textId="77777777" w:rsidTr="004B2EA4">
        <w:trPr>
          <w:trHeight w:val="144"/>
        </w:trPr>
        <w:tc>
          <w:tcPr>
            <w:tcW w:w="4075" w:type="dxa"/>
            <w:shd w:val="clear" w:color="auto" w:fill="auto"/>
          </w:tcPr>
          <w:p w14:paraId="3764021C"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Скороподъемность до 1000 м/ на оборотах в минуту.</w:t>
            </w:r>
          </w:p>
        </w:tc>
        <w:tc>
          <w:tcPr>
            <w:tcW w:w="1195" w:type="dxa"/>
            <w:shd w:val="clear" w:color="auto" w:fill="auto"/>
          </w:tcPr>
          <w:p w14:paraId="12B1CC02"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6,89/1300</w:t>
            </w:r>
          </w:p>
        </w:tc>
        <w:tc>
          <w:tcPr>
            <w:tcW w:w="1099" w:type="dxa"/>
            <w:shd w:val="clear" w:color="auto" w:fill="auto"/>
          </w:tcPr>
          <w:p w14:paraId="49EC286A"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6,05/1480</w:t>
            </w:r>
          </w:p>
        </w:tc>
      </w:tr>
      <w:tr w:rsidR="000B7ADA" w:rsidRPr="00441F34" w14:paraId="2A1FBAC4" w14:textId="77777777" w:rsidTr="004B2EA4">
        <w:trPr>
          <w:trHeight w:val="144"/>
        </w:trPr>
        <w:tc>
          <w:tcPr>
            <w:tcW w:w="4075" w:type="dxa"/>
            <w:shd w:val="clear" w:color="auto" w:fill="auto"/>
          </w:tcPr>
          <w:p w14:paraId="76AA81E1"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Скороподъемность до 2000 м/ на оборотах в минуту.</w:t>
            </w:r>
          </w:p>
        </w:tc>
        <w:tc>
          <w:tcPr>
            <w:tcW w:w="1195" w:type="dxa"/>
            <w:shd w:val="clear" w:color="auto" w:fill="auto"/>
          </w:tcPr>
          <w:p w14:paraId="064579AC"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13J74/1320</w:t>
            </w:r>
          </w:p>
        </w:tc>
        <w:tc>
          <w:tcPr>
            <w:tcW w:w="1099" w:type="dxa"/>
            <w:shd w:val="clear" w:color="auto" w:fill="auto"/>
          </w:tcPr>
          <w:p w14:paraId="32596260"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13,57/1490</w:t>
            </w:r>
          </w:p>
        </w:tc>
      </w:tr>
      <w:tr w:rsidR="000B7ADA" w:rsidRPr="00441F34" w14:paraId="05BC6E79" w14:textId="77777777" w:rsidTr="004B2EA4">
        <w:trPr>
          <w:trHeight w:val="144"/>
        </w:trPr>
        <w:tc>
          <w:tcPr>
            <w:tcW w:w="4075" w:type="dxa"/>
            <w:shd w:val="clear" w:color="auto" w:fill="auto"/>
          </w:tcPr>
          <w:p w14:paraId="1E4CCC65"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Скороподъемность до 3000 м/ на оборотах в минуту</w:t>
            </w:r>
          </w:p>
        </w:tc>
        <w:tc>
          <w:tcPr>
            <w:tcW w:w="1195" w:type="dxa"/>
            <w:shd w:val="clear" w:color="auto" w:fill="auto"/>
          </w:tcPr>
          <w:p w14:paraId="0349F458"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21,1/1340</w:t>
            </w:r>
          </w:p>
        </w:tc>
        <w:tc>
          <w:tcPr>
            <w:tcW w:w="1099" w:type="dxa"/>
            <w:shd w:val="clear" w:color="auto" w:fill="auto"/>
          </w:tcPr>
          <w:p w14:paraId="472F898B"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25,41/1500</w:t>
            </w:r>
          </w:p>
        </w:tc>
      </w:tr>
      <w:tr w:rsidR="000B7ADA" w:rsidRPr="00441F34" w14:paraId="0D03912D" w14:textId="77777777" w:rsidTr="004B2EA4">
        <w:trPr>
          <w:trHeight w:val="139"/>
        </w:trPr>
        <w:tc>
          <w:tcPr>
            <w:tcW w:w="4075" w:type="dxa"/>
            <w:shd w:val="clear" w:color="auto" w:fill="auto"/>
          </w:tcPr>
          <w:p w14:paraId="28E6BB53"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Потолок(м)</w:t>
            </w:r>
          </w:p>
        </w:tc>
        <w:tc>
          <w:tcPr>
            <w:tcW w:w="1195" w:type="dxa"/>
            <w:shd w:val="clear" w:color="auto" w:fill="auto"/>
          </w:tcPr>
          <w:p w14:paraId="36AD2ECD"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4830</w:t>
            </w:r>
          </w:p>
        </w:tc>
        <w:tc>
          <w:tcPr>
            <w:tcW w:w="1099" w:type="dxa"/>
            <w:shd w:val="clear" w:color="auto" w:fill="auto"/>
          </w:tcPr>
          <w:p w14:paraId="2CE94B89"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3620</w:t>
            </w:r>
          </w:p>
        </w:tc>
      </w:tr>
      <w:tr w:rsidR="000B7ADA" w:rsidRPr="00441F34" w14:paraId="61FBE40B" w14:textId="77777777" w:rsidTr="004B2EA4">
        <w:trPr>
          <w:trHeight w:val="149"/>
        </w:trPr>
        <w:tc>
          <w:tcPr>
            <w:tcW w:w="4075" w:type="dxa"/>
            <w:shd w:val="clear" w:color="auto" w:fill="auto"/>
            <w:vAlign w:val="bottom"/>
          </w:tcPr>
          <w:p w14:paraId="5CE52CFC"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левого виража на высоте 1000 м (сек.)</w:t>
            </w:r>
          </w:p>
        </w:tc>
        <w:tc>
          <w:tcPr>
            <w:tcW w:w="1195" w:type="dxa"/>
            <w:shd w:val="clear" w:color="auto" w:fill="auto"/>
            <w:vAlign w:val="bottom"/>
          </w:tcPr>
          <w:p w14:paraId="5EFB9DE1"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31,0</w:t>
            </w:r>
          </w:p>
        </w:tc>
        <w:tc>
          <w:tcPr>
            <w:tcW w:w="1099" w:type="dxa"/>
            <w:shd w:val="clear" w:color="auto" w:fill="auto"/>
            <w:vAlign w:val="bottom"/>
          </w:tcPr>
          <w:p w14:paraId="75E4B4E0"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75,0</w:t>
            </w:r>
          </w:p>
        </w:tc>
      </w:tr>
      <w:tr w:rsidR="000B7ADA" w:rsidRPr="00441F34" w14:paraId="4F9DCC62" w14:textId="77777777" w:rsidTr="004B2EA4">
        <w:trPr>
          <w:trHeight w:val="211"/>
        </w:trPr>
        <w:tc>
          <w:tcPr>
            <w:tcW w:w="4075" w:type="dxa"/>
            <w:shd w:val="clear" w:color="auto" w:fill="auto"/>
          </w:tcPr>
          <w:p w14:paraId="17685EC7"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правого виража на высоте 1000 м (сек.)</w:t>
            </w:r>
          </w:p>
        </w:tc>
        <w:tc>
          <w:tcPr>
            <w:tcW w:w="1195" w:type="dxa"/>
            <w:shd w:val="clear" w:color="auto" w:fill="auto"/>
          </w:tcPr>
          <w:p w14:paraId="1A08B789"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31,0</w:t>
            </w:r>
          </w:p>
        </w:tc>
        <w:tc>
          <w:tcPr>
            <w:tcW w:w="1099" w:type="dxa"/>
            <w:shd w:val="clear" w:color="auto" w:fill="auto"/>
          </w:tcPr>
          <w:p w14:paraId="5B75C1EF" w14:textId="77777777" w:rsidR="000B7ADA" w:rsidRPr="00441F34" w:rsidRDefault="000B7ADA"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65,0</w:t>
            </w:r>
          </w:p>
        </w:tc>
      </w:tr>
    </w:tbl>
    <w:p w14:paraId="73B6AE4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- 800 об/мотора. Скорость руления нор</w:t>
      </w:r>
      <w:r w:rsidRPr="00441F34">
        <w:rPr>
          <w:rFonts w:ascii="Times New Roman" w:hAnsi="Times New Roman"/>
          <w:color w:val="0070C0"/>
          <w:sz w:val="16"/>
          <w:szCs w:val="16"/>
        </w:rPr>
        <w:softHyphen/>
        <w:t>мальна и сопровождение авиатехника не за</w:t>
      </w:r>
      <w:r w:rsidRPr="00441F34">
        <w:rPr>
          <w:rFonts w:ascii="Times New Roman" w:hAnsi="Times New Roman"/>
          <w:color w:val="0070C0"/>
          <w:sz w:val="16"/>
          <w:szCs w:val="16"/>
        </w:rPr>
        <w:softHyphen/>
        <w:t>трудняет. Маневренность вполне удовле</w:t>
      </w:r>
      <w:r w:rsidRPr="00441F34">
        <w:rPr>
          <w:rFonts w:ascii="Times New Roman" w:hAnsi="Times New Roman"/>
          <w:color w:val="0070C0"/>
          <w:sz w:val="16"/>
          <w:szCs w:val="16"/>
        </w:rPr>
        <w:softHyphen/>
        <w:t>творительна.</w:t>
      </w:r>
    </w:p>
    <w:p w14:paraId="4248E276"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Разбег и взлет - Ненормальных тенден</w:t>
      </w:r>
      <w:r w:rsidRPr="00441F34">
        <w:rPr>
          <w:rFonts w:ascii="Times New Roman" w:hAnsi="Times New Roman"/>
          <w:color w:val="0070C0"/>
          <w:sz w:val="16"/>
          <w:szCs w:val="16"/>
        </w:rPr>
        <w:softHyphen/>
        <w:t>ций к разворотам при разбеге не наблюдает</w:t>
      </w:r>
      <w:r w:rsidRPr="00441F34">
        <w:rPr>
          <w:rFonts w:ascii="Times New Roman" w:hAnsi="Times New Roman"/>
          <w:color w:val="0070C0"/>
          <w:sz w:val="16"/>
          <w:szCs w:val="16"/>
        </w:rPr>
        <w:softHyphen/>
        <w:t>ся. Хвост поднимается легко без особых уси</w:t>
      </w:r>
      <w:r w:rsidRPr="00441F34">
        <w:rPr>
          <w:rFonts w:ascii="Times New Roman" w:hAnsi="Times New Roman"/>
          <w:color w:val="0070C0"/>
          <w:sz w:val="16"/>
          <w:szCs w:val="16"/>
        </w:rPr>
        <w:softHyphen/>
        <w:t>лий на штурвал. Взлет прост, особенностей не имеет. Положение стабилизатора при взлете + 2°</w:t>
      </w:r>
    </w:p>
    <w:p w14:paraId="0124AEB3"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Набор высоты - Подъем производится на скорости 135-140 км/час при 1400-1450 об/мотора. Ненормальных тенденций при наборе высоты не имеется. При внезапном уменьшении числе оборотов моторов само</w:t>
      </w:r>
      <w:r w:rsidRPr="00441F34">
        <w:rPr>
          <w:rFonts w:ascii="Times New Roman" w:hAnsi="Times New Roman"/>
          <w:color w:val="0070C0"/>
          <w:sz w:val="16"/>
          <w:szCs w:val="16"/>
        </w:rPr>
        <w:softHyphen/>
        <w:t>лет переходит на планирование.</w:t>
      </w:r>
    </w:p>
    <w:p w14:paraId="774EB6BB"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Горизонтальный полет - Нормален на всех режимах. Максимальное число оборотов моторов у земли - 1600 (с высотным газом) и минимальное 1300.</w:t>
      </w:r>
    </w:p>
    <w:p w14:paraId="21C51C7F"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Балансировка - Соответствующей уста</w:t>
      </w:r>
      <w:r w:rsidRPr="00441F34">
        <w:rPr>
          <w:rFonts w:ascii="Times New Roman" w:hAnsi="Times New Roman"/>
          <w:color w:val="0070C0"/>
          <w:sz w:val="16"/>
          <w:szCs w:val="16"/>
        </w:rPr>
        <w:softHyphen/>
        <w:t>новкой стабилизатора достигается балан</w:t>
      </w:r>
      <w:r w:rsidRPr="00441F34">
        <w:rPr>
          <w:rFonts w:ascii="Times New Roman" w:hAnsi="Times New Roman"/>
          <w:color w:val="0070C0"/>
          <w:sz w:val="16"/>
          <w:szCs w:val="16"/>
        </w:rPr>
        <w:softHyphen/>
        <w:t>сировка самолета для полета на всех режи</w:t>
      </w:r>
      <w:r w:rsidRPr="00441F34">
        <w:rPr>
          <w:rFonts w:ascii="Times New Roman" w:hAnsi="Times New Roman"/>
          <w:color w:val="0070C0"/>
          <w:sz w:val="16"/>
          <w:szCs w:val="16"/>
        </w:rPr>
        <w:softHyphen/>
        <w:t>мах без давлений на штурвал. Полет с бро</w:t>
      </w:r>
      <w:r w:rsidRPr="00441F34">
        <w:rPr>
          <w:rFonts w:ascii="Times New Roman" w:hAnsi="Times New Roman"/>
          <w:color w:val="0070C0"/>
          <w:sz w:val="16"/>
          <w:szCs w:val="16"/>
        </w:rPr>
        <w:softHyphen/>
        <w:t>шенным управлением возможен.</w:t>
      </w:r>
    </w:p>
    <w:p w14:paraId="21E2FD32"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Устойчивость - Продольная устойчи</w:t>
      </w:r>
      <w:r w:rsidRPr="00441F34">
        <w:rPr>
          <w:rFonts w:ascii="Times New Roman" w:hAnsi="Times New Roman"/>
          <w:color w:val="0070C0"/>
          <w:sz w:val="16"/>
          <w:szCs w:val="16"/>
        </w:rPr>
        <w:softHyphen/>
        <w:t>вость в горизонтальном полете на всех режи</w:t>
      </w:r>
      <w:r w:rsidRPr="00441F34">
        <w:rPr>
          <w:rFonts w:ascii="Times New Roman" w:hAnsi="Times New Roman"/>
          <w:color w:val="0070C0"/>
          <w:sz w:val="16"/>
          <w:szCs w:val="16"/>
        </w:rPr>
        <w:softHyphen/>
        <w:t>мах и на планировании удовлетворительна, самолет, сбалансированный для полета с брошенным управлением, будучи выведен из режима изменением скорости на ± 20 км/час, после 2-х 3-х колебаний возвращается в преж</w:t>
      </w:r>
      <w:r w:rsidRPr="00441F34">
        <w:rPr>
          <w:rFonts w:ascii="Times New Roman" w:hAnsi="Times New Roman"/>
          <w:color w:val="0070C0"/>
          <w:sz w:val="16"/>
          <w:szCs w:val="16"/>
        </w:rPr>
        <w:softHyphen/>
        <w:t xml:space="preserve">ний режим, диапазон скоростей при этом: на 1350 об/мот. 150-120 км/час и на 1450 об/мот 165-130 км/час (на высоте 2000 </w:t>
      </w:r>
      <w:proofErr w:type="spellStart"/>
      <w:r w:rsidRPr="00441F34">
        <w:rPr>
          <w:rFonts w:ascii="Times New Roman" w:hAnsi="Times New Roman"/>
          <w:color w:val="0070C0"/>
          <w:sz w:val="16"/>
          <w:szCs w:val="16"/>
        </w:rPr>
        <w:t>мт</w:t>
      </w:r>
      <w:proofErr w:type="spellEnd"/>
      <w:r w:rsidRPr="00441F34">
        <w:rPr>
          <w:rFonts w:ascii="Times New Roman" w:hAnsi="Times New Roman"/>
          <w:color w:val="0070C0"/>
          <w:sz w:val="16"/>
          <w:szCs w:val="16"/>
        </w:rPr>
        <w:t>.)</w:t>
      </w:r>
    </w:p>
    <w:p w14:paraId="1C181E7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подъеме самолет с брошенным управ</w:t>
      </w:r>
      <w:r w:rsidRPr="00441F34">
        <w:rPr>
          <w:rFonts w:ascii="Times New Roman" w:hAnsi="Times New Roman"/>
          <w:color w:val="0070C0"/>
          <w:sz w:val="16"/>
          <w:szCs w:val="16"/>
        </w:rPr>
        <w:softHyphen/>
        <w:t>лением при выводе из режима проявляет тенденцию к затяжному кабрированию (при испытании допускалась потеря скорости до 110 км/час.)</w:t>
      </w:r>
    </w:p>
    <w:p w14:paraId="645570A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Виражи - </w:t>
      </w:r>
      <w:proofErr w:type="spellStart"/>
      <w:r w:rsidRPr="00441F34">
        <w:rPr>
          <w:rFonts w:ascii="Times New Roman" w:hAnsi="Times New Roman"/>
          <w:color w:val="0070C0"/>
          <w:sz w:val="16"/>
          <w:szCs w:val="16"/>
        </w:rPr>
        <w:t>Наивыгоднейшая</w:t>
      </w:r>
      <w:proofErr w:type="spellEnd"/>
      <w:r w:rsidRPr="00441F34">
        <w:rPr>
          <w:rFonts w:ascii="Times New Roman" w:hAnsi="Times New Roman"/>
          <w:color w:val="0070C0"/>
          <w:sz w:val="16"/>
          <w:szCs w:val="16"/>
        </w:rPr>
        <w:t xml:space="preserve"> скорость на вираже 150 км/час при 1500 об/мот. Ввод, вывод и перекладывание из виража в вираж производится просто; устойчивость на ви</w:t>
      </w:r>
      <w:r w:rsidRPr="00441F34">
        <w:rPr>
          <w:rFonts w:ascii="Times New Roman" w:hAnsi="Times New Roman"/>
          <w:color w:val="0070C0"/>
          <w:sz w:val="16"/>
          <w:szCs w:val="16"/>
        </w:rPr>
        <w:softHyphen/>
        <w:t>ражах удовлетворительная; нагрузка на ор</w:t>
      </w:r>
      <w:r w:rsidRPr="00441F34">
        <w:rPr>
          <w:rFonts w:ascii="Times New Roman" w:hAnsi="Times New Roman"/>
          <w:color w:val="0070C0"/>
          <w:sz w:val="16"/>
          <w:szCs w:val="16"/>
        </w:rPr>
        <w:softHyphen/>
        <w:t>ганы управления значительная, но не более чем на самолете ТБ-1. Заметной разницы по технике выполнения правого и левого вира</w:t>
      </w:r>
      <w:r w:rsidRPr="00441F34">
        <w:rPr>
          <w:rFonts w:ascii="Times New Roman" w:hAnsi="Times New Roman"/>
          <w:color w:val="0070C0"/>
          <w:sz w:val="16"/>
          <w:szCs w:val="16"/>
        </w:rPr>
        <w:softHyphen/>
        <w:t>жа не имеется. Эффективность рулей и эле</w:t>
      </w:r>
      <w:r w:rsidRPr="00441F34">
        <w:rPr>
          <w:rFonts w:ascii="Times New Roman" w:hAnsi="Times New Roman"/>
          <w:color w:val="0070C0"/>
          <w:sz w:val="16"/>
          <w:szCs w:val="16"/>
        </w:rPr>
        <w:softHyphen/>
        <w:t>ронов достаточна.</w:t>
      </w:r>
    </w:p>
    <w:p w14:paraId="3CCFA410"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Посадка - По технике выполнения посад</w:t>
      </w:r>
      <w:r w:rsidRPr="00441F34">
        <w:rPr>
          <w:rFonts w:ascii="Times New Roman" w:hAnsi="Times New Roman"/>
          <w:color w:val="0070C0"/>
          <w:sz w:val="16"/>
          <w:szCs w:val="16"/>
        </w:rPr>
        <w:softHyphen/>
        <w:t>ка (легка) проста. При выравнивании само</w:t>
      </w:r>
      <w:r w:rsidRPr="00441F34">
        <w:rPr>
          <w:rFonts w:ascii="Times New Roman" w:hAnsi="Times New Roman"/>
          <w:color w:val="0070C0"/>
          <w:sz w:val="16"/>
          <w:szCs w:val="16"/>
        </w:rPr>
        <w:softHyphen/>
        <w:t>лет медленно теряет скорость, тенденции к сваливанию на крыло не наблюдается. При пробеге ненормальных тенденция к разворо</w:t>
      </w:r>
      <w:r w:rsidRPr="00441F34">
        <w:rPr>
          <w:rFonts w:ascii="Times New Roman" w:hAnsi="Times New Roman"/>
          <w:color w:val="0070C0"/>
          <w:sz w:val="16"/>
          <w:szCs w:val="16"/>
        </w:rPr>
        <w:softHyphen/>
        <w:t>там и прыжкам - нет. Эффективность руля высоты достаточна».</w:t>
      </w:r>
    </w:p>
    <w:p w14:paraId="04D5DB26"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Перечень основных недочетов был неве</w:t>
      </w:r>
      <w:r w:rsidRPr="00441F34">
        <w:rPr>
          <w:rFonts w:ascii="Times New Roman" w:hAnsi="Times New Roman"/>
          <w:color w:val="0070C0"/>
          <w:sz w:val="16"/>
          <w:szCs w:val="16"/>
        </w:rPr>
        <w:softHyphen/>
        <w:t>лик и перечислялись там, в основном, дефек</w:t>
      </w:r>
      <w:r w:rsidRPr="00441F34">
        <w:rPr>
          <w:rFonts w:ascii="Times New Roman" w:hAnsi="Times New Roman"/>
          <w:color w:val="0070C0"/>
          <w:sz w:val="16"/>
          <w:szCs w:val="16"/>
        </w:rPr>
        <w:softHyphen/>
        <w:t>ты системы управления, выявленные на этапе заводских испытаний. В ходе доводки пол</w:t>
      </w:r>
      <w:r w:rsidRPr="00441F34">
        <w:rPr>
          <w:rFonts w:ascii="Times New Roman" w:hAnsi="Times New Roman"/>
          <w:color w:val="0070C0"/>
          <w:sz w:val="16"/>
          <w:szCs w:val="16"/>
        </w:rPr>
        <w:softHyphen/>
        <w:t>ностью устранить их так не удалось. Вместе с тем, общая оценка ТБ-2 была крайне негатив</w:t>
      </w:r>
      <w:r w:rsidRPr="00441F34">
        <w:rPr>
          <w:rFonts w:ascii="Times New Roman" w:hAnsi="Times New Roman"/>
          <w:color w:val="0070C0"/>
          <w:sz w:val="16"/>
          <w:szCs w:val="16"/>
        </w:rPr>
        <w:softHyphen/>
        <w:t>ной: «Летные данные самолета ТБ-2 совер</w:t>
      </w:r>
      <w:r w:rsidRPr="00441F34">
        <w:rPr>
          <w:rFonts w:ascii="Times New Roman" w:hAnsi="Times New Roman"/>
          <w:color w:val="0070C0"/>
          <w:sz w:val="16"/>
          <w:szCs w:val="16"/>
        </w:rPr>
        <w:softHyphen/>
        <w:t>шенно не соответствуют современным требованиям и не выдерживают никакого сравнения с данными самолета ТБ-1. Вы</w:t>
      </w:r>
      <w:r w:rsidRPr="00441F34">
        <w:rPr>
          <w:rFonts w:ascii="Times New Roman" w:hAnsi="Times New Roman"/>
          <w:color w:val="0070C0"/>
          <w:sz w:val="16"/>
          <w:szCs w:val="16"/>
        </w:rPr>
        <w:softHyphen/>
        <w:t>бранная конструктором схема самолета в высшей степени неудачна: большая лобовая поверхность, неудачное расположение мо</w:t>
      </w:r>
      <w:r w:rsidRPr="00441F34">
        <w:rPr>
          <w:rFonts w:ascii="Times New Roman" w:hAnsi="Times New Roman"/>
          <w:color w:val="0070C0"/>
          <w:sz w:val="16"/>
          <w:szCs w:val="16"/>
        </w:rPr>
        <w:softHyphen/>
        <w:t>торов, затеняющих большую часть нижнего крыла, настолько понизили летные данные самолета, что нормальной мощности мото</w:t>
      </w:r>
      <w:r w:rsidRPr="00441F34">
        <w:rPr>
          <w:rFonts w:ascii="Times New Roman" w:hAnsi="Times New Roman"/>
          <w:color w:val="0070C0"/>
          <w:sz w:val="16"/>
          <w:szCs w:val="16"/>
        </w:rPr>
        <w:softHyphen/>
        <w:t>ров (2 x500 HP) недостаточно для валета и подъема, даже с нагрузкой, уменьшенной до 1300 кг. Применение же высотного газа с земли прежде времени выведет из строя мо</w:t>
      </w:r>
      <w:r w:rsidRPr="00441F34">
        <w:rPr>
          <w:rFonts w:ascii="Times New Roman" w:hAnsi="Times New Roman"/>
          <w:color w:val="0070C0"/>
          <w:sz w:val="16"/>
          <w:szCs w:val="16"/>
        </w:rPr>
        <w:softHyphen/>
        <w:t>торы... самолет с точки зрения военного применения - ценности не имеет».</w:t>
      </w:r>
    </w:p>
    <w:p w14:paraId="1B44F269"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Заключение к отчету было соответствую</w:t>
      </w:r>
      <w:r w:rsidRPr="00441F34">
        <w:rPr>
          <w:rFonts w:ascii="Times New Roman" w:hAnsi="Times New Roman"/>
          <w:color w:val="0070C0"/>
          <w:sz w:val="16"/>
          <w:szCs w:val="16"/>
        </w:rPr>
        <w:softHyphen/>
        <w:t>щим. В нем говорилось, что ТБ-2 как боевая единица ВВС использован быть не может вследствие плохих летных данных при малой грузоподъемности. Военные предложили ВАО использовать самолет по своему усмот</w:t>
      </w:r>
      <w:r w:rsidRPr="00441F34">
        <w:rPr>
          <w:rFonts w:ascii="Times New Roman" w:hAnsi="Times New Roman"/>
          <w:color w:val="0070C0"/>
          <w:sz w:val="16"/>
          <w:szCs w:val="16"/>
        </w:rPr>
        <w:softHyphen/>
        <w:t>рению. В июле 1931 года самолет был зареги</w:t>
      </w:r>
      <w:r w:rsidRPr="00441F34">
        <w:rPr>
          <w:rFonts w:ascii="Times New Roman" w:hAnsi="Times New Roman"/>
          <w:color w:val="0070C0"/>
          <w:sz w:val="16"/>
          <w:szCs w:val="16"/>
        </w:rPr>
        <w:softHyphen/>
        <w:t>стрирован под номером СССР-Ш24 и передан в качестве учебного пособия в Московский авиатехникум спецслужб (23344).</w:t>
      </w:r>
    </w:p>
    <w:p w14:paraId="3F146310" w14:textId="77777777" w:rsidR="000B7ADA" w:rsidRPr="00441F34" w:rsidRDefault="000B7ADA" w:rsidP="000B7ADA">
      <w:pPr>
        <w:spacing w:after="0" w:line="240" w:lineRule="auto"/>
        <w:jc w:val="both"/>
        <w:rPr>
          <w:rFonts w:ascii="Times New Roman" w:hAnsi="Times New Roman"/>
          <w:color w:val="0070C0"/>
          <w:sz w:val="16"/>
          <w:szCs w:val="16"/>
        </w:rPr>
      </w:pPr>
    </w:p>
    <w:p w14:paraId="054C6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испытали МР-3 с новыми обводами, но к этому времени уже безнадежно устарел (80,252).</w:t>
      </w:r>
    </w:p>
    <w:p w14:paraId="5F862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3EB9D5"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бригада ОМОС ЦКБ передала на испытания модифицированный морской ближний разведчик МР-3бис (2-й с таким обозначением, он же – МР-5) конструкции Григоровича. Проект делался с 1927 г. и к тому времени устарел, высоких качеств не показал и на Государственные испытания не передавался (23559).</w:t>
      </w:r>
    </w:p>
    <w:p w14:paraId="156BE29E" w14:textId="77777777" w:rsidR="000B7ADA" w:rsidRPr="00441F34" w:rsidRDefault="000B7ADA" w:rsidP="000B7ADA">
      <w:pPr>
        <w:spacing w:after="0" w:line="240" w:lineRule="auto"/>
        <w:jc w:val="both"/>
        <w:rPr>
          <w:rFonts w:ascii="Times New Roman" w:hAnsi="Times New Roman"/>
          <w:color w:val="0070C0"/>
          <w:sz w:val="16"/>
          <w:szCs w:val="16"/>
        </w:rPr>
      </w:pPr>
    </w:p>
    <w:p w14:paraId="399C0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испытывали И-Z (78,49). Первый, а второй - в 1932 (92,415).</w:t>
      </w:r>
    </w:p>
    <w:p w14:paraId="321EB2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B2F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был закончен И-Z (или И-ЗЕТ), а то и просто ЗЕТ. 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 В. Сталин. Очевидно, о самолете Григоровича с пушками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 С.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(12091).</w:t>
      </w:r>
    </w:p>
    <w:p w14:paraId="13466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3A7B1F"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начались испытания И-Z. Скорость сначала при</w:t>
      </w:r>
      <w:r w:rsidRPr="00441F34">
        <w:rPr>
          <w:rFonts w:ascii="Times New Roman" w:hAnsi="Times New Roman"/>
          <w:color w:val="0070C0"/>
          <w:sz w:val="16"/>
          <w:szCs w:val="16"/>
        </w:rPr>
        <w:softHyphen/>
        <w:t>ближалась к 300 км/ч (на серийных, после усилений и доработок она снизилась до 259 км/ч), но скороподъёмность, маневренность и – сохранились</w:t>
      </w:r>
    </w:p>
    <w:p w14:paraId="6F92330B"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Передняя часть фюзеляжа - мотор М-22 с капотом и кабина лётчи</w:t>
      </w:r>
      <w:r w:rsidRPr="00441F34">
        <w:rPr>
          <w:rFonts w:ascii="Times New Roman" w:hAnsi="Times New Roman"/>
          <w:color w:val="0070C0"/>
          <w:sz w:val="16"/>
          <w:szCs w:val="16"/>
        </w:rPr>
        <w:softHyphen/>
        <w:t>ка - аналогична И-5 (опытному). Задняя часть была дюралевая и за</w:t>
      </w:r>
      <w:r w:rsidRPr="00441F34">
        <w:rPr>
          <w:rFonts w:ascii="Times New Roman" w:hAnsi="Times New Roman"/>
          <w:color w:val="0070C0"/>
          <w:sz w:val="16"/>
          <w:szCs w:val="16"/>
        </w:rPr>
        <w:softHyphen/>
        <w:t>канчивалась большим вертикальным и высокорасположенным под</w:t>
      </w:r>
      <w:r w:rsidRPr="00441F34">
        <w:rPr>
          <w:rFonts w:ascii="Times New Roman" w:hAnsi="Times New Roman"/>
          <w:color w:val="0070C0"/>
          <w:sz w:val="16"/>
          <w:szCs w:val="16"/>
        </w:rPr>
        <w:softHyphen/>
        <w:t xml:space="preserve"> косным горизонтальным оперением повышенной прочности, чтобы исключить его повреждение при выстрелах. Пушки АПК-4 размеща</w:t>
      </w:r>
      <w:r w:rsidRPr="00441F34">
        <w:rPr>
          <w:rFonts w:ascii="Times New Roman" w:hAnsi="Times New Roman"/>
          <w:color w:val="0070C0"/>
          <w:sz w:val="16"/>
          <w:szCs w:val="16"/>
        </w:rPr>
        <w:softHyphen/>
        <w:t xml:space="preserve">лись под крылом, </w:t>
      </w:r>
      <w:proofErr w:type="spellStart"/>
      <w:r w:rsidRPr="00441F34">
        <w:rPr>
          <w:rFonts w:ascii="Times New Roman" w:hAnsi="Times New Roman"/>
          <w:color w:val="0070C0"/>
          <w:sz w:val="16"/>
          <w:szCs w:val="16"/>
        </w:rPr>
        <w:t>выполненом</w:t>
      </w:r>
      <w:proofErr w:type="spellEnd"/>
      <w:r w:rsidRPr="00441F34">
        <w:rPr>
          <w:rFonts w:ascii="Times New Roman" w:hAnsi="Times New Roman"/>
          <w:color w:val="0070C0"/>
          <w:sz w:val="16"/>
          <w:szCs w:val="16"/>
        </w:rPr>
        <w:t xml:space="preserve"> из нержавеющей стали «Энерж-6», с полотняной обшивкой. Как видим, по схеме истребитель хоть и был монопланом, </w:t>
      </w:r>
      <w:r w:rsidRPr="00441F34">
        <w:rPr>
          <w:rFonts w:ascii="Times New Roman" w:hAnsi="Times New Roman"/>
          <w:color w:val="0070C0"/>
          <w:sz w:val="16"/>
          <w:szCs w:val="16"/>
        </w:rPr>
        <w:lastRenderedPageBreak/>
        <w:t>но не мог относиться к скоростным, а повышенная прочность конструкции и тяжёлые пушки (их вес - 150 кг, а вес 14 снарядов - 55 кг) не могли не сказаться на весе самолёта и его лётных данных. Вся надежда была на то, что мощные пушки компен</w:t>
      </w:r>
      <w:r w:rsidRPr="00441F34">
        <w:rPr>
          <w:rFonts w:ascii="Times New Roman" w:hAnsi="Times New Roman"/>
          <w:color w:val="0070C0"/>
          <w:sz w:val="16"/>
          <w:szCs w:val="16"/>
        </w:rPr>
        <w:softHyphen/>
        <w:t>сируют снижение ЛТХ и повысят боевые возможности. Но этого не произошло (23595).</w:t>
      </w:r>
    </w:p>
    <w:p w14:paraId="56BD2495" w14:textId="77777777" w:rsidR="000B7ADA" w:rsidRPr="00441F34" w:rsidRDefault="000B7ADA" w:rsidP="000B7ADA">
      <w:pPr>
        <w:spacing w:after="0" w:line="240" w:lineRule="auto"/>
        <w:jc w:val="both"/>
        <w:rPr>
          <w:rFonts w:ascii="Times New Roman" w:hAnsi="Times New Roman"/>
          <w:color w:val="0070C0"/>
          <w:sz w:val="16"/>
          <w:szCs w:val="16"/>
        </w:rPr>
      </w:pPr>
    </w:p>
    <w:p w14:paraId="0F22F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в ЦКБ завода Авиаработник им. Менжинского построили ДИ-3 - биплан смешанной конструкции (3876,7).</w:t>
      </w:r>
    </w:p>
    <w:p w14:paraId="4B5E0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A4B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(3082).</w:t>
      </w:r>
    </w:p>
    <w:p w14:paraId="7B5F28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AD5709"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Летом 1931-го на заводе "Авиаработник" им. Менжинского построили биплан смешанной конструкции ДИ-3, а в начале 1933-го подкосный цельнометаллический высокоплан ДИ-4 </w:t>
      </w:r>
      <w:proofErr w:type="spellStart"/>
      <w:r w:rsidRPr="00441F34">
        <w:rPr>
          <w:rFonts w:ascii="Times New Roman" w:hAnsi="Times New Roman"/>
          <w:color w:val="0070C0"/>
          <w:sz w:val="16"/>
          <w:szCs w:val="16"/>
        </w:rPr>
        <w:t>французкого</w:t>
      </w:r>
      <w:proofErr w:type="spellEnd"/>
      <w:r w:rsidRPr="00441F34">
        <w:rPr>
          <w:rFonts w:ascii="Times New Roman" w:hAnsi="Times New Roman"/>
          <w:color w:val="0070C0"/>
          <w:sz w:val="16"/>
          <w:szCs w:val="16"/>
        </w:rPr>
        <w:t xml:space="preserve"> конструктора </w:t>
      </w:r>
      <w:proofErr w:type="spellStart"/>
      <w:r w:rsidRPr="00441F34">
        <w:rPr>
          <w:rFonts w:ascii="Times New Roman" w:hAnsi="Times New Roman"/>
          <w:color w:val="0070C0"/>
          <w:sz w:val="16"/>
          <w:szCs w:val="16"/>
        </w:rPr>
        <w:t>А.Лявиля</w:t>
      </w:r>
      <w:proofErr w:type="spellEnd"/>
      <w:r w:rsidRPr="00441F34">
        <w:rPr>
          <w:rFonts w:ascii="Times New Roman" w:hAnsi="Times New Roman"/>
          <w:color w:val="0070C0"/>
          <w:sz w:val="16"/>
          <w:szCs w:val="16"/>
        </w:rPr>
        <w:t xml:space="preserve">. Все они стались в опытных экземплярах. Логическим продолжением этого направления в ЦКБ завода "Авиаработник" явилось создание бригадой </w:t>
      </w:r>
      <w:proofErr w:type="spellStart"/>
      <w:r w:rsidRPr="00441F34">
        <w:rPr>
          <w:rFonts w:ascii="Times New Roman" w:hAnsi="Times New Roman"/>
          <w:color w:val="0070C0"/>
          <w:sz w:val="16"/>
          <w:szCs w:val="16"/>
        </w:rPr>
        <w:t>С.А.Кочеригина</w:t>
      </w:r>
      <w:proofErr w:type="spellEnd"/>
      <w:r w:rsidRPr="00441F34">
        <w:rPr>
          <w:rFonts w:ascii="Times New Roman" w:hAnsi="Times New Roman"/>
          <w:color w:val="0070C0"/>
          <w:sz w:val="16"/>
          <w:szCs w:val="16"/>
        </w:rPr>
        <w:t xml:space="preserve"> летом 1934-го двухместного биплана ЦКБ-11 или ДИ-6. Непосредственно конструированием самолета занимался известный впоследствии авиационный конструктор </w:t>
      </w:r>
      <w:proofErr w:type="spellStart"/>
      <w:r w:rsidRPr="00441F34">
        <w:rPr>
          <w:rFonts w:ascii="Times New Roman" w:hAnsi="Times New Roman"/>
          <w:color w:val="0070C0"/>
          <w:sz w:val="16"/>
          <w:szCs w:val="16"/>
        </w:rPr>
        <w:t>В.П.Яценко</w:t>
      </w:r>
      <w:proofErr w:type="spellEnd"/>
      <w:r w:rsidRPr="00441F34">
        <w:rPr>
          <w:rFonts w:ascii="Times New Roman" w:hAnsi="Times New Roman"/>
          <w:color w:val="0070C0"/>
          <w:sz w:val="16"/>
          <w:szCs w:val="16"/>
        </w:rPr>
        <w:t xml:space="preserve"> (24228).</w:t>
      </w:r>
    </w:p>
    <w:p w14:paraId="2CF0F752" w14:textId="77777777" w:rsidR="000B7ADA" w:rsidRPr="00441F34" w:rsidRDefault="000B7ADA" w:rsidP="000B7ADA">
      <w:pPr>
        <w:spacing w:after="0" w:line="240" w:lineRule="auto"/>
        <w:jc w:val="both"/>
        <w:rPr>
          <w:rFonts w:ascii="Times New Roman" w:hAnsi="Times New Roman"/>
          <w:color w:val="0070C0"/>
          <w:sz w:val="16"/>
          <w:szCs w:val="16"/>
        </w:rPr>
      </w:pPr>
    </w:p>
    <w:p w14:paraId="0C987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УВВС представило уже новый вариант ТТТ к самолету (ДИП-1), но дело с «мертвой точки» не сдвинулось. Только после нескольких реорганизаций в ЦАГИ и формирования отдельных бригад </w:t>
      </w:r>
      <w:proofErr w:type="spellStart"/>
      <w:r w:rsidRPr="007122AB">
        <w:rPr>
          <w:rFonts w:ascii="Times New Roman" w:hAnsi="Times New Roman"/>
          <w:color w:val="000000" w:themeColor="text1"/>
          <w:sz w:val="16"/>
          <w:szCs w:val="16"/>
        </w:rPr>
        <w:t>П.О.Сухому</w:t>
      </w:r>
      <w:proofErr w:type="spellEnd"/>
      <w:r w:rsidRPr="007122AB">
        <w:rPr>
          <w:rFonts w:ascii="Times New Roman" w:hAnsi="Times New Roman"/>
          <w:color w:val="000000" w:themeColor="text1"/>
          <w:sz w:val="16"/>
          <w:szCs w:val="16"/>
        </w:rPr>
        <w:t xml:space="preserve"> поручили, наконец, проектирование и постройку нового истребителя (9538,22).</w:t>
      </w:r>
    </w:p>
    <w:p w14:paraId="503B5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9CD9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самолет И4 был снабжен автоматическими предкрылками.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Поскольку серийная постройка самолетов И4 в 1931 году не производилась, указанная работа в ЦАГИ являлась экспериментальной и не была введена, ввиду сложности переделок в построенные самолеты (3530,91).</w:t>
      </w:r>
    </w:p>
    <w:p w14:paraId="6C5C9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5AB0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на испытаниях в НИИ ВВС, И-7 (НД37) при взлетном весе 1740 кг развивал максималь</w:t>
      </w:r>
      <w:r w:rsidRPr="007122AB">
        <w:rPr>
          <w:rFonts w:ascii="Times New Roman" w:hAnsi="Times New Roman"/>
          <w:color w:val="000000" w:themeColor="text1"/>
          <w:sz w:val="16"/>
          <w:szCs w:val="16"/>
        </w:rPr>
        <w:softHyphen/>
        <w:t>ную скорость у земли 291 км/ч, на высоте 5000 метров -277 км/ч, высоту 5000 м набирал за 11,3 мин. Его пото</w:t>
      </w:r>
      <w:r w:rsidRPr="007122AB">
        <w:rPr>
          <w:rFonts w:ascii="Times New Roman" w:hAnsi="Times New Roman"/>
          <w:color w:val="000000" w:themeColor="text1"/>
          <w:sz w:val="16"/>
          <w:szCs w:val="16"/>
        </w:rPr>
        <w:softHyphen/>
        <w:t>лок равнялся 7200 м. Таким образом И-7 (НД37) оказал</w:t>
      </w:r>
      <w:r w:rsidRPr="007122AB">
        <w:rPr>
          <w:rFonts w:ascii="Times New Roman" w:hAnsi="Times New Roman"/>
          <w:color w:val="000000" w:themeColor="text1"/>
          <w:sz w:val="16"/>
          <w:szCs w:val="16"/>
        </w:rPr>
        <w:softHyphen/>
        <w:t xml:space="preserve">ся хуже и своего прототипа, и И-7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Однако деньги на покупку лицензии уже потратили. Поэтому не удивительно, что в заключении по машине НТК сочло возможной серийную постройку, отметив при этом, что «по своим летно-техническим характери</w:t>
      </w:r>
      <w:r w:rsidRPr="007122AB">
        <w:rPr>
          <w:rFonts w:ascii="Times New Roman" w:hAnsi="Times New Roman"/>
          <w:color w:val="000000" w:themeColor="text1"/>
          <w:sz w:val="16"/>
          <w:szCs w:val="16"/>
        </w:rPr>
        <w:softHyphen/>
        <w:t>стикам самолет не удовлетворяет современным требо</w:t>
      </w:r>
      <w:r w:rsidRPr="007122AB">
        <w:rPr>
          <w:rFonts w:ascii="Times New Roman" w:hAnsi="Times New Roman"/>
          <w:color w:val="000000" w:themeColor="text1"/>
          <w:sz w:val="16"/>
          <w:szCs w:val="16"/>
        </w:rPr>
        <w:softHyphen/>
        <w:t>ваниям». Интересам государства был нанесен заметный урон (10667).</w:t>
      </w:r>
    </w:p>
    <w:p w14:paraId="501F8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ADACF1"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был поставлен вопрос о развертывании серийного выпуска самолета И-7 на заводе №135 в Харькове, что было поддержано УВВС (24331).</w:t>
      </w:r>
    </w:p>
    <w:p w14:paraId="2ED096C2" w14:textId="77777777" w:rsidR="000B7ADA" w:rsidRPr="00441F34" w:rsidRDefault="000B7ADA" w:rsidP="000B7ADA">
      <w:pPr>
        <w:spacing w:after="0" w:line="240" w:lineRule="auto"/>
        <w:jc w:val="both"/>
        <w:rPr>
          <w:rFonts w:ascii="Times New Roman" w:hAnsi="Times New Roman"/>
          <w:color w:val="0070C0"/>
          <w:sz w:val="16"/>
          <w:szCs w:val="16"/>
        </w:rPr>
      </w:pPr>
    </w:p>
    <w:p w14:paraId="638C53BD"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два первых И-7, которым предстояло стать эталоном для серийно</w:t>
      </w:r>
      <w:r w:rsidRPr="007122AB">
        <w:rPr>
          <w:rFonts w:ascii="Times New Roman" w:hAnsi="Times New Roman"/>
          <w:color w:val="000000" w:themeColor="text1"/>
          <w:sz w:val="16"/>
          <w:szCs w:val="16"/>
        </w:rPr>
        <w:softHyphen/>
        <w:t>го производства, были закончены. 25 июля летчик-испытатель Александр Жуков обле</w:t>
      </w:r>
      <w:r w:rsidRPr="007122AB">
        <w:rPr>
          <w:rFonts w:ascii="Times New Roman" w:hAnsi="Times New Roman"/>
          <w:color w:val="000000" w:themeColor="text1"/>
          <w:sz w:val="16"/>
          <w:szCs w:val="16"/>
        </w:rPr>
        <w:softHyphen/>
        <w:t>тал один из самолетов. Он оценивал И-7 как нормальный аппарат, однако отметил недо</w:t>
      </w:r>
      <w:r w:rsidRPr="007122AB">
        <w:rPr>
          <w:rFonts w:ascii="Times New Roman" w:hAnsi="Times New Roman"/>
          <w:color w:val="000000" w:themeColor="text1"/>
          <w:sz w:val="16"/>
          <w:szCs w:val="16"/>
        </w:rPr>
        <w:softHyphen/>
        <w:t>статочную устойчивость пути и некоторую сложность при выполнении виражей. В за</w:t>
      </w:r>
      <w:r w:rsidRPr="007122AB">
        <w:rPr>
          <w:rFonts w:ascii="Times New Roman" w:hAnsi="Times New Roman"/>
          <w:color w:val="000000" w:themeColor="text1"/>
          <w:sz w:val="16"/>
          <w:szCs w:val="16"/>
        </w:rPr>
        <w:softHyphen/>
        <w:t>ключении по заводским испытаниям гово</w:t>
      </w:r>
      <w:r w:rsidRPr="007122AB">
        <w:rPr>
          <w:rFonts w:ascii="Times New Roman" w:hAnsi="Times New Roman"/>
          <w:color w:val="000000" w:themeColor="text1"/>
          <w:sz w:val="16"/>
          <w:szCs w:val="16"/>
        </w:rPr>
        <w:softHyphen/>
        <w:t>рилось: «Самолет И-7 с ВМ\У-У1 7,3 имеет чуткое управление и требует хорошей трени</w:t>
      </w:r>
      <w:r w:rsidRPr="007122AB">
        <w:rPr>
          <w:rFonts w:ascii="Times New Roman" w:hAnsi="Times New Roman"/>
          <w:color w:val="000000" w:themeColor="text1"/>
          <w:sz w:val="16"/>
          <w:szCs w:val="16"/>
        </w:rPr>
        <w:softHyphen/>
        <w:t>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w:t>
      </w:r>
    </w:p>
    <w:p w14:paraId="19755F57"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Далее И-7 передали в Н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xml:space="preserve"> ВВС, выводы там сделали несколько в другой плоскости: «И-7 не отвечает по своим летным данным требовани</w:t>
      </w:r>
      <w:r w:rsidRPr="007122AB">
        <w:rPr>
          <w:rFonts w:ascii="Times New Roman" w:hAnsi="Times New Roman"/>
          <w:color w:val="000000" w:themeColor="text1"/>
          <w:sz w:val="16"/>
          <w:szCs w:val="16"/>
        </w:rPr>
        <w:softHyphen/>
        <w:t>ям, предъявляемым к современным истреби</w:t>
      </w:r>
      <w:r w:rsidRPr="007122AB">
        <w:rPr>
          <w:rFonts w:ascii="Times New Roman" w:hAnsi="Times New Roman"/>
          <w:color w:val="000000" w:themeColor="text1"/>
          <w:sz w:val="16"/>
          <w:szCs w:val="16"/>
        </w:rPr>
        <w:softHyphen/>
        <w:t>телям, однако целесообразно самолет строить для вооружения нескольких эскадрилий». По</w:t>
      </w:r>
      <w:r w:rsidRPr="007122AB">
        <w:rPr>
          <w:rFonts w:ascii="Times New Roman" w:hAnsi="Times New Roman"/>
          <w:color w:val="000000" w:themeColor="text1"/>
          <w:sz w:val="16"/>
          <w:szCs w:val="16"/>
        </w:rPr>
        <w:softHyphen/>
        <w:t>следнее мнение связывалось с надеждой ис</w:t>
      </w:r>
      <w:r w:rsidRPr="007122AB">
        <w:rPr>
          <w:rFonts w:ascii="Times New Roman" w:hAnsi="Times New Roman"/>
          <w:color w:val="000000" w:themeColor="text1"/>
          <w:sz w:val="16"/>
          <w:szCs w:val="16"/>
        </w:rPr>
        <w:softHyphen/>
        <w:t>пользования более мощных двигателей, раз</w:t>
      </w:r>
      <w:r w:rsidRPr="007122AB">
        <w:rPr>
          <w:rFonts w:ascii="Times New Roman" w:hAnsi="Times New Roman"/>
          <w:color w:val="000000" w:themeColor="text1"/>
          <w:sz w:val="16"/>
          <w:szCs w:val="16"/>
        </w:rPr>
        <w:softHyphen/>
        <w:t>работанных для замены ВМ\У-У1. Поначалу предполагались двигатели М-19 и М-27, а бли</w:t>
      </w:r>
      <w:r w:rsidRPr="007122AB">
        <w:rPr>
          <w:rFonts w:ascii="Times New Roman" w:hAnsi="Times New Roman"/>
          <w:color w:val="000000" w:themeColor="text1"/>
          <w:sz w:val="16"/>
          <w:szCs w:val="16"/>
        </w:rPr>
        <w:softHyphen/>
        <w:t>же к осени 1931 г. ожидался М-34.</w:t>
      </w:r>
    </w:p>
    <w:p w14:paraId="46D752BD"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Вообще, ситуация с И-7 во второй поло</w:t>
      </w:r>
      <w:r w:rsidRPr="007122AB">
        <w:rPr>
          <w:rFonts w:ascii="Times New Roman" w:hAnsi="Times New Roman"/>
          <w:color w:val="000000" w:themeColor="text1"/>
          <w:sz w:val="16"/>
          <w:szCs w:val="16"/>
        </w:rPr>
        <w:softHyphen/>
        <w:t>вине 1931 г. складывалась следующим образом. Летающих истребителей этого типа в Союзе имелось три экземпляра. Во-первых, уже в течение двух лет в 15-й авиабригаде нес строевую службу НО-37 №292 немецкой по</w:t>
      </w:r>
      <w:r w:rsidRPr="007122AB">
        <w:rPr>
          <w:rFonts w:ascii="Times New Roman" w:hAnsi="Times New Roman"/>
          <w:color w:val="000000" w:themeColor="text1"/>
          <w:sz w:val="16"/>
          <w:szCs w:val="16"/>
        </w:rPr>
        <w:softHyphen/>
        <w:t>стройки. Самолет находился в личном поль</w:t>
      </w:r>
      <w:r w:rsidRPr="007122AB">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7122AB">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7122AB">
        <w:rPr>
          <w:rFonts w:ascii="Times New Roman" w:hAnsi="Times New Roman"/>
          <w:color w:val="000000" w:themeColor="text1"/>
          <w:sz w:val="16"/>
          <w:szCs w:val="16"/>
        </w:rPr>
        <w:softHyphen/>
        <w:t>рвюры центроплана по сварке.</w:t>
      </w:r>
    </w:p>
    <w:p w14:paraId="4D8DF719"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Добавим, что в 9-й эскадрилье 15-й ави</w:t>
      </w:r>
      <w:r w:rsidRPr="007122AB">
        <w:rPr>
          <w:rFonts w:ascii="Times New Roman" w:hAnsi="Times New Roman"/>
          <w:color w:val="000000" w:themeColor="text1"/>
          <w:sz w:val="16"/>
          <w:szCs w:val="16"/>
        </w:rPr>
        <w:softHyphen/>
        <w:t>абригады в этот период числился и НО-43 №327.</w:t>
      </w:r>
    </w:p>
    <w:p w14:paraId="5A4D5D23"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7122AB">
        <w:rPr>
          <w:rFonts w:ascii="Times New Roman" w:hAnsi="Times New Roman"/>
          <w:color w:val="000000" w:themeColor="text1"/>
          <w:sz w:val="16"/>
          <w:szCs w:val="16"/>
        </w:rPr>
        <w:softHyphen/>
        <w:t>можно сохранялся про запас.</w:t>
      </w:r>
    </w:p>
    <w:p w14:paraId="64FAE67F"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 продолжением серийного производст</w:t>
      </w:r>
      <w:r w:rsidRPr="007122AB">
        <w:rPr>
          <w:rFonts w:ascii="Times New Roman" w:hAnsi="Times New Roman"/>
          <w:color w:val="000000" w:themeColor="text1"/>
          <w:sz w:val="16"/>
          <w:szCs w:val="16"/>
        </w:rPr>
        <w:softHyphen/>
        <w:t>ва вышла заминка. На авиазаводе №1 в те</w:t>
      </w:r>
      <w:r w:rsidRPr="007122AB">
        <w:rPr>
          <w:rFonts w:ascii="Times New Roman" w:hAnsi="Times New Roman"/>
          <w:color w:val="000000" w:themeColor="text1"/>
          <w:sz w:val="16"/>
          <w:szCs w:val="16"/>
        </w:rPr>
        <w:softHyphen/>
        <w:t>чение года развернули серийное изготовле</w:t>
      </w:r>
      <w:r w:rsidRPr="007122AB">
        <w:rPr>
          <w:rFonts w:ascii="Times New Roman" w:hAnsi="Times New Roman"/>
          <w:color w:val="000000" w:themeColor="text1"/>
          <w:sz w:val="16"/>
          <w:szCs w:val="16"/>
        </w:rPr>
        <w:softHyphen/>
        <w:t>ние отечественных истребителей И-5, ко</w:t>
      </w:r>
      <w:r w:rsidRPr="007122AB">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7122AB">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7122AB">
        <w:rPr>
          <w:rFonts w:ascii="Times New Roman" w:hAnsi="Times New Roman"/>
          <w:color w:val="000000" w:themeColor="text1"/>
          <w:sz w:val="16"/>
          <w:szCs w:val="16"/>
        </w:rPr>
        <w:softHyphen/>
        <w:t>тому до конца 1931 года И-7 не строили. Бо</w:t>
      </w:r>
      <w:r w:rsidRPr="007122AB">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7122AB">
        <w:rPr>
          <w:rFonts w:ascii="Times New Roman" w:hAnsi="Times New Roman"/>
          <w:color w:val="000000" w:themeColor="text1"/>
          <w:sz w:val="16"/>
          <w:szCs w:val="16"/>
        </w:rPr>
        <w:softHyphen/>
        <w:t>заводе №1, так как производство И-5 пере</w:t>
      </w:r>
      <w:r w:rsidRPr="007122AB">
        <w:rPr>
          <w:rFonts w:ascii="Times New Roman" w:hAnsi="Times New Roman"/>
          <w:color w:val="000000" w:themeColor="text1"/>
          <w:sz w:val="16"/>
          <w:szCs w:val="16"/>
        </w:rPr>
        <w:softHyphen/>
        <w:t>несли на авиационный завод №21 в Нижний Новгород (12295).</w:t>
      </w:r>
    </w:p>
    <w:p w14:paraId="08698DBA"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546EC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были Эксплуатационные испытания серийного самолета К-5 с двигателем М-22 по маршруту Харьков—Москва за— Оренбург— Кустанай—Акмолинск— Павлодар— Семипалатинск—Алма-Ата (10674).</w:t>
      </w:r>
    </w:p>
    <w:p w14:paraId="390140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1E1B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первый поплавковый бомбардировщик АНТ-4, получивший обозначение ТБ-1а (заводской № 649), подготовили к испытаниям. Они проходили в Севастополе с 15 июня по 19 июля. Масса пустого самоле</w:t>
      </w:r>
      <w:r w:rsidRPr="007122AB">
        <w:rPr>
          <w:rFonts w:ascii="Times New Roman" w:hAnsi="Times New Roman"/>
          <w:color w:val="000000" w:themeColor="text1"/>
          <w:sz w:val="16"/>
          <w:szCs w:val="16"/>
        </w:rPr>
        <w:softHyphen/>
        <w:t>та с морским оборудованием по сравнению с сухопутным вариантом возросла почти на 600 кг и составила 5016 кг. При нормальной взлетной массе 7500 кг с нагрузкой 2484 кг, в число которой вошло 1000 кг бомб (4x250 кг), радиус действия составил 192 мили, с дополнительным топливом и макси</w:t>
      </w:r>
      <w:r w:rsidRPr="007122AB">
        <w:rPr>
          <w:rFonts w:ascii="Times New Roman" w:hAnsi="Times New Roman"/>
          <w:color w:val="000000" w:themeColor="text1"/>
          <w:sz w:val="16"/>
          <w:szCs w:val="16"/>
        </w:rPr>
        <w:softHyphen/>
        <w:t>мальным взлетным весом 8000 кг — 250 миль. После проведения указанных испыта</w:t>
      </w:r>
      <w:r w:rsidRPr="007122AB">
        <w:rPr>
          <w:rFonts w:ascii="Times New Roman" w:hAnsi="Times New Roman"/>
          <w:color w:val="000000" w:themeColor="text1"/>
          <w:sz w:val="16"/>
          <w:szCs w:val="16"/>
        </w:rPr>
        <w:softHyphen/>
        <w:t>ний морской вариант бомбардировщика под обозначением ТБ-1П начал поступать на снабжение строевых частей (11286).</w:t>
      </w:r>
    </w:p>
    <w:p w14:paraId="1E244D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5F94E"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пред</w:t>
      </w:r>
      <w:r w:rsidRPr="007122AB">
        <w:rPr>
          <w:rFonts w:ascii="Times New Roman" w:hAnsi="Times New Roman"/>
          <w:color w:val="000000" w:themeColor="text1"/>
          <w:sz w:val="16"/>
          <w:szCs w:val="16"/>
        </w:rPr>
        <w:softHyphen/>
        <w:t>ставители морской авиации от обладания ма</w:t>
      </w:r>
      <w:r w:rsidRPr="007122AB">
        <w:rPr>
          <w:rFonts w:ascii="Times New Roman" w:hAnsi="Times New Roman"/>
          <w:color w:val="000000" w:themeColor="text1"/>
          <w:sz w:val="16"/>
          <w:szCs w:val="16"/>
        </w:rPr>
        <w:softHyphen/>
        <w:t>леньким поплавковым истребителем с недо</w:t>
      </w:r>
      <w:r w:rsidRPr="007122AB">
        <w:rPr>
          <w:rFonts w:ascii="Times New Roman" w:hAnsi="Times New Roman"/>
          <w:color w:val="000000" w:themeColor="text1"/>
          <w:sz w:val="16"/>
          <w:szCs w:val="16"/>
        </w:rPr>
        <w:softHyphen/>
        <w:t>статочной мореходностью решили отказать</w:t>
      </w:r>
      <w:r w:rsidRPr="007122AB">
        <w:rPr>
          <w:rFonts w:ascii="Times New Roman" w:hAnsi="Times New Roman"/>
          <w:color w:val="000000" w:themeColor="text1"/>
          <w:sz w:val="16"/>
          <w:szCs w:val="16"/>
        </w:rPr>
        <w:softHyphen/>
        <w:t>ся. Вероятнее всего на принятие решения по</w:t>
      </w:r>
      <w:r w:rsidRPr="007122AB">
        <w:rPr>
          <w:rFonts w:ascii="Times New Roman" w:hAnsi="Times New Roman"/>
          <w:color w:val="000000" w:themeColor="text1"/>
          <w:sz w:val="16"/>
          <w:szCs w:val="16"/>
        </w:rPr>
        <w:softHyphen/>
        <w:t>влиял двухлетний опыт эксплуатации летаю</w:t>
      </w:r>
      <w:r w:rsidRPr="007122AB">
        <w:rPr>
          <w:rFonts w:ascii="Times New Roman" w:hAnsi="Times New Roman"/>
          <w:color w:val="000000" w:themeColor="text1"/>
          <w:sz w:val="16"/>
          <w:szCs w:val="16"/>
        </w:rPr>
        <w:softHyphen/>
        <w:t>щих лодок КР-1 (Хейнкель НЭ.55) (12295).</w:t>
      </w:r>
    </w:p>
    <w:p w14:paraId="6D2A235D"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049B94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пришлось вспомнить, что Центральное кон</w:t>
      </w:r>
      <w:r w:rsidRPr="007122AB">
        <w:rPr>
          <w:rFonts w:ascii="Times New Roman" w:hAnsi="Times New Roman"/>
          <w:color w:val="000000" w:themeColor="text1"/>
          <w:sz w:val="16"/>
          <w:szCs w:val="16"/>
        </w:rPr>
        <w:softHyphen/>
        <w:t>структорское бюро образца 1930 г. имену</w:t>
      </w:r>
      <w:r w:rsidRPr="007122AB">
        <w:rPr>
          <w:rFonts w:ascii="Times New Roman" w:hAnsi="Times New Roman"/>
          <w:color w:val="000000" w:themeColor="text1"/>
          <w:sz w:val="16"/>
          <w:szCs w:val="16"/>
        </w:rPr>
        <w:softHyphen/>
        <w:t>ется как ЦКБ-39 и создавалось при непосред</w:t>
      </w:r>
      <w:r w:rsidRPr="007122AB">
        <w:rPr>
          <w:rFonts w:ascii="Times New Roman" w:hAnsi="Times New Roman"/>
          <w:color w:val="000000" w:themeColor="text1"/>
          <w:sz w:val="16"/>
          <w:szCs w:val="16"/>
        </w:rPr>
        <w:softHyphen/>
        <w:t>ственном участии ОГПУ. Успехи, достигнутые ОГПУ в деле проектирования новой авиатехники, наглядно были продемонстрированы 6 июля 1931 г. И.В. Сталину. В ангаре, на аэро</w:t>
      </w:r>
      <w:r w:rsidRPr="007122AB">
        <w:rPr>
          <w:rFonts w:ascii="Times New Roman" w:hAnsi="Times New Roman"/>
          <w:color w:val="000000" w:themeColor="text1"/>
          <w:sz w:val="16"/>
          <w:szCs w:val="16"/>
        </w:rPr>
        <w:softHyphen/>
        <w:t>дроме и в воздухе были показаны: истреби</w:t>
      </w:r>
      <w:r w:rsidRPr="007122AB">
        <w:rPr>
          <w:rFonts w:ascii="Times New Roman" w:hAnsi="Times New Roman"/>
          <w:color w:val="000000" w:themeColor="text1"/>
          <w:sz w:val="16"/>
          <w:szCs w:val="16"/>
        </w:rPr>
        <w:softHyphen/>
        <w:t xml:space="preserve">тель И-5, модификации разведчика Р-5, </w:t>
      </w:r>
      <w:proofErr w:type="spellStart"/>
      <w:r w:rsidRPr="007122AB">
        <w:rPr>
          <w:rFonts w:ascii="Times New Roman" w:hAnsi="Times New Roman"/>
          <w:color w:val="000000" w:themeColor="text1"/>
          <w:sz w:val="16"/>
          <w:szCs w:val="16"/>
        </w:rPr>
        <w:t>штур</w:t>
      </w:r>
      <w:proofErr w:type="spellEnd"/>
      <w:r w:rsidRPr="007122AB">
        <w:rPr>
          <w:rFonts w:ascii="Times New Roman" w:hAnsi="Times New Roman"/>
          <w:color w:val="000000" w:themeColor="text1"/>
          <w:sz w:val="16"/>
          <w:szCs w:val="16"/>
        </w:rPr>
        <w:t>- иовикТШ-1, бомбардировщик ТБ-5 и пушеч</w:t>
      </w:r>
      <w:r w:rsidRPr="007122AB">
        <w:rPr>
          <w:rFonts w:ascii="Times New Roman" w:hAnsi="Times New Roman"/>
          <w:color w:val="000000" w:themeColor="text1"/>
          <w:sz w:val="16"/>
          <w:szCs w:val="16"/>
        </w:rPr>
        <w:softHyphen/>
        <w:t xml:space="preserve">ный истребитель И-ЗЕТ. По всему выходило, </w:t>
      </w:r>
      <w:proofErr w:type="spellStart"/>
      <w:r w:rsidRPr="007122AB">
        <w:rPr>
          <w:rFonts w:ascii="Times New Roman" w:hAnsi="Times New Roman"/>
          <w:color w:val="000000" w:themeColor="text1"/>
          <w:sz w:val="16"/>
          <w:szCs w:val="16"/>
        </w:rPr>
        <w:t>тго</w:t>
      </w:r>
      <w:proofErr w:type="spellEnd"/>
      <w:r w:rsidRPr="007122AB">
        <w:rPr>
          <w:rFonts w:ascii="Times New Roman" w:hAnsi="Times New Roman"/>
          <w:color w:val="000000" w:themeColor="text1"/>
          <w:sz w:val="16"/>
          <w:szCs w:val="16"/>
        </w:rPr>
        <w:t xml:space="preserve"> руководителям ОГПУ действительно уда</w:t>
      </w:r>
      <w:r w:rsidRPr="007122AB">
        <w:rPr>
          <w:rFonts w:ascii="Times New Roman" w:hAnsi="Times New Roman"/>
          <w:color w:val="000000" w:themeColor="text1"/>
          <w:sz w:val="16"/>
          <w:szCs w:val="16"/>
        </w:rPr>
        <w:softHyphen/>
        <w:t>лось найти наиболее продуктивную форму деятельности авиапромышленности. Достиг</w:t>
      </w:r>
      <w:r w:rsidRPr="007122AB">
        <w:rPr>
          <w:rFonts w:ascii="Times New Roman" w:hAnsi="Times New Roman"/>
          <w:color w:val="000000" w:themeColor="text1"/>
          <w:sz w:val="16"/>
          <w:szCs w:val="16"/>
        </w:rPr>
        <w:softHyphen/>
        <w:t>нутые успехи решили закреплять, поэтому 27 августа 1931 г. приказом по Всесоюзному авиационному объединению (ВАО) №265 ЦКБ и ЦАГИ объединялись в единую про</w:t>
      </w:r>
      <w:r w:rsidRPr="007122AB">
        <w:rPr>
          <w:rFonts w:ascii="Times New Roman" w:hAnsi="Times New Roman"/>
          <w:color w:val="000000" w:themeColor="text1"/>
          <w:sz w:val="16"/>
          <w:szCs w:val="16"/>
        </w:rPr>
        <w:softHyphen/>
        <w:t>ектную организацию - ЦКБ-ЦАГИ. Остро</w:t>
      </w:r>
      <w:r w:rsidRPr="007122AB">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7122AB">
        <w:rPr>
          <w:rFonts w:ascii="Times New Roman" w:hAnsi="Times New Roman"/>
          <w:color w:val="000000" w:themeColor="text1"/>
          <w:sz w:val="16"/>
          <w:szCs w:val="16"/>
        </w:rPr>
        <w:softHyphen/>
        <w:t xml:space="preserve">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по технической части начальником объединенной организации стал С.В. Ильюшин (11974).</w:t>
      </w:r>
    </w:p>
    <w:p w14:paraId="5FA4A9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FC6511"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многим участникам со</w:t>
      </w:r>
      <w:r w:rsidRPr="007122AB">
        <w:rPr>
          <w:rFonts w:ascii="Times New Roman" w:hAnsi="Times New Roman"/>
          <w:color w:val="000000" w:themeColor="text1"/>
          <w:sz w:val="16"/>
          <w:szCs w:val="16"/>
        </w:rPr>
        <w:softHyphen/>
        <w:t>бытий пришлось вспомнить, что Централь-</w:t>
      </w:r>
      <w:proofErr w:type="spellStart"/>
      <w:r w:rsidRPr="007122AB">
        <w:rPr>
          <w:rFonts w:ascii="Times New Roman" w:hAnsi="Times New Roman"/>
          <w:color w:val="000000" w:themeColor="text1"/>
          <w:sz w:val="16"/>
          <w:szCs w:val="16"/>
        </w:rPr>
        <w:t>ное</w:t>
      </w:r>
      <w:proofErr w:type="spellEnd"/>
      <w:r w:rsidRPr="007122AB">
        <w:rPr>
          <w:rFonts w:ascii="Times New Roman" w:hAnsi="Times New Roman"/>
          <w:color w:val="000000" w:themeColor="text1"/>
          <w:sz w:val="16"/>
          <w:szCs w:val="16"/>
        </w:rPr>
        <w:t xml:space="preserve"> конструкторское бюро образца 1930 года именуется как ЦКБ-39 и создавалось при не</w:t>
      </w:r>
      <w:r w:rsidRPr="007122AB">
        <w:rPr>
          <w:rFonts w:ascii="Times New Roman" w:hAnsi="Times New Roman"/>
          <w:color w:val="000000" w:themeColor="text1"/>
          <w:sz w:val="16"/>
          <w:szCs w:val="16"/>
        </w:rPr>
        <w:softHyphen/>
        <w:t>посредственном участии ОГПУ. Успехи, до</w:t>
      </w:r>
      <w:r w:rsidRPr="007122AB">
        <w:rPr>
          <w:rFonts w:ascii="Times New Roman" w:hAnsi="Times New Roman"/>
          <w:color w:val="000000" w:themeColor="text1"/>
          <w:sz w:val="16"/>
          <w:szCs w:val="16"/>
        </w:rPr>
        <w:softHyphen/>
        <w:t>стигнутые ОГПУ в деле проектирования но</w:t>
      </w:r>
      <w:r w:rsidRPr="007122AB">
        <w:rPr>
          <w:rFonts w:ascii="Times New Roman" w:hAnsi="Times New Roman"/>
          <w:color w:val="000000" w:themeColor="text1"/>
          <w:sz w:val="16"/>
          <w:szCs w:val="16"/>
        </w:rPr>
        <w:softHyphen/>
        <w:t>вой авиатехники, наглядно были продемон</w:t>
      </w:r>
      <w:r w:rsidRPr="007122AB">
        <w:rPr>
          <w:rFonts w:ascii="Times New Roman" w:hAnsi="Times New Roman"/>
          <w:color w:val="000000" w:themeColor="text1"/>
          <w:sz w:val="16"/>
          <w:szCs w:val="16"/>
        </w:rPr>
        <w:softHyphen/>
        <w:t>стрированы 6 июля 1931 г. И.В. Сталину. В ангаре, на аэродроме и в воздухе были пока</w:t>
      </w:r>
      <w:r w:rsidRPr="007122AB">
        <w:rPr>
          <w:rFonts w:ascii="Times New Roman" w:hAnsi="Times New Roman"/>
          <w:color w:val="000000" w:themeColor="text1"/>
          <w:sz w:val="16"/>
          <w:szCs w:val="16"/>
        </w:rPr>
        <w:softHyphen/>
        <w:t>заны: истребитель И-5, модификации развед</w:t>
      </w:r>
      <w:r w:rsidRPr="007122AB">
        <w:rPr>
          <w:rFonts w:ascii="Times New Roman" w:hAnsi="Times New Roman"/>
          <w:color w:val="000000" w:themeColor="text1"/>
          <w:sz w:val="16"/>
          <w:szCs w:val="16"/>
        </w:rPr>
        <w:softHyphen/>
        <w:t>чика Р-5, штурмовик ТШ-1, бомбардиров</w:t>
      </w:r>
      <w:r w:rsidRPr="007122AB">
        <w:rPr>
          <w:rFonts w:ascii="Times New Roman" w:hAnsi="Times New Roman"/>
          <w:color w:val="000000" w:themeColor="text1"/>
          <w:sz w:val="16"/>
          <w:szCs w:val="16"/>
        </w:rPr>
        <w:softHyphen/>
        <w:t>щик ТБ-5 и пушечный истребитель И-ЗЕТ. По всему выходило, что руководителям ОГ</w:t>
      </w:r>
      <w:r w:rsidRPr="007122AB">
        <w:rPr>
          <w:rFonts w:ascii="Times New Roman" w:hAnsi="Times New Roman"/>
          <w:color w:val="000000" w:themeColor="text1"/>
          <w:sz w:val="16"/>
          <w:szCs w:val="16"/>
        </w:rPr>
        <w:softHyphen/>
        <w:t>ПУ действительно удалось найти наиболее продуктивную форму деятельности авиапро</w:t>
      </w:r>
      <w:r w:rsidRPr="007122AB">
        <w:rPr>
          <w:rFonts w:ascii="Times New Roman" w:hAnsi="Times New Roman"/>
          <w:color w:val="000000" w:themeColor="text1"/>
          <w:sz w:val="16"/>
          <w:szCs w:val="16"/>
        </w:rPr>
        <w:softHyphen/>
        <w:t>мышленности. Достигнутые успехи решили закреплять, поэтому, 27 августа 1931 г. при</w:t>
      </w:r>
      <w:r w:rsidRPr="007122AB">
        <w:rPr>
          <w:rFonts w:ascii="Times New Roman" w:hAnsi="Times New Roman"/>
          <w:color w:val="000000" w:themeColor="text1"/>
          <w:sz w:val="16"/>
          <w:szCs w:val="16"/>
        </w:rPr>
        <w:softHyphen/>
        <w:t>казом по Всесоюзному авиационному объ</w:t>
      </w:r>
      <w:r w:rsidRPr="007122AB">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7122AB">
        <w:rPr>
          <w:rFonts w:ascii="Times New Roman" w:hAnsi="Times New Roman"/>
          <w:color w:val="000000" w:themeColor="text1"/>
          <w:sz w:val="16"/>
          <w:szCs w:val="16"/>
        </w:rPr>
        <w:softHyphen/>
        <w:t>ектную организацию — ЦКБ-ЦАГИ. Остро</w:t>
      </w:r>
      <w:r w:rsidRPr="007122AB">
        <w:rPr>
          <w:rFonts w:ascii="Times New Roman" w:hAnsi="Times New Roman"/>
          <w:color w:val="000000" w:themeColor="text1"/>
          <w:sz w:val="16"/>
          <w:szCs w:val="16"/>
        </w:rPr>
        <w:softHyphen/>
        <w:t>словы окрестили соединение двух организа</w:t>
      </w:r>
      <w:r w:rsidRPr="007122AB">
        <w:rPr>
          <w:rFonts w:ascii="Times New Roman" w:hAnsi="Times New Roman"/>
          <w:color w:val="000000" w:themeColor="text1"/>
          <w:sz w:val="16"/>
          <w:szCs w:val="16"/>
        </w:rPr>
        <w:softHyphen/>
        <w:t xml:space="preserve">ций «свадьбой». От ОГПУ командовать новой структурой назначили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по тех</w:t>
      </w:r>
      <w:r w:rsidRPr="007122AB">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4FBE1EF5"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4BB6786B" w14:textId="77777777" w:rsidR="00CE347A" w:rsidRPr="007122AB" w:rsidRDefault="00CE347A"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Летом 1931 Вахмистров подал в Комитет по изобретательству заявку на изобретение «самолёта-звена». «Я предлагаю составить тяжелый многомоторный самолёт из одного бомбардировщика среднего веса и двух истребителей, получив систему-звено, которая может работать и как один целый самолёт, и как три отдельных самолёта. &lt;…&gt; Я заставлю истребители, на которых стоят мощные моторы, использовать избыток их мощности на полезную работу переноски тяжёлого груза, а в нужный момент использовать её для боя. Кроме того, производя питание горючим истребителей из баков бомбардировщика, тем самым даётся возможность истребителю работать в глубоком тылу с возможностью вернуться в своё расположение» </w:t>
      </w:r>
      <w:hyperlink r:id="rId136" w:history="1">
        <w:r w:rsidRPr="007122AB">
          <w:rPr>
            <w:rFonts w:ascii="Times New Roman" w:eastAsia="Times New Roman" w:hAnsi="Times New Roman"/>
            <w:color w:val="000000" w:themeColor="text1"/>
            <w:sz w:val="16"/>
            <w:szCs w:val="16"/>
            <w:lang w:eastAsia="ru-RU"/>
          </w:rPr>
          <w:t>[74]</w:t>
        </w:r>
      </w:hyperlink>
      <w:r w:rsidRPr="007122AB">
        <w:rPr>
          <w:rFonts w:ascii="Times New Roman" w:eastAsia="Times New Roman" w:hAnsi="Times New Roman"/>
          <w:color w:val="000000" w:themeColor="text1"/>
          <w:sz w:val="16"/>
          <w:szCs w:val="16"/>
          <w:lang w:eastAsia="ru-RU"/>
        </w:rPr>
        <w:t xml:space="preserve"> (17489).</w:t>
      </w:r>
    </w:p>
    <w:p w14:paraId="32366B6D" w14:textId="77777777" w:rsidR="00CE347A" w:rsidRPr="007122AB" w:rsidRDefault="00CE347A" w:rsidP="007122AB">
      <w:pPr>
        <w:spacing w:after="0" w:line="240" w:lineRule="auto"/>
        <w:jc w:val="both"/>
        <w:rPr>
          <w:rFonts w:ascii="Times New Roman" w:eastAsia="Times New Roman" w:hAnsi="Times New Roman"/>
          <w:color w:val="000000" w:themeColor="text1"/>
          <w:sz w:val="16"/>
          <w:szCs w:val="16"/>
          <w:lang w:eastAsia="ru-RU"/>
        </w:rPr>
      </w:pPr>
    </w:p>
    <w:p w14:paraId="6CC4042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Летом 1931 года была испытана десантная лодка </w:t>
      </w:r>
      <w:proofErr w:type="spellStart"/>
      <w:r w:rsidRPr="007122AB">
        <w:rPr>
          <w:rFonts w:ascii="Times New Roman" w:hAnsi="Times New Roman"/>
          <w:color w:val="000000" w:themeColor="text1"/>
          <w:sz w:val="16"/>
          <w:szCs w:val="16"/>
        </w:rPr>
        <w:t>Благина</w:t>
      </w:r>
      <w:proofErr w:type="spellEnd"/>
      <w:r w:rsidRPr="007122AB">
        <w:rPr>
          <w:rFonts w:ascii="Times New Roman" w:hAnsi="Times New Roman"/>
          <w:color w:val="000000" w:themeColor="text1"/>
          <w:sz w:val="16"/>
          <w:szCs w:val="16"/>
        </w:rPr>
        <w:t>, разработанная у Гроховского, ввиду того, что парашют к этой лодке порвался – испытания были прекращены (6770).</w:t>
      </w:r>
    </w:p>
    <w:p w14:paraId="36E0E21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4DE7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w:t>
      </w:r>
      <w:proofErr w:type="spellStart"/>
      <w:r w:rsidRPr="007122AB">
        <w:rPr>
          <w:rFonts w:ascii="Times New Roman" w:hAnsi="Times New Roman"/>
          <w:color w:val="000000" w:themeColor="text1"/>
          <w:sz w:val="16"/>
          <w:szCs w:val="16"/>
        </w:rPr>
        <w:t>Всехсвятского</w:t>
      </w:r>
      <w:proofErr w:type="spellEnd"/>
      <w:r w:rsidRPr="007122AB">
        <w:rPr>
          <w:rFonts w:ascii="Times New Roman" w:hAnsi="Times New Roman"/>
          <w:color w:val="000000" w:themeColor="text1"/>
          <w:sz w:val="16"/>
          <w:szCs w:val="16"/>
        </w:rPr>
        <w:t xml:space="preserve">.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w:t>
      </w:r>
      <w:proofErr w:type="spellStart"/>
      <w:r w:rsidRPr="007122AB">
        <w:rPr>
          <w:rFonts w:ascii="Times New Roman" w:hAnsi="Times New Roman"/>
          <w:color w:val="000000" w:themeColor="text1"/>
          <w:sz w:val="16"/>
          <w:szCs w:val="16"/>
        </w:rPr>
        <w:t>Квасниковым</w:t>
      </w:r>
      <w:proofErr w:type="spellEnd"/>
      <w:r w:rsidRPr="007122AB">
        <w:rPr>
          <w:rFonts w:ascii="Times New Roman" w:hAnsi="Times New Roman"/>
          <w:color w:val="000000" w:themeColor="text1"/>
          <w:sz w:val="16"/>
          <w:szCs w:val="16"/>
        </w:rPr>
        <w:t xml:space="preserve">,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w:t>
      </w:r>
      <w:proofErr w:type="spellStart"/>
      <w:r w:rsidRPr="007122AB">
        <w:rPr>
          <w:rFonts w:ascii="Times New Roman" w:hAnsi="Times New Roman"/>
          <w:color w:val="000000" w:themeColor="text1"/>
          <w:sz w:val="16"/>
          <w:szCs w:val="16"/>
        </w:rPr>
        <w:t>Плодвинсоюз</w:t>
      </w:r>
      <w:proofErr w:type="spellEnd"/>
      <w:r w:rsidRPr="007122AB">
        <w:rPr>
          <w:rFonts w:ascii="Times New Roman" w:hAnsi="Times New Roman"/>
          <w:color w:val="000000" w:themeColor="text1"/>
          <w:sz w:val="16"/>
          <w:szCs w:val="16"/>
        </w:rPr>
        <w:t xml:space="preserve">,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w:t>
      </w:r>
      <w:proofErr w:type="spellStart"/>
      <w:r w:rsidRPr="007122AB">
        <w:rPr>
          <w:rFonts w:ascii="Times New Roman" w:hAnsi="Times New Roman"/>
          <w:color w:val="000000" w:themeColor="text1"/>
          <w:sz w:val="16"/>
          <w:szCs w:val="16"/>
        </w:rPr>
        <w:t>Погосский</w:t>
      </w:r>
      <w:proofErr w:type="spellEnd"/>
      <w:r w:rsidRPr="007122AB">
        <w:rPr>
          <w:rFonts w:ascii="Times New Roman" w:hAnsi="Times New Roman"/>
          <w:color w:val="000000" w:themeColor="text1"/>
          <w:sz w:val="16"/>
          <w:szCs w:val="16"/>
        </w:rPr>
        <w:t xml:space="preserve">, А. П. Голубков, А. Л. Гиммельфарб, Н. Ф. Чехонин и другие. В проведении учебного процесса на старших курсах кафедры опирались на деятельность НИИ, заводских КБ. Так, в 1930 г. студенты В. </w:t>
      </w:r>
      <w:proofErr w:type="spellStart"/>
      <w:r w:rsidRPr="007122AB">
        <w:rPr>
          <w:rFonts w:ascii="Times New Roman" w:hAnsi="Times New Roman"/>
          <w:color w:val="000000" w:themeColor="text1"/>
          <w:sz w:val="16"/>
          <w:szCs w:val="16"/>
        </w:rPr>
        <w:t>Лаписов</w:t>
      </w:r>
      <w:proofErr w:type="spellEnd"/>
      <w:r w:rsidRPr="007122AB">
        <w:rPr>
          <w:rFonts w:ascii="Times New Roman" w:hAnsi="Times New Roman"/>
          <w:color w:val="000000" w:themeColor="text1"/>
          <w:sz w:val="16"/>
          <w:szCs w:val="16"/>
        </w:rPr>
        <w:t xml:space="preserve">, А. Бахур, В. Таиров проходили практику в ЦАГИ, в Отделе особых конструкций, под руководством опытных специалистов. Эти студенты стали впоследствии энтузиастами </w:t>
      </w:r>
      <w:proofErr w:type="spellStart"/>
      <w:r w:rsidRPr="007122AB">
        <w:rPr>
          <w:rFonts w:ascii="Times New Roman" w:hAnsi="Times New Roman"/>
          <w:color w:val="000000" w:themeColor="text1"/>
          <w:sz w:val="16"/>
          <w:szCs w:val="16"/>
        </w:rPr>
        <w:t>верто-летостроения</w:t>
      </w:r>
      <w:proofErr w:type="spellEnd"/>
      <w:r w:rsidRPr="007122AB">
        <w:rPr>
          <w:rFonts w:ascii="Times New Roman" w:hAnsi="Times New Roman"/>
          <w:color w:val="000000" w:themeColor="text1"/>
          <w:sz w:val="16"/>
          <w:szCs w:val="16"/>
        </w:rPr>
        <w:t xml:space="preserve">. В конструкторские бюро, руководимые А. Н. Туполевым и С. В. Ильюшиным, были направлены студенты Е. Князев, Н. Петров, В. Коршун, В. Степин, В. </w:t>
      </w:r>
      <w:proofErr w:type="spellStart"/>
      <w:r w:rsidRPr="007122AB">
        <w:rPr>
          <w:rFonts w:ascii="Times New Roman" w:hAnsi="Times New Roman"/>
          <w:color w:val="000000" w:themeColor="text1"/>
          <w:sz w:val="16"/>
          <w:szCs w:val="16"/>
        </w:rPr>
        <w:t>Борог</w:t>
      </w:r>
      <w:proofErr w:type="spellEnd"/>
      <w:r w:rsidRPr="007122AB">
        <w:rPr>
          <w:rFonts w:ascii="Times New Roman" w:hAnsi="Times New Roman"/>
          <w:color w:val="000000" w:themeColor="text1"/>
          <w:sz w:val="16"/>
          <w:szCs w:val="16"/>
        </w:rPr>
        <w:t xml:space="preserve">, С. </w:t>
      </w:r>
      <w:proofErr w:type="spellStart"/>
      <w:r w:rsidRPr="007122AB">
        <w:rPr>
          <w:rFonts w:ascii="Times New Roman" w:hAnsi="Times New Roman"/>
          <w:color w:val="000000" w:themeColor="text1"/>
          <w:sz w:val="16"/>
          <w:szCs w:val="16"/>
        </w:rPr>
        <w:t>Ковшарев</w:t>
      </w:r>
      <w:proofErr w:type="spellEnd"/>
      <w:r w:rsidRPr="007122AB">
        <w:rPr>
          <w:rFonts w:ascii="Times New Roman" w:hAnsi="Times New Roman"/>
          <w:color w:val="000000" w:themeColor="text1"/>
          <w:sz w:val="16"/>
          <w:szCs w:val="16"/>
        </w:rPr>
        <w:t>, Н. Матюк, М. Шульженко и многие другие (12075).</w:t>
      </w:r>
    </w:p>
    <w:p w14:paraId="03C4F7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665079" w14:textId="77777777" w:rsidR="0048207C" w:rsidRPr="007122AB" w:rsidRDefault="0048207C"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на моторном заводе № 24 находилось 12 </w:t>
      </w:r>
      <w:proofErr w:type="spellStart"/>
      <w:r w:rsidRPr="007122AB">
        <w:rPr>
          <w:rFonts w:ascii="Times New Roman" w:hAnsi="Times New Roman"/>
          <w:color w:val="000000" w:themeColor="text1"/>
          <w:sz w:val="16"/>
          <w:szCs w:val="16"/>
        </w:rPr>
        <w:t>ФЭДов</w:t>
      </w:r>
      <w:proofErr w:type="spellEnd"/>
      <w:r w:rsidRPr="007122AB">
        <w:rPr>
          <w:rFonts w:ascii="Times New Roman" w:hAnsi="Times New Roman"/>
          <w:color w:val="000000" w:themeColor="text1"/>
          <w:sz w:val="16"/>
          <w:szCs w:val="16"/>
        </w:rPr>
        <w:t>, и еще на 10 имелся задел деталей (15223).</w:t>
      </w:r>
    </w:p>
    <w:p w14:paraId="0E2A14B7" w14:textId="77777777" w:rsidR="0048207C" w:rsidRPr="007122AB" w:rsidRDefault="0048207C" w:rsidP="007122AB">
      <w:pPr>
        <w:shd w:val="clear" w:color="auto" w:fill="FFFFFF"/>
        <w:spacing w:after="0" w:line="240" w:lineRule="auto"/>
        <w:jc w:val="both"/>
        <w:rPr>
          <w:rFonts w:ascii="Times New Roman" w:hAnsi="Times New Roman"/>
          <w:color w:val="000000" w:themeColor="text1"/>
          <w:sz w:val="16"/>
          <w:szCs w:val="16"/>
        </w:rPr>
      </w:pPr>
    </w:p>
    <w:p w14:paraId="7F697363"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на моторном заводе №24 в производстве находились 12 </w:t>
      </w:r>
      <w:proofErr w:type="spellStart"/>
      <w:r w:rsidRPr="007122AB">
        <w:rPr>
          <w:rFonts w:ascii="Times New Roman" w:hAnsi="Times New Roman"/>
          <w:color w:val="000000" w:themeColor="text1"/>
          <w:sz w:val="16"/>
          <w:szCs w:val="16"/>
        </w:rPr>
        <w:t>ФЭДов</w:t>
      </w:r>
      <w:proofErr w:type="spellEnd"/>
      <w:r w:rsidRPr="007122AB">
        <w:rPr>
          <w:rFonts w:ascii="Times New Roman" w:hAnsi="Times New Roman"/>
          <w:color w:val="000000" w:themeColor="text1"/>
          <w:sz w:val="16"/>
          <w:szCs w:val="16"/>
        </w:rPr>
        <w:t>, имелись заделы еще на 10 таких двигателей. В связи с этими обстоятельствами, 25 июля 1931 г. по постановлению Совета труда и обо</w:t>
      </w:r>
      <w:r w:rsidRPr="007122AB">
        <w:rPr>
          <w:rFonts w:ascii="Times New Roman" w:hAnsi="Times New Roman"/>
          <w:color w:val="000000" w:themeColor="text1"/>
          <w:sz w:val="16"/>
          <w:szCs w:val="16"/>
        </w:rPr>
        <w:softHyphen/>
        <w:t>роны республики в программу серийного строительства было введено обязатель</w:t>
      </w:r>
      <w:r w:rsidRPr="007122AB">
        <w:rPr>
          <w:rFonts w:ascii="Times New Roman" w:hAnsi="Times New Roman"/>
          <w:color w:val="000000" w:themeColor="text1"/>
          <w:sz w:val="16"/>
          <w:szCs w:val="16"/>
        </w:rPr>
        <w:softHyphen/>
        <w:t>ство постройки шести ТБ-5: один опытный экземпляр и пять самолетов войсковой серии. Более того, при планах формирова</w:t>
      </w:r>
      <w:r w:rsidRPr="007122AB">
        <w:rPr>
          <w:rFonts w:ascii="Times New Roman" w:hAnsi="Times New Roman"/>
          <w:color w:val="000000" w:themeColor="text1"/>
          <w:sz w:val="16"/>
          <w:szCs w:val="16"/>
        </w:rPr>
        <w:softHyphen/>
        <w:t>ния новых бомбардировочных эскадрилий на 1932 г. эти 6 аппаратов были учтены. Так как надежды на смену моторных установок было мало, обозначались они как ТБ-5 с М-22, или просто ТБМ-22.</w:t>
      </w:r>
    </w:p>
    <w:p w14:paraId="0B7CA50A"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 он был, что называется, на скорую руку, самолет подвергался непрерывным улучшениям и переделкам. Начиная с июня 1931 г. на нем усилили фюзеляж (отмечалось скручивание хвостовой части фюзеляжа в полете) и крепление двига</w:t>
      </w:r>
      <w:r w:rsidRPr="007122AB">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7122AB">
        <w:rPr>
          <w:rFonts w:ascii="Times New Roman" w:hAnsi="Times New Roman"/>
          <w:color w:val="000000" w:themeColor="text1"/>
          <w:sz w:val="16"/>
          <w:szCs w:val="16"/>
        </w:rPr>
        <w:softHyphen/>
        <w:t xml:space="preserve">плане, сняты кольца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xml:space="preserve"> с задних двигателей. В период зимы 1931—1932 гг. ТБ-5 был поставлен на лыжи и совершил еще ряд полетов.</w:t>
      </w:r>
    </w:p>
    <w:p w14:paraId="47D41EB7"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Продолжались и проектные работы по установке двигателей ФЭД. Были отрабо</w:t>
      </w:r>
      <w:r w:rsidRPr="007122AB">
        <w:rPr>
          <w:rFonts w:ascii="Times New Roman" w:hAnsi="Times New Roman"/>
          <w:color w:val="000000" w:themeColor="text1"/>
          <w:sz w:val="16"/>
          <w:szCs w:val="16"/>
        </w:rPr>
        <w:softHyphen/>
        <w:t xml:space="preserve">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Другими известными впо</w:t>
      </w:r>
      <w:r w:rsidRPr="007122AB">
        <w:rPr>
          <w:rFonts w:ascii="Times New Roman" w:hAnsi="Times New Roman"/>
          <w:color w:val="000000" w:themeColor="text1"/>
          <w:sz w:val="16"/>
          <w:szCs w:val="16"/>
        </w:rPr>
        <w:softHyphen/>
        <w:t xml:space="preserve">следствии конструкторами, отметившимися на ТБ-5, можно назвать Б.И. </w:t>
      </w:r>
      <w:proofErr w:type="spellStart"/>
      <w:r w:rsidRPr="007122AB">
        <w:rPr>
          <w:rFonts w:ascii="Times New Roman" w:hAnsi="Times New Roman"/>
          <w:color w:val="000000" w:themeColor="text1"/>
          <w:sz w:val="16"/>
          <w:szCs w:val="16"/>
        </w:rPr>
        <w:t>Черановского</w:t>
      </w:r>
      <w:proofErr w:type="spellEnd"/>
      <w:r w:rsidRPr="007122AB">
        <w:rPr>
          <w:rFonts w:ascii="Times New Roman" w:hAnsi="Times New Roman"/>
          <w:color w:val="000000" w:themeColor="text1"/>
          <w:sz w:val="16"/>
          <w:szCs w:val="16"/>
        </w:rPr>
        <w:t xml:space="preserve">, В.П. Яценко и А.Н. </w:t>
      </w:r>
      <w:proofErr w:type="spellStart"/>
      <w:r w:rsidRPr="007122AB">
        <w:rPr>
          <w:rFonts w:ascii="Times New Roman" w:hAnsi="Times New Roman"/>
          <w:color w:val="000000" w:themeColor="text1"/>
          <w:sz w:val="16"/>
          <w:szCs w:val="16"/>
        </w:rPr>
        <w:t>Рафаэлянца</w:t>
      </w:r>
      <w:proofErr w:type="spellEnd"/>
      <w:r w:rsidRPr="007122AB">
        <w:rPr>
          <w:rFonts w:ascii="Times New Roman" w:hAnsi="Times New Roman"/>
          <w:color w:val="000000" w:themeColor="text1"/>
          <w:sz w:val="16"/>
          <w:szCs w:val="16"/>
        </w:rPr>
        <w:t>.</w:t>
      </w:r>
    </w:p>
    <w:p w14:paraId="2FAB2128"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7122AB">
        <w:rPr>
          <w:rFonts w:ascii="Times New Roman" w:hAnsi="Times New Roman"/>
          <w:color w:val="000000" w:themeColor="text1"/>
          <w:sz w:val="16"/>
          <w:szCs w:val="16"/>
        </w:rPr>
        <w:softHyphen/>
        <w:t xml:space="preserve">тился в ВСНХ СССР. Однако Председатель СНК СССР В.М. Молотов руководствовался </w:t>
      </w:r>
      <w:proofErr w:type="spellStart"/>
      <w:r w:rsidRPr="007122AB">
        <w:rPr>
          <w:rFonts w:ascii="Times New Roman" w:hAnsi="Times New Roman"/>
          <w:color w:val="000000" w:themeColor="text1"/>
          <w:sz w:val="16"/>
          <w:szCs w:val="16"/>
        </w:rPr>
        <w:t>какимито</w:t>
      </w:r>
      <w:proofErr w:type="spellEnd"/>
      <w:r w:rsidRPr="007122AB">
        <w:rPr>
          <w:rFonts w:ascii="Times New Roman" w:hAnsi="Times New Roman"/>
          <w:color w:val="000000" w:themeColor="text1"/>
          <w:sz w:val="16"/>
          <w:szCs w:val="16"/>
        </w:rPr>
        <w:t xml:space="preserve"> особыми соображениями, поэ</w:t>
      </w:r>
      <w:r w:rsidRPr="007122AB">
        <w:rPr>
          <w:rFonts w:ascii="Times New Roman" w:hAnsi="Times New Roman"/>
          <w:color w:val="000000" w:themeColor="text1"/>
          <w:sz w:val="16"/>
          <w:szCs w:val="16"/>
        </w:rPr>
        <w:softHyphen/>
        <w:t>тому идею его отклонил и предложил при</w:t>
      </w:r>
      <w:r w:rsidRPr="007122AB">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7122AB">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7122AB">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7122AB">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7122AB">
        <w:rPr>
          <w:rFonts w:ascii="Times New Roman" w:hAnsi="Times New Roman"/>
          <w:color w:val="000000" w:themeColor="text1"/>
          <w:sz w:val="16"/>
          <w:szCs w:val="16"/>
        </w:rPr>
        <w:softHyphen/>
        <w:t xml:space="preserve">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(12611).</w:t>
      </w:r>
    </w:p>
    <w:p w14:paraId="5323CABB"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1F25418D"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году, Камов наблюдал результаты исследований по сбросу торпед с самолетов. Очевидно, тогда его посетила мысль, что здесь можно применить винтокрылую схему для замедления скорости падения торпеды. Вскоре эта идея нашла свое отражение в документе под названием «Новый способ высотного торпедометания».</w:t>
      </w:r>
    </w:p>
    <w:p w14:paraId="73507AFD"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«Новый способ» заключался в применении «автоматического, </w:t>
      </w:r>
      <w:proofErr w:type="spellStart"/>
      <w:r w:rsidRPr="007122AB">
        <w:rPr>
          <w:rFonts w:ascii="Times New Roman" w:hAnsi="Times New Roman"/>
          <w:color w:val="000000" w:themeColor="text1"/>
          <w:sz w:val="16"/>
          <w:szCs w:val="16"/>
        </w:rPr>
        <w:t>авторотирующего</w:t>
      </w:r>
      <w:proofErr w:type="spellEnd"/>
      <w:r w:rsidRPr="007122AB">
        <w:rPr>
          <w:rFonts w:ascii="Times New Roman" w:hAnsi="Times New Roman"/>
          <w:color w:val="000000" w:themeColor="text1"/>
          <w:sz w:val="16"/>
          <w:szCs w:val="16"/>
        </w:rPr>
        <w:t>, складного, действующего на дистанции винта системы Камова для высотного сбрасывания».</w:t>
      </w:r>
    </w:p>
    <w:p w14:paraId="718B21A9"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«Действующего на дистанции» означает наличие временного интервала между сбрасыванием с самолета и раскрытием лопастей винта. Изобретатель назвал свое творение без ложной скромности - ВТК, что означало Высотная Торпеда Камова.</w:t>
      </w:r>
    </w:p>
    <w:p w14:paraId="01974403"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Прямо из Севастополя Камов отправил предложение начальникам ВВС и ГУАП, но ответа не последовало.</w:t>
      </w:r>
    </w:p>
    <w:p w14:paraId="2318E50F"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1933 Николай Ильич Камов лично передал предложение по «Высотной Торпеде Камова (ВТК) с чертежами заместителю начальника ВВС Меженинову. И дело сдвинулось: по приказу Меженинова начальник НИИ ВВС все же заключил с Камовым договор на разработку его проектов. В результате появились проекты 20-килограммовой модели и 700-килограммового натурного образца. Но, вместо одной модели, Камов умудрился построить пять! (15598).</w:t>
      </w:r>
    </w:p>
    <w:p w14:paraId="0D182C3F" w14:textId="77777777" w:rsidR="0048207C" w:rsidRPr="007122AB" w:rsidRDefault="0048207C" w:rsidP="007122AB">
      <w:pPr>
        <w:spacing w:after="0" w:line="240" w:lineRule="auto"/>
        <w:jc w:val="both"/>
        <w:rPr>
          <w:rFonts w:ascii="Times New Roman" w:hAnsi="Times New Roman"/>
          <w:color w:val="000000" w:themeColor="text1"/>
          <w:sz w:val="16"/>
          <w:szCs w:val="16"/>
        </w:rPr>
      </w:pPr>
    </w:p>
    <w:p w14:paraId="73662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на Гороховецких учениях на Р-5 испытали приборы ДАП-Д для постановки дымовых завес. Их купили в Германии у фирмы "</w:t>
      </w:r>
      <w:proofErr w:type="spellStart"/>
      <w:r w:rsidRPr="007122AB">
        <w:rPr>
          <w:rFonts w:ascii="Times New Roman" w:hAnsi="Times New Roman"/>
          <w:color w:val="000000" w:themeColor="text1"/>
          <w:sz w:val="16"/>
          <w:szCs w:val="16"/>
        </w:rPr>
        <w:t>Ганзеатише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аппаратебау</w:t>
      </w:r>
      <w:proofErr w:type="spellEnd"/>
      <w:r w:rsidRPr="007122AB">
        <w:rPr>
          <w:rFonts w:ascii="Times New Roman" w:hAnsi="Times New Roman"/>
          <w:color w:val="000000" w:themeColor="text1"/>
          <w:sz w:val="16"/>
          <w:szCs w:val="16"/>
        </w:rPr>
        <w:t>". Смесь вытеснялась сжатым воздухом. Бак со смесью у Р-5 размещался под фюзеляжем, баллон со сжатым воздухом емкостью 25 л - слева под нижним крылом. От бака длинная труба шла через хвостовую часть фюзеляжа и выходила под рулем направления. ДАП-Д приняли на вооружение как Д-100 и стали выпускать в СССР. Но первоначальная конструкция подвески не прижилась, позже альтернативно разработали подвеску двух Д-100 под крылом; этот вариант и стал штатным (12034).</w:t>
      </w:r>
    </w:p>
    <w:p w14:paraId="3162E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5D5BFE"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w:t>
      </w:r>
      <w:proofErr w:type="spellStart"/>
      <w:r w:rsidRPr="007122AB">
        <w:rPr>
          <w:rFonts w:ascii="Times New Roman" w:hAnsi="Times New Roman"/>
          <w:color w:val="000000" w:themeColor="text1"/>
          <w:sz w:val="16"/>
          <w:szCs w:val="16"/>
        </w:rPr>
        <w:t>Всехсвятского</w:t>
      </w:r>
      <w:proofErr w:type="spellEnd"/>
      <w:r w:rsidRPr="007122AB">
        <w:rPr>
          <w:rFonts w:ascii="Times New Roman" w:hAnsi="Times New Roman"/>
          <w:color w:val="000000" w:themeColor="text1"/>
          <w:sz w:val="16"/>
          <w:szCs w:val="16"/>
        </w:rPr>
        <w:t xml:space="preserve">.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w:t>
      </w:r>
      <w:proofErr w:type="spellStart"/>
      <w:r w:rsidRPr="007122AB">
        <w:rPr>
          <w:rFonts w:ascii="Times New Roman" w:hAnsi="Times New Roman"/>
          <w:color w:val="000000" w:themeColor="text1"/>
          <w:sz w:val="16"/>
          <w:szCs w:val="16"/>
        </w:rPr>
        <w:t>Квасниковым</w:t>
      </w:r>
      <w:proofErr w:type="spellEnd"/>
      <w:r w:rsidRPr="007122AB">
        <w:rPr>
          <w:rFonts w:ascii="Times New Roman" w:hAnsi="Times New Roman"/>
          <w:color w:val="000000" w:themeColor="text1"/>
          <w:sz w:val="16"/>
          <w:szCs w:val="16"/>
        </w:rPr>
        <w:t xml:space="preserve">,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w:t>
      </w:r>
      <w:r w:rsidRPr="007122AB">
        <w:rPr>
          <w:rFonts w:ascii="Times New Roman" w:hAnsi="Times New Roman"/>
          <w:color w:val="000000" w:themeColor="text1"/>
          <w:sz w:val="16"/>
          <w:szCs w:val="16"/>
        </w:rPr>
        <w:lastRenderedPageBreak/>
        <w:t xml:space="preserve">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w:t>
      </w:r>
      <w:proofErr w:type="spellStart"/>
      <w:r w:rsidRPr="007122AB">
        <w:rPr>
          <w:rFonts w:ascii="Times New Roman" w:hAnsi="Times New Roman"/>
          <w:color w:val="000000" w:themeColor="text1"/>
          <w:sz w:val="16"/>
          <w:szCs w:val="16"/>
        </w:rPr>
        <w:t>Плодвинсоюз</w:t>
      </w:r>
      <w:proofErr w:type="spellEnd"/>
      <w:r w:rsidRPr="007122AB">
        <w:rPr>
          <w:rFonts w:ascii="Times New Roman" w:hAnsi="Times New Roman"/>
          <w:color w:val="000000" w:themeColor="text1"/>
          <w:sz w:val="16"/>
          <w:szCs w:val="16"/>
        </w:rPr>
        <w:t xml:space="preserve">,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w:t>
      </w:r>
      <w:proofErr w:type="spellStart"/>
      <w:r w:rsidRPr="007122AB">
        <w:rPr>
          <w:rFonts w:ascii="Times New Roman" w:hAnsi="Times New Roman"/>
          <w:color w:val="000000" w:themeColor="text1"/>
          <w:sz w:val="16"/>
          <w:szCs w:val="16"/>
        </w:rPr>
        <w:t>Погосский</w:t>
      </w:r>
      <w:proofErr w:type="spellEnd"/>
      <w:r w:rsidRPr="007122AB">
        <w:rPr>
          <w:rFonts w:ascii="Times New Roman" w:hAnsi="Times New Roman"/>
          <w:color w:val="000000" w:themeColor="text1"/>
          <w:sz w:val="16"/>
          <w:szCs w:val="16"/>
        </w:rPr>
        <w:t>, А. П. Голубков, А. Л. Гиммельфарб, Н. Ф. Чехонин и другие (15730).</w:t>
      </w:r>
    </w:p>
    <w:p w14:paraId="4D9EE734" w14:textId="77777777" w:rsidR="0048207C" w:rsidRPr="007122AB" w:rsidRDefault="0048207C" w:rsidP="007122AB">
      <w:pPr>
        <w:spacing w:after="0" w:line="240" w:lineRule="auto"/>
        <w:jc w:val="both"/>
        <w:rPr>
          <w:rFonts w:ascii="Times New Roman" w:hAnsi="Times New Roman"/>
          <w:color w:val="000000" w:themeColor="text1"/>
          <w:sz w:val="16"/>
          <w:szCs w:val="16"/>
        </w:rPr>
      </w:pPr>
    </w:p>
    <w:p w14:paraId="64189E1D"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 осенью 1933 г. состоялся переезд большого коллектива МАИ на новое место. В ту пору территория института представляла собой довольно труднопроходимый из-за сплошной грязи участок, наполовину — строительную площадку. Институт находился за городской чертой, сообщение с городом — трамвай и небольшой институтский автобус, ходивший между Пушкинской площадью и аудиторным корпусом. Территория института еще не была благоустроена: отсутствовали тротуары, недостаточным было уличное освещение. Некоторые помещения были временными, барачного типа. Вот как вспоминает об этом профессор Н. С. </w:t>
      </w:r>
      <w:proofErr w:type="spellStart"/>
      <w:r w:rsidRPr="007122AB">
        <w:rPr>
          <w:rFonts w:ascii="Times New Roman" w:hAnsi="Times New Roman"/>
          <w:color w:val="000000" w:themeColor="text1"/>
          <w:sz w:val="16"/>
          <w:szCs w:val="16"/>
        </w:rPr>
        <w:t>Аржаников</w:t>
      </w:r>
      <w:proofErr w:type="spellEnd"/>
      <w:r w:rsidRPr="007122AB">
        <w:rPr>
          <w:rFonts w:ascii="Times New Roman" w:hAnsi="Times New Roman"/>
          <w:color w:val="000000" w:themeColor="text1"/>
          <w:sz w:val="16"/>
          <w:szCs w:val="16"/>
        </w:rPr>
        <w:t xml:space="preserve">: «Ходим гуськом по доскам от ворот до аудиторного корпуса. Картина была неприглядной, однако настроение у всех было бодрое в предчувствии быстрого развития института. ... Типичной для этого периода в истории МАИ была органическая слаженность коллектива. Такие отношения создавали подлинное единство коллектива, товарищеское, порой даже дружеское отношение профессоров со студентами». В 1934 г. в МАИ побывала делегация американских ученых, возглавляемая профессором </w:t>
      </w:r>
      <w:proofErr w:type="spellStart"/>
      <w:r w:rsidRPr="007122AB">
        <w:rPr>
          <w:rFonts w:ascii="Times New Roman" w:hAnsi="Times New Roman"/>
          <w:color w:val="000000" w:themeColor="text1"/>
          <w:sz w:val="16"/>
          <w:szCs w:val="16"/>
        </w:rPr>
        <w:t>Серджвиком</w:t>
      </w:r>
      <w:proofErr w:type="spellEnd"/>
      <w:r w:rsidRPr="007122AB">
        <w:rPr>
          <w:rFonts w:ascii="Times New Roman" w:hAnsi="Times New Roman"/>
          <w:color w:val="000000" w:themeColor="text1"/>
          <w:sz w:val="16"/>
          <w:szCs w:val="16"/>
        </w:rPr>
        <w:t>. Гостей поразил размах строительных работ и грандиозный замысел создания отраслевого авиационного института (в то время в США подготовкой авиационных специалистов занималось 13 разных учебных заведений, выпускавших небольшие группы специалистов). Со дня своего основания вела большую работу по организации учебной базы — самолетной лаборатории (начальником ее стал А. Л. Гиммельфарб) — кафедра конструкции и проектирования самолетов. Первым шагом на пути к созданию хорошо оснащенной лаборатории была организация кабинета образцов конструкций агрегатов самолета. По уровню научно-методической обработки экспонатов этот кабинет считался одним из лучших в МАИ. К началу второго учебного года (1934 — 1935 гг.) на площади около 80 кв. м был создан кабинет образцов конструкций самолетов, которым заведовал В. В. Комаров, а во дворе института на 5-й Тверской-Ямской были собраны самолеты отечественного и иностранного производства (15730).</w:t>
      </w:r>
    </w:p>
    <w:p w14:paraId="1F76B1C7" w14:textId="77777777" w:rsidR="0048207C" w:rsidRPr="007122AB" w:rsidRDefault="0048207C" w:rsidP="007122AB">
      <w:pPr>
        <w:spacing w:after="0" w:line="240" w:lineRule="auto"/>
        <w:jc w:val="both"/>
        <w:rPr>
          <w:rFonts w:ascii="Times New Roman" w:hAnsi="Times New Roman"/>
          <w:color w:val="000000" w:themeColor="text1"/>
          <w:sz w:val="16"/>
          <w:szCs w:val="16"/>
        </w:rPr>
      </w:pPr>
    </w:p>
    <w:p w14:paraId="278EE0B5" w14:textId="77777777" w:rsidR="00962513" w:rsidRPr="007122AB" w:rsidRDefault="00962513" w:rsidP="007122AB">
      <w:pPr>
        <w:pStyle w:val="ae"/>
        <w:shd w:val="clear" w:color="auto" w:fill="FFFFFF"/>
        <w:spacing w:before="0" w:after="0"/>
        <w:jc w:val="both"/>
        <w:rPr>
          <w:color w:val="000000" w:themeColor="text1"/>
          <w:sz w:val="16"/>
          <w:szCs w:val="16"/>
        </w:rPr>
      </w:pPr>
      <w:r w:rsidRPr="007122AB">
        <w:rPr>
          <w:color w:val="000000" w:themeColor="text1"/>
          <w:sz w:val="16"/>
          <w:szCs w:val="16"/>
        </w:rPr>
        <w:t>Летом 1931 г. небольшой группе работников Аэрофлота, составивших Бюро опытного дирижаблестроения, удалось построить первую сварную оболочку из стали толщиной 0,1 мм, имевшую в плоском подвешенном виде высоту 1 м и длину 7 м, правда, с отступлениями от разработанной Циолковским технологической схемы постройки оболочки.</w:t>
      </w:r>
    </w:p>
    <w:p w14:paraId="2F4F492F" w14:textId="77777777" w:rsidR="00962513" w:rsidRPr="007122AB" w:rsidRDefault="00962513"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Там же была создана и опробована новая сварочная машина для сборки металлических полотнищ неограниченного размера, удовлетворяющей техническим требованиям Циолковского. Позднее в </w:t>
      </w:r>
      <w:proofErr w:type="spellStart"/>
      <w:r w:rsidRPr="007122AB">
        <w:rPr>
          <w:color w:val="000000" w:themeColor="text1"/>
          <w:sz w:val="16"/>
          <w:szCs w:val="16"/>
        </w:rPr>
        <w:t>Дирижаблестрое</w:t>
      </w:r>
      <w:proofErr w:type="spellEnd"/>
      <w:r w:rsidRPr="007122AB">
        <w:rPr>
          <w:color w:val="000000" w:themeColor="text1"/>
          <w:sz w:val="16"/>
          <w:szCs w:val="16"/>
        </w:rPr>
        <w:t xml:space="preserve"> по этой схеме были спроектированы, построены и испытаны сварочные движущиеся роликовые машины. Одна из них в 1933 г. была использована для постройки, уже с точным соблюдением технологической схемы Циолковского, цельнометаллической оболочки из нержавеющей стали толщиной 0,15 и 0,45 мм. Там же, в КБ Циолковского при </w:t>
      </w:r>
      <w:proofErr w:type="spellStart"/>
      <w:r w:rsidRPr="007122AB">
        <w:rPr>
          <w:color w:val="000000" w:themeColor="text1"/>
          <w:sz w:val="16"/>
          <w:szCs w:val="16"/>
        </w:rPr>
        <w:t>Дирижаблестрое</w:t>
      </w:r>
      <w:proofErr w:type="spellEnd"/>
      <w:r w:rsidRPr="007122AB">
        <w:rPr>
          <w:color w:val="000000" w:themeColor="text1"/>
          <w:sz w:val="16"/>
          <w:szCs w:val="16"/>
        </w:rPr>
        <w:t>, был создан ряд машин для обработки давлением стальной ленты в соответствии с пунктом пятым «программы». Одновременно с разработкой эскизных проектов дирижаблей объемом 3000 и 8000 куб. м шли работы по опробованию и наладке небольшого парка специальных машин. Они были использованы на изготовлении первой поднявшейся в воздух модели оболочки дирижабля, собранной к 15 сентября 1935 г. на горизонтальной платформе. Размеры этой оболочки в плане при сборке были соответственно 11 м и 44 м при высоте 0,36 м. При наполнении оболочка принимала форму веретена диаметром 7 м. Наполненная водородом, она поднимала 200 кг балласта. Оболочка была собрана из нержавеющей стали, боковины ее имели толщину 0,1 мм. Уже после смерти Циолковского она была подвергнута статическим испытаниям, проведенным по широкой программе (19605).</w:t>
      </w:r>
    </w:p>
    <w:p w14:paraId="0FB76A37"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6D677CD3" w14:textId="2D7A29DE" w:rsidR="00DE689B" w:rsidRPr="007122AB" w:rsidRDefault="00DE689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Летом 1931 года все стройки ВОГВФ, включая </w:t>
      </w:r>
      <w:proofErr w:type="spellStart"/>
      <w:r w:rsidRPr="007122AB">
        <w:rPr>
          <w:rFonts w:ascii="Times New Roman" w:hAnsi="Times New Roman"/>
          <w:color w:val="000000" w:themeColor="text1"/>
          <w:sz w:val="16"/>
          <w:szCs w:val="16"/>
          <w:lang w:eastAsia="ru-RU" w:bidi="ru-RU"/>
        </w:rPr>
        <w:t>Дирижаблестрой</w:t>
      </w:r>
      <w:proofErr w:type="spellEnd"/>
      <w:r w:rsidRPr="007122AB">
        <w:rPr>
          <w:rFonts w:ascii="Times New Roman" w:hAnsi="Times New Roman"/>
          <w:color w:val="000000" w:themeColor="text1"/>
          <w:sz w:val="16"/>
          <w:szCs w:val="16"/>
          <w:lang w:eastAsia="ru-RU" w:bidi="ru-RU"/>
        </w:rPr>
        <w:t xml:space="preserve">, были отнесены к категории ударных, то есть поставлены в один ряд с такими стратегическими объектами, как Магнитогорский и Кузнецкий металлургические комбинаты, </w:t>
      </w:r>
      <w:proofErr w:type="spellStart"/>
      <w:r w:rsidRPr="007122AB">
        <w:rPr>
          <w:rFonts w:ascii="Times New Roman" w:hAnsi="Times New Roman"/>
          <w:color w:val="000000" w:themeColor="text1"/>
          <w:sz w:val="16"/>
          <w:szCs w:val="16"/>
          <w:lang w:eastAsia="ru-RU" w:bidi="ru-RU"/>
        </w:rPr>
        <w:t>Днепрострой</w:t>
      </w:r>
      <w:proofErr w:type="spellEnd"/>
      <w:r w:rsidRPr="007122AB">
        <w:rPr>
          <w:rFonts w:ascii="Times New Roman" w:hAnsi="Times New Roman"/>
          <w:color w:val="000000" w:themeColor="text1"/>
          <w:sz w:val="16"/>
          <w:szCs w:val="16"/>
          <w:lang w:eastAsia="ru-RU" w:bidi="ru-RU"/>
        </w:rPr>
        <w:t xml:space="preserve">, Нижегородский автозавод, </w:t>
      </w:r>
      <w:proofErr w:type="spellStart"/>
      <w:r w:rsidRPr="007122AB">
        <w:rPr>
          <w:rFonts w:ascii="Times New Roman" w:hAnsi="Times New Roman"/>
          <w:color w:val="000000" w:themeColor="text1"/>
          <w:sz w:val="16"/>
          <w:szCs w:val="16"/>
          <w:lang w:eastAsia="ru-RU" w:bidi="ru-RU"/>
        </w:rPr>
        <w:t>Турксиб</w:t>
      </w:r>
      <w:proofErr w:type="spellEnd"/>
      <w:r w:rsidRPr="007122AB">
        <w:rPr>
          <w:rFonts w:ascii="Times New Roman" w:hAnsi="Times New Roman"/>
          <w:color w:val="000000" w:themeColor="text1"/>
          <w:sz w:val="16"/>
          <w:szCs w:val="16"/>
          <w:lang w:eastAsia="ru-RU" w:bidi="ru-RU"/>
        </w:rPr>
        <w:t>. С этого момента в квартальных балансах стройматериалов страны появилась отдельная строка «Гражданская авиация», на которую приходилась своя положенная доля металлов, леса, цемента, огнеупоров, стекла, олифы, гвоздей и прочих необходимых вещей. Но у Наркомата путей сообщения по-прежнему не всегда хватало вагонов, и выбитые авиаторами с великим трудом грузы могли неделями лежать на складах у поставщиков, в тупиках промежуточных станций (23192).</w:t>
      </w:r>
    </w:p>
    <w:p w14:paraId="3F09935F" w14:textId="77777777" w:rsidR="00DE689B" w:rsidRPr="007122AB" w:rsidRDefault="00DE689B"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A72872A" w14:textId="4845F660"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6B81F2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A98B41" w14:textId="77777777" w:rsidR="00EE1E22" w:rsidRPr="007122AB" w:rsidRDefault="00EE1E2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Ворошилов предпринимает длительную поездку по новым оборонным заводам и другим предприятиям Урала и Сибири. Он также посещает советский Дальний Восток и обсуждает необходимость укрепления оборонительных сооружений вдоль границы с Китаем, а также усиления Тихоокеанского флота и Амурской речной флотилии (9089).</w:t>
      </w:r>
    </w:p>
    <w:p w14:paraId="3F503985" w14:textId="77777777" w:rsidR="00EE1E22" w:rsidRPr="007122AB" w:rsidRDefault="00EE1E22" w:rsidP="007122AB">
      <w:pPr>
        <w:spacing w:after="0" w:line="240" w:lineRule="auto"/>
        <w:jc w:val="both"/>
        <w:rPr>
          <w:rFonts w:ascii="Times New Roman" w:hAnsi="Times New Roman"/>
          <w:color w:val="000000" w:themeColor="text1"/>
          <w:sz w:val="16"/>
          <w:szCs w:val="16"/>
        </w:rPr>
      </w:pPr>
    </w:p>
    <w:p w14:paraId="40905DF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в Москве образовано Специальное конструкторское бюро пороховой промышленности, разработавшее ряд новых рецептур нитроглицериновых порохов, что позволило увеличить продолжительность эксплуатации стволов артиллерийских орудий и принять на вооружение Красной армии новые мощные взрывчатые вещества. Была проработана схема коренной реконструкции пироксилиновых и пороховых заводов на основе непрерывного производственного потока, что позволяло увеличить производительность заводов, уменьшить стоимость продукции, облегчить условия труда, увеличить мобилизационные возможности. Был разработан метод получения беспламенных порохов, который «имел тактическое значение, так как затруднялось обнаружение противником позиций артиллерийских батарей, которые ранее легко можно было определить по блеску выстрела».</w:t>
      </w:r>
    </w:p>
    <w:p w14:paraId="7D724A36"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под руководством осужденного Сергея Разумовского (арестован 5 февраля 1929 года, до ареста главный химик завода №1 Военно-кислотного треста; постановлением коллегии ОГПУ от 3 ноября 1929 года лишен свободы на пять лет; наказание отбывал в ОКБ технического отдела ЭКУ ОГПУ; в 1930--1931 годах работал в химической лаборатории ОКБ ОГПУ №4, в 1932 году был руководителем лаборатории ОКБ-3 техотдела ЭКУ ОГПУ; решением коллегии ОГПУ от 30 апреля 1931 года из-под стражи освобожден) технологическим путем получила древесную целлюлозу, заменявшую хлопковые материалы при изготовлении бездымных порохов. Использование такой целлюлозы значительно уменьшало стоимость пороха (18728).</w:t>
      </w:r>
    </w:p>
    <w:p w14:paraId="2495E644"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25AF80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танк Т-20, который из-за процессов Промпартии не достроили, передали для изготовления 60-сильного среднего трактора РККА (4243,14).</w:t>
      </w:r>
    </w:p>
    <w:p w14:paraId="58EF87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1C3B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на заводе 174 сделали первых 10 танков Т-26 из установочной партии по английским чертежам пока из </w:t>
      </w:r>
      <w:proofErr w:type="spellStart"/>
      <w:r w:rsidRPr="007122AB">
        <w:rPr>
          <w:rFonts w:ascii="Times New Roman" w:hAnsi="Times New Roman"/>
          <w:color w:val="000000" w:themeColor="text1"/>
          <w:sz w:val="16"/>
          <w:szCs w:val="16"/>
        </w:rPr>
        <w:t>неброневой</w:t>
      </w:r>
      <w:proofErr w:type="spellEnd"/>
      <w:r w:rsidRPr="007122AB">
        <w:rPr>
          <w:rFonts w:ascii="Times New Roman" w:hAnsi="Times New Roman"/>
          <w:color w:val="000000" w:themeColor="text1"/>
          <w:sz w:val="16"/>
          <w:szCs w:val="16"/>
        </w:rPr>
        <w:t xml:space="preserve"> стали "на коленке", но с осени начали серию двухбашенных машин уже с башнями нашей формы, которая длилась до весны 1934 (3524).</w:t>
      </w:r>
    </w:p>
    <w:p w14:paraId="6E25C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154774"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Летом 1931 года КБ-3 ВОАО, под руководством С.А. Гинзбурга, начало работы над новым танком - Т-28. В его случае слово "маневренный" уже не упоминалось. Исходно боевая масса ожидалась в районе всё тех же 16 тонн, но уже осенью 1931 года полная масса оценивалась в 20 тонн. При этом Гинзбург активно использовал не английские, а немецкие наработки. Ходовую часть брали с </w:t>
      </w:r>
      <w:proofErr w:type="spellStart"/>
      <w:r w:rsidRPr="00441F34">
        <w:rPr>
          <w:rFonts w:ascii="Times New Roman" w:hAnsi="Times New Roman"/>
          <w:color w:val="0070C0"/>
          <w:sz w:val="16"/>
          <w:szCs w:val="16"/>
        </w:rPr>
        <w:t>Großtraktor</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Krupp</w:t>
      </w:r>
      <w:proofErr w:type="spellEnd"/>
      <w:r w:rsidRPr="00441F34">
        <w:rPr>
          <w:rFonts w:ascii="Times New Roman" w:hAnsi="Times New Roman"/>
          <w:color w:val="0070C0"/>
          <w:sz w:val="16"/>
          <w:szCs w:val="16"/>
        </w:rPr>
        <w:t>, у немцев взяли и концепцию с командиром в корпусе, как силовую установку использовали BMW VI. При этом концептуально танк получался ближе к английским разработкам. Одной из основных задач ставился прорыв укрепленной полосы обороны (24032).</w:t>
      </w:r>
    </w:p>
    <w:p w14:paraId="7E63112B" w14:textId="77777777" w:rsidR="000B7ADA" w:rsidRPr="00441F34" w:rsidRDefault="000B7ADA" w:rsidP="000B7ADA">
      <w:pPr>
        <w:spacing w:after="0" w:line="240" w:lineRule="auto"/>
        <w:jc w:val="both"/>
        <w:rPr>
          <w:rFonts w:ascii="Times New Roman" w:hAnsi="Times New Roman"/>
          <w:color w:val="0070C0"/>
          <w:sz w:val="16"/>
          <w:szCs w:val="16"/>
        </w:rPr>
      </w:pPr>
    </w:p>
    <w:p w14:paraId="3B65E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лету 1931 после того, как сделанная летом 1930 попытка закупить у фирмы Виккерс-Армстронг 16-тонный </w:t>
      </w:r>
      <w:proofErr w:type="spellStart"/>
      <w:r w:rsidRPr="007122AB">
        <w:rPr>
          <w:rFonts w:ascii="Times New Roman" w:hAnsi="Times New Roman"/>
          <w:color w:val="000000" w:themeColor="text1"/>
          <w:sz w:val="16"/>
          <w:szCs w:val="16"/>
        </w:rPr>
        <w:t>многобашенный</w:t>
      </w:r>
      <w:proofErr w:type="spellEnd"/>
      <w:r w:rsidRPr="007122AB">
        <w:rPr>
          <w:rFonts w:ascii="Times New Roman" w:hAnsi="Times New Roman"/>
          <w:color w:val="000000" w:themeColor="text1"/>
          <w:sz w:val="16"/>
          <w:szCs w:val="16"/>
        </w:rPr>
        <w:t xml:space="preserve"> танк А.6, провалилась из-за отказа англичан, т.к. танк считался секретным и состоял на вооружении, в СССР было разработана два проекта 16-тонных танков - факультетом моторизации и механизации ВТА им. Ф.Э.Д. и КБ-3 Всесоюзного орудийно-арсенального объединения (Гинзбург, Заславский, Иванов и Гаккель), который и стал потом Т-28 (3547).</w:t>
      </w:r>
    </w:p>
    <w:p w14:paraId="5031AB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868CE2" w14:textId="77777777" w:rsidR="0048207C" w:rsidRPr="007122AB" w:rsidRDefault="0048207C" w:rsidP="007122AB">
      <w:pPr>
        <w:pStyle w:val="a3"/>
        <w:rPr>
          <w:color w:val="000000" w:themeColor="text1"/>
          <w:lang w:val="ru-RU"/>
        </w:rPr>
      </w:pPr>
      <w:r w:rsidRPr="007122AB">
        <w:rPr>
          <w:color w:val="000000" w:themeColor="text1"/>
          <w:lang w:val="ru-RU"/>
        </w:rPr>
        <w:t>Летом 1930 г. для контроля за изготовлением и проведения приемки 15 танков «Виккерс Медиум» в Англию были на</w:t>
      </w:r>
      <w:r w:rsidRPr="007122AB">
        <w:rPr>
          <w:color w:val="000000" w:themeColor="text1"/>
          <w:lang w:val="ru-RU"/>
        </w:rPr>
        <w:softHyphen/>
        <w:t xml:space="preserve">правлены представители УММ В, Бегунов и Я. </w:t>
      </w:r>
      <w:proofErr w:type="spellStart"/>
      <w:r w:rsidRPr="007122AB">
        <w:rPr>
          <w:color w:val="000000" w:themeColor="text1"/>
          <w:lang w:val="ru-RU"/>
        </w:rPr>
        <w:lastRenderedPageBreak/>
        <w:t>Сквирсшй</w:t>
      </w:r>
      <w:proofErr w:type="spellEnd"/>
      <w:r w:rsidRPr="007122AB">
        <w:rPr>
          <w:color w:val="000000" w:themeColor="text1"/>
          <w:lang w:val="ru-RU"/>
        </w:rPr>
        <w:t>. Оговаривалось, что сначала англичане поставят опытную партию из трех танков, которые могут быть доработаны на месте по требованиям наших специалистов. После проведения окончательных испытаний в Со</w:t>
      </w:r>
      <w:r w:rsidRPr="007122AB">
        <w:rPr>
          <w:color w:val="000000" w:themeColor="text1"/>
          <w:lang w:val="ru-RU"/>
        </w:rPr>
        <w:softHyphen/>
        <w:t>ветском Союзе все выявленные недостатки этих машин подлежали устра</w:t>
      </w:r>
      <w:r w:rsidRPr="007122AB">
        <w:rPr>
          <w:color w:val="000000" w:themeColor="text1"/>
          <w:lang w:val="ru-RU"/>
        </w:rPr>
        <w:softHyphen/>
        <w:t>нению за счет фирмы. Что касается остальных 12 заказанных танков, то «Виккерс-Армстронг» не несла ответственности за какие-либо дальней</w:t>
      </w:r>
      <w:r w:rsidRPr="007122AB">
        <w:rPr>
          <w:color w:val="000000" w:themeColor="text1"/>
          <w:lang w:val="ru-RU"/>
        </w:rPr>
        <w:softHyphen/>
        <w:t>шие изменения в их конструкции, внесенные уже в нашей стране.</w:t>
      </w:r>
    </w:p>
    <w:p w14:paraId="70D78BFF" w14:textId="77777777" w:rsidR="0048207C" w:rsidRPr="007122AB" w:rsidRDefault="0048207C" w:rsidP="007122AB">
      <w:pPr>
        <w:pStyle w:val="a3"/>
        <w:rPr>
          <w:color w:val="000000" w:themeColor="text1"/>
          <w:lang w:val="ru-RU"/>
        </w:rPr>
      </w:pPr>
      <w:r w:rsidRPr="007122AB">
        <w:rPr>
          <w:color w:val="000000" w:themeColor="text1"/>
          <w:lang w:val="ru-RU"/>
        </w:rPr>
        <w:t>По согласованию сторон, первые два танка поставлялись без воору</w:t>
      </w:r>
      <w:r w:rsidRPr="007122AB">
        <w:rPr>
          <w:color w:val="000000" w:themeColor="text1"/>
          <w:lang w:val="ru-RU"/>
        </w:rPr>
        <w:softHyphen/>
        <w:t>жения, а третья машина оснащалась английской 47-мм скорострельной пушкой (боекомплект -180 выстрелов) и четырьмя 7,71-мм пулеметами (боекомплект - 5000 патронов на каждый). Следующие 12 танков пред</w:t>
      </w:r>
      <w:r w:rsidRPr="007122AB">
        <w:rPr>
          <w:color w:val="000000" w:themeColor="text1"/>
          <w:lang w:val="ru-RU"/>
        </w:rPr>
        <w:softHyphen/>
        <w:t>полагалось вооружить уже у нас, для чего конструкцию стандартных башен следовало доработать с целью установки отечественных 45-мм танковой пушки и пулеметов ДТ (рассматривалась также и установка пулеметов Максим). Соответственно, требовалось изменить и располо</w:t>
      </w:r>
      <w:r w:rsidRPr="007122AB">
        <w:rPr>
          <w:color w:val="000000" w:themeColor="text1"/>
          <w:lang w:val="ru-RU"/>
        </w:rPr>
        <w:softHyphen/>
        <w:t>жение «</w:t>
      </w:r>
      <w:proofErr w:type="spellStart"/>
      <w:r w:rsidRPr="007122AB">
        <w:rPr>
          <w:color w:val="000000" w:themeColor="text1"/>
          <w:lang w:val="ru-RU"/>
        </w:rPr>
        <w:t>боеукладок</w:t>
      </w:r>
      <w:proofErr w:type="spellEnd"/>
      <w:r w:rsidRPr="007122AB">
        <w:rPr>
          <w:color w:val="000000" w:themeColor="text1"/>
          <w:lang w:val="ru-RU"/>
        </w:rPr>
        <w:t xml:space="preserve"> в танке. Корректировкам под</w:t>
      </w:r>
      <w:r w:rsidRPr="007122AB">
        <w:rPr>
          <w:color w:val="000000" w:themeColor="text1"/>
          <w:lang w:val="ru-RU"/>
        </w:rPr>
        <w:softHyphen/>
        <w:t>верглось размещение смотровых щелей в башне и конструкция бортовых скосов крыши башни (15745).</w:t>
      </w:r>
    </w:p>
    <w:p w14:paraId="1822A3EF" w14:textId="77777777" w:rsidR="0048207C" w:rsidRPr="007122AB" w:rsidRDefault="0048207C" w:rsidP="007122AB">
      <w:pPr>
        <w:spacing w:after="0" w:line="240" w:lineRule="auto"/>
        <w:jc w:val="both"/>
        <w:rPr>
          <w:rFonts w:ascii="Times New Roman" w:hAnsi="Times New Roman"/>
          <w:color w:val="000000" w:themeColor="text1"/>
          <w:sz w:val="16"/>
          <w:szCs w:val="16"/>
        </w:rPr>
      </w:pPr>
    </w:p>
    <w:p w14:paraId="03F7C9B1" w14:textId="77777777" w:rsidR="0048207C" w:rsidRPr="007122AB" w:rsidRDefault="0048207C"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9"/>
          <w:rFonts w:ascii="Times New Roman" w:eastAsia="Arial Unicode MS" w:hAnsi="Times New Roman" w:cs="Times New Roman"/>
          <w:i w:val="0"/>
          <w:iCs w:val="0"/>
          <w:color w:val="000000" w:themeColor="text1"/>
          <w:sz w:val="16"/>
          <w:szCs w:val="16"/>
        </w:rPr>
        <w:t>Летом 1930 относительно -оценки английских боепри</w:t>
      </w:r>
      <w:r w:rsidRPr="007122AB">
        <w:rPr>
          <w:rStyle w:val="1029"/>
          <w:rFonts w:ascii="Times New Roman" w:eastAsia="Arial Unicode MS" w:hAnsi="Times New Roman" w:cs="Times New Roman"/>
          <w:i w:val="0"/>
          <w:iCs w:val="0"/>
          <w:color w:val="000000" w:themeColor="text1"/>
          <w:sz w:val="16"/>
          <w:szCs w:val="16"/>
        </w:rPr>
        <w:softHyphen/>
        <w:t>пасов в донесениях представителей УММ отме</w:t>
      </w:r>
      <w:r w:rsidRPr="007122AB">
        <w:rPr>
          <w:rStyle w:val="1029"/>
          <w:rFonts w:ascii="Times New Roman" w:eastAsia="Arial Unicode MS" w:hAnsi="Times New Roman" w:cs="Times New Roman"/>
          <w:i w:val="0"/>
          <w:iCs w:val="0"/>
          <w:color w:val="000000" w:themeColor="text1"/>
          <w:sz w:val="16"/>
          <w:szCs w:val="16"/>
        </w:rPr>
        <w:softHyphen/>
        <w:t>чалось следующее:</w:t>
      </w:r>
      <w:r w:rsidRPr="007122AB">
        <w:rPr>
          <w:rFonts w:ascii="Times New Roman" w:hAnsi="Times New Roman" w:cs="Times New Roman"/>
          <w:i w:val="0"/>
          <w:color w:val="000000" w:themeColor="text1"/>
          <w:sz w:val="16"/>
          <w:szCs w:val="16"/>
        </w:rPr>
        <w:t xml:space="preserve"> «В свое время мы заказы</w:t>
      </w:r>
      <w:r w:rsidRPr="007122AB">
        <w:rPr>
          <w:rFonts w:ascii="Times New Roman" w:hAnsi="Times New Roman" w:cs="Times New Roman"/>
          <w:i w:val="0"/>
          <w:color w:val="000000" w:themeColor="text1"/>
          <w:sz w:val="16"/>
          <w:szCs w:val="16"/>
        </w:rPr>
        <w:softHyphen/>
        <w:t xml:space="preserve">вали у фирмы Виккерс Армстронг снаряды для 47-ми </w:t>
      </w:r>
      <w:proofErr w:type="spellStart"/>
      <w:r w:rsidRPr="007122AB">
        <w:rPr>
          <w:rFonts w:ascii="Times New Roman" w:hAnsi="Times New Roman" w:cs="Times New Roman"/>
          <w:i w:val="0"/>
          <w:color w:val="000000" w:themeColor="text1"/>
          <w:sz w:val="16"/>
          <w:szCs w:val="16"/>
        </w:rPr>
        <w:t>м.м.</w:t>
      </w:r>
      <w:proofErr w:type="spellEnd"/>
      <w:r w:rsidRPr="007122AB">
        <w:rPr>
          <w:rFonts w:ascii="Times New Roman" w:hAnsi="Times New Roman" w:cs="Times New Roman"/>
          <w:i w:val="0"/>
          <w:color w:val="000000" w:themeColor="text1"/>
          <w:sz w:val="16"/>
          <w:szCs w:val="16"/>
        </w:rPr>
        <w:t xml:space="preserve"> пушки, которая будет установлена на одном из первых 12-ти тон. танков первой партии. Снаряды были заказаны двух сортов, а именно: «</w:t>
      </w:r>
      <w:proofErr w:type="spellStart"/>
      <w:r w:rsidRPr="007122AB">
        <w:rPr>
          <w:rFonts w:ascii="Times New Roman" w:hAnsi="Times New Roman" w:cs="Times New Roman"/>
          <w:i w:val="0"/>
          <w:color w:val="000000" w:themeColor="text1"/>
          <w:sz w:val="16"/>
          <w:szCs w:val="16"/>
        </w:rPr>
        <w:t>Агтоиг</w:t>
      </w:r>
      <w:proofErr w:type="spellEnd"/>
      <w:r w:rsidRPr="007122AB">
        <w:rPr>
          <w:rFonts w:ascii="Times New Roman" w:hAnsi="Times New Roman" w:cs="Times New Roman"/>
          <w:i w:val="0"/>
          <w:color w:val="000000" w:themeColor="text1"/>
          <w:sz w:val="16"/>
          <w:szCs w:val="16"/>
        </w:rPr>
        <w:t xml:space="preserve"> </w:t>
      </w:r>
      <w:proofErr w:type="spellStart"/>
      <w:r w:rsidRPr="007122AB">
        <w:rPr>
          <w:rFonts w:ascii="Times New Roman" w:hAnsi="Times New Roman" w:cs="Times New Roman"/>
          <w:i w:val="0"/>
          <w:color w:val="000000" w:themeColor="text1"/>
          <w:sz w:val="16"/>
          <w:szCs w:val="16"/>
        </w:rPr>
        <w:t>Р'югс'юд</w:t>
      </w:r>
      <w:proofErr w:type="spellEnd"/>
      <w:r w:rsidRPr="007122AB">
        <w:rPr>
          <w:rFonts w:ascii="Times New Roman" w:hAnsi="Times New Roman" w:cs="Times New Roman"/>
          <w:i w:val="0"/>
          <w:color w:val="000000" w:themeColor="text1"/>
          <w:sz w:val="16"/>
          <w:szCs w:val="16"/>
        </w:rPr>
        <w:t xml:space="preserve"> $Ы1з» в количестве 80 шт. и «Н/</w:t>
      </w:r>
      <w:proofErr w:type="spellStart"/>
      <w:r w:rsidRPr="007122AB">
        <w:rPr>
          <w:rFonts w:ascii="Times New Roman" w:hAnsi="Times New Roman" w:cs="Times New Roman"/>
          <w:i w:val="0"/>
          <w:color w:val="000000" w:themeColor="text1"/>
          <w:sz w:val="16"/>
          <w:szCs w:val="16"/>
        </w:rPr>
        <w:t>дЬ</w:t>
      </w:r>
      <w:proofErr w:type="spellEnd"/>
      <w:r w:rsidRPr="007122AB">
        <w:rPr>
          <w:rFonts w:ascii="Times New Roman" w:hAnsi="Times New Roman" w:cs="Times New Roman"/>
          <w:i w:val="0"/>
          <w:color w:val="000000" w:themeColor="text1"/>
          <w:sz w:val="16"/>
          <w:szCs w:val="16"/>
        </w:rPr>
        <w:t xml:space="preserve"> Ехр1озме 5МШ» в количестве 100 штук. В настоящее время фирма сама не реко</w:t>
      </w:r>
      <w:r w:rsidRPr="007122AB">
        <w:rPr>
          <w:rFonts w:ascii="Times New Roman" w:hAnsi="Times New Roman" w:cs="Times New Roman"/>
          <w:i w:val="0"/>
          <w:color w:val="000000" w:themeColor="text1"/>
          <w:sz w:val="16"/>
          <w:szCs w:val="16"/>
        </w:rPr>
        <w:softHyphen/>
        <w:t>мендует брать снаряды второго наименования, исходя</w:t>
      </w:r>
      <w:r w:rsidRPr="007122AB">
        <w:rPr>
          <w:rStyle w:val="1029"/>
          <w:rFonts w:ascii="Times New Roman" w:eastAsia="Arial Unicode MS" w:hAnsi="Times New Roman" w:cs="Times New Roman"/>
          <w:i w:val="0"/>
          <w:iCs w:val="0"/>
          <w:color w:val="000000" w:themeColor="text1"/>
          <w:sz w:val="16"/>
          <w:szCs w:val="16"/>
        </w:rPr>
        <w:t xml:space="preserve"> из тех</w:t>
      </w:r>
      <w:r w:rsidRPr="007122AB">
        <w:rPr>
          <w:rFonts w:ascii="Times New Roman" w:hAnsi="Times New Roman" w:cs="Times New Roman"/>
          <w:i w:val="0"/>
          <w:color w:val="000000" w:themeColor="text1"/>
          <w:sz w:val="16"/>
          <w:szCs w:val="16"/>
        </w:rPr>
        <w:t xml:space="preserve"> соображений, что этот сорт не обладает достаточной силой взрыва и что для таких машин, как наши, он не оправдывает себя с точки зрения его применения. Посылаем Вам чертежи и описания этих типов на рассмотрение наших</w:t>
      </w:r>
      <w:r w:rsidRPr="007122AB">
        <w:rPr>
          <w:rStyle w:val="272"/>
          <w:rFonts w:ascii="Times New Roman" w:hAnsi="Times New Roman" w:cs="Times New Roman"/>
          <w:color w:val="000000" w:themeColor="text1"/>
          <w:sz w:val="16"/>
          <w:szCs w:val="16"/>
        </w:rPr>
        <w:t xml:space="preserve"> специалистов, оставив за собой право в будущем, если Вы най</w:t>
      </w:r>
      <w:r w:rsidRPr="007122AB">
        <w:rPr>
          <w:rStyle w:val="272"/>
          <w:rFonts w:ascii="Times New Roman" w:hAnsi="Times New Roman" w:cs="Times New Roman"/>
          <w:color w:val="000000" w:themeColor="text1"/>
          <w:sz w:val="16"/>
          <w:szCs w:val="16"/>
        </w:rPr>
        <w:softHyphen/>
        <w:t>дете нужным,</w:t>
      </w:r>
      <w:r w:rsidRPr="007122AB">
        <w:rPr>
          <w:rFonts w:ascii="Times New Roman" w:hAnsi="Times New Roman" w:cs="Times New Roman"/>
          <w:i w:val="0"/>
          <w:color w:val="000000" w:themeColor="text1"/>
          <w:sz w:val="16"/>
          <w:szCs w:val="16"/>
        </w:rPr>
        <w:t xml:space="preserve"> заказать</w:t>
      </w:r>
      <w:r w:rsidRPr="007122AB">
        <w:rPr>
          <w:rStyle w:val="272"/>
          <w:rFonts w:ascii="Times New Roman" w:hAnsi="Times New Roman" w:cs="Times New Roman"/>
          <w:color w:val="000000" w:themeColor="text1"/>
          <w:sz w:val="16"/>
          <w:szCs w:val="16"/>
        </w:rPr>
        <w:t xml:space="preserve"> указанный тип снаряда</w:t>
      </w:r>
      <w:r w:rsidRPr="007122AB">
        <w:rPr>
          <w:rFonts w:ascii="Times New Roman" w:hAnsi="Times New Roman" w:cs="Times New Roman"/>
          <w:i w:val="0"/>
          <w:color w:val="000000" w:themeColor="text1"/>
          <w:sz w:val="16"/>
          <w:szCs w:val="16"/>
        </w:rPr>
        <w:t>». Однако установить, ка</w:t>
      </w:r>
      <w:r w:rsidRPr="007122AB">
        <w:rPr>
          <w:rFonts w:ascii="Times New Roman" w:hAnsi="Times New Roman" w:cs="Times New Roman"/>
          <w:i w:val="0"/>
          <w:color w:val="000000" w:themeColor="text1"/>
          <w:sz w:val="16"/>
          <w:szCs w:val="16"/>
        </w:rPr>
        <w:softHyphen/>
        <w:t>ше же боеприпасы в итоге поступили в СССР, пока не удалось (15745).</w:t>
      </w:r>
    </w:p>
    <w:p w14:paraId="540131D0" w14:textId="77777777" w:rsidR="0048207C" w:rsidRPr="007122AB" w:rsidRDefault="0048207C" w:rsidP="007122AB">
      <w:pPr>
        <w:pStyle w:val="a3"/>
        <w:rPr>
          <w:color w:val="000000" w:themeColor="text1"/>
          <w:lang w:val="ru-RU"/>
        </w:rPr>
      </w:pPr>
    </w:p>
    <w:p w14:paraId="4CE0E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на </w:t>
      </w:r>
      <w:proofErr w:type="spellStart"/>
      <w:r w:rsidRPr="007122AB">
        <w:rPr>
          <w:rFonts w:ascii="Times New Roman" w:hAnsi="Times New Roman"/>
          <w:color w:val="000000" w:themeColor="text1"/>
          <w:sz w:val="16"/>
          <w:szCs w:val="16"/>
        </w:rPr>
        <w:t>Можерезе</w:t>
      </w:r>
      <w:proofErr w:type="spellEnd"/>
      <w:r w:rsidRPr="007122AB">
        <w:rPr>
          <w:rFonts w:ascii="Times New Roman" w:hAnsi="Times New Roman"/>
          <w:color w:val="000000" w:themeColor="text1"/>
          <w:sz w:val="16"/>
          <w:szCs w:val="16"/>
        </w:rPr>
        <w:t xml:space="preserve"> был построен химический танк Д-15, разработанный ОКИБ УММ РККА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в конце 1930. В августе 1931 прошел полигонные испытания. На вооружение не принимался в серии не был (9527,188).</w:t>
      </w:r>
    </w:p>
    <w:p w14:paraId="6A0B3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B1B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химический танк ХТ-18, разработанный при участии НИИХО на базе МС-1 обр. 1930 на НИХП ХККС РККА прошел полигонные испытания (9527,188).</w:t>
      </w:r>
    </w:p>
    <w:p w14:paraId="1F491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C400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ОКИБ УММ РККА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на шасси трактора Коммунар был создан химический гусеничный БТР, который в августе 1931 проходил, но не выдержал ходовые испытания из-за перегруза шасси, низкой скорости, плохой проходимости (9527,179).</w:t>
      </w:r>
    </w:p>
    <w:p w14:paraId="6750FE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51E1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производство БА-27 было прекращено. К этому моменту из 170 заказанных У ММ РККА броневи</w:t>
      </w:r>
      <w:r w:rsidRPr="007122AB">
        <w:rPr>
          <w:rFonts w:ascii="Times New Roman" w:hAnsi="Times New Roman"/>
          <w:color w:val="000000" w:themeColor="text1"/>
          <w:sz w:val="16"/>
          <w:szCs w:val="16"/>
        </w:rPr>
        <w:softHyphen/>
        <w:t>ков изготовили лишь 86. Таким образом, суммарный вы</w:t>
      </w:r>
      <w:r w:rsidRPr="007122AB">
        <w:rPr>
          <w:rFonts w:ascii="Times New Roman" w:hAnsi="Times New Roman"/>
          <w:color w:val="000000" w:themeColor="text1"/>
          <w:sz w:val="16"/>
          <w:szCs w:val="16"/>
        </w:rPr>
        <w:softHyphen/>
        <w:t>пуск БА-27 за 1928-1931 годы составил 215 бронеавтомо</w:t>
      </w:r>
      <w:r w:rsidRPr="007122AB">
        <w:rPr>
          <w:rFonts w:ascii="Times New Roman" w:hAnsi="Times New Roman"/>
          <w:color w:val="000000" w:themeColor="text1"/>
          <w:sz w:val="16"/>
          <w:szCs w:val="16"/>
        </w:rPr>
        <w:softHyphen/>
        <w:t>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Согласно документам, окраска броневиков была следу</w:t>
      </w:r>
      <w:r w:rsidRPr="007122AB">
        <w:rPr>
          <w:rFonts w:ascii="Times New Roman" w:hAnsi="Times New Roman"/>
          <w:color w:val="000000" w:themeColor="text1"/>
          <w:sz w:val="16"/>
          <w:szCs w:val="16"/>
        </w:rPr>
        <w:softHyphen/>
        <w:t>ющей: «...Защитный цвет снаружи и белый внутри. На каж</w:t>
      </w:r>
      <w:r w:rsidRPr="007122AB">
        <w:rPr>
          <w:rFonts w:ascii="Times New Roman" w:hAnsi="Times New Roman"/>
          <w:color w:val="000000" w:themeColor="text1"/>
          <w:sz w:val="16"/>
          <w:szCs w:val="16"/>
        </w:rPr>
        <w:softHyphen/>
        <w:t>дой машине на внутренней стороне дверей наносилась мар</w:t>
      </w:r>
      <w:r w:rsidRPr="007122AB">
        <w:rPr>
          <w:rFonts w:ascii="Times New Roman" w:hAnsi="Times New Roman"/>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7122AB">
        <w:rPr>
          <w:rFonts w:ascii="Times New Roman" w:hAnsi="Times New Roman"/>
          <w:color w:val="000000" w:themeColor="text1"/>
          <w:sz w:val="16"/>
          <w:szCs w:val="16"/>
        </w:rPr>
        <w:softHyphen/>
        <w:t>ными надписями» (11284).</w:t>
      </w:r>
    </w:p>
    <w:p w14:paraId="4532DC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3F599"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и зимой 1931-1932 гг. опытные тракторы постройки ЧТС прошли испытания в Подмосковье совместно с американским прототипом, в ходе которых быстроходный вариант «Сталинец-3» продемонстрировал низкую надежность. Таким образом, создать в сжатые сроки с малыми затратами армейский вариант трактора не удалось. Вместе с тем, опытный трактор №4 («Сталинец-4»), являвшийся почти точной копией трактора фирмы «Катерпиллер», не вызвал нареканий по надежности. В этой связи в качестве образца для производства приняли именно его (12258).</w:t>
      </w:r>
    </w:p>
    <w:p w14:paraId="0931C966"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560807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опытно-конструкторское и испыта</w:t>
      </w:r>
      <w:r w:rsidRPr="007122AB">
        <w:rPr>
          <w:rFonts w:ascii="Times New Roman" w:hAnsi="Times New Roman"/>
          <w:color w:val="000000" w:themeColor="text1"/>
          <w:sz w:val="16"/>
          <w:szCs w:val="16"/>
        </w:rPr>
        <w:softHyphen/>
        <w:t xml:space="preserve">тельное бюро УММ РККА под руководством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переехало в Москву, на территорию Московского железно</w:t>
      </w:r>
      <w:r w:rsidRPr="007122AB">
        <w:rPr>
          <w:rFonts w:ascii="Times New Roman" w:hAnsi="Times New Roman"/>
          <w:color w:val="000000" w:themeColor="text1"/>
          <w:sz w:val="16"/>
          <w:szCs w:val="16"/>
        </w:rPr>
        <w:softHyphen/>
        <w:t>дорожного ремонтного завода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в Люблино. Вы</w:t>
      </w:r>
      <w:r w:rsidRPr="007122AB">
        <w:rPr>
          <w:rFonts w:ascii="Times New Roman" w:hAnsi="Times New Roman"/>
          <w:color w:val="000000" w:themeColor="text1"/>
          <w:sz w:val="16"/>
          <w:szCs w:val="16"/>
        </w:rPr>
        <w:softHyphen/>
        <w:t>пуск первой партии Д-13 планировалось начать именно здесь. Однако оказалось, что бронекорпус машины мало приспособлен для серийного производства. Поэтому в сен</w:t>
      </w:r>
      <w:r w:rsidRPr="007122AB">
        <w:rPr>
          <w:rFonts w:ascii="Times New Roman" w:hAnsi="Times New Roman"/>
          <w:color w:val="000000" w:themeColor="text1"/>
          <w:sz w:val="16"/>
          <w:szCs w:val="16"/>
        </w:rPr>
        <w:softHyphen/>
        <w:t xml:space="preserve">тябре коллектив КБ (сам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в это время «варил» свою броню марки Д на Мариупольском заводе) в срочном порядке переработал конструкцию корпуса, изготовление которых поручили </w:t>
      </w:r>
      <w:proofErr w:type="spellStart"/>
      <w:r w:rsidRPr="007122AB">
        <w:rPr>
          <w:rFonts w:ascii="Times New Roman" w:hAnsi="Times New Roman"/>
          <w:color w:val="000000" w:themeColor="text1"/>
          <w:sz w:val="16"/>
          <w:szCs w:val="16"/>
        </w:rPr>
        <w:t>крекинго</w:t>
      </w:r>
      <w:proofErr w:type="spellEnd"/>
      <w:r w:rsidRPr="007122AB">
        <w:rPr>
          <w:rFonts w:ascii="Times New Roman" w:hAnsi="Times New Roman"/>
          <w:color w:val="000000" w:themeColor="text1"/>
          <w:sz w:val="16"/>
          <w:szCs w:val="16"/>
        </w:rPr>
        <w:t>-электровозостроительному за</w:t>
      </w:r>
      <w:r w:rsidRPr="007122AB">
        <w:rPr>
          <w:rFonts w:ascii="Times New Roman" w:hAnsi="Times New Roman"/>
          <w:color w:val="000000" w:themeColor="text1"/>
          <w:sz w:val="16"/>
          <w:szCs w:val="16"/>
        </w:rPr>
        <w:softHyphen/>
        <w:t>воду в подмосковном Подольске. Однако здесь тоже воз</w:t>
      </w:r>
      <w:r w:rsidRPr="007122AB">
        <w:rPr>
          <w:rFonts w:ascii="Times New Roman" w:hAnsi="Times New Roman"/>
          <w:color w:val="000000" w:themeColor="text1"/>
          <w:sz w:val="16"/>
          <w:szCs w:val="16"/>
        </w:rPr>
        <w:softHyphen/>
        <w:t xml:space="preserve">никли трудности, к только в начале нового, 1933 года на </w:t>
      </w:r>
      <w:proofErr w:type="spellStart"/>
      <w:r w:rsidRPr="007122AB">
        <w:rPr>
          <w:rFonts w:ascii="Times New Roman" w:hAnsi="Times New Roman"/>
          <w:color w:val="000000" w:themeColor="text1"/>
          <w:sz w:val="16"/>
          <w:szCs w:val="16"/>
        </w:rPr>
        <w:t>Можерезе</w:t>
      </w:r>
      <w:proofErr w:type="spellEnd"/>
      <w:r w:rsidRPr="007122AB">
        <w:rPr>
          <w:rFonts w:ascii="Times New Roman" w:hAnsi="Times New Roman"/>
          <w:color w:val="000000" w:themeColor="text1"/>
          <w:sz w:val="16"/>
          <w:szCs w:val="16"/>
        </w:rPr>
        <w:t xml:space="preserve"> началась сборка первых бронемашин. 26 марта представитель военной приемки на заводе сообщал о про</w:t>
      </w:r>
      <w:r w:rsidRPr="007122AB">
        <w:rPr>
          <w:rFonts w:ascii="Times New Roman" w:hAnsi="Times New Roman"/>
          <w:color w:val="000000" w:themeColor="text1"/>
          <w:sz w:val="16"/>
          <w:szCs w:val="16"/>
        </w:rPr>
        <w:softHyphen/>
        <w:t>изводстве Д-13 следующее: «5 единиц готовы за исключе</w:t>
      </w:r>
      <w:r w:rsidRPr="007122AB">
        <w:rPr>
          <w:rFonts w:ascii="Times New Roman" w:hAnsi="Times New Roman"/>
          <w:color w:val="000000" w:themeColor="text1"/>
          <w:sz w:val="16"/>
          <w:szCs w:val="16"/>
        </w:rPr>
        <w:softHyphen/>
        <w:t>нием: не сделаны рамы с сеткой для карт, нет задних фона</w:t>
      </w:r>
      <w:r w:rsidRPr="007122AB">
        <w:rPr>
          <w:rFonts w:ascii="Times New Roman" w:hAnsi="Times New Roman"/>
          <w:color w:val="000000" w:themeColor="text1"/>
          <w:sz w:val="16"/>
          <w:szCs w:val="16"/>
        </w:rPr>
        <w:softHyphen/>
        <w:t>рей. Машины вышли на испытание. 5 единиц, кроме ука</w:t>
      </w:r>
      <w:r w:rsidRPr="007122AB">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7122AB">
        <w:rPr>
          <w:rFonts w:ascii="Times New Roman" w:hAnsi="Times New Roman"/>
          <w:color w:val="000000" w:themeColor="text1"/>
          <w:sz w:val="16"/>
          <w:szCs w:val="16"/>
        </w:rPr>
        <w:softHyphen/>
        <w:t>нительных бензобаков». Но к маю Д-13 были сданы и по</w:t>
      </w:r>
      <w:r w:rsidRPr="007122AB">
        <w:rPr>
          <w:rFonts w:ascii="Times New Roman" w:hAnsi="Times New Roman"/>
          <w:color w:val="000000" w:themeColor="text1"/>
          <w:sz w:val="16"/>
          <w:szCs w:val="16"/>
        </w:rPr>
        <w:softHyphen/>
        <w:t>ступили в войска. Таким образом, всего изготовили 13 бро</w:t>
      </w:r>
      <w:r w:rsidRPr="007122AB">
        <w:rPr>
          <w:rFonts w:ascii="Times New Roman" w:hAnsi="Times New Roman"/>
          <w:color w:val="000000" w:themeColor="text1"/>
          <w:sz w:val="16"/>
          <w:szCs w:val="16"/>
        </w:rPr>
        <w:softHyphen/>
        <w:t xml:space="preserve">немашин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12 Д-13 (считая 2 опыт</w:t>
      </w:r>
      <w:r w:rsidRPr="007122AB">
        <w:rPr>
          <w:rFonts w:ascii="Times New Roman" w:hAnsi="Times New Roman"/>
          <w:color w:val="000000" w:themeColor="text1"/>
          <w:sz w:val="16"/>
          <w:szCs w:val="16"/>
        </w:rPr>
        <w:softHyphen/>
        <w:t>ных образца) и 1 Д-9 (11284).</w:t>
      </w:r>
    </w:p>
    <w:p w14:paraId="0D0A06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9E98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в Опытно-конструкторском и испыта</w:t>
      </w:r>
      <w:r w:rsidRPr="007122AB">
        <w:rPr>
          <w:rFonts w:ascii="Times New Roman" w:hAnsi="Times New Roman"/>
          <w:color w:val="000000" w:themeColor="text1"/>
          <w:sz w:val="16"/>
          <w:szCs w:val="16"/>
        </w:rPr>
        <w:softHyphen/>
        <w:t>тельном бюро началось проектирование двух образцов хи</w:t>
      </w:r>
      <w:r w:rsidRPr="007122AB">
        <w:rPr>
          <w:rFonts w:ascii="Times New Roman" w:hAnsi="Times New Roman"/>
          <w:color w:val="000000" w:themeColor="text1"/>
          <w:sz w:val="16"/>
          <w:szCs w:val="16"/>
        </w:rPr>
        <w:softHyphen/>
        <w:t>мических бронемашин - Д-18 на грузовом американском шасси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и Д-39 на базе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Однако из-за неудовлетворительной организации работ обе маши</w:t>
      </w:r>
      <w:r w:rsidRPr="007122AB">
        <w:rPr>
          <w:rFonts w:ascii="Times New Roman" w:hAnsi="Times New Roman"/>
          <w:color w:val="000000" w:themeColor="text1"/>
          <w:sz w:val="16"/>
          <w:szCs w:val="16"/>
        </w:rPr>
        <w:softHyphen/>
        <w:t>ны изготовили лишь в ноябре 1932 года.</w:t>
      </w:r>
    </w:p>
    <w:p w14:paraId="634752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Д-18 и Д-39 имели бронекорпуса из 6-8 мм стали (не бро</w:t>
      </w:r>
      <w:r w:rsidRPr="007122AB">
        <w:rPr>
          <w:rFonts w:ascii="Times New Roman" w:hAnsi="Times New Roman"/>
          <w:color w:val="000000" w:themeColor="text1"/>
          <w:sz w:val="16"/>
          <w:szCs w:val="16"/>
        </w:rPr>
        <w:softHyphen/>
        <w:t>невой), закрывающие двигатель, кабину и резервуары для хи</w:t>
      </w:r>
      <w:r w:rsidRPr="007122AB">
        <w:rPr>
          <w:rFonts w:ascii="Times New Roman" w:hAnsi="Times New Roman"/>
          <w:color w:val="000000" w:themeColor="text1"/>
          <w:sz w:val="16"/>
          <w:szCs w:val="16"/>
        </w:rPr>
        <w:softHyphen/>
        <w:t>мических веществ. В зависимости от типа заправки резервуа</w:t>
      </w:r>
      <w:r w:rsidRPr="007122AB">
        <w:rPr>
          <w:rFonts w:ascii="Times New Roman" w:hAnsi="Times New Roman"/>
          <w:color w:val="000000" w:themeColor="text1"/>
          <w:sz w:val="16"/>
          <w:szCs w:val="16"/>
        </w:rPr>
        <w:softHyphen/>
        <w:t>ра машины могли производить заражение местности отравля</w:t>
      </w:r>
      <w:r w:rsidRPr="007122AB">
        <w:rPr>
          <w:rFonts w:ascii="Times New Roman" w:hAnsi="Times New Roman"/>
          <w:color w:val="000000" w:themeColor="text1"/>
          <w:sz w:val="16"/>
          <w:szCs w:val="16"/>
        </w:rPr>
        <w:softHyphen/>
        <w:t>ющими веществами, дегазацию или постановку дымовых завес. Выполнение этих задач осуществлялось при помощи центробежной помпы с приводом от двигателя автомобиля и трех распылителей. Машина Д-18 имела 2 резервуара для хи</w:t>
      </w:r>
      <w:r w:rsidRPr="007122AB">
        <w:rPr>
          <w:rFonts w:ascii="Times New Roman" w:hAnsi="Times New Roman"/>
          <w:color w:val="000000" w:themeColor="text1"/>
          <w:sz w:val="16"/>
          <w:szCs w:val="16"/>
        </w:rPr>
        <w:softHyphen/>
        <w:t>мических веществ емкостью 1100 литров, а Д-39 один на 800 (11284).</w:t>
      </w:r>
    </w:p>
    <w:p w14:paraId="423B36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B11C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после кратковременных испытаний и устранения недостатков, машину инженеров И. Жаботинского и Д. </w:t>
      </w:r>
      <w:proofErr w:type="spellStart"/>
      <w:r w:rsidRPr="007122AB">
        <w:rPr>
          <w:rFonts w:ascii="Times New Roman" w:hAnsi="Times New Roman"/>
          <w:color w:val="000000" w:themeColor="text1"/>
          <w:sz w:val="16"/>
          <w:szCs w:val="16"/>
        </w:rPr>
        <w:t>Скобло</w:t>
      </w:r>
      <w:proofErr w:type="spellEnd"/>
      <w:r w:rsidRPr="007122AB">
        <w:rPr>
          <w:rFonts w:ascii="Times New Roman" w:hAnsi="Times New Roman"/>
          <w:color w:val="000000" w:themeColor="text1"/>
          <w:sz w:val="16"/>
          <w:szCs w:val="16"/>
        </w:rPr>
        <w:t xml:space="preserve"> повы</w:t>
      </w:r>
      <w:r w:rsidRPr="007122AB">
        <w:rPr>
          <w:rFonts w:ascii="Times New Roman" w:hAnsi="Times New Roman"/>
          <w:color w:val="000000" w:themeColor="text1"/>
          <w:sz w:val="16"/>
          <w:szCs w:val="16"/>
        </w:rPr>
        <w:softHyphen/>
        <w:t>шенной проходимости с колесной формулой 6 х 4доставили в Москву, где ее продемонстрировали представителям Революционно-военного совета и управления механизации и моторизации Красной Армии. Новый автомобиль произвел благоприят</w:t>
      </w:r>
      <w:r w:rsidRPr="007122AB">
        <w:rPr>
          <w:rFonts w:ascii="Times New Roman" w:hAnsi="Times New Roman"/>
          <w:color w:val="000000" w:themeColor="text1"/>
          <w:sz w:val="16"/>
          <w:szCs w:val="16"/>
        </w:rPr>
        <w:softHyphen/>
        <w:t>ное впечатление, и РВС СССР принял решение об органи</w:t>
      </w:r>
      <w:r w:rsidRPr="007122AB">
        <w:rPr>
          <w:rFonts w:ascii="Times New Roman" w:hAnsi="Times New Roman"/>
          <w:color w:val="000000" w:themeColor="text1"/>
          <w:sz w:val="16"/>
          <w:szCs w:val="16"/>
        </w:rPr>
        <w:softHyphen/>
        <w:t>зации серийного производства таких машин (11284).</w:t>
      </w:r>
    </w:p>
    <w:p w14:paraId="49AABA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03C1C" w14:textId="77777777" w:rsidR="00053BF0" w:rsidRPr="007122AB" w:rsidRDefault="00053B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в бронедивизионе ОГПУ проходили испытания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и Д-3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В отчете по испытаниям Д-2 отмечалась высокая устойчивость броневагона при стрельбе, его значительная скорость, тяговая сила и радиус действия. В то же время обнаружились и недостатки — неудовлетворительно работали системы охлаждения и вентиляции. Сочли неудачным и выбор артиллерии — предлагалось заменить откровенно слабые противоштурмовые пушки образца 1913 года более совершенными орудиями того же калибра (22743).</w:t>
      </w:r>
    </w:p>
    <w:p w14:paraId="0EAEBC24" w14:textId="77777777" w:rsidR="00053BF0" w:rsidRPr="007122AB" w:rsidRDefault="00053BF0" w:rsidP="007122AB">
      <w:pPr>
        <w:spacing w:after="0" w:line="240" w:lineRule="auto"/>
        <w:jc w:val="both"/>
        <w:rPr>
          <w:rFonts w:ascii="Times New Roman" w:hAnsi="Times New Roman"/>
          <w:color w:val="000000" w:themeColor="text1"/>
          <w:sz w:val="16"/>
          <w:szCs w:val="16"/>
        </w:rPr>
      </w:pPr>
    </w:p>
    <w:p w14:paraId="35B89BCB"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испытали всю шестерку мотоциклов, построенных на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и решили приступить к серийному выпуску машины № 1, на 1932 год даже установили план — сдать не менее 3 тыс. мотоциклов.</w:t>
      </w:r>
    </w:p>
    <w:p w14:paraId="063D9377"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как мы знаем, в тот период в НАТИ завершили разработку мотоциклов НАТИ-А-750 и НАТИ-Б-350. В Автодоре прикинули, кому бы поручить их производство. Поскольку выпуск тяжелых НАТИ-А наметили на Подольском машиностроительном заводе, где до этого делали популярные швейные машинки, то освоение НАТИ-Б с четырехтактным одноцилиндровым мотором рабочим объемом 375 см3 выпало на долю </w:t>
      </w:r>
      <w:proofErr w:type="spellStart"/>
      <w:r w:rsidRPr="007122AB">
        <w:rPr>
          <w:rFonts w:ascii="Times New Roman" w:hAnsi="Times New Roman"/>
          <w:color w:val="000000" w:themeColor="text1"/>
          <w:sz w:val="16"/>
          <w:szCs w:val="16"/>
        </w:rPr>
        <w:t>ХАЗа</w:t>
      </w:r>
      <w:proofErr w:type="spellEnd"/>
      <w:r w:rsidRPr="007122AB">
        <w:rPr>
          <w:rFonts w:ascii="Times New Roman" w:hAnsi="Times New Roman"/>
          <w:color w:val="000000" w:themeColor="text1"/>
          <w:sz w:val="16"/>
          <w:szCs w:val="16"/>
        </w:rPr>
        <w:t>. От своего прототипа харьковчанам пришлось отказаться.</w:t>
      </w:r>
    </w:p>
    <w:p w14:paraId="034EF21C"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они вновь показали характер, по собственной инициативе приступив к проектированию сразу трех в значительной степени унифицированных машин с двигателями рабочим объемом 375, 750 и 1200 см3 и карданной передачей на заднее колесо. Первую, ЗМ-375, предполагалось оснастить трехскоростной коробкой передач, баками, вмещавшими 12 л бензина и 2 л масла. Имея базу 1400 мм и клиренс 140, она развивала скорость по шоссе 90 км/ч.</w:t>
      </w:r>
    </w:p>
    <w:p w14:paraId="06AAC04B"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общем, получился неплохой мотоцикл, хотя мощность его двигателя не соответствовала полному весу. Возможно, со временем ЗМ-375 и довели бы до совершенства, но уже выпускались схожие по техническим характеристикам ленинградские Л-300 и были, что называется, на подходе ИЖ-7. Появление близкого к ним еще одного мотоцикла теряло смысл. Поэтому работы над ЗМ-375 свернули, а документацию передали в Таганрог, на инструментальный завод ТИЗ, чтобы ХАЗ мог заняться своим основным делом — сборкой автомобилей.</w:t>
      </w:r>
    </w:p>
    <w:p w14:paraId="5F9F9F7D"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Теперь и таганрогским конструкторам предстояло решить задачи, с которыми уже сталкивались их коллеги из Москвы, Ленинграда, Ижевска и Харькова — с чего начинать? Для создания по примеру харьковчан новой Модели не было ни времени, ни опыта. Копирование зарубежного мотоцикла таило опасность ошибиться с выбором прототипа. Впрочем, сомнениям скоро пришел конец — </w:t>
      </w:r>
      <w:proofErr w:type="spellStart"/>
      <w:r w:rsidRPr="007122AB">
        <w:rPr>
          <w:rFonts w:ascii="Times New Roman" w:hAnsi="Times New Roman"/>
          <w:color w:val="000000" w:themeColor="text1"/>
          <w:sz w:val="16"/>
          <w:szCs w:val="16"/>
        </w:rPr>
        <w:t>ТИЗу</w:t>
      </w:r>
      <w:proofErr w:type="spellEnd"/>
      <w:r w:rsidRPr="007122AB">
        <w:rPr>
          <w:rFonts w:ascii="Times New Roman" w:hAnsi="Times New Roman"/>
          <w:color w:val="000000" w:themeColor="text1"/>
          <w:sz w:val="16"/>
          <w:szCs w:val="16"/>
        </w:rPr>
        <w:t xml:space="preserve"> предложили взять за образец английский БСА-600, далеко не последнего выпуска, но проверенный и освоенный промышленностью.</w:t>
      </w:r>
    </w:p>
    <w:p w14:paraId="09B66F9F"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w:t>
      </w:r>
      <w:proofErr w:type="spellStart"/>
      <w:r w:rsidRPr="007122AB">
        <w:rPr>
          <w:rFonts w:ascii="Times New Roman" w:hAnsi="Times New Roman"/>
          <w:color w:val="000000" w:themeColor="text1"/>
          <w:sz w:val="16"/>
          <w:szCs w:val="16"/>
        </w:rPr>
        <w:t>ТИЗе</w:t>
      </w:r>
      <w:proofErr w:type="spellEnd"/>
      <w:r w:rsidRPr="007122AB">
        <w:rPr>
          <w:rFonts w:ascii="Times New Roman" w:hAnsi="Times New Roman"/>
          <w:color w:val="000000" w:themeColor="text1"/>
          <w:sz w:val="16"/>
          <w:szCs w:val="16"/>
        </w:rPr>
        <w:t xml:space="preserve"> создали группу разработчиков новой документации во главе с инженером Я. Каганом, на помощь ей прислали специалистов из Москвы и Харькова, и они в 1935 году изготовили рабочие чертежи модифицированного мотоцикла, названного ТИЗ-АМ-600. В следующем году собрали первые машины, причем часть деталей к ним поставляли другие предприятия. Например, аккумуляторы шли из Саратова, фары — из Горького. Правда, через некоторое время в Киржаче построили специализированный завод, выпускавший фары для автомобилей и мотоциклов.</w:t>
      </w:r>
    </w:p>
    <w:p w14:paraId="36E4DC9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БСА-600 предназначался для езды по хорошим европейским дорогам, поэтому трубчатую раму «</w:t>
      </w:r>
      <w:proofErr w:type="spellStart"/>
      <w:r w:rsidRPr="007122AB">
        <w:rPr>
          <w:rFonts w:ascii="Times New Roman" w:hAnsi="Times New Roman"/>
          <w:color w:val="000000" w:themeColor="text1"/>
          <w:sz w:val="16"/>
          <w:szCs w:val="16"/>
        </w:rPr>
        <w:t>тиза</w:t>
      </w:r>
      <w:proofErr w:type="spellEnd"/>
      <w:r w:rsidRPr="007122AB">
        <w:rPr>
          <w:rFonts w:ascii="Times New Roman" w:hAnsi="Times New Roman"/>
          <w:color w:val="000000" w:themeColor="text1"/>
          <w:sz w:val="16"/>
          <w:szCs w:val="16"/>
        </w:rPr>
        <w:t>» пришлось усиливать. Впрочем, его совершенствование продолжалось в течение всего выпуска и завершилось только в 1940 году.</w:t>
      </w:r>
    </w:p>
    <w:p w14:paraId="04EE43D4"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Машины этой марки поступали в подразделения Красной Армии, их не раз показывали на военных парадах. Пришлись они по душе и спортсменам, выступая на соревнованиях в классе тяжелых мотоциклов, они нередко обходили соперников, восседавших на более мощных ПМЗ-750.</w:t>
      </w:r>
    </w:p>
    <w:p w14:paraId="43ACC261"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все же у «</w:t>
      </w:r>
      <w:proofErr w:type="spellStart"/>
      <w:r w:rsidRPr="007122AB">
        <w:rPr>
          <w:rFonts w:ascii="Times New Roman" w:hAnsi="Times New Roman"/>
          <w:color w:val="000000" w:themeColor="text1"/>
          <w:sz w:val="16"/>
          <w:szCs w:val="16"/>
        </w:rPr>
        <w:t>тиза</w:t>
      </w:r>
      <w:proofErr w:type="spellEnd"/>
      <w:r w:rsidRPr="007122AB">
        <w:rPr>
          <w:rFonts w:ascii="Times New Roman" w:hAnsi="Times New Roman"/>
          <w:color w:val="000000" w:themeColor="text1"/>
          <w:sz w:val="16"/>
          <w:szCs w:val="16"/>
        </w:rPr>
        <w:t xml:space="preserve">» было немало недостатков. Например, тянул он коляску, особенно по проселку, с трудом, значит, нужно было увеличить мощность двигателя и облегчить конструкцию. Однако вместо того, чтобы постепенно избавлять машину от недостатков, как делали ижевские инженеры, руководство отрасли прибегло к иному способу. В Англии купили БСА-500, доставив его на самолете в Москву для осмотра в НАМИ, оттуда, опять по воздуху, в сопровождении бригады конструкторов — в Таганрог. «Проект мы разработали общими усилиями за месяц с небольшим,— вспоминал участник тех событий Б. </w:t>
      </w:r>
      <w:proofErr w:type="spellStart"/>
      <w:r w:rsidRPr="007122AB">
        <w:rPr>
          <w:rFonts w:ascii="Times New Roman" w:hAnsi="Times New Roman"/>
          <w:color w:val="000000" w:themeColor="text1"/>
          <w:sz w:val="16"/>
          <w:szCs w:val="16"/>
        </w:rPr>
        <w:t>Фиттерман</w:t>
      </w:r>
      <w:proofErr w:type="spellEnd"/>
      <w:r w:rsidRPr="007122AB">
        <w:rPr>
          <w:rFonts w:ascii="Times New Roman" w:hAnsi="Times New Roman"/>
          <w:color w:val="000000" w:themeColor="text1"/>
          <w:sz w:val="16"/>
          <w:szCs w:val="16"/>
        </w:rPr>
        <w:t xml:space="preserve">.— Лично я проектировал четырехступенчатую коробку передач. Опытный ТИЗ-500 построили весной 1941 года, и я с удовольствием ездил на нем. Он оказался </w:t>
      </w:r>
      <w:proofErr w:type="spellStart"/>
      <w:r w:rsidRPr="007122AB">
        <w:rPr>
          <w:rFonts w:ascii="Times New Roman" w:hAnsi="Times New Roman"/>
          <w:color w:val="000000" w:themeColor="text1"/>
          <w:sz w:val="16"/>
          <w:szCs w:val="16"/>
        </w:rPr>
        <w:t>быстроходнее</w:t>
      </w:r>
      <w:proofErr w:type="spellEnd"/>
      <w:r w:rsidRPr="007122AB">
        <w:rPr>
          <w:rFonts w:ascii="Times New Roman" w:hAnsi="Times New Roman"/>
          <w:color w:val="000000" w:themeColor="text1"/>
          <w:sz w:val="16"/>
          <w:szCs w:val="16"/>
        </w:rPr>
        <w:t>, легче и устойчивее предыдущего, а расположенный вертикально цилиндр придавал машине характерный вид. Испытания провели быстро, с положительными результатами, однако начавшаяся война прервала эту работу, и заводу до эвакуации в Тюмень пришлось выпускать ТИЗ-АМ-600».</w:t>
      </w:r>
    </w:p>
    <w:p w14:paraId="55A9DD14"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Тюмени, в корпусах тамошнего пивоваренного завода, некоторое время делали «</w:t>
      </w:r>
      <w:proofErr w:type="spellStart"/>
      <w:r w:rsidRPr="007122AB">
        <w:rPr>
          <w:rFonts w:ascii="Times New Roman" w:hAnsi="Times New Roman"/>
          <w:color w:val="000000" w:themeColor="text1"/>
          <w:sz w:val="16"/>
          <w:szCs w:val="16"/>
        </w:rPr>
        <w:t>шестисотки</w:t>
      </w:r>
      <w:proofErr w:type="spellEnd"/>
      <w:r w:rsidRPr="007122AB">
        <w:rPr>
          <w:rFonts w:ascii="Times New Roman" w:hAnsi="Times New Roman"/>
          <w:color w:val="000000" w:themeColor="text1"/>
          <w:sz w:val="16"/>
          <w:szCs w:val="16"/>
        </w:rPr>
        <w:t>», но вскоре сказалась нехватка кадров и комплектующих деталей. В 1943 году выпуск ТИЗ-АМ-600 пришлось прекратить.</w:t>
      </w:r>
    </w:p>
    <w:p w14:paraId="709319EF"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историю отечественного машиностроения ТИЗ-АМ-600 вошел как первый серийный мотоцикл с четырехтактным одноцилиндровым двигателем. Сохранились считанные образцы, один из которых находится в Политехническом музее (11396).</w:t>
      </w:r>
    </w:p>
    <w:p w14:paraId="5656E593"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D7C99"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на очередном заседании Научно-технического комитета (НТК) ВТУ РККА, рассматривавшем вопрос о состоянии работ в области </w:t>
      </w:r>
      <w:proofErr w:type="spellStart"/>
      <w:r w:rsidRPr="007122AB">
        <w:rPr>
          <w:rFonts w:ascii="Times New Roman" w:hAnsi="Times New Roman"/>
          <w:color w:val="000000" w:themeColor="text1"/>
          <w:sz w:val="16"/>
          <w:szCs w:val="16"/>
        </w:rPr>
        <w:t>звукоулавливания</w:t>
      </w:r>
      <w:proofErr w:type="spellEnd"/>
      <w:r w:rsidRPr="007122AB">
        <w:rPr>
          <w:rFonts w:ascii="Times New Roman" w:hAnsi="Times New Roman"/>
          <w:color w:val="000000" w:themeColor="text1"/>
          <w:sz w:val="16"/>
          <w:szCs w:val="16"/>
        </w:rPr>
        <w:t xml:space="preserve"> для раннего обнаружения самолетов, активно обсуждалась необходимость активизации работ по использованию для тех же целей радиотехники и был поставлен вопрос о необходимости привлечения новых </w:t>
      </w:r>
      <w:proofErr w:type="spellStart"/>
      <w:r w:rsidRPr="007122AB">
        <w:rPr>
          <w:rFonts w:ascii="Times New Roman" w:hAnsi="Times New Roman"/>
          <w:color w:val="000000" w:themeColor="text1"/>
          <w:sz w:val="16"/>
          <w:szCs w:val="16"/>
        </w:rPr>
        <w:t>научноисследовательских</w:t>
      </w:r>
      <w:proofErr w:type="spellEnd"/>
      <w:r w:rsidRPr="007122AB">
        <w:rPr>
          <w:rFonts w:ascii="Times New Roman" w:hAnsi="Times New Roman"/>
          <w:color w:val="000000" w:themeColor="text1"/>
          <w:sz w:val="16"/>
          <w:szCs w:val="16"/>
        </w:rPr>
        <w:t xml:space="preserve"> учреждений, которые могли бы взять на себя работы такого характера (данную задачу как раз и поручили М.М. Лобанову).</w:t>
      </w:r>
    </w:p>
    <w:p w14:paraId="0702046E"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тому времени сотрудники ВТУ РККА Мирон Архипович Федосенко и Георгий Степанович </w:t>
      </w:r>
      <w:proofErr w:type="spellStart"/>
      <w:r w:rsidRPr="007122AB">
        <w:rPr>
          <w:rFonts w:ascii="Times New Roman" w:hAnsi="Times New Roman"/>
          <w:color w:val="000000" w:themeColor="text1"/>
          <w:sz w:val="16"/>
          <w:szCs w:val="16"/>
        </w:rPr>
        <w:t>Гойлов</w:t>
      </w:r>
      <w:proofErr w:type="spellEnd"/>
      <w:r w:rsidRPr="007122AB">
        <w:rPr>
          <w:rFonts w:ascii="Times New Roman" w:hAnsi="Times New Roman"/>
          <w:color w:val="000000" w:themeColor="text1"/>
          <w:sz w:val="16"/>
          <w:szCs w:val="16"/>
        </w:rPr>
        <w:t xml:space="preserve"> (первый начальник Особого Конструкторского бюро и Экспериментальных мастерских Главного артиллерийского управления РККА) уже «пришли к единодушному выводу», что единственное решение проблемы раннего обнаружения самолетов противника «следует искать в использовании радиоволн, распространение которых мало зависит от погоды и времени суток, и потому их преимущество очевидно». По мнению указанных советских военных специалистов, «наращивая мощности излучаемых радиоволн и повышая чувствительность радиоприемных устройств, можно непрерывно добиваться такого совершенства средств радиообнаружения, которое не отставало бы от уровня развития авиации и тем самым не допускало бы образования диспропорции между тактическими возможностями средств воздушного нападения и средствами их обнаружения»( . М.М. Лобанов. Развитие советской радиолокационной техники. – М.: Воениздат, 1982. – 239 с.) (22709).</w:t>
      </w:r>
    </w:p>
    <w:p w14:paraId="73709366" w14:textId="77777777" w:rsidR="00665803" w:rsidRPr="007122AB" w:rsidRDefault="00665803" w:rsidP="007122AB">
      <w:pPr>
        <w:spacing w:after="0" w:line="240" w:lineRule="auto"/>
        <w:jc w:val="both"/>
        <w:rPr>
          <w:rFonts w:ascii="Times New Roman" w:hAnsi="Times New Roman"/>
          <w:color w:val="000000" w:themeColor="text1"/>
          <w:sz w:val="16"/>
          <w:szCs w:val="16"/>
        </w:rPr>
      </w:pPr>
    </w:p>
    <w:p w14:paraId="5EB22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суздальский Покровский "монастырь был передан в целом в распоряжение </w:t>
      </w:r>
      <w:proofErr w:type="spellStart"/>
      <w:r w:rsidRPr="007122AB">
        <w:rPr>
          <w:rFonts w:ascii="Times New Roman" w:hAnsi="Times New Roman"/>
          <w:color w:val="000000" w:themeColor="text1"/>
          <w:sz w:val="16"/>
          <w:szCs w:val="16"/>
        </w:rPr>
        <w:t>политизолятора</w:t>
      </w:r>
      <w:proofErr w:type="spellEnd"/>
      <w:r w:rsidRPr="007122AB">
        <w:rPr>
          <w:rFonts w:ascii="Times New Roman" w:hAnsi="Times New Roman"/>
          <w:color w:val="000000" w:themeColor="text1"/>
          <w:sz w:val="16"/>
          <w:szCs w:val="16"/>
        </w:rPr>
        <w:t xml:space="preserve"> ОГПУ, которым был произведен полный ремонт построек, и монастырь был закрыт для всех посторонних граждан... В 1932 г. в монастыре появилась организация, называемая БОН ОО ОГПУ. Работники музея, несущие охрану памятников, долгое время не допускались до осмотра памятников, кроме как собора и ризницы.... Помещения монастыря были приспособлены под нужды </w:t>
      </w:r>
      <w:proofErr w:type="spellStart"/>
      <w:r w:rsidRPr="007122AB">
        <w:rPr>
          <w:rFonts w:ascii="Times New Roman" w:hAnsi="Times New Roman"/>
          <w:color w:val="000000" w:themeColor="text1"/>
          <w:sz w:val="16"/>
          <w:szCs w:val="16"/>
        </w:rPr>
        <w:t>БОНа</w:t>
      </w:r>
      <w:proofErr w:type="spellEnd"/>
      <w:r w:rsidRPr="007122AB">
        <w:rPr>
          <w:rFonts w:ascii="Times New Roman" w:hAnsi="Times New Roman"/>
          <w:color w:val="000000" w:themeColor="text1"/>
          <w:sz w:val="16"/>
          <w:szCs w:val="16"/>
        </w:rPr>
        <w:t xml:space="preserve">...Состояние монастыря было образцовое, все остеклено, учинено, белено.". </w:t>
      </w:r>
    </w:p>
    <w:p w14:paraId="7477B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Расчет был очевиден - здесь же в Суздале в </w:t>
      </w:r>
      <w:proofErr w:type="spellStart"/>
      <w:r w:rsidRPr="007122AB">
        <w:rPr>
          <w:rFonts w:ascii="Times New Roman" w:hAnsi="Times New Roman"/>
          <w:color w:val="000000" w:themeColor="text1"/>
          <w:sz w:val="16"/>
          <w:szCs w:val="16"/>
        </w:rPr>
        <w:t>Спасо-Евфимиевом</w:t>
      </w:r>
      <w:proofErr w:type="spellEnd"/>
      <w:r w:rsidRPr="007122AB">
        <w:rPr>
          <w:rFonts w:ascii="Times New Roman" w:hAnsi="Times New Roman"/>
          <w:color w:val="000000" w:themeColor="text1"/>
          <w:sz w:val="16"/>
          <w:szCs w:val="16"/>
        </w:rPr>
        <w:t xml:space="preserve"> монастыре находился </w:t>
      </w:r>
      <w:proofErr w:type="spellStart"/>
      <w:r w:rsidRPr="007122AB">
        <w:rPr>
          <w:rFonts w:ascii="Times New Roman" w:hAnsi="Times New Roman"/>
          <w:color w:val="000000" w:themeColor="text1"/>
          <w:sz w:val="16"/>
          <w:szCs w:val="16"/>
        </w:rPr>
        <w:t>политизолятор</w:t>
      </w:r>
      <w:proofErr w:type="spellEnd"/>
      <w:r w:rsidRPr="007122AB">
        <w:rPr>
          <w:rFonts w:ascii="Times New Roman" w:hAnsi="Times New Roman"/>
          <w:color w:val="000000" w:themeColor="text1"/>
          <w:sz w:val="16"/>
          <w:szCs w:val="16"/>
        </w:rPr>
        <w:t xml:space="preserve">, где содержались многочисленные "враги советской власти", и это был источник "материала" для опытов, не требовавших каких-либо разрешений. Охрана обоих монастырей была общая. </w:t>
      </w:r>
    </w:p>
    <w:p w14:paraId="2FD6B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Возглавил БОН врач-бактериолог </w:t>
      </w:r>
      <w:proofErr w:type="spellStart"/>
      <w:r w:rsidRPr="007122AB">
        <w:rPr>
          <w:rFonts w:ascii="Times New Roman" w:hAnsi="Times New Roman"/>
          <w:color w:val="000000" w:themeColor="text1"/>
          <w:sz w:val="16"/>
          <w:szCs w:val="16"/>
        </w:rPr>
        <w:t>М.М.Файбич</w:t>
      </w:r>
      <w:proofErr w:type="spellEnd"/>
      <w:r w:rsidRPr="007122AB">
        <w:rPr>
          <w:rFonts w:ascii="Times New Roman" w:hAnsi="Times New Roman"/>
          <w:color w:val="000000" w:themeColor="text1"/>
          <w:sz w:val="16"/>
          <w:szCs w:val="16"/>
        </w:rPr>
        <w:t xml:space="preserve"> с серьезными знаками различия в петлицах своей военной формы. </w:t>
      </w:r>
    </w:p>
    <w:p w14:paraId="5BBA2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Основу мощной команды микробиологов, которые стали работать в Суздале в области особо опасных инфекций человека, составили ученые, привезенные из разных мест страны. </w:t>
      </w:r>
    </w:p>
    <w:p w14:paraId="10BC33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института "Микроб" в Саратове профессор </w:t>
      </w:r>
      <w:proofErr w:type="spellStart"/>
      <w:r w:rsidRPr="007122AB">
        <w:rPr>
          <w:rFonts w:ascii="Times New Roman" w:hAnsi="Times New Roman"/>
          <w:color w:val="000000" w:themeColor="text1"/>
          <w:sz w:val="16"/>
          <w:szCs w:val="16"/>
        </w:rPr>
        <w:t>С.М.Никаноров</w:t>
      </w:r>
      <w:proofErr w:type="spellEnd"/>
      <w:r w:rsidRPr="007122AB">
        <w:rPr>
          <w:rFonts w:ascii="Times New Roman" w:hAnsi="Times New Roman"/>
          <w:color w:val="000000" w:themeColor="text1"/>
          <w:sz w:val="16"/>
          <w:szCs w:val="16"/>
        </w:rPr>
        <w:t xml:space="preserve"> был оторван от борьбы со вспышками чумы на востоке и юге страны и доставлен в Суздаль в новом качестве з/к. Из Саратова же прибыл ведущий специалист по чуме </w:t>
      </w:r>
      <w:proofErr w:type="spellStart"/>
      <w:r w:rsidRPr="007122AB">
        <w:rPr>
          <w:rFonts w:ascii="Times New Roman" w:hAnsi="Times New Roman"/>
          <w:color w:val="000000" w:themeColor="text1"/>
          <w:sz w:val="16"/>
          <w:szCs w:val="16"/>
        </w:rPr>
        <w:t>Н.А.Гайский</w:t>
      </w:r>
      <w:proofErr w:type="spellEnd"/>
      <w:r w:rsidRPr="007122AB">
        <w:rPr>
          <w:rFonts w:ascii="Times New Roman" w:hAnsi="Times New Roman"/>
          <w:color w:val="000000" w:themeColor="text1"/>
          <w:sz w:val="16"/>
          <w:szCs w:val="16"/>
        </w:rPr>
        <w:t xml:space="preserve"> (за деяния, предусмотренные ст.58-11 УК РСФСР; наказание - 5 лет лагерей). Из того же "Микроба" доставили специалиста по чуме и туляремии </w:t>
      </w:r>
      <w:proofErr w:type="spellStart"/>
      <w:r w:rsidRPr="007122AB">
        <w:rPr>
          <w:rFonts w:ascii="Times New Roman" w:hAnsi="Times New Roman"/>
          <w:color w:val="000000" w:themeColor="text1"/>
          <w:sz w:val="16"/>
          <w:szCs w:val="16"/>
        </w:rPr>
        <w:t>С.В.Суворова</w:t>
      </w:r>
      <w:proofErr w:type="spellEnd"/>
      <w:r w:rsidRPr="007122AB">
        <w:rPr>
          <w:rFonts w:ascii="Times New Roman" w:hAnsi="Times New Roman"/>
          <w:color w:val="000000" w:themeColor="text1"/>
          <w:sz w:val="16"/>
          <w:szCs w:val="16"/>
        </w:rPr>
        <w:t xml:space="preserve">, который первым в СССР выделил от больных людей возбудитель туляремии - это произошло еще в 1926 году. В числе обитателей "шарашки" оказались также </w:t>
      </w:r>
      <w:proofErr w:type="spellStart"/>
      <w:r w:rsidRPr="007122AB">
        <w:rPr>
          <w:rFonts w:ascii="Times New Roman" w:hAnsi="Times New Roman"/>
          <w:color w:val="000000" w:themeColor="text1"/>
          <w:sz w:val="16"/>
          <w:szCs w:val="16"/>
        </w:rPr>
        <w:t>А.Вольферц</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Д.Голов</w:t>
      </w:r>
      <w:proofErr w:type="spellEnd"/>
      <w:r w:rsidRPr="007122AB">
        <w:rPr>
          <w:rFonts w:ascii="Times New Roman" w:hAnsi="Times New Roman"/>
          <w:color w:val="000000" w:themeColor="text1"/>
          <w:sz w:val="16"/>
          <w:szCs w:val="16"/>
        </w:rPr>
        <w:t xml:space="preserve"> (тоже из "Микроба"). Из Минска доставили </w:t>
      </w:r>
      <w:proofErr w:type="spellStart"/>
      <w:r w:rsidRPr="007122AB">
        <w:rPr>
          <w:rFonts w:ascii="Times New Roman" w:hAnsi="Times New Roman"/>
          <w:color w:val="000000" w:themeColor="text1"/>
          <w:sz w:val="16"/>
          <w:szCs w:val="16"/>
        </w:rPr>
        <w:t>Б.Я.Эльберта</w:t>
      </w:r>
      <w:proofErr w:type="spellEnd"/>
      <w:r w:rsidRPr="007122AB">
        <w:rPr>
          <w:rFonts w:ascii="Times New Roman" w:hAnsi="Times New Roman"/>
          <w:color w:val="000000" w:themeColor="text1"/>
          <w:sz w:val="16"/>
          <w:szCs w:val="16"/>
        </w:rPr>
        <w:t xml:space="preserve">, где он возглавлял организованный им в 1924 году санитарно-бактериологический институт (нынешний НИИ эпидемиологии и микробиологии минздрава Белоруссии). </w:t>
      </w:r>
    </w:p>
    <w:p w14:paraId="1F085A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1932 году работа 19 ученых-заключенных в </w:t>
      </w:r>
      <w:proofErr w:type="spellStart"/>
      <w:r w:rsidRPr="007122AB">
        <w:rPr>
          <w:rFonts w:ascii="Times New Roman" w:hAnsi="Times New Roman"/>
          <w:color w:val="000000" w:themeColor="text1"/>
          <w:sz w:val="16"/>
          <w:szCs w:val="16"/>
        </w:rPr>
        <w:t>БОНе</w:t>
      </w:r>
      <w:proofErr w:type="spellEnd"/>
      <w:r w:rsidRPr="007122AB">
        <w:rPr>
          <w:rFonts w:ascii="Times New Roman" w:hAnsi="Times New Roman"/>
          <w:color w:val="000000" w:themeColor="text1"/>
          <w:sz w:val="16"/>
          <w:szCs w:val="16"/>
        </w:rPr>
        <w:t xml:space="preserve"> началась. Во главе нее был поставлен специалист по тифу </w:t>
      </w:r>
      <w:proofErr w:type="spellStart"/>
      <w:r w:rsidRPr="007122AB">
        <w:rPr>
          <w:rFonts w:ascii="Times New Roman" w:hAnsi="Times New Roman"/>
          <w:color w:val="000000" w:themeColor="text1"/>
          <w:sz w:val="16"/>
          <w:szCs w:val="16"/>
        </w:rPr>
        <w:t>М.М.Файбич</w:t>
      </w:r>
      <w:proofErr w:type="spellEnd"/>
      <w:r w:rsidRPr="007122AB">
        <w:rPr>
          <w:rFonts w:ascii="Times New Roman" w:hAnsi="Times New Roman"/>
          <w:color w:val="000000" w:themeColor="text1"/>
          <w:sz w:val="16"/>
          <w:szCs w:val="16"/>
        </w:rPr>
        <w:t xml:space="preserve"> - тот, что имел серьезные знаки отличия в петлицах своей военной формы. </w:t>
      </w:r>
    </w:p>
    <w:p w14:paraId="1E903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вспоминала </w:t>
      </w:r>
      <w:proofErr w:type="spellStart"/>
      <w:r w:rsidRPr="007122AB">
        <w:rPr>
          <w:rFonts w:ascii="Times New Roman" w:hAnsi="Times New Roman"/>
          <w:color w:val="000000" w:themeColor="text1"/>
          <w:sz w:val="16"/>
          <w:szCs w:val="16"/>
        </w:rPr>
        <w:t>Е.И.Паршина</w:t>
      </w:r>
      <w:proofErr w:type="spellEnd"/>
      <w:r w:rsidRPr="007122AB">
        <w:rPr>
          <w:rFonts w:ascii="Times New Roman" w:hAnsi="Times New Roman"/>
          <w:color w:val="000000" w:themeColor="text1"/>
          <w:sz w:val="16"/>
          <w:szCs w:val="16"/>
        </w:rPr>
        <w:t xml:space="preserve">, подчиненные </w:t>
      </w:r>
      <w:proofErr w:type="spellStart"/>
      <w:r w:rsidRPr="007122AB">
        <w:rPr>
          <w:rFonts w:ascii="Times New Roman" w:hAnsi="Times New Roman"/>
          <w:color w:val="000000" w:themeColor="text1"/>
          <w:sz w:val="16"/>
          <w:szCs w:val="16"/>
        </w:rPr>
        <w:t>М.М.Файбичу</w:t>
      </w:r>
      <w:proofErr w:type="spellEnd"/>
      <w:r w:rsidRPr="007122AB">
        <w:rPr>
          <w:rFonts w:ascii="Times New Roman" w:hAnsi="Times New Roman"/>
          <w:color w:val="000000" w:themeColor="text1"/>
          <w:sz w:val="16"/>
          <w:szCs w:val="16"/>
        </w:rPr>
        <w:t xml:space="preserve"> репрессированные ученые-биологи жили в монашеских кельях и не имели права покидать территорию монастыря.</w:t>
      </w:r>
    </w:p>
    <w:p w14:paraId="1DB978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Общий сбор военных биологов на озере Селигер шел два года. В 1936 году туда была переведена из Суздаля III-я испытательная лаборатория РККА, остававшаяся в ведении ВОХИМУ РККА. Она разместилась на острове </w:t>
      </w:r>
      <w:proofErr w:type="spellStart"/>
      <w:r w:rsidRPr="007122AB">
        <w:rPr>
          <w:rFonts w:ascii="Times New Roman" w:hAnsi="Times New Roman"/>
          <w:color w:val="000000" w:themeColor="text1"/>
          <w:sz w:val="16"/>
          <w:szCs w:val="16"/>
        </w:rPr>
        <w:t>Городомля</w:t>
      </w:r>
      <w:proofErr w:type="spellEnd"/>
      <w:r w:rsidRPr="007122AB">
        <w:rPr>
          <w:rFonts w:ascii="Times New Roman" w:hAnsi="Times New Roman"/>
          <w:color w:val="000000" w:themeColor="text1"/>
          <w:sz w:val="16"/>
          <w:szCs w:val="16"/>
        </w:rPr>
        <w:t xml:space="preserve"> посреди озера. Для непосвященных она числилась, однако, не на озере, а в городе Осташков, который находится на берегу. </w:t>
      </w:r>
    </w:p>
    <w:p w14:paraId="6F4A2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Охрана военно-биологических учреждений - предмет отдельного разговора. В свое время ВВСЛ во Власихе в 1930 году осуществляли 3 милиционера. Охрану ИХО в Москве, где работали с биологическим оружием, в 1933 году нес 19-й отдельный местный стрелковый батальон. Охрану объекта Суздале осуществляло ОГПУ. </w:t>
      </w:r>
    </w:p>
    <w:p w14:paraId="0B84B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на озере Селигер охрану предусматривалось осуществлять силами НКВД. Однако решение об этом было принято не сразу. Поначалу уже дослужившийся до звания дивизионного врача </w:t>
      </w:r>
      <w:proofErr w:type="spellStart"/>
      <w:r w:rsidRPr="007122AB">
        <w:rPr>
          <w:rFonts w:ascii="Times New Roman" w:hAnsi="Times New Roman"/>
          <w:color w:val="000000" w:themeColor="text1"/>
          <w:sz w:val="16"/>
          <w:szCs w:val="16"/>
        </w:rPr>
        <w:t>И.М.Великанов</w:t>
      </w:r>
      <w:proofErr w:type="spellEnd"/>
      <w:r w:rsidRPr="007122AB">
        <w:rPr>
          <w:rFonts w:ascii="Times New Roman" w:hAnsi="Times New Roman"/>
          <w:color w:val="000000" w:themeColor="text1"/>
          <w:sz w:val="16"/>
          <w:szCs w:val="16"/>
        </w:rPr>
        <w:t xml:space="preserve"> не понял остроты проблемы и в результате был удостоен выговора "за недозволенный допуск постороннего лица на территорию острова </w:t>
      </w:r>
      <w:proofErr w:type="spellStart"/>
      <w:r w:rsidRPr="007122AB">
        <w:rPr>
          <w:rFonts w:ascii="Times New Roman" w:hAnsi="Times New Roman"/>
          <w:color w:val="000000" w:themeColor="text1"/>
          <w:sz w:val="16"/>
          <w:szCs w:val="16"/>
        </w:rPr>
        <w:t>Городомля</w:t>
      </w:r>
      <w:proofErr w:type="spellEnd"/>
      <w:r w:rsidRPr="007122AB">
        <w:rPr>
          <w:rFonts w:ascii="Times New Roman" w:hAnsi="Times New Roman"/>
          <w:color w:val="000000" w:themeColor="text1"/>
          <w:sz w:val="16"/>
          <w:szCs w:val="16"/>
        </w:rPr>
        <w:t xml:space="preserve">" в приказе, подписанном лично </w:t>
      </w:r>
      <w:proofErr w:type="spellStart"/>
      <w:r w:rsidRPr="007122AB">
        <w:rPr>
          <w:rFonts w:ascii="Times New Roman" w:hAnsi="Times New Roman"/>
          <w:color w:val="000000" w:themeColor="text1"/>
          <w:sz w:val="16"/>
          <w:szCs w:val="16"/>
        </w:rPr>
        <w:t>К.Е.Ворошиловым</w:t>
      </w:r>
      <w:proofErr w:type="spellEnd"/>
      <w:r w:rsidRPr="007122AB">
        <w:rPr>
          <w:rFonts w:ascii="Times New Roman" w:hAnsi="Times New Roman"/>
          <w:color w:val="000000" w:themeColor="text1"/>
          <w:sz w:val="16"/>
          <w:szCs w:val="16"/>
        </w:rPr>
        <w:t xml:space="preserve"> (№ 0040 от 23 августа 1936 года). А с конца 1936 года уже шла оживленная переписка о создании в </w:t>
      </w:r>
      <w:proofErr w:type="spellStart"/>
      <w:r w:rsidRPr="007122AB">
        <w:rPr>
          <w:rFonts w:ascii="Times New Roman" w:hAnsi="Times New Roman"/>
          <w:color w:val="000000" w:themeColor="text1"/>
          <w:sz w:val="16"/>
          <w:szCs w:val="16"/>
        </w:rPr>
        <w:t>г.Осташков</w:t>
      </w:r>
      <w:proofErr w:type="spellEnd"/>
      <w:r w:rsidRPr="007122AB">
        <w:rPr>
          <w:rFonts w:ascii="Times New Roman" w:hAnsi="Times New Roman"/>
          <w:color w:val="000000" w:themeColor="text1"/>
          <w:sz w:val="16"/>
          <w:szCs w:val="16"/>
        </w:rPr>
        <w:t xml:space="preserve"> специального дивизиона НКВД численностью 179 человек, нацеленного только на обеспечение секретности работ по биологическому оружию на острове </w:t>
      </w:r>
      <w:proofErr w:type="spellStart"/>
      <w:r w:rsidRPr="007122AB">
        <w:rPr>
          <w:rFonts w:ascii="Times New Roman" w:hAnsi="Times New Roman"/>
          <w:color w:val="000000" w:themeColor="text1"/>
          <w:sz w:val="16"/>
          <w:szCs w:val="16"/>
        </w:rPr>
        <w:t>Городомля</w:t>
      </w:r>
      <w:proofErr w:type="spellEnd"/>
      <w:r w:rsidRPr="007122AB">
        <w:rPr>
          <w:rFonts w:ascii="Times New Roman" w:hAnsi="Times New Roman"/>
          <w:color w:val="000000" w:themeColor="text1"/>
          <w:sz w:val="16"/>
          <w:szCs w:val="16"/>
        </w:rPr>
        <w:t xml:space="preserve">.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w:t>
      </w:r>
      <w:proofErr w:type="spellStart"/>
      <w:r w:rsidRPr="007122AB">
        <w:rPr>
          <w:rFonts w:ascii="Times New Roman" w:hAnsi="Times New Roman"/>
          <w:color w:val="000000" w:themeColor="text1"/>
          <w:sz w:val="16"/>
          <w:szCs w:val="16"/>
        </w:rPr>
        <w:t>К.Е.Ворошиловым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В.М.Молотовым</w:t>
      </w:r>
      <w:proofErr w:type="spellEnd"/>
      <w:r w:rsidRPr="007122AB">
        <w:rPr>
          <w:rFonts w:ascii="Times New Roman" w:hAnsi="Times New Roman"/>
          <w:color w:val="000000" w:themeColor="text1"/>
          <w:sz w:val="16"/>
          <w:szCs w:val="16"/>
        </w:rPr>
        <w:t>.</w:t>
      </w:r>
    </w:p>
    <w:p w14:paraId="7EABC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1EC32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Посмотреть на редкостный по красоте остров </w:t>
      </w:r>
      <w:proofErr w:type="spellStart"/>
      <w:r w:rsidRPr="007122AB">
        <w:rPr>
          <w:rFonts w:ascii="Times New Roman" w:hAnsi="Times New Roman"/>
          <w:color w:val="000000" w:themeColor="text1"/>
          <w:sz w:val="16"/>
          <w:szCs w:val="16"/>
        </w:rPr>
        <w:t>Городомля</w:t>
      </w:r>
      <w:proofErr w:type="spellEnd"/>
      <w:r w:rsidRPr="007122AB">
        <w:rPr>
          <w:rFonts w:ascii="Times New Roman" w:hAnsi="Times New Roman"/>
          <w:color w:val="000000" w:themeColor="text1"/>
          <w:sz w:val="16"/>
          <w:szCs w:val="16"/>
        </w:rPr>
        <w:t xml:space="preserve"> непросто. Впрочем, это преодолимо. Кто помнит картину </w:t>
      </w:r>
      <w:proofErr w:type="spellStart"/>
      <w:r w:rsidRPr="007122AB">
        <w:rPr>
          <w:rFonts w:ascii="Times New Roman" w:hAnsi="Times New Roman"/>
          <w:color w:val="000000" w:themeColor="text1"/>
          <w:sz w:val="16"/>
          <w:szCs w:val="16"/>
        </w:rPr>
        <w:t>И.И.Шишкина</w:t>
      </w:r>
      <w:proofErr w:type="spellEnd"/>
      <w:r w:rsidRPr="007122AB">
        <w:rPr>
          <w:rFonts w:ascii="Times New Roman" w:hAnsi="Times New Roman"/>
          <w:color w:val="000000" w:themeColor="text1"/>
          <w:sz w:val="16"/>
          <w:szCs w:val="16"/>
        </w:rPr>
        <w:t xml:space="preserve"> "Утро в сосновом бору", тот знаком и с островом </w:t>
      </w:r>
      <w:proofErr w:type="spellStart"/>
      <w:r w:rsidRPr="007122AB">
        <w:rPr>
          <w:rFonts w:ascii="Times New Roman" w:hAnsi="Times New Roman"/>
          <w:color w:val="000000" w:themeColor="text1"/>
          <w:sz w:val="16"/>
          <w:szCs w:val="16"/>
        </w:rPr>
        <w:t>Городомля</w:t>
      </w:r>
      <w:proofErr w:type="spellEnd"/>
      <w:r w:rsidRPr="007122AB">
        <w:rPr>
          <w:rFonts w:ascii="Times New Roman" w:hAnsi="Times New Roman"/>
          <w:color w:val="000000" w:themeColor="text1"/>
          <w:sz w:val="16"/>
          <w:szCs w:val="16"/>
        </w:rPr>
        <w:t xml:space="preserve"> (разумеется, надо мысленно снять с нее медведей, которые были пририсованы кистью </w:t>
      </w:r>
      <w:proofErr w:type="spellStart"/>
      <w:r w:rsidRPr="007122AB">
        <w:rPr>
          <w:rFonts w:ascii="Times New Roman" w:hAnsi="Times New Roman"/>
          <w:color w:val="000000" w:themeColor="text1"/>
          <w:sz w:val="16"/>
          <w:szCs w:val="16"/>
        </w:rPr>
        <w:t>К.А.Савицкого</w:t>
      </w:r>
      <w:proofErr w:type="spellEnd"/>
      <w:r w:rsidRPr="007122AB">
        <w:rPr>
          <w:rFonts w:ascii="Times New Roman" w:hAnsi="Times New Roman"/>
          <w:color w:val="000000" w:themeColor="text1"/>
          <w:sz w:val="16"/>
          <w:szCs w:val="16"/>
        </w:rPr>
        <w:t xml:space="preserve">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40B7C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w:t>
      </w:r>
      <w:proofErr w:type="spellStart"/>
      <w:r w:rsidRPr="007122AB">
        <w:rPr>
          <w:rFonts w:ascii="Times New Roman" w:hAnsi="Times New Roman"/>
          <w:color w:val="000000" w:themeColor="text1"/>
          <w:sz w:val="16"/>
          <w:szCs w:val="16"/>
        </w:rPr>
        <w:t>селигерского</w:t>
      </w:r>
      <w:proofErr w:type="spellEnd"/>
      <w:r w:rsidRPr="007122AB">
        <w:rPr>
          <w:rFonts w:ascii="Times New Roman" w:hAnsi="Times New Roman"/>
          <w:color w:val="000000" w:themeColor="text1"/>
          <w:sz w:val="16"/>
          <w:szCs w:val="16"/>
        </w:rPr>
        <w:t xml:space="preserve"> периода БИТИ начался новый этап в его работах. </w:t>
      </w:r>
    </w:p>
    <w:p w14:paraId="64ECFA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72402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22930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BCEFC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14783D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9A25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самолеты приняли уча</w:t>
      </w:r>
      <w:r w:rsidRPr="007122AB">
        <w:rPr>
          <w:rFonts w:ascii="Times New Roman" w:hAnsi="Times New Roman"/>
          <w:color w:val="000000" w:themeColor="text1"/>
          <w:sz w:val="16"/>
          <w:szCs w:val="16"/>
        </w:rPr>
        <w:softHyphen/>
        <w:t>стие в маневрах на Украине, а в октябре ТБ-1 с успехом продемонстрировали не</w:t>
      </w:r>
      <w:r w:rsidRPr="007122AB">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7122AB">
        <w:rPr>
          <w:rFonts w:ascii="Times New Roman" w:hAnsi="Times New Roman"/>
          <w:color w:val="000000" w:themeColor="text1"/>
          <w:sz w:val="16"/>
          <w:szCs w:val="16"/>
        </w:rPr>
        <w:softHyphen/>
        <w:t>евых частях достигло 155 экземпляров (11286).</w:t>
      </w:r>
    </w:p>
    <w:p w14:paraId="778B47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FD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Р-5 впервые приняли участие в больших маневрах на территории Украины, а в сентябре произошло и боевое крещение нового разведчика. Два самолета, прибывшие в 16-ю бригаду, включили в состав Туркменской авиагруппы, сформированной для действий против басмачей в районе Кызыл-</w:t>
      </w:r>
      <w:proofErr w:type="spellStart"/>
      <w:r w:rsidRPr="007122AB">
        <w:rPr>
          <w:rFonts w:ascii="Times New Roman" w:hAnsi="Times New Roman"/>
          <w:color w:val="000000" w:themeColor="text1"/>
          <w:sz w:val="16"/>
          <w:szCs w:val="16"/>
        </w:rPr>
        <w:t>Арвата</w:t>
      </w:r>
      <w:proofErr w:type="spellEnd"/>
      <w:r w:rsidRPr="007122AB">
        <w:rPr>
          <w:rFonts w:ascii="Times New Roman" w:hAnsi="Times New Roman"/>
          <w:color w:val="000000" w:themeColor="text1"/>
          <w:sz w:val="16"/>
          <w:szCs w:val="16"/>
        </w:rPr>
        <w:t>. Р-5 использовались как командирские машины. Основная тяжесть боевой работы легла на старые Р-ЗЛД, но и Р-5 участвовали в налетах на банды у колодцев Огуз-</w:t>
      </w:r>
      <w:proofErr w:type="spellStart"/>
      <w:r w:rsidRPr="007122AB">
        <w:rPr>
          <w:rFonts w:ascii="Times New Roman" w:hAnsi="Times New Roman"/>
          <w:color w:val="000000" w:themeColor="text1"/>
          <w:sz w:val="16"/>
          <w:szCs w:val="16"/>
        </w:rPr>
        <w:t>Кулоч</w:t>
      </w:r>
      <w:proofErr w:type="spellEnd"/>
      <w:r w:rsidRPr="007122AB">
        <w:rPr>
          <w:rFonts w:ascii="Times New Roman" w:hAnsi="Times New Roman"/>
          <w:color w:val="000000" w:themeColor="text1"/>
          <w:sz w:val="16"/>
          <w:szCs w:val="16"/>
        </w:rPr>
        <w:t xml:space="preserve"> и Огуз-</w:t>
      </w:r>
      <w:proofErr w:type="spellStart"/>
      <w:r w:rsidRPr="007122AB">
        <w:rPr>
          <w:rFonts w:ascii="Times New Roman" w:hAnsi="Times New Roman"/>
          <w:color w:val="000000" w:themeColor="text1"/>
          <w:sz w:val="16"/>
          <w:szCs w:val="16"/>
        </w:rPr>
        <w:t>Каюсы</w:t>
      </w:r>
      <w:proofErr w:type="spellEnd"/>
      <w:r w:rsidRPr="007122AB">
        <w:rPr>
          <w:rFonts w:ascii="Times New Roman" w:hAnsi="Times New Roman"/>
          <w:color w:val="000000" w:themeColor="text1"/>
          <w:sz w:val="16"/>
          <w:szCs w:val="16"/>
        </w:rPr>
        <w:t>.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6D476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74A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Р-5 впервые приняли участие в больших маневрах на Украине. С этого же времени новые машины стали поставлять и в летные школы. Одновременно перевооружали все новые части. На 1 января 1932 г. в строю числился уже 281 самолет этого типа. Они дислоцировались в основном в Московском, Ленинградском, </w:t>
      </w:r>
      <w:r w:rsidRPr="007122AB">
        <w:rPr>
          <w:rFonts w:ascii="Times New Roman" w:hAnsi="Times New Roman"/>
          <w:color w:val="000000" w:themeColor="text1"/>
          <w:sz w:val="16"/>
          <w:szCs w:val="16"/>
        </w:rPr>
        <w:lastRenderedPageBreak/>
        <w:t xml:space="preserve">Белорусском, Украинском, Северокавказском округах и </w:t>
      </w:r>
      <w:proofErr w:type="spellStart"/>
      <w:r w:rsidRPr="007122AB">
        <w:rPr>
          <w:rFonts w:ascii="Times New Roman" w:hAnsi="Times New Roman"/>
          <w:color w:val="000000" w:themeColor="text1"/>
          <w:sz w:val="16"/>
          <w:szCs w:val="16"/>
        </w:rPr>
        <w:t>вОКДВА</w:t>
      </w:r>
      <w:proofErr w:type="spellEnd"/>
      <w:r w:rsidRPr="007122AB">
        <w:rPr>
          <w:rFonts w:ascii="Times New Roman" w:hAnsi="Times New Roman"/>
          <w:color w:val="000000" w:themeColor="text1"/>
          <w:sz w:val="16"/>
          <w:szCs w:val="16"/>
        </w:rPr>
        <w:t>. В январе 1932 г. первый Р-5 получили морские летчики из Воздушных сил Балтийского моря (12034).</w:t>
      </w:r>
    </w:p>
    <w:p w14:paraId="00F24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5A77DC"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BB527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FB10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к началу уборки на Сибсельмаше был выпущен первый комбайн.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 В начале 1930-х гг. в стране было построено три завода по производству комбайнов общей мощностью 40-60 тыс. машин в год. В то время их выпуск обеспечивал потребности всего сельского хозяйства (9684).</w:t>
      </w:r>
    </w:p>
    <w:p w14:paraId="24FAC2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82981F"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в опытной мастерской строящегося цеха комбайнов Ростсельмаша завершилась сборка двух комбайнов более совершенной конструкции, которые получили название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–1» (21168).</w:t>
      </w:r>
    </w:p>
    <w:p w14:paraId="1612D500" w14:textId="77777777" w:rsidR="00665803" w:rsidRPr="007122AB" w:rsidRDefault="00665803" w:rsidP="007122AB">
      <w:pPr>
        <w:spacing w:after="0" w:line="240" w:lineRule="auto"/>
        <w:jc w:val="both"/>
        <w:rPr>
          <w:rFonts w:ascii="Times New Roman" w:hAnsi="Times New Roman"/>
          <w:color w:val="000000" w:themeColor="text1"/>
          <w:sz w:val="16"/>
          <w:szCs w:val="16"/>
        </w:rPr>
      </w:pPr>
    </w:p>
    <w:p w14:paraId="4304047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C2BEE8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6B3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Монголия получила первые три Р-5 как подарок от советского правительства. Окрашены они были по нашему стандарту, позднее на хвостовом оперении нанесли национальную эмблему "</w:t>
      </w:r>
      <w:proofErr w:type="spellStart"/>
      <w:r w:rsidRPr="007122AB">
        <w:rPr>
          <w:rFonts w:ascii="Times New Roman" w:hAnsi="Times New Roman"/>
          <w:color w:val="000000" w:themeColor="text1"/>
          <w:sz w:val="16"/>
          <w:szCs w:val="16"/>
        </w:rPr>
        <w:t>соембо</w:t>
      </w:r>
      <w:proofErr w:type="spellEnd"/>
      <w:r w:rsidRPr="007122AB">
        <w:rPr>
          <w:rFonts w:ascii="Times New Roman" w:hAnsi="Times New Roman"/>
          <w:color w:val="000000" w:themeColor="text1"/>
          <w:sz w:val="16"/>
          <w:szCs w:val="16"/>
        </w:rPr>
        <w:t>" красного цвета. Вместе с самолетами прибыли советские летчики. Считаясь военными советниками, первые годы только они пилотировали боевые машины, а монголы учились. Р-5 вошли в состав единственного тогда монгольского авиаотряда "Сухэ- Батор". Позже из СССР доставили еще несколько машин этого типа.</w:t>
      </w:r>
    </w:p>
    <w:p w14:paraId="07FE6A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Монгольская авиация прошла боевое крещение в августе-сентябре 1934 г. при подавлении мятежа в провинции </w:t>
      </w:r>
      <w:proofErr w:type="spellStart"/>
      <w:r w:rsidRPr="007122AB">
        <w:rPr>
          <w:rFonts w:ascii="Times New Roman" w:hAnsi="Times New Roman"/>
          <w:color w:val="000000" w:themeColor="text1"/>
          <w:sz w:val="16"/>
          <w:szCs w:val="16"/>
        </w:rPr>
        <w:t>Ховд</w:t>
      </w:r>
      <w:proofErr w:type="spellEnd"/>
      <w:r w:rsidRPr="007122AB">
        <w:rPr>
          <w:rFonts w:ascii="Times New Roman" w:hAnsi="Times New Roman"/>
          <w:color w:val="000000" w:themeColor="text1"/>
          <w:sz w:val="16"/>
          <w:szCs w:val="16"/>
        </w:rPr>
        <w:t>. С воздуха войска поддерживала пятерка Р-5. Группой, в которую входили 3 советских и 2 монгольских летчика, командовал будущий маршал авиации В.А. Судец.</w:t>
      </w:r>
    </w:p>
    <w:p w14:paraId="464E5C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ряда столкновений на границе Монголии и Маньчжоу-Го в январе 1936 г. эскадрилью монгольских Р-5 и У-2 перебросили в </w:t>
      </w:r>
      <w:proofErr w:type="spellStart"/>
      <w:r w:rsidRPr="007122AB">
        <w:rPr>
          <w:rFonts w:ascii="Times New Roman" w:hAnsi="Times New Roman"/>
          <w:color w:val="000000" w:themeColor="text1"/>
          <w:sz w:val="16"/>
          <w:szCs w:val="16"/>
        </w:rPr>
        <w:t>Тамцак</w:t>
      </w:r>
      <w:proofErr w:type="spellEnd"/>
      <w:r w:rsidRPr="007122AB">
        <w:rPr>
          <w:rFonts w:ascii="Times New Roman" w:hAnsi="Times New Roman"/>
          <w:color w:val="000000" w:themeColor="text1"/>
          <w:sz w:val="16"/>
          <w:szCs w:val="16"/>
        </w:rPr>
        <w:t>-Булак.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474B7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февраля около 600 японцев при поддержке двух самолетов-разведчиков перешли границу в районе </w:t>
      </w:r>
      <w:proofErr w:type="spellStart"/>
      <w:r w:rsidRPr="007122AB">
        <w:rPr>
          <w:rFonts w:ascii="Times New Roman" w:hAnsi="Times New Roman"/>
          <w:color w:val="000000" w:themeColor="text1"/>
          <w:sz w:val="16"/>
          <w:szCs w:val="16"/>
        </w:rPr>
        <w:t>Булан-Дерс</w:t>
      </w:r>
      <w:proofErr w:type="spellEnd"/>
      <w:r w:rsidRPr="007122AB">
        <w:rPr>
          <w:rFonts w:ascii="Times New Roman" w:hAnsi="Times New Roman"/>
          <w:color w:val="000000" w:themeColor="text1"/>
          <w:sz w:val="16"/>
          <w:szCs w:val="16"/>
        </w:rPr>
        <w:t>. Навстречу выдвинулись монгольские пограничники и поднялись Р-5. До 12 февраля противник теснил монголов, затем японцы стали отходить.</w:t>
      </w:r>
    </w:p>
    <w:p w14:paraId="34306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w:t>
      </w:r>
      <w:proofErr w:type="spellStart"/>
      <w:r w:rsidRPr="007122AB">
        <w:rPr>
          <w:rFonts w:ascii="Times New Roman" w:hAnsi="Times New Roman"/>
          <w:color w:val="000000" w:themeColor="text1"/>
          <w:sz w:val="16"/>
          <w:szCs w:val="16"/>
        </w:rPr>
        <w:t>Монголрыба</w:t>
      </w:r>
      <w:proofErr w:type="spellEnd"/>
      <w:r w:rsidRPr="007122AB">
        <w:rPr>
          <w:rFonts w:ascii="Times New Roman" w:hAnsi="Times New Roman"/>
          <w:color w:val="000000" w:themeColor="text1"/>
          <w:sz w:val="16"/>
          <w:szCs w:val="16"/>
        </w:rPr>
        <w:t xml:space="preserve">" у оз. </w:t>
      </w:r>
      <w:proofErr w:type="spellStart"/>
      <w:r w:rsidRPr="007122AB">
        <w:rPr>
          <w:rFonts w:ascii="Times New Roman" w:hAnsi="Times New Roman"/>
          <w:color w:val="000000" w:themeColor="text1"/>
          <w:sz w:val="16"/>
          <w:szCs w:val="16"/>
        </w:rPr>
        <w:t>Буир</w:t>
      </w:r>
      <w:proofErr w:type="spellEnd"/>
      <w:r w:rsidRPr="007122AB">
        <w:rPr>
          <w:rFonts w:ascii="Times New Roman" w:hAnsi="Times New Roman"/>
          <w:color w:val="000000" w:themeColor="text1"/>
          <w:sz w:val="16"/>
          <w:szCs w:val="16"/>
        </w:rPr>
        <w:t>-Нур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4128E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марта отличился монгольский авиаотряд л-та </w:t>
      </w:r>
      <w:proofErr w:type="spellStart"/>
      <w:r w:rsidRPr="007122AB">
        <w:rPr>
          <w:rFonts w:ascii="Times New Roman" w:hAnsi="Times New Roman"/>
          <w:color w:val="000000" w:themeColor="text1"/>
          <w:sz w:val="16"/>
          <w:szCs w:val="16"/>
        </w:rPr>
        <w:t>Шагдасурэна</w:t>
      </w:r>
      <w:proofErr w:type="spellEnd"/>
      <w:r w:rsidRPr="007122AB">
        <w:rPr>
          <w:rFonts w:ascii="Times New Roman" w:hAnsi="Times New Roman"/>
          <w:color w:val="000000" w:themeColor="text1"/>
          <w:sz w:val="16"/>
          <w:szCs w:val="16"/>
        </w:rPr>
        <w:t xml:space="preserve">. Пилот </w:t>
      </w:r>
      <w:proofErr w:type="spellStart"/>
      <w:r w:rsidRPr="007122AB">
        <w:rPr>
          <w:rFonts w:ascii="Times New Roman" w:hAnsi="Times New Roman"/>
          <w:color w:val="000000" w:themeColor="text1"/>
          <w:sz w:val="16"/>
          <w:szCs w:val="16"/>
        </w:rPr>
        <w:t>Демберэл</w:t>
      </w:r>
      <w:proofErr w:type="spellEnd"/>
      <w:r w:rsidRPr="007122AB">
        <w:rPr>
          <w:rFonts w:ascii="Times New Roman" w:hAnsi="Times New Roman"/>
          <w:color w:val="000000" w:themeColor="text1"/>
          <w:sz w:val="16"/>
          <w:szCs w:val="16"/>
        </w:rPr>
        <w:t xml:space="preserve"> и стрелок </w:t>
      </w:r>
      <w:proofErr w:type="spellStart"/>
      <w:r w:rsidRPr="007122AB">
        <w:rPr>
          <w:rFonts w:ascii="Times New Roman" w:hAnsi="Times New Roman"/>
          <w:color w:val="000000" w:themeColor="text1"/>
          <w:sz w:val="16"/>
          <w:szCs w:val="16"/>
        </w:rPr>
        <w:t>Дорж</w:t>
      </w:r>
      <w:proofErr w:type="spellEnd"/>
      <w:r w:rsidRPr="007122AB">
        <w:rPr>
          <w:rFonts w:ascii="Times New Roman" w:hAnsi="Times New Roman"/>
          <w:color w:val="000000" w:themeColor="text1"/>
          <w:sz w:val="16"/>
          <w:szCs w:val="16"/>
        </w:rPr>
        <w:t xml:space="preserve"> уничтожили грузовик с 28 солдатами. Монголы утверждают, что в тот день </w:t>
      </w:r>
      <w:proofErr w:type="spellStart"/>
      <w:r w:rsidRPr="007122AB">
        <w:rPr>
          <w:rFonts w:ascii="Times New Roman" w:hAnsi="Times New Roman"/>
          <w:color w:val="000000" w:themeColor="text1"/>
          <w:sz w:val="16"/>
          <w:szCs w:val="16"/>
        </w:rPr>
        <w:t>Демберэл</w:t>
      </w:r>
      <w:proofErr w:type="spellEnd"/>
      <w:r w:rsidRPr="007122AB">
        <w:rPr>
          <w:rFonts w:ascii="Times New Roman" w:hAnsi="Times New Roman"/>
          <w:color w:val="000000" w:themeColor="text1"/>
          <w:sz w:val="16"/>
          <w:szCs w:val="16"/>
        </w:rPr>
        <w:t xml:space="preserve">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w:t>
      </w:r>
      <w:proofErr w:type="spellStart"/>
      <w:r w:rsidRPr="007122AB">
        <w:rPr>
          <w:rFonts w:ascii="Times New Roman" w:hAnsi="Times New Roman"/>
          <w:color w:val="000000" w:themeColor="text1"/>
          <w:sz w:val="16"/>
          <w:szCs w:val="16"/>
        </w:rPr>
        <w:t>Таурану</w:t>
      </w:r>
      <w:proofErr w:type="spellEnd"/>
      <w:r w:rsidRPr="007122AB">
        <w:rPr>
          <w:rFonts w:ascii="Times New Roman" w:hAnsi="Times New Roman"/>
          <w:color w:val="000000" w:themeColor="text1"/>
          <w:sz w:val="16"/>
          <w:szCs w:val="16"/>
        </w:rPr>
        <w:t xml:space="preserve">. В тот же день противник отступил к границе. Японцы определяли потери со- </w:t>
      </w:r>
      <w:proofErr w:type="spellStart"/>
      <w:r w:rsidRPr="007122AB">
        <w:rPr>
          <w:rFonts w:ascii="Times New Roman" w:hAnsi="Times New Roman"/>
          <w:color w:val="000000" w:themeColor="text1"/>
          <w:sz w:val="16"/>
          <w:szCs w:val="16"/>
        </w:rPr>
        <w:t>ветско</w:t>
      </w:r>
      <w:proofErr w:type="spellEnd"/>
      <w:r w:rsidRPr="007122AB">
        <w:rPr>
          <w:rFonts w:ascii="Times New Roman" w:hAnsi="Times New Roman"/>
          <w:color w:val="000000" w:themeColor="text1"/>
          <w:sz w:val="16"/>
          <w:szCs w:val="16"/>
        </w:rPr>
        <w:t>-монгольской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59751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w:t>
      </w:r>
      <w:proofErr w:type="spellStart"/>
      <w:r w:rsidRPr="007122AB">
        <w:rPr>
          <w:rFonts w:ascii="Times New Roman" w:hAnsi="Times New Roman"/>
          <w:color w:val="000000" w:themeColor="text1"/>
          <w:sz w:val="16"/>
          <w:szCs w:val="16"/>
        </w:rPr>
        <w:t>кавдивизии</w:t>
      </w:r>
      <w:proofErr w:type="spellEnd"/>
      <w:r w:rsidRPr="007122AB">
        <w:rPr>
          <w:rFonts w:ascii="Times New Roman" w:hAnsi="Times New Roman"/>
          <w:color w:val="000000" w:themeColor="text1"/>
          <w:sz w:val="16"/>
          <w:szCs w:val="16"/>
        </w:rPr>
        <w:t>, и сбили его. Это был первый самолет, уничтоженный на Халхин- Голе.</w:t>
      </w:r>
    </w:p>
    <w:p w14:paraId="7C44C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w:t>
      </w:r>
      <w:proofErr w:type="spellStart"/>
      <w:r w:rsidRPr="007122AB">
        <w:rPr>
          <w:rFonts w:ascii="Times New Roman" w:hAnsi="Times New Roman"/>
          <w:color w:val="000000" w:themeColor="text1"/>
          <w:sz w:val="16"/>
          <w:szCs w:val="16"/>
        </w:rPr>
        <w:t>Матад</w:t>
      </w:r>
      <w:proofErr w:type="spellEnd"/>
      <w:r w:rsidRPr="007122AB">
        <w:rPr>
          <w:rFonts w:ascii="Times New Roman" w:hAnsi="Times New Roman"/>
          <w:color w:val="000000" w:themeColor="text1"/>
          <w:sz w:val="16"/>
          <w:szCs w:val="16"/>
        </w:rPr>
        <w:t xml:space="preserve"> 13 июля тремя самолетами, а ведущий Р-5 пилотировал советский летчик </w:t>
      </w:r>
      <w:proofErr w:type="spellStart"/>
      <w:r w:rsidRPr="007122AB">
        <w:rPr>
          <w:rFonts w:ascii="Times New Roman" w:hAnsi="Times New Roman"/>
          <w:color w:val="000000" w:themeColor="text1"/>
          <w:sz w:val="16"/>
          <w:szCs w:val="16"/>
        </w:rPr>
        <w:t>Зайсанов</w:t>
      </w:r>
      <w:proofErr w:type="spellEnd"/>
      <w:r w:rsidRPr="007122AB">
        <w:rPr>
          <w:rFonts w:ascii="Times New Roman" w:hAnsi="Times New Roman"/>
          <w:color w:val="000000" w:themeColor="text1"/>
          <w:sz w:val="16"/>
          <w:szCs w:val="16"/>
        </w:rPr>
        <w:t xml:space="preserve">. Далее ночные налеты на позиции японцев стали выполнять регулярно. До окончания боев в сентябре ночники совершили 158-165 вылетов, </w:t>
      </w:r>
      <w:proofErr w:type="spellStart"/>
      <w:r w:rsidRPr="007122AB">
        <w:rPr>
          <w:rFonts w:ascii="Times New Roman" w:hAnsi="Times New Roman"/>
          <w:color w:val="000000" w:themeColor="text1"/>
          <w:sz w:val="16"/>
          <w:szCs w:val="16"/>
        </w:rPr>
        <w:t>сбро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сио</w:t>
      </w:r>
      <w:proofErr w:type="spellEnd"/>
      <w:r w:rsidRPr="007122AB">
        <w:rPr>
          <w:rFonts w:ascii="Times New Roman" w:hAnsi="Times New Roman"/>
          <w:color w:val="000000" w:themeColor="text1"/>
          <w:sz w:val="16"/>
          <w:szCs w:val="16"/>
        </w:rPr>
        <w:t xml:space="preserve"> около 60 т бомб. Один Р-5 не вернулся с боевого задания - разбился в плохую погоду, экипаж погиб (11936).</w:t>
      </w:r>
    </w:p>
    <w:p w14:paraId="74E53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1D0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Монголия получила три первых Р-5 как подарок от советского правительства. Им отдали новенькие машины одной из первых серий, с пулеметами "Льюис". Окрашены они были по нашему стандарту, позднее на хвостовом оперении несли национальную эмблему "</w:t>
      </w:r>
      <w:proofErr w:type="spellStart"/>
      <w:r w:rsidRPr="007122AB">
        <w:rPr>
          <w:rFonts w:ascii="Times New Roman" w:hAnsi="Times New Roman"/>
          <w:color w:val="000000" w:themeColor="text1"/>
          <w:sz w:val="16"/>
          <w:szCs w:val="16"/>
        </w:rPr>
        <w:t>соем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бо</w:t>
      </w:r>
      <w:proofErr w:type="spellEnd"/>
      <w:r w:rsidRPr="007122AB">
        <w:rPr>
          <w:rFonts w:ascii="Times New Roman" w:hAnsi="Times New Roman"/>
          <w:color w:val="000000" w:themeColor="text1"/>
          <w:sz w:val="16"/>
          <w:szCs w:val="16"/>
        </w:rPr>
        <w:t>" красного цвета. Вместе с самолетами прибыли советские летчики. Считаясь военными советниками, первые годы только они пилотировали боевые машины, а монголы учились. Р-5 вошли в состав единственного тогда монгольского авиаотряда "Сухэ-Батор", насчитывавшего семь машин. Летали они поначалу мало, поскольку в Монголии не имелось нужного для их моторов бензола (12034).</w:t>
      </w:r>
    </w:p>
    <w:p w14:paraId="0A150F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1C0A6E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Первые Р-5. поступили как подарок от советского правительства в Монголию. Окрашены они были по советскому стандарту, позднее на хвостовом оперении нанесли национальную эмблему «</w:t>
      </w:r>
      <w:proofErr w:type="spellStart"/>
      <w:r w:rsidRPr="00441F34">
        <w:rPr>
          <w:rFonts w:ascii="Times New Roman" w:hAnsi="Times New Roman"/>
          <w:color w:val="0070C0"/>
          <w:sz w:val="16"/>
          <w:szCs w:val="16"/>
        </w:rPr>
        <w:t>соембо</w:t>
      </w:r>
      <w:proofErr w:type="spellEnd"/>
      <w:r w:rsidRPr="00441F34">
        <w:rPr>
          <w:rFonts w:ascii="Times New Roman" w:hAnsi="Times New Roman"/>
          <w:color w:val="0070C0"/>
          <w:sz w:val="16"/>
          <w:szCs w:val="16"/>
        </w:rPr>
        <w:t>» красного цвета (24334).</w:t>
      </w:r>
    </w:p>
    <w:p w14:paraId="56CF8DEF" w14:textId="77777777" w:rsidR="000B7ADA" w:rsidRPr="00441F34" w:rsidRDefault="000B7ADA" w:rsidP="000B7ADA">
      <w:pPr>
        <w:spacing w:after="0" w:line="240" w:lineRule="auto"/>
        <w:jc w:val="both"/>
        <w:rPr>
          <w:rFonts w:ascii="Times New Roman" w:hAnsi="Times New Roman"/>
          <w:color w:val="0070C0"/>
          <w:sz w:val="16"/>
          <w:szCs w:val="16"/>
        </w:rPr>
      </w:pPr>
    </w:p>
    <w:p w14:paraId="4A94E165" w14:textId="77777777" w:rsidR="00665803" w:rsidRPr="007122AB" w:rsidRDefault="0066580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 Р.Л. Самойлович пригласил Нобиле принять участие в плавании ледокола «Малыгин» под руководством профессора Визе в район Земли Франца-Иосифа. Нобиле согласился без колебаний, т.к. надеялся, что, достигнув о. Земля Александры, удастся пролить свет на судьбу его шестерых товарищей, унесенных дирижаблем «Италия». Однако неблагоприятные метеорологические условия не позволили организовать поиски. Несмотря на разочарование, это путешествие благотворно повлияло на немолодого уже Нобиле (ему тогда было 46 лет). После возвращения в Москву Нобиле также осмотрел место, выбранное для сооружения мастерских и комплекса эллингов, которое было расположено в 28 км от Москвы и называлось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Нобиле, однако, считал выбор места неудачным по причине отсутствия как хороших дорог, ведущих к этому месту, так и вообще какой-либо инфраструктуры. Однако к 1936 г., к моменту отъезда Нобиле из СССР, там уже были мастерские, лаборатории, эллинги и крупный поселок с населением в несколько тысяч человек (21410).</w:t>
      </w:r>
    </w:p>
    <w:p w14:paraId="4C97C42B" w14:textId="77777777" w:rsidR="00665803" w:rsidRPr="007122AB" w:rsidRDefault="00665803" w:rsidP="007122AB">
      <w:pPr>
        <w:spacing w:after="0" w:line="240" w:lineRule="auto"/>
        <w:jc w:val="both"/>
        <w:rPr>
          <w:rFonts w:ascii="Times New Roman" w:hAnsi="Times New Roman"/>
          <w:color w:val="000000" w:themeColor="text1"/>
          <w:sz w:val="16"/>
          <w:szCs w:val="16"/>
        </w:rPr>
      </w:pPr>
    </w:p>
    <w:p w14:paraId="650033C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3CF65C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6D36E8" w14:textId="77777777" w:rsidR="002C0192" w:rsidRPr="007122AB" w:rsidRDefault="002C01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года был построен второй экземпляр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-G 38 фирмы «Юнкере» (</w:t>
      </w:r>
      <w:proofErr w:type="spellStart"/>
      <w:r w:rsidRPr="007122AB">
        <w:rPr>
          <w:rFonts w:ascii="Times New Roman" w:hAnsi="Times New Roman"/>
          <w:color w:val="000000" w:themeColor="text1"/>
          <w:sz w:val="16"/>
          <w:szCs w:val="16"/>
        </w:rPr>
        <w:t>Junkers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Flugzeugwerkc</w:t>
      </w:r>
      <w:proofErr w:type="spellEnd"/>
      <w:r w:rsidRPr="007122AB">
        <w:rPr>
          <w:rFonts w:ascii="Times New Roman" w:hAnsi="Times New Roman"/>
          <w:color w:val="000000" w:themeColor="text1"/>
          <w:sz w:val="16"/>
          <w:szCs w:val="16"/>
        </w:rPr>
        <w:t xml:space="preserve"> A.G.), названный в честь правившего канцлера, имевшего большой авторитет в Германии и в мире в целом «Гинденбург» (</w:t>
      </w:r>
      <w:proofErr w:type="spellStart"/>
      <w:r w:rsidRPr="007122AB">
        <w:rPr>
          <w:rFonts w:ascii="Times New Roman" w:hAnsi="Times New Roman"/>
          <w:color w:val="000000" w:themeColor="text1"/>
          <w:sz w:val="16"/>
          <w:szCs w:val="16"/>
        </w:rPr>
        <w:t>Hindenburg</w:t>
      </w:r>
      <w:proofErr w:type="spellEnd"/>
      <w:r w:rsidRPr="007122AB">
        <w:rPr>
          <w:rFonts w:ascii="Times New Roman" w:hAnsi="Times New Roman"/>
          <w:color w:val="000000" w:themeColor="text1"/>
          <w:sz w:val="16"/>
          <w:szCs w:val="16"/>
        </w:rPr>
        <w:t>). Он имел однородную сило</w:t>
      </w:r>
      <w:r w:rsidRPr="007122AB">
        <w:rPr>
          <w:rFonts w:ascii="Times New Roman" w:hAnsi="Times New Roman"/>
          <w:color w:val="000000" w:themeColor="text1"/>
          <w:sz w:val="16"/>
          <w:szCs w:val="16"/>
        </w:rPr>
        <w:softHyphen/>
        <w:t xml:space="preserve">вую установку из четырех 750-сильных </w:t>
      </w:r>
      <w:proofErr w:type="spellStart"/>
      <w:r w:rsidRPr="007122AB">
        <w:rPr>
          <w:rFonts w:ascii="Times New Roman" w:hAnsi="Times New Roman"/>
          <w:color w:val="000000" w:themeColor="text1"/>
          <w:sz w:val="16"/>
          <w:szCs w:val="16"/>
        </w:rPr>
        <w:t>Jumo</w:t>
      </w:r>
      <w:proofErr w:type="spellEnd"/>
      <w:r w:rsidRPr="007122AB">
        <w:rPr>
          <w:rFonts w:ascii="Times New Roman" w:hAnsi="Times New Roman"/>
          <w:color w:val="000000" w:themeColor="text1"/>
          <w:sz w:val="16"/>
          <w:szCs w:val="16"/>
        </w:rPr>
        <w:t xml:space="preserve"> 204 той же схемы, что и L 8. В 1934 году эти моторы поставили и на первый самолет. В том же году оба G 38 были переданы в авиакомпанию «Люфтган</w:t>
      </w:r>
      <w:r w:rsidRPr="007122AB">
        <w:rPr>
          <w:rFonts w:ascii="Times New Roman" w:hAnsi="Times New Roman"/>
          <w:color w:val="000000" w:themeColor="text1"/>
          <w:sz w:val="16"/>
          <w:szCs w:val="16"/>
        </w:rPr>
        <w:softHyphen/>
        <w:t>за». но на регулярных линиях они почти полетали, совершая агитационные полеты. В них принимали участие как экипажи компании, так и за</w:t>
      </w:r>
      <w:r w:rsidRPr="007122AB">
        <w:rPr>
          <w:rFonts w:ascii="Times New Roman" w:hAnsi="Times New Roman"/>
          <w:color w:val="000000" w:themeColor="text1"/>
          <w:sz w:val="16"/>
          <w:szCs w:val="16"/>
        </w:rPr>
        <w:softHyphen/>
        <w:t>секреченные до поры офицеры военной авиации. Самолет G 38 был сложным в пилотировании и обслуживании, много стоял в ремонте, но ему придавалось большое значение — он рассматривался как учеб</w:t>
      </w:r>
      <w:r w:rsidRPr="007122AB">
        <w:rPr>
          <w:rFonts w:ascii="Times New Roman" w:hAnsi="Times New Roman"/>
          <w:color w:val="000000" w:themeColor="text1"/>
          <w:sz w:val="16"/>
          <w:szCs w:val="16"/>
        </w:rPr>
        <w:softHyphen/>
        <w:t>ный для подготовки коман</w:t>
      </w:r>
      <w:r w:rsidRPr="007122AB">
        <w:rPr>
          <w:rFonts w:ascii="Times New Roman" w:hAnsi="Times New Roman"/>
          <w:color w:val="000000" w:themeColor="text1"/>
          <w:sz w:val="16"/>
          <w:szCs w:val="16"/>
        </w:rPr>
        <w:softHyphen/>
        <w:t xml:space="preserve">диров эскадрилий, </w:t>
      </w:r>
      <w:proofErr w:type="spellStart"/>
      <w:r w:rsidRPr="007122AB">
        <w:rPr>
          <w:rFonts w:ascii="Times New Roman" w:hAnsi="Times New Roman"/>
          <w:color w:val="000000" w:themeColor="text1"/>
          <w:sz w:val="16"/>
          <w:szCs w:val="16"/>
        </w:rPr>
        <w:t>ipynn</w:t>
      </w:r>
      <w:proofErr w:type="spellEnd"/>
      <w:r w:rsidRPr="007122AB">
        <w:rPr>
          <w:rFonts w:ascii="Times New Roman" w:hAnsi="Times New Roman"/>
          <w:color w:val="000000" w:themeColor="text1"/>
          <w:sz w:val="16"/>
          <w:szCs w:val="16"/>
        </w:rPr>
        <w:t xml:space="preserve"> и эскадр тяжелых многомо</w:t>
      </w:r>
      <w:r w:rsidRPr="007122AB">
        <w:rPr>
          <w:rFonts w:ascii="Times New Roman" w:hAnsi="Times New Roman"/>
          <w:color w:val="000000" w:themeColor="text1"/>
          <w:sz w:val="16"/>
          <w:szCs w:val="16"/>
        </w:rPr>
        <w:softHyphen/>
        <w:t>торных бомбардировщиков, которые планировалось построить.</w:t>
      </w:r>
    </w:p>
    <w:p w14:paraId="30E01B7E" w14:textId="77777777" w:rsidR="002C0192" w:rsidRPr="007122AB" w:rsidRDefault="002C0192"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1936 году первый са</w:t>
      </w:r>
      <w:r w:rsidRPr="007122AB">
        <w:rPr>
          <w:rFonts w:ascii="Times New Roman" w:hAnsi="Times New Roman"/>
          <w:color w:val="000000" w:themeColor="text1"/>
          <w:sz w:val="16"/>
          <w:szCs w:val="16"/>
          <w:lang w:eastAsia="ru-RU" w:bidi="ru-RU"/>
        </w:rPr>
        <w:softHyphen/>
        <w:t>молет погиб в катастрофе, второй же дожил до начала II мировой войны, служил в Люфтваффе в качестве транспортного, пока не попал под бомбы британс</w:t>
      </w:r>
      <w:r w:rsidRPr="007122AB">
        <w:rPr>
          <w:rFonts w:ascii="Times New Roman" w:hAnsi="Times New Roman"/>
          <w:color w:val="000000" w:themeColor="text1"/>
          <w:sz w:val="16"/>
          <w:szCs w:val="16"/>
          <w:lang w:eastAsia="ru-RU" w:bidi="ru-RU"/>
        </w:rPr>
        <w:softHyphen/>
        <w:t>кой авиации на аэродроме в Норвегии.</w:t>
      </w:r>
    </w:p>
    <w:p w14:paraId="208B6B42" w14:textId="77777777" w:rsidR="002C0192" w:rsidRPr="007122AB" w:rsidRDefault="002C01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По заказу Японии был спроектирован военный вариант </w:t>
      </w:r>
      <w:r w:rsidRPr="007122AB">
        <w:rPr>
          <w:rFonts w:ascii="Times New Roman" w:hAnsi="Times New Roman"/>
          <w:color w:val="000000" w:themeColor="text1"/>
          <w:sz w:val="16"/>
          <w:szCs w:val="16"/>
          <w:lang w:val="en-US" w:bidi="en-US"/>
        </w:rPr>
        <w:t>G</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 xml:space="preserve">38 — </w:t>
      </w:r>
      <w:r w:rsidRPr="007122AB">
        <w:rPr>
          <w:rFonts w:ascii="Times New Roman" w:hAnsi="Times New Roman"/>
          <w:color w:val="000000" w:themeColor="text1"/>
          <w:sz w:val="16"/>
          <w:szCs w:val="16"/>
          <w:lang w:val="en-US" w:bidi="en-US"/>
        </w:rPr>
        <w:t>Ju</w:t>
      </w:r>
      <w:r w:rsidRPr="007122AB">
        <w:rPr>
          <w:rFonts w:ascii="Times New Roman" w:hAnsi="Times New Roman"/>
          <w:color w:val="000000" w:themeColor="text1"/>
          <w:sz w:val="16"/>
          <w:szCs w:val="16"/>
          <w:lang w:bidi="en-US"/>
        </w:rPr>
        <w:t>-</w:t>
      </w:r>
      <w:r w:rsidRPr="007122AB">
        <w:rPr>
          <w:rFonts w:ascii="Times New Roman" w:hAnsi="Times New Roman"/>
          <w:color w:val="000000" w:themeColor="text1"/>
          <w:sz w:val="16"/>
          <w:szCs w:val="16"/>
          <w:lang w:val="en-US" w:bidi="en-US"/>
        </w:rPr>
        <w:t>K</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 xml:space="preserve">51. Два опытных самолета фирма «Мицубиси» </w:t>
      </w:r>
      <w:r w:rsidRPr="007122AB">
        <w:rPr>
          <w:rFonts w:ascii="Times New Roman" w:hAnsi="Times New Roman"/>
          <w:color w:val="000000" w:themeColor="text1"/>
          <w:sz w:val="16"/>
          <w:szCs w:val="16"/>
          <w:lang w:bidi="en-US"/>
        </w:rPr>
        <w:t>(</w:t>
      </w:r>
      <w:r w:rsidRPr="007122AB">
        <w:rPr>
          <w:rFonts w:ascii="Times New Roman" w:hAnsi="Times New Roman"/>
          <w:color w:val="000000" w:themeColor="text1"/>
          <w:sz w:val="16"/>
          <w:szCs w:val="16"/>
          <w:lang w:val="en-US" w:bidi="en-US"/>
        </w:rPr>
        <w:t>Mitsubishi</w:t>
      </w:r>
      <w:r w:rsidRPr="007122AB">
        <w:rPr>
          <w:rFonts w:ascii="Times New Roman" w:hAnsi="Times New Roman"/>
          <w:color w:val="000000" w:themeColor="text1"/>
          <w:sz w:val="16"/>
          <w:szCs w:val="16"/>
          <w:lang w:bidi="en-US"/>
        </w:rPr>
        <w:t xml:space="preserve"> </w:t>
      </w:r>
      <w:proofErr w:type="spellStart"/>
      <w:r w:rsidRPr="007122AB">
        <w:rPr>
          <w:rFonts w:ascii="Times New Roman" w:hAnsi="Times New Roman"/>
          <w:color w:val="000000" w:themeColor="text1"/>
          <w:sz w:val="16"/>
          <w:szCs w:val="16"/>
          <w:lang w:val="en-US" w:bidi="en-US"/>
        </w:rPr>
        <w:t>Jukogyo</w:t>
      </w:r>
      <w:proofErr w:type="spellEnd"/>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val="en-US" w:bidi="en-US"/>
        </w:rPr>
        <w:t>Kabushiki</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val="en-US" w:bidi="en-US"/>
        </w:rPr>
        <w:t>Kaisha</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построила из немец</w:t>
      </w:r>
      <w:r w:rsidRPr="007122AB">
        <w:rPr>
          <w:rFonts w:ascii="Times New Roman" w:hAnsi="Times New Roman"/>
          <w:color w:val="000000" w:themeColor="text1"/>
          <w:sz w:val="16"/>
          <w:szCs w:val="16"/>
          <w:lang w:eastAsia="ru-RU" w:bidi="ru-RU"/>
        </w:rPr>
        <w:softHyphen/>
        <w:t>ких деталей, и в 1932 году они были облетаны специально приглашенными из Германии экипажами. В 1933-1935 годах выпустили 4 серийных бомбар</w:t>
      </w:r>
      <w:r w:rsidRPr="007122AB">
        <w:rPr>
          <w:rFonts w:ascii="Times New Roman" w:hAnsi="Times New Roman"/>
          <w:color w:val="000000" w:themeColor="text1"/>
          <w:sz w:val="16"/>
          <w:szCs w:val="16"/>
          <w:lang w:eastAsia="ru-RU" w:bidi="ru-RU"/>
        </w:rPr>
        <w:softHyphen/>
        <w:t xml:space="preserve">дировщика уже из японских деталей (правда, с немецкими моторами </w:t>
      </w:r>
      <w:r w:rsidRPr="007122AB">
        <w:rPr>
          <w:rFonts w:ascii="Times New Roman" w:hAnsi="Times New Roman"/>
          <w:color w:val="000000" w:themeColor="text1"/>
          <w:sz w:val="16"/>
          <w:szCs w:val="16"/>
          <w:lang w:val="en-US" w:bidi="en-US"/>
        </w:rPr>
        <w:t>L</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 xml:space="preserve">88, которые позже были заменены на </w:t>
      </w:r>
      <w:r w:rsidRPr="007122AB">
        <w:rPr>
          <w:rFonts w:ascii="Times New Roman" w:hAnsi="Times New Roman"/>
          <w:color w:val="000000" w:themeColor="text1"/>
          <w:sz w:val="16"/>
          <w:szCs w:val="16"/>
          <w:lang w:val="en-US" w:bidi="en-US"/>
        </w:rPr>
        <w:t>Jumo</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204, лишь на одном потом поставили японские двигатели Кавасаки На.9). В ВВС эти самолеты служили под на</w:t>
      </w:r>
      <w:r w:rsidRPr="007122AB">
        <w:rPr>
          <w:rFonts w:ascii="Times New Roman" w:hAnsi="Times New Roman"/>
          <w:color w:val="000000" w:themeColor="text1"/>
          <w:sz w:val="16"/>
          <w:szCs w:val="16"/>
          <w:lang w:eastAsia="ru-RU" w:bidi="ru-RU"/>
        </w:rPr>
        <w:softHyphen/>
        <w:t xml:space="preserve">именованием </w:t>
      </w:r>
      <w:r w:rsidRPr="007122AB">
        <w:rPr>
          <w:rFonts w:ascii="Times New Roman" w:hAnsi="Times New Roman"/>
          <w:color w:val="000000" w:themeColor="text1"/>
          <w:sz w:val="16"/>
          <w:szCs w:val="16"/>
          <w:lang w:val="en-US" w:bidi="en-US"/>
        </w:rPr>
        <w:t>Ki</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20 (армейский тип «92» тяжелый бомбардировщик). Само</w:t>
      </w:r>
      <w:r w:rsidRPr="007122AB">
        <w:rPr>
          <w:rFonts w:ascii="Times New Roman" w:hAnsi="Times New Roman"/>
          <w:color w:val="000000" w:themeColor="text1"/>
          <w:sz w:val="16"/>
          <w:szCs w:val="16"/>
          <w:lang w:eastAsia="ru-RU" w:bidi="ru-RU"/>
        </w:rPr>
        <w:softHyphen/>
        <w:t>лет имел неплохую дальность, и с его помощью командование Императорской Армии Японии планировало бомбарди</w:t>
      </w:r>
      <w:r w:rsidRPr="007122AB">
        <w:rPr>
          <w:rFonts w:ascii="Times New Roman" w:hAnsi="Times New Roman"/>
          <w:color w:val="000000" w:themeColor="text1"/>
          <w:sz w:val="16"/>
          <w:szCs w:val="16"/>
          <w:lang w:eastAsia="ru-RU" w:bidi="ru-RU"/>
        </w:rPr>
        <w:softHyphen/>
        <w:t xml:space="preserve">ровать удаленные цели, например, порт Манилу на Филиппинах или заводы в Сибири. Однако фактически </w:t>
      </w:r>
      <w:r w:rsidRPr="007122AB">
        <w:rPr>
          <w:rFonts w:ascii="Times New Roman" w:hAnsi="Times New Roman"/>
          <w:color w:val="000000" w:themeColor="text1"/>
          <w:sz w:val="16"/>
          <w:szCs w:val="16"/>
          <w:lang w:val="en-US" w:bidi="en-US"/>
        </w:rPr>
        <w:t>Ki</w:t>
      </w:r>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20 вы</w:t>
      </w:r>
      <w:r w:rsidRPr="007122AB">
        <w:rPr>
          <w:rFonts w:ascii="Times New Roman" w:hAnsi="Times New Roman"/>
          <w:color w:val="000000" w:themeColor="text1"/>
          <w:sz w:val="16"/>
          <w:szCs w:val="16"/>
          <w:lang w:eastAsia="ru-RU" w:bidi="ru-RU"/>
        </w:rPr>
        <w:softHyphen/>
        <w:t>полняли роль транспортников, дослу</w:t>
      </w:r>
      <w:r w:rsidRPr="007122AB">
        <w:rPr>
          <w:rFonts w:ascii="Times New Roman" w:hAnsi="Times New Roman"/>
          <w:color w:val="000000" w:themeColor="text1"/>
          <w:sz w:val="16"/>
          <w:szCs w:val="16"/>
          <w:lang w:eastAsia="ru-RU" w:bidi="ru-RU"/>
        </w:rPr>
        <w:softHyphen/>
        <w:t xml:space="preserve">жив до середины II мировой войны. Один такой самолет сейчас находится </w:t>
      </w:r>
      <w:proofErr w:type="spellStart"/>
      <w:r w:rsidRPr="007122AB">
        <w:rPr>
          <w:rFonts w:ascii="Times New Roman" w:hAnsi="Times New Roman"/>
          <w:color w:val="000000" w:themeColor="text1"/>
          <w:sz w:val="16"/>
          <w:szCs w:val="16"/>
          <w:lang w:val="en-US" w:bidi="en-US"/>
        </w:rPr>
        <w:t>fl</w:t>
      </w:r>
      <w:proofErr w:type="spellEnd"/>
      <w:r w:rsidRPr="007122AB">
        <w:rPr>
          <w:rFonts w:ascii="Times New Roman" w:hAnsi="Times New Roman"/>
          <w:color w:val="000000" w:themeColor="text1"/>
          <w:sz w:val="16"/>
          <w:szCs w:val="16"/>
          <w:lang w:bidi="en-US"/>
        </w:rPr>
        <w:t xml:space="preserve"> </w:t>
      </w:r>
      <w:r w:rsidRPr="007122AB">
        <w:rPr>
          <w:rFonts w:ascii="Times New Roman" w:hAnsi="Times New Roman"/>
          <w:color w:val="000000" w:themeColor="text1"/>
          <w:sz w:val="16"/>
          <w:szCs w:val="16"/>
          <w:lang w:eastAsia="ru-RU" w:bidi="ru-RU"/>
        </w:rPr>
        <w:t xml:space="preserve">музее ВВС Японии </w:t>
      </w:r>
      <w:r w:rsidRPr="007122AB">
        <w:rPr>
          <w:rFonts w:ascii="Times New Roman" w:hAnsi="Times New Roman"/>
          <w:color w:val="000000" w:themeColor="text1"/>
          <w:sz w:val="16"/>
          <w:szCs w:val="16"/>
        </w:rPr>
        <w:t>(22802).</w:t>
      </w:r>
    </w:p>
    <w:p w14:paraId="1F9E80D5" w14:textId="77777777" w:rsidR="002C0192" w:rsidRPr="007122AB" w:rsidRDefault="002C0192" w:rsidP="007122AB">
      <w:pPr>
        <w:spacing w:after="0" w:line="240" w:lineRule="auto"/>
        <w:jc w:val="both"/>
        <w:rPr>
          <w:rFonts w:ascii="Times New Roman" w:hAnsi="Times New Roman"/>
          <w:color w:val="000000" w:themeColor="text1"/>
          <w:sz w:val="16"/>
          <w:szCs w:val="16"/>
        </w:rPr>
      </w:pPr>
    </w:p>
    <w:p w14:paraId="0FDCE2B1"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фирма Юнкерс организовала в рекламных целях перелет прототипа Ju-52 по странам Восточной Европы (24200).</w:t>
      </w:r>
    </w:p>
    <w:p w14:paraId="27F147F1" w14:textId="77777777" w:rsidR="000B7ADA" w:rsidRPr="00441F34" w:rsidRDefault="000B7ADA" w:rsidP="000B7ADA">
      <w:pPr>
        <w:spacing w:after="0" w:line="240" w:lineRule="auto"/>
        <w:jc w:val="both"/>
        <w:rPr>
          <w:rFonts w:ascii="Times New Roman" w:hAnsi="Times New Roman"/>
          <w:color w:val="0070C0"/>
          <w:sz w:val="16"/>
          <w:szCs w:val="16"/>
        </w:rPr>
      </w:pPr>
    </w:p>
    <w:p w14:paraId="568099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Летом 1931 на самолете с треугольным крылом </w:t>
      </w:r>
      <w:proofErr w:type="spellStart"/>
      <w:r w:rsidRPr="007122AB">
        <w:rPr>
          <w:rFonts w:ascii="Times New Roman" w:hAnsi="Times New Roman"/>
          <w:color w:val="000000" w:themeColor="text1"/>
          <w:sz w:val="16"/>
          <w:szCs w:val="16"/>
        </w:rPr>
        <w:t>А.Липпиша</w:t>
      </w:r>
      <w:proofErr w:type="spellEnd"/>
      <w:r w:rsidRPr="007122AB">
        <w:rPr>
          <w:rFonts w:ascii="Times New Roman" w:hAnsi="Times New Roman"/>
          <w:color w:val="000000" w:themeColor="text1"/>
          <w:sz w:val="16"/>
          <w:szCs w:val="16"/>
        </w:rPr>
        <w:t xml:space="preserve"> была достигнута скорость 145 км/час и машина могла выполнять высший пилотаж, включая штопор. Хотели сделать двухмоторный почтовый и большой пассажирский самолеты с тандемным расположением двигателей (3973,19).</w:t>
      </w:r>
    </w:p>
    <w:p w14:paraId="1E916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B59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Летом 1931 г. француженка </w:t>
      </w:r>
      <w:proofErr w:type="spellStart"/>
      <w:r w:rsidRPr="007122AB">
        <w:rPr>
          <w:rFonts w:ascii="Times New Roman" w:hAnsi="Times New Roman"/>
          <w:color w:val="000000" w:themeColor="text1"/>
          <w:sz w:val="16"/>
          <w:szCs w:val="16"/>
        </w:rPr>
        <w:t>Бастье</w:t>
      </w:r>
      <w:proofErr w:type="spellEnd"/>
      <w:r w:rsidRPr="007122AB">
        <w:rPr>
          <w:rFonts w:ascii="Times New Roman" w:hAnsi="Times New Roman"/>
          <w:color w:val="000000" w:themeColor="text1"/>
          <w:sz w:val="16"/>
          <w:szCs w:val="16"/>
        </w:rPr>
        <w:t xml:space="preserve">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w:t>
      </w:r>
      <w:proofErr w:type="spellStart"/>
      <w:r w:rsidRPr="007122AB">
        <w:rPr>
          <w:rFonts w:ascii="Times New Roman" w:hAnsi="Times New Roman"/>
          <w:color w:val="000000" w:themeColor="text1"/>
          <w:sz w:val="16"/>
          <w:szCs w:val="16"/>
        </w:rPr>
        <w:t>Урино</w:t>
      </w:r>
      <w:proofErr w:type="spellEnd"/>
      <w:r w:rsidRPr="007122AB">
        <w:rPr>
          <w:rFonts w:ascii="Times New Roman" w:hAnsi="Times New Roman"/>
          <w:color w:val="000000" w:themeColor="text1"/>
          <w:sz w:val="16"/>
          <w:szCs w:val="16"/>
        </w:rPr>
        <w:t xml:space="preserve">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w:t>
      </w:r>
      <w:proofErr w:type="spellStart"/>
      <w:r w:rsidRPr="007122AB">
        <w:rPr>
          <w:rFonts w:ascii="Times New Roman" w:hAnsi="Times New Roman"/>
          <w:color w:val="000000" w:themeColor="text1"/>
          <w:sz w:val="16"/>
          <w:szCs w:val="16"/>
        </w:rPr>
        <w:t>Кодрон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Симун</w:t>
      </w:r>
      <w:proofErr w:type="spellEnd"/>
      <w:r w:rsidRPr="007122AB">
        <w:rPr>
          <w:rFonts w:ascii="Times New Roman" w:hAnsi="Times New Roman"/>
          <w:color w:val="000000" w:themeColor="text1"/>
          <w:sz w:val="16"/>
          <w:szCs w:val="16"/>
        </w:rPr>
        <w:t xml:space="preserve">" Мариза </w:t>
      </w:r>
      <w:proofErr w:type="spellStart"/>
      <w:r w:rsidRPr="007122AB">
        <w:rPr>
          <w:rFonts w:ascii="Times New Roman" w:hAnsi="Times New Roman"/>
          <w:color w:val="000000" w:themeColor="text1"/>
          <w:sz w:val="16"/>
          <w:szCs w:val="16"/>
        </w:rPr>
        <w:t>Бастье</w:t>
      </w:r>
      <w:proofErr w:type="spellEnd"/>
      <w:r w:rsidRPr="007122AB">
        <w:rPr>
          <w:rFonts w:ascii="Times New Roman" w:hAnsi="Times New Roman"/>
          <w:color w:val="000000" w:themeColor="text1"/>
          <w:sz w:val="16"/>
          <w:szCs w:val="16"/>
        </w:rPr>
        <w:t xml:space="preserve"> вдвоем с Сюзанной </w:t>
      </w:r>
      <w:proofErr w:type="spellStart"/>
      <w:r w:rsidRPr="007122AB">
        <w:rPr>
          <w:rFonts w:ascii="Times New Roman" w:hAnsi="Times New Roman"/>
          <w:color w:val="000000" w:themeColor="text1"/>
          <w:sz w:val="16"/>
          <w:szCs w:val="16"/>
        </w:rPr>
        <w:t>Телье</w:t>
      </w:r>
      <w:proofErr w:type="spellEnd"/>
      <w:r w:rsidRPr="007122AB">
        <w:rPr>
          <w:rFonts w:ascii="Times New Roman" w:hAnsi="Times New Roman"/>
          <w:color w:val="000000" w:themeColor="text1"/>
          <w:sz w:val="16"/>
          <w:szCs w:val="16"/>
        </w:rPr>
        <w:t xml:space="preserve"> предприняла скоростной дальний перелет с промежуточными посадками по маршруту Париж-Москва-Казань-Омск-Иркутск (11947).</w:t>
      </w:r>
    </w:p>
    <w:p w14:paraId="10087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DFF03D"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1931 года Жозеф Ле Бри (</w:t>
      </w:r>
      <w:r w:rsidRPr="007122AB">
        <w:rPr>
          <w:rFonts w:ascii="Times New Roman" w:hAnsi="Times New Roman"/>
          <w:color w:val="000000" w:themeColor="text1"/>
          <w:sz w:val="16"/>
          <w:szCs w:val="16"/>
          <w:lang w:val="en-US"/>
        </w:rPr>
        <w:t>J</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lang w:val="en-US"/>
        </w:rPr>
        <w:t>LeBrix</w:t>
      </w:r>
      <w:proofErr w:type="spellEnd"/>
      <w:r w:rsidRPr="007122AB">
        <w:rPr>
          <w:rFonts w:ascii="Times New Roman" w:hAnsi="Times New Roman"/>
          <w:color w:val="000000" w:themeColor="text1"/>
          <w:sz w:val="16"/>
          <w:szCs w:val="16"/>
        </w:rPr>
        <w:t xml:space="preserve">) и Марсель Доре (М. </w:t>
      </w:r>
      <w:proofErr w:type="spellStart"/>
      <w:r w:rsidRPr="007122AB">
        <w:rPr>
          <w:rFonts w:ascii="Times New Roman" w:hAnsi="Times New Roman"/>
          <w:color w:val="000000" w:themeColor="text1"/>
          <w:sz w:val="16"/>
          <w:szCs w:val="16"/>
          <w:lang w:val="en-US"/>
        </w:rPr>
        <w:t>Deret</w:t>
      </w:r>
      <w:proofErr w:type="spellEnd"/>
      <w:r w:rsidRPr="007122AB">
        <w:rPr>
          <w:rFonts w:ascii="Times New Roman" w:hAnsi="Times New Roman"/>
          <w:color w:val="000000" w:themeColor="text1"/>
          <w:sz w:val="16"/>
          <w:szCs w:val="16"/>
        </w:rPr>
        <w:t>) на само</w:t>
      </w:r>
      <w:r w:rsidRPr="007122AB">
        <w:rPr>
          <w:rFonts w:ascii="Times New Roman" w:hAnsi="Times New Roman"/>
          <w:color w:val="000000" w:themeColor="text1"/>
          <w:sz w:val="16"/>
          <w:szCs w:val="16"/>
        </w:rPr>
        <w:softHyphen/>
        <w:t>лете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lang w:val="en-US"/>
        </w:rPr>
        <w:t>Dewoitine</w:t>
      </w:r>
      <w:proofErr w:type="spellEnd"/>
      <w:r w:rsidRPr="007122AB">
        <w:rPr>
          <w:rFonts w:ascii="Times New Roman" w:hAnsi="Times New Roman"/>
          <w:color w:val="000000" w:themeColor="text1"/>
          <w:sz w:val="16"/>
          <w:szCs w:val="16"/>
        </w:rPr>
        <w:t xml:space="preserve">) пролетели по прямой 10 371,051 км, установи» новый мировой рекорд. Но рекордная гонка на этом не прекратилась. В надежде на успех, французы решились на смелый шаг. Полу- чин разрешение правительства Советского Союза, в июле начался перелет через всю территорию СССР на Дальний Восток на самолете </w:t>
      </w:r>
      <w:r w:rsidRPr="007122AB">
        <w:rPr>
          <w:rFonts w:ascii="Times New Roman" w:hAnsi="Times New Roman"/>
          <w:color w:val="000000" w:themeColor="text1"/>
          <w:sz w:val="16"/>
          <w:szCs w:val="16"/>
          <w:lang w:val="en-US"/>
        </w:rPr>
        <w:t>D</w:t>
      </w:r>
      <w:r w:rsidRPr="007122AB">
        <w:rPr>
          <w:rFonts w:ascii="Times New Roman" w:hAnsi="Times New Roman"/>
          <w:color w:val="000000" w:themeColor="text1"/>
          <w:sz w:val="16"/>
          <w:szCs w:val="16"/>
        </w:rPr>
        <w:t>-33 «Тред-Юнион». Риск был огромный, но, видимо, эйфория от преды</w:t>
      </w:r>
      <w:r w:rsidRPr="007122AB">
        <w:rPr>
          <w:rFonts w:ascii="Times New Roman" w:hAnsi="Times New Roman"/>
          <w:color w:val="000000" w:themeColor="text1"/>
          <w:sz w:val="16"/>
          <w:szCs w:val="16"/>
        </w:rPr>
        <w:softHyphen/>
        <w:t>дущей победы ослепила пилотов и органи</w:t>
      </w:r>
      <w:r w:rsidRPr="007122AB">
        <w:rPr>
          <w:rFonts w:ascii="Times New Roman" w:hAnsi="Times New Roman"/>
          <w:color w:val="000000" w:themeColor="text1"/>
          <w:sz w:val="16"/>
          <w:szCs w:val="16"/>
        </w:rPr>
        <w:softHyphen/>
        <w:t>заторов этой акции.</w:t>
      </w:r>
    </w:p>
    <w:p w14:paraId="60100EFA"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в Европе в случае аварии мож</w:t>
      </w:r>
      <w:r w:rsidRPr="007122AB">
        <w:rPr>
          <w:rFonts w:ascii="Times New Roman" w:hAnsi="Times New Roman"/>
          <w:color w:val="000000" w:themeColor="text1"/>
          <w:sz w:val="16"/>
          <w:szCs w:val="16"/>
        </w:rPr>
        <w:softHyphen/>
        <w:t>но было выбрать более или менее подхо</w:t>
      </w:r>
      <w:r w:rsidRPr="007122AB">
        <w:rPr>
          <w:rFonts w:ascii="Times New Roman" w:hAnsi="Times New Roman"/>
          <w:color w:val="000000" w:themeColor="text1"/>
          <w:sz w:val="16"/>
          <w:szCs w:val="16"/>
        </w:rPr>
        <w:softHyphen/>
        <w:t>дящую площадку п совершить благопо</w:t>
      </w:r>
      <w:r w:rsidRPr="007122AB">
        <w:rPr>
          <w:rFonts w:ascii="Times New Roman" w:hAnsi="Times New Roman"/>
          <w:color w:val="000000" w:themeColor="text1"/>
          <w:sz w:val="16"/>
          <w:szCs w:val="16"/>
        </w:rPr>
        <w:softHyphen/>
        <w:t>лучную посадку, то за Уралом об этом не стоило и думать. Огромные не освоенные пространства давали мало шансов уцелеть в экстремальных условиях. Но французам в первом полете повезло. В ночь с 12 на 13 июля (по сведениям из французской прес</w:t>
      </w:r>
      <w:r w:rsidRPr="007122AB">
        <w:rPr>
          <w:rFonts w:ascii="Times New Roman" w:hAnsi="Times New Roman"/>
          <w:color w:val="000000" w:themeColor="text1"/>
          <w:sz w:val="16"/>
          <w:szCs w:val="16"/>
        </w:rPr>
        <w:softHyphen/>
        <w:t>сы) на «Тред-Юнионе» отказал двигатель. Машина была разбита, но экипаж в соста</w:t>
      </w:r>
      <w:r w:rsidRPr="007122AB">
        <w:rPr>
          <w:rFonts w:ascii="Times New Roman" w:hAnsi="Times New Roman"/>
          <w:color w:val="000000" w:themeColor="text1"/>
          <w:sz w:val="16"/>
          <w:szCs w:val="16"/>
        </w:rPr>
        <w:softHyphen/>
        <w:t xml:space="preserve">ве в составе Доре, Ле Бри и механика </w:t>
      </w:r>
      <w:proofErr w:type="spellStart"/>
      <w:r w:rsidRPr="007122AB">
        <w:rPr>
          <w:rFonts w:ascii="Times New Roman" w:hAnsi="Times New Roman"/>
          <w:color w:val="000000" w:themeColor="text1"/>
          <w:sz w:val="16"/>
          <w:szCs w:val="16"/>
        </w:rPr>
        <w:t>Мес</w:t>
      </w:r>
      <w:proofErr w:type="spellEnd"/>
      <w:r w:rsidRPr="007122AB">
        <w:rPr>
          <w:rFonts w:ascii="Times New Roman" w:hAnsi="Times New Roman"/>
          <w:color w:val="000000" w:themeColor="text1"/>
          <w:sz w:val="16"/>
          <w:szCs w:val="16"/>
        </w:rPr>
        <w:t>- мена остался цел.</w:t>
      </w:r>
    </w:p>
    <w:p w14:paraId="631B7D36" w14:textId="77777777" w:rsidR="003562F3" w:rsidRPr="007122AB" w:rsidRDefault="003562F3"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Style w:val="114"/>
          <w:rFonts w:eastAsia="Calibri"/>
          <w:b w:val="0"/>
          <w:i w:val="0"/>
          <w:color w:val="000000" w:themeColor="text1"/>
          <w:sz w:val="16"/>
          <w:szCs w:val="16"/>
        </w:rPr>
        <w:t>Как следует из документов, хранящих</w:t>
      </w:r>
      <w:r w:rsidRPr="007122AB">
        <w:rPr>
          <w:rStyle w:val="114"/>
          <w:rFonts w:eastAsia="Calibri"/>
          <w:b w:val="0"/>
          <w:i w:val="0"/>
          <w:color w:val="000000" w:themeColor="text1"/>
          <w:sz w:val="16"/>
          <w:szCs w:val="16"/>
        </w:rPr>
        <w:softHyphen/>
        <w:t>ся в российских архивах, в частности, из телеграммы, отправленной начальнику Главного управления гражданского воз</w:t>
      </w:r>
      <w:r w:rsidRPr="007122AB">
        <w:rPr>
          <w:rStyle w:val="114"/>
          <w:rFonts w:eastAsia="Calibri"/>
          <w:b w:val="0"/>
          <w:i w:val="0"/>
          <w:color w:val="000000" w:themeColor="text1"/>
          <w:sz w:val="16"/>
          <w:szCs w:val="16"/>
        </w:rPr>
        <w:softHyphen/>
        <w:t xml:space="preserve">душного </w:t>
      </w:r>
      <w:proofErr w:type="spellStart"/>
      <w:r w:rsidRPr="007122AB">
        <w:rPr>
          <w:rStyle w:val="114"/>
          <w:rFonts w:eastAsia="Calibri"/>
          <w:b w:val="0"/>
          <w:i w:val="0"/>
          <w:color w:val="000000" w:themeColor="text1"/>
          <w:sz w:val="16"/>
          <w:szCs w:val="16"/>
        </w:rPr>
        <w:t>флота.Яну</w:t>
      </w:r>
      <w:proofErr w:type="spellEnd"/>
      <w:r w:rsidRPr="007122AB">
        <w:rPr>
          <w:rStyle w:val="114"/>
          <w:rFonts w:eastAsia="Calibri"/>
          <w:b w:val="0"/>
          <w:i w:val="0"/>
          <w:color w:val="000000" w:themeColor="text1"/>
          <w:sz w:val="16"/>
          <w:szCs w:val="16"/>
        </w:rPr>
        <w:t xml:space="preserve"> </w:t>
      </w:r>
      <w:proofErr w:type="spellStart"/>
      <w:r w:rsidRPr="007122AB">
        <w:rPr>
          <w:rStyle w:val="114"/>
          <w:rFonts w:eastAsia="Calibri"/>
          <w:b w:val="0"/>
          <w:i w:val="0"/>
          <w:color w:val="000000" w:themeColor="text1"/>
          <w:sz w:val="16"/>
          <w:szCs w:val="16"/>
        </w:rPr>
        <w:t>Анвельту</w:t>
      </w:r>
      <w:proofErr w:type="spellEnd"/>
      <w:r w:rsidRPr="007122AB">
        <w:rPr>
          <w:rStyle w:val="114"/>
          <w:rFonts w:eastAsia="Calibri"/>
          <w:b w:val="0"/>
          <w:i w:val="0"/>
          <w:color w:val="000000" w:themeColor="text1"/>
          <w:sz w:val="16"/>
          <w:szCs w:val="16"/>
        </w:rPr>
        <w:t>:</w:t>
      </w:r>
      <w:r w:rsidRPr="007122AB">
        <w:rPr>
          <w:rFonts w:ascii="Times New Roman" w:hAnsi="Times New Roman" w:cs="Times New Roman"/>
          <w:b w:val="0"/>
          <w:color w:val="000000" w:themeColor="text1"/>
          <w:sz w:val="16"/>
          <w:szCs w:val="16"/>
        </w:rPr>
        <w:t xml:space="preserve"> «14 июля 1931 года в 400 км от станции (железнодо</w:t>
      </w:r>
      <w:r w:rsidRPr="007122AB">
        <w:rPr>
          <w:rFonts w:ascii="Times New Roman" w:hAnsi="Times New Roman" w:cs="Times New Roman"/>
          <w:b w:val="0"/>
          <w:color w:val="000000" w:themeColor="text1"/>
          <w:sz w:val="16"/>
          <w:szCs w:val="16"/>
        </w:rPr>
        <w:softHyphen/>
        <w:t>рожной</w:t>
      </w:r>
      <w:r w:rsidRPr="007122AB">
        <w:rPr>
          <w:rStyle w:val="119pt"/>
          <w:rFonts w:eastAsia="Calibri"/>
          <w:color w:val="000000" w:themeColor="text1"/>
          <w:sz w:val="16"/>
          <w:szCs w:val="16"/>
        </w:rPr>
        <w:t>)</w:t>
      </w:r>
      <w:r w:rsidRPr="007122AB">
        <w:rPr>
          <w:rFonts w:ascii="Times New Roman" w:hAnsi="Times New Roman" w:cs="Times New Roman"/>
          <w:b w:val="0"/>
          <w:color w:val="000000" w:themeColor="text1"/>
          <w:sz w:val="16"/>
          <w:szCs w:val="16"/>
        </w:rPr>
        <w:t xml:space="preserve"> </w:t>
      </w:r>
      <w:proofErr w:type="spellStart"/>
      <w:r w:rsidRPr="007122AB">
        <w:rPr>
          <w:rFonts w:ascii="Times New Roman" w:hAnsi="Times New Roman" w:cs="Times New Roman"/>
          <w:b w:val="0"/>
          <w:color w:val="000000" w:themeColor="text1"/>
          <w:sz w:val="16"/>
          <w:szCs w:val="16"/>
        </w:rPr>
        <w:t>Шабарта</w:t>
      </w:r>
      <w:proofErr w:type="spellEnd"/>
      <w:r w:rsidRPr="007122AB">
        <w:rPr>
          <w:rFonts w:ascii="Times New Roman" w:hAnsi="Times New Roman" w:cs="Times New Roman"/>
          <w:b w:val="0"/>
          <w:color w:val="000000" w:themeColor="text1"/>
          <w:sz w:val="16"/>
          <w:szCs w:val="16"/>
        </w:rPr>
        <w:t xml:space="preserve"> вследст</w:t>
      </w:r>
      <w:r w:rsidRPr="007122AB">
        <w:rPr>
          <w:rFonts w:ascii="Times New Roman" w:hAnsi="Times New Roman" w:cs="Times New Roman"/>
          <w:b w:val="0"/>
          <w:color w:val="000000" w:themeColor="text1"/>
          <w:sz w:val="16"/>
          <w:szCs w:val="16"/>
        </w:rPr>
        <w:softHyphen/>
        <w:t>вие остановки мотора в воздухе потерпел аварию французский самолет, летевший из Парижа на восток. При посадке мотор ото</w:t>
      </w:r>
      <w:r w:rsidRPr="007122AB">
        <w:rPr>
          <w:rFonts w:ascii="Times New Roman" w:hAnsi="Times New Roman" w:cs="Times New Roman"/>
          <w:b w:val="0"/>
          <w:color w:val="000000" w:themeColor="text1"/>
          <w:sz w:val="16"/>
          <w:szCs w:val="16"/>
        </w:rPr>
        <w:softHyphen/>
        <w:t>рвался, плоскости повреждены, фюзеляж и оперение целы. Часть приборов, мотор и ин</w:t>
      </w:r>
      <w:r w:rsidRPr="007122AB">
        <w:rPr>
          <w:rFonts w:ascii="Times New Roman" w:hAnsi="Times New Roman" w:cs="Times New Roman"/>
          <w:b w:val="0"/>
          <w:color w:val="000000" w:themeColor="text1"/>
          <w:sz w:val="16"/>
          <w:szCs w:val="16"/>
        </w:rPr>
        <w:softHyphen/>
        <w:t>струменты, уезжая, французы забрали. Со</w:t>
      </w:r>
      <w:r w:rsidRPr="007122AB">
        <w:rPr>
          <w:rFonts w:ascii="Times New Roman" w:hAnsi="Times New Roman" w:cs="Times New Roman"/>
          <w:b w:val="0"/>
          <w:color w:val="000000" w:themeColor="text1"/>
          <w:sz w:val="16"/>
          <w:szCs w:val="16"/>
        </w:rPr>
        <w:softHyphen/>
        <w:t>гласно телеграммы начальника станции Нижне-Удинск, самолет оставлен там. Про</w:t>
      </w:r>
      <w:r w:rsidRPr="007122AB">
        <w:rPr>
          <w:rFonts w:ascii="Times New Roman" w:hAnsi="Times New Roman" w:cs="Times New Roman"/>
          <w:b w:val="0"/>
          <w:color w:val="000000" w:themeColor="text1"/>
          <w:sz w:val="16"/>
          <w:szCs w:val="16"/>
        </w:rPr>
        <w:softHyphen/>
        <w:t>шу Вашего разрешения о возможной перевоз</w:t>
      </w:r>
      <w:r w:rsidRPr="007122AB">
        <w:rPr>
          <w:rFonts w:ascii="Times New Roman" w:hAnsi="Times New Roman" w:cs="Times New Roman"/>
          <w:b w:val="0"/>
          <w:color w:val="000000" w:themeColor="text1"/>
          <w:sz w:val="16"/>
          <w:szCs w:val="16"/>
        </w:rPr>
        <w:softHyphen/>
        <w:t>ке самолета в Иркутск для осмотра и озна</w:t>
      </w:r>
      <w:r w:rsidRPr="007122AB">
        <w:rPr>
          <w:rFonts w:ascii="Times New Roman" w:hAnsi="Times New Roman" w:cs="Times New Roman"/>
          <w:b w:val="0"/>
          <w:color w:val="000000" w:themeColor="text1"/>
          <w:sz w:val="16"/>
          <w:szCs w:val="16"/>
        </w:rPr>
        <w:softHyphen/>
        <w:t>комления с конструкцией инженерно-тех</w:t>
      </w:r>
      <w:r w:rsidRPr="007122AB">
        <w:rPr>
          <w:rFonts w:ascii="Times New Roman" w:hAnsi="Times New Roman" w:cs="Times New Roman"/>
          <w:b w:val="0"/>
          <w:color w:val="000000" w:themeColor="text1"/>
          <w:sz w:val="16"/>
          <w:szCs w:val="16"/>
        </w:rPr>
        <w:softHyphen/>
        <w:t>нического состава. Если самолет остав</w:t>
      </w:r>
      <w:r w:rsidRPr="007122AB">
        <w:rPr>
          <w:rFonts w:ascii="Times New Roman" w:hAnsi="Times New Roman" w:cs="Times New Roman"/>
          <w:b w:val="0"/>
          <w:color w:val="000000" w:themeColor="text1"/>
          <w:sz w:val="16"/>
          <w:szCs w:val="16"/>
        </w:rPr>
        <w:softHyphen/>
        <w:t xml:space="preserve">лен — брошен вообще, оставили его нам, т.е. </w:t>
      </w:r>
      <w:proofErr w:type="spellStart"/>
      <w:r w:rsidRPr="007122AB">
        <w:rPr>
          <w:rFonts w:ascii="Times New Roman" w:hAnsi="Times New Roman" w:cs="Times New Roman"/>
          <w:b w:val="0"/>
          <w:color w:val="000000" w:themeColor="text1"/>
          <w:sz w:val="16"/>
          <w:szCs w:val="16"/>
        </w:rPr>
        <w:t>восточно-сибирскому</w:t>
      </w:r>
      <w:proofErr w:type="spellEnd"/>
      <w:r w:rsidRPr="007122AB">
        <w:rPr>
          <w:rFonts w:ascii="Times New Roman" w:hAnsi="Times New Roman" w:cs="Times New Roman"/>
          <w:b w:val="0"/>
          <w:color w:val="000000" w:themeColor="text1"/>
          <w:sz w:val="16"/>
          <w:szCs w:val="16"/>
        </w:rPr>
        <w:t xml:space="preserve"> управлению</w:t>
      </w:r>
      <w:r w:rsidRPr="007122AB">
        <w:rPr>
          <w:rStyle w:val="114"/>
          <w:rFonts w:eastAsia="Calibri"/>
          <w:b w:val="0"/>
          <w:i w:val="0"/>
          <w:color w:val="000000" w:themeColor="text1"/>
          <w:sz w:val="16"/>
          <w:szCs w:val="16"/>
        </w:rPr>
        <w:t xml:space="preserve"> (ГВФ</w:t>
      </w:r>
      <w:r w:rsidRPr="007122AB">
        <w:rPr>
          <w:rStyle w:val="115"/>
          <w:rFonts w:eastAsia="Calibri"/>
          <w:i w:val="0"/>
          <w:color w:val="000000" w:themeColor="text1"/>
          <w:sz w:val="16"/>
          <w:szCs w:val="16"/>
        </w:rPr>
        <w:t>)</w:t>
      </w:r>
      <w:r w:rsidRPr="007122AB">
        <w:rPr>
          <w:rFonts w:ascii="Times New Roman" w:hAnsi="Times New Roman" w:cs="Times New Roman"/>
          <w:b w:val="0"/>
          <w:color w:val="000000" w:themeColor="text1"/>
          <w:sz w:val="16"/>
          <w:szCs w:val="16"/>
        </w:rPr>
        <w:t xml:space="preserve"> на случай возможного ремонта в наших мастерских.»</w:t>
      </w:r>
    </w:p>
    <w:p w14:paraId="309F6C24"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ответ </w:t>
      </w:r>
      <w:proofErr w:type="spellStart"/>
      <w:r w:rsidRPr="007122AB">
        <w:rPr>
          <w:rFonts w:ascii="Times New Roman" w:hAnsi="Times New Roman"/>
          <w:color w:val="000000" w:themeColor="text1"/>
          <w:sz w:val="16"/>
          <w:szCs w:val="16"/>
        </w:rPr>
        <w:t>Анвельт</w:t>
      </w:r>
      <w:proofErr w:type="spellEnd"/>
      <w:r w:rsidRPr="007122AB">
        <w:rPr>
          <w:rFonts w:ascii="Times New Roman" w:hAnsi="Times New Roman"/>
          <w:color w:val="000000" w:themeColor="text1"/>
          <w:sz w:val="16"/>
          <w:szCs w:val="16"/>
        </w:rPr>
        <w:t xml:space="preserve"> телеграммой от 8 авгу</w:t>
      </w:r>
      <w:r w:rsidRPr="007122AB">
        <w:rPr>
          <w:rFonts w:ascii="Times New Roman" w:hAnsi="Times New Roman"/>
          <w:color w:val="000000" w:themeColor="text1"/>
          <w:sz w:val="16"/>
          <w:szCs w:val="16"/>
        </w:rPr>
        <w:softHyphen/>
        <w:t>ста сообщал в Иркутск:</w:t>
      </w:r>
      <w:r w:rsidRPr="007122AB">
        <w:rPr>
          <w:rStyle w:val="aff5"/>
          <w:rFonts w:ascii="Times New Roman" w:eastAsia="Arial Unicode MS" w:hAnsi="Times New Roman" w:cs="Times New Roman"/>
          <w:i w:val="0"/>
          <w:color w:val="000000" w:themeColor="text1"/>
        </w:rPr>
        <w:t xml:space="preserve"> «...французский са</w:t>
      </w:r>
      <w:r w:rsidRPr="007122AB">
        <w:rPr>
          <w:rStyle w:val="aff5"/>
          <w:rFonts w:ascii="Times New Roman" w:eastAsia="Arial Unicode MS" w:hAnsi="Times New Roman" w:cs="Times New Roman"/>
          <w:i w:val="0"/>
          <w:color w:val="000000" w:themeColor="text1"/>
        </w:rPr>
        <w:softHyphen/>
        <w:t>молет доставьте в Москву».</w:t>
      </w:r>
    </w:p>
    <w:p w14:paraId="6F046DA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Похоже, что советское правительство, не желавшее безучастно смотреть на про</w:t>
      </w:r>
      <w:r w:rsidRPr="007122AB">
        <w:rPr>
          <w:rFonts w:ascii="Times New Roman" w:hAnsi="Times New Roman"/>
          <w:color w:val="000000" w:themeColor="text1"/>
          <w:sz w:val="16"/>
          <w:szCs w:val="16"/>
        </w:rPr>
        <w:softHyphen/>
        <w:t>исходившие события, в августе 1931 го</w:t>
      </w:r>
      <w:r w:rsidRPr="007122AB">
        <w:rPr>
          <w:rFonts w:ascii="Times New Roman" w:hAnsi="Times New Roman"/>
          <w:color w:val="000000" w:themeColor="text1"/>
          <w:sz w:val="16"/>
          <w:szCs w:val="16"/>
        </w:rPr>
        <w:softHyphen/>
        <w:t xml:space="preserve">да (видимо, вскоре после ознакомления с останками </w:t>
      </w:r>
      <w:r w:rsidRPr="007122AB">
        <w:rPr>
          <w:rFonts w:ascii="Times New Roman" w:hAnsi="Times New Roman"/>
          <w:color w:val="000000" w:themeColor="text1"/>
          <w:sz w:val="16"/>
          <w:szCs w:val="16"/>
          <w:lang w:val="en-US"/>
        </w:rPr>
        <w:t>D</w:t>
      </w:r>
      <w:r w:rsidRPr="007122AB">
        <w:rPr>
          <w:rFonts w:ascii="Times New Roman" w:hAnsi="Times New Roman"/>
          <w:color w:val="000000" w:themeColor="text1"/>
          <w:sz w:val="16"/>
          <w:szCs w:val="16"/>
        </w:rPr>
        <w:t>-33) образовало при Реввоенсовете страны специальную комиссию по постройке самолета РД под руководством К.Е. Ворошилова (12725).</w:t>
      </w:r>
    </w:p>
    <w:p w14:paraId="17EF91F0" w14:textId="77777777" w:rsidR="003562F3" w:rsidRPr="007122AB" w:rsidRDefault="003562F3" w:rsidP="007122AB">
      <w:pPr>
        <w:spacing w:after="0" w:line="240" w:lineRule="auto"/>
        <w:jc w:val="both"/>
        <w:rPr>
          <w:rFonts w:ascii="Times New Roman" w:hAnsi="Times New Roman"/>
          <w:color w:val="000000" w:themeColor="text1"/>
          <w:sz w:val="16"/>
          <w:szCs w:val="16"/>
        </w:rPr>
      </w:pPr>
    </w:p>
    <w:p w14:paraId="5CBE57D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D3BA62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62B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середины 1931 А.Н.Т. начал проектирование АНТ-22 МК (1076,890).</w:t>
      </w:r>
    </w:p>
    <w:p w14:paraId="1A186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80F53A" w14:textId="77777777" w:rsidR="0048207C" w:rsidRPr="007122AB" w:rsidRDefault="0048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1931 г. руководство ВВС РККА вновь вернулось к рассмотрению вопроса о создании двухместного истребителя пушечного (развитие И-12), снятого с повестки дня осенью 1930 г. по предложению ЦАГИ (15823).</w:t>
      </w:r>
    </w:p>
    <w:p w14:paraId="524C7B33" w14:textId="77777777" w:rsidR="0048207C" w:rsidRPr="007122AB" w:rsidRDefault="0048207C" w:rsidP="007122AB">
      <w:pPr>
        <w:spacing w:after="0" w:line="240" w:lineRule="auto"/>
        <w:jc w:val="both"/>
        <w:rPr>
          <w:rFonts w:ascii="Times New Roman" w:hAnsi="Times New Roman"/>
          <w:color w:val="000000" w:themeColor="text1"/>
          <w:sz w:val="16"/>
          <w:szCs w:val="16"/>
        </w:rPr>
      </w:pPr>
    </w:p>
    <w:p w14:paraId="5B1F38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1931 на заводе 1 Дукс сделали первый И-7 с БМВ-6 и винтом Гейне. Полетный вес был на 50 кг больше, чем у ХД-37 и составил 1730 кг. От Хейнкеля внедрению помогал и </w:t>
      </w:r>
      <w:proofErr w:type="spellStart"/>
      <w:r w:rsidRPr="007122AB">
        <w:rPr>
          <w:rFonts w:ascii="Times New Roman" w:hAnsi="Times New Roman"/>
          <w:color w:val="000000" w:themeColor="text1"/>
          <w:sz w:val="16"/>
          <w:szCs w:val="16"/>
        </w:rPr>
        <w:t>Рольц</w:t>
      </w:r>
      <w:proofErr w:type="spellEnd"/>
      <w:r w:rsidRPr="007122AB">
        <w:rPr>
          <w:rFonts w:ascii="Times New Roman" w:hAnsi="Times New Roman"/>
          <w:color w:val="000000" w:themeColor="text1"/>
          <w:sz w:val="16"/>
          <w:szCs w:val="16"/>
        </w:rPr>
        <w:t xml:space="preserve"> Готфрид (3202,3).</w:t>
      </w:r>
    </w:p>
    <w:p w14:paraId="57BA2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8B21F0"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1931 года на заводе № 1 строили два первых советских «Хейнкеля», обозначаемых теперь И-7.</w:t>
      </w:r>
    </w:p>
    <w:p w14:paraId="20A1ABA3"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Авиазавод №39 имени Менжинского, который имел опыт изготовления подобных конструкций, нахо</w:t>
      </w:r>
      <w:r w:rsidRPr="007122AB">
        <w:rPr>
          <w:rFonts w:ascii="Times New Roman" w:hAnsi="Times New Roman"/>
          <w:color w:val="000000" w:themeColor="text1"/>
          <w:sz w:val="16"/>
          <w:szCs w:val="16"/>
        </w:rPr>
        <w:softHyphen/>
        <w:t xml:space="preserve">дился в то время не столько в ведении </w:t>
      </w:r>
      <w:proofErr w:type="spellStart"/>
      <w:r w:rsidRPr="007122AB">
        <w:rPr>
          <w:rFonts w:ascii="Times New Roman" w:hAnsi="Times New Roman"/>
          <w:color w:val="000000" w:themeColor="text1"/>
          <w:sz w:val="16"/>
          <w:szCs w:val="16"/>
        </w:rPr>
        <w:t>Авиа</w:t>
      </w:r>
      <w:r w:rsidRPr="007122AB">
        <w:rPr>
          <w:rFonts w:ascii="Times New Roman" w:hAnsi="Times New Roman"/>
          <w:color w:val="000000" w:themeColor="text1"/>
          <w:sz w:val="16"/>
          <w:szCs w:val="16"/>
        </w:rPr>
        <w:softHyphen/>
        <w:t>треста</w:t>
      </w:r>
      <w:proofErr w:type="spellEnd"/>
      <w:r w:rsidRPr="007122AB">
        <w:rPr>
          <w:rFonts w:ascii="Times New Roman" w:hAnsi="Times New Roman"/>
          <w:color w:val="000000" w:themeColor="text1"/>
          <w:sz w:val="16"/>
          <w:szCs w:val="16"/>
        </w:rPr>
        <w:t>, сколько под патронажем О ГПУ. Там работала группа арестованных конструкто</w:t>
      </w:r>
      <w:r w:rsidRPr="007122AB">
        <w:rPr>
          <w:rFonts w:ascii="Times New Roman" w:hAnsi="Times New Roman"/>
          <w:color w:val="000000" w:themeColor="text1"/>
          <w:sz w:val="16"/>
          <w:szCs w:val="16"/>
        </w:rPr>
        <w:softHyphen/>
        <w:t>ров, которая как раз заканчивала постройку опытного биплана ВТ-11, ставшего впослед</w:t>
      </w:r>
      <w:r w:rsidRPr="007122AB">
        <w:rPr>
          <w:rFonts w:ascii="Times New Roman" w:hAnsi="Times New Roman"/>
          <w:color w:val="000000" w:themeColor="text1"/>
          <w:sz w:val="16"/>
          <w:szCs w:val="16"/>
        </w:rPr>
        <w:softHyphen/>
        <w:t>ствии известным истребителем И-5. Естест</w:t>
      </w:r>
      <w:r w:rsidRPr="007122AB">
        <w:rPr>
          <w:rFonts w:ascii="Times New Roman" w:hAnsi="Times New Roman"/>
          <w:color w:val="000000" w:themeColor="text1"/>
          <w:sz w:val="16"/>
          <w:szCs w:val="16"/>
        </w:rPr>
        <w:softHyphen/>
        <w:t>венно, что потеснить на заводских площа</w:t>
      </w:r>
      <w:r w:rsidRPr="007122AB">
        <w:rPr>
          <w:rFonts w:ascii="Times New Roman" w:hAnsi="Times New Roman"/>
          <w:color w:val="000000" w:themeColor="text1"/>
          <w:sz w:val="16"/>
          <w:szCs w:val="16"/>
        </w:rPr>
        <w:softHyphen/>
        <w:t>дях можно было кого угодно, но только не всесильных экспериментаторов из ОГПУ. Что касается московского завода №22, то это предприятие строило цельнометалличе</w:t>
      </w:r>
      <w:r w:rsidRPr="007122AB">
        <w:rPr>
          <w:rFonts w:ascii="Times New Roman" w:hAnsi="Times New Roman"/>
          <w:color w:val="000000" w:themeColor="text1"/>
          <w:sz w:val="16"/>
          <w:szCs w:val="16"/>
        </w:rPr>
        <w:softHyphen/>
        <w:t>ские самолеты с обшивкой из гофрирован</w:t>
      </w:r>
      <w:r w:rsidRPr="007122AB">
        <w:rPr>
          <w:rFonts w:ascii="Times New Roman" w:hAnsi="Times New Roman"/>
          <w:color w:val="000000" w:themeColor="text1"/>
          <w:sz w:val="16"/>
          <w:szCs w:val="16"/>
        </w:rPr>
        <w:softHyphen/>
        <w:t>ного дюраля и трогать эту «священную ко</w:t>
      </w:r>
      <w:r w:rsidRPr="007122AB">
        <w:rPr>
          <w:rFonts w:ascii="Times New Roman" w:hAnsi="Times New Roman"/>
          <w:color w:val="000000" w:themeColor="text1"/>
          <w:sz w:val="16"/>
          <w:szCs w:val="16"/>
        </w:rPr>
        <w:softHyphen/>
        <w:t>рову» также не представлялось возможным. Предлагаемый в качестве варианта новый авиазавод №21 в Нижнем Новгороде не был достроен, не имел ни технологических тра</w:t>
      </w:r>
      <w:r w:rsidRPr="007122AB">
        <w:rPr>
          <w:rFonts w:ascii="Times New Roman" w:hAnsi="Times New Roman"/>
          <w:color w:val="000000" w:themeColor="text1"/>
          <w:sz w:val="16"/>
          <w:szCs w:val="16"/>
        </w:rPr>
        <w:softHyphen/>
        <w:t>диций, ни обученного персонала. Что оста</w:t>
      </w:r>
      <w:r w:rsidRPr="007122AB">
        <w:rPr>
          <w:rFonts w:ascii="Times New Roman" w:hAnsi="Times New Roman"/>
          <w:color w:val="000000" w:themeColor="text1"/>
          <w:sz w:val="16"/>
          <w:szCs w:val="16"/>
        </w:rPr>
        <w:softHyphen/>
        <w:t>валось? Ну конечно авиазавод №1 имени «</w:t>
      </w:r>
      <w:proofErr w:type="spellStart"/>
      <w:r w:rsidRPr="007122AB">
        <w:rPr>
          <w:rFonts w:ascii="Times New Roman" w:hAnsi="Times New Roman"/>
          <w:color w:val="000000" w:themeColor="text1"/>
          <w:sz w:val="16"/>
          <w:szCs w:val="16"/>
        </w:rPr>
        <w:t>Авиахима</w:t>
      </w:r>
      <w:proofErr w:type="spellEnd"/>
      <w:r w:rsidRPr="007122AB">
        <w:rPr>
          <w:rFonts w:ascii="Times New Roman" w:hAnsi="Times New Roman"/>
          <w:color w:val="000000" w:themeColor="text1"/>
          <w:sz w:val="16"/>
          <w:szCs w:val="16"/>
        </w:rPr>
        <w:t>», известный также как бывший «Дукс». Производство разведчиков Р-1 здесь уже сворачивалось, начиналось освоение бо</w:t>
      </w:r>
      <w:r w:rsidRPr="007122AB">
        <w:rPr>
          <w:rFonts w:ascii="Times New Roman" w:hAnsi="Times New Roman"/>
          <w:color w:val="000000" w:themeColor="text1"/>
          <w:sz w:val="16"/>
          <w:szCs w:val="16"/>
        </w:rPr>
        <w:softHyphen/>
        <w:t>лее совершенных самолетов Р-5. А еще здесь в течение уже целого года серийно строился истребитель И-3, спроектированный в ОСС ЦКБ под руководством Николая Поликар</w:t>
      </w:r>
      <w:r w:rsidRPr="007122AB">
        <w:rPr>
          <w:rFonts w:ascii="Times New Roman" w:hAnsi="Times New Roman"/>
          <w:color w:val="000000" w:themeColor="text1"/>
          <w:sz w:val="16"/>
          <w:szCs w:val="16"/>
        </w:rPr>
        <w:softHyphen/>
        <w:t>пова в 1927 г. Самолет этот был оснащен тем же двигателем ВМ\У-У1, что и НЭ-37. И-3 строился в основном из дерева, был тяжелее немецкого истребителя и, естественно, не</w:t>
      </w:r>
      <w:r w:rsidRPr="007122AB">
        <w:rPr>
          <w:rFonts w:ascii="Times New Roman" w:hAnsi="Times New Roman"/>
          <w:color w:val="000000" w:themeColor="text1"/>
          <w:sz w:val="16"/>
          <w:szCs w:val="16"/>
        </w:rPr>
        <w:softHyphen/>
        <w:t>сколько уступал ему по максимальной ско</w:t>
      </w:r>
      <w:r w:rsidRPr="007122AB">
        <w:rPr>
          <w:rFonts w:ascii="Times New Roman" w:hAnsi="Times New Roman"/>
          <w:color w:val="000000" w:themeColor="text1"/>
          <w:sz w:val="16"/>
          <w:szCs w:val="16"/>
        </w:rPr>
        <w:softHyphen/>
        <w:t>рости и скороподъемности. Разумным реше</w:t>
      </w:r>
      <w:r w:rsidRPr="007122AB">
        <w:rPr>
          <w:rFonts w:ascii="Times New Roman" w:hAnsi="Times New Roman"/>
          <w:color w:val="000000" w:themeColor="text1"/>
          <w:sz w:val="16"/>
          <w:szCs w:val="16"/>
        </w:rPr>
        <w:softHyphen/>
        <w:t>нием могло стать дальнейшее совершенство</w:t>
      </w:r>
      <w:r w:rsidRPr="007122AB">
        <w:rPr>
          <w:rFonts w:ascii="Times New Roman" w:hAnsi="Times New Roman"/>
          <w:color w:val="000000" w:themeColor="text1"/>
          <w:sz w:val="16"/>
          <w:szCs w:val="16"/>
        </w:rPr>
        <w:softHyphen/>
        <w:t>вание И-3 с целью доведения его летных ха</w:t>
      </w:r>
      <w:r w:rsidRPr="007122AB">
        <w:rPr>
          <w:rFonts w:ascii="Times New Roman" w:hAnsi="Times New Roman"/>
          <w:color w:val="000000" w:themeColor="text1"/>
          <w:sz w:val="16"/>
          <w:szCs w:val="16"/>
        </w:rPr>
        <w:softHyphen/>
        <w:t>рактеристик до требуемых показателей. Од</w:t>
      </w:r>
      <w:r w:rsidRPr="007122AB">
        <w:rPr>
          <w:rFonts w:ascii="Times New Roman" w:hAnsi="Times New Roman"/>
          <w:color w:val="000000" w:themeColor="text1"/>
          <w:sz w:val="16"/>
          <w:szCs w:val="16"/>
        </w:rPr>
        <w:softHyphen/>
        <w:t>нако автор самолета отсутствовал по причи</w:t>
      </w:r>
      <w:r w:rsidRPr="007122AB">
        <w:rPr>
          <w:rFonts w:ascii="Times New Roman" w:hAnsi="Times New Roman"/>
          <w:color w:val="000000" w:themeColor="text1"/>
          <w:sz w:val="16"/>
          <w:szCs w:val="16"/>
        </w:rPr>
        <w:softHyphen/>
        <w:t>не участия в тюремном эксперименте ОГПУ — проектировал в заключении новый истре</w:t>
      </w:r>
      <w:r w:rsidRPr="007122AB">
        <w:rPr>
          <w:rFonts w:ascii="Times New Roman" w:hAnsi="Times New Roman"/>
          <w:color w:val="000000" w:themeColor="text1"/>
          <w:sz w:val="16"/>
          <w:szCs w:val="16"/>
        </w:rPr>
        <w:softHyphen/>
        <w:t>битель ВТ-11. Все перечисленные причины и обстоятельства вполне соответствовали то</w:t>
      </w:r>
      <w:r w:rsidRPr="007122AB">
        <w:rPr>
          <w:rFonts w:ascii="Times New Roman" w:hAnsi="Times New Roman"/>
          <w:color w:val="000000" w:themeColor="text1"/>
          <w:sz w:val="16"/>
          <w:szCs w:val="16"/>
        </w:rPr>
        <w:softHyphen/>
        <w:t>му, чтобы развернуть строительство НЭ-37 на авиазаводе №1, где он со временем мог полностью заменить пресловутый И-3.</w:t>
      </w:r>
    </w:p>
    <w:p w14:paraId="75424F93"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Сразу после принятия решения о запу</w:t>
      </w:r>
      <w:r w:rsidRPr="007122AB">
        <w:rPr>
          <w:rFonts w:ascii="Times New Roman" w:hAnsi="Times New Roman"/>
          <w:color w:val="000000" w:themeColor="text1"/>
          <w:sz w:val="16"/>
          <w:szCs w:val="16"/>
        </w:rPr>
        <w:softHyphen/>
        <w:t>ске НЭ-37 в серию, в заводском КБ нача</w:t>
      </w:r>
      <w:r w:rsidRPr="007122AB">
        <w:rPr>
          <w:rFonts w:ascii="Times New Roman" w:hAnsi="Times New Roman"/>
          <w:color w:val="000000" w:themeColor="text1"/>
          <w:sz w:val="16"/>
          <w:szCs w:val="16"/>
        </w:rPr>
        <w:softHyphen/>
        <w:t>лась переработка немецких чертежей под со</w:t>
      </w:r>
      <w:r w:rsidRPr="007122AB">
        <w:rPr>
          <w:rFonts w:ascii="Times New Roman" w:hAnsi="Times New Roman"/>
          <w:color w:val="000000" w:themeColor="text1"/>
          <w:sz w:val="16"/>
          <w:szCs w:val="16"/>
        </w:rPr>
        <w:softHyphen/>
        <w:t xml:space="preserve">ветские стандарты и материалы. От </w:t>
      </w:r>
      <w:proofErr w:type="spellStart"/>
      <w:r w:rsidRPr="007122AB">
        <w:rPr>
          <w:rFonts w:ascii="Times New Roman" w:hAnsi="Times New Roman"/>
          <w:color w:val="000000" w:themeColor="text1"/>
          <w:sz w:val="16"/>
          <w:szCs w:val="16"/>
        </w:rPr>
        <w:t>Хейнке</w:t>
      </w:r>
      <w:proofErr w:type="spellEnd"/>
      <w:r w:rsidRPr="007122AB">
        <w:rPr>
          <w:rFonts w:ascii="Times New Roman" w:hAnsi="Times New Roman"/>
          <w:color w:val="000000" w:themeColor="text1"/>
          <w:sz w:val="16"/>
          <w:szCs w:val="16"/>
        </w:rPr>
        <w:t xml:space="preserve">- ля прибыл инженер </w:t>
      </w:r>
      <w:proofErr w:type="spellStart"/>
      <w:r w:rsidRPr="007122AB">
        <w:rPr>
          <w:rFonts w:ascii="Times New Roman" w:hAnsi="Times New Roman"/>
          <w:color w:val="000000" w:themeColor="text1"/>
          <w:sz w:val="16"/>
          <w:szCs w:val="16"/>
        </w:rPr>
        <w:t>Рольц</w:t>
      </w:r>
      <w:proofErr w:type="spellEnd"/>
      <w:r w:rsidRPr="007122AB">
        <w:rPr>
          <w:rFonts w:ascii="Times New Roman" w:hAnsi="Times New Roman"/>
          <w:color w:val="000000" w:themeColor="text1"/>
          <w:sz w:val="16"/>
          <w:szCs w:val="16"/>
        </w:rPr>
        <w:t xml:space="preserve"> Готфрид, под при</w:t>
      </w:r>
      <w:r w:rsidRPr="007122AB">
        <w:rPr>
          <w:rFonts w:ascii="Times New Roman" w:hAnsi="Times New Roman"/>
          <w:color w:val="000000" w:themeColor="text1"/>
          <w:sz w:val="16"/>
          <w:szCs w:val="16"/>
        </w:rPr>
        <w:softHyphen/>
        <w:t>смотром которого велось изготовление двух образцовых самолетов, получивших совет</w:t>
      </w:r>
      <w:r w:rsidRPr="007122AB">
        <w:rPr>
          <w:rFonts w:ascii="Times New Roman" w:hAnsi="Times New Roman"/>
          <w:color w:val="000000" w:themeColor="text1"/>
          <w:sz w:val="16"/>
          <w:szCs w:val="16"/>
        </w:rPr>
        <w:softHyphen/>
        <w:t xml:space="preserve">ское обозначение И-7. </w:t>
      </w:r>
    </w:p>
    <w:p w14:paraId="0BF39F8F"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бы</w:t>
      </w:r>
      <w:r w:rsidRPr="007122AB">
        <w:rPr>
          <w:rFonts w:ascii="Times New Roman" w:hAnsi="Times New Roman"/>
          <w:color w:val="000000" w:themeColor="text1"/>
          <w:sz w:val="16"/>
          <w:szCs w:val="16"/>
        </w:rPr>
        <w:softHyphen/>
        <w:t>ли оснащены двигателями ВМ\У-У1 со степе</w:t>
      </w:r>
      <w:r w:rsidRPr="007122AB">
        <w:rPr>
          <w:rFonts w:ascii="Times New Roman" w:hAnsi="Times New Roman"/>
          <w:color w:val="000000" w:themeColor="text1"/>
          <w:sz w:val="16"/>
          <w:szCs w:val="16"/>
        </w:rPr>
        <w:softHyphen/>
        <w:t>нью сжатия 7,3 и воздушными винтами «Гей</w:t>
      </w:r>
      <w:r w:rsidRPr="007122AB">
        <w:rPr>
          <w:rFonts w:ascii="Times New Roman" w:hAnsi="Times New Roman"/>
          <w:color w:val="000000" w:themeColor="text1"/>
          <w:sz w:val="16"/>
          <w:szCs w:val="16"/>
        </w:rPr>
        <w:softHyphen/>
        <w:t>не». Полетный вес первой машины составил 1730 кг, что превышало вес немецкого обра</w:t>
      </w:r>
      <w:r w:rsidRPr="007122AB">
        <w:rPr>
          <w:rFonts w:ascii="Times New Roman" w:hAnsi="Times New Roman"/>
          <w:color w:val="000000" w:themeColor="text1"/>
          <w:sz w:val="16"/>
          <w:szCs w:val="16"/>
        </w:rPr>
        <w:softHyphen/>
        <w:t>зца на 50 кг. Причиной увеличения веса ста</w:t>
      </w:r>
      <w:r w:rsidRPr="007122AB">
        <w:rPr>
          <w:rFonts w:ascii="Times New Roman" w:hAnsi="Times New Roman"/>
          <w:color w:val="000000" w:themeColor="text1"/>
          <w:sz w:val="16"/>
          <w:szCs w:val="16"/>
        </w:rPr>
        <w:softHyphen/>
        <w:t>ло использование в конструкции фюзеляжа и шасси стальных труб большего диаметра, применения в обшивке отечественного льня</w:t>
      </w:r>
      <w:r w:rsidRPr="007122AB">
        <w:rPr>
          <w:rFonts w:ascii="Times New Roman" w:hAnsi="Times New Roman"/>
          <w:color w:val="000000" w:themeColor="text1"/>
          <w:sz w:val="16"/>
          <w:szCs w:val="16"/>
        </w:rPr>
        <w:softHyphen/>
        <w:t xml:space="preserve">ного полотна, более тяжелого, чем немецкое на 35%. Прибавила веса замена канадского </w:t>
      </w:r>
      <w:proofErr w:type="spellStart"/>
      <w:r w:rsidRPr="007122AB">
        <w:rPr>
          <w:rFonts w:ascii="Times New Roman" w:hAnsi="Times New Roman"/>
          <w:color w:val="000000" w:themeColor="text1"/>
          <w:sz w:val="16"/>
          <w:szCs w:val="16"/>
        </w:rPr>
        <w:t>спруса</w:t>
      </w:r>
      <w:proofErr w:type="spellEnd"/>
      <w:r w:rsidRPr="007122AB">
        <w:rPr>
          <w:rFonts w:ascii="Times New Roman" w:hAnsi="Times New Roman"/>
          <w:color w:val="000000" w:themeColor="text1"/>
          <w:sz w:val="16"/>
          <w:szCs w:val="16"/>
        </w:rPr>
        <w:t xml:space="preserve"> на русскую сосну, а также использо</w:t>
      </w:r>
      <w:r w:rsidRPr="007122AB">
        <w:rPr>
          <w:rFonts w:ascii="Times New Roman" w:hAnsi="Times New Roman"/>
          <w:color w:val="000000" w:themeColor="text1"/>
          <w:sz w:val="16"/>
          <w:szCs w:val="16"/>
        </w:rPr>
        <w:softHyphen/>
        <w:t xml:space="preserve">вание </w:t>
      </w:r>
      <w:proofErr w:type="spellStart"/>
      <w:r w:rsidRPr="007122AB">
        <w:rPr>
          <w:rFonts w:ascii="Times New Roman" w:hAnsi="Times New Roman"/>
          <w:color w:val="000000" w:themeColor="text1"/>
          <w:sz w:val="16"/>
          <w:szCs w:val="16"/>
        </w:rPr>
        <w:t>авиафанеры</w:t>
      </w:r>
      <w:proofErr w:type="spellEnd"/>
      <w:r w:rsidRPr="007122AB">
        <w:rPr>
          <w:rFonts w:ascii="Times New Roman" w:hAnsi="Times New Roman"/>
          <w:color w:val="000000" w:themeColor="text1"/>
          <w:sz w:val="16"/>
          <w:szCs w:val="16"/>
        </w:rPr>
        <w:t xml:space="preserve"> толщиной 1,0 мм вместе 0,9 мм. Колеса фирмы «Пальмер», исполь</w:t>
      </w:r>
      <w:r w:rsidRPr="007122AB">
        <w:rPr>
          <w:rFonts w:ascii="Times New Roman" w:hAnsi="Times New Roman"/>
          <w:color w:val="000000" w:themeColor="text1"/>
          <w:sz w:val="16"/>
          <w:szCs w:val="16"/>
        </w:rPr>
        <w:softHyphen/>
        <w:t>зуемые в НО-37, заменили советскими стан</w:t>
      </w:r>
      <w:r w:rsidRPr="007122AB">
        <w:rPr>
          <w:rFonts w:ascii="Times New Roman" w:hAnsi="Times New Roman"/>
          <w:color w:val="000000" w:themeColor="text1"/>
          <w:sz w:val="16"/>
          <w:szCs w:val="16"/>
        </w:rPr>
        <w:softHyphen/>
        <w:t>дартными колесами размером 750x125 мм (12295).</w:t>
      </w:r>
    </w:p>
    <w:p w14:paraId="1C3CECD2"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45D204C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1931 г. первые два самолета И-7 заводом №1 закончены и сданы на заводские испытания – один на летные и один на статические прочностные. С начала работ прошло более года.</w:t>
      </w:r>
    </w:p>
    <w:p w14:paraId="250E2C0C"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Взвешивание показало, что масса заправленного и снаряженного головного самолета 1729 кг – на 51 кг или на 3% больше эталонного ХД-37 №292, что было по верхнему пределу технического допуска, и на 29 кг больше предела по ТТТ (на 1,7%).</w:t>
      </w:r>
    </w:p>
    <w:p w14:paraId="2BBCA0ED"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Предназначенный для статических прочностных испытаний самолет И-7, по-видимому, не укомплектовывался двигателем, воздушным винтом, вооружением и др. покупными изделиями. Вопреки утверждениям Поликарпова, самолет выдержал их успешно и без поломок, после чего был поставлен на хранение как резервный (24331).</w:t>
      </w:r>
    </w:p>
    <w:p w14:paraId="7E767265" w14:textId="77777777" w:rsidR="000B7ADA" w:rsidRPr="00441F34" w:rsidRDefault="000B7ADA" w:rsidP="000B7ADA">
      <w:pPr>
        <w:spacing w:after="0" w:line="240" w:lineRule="auto"/>
        <w:jc w:val="both"/>
        <w:rPr>
          <w:rFonts w:ascii="Times New Roman" w:hAnsi="Times New Roman"/>
          <w:color w:val="0070C0"/>
          <w:sz w:val="16"/>
          <w:szCs w:val="16"/>
        </w:rPr>
      </w:pPr>
    </w:p>
    <w:p w14:paraId="6855ECC8" w14:textId="77777777" w:rsidR="007F6BD6" w:rsidRPr="007122AB" w:rsidRDefault="007F6BD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1931 г. изготовили цельнометаллические поплав</w:t>
      </w:r>
      <w:r w:rsidRPr="007122AB">
        <w:rPr>
          <w:rFonts w:ascii="Times New Roman" w:hAnsi="Times New Roman"/>
          <w:color w:val="000000" w:themeColor="text1"/>
          <w:sz w:val="16"/>
          <w:szCs w:val="16"/>
        </w:rPr>
        <w:softHyphen/>
        <w:t xml:space="preserve">ки </w:t>
      </w:r>
      <w:proofErr w:type="spellStart"/>
      <w:r w:rsidRPr="007122AB">
        <w:rPr>
          <w:rFonts w:ascii="Times New Roman" w:hAnsi="Times New Roman"/>
          <w:color w:val="000000" w:themeColor="text1"/>
          <w:sz w:val="16"/>
          <w:szCs w:val="16"/>
        </w:rPr>
        <w:t>лля</w:t>
      </w:r>
      <w:proofErr w:type="spellEnd"/>
      <w:r w:rsidRPr="007122AB">
        <w:rPr>
          <w:rFonts w:ascii="Times New Roman" w:hAnsi="Times New Roman"/>
          <w:color w:val="000000" w:themeColor="text1"/>
          <w:sz w:val="16"/>
          <w:szCs w:val="16"/>
        </w:rPr>
        <w:t xml:space="preserve"> И-4 на основе англий</w:t>
      </w:r>
      <w:r w:rsidRPr="007122AB">
        <w:rPr>
          <w:rFonts w:ascii="Times New Roman" w:hAnsi="Times New Roman"/>
          <w:color w:val="000000" w:themeColor="text1"/>
          <w:sz w:val="16"/>
          <w:szCs w:val="16"/>
        </w:rPr>
        <w:softHyphen/>
        <w:t>ских образцов со следующими размерами: длина 6,415 м, ширина 770 мм, высота 673 мм, длина носо</w:t>
      </w:r>
      <w:r w:rsidRPr="007122AB">
        <w:rPr>
          <w:rFonts w:ascii="Times New Roman" w:hAnsi="Times New Roman"/>
          <w:color w:val="000000" w:themeColor="text1"/>
          <w:sz w:val="16"/>
          <w:szCs w:val="16"/>
        </w:rPr>
        <w:softHyphen/>
        <w:t>вой части до редана 3,365 м. Поначалу пред</w:t>
      </w:r>
      <w:r w:rsidRPr="007122AB">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7122AB">
        <w:rPr>
          <w:rFonts w:ascii="Times New Roman" w:hAnsi="Times New Roman"/>
          <w:color w:val="000000" w:themeColor="text1"/>
          <w:sz w:val="16"/>
          <w:szCs w:val="16"/>
        </w:rPr>
        <w:softHyphen/>
        <w:t>ся в Евпатории. Однако в ЦАГИ использова</w:t>
      </w:r>
      <w:r w:rsidRPr="007122AB">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7122AB">
        <w:rPr>
          <w:rFonts w:ascii="Times New Roman" w:hAnsi="Times New Roman"/>
          <w:color w:val="000000" w:themeColor="text1"/>
          <w:sz w:val="16"/>
          <w:szCs w:val="16"/>
        </w:rPr>
        <w:softHyphen/>
        <w:t>нако сведений о завершении работ не обна</w:t>
      </w:r>
      <w:r w:rsidRPr="007122AB">
        <w:rPr>
          <w:rFonts w:ascii="Times New Roman" w:hAnsi="Times New Roman"/>
          <w:color w:val="000000" w:themeColor="text1"/>
          <w:sz w:val="16"/>
          <w:szCs w:val="16"/>
        </w:rPr>
        <w:softHyphen/>
        <w:t>ружено. Очевидно, что летом 1931 года пред</w:t>
      </w:r>
      <w:r w:rsidRPr="007122AB">
        <w:rPr>
          <w:rFonts w:ascii="Times New Roman" w:hAnsi="Times New Roman"/>
          <w:color w:val="000000" w:themeColor="text1"/>
          <w:sz w:val="16"/>
          <w:szCs w:val="16"/>
        </w:rPr>
        <w:softHyphen/>
        <w:t>ставители морской авиации от обладания ма</w:t>
      </w:r>
      <w:r w:rsidRPr="007122AB">
        <w:rPr>
          <w:rFonts w:ascii="Times New Roman" w:hAnsi="Times New Roman"/>
          <w:color w:val="000000" w:themeColor="text1"/>
          <w:sz w:val="16"/>
          <w:szCs w:val="16"/>
        </w:rPr>
        <w:softHyphen/>
        <w:t>леньким поплавковым истребителем с недо</w:t>
      </w:r>
      <w:r w:rsidRPr="007122AB">
        <w:rPr>
          <w:rFonts w:ascii="Times New Roman" w:hAnsi="Times New Roman"/>
          <w:color w:val="000000" w:themeColor="text1"/>
          <w:sz w:val="16"/>
          <w:szCs w:val="16"/>
        </w:rPr>
        <w:softHyphen/>
        <w:t>статочной мореходностью решили отказать</w:t>
      </w:r>
      <w:r w:rsidRPr="007122AB">
        <w:rPr>
          <w:rFonts w:ascii="Times New Roman" w:hAnsi="Times New Roman"/>
          <w:color w:val="000000" w:themeColor="text1"/>
          <w:sz w:val="16"/>
          <w:szCs w:val="16"/>
        </w:rPr>
        <w:softHyphen/>
        <w:t>ся. Вероятнее всего на принятие решения по</w:t>
      </w:r>
      <w:r w:rsidRPr="007122AB">
        <w:rPr>
          <w:rFonts w:ascii="Times New Roman" w:hAnsi="Times New Roman"/>
          <w:color w:val="000000" w:themeColor="text1"/>
          <w:sz w:val="16"/>
          <w:szCs w:val="16"/>
        </w:rPr>
        <w:softHyphen/>
        <w:t>влиял двухлетний опыт эксплуатации летаю</w:t>
      </w:r>
      <w:r w:rsidRPr="007122AB">
        <w:rPr>
          <w:rFonts w:ascii="Times New Roman" w:hAnsi="Times New Roman"/>
          <w:color w:val="000000" w:themeColor="text1"/>
          <w:sz w:val="16"/>
          <w:szCs w:val="16"/>
        </w:rPr>
        <w:softHyphen/>
        <w:t>щих лодок КР-1 (Хейнкель НЭ.55) (12295).</w:t>
      </w:r>
    </w:p>
    <w:p w14:paraId="4369B336" w14:textId="77777777" w:rsidR="007F6BD6" w:rsidRPr="007122AB" w:rsidRDefault="007F6BD6" w:rsidP="007122AB">
      <w:pPr>
        <w:spacing w:after="0" w:line="240" w:lineRule="auto"/>
        <w:jc w:val="both"/>
        <w:rPr>
          <w:rFonts w:ascii="Times New Roman" w:hAnsi="Times New Roman"/>
          <w:color w:val="000000" w:themeColor="text1"/>
          <w:sz w:val="16"/>
          <w:szCs w:val="16"/>
        </w:rPr>
      </w:pPr>
    </w:p>
    <w:p w14:paraId="490CF0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1931 г. Согласно </w:t>
      </w:r>
      <w:proofErr w:type="spellStart"/>
      <w:r w:rsidRPr="007122AB">
        <w:rPr>
          <w:rFonts w:ascii="Times New Roman" w:hAnsi="Times New Roman"/>
          <w:color w:val="000000" w:themeColor="text1"/>
          <w:sz w:val="16"/>
          <w:szCs w:val="16"/>
        </w:rPr>
        <w:t>Д.Л.Томашевичу</w:t>
      </w:r>
      <w:proofErr w:type="spellEnd"/>
      <w:r w:rsidRPr="007122AB">
        <w:rPr>
          <w:rFonts w:ascii="Times New Roman" w:hAnsi="Times New Roman"/>
          <w:color w:val="000000" w:themeColor="text1"/>
          <w:sz w:val="16"/>
          <w:szCs w:val="16"/>
        </w:rPr>
        <w:t>: «я ушел на работу в конструктор</w:t>
      </w:r>
      <w:r w:rsidRPr="007122AB">
        <w:rPr>
          <w:rFonts w:ascii="Times New Roman" w:hAnsi="Times New Roman"/>
          <w:color w:val="000000" w:themeColor="text1"/>
          <w:sz w:val="16"/>
          <w:szCs w:val="16"/>
        </w:rPr>
        <w:softHyphen/>
        <w:t>ское бюро, находящееся под опекой НКВД. В нем рабо</w:t>
      </w:r>
      <w:r w:rsidRPr="007122AB">
        <w:rPr>
          <w:rFonts w:ascii="Times New Roman" w:hAnsi="Times New Roman"/>
          <w:color w:val="000000" w:themeColor="text1"/>
          <w:sz w:val="16"/>
          <w:szCs w:val="16"/>
        </w:rPr>
        <w:softHyphen/>
        <w:t xml:space="preserve">тали и заключенные специалисты, и вольнонаемные. Я работал в отделе общих видов и здесь впервые лично встретился с </w:t>
      </w:r>
      <w:proofErr w:type="spellStart"/>
      <w:r w:rsidRPr="007122AB">
        <w:rPr>
          <w:rFonts w:ascii="Times New Roman" w:hAnsi="Times New Roman"/>
          <w:color w:val="000000" w:themeColor="text1"/>
          <w:sz w:val="16"/>
          <w:szCs w:val="16"/>
        </w:rPr>
        <w:t>Н.Н.Поликарповым</w:t>
      </w:r>
      <w:proofErr w:type="spellEnd"/>
      <w:r w:rsidRPr="007122AB">
        <w:rPr>
          <w:rFonts w:ascii="Times New Roman" w:hAnsi="Times New Roman"/>
          <w:color w:val="000000" w:themeColor="text1"/>
          <w:sz w:val="16"/>
          <w:szCs w:val="16"/>
        </w:rPr>
        <w:t>.</w:t>
      </w:r>
    </w:p>
    <w:p w14:paraId="1070E0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Он относился к нам - вольнонаемным молодым ин</w:t>
      </w:r>
      <w:r w:rsidRPr="007122AB">
        <w:rPr>
          <w:rFonts w:ascii="Times New Roman" w:hAnsi="Times New Roman"/>
          <w:color w:val="000000" w:themeColor="text1"/>
          <w:sz w:val="16"/>
          <w:szCs w:val="16"/>
        </w:rPr>
        <w:softHyphen/>
        <w:t>женерам, как равный.</w:t>
      </w:r>
    </w:p>
    <w:p w14:paraId="554EBF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гордился своей квалификацией, а мог бы, по со</w:t>
      </w:r>
      <w:r w:rsidRPr="007122AB">
        <w:rPr>
          <w:rFonts w:ascii="Times New Roman" w:hAnsi="Times New Roman"/>
          <w:color w:val="000000" w:themeColor="text1"/>
          <w:sz w:val="16"/>
          <w:szCs w:val="16"/>
        </w:rPr>
        <w:softHyphen/>
        <w:t>временным нравам в конструкторских бюро, так как имел уже 3 самолета, внедренных в серию, и 2 опытных самолета, сделанных еще до ареста.</w:t>
      </w:r>
    </w:p>
    <w:p w14:paraId="4912F8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другой стороны и не лебезил перед нами - вольно</w:t>
      </w:r>
      <w:r w:rsidRPr="007122AB">
        <w:rPr>
          <w:rFonts w:ascii="Times New Roman" w:hAnsi="Times New Roman"/>
          <w:color w:val="000000" w:themeColor="text1"/>
          <w:sz w:val="16"/>
          <w:szCs w:val="16"/>
        </w:rPr>
        <w:softHyphen/>
        <w:t>наемными как заключенный.</w:t>
      </w:r>
    </w:p>
    <w:p w14:paraId="77C834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это невольно вызывало уважение к нему и жела</w:t>
      </w:r>
      <w:r w:rsidRPr="007122AB">
        <w:rPr>
          <w:rFonts w:ascii="Times New Roman" w:hAnsi="Times New Roman"/>
          <w:color w:val="000000" w:themeColor="text1"/>
          <w:sz w:val="16"/>
          <w:szCs w:val="16"/>
        </w:rPr>
        <w:softHyphen/>
        <w:t>ние работать с ним.</w:t>
      </w:r>
    </w:p>
    <w:p w14:paraId="569BEE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Его указания по работе (мы делали компоновку ис</w:t>
      </w:r>
      <w:r w:rsidRPr="007122AB">
        <w:rPr>
          <w:rFonts w:ascii="Times New Roman" w:hAnsi="Times New Roman"/>
          <w:color w:val="000000" w:themeColor="text1"/>
          <w:sz w:val="16"/>
          <w:szCs w:val="16"/>
        </w:rPr>
        <w:softHyphen/>
        <w:t>требителя под весьма мощный двигатель, который не был построен из-за того, что двигатель был лишь в про</w:t>
      </w:r>
      <w:r w:rsidRPr="007122AB">
        <w:rPr>
          <w:rFonts w:ascii="Times New Roman" w:hAnsi="Times New Roman"/>
          <w:color w:val="000000" w:themeColor="text1"/>
          <w:sz w:val="16"/>
          <w:szCs w:val="16"/>
        </w:rPr>
        <w:softHyphen/>
        <w:t>екте и так и остался) воспринимались как результат беседы и совместного обсуждения. Не могу вспомнить случая, чтобы он что-либо «приказал» сделать или уго</w:t>
      </w:r>
      <w:r w:rsidRPr="007122AB">
        <w:rPr>
          <w:rFonts w:ascii="Times New Roman" w:hAnsi="Times New Roman"/>
          <w:color w:val="000000" w:themeColor="text1"/>
          <w:sz w:val="16"/>
          <w:szCs w:val="16"/>
        </w:rPr>
        <w:softHyphen/>
        <w:t>варивал» (10667).</w:t>
      </w:r>
    </w:p>
    <w:p w14:paraId="37130B38" w14:textId="4DBCA67D"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25ABED" w14:textId="2518E324" w:rsidR="003B2F50" w:rsidRPr="007122AB" w:rsidRDefault="003B2F50" w:rsidP="007122AB">
      <w:pPr>
        <w:pStyle w:val="5b"/>
        <w:spacing w:line="240" w:lineRule="auto"/>
        <w:jc w:val="both"/>
        <w:rPr>
          <w:color w:val="000000" w:themeColor="text1"/>
          <w:sz w:val="16"/>
          <w:szCs w:val="16"/>
        </w:rPr>
      </w:pPr>
      <w:r w:rsidRPr="007122AB">
        <w:rPr>
          <w:color w:val="000000" w:themeColor="text1"/>
          <w:sz w:val="16"/>
          <w:szCs w:val="16"/>
          <w:lang w:bidi="ru-RU"/>
        </w:rPr>
        <w:t xml:space="preserve">В середине 1931 года посланцы </w:t>
      </w:r>
      <w:proofErr w:type="spellStart"/>
      <w:r w:rsidRPr="007122AB">
        <w:rPr>
          <w:color w:val="000000" w:themeColor="text1"/>
          <w:sz w:val="16"/>
          <w:szCs w:val="16"/>
          <w:lang w:bidi="ru-RU"/>
        </w:rPr>
        <w:t>Гольцмана</w:t>
      </w:r>
      <w:proofErr w:type="spellEnd"/>
      <w:r w:rsidRPr="007122AB">
        <w:rPr>
          <w:color w:val="000000" w:themeColor="text1"/>
          <w:sz w:val="16"/>
          <w:szCs w:val="16"/>
          <w:lang w:bidi="ru-RU"/>
        </w:rPr>
        <w:t xml:space="preserve"> разыскали наследников дела Парсеваля, те выпускали небольшие гражданские самолёты, воздушные шары и надувные лодки, а в 1929-1930 годах также построили несколько полужёстких дирижаблей объёмом не больше 2,6 тыс. кубометров - один из них носил на оболочке ту самую рекламу шоколада «</w:t>
      </w:r>
      <w:proofErr w:type="spellStart"/>
      <w:r w:rsidRPr="007122AB">
        <w:rPr>
          <w:color w:val="000000" w:themeColor="text1"/>
          <w:sz w:val="16"/>
          <w:szCs w:val="16"/>
          <w:lang w:bidi="ru-RU"/>
        </w:rPr>
        <w:t>Трумпф</w:t>
      </w:r>
      <w:proofErr w:type="spellEnd"/>
      <w:r w:rsidRPr="007122AB">
        <w:rPr>
          <w:color w:val="000000" w:themeColor="text1"/>
          <w:sz w:val="16"/>
          <w:szCs w:val="16"/>
          <w:lang w:bidi="ru-RU"/>
        </w:rPr>
        <w:t>».</w:t>
      </w:r>
    </w:p>
    <w:p w14:paraId="0BE54C72" w14:textId="77777777" w:rsidR="007020CA" w:rsidRPr="007122AB" w:rsidRDefault="003B2F50" w:rsidP="007122AB">
      <w:pPr>
        <w:pStyle w:val="5b"/>
        <w:spacing w:line="240" w:lineRule="auto"/>
        <w:jc w:val="both"/>
        <w:rPr>
          <w:color w:val="000000" w:themeColor="text1"/>
          <w:sz w:val="16"/>
          <w:szCs w:val="16"/>
          <w:lang w:bidi="ru-RU"/>
        </w:rPr>
      </w:pPr>
      <w:r w:rsidRPr="007122AB">
        <w:rPr>
          <w:color w:val="000000" w:themeColor="text1"/>
          <w:sz w:val="16"/>
          <w:szCs w:val="16"/>
          <w:lang w:bidi="ru-RU"/>
        </w:rPr>
        <w:t>У фирмы запросили условия на разработку силами её конструкторского бюро в Германии проекта полужёсткого дирижабля объёмом около 10 тыс. кубометров, с одновременным обучением советского персонала. Изготовить и собрать дирижабль требовалось уже в СССР с участием немецких специалистов. Немцы почти согласились, оценив свою работу в 600 тыс. марок, что вполне устраивало советскую сторону в качестве отправной точки, и переговоры продолжились</w:t>
      </w:r>
      <w:r w:rsidR="007020CA" w:rsidRPr="007122AB">
        <w:rPr>
          <w:color w:val="000000" w:themeColor="text1"/>
          <w:sz w:val="16"/>
          <w:szCs w:val="16"/>
          <w:lang w:bidi="ru-RU"/>
        </w:rPr>
        <w:t>.</w:t>
      </w:r>
    </w:p>
    <w:p w14:paraId="76B26F60" w14:textId="77777777" w:rsidR="007020CA" w:rsidRPr="007122AB" w:rsidRDefault="007020CA" w:rsidP="007122AB">
      <w:pPr>
        <w:pStyle w:val="5b"/>
        <w:spacing w:line="240" w:lineRule="auto"/>
        <w:jc w:val="both"/>
        <w:rPr>
          <w:color w:val="000000" w:themeColor="text1"/>
          <w:sz w:val="16"/>
          <w:szCs w:val="16"/>
        </w:rPr>
      </w:pPr>
      <w:r w:rsidRPr="007122AB">
        <w:rPr>
          <w:color w:val="000000" w:themeColor="text1"/>
          <w:sz w:val="16"/>
          <w:szCs w:val="16"/>
          <w:lang w:bidi="ru-RU"/>
        </w:rPr>
        <w:t xml:space="preserve">По качествам </w:t>
      </w:r>
      <w:proofErr w:type="spellStart"/>
      <w:r w:rsidRPr="007122AB">
        <w:rPr>
          <w:color w:val="000000" w:themeColor="text1"/>
          <w:sz w:val="16"/>
          <w:szCs w:val="16"/>
          <w:lang w:bidi="ru-RU"/>
        </w:rPr>
        <w:t>парсевалевский</w:t>
      </w:r>
      <w:proofErr w:type="spellEnd"/>
      <w:r w:rsidRPr="007122AB">
        <w:rPr>
          <w:color w:val="000000" w:themeColor="text1"/>
          <w:sz w:val="16"/>
          <w:szCs w:val="16"/>
          <w:lang w:bidi="ru-RU"/>
        </w:rPr>
        <w:t xml:space="preserve"> корабль </w:t>
      </w:r>
      <w:r w:rsidRPr="007122AB">
        <w:rPr>
          <w:color w:val="000000" w:themeColor="text1"/>
          <w:sz w:val="16"/>
          <w:szCs w:val="16"/>
          <w:lang w:val="en-US" w:eastAsia="en-US" w:bidi="en-US"/>
        </w:rPr>
        <w:t>PL</w:t>
      </w:r>
      <w:r w:rsidRPr="007122AB">
        <w:rPr>
          <w:color w:val="000000" w:themeColor="text1"/>
          <w:sz w:val="16"/>
          <w:szCs w:val="16"/>
          <w:lang w:eastAsia="en-US" w:bidi="en-US"/>
        </w:rPr>
        <w:t xml:space="preserve"> </w:t>
      </w:r>
      <w:r w:rsidRPr="007122AB">
        <w:rPr>
          <w:color w:val="000000" w:themeColor="text1"/>
          <w:sz w:val="16"/>
          <w:szCs w:val="16"/>
          <w:lang w:bidi="ru-RU"/>
        </w:rPr>
        <w:t>27 едва ли уступал «Норвегии» и «Италии». В послужном списке «немца» не было ничего особенного; у «итальянцев» имелся впечатляющий трансполярный перелёт, но и не менее известная катастрофа. Для сравнения их безаварийности, экономичности и прочих качеств не хватало налёта, статистики.</w:t>
      </w:r>
    </w:p>
    <w:p w14:paraId="46416E8D" w14:textId="3667BE65" w:rsidR="003B2F50" w:rsidRPr="007122AB" w:rsidRDefault="007020CA" w:rsidP="007122AB">
      <w:pPr>
        <w:pStyle w:val="5b"/>
        <w:spacing w:line="240" w:lineRule="auto"/>
        <w:jc w:val="both"/>
        <w:rPr>
          <w:color w:val="000000" w:themeColor="text1"/>
          <w:sz w:val="16"/>
          <w:szCs w:val="16"/>
        </w:rPr>
      </w:pPr>
      <w:r w:rsidRPr="007122AB">
        <w:rPr>
          <w:color w:val="000000" w:themeColor="text1"/>
          <w:sz w:val="16"/>
          <w:szCs w:val="16"/>
          <w:lang w:bidi="ru-RU"/>
        </w:rPr>
        <w:t>Не исключено, что против сотрудничества с немцами сработали перемены во внешнеполитическом курсе Германии с неясными перспективами для двусторонних отношений. Однако, несмотря на явственное ощущение этих процессов, никто в советском руководстве тогда не предполагал, насколько радикальными они окажутся и к чему приведут</w:t>
      </w:r>
      <w:r w:rsidR="003B2F50" w:rsidRPr="007122AB">
        <w:rPr>
          <w:color w:val="000000" w:themeColor="text1"/>
          <w:sz w:val="16"/>
          <w:szCs w:val="16"/>
          <w:lang w:bidi="ru-RU"/>
        </w:rPr>
        <w:t xml:space="preserve"> (23192).</w:t>
      </w:r>
    </w:p>
    <w:p w14:paraId="64DAEF92" w14:textId="77777777" w:rsidR="003B2F50" w:rsidRPr="007122AB" w:rsidRDefault="003B2F50" w:rsidP="007122AB">
      <w:pPr>
        <w:autoSpaceDE w:val="0"/>
        <w:autoSpaceDN w:val="0"/>
        <w:adjustRightInd w:val="0"/>
        <w:spacing w:after="0" w:line="240" w:lineRule="auto"/>
        <w:jc w:val="both"/>
        <w:rPr>
          <w:rFonts w:ascii="Times New Roman" w:hAnsi="Times New Roman"/>
          <w:color w:val="000000" w:themeColor="text1"/>
          <w:sz w:val="16"/>
          <w:szCs w:val="16"/>
        </w:rPr>
      </w:pPr>
    </w:p>
    <w:p w14:paraId="6E7DE58F"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1931, согласно воспоминаниям Дмитрия Людвиговича Томашевич, впоследствии главного конструк</w:t>
      </w:r>
      <w:r w:rsidRPr="00441F34">
        <w:rPr>
          <w:rFonts w:ascii="Times New Roman" w:hAnsi="Times New Roman"/>
          <w:color w:val="0070C0"/>
          <w:sz w:val="16"/>
          <w:szCs w:val="16"/>
        </w:rPr>
        <w:softHyphen/>
        <w:t xml:space="preserve">тора авиационной и ракетной техники; </w:t>
      </w:r>
    </w:p>
    <w:p w14:paraId="6EDC97A8"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1931 г. я ушел на работу в конструкторское бюро, находящееся под опекой НКВД. В нем работали и заключенные специалисты, и вольнонаемные. Я работал в отделе общих видов и здесь впервые лично встретился с Н.Н. Поликарповым.</w:t>
      </w:r>
    </w:p>
    <w:p w14:paraId="1FB2F9DA"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Он относился к нам, вольнонаемным молодым инженерам, как равный.</w:t>
      </w:r>
    </w:p>
    <w:p w14:paraId="3027D060"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w:t>
      </w:r>
    </w:p>
    <w:p w14:paraId="0271C4DA"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другой стороны, и не лебезил перед нами - вольнонаемными как заключенный.</w:t>
      </w:r>
    </w:p>
    <w:p w14:paraId="619987BB"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это невольно вызывало уважение к нему и желание работать с ним.</w:t>
      </w:r>
    </w:p>
    <w:p w14:paraId="59F8F50A"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w:t>
      </w:r>
      <w:r w:rsidRPr="00441F34">
        <w:rPr>
          <w:rFonts w:ascii="Times New Roman" w:hAnsi="Times New Roman"/>
          <w:color w:val="0070C0"/>
          <w:sz w:val="16"/>
          <w:szCs w:val="16"/>
        </w:rPr>
        <w:softHyphen/>
        <w:t>нимались как результат беседы и совместного обсуждения. Не могу вспомнить случая, чтобы он что- либо «приказал» сделать или угова</w:t>
      </w:r>
      <w:r w:rsidRPr="00441F34">
        <w:rPr>
          <w:rFonts w:ascii="Times New Roman" w:hAnsi="Times New Roman"/>
          <w:color w:val="0070C0"/>
          <w:sz w:val="16"/>
          <w:szCs w:val="16"/>
        </w:rPr>
        <w:softHyphen/>
        <w:t>ривал» (23406).</w:t>
      </w:r>
    </w:p>
    <w:p w14:paraId="3EDD64E3" w14:textId="77777777" w:rsidR="000B7ADA" w:rsidRPr="00441F34" w:rsidRDefault="000B7ADA" w:rsidP="000B7ADA">
      <w:pPr>
        <w:spacing w:after="0" w:line="240" w:lineRule="auto"/>
        <w:jc w:val="both"/>
        <w:rPr>
          <w:rFonts w:ascii="Times New Roman" w:hAnsi="Times New Roman"/>
          <w:color w:val="0070C0"/>
          <w:sz w:val="16"/>
          <w:szCs w:val="16"/>
        </w:rPr>
      </w:pPr>
    </w:p>
    <w:p w14:paraId="4E7433A7" w14:textId="77777777" w:rsidR="000B7ADA" w:rsidRPr="00441F34" w:rsidRDefault="000B7ADA" w:rsidP="000B7A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1931 г. заведующий кафедрой самолетостроения Харьков</w:t>
      </w:r>
      <w:r w:rsidRPr="00441F34">
        <w:rPr>
          <w:rFonts w:ascii="Times New Roman" w:hAnsi="Times New Roman"/>
          <w:color w:val="0070C0"/>
          <w:sz w:val="16"/>
          <w:szCs w:val="16"/>
        </w:rPr>
        <w:softHyphen/>
        <w:t>ского авиационного института (ХАИ) И.Г Неман (1903 - 1952) собрал группу энтузиастов из числа преподавателей и студентов и увлек их идеей проекти</w:t>
      </w:r>
      <w:r w:rsidRPr="00441F34">
        <w:rPr>
          <w:rFonts w:ascii="Times New Roman" w:hAnsi="Times New Roman"/>
          <w:color w:val="0070C0"/>
          <w:sz w:val="16"/>
          <w:szCs w:val="16"/>
        </w:rPr>
        <w:softHyphen/>
        <w:t>рования настоящего самолета. Резуль</w:t>
      </w:r>
      <w:r w:rsidRPr="00441F34">
        <w:rPr>
          <w:rFonts w:ascii="Times New Roman" w:hAnsi="Times New Roman"/>
          <w:color w:val="0070C0"/>
          <w:sz w:val="16"/>
          <w:szCs w:val="16"/>
        </w:rPr>
        <w:softHyphen/>
        <w:t>татом стал проект ХАИ-1 - скоростного пассажирского самолета, одномотор</w:t>
      </w:r>
      <w:r w:rsidRPr="00441F34">
        <w:rPr>
          <w:rFonts w:ascii="Times New Roman" w:hAnsi="Times New Roman"/>
          <w:color w:val="0070C0"/>
          <w:sz w:val="16"/>
          <w:szCs w:val="16"/>
        </w:rPr>
        <w:softHyphen/>
        <w:t>ного свободнонесущего моноплана с убирающимся шасси. Подобная концеп</w:t>
      </w:r>
      <w:r w:rsidRPr="00441F34">
        <w:rPr>
          <w:rFonts w:ascii="Times New Roman" w:hAnsi="Times New Roman"/>
          <w:color w:val="0070C0"/>
          <w:sz w:val="16"/>
          <w:szCs w:val="16"/>
        </w:rPr>
        <w:softHyphen/>
        <w:t>ция тогда была в мире весьма модной. Ее отражением стали американский «Орион» и немецкие FW 60 и Не 70. На испытаниях осенью 1932 г. ХАИ-1 показал скорость 292 км/ч. В 1934 г. самолет начали осваивать на заводе № 21 в Горьком, хотя там построили всего одну машину, в том же году ХАИ-1 стали серийно строить на заводе № 43 в Киеве. Всего их сделали около по</w:t>
      </w:r>
      <w:r w:rsidRPr="00441F34">
        <w:rPr>
          <w:rFonts w:ascii="Times New Roman" w:hAnsi="Times New Roman"/>
          <w:color w:val="0070C0"/>
          <w:sz w:val="16"/>
          <w:szCs w:val="16"/>
        </w:rPr>
        <w:softHyphen/>
        <w:t>лусотни. За создание быстроходного моноплана Немана наградили орденом Красной Звезды (23523).</w:t>
      </w:r>
    </w:p>
    <w:p w14:paraId="5AEE69AE" w14:textId="77777777" w:rsidR="000B7ADA" w:rsidRPr="00441F34" w:rsidRDefault="000B7ADA" w:rsidP="000B7ADA">
      <w:pPr>
        <w:spacing w:after="0" w:line="240" w:lineRule="auto"/>
        <w:jc w:val="both"/>
        <w:rPr>
          <w:rFonts w:ascii="Times New Roman" w:hAnsi="Times New Roman"/>
          <w:color w:val="0070C0"/>
          <w:sz w:val="16"/>
          <w:szCs w:val="16"/>
        </w:rPr>
      </w:pPr>
    </w:p>
    <w:p w14:paraId="70A2431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BF51B8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2DF7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середине 1931 года в тракторном отделе ХПЗ была </w:t>
      </w:r>
      <w:proofErr w:type="spellStart"/>
      <w:r w:rsidRPr="007122AB">
        <w:rPr>
          <w:rFonts w:ascii="Times New Roman" w:hAnsi="Times New Roman"/>
          <w:color w:val="000000" w:themeColor="text1"/>
          <w:sz w:val="16"/>
          <w:szCs w:val="16"/>
        </w:rPr>
        <w:t>ихготовлена</w:t>
      </w:r>
      <w:proofErr w:type="spellEnd"/>
      <w:r w:rsidRPr="007122AB">
        <w:rPr>
          <w:rFonts w:ascii="Times New Roman" w:hAnsi="Times New Roman"/>
          <w:color w:val="000000" w:themeColor="text1"/>
          <w:sz w:val="16"/>
          <w:szCs w:val="16"/>
        </w:rPr>
        <w:t xml:space="preserve"> опытная серия средних танков Т-24 в количе</w:t>
      </w:r>
      <w:r w:rsidRPr="007122AB">
        <w:rPr>
          <w:rFonts w:ascii="Times New Roman" w:hAnsi="Times New Roman"/>
          <w:color w:val="000000" w:themeColor="text1"/>
          <w:sz w:val="16"/>
          <w:szCs w:val="16"/>
        </w:rPr>
        <w:softHyphen/>
        <w:t>стве 20 штук (11504).</w:t>
      </w:r>
    </w:p>
    <w:p w14:paraId="6F71C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AF0B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1931 г. приказом ВСНХ завод “Серп и молот” был включен в список строительств, взятых под особое наблюдение. В это время на заводе только крупных объектов строилось около 20.</w:t>
      </w:r>
    </w:p>
    <w:p w14:paraId="284A13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приступил к реконструкции, не дожидаясь принятия окончательного решения. 1926/27 г. ушел на изготовление проекта реконструкции прокатки и подготовительные работы. 1927/28 г. стал первым годом, когда реконструкция началась реализовываться на практике, на нее было ассигновано 2 млн руб. На заводе занимались освобождением площадей и закладкой фундаментов. Первым должен был подвергнуться реконструкции прокатный цех. К январю 1929 г. был построен новый крупносортный прокатный стан, в ноябре — среднесортный. После принятия решения о реконструкции завода на старом месте она стала проводиться усиленными темпами.</w:t>
      </w:r>
    </w:p>
    <w:p w14:paraId="3CD735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Решением </w:t>
      </w:r>
      <w:proofErr w:type="spellStart"/>
      <w:r w:rsidRPr="007122AB">
        <w:rPr>
          <w:rFonts w:ascii="Times New Roman" w:hAnsi="Times New Roman"/>
          <w:color w:val="000000" w:themeColor="text1"/>
          <w:sz w:val="16"/>
          <w:szCs w:val="16"/>
        </w:rPr>
        <w:t>Машинотреста</w:t>
      </w:r>
      <w:proofErr w:type="spellEnd"/>
      <w:r w:rsidRPr="007122AB">
        <w:rPr>
          <w:rFonts w:ascii="Times New Roman" w:hAnsi="Times New Roman"/>
          <w:color w:val="000000" w:themeColor="text1"/>
          <w:sz w:val="16"/>
          <w:szCs w:val="16"/>
        </w:rPr>
        <w:t xml:space="preserve"> для реконструкции при заводе создавался отдел капитального строительства (ОКС), силами которого и велось строительство новых объектов. Выпуск продукции намечалось довести до 250 тыс. т в год. В 1930 г. на реконструкцию было отпущено более 6 млн руб., в 1931 г. еще 12 млн и т.д. </w:t>
      </w:r>
    </w:p>
    <w:p w14:paraId="27269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конца 20-х годов стал одним из ключевых предприятий главка </w:t>
      </w:r>
      <w:proofErr w:type="spellStart"/>
      <w:r w:rsidRPr="007122AB">
        <w:rPr>
          <w:rFonts w:ascii="Times New Roman" w:hAnsi="Times New Roman"/>
          <w:color w:val="000000" w:themeColor="text1"/>
          <w:sz w:val="16"/>
          <w:szCs w:val="16"/>
        </w:rPr>
        <w:t>Главспецсталь</w:t>
      </w:r>
      <w:proofErr w:type="spellEnd"/>
      <w:r w:rsidRPr="007122AB">
        <w:rPr>
          <w:rFonts w:ascii="Times New Roman" w:hAnsi="Times New Roman"/>
          <w:color w:val="000000" w:themeColor="text1"/>
          <w:sz w:val="16"/>
          <w:szCs w:val="16"/>
        </w:rPr>
        <w:t>, куда помимо него входили такие заводы как "Красный октябрь" (Сталинград), "Электросталь", "Днепроспецсталь", Челябинский, Златоустовский и Верх-Исетские металлургические заводы. Хотя "Серп и Молот" впервые по советским меркам показал прибыль только в 1935 году, по производственным и технологическим показателям он считался передовым заводом: так, в 1934 году мартенщики предприятия снимали с квадратного метра пода печи 4,1 тонны металла, что было рекордом для советской промышленности (в Германии обычно снимали в то время порядка 5,2 тонн стали).</w:t>
      </w:r>
    </w:p>
    <w:p w14:paraId="0F5C4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Реконструкция протекала сумбурно, как и по всей стране. В 1931 г. выяснилось, что строительство ведется при отсутствии генерального плана и без утвержденного наверху </w:t>
      </w:r>
      <w:proofErr w:type="spellStart"/>
      <w:r w:rsidRPr="007122AB">
        <w:rPr>
          <w:rFonts w:ascii="Times New Roman" w:hAnsi="Times New Roman"/>
          <w:color w:val="000000" w:themeColor="text1"/>
          <w:sz w:val="16"/>
          <w:szCs w:val="16"/>
        </w:rPr>
        <w:t>промзадания</w:t>
      </w:r>
      <w:proofErr w:type="spellEnd"/>
      <w:r w:rsidRPr="007122AB">
        <w:rPr>
          <w:rFonts w:ascii="Times New Roman" w:hAnsi="Times New Roman"/>
          <w:color w:val="000000" w:themeColor="text1"/>
          <w:sz w:val="16"/>
          <w:szCs w:val="16"/>
        </w:rPr>
        <w:t xml:space="preserve">. Планы неоднократно корректировались и пересматривались в сторону увеличения. Все это привело к возникновению внутризаводской «лихорадки», нерациональному использованию ресурсов. Для решения всех задач не хватало ни средств, ни материалов, поставлявшихся к тому же крайне нерегулярно. Приходилось «бросать силы с одного начатого объекта на другой». Дополнительные трудности создавало ужасающее состояние заводского первичного учета. </w:t>
      </w:r>
    </w:p>
    <w:p w14:paraId="62C00A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многих цехах отсутствовали даже весы, «готовая продукция если и взвешивалась, то дней через десять после ее изготовления. На некоторых станах не делали даже и этого», определяя вес приблизительно, «на глазок». В фасонно-литейном цехе «главный механик завода в течение года записал на счет цеха 360 т нефти на несуществующий в цехе агрегат». В листопрокатке отсутствовал «учет как поступления, так и расхода угля, кислоты и других материалов. И так в каждом цехе». «Знание действительной себестоимости изделий зачастую отсутствовало». В результате, как признавалось даже в советской литературе, дело доходило до курьезов: «по некоторым техническим калькуляциям выходило, что прокат получался почти без затрат топлива». В 1931 г. было официально признано, что в своих экономических расчетах завод пользовался неправильной методологией, и «по целому ряду мероприятий расчеты были преувеличены».</w:t>
      </w:r>
    </w:p>
    <w:p w14:paraId="7C6677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итоге планы не выполнялись, ввод в строй новых объектов постоянно срывался, частыми были аварии. В частности жертвой невыполнения планов пал рабочий клуб, старое здание которого сломали в 1931 г., а новое построили только в 1933 г. Едва ли не самым тяжелым для предприятия был 1931 г., годовой план которого даже по официальным данным не был выполнен. По весу его выполнил только прокатный цех, а по стоимости — фасонно-литейный и листопрокатный. Причем последние два цеха перешли к выпуску новой продукции, цены на которую были завышены. Ростом цен руководство пыталось также компенсировать увеличение себестоимости выпускаемой продукции, выросшей за этот год на 4,5%. </w:t>
      </w:r>
    </w:p>
    <w:p w14:paraId="0209DF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Хуже всего обстояли дела летом 1931 г., для выяснения причин «прорыва» на завод была прислана бригада московского комитета партии. Комиссия наметила целый ряд мер для улучшения ситуации, в том числе предложила «перенести центр тяжести культурно-политической работы в цех, бригаду и общежития рабочих».</w:t>
      </w:r>
    </w:p>
    <w:p w14:paraId="4FD96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Последнее предложение лежало в русле общей государственной политики, проводимой еще с середины 1920-х гг. и направленной на широкое привлечение рабочих к решению производственных проблем. С этой целью, в частности, в 1931 г. на заводе впервые в стране были созданы бригады общественной приемки новых строек (в дальнейшем данный опыт «Серпа и молота» был распространен и на другие предприятия). В декабре 1931 г. был организован сталинский внутризаводской рейд по проверке выполнения знаменитых шести условий Сталина и т.д.</w:t>
      </w:r>
    </w:p>
    <w:p w14:paraId="62AB2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значение придавалось вовлечению рабочих в процесс составления заводских планов, так называемому встречному планированию. В 1930 г. на заводе был впервые составлен встречный план, увеличивший программу на 7843 тыс. руб. или на 15%. По встречному плану 1932 г. программа увеличивалась на 2600 тыс. руб.</w:t>
      </w:r>
    </w:p>
    <w:p w14:paraId="5C43C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помощью привлечения рабочих к планированию предполагалось наладить первичный заводской учет, обеспечить полную загрузку используемого оборудования, выработать технические нормы и коэффициенты, установить конкретные плановые задания каждой бригаде, каждому рабочему. По официальным данным движение за встречный план достигло ощутимых успехов. В 1930 г. «к 10.08 на рабочих участках было создано 117 плановых бригад и 37 специальных бригад (межцеховых, социально-бытовых, кадры и пр.) с количеством 767 рабочих и ИТР. Кроме того, работало 18 цеховых временных контрольных комиссий (ВКК), в которых участвовало 159 человек рабочих и ИТР. Всего около 1000 рабочих и ИТР завода. На собраниях же обсуждали составленные бригадами встречные нормы и коэффициенты, присутствовало 5 с половиной тысяч рабочих. В 1931 году, когда составляли план на 1932 г., рабочие были еще более активны — в бригадах работало 1972 человека». Была составлена и выпущена приложением к газете «</w:t>
      </w:r>
      <w:proofErr w:type="spellStart"/>
      <w:r w:rsidRPr="007122AB">
        <w:rPr>
          <w:rFonts w:ascii="Times New Roman" w:hAnsi="Times New Roman"/>
          <w:color w:val="000000" w:themeColor="text1"/>
          <w:sz w:val="16"/>
          <w:szCs w:val="16"/>
        </w:rPr>
        <w:t>Мартеновка</w:t>
      </w:r>
      <w:proofErr w:type="spellEnd"/>
      <w:r w:rsidRPr="007122AB">
        <w:rPr>
          <w:rFonts w:ascii="Times New Roman" w:hAnsi="Times New Roman"/>
          <w:color w:val="000000" w:themeColor="text1"/>
          <w:sz w:val="16"/>
          <w:szCs w:val="16"/>
        </w:rPr>
        <w:t>» брошюра о методике составления встречных планов. Составление плана на 1932 г. было признано газетой «Рабочая Москва», органом Московского комитета ВКП(б), образцовым. Однако в реальности дело обстояло не так радужно. Встречные планы не выполнялись. Доведение планирования до конкретного рабочего места, по сути, провалилось, на заводе еще долго говорили о необходимости решения этой задачи.</w:t>
      </w:r>
    </w:p>
    <w:p w14:paraId="2E9B7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Несмотря на все трудности, в деле реконструкции имелись очевидные успехи. Уже в 1930 г. был построен новый ремонтно-механический цех (11570).</w:t>
      </w:r>
    </w:p>
    <w:p w14:paraId="1E3B0B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34E086" w14:textId="77777777" w:rsidR="00962513" w:rsidRPr="007122AB" w:rsidRDefault="0096251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9966945" w14:textId="77777777" w:rsidR="00962513" w:rsidRPr="007122AB" w:rsidRDefault="0096251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5147D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середине 1931 г. из-за количественного роста самолетного парка и увеличения числа многомоторных бомбардировщиков, в ВВС продолжал увеличиваться некомплект </w:t>
      </w:r>
      <w:proofErr w:type="spellStart"/>
      <w:r w:rsidRPr="007122AB">
        <w:rPr>
          <w:rFonts w:ascii="Times New Roman" w:hAnsi="Times New Roman"/>
          <w:color w:val="000000" w:themeColor="text1"/>
          <w:sz w:val="16"/>
          <w:szCs w:val="16"/>
        </w:rPr>
        <w:t>инженернотехнического</w:t>
      </w:r>
      <w:proofErr w:type="spellEnd"/>
      <w:r w:rsidRPr="007122AB">
        <w:rPr>
          <w:rFonts w:ascii="Times New Roman" w:hAnsi="Times New Roman"/>
          <w:color w:val="000000" w:themeColor="text1"/>
          <w:sz w:val="16"/>
          <w:szCs w:val="16"/>
        </w:rPr>
        <w:t xml:space="preserve"> состава. По авиационным техникам и техникам спецслужб этот некомплект составлял соответственно 23,9 % и 27 %. С инженерами дело обстояло еще сложнее. В 1931 г. некомплект инженеров в ВВС составил более 60 %. По штату требовался 791 инженер, а имелось всего 309. Этот некомплект в военное время мог проявиться еще острее. Требовалось срочно развивать систему подготовки </w:t>
      </w:r>
      <w:proofErr w:type="spellStart"/>
      <w:r w:rsidRPr="007122AB">
        <w:rPr>
          <w:rFonts w:ascii="Times New Roman" w:hAnsi="Times New Roman"/>
          <w:color w:val="000000" w:themeColor="text1"/>
          <w:sz w:val="16"/>
          <w:szCs w:val="16"/>
        </w:rPr>
        <w:t>авиакадров</w:t>
      </w:r>
      <w:proofErr w:type="spellEnd"/>
      <w:r w:rsidRPr="007122AB">
        <w:rPr>
          <w:rFonts w:ascii="Times New Roman" w:hAnsi="Times New Roman"/>
          <w:color w:val="000000" w:themeColor="text1"/>
          <w:sz w:val="16"/>
          <w:szCs w:val="16"/>
        </w:rPr>
        <w:t xml:space="preserve"> с тем, чтобы она соответствовала нараставшим темпам поступления в войска новой авиатехники (19566).</w:t>
      </w:r>
    </w:p>
    <w:p w14:paraId="7B3D0F43"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707F8495" w14:textId="77777777" w:rsidR="00962513" w:rsidRPr="007122AB" w:rsidRDefault="00962513" w:rsidP="007122AB">
      <w:pPr>
        <w:pStyle w:val="ae"/>
        <w:shd w:val="clear" w:color="auto" w:fill="FFFFFF"/>
        <w:spacing w:before="0" w:after="0"/>
        <w:jc w:val="both"/>
        <w:textAlignment w:val="baseline"/>
        <w:rPr>
          <w:color w:val="000000" w:themeColor="text1"/>
          <w:sz w:val="16"/>
          <w:szCs w:val="16"/>
        </w:rPr>
      </w:pPr>
      <w:r w:rsidRPr="007122AB">
        <w:rPr>
          <w:color w:val="000000" w:themeColor="text1"/>
          <w:sz w:val="16"/>
          <w:szCs w:val="16"/>
        </w:rPr>
        <w:t>В середине 1931 года руководство ВВС РККА вновь вернулось к рассмотрению вопроса о создании двухместного истребителя пушечного (развитие И-12), снятого с повестки дня осенью 1930 года по предложению ЦАГИ (19175).</w:t>
      </w:r>
    </w:p>
    <w:p w14:paraId="670E4316" w14:textId="77777777" w:rsidR="00962513" w:rsidRPr="007122AB" w:rsidRDefault="00962513" w:rsidP="007122AB">
      <w:pPr>
        <w:pStyle w:val="ae"/>
        <w:shd w:val="clear" w:color="auto" w:fill="FFFFFF"/>
        <w:spacing w:before="0" w:after="0"/>
        <w:jc w:val="both"/>
        <w:textAlignment w:val="baseline"/>
        <w:rPr>
          <w:color w:val="000000" w:themeColor="text1"/>
          <w:sz w:val="16"/>
          <w:szCs w:val="16"/>
        </w:rPr>
      </w:pPr>
    </w:p>
    <w:p w14:paraId="29307FA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49F042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6E88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середине 1931-го нормирование промышленных товаров было введено официально по всей стране. Одежды и обуви не хватало катастрофически. Иностранцы, приезжавшие в СССР, отмечали, что люди одеты кое-как, одежда в основном коричневого или черного цвета, почти не встретить нарядную женщину. Люди имели по 1-2 платья, 1-2 рубахи, 4-5 смен белья. Параллельно нормированному распределению существовали коммерческая торговля, Торгсин (Всесоюзное объединение по торговле с иностранцами), а также колхозный рынок. Особенно нуждались в коммерческих, торгсиновских магазинах и рынке те категории населения, которым не давали (или давали с ограничением) карточки, - лишенцы, крестьяне, интеллигенция. В коммерческих магазинах цены были в несколько раз выше, чем по карточкам (11566).</w:t>
      </w:r>
    </w:p>
    <w:p w14:paraId="6288FB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23E39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7DFE0A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B9C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1931 г. еще одна советская военная делегация вела в Берлине переговоры с управлением вооружений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w:t>
      </w:r>
      <w:proofErr w:type="spellStart"/>
      <w:r w:rsidRPr="007122AB">
        <w:rPr>
          <w:rFonts w:ascii="Times New Roman" w:hAnsi="Times New Roman"/>
          <w:color w:val="000000" w:themeColor="text1"/>
          <w:sz w:val="16"/>
          <w:szCs w:val="16"/>
        </w:rPr>
        <w:t>Rolf-Dieter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Muller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S. 231). С учетом заказов под данный кредит общая сумма советских заказов в Германии в 1931 г. составила 919,3 млн. м., превзойдя аналогичный показатель 1930 г. на 62,3%. «Советский Союз был в 1931 г. лучшим покупателем наших машин», — свидетельствовала тогда германская пресса (11784).</w:t>
      </w:r>
    </w:p>
    <w:p w14:paraId="5D43D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B41AD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1931 г. еще одна советская военная делегация вела в Берлине переговоры с управлением вооружений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С учетом заказов под данный кредит общая сумма советских заказов в Германии в 1931 г. составила 919,3 млн. м., превзойдя аналогичный показатель 1930 г. на 62,3 %. «Советский Союз был в 1931 г. лучшим покупателем наших машин», — свидетельствовала тогда германская пресса (18265).</w:t>
      </w:r>
    </w:p>
    <w:p w14:paraId="5176DA7C"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57A8B737" w14:textId="77777777" w:rsidR="00962513" w:rsidRPr="007122AB" w:rsidRDefault="0096251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E898F98" w14:textId="77777777" w:rsidR="00962513" w:rsidRPr="007122AB" w:rsidRDefault="0096251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E56B985"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color w:val="000000" w:themeColor="text1"/>
          <w:sz w:val="16"/>
          <w:szCs w:val="16"/>
        </w:rPr>
        <w:t>В первой половине 1931 года начальник 132 сектора 13 отдела ЦКБ Н. Н. Поликарпов, который каким-то образом ознакомился с самолетом И-8, направил начальнику 13 отдела докладную записку со своими предложениями по доводке самолета И-8. В ней он отметил, что:</w:t>
      </w:r>
    </w:p>
    <w:p w14:paraId="60181488"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«На самолете И-8 в настоящее время производятся следующие переделки: установка механизма для подъема стабилизатора, проводка для управления костылем и увеличение масляного радиатора.</w:t>
      </w:r>
    </w:p>
    <w:p w14:paraId="16D890EE"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Хотя испытания самолета не закончены, все же на основании имеющегося материала можно наметить план работ, необходимых для усовершенствования самолета. Эти работы вытекают из необходимости:</w:t>
      </w:r>
    </w:p>
    <w:p w14:paraId="0D3CC70B"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1) улучшить маневренность,</w:t>
      </w:r>
    </w:p>
    <w:p w14:paraId="6FAC9688"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2) увеличить скороподъемность и</w:t>
      </w:r>
    </w:p>
    <w:p w14:paraId="4B17DFAF"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3) усилить, если можно, огневую мощь, – все это при условии сохранения или увеличения горизонтальной скорости.</w:t>
      </w:r>
    </w:p>
    <w:p w14:paraId="6DED1536"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 xml:space="preserve">Основной работой для выполнения указанных улучшений является постановка мотора Кертис с импеллером и этиленгликолевым охлаждением, а также изыскание </w:t>
      </w:r>
      <w:proofErr w:type="spellStart"/>
      <w:r w:rsidRPr="007122AB">
        <w:rPr>
          <w:rStyle w:val="af0"/>
          <w:i w:val="0"/>
          <w:color w:val="000000" w:themeColor="text1"/>
          <w:sz w:val="16"/>
          <w:szCs w:val="16"/>
          <w:bdr w:val="none" w:sz="0" w:space="0" w:color="auto" w:frame="1"/>
        </w:rPr>
        <w:t>наивыгоднейшей</w:t>
      </w:r>
      <w:proofErr w:type="spellEnd"/>
      <w:r w:rsidRPr="007122AB">
        <w:rPr>
          <w:rStyle w:val="af0"/>
          <w:i w:val="0"/>
          <w:color w:val="000000" w:themeColor="text1"/>
          <w:sz w:val="16"/>
          <w:szCs w:val="16"/>
          <w:bdr w:val="none" w:sz="0" w:space="0" w:color="auto" w:frame="1"/>
        </w:rPr>
        <w:t xml:space="preserve"> дужки для замены NACA – М-12.</w:t>
      </w:r>
    </w:p>
    <w:p w14:paraId="3B53B440"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 xml:space="preserve">Для увеличения маневренности необходимо предложить изыскания </w:t>
      </w:r>
      <w:proofErr w:type="spellStart"/>
      <w:r w:rsidRPr="007122AB">
        <w:rPr>
          <w:rStyle w:val="af0"/>
          <w:i w:val="0"/>
          <w:color w:val="000000" w:themeColor="text1"/>
          <w:sz w:val="16"/>
          <w:szCs w:val="16"/>
          <w:bdr w:val="none" w:sz="0" w:space="0" w:color="auto" w:frame="1"/>
        </w:rPr>
        <w:t>наивыгоднейшей</w:t>
      </w:r>
      <w:proofErr w:type="spellEnd"/>
      <w:r w:rsidRPr="007122AB">
        <w:rPr>
          <w:rStyle w:val="af0"/>
          <w:i w:val="0"/>
          <w:color w:val="000000" w:themeColor="text1"/>
          <w:sz w:val="16"/>
          <w:szCs w:val="16"/>
          <w:bdr w:val="none" w:sz="0" w:space="0" w:color="auto" w:frame="1"/>
        </w:rPr>
        <w:t xml:space="preserve"> формы и компенсации горизонтального оперения.</w:t>
      </w:r>
    </w:p>
    <w:p w14:paraId="1536CA01"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Для уменьшения лобового сопротивления необходимо попытаться установить обтекатель винта с соответствующим изменением формы передней части фюзеляжа, закрыть кабину и рассмотреть вопрос постановки обтекателей колес и изменения схемы шасси.</w:t>
      </w:r>
    </w:p>
    <w:p w14:paraId="71F0382A"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Облегчение конструкции является следующим основным фактором – после замены мотора, – который должен уменьшить время подъема на высоту.</w:t>
      </w:r>
    </w:p>
    <w:p w14:paraId="27A79F1E"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Здесь, прежде всего, необходимо отметить замену углеродистых труб хромомолибденовыми, а также гофра – полотном (на обшивке оперения). Замена нержавеющей стали, на лонжеронах крыла, другим материалом даст облегчение коробки крыльев, точно так же, как применение электрона уменьшит вес капота, обшивки и креплений оборудования.</w:t>
      </w:r>
    </w:p>
    <w:p w14:paraId="648FFF1D"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Для усиления огневой мощи самолета необходимо просмотреть возможность для установки дополнительных пулеметов в счет перегрузки. Наконец, необходимо закончить работы по доводке до нормы охлаждения масла и воды (этиленгликоля), а также просмотреть вопрос о возможности увеличения отсека между мотором и фюзеляжем для более свободного размещения трубопроводов.</w:t>
      </w:r>
    </w:p>
    <w:p w14:paraId="033AE4BD"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Указанные меры позволят получить вполне современный истребитель, по своим показателям могущий противостоять И-7 и И-5.</w:t>
      </w:r>
    </w:p>
    <w:p w14:paraId="0565DB0A" w14:textId="77777777" w:rsidR="00962513" w:rsidRPr="007122AB" w:rsidRDefault="00962513" w:rsidP="007122AB">
      <w:pPr>
        <w:pStyle w:val="rtejustify"/>
        <w:shd w:val="clear" w:color="auto" w:fill="FFFFFF"/>
        <w:spacing w:before="0" w:after="0"/>
        <w:rPr>
          <w:color w:val="000000" w:themeColor="text1"/>
          <w:sz w:val="16"/>
          <w:szCs w:val="16"/>
        </w:rPr>
      </w:pPr>
      <w:r w:rsidRPr="007122AB">
        <w:rPr>
          <w:rStyle w:val="af0"/>
          <w:i w:val="0"/>
          <w:color w:val="000000" w:themeColor="text1"/>
          <w:sz w:val="16"/>
          <w:szCs w:val="16"/>
          <w:bdr w:val="none" w:sz="0" w:space="0" w:color="auto" w:frame="1"/>
        </w:rPr>
        <w:t xml:space="preserve">Принимая во внимание большой объем работ, переделки не могут быть выполнены к 1/V, </w:t>
      </w:r>
      <w:proofErr w:type="spellStart"/>
      <w:r w:rsidRPr="007122AB">
        <w:rPr>
          <w:rStyle w:val="af0"/>
          <w:i w:val="0"/>
          <w:color w:val="000000" w:themeColor="text1"/>
          <w:sz w:val="16"/>
          <w:szCs w:val="16"/>
          <w:bdr w:val="none" w:sz="0" w:space="0" w:color="auto" w:frame="1"/>
        </w:rPr>
        <w:t>потребуя</w:t>
      </w:r>
      <w:proofErr w:type="spellEnd"/>
      <w:r w:rsidRPr="007122AB">
        <w:rPr>
          <w:rStyle w:val="af0"/>
          <w:i w:val="0"/>
          <w:color w:val="000000" w:themeColor="text1"/>
          <w:sz w:val="16"/>
          <w:szCs w:val="16"/>
          <w:bdr w:val="none" w:sz="0" w:space="0" w:color="auto" w:frame="1"/>
        </w:rPr>
        <w:t xml:space="preserve"> дополнительного времени 3-4 месяца» (19171).</w:t>
      </w:r>
    </w:p>
    <w:p w14:paraId="2F90C0D7"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69EAFA9E" w14:textId="77777777" w:rsidR="000C1B8D" w:rsidRPr="00441F34" w:rsidRDefault="000C1B8D" w:rsidP="000C1B8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первой половине 1931 г. Совет Труда и Обороны принял решение о строительстве в Казани </w:t>
      </w:r>
      <w:proofErr w:type="spellStart"/>
      <w:r w:rsidRPr="00441F34">
        <w:rPr>
          <w:rFonts w:ascii="Times New Roman" w:hAnsi="Times New Roman"/>
          <w:color w:val="0070C0"/>
          <w:sz w:val="16"/>
          <w:szCs w:val="16"/>
        </w:rPr>
        <w:t>авиакомбината</w:t>
      </w:r>
      <w:proofErr w:type="spellEnd"/>
      <w:r w:rsidRPr="00441F34">
        <w:rPr>
          <w:rFonts w:ascii="Times New Roman" w:hAnsi="Times New Roman"/>
          <w:color w:val="0070C0"/>
          <w:sz w:val="16"/>
          <w:szCs w:val="16"/>
        </w:rPr>
        <w:t>. Инициатором строительства был  секретарь Татарского обкома ВКП(б) (?) Михаил Осипович Разумов (</w:t>
      </w:r>
      <w:proofErr w:type="spellStart"/>
      <w:r w:rsidRPr="00441F34">
        <w:rPr>
          <w:rFonts w:ascii="Times New Roman" w:hAnsi="Times New Roman"/>
          <w:color w:val="0070C0"/>
          <w:sz w:val="16"/>
          <w:szCs w:val="16"/>
        </w:rPr>
        <w:t>Арханцев</w:t>
      </w:r>
      <w:proofErr w:type="spellEnd"/>
      <w:r w:rsidRPr="00441F34">
        <w:rPr>
          <w:rFonts w:ascii="Times New Roman" w:hAnsi="Times New Roman"/>
          <w:color w:val="0070C0"/>
          <w:sz w:val="16"/>
          <w:szCs w:val="16"/>
        </w:rPr>
        <w:t xml:space="preserve"> Арон Иосифович). К концу этого же года начались изыскательские работы для его строительства. 2 мая 1932 г. недалеко от села Караваево состоялась торжественная закладка </w:t>
      </w:r>
      <w:proofErr w:type="spellStart"/>
      <w:r w:rsidRPr="00441F34">
        <w:rPr>
          <w:rFonts w:ascii="Times New Roman" w:hAnsi="Times New Roman"/>
          <w:color w:val="0070C0"/>
          <w:sz w:val="16"/>
          <w:szCs w:val="16"/>
        </w:rPr>
        <w:t>авиакомбината</w:t>
      </w:r>
      <w:proofErr w:type="spellEnd"/>
      <w:r w:rsidRPr="00441F34">
        <w:rPr>
          <w:rFonts w:ascii="Times New Roman" w:hAnsi="Times New Roman"/>
          <w:color w:val="0070C0"/>
          <w:sz w:val="16"/>
          <w:szCs w:val="16"/>
        </w:rPr>
        <w:t>.</w:t>
      </w:r>
    </w:p>
    <w:p w14:paraId="769D739C" w14:textId="77777777" w:rsidR="000C1B8D" w:rsidRPr="00441F34" w:rsidRDefault="000C1B8D" w:rsidP="000C1B8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Планы для </w:t>
      </w:r>
      <w:proofErr w:type="spellStart"/>
      <w:r w:rsidRPr="00441F34">
        <w:rPr>
          <w:rFonts w:ascii="Times New Roman" w:hAnsi="Times New Roman"/>
          <w:color w:val="0070C0"/>
          <w:sz w:val="16"/>
          <w:szCs w:val="16"/>
        </w:rPr>
        <w:t>авиакомбината</w:t>
      </w:r>
      <w:proofErr w:type="spellEnd"/>
      <w:r w:rsidRPr="00441F34">
        <w:rPr>
          <w:rFonts w:ascii="Times New Roman" w:hAnsi="Times New Roman"/>
          <w:color w:val="0070C0"/>
          <w:sz w:val="16"/>
          <w:szCs w:val="16"/>
        </w:rPr>
        <w:t xml:space="preserve"> строились грандиозные. Он должен был выпускать 2400 самолетов ТБ-3 и 20 тыс. моторов М-34 в год.</w:t>
      </w:r>
    </w:p>
    <w:p w14:paraId="11691D50" w14:textId="77777777" w:rsidR="000C1B8D" w:rsidRPr="00441F34" w:rsidRDefault="000C1B8D" w:rsidP="000C1B8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Уже в конце 1932 г. на </w:t>
      </w:r>
      <w:proofErr w:type="spellStart"/>
      <w:r w:rsidRPr="00441F34">
        <w:rPr>
          <w:rFonts w:ascii="Times New Roman" w:hAnsi="Times New Roman"/>
          <w:color w:val="0070C0"/>
          <w:sz w:val="16"/>
          <w:szCs w:val="16"/>
        </w:rPr>
        <w:t>Казмашстрое</w:t>
      </w:r>
      <w:proofErr w:type="spellEnd"/>
      <w:r w:rsidRPr="00441F34">
        <w:rPr>
          <w:rFonts w:ascii="Times New Roman" w:hAnsi="Times New Roman"/>
          <w:color w:val="0070C0"/>
          <w:sz w:val="16"/>
          <w:szCs w:val="16"/>
        </w:rPr>
        <w:t xml:space="preserve"> работало 36580 человек. Большинство из них было занято земляными работами, были землекопами и грабарями (грабарка - телега для перевозки земли).</w:t>
      </w:r>
    </w:p>
    <w:p w14:paraId="0896406F" w14:textId="77777777" w:rsidR="000C1B8D" w:rsidRPr="00441F34" w:rsidRDefault="000C1B8D" w:rsidP="000C1B8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 июля 1939 г. строительством заводов и организацией производства на них занималось единое руководство.</w:t>
      </w:r>
    </w:p>
    <w:p w14:paraId="0732A8E9" w14:textId="77777777" w:rsidR="000C1B8D" w:rsidRPr="00441F34" w:rsidRDefault="000C1B8D" w:rsidP="000C1B8D">
      <w:pPr>
        <w:spacing w:after="0" w:line="240" w:lineRule="auto"/>
        <w:jc w:val="both"/>
        <w:rPr>
          <w:rFonts w:ascii="Times New Roman" w:hAnsi="Times New Roman"/>
          <w:color w:val="0070C0"/>
          <w:sz w:val="16"/>
          <w:szCs w:val="16"/>
        </w:rPr>
      </w:pPr>
    </w:p>
    <w:p w14:paraId="5F42B7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D74B50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521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был готов АНТ-23 (И-12). В серию не пошла, гос. испытаний не проходила (514).</w:t>
      </w:r>
    </w:p>
    <w:p w14:paraId="664FB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 просто в июле 1931</w:t>
      </w:r>
    </w:p>
    <w:p w14:paraId="1C7E47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9B61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июля 1931 был подготовлен Доклад о состоянии работ по опытному моторо- и самолетостроению на 1 июля 1931 для Пред. РВС К.Е.В. (копии Зам. Пред. РВС Тухачевскому, Гамарнику, Каменеву и Егорову).</w:t>
      </w:r>
    </w:p>
    <w:p w14:paraId="6AE876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831"/>
      </w:tblGrid>
      <w:tr w:rsidR="001002C3" w:rsidRPr="007122AB" w14:paraId="7649B0A7" w14:textId="77777777">
        <w:tc>
          <w:tcPr>
            <w:tcW w:w="1024" w:type="dxa"/>
          </w:tcPr>
          <w:p w14:paraId="730715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024" w:type="dxa"/>
          </w:tcPr>
          <w:p w14:paraId="71DCB5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w:t>
            </w:r>
          </w:p>
        </w:tc>
        <w:tc>
          <w:tcPr>
            <w:tcW w:w="1024" w:type="dxa"/>
          </w:tcPr>
          <w:p w14:paraId="3B1BF5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w:t>
            </w:r>
          </w:p>
        </w:tc>
        <w:tc>
          <w:tcPr>
            <w:tcW w:w="1024" w:type="dxa"/>
          </w:tcPr>
          <w:p w14:paraId="3AB231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w:t>
            </w:r>
          </w:p>
        </w:tc>
        <w:tc>
          <w:tcPr>
            <w:tcW w:w="1024" w:type="dxa"/>
          </w:tcPr>
          <w:p w14:paraId="6118A5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w:t>
            </w:r>
          </w:p>
        </w:tc>
        <w:tc>
          <w:tcPr>
            <w:tcW w:w="1024" w:type="dxa"/>
          </w:tcPr>
          <w:p w14:paraId="098338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Удельн</w:t>
            </w:r>
            <w:proofErr w:type="spellEnd"/>
            <w:r w:rsidRPr="007122AB">
              <w:rPr>
                <w:rFonts w:ascii="Times New Roman" w:hAnsi="Times New Roman"/>
                <w:color w:val="000000" w:themeColor="text1"/>
                <w:sz w:val="16"/>
                <w:szCs w:val="16"/>
              </w:rPr>
              <w:t>.</w:t>
            </w:r>
          </w:p>
        </w:tc>
        <w:tc>
          <w:tcPr>
            <w:tcW w:w="1024" w:type="dxa"/>
          </w:tcPr>
          <w:p w14:paraId="0A1007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Высотн</w:t>
            </w:r>
            <w:proofErr w:type="spellEnd"/>
            <w:r w:rsidRPr="007122AB">
              <w:rPr>
                <w:rFonts w:ascii="Times New Roman" w:hAnsi="Times New Roman"/>
                <w:color w:val="000000" w:themeColor="text1"/>
                <w:sz w:val="16"/>
                <w:szCs w:val="16"/>
              </w:rPr>
              <w:t>.</w:t>
            </w:r>
          </w:p>
        </w:tc>
        <w:tc>
          <w:tcPr>
            <w:tcW w:w="1024" w:type="dxa"/>
          </w:tcPr>
          <w:p w14:paraId="240030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2831" w:type="dxa"/>
          </w:tcPr>
          <w:p w14:paraId="365F04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r>
      <w:tr w:rsidR="001002C3" w:rsidRPr="007122AB" w14:paraId="5580F286" w14:textId="77777777">
        <w:tc>
          <w:tcPr>
            <w:tcW w:w="1024" w:type="dxa"/>
          </w:tcPr>
          <w:p w14:paraId="040ADC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w:t>
            </w:r>
          </w:p>
        </w:tc>
        <w:tc>
          <w:tcPr>
            <w:tcW w:w="1024" w:type="dxa"/>
          </w:tcPr>
          <w:p w14:paraId="2FC827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w:t>
            </w:r>
          </w:p>
        </w:tc>
        <w:tc>
          <w:tcPr>
            <w:tcW w:w="1024" w:type="dxa"/>
          </w:tcPr>
          <w:p w14:paraId="2CA27C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E8F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7A6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кг</w:t>
            </w:r>
          </w:p>
        </w:tc>
        <w:tc>
          <w:tcPr>
            <w:tcW w:w="1024" w:type="dxa"/>
          </w:tcPr>
          <w:p w14:paraId="70C394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w:t>
            </w:r>
          </w:p>
        </w:tc>
        <w:tc>
          <w:tcPr>
            <w:tcW w:w="1024" w:type="dxa"/>
          </w:tcPr>
          <w:p w14:paraId="1A34DE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45DA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w:t>
            </w:r>
          </w:p>
        </w:tc>
        <w:tc>
          <w:tcPr>
            <w:tcW w:w="2831" w:type="dxa"/>
          </w:tcPr>
          <w:p w14:paraId="07DD72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DC566E" w14:textId="77777777">
        <w:tc>
          <w:tcPr>
            <w:tcW w:w="1024" w:type="dxa"/>
          </w:tcPr>
          <w:p w14:paraId="4EE4F4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7DA8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A333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499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EB4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30A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3B6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EAC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престав.</w:t>
            </w:r>
          </w:p>
        </w:tc>
        <w:tc>
          <w:tcPr>
            <w:tcW w:w="2831" w:type="dxa"/>
          </w:tcPr>
          <w:p w14:paraId="55F7A7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EDE2FD" w14:textId="77777777">
        <w:tc>
          <w:tcPr>
            <w:tcW w:w="1024" w:type="dxa"/>
          </w:tcPr>
          <w:p w14:paraId="57EC83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D8C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5641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08DB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19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91ED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55E6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95C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w:t>
            </w:r>
          </w:p>
        </w:tc>
        <w:tc>
          <w:tcPr>
            <w:tcW w:w="2831" w:type="dxa"/>
          </w:tcPr>
          <w:p w14:paraId="5EDF63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77ED630" w14:textId="77777777">
        <w:tc>
          <w:tcPr>
            <w:tcW w:w="1024" w:type="dxa"/>
          </w:tcPr>
          <w:p w14:paraId="5329CB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53F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A4F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8BF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F01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1C0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4DE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4C7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испыт</w:t>
            </w:r>
            <w:proofErr w:type="spellEnd"/>
            <w:r w:rsidRPr="007122AB">
              <w:rPr>
                <w:rFonts w:ascii="Times New Roman" w:hAnsi="Times New Roman"/>
                <w:color w:val="000000" w:themeColor="text1"/>
                <w:sz w:val="16"/>
                <w:szCs w:val="16"/>
              </w:rPr>
              <w:t>.</w:t>
            </w:r>
          </w:p>
        </w:tc>
        <w:tc>
          <w:tcPr>
            <w:tcW w:w="2831" w:type="dxa"/>
          </w:tcPr>
          <w:p w14:paraId="6BA9AD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EA5485F" w14:textId="77777777">
        <w:tc>
          <w:tcPr>
            <w:tcW w:w="1024" w:type="dxa"/>
          </w:tcPr>
          <w:p w14:paraId="07EBDB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Для истребителей</w:t>
            </w:r>
          </w:p>
        </w:tc>
        <w:tc>
          <w:tcPr>
            <w:tcW w:w="1024" w:type="dxa"/>
          </w:tcPr>
          <w:p w14:paraId="7E52DA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4BA4ED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114913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3B7F58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415</w:t>
            </w:r>
          </w:p>
        </w:tc>
        <w:tc>
          <w:tcPr>
            <w:tcW w:w="1024" w:type="dxa"/>
          </w:tcPr>
          <w:p w14:paraId="1F759E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0,92</w:t>
            </w:r>
          </w:p>
        </w:tc>
        <w:tc>
          <w:tcPr>
            <w:tcW w:w="1024" w:type="dxa"/>
          </w:tcPr>
          <w:p w14:paraId="7E59D6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577641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w:t>
            </w:r>
          </w:p>
        </w:tc>
        <w:tc>
          <w:tcPr>
            <w:tcW w:w="2831" w:type="dxa"/>
          </w:tcPr>
          <w:p w14:paraId="6EC88B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сего времени на гос. испытание не предъявлялся.</w:t>
            </w:r>
          </w:p>
        </w:tc>
      </w:tr>
      <w:tr w:rsidR="001002C3" w:rsidRPr="007122AB" w14:paraId="6E042735" w14:textId="77777777">
        <w:tc>
          <w:tcPr>
            <w:tcW w:w="1024" w:type="dxa"/>
          </w:tcPr>
          <w:p w14:paraId="45D62A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024" w:type="dxa"/>
          </w:tcPr>
          <w:p w14:paraId="442077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318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CCD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31F5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BBB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115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809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831" w:type="dxa"/>
          </w:tcPr>
          <w:p w14:paraId="306D59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прошел 50-часовое серийное испытание, пущен </w:t>
            </w:r>
          </w:p>
        </w:tc>
      </w:tr>
      <w:tr w:rsidR="001002C3" w:rsidRPr="007122AB" w14:paraId="3458706B" w14:textId="77777777">
        <w:tc>
          <w:tcPr>
            <w:tcW w:w="1024" w:type="dxa"/>
          </w:tcPr>
          <w:p w14:paraId="30611E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CC3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13F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280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E6F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9E7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81E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E36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25CFC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серию для ГВФ. Подлежит доработке в деталях</w:t>
            </w:r>
          </w:p>
        </w:tc>
      </w:tr>
      <w:tr w:rsidR="001002C3" w:rsidRPr="007122AB" w14:paraId="4933FF6E" w14:textId="77777777">
        <w:tc>
          <w:tcPr>
            <w:tcW w:w="1024" w:type="dxa"/>
          </w:tcPr>
          <w:p w14:paraId="3FDD94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3299FE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58C773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76951E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w:t>
            </w:r>
          </w:p>
        </w:tc>
        <w:tc>
          <w:tcPr>
            <w:tcW w:w="1024" w:type="dxa"/>
          </w:tcPr>
          <w:p w14:paraId="51B557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34EAF8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0,82</w:t>
            </w:r>
          </w:p>
        </w:tc>
        <w:tc>
          <w:tcPr>
            <w:tcW w:w="1024" w:type="dxa"/>
          </w:tcPr>
          <w:p w14:paraId="353EFF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CEB43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2831" w:type="dxa"/>
          </w:tcPr>
          <w:p w14:paraId="788609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Закончена рабочая компоновка. Закончены </w:t>
            </w:r>
            <w:proofErr w:type="spellStart"/>
            <w:r w:rsidRPr="007122AB">
              <w:rPr>
                <w:rFonts w:ascii="Times New Roman" w:hAnsi="Times New Roman"/>
                <w:color w:val="000000" w:themeColor="text1"/>
                <w:sz w:val="16"/>
                <w:szCs w:val="16"/>
              </w:rPr>
              <w:t>поковочн</w:t>
            </w:r>
            <w:proofErr w:type="spellEnd"/>
            <w:r w:rsidRPr="007122AB">
              <w:rPr>
                <w:rFonts w:ascii="Times New Roman" w:hAnsi="Times New Roman"/>
                <w:color w:val="000000" w:themeColor="text1"/>
                <w:sz w:val="16"/>
                <w:szCs w:val="16"/>
              </w:rPr>
              <w:t>.</w:t>
            </w:r>
          </w:p>
        </w:tc>
      </w:tr>
      <w:tr w:rsidR="001002C3" w:rsidRPr="007122AB" w14:paraId="0A1C7967" w14:textId="77777777">
        <w:tc>
          <w:tcPr>
            <w:tcW w:w="1024" w:type="dxa"/>
          </w:tcPr>
          <w:p w14:paraId="6ADAEA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М-19а</w:t>
            </w:r>
          </w:p>
        </w:tc>
        <w:tc>
          <w:tcPr>
            <w:tcW w:w="1024" w:type="dxa"/>
          </w:tcPr>
          <w:p w14:paraId="6B6B3A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E7B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619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573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6BE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2DC6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838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2831" w:type="dxa"/>
          </w:tcPr>
          <w:p w14:paraId="104A36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чертежи. Главное литье закончено. Рабочие чертежи</w:t>
            </w:r>
          </w:p>
        </w:tc>
      </w:tr>
      <w:tr w:rsidR="001002C3" w:rsidRPr="007122AB" w14:paraId="0BAD0E6C" w14:textId="77777777">
        <w:tc>
          <w:tcPr>
            <w:tcW w:w="1024" w:type="dxa"/>
          </w:tcPr>
          <w:p w14:paraId="016A09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2F7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DB8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888F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2B2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F692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5FFE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3CD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5E4F5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частично закончены (не готов импеллер). Специфик.</w:t>
            </w:r>
          </w:p>
        </w:tc>
      </w:tr>
      <w:tr w:rsidR="001002C3" w:rsidRPr="007122AB" w14:paraId="777E0BE7" w14:textId="77777777">
        <w:tc>
          <w:tcPr>
            <w:tcW w:w="1024" w:type="dxa"/>
          </w:tcPr>
          <w:p w14:paraId="090F03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19C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B369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6A5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B17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B08B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A48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AB6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4998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процессе, равно как и общие виды и узловые</w:t>
            </w:r>
          </w:p>
        </w:tc>
      </w:tr>
      <w:tr w:rsidR="001002C3" w:rsidRPr="007122AB" w14:paraId="1200C5BA" w14:textId="77777777">
        <w:tc>
          <w:tcPr>
            <w:tcW w:w="1024" w:type="dxa"/>
          </w:tcPr>
          <w:p w14:paraId="399B84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2EA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22D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B8C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EDBE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FC6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020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079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99130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сборочные чертежи</w:t>
            </w:r>
          </w:p>
        </w:tc>
      </w:tr>
      <w:tr w:rsidR="001002C3" w:rsidRPr="007122AB" w14:paraId="6EA215D4" w14:textId="77777777">
        <w:tc>
          <w:tcPr>
            <w:tcW w:w="1024" w:type="dxa"/>
          </w:tcPr>
          <w:p w14:paraId="42AE3A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w:t>
            </w:r>
          </w:p>
        </w:tc>
        <w:tc>
          <w:tcPr>
            <w:tcW w:w="1024" w:type="dxa"/>
          </w:tcPr>
          <w:p w14:paraId="30F3EC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18B6E8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3BF91B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5E970F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540</w:t>
            </w:r>
          </w:p>
        </w:tc>
        <w:tc>
          <w:tcPr>
            <w:tcW w:w="1024" w:type="dxa"/>
          </w:tcPr>
          <w:p w14:paraId="643EB7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0,74</w:t>
            </w:r>
          </w:p>
        </w:tc>
        <w:tc>
          <w:tcPr>
            <w:tcW w:w="1024" w:type="dxa"/>
          </w:tcPr>
          <w:p w14:paraId="551A3A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A49C0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2831" w:type="dxa"/>
          </w:tcPr>
          <w:p w14:paraId="2A7892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без импеллера находится в стадии </w:t>
            </w:r>
            <w:proofErr w:type="spellStart"/>
            <w:r w:rsidRPr="007122AB">
              <w:rPr>
                <w:rFonts w:ascii="Times New Roman" w:hAnsi="Times New Roman"/>
                <w:color w:val="000000" w:themeColor="text1"/>
                <w:sz w:val="16"/>
                <w:szCs w:val="16"/>
              </w:rPr>
              <w:t>предвар</w:t>
            </w:r>
            <w:proofErr w:type="spellEnd"/>
            <w:r w:rsidRPr="007122AB">
              <w:rPr>
                <w:rFonts w:ascii="Times New Roman" w:hAnsi="Times New Roman"/>
                <w:color w:val="000000" w:themeColor="text1"/>
                <w:sz w:val="16"/>
                <w:szCs w:val="16"/>
              </w:rPr>
              <w:t>.</w:t>
            </w:r>
          </w:p>
        </w:tc>
      </w:tr>
      <w:tr w:rsidR="001002C3" w:rsidRPr="007122AB" w14:paraId="00303A21" w14:textId="77777777">
        <w:tc>
          <w:tcPr>
            <w:tcW w:w="1024" w:type="dxa"/>
          </w:tcPr>
          <w:p w14:paraId="5B2C56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1024" w:type="dxa"/>
          </w:tcPr>
          <w:p w14:paraId="4F017F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973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4E54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c>
          <w:tcPr>
            <w:tcW w:w="1024" w:type="dxa"/>
          </w:tcPr>
          <w:p w14:paraId="2CFD16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CC6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2A29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D2B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831" w:type="dxa"/>
          </w:tcPr>
          <w:p w14:paraId="3EF60B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заводских испытаний. Из-за отсутствия карбюратора</w:t>
            </w:r>
          </w:p>
        </w:tc>
      </w:tr>
      <w:tr w:rsidR="001002C3" w:rsidRPr="007122AB" w14:paraId="5FD57920" w14:textId="77777777">
        <w:tc>
          <w:tcPr>
            <w:tcW w:w="1024" w:type="dxa"/>
          </w:tcPr>
          <w:p w14:paraId="5532B8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D7A0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F79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072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67B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47B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52B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AFC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9345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удалось получить запроектированные мощности.</w:t>
            </w:r>
          </w:p>
        </w:tc>
      </w:tr>
      <w:tr w:rsidR="001002C3" w:rsidRPr="007122AB" w14:paraId="60200ECD" w14:textId="77777777">
        <w:tc>
          <w:tcPr>
            <w:tcW w:w="1024" w:type="dxa"/>
          </w:tcPr>
          <w:p w14:paraId="1B94B3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BC6D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FAA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FF7C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6F6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840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87A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F84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3A51B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Импеллер изготавливается крайне медленно, темп</w:t>
            </w:r>
          </w:p>
        </w:tc>
      </w:tr>
      <w:tr w:rsidR="001002C3" w:rsidRPr="007122AB" w14:paraId="13DE3406" w14:textId="77777777">
        <w:tc>
          <w:tcPr>
            <w:tcW w:w="1024" w:type="dxa"/>
          </w:tcPr>
          <w:p w14:paraId="48E4A8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3B5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97C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1D6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617A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EE1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3339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FC0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2F032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 на заводе 26 резко упал и грозит срывом.</w:t>
            </w:r>
          </w:p>
        </w:tc>
      </w:tr>
      <w:tr w:rsidR="001002C3" w:rsidRPr="007122AB" w14:paraId="68A8B08B" w14:textId="77777777">
        <w:tc>
          <w:tcPr>
            <w:tcW w:w="1024" w:type="dxa"/>
          </w:tcPr>
          <w:p w14:paraId="4E7E73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219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9EB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0C3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0DD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ACF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1FF7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516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1DAF9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Приняты меры по получению карбюратора из-за</w:t>
            </w:r>
          </w:p>
        </w:tc>
      </w:tr>
      <w:tr w:rsidR="001002C3" w:rsidRPr="007122AB" w14:paraId="4DD0F1C6" w14:textId="77777777">
        <w:tc>
          <w:tcPr>
            <w:tcW w:w="1024" w:type="dxa"/>
          </w:tcPr>
          <w:p w14:paraId="2A89B0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F3B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B1D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C795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501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0967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D454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7B6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3C0FD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границы. </w:t>
            </w:r>
            <w:proofErr w:type="spellStart"/>
            <w:r w:rsidRPr="007122AB">
              <w:rPr>
                <w:rFonts w:ascii="Times New Roman" w:hAnsi="Times New Roman"/>
                <w:color w:val="000000" w:themeColor="text1"/>
                <w:sz w:val="16"/>
                <w:szCs w:val="16"/>
              </w:rPr>
              <w:t>педварительные</w:t>
            </w:r>
            <w:proofErr w:type="spellEnd"/>
            <w:r w:rsidRPr="007122AB">
              <w:rPr>
                <w:rFonts w:ascii="Times New Roman" w:hAnsi="Times New Roman"/>
                <w:color w:val="000000" w:themeColor="text1"/>
                <w:sz w:val="16"/>
                <w:szCs w:val="16"/>
              </w:rPr>
              <w:t xml:space="preserve"> данные - мощность 740</w:t>
            </w:r>
          </w:p>
        </w:tc>
      </w:tr>
      <w:tr w:rsidR="001002C3" w:rsidRPr="007122AB" w14:paraId="2C589E13" w14:textId="77777777">
        <w:tc>
          <w:tcPr>
            <w:tcW w:w="1024" w:type="dxa"/>
          </w:tcPr>
          <w:p w14:paraId="63D812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4F21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4E6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5E1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A15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DE5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8BD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600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1EE41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при 1536 оборотов, макс. мощность - 815 при</w:t>
            </w:r>
          </w:p>
        </w:tc>
      </w:tr>
      <w:tr w:rsidR="001002C3" w:rsidRPr="007122AB" w14:paraId="7B5842D8" w14:textId="77777777">
        <w:tc>
          <w:tcPr>
            <w:tcW w:w="1024" w:type="dxa"/>
          </w:tcPr>
          <w:p w14:paraId="5EB4F7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9B2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47A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759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1171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3FE3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C96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945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12249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 Вес без импеллера - 590 кг</w:t>
            </w:r>
          </w:p>
        </w:tc>
      </w:tr>
      <w:tr w:rsidR="001002C3" w:rsidRPr="007122AB" w14:paraId="3B456C6A" w14:textId="77777777">
        <w:tc>
          <w:tcPr>
            <w:tcW w:w="1024" w:type="dxa"/>
          </w:tcPr>
          <w:p w14:paraId="040946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w:t>
            </w:r>
          </w:p>
        </w:tc>
        <w:tc>
          <w:tcPr>
            <w:tcW w:w="1024" w:type="dxa"/>
          </w:tcPr>
          <w:p w14:paraId="72D870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744F46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2057AE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5EE042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630</w:t>
            </w:r>
          </w:p>
        </w:tc>
        <w:tc>
          <w:tcPr>
            <w:tcW w:w="1024" w:type="dxa"/>
          </w:tcPr>
          <w:p w14:paraId="5C68C8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0,83</w:t>
            </w:r>
          </w:p>
        </w:tc>
        <w:tc>
          <w:tcPr>
            <w:tcW w:w="1024" w:type="dxa"/>
          </w:tcPr>
          <w:p w14:paraId="3AE077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024" w:type="dxa"/>
          </w:tcPr>
          <w:p w14:paraId="50626C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 янв.</w:t>
            </w:r>
          </w:p>
        </w:tc>
        <w:tc>
          <w:tcPr>
            <w:tcW w:w="2831" w:type="dxa"/>
          </w:tcPr>
          <w:p w14:paraId="6AF45A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Прошел 100 часовые гос. испытания и запускается</w:t>
            </w:r>
          </w:p>
        </w:tc>
      </w:tr>
      <w:tr w:rsidR="001002C3" w:rsidRPr="007122AB" w14:paraId="6C6A15D8" w14:textId="77777777">
        <w:tc>
          <w:tcPr>
            <w:tcW w:w="1024" w:type="dxa"/>
          </w:tcPr>
          <w:p w14:paraId="715CF2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w:t>
            </w:r>
          </w:p>
        </w:tc>
        <w:tc>
          <w:tcPr>
            <w:tcW w:w="1024" w:type="dxa"/>
          </w:tcPr>
          <w:p w14:paraId="15D5C9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CD0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BC8D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w:t>
            </w:r>
          </w:p>
        </w:tc>
        <w:tc>
          <w:tcPr>
            <w:tcW w:w="1024" w:type="dxa"/>
          </w:tcPr>
          <w:p w14:paraId="0993C2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89FE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53B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933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2831" w:type="dxa"/>
          </w:tcPr>
          <w:p w14:paraId="039454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серию</w:t>
            </w:r>
          </w:p>
        </w:tc>
      </w:tr>
      <w:tr w:rsidR="001002C3" w:rsidRPr="007122AB" w14:paraId="58495CDE" w14:textId="77777777">
        <w:tc>
          <w:tcPr>
            <w:tcW w:w="1024" w:type="dxa"/>
          </w:tcPr>
          <w:p w14:paraId="3CD501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52A638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4DC414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764688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0AF7BF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840</w:t>
            </w:r>
          </w:p>
        </w:tc>
        <w:tc>
          <w:tcPr>
            <w:tcW w:w="1024" w:type="dxa"/>
          </w:tcPr>
          <w:p w14:paraId="5D6E14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0,84</w:t>
            </w:r>
          </w:p>
        </w:tc>
        <w:tc>
          <w:tcPr>
            <w:tcW w:w="1024" w:type="dxa"/>
          </w:tcPr>
          <w:p w14:paraId="631006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78DC30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w:t>
            </w:r>
          </w:p>
        </w:tc>
        <w:tc>
          <w:tcPr>
            <w:tcW w:w="2831" w:type="dxa"/>
          </w:tcPr>
          <w:p w14:paraId="3249E7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прошел 50 час. этап гос. испытаний, причем</w:t>
            </w:r>
          </w:p>
        </w:tc>
      </w:tr>
      <w:tr w:rsidR="001002C3" w:rsidRPr="007122AB" w14:paraId="7FFC8904" w14:textId="77777777">
        <w:tc>
          <w:tcPr>
            <w:tcW w:w="1024" w:type="dxa"/>
          </w:tcPr>
          <w:p w14:paraId="117C91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72D3C3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0C8E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3D9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82DA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2B3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806B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7E0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831" w:type="dxa"/>
          </w:tcPr>
          <w:p w14:paraId="123E6D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25 час. разбирался. </w:t>
            </w:r>
            <w:proofErr w:type="spellStart"/>
            <w:r w:rsidRPr="007122AB">
              <w:rPr>
                <w:rFonts w:ascii="Times New Roman" w:hAnsi="Times New Roman"/>
                <w:color w:val="000000" w:themeColor="text1"/>
                <w:sz w:val="16"/>
                <w:szCs w:val="16"/>
              </w:rPr>
              <w:t>Обнаружиди</w:t>
            </w:r>
            <w:proofErr w:type="spellEnd"/>
            <w:r w:rsidRPr="007122AB">
              <w:rPr>
                <w:rFonts w:ascii="Times New Roman" w:hAnsi="Times New Roman"/>
                <w:color w:val="000000" w:themeColor="text1"/>
                <w:sz w:val="16"/>
                <w:szCs w:val="16"/>
              </w:rPr>
              <w:t xml:space="preserve"> трещины на</w:t>
            </w:r>
          </w:p>
        </w:tc>
      </w:tr>
      <w:tr w:rsidR="001002C3" w:rsidRPr="007122AB" w14:paraId="5A8EDF1B" w14:textId="77777777">
        <w:tc>
          <w:tcPr>
            <w:tcW w:w="1024" w:type="dxa"/>
          </w:tcPr>
          <w:p w14:paraId="162148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ФЭД-3</w:t>
            </w:r>
          </w:p>
        </w:tc>
        <w:tc>
          <w:tcPr>
            <w:tcW w:w="1024" w:type="dxa"/>
          </w:tcPr>
          <w:p w14:paraId="15E36B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6CC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31C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A6F1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206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FF5E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CAB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3A5CB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всех шатунах, одном коренном подшипнике и кроме</w:t>
            </w:r>
          </w:p>
        </w:tc>
      </w:tr>
      <w:tr w:rsidR="001002C3" w:rsidRPr="007122AB" w14:paraId="3F40FD35" w14:textId="77777777">
        <w:tc>
          <w:tcPr>
            <w:tcW w:w="1024" w:type="dxa"/>
          </w:tcPr>
          <w:p w14:paraId="3611EB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294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48E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BEF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235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CB7B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9A6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25C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58375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того трещина в валике импеллера. При вторичной</w:t>
            </w:r>
          </w:p>
        </w:tc>
      </w:tr>
      <w:tr w:rsidR="001002C3" w:rsidRPr="007122AB" w14:paraId="15A9C124" w14:textId="77777777">
        <w:tc>
          <w:tcPr>
            <w:tcW w:w="1024" w:type="dxa"/>
          </w:tcPr>
          <w:p w14:paraId="3B3EBE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C7C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2C0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4BC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1F7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3AA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06D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8BA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DE141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разборке обнаружили трещины на шатунных </w:t>
            </w:r>
            <w:proofErr w:type="spellStart"/>
            <w:r w:rsidRPr="007122AB">
              <w:rPr>
                <w:rFonts w:ascii="Times New Roman" w:hAnsi="Times New Roman"/>
                <w:color w:val="000000" w:themeColor="text1"/>
                <w:sz w:val="16"/>
                <w:szCs w:val="16"/>
              </w:rPr>
              <w:t>подш</w:t>
            </w:r>
            <w:proofErr w:type="spellEnd"/>
            <w:r w:rsidRPr="007122AB">
              <w:rPr>
                <w:rFonts w:ascii="Times New Roman" w:hAnsi="Times New Roman"/>
                <w:color w:val="000000" w:themeColor="text1"/>
                <w:sz w:val="16"/>
                <w:szCs w:val="16"/>
              </w:rPr>
              <w:t>.</w:t>
            </w:r>
          </w:p>
        </w:tc>
      </w:tr>
      <w:tr w:rsidR="001002C3" w:rsidRPr="007122AB" w14:paraId="0B5C62B6" w14:textId="77777777">
        <w:tc>
          <w:tcPr>
            <w:tcW w:w="1024" w:type="dxa"/>
          </w:tcPr>
          <w:p w14:paraId="2C6338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A75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F91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9E6F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FF9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3E2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C6A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C84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3618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от проведения второго 50-часового этапа</w:t>
            </w:r>
          </w:p>
        </w:tc>
      </w:tr>
      <w:tr w:rsidR="001002C3" w:rsidRPr="007122AB" w14:paraId="56026EF6" w14:textId="77777777">
        <w:tc>
          <w:tcPr>
            <w:tcW w:w="1024" w:type="dxa"/>
          </w:tcPr>
          <w:p w14:paraId="7243A1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147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ED4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FF3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E760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0AD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F7A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E7E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863C1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испытаний отказался. Проверяются расчеты</w:t>
            </w:r>
          </w:p>
        </w:tc>
      </w:tr>
      <w:tr w:rsidR="001002C3" w:rsidRPr="007122AB" w14:paraId="0F39327B" w14:textId="77777777">
        <w:tc>
          <w:tcPr>
            <w:tcW w:w="1024" w:type="dxa"/>
          </w:tcPr>
          <w:p w14:paraId="3667C7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C4F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B60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0C1B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8B48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345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461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118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DA2F2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подготовки заключения по этапу и мотору</w:t>
            </w:r>
          </w:p>
        </w:tc>
      </w:tr>
      <w:tr w:rsidR="001002C3" w:rsidRPr="007122AB" w14:paraId="399D2E1A" w14:textId="77777777">
        <w:tc>
          <w:tcPr>
            <w:tcW w:w="1024" w:type="dxa"/>
          </w:tcPr>
          <w:p w14:paraId="205257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1200FE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4B2C25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7794A0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1BCC38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958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0,63</w:t>
            </w:r>
          </w:p>
        </w:tc>
        <w:tc>
          <w:tcPr>
            <w:tcW w:w="1024" w:type="dxa"/>
          </w:tcPr>
          <w:p w14:paraId="6FB2C0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784DD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2831" w:type="dxa"/>
          </w:tcPr>
          <w:p w14:paraId="7F389A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Окончена расчетная часть и компоновка и черт.</w:t>
            </w:r>
          </w:p>
        </w:tc>
      </w:tr>
      <w:tr w:rsidR="001002C3" w:rsidRPr="007122AB" w14:paraId="3C78FFC3" w14:textId="77777777">
        <w:tc>
          <w:tcPr>
            <w:tcW w:w="1024" w:type="dxa"/>
          </w:tcPr>
          <w:p w14:paraId="5DFE5C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w:t>
            </w:r>
          </w:p>
        </w:tc>
        <w:tc>
          <w:tcPr>
            <w:tcW w:w="1024" w:type="dxa"/>
          </w:tcPr>
          <w:p w14:paraId="022BEE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5B34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98A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4B36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81D8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C95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13F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31" w:type="dxa"/>
          </w:tcPr>
          <w:p w14:paraId="35D160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основных деталей. Мелкие детали будут окончены 25</w:t>
            </w:r>
          </w:p>
        </w:tc>
      </w:tr>
      <w:tr w:rsidR="001002C3" w:rsidRPr="007122AB" w14:paraId="750DD04A" w14:textId="77777777">
        <w:tc>
          <w:tcPr>
            <w:tcW w:w="1024" w:type="dxa"/>
          </w:tcPr>
          <w:p w14:paraId="08F8B2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78B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137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FFE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219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5A6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50DE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707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E2FA6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июля, сборочные - 15 августа. Литье гл. деталей</w:t>
            </w:r>
          </w:p>
        </w:tc>
      </w:tr>
      <w:tr w:rsidR="001002C3" w:rsidRPr="007122AB" w14:paraId="109EA937" w14:textId="77777777">
        <w:tc>
          <w:tcPr>
            <w:tcW w:w="1024" w:type="dxa"/>
          </w:tcPr>
          <w:p w14:paraId="2DFCA1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C71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430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2E4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125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9C72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3F4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2990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CA5D3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выпущено 5 июля. Задерживаются поковки,</w:t>
            </w:r>
          </w:p>
        </w:tc>
      </w:tr>
      <w:tr w:rsidR="001002C3" w:rsidRPr="007122AB" w14:paraId="466F514C" w14:textId="77777777">
        <w:tc>
          <w:tcPr>
            <w:tcW w:w="1024" w:type="dxa"/>
          </w:tcPr>
          <w:p w14:paraId="31CE50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EC2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E4E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9F3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DD2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ABF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70BD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5A9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E0A26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заказанные на Мотовилихинском заводе и будут</w:t>
            </w:r>
          </w:p>
        </w:tc>
      </w:tr>
      <w:tr w:rsidR="001002C3" w:rsidRPr="007122AB" w14:paraId="1935602B" w14:textId="77777777">
        <w:tc>
          <w:tcPr>
            <w:tcW w:w="1024" w:type="dxa"/>
          </w:tcPr>
          <w:p w14:paraId="378EA6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FB6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B8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42C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936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5AC0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391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849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D2A42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поданы 1 октября. Необходим нажим на ускорение</w:t>
            </w:r>
          </w:p>
        </w:tc>
      </w:tr>
      <w:tr w:rsidR="001002C3" w:rsidRPr="007122AB" w14:paraId="0A722A7E" w14:textId="77777777">
        <w:tc>
          <w:tcPr>
            <w:tcW w:w="1024" w:type="dxa"/>
          </w:tcPr>
          <w:p w14:paraId="2FB70A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8B7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FDC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AFC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D4E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A28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1A3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D52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D142F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выполнения заказа Мотор по данным ИАМ</w:t>
            </w:r>
          </w:p>
        </w:tc>
      </w:tr>
      <w:tr w:rsidR="001002C3" w:rsidRPr="007122AB" w14:paraId="232F9758" w14:textId="77777777">
        <w:tc>
          <w:tcPr>
            <w:tcW w:w="1024" w:type="dxa"/>
          </w:tcPr>
          <w:p w14:paraId="58D4E2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770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AAD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F0E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589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85E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E75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219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652D7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соответствует требованиям ВАО</w:t>
            </w:r>
          </w:p>
        </w:tc>
      </w:tr>
      <w:tr w:rsidR="001002C3" w:rsidRPr="007122AB" w14:paraId="7C37D1BC" w14:textId="77777777">
        <w:tc>
          <w:tcPr>
            <w:tcW w:w="1024" w:type="dxa"/>
          </w:tcPr>
          <w:p w14:paraId="73CDD9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3B2EDD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0FF90C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605ADE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1907D2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c>
          <w:tcPr>
            <w:tcW w:w="1024" w:type="dxa"/>
          </w:tcPr>
          <w:p w14:paraId="5C1337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0,9</w:t>
            </w:r>
          </w:p>
        </w:tc>
        <w:tc>
          <w:tcPr>
            <w:tcW w:w="1024" w:type="dxa"/>
          </w:tcPr>
          <w:p w14:paraId="684191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367524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2831" w:type="dxa"/>
          </w:tcPr>
          <w:p w14:paraId="4703EA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Готова общая компоновка. заканчиваются</w:t>
            </w:r>
          </w:p>
        </w:tc>
      </w:tr>
      <w:tr w:rsidR="001002C3" w:rsidRPr="007122AB" w14:paraId="2DD939F1" w14:textId="77777777">
        <w:tc>
          <w:tcPr>
            <w:tcW w:w="1024" w:type="dxa"/>
          </w:tcPr>
          <w:p w14:paraId="04761C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4235CF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251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B34D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145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D361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14F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5E3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31" w:type="dxa"/>
          </w:tcPr>
          <w:p w14:paraId="09A22E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рабочие чертежи. изготовлена часть поковок и</w:t>
            </w:r>
          </w:p>
        </w:tc>
      </w:tr>
      <w:tr w:rsidR="001002C3" w:rsidRPr="007122AB" w14:paraId="4E9B64C8" w14:textId="77777777">
        <w:tc>
          <w:tcPr>
            <w:tcW w:w="1024" w:type="dxa"/>
          </w:tcPr>
          <w:p w14:paraId="0190A7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1024" w:type="dxa"/>
          </w:tcPr>
          <w:p w14:paraId="256633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65D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086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AC9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A5D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D1F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BF83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11D5D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модели. Ведется подготовка к производству.</w:t>
            </w:r>
          </w:p>
        </w:tc>
      </w:tr>
      <w:tr w:rsidR="001002C3" w:rsidRPr="007122AB" w14:paraId="3F3C1577" w14:textId="77777777">
        <w:tc>
          <w:tcPr>
            <w:tcW w:w="1024" w:type="dxa"/>
          </w:tcPr>
          <w:p w14:paraId="3A7636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58C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B92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D5E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5D2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B39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7B1A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F06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178B8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Ведутся испытания цилиндра большого диаметра</w:t>
            </w:r>
          </w:p>
        </w:tc>
      </w:tr>
      <w:tr w:rsidR="001002C3" w:rsidRPr="007122AB" w14:paraId="650DB155" w14:textId="77777777">
        <w:tc>
          <w:tcPr>
            <w:tcW w:w="1024" w:type="dxa"/>
          </w:tcPr>
          <w:p w14:paraId="7F1043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2DF9A9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5DF937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3CD3F9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2B1C69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024" w:type="dxa"/>
          </w:tcPr>
          <w:p w14:paraId="7BFC05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0,66</w:t>
            </w:r>
          </w:p>
        </w:tc>
        <w:tc>
          <w:tcPr>
            <w:tcW w:w="1024" w:type="dxa"/>
          </w:tcPr>
          <w:p w14:paraId="0E770E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087F57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2831" w:type="dxa"/>
          </w:tcPr>
          <w:p w14:paraId="1853E1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Производится общая </w:t>
            </w:r>
            <w:proofErr w:type="spellStart"/>
            <w:r w:rsidRPr="007122AB">
              <w:rPr>
                <w:rFonts w:ascii="Times New Roman" w:hAnsi="Times New Roman"/>
                <w:color w:val="000000" w:themeColor="text1"/>
                <w:sz w:val="16"/>
                <w:szCs w:val="16"/>
              </w:rPr>
              <w:t>компановка</w:t>
            </w:r>
            <w:proofErr w:type="spellEnd"/>
            <w:r w:rsidRPr="007122AB">
              <w:rPr>
                <w:rFonts w:ascii="Times New Roman" w:hAnsi="Times New Roman"/>
                <w:color w:val="000000" w:themeColor="text1"/>
                <w:sz w:val="16"/>
                <w:szCs w:val="16"/>
              </w:rPr>
              <w:t xml:space="preserve"> мотора и узлов</w:t>
            </w:r>
          </w:p>
        </w:tc>
      </w:tr>
      <w:tr w:rsidR="001002C3" w:rsidRPr="007122AB" w14:paraId="3A378FD6" w14:textId="77777777">
        <w:tc>
          <w:tcPr>
            <w:tcW w:w="1024" w:type="dxa"/>
          </w:tcPr>
          <w:p w14:paraId="5958EA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М-32</w:t>
            </w:r>
          </w:p>
        </w:tc>
        <w:tc>
          <w:tcPr>
            <w:tcW w:w="1024" w:type="dxa"/>
          </w:tcPr>
          <w:p w14:paraId="433BAE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44F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3D1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6DA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140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B94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408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31" w:type="dxa"/>
          </w:tcPr>
          <w:p w14:paraId="3B86B7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тормозится в связи с форсированием М-19а</w:t>
            </w:r>
          </w:p>
        </w:tc>
      </w:tr>
      <w:tr w:rsidR="001002C3" w:rsidRPr="007122AB" w14:paraId="4ACDB8FD" w14:textId="77777777">
        <w:tc>
          <w:tcPr>
            <w:tcW w:w="1024" w:type="dxa"/>
          </w:tcPr>
          <w:p w14:paraId="0095EA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Модернизация</w:t>
            </w:r>
          </w:p>
        </w:tc>
        <w:tc>
          <w:tcPr>
            <w:tcW w:w="1024" w:type="dxa"/>
          </w:tcPr>
          <w:p w14:paraId="124937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1DE7D7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24EE7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024" w:type="dxa"/>
          </w:tcPr>
          <w:p w14:paraId="081973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w:t>
            </w:r>
          </w:p>
        </w:tc>
        <w:tc>
          <w:tcPr>
            <w:tcW w:w="1024" w:type="dxa"/>
          </w:tcPr>
          <w:p w14:paraId="535FB4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0,43</w:t>
            </w:r>
          </w:p>
        </w:tc>
        <w:tc>
          <w:tcPr>
            <w:tcW w:w="1024" w:type="dxa"/>
          </w:tcPr>
          <w:p w14:paraId="19A073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3B8D22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2831" w:type="dxa"/>
          </w:tcPr>
          <w:p w14:paraId="3079C6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w:t>
            </w:r>
          </w:p>
        </w:tc>
      </w:tr>
      <w:tr w:rsidR="001002C3" w:rsidRPr="007122AB" w14:paraId="0E6A5AC3" w14:textId="77777777">
        <w:tc>
          <w:tcPr>
            <w:tcW w:w="1024" w:type="dxa"/>
          </w:tcPr>
          <w:p w14:paraId="513E93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М-43</w:t>
            </w:r>
          </w:p>
        </w:tc>
        <w:tc>
          <w:tcPr>
            <w:tcW w:w="1024" w:type="dxa"/>
          </w:tcPr>
          <w:p w14:paraId="689C75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19B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BFEE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7C3A1F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DCD4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D52C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E98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2831" w:type="dxa"/>
          </w:tcPr>
          <w:p w14:paraId="12096B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7A71067" w14:textId="77777777">
        <w:tc>
          <w:tcPr>
            <w:tcW w:w="1024" w:type="dxa"/>
          </w:tcPr>
          <w:p w14:paraId="2128A6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Нефтяной</w:t>
            </w:r>
          </w:p>
        </w:tc>
        <w:tc>
          <w:tcPr>
            <w:tcW w:w="1024" w:type="dxa"/>
          </w:tcPr>
          <w:p w14:paraId="2F87AD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0304BD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7E8C1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674BD9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3D295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20C997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70BDC6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2831" w:type="dxa"/>
          </w:tcPr>
          <w:p w14:paraId="3B65B3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w:t>
            </w:r>
          </w:p>
        </w:tc>
      </w:tr>
      <w:tr w:rsidR="001002C3" w:rsidRPr="007122AB" w14:paraId="43ED6E7B" w14:textId="77777777">
        <w:tc>
          <w:tcPr>
            <w:tcW w:w="1024" w:type="dxa"/>
          </w:tcPr>
          <w:p w14:paraId="6F2D1E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М-42</w:t>
            </w:r>
          </w:p>
        </w:tc>
        <w:tc>
          <w:tcPr>
            <w:tcW w:w="1024" w:type="dxa"/>
          </w:tcPr>
          <w:p w14:paraId="310660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221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EA8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4FE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C6B9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F42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C89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2831" w:type="dxa"/>
          </w:tcPr>
          <w:p w14:paraId="4AF569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D15E499" w14:textId="77777777">
        <w:tc>
          <w:tcPr>
            <w:tcW w:w="1024" w:type="dxa"/>
          </w:tcPr>
          <w:p w14:paraId="06B446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Нефтяной</w:t>
            </w:r>
          </w:p>
        </w:tc>
        <w:tc>
          <w:tcPr>
            <w:tcW w:w="1024" w:type="dxa"/>
          </w:tcPr>
          <w:p w14:paraId="4CF49F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5F8AC2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96518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667913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c>
          <w:tcPr>
            <w:tcW w:w="1024" w:type="dxa"/>
          </w:tcPr>
          <w:p w14:paraId="4DF6E7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024" w:type="dxa"/>
          </w:tcPr>
          <w:p w14:paraId="141C93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27438E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2831" w:type="dxa"/>
          </w:tcPr>
          <w:p w14:paraId="65C0B6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мотор с плана снят. ИАМ</w:t>
            </w:r>
          </w:p>
        </w:tc>
      </w:tr>
      <w:tr w:rsidR="001002C3" w:rsidRPr="007122AB" w14:paraId="3E52F954" w14:textId="77777777">
        <w:tc>
          <w:tcPr>
            <w:tcW w:w="1024" w:type="dxa"/>
          </w:tcPr>
          <w:p w14:paraId="3BEF98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ЭН-1</w:t>
            </w:r>
          </w:p>
        </w:tc>
        <w:tc>
          <w:tcPr>
            <w:tcW w:w="1024" w:type="dxa"/>
          </w:tcPr>
          <w:p w14:paraId="71B755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7C5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F1C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BDE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61D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AB3F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C13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2831" w:type="dxa"/>
          </w:tcPr>
          <w:p w14:paraId="6152BE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ведет экспериментальные испытания на </w:t>
            </w:r>
            <w:proofErr w:type="spellStart"/>
            <w:r w:rsidRPr="007122AB">
              <w:rPr>
                <w:rFonts w:ascii="Times New Roman" w:hAnsi="Times New Roman"/>
                <w:color w:val="000000" w:themeColor="text1"/>
                <w:sz w:val="16"/>
                <w:szCs w:val="16"/>
              </w:rPr>
              <w:t>одноц</w:t>
            </w:r>
            <w:proofErr w:type="spellEnd"/>
            <w:r w:rsidRPr="007122AB">
              <w:rPr>
                <w:rFonts w:ascii="Times New Roman" w:hAnsi="Times New Roman"/>
                <w:color w:val="000000" w:themeColor="text1"/>
                <w:sz w:val="16"/>
                <w:szCs w:val="16"/>
              </w:rPr>
              <w:t>.</w:t>
            </w:r>
          </w:p>
        </w:tc>
      </w:tr>
      <w:tr w:rsidR="001002C3" w:rsidRPr="007122AB" w14:paraId="3C0F20B5" w14:textId="77777777">
        <w:tc>
          <w:tcPr>
            <w:tcW w:w="1024" w:type="dxa"/>
          </w:tcPr>
          <w:p w14:paraId="1033F3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6D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F56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6C3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5CE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957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AA4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959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B98B2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установках</w:t>
            </w:r>
          </w:p>
        </w:tc>
      </w:tr>
      <w:tr w:rsidR="001002C3" w:rsidRPr="007122AB" w14:paraId="51E2BF25" w14:textId="77777777">
        <w:tc>
          <w:tcPr>
            <w:tcW w:w="1024" w:type="dxa"/>
          </w:tcPr>
          <w:p w14:paraId="2B66A4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ГА М-26</w:t>
            </w:r>
          </w:p>
        </w:tc>
        <w:tc>
          <w:tcPr>
            <w:tcW w:w="1024" w:type="dxa"/>
          </w:tcPr>
          <w:p w14:paraId="1BB75B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43F19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63C978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431B52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315</w:t>
            </w:r>
          </w:p>
        </w:tc>
        <w:tc>
          <w:tcPr>
            <w:tcW w:w="1024" w:type="dxa"/>
          </w:tcPr>
          <w:p w14:paraId="0A2CE3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771E1E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597299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2831" w:type="dxa"/>
          </w:tcPr>
          <w:p w14:paraId="1C8914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Прошел 50-часовые гос. испытания </w:t>
            </w:r>
            <w:proofErr w:type="spellStart"/>
            <w:r w:rsidRPr="007122AB">
              <w:rPr>
                <w:rFonts w:ascii="Times New Roman" w:hAnsi="Times New Roman"/>
                <w:color w:val="000000" w:themeColor="text1"/>
                <w:sz w:val="16"/>
                <w:szCs w:val="16"/>
              </w:rPr>
              <w:t>удовлетвор</w:t>
            </w:r>
            <w:proofErr w:type="spellEnd"/>
            <w:r w:rsidRPr="007122AB">
              <w:rPr>
                <w:rFonts w:ascii="Times New Roman" w:hAnsi="Times New Roman"/>
                <w:color w:val="000000" w:themeColor="text1"/>
                <w:sz w:val="16"/>
                <w:szCs w:val="16"/>
              </w:rPr>
              <w:t>.</w:t>
            </w:r>
          </w:p>
        </w:tc>
      </w:tr>
      <w:tr w:rsidR="001002C3" w:rsidRPr="007122AB" w14:paraId="5B0CABA8" w14:textId="77777777">
        <w:tc>
          <w:tcPr>
            <w:tcW w:w="1024" w:type="dxa"/>
          </w:tcPr>
          <w:p w14:paraId="02CBC4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4B09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2EE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212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38E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D16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EF0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9C1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w:t>
            </w:r>
          </w:p>
        </w:tc>
        <w:tc>
          <w:tcPr>
            <w:tcW w:w="2831" w:type="dxa"/>
          </w:tcPr>
          <w:p w14:paraId="761692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w:t>
            </w:r>
          </w:p>
        </w:tc>
      </w:tr>
      <w:tr w:rsidR="001002C3" w:rsidRPr="007122AB" w14:paraId="1F621D5A" w14:textId="77777777">
        <w:tc>
          <w:tcPr>
            <w:tcW w:w="1024" w:type="dxa"/>
          </w:tcPr>
          <w:p w14:paraId="10222C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0A1662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17BC26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280F63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715DA9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024" w:type="dxa"/>
          </w:tcPr>
          <w:p w14:paraId="314E4E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0.80</w:t>
            </w:r>
          </w:p>
        </w:tc>
        <w:tc>
          <w:tcPr>
            <w:tcW w:w="1024" w:type="dxa"/>
          </w:tcPr>
          <w:p w14:paraId="241478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406FE4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2831" w:type="dxa"/>
          </w:tcPr>
          <w:p w14:paraId="1FA887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исполнению на принят</w:t>
            </w:r>
          </w:p>
        </w:tc>
      </w:tr>
      <w:tr w:rsidR="001002C3" w:rsidRPr="007122AB" w14:paraId="43640B44" w14:textId="77777777">
        <w:tc>
          <w:tcPr>
            <w:tcW w:w="1024" w:type="dxa"/>
          </w:tcPr>
          <w:p w14:paraId="120CCA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М-15а</w:t>
            </w:r>
          </w:p>
        </w:tc>
        <w:tc>
          <w:tcPr>
            <w:tcW w:w="1024" w:type="dxa"/>
          </w:tcPr>
          <w:p w14:paraId="0FCF00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50A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529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FEBA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D60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202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91B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AC505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r>
      <w:tr w:rsidR="001002C3" w:rsidRPr="007122AB" w14:paraId="2F6D2CB1" w14:textId="77777777">
        <w:tc>
          <w:tcPr>
            <w:tcW w:w="1024" w:type="dxa"/>
          </w:tcPr>
          <w:p w14:paraId="7010FA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565C15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25B783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0C3526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w:t>
            </w:r>
          </w:p>
        </w:tc>
        <w:tc>
          <w:tcPr>
            <w:tcW w:w="1024" w:type="dxa"/>
          </w:tcPr>
          <w:p w14:paraId="6E1E23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должны быть</w:t>
            </w:r>
          </w:p>
        </w:tc>
        <w:tc>
          <w:tcPr>
            <w:tcW w:w="1024" w:type="dxa"/>
          </w:tcPr>
          <w:p w14:paraId="153DD8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488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развитием М-34. Работы по этому мотору</w:t>
            </w:r>
          </w:p>
        </w:tc>
        <w:tc>
          <w:tcPr>
            <w:tcW w:w="1024" w:type="dxa"/>
          </w:tcPr>
          <w:p w14:paraId="5D4C98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E7451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0EFF5AF" w14:textId="77777777">
        <w:tc>
          <w:tcPr>
            <w:tcW w:w="1024" w:type="dxa"/>
          </w:tcPr>
          <w:p w14:paraId="0A583E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766435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7216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F68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024" w:type="dxa"/>
          </w:tcPr>
          <w:p w14:paraId="5BE375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представлены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w:t>
            </w:r>
          </w:p>
        </w:tc>
        <w:tc>
          <w:tcPr>
            <w:tcW w:w="1024" w:type="dxa"/>
          </w:tcPr>
          <w:p w14:paraId="401229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FD5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будут вестись в зависимости от удачи с М-34.</w:t>
            </w:r>
          </w:p>
        </w:tc>
        <w:tc>
          <w:tcPr>
            <w:tcW w:w="1024" w:type="dxa"/>
          </w:tcPr>
          <w:p w14:paraId="0CFD06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1F5E2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0EB89B7" w14:textId="77777777">
        <w:tc>
          <w:tcPr>
            <w:tcW w:w="1024" w:type="dxa"/>
          </w:tcPr>
          <w:p w14:paraId="00B106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1024" w:type="dxa"/>
          </w:tcPr>
          <w:p w14:paraId="2246D0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33E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FF6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B603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889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1A0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0EB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2B766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04CCA9B" w14:textId="77777777">
        <w:tc>
          <w:tcPr>
            <w:tcW w:w="1024" w:type="dxa"/>
          </w:tcPr>
          <w:p w14:paraId="470F08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 в 1932 будет проектироваться 3 нефтяных мотора:</w:t>
            </w:r>
          </w:p>
        </w:tc>
        <w:tc>
          <w:tcPr>
            <w:tcW w:w="1024" w:type="dxa"/>
          </w:tcPr>
          <w:p w14:paraId="26CA9F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716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B3C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C41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3F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CBD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7617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07FC2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76ACBC7" w14:textId="77777777">
        <w:tc>
          <w:tcPr>
            <w:tcW w:w="1024" w:type="dxa"/>
          </w:tcPr>
          <w:p w14:paraId="1D0541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300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для ГВФ</w:t>
            </w:r>
          </w:p>
        </w:tc>
        <w:tc>
          <w:tcPr>
            <w:tcW w:w="1024" w:type="dxa"/>
          </w:tcPr>
          <w:p w14:paraId="6DA4FC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8266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AF2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366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832A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2C5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D0A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5C87C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89CE77D" w14:textId="77777777">
        <w:tc>
          <w:tcPr>
            <w:tcW w:w="1024" w:type="dxa"/>
          </w:tcPr>
          <w:p w14:paraId="371872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500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для ВВС</w:t>
            </w:r>
          </w:p>
        </w:tc>
        <w:tc>
          <w:tcPr>
            <w:tcW w:w="1024" w:type="dxa"/>
          </w:tcPr>
          <w:p w14:paraId="3FEF5C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1B7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2E7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D1BC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BFB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16D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054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789B2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0C16F7" w14:textId="77777777">
        <w:tc>
          <w:tcPr>
            <w:tcW w:w="1024" w:type="dxa"/>
          </w:tcPr>
          <w:p w14:paraId="3669AD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600-800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для дирижаблей</w:t>
            </w:r>
          </w:p>
        </w:tc>
        <w:tc>
          <w:tcPr>
            <w:tcW w:w="1024" w:type="dxa"/>
          </w:tcPr>
          <w:p w14:paraId="0F269B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48D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5120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4D8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457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D2E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D7C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5A4B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3CDA0D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1002C3" w:rsidRPr="007122AB" w14:paraId="6C9B95C1" w14:textId="77777777">
        <w:tc>
          <w:tcPr>
            <w:tcW w:w="1024" w:type="dxa"/>
          </w:tcPr>
          <w:p w14:paraId="143B0C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024" w:type="dxa"/>
          </w:tcPr>
          <w:p w14:paraId="384CB9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7F1F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летно-тактические данные</w:t>
            </w:r>
          </w:p>
        </w:tc>
        <w:tc>
          <w:tcPr>
            <w:tcW w:w="1024" w:type="dxa"/>
          </w:tcPr>
          <w:p w14:paraId="11EEB4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068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445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396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C989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F285AAC" w14:textId="77777777">
        <w:tc>
          <w:tcPr>
            <w:tcW w:w="1024" w:type="dxa"/>
          </w:tcPr>
          <w:p w14:paraId="27CD0B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w:t>
            </w:r>
          </w:p>
        </w:tc>
        <w:tc>
          <w:tcPr>
            <w:tcW w:w="1024" w:type="dxa"/>
          </w:tcPr>
          <w:p w14:paraId="004850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w:t>
            </w:r>
          </w:p>
        </w:tc>
        <w:tc>
          <w:tcPr>
            <w:tcW w:w="1024" w:type="dxa"/>
          </w:tcPr>
          <w:p w14:paraId="7156DE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w:t>
            </w:r>
            <w:proofErr w:type="spellEnd"/>
            <w:r w:rsidRPr="007122AB">
              <w:rPr>
                <w:rFonts w:ascii="Times New Roman" w:hAnsi="Times New Roman"/>
                <w:color w:val="000000" w:themeColor="text1"/>
                <w:sz w:val="16"/>
                <w:szCs w:val="16"/>
              </w:rPr>
              <w:t>.</w:t>
            </w:r>
          </w:p>
        </w:tc>
        <w:tc>
          <w:tcPr>
            <w:tcW w:w="1024" w:type="dxa"/>
          </w:tcPr>
          <w:p w14:paraId="2CA305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1024" w:type="dxa"/>
          </w:tcPr>
          <w:p w14:paraId="051EC8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1024" w:type="dxa"/>
          </w:tcPr>
          <w:p w14:paraId="090FBD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w:t>
            </w:r>
          </w:p>
        </w:tc>
        <w:tc>
          <w:tcPr>
            <w:tcW w:w="1024" w:type="dxa"/>
          </w:tcPr>
          <w:p w14:paraId="3BEEBC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w:t>
            </w:r>
          </w:p>
        </w:tc>
        <w:tc>
          <w:tcPr>
            <w:tcW w:w="3430" w:type="dxa"/>
          </w:tcPr>
          <w:p w14:paraId="50C70C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w:t>
            </w:r>
          </w:p>
        </w:tc>
      </w:tr>
      <w:tr w:rsidR="001002C3" w:rsidRPr="007122AB" w14:paraId="109516B4" w14:textId="77777777">
        <w:tc>
          <w:tcPr>
            <w:tcW w:w="1024" w:type="dxa"/>
          </w:tcPr>
          <w:p w14:paraId="4A2B63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FCD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гориз</w:t>
            </w:r>
            <w:proofErr w:type="spellEnd"/>
            <w:r w:rsidRPr="007122AB">
              <w:rPr>
                <w:rFonts w:ascii="Times New Roman" w:hAnsi="Times New Roman"/>
                <w:color w:val="000000" w:themeColor="text1"/>
                <w:sz w:val="16"/>
                <w:szCs w:val="16"/>
              </w:rPr>
              <w:t>.</w:t>
            </w:r>
          </w:p>
        </w:tc>
        <w:tc>
          <w:tcPr>
            <w:tcW w:w="1024" w:type="dxa"/>
          </w:tcPr>
          <w:p w14:paraId="76A2D7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 на</w:t>
            </w:r>
          </w:p>
        </w:tc>
        <w:tc>
          <w:tcPr>
            <w:tcW w:w="1024" w:type="dxa"/>
          </w:tcPr>
          <w:p w14:paraId="6034AE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w:t>
            </w:r>
          </w:p>
        </w:tc>
        <w:tc>
          <w:tcPr>
            <w:tcW w:w="1024" w:type="dxa"/>
          </w:tcPr>
          <w:p w14:paraId="601BAE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F8B8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w:t>
            </w:r>
          </w:p>
        </w:tc>
        <w:tc>
          <w:tcPr>
            <w:tcW w:w="1024" w:type="dxa"/>
          </w:tcPr>
          <w:p w14:paraId="00D270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предъяв.</w:t>
            </w:r>
          </w:p>
        </w:tc>
        <w:tc>
          <w:tcPr>
            <w:tcW w:w="3430" w:type="dxa"/>
          </w:tcPr>
          <w:p w14:paraId="2437ED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36187D1" w14:textId="77777777">
        <w:tc>
          <w:tcPr>
            <w:tcW w:w="1024" w:type="dxa"/>
          </w:tcPr>
          <w:p w14:paraId="4294B8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E30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w:t>
            </w:r>
            <w:proofErr w:type="spellEnd"/>
            <w:r w:rsidRPr="007122AB">
              <w:rPr>
                <w:rFonts w:ascii="Times New Roman" w:hAnsi="Times New Roman"/>
                <w:color w:val="000000" w:themeColor="text1"/>
                <w:sz w:val="16"/>
                <w:szCs w:val="16"/>
              </w:rPr>
              <w:t>. в</w:t>
            </w:r>
          </w:p>
        </w:tc>
        <w:tc>
          <w:tcPr>
            <w:tcW w:w="1024" w:type="dxa"/>
          </w:tcPr>
          <w:p w14:paraId="2A15EC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высоту</w:t>
            </w:r>
          </w:p>
        </w:tc>
        <w:tc>
          <w:tcPr>
            <w:tcW w:w="1024" w:type="dxa"/>
          </w:tcPr>
          <w:p w14:paraId="260D3F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18C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B68C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700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w:t>
            </w:r>
          </w:p>
        </w:tc>
        <w:tc>
          <w:tcPr>
            <w:tcW w:w="3430" w:type="dxa"/>
          </w:tcPr>
          <w:p w14:paraId="2ADBF5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801136" w14:textId="77777777">
        <w:tc>
          <w:tcPr>
            <w:tcW w:w="1024" w:type="dxa"/>
          </w:tcPr>
          <w:p w14:paraId="5FA447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4E32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км на</w:t>
            </w:r>
          </w:p>
        </w:tc>
        <w:tc>
          <w:tcPr>
            <w:tcW w:w="1024" w:type="dxa"/>
          </w:tcPr>
          <w:p w14:paraId="1EF140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C5A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6F5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B417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4C3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испыт</w:t>
            </w:r>
            <w:proofErr w:type="spellEnd"/>
            <w:r w:rsidRPr="007122AB">
              <w:rPr>
                <w:rFonts w:ascii="Times New Roman" w:hAnsi="Times New Roman"/>
                <w:color w:val="000000" w:themeColor="text1"/>
                <w:sz w:val="16"/>
                <w:szCs w:val="16"/>
              </w:rPr>
              <w:t>.</w:t>
            </w:r>
          </w:p>
        </w:tc>
        <w:tc>
          <w:tcPr>
            <w:tcW w:w="3430" w:type="dxa"/>
          </w:tcPr>
          <w:p w14:paraId="26C7C2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ED88C3E" w14:textId="77777777">
        <w:tc>
          <w:tcPr>
            <w:tcW w:w="1024" w:type="dxa"/>
          </w:tcPr>
          <w:p w14:paraId="44212A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7A4A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высоте</w:t>
            </w:r>
          </w:p>
        </w:tc>
        <w:tc>
          <w:tcPr>
            <w:tcW w:w="1024" w:type="dxa"/>
          </w:tcPr>
          <w:p w14:paraId="398BEB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58D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BBD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EB8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06B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C796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B412C1" w14:textId="77777777">
        <w:tc>
          <w:tcPr>
            <w:tcW w:w="1024" w:type="dxa"/>
          </w:tcPr>
          <w:p w14:paraId="34890F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024" w:type="dxa"/>
          </w:tcPr>
          <w:p w14:paraId="0918E7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1B8365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FED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35D998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77C356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1BDD3F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11E9A6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РВС от 5 августа 1931 года</w:t>
            </w:r>
          </w:p>
        </w:tc>
      </w:tr>
      <w:tr w:rsidR="001002C3" w:rsidRPr="007122AB" w14:paraId="23DF2B8E" w14:textId="77777777">
        <w:tc>
          <w:tcPr>
            <w:tcW w:w="1024" w:type="dxa"/>
          </w:tcPr>
          <w:p w14:paraId="56404A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7B67DF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233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0FB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8201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tc>
        <w:tc>
          <w:tcPr>
            <w:tcW w:w="1024" w:type="dxa"/>
          </w:tcPr>
          <w:p w14:paraId="1C9331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CEDB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7BBD2F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были утверждены основные данные </w:t>
            </w:r>
            <w:proofErr w:type="spellStart"/>
            <w:r w:rsidRPr="007122AB">
              <w:rPr>
                <w:rFonts w:ascii="Times New Roman" w:hAnsi="Times New Roman"/>
                <w:color w:val="000000" w:themeColor="text1"/>
                <w:sz w:val="16"/>
                <w:szCs w:val="16"/>
              </w:rPr>
              <w:t>нагруз</w:t>
            </w:r>
            <w:proofErr w:type="spellEnd"/>
            <w:r w:rsidRPr="007122AB">
              <w:rPr>
                <w:rFonts w:ascii="Times New Roman" w:hAnsi="Times New Roman"/>
                <w:color w:val="000000" w:themeColor="text1"/>
                <w:sz w:val="16"/>
                <w:szCs w:val="16"/>
              </w:rPr>
              <w:t>.</w:t>
            </w:r>
          </w:p>
        </w:tc>
      </w:tr>
      <w:tr w:rsidR="001002C3" w:rsidRPr="007122AB" w14:paraId="51FB3B93" w14:textId="77777777">
        <w:tc>
          <w:tcPr>
            <w:tcW w:w="1024" w:type="dxa"/>
          </w:tcPr>
          <w:p w14:paraId="4396B2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900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5B0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EFE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1BB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4F9FF7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545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73A7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 6М-34, принято решение об установке</w:t>
            </w:r>
          </w:p>
        </w:tc>
      </w:tr>
      <w:tr w:rsidR="001002C3" w:rsidRPr="007122AB" w14:paraId="3FC32D44" w14:textId="77777777">
        <w:tc>
          <w:tcPr>
            <w:tcW w:w="1024" w:type="dxa"/>
          </w:tcPr>
          <w:p w14:paraId="2E2947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69C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EF73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BB3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054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1024" w:type="dxa"/>
          </w:tcPr>
          <w:p w14:paraId="7143DD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5D9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F41B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4хМ-35 или 6М-34 с установкой на опытный</w:t>
            </w:r>
          </w:p>
        </w:tc>
      </w:tr>
      <w:tr w:rsidR="001002C3" w:rsidRPr="007122AB" w14:paraId="122BCBA0" w14:textId="77777777">
        <w:tc>
          <w:tcPr>
            <w:tcW w:w="1024" w:type="dxa"/>
          </w:tcPr>
          <w:p w14:paraId="3DAC72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144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D92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58C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1B5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 кг</w:t>
            </w:r>
          </w:p>
        </w:tc>
        <w:tc>
          <w:tcPr>
            <w:tcW w:w="1024" w:type="dxa"/>
          </w:tcPr>
          <w:p w14:paraId="6006E4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A4E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2D47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6РР с НХП и постройке 2-х </w:t>
            </w:r>
          </w:p>
        </w:tc>
      </w:tr>
      <w:tr w:rsidR="001002C3" w:rsidRPr="007122AB" w14:paraId="50D8A750" w14:textId="77777777">
        <w:tc>
          <w:tcPr>
            <w:tcW w:w="1024" w:type="dxa"/>
          </w:tcPr>
          <w:p w14:paraId="352F6B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683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DF6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938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A6D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18D88B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821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ECDC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вариантов: дюралевого с площадью крыльев</w:t>
            </w:r>
          </w:p>
        </w:tc>
      </w:tr>
      <w:tr w:rsidR="001002C3" w:rsidRPr="007122AB" w14:paraId="7F9E4025" w14:textId="77777777">
        <w:tc>
          <w:tcPr>
            <w:tcW w:w="1024" w:type="dxa"/>
          </w:tcPr>
          <w:p w14:paraId="229782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878A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3E0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09F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7514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E84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2C9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15FD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410 м и стального с площадью 340 м. </w:t>
            </w:r>
            <w:proofErr w:type="spellStart"/>
            <w:r w:rsidRPr="007122AB">
              <w:rPr>
                <w:rFonts w:ascii="Times New Roman" w:hAnsi="Times New Roman"/>
                <w:color w:val="000000" w:themeColor="text1"/>
                <w:sz w:val="16"/>
                <w:szCs w:val="16"/>
              </w:rPr>
              <w:t>Утвер</w:t>
            </w:r>
            <w:proofErr w:type="spellEnd"/>
            <w:r w:rsidRPr="007122AB">
              <w:rPr>
                <w:rFonts w:ascii="Times New Roman" w:hAnsi="Times New Roman"/>
                <w:color w:val="000000" w:themeColor="text1"/>
                <w:sz w:val="16"/>
                <w:szCs w:val="16"/>
              </w:rPr>
              <w:t>.</w:t>
            </w:r>
          </w:p>
        </w:tc>
      </w:tr>
      <w:tr w:rsidR="001002C3" w:rsidRPr="007122AB" w14:paraId="4DEE323D" w14:textId="77777777">
        <w:tc>
          <w:tcPr>
            <w:tcW w:w="1024" w:type="dxa"/>
          </w:tcPr>
          <w:p w14:paraId="750FD0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C42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C9B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174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1464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2F4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106F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9AE2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Утверждены схема ТБ-4 с </w:t>
            </w:r>
            <w:proofErr w:type="spellStart"/>
            <w:r w:rsidRPr="007122AB">
              <w:rPr>
                <w:rFonts w:ascii="Times New Roman" w:hAnsi="Times New Roman"/>
                <w:color w:val="000000" w:themeColor="text1"/>
                <w:sz w:val="16"/>
                <w:szCs w:val="16"/>
              </w:rPr>
              <w:t>площ</w:t>
            </w:r>
            <w:proofErr w:type="spellEnd"/>
            <w:r w:rsidRPr="007122AB">
              <w:rPr>
                <w:rFonts w:ascii="Times New Roman" w:hAnsi="Times New Roman"/>
                <w:color w:val="000000" w:themeColor="text1"/>
                <w:sz w:val="16"/>
                <w:szCs w:val="16"/>
              </w:rPr>
              <w:t>. 410 м и</w:t>
            </w:r>
          </w:p>
        </w:tc>
      </w:tr>
      <w:tr w:rsidR="001002C3" w:rsidRPr="007122AB" w14:paraId="7F085976" w14:textId="77777777">
        <w:tc>
          <w:tcPr>
            <w:tcW w:w="1024" w:type="dxa"/>
          </w:tcPr>
          <w:p w14:paraId="460A2D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210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90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F32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3538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254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507B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A571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макет в части кабин л и командира. В ЦАГИ</w:t>
            </w:r>
          </w:p>
        </w:tc>
      </w:tr>
      <w:tr w:rsidR="001002C3" w:rsidRPr="007122AB" w14:paraId="55968593" w14:textId="77777777">
        <w:tc>
          <w:tcPr>
            <w:tcW w:w="1024" w:type="dxa"/>
          </w:tcPr>
          <w:p w14:paraId="7E5CF7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A04D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FE6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0E8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F24F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8C2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68F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62A6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развернуты работы по постройке машины.</w:t>
            </w:r>
          </w:p>
        </w:tc>
      </w:tr>
      <w:tr w:rsidR="001002C3" w:rsidRPr="007122AB" w14:paraId="772ADFB4" w14:textId="77777777">
        <w:tc>
          <w:tcPr>
            <w:tcW w:w="1024" w:type="dxa"/>
          </w:tcPr>
          <w:p w14:paraId="0A8F2F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16B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5D0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ACE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0C7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9649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489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ADBC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происходит сборка</w:t>
            </w:r>
          </w:p>
        </w:tc>
      </w:tr>
      <w:tr w:rsidR="001002C3" w:rsidRPr="007122AB" w14:paraId="373E8B30" w14:textId="77777777">
        <w:tc>
          <w:tcPr>
            <w:tcW w:w="1024" w:type="dxa"/>
          </w:tcPr>
          <w:p w14:paraId="42D4ED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C3E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33D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CAC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817C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2D3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BF7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7324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хвостовой части фюзеляжа и оперения,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w:t>
            </w:r>
          </w:p>
        </w:tc>
      </w:tr>
      <w:tr w:rsidR="001002C3" w:rsidRPr="007122AB" w14:paraId="6DEE3274" w14:textId="77777777">
        <w:tc>
          <w:tcPr>
            <w:tcW w:w="1024" w:type="dxa"/>
          </w:tcPr>
          <w:p w14:paraId="756E91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0CA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BCBA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A5B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B93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EC5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1FC8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6C54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лонжероны консолей крыла, заканчивается</w:t>
            </w:r>
          </w:p>
        </w:tc>
      </w:tr>
      <w:tr w:rsidR="001002C3" w:rsidRPr="007122AB" w14:paraId="3CC11FD0" w14:textId="77777777">
        <w:tc>
          <w:tcPr>
            <w:tcW w:w="1024" w:type="dxa"/>
          </w:tcPr>
          <w:p w14:paraId="661279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D8DD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98A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1557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63E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AC8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B36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663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изготовление лонжеронов средних частей.</w:t>
            </w:r>
          </w:p>
        </w:tc>
      </w:tr>
      <w:tr w:rsidR="001002C3" w:rsidRPr="007122AB" w14:paraId="08222FED" w14:textId="77777777">
        <w:tc>
          <w:tcPr>
            <w:tcW w:w="1024" w:type="dxa"/>
          </w:tcPr>
          <w:p w14:paraId="57EE51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839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07D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C06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A67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7F3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CA7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4AA1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предложенные закупки 6РР</w:t>
            </w:r>
          </w:p>
        </w:tc>
      </w:tr>
      <w:tr w:rsidR="001002C3" w:rsidRPr="007122AB" w14:paraId="12578A31" w14:textId="77777777">
        <w:tc>
          <w:tcPr>
            <w:tcW w:w="1024" w:type="dxa"/>
          </w:tcPr>
          <w:p w14:paraId="22953F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9ED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E5A7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4A1B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FD59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40D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9CEA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D1B6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800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в Англии не разрешены, а М-35Р</w:t>
            </w:r>
          </w:p>
        </w:tc>
      </w:tr>
      <w:tr w:rsidR="001002C3" w:rsidRPr="007122AB" w14:paraId="76E2E058" w14:textId="77777777">
        <w:tc>
          <w:tcPr>
            <w:tcW w:w="1024" w:type="dxa"/>
          </w:tcPr>
          <w:p w14:paraId="435D35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DB00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504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E0C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1A61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11C3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3CC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3C93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М-34Р в 1931 не выйдут, вопрос открыт.</w:t>
            </w:r>
          </w:p>
        </w:tc>
      </w:tr>
      <w:tr w:rsidR="001002C3" w:rsidRPr="007122AB" w14:paraId="795BA270" w14:textId="77777777">
        <w:tc>
          <w:tcPr>
            <w:tcW w:w="1024" w:type="dxa"/>
          </w:tcPr>
          <w:p w14:paraId="78C582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3630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B31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9638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089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645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C58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12EE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Положение осложняется и тем, что выпуск</w:t>
            </w:r>
          </w:p>
        </w:tc>
      </w:tr>
      <w:tr w:rsidR="001002C3" w:rsidRPr="007122AB" w14:paraId="0B4F6D7F" w14:textId="77777777">
        <w:tc>
          <w:tcPr>
            <w:tcW w:w="1024" w:type="dxa"/>
          </w:tcPr>
          <w:p w14:paraId="4B738D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ADA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05E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221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B4E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8E47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DD0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533C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М-34 по кол. не </w:t>
            </w:r>
            <w:proofErr w:type="spellStart"/>
            <w:r w:rsidRPr="007122AB">
              <w:rPr>
                <w:rFonts w:ascii="Times New Roman" w:hAnsi="Times New Roman"/>
                <w:color w:val="000000" w:themeColor="text1"/>
                <w:sz w:val="16"/>
                <w:szCs w:val="16"/>
              </w:rPr>
              <w:t>удовлетв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опытного</w:t>
            </w:r>
          </w:p>
        </w:tc>
      </w:tr>
      <w:tr w:rsidR="001002C3" w:rsidRPr="007122AB" w14:paraId="51565583" w14:textId="77777777">
        <w:tc>
          <w:tcPr>
            <w:tcW w:w="1024" w:type="dxa"/>
          </w:tcPr>
          <w:p w14:paraId="012854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3A3D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46A7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3A5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2C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043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CCCA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8611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производства</w:t>
            </w:r>
          </w:p>
        </w:tc>
      </w:tr>
      <w:tr w:rsidR="001002C3" w:rsidRPr="007122AB" w14:paraId="7DAF3725" w14:textId="77777777">
        <w:tc>
          <w:tcPr>
            <w:tcW w:w="1024" w:type="dxa"/>
          </w:tcPr>
          <w:p w14:paraId="781B6C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115E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6232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C4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BB1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831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40F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908E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0F528B7F" w14:textId="77777777">
        <w:tc>
          <w:tcPr>
            <w:tcW w:w="1024" w:type="dxa"/>
          </w:tcPr>
          <w:p w14:paraId="45E382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ТБ5-4ЮVI</w:t>
            </w:r>
          </w:p>
        </w:tc>
        <w:tc>
          <w:tcPr>
            <w:tcW w:w="1024" w:type="dxa"/>
          </w:tcPr>
          <w:p w14:paraId="4407A1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024" w:type="dxa"/>
          </w:tcPr>
          <w:p w14:paraId="73C1AD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3848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24FFB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 пул.</w:t>
            </w:r>
          </w:p>
        </w:tc>
        <w:tc>
          <w:tcPr>
            <w:tcW w:w="1024" w:type="dxa"/>
          </w:tcPr>
          <w:p w14:paraId="61783C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5CA85F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w:t>
            </w:r>
          </w:p>
        </w:tc>
        <w:tc>
          <w:tcPr>
            <w:tcW w:w="3430" w:type="dxa"/>
          </w:tcPr>
          <w:p w14:paraId="425699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закончен постройкой 30 июня.</w:t>
            </w:r>
          </w:p>
        </w:tc>
      </w:tr>
      <w:tr w:rsidR="001002C3" w:rsidRPr="007122AB" w14:paraId="4D31F114" w14:textId="77777777">
        <w:tc>
          <w:tcPr>
            <w:tcW w:w="1024" w:type="dxa"/>
          </w:tcPr>
          <w:p w14:paraId="6CBE2E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56FB60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4AA67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096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13F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кг</w:t>
            </w:r>
          </w:p>
        </w:tc>
        <w:tc>
          <w:tcPr>
            <w:tcW w:w="1024" w:type="dxa"/>
          </w:tcPr>
          <w:p w14:paraId="38D02F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ECF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E4DE4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Первые 3 полета прошли успешно, </w:t>
            </w:r>
            <w:proofErr w:type="spellStart"/>
            <w:r w:rsidRPr="007122AB">
              <w:rPr>
                <w:rFonts w:ascii="Times New Roman" w:hAnsi="Times New Roman"/>
                <w:color w:val="000000" w:themeColor="text1"/>
                <w:sz w:val="16"/>
                <w:szCs w:val="16"/>
              </w:rPr>
              <w:t>констат</w:t>
            </w:r>
            <w:proofErr w:type="spellEnd"/>
            <w:r w:rsidRPr="007122AB">
              <w:rPr>
                <w:rFonts w:ascii="Times New Roman" w:hAnsi="Times New Roman"/>
                <w:color w:val="000000" w:themeColor="text1"/>
                <w:sz w:val="16"/>
                <w:szCs w:val="16"/>
              </w:rPr>
              <w:t>.</w:t>
            </w:r>
          </w:p>
        </w:tc>
      </w:tr>
      <w:tr w:rsidR="001002C3" w:rsidRPr="007122AB" w14:paraId="448BB094" w14:textId="77777777">
        <w:tc>
          <w:tcPr>
            <w:tcW w:w="1024" w:type="dxa"/>
          </w:tcPr>
          <w:p w14:paraId="0FFA74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232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523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10A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C43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 с</w:t>
            </w:r>
          </w:p>
        </w:tc>
        <w:tc>
          <w:tcPr>
            <w:tcW w:w="1024" w:type="dxa"/>
          </w:tcPr>
          <w:p w14:paraId="0333CC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BCF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8CF4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недостаточную тягу винтов из-за того</w:t>
            </w:r>
          </w:p>
        </w:tc>
      </w:tr>
      <w:tr w:rsidR="001002C3" w:rsidRPr="007122AB" w14:paraId="104365C8" w14:textId="77777777">
        <w:tc>
          <w:tcPr>
            <w:tcW w:w="1024" w:type="dxa"/>
          </w:tcPr>
          <w:p w14:paraId="3E0209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F47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8E8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94A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1B3F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166F85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B8B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376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моторы без редукторов. Продолжаются</w:t>
            </w:r>
          </w:p>
        </w:tc>
      </w:tr>
      <w:tr w:rsidR="001002C3" w:rsidRPr="007122AB" w14:paraId="5CA6E477" w14:textId="77777777">
        <w:tc>
          <w:tcPr>
            <w:tcW w:w="1024" w:type="dxa"/>
          </w:tcPr>
          <w:p w14:paraId="04A45B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536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4E31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2D7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A577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за</w:t>
            </w:r>
          </w:p>
        </w:tc>
        <w:tc>
          <w:tcPr>
            <w:tcW w:w="1024" w:type="dxa"/>
          </w:tcPr>
          <w:p w14:paraId="61D7D4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0BC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7265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заводские испытания. Доводится </w:t>
            </w:r>
            <w:proofErr w:type="spellStart"/>
            <w:r w:rsidRPr="007122AB">
              <w:rPr>
                <w:rFonts w:ascii="Times New Roman" w:hAnsi="Times New Roman"/>
                <w:color w:val="000000" w:themeColor="text1"/>
                <w:sz w:val="16"/>
                <w:szCs w:val="16"/>
              </w:rPr>
              <w:t>воор</w:t>
            </w:r>
            <w:proofErr w:type="spellEnd"/>
            <w:r w:rsidRPr="007122AB">
              <w:rPr>
                <w:rFonts w:ascii="Times New Roman" w:hAnsi="Times New Roman"/>
                <w:color w:val="000000" w:themeColor="text1"/>
                <w:sz w:val="16"/>
                <w:szCs w:val="16"/>
              </w:rPr>
              <w:t>.</w:t>
            </w:r>
          </w:p>
        </w:tc>
      </w:tr>
      <w:tr w:rsidR="001002C3" w:rsidRPr="007122AB" w14:paraId="04F7A316" w14:textId="77777777">
        <w:tc>
          <w:tcPr>
            <w:tcW w:w="1024" w:type="dxa"/>
          </w:tcPr>
          <w:p w14:paraId="0997A0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0707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BBCA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4FDB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23A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027FCC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EF2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3F00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оборудование. Поступит в НИИ в</w:t>
            </w:r>
          </w:p>
        </w:tc>
      </w:tr>
      <w:tr w:rsidR="001002C3" w:rsidRPr="007122AB" w14:paraId="533E3986" w14:textId="77777777">
        <w:tc>
          <w:tcPr>
            <w:tcW w:w="1024" w:type="dxa"/>
          </w:tcPr>
          <w:p w14:paraId="2B382E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AD9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7A6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D686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E90A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горючего</w:t>
            </w:r>
          </w:p>
        </w:tc>
        <w:tc>
          <w:tcPr>
            <w:tcW w:w="1024" w:type="dxa"/>
          </w:tcPr>
          <w:p w14:paraId="63388B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D89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конце </w:t>
            </w:r>
          </w:p>
        </w:tc>
        <w:tc>
          <w:tcPr>
            <w:tcW w:w="3430" w:type="dxa"/>
          </w:tcPr>
          <w:p w14:paraId="52CE66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EA0820" w14:textId="77777777">
        <w:tc>
          <w:tcPr>
            <w:tcW w:w="1024" w:type="dxa"/>
          </w:tcPr>
          <w:p w14:paraId="1531B6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F56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25D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A348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952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 кг</w:t>
            </w:r>
          </w:p>
        </w:tc>
        <w:tc>
          <w:tcPr>
            <w:tcW w:w="1024" w:type="dxa"/>
          </w:tcPr>
          <w:p w14:paraId="1E75DF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E37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августа</w:t>
            </w:r>
          </w:p>
        </w:tc>
        <w:tc>
          <w:tcPr>
            <w:tcW w:w="3430" w:type="dxa"/>
          </w:tcPr>
          <w:p w14:paraId="5B66DA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551D476C" w14:textId="77777777">
        <w:tc>
          <w:tcPr>
            <w:tcW w:w="1024" w:type="dxa"/>
          </w:tcPr>
          <w:p w14:paraId="14466C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A38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2710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1CD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5AC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18490E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B84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3430" w:type="dxa"/>
          </w:tcPr>
          <w:p w14:paraId="45E09E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494D5A2" w14:textId="77777777">
        <w:tc>
          <w:tcPr>
            <w:tcW w:w="1024" w:type="dxa"/>
          </w:tcPr>
          <w:p w14:paraId="5F49D2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М17</w:t>
            </w:r>
          </w:p>
        </w:tc>
        <w:tc>
          <w:tcPr>
            <w:tcW w:w="1024" w:type="dxa"/>
          </w:tcPr>
          <w:p w14:paraId="2E0EF1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w:t>
            </w:r>
          </w:p>
        </w:tc>
        <w:tc>
          <w:tcPr>
            <w:tcW w:w="1024" w:type="dxa"/>
          </w:tcPr>
          <w:p w14:paraId="0E6455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3A3612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77837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69FA73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24" w:type="dxa"/>
          </w:tcPr>
          <w:p w14:paraId="481BAA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w:t>
            </w:r>
          </w:p>
        </w:tc>
        <w:tc>
          <w:tcPr>
            <w:tcW w:w="3430" w:type="dxa"/>
          </w:tcPr>
          <w:p w14:paraId="6858DF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Заканчиваются гос. испытания в НИИ ВВС.</w:t>
            </w:r>
          </w:p>
        </w:tc>
      </w:tr>
      <w:tr w:rsidR="001002C3" w:rsidRPr="007122AB" w14:paraId="62920EA1" w14:textId="77777777">
        <w:tc>
          <w:tcPr>
            <w:tcW w:w="1024" w:type="dxa"/>
          </w:tcPr>
          <w:p w14:paraId="4CD465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B4A45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B57F0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7BF90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4EB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7FF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275</w:t>
            </w:r>
          </w:p>
        </w:tc>
        <w:tc>
          <w:tcPr>
            <w:tcW w:w="1024" w:type="dxa"/>
          </w:tcPr>
          <w:p w14:paraId="778308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78EE21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ЛД значительно</w:t>
            </w:r>
          </w:p>
        </w:tc>
      </w:tr>
      <w:tr w:rsidR="001002C3" w:rsidRPr="007122AB" w14:paraId="581103C7" w14:textId="77777777">
        <w:tc>
          <w:tcPr>
            <w:tcW w:w="1024" w:type="dxa"/>
          </w:tcPr>
          <w:p w14:paraId="184819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1167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B81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2A6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56F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DB0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B73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9A8C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ниже ТТ - 212 км/час вместо 260, потолок</w:t>
            </w:r>
          </w:p>
        </w:tc>
      </w:tr>
      <w:tr w:rsidR="001002C3" w:rsidRPr="007122AB" w14:paraId="540F6BCA" w14:textId="77777777">
        <w:tc>
          <w:tcPr>
            <w:tcW w:w="1024" w:type="dxa"/>
          </w:tcPr>
          <w:p w14:paraId="1FCAD1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788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8BB1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412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2A9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9404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7A94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9B0B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6300 вместо 7500. Маневренность хорошая</w:t>
            </w:r>
          </w:p>
        </w:tc>
      </w:tr>
      <w:tr w:rsidR="001002C3" w:rsidRPr="007122AB" w14:paraId="39312A14" w14:textId="77777777">
        <w:tc>
          <w:tcPr>
            <w:tcW w:w="1024" w:type="dxa"/>
          </w:tcPr>
          <w:p w14:paraId="6EA6F4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ECB3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0FB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82DE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D33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A40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88C5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0F47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Обнаружили дефекты. завод 39 строит</w:t>
            </w:r>
          </w:p>
        </w:tc>
      </w:tr>
      <w:tr w:rsidR="001002C3" w:rsidRPr="007122AB" w14:paraId="57891AC4" w14:textId="77777777">
        <w:tc>
          <w:tcPr>
            <w:tcW w:w="1024" w:type="dxa"/>
          </w:tcPr>
          <w:p w14:paraId="2E2807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C2D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3CA2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EB6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068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930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C35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3BC8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небольшую 910) серию. Сводка </w:t>
            </w:r>
            <w:proofErr w:type="spellStart"/>
            <w:r w:rsidRPr="007122AB">
              <w:rPr>
                <w:rFonts w:ascii="Times New Roman" w:hAnsi="Times New Roman"/>
                <w:color w:val="000000" w:themeColor="text1"/>
                <w:sz w:val="16"/>
                <w:szCs w:val="16"/>
              </w:rPr>
              <w:t>предст</w:t>
            </w:r>
            <w:proofErr w:type="spellEnd"/>
            <w:r w:rsidRPr="007122AB">
              <w:rPr>
                <w:rFonts w:ascii="Times New Roman" w:hAnsi="Times New Roman"/>
                <w:color w:val="000000" w:themeColor="text1"/>
                <w:sz w:val="16"/>
                <w:szCs w:val="16"/>
              </w:rPr>
              <w:t>.</w:t>
            </w:r>
          </w:p>
        </w:tc>
      </w:tr>
      <w:tr w:rsidR="001002C3" w:rsidRPr="007122AB" w14:paraId="149E425F" w14:textId="77777777">
        <w:tc>
          <w:tcPr>
            <w:tcW w:w="1024" w:type="dxa"/>
          </w:tcPr>
          <w:p w14:paraId="41D4B9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5FD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340A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392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CA44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F9B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ACA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B0BF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 ВВС</w:t>
            </w:r>
          </w:p>
        </w:tc>
      </w:tr>
      <w:tr w:rsidR="001002C3" w:rsidRPr="007122AB" w14:paraId="7E152174" w14:textId="77777777">
        <w:tc>
          <w:tcPr>
            <w:tcW w:w="1024" w:type="dxa"/>
          </w:tcPr>
          <w:p w14:paraId="1664F8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F07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EF4C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F3C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F56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32B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888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4159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3621AF81" w14:textId="77777777">
        <w:tc>
          <w:tcPr>
            <w:tcW w:w="1024" w:type="dxa"/>
          </w:tcPr>
          <w:p w14:paraId="0BB158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 2хМ34</w:t>
            </w:r>
          </w:p>
        </w:tc>
        <w:tc>
          <w:tcPr>
            <w:tcW w:w="1024" w:type="dxa"/>
          </w:tcPr>
          <w:p w14:paraId="2D89D1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1B32B7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1024" w:type="dxa"/>
          </w:tcPr>
          <w:p w14:paraId="03B88E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5A396B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w:t>
            </w:r>
          </w:p>
        </w:tc>
        <w:tc>
          <w:tcPr>
            <w:tcW w:w="1024" w:type="dxa"/>
          </w:tcPr>
          <w:p w14:paraId="67E114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40C98B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3430" w:type="dxa"/>
          </w:tcPr>
          <w:p w14:paraId="0EFDB5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Утверждена схема. Разработаны и </w:t>
            </w:r>
            <w:proofErr w:type="spellStart"/>
            <w:r w:rsidRPr="007122AB">
              <w:rPr>
                <w:rFonts w:ascii="Times New Roman" w:hAnsi="Times New Roman"/>
                <w:color w:val="000000" w:themeColor="text1"/>
                <w:sz w:val="16"/>
                <w:szCs w:val="16"/>
              </w:rPr>
              <w:t>предст</w:t>
            </w:r>
            <w:proofErr w:type="spellEnd"/>
            <w:r w:rsidRPr="007122AB">
              <w:rPr>
                <w:rFonts w:ascii="Times New Roman" w:hAnsi="Times New Roman"/>
                <w:color w:val="000000" w:themeColor="text1"/>
                <w:sz w:val="16"/>
                <w:szCs w:val="16"/>
              </w:rPr>
              <w:t>.</w:t>
            </w:r>
          </w:p>
        </w:tc>
      </w:tr>
      <w:tr w:rsidR="001002C3" w:rsidRPr="007122AB" w14:paraId="11584260" w14:textId="77777777">
        <w:tc>
          <w:tcPr>
            <w:tcW w:w="1024" w:type="dxa"/>
          </w:tcPr>
          <w:p w14:paraId="4556C1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2C57A7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9CD5A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62844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21D98D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3211FE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BB3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13F3F7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ЦАГИ ТТ. Ведется проектирование сам.</w:t>
            </w:r>
          </w:p>
        </w:tc>
      </w:tr>
      <w:tr w:rsidR="001002C3" w:rsidRPr="007122AB" w14:paraId="0D12B21F" w14:textId="77777777">
        <w:tc>
          <w:tcPr>
            <w:tcW w:w="1024" w:type="dxa"/>
          </w:tcPr>
          <w:p w14:paraId="01F722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A1F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024" w:type="dxa"/>
          </w:tcPr>
          <w:p w14:paraId="30C5B1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3D4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782E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1024" w:type="dxa"/>
          </w:tcPr>
          <w:p w14:paraId="638F76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7DD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7EDD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подготовка к постройке. Заканчивается</w:t>
            </w:r>
          </w:p>
        </w:tc>
      </w:tr>
      <w:tr w:rsidR="001002C3" w:rsidRPr="007122AB" w14:paraId="6C747596" w14:textId="77777777">
        <w:tc>
          <w:tcPr>
            <w:tcW w:w="1024" w:type="dxa"/>
          </w:tcPr>
          <w:p w14:paraId="2147F7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612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51F2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E402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7DE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3642D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56E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1EB0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макет. Открыт вопрос о снабжении М-34,</w:t>
            </w:r>
          </w:p>
        </w:tc>
      </w:tr>
      <w:tr w:rsidR="001002C3" w:rsidRPr="007122AB" w14:paraId="310D07B9" w14:textId="77777777">
        <w:tc>
          <w:tcPr>
            <w:tcW w:w="1024" w:type="dxa"/>
          </w:tcPr>
          <w:p w14:paraId="4ACFF1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25F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F02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ADD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76A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985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7BEC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3303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т.к. сроки поставки запаздывают по срав.</w:t>
            </w:r>
          </w:p>
        </w:tc>
      </w:tr>
      <w:tr w:rsidR="001002C3" w:rsidRPr="007122AB" w14:paraId="4EA700C9" w14:textId="77777777">
        <w:tc>
          <w:tcPr>
            <w:tcW w:w="1024" w:type="dxa"/>
          </w:tcPr>
          <w:p w14:paraId="5BEE17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FB0F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EF2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45F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8444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68A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4A9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1C3E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 </w:t>
            </w:r>
            <w:proofErr w:type="spellStart"/>
            <w:r w:rsidRPr="007122AB">
              <w:rPr>
                <w:rFonts w:ascii="Times New Roman" w:hAnsi="Times New Roman"/>
                <w:color w:val="000000" w:themeColor="text1"/>
                <w:sz w:val="16"/>
                <w:szCs w:val="16"/>
              </w:rPr>
              <w:t>изгот</w:t>
            </w:r>
            <w:proofErr w:type="spellEnd"/>
            <w:r w:rsidRPr="007122AB">
              <w:rPr>
                <w:rFonts w:ascii="Times New Roman" w:hAnsi="Times New Roman"/>
                <w:color w:val="000000" w:themeColor="text1"/>
                <w:sz w:val="16"/>
                <w:szCs w:val="16"/>
              </w:rPr>
              <w:t xml:space="preserve">. сроками самолета. Сдана в </w:t>
            </w:r>
            <w:proofErr w:type="spellStart"/>
            <w:r w:rsidRPr="007122AB">
              <w:rPr>
                <w:rFonts w:ascii="Times New Roman" w:hAnsi="Times New Roman"/>
                <w:color w:val="000000" w:themeColor="text1"/>
                <w:sz w:val="16"/>
                <w:szCs w:val="16"/>
              </w:rPr>
              <w:t>произ</w:t>
            </w:r>
            <w:proofErr w:type="spellEnd"/>
            <w:r w:rsidRPr="007122AB">
              <w:rPr>
                <w:rFonts w:ascii="Times New Roman" w:hAnsi="Times New Roman"/>
                <w:color w:val="000000" w:themeColor="text1"/>
                <w:sz w:val="16"/>
                <w:szCs w:val="16"/>
              </w:rPr>
              <w:t>.</w:t>
            </w:r>
          </w:p>
        </w:tc>
      </w:tr>
      <w:tr w:rsidR="001002C3" w:rsidRPr="007122AB" w14:paraId="3FFA2435" w14:textId="77777777">
        <w:tc>
          <w:tcPr>
            <w:tcW w:w="1024" w:type="dxa"/>
          </w:tcPr>
          <w:p w14:paraId="77D5EE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AF4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CD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39A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8AC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FE6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CAE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44BC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ОЧК</w:t>
            </w:r>
          </w:p>
        </w:tc>
      </w:tr>
      <w:tr w:rsidR="001002C3" w:rsidRPr="007122AB" w14:paraId="74707062" w14:textId="77777777">
        <w:tc>
          <w:tcPr>
            <w:tcW w:w="1024" w:type="dxa"/>
          </w:tcPr>
          <w:p w14:paraId="7A4BCD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6EB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03A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097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8CF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C03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8EA4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4AD2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4DE350CF" w14:textId="77777777">
        <w:tc>
          <w:tcPr>
            <w:tcW w:w="1024" w:type="dxa"/>
          </w:tcPr>
          <w:p w14:paraId="189454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w:t>
            </w:r>
          </w:p>
        </w:tc>
        <w:tc>
          <w:tcPr>
            <w:tcW w:w="1024" w:type="dxa"/>
          </w:tcPr>
          <w:p w14:paraId="0D6BC7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024" w:type="dxa"/>
          </w:tcPr>
          <w:p w14:paraId="7ADB34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024" w:type="dxa"/>
          </w:tcPr>
          <w:p w14:paraId="467B94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0E0B7A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696AE0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43558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4D804B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январе-апреле завод разработал проекты</w:t>
            </w:r>
          </w:p>
        </w:tc>
      </w:tr>
      <w:tr w:rsidR="001002C3" w:rsidRPr="007122AB" w14:paraId="68347467" w14:textId="77777777">
        <w:tc>
          <w:tcPr>
            <w:tcW w:w="1024" w:type="dxa"/>
          </w:tcPr>
          <w:p w14:paraId="249FFA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286570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6868E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317E6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790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AA1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56F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60E264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ряда схем, основываясь на схеме моноплан</w:t>
            </w:r>
          </w:p>
        </w:tc>
      </w:tr>
      <w:tr w:rsidR="001002C3" w:rsidRPr="007122AB" w14:paraId="36A2050C" w14:textId="77777777">
        <w:tc>
          <w:tcPr>
            <w:tcW w:w="1024" w:type="dxa"/>
          </w:tcPr>
          <w:p w14:paraId="3F6291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2B0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DD8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D63F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B66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3CE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5DE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50A3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двухвостка взамен </w:t>
            </w:r>
            <w:proofErr w:type="spellStart"/>
            <w:r w:rsidRPr="007122AB">
              <w:rPr>
                <w:rFonts w:ascii="Times New Roman" w:hAnsi="Times New Roman"/>
                <w:color w:val="000000" w:themeColor="text1"/>
                <w:sz w:val="16"/>
                <w:szCs w:val="16"/>
              </w:rPr>
              <w:t>полутороплана</w:t>
            </w:r>
            <w:proofErr w:type="spellEnd"/>
            <w:r w:rsidRPr="007122AB">
              <w:rPr>
                <w:rFonts w:ascii="Times New Roman" w:hAnsi="Times New Roman"/>
                <w:color w:val="000000" w:themeColor="text1"/>
                <w:sz w:val="16"/>
                <w:szCs w:val="16"/>
              </w:rPr>
              <w:t>. Боевую</w:t>
            </w:r>
          </w:p>
        </w:tc>
      </w:tr>
      <w:tr w:rsidR="001002C3" w:rsidRPr="007122AB" w14:paraId="76E73A68" w14:textId="77777777">
        <w:tc>
          <w:tcPr>
            <w:tcW w:w="1024" w:type="dxa"/>
          </w:tcPr>
          <w:p w14:paraId="00A861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5D6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0AA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638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8A6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8FC7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2DE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88DF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схемы ВВС не приняло исходя из </w:t>
            </w:r>
            <w:proofErr w:type="spellStart"/>
            <w:r w:rsidRPr="007122AB">
              <w:rPr>
                <w:rFonts w:ascii="Times New Roman" w:hAnsi="Times New Roman"/>
                <w:color w:val="000000" w:themeColor="text1"/>
                <w:sz w:val="16"/>
                <w:szCs w:val="16"/>
              </w:rPr>
              <w:t>тактич</w:t>
            </w:r>
            <w:proofErr w:type="spellEnd"/>
            <w:r w:rsidRPr="007122AB">
              <w:rPr>
                <w:rFonts w:ascii="Times New Roman" w:hAnsi="Times New Roman"/>
                <w:color w:val="000000" w:themeColor="text1"/>
                <w:sz w:val="16"/>
                <w:szCs w:val="16"/>
              </w:rPr>
              <w:t>.</w:t>
            </w:r>
          </w:p>
        </w:tc>
      </w:tr>
      <w:tr w:rsidR="001002C3" w:rsidRPr="007122AB" w14:paraId="48C3002D" w14:textId="77777777">
        <w:tc>
          <w:tcPr>
            <w:tcW w:w="1024" w:type="dxa"/>
          </w:tcPr>
          <w:p w14:paraId="1FB89F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C3CF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462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6B75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690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F0F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4360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E9FE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соображений. Макетная комиссия </w:t>
            </w:r>
            <w:proofErr w:type="spellStart"/>
            <w:r w:rsidRPr="007122AB">
              <w:rPr>
                <w:rFonts w:ascii="Times New Roman" w:hAnsi="Times New Roman"/>
                <w:color w:val="000000" w:themeColor="text1"/>
                <w:sz w:val="16"/>
                <w:szCs w:val="16"/>
              </w:rPr>
              <w:t>предлож</w:t>
            </w:r>
            <w:proofErr w:type="spellEnd"/>
            <w:r w:rsidRPr="007122AB">
              <w:rPr>
                <w:rFonts w:ascii="Times New Roman" w:hAnsi="Times New Roman"/>
                <w:color w:val="000000" w:themeColor="text1"/>
                <w:sz w:val="16"/>
                <w:szCs w:val="16"/>
              </w:rPr>
              <w:t>.</w:t>
            </w:r>
          </w:p>
        </w:tc>
      </w:tr>
      <w:tr w:rsidR="001002C3" w:rsidRPr="007122AB" w14:paraId="3A64F32C" w14:textId="77777777">
        <w:tc>
          <w:tcPr>
            <w:tcW w:w="1024" w:type="dxa"/>
          </w:tcPr>
          <w:p w14:paraId="7BEA89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ACB4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8ED1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97C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DB1A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BDC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1AE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3BDB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пересмотреть схему. Плановый срок сорван.</w:t>
            </w:r>
          </w:p>
        </w:tc>
      </w:tr>
      <w:tr w:rsidR="001002C3" w:rsidRPr="007122AB" w14:paraId="5F75C138" w14:textId="77777777">
        <w:tc>
          <w:tcPr>
            <w:tcW w:w="1024" w:type="dxa"/>
          </w:tcPr>
          <w:p w14:paraId="4DD1B0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776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AB3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448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15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D63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4DE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8B1A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Палехин</w:t>
            </w:r>
            <w:proofErr w:type="spellEnd"/>
            <w:r w:rsidRPr="007122AB">
              <w:rPr>
                <w:rFonts w:ascii="Times New Roman" w:hAnsi="Times New Roman"/>
                <w:color w:val="000000" w:themeColor="text1"/>
                <w:sz w:val="16"/>
                <w:szCs w:val="16"/>
              </w:rPr>
              <w:t>.</w:t>
            </w:r>
          </w:p>
        </w:tc>
      </w:tr>
      <w:tr w:rsidR="001002C3" w:rsidRPr="007122AB" w14:paraId="123D747F" w14:textId="77777777">
        <w:tc>
          <w:tcPr>
            <w:tcW w:w="1024" w:type="dxa"/>
          </w:tcPr>
          <w:p w14:paraId="438276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c>
          <w:tcPr>
            <w:tcW w:w="1024" w:type="dxa"/>
          </w:tcPr>
          <w:p w14:paraId="7F12BC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24" w:type="dxa"/>
          </w:tcPr>
          <w:p w14:paraId="0CC90F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024" w:type="dxa"/>
          </w:tcPr>
          <w:p w14:paraId="186606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1D0920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02397A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c>
          <w:tcPr>
            <w:tcW w:w="1024" w:type="dxa"/>
          </w:tcPr>
          <w:p w14:paraId="722FA8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296E94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начаты.</w:t>
            </w:r>
          </w:p>
        </w:tc>
      </w:tr>
      <w:tr w:rsidR="001002C3" w:rsidRPr="007122AB" w14:paraId="7E642F14" w14:textId="77777777">
        <w:tc>
          <w:tcPr>
            <w:tcW w:w="1024" w:type="dxa"/>
          </w:tcPr>
          <w:p w14:paraId="5AAAEA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9E0E9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47386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F0CCD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7500</w:t>
            </w:r>
          </w:p>
        </w:tc>
        <w:tc>
          <w:tcPr>
            <w:tcW w:w="1024" w:type="dxa"/>
          </w:tcPr>
          <w:p w14:paraId="7941F9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379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674E2E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D4AEC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71909DD" w14:textId="77777777">
        <w:tc>
          <w:tcPr>
            <w:tcW w:w="1024" w:type="dxa"/>
          </w:tcPr>
          <w:p w14:paraId="646F0F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МДР3-4ЮVI</w:t>
            </w:r>
          </w:p>
        </w:tc>
        <w:tc>
          <w:tcPr>
            <w:tcW w:w="1024" w:type="dxa"/>
          </w:tcPr>
          <w:p w14:paraId="13B71C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72C3CD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1024" w:type="dxa"/>
          </w:tcPr>
          <w:p w14:paraId="5CA0DA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1DD02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36C5F6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639D7C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w:t>
            </w:r>
          </w:p>
        </w:tc>
        <w:tc>
          <w:tcPr>
            <w:tcW w:w="3430" w:type="dxa"/>
          </w:tcPr>
          <w:p w14:paraId="2BCD1E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большей своей части конструктивная</w:t>
            </w:r>
          </w:p>
        </w:tc>
      </w:tr>
      <w:tr w:rsidR="001002C3" w:rsidRPr="007122AB" w14:paraId="759A87D8" w14:textId="77777777">
        <w:tc>
          <w:tcPr>
            <w:tcW w:w="1024" w:type="dxa"/>
          </w:tcPr>
          <w:p w14:paraId="169C67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94B1C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1951A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01F24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D315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3DFCF5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024" w:type="dxa"/>
          </w:tcPr>
          <w:p w14:paraId="2C741E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7DC124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разработка окончена. Из основных частей</w:t>
            </w:r>
          </w:p>
        </w:tc>
      </w:tr>
      <w:tr w:rsidR="001002C3" w:rsidRPr="007122AB" w14:paraId="684A6684" w14:textId="77777777">
        <w:tc>
          <w:tcPr>
            <w:tcW w:w="1024" w:type="dxa"/>
          </w:tcPr>
          <w:p w14:paraId="445A5C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A093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067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B92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2B6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5AB185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2A9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366E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изготовлены: набор лодки, набор центр.</w:t>
            </w:r>
          </w:p>
        </w:tc>
      </w:tr>
      <w:tr w:rsidR="001002C3" w:rsidRPr="007122AB" w14:paraId="787DE6D6" w14:textId="77777777">
        <w:tc>
          <w:tcPr>
            <w:tcW w:w="1024" w:type="dxa"/>
          </w:tcPr>
          <w:p w14:paraId="094BCF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F39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211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909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00BA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кг</w:t>
            </w:r>
          </w:p>
        </w:tc>
        <w:tc>
          <w:tcPr>
            <w:tcW w:w="1024" w:type="dxa"/>
          </w:tcPr>
          <w:p w14:paraId="571260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1FA5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0AAC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лонжероны консолей. Обшито днище лодки</w:t>
            </w:r>
          </w:p>
        </w:tc>
      </w:tr>
      <w:tr w:rsidR="001002C3" w:rsidRPr="007122AB" w14:paraId="562A8AE4" w14:textId="77777777">
        <w:tc>
          <w:tcPr>
            <w:tcW w:w="1024" w:type="dxa"/>
          </w:tcPr>
          <w:p w14:paraId="110DA1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FF5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840F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473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1A3B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5F5C71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010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FC03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задерживаются из-за </w:t>
            </w:r>
            <w:proofErr w:type="spellStart"/>
            <w:r w:rsidRPr="007122AB">
              <w:rPr>
                <w:rFonts w:ascii="Times New Roman" w:hAnsi="Times New Roman"/>
                <w:color w:val="000000" w:themeColor="text1"/>
                <w:sz w:val="16"/>
                <w:szCs w:val="16"/>
              </w:rPr>
              <w:t>несвоеврем</w:t>
            </w:r>
            <w:proofErr w:type="spellEnd"/>
            <w:r w:rsidRPr="007122AB">
              <w:rPr>
                <w:rFonts w:ascii="Times New Roman" w:hAnsi="Times New Roman"/>
                <w:color w:val="000000" w:themeColor="text1"/>
                <w:sz w:val="16"/>
                <w:szCs w:val="16"/>
              </w:rPr>
              <w:t>.</w:t>
            </w:r>
          </w:p>
        </w:tc>
      </w:tr>
      <w:tr w:rsidR="001002C3" w:rsidRPr="007122AB" w14:paraId="640DE52E" w14:textId="77777777">
        <w:tc>
          <w:tcPr>
            <w:tcW w:w="1024" w:type="dxa"/>
          </w:tcPr>
          <w:p w14:paraId="391F28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579D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1D7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29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917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C586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B56C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0AB6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выпуска ТБ-5, окончание пр-ва намечено</w:t>
            </w:r>
          </w:p>
        </w:tc>
      </w:tr>
      <w:tr w:rsidR="001002C3" w:rsidRPr="007122AB" w14:paraId="42F2D177" w14:textId="77777777">
        <w:tc>
          <w:tcPr>
            <w:tcW w:w="1024" w:type="dxa"/>
          </w:tcPr>
          <w:p w14:paraId="041DFE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D8B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ACDF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B0A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FB4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ECE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EDDC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201C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сентября 1931</w:t>
            </w:r>
          </w:p>
        </w:tc>
      </w:tr>
      <w:tr w:rsidR="001002C3" w:rsidRPr="007122AB" w14:paraId="3F11FC67" w14:textId="77777777">
        <w:tc>
          <w:tcPr>
            <w:tcW w:w="1024" w:type="dxa"/>
          </w:tcPr>
          <w:p w14:paraId="785A90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644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E32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9F7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5F30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679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E7C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88FB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Волков.</w:t>
            </w:r>
          </w:p>
        </w:tc>
      </w:tr>
      <w:tr w:rsidR="001002C3" w:rsidRPr="007122AB" w14:paraId="60EF3C8D" w14:textId="77777777">
        <w:tc>
          <w:tcPr>
            <w:tcW w:w="1024" w:type="dxa"/>
          </w:tcPr>
          <w:p w14:paraId="300CC7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2-я очередь (основные типы по системе вооружения).</w:t>
            </w:r>
          </w:p>
        </w:tc>
        <w:tc>
          <w:tcPr>
            <w:tcW w:w="1024" w:type="dxa"/>
          </w:tcPr>
          <w:p w14:paraId="75448E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85E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060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465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8FCF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3BF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9B67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431522B" w14:textId="77777777">
        <w:tc>
          <w:tcPr>
            <w:tcW w:w="1024" w:type="dxa"/>
          </w:tcPr>
          <w:p w14:paraId="54F2C9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ДИ4-М-19</w:t>
            </w:r>
          </w:p>
        </w:tc>
        <w:tc>
          <w:tcPr>
            <w:tcW w:w="1024" w:type="dxa"/>
          </w:tcPr>
          <w:p w14:paraId="0121BE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024" w:type="dxa"/>
          </w:tcPr>
          <w:p w14:paraId="069A11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w:t>
            </w:r>
          </w:p>
        </w:tc>
        <w:tc>
          <w:tcPr>
            <w:tcW w:w="1024" w:type="dxa"/>
          </w:tcPr>
          <w:p w14:paraId="5F9104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59798B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26E2E4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6958FA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w:t>
            </w:r>
          </w:p>
        </w:tc>
        <w:tc>
          <w:tcPr>
            <w:tcW w:w="3430" w:type="dxa"/>
          </w:tcPr>
          <w:p w14:paraId="15A208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принято решение проектировать и стр.</w:t>
            </w:r>
          </w:p>
        </w:tc>
      </w:tr>
      <w:tr w:rsidR="001002C3" w:rsidRPr="007122AB" w14:paraId="009FB529" w14:textId="77777777">
        <w:tc>
          <w:tcPr>
            <w:tcW w:w="1024" w:type="dxa"/>
          </w:tcPr>
          <w:p w14:paraId="7329FB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2C8F6F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5A981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2CE1F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FBE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289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19B0E1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1CC2B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под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(высотный), а</w:t>
            </w:r>
          </w:p>
        </w:tc>
      </w:tr>
      <w:tr w:rsidR="001002C3" w:rsidRPr="007122AB" w14:paraId="4E277D92" w14:textId="77777777">
        <w:tc>
          <w:tcPr>
            <w:tcW w:w="1024" w:type="dxa"/>
          </w:tcPr>
          <w:p w14:paraId="09F598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444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2C6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19B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F94C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F67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2A93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6F69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М-19. Будут более низкие ЛТД, </w:t>
            </w:r>
            <w:proofErr w:type="spellStart"/>
            <w:r w:rsidRPr="007122AB">
              <w:rPr>
                <w:rFonts w:ascii="Times New Roman" w:hAnsi="Times New Roman"/>
                <w:color w:val="000000" w:themeColor="text1"/>
                <w:sz w:val="16"/>
                <w:szCs w:val="16"/>
              </w:rPr>
              <w:t>котор</w:t>
            </w:r>
            <w:proofErr w:type="spellEnd"/>
            <w:r w:rsidRPr="007122AB">
              <w:rPr>
                <w:rFonts w:ascii="Times New Roman" w:hAnsi="Times New Roman"/>
                <w:color w:val="000000" w:themeColor="text1"/>
                <w:sz w:val="16"/>
                <w:szCs w:val="16"/>
              </w:rPr>
              <w:t>.</w:t>
            </w:r>
          </w:p>
        </w:tc>
      </w:tr>
      <w:tr w:rsidR="001002C3" w:rsidRPr="007122AB" w14:paraId="367708EE" w14:textId="77777777">
        <w:tc>
          <w:tcPr>
            <w:tcW w:w="1024" w:type="dxa"/>
          </w:tcPr>
          <w:p w14:paraId="5C0938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D15C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4D3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4CF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400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610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EE4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8EC0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улучшатся при более высотном М-19а с </w:t>
            </w:r>
            <w:proofErr w:type="spellStart"/>
            <w:r w:rsidRPr="007122AB">
              <w:rPr>
                <w:rFonts w:ascii="Times New Roman" w:hAnsi="Times New Roman"/>
                <w:color w:val="000000" w:themeColor="text1"/>
                <w:sz w:val="16"/>
                <w:szCs w:val="16"/>
              </w:rPr>
              <w:t>имп</w:t>
            </w:r>
            <w:proofErr w:type="spellEnd"/>
            <w:r w:rsidRPr="007122AB">
              <w:rPr>
                <w:rFonts w:ascii="Times New Roman" w:hAnsi="Times New Roman"/>
                <w:color w:val="000000" w:themeColor="text1"/>
                <w:sz w:val="16"/>
                <w:szCs w:val="16"/>
              </w:rPr>
              <w:t>.</w:t>
            </w:r>
          </w:p>
        </w:tc>
      </w:tr>
      <w:tr w:rsidR="001002C3" w:rsidRPr="007122AB" w14:paraId="655493AC" w14:textId="77777777">
        <w:tc>
          <w:tcPr>
            <w:tcW w:w="1024" w:type="dxa"/>
          </w:tcPr>
          <w:p w14:paraId="0F9E55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327F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B34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F62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8E8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BF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2A7B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DF6C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задержки с М-19 принято решение</w:t>
            </w:r>
          </w:p>
        </w:tc>
      </w:tr>
      <w:tr w:rsidR="001002C3" w:rsidRPr="007122AB" w14:paraId="5B778708" w14:textId="77777777">
        <w:tc>
          <w:tcPr>
            <w:tcW w:w="1024" w:type="dxa"/>
          </w:tcPr>
          <w:p w14:paraId="78B212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1D9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A09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F66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421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577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65E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F866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вернуться к КК. макет утвержден. Проект. и</w:t>
            </w:r>
          </w:p>
        </w:tc>
      </w:tr>
      <w:tr w:rsidR="001002C3" w:rsidRPr="007122AB" w14:paraId="7873362E" w14:textId="77777777">
        <w:tc>
          <w:tcPr>
            <w:tcW w:w="1024" w:type="dxa"/>
          </w:tcPr>
          <w:p w14:paraId="138419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C29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AE4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E7E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B35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BB1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F34D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E620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постройку ведет группа </w:t>
            </w:r>
            <w:proofErr w:type="spellStart"/>
            <w:r w:rsidRPr="007122AB">
              <w:rPr>
                <w:rFonts w:ascii="Times New Roman" w:hAnsi="Times New Roman"/>
                <w:color w:val="000000" w:themeColor="text1"/>
                <w:sz w:val="16"/>
                <w:szCs w:val="16"/>
              </w:rPr>
              <w:t>Лавиля</w:t>
            </w:r>
            <w:proofErr w:type="spellEnd"/>
            <w:r w:rsidRPr="007122AB">
              <w:rPr>
                <w:rFonts w:ascii="Times New Roman" w:hAnsi="Times New Roman"/>
                <w:color w:val="000000" w:themeColor="text1"/>
                <w:sz w:val="16"/>
                <w:szCs w:val="16"/>
              </w:rPr>
              <w:t xml:space="preserve">. При </w:t>
            </w:r>
            <w:proofErr w:type="spellStart"/>
            <w:r w:rsidRPr="007122AB">
              <w:rPr>
                <w:rFonts w:ascii="Times New Roman" w:hAnsi="Times New Roman"/>
                <w:color w:val="000000" w:themeColor="text1"/>
                <w:sz w:val="16"/>
                <w:szCs w:val="16"/>
              </w:rPr>
              <w:t>получ</w:t>
            </w:r>
            <w:proofErr w:type="spellEnd"/>
            <w:r w:rsidRPr="007122AB">
              <w:rPr>
                <w:rFonts w:ascii="Times New Roman" w:hAnsi="Times New Roman"/>
                <w:color w:val="000000" w:themeColor="text1"/>
                <w:sz w:val="16"/>
                <w:szCs w:val="16"/>
              </w:rPr>
              <w:t>.</w:t>
            </w:r>
          </w:p>
        </w:tc>
      </w:tr>
      <w:tr w:rsidR="001002C3" w:rsidRPr="007122AB" w14:paraId="304BB27C" w14:textId="77777777">
        <w:tc>
          <w:tcPr>
            <w:tcW w:w="1024" w:type="dxa"/>
          </w:tcPr>
          <w:p w14:paraId="76F287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194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DC9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AB0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289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F3D5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614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62AB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мотора </w:t>
            </w:r>
            <w:proofErr w:type="spellStart"/>
            <w:r w:rsidRPr="007122AB">
              <w:rPr>
                <w:rFonts w:ascii="Times New Roman" w:hAnsi="Times New Roman"/>
                <w:color w:val="000000" w:themeColor="text1"/>
                <w:sz w:val="16"/>
                <w:szCs w:val="16"/>
              </w:rPr>
              <w:t>м.б.</w:t>
            </w:r>
            <w:proofErr w:type="spellEnd"/>
            <w:r w:rsidRPr="007122AB">
              <w:rPr>
                <w:rFonts w:ascii="Times New Roman" w:hAnsi="Times New Roman"/>
                <w:color w:val="000000" w:themeColor="text1"/>
                <w:sz w:val="16"/>
                <w:szCs w:val="16"/>
              </w:rPr>
              <w:t xml:space="preserve"> закончен к 15 сентября</w:t>
            </w:r>
          </w:p>
        </w:tc>
      </w:tr>
      <w:tr w:rsidR="001002C3" w:rsidRPr="007122AB" w14:paraId="6B1138AE" w14:textId="77777777">
        <w:tc>
          <w:tcPr>
            <w:tcW w:w="1024" w:type="dxa"/>
          </w:tcPr>
          <w:p w14:paraId="630AF9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363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ED9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1AC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B81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8C2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5E6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BD4B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4BA6B140" w14:textId="77777777">
        <w:tc>
          <w:tcPr>
            <w:tcW w:w="1024" w:type="dxa"/>
          </w:tcPr>
          <w:p w14:paraId="0EB863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ДИ5-ФЭД</w:t>
            </w:r>
          </w:p>
        </w:tc>
        <w:tc>
          <w:tcPr>
            <w:tcW w:w="1024" w:type="dxa"/>
          </w:tcPr>
          <w:p w14:paraId="52C161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w:t>
            </w:r>
          </w:p>
        </w:tc>
        <w:tc>
          <w:tcPr>
            <w:tcW w:w="1024" w:type="dxa"/>
          </w:tcPr>
          <w:p w14:paraId="5FC584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024" w:type="dxa"/>
          </w:tcPr>
          <w:p w14:paraId="378C18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148B6B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43B555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957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w:t>
            </w:r>
          </w:p>
        </w:tc>
        <w:tc>
          <w:tcPr>
            <w:tcW w:w="3430" w:type="dxa"/>
          </w:tcPr>
          <w:p w14:paraId="618F25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Нет ясности с ФЭД.</w:t>
            </w:r>
          </w:p>
        </w:tc>
      </w:tr>
      <w:tr w:rsidR="001002C3" w:rsidRPr="007122AB" w14:paraId="701A83F1" w14:textId="77777777">
        <w:tc>
          <w:tcPr>
            <w:tcW w:w="1024" w:type="dxa"/>
          </w:tcPr>
          <w:p w14:paraId="54EAC0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885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5177F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18DD1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4B8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281C82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6A2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274729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483C2873" w14:textId="77777777">
        <w:tc>
          <w:tcPr>
            <w:tcW w:w="1024" w:type="dxa"/>
          </w:tcPr>
          <w:p w14:paraId="4444AD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BCD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93D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A23C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FEA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21FE68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D36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523E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D68F4FD" w14:textId="77777777">
        <w:tc>
          <w:tcPr>
            <w:tcW w:w="1024" w:type="dxa"/>
          </w:tcPr>
          <w:p w14:paraId="46E8B2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ТШ1-2М34</w:t>
            </w:r>
          </w:p>
        </w:tc>
        <w:tc>
          <w:tcPr>
            <w:tcW w:w="1024" w:type="dxa"/>
          </w:tcPr>
          <w:p w14:paraId="680CE4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21D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C37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FC0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w:t>
            </w:r>
          </w:p>
        </w:tc>
        <w:tc>
          <w:tcPr>
            <w:tcW w:w="1024" w:type="dxa"/>
          </w:tcPr>
          <w:p w14:paraId="241A0A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024" w:type="dxa"/>
          </w:tcPr>
          <w:p w14:paraId="160FF7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3430" w:type="dxa"/>
          </w:tcPr>
          <w:p w14:paraId="7D8F4C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поскольку с-т</w:t>
            </w:r>
          </w:p>
        </w:tc>
      </w:tr>
      <w:tr w:rsidR="001002C3" w:rsidRPr="007122AB" w14:paraId="784D4604" w14:textId="77777777">
        <w:tc>
          <w:tcPr>
            <w:tcW w:w="1024" w:type="dxa"/>
          </w:tcPr>
          <w:p w14:paraId="3E8B8E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0AD7C0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86A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1B14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D4F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3C42A9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2D2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3E4501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стоит в плане условно (до разрешения</w:t>
            </w:r>
          </w:p>
        </w:tc>
      </w:tr>
      <w:tr w:rsidR="001002C3" w:rsidRPr="007122AB" w14:paraId="60A93826" w14:textId="77777777">
        <w:tc>
          <w:tcPr>
            <w:tcW w:w="1024" w:type="dxa"/>
          </w:tcPr>
          <w:p w14:paraId="478404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C2E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609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9DE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8CA6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7AE06E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507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0728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РВС вопроса о необходимости иметь на</w:t>
            </w:r>
          </w:p>
        </w:tc>
      </w:tr>
      <w:tr w:rsidR="001002C3" w:rsidRPr="007122AB" w14:paraId="050B5B9A" w14:textId="77777777">
        <w:tc>
          <w:tcPr>
            <w:tcW w:w="1024" w:type="dxa"/>
          </w:tcPr>
          <w:p w14:paraId="56DBE3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B342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946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7F5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4EDC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 кг</w:t>
            </w:r>
          </w:p>
        </w:tc>
        <w:tc>
          <w:tcPr>
            <w:tcW w:w="1024" w:type="dxa"/>
          </w:tcPr>
          <w:p w14:paraId="50745A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1D3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9A6B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вооружении тяжел. двухмоторного</w:t>
            </w:r>
          </w:p>
        </w:tc>
      </w:tr>
      <w:tr w:rsidR="001002C3" w:rsidRPr="007122AB" w14:paraId="4153754D" w14:textId="77777777">
        <w:tc>
          <w:tcPr>
            <w:tcW w:w="1024" w:type="dxa"/>
          </w:tcPr>
          <w:p w14:paraId="1FC5DB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7D76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32F0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F79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557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64C006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D242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60C4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штурмовика).</w:t>
            </w:r>
          </w:p>
        </w:tc>
      </w:tr>
      <w:tr w:rsidR="001002C3" w:rsidRPr="007122AB" w14:paraId="583B18E5" w14:textId="77777777">
        <w:tc>
          <w:tcPr>
            <w:tcW w:w="1024" w:type="dxa"/>
          </w:tcPr>
          <w:p w14:paraId="39C7DB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МТБ3-4М34</w:t>
            </w:r>
          </w:p>
        </w:tc>
        <w:tc>
          <w:tcPr>
            <w:tcW w:w="1024" w:type="dxa"/>
          </w:tcPr>
          <w:p w14:paraId="4331E1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FD2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F19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A1D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215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F14C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77216C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Проработан эскизный проект, но в нем ТТ</w:t>
            </w:r>
          </w:p>
        </w:tc>
      </w:tr>
      <w:tr w:rsidR="001002C3" w:rsidRPr="007122AB" w14:paraId="3D52C285" w14:textId="77777777">
        <w:tc>
          <w:tcPr>
            <w:tcW w:w="1024" w:type="dxa"/>
          </w:tcPr>
          <w:p w14:paraId="6E36F1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4CE9A1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79C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BF2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273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6DC2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D32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430" w:type="dxa"/>
          </w:tcPr>
          <w:p w14:paraId="1CE94D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удовлетворены не были. По летно-</w:t>
            </w:r>
            <w:proofErr w:type="spellStart"/>
            <w:r w:rsidRPr="007122AB">
              <w:rPr>
                <w:rFonts w:ascii="Times New Roman" w:hAnsi="Times New Roman"/>
                <w:color w:val="000000" w:themeColor="text1"/>
                <w:sz w:val="16"/>
                <w:szCs w:val="16"/>
              </w:rPr>
              <w:t>тактич</w:t>
            </w:r>
            <w:proofErr w:type="spellEnd"/>
            <w:r w:rsidRPr="007122AB">
              <w:rPr>
                <w:rFonts w:ascii="Times New Roman" w:hAnsi="Times New Roman"/>
                <w:color w:val="000000" w:themeColor="text1"/>
                <w:sz w:val="16"/>
                <w:szCs w:val="16"/>
              </w:rPr>
              <w:t>.</w:t>
            </w:r>
          </w:p>
        </w:tc>
      </w:tr>
      <w:tr w:rsidR="001002C3" w:rsidRPr="007122AB" w14:paraId="4F74C6B9" w14:textId="77777777">
        <w:tc>
          <w:tcPr>
            <w:tcW w:w="1024" w:type="dxa"/>
          </w:tcPr>
          <w:p w14:paraId="2AFD3D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4F2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7C23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6669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EBA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097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234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260A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элементам близок к К-1. Оканчивается</w:t>
            </w:r>
          </w:p>
        </w:tc>
      </w:tr>
      <w:tr w:rsidR="001002C3" w:rsidRPr="007122AB" w14:paraId="46EF26D9" w14:textId="77777777">
        <w:tc>
          <w:tcPr>
            <w:tcW w:w="1024" w:type="dxa"/>
          </w:tcPr>
          <w:p w14:paraId="4DF877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B8B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6C9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506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35CE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6C9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D4E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4F01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проработка варианта, соотв. требованиям</w:t>
            </w:r>
          </w:p>
        </w:tc>
      </w:tr>
      <w:tr w:rsidR="001002C3" w:rsidRPr="007122AB" w14:paraId="1A71D8DE" w14:textId="77777777">
        <w:tc>
          <w:tcPr>
            <w:tcW w:w="1024" w:type="dxa"/>
          </w:tcPr>
          <w:p w14:paraId="5FB23A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21B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7F5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110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14D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87F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0981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CA3C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К-1. При утв. проекта будет переходным</w:t>
            </w:r>
          </w:p>
        </w:tc>
      </w:tr>
      <w:tr w:rsidR="001002C3" w:rsidRPr="007122AB" w14:paraId="3818A3EC" w14:textId="77777777">
        <w:tc>
          <w:tcPr>
            <w:tcW w:w="1024" w:type="dxa"/>
          </w:tcPr>
          <w:p w14:paraId="1C9981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74F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EC2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1CB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0F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C6A2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425F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74549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МТБ3. 11 июля представлен вариант </w:t>
            </w:r>
            <w:proofErr w:type="spellStart"/>
            <w:r w:rsidRPr="007122AB">
              <w:rPr>
                <w:rFonts w:ascii="Times New Roman" w:hAnsi="Times New Roman"/>
                <w:color w:val="000000" w:themeColor="text1"/>
                <w:sz w:val="16"/>
                <w:szCs w:val="16"/>
              </w:rPr>
              <w:t>расч</w:t>
            </w:r>
            <w:proofErr w:type="spellEnd"/>
            <w:r w:rsidRPr="007122AB">
              <w:rPr>
                <w:rFonts w:ascii="Times New Roman" w:hAnsi="Times New Roman"/>
                <w:color w:val="000000" w:themeColor="text1"/>
                <w:sz w:val="16"/>
                <w:szCs w:val="16"/>
              </w:rPr>
              <w:t>.</w:t>
            </w:r>
          </w:p>
        </w:tc>
      </w:tr>
      <w:tr w:rsidR="001002C3" w:rsidRPr="007122AB" w14:paraId="67E21D4D" w14:textId="77777777">
        <w:tc>
          <w:tcPr>
            <w:tcW w:w="1024" w:type="dxa"/>
          </w:tcPr>
          <w:p w14:paraId="245576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F42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B942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3390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47BA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C9D3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8A4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520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 ТТ не удовлетворяет</w:t>
            </w:r>
          </w:p>
        </w:tc>
      </w:tr>
      <w:tr w:rsidR="001002C3" w:rsidRPr="007122AB" w14:paraId="79F0D5BF" w14:textId="77777777">
        <w:tc>
          <w:tcPr>
            <w:tcW w:w="1024" w:type="dxa"/>
          </w:tcPr>
          <w:p w14:paraId="688B0D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Экспериментальные конструкции.</w:t>
            </w:r>
          </w:p>
        </w:tc>
        <w:tc>
          <w:tcPr>
            <w:tcW w:w="1024" w:type="dxa"/>
          </w:tcPr>
          <w:p w14:paraId="39A240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0DF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8D5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B2D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D176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EC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7A5A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55AB88F" w14:textId="77777777">
        <w:tc>
          <w:tcPr>
            <w:tcW w:w="1024" w:type="dxa"/>
          </w:tcPr>
          <w:p w14:paraId="2744EA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ВС1-2М26</w:t>
            </w:r>
          </w:p>
        </w:tc>
        <w:tc>
          <w:tcPr>
            <w:tcW w:w="1024" w:type="dxa"/>
          </w:tcPr>
          <w:p w14:paraId="19DBD9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22261A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024" w:type="dxa"/>
          </w:tcPr>
          <w:p w14:paraId="2AE244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827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61E55A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BC5B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3430" w:type="dxa"/>
          </w:tcPr>
          <w:p w14:paraId="731D47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проектирование и постройку</w:t>
            </w:r>
          </w:p>
        </w:tc>
      </w:tr>
      <w:tr w:rsidR="001002C3" w:rsidRPr="007122AB" w14:paraId="3A54C7DD" w14:textId="77777777">
        <w:tc>
          <w:tcPr>
            <w:tcW w:w="1024" w:type="dxa"/>
          </w:tcPr>
          <w:p w14:paraId="446726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c>
          <w:tcPr>
            <w:tcW w:w="1024" w:type="dxa"/>
          </w:tcPr>
          <w:p w14:paraId="4443CE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848B2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7F17D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CEE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38C6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2051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430" w:type="dxa"/>
          </w:tcPr>
          <w:p w14:paraId="01D743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передало в ГРОС. Разработаны и </w:t>
            </w:r>
            <w:proofErr w:type="spellStart"/>
            <w:r w:rsidRPr="007122AB">
              <w:rPr>
                <w:rFonts w:ascii="Times New Roman" w:hAnsi="Times New Roman"/>
                <w:color w:val="000000" w:themeColor="text1"/>
                <w:sz w:val="16"/>
                <w:szCs w:val="16"/>
              </w:rPr>
              <w:t>представл</w:t>
            </w:r>
            <w:proofErr w:type="spellEnd"/>
            <w:r w:rsidRPr="007122AB">
              <w:rPr>
                <w:rFonts w:ascii="Times New Roman" w:hAnsi="Times New Roman"/>
                <w:color w:val="000000" w:themeColor="text1"/>
                <w:sz w:val="16"/>
                <w:szCs w:val="16"/>
              </w:rPr>
              <w:t>.</w:t>
            </w:r>
          </w:p>
        </w:tc>
      </w:tr>
      <w:tr w:rsidR="001002C3" w:rsidRPr="007122AB" w14:paraId="4AEF6B71" w14:textId="77777777">
        <w:tc>
          <w:tcPr>
            <w:tcW w:w="1024" w:type="dxa"/>
          </w:tcPr>
          <w:p w14:paraId="618446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2A8026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87B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4BF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5F9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011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318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C656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ВАО ТТ. Начато проектирование</w:t>
            </w:r>
          </w:p>
        </w:tc>
      </w:tr>
      <w:tr w:rsidR="001002C3" w:rsidRPr="007122AB" w14:paraId="65F1F801" w14:textId="77777777">
        <w:tc>
          <w:tcPr>
            <w:tcW w:w="1024" w:type="dxa"/>
          </w:tcPr>
          <w:p w14:paraId="5DF9BC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263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2EE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7AC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F82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FF43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898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6F1E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вторую половину 1932 года.</w:t>
            </w:r>
          </w:p>
        </w:tc>
      </w:tr>
      <w:tr w:rsidR="001002C3" w:rsidRPr="007122AB" w14:paraId="670F3A43" w14:textId="77777777">
        <w:tc>
          <w:tcPr>
            <w:tcW w:w="1024" w:type="dxa"/>
          </w:tcPr>
          <w:p w14:paraId="0EC420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346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445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296B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0736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1D2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BBB6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5F9C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Жемчужин.</w:t>
            </w:r>
          </w:p>
        </w:tc>
      </w:tr>
      <w:tr w:rsidR="001002C3" w:rsidRPr="007122AB" w14:paraId="36A22011" w14:textId="77777777">
        <w:tc>
          <w:tcPr>
            <w:tcW w:w="1024" w:type="dxa"/>
          </w:tcPr>
          <w:p w14:paraId="4E3B1B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ТШ2-М17</w:t>
            </w:r>
          </w:p>
        </w:tc>
        <w:tc>
          <w:tcPr>
            <w:tcW w:w="1024" w:type="dxa"/>
          </w:tcPr>
          <w:p w14:paraId="4CA333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2BFF08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w:t>
            </w:r>
          </w:p>
        </w:tc>
        <w:tc>
          <w:tcPr>
            <w:tcW w:w="1024" w:type="dxa"/>
          </w:tcPr>
          <w:p w14:paraId="71EAF0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5860</w:t>
            </w:r>
          </w:p>
        </w:tc>
        <w:tc>
          <w:tcPr>
            <w:tcW w:w="1024" w:type="dxa"/>
          </w:tcPr>
          <w:p w14:paraId="5D0948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482095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1C80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516BFB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испытаний ТШ-2 БМВ-6</w:t>
            </w:r>
          </w:p>
        </w:tc>
      </w:tr>
      <w:tr w:rsidR="001002C3" w:rsidRPr="007122AB" w14:paraId="4903D854" w14:textId="77777777">
        <w:tc>
          <w:tcPr>
            <w:tcW w:w="1024" w:type="dxa"/>
          </w:tcPr>
          <w:p w14:paraId="04B503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c>
          <w:tcPr>
            <w:tcW w:w="1024" w:type="dxa"/>
          </w:tcPr>
          <w:p w14:paraId="2F4D1D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C7C55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A32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6B8A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B40E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CD9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3170A2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выявлена недостаточная мощность мотора</w:t>
            </w:r>
          </w:p>
        </w:tc>
      </w:tr>
      <w:tr w:rsidR="001002C3" w:rsidRPr="007122AB" w14:paraId="3953C82F" w14:textId="77777777">
        <w:tc>
          <w:tcPr>
            <w:tcW w:w="1024" w:type="dxa"/>
          </w:tcPr>
          <w:p w14:paraId="338EF1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DDEEC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149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56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69E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AD3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F3C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946E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принято решение отказаться от постройки</w:t>
            </w:r>
          </w:p>
        </w:tc>
      </w:tr>
      <w:tr w:rsidR="001002C3" w:rsidRPr="007122AB" w14:paraId="3A58A04D" w14:textId="77777777">
        <w:tc>
          <w:tcPr>
            <w:tcW w:w="1024" w:type="dxa"/>
          </w:tcPr>
          <w:p w14:paraId="5E3375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1CC7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EFF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BDB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5E0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CB6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D9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CECFA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серии ТШ-2М-17 для войсковых испытаний.</w:t>
            </w:r>
          </w:p>
        </w:tc>
      </w:tr>
      <w:tr w:rsidR="001002C3" w:rsidRPr="007122AB" w14:paraId="4109F6CF" w14:textId="77777777">
        <w:tc>
          <w:tcPr>
            <w:tcW w:w="1024" w:type="dxa"/>
          </w:tcPr>
          <w:p w14:paraId="750A76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6A2B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427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9A9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800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651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AD7A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411D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дало задание ЦКБ при заводе 39</w:t>
            </w:r>
          </w:p>
        </w:tc>
      </w:tr>
      <w:tr w:rsidR="001002C3" w:rsidRPr="007122AB" w14:paraId="042D1BD3" w14:textId="77777777">
        <w:tc>
          <w:tcPr>
            <w:tcW w:w="1024" w:type="dxa"/>
          </w:tcPr>
          <w:p w14:paraId="364E2F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D51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993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137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CEC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CA8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292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3A00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построить 3 экз. ТШ-2 с М-27. 39 завод</w:t>
            </w:r>
          </w:p>
        </w:tc>
      </w:tr>
      <w:tr w:rsidR="001002C3" w:rsidRPr="007122AB" w14:paraId="7DBF4D87" w14:textId="77777777">
        <w:tc>
          <w:tcPr>
            <w:tcW w:w="1024" w:type="dxa"/>
          </w:tcPr>
          <w:p w14:paraId="519122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5BD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75DA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3F2E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8D2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022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3F8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4FB4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заканчивает постройку 1-го, передача на</w:t>
            </w:r>
          </w:p>
        </w:tc>
      </w:tr>
      <w:tr w:rsidR="001002C3" w:rsidRPr="007122AB" w14:paraId="0559CCDC" w14:textId="77777777">
        <w:tc>
          <w:tcPr>
            <w:tcW w:w="1024" w:type="dxa"/>
          </w:tcPr>
          <w:p w14:paraId="2F0E1C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ACF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73F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E2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4C6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18D8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D64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534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ожидается в первой пол.</w:t>
            </w:r>
          </w:p>
        </w:tc>
      </w:tr>
      <w:tr w:rsidR="001002C3" w:rsidRPr="007122AB" w14:paraId="2DD9B00B" w14:textId="77777777">
        <w:tc>
          <w:tcPr>
            <w:tcW w:w="1024" w:type="dxa"/>
          </w:tcPr>
          <w:p w14:paraId="6114D6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62EC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812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FE8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92F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06D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9BF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209A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августа 1931</w:t>
            </w:r>
          </w:p>
        </w:tc>
      </w:tr>
      <w:tr w:rsidR="001002C3" w:rsidRPr="007122AB" w14:paraId="637AF782" w14:textId="77777777">
        <w:tc>
          <w:tcPr>
            <w:tcW w:w="1024" w:type="dxa"/>
          </w:tcPr>
          <w:p w14:paraId="134352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BF69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34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4CB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7ED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949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210F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6B96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473FA446" w14:textId="77777777">
        <w:tc>
          <w:tcPr>
            <w:tcW w:w="1024" w:type="dxa"/>
          </w:tcPr>
          <w:p w14:paraId="7F762C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w:t>
            </w:r>
          </w:p>
        </w:tc>
        <w:tc>
          <w:tcPr>
            <w:tcW w:w="1024" w:type="dxa"/>
          </w:tcPr>
          <w:p w14:paraId="73863D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7FF16A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23/3000</w:t>
            </w:r>
          </w:p>
        </w:tc>
        <w:tc>
          <w:tcPr>
            <w:tcW w:w="1024" w:type="dxa"/>
          </w:tcPr>
          <w:p w14:paraId="6B88FF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1024" w:type="dxa"/>
          </w:tcPr>
          <w:p w14:paraId="01CBC7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Отсут</w:t>
            </w:r>
            <w:proofErr w:type="spellEnd"/>
            <w:r w:rsidRPr="007122AB">
              <w:rPr>
                <w:rFonts w:ascii="Times New Roman" w:hAnsi="Times New Roman"/>
                <w:color w:val="000000" w:themeColor="text1"/>
                <w:sz w:val="16"/>
                <w:szCs w:val="16"/>
              </w:rPr>
              <w:t>.</w:t>
            </w:r>
          </w:p>
        </w:tc>
        <w:tc>
          <w:tcPr>
            <w:tcW w:w="1024" w:type="dxa"/>
          </w:tcPr>
          <w:p w14:paraId="01B259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23BD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3430" w:type="dxa"/>
          </w:tcPr>
          <w:p w14:paraId="202F07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июль работы велись в </w:t>
            </w:r>
            <w:proofErr w:type="spellStart"/>
            <w:r w:rsidRPr="007122AB">
              <w:rPr>
                <w:rFonts w:ascii="Times New Roman" w:hAnsi="Times New Roman"/>
                <w:color w:val="000000" w:themeColor="text1"/>
                <w:sz w:val="16"/>
                <w:szCs w:val="16"/>
              </w:rPr>
              <w:t>небольш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разм</w:t>
            </w:r>
            <w:proofErr w:type="spellEnd"/>
            <w:r w:rsidRPr="007122AB">
              <w:rPr>
                <w:rFonts w:ascii="Times New Roman" w:hAnsi="Times New Roman"/>
                <w:color w:val="000000" w:themeColor="text1"/>
                <w:sz w:val="16"/>
                <w:szCs w:val="16"/>
              </w:rPr>
              <w:t>.</w:t>
            </w:r>
          </w:p>
        </w:tc>
      </w:tr>
      <w:tr w:rsidR="001002C3" w:rsidRPr="007122AB" w14:paraId="130D81F6" w14:textId="77777777">
        <w:tc>
          <w:tcPr>
            <w:tcW w:w="1024" w:type="dxa"/>
          </w:tcPr>
          <w:p w14:paraId="6F8DE5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2БМВ-6</w:t>
            </w:r>
          </w:p>
        </w:tc>
        <w:tc>
          <w:tcPr>
            <w:tcW w:w="1024" w:type="dxa"/>
          </w:tcPr>
          <w:p w14:paraId="3198F2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AE2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E49A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ABB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0E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97C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3430" w:type="dxa"/>
          </w:tcPr>
          <w:p w14:paraId="5C4661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т.к. ЦКБ занят основными самолетами.</w:t>
            </w:r>
          </w:p>
        </w:tc>
      </w:tr>
      <w:tr w:rsidR="001002C3" w:rsidRPr="007122AB" w14:paraId="3893D02C" w14:textId="77777777">
        <w:tc>
          <w:tcPr>
            <w:tcW w:w="1024" w:type="dxa"/>
          </w:tcPr>
          <w:p w14:paraId="083F66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34096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412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DB2C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92B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315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8AF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4F20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Ориент. окончание - 1 января 1932</w:t>
            </w:r>
          </w:p>
        </w:tc>
      </w:tr>
      <w:tr w:rsidR="001002C3" w:rsidRPr="007122AB" w14:paraId="0EF45CBA" w14:textId="77777777">
        <w:tc>
          <w:tcPr>
            <w:tcW w:w="1024" w:type="dxa"/>
          </w:tcPr>
          <w:p w14:paraId="19A5FA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И12-2ЮVI</w:t>
            </w:r>
          </w:p>
        </w:tc>
        <w:tc>
          <w:tcPr>
            <w:tcW w:w="1024" w:type="dxa"/>
          </w:tcPr>
          <w:p w14:paraId="0F9859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62A3B4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024" w:type="dxa"/>
          </w:tcPr>
          <w:p w14:paraId="3D544A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5AA4B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tc>
        <w:tc>
          <w:tcPr>
            <w:tcW w:w="1024" w:type="dxa"/>
          </w:tcPr>
          <w:p w14:paraId="510C8D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E97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3430" w:type="dxa"/>
          </w:tcPr>
          <w:p w14:paraId="69FC4B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Заканчивается постройкой, которая </w:t>
            </w:r>
            <w:proofErr w:type="spellStart"/>
            <w:r w:rsidRPr="007122AB">
              <w:rPr>
                <w:rFonts w:ascii="Times New Roman" w:hAnsi="Times New Roman"/>
                <w:color w:val="000000" w:themeColor="text1"/>
                <w:sz w:val="16"/>
                <w:szCs w:val="16"/>
              </w:rPr>
              <w:t>задерж</w:t>
            </w:r>
            <w:proofErr w:type="spellEnd"/>
            <w:r w:rsidRPr="007122AB">
              <w:rPr>
                <w:rFonts w:ascii="Times New Roman" w:hAnsi="Times New Roman"/>
                <w:color w:val="000000" w:themeColor="text1"/>
                <w:sz w:val="16"/>
                <w:szCs w:val="16"/>
              </w:rPr>
              <w:t>.</w:t>
            </w:r>
          </w:p>
        </w:tc>
      </w:tr>
      <w:tr w:rsidR="001002C3" w:rsidRPr="007122AB" w14:paraId="2E693500" w14:textId="77777777">
        <w:tc>
          <w:tcPr>
            <w:tcW w:w="1024" w:type="dxa"/>
          </w:tcPr>
          <w:p w14:paraId="4F9604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4956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D9456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ECD56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9D1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ДРП</w:t>
            </w:r>
          </w:p>
        </w:tc>
        <w:tc>
          <w:tcPr>
            <w:tcW w:w="1024" w:type="dxa"/>
          </w:tcPr>
          <w:p w14:paraId="703C88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55FC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46C92A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из-за ДРП. Выход на аэродром 15-25 июля.</w:t>
            </w:r>
          </w:p>
        </w:tc>
      </w:tr>
      <w:tr w:rsidR="001002C3" w:rsidRPr="007122AB" w14:paraId="3BC46EA8" w14:textId="77777777">
        <w:tc>
          <w:tcPr>
            <w:tcW w:w="1024" w:type="dxa"/>
          </w:tcPr>
          <w:p w14:paraId="152317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9C2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DAC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20F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288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010A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11F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2ACB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перевели на аэродром и 23 июля - рулили.</w:t>
            </w:r>
          </w:p>
        </w:tc>
      </w:tr>
      <w:tr w:rsidR="001002C3" w:rsidRPr="007122AB" w14:paraId="11DC094E" w14:textId="77777777">
        <w:tc>
          <w:tcPr>
            <w:tcW w:w="1024" w:type="dxa"/>
          </w:tcPr>
          <w:p w14:paraId="79D5F3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CE8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CAB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C97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2E4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1B5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A498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7183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 - неудовлетворительный</w:t>
            </w:r>
          </w:p>
        </w:tc>
      </w:tr>
      <w:tr w:rsidR="001002C3" w:rsidRPr="007122AB" w14:paraId="555B8596" w14:textId="77777777">
        <w:tc>
          <w:tcPr>
            <w:tcW w:w="1024" w:type="dxa"/>
          </w:tcPr>
          <w:p w14:paraId="415DB7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CCC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57D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DC7E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F92E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854E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CCC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D4E4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1BA5E622" w14:textId="77777777">
        <w:tc>
          <w:tcPr>
            <w:tcW w:w="1024" w:type="dxa"/>
          </w:tcPr>
          <w:p w14:paraId="3320AC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И11-М-41</w:t>
            </w:r>
          </w:p>
        </w:tc>
        <w:tc>
          <w:tcPr>
            <w:tcW w:w="1024" w:type="dxa"/>
          </w:tcPr>
          <w:p w14:paraId="0798B2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07FF4E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1D2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B64B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419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5CD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61DE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начаты.</w:t>
            </w:r>
          </w:p>
        </w:tc>
      </w:tr>
      <w:tr w:rsidR="001002C3" w:rsidRPr="007122AB" w14:paraId="62FCF47F" w14:textId="77777777">
        <w:tc>
          <w:tcPr>
            <w:tcW w:w="1024" w:type="dxa"/>
          </w:tcPr>
          <w:p w14:paraId="467A69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(Электр.)</w:t>
            </w:r>
          </w:p>
        </w:tc>
        <w:tc>
          <w:tcPr>
            <w:tcW w:w="1024" w:type="dxa"/>
          </w:tcPr>
          <w:p w14:paraId="613090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2575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467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C9C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3B0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E8E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D43B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646891" w14:textId="77777777">
        <w:tc>
          <w:tcPr>
            <w:tcW w:w="1024" w:type="dxa"/>
          </w:tcPr>
          <w:p w14:paraId="1D3CA4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024" w:type="dxa"/>
          </w:tcPr>
          <w:p w14:paraId="3A7BA4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мотора М-19</w:t>
            </w:r>
          </w:p>
        </w:tc>
        <w:tc>
          <w:tcPr>
            <w:tcW w:w="1024" w:type="dxa"/>
          </w:tcPr>
          <w:p w14:paraId="34753F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1C5B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AD5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1B1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61FC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7F1B8F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сильно задержаны. ЦКБ объясняет</w:t>
            </w:r>
          </w:p>
        </w:tc>
      </w:tr>
      <w:tr w:rsidR="001002C3" w:rsidRPr="007122AB" w14:paraId="6CEFA304" w14:textId="77777777">
        <w:tc>
          <w:tcPr>
            <w:tcW w:w="1024" w:type="dxa"/>
          </w:tcPr>
          <w:p w14:paraId="2A0C78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494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4AFF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C96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2F3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7555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B0B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58A5D5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отсутствием </w:t>
            </w:r>
            <w:proofErr w:type="spellStart"/>
            <w:r w:rsidRPr="007122AB">
              <w:rPr>
                <w:rFonts w:ascii="Times New Roman" w:hAnsi="Times New Roman"/>
                <w:color w:val="000000" w:themeColor="text1"/>
                <w:sz w:val="16"/>
                <w:szCs w:val="16"/>
              </w:rPr>
              <w:t>РСилы</w:t>
            </w:r>
            <w:proofErr w:type="spellEnd"/>
            <w:r w:rsidRPr="007122AB">
              <w:rPr>
                <w:rFonts w:ascii="Times New Roman" w:hAnsi="Times New Roman"/>
                <w:color w:val="000000" w:themeColor="text1"/>
                <w:sz w:val="16"/>
                <w:szCs w:val="16"/>
              </w:rPr>
              <w:t xml:space="preserve"> и необходимостью пер.</w:t>
            </w:r>
          </w:p>
        </w:tc>
      </w:tr>
      <w:tr w:rsidR="001002C3" w:rsidRPr="007122AB" w14:paraId="0EEEF678" w14:textId="77777777">
        <w:tc>
          <w:tcPr>
            <w:tcW w:w="1024" w:type="dxa"/>
          </w:tcPr>
          <w:p w14:paraId="404DCC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7F5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A50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994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458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22C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AA0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96B0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моторной установки. После </w:t>
            </w:r>
            <w:proofErr w:type="spellStart"/>
            <w:r w:rsidRPr="007122AB">
              <w:rPr>
                <w:rFonts w:ascii="Times New Roman" w:hAnsi="Times New Roman"/>
                <w:color w:val="000000" w:themeColor="text1"/>
                <w:sz w:val="16"/>
                <w:szCs w:val="16"/>
              </w:rPr>
              <w:t>кратковр</w:t>
            </w:r>
            <w:proofErr w:type="spellEnd"/>
            <w:r w:rsidRPr="007122AB">
              <w:rPr>
                <w:rFonts w:ascii="Times New Roman" w:hAnsi="Times New Roman"/>
                <w:color w:val="000000" w:themeColor="text1"/>
                <w:sz w:val="16"/>
                <w:szCs w:val="16"/>
              </w:rPr>
              <w:t>. зав.</w:t>
            </w:r>
          </w:p>
        </w:tc>
      </w:tr>
      <w:tr w:rsidR="001002C3" w:rsidRPr="007122AB" w14:paraId="45A01ADE" w14:textId="77777777">
        <w:tc>
          <w:tcPr>
            <w:tcW w:w="1024" w:type="dxa"/>
          </w:tcPr>
          <w:p w14:paraId="00721A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BE6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6ABA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835C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234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A4A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A011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1CE62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испытаний мотор был снят, т.к. не давал</w:t>
            </w:r>
          </w:p>
        </w:tc>
      </w:tr>
      <w:tr w:rsidR="001002C3" w:rsidRPr="007122AB" w14:paraId="05C5682E" w14:textId="77777777">
        <w:tc>
          <w:tcPr>
            <w:tcW w:w="1024" w:type="dxa"/>
          </w:tcPr>
          <w:p w14:paraId="2A33A0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C41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8FF8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A21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E1E9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D9EC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61D5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3CCE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мощности. Отправили на 24 завод для</w:t>
            </w:r>
          </w:p>
        </w:tc>
      </w:tr>
      <w:tr w:rsidR="001002C3" w:rsidRPr="007122AB" w14:paraId="2B5382E3" w14:textId="77777777">
        <w:tc>
          <w:tcPr>
            <w:tcW w:w="1024" w:type="dxa"/>
          </w:tcPr>
          <w:p w14:paraId="013A6E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DEA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683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67E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8A1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B75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B799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8207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переборки</w:t>
            </w:r>
          </w:p>
        </w:tc>
      </w:tr>
      <w:tr w:rsidR="001002C3" w:rsidRPr="007122AB" w14:paraId="5A7E844B" w14:textId="77777777">
        <w:tc>
          <w:tcPr>
            <w:tcW w:w="1024" w:type="dxa"/>
          </w:tcPr>
          <w:p w14:paraId="3DD109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652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54CD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4D7E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F01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A8F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3AA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D58C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разрезных крыльев</w:t>
            </w:r>
          </w:p>
        </w:tc>
      </w:tr>
      <w:tr w:rsidR="001002C3" w:rsidRPr="007122AB" w14:paraId="080082A4" w14:textId="77777777">
        <w:tc>
          <w:tcPr>
            <w:tcW w:w="1024" w:type="dxa"/>
          </w:tcPr>
          <w:p w14:paraId="42A627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458B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B43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15F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80E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16D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277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2FE2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ЦКБ зав. 39 разработало </w:t>
            </w:r>
            <w:proofErr w:type="spellStart"/>
            <w:r w:rsidRPr="007122AB">
              <w:rPr>
                <w:rFonts w:ascii="Times New Roman" w:hAnsi="Times New Roman"/>
                <w:color w:val="000000" w:themeColor="text1"/>
                <w:sz w:val="16"/>
                <w:szCs w:val="16"/>
              </w:rPr>
              <w:t>аэродинам</w:t>
            </w:r>
            <w:proofErr w:type="spellEnd"/>
            <w:r w:rsidRPr="007122AB">
              <w:rPr>
                <w:rFonts w:ascii="Times New Roman" w:hAnsi="Times New Roman"/>
                <w:color w:val="000000" w:themeColor="text1"/>
                <w:sz w:val="16"/>
                <w:szCs w:val="16"/>
              </w:rPr>
              <w:t>. часть,</w:t>
            </w:r>
          </w:p>
        </w:tc>
      </w:tr>
      <w:tr w:rsidR="001002C3" w:rsidRPr="007122AB" w14:paraId="30982B45" w14:textId="77777777">
        <w:tc>
          <w:tcPr>
            <w:tcW w:w="1024" w:type="dxa"/>
          </w:tcPr>
          <w:p w14:paraId="16A086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87E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DD2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BDF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88E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D0E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08E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611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ведется конструктивная проработка. Выйдет</w:t>
            </w:r>
          </w:p>
        </w:tc>
      </w:tr>
      <w:tr w:rsidR="001002C3" w:rsidRPr="007122AB" w14:paraId="5C077A19" w14:textId="77777777">
        <w:tc>
          <w:tcPr>
            <w:tcW w:w="1024" w:type="dxa"/>
          </w:tcPr>
          <w:p w14:paraId="58C0C3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203E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8A5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F7A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101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B08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E1D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3067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10 сентября 1931</w:t>
            </w:r>
          </w:p>
        </w:tc>
      </w:tr>
      <w:tr w:rsidR="001002C3" w:rsidRPr="007122AB" w14:paraId="207507C8" w14:textId="77777777">
        <w:tc>
          <w:tcPr>
            <w:tcW w:w="1024" w:type="dxa"/>
          </w:tcPr>
          <w:p w14:paraId="25E3E7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3F85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E6C3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F774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4DE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44E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E40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656F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Жемчужин.</w:t>
            </w:r>
          </w:p>
        </w:tc>
      </w:tr>
      <w:tr w:rsidR="001002C3" w:rsidRPr="007122AB" w14:paraId="101D4F27" w14:textId="77777777">
        <w:tc>
          <w:tcPr>
            <w:tcW w:w="1024" w:type="dxa"/>
          </w:tcPr>
          <w:p w14:paraId="44B846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И5-ЮVI</w:t>
            </w:r>
          </w:p>
        </w:tc>
        <w:tc>
          <w:tcPr>
            <w:tcW w:w="1024" w:type="dxa"/>
          </w:tcPr>
          <w:p w14:paraId="6C8389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262,5/</w:t>
            </w:r>
          </w:p>
        </w:tc>
        <w:tc>
          <w:tcPr>
            <w:tcW w:w="1024" w:type="dxa"/>
          </w:tcPr>
          <w:p w14:paraId="0D4CCD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9,6'-9,8'/</w:t>
            </w:r>
          </w:p>
        </w:tc>
        <w:tc>
          <w:tcPr>
            <w:tcW w:w="1024" w:type="dxa"/>
          </w:tcPr>
          <w:p w14:paraId="5678A9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8120*</w:t>
            </w:r>
          </w:p>
        </w:tc>
        <w:tc>
          <w:tcPr>
            <w:tcW w:w="1024" w:type="dxa"/>
          </w:tcPr>
          <w:p w14:paraId="6E1B8A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пул.</w:t>
            </w:r>
          </w:p>
        </w:tc>
        <w:tc>
          <w:tcPr>
            <w:tcW w:w="1024" w:type="dxa"/>
          </w:tcPr>
          <w:p w14:paraId="31A943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7FB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кв.</w:t>
            </w:r>
          </w:p>
        </w:tc>
        <w:tc>
          <w:tcPr>
            <w:tcW w:w="3430" w:type="dxa"/>
          </w:tcPr>
          <w:p w14:paraId="728FC2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из-за большего</w:t>
            </w:r>
          </w:p>
        </w:tc>
      </w:tr>
      <w:tr w:rsidR="001002C3" w:rsidRPr="007122AB" w14:paraId="30FA5A22" w14:textId="77777777">
        <w:tc>
          <w:tcPr>
            <w:tcW w:w="1024" w:type="dxa"/>
          </w:tcPr>
          <w:p w14:paraId="4F723C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995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752EF8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5FF97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928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118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7EC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35A79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полетного веса серийной машины (74 кг)</w:t>
            </w:r>
          </w:p>
        </w:tc>
      </w:tr>
      <w:tr w:rsidR="001002C3" w:rsidRPr="007122AB" w14:paraId="1CB0465F" w14:textId="77777777">
        <w:tc>
          <w:tcPr>
            <w:tcW w:w="1024" w:type="dxa"/>
          </w:tcPr>
          <w:p w14:paraId="0F6088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44C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024" w:type="dxa"/>
          </w:tcPr>
          <w:p w14:paraId="59A47E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3FE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D8AE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513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B368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CE91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летные качества оказались ниже по скор.</w:t>
            </w:r>
          </w:p>
        </w:tc>
      </w:tr>
      <w:tr w:rsidR="001002C3" w:rsidRPr="007122AB" w14:paraId="053767AC" w14:textId="77777777">
        <w:tc>
          <w:tcPr>
            <w:tcW w:w="1024" w:type="dxa"/>
          </w:tcPr>
          <w:p w14:paraId="31887B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850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61295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90A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58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F4E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5F03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1F27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5-7 км/час. Представленный ВАО матер.</w:t>
            </w:r>
          </w:p>
        </w:tc>
      </w:tr>
      <w:tr w:rsidR="001002C3" w:rsidRPr="007122AB" w14:paraId="0151190A" w14:textId="77777777">
        <w:tc>
          <w:tcPr>
            <w:tcW w:w="1024" w:type="dxa"/>
          </w:tcPr>
          <w:p w14:paraId="3990EF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C11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Серийный самолет.</w:t>
            </w:r>
          </w:p>
        </w:tc>
        <w:tc>
          <w:tcPr>
            <w:tcW w:w="1024" w:type="dxa"/>
          </w:tcPr>
          <w:p w14:paraId="03676E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370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325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5EE8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551399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FDC3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перетяжелению</w:t>
            </w:r>
            <w:proofErr w:type="spellEnd"/>
            <w:r w:rsidRPr="007122AB">
              <w:rPr>
                <w:rFonts w:ascii="Times New Roman" w:hAnsi="Times New Roman"/>
                <w:color w:val="000000" w:themeColor="text1"/>
                <w:sz w:val="16"/>
                <w:szCs w:val="16"/>
              </w:rPr>
              <w:t xml:space="preserve"> признан </w:t>
            </w:r>
            <w:proofErr w:type="spellStart"/>
            <w:r w:rsidRPr="007122AB">
              <w:rPr>
                <w:rFonts w:ascii="Times New Roman" w:hAnsi="Times New Roman"/>
                <w:color w:val="000000" w:themeColor="text1"/>
                <w:sz w:val="16"/>
                <w:szCs w:val="16"/>
              </w:rPr>
              <w:t>неудовлетвор</w:t>
            </w:r>
            <w:proofErr w:type="spellEnd"/>
            <w:r w:rsidRPr="007122AB">
              <w:rPr>
                <w:rFonts w:ascii="Times New Roman" w:hAnsi="Times New Roman"/>
                <w:color w:val="000000" w:themeColor="text1"/>
                <w:sz w:val="16"/>
                <w:szCs w:val="16"/>
              </w:rPr>
              <w:t>.</w:t>
            </w:r>
          </w:p>
        </w:tc>
      </w:tr>
      <w:tr w:rsidR="001002C3" w:rsidRPr="007122AB" w14:paraId="6CB02797" w14:textId="77777777">
        <w:tc>
          <w:tcPr>
            <w:tcW w:w="1024" w:type="dxa"/>
          </w:tcPr>
          <w:p w14:paraId="1F3A37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DC9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193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C52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51F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7BC7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9E42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7CCC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лишь фиксирует причины без мер по</w:t>
            </w:r>
          </w:p>
        </w:tc>
      </w:tr>
      <w:tr w:rsidR="001002C3" w:rsidRPr="007122AB" w14:paraId="397CCCB1" w14:textId="77777777">
        <w:tc>
          <w:tcPr>
            <w:tcW w:w="1024" w:type="dxa"/>
          </w:tcPr>
          <w:p w14:paraId="3CEBB3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717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7DF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A937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9FD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1C86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AB6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DF16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устранению. ВАО потребовал их </w:t>
            </w:r>
            <w:proofErr w:type="spellStart"/>
            <w:r w:rsidRPr="007122AB">
              <w:rPr>
                <w:rFonts w:ascii="Times New Roman" w:hAnsi="Times New Roman"/>
                <w:color w:val="000000" w:themeColor="text1"/>
                <w:sz w:val="16"/>
                <w:szCs w:val="16"/>
              </w:rPr>
              <w:t>разработ</w:t>
            </w:r>
            <w:proofErr w:type="spellEnd"/>
            <w:r w:rsidRPr="007122AB">
              <w:rPr>
                <w:rFonts w:ascii="Times New Roman" w:hAnsi="Times New Roman"/>
                <w:color w:val="000000" w:themeColor="text1"/>
                <w:sz w:val="16"/>
                <w:szCs w:val="16"/>
              </w:rPr>
              <w:t>.</w:t>
            </w:r>
          </w:p>
        </w:tc>
      </w:tr>
      <w:tr w:rsidR="001002C3" w:rsidRPr="007122AB" w14:paraId="551F6EC6" w14:textId="77777777">
        <w:tc>
          <w:tcPr>
            <w:tcW w:w="1024" w:type="dxa"/>
          </w:tcPr>
          <w:p w14:paraId="03C562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26E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A9D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784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678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A81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134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541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И-5 М-22, но пока мероприятий не</w:t>
            </w:r>
          </w:p>
        </w:tc>
      </w:tr>
      <w:tr w:rsidR="001002C3" w:rsidRPr="007122AB" w14:paraId="389768D9" w14:textId="77777777">
        <w:tc>
          <w:tcPr>
            <w:tcW w:w="1024" w:type="dxa"/>
          </w:tcPr>
          <w:p w14:paraId="31E992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91E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665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6AD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369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33B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CBE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0AEF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принято.</w:t>
            </w:r>
          </w:p>
        </w:tc>
      </w:tr>
      <w:tr w:rsidR="001002C3" w:rsidRPr="007122AB" w14:paraId="2EA70BE8" w14:textId="77777777">
        <w:tc>
          <w:tcPr>
            <w:tcW w:w="1024" w:type="dxa"/>
          </w:tcPr>
          <w:p w14:paraId="239E2E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F18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9BE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792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1A42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186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0F3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EEA7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М-15</w:t>
            </w:r>
          </w:p>
        </w:tc>
      </w:tr>
      <w:tr w:rsidR="001002C3" w:rsidRPr="007122AB" w14:paraId="6020FA55" w14:textId="77777777">
        <w:tc>
          <w:tcPr>
            <w:tcW w:w="1024" w:type="dxa"/>
          </w:tcPr>
          <w:p w14:paraId="598086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C2C6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FF3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7478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231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16F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A0C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9653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были прерваны из-за поломки</w:t>
            </w:r>
          </w:p>
        </w:tc>
      </w:tr>
      <w:tr w:rsidR="001002C3" w:rsidRPr="007122AB" w14:paraId="30CA27AB" w14:textId="77777777">
        <w:tc>
          <w:tcPr>
            <w:tcW w:w="1024" w:type="dxa"/>
          </w:tcPr>
          <w:p w14:paraId="6C307E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72A6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8FB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912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70F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AE65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74E6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B7C9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мотора. ЦКБ завода 39 поставило М-15 на</w:t>
            </w:r>
          </w:p>
        </w:tc>
      </w:tr>
      <w:tr w:rsidR="001002C3" w:rsidRPr="007122AB" w14:paraId="385E8610" w14:textId="77777777">
        <w:tc>
          <w:tcPr>
            <w:tcW w:w="1024" w:type="dxa"/>
          </w:tcPr>
          <w:p w14:paraId="5660A9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463B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0D9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642F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912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C0E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585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A46F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два. Первый - без вооружения и не </w:t>
            </w:r>
            <w:proofErr w:type="spellStart"/>
            <w:r w:rsidRPr="007122AB">
              <w:rPr>
                <w:rFonts w:ascii="Times New Roman" w:hAnsi="Times New Roman"/>
                <w:color w:val="000000" w:themeColor="text1"/>
                <w:sz w:val="16"/>
                <w:szCs w:val="16"/>
              </w:rPr>
              <w:t>усил</w:t>
            </w:r>
            <w:proofErr w:type="spellEnd"/>
            <w:r w:rsidRPr="007122AB">
              <w:rPr>
                <w:rFonts w:ascii="Times New Roman" w:hAnsi="Times New Roman"/>
                <w:color w:val="000000" w:themeColor="text1"/>
                <w:sz w:val="16"/>
                <w:szCs w:val="16"/>
              </w:rPr>
              <w:t>.</w:t>
            </w:r>
          </w:p>
        </w:tc>
      </w:tr>
      <w:tr w:rsidR="001002C3" w:rsidRPr="007122AB" w14:paraId="35B87B68" w14:textId="77777777">
        <w:tc>
          <w:tcPr>
            <w:tcW w:w="1024" w:type="dxa"/>
          </w:tcPr>
          <w:p w14:paraId="1D49F1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A2A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C7C6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742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AF2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7B9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675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25AF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не прошел гос. испытаний, второй - эталон</w:t>
            </w:r>
          </w:p>
        </w:tc>
      </w:tr>
      <w:tr w:rsidR="001002C3" w:rsidRPr="007122AB" w14:paraId="420022B8" w14:textId="77777777">
        <w:tc>
          <w:tcPr>
            <w:tcW w:w="1024" w:type="dxa"/>
          </w:tcPr>
          <w:p w14:paraId="016312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A1F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B73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538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6D6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7296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40C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9818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серии И-5 М-15 и на испытания пока не</w:t>
            </w:r>
          </w:p>
        </w:tc>
      </w:tr>
      <w:tr w:rsidR="001002C3" w:rsidRPr="007122AB" w14:paraId="3CA2B30D" w14:textId="77777777">
        <w:tc>
          <w:tcPr>
            <w:tcW w:w="1024" w:type="dxa"/>
          </w:tcPr>
          <w:p w14:paraId="1A40CD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1E4D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537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FF7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529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797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4FD7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0E9C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передан. Проходит заводские испытания.</w:t>
            </w:r>
          </w:p>
        </w:tc>
      </w:tr>
      <w:tr w:rsidR="001002C3" w:rsidRPr="007122AB" w14:paraId="1A1585CD" w14:textId="77777777">
        <w:tc>
          <w:tcPr>
            <w:tcW w:w="1024" w:type="dxa"/>
          </w:tcPr>
          <w:p w14:paraId="48BBCB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70FB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70F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A16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D95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86E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6CA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224D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Задержка тормозит серию. На основании</w:t>
            </w:r>
          </w:p>
        </w:tc>
      </w:tr>
      <w:tr w:rsidR="001002C3" w:rsidRPr="007122AB" w14:paraId="0A6B8138" w14:textId="77777777">
        <w:tc>
          <w:tcPr>
            <w:tcW w:w="1024" w:type="dxa"/>
          </w:tcPr>
          <w:p w14:paraId="46BABC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FE9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8C1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252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515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475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EFAA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643C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испытаний 1-го будет лишь немногим лучше</w:t>
            </w:r>
          </w:p>
        </w:tc>
      </w:tr>
      <w:tr w:rsidR="001002C3" w:rsidRPr="007122AB" w14:paraId="7A3EA99B" w14:textId="77777777">
        <w:tc>
          <w:tcPr>
            <w:tcW w:w="1024" w:type="dxa"/>
          </w:tcPr>
          <w:p w14:paraId="5948EA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700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E3F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6F6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B87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730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4B7A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A7CB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скорости, но хуже по скороподъемности</w:t>
            </w:r>
          </w:p>
        </w:tc>
      </w:tr>
      <w:tr w:rsidR="001002C3" w:rsidRPr="007122AB" w14:paraId="26A5DB80" w14:textId="77777777">
        <w:tc>
          <w:tcPr>
            <w:tcW w:w="1024" w:type="dxa"/>
          </w:tcPr>
          <w:p w14:paraId="50FD8A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111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C46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D4F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38B2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66D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1C0A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C514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Петров.</w:t>
            </w:r>
          </w:p>
        </w:tc>
      </w:tr>
      <w:tr w:rsidR="001002C3" w:rsidRPr="007122AB" w14:paraId="7BEFE450" w14:textId="77777777">
        <w:tc>
          <w:tcPr>
            <w:tcW w:w="1024" w:type="dxa"/>
          </w:tcPr>
          <w:p w14:paraId="43E27C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284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FF0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F4F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4986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CA6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D88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5DE4A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улучшению штопора</w:t>
            </w:r>
          </w:p>
        </w:tc>
      </w:tr>
      <w:tr w:rsidR="001002C3" w:rsidRPr="007122AB" w14:paraId="6CC7E150" w14:textId="77777777">
        <w:tc>
          <w:tcPr>
            <w:tcW w:w="1024" w:type="dxa"/>
          </w:tcPr>
          <w:p w14:paraId="3D16BC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47D3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5F1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FC3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9F2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5D0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64F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724B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Машина с переделанными консолями крыл.</w:t>
            </w:r>
          </w:p>
        </w:tc>
      </w:tr>
      <w:tr w:rsidR="001002C3" w:rsidRPr="007122AB" w14:paraId="486566EB" w14:textId="77777777">
        <w:tc>
          <w:tcPr>
            <w:tcW w:w="1024" w:type="dxa"/>
          </w:tcPr>
          <w:p w14:paraId="4B1BBC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1BD0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D48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0CE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E60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1846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F7A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29EC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 не представлена, т.к. ВАО</w:t>
            </w:r>
          </w:p>
        </w:tc>
      </w:tr>
      <w:tr w:rsidR="001002C3" w:rsidRPr="007122AB" w14:paraId="1CC7BA97" w14:textId="77777777">
        <w:tc>
          <w:tcPr>
            <w:tcW w:w="1024" w:type="dxa"/>
          </w:tcPr>
          <w:p w14:paraId="752A22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BE5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C9A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CBB1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374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9FD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98C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3D8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месяц не мог поставить крылья на 1 завод</w:t>
            </w:r>
          </w:p>
        </w:tc>
      </w:tr>
      <w:tr w:rsidR="001002C3" w:rsidRPr="007122AB" w14:paraId="0CA950B8" w14:textId="77777777">
        <w:tc>
          <w:tcPr>
            <w:tcW w:w="1024" w:type="dxa"/>
          </w:tcPr>
          <w:p w14:paraId="354E00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7DEF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7C0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26A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1AE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029C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4CC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7612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установки на фюзеляж. Работу</w:t>
            </w:r>
          </w:p>
        </w:tc>
      </w:tr>
      <w:tr w:rsidR="001002C3" w:rsidRPr="007122AB" w14:paraId="731446C7" w14:textId="77777777">
        <w:tc>
          <w:tcPr>
            <w:tcW w:w="1024" w:type="dxa"/>
          </w:tcPr>
          <w:p w14:paraId="568A6B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4BD4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1EC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3A4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DDB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A0D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281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40B9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сейчас ведет завод 39. Вопрос об установке</w:t>
            </w:r>
          </w:p>
        </w:tc>
      </w:tr>
      <w:tr w:rsidR="001002C3" w:rsidRPr="007122AB" w14:paraId="70EA2391" w14:textId="77777777">
        <w:tc>
          <w:tcPr>
            <w:tcW w:w="1024" w:type="dxa"/>
          </w:tcPr>
          <w:p w14:paraId="6BEC35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C3ED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2C7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D01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DC98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4E2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2607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0459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более тонких консолей был поставлен еще в</w:t>
            </w:r>
          </w:p>
        </w:tc>
      </w:tr>
      <w:tr w:rsidR="001002C3" w:rsidRPr="007122AB" w14:paraId="2A7FE2D6" w14:textId="77777777">
        <w:tc>
          <w:tcPr>
            <w:tcW w:w="1024" w:type="dxa"/>
          </w:tcPr>
          <w:p w14:paraId="616367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927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F59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64C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311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1F6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825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BCA1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ноябре 1930, но пока не решен</w:t>
            </w:r>
          </w:p>
        </w:tc>
      </w:tr>
      <w:tr w:rsidR="001002C3" w:rsidRPr="007122AB" w14:paraId="57546DA3" w14:textId="77777777">
        <w:tc>
          <w:tcPr>
            <w:tcW w:w="1024" w:type="dxa"/>
          </w:tcPr>
          <w:p w14:paraId="072DFB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3A9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89D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3692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AF31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3B2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5CE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4D5F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Петров.</w:t>
            </w:r>
          </w:p>
        </w:tc>
      </w:tr>
      <w:tr w:rsidR="001002C3" w:rsidRPr="007122AB" w14:paraId="12894104" w14:textId="77777777">
        <w:tc>
          <w:tcPr>
            <w:tcW w:w="1024" w:type="dxa"/>
          </w:tcPr>
          <w:p w14:paraId="5CFEE7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5BD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02A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BE0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22FD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51CC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359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1C6C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на специально оборудованном И5-Ю6</w:t>
            </w:r>
          </w:p>
        </w:tc>
      </w:tr>
      <w:tr w:rsidR="001002C3" w:rsidRPr="007122AB" w14:paraId="33FC345E" w14:textId="77777777">
        <w:tc>
          <w:tcPr>
            <w:tcW w:w="1024" w:type="dxa"/>
          </w:tcPr>
          <w:p w14:paraId="368FEB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393F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A23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170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DAA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43A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542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69A5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провел исследование штопора. Окончание</w:t>
            </w:r>
          </w:p>
        </w:tc>
      </w:tr>
      <w:tr w:rsidR="001002C3" w:rsidRPr="007122AB" w14:paraId="29C3E1FB" w14:textId="77777777">
        <w:tc>
          <w:tcPr>
            <w:tcW w:w="1024" w:type="dxa"/>
          </w:tcPr>
          <w:p w14:paraId="6D71D7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6BB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CB3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5A82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02B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92C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BEB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D6B3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 намечено на 10-15 июля</w:t>
            </w:r>
          </w:p>
        </w:tc>
      </w:tr>
      <w:tr w:rsidR="001002C3" w:rsidRPr="007122AB" w14:paraId="4583EFCE" w14:textId="77777777">
        <w:tc>
          <w:tcPr>
            <w:tcW w:w="1024" w:type="dxa"/>
          </w:tcPr>
          <w:p w14:paraId="5AC111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2B7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F50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84E1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8AD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E84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C75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D8C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Филин.</w:t>
            </w:r>
          </w:p>
        </w:tc>
      </w:tr>
      <w:tr w:rsidR="001002C3" w:rsidRPr="007122AB" w14:paraId="2D6AB2B9" w14:textId="77777777">
        <w:tc>
          <w:tcPr>
            <w:tcW w:w="1024" w:type="dxa"/>
          </w:tcPr>
          <w:p w14:paraId="71937B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ТБ3-4КК</w:t>
            </w:r>
          </w:p>
        </w:tc>
        <w:tc>
          <w:tcPr>
            <w:tcW w:w="1024" w:type="dxa"/>
          </w:tcPr>
          <w:p w14:paraId="41F559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w:t>
            </w:r>
          </w:p>
        </w:tc>
        <w:tc>
          <w:tcPr>
            <w:tcW w:w="1024" w:type="dxa"/>
          </w:tcPr>
          <w:p w14:paraId="7C7598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22-25/</w:t>
            </w:r>
          </w:p>
        </w:tc>
        <w:tc>
          <w:tcPr>
            <w:tcW w:w="1024" w:type="dxa"/>
          </w:tcPr>
          <w:p w14:paraId="466731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30E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6-11 пул.</w:t>
            </w:r>
          </w:p>
        </w:tc>
        <w:tc>
          <w:tcPr>
            <w:tcW w:w="1024" w:type="dxa"/>
          </w:tcPr>
          <w:p w14:paraId="2A733C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E59D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00D604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Прошел испытания по сокращенной </w:t>
            </w:r>
            <w:proofErr w:type="spellStart"/>
            <w:r w:rsidRPr="007122AB">
              <w:rPr>
                <w:rFonts w:ascii="Times New Roman" w:hAnsi="Times New Roman"/>
                <w:color w:val="000000" w:themeColor="text1"/>
                <w:sz w:val="16"/>
                <w:szCs w:val="16"/>
              </w:rPr>
              <w:t>прогр</w:t>
            </w:r>
            <w:proofErr w:type="spellEnd"/>
            <w:r w:rsidRPr="007122AB">
              <w:rPr>
                <w:rFonts w:ascii="Times New Roman" w:hAnsi="Times New Roman"/>
                <w:color w:val="000000" w:themeColor="text1"/>
                <w:sz w:val="16"/>
                <w:szCs w:val="16"/>
              </w:rPr>
              <w:t>.</w:t>
            </w:r>
          </w:p>
        </w:tc>
      </w:tr>
      <w:tr w:rsidR="001002C3" w:rsidRPr="007122AB" w14:paraId="000D6868" w14:textId="77777777">
        <w:tc>
          <w:tcPr>
            <w:tcW w:w="1024" w:type="dxa"/>
          </w:tcPr>
          <w:p w14:paraId="715739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(4М17)</w:t>
            </w:r>
          </w:p>
        </w:tc>
        <w:tc>
          <w:tcPr>
            <w:tcW w:w="1024" w:type="dxa"/>
          </w:tcPr>
          <w:p w14:paraId="3A46B8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w:t>
            </w:r>
          </w:p>
        </w:tc>
        <w:tc>
          <w:tcPr>
            <w:tcW w:w="1024" w:type="dxa"/>
          </w:tcPr>
          <w:p w14:paraId="462522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9B0E1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C125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2000-4000</w:t>
            </w:r>
          </w:p>
        </w:tc>
        <w:tc>
          <w:tcPr>
            <w:tcW w:w="1024" w:type="dxa"/>
          </w:tcPr>
          <w:p w14:paraId="59B99B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0D8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7598C0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показав хорошие ЛД - скор. 230 км/час.</w:t>
            </w:r>
          </w:p>
        </w:tc>
      </w:tr>
      <w:tr w:rsidR="001002C3" w:rsidRPr="007122AB" w14:paraId="1CA84789" w14:textId="77777777">
        <w:tc>
          <w:tcPr>
            <w:tcW w:w="1024" w:type="dxa"/>
          </w:tcPr>
          <w:p w14:paraId="1D6B06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9B5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224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CCD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6C5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кг</w:t>
            </w:r>
          </w:p>
        </w:tc>
        <w:tc>
          <w:tcPr>
            <w:tcW w:w="1024" w:type="dxa"/>
          </w:tcPr>
          <w:p w14:paraId="668B4F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DDF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135B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 обнаружен ряд дефектов, основные</w:t>
            </w:r>
          </w:p>
        </w:tc>
      </w:tr>
      <w:tr w:rsidR="001002C3" w:rsidRPr="007122AB" w14:paraId="7DBB4BB8" w14:textId="77777777">
        <w:tc>
          <w:tcPr>
            <w:tcW w:w="1024" w:type="dxa"/>
          </w:tcPr>
          <w:p w14:paraId="7ECD16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0B3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3561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0AF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A17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713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346D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6416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чрезмерное давление на ручку и педали.</w:t>
            </w:r>
          </w:p>
        </w:tc>
      </w:tr>
      <w:tr w:rsidR="001002C3" w:rsidRPr="007122AB" w14:paraId="291A7C3E" w14:textId="77777777">
        <w:tc>
          <w:tcPr>
            <w:tcW w:w="1024" w:type="dxa"/>
          </w:tcPr>
          <w:p w14:paraId="1554D2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27A6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757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441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B58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D8E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D79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B4ED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февраля был передан в ЦАГИ для </w:t>
            </w:r>
            <w:proofErr w:type="spellStart"/>
            <w:r w:rsidRPr="007122AB">
              <w:rPr>
                <w:rFonts w:ascii="Times New Roman" w:hAnsi="Times New Roman"/>
                <w:color w:val="000000" w:themeColor="text1"/>
                <w:sz w:val="16"/>
                <w:szCs w:val="16"/>
              </w:rPr>
              <w:t>устан</w:t>
            </w:r>
            <w:proofErr w:type="spellEnd"/>
            <w:r w:rsidRPr="007122AB">
              <w:rPr>
                <w:rFonts w:ascii="Times New Roman" w:hAnsi="Times New Roman"/>
                <w:color w:val="000000" w:themeColor="text1"/>
                <w:sz w:val="16"/>
                <w:szCs w:val="16"/>
              </w:rPr>
              <w:t>.</w:t>
            </w:r>
          </w:p>
        </w:tc>
      </w:tr>
      <w:tr w:rsidR="001002C3" w:rsidRPr="007122AB" w14:paraId="10C8FA21" w14:textId="77777777">
        <w:tc>
          <w:tcPr>
            <w:tcW w:w="1024" w:type="dxa"/>
          </w:tcPr>
          <w:p w14:paraId="781D29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0DC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606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DB14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D1D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420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065B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F3B0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БМВ-6 и переделки элеронов, РВ, РН и</w:t>
            </w:r>
          </w:p>
        </w:tc>
      </w:tr>
      <w:tr w:rsidR="001002C3" w:rsidRPr="007122AB" w14:paraId="0716925A" w14:textId="77777777">
        <w:tc>
          <w:tcPr>
            <w:tcW w:w="1024" w:type="dxa"/>
          </w:tcPr>
          <w:p w14:paraId="093073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B88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4A48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BCEE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0A21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EF8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6D04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5536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костыля. К 1 апреля установка БМВ-6 была</w:t>
            </w:r>
          </w:p>
        </w:tc>
      </w:tr>
      <w:tr w:rsidR="001002C3" w:rsidRPr="007122AB" w14:paraId="5428D901" w14:textId="77777777">
        <w:tc>
          <w:tcPr>
            <w:tcW w:w="1024" w:type="dxa"/>
          </w:tcPr>
          <w:p w14:paraId="07F93F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0592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113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FC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049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2776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ED47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D472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закончена, но во время пробы одна </w:t>
            </w:r>
            <w:proofErr w:type="spellStart"/>
            <w:r w:rsidRPr="007122AB">
              <w:rPr>
                <w:rFonts w:ascii="Times New Roman" w:hAnsi="Times New Roman"/>
                <w:color w:val="000000" w:themeColor="text1"/>
                <w:sz w:val="16"/>
                <w:szCs w:val="16"/>
              </w:rPr>
              <w:t>устан</w:t>
            </w:r>
            <w:proofErr w:type="spellEnd"/>
            <w:r w:rsidRPr="007122AB">
              <w:rPr>
                <w:rFonts w:ascii="Times New Roman" w:hAnsi="Times New Roman"/>
                <w:color w:val="000000" w:themeColor="text1"/>
                <w:sz w:val="16"/>
                <w:szCs w:val="16"/>
              </w:rPr>
              <w:t>.</w:t>
            </w:r>
          </w:p>
        </w:tc>
      </w:tr>
      <w:tr w:rsidR="001002C3" w:rsidRPr="007122AB" w14:paraId="27C22B2E" w14:textId="77777777">
        <w:tc>
          <w:tcPr>
            <w:tcW w:w="1024" w:type="dxa"/>
          </w:tcPr>
          <w:p w14:paraId="3E19EB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076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E04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CB2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ED5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0AB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388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28AE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разрушилась. Потом в конце апреля-начале</w:t>
            </w:r>
          </w:p>
        </w:tc>
      </w:tr>
      <w:tr w:rsidR="001002C3" w:rsidRPr="007122AB" w14:paraId="48C6CAE6" w14:textId="77777777">
        <w:tc>
          <w:tcPr>
            <w:tcW w:w="1024" w:type="dxa"/>
          </w:tcPr>
          <w:p w14:paraId="5EFF5D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AD8C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E910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6FE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DE1A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C2D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8D8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1B35B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мая машина выполнила ряд полетов, </w:t>
            </w:r>
            <w:proofErr w:type="spellStart"/>
            <w:r w:rsidRPr="007122AB">
              <w:rPr>
                <w:rFonts w:ascii="Times New Roman" w:hAnsi="Times New Roman"/>
                <w:color w:val="000000" w:themeColor="text1"/>
                <w:sz w:val="16"/>
                <w:szCs w:val="16"/>
              </w:rPr>
              <w:t>котор</w:t>
            </w:r>
            <w:proofErr w:type="spellEnd"/>
            <w:r w:rsidRPr="007122AB">
              <w:rPr>
                <w:rFonts w:ascii="Times New Roman" w:hAnsi="Times New Roman"/>
                <w:color w:val="000000" w:themeColor="text1"/>
                <w:sz w:val="16"/>
                <w:szCs w:val="16"/>
              </w:rPr>
              <w:t>.</w:t>
            </w:r>
          </w:p>
        </w:tc>
      </w:tr>
      <w:tr w:rsidR="001002C3" w:rsidRPr="007122AB" w14:paraId="795E6C05" w14:textId="77777777">
        <w:tc>
          <w:tcPr>
            <w:tcW w:w="1024" w:type="dxa"/>
          </w:tcPr>
          <w:p w14:paraId="0D62A7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B6F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DDB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C15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D400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5B3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145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675C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показали, что элероны и рули надо </w:t>
            </w:r>
            <w:proofErr w:type="spellStart"/>
            <w:r w:rsidRPr="007122AB">
              <w:rPr>
                <w:rFonts w:ascii="Times New Roman" w:hAnsi="Times New Roman"/>
                <w:color w:val="000000" w:themeColor="text1"/>
                <w:sz w:val="16"/>
                <w:szCs w:val="16"/>
              </w:rPr>
              <w:t>дополн</w:t>
            </w:r>
            <w:proofErr w:type="spellEnd"/>
            <w:r w:rsidRPr="007122AB">
              <w:rPr>
                <w:rFonts w:ascii="Times New Roman" w:hAnsi="Times New Roman"/>
                <w:color w:val="000000" w:themeColor="text1"/>
                <w:sz w:val="16"/>
                <w:szCs w:val="16"/>
              </w:rPr>
              <w:t>.</w:t>
            </w:r>
          </w:p>
        </w:tc>
      </w:tr>
      <w:tr w:rsidR="001002C3" w:rsidRPr="007122AB" w14:paraId="16FFB413" w14:textId="77777777">
        <w:tc>
          <w:tcPr>
            <w:tcW w:w="1024" w:type="dxa"/>
          </w:tcPr>
          <w:p w14:paraId="3662EB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17A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082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AB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840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2B8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EF54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955C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переделывать. Выполнили, но усилия все</w:t>
            </w:r>
          </w:p>
        </w:tc>
      </w:tr>
      <w:tr w:rsidR="001002C3" w:rsidRPr="007122AB" w14:paraId="2439249A" w14:textId="77777777">
        <w:tc>
          <w:tcPr>
            <w:tcW w:w="1024" w:type="dxa"/>
          </w:tcPr>
          <w:p w14:paraId="6AAC0D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578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6A1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D634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386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EEB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88D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36C5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велики.</w:t>
            </w:r>
          </w:p>
        </w:tc>
      </w:tr>
      <w:tr w:rsidR="001002C3" w:rsidRPr="007122AB" w14:paraId="0F879500" w14:textId="77777777">
        <w:tc>
          <w:tcPr>
            <w:tcW w:w="1024" w:type="dxa"/>
          </w:tcPr>
          <w:p w14:paraId="3F3DFC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577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826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B06D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E38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824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C79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727DE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Передача в НИИ задерживалась из-за ряда</w:t>
            </w:r>
          </w:p>
        </w:tc>
      </w:tr>
      <w:tr w:rsidR="001002C3" w:rsidRPr="007122AB" w14:paraId="41C46613" w14:textId="77777777">
        <w:tc>
          <w:tcPr>
            <w:tcW w:w="1024" w:type="dxa"/>
          </w:tcPr>
          <w:p w14:paraId="5F6BEB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3F5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380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771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057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6CC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A18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7501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мелких дефектов - течь радиаторов, </w:t>
            </w:r>
            <w:proofErr w:type="spellStart"/>
            <w:r w:rsidRPr="007122AB">
              <w:rPr>
                <w:rFonts w:ascii="Times New Roman" w:hAnsi="Times New Roman"/>
                <w:color w:val="000000" w:themeColor="text1"/>
                <w:sz w:val="16"/>
                <w:szCs w:val="16"/>
              </w:rPr>
              <w:t>разруш</w:t>
            </w:r>
            <w:proofErr w:type="spellEnd"/>
            <w:r w:rsidRPr="007122AB">
              <w:rPr>
                <w:rFonts w:ascii="Times New Roman" w:hAnsi="Times New Roman"/>
                <w:color w:val="000000" w:themeColor="text1"/>
                <w:sz w:val="16"/>
                <w:szCs w:val="16"/>
              </w:rPr>
              <w:t>.</w:t>
            </w:r>
          </w:p>
        </w:tc>
      </w:tr>
      <w:tr w:rsidR="001002C3" w:rsidRPr="007122AB" w14:paraId="13B07408" w14:textId="77777777">
        <w:tc>
          <w:tcPr>
            <w:tcW w:w="1024" w:type="dxa"/>
          </w:tcPr>
          <w:p w14:paraId="268CB8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1B8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B11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D49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E68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F70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C69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49FE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 и будет 7-10 июля. Снижения ЛД после</w:t>
            </w:r>
          </w:p>
        </w:tc>
      </w:tr>
      <w:tr w:rsidR="001002C3" w:rsidRPr="007122AB" w14:paraId="09205336" w14:textId="77777777">
        <w:tc>
          <w:tcPr>
            <w:tcW w:w="1024" w:type="dxa"/>
          </w:tcPr>
          <w:p w14:paraId="736011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C36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659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4A2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208C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0AE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4B1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831D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переделки под М-17 не последовало</w:t>
            </w:r>
          </w:p>
        </w:tc>
      </w:tr>
      <w:tr w:rsidR="001002C3" w:rsidRPr="007122AB" w14:paraId="543005BD" w14:textId="77777777">
        <w:tc>
          <w:tcPr>
            <w:tcW w:w="1024" w:type="dxa"/>
          </w:tcPr>
          <w:p w14:paraId="3824FB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3C3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8F3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A10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D788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A9E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9991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6372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7A16CD1D" w14:textId="77777777">
        <w:tc>
          <w:tcPr>
            <w:tcW w:w="1024" w:type="dxa"/>
          </w:tcPr>
          <w:p w14:paraId="5158F9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c>
          <w:tcPr>
            <w:tcW w:w="1024" w:type="dxa"/>
          </w:tcPr>
          <w:p w14:paraId="5D60F0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244/</w:t>
            </w:r>
          </w:p>
        </w:tc>
        <w:tc>
          <w:tcPr>
            <w:tcW w:w="1024" w:type="dxa"/>
          </w:tcPr>
          <w:p w14:paraId="6AF3EC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8,09/</w:t>
            </w:r>
          </w:p>
        </w:tc>
        <w:tc>
          <w:tcPr>
            <w:tcW w:w="1024" w:type="dxa"/>
          </w:tcPr>
          <w:p w14:paraId="2AC4A3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6500</w:t>
            </w:r>
          </w:p>
        </w:tc>
        <w:tc>
          <w:tcPr>
            <w:tcW w:w="1024" w:type="dxa"/>
          </w:tcPr>
          <w:p w14:paraId="54CAA7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7D8A01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1C1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09A5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Головной самолет серии завода 22 должен</w:t>
            </w:r>
          </w:p>
        </w:tc>
      </w:tr>
      <w:tr w:rsidR="001002C3" w:rsidRPr="007122AB" w14:paraId="55F66A31" w14:textId="77777777">
        <w:tc>
          <w:tcPr>
            <w:tcW w:w="1024" w:type="dxa"/>
          </w:tcPr>
          <w:p w14:paraId="57C7CB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49C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57BE4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CF315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7F3A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8D0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8849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DB7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поступить на испытания в июле. Задержка</w:t>
            </w:r>
          </w:p>
        </w:tc>
      </w:tr>
      <w:tr w:rsidR="001002C3" w:rsidRPr="007122AB" w14:paraId="38F4AFB2" w14:textId="77777777">
        <w:tc>
          <w:tcPr>
            <w:tcW w:w="1024" w:type="dxa"/>
          </w:tcPr>
          <w:p w14:paraId="6954C3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950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B05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C89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FA8B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991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044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3024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была из-за непоставки М-17</w:t>
            </w:r>
          </w:p>
        </w:tc>
      </w:tr>
      <w:tr w:rsidR="001002C3" w:rsidRPr="007122AB" w14:paraId="43A9A9D0" w14:textId="77777777">
        <w:tc>
          <w:tcPr>
            <w:tcW w:w="1024" w:type="dxa"/>
          </w:tcPr>
          <w:p w14:paraId="1E0502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4942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917B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3395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21F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41C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80E7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2C68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октября 1931 года.</w:t>
            </w:r>
          </w:p>
        </w:tc>
      </w:tr>
      <w:tr w:rsidR="001002C3" w:rsidRPr="007122AB" w14:paraId="11E8AF63" w14:textId="77777777">
        <w:tc>
          <w:tcPr>
            <w:tcW w:w="1024" w:type="dxa"/>
          </w:tcPr>
          <w:p w14:paraId="5EE45C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И8-Кертис</w:t>
            </w:r>
          </w:p>
        </w:tc>
        <w:tc>
          <w:tcPr>
            <w:tcW w:w="1024" w:type="dxa"/>
          </w:tcPr>
          <w:p w14:paraId="79C1DA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w:t>
            </w:r>
          </w:p>
        </w:tc>
        <w:tc>
          <w:tcPr>
            <w:tcW w:w="1024" w:type="dxa"/>
          </w:tcPr>
          <w:p w14:paraId="1CF706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w:t>
            </w:r>
          </w:p>
        </w:tc>
        <w:tc>
          <w:tcPr>
            <w:tcW w:w="1024" w:type="dxa"/>
          </w:tcPr>
          <w:p w14:paraId="4BCF22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6466B1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2BE6D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1024" w:type="dxa"/>
          </w:tcPr>
          <w:p w14:paraId="6E7A50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сент.</w:t>
            </w:r>
          </w:p>
        </w:tc>
        <w:tc>
          <w:tcPr>
            <w:tcW w:w="3430" w:type="dxa"/>
          </w:tcPr>
          <w:p w14:paraId="655F3E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Производится переделка хвостового оперен.</w:t>
            </w:r>
          </w:p>
        </w:tc>
      </w:tr>
      <w:tr w:rsidR="001002C3" w:rsidRPr="007122AB" w14:paraId="33C78330" w14:textId="77777777">
        <w:tc>
          <w:tcPr>
            <w:tcW w:w="1024" w:type="dxa"/>
          </w:tcPr>
          <w:p w14:paraId="269D19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Конкверор</w:t>
            </w:r>
            <w:proofErr w:type="spellEnd"/>
          </w:p>
        </w:tc>
        <w:tc>
          <w:tcPr>
            <w:tcW w:w="1024" w:type="dxa"/>
          </w:tcPr>
          <w:p w14:paraId="73E8D1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5C42C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1F9DA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EEE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78E8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w:t>
            </w:r>
          </w:p>
        </w:tc>
        <w:tc>
          <w:tcPr>
            <w:tcW w:w="1024" w:type="dxa"/>
          </w:tcPr>
          <w:p w14:paraId="316AF9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6FF8B8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из-за больших давлений на ручку. ЦАГИ</w:t>
            </w:r>
          </w:p>
        </w:tc>
      </w:tr>
      <w:tr w:rsidR="001002C3" w:rsidRPr="007122AB" w14:paraId="07557EDD" w14:textId="77777777">
        <w:tc>
          <w:tcPr>
            <w:tcW w:w="1024" w:type="dxa"/>
          </w:tcPr>
          <w:p w14:paraId="0800A9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DC2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CBE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4C33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577C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5277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AA0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B0F2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меняет КК на более высотный, полученный</w:t>
            </w:r>
          </w:p>
        </w:tc>
      </w:tr>
      <w:tr w:rsidR="001002C3" w:rsidRPr="007122AB" w14:paraId="62B7F52E" w14:textId="77777777">
        <w:tc>
          <w:tcPr>
            <w:tcW w:w="1024" w:type="dxa"/>
          </w:tcPr>
          <w:p w14:paraId="75F098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603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3E0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A51D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62B2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FE4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763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5332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США. Ставятся тормозные колеса.</w:t>
            </w:r>
          </w:p>
        </w:tc>
      </w:tr>
      <w:tr w:rsidR="001002C3" w:rsidRPr="007122AB" w14:paraId="352CA97A" w14:textId="77777777">
        <w:tc>
          <w:tcPr>
            <w:tcW w:w="1024" w:type="dxa"/>
          </w:tcPr>
          <w:p w14:paraId="4645DE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И7-М-17</w:t>
            </w:r>
          </w:p>
        </w:tc>
        <w:tc>
          <w:tcPr>
            <w:tcW w:w="1024" w:type="dxa"/>
          </w:tcPr>
          <w:p w14:paraId="0186BF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w:t>
            </w:r>
          </w:p>
        </w:tc>
        <w:tc>
          <w:tcPr>
            <w:tcW w:w="1024" w:type="dxa"/>
          </w:tcPr>
          <w:p w14:paraId="29755B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164E66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58B7F6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48894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54B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30F4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1 ведет постройку 2-х первых сер.</w:t>
            </w:r>
          </w:p>
        </w:tc>
      </w:tr>
      <w:tr w:rsidR="001002C3" w:rsidRPr="007122AB" w14:paraId="6D97D45F" w14:textId="77777777">
        <w:tc>
          <w:tcPr>
            <w:tcW w:w="1024" w:type="dxa"/>
          </w:tcPr>
          <w:p w14:paraId="0D6E85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Е=7,3</w:t>
            </w:r>
          </w:p>
        </w:tc>
        <w:tc>
          <w:tcPr>
            <w:tcW w:w="1024" w:type="dxa"/>
          </w:tcPr>
          <w:p w14:paraId="641603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B9652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0F3E4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4B0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B03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088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41DB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 задержан ошибкой в центровке,</w:t>
            </w:r>
          </w:p>
        </w:tc>
      </w:tr>
      <w:tr w:rsidR="001002C3" w:rsidRPr="007122AB" w14:paraId="094A2A04" w14:textId="77777777">
        <w:tc>
          <w:tcPr>
            <w:tcW w:w="1024" w:type="dxa"/>
          </w:tcPr>
          <w:p w14:paraId="74BB44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(НД-37С)</w:t>
            </w:r>
          </w:p>
        </w:tc>
        <w:tc>
          <w:tcPr>
            <w:tcW w:w="1024" w:type="dxa"/>
          </w:tcPr>
          <w:p w14:paraId="4F3598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DA8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CBE4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459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389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0AE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3578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переноса мотора вперед. Выйдет</w:t>
            </w:r>
          </w:p>
        </w:tc>
      </w:tr>
      <w:tr w:rsidR="001002C3" w:rsidRPr="007122AB" w14:paraId="285C34E5" w14:textId="77777777">
        <w:tc>
          <w:tcPr>
            <w:tcW w:w="1024" w:type="dxa"/>
          </w:tcPr>
          <w:p w14:paraId="7D3A98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860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B7F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E81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B0F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FE1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7DD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02D2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в середине июля</w:t>
            </w:r>
          </w:p>
        </w:tc>
      </w:tr>
      <w:tr w:rsidR="001002C3" w:rsidRPr="007122AB" w14:paraId="7547C805" w14:textId="77777777">
        <w:tc>
          <w:tcPr>
            <w:tcW w:w="1024" w:type="dxa"/>
          </w:tcPr>
          <w:p w14:paraId="7465F5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A23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29F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D01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96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F43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84E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8C1D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17628B61" w14:textId="77777777">
        <w:tc>
          <w:tcPr>
            <w:tcW w:w="1024" w:type="dxa"/>
          </w:tcPr>
          <w:p w14:paraId="5DD15A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1024" w:type="dxa"/>
          </w:tcPr>
          <w:p w14:paraId="4376D1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405690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895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6EB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00E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3AE3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43F0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ВОХИМУ продолжает работы по </w:t>
            </w:r>
            <w:proofErr w:type="spellStart"/>
            <w:r w:rsidRPr="007122AB">
              <w:rPr>
                <w:rFonts w:ascii="Times New Roman" w:hAnsi="Times New Roman"/>
                <w:color w:val="000000" w:themeColor="text1"/>
                <w:sz w:val="16"/>
                <w:szCs w:val="16"/>
              </w:rPr>
              <w:t>приспос</w:t>
            </w:r>
            <w:proofErr w:type="spellEnd"/>
            <w:r w:rsidRPr="007122AB">
              <w:rPr>
                <w:rFonts w:ascii="Times New Roman" w:hAnsi="Times New Roman"/>
                <w:color w:val="000000" w:themeColor="text1"/>
                <w:sz w:val="16"/>
                <w:szCs w:val="16"/>
              </w:rPr>
              <w:t>.</w:t>
            </w:r>
          </w:p>
        </w:tc>
      </w:tr>
      <w:tr w:rsidR="001002C3" w:rsidRPr="007122AB" w14:paraId="7969468E" w14:textId="77777777">
        <w:tc>
          <w:tcPr>
            <w:tcW w:w="1024" w:type="dxa"/>
          </w:tcPr>
          <w:p w14:paraId="3A89BA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9AF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7C4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39A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1C5C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1DE7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F0A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7089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Работы не ведутся</w:t>
            </w:r>
          </w:p>
        </w:tc>
      </w:tr>
      <w:tr w:rsidR="001002C3" w:rsidRPr="007122AB" w14:paraId="7C1320E1" w14:textId="77777777">
        <w:tc>
          <w:tcPr>
            <w:tcW w:w="1024" w:type="dxa"/>
          </w:tcPr>
          <w:p w14:paraId="56C4AB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024" w:type="dxa"/>
          </w:tcPr>
          <w:p w14:paraId="51F7E9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2ECE09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466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AE4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91E5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F16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ED4F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Передан в БОК ЦАГИ. Работы по доводке</w:t>
            </w:r>
          </w:p>
        </w:tc>
      </w:tr>
      <w:tr w:rsidR="001002C3" w:rsidRPr="007122AB" w14:paraId="5C016C4B" w14:textId="77777777">
        <w:tc>
          <w:tcPr>
            <w:tcW w:w="1024" w:type="dxa"/>
          </w:tcPr>
          <w:p w14:paraId="04E14D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Горелова</w:t>
            </w:r>
          </w:p>
        </w:tc>
        <w:tc>
          <w:tcPr>
            <w:tcW w:w="1024" w:type="dxa"/>
          </w:tcPr>
          <w:p w14:paraId="52651C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FF7D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5C8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A599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19B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A9C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91F2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закончатся к 1 августа 1931</w:t>
            </w:r>
          </w:p>
        </w:tc>
      </w:tr>
      <w:tr w:rsidR="001002C3" w:rsidRPr="007122AB" w14:paraId="10702A57" w14:textId="77777777">
        <w:tc>
          <w:tcPr>
            <w:tcW w:w="1024" w:type="dxa"/>
          </w:tcPr>
          <w:p w14:paraId="3DA450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мотор</w:t>
            </w:r>
          </w:p>
        </w:tc>
        <w:tc>
          <w:tcPr>
            <w:tcW w:w="1024" w:type="dxa"/>
          </w:tcPr>
          <w:p w14:paraId="63AFA9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A8C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FF13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C8B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9E2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8BF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A23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D9194C" w14:textId="77777777">
        <w:tc>
          <w:tcPr>
            <w:tcW w:w="1024" w:type="dxa"/>
          </w:tcPr>
          <w:p w14:paraId="3A1501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Вальтер</w:t>
            </w:r>
          </w:p>
        </w:tc>
        <w:tc>
          <w:tcPr>
            <w:tcW w:w="1024" w:type="dxa"/>
          </w:tcPr>
          <w:p w14:paraId="52F215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539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8E6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84B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C6F0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506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14E6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D37E1FB" w14:textId="77777777">
        <w:tc>
          <w:tcPr>
            <w:tcW w:w="1024" w:type="dxa"/>
          </w:tcPr>
          <w:p w14:paraId="6DAC64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c>
          <w:tcPr>
            <w:tcW w:w="1024" w:type="dxa"/>
          </w:tcPr>
          <w:p w14:paraId="09A417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87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C951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46B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AD5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D16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03CF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A876DD0" w14:textId="77777777">
        <w:tc>
          <w:tcPr>
            <w:tcW w:w="1024" w:type="dxa"/>
          </w:tcPr>
          <w:p w14:paraId="23E52B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024" w:type="dxa"/>
          </w:tcPr>
          <w:p w14:paraId="29D329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24F827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C19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755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14C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D6EC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3417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переданы в БОК ЦАГИ. К доводке</w:t>
            </w:r>
          </w:p>
        </w:tc>
      </w:tr>
      <w:tr w:rsidR="001002C3" w:rsidRPr="007122AB" w14:paraId="48A74581" w14:textId="77777777">
        <w:tc>
          <w:tcPr>
            <w:tcW w:w="1024" w:type="dxa"/>
          </w:tcPr>
          <w:p w14:paraId="488CA8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"Парабола"</w:t>
            </w:r>
          </w:p>
        </w:tc>
        <w:tc>
          <w:tcPr>
            <w:tcW w:w="1024" w:type="dxa"/>
          </w:tcPr>
          <w:p w14:paraId="572F75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6A1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68B7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5053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9A0C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005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3E7F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приступлено из-за отсутствия ИТР</w:t>
            </w:r>
          </w:p>
        </w:tc>
      </w:tr>
      <w:tr w:rsidR="001002C3" w:rsidRPr="007122AB" w14:paraId="2F099C69" w14:textId="77777777">
        <w:tc>
          <w:tcPr>
            <w:tcW w:w="1024" w:type="dxa"/>
          </w:tcPr>
          <w:p w14:paraId="542242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1024" w:type="dxa"/>
          </w:tcPr>
          <w:p w14:paraId="414EA9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D9B1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320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86A8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992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BFE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CE8D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9B8B626" w14:textId="77777777">
        <w:tc>
          <w:tcPr>
            <w:tcW w:w="1024" w:type="dxa"/>
          </w:tcPr>
          <w:p w14:paraId="1EC225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c>
          <w:tcPr>
            <w:tcW w:w="1024" w:type="dxa"/>
          </w:tcPr>
          <w:p w14:paraId="1914A4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9BD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877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3D5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F39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0D5E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E008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5057C9" w14:textId="77777777">
        <w:tc>
          <w:tcPr>
            <w:tcW w:w="1024" w:type="dxa"/>
          </w:tcPr>
          <w:p w14:paraId="6E30B4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И4-ЮVI</w:t>
            </w:r>
          </w:p>
        </w:tc>
        <w:tc>
          <w:tcPr>
            <w:tcW w:w="1024" w:type="dxa"/>
          </w:tcPr>
          <w:p w14:paraId="5D925D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5318C8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C91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987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B7D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64E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EAEB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заканчивает переделку самолета.</w:t>
            </w:r>
          </w:p>
        </w:tc>
      </w:tr>
      <w:tr w:rsidR="001002C3" w:rsidRPr="007122AB" w14:paraId="1BC918E1" w14:textId="77777777">
        <w:tc>
          <w:tcPr>
            <w:tcW w:w="1024" w:type="dxa"/>
          </w:tcPr>
          <w:p w14:paraId="7B4489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моноплан</w:t>
            </w:r>
          </w:p>
        </w:tc>
        <w:tc>
          <w:tcPr>
            <w:tcW w:w="1024" w:type="dxa"/>
          </w:tcPr>
          <w:p w14:paraId="0F6801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EA3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A03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DCD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F62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7A4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FCAE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над вариантами с разрезными</w:t>
            </w:r>
          </w:p>
        </w:tc>
      </w:tr>
      <w:tr w:rsidR="001002C3" w:rsidRPr="007122AB" w14:paraId="5D1D701F" w14:textId="77777777">
        <w:tc>
          <w:tcPr>
            <w:tcW w:w="1024" w:type="dxa"/>
          </w:tcPr>
          <w:p w14:paraId="0CCC1F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0DE00D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41F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A39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E1F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DE1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4A0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FD43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крыльями, срок - 10 августа 1931 для</w:t>
            </w:r>
          </w:p>
        </w:tc>
      </w:tr>
      <w:tr w:rsidR="001002C3" w:rsidRPr="007122AB" w14:paraId="37D5028F" w14:textId="77777777">
        <w:tc>
          <w:tcPr>
            <w:tcW w:w="1024" w:type="dxa"/>
          </w:tcPr>
          <w:p w14:paraId="4D633E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6B8F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D2D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4F1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D6CC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B29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A71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E874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метал. крыла и 25 сентября - для</w:t>
            </w:r>
          </w:p>
        </w:tc>
      </w:tr>
      <w:tr w:rsidR="001002C3" w:rsidRPr="007122AB" w14:paraId="07A9C4E1" w14:textId="77777777">
        <w:tc>
          <w:tcPr>
            <w:tcW w:w="1024" w:type="dxa"/>
          </w:tcPr>
          <w:p w14:paraId="01D002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F71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4B4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62E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DF8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1FF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FEF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B70E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деревянного</w:t>
            </w:r>
          </w:p>
        </w:tc>
      </w:tr>
      <w:tr w:rsidR="001002C3" w:rsidRPr="007122AB" w14:paraId="5FF7430C" w14:textId="77777777">
        <w:tc>
          <w:tcPr>
            <w:tcW w:w="1024" w:type="dxa"/>
          </w:tcPr>
          <w:p w14:paraId="16F29E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1024" w:type="dxa"/>
          </w:tcPr>
          <w:p w14:paraId="74AD74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186/0</w:t>
            </w:r>
          </w:p>
        </w:tc>
        <w:tc>
          <w:tcPr>
            <w:tcW w:w="1024" w:type="dxa"/>
          </w:tcPr>
          <w:p w14:paraId="3D54C9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w:t>
            </w:r>
          </w:p>
        </w:tc>
        <w:tc>
          <w:tcPr>
            <w:tcW w:w="1024" w:type="dxa"/>
          </w:tcPr>
          <w:p w14:paraId="78C23D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3520</w:t>
            </w:r>
          </w:p>
        </w:tc>
        <w:tc>
          <w:tcPr>
            <w:tcW w:w="1024" w:type="dxa"/>
          </w:tcPr>
          <w:p w14:paraId="4EAC7B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спарен.</w:t>
            </w:r>
          </w:p>
        </w:tc>
        <w:tc>
          <w:tcPr>
            <w:tcW w:w="1024" w:type="dxa"/>
          </w:tcPr>
          <w:p w14:paraId="4A1659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6C42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3A41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Производятся испытания в Севастополе на</w:t>
            </w:r>
          </w:p>
        </w:tc>
      </w:tr>
      <w:tr w:rsidR="001002C3" w:rsidRPr="007122AB" w14:paraId="1ED02BC5" w14:textId="77777777">
        <w:tc>
          <w:tcPr>
            <w:tcW w:w="1024" w:type="dxa"/>
          </w:tcPr>
          <w:p w14:paraId="2BD407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установлен.</w:t>
            </w:r>
          </w:p>
        </w:tc>
        <w:tc>
          <w:tcPr>
            <w:tcW w:w="1024" w:type="dxa"/>
          </w:tcPr>
          <w:p w14:paraId="0020CE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5909A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360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4A5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установки</w:t>
            </w:r>
          </w:p>
        </w:tc>
        <w:tc>
          <w:tcPr>
            <w:tcW w:w="1024" w:type="dxa"/>
          </w:tcPr>
          <w:p w14:paraId="011AAE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44F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C54A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поплавках Шорта. Окончание - к 10 августа.</w:t>
            </w:r>
          </w:p>
        </w:tc>
      </w:tr>
      <w:tr w:rsidR="001002C3" w:rsidRPr="007122AB" w14:paraId="6C7DDC79" w14:textId="77777777">
        <w:tc>
          <w:tcPr>
            <w:tcW w:w="1024" w:type="dxa"/>
          </w:tcPr>
          <w:p w14:paraId="332BDD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поплавки</w:t>
            </w:r>
          </w:p>
        </w:tc>
        <w:tc>
          <w:tcPr>
            <w:tcW w:w="1024" w:type="dxa"/>
          </w:tcPr>
          <w:p w14:paraId="34DDC6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0A7E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4EA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986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w:t>
            </w:r>
          </w:p>
        </w:tc>
        <w:tc>
          <w:tcPr>
            <w:tcW w:w="1024" w:type="dxa"/>
          </w:tcPr>
          <w:p w14:paraId="373E1F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5DC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2F7A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Задержка из-за дефектов М-17, </w:t>
            </w: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переб</w:t>
            </w:r>
            <w:proofErr w:type="spellEnd"/>
            <w:r w:rsidRPr="007122AB">
              <w:rPr>
                <w:rFonts w:ascii="Times New Roman" w:hAnsi="Times New Roman"/>
                <w:color w:val="000000" w:themeColor="text1"/>
                <w:sz w:val="16"/>
                <w:szCs w:val="16"/>
              </w:rPr>
              <w:t>.</w:t>
            </w:r>
          </w:p>
        </w:tc>
      </w:tr>
      <w:tr w:rsidR="001002C3" w:rsidRPr="007122AB" w14:paraId="52153B6C" w14:textId="77777777">
        <w:tc>
          <w:tcPr>
            <w:tcW w:w="1024" w:type="dxa"/>
          </w:tcPr>
          <w:p w14:paraId="337FF8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7E91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3E1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BE1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447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136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24E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FBD4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предв</w:t>
            </w:r>
            <w:proofErr w:type="spellEnd"/>
            <w:r w:rsidRPr="007122AB">
              <w:rPr>
                <w:rFonts w:ascii="Times New Roman" w:hAnsi="Times New Roman"/>
                <w:color w:val="000000" w:themeColor="text1"/>
                <w:sz w:val="16"/>
                <w:szCs w:val="16"/>
              </w:rPr>
              <w:t xml:space="preserve">. сведениям поведение - </w:t>
            </w:r>
            <w:proofErr w:type="spellStart"/>
            <w:r w:rsidRPr="007122AB">
              <w:rPr>
                <w:rFonts w:ascii="Times New Roman" w:hAnsi="Times New Roman"/>
                <w:color w:val="000000" w:themeColor="text1"/>
                <w:sz w:val="16"/>
                <w:szCs w:val="16"/>
              </w:rPr>
              <w:t>удовлетв</w:t>
            </w:r>
            <w:proofErr w:type="spellEnd"/>
            <w:r w:rsidRPr="007122AB">
              <w:rPr>
                <w:rFonts w:ascii="Times New Roman" w:hAnsi="Times New Roman"/>
                <w:color w:val="000000" w:themeColor="text1"/>
                <w:sz w:val="16"/>
                <w:szCs w:val="16"/>
              </w:rPr>
              <w:t>.</w:t>
            </w:r>
          </w:p>
        </w:tc>
      </w:tr>
      <w:tr w:rsidR="001002C3" w:rsidRPr="007122AB" w14:paraId="3840DC57" w14:textId="77777777">
        <w:tc>
          <w:tcPr>
            <w:tcW w:w="1024" w:type="dxa"/>
          </w:tcPr>
          <w:p w14:paraId="13958C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E9F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9B5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7462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F52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B67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615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1713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осталось испытать на увеличенной</w:t>
            </w:r>
          </w:p>
        </w:tc>
      </w:tr>
      <w:tr w:rsidR="001002C3" w:rsidRPr="007122AB" w14:paraId="007FF4EF" w14:textId="77777777">
        <w:tc>
          <w:tcPr>
            <w:tcW w:w="1024" w:type="dxa"/>
          </w:tcPr>
          <w:p w14:paraId="2B51BA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57E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4F2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CFF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AB2A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8D6F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78F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099A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волне с перегрузкой.</w:t>
            </w:r>
          </w:p>
        </w:tc>
      </w:tr>
      <w:tr w:rsidR="001002C3" w:rsidRPr="007122AB" w14:paraId="2BCBAE04" w14:textId="77777777">
        <w:tc>
          <w:tcPr>
            <w:tcW w:w="1024" w:type="dxa"/>
          </w:tcPr>
          <w:p w14:paraId="47E421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EDEF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F7AF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167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B71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8BF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931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51CA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Сложности с изготовлением поплавков на 31</w:t>
            </w:r>
          </w:p>
        </w:tc>
      </w:tr>
      <w:tr w:rsidR="001002C3" w:rsidRPr="007122AB" w14:paraId="30DBE04A" w14:textId="77777777">
        <w:tc>
          <w:tcPr>
            <w:tcW w:w="1024" w:type="dxa"/>
          </w:tcPr>
          <w:p w14:paraId="3FDF9D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848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C7D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5A2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5D1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344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531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F681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заводе. Первая пара - к январю 1932, а ост.</w:t>
            </w:r>
          </w:p>
        </w:tc>
      </w:tr>
      <w:tr w:rsidR="001002C3" w:rsidRPr="007122AB" w14:paraId="35D01998" w14:textId="77777777">
        <w:tc>
          <w:tcPr>
            <w:tcW w:w="1024" w:type="dxa"/>
          </w:tcPr>
          <w:p w14:paraId="7E384C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402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11B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EBB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D6C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530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B9C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59EC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 к июлю 1932 из-за отсутствия кадров. 24</w:t>
            </w:r>
          </w:p>
        </w:tc>
      </w:tr>
      <w:tr w:rsidR="001002C3" w:rsidRPr="007122AB" w14:paraId="5322CF37" w14:textId="77777777">
        <w:tc>
          <w:tcPr>
            <w:tcW w:w="1024" w:type="dxa"/>
          </w:tcPr>
          <w:p w14:paraId="0B72A9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4E4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D51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3D0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F02A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A65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E26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ED49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июля намечен перегон в Таганрог</w:t>
            </w:r>
          </w:p>
        </w:tc>
      </w:tr>
      <w:tr w:rsidR="001002C3" w:rsidRPr="007122AB" w14:paraId="44AE48EC" w14:textId="77777777">
        <w:tc>
          <w:tcPr>
            <w:tcW w:w="1024" w:type="dxa"/>
          </w:tcPr>
          <w:p w14:paraId="797457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024" w:type="dxa"/>
          </w:tcPr>
          <w:p w14:paraId="7F4FD5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0A7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A04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1C6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E249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26E1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3430" w:type="dxa"/>
          </w:tcPr>
          <w:p w14:paraId="1D9DAA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апреля в намеченный срок производством</w:t>
            </w:r>
          </w:p>
        </w:tc>
      </w:tr>
      <w:tr w:rsidR="001002C3" w:rsidRPr="007122AB" w14:paraId="5DBC5A47" w14:textId="77777777">
        <w:tc>
          <w:tcPr>
            <w:tcW w:w="1024" w:type="dxa"/>
          </w:tcPr>
          <w:p w14:paraId="6D3066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поплавках</w:t>
            </w:r>
          </w:p>
        </w:tc>
        <w:tc>
          <w:tcPr>
            <w:tcW w:w="1024" w:type="dxa"/>
          </w:tcPr>
          <w:p w14:paraId="74D4F0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3C2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653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C53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AE6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043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E7FF3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незакончен из-за недостатка внимания</w:t>
            </w:r>
          </w:p>
        </w:tc>
      </w:tr>
      <w:tr w:rsidR="001002C3" w:rsidRPr="007122AB" w14:paraId="24028FE1" w14:textId="77777777">
        <w:tc>
          <w:tcPr>
            <w:tcW w:w="1024" w:type="dxa"/>
          </w:tcPr>
          <w:p w14:paraId="1DE037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0DD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A65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3EF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5E8D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6BA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CDF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84AD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 стороны ЦКБ. закончены </w:t>
            </w:r>
            <w:proofErr w:type="spellStart"/>
            <w:r w:rsidRPr="007122AB">
              <w:rPr>
                <w:rFonts w:ascii="Times New Roman" w:hAnsi="Times New Roman"/>
                <w:color w:val="000000" w:themeColor="text1"/>
                <w:sz w:val="16"/>
                <w:szCs w:val="16"/>
              </w:rPr>
              <w:t>конструктвные</w:t>
            </w:r>
            <w:proofErr w:type="spellEnd"/>
          </w:p>
        </w:tc>
      </w:tr>
      <w:tr w:rsidR="001002C3" w:rsidRPr="007122AB" w14:paraId="32C887F1" w14:textId="77777777">
        <w:tc>
          <w:tcPr>
            <w:tcW w:w="1024" w:type="dxa"/>
          </w:tcPr>
          <w:p w14:paraId="115671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4074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2C7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84D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1432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3B1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3D2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16C6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чертежи и сданы в производство. Пр-во</w:t>
            </w:r>
          </w:p>
        </w:tc>
      </w:tr>
      <w:tr w:rsidR="001002C3" w:rsidRPr="007122AB" w14:paraId="26823824" w14:textId="77777777">
        <w:tc>
          <w:tcPr>
            <w:tcW w:w="1024" w:type="dxa"/>
          </w:tcPr>
          <w:p w14:paraId="5213F1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B84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403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18A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4E3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753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921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A999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поплавков сдано на завод 28. Срок гот.</w:t>
            </w:r>
          </w:p>
        </w:tc>
      </w:tr>
      <w:tr w:rsidR="001002C3" w:rsidRPr="007122AB" w14:paraId="1D2736AB" w14:textId="77777777">
        <w:tc>
          <w:tcPr>
            <w:tcW w:w="1024" w:type="dxa"/>
          </w:tcPr>
          <w:p w14:paraId="6CB095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5B49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2E70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9E1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8F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C80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F31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2637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w:t>
            </w:r>
          </w:p>
        </w:tc>
      </w:tr>
      <w:tr w:rsidR="001002C3" w:rsidRPr="007122AB" w14:paraId="2A76C21E" w14:textId="77777777">
        <w:tc>
          <w:tcPr>
            <w:tcW w:w="1024" w:type="dxa"/>
          </w:tcPr>
          <w:p w14:paraId="0468FA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1-ВГ</w:t>
            </w:r>
          </w:p>
        </w:tc>
        <w:tc>
          <w:tcPr>
            <w:tcW w:w="1024" w:type="dxa"/>
          </w:tcPr>
          <w:p w14:paraId="4A709C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0E7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7A4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F44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CA6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DC3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41A5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Совершил 2 удачных полета до 20-25 м, при</w:t>
            </w:r>
          </w:p>
        </w:tc>
      </w:tr>
      <w:tr w:rsidR="001002C3" w:rsidRPr="007122AB" w14:paraId="697711C7" w14:textId="77777777">
        <w:tc>
          <w:tcPr>
            <w:tcW w:w="1024" w:type="dxa"/>
          </w:tcPr>
          <w:p w14:paraId="2901CF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w:t>
            </w:r>
          </w:p>
        </w:tc>
        <w:tc>
          <w:tcPr>
            <w:tcW w:w="1024" w:type="dxa"/>
          </w:tcPr>
          <w:p w14:paraId="4585B3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E2C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BD8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810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DDF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3A6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0C6B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посадке поломал лопасти и фюзеляж. Ведется</w:t>
            </w:r>
          </w:p>
        </w:tc>
      </w:tr>
      <w:tr w:rsidR="001002C3" w:rsidRPr="007122AB" w14:paraId="424D1368" w14:textId="77777777">
        <w:tc>
          <w:tcPr>
            <w:tcW w:w="1024" w:type="dxa"/>
          </w:tcPr>
          <w:p w14:paraId="17F1E6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787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6A8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4FE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9EE4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B94B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85B9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1C71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срочный ремонт</w:t>
            </w:r>
          </w:p>
        </w:tc>
      </w:tr>
      <w:tr w:rsidR="001002C3" w:rsidRPr="007122AB" w14:paraId="13A7DD11" w14:textId="77777777">
        <w:tc>
          <w:tcPr>
            <w:tcW w:w="1024" w:type="dxa"/>
          </w:tcPr>
          <w:p w14:paraId="21EE4E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3BF1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C9E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B0E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C4C6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3A4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19C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DCB2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Квитко</w:t>
            </w:r>
          </w:p>
        </w:tc>
      </w:tr>
      <w:tr w:rsidR="001002C3" w:rsidRPr="007122AB" w14:paraId="68056359" w14:textId="77777777">
        <w:tc>
          <w:tcPr>
            <w:tcW w:w="1024" w:type="dxa"/>
          </w:tcPr>
          <w:p w14:paraId="29D893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Вертолет</w:t>
            </w:r>
          </w:p>
        </w:tc>
        <w:tc>
          <w:tcPr>
            <w:tcW w:w="1024" w:type="dxa"/>
          </w:tcPr>
          <w:p w14:paraId="748ECE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8FA1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3EEB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C00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56F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766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E1D0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Установлен мотор Титан. С новым мотором</w:t>
            </w:r>
          </w:p>
        </w:tc>
      </w:tr>
      <w:tr w:rsidR="001002C3" w:rsidRPr="007122AB" w14:paraId="0779499D" w14:textId="77777777">
        <w:tc>
          <w:tcPr>
            <w:tcW w:w="1024" w:type="dxa"/>
          </w:tcPr>
          <w:p w14:paraId="31C13C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w:t>
            </w:r>
          </w:p>
        </w:tc>
        <w:tc>
          <w:tcPr>
            <w:tcW w:w="1024" w:type="dxa"/>
          </w:tcPr>
          <w:p w14:paraId="5D38EF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943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A59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B6EA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4BC2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64C7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488D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 ряд полетов в р-не аэродрома,</w:t>
            </w:r>
          </w:p>
        </w:tc>
      </w:tr>
      <w:tr w:rsidR="001002C3" w:rsidRPr="007122AB" w14:paraId="30BB02E9" w14:textId="77777777">
        <w:tc>
          <w:tcPr>
            <w:tcW w:w="1024" w:type="dxa"/>
          </w:tcPr>
          <w:p w14:paraId="5309CC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340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BC6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3B34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811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569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146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DE7F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достигнута высота 100 м. Работы перед.</w:t>
            </w:r>
          </w:p>
        </w:tc>
      </w:tr>
      <w:tr w:rsidR="001002C3" w:rsidRPr="007122AB" w14:paraId="38E6341C" w14:textId="77777777">
        <w:tc>
          <w:tcPr>
            <w:tcW w:w="1024" w:type="dxa"/>
          </w:tcPr>
          <w:p w14:paraId="116B6B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04D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684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B60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317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835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C5DA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634F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БОК ЦАГИ</w:t>
            </w:r>
          </w:p>
        </w:tc>
      </w:tr>
      <w:tr w:rsidR="001002C3" w:rsidRPr="007122AB" w14:paraId="668B9207" w14:textId="77777777">
        <w:tc>
          <w:tcPr>
            <w:tcW w:w="1024" w:type="dxa"/>
          </w:tcPr>
          <w:p w14:paraId="7269E8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581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980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1EF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7E86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AE5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3688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1D77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Кравцов.</w:t>
            </w:r>
          </w:p>
        </w:tc>
      </w:tr>
      <w:tr w:rsidR="001002C3" w:rsidRPr="007122AB" w14:paraId="12238AFC" w14:textId="77777777">
        <w:tc>
          <w:tcPr>
            <w:tcW w:w="1024" w:type="dxa"/>
          </w:tcPr>
          <w:p w14:paraId="136DFA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МДР2-2БМВVI</w:t>
            </w:r>
          </w:p>
        </w:tc>
        <w:tc>
          <w:tcPr>
            <w:tcW w:w="1024" w:type="dxa"/>
          </w:tcPr>
          <w:p w14:paraId="7D2A00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ном. 118</w:t>
            </w:r>
          </w:p>
        </w:tc>
        <w:tc>
          <w:tcPr>
            <w:tcW w:w="1024" w:type="dxa"/>
          </w:tcPr>
          <w:p w14:paraId="4F51A7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39,75 м/</w:t>
            </w:r>
          </w:p>
        </w:tc>
        <w:tc>
          <w:tcPr>
            <w:tcW w:w="1024" w:type="dxa"/>
          </w:tcPr>
          <w:p w14:paraId="0A8B28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3330</w:t>
            </w:r>
          </w:p>
        </w:tc>
        <w:tc>
          <w:tcPr>
            <w:tcW w:w="1024" w:type="dxa"/>
          </w:tcPr>
          <w:p w14:paraId="17A2A0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4F50E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w:t>
            </w:r>
          </w:p>
        </w:tc>
        <w:tc>
          <w:tcPr>
            <w:tcW w:w="1024" w:type="dxa"/>
          </w:tcPr>
          <w:p w14:paraId="582996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4E89A8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в НИИ полностью не закончены</w:t>
            </w:r>
          </w:p>
        </w:tc>
      </w:tr>
      <w:tr w:rsidR="001002C3" w:rsidRPr="007122AB" w14:paraId="5617B519" w14:textId="77777777">
        <w:tc>
          <w:tcPr>
            <w:tcW w:w="1024" w:type="dxa"/>
          </w:tcPr>
          <w:p w14:paraId="7897A0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Е-6</w:t>
            </w:r>
          </w:p>
        </w:tc>
        <w:tc>
          <w:tcPr>
            <w:tcW w:w="1024" w:type="dxa"/>
          </w:tcPr>
          <w:p w14:paraId="6BE480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82A02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75B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B9B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в</w:t>
            </w:r>
          </w:p>
        </w:tc>
        <w:tc>
          <w:tcPr>
            <w:tcW w:w="1024" w:type="dxa"/>
          </w:tcPr>
          <w:p w14:paraId="61FC02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EB8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15FAEB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т.к. </w:t>
            </w:r>
            <w:proofErr w:type="spellStart"/>
            <w:r w:rsidRPr="007122AB">
              <w:rPr>
                <w:rFonts w:ascii="Times New Roman" w:hAnsi="Times New Roman"/>
                <w:color w:val="000000" w:themeColor="text1"/>
                <w:sz w:val="16"/>
                <w:szCs w:val="16"/>
              </w:rPr>
              <w:t>подк</w:t>
            </w:r>
            <w:proofErr w:type="spellEnd"/>
            <w:r w:rsidRPr="007122AB">
              <w:rPr>
                <w:rFonts w:ascii="Times New Roman" w:hAnsi="Times New Roman"/>
                <w:color w:val="000000" w:themeColor="text1"/>
                <w:sz w:val="16"/>
                <w:szCs w:val="16"/>
              </w:rPr>
              <w:t xml:space="preserve">. поплавки оказались </w:t>
            </w:r>
            <w:proofErr w:type="spellStart"/>
            <w:r w:rsidRPr="007122AB">
              <w:rPr>
                <w:rFonts w:ascii="Times New Roman" w:hAnsi="Times New Roman"/>
                <w:color w:val="000000" w:themeColor="text1"/>
                <w:sz w:val="16"/>
                <w:szCs w:val="16"/>
              </w:rPr>
              <w:t>недост</w:t>
            </w:r>
            <w:proofErr w:type="spellEnd"/>
            <w:r w:rsidRPr="007122AB">
              <w:rPr>
                <w:rFonts w:ascii="Times New Roman" w:hAnsi="Times New Roman"/>
                <w:color w:val="000000" w:themeColor="text1"/>
                <w:sz w:val="16"/>
                <w:szCs w:val="16"/>
              </w:rPr>
              <w:t>.</w:t>
            </w:r>
          </w:p>
        </w:tc>
      </w:tr>
      <w:tr w:rsidR="001002C3" w:rsidRPr="007122AB" w14:paraId="3BD79E91" w14:textId="77777777">
        <w:tc>
          <w:tcPr>
            <w:tcW w:w="1024" w:type="dxa"/>
          </w:tcPr>
          <w:p w14:paraId="668B71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0E8C1B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344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4BC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0ED6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7A3D95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120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9EE5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объема. Решается вопрос о серийной</w:t>
            </w:r>
          </w:p>
        </w:tc>
      </w:tr>
      <w:tr w:rsidR="001002C3" w:rsidRPr="007122AB" w14:paraId="44321270" w14:textId="77777777">
        <w:tc>
          <w:tcPr>
            <w:tcW w:w="1024" w:type="dxa"/>
          </w:tcPr>
          <w:p w14:paraId="59EB01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79F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94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CB3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8505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перегруз.</w:t>
            </w:r>
          </w:p>
        </w:tc>
        <w:tc>
          <w:tcPr>
            <w:tcW w:w="1024" w:type="dxa"/>
          </w:tcPr>
          <w:p w14:paraId="0B2362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34D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46F5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постройке. При принятии на вооружение</w:t>
            </w:r>
          </w:p>
        </w:tc>
      </w:tr>
      <w:tr w:rsidR="001002C3" w:rsidRPr="007122AB" w14:paraId="530AC9AE" w14:textId="77777777">
        <w:tc>
          <w:tcPr>
            <w:tcW w:w="1024" w:type="dxa"/>
          </w:tcPr>
          <w:p w14:paraId="4FFA1B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A05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3F0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4B5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15E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4х250 или</w:t>
            </w:r>
          </w:p>
        </w:tc>
        <w:tc>
          <w:tcPr>
            <w:tcW w:w="1024" w:type="dxa"/>
          </w:tcPr>
          <w:p w14:paraId="1A5809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EBA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C3A7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проведено снижение крыла для</w:t>
            </w:r>
          </w:p>
        </w:tc>
      </w:tr>
      <w:tr w:rsidR="001002C3" w:rsidRPr="007122AB" w14:paraId="20680FA9" w14:textId="77777777">
        <w:tc>
          <w:tcPr>
            <w:tcW w:w="1024" w:type="dxa"/>
          </w:tcPr>
          <w:p w14:paraId="5FE80B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1E2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33E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CF2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7307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2х250 и</w:t>
            </w:r>
          </w:p>
        </w:tc>
        <w:tc>
          <w:tcPr>
            <w:tcW w:w="1024" w:type="dxa"/>
          </w:tcPr>
          <w:p w14:paraId="3EE5B6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930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0A62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улучшения обзора пилота при полетах</w:t>
            </w:r>
          </w:p>
        </w:tc>
      </w:tr>
      <w:tr w:rsidR="001002C3" w:rsidRPr="007122AB" w14:paraId="3D1E1FE8" w14:textId="77777777">
        <w:tc>
          <w:tcPr>
            <w:tcW w:w="1024" w:type="dxa"/>
          </w:tcPr>
          <w:p w14:paraId="532D9B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A578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387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EEE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30E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4х100</w:t>
            </w:r>
          </w:p>
        </w:tc>
        <w:tc>
          <w:tcPr>
            <w:tcW w:w="1024" w:type="dxa"/>
          </w:tcPr>
          <w:p w14:paraId="49E396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163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F6E7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строю. </w:t>
            </w:r>
            <w:proofErr w:type="spellStart"/>
            <w:r w:rsidRPr="007122AB">
              <w:rPr>
                <w:rFonts w:ascii="Times New Roman" w:hAnsi="Times New Roman"/>
                <w:color w:val="000000" w:themeColor="text1"/>
                <w:sz w:val="16"/>
                <w:szCs w:val="16"/>
              </w:rPr>
              <w:t>Изгот</w:t>
            </w:r>
            <w:proofErr w:type="spellEnd"/>
            <w:r w:rsidRPr="007122AB">
              <w:rPr>
                <w:rFonts w:ascii="Times New Roman" w:hAnsi="Times New Roman"/>
                <w:color w:val="000000" w:themeColor="text1"/>
                <w:sz w:val="16"/>
                <w:szCs w:val="16"/>
              </w:rPr>
              <w:t xml:space="preserve">. новые </w:t>
            </w:r>
            <w:proofErr w:type="spellStart"/>
            <w:r w:rsidRPr="007122AB">
              <w:rPr>
                <w:rFonts w:ascii="Times New Roman" w:hAnsi="Times New Roman"/>
                <w:color w:val="000000" w:themeColor="text1"/>
                <w:sz w:val="16"/>
                <w:szCs w:val="16"/>
              </w:rPr>
              <w:t>подкр</w:t>
            </w:r>
            <w:proofErr w:type="spellEnd"/>
            <w:r w:rsidRPr="007122AB">
              <w:rPr>
                <w:rFonts w:ascii="Times New Roman" w:hAnsi="Times New Roman"/>
                <w:color w:val="000000" w:themeColor="text1"/>
                <w:sz w:val="16"/>
                <w:szCs w:val="16"/>
              </w:rPr>
              <w:t>. поплавки.</w:t>
            </w:r>
          </w:p>
        </w:tc>
      </w:tr>
      <w:tr w:rsidR="001002C3" w:rsidRPr="007122AB" w14:paraId="67D5C981" w14:textId="77777777">
        <w:tc>
          <w:tcPr>
            <w:tcW w:w="1024" w:type="dxa"/>
          </w:tcPr>
          <w:p w14:paraId="47BAE1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F53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16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70A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F75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EF7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875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AAF0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2FF5F6AA" w14:textId="77777777">
        <w:tc>
          <w:tcPr>
            <w:tcW w:w="1024" w:type="dxa"/>
          </w:tcPr>
          <w:p w14:paraId="0FA04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МУ3-М11</w:t>
            </w:r>
          </w:p>
        </w:tc>
        <w:tc>
          <w:tcPr>
            <w:tcW w:w="1024" w:type="dxa"/>
          </w:tcPr>
          <w:p w14:paraId="11CF3C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w:t>
            </w:r>
          </w:p>
        </w:tc>
        <w:tc>
          <w:tcPr>
            <w:tcW w:w="1024" w:type="dxa"/>
          </w:tcPr>
          <w:p w14:paraId="564A86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c>
          <w:tcPr>
            <w:tcW w:w="1024" w:type="dxa"/>
          </w:tcPr>
          <w:p w14:paraId="042380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60F946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EA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6E9C6E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025272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Заканчивается постройкой на 23 - к 15</w:t>
            </w:r>
          </w:p>
        </w:tc>
      </w:tr>
      <w:tr w:rsidR="001002C3" w:rsidRPr="007122AB" w14:paraId="45A58828" w14:textId="77777777">
        <w:tc>
          <w:tcPr>
            <w:tcW w:w="1024" w:type="dxa"/>
          </w:tcPr>
          <w:p w14:paraId="0A04A3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EFEDB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423F3D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901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05E8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806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1024" w:type="dxa"/>
          </w:tcPr>
          <w:p w14:paraId="1EAE5F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229192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июля. В срок не смогли из-за прорывов</w:t>
            </w:r>
          </w:p>
        </w:tc>
      </w:tr>
      <w:tr w:rsidR="001002C3" w:rsidRPr="007122AB" w14:paraId="203404D8" w14:textId="77777777">
        <w:tc>
          <w:tcPr>
            <w:tcW w:w="1024" w:type="dxa"/>
          </w:tcPr>
          <w:p w14:paraId="7A6542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А1-М11</w:t>
            </w:r>
          </w:p>
        </w:tc>
        <w:tc>
          <w:tcPr>
            <w:tcW w:w="1024" w:type="dxa"/>
          </w:tcPr>
          <w:p w14:paraId="19B98A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146/137/</w:t>
            </w:r>
          </w:p>
        </w:tc>
        <w:tc>
          <w:tcPr>
            <w:tcW w:w="1024" w:type="dxa"/>
          </w:tcPr>
          <w:p w14:paraId="7DFBA3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33/50,5/</w:t>
            </w:r>
          </w:p>
        </w:tc>
        <w:tc>
          <w:tcPr>
            <w:tcW w:w="1024" w:type="dxa"/>
          </w:tcPr>
          <w:p w14:paraId="39B01B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3680/</w:t>
            </w:r>
          </w:p>
        </w:tc>
        <w:tc>
          <w:tcPr>
            <w:tcW w:w="1024" w:type="dxa"/>
          </w:tcPr>
          <w:p w14:paraId="341D52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w:t>
            </w:r>
          </w:p>
        </w:tc>
        <w:tc>
          <w:tcPr>
            <w:tcW w:w="1024" w:type="dxa"/>
          </w:tcPr>
          <w:p w14:paraId="63F1E7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5259D9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0AAA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 и испытан в НИИ ВО ГВФ. Обр.</w:t>
            </w:r>
          </w:p>
        </w:tc>
      </w:tr>
      <w:tr w:rsidR="001002C3" w:rsidRPr="007122AB" w14:paraId="0ED1B16E" w14:textId="77777777">
        <w:tc>
          <w:tcPr>
            <w:tcW w:w="1024" w:type="dxa"/>
          </w:tcPr>
          <w:p w14:paraId="06AAA7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5BDACD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74029F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3ABB3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w:t>
            </w:r>
          </w:p>
        </w:tc>
        <w:tc>
          <w:tcPr>
            <w:tcW w:w="1024" w:type="dxa"/>
          </w:tcPr>
          <w:p w14:paraId="0D04B7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C55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1024" w:type="dxa"/>
          </w:tcPr>
          <w:p w14:paraId="3937AB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AF65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испытаний еще не закончена. По </w:t>
            </w:r>
            <w:proofErr w:type="spellStart"/>
            <w:r w:rsidRPr="007122AB">
              <w:rPr>
                <w:rFonts w:ascii="Times New Roman" w:hAnsi="Times New Roman"/>
                <w:color w:val="000000" w:themeColor="text1"/>
                <w:sz w:val="16"/>
                <w:szCs w:val="16"/>
              </w:rPr>
              <w:t>предвар</w:t>
            </w:r>
            <w:proofErr w:type="spellEnd"/>
            <w:r w:rsidRPr="007122AB">
              <w:rPr>
                <w:rFonts w:ascii="Times New Roman" w:hAnsi="Times New Roman"/>
                <w:color w:val="000000" w:themeColor="text1"/>
                <w:sz w:val="16"/>
                <w:szCs w:val="16"/>
              </w:rPr>
              <w:t>.</w:t>
            </w:r>
          </w:p>
        </w:tc>
      </w:tr>
      <w:tr w:rsidR="001002C3" w:rsidRPr="007122AB" w14:paraId="098A9E0F" w14:textId="77777777">
        <w:tc>
          <w:tcPr>
            <w:tcW w:w="1024" w:type="dxa"/>
          </w:tcPr>
          <w:p w14:paraId="1D9085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8B6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029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071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F13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A99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1F9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EB50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данным результаты - удовлетворительные</w:t>
            </w:r>
          </w:p>
        </w:tc>
      </w:tr>
      <w:tr w:rsidR="001002C3" w:rsidRPr="007122AB" w14:paraId="25C08F99" w14:textId="77777777">
        <w:tc>
          <w:tcPr>
            <w:tcW w:w="1024" w:type="dxa"/>
          </w:tcPr>
          <w:p w14:paraId="25DE62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МТБ1-2БМВVI</w:t>
            </w:r>
          </w:p>
        </w:tc>
        <w:tc>
          <w:tcPr>
            <w:tcW w:w="1024" w:type="dxa"/>
          </w:tcPr>
          <w:p w14:paraId="5F763D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170/180/</w:t>
            </w:r>
          </w:p>
        </w:tc>
        <w:tc>
          <w:tcPr>
            <w:tcW w:w="1024" w:type="dxa"/>
          </w:tcPr>
          <w:p w14:paraId="561749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w:t>
            </w:r>
          </w:p>
        </w:tc>
        <w:tc>
          <w:tcPr>
            <w:tcW w:w="1024" w:type="dxa"/>
          </w:tcPr>
          <w:p w14:paraId="567D3A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1D2DF2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06B9C8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204B5B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нояб</w:t>
            </w:r>
            <w:proofErr w:type="spellEnd"/>
            <w:r w:rsidRPr="007122AB">
              <w:rPr>
                <w:rFonts w:ascii="Times New Roman" w:hAnsi="Times New Roman"/>
                <w:color w:val="000000" w:themeColor="text1"/>
                <w:sz w:val="16"/>
                <w:szCs w:val="16"/>
              </w:rPr>
              <w:t>.</w:t>
            </w:r>
          </w:p>
        </w:tc>
        <w:tc>
          <w:tcPr>
            <w:tcW w:w="3430" w:type="dxa"/>
          </w:tcPr>
          <w:p w14:paraId="05F512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с 1 января по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находится</w:t>
            </w:r>
          </w:p>
        </w:tc>
      </w:tr>
      <w:tr w:rsidR="001002C3" w:rsidRPr="007122AB" w14:paraId="303E324C" w14:textId="77777777">
        <w:tc>
          <w:tcPr>
            <w:tcW w:w="1024" w:type="dxa"/>
          </w:tcPr>
          <w:p w14:paraId="6751B5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44A33B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453B1D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7DCA1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3634E8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торпед.</w:t>
            </w:r>
          </w:p>
        </w:tc>
        <w:tc>
          <w:tcPr>
            <w:tcW w:w="1024" w:type="dxa"/>
          </w:tcPr>
          <w:p w14:paraId="26C4D2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полета</w:t>
            </w:r>
          </w:p>
        </w:tc>
        <w:tc>
          <w:tcPr>
            <w:tcW w:w="1024" w:type="dxa"/>
          </w:tcPr>
          <w:p w14:paraId="67CA32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52F230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заводских испытаниях и доводках. В</w:t>
            </w:r>
          </w:p>
        </w:tc>
      </w:tr>
      <w:tr w:rsidR="001002C3" w:rsidRPr="007122AB" w14:paraId="002487C0" w14:textId="77777777">
        <w:tc>
          <w:tcPr>
            <w:tcW w:w="1024" w:type="dxa"/>
          </w:tcPr>
          <w:p w14:paraId="5D1C5E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647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D9DE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2920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0C3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76E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час.</w:t>
            </w:r>
          </w:p>
        </w:tc>
        <w:tc>
          <w:tcPr>
            <w:tcW w:w="1024" w:type="dxa"/>
          </w:tcPr>
          <w:p w14:paraId="024778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EB4E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последний месяц начаты работы по усилен.</w:t>
            </w:r>
          </w:p>
        </w:tc>
      </w:tr>
      <w:tr w:rsidR="001002C3" w:rsidRPr="007122AB" w14:paraId="5EBE512F" w14:textId="77777777">
        <w:tc>
          <w:tcPr>
            <w:tcW w:w="1024" w:type="dxa"/>
          </w:tcPr>
          <w:p w14:paraId="14788D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CE0B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9214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6BA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6A7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22C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D5C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8678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поплавков и шасси. Во время испытаний на</w:t>
            </w:r>
          </w:p>
        </w:tc>
      </w:tr>
      <w:tr w:rsidR="001002C3" w:rsidRPr="007122AB" w14:paraId="6DBF11C5" w14:textId="77777777">
        <w:tc>
          <w:tcPr>
            <w:tcW w:w="1024" w:type="dxa"/>
          </w:tcPr>
          <w:p w14:paraId="463D60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A436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90A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78CC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ADB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6D0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045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00CC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 скорость лопнул шатун и повредил</w:t>
            </w:r>
          </w:p>
        </w:tc>
      </w:tr>
      <w:tr w:rsidR="001002C3" w:rsidRPr="007122AB" w14:paraId="03F07AF0" w14:textId="77777777">
        <w:tc>
          <w:tcPr>
            <w:tcW w:w="1024" w:type="dxa"/>
          </w:tcPr>
          <w:p w14:paraId="56199F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DC3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3424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5B0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991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499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32A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E4D5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xml:space="preserve">. ВАО </w:t>
            </w:r>
            <w:proofErr w:type="spellStart"/>
            <w:r w:rsidRPr="007122AB">
              <w:rPr>
                <w:rFonts w:ascii="Times New Roman" w:hAnsi="Times New Roman"/>
                <w:color w:val="000000" w:themeColor="text1"/>
                <w:sz w:val="16"/>
                <w:szCs w:val="16"/>
              </w:rPr>
              <w:t>предполаг</w:t>
            </w:r>
            <w:proofErr w:type="spellEnd"/>
            <w:r w:rsidRPr="007122AB">
              <w:rPr>
                <w:rFonts w:ascii="Times New Roman" w:hAnsi="Times New Roman"/>
                <w:color w:val="000000" w:themeColor="text1"/>
                <w:sz w:val="16"/>
                <w:szCs w:val="16"/>
              </w:rPr>
              <w:t>. закончить к 1</w:t>
            </w:r>
          </w:p>
        </w:tc>
      </w:tr>
      <w:tr w:rsidR="001002C3" w:rsidRPr="007122AB" w14:paraId="3D1014AB" w14:textId="77777777">
        <w:tc>
          <w:tcPr>
            <w:tcW w:w="1024" w:type="dxa"/>
          </w:tcPr>
          <w:p w14:paraId="3BA8EA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3476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583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089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E5B5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EF1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8AF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D48C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августа, провести контр. полеты и перед.</w:t>
            </w:r>
          </w:p>
        </w:tc>
      </w:tr>
      <w:tr w:rsidR="001002C3" w:rsidRPr="007122AB" w14:paraId="4BFF889C" w14:textId="77777777">
        <w:tc>
          <w:tcPr>
            <w:tcW w:w="1024" w:type="dxa"/>
          </w:tcPr>
          <w:p w14:paraId="2CF5BF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775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2D4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F56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5B8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C188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8EF4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58B4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НИИ ВВС. Причины задержек: </w:t>
            </w:r>
            <w:proofErr w:type="spellStart"/>
            <w:r w:rsidRPr="007122AB">
              <w:rPr>
                <w:rFonts w:ascii="Times New Roman" w:hAnsi="Times New Roman"/>
                <w:color w:val="000000" w:themeColor="text1"/>
                <w:sz w:val="16"/>
                <w:szCs w:val="16"/>
              </w:rPr>
              <w:t>недостат</w:t>
            </w:r>
            <w:proofErr w:type="spellEnd"/>
            <w:r w:rsidRPr="007122AB">
              <w:rPr>
                <w:rFonts w:ascii="Times New Roman" w:hAnsi="Times New Roman"/>
                <w:color w:val="000000" w:themeColor="text1"/>
                <w:sz w:val="16"/>
                <w:szCs w:val="16"/>
              </w:rPr>
              <w:t>.</w:t>
            </w:r>
          </w:p>
        </w:tc>
      </w:tr>
      <w:tr w:rsidR="001002C3" w:rsidRPr="007122AB" w14:paraId="25BC85D2" w14:textId="77777777">
        <w:tc>
          <w:tcPr>
            <w:tcW w:w="1024" w:type="dxa"/>
          </w:tcPr>
          <w:p w14:paraId="2528A7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BCD4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1FDF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B5B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5FF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CB7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6323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571B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руководство со стороны УОС ВАО работой</w:t>
            </w:r>
          </w:p>
        </w:tc>
      </w:tr>
      <w:tr w:rsidR="001002C3" w:rsidRPr="007122AB" w14:paraId="325DA209" w14:textId="77777777">
        <w:tc>
          <w:tcPr>
            <w:tcW w:w="1024" w:type="dxa"/>
          </w:tcPr>
          <w:p w14:paraId="4C6685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D8D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39B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373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574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D1FA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8449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02ED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инженеров в Севастополе</w:t>
            </w:r>
          </w:p>
        </w:tc>
      </w:tr>
      <w:tr w:rsidR="001002C3" w:rsidRPr="007122AB" w14:paraId="7D1F386E" w14:textId="77777777">
        <w:tc>
          <w:tcPr>
            <w:tcW w:w="1024" w:type="dxa"/>
          </w:tcPr>
          <w:p w14:paraId="4D1E14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МБР2-БМВVI</w:t>
            </w:r>
          </w:p>
        </w:tc>
        <w:tc>
          <w:tcPr>
            <w:tcW w:w="1024" w:type="dxa"/>
          </w:tcPr>
          <w:p w14:paraId="15F230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074C91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15"-50"/</w:t>
            </w:r>
          </w:p>
        </w:tc>
        <w:tc>
          <w:tcPr>
            <w:tcW w:w="1024" w:type="dxa"/>
          </w:tcPr>
          <w:p w14:paraId="1F822F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070AC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D96B3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1024" w:type="dxa"/>
          </w:tcPr>
          <w:p w14:paraId="796A1E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3430" w:type="dxa"/>
          </w:tcPr>
          <w:p w14:paraId="771509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находится в производстве завода</w:t>
            </w:r>
          </w:p>
        </w:tc>
      </w:tr>
      <w:tr w:rsidR="001002C3" w:rsidRPr="007122AB" w14:paraId="400537AD" w14:textId="77777777">
        <w:tc>
          <w:tcPr>
            <w:tcW w:w="1024" w:type="dxa"/>
          </w:tcPr>
          <w:p w14:paraId="31C4D7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1024" w:type="dxa"/>
          </w:tcPr>
          <w:p w14:paraId="677F1B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25B8F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D9722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1061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за</w:t>
            </w:r>
          </w:p>
        </w:tc>
        <w:tc>
          <w:tcPr>
            <w:tcW w:w="1024" w:type="dxa"/>
          </w:tcPr>
          <w:p w14:paraId="318A83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E429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1164F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N 25. Собирается на стапеле лодка, </w:t>
            </w:r>
            <w:proofErr w:type="spellStart"/>
            <w:r w:rsidRPr="007122AB">
              <w:rPr>
                <w:rFonts w:ascii="Times New Roman" w:hAnsi="Times New Roman"/>
                <w:color w:val="000000" w:themeColor="text1"/>
                <w:sz w:val="16"/>
                <w:szCs w:val="16"/>
              </w:rPr>
              <w:t>заг</w:t>
            </w:r>
            <w:proofErr w:type="spellEnd"/>
            <w:r w:rsidRPr="007122AB">
              <w:rPr>
                <w:rFonts w:ascii="Times New Roman" w:hAnsi="Times New Roman"/>
                <w:color w:val="000000" w:themeColor="text1"/>
                <w:sz w:val="16"/>
                <w:szCs w:val="16"/>
              </w:rPr>
              <w:t>.</w:t>
            </w:r>
          </w:p>
        </w:tc>
      </w:tr>
      <w:tr w:rsidR="001002C3" w:rsidRPr="007122AB" w14:paraId="3BDA0BA7" w14:textId="77777777">
        <w:tc>
          <w:tcPr>
            <w:tcW w:w="1024" w:type="dxa"/>
          </w:tcPr>
          <w:p w14:paraId="2335B6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3E2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009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AA4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201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27ACBF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CDA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9100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лонжероны. </w:t>
            </w:r>
            <w:proofErr w:type="spellStart"/>
            <w:r w:rsidRPr="007122AB">
              <w:rPr>
                <w:rFonts w:ascii="Times New Roman" w:hAnsi="Times New Roman"/>
                <w:color w:val="000000" w:themeColor="text1"/>
                <w:sz w:val="16"/>
                <w:szCs w:val="16"/>
              </w:rPr>
              <w:t>Предполаг</w:t>
            </w:r>
            <w:proofErr w:type="spellEnd"/>
            <w:r w:rsidRPr="007122AB">
              <w:rPr>
                <w:rFonts w:ascii="Times New Roman" w:hAnsi="Times New Roman"/>
                <w:color w:val="000000" w:themeColor="text1"/>
                <w:sz w:val="16"/>
                <w:szCs w:val="16"/>
              </w:rPr>
              <w:t>. окончание и сдача к</w:t>
            </w:r>
          </w:p>
        </w:tc>
      </w:tr>
      <w:tr w:rsidR="001002C3" w:rsidRPr="007122AB" w14:paraId="44FA9738" w14:textId="77777777">
        <w:tc>
          <w:tcPr>
            <w:tcW w:w="1024" w:type="dxa"/>
          </w:tcPr>
          <w:p w14:paraId="36FDCD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F8F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054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EA8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5A55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7AA13B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1E0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8D90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w:t>
            </w:r>
          </w:p>
        </w:tc>
      </w:tr>
      <w:tr w:rsidR="001002C3" w:rsidRPr="007122AB" w14:paraId="79E1A13E" w14:textId="77777777">
        <w:tc>
          <w:tcPr>
            <w:tcW w:w="1024" w:type="dxa"/>
          </w:tcPr>
          <w:p w14:paraId="5C8816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МБР3-2М22</w:t>
            </w:r>
          </w:p>
        </w:tc>
        <w:tc>
          <w:tcPr>
            <w:tcW w:w="1024" w:type="dxa"/>
          </w:tcPr>
          <w:p w14:paraId="6BD936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FEF5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CCA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90C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7D50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F38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Эскизный проект - закончен. К 10 июля д.</w:t>
            </w:r>
          </w:p>
        </w:tc>
        <w:tc>
          <w:tcPr>
            <w:tcW w:w="3430" w:type="dxa"/>
          </w:tcPr>
          <w:p w14:paraId="7A7873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14D5B3C" w14:textId="77777777">
        <w:tc>
          <w:tcPr>
            <w:tcW w:w="1024" w:type="dxa"/>
          </w:tcPr>
          <w:p w14:paraId="5FF3AF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2298E6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EB7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FBA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041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8C18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439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B080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предъявлен в НИИ на заключение. Строит</w:t>
            </w:r>
          </w:p>
        </w:tc>
      </w:tr>
      <w:tr w:rsidR="001002C3" w:rsidRPr="007122AB" w14:paraId="4CAEEBE9" w14:textId="77777777">
        <w:tc>
          <w:tcPr>
            <w:tcW w:w="1024" w:type="dxa"/>
          </w:tcPr>
          <w:p w14:paraId="7FB1CD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23F8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FAFE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B90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F56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BD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4C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0695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макет. Перерабатывается конструкция. Ок.</w:t>
            </w:r>
          </w:p>
        </w:tc>
      </w:tr>
      <w:tr w:rsidR="001002C3" w:rsidRPr="007122AB" w14:paraId="7B804616" w14:textId="77777777">
        <w:tc>
          <w:tcPr>
            <w:tcW w:w="1024" w:type="dxa"/>
          </w:tcPr>
          <w:p w14:paraId="6D9D3A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МУ2-М11</w:t>
            </w:r>
          </w:p>
        </w:tc>
        <w:tc>
          <w:tcPr>
            <w:tcW w:w="1024" w:type="dxa"/>
          </w:tcPr>
          <w:p w14:paraId="43CE16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4A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19A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A7D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25F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C85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C108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пр-ва намечено на февраль 1932</w:t>
            </w:r>
          </w:p>
        </w:tc>
      </w:tr>
      <w:tr w:rsidR="001002C3" w:rsidRPr="007122AB" w14:paraId="1EC85F9F" w14:textId="77777777">
        <w:tc>
          <w:tcPr>
            <w:tcW w:w="1024" w:type="dxa"/>
          </w:tcPr>
          <w:p w14:paraId="030DA5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3B6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4A7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09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EF3D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8EE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AA7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4B2B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Заканчиваются испытания в Севастополе со</w:t>
            </w:r>
          </w:p>
        </w:tc>
      </w:tr>
      <w:tr w:rsidR="001002C3" w:rsidRPr="007122AB" w14:paraId="424ED352" w14:textId="77777777">
        <w:tc>
          <w:tcPr>
            <w:tcW w:w="1024" w:type="dxa"/>
          </w:tcPr>
          <w:p w14:paraId="080910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A6C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A70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8F8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F15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55E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4DE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3E2C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вторым вариантом поплавка, после чего б.</w:t>
            </w:r>
          </w:p>
        </w:tc>
      </w:tr>
      <w:tr w:rsidR="001002C3" w:rsidRPr="007122AB" w14:paraId="4A0BC9BB" w14:textId="77777777">
        <w:tc>
          <w:tcPr>
            <w:tcW w:w="1024" w:type="dxa"/>
          </w:tcPr>
          <w:p w14:paraId="650DCC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6571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405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4E2D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DC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CCB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6A5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0EEF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направлен для </w:t>
            </w:r>
            <w:proofErr w:type="spellStart"/>
            <w:r w:rsidRPr="007122AB">
              <w:rPr>
                <w:rFonts w:ascii="Times New Roman" w:hAnsi="Times New Roman"/>
                <w:color w:val="000000" w:themeColor="text1"/>
                <w:sz w:val="16"/>
                <w:szCs w:val="16"/>
              </w:rPr>
              <w:t>экспл</w:t>
            </w:r>
            <w:proofErr w:type="spellEnd"/>
            <w:r w:rsidRPr="007122AB">
              <w:rPr>
                <w:rFonts w:ascii="Times New Roman" w:hAnsi="Times New Roman"/>
                <w:color w:val="000000" w:themeColor="text1"/>
                <w:sz w:val="16"/>
                <w:szCs w:val="16"/>
              </w:rPr>
              <w:t>. испытаний в школу</w:t>
            </w:r>
          </w:p>
        </w:tc>
      </w:tr>
      <w:tr w:rsidR="00365C94" w:rsidRPr="007122AB" w14:paraId="24311FE0" w14:textId="77777777">
        <w:tc>
          <w:tcPr>
            <w:tcW w:w="1024" w:type="dxa"/>
          </w:tcPr>
          <w:p w14:paraId="4146E7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7ED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BED4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B5A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E30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E4E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484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7EAF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морских летчиков в г. Ейск. (3029,205)</w:t>
            </w:r>
          </w:p>
        </w:tc>
      </w:tr>
    </w:tbl>
    <w:p w14:paraId="0BA08E2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979F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состоялось заседание КО (</w:t>
      </w:r>
      <w:proofErr w:type="spellStart"/>
      <w:r w:rsidRPr="007122AB">
        <w:rPr>
          <w:rFonts w:ascii="Times New Roman" w:hAnsi="Times New Roman"/>
          <w:color w:val="000000" w:themeColor="text1"/>
          <w:sz w:val="16"/>
          <w:szCs w:val="16"/>
        </w:rPr>
        <w:t>прот</w:t>
      </w:r>
      <w:proofErr w:type="spellEnd"/>
      <w:r w:rsidRPr="007122AB">
        <w:rPr>
          <w:rFonts w:ascii="Times New Roman" w:hAnsi="Times New Roman"/>
          <w:color w:val="000000" w:themeColor="text1"/>
          <w:sz w:val="16"/>
          <w:szCs w:val="16"/>
        </w:rPr>
        <w:t xml:space="preserve">. 9), на котором доложила комиссия </w:t>
      </w:r>
      <w:proofErr w:type="spellStart"/>
      <w:r w:rsidRPr="007122AB">
        <w:rPr>
          <w:rFonts w:ascii="Times New Roman" w:hAnsi="Times New Roman"/>
          <w:color w:val="000000" w:themeColor="text1"/>
          <w:sz w:val="16"/>
          <w:szCs w:val="16"/>
        </w:rPr>
        <w:t>В.В.Куйбышева</w:t>
      </w:r>
      <w:proofErr w:type="spellEnd"/>
      <w:r w:rsidRPr="007122AB">
        <w:rPr>
          <w:rFonts w:ascii="Times New Roman" w:hAnsi="Times New Roman"/>
          <w:color w:val="000000" w:themeColor="text1"/>
          <w:sz w:val="16"/>
          <w:szCs w:val="16"/>
        </w:rPr>
        <w:t xml:space="preserve"> по авиации. Поручили </w:t>
      </w:r>
      <w:proofErr w:type="spellStart"/>
      <w:r w:rsidRPr="007122AB">
        <w:rPr>
          <w:rFonts w:ascii="Times New Roman" w:hAnsi="Times New Roman"/>
          <w:color w:val="000000" w:themeColor="text1"/>
          <w:sz w:val="16"/>
          <w:szCs w:val="16"/>
        </w:rPr>
        <w:t>В.В.Куйбышеву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М.Н.Тухачевскому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П.И.Баранову</w:t>
      </w:r>
      <w:proofErr w:type="spellEnd"/>
      <w:r w:rsidRPr="007122AB">
        <w:rPr>
          <w:rFonts w:ascii="Times New Roman" w:hAnsi="Times New Roman"/>
          <w:color w:val="000000" w:themeColor="text1"/>
          <w:sz w:val="16"/>
          <w:szCs w:val="16"/>
        </w:rPr>
        <w:t xml:space="preserve"> дать окончательную формулировку постановления (1028,113).</w:t>
      </w:r>
    </w:p>
    <w:p w14:paraId="47EBE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2A83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июля 1931 высотная торпеда ВВС 10/15, которая испытывалась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с марта 1931 в районе Качи и с 4 апреля 1931 была признана работающей хорошо с высоты до 1000-1200 м, была предъявлена на войсковые испытания и два самолета сбрасывали их до сентября. 4 сентября комиссия под руководством начальника ВВС СФ </w:t>
      </w:r>
      <w:proofErr w:type="spellStart"/>
      <w:r w:rsidRPr="007122AB">
        <w:rPr>
          <w:rFonts w:ascii="Times New Roman" w:hAnsi="Times New Roman"/>
          <w:color w:val="000000" w:themeColor="text1"/>
          <w:sz w:val="16"/>
          <w:szCs w:val="16"/>
        </w:rPr>
        <w:t>В.К.Лаврова</w:t>
      </w:r>
      <w:proofErr w:type="spellEnd"/>
      <w:r w:rsidRPr="007122AB">
        <w:rPr>
          <w:rFonts w:ascii="Times New Roman" w:hAnsi="Times New Roman"/>
          <w:color w:val="000000" w:themeColor="text1"/>
          <w:sz w:val="16"/>
          <w:szCs w:val="16"/>
        </w:rPr>
        <w:t xml:space="preserve"> признала испытания успешно (561,6).</w:t>
      </w:r>
    </w:p>
    <w:p w14:paraId="3A129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77C5F7" w14:textId="77777777" w:rsidR="00CE5E0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BF27982" w14:textId="77777777" w:rsidR="00CE5E0F" w:rsidRPr="007122AB" w:rsidRDefault="00CE5E0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2C55E7" w14:textId="77777777" w:rsidR="00CE5E0F" w:rsidRPr="007122AB" w:rsidRDefault="00CE5E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июля</w:t>
      </w:r>
      <w:r w:rsidRPr="007122AB">
        <w:rPr>
          <w:rFonts w:ascii="Times New Roman" w:hAnsi="Times New Roman"/>
          <w:color w:val="000000" w:themeColor="text1"/>
          <w:sz w:val="16"/>
          <w:szCs w:val="16"/>
        </w:rPr>
        <w:t xml:space="preserve"> в 1931 году в Переславле-Залесском начала работу первая в СССР фабрика кинопленки (14939).</w:t>
      </w:r>
    </w:p>
    <w:p w14:paraId="4FE86B7D" w14:textId="77777777" w:rsidR="00CE5E0F" w:rsidRPr="007122AB" w:rsidRDefault="00CE5E0F" w:rsidP="007122AB">
      <w:pPr>
        <w:spacing w:after="0" w:line="240" w:lineRule="auto"/>
        <w:jc w:val="both"/>
        <w:rPr>
          <w:rFonts w:ascii="Times New Roman" w:hAnsi="Times New Roman"/>
          <w:color w:val="000000" w:themeColor="text1"/>
          <w:sz w:val="16"/>
          <w:szCs w:val="16"/>
        </w:rPr>
      </w:pPr>
    </w:p>
    <w:p w14:paraId="22707BD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04ADFD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7ADA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года был окончательно утвержден и спущен для исполнения проект Беломорско-Балтийского канала (9046).</w:t>
      </w:r>
    </w:p>
    <w:p w14:paraId="7B0D2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5DE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июля 1931, с двухмесячным опережением графика, проект ББК был готов. </w:t>
      </w:r>
    </w:p>
    <w:p w14:paraId="28AEF9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тот же день Особый комитет утвердил его на своем заседании. В окончательном варианте проект канала предусматривал сооружение транспортного водного пути длиной 227 километров, оборудованного 128 гидротехническими сооружениями. Планировалось сооружение 19 шлюзов (из них восемь составляли т. н. "</w:t>
      </w:r>
      <w:proofErr w:type="spellStart"/>
      <w:r w:rsidRPr="007122AB">
        <w:rPr>
          <w:rFonts w:ascii="Times New Roman" w:hAnsi="Times New Roman"/>
          <w:color w:val="000000" w:themeColor="text1"/>
          <w:sz w:val="16"/>
          <w:szCs w:val="16"/>
        </w:rPr>
        <w:t>Повенчанскую</w:t>
      </w:r>
      <w:proofErr w:type="spellEnd"/>
      <w:r w:rsidRPr="007122AB">
        <w:rPr>
          <w:rFonts w:ascii="Times New Roman" w:hAnsi="Times New Roman"/>
          <w:color w:val="000000" w:themeColor="text1"/>
          <w:sz w:val="16"/>
          <w:szCs w:val="16"/>
        </w:rPr>
        <w:t xml:space="preserve"> лестницу"), 15 плотин, 49 дамб. Общая стоимость работ, согласно финансовому плану, исчислялась в 88 866 600 рублей, из них в 1931 г. планировалось отпустить 32 380 000 рублей, в 1932 (решающем) году - 55 921 000 рублей и в 1933 г. на доделки - 565 800 рублей. Работы должны были быть в основном выполнены за 400 рабочих дней. </w:t>
      </w:r>
    </w:p>
    <w:p w14:paraId="5BB23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Строительство Беломорканала началось. А это значит, что на трассу начали прибывать все новые и новые партии заключенных. Исправительно-трудовые лагеря ОГПУ стали основным поставщиком рабочей силы на строительство. В 1930 и первой половине 1931 г. рабочих </w:t>
      </w:r>
      <w:proofErr w:type="spellStart"/>
      <w:r w:rsidRPr="007122AB">
        <w:rPr>
          <w:rFonts w:ascii="Times New Roman" w:hAnsi="Times New Roman"/>
          <w:color w:val="000000" w:themeColor="text1"/>
          <w:sz w:val="16"/>
          <w:szCs w:val="16"/>
        </w:rPr>
        <w:t>Беломорстрою</w:t>
      </w:r>
      <w:proofErr w:type="spellEnd"/>
      <w:r w:rsidRPr="007122AB">
        <w:rPr>
          <w:rFonts w:ascii="Times New Roman" w:hAnsi="Times New Roman"/>
          <w:color w:val="000000" w:themeColor="text1"/>
          <w:sz w:val="16"/>
          <w:szCs w:val="16"/>
        </w:rPr>
        <w:t xml:space="preserve"> предоставлял Соловецкий ИТЛ. В мае 1930 г., после переноса хозяйственной деятельности на материк, лагерь перешел в подчинение ГПУ по Карелии и сменил название. Комплекс лагерных отделений стал называться Соловецкими и Карело-Мурманскими лагерями ОГПУ. В июне 1930 г. лагеря выделили первых 600 заключенных для работы в изыскательских партиях на будущей трассе канала. После утверждения проекта и начала работ численность заключенных на </w:t>
      </w:r>
      <w:proofErr w:type="spellStart"/>
      <w:r w:rsidRPr="007122AB">
        <w:rPr>
          <w:rFonts w:ascii="Times New Roman" w:hAnsi="Times New Roman"/>
          <w:color w:val="000000" w:themeColor="text1"/>
          <w:sz w:val="16"/>
          <w:szCs w:val="16"/>
        </w:rPr>
        <w:t>Беломорстрое</w:t>
      </w:r>
      <w:proofErr w:type="spellEnd"/>
      <w:r w:rsidRPr="007122AB">
        <w:rPr>
          <w:rFonts w:ascii="Times New Roman" w:hAnsi="Times New Roman"/>
          <w:color w:val="000000" w:themeColor="text1"/>
          <w:sz w:val="16"/>
          <w:szCs w:val="16"/>
        </w:rPr>
        <w:t xml:space="preserve"> начала быстро возрастать. Уже к середине 1931 г. количество их превысило 10 тыс. человек из 72 тыс., которыми располагал лагерь. А начиная с сентября, на строительство канала перебрасывается почти весь наличный состав Соловецких и Карело-Мурманских лагерей. Управление Соловецких и Карело-Мурманских лагерей из г. Кеми переводится на станцию Медвежья гора Мурманской железной дороги, непосредственно на трассу будущего канала. 17 сентября 1931 г. приказом ОГПУ № 528/286 был ликвидирован (в связи с окончанием работ) Сызранский исправительно-трудовой лагерь, весь личный состав был направлен на </w:t>
      </w:r>
      <w:proofErr w:type="spellStart"/>
      <w:r w:rsidRPr="007122AB">
        <w:rPr>
          <w:rFonts w:ascii="Times New Roman" w:hAnsi="Times New Roman"/>
          <w:color w:val="000000" w:themeColor="text1"/>
          <w:sz w:val="16"/>
          <w:szCs w:val="16"/>
        </w:rPr>
        <w:t>Беломорстрой</w:t>
      </w:r>
      <w:proofErr w:type="spellEnd"/>
      <w:r w:rsidRPr="007122AB">
        <w:rPr>
          <w:rFonts w:ascii="Times New Roman" w:hAnsi="Times New Roman"/>
          <w:color w:val="000000" w:themeColor="text1"/>
          <w:sz w:val="16"/>
          <w:szCs w:val="16"/>
        </w:rPr>
        <w:t xml:space="preserve"> (12107).</w:t>
      </w:r>
    </w:p>
    <w:p w14:paraId="5E38AF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C08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вышло постановление СНК Об устройстве спецпереселенцев и их поручили ОГПУ (4081).</w:t>
      </w:r>
    </w:p>
    <w:p w14:paraId="5884C3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5DD6B4" w14:textId="77777777" w:rsidR="00BB323F" w:rsidRPr="007122AB" w:rsidRDefault="00874B1E"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i/>
          <w:color w:val="000000" w:themeColor="text1"/>
          <w:sz w:val="16"/>
          <w:szCs w:val="16"/>
          <w:u w:color="002060"/>
        </w:rPr>
        <w:t>Армия:</w:t>
      </w:r>
    </w:p>
    <w:p w14:paraId="4302B5A5"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59FF5754"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129сс об отпуске 16 400 тыс. руб. из резервного фонда СНК СССР для постройки казарм для 5 дивизий УВО (ГА РФ. Ф. Р?8418. Оп. 28. Д. 14а. Л. 52?53) (12415).</w:t>
      </w:r>
    </w:p>
    <w:p w14:paraId="33C609EF"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4F77D63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Внешняя политика:</w:t>
      </w:r>
    </w:p>
    <w:p w14:paraId="4360CA6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419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июля 1931 года в беседе с посетившим Москву генерал-майором </w:t>
      </w:r>
      <w:proofErr w:type="spellStart"/>
      <w:r w:rsidRPr="007122AB">
        <w:rPr>
          <w:rFonts w:ascii="Times New Roman" w:hAnsi="Times New Roman"/>
          <w:color w:val="000000" w:themeColor="text1"/>
          <w:sz w:val="16"/>
          <w:szCs w:val="16"/>
        </w:rPr>
        <w:t>Харада</w:t>
      </w:r>
      <w:proofErr w:type="spellEnd"/>
      <w:r w:rsidRPr="007122AB">
        <w:rPr>
          <w:rFonts w:ascii="Times New Roman" w:hAnsi="Times New Roman"/>
          <w:color w:val="000000" w:themeColor="text1"/>
          <w:sz w:val="16"/>
          <w:szCs w:val="16"/>
        </w:rPr>
        <w:t xml:space="preserve"> посол Японии в СССР, будущий премьер-министр и казнённый военный преступник Коки </w:t>
      </w:r>
      <w:proofErr w:type="spellStart"/>
      <w:r w:rsidRPr="007122AB">
        <w:rPr>
          <w:rFonts w:ascii="Times New Roman" w:hAnsi="Times New Roman"/>
          <w:color w:val="000000" w:themeColor="text1"/>
          <w:sz w:val="16"/>
          <w:szCs w:val="16"/>
        </w:rPr>
        <w:t>Хирота</w:t>
      </w:r>
      <w:proofErr w:type="spellEnd"/>
      <w:r w:rsidRPr="007122AB">
        <w:rPr>
          <w:rFonts w:ascii="Times New Roman" w:hAnsi="Times New Roman"/>
          <w:color w:val="000000" w:themeColor="text1"/>
          <w:sz w:val="16"/>
          <w:szCs w:val="16"/>
        </w:rPr>
        <w:t xml:space="preserve"> недвусмысленно заявил:</w:t>
      </w:r>
    </w:p>
    <w:p w14:paraId="36853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 о том, следует ли Японии начать войну с Советским Союзом или нет, считаю необходимым, чтобы Япония стала на путь твёрдой политики в отношении Советского Союза, будучи готовой начать войну в любой момент.</w:t>
      </w:r>
    </w:p>
    <w:p w14:paraId="2F4E55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Кардинальная цель этой войны должна заключаться не столько в предохранении Японии от коммунизма, сколько в завладении советскими Дальним Востоком и Восточной Сибирью»</w:t>
      </w:r>
    </w:p>
    <w:p w14:paraId="6B20D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докладе, представленном генералу </w:t>
      </w:r>
      <w:proofErr w:type="spellStart"/>
      <w:r w:rsidRPr="007122AB">
        <w:rPr>
          <w:rFonts w:ascii="Times New Roman" w:hAnsi="Times New Roman"/>
          <w:color w:val="000000" w:themeColor="text1"/>
          <w:sz w:val="16"/>
          <w:szCs w:val="16"/>
        </w:rPr>
        <w:t>Харада</w:t>
      </w:r>
      <w:proofErr w:type="spellEnd"/>
      <w:r w:rsidRPr="007122AB">
        <w:rPr>
          <w:rFonts w:ascii="Times New Roman" w:hAnsi="Times New Roman"/>
          <w:color w:val="000000" w:themeColor="text1"/>
          <w:sz w:val="16"/>
          <w:szCs w:val="16"/>
        </w:rPr>
        <w:t xml:space="preserve"> японским военным атташе в Москве подполковником </w:t>
      </w:r>
      <w:proofErr w:type="spellStart"/>
      <w:r w:rsidRPr="007122AB">
        <w:rPr>
          <w:rFonts w:ascii="Times New Roman" w:hAnsi="Times New Roman"/>
          <w:color w:val="000000" w:themeColor="text1"/>
          <w:sz w:val="16"/>
          <w:szCs w:val="16"/>
        </w:rPr>
        <w:t>Касахара</w:t>
      </w:r>
      <w:proofErr w:type="spellEnd"/>
      <w:r w:rsidRPr="007122AB">
        <w:rPr>
          <w:rFonts w:ascii="Times New Roman" w:hAnsi="Times New Roman"/>
          <w:color w:val="000000" w:themeColor="text1"/>
          <w:sz w:val="16"/>
          <w:szCs w:val="16"/>
        </w:rPr>
        <w:t>, говорилось:</w:t>
      </w:r>
    </w:p>
    <w:p w14:paraId="65065B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«Настоящий момент является исключительно благоприятным для того, чтобы наша империя приступила к разрешению проблемы Дальнего Востока. Западные государства, граничащие с СССР (Польша, Румыния), имеют возможность сейчас выступить согласованно также с нами, но эта возможность постепенно будет ослабевать с каждым годом.</w:t>
      </w:r>
    </w:p>
    <w:p w14:paraId="3FEAA2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мы сейчас, проникнутые готовностью воевать, приступим к разрешению проблемы Дальнего Востока, то мы сможем добиться поставленных целей, не открывая войны. Если же паче чаяния возникнет война, то она не представит для нас затруднений» (Лубянка. Сталин и ВЧК–ГПУ–ОГПУ–НКВД. Архив Сталина. Документы высших органов партийной и государственной власти. Январь 1922 — декабрь 1936. М., 2003. С.292) (11703).</w:t>
      </w:r>
    </w:p>
    <w:p w14:paraId="276B9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2422E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35D0FA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2F4C6A" w14:textId="77777777" w:rsidR="00CE5E0F" w:rsidRPr="007122AB" w:rsidRDefault="00CE5E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июля</w:t>
      </w:r>
      <w:r w:rsidRPr="007122AB">
        <w:rPr>
          <w:rFonts w:ascii="Times New Roman" w:hAnsi="Times New Roman"/>
          <w:color w:val="000000" w:themeColor="text1"/>
          <w:sz w:val="16"/>
          <w:szCs w:val="16"/>
        </w:rPr>
        <w:t xml:space="preserve"> в 1931 году конструктор и пилот </w:t>
      </w:r>
      <w:proofErr w:type="spellStart"/>
      <w:r w:rsidRPr="007122AB">
        <w:rPr>
          <w:rFonts w:ascii="Times New Roman" w:hAnsi="Times New Roman"/>
          <w:color w:val="000000" w:themeColor="text1"/>
          <w:sz w:val="16"/>
          <w:szCs w:val="16"/>
        </w:rPr>
        <w:t>Н.Пулиньш</w:t>
      </w:r>
      <w:proofErr w:type="spellEnd"/>
      <w:r w:rsidRPr="007122AB">
        <w:rPr>
          <w:rFonts w:ascii="Times New Roman" w:hAnsi="Times New Roman"/>
          <w:color w:val="000000" w:themeColor="text1"/>
          <w:sz w:val="16"/>
          <w:szCs w:val="16"/>
        </w:rPr>
        <w:t xml:space="preserve"> отправился на латвийском легком многоцелевом самолете </w:t>
      </w:r>
      <w:hyperlink r:id="rId137" w:tgtFrame="_blank" w:history="1">
        <w:r w:rsidRPr="007122AB">
          <w:rPr>
            <w:rFonts w:ascii="Times New Roman" w:hAnsi="Times New Roman"/>
            <w:color w:val="000000" w:themeColor="text1"/>
            <w:sz w:val="16"/>
            <w:szCs w:val="16"/>
          </w:rPr>
          <w:t>«I-5» «</w:t>
        </w:r>
        <w:proofErr w:type="spellStart"/>
        <w:r w:rsidRPr="007122AB">
          <w:rPr>
            <w:rFonts w:ascii="Times New Roman" w:hAnsi="Times New Roman"/>
            <w:color w:val="000000" w:themeColor="text1"/>
            <w:sz w:val="16"/>
            <w:szCs w:val="16"/>
          </w:rPr>
          <w:t>Ikars</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в перелет по Латвии, который превратился в череду поломок и аварий, в том числе капотирование. «I-5» «</w:t>
      </w:r>
      <w:proofErr w:type="spellStart"/>
      <w:r w:rsidRPr="007122AB">
        <w:rPr>
          <w:rFonts w:ascii="Times New Roman" w:hAnsi="Times New Roman"/>
          <w:color w:val="000000" w:themeColor="text1"/>
          <w:sz w:val="16"/>
          <w:szCs w:val="16"/>
        </w:rPr>
        <w:t>Ikars</w:t>
      </w:r>
      <w:proofErr w:type="spellEnd"/>
      <w:r w:rsidRPr="007122AB">
        <w:rPr>
          <w:rFonts w:ascii="Times New Roman" w:hAnsi="Times New Roman"/>
          <w:color w:val="000000" w:themeColor="text1"/>
          <w:sz w:val="16"/>
          <w:szCs w:val="16"/>
        </w:rPr>
        <w:t xml:space="preserve">» - легкий многоцелевой самолет конструкции Карлиса </w:t>
      </w:r>
      <w:proofErr w:type="spellStart"/>
      <w:r w:rsidRPr="007122AB">
        <w:rPr>
          <w:rFonts w:ascii="Times New Roman" w:hAnsi="Times New Roman"/>
          <w:color w:val="000000" w:themeColor="text1"/>
          <w:sz w:val="16"/>
          <w:szCs w:val="16"/>
        </w:rPr>
        <w:t>Ирбитиса</w:t>
      </w:r>
      <w:proofErr w:type="spellEnd"/>
      <w:r w:rsidRPr="007122AB">
        <w:rPr>
          <w:rFonts w:ascii="Times New Roman" w:hAnsi="Times New Roman"/>
          <w:color w:val="000000" w:themeColor="text1"/>
          <w:sz w:val="16"/>
          <w:szCs w:val="16"/>
        </w:rPr>
        <w:t xml:space="preserve"> и Николая </w:t>
      </w:r>
      <w:proofErr w:type="spellStart"/>
      <w:r w:rsidRPr="007122AB">
        <w:rPr>
          <w:rFonts w:ascii="Times New Roman" w:hAnsi="Times New Roman"/>
          <w:color w:val="000000" w:themeColor="text1"/>
          <w:sz w:val="16"/>
          <w:szCs w:val="16"/>
        </w:rPr>
        <w:t>Пулиньша</w:t>
      </w:r>
      <w:proofErr w:type="spellEnd"/>
      <w:r w:rsidRPr="007122AB">
        <w:rPr>
          <w:rFonts w:ascii="Times New Roman" w:hAnsi="Times New Roman"/>
          <w:color w:val="000000" w:themeColor="text1"/>
          <w:sz w:val="16"/>
          <w:szCs w:val="16"/>
        </w:rPr>
        <w:t xml:space="preserve">. Построен в 1926 году. Первый самолет гражданской авиации Латвии, получивший официальное обозначение Латвии - YL - AAA. Первый полет совершен старшим лейтенантом </w:t>
      </w:r>
      <w:proofErr w:type="spellStart"/>
      <w:r w:rsidRPr="007122AB">
        <w:rPr>
          <w:rFonts w:ascii="Times New Roman" w:hAnsi="Times New Roman"/>
          <w:color w:val="000000" w:themeColor="text1"/>
          <w:sz w:val="16"/>
          <w:szCs w:val="16"/>
        </w:rPr>
        <w:t>Ольгертсом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Пукше</w:t>
      </w:r>
      <w:proofErr w:type="spellEnd"/>
      <w:r w:rsidRPr="007122AB">
        <w:rPr>
          <w:rFonts w:ascii="Times New Roman" w:hAnsi="Times New Roman"/>
          <w:color w:val="000000" w:themeColor="text1"/>
          <w:sz w:val="16"/>
          <w:szCs w:val="16"/>
        </w:rPr>
        <w:t xml:space="preserve"> 7 сентября 1926 года. Отличался хорошей управляемостью, малой посадочной скоростью и отличным обзором вниз. На самолете возили пассажиров, а пилотами были многие известные в латвийской авиации люди - </w:t>
      </w:r>
      <w:proofErr w:type="spellStart"/>
      <w:r w:rsidRPr="007122AB">
        <w:rPr>
          <w:rFonts w:ascii="Times New Roman" w:hAnsi="Times New Roman"/>
          <w:color w:val="000000" w:themeColor="text1"/>
          <w:sz w:val="16"/>
          <w:szCs w:val="16"/>
        </w:rPr>
        <w:t>Х.Цукурс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К.Ирбитис</w:t>
      </w:r>
      <w:proofErr w:type="spellEnd"/>
      <w:r w:rsidRPr="007122AB">
        <w:rPr>
          <w:rFonts w:ascii="Times New Roman" w:hAnsi="Times New Roman"/>
          <w:color w:val="000000" w:themeColor="text1"/>
          <w:sz w:val="16"/>
          <w:szCs w:val="16"/>
        </w:rPr>
        <w:t xml:space="preserve"> (14939).</w:t>
      </w:r>
    </w:p>
    <w:p w14:paraId="55938647" w14:textId="77777777" w:rsidR="00CE5E0F" w:rsidRPr="007122AB" w:rsidRDefault="00CE5E0F" w:rsidP="007122AB">
      <w:pPr>
        <w:spacing w:after="0" w:line="240" w:lineRule="auto"/>
        <w:jc w:val="both"/>
        <w:rPr>
          <w:rFonts w:ascii="Times New Roman" w:hAnsi="Times New Roman"/>
          <w:color w:val="000000" w:themeColor="text1"/>
          <w:sz w:val="16"/>
          <w:szCs w:val="16"/>
        </w:rPr>
      </w:pPr>
    </w:p>
    <w:p w14:paraId="179330BB" w14:textId="77777777" w:rsidR="00CE5E0F" w:rsidRPr="007122AB" w:rsidRDefault="00CE5E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июля</w:t>
      </w:r>
      <w:r w:rsidRPr="007122AB">
        <w:rPr>
          <w:rFonts w:ascii="Times New Roman" w:hAnsi="Times New Roman"/>
          <w:color w:val="000000" w:themeColor="text1"/>
          <w:sz w:val="16"/>
          <w:szCs w:val="16"/>
        </w:rPr>
        <w:t xml:space="preserve"> в 1931 году путем объединения «Boeing Air Transport» и «</w:t>
      </w:r>
      <w:proofErr w:type="spellStart"/>
      <w:r w:rsidRPr="007122AB">
        <w:rPr>
          <w:rFonts w:ascii="Times New Roman" w:hAnsi="Times New Roman"/>
          <w:color w:val="000000" w:themeColor="text1"/>
          <w:sz w:val="16"/>
          <w:szCs w:val="16"/>
        </w:rPr>
        <w:t>Varney</w:t>
      </w:r>
      <w:proofErr w:type="spellEnd"/>
      <w:r w:rsidRPr="007122AB">
        <w:rPr>
          <w:rFonts w:ascii="Times New Roman" w:hAnsi="Times New Roman"/>
          <w:color w:val="000000" w:themeColor="text1"/>
          <w:sz w:val="16"/>
          <w:szCs w:val="16"/>
        </w:rPr>
        <w:t xml:space="preserve"> Air Lines» возникла одна из крупнейших американских компаний «United Air Lines» (14939).</w:t>
      </w:r>
    </w:p>
    <w:p w14:paraId="04C12EBC" w14:textId="77777777" w:rsidR="00CE5E0F" w:rsidRPr="007122AB" w:rsidRDefault="00CE5E0F" w:rsidP="007122AB">
      <w:pPr>
        <w:spacing w:after="0" w:line="240" w:lineRule="auto"/>
        <w:jc w:val="both"/>
        <w:rPr>
          <w:rFonts w:ascii="Times New Roman" w:hAnsi="Times New Roman"/>
          <w:color w:val="000000" w:themeColor="text1"/>
          <w:sz w:val="16"/>
          <w:szCs w:val="16"/>
        </w:rPr>
      </w:pPr>
    </w:p>
    <w:p w14:paraId="022A89A3" w14:textId="77777777" w:rsidR="00CE5E0F" w:rsidRPr="007122AB" w:rsidRDefault="00CE5E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 июля</w:t>
      </w:r>
      <w:r w:rsidRPr="007122AB">
        <w:rPr>
          <w:rFonts w:ascii="Times New Roman" w:hAnsi="Times New Roman"/>
          <w:color w:val="000000" w:themeColor="text1"/>
          <w:sz w:val="16"/>
          <w:szCs w:val="16"/>
        </w:rPr>
        <w:t xml:space="preserve"> в 1931 году завершение кругосветного перелета (начало 23 июня) - 24 945 км за 106 ч лётного времени, </w:t>
      </w:r>
      <w:proofErr w:type="spellStart"/>
      <w:r w:rsidRPr="007122AB">
        <w:rPr>
          <w:rFonts w:ascii="Times New Roman" w:hAnsi="Times New Roman"/>
          <w:color w:val="000000" w:themeColor="text1"/>
          <w:sz w:val="16"/>
          <w:szCs w:val="16"/>
        </w:rPr>
        <w:t>У.Пост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Г.Гатти</w:t>
      </w:r>
      <w:proofErr w:type="spellEnd"/>
      <w:r w:rsidRPr="007122AB">
        <w:rPr>
          <w:rFonts w:ascii="Times New Roman" w:hAnsi="Times New Roman"/>
          <w:color w:val="000000" w:themeColor="text1"/>
          <w:sz w:val="16"/>
          <w:szCs w:val="16"/>
        </w:rPr>
        <w:t xml:space="preserve"> на самолете </w:t>
      </w:r>
      <w:hyperlink r:id="rId138" w:tgtFrame="_blank" w:history="1">
        <w:r w:rsidRPr="007122AB">
          <w:rPr>
            <w:rFonts w:ascii="Times New Roman" w:hAnsi="Times New Roman"/>
            <w:color w:val="000000" w:themeColor="text1"/>
            <w:sz w:val="16"/>
            <w:szCs w:val="16"/>
          </w:rPr>
          <w:t xml:space="preserve">«Локхид» «Вега Винни Мэй» </w:t>
        </w:r>
      </w:hyperlink>
      <w:r w:rsidRPr="007122AB">
        <w:rPr>
          <w:rFonts w:ascii="Times New Roman" w:hAnsi="Times New Roman"/>
          <w:color w:val="000000" w:themeColor="text1"/>
          <w:sz w:val="16"/>
          <w:szCs w:val="16"/>
        </w:rPr>
        <w:t>(США) (14939).</w:t>
      </w:r>
    </w:p>
    <w:p w14:paraId="34EEF38E" w14:textId="77777777" w:rsidR="00CE5E0F" w:rsidRPr="007122AB" w:rsidRDefault="00CE5E0F" w:rsidP="007122AB">
      <w:pPr>
        <w:spacing w:after="0" w:line="240" w:lineRule="auto"/>
        <w:jc w:val="both"/>
        <w:rPr>
          <w:rFonts w:ascii="Times New Roman" w:hAnsi="Times New Roman"/>
          <w:color w:val="000000" w:themeColor="text1"/>
          <w:sz w:val="16"/>
          <w:szCs w:val="16"/>
        </w:rPr>
      </w:pPr>
    </w:p>
    <w:p w14:paraId="68E4DE29" w14:textId="77777777" w:rsidR="006A772B" w:rsidRPr="007122AB" w:rsidRDefault="006A772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июля 1931 - Авиакомпания United Airlines начала свою деятельность как операционное подразделение партнерства Boeing </w:t>
      </w:r>
      <w:proofErr w:type="spellStart"/>
      <w:r w:rsidRPr="007122AB">
        <w:rPr>
          <w:rFonts w:ascii="Times New Roman" w:hAnsi="Times New Roman"/>
          <w:color w:val="000000" w:themeColor="text1"/>
          <w:sz w:val="16"/>
          <w:szCs w:val="16"/>
        </w:rPr>
        <w:t>Airplane</w:t>
      </w:r>
      <w:proofErr w:type="spellEnd"/>
      <w:r w:rsidRPr="007122AB">
        <w:rPr>
          <w:rFonts w:ascii="Times New Roman" w:hAnsi="Times New Roman"/>
          <w:color w:val="000000" w:themeColor="text1"/>
          <w:sz w:val="16"/>
          <w:szCs w:val="16"/>
        </w:rPr>
        <w:t xml:space="preserve"> Company и Pratt &amp; Whitney (22443).</w:t>
      </w:r>
    </w:p>
    <w:p w14:paraId="2F2BC0D5" w14:textId="77777777" w:rsidR="006A772B" w:rsidRPr="007122AB" w:rsidRDefault="006A772B" w:rsidP="007122AB">
      <w:pPr>
        <w:spacing w:after="0" w:line="240" w:lineRule="auto"/>
        <w:jc w:val="both"/>
        <w:rPr>
          <w:rFonts w:ascii="Times New Roman" w:hAnsi="Times New Roman"/>
          <w:color w:val="000000" w:themeColor="text1"/>
          <w:sz w:val="16"/>
          <w:szCs w:val="16"/>
        </w:rPr>
      </w:pPr>
    </w:p>
    <w:p w14:paraId="4E025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начались антикитайские выступления в Корее (3907,167).</w:t>
      </w:r>
    </w:p>
    <w:p w14:paraId="49EC2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C56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было завершено строительство трансафриканской ж/д на юге Африки (3907,169).</w:t>
      </w:r>
    </w:p>
    <w:p w14:paraId="2514AA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ED1DD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79D696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77CF4F" w14:textId="77777777" w:rsidR="006A772B" w:rsidRPr="007122AB" w:rsidRDefault="006A772B"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 xml:space="preserve">2 июля 1931 г. в НТК ВОХИМУ состоялось совещание по вопросам уточнения ТТТ к крупнокалиберному </w:t>
      </w:r>
      <w:proofErr w:type="spellStart"/>
      <w:r w:rsidRPr="007122AB">
        <w:rPr>
          <w:rFonts w:ascii="Times New Roman" w:hAnsi="Times New Roman"/>
          <w:color w:val="000000" w:themeColor="text1"/>
          <w:sz w:val="16"/>
          <w:szCs w:val="16"/>
        </w:rPr>
        <w:t>газоминомету</w:t>
      </w:r>
      <w:proofErr w:type="spellEnd"/>
      <w:r w:rsidRPr="007122AB">
        <w:rPr>
          <w:rFonts w:ascii="Times New Roman" w:hAnsi="Times New Roman"/>
          <w:color w:val="000000" w:themeColor="text1"/>
          <w:sz w:val="16"/>
          <w:szCs w:val="16"/>
        </w:rPr>
        <w:t xml:space="preserve">, на котором был представлен доклад А. М. </w:t>
      </w:r>
      <w:proofErr w:type="spellStart"/>
      <w:r w:rsidRPr="007122AB">
        <w:rPr>
          <w:rFonts w:ascii="Times New Roman" w:hAnsi="Times New Roman"/>
          <w:color w:val="000000" w:themeColor="text1"/>
          <w:sz w:val="16"/>
          <w:szCs w:val="16"/>
        </w:rPr>
        <w:t>Талакина</w:t>
      </w:r>
      <w:proofErr w:type="spellEnd"/>
      <w:r w:rsidRPr="007122AB">
        <w:rPr>
          <w:rFonts w:ascii="Times New Roman" w:hAnsi="Times New Roman"/>
          <w:color w:val="000000" w:themeColor="text1"/>
          <w:sz w:val="16"/>
          <w:szCs w:val="16"/>
        </w:rPr>
        <w:t xml:space="preserve"> и содоклад Н. А. </w:t>
      </w:r>
      <w:proofErr w:type="spellStart"/>
      <w:r w:rsidRPr="007122AB">
        <w:rPr>
          <w:rFonts w:ascii="Times New Roman" w:hAnsi="Times New Roman"/>
          <w:color w:val="000000" w:themeColor="text1"/>
          <w:sz w:val="16"/>
          <w:szCs w:val="16"/>
        </w:rPr>
        <w:t>Доровлева</w:t>
      </w:r>
      <w:proofErr w:type="spellEnd"/>
      <w:r w:rsidRPr="007122AB">
        <w:rPr>
          <w:rFonts w:ascii="Times New Roman" w:hAnsi="Times New Roman"/>
          <w:color w:val="000000" w:themeColor="text1"/>
          <w:sz w:val="16"/>
          <w:szCs w:val="16"/>
        </w:rPr>
        <w:t xml:space="preserve"> о перспективах ввода на вооружение 165-мм химического миномета. В результате прений было принято решение о необходимости наличия в рамках оснащения РККА химическим вооружением как мощного </w:t>
      </w:r>
      <w:proofErr w:type="spellStart"/>
      <w:r w:rsidRPr="007122AB">
        <w:rPr>
          <w:rFonts w:ascii="Times New Roman" w:hAnsi="Times New Roman"/>
          <w:color w:val="000000" w:themeColor="text1"/>
          <w:sz w:val="16"/>
          <w:szCs w:val="16"/>
        </w:rPr>
        <w:t>газоминомета</w:t>
      </w:r>
      <w:proofErr w:type="spellEnd"/>
      <w:r w:rsidRPr="007122AB">
        <w:rPr>
          <w:rFonts w:ascii="Times New Roman" w:hAnsi="Times New Roman"/>
          <w:color w:val="000000" w:themeColor="text1"/>
          <w:sz w:val="16"/>
          <w:szCs w:val="16"/>
        </w:rPr>
        <w:t>, так и легкого химического миномета типа Стокса. Кроме этого, указывалось на необходимость «химизировать все системы минометов, принимаемых на вооружение».367 (20074).</w:t>
      </w:r>
    </w:p>
    <w:p w14:paraId="7D58EB8D" w14:textId="77777777" w:rsidR="006A772B" w:rsidRPr="007122AB" w:rsidRDefault="006A772B" w:rsidP="007122AB">
      <w:pPr>
        <w:autoSpaceDE w:val="0"/>
        <w:autoSpaceDN w:val="0"/>
        <w:adjustRightInd w:val="0"/>
        <w:spacing w:after="0" w:line="240" w:lineRule="auto"/>
        <w:jc w:val="both"/>
        <w:rPr>
          <w:rFonts w:ascii="Times New Roman" w:hAnsi="Times New Roman"/>
          <w:color w:val="000000" w:themeColor="text1"/>
          <w:sz w:val="16"/>
          <w:szCs w:val="16"/>
        </w:rPr>
      </w:pPr>
    </w:p>
    <w:p w14:paraId="2CE0D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июля 1931 года вышел приказ РВС СССР, согласно которому на восточной окраине Павлоградских хуторов был создан Павлоградский артиллерийский полигон для поведения контрольных испытаний боеприпасов и эта дата считается официальной датой создания полигона. На Украине потребовалось создать артиллерийский испытательный полигон для испытания боеприпасов, изготавливаемых на юге европейской части СССР. Распоряжением ГАУ РККА было утверждено место расположения полигона в районе г. Павлограда . В 1931 году для ознакомления с местностью и выбора трассы полигона в Павлоград прибыла группа военспецов, которая приняла окончательное решение. Место это было выбрано не случайно, близость таких промышленных центров как Донецк и Днепропетровск, пересечение автомобильных и железнодорожных магистралей в направлении с севера на юг и с запада на восток, облегчали доставку испытуемой продукции. " И вот нашли большое поле, есть разгуляться, где на воле. Построили:" артиллерийский полигон для испытания боеприпасов. Основное направление или азимут стрельбы было выбрано 156 градусов или по артиллерийским меркам двадцать шесть больших делений угломера (26-00), то есть близко к направлению север-юг. Столбы центральной директрисы трассы полигона протянулись длинной цепочкой по практически ровной, как стол украинской степи , пересекаемой неглубокими балками и редкими лесополосами. </w:t>
      </w:r>
    </w:p>
    <w:p w14:paraId="48A410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Выбранный рельеф местности позволял производить испытания боеприпасов всей имеющейся номенклатуры и проводить успешный поиск остатков снарядов при нештатном срабатывании (преждевременные разрывы на траектории, срыв ведущих поясков, недолеты и др.), что впоследствии блестяще подтвердилось на практике. Исходя из опыта посещения других арт. полигонов СССР, можно сказать , что на Павлоградском полигоне существовала одна из самых лучших трасс для поведения испытаний боеприпасов. Согласно утвержденных в 1931 году планов, Павлоградский арт. полигон должен был проводить испытания боеприпасов, производимых на предприятиях Украины, юга России и Кавказа. </w:t>
      </w:r>
    </w:p>
    <w:p w14:paraId="5923B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Первым начальником полигона был назначен Маньков Фома Николаевич , командир полка РККА, герой гражданской войны, командир бронепоезда, возглавлявший ранее отдел на Ленинградском научно-исследовательском полигоне, который приложил много сил и энергии для строительства полигона и выполнения программы испытаний боеприпасов, которая уже в 1931 году составила 7500 выстрелов из различных артиллерийских орудий: 76-мм пушки обр.1900-1902 года, 122-мм гаубицы обр.1910 года , 107 -мм полевой пушки обр.1907 года, а также из 152-мм пушек и гаубиц.</w:t>
      </w:r>
    </w:p>
    <w:p w14:paraId="4A416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Существовал острый дефицит кадров, особенно руководителей опытов (РО). В то время специалистов-испытателей боеприпасов не готовило ни одно высшее учебное заведение страны, специалисты, даже имеющее высшее образование, становились испытателями на полигоне спустя некоторое время , после приобретения определенного опыта. От них требовалась широта инженерных знаний и умение обобщать экспериментальный материал. Коллектив руководителей опытов формировался на Павлоградском артиллерийском полигоне. </w:t>
      </w:r>
    </w:p>
    <w:p w14:paraId="4A7952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время весь состав специалистов полигона состоял из кадровых военных, только после Великой отечественной войны появились специалисты промышленности, со временем сменившие кадровых военных.</w:t>
      </w:r>
    </w:p>
    <w:p w14:paraId="2B61D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году на полигоне вводится аппарат военных представителей (военпредов)для контроля армии над качеством выпускаемой продукции, который существует и по сей день, на полигонах и промышленных предприятиях , выпускающих продукцию для армии.</w:t>
      </w:r>
    </w:p>
    <w:p w14:paraId="630EF4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войной укрепляется испытательная база полигона, растут объемы испытаний. В 1934 году на полигоне были построены: снаряжательная лаборатория, жилые дома барачного типа, казарма, караульные помещения, пожарное депо, столовая, начато строительство 2-х жилых многоэтажных домов.</w:t>
      </w:r>
    </w:p>
    <w:p w14:paraId="4FD3C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Один из плановых показателей работы полигона - количество выстрелов составил в 1939 году 122 тысячи выстрелов( в 1932 году всего 14 тысяч), а это примерно 10 тыс. выстрелов в месяц или 300 выстрелов в день, что характеризует работу полигона как весьма интенсивную. </w:t>
      </w:r>
    </w:p>
    <w:p w14:paraId="0B2272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войной на полигоне была проведена огромная работа по испытанию стрельбой по железобетонным преградам, имитирующих фортификационные сооружения, первых образцов бетонобойных снарядов и взрывателей для 203 мм гаубицы большой мощности Б-4 образца 1938 года. Впервые гаубицы были практически применены в финскую войну 1940 года при прорыве укреплений линии Маннергейма глубиной в 40-50 км , а также с успехом использовались на фронтах Великой Отечественной войны в сражениях с немецко-фашистскими захватчиками. Остатки бетонных стенок , разрушенных бетонобойными снарядами до сих пор стоят в окрестностях полигона, поражая воображение гигантским объемом выполненных работ.</w:t>
      </w:r>
    </w:p>
    <w:p w14:paraId="4380B7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Накануне нападения фашистов, полигон полностью отвечал духу времени и успешно проводил испытания боеприпасов, в его состав входили следующие подразделения: цех подготовки орудий к стрельбам, цех подготовки боеприпасов, цех приема стрельб (поле), ремонтно-механический цех, отдел артиллерийских испытаний, отдел испытаний авиационных боеприпасов, баллистическая лаборатория, производственно-плановый отдел и другие. </w:t>
      </w:r>
    </w:p>
    <w:p w14:paraId="3BFB32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самой войной инженер Харитон Митрофанович Лаврик , выяснил на Павлоградском полигоне причины систематических преждевременных разрывов снарядов, за что 21 июня 1941 года был представлен к правительственной награде и присвоению звания кандидата технических наук, однако начавшаяся война , перечеркнула </w:t>
      </w:r>
      <w:r w:rsidRPr="007122AB">
        <w:rPr>
          <w:rFonts w:ascii="Times New Roman" w:hAnsi="Times New Roman"/>
          <w:color w:val="000000" w:themeColor="text1"/>
          <w:sz w:val="16"/>
          <w:szCs w:val="16"/>
        </w:rPr>
        <w:lastRenderedPageBreak/>
        <w:t>все планы. Впоследствии, Х.М. Лаврик долгое время трудился над этой проблемой в НИМИ, заслуженно получил звание доктора технических наук , награжден многими правительственными наградами.</w:t>
      </w:r>
    </w:p>
    <w:p w14:paraId="2ECD7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Начало войны сложилось для промышленности боеприпасов исключительно неблагоприятно. Были захвачены многие предприятия , изготовлявшие боеприпасы.</w:t>
      </w:r>
    </w:p>
    <w:p w14:paraId="1B1AD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первые месяцы войны до половины августа 1941 года на Павлоградском полигоне продолжают проводить испытания боеприпасов, но уже 17 августа был получен приказ об эвакуации полигона на станцию Чик, Новосибирской области, (в настоящее время там располагается НОЗИП).</w:t>
      </w:r>
    </w:p>
    <w:p w14:paraId="6EEA1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1941 года эшелоны с эвакуируемым имуществом полигона и специалистами отправились в далекий путь, а уже 11 ноября немцы оккупировали Павлоград. В первой половине сентября эшелоны прибыли в назначенный пункт. Эвакуированное тяжелое оборудование разгружали вручную, работали круглосуточно, в любую погоду. </w:t>
      </w:r>
    </w:p>
    <w:p w14:paraId="25B84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Людей поселили в селе </w:t>
      </w:r>
      <w:proofErr w:type="spellStart"/>
      <w:r w:rsidRPr="007122AB">
        <w:rPr>
          <w:rFonts w:ascii="Times New Roman" w:hAnsi="Times New Roman"/>
          <w:color w:val="000000" w:themeColor="text1"/>
          <w:sz w:val="16"/>
          <w:szCs w:val="16"/>
        </w:rPr>
        <w:t>Прокудка</w:t>
      </w:r>
      <w:proofErr w:type="spellEnd"/>
      <w:r w:rsidRPr="007122AB">
        <w:rPr>
          <w:rFonts w:ascii="Times New Roman" w:hAnsi="Times New Roman"/>
          <w:color w:val="000000" w:themeColor="text1"/>
          <w:sz w:val="16"/>
          <w:szCs w:val="16"/>
        </w:rPr>
        <w:t xml:space="preserve"> , недалеко от станции. На новом месте было необходимо организовать с "нуля" испытания необходимых фронту снарядов при острой нехватке производственных площадей, жилья, рабочей силы. Сборочные цехи разместили в школе, клубе и бараках совхоза. Зима 1941-1942 годов была на редкость суровой с частыми метелями и буранами. Морозы достигали 35-40 градусов. Но воля и мужество эвакуированных работников полигона оказались крепче сибирских морозов. Вначале приступили к испытаниям 76 и 152-мм снарядов, изготавливаемых в г. Новосибирске, а в 1942 году Новосибирский полигон уже на полную мощность проводил испытания боеприпасов, которые привозили с 60-ти заводов Сибири, Дальнего Востока и Средней Азии.</w:t>
      </w:r>
    </w:p>
    <w:p w14:paraId="292B8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Работники Павлоградского полигона преодолели огромные трудности, связанные с эвакуацией в начале войны, внесли свой достойный вклад в обеспечение действующей армии первоклассными боеприпасами и победу над Германией. За героизм , проявленный в годы войны,185 работников полигона награждены высокими государственными наградами, в том числе орденами 71 человек: Ленина-1, Красного Знамени-4, Красной Звезды- 42, Отечественной войны-13, Славы-11. За свободу и независимость Родины отдали свои жизни 89 человек. Звания Героя Советского Союза удостоен (посмертно) Перехода И.С.</w:t>
      </w:r>
    </w:p>
    <w:p w14:paraId="0590D9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сентября 1943 года Павлоград был освобожден от немецко-фашистских оккупантов , а уже 23 сентября в освобожденный город прибыл начальник полигона Д.Я. Сергеев для восстановления полигона. </w:t>
      </w:r>
    </w:p>
    <w:p w14:paraId="20FA8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1944 году на Павлоградском полигоне были продолжены испытания боеприпасов для фронта.</w:t>
      </w:r>
    </w:p>
    <w:p w14:paraId="4524A9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1947 году в Павлоград была перебазирована из Крыма летно-испытательная станция (ЛИС), оснащенная самолетами ТУ-2, ПЕ-2, ИЛ-10, ПО-2 и начались испытания практическим бомбометанием фугасных авиабомб ФАБ-25, ФАБ-50, ФАБ-100, ФАБ-250,ФАБ-500 и ФАБ-1000, осветительных авиабомб, спускаемых на парашютах, зажигательных авиабомб ОЗАБ-500, различных типов взрывателей для авиабомб. Бомбометание осуществлялось с минимальной высоты 300 м и максимальной-12000 м.</w:t>
      </w:r>
    </w:p>
    <w:p w14:paraId="2A7C03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Испытывались прототипы кассетных авиабомб, снаряженных АО-10, АО-1сч, ПТАБ-2,5.На </w:t>
      </w:r>
      <w:proofErr w:type="spellStart"/>
      <w:r w:rsidRPr="007122AB">
        <w:rPr>
          <w:rFonts w:ascii="Times New Roman" w:hAnsi="Times New Roman"/>
          <w:color w:val="000000" w:themeColor="text1"/>
          <w:sz w:val="16"/>
          <w:szCs w:val="16"/>
        </w:rPr>
        <w:t>ЛИСе</w:t>
      </w:r>
      <w:proofErr w:type="spellEnd"/>
      <w:r w:rsidRPr="007122AB">
        <w:rPr>
          <w:rFonts w:ascii="Times New Roman" w:hAnsi="Times New Roman"/>
          <w:color w:val="000000" w:themeColor="text1"/>
          <w:sz w:val="16"/>
          <w:szCs w:val="16"/>
        </w:rPr>
        <w:t xml:space="preserve"> начинал свою карьеру Фунтиков А.Г.- впоследствии заместитель командующего РВСН СССР.</w:t>
      </w:r>
    </w:p>
    <w:p w14:paraId="729127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послевоенные годы на полигоне продолжаются испытания взрывателей , снарядов и зарядов к 203 мм гаубице Б-4, испытания из 240 мм миномета М-240, реактивных снарядов РС-21 для авиации, образцов реактивных снарядов к установке БМ-21 "Град", а также реактивных глубинных бомб РГБ-250, размещаемых на кораблях военно-морского флота для борьбы с подводными лодками. </w:t>
      </w:r>
    </w:p>
    <w:p w14:paraId="45B7D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w:t>
      </w:r>
      <w:proofErr w:type="spellStart"/>
      <w:r w:rsidRPr="007122AB">
        <w:rPr>
          <w:rFonts w:ascii="Times New Roman" w:hAnsi="Times New Roman"/>
          <w:color w:val="000000" w:themeColor="text1"/>
          <w:sz w:val="16"/>
          <w:szCs w:val="16"/>
        </w:rPr>
        <w:t>Минобщемаша</w:t>
      </w:r>
      <w:proofErr w:type="spellEnd"/>
      <w:r w:rsidRPr="007122AB">
        <w:rPr>
          <w:rFonts w:ascii="Times New Roman" w:hAnsi="Times New Roman"/>
          <w:color w:val="000000" w:themeColor="text1"/>
          <w:sz w:val="16"/>
          <w:szCs w:val="16"/>
        </w:rPr>
        <w:t xml:space="preserve"> СССР ? 250 от 07 сентября 1956 года Павлоградский артиллерийский полигон передается НИИ-24(НИМИ) для комплексной отработки артиллерийских выстрелов и организуется СКБ-10.</w:t>
      </w:r>
    </w:p>
    <w:p w14:paraId="3918F2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1956 года по 1961 год на полигоне проводятся испытания выстрелов с кумулятивными снарядами:</w:t>
      </w:r>
    </w:p>
    <w:p w14:paraId="0D1B54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 76-мм горной пушке М-99;</w:t>
      </w:r>
    </w:p>
    <w:p w14:paraId="6C8FB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 85-мм пушкам Д-44 и ЗИС-53;</w:t>
      </w:r>
    </w:p>
    <w:p w14:paraId="60292E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 152-мм гаубице-пушке образца 1937 года и гаубице образца 1943 года;</w:t>
      </w:r>
    </w:p>
    <w:p w14:paraId="26DB15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 115-мм танковой пушке У-5ТС;</w:t>
      </w:r>
    </w:p>
    <w:p w14:paraId="3DC2A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 100-мм противотанковой пушке Т-12 и дивизионной пушке БС-3;</w:t>
      </w:r>
    </w:p>
    <w:p w14:paraId="70D267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 боеприпасы были сданы и приняты на вооружение.</w:t>
      </w:r>
    </w:p>
    <w:p w14:paraId="52C97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сданных на вооружение образцов кумулятивных снарядов, два были боеприпасами нового поколения - это снаряды к гладкоствольным пушкам: танковой У-5ТС ("Молот") и противотанковой Т-12 ("Рапира"). </w:t>
      </w:r>
    </w:p>
    <w:p w14:paraId="17000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1961 году на базе СКБ-10 разворачивается филиал ?2 ОКБ-586 для разработки тем НИР и ОКР, по разработке ракетных двигателей, затем в 1963 году, филиал ?2 ОКБ-586 преобразовывается в специализированный производственный объект СПО-8 и в 1966 году СПО-8 переименовывается в Павлоградский механический завод (ПМЗ), относящийся к Министерству общего машиностроения. В структуре ПМЗ артиллерийский полигон выделяется в состав отдельного подразделения (цех), выполняющего артиллерийские испытания, сборку арт. выстрелов и авиабомб по заказам Министерства Машиностроения [1]. </w:t>
      </w:r>
    </w:p>
    <w:p w14:paraId="77FF5A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Быстрыми темпами под руководством бессменного директора завода </w:t>
      </w:r>
      <w:proofErr w:type="spellStart"/>
      <w:r w:rsidRPr="007122AB">
        <w:rPr>
          <w:rFonts w:ascii="Times New Roman" w:hAnsi="Times New Roman"/>
          <w:color w:val="000000" w:themeColor="text1"/>
          <w:sz w:val="16"/>
          <w:szCs w:val="16"/>
        </w:rPr>
        <w:t>В.М.Шкуренко</w:t>
      </w:r>
      <w:proofErr w:type="spellEnd"/>
      <w:r w:rsidRPr="007122AB">
        <w:rPr>
          <w:rFonts w:ascii="Times New Roman" w:hAnsi="Times New Roman"/>
          <w:color w:val="000000" w:themeColor="text1"/>
          <w:sz w:val="16"/>
          <w:szCs w:val="16"/>
        </w:rPr>
        <w:t xml:space="preserve"> (1965-1995годы) развивается производство ракет и социальной инфраструктуры предприятия. Жилая площадь поселка достигла свыше 292 тыс. кв. метров, построено 14 точек общественного питания, комплекс магазинов, прачечная, дворец культуры машиностроителей, спортивный зал с гимнастическим и игровым залом, стадион, крытый плавательный бассейн, больница, четыре общежития, гостиница , музыкальная школа, профилакторий, детский оздоровительный лагерь "Лесной", семь детских комбинатов, две новые школы на 1296 мест каждая.</w:t>
      </w:r>
    </w:p>
    <w:p w14:paraId="1A3115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строительства новых цехов были выделены необходимые площади на боевом поле полигона, которые застроили цехами , сооружениями и стендами для испытания двигателей на твердом топливе для межконтинентальных баллистических ракет. Последним достижением ракетной науки и техники в СССР явилось создание ракетного комплекса РТ-23 УТТХ ( по американской терминологии SS-24 '</w:t>
      </w:r>
      <w:proofErr w:type="spellStart"/>
      <w:r w:rsidRPr="007122AB">
        <w:rPr>
          <w:rFonts w:ascii="Times New Roman" w:hAnsi="Times New Roman"/>
          <w:color w:val="000000" w:themeColor="text1"/>
          <w:sz w:val="16"/>
          <w:szCs w:val="16"/>
        </w:rPr>
        <w:t>Scalpel</w:t>
      </w:r>
      <w:proofErr w:type="spellEnd"/>
      <w:r w:rsidRPr="007122AB">
        <w:rPr>
          <w:rFonts w:ascii="Times New Roman" w:hAnsi="Times New Roman"/>
          <w:color w:val="000000" w:themeColor="text1"/>
          <w:sz w:val="16"/>
          <w:szCs w:val="16"/>
        </w:rPr>
        <w:t xml:space="preserve">'), стационарного ( шахтного) базирования(15Ж60) и железнодорожного(БЖРК) базирования(15Ж61), собираемого на ПМЗ. Укомплектованные БЖРК выезжали за ворота завода и направлялись на боевое дежурство , стуча колесами по стыкам рельс необъятной паутины железных дорог СССР. Не имеющий аналогов в отечественном и мировом ракетостроении, ракетный комплекс характеризовался высокой боевой эффективностью и выживаемостью за счет мобильности, наличия автономной системы навигации, постоянной готовности к боевому применению. Эта тема освещена в книге, выпущенной в 2001 году[2]. </w:t>
      </w:r>
    </w:p>
    <w:p w14:paraId="681973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развалом СССР часть ракетных комплексов была передана России, где они еще стоят на боевом дежурстве: три ракетных дивизии (на станции Василёк под Костромой, на станции Гладкая близ Красноярска и станции </w:t>
      </w:r>
      <w:proofErr w:type="spellStart"/>
      <w:r w:rsidRPr="007122AB">
        <w:rPr>
          <w:rFonts w:ascii="Times New Roman" w:hAnsi="Times New Roman"/>
          <w:color w:val="000000" w:themeColor="text1"/>
          <w:sz w:val="16"/>
          <w:szCs w:val="16"/>
        </w:rPr>
        <w:t>Бершеть</w:t>
      </w:r>
      <w:proofErr w:type="spellEnd"/>
      <w:r w:rsidRPr="007122AB">
        <w:rPr>
          <w:rFonts w:ascii="Times New Roman" w:hAnsi="Times New Roman"/>
          <w:color w:val="000000" w:themeColor="text1"/>
          <w:sz w:val="16"/>
          <w:szCs w:val="16"/>
        </w:rPr>
        <w:t xml:space="preserve"> Пермской области) в составе 12 полков-поездов , оснащенных 36 ракетными комплексами с ракетами РС-22В, каждая с десятью боезарядами мощностью по 550 </w:t>
      </w:r>
      <w:proofErr w:type="spellStart"/>
      <w:r w:rsidRPr="007122AB">
        <w:rPr>
          <w:rFonts w:ascii="Times New Roman" w:hAnsi="Times New Roman"/>
          <w:color w:val="000000" w:themeColor="text1"/>
          <w:sz w:val="16"/>
          <w:szCs w:val="16"/>
        </w:rPr>
        <w:t>кт</w:t>
      </w:r>
      <w:proofErr w:type="spellEnd"/>
      <w:r w:rsidRPr="007122AB">
        <w:rPr>
          <w:rFonts w:ascii="Times New Roman" w:hAnsi="Times New Roman"/>
          <w:color w:val="000000" w:themeColor="text1"/>
          <w:sz w:val="16"/>
          <w:szCs w:val="16"/>
        </w:rPr>
        <w:t>.</w:t>
      </w:r>
    </w:p>
    <w:p w14:paraId="3371C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истечением гарантийного срока хранения предполагается начать ликвидацию ракет и пусковых установок на базе утилизации в Брянске.</w:t>
      </w:r>
    </w:p>
    <w:p w14:paraId="2F194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договором СНВ-2, на Украине уже проведена утилизация ракетных комплексов РТ-23 УТТХ , ракеты разобраны на составные части. По иронии судьбы, работа по разборке ракет производилась с участием американских наблюдателей , для их страны в первую очередь и создавались эти изделия. Американские представители , контролировавшие уничтожение ракетных комплексов как боевых единиц, выполнили свою работу и вернулись в США, оставив город один на один с топливом, утилизировать которое как, предполагалось ранее, они не решились 'из-за технических рисков'. </w:t>
      </w:r>
    </w:p>
    <w:p w14:paraId="76D742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Sic</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transit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gloria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mundi</w:t>
      </w:r>
      <w:proofErr w:type="spellEnd"/>
      <w:r w:rsidRPr="007122AB">
        <w:rPr>
          <w:rFonts w:ascii="Times New Roman" w:hAnsi="Times New Roman"/>
          <w:color w:val="000000" w:themeColor="text1"/>
          <w:sz w:val="16"/>
          <w:szCs w:val="16"/>
        </w:rPr>
        <w:t>'-' Так проходит слава мира'. Останки некогда грозных 'Скальпелей', предназначенных для вспарывания систем ракетной обороны и органов управления потенциального противника , в виде 56 ступеней взрывопожароопасного и токсичного хлама общей массой 5000 тонн хранятся на территории г. Павлограда.</w:t>
      </w:r>
    </w:p>
    <w:p w14:paraId="3B0EB1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Вечный вопрос 'Что делать?' и 'Кто виноват?', не дает спокойно спать жителям г. Павлограда , несмотря на бодрые увещевания представителей власти.</w:t>
      </w:r>
    </w:p>
    <w:p w14:paraId="3DC37E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это отдельная история. </w:t>
      </w:r>
    </w:p>
    <w:p w14:paraId="0FCEA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1964 году испытательную площадку полигона перенесли вперед ,на значительное удаление от жилого поселка , производственных цехов и испытательных стендов , где проводилась сборка и испытания ракетных комплексов. Позднее на испытательной площадке были построены защитные сооружения (траверсы) с оборудованными огневыми позициями, </w:t>
      </w:r>
      <w:proofErr w:type="spellStart"/>
      <w:r w:rsidRPr="007122AB">
        <w:rPr>
          <w:rFonts w:ascii="Times New Roman" w:hAnsi="Times New Roman"/>
          <w:color w:val="000000" w:themeColor="text1"/>
          <w:sz w:val="16"/>
          <w:szCs w:val="16"/>
        </w:rPr>
        <w:t>бронетир</w:t>
      </w:r>
      <w:proofErr w:type="spellEnd"/>
      <w:r w:rsidRPr="007122AB">
        <w:rPr>
          <w:rFonts w:ascii="Times New Roman" w:hAnsi="Times New Roman"/>
          <w:color w:val="000000" w:themeColor="text1"/>
          <w:sz w:val="16"/>
          <w:szCs w:val="16"/>
        </w:rPr>
        <w:t xml:space="preserve"> для испытания бронеплит и бронебойных снарядов, и все необходимые здания и сооружения для проведения артиллерийских испытаний. Вместе с тем , трасса полигона была значительно уменьшена, что уже не позволяло проводить испытания боеприпасов нового поколения стрельбой на максимальную дальность. </w:t>
      </w:r>
    </w:p>
    <w:p w14:paraId="04F82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Период с 1970-го года по 1990-й год был одним из самых "урожайных" периодов для развития артиллерийской науки и техники по количеству сданных на вооружение Советской Армии образцов артиллерии и боеприпасов: </w:t>
      </w:r>
    </w:p>
    <w:p w14:paraId="3E539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вооружение поступают новые орудия, такие как противотанковая 100 мм Т-12, танковые 115мм У-5ТС и Д68, 125 мм 2А26 и 2А46,полевые орудия 152 мм Д20, 152мм 2А36 и 2А65 и др. , боеприпасы к которым испытываются на Павлоградском полигоне. Осваиваются новые виды испытаний инженерных боеприпасов УЗП-77 и УЗП-83,отрабатываются образцы систем динамической и активной защиты бронетехники и многое другое. Проводятся испытания по темам НИР и ОКР ведущих институтов разработчиков боеприпасов и артиллерийских систем : НИМИ , </w:t>
      </w:r>
      <w:proofErr w:type="spellStart"/>
      <w:r w:rsidRPr="007122AB">
        <w:rPr>
          <w:rFonts w:ascii="Times New Roman" w:hAnsi="Times New Roman"/>
          <w:color w:val="000000" w:themeColor="text1"/>
          <w:sz w:val="16"/>
          <w:szCs w:val="16"/>
        </w:rPr>
        <w:t>НИИстали</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НИИТрансмаш</w:t>
      </w:r>
      <w:proofErr w:type="spellEnd"/>
      <w:r w:rsidRPr="007122AB">
        <w:rPr>
          <w:rFonts w:ascii="Times New Roman" w:hAnsi="Times New Roman"/>
          <w:color w:val="000000" w:themeColor="text1"/>
          <w:sz w:val="16"/>
          <w:szCs w:val="16"/>
        </w:rPr>
        <w:t xml:space="preserve"> , ОКБ-9 ("Уралмаш"), ОАО "Мотовилихинские заводы", ФУГП "НИИ Поиск"(НИИ-22), НПО "Базальт" (ГСКБ - 47), ФГУП КНИИМ, ГУП ГНПП "Сплав" (НИИ-7), и др. Поддерживаются тесные связи с НИИ "Геодезия", НТИИМ, НОЗИП, ЧОЗИП, в/ч 33491, испытываются боеприпасы основных заводов -изготовителей : Донецкого ПО "Точмаш" и ДЗРХИ.</w:t>
      </w:r>
    </w:p>
    <w:p w14:paraId="28EF80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период с 1970 по 1990 год непосредственное руководство полигоном осуществляли: </w:t>
      </w:r>
      <w:proofErr w:type="spellStart"/>
      <w:r w:rsidRPr="007122AB">
        <w:rPr>
          <w:rFonts w:ascii="Times New Roman" w:hAnsi="Times New Roman"/>
          <w:color w:val="000000" w:themeColor="text1"/>
          <w:sz w:val="16"/>
          <w:szCs w:val="16"/>
        </w:rPr>
        <w:t>Замураев</w:t>
      </w:r>
      <w:proofErr w:type="spellEnd"/>
      <w:r w:rsidRPr="007122AB">
        <w:rPr>
          <w:rFonts w:ascii="Times New Roman" w:hAnsi="Times New Roman"/>
          <w:color w:val="000000" w:themeColor="text1"/>
          <w:sz w:val="16"/>
          <w:szCs w:val="16"/>
        </w:rPr>
        <w:t xml:space="preserve"> Г.В., </w:t>
      </w:r>
      <w:proofErr w:type="spellStart"/>
      <w:r w:rsidRPr="007122AB">
        <w:rPr>
          <w:rFonts w:ascii="Times New Roman" w:hAnsi="Times New Roman"/>
          <w:color w:val="000000" w:themeColor="text1"/>
          <w:sz w:val="16"/>
          <w:szCs w:val="16"/>
        </w:rPr>
        <w:t>Цималый</w:t>
      </w:r>
      <w:proofErr w:type="spellEnd"/>
      <w:r w:rsidRPr="007122AB">
        <w:rPr>
          <w:rFonts w:ascii="Times New Roman" w:hAnsi="Times New Roman"/>
          <w:color w:val="000000" w:themeColor="text1"/>
          <w:sz w:val="16"/>
          <w:szCs w:val="16"/>
        </w:rPr>
        <w:t xml:space="preserve"> Т.М., </w:t>
      </w:r>
      <w:proofErr w:type="spellStart"/>
      <w:r w:rsidRPr="007122AB">
        <w:rPr>
          <w:rFonts w:ascii="Times New Roman" w:hAnsi="Times New Roman"/>
          <w:color w:val="000000" w:themeColor="text1"/>
          <w:sz w:val="16"/>
          <w:szCs w:val="16"/>
        </w:rPr>
        <w:t>Любивый</w:t>
      </w:r>
      <w:proofErr w:type="spellEnd"/>
      <w:r w:rsidRPr="007122AB">
        <w:rPr>
          <w:rFonts w:ascii="Times New Roman" w:hAnsi="Times New Roman"/>
          <w:color w:val="000000" w:themeColor="text1"/>
          <w:sz w:val="16"/>
          <w:szCs w:val="16"/>
        </w:rPr>
        <w:t xml:space="preserve"> В.И , Иванов А.А. , </w:t>
      </w:r>
      <w:proofErr w:type="spellStart"/>
      <w:r w:rsidRPr="007122AB">
        <w:rPr>
          <w:rFonts w:ascii="Times New Roman" w:hAnsi="Times New Roman"/>
          <w:color w:val="000000" w:themeColor="text1"/>
          <w:sz w:val="16"/>
          <w:szCs w:val="16"/>
        </w:rPr>
        <w:t>Бессиный</w:t>
      </w:r>
      <w:proofErr w:type="spellEnd"/>
      <w:r w:rsidRPr="007122AB">
        <w:rPr>
          <w:rFonts w:ascii="Times New Roman" w:hAnsi="Times New Roman"/>
          <w:color w:val="000000" w:themeColor="text1"/>
          <w:sz w:val="16"/>
          <w:szCs w:val="16"/>
        </w:rPr>
        <w:t xml:space="preserve"> В.А.</w:t>
      </w:r>
    </w:p>
    <w:p w14:paraId="07121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Растет сборка кассетных авиабомб, выбрасывающих зарядов для торпедных аппаратов, выстрелов к 100 мм морскому автомату АК-100 (ЗИФ-91).</w:t>
      </w:r>
    </w:p>
    <w:p w14:paraId="5B925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Казалось бы, что этому процессу развития систем вооружений не будет конца.</w:t>
      </w:r>
    </w:p>
    <w:p w14:paraId="1716A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1991 году "трое ( Кравчук, Ельцин и Шушкевич) вышли из леса", принеся всем весть о расчленение сверхдержавы СССР на отдельные удельные княжества, где каждый из них стал сам "царь, бог и воинский начальник" и в один миг рухнул "колосс на глиняных ногах", который все годы прочно стоял в лидерах гонки по производству и продаже вооружений, устоял против фашистской агрессии , но не смог выдержать политических игр.</w:t>
      </w:r>
    </w:p>
    <w:p w14:paraId="5A8B1A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годы независимости Украины , на Павлоградском полигоне производились испытания 125 мм танковых пушек КБА3 (аналог советской 2А46 ) , предназначенных для комплектации танков украинского производства Т-80УД и различных боеприпасов. </w:t>
      </w:r>
    </w:p>
    <w:p w14:paraId="25893D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Список литературы : </w:t>
      </w:r>
    </w:p>
    <w:p w14:paraId="1D0ED4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1.Статья " К 55-летию Великой Победы. Главный артиллерийский полигон", авторы: Владимир </w:t>
      </w:r>
      <w:proofErr w:type="spellStart"/>
      <w:r w:rsidRPr="007122AB">
        <w:rPr>
          <w:rFonts w:ascii="Times New Roman" w:hAnsi="Times New Roman"/>
          <w:color w:val="000000" w:themeColor="text1"/>
          <w:sz w:val="16"/>
          <w:szCs w:val="16"/>
        </w:rPr>
        <w:t>Окрепилов</w:t>
      </w:r>
      <w:proofErr w:type="spellEnd"/>
      <w:r w:rsidRPr="007122AB">
        <w:rPr>
          <w:rFonts w:ascii="Times New Roman" w:hAnsi="Times New Roman"/>
          <w:color w:val="000000" w:themeColor="text1"/>
          <w:sz w:val="16"/>
          <w:szCs w:val="16"/>
        </w:rPr>
        <w:t xml:space="preserve">, Эдуард Борейша, Рем Михайлов </w:t>
      </w:r>
    </w:p>
    <w:p w14:paraId="5D04EC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2."Павлоградскому механическому заводу 70 лет. Краткие очерки по истории Павлоградского механического завода производственного объединения "ГП Южный машиностроительный завод имени </w:t>
      </w:r>
      <w:proofErr w:type="spellStart"/>
      <w:r w:rsidRPr="007122AB">
        <w:rPr>
          <w:rFonts w:ascii="Times New Roman" w:hAnsi="Times New Roman"/>
          <w:color w:val="000000" w:themeColor="text1"/>
          <w:sz w:val="16"/>
          <w:szCs w:val="16"/>
        </w:rPr>
        <w:t>А.М.Макарова</w:t>
      </w:r>
      <w:proofErr w:type="spellEnd"/>
      <w:r w:rsidRPr="007122AB">
        <w:rPr>
          <w:rFonts w:ascii="Times New Roman" w:hAnsi="Times New Roman"/>
          <w:color w:val="000000" w:themeColor="text1"/>
          <w:sz w:val="16"/>
          <w:szCs w:val="16"/>
        </w:rPr>
        <w:t xml:space="preserve">.", составитель </w:t>
      </w:r>
      <w:proofErr w:type="spellStart"/>
      <w:r w:rsidRPr="007122AB">
        <w:rPr>
          <w:rFonts w:ascii="Times New Roman" w:hAnsi="Times New Roman"/>
          <w:color w:val="000000" w:themeColor="text1"/>
          <w:sz w:val="16"/>
          <w:szCs w:val="16"/>
        </w:rPr>
        <w:t>В.М.Льняной</w:t>
      </w:r>
      <w:proofErr w:type="spellEnd"/>
      <w:r w:rsidRPr="007122AB">
        <w:rPr>
          <w:rFonts w:ascii="Times New Roman" w:hAnsi="Times New Roman"/>
          <w:color w:val="000000" w:themeColor="text1"/>
          <w:sz w:val="16"/>
          <w:szCs w:val="16"/>
        </w:rPr>
        <w:t xml:space="preserve"> ,издательство " Пороги", </w:t>
      </w:r>
      <w:proofErr w:type="spellStart"/>
      <w:r w:rsidRPr="007122AB">
        <w:rPr>
          <w:rFonts w:ascii="Times New Roman" w:hAnsi="Times New Roman"/>
          <w:color w:val="000000" w:themeColor="text1"/>
          <w:sz w:val="16"/>
          <w:szCs w:val="16"/>
        </w:rPr>
        <w:t>г.Днепропетровск</w:t>
      </w:r>
      <w:proofErr w:type="spellEnd"/>
      <w:r w:rsidRPr="007122AB">
        <w:rPr>
          <w:rFonts w:ascii="Times New Roman" w:hAnsi="Times New Roman"/>
          <w:color w:val="000000" w:themeColor="text1"/>
          <w:sz w:val="16"/>
          <w:szCs w:val="16"/>
        </w:rPr>
        <w:t xml:space="preserve">, 2001 год, ББК 63.3(2)7-24, П-12 </w:t>
      </w:r>
    </w:p>
    <w:p w14:paraId="2102CA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"НАУЧНО-ИССЛЕДОВАТЕЛЬСКИЙ МАШИНОСТРОИТЕЛЬНЫЙ ИНСТИТУТ( Н И М И ).СТРАНИЦЫ ИСТОРИИ,СОБЫТИЯ, ЛЮДИ.(1932 - 2002 гг.)"Автор - доктор технических наук, профессор Анатолий Анатольевич </w:t>
      </w:r>
      <w:proofErr w:type="spellStart"/>
      <w:r w:rsidRPr="007122AB">
        <w:rPr>
          <w:rFonts w:ascii="Times New Roman" w:hAnsi="Times New Roman"/>
          <w:color w:val="000000" w:themeColor="text1"/>
          <w:sz w:val="16"/>
          <w:szCs w:val="16"/>
        </w:rPr>
        <w:t>Каллистов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г.МОСКВА</w:t>
      </w:r>
      <w:proofErr w:type="spellEnd"/>
      <w:r w:rsidRPr="007122AB">
        <w:rPr>
          <w:rFonts w:ascii="Times New Roman" w:hAnsi="Times New Roman"/>
          <w:color w:val="000000" w:themeColor="text1"/>
          <w:sz w:val="16"/>
          <w:szCs w:val="16"/>
        </w:rPr>
        <w:t xml:space="preserve">, 2002 </w:t>
      </w:r>
      <w:proofErr w:type="spellStart"/>
      <w:r w:rsidRPr="007122AB">
        <w:rPr>
          <w:rFonts w:ascii="Times New Roman" w:hAnsi="Times New Roman"/>
          <w:color w:val="000000" w:themeColor="text1"/>
          <w:sz w:val="16"/>
          <w:szCs w:val="16"/>
        </w:rPr>
        <w:t>год.УДК</w:t>
      </w:r>
      <w:proofErr w:type="spellEnd"/>
      <w:r w:rsidRPr="007122AB">
        <w:rPr>
          <w:rFonts w:ascii="Times New Roman" w:hAnsi="Times New Roman"/>
          <w:color w:val="000000" w:themeColor="text1"/>
          <w:sz w:val="16"/>
          <w:szCs w:val="16"/>
        </w:rPr>
        <w:t xml:space="preserve"> 061.5:93199.ББК 63.3 (2) 7-24.Т,021</w:t>
      </w:r>
    </w:p>
    <w:p w14:paraId="032F6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5E1C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E673C3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7E4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июля 1931 года состоялось совещание по предварительному рассмотрению сводок испытаний ДИЗ-М17 и И5-М15 N 4 от</w:t>
      </w:r>
    </w:p>
    <w:p w14:paraId="0B720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рассмотрению сводки испытаний самолета ДИЗ-М17 установлено:</w:t>
      </w:r>
    </w:p>
    <w:p w14:paraId="2FB079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 что в отношении основных летных данных самолета за исключением времени серийных виражей существенных расхождений между результатами заводских испытаний и испытаний в НИИ - нет.</w:t>
      </w:r>
    </w:p>
    <w:p w14:paraId="20430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Итоговое заключение по самолету одобрить.</w:t>
      </w:r>
    </w:p>
    <w:p w14:paraId="46B21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рассмотрению сводки испытаний самолета И5-М15 N 4 - постановлено.</w:t>
      </w:r>
    </w:p>
    <w:p w14:paraId="397A5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по самолету И5-М15 N 4 одобрить.</w:t>
      </w:r>
    </w:p>
    <w:p w14:paraId="25446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Просить ЦКБ ускорить представление на испытание самолета И5-М15 как образцы для серии (3217,131-132).</w:t>
      </w:r>
    </w:p>
    <w:p w14:paraId="4C1189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E10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июля 1931 г. проводились испытания бомбардировочного вооружения на сам. Р-6</w:t>
      </w:r>
    </w:p>
    <w:p w14:paraId="6F051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3185C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Бомбардировочное вооружение самолета Р-6 в основном испытания выдержало (3208).</w:t>
      </w:r>
    </w:p>
    <w:p w14:paraId="73851F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04CC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июля 1931 г. проводились испытания стрелкового вооружения на сам. Р-нач. отделения летнабом </w:t>
      </w:r>
      <w:proofErr w:type="spellStart"/>
      <w:r w:rsidRPr="007122AB">
        <w:rPr>
          <w:rFonts w:ascii="Times New Roman" w:hAnsi="Times New Roman"/>
          <w:color w:val="000000" w:themeColor="text1"/>
          <w:sz w:val="16"/>
          <w:szCs w:val="16"/>
        </w:rPr>
        <w:t>Базенау</w:t>
      </w:r>
      <w:proofErr w:type="spellEnd"/>
    </w:p>
    <w:p w14:paraId="34376C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D3B1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Стрелковое вооружение самолета Р-6 в основном испытания выдержало (199-202,3208).</w:t>
      </w:r>
    </w:p>
    <w:p w14:paraId="6FA95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C5ACA1"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07C743C"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83C9D0" w14:textId="77777777" w:rsidR="00BB323F" w:rsidRPr="007122AB" w:rsidRDefault="00BB323F" w:rsidP="007122AB">
      <w:pPr>
        <w:pStyle w:val="rtejustify"/>
        <w:spacing w:before="0" w:after="0"/>
        <w:rPr>
          <w:color w:val="000000" w:themeColor="text1"/>
          <w:sz w:val="16"/>
          <w:szCs w:val="16"/>
        </w:rPr>
      </w:pPr>
      <w:r w:rsidRPr="007122AB">
        <w:rPr>
          <w:rStyle w:val="af0"/>
          <w:i w:val="0"/>
          <w:color w:val="000000" w:themeColor="text1"/>
          <w:sz w:val="16"/>
          <w:szCs w:val="16"/>
        </w:rPr>
        <w:t>3 июля 1931 г. Протокол Реввоенсовета № 25.</w:t>
      </w:r>
      <w:r w:rsidRPr="007122AB">
        <w:rPr>
          <w:color w:val="000000" w:themeColor="text1"/>
          <w:sz w:val="16"/>
          <w:szCs w:val="16"/>
        </w:rPr>
        <w:t xml:space="preserve"> 1. Строительство нефтехранилищ для обеспечения </w:t>
      </w:r>
      <w:proofErr w:type="spellStart"/>
      <w:r w:rsidRPr="007122AB">
        <w:rPr>
          <w:color w:val="000000" w:themeColor="text1"/>
          <w:sz w:val="16"/>
          <w:szCs w:val="16"/>
        </w:rPr>
        <w:t>мобпотребности</w:t>
      </w:r>
      <w:proofErr w:type="spellEnd"/>
      <w:r w:rsidRPr="007122AB">
        <w:rPr>
          <w:color w:val="000000" w:themeColor="text1"/>
          <w:sz w:val="16"/>
          <w:szCs w:val="16"/>
        </w:rPr>
        <w:t xml:space="preserve"> РККА в горючем. (Егоров). 3. Результаты испытания опытных образцов авиабомб (Меженинов). 4. Состояние работ по самоходной артиллерии (</w:t>
      </w:r>
      <w:proofErr w:type="spellStart"/>
      <w:r w:rsidRPr="007122AB">
        <w:rPr>
          <w:color w:val="000000" w:themeColor="text1"/>
          <w:sz w:val="16"/>
          <w:szCs w:val="16"/>
        </w:rPr>
        <w:t>Халепский</w:t>
      </w:r>
      <w:proofErr w:type="spellEnd"/>
      <w:r w:rsidRPr="007122AB">
        <w:rPr>
          <w:color w:val="000000" w:themeColor="text1"/>
          <w:sz w:val="16"/>
          <w:szCs w:val="16"/>
        </w:rPr>
        <w:t xml:space="preserve">). 6. Состояние работ по системе </w:t>
      </w:r>
      <w:proofErr w:type="spellStart"/>
      <w:r w:rsidRPr="007122AB">
        <w:rPr>
          <w:color w:val="000000" w:themeColor="text1"/>
          <w:sz w:val="16"/>
          <w:szCs w:val="16"/>
        </w:rPr>
        <w:t>химвооружения</w:t>
      </w:r>
      <w:proofErr w:type="spellEnd"/>
      <w:r w:rsidRPr="007122AB">
        <w:rPr>
          <w:color w:val="000000" w:themeColor="text1"/>
          <w:sz w:val="16"/>
          <w:szCs w:val="16"/>
        </w:rPr>
        <w:t xml:space="preserve"> (Фишман). 7. Результаты хранения порохов под водой (</w:t>
      </w:r>
      <w:proofErr w:type="spellStart"/>
      <w:r w:rsidRPr="007122AB">
        <w:rPr>
          <w:color w:val="000000" w:themeColor="text1"/>
          <w:sz w:val="16"/>
          <w:szCs w:val="16"/>
        </w:rPr>
        <w:t>Казиницкий</w:t>
      </w:r>
      <w:proofErr w:type="spellEnd"/>
      <w:r w:rsidRPr="007122AB">
        <w:rPr>
          <w:color w:val="000000" w:themeColor="text1"/>
          <w:sz w:val="16"/>
          <w:szCs w:val="16"/>
        </w:rPr>
        <w:t xml:space="preserve">). 8. Доклад </w:t>
      </w:r>
      <w:proofErr w:type="spellStart"/>
      <w:r w:rsidRPr="007122AB">
        <w:rPr>
          <w:color w:val="000000" w:themeColor="text1"/>
          <w:sz w:val="16"/>
          <w:szCs w:val="16"/>
        </w:rPr>
        <w:t>Осоавихима</w:t>
      </w:r>
      <w:proofErr w:type="spellEnd"/>
      <w:r w:rsidRPr="007122AB">
        <w:rPr>
          <w:color w:val="000000" w:themeColor="text1"/>
          <w:sz w:val="16"/>
          <w:szCs w:val="16"/>
        </w:rPr>
        <w:t xml:space="preserve"> о проделанной работе (Малиновский, Семашко). (РГВА. Ф. 4. Оп. 18. Д. 21. Л. 2, 3) (12342).</w:t>
      </w:r>
    </w:p>
    <w:p w14:paraId="07E1E3E4" w14:textId="77777777" w:rsidR="00BB323F" w:rsidRPr="007122AB" w:rsidRDefault="00BB323F" w:rsidP="007122AB">
      <w:pPr>
        <w:pStyle w:val="rtejustify"/>
        <w:spacing w:before="0" w:after="0"/>
        <w:rPr>
          <w:color w:val="000000" w:themeColor="text1"/>
          <w:sz w:val="16"/>
          <w:szCs w:val="16"/>
        </w:rPr>
      </w:pPr>
    </w:p>
    <w:p w14:paraId="7FF0658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47526F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63DF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 и 10 июля 1931. Из протокола заседания Политбюро № 46, 1931 г.</w:t>
      </w:r>
    </w:p>
    <w:p w14:paraId="5B80B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взаимоотношениях между руководящими работниками железнодорожного транспорта</w:t>
      </w:r>
    </w:p>
    <w:p w14:paraId="73394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Принять следующее постановление от имени ЦК и разослать его секретарям крайкомов и обкомов, начальникам и парторганизаторам железных дорог. </w:t>
      </w:r>
    </w:p>
    <w:p w14:paraId="787F3D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Пленум Центрального Комитета ВКП(б) наметил огромные задачи перед железнодорожным транспортом как для подготовки к осенне-зимним перевозкам, так и для проведения коренной реконструкции. </w:t>
      </w:r>
    </w:p>
    <w:p w14:paraId="44587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Достигнутое за последний период улучшение работы по дорогам является еще совершенно недостаточным и не обеспечивает роста перевозок в соответствии с потребностями народного хозяйства. Пленум ЦК дал боевые задания, выполнение которых является основной задачей всех транспортников, и в первую очередь руководящего состава работников транспорта. </w:t>
      </w:r>
    </w:p>
    <w:p w14:paraId="10AA16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Между тем среди руководящего состава работников транспорта за последнее время нет должного единства. Назначение на ряд ответственных должностей (директоров дорог, начальников управлений, начальников районов и т. п.) работников промышленности было встречено некоторой частью комсостава из числа старых железнодорожников выражением им недоверия и истолковано как начало оттирания старых кадров железнодорожников с руководящих постов на транспорте. Такие настроения, являясь проявлением чуждых большевизму </w:t>
      </w:r>
      <w:proofErr w:type="spellStart"/>
      <w:r w:rsidRPr="007122AB">
        <w:rPr>
          <w:rFonts w:ascii="Times New Roman" w:hAnsi="Times New Roman"/>
          <w:color w:val="000000" w:themeColor="text1"/>
          <w:sz w:val="16"/>
          <w:szCs w:val="16"/>
        </w:rPr>
        <w:t>узкоцеховых</w:t>
      </w:r>
      <w:proofErr w:type="spellEnd"/>
      <w:r w:rsidRPr="007122AB">
        <w:rPr>
          <w:rFonts w:ascii="Times New Roman" w:hAnsi="Times New Roman"/>
          <w:color w:val="000000" w:themeColor="text1"/>
          <w:sz w:val="16"/>
          <w:szCs w:val="16"/>
        </w:rPr>
        <w:t xml:space="preserve"> настроений, сохранились до сих пор на транспорте. </w:t>
      </w:r>
    </w:p>
    <w:p w14:paraId="681EA4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же время оживление этих непартийных настроений в известной мере объясняется тем, что некоторые руководящие работники промышленности из числа откомандированных на транспортную работу не всегда достаточно внимательно и чутко относятся к старым железнодорожникам. За последнее время эти настроения стали принимать недопустимые формы двух ориентаций на транспорте: на железнодорожников и "промышленников" как в аппарате НКПС, так и на дорогах... ЦК предупреждает, что всякого рода разговоры и действия, направленные к противопоставлению бывших работников промышленности железнодорожным и наоборот, будут рассматриваться как антипартийные дезорганизаторские действия (11652).</w:t>
      </w:r>
    </w:p>
    <w:p w14:paraId="7A9EB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AEFA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 и 10 июля 1931. Из протокола заседания Политбюро № 47, 1931 г.</w:t>
      </w:r>
    </w:p>
    <w:p w14:paraId="14BFE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Мероприятия к обеспечению целости перевозки тракторов, автомобилей и их частей </w:t>
      </w:r>
    </w:p>
    <w:p w14:paraId="20806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При перевозке тракторов и автомобилей на платформах производить отправку их партиями с обязательным сопровождением проводником, ответственным за целость тракторов, автомобилей и их частей... </w:t>
      </w:r>
    </w:p>
    <w:p w14:paraId="7A04D1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При перевозке малых партий, отправляемых без проводника, грузить трактора в крытые вагоны, не допуская туда погрузки каких-либо других посторонних грузов. </w:t>
      </w:r>
    </w:p>
    <w:p w14:paraId="25E0E1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При одиночных отправках, которые производить по возможности в крытых вагонах, снимать легко похищаемые части, упаковывая их в отдельные ящики. При каждом тракторе или автомобиле должен быть прикреплен ярлык, указывающий количество следующих ящиков (11652).</w:t>
      </w:r>
    </w:p>
    <w:p w14:paraId="3F39F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131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 и 10 июля 1931. Из протокола заседания Политбюро № 49, 1931 г.</w:t>
      </w:r>
    </w:p>
    <w:p w14:paraId="09ED50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перевозочных средствах для совхозов</w:t>
      </w:r>
    </w:p>
    <w:p w14:paraId="7045D5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т. т. Яковлеву и Тухачевскому договориться о немедленном использовании 600 военных грузовиков на время вывоза хлеба из зерносовхозов и представить свои предложения к 15 июля на Политбюро (11652).</w:t>
      </w:r>
    </w:p>
    <w:p w14:paraId="422648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B8F6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 и 10 июля 1931. Из протокола заседания Политбюро № 47, 1931 г.</w:t>
      </w:r>
    </w:p>
    <w:p w14:paraId="3FD37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"реформе" русского алфавита</w:t>
      </w:r>
    </w:p>
    <w:p w14:paraId="2E4963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продолжающихся попыток "реформы" русского алфавита (см. извещение об итогах всесоюзного совещания </w:t>
      </w:r>
      <w:proofErr w:type="spellStart"/>
      <w:r w:rsidRPr="007122AB">
        <w:rPr>
          <w:rFonts w:ascii="Times New Roman" w:hAnsi="Times New Roman"/>
          <w:color w:val="000000" w:themeColor="text1"/>
          <w:sz w:val="16"/>
          <w:szCs w:val="16"/>
        </w:rPr>
        <w:t>орфографистов</w:t>
      </w:r>
      <w:proofErr w:type="spellEnd"/>
      <w:r w:rsidRPr="007122AB">
        <w:rPr>
          <w:rFonts w:ascii="Times New Roman" w:hAnsi="Times New Roman"/>
          <w:color w:val="000000" w:themeColor="text1"/>
          <w:sz w:val="16"/>
          <w:szCs w:val="16"/>
        </w:rPr>
        <w:t xml:space="preserve"> в "Вечерней газете" от 29 июня), создающих угрозу бесплодной и пустой растраты сил и средств государства, ЦК ВКП(б) постановляет: </w:t>
      </w:r>
    </w:p>
    <w:p w14:paraId="506B7D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Воспретить всякую "реформу" и "дискуссию о реформе" русского алфавита. </w:t>
      </w:r>
    </w:p>
    <w:p w14:paraId="46B722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Возложить на </w:t>
      </w:r>
      <w:proofErr w:type="spellStart"/>
      <w:r w:rsidRPr="007122AB">
        <w:rPr>
          <w:rFonts w:ascii="Times New Roman" w:hAnsi="Times New Roman"/>
          <w:color w:val="000000" w:themeColor="text1"/>
          <w:sz w:val="16"/>
          <w:szCs w:val="16"/>
        </w:rPr>
        <w:t>НКПрос</w:t>
      </w:r>
      <w:proofErr w:type="spellEnd"/>
      <w:r w:rsidRPr="007122AB">
        <w:rPr>
          <w:rFonts w:ascii="Times New Roman" w:hAnsi="Times New Roman"/>
          <w:color w:val="000000" w:themeColor="text1"/>
          <w:sz w:val="16"/>
          <w:szCs w:val="16"/>
        </w:rPr>
        <w:t xml:space="preserve"> РСФСР тов. Бубнова ответственность за исполнение этого постановления (11652).</w:t>
      </w:r>
    </w:p>
    <w:p w14:paraId="7AAD9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9A092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5CF64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61D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июля 1931 л </w:t>
      </w:r>
      <w:proofErr w:type="spellStart"/>
      <w:r w:rsidRPr="007122AB">
        <w:rPr>
          <w:rFonts w:ascii="Times New Roman" w:hAnsi="Times New Roman"/>
          <w:color w:val="000000" w:themeColor="text1"/>
          <w:sz w:val="16"/>
          <w:szCs w:val="16"/>
        </w:rPr>
        <w:t>Б.Местон</w:t>
      </w:r>
      <w:proofErr w:type="spellEnd"/>
      <w:r w:rsidRPr="007122AB">
        <w:rPr>
          <w:rFonts w:ascii="Times New Roman" w:hAnsi="Times New Roman"/>
          <w:color w:val="000000" w:themeColor="text1"/>
          <w:sz w:val="16"/>
          <w:szCs w:val="16"/>
        </w:rPr>
        <w:t xml:space="preserve"> на Р-5 впервые доставил матрицы Правды из Москвы в Харьков (1771,5).</w:t>
      </w:r>
    </w:p>
    <w:p w14:paraId="6E23B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9FB1DA"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4 июля</w:t>
      </w:r>
      <w:r w:rsidRPr="007122AB">
        <w:rPr>
          <w:rFonts w:ascii="Times New Roman" w:hAnsi="Times New Roman"/>
          <w:color w:val="000000" w:themeColor="text1"/>
          <w:sz w:val="16"/>
          <w:szCs w:val="16"/>
        </w:rPr>
        <w:t xml:space="preserve"> в 1931 году первый полет с матрицами газеты «Правда» по маршруту Москва-Харьков выполнил </w:t>
      </w:r>
      <w:proofErr w:type="spellStart"/>
      <w:r w:rsidRPr="007122AB">
        <w:rPr>
          <w:rFonts w:ascii="Times New Roman" w:hAnsi="Times New Roman"/>
          <w:color w:val="000000" w:themeColor="text1"/>
          <w:sz w:val="16"/>
          <w:szCs w:val="16"/>
        </w:rPr>
        <w:t>Б.Местон</w:t>
      </w:r>
      <w:proofErr w:type="spellEnd"/>
      <w:r w:rsidRPr="007122AB">
        <w:rPr>
          <w:rFonts w:ascii="Times New Roman" w:hAnsi="Times New Roman"/>
          <w:color w:val="000000" w:themeColor="text1"/>
          <w:sz w:val="16"/>
          <w:szCs w:val="16"/>
        </w:rPr>
        <w:t xml:space="preserve"> на разведчике-биплане </w:t>
      </w:r>
      <w:hyperlink r:id="rId139" w:tgtFrame="_blank" w:history="1">
        <w:r w:rsidRPr="007122AB">
          <w:rPr>
            <w:rFonts w:ascii="Times New Roman" w:hAnsi="Times New Roman"/>
            <w:color w:val="000000" w:themeColor="text1"/>
            <w:sz w:val="16"/>
            <w:szCs w:val="16"/>
          </w:rPr>
          <w:t xml:space="preserve">«Р-5» </w:t>
        </w:r>
      </w:hyperlink>
      <w:r w:rsidRPr="007122AB">
        <w:rPr>
          <w:rFonts w:ascii="Times New Roman" w:hAnsi="Times New Roman"/>
          <w:color w:val="000000" w:themeColor="text1"/>
          <w:sz w:val="16"/>
          <w:szCs w:val="16"/>
        </w:rPr>
        <w:t>Поликарпова (14942).</w:t>
      </w:r>
    </w:p>
    <w:p w14:paraId="6876D76D" w14:textId="77777777" w:rsidR="006F5850" w:rsidRPr="007122AB" w:rsidRDefault="006F5850" w:rsidP="007122AB">
      <w:pPr>
        <w:spacing w:after="0" w:line="240" w:lineRule="auto"/>
        <w:jc w:val="both"/>
        <w:rPr>
          <w:rFonts w:ascii="Times New Roman" w:hAnsi="Times New Roman"/>
          <w:color w:val="000000" w:themeColor="text1"/>
          <w:sz w:val="16"/>
          <w:szCs w:val="16"/>
        </w:rPr>
      </w:pPr>
    </w:p>
    <w:p w14:paraId="32336B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4 июля 1931 года на городской окраине Новосибирска, Каменской площадке, состоялся митинг, посвященный закладке завода горного оборудования - будущего завода № 153. Вот как, по свидетельству очевидца и участника тех событий Ивана </w:t>
      </w:r>
      <w:proofErr w:type="spellStart"/>
      <w:r w:rsidRPr="007122AB">
        <w:rPr>
          <w:rFonts w:ascii="Times New Roman" w:hAnsi="Times New Roman"/>
          <w:color w:val="000000" w:themeColor="text1"/>
          <w:sz w:val="16"/>
          <w:szCs w:val="16"/>
        </w:rPr>
        <w:t>Дениченко</w:t>
      </w:r>
      <w:proofErr w:type="spellEnd"/>
      <w:r w:rsidRPr="007122AB">
        <w:rPr>
          <w:rFonts w:ascii="Times New Roman" w:hAnsi="Times New Roman"/>
          <w:color w:val="000000" w:themeColor="text1"/>
          <w:sz w:val="16"/>
          <w:szCs w:val="16"/>
        </w:rPr>
        <w:t>, происходило это знаменательное событие. «...Утром 4 июля 1931 года от крыльца Западно-Сибирской юридической школы двинулась колонна из 350 человек - будущих правоведов и присоединившихся к ним студентов учительского института и школы кооперации - по направлению к месту на окраине Новосибирска, где заканчивалось Каменское шоссе». Впереди несли транспарант «Построим сибирский гигант черной металлургии - Новосибирский завод горного оборудования!» (10764).</w:t>
      </w:r>
    </w:p>
    <w:p w14:paraId="79B7C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BE564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60049E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1F8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июля 1931 СССР получил от фирмы Виккерс 15 двухбашенных пулеметных танков, которые потом стали Т-26, заказанных 28 мая 1930. Также как М.1930 этот танк приглянулся комиссии </w:t>
      </w:r>
      <w:proofErr w:type="spellStart"/>
      <w:r w:rsidRPr="007122AB">
        <w:rPr>
          <w:rFonts w:ascii="Times New Roman" w:hAnsi="Times New Roman"/>
          <w:color w:val="000000" w:themeColor="text1"/>
          <w:sz w:val="16"/>
          <w:szCs w:val="16"/>
        </w:rPr>
        <w:t>И.А.Халепского</w:t>
      </w:r>
      <w:proofErr w:type="spellEnd"/>
      <w:r w:rsidRPr="007122AB">
        <w:rPr>
          <w:rFonts w:ascii="Times New Roman" w:hAnsi="Times New Roman"/>
          <w:color w:val="000000" w:themeColor="text1"/>
          <w:sz w:val="16"/>
          <w:szCs w:val="16"/>
        </w:rPr>
        <w:t>, которая подбирала машины под Систему танково-тракторно-авто-</w:t>
      </w:r>
      <w:proofErr w:type="spellStart"/>
      <w:r w:rsidRPr="007122AB">
        <w:rPr>
          <w:rFonts w:ascii="Times New Roman" w:hAnsi="Times New Roman"/>
          <w:color w:val="000000" w:themeColor="text1"/>
          <w:sz w:val="16"/>
          <w:szCs w:val="16"/>
        </w:rPr>
        <w:t>броневооружения</w:t>
      </w:r>
      <w:proofErr w:type="spellEnd"/>
      <w:r w:rsidRPr="007122AB">
        <w:rPr>
          <w:rFonts w:ascii="Times New Roman" w:hAnsi="Times New Roman"/>
          <w:color w:val="000000" w:themeColor="text1"/>
          <w:sz w:val="16"/>
          <w:szCs w:val="16"/>
        </w:rPr>
        <w:t xml:space="preserve"> РККА, разработанную в 1929. Его приняли на вооружение 13 февраля 1931 вместе с Т-27. С 1931 по 1941 сделали 12 тыс. 23 модификаций (1127,9).</w:t>
      </w:r>
    </w:p>
    <w:p w14:paraId="094493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C9E1F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9EE99D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8FE6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июля 1931 года и.о. начальника 2-го отдела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в ОООГПУ Розову (6948).</w:t>
      </w:r>
    </w:p>
    <w:p w14:paraId="487790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 о состоянии опытного самолета ШОН БМВ VI Е=7,3</w:t>
      </w:r>
    </w:p>
    <w:p w14:paraId="2DF32E6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штурмовик особого назначения выпущенный заводом № 39 по собственной инициативе ЦКБ 39 завода и в план опытного самолетостроения ВВС не входит.</w:t>
      </w:r>
    </w:p>
    <w:p w14:paraId="6548D4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и применение</w:t>
      </w:r>
    </w:p>
    <w:p w14:paraId="3601A9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замыслу конструкторов самолет предназначен для поражения живых целей. Имеет сильное вооружение: 4 пулемета с обстрелом вниз и вперед и один пулемет для обстрела сферы под хвостом и назад.</w:t>
      </w:r>
    </w:p>
    <w:p w14:paraId="78C13E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Схема конструкции</w:t>
      </w:r>
    </w:p>
    <w:p w14:paraId="289928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 местный нормальный биплан с двумя отворачивающимися назад вдоль фюзеляжа полукоробками крыльев. Крылья деревянной 2-х лонжеронной конструкции с полотняным покрытием.</w:t>
      </w:r>
    </w:p>
    <w:p w14:paraId="16A630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Фюзеляж из стальных сварных углеродистых труб с поперечными проволочными расчалками. Покрыт от кабины до конца фюзеляжа полотном.</w:t>
      </w:r>
    </w:p>
    <w:p w14:paraId="009C40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ШОН является модифицированным ТШ2 – </w:t>
      </w:r>
      <w:proofErr w:type="spellStart"/>
      <w:r w:rsidRPr="007122AB">
        <w:rPr>
          <w:rFonts w:ascii="Times New Roman" w:hAnsi="Times New Roman"/>
          <w:color w:val="000000" w:themeColor="text1"/>
          <w:sz w:val="16"/>
          <w:szCs w:val="16"/>
        </w:rPr>
        <w:t>полубронированный</w:t>
      </w:r>
      <w:proofErr w:type="spellEnd"/>
      <w:r w:rsidRPr="007122AB">
        <w:rPr>
          <w:rFonts w:ascii="Times New Roman" w:hAnsi="Times New Roman"/>
          <w:color w:val="000000" w:themeColor="text1"/>
          <w:sz w:val="16"/>
          <w:szCs w:val="16"/>
        </w:rPr>
        <w:t>. Забронированы только места сидения летчика и стрелка, предохраняя последних от попадания пуль сзади, снизу и частично с боков.</w:t>
      </w:r>
    </w:p>
    <w:p w14:paraId="0574A07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p w14:paraId="663BD3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установлены в кабине стрелка 4 пулемета ПВ1 и к ним 3000 штук патрон для обстрела нижней полусферы вперед и один пулемет Дегтярева с 300 штук патрон для обстрела нижней полусферы назад под хвост. Пятый пулемет Дегтярева будет иметь возможность в случае необходимости устанавливаться на шкворне для защиты верхней полусферы.</w:t>
      </w:r>
    </w:p>
    <w:p w14:paraId="2034D4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Наряду со стрелковым вооружением в фюзеляже имеются кассетные бомбодержатели с расчетом на 200 кг бомб за счет перегрузки.</w:t>
      </w:r>
    </w:p>
    <w:p w14:paraId="25CCBB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огнем 4-х передних пулеметов сосредоточено у летчика, пятым пулеметом у стрелка.</w:t>
      </w:r>
    </w:p>
    <w:p w14:paraId="3A2F3C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самолет в стадии заводских испытаний. Совершено около 10 полетов (6948, 298-300).</w:t>
      </w:r>
    </w:p>
    <w:p w14:paraId="41266A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4F84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июля 1931</w:t>
      </w:r>
    </w:p>
    <w:p w14:paraId="7A46980E"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бюро ячейки ВКП(б) з-да 39 им. Менжинского от 5/7 31 г.</w:t>
      </w:r>
    </w:p>
    <w:p w14:paraId="01445B7C"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Присутствовало 27 ч.</w:t>
      </w:r>
    </w:p>
    <w:p w14:paraId="3676440B"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СПИСОК ЛИЦ ПРЕДСТАВЛЕННЫХ К ОРДЕНУ ЛЕНИНА ЗАВОДА 39.</w:t>
      </w:r>
    </w:p>
    <w:p w14:paraId="721D22FA"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Горянов</w:t>
      </w:r>
      <w:proofErr w:type="spellEnd"/>
      <w:r w:rsidRPr="007122AB">
        <w:rPr>
          <w:rFonts w:ascii="Times New Roman" w:hAnsi="Times New Roman"/>
          <w:color w:val="000000" w:themeColor="text1"/>
          <w:sz w:val="16"/>
          <w:szCs w:val="16"/>
        </w:rPr>
        <w:t xml:space="preserve"> Анатолий Георгиевич</w:t>
      </w:r>
    </w:p>
    <w:p w14:paraId="62D3B2F9"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6E85F8DC"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Прокофьев Г.Е. (ЭКУ ОГПУ)</w:t>
      </w:r>
    </w:p>
    <w:p w14:paraId="24A8FA2C"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01923358"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Николай Евгеньевич – член ВКП(б) с 1917г. Имеет взыскание от ЦКК, 18/V 30 – выговор за непринятие мер к выполнению постановлений ЦКК. Переброшен на низовую работу. Полномочный представитель РВС на </w:t>
      </w:r>
      <w:proofErr w:type="spellStart"/>
      <w:r w:rsidRPr="007122AB">
        <w:rPr>
          <w:rFonts w:ascii="Times New Roman" w:hAnsi="Times New Roman"/>
          <w:color w:val="000000" w:themeColor="text1"/>
          <w:sz w:val="16"/>
          <w:szCs w:val="16"/>
        </w:rPr>
        <w:t>Южфронте</w:t>
      </w:r>
      <w:proofErr w:type="spellEnd"/>
      <w:r w:rsidRPr="007122AB">
        <w:rPr>
          <w:rFonts w:ascii="Times New Roman" w:hAnsi="Times New Roman"/>
          <w:color w:val="000000" w:themeColor="text1"/>
          <w:sz w:val="16"/>
          <w:szCs w:val="16"/>
        </w:rPr>
        <w:t>. Комиссар Самарского совдепа. Был за границей в командировке с 1925 по 1930 гг. Мещанин. Сейчас директор завода.</w:t>
      </w:r>
    </w:p>
    <w:p w14:paraId="60C863C6"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02A8949A"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Евстигнеев Сергей Осипович - член ВКП(б) с 1919 года. Рабочий - выдвиженец. Ударник. Рабочий стаж 25 лет. Был директором завода № 39 с 1928 по 1931 год.</w:t>
      </w:r>
    </w:p>
    <w:p w14:paraId="18598594"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3D6649FF"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Клевцов Петр Александрович - член ВКП(б) с 1919 года. Пом. директора завода. Служащий. Ударник. На заводе с 1929 года. 11 лет служил в Красной Армии, был на фронтах.</w:t>
      </w:r>
    </w:p>
    <w:p w14:paraId="18319434"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410F5D31"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Григорьев Василий Кириллович – член ВКП(б) с 1924 года. Рабочий-медник. Выдвинут на должность зав. мастерской в 1930 г. Был председателем завкома. Производственный стаж - 18 лет.</w:t>
      </w:r>
    </w:p>
    <w:p w14:paraId="0576F387"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3F692389"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Петров Кирилл Александрович - б/партийный, конструктор, производственный стаж с 1925 года, служащий, сын купца II гильдии.</w:t>
      </w:r>
    </w:p>
    <w:p w14:paraId="3F852007"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против 3.</w:t>
      </w:r>
    </w:p>
    <w:p w14:paraId="712A7D8A"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w:t>
      </w:r>
      <w:proofErr w:type="spellStart"/>
      <w:r w:rsidRPr="007122AB">
        <w:rPr>
          <w:rFonts w:ascii="Times New Roman" w:hAnsi="Times New Roman"/>
          <w:color w:val="000000" w:themeColor="text1"/>
          <w:sz w:val="16"/>
          <w:szCs w:val="16"/>
        </w:rPr>
        <w:t>Гневашев</w:t>
      </w:r>
      <w:proofErr w:type="spellEnd"/>
      <w:r w:rsidRPr="007122AB">
        <w:rPr>
          <w:rFonts w:ascii="Times New Roman" w:hAnsi="Times New Roman"/>
          <w:color w:val="000000" w:themeColor="text1"/>
          <w:sz w:val="16"/>
          <w:szCs w:val="16"/>
        </w:rPr>
        <w:t xml:space="preserve"> Семен Степанович – член ВКП(б) с 1924 года, рабочий, производственный стаж 28 лет, на заводе с 1919 года.</w:t>
      </w:r>
    </w:p>
    <w:p w14:paraId="061EFE8A"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6E179AB8"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Бычков Василий Петрович – член ВКП(б) с 1925 года, производственный стаж 20 лет, рабочий, член завкома, на заводе с 1922 года.</w:t>
      </w:r>
    </w:p>
    <w:p w14:paraId="1A977397"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3F3A2D50"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Нефедов Алексей Алексеевич – б/партийный, рабочий, медник, на заводе 4 года, производственный стаж 30 лет, член союза с 1923 года.</w:t>
      </w:r>
    </w:p>
    <w:p w14:paraId="35E93E83"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5010095F"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Ермолаев Михаил Дмитриевич – б/партийный, рабочий, слесарь, на заводе с 1925 года, производственный стаж 13 лет, был летчиком в Гражданскую войну, имеет орден Красного знамени.</w:t>
      </w:r>
    </w:p>
    <w:p w14:paraId="12445CE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63ADBAA6"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Фурманов Михаил Петрович – член ВКП(б) с 1924 года, секретарь ячейки ВКП(б), рабочий, столяр, производственный стаж 9 лет, на заводе с 1921 года, член союза с 1921г.</w:t>
      </w:r>
    </w:p>
    <w:p w14:paraId="1ADE683F"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6151E89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Пионтковский Юлиан Иванович – б/партийный, летчик-сдатчик, производственный стаж 10 лет, на заводе с 1929 года, до завода был в Красной Армии, по общественной работе работает в ОСОАВИАХИМЕ.</w:t>
      </w:r>
    </w:p>
    <w:p w14:paraId="1E55C3E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5B4A1C5C"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Крючков Иван Егорович – член ВКП(б) с 1924 года, Член союза с 1921 г., на заводе 7 лет, красногвардеец.</w:t>
      </w:r>
    </w:p>
    <w:p w14:paraId="452ED747"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3105A12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Можейко Владимир Иосифович – член ВКП(б) с 1924 г., рабочий, слесарь, производственный стаж 16 лет, на заводе с 1919 года.</w:t>
      </w:r>
    </w:p>
    <w:p w14:paraId="400501C8"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против 8.</w:t>
      </w:r>
    </w:p>
    <w:p w14:paraId="1B22259B"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Щеголев Василий Васильевич – член ВКП(б) с 1924 г., рабочий, слесарь, производственный стаж 20 лет, на заводе с 1929 года, чл. союза с 1920, был 6 лет в плену.</w:t>
      </w:r>
    </w:p>
    <w:p w14:paraId="08097DE2"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6F2F0105"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Красавин Петр Иванович – член ВКП(б) с 1924 года, рабочий, медник, производственный стаж 15 лет, на заводе с 1930 года, председатель цехкома.</w:t>
      </w:r>
    </w:p>
    <w:p w14:paraId="79470650"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против 1.</w:t>
      </w:r>
    </w:p>
    <w:p w14:paraId="34CA21A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w:t>
      </w:r>
      <w:proofErr w:type="spellStart"/>
      <w:r w:rsidRPr="007122AB">
        <w:rPr>
          <w:rFonts w:ascii="Times New Roman" w:hAnsi="Times New Roman"/>
          <w:color w:val="000000" w:themeColor="text1"/>
          <w:sz w:val="16"/>
          <w:szCs w:val="16"/>
        </w:rPr>
        <w:t>Таенков</w:t>
      </w:r>
      <w:proofErr w:type="spellEnd"/>
      <w:r w:rsidRPr="007122AB">
        <w:rPr>
          <w:rFonts w:ascii="Times New Roman" w:hAnsi="Times New Roman"/>
          <w:color w:val="000000" w:themeColor="text1"/>
          <w:sz w:val="16"/>
          <w:szCs w:val="16"/>
        </w:rPr>
        <w:t xml:space="preserve"> Дмитрий Николаевич – б/партийный, рабочий, токарь, на заводе 16 лет, производственный стаж 28 лет, член союза с 1917 года.</w:t>
      </w:r>
    </w:p>
    <w:p w14:paraId="497AB201"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030BA722"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Лившиц В.З. – б/партийный, рабочий, медник, производственный стаж 35 лет, на заводе 10 лет, член союза.</w:t>
      </w:r>
    </w:p>
    <w:p w14:paraId="711783DD"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против 4.</w:t>
      </w:r>
    </w:p>
    <w:p w14:paraId="2E2A9E30"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Башин Федор Федорович – член ВКП(б) с 1919 года, секретарь ячейки ВКП(б), рабочий, столяр, производственный стаж 15 лет, на заводе с 1926 года.</w:t>
      </w:r>
    </w:p>
    <w:p w14:paraId="34036D62"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02880932"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21. </w:t>
      </w:r>
      <w:proofErr w:type="spellStart"/>
      <w:r w:rsidRPr="007122AB">
        <w:rPr>
          <w:rFonts w:ascii="Times New Roman" w:hAnsi="Times New Roman"/>
          <w:color w:val="000000" w:themeColor="text1"/>
          <w:sz w:val="16"/>
          <w:szCs w:val="16"/>
        </w:rPr>
        <w:t>Рафаэлянц</w:t>
      </w:r>
      <w:proofErr w:type="spellEnd"/>
      <w:r w:rsidRPr="007122AB">
        <w:rPr>
          <w:rFonts w:ascii="Times New Roman" w:hAnsi="Times New Roman"/>
          <w:color w:val="000000" w:themeColor="text1"/>
          <w:sz w:val="16"/>
          <w:szCs w:val="16"/>
        </w:rPr>
        <w:t xml:space="preserve"> Арам Назарович – член ВКП(б) с 1920 года, инженер-</w:t>
      </w:r>
      <w:proofErr w:type="spellStart"/>
      <w:r w:rsidRPr="007122AB">
        <w:rPr>
          <w:rFonts w:ascii="Times New Roman" w:hAnsi="Times New Roman"/>
          <w:color w:val="000000" w:themeColor="text1"/>
          <w:sz w:val="16"/>
          <w:szCs w:val="16"/>
        </w:rPr>
        <w:t>конструктор.Производственный</w:t>
      </w:r>
      <w:proofErr w:type="spellEnd"/>
      <w:r w:rsidRPr="007122AB">
        <w:rPr>
          <w:rFonts w:ascii="Times New Roman" w:hAnsi="Times New Roman"/>
          <w:color w:val="000000" w:themeColor="text1"/>
          <w:sz w:val="16"/>
          <w:szCs w:val="16"/>
        </w:rPr>
        <w:t xml:space="preserve"> стаж в авиации 15 лет, на заводе 4 года.</w:t>
      </w:r>
    </w:p>
    <w:p w14:paraId="37D5664E"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10C29F73"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Бухгольц Бенедикт Леонович, летчик–сдатчик, производственный стаж летчика 8 лет, на заводе с 1929 года.</w:t>
      </w:r>
    </w:p>
    <w:p w14:paraId="156BB27B"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w:t>
      </w:r>
    </w:p>
    <w:p w14:paraId="5FAAD8E5"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Романцов Иван Сергеевич – член ВКП(б) с 1924 года, мастер цеха, рабочий, столяр, производственный стаж 15 лет, на заводе с 1923 года, был за границей в 1923 году.</w:t>
      </w:r>
    </w:p>
    <w:p w14:paraId="384FBC95"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против 3.</w:t>
      </w:r>
    </w:p>
    <w:p w14:paraId="66026F7A"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Иванов Иван Дмитриевич – член ВКП(б) с 1924 года, парт. взысканий нет, ударник, выдвиженец, и.о. зав. производственным отделом, рабочий, моторист, производственный стаж 13 лет, на заводе 13 лет, член союза с 1918 года.</w:t>
      </w:r>
    </w:p>
    <w:p w14:paraId="067B82E0"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против 9.</w:t>
      </w:r>
    </w:p>
    <w:p w14:paraId="4B587FE6"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Представить к ордену Ленина комсомольскую бригаду Фридмана. Первая бригада, перешедшая на хозрасчет. Показала положительные результаты. По примеру их организовалось шесть бригад, две также перешли на хозрасчет. Прогулов и брака нет, снизили нормы на 20%. Полуторамесячное задание выполнили за один месяц. Все участвуют в общественной жизни, по займу перечислили 170 % месячного заработка.</w:t>
      </w:r>
    </w:p>
    <w:p w14:paraId="1D2F810F" w14:textId="77777777" w:rsidR="006F5850" w:rsidRPr="007122AB" w:rsidRDefault="006F58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Голосовали – единогласно (15223).</w:t>
      </w:r>
    </w:p>
    <w:p w14:paraId="4276E282" w14:textId="77777777" w:rsidR="006F5850" w:rsidRPr="007122AB" w:rsidRDefault="006F5850" w:rsidP="007122AB">
      <w:pPr>
        <w:spacing w:after="0" w:line="240" w:lineRule="auto"/>
        <w:jc w:val="both"/>
        <w:rPr>
          <w:rFonts w:ascii="Times New Roman" w:hAnsi="Times New Roman"/>
          <w:color w:val="000000" w:themeColor="text1"/>
          <w:sz w:val="16"/>
          <w:szCs w:val="16"/>
        </w:rPr>
      </w:pPr>
    </w:p>
    <w:p w14:paraId="65DC68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июля 1931 вышел приказ УВВС N 55-а:</w:t>
      </w:r>
    </w:p>
    <w:p w14:paraId="53A95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 инженерами 6 отдела НИИ ВВС Кузнецовым и </w:t>
      </w:r>
      <w:proofErr w:type="spellStart"/>
      <w:r w:rsidRPr="007122AB">
        <w:rPr>
          <w:rFonts w:ascii="Times New Roman" w:hAnsi="Times New Roman"/>
          <w:color w:val="000000" w:themeColor="text1"/>
          <w:sz w:val="16"/>
          <w:szCs w:val="16"/>
        </w:rPr>
        <w:t>Павлючук</w:t>
      </w:r>
      <w:proofErr w:type="spellEnd"/>
      <w:r w:rsidRPr="007122AB">
        <w:rPr>
          <w:rFonts w:ascii="Times New Roman" w:hAnsi="Times New Roman"/>
          <w:color w:val="000000" w:themeColor="text1"/>
          <w:sz w:val="16"/>
          <w:szCs w:val="16"/>
        </w:rPr>
        <w:t xml:space="preserve"> сконструирован и испытан специальный отеплитель для подогрева моторов воздушного охлаждения перед запуском в зимнее время. Обогреватель обслуживает одновременно 4 мотора при температуре до -20 за 12-15 минут...</w:t>
      </w:r>
    </w:p>
    <w:p w14:paraId="23352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 3у УВВС реализовать означенное предложение в кратчайший срок с таким расчетом, чтобы первая серия отеплителей была готова к началу зимней учебы и разослана в части ВВС... (880).</w:t>
      </w:r>
    </w:p>
    <w:p w14:paraId="48ED0D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335036"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137сс о переводе Всесоюзным объединением ГВФ денежных средств НКВМ в счет 12 млн. руб. (ГА РФ. Ф. Р?8418. Оп. 28. Д. 1а. Л. 36) (12415).</w:t>
      </w:r>
    </w:p>
    <w:p w14:paraId="50990CB2"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1A88E3C8"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июля 1931</w:t>
      </w:r>
    </w:p>
    <w:p w14:paraId="10971E5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49/15: О Нобиле</w:t>
      </w:r>
    </w:p>
    <w:p w14:paraId="1073A94E"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4032C39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Разрешить Нобиле въезд в СССР на 2½ месяца для поездки на “Малыгине” и консультации по дирижаблестроению с оплатой его работы в советской валюте.</w:t>
      </w:r>
    </w:p>
    <w:p w14:paraId="76856E49"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77E4D3D6" w14:textId="77777777" w:rsidR="00962513" w:rsidRPr="007122AB" w:rsidRDefault="00962513"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Мессингу, Крестинскому.</w:t>
      </w:r>
    </w:p>
    <w:p w14:paraId="209FB98C"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(18124).</w:t>
      </w:r>
    </w:p>
    <w:p w14:paraId="2A9DECA1"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1765F768" w14:textId="77777777" w:rsidR="00531332" w:rsidRPr="007122AB" w:rsidRDefault="0053133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5 июля 1931 в СССР пригласили Умберто Нобиле. Всего лишь для консультаций по вопросам дирижаблестроения и только на два с половиной месяца63. Беседы же его с А.З. </w:t>
      </w:r>
      <w:proofErr w:type="spellStart"/>
      <w:r w:rsidRPr="007122AB">
        <w:rPr>
          <w:rFonts w:ascii="Times New Roman" w:eastAsia="Times New Roman" w:hAnsi="Times New Roman"/>
          <w:color w:val="000000" w:themeColor="text1"/>
          <w:sz w:val="16"/>
          <w:szCs w:val="16"/>
          <w:lang w:eastAsia="ru-RU"/>
        </w:rPr>
        <w:t>Гольцманом</w:t>
      </w:r>
      <w:proofErr w:type="spellEnd"/>
      <w:r w:rsidRPr="007122AB">
        <w:rPr>
          <w:rFonts w:ascii="Times New Roman" w:eastAsia="Times New Roman" w:hAnsi="Times New Roman"/>
          <w:color w:val="000000" w:themeColor="text1"/>
          <w:sz w:val="16"/>
          <w:szCs w:val="16"/>
          <w:lang w:eastAsia="ru-RU"/>
        </w:rPr>
        <w:t xml:space="preserve"> оказались весьма перспективными. Итальянский конструктор, подвергшийся опале на родине за провал полета «Италии», высказал готовность работать в Советском Союзе, и не в одиночку, а вместе с опытными инженерами, техниками, рабочими, да еще и с помесячной оплатой (20467).</w:t>
      </w:r>
    </w:p>
    <w:p w14:paraId="3DD11ABC" w14:textId="77777777" w:rsidR="00531332" w:rsidRPr="007122AB" w:rsidRDefault="00531332" w:rsidP="007122AB">
      <w:pPr>
        <w:spacing w:after="0" w:line="240" w:lineRule="auto"/>
        <w:jc w:val="both"/>
        <w:rPr>
          <w:rFonts w:ascii="Times New Roman" w:hAnsi="Times New Roman"/>
          <w:color w:val="000000" w:themeColor="text1"/>
          <w:sz w:val="16"/>
          <w:szCs w:val="16"/>
        </w:rPr>
      </w:pPr>
    </w:p>
    <w:p w14:paraId="078B9BE2"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1E7D3D8"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B6B56D"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№47. 26. Сообщение Косарева о Сталинградском тракторном заводе (ПБ от 5 июня 1931 г., пр. № 41, п. 11). (Политбюро... Т. 2. С. 188) (12416).</w:t>
      </w:r>
    </w:p>
    <w:p w14:paraId="4D5AD3AA"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3076FC0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FAF2EC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397691" w14:textId="77777777" w:rsidR="007F54AB" w:rsidRPr="007122AB" w:rsidRDefault="007F54AB"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6 июля 1931 завод №39 посетили И.В. Ста</w:t>
      </w:r>
      <w:r w:rsidRPr="007122AB">
        <w:rPr>
          <w:rFonts w:ascii="Times New Roman" w:hAnsi="Times New Roman"/>
          <w:color w:val="000000" w:themeColor="text1"/>
          <w:sz w:val="16"/>
          <w:szCs w:val="16"/>
          <w:lang w:eastAsia="ru-RU" w:bidi="ru-RU"/>
        </w:rPr>
        <w:softHyphen/>
        <w:t>лин, В.М. Молотов и маршал К.Е. Вороши</w:t>
      </w:r>
      <w:r w:rsidRPr="007122AB">
        <w:rPr>
          <w:rFonts w:ascii="Times New Roman" w:hAnsi="Times New Roman"/>
          <w:color w:val="000000" w:themeColor="text1"/>
          <w:sz w:val="16"/>
          <w:szCs w:val="16"/>
          <w:lang w:eastAsia="ru-RU" w:bidi="ru-RU"/>
        </w:rPr>
        <w:softHyphen/>
        <w:t xml:space="preserve">лов. Комиссия осмотрела разработанные в ЦКБ самолеты: истребители И-Зет и И-5, бомбардировщик ТБ-5, штурмовик ТШ-2, модификации самолета Р-5. Впечатление членов комиссии было положительным. Считается, что именно после этого показа начался процесс объединения ЦКБ и АГОС ЦАГИ. Надо полагать, начальник ЦКБ Па- </w:t>
      </w:r>
      <w:proofErr w:type="spellStart"/>
      <w:r w:rsidRPr="007122AB">
        <w:rPr>
          <w:rFonts w:ascii="Times New Roman" w:hAnsi="Times New Roman"/>
          <w:color w:val="000000" w:themeColor="text1"/>
          <w:sz w:val="16"/>
          <w:szCs w:val="16"/>
          <w:lang w:eastAsia="ru-RU" w:bidi="ru-RU"/>
        </w:rPr>
        <w:t>уфлер</w:t>
      </w:r>
      <w:proofErr w:type="spellEnd"/>
      <w:r w:rsidRPr="007122AB">
        <w:rPr>
          <w:rFonts w:ascii="Times New Roman" w:hAnsi="Times New Roman"/>
          <w:color w:val="000000" w:themeColor="text1"/>
          <w:sz w:val="16"/>
          <w:szCs w:val="16"/>
          <w:lang w:eastAsia="ru-RU" w:bidi="ru-RU"/>
        </w:rPr>
        <w:t xml:space="preserve"> сумел убедить руководство страны в высоких организаторских возможностях ОГПУ СССР (21062).</w:t>
      </w:r>
    </w:p>
    <w:p w14:paraId="09867F68" w14:textId="77777777" w:rsidR="007F54AB" w:rsidRPr="007122AB" w:rsidRDefault="007F54AB" w:rsidP="007122AB">
      <w:pPr>
        <w:spacing w:after="0" w:line="240" w:lineRule="auto"/>
        <w:jc w:val="both"/>
        <w:rPr>
          <w:rFonts w:ascii="Times New Roman" w:hAnsi="Times New Roman"/>
          <w:color w:val="000000" w:themeColor="text1"/>
          <w:sz w:val="16"/>
          <w:szCs w:val="16"/>
        </w:rPr>
      </w:pPr>
    </w:p>
    <w:p w14:paraId="07D26D76" w14:textId="77777777" w:rsidR="007F54AB" w:rsidRPr="007122AB" w:rsidRDefault="007F54AB"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г. ОГПУ демонстрировало И.В.С. результата работы ЦКБ-39. Кроме ТБ-5 модифика</w:t>
      </w:r>
      <w:r w:rsidRPr="007122AB">
        <w:rPr>
          <w:rFonts w:ascii="Times New Roman" w:hAnsi="Times New Roman"/>
          <w:color w:val="000000" w:themeColor="text1"/>
          <w:sz w:val="16"/>
          <w:szCs w:val="16"/>
        </w:rPr>
        <w:softHyphen/>
        <w:t>ции И-5, Р-5, ТШ-1 и Тш-2 демонстрировалась и «суперновинка» - пушечный истребитель И-Z. По всему выходило, что руководителям ОГПУ действительно удалось искоренить вредительство и найти наиболее продуктивную форму деятельности авиа</w:t>
      </w:r>
      <w:r w:rsidRPr="007122AB">
        <w:rPr>
          <w:rFonts w:ascii="Times New Roman" w:hAnsi="Times New Roman"/>
          <w:color w:val="000000" w:themeColor="text1"/>
          <w:sz w:val="16"/>
          <w:szCs w:val="16"/>
        </w:rPr>
        <w:softHyphen/>
        <w:t>промышленности. Поэтому никакие отсрочки не принима</w:t>
      </w:r>
      <w:r w:rsidRPr="007122AB">
        <w:rPr>
          <w:rFonts w:ascii="Times New Roman" w:hAnsi="Times New Roman"/>
          <w:color w:val="000000" w:themeColor="text1"/>
          <w:sz w:val="16"/>
          <w:szCs w:val="16"/>
        </w:rPr>
        <w:softHyphen/>
        <w:t>лись, достигнутые результаты следовало закреплять (20362).</w:t>
      </w:r>
    </w:p>
    <w:p w14:paraId="2EBDEF95" w14:textId="77777777" w:rsidR="007F54AB" w:rsidRPr="007122AB" w:rsidRDefault="007F54AB" w:rsidP="007122AB">
      <w:pPr>
        <w:shd w:val="clear" w:color="auto" w:fill="FFFFFF"/>
        <w:spacing w:after="0" w:line="240" w:lineRule="auto"/>
        <w:jc w:val="both"/>
        <w:rPr>
          <w:rFonts w:ascii="Times New Roman" w:hAnsi="Times New Roman"/>
          <w:color w:val="000000" w:themeColor="text1"/>
          <w:sz w:val="16"/>
          <w:szCs w:val="16"/>
        </w:rPr>
      </w:pPr>
    </w:p>
    <w:p w14:paraId="479CE4F2"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1931 г. Штурмовики ТШ-1 и ТШ-2, которые были продемонстри</w:t>
      </w:r>
      <w:r w:rsidRPr="007122AB">
        <w:rPr>
          <w:rFonts w:ascii="Times New Roman" w:hAnsi="Times New Roman"/>
          <w:color w:val="000000" w:themeColor="text1"/>
          <w:sz w:val="16"/>
          <w:szCs w:val="16"/>
        </w:rPr>
        <w:softHyphen/>
        <w:t>рованы Сталину как продукция ЦКБ-39 ОГ- ПУ выше уже упоминались. Добавим, что авторство на эти самолеты по сей день просматривается как-то расплывча</w:t>
      </w:r>
      <w:r w:rsidRPr="007122AB">
        <w:rPr>
          <w:rFonts w:ascii="Times New Roman" w:hAnsi="Times New Roman"/>
          <w:color w:val="000000" w:themeColor="text1"/>
          <w:sz w:val="16"/>
          <w:szCs w:val="16"/>
        </w:rPr>
        <w:softHyphen/>
        <w:t xml:space="preserve">то. Судя по всему, в отношении самолетов ТШ, так же как и некоторых других, главного конструктора старались не называть. В </w:t>
      </w:r>
      <w:proofErr w:type="spellStart"/>
      <w:r w:rsidRPr="007122AB">
        <w:rPr>
          <w:rFonts w:ascii="Times New Roman" w:hAnsi="Times New Roman"/>
          <w:color w:val="000000" w:themeColor="text1"/>
          <w:sz w:val="16"/>
          <w:szCs w:val="16"/>
        </w:rPr>
        <w:t>оГПу</w:t>
      </w:r>
      <w:proofErr w:type="spellEnd"/>
      <w:r w:rsidRPr="007122AB">
        <w:rPr>
          <w:rFonts w:ascii="Times New Roman" w:hAnsi="Times New Roman"/>
          <w:color w:val="000000" w:themeColor="text1"/>
          <w:sz w:val="16"/>
          <w:szCs w:val="16"/>
        </w:rPr>
        <w:t xml:space="preserve"> не было принято устанавливать истин</w:t>
      </w:r>
      <w:r w:rsidRPr="007122AB">
        <w:rPr>
          <w:rFonts w:ascii="Times New Roman" w:hAnsi="Times New Roman"/>
          <w:color w:val="000000" w:themeColor="text1"/>
          <w:sz w:val="16"/>
          <w:szCs w:val="16"/>
        </w:rPr>
        <w:softHyphen/>
        <w:t>ных авторов, тем более из числа арестованных конструк</w:t>
      </w:r>
      <w:r w:rsidRPr="007122AB">
        <w:rPr>
          <w:rFonts w:ascii="Times New Roman" w:hAnsi="Times New Roman"/>
          <w:color w:val="000000" w:themeColor="text1"/>
          <w:sz w:val="16"/>
          <w:szCs w:val="16"/>
        </w:rPr>
        <w:softHyphen/>
        <w:t>торов.</w:t>
      </w:r>
    </w:p>
    <w:p w14:paraId="6907EC22"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шила в мешке не утаишь, у всякого самоле</w:t>
      </w:r>
      <w:r w:rsidRPr="007122AB">
        <w:rPr>
          <w:rFonts w:ascii="Times New Roman" w:hAnsi="Times New Roman"/>
          <w:color w:val="000000" w:themeColor="text1"/>
          <w:sz w:val="16"/>
          <w:szCs w:val="16"/>
        </w:rPr>
        <w:softHyphen/>
        <w:t>та всегда есть первые родители и остальные сопутствую</w:t>
      </w:r>
      <w:r w:rsidRPr="007122AB">
        <w:rPr>
          <w:rFonts w:ascii="Times New Roman" w:hAnsi="Times New Roman"/>
          <w:color w:val="000000" w:themeColor="text1"/>
          <w:sz w:val="16"/>
          <w:szCs w:val="16"/>
        </w:rPr>
        <w:softHyphen/>
        <w:t>щие лица. В частности, в 1939 г. при подготовке матери</w:t>
      </w:r>
      <w:r w:rsidRPr="007122AB">
        <w:rPr>
          <w:rFonts w:ascii="Times New Roman" w:hAnsi="Times New Roman"/>
          <w:color w:val="000000" w:themeColor="text1"/>
          <w:sz w:val="16"/>
          <w:szCs w:val="16"/>
        </w:rPr>
        <w:softHyphen/>
        <w:t>алов на самолеты, созданные различными конструктора</w:t>
      </w:r>
      <w:r w:rsidRPr="007122AB">
        <w:rPr>
          <w:rFonts w:ascii="Times New Roman" w:hAnsi="Times New Roman"/>
          <w:color w:val="000000" w:themeColor="text1"/>
          <w:sz w:val="16"/>
          <w:szCs w:val="16"/>
        </w:rPr>
        <w:softHyphen/>
        <w:t xml:space="preserve">ми, в специальной справке </w:t>
      </w:r>
      <w:proofErr w:type="spellStart"/>
      <w:r w:rsidRPr="007122AB">
        <w:rPr>
          <w:rFonts w:ascii="Times New Roman" w:hAnsi="Times New Roman"/>
          <w:color w:val="000000" w:themeColor="text1"/>
          <w:sz w:val="16"/>
          <w:szCs w:val="16"/>
        </w:rPr>
        <w:t>Глававиапрома</w:t>
      </w:r>
      <w:proofErr w:type="spellEnd"/>
      <w:r w:rsidRPr="007122AB">
        <w:rPr>
          <w:rFonts w:ascii="Times New Roman" w:hAnsi="Times New Roman"/>
          <w:color w:val="000000" w:themeColor="text1"/>
          <w:sz w:val="16"/>
          <w:szCs w:val="16"/>
        </w:rPr>
        <w:t xml:space="preserve"> авторство на самолет ТШ М-17 (именно с таким написанием) одно</w:t>
      </w:r>
      <w:r w:rsidRPr="007122AB">
        <w:rPr>
          <w:rFonts w:ascii="Times New Roman" w:hAnsi="Times New Roman"/>
          <w:color w:val="000000" w:themeColor="text1"/>
          <w:sz w:val="16"/>
          <w:szCs w:val="16"/>
        </w:rPr>
        <w:softHyphen/>
        <w:t>временно приписывалось Григоровичу и Поликарпову. И этому есть вполне логичное объяснение (20362).</w:t>
      </w:r>
    </w:p>
    <w:p w14:paraId="6FFAB47B" w14:textId="77777777" w:rsidR="007F54AB" w:rsidRPr="007122AB" w:rsidRDefault="007F54AB" w:rsidP="007122AB">
      <w:pPr>
        <w:shd w:val="clear" w:color="auto" w:fill="FFFFFF"/>
        <w:spacing w:after="0" w:line="240" w:lineRule="auto"/>
        <w:jc w:val="both"/>
        <w:rPr>
          <w:rFonts w:ascii="Times New Roman" w:hAnsi="Times New Roman"/>
          <w:color w:val="000000" w:themeColor="text1"/>
          <w:sz w:val="16"/>
          <w:szCs w:val="16"/>
        </w:rPr>
      </w:pPr>
    </w:p>
    <w:p w14:paraId="505AB0B7" w14:textId="77777777" w:rsidR="000C1B8D" w:rsidRPr="00441F34" w:rsidRDefault="000C1B8D" w:rsidP="000C1B8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6 июля 1931 г. авиазавод №39 посетил Генеральный секретарь ЦК ВКП(б) И.В. Сталин, который осмотрел истребители тяжелый бомбардировщик ТБ-5, И-зет и И-5, штурмовики ТШ-1 и ТШ-2, а также модификации ближнего разведчика и легкого бомбардировщика Р-5. Пояснения давал директор завода №39 Е.С. </w:t>
      </w:r>
      <w:proofErr w:type="spellStart"/>
      <w:r w:rsidRPr="00441F34">
        <w:rPr>
          <w:rFonts w:ascii="Times New Roman" w:hAnsi="Times New Roman"/>
          <w:color w:val="0070C0"/>
          <w:sz w:val="16"/>
          <w:szCs w:val="16"/>
        </w:rPr>
        <w:t>Пауфлер</w:t>
      </w:r>
      <w:proofErr w:type="spellEnd"/>
      <w:r w:rsidRPr="00441F34">
        <w:rPr>
          <w:rFonts w:ascii="Times New Roman" w:hAnsi="Times New Roman"/>
          <w:color w:val="0070C0"/>
          <w:sz w:val="16"/>
          <w:szCs w:val="16"/>
        </w:rPr>
        <w:t xml:space="preserve">, также присутствовали Нарком по военным и морским делам К.Е. Ворошилов, работники ЦКБ-39 и ЦАГИ Г.Е. </w:t>
      </w:r>
      <w:proofErr w:type="spellStart"/>
      <w:r w:rsidRPr="00441F34">
        <w:rPr>
          <w:rFonts w:ascii="Times New Roman" w:hAnsi="Times New Roman"/>
          <w:color w:val="0070C0"/>
          <w:sz w:val="16"/>
          <w:szCs w:val="16"/>
        </w:rPr>
        <w:t>Чупилко</w:t>
      </w:r>
      <w:proofErr w:type="spellEnd"/>
      <w:r w:rsidRPr="00441F34">
        <w:rPr>
          <w:rFonts w:ascii="Times New Roman" w:hAnsi="Times New Roman"/>
          <w:color w:val="0070C0"/>
          <w:sz w:val="16"/>
          <w:szCs w:val="16"/>
        </w:rPr>
        <w:t xml:space="preserve">, А.Н. </w:t>
      </w:r>
      <w:proofErr w:type="spellStart"/>
      <w:r w:rsidRPr="00441F34">
        <w:rPr>
          <w:rFonts w:ascii="Times New Roman" w:hAnsi="Times New Roman"/>
          <w:color w:val="0070C0"/>
          <w:sz w:val="16"/>
          <w:szCs w:val="16"/>
        </w:rPr>
        <w:t>Рафаэлянц</w:t>
      </w:r>
      <w:proofErr w:type="spellEnd"/>
      <w:r w:rsidRPr="00441F34">
        <w:rPr>
          <w:rFonts w:ascii="Times New Roman" w:hAnsi="Times New Roman"/>
          <w:color w:val="0070C0"/>
          <w:sz w:val="16"/>
          <w:szCs w:val="16"/>
        </w:rPr>
        <w:t xml:space="preserve"> и В.М. Мясищев. После этого был поставлен вопрос объединения ЦКБ-39 и ЦАГИ уже на высшем уровне (23559).</w:t>
      </w:r>
    </w:p>
    <w:p w14:paraId="423A4621" w14:textId="77777777" w:rsidR="000C1B8D" w:rsidRPr="00441F34" w:rsidRDefault="000C1B8D" w:rsidP="000C1B8D">
      <w:pPr>
        <w:spacing w:after="0" w:line="240" w:lineRule="auto"/>
        <w:jc w:val="both"/>
        <w:rPr>
          <w:rFonts w:ascii="Times New Roman" w:hAnsi="Times New Roman"/>
          <w:color w:val="0070C0"/>
          <w:sz w:val="16"/>
          <w:szCs w:val="16"/>
        </w:rPr>
      </w:pPr>
    </w:p>
    <w:p w14:paraId="5EA31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июля 1931 комиссия, побывавшая на заводе 22, потребовала перенести на АНТ-7 (Р-6) трубку Пито, усилить обшивку под бомбодержателями, балки бомбодержателей, </w:t>
      </w:r>
      <w:proofErr w:type="spellStart"/>
      <w:r w:rsidRPr="007122AB">
        <w:rPr>
          <w:rFonts w:ascii="Times New Roman" w:hAnsi="Times New Roman"/>
          <w:color w:val="000000" w:themeColor="text1"/>
          <w:sz w:val="16"/>
          <w:szCs w:val="16"/>
        </w:rPr>
        <w:t>перекомпоновать</w:t>
      </w:r>
      <w:proofErr w:type="spellEnd"/>
      <w:r w:rsidRPr="007122AB">
        <w:rPr>
          <w:rFonts w:ascii="Times New Roman" w:hAnsi="Times New Roman"/>
          <w:color w:val="000000" w:themeColor="text1"/>
          <w:sz w:val="16"/>
          <w:szCs w:val="16"/>
        </w:rPr>
        <w:t xml:space="preserve"> оборудование и т.п. А.Н.Т. был возмущен и часть изменений решили внести со 2-й серии (2671,14).</w:t>
      </w:r>
    </w:p>
    <w:p w14:paraId="330C9C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DA70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июля 1931 очередная комиссия, побывавшая на заводе № 22, потребовала перенести трубку Пито, усилить балки бомбодержателей и обшивку под ними, еще раз </w:t>
      </w:r>
      <w:proofErr w:type="spellStart"/>
      <w:r w:rsidRPr="007122AB">
        <w:rPr>
          <w:rFonts w:ascii="Times New Roman" w:hAnsi="Times New Roman"/>
          <w:color w:val="000000" w:themeColor="text1"/>
          <w:sz w:val="16"/>
          <w:szCs w:val="16"/>
        </w:rPr>
        <w:t>перекомпоновать</w:t>
      </w:r>
      <w:proofErr w:type="spellEnd"/>
      <w:r w:rsidRPr="007122AB">
        <w:rPr>
          <w:rFonts w:ascii="Times New Roman" w:hAnsi="Times New Roman"/>
          <w:color w:val="000000" w:themeColor="text1"/>
          <w:sz w:val="16"/>
          <w:szCs w:val="16"/>
        </w:rPr>
        <w:t xml:space="preserve"> оборудование в кабинах, ввести лаз от летнаба к пилоту на Р-6.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281F4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15141F"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6-го июля 1931 года, работу завода № 39 заслушали на бюро Красно-Пресненского райкома ВКП(б). В архиве музея истории Иркутского авиационного завода хранится (в копии) «Резолюция бюро Красно-Пресненского райкома ВКП(б) о выполнении </w:t>
      </w:r>
      <w:proofErr w:type="spellStart"/>
      <w:r w:rsidRPr="007122AB">
        <w:rPr>
          <w:rFonts w:ascii="Times New Roman" w:hAnsi="Times New Roman"/>
          <w:color w:val="000000" w:themeColor="text1"/>
          <w:sz w:val="16"/>
          <w:szCs w:val="16"/>
        </w:rPr>
        <w:t>промфинплана</w:t>
      </w:r>
      <w:proofErr w:type="spellEnd"/>
      <w:r w:rsidRPr="007122AB">
        <w:rPr>
          <w:rFonts w:ascii="Times New Roman" w:hAnsi="Times New Roman"/>
          <w:color w:val="000000" w:themeColor="text1"/>
          <w:sz w:val="16"/>
          <w:szCs w:val="16"/>
        </w:rPr>
        <w:t xml:space="preserve"> на заводе № 39 им. Менжинского». Привлекает внимание второй пункт постановляющей части этой резолюции, в котором говорится: «Возбудить ходатайство перед ВЦИК о награждении работников 39-го завода орденом Ленина» (15223).</w:t>
      </w:r>
    </w:p>
    <w:p w14:paraId="6AB1C87E"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p>
    <w:p w14:paraId="416584CE"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РЕЗОЛЮЦИЯ БЮРО КРАСНО-ПРЕСНЕНСКОГО РАЙКОМА ВКП(б) О ВЫПОЛНЕНИИ ПРОМФИНПЛАНА НА ЗАВОДЕ № 39 им. МЕНЖИНСКОГО от 6/ VII – 31 г.</w:t>
      </w:r>
    </w:p>
    <w:p w14:paraId="6EA4B66A"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Выполнение </w:t>
      </w:r>
      <w:proofErr w:type="spellStart"/>
      <w:r w:rsidRPr="007122AB">
        <w:rPr>
          <w:rFonts w:ascii="Times New Roman" w:hAnsi="Times New Roman"/>
          <w:color w:val="000000" w:themeColor="text1"/>
          <w:sz w:val="16"/>
          <w:szCs w:val="16"/>
        </w:rPr>
        <w:t>промфинплана</w:t>
      </w:r>
      <w:proofErr w:type="spellEnd"/>
      <w:r w:rsidRPr="007122AB">
        <w:rPr>
          <w:rFonts w:ascii="Times New Roman" w:hAnsi="Times New Roman"/>
          <w:color w:val="000000" w:themeColor="text1"/>
          <w:sz w:val="16"/>
          <w:szCs w:val="16"/>
        </w:rPr>
        <w:t xml:space="preserve"> на заводе характеризуется следующими данными: </w:t>
      </w:r>
      <w:proofErr w:type="spellStart"/>
      <w:r w:rsidRPr="007122AB">
        <w:rPr>
          <w:rFonts w:ascii="Times New Roman" w:hAnsi="Times New Roman"/>
          <w:color w:val="000000" w:themeColor="text1"/>
          <w:sz w:val="16"/>
          <w:szCs w:val="16"/>
        </w:rPr>
        <w:t>Промфинплан</w:t>
      </w:r>
      <w:proofErr w:type="spellEnd"/>
      <w:r w:rsidRPr="007122AB">
        <w:rPr>
          <w:rFonts w:ascii="Times New Roman" w:hAnsi="Times New Roman"/>
          <w:color w:val="000000" w:themeColor="text1"/>
          <w:sz w:val="16"/>
          <w:szCs w:val="16"/>
        </w:rPr>
        <w:t xml:space="preserve"> 1930 года перевыполнен (за 9 месяцев выполнение 112%, за особый квартал 113,81% ) за что завод премирован Красным Знаменем Райкома и Райсовета. В первом полугодии 1931 года произведено 8 опытных самолетов, вместо предусмотренных планом 6, причем самолеты №№ 1, 2, 10, и 12 не выполнены, в то же время выполнены №№ 6, 23, 18, 7, 19. Особое значение с точки зрения обороноспособности страны имеет выпуск самолетов № № 7 и 8, потребовавших огромных напряжений со стороны всего рабочего коллектива завода. Кроме этого сверх плана выполнено за 1-ое полугодие ряд работ (И-6 им. Менжинского, 20 фюзеляжей с мотором для И-5, </w:t>
      </w:r>
      <w:proofErr w:type="spellStart"/>
      <w:r w:rsidRPr="007122AB">
        <w:rPr>
          <w:rFonts w:ascii="Times New Roman" w:hAnsi="Times New Roman"/>
          <w:color w:val="000000" w:themeColor="text1"/>
          <w:sz w:val="16"/>
          <w:szCs w:val="16"/>
        </w:rPr>
        <w:t>авиэтка</w:t>
      </w:r>
      <w:proofErr w:type="spellEnd"/>
      <w:r w:rsidRPr="007122AB">
        <w:rPr>
          <w:rFonts w:ascii="Times New Roman" w:hAnsi="Times New Roman"/>
          <w:color w:val="000000" w:themeColor="text1"/>
          <w:sz w:val="16"/>
          <w:szCs w:val="16"/>
        </w:rPr>
        <w:t xml:space="preserve"> «РГЗ» для ОСОАВИАХИМа и др.)</w:t>
      </w:r>
    </w:p>
    <w:p w14:paraId="3FF6E9B5"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Рабочая сила на заводе возросла за сравнительно короткий период больше чем в 2 раза. Тем не менее, производственный энтузиазм на заводе не снизился, а наоборот повысился: на 1-ое июля 1930 года охвачено соревнованием 95 %, до конца пятилетки закрепилось 76% рабочих завода. Продолжительность пребывания в работе самолетов показывает небывалые темпы работы завода сравнительно с другими опытными заводами (самолет № 1 был в производстве 2 месяца 28 дней, тогда как на заводе № 25 такой же самолет был в производстве 23 месяца, в ЦАГИ-37 месяцев). Особенно это касается машины № 8. Ряд бригад и ударников показали образцы подлинно большевистских темпов работы, превратив это «в дело чести, доблести и геройства» (комсомольская бригада тов. Фридмана, Егоров - слесарь и др.)</w:t>
      </w:r>
    </w:p>
    <w:p w14:paraId="7E709F7D"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Эти достижения есть результат упорной большевистской работы организации и рабочих завода, их высокой политической сознательности, активности и преданности партии, выражением чего является и успешное проведение ряда политических кампаний (</w:t>
      </w:r>
      <w:proofErr w:type="spellStart"/>
      <w:r w:rsidRPr="007122AB">
        <w:rPr>
          <w:rFonts w:ascii="Times New Roman" w:hAnsi="Times New Roman"/>
          <w:color w:val="000000" w:themeColor="text1"/>
          <w:sz w:val="16"/>
          <w:szCs w:val="16"/>
        </w:rPr>
        <w:t>культэстафета</w:t>
      </w:r>
      <w:proofErr w:type="spellEnd"/>
      <w:r w:rsidRPr="007122AB">
        <w:rPr>
          <w:rFonts w:ascii="Times New Roman" w:hAnsi="Times New Roman"/>
          <w:color w:val="000000" w:themeColor="text1"/>
          <w:sz w:val="16"/>
          <w:szCs w:val="16"/>
        </w:rPr>
        <w:t>, перевыборы советов, заем 3-го решающего года пятилетки - в один день все рабочие подписались на заем в размере месячного заработка (помощь, оказанная пролетариям Тулы и Сталинградского Тракторного завода по распространению займа и т.п.) Эти успехи достигнуты на основе борьбы за генеральную линию партии против оппортунистов, не верящих в возможность реконструкции завода, не умевших взять надлежащих темпов (отдельные настроения в Слесарном цеху, Комягинское дело в Медницком цеху и др.)</w:t>
      </w:r>
    </w:p>
    <w:p w14:paraId="41A37D57"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Однако в работе завода имеется ряд существенных недостатков, а именно:</w:t>
      </w:r>
    </w:p>
    <w:p w14:paraId="380C410E"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Несвоевременное поступление чертежей, задерживающих процесс производства (узлы), поступление иногда непроверенных чертежей, что приводит к изготовлению негодных деталей.</w:t>
      </w:r>
    </w:p>
    <w:p w14:paraId="492896BE"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Недостаточно четкое внутризаводское планирование, приводящее к простоям взаимозависящих цехов.</w:t>
      </w:r>
    </w:p>
    <w:p w14:paraId="352BDD00"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Прогулы, доходящие в Медницком цеху в мае месяце до 1,3 %, в Слесарном цеху – в июне-1.49 % (общий же % прогулов по заводу в апреле - 0,68, в мае - 0,54, в июне - 0,62 %)</w:t>
      </w:r>
    </w:p>
    <w:p w14:paraId="6ECA2B01"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Нечеткость в соподчинении (множественность распорядителей по отношению к цехам)</w:t>
      </w:r>
    </w:p>
    <w:p w14:paraId="5CE0B5AE"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При нехватке оборудования имеет место неполная загрузка станков, особенно во 2-ой и 3-й сменах.</w:t>
      </w:r>
    </w:p>
    <w:p w14:paraId="33A6B8D7"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Перестройка партработы не доведена до конца, в результате чего действительного поворота лицом к цеху, бригаде, группе – нет, что приводит к запаздыванию в постановке ряда политических вопросов ( Июньский Пленум ЦК, речь товарища Сталина) и конкретной постановки организационно – массовой работы; абсолютно недостаточен % старых производственников в число вновь принятых в партию, несвоевременный перевод из кандидатов в члены и т.п.; к сменной работе партячейка не приспособилась.</w:t>
      </w:r>
    </w:p>
    <w:p w14:paraId="1E0DE7C6"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Исходя из этого, Бюро РК ПОСТАНОВЛЯЕТ:</w:t>
      </w:r>
    </w:p>
    <w:p w14:paraId="16815E57"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Отмечая большевистскую работу по выполнению </w:t>
      </w:r>
      <w:proofErr w:type="spellStart"/>
      <w:r w:rsidRPr="007122AB">
        <w:rPr>
          <w:rFonts w:ascii="Times New Roman" w:hAnsi="Times New Roman"/>
          <w:color w:val="000000" w:themeColor="text1"/>
          <w:sz w:val="16"/>
          <w:szCs w:val="16"/>
        </w:rPr>
        <w:t>промфинплана</w:t>
      </w:r>
      <w:proofErr w:type="spellEnd"/>
      <w:r w:rsidRPr="007122AB">
        <w:rPr>
          <w:rFonts w:ascii="Times New Roman" w:hAnsi="Times New Roman"/>
          <w:color w:val="000000" w:themeColor="text1"/>
          <w:sz w:val="16"/>
          <w:szCs w:val="16"/>
        </w:rPr>
        <w:t>, обеспечивающую досрочное выполнение пятилетки (90 % пятилетнего плана уже выполнено) констатировать, что выпуск машины № 8 есть блестящая победа завода, победа Генеральной линии партии.</w:t>
      </w:r>
    </w:p>
    <w:p w14:paraId="7C0CE70D"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большевистскую работу по выполнению пятилетки в 3-ем решающем году – наградить завод знаменем Райкома и Райсовета.</w:t>
      </w:r>
    </w:p>
    <w:p w14:paraId="1608C773"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Возбудить ходатайство перед ВЦИК о награждении работников 39-го завода (см. список в приложении) орденом Ленина.</w:t>
      </w:r>
    </w:p>
    <w:p w14:paraId="69D845A4"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Предложить Райсовету выделить фонд для премирования лучших ударников завода домами отдыха, предметами широкого потребления, жильем.</w:t>
      </w:r>
    </w:p>
    <w:p w14:paraId="28F48DA1"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Считая необходимым форсировать реконструкцию и строительство завода, заслушать на одном из ближайших заседаний бюро доклад о ходе строительства. Считать нецелесообразным развертывание строек по Ленинградскому шоссе – перенести стройку по направлению к Боткинской больнице.</w:t>
      </w:r>
    </w:p>
    <w:p w14:paraId="48EA264A"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Поручить тов. Петровой возбудить ходатайство перед Моссоветом о продлении движения трамвая № 6 до Покровское – Стрешнево.</w:t>
      </w:r>
    </w:p>
    <w:p w14:paraId="59CBC5B0"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Обязать хоз., парт. и </w:t>
      </w:r>
      <w:proofErr w:type="spellStart"/>
      <w:r w:rsidRPr="007122AB">
        <w:rPr>
          <w:rFonts w:ascii="Times New Roman" w:hAnsi="Times New Roman"/>
          <w:color w:val="000000" w:themeColor="text1"/>
          <w:sz w:val="16"/>
          <w:szCs w:val="16"/>
        </w:rPr>
        <w:t>профруководство</w:t>
      </w:r>
      <w:proofErr w:type="spellEnd"/>
      <w:r w:rsidRPr="007122AB">
        <w:rPr>
          <w:rFonts w:ascii="Times New Roman" w:hAnsi="Times New Roman"/>
          <w:color w:val="000000" w:themeColor="text1"/>
          <w:sz w:val="16"/>
          <w:szCs w:val="16"/>
        </w:rPr>
        <w:t xml:space="preserve"> в ближайшее время поставить планирование общезаводское и внутрицеховое на основе установления определенных предварительных норм и перечня работ в соответствии с чертежами, предусматривая очередность деталей и увязки работы между взаимозависящими цехами.</w:t>
      </w:r>
    </w:p>
    <w:p w14:paraId="796BE4D9"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Предложить партячейке обеспечить </w:t>
      </w:r>
      <w:proofErr w:type="spellStart"/>
      <w:r w:rsidRPr="007122AB">
        <w:rPr>
          <w:rFonts w:ascii="Times New Roman" w:hAnsi="Times New Roman"/>
          <w:color w:val="000000" w:themeColor="text1"/>
          <w:sz w:val="16"/>
          <w:szCs w:val="16"/>
        </w:rPr>
        <w:t>партруководством</w:t>
      </w:r>
      <w:proofErr w:type="spellEnd"/>
      <w:r w:rsidRPr="007122AB">
        <w:rPr>
          <w:rFonts w:ascii="Times New Roman" w:hAnsi="Times New Roman"/>
          <w:color w:val="000000" w:themeColor="text1"/>
          <w:sz w:val="16"/>
          <w:szCs w:val="16"/>
        </w:rPr>
        <w:t xml:space="preserve"> 2 и 3 смены, создав в Токарном цеху сменные ячейки, а в остальных - ответственных сменных дежурных из состава бюро ячейки, а также в общезаводской ячейке. По этому же принципу перестроить комсомольские и партийные организации (15223).</w:t>
      </w:r>
    </w:p>
    <w:p w14:paraId="3B3758F6"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p>
    <w:p w14:paraId="555CA038" w14:textId="77777777" w:rsidR="008776F8" w:rsidRPr="007122AB" w:rsidRDefault="008776F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6 июля</w:t>
      </w:r>
      <w:r w:rsidRPr="007122AB">
        <w:rPr>
          <w:rFonts w:ascii="Times New Roman" w:hAnsi="Times New Roman"/>
          <w:color w:val="000000" w:themeColor="text1"/>
          <w:sz w:val="16"/>
          <w:szCs w:val="16"/>
        </w:rPr>
        <w:t xml:space="preserve"> в 1931 году авиазавод №39 и ЦКБ посетил </w:t>
      </w:r>
      <w:proofErr w:type="spellStart"/>
      <w:r w:rsidRPr="007122AB">
        <w:rPr>
          <w:rFonts w:ascii="Times New Roman" w:hAnsi="Times New Roman"/>
          <w:color w:val="000000" w:themeColor="text1"/>
          <w:sz w:val="16"/>
          <w:szCs w:val="16"/>
        </w:rPr>
        <w:t>И.В.Сталин</w:t>
      </w:r>
      <w:proofErr w:type="spellEnd"/>
      <w:r w:rsidRPr="007122AB">
        <w:rPr>
          <w:rFonts w:ascii="Times New Roman" w:hAnsi="Times New Roman"/>
          <w:color w:val="000000" w:themeColor="text1"/>
          <w:sz w:val="16"/>
          <w:szCs w:val="16"/>
        </w:rPr>
        <w:t xml:space="preserve">, который, очевидно, был хорошо информирован о самолете Григоровича с пушками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Вождь не только осмотрел его, но даже забрался в кабину и подергал за ручки. Главный конструктор </w:t>
      </w:r>
      <w:hyperlink r:id="rId140" w:tgtFrame="_blank" w:history="1">
        <w:r w:rsidRPr="007122AB">
          <w:rPr>
            <w:rFonts w:ascii="Times New Roman" w:hAnsi="Times New Roman"/>
            <w:color w:val="000000" w:themeColor="text1"/>
            <w:sz w:val="16"/>
            <w:szCs w:val="16"/>
          </w:rPr>
          <w:t xml:space="preserve">«И-Z» </w:t>
        </w:r>
      </w:hyperlink>
      <w:r w:rsidRPr="007122AB">
        <w:rPr>
          <w:rFonts w:ascii="Times New Roman" w:hAnsi="Times New Roman"/>
          <w:color w:val="000000" w:themeColor="text1"/>
          <w:sz w:val="16"/>
          <w:szCs w:val="16"/>
        </w:rPr>
        <w:t xml:space="preserve">при этом не присутствовал, все пояснения (в меру своего понимания) давал руководитель ЦКБ от ГПУ </w:t>
      </w:r>
      <w:proofErr w:type="spellStart"/>
      <w:r w:rsidRPr="007122AB">
        <w:rPr>
          <w:rFonts w:ascii="Times New Roman" w:hAnsi="Times New Roman"/>
          <w:color w:val="000000" w:themeColor="text1"/>
          <w:sz w:val="16"/>
          <w:szCs w:val="16"/>
        </w:rPr>
        <w:t>Е.С.Пауфлер</w:t>
      </w:r>
      <w:proofErr w:type="spellEnd"/>
      <w:r w:rsidRPr="007122AB">
        <w:rPr>
          <w:rFonts w:ascii="Times New Roman" w:hAnsi="Times New Roman"/>
          <w:color w:val="000000" w:themeColor="text1"/>
          <w:sz w:val="16"/>
          <w:szCs w:val="16"/>
        </w:rPr>
        <w:t xml:space="preserve">. Показали </w:t>
      </w:r>
      <w:proofErr w:type="spellStart"/>
      <w:r w:rsidRPr="007122AB">
        <w:rPr>
          <w:rFonts w:ascii="Times New Roman" w:hAnsi="Times New Roman"/>
          <w:color w:val="000000" w:themeColor="text1"/>
          <w:sz w:val="16"/>
          <w:szCs w:val="16"/>
        </w:rPr>
        <w:t>И.В.Сталину</w:t>
      </w:r>
      <w:proofErr w:type="spellEnd"/>
      <w:r w:rsidRPr="007122AB">
        <w:rPr>
          <w:rFonts w:ascii="Times New Roman" w:hAnsi="Times New Roman"/>
          <w:color w:val="000000" w:themeColor="text1"/>
          <w:sz w:val="16"/>
          <w:szCs w:val="16"/>
        </w:rPr>
        <w:t xml:space="preserve">, кстати, не только «И-Z», но и другие достижения этого КБ: «И-5» в вариантах, бомбардировщик «ТБ-5», штурмовики «ТШ-1» и «ТШ-2», переделки «Р-5». Очевидно, руководство ОГПУ сумело доказать, что строительство советской авиации в обозримом будущем невозможно без твердой чекистской руки. В результате произошло событие, получившее в народе известность как "свадьба" - приказом по Всесоюзному авиационному объединению (ВАО) №265 от 27 августа 1931 г. ЦКБ и ЦАГИ объединялись в единую организацию, начальником которой назначили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(14944).</w:t>
      </w:r>
    </w:p>
    <w:p w14:paraId="5D7B6FCA" w14:textId="77777777" w:rsidR="008776F8" w:rsidRPr="007122AB" w:rsidRDefault="008776F8" w:rsidP="007122AB">
      <w:pPr>
        <w:spacing w:after="0" w:line="240" w:lineRule="auto"/>
        <w:jc w:val="both"/>
        <w:rPr>
          <w:rFonts w:ascii="Times New Roman" w:hAnsi="Times New Roman"/>
          <w:color w:val="000000" w:themeColor="text1"/>
          <w:sz w:val="16"/>
          <w:szCs w:val="16"/>
        </w:rPr>
      </w:pPr>
    </w:p>
    <w:p w14:paraId="637C8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июля 1931 авиазавод 39 посетил И.В.С., который осмотрел И-зет (сидел в кабине и есть фото), И-5 в вариантах, бомбардировщик ТБ-5, штурмовики ТШ-1 и ТШ-2, переделки Р-5. Пояснения давал </w:t>
      </w:r>
      <w:proofErr w:type="spellStart"/>
      <w:r w:rsidRPr="007122AB">
        <w:rPr>
          <w:rFonts w:ascii="Times New Roman" w:hAnsi="Times New Roman"/>
          <w:color w:val="000000" w:themeColor="text1"/>
          <w:sz w:val="16"/>
          <w:szCs w:val="16"/>
        </w:rPr>
        <w:t>Е.С.Пауфлер</w:t>
      </w:r>
      <w:proofErr w:type="spellEnd"/>
      <w:r w:rsidRPr="007122AB">
        <w:rPr>
          <w:rFonts w:ascii="Times New Roman" w:hAnsi="Times New Roman"/>
          <w:color w:val="000000" w:themeColor="text1"/>
          <w:sz w:val="16"/>
          <w:szCs w:val="16"/>
        </w:rPr>
        <w:t xml:space="preserve">. Вместе с И.В.С. были </w:t>
      </w:r>
      <w:proofErr w:type="spellStart"/>
      <w:r w:rsidRPr="007122AB">
        <w:rPr>
          <w:rFonts w:ascii="Times New Roman" w:hAnsi="Times New Roman"/>
          <w:color w:val="000000" w:themeColor="text1"/>
          <w:sz w:val="16"/>
          <w:szCs w:val="16"/>
        </w:rPr>
        <w:t>Г.Е.Чупилко</w:t>
      </w:r>
      <w:proofErr w:type="spellEnd"/>
      <w:r w:rsidRPr="007122AB">
        <w:rPr>
          <w:rFonts w:ascii="Times New Roman" w:hAnsi="Times New Roman"/>
          <w:color w:val="000000" w:themeColor="text1"/>
          <w:sz w:val="16"/>
          <w:szCs w:val="16"/>
        </w:rPr>
        <w:t xml:space="preserve">, В.М.М., К.Е.В., </w:t>
      </w:r>
      <w:proofErr w:type="spellStart"/>
      <w:r w:rsidRPr="007122AB">
        <w:rPr>
          <w:rFonts w:ascii="Times New Roman" w:hAnsi="Times New Roman"/>
          <w:color w:val="000000" w:themeColor="text1"/>
          <w:sz w:val="16"/>
          <w:szCs w:val="16"/>
        </w:rPr>
        <w:t>А.Н.Рафаэлянц</w:t>
      </w:r>
      <w:proofErr w:type="spellEnd"/>
      <w:r w:rsidRPr="007122AB">
        <w:rPr>
          <w:rFonts w:ascii="Times New Roman" w:hAnsi="Times New Roman"/>
          <w:color w:val="000000" w:themeColor="text1"/>
          <w:sz w:val="16"/>
          <w:szCs w:val="16"/>
        </w:rPr>
        <w:t>. Считается, что этот визит подтолкнул процесс объединения ЦКБ и ЦАГИ (2692,5).</w:t>
      </w:r>
    </w:p>
    <w:p w14:paraId="3AEE67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F56A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июля 1931 г. есть фото - осмотр опытного образца И-ЗЕТ на заводе N° 39В кабине находится И.В. Сталин, стоят (слева направо): Г.Е. </w:t>
      </w:r>
      <w:proofErr w:type="spellStart"/>
      <w:r w:rsidRPr="007122AB">
        <w:rPr>
          <w:rFonts w:ascii="Times New Roman" w:hAnsi="Times New Roman"/>
          <w:color w:val="000000" w:themeColor="text1"/>
          <w:sz w:val="16"/>
          <w:szCs w:val="16"/>
        </w:rPr>
        <w:t>Чупилко</w:t>
      </w:r>
      <w:proofErr w:type="spellEnd"/>
      <w:r w:rsidRPr="007122AB">
        <w:rPr>
          <w:rFonts w:ascii="Times New Roman" w:hAnsi="Times New Roman"/>
          <w:color w:val="000000" w:themeColor="text1"/>
          <w:sz w:val="16"/>
          <w:szCs w:val="16"/>
        </w:rPr>
        <w:t xml:space="preserve">, В.М. Молотов, К.Е. Ворошилов, А.Н. </w:t>
      </w:r>
      <w:proofErr w:type="spellStart"/>
      <w:r w:rsidRPr="007122AB">
        <w:rPr>
          <w:rFonts w:ascii="Times New Roman" w:hAnsi="Times New Roman"/>
          <w:color w:val="000000" w:themeColor="text1"/>
          <w:sz w:val="16"/>
          <w:szCs w:val="16"/>
        </w:rPr>
        <w:t>Рафаэлянц</w:t>
      </w:r>
      <w:proofErr w:type="spellEnd"/>
      <w:r w:rsidRPr="007122AB">
        <w:rPr>
          <w:rFonts w:ascii="Times New Roman" w:hAnsi="Times New Roman"/>
          <w:color w:val="000000" w:themeColor="text1"/>
          <w:sz w:val="16"/>
          <w:szCs w:val="16"/>
        </w:rPr>
        <w:t xml:space="preserve">, И.Е.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w:t>
      </w:r>
    </w:p>
    <w:p w14:paraId="6FF6CF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июля 1931 г. завод № 39 и Центральное конструкторское бюро посетил И.В. Сталин, который, очевидно, был хорошо информирован об истребителе Григоровича с пушками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Вождь не только осмотрел самолёт, но даже забрался в кабину и потрогал приборы и рукоятки управления. Главный конструктор И-ЗЕТ при этом не присутствовал, все пояснения (в меру своего понимания) давал руководитель ЦКБ от ОГПУ Е.С.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Показали Сталину, кстати, не только И-Z, но и некоторые другие достижения ЦКБ: модернизированный истребитель И-5, бомбардировщик ТБ-5, штурмовики TLU-1 и TLLI-2, разведчик Р-5. Судя по всему, руководство ОГПУ сумело доказать, что строительство советской авиации в обозримом будущем невозможно без неустанного чекистского внимания. Ибо скоро произошло событие, которое авиационные острословы едко определили как "свадьба" - приказом по Всесоюзному авиационному объединению (ВАО) от 27 августа 1931 г. ЦКБ и ЦАГИ объединялись в единую проектную организацию, начальником которой назначили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(12005).</w:t>
      </w:r>
    </w:p>
    <w:p w14:paraId="6A8E15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DCCF35" w14:textId="77777777" w:rsidR="003562F3" w:rsidRPr="007122AB" w:rsidRDefault="003562F3" w:rsidP="007122AB">
      <w:pPr>
        <w:pStyle w:val="a3"/>
        <w:autoSpaceDE/>
        <w:autoSpaceDN/>
        <w:adjustRightInd/>
        <w:rPr>
          <w:color w:val="000000" w:themeColor="text1"/>
          <w:lang w:val="ru-RU"/>
        </w:rPr>
      </w:pPr>
      <w:r w:rsidRPr="007122AB">
        <w:rPr>
          <w:color w:val="000000" w:themeColor="text1"/>
          <w:lang w:val="ru-RU"/>
        </w:rPr>
        <w:t>6 июля 1931 г. авиазавод №39 и Цен</w:t>
      </w:r>
      <w:r w:rsidRPr="007122AB">
        <w:rPr>
          <w:color w:val="000000" w:themeColor="text1"/>
          <w:lang w:val="ru-RU"/>
        </w:rPr>
        <w:softHyphen/>
        <w:t xml:space="preserve">тральное конструкторское бюро посетил И.В. Сталин, который, очевидно, был хорошо информирован об истребителе Григоровича с пушками </w:t>
      </w:r>
      <w:proofErr w:type="spellStart"/>
      <w:r w:rsidRPr="007122AB">
        <w:rPr>
          <w:color w:val="000000" w:themeColor="text1"/>
          <w:lang w:val="ru-RU"/>
        </w:rPr>
        <w:t>Курчевского</w:t>
      </w:r>
      <w:proofErr w:type="spellEnd"/>
      <w:r w:rsidRPr="007122AB">
        <w:rPr>
          <w:color w:val="000000" w:themeColor="text1"/>
          <w:lang w:val="ru-RU"/>
        </w:rPr>
        <w:t>. Вождь не только осмотрел самолет, но даже забрался в кабину и потрогал приборы и рукоятки управления. Главный конструк</w:t>
      </w:r>
      <w:r w:rsidRPr="007122AB">
        <w:rPr>
          <w:color w:val="000000" w:themeColor="text1"/>
          <w:lang w:val="ru-RU"/>
        </w:rPr>
        <w:softHyphen/>
        <w:t xml:space="preserve">тор И-2 при этом не присутствовал, все пояснения (в меру своего понимания) давал руководитель ЦКБ от ГПУ Е.С. </w:t>
      </w:r>
      <w:proofErr w:type="spellStart"/>
      <w:r w:rsidRPr="007122AB">
        <w:rPr>
          <w:color w:val="000000" w:themeColor="text1"/>
          <w:lang w:val="ru-RU"/>
        </w:rPr>
        <w:t>Пауфлер</w:t>
      </w:r>
      <w:proofErr w:type="spellEnd"/>
      <w:r w:rsidRPr="007122AB">
        <w:rPr>
          <w:color w:val="000000" w:themeColor="text1"/>
          <w:lang w:val="ru-RU"/>
        </w:rPr>
        <w:t>. Показали Сталину, кстати, не только И-2, но и некоторые другие достижения этого КБ: модернизированный И-5, бомбардировщик ТБ-5, штурмовики ТШ-1 и ТШ-2, разведчик Р-5. Очевидно, руководство ОГПУ сумело доказать, что строительство советской ави</w:t>
      </w:r>
      <w:r w:rsidRPr="007122AB">
        <w:rPr>
          <w:color w:val="000000" w:themeColor="text1"/>
          <w:lang w:val="ru-RU"/>
        </w:rPr>
        <w:softHyphen/>
        <w:t>ации в обозримом будущем невозможно без неустанного чекистского внимания, ибо вскоре произошло событие, которое авиационные острословы едко определили как «свадьба»: приказом по Всесоюзному авиационному объединению (ВАО) №265 от 27 августа 1931 г. ЦКБ и ЦАГИ объеди</w:t>
      </w:r>
      <w:r w:rsidRPr="007122AB">
        <w:rPr>
          <w:color w:val="000000" w:themeColor="text1"/>
          <w:lang w:val="ru-RU"/>
        </w:rPr>
        <w:softHyphen/>
        <w:t xml:space="preserve">нялись в единую проектную организацию, начальником которой назначили </w:t>
      </w:r>
      <w:proofErr w:type="spellStart"/>
      <w:r w:rsidRPr="007122AB">
        <w:rPr>
          <w:color w:val="000000" w:themeColor="text1"/>
          <w:lang w:val="ru-RU"/>
        </w:rPr>
        <w:t>Пауфлера</w:t>
      </w:r>
      <w:proofErr w:type="spellEnd"/>
      <w:r w:rsidRPr="007122AB">
        <w:rPr>
          <w:color w:val="000000" w:themeColor="text1"/>
          <w:lang w:val="ru-RU"/>
        </w:rPr>
        <w:t xml:space="preserve"> (12731).</w:t>
      </w:r>
    </w:p>
    <w:p w14:paraId="1D060510" w14:textId="77777777" w:rsidR="003562F3" w:rsidRPr="007122AB" w:rsidRDefault="003562F3" w:rsidP="007122AB">
      <w:pPr>
        <w:pStyle w:val="a3"/>
        <w:autoSpaceDE/>
        <w:autoSpaceDN/>
        <w:adjustRightInd/>
        <w:rPr>
          <w:color w:val="000000" w:themeColor="text1"/>
          <w:lang w:val="ru-RU"/>
        </w:rPr>
      </w:pPr>
    </w:p>
    <w:p w14:paraId="0AFD0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июля 1931 г. территорию авиазавода № 39 и ЦКБ посетил И. В. Сталин. Очевидно, о самолете Григоровича с пушками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 С.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(12091).</w:t>
      </w:r>
    </w:p>
    <w:p w14:paraId="279D3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4F1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г. успехи, достигнутые ОГПУ в деле проектирования новой авиатехники, наглядно были продемонстрированы И.В. Сталину. В ангаре, на аэро</w:t>
      </w:r>
      <w:r w:rsidRPr="007122AB">
        <w:rPr>
          <w:rFonts w:ascii="Times New Roman" w:hAnsi="Times New Roman"/>
          <w:color w:val="000000" w:themeColor="text1"/>
          <w:sz w:val="16"/>
          <w:szCs w:val="16"/>
        </w:rPr>
        <w:softHyphen/>
        <w:t>дроме и в воздухе были показаны: истреби</w:t>
      </w:r>
      <w:r w:rsidRPr="007122AB">
        <w:rPr>
          <w:rFonts w:ascii="Times New Roman" w:hAnsi="Times New Roman"/>
          <w:color w:val="000000" w:themeColor="text1"/>
          <w:sz w:val="16"/>
          <w:szCs w:val="16"/>
        </w:rPr>
        <w:softHyphen/>
        <w:t xml:space="preserve">тель И-5, модификации разведчика Р-5, </w:t>
      </w:r>
      <w:proofErr w:type="spellStart"/>
      <w:r w:rsidRPr="007122AB">
        <w:rPr>
          <w:rFonts w:ascii="Times New Roman" w:hAnsi="Times New Roman"/>
          <w:color w:val="000000" w:themeColor="text1"/>
          <w:sz w:val="16"/>
          <w:szCs w:val="16"/>
        </w:rPr>
        <w:t>штур</w:t>
      </w:r>
      <w:proofErr w:type="spellEnd"/>
      <w:r w:rsidRPr="007122AB">
        <w:rPr>
          <w:rFonts w:ascii="Times New Roman" w:hAnsi="Times New Roman"/>
          <w:color w:val="000000" w:themeColor="text1"/>
          <w:sz w:val="16"/>
          <w:szCs w:val="16"/>
        </w:rPr>
        <w:t>- иовикТШ-1, бомбардировщик ТБ-5 и пушеч</w:t>
      </w:r>
      <w:r w:rsidRPr="007122AB">
        <w:rPr>
          <w:rFonts w:ascii="Times New Roman" w:hAnsi="Times New Roman"/>
          <w:color w:val="000000" w:themeColor="text1"/>
          <w:sz w:val="16"/>
          <w:szCs w:val="16"/>
        </w:rPr>
        <w:softHyphen/>
        <w:t xml:space="preserve">ный истребитель И-ЗЕТ. По всему выходило, </w:t>
      </w:r>
      <w:proofErr w:type="spellStart"/>
      <w:r w:rsidRPr="007122AB">
        <w:rPr>
          <w:rFonts w:ascii="Times New Roman" w:hAnsi="Times New Roman"/>
          <w:color w:val="000000" w:themeColor="text1"/>
          <w:sz w:val="16"/>
          <w:szCs w:val="16"/>
        </w:rPr>
        <w:t>тго</w:t>
      </w:r>
      <w:proofErr w:type="spellEnd"/>
      <w:r w:rsidRPr="007122AB">
        <w:rPr>
          <w:rFonts w:ascii="Times New Roman" w:hAnsi="Times New Roman"/>
          <w:color w:val="000000" w:themeColor="text1"/>
          <w:sz w:val="16"/>
          <w:szCs w:val="16"/>
        </w:rPr>
        <w:t xml:space="preserve"> руководителям ОГПУ действительно уда</w:t>
      </w:r>
      <w:r w:rsidRPr="007122AB">
        <w:rPr>
          <w:rFonts w:ascii="Times New Roman" w:hAnsi="Times New Roman"/>
          <w:color w:val="000000" w:themeColor="text1"/>
          <w:sz w:val="16"/>
          <w:szCs w:val="16"/>
        </w:rPr>
        <w:softHyphen/>
        <w:t>лось найти наиболее продуктивную форму деятельности авиапромышленности. Достиг</w:t>
      </w:r>
      <w:r w:rsidRPr="007122AB">
        <w:rPr>
          <w:rFonts w:ascii="Times New Roman" w:hAnsi="Times New Roman"/>
          <w:color w:val="000000" w:themeColor="text1"/>
          <w:sz w:val="16"/>
          <w:szCs w:val="16"/>
        </w:rPr>
        <w:softHyphen/>
        <w:t>нутые успехи решили закреплять, поэтому 27 августа 1931 г. приказом по Всесоюзному авиационному объединению (ВАО) №265 ЦКБ и ЦАГИ объединялись в единую про</w:t>
      </w:r>
      <w:r w:rsidRPr="007122AB">
        <w:rPr>
          <w:rFonts w:ascii="Times New Roman" w:hAnsi="Times New Roman"/>
          <w:color w:val="000000" w:themeColor="text1"/>
          <w:sz w:val="16"/>
          <w:szCs w:val="16"/>
        </w:rPr>
        <w:softHyphen/>
        <w:t>ектную организацию - ЦКБ-ЦАГИ. Остро</w:t>
      </w:r>
      <w:r w:rsidRPr="007122AB">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7122AB">
        <w:rPr>
          <w:rFonts w:ascii="Times New Roman" w:hAnsi="Times New Roman"/>
          <w:color w:val="000000" w:themeColor="text1"/>
          <w:sz w:val="16"/>
          <w:szCs w:val="16"/>
        </w:rPr>
        <w:softHyphen/>
        <w:t xml:space="preserve">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по технической части начальником объединенной организации стал С.В. Ильюшин (11974).</w:t>
      </w:r>
    </w:p>
    <w:p w14:paraId="32E2A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F81F86"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г. успехи, до</w:t>
      </w:r>
      <w:r w:rsidRPr="007122AB">
        <w:rPr>
          <w:rFonts w:ascii="Times New Roman" w:hAnsi="Times New Roman"/>
          <w:color w:val="000000" w:themeColor="text1"/>
          <w:sz w:val="16"/>
          <w:szCs w:val="16"/>
        </w:rPr>
        <w:softHyphen/>
        <w:t>стигнутые ОГПУ в деле проектирования но</w:t>
      </w:r>
      <w:r w:rsidRPr="007122AB">
        <w:rPr>
          <w:rFonts w:ascii="Times New Roman" w:hAnsi="Times New Roman"/>
          <w:color w:val="000000" w:themeColor="text1"/>
          <w:sz w:val="16"/>
          <w:szCs w:val="16"/>
        </w:rPr>
        <w:softHyphen/>
        <w:t>вой авиатехники, наглядно были продемон</w:t>
      </w:r>
      <w:r w:rsidRPr="007122AB">
        <w:rPr>
          <w:rFonts w:ascii="Times New Roman" w:hAnsi="Times New Roman"/>
          <w:color w:val="000000" w:themeColor="text1"/>
          <w:sz w:val="16"/>
          <w:szCs w:val="16"/>
        </w:rPr>
        <w:softHyphen/>
        <w:t>стрированы И.В. Сталину. В ангаре, на аэродроме и в воздухе были пока</w:t>
      </w:r>
      <w:r w:rsidRPr="007122AB">
        <w:rPr>
          <w:rFonts w:ascii="Times New Roman" w:hAnsi="Times New Roman"/>
          <w:color w:val="000000" w:themeColor="text1"/>
          <w:sz w:val="16"/>
          <w:szCs w:val="16"/>
        </w:rPr>
        <w:softHyphen/>
        <w:t>заны: истребитель И-5, модификации развед</w:t>
      </w:r>
      <w:r w:rsidRPr="007122AB">
        <w:rPr>
          <w:rFonts w:ascii="Times New Roman" w:hAnsi="Times New Roman"/>
          <w:color w:val="000000" w:themeColor="text1"/>
          <w:sz w:val="16"/>
          <w:szCs w:val="16"/>
        </w:rPr>
        <w:softHyphen/>
        <w:t>чика Р-5, штурмовик ТШ-1, бомбардиров</w:t>
      </w:r>
      <w:r w:rsidRPr="007122AB">
        <w:rPr>
          <w:rFonts w:ascii="Times New Roman" w:hAnsi="Times New Roman"/>
          <w:color w:val="000000" w:themeColor="text1"/>
          <w:sz w:val="16"/>
          <w:szCs w:val="16"/>
        </w:rPr>
        <w:softHyphen/>
        <w:t>щик ТБ-5 и пушечный истребитель И-ЗЕТ. По всему выходило, что руководителям ОГ</w:t>
      </w:r>
      <w:r w:rsidRPr="007122AB">
        <w:rPr>
          <w:rFonts w:ascii="Times New Roman" w:hAnsi="Times New Roman"/>
          <w:color w:val="000000" w:themeColor="text1"/>
          <w:sz w:val="16"/>
          <w:szCs w:val="16"/>
        </w:rPr>
        <w:softHyphen/>
        <w:t>ПУ действительно удалось найти наиболее продуктивную форму деятельности авиапро</w:t>
      </w:r>
      <w:r w:rsidRPr="007122AB">
        <w:rPr>
          <w:rFonts w:ascii="Times New Roman" w:hAnsi="Times New Roman"/>
          <w:color w:val="000000" w:themeColor="text1"/>
          <w:sz w:val="16"/>
          <w:szCs w:val="16"/>
        </w:rPr>
        <w:softHyphen/>
        <w:t>мышленности. Достигнутые успехи решили закреплять, поэтому, 27 августа 1931 г. при</w:t>
      </w:r>
      <w:r w:rsidRPr="007122AB">
        <w:rPr>
          <w:rFonts w:ascii="Times New Roman" w:hAnsi="Times New Roman"/>
          <w:color w:val="000000" w:themeColor="text1"/>
          <w:sz w:val="16"/>
          <w:szCs w:val="16"/>
        </w:rPr>
        <w:softHyphen/>
        <w:t>казом по Всесоюзному авиационному объ</w:t>
      </w:r>
      <w:r w:rsidRPr="007122AB">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7122AB">
        <w:rPr>
          <w:rFonts w:ascii="Times New Roman" w:hAnsi="Times New Roman"/>
          <w:color w:val="000000" w:themeColor="text1"/>
          <w:sz w:val="16"/>
          <w:szCs w:val="16"/>
        </w:rPr>
        <w:softHyphen/>
        <w:t>ектную организацию — ЦКБ-ЦАГИ. Остро</w:t>
      </w:r>
      <w:r w:rsidRPr="007122AB">
        <w:rPr>
          <w:rFonts w:ascii="Times New Roman" w:hAnsi="Times New Roman"/>
          <w:color w:val="000000" w:themeColor="text1"/>
          <w:sz w:val="16"/>
          <w:szCs w:val="16"/>
        </w:rPr>
        <w:softHyphen/>
        <w:t>словы окрестили соединение двух организа</w:t>
      </w:r>
      <w:r w:rsidRPr="007122AB">
        <w:rPr>
          <w:rFonts w:ascii="Times New Roman" w:hAnsi="Times New Roman"/>
          <w:color w:val="000000" w:themeColor="text1"/>
          <w:sz w:val="16"/>
          <w:szCs w:val="16"/>
        </w:rPr>
        <w:softHyphen/>
        <w:t xml:space="preserve">ций «свадьбой». От ОГПУ командовать новой структурой назначили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по тех</w:t>
      </w:r>
      <w:r w:rsidRPr="007122AB">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38DE26F4" w14:textId="77777777" w:rsidR="00BB323F" w:rsidRPr="007122AB" w:rsidRDefault="00BB323F" w:rsidP="007122AB">
      <w:pPr>
        <w:spacing w:after="0" w:line="240" w:lineRule="auto"/>
        <w:jc w:val="both"/>
        <w:rPr>
          <w:rFonts w:ascii="Times New Roman" w:hAnsi="Times New Roman"/>
          <w:color w:val="000000" w:themeColor="text1"/>
          <w:sz w:val="16"/>
          <w:szCs w:val="16"/>
        </w:rPr>
      </w:pPr>
    </w:p>
    <w:p w14:paraId="3D893F39" w14:textId="77777777" w:rsidR="00E278B5" w:rsidRPr="007122AB" w:rsidRDefault="00E278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6 июля (</w:t>
      </w:r>
      <w:proofErr w:type="spellStart"/>
      <w:r w:rsidRPr="007122AB">
        <w:rPr>
          <w:rFonts w:ascii="Times New Roman" w:hAnsi="Times New Roman"/>
          <w:color w:val="000000" w:themeColor="text1"/>
          <w:sz w:val="16"/>
          <w:szCs w:val="16"/>
        </w:rPr>
        <w:t>тдт</w:t>
      </w:r>
      <w:proofErr w:type="spellEnd"/>
      <w:r w:rsidRPr="007122AB">
        <w:rPr>
          <w:rFonts w:ascii="Times New Roman" w:hAnsi="Times New Roman"/>
          <w:color w:val="000000" w:themeColor="text1"/>
          <w:sz w:val="16"/>
          <w:szCs w:val="16"/>
        </w:rPr>
        <w:t xml:space="preserve"> в июне) 1931 года вождь решил осмотреть самолеты нового типа. Ему продемонстрировали новейшие отечественные и зарубежные истребители, но особое впечатление на Сталина произвел бомбардировщик ТБ-3, существовавший в единственном экземпляре. Он захотел увидеть новую машину в полете, но летавший на ТБ-3 известный летчик-испытатель Михаил Громов лежал в госпитале, а его напарника не было в Москве. Так что начальнику воздушных сил Красной армии Петру Баранову пришлось вызывать пилотов, никогда прежде на этом самолете не летавших. И вдруг Сталин неожиданно сказал: «А почему бы мне не полететь на этом бомбардировщике? Возьму и полечу». Остановить сталинскую затею удалось только с помощью обмана. Баранов сказал, что машину нужно сначала опробовать в полете, и только после этого она сможет взять пассажира. А когда пробный полет успешно завершился, приехавшие со Сталиным соратники напомнили, что он уже опаздывает на важное заседание (12634).</w:t>
      </w:r>
    </w:p>
    <w:p w14:paraId="554B4CB7" w14:textId="77777777" w:rsidR="00E278B5" w:rsidRPr="007122AB" w:rsidRDefault="00E278B5" w:rsidP="007122AB">
      <w:pPr>
        <w:spacing w:after="0" w:line="240" w:lineRule="auto"/>
        <w:jc w:val="both"/>
        <w:rPr>
          <w:rFonts w:ascii="Times New Roman" w:hAnsi="Times New Roman"/>
          <w:color w:val="000000" w:themeColor="text1"/>
          <w:sz w:val="16"/>
          <w:szCs w:val="16"/>
        </w:rPr>
      </w:pPr>
    </w:p>
    <w:p w14:paraId="44CAEE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был первый опыт наблюдения с самолета за лесными пожарами. Летал Розанов на У-2 до 11 августа в районе Нижнего Новгорода и обнаружил 54 (438,625).</w:t>
      </w:r>
    </w:p>
    <w:p w14:paraId="3830A041" w14:textId="66AA6DC1"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53C27F" w14:textId="77777777" w:rsidR="00546F27" w:rsidRPr="009F5089" w:rsidRDefault="00546F27" w:rsidP="00546F27">
      <w:pPr>
        <w:spacing w:after="0" w:line="240" w:lineRule="auto"/>
        <w:jc w:val="both"/>
        <w:rPr>
          <w:rFonts w:ascii="Times New Roman" w:hAnsi="Times New Roman"/>
          <w:color w:val="0070C0"/>
          <w:sz w:val="16"/>
          <w:szCs w:val="16"/>
        </w:rPr>
      </w:pPr>
      <w:r>
        <w:rPr>
          <w:rFonts w:ascii="Times New Roman" w:hAnsi="Times New Roman"/>
          <w:color w:val="0070C0"/>
          <w:sz w:val="16"/>
          <w:szCs w:val="16"/>
        </w:rPr>
        <w:t>6</w:t>
      </w:r>
      <w:r w:rsidRPr="009F5089">
        <w:rPr>
          <w:rFonts w:ascii="Times New Roman" w:hAnsi="Times New Roman"/>
          <w:color w:val="0070C0"/>
          <w:sz w:val="16"/>
          <w:szCs w:val="16"/>
        </w:rPr>
        <w:t xml:space="preserve"> июля</w:t>
      </w:r>
      <w:r>
        <w:rPr>
          <w:rFonts w:ascii="Times New Roman" w:hAnsi="Times New Roman"/>
          <w:color w:val="0070C0"/>
          <w:sz w:val="16"/>
          <w:szCs w:val="16"/>
        </w:rPr>
        <w:t xml:space="preserve"> 1931 г. был п</w:t>
      </w:r>
      <w:r w:rsidRPr="009F5089">
        <w:rPr>
          <w:rFonts w:ascii="Times New Roman" w:hAnsi="Times New Roman"/>
          <w:color w:val="0070C0"/>
          <w:sz w:val="16"/>
          <w:szCs w:val="16"/>
        </w:rPr>
        <w:t xml:space="preserve">роведен первый в СССР опыт наблюдения о самолета за </w:t>
      </w:r>
      <w:r>
        <w:rPr>
          <w:rFonts w:ascii="Times New Roman" w:hAnsi="Times New Roman"/>
          <w:color w:val="0070C0"/>
          <w:sz w:val="16"/>
          <w:szCs w:val="16"/>
        </w:rPr>
        <w:t>л</w:t>
      </w:r>
      <w:r w:rsidRPr="009F5089">
        <w:rPr>
          <w:rFonts w:ascii="Times New Roman" w:hAnsi="Times New Roman"/>
          <w:color w:val="0070C0"/>
          <w:sz w:val="16"/>
          <w:szCs w:val="16"/>
        </w:rPr>
        <w:t>е</w:t>
      </w:r>
      <w:r>
        <w:rPr>
          <w:rFonts w:ascii="Times New Roman" w:hAnsi="Times New Roman"/>
          <w:color w:val="0070C0"/>
          <w:sz w:val="16"/>
          <w:szCs w:val="16"/>
        </w:rPr>
        <w:t>с</w:t>
      </w:r>
      <w:r w:rsidRPr="009F5089">
        <w:rPr>
          <w:rFonts w:ascii="Times New Roman" w:hAnsi="Times New Roman"/>
          <w:color w:val="0070C0"/>
          <w:sz w:val="16"/>
          <w:szCs w:val="16"/>
        </w:rPr>
        <w:t>н</w:t>
      </w:r>
      <w:r>
        <w:rPr>
          <w:rFonts w:ascii="Times New Roman" w:hAnsi="Times New Roman"/>
          <w:color w:val="0070C0"/>
          <w:sz w:val="16"/>
          <w:szCs w:val="16"/>
        </w:rPr>
        <w:t>ыми</w:t>
      </w:r>
      <w:r w:rsidRPr="009F5089">
        <w:rPr>
          <w:rFonts w:ascii="Times New Roman" w:hAnsi="Times New Roman"/>
          <w:color w:val="0070C0"/>
          <w:sz w:val="16"/>
          <w:szCs w:val="16"/>
        </w:rPr>
        <w:t xml:space="preserve"> по</w:t>
      </w:r>
      <w:r>
        <w:rPr>
          <w:rFonts w:ascii="Times New Roman" w:hAnsi="Times New Roman"/>
          <w:color w:val="0070C0"/>
          <w:sz w:val="16"/>
          <w:szCs w:val="16"/>
        </w:rPr>
        <w:t>ж</w:t>
      </w:r>
      <w:r w:rsidRPr="009F5089">
        <w:rPr>
          <w:rFonts w:ascii="Times New Roman" w:hAnsi="Times New Roman"/>
          <w:color w:val="0070C0"/>
          <w:sz w:val="16"/>
          <w:szCs w:val="16"/>
        </w:rPr>
        <w:t>арами.</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Летчик </w:t>
      </w:r>
      <w:r>
        <w:rPr>
          <w:rFonts w:ascii="Times New Roman" w:hAnsi="Times New Roman"/>
          <w:color w:val="0070C0"/>
          <w:sz w:val="16"/>
          <w:szCs w:val="16"/>
        </w:rPr>
        <w:t>Д</w:t>
      </w:r>
      <w:r w:rsidRPr="009F5089">
        <w:rPr>
          <w:rFonts w:ascii="Times New Roman" w:hAnsi="Times New Roman"/>
          <w:color w:val="0070C0"/>
          <w:sz w:val="16"/>
          <w:szCs w:val="16"/>
        </w:rPr>
        <w:t>м.</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Розанов на самолете У-2 в период с </w:t>
      </w:r>
      <w:r>
        <w:rPr>
          <w:rFonts w:ascii="Times New Roman" w:hAnsi="Times New Roman"/>
          <w:color w:val="0070C0"/>
          <w:sz w:val="16"/>
          <w:szCs w:val="16"/>
        </w:rPr>
        <w:t xml:space="preserve">6 </w:t>
      </w:r>
      <w:r w:rsidRPr="009F5089">
        <w:rPr>
          <w:rFonts w:ascii="Times New Roman" w:hAnsi="Times New Roman"/>
          <w:color w:val="0070C0"/>
          <w:sz w:val="16"/>
          <w:szCs w:val="16"/>
        </w:rPr>
        <w:t>и</w:t>
      </w:r>
      <w:r>
        <w:rPr>
          <w:rFonts w:ascii="Times New Roman" w:hAnsi="Times New Roman"/>
          <w:color w:val="0070C0"/>
          <w:sz w:val="16"/>
          <w:szCs w:val="16"/>
        </w:rPr>
        <w:t>юл</w:t>
      </w:r>
      <w:r w:rsidRPr="009F5089">
        <w:rPr>
          <w:rFonts w:ascii="Times New Roman" w:hAnsi="Times New Roman"/>
          <w:color w:val="0070C0"/>
          <w:sz w:val="16"/>
          <w:szCs w:val="16"/>
        </w:rPr>
        <w:t>я по 11 августа за 40 летных часов обследовал в районе Ни</w:t>
      </w:r>
      <w:r>
        <w:rPr>
          <w:rFonts w:ascii="Times New Roman" w:hAnsi="Times New Roman"/>
          <w:color w:val="0070C0"/>
          <w:sz w:val="16"/>
          <w:szCs w:val="16"/>
        </w:rPr>
        <w:t>ж</w:t>
      </w:r>
      <w:r w:rsidRPr="009F5089">
        <w:rPr>
          <w:rFonts w:ascii="Times New Roman" w:hAnsi="Times New Roman"/>
          <w:color w:val="0070C0"/>
          <w:sz w:val="16"/>
          <w:szCs w:val="16"/>
        </w:rPr>
        <w:t xml:space="preserve">него Новгорода площадь лесов в два миллиона гектаров и заметил </w:t>
      </w:r>
      <w:r>
        <w:rPr>
          <w:rFonts w:ascii="Times New Roman" w:hAnsi="Times New Roman"/>
          <w:color w:val="0070C0"/>
          <w:sz w:val="16"/>
          <w:szCs w:val="16"/>
        </w:rPr>
        <w:t>40 дымо</w:t>
      </w:r>
      <w:r w:rsidRPr="009F5089">
        <w:rPr>
          <w:rFonts w:ascii="Times New Roman" w:hAnsi="Times New Roman"/>
          <w:color w:val="0070C0"/>
          <w:sz w:val="16"/>
          <w:szCs w:val="16"/>
        </w:rPr>
        <w:t>вых очагов,</w:t>
      </w:r>
      <w:r>
        <w:rPr>
          <w:rFonts w:ascii="Times New Roman" w:hAnsi="Times New Roman"/>
          <w:color w:val="0070C0"/>
          <w:sz w:val="16"/>
          <w:szCs w:val="16"/>
        </w:rPr>
        <w:t xml:space="preserve"> </w:t>
      </w:r>
      <w:r w:rsidRPr="009F5089">
        <w:rPr>
          <w:rFonts w:ascii="Times New Roman" w:hAnsi="Times New Roman"/>
          <w:color w:val="0070C0"/>
          <w:sz w:val="16"/>
          <w:szCs w:val="16"/>
        </w:rPr>
        <w:t>в том числе 34 .лесных пожара.</w:t>
      </w:r>
      <w:r>
        <w:rPr>
          <w:rFonts w:ascii="Times New Roman" w:hAnsi="Times New Roman"/>
          <w:color w:val="0070C0"/>
          <w:sz w:val="16"/>
          <w:szCs w:val="16"/>
        </w:rPr>
        <w:t xml:space="preserve"> </w:t>
      </w:r>
      <w:r w:rsidRPr="009F5089">
        <w:rPr>
          <w:rFonts w:ascii="Times New Roman" w:hAnsi="Times New Roman"/>
          <w:color w:val="0070C0"/>
          <w:sz w:val="16"/>
          <w:szCs w:val="16"/>
        </w:rPr>
        <w:t>Полеты дали воз</w:t>
      </w:r>
      <w:r>
        <w:rPr>
          <w:rFonts w:ascii="Times New Roman" w:hAnsi="Times New Roman"/>
          <w:color w:val="0070C0"/>
          <w:sz w:val="16"/>
          <w:szCs w:val="16"/>
        </w:rPr>
        <w:t>можн</w:t>
      </w:r>
      <w:r w:rsidRPr="009F5089">
        <w:rPr>
          <w:rFonts w:ascii="Times New Roman" w:hAnsi="Times New Roman"/>
          <w:color w:val="0070C0"/>
          <w:sz w:val="16"/>
          <w:szCs w:val="16"/>
        </w:rPr>
        <w:t>ость разработать методику обнаружений лесных пожаров и опо</w:t>
      </w:r>
      <w:r>
        <w:rPr>
          <w:rFonts w:ascii="Times New Roman" w:hAnsi="Times New Roman"/>
          <w:color w:val="0070C0"/>
          <w:sz w:val="16"/>
          <w:szCs w:val="16"/>
        </w:rPr>
        <w:t>вещения</w:t>
      </w:r>
      <w:r w:rsidRPr="009F5089">
        <w:rPr>
          <w:rFonts w:ascii="Times New Roman" w:hAnsi="Times New Roman"/>
          <w:color w:val="0070C0"/>
          <w:sz w:val="16"/>
          <w:szCs w:val="16"/>
        </w:rPr>
        <w:t xml:space="preserve"> о них лесной охраны и местного населения</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дальнейшем </w:t>
      </w:r>
      <w:r>
        <w:rPr>
          <w:rFonts w:ascii="Times New Roman" w:hAnsi="Times New Roman"/>
          <w:color w:val="0070C0"/>
          <w:sz w:val="16"/>
          <w:szCs w:val="16"/>
        </w:rPr>
        <w:t>воздушное</w:t>
      </w:r>
      <w:r w:rsidRPr="009F5089">
        <w:rPr>
          <w:rFonts w:ascii="Times New Roman" w:hAnsi="Times New Roman"/>
          <w:color w:val="0070C0"/>
          <w:sz w:val="16"/>
          <w:szCs w:val="16"/>
        </w:rPr>
        <w:t xml:space="preserve"> патрулирование лесов пол</w:t>
      </w:r>
      <w:r>
        <w:rPr>
          <w:rFonts w:ascii="Times New Roman" w:hAnsi="Times New Roman"/>
          <w:color w:val="0070C0"/>
          <w:sz w:val="16"/>
          <w:szCs w:val="16"/>
        </w:rPr>
        <w:t>учил</w:t>
      </w:r>
      <w:r w:rsidRPr="009F5089">
        <w:rPr>
          <w:rFonts w:ascii="Times New Roman" w:hAnsi="Times New Roman"/>
          <w:color w:val="0070C0"/>
          <w:sz w:val="16"/>
          <w:szCs w:val="16"/>
        </w:rPr>
        <w:t xml:space="preserve">о </w:t>
      </w:r>
      <w:proofErr w:type="spellStart"/>
      <w:r>
        <w:rPr>
          <w:rFonts w:ascii="Times New Roman" w:hAnsi="Times New Roman"/>
          <w:color w:val="0070C0"/>
          <w:sz w:val="16"/>
          <w:szCs w:val="16"/>
        </w:rPr>
        <w:t>ш</w:t>
      </w:r>
      <w:r w:rsidRPr="009F5089">
        <w:rPr>
          <w:rFonts w:ascii="Times New Roman" w:hAnsi="Times New Roman"/>
          <w:color w:val="0070C0"/>
          <w:sz w:val="16"/>
          <w:szCs w:val="16"/>
        </w:rPr>
        <w:t>ирское</w:t>
      </w:r>
      <w:proofErr w:type="spellEnd"/>
      <w:r w:rsidRPr="009F5089">
        <w:rPr>
          <w:rFonts w:ascii="Times New Roman" w:hAnsi="Times New Roman"/>
          <w:color w:val="0070C0"/>
          <w:sz w:val="16"/>
          <w:szCs w:val="16"/>
        </w:rPr>
        <w:t xml:space="preserve"> применение в лес</w:t>
      </w:r>
      <w:r>
        <w:rPr>
          <w:rFonts w:ascii="Times New Roman" w:hAnsi="Times New Roman"/>
          <w:color w:val="0070C0"/>
          <w:sz w:val="16"/>
          <w:szCs w:val="16"/>
        </w:rPr>
        <w:t>ном</w:t>
      </w:r>
      <w:r w:rsidRPr="009F5089">
        <w:rPr>
          <w:rFonts w:ascii="Times New Roman" w:hAnsi="Times New Roman"/>
          <w:color w:val="0070C0"/>
          <w:sz w:val="16"/>
          <w:szCs w:val="16"/>
        </w:rPr>
        <w:t xml:space="preserve"> хозяйстве и оказало </w:t>
      </w:r>
      <w:r>
        <w:rPr>
          <w:rFonts w:ascii="Times New Roman" w:hAnsi="Times New Roman"/>
          <w:color w:val="0070C0"/>
          <w:sz w:val="16"/>
          <w:szCs w:val="16"/>
        </w:rPr>
        <w:t>последнему</w:t>
      </w:r>
      <w:r w:rsidRPr="009F5089">
        <w:rPr>
          <w:rFonts w:ascii="Times New Roman" w:hAnsi="Times New Roman"/>
          <w:color w:val="0070C0"/>
          <w:sz w:val="16"/>
          <w:szCs w:val="16"/>
        </w:rPr>
        <w:t xml:space="preserve"> ценную помощь.</w:t>
      </w:r>
    </w:p>
    <w:p w14:paraId="70597F6A" w14:textId="77777777" w:rsidR="00546F27" w:rsidRDefault="00546F27" w:rsidP="00546F2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w:t>
      </w:r>
      <w:r w:rsidRPr="009F5089">
        <w:rPr>
          <w:rFonts w:ascii="Times New Roman" w:hAnsi="Times New Roman"/>
          <w:color w:val="0070C0"/>
          <w:sz w:val="16"/>
          <w:szCs w:val="16"/>
        </w:rPr>
        <w:t>Самолет</w:t>
      </w:r>
      <w:r>
        <w:rPr>
          <w:rFonts w:ascii="Times New Roman" w:hAnsi="Times New Roman"/>
          <w:color w:val="0070C0"/>
          <w:sz w:val="16"/>
          <w:szCs w:val="16"/>
        </w:rPr>
        <w:t>»</w:t>
      </w:r>
      <w:r w:rsidRPr="009F5089">
        <w:rPr>
          <w:rFonts w:ascii="Times New Roman" w:hAnsi="Times New Roman"/>
          <w:color w:val="0070C0"/>
          <w:sz w:val="16"/>
          <w:szCs w:val="16"/>
        </w:rPr>
        <w:t xml:space="preserve">, 1932 </w:t>
      </w:r>
      <w:r>
        <w:rPr>
          <w:rFonts w:ascii="Times New Roman" w:hAnsi="Times New Roman"/>
          <w:color w:val="0070C0"/>
          <w:sz w:val="16"/>
          <w:szCs w:val="16"/>
        </w:rPr>
        <w:t>№</w:t>
      </w:r>
      <w:r w:rsidRPr="009F5089">
        <w:rPr>
          <w:rFonts w:ascii="Times New Roman" w:hAnsi="Times New Roman"/>
          <w:color w:val="0070C0"/>
          <w:sz w:val="16"/>
          <w:szCs w:val="16"/>
        </w:rPr>
        <w:t xml:space="preserve"> 1/</w:t>
      </w:r>
      <w:r>
        <w:rPr>
          <w:rFonts w:ascii="Times New Roman" w:hAnsi="Times New Roman"/>
          <w:color w:val="0070C0"/>
          <w:sz w:val="16"/>
          <w:szCs w:val="16"/>
        </w:rPr>
        <w:t xml:space="preserve"> (23370)</w:t>
      </w:r>
      <w:r w:rsidRPr="009F5089">
        <w:rPr>
          <w:rFonts w:ascii="Times New Roman" w:hAnsi="Times New Roman"/>
          <w:color w:val="0070C0"/>
          <w:sz w:val="16"/>
          <w:szCs w:val="16"/>
        </w:rPr>
        <w:t>.</w:t>
      </w:r>
    </w:p>
    <w:p w14:paraId="3479FA52" w14:textId="77777777" w:rsidR="00546F27" w:rsidRDefault="00546F27" w:rsidP="00546F27">
      <w:pPr>
        <w:spacing w:after="0" w:line="240" w:lineRule="auto"/>
        <w:jc w:val="both"/>
        <w:rPr>
          <w:rFonts w:ascii="Times New Roman" w:hAnsi="Times New Roman"/>
          <w:color w:val="0070C0"/>
          <w:sz w:val="16"/>
          <w:szCs w:val="16"/>
        </w:rPr>
      </w:pPr>
    </w:p>
    <w:p w14:paraId="334169BE" w14:textId="17B7DF87" w:rsidR="007F54AB" w:rsidRPr="007122AB" w:rsidRDefault="007F54AB"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7AE9CEB4" w14:textId="77777777" w:rsidR="007F54AB" w:rsidRPr="007122AB" w:rsidRDefault="007F54AB"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35EE50D6"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июля 1931 года — первый полёт лёгкого многоцелевого самолёта </w:t>
      </w:r>
      <w:proofErr w:type="spellStart"/>
      <w:r w:rsidRPr="007122AB">
        <w:rPr>
          <w:rFonts w:ascii="Times New Roman" w:hAnsi="Times New Roman"/>
          <w:color w:val="000000" w:themeColor="text1"/>
          <w:sz w:val="16"/>
          <w:szCs w:val="16"/>
        </w:rPr>
        <w:t>Bodiansky</w:t>
      </w:r>
      <w:proofErr w:type="spellEnd"/>
      <w:r w:rsidRPr="007122AB">
        <w:rPr>
          <w:rFonts w:ascii="Times New Roman" w:hAnsi="Times New Roman"/>
          <w:color w:val="000000" w:themeColor="text1"/>
          <w:sz w:val="16"/>
          <w:szCs w:val="16"/>
        </w:rPr>
        <w:t xml:space="preserve"> 20. /Франция/</w:t>
      </w:r>
    </w:p>
    <w:p w14:paraId="12A0015B"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Инженер Владимир </w:t>
      </w:r>
      <w:proofErr w:type="spellStart"/>
      <w:r w:rsidRPr="007122AB">
        <w:rPr>
          <w:rFonts w:ascii="Times New Roman" w:hAnsi="Times New Roman"/>
          <w:color w:val="000000" w:themeColor="text1"/>
          <w:sz w:val="16"/>
          <w:szCs w:val="16"/>
        </w:rPr>
        <w:t>Бодянский</w:t>
      </w:r>
      <w:proofErr w:type="spellEnd"/>
      <w:r w:rsidRPr="007122AB">
        <w:rPr>
          <w:rFonts w:ascii="Times New Roman" w:hAnsi="Times New Roman"/>
          <w:color w:val="000000" w:themeColor="text1"/>
          <w:sz w:val="16"/>
          <w:szCs w:val="16"/>
        </w:rPr>
        <w:t xml:space="preserve">, эмигрировавший во Францию из России в 1918 году, известен прежде всего как архитектор. Но первые 10 лет в эмиграции он посвятил авиации — служил лётчиком в Иностранном легионе, работал в авиастроительных компаниях и проектировал собственные самолёты. Наиболее известный из них — </w:t>
      </w:r>
      <w:proofErr w:type="spellStart"/>
      <w:r w:rsidRPr="007122AB">
        <w:rPr>
          <w:rFonts w:ascii="Times New Roman" w:hAnsi="Times New Roman"/>
          <w:color w:val="000000" w:themeColor="text1"/>
          <w:sz w:val="16"/>
          <w:szCs w:val="16"/>
        </w:rPr>
        <w:t>Bodiansky</w:t>
      </w:r>
      <w:proofErr w:type="spellEnd"/>
      <w:r w:rsidRPr="007122AB">
        <w:rPr>
          <w:rFonts w:ascii="Times New Roman" w:hAnsi="Times New Roman"/>
          <w:color w:val="000000" w:themeColor="text1"/>
          <w:sz w:val="16"/>
          <w:szCs w:val="16"/>
        </w:rPr>
        <w:t xml:space="preserve"> 20, который был построен для участия в национальном конкурсе туристических самолётов.</w:t>
      </w:r>
    </w:p>
    <w:p w14:paraId="1F60AAD8" w14:textId="77777777" w:rsidR="007F54AB" w:rsidRPr="007122AB" w:rsidRDefault="007F54AB"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Bodiansky</w:t>
      </w:r>
      <w:proofErr w:type="spellEnd"/>
      <w:r w:rsidRPr="007122AB">
        <w:rPr>
          <w:rFonts w:ascii="Times New Roman" w:hAnsi="Times New Roman"/>
          <w:color w:val="000000" w:themeColor="text1"/>
          <w:sz w:val="16"/>
          <w:szCs w:val="16"/>
        </w:rPr>
        <w:t xml:space="preserve"> 20 представлял собой цельнометаллический низкоплан. Был рассчитан на перевозку 3 пассажиров + 1 пилота. Двигатель Renault 4Pb позволял развить скорость до 180 км/ч, а запасов топлива хватало на 1200 км.</w:t>
      </w:r>
    </w:p>
    <w:p w14:paraId="5A86EF71"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Серия неудач с пропеллером и двигателем не позволила </w:t>
      </w:r>
      <w:proofErr w:type="spellStart"/>
      <w:r w:rsidRPr="007122AB">
        <w:rPr>
          <w:rFonts w:ascii="Times New Roman" w:hAnsi="Times New Roman"/>
          <w:color w:val="000000" w:themeColor="text1"/>
          <w:sz w:val="16"/>
          <w:szCs w:val="16"/>
        </w:rPr>
        <w:t>Bodiansky</w:t>
      </w:r>
      <w:proofErr w:type="spellEnd"/>
      <w:r w:rsidRPr="007122AB">
        <w:rPr>
          <w:rFonts w:ascii="Times New Roman" w:hAnsi="Times New Roman"/>
          <w:color w:val="000000" w:themeColor="text1"/>
          <w:sz w:val="16"/>
          <w:szCs w:val="16"/>
        </w:rPr>
        <w:t xml:space="preserve"> 20 нормально участвовать в конкурсе. Хотя он демонстрировал хорошие лётные характеристики. Проект закрыли в 1933 году, а единственный самолёт был разобран. (22300).</w:t>
      </w:r>
    </w:p>
    <w:p w14:paraId="059CAD21" w14:textId="77777777" w:rsidR="007F54AB" w:rsidRPr="007122AB" w:rsidRDefault="007F54AB" w:rsidP="007122AB">
      <w:pPr>
        <w:shd w:val="clear" w:color="auto" w:fill="FFFFFF"/>
        <w:spacing w:after="0" w:line="240" w:lineRule="auto"/>
        <w:jc w:val="both"/>
        <w:rPr>
          <w:rFonts w:ascii="Times New Roman" w:hAnsi="Times New Roman"/>
          <w:color w:val="000000" w:themeColor="text1"/>
          <w:sz w:val="16"/>
          <w:szCs w:val="16"/>
        </w:rPr>
      </w:pPr>
    </w:p>
    <w:p w14:paraId="3C809F5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D6D187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500A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июля 1931 был подготовлен Доклад о состоянии работ по опытному моторо- и самолетостроению на 1 июля 1931 для Пред. РВС К.Е.В. (копии Зам. Пред. РВС Тухачевскому, Гамарнику, Каменеву и Егорову).</w:t>
      </w:r>
    </w:p>
    <w:p w14:paraId="12A28F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831"/>
      </w:tblGrid>
      <w:tr w:rsidR="001002C3" w:rsidRPr="007122AB" w14:paraId="282B657B" w14:textId="77777777">
        <w:tc>
          <w:tcPr>
            <w:tcW w:w="1024" w:type="dxa"/>
          </w:tcPr>
          <w:p w14:paraId="016ADB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024" w:type="dxa"/>
          </w:tcPr>
          <w:p w14:paraId="7B76D3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w:t>
            </w:r>
          </w:p>
        </w:tc>
        <w:tc>
          <w:tcPr>
            <w:tcW w:w="1024" w:type="dxa"/>
          </w:tcPr>
          <w:p w14:paraId="189D80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w:t>
            </w:r>
          </w:p>
        </w:tc>
        <w:tc>
          <w:tcPr>
            <w:tcW w:w="1024" w:type="dxa"/>
          </w:tcPr>
          <w:p w14:paraId="6D649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w:t>
            </w:r>
          </w:p>
        </w:tc>
        <w:tc>
          <w:tcPr>
            <w:tcW w:w="1024" w:type="dxa"/>
          </w:tcPr>
          <w:p w14:paraId="460085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w:t>
            </w:r>
          </w:p>
        </w:tc>
        <w:tc>
          <w:tcPr>
            <w:tcW w:w="1024" w:type="dxa"/>
          </w:tcPr>
          <w:p w14:paraId="1D0BB4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Удельн</w:t>
            </w:r>
            <w:proofErr w:type="spellEnd"/>
            <w:r w:rsidRPr="007122AB">
              <w:rPr>
                <w:rFonts w:ascii="Times New Roman" w:hAnsi="Times New Roman"/>
                <w:color w:val="000000" w:themeColor="text1"/>
                <w:sz w:val="16"/>
                <w:szCs w:val="16"/>
              </w:rPr>
              <w:t>.</w:t>
            </w:r>
          </w:p>
        </w:tc>
        <w:tc>
          <w:tcPr>
            <w:tcW w:w="1024" w:type="dxa"/>
          </w:tcPr>
          <w:p w14:paraId="651040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Высотн</w:t>
            </w:r>
            <w:proofErr w:type="spellEnd"/>
            <w:r w:rsidRPr="007122AB">
              <w:rPr>
                <w:rFonts w:ascii="Times New Roman" w:hAnsi="Times New Roman"/>
                <w:color w:val="000000" w:themeColor="text1"/>
                <w:sz w:val="16"/>
                <w:szCs w:val="16"/>
              </w:rPr>
              <w:t>.</w:t>
            </w:r>
          </w:p>
        </w:tc>
        <w:tc>
          <w:tcPr>
            <w:tcW w:w="1024" w:type="dxa"/>
          </w:tcPr>
          <w:p w14:paraId="3B9551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2831" w:type="dxa"/>
          </w:tcPr>
          <w:p w14:paraId="6A570A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r>
      <w:tr w:rsidR="001002C3" w:rsidRPr="007122AB" w14:paraId="732877A3" w14:textId="77777777">
        <w:tc>
          <w:tcPr>
            <w:tcW w:w="1024" w:type="dxa"/>
          </w:tcPr>
          <w:p w14:paraId="23E0F7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w:t>
            </w:r>
          </w:p>
        </w:tc>
        <w:tc>
          <w:tcPr>
            <w:tcW w:w="1024" w:type="dxa"/>
          </w:tcPr>
          <w:p w14:paraId="0894FE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w:t>
            </w:r>
          </w:p>
        </w:tc>
        <w:tc>
          <w:tcPr>
            <w:tcW w:w="1024" w:type="dxa"/>
          </w:tcPr>
          <w:p w14:paraId="56E3B5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236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344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кг</w:t>
            </w:r>
          </w:p>
        </w:tc>
        <w:tc>
          <w:tcPr>
            <w:tcW w:w="1024" w:type="dxa"/>
          </w:tcPr>
          <w:p w14:paraId="7A91E1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w:t>
            </w:r>
          </w:p>
        </w:tc>
        <w:tc>
          <w:tcPr>
            <w:tcW w:w="1024" w:type="dxa"/>
          </w:tcPr>
          <w:p w14:paraId="497842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8A3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w:t>
            </w:r>
          </w:p>
        </w:tc>
        <w:tc>
          <w:tcPr>
            <w:tcW w:w="2831" w:type="dxa"/>
          </w:tcPr>
          <w:p w14:paraId="51A648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720EBEC" w14:textId="77777777">
        <w:tc>
          <w:tcPr>
            <w:tcW w:w="1024" w:type="dxa"/>
          </w:tcPr>
          <w:p w14:paraId="7282AD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5B9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AF9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4DC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6AE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FD8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1ED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45FF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престав.</w:t>
            </w:r>
          </w:p>
        </w:tc>
        <w:tc>
          <w:tcPr>
            <w:tcW w:w="2831" w:type="dxa"/>
          </w:tcPr>
          <w:p w14:paraId="23628F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E83FB96" w14:textId="77777777">
        <w:tc>
          <w:tcPr>
            <w:tcW w:w="1024" w:type="dxa"/>
          </w:tcPr>
          <w:p w14:paraId="650779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DB68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8E1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306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5EEB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71E9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1ABB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A12D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w:t>
            </w:r>
          </w:p>
        </w:tc>
        <w:tc>
          <w:tcPr>
            <w:tcW w:w="2831" w:type="dxa"/>
          </w:tcPr>
          <w:p w14:paraId="29690F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EDA879A" w14:textId="77777777">
        <w:tc>
          <w:tcPr>
            <w:tcW w:w="1024" w:type="dxa"/>
          </w:tcPr>
          <w:p w14:paraId="685786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DA5F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272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29D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478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0C8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CBB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22F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испыт</w:t>
            </w:r>
            <w:proofErr w:type="spellEnd"/>
            <w:r w:rsidRPr="007122AB">
              <w:rPr>
                <w:rFonts w:ascii="Times New Roman" w:hAnsi="Times New Roman"/>
                <w:color w:val="000000" w:themeColor="text1"/>
                <w:sz w:val="16"/>
                <w:szCs w:val="16"/>
              </w:rPr>
              <w:t>.</w:t>
            </w:r>
          </w:p>
        </w:tc>
        <w:tc>
          <w:tcPr>
            <w:tcW w:w="2831" w:type="dxa"/>
          </w:tcPr>
          <w:p w14:paraId="2E4317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6D4BC47" w14:textId="77777777">
        <w:tc>
          <w:tcPr>
            <w:tcW w:w="1024" w:type="dxa"/>
          </w:tcPr>
          <w:p w14:paraId="009117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593F93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7710DE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5D429E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5FB903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415</w:t>
            </w:r>
          </w:p>
        </w:tc>
        <w:tc>
          <w:tcPr>
            <w:tcW w:w="1024" w:type="dxa"/>
          </w:tcPr>
          <w:p w14:paraId="57C333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0,92</w:t>
            </w:r>
          </w:p>
        </w:tc>
        <w:tc>
          <w:tcPr>
            <w:tcW w:w="1024" w:type="dxa"/>
          </w:tcPr>
          <w:p w14:paraId="76A9BC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68A297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w:t>
            </w:r>
          </w:p>
        </w:tc>
        <w:tc>
          <w:tcPr>
            <w:tcW w:w="2831" w:type="dxa"/>
          </w:tcPr>
          <w:p w14:paraId="4088B0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сего времени на гос. испытание не предъявлялся.</w:t>
            </w:r>
          </w:p>
        </w:tc>
      </w:tr>
      <w:tr w:rsidR="001002C3" w:rsidRPr="007122AB" w14:paraId="41F2DAEF" w14:textId="77777777">
        <w:tc>
          <w:tcPr>
            <w:tcW w:w="1024" w:type="dxa"/>
          </w:tcPr>
          <w:p w14:paraId="3A47C6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024" w:type="dxa"/>
          </w:tcPr>
          <w:p w14:paraId="6E8AE3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570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52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C46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6FC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6522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DC7A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831" w:type="dxa"/>
          </w:tcPr>
          <w:p w14:paraId="46583B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мае прошел 50-часовое серийное испытание, пущен </w:t>
            </w:r>
          </w:p>
        </w:tc>
      </w:tr>
      <w:tr w:rsidR="001002C3" w:rsidRPr="007122AB" w14:paraId="4D5A5CF0" w14:textId="77777777">
        <w:tc>
          <w:tcPr>
            <w:tcW w:w="1024" w:type="dxa"/>
          </w:tcPr>
          <w:p w14:paraId="1CC5DC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4F7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7B24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5FB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A6A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506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3785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3EE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EE409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серию для ГВФ. Подлежит доработке в деталях</w:t>
            </w:r>
          </w:p>
        </w:tc>
      </w:tr>
      <w:tr w:rsidR="001002C3" w:rsidRPr="007122AB" w14:paraId="03F35DFA" w14:textId="77777777">
        <w:tc>
          <w:tcPr>
            <w:tcW w:w="1024" w:type="dxa"/>
          </w:tcPr>
          <w:p w14:paraId="1EAC49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528292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762D0E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3993F5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w:t>
            </w:r>
          </w:p>
        </w:tc>
        <w:tc>
          <w:tcPr>
            <w:tcW w:w="1024" w:type="dxa"/>
          </w:tcPr>
          <w:p w14:paraId="7C4913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1A8312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0,82</w:t>
            </w:r>
          </w:p>
        </w:tc>
        <w:tc>
          <w:tcPr>
            <w:tcW w:w="1024" w:type="dxa"/>
          </w:tcPr>
          <w:p w14:paraId="315A71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75B382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2831" w:type="dxa"/>
          </w:tcPr>
          <w:p w14:paraId="029E0A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Закончена рабочая компоновка. Закончены </w:t>
            </w:r>
            <w:proofErr w:type="spellStart"/>
            <w:r w:rsidRPr="007122AB">
              <w:rPr>
                <w:rFonts w:ascii="Times New Roman" w:hAnsi="Times New Roman"/>
                <w:color w:val="000000" w:themeColor="text1"/>
                <w:sz w:val="16"/>
                <w:szCs w:val="16"/>
              </w:rPr>
              <w:t>поковочн</w:t>
            </w:r>
            <w:proofErr w:type="spellEnd"/>
            <w:r w:rsidRPr="007122AB">
              <w:rPr>
                <w:rFonts w:ascii="Times New Roman" w:hAnsi="Times New Roman"/>
                <w:color w:val="000000" w:themeColor="text1"/>
                <w:sz w:val="16"/>
                <w:szCs w:val="16"/>
              </w:rPr>
              <w:t>.</w:t>
            </w:r>
          </w:p>
        </w:tc>
      </w:tr>
      <w:tr w:rsidR="001002C3" w:rsidRPr="007122AB" w14:paraId="349585D5" w14:textId="77777777">
        <w:tc>
          <w:tcPr>
            <w:tcW w:w="1024" w:type="dxa"/>
          </w:tcPr>
          <w:p w14:paraId="2A68F2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М-19а</w:t>
            </w:r>
          </w:p>
        </w:tc>
        <w:tc>
          <w:tcPr>
            <w:tcW w:w="1024" w:type="dxa"/>
          </w:tcPr>
          <w:p w14:paraId="172AF4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A3F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275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0B4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ED47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E50C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6F0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2831" w:type="dxa"/>
          </w:tcPr>
          <w:p w14:paraId="41DF74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чертежи. Главное литье закончено. Рабочие чертежи</w:t>
            </w:r>
          </w:p>
        </w:tc>
      </w:tr>
      <w:tr w:rsidR="001002C3" w:rsidRPr="007122AB" w14:paraId="053D5A78" w14:textId="77777777">
        <w:tc>
          <w:tcPr>
            <w:tcW w:w="1024" w:type="dxa"/>
          </w:tcPr>
          <w:p w14:paraId="673C1F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344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EC8F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56B2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717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6C0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7C06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2A9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23ACF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частично закончены (не готов импеллер). Специфик.</w:t>
            </w:r>
          </w:p>
        </w:tc>
      </w:tr>
      <w:tr w:rsidR="001002C3" w:rsidRPr="007122AB" w14:paraId="0256F1FA" w14:textId="77777777">
        <w:tc>
          <w:tcPr>
            <w:tcW w:w="1024" w:type="dxa"/>
          </w:tcPr>
          <w:p w14:paraId="1DC459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78E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0EDD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473C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FFC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062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493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1CB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0B171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процессе, равно как и общие виды и узловые</w:t>
            </w:r>
          </w:p>
        </w:tc>
      </w:tr>
      <w:tr w:rsidR="001002C3" w:rsidRPr="007122AB" w14:paraId="76FD7918" w14:textId="77777777">
        <w:tc>
          <w:tcPr>
            <w:tcW w:w="1024" w:type="dxa"/>
          </w:tcPr>
          <w:p w14:paraId="5C8DBA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3C2A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ADD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971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C88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A24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86FB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749F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D1919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сборочные чертежи</w:t>
            </w:r>
          </w:p>
        </w:tc>
      </w:tr>
      <w:tr w:rsidR="001002C3" w:rsidRPr="007122AB" w14:paraId="19CC0218" w14:textId="77777777">
        <w:tc>
          <w:tcPr>
            <w:tcW w:w="1024" w:type="dxa"/>
          </w:tcPr>
          <w:p w14:paraId="751B7D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w:t>
            </w:r>
          </w:p>
        </w:tc>
        <w:tc>
          <w:tcPr>
            <w:tcW w:w="1024" w:type="dxa"/>
          </w:tcPr>
          <w:p w14:paraId="3AA245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7E4543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2371D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578516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540</w:t>
            </w:r>
          </w:p>
        </w:tc>
        <w:tc>
          <w:tcPr>
            <w:tcW w:w="1024" w:type="dxa"/>
          </w:tcPr>
          <w:p w14:paraId="27BECA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0,74</w:t>
            </w:r>
          </w:p>
        </w:tc>
        <w:tc>
          <w:tcPr>
            <w:tcW w:w="1024" w:type="dxa"/>
          </w:tcPr>
          <w:p w14:paraId="5D781C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3E1B3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2831" w:type="dxa"/>
          </w:tcPr>
          <w:p w14:paraId="64BF4B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без импеллера находится в стадии </w:t>
            </w:r>
            <w:proofErr w:type="spellStart"/>
            <w:r w:rsidRPr="007122AB">
              <w:rPr>
                <w:rFonts w:ascii="Times New Roman" w:hAnsi="Times New Roman"/>
                <w:color w:val="000000" w:themeColor="text1"/>
                <w:sz w:val="16"/>
                <w:szCs w:val="16"/>
              </w:rPr>
              <w:t>предвар</w:t>
            </w:r>
            <w:proofErr w:type="spellEnd"/>
            <w:r w:rsidRPr="007122AB">
              <w:rPr>
                <w:rFonts w:ascii="Times New Roman" w:hAnsi="Times New Roman"/>
                <w:color w:val="000000" w:themeColor="text1"/>
                <w:sz w:val="16"/>
                <w:szCs w:val="16"/>
              </w:rPr>
              <w:t>.</w:t>
            </w:r>
          </w:p>
        </w:tc>
      </w:tr>
      <w:tr w:rsidR="001002C3" w:rsidRPr="007122AB" w14:paraId="0FFE6BA7" w14:textId="77777777">
        <w:tc>
          <w:tcPr>
            <w:tcW w:w="1024" w:type="dxa"/>
          </w:tcPr>
          <w:p w14:paraId="427907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1024" w:type="dxa"/>
          </w:tcPr>
          <w:p w14:paraId="38233B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EC6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50E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c>
          <w:tcPr>
            <w:tcW w:w="1024" w:type="dxa"/>
          </w:tcPr>
          <w:p w14:paraId="1D2FA0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01D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1CC5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146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831" w:type="dxa"/>
          </w:tcPr>
          <w:p w14:paraId="454C02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заводских испытаний. Из-за отсутствия карбюратора</w:t>
            </w:r>
          </w:p>
        </w:tc>
      </w:tr>
      <w:tr w:rsidR="001002C3" w:rsidRPr="007122AB" w14:paraId="6B617993" w14:textId="77777777">
        <w:tc>
          <w:tcPr>
            <w:tcW w:w="1024" w:type="dxa"/>
          </w:tcPr>
          <w:p w14:paraId="2E748D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386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394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741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FFB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9A22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7F4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5C8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6D744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удалось получить запроектированные мощности.</w:t>
            </w:r>
          </w:p>
        </w:tc>
      </w:tr>
      <w:tr w:rsidR="001002C3" w:rsidRPr="007122AB" w14:paraId="1FB7313A" w14:textId="77777777">
        <w:tc>
          <w:tcPr>
            <w:tcW w:w="1024" w:type="dxa"/>
          </w:tcPr>
          <w:p w14:paraId="1581FD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5D7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0AC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18D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742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50D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C67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088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60D85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Импеллер изготавливается крайне медленно, темп</w:t>
            </w:r>
          </w:p>
        </w:tc>
      </w:tr>
      <w:tr w:rsidR="001002C3" w:rsidRPr="007122AB" w14:paraId="14D1387F" w14:textId="77777777">
        <w:tc>
          <w:tcPr>
            <w:tcW w:w="1024" w:type="dxa"/>
          </w:tcPr>
          <w:p w14:paraId="51E833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00D6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8E9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E77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698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663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622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F4E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087CD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 на заводе 26 резко упал и грозит срывом.</w:t>
            </w:r>
          </w:p>
        </w:tc>
      </w:tr>
      <w:tr w:rsidR="001002C3" w:rsidRPr="007122AB" w14:paraId="496A67BC" w14:textId="77777777">
        <w:tc>
          <w:tcPr>
            <w:tcW w:w="1024" w:type="dxa"/>
          </w:tcPr>
          <w:p w14:paraId="397127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11D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D80F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CEFB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8796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D68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4AB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E90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B196C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Приняты меры по получению карбюратора из-за</w:t>
            </w:r>
          </w:p>
        </w:tc>
      </w:tr>
      <w:tr w:rsidR="001002C3" w:rsidRPr="007122AB" w14:paraId="5CEBAAB0" w14:textId="77777777">
        <w:tc>
          <w:tcPr>
            <w:tcW w:w="1024" w:type="dxa"/>
          </w:tcPr>
          <w:p w14:paraId="121A77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913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C4F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C6D9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30E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AB4E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F91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B4C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5723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границы. </w:t>
            </w:r>
            <w:proofErr w:type="spellStart"/>
            <w:r w:rsidRPr="007122AB">
              <w:rPr>
                <w:rFonts w:ascii="Times New Roman" w:hAnsi="Times New Roman"/>
                <w:color w:val="000000" w:themeColor="text1"/>
                <w:sz w:val="16"/>
                <w:szCs w:val="16"/>
              </w:rPr>
              <w:t>педварительные</w:t>
            </w:r>
            <w:proofErr w:type="spellEnd"/>
            <w:r w:rsidRPr="007122AB">
              <w:rPr>
                <w:rFonts w:ascii="Times New Roman" w:hAnsi="Times New Roman"/>
                <w:color w:val="000000" w:themeColor="text1"/>
                <w:sz w:val="16"/>
                <w:szCs w:val="16"/>
              </w:rPr>
              <w:t xml:space="preserve"> данные - мощность 740</w:t>
            </w:r>
          </w:p>
        </w:tc>
      </w:tr>
      <w:tr w:rsidR="001002C3" w:rsidRPr="007122AB" w14:paraId="37003286" w14:textId="77777777">
        <w:tc>
          <w:tcPr>
            <w:tcW w:w="1024" w:type="dxa"/>
          </w:tcPr>
          <w:p w14:paraId="58000B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4D7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F15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FCFA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2CD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261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4AF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C78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AC03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при 1536 оборотов, макс. мощность - 815 при</w:t>
            </w:r>
          </w:p>
        </w:tc>
      </w:tr>
      <w:tr w:rsidR="001002C3" w:rsidRPr="007122AB" w14:paraId="2C9B88B2" w14:textId="77777777">
        <w:tc>
          <w:tcPr>
            <w:tcW w:w="1024" w:type="dxa"/>
          </w:tcPr>
          <w:p w14:paraId="1D9F00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5E0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61C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753E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F8C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5AD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A1D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7D8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1C138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 Вес без импеллера - 590 кг</w:t>
            </w:r>
          </w:p>
        </w:tc>
      </w:tr>
      <w:tr w:rsidR="001002C3" w:rsidRPr="007122AB" w14:paraId="2B3757EE" w14:textId="77777777">
        <w:tc>
          <w:tcPr>
            <w:tcW w:w="1024" w:type="dxa"/>
          </w:tcPr>
          <w:p w14:paraId="65D7F0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w:t>
            </w:r>
          </w:p>
        </w:tc>
        <w:tc>
          <w:tcPr>
            <w:tcW w:w="1024" w:type="dxa"/>
          </w:tcPr>
          <w:p w14:paraId="283BD8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1AF375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08FE12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160D2A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630</w:t>
            </w:r>
          </w:p>
        </w:tc>
        <w:tc>
          <w:tcPr>
            <w:tcW w:w="1024" w:type="dxa"/>
          </w:tcPr>
          <w:p w14:paraId="121455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0,83</w:t>
            </w:r>
          </w:p>
        </w:tc>
        <w:tc>
          <w:tcPr>
            <w:tcW w:w="1024" w:type="dxa"/>
          </w:tcPr>
          <w:p w14:paraId="3125A7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024" w:type="dxa"/>
          </w:tcPr>
          <w:p w14:paraId="0C96D0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 янв.</w:t>
            </w:r>
          </w:p>
        </w:tc>
        <w:tc>
          <w:tcPr>
            <w:tcW w:w="2831" w:type="dxa"/>
          </w:tcPr>
          <w:p w14:paraId="10D089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Прошел 100 часовые гос. испытания и запускается</w:t>
            </w:r>
          </w:p>
        </w:tc>
      </w:tr>
      <w:tr w:rsidR="001002C3" w:rsidRPr="007122AB" w14:paraId="37CA47F9" w14:textId="77777777">
        <w:tc>
          <w:tcPr>
            <w:tcW w:w="1024" w:type="dxa"/>
          </w:tcPr>
          <w:p w14:paraId="0534FE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w:t>
            </w:r>
          </w:p>
        </w:tc>
        <w:tc>
          <w:tcPr>
            <w:tcW w:w="1024" w:type="dxa"/>
          </w:tcPr>
          <w:p w14:paraId="5D24D6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648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AA8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w:t>
            </w:r>
          </w:p>
        </w:tc>
        <w:tc>
          <w:tcPr>
            <w:tcW w:w="1024" w:type="dxa"/>
          </w:tcPr>
          <w:p w14:paraId="58FF68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4B93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6E64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00B2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2831" w:type="dxa"/>
          </w:tcPr>
          <w:p w14:paraId="1EDDA3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серию</w:t>
            </w:r>
          </w:p>
        </w:tc>
      </w:tr>
      <w:tr w:rsidR="001002C3" w:rsidRPr="007122AB" w14:paraId="7BA18792" w14:textId="77777777">
        <w:tc>
          <w:tcPr>
            <w:tcW w:w="1024" w:type="dxa"/>
          </w:tcPr>
          <w:p w14:paraId="6637E5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097171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014CE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193EEB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1DE551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840</w:t>
            </w:r>
          </w:p>
        </w:tc>
        <w:tc>
          <w:tcPr>
            <w:tcW w:w="1024" w:type="dxa"/>
          </w:tcPr>
          <w:p w14:paraId="01793C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0,84</w:t>
            </w:r>
          </w:p>
        </w:tc>
        <w:tc>
          <w:tcPr>
            <w:tcW w:w="1024" w:type="dxa"/>
          </w:tcPr>
          <w:p w14:paraId="2322DC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0B6D93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w:t>
            </w:r>
          </w:p>
        </w:tc>
        <w:tc>
          <w:tcPr>
            <w:tcW w:w="2831" w:type="dxa"/>
          </w:tcPr>
          <w:p w14:paraId="05C898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прошел 50 час. этап гос. испытаний, причем</w:t>
            </w:r>
          </w:p>
        </w:tc>
      </w:tr>
      <w:tr w:rsidR="001002C3" w:rsidRPr="007122AB" w14:paraId="78CA5862" w14:textId="77777777">
        <w:tc>
          <w:tcPr>
            <w:tcW w:w="1024" w:type="dxa"/>
          </w:tcPr>
          <w:p w14:paraId="7EDADE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2DA79F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92D3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AC1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5D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5F8A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4D37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EED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831" w:type="dxa"/>
          </w:tcPr>
          <w:p w14:paraId="0CCEE8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25 час. разбирался. </w:t>
            </w:r>
            <w:proofErr w:type="spellStart"/>
            <w:r w:rsidRPr="007122AB">
              <w:rPr>
                <w:rFonts w:ascii="Times New Roman" w:hAnsi="Times New Roman"/>
                <w:color w:val="000000" w:themeColor="text1"/>
                <w:sz w:val="16"/>
                <w:szCs w:val="16"/>
              </w:rPr>
              <w:t>Обнаружиди</w:t>
            </w:r>
            <w:proofErr w:type="spellEnd"/>
            <w:r w:rsidRPr="007122AB">
              <w:rPr>
                <w:rFonts w:ascii="Times New Roman" w:hAnsi="Times New Roman"/>
                <w:color w:val="000000" w:themeColor="text1"/>
                <w:sz w:val="16"/>
                <w:szCs w:val="16"/>
              </w:rPr>
              <w:t xml:space="preserve"> трещины на</w:t>
            </w:r>
          </w:p>
        </w:tc>
      </w:tr>
      <w:tr w:rsidR="001002C3" w:rsidRPr="007122AB" w14:paraId="6BB1B706" w14:textId="77777777">
        <w:tc>
          <w:tcPr>
            <w:tcW w:w="1024" w:type="dxa"/>
          </w:tcPr>
          <w:p w14:paraId="05AD9F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ФЭД-3</w:t>
            </w:r>
          </w:p>
        </w:tc>
        <w:tc>
          <w:tcPr>
            <w:tcW w:w="1024" w:type="dxa"/>
          </w:tcPr>
          <w:p w14:paraId="70D4E9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097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906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563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6907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39D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0FE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3205D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всех шатунах, одном коренном подшипнике и кроме</w:t>
            </w:r>
          </w:p>
        </w:tc>
      </w:tr>
      <w:tr w:rsidR="001002C3" w:rsidRPr="007122AB" w14:paraId="42A7A93D" w14:textId="77777777">
        <w:tc>
          <w:tcPr>
            <w:tcW w:w="1024" w:type="dxa"/>
          </w:tcPr>
          <w:p w14:paraId="1BC741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B54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40C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056D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8BE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72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A513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CB1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0406D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того трещина в валике импеллера. При вторичной</w:t>
            </w:r>
          </w:p>
        </w:tc>
      </w:tr>
      <w:tr w:rsidR="001002C3" w:rsidRPr="007122AB" w14:paraId="03F4137A" w14:textId="77777777">
        <w:tc>
          <w:tcPr>
            <w:tcW w:w="1024" w:type="dxa"/>
          </w:tcPr>
          <w:p w14:paraId="351454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EEF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C4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E6E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8C1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DEF4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62C3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7B8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47D3F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разборке обнаружили трещины на шатунных </w:t>
            </w:r>
            <w:proofErr w:type="spellStart"/>
            <w:r w:rsidRPr="007122AB">
              <w:rPr>
                <w:rFonts w:ascii="Times New Roman" w:hAnsi="Times New Roman"/>
                <w:color w:val="000000" w:themeColor="text1"/>
                <w:sz w:val="16"/>
                <w:szCs w:val="16"/>
              </w:rPr>
              <w:t>подш</w:t>
            </w:r>
            <w:proofErr w:type="spellEnd"/>
            <w:r w:rsidRPr="007122AB">
              <w:rPr>
                <w:rFonts w:ascii="Times New Roman" w:hAnsi="Times New Roman"/>
                <w:color w:val="000000" w:themeColor="text1"/>
                <w:sz w:val="16"/>
                <w:szCs w:val="16"/>
              </w:rPr>
              <w:t>.</w:t>
            </w:r>
          </w:p>
        </w:tc>
      </w:tr>
      <w:tr w:rsidR="001002C3" w:rsidRPr="007122AB" w14:paraId="1D7585DD" w14:textId="77777777">
        <w:tc>
          <w:tcPr>
            <w:tcW w:w="1024" w:type="dxa"/>
          </w:tcPr>
          <w:p w14:paraId="459BE7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F36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238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635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C956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DE4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177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3E9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E6896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от проведения второго 50-часового этапа</w:t>
            </w:r>
          </w:p>
        </w:tc>
      </w:tr>
      <w:tr w:rsidR="001002C3" w:rsidRPr="007122AB" w14:paraId="448ADCE9" w14:textId="77777777">
        <w:tc>
          <w:tcPr>
            <w:tcW w:w="1024" w:type="dxa"/>
          </w:tcPr>
          <w:p w14:paraId="409D1E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5EB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E4C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FF6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E65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0C0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84B5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57E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96AE2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испытаний отказался. Проверяются расчеты</w:t>
            </w:r>
          </w:p>
        </w:tc>
      </w:tr>
      <w:tr w:rsidR="001002C3" w:rsidRPr="007122AB" w14:paraId="714142D2" w14:textId="77777777">
        <w:tc>
          <w:tcPr>
            <w:tcW w:w="1024" w:type="dxa"/>
          </w:tcPr>
          <w:p w14:paraId="1E49B0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CF6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2E7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77E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E1CE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A30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444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A109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2F08C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подготовки заключения по этапу и мотору</w:t>
            </w:r>
          </w:p>
        </w:tc>
      </w:tr>
      <w:tr w:rsidR="001002C3" w:rsidRPr="007122AB" w14:paraId="2FADB236" w14:textId="77777777">
        <w:tc>
          <w:tcPr>
            <w:tcW w:w="1024" w:type="dxa"/>
          </w:tcPr>
          <w:p w14:paraId="6FAD6E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6B7E63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6ACEA9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153E87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1AEB03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4DB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0,63</w:t>
            </w:r>
          </w:p>
        </w:tc>
        <w:tc>
          <w:tcPr>
            <w:tcW w:w="1024" w:type="dxa"/>
          </w:tcPr>
          <w:p w14:paraId="1ACBE3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AD7D8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2831" w:type="dxa"/>
          </w:tcPr>
          <w:p w14:paraId="658EBB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Окончена расчетная часть и компоновка и черт.</w:t>
            </w:r>
          </w:p>
        </w:tc>
      </w:tr>
      <w:tr w:rsidR="001002C3" w:rsidRPr="007122AB" w14:paraId="310B2C16" w14:textId="77777777">
        <w:tc>
          <w:tcPr>
            <w:tcW w:w="1024" w:type="dxa"/>
          </w:tcPr>
          <w:p w14:paraId="359A97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w:t>
            </w:r>
          </w:p>
        </w:tc>
        <w:tc>
          <w:tcPr>
            <w:tcW w:w="1024" w:type="dxa"/>
          </w:tcPr>
          <w:p w14:paraId="06B52F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B7A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462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8D8D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835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D3E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8E9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31" w:type="dxa"/>
          </w:tcPr>
          <w:p w14:paraId="5B3F93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основных деталей. Мелкие детали будут окончены 25</w:t>
            </w:r>
          </w:p>
        </w:tc>
      </w:tr>
      <w:tr w:rsidR="001002C3" w:rsidRPr="007122AB" w14:paraId="688358FD" w14:textId="77777777">
        <w:tc>
          <w:tcPr>
            <w:tcW w:w="1024" w:type="dxa"/>
          </w:tcPr>
          <w:p w14:paraId="14A708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FE25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B8F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AC68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745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B05C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5B1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45E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3185B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июля, сборочные - 15 августа. Литье гл. деталей</w:t>
            </w:r>
          </w:p>
        </w:tc>
      </w:tr>
      <w:tr w:rsidR="001002C3" w:rsidRPr="007122AB" w14:paraId="2C0228C6" w14:textId="77777777">
        <w:tc>
          <w:tcPr>
            <w:tcW w:w="1024" w:type="dxa"/>
          </w:tcPr>
          <w:p w14:paraId="11F9D6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9858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750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EA2D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8F8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BC4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A94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A99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7FFD1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выпущено 5 июля. Задерживаются поковки,</w:t>
            </w:r>
          </w:p>
        </w:tc>
      </w:tr>
      <w:tr w:rsidR="001002C3" w:rsidRPr="007122AB" w14:paraId="32E95BE4" w14:textId="77777777">
        <w:tc>
          <w:tcPr>
            <w:tcW w:w="1024" w:type="dxa"/>
          </w:tcPr>
          <w:p w14:paraId="69E2EE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3C5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D62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C54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233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EB2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330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15CD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872B0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заказанные на Мотовилихинском заводе и будут</w:t>
            </w:r>
          </w:p>
        </w:tc>
      </w:tr>
      <w:tr w:rsidR="001002C3" w:rsidRPr="007122AB" w14:paraId="0795099B" w14:textId="77777777">
        <w:tc>
          <w:tcPr>
            <w:tcW w:w="1024" w:type="dxa"/>
          </w:tcPr>
          <w:p w14:paraId="3D7701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A18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09E5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674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70C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6996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67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9261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B255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поданы 1 октября. Необходим нажим на ускорение</w:t>
            </w:r>
          </w:p>
        </w:tc>
      </w:tr>
      <w:tr w:rsidR="001002C3" w:rsidRPr="007122AB" w14:paraId="483D81EB" w14:textId="77777777">
        <w:tc>
          <w:tcPr>
            <w:tcW w:w="1024" w:type="dxa"/>
          </w:tcPr>
          <w:p w14:paraId="7B9E3E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D546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52C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5C1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CF9B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11C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D64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3BF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1E70F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выполнения заказа Мотор по данным ИАМ</w:t>
            </w:r>
          </w:p>
        </w:tc>
      </w:tr>
      <w:tr w:rsidR="001002C3" w:rsidRPr="007122AB" w14:paraId="04CF64E7" w14:textId="77777777">
        <w:tc>
          <w:tcPr>
            <w:tcW w:w="1024" w:type="dxa"/>
          </w:tcPr>
          <w:p w14:paraId="7AADEF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ADD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96A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C894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54E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AF52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02C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0DA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41BAD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соответствует требованиям ВАО</w:t>
            </w:r>
          </w:p>
        </w:tc>
      </w:tr>
      <w:tr w:rsidR="001002C3" w:rsidRPr="007122AB" w14:paraId="7032F343" w14:textId="77777777">
        <w:tc>
          <w:tcPr>
            <w:tcW w:w="1024" w:type="dxa"/>
          </w:tcPr>
          <w:p w14:paraId="235EA5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00F905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6C5490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03300E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65A42D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c>
          <w:tcPr>
            <w:tcW w:w="1024" w:type="dxa"/>
          </w:tcPr>
          <w:p w14:paraId="666E88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0,9</w:t>
            </w:r>
          </w:p>
        </w:tc>
        <w:tc>
          <w:tcPr>
            <w:tcW w:w="1024" w:type="dxa"/>
          </w:tcPr>
          <w:p w14:paraId="3979B3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0CD544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2831" w:type="dxa"/>
          </w:tcPr>
          <w:p w14:paraId="6CB17D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Готова общая компоновка. заканчиваются</w:t>
            </w:r>
          </w:p>
        </w:tc>
      </w:tr>
      <w:tr w:rsidR="001002C3" w:rsidRPr="007122AB" w14:paraId="09757435" w14:textId="77777777">
        <w:tc>
          <w:tcPr>
            <w:tcW w:w="1024" w:type="dxa"/>
          </w:tcPr>
          <w:p w14:paraId="6DAB45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5E9827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0E3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6294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ECED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5DD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14F0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B2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31" w:type="dxa"/>
          </w:tcPr>
          <w:p w14:paraId="2DFE22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рабочие чертежи. изготовлена часть поковок и</w:t>
            </w:r>
          </w:p>
        </w:tc>
      </w:tr>
      <w:tr w:rsidR="001002C3" w:rsidRPr="007122AB" w14:paraId="4112E6DE" w14:textId="77777777">
        <w:tc>
          <w:tcPr>
            <w:tcW w:w="1024" w:type="dxa"/>
          </w:tcPr>
          <w:p w14:paraId="79F7BF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1024" w:type="dxa"/>
          </w:tcPr>
          <w:p w14:paraId="306C90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344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D4E5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390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B4A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62D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B69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9FA44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модели. Ведется подготовка к производству.</w:t>
            </w:r>
          </w:p>
        </w:tc>
      </w:tr>
      <w:tr w:rsidR="001002C3" w:rsidRPr="007122AB" w14:paraId="33ED8051" w14:textId="77777777">
        <w:tc>
          <w:tcPr>
            <w:tcW w:w="1024" w:type="dxa"/>
          </w:tcPr>
          <w:p w14:paraId="0D2FBB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ACF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768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CF3A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544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7CC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AAF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12E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55A4A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Ведутся испытания цилиндра большого диаметра</w:t>
            </w:r>
          </w:p>
        </w:tc>
      </w:tr>
      <w:tr w:rsidR="001002C3" w:rsidRPr="007122AB" w14:paraId="3B24DC25" w14:textId="77777777">
        <w:tc>
          <w:tcPr>
            <w:tcW w:w="1024" w:type="dxa"/>
          </w:tcPr>
          <w:p w14:paraId="396073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44289D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651F70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0221E2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68EDAD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024" w:type="dxa"/>
          </w:tcPr>
          <w:p w14:paraId="012C0E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0,66</w:t>
            </w:r>
          </w:p>
        </w:tc>
        <w:tc>
          <w:tcPr>
            <w:tcW w:w="1024" w:type="dxa"/>
          </w:tcPr>
          <w:p w14:paraId="123FC5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3915D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2831" w:type="dxa"/>
          </w:tcPr>
          <w:p w14:paraId="6AC8F9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Производится общая </w:t>
            </w:r>
            <w:proofErr w:type="spellStart"/>
            <w:r w:rsidRPr="007122AB">
              <w:rPr>
                <w:rFonts w:ascii="Times New Roman" w:hAnsi="Times New Roman"/>
                <w:color w:val="000000" w:themeColor="text1"/>
                <w:sz w:val="16"/>
                <w:szCs w:val="16"/>
              </w:rPr>
              <w:t>компановка</w:t>
            </w:r>
            <w:proofErr w:type="spellEnd"/>
            <w:r w:rsidRPr="007122AB">
              <w:rPr>
                <w:rFonts w:ascii="Times New Roman" w:hAnsi="Times New Roman"/>
                <w:color w:val="000000" w:themeColor="text1"/>
                <w:sz w:val="16"/>
                <w:szCs w:val="16"/>
              </w:rPr>
              <w:t xml:space="preserve"> мотора и узлов</w:t>
            </w:r>
          </w:p>
        </w:tc>
      </w:tr>
      <w:tr w:rsidR="001002C3" w:rsidRPr="007122AB" w14:paraId="66F3B231" w14:textId="77777777">
        <w:tc>
          <w:tcPr>
            <w:tcW w:w="1024" w:type="dxa"/>
          </w:tcPr>
          <w:p w14:paraId="101E5A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М-32</w:t>
            </w:r>
          </w:p>
        </w:tc>
        <w:tc>
          <w:tcPr>
            <w:tcW w:w="1024" w:type="dxa"/>
          </w:tcPr>
          <w:p w14:paraId="777FB9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AFD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B4A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7225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341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1C5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7A0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831" w:type="dxa"/>
          </w:tcPr>
          <w:p w14:paraId="0B0557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тормозится в связи с форсированием М-19а</w:t>
            </w:r>
          </w:p>
        </w:tc>
      </w:tr>
      <w:tr w:rsidR="001002C3" w:rsidRPr="007122AB" w14:paraId="364E8035" w14:textId="77777777">
        <w:tc>
          <w:tcPr>
            <w:tcW w:w="1024" w:type="dxa"/>
          </w:tcPr>
          <w:p w14:paraId="2E07E4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Модернизация</w:t>
            </w:r>
          </w:p>
        </w:tc>
        <w:tc>
          <w:tcPr>
            <w:tcW w:w="1024" w:type="dxa"/>
          </w:tcPr>
          <w:p w14:paraId="7FDA88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7DBBD6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2A1A4C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024" w:type="dxa"/>
          </w:tcPr>
          <w:p w14:paraId="4DF4B6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w:t>
            </w:r>
          </w:p>
        </w:tc>
        <w:tc>
          <w:tcPr>
            <w:tcW w:w="1024" w:type="dxa"/>
          </w:tcPr>
          <w:p w14:paraId="401649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0,43</w:t>
            </w:r>
          </w:p>
        </w:tc>
        <w:tc>
          <w:tcPr>
            <w:tcW w:w="1024" w:type="dxa"/>
          </w:tcPr>
          <w:p w14:paraId="320496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751946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2831" w:type="dxa"/>
          </w:tcPr>
          <w:p w14:paraId="65B39B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w:t>
            </w:r>
          </w:p>
        </w:tc>
      </w:tr>
      <w:tr w:rsidR="001002C3" w:rsidRPr="007122AB" w14:paraId="1B0D321C" w14:textId="77777777">
        <w:tc>
          <w:tcPr>
            <w:tcW w:w="1024" w:type="dxa"/>
          </w:tcPr>
          <w:p w14:paraId="7C993A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М-43</w:t>
            </w:r>
          </w:p>
        </w:tc>
        <w:tc>
          <w:tcPr>
            <w:tcW w:w="1024" w:type="dxa"/>
          </w:tcPr>
          <w:p w14:paraId="1D78A5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64C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9F7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12E2CE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2639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53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BC6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2831" w:type="dxa"/>
          </w:tcPr>
          <w:p w14:paraId="2A3700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EDE9ADD" w14:textId="77777777">
        <w:tc>
          <w:tcPr>
            <w:tcW w:w="1024" w:type="dxa"/>
          </w:tcPr>
          <w:p w14:paraId="64481C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Нефтяной</w:t>
            </w:r>
          </w:p>
        </w:tc>
        <w:tc>
          <w:tcPr>
            <w:tcW w:w="1024" w:type="dxa"/>
          </w:tcPr>
          <w:p w14:paraId="3D6D2F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20BF77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C698B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28215D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2319FF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376088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0D7451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2831" w:type="dxa"/>
          </w:tcPr>
          <w:p w14:paraId="427934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w:t>
            </w:r>
          </w:p>
        </w:tc>
      </w:tr>
      <w:tr w:rsidR="001002C3" w:rsidRPr="007122AB" w14:paraId="4269F2AC" w14:textId="77777777">
        <w:tc>
          <w:tcPr>
            <w:tcW w:w="1024" w:type="dxa"/>
          </w:tcPr>
          <w:p w14:paraId="7CE7DD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М-42</w:t>
            </w:r>
          </w:p>
        </w:tc>
        <w:tc>
          <w:tcPr>
            <w:tcW w:w="1024" w:type="dxa"/>
          </w:tcPr>
          <w:p w14:paraId="663354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2C0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D0FC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8EC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265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3E3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210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2831" w:type="dxa"/>
          </w:tcPr>
          <w:p w14:paraId="35C785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1EBD5C1" w14:textId="77777777">
        <w:tc>
          <w:tcPr>
            <w:tcW w:w="1024" w:type="dxa"/>
          </w:tcPr>
          <w:p w14:paraId="758F89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Нефтяной</w:t>
            </w:r>
          </w:p>
        </w:tc>
        <w:tc>
          <w:tcPr>
            <w:tcW w:w="1024" w:type="dxa"/>
          </w:tcPr>
          <w:p w14:paraId="1EAC04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48345D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1BFA16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642DD6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c>
          <w:tcPr>
            <w:tcW w:w="1024" w:type="dxa"/>
          </w:tcPr>
          <w:p w14:paraId="4D8AF9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024" w:type="dxa"/>
          </w:tcPr>
          <w:p w14:paraId="679310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0FFE05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2831" w:type="dxa"/>
          </w:tcPr>
          <w:p w14:paraId="1F260D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мотор с плана снят. ИАМ</w:t>
            </w:r>
          </w:p>
        </w:tc>
      </w:tr>
      <w:tr w:rsidR="001002C3" w:rsidRPr="007122AB" w14:paraId="161D05E8" w14:textId="77777777">
        <w:tc>
          <w:tcPr>
            <w:tcW w:w="1024" w:type="dxa"/>
          </w:tcPr>
          <w:p w14:paraId="1F73F8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ЭН-1</w:t>
            </w:r>
          </w:p>
        </w:tc>
        <w:tc>
          <w:tcPr>
            <w:tcW w:w="1024" w:type="dxa"/>
          </w:tcPr>
          <w:p w14:paraId="3F16C0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9A6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301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C5D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79B0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D36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539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2831" w:type="dxa"/>
          </w:tcPr>
          <w:p w14:paraId="7D8944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ведет экспериментальные испытания на </w:t>
            </w:r>
            <w:proofErr w:type="spellStart"/>
            <w:r w:rsidRPr="007122AB">
              <w:rPr>
                <w:rFonts w:ascii="Times New Roman" w:hAnsi="Times New Roman"/>
                <w:color w:val="000000" w:themeColor="text1"/>
                <w:sz w:val="16"/>
                <w:szCs w:val="16"/>
              </w:rPr>
              <w:t>одноц</w:t>
            </w:r>
            <w:proofErr w:type="spellEnd"/>
            <w:r w:rsidRPr="007122AB">
              <w:rPr>
                <w:rFonts w:ascii="Times New Roman" w:hAnsi="Times New Roman"/>
                <w:color w:val="000000" w:themeColor="text1"/>
                <w:sz w:val="16"/>
                <w:szCs w:val="16"/>
              </w:rPr>
              <w:t>.</w:t>
            </w:r>
          </w:p>
        </w:tc>
      </w:tr>
      <w:tr w:rsidR="001002C3" w:rsidRPr="007122AB" w14:paraId="4C6F4E47" w14:textId="77777777">
        <w:tc>
          <w:tcPr>
            <w:tcW w:w="1024" w:type="dxa"/>
          </w:tcPr>
          <w:p w14:paraId="727853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439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9A3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98B4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4539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BAE5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F38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A58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959FD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установках</w:t>
            </w:r>
          </w:p>
        </w:tc>
      </w:tr>
      <w:tr w:rsidR="001002C3" w:rsidRPr="007122AB" w14:paraId="06C545E1" w14:textId="77777777">
        <w:tc>
          <w:tcPr>
            <w:tcW w:w="1024" w:type="dxa"/>
          </w:tcPr>
          <w:p w14:paraId="651AEA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ГА М-26</w:t>
            </w:r>
          </w:p>
        </w:tc>
        <w:tc>
          <w:tcPr>
            <w:tcW w:w="1024" w:type="dxa"/>
          </w:tcPr>
          <w:p w14:paraId="5496F8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3ECBD2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2C4A3A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36BE7E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315</w:t>
            </w:r>
          </w:p>
        </w:tc>
        <w:tc>
          <w:tcPr>
            <w:tcW w:w="1024" w:type="dxa"/>
          </w:tcPr>
          <w:p w14:paraId="44F584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19F541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70E0D9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2831" w:type="dxa"/>
          </w:tcPr>
          <w:p w14:paraId="7D06BE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Прошел 50-часовые гос. испытания </w:t>
            </w:r>
            <w:proofErr w:type="spellStart"/>
            <w:r w:rsidRPr="007122AB">
              <w:rPr>
                <w:rFonts w:ascii="Times New Roman" w:hAnsi="Times New Roman"/>
                <w:color w:val="000000" w:themeColor="text1"/>
                <w:sz w:val="16"/>
                <w:szCs w:val="16"/>
              </w:rPr>
              <w:t>удовлетвор</w:t>
            </w:r>
            <w:proofErr w:type="spellEnd"/>
            <w:r w:rsidRPr="007122AB">
              <w:rPr>
                <w:rFonts w:ascii="Times New Roman" w:hAnsi="Times New Roman"/>
                <w:color w:val="000000" w:themeColor="text1"/>
                <w:sz w:val="16"/>
                <w:szCs w:val="16"/>
              </w:rPr>
              <w:t>.</w:t>
            </w:r>
          </w:p>
        </w:tc>
      </w:tr>
      <w:tr w:rsidR="001002C3" w:rsidRPr="007122AB" w14:paraId="157E7C95" w14:textId="77777777">
        <w:tc>
          <w:tcPr>
            <w:tcW w:w="1024" w:type="dxa"/>
          </w:tcPr>
          <w:p w14:paraId="591685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10C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B51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339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6ECC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6B4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EEC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F665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w:t>
            </w:r>
          </w:p>
        </w:tc>
        <w:tc>
          <w:tcPr>
            <w:tcW w:w="2831" w:type="dxa"/>
          </w:tcPr>
          <w:p w14:paraId="31A802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февраля 1931</w:t>
            </w:r>
          </w:p>
        </w:tc>
      </w:tr>
      <w:tr w:rsidR="001002C3" w:rsidRPr="007122AB" w14:paraId="3CE87CF1" w14:textId="77777777">
        <w:tc>
          <w:tcPr>
            <w:tcW w:w="1024" w:type="dxa"/>
          </w:tcPr>
          <w:p w14:paraId="307E2B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73498A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74E42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405015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5B50B6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024" w:type="dxa"/>
          </w:tcPr>
          <w:p w14:paraId="42886A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0.80</w:t>
            </w:r>
          </w:p>
        </w:tc>
        <w:tc>
          <w:tcPr>
            <w:tcW w:w="1024" w:type="dxa"/>
          </w:tcPr>
          <w:p w14:paraId="0657E3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74AF8F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2831" w:type="dxa"/>
          </w:tcPr>
          <w:p w14:paraId="0E1B00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исполнению на принят</w:t>
            </w:r>
          </w:p>
        </w:tc>
      </w:tr>
      <w:tr w:rsidR="001002C3" w:rsidRPr="007122AB" w14:paraId="07E82923" w14:textId="77777777">
        <w:tc>
          <w:tcPr>
            <w:tcW w:w="1024" w:type="dxa"/>
          </w:tcPr>
          <w:p w14:paraId="3E0E0F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М-15а</w:t>
            </w:r>
          </w:p>
        </w:tc>
        <w:tc>
          <w:tcPr>
            <w:tcW w:w="1024" w:type="dxa"/>
          </w:tcPr>
          <w:p w14:paraId="3C6270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427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9FB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4B5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50B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CB4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2FB7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69973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r>
      <w:tr w:rsidR="001002C3" w:rsidRPr="007122AB" w14:paraId="740661E9" w14:textId="77777777">
        <w:tc>
          <w:tcPr>
            <w:tcW w:w="1024" w:type="dxa"/>
          </w:tcPr>
          <w:p w14:paraId="707EDB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4DCA3C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627428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1D4284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w:t>
            </w:r>
          </w:p>
        </w:tc>
        <w:tc>
          <w:tcPr>
            <w:tcW w:w="1024" w:type="dxa"/>
          </w:tcPr>
          <w:p w14:paraId="1BD960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должны быть</w:t>
            </w:r>
          </w:p>
        </w:tc>
        <w:tc>
          <w:tcPr>
            <w:tcW w:w="1024" w:type="dxa"/>
          </w:tcPr>
          <w:p w14:paraId="7D4883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494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развитием М-34. Работы по этому мотору</w:t>
            </w:r>
          </w:p>
        </w:tc>
        <w:tc>
          <w:tcPr>
            <w:tcW w:w="1024" w:type="dxa"/>
          </w:tcPr>
          <w:p w14:paraId="7EF7B4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FD045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988F4A" w14:textId="77777777">
        <w:tc>
          <w:tcPr>
            <w:tcW w:w="1024" w:type="dxa"/>
          </w:tcPr>
          <w:p w14:paraId="33E72C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46B3F8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5C0B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942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024" w:type="dxa"/>
          </w:tcPr>
          <w:p w14:paraId="06B9AB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представлены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w:t>
            </w:r>
          </w:p>
        </w:tc>
        <w:tc>
          <w:tcPr>
            <w:tcW w:w="1024" w:type="dxa"/>
          </w:tcPr>
          <w:p w14:paraId="1BE7DD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456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будут вестись в зависимости от удачи с М-34.</w:t>
            </w:r>
          </w:p>
        </w:tc>
        <w:tc>
          <w:tcPr>
            <w:tcW w:w="1024" w:type="dxa"/>
          </w:tcPr>
          <w:p w14:paraId="720661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9D392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7589651" w14:textId="77777777">
        <w:tc>
          <w:tcPr>
            <w:tcW w:w="1024" w:type="dxa"/>
          </w:tcPr>
          <w:p w14:paraId="2BBDEB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1024" w:type="dxa"/>
          </w:tcPr>
          <w:p w14:paraId="2FFB34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11E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AE2A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077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E04B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625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88D8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FEFA3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0608419" w14:textId="77777777">
        <w:tc>
          <w:tcPr>
            <w:tcW w:w="1024" w:type="dxa"/>
          </w:tcPr>
          <w:p w14:paraId="7C8B77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 в 1932 будет проектироваться 3 нефтяных мотора:</w:t>
            </w:r>
          </w:p>
        </w:tc>
        <w:tc>
          <w:tcPr>
            <w:tcW w:w="1024" w:type="dxa"/>
          </w:tcPr>
          <w:p w14:paraId="0D63B8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E5F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3F8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A04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7500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4F7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9F8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A3FE5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C8E2174" w14:textId="77777777">
        <w:tc>
          <w:tcPr>
            <w:tcW w:w="1024" w:type="dxa"/>
          </w:tcPr>
          <w:p w14:paraId="41B8B8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300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для ГВФ</w:t>
            </w:r>
          </w:p>
        </w:tc>
        <w:tc>
          <w:tcPr>
            <w:tcW w:w="1024" w:type="dxa"/>
          </w:tcPr>
          <w:p w14:paraId="669D3F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9785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2FD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D4C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9E3F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429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95F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AC46C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CD0C07C" w14:textId="77777777">
        <w:tc>
          <w:tcPr>
            <w:tcW w:w="1024" w:type="dxa"/>
          </w:tcPr>
          <w:p w14:paraId="13A62F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500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для ВВС</w:t>
            </w:r>
          </w:p>
        </w:tc>
        <w:tc>
          <w:tcPr>
            <w:tcW w:w="1024" w:type="dxa"/>
          </w:tcPr>
          <w:p w14:paraId="696957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EFF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815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6C3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689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E74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325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E04E4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63E603" w14:textId="77777777">
        <w:tc>
          <w:tcPr>
            <w:tcW w:w="1024" w:type="dxa"/>
          </w:tcPr>
          <w:p w14:paraId="3F7505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600-800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для дирижаблей</w:t>
            </w:r>
          </w:p>
        </w:tc>
        <w:tc>
          <w:tcPr>
            <w:tcW w:w="1024" w:type="dxa"/>
          </w:tcPr>
          <w:p w14:paraId="077312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A31B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6E6F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193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765E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A38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643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A15AB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1F7C09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1002C3" w:rsidRPr="007122AB" w14:paraId="6B0E5154" w14:textId="77777777">
        <w:tc>
          <w:tcPr>
            <w:tcW w:w="1024" w:type="dxa"/>
          </w:tcPr>
          <w:p w14:paraId="7483BD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024" w:type="dxa"/>
          </w:tcPr>
          <w:p w14:paraId="7D1605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B00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летно-тактические данные</w:t>
            </w:r>
          </w:p>
        </w:tc>
        <w:tc>
          <w:tcPr>
            <w:tcW w:w="1024" w:type="dxa"/>
          </w:tcPr>
          <w:p w14:paraId="6277FC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306B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7F3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D0D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2D11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79CC35" w14:textId="77777777">
        <w:tc>
          <w:tcPr>
            <w:tcW w:w="1024" w:type="dxa"/>
          </w:tcPr>
          <w:p w14:paraId="1F5303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w:t>
            </w:r>
          </w:p>
        </w:tc>
        <w:tc>
          <w:tcPr>
            <w:tcW w:w="1024" w:type="dxa"/>
          </w:tcPr>
          <w:p w14:paraId="4EB13C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w:t>
            </w:r>
          </w:p>
        </w:tc>
        <w:tc>
          <w:tcPr>
            <w:tcW w:w="1024" w:type="dxa"/>
          </w:tcPr>
          <w:p w14:paraId="0065B4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w:t>
            </w:r>
            <w:proofErr w:type="spellEnd"/>
            <w:r w:rsidRPr="007122AB">
              <w:rPr>
                <w:rFonts w:ascii="Times New Roman" w:hAnsi="Times New Roman"/>
                <w:color w:val="000000" w:themeColor="text1"/>
                <w:sz w:val="16"/>
                <w:szCs w:val="16"/>
              </w:rPr>
              <w:t>.</w:t>
            </w:r>
          </w:p>
        </w:tc>
        <w:tc>
          <w:tcPr>
            <w:tcW w:w="1024" w:type="dxa"/>
          </w:tcPr>
          <w:p w14:paraId="58D896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1024" w:type="dxa"/>
          </w:tcPr>
          <w:p w14:paraId="0820A3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1024" w:type="dxa"/>
          </w:tcPr>
          <w:p w14:paraId="673CDA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w:t>
            </w:r>
          </w:p>
        </w:tc>
        <w:tc>
          <w:tcPr>
            <w:tcW w:w="1024" w:type="dxa"/>
          </w:tcPr>
          <w:p w14:paraId="249D8E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w:t>
            </w:r>
          </w:p>
        </w:tc>
        <w:tc>
          <w:tcPr>
            <w:tcW w:w="3430" w:type="dxa"/>
          </w:tcPr>
          <w:p w14:paraId="4B6B61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w:t>
            </w:r>
          </w:p>
        </w:tc>
      </w:tr>
      <w:tr w:rsidR="001002C3" w:rsidRPr="007122AB" w14:paraId="398512E5" w14:textId="77777777">
        <w:tc>
          <w:tcPr>
            <w:tcW w:w="1024" w:type="dxa"/>
          </w:tcPr>
          <w:p w14:paraId="689C07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15D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гориз</w:t>
            </w:r>
            <w:proofErr w:type="spellEnd"/>
            <w:r w:rsidRPr="007122AB">
              <w:rPr>
                <w:rFonts w:ascii="Times New Roman" w:hAnsi="Times New Roman"/>
                <w:color w:val="000000" w:themeColor="text1"/>
                <w:sz w:val="16"/>
                <w:szCs w:val="16"/>
              </w:rPr>
              <w:t>.</w:t>
            </w:r>
          </w:p>
        </w:tc>
        <w:tc>
          <w:tcPr>
            <w:tcW w:w="1024" w:type="dxa"/>
          </w:tcPr>
          <w:p w14:paraId="2F0A73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 на</w:t>
            </w:r>
          </w:p>
        </w:tc>
        <w:tc>
          <w:tcPr>
            <w:tcW w:w="1024" w:type="dxa"/>
          </w:tcPr>
          <w:p w14:paraId="3F00A0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w:t>
            </w:r>
          </w:p>
        </w:tc>
        <w:tc>
          <w:tcPr>
            <w:tcW w:w="1024" w:type="dxa"/>
          </w:tcPr>
          <w:p w14:paraId="160CB2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BBF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w:t>
            </w:r>
          </w:p>
        </w:tc>
        <w:tc>
          <w:tcPr>
            <w:tcW w:w="1024" w:type="dxa"/>
          </w:tcPr>
          <w:p w14:paraId="43891E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предъяв.</w:t>
            </w:r>
          </w:p>
        </w:tc>
        <w:tc>
          <w:tcPr>
            <w:tcW w:w="3430" w:type="dxa"/>
          </w:tcPr>
          <w:p w14:paraId="7E73BF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B967C3C" w14:textId="77777777">
        <w:tc>
          <w:tcPr>
            <w:tcW w:w="1024" w:type="dxa"/>
          </w:tcPr>
          <w:p w14:paraId="4132AC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153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w:t>
            </w:r>
            <w:proofErr w:type="spellEnd"/>
            <w:r w:rsidRPr="007122AB">
              <w:rPr>
                <w:rFonts w:ascii="Times New Roman" w:hAnsi="Times New Roman"/>
                <w:color w:val="000000" w:themeColor="text1"/>
                <w:sz w:val="16"/>
                <w:szCs w:val="16"/>
              </w:rPr>
              <w:t>. в</w:t>
            </w:r>
          </w:p>
        </w:tc>
        <w:tc>
          <w:tcPr>
            <w:tcW w:w="1024" w:type="dxa"/>
          </w:tcPr>
          <w:p w14:paraId="298EEB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высоту</w:t>
            </w:r>
          </w:p>
        </w:tc>
        <w:tc>
          <w:tcPr>
            <w:tcW w:w="1024" w:type="dxa"/>
          </w:tcPr>
          <w:p w14:paraId="6AFF2E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576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B33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705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w:t>
            </w:r>
          </w:p>
        </w:tc>
        <w:tc>
          <w:tcPr>
            <w:tcW w:w="3430" w:type="dxa"/>
          </w:tcPr>
          <w:p w14:paraId="689FF5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1DD36BE" w14:textId="77777777">
        <w:tc>
          <w:tcPr>
            <w:tcW w:w="1024" w:type="dxa"/>
          </w:tcPr>
          <w:p w14:paraId="3728E1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B79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км на</w:t>
            </w:r>
          </w:p>
        </w:tc>
        <w:tc>
          <w:tcPr>
            <w:tcW w:w="1024" w:type="dxa"/>
          </w:tcPr>
          <w:p w14:paraId="6E5B36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389F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37E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364F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9302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испыт</w:t>
            </w:r>
            <w:proofErr w:type="spellEnd"/>
            <w:r w:rsidRPr="007122AB">
              <w:rPr>
                <w:rFonts w:ascii="Times New Roman" w:hAnsi="Times New Roman"/>
                <w:color w:val="000000" w:themeColor="text1"/>
                <w:sz w:val="16"/>
                <w:szCs w:val="16"/>
              </w:rPr>
              <w:t>.</w:t>
            </w:r>
          </w:p>
        </w:tc>
        <w:tc>
          <w:tcPr>
            <w:tcW w:w="3430" w:type="dxa"/>
          </w:tcPr>
          <w:p w14:paraId="25CC83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56C27C" w14:textId="77777777">
        <w:tc>
          <w:tcPr>
            <w:tcW w:w="1024" w:type="dxa"/>
          </w:tcPr>
          <w:p w14:paraId="0E89D2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6973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высоте</w:t>
            </w:r>
          </w:p>
        </w:tc>
        <w:tc>
          <w:tcPr>
            <w:tcW w:w="1024" w:type="dxa"/>
          </w:tcPr>
          <w:p w14:paraId="608CF5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A8F6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983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F970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F1F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8744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DBCBB5" w14:textId="77777777">
        <w:tc>
          <w:tcPr>
            <w:tcW w:w="1024" w:type="dxa"/>
          </w:tcPr>
          <w:p w14:paraId="376FDD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024" w:type="dxa"/>
          </w:tcPr>
          <w:p w14:paraId="59A271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7D69A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E162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7789F1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01F51A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33129F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6C8BB6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РВС от 5 августа 1931 года</w:t>
            </w:r>
          </w:p>
        </w:tc>
      </w:tr>
      <w:tr w:rsidR="001002C3" w:rsidRPr="007122AB" w14:paraId="024887D4" w14:textId="77777777">
        <w:tc>
          <w:tcPr>
            <w:tcW w:w="1024" w:type="dxa"/>
          </w:tcPr>
          <w:p w14:paraId="7922AE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428982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5F73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4BA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C94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tc>
        <w:tc>
          <w:tcPr>
            <w:tcW w:w="1024" w:type="dxa"/>
          </w:tcPr>
          <w:p w14:paraId="21A58E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628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5538E2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были утверждены основные данные </w:t>
            </w:r>
            <w:proofErr w:type="spellStart"/>
            <w:r w:rsidRPr="007122AB">
              <w:rPr>
                <w:rFonts w:ascii="Times New Roman" w:hAnsi="Times New Roman"/>
                <w:color w:val="000000" w:themeColor="text1"/>
                <w:sz w:val="16"/>
                <w:szCs w:val="16"/>
              </w:rPr>
              <w:t>нагруз</w:t>
            </w:r>
            <w:proofErr w:type="spellEnd"/>
            <w:r w:rsidRPr="007122AB">
              <w:rPr>
                <w:rFonts w:ascii="Times New Roman" w:hAnsi="Times New Roman"/>
                <w:color w:val="000000" w:themeColor="text1"/>
                <w:sz w:val="16"/>
                <w:szCs w:val="16"/>
              </w:rPr>
              <w:t>.</w:t>
            </w:r>
          </w:p>
        </w:tc>
      </w:tr>
      <w:tr w:rsidR="001002C3" w:rsidRPr="007122AB" w14:paraId="508572B1" w14:textId="77777777">
        <w:tc>
          <w:tcPr>
            <w:tcW w:w="1024" w:type="dxa"/>
          </w:tcPr>
          <w:p w14:paraId="338F70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BCB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BC6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C90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D72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107BB6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9FD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596B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 6М-34, принято решение об установке</w:t>
            </w:r>
          </w:p>
        </w:tc>
      </w:tr>
      <w:tr w:rsidR="001002C3" w:rsidRPr="007122AB" w14:paraId="10ED1057" w14:textId="77777777">
        <w:tc>
          <w:tcPr>
            <w:tcW w:w="1024" w:type="dxa"/>
          </w:tcPr>
          <w:p w14:paraId="2A8DC0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948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DF22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724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1A8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1024" w:type="dxa"/>
          </w:tcPr>
          <w:p w14:paraId="119BDD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B32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4B6E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4хМ-35 или 6М-34 с установкой на опытный</w:t>
            </w:r>
          </w:p>
        </w:tc>
      </w:tr>
      <w:tr w:rsidR="001002C3" w:rsidRPr="007122AB" w14:paraId="6F79F864" w14:textId="77777777">
        <w:tc>
          <w:tcPr>
            <w:tcW w:w="1024" w:type="dxa"/>
          </w:tcPr>
          <w:p w14:paraId="719890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8E9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F81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970F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D0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 кг</w:t>
            </w:r>
          </w:p>
        </w:tc>
        <w:tc>
          <w:tcPr>
            <w:tcW w:w="1024" w:type="dxa"/>
          </w:tcPr>
          <w:p w14:paraId="6C710E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067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8D01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6РР с НХП и постройке 2-х </w:t>
            </w:r>
          </w:p>
        </w:tc>
      </w:tr>
      <w:tr w:rsidR="001002C3" w:rsidRPr="007122AB" w14:paraId="42E20C66" w14:textId="77777777">
        <w:tc>
          <w:tcPr>
            <w:tcW w:w="1024" w:type="dxa"/>
          </w:tcPr>
          <w:p w14:paraId="353B09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BCA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28F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378E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446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40E085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F35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42F5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вариантов: дюралевого с площадью крыльев</w:t>
            </w:r>
          </w:p>
        </w:tc>
      </w:tr>
      <w:tr w:rsidR="001002C3" w:rsidRPr="007122AB" w14:paraId="6D1C23C5" w14:textId="77777777">
        <w:tc>
          <w:tcPr>
            <w:tcW w:w="1024" w:type="dxa"/>
          </w:tcPr>
          <w:p w14:paraId="75026E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814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2C9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640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24C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5E6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A6D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756E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410 м и стального с площадью 340 м. </w:t>
            </w:r>
            <w:proofErr w:type="spellStart"/>
            <w:r w:rsidRPr="007122AB">
              <w:rPr>
                <w:rFonts w:ascii="Times New Roman" w:hAnsi="Times New Roman"/>
                <w:color w:val="000000" w:themeColor="text1"/>
                <w:sz w:val="16"/>
                <w:szCs w:val="16"/>
              </w:rPr>
              <w:t>Утвер</w:t>
            </w:r>
            <w:proofErr w:type="spellEnd"/>
            <w:r w:rsidRPr="007122AB">
              <w:rPr>
                <w:rFonts w:ascii="Times New Roman" w:hAnsi="Times New Roman"/>
                <w:color w:val="000000" w:themeColor="text1"/>
                <w:sz w:val="16"/>
                <w:szCs w:val="16"/>
              </w:rPr>
              <w:t>.</w:t>
            </w:r>
          </w:p>
        </w:tc>
      </w:tr>
      <w:tr w:rsidR="001002C3" w:rsidRPr="007122AB" w14:paraId="68ED9354" w14:textId="77777777">
        <w:tc>
          <w:tcPr>
            <w:tcW w:w="1024" w:type="dxa"/>
          </w:tcPr>
          <w:p w14:paraId="6B953A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2E7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9C2B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837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7AB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D33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79D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13B4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Утверждены схема ТБ-4 с </w:t>
            </w:r>
            <w:proofErr w:type="spellStart"/>
            <w:r w:rsidRPr="007122AB">
              <w:rPr>
                <w:rFonts w:ascii="Times New Roman" w:hAnsi="Times New Roman"/>
                <w:color w:val="000000" w:themeColor="text1"/>
                <w:sz w:val="16"/>
                <w:szCs w:val="16"/>
              </w:rPr>
              <w:t>площ</w:t>
            </w:r>
            <w:proofErr w:type="spellEnd"/>
            <w:r w:rsidRPr="007122AB">
              <w:rPr>
                <w:rFonts w:ascii="Times New Roman" w:hAnsi="Times New Roman"/>
                <w:color w:val="000000" w:themeColor="text1"/>
                <w:sz w:val="16"/>
                <w:szCs w:val="16"/>
              </w:rPr>
              <w:t>. 410 м и</w:t>
            </w:r>
          </w:p>
        </w:tc>
      </w:tr>
      <w:tr w:rsidR="001002C3" w:rsidRPr="007122AB" w14:paraId="053BB827" w14:textId="77777777">
        <w:tc>
          <w:tcPr>
            <w:tcW w:w="1024" w:type="dxa"/>
          </w:tcPr>
          <w:p w14:paraId="7D39FF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0CA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5E0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AF3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DF21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A92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7D4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9C6E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макет в части кабин л и командира. В ЦАГИ</w:t>
            </w:r>
          </w:p>
        </w:tc>
      </w:tr>
      <w:tr w:rsidR="001002C3" w:rsidRPr="007122AB" w14:paraId="797E8C57" w14:textId="77777777">
        <w:tc>
          <w:tcPr>
            <w:tcW w:w="1024" w:type="dxa"/>
          </w:tcPr>
          <w:p w14:paraId="5F1450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843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F4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FD2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C33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F41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DEC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5E5F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развернуты работы по постройке машины.</w:t>
            </w:r>
          </w:p>
        </w:tc>
      </w:tr>
      <w:tr w:rsidR="001002C3" w:rsidRPr="007122AB" w14:paraId="7D114EC4" w14:textId="77777777">
        <w:tc>
          <w:tcPr>
            <w:tcW w:w="1024" w:type="dxa"/>
          </w:tcPr>
          <w:p w14:paraId="06DADF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EE8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C04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AFD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2C5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29D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659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6BA7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происходит сборка</w:t>
            </w:r>
          </w:p>
        </w:tc>
      </w:tr>
      <w:tr w:rsidR="001002C3" w:rsidRPr="007122AB" w14:paraId="6FE2B2A6" w14:textId="77777777">
        <w:tc>
          <w:tcPr>
            <w:tcW w:w="1024" w:type="dxa"/>
          </w:tcPr>
          <w:p w14:paraId="1C07B9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6821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1CD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CFC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D6D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394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EEB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DE3D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хвостовой части фюзеляжа и оперения,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w:t>
            </w:r>
          </w:p>
        </w:tc>
      </w:tr>
      <w:tr w:rsidR="001002C3" w:rsidRPr="007122AB" w14:paraId="53EE9F3F" w14:textId="77777777">
        <w:tc>
          <w:tcPr>
            <w:tcW w:w="1024" w:type="dxa"/>
          </w:tcPr>
          <w:p w14:paraId="66EC77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18F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991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037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75D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BAD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C4B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FAE3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лонжероны консолей крыла, заканчивается</w:t>
            </w:r>
          </w:p>
        </w:tc>
      </w:tr>
      <w:tr w:rsidR="001002C3" w:rsidRPr="007122AB" w14:paraId="2A6E4239" w14:textId="77777777">
        <w:tc>
          <w:tcPr>
            <w:tcW w:w="1024" w:type="dxa"/>
          </w:tcPr>
          <w:p w14:paraId="04600D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18B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DEC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65FE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DDC7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E8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42BE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809F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изготовление лонжеронов средних частей.</w:t>
            </w:r>
          </w:p>
        </w:tc>
      </w:tr>
      <w:tr w:rsidR="001002C3" w:rsidRPr="007122AB" w14:paraId="18302AEC" w14:textId="77777777">
        <w:tc>
          <w:tcPr>
            <w:tcW w:w="1024" w:type="dxa"/>
          </w:tcPr>
          <w:p w14:paraId="62EF48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B259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FE1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617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01F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36A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C35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C741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предложенные закупки 6РР</w:t>
            </w:r>
          </w:p>
        </w:tc>
      </w:tr>
      <w:tr w:rsidR="001002C3" w:rsidRPr="007122AB" w14:paraId="426781AC" w14:textId="77777777">
        <w:tc>
          <w:tcPr>
            <w:tcW w:w="1024" w:type="dxa"/>
          </w:tcPr>
          <w:p w14:paraId="0AEB70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09D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0B9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D7B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96F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AAA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101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45BC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800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в Англии не разрешены, а М-35Р</w:t>
            </w:r>
          </w:p>
        </w:tc>
      </w:tr>
      <w:tr w:rsidR="001002C3" w:rsidRPr="007122AB" w14:paraId="3D9900DD" w14:textId="77777777">
        <w:tc>
          <w:tcPr>
            <w:tcW w:w="1024" w:type="dxa"/>
          </w:tcPr>
          <w:p w14:paraId="17E66E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984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A53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97E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951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F99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77D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F8A3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М-34Р в 1931 не выйдут, вопрос открыт.</w:t>
            </w:r>
          </w:p>
        </w:tc>
      </w:tr>
      <w:tr w:rsidR="001002C3" w:rsidRPr="007122AB" w14:paraId="63531CEB" w14:textId="77777777">
        <w:tc>
          <w:tcPr>
            <w:tcW w:w="1024" w:type="dxa"/>
          </w:tcPr>
          <w:p w14:paraId="31C300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F1E7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A7D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F8A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24B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9AA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8EA8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D556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Положение осложняется и тем, что выпуск</w:t>
            </w:r>
          </w:p>
        </w:tc>
      </w:tr>
      <w:tr w:rsidR="001002C3" w:rsidRPr="007122AB" w14:paraId="3D7AAD77" w14:textId="77777777">
        <w:tc>
          <w:tcPr>
            <w:tcW w:w="1024" w:type="dxa"/>
          </w:tcPr>
          <w:p w14:paraId="068948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77F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C5B2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4DFB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C84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2FF6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02F9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25D5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М-34 по кол. не </w:t>
            </w:r>
            <w:proofErr w:type="spellStart"/>
            <w:r w:rsidRPr="007122AB">
              <w:rPr>
                <w:rFonts w:ascii="Times New Roman" w:hAnsi="Times New Roman"/>
                <w:color w:val="000000" w:themeColor="text1"/>
                <w:sz w:val="16"/>
                <w:szCs w:val="16"/>
              </w:rPr>
              <w:t>удовлетв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опытного</w:t>
            </w:r>
          </w:p>
        </w:tc>
      </w:tr>
      <w:tr w:rsidR="001002C3" w:rsidRPr="007122AB" w14:paraId="23FDC646" w14:textId="77777777">
        <w:tc>
          <w:tcPr>
            <w:tcW w:w="1024" w:type="dxa"/>
          </w:tcPr>
          <w:p w14:paraId="265D7E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71C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C51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089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31C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46E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6EDD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4375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производства</w:t>
            </w:r>
          </w:p>
        </w:tc>
      </w:tr>
      <w:tr w:rsidR="001002C3" w:rsidRPr="007122AB" w14:paraId="0C514E98" w14:textId="77777777">
        <w:tc>
          <w:tcPr>
            <w:tcW w:w="1024" w:type="dxa"/>
          </w:tcPr>
          <w:p w14:paraId="59AC2A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387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DDD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CE6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2EA5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9A80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2FA5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E188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77391A7D" w14:textId="77777777">
        <w:tc>
          <w:tcPr>
            <w:tcW w:w="1024" w:type="dxa"/>
          </w:tcPr>
          <w:p w14:paraId="2640DA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ТБ5-4ЮVI</w:t>
            </w:r>
          </w:p>
        </w:tc>
        <w:tc>
          <w:tcPr>
            <w:tcW w:w="1024" w:type="dxa"/>
          </w:tcPr>
          <w:p w14:paraId="2102FD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024" w:type="dxa"/>
          </w:tcPr>
          <w:p w14:paraId="0ACEC4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A79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EE1FD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 пул.</w:t>
            </w:r>
          </w:p>
        </w:tc>
        <w:tc>
          <w:tcPr>
            <w:tcW w:w="1024" w:type="dxa"/>
          </w:tcPr>
          <w:p w14:paraId="1EBD55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60921D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w:t>
            </w:r>
          </w:p>
        </w:tc>
        <w:tc>
          <w:tcPr>
            <w:tcW w:w="3430" w:type="dxa"/>
          </w:tcPr>
          <w:p w14:paraId="607EB0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закончен постройкой 30 июня.</w:t>
            </w:r>
          </w:p>
        </w:tc>
      </w:tr>
      <w:tr w:rsidR="001002C3" w:rsidRPr="007122AB" w14:paraId="41485609" w14:textId="77777777">
        <w:tc>
          <w:tcPr>
            <w:tcW w:w="1024" w:type="dxa"/>
          </w:tcPr>
          <w:p w14:paraId="64BA28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54AE5A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FDD7B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4FD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C4A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кг</w:t>
            </w:r>
          </w:p>
        </w:tc>
        <w:tc>
          <w:tcPr>
            <w:tcW w:w="1024" w:type="dxa"/>
          </w:tcPr>
          <w:p w14:paraId="3E9F21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6C7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FB942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Первые 3 полета прошли успешно, </w:t>
            </w:r>
            <w:proofErr w:type="spellStart"/>
            <w:r w:rsidRPr="007122AB">
              <w:rPr>
                <w:rFonts w:ascii="Times New Roman" w:hAnsi="Times New Roman"/>
                <w:color w:val="000000" w:themeColor="text1"/>
                <w:sz w:val="16"/>
                <w:szCs w:val="16"/>
              </w:rPr>
              <w:t>констат</w:t>
            </w:r>
            <w:proofErr w:type="spellEnd"/>
            <w:r w:rsidRPr="007122AB">
              <w:rPr>
                <w:rFonts w:ascii="Times New Roman" w:hAnsi="Times New Roman"/>
                <w:color w:val="000000" w:themeColor="text1"/>
                <w:sz w:val="16"/>
                <w:szCs w:val="16"/>
              </w:rPr>
              <w:t>.</w:t>
            </w:r>
          </w:p>
        </w:tc>
      </w:tr>
      <w:tr w:rsidR="001002C3" w:rsidRPr="007122AB" w14:paraId="1377F265" w14:textId="77777777">
        <w:tc>
          <w:tcPr>
            <w:tcW w:w="1024" w:type="dxa"/>
          </w:tcPr>
          <w:p w14:paraId="0F1961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B0C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119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6F5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70A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 с</w:t>
            </w:r>
          </w:p>
        </w:tc>
        <w:tc>
          <w:tcPr>
            <w:tcW w:w="1024" w:type="dxa"/>
          </w:tcPr>
          <w:p w14:paraId="36200B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5472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C6BE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недостаточную тягу винтов из-за того</w:t>
            </w:r>
          </w:p>
        </w:tc>
      </w:tr>
      <w:tr w:rsidR="001002C3" w:rsidRPr="007122AB" w14:paraId="2E2A3F73" w14:textId="77777777">
        <w:tc>
          <w:tcPr>
            <w:tcW w:w="1024" w:type="dxa"/>
          </w:tcPr>
          <w:p w14:paraId="7B9AC5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43A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B21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A382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A42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333631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1D43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B509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моторы без редукторов. Продолжаются</w:t>
            </w:r>
          </w:p>
        </w:tc>
      </w:tr>
      <w:tr w:rsidR="001002C3" w:rsidRPr="007122AB" w14:paraId="720A8AF4" w14:textId="77777777">
        <w:tc>
          <w:tcPr>
            <w:tcW w:w="1024" w:type="dxa"/>
          </w:tcPr>
          <w:p w14:paraId="25D0E9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B30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D54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1E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91F5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за</w:t>
            </w:r>
          </w:p>
        </w:tc>
        <w:tc>
          <w:tcPr>
            <w:tcW w:w="1024" w:type="dxa"/>
          </w:tcPr>
          <w:p w14:paraId="017EED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E91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CCEF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заводские испытания. Доводится </w:t>
            </w:r>
            <w:proofErr w:type="spellStart"/>
            <w:r w:rsidRPr="007122AB">
              <w:rPr>
                <w:rFonts w:ascii="Times New Roman" w:hAnsi="Times New Roman"/>
                <w:color w:val="000000" w:themeColor="text1"/>
                <w:sz w:val="16"/>
                <w:szCs w:val="16"/>
              </w:rPr>
              <w:t>воор</w:t>
            </w:r>
            <w:proofErr w:type="spellEnd"/>
            <w:r w:rsidRPr="007122AB">
              <w:rPr>
                <w:rFonts w:ascii="Times New Roman" w:hAnsi="Times New Roman"/>
                <w:color w:val="000000" w:themeColor="text1"/>
                <w:sz w:val="16"/>
                <w:szCs w:val="16"/>
              </w:rPr>
              <w:t>.</w:t>
            </w:r>
          </w:p>
        </w:tc>
      </w:tr>
      <w:tr w:rsidR="001002C3" w:rsidRPr="007122AB" w14:paraId="63A30F4D" w14:textId="77777777">
        <w:tc>
          <w:tcPr>
            <w:tcW w:w="1024" w:type="dxa"/>
          </w:tcPr>
          <w:p w14:paraId="1981A8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2CB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999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82E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5AA6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72A7DE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13AA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8050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оборудование. Поступит в НИИ в</w:t>
            </w:r>
          </w:p>
        </w:tc>
      </w:tr>
      <w:tr w:rsidR="001002C3" w:rsidRPr="007122AB" w14:paraId="01D6A220" w14:textId="77777777">
        <w:tc>
          <w:tcPr>
            <w:tcW w:w="1024" w:type="dxa"/>
          </w:tcPr>
          <w:p w14:paraId="018EE7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D5E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EC41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8C6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54C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горючего</w:t>
            </w:r>
          </w:p>
        </w:tc>
        <w:tc>
          <w:tcPr>
            <w:tcW w:w="1024" w:type="dxa"/>
          </w:tcPr>
          <w:p w14:paraId="5815ED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C94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конце </w:t>
            </w:r>
          </w:p>
        </w:tc>
        <w:tc>
          <w:tcPr>
            <w:tcW w:w="3430" w:type="dxa"/>
          </w:tcPr>
          <w:p w14:paraId="00EC3C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D3A1424" w14:textId="77777777">
        <w:tc>
          <w:tcPr>
            <w:tcW w:w="1024" w:type="dxa"/>
          </w:tcPr>
          <w:p w14:paraId="221663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F4A5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358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CDB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3FD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 кг</w:t>
            </w:r>
          </w:p>
        </w:tc>
        <w:tc>
          <w:tcPr>
            <w:tcW w:w="1024" w:type="dxa"/>
          </w:tcPr>
          <w:p w14:paraId="0AC3C7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F04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августа</w:t>
            </w:r>
          </w:p>
        </w:tc>
        <w:tc>
          <w:tcPr>
            <w:tcW w:w="3430" w:type="dxa"/>
          </w:tcPr>
          <w:p w14:paraId="07FF6E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779437E8" w14:textId="77777777">
        <w:tc>
          <w:tcPr>
            <w:tcW w:w="1024" w:type="dxa"/>
          </w:tcPr>
          <w:p w14:paraId="68239C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7B6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2A1E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4EC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B4B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30F91B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ADBC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3430" w:type="dxa"/>
          </w:tcPr>
          <w:p w14:paraId="272954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D9B1031" w14:textId="77777777">
        <w:tc>
          <w:tcPr>
            <w:tcW w:w="1024" w:type="dxa"/>
          </w:tcPr>
          <w:p w14:paraId="0C31BD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М17</w:t>
            </w:r>
          </w:p>
        </w:tc>
        <w:tc>
          <w:tcPr>
            <w:tcW w:w="1024" w:type="dxa"/>
          </w:tcPr>
          <w:p w14:paraId="6B524C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w:t>
            </w:r>
          </w:p>
        </w:tc>
        <w:tc>
          <w:tcPr>
            <w:tcW w:w="1024" w:type="dxa"/>
          </w:tcPr>
          <w:p w14:paraId="4F490B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4042FF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53DC3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0D81BB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24" w:type="dxa"/>
          </w:tcPr>
          <w:p w14:paraId="450F5B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w:t>
            </w:r>
          </w:p>
        </w:tc>
        <w:tc>
          <w:tcPr>
            <w:tcW w:w="3430" w:type="dxa"/>
          </w:tcPr>
          <w:p w14:paraId="793913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Заканчиваются гос. испытания в НИИ ВВС.</w:t>
            </w:r>
          </w:p>
        </w:tc>
      </w:tr>
      <w:tr w:rsidR="001002C3" w:rsidRPr="007122AB" w14:paraId="55A3CCB6" w14:textId="77777777">
        <w:tc>
          <w:tcPr>
            <w:tcW w:w="1024" w:type="dxa"/>
          </w:tcPr>
          <w:p w14:paraId="60C8E0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156B7A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74C92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F95CB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8D4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F6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275</w:t>
            </w:r>
          </w:p>
        </w:tc>
        <w:tc>
          <w:tcPr>
            <w:tcW w:w="1024" w:type="dxa"/>
          </w:tcPr>
          <w:p w14:paraId="5BA62D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113C69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ЛД значительно</w:t>
            </w:r>
          </w:p>
        </w:tc>
      </w:tr>
      <w:tr w:rsidR="001002C3" w:rsidRPr="007122AB" w14:paraId="48B5AA10" w14:textId="77777777">
        <w:tc>
          <w:tcPr>
            <w:tcW w:w="1024" w:type="dxa"/>
          </w:tcPr>
          <w:p w14:paraId="07F142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00C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97D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911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F05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F1F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500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9B4B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ниже ТТ - 212 км/час вместо 260, потолок</w:t>
            </w:r>
          </w:p>
        </w:tc>
      </w:tr>
      <w:tr w:rsidR="001002C3" w:rsidRPr="007122AB" w14:paraId="1AF6A304" w14:textId="77777777">
        <w:tc>
          <w:tcPr>
            <w:tcW w:w="1024" w:type="dxa"/>
          </w:tcPr>
          <w:p w14:paraId="7C4A13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ED7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1DEE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500B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CEB5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148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F85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58E9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6300 вместо 7500. Маневренность хорошая</w:t>
            </w:r>
          </w:p>
        </w:tc>
      </w:tr>
      <w:tr w:rsidR="001002C3" w:rsidRPr="007122AB" w14:paraId="76D442D7" w14:textId="77777777">
        <w:tc>
          <w:tcPr>
            <w:tcW w:w="1024" w:type="dxa"/>
          </w:tcPr>
          <w:p w14:paraId="02D89C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F328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77B1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D1F8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180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1F0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694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8E3D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Обнаружили дефекты. завод 39 строит</w:t>
            </w:r>
          </w:p>
        </w:tc>
      </w:tr>
      <w:tr w:rsidR="001002C3" w:rsidRPr="007122AB" w14:paraId="1D947F4E" w14:textId="77777777">
        <w:tc>
          <w:tcPr>
            <w:tcW w:w="1024" w:type="dxa"/>
          </w:tcPr>
          <w:p w14:paraId="481525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0C9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BFD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D71B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2B0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44A3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967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3E28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небольшую 910) серию. Сводка </w:t>
            </w:r>
            <w:proofErr w:type="spellStart"/>
            <w:r w:rsidRPr="007122AB">
              <w:rPr>
                <w:rFonts w:ascii="Times New Roman" w:hAnsi="Times New Roman"/>
                <w:color w:val="000000" w:themeColor="text1"/>
                <w:sz w:val="16"/>
                <w:szCs w:val="16"/>
              </w:rPr>
              <w:t>предст</w:t>
            </w:r>
            <w:proofErr w:type="spellEnd"/>
            <w:r w:rsidRPr="007122AB">
              <w:rPr>
                <w:rFonts w:ascii="Times New Roman" w:hAnsi="Times New Roman"/>
                <w:color w:val="000000" w:themeColor="text1"/>
                <w:sz w:val="16"/>
                <w:szCs w:val="16"/>
              </w:rPr>
              <w:t>.</w:t>
            </w:r>
          </w:p>
        </w:tc>
      </w:tr>
      <w:tr w:rsidR="001002C3" w:rsidRPr="007122AB" w14:paraId="2FA5AA73" w14:textId="77777777">
        <w:tc>
          <w:tcPr>
            <w:tcW w:w="1024" w:type="dxa"/>
          </w:tcPr>
          <w:p w14:paraId="64E486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36C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37A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C7C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5F02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E7F2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0B1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EB5E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 ВВС</w:t>
            </w:r>
          </w:p>
        </w:tc>
      </w:tr>
      <w:tr w:rsidR="001002C3" w:rsidRPr="007122AB" w14:paraId="57DD8543" w14:textId="77777777">
        <w:tc>
          <w:tcPr>
            <w:tcW w:w="1024" w:type="dxa"/>
          </w:tcPr>
          <w:p w14:paraId="0188DD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A1F0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8557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B0C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85C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56D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9C81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2C48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163D5767" w14:textId="77777777">
        <w:tc>
          <w:tcPr>
            <w:tcW w:w="1024" w:type="dxa"/>
          </w:tcPr>
          <w:p w14:paraId="684E41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 2хМ34</w:t>
            </w:r>
          </w:p>
        </w:tc>
        <w:tc>
          <w:tcPr>
            <w:tcW w:w="1024" w:type="dxa"/>
          </w:tcPr>
          <w:p w14:paraId="1D2F82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42A6B0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1024" w:type="dxa"/>
          </w:tcPr>
          <w:p w14:paraId="0FC146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04BC5C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w:t>
            </w:r>
          </w:p>
        </w:tc>
        <w:tc>
          <w:tcPr>
            <w:tcW w:w="1024" w:type="dxa"/>
          </w:tcPr>
          <w:p w14:paraId="493192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0DC7F2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3430" w:type="dxa"/>
          </w:tcPr>
          <w:p w14:paraId="4ABED6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Утверждена схема. Разработаны и </w:t>
            </w:r>
            <w:proofErr w:type="spellStart"/>
            <w:r w:rsidRPr="007122AB">
              <w:rPr>
                <w:rFonts w:ascii="Times New Roman" w:hAnsi="Times New Roman"/>
                <w:color w:val="000000" w:themeColor="text1"/>
                <w:sz w:val="16"/>
                <w:szCs w:val="16"/>
              </w:rPr>
              <w:t>предст</w:t>
            </w:r>
            <w:proofErr w:type="spellEnd"/>
            <w:r w:rsidRPr="007122AB">
              <w:rPr>
                <w:rFonts w:ascii="Times New Roman" w:hAnsi="Times New Roman"/>
                <w:color w:val="000000" w:themeColor="text1"/>
                <w:sz w:val="16"/>
                <w:szCs w:val="16"/>
              </w:rPr>
              <w:t>.</w:t>
            </w:r>
          </w:p>
        </w:tc>
      </w:tr>
      <w:tr w:rsidR="001002C3" w:rsidRPr="007122AB" w14:paraId="62DC99B9" w14:textId="77777777">
        <w:tc>
          <w:tcPr>
            <w:tcW w:w="1024" w:type="dxa"/>
          </w:tcPr>
          <w:p w14:paraId="4A4ECD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4C3370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C7793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26AA3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101525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164490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917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77F3E6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ЦАГИ ТТ. Ведется проектирование сам.</w:t>
            </w:r>
          </w:p>
        </w:tc>
      </w:tr>
      <w:tr w:rsidR="001002C3" w:rsidRPr="007122AB" w14:paraId="58DE53CC" w14:textId="77777777">
        <w:tc>
          <w:tcPr>
            <w:tcW w:w="1024" w:type="dxa"/>
          </w:tcPr>
          <w:p w14:paraId="440247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2F0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024" w:type="dxa"/>
          </w:tcPr>
          <w:p w14:paraId="2276EC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67B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1CD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1024" w:type="dxa"/>
          </w:tcPr>
          <w:p w14:paraId="531891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6F1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7EA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подготовка к постройке. Заканчивается</w:t>
            </w:r>
          </w:p>
        </w:tc>
      </w:tr>
      <w:tr w:rsidR="001002C3" w:rsidRPr="007122AB" w14:paraId="2986AE99" w14:textId="77777777">
        <w:tc>
          <w:tcPr>
            <w:tcW w:w="1024" w:type="dxa"/>
          </w:tcPr>
          <w:p w14:paraId="6441A8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840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C0B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19DC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2E7F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14CD55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8A8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0965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макет. Открыт вопрос о снабжении М-34,</w:t>
            </w:r>
          </w:p>
        </w:tc>
      </w:tr>
      <w:tr w:rsidR="001002C3" w:rsidRPr="007122AB" w14:paraId="4071A02D" w14:textId="77777777">
        <w:tc>
          <w:tcPr>
            <w:tcW w:w="1024" w:type="dxa"/>
          </w:tcPr>
          <w:p w14:paraId="2EE4DC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2C2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980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61A6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E03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DAC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D44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B7EF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т.к. сроки поставки запаздывают по срав.</w:t>
            </w:r>
          </w:p>
        </w:tc>
      </w:tr>
      <w:tr w:rsidR="001002C3" w:rsidRPr="007122AB" w14:paraId="4ECA187F" w14:textId="77777777">
        <w:tc>
          <w:tcPr>
            <w:tcW w:w="1024" w:type="dxa"/>
          </w:tcPr>
          <w:p w14:paraId="621AB5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8C0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078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881C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F2E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6788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CBE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94C1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 </w:t>
            </w:r>
            <w:proofErr w:type="spellStart"/>
            <w:r w:rsidRPr="007122AB">
              <w:rPr>
                <w:rFonts w:ascii="Times New Roman" w:hAnsi="Times New Roman"/>
                <w:color w:val="000000" w:themeColor="text1"/>
                <w:sz w:val="16"/>
                <w:szCs w:val="16"/>
              </w:rPr>
              <w:t>изгот</w:t>
            </w:r>
            <w:proofErr w:type="spellEnd"/>
            <w:r w:rsidRPr="007122AB">
              <w:rPr>
                <w:rFonts w:ascii="Times New Roman" w:hAnsi="Times New Roman"/>
                <w:color w:val="000000" w:themeColor="text1"/>
                <w:sz w:val="16"/>
                <w:szCs w:val="16"/>
              </w:rPr>
              <w:t xml:space="preserve">. сроками самолета. Сдана в </w:t>
            </w:r>
            <w:proofErr w:type="spellStart"/>
            <w:r w:rsidRPr="007122AB">
              <w:rPr>
                <w:rFonts w:ascii="Times New Roman" w:hAnsi="Times New Roman"/>
                <w:color w:val="000000" w:themeColor="text1"/>
                <w:sz w:val="16"/>
                <w:szCs w:val="16"/>
              </w:rPr>
              <w:t>произ</w:t>
            </w:r>
            <w:proofErr w:type="spellEnd"/>
            <w:r w:rsidRPr="007122AB">
              <w:rPr>
                <w:rFonts w:ascii="Times New Roman" w:hAnsi="Times New Roman"/>
                <w:color w:val="000000" w:themeColor="text1"/>
                <w:sz w:val="16"/>
                <w:szCs w:val="16"/>
              </w:rPr>
              <w:t>.</w:t>
            </w:r>
          </w:p>
        </w:tc>
      </w:tr>
      <w:tr w:rsidR="001002C3" w:rsidRPr="007122AB" w14:paraId="7ED50BF3" w14:textId="77777777">
        <w:tc>
          <w:tcPr>
            <w:tcW w:w="1024" w:type="dxa"/>
          </w:tcPr>
          <w:p w14:paraId="3A1A9D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1BD7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1EDE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A97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7FB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28A4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D47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BB48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ОЧК</w:t>
            </w:r>
          </w:p>
        </w:tc>
      </w:tr>
      <w:tr w:rsidR="001002C3" w:rsidRPr="007122AB" w14:paraId="49CEEBC2" w14:textId="77777777">
        <w:tc>
          <w:tcPr>
            <w:tcW w:w="1024" w:type="dxa"/>
          </w:tcPr>
          <w:p w14:paraId="4E3871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9D7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BB9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8A2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DA15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6B01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798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525D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10203FFF" w14:textId="77777777">
        <w:tc>
          <w:tcPr>
            <w:tcW w:w="1024" w:type="dxa"/>
          </w:tcPr>
          <w:p w14:paraId="223757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w:t>
            </w:r>
          </w:p>
        </w:tc>
        <w:tc>
          <w:tcPr>
            <w:tcW w:w="1024" w:type="dxa"/>
          </w:tcPr>
          <w:p w14:paraId="40147F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024" w:type="dxa"/>
          </w:tcPr>
          <w:p w14:paraId="6D776D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024" w:type="dxa"/>
          </w:tcPr>
          <w:p w14:paraId="19A92C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0A0A77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4EA413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078075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6620B7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январе-апреле завод разработал проекты</w:t>
            </w:r>
          </w:p>
        </w:tc>
      </w:tr>
      <w:tr w:rsidR="001002C3" w:rsidRPr="007122AB" w14:paraId="4A4CAEC7" w14:textId="77777777">
        <w:tc>
          <w:tcPr>
            <w:tcW w:w="1024" w:type="dxa"/>
          </w:tcPr>
          <w:p w14:paraId="4043DC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6796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A9E74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BF35F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A542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7A4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1EA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A6470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ряда схем, основываясь на схеме моноплан</w:t>
            </w:r>
          </w:p>
        </w:tc>
      </w:tr>
      <w:tr w:rsidR="001002C3" w:rsidRPr="007122AB" w14:paraId="4A03DF1E" w14:textId="77777777">
        <w:tc>
          <w:tcPr>
            <w:tcW w:w="1024" w:type="dxa"/>
          </w:tcPr>
          <w:p w14:paraId="7AD9E6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D5D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C1F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EB0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049A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70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C5D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3D48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двухвостка взамен </w:t>
            </w:r>
            <w:proofErr w:type="spellStart"/>
            <w:r w:rsidRPr="007122AB">
              <w:rPr>
                <w:rFonts w:ascii="Times New Roman" w:hAnsi="Times New Roman"/>
                <w:color w:val="000000" w:themeColor="text1"/>
                <w:sz w:val="16"/>
                <w:szCs w:val="16"/>
              </w:rPr>
              <w:t>полутороплана</w:t>
            </w:r>
            <w:proofErr w:type="spellEnd"/>
            <w:r w:rsidRPr="007122AB">
              <w:rPr>
                <w:rFonts w:ascii="Times New Roman" w:hAnsi="Times New Roman"/>
                <w:color w:val="000000" w:themeColor="text1"/>
                <w:sz w:val="16"/>
                <w:szCs w:val="16"/>
              </w:rPr>
              <w:t>. Боевую</w:t>
            </w:r>
          </w:p>
        </w:tc>
      </w:tr>
      <w:tr w:rsidR="001002C3" w:rsidRPr="007122AB" w14:paraId="5FACCB58" w14:textId="77777777">
        <w:tc>
          <w:tcPr>
            <w:tcW w:w="1024" w:type="dxa"/>
          </w:tcPr>
          <w:p w14:paraId="11935B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202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689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638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259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E64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40E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A0B7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схемы ВВС не приняло исходя из </w:t>
            </w:r>
            <w:proofErr w:type="spellStart"/>
            <w:r w:rsidRPr="007122AB">
              <w:rPr>
                <w:rFonts w:ascii="Times New Roman" w:hAnsi="Times New Roman"/>
                <w:color w:val="000000" w:themeColor="text1"/>
                <w:sz w:val="16"/>
                <w:szCs w:val="16"/>
              </w:rPr>
              <w:t>тактич</w:t>
            </w:r>
            <w:proofErr w:type="spellEnd"/>
            <w:r w:rsidRPr="007122AB">
              <w:rPr>
                <w:rFonts w:ascii="Times New Roman" w:hAnsi="Times New Roman"/>
                <w:color w:val="000000" w:themeColor="text1"/>
                <w:sz w:val="16"/>
                <w:szCs w:val="16"/>
              </w:rPr>
              <w:t>.</w:t>
            </w:r>
          </w:p>
        </w:tc>
      </w:tr>
      <w:tr w:rsidR="001002C3" w:rsidRPr="007122AB" w14:paraId="470FEF4E" w14:textId="77777777">
        <w:tc>
          <w:tcPr>
            <w:tcW w:w="1024" w:type="dxa"/>
          </w:tcPr>
          <w:p w14:paraId="0301D6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B68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55D7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2C1A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B11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BDC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B1D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36B0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соображений. Макетная комиссия </w:t>
            </w:r>
            <w:proofErr w:type="spellStart"/>
            <w:r w:rsidRPr="007122AB">
              <w:rPr>
                <w:rFonts w:ascii="Times New Roman" w:hAnsi="Times New Roman"/>
                <w:color w:val="000000" w:themeColor="text1"/>
                <w:sz w:val="16"/>
                <w:szCs w:val="16"/>
              </w:rPr>
              <w:t>предлож</w:t>
            </w:r>
            <w:proofErr w:type="spellEnd"/>
            <w:r w:rsidRPr="007122AB">
              <w:rPr>
                <w:rFonts w:ascii="Times New Roman" w:hAnsi="Times New Roman"/>
                <w:color w:val="000000" w:themeColor="text1"/>
                <w:sz w:val="16"/>
                <w:szCs w:val="16"/>
              </w:rPr>
              <w:t>.</w:t>
            </w:r>
          </w:p>
        </w:tc>
      </w:tr>
      <w:tr w:rsidR="001002C3" w:rsidRPr="007122AB" w14:paraId="4EF55298" w14:textId="77777777">
        <w:tc>
          <w:tcPr>
            <w:tcW w:w="1024" w:type="dxa"/>
          </w:tcPr>
          <w:p w14:paraId="495C4C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CB5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0C2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0E9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4F4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12B3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E60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0F2B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пересмотреть схему. Плановый срок сорван.</w:t>
            </w:r>
          </w:p>
        </w:tc>
      </w:tr>
      <w:tr w:rsidR="001002C3" w:rsidRPr="007122AB" w14:paraId="16DB1C29" w14:textId="77777777">
        <w:tc>
          <w:tcPr>
            <w:tcW w:w="1024" w:type="dxa"/>
          </w:tcPr>
          <w:p w14:paraId="346E7C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5F2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B3B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269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15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C75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C10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AD9F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Палехин</w:t>
            </w:r>
            <w:proofErr w:type="spellEnd"/>
            <w:r w:rsidRPr="007122AB">
              <w:rPr>
                <w:rFonts w:ascii="Times New Roman" w:hAnsi="Times New Roman"/>
                <w:color w:val="000000" w:themeColor="text1"/>
                <w:sz w:val="16"/>
                <w:szCs w:val="16"/>
              </w:rPr>
              <w:t>.</w:t>
            </w:r>
          </w:p>
        </w:tc>
      </w:tr>
      <w:tr w:rsidR="001002C3" w:rsidRPr="007122AB" w14:paraId="1D48EED5" w14:textId="77777777">
        <w:tc>
          <w:tcPr>
            <w:tcW w:w="1024" w:type="dxa"/>
          </w:tcPr>
          <w:p w14:paraId="6ED404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c>
          <w:tcPr>
            <w:tcW w:w="1024" w:type="dxa"/>
          </w:tcPr>
          <w:p w14:paraId="56C9C1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24" w:type="dxa"/>
          </w:tcPr>
          <w:p w14:paraId="150D99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024" w:type="dxa"/>
          </w:tcPr>
          <w:p w14:paraId="45D26A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345325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74D156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c>
          <w:tcPr>
            <w:tcW w:w="1024" w:type="dxa"/>
          </w:tcPr>
          <w:p w14:paraId="1DEC26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078BE7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начаты.</w:t>
            </w:r>
          </w:p>
        </w:tc>
      </w:tr>
      <w:tr w:rsidR="001002C3" w:rsidRPr="007122AB" w14:paraId="24356461" w14:textId="77777777">
        <w:tc>
          <w:tcPr>
            <w:tcW w:w="1024" w:type="dxa"/>
          </w:tcPr>
          <w:p w14:paraId="11FF13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1A7A9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80CD1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EC859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7500</w:t>
            </w:r>
          </w:p>
        </w:tc>
        <w:tc>
          <w:tcPr>
            <w:tcW w:w="1024" w:type="dxa"/>
          </w:tcPr>
          <w:p w14:paraId="270CB6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EAB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6C8C6D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62564F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91066AF" w14:textId="77777777">
        <w:tc>
          <w:tcPr>
            <w:tcW w:w="1024" w:type="dxa"/>
          </w:tcPr>
          <w:p w14:paraId="2F58A6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МДР3-4ЮVI</w:t>
            </w:r>
          </w:p>
        </w:tc>
        <w:tc>
          <w:tcPr>
            <w:tcW w:w="1024" w:type="dxa"/>
          </w:tcPr>
          <w:p w14:paraId="76F908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4AC8A5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1024" w:type="dxa"/>
          </w:tcPr>
          <w:p w14:paraId="0E8B32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0D10E5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5C4060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2CB747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w:t>
            </w:r>
          </w:p>
        </w:tc>
        <w:tc>
          <w:tcPr>
            <w:tcW w:w="3430" w:type="dxa"/>
          </w:tcPr>
          <w:p w14:paraId="0E2E16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большей своей части конструктивная</w:t>
            </w:r>
          </w:p>
        </w:tc>
      </w:tr>
      <w:tr w:rsidR="001002C3" w:rsidRPr="007122AB" w14:paraId="6CD50648" w14:textId="77777777">
        <w:tc>
          <w:tcPr>
            <w:tcW w:w="1024" w:type="dxa"/>
          </w:tcPr>
          <w:p w14:paraId="254014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265A87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A1412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F082F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EDA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5CD502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024" w:type="dxa"/>
          </w:tcPr>
          <w:p w14:paraId="72C384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51BA22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разработка окончена. Из основных частей</w:t>
            </w:r>
          </w:p>
        </w:tc>
      </w:tr>
      <w:tr w:rsidR="001002C3" w:rsidRPr="007122AB" w14:paraId="72BA861E" w14:textId="77777777">
        <w:tc>
          <w:tcPr>
            <w:tcW w:w="1024" w:type="dxa"/>
          </w:tcPr>
          <w:p w14:paraId="435ED7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84B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F8A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37AD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C2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1F6FC1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6D86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BEFB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изготовлены: набор лодки, набор центр.</w:t>
            </w:r>
          </w:p>
        </w:tc>
      </w:tr>
      <w:tr w:rsidR="001002C3" w:rsidRPr="007122AB" w14:paraId="7BFF03B8" w14:textId="77777777">
        <w:tc>
          <w:tcPr>
            <w:tcW w:w="1024" w:type="dxa"/>
          </w:tcPr>
          <w:p w14:paraId="78B816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5716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FE22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2E1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4D2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кг</w:t>
            </w:r>
          </w:p>
        </w:tc>
        <w:tc>
          <w:tcPr>
            <w:tcW w:w="1024" w:type="dxa"/>
          </w:tcPr>
          <w:p w14:paraId="381E04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ADF9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CE5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лонжероны консолей. Обшито днище лодки</w:t>
            </w:r>
          </w:p>
        </w:tc>
      </w:tr>
      <w:tr w:rsidR="001002C3" w:rsidRPr="007122AB" w14:paraId="1B590926" w14:textId="77777777">
        <w:tc>
          <w:tcPr>
            <w:tcW w:w="1024" w:type="dxa"/>
          </w:tcPr>
          <w:p w14:paraId="013E96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BA1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C5E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448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02D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701BBE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7C4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4B413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задерживаются из-за </w:t>
            </w:r>
            <w:proofErr w:type="spellStart"/>
            <w:r w:rsidRPr="007122AB">
              <w:rPr>
                <w:rFonts w:ascii="Times New Roman" w:hAnsi="Times New Roman"/>
                <w:color w:val="000000" w:themeColor="text1"/>
                <w:sz w:val="16"/>
                <w:szCs w:val="16"/>
              </w:rPr>
              <w:t>несвоеврем</w:t>
            </w:r>
            <w:proofErr w:type="spellEnd"/>
            <w:r w:rsidRPr="007122AB">
              <w:rPr>
                <w:rFonts w:ascii="Times New Roman" w:hAnsi="Times New Roman"/>
                <w:color w:val="000000" w:themeColor="text1"/>
                <w:sz w:val="16"/>
                <w:szCs w:val="16"/>
              </w:rPr>
              <w:t>.</w:t>
            </w:r>
          </w:p>
        </w:tc>
      </w:tr>
      <w:tr w:rsidR="001002C3" w:rsidRPr="007122AB" w14:paraId="55793033" w14:textId="77777777">
        <w:tc>
          <w:tcPr>
            <w:tcW w:w="1024" w:type="dxa"/>
          </w:tcPr>
          <w:p w14:paraId="41C0A9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63F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933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D81B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5AC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88E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2EE6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5F3B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выпуска ТБ-5, окончание пр-ва намечено</w:t>
            </w:r>
          </w:p>
        </w:tc>
      </w:tr>
      <w:tr w:rsidR="001002C3" w:rsidRPr="007122AB" w14:paraId="2C86E450" w14:textId="77777777">
        <w:tc>
          <w:tcPr>
            <w:tcW w:w="1024" w:type="dxa"/>
          </w:tcPr>
          <w:p w14:paraId="253B0A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216C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91C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E700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1A1A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380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D6A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B8C5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сентября 1931</w:t>
            </w:r>
          </w:p>
        </w:tc>
      </w:tr>
      <w:tr w:rsidR="001002C3" w:rsidRPr="007122AB" w14:paraId="3FB25A2E" w14:textId="77777777">
        <w:tc>
          <w:tcPr>
            <w:tcW w:w="1024" w:type="dxa"/>
          </w:tcPr>
          <w:p w14:paraId="4DF1A6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119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C538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74D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EC6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7059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01F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C24ED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Волков.</w:t>
            </w:r>
          </w:p>
        </w:tc>
      </w:tr>
      <w:tr w:rsidR="001002C3" w:rsidRPr="007122AB" w14:paraId="416B5EF3" w14:textId="77777777">
        <w:tc>
          <w:tcPr>
            <w:tcW w:w="1024" w:type="dxa"/>
          </w:tcPr>
          <w:p w14:paraId="383A71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2-я очередь (основные типы по </w:t>
            </w:r>
            <w:r w:rsidRPr="007122AB">
              <w:rPr>
                <w:rFonts w:ascii="Times New Roman" w:hAnsi="Times New Roman"/>
                <w:color w:val="000000" w:themeColor="text1"/>
                <w:sz w:val="16"/>
                <w:szCs w:val="16"/>
              </w:rPr>
              <w:lastRenderedPageBreak/>
              <w:t>системе вооружения).</w:t>
            </w:r>
          </w:p>
        </w:tc>
        <w:tc>
          <w:tcPr>
            <w:tcW w:w="1024" w:type="dxa"/>
          </w:tcPr>
          <w:p w14:paraId="351961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2277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1B8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BB56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250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B17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993AD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F07CAC1" w14:textId="77777777">
        <w:tc>
          <w:tcPr>
            <w:tcW w:w="1024" w:type="dxa"/>
          </w:tcPr>
          <w:p w14:paraId="4F2668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ДИ4-М-19</w:t>
            </w:r>
          </w:p>
        </w:tc>
        <w:tc>
          <w:tcPr>
            <w:tcW w:w="1024" w:type="dxa"/>
          </w:tcPr>
          <w:p w14:paraId="0F7715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024" w:type="dxa"/>
          </w:tcPr>
          <w:p w14:paraId="669143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w:t>
            </w:r>
          </w:p>
        </w:tc>
        <w:tc>
          <w:tcPr>
            <w:tcW w:w="1024" w:type="dxa"/>
          </w:tcPr>
          <w:p w14:paraId="6DCE98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29CD23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3DDB6F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264921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w:t>
            </w:r>
          </w:p>
        </w:tc>
        <w:tc>
          <w:tcPr>
            <w:tcW w:w="3430" w:type="dxa"/>
          </w:tcPr>
          <w:p w14:paraId="5E84FD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принято решение проектировать и стр.</w:t>
            </w:r>
          </w:p>
        </w:tc>
      </w:tr>
      <w:tr w:rsidR="001002C3" w:rsidRPr="007122AB" w14:paraId="3F114666" w14:textId="77777777">
        <w:tc>
          <w:tcPr>
            <w:tcW w:w="1024" w:type="dxa"/>
          </w:tcPr>
          <w:p w14:paraId="58FA08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B1E83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CB681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70966D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F13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FD7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6A494D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19391C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под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(высотный), а</w:t>
            </w:r>
          </w:p>
        </w:tc>
      </w:tr>
      <w:tr w:rsidR="001002C3" w:rsidRPr="007122AB" w14:paraId="162A849B" w14:textId="77777777">
        <w:tc>
          <w:tcPr>
            <w:tcW w:w="1024" w:type="dxa"/>
          </w:tcPr>
          <w:p w14:paraId="14C67D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BD4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99A9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723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3AF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ED7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0096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A475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М-19. Будут более низкие ЛТД, </w:t>
            </w:r>
            <w:proofErr w:type="spellStart"/>
            <w:r w:rsidRPr="007122AB">
              <w:rPr>
                <w:rFonts w:ascii="Times New Roman" w:hAnsi="Times New Roman"/>
                <w:color w:val="000000" w:themeColor="text1"/>
                <w:sz w:val="16"/>
                <w:szCs w:val="16"/>
              </w:rPr>
              <w:t>котор</w:t>
            </w:r>
            <w:proofErr w:type="spellEnd"/>
            <w:r w:rsidRPr="007122AB">
              <w:rPr>
                <w:rFonts w:ascii="Times New Roman" w:hAnsi="Times New Roman"/>
                <w:color w:val="000000" w:themeColor="text1"/>
                <w:sz w:val="16"/>
                <w:szCs w:val="16"/>
              </w:rPr>
              <w:t>.</w:t>
            </w:r>
          </w:p>
        </w:tc>
      </w:tr>
      <w:tr w:rsidR="001002C3" w:rsidRPr="007122AB" w14:paraId="16D94118" w14:textId="77777777">
        <w:tc>
          <w:tcPr>
            <w:tcW w:w="1024" w:type="dxa"/>
          </w:tcPr>
          <w:p w14:paraId="782DF9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664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CDFF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61D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5FA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9CD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42D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EED1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улучшатся при более высотном М-19а с </w:t>
            </w:r>
            <w:proofErr w:type="spellStart"/>
            <w:r w:rsidRPr="007122AB">
              <w:rPr>
                <w:rFonts w:ascii="Times New Roman" w:hAnsi="Times New Roman"/>
                <w:color w:val="000000" w:themeColor="text1"/>
                <w:sz w:val="16"/>
                <w:szCs w:val="16"/>
              </w:rPr>
              <w:t>имп</w:t>
            </w:r>
            <w:proofErr w:type="spellEnd"/>
            <w:r w:rsidRPr="007122AB">
              <w:rPr>
                <w:rFonts w:ascii="Times New Roman" w:hAnsi="Times New Roman"/>
                <w:color w:val="000000" w:themeColor="text1"/>
                <w:sz w:val="16"/>
                <w:szCs w:val="16"/>
              </w:rPr>
              <w:t>.</w:t>
            </w:r>
          </w:p>
        </w:tc>
      </w:tr>
      <w:tr w:rsidR="001002C3" w:rsidRPr="007122AB" w14:paraId="788A5E3E" w14:textId="77777777">
        <w:tc>
          <w:tcPr>
            <w:tcW w:w="1024" w:type="dxa"/>
          </w:tcPr>
          <w:p w14:paraId="27A2FD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32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2D3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120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A1C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EDE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FC57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BF50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задержки с М-19 принято решение</w:t>
            </w:r>
          </w:p>
        </w:tc>
      </w:tr>
      <w:tr w:rsidR="001002C3" w:rsidRPr="007122AB" w14:paraId="4A67D299" w14:textId="77777777">
        <w:tc>
          <w:tcPr>
            <w:tcW w:w="1024" w:type="dxa"/>
          </w:tcPr>
          <w:p w14:paraId="6F4E78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6114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1CA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4BC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E58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41AD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ADD3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A9C7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вернуться к КК. макет утвержден. Проект. и</w:t>
            </w:r>
          </w:p>
        </w:tc>
      </w:tr>
      <w:tr w:rsidR="001002C3" w:rsidRPr="007122AB" w14:paraId="5D5E216E" w14:textId="77777777">
        <w:tc>
          <w:tcPr>
            <w:tcW w:w="1024" w:type="dxa"/>
          </w:tcPr>
          <w:p w14:paraId="0C0708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F5C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D39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18B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CEB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9BD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514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45EB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постройку ведет группа </w:t>
            </w:r>
            <w:proofErr w:type="spellStart"/>
            <w:r w:rsidRPr="007122AB">
              <w:rPr>
                <w:rFonts w:ascii="Times New Roman" w:hAnsi="Times New Roman"/>
                <w:color w:val="000000" w:themeColor="text1"/>
                <w:sz w:val="16"/>
                <w:szCs w:val="16"/>
              </w:rPr>
              <w:t>Лавиля</w:t>
            </w:r>
            <w:proofErr w:type="spellEnd"/>
            <w:r w:rsidRPr="007122AB">
              <w:rPr>
                <w:rFonts w:ascii="Times New Roman" w:hAnsi="Times New Roman"/>
                <w:color w:val="000000" w:themeColor="text1"/>
                <w:sz w:val="16"/>
                <w:szCs w:val="16"/>
              </w:rPr>
              <w:t xml:space="preserve">. При </w:t>
            </w:r>
            <w:proofErr w:type="spellStart"/>
            <w:r w:rsidRPr="007122AB">
              <w:rPr>
                <w:rFonts w:ascii="Times New Roman" w:hAnsi="Times New Roman"/>
                <w:color w:val="000000" w:themeColor="text1"/>
                <w:sz w:val="16"/>
                <w:szCs w:val="16"/>
              </w:rPr>
              <w:t>получ</w:t>
            </w:r>
            <w:proofErr w:type="spellEnd"/>
            <w:r w:rsidRPr="007122AB">
              <w:rPr>
                <w:rFonts w:ascii="Times New Roman" w:hAnsi="Times New Roman"/>
                <w:color w:val="000000" w:themeColor="text1"/>
                <w:sz w:val="16"/>
                <w:szCs w:val="16"/>
              </w:rPr>
              <w:t>.</w:t>
            </w:r>
          </w:p>
        </w:tc>
      </w:tr>
      <w:tr w:rsidR="001002C3" w:rsidRPr="007122AB" w14:paraId="25FF4009" w14:textId="77777777">
        <w:tc>
          <w:tcPr>
            <w:tcW w:w="1024" w:type="dxa"/>
          </w:tcPr>
          <w:p w14:paraId="7F3561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E9BA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AFFB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229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F1B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202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47B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2A25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мотора </w:t>
            </w:r>
            <w:proofErr w:type="spellStart"/>
            <w:r w:rsidRPr="007122AB">
              <w:rPr>
                <w:rFonts w:ascii="Times New Roman" w:hAnsi="Times New Roman"/>
                <w:color w:val="000000" w:themeColor="text1"/>
                <w:sz w:val="16"/>
                <w:szCs w:val="16"/>
              </w:rPr>
              <w:t>м.б.</w:t>
            </w:r>
            <w:proofErr w:type="spellEnd"/>
            <w:r w:rsidRPr="007122AB">
              <w:rPr>
                <w:rFonts w:ascii="Times New Roman" w:hAnsi="Times New Roman"/>
                <w:color w:val="000000" w:themeColor="text1"/>
                <w:sz w:val="16"/>
                <w:szCs w:val="16"/>
              </w:rPr>
              <w:t xml:space="preserve"> закончен к 15 сентября</w:t>
            </w:r>
          </w:p>
        </w:tc>
      </w:tr>
      <w:tr w:rsidR="001002C3" w:rsidRPr="007122AB" w14:paraId="796FCD20" w14:textId="77777777">
        <w:tc>
          <w:tcPr>
            <w:tcW w:w="1024" w:type="dxa"/>
          </w:tcPr>
          <w:p w14:paraId="4C4861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CDF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7F85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DF8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AC64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AFC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E1DE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24A8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6DFD12DE" w14:textId="77777777">
        <w:tc>
          <w:tcPr>
            <w:tcW w:w="1024" w:type="dxa"/>
          </w:tcPr>
          <w:p w14:paraId="511D3B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ДИ5-ФЭД</w:t>
            </w:r>
          </w:p>
        </w:tc>
        <w:tc>
          <w:tcPr>
            <w:tcW w:w="1024" w:type="dxa"/>
          </w:tcPr>
          <w:p w14:paraId="697EFB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w:t>
            </w:r>
          </w:p>
        </w:tc>
        <w:tc>
          <w:tcPr>
            <w:tcW w:w="1024" w:type="dxa"/>
          </w:tcPr>
          <w:p w14:paraId="477026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024" w:type="dxa"/>
          </w:tcPr>
          <w:p w14:paraId="348ADE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4E7A43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436B60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9B3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w:t>
            </w:r>
          </w:p>
        </w:tc>
        <w:tc>
          <w:tcPr>
            <w:tcW w:w="3430" w:type="dxa"/>
          </w:tcPr>
          <w:p w14:paraId="37164F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Нет ясности с ФЭД.</w:t>
            </w:r>
          </w:p>
        </w:tc>
      </w:tr>
      <w:tr w:rsidR="001002C3" w:rsidRPr="007122AB" w14:paraId="32EEF2F9" w14:textId="77777777">
        <w:tc>
          <w:tcPr>
            <w:tcW w:w="1024" w:type="dxa"/>
          </w:tcPr>
          <w:p w14:paraId="20C9C4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EE5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A25DF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9F123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EC2C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2985A1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6E8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0A41C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70BE9425" w14:textId="77777777">
        <w:tc>
          <w:tcPr>
            <w:tcW w:w="1024" w:type="dxa"/>
          </w:tcPr>
          <w:p w14:paraId="13EC07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51B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4AAF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3B9C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E48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5159F3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0EF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4AC0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4B2A4AF" w14:textId="77777777">
        <w:tc>
          <w:tcPr>
            <w:tcW w:w="1024" w:type="dxa"/>
          </w:tcPr>
          <w:p w14:paraId="5A463D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ТШ1-2М34</w:t>
            </w:r>
          </w:p>
        </w:tc>
        <w:tc>
          <w:tcPr>
            <w:tcW w:w="1024" w:type="dxa"/>
          </w:tcPr>
          <w:p w14:paraId="53A102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350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5977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51AB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w:t>
            </w:r>
          </w:p>
        </w:tc>
        <w:tc>
          <w:tcPr>
            <w:tcW w:w="1024" w:type="dxa"/>
          </w:tcPr>
          <w:p w14:paraId="321DCA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024" w:type="dxa"/>
          </w:tcPr>
          <w:p w14:paraId="3BE30A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3430" w:type="dxa"/>
          </w:tcPr>
          <w:p w14:paraId="10241E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поскольку с-т</w:t>
            </w:r>
          </w:p>
        </w:tc>
      </w:tr>
      <w:tr w:rsidR="001002C3" w:rsidRPr="007122AB" w14:paraId="774B8607" w14:textId="77777777">
        <w:tc>
          <w:tcPr>
            <w:tcW w:w="1024" w:type="dxa"/>
          </w:tcPr>
          <w:p w14:paraId="6464B0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05D04F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8CE3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2E9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196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5D7826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C74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727B17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стоит в плане условно (до разрешения</w:t>
            </w:r>
          </w:p>
        </w:tc>
      </w:tr>
      <w:tr w:rsidR="001002C3" w:rsidRPr="007122AB" w14:paraId="3F267612" w14:textId="77777777">
        <w:tc>
          <w:tcPr>
            <w:tcW w:w="1024" w:type="dxa"/>
          </w:tcPr>
          <w:p w14:paraId="2761B3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D8F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501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1B0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1F87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06ACE7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A9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5880B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РВС вопроса о необходимости иметь на</w:t>
            </w:r>
          </w:p>
        </w:tc>
      </w:tr>
      <w:tr w:rsidR="001002C3" w:rsidRPr="007122AB" w14:paraId="79205A6A" w14:textId="77777777">
        <w:tc>
          <w:tcPr>
            <w:tcW w:w="1024" w:type="dxa"/>
          </w:tcPr>
          <w:p w14:paraId="418C55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C00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2C2D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4E0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F5A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 кг</w:t>
            </w:r>
          </w:p>
        </w:tc>
        <w:tc>
          <w:tcPr>
            <w:tcW w:w="1024" w:type="dxa"/>
          </w:tcPr>
          <w:p w14:paraId="2CC096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111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211B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вооружении тяжел. двухмоторного</w:t>
            </w:r>
          </w:p>
        </w:tc>
      </w:tr>
      <w:tr w:rsidR="001002C3" w:rsidRPr="007122AB" w14:paraId="34AD7D40" w14:textId="77777777">
        <w:tc>
          <w:tcPr>
            <w:tcW w:w="1024" w:type="dxa"/>
          </w:tcPr>
          <w:p w14:paraId="69399C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E6E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2AF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FAC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E96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2A93EF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D44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45C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штурмовика).</w:t>
            </w:r>
          </w:p>
        </w:tc>
      </w:tr>
      <w:tr w:rsidR="001002C3" w:rsidRPr="007122AB" w14:paraId="10DD1144" w14:textId="77777777">
        <w:tc>
          <w:tcPr>
            <w:tcW w:w="1024" w:type="dxa"/>
          </w:tcPr>
          <w:p w14:paraId="7EAAC2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МТБ3-4М34</w:t>
            </w:r>
          </w:p>
        </w:tc>
        <w:tc>
          <w:tcPr>
            <w:tcW w:w="1024" w:type="dxa"/>
          </w:tcPr>
          <w:p w14:paraId="77E9EF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8B05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A1D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9BE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514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3AF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39947F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Проработан эскизный проект, но в нем ТТ</w:t>
            </w:r>
          </w:p>
        </w:tc>
      </w:tr>
      <w:tr w:rsidR="001002C3" w:rsidRPr="007122AB" w14:paraId="5CF33B4F" w14:textId="77777777">
        <w:tc>
          <w:tcPr>
            <w:tcW w:w="1024" w:type="dxa"/>
          </w:tcPr>
          <w:p w14:paraId="0BEC2B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7E3E76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A1E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3E7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DCC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467C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41B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430" w:type="dxa"/>
          </w:tcPr>
          <w:p w14:paraId="1C6B56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удовлетворены не были. По летно-</w:t>
            </w:r>
            <w:proofErr w:type="spellStart"/>
            <w:r w:rsidRPr="007122AB">
              <w:rPr>
                <w:rFonts w:ascii="Times New Roman" w:hAnsi="Times New Roman"/>
                <w:color w:val="000000" w:themeColor="text1"/>
                <w:sz w:val="16"/>
                <w:szCs w:val="16"/>
              </w:rPr>
              <w:t>тактич</w:t>
            </w:r>
            <w:proofErr w:type="spellEnd"/>
            <w:r w:rsidRPr="007122AB">
              <w:rPr>
                <w:rFonts w:ascii="Times New Roman" w:hAnsi="Times New Roman"/>
                <w:color w:val="000000" w:themeColor="text1"/>
                <w:sz w:val="16"/>
                <w:szCs w:val="16"/>
              </w:rPr>
              <w:t>.</w:t>
            </w:r>
          </w:p>
        </w:tc>
      </w:tr>
      <w:tr w:rsidR="001002C3" w:rsidRPr="007122AB" w14:paraId="23B2E010" w14:textId="77777777">
        <w:tc>
          <w:tcPr>
            <w:tcW w:w="1024" w:type="dxa"/>
          </w:tcPr>
          <w:p w14:paraId="7A3724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AF9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C26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097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078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FCB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3C7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7AA2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элементам близок к К-1. Оканчивается</w:t>
            </w:r>
          </w:p>
        </w:tc>
      </w:tr>
      <w:tr w:rsidR="001002C3" w:rsidRPr="007122AB" w14:paraId="0EF188FC" w14:textId="77777777">
        <w:tc>
          <w:tcPr>
            <w:tcW w:w="1024" w:type="dxa"/>
          </w:tcPr>
          <w:p w14:paraId="204A94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298E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ABC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E83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FDCE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0EF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9F8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94CF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проработка варианта, соотв. требованиям</w:t>
            </w:r>
          </w:p>
        </w:tc>
      </w:tr>
      <w:tr w:rsidR="001002C3" w:rsidRPr="007122AB" w14:paraId="4D33DDDF" w14:textId="77777777">
        <w:tc>
          <w:tcPr>
            <w:tcW w:w="1024" w:type="dxa"/>
          </w:tcPr>
          <w:p w14:paraId="6320D5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8CB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024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82C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CFD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BCB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7EC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4293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К-1. При утв. проекта будет переходным</w:t>
            </w:r>
          </w:p>
        </w:tc>
      </w:tr>
      <w:tr w:rsidR="001002C3" w:rsidRPr="007122AB" w14:paraId="494FB4A8" w14:textId="77777777">
        <w:tc>
          <w:tcPr>
            <w:tcW w:w="1024" w:type="dxa"/>
          </w:tcPr>
          <w:p w14:paraId="59D39E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579C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EA1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F4C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462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D16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95E4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5AAA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МТБ3. 11 июля представлен вариант </w:t>
            </w:r>
            <w:proofErr w:type="spellStart"/>
            <w:r w:rsidRPr="007122AB">
              <w:rPr>
                <w:rFonts w:ascii="Times New Roman" w:hAnsi="Times New Roman"/>
                <w:color w:val="000000" w:themeColor="text1"/>
                <w:sz w:val="16"/>
                <w:szCs w:val="16"/>
              </w:rPr>
              <w:t>расч</w:t>
            </w:r>
            <w:proofErr w:type="spellEnd"/>
            <w:r w:rsidRPr="007122AB">
              <w:rPr>
                <w:rFonts w:ascii="Times New Roman" w:hAnsi="Times New Roman"/>
                <w:color w:val="000000" w:themeColor="text1"/>
                <w:sz w:val="16"/>
                <w:szCs w:val="16"/>
              </w:rPr>
              <w:t>.</w:t>
            </w:r>
          </w:p>
        </w:tc>
      </w:tr>
      <w:tr w:rsidR="001002C3" w:rsidRPr="007122AB" w14:paraId="0DE4BCEE" w14:textId="77777777">
        <w:tc>
          <w:tcPr>
            <w:tcW w:w="1024" w:type="dxa"/>
          </w:tcPr>
          <w:p w14:paraId="11D25B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04D9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C0F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935F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E4B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04C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667C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37AC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 ТТ не удовлетворяет</w:t>
            </w:r>
          </w:p>
        </w:tc>
      </w:tr>
      <w:tr w:rsidR="001002C3" w:rsidRPr="007122AB" w14:paraId="6061120E" w14:textId="77777777">
        <w:tc>
          <w:tcPr>
            <w:tcW w:w="1024" w:type="dxa"/>
          </w:tcPr>
          <w:p w14:paraId="1B30A00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Экспериментальные конструкции.</w:t>
            </w:r>
          </w:p>
        </w:tc>
        <w:tc>
          <w:tcPr>
            <w:tcW w:w="1024" w:type="dxa"/>
          </w:tcPr>
          <w:p w14:paraId="3378BE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190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AB2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F8E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B08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A39A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71EB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E17C30" w14:textId="77777777">
        <w:tc>
          <w:tcPr>
            <w:tcW w:w="1024" w:type="dxa"/>
          </w:tcPr>
          <w:p w14:paraId="06FE87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ВС1-2М26</w:t>
            </w:r>
          </w:p>
        </w:tc>
        <w:tc>
          <w:tcPr>
            <w:tcW w:w="1024" w:type="dxa"/>
          </w:tcPr>
          <w:p w14:paraId="6D8F70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32D473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024" w:type="dxa"/>
          </w:tcPr>
          <w:p w14:paraId="1B541F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D3A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7EB6F0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4020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3430" w:type="dxa"/>
          </w:tcPr>
          <w:p w14:paraId="7621C0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проектирование и постройку</w:t>
            </w:r>
          </w:p>
        </w:tc>
      </w:tr>
      <w:tr w:rsidR="001002C3" w:rsidRPr="007122AB" w14:paraId="23DAA3C5" w14:textId="77777777">
        <w:tc>
          <w:tcPr>
            <w:tcW w:w="1024" w:type="dxa"/>
          </w:tcPr>
          <w:p w14:paraId="7065E0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c>
          <w:tcPr>
            <w:tcW w:w="1024" w:type="dxa"/>
          </w:tcPr>
          <w:p w14:paraId="0F6B2E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DE81E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CE1D4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933F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0402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A1C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430" w:type="dxa"/>
          </w:tcPr>
          <w:p w14:paraId="207E2E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передало в ГРОС. Разработаны и </w:t>
            </w:r>
            <w:proofErr w:type="spellStart"/>
            <w:r w:rsidRPr="007122AB">
              <w:rPr>
                <w:rFonts w:ascii="Times New Roman" w:hAnsi="Times New Roman"/>
                <w:color w:val="000000" w:themeColor="text1"/>
                <w:sz w:val="16"/>
                <w:szCs w:val="16"/>
              </w:rPr>
              <w:t>представл</w:t>
            </w:r>
            <w:proofErr w:type="spellEnd"/>
            <w:r w:rsidRPr="007122AB">
              <w:rPr>
                <w:rFonts w:ascii="Times New Roman" w:hAnsi="Times New Roman"/>
                <w:color w:val="000000" w:themeColor="text1"/>
                <w:sz w:val="16"/>
                <w:szCs w:val="16"/>
              </w:rPr>
              <w:t>.</w:t>
            </w:r>
          </w:p>
        </w:tc>
      </w:tr>
      <w:tr w:rsidR="001002C3" w:rsidRPr="007122AB" w14:paraId="1B552015" w14:textId="77777777">
        <w:tc>
          <w:tcPr>
            <w:tcW w:w="1024" w:type="dxa"/>
          </w:tcPr>
          <w:p w14:paraId="15C991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70DE2D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71F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9BE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74B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BD5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1FE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179DE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ВАО ТТ. Начато проектирование</w:t>
            </w:r>
          </w:p>
        </w:tc>
      </w:tr>
      <w:tr w:rsidR="001002C3" w:rsidRPr="007122AB" w14:paraId="73E01C4C" w14:textId="77777777">
        <w:tc>
          <w:tcPr>
            <w:tcW w:w="1024" w:type="dxa"/>
          </w:tcPr>
          <w:p w14:paraId="2BBC8E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A96E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E37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A0A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D28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0E04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FC7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2AC5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вторую половину 1932 года.</w:t>
            </w:r>
          </w:p>
        </w:tc>
      </w:tr>
      <w:tr w:rsidR="001002C3" w:rsidRPr="007122AB" w14:paraId="47AF0A0F" w14:textId="77777777">
        <w:tc>
          <w:tcPr>
            <w:tcW w:w="1024" w:type="dxa"/>
          </w:tcPr>
          <w:p w14:paraId="77AA7D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D50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B7E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F81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0CF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4FA9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A67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C1B7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Жемчужин.</w:t>
            </w:r>
          </w:p>
        </w:tc>
      </w:tr>
      <w:tr w:rsidR="001002C3" w:rsidRPr="007122AB" w14:paraId="102C4A96" w14:textId="77777777">
        <w:tc>
          <w:tcPr>
            <w:tcW w:w="1024" w:type="dxa"/>
          </w:tcPr>
          <w:p w14:paraId="2121C8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ТШ2-М17</w:t>
            </w:r>
          </w:p>
        </w:tc>
        <w:tc>
          <w:tcPr>
            <w:tcW w:w="1024" w:type="dxa"/>
          </w:tcPr>
          <w:p w14:paraId="2814C0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3F3508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w:t>
            </w:r>
          </w:p>
        </w:tc>
        <w:tc>
          <w:tcPr>
            <w:tcW w:w="1024" w:type="dxa"/>
          </w:tcPr>
          <w:p w14:paraId="709CD7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5860</w:t>
            </w:r>
          </w:p>
        </w:tc>
        <w:tc>
          <w:tcPr>
            <w:tcW w:w="1024" w:type="dxa"/>
          </w:tcPr>
          <w:p w14:paraId="4C0D0D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BBAB0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36D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028DAC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испытаний ТШ-2 БМВ-6</w:t>
            </w:r>
          </w:p>
        </w:tc>
      </w:tr>
      <w:tr w:rsidR="001002C3" w:rsidRPr="007122AB" w14:paraId="0FFAA3D8" w14:textId="77777777">
        <w:tc>
          <w:tcPr>
            <w:tcW w:w="1024" w:type="dxa"/>
          </w:tcPr>
          <w:p w14:paraId="0E3622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c>
          <w:tcPr>
            <w:tcW w:w="1024" w:type="dxa"/>
          </w:tcPr>
          <w:p w14:paraId="4DE3E5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ADBE3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D3A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C4F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F00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B7A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649DAC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выявлена недостаточная мощность мотора</w:t>
            </w:r>
          </w:p>
        </w:tc>
      </w:tr>
      <w:tr w:rsidR="001002C3" w:rsidRPr="007122AB" w14:paraId="2A95D255" w14:textId="77777777">
        <w:tc>
          <w:tcPr>
            <w:tcW w:w="1024" w:type="dxa"/>
          </w:tcPr>
          <w:p w14:paraId="1D6C3C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5C5A13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9D3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1B6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993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D2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02E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2AB6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принято решение отказаться от постройки</w:t>
            </w:r>
          </w:p>
        </w:tc>
      </w:tr>
      <w:tr w:rsidR="001002C3" w:rsidRPr="007122AB" w14:paraId="4CC8D231" w14:textId="77777777">
        <w:tc>
          <w:tcPr>
            <w:tcW w:w="1024" w:type="dxa"/>
          </w:tcPr>
          <w:p w14:paraId="50B2CB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C08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2C9A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F56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B66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08E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7F8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0CE5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серии ТШ-2М-17 для войсковых испытаний.</w:t>
            </w:r>
          </w:p>
        </w:tc>
      </w:tr>
      <w:tr w:rsidR="001002C3" w:rsidRPr="007122AB" w14:paraId="1F287C57" w14:textId="77777777">
        <w:tc>
          <w:tcPr>
            <w:tcW w:w="1024" w:type="dxa"/>
          </w:tcPr>
          <w:p w14:paraId="4F3489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47B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378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2AB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A64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FFE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D978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EEAB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дало задание ЦКБ при заводе 39</w:t>
            </w:r>
          </w:p>
        </w:tc>
      </w:tr>
      <w:tr w:rsidR="001002C3" w:rsidRPr="007122AB" w14:paraId="029BC199" w14:textId="77777777">
        <w:tc>
          <w:tcPr>
            <w:tcW w:w="1024" w:type="dxa"/>
          </w:tcPr>
          <w:p w14:paraId="6F36DD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DB8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EDB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AF8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E201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F33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87C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19D2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построить 3 экз. ТШ-2 с М-27. 39 завод</w:t>
            </w:r>
          </w:p>
        </w:tc>
      </w:tr>
      <w:tr w:rsidR="001002C3" w:rsidRPr="007122AB" w14:paraId="582C6529" w14:textId="77777777">
        <w:tc>
          <w:tcPr>
            <w:tcW w:w="1024" w:type="dxa"/>
          </w:tcPr>
          <w:p w14:paraId="2C5EB6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183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EFD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F1E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C334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CF3B6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26BE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6EC2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заканчивает постройку 1-го, передача на</w:t>
            </w:r>
          </w:p>
        </w:tc>
      </w:tr>
      <w:tr w:rsidR="001002C3" w:rsidRPr="007122AB" w14:paraId="3FC2652E" w14:textId="77777777">
        <w:tc>
          <w:tcPr>
            <w:tcW w:w="1024" w:type="dxa"/>
          </w:tcPr>
          <w:p w14:paraId="3A31C0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7F4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5C53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976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280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335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713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B736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ожидается в первой пол.</w:t>
            </w:r>
          </w:p>
        </w:tc>
      </w:tr>
      <w:tr w:rsidR="001002C3" w:rsidRPr="007122AB" w14:paraId="508CAE91" w14:textId="77777777">
        <w:tc>
          <w:tcPr>
            <w:tcW w:w="1024" w:type="dxa"/>
          </w:tcPr>
          <w:p w14:paraId="1FB07C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730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FB9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133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E71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90AE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FAD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11CA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августа 1931</w:t>
            </w:r>
          </w:p>
        </w:tc>
      </w:tr>
      <w:tr w:rsidR="001002C3" w:rsidRPr="007122AB" w14:paraId="44DA6C36" w14:textId="77777777">
        <w:tc>
          <w:tcPr>
            <w:tcW w:w="1024" w:type="dxa"/>
          </w:tcPr>
          <w:p w14:paraId="4011E2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3091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D33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631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4A5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589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8C0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9C07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604AFD60" w14:textId="77777777">
        <w:tc>
          <w:tcPr>
            <w:tcW w:w="1024" w:type="dxa"/>
          </w:tcPr>
          <w:p w14:paraId="0A7632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w:t>
            </w:r>
          </w:p>
        </w:tc>
        <w:tc>
          <w:tcPr>
            <w:tcW w:w="1024" w:type="dxa"/>
          </w:tcPr>
          <w:p w14:paraId="736CEB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348643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23/3000</w:t>
            </w:r>
          </w:p>
        </w:tc>
        <w:tc>
          <w:tcPr>
            <w:tcW w:w="1024" w:type="dxa"/>
          </w:tcPr>
          <w:p w14:paraId="1DE9F3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1024" w:type="dxa"/>
          </w:tcPr>
          <w:p w14:paraId="333086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Отсут</w:t>
            </w:r>
            <w:proofErr w:type="spellEnd"/>
            <w:r w:rsidRPr="007122AB">
              <w:rPr>
                <w:rFonts w:ascii="Times New Roman" w:hAnsi="Times New Roman"/>
                <w:color w:val="000000" w:themeColor="text1"/>
                <w:sz w:val="16"/>
                <w:szCs w:val="16"/>
              </w:rPr>
              <w:t>.</w:t>
            </w:r>
          </w:p>
        </w:tc>
        <w:tc>
          <w:tcPr>
            <w:tcW w:w="1024" w:type="dxa"/>
          </w:tcPr>
          <w:p w14:paraId="67B694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6862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3430" w:type="dxa"/>
          </w:tcPr>
          <w:p w14:paraId="5995BB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июль работы велись в </w:t>
            </w:r>
            <w:proofErr w:type="spellStart"/>
            <w:r w:rsidRPr="007122AB">
              <w:rPr>
                <w:rFonts w:ascii="Times New Roman" w:hAnsi="Times New Roman"/>
                <w:color w:val="000000" w:themeColor="text1"/>
                <w:sz w:val="16"/>
                <w:szCs w:val="16"/>
              </w:rPr>
              <w:t>небольш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разм</w:t>
            </w:r>
            <w:proofErr w:type="spellEnd"/>
            <w:r w:rsidRPr="007122AB">
              <w:rPr>
                <w:rFonts w:ascii="Times New Roman" w:hAnsi="Times New Roman"/>
                <w:color w:val="000000" w:themeColor="text1"/>
                <w:sz w:val="16"/>
                <w:szCs w:val="16"/>
              </w:rPr>
              <w:t>.</w:t>
            </w:r>
          </w:p>
        </w:tc>
      </w:tr>
      <w:tr w:rsidR="001002C3" w:rsidRPr="007122AB" w14:paraId="6BEF3DE6" w14:textId="77777777">
        <w:tc>
          <w:tcPr>
            <w:tcW w:w="1024" w:type="dxa"/>
          </w:tcPr>
          <w:p w14:paraId="37E744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2БМВ-6</w:t>
            </w:r>
          </w:p>
        </w:tc>
        <w:tc>
          <w:tcPr>
            <w:tcW w:w="1024" w:type="dxa"/>
          </w:tcPr>
          <w:p w14:paraId="3E393A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77DB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563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FA7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56B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5C06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3430" w:type="dxa"/>
          </w:tcPr>
          <w:p w14:paraId="146B1AC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т.к. ЦКБ занят основными самолетами.</w:t>
            </w:r>
          </w:p>
        </w:tc>
      </w:tr>
      <w:tr w:rsidR="001002C3" w:rsidRPr="007122AB" w14:paraId="3B2AA897" w14:textId="77777777">
        <w:tc>
          <w:tcPr>
            <w:tcW w:w="1024" w:type="dxa"/>
          </w:tcPr>
          <w:p w14:paraId="542699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7CFB1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3F7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D1E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EF43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F289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11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B462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Ориент. окончание - 1 января 1932</w:t>
            </w:r>
          </w:p>
        </w:tc>
      </w:tr>
      <w:tr w:rsidR="001002C3" w:rsidRPr="007122AB" w14:paraId="79963C04" w14:textId="77777777">
        <w:tc>
          <w:tcPr>
            <w:tcW w:w="1024" w:type="dxa"/>
          </w:tcPr>
          <w:p w14:paraId="6E9273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И12-2ЮVI</w:t>
            </w:r>
          </w:p>
        </w:tc>
        <w:tc>
          <w:tcPr>
            <w:tcW w:w="1024" w:type="dxa"/>
          </w:tcPr>
          <w:p w14:paraId="035C92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117F5F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024" w:type="dxa"/>
          </w:tcPr>
          <w:p w14:paraId="5E724F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25952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tc>
        <w:tc>
          <w:tcPr>
            <w:tcW w:w="1024" w:type="dxa"/>
          </w:tcPr>
          <w:p w14:paraId="17ABD5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19CB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3430" w:type="dxa"/>
          </w:tcPr>
          <w:p w14:paraId="16ACAD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Заканчивается постройкой, которая </w:t>
            </w:r>
            <w:proofErr w:type="spellStart"/>
            <w:r w:rsidRPr="007122AB">
              <w:rPr>
                <w:rFonts w:ascii="Times New Roman" w:hAnsi="Times New Roman"/>
                <w:color w:val="000000" w:themeColor="text1"/>
                <w:sz w:val="16"/>
                <w:szCs w:val="16"/>
              </w:rPr>
              <w:t>задерж</w:t>
            </w:r>
            <w:proofErr w:type="spellEnd"/>
            <w:r w:rsidRPr="007122AB">
              <w:rPr>
                <w:rFonts w:ascii="Times New Roman" w:hAnsi="Times New Roman"/>
                <w:color w:val="000000" w:themeColor="text1"/>
                <w:sz w:val="16"/>
                <w:szCs w:val="16"/>
              </w:rPr>
              <w:t>.</w:t>
            </w:r>
          </w:p>
        </w:tc>
      </w:tr>
      <w:tr w:rsidR="001002C3" w:rsidRPr="007122AB" w14:paraId="4EBBB6FA" w14:textId="77777777">
        <w:tc>
          <w:tcPr>
            <w:tcW w:w="1024" w:type="dxa"/>
          </w:tcPr>
          <w:p w14:paraId="13894B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83C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3A8DD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04EC1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62F7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ДРП</w:t>
            </w:r>
          </w:p>
        </w:tc>
        <w:tc>
          <w:tcPr>
            <w:tcW w:w="1024" w:type="dxa"/>
          </w:tcPr>
          <w:p w14:paraId="77C9C0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E00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5854F8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из-за ДРП. Выход на аэродром 15-25 июля.</w:t>
            </w:r>
          </w:p>
        </w:tc>
      </w:tr>
      <w:tr w:rsidR="001002C3" w:rsidRPr="007122AB" w14:paraId="4B6D8976" w14:textId="77777777">
        <w:tc>
          <w:tcPr>
            <w:tcW w:w="1024" w:type="dxa"/>
          </w:tcPr>
          <w:p w14:paraId="126762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B70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32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6AC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35B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892C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18D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26FA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перевели на аэродром и 23 июля - рулили.</w:t>
            </w:r>
          </w:p>
        </w:tc>
      </w:tr>
      <w:tr w:rsidR="001002C3" w:rsidRPr="007122AB" w14:paraId="5651FA95" w14:textId="77777777">
        <w:tc>
          <w:tcPr>
            <w:tcW w:w="1024" w:type="dxa"/>
          </w:tcPr>
          <w:p w14:paraId="443F50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F3C6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05D7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47E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255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C71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A74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A1B2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 - неудовлетворительный</w:t>
            </w:r>
          </w:p>
        </w:tc>
      </w:tr>
      <w:tr w:rsidR="001002C3" w:rsidRPr="007122AB" w14:paraId="5AD62328" w14:textId="77777777">
        <w:tc>
          <w:tcPr>
            <w:tcW w:w="1024" w:type="dxa"/>
          </w:tcPr>
          <w:p w14:paraId="220719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37D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BB5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30A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566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EBAC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3B9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F7E9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3F7C4CD3" w14:textId="77777777">
        <w:tc>
          <w:tcPr>
            <w:tcW w:w="1024" w:type="dxa"/>
          </w:tcPr>
          <w:p w14:paraId="640F8B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И11-М-41</w:t>
            </w:r>
          </w:p>
        </w:tc>
        <w:tc>
          <w:tcPr>
            <w:tcW w:w="1024" w:type="dxa"/>
          </w:tcPr>
          <w:p w14:paraId="4360C8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72EBEB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155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2A26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316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C83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3F67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начаты.</w:t>
            </w:r>
          </w:p>
        </w:tc>
      </w:tr>
      <w:tr w:rsidR="001002C3" w:rsidRPr="007122AB" w14:paraId="44112278" w14:textId="77777777">
        <w:tc>
          <w:tcPr>
            <w:tcW w:w="1024" w:type="dxa"/>
          </w:tcPr>
          <w:p w14:paraId="1E9C22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(Электр.)</w:t>
            </w:r>
          </w:p>
        </w:tc>
        <w:tc>
          <w:tcPr>
            <w:tcW w:w="1024" w:type="dxa"/>
          </w:tcPr>
          <w:p w14:paraId="66DBDF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1FC5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FB7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A87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B8C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784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5507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495A83" w14:textId="77777777">
        <w:tc>
          <w:tcPr>
            <w:tcW w:w="1024" w:type="dxa"/>
          </w:tcPr>
          <w:p w14:paraId="60641D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024" w:type="dxa"/>
          </w:tcPr>
          <w:p w14:paraId="7BD345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мотора М-19</w:t>
            </w:r>
          </w:p>
        </w:tc>
        <w:tc>
          <w:tcPr>
            <w:tcW w:w="1024" w:type="dxa"/>
          </w:tcPr>
          <w:p w14:paraId="7323B5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7A0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D4E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A51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15F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31148B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сильно задержаны. ЦКБ объясняет</w:t>
            </w:r>
          </w:p>
        </w:tc>
      </w:tr>
      <w:tr w:rsidR="001002C3" w:rsidRPr="007122AB" w14:paraId="1C4EBC93" w14:textId="77777777">
        <w:tc>
          <w:tcPr>
            <w:tcW w:w="1024" w:type="dxa"/>
          </w:tcPr>
          <w:p w14:paraId="25225C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476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7DF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410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766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F4D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84FE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68122C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отсутствием </w:t>
            </w:r>
            <w:proofErr w:type="spellStart"/>
            <w:r w:rsidRPr="007122AB">
              <w:rPr>
                <w:rFonts w:ascii="Times New Roman" w:hAnsi="Times New Roman"/>
                <w:color w:val="000000" w:themeColor="text1"/>
                <w:sz w:val="16"/>
                <w:szCs w:val="16"/>
              </w:rPr>
              <w:t>РСилы</w:t>
            </w:r>
            <w:proofErr w:type="spellEnd"/>
            <w:r w:rsidRPr="007122AB">
              <w:rPr>
                <w:rFonts w:ascii="Times New Roman" w:hAnsi="Times New Roman"/>
                <w:color w:val="000000" w:themeColor="text1"/>
                <w:sz w:val="16"/>
                <w:szCs w:val="16"/>
              </w:rPr>
              <w:t xml:space="preserve"> и необходимостью пер.</w:t>
            </w:r>
          </w:p>
        </w:tc>
      </w:tr>
      <w:tr w:rsidR="001002C3" w:rsidRPr="007122AB" w14:paraId="4A193EEA" w14:textId="77777777">
        <w:tc>
          <w:tcPr>
            <w:tcW w:w="1024" w:type="dxa"/>
          </w:tcPr>
          <w:p w14:paraId="13A51B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0AF4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5755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696C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5C1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5BD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80D7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DE31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моторной установки. После </w:t>
            </w:r>
            <w:proofErr w:type="spellStart"/>
            <w:r w:rsidRPr="007122AB">
              <w:rPr>
                <w:rFonts w:ascii="Times New Roman" w:hAnsi="Times New Roman"/>
                <w:color w:val="000000" w:themeColor="text1"/>
                <w:sz w:val="16"/>
                <w:szCs w:val="16"/>
              </w:rPr>
              <w:t>кратковр</w:t>
            </w:r>
            <w:proofErr w:type="spellEnd"/>
            <w:r w:rsidRPr="007122AB">
              <w:rPr>
                <w:rFonts w:ascii="Times New Roman" w:hAnsi="Times New Roman"/>
                <w:color w:val="000000" w:themeColor="text1"/>
                <w:sz w:val="16"/>
                <w:szCs w:val="16"/>
              </w:rPr>
              <w:t>. зав.</w:t>
            </w:r>
          </w:p>
        </w:tc>
      </w:tr>
      <w:tr w:rsidR="001002C3" w:rsidRPr="007122AB" w14:paraId="20D89464" w14:textId="77777777">
        <w:tc>
          <w:tcPr>
            <w:tcW w:w="1024" w:type="dxa"/>
          </w:tcPr>
          <w:p w14:paraId="458F67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BF6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CD4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32E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BE6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998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709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09D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испытаний мотор был снят, т.к. не давал</w:t>
            </w:r>
          </w:p>
        </w:tc>
      </w:tr>
      <w:tr w:rsidR="001002C3" w:rsidRPr="007122AB" w14:paraId="78153756" w14:textId="77777777">
        <w:tc>
          <w:tcPr>
            <w:tcW w:w="1024" w:type="dxa"/>
          </w:tcPr>
          <w:p w14:paraId="2FC189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471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0D95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27DA7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3E9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A8C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E24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9B83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мощности. Отправили на 24 завод для</w:t>
            </w:r>
          </w:p>
        </w:tc>
      </w:tr>
      <w:tr w:rsidR="001002C3" w:rsidRPr="007122AB" w14:paraId="217190A6" w14:textId="77777777">
        <w:tc>
          <w:tcPr>
            <w:tcW w:w="1024" w:type="dxa"/>
          </w:tcPr>
          <w:p w14:paraId="60F8D0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3E5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5D4E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9CC8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19D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DD7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6A07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B0B7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переборки</w:t>
            </w:r>
          </w:p>
        </w:tc>
      </w:tr>
      <w:tr w:rsidR="001002C3" w:rsidRPr="007122AB" w14:paraId="105F8B6E" w14:textId="77777777">
        <w:tc>
          <w:tcPr>
            <w:tcW w:w="1024" w:type="dxa"/>
          </w:tcPr>
          <w:p w14:paraId="1CC6F7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9DE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8A13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744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985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53A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C96F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D542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разрезных крыльев</w:t>
            </w:r>
          </w:p>
        </w:tc>
      </w:tr>
      <w:tr w:rsidR="001002C3" w:rsidRPr="007122AB" w14:paraId="3A675D04" w14:textId="77777777">
        <w:tc>
          <w:tcPr>
            <w:tcW w:w="1024" w:type="dxa"/>
          </w:tcPr>
          <w:p w14:paraId="3C74C3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8817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751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B5B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AD8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B7A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DE87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EEE8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ЦКБ зав. 39 разработало </w:t>
            </w:r>
            <w:proofErr w:type="spellStart"/>
            <w:r w:rsidRPr="007122AB">
              <w:rPr>
                <w:rFonts w:ascii="Times New Roman" w:hAnsi="Times New Roman"/>
                <w:color w:val="000000" w:themeColor="text1"/>
                <w:sz w:val="16"/>
                <w:szCs w:val="16"/>
              </w:rPr>
              <w:t>аэродинам</w:t>
            </w:r>
            <w:proofErr w:type="spellEnd"/>
            <w:r w:rsidRPr="007122AB">
              <w:rPr>
                <w:rFonts w:ascii="Times New Roman" w:hAnsi="Times New Roman"/>
                <w:color w:val="000000" w:themeColor="text1"/>
                <w:sz w:val="16"/>
                <w:szCs w:val="16"/>
              </w:rPr>
              <w:t>. часть,</w:t>
            </w:r>
          </w:p>
        </w:tc>
      </w:tr>
      <w:tr w:rsidR="001002C3" w:rsidRPr="007122AB" w14:paraId="4EEF6A89" w14:textId="77777777">
        <w:tc>
          <w:tcPr>
            <w:tcW w:w="1024" w:type="dxa"/>
          </w:tcPr>
          <w:p w14:paraId="2A6845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6CB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5E5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799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789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52A1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B3E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9241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ведется конструктивная проработка. Выйдет</w:t>
            </w:r>
          </w:p>
        </w:tc>
      </w:tr>
      <w:tr w:rsidR="001002C3" w:rsidRPr="007122AB" w14:paraId="6033756D" w14:textId="77777777">
        <w:tc>
          <w:tcPr>
            <w:tcW w:w="1024" w:type="dxa"/>
          </w:tcPr>
          <w:p w14:paraId="51D6E2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CCA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81B5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6BB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3052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2E2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F41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40E8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10 сентября 1931</w:t>
            </w:r>
          </w:p>
        </w:tc>
      </w:tr>
      <w:tr w:rsidR="001002C3" w:rsidRPr="007122AB" w14:paraId="22DFFD0C" w14:textId="77777777">
        <w:tc>
          <w:tcPr>
            <w:tcW w:w="1024" w:type="dxa"/>
          </w:tcPr>
          <w:p w14:paraId="312CC7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C02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EC1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85C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AFB0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DF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102A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A92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Жемчужин.</w:t>
            </w:r>
          </w:p>
        </w:tc>
      </w:tr>
      <w:tr w:rsidR="001002C3" w:rsidRPr="007122AB" w14:paraId="6D7F192E" w14:textId="77777777">
        <w:tc>
          <w:tcPr>
            <w:tcW w:w="1024" w:type="dxa"/>
          </w:tcPr>
          <w:p w14:paraId="05FB77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И5-ЮVI</w:t>
            </w:r>
          </w:p>
        </w:tc>
        <w:tc>
          <w:tcPr>
            <w:tcW w:w="1024" w:type="dxa"/>
          </w:tcPr>
          <w:p w14:paraId="1B27F1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262,5/</w:t>
            </w:r>
          </w:p>
        </w:tc>
        <w:tc>
          <w:tcPr>
            <w:tcW w:w="1024" w:type="dxa"/>
          </w:tcPr>
          <w:p w14:paraId="667957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9,6'-9,8'/</w:t>
            </w:r>
          </w:p>
        </w:tc>
        <w:tc>
          <w:tcPr>
            <w:tcW w:w="1024" w:type="dxa"/>
          </w:tcPr>
          <w:p w14:paraId="58192F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8120*</w:t>
            </w:r>
          </w:p>
        </w:tc>
        <w:tc>
          <w:tcPr>
            <w:tcW w:w="1024" w:type="dxa"/>
          </w:tcPr>
          <w:p w14:paraId="5948BB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пул.</w:t>
            </w:r>
          </w:p>
        </w:tc>
        <w:tc>
          <w:tcPr>
            <w:tcW w:w="1024" w:type="dxa"/>
          </w:tcPr>
          <w:p w14:paraId="563EA7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B4039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кв.</w:t>
            </w:r>
          </w:p>
        </w:tc>
        <w:tc>
          <w:tcPr>
            <w:tcW w:w="3430" w:type="dxa"/>
          </w:tcPr>
          <w:p w14:paraId="60F9E2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из-за большего</w:t>
            </w:r>
          </w:p>
        </w:tc>
      </w:tr>
      <w:tr w:rsidR="001002C3" w:rsidRPr="007122AB" w14:paraId="26F00ACE" w14:textId="77777777">
        <w:tc>
          <w:tcPr>
            <w:tcW w:w="1024" w:type="dxa"/>
          </w:tcPr>
          <w:p w14:paraId="3FF5EE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7EA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6E5B2F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B3FF9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24A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D33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626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98DFB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полетного веса серийной машины (74 кг)</w:t>
            </w:r>
          </w:p>
        </w:tc>
      </w:tr>
      <w:tr w:rsidR="001002C3" w:rsidRPr="007122AB" w14:paraId="75234D96" w14:textId="77777777">
        <w:tc>
          <w:tcPr>
            <w:tcW w:w="1024" w:type="dxa"/>
          </w:tcPr>
          <w:p w14:paraId="61DB3E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F101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024" w:type="dxa"/>
          </w:tcPr>
          <w:p w14:paraId="62D4B3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96C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E618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6E5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3F8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34FE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летные качества оказались ниже по скор.</w:t>
            </w:r>
          </w:p>
        </w:tc>
      </w:tr>
      <w:tr w:rsidR="001002C3" w:rsidRPr="007122AB" w14:paraId="7DD45B1E" w14:textId="77777777">
        <w:tc>
          <w:tcPr>
            <w:tcW w:w="1024" w:type="dxa"/>
          </w:tcPr>
          <w:p w14:paraId="66646E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F4D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E5434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EEA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9D9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DE6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532D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20DFD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5-7 км/час. Представленный ВАО матер.</w:t>
            </w:r>
          </w:p>
        </w:tc>
      </w:tr>
      <w:tr w:rsidR="001002C3" w:rsidRPr="007122AB" w14:paraId="025ADE83" w14:textId="77777777">
        <w:tc>
          <w:tcPr>
            <w:tcW w:w="1024" w:type="dxa"/>
          </w:tcPr>
          <w:p w14:paraId="56B89A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F18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Серийный самолет.</w:t>
            </w:r>
          </w:p>
        </w:tc>
        <w:tc>
          <w:tcPr>
            <w:tcW w:w="1024" w:type="dxa"/>
          </w:tcPr>
          <w:p w14:paraId="0F53E9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8C2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451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127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94DDE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4DCA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перетяжелению</w:t>
            </w:r>
            <w:proofErr w:type="spellEnd"/>
            <w:r w:rsidRPr="007122AB">
              <w:rPr>
                <w:rFonts w:ascii="Times New Roman" w:hAnsi="Times New Roman"/>
                <w:color w:val="000000" w:themeColor="text1"/>
                <w:sz w:val="16"/>
                <w:szCs w:val="16"/>
              </w:rPr>
              <w:t xml:space="preserve"> признан </w:t>
            </w:r>
            <w:proofErr w:type="spellStart"/>
            <w:r w:rsidRPr="007122AB">
              <w:rPr>
                <w:rFonts w:ascii="Times New Roman" w:hAnsi="Times New Roman"/>
                <w:color w:val="000000" w:themeColor="text1"/>
                <w:sz w:val="16"/>
                <w:szCs w:val="16"/>
              </w:rPr>
              <w:t>неудовлетвор</w:t>
            </w:r>
            <w:proofErr w:type="spellEnd"/>
            <w:r w:rsidRPr="007122AB">
              <w:rPr>
                <w:rFonts w:ascii="Times New Roman" w:hAnsi="Times New Roman"/>
                <w:color w:val="000000" w:themeColor="text1"/>
                <w:sz w:val="16"/>
                <w:szCs w:val="16"/>
              </w:rPr>
              <w:t>.</w:t>
            </w:r>
          </w:p>
        </w:tc>
      </w:tr>
      <w:tr w:rsidR="001002C3" w:rsidRPr="007122AB" w14:paraId="04278278" w14:textId="77777777">
        <w:tc>
          <w:tcPr>
            <w:tcW w:w="1024" w:type="dxa"/>
          </w:tcPr>
          <w:p w14:paraId="7316FC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D5AA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A85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396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98B9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2F9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0C5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A3AC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лишь фиксирует причины без мер по</w:t>
            </w:r>
          </w:p>
        </w:tc>
      </w:tr>
      <w:tr w:rsidR="001002C3" w:rsidRPr="007122AB" w14:paraId="045DB8BC" w14:textId="77777777">
        <w:tc>
          <w:tcPr>
            <w:tcW w:w="1024" w:type="dxa"/>
          </w:tcPr>
          <w:p w14:paraId="7AC4EF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69D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3DE4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646B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79EE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E8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0FE2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F5FAC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устранению. ВАО потребовал их </w:t>
            </w:r>
            <w:proofErr w:type="spellStart"/>
            <w:r w:rsidRPr="007122AB">
              <w:rPr>
                <w:rFonts w:ascii="Times New Roman" w:hAnsi="Times New Roman"/>
                <w:color w:val="000000" w:themeColor="text1"/>
                <w:sz w:val="16"/>
                <w:szCs w:val="16"/>
              </w:rPr>
              <w:t>разработ</w:t>
            </w:r>
            <w:proofErr w:type="spellEnd"/>
            <w:r w:rsidRPr="007122AB">
              <w:rPr>
                <w:rFonts w:ascii="Times New Roman" w:hAnsi="Times New Roman"/>
                <w:color w:val="000000" w:themeColor="text1"/>
                <w:sz w:val="16"/>
                <w:szCs w:val="16"/>
              </w:rPr>
              <w:t>.</w:t>
            </w:r>
          </w:p>
        </w:tc>
      </w:tr>
      <w:tr w:rsidR="001002C3" w:rsidRPr="007122AB" w14:paraId="5F13B41D" w14:textId="77777777">
        <w:tc>
          <w:tcPr>
            <w:tcW w:w="1024" w:type="dxa"/>
          </w:tcPr>
          <w:p w14:paraId="1A84AB1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A52E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41D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890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0D3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154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500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3032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И-5 М-22, но пока мероприятий не</w:t>
            </w:r>
          </w:p>
        </w:tc>
      </w:tr>
      <w:tr w:rsidR="001002C3" w:rsidRPr="007122AB" w14:paraId="0FACF8EA" w14:textId="77777777">
        <w:tc>
          <w:tcPr>
            <w:tcW w:w="1024" w:type="dxa"/>
          </w:tcPr>
          <w:p w14:paraId="11F1A4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DDB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7C6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130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6CB0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CA6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5A3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EEEA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принято.</w:t>
            </w:r>
          </w:p>
        </w:tc>
      </w:tr>
      <w:tr w:rsidR="001002C3" w:rsidRPr="007122AB" w14:paraId="70204080" w14:textId="77777777">
        <w:tc>
          <w:tcPr>
            <w:tcW w:w="1024" w:type="dxa"/>
          </w:tcPr>
          <w:p w14:paraId="79D5E0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80C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AE4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714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D44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8535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6B7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DBB7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М-15</w:t>
            </w:r>
          </w:p>
        </w:tc>
      </w:tr>
      <w:tr w:rsidR="001002C3" w:rsidRPr="007122AB" w14:paraId="02A2C7B2" w14:textId="77777777">
        <w:tc>
          <w:tcPr>
            <w:tcW w:w="1024" w:type="dxa"/>
          </w:tcPr>
          <w:p w14:paraId="205764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212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F27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E33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853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547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02F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33A7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были прерваны из-за поломки</w:t>
            </w:r>
          </w:p>
        </w:tc>
      </w:tr>
      <w:tr w:rsidR="001002C3" w:rsidRPr="007122AB" w14:paraId="0E7B7F8A" w14:textId="77777777">
        <w:tc>
          <w:tcPr>
            <w:tcW w:w="1024" w:type="dxa"/>
          </w:tcPr>
          <w:p w14:paraId="39D39B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0370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58D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101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082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5A7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624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030F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мотора. ЦКБ завода 39 поставило М-15 на</w:t>
            </w:r>
          </w:p>
        </w:tc>
      </w:tr>
      <w:tr w:rsidR="001002C3" w:rsidRPr="007122AB" w14:paraId="788E8E29" w14:textId="77777777">
        <w:tc>
          <w:tcPr>
            <w:tcW w:w="1024" w:type="dxa"/>
          </w:tcPr>
          <w:p w14:paraId="32D881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6EB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C1F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1CA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35E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B5A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AE35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4B87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два. Первый - без вооружения и не </w:t>
            </w:r>
            <w:proofErr w:type="spellStart"/>
            <w:r w:rsidRPr="007122AB">
              <w:rPr>
                <w:rFonts w:ascii="Times New Roman" w:hAnsi="Times New Roman"/>
                <w:color w:val="000000" w:themeColor="text1"/>
                <w:sz w:val="16"/>
                <w:szCs w:val="16"/>
              </w:rPr>
              <w:t>усил</w:t>
            </w:r>
            <w:proofErr w:type="spellEnd"/>
            <w:r w:rsidRPr="007122AB">
              <w:rPr>
                <w:rFonts w:ascii="Times New Roman" w:hAnsi="Times New Roman"/>
                <w:color w:val="000000" w:themeColor="text1"/>
                <w:sz w:val="16"/>
                <w:szCs w:val="16"/>
              </w:rPr>
              <w:t>.</w:t>
            </w:r>
          </w:p>
        </w:tc>
      </w:tr>
      <w:tr w:rsidR="001002C3" w:rsidRPr="007122AB" w14:paraId="69D1C03D" w14:textId="77777777">
        <w:tc>
          <w:tcPr>
            <w:tcW w:w="1024" w:type="dxa"/>
          </w:tcPr>
          <w:p w14:paraId="0FF0A4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826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EB1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FD8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40A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AD67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21C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EEA8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не прошел гос. испытаний, второй - эталон</w:t>
            </w:r>
          </w:p>
        </w:tc>
      </w:tr>
      <w:tr w:rsidR="001002C3" w:rsidRPr="007122AB" w14:paraId="500A5741" w14:textId="77777777">
        <w:tc>
          <w:tcPr>
            <w:tcW w:w="1024" w:type="dxa"/>
          </w:tcPr>
          <w:p w14:paraId="2EC8D1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1D5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E84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F56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6AE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A97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EFE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246A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серии И-5 М-15 и на испытания пока не</w:t>
            </w:r>
          </w:p>
        </w:tc>
      </w:tr>
      <w:tr w:rsidR="001002C3" w:rsidRPr="007122AB" w14:paraId="28623EF6" w14:textId="77777777">
        <w:tc>
          <w:tcPr>
            <w:tcW w:w="1024" w:type="dxa"/>
          </w:tcPr>
          <w:p w14:paraId="37C23A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3B90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7FE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66CC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1FB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882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3A5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F56C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передан. Проходит заводские испытания.</w:t>
            </w:r>
          </w:p>
        </w:tc>
      </w:tr>
      <w:tr w:rsidR="001002C3" w:rsidRPr="007122AB" w14:paraId="60B29171" w14:textId="77777777">
        <w:tc>
          <w:tcPr>
            <w:tcW w:w="1024" w:type="dxa"/>
          </w:tcPr>
          <w:p w14:paraId="5C1627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EF91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4F4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15A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6F2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73A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7E5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4B10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Задержка тормозит серию. На основании</w:t>
            </w:r>
          </w:p>
        </w:tc>
      </w:tr>
      <w:tr w:rsidR="001002C3" w:rsidRPr="007122AB" w14:paraId="6518CC26" w14:textId="77777777">
        <w:tc>
          <w:tcPr>
            <w:tcW w:w="1024" w:type="dxa"/>
          </w:tcPr>
          <w:p w14:paraId="3D827F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02D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F6E7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1DE1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BEC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6A6B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15E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7D9D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испытаний 1-го будет лишь немногим лучше</w:t>
            </w:r>
          </w:p>
        </w:tc>
      </w:tr>
      <w:tr w:rsidR="001002C3" w:rsidRPr="007122AB" w14:paraId="0525471F" w14:textId="77777777">
        <w:tc>
          <w:tcPr>
            <w:tcW w:w="1024" w:type="dxa"/>
          </w:tcPr>
          <w:p w14:paraId="035CB7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57C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D6CA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10A3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06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CC8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2C0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9FA2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скорости, но хуже по скороподъемности</w:t>
            </w:r>
          </w:p>
        </w:tc>
      </w:tr>
      <w:tr w:rsidR="001002C3" w:rsidRPr="007122AB" w14:paraId="5DBF76FA" w14:textId="77777777">
        <w:tc>
          <w:tcPr>
            <w:tcW w:w="1024" w:type="dxa"/>
          </w:tcPr>
          <w:p w14:paraId="022628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F0B2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D08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F0A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4152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F03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6E0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6D2F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Петров.</w:t>
            </w:r>
          </w:p>
        </w:tc>
      </w:tr>
      <w:tr w:rsidR="001002C3" w:rsidRPr="007122AB" w14:paraId="5529BBE8" w14:textId="77777777">
        <w:tc>
          <w:tcPr>
            <w:tcW w:w="1024" w:type="dxa"/>
          </w:tcPr>
          <w:p w14:paraId="15442D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DFD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9EC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2FD9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618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2D2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124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668C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улучшению штопора</w:t>
            </w:r>
          </w:p>
        </w:tc>
      </w:tr>
      <w:tr w:rsidR="001002C3" w:rsidRPr="007122AB" w14:paraId="7B1BBF1D" w14:textId="77777777">
        <w:tc>
          <w:tcPr>
            <w:tcW w:w="1024" w:type="dxa"/>
          </w:tcPr>
          <w:p w14:paraId="3D1A9B3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1179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400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A1B5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727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E81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6EFD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F3B9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Машина с переделанными консолями крыл.</w:t>
            </w:r>
          </w:p>
        </w:tc>
      </w:tr>
      <w:tr w:rsidR="001002C3" w:rsidRPr="007122AB" w14:paraId="79370734" w14:textId="77777777">
        <w:tc>
          <w:tcPr>
            <w:tcW w:w="1024" w:type="dxa"/>
          </w:tcPr>
          <w:p w14:paraId="727FA5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FF39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4ED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B1C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F53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15A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FDA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34F8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 не представлена, т.к. ВАО</w:t>
            </w:r>
          </w:p>
        </w:tc>
      </w:tr>
      <w:tr w:rsidR="001002C3" w:rsidRPr="007122AB" w14:paraId="6BF36A4A" w14:textId="77777777">
        <w:tc>
          <w:tcPr>
            <w:tcW w:w="1024" w:type="dxa"/>
          </w:tcPr>
          <w:p w14:paraId="4F1C5D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D7A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6D4C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28F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296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2BA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5C0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292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месяц не мог поставить крылья на 1 завод</w:t>
            </w:r>
          </w:p>
        </w:tc>
      </w:tr>
      <w:tr w:rsidR="001002C3" w:rsidRPr="007122AB" w14:paraId="01E855FA" w14:textId="77777777">
        <w:tc>
          <w:tcPr>
            <w:tcW w:w="1024" w:type="dxa"/>
          </w:tcPr>
          <w:p w14:paraId="74417C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AE4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907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164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9D0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FA1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1BA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8726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установки на фюзеляж. Работу</w:t>
            </w:r>
          </w:p>
        </w:tc>
      </w:tr>
      <w:tr w:rsidR="001002C3" w:rsidRPr="007122AB" w14:paraId="0A9B118E" w14:textId="77777777">
        <w:tc>
          <w:tcPr>
            <w:tcW w:w="1024" w:type="dxa"/>
          </w:tcPr>
          <w:p w14:paraId="493700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1E26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27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97F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8CA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AA08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27D2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D132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сейчас ведет завод 39. Вопрос об установке</w:t>
            </w:r>
          </w:p>
        </w:tc>
      </w:tr>
      <w:tr w:rsidR="001002C3" w:rsidRPr="007122AB" w14:paraId="69A01024" w14:textId="77777777">
        <w:tc>
          <w:tcPr>
            <w:tcW w:w="1024" w:type="dxa"/>
          </w:tcPr>
          <w:p w14:paraId="79FD20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8ED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B62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517E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167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9F4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9B30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F6E4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более тонких консолей был поставлен еще в</w:t>
            </w:r>
          </w:p>
        </w:tc>
      </w:tr>
      <w:tr w:rsidR="001002C3" w:rsidRPr="007122AB" w14:paraId="52EC4958" w14:textId="77777777">
        <w:tc>
          <w:tcPr>
            <w:tcW w:w="1024" w:type="dxa"/>
          </w:tcPr>
          <w:p w14:paraId="3C9836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1BA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192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2FD9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613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09A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37E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E840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ноябре 1930, но пока не решен</w:t>
            </w:r>
          </w:p>
        </w:tc>
      </w:tr>
      <w:tr w:rsidR="001002C3" w:rsidRPr="007122AB" w14:paraId="1DF3C5BD" w14:textId="77777777">
        <w:tc>
          <w:tcPr>
            <w:tcW w:w="1024" w:type="dxa"/>
          </w:tcPr>
          <w:p w14:paraId="4DC68C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16B0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3BF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7C98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EE4F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D63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EA6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3435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Петров.</w:t>
            </w:r>
          </w:p>
        </w:tc>
      </w:tr>
      <w:tr w:rsidR="001002C3" w:rsidRPr="007122AB" w14:paraId="11AAC075" w14:textId="77777777">
        <w:tc>
          <w:tcPr>
            <w:tcW w:w="1024" w:type="dxa"/>
          </w:tcPr>
          <w:p w14:paraId="2BF59D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A560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4CD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FD8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72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E88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947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5E1D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на специально оборудованном И5-Ю6</w:t>
            </w:r>
          </w:p>
        </w:tc>
      </w:tr>
      <w:tr w:rsidR="001002C3" w:rsidRPr="007122AB" w14:paraId="7F29929D" w14:textId="77777777">
        <w:tc>
          <w:tcPr>
            <w:tcW w:w="1024" w:type="dxa"/>
          </w:tcPr>
          <w:p w14:paraId="5EA600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5B5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8C3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FFC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E03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707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6DD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ABDC2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провел исследование штопора. Окончание</w:t>
            </w:r>
          </w:p>
        </w:tc>
      </w:tr>
      <w:tr w:rsidR="001002C3" w:rsidRPr="007122AB" w14:paraId="4CD79644" w14:textId="77777777">
        <w:tc>
          <w:tcPr>
            <w:tcW w:w="1024" w:type="dxa"/>
          </w:tcPr>
          <w:p w14:paraId="78EA98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B17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E8C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6D6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C48C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069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9EF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9D12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 намечено на 10-15 июля</w:t>
            </w:r>
          </w:p>
        </w:tc>
      </w:tr>
      <w:tr w:rsidR="001002C3" w:rsidRPr="007122AB" w14:paraId="0B6180EC" w14:textId="77777777">
        <w:tc>
          <w:tcPr>
            <w:tcW w:w="1024" w:type="dxa"/>
          </w:tcPr>
          <w:p w14:paraId="05AC85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A72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2EE6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5A87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243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DB4B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E08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495A1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Филин.</w:t>
            </w:r>
          </w:p>
        </w:tc>
      </w:tr>
      <w:tr w:rsidR="001002C3" w:rsidRPr="007122AB" w14:paraId="7B3CF81B" w14:textId="77777777">
        <w:tc>
          <w:tcPr>
            <w:tcW w:w="1024" w:type="dxa"/>
          </w:tcPr>
          <w:p w14:paraId="369B93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ТБ3-4КК</w:t>
            </w:r>
          </w:p>
        </w:tc>
        <w:tc>
          <w:tcPr>
            <w:tcW w:w="1024" w:type="dxa"/>
          </w:tcPr>
          <w:p w14:paraId="098611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w:t>
            </w:r>
          </w:p>
        </w:tc>
        <w:tc>
          <w:tcPr>
            <w:tcW w:w="1024" w:type="dxa"/>
          </w:tcPr>
          <w:p w14:paraId="775F52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22-25/</w:t>
            </w:r>
          </w:p>
        </w:tc>
        <w:tc>
          <w:tcPr>
            <w:tcW w:w="1024" w:type="dxa"/>
          </w:tcPr>
          <w:p w14:paraId="1EE688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0DF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6-11 пул.</w:t>
            </w:r>
          </w:p>
        </w:tc>
        <w:tc>
          <w:tcPr>
            <w:tcW w:w="1024" w:type="dxa"/>
          </w:tcPr>
          <w:p w14:paraId="411A74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91C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25B712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Прошел испытания по сокращенной </w:t>
            </w:r>
            <w:proofErr w:type="spellStart"/>
            <w:r w:rsidRPr="007122AB">
              <w:rPr>
                <w:rFonts w:ascii="Times New Roman" w:hAnsi="Times New Roman"/>
                <w:color w:val="000000" w:themeColor="text1"/>
                <w:sz w:val="16"/>
                <w:szCs w:val="16"/>
              </w:rPr>
              <w:t>прогр</w:t>
            </w:r>
            <w:proofErr w:type="spellEnd"/>
            <w:r w:rsidRPr="007122AB">
              <w:rPr>
                <w:rFonts w:ascii="Times New Roman" w:hAnsi="Times New Roman"/>
                <w:color w:val="000000" w:themeColor="text1"/>
                <w:sz w:val="16"/>
                <w:szCs w:val="16"/>
              </w:rPr>
              <w:t>.</w:t>
            </w:r>
          </w:p>
        </w:tc>
      </w:tr>
      <w:tr w:rsidR="001002C3" w:rsidRPr="007122AB" w14:paraId="727C43F9" w14:textId="77777777">
        <w:tc>
          <w:tcPr>
            <w:tcW w:w="1024" w:type="dxa"/>
          </w:tcPr>
          <w:p w14:paraId="6D070D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(4М17)</w:t>
            </w:r>
          </w:p>
        </w:tc>
        <w:tc>
          <w:tcPr>
            <w:tcW w:w="1024" w:type="dxa"/>
          </w:tcPr>
          <w:p w14:paraId="4290A0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w:t>
            </w:r>
          </w:p>
        </w:tc>
        <w:tc>
          <w:tcPr>
            <w:tcW w:w="1024" w:type="dxa"/>
          </w:tcPr>
          <w:p w14:paraId="4164A1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C906D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45C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2000-4000</w:t>
            </w:r>
          </w:p>
        </w:tc>
        <w:tc>
          <w:tcPr>
            <w:tcW w:w="1024" w:type="dxa"/>
          </w:tcPr>
          <w:p w14:paraId="172CC8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B6A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4D05CC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показав хорошие ЛД - скор. 230 км/час.</w:t>
            </w:r>
          </w:p>
        </w:tc>
      </w:tr>
      <w:tr w:rsidR="001002C3" w:rsidRPr="007122AB" w14:paraId="480851DD" w14:textId="77777777">
        <w:tc>
          <w:tcPr>
            <w:tcW w:w="1024" w:type="dxa"/>
          </w:tcPr>
          <w:p w14:paraId="24488D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F5C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D6D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ED3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B641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кг</w:t>
            </w:r>
          </w:p>
        </w:tc>
        <w:tc>
          <w:tcPr>
            <w:tcW w:w="1024" w:type="dxa"/>
          </w:tcPr>
          <w:p w14:paraId="0B0097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142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E3B0F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 обнаружен ряд дефектов, основные</w:t>
            </w:r>
          </w:p>
        </w:tc>
      </w:tr>
      <w:tr w:rsidR="001002C3" w:rsidRPr="007122AB" w14:paraId="2959EC57" w14:textId="77777777">
        <w:tc>
          <w:tcPr>
            <w:tcW w:w="1024" w:type="dxa"/>
          </w:tcPr>
          <w:p w14:paraId="023961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53D5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010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2D01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676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2D78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850E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8D7F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чрезмерное давление на ручку и педали.</w:t>
            </w:r>
          </w:p>
        </w:tc>
      </w:tr>
      <w:tr w:rsidR="001002C3" w:rsidRPr="007122AB" w14:paraId="0A33F06C" w14:textId="77777777">
        <w:tc>
          <w:tcPr>
            <w:tcW w:w="1024" w:type="dxa"/>
          </w:tcPr>
          <w:p w14:paraId="79CC9B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970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BE0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CFF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2A5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F43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AB3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1C5D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февраля был передан в ЦАГИ для </w:t>
            </w:r>
            <w:proofErr w:type="spellStart"/>
            <w:r w:rsidRPr="007122AB">
              <w:rPr>
                <w:rFonts w:ascii="Times New Roman" w:hAnsi="Times New Roman"/>
                <w:color w:val="000000" w:themeColor="text1"/>
                <w:sz w:val="16"/>
                <w:szCs w:val="16"/>
              </w:rPr>
              <w:t>устан</w:t>
            </w:r>
            <w:proofErr w:type="spellEnd"/>
            <w:r w:rsidRPr="007122AB">
              <w:rPr>
                <w:rFonts w:ascii="Times New Roman" w:hAnsi="Times New Roman"/>
                <w:color w:val="000000" w:themeColor="text1"/>
                <w:sz w:val="16"/>
                <w:szCs w:val="16"/>
              </w:rPr>
              <w:t>.</w:t>
            </w:r>
          </w:p>
        </w:tc>
      </w:tr>
      <w:tr w:rsidR="001002C3" w:rsidRPr="007122AB" w14:paraId="2F7AD4DB" w14:textId="77777777">
        <w:tc>
          <w:tcPr>
            <w:tcW w:w="1024" w:type="dxa"/>
          </w:tcPr>
          <w:p w14:paraId="059B21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2C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682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DAD1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C62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5AE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65A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8E9F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БМВ-6 и переделки элеронов, РВ, РН и</w:t>
            </w:r>
          </w:p>
        </w:tc>
      </w:tr>
      <w:tr w:rsidR="001002C3" w:rsidRPr="007122AB" w14:paraId="1145A5DF" w14:textId="77777777">
        <w:tc>
          <w:tcPr>
            <w:tcW w:w="1024" w:type="dxa"/>
          </w:tcPr>
          <w:p w14:paraId="1644AD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790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70E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323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631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81B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50F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DD3B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костыля. К 1 апреля установка БМВ-6 была</w:t>
            </w:r>
          </w:p>
        </w:tc>
      </w:tr>
      <w:tr w:rsidR="001002C3" w:rsidRPr="007122AB" w14:paraId="3AE602D3" w14:textId="77777777">
        <w:tc>
          <w:tcPr>
            <w:tcW w:w="1024" w:type="dxa"/>
          </w:tcPr>
          <w:p w14:paraId="37F924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17B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B0E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7DA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354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10E4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C87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FA2E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закончена, но во время пробы одна </w:t>
            </w:r>
            <w:proofErr w:type="spellStart"/>
            <w:r w:rsidRPr="007122AB">
              <w:rPr>
                <w:rFonts w:ascii="Times New Roman" w:hAnsi="Times New Roman"/>
                <w:color w:val="000000" w:themeColor="text1"/>
                <w:sz w:val="16"/>
                <w:szCs w:val="16"/>
              </w:rPr>
              <w:t>устан</w:t>
            </w:r>
            <w:proofErr w:type="spellEnd"/>
            <w:r w:rsidRPr="007122AB">
              <w:rPr>
                <w:rFonts w:ascii="Times New Roman" w:hAnsi="Times New Roman"/>
                <w:color w:val="000000" w:themeColor="text1"/>
                <w:sz w:val="16"/>
                <w:szCs w:val="16"/>
              </w:rPr>
              <w:t>.</w:t>
            </w:r>
          </w:p>
        </w:tc>
      </w:tr>
      <w:tr w:rsidR="001002C3" w:rsidRPr="007122AB" w14:paraId="538B2FFE" w14:textId="77777777">
        <w:tc>
          <w:tcPr>
            <w:tcW w:w="1024" w:type="dxa"/>
          </w:tcPr>
          <w:p w14:paraId="250727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9B0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22C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6A9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708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307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ABF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ECE1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разрушилась. Потом в конце апреля-начале</w:t>
            </w:r>
          </w:p>
        </w:tc>
      </w:tr>
      <w:tr w:rsidR="001002C3" w:rsidRPr="007122AB" w14:paraId="4956895A" w14:textId="77777777">
        <w:tc>
          <w:tcPr>
            <w:tcW w:w="1024" w:type="dxa"/>
          </w:tcPr>
          <w:p w14:paraId="1DBCFC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E73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E573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EE4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8D8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39F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ABB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D757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мая машина выполнила ряд полетов, </w:t>
            </w:r>
            <w:proofErr w:type="spellStart"/>
            <w:r w:rsidRPr="007122AB">
              <w:rPr>
                <w:rFonts w:ascii="Times New Roman" w:hAnsi="Times New Roman"/>
                <w:color w:val="000000" w:themeColor="text1"/>
                <w:sz w:val="16"/>
                <w:szCs w:val="16"/>
              </w:rPr>
              <w:t>котор</w:t>
            </w:r>
            <w:proofErr w:type="spellEnd"/>
            <w:r w:rsidRPr="007122AB">
              <w:rPr>
                <w:rFonts w:ascii="Times New Roman" w:hAnsi="Times New Roman"/>
                <w:color w:val="000000" w:themeColor="text1"/>
                <w:sz w:val="16"/>
                <w:szCs w:val="16"/>
              </w:rPr>
              <w:t>.</w:t>
            </w:r>
          </w:p>
        </w:tc>
      </w:tr>
      <w:tr w:rsidR="001002C3" w:rsidRPr="007122AB" w14:paraId="6B63B441" w14:textId="77777777">
        <w:tc>
          <w:tcPr>
            <w:tcW w:w="1024" w:type="dxa"/>
          </w:tcPr>
          <w:p w14:paraId="17E02D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A88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23DC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B83E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C2E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3D4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92E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4287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показали, что элероны и рули надо </w:t>
            </w:r>
            <w:proofErr w:type="spellStart"/>
            <w:r w:rsidRPr="007122AB">
              <w:rPr>
                <w:rFonts w:ascii="Times New Roman" w:hAnsi="Times New Roman"/>
                <w:color w:val="000000" w:themeColor="text1"/>
                <w:sz w:val="16"/>
                <w:szCs w:val="16"/>
              </w:rPr>
              <w:t>дополн</w:t>
            </w:r>
            <w:proofErr w:type="spellEnd"/>
            <w:r w:rsidRPr="007122AB">
              <w:rPr>
                <w:rFonts w:ascii="Times New Roman" w:hAnsi="Times New Roman"/>
                <w:color w:val="000000" w:themeColor="text1"/>
                <w:sz w:val="16"/>
                <w:szCs w:val="16"/>
              </w:rPr>
              <w:t>.</w:t>
            </w:r>
          </w:p>
        </w:tc>
      </w:tr>
      <w:tr w:rsidR="001002C3" w:rsidRPr="007122AB" w14:paraId="349A292C" w14:textId="77777777">
        <w:tc>
          <w:tcPr>
            <w:tcW w:w="1024" w:type="dxa"/>
          </w:tcPr>
          <w:p w14:paraId="6B0702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FA76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7AA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03B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23A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4C2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482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7C88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переделывать. Выполнили, но усилия все</w:t>
            </w:r>
          </w:p>
        </w:tc>
      </w:tr>
      <w:tr w:rsidR="001002C3" w:rsidRPr="007122AB" w14:paraId="1990F164" w14:textId="77777777">
        <w:tc>
          <w:tcPr>
            <w:tcW w:w="1024" w:type="dxa"/>
          </w:tcPr>
          <w:p w14:paraId="192A56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20F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2F2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753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AD4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66A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BB1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60ADB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велики.</w:t>
            </w:r>
          </w:p>
        </w:tc>
      </w:tr>
      <w:tr w:rsidR="001002C3" w:rsidRPr="007122AB" w14:paraId="2E481D59" w14:textId="77777777">
        <w:tc>
          <w:tcPr>
            <w:tcW w:w="1024" w:type="dxa"/>
          </w:tcPr>
          <w:p w14:paraId="688948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EE8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13E7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73B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9BF2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BB70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98C0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23F3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Передача в НИИ задерживалась из-за ряда</w:t>
            </w:r>
          </w:p>
        </w:tc>
      </w:tr>
      <w:tr w:rsidR="001002C3" w:rsidRPr="007122AB" w14:paraId="606F72F9" w14:textId="77777777">
        <w:tc>
          <w:tcPr>
            <w:tcW w:w="1024" w:type="dxa"/>
          </w:tcPr>
          <w:p w14:paraId="1F9AAF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EAF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47A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91F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3A80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C3E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EC9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EF7B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мелких дефектов - течь радиаторов, </w:t>
            </w:r>
            <w:proofErr w:type="spellStart"/>
            <w:r w:rsidRPr="007122AB">
              <w:rPr>
                <w:rFonts w:ascii="Times New Roman" w:hAnsi="Times New Roman"/>
                <w:color w:val="000000" w:themeColor="text1"/>
                <w:sz w:val="16"/>
                <w:szCs w:val="16"/>
              </w:rPr>
              <w:t>разруш</w:t>
            </w:r>
            <w:proofErr w:type="spellEnd"/>
            <w:r w:rsidRPr="007122AB">
              <w:rPr>
                <w:rFonts w:ascii="Times New Roman" w:hAnsi="Times New Roman"/>
                <w:color w:val="000000" w:themeColor="text1"/>
                <w:sz w:val="16"/>
                <w:szCs w:val="16"/>
              </w:rPr>
              <w:t>.</w:t>
            </w:r>
          </w:p>
        </w:tc>
      </w:tr>
      <w:tr w:rsidR="001002C3" w:rsidRPr="007122AB" w14:paraId="38AA1B6B" w14:textId="77777777">
        <w:tc>
          <w:tcPr>
            <w:tcW w:w="1024" w:type="dxa"/>
          </w:tcPr>
          <w:p w14:paraId="2E9AA2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181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272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017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F46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9EE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DA0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D51C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 и будет 7-10 июля. Снижения ЛД после</w:t>
            </w:r>
          </w:p>
        </w:tc>
      </w:tr>
      <w:tr w:rsidR="001002C3" w:rsidRPr="007122AB" w14:paraId="2B826920" w14:textId="77777777">
        <w:tc>
          <w:tcPr>
            <w:tcW w:w="1024" w:type="dxa"/>
          </w:tcPr>
          <w:p w14:paraId="70EAB2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142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C47A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F17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735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54E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E2D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1981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переделки под М-17 не последовало</w:t>
            </w:r>
          </w:p>
        </w:tc>
      </w:tr>
      <w:tr w:rsidR="001002C3" w:rsidRPr="007122AB" w14:paraId="540F3202" w14:textId="77777777">
        <w:tc>
          <w:tcPr>
            <w:tcW w:w="1024" w:type="dxa"/>
          </w:tcPr>
          <w:p w14:paraId="4507B7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D89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B8C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385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351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E02F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9117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2FF6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1A157D0C" w14:textId="77777777">
        <w:tc>
          <w:tcPr>
            <w:tcW w:w="1024" w:type="dxa"/>
          </w:tcPr>
          <w:p w14:paraId="65FE5D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c>
          <w:tcPr>
            <w:tcW w:w="1024" w:type="dxa"/>
          </w:tcPr>
          <w:p w14:paraId="6A5406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244/</w:t>
            </w:r>
          </w:p>
        </w:tc>
        <w:tc>
          <w:tcPr>
            <w:tcW w:w="1024" w:type="dxa"/>
          </w:tcPr>
          <w:p w14:paraId="347B00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8,09/</w:t>
            </w:r>
          </w:p>
        </w:tc>
        <w:tc>
          <w:tcPr>
            <w:tcW w:w="1024" w:type="dxa"/>
          </w:tcPr>
          <w:p w14:paraId="6DDEF9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6500</w:t>
            </w:r>
          </w:p>
        </w:tc>
        <w:tc>
          <w:tcPr>
            <w:tcW w:w="1024" w:type="dxa"/>
          </w:tcPr>
          <w:p w14:paraId="1E0F1F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4539FB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7B0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F820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Головной самолет серии завода 22 должен</w:t>
            </w:r>
          </w:p>
        </w:tc>
      </w:tr>
      <w:tr w:rsidR="001002C3" w:rsidRPr="007122AB" w14:paraId="46EEBDA3" w14:textId="77777777">
        <w:tc>
          <w:tcPr>
            <w:tcW w:w="1024" w:type="dxa"/>
          </w:tcPr>
          <w:p w14:paraId="456AFC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A09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2F28E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E3FAD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E898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3BAA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5CD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B9A4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поступить на испытания в июле. Задержка</w:t>
            </w:r>
          </w:p>
        </w:tc>
      </w:tr>
      <w:tr w:rsidR="001002C3" w:rsidRPr="007122AB" w14:paraId="70CBF827" w14:textId="77777777">
        <w:tc>
          <w:tcPr>
            <w:tcW w:w="1024" w:type="dxa"/>
          </w:tcPr>
          <w:p w14:paraId="4FEDF2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3B6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2D8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56D2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85E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6C9F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371F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ADD4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была из-за непоставки М-17</w:t>
            </w:r>
          </w:p>
        </w:tc>
      </w:tr>
      <w:tr w:rsidR="001002C3" w:rsidRPr="007122AB" w14:paraId="11062137" w14:textId="77777777">
        <w:tc>
          <w:tcPr>
            <w:tcW w:w="1024" w:type="dxa"/>
          </w:tcPr>
          <w:p w14:paraId="5BFBDE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1D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7D8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83FF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DDB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3FE4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14F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CA32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октября 1931 года.</w:t>
            </w:r>
          </w:p>
        </w:tc>
      </w:tr>
      <w:tr w:rsidR="001002C3" w:rsidRPr="007122AB" w14:paraId="4C8E8A12" w14:textId="77777777">
        <w:tc>
          <w:tcPr>
            <w:tcW w:w="1024" w:type="dxa"/>
          </w:tcPr>
          <w:p w14:paraId="3334E7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И8-Кертис</w:t>
            </w:r>
          </w:p>
        </w:tc>
        <w:tc>
          <w:tcPr>
            <w:tcW w:w="1024" w:type="dxa"/>
          </w:tcPr>
          <w:p w14:paraId="0FAA1B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w:t>
            </w:r>
          </w:p>
        </w:tc>
        <w:tc>
          <w:tcPr>
            <w:tcW w:w="1024" w:type="dxa"/>
          </w:tcPr>
          <w:p w14:paraId="0BF9ED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w:t>
            </w:r>
          </w:p>
        </w:tc>
        <w:tc>
          <w:tcPr>
            <w:tcW w:w="1024" w:type="dxa"/>
          </w:tcPr>
          <w:p w14:paraId="0E1C19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671058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790D1D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1024" w:type="dxa"/>
          </w:tcPr>
          <w:p w14:paraId="073AD3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сент.</w:t>
            </w:r>
          </w:p>
        </w:tc>
        <w:tc>
          <w:tcPr>
            <w:tcW w:w="3430" w:type="dxa"/>
          </w:tcPr>
          <w:p w14:paraId="76DB0C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Производится переделка хвостового оперен.</w:t>
            </w:r>
          </w:p>
        </w:tc>
      </w:tr>
      <w:tr w:rsidR="001002C3" w:rsidRPr="007122AB" w14:paraId="57001792" w14:textId="77777777">
        <w:tc>
          <w:tcPr>
            <w:tcW w:w="1024" w:type="dxa"/>
          </w:tcPr>
          <w:p w14:paraId="1353C3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Конкверор</w:t>
            </w:r>
            <w:proofErr w:type="spellEnd"/>
          </w:p>
        </w:tc>
        <w:tc>
          <w:tcPr>
            <w:tcW w:w="1024" w:type="dxa"/>
          </w:tcPr>
          <w:p w14:paraId="0F6EED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D8F3D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B44E3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6E4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11C3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w:t>
            </w:r>
          </w:p>
        </w:tc>
        <w:tc>
          <w:tcPr>
            <w:tcW w:w="1024" w:type="dxa"/>
          </w:tcPr>
          <w:p w14:paraId="2374EA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574A43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из-за больших давлений на ручку. ЦАГИ</w:t>
            </w:r>
          </w:p>
        </w:tc>
      </w:tr>
      <w:tr w:rsidR="001002C3" w:rsidRPr="007122AB" w14:paraId="79F2235B" w14:textId="77777777">
        <w:tc>
          <w:tcPr>
            <w:tcW w:w="1024" w:type="dxa"/>
          </w:tcPr>
          <w:p w14:paraId="399530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EBC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744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858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283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8F7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FB1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1886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меняет КК на более высотный, полученный</w:t>
            </w:r>
          </w:p>
        </w:tc>
      </w:tr>
      <w:tr w:rsidR="001002C3" w:rsidRPr="007122AB" w14:paraId="4B8E33BD" w14:textId="77777777">
        <w:tc>
          <w:tcPr>
            <w:tcW w:w="1024" w:type="dxa"/>
          </w:tcPr>
          <w:p w14:paraId="59435BD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26EB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1D92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DEB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39F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D36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017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D23D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США. Ставятся тормозные колеса.</w:t>
            </w:r>
          </w:p>
        </w:tc>
      </w:tr>
      <w:tr w:rsidR="001002C3" w:rsidRPr="007122AB" w14:paraId="61B2A371" w14:textId="77777777">
        <w:tc>
          <w:tcPr>
            <w:tcW w:w="1024" w:type="dxa"/>
          </w:tcPr>
          <w:p w14:paraId="2963A4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И7-М-17</w:t>
            </w:r>
          </w:p>
        </w:tc>
        <w:tc>
          <w:tcPr>
            <w:tcW w:w="1024" w:type="dxa"/>
          </w:tcPr>
          <w:p w14:paraId="6E9FA1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w:t>
            </w:r>
          </w:p>
        </w:tc>
        <w:tc>
          <w:tcPr>
            <w:tcW w:w="1024" w:type="dxa"/>
          </w:tcPr>
          <w:p w14:paraId="7D059A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5B0BD3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6FC99A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4471B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12A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F1C2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1 ведет постройку 2-х первых сер.</w:t>
            </w:r>
          </w:p>
        </w:tc>
      </w:tr>
      <w:tr w:rsidR="001002C3" w:rsidRPr="007122AB" w14:paraId="62C91541" w14:textId="77777777">
        <w:tc>
          <w:tcPr>
            <w:tcW w:w="1024" w:type="dxa"/>
          </w:tcPr>
          <w:p w14:paraId="1D350C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Е=7,3</w:t>
            </w:r>
          </w:p>
        </w:tc>
        <w:tc>
          <w:tcPr>
            <w:tcW w:w="1024" w:type="dxa"/>
          </w:tcPr>
          <w:p w14:paraId="1726CA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62174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0C885C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599B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FAD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D1DF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6AA8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 задержан ошибкой в центровке,</w:t>
            </w:r>
          </w:p>
        </w:tc>
      </w:tr>
      <w:tr w:rsidR="001002C3" w:rsidRPr="007122AB" w14:paraId="054F3270" w14:textId="77777777">
        <w:tc>
          <w:tcPr>
            <w:tcW w:w="1024" w:type="dxa"/>
          </w:tcPr>
          <w:p w14:paraId="57413DE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(НД-37С)</w:t>
            </w:r>
          </w:p>
        </w:tc>
        <w:tc>
          <w:tcPr>
            <w:tcW w:w="1024" w:type="dxa"/>
          </w:tcPr>
          <w:p w14:paraId="7CF162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7B5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CD4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D3B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0505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D737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6F99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переноса мотора вперед. Выйдет</w:t>
            </w:r>
          </w:p>
        </w:tc>
      </w:tr>
      <w:tr w:rsidR="001002C3" w:rsidRPr="007122AB" w14:paraId="39F110F5" w14:textId="77777777">
        <w:tc>
          <w:tcPr>
            <w:tcW w:w="1024" w:type="dxa"/>
          </w:tcPr>
          <w:p w14:paraId="4A4E94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D49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193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32BA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CA3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C6E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0ABD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1801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в середине июля</w:t>
            </w:r>
          </w:p>
        </w:tc>
      </w:tr>
      <w:tr w:rsidR="001002C3" w:rsidRPr="007122AB" w14:paraId="11B95D52" w14:textId="77777777">
        <w:tc>
          <w:tcPr>
            <w:tcW w:w="1024" w:type="dxa"/>
          </w:tcPr>
          <w:p w14:paraId="70244E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290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23B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C41C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187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0F3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06D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D67E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7660D7C5" w14:textId="77777777">
        <w:tc>
          <w:tcPr>
            <w:tcW w:w="1024" w:type="dxa"/>
          </w:tcPr>
          <w:p w14:paraId="0F3DCF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1024" w:type="dxa"/>
          </w:tcPr>
          <w:p w14:paraId="515060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138CB6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A14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0D9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6DA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53B8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CDEF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ВОХИМУ продолжает работы по </w:t>
            </w:r>
            <w:proofErr w:type="spellStart"/>
            <w:r w:rsidRPr="007122AB">
              <w:rPr>
                <w:rFonts w:ascii="Times New Roman" w:hAnsi="Times New Roman"/>
                <w:color w:val="000000" w:themeColor="text1"/>
                <w:sz w:val="16"/>
                <w:szCs w:val="16"/>
              </w:rPr>
              <w:t>приспос</w:t>
            </w:r>
            <w:proofErr w:type="spellEnd"/>
            <w:r w:rsidRPr="007122AB">
              <w:rPr>
                <w:rFonts w:ascii="Times New Roman" w:hAnsi="Times New Roman"/>
                <w:color w:val="000000" w:themeColor="text1"/>
                <w:sz w:val="16"/>
                <w:szCs w:val="16"/>
              </w:rPr>
              <w:t>.</w:t>
            </w:r>
          </w:p>
        </w:tc>
      </w:tr>
      <w:tr w:rsidR="001002C3" w:rsidRPr="007122AB" w14:paraId="1C35F605" w14:textId="77777777">
        <w:tc>
          <w:tcPr>
            <w:tcW w:w="1024" w:type="dxa"/>
          </w:tcPr>
          <w:p w14:paraId="7C4299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F944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C5E7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549C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5BC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2FF6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056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C045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Работы не ведутся</w:t>
            </w:r>
          </w:p>
        </w:tc>
      </w:tr>
      <w:tr w:rsidR="001002C3" w:rsidRPr="007122AB" w14:paraId="08DCE3C4" w14:textId="77777777">
        <w:tc>
          <w:tcPr>
            <w:tcW w:w="1024" w:type="dxa"/>
          </w:tcPr>
          <w:p w14:paraId="5D2BE7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024" w:type="dxa"/>
          </w:tcPr>
          <w:p w14:paraId="784D76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4EBF9D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B15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42A4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D7D9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4D5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700E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Передан в БОК ЦАГИ. Работы по доводке</w:t>
            </w:r>
          </w:p>
        </w:tc>
      </w:tr>
      <w:tr w:rsidR="001002C3" w:rsidRPr="007122AB" w14:paraId="0D86996A" w14:textId="77777777">
        <w:tc>
          <w:tcPr>
            <w:tcW w:w="1024" w:type="dxa"/>
          </w:tcPr>
          <w:p w14:paraId="1D1A7C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Горелова</w:t>
            </w:r>
          </w:p>
        </w:tc>
        <w:tc>
          <w:tcPr>
            <w:tcW w:w="1024" w:type="dxa"/>
          </w:tcPr>
          <w:p w14:paraId="1C3240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2F7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5F9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304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983F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BCBF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17BB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закончатся к 1 августа 1931</w:t>
            </w:r>
          </w:p>
        </w:tc>
      </w:tr>
      <w:tr w:rsidR="001002C3" w:rsidRPr="007122AB" w14:paraId="2B6AE836" w14:textId="77777777">
        <w:tc>
          <w:tcPr>
            <w:tcW w:w="1024" w:type="dxa"/>
          </w:tcPr>
          <w:p w14:paraId="7FB81D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мотор</w:t>
            </w:r>
          </w:p>
        </w:tc>
        <w:tc>
          <w:tcPr>
            <w:tcW w:w="1024" w:type="dxa"/>
          </w:tcPr>
          <w:p w14:paraId="5547CE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8A6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47D4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73F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74C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375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811E0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E2CE962" w14:textId="77777777">
        <w:tc>
          <w:tcPr>
            <w:tcW w:w="1024" w:type="dxa"/>
          </w:tcPr>
          <w:p w14:paraId="3F5B336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Вальтер</w:t>
            </w:r>
          </w:p>
        </w:tc>
        <w:tc>
          <w:tcPr>
            <w:tcW w:w="1024" w:type="dxa"/>
          </w:tcPr>
          <w:p w14:paraId="28CF39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389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262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825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CE6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2E8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B148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920B611" w14:textId="77777777">
        <w:tc>
          <w:tcPr>
            <w:tcW w:w="1024" w:type="dxa"/>
          </w:tcPr>
          <w:p w14:paraId="0C0228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c>
          <w:tcPr>
            <w:tcW w:w="1024" w:type="dxa"/>
          </w:tcPr>
          <w:p w14:paraId="49D0C1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85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1BB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6B3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881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4D4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ED77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DE7F347" w14:textId="77777777">
        <w:tc>
          <w:tcPr>
            <w:tcW w:w="1024" w:type="dxa"/>
          </w:tcPr>
          <w:p w14:paraId="56F59A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024" w:type="dxa"/>
          </w:tcPr>
          <w:p w14:paraId="274317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Требования не </w:t>
            </w:r>
            <w:r w:rsidRPr="007122AB">
              <w:rPr>
                <w:rFonts w:ascii="Times New Roman" w:hAnsi="Times New Roman"/>
                <w:color w:val="000000" w:themeColor="text1"/>
                <w:sz w:val="16"/>
                <w:szCs w:val="16"/>
              </w:rPr>
              <w:lastRenderedPageBreak/>
              <w:t>установлены.</w:t>
            </w:r>
          </w:p>
        </w:tc>
        <w:tc>
          <w:tcPr>
            <w:tcW w:w="1024" w:type="dxa"/>
          </w:tcPr>
          <w:p w14:paraId="53F050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37D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349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27D3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D1B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7E43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переданы в БОК ЦАГИ. К доводке</w:t>
            </w:r>
          </w:p>
        </w:tc>
      </w:tr>
      <w:tr w:rsidR="001002C3" w:rsidRPr="007122AB" w14:paraId="13BDDA01" w14:textId="77777777">
        <w:tc>
          <w:tcPr>
            <w:tcW w:w="1024" w:type="dxa"/>
          </w:tcPr>
          <w:p w14:paraId="366CC7A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"Парабола"</w:t>
            </w:r>
          </w:p>
        </w:tc>
        <w:tc>
          <w:tcPr>
            <w:tcW w:w="1024" w:type="dxa"/>
          </w:tcPr>
          <w:p w14:paraId="063347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4515B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5E2A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FABB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8B6B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9DE26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0311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приступлено из-за отсутствия ИТР</w:t>
            </w:r>
          </w:p>
        </w:tc>
      </w:tr>
      <w:tr w:rsidR="001002C3" w:rsidRPr="007122AB" w14:paraId="56DC2208" w14:textId="77777777">
        <w:tc>
          <w:tcPr>
            <w:tcW w:w="1024" w:type="dxa"/>
          </w:tcPr>
          <w:p w14:paraId="75611B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1024" w:type="dxa"/>
          </w:tcPr>
          <w:p w14:paraId="295D4E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05F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688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55A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3D72E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6D4A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E045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0FA09C" w14:textId="77777777">
        <w:tc>
          <w:tcPr>
            <w:tcW w:w="1024" w:type="dxa"/>
          </w:tcPr>
          <w:p w14:paraId="561260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ОСОАВИАХИМ</w:t>
            </w:r>
          </w:p>
        </w:tc>
        <w:tc>
          <w:tcPr>
            <w:tcW w:w="1024" w:type="dxa"/>
          </w:tcPr>
          <w:p w14:paraId="19F9CA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201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743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552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D2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9B2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24C1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E187D9E" w14:textId="77777777">
        <w:tc>
          <w:tcPr>
            <w:tcW w:w="1024" w:type="dxa"/>
          </w:tcPr>
          <w:p w14:paraId="75916F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И4-ЮVI</w:t>
            </w:r>
          </w:p>
        </w:tc>
        <w:tc>
          <w:tcPr>
            <w:tcW w:w="1024" w:type="dxa"/>
          </w:tcPr>
          <w:p w14:paraId="675DC1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12E1AA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612F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06B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290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6D9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5885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заканчивает переделку самолета.</w:t>
            </w:r>
          </w:p>
        </w:tc>
      </w:tr>
      <w:tr w:rsidR="001002C3" w:rsidRPr="007122AB" w14:paraId="4D391872" w14:textId="77777777">
        <w:tc>
          <w:tcPr>
            <w:tcW w:w="1024" w:type="dxa"/>
          </w:tcPr>
          <w:p w14:paraId="3C9800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моноплан</w:t>
            </w:r>
          </w:p>
        </w:tc>
        <w:tc>
          <w:tcPr>
            <w:tcW w:w="1024" w:type="dxa"/>
          </w:tcPr>
          <w:p w14:paraId="2E4F4A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F9A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D0A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854A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4EE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F2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39031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над вариантами с разрезными</w:t>
            </w:r>
          </w:p>
        </w:tc>
      </w:tr>
      <w:tr w:rsidR="001002C3" w:rsidRPr="007122AB" w14:paraId="7E22760D" w14:textId="77777777">
        <w:tc>
          <w:tcPr>
            <w:tcW w:w="1024" w:type="dxa"/>
          </w:tcPr>
          <w:p w14:paraId="226BAE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17FEEE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1616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97A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EB8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B0D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4BBB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264BF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крыльями, срок - 10 августа 1931 для</w:t>
            </w:r>
          </w:p>
        </w:tc>
      </w:tr>
      <w:tr w:rsidR="001002C3" w:rsidRPr="007122AB" w14:paraId="750FF009" w14:textId="77777777">
        <w:tc>
          <w:tcPr>
            <w:tcW w:w="1024" w:type="dxa"/>
          </w:tcPr>
          <w:p w14:paraId="0B17C3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59C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9C0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18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C50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2E4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EAA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6F18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метал. крыла и 25 сентября - для</w:t>
            </w:r>
          </w:p>
        </w:tc>
      </w:tr>
      <w:tr w:rsidR="001002C3" w:rsidRPr="007122AB" w14:paraId="6E959807" w14:textId="77777777">
        <w:tc>
          <w:tcPr>
            <w:tcW w:w="1024" w:type="dxa"/>
          </w:tcPr>
          <w:p w14:paraId="7F7881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E06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8D96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5987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5C6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B89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74E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BD34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деревянного</w:t>
            </w:r>
          </w:p>
        </w:tc>
      </w:tr>
      <w:tr w:rsidR="001002C3" w:rsidRPr="007122AB" w14:paraId="733EA5BD" w14:textId="77777777">
        <w:tc>
          <w:tcPr>
            <w:tcW w:w="1024" w:type="dxa"/>
          </w:tcPr>
          <w:p w14:paraId="7BF635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1024" w:type="dxa"/>
          </w:tcPr>
          <w:p w14:paraId="2F5F60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186/0</w:t>
            </w:r>
          </w:p>
        </w:tc>
        <w:tc>
          <w:tcPr>
            <w:tcW w:w="1024" w:type="dxa"/>
          </w:tcPr>
          <w:p w14:paraId="78FBD68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w:t>
            </w:r>
          </w:p>
        </w:tc>
        <w:tc>
          <w:tcPr>
            <w:tcW w:w="1024" w:type="dxa"/>
          </w:tcPr>
          <w:p w14:paraId="706104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3520</w:t>
            </w:r>
          </w:p>
        </w:tc>
        <w:tc>
          <w:tcPr>
            <w:tcW w:w="1024" w:type="dxa"/>
          </w:tcPr>
          <w:p w14:paraId="54FA7D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спарен.</w:t>
            </w:r>
          </w:p>
        </w:tc>
        <w:tc>
          <w:tcPr>
            <w:tcW w:w="1024" w:type="dxa"/>
          </w:tcPr>
          <w:p w14:paraId="28BEFD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21F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7D62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Производятся испытания в Севастополе на</w:t>
            </w:r>
          </w:p>
        </w:tc>
      </w:tr>
      <w:tr w:rsidR="001002C3" w:rsidRPr="007122AB" w14:paraId="5850079B" w14:textId="77777777">
        <w:tc>
          <w:tcPr>
            <w:tcW w:w="1024" w:type="dxa"/>
          </w:tcPr>
          <w:p w14:paraId="456934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установлен.</w:t>
            </w:r>
          </w:p>
        </w:tc>
        <w:tc>
          <w:tcPr>
            <w:tcW w:w="1024" w:type="dxa"/>
          </w:tcPr>
          <w:p w14:paraId="700761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644D5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AC76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5B4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установки</w:t>
            </w:r>
          </w:p>
        </w:tc>
        <w:tc>
          <w:tcPr>
            <w:tcW w:w="1024" w:type="dxa"/>
          </w:tcPr>
          <w:p w14:paraId="3AF363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7BB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2AB43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поплавках Шорта. Окончание - к 10 августа.</w:t>
            </w:r>
          </w:p>
        </w:tc>
      </w:tr>
      <w:tr w:rsidR="001002C3" w:rsidRPr="007122AB" w14:paraId="102FE7C3" w14:textId="77777777">
        <w:tc>
          <w:tcPr>
            <w:tcW w:w="1024" w:type="dxa"/>
          </w:tcPr>
          <w:p w14:paraId="1140A1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поплавки</w:t>
            </w:r>
          </w:p>
        </w:tc>
        <w:tc>
          <w:tcPr>
            <w:tcW w:w="1024" w:type="dxa"/>
          </w:tcPr>
          <w:p w14:paraId="778242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37CC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20D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C52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w:t>
            </w:r>
          </w:p>
        </w:tc>
        <w:tc>
          <w:tcPr>
            <w:tcW w:w="1024" w:type="dxa"/>
          </w:tcPr>
          <w:p w14:paraId="17F1FA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3C8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F06A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Задержка из-за дефектов М-17, </w:t>
            </w: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переб</w:t>
            </w:r>
            <w:proofErr w:type="spellEnd"/>
            <w:r w:rsidRPr="007122AB">
              <w:rPr>
                <w:rFonts w:ascii="Times New Roman" w:hAnsi="Times New Roman"/>
                <w:color w:val="000000" w:themeColor="text1"/>
                <w:sz w:val="16"/>
                <w:szCs w:val="16"/>
              </w:rPr>
              <w:t>.</w:t>
            </w:r>
          </w:p>
        </w:tc>
      </w:tr>
      <w:tr w:rsidR="001002C3" w:rsidRPr="007122AB" w14:paraId="74996C51" w14:textId="77777777">
        <w:tc>
          <w:tcPr>
            <w:tcW w:w="1024" w:type="dxa"/>
          </w:tcPr>
          <w:p w14:paraId="18DAE9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070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A55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A29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CF4D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A8C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004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CC67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предв</w:t>
            </w:r>
            <w:proofErr w:type="spellEnd"/>
            <w:r w:rsidRPr="007122AB">
              <w:rPr>
                <w:rFonts w:ascii="Times New Roman" w:hAnsi="Times New Roman"/>
                <w:color w:val="000000" w:themeColor="text1"/>
                <w:sz w:val="16"/>
                <w:szCs w:val="16"/>
              </w:rPr>
              <w:t xml:space="preserve">. сведениям поведение - </w:t>
            </w:r>
            <w:proofErr w:type="spellStart"/>
            <w:r w:rsidRPr="007122AB">
              <w:rPr>
                <w:rFonts w:ascii="Times New Roman" w:hAnsi="Times New Roman"/>
                <w:color w:val="000000" w:themeColor="text1"/>
                <w:sz w:val="16"/>
                <w:szCs w:val="16"/>
              </w:rPr>
              <w:t>удовлетв</w:t>
            </w:r>
            <w:proofErr w:type="spellEnd"/>
            <w:r w:rsidRPr="007122AB">
              <w:rPr>
                <w:rFonts w:ascii="Times New Roman" w:hAnsi="Times New Roman"/>
                <w:color w:val="000000" w:themeColor="text1"/>
                <w:sz w:val="16"/>
                <w:szCs w:val="16"/>
              </w:rPr>
              <w:t>.</w:t>
            </w:r>
          </w:p>
        </w:tc>
      </w:tr>
      <w:tr w:rsidR="001002C3" w:rsidRPr="007122AB" w14:paraId="07559446" w14:textId="77777777">
        <w:tc>
          <w:tcPr>
            <w:tcW w:w="1024" w:type="dxa"/>
          </w:tcPr>
          <w:p w14:paraId="3CDD4F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A80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73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FD3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D61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CBD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DF9A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7F07A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осталось испытать на увеличенной</w:t>
            </w:r>
          </w:p>
        </w:tc>
      </w:tr>
      <w:tr w:rsidR="001002C3" w:rsidRPr="007122AB" w14:paraId="5E329635" w14:textId="77777777">
        <w:tc>
          <w:tcPr>
            <w:tcW w:w="1024" w:type="dxa"/>
          </w:tcPr>
          <w:p w14:paraId="7925E5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E3F4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653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EEA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48B5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2CC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124A7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7C010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волне с перегрузкой.</w:t>
            </w:r>
          </w:p>
        </w:tc>
      </w:tr>
      <w:tr w:rsidR="001002C3" w:rsidRPr="007122AB" w14:paraId="2529CDAC" w14:textId="77777777">
        <w:tc>
          <w:tcPr>
            <w:tcW w:w="1024" w:type="dxa"/>
          </w:tcPr>
          <w:p w14:paraId="55B950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5842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F56F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CA0D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69B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D85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3FC4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7387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Сложности с изготовлением поплавков на 31</w:t>
            </w:r>
          </w:p>
        </w:tc>
      </w:tr>
      <w:tr w:rsidR="001002C3" w:rsidRPr="007122AB" w14:paraId="08A20394" w14:textId="77777777">
        <w:tc>
          <w:tcPr>
            <w:tcW w:w="1024" w:type="dxa"/>
          </w:tcPr>
          <w:p w14:paraId="4FC40BB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1455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EE63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6389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8718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910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8D91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173D9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заводе. Первая пара - к январю 1932, а ост.</w:t>
            </w:r>
          </w:p>
        </w:tc>
      </w:tr>
      <w:tr w:rsidR="001002C3" w:rsidRPr="007122AB" w14:paraId="11120EA4" w14:textId="77777777">
        <w:tc>
          <w:tcPr>
            <w:tcW w:w="1024" w:type="dxa"/>
          </w:tcPr>
          <w:p w14:paraId="4A6FE9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658D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E9FCC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2BD7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BB5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79A8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1085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D9A1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 к июлю 1932 из-за отсутствия кадров. 24</w:t>
            </w:r>
          </w:p>
        </w:tc>
      </w:tr>
      <w:tr w:rsidR="001002C3" w:rsidRPr="007122AB" w14:paraId="3CEF9554" w14:textId="77777777">
        <w:tc>
          <w:tcPr>
            <w:tcW w:w="1024" w:type="dxa"/>
          </w:tcPr>
          <w:p w14:paraId="7CC866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1983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C64E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CB46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BD9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8759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2F6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78D0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июля намечен перегон в Таганрог</w:t>
            </w:r>
          </w:p>
        </w:tc>
      </w:tr>
      <w:tr w:rsidR="001002C3" w:rsidRPr="007122AB" w14:paraId="73A0B121" w14:textId="77777777">
        <w:tc>
          <w:tcPr>
            <w:tcW w:w="1024" w:type="dxa"/>
          </w:tcPr>
          <w:p w14:paraId="4E4082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024" w:type="dxa"/>
          </w:tcPr>
          <w:p w14:paraId="1BD07BD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C4E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8E1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CA6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0A8F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28AE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3430" w:type="dxa"/>
          </w:tcPr>
          <w:p w14:paraId="3838BC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апреля в намеченный срок производством</w:t>
            </w:r>
          </w:p>
        </w:tc>
      </w:tr>
      <w:tr w:rsidR="001002C3" w:rsidRPr="007122AB" w14:paraId="435A2F5D" w14:textId="77777777">
        <w:tc>
          <w:tcPr>
            <w:tcW w:w="1024" w:type="dxa"/>
          </w:tcPr>
          <w:p w14:paraId="76B826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поплавках</w:t>
            </w:r>
          </w:p>
        </w:tc>
        <w:tc>
          <w:tcPr>
            <w:tcW w:w="1024" w:type="dxa"/>
          </w:tcPr>
          <w:p w14:paraId="11AB57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C01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4608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F6DE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C33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D42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210A36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незакончен из-за недостатка внимания</w:t>
            </w:r>
          </w:p>
        </w:tc>
      </w:tr>
      <w:tr w:rsidR="001002C3" w:rsidRPr="007122AB" w14:paraId="3D51B2CD" w14:textId="77777777">
        <w:tc>
          <w:tcPr>
            <w:tcW w:w="1024" w:type="dxa"/>
          </w:tcPr>
          <w:p w14:paraId="75D7E7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5A5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E76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467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5CA6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6041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CF2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8C02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 стороны ЦКБ. закончены </w:t>
            </w:r>
            <w:proofErr w:type="spellStart"/>
            <w:r w:rsidRPr="007122AB">
              <w:rPr>
                <w:rFonts w:ascii="Times New Roman" w:hAnsi="Times New Roman"/>
                <w:color w:val="000000" w:themeColor="text1"/>
                <w:sz w:val="16"/>
                <w:szCs w:val="16"/>
              </w:rPr>
              <w:t>конструктвные</w:t>
            </w:r>
            <w:proofErr w:type="spellEnd"/>
          </w:p>
        </w:tc>
      </w:tr>
      <w:tr w:rsidR="001002C3" w:rsidRPr="007122AB" w14:paraId="33AFDD4B" w14:textId="77777777">
        <w:tc>
          <w:tcPr>
            <w:tcW w:w="1024" w:type="dxa"/>
          </w:tcPr>
          <w:p w14:paraId="024527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59E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A903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6A97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67C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D9C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DAF3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07A0C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чертежи и сданы в производство. Пр-во</w:t>
            </w:r>
          </w:p>
        </w:tc>
      </w:tr>
      <w:tr w:rsidR="001002C3" w:rsidRPr="007122AB" w14:paraId="54284931" w14:textId="77777777">
        <w:tc>
          <w:tcPr>
            <w:tcW w:w="1024" w:type="dxa"/>
          </w:tcPr>
          <w:p w14:paraId="7CC9486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BA6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086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20B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2795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1DB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E9C1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278BB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поплавков сдано на завод 28. Срок гот.</w:t>
            </w:r>
          </w:p>
        </w:tc>
      </w:tr>
      <w:tr w:rsidR="001002C3" w:rsidRPr="007122AB" w14:paraId="23D62270" w14:textId="77777777">
        <w:tc>
          <w:tcPr>
            <w:tcW w:w="1024" w:type="dxa"/>
          </w:tcPr>
          <w:p w14:paraId="288CC8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203D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8B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90E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DDD54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FD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C83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B8E9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w:t>
            </w:r>
          </w:p>
        </w:tc>
      </w:tr>
      <w:tr w:rsidR="001002C3" w:rsidRPr="007122AB" w14:paraId="0EBA9DF9" w14:textId="77777777">
        <w:tc>
          <w:tcPr>
            <w:tcW w:w="1024" w:type="dxa"/>
          </w:tcPr>
          <w:p w14:paraId="68F3FA6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1-ВГ</w:t>
            </w:r>
          </w:p>
        </w:tc>
        <w:tc>
          <w:tcPr>
            <w:tcW w:w="1024" w:type="dxa"/>
          </w:tcPr>
          <w:p w14:paraId="72DB1C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AE8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6DC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B1B7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8FA7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EAD4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4B7B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Совершил 2 удачных полета до 20-25 м, при</w:t>
            </w:r>
          </w:p>
        </w:tc>
      </w:tr>
      <w:tr w:rsidR="001002C3" w:rsidRPr="007122AB" w14:paraId="1A6ED165" w14:textId="77777777">
        <w:tc>
          <w:tcPr>
            <w:tcW w:w="1024" w:type="dxa"/>
          </w:tcPr>
          <w:p w14:paraId="284B0D6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w:t>
            </w:r>
          </w:p>
        </w:tc>
        <w:tc>
          <w:tcPr>
            <w:tcW w:w="1024" w:type="dxa"/>
          </w:tcPr>
          <w:p w14:paraId="624D3D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5A2D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8615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313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E03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50FC8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F40B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посадке поломал лопасти и фюзеляж. Ведется</w:t>
            </w:r>
          </w:p>
        </w:tc>
      </w:tr>
      <w:tr w:rsidR="001002C3" w:rsidRPr="007122AB" w14:paraId="3B53394C" w14:textId="77777777">
        <w:tc>
          <w:tcPr>
            <w:tcW w:w="1024" w:type="dxa"/>
          </w:tcPr>
          <w:p w14:paraId="2863C2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ADC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ABE2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E40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612A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D8F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885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FE000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срочный ремонт</w:t>
            </w:r>
          </w:p>
        </w:tc>
      </w:tr>
      <w:tr w:rsidR="001002C3" w:rsidRPr="007122AB" w14:paraId="39E12C9B" w14:textId="77777777">
        <w:tc>
          <w:tcPr>
            <w:tcW w:w="1024" w:type="dxa"/>
          </w:tcPr>
          <w:p w14:paraId="02C9FA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894A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797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D8B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6F4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13F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FC23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E40D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Квитко</w:t>
            </w:r>
          </w:p>
        </w:tc>
      </w:tr>
      <w:tr w:rsidR="001002C3" w:rsidRPr="007122AB" w14:paraId="3E012B08" w14:textId="77777777">
        <w:tc>
          <w:tcPr>
            <w:tcW w:w="1024" w:type="dxa"/>
          </w:tcPr>
          <w:p w14:paraId="0E791A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Вертолет</w:t>
            </w:r>
          </w:p>
        </w:tc>
        <w:tc>
          <w:tcPr>
            <w:tcW w:w="1024" w:type="dxa"/>
          </w:tcPr>
          <w:p w14:paraId="56F162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A1FF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887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B5A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D18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3D0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1E6B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Установлен мотор Титан. С новым мотором</w:t>
            </w:r>
          </w:p>
        </w:tc>
      </w:tr>
      <w:tr w:rsidR="001002C3" w:rsidRPr="007122AB" w14:paraId="31538FD3" w14:textId="77777777">
        <w:tc>
          <w:tcPr>
            <w:tcW w:w="1024" w:type="dxa"/>
          </w:tcPr>
          <w:p w14:paraId="4DDC9B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w:t>
            </w:r>
          </w:p>
        </w:tc>
        <w:tc>
          <w:tcPr>
            <w:tcW w:w="1024" w:type="dxa"/>
          </w:tcPr>
          <w:p w14:paraId="2342EC4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6E3C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A82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EF83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843F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D3C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775D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 ряд полетов в р-не аэродрома,</w:t>
            </w:r>
          </w:p>
        </w:tc>
      </w:tr>
      <w:tr w:rsidR="001002C3" w:rsidRPr="007122AB" w14:paraId="3992A33F" w14:textId="77777777">
        <w:tc>
          <w:tcPr>
            <w:tcW w:w="1024" w:type="dxa"/>
          </w:tcPr>
          <w:p w14:paraId="6DC150A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4080B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7E3F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09C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F94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F70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1102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5478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достигнута высота 100 м. Работы перед.</w:t>
            </w:r>
          </w:p>
        </w:tc>
      </w:tr>
      <w:tr w:rsidR="001002C3" w:rsidRPr="007122AB" w14:paraId="4C61BD76" w14:textId="77777777">
        <w:tc>
          <w:tcPr>
            <w:tcW w:w="1024" w:type="dxa"/>
          </w:tcPr>
          <w:p w14:paraId="498D86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6E85F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632E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AC21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2E5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603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DDD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7F72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БОК ЦАГИ</w:t>
            </w:r>
          </w:p>
        </w:tc>
      </w:tr>
      <w:tr w:rsidR="001002C3" w:rsidRPr="007122AB" w14:paraId="31750E30" w14:textId="77777777">
        <w:tc>
          <w:tcPr>
            <w:tcW w:w="1024" w:type="dxa"/>
          </w:tcPr>
          <w:p w14:paraId="5CAE3A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A2E6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27F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8F75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3083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F4DF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F06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A8DE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Кравцов.</w:t>
            </w:r>
          </w:p>
        </w:tc>
      </w:tr>
      <w:tr w:rsidR="001002C3" w:rsidRPr="007122AB" w14:paraId="32B90FA0" w14:textId="77777777">
        <w:tc>
          <w:tcPr>
            <w:tcW w:w="1024" w:type="dxa"/>
          </w:tcPr>
          <w:p w14:paraId="72AE1D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МДР2-2БМВVI</w:t>
            </w:r>
          </w:p>
        </w:tc>
        <w:tc>
          <w:tcPr>
            <w:tcW w:w="1024" w:type="dxa"/>
          </w:tcPr>
          <w:p w14:paraId="1C9B99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ном. 118</w:t>
            </w:r>
          </w:p>
        </w:tc>
        <w:tc>
          <w:tcPr>
            <w:tcW w:w="1024" w:type="dxa"/>
          </w:tcPr>
          <w:p w14:paraId="186984E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39,75 м/</w:t>
            </w:r>
          </w:p>
        </w:tc>
        <w:tc>
          <w:tcPr>
            <w:tcW w:w="1024" w:type="dxa"/>
          </w:tcPr>
          <w:p w14:paraId="231D5E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3330</w:t>
            </w:r>
          </w:p>
        </w:tc>
        <w:tc>
          <w:tcPr>
            <w:tcW w:w="1024" w:type="dxa"/>
          </w:tcPr>
          <w:p w14:paraId="38B7808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72CA52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w:t>
            </w:r>
          </w:p>
        </w:tc>
        <w:tc>
          <w:tcPr>
            <w:tcW w:w="1024" w:type="dxa"/>
          </w:tcPr>
          <w:p w14:paraId="56C306B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12E693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в НИИ полностью не закончены</w:t>
            </w:r>
          </w:p>
        </w:tc>
      </w:tr>
      <w:tr w:rsidR="001002C3" w:rsidRPr="007122AB" w14:paraId="192F6618" w14:textId="77777777">
        <w:tc>
          <w:tcPr>
            <w:tcW w:w="1024" w:type="dxa"/>
          </w:tcPr>
          <w:p w14:paraId="00994C1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Е-6</w:t>
            </w:r>
          </w:p>
        </w:tc>
        <w:tc>
          <w:tcPr>
            <w:tcW w:w="1024" w:type="dxa"/>
          </w:tcPr>
          <w:p w14:paraId="1407BA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78EC06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6EF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710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в</w:t>
            </w:r>
          </w:p>
        </w:tc>
        <w:tc>
          <w:tcPr>
            <w:tcW w:w="1024" w:type="dxa"/>
          </w:tcPr>
          <w:p w14:paraId="48A44F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BC7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27844A9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т.к. </w:t>
            </w:r>
            <w:proofErr w:type="spellStart"/>
            <w:r w:rsidRPr="007122AB">
              <w:rPr>
                <w:rFonts w:ascii="Times New Roman" w:hAnsi="Times New Roman"/>
                <w:color w:val="000000" w:themeColor="text1"/>
                <w:sz w:val="16"/>
                <w:szCs w:val="16"/>
              </w:rPr>
              <w:t>подк</w:t>
            </w:r>
            <w:proofErr w:type="spellEnd"/>
            <w:r w:rsidRPr="007122AB">
              <w:rPr>
                <w:rFonts w:ascii="Times New Roman" w:hAnsi="Times New Roman"/>
                <w:color w:val="000000" w:themeColor="text1"/>
                <w:sz w:val="16"/>
                <w:szCs w:val="16"/>
              </w:rPr>
              <w:t xml:space="preserve">. поплавки оказались </w:t>
            </w:r>
            <w:proofErr w:type="spellStart"/>
            <w:r w:rsidRPr="007122AB">
              <w:rPr>
                <w:rFonts w:ascii="Times New Roman" w:hAnsi="Times New Roman"/>
                <w:color w:val="000000" w:themeColor="text1"/>
                <w:sz w:val="16"/>
                <w:szCs w:val="16"/>
              </w:rPr>
              <w:t>недост</w:t>
            </w:r>
            <w:proofErr w:type="spellEnd"/>
            <w:r w:rsidRPr="007122AB">
              <w:rPr>
                <w:rFonts w:ascii="Times New Roman" w:hAnsi="Times New Roman"/>
                <w:color w:val="000000" w:themeColor="text1"/>
                <w:sz w:val="16"/>
                <w:szCs w:val="16"/>
              </w:rPr>
              <w:t>.</w:t>
            </w:r>
          </w:p>
        </w:tc>
      </w:tr>
      <w:tr w:rsidR="001002C3" w:rsidRPr="007122AB" w14:paraId="4DB13ADD" w14:textId="77777777">
        <w:tc>
          <w:tcPr>
            <w:tcW w:w="1024" w:type="dxa"/>
          </w:tcPr>
          <w:p w14:paraId="4A6C60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024" w:type="dxa"/>
          </w:tcPr>
          <w:p w14:paraId="3AB5D7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3C9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D6F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8347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3E42389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1AD8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B08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объема. Решается вопрос о серийной</w:t>
            </w:r>
          </w:p>
        </w:tc>
      </w:tr>
      <w:tr w:rsidR="001002C3" w:rsidRPr="007122AB" w14:paraId="6577399A" w14:textId="77777777">
        <w:tc>
          <w:tcPr>
            <w:tcW w:w="1024" w:type="dxa"/>
          </w:tcPr>
          <w:p w14:paraId="232C04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5A8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11A3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6EF0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C5A2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перегруз.</w:t>
            </w:r>
          </w:p>
        </w:tc>
        <w:tc>
          <w:tcPr>
            <w:tcW w:w="1024" w:type="dxa"/>
          </w:tcPr>
          <w:p w14:paraId="105B3A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5B9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1818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постройке. При принятии на вооружение</w:t>
            </w:r>
          </w:p>
        </w:tc>
      </w:tr>
      <w:tr w:rsidR="001002C3" w:rsidRPr="007122AB" w14:paraId="3344F987" w14:textId="77777777">
        <w:tc>
          <w:tcPr>
            <w:tcW w:w="1024" w:type="dxa"/>
          </w:tcPr>
          <w:p w14:paraId="29E9AED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595E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35A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93E2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886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4х250 или</w:t>
            </w:r>
          </w:p>
        </w:tc>
        <w:tc>
          <w:tcPr>
            <w:tcW w:w="1024" w:type="dxa"/>
          </w:tcPr>
          <w:p w14:paraId="742438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780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FE9FC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проведено снижение крыла для</w:t>
            </w:r>
          </w:p>
        </w:tc>
      </w:tr>
      <w:tr w:rsidR="001002C3" w:rsidRPr="007122AB" w14:paraId="44975A90" w14:textId="77777777">
        <w:tc>
          <w:tcPr>
            <w:tcW w:w="1024" w:type="dxa"/>
          </w:tcPr>
          <w:p w14:paraId="78256E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FE4A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F29DC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B91F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C87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2х250 и</w:t>
            </w:r>
          </w:p>
        </w:tc>
        <w:tc>
          <w:tcPr>
            <w:tcW w:w="1024" w:type="dxa"/>
          </w:tcPr>
          <w:p w14:paraId="1F2DDFE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4460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2FB74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улучшения обзора пилота при полетах</w:t>
            </w:r>
          </w:p>
        </w:tc>
      </w:tr>
      <w:tr w:rsidR="001002C3" w:rsidRPr="007122AB" w14:paraId="06E75FA9" w14:textId="77777777">
        <w:tc>
          <w:tcPr>
            <w:tcW w:w="1024" w:type="dxa"/>
          </w:tcPr>
          <w:p w14:paraId="7D7A277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9FD2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821FC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0A08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AB1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4х100</w:t>
            </w:r>
          </w:p>
        </w:tc>
        <w:tc>
          <w:tcPr>
            <w:tcW w:w="1024" w:type="dxa"/>
          </w:tcPr>
          <w:p w14:paraId="2FB5B9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13F1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FF6C3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строю. </w:t>
            </w:r>
            <w:proofErr w:type="spellStart"/>
            <w:r w:rsidRPr="007122AB">
              <w:rPr>
                <w:rFonts w:ascii="Times New Roman" w:hAnsi="Times New Roman"/>
                <w:color w:val="000000" w:themeColor="text1"/>
                <w:sz w:val="16"/>
                <w:szCs w:val="16"/>
              </w:rPr>
              <w:t>Изгот</w:t>
            </w:r>
            <w:proofErr w:type="spellEnd"/>
            <w:r w:rsidRPr="007122AB">
              <w:rPr>
                <w:rFonts w:ascii="Times New Roman" w:hAnsi="Times New Roman"/>
                <w:color w:val="000000" w:themeColor="text1"/>
                <w:sz w:val="16"/>
                <w:szCs w:val="16"/>
              </w:rPr>
              <w:t xml:space="preserve">. новые </w:t>
            </w:r>
            <w:proofErr w:type="spellStart"/>
            <w:r w:rsidRPr="007122AB">
              <w:rPr>
                <w:rFonts w:ascii="Times New Roman" w:hAnsi="Times New Roman"/>
                <w:color w:val="000000" w:themeColor="text1"/>
                <w:sz w:val="16"/>
                <w:szCs w:val="16"/>
              </w:rPr>
              <w:t>подкр</w:t>
            </w:r>
            <w:proofErr w:type="spellEnd"/>
            <w:r w:rsidRPr="007122AB">
              <w:rPr>
                <w:rFonts w:ascii="Times New Roman" w:hAnsi="Times New Roman"/>
                <w:color w:val="000000" w:themeColor="text1"/>
                <w:sz w:val="16"/>
                <w:szCs w:val="16"/>
              </w:rPr>
              <w:t>. поплавки.</w:t>
            </w:r>
          </w:p>
        </w:tc>
      </w:tr>
      <w:tr w:rsidR="001002C3" w:rsidRPr="007122AB" w14:paraId="5C5263B3" w14:textId="77777777">
        <w:tc>
          <w:tcPr>
            <w:tcW w:w="1024" w:type="dxa"/>
          </w:tcPr>
          <w:p w14:paraId="754D9C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7AC17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5D6ED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107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27B8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9C0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578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B6FE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4223B2BF" w14:textId="77777777">
        <w:tc>
          <w:tcPr>
            <w:tcW w:w="1024" w:type="dxa"/>
          </w:tcPr>
          <w:p w14:paraId="5FC7B5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МУ3-М11</w:t>
            </w:r>
          </w:p>
        </w:tc>
        <w:tc>
          <w:tcPr>
            <w:tcW w:w="1024" w:type="dxa"/>
          </w:tcPr>
          <w:p w14:paraId="0B788F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w:t>
            </w:r>
          </w:p>
        </w:tc>
        <w:tc>
          <w:tcPr>
            <w:tcW w:w="1024" w:type="dxa"/>
          </w:tcPr>
          <w:p w14:paraId="2B2DD5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c>
          <w:tcPr>
            <w:tcW w:w="1024" w:type="dxa"/>
          </w:tcPr>
          <w:p w14:paraId="18569D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4DE010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38B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5F5C4C4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72E7D00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Заканчивается постройкой на 23 - к 15</w:t>
            </w:r>
          </w:p>
        </w:tc>
      </w:tr>
      <w:tr w:rsidR="001002C3" w:rsidRPr="007122AB" w14:paraId="0D4F558B" w14:textId="77777777">
        <w:tc>
          <w:tcPr>
            <w:tcW w:w="1024" w:type="dxa"/>
          </w:tcPr>
          <w:p w14:paraId="6E8D10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34CFD9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24D01A3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8B89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9F4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7104F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1024" w:type="dxa"/>
          </w:tcPr>
          <w:p w14:paraId="66D721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663EAB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июля. В срок не смогли из-за прорывов</w:t>
            </w:r>
          </w:p>
        </w:tc>
      </w:tr>
      <w:tr w:rsidR="001002C3" w:rsidRPr="007122AB" w14:paraId="5A31E762" w14:textId="77777777">
        <w:tc>
          <w:tcPr>
            <w:tcW w:w="1024" w:type="dxa"/>
          </w:tcPr>
          <w:p w14:paraId="37916D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А1-М11</w:t>
            </w:r>
          </w:p>
        </w:tc>
        <w:tc>
          <w:tcPr>
            <w:tcW w:w="1024" w:type="dxa"/>
          </w:tcPr>
          <w:p w14:paraId="612FC1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146/137/</w:t>
            </w:r>
          </w:p>
        </w:tc>
        <w:tc>
          <w:tcPr>
            <w:tcW w:w="1024" w:type="dxa"/>
          </w:tcPr>
          <w:p w14:paraId="0027B04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33/50,5/</w:t>
            </w:r>
          </w:p>
        </w:tc>
        <w:tc>
          <w:tcPr>
            <w:tcW w:w="1024" w:type="dxa"/>
          </w:tcPr>
          <w:p w14:paraId="0DA22D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3680/</w:t>
            </w:r>
          </w:p>
        </w:tc>
        <w:tc>
          <w:tcPr>
            <w:tcW w:w="1024" w:type="dxa"/>
          </w:tcPr>
          <w:p w14:paraId="21BDDFF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w:t>
            </w:r>
          </w:p>
        </w:tc>
        <w:tc>
          <w:tcPr>
            <w:tcW w:w="1024" w:type="dxa"/>
          </w:tcPr>
          <w:p w14:paraId="0C460A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761991D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FC115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 и испытан в НИИ ВО ГВФ. Обр.</w:t>
            </w:r>
          </w:p>
        </w:tc>
      </w:tr>
      <w:tr w:rsidR="001002C3" w:rsidRPr="007122AB" w14:paraId="1C3857D2" w14:textId="77777777">
        <w:tc>
          <w:tcPr>
            <w:tcW w:w="1024" w:type="dxa"/>
          </w:tcPr>
          <w:p w14:paraId="47867D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D9AF44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0C9AEE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EC493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w:t>
            </w:r>
          </w:p>
        </w:tc>
        <w:tc>
          <w:tcPr>
            <w:tcW w:w="1024" w:type="dxa"/>
          </w:tcPr>
          <w:p w14:paraId="465DADD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E1EEB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1024" w:type="dxa"/>
          </w:tcPr>
          <w:p w14:paraId="00908AE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2D62E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испытаний еще не закончена. По </w:t>
            </w:r>
            <w:proofErr w:type="spellStart"/>
            <w:r w:rsidRPr="007122AB">
              <w:rPr>
                <w:rFonts w:ascii="Times New Roman" w:hAnsi="Times New Roman"/>
                <w:color w:val="000000" w:themeColor="text1"/>
                <w:sz w:val="16"/>
                <w:szCs w:val="16"/>
              </w:rPr>
              <w:t>предвар</w:t>
            </w:r>
            <w:proofErr w:type="spellEnd"/>
            <w:r w:rsidRPr="007122AB">
              <w:rPr>
                <w:rFonts w:ascii="Times New Roman" w:hAnsi="Times New Roman"/>
                <w:color w:val="000000" w:themeColor="text1"/>
                <w:sz w:val="16"/>
                <w:szCs w:val="16"/>
              </w:rPr>
              <w:t>.</w:t>
            </w:r>
          </w:p>
        </w:tc>
      </w:tr>
      <w:tr w:rsidR="001002C3" w:rsidRPr="007122AB" w14:paraId="0E2D57FB" w14:textId="77777777">
        <w:tc>
          <w:tcPr>
            <w:tcW w:w="1024" w:type="dxa"/>
          </w:tcPr>
          <w:p w14:paraId="388DC3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944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95B3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E651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9F2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C314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BEB0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6545A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данным результаты - удовлетворительные</w:t>
            </w:r>
          </w:p>
        </w:tc>
      </w:tr>
      <w:tr w:rsidR="001002C3" w:rsidRPr="007122AB" w14:paraId="431265DA" w14:textId="77777777">
        <w:tc>
          <w:tcPr>
            <w:tcW w:w="1024" w:type="dxa"/>
          </w:tcPr>
          <w:p w14:paraId="7C95030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МТБ1-2БМВVI</w:t>
            </w:r>
          </w:p>
        </w:tc>
        <w:tc>
          <w:tcPr>
            <w:tcW w:w="1024" w:type="dxa"/>
          </w:tcPr>
          <w:p w14:paraId="7BA25BB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170/180/</w:t>
            </w:r>
          </w:p>
        </w:tc>
        <w:tc>
          <w:tcPr>
            <w:tcW w:w="1024" w:type="dxa"/>
          </w:tcPr>
          <w:p w14:paraId="1EA567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w:t>
            </w:r>
          </w:p>
        </w:tc>
        <w:tc>
          <w:tcPr>
            <w:tcW w:w="1024" w:type="dxa"/>
          </w:tcPr>
          <w:p w14:paraId="4A845CF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52EFE1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7A8D1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027C8A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нояб</w:t>
            </w:r>
            <w:proofErr w:type="spellEnd"/>
            <w:r w:rsidRPr="007122AB">
              <w:rPr>
                <w:rFonts w:ascii="Times New Roman" w:hAnsi="Times New Roman"/>
                <w:color w:val="000000" w:themeColor="text1"/>
                <w:sz w:val="16"/>
                <w:szCs w:val="16"/>
              </w:rPr>
              <w:t>.</w:t>
            </w:r>
          </w:p>
        </w:tc>
        <w:tc>
          <w:tcPr>
            <w:tcW w:w="3430" w:type="dxa"/>
          </w:tcPr>
          <w:p w14:paraId="7EE8C67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с 1 января по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находится</w:t>
            </w:r>
          </w:p>
        </w:tc>
      </w:tr>
      <w:tr w:rsidR="001002C3" w:rsidRPr="007122AB" w14:paraId="20E1B506" w14:textId="77777777">
        <w:tc>
          <w:tcPr>
            <w:tcW w:w="1024" w:type="dxa"/>
          </w:tcPr>
          <w:p w14:paraId="33DA23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5294A8C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2C1ADDD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DBD3F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0049164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торпед.</w:t>
            </w:r>
          </w:p>
        </w:tc>
        <w:tc>
          <w:tcPr>
            <w:tcW w:w="1024" w:type="dxa"/>
          </w:tcPr>
          <w:p w14:paraId="0EE84C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полета</w:t>
            </w:r>
          </w:p>
        </w:tc>
        <w:tc>
          <w:tcPr>
            <w:tcW w:w="1024" w:type="dxa"/>
          </w:tcPr>
          <w:p w14:paraId="00C5F92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45F346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заводских испытаниях и доводках. В</w:t>
            </w:r>
          </w:p>
        </w:tc>
      </w:tr>
      <w:tr w:rsidR="001002C3" w:rsidRPr="007122AB" w14:paraId="3C599877" w14:textId="77777777">
        <w:tc>
          <w:tcPr>
            <w:tcW w:w="1024" w:type="dxa"/>
          </w:tcPr>
          <w:p w14:paraId="0DEA6E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00F1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9F4E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DB5A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F85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37A01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час.</w:t>
            </w:r>
          </w:p>
        </w:tc>
        <w:tc>
          <w:tcPr>
            <w:tcW w:w="1024" w:type="dxa"/>
          </w:tcPr>
          <w:p w14:paraId="6F05DB1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B2CC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последний месяц начаты работы по усилен.</w:t>
            </w:r>
          </w:p>
        </w:tc>
      </w:tr>
      <w:tr w:rsidR="001002C3" w:rsidRPr="007122AB" w14:paraId="71949A74" w14:textId="77777777">
        <w:tc>
          <w:tcPr>
            <w:tcW w:w="1024" w:type="dxa"/>
          </w:tcPr>
          <w:p w14:paraId="543AD4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3AF6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D45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5CC7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1B79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5CE4D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3BC6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20CE3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поплавков и шасси. Во время испытаний на</w:t>
            </w:r>
          </w:p>
        </w:tc>
      </w:tr>
      <w:tr w:rsidR="001002C3" w:rsidRPr="007122AB" w14:paraId="1B788591" w14:textId="77777777">
        <w:tc>
          <w:tcPr>
            <w:tcW w:w="1024" w:type="dxa"/>
          </w:tcPr>
          <w:p w14:paraId="6CF638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554F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CA83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AFA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EA8B2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944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829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6276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 скорость лопнул шатун и повредил</w:t>
            </w:r>
          </w:p>
        </w:tc>
      </w:tr>
      <w:tr w:rsidR="001002C3" w:rsidRPr="007122AB" w14:paraId="2AEE52C9" w14:textId="77777777">
        <w:tc>
          <w:tcPr>
            <w:tcW w:w="1024" w:type="dxa"/>
          </w:tcPr>
          <w:p w14:paraId="79A8BE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91CEA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1A30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C80C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5476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DFE7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DE0E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696FA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xml:space="preserve">. ВАО </w:t>
            </w:r>
            <w:proofErr w:type="spellStart"/>
            <w:r w:rsidRPr="007122AB">
              <w:rPr>
                <w:rFonts w:ascii="Times New Roman" w:hAnsi="Times New Roman"/>
                <w:color w:val="000000" w:themeColor="text1"/>
                <w:sz w:val="16"/>
                <w:szCs w:val="16"/>
              </w:rPr>
              <w:t>предполаг</w:t>
            </w:r>
            <w:proofErr w:type="spellEnd"/>
            <w:r w:rsidRPr="007122AB">
              <w:rPr>
                <w:rFonts w:ascii="Times New Roman" w:hAnsi="Times New Roman"/>
                <w:color w:val="000000" w:themeColor="text1"/>
                <w:sz w:val="16"/>
                <w:szCs w:val="16"/>
              </w:rPr>
              <w:t>. закончить к 1</w:t>
            </w:r>
          </w:p>
        </w:tc>
      </w:tr>
      <w:tr w:rsidR="001002C3" w:rsidRPr="007122AB" w14:paraId="5510D93E" w14:textId="77777777">
        <w:tc>
          <w:tcPr>
            <w:tcW w:w="1024" w:type="dxa"/>
          </w:tcPr>
          <w:p w14:paraId="13EAA41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4D8C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BF6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E268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A23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2960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4BA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75BE4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августа, провести контр. полеты и перед.</w:t>
            </w:r>
          </w:p>
        </w:tc>
      </w:tr>
      <w:tr w:rsidR="001002C3" w:rsidRPr="007122AB" w14:paraId="3A0A89C1" w14:textId="77777777">
        <w:tc>
          <w:tcPr>
            <w:tcW w:w="1024" w:type="dxa"/>
          </w:tcPr>
          <w:p w14:paraId="026B159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8E5B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0F0A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DF5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DF10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4A04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1AF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28031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НИИ ВВС. Причины задержек: </w:t>
            </w:r>
            <w:proofErr w:type="spellStart"/>
            <w:r w:rsidRPr="007122AB">
              <w:rPr>
                <w:rFonts w:ascii="Times New Roman" w:hAnsi="Times New Roman"/>
                <w:color w:val="000000" w:themeColor="text1"/>
                <w:sz w:val="16"/>
                <w:szCs w:val="16"/>
              </w:rPr>
              <w:t>недостат</w:t>
            </w:r>
            <w:proofErr w:type="spellEnd"/>
            <w:r w:rsidRPr="007122AB">
              <w:rPr>
                <w:rFonts w:ascii="Times New Roman" w:hAnsi="Times New Roman"/>
                <w:color w:val="000000" w:themeColor="text1"/>
                <w:sz w:val="16"/>
                <w:szCs w:val="16"/>
              </w:rPr>
              <w:t>.</w:t>
            </w:r>
          </w:p>
        </w:tc>
      </w:tr>
      <w:tr w:rsidR="001002C3" w:rsidRPr="007122AB" w14:paraId="15998874" w14:textId="77777777">
        <w:tc>
          <w:tcPr>
            <w:tcW w:w="1024" w:type="dxa"/>
          </w:tcPr>
          <w:p w14:paraId="41537E2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1AFA6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60F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FFF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810FC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817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C97FA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335D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руководство со стороны УОС ВАО работой</w:t>
            </w:r>
          </w:p>
        </w:tc>
      </w:tr>
      <w:tr w:rsidR="001002C3" w:rsidRPr="007122AB" w14:paraId="182C0A8B" w14:textId="77777777">
        <w:tc>
          <w:tcPr>
            <w:tcW w:w="1024" w:type="dxa"/>
          </w:tcPr>
          <w:p w14:paraId="3E14788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070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6B3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ABD1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0399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E82A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6A2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384E9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инженеров в Севастополе</w:t>
            </w:r>
          </w:p>
        </w:tc>
      </w:tr>
      <w:tr w:rsidR="001002C3" w:rsidRPr="007122AB" w14:paraId="4FEDF0B6" w14:textId="77777777">
        <w:tc>
          <w:tcPr>
            <w:tcW w:w="1024" w:type="dxa"/>
          </w:tcPr>
          <w:p w14:paraId="6C9D2A9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МБР2-БМВVI</w:t>
            </w:r>
          </w:p>
        </w:tc>
        <w:tc>
          <w:tcPr>
            <w:tcW w:w="1024" w:type="dxa"/>
          </w:tcPr>
          <w:p w14:paraId="6477061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4531A5A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15"-50"/</w:t>
            </w:r>
          </w:p>
        </w:tc>
        <w:tc>
          <w:tcPr>
            <w:tcW w:w="1024" w:type="dxa"/>
          </w:tcPr>
          <w:p w14:paraId="1CACD6D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DBA50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FB7642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1024" w:type="dxa"/>
          </w:tcPr>
          <w:p w14:paraId="198B218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3430" w:type="dxa"/>
          </w:tcPr>
          <w:p w14:paraId="0992630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находится в производстве завода</w:t>
            </w:r>
          </w:p>
        </w:tc>
      </w:tr>
      <w:tr w:rsidR="001002C3" w:rsidRPr="007122AB" w14:paraId="366AB33F" w14:textId="77777777">
        <w:tc>
          <w:tcPr>
            <w:tcW w:w="1024" w:type="dxa"/>
          </w:tcPr>
          <w:p w14:paraId="763868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1024" w:type="dxa"/>
          </w:tcPr>
          <w:p w14:paraId="6D1D709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D75F2E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0F466D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1A985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за</w:t>
            </w:r>
          </w:p>
        </w:tc>
        <w:tc>
          <w:tcPr>
            <w:tcW w:w="1024" w:type="dxa"/>
          </w:tcPr>
          <w:p w14:paraId="5653A8C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E02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172661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N 25. Собирается на стапеле лодка, </w:t>
            </w:r>
            <w:proofErr w:type="spellStart"/>
            <w:r w:rsidRPr="007122AB">
              <w:rPr>
                <w:rFonts w:ascii="Times New Roman" w:hAnsi="Times New Roman"/>
                <w:color w:val="000000" w:themeColor="text1"/>
                <w:sz w:val="16"/>
                <w:szCs w:val="16"/>
              </w:rPr>
              <w:t>заг</w:t>
            </w:r>
            <w:proofErr w:type="spellEnd"/>
            <w:r w:rsidRPr="007122AB">
              <w:rPr>
                <w:rFonts w:ascii="Times New Roman" w:hAnsi="Times New Roman"/>
                <w:color w:val="000000" w:themeColor="text1"/>
                <w:sz w:val="16"/>
                <w:szCs w:val="16"/>
              </w:rPr>
              <w:t>.</w:t>
            </w:r>
          </w:p>
        </w:tc>
      </w:tr>
      <w:tr w:rsidR="001002C3" w:rsidRPr="007122AB" w14:paraId="0540A85D" w14:textId="77777777">
        <w:tc>
          <w:tcPr>
            <w:tcW w:w="1024" w:type="dxa"/>
          </w:tcPr>
          <w:p w14:paraId="366B3E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0FF1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6F9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590B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E2DF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7FB693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D4FF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0155A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лонжероны. </w:t>
            </w:r>
            <w:proofErr w:type="spellStart"/>
            <w:r w:rsidRPr="007122AB">
              <w:rPr>
                <w:rFonts w:ascii="Times New Roman" w:hAnsi="Times New Roman"/>
                <w:color w:val="000000" w:themeColor="text1"/>
                <w:sz w:val="16"/>
                <w:szCs w:val="16"/>
              </w:rPr>
              <w:t>Предполаг</w:t>
            </w:r>
            <w:proofErr w:type="spellEnd"/>
            <w:r w:rsidRPr="007122AB">
              <w:rPr>
                <w:rFonts w:ascii="Times New Roman" w:hAnsi="Times New Roman"/>
                <w:color w:val="000000" w:themeColor="text1"/>
                <w:sz w:val="16"/>
                <w:szCs w:val="16"/>
              </w:rPr>
              <w:t>. окончание и сдача к</w:t>
            </w:r>
          </w:p>
        </w:tc>
      </w:tr>
      <w:tr w:rsidR="001002C3" w:rsidRPr="007122AB" w14:paraId="10D73619" w14:textId="77777777">
        <w:tc>
          <w:tcPr>
            <w:tcW w:w="1024" w:type="dxa"/>
          </w:tcPr>
          <w:p w14:paraId="1C87BB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EDF1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0D3D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C97B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4CD1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698D29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D330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EB382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w:t>
            </w:r>
          </w:p>
        </w:tc>
      </w:tr>
      <w:tr w:rsidR="001002C3" w:rsidRPr="007122AB" w14:paraId="5BCE53AB" w14:textId="77777777">
        <w:tc>
          <w:tcPr>
            <w:tcW w:w="1024" w:type="dxa"/>
          </w:tcPr>
          <w:p w14:paraId="2B431A7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МБР3-2М22</w:t>
            </w:r>
          </w:p>
        </w:tc>
        <w:tc>
          <w:tcPr>
            <w:tcW w:w="1024" w:type="dxa"/>
          </w:tcPr>
          <w:p w14:paraId="485A7E8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5B9B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2A12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D692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7CD0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1EA9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Эскизный проект - закончен. К 10 июля д.</w:t>
            </w:r>
          </w:p>
        </w:tc>
        <w:tc>
          <w:tcPr>
            <w:tcW w:w="3430" w:type="dxa"/>
          </w:tcPr>
          <w:p w14:paraId="7B21D3F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756ECC" w14:textId="77777777">
        <w:tc>
          <w:tcPr>
            <w:tcW w:w="1024" w:type="dxa"/>
          </w:tcPr>
          <w:p w14:paraId="156CC1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084197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513CC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5E80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F220F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6885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8E2FE"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F91A5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предъявлен в НИИ на заключение. Строит</w:t>
            </w:r>
          </w:p>
        </w:tc>
      </w:tr>
      <w:tr w:rsidR="001002C3" w:rsidRPr="007122AB" w14:paraId="26BE7ECD" w14:textId="77777777">
        <w:tc>
          <w:tcPr>
            <w:tcW w:w="1024" w:type="dxa"/>
          </w:tcPr>
          <w:p w14:paraId="1328827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200E6"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940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C5F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E798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83B9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378CF"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EE6C54"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макет. Перерабатывается конструкция. Ок.</w:t>
            </w:r>
          </w:p>
        </w:tc>
      </w:tr>
      <w:tr w:rsidR="001002C3" w:rsidRPr="007122AB" w14:paraId="46735103" w14:textId="77777777">
        <w:tc>
          <w:tcPr>
            <w:tcW w:w="1024" w:type="dxa"/>
          </w:tcPr>
          <w:p w14:paraId="75133F5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МУ2-М11</w:t>
            </w:r>
          </w:p>
        </w:tc>
        <w:tc>
          <w:tcPr>
            <w:tcW w:w="1024" w:type="dxa"/>
          </w:tcPr>
          <w:p w14:paraId="7E7291C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0362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3B019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B8BBE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D295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F6DC4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6D26B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пр-ва намечено на февраль 1932</w:t>
            </w:r>
          </w:p>
        </w:tc>
      </w:tr>
      <w:tr w:rsidR="001002C3" w:rsidRPr="007122AB" w14:paraId="3CDAE9DF" w14:textId="77777777">
        <w:tc>
          <w:tcPr>
            <w:tcW w:w="1024" w:type="dxa"/>
          </w:tcPr>
          <w:p w14:paraId="50F7B6B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2916B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87572"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E54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1DAF2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4A1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F49D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00D4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Заканчиваются испытания в Севастополе со</w:t>
            </w:r>
          </w:p>
        </w:tc>
      </w:tr>
      <w:tr w:rsidR="001002C3" w:rsidRPr="007122AB" w14:paraId="69C71D97" w14:textId="77777777">
        <w:tc>
          <w:tcPr>
            <w:tcW w:w="1024" w:type="dxa"/>
          </w:tcPr>
          <w:p w14:paraId="354AF55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1EE15"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07645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00BE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F4A72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C888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CDD62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9DFB8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вторым вариантом поплавка, после чего б.</w:t>
            </w:r>
          </w:p>
        </w:tc>
      </w:tr>
      <w:tr w:rsidR="001002C3" w:rsidRPr="007122AB" w14:paraId="7F97C5FF" w14:textId="77777777">
        <w:tc>
          <w:tcPr>
            <w:tcW w:w="1024" w:type="dxa"/>
          </w:tcPr>
          <w:p w14:paraId="16C728D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7755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C0767"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84C2B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2F17EA"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52448"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3DA17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674A3C"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направлен для </w:t>
            </w:r>
            <w:proofErr w:type="spellStart"/>
            <w:r w:rsidRPr="007122AB">
              <w:rPr>
                <w:rFonts w:ascii="Times New Roman" w:hAnsi="Times New Roman"/>
                <w:color w:val="000000" w:themeColor="text1"/>
                <w:sz w:val="16"/>
                <w:szCs w:val="16"/>
              </w:rPr>
              <w:t>экспл</w:t>
            </w:r>
            <w:proofErr w:type="spellEnd"/>
            <w:r w:rsidRPr="007122AB">
              <w:rPr>
                <w:rFonts w:ascii="Times New Roman" w:hAnsi="Times New Roman"/>
                <w:color w:val="000000" w:themeColor="text1"/>
                <w:sz w:val="16"/>
                <w:szCs w:val="16"/>
              </w:rPr>
              <w:t>. испытаний в школу</w:t>
            </w:r>
          </w:p>
        </w:tc>
      </w:tr>
      <w:tr w:rsidR="007122AB" w:rsidRPr="007122AB" w14:paraId="737CF8C8" w14:textId="77777777">
        <w:tc>
          <w:tcPr>
            <w:tcW w:w="1024" w:type="dxa"/>
          </w:tcPr>
          <w:p w14:paraId="7C93BE8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1E4E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6C530"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78B6B"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C5E91"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49A39"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D435D"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1E2BA3" w14:textId="77777777" w:rsidR="005C4849" w:rsidRPr="007122AB" w:rsidRDefault="005C4849" w:rsidP="007122AB">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морских летчиков в г. Ейск. (3029,205)</w:t>
            </w:r>
          </w:p>
        </w:tc>
      </w:tr>
    </w:tbl>
    <w:p w14:paraId="1C61188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358FF3" w14:textId="77777777" w:rsidR="002C0192" w:rsidRPr="007122AB" w:rsidRDefault="002C0192"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К на</w:t>
      </w:r>
      <w:r w:rsidRPr="007122AB">
        <w:rPr>
          <w:rFonts w:ascii="Times New Roman" w:hAnsi="Times New Roman"/>
          <w:color w:val="000000" w:themeColor="text1"/>
          <w:sz w:val="16"/>
          <w:szCs w:val="16"/>
          <w:lang w:eastAsia="ru-RU" w:bidi="ru-RU"/>
        </w:rPr>
        <w:softHyphen/>
        <w:t>чалу июля 1931 удалось закончить первый экземпляр ТШ-2 под установку мотора М-27, что позволило запланировать начало государственных испытаний на первую половину августа. Однако не слу</w:t>
      </w:r>
      <w:r w:rsidRPr="007122AB">
        <w:rPr>
          <w:rFonts w:ascii="Times New Roman" w:hAnsi="Times New Roman"/>
          <w:color w:val="000000" w:themeColor="text1"/>
          <w:sz w:val="16"/>
          <w:szCs w:val="16"/>
          <w:lang w:eastAsia="ru-RU" w:bidi="ru-RU"/>
        </w:rPr>
        <w:softHyphen/>
        <w:t>чилось. Завод №24 не поставил кондици</w:t>
      </w:r>
      <w:r w:rsidRPr="007122AB">
        <w:rPr>
          <w:rFonts w:ascii="Times New Roman" w:hAnsi="Times New Roman"/>
          <w:color w:val="000000" w:themeColor="text1"/>
          <w:sz w:val="16"/>
          <w:szCs w:val="16"/>
          <w:lang w:eastAsia="ru-RU" w:bidi="ru-RU"/>
        </w:rPr>
        <w:softHyphen/>
        <w:t>онный мотор М-27. Позже по этой же при</w:t>
      </w:r>
      <w:r w:rsidRPr="007122AB">
        <w:rPr>
          <w:rFonts w:ascii="Times New Roman" w:hAnsi="Times New Roman"/>
          <w:color w:val="000000" w:themeColor="text1"/>
          <w:sz w:val="16"/>
          <w:szCs w:val="16"/>
          <w:lang w:eastAsia="ru-RU" w:bidi="ru-RU"/>
        </w:rPr>
        <w:softHyphen/>
        <w:t>чине срок еще раз перенесли, теперь уже на 10 октября. Но и он не был выдержан (21062).</w:t>
      </w:r>
    </w:p>
    <w:p w14:paraId="30E0341F" w14:textId="77777777" w:rsidR="002C0192" w:rsidRPr="007122AB" w:rsidRDefault="002C0192" w:rsidP="007122AB">
      <w:pPr>
        <w:spacing w:after="0" w:line="240" w:lineRule="auto"/>
        <w:jc w:val="both"/>
        <w:rPr>
          <w:rFonts w:ascii="Times New Roman" w:hAnsi="Times New Roman"/>
          <w:color w:val="000000" w:themeColor="text1"/>
          <w:sz w:val="16"/>
          <w:szCs w:val="16"/>
        </w:rPr>
      </w:pPr>
    </w:p>
    <w:p w14:paraId="53F5CC7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7B2465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40C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июля 1931 танк ТГ после установки М-6 был готов к испытаниям (4402). Танк продемонстрировали представителям НКВМД и сняли на кинопленку для показа Правительству (4658, 22).</w:t>
      </w:r>
    </w:p>
    <w:p w14:paraId="2A3DB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81A0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началу июля 1931 танк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был более или менее готов к испытаниям (10733,248).</w:t>
      </w:r>
    </w:p>
    <w:p w14:paraId="33F740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6E19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первых числах июля 1931 танк ТГ вновь был продемонстри</w:t>
      </w:r>
      <w:r w:rsidRPr="007122AB">
        <w:rPr>
          <w:rFonts w:ascii="Times New Roman" w:hAnsi="Times New Roman"/>
          <w:color w:val="000000" w:themeColor="text1"/>
          <w:sz w:val="16"/>
          <w:szCs w:val="16"/>
        </w:rPr>
        <w:softHyphen/>
        <w:t>рован представителям комиссариата по военным и мор</w:t>
      </w:r>
      <w:r w:rsidRPr="007122AB">
        <w:rPr>
          <w:rFonts w:ascii="Times New Roman" w:hAnsi="Times New Roman"/>
          <w:color w:val="000000" w:themeColor="text1"/>
          <w:sz w:val="16"/>
          <w:szCs w:val="16"/>
        </w:rPr>
        <w:softHyphen/>
        <w:t>ским делам. Тогда же он был снят на кинопленку для по</w:t>
      </w:r>
      <w:r w:rsidRPr="007122AB">
        <w:rPr>
          <w:rFonts w:ascii="Times New Roman" w:hAnsi="Times New Roman"/>
          <w:color w:val="000000" w:themeColor="text1"/>
          <w:sz w:val="16"/>
          <w:szCs w:val="16"/>
        </w:rPr>
        <w:softHyphen/>
        <w:t>каза членам правительства. Танк отличался от других оте</w:t>
      </w:r>
      <w:r w:rsidRPr="007122AB">
        <w:rPr>
          <w:rFonts w:ascii="Times New Roman" w:hAnsi="Times New Roman"/>
          <w:color w:val="000000" w:themeColor="text1"/>
          <w:sz w:val="16"/>
          <w:szCs w:val="16"/>
        </w:rPr>
        <w:softHyphen/>
        <w:t>чественных и зарубежных образцов того времени не толь</w:t>
      </w:r>
      <w:r w:rsidRPr="007122AB">
        <w:rPr>
          <w:rFonts w:ascii="Times New Roman" w:hAnsi="Times New Roman"/>
          <w:color w:val="000000" w:themeColor="text1"/>
          <w:sz w:val="16"/>
          <w:szCs w:val="16"/>
        </w:rPr>
        <w:softHyphen/>
        <w:t>ко общим видом, но также технологией изготовления и компоновкой. Прежде всего машина имела полностью сварной кор</w:t>
      </w:r>
      <w:r w:rsidRPr="007122AB">
        <w:rPr>
          <w:rFonts w:ascii="Times New Roman" w:hAnsi="Times New Roman"/>
          <w:color w:val="000000" w:themeColor="text1"/>
          <w:sz w:val="16"/>
          <w:szCs w:val="16"/>
        </w:rPr>
        <w:softHyphen/>
        <w:t>пус, что являлось несомненным новшеством. Вооружение танка было чрезвычайно мощным для своей массы. Оно состояло из 76-мм и 37-мм пушек, о которых уже было ска</w:t>
      </w:r>
      <w:r w:rsidRPr="007122AB">
        <w:rPr>
          <w:rFonts w:ascii="Times New Roman" w:hAnsi="Times New Roman"/>
          <w:color w:val="000000" w:themeColor="text1"/>
          <w:sz w:val="16"/>
          <w:szCs w:val="16"/>
        </w:rPr>
        <w:softHyphen/>
        <w:t>зано выше, а также 3 пулеметов «максим» в шаровых уста</w:t>
      </w:r>
      <w:r w:rsidRPr="007122AB">
        <w:rPr>
          <w:rFonts w:ascii="Times New Roman" w:hAnsi="Times New Roman"/>
          <w:color w:val="000000" w:themeColor="text1"/>
          <w:sz w:val="16"/>
          <w:szCs w:val="16"/>
        </w:rPr>
        <w:softHyphen/>
        <w:t>новках главной башни (ставшей рубкой) и двух пулеметов ДТ в бортах танкового корпуса. Вооружение размещалось в три яруса (командирская башня, главная башня и пулеме</w:t>
      </w:r>
      <w:r w:rsidRPr="007122AB">
        <w:rPr>
          <w:rFonts w:ascii="Times New Roman" w:hAnsi="Times New Roman"/>
          <w:color w:val="000000" w:themeColor="text1"/>
          <w:sz w:val="16"/>
          <w:szCs w:val="16"/>
        </w:rPr>
        <w:softHyphen/>
        <w:t>ты в бортах корпуса), что должно было способствовать наи</w:t>
      </w:r>
      <w:r w:rsidRPr="007122AB">
        <w:rPr>
          <w:rFonts w:ascii="Times New Roman" w:hAnsi="Times New Roman"/>
          <w:color w:val="000000" w:themeColor="text1"/>
          <w:sz w:val="16"/>
          <w:szCs w:val="16"/>
        </w:rPr>
        <w:softHyphen/>
        <w:t>более эффективному его использованию. Ходовая часть ТГ состояла из пяти катков большого диаметра, четырех поддерживающих катков среднего и двух - малого диаметра на каждый борт. Независимая подвеска танка на спиральных пружинах допускала верти</w:t>
      </w:r>
      <w:r w:rsidRPr="007122AB">
        <w:rPr>
          <w:rFonts w:ascii="Times New Roman" w:hAnsi="Times New Roman"/>
          <w:color w:val="000000" w:themeColor="text1"/>
          <w:sz w:val="16"/>
          <w:szCs w:val="16"/>
        </w:rPr>
        <w:softHyphen/>
        <w:t xml:space="preserve">кальное перемещение опорных катков на расстояние до 220 мм, вместе с </w:t>
      </w:r>
      <w:proofErr w:type="spellStart"/>
      <w:r w:rsidRPr="007122AB">
        <w:rPr>
          <w:rFonts w:ascii="Times New Roman" w:hAnsi="Times New Roman"/>
          <w:color w:val="000000" w:themeColor="text1"/>
          <w:sz w:val="16"/>
          <w:szCs w:val="16"/>
        </w:rPr>
        <w:t>полупневматическими</w:t>
      </w:r>
      <w:proofErr w:type="spellEnd"/>
      <w:r w:rsidRPr="007122AB">
        <w:rPr>
          <w:rFonts w:ascii="Times New Roman" w:hAnsi="Times New Roman"/>
          <w:color w:val="000000" w:themeColor="text1"/>
          <w:sz w:val="16"/>
          <w:szCs w:val="16"/>
        </w:rPr>
        <w:t xml:space="preserve"> шинами типа «</w:t>
      </w:r>
      <w:proofErr w:type="spellStart"/>
      <w:r w:rsidRPr="007122AB">
        <w:rPr>
          <w:rFonts w:ascii="Times New Roman" w:hAnsi="Times New Roman"/>
          <w:color w:val="000000" w:themeColor="text1"/>
          <w:sz w:val="16"/>
          <w:szCs w:val="16"/>
        </w:rPr>
        <w:t>Элластик</w:t>
      </w:r>
      <w:proofErr w:type="spellEnd"/>
      <w:r w:rsidRPr="007122AB">
        <w:rPr>
          <w:rFonts w:ascii="Times New Roman" w:hAnsi="Times New Roman"/>
          <w:color w:val="000000" w:themeColor="text1"/>
          <w:sz w:val="16"/>
          <w:szCs w:val="16"/>
        </w:rPr>
        <w:t>» на опорных катках обеспечивали танку чрез</w:t>
      </w:r>
      <w:r w:rsidRPr="007122AB">
        <w:rPr>
          <w:rFonts w:ascii="Times New Roman" w:hAnsi="Times New Roman"/>
          <w:color w:val="000000" w:themeColor="text1"/>
          <w:sz w:val="16"/>
          <w:szCs w:val="16"/>
        </w:rPr>
        <w:softHyphen/>
        <w:t xml:space="preserve">вычайно мягкий и очень легкий ход - находясь в цеху без гусениц, он свободно перекатывался по ровной поверхности с места на место усилием 2—3 человек. Гусеница оригинальной конструкции, изготовленная из штампованных деталей, имела большое сопротивление на разрыв. В задней части корпуса был установлен открыто авиа-. </w:t>
      </w:r>
      <w:proofErr w:type="spellStart"/>
      <w:r w:rsidRPr="007122AB">
        <w:rPr>
          <w:rFonts w:ascii="Times New Roman" w:hAnsi="Times New Roman"/>
          <w:color w:val="000000" w:themeColor="text1"/>
          <w:sz w:val="16"/>
          <w:szCs w:val="16"/>
        </w:rPr>
        <w:t>ционный</w:t>
      </w:r>
      <w:proofErr w:type="spellEnd"/>
      <w:r w:rsidRPr="007122AB">
        <w:rPr>
          <w:rFonts w:ascii="Times New Roman" w:hAnsi="Times New Roman"/>
          <w:color w:val="000000" w:themeColor="text1"/>
          <w:sz w:val="16"/>
          <w:szCs w:val="16"/>
        </w:rPr>
        <w:t xml:space="preserve"> двигатель М-6 (возможно, осенью 1931 г. он был все-таки заменен на мотор Э. Гроте, так как на фотографи</w:t>
      </w:r>
      <w:r w:rsidRPr="007122AB">
        <w:rPr>
          <w:rFonts w:ascii="Times New Roman" w:hAnsi="Times New Roman"/>
          <w:color w:val="000000" w:themeColor="text1"/>
          <w:sz w:val="16"/>
          <w:szCs w:val="16"/>
        </w:rPr>
        <w:softHyphen/>
        <w:t>ях 1936-40 гг. танк изображен с закрытым моторным отде</w:t>
      </w:r>
      <w:r w:rsidRPr="007122AB">
        <w:rPr>
          <w:rFonts w:ascii="Times New Roman" w:hAnsi="Times New Roman"/>
          <w:color w:val="000000" w:themeColor="text1"/>
          <w:sz w:val="16"/>
          <w:szCs w:val="16"/>
        </w:rPr>
        <w:softHyphen/>
        <w:t xml:space="preserve">лением, и в то же время в </w:t>
      </w:r>
      <w:proofErr w:type="spellStart"/>
      <w:r w:rsidRPr="007122AB">
        <w:rPr>
          <w:rFonts w:ascii="Times New Roman" w:hAnsi="Times New Roman"/>
          <w:color w:val="000000" w:themeColor="text1"/>
          <w:sz w:val="16"/>
          <w:szCs w:val="16"/>
        </w:rPr>
        <w:t>дефектовочной</w:t>
      </w:r>
      <w:proofErr w:type="spellEnd"/>
      <w:r w:rsidRPr="007122AB">
        <w:rPr>
          <w:rFonts w:ascii="Times New Roman" w:hAnsi="Times New Roman"/>
          <w:color w:val="000000" w:themeColor="text1"/>
          <w:sz w:val="16"/>
          <w:szCs w:val="16"/>
        </w:rPr>
        <w:t xml:space="preserve"> ведомости указа</w:t>
      </w:r>
      <w:r w:rsidRPr="007122AB">
        <w:rPr>
          <w:rFonts w:ascii="Times New Roman" w:hAnsi="Times New Roman"/>
          <w:color w:val="000000" w:themeColor="text1"/>
          <w:sz w:val="16"/>
          <w:szCs w:val="16"/>
        </w:rPr>
        <w:softHyphen/>
        <w:t xml:space="preserve">но, что танк с мотором), а непосредственно вблизи его -6-ступенчатая КПП, состоявшая из 2 редукторов с </w:t>
      </w:r>
      <w:proofErr w:type="spellStart"/>
      <w:r w:rsidRPr="007122AB">
        <w:rPr>
          <w:rFonts w:ascii="Times New Roman" w:hAnsi="Times New Roman"/>
          <w:color w:val="000000" w:themeColor="text1"/>
          <w:sz w:val="16"/>
          <w:szCs w:val="16"/>
        </w:rPr>
        <w:t>шестер</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нями</w:t>
      </w:r>
      <w:proofErr w:type="spellEnd"/>
      <w:r w:rsidRPr="007122AB">
        <w:rPr>
          <w:rFonts w:ascii="Times New Roman" w:hAnsi="Times New Roman"/>
          <w:color w:val="000000" w:themeColor="text1"/>
          <w:sz w:val="16"/>
          <w:szCs w:val="16"/>
        </w:rPr>
        <w:t xml:space="preserve"> шевронного зацепления. Причем большой редуктор переключал 1, 2, 3 скорости, а малый - 4, 5 и 6. Такое рас</w:t>
      </w:r>
      <w:r w:rsidRPr="007122AB">
        <w:rPr>
          <w:rFonts w:ascii="Times New Roman" w:hAnsi="Times New Roman"/>
          <w:color w:val="000000" w:themeColor="text1"/>
          <w:sz w:val="16"/>
          <w:szCs w:val="16"/>
        </w:rPr>
        <w:softHyphen/>
        <w:t>пределение скоростей приводило к тому, что при переходе с 3-й передачи на 4-ю приходилось останавливать танк. Благодаря наличию специального механизма реверса ТГ мог двигаться вперед и назад с одинаковой скоростью, что считалось достоинством для быстрого выхода подбитого танка из боя. В одном блоке с КПП размещались кулачковые муфты, выполняющие роль бортовых фрикционов. Бортовые тормоза из-за недостаточных размеров силового отделения располагались внутри ведущих колес. Пневма</w:t>
      </w:r>
      <w:r w:rsidRPr="007122AB">
        <w:rPr>
          <w:rFonts w:ascii="Times New Roman" w:hAnsi="Times New Roman"/>
          <w:color w:val="000000" w:themeColor="text1"/>
          <w:sz w:val="16"/>
          <w:szCs w:val="16"/>
        </w:rPr>
        <w:softHyphen/>
        <w:t>тическая система привода управления бортовыми фрик</w:t>
      </w:r>
      <w:r w:rsidRPr="007122AB">
        <w:rPr>
          <w:rFonts w:ascii="Times New Roman" w:hAnsi="Times New Roman"/>
          <w:color w:val="000000" w:themeColor="text1"/>
          <w:sz w:val="16"/>
          <w:szCs w:val="16"/>
        </w:rPr>
        <w:softHyphen/>
        <w:t>ционами и тормозами была изготовлена по патенту Гроте. Экипаж танка состоял из 5 человек: командира танка (он же был наводчиком 37-мм орудия), водителя, пулемет</w:t>
      </w:r>
      <w:r w:rsidRPr="007122AB">
        <w:rPr>
          <w:rFonts w:ascii="Times New Roman" w:hAnsi="Times New Roman"/>
          <w:color w:val="000000" w:themeColor="text1"/>
          <w:sz w:val="16"/>
          <w:szCs w:val="16"/>
        </w:rPr>
        <w:softHyphen/>
        <w:t>чика, командира 76,2-мм орудия и заряжающего. Для наблюдения за полем боя во время движения меха</w:t>
      </w:r>
      <w:r w:rsidRPr="007122AB">
        <w:rPr>
          <w:rFonts w:ascii="Times New Roman" w:hAnsi="Times New Roman"/>
          <w:color w:val="000000" w:themeColor="text1"/>
          <w:sz w:val="16"/>
          <w:szCs w:val="16"/>
        </w:rPr>
        <w:softHyphen/>
        <w:t>ник-водитель имел 3 окна с цилиндрическими стробоско</w:t>
      </w:r>
      <w:r w:rsidRPr="007122AB">
        <w:rPr>
          <w:rFonts w:ascii="Times New Roman" w:hAnsi="Times New Roman"/>
          <w:color w:val="000000" w:themeColor="text1"/>
          <w:sz w:val="16"/>
          <w:szCs w:val="16"/>
        </w:rPr>
        <w:softHyphen/>
        <w:t>пами. Командир танка также имел стробоскоп, установ</w:t>
      </w:r>
      <w:r w:rsidRPr="007122AB">
        <w:rPr>
          <w:rFonts w:ascii="Times New Roman" w:hAnsi="Times New Roman"/>
          <w:color w:val="000000" w:themeColor="text1"/>
          <w:sz w:val="16"/>
          <w:szCs w:val="16"/>
        </w:rPr>
        <w:softHyphen/>
        <w:t>ленный на крыше малой башни и прошедший испытание на танке «Рикардо» (</w:t>
      </w:r>
      <w:proofErr w:type="spellStart"/>
      <w:r w:rsidRPr="007122AB">
        <w:rPr>
          <w:rFonts w:ascii="Times New Roman" w:hAnsi="Times New Roman"/>
          <w:color w:val="000000" w:themeColor="text1"/>
          <w:sz w:val="16"/>
          <w:szCs w:val="16"/>
        </w:rPr>
        <w:t>Мк</w:t>
      </w:r>
      <w:proofErr w:type="spellEnd"/>
      <w:r w:rsidRPr="007122AB">
        <w:rPr>
          <w:rFonts w:ascii="Times New Roman" w:hAnsi="Times New Roman"/>
          <w:color w:val="000000" w:themeColor="text1"/>
          <w:sz w:val="16"/>
          <w:szCs w:val="16"/>
        </w:rPr>
        <w:t xml:space="preserve">. V). Стробоскопом </w:t>
      </w:r>
      <w:proofErr w:type="spellStart"/>
      <w:r w:rsidRPr="007122AB">
        <w:rPr>
          <w:rFonts w:ascii="Times New Roman" w:hAnsi="Times New Roman"/>
          <w:color w:val="000000" w:themeColor="text1"/>
          <w:sz w:val="16"/>
          <w:szCs w:val="16"/>
        </w:rPr>
        <w:t>лрикрывался</w:t>
      </w:r>
      <w:proofErr w:type="spellEnd"/>
      <w:r w:rsidRPr="007122AB">
        <w:rPr>
          <w:rFonts w:ascii="Times New Roman" w:hAnsi="Times New Roman"/>
          <w:color w:val="000000" w:themeColor="text1"/>
          <w:sz w:val="16"/>
          <w:szCs w:val="16"/>
        </w:rPr>
        <w:t xml:space="preserve"> также объектив орудийного прицела (10733,249).</w:t>
      </w:r>
    </w:p>
    <w:p w14:paraId="2DDF3B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EA8E6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C654C2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281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июля 1931 г. Президиум ЦИК СССР принял решение об амнистии группы осужденных, в том числе и Поликарпова. Что касается предъявленных ранее обвинений, то они остались, как многие годы оставался в силе приговор в отношении конструктора. Лишь спустя два с половиной десятка лет Верховный Суд СССР признал неправомерность обвинений в адрес Поликарпова и отменил решение Коллегии ГПУ (6593).</w:t>
      </w:r>
    </w:p>
    <w:p w14:paraId="2DF49A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D129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июля 1931 г. Президиум ЦИК СССР принял решение об амнистии группы лиц, в том числе Поликарпова, продублированное 8 июля соответствующим постанов</w:t>
      </w:r>
      <w:r w:rsidRPr="007122AB">
        <w:rPr>
          <w:rFonts w:ascii="Times New Roman" w:hAnsi="Times New Roman"/>
          <w:color w:val="000000" w:themeColor="text1"/>
          <w:sz w:val="16"/>
          <w:szCs w:val="16"/>
        </w:rPr>
        <w:softHyphen/>
        <w:t xml:space="preserve">лением Коллегии ОГПУ. Однако до конца дней своих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xml:space="preserve"> не был реабилитирован, оставаясь «прощенным преступни</w:t>
      </w:r>
      <w:r w:rsidRPr="007122AB">
        <w:rPr>
          <w:rFonts w:ascii="Times New Roman" w:hAnsi="Times New Roman"/>
          <w:color w:val="000000" w:themeColor="text1"/>
          <w:sz w:val="16"/>
          <w:szCs w:val="16"/>
        </w:rPr>
        <w:softHyphen/>
        <w:t>ком». И только после смерти конструктора, после полу</w:t>
      </w:r>
      <w:r w:rsidRPr="007122AB">
        <w:rPr>
          <w:rFonts w:ascii="Times New Roman" w:hAnsi="Times New Roman"/>
          <w:color w:val="000000" w:themeColor="text1"/>
          <w:sz w:val="16"/>
          <w:szCs w:val="16"/>
        </w:rPr>
        <w:softHyphen/>
        <w:t xml:space="preserve">чения характеристик и рекомендаций от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А.Н.Туполева</w:t>
      </w:r>
      <w:proofErr w:type="spellEnd"/>
      <w:r w:rsidRPr="007122AB">
        <w:rPr>
          <w:rFonts w:ascii="Times New Roman" w:hAnsi="Times New Roman"/>
          <w:color w:val="000000" w:themeColor="text1"/>
          <w:sz w:val="16"/>
          <w:szCs w:val="16"/>
        </w:rPr>
        <w:t>, 1 сентября 1956 г. Военная коллегия Верховного Суда СССР отменила решение Коллегии ОГПУ от 18 марта 1931 г. и прекратила дело в отноше</w:t>
      </w:r>
      <w:r w:rsidRPr="007122AB">
        <w:rPr>
          <w:rFonts w:ascii="Times New Roman" w:hAnsi="Times New Roman"/>
          <w:color w:val="000000" w:themeColor="text1"/>
          <w:sz w:val="16"/>
          <w:szCs w:val="16"/>
        </w:rPr>
        <w:softHyphen/>
        <w:t xml:space="preserve">нии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xml:space="preserve"> «за отсутствием состава преступ</w:t>
      </w:r>
      <w:r w:rsidRPr="007122AB">
        <w:rPr>
          <w:rFonts w:ascii="Times New Roman" w:hAnsi="Times New Roman"/>
          <w:color w:val="000000" w:themeColor="text1"/>
          <w:sz w:val="16"/>
          <w:szCs w:val="16"/>
        </w:rPr>
        <w:softHyphen/>
        <w:t>ления» (10667).</w:t>
      </w:r>
    </w:p>
    <w:p w14:paraId="423FB0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5913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июля 1931 Президиум ЦИК принял решение об амнистии группы лиц, в т.ч. Н.Н.П. и летчик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отвез его на машине домой (228,83).</w:t>
      </w:r>
    </w:p>
    <w:p w14:paraId="145806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15308B"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июля 1931 г. Прези</w:t>
      </w:r>
      <w:r w:rsidRPr="00441F34">
        <w:rPr>
          <w:rFonts w:ascii="Times New Roman" w:hAnsi="Times New Roman"/>
          <w:color w:val="0070C0"/>
          <w:sz w:val="16"/>
          <w:szCs w:val="16"/>
        </w:rPr>
        <w:softHyphen/>
        <w:t>диум ЦИК СССР принял решение об амнистии группы лиц, в том числе Н.Н. Поликарпова, продубли</w:t>
      </w:r>
      <w:r w:rsidRPr="00441F34">
        <w:rPr>
          <w:rFonts w:ascii="Times New Roman" w:hAnsi="Times New Roman"/>
          <w:color w:val="0070C0"/>
          <w:sz w:val="16"/>
          <w:szCs w:val="16"/>
        </w:rPr>
        <w:softHyphen/>
        <w:t>рованное 8 июля соответствующим постановлением Коллегии ОГПУ.</w:t>
      </w:r>
    </w:p>
    <w:p w14:paraId="37F41292"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Николай Николаевич, как только узнал об амнистии, сразу позвонил по телефону в квартиру и сказал, что едет домой. Вскоре его привез на своей машине заводской летчик-испы</w:t>
      </w:r>
      <w:r w:rsidRPr="00441F34">
        <w:rPr>
          <w:rFonts w:ascii="Times New Roman" w:hAnsi="Times New Roman"/>
          <w:color w:val="0070C0"/>
          <w:sz w:val="16"/>
          <w:szCs w:val="16"/>
        </w:rPr>
        <w:softHyphen/>
        <w:t>татель Б.Л. Бухгольц.</w:t>
      </w:r>
    </w:p>
    <w:p w14:paraId="29794F38"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до конца дней своих дней Н.Н. Поликарпов не был реабилитиро</w:t>
      </w:r>
      <w:r w:rsidRPr="00441F34">
        <w:rPr>
          <w:rFonts w:ascii="Times New Roman" w:hAnsi="Times New Roman"/>
          <w:color w:val="0070C0"/>
          <w:sz w:val="16"/>
          <w:szCs w:val="16"/>
        </w:rPr>
        <w:softHyphen/>
        <w:t>ван, оставаясь «прощённым преступни</w:t>
      </w:r>
      <w:r w:rsidRPr="00441F34">
        <w:rPr>
          <w:rFonts w:ascii="Times New Roman" w:hAnsi="Times New Roman"/>
          <w:color w:val="0070C0"/>
          <w:sz w:val="16"/>
          <w:szCs w:val="16"/>
        </w:rPr>
        <w:softHyphen/>
        <w:t>ком». И только после смерти конструк</w:t>
      </w:r>
      <w:r w:rsidRPr="00441F34">
        <w:rPr>
          <w:rFonts w:ascii="Times New Roman" w:hAnsi="Times New Roman"/>
          <w:color w:val="0070C0"/>
          <w:sz w:val="16"/>
          <w:szCs w:val="16"/>
        </w:rPr>
        <w:softHyphen/>
        <w:t>тора, после получения характеристик и рекомендаций от С.В. Ильюшина и А.Н. Туполева, 1 сентября 1956 г. Во</w:t>
      </w:r>
      <w:r w:rsidRPr="00441F34">
        <w:rPr>
          <w:rFonts w:ascii="Times New Roman" w:hAnsi="Times New Roman"/>
          <w:color w:val="0070C0"/>
          <w:sz w:val="16"/>
          <w:szCs w:val="16"/>
        </w:rPr>
        <w:softHyphen/>
        <w:t>енная коллегия Верховного Суда СССР отменила решение Коллегии ОГПУ от 18 марта 1931 г. и прекратила дело в отношении Н.Н. Поликарпова «за отсут</w:t>
      </w:r>
      <w:r w:rsidRPr="00441F34">
        <w:rPr>
          <w:rFonts w:ascii="Times New Roman" w:hAnsi="Times New Roman"/>
          <w:color w:val="0070C0"/>
          <w:sz w:val="16"/>
          <w:szCs w:val="16"/>
        </w:rPr>
        <w:softHyphen/>
        <w:t>ствием состава преступления» (23406).</w:t>
      </w:r>
    </w:p>
    <w:p w14:paraId="2DE0EB91" w14:textId="77777777" w:rsidR="00DE6D61" w:rsidRPr="00441F34" w:rsidRDefault="00DE6D61" w:rsidP="00DE6D61">
      <w:pPr>
        <w:spacing w:after="0" w:line="240" w:lineRule="auto"/>
        <w:jc w:val="both"/>
        <w:rPr>
          <w:rFonts w:ascii="Times New Roman" w:hAnsi="Times New Roman"/>
          <w:color w:val="0070C0"/>
          <w:sz w:val="16"/>
          <w:szCs w:val="16"/>
        </w:rPr>
      </w:pPr>
    </w:p>
    <w:p w14:paraId="27C86D78"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июля 1931 года с аэродрома небольшого городка Урень Нижегородской области впервые в истории нашей страны специально для целей авиапатрулирования лесов поднялся маленький самолёт-биплан По-2.</w:t>
      </w:r>
    </w:p>
    <w:p w14:paraId="4F1C5269"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первого полета составила 1 час 33 мин. Эту дату принято считать рождением Авиалесоохраны.</w:t>
      </w:r>
    </w:p>
    <w:p w14:paraId="0C925A5E"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авиаотряды были возложены задачи непосредственного выполнения </w:t>
      </w:r>
      <w:proofErr w:type="spellStart"/>
      <w:r w:rsidRPr="007122AB">
        <w:rPr>
          <w:rFonts w:ascii="Times New Roman" w:hAnsi="Times New Roman"/>
          <w:color w:val="000000" w:themeColor="text1"/>
          <w:sz w:val="16"/>
          <w:szCs w:val="16"/>
        </w:rPr>
        <w:t>авиаохраны</w:t>
      </w:r>
      <w:proofErr w:type="spellEnd"/>
      <w:r w:rsidRPr="007122AB">
        <w:rPr>
          <w:rFonts w:ascii="Times New Roman" w:hAnsi="Times New Roman"/>
          <w:color w:val="000000" w:themeColor="text1"/>
          <w:sz w:val="16"/>
          <w:szCs w:val="16"/>
        </w:rPr>
        <w:t xml:space="preserve"> лесов от пожаров, аэровизуального обследования лесов, обслуживание лесосплава, аэрофотосъемки лесосырьевых ресурсов, выполнение других лесоавиационных работ. Авиаотряды Всесоюзного треста располагали своими самолетами, кадрами, специальным оснащением, имели собственную аэродромную сеть, средства технического обслуживания и ремонта самолетов.</w:t>
      </w:r>
    </w:p>
    <w:p w14:paraId="65A181EB" w14:textId="77777777" w:rsidR="007F54AB" w:rsidRPr="007122AB" w:rsidRDefault="007F54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началу Великой Отечественной войны авиационным патрулированием было охвачено 109 млн. га лесов, использовалось 60 самолетов По-2 и Ш-2 (21166).</w:t>
      </w:r>
    </w:p>
    <w:p w14:paraId="0001EFF0" w14:textId="77777777" w:rsidR="007F54AB" w:rsidRPr="007122AB" w:rsidRDefault="007F54AB" w:rsidP="007122AB">
      <w:pPr>
        <w:autoSpaceDE w:val="0"/>
        <w:autoSpaceDN w:val="0"/>
        <w:adjustRightInd w:val="0"/>
        <w:spacing w:after="0" w:line="240" w:lineRule="auto"/>
        <w:jc w:val="both"/>
        <w:rPr>
          <w:rFonts w:ascii="Times New Roman" w:hAnsi="Times New Roman"/>
          <w:color w:val="000000" w:themeColor="text1"/>
          <w:sz w:val="16"/>
          <w:szCs w:val="16"/>
        </w:rPr>
      </w:pPr>
    </w:p>
    <w:p w14:paraId="0FFDE3C5" w14:textId="77777777" w:rsidR="0090285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A17C7CC" w14:textId="77777777" w:rsidR="00902854" w:rsidRPr="007122AB" w:rsidRDefault="0090285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589EAD"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7 июля </w:t>
      </w:r>
      <w:r w:rsidRPr="007122AB">
        <w:rPr>
          <w:rStyle w:val="highlight"/>
          <w:rFonts w:ascii="Times New Roman" w:hAnsi="Times New Roman"/>
          <w:color w:val="000000" w:themeColor="text1"/>
          <w:sz w:val="16"/>
          <w:szCs w:val="16"/>
        </w:rPr>
        <w:t>1931 </w:t>
      </w:r>
      <w:r w:rsidRPr="007122AB">
        <w:rPr>
          <w:rFonts w:ascii="Times New Roman" w:hAnsi="Times New Roman"/>
          <w:color w:val="000000" w:themeColor="text1"/>
          <w:sz w:val="16"/>
          <w:szCs w:val="16"/>
        </w:rPr>
        <w:t xml:space="preserve"> года началось строительство СК-3. В начале 1933 нарком тяжелой промышленности Г. К. Орджоникидзе назначил нового начальника </w:t>
      </w:r>
      <w:r w:rsidRPr="007122AB">
        <w:rPr>
          <w:rStyle w:val="highlight"/>
          <w:rFonts w:ascii="Times New Roman" w:hAnsi="Times New Roman"/>
          <w:color w:val="000000" w:themeColor="text1"/>
          <w:sz w:val="16"/>
          <w:szCs w:val="16"/>
        </w:rPr>
        <w:t> завода </w:t>
      </w:r>
      <w:r w:rsidRPr="007122AB">
        <w:rPr>
          <w:rFonts w:ascii="Times New Roman" w:hAnsi="Times New Roman"/>
          <w:color w:val="000000" w:themeColor="text1"/>
          <w:sz w:val="16"/>
          <w:szCs w:val="16"/>
        </w:rPr>
        <w:t xml:space="preserve"> С. А. Матвеева, возглавлявшего до того строительство Воронежского </w:t>
      </w:r>
      <w:r w:rsidRPr="007122AB">
        <w:rPr>
          <w:rStyle w:val="highlight"/>
          <w:rFonts w:ascii="Times New Roman" w:hAnsi="Times New Roman"/>
          <w:color w:val="000000" w:themeColor="text1"/>
          <w:sz w:val="16"/>
          <w:szCs w:val="16"/>
        </w:rPr>
        <w:t> завода </w:t>
      </w:r>
      <w:r w:rsidRPr="007122AB">
        <w:rPr>
          <w:rFonts w:ascii="Times New Roman" w:hAnsi="Times New Roman"/>
          <w:color w:val="000000" w:themeColor="text1"/>
          <w:sz w:val="16"/>
          <w:szCs w:val="16"/>
        </w:rPr>
        <w:t xml:space="preserve"> СК. Под его руководством коллектив строителей мобилизовался на завершение монтажного оборудования.</w:t>
      </w:r>
    </w:p>
    <w:p w14:paraId="6BCC03D9"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Днем 6 марта </w:t>
      </w:r>
      <w:r w:rsidRPr="007122AB">
        <w:rPr>
          <w:rStyle w:val="highlight"/>
          <w:rFonts w:ascii="Times New Roman" w:hAnsi="Times New Roman"/>
          <w:color w:val="000000" w:themeColor="text1"/>
          <w:sz w:val="16"/>
          <w:szCs w:val="16"/>
        </w:rPr>
        <w:t> 1933 </w:t>
      </w:r>
      <w:r w:rsidRPr="007122AB">
        <w:rPr>
          <w:rFonts w:ascii="Times New Roman" w:hAnsi="Times New Roman"/>
          <w:color w:val="000000" w:themeColor="text1"/>
          <w:sz w:val="16"/>
          <w:szCs w:val="16"/>
        </w:rPr>
        <w:t xml:space="preserve"> года сделала первый оборот турбина ТЭЦ, а 20 марта </w:t>
      </w:r>
      <w:r w:rsidRPr="007122AB">
        <w:rPr>
          <w:rStyle w:val="highlight"/>
          <w:rFonts w:ascii="Times New Roman" w:hAnsi="Times New Roman"/>
          <w:color w:val="000000" w:themeColor="text1"/>
          <w:sz w:val="16"/>
          <w:szCs w:val="16"/>
        </w:rPr>
        <w:t> завод </w:t>
      </w:r>
      <w:r w:rsidRPr="007122AB">
        <w:rPr>
          <w:rFonts w:ascii="Times New Roman" w:hAnsi="Times New Roman"/>
          <w:color w:val="000000" w:themeColor="text1"/>
          <w:sz w:val="16"/>
          <w:szCs w:val="16"/>
        </w:rPr>
        <w:t xml:space="preserve"> и город получили первый промышленный ток.</w:t>
      </w:r>
    </w:p>
    <w:p w14:paraId="0CBC9418"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Вслед за пуском ТЭЦ начался 43-дневный пусковой период Ефремовского </w:t>
      </w:r>
      <w:r w:rsidRPr="007122AB">
        <w:rPr>
          <w:rStyle w:val="highlight"/>
          <w:rFonts w:ascii="Times New Roman" w:hAnsi="Times New Roman"/>
          <w:color w:val="000000" w:themeColor="text1"/>
          <w:sz w:val="16"/>
          <w:szCs w:val="16"/>
        </w:rPr>
        <w:t> завода </w:t>
      </w:r>
      <w:r w:rsidRPr="007122AB">
        <w:rPr>
          <w:rFonts w:ascii="Times New Roman" w:hAnsi="Times New Roman"/>
          <w:color w:val="000000" w:themeColor="text1"/>
          <w:sz w:val="16"/>
          <w:szCs w:val="16"/>
        </w:rPr>
        <w:t xml:space="preserve"> СК-3.</w:t>
      </w:r>
      <w:r w:rsidRPr="007122AB">
        <w:rPr>
          <w:rFonts w:ascii="Times New Roman" w:hAnsi="Times New Roman"/>
          <w:bCs/>
          <w:color w:val="000000" w:themeColor="text1"/>
          <w:sz w:val="16"/>
          <w:szCs w:val="16"/>
        </w:rPr>
        <w:t>В</w:t>
      </w:r>
      <w:r w:rsidRPr="007122AB">
        <w:rPr>
          <w:rFonts w:ascii="Times New Roman" w:hAnsi="Times New Roman"/>
          <w:color w:val="000000" w:themeColor="text1"/>
          <w:sz w:val="16"/>
          <w:szCs w:val="16"/>
        </w:rPr>
        <w:t xml:space="preserve">8 часов утра 23 мая </w:t>
      </w:r>
      <w:r w:rsidRPr="007122AB">
        <w:rPr>
          <w:rStyle w:val="highlight"/>
          <w:rFonts w:ascii="Times New Roman" w:hAnsi="Times New Roman"/>
          <w:color w:val="000000" w:themeColor="text1"/>
          <w:sz w:val="16"/>
          <w:szCs w:val="16"/>
        </w:rPr>
        <w:t> 1933 </w:t>
      </w:r>
      <w:r w:rsidRPr="007122AB">
        <w:rPr>
          <w:rFonts w:ascii="Times New Roman" w:hAnsi="Times New Roman"/>
          <w:color w:val="000000" w:themeColor="text1"/>
          <w:sz w:val="16"/>
          <w:szCs w:val="16"/>
        </w:rPr>
        <w:t xml:space="preserve"> 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398A24BA"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Третий в стране </w:t>
      </w:r>
      <w:r w:rsidRPr="007122AB">
        <w:rPr>
          <w:rStyle w:val="highlight"/>
          <w:rFonts w:ascii="Times New Roman" w:hAnsi="Times New Roman"/>
          <w:color w:val="000000" w:themeColor="text1"/>
          <w:sz w:val="16"/>
          <w:szCs w:val="16"/>
        </w:rPr>
        <w:t> завод </w:t>
      </w:r>
      <w:r w:rsidRPr="007122AB">
        <w:rPr>
          <w:rFonts w:ascii="Times New Roman" w:hAnsi="Times New Roman"/>
          <w:color w:val="000000" w:themeColor="text1"/>
          <w:sz w:val="16"/>
          <w:szCs w:val="16"/>
        </w:rPr>
        <w:t xml:space="preserve"> синтетического каучука вступил в строй действующих. Окончательная победа пришла 10 июля </w:t>
      </w:r>
      <w:r w:rsidRPr="007122AB">
        <w:rPr>
          <w:rStyle w:val="highlight"/>
          <w:rFonts w:ascii="Times New Roman" w:hAnsi="Times New Roman"/>
          <w:color w:val="000000" w:themeColor="text1"/>
          <w:sz w:val="16"/>
          <w:szCs w:val="16"/>
        </w:rPr>
        <w:t> 1933 </w:t>
      </w:r>
      <w:r w:rsidRPr="007122AB">
        <w:rPr>
          <w:rFonts w:ascii="Times New Roman" w:hAnsi="Times New Roman"/>
          <w:color w:val="000000" w:themeColor="text1"/>
          <w:sz w:val="16"/>
          <w:szCs w:val="16"/>
        </w:rPr>
        <w:t xml:space="preserve"> года. В этот день была выдана первая тонна искусственного каучука. Первый вагон с небывалым грузом ушел со станции Ефремов в Москву 18 августа.</w:t>
      </w:r>
    </w:p>
    <w:p w14:paraId="03AFBC68"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w:t>
      </w:r>
      <w:r w:rsidRPr="007122AB">
        <w:rPr>
          <w:rStyle w:val="highlight"/>
          <w:rFonts w:ascii="Times New Roman" w:hAnsi="Times New Roman"/>
          <w:color w:val="000000" w:themeColor="text1"/>
          <w:sz w:val="16"/>
          <w:szCs w:val="16"/>
        </w:rPr>
        <w:t> январю  193</w:t>
      </w:r>
      <w:r w:rsidR="007422C7" w:rsidRPr="007122AB">
        <w:rPr>
          <w:rStyle w:val="highlight"/>
          <w:rFonts w:ascii="Times New Roman" w:hAnsi="Times New Roman"/>
          <w:color w:val="000000" w:themeColor="text1"/>
          <w:sz w:val="16"/>
          <w:szCs w:val="16"/>
        </w:rPr>
        <w:t>4</w:t>
      </w:r>
      <w:r w:rsidRPr="007122AB">
        <w:rPr>
          <w:rStyle w:val="highlight"/>
          <w:rFonts w:ascii="Times New Roman" w:hAnsi="Times New Roman"/>
          <w:color w:val="000000" w:themeColor="text1"/>
          <w:sz w:val="16"/>
          <w:szCs w:val="16"/>
        </w:rPr>
        <w:t>  завод </w:t>
      </w:r>
      <w:r w:rsidRPr="007122AB">
        <w:rPr>
          <w:rFonts w:ascii="Times New Roman" w:hAnsi="Times New Roman"/>
          <w:color w:val="000000" w:themeColor="text1"/>
          <w:sz w:val="16"/>
          <w:szCs w:val="16"/>
        </w:rPr>
        <w:t xml:space="preserve"> СК3 дал стране уже сотни тонн каучука. Ожидался пуск нового мощного </w:t>
      </w:r>
      <w:proofErr w:type="spellStart"/>
      <w:r w:rsidRPr="007122AB">
        <w:rPr>
          <w:rFonts w:ascii="Times New Roman" w:hAnsi="Times New Roman"/>
          <w:color w:val="000000" w:themeColor="text1"/>
          <w:sz w:val="16"/>
          <w:szCs w:val="16"/>
        </w:rPr>
        <w:t>спиртозавода</w:t>
      </w:r>
      <w:proofErr w:type="spellEnd"/>
      <w:r w:rsidRPr="007122AB">
        <w:rPr>
          <w:rFonts w:ascii="Times New Roman" w:hAnsi="Times New Roman"/>
          <w:color w:val="000000" w:themeColor="text1"/>
          <w:sz w:val="16"/>
          <w:szCs w:val="16"/>
        </w:rPr>
        <w:t xml:space="preserve">. Новые гиганты индустрии коренным образом меняли "лицо Ефремова, превращая его из бывшего мелкого, </w:t>
      </w:r>
      <w:proofErr w:type="spellStart"/>
      <w:r w:rsidRPr="007122AB">
        <w:rPr>
          <w:rFonts w:ascii="Times New Roman" w:hAnsi="Times New Roman"/>
          <w:color w:val="000000" w:themeColor="text1"/>
          <w:sz w:val="16"/>
          <w:szCs w:val="16"/>
        </w:rPr>
        <w:t>торгашеско</w:t>
      </w:r>
      <w:proofErr w:type="spellEnd"/>
      <w:r w:rsidRPr="007122AB">
        <w:rPr>
          <w:rFonts w:ascii="Times New Roman" w:hAnsi="Times New Roman"/>
          <w:color w:val="000000" w:themeColor="text1"/>
          <w:sz w:val="16"/>
          <w:szCs w:val="16"/>
        </w:rPr>
        <w:t>-мещанского городка в промышленный город, насчитывающий до 8000 рабочих.</w:t>
      </w:r>
    </w:p>
    <w:p w14:paraId="07DB842D"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 (17278).</w:t>
      </w:r>
    </w:p>
    <w:p w14:paraId="0B6A7423" w14:textId="77777777" w:rsidR="00902854" w:rsidRPr="007122AB" w:rsidRDefault="00902854" w:rsidP="007122AB">
      <w:pPr>
        <w:autoSpaceDE w:val="0"/>
        <w:autoSpaceDN w:val="0"/>
        <w:adjustRightInd w:val="0"/>
        <w:spacing w:after="0" w:line="240" w:lineRule="auto"/>
        <w:jc w:val="both"/>
        <w:rPr>
          <w:rFonts w:ascii="Times New Roman" w:hAnsi="Times New Roman"/>
          <w:color w:val="000000" w:themeColor="text1"/>
          <w:sz w:val="16"/>
          <w:szCs w:val="16"/>
        </w:rPr>
      </w:pPr>
    </w:p>
    <w:p w14:paraId="0DF628A0" w14:textId="77777777" w:rsidR="008776F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78147A9" w14:textId="77777777" w:rsidR="008776F8" w:rsidRPr="007122AB" w:rsidRDefault="008776F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5A6E772" w14:textId="77777777" w:rsidR="008776F8" w:rsidRPr="007122AB" w:rsidRDefault="008776F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lastRenderedPageBreak/>
        <w:t>7 июля</w:t>
      </w:r>
      <w:r w:rsidRPr="007122AB">
        <w:rPr>
          <w:rFonts w:ascii="Times New Roman" w:hAnsi="Times New Roman"/>
          <w:color w:val="000000" w:themeColor="text1"/>
          <w:sz w:val="16"/>
          <w:szCs w:val="16"/>
        </w:rPr>
        <w:t xml:space="preserve"> в 1931 году выдан заказ фирме «</w:t>
      </w:r>
      <w:proofErr w:type="spellStart"/>
      <w:r w:rsidRPr="007122AB">
        <w:rPr>
          <w:rFonts w:ascii="Times New Roman" w:hAnsi="Times New Roman"/>
          <w:color w:val="000000" w:themeColor="text1"/>
          <w:sz w:val="16"/>
          <w:szCs w:val="16"/>
        </w:rPr>
        <w:t>Консолидейтед</w:t>
      </w:r>
      <w:proofErr w:type="spellEnd"/>
      <w:r w:rsidRPr="007122AB">
        <w:rPr>
          <w:rFonts w:ascii="Times New Roman" w:hAnsi="Times New Roman"/>
          <w:color w:val="000000" w:themeColor="text1"/>
          <w:sz w:val="16"/>
          <w:szCs w:val="16"/>
        </w:rPr>
        <w:t xml:space="preserve">» на постройку 23 летающих лодок </w:t>
      </w:r>
      <w:hyperlink r:id="rId141" w:tgtFrame="_blank" w:history="1">
        <w:r w:rsidRPr="007122AB">
          <w:rPr>
            <w:rFonts w:ascii="Times New Roman" w:hAnsi="Times New Roman"/>
            <w:color w:val="000000" w:themeColor="text1"/>
            <w:sz w:val="16"/>
            <w:szCs w:val="16"/>
          </w:rPr>
          <w:t xml:space="preserve">«P2Y-1», </w:t>
        </w:r>
      </w:hyperlink>
      <w:r w:rsidRPr="007122AB">
        <w:rPr>
          <w:rFonts w:ascii="Times New Roman" w:hAnsi="Times New Roman"/>
          <w:color w:val="000000" w:themeColor="text1"/>
          <w:sz w:val="16"/>
          <w:szCs w:val="16"/>
        </w:rPr>
        <w:t>всего через три месяца после начала строительства прототипа и за девять месяцев до его первого полета (14945).</w:t>
      </w:r>
    </w:p>
    <w:p w14:paraId="1F0A0471" w14:textId="77777777" w:rsidR="008776F8" w:rsidRPr="007122AB" w:rsidRDefault="008776F8" w:rsidP="007122AB">
      <w:pPr>
        <w:spacing w:after="0" w:line="240" w:lineRule="auto"/>
        <w:jc w:val="both"/>
        <w:rPr>
          <w:rFonts w:ascii="Times New Roman" w:hAnsi="Times New Roman"/>
          <w:color w:val="000000" w:themeColor="text1"/>
          <w:sz w:val="16"/>
          <w:szCs w:val="16"/>
        </w:rPr>
      </w:pPr>
    </w:p>
    <w:p w14:paraId="5E5918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B1287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D57CCF"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8-го июля 1931 вышло Постановление ЦИК и Совета Народных Комиссаров СССР о награждении завода № 39 имени Менжинского орденом Ленина - высшей наградой Союза Советских Социалистических Республик, учрежденной Президиумом Центрального Исполнительного Комитета 6-го апреля 1930 года и одновременно предусматривало амнистию большей части заключенных авиаспециалистов. 10-го июля 1931 года Постановление было опубликовано в газете «Правда». Ниже приводятся тексты наградных документов завода № 39, а также поздравительная переписка по этому поводу, которая, предположительно, публикуется впервые.</w:t>
      </w:r>
    </w:p>
    <w:p w14:paraId="0921E9EB"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ПОСТАНОВЛЕНИЕ</w:t>
      </w:r>
    </w:p>
    <w:p w14:paraId="7517923E"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Центрального Исполнительного Комитета и Совета Народных Комиссаров Союза ССР «О награждении авиазавода № 39 за </w:t>
      </w:r>
      <w:proofErr w:type="spellStart"/>
      <w:r w:rsidRPr="007122AB">
        <w:rPr>
          <w:rStyle w:val="af0"/>
          <w:i w:val="0"/>
          <w:color w:val="000000" w:themeColor="text1"/>
          <w:sz w:val="16"/>
          <w:szCs w:val="16"/>
        </w:rPr>
        <w:t>исключительтельные</w:t>
      </w:r>
      <w:proofErr w:type="spellEnd"/>
      <w:r w:rsidRPr="007122AB">
        <w:rPr>
          <w:rStyle w:val="af0"/>
          <w:i w:val="0"/>
          <w:color w:val="000000" w:themeColor="text1"/>
          <w:sz w:val="16"/>
          <w:szCs w:val="16"/>
        </w:rPr>
        <w:t xml:space="preserve"> достижения по самолетостроению Рабоче-Крестьянской Красной Армии».</w:t>
      </w:r>
    </w:p>
    <w:p w14:paraId="2452455E"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Центральный Исполнительный Комитет и Совет Народных Комиссаров Союза ССР постановляют:</w:t>
      </w:r>
    </w:p>
    <w:p w14:paraId="033BEFE8"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1. Констатируя небывалое увеличение темпов и сокращение сроков опытного строительства самолетов для укомплектования Военно-Воздушных сил РККА и отмечая исключительные реальные достижения – выпуск новых типов самолетов стоящих на уровне лучших заграничных образцов, - наградить завод № 39, уже имеющий орден «Трудовое Красное Знамя» - «Орденом Ленина» за выполнение и перевыполнение постановления правительства по опытному самолетостроению.</w:t>
      </w:r>
    </w:p>
    <w:p w14:paraId="2D6F5912"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2.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23B8CD74"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03AE9151"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б) 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Союза ССР и денежной наградой в 10000 рублей.</w:t>
      </w:r>
    </w:p>
    <w:p w14:paraId="5B09906A"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в) Бывшего Технического директора завода № 1 КОСТКИНА Ивана Михайловича – денежной наградой в 3000 рублей.</w:t>
      </w:r>
    </w:p>
    <w:p w14:paraId="18F610FF"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г) Б. (бывшего) постоянного члена Научно-Технического Комитета Управления Военно-Воздушных сил РККА КРЕЙСОНА Павла Мартыновича – денежной наградой в 1000 рублей.</w:t>
      </w:r>
    </w:p>
    <w:p w14:paraId="32F6BBFD"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д) Быв. инженера ВАО ЮРВИЦА Виктора Львовича – денежной наградой в 1000 рублей.</w:t>
      </w:r>
    </w:p>
    <w:p w14:paraId="3E9698F9"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32776DE9"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3. Наградить орденами «Красная Звезда» начальника Центрального Конструктора Бюро завода № 39 тов. ГОРЯНОВА Анатолия Григорьевича и его заместителя тов. ПАУФЛЕРА Николая Евгеньевича за проявленную ими инициативу и упорство по созданию Центрального Конструкторского Бюро, умелую организацию в нем работы для усиления боевой мощи Военно-Воздушных Сил РККА и использование инженеров – бывших вредителей на практической работе.</w:t>
      </w:r>
    </w:p>
    <w:p w14:paraId="2AC05B3D"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4. Наградить орденами « Трудовое Красное Знамя» за образцовую работу и примерность в деле усиления темпов и создание новых образцов самолетов и их вооружения нижеследующих работников завода № 39:</w:t>
      </w:r>
    </w:p>
    <w:p w14:paraId="3078F39A"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РАФАЭЛЬЯНЦА Рама Назаровича, молодого инженера–конструктора, являющегося ближайшим помощником Главного конструктора ГРИГОРОВИЧА и умело воспринимающего его опыт и знания;</w:t>
      </w:r>
    </w:p>
    <w:p w14:paraId="2B261684"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БАШИНА Федора Федоровича – рабочего, групповода по постройке истребителя И-5;</w:t>
      </w:r>
    </w:p>
    <w:p w14:paraId="6F3A88F0"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ШЕСТЕРА Леона Борисовича – рабочего медника, лучшего ударника;</w:t>
      </w:r>
    </w:p>
    <w:p w14:paraId="33A447DD"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ИГНАТОВА Сергея Романовича- рабочего слесаря, лучшего ударника завода;</w:t>
      </w:r>
    </w:p>
    <w:p w14:paraId="4065B9AF"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ЗУЕВА Тимофея Арсеньевича – рабочего слесаря, лучшего ударника завода;</w:t>
      </w:r>
    </w:p>
    <w:p w14:paraId="19914498"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 xml:space="preserve">КРЮКОВА Сергея </w:t>
      </w:r>
      <w:proofErr w:type="spellStart"/>
      <w:r w:rsidRPr="007122AB">
        <w:rPr>
          <w:rStyle w:val="af0"/>
          <w:i w:val="0"/>
          <w:color w:val="000000" w:themeColor="text1"/>
          <w:sz w:val="16"/>
          <w:szCs w:val="16"/>
        </w:rPr>
        <w:t>Меркуловича</w:t>
      </w:r>
      <w:proofErr w:type="spellEnd"/>
      <w:r w:rsidRPr="007122AB">
        <w:rPr>
          <w:rStyle w:val="af0"/>
          <w:i w:val="0"/>
          <w:color w:val="000000" w:themeColor="text1"/>
          <w:sz w:val="16"/>
          <w:szCs w:val="16"/>
        </w:rPr>
        <w:t xml:space="preserve"> – рабочего слесаря, лучшего ударника завода;</w:t>
      </w:r>
    </w:p>
    <w:p w14:paraId="750142C6" w14:textId="77777777" w:rsidR="008776F8" w:rsidRPr="007122AB" w:rsidRDefault="008776F8"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РОМАНЦОВА Ивана Сергеевича – заместителя зав. Производством, выдвиженца из рабочих, обеспечившего умелой организацией указанные высокие темпы постройки новых опытных типов самолетов;</w:t>
      </w:r>
    </w:p>
    <w:p w14:paraId="4C6B91AD"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БУХГОЛЬЦА Бенедикта Леоновича, летчика завода по испытанию новых образцов самолетов и их вооружения.</w:t>
      </w:r>
    </w:p>
    <w:p w14:paraId="55C07B7A"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Председатель Центрального Исполнительного Комитета Союза ССР М. Калинин</w:t>
      </w:r>
    </w:p>
    <w:p w14:paraId="544DEB29"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Председатель Совета Народных Комисаров Союза ССР В. Молотов (Скрябин)</w:t>
      </w:r>
    </w:p>
    <w:p w14:paraId="4C4356B1"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Секретарь Центрального Исполнительного Комитета Союза ССР А. Енукидзе</w:t>
      </w:r>
    </w:p>
    <w:p w14:paraId="4E619320" w14:textId="77777777" w:rsidR="008776F8" w:rsidRPr="007122AB" w:rsidRDefault="008776F8"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Москва, Кремль, 08 июля 1931 года.</w:t>
      </w:r>
    </w:p>
    <w:p w14:paraId="10560FC4"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Имя Н.Н. Поликарпова в вышедшем Постановлении не упоминается</w:t>
      </w:r>
    </w:p>
    <w:p w14:paraId="50A77D36" w14:textId="77777777" w:rsidR="008776F8" w:rsidRPr="007122AB" w:rsidRDefault="008776F8" w:rsidP="007122AB">
      <w:pPr>
        <w:shd w:val="clear" w:color="auto" w:fill="FFFFFF"/>
        <w:spacing w:after="0" w:line="240" w:lineRule="auto"/>
        <w:jc w:val="both"/>
        <w:rPr>
          <w:rFonts w:ascii="Times New Roman" w:hAnsi="Times New Roman"/>
          <w:color w:val="000000" w:themeColor="text1"/>
          <w:sz w:val="16"/>
          <w:szCs w:val="16"/>
        </w:rPr>
      </w:pPr>
    </w:p>
    <w:p w14:paraId="447B6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июля 1931 г. в газетах было опубликовано постановление Президиума ЦИК Союза ССР о награждении завода № 39 орденом Ленина «за исключительные достижения по самолетостроению». Сообщалось также и об амнистировании «...конструкторов, бывших вредителей, приговоренных коллегией ОГПУ к различным мерам социальной защиты, с одновременным их награждением». Почетными грамотами ЦИК СССР и денежными премиями были отмечены </w:t>
      </w:r>
      <w:proofErr w:type="spellStart"/>
      <w:r w:rsidRPr="007122AB">
        <w:rPr>
          <w:rFonts w:ascii="Times New Roman" w:hAnsi="Times New Roman"/>
          <w:color w:val="000000" w:themeColor="text1"/>
          <w:sz w:val="16"/>
          <w:szCs w:val="16"/>
        </w:rPr>
        <w:t>Д.П.Григорович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А.В.Надашкевич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И.М.Косткин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П.М.Крейсон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В.Л.Корвин</w:t>
      </w:r>
      <w:proofErr w:type="spellEnd"/>
      <w:r w:rsidRPr="007122AB">
        <w:rPr>
          <w:rFonts w:ascii="Times New Roman" w:hAnsi="Times New Roman"/>
          <w:color w:val="000000" w:themeColor="text1"/>
          <w:sz w:val="16"/>
          <w:szCs w:val="16"/>
        </w:rPr>
        <w:t xml:space="preserve">-Кербер. Амнистировались все инженеры и техники, «добросовестно работающие в ЦКБ», а руководители «тюремного КБ» </w:t>
      </w:r>
      <w:proofErr w:type="spellStart"/>
      <w:r w:rsidRPr="007122AB">
        <w:rPr>
          <w:rFonts w:ascii="Times New Roman" w:hAnsi="Times New Roman"/>
          <w:color w:val="000000" w:themeColor="text1"/>
          <w:sz w:val="16"/>
          <w:szCs w:val="16"/>
        </w:rPr>
        <w:t>А.Г.Горяинов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xml:space="preserve"> награждены орденом «Красная Звезда» «за проявленную ими инициативу и упорство по созданию ЦКБ, умелую организацию в нем работы и использованию инженеров, бывших вредителей, на практической работе» (9528).</w:t>
      </w:r>
    </w:p>
    <w:p w14:paraId="4CCB3A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82C5B5" w14:textId="77777777" w:rsidR="00C74467" w:rsidRPr="009F5089" w:rsidRDefault="00C74467" w:rsidP="00C74467">
      <w:pPr>
        <w:spacing w:after="0" w:line="240" w:lineRule="auto"/>
        <w:jc w:val="both"/>
        <w:rPr>
          <w:rFonts w:ascii="Times New Roman" w:hAnsi="Times New Roman"/>
          <w:color w:val="0070C0"/>
          <w:sz w:val="16"/>
          <w:szCs w:val="16"/>
        </w:rPr>
      </w:pPr>
      <w:r>
        <w:rPr>
          <w:rFonts w:ascii="Times New Roman" w:hAnsi="Times New Roman"/>
          <w:color w:val="0070C0"/>
          <w:sz w:val="16"/>
          <w:szCs w:val="16"/>
        </w:rPr>
        <w:t>8 ию</w:t>
      </w:r>
      <w:r w:rsidRPr="009F5089">
        <w:rPr>
          <w:rFonts w:ascii="Times New Roman" w:hAnsi="Times New Roman"/>
          <w:color w:val="0070C0"/>
          <w:sz w:val="16"/>
          <w:szCs w:val="16"/>
        </w:rPr>
        <w:t>ля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связи с награждением </w:t>
      </w:r>
      <w:r>
        <w:rPr>
          <w:rFonts w:ascii="Times New Roman" w:hAnsi="Times New Roman"/>
          <w:color w:val="0070C0"/>
          <w:sz w:val="16"/>
          <w:szCs w:val="16"/>
        </w:rPr>
        <w:t>завода № 39</w:t>
      </w:r>
      <w:r w:rsidRPr="009F5089">
        <w:rPr>
          <w:rFonts w:ascii="Times New Roman" w:hAnsi="Times New Roman"/>
          <w:color w:val="0070C0"/>
          <w:sz w:val="16"/>
          <w:szCs w:val="16"/>
        </w:rPr>
        <w:t xml:space="preserve"> орденом Ленина за </w:t>
      </w:r>
      <w:r>
        <w:rPr>
          <w:rFonts w:ascii="Times New Roman" w:hAnsi="Times New Roman"/>
          <w:color w:val="0070C0"/>
          <w:sz w:val="16"/>
          <w:szCs w:val="16"/>
        </w:rPr>
        <w:t xml:space="preserve">успехи в опытном строительстве самолетов, </w:t>
      </w:r>
      <w:r w:rsidRPr="009F5089">
        <w:rPr>
          <w:rFonts w:ascii="Times New Roman" w:hAnsi="Times New Roman"/>
          <w:color w:val="0070C0"/>
          <w:sz w:val="16"/>
          <w:szCs w:val="16"/>
        </w:rPr>
        <w:t xml:space="preserve">Президиум ЦИК Союза ССР </w:t>
      </w:r>
      <w:r>
        <w:rPr>
          <w:rFonts w:ascii="Times New Roman" w:hAnsi="Times New Roman"/>
          <w:color w:val="0070C0"/>
          <w:sz w:val="16"/>
          <w:szCs w:val="16"/>
        </w:rPr>
        <w:t xml:space="preserve">амнистировал </w:t>
      </w:r>
      <w:r w:rsidRPr="009F5089">
        <w:rPr>
          <w:rFonts w:ascii="Times New Roman" w:hAnsi="Times New Roman"/>
          <w:color w:val="0070C0"/>
          <w:sz w:val="16"/>
          <w:szCs w:val="16"/>
        </w:rPr>
        <w:t>с одновременным денежным награждением группу ав</w:t>
      </w:r>
      <w:r>
        <w:rPr>
          <w:rFonts w:ascii="Times New Roman" w:hAnsi="Times New Roman"/>
          <w:color w:val="0070C0"/>
          <w:sz w:val="16"/>
          <w:szCs w:val="16"/>
        </w:rPr>
        <w:t>и</w:t>
      </w:r>
      <w:r w:rsidRPr="009F5089">
        <w:rPr>
          <w:rFonts w:ascii="Times New Roman" w:hAnsi="Times New Roman"/>
          <w:color w:val="0070C0"/>
          <w:sz w:val="16"/>
          <w:szCs w:val="16"/>
        </w:rPr>
        <w:t>аконструкторов,</w:t>
      </w:r>
      <w:r>
        <w:rPr>
          <w:rFonts w:ascii="Times New Roman" w:hAnsi="Times New Roman"/>
          <w:color w:val="0070C0"/>
          <w:sz w:val="16"/>
          <w:szCs w:val="16"/>
        </w:rPr>
        <w:t xml:space="preserve"> </w:t>
      </w:r>
      <w:r w:rsidRPr="009F5089">
        <w:rPr>
          <w:rFonts w:ascii="Times New Roman" w:hAnsi="Times New Roman"/>
          <w:color w:val="0070C0"/>
          <w:sz w:val="16"/>
          <w:szCs w:val="16"/>
        </w:rPr>
        <w:t>осужденных О</w:t>
      </w:r>
      <w:r>
        <w:rPr>
          <w:rFonts w:ascii="Times New Roman" w:hAnsi="Times New Roman"/>
          <w:color w:val="0070C0"/>
          <w:sz w:val="16"/>
          <w:szCs w:val="16"/>
        </w:rPr>
        <w:t>ГП</w:t>
      </w:r>
      <w:r w:rsidRPr="009F5089">
        <w:rPr>
          <w:rFonts w:ascii="Times New Roman" w:hAnsi="Times New Roman"/>
          <w:color w:val="0070C0"/>
          <w:sz w:val="16"/>
          <w:szCs w:val="16"/>
        </w:rPr>
        <w:t>У за "вредительство* и отбы</w:t>
      </w:r>
      <w:r>
        <w:rPr>
          <w:rFonts w:ascii="Times New Roman" w:hAnsi="Times New Roman"/>
          <w:color w:val="0070C0"/>
          <w:sz w:val="16"/>
          <w:szCs w:val="16"/>
        </w:rPr>
        <w:t xml:space="preserve">вающих </w:t>
      </w:r>
      <w:r w:rsidRPr="009F5089">
        <w:rPr>
          <w:rFonts w:ascii="Times New Roman" w:hAnsi="Times New Roman"/>
          <w:color w:val="0070C0"/>
          <w:sz w:val="16"/>
          <w:szCs w:val="16"/>
        </w:rPr>
        <w:t>наказание в ЦКБ при этом заводе.</w:t>
      </w:r>
      <w:r>
        <w:rPr>
          <w:rFonts w:ascii="Times New Roman" w:hAnsi="Times New Roman"/>
          <w:color w:val="0070C0"/>
          <w:sz w:val="16"/>
          <w:szCs w:val="16"/>
        </w:rPr>
        <w:t xml:space="preserve"> </w:t>
      </w:r>
      <w:r w:rsidRPr="009F5089">
        <w:rPr>
          <w:rFonts w:ascii="Times New Roman" w:hAnsi="Times New Roman"/>
          <w:color w:val="0070C0"/>
          <w:sz w:val="16"/>
          <w:szCs w:val="16"/>
        </w:rPr>
        <w:t>Амнистированы и награжде</w:t>
      </w:r>
      <w:r>
        <w:rPr>
          <w:rFonts w:ascii="Times New Roman" w:hAnsi="Times New Roman"/>
          <w:color w:val="0070C0"/>
          <w:sz w:val="16"/>
          <w:szCs w:val="16"/>
        </w:rPr>
        <w:t xml:space="preserve">ны </w:t>
      </w:r>
      <w:proofErr w:type="spellStart"/>
      <w:r>
        <w:rPr>
          <w:rFonts w:ascii="Times New Roman" w:hAnsi="Times New Roman"/>
          <w:color w:val="0070C0"/>
          <w:sz w:val="16"/>
          <w:szCs w:val="16"/>
        </w:rPr>
        <w:t>Д.</w:t>
      </w:r>
      <w:r w:rsidRPr="009F5089">
        <w:rPr>
          <w:rFonts w:ascii="Times New Roman" w:hAnsi="Times New Roman"/>
          <w:color w:val="0070C0"/>
          <w:sz w:val="16"/>
          <w:szCs w:val="16"/>
        </w:rPr>
        <w:t>П,Гр</w:t>
      </w:r>
      <w:r>
        <w:rPr>
          <w:rFonts w:ascii="Times New Roman" w:hAnsi="Times New Roman"/>
          <w:color w:val="0070C0"/>
          <w:sz w:val="16"/>
          <w:szCs w:val="16"/>
        </w:rPr>
        <w:t>и</w:t>
      </w:r>
      <w:r w:rsidRPr="009F5089">
        <w:rPr>
          <w:rFonts w:ascii="Times New Roman" w:hAnsi="Times New Roman"/>
          <w:color w:val="0070C0"/>
          <w:sz w:val="16"/>
          <w:szCs w:val="16"/>
        </w:rPr>
        <w:t>г</w:t>
      </w:r>
      <w:r>
        <w:rPr>
          <w:rFonts w:ascii="Times New Roman" w:hAnsi="Times New Roman"/>
          <w:color w:val="0070C0"/>
          <w:sz w:val="16"/>
          <w:szCs w:val="16"/>
        </w:rPr>
        <w:t>о</w:t>
      </w:r>
      <w:r w:rsidRPr="009F5089">
        <w:rPr>
          <w:rFonts w:ascii="Times New Roman" w:hAnsi="Times New Roman"/>
          <w:color w:val="0070C0"/>
          <w:sz w:val="16"/>
          <w:szCs w:val="16"/>
        </w:rPr>
        <w:t>ро</w:t>
      </w:r>
      <w:r>
        <w:rPr>
          <w:rFonts w:ascii="Times New Roman" w:hAnsi="Times New Roman"/>
          <w:color w:val="0070C0"/>
          <w:sz w:val="16"/>
          <w:szCs w:val="16"/>
        </w:rPr>
        <w:t>в</w:t>
      </w:r>
      <w:r w:rsidRPr="009F5089">
        <w:rPr>
          <w:rFonts w:ascii="Times New Roman" w:hAnsi="Times New Roman"/>
          <w:color w:val="0070C0"/>
          <w:sz w:val="16"/>
          <w:szCs w:val="16"/>
        </w:rPr>
        <w:t>ич</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proofErr w:type="spellStart"/>
      <w:r>
        <w:rPr>
          <w:rFonts w:ascii="Times New Roman" w:hAnsi="Times New Roman"/>
          <w:color w:val="0070C0"/>
          <w:sz w:val="16"/>
          <w:szCs w:val="16"/>
        </w:rPr>
        <w:t>А.В.Надаш</w:t>
      </w:r>
      <w:r w:rsidRPr="009F5089">
        <w:rPr>
          <w:rFonts w:ascii="Times New Roman" w:hAnsi="Times New Roman"/>
          <w:color w:val="0070C0"/>
          <w:sz w:val="16"/>
          <w:szCs w:val="16"/>
        </w:rPr>
        <w:t>кевич</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И.Н.Косткин</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П.М.Крей</w:t>
      </w:r>
      <w:r>
        <w:rPr>
          <w:rFonts w:ascii="Times New Roman" w:hAnsi="Times New Roman"/>
          <w:color w:val="0070C0"/>
          <w:sz w:val="16"/>
          <w:szCs w:val="16"/>
        </w:rPr>
        <w:t>с</w:t>
      </w:r>
      <w:r w:rsidRPr="009F5089">
        <w:rPr>
          <w:rFonts w:ascii="Times New Roman" w:hAnsi="Times New Roman"/>
          <w:color w:val="0070C0"/>
          <w:sz w:val="16"/>
          <w:szCs w:val="16"/>
        </w:rPr>
        <w:t>он</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В.Л.Корвин</w:t>
      </w:r>
      <w:proofErr w:type="spellEnd"/>
      <w:r w:rsidRPr="009F5089">
        <w:rPr>
          <w:rFonts w:ascii="Times New Roman" w:hAnsi="Times New Roman"/>
          <w:color w:val="0070C0"/>
          <w:sz w:val="16"/>
          <w:szCs w:val="16"/>
        </w:rPr>
        <w:t>-</w:t>
      </w:r>
      <w:r>
        <w:rPr>
          <w:rFonts w:ascii="Times New Roman" w:hAnsi="Times New Roman"/>
          <w:color w:val="0070C0"/>
          <w:sz w:val="16"/>
          <w:szCs w:val="16"/>
        </w:rPr>
        <w:t>Кербер, ле</w:t>
      </w:r>
      <w:r w:rsidRPr="009F5089">
        <w:rPr>
          <w:rFonts w:ascii="Times New Roman" w:hAnsi="Times New Roman"/>
          <w:color w:val="0070C0"/>
          <w:sz w:val="16"/>
          <w:szCs w:val="16"/>
        </w:rPr>
        <w:t>тч</w:t>
      </w:r>
      <w:r>
        <w:rPr>
          <w:rFonts w:ascii="Times New Roman" w:hAnsi="Times New Roman"/>
          <w:color w:val="0070C0"/>
          <w:sz w:val="16"/>
          <w:szCs w:val="16"/>
        </w:rPr>
        <w:t>и</w:t>
      </w:r>
      <w:r w:rsidRPr="009F5089">
        <w:rPr>
          <w:rFonts w:ascii="Times New Roman" w:hAnsi="Times New Roman"/>
          <w:color w:val="0070C0"/>
          <w:sz w:val="16"/>
          <w:szCs w:val="16"/>
        </w:rPr>
        <w:t>к-испыт</w:t>
      </w:r>
      <w:r>
        <w:rPr>
          <w:rFonts w:ascii="Times New Roman" w:hAnsi="Times New Roman"/>
          <w:color w:val="0070C0"/>
          <w:sz w:val="16"/>
          <w:szCs w:val="16"/>
        </w:rPr>
        <w:t>а</w:t>
      </w:r>
      <w:r w:rsidRPr="009F5089">
        <w:rPr>
          <w:rFonts w:ascii="Times New Roman" w:hAnsi="Times New Roman"/>
          <w:color w:val="0070C0"/>
          <w:sz w:val="16"/>
          <w:szCs w:val="16"/>
        </w:rPr>
        <w:t xml:space="preserve">тель завода </w:t>
      </w:r>
      <w:proofErr w:type="spellStart"/>
      <w:r w:rsidRPr="009F5089">
        <w:rPr>
          <w:rFonts w:ascii="Times New Roman" w:hAnsi="Times New Roman"/>
          <w:color w:val="0070C0"/>
          <w:sz w:val="16"/>
          <w:szCs w:val="16"/>
        </w:rPr>
        <w:t>Б.Л.Бухгольц</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способствовавший вы</w:t>
      </w:r>
      <w:r>
        <w:rPr>
          <w:rFonts w:ascii="Times New Roman" w:hAnsi="Times New Roman"/>
          <w:color w:val="0070C0"/>
          <w:sz w:val="16"/>
          <w:szCs w:val="16"/>
        </w:rPr>
        <w:t xml:space="preserve">пуску </w:t>
      </w:r>
      <w:r w:rsidRPr="009F5089">
        <w:rPr>
          <w:rFonts w:ascii="Times New Roman" w:hAnsi="Times New Roman"/>
          <w:color w:val="0070C0"/>
          <w:sz w:val="16"/>
          <w:szCs w:val="16"/>
        </w:rPr>
        <w:t xml:space="preserve">опытных </w:t>
      </w:r>
      <w:proofErr w:type="spellStart"/>
      <w:r w:rsidRPr="009F5089">
        <w:rPr>
          <w:rFonts w:ascii="Times New Roman" w:hAnsi="Times New Roman"/>
          <w:color w:val="0070C0"/>
          <w:sz w:val="16"/>
          <w:szCs w:val="16"/>
        </w:rPr>
        <w:t>самол</w:t>
      </w:r>
      <w:r>
        <w:rPr>
          <w:rFonts w:ascii="Times New Roman" w:hAnsi="Times New Roman"/>
          <w:color w:val="0070C0"/>
          <w:sz w:val="16"/>
          <w:szCs w:val="16"/>
        </w:rPr>
        <w:t>к</w:t>
      </w:r>
      <w:r w:rsidRPr="009F5089">
        <w:rPr>
          <w:rFonts w:ascii="Times New Roman" w:hAnsi="Times New Roman"/>
          <w:color w:val="0070C0"/>
          <w:sz w:val="16"/>
          <w:szCs w:val="16"/>
        </w:rPr>
        <w:t>тов</w:t>
      </w:r>
      <w:proofErr w:type="spellEnd"/>
      <w:r w:rsidRPr="009F5089">
        <w:rPr>
          <w:rFonts w:ascii="Times New Roman" w:hAnsi="Times New Roman"/>
          <w:color w:val="0070C0"/>
          <w:sz w:val="16"/>
          <w:szCs w:val="16"/>
        </w:rPr>
        <w:t>, награжд</w:t>
      </w:r>
      <w:r>
        <w:rPr>
          <w:rFonts w:ascii="Times New Roman" w:hAnsi="Times New Roman"/>
          <w:color w:val="0070C0"/>
          <w:sz w:val="16"/>
          <w:szCs w:val="16"/>
        </w:rPr>
        <w:t>ен</w:t>
      </w:r>
      <w:r w:rsidRPr="009F5089">
        <w:rPr>
          <w:rFonts w:ascii="Times New Roman" w:hAnsi="Times New Roman"/>
          <w:color w:val="0070C0"/>
          <w:sz w:val="16"/>
          <w:szCs w:val="16"/>
        </w:rPr>
        <w:t xml:space="preserve"> орденом трудового Красного Знамени.</w:t>
      </w:r>
    </w:p>
    <w:p w14:paraId="11E79DED" w14:textId="77777777" w:rsidR="00C74467" w:rsidRPr="009F5089" w:rsidRDefault="00C74467" w:rsidP="00C74467">
      <w:pPr>
        <w:spacing w:after="0" w:line="240" w:lineRule="auto"/>
        <w:jc w:val="both"/>
        <w:rPr>
          <w:rFonts w:ascii="Times New Roman" w:hAnsi="Times New Roman"/>
          <w:color w:val="0070C0"/>
          <w:sz w:val="16"/>
          <w:szCs w:val="16"/>
        </w:rPr>
      </w:pPr>
      <w:r>
        <w:rPr>
          <w:rFonts w:ascii="Times New Roman" w:hAnsi="Times New Roman"/>
          <w:color w:val="0070C0"/>
          <w:sz w:val="16"/>
          <w:szCs w:val="16"/>
        </w:rPr>
        <w:t>/«К</w:t>
      </w:r>
      <w:r w:rsidRPr="009F5089">
        <w:rPr>
          <w:rFonts w:ascii="Times New Roman" w:hAnsi="Times New Roman"/>
          <w:color w:val="0070C0"/>
          <w:sz w:val="16"/>
          <w:szCs w:val="16"/>
        </w:rPr>
        <w:t>расная звезда</w:t>
      </w:r>
      <w:r>
        <w:rPr>
          <w:rFonts w:ascii="Times New Roman" w:hAnsi="Times New Roman"/>
          <w:color w:val="0070C0"/>
          <w:sz w:val="16"/>
          <w:szCs w:val="16"/>
        </w:rPr>
        <w:t>»</w:t>
      </w:r>
      <w:r w:rsidRPr="009F5089">
        <w:rPr>
          <w:rFonts w:ascii="Times New Roman" w:hAnsi="Times New Roman"/>
          <w:color w:val="0070C0"/>
          <w:sz w:val="16"/>
          <w:szCs w:val="16"/>
        </w:rPr>
        <w:t xml:space="preserve"> за 1</w:t>
      </w:r>
      <w:r>
        <w:rPr>
          <w:rFonts w:ascii="Times New Roman" w:hAnsi="Times New Roman"/>
          <w:color w:val="0070C0"/>
          <w:sz w:val="16"/>
          <w:szCs w:val="16"/>
        </w:rPr>
        <w:t>0 июля 1931 г./ (23370).</w:t>
      </w:r>
    </w:p>
    <w:p w14:paraId="7DA25999" w14:textId="77777777" w:rsidR="00C74467" w:rsidRDefault="00C74467" w:rsidP="00C74467">
      <w:pPr>
        <w:spacing w:after="0" w:line="240" w:lineRule="auto"/>
        <w:jc w:val="both"/>
        <w:rPr>
          <w:rFonts w:ascii="Times New Roman" w:hAnsi="Times New Roman"/>
          <w:color w:val="0070C0"/>
          <w:sz w:val="16"/>
          <w:szCs w:val="16"/>
        </w:rPr>
      </w:pPr>
    </w:p>
    <w:p w14:paraId="7506A458" w14:textId="77777777" w:rsidR="007F54AB" w:rsidRPr="007122AB" w:rsidRDefault="007F54AB"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8 июля 1931 г. решением Коллегии ОГПУ от 14 осужденных по делу освободили, однако разделили на три категории. Отнесенные к первой категории (С. Макаровский, Д. Григорович, А. Безсонов и В. Днепров) подлежали безусловному освобождению; ко второй (А </w:t>
      </w:r>
      <w:proofErr w:type="spellStart"/>
      <w:r w:rsidRPr="007122AB">
        <w:rPr>
          <w:color w:val="000000" w:themeColor="text1"/>
          <w:sz w:val="16"/>
          <w:szCs w:val="16"/>
        </w:rPr>
        <w:t>Надашкевич</w:t>
      </w:r>
      <w:proofErr w:type="spellEnd"/>
      <w:r w:rsidRPr="007122AB">
        <w:rPr>
          <w:color w:val="000000" w:themeColor="text1"/>
          <w:sz w:val="16"/>
          <w:szCs w:val="16"/>
        </w:rPr>
        <w:t>, И. Косткин и еще 4 человека) — определялись под негласный надзор ОГПУ; к третьей (всего 4 человека) — под гласный надзор[1187].</w:t>
      </w:r>
    </w:p>
    <w:p w14:paraId="1ADBAD9F" w14:textId="77777777" w:rsidR="007F54AB" w:rsidRPr="007122AB" w:rsidRDefault="007F54AB"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Вскоре освободили и остальных осужденных, включая и Н. Поликарпова (20403)</w:t>
      </w:r>
    </w:p>
    <w:p w14:paraId="78A07BA8" w14:textId="77777777" w:rsidR="007F54AB" w:rsidRPr="007122AB" w:rsidRDefault="007F54AB" w:rsidP="007122AB">
      <w:pPr>
        <w:spacing w:after="0" w:line="240" w:lineRule="auto"/>
        <w:jc w:val="both"/>
        <w:rPr>
          <w:rFonts w:ascii="Times New Roman" w:hAnsi="Times New Roman"/>
          <w:color w:val="000000" w:themeColor="text1"/>
          <w:sz w:val="16"/>
          <w:szCs w:val="16"/>
        </w:rPr>
      </w:pPr>
    </w:p>
    <w:p w14:paraId="2B9D611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FA2630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BEF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июля 1931 года в протоколе заседания "Правительственной комиссии тов. Андреева по кулакам" есть следующие строки: "Удовлетворить заявки </w:t>
      </w:r>
      <w:proofErr w:type="spellStart"/>
      <w:r w:rsidRPr="007122AB">
        <w:rPr>
          <w:rFonts w:ascii="Times New Roman" w:hAnsi="Times New Roman"/>
          <w:color w:val="000000" w:themeColor="text1"/>
          <w:sz w:val="16"/>
          <w:szCs w:val="16"/>
        </w:rPr>
        <w:t>Востокстали</w:t>
      </w:r>
      <w:proofErr w:type="spellEnd"/>
      <w:r w:rsidRPr="007122AB">
        <w:rPr>
          <w:rFonts w:ascii="Times New Roman" w:hAnsi="Times New Roman"/>
          <w:color w:val="000000" w:themeColor="text1"/>
          <w:sz w:val="16"/>
          <w:szCs w:val="16"/>
        </w:rPr>
        <w:t xml:space="preserve"> на 18.200 семей спецпереселенцев". Из них тысяча семей из Центрального Черноземья - около семи тысяч человек - предназначалась специально для </w:t>
      </w:r>
      <w:proofErr w:type="spellStart"/>
      <w:r w:rsidRPr="007122AB">
        <w:rPr>
          <w:rFonts w:ascii="Times New Roman" w:hAnsi="Times New Roman"/>
          <w:color w:val="000000" w:themeColor="text1"/>
          <w:sz w:val="16"/>
          <w:szCs w:val="16"/>
        </w:rPr>
        <w:t>Синарстроя</w:t>
      </w:r>
      <w:proofErr w:type="spellEnd"/>
      <w:r w:rsidRPr="007122AB">
        <w:rPr>
          <w:rFonts w:ascii="Times New Roman" w:hAnsi="Times New Roman"/>
          <w:color w:val="000000" w:themeColor="text1"/>
          <w:sz w:val="16"/>
          <w:szCs w:val="16"/>
        </w:rPr>
        <w:t xml:space="preserve">. Всего за три дня - с 9 по 11 июля - людей собрали, лишили имущества, осудили и поставили под конвой. А двумя месяцами раньше неутомимый партиец И. Д. Кабаков перехватил на Волге несколько эшелонов с "живым грузом", идущих по предписанию в голые казахские степи, и повернул их к себе, на более-менее обустроенный Урал, на </w:t>
      </w:r>
      <w:proofErr w:type="spellStart"/>
      <w:r w:rsidRPr="007122AB">
        <w:rPr>
          <w:rFonts w:ascii="Times New Roman" w:hAnsi="Times New Roman"/>
          <w:color w:val="000000" w:themeColor="text1"/>
          <w:sz w:val="16"/>
          <w:szCs w:val="16"/>
        </w:rPr>
        <w:t>Синарстрой</w:t>
      </w:r>
      <w:proofErr w:type="spellEnd"/>
      <w:r w:rsidRPr="007122AB">
        <w:rPr>
          <w:rFonts w:ascii="Times New Roman" w:hAnsi="Times New Roman"/>
          <w:color w:val="000000" w:themeColor="text1"/>
          <w:sz w:val="16"/>
          <w:szCs w:val="16"/>
        </w:rPr>
        <w:t>. Эти-то люди и оказались первостроителями трубного завода ("Наука и жизнь", №11, 2004) (11515).</w:t>
      </w:r>
    </w:p>
    <w:p w14:paraId="7009A4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03825E" w14:textId="77777777" w:rsidR="003562F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AAD37C6" w14:textId="77777777" w:rsidR="003562F3" w:rsidRPr="007122AB" w:rsidRDefault="003562F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4188C9" w14:textId="77777777" w:rsidR="003562F3" w:rsidRPr="007122AB" w:rsidRDefault="003562F3"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июля 1931 г. прошли первые ис</w:t>
      </w:r>
      <w:r w:rsidRPr="007122AB">
        <w:rPr>
          <w:rFonts w:ascii="Times New Roman" w:hAnsi="Times New Roman"/>
          <w:color w:val="000000" w:themeColor="text1"/>
          <w:sz w:val="16"/>
          <w:szCs w:val="16"/>
        </w:rPr>
        <w:softHyphen/>
        <w:t>пытания образцов воздушно-десант</w:t>
      </w:r>
      <w:r w:rsidRPr="007122AB">
        <w:rPr>
          <w:rFonts w:ascii="Times New Roman" w:hAnsi="Times New Roman"/>
          <w:color w:val="000000" w:themeColor="text1"/>
          <w:sz w:val="16"/>
          <w:szCs w:val="16"/>
        </w:rPr>
        <w:softHyphen/>
        <w:t>ной техники, созданных отделом Гро</w:t>
      </w:r>
      <w:r w:rsidRPr="007122AB">
        <w:rPr>
          <w:rFonts w:ascii="Times New Roman" w:hAnsi="Times New Roman"/>
          <w:color w:val="000000" w:themeColor="text1"/>
          <w:sz w:val="16"/>
          <w:szCs w:val="16"/>
        </w:rPr>
        <w:softHyphen/>
        <w:t>ховского, среди которых были: хлопча</w:t>
      </w:r>
      <w:r w:rsidRPr="007122AB">
        <w:rPr>
          <w:rFonts w:ascii="Times New Roman" w:hAnsi="Times New Roman"/>
          <w:color w:val="000000" w:themeColor="text1"/>
          <w:sz w:val="16"/>
          <w:szCs w:val="16"/>
        </w:rPr>
        <w:softHyphen/>
        <w:t xml:space="preserve">тобумажные парашюты, парашют с </w:t>
      </w:r>
      <w:proofErr w:type="spellStart"/>
      <w:r w:rsidRPr="007122AB">
        <w:rPr>
          <w:rFonts w:ascii="Times New Roman" w:hAnsi="Times New Roman"/>
          <w:color w:val="000000" w:themeColor="text1"/>
          <w:sz w:val="16"/>
          <w:szCs w:val="16"/>
        </w:rPr>
        <w:t>фалой</w:t>
      </w:r>
      <w:proofErr w:type="spellEnd"/>
      <w:r w:rsidRPr="007122AB">
        <w:rPr>
          <w:rFonts w:ascii="Times New Roman" w:hAnsi="Times New Roman"/>
          <w:color w:val="000000" w:themeColor="text1"/>
          <w:sz w:val="16"/>
          <w:szCs w:val="16"/>
        </w:rPr>
        <w:t xml:space="preserve"> принудительного раскрытия; </w:t>
      </w:r>
      <w:proofErr w:type="spellStart"/>
      <w:r w:rsidRPr="007122AB">
        <w:rPr>
          <w:rFonts w:ascii="Times New Roman" w:hAnsi="Times New Roman"/>
          <w:color w:val="000000" w:themeColor="text1"/>
          <w:sz w:val="16"/>
          <w:szCs w:val="16"/>
        </w:rPr>
        <w:t>подкрыльевые</w:t>
      </w:r>
      <w:proofErr w:type="spellEnd"/>
      <w:r w:rsidRPr="007122AB">
        <w:rPr>
          <w:rFonts w:ascii="Times New Roman" w:hAnsi="Times New Roman"/>
          <w:color w:val="000000" w:themeColor="text1"/>
          <w:sz w:val="16"/>
          <w:szCs w:val="16"/>
        </w:rPr>
        <w:t xml:space="preserve"> люльки для парашюти</w:t>
      </w:r>
      <w:r w:rsidRPr="007122AB">
        <w:rPr>
          <w:rFonts w:ascii="Times New Roman" w:hAnsi="Times New Roman"/>
          <w:color w:val="000000" w:themeColor="text1"/>
          <w:sz w:val="16"/>
          <w:szCs w:val="16"/>
        </w:rPr>
        <w:softHyphen/>
        <w:t>стов, десантные комбинезоны, 13 апре</w:t>
      </w:r>
      <w:r w:rsidRPr="007122AB">
        <w:rPr>
          <w:rFonts w:ascii="Times New Roman" w:hAnsi="Times New Roman"/>
          <w:color w:val="000000" w:themeColor="text1"/>
          <w:sz w:val="16"/>
          <w:szCs w:val="16"/>
        </w:rPr>
        <w:softHyphen/>
        <w:t>ля 1932 г. начальник вооружений РККА М.Н. Тухачевский утвердил положе</w:t>
      </w:r>
      <w:r w:rsidRPr="007122AB">
        <w:rPr>
          <w:rFonts w:ascii="Times New Roman" w:hAnsi="Times New Roman"/>
          <w:color w:val="000000" w:themeColor="text1"/>
          <w:sz w:val="16"/>
          <w:szCs w:val="16"/>
        </w:rPr>
        <w:softHyphen/>
        <w:t>ние об Особом конструкторском (конструкторско-производственном) бюро ВВС РККА. При ОКБ Гроховского со</w:t>
      </w:r>
      <w:r w:rsidRPr="007122AB">
        <w:rPr>
          <w:rFonts w:ascii="Times New Roman" w:hAnsi="Times New Roman"/>
          <w:color w:val="000000" w:themeColor="text1"/>
          <w:sz w:val="16"/>
          <w:szCs w:val="16"/>
        </w:rPr>
        <w:softHyphen/>
        <w:t>здали экспериментальный завод, ему подчинили летный отряд. В том же году ОКБ сдало на вооружение грузовые мягкие парашютно-десантные мешки ПДММ для сброса груза массой до 100 кг (индивидуальное и групповое оружие, боеприпасы, продовольствие и т.п.), парашютно-десантные бензи</w:t>
      </w:r>
      <w:r w:rsidRPr="007122AB">
        <w:rPr>
          <w:rFonts w:ascii="Times New Roman" w:hAnsi="Times New Roman"/>
          <w:color w:val="000000" w:themeColor="text1"/>
          <w:sz w:val="16"/>
          <w:szCs w:val="16"/>
        </w:rPr>
        <w:softHyphen/>
        <w:t>новые баки ПДББ-250 и ПДББ-450. Прошел испытания разработанный Гроховским, Титовым и Афанасьевым метод срыва (парашют раскрывался до отделения груза от носителя, укоро</w:t>
      </w:r>
      <w:r w:rsidRPr="007122AB">
        <w:rPr>
          <w:rFonts w:ascii="Times New Roman" w:hAnsi="Times New Roman"/>
          <w:color w:val="000000" w:themeColor="text1"/>
          <w:sz w:val="16"/>
          <w:szCs w:val="16"/>
        </w:rPr>
        <w:softHyphen/>
        <w:t>ченной стропой открывал замки креп</w:t>
      </w:r>
      <w:r w:rsidRPr="007122AB">
        <w:rPr>
          <w:rFonts w:ascii="Times New Roman" w:hAnsi="Times New Roman"/>
          <w:color w:val="000000" w:themeColor="text1"/>
          <w:sz w:val="16"/>
          <w:szCs w:val="16"/>
        </w:rPr>
        <w:softHyphen/>
        <w:t>ления и стягивал груз с носителя) (11752).</w:t>
      </w:r>
    </w:p>
    <w:p w14:paraId="57296966" w14:textId="77777777" w:rsidR="003562F3" w:rsidRPr="007122AB" w:rsidRDefault="003562F3"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BD5A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июля 1931 первая женщина - </w:t>
      </w:r>
      <w:proofErr w:type="spellStart"/>
      <w:r w:rsidRPr="007122AB">
        <w:rPr>
          <w:rFonts w:ascii="Times New Roman" w:hAnsi="Times New Roman"/>
          <w:color w:val="000000" w:themeColor="text1"/>
          <w:sz w:val="16"/>
          <w:szCs w:val="16"/>
        </w:rPr>
        <w:t>Л.С.Кулешова</w:t>
      </w:r>
      <w:proofErr w:type="spellEnd"/>
      <w:r w:rsidRPr="007122AB">
        <w:rPr>
          <w:rFonts w:ascii="Times New Roman" w:hAnsi="Times New Roman"/>
          <w:color w:val="000000" w:themeColor="text1"/>
          <w:sz w:val="16"/>
          <w:szCs w:val="16"/>
        </w:rPr>
        <w:t xml:space="preserve"> совершил прыжок с ТБ-1 из подкрыльной кассеты для перевозки десантников системы </w:t>
      </w:r>
      <w:proofErr w:type="spellStart"/>
      <w:r w:rsidRPr="007122AB">
        <w:rPr>
          <w:rFonts w:ascii="Times New Roman" w:hAnsi="Times New Roman"/>
          <w:color w:val="000000" w:themeColor="text1"/>
          <w:sz w:val="16"/>
          <w:szCs w:val="16"/>
        </w:rPr>
        <w:t>П.И.Гроховского</w:t>
      </w:r>
      <w:proofErr w:type="spellEnd"/>
      <w:r w:rsidRPr="007122AB">
        <w:rPr>
          <w:rFonts w:ascii="Times New Roman" w:hAnsi="Times New Roman"/>
          <w:color w:val="000000" w:themeColor="text1"/>
          <w:sz w:val="16"/>
          <w:szCs w:val="16"/>
        </w:rPr>
        <w:t>. Опрокидывающиеся люльки подвешивались на бомбодержателях (346,18).</w:t>
      </w:r>
    </w:p>
    <w:p w14:paraId="7D560D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3E20E7" w14:textId="77777777" w:rsidR="00E812E3" w:rsidRPr="007122AB" w:rsidRDefault="00E812E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июля в 1931 впервые первой среди женщин в СССР совершила прыжок с самолета Лидия Кулешова (Епишева) - на групповом снимке справа вверху.</w:t>
      </w:r>
    </w:p>
    <w:p w14:paraId="0F811EA7" w14:textId="77777777" w:rsidR="00E812E3" w:rsidRPr="007122AB" w:rsidRDefault="00E812E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июля 1931 года стояла безоблачная погода. Вся группа новичков выехала на Центральный аэродром. Под крыльями «ТБ-1» висели люльки, из которых и предстояло прыгать.</w:t>
      </w:r>
    </w:p>
    <w:p w14:paraId="6781B340" w14:textId="77777777" w:rsidR="00E812E3" w:rsidRPr="007122AB" w:rsidRDefault="00E812E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Волновалась ли? ─ улыбается Лидия Сергеевна. ─ А как же иначе! Надо мной мужчины подшучивали: «Смотри не сломай ногу, замуж не возьмем». Да и лежать в этой люльке неудобно. Ничего не видно. Не знаешь, ни какая высота, ни где летишь, и каждую секунду ждешь: вот-вот вывалишься вниз. Сейчас спортсмены прыгают с двумя парашютами ─ основным и запасным. Тогда имела только один. Валерий Павлович Чкалов уговаривал меня не прыгать, но, поняв, что старается напрасно, стал подбадривать.</w:t>
      </w:r>
    </w:p>
    <w:p w14:paraId="75C67C22" w14:textId="77777777" w:rsidR="00E812E3" w:rsidRPr="007122AB" w:rsidRDefault="00E812E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Сколько времени летели ─ не знаю, но показалось ─ целая вечность. Вдруг что-то щелкнуло, и я провалилась вниз. Холодный поток воздуха и сильный динамический удар, от которого искры посыпались из глаз, привели меня в чувство ─ я увидела огромный купол над головой...] Первая советская парашютистка Лидия Кулешова участвовала в массовом десанте 18 августа 1933 года на воздушном параде (14947).</w:t>
      </w:r>
    </w:p>
    <w:p w14:paraId="5A95150B" w14:textId="77777777" w:rsidR="00E812E3" w:rsidRPr="007122AB" w:rsidRDefault="00E812E3" w:rsidP="007122AB">
      <w:pPr>
        <w:spacing w:after="0" w:line="240" w:lineRule="auto"/>
        <w:jc w:val="both"/>
        <w:rPr>
          <w:rFonts w:ascii="Times New Roman" w:hAnsi="Times New Roman"/>
          <w:color w:val="000000" w:themeColor="text1"/>
          <w:sz w:val="16"/>
          <w:szCs w:val="16"/>
        </w:rPr>
      </w:pPr>
    </w:p>
    <w:p w14:paraId="057A465F" w14:textId="77777777" w:rsidR="00C74467" w:rsidRPr="009F5089" w:rsidRDefault="00C74467" w:rsidP="00C74467">
      <w:pPr>
        <w:spacing w:after="0" w:line="240" w:lineRule="auto"/>
        <w:jc w:val="both"/>
        <w:rPr>
          <w:rFonts w:ascii="Times New Roman" w:hAnsi="Times New Roman"/>
          <w:color w:val="0070C0"/>
          <w:sz w:val="16"/>
          <w:szCs w:val="16"/>
        </w:rPr>
      </w:pPr>
      <w:r>
        <w:rPr>
          <w:rFonts w:ascii="Times New Roman" w:hAnsi="Times New Roman"/>
          <w:color w:val="0070C0"/>
          <w:sz w:val="16"/>
          <w:szCs w:val="16"/>
        </w:rPr>
        <w:t>9 июля 1931 г</w:t>
      </w:r>
      <w:r w:rsidRPr="009F5089">
        <w:rPr>
          <w:rFonts w:ascii="Times New Roman" w:hAnsi="Times New Roman"/>
          <w:color w:val="0070C0"/>
          <w:sz w:val="16"/>
          <w:szCs w:val="16"/>
        </w:rPr>
        <w:t>.</w:t>
      </w:r>
      <w:r>
        <w:rPr>
          <w:rFonts w:ascii="Times New Roman" w:hAnsi="Times New Roman"/>
          <w:color w:val="0070C0"/>
          <w:sz w:val="16"/>
          <w:szCs w:val="16"/>
        </w:rPr>
        <w:t xml:space="preserve"> в</w:t>
      </w:r>
      <w:r w:rsidRPr="009F5089">
        <w:rPr>
          <w:rFonts w:ascii="Times New Roman" w:hAnsi="Times New Roman"/>
          <w:color w:val="0070C0"/>
          <w:sz w:val="16"/>
          <w:szCs w:val="16"/>
        </w:rPr>
        <w:t xml:space="preserve"> Москве совершила парашютный прыжок первая из советск</w:t>
      </w:r>
      <w:r>
        <w:rPr>
          <w:rFonts w:ascii="Times New Roman" w:hAnsi="Times New Roman"/>
          <w:color w:val="0070C0"/>
          <w:sz w:val="16"/>
          <w:szCs w:val="16"/>
        </w:rPr>
        <w:t>и</w:t>
      </w:r>
      <w:r w:rsidRPr="009F5089">
        <w:rPr>
          <w:rFonts w:ascii="Times New Roman" w:hAnsi="Times New Roman"/>
          <w:color w:val="0070C0"/>
          <w:sz w:val="16"/>
          <w:szCs w:val="16"/>
        </w:rPr>
        <w:t>х женщин Лидия Кулешова.</w:t>
      </w:r>
      <w:r>
        <w:rPr>
          <w:rFonts w:ascii="Times New Roman" w:hAnsi="Times New Roman"/>
          <w:color w:val="0070C0"/>
          <w:sz w:val="16"/>
          <w:szCs w:val="16"/>
        </w:rPr>
        <w:t xml:space="preserve"> </w:t>
      </w:r>
      <w:r w:rsidRPr="009F5089">
        <w:rPr>
          <w:rFonts w:ascii="Times New Roman" w:hAnsi="Times New Roman"/>
          <w:color w:val="0070C0"/>
          <w:sz w:val="16"/>
          <w:szCs w:val="16"/>
        </w:rPr>
        <w:t>Прыжок бил совершен с- самолета ТБ-1</w:t>
      </w:r>
      <w:r>
        <w:rPr>
          <w:rFonts w:ascii="Times New Roman" w:hAnsi="Times New Roman"/>
          <w:color w:val="0070C0"/>
          <w:sz w:val="16"/>
          <w:szCs w:val="16"/>
        </w:rPr>
        <w:t xml:space="preserve">на </w:t>
      </w:r>
      <w:r w:rsidRPr="009F5089">
        <w:rPr>
          <w:rFonts w:ascii="Times New Roman" w:hAnsi="Times New Roman"/>
          <w:color w:val="0070C0"/>
          <w:sz w:val="16"/>
          <w:szCs w:val="16"/>
        </w:rPr>
        <w:t xml:space="preserve">парашюте автоматического действия системы </w:t>
      </w:r>
      <w:proofErr w:type="spellStart"/>
      <w:r w:rsidRPr="009F5089">
        <w:rPr>
          <w:rFonts w:ascii="Times New Roman" w:hAnsi="Times New Roman"/>
          <w:color w:val="0070C0"/>
          <w:sz w:val="16"/>
          <w:szCs w:val="16"/>
        </w:rPr>
        <w:t>П.И.Гроховского</w:t>
      </w:r>
      <w:proofErr w:type="spellEnd"/>
      <w:r w:rsidRPr="009F5089">
        <w:rPr>
          <w:rFonts w:ascii="Times New Roman" w:hAnsi="Times New Roman"/>
          <w:color w:val="0070C0"/>
          <w:sz w:val="16"/>
          <w:szCs w:val="16"/>
        </w:rPr>
        <w:t>.</w:t>
      </w:r>
    </w:p>
    <w:p w14:paraId="3EEA657B" w14:textId="77777777" w:rsidR="00C74467" w:rsidRPr="009F5089" w:rsidRDefault="00C74467" w:rsidP="00C74467">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Прыжок </w:t>
      </w:r>
      <w:r w:rsidRPr="009F5089">
        <w:rPr>
          <w:rFonts w:ascii="Times New Roman" w:hAnsi="Times New Roman"/>
          <w:color w:val="0070C0"/>
          <w:sz w:val="16"/>
          <w:szCs w:val="16"/>
        </w:rPr>
        <w:t>первой парашютистки оказался заразит</w:t>
      </w:r>
      <w:r>
        <w:rPr>
          <w:rFonts w:ascii="Times New Roman" w:hAnsi="Times New Roman"/>
          <w:color w:val="0070C0"/>
          <w:sz w:val="16"/>
          <w:szCs w:val="16"/>
        </w:rPr>
        <w:t>е</w:t>
      </w:r>
      <w:r w:rsidRPr="009F5089">
        <w:rPr>
          <w:rFonts w:ascii="Times New Roman" w:hAnsi="Times New Roman"/>
          <w:color w:val="0070C0"/>
          <w:sz w:val="16"/>
          <w:szCs w:val="16"/>
        </w:rPr>
        <w:t>льн</w:t>
      </w:r>
      <w:r>
        <w:rPr>
          <w:rFonts w:ascii="Times New Roman" w:hAnsi="Times New Roman"/>
          <w:color w:val="0070C0"/>
          <w:sz w:val="16"/>
          <w:szCs w:val="16"/>
        </w:rPr>
        <w:t>ы</w:t>
      </w:r>
      <w:r w:rsidRPr="009F5089">
        <w:rPr>
          <w:rFonts w:ascii="Times New Roman" w:hAnsi="Times New Roman"/>
          <w:color w:val="0070C0"/>
          <w:sz w:val="16"/>
          <w:szCs w:val="16"/>
        </w:rPr>
        <w:t>м примером для</w:t>
      </w:r>
      <w:r>
        <w:rPr>
          <w:rFonts w:ascii="Times New Roman" w:hAnsi="Times New Roman"/>
          <w:color w:val="0070C0"/>
          <w:sz w:val="16"/>
          <w:szCs w:val="16"/>
        </w:rPr>
        <w:t xml:space="preserve"> </w:t>
      </w:r>
      <w:r w:rsidRPr="009F5089">
        <w:rPr>
          <w:rFonts w:ascii="Times New Roman" w:hAnsi="Times New Roman"/>
          <w:color w:val="0070C0"/>
          <w:sz w:val="16"/>
          <w:szCs w:val="16"/>
        </w:rPr>
        <w:t>других женщин. 19-го августа в Гатчин</w:t>
      </w:r>
      <w:r>
        <w:rPr>
          <w:rFonts w:ascii="Times New Roman" w:hAnsi="Times New Roman"/>
          <w:color w:val="0070C0"/>
          <w:sz w:val="16"/>
          <w:szCs w:val="16"/>
        </w:rPr>
        <w:t xml:space="preserve">е </w:t>
      </w:r>
      <w:r w:rsidRPr="009F5089">
        <w:rPr>
          <w:rFonts w:ascii="Times New Roman" w:hAnsi="Times New Roman"/>
          <w:color w:val="0070C0"/>
          <w:sz w:val="16"/>
          <w:szCs w:val="16"/>
        </w:rPr>
        <w:t xml:space="preserve"> </w:t>
      </w:r>
      <w:r>
        <w:rPr>
          <w:rFonts w:ascii="Times New Roman" w:hAnsi="Times New Roman"/>
          <w:color w:val="0070C0"/>
          <w:sz w:val="16"/>
          <w:szCs w:val="16"/>
        </w:rPr>
        <w:t>В</w:t>
      </w:r>
      <w:r w:rsidRPr="009F5089">
        <w:rPr>
          <w:rFonts w:ascii="Times New Roman" w:hAnsi="Times New Roman"/>
          <w:color w:val="0070C0"/>
          <w:sz w:val="16"/>
          <w:szCs w:val="16"/>
        </w:rPr>
        <w:t>ера Федорова и Анастасия</w:t>
      </w:r>
      <w:r>
        <w:rPr>
          <w:rFonts w:ascii="Times New Roman" w:hAnsi="Times New Roman"/>
          <w:color w:val="0070C0"/>
          <w:sz w:val="16"/>
          <w:szCs w:val="16"/>
        </w:rPr>
        <w:t xml:space="preserve"> Ч</w:t>
      </w:r>
      <w:r w:rsidRPr="009F5089">
        <w:rPr>
          <w:rFonts w:ascii="Times New Roman" w:hAnsi="Times New Roman"/>
          <w:color w:val="0070C0"/>
          <w:sz w:val="16"/>
          <w:szCs w:val="16"/>
        </w:rPr>
        <w:t>иркова совершили уже прыжок с самолета на парашюте свободного</w:t>
      </w:r>
      <w:r>
        <w:rPr>
          <w:rFonts w:ascii="Times New Roman" w:hAnsi="Times New Roman"/>
          <w:color w:val="0070C0"/>
          <w:sz w:val="16"/>
          <w:szCs w:val="16"/>
        </w:rPr>
        <w:t xml:space="preserve"> действия. </w:t>
      </w:r>
      <w:r w:rsidRPr="009F5089">
        <w:rPr>
          <w:rFonts w:ascii="Times New Roman" w:hAnsi="Times New Roman"/>
          <w:color w:val="0070C0"/>
          <w:sz w:val="16"/>
          <w:szCs w:val="16"/>
        </w:rPr>
        <w:t>Вскоре появились и парашютистки-рекордсменки,</w:t>
      </w:r>
    </w:p>
    <w:p w14:paraId="4143F7A6" w14:textId="77777777" w:rsidR="00C74467" w:rsidRDefault="00C74467" w:rsidP="00C7446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/ВВ</w:t>
      </w:r>
      <w:r>
        <w:rPr>
          <w:rFonts w:ascii="Times New Roman" w:hAnsi="Times New Roman"/>
          <w:color w:val="0070C0"/>
          <w:sz w:val="16"/>
          <w:szCs w:val="16"/>
        </w:rPr>
        <w:t xml:space="preserve">Ф, </w:t>
      </w:r>
      <w:r w:rsidRPr="009F5089">
        <w:rPr>
          <w:rFonts w:ascii="Times New Roman" w:hAnsi="Times New Roman"/>
          <w:color w:val="0070C0"/>
          <w:sz w:val="16"/>
          <w:szCs w:val="16"/>
        </w:rPr>
        <w:t xml:space="preserve">1934 № 8; </w:t>
      </w:r>
      <w:proofErr w:type="spellStart"/>
      <w:r w:rsidRPr="009F5089">
        <w:rPr>
          <w:rFonts w:ascii="Times New Roman" w:hAnsi="Times New Roman"/>
          <w:color w:val="0070C0"/>
          <w:sz w:val="16"/>
          <w:szCs w:val="16"/>
        </w:rPr>
        <w:t>А.А.Белоусов</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Парашют и парашютизм, 1957/</w:t>
      </w:r>
      <w:r>
        <w:rPr>
          <w:rFonts w:ascii="Times New Roman" w:hAnsi="Times New Roman"/>
          <w:color w:val="0070C0"/>
          <w:sz w:val="16"/>
          <w:szCs w:val="16"/>
        </w:rPr>
        <w:t xml:space="preserve"> (23370).</w:t>
      </w:r>
    </w:p>
    <w:p w14:paraId="67807E95" w14:textId="77777777" w:rsidR="00C74467" w:rsidRPr="009F5089" w:rsidRDefault="00C74467" w:rsidP="00C74467">
      <w:pPr>
        <w:spacing w:after="0" w:line="240" w:lineRule="auto"/>
        <w:jc w:val="both"/>
        <w:rPr>
          <w:rFonts w:ascii="Times New Roman" w:hAnsi="Times New Roman"/>
          <w:color w:val="0070C0"/>
          <w:sz w:val="16"/>
          <w:szCs w:val="16"/>
        </w:rPr>
      </w:pPr>
    </w:p>
    <w:p w14:paraId="24552808"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1ED76FF"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DFB0867"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июля 1931 г. на совещании под председательством М. Н. </w:t>
      </w:r>
      <w:proofErr w:type="spellStart"/>
      <w:r w:rsidRPr="007122AB">
        <w:rPr>
          <w:rFonts w:ascii="Times New Roman" w:hAnsi="Times New Roman"/>
          <w:color w:val="000000" w:themeColor="text1"/>
          <w:sz w:val="16"/>
          <w:szCs w:val="16"/>
        </w:rPr>
        <w:t>Тухачевскогого</w:t>
      </w:r>
      <w:proofErr w:type="spellEnd"/>
      <w:r w:rsidRPr="007122AB">
        <w:rPr>
          <w:rFonts w:ascii="Times New Roman" w:hAnsi="Times New Roman"/>
          <w:color w:val="000000" w:themeColor="text1"/>
          <w:sz w:val="16"/>
          <w:szCs w:val="16"/>
        </w:rPr>
        <w:t>, на котором рассматривались итоги работы завода «Баррикады», было принято решение об укреплении руководства предприятия. В марте 1931 г. на «Баррикады» директором направлен директор «Большевика» Виктор Иванович Сальников, хорошо зарекомендовавший себя в Ленинграде. Продуктивно начал свою деятельность Сальников и на «Баррикадах». При нём было завершено строительство группы цехов и оснащение их новейшим технологическим оборудованием. В это же время на заводе стал назревать конфликт между специалистами старой, дореволюционной школы, и молодыми, окончившими советские вузы. Руководящие должности на заводе в основном занимали старые нередко консервативные специалисты. Молодые более инициативные, а часто и более грамотные были на вторых ролях. Назревал конфликт. Сальников более доверял прибывшим вместе с ним или ранее специалистам «Большевика». Парткомом завода была разработана схема управления заводом с учётом предложений, поступивших в комитет. На партийной конференции схема была обсуждена и одобрена, несмотря на возражения директора. Между директором и парткомом возникли конфликты и по другим вопросам. Сальников оказался в изоляции, что и послужило поводом для его отзыва. К 1934 г. металлургическое производство на «Баррикадах», используя опыт «Большевика» окрепло. Первая бригада кузнецов, подготовленная на «Большевике», осваивала работу на крупнейшем в стране ковочном прессе 6000 тс, термисты работали по технологическим режимам, разработанным на «Большевике». Это позволило начать подготовку к освоению выпуска гаубицы Б-4. В 1935 г. КБ «Большевика» под руководством И. И. Иванова и Е. Г. Рудяка разработало ствол дальнобойной пушки калибра 152 мм. КБ завода «Баррикады» наложило его на лафет гаубицы Б-4. Так совместными усилиями двух КБ было создано орудие большой мощности Бр-2 (15132).</w:t>
      </w:r>
    </w:p>
    <w:p w14:paraId="627E2352" w14:textId="77777777" w:rsidR="00D84D3F" w:rsidRPr="007122AB" w:rsidRDefault="00D84D3F" w:rsidP="007122AB">
      <w:pPr>
        <w:spacing w:after="0" w:line="240" w:lineRule="auto"/>
        <w:jc w:val="both"/>
        <w:rPr>
          <w:rFonts w:ascii="Times New Roman" w:hAnsi="Times New Roman"/>
          <w:color w:val="000000" w:themeColor="text1"/>
          <w:sz w:val="16"/>
          <w:szCs w:val="16"/>
        </w:rPr>
      </w:pPr>
    </w:p>
    <w:p w14:paraId="1C1DDAB5"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июля 1931 г. завод ХПЗ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w:t>
      </w:r>
      <w:proofErr w:type="spellStart"/>
      <w:r w:rsidRPr="007122AB">
        <w:rPr>
          <w:rFonts w:ascii="Times New Roman" w:hAnsi="Times New Roman"/>
          <w:color w:val="000000" w:themeColor="text1"/>
          <w:sz w:val="16"/>
          <w:szCs w:val="16"/>
        </w:rPr>
        <w:t>пово-рачиваемость</w:t>
      </w:r>
      <w:proofErr w:type="spellEnd"/>
      <w:r w:rsidRPr="007122AB">
        <w:rPr>
          <w:rFonts w:ascii="Times New Roman" w:hAnsi="Times New Roman"/>
          <w:color w:val="000000" w:themeColor="text1"/>
          <w:sz w:val="16"/>
          <w:szCs w:val="16"/>
        </w:rPr>
        <w:t xml:space="preserve"> машины на месте на третьей и даже на четвертой </w:t>
      </w:r>
      <w:proofErr w:type="spellStart"/>
      <w:r w:rsidRPr="007122AB">
        <w:rPr>
          <w:rFonts w:ascii="Times New Roman" w:hAnsi="Times New Roman"/>
          <w:color w:val="000000" w:themeColor="text1"/>
          <w:sz w:val="16"/>
          <w:szCs w:val="16"/>
        </w:rPr>
        <w:t>скоростях.В</w:t>
      </w:r>
      <w:proofErr w:type="spellEnd"/>
      <w:r w:rsidRPr="007122AB">
        <w:rPr>
          <w:rFonts w:ascii="Times New Roman" w:hAnsi="Times New Roman"/>
          <w:color w:val="000000" w:themeColor="text1"/>
          <w:sz w:val="16"/>
          <w:szCs w:val="16"/>
        </w:rPr>
        <w:t xml:space="preserve">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405C0408" w14:textId="45405546" w:rsidR="00BB323F" w:rsidRPr="007122AB" w:rsidRDefault="00BB323F" w:rsidP="007122AB">
      <w:pPr>
        <w:spacing w:after="0" w:line="240" w:lineRule="auto"/>
        <w:jc w:val="both"/>
        <w:rPr>
          <w:rFonts w:ascii="Times New Roman" w:hAnsi="Times New Roman"/>
          <w:color w:val="000000" w:themeColor="text1"/>
          <w:sz w:val="16"/>
          <w:szCs w:val="16"/>
        </w:rPr>
      </w:pPr>
    </w:p>
    <w:p w14:paraId="50143D97" w14:textId="06FD1B78" w:rsidR="007F54AB" w:rsidRPr="007122AB" w:rsidRDefault="007F54AB"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0D420A4A" w14:textId="77777777" w:rsidR="007F54AB" w:rsidRPr="007122AB" w:rsidRDefault="007F54AB" w:rsidP="007122AB">
      <w:pPr>
        <w:spacing w:after="0" w:line="240" w:lineRule="auto"/>
        <w:jc w:val="both"/>
        <w:rPr>
          <w:rFonts w:ascii="Times New Roman" w:hAnsi="Times New Roman"/>
          <w:i/>
          <w:iCs/>
          <w:color w:val="000000" w:themeColor="text1"/>
          <w:sz w:val="16"/>
          <w:szCs w:val="16"/>
        </w:rPr>
      </w:pPr>
    </w:p>
    <w:p w14:paraId="4E8A83C9" w14:textId="77777777" w:rsidR="007F54AB" w:rsidRPr="007122AB" w:rsidRDefault="007F54A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9 июля 1931 комкор Г.Д. Базилевич, на запрос заведующего Секретным отделом ЦК А.Н. Поскребышева отвечал: вопрос об охране северного побережья «частично выполняется НКВМ; в целом он будет слушаться вместе с докладом о Морфлоте на КО месяца через два» (20467).</w:t>
      </w:r>
    </w:p>
    <w:p w14:paraId="32EEA297" w14:textId="77777777" w:rsidR="007F54AB" w:rsidRPr="007122AB" w:rsidRDefault="007F54A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И все же, несмотря на откровенный саботаж Базилевича, время не оказалось совсем уж упущенным. По предложению Сталина довольно быстро решили вопрос о топливе для кораблей будущего Северного флота. Об угле, который в те края закупали в Великобритании (лучший в мире «кардиф»!) либо доставляли из Донбасса, что обходилось одинаково дорого. Наконец-то пригодились шахты на Шпицбергене, в которых прежде нуждались лишь из-за необходимости любой ценой сохранять на архипелаге присутствие СССР. </w:t>
      </w:r>
    </w:p>
    <w:p w14:paraId="07E05C44" w14:textId="77777777" w:rsidR="007F54AB" w:rsidRPr="007122AB" w:rsidRDefault="007F54AB" w:rsidP="007122AB">
      <w:pPr>
        <w:spacing w:after="0" w:line="240" w:lineRule="auto"/>
        <w:jc w:val="both"/>
        <w:rPr>
          <w:rFonts w:ascii="Times New Roman" w:hAnsi="Times New Roman"/>
          <w:color w:val="000000" w:themeColor="text1"/>
          <w:sz w:val="16"/>
          <w:szCs w:val="16"/>
        </w:rPr>
      </w:pPr>
    </w:p>
    <w:p w14:paraId="25137C2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78F98F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EB6A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июля 1931 в Германии А.Г. и лидер Немецкой национальной партии Альфред </w:t>
      </w:r>
      <w:proofErr w:type="spellStart"/>
      <w:r w:rsidRPr="007122AB">
        <w:rPr>
          <w:rFonts w:ascii="Times New Roman" w:hAnsi="Times New Roman"/>
          <w:color w:val="000000" w:themeColor="text1"/>
          <w:sz w:val="16"/>
          <w:szCs w:val="16"/>
        </w:rPr>
        <w:t>Гугенберг</w:t>
      </w:r>
      <w:proofErr w:type="spellEnd"/>
      <w:r w:rsidRPr="007122AB">
        <w:rPr>
          <w:rFonts w:ascii="Times New Roman" w:hAnsi="Times New Roman"/>
          <w:color w:val="000000" w:themeColor="text1"/>
          <w:sz w:val="16"/>
          <w:szCs w:val="16"/>
        </w:rPr>
        <w:t xml:space="preserve"> подписали договор о сотрудничестве (3907,167).</w:t>
      </w:r>
    </w:p>
    <w:p w14:paraId="1461D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19F22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36A788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69F01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 года Политбюро решило ограничить суды над спецами, ставшими жертвами объявленной в 1928 году охоты на них. Были приняты необходимые меры: немедленно освобождено несколько тысяч инженеров и техников, в основном в металлургической и угольной промышленности, уничтожена дискриминация в доступе к высшему образованию детей интеллигенции, ОГПУ запретили арестовывать специалистов без согласия соответствующего Наркомата. Даже простое перечисление этих мер показывает масштаб предшествующих преследований, жертвами которых стали со времен Шахтинского дела десятки тысяч инженеров, агрономов, техников и администраторов всех уровней (6804).</w:t>
      </w:r>
    </w:p>
    <w:p w14:paraId="7D0879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42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 г., в «Правде» было опубликовано постановление ЦИК СССР, по которому заключенные «внутренней тюрьмы» ЦКБ–39 были освобождены. В постановлении говорилось:</w:t>
      </w:r>
    </w:p>
    <w:p w14:paraId="702AE1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&lt;...&gt;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3809F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705DD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главного конструктора </w:t>
      </w:r>
      <w:proofErr w:type="spellStart"/>
      <w:r w:rsidRPr="007122AB">
        <w:rPr>
          <w:rFonts w:ascii="Times New Roman" w:hAnsi="Times New Roman"/>
          <w:color w:val="000000" w:themeColor="text1"/>
          <w:sz w:val="16"/>
          <w:szCs w:val="16"/>
        </w:rPr>
        <w:t>Надашкевича</w:t>
      </w:r>
      <w:proofErr w:type="spellEnd"/>
      <w:r w:rsidRPr="007122AB">
        <w:rPr>
          <w:rFonts w:ascii="Times New Roman" w:hAnsi="Times New Roman"/>
          <w:color w:val="000000" w:themeColor="text1"/>
          <w:sz w:val="16"/>
          <w:szCs w:val="16"/>
        </w:rPr>
        <w:t xml:space="preserve"> Александра Васильевича — грамотой ЦИК Союза ССР и денежной премией в 10000 рублей;</w:t>
      </w:r>
    </w:p>
    <w:p w14:paraId="5C555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бывшего технического директора завода № 1 Косткина Ивана Михайловича — денежной наградой в 1000 рублей;</w:t>
      </w:r>
    </w:p>
    <w:p w14:paraId="513E3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w:t>
      </w:r>
      <w:proofErr w:type="spellStart"/>
      <w:r w:rsidRPr="007122AB">
        <w:rPr>
          <w:rFonts w:ascii="Times New Roman" w:hAnsi="Times New Roman"/>
          <w:color w:val="000000" w:themeColor="text1"/>
          <w:sz w:val="16"/>
          <w:szCs w:val="16"/>
        </w:rPr>
        <w:t>Крейсона</w:t>
      </w:r>
      <w:proofErr w:type="spellEnd"/>
      <w:r w:rsidRPr="007122AB">
        <w:rPr>
          <w:rFonts w:ascii="Times New Roman" w:hAnsi="Times New Roman"/>
          <w:color w:val="000000" w:themeColor="text1"/>
          <w:sz w:val="16"/>
          <w:szCs w:val="16"/>
        </w:rPr>
        <w:t xml:space="preserve"> Павла Мартыновича — денежной наградой в 1000 рублей;</w:t>
      </w:r>
    </w:p>
    <w:p w14:paraId="5B628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Корвин-Кербер Виктора Львовича — денежной наградой в 1000 рублей;</w:t>
      </w:r>
    </w:p>
    <w:p w14:paraId="6DC5B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 (10696).</w:t>
      </w:r>
    </w:p>
    <w:p w14:paraId="54FAC1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отчету Московского областного управления НКВД на авиационном заводе № 24 (там производили мощные двигатели конструкции А. А. Микулина) в 1937 г. было:</w:t>
      </w:r>
    </w:p>
    <w:p w14:paraId="32DF4F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Вскрыто и ликвидировано 5 шпионских террористических и диверсионно-вредительских групп, с общим количеством 50 человек, из</w:t>
      </w:r>
    </w:p>
    <w:p w14:paraId="3C074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Антисоветская право-троцкистская группа в составе бывшего директора завода Марьямова и технического директора Колосова.</w:t>
      </w:r>
    </w:p>
    <w:p w14:paraId="7E8A0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Шпионско-диверсионная группа японской разведки в составе 9 человек.</w:t>
      </w:r>
    </w:p>
    <w:p w14:paraId="10051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Шпионско-диверсионная группа германской разведки в составе 13 человек.</w:t>
      </w:r>
    </w:p>
    <w:p w14:paraId="2E2E7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Шпионско-диверсионная группа французской разведки в составе 4 человек.</w:t>
      </w:r>
    </w:p>
    <w:p w14:paraId="4803A5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5. Террористическая и шпионско-диверсионная группа латвийской разведки в составе 15 человек, созданная и возглавлявшаяся участником латвийской фашистской организации, быв. зам. директора завода № 24 Гельманом.</w:t>
      </w:r>
    </w:p>
    <w:p w14:paraId="4EFCC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Также арестован начальник технического сектора ОТК завода троцкист </w:t>
      </w:r>
      <w:proofErr w:type="spellStart"/>
      <w:r w:rsidRPr="007122AB">
        <w:rPr>
          <w:rFonts w:ascii="Times New Roman" w:hAnsi="Times New Roman"/>
          <w:color w:val="000000" w:themeColor="text1"/>
          <w:sz w:val="16"/>
          <w:szCs w:val="16"/>
        </w:rPr>
        <w:t>Тарахтунов</w:t>
      </w:r>
      <w:proofErr w:type="spellEnd"/>
      <w:r w:rsidRPr="007122AB">
        <w:rPr>
          <w:rFonts w:ascii="Times New Roman" w:hAnsi="Times New Roman"/>
          <w:color w:val="000000" w:themeColor="text1"/>
          <w:sz w:val="16"/>
          <w:szCs w:val="16"/>
        </w:rPr>
        <w:t>, по делу которого ведется следствие с расчетом на вскрытие организованной троцкистами работы на заводе.</w:t>
      </w:r>
    </w:p>
    <w:p w14:paraId="522234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до сего дня засорен антисоветскими социально-чуждыми и подозрительными по шпионажу и диверсии элементами. Имеющийся учет этих элементов по одним только официальным данным достигает 1000 человек (10696)</w:t>
      </w:r>
    </w:p>
    <w:p w14:paraId="0538E2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августа 1931 года </w:t>
      </w:r>
      <w:proofErr w:type="spellStart"/>
      <w:r w:rsidRPr="007122AB">
        <w:rPr>
          <w:rFonts w:ascii="Times New Roman" w:hAnsi="Times New Roman"/>
          <w:color w:val="000000" w:themeColor="text1"/>
          <w:sz w:val="16"/>
          <w:szCs w:val="16"/>
        </w:rPr>
        <w:t>Таубин</w:t>
      </w:r>
      <w:proofErr w:type="spellEnd"/>
      <w:r w:rsidRPr="007122AB">
        <w:rPr>
          <w:rFonts w:ascii="Times New Roman" w:hAnsi="Times New Roman"/>
          <w:color w:val="000000" w:themeColor="text1"/>
          <w:sz w:val="16"/>
          <w:szCs w:val="16"/>
        </w:rPr>
        <w:t xml:space="preserve"> направляет проект первого в мире автоматического гранатомета, стрелявшего штатными 40,8-мм гранатами Дьяконова, в Артиллерийское управление РККА. Им заинтересовался сам зам. наркома обороны по вооруже</w:t>
      </w:r>
      <w:r w:rsidRPr="007122AB">
        <w:rPr>
          <w:rFonts w:ascii="Times New Roman" w:hAnsi="Times New Roman"/>
          <w:color w:val="000000" w:themeColor="text1"/>
          <w:sz w:val="16"/>
          <w:szCs w:val="16"/>
        </w:rPr>
        <w:softHyphen/>
        <w:t xml:space="preserve">нию Тухачевский. Специалисты отправили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спе</w:t>
      </w:r>
      <w:r w:rsidRPr="007122AB">
        <w:rPr>
          <w:rFonts w:ascii="Times New Roman" w:hAnsi="Times New Roman"/>
          <w:color w:val="000000" w:themeColor="text1"/>
          <w:sz w:val="16"/>
          <w:szCs w:val="16"/>
        </w:rPr>
        <w:softHyphen/>
        <w:t>циальное исследование, где утверждали, что при малом вышибном заряде (меньше 3 г пороха) в унитарном выстреле с гранатой Дья</w:t>
      </w:r>
      <w:r w:rsidRPr="007122AB">
        <w:rPr>
          <w:rFonts w:ascii="Times New Roman" w:hAnsi="Times New Roman"/>
          <w:color w:val="000000" w:themeColor="text1"/>
          <w:sz w:val="16"/>
          <w:szCs w:val="16"/>
        </w:rPr>
        <w:softHyphen/>
        <w:t xml:space="preserve">конова создать автоматическое оружие теоретически невозможно. Тем не менее после нескольких месяцев споров и бюрократических Проволочек </w:t>
      </w:r>
      <w:proofErr w:type="spellStart"/>
      <w:r w:rsidRPr="007122AB">
        <w:rPr>
          <w:rFonts w:ascii="Times New Roman" w:hAnsi="Times New Roman"/>
          <w:color w:val="000000" w:themeColor="text1"/>
          <w:sz w:val="16"/>
          <w:szCs w:val="16"/>
        </w:rPr>
        <w:t>Таубину</w:t>
      </w:r>
      <w:proofErr w:type="spellEnd"/>
      <w:r w:rsidRPr="007122AB">
        <w:rPr>
          <w:rFonts w:ascii="Times New Roman" w:hAnsi="Times New Roman"/>
          <w:color w:val="000000" w:themeColor="text1"/>
          <w:sz w:val="16"/>
          <w:szCs w:val="16"/>
        </w:rPr>
        <w:t xml:space="preserve"> предлагают создать опытный образец гранато</w:t>
      </w:r>
      <w:r w:rsidRPr="007122AB">
        <w:rPr>
          <w:rFonts w:ascii="Times New Roman" w:hAnsi="Times New Roman"/>
          <w:color w:val="000000" w:themeColor="text1"/>
          <w:sz w:val="16"/>
          <w:szCs w:val="16"/>
        </w:rPr>
        <w:softHyphen/>
        <w:t>мета на Ковровском оружейном заводе ИНЗ-2. Яков бросает ин</w:t>
      </w:r>
      <w:r w:rsidRPr="007122AB">
        <w:rPr>
          <w:rFonts w:ascii="Times New Roman" w:hAnsi="Times New Roman"/>
          <w:color w:val="000000" w:themeColor="text1"/>
          <w:sz w:val="16"/>
          <w:szCs w:val="16"/>
        </w:rPr>
        <w:softHyphen/>
        <w:t>ститут и едет в Ковров. Там по его чертежам было изготовлено два первых образца гранатомета: один с вертикальной подачей гранат, а другой — с горизонтальной. Автоматика гранатомета первоначально работала за счет отвода газов из канала ствола. Но для увеличения надежности работы гра</w:t>
      </w:r>
      <w:r w:rsidRPr="007122AB">
        <w:rPr>
          <w:rFonts w:ascii="Times New Roman" w:hAnsi="Times New Roman"/>
          <w:color w:val="000000" w:themeColor="text1"/>
          <w:sz w:val="16"/>
          <w:szCs w:val="16"/>
        </w:rPr>
        <w:softHyphen/>
        <w:t>натомета в 1936 г. была введена новая схема автоматики, которая работала за счет энергии отката ствола при его длинном ходе (10695).</w:t>
      </w:r>
    </w:p>
    <w:p w14:paraId="725D5E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F358FE" w14:textId="77777777" w:rsidR="00D84D3F" w:rsidRPr="007122AB" w:rsidRDefault="00D84D3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10-го июля 1931 было опубликовано Постановление ЦИК и Совета Народных Комиссаров СССР от 8 июля о награждении завода № 39 имени Менжинского орденом Ленина - высшей наградой Союза Советских Социалистических Республик, учрежденной Президиумом Центрального Исполнительного Комитета 6-го апреля 1930 года и одновременно предусматривало амнистию большей части заключенных авиаспециалистов. 10-го июля 1931 года Постановление было опубликовано в газете «Правда». Ниже приводятся тексты наградных документов завода № 39, а также поздравительная переписка по этому поводу, которая, предположительно, публикуется впервые.</w:t>
      </w:r>
    </w:p>
    <w:p w14:paraId="4CA9BDFF"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ПОСТАНОВЛЕНИЕ</w:t>
      </w:r>
    </w:p>
    <w:p w14:paraId="26EAC28C"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Центрального Исполнительного Комитета и Совета Народных Комиссаров Союза ССР «О награждении авиазавода № 39 за </w:t>
      </w:r>
      <w:proofErr w:type="spellStart"/>
      <w:r w:rsidRPr="007122AB">
        <w:rPr>
          <w:rStyle w:val="af0"/>
          <w:i w:val="0"/>
          <w:color w:val="000000" w:themeColor="text1"/>
          <w:sz w:val="16"/>
          <w:szCs w:val="16"/>
        </w:rPr>
        <w:t>исключительтельные</w:t>
      </w:r>
      <w:proofErr w:type="spellEnd"/>
      <w:r w:rsidRPr="007122AB">
        <w:rPr>
          <w:rStyle w:val="af0"/>
          <w:i w:val="0"/>
          <w:color w:val="000000" w:themeColor="text1"/>
          <w:sz w:val="16"/>
          <w:szCs w:val="16"/>
        </w:rPr>
        <w:t xml:space="preserve"> достижения по самолетостроению Рабоче-Крестьянской Красной Армии».</w:t>
      </w:r>
    </w:p>
    <w:p w14:paraId="17363659"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Центральный Исполнительный Комитет и Совет Народных Комиссаров Союза ССР постановляют:</w:t>
      </w:r>
    </w:p>
    <w:p w14:paraId="15CFC4BC"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1. Констатируя небывалое увеличение темпов и сокращение сроков опытного строительства самолетов для укомплектования Военно-Воздушных сил РККА и отмечая исключительные реальные достижения – выпуск новых типов самолетов стоящих на уровне лучших заграничных образцов, - наградить завод № 39, уже имеющий орден «Трудовое Красное Знамя» - «Орденом Ленина» за выполнение и перевыполнение постановления правительства по опытному самолетостроению.</w:t>
      </w:r>
    </w:p>
    <w:p w14:paraId="5EBB0FF3"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2.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495FCB32"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7B0328E8"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б) 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Союза ССР и денежной наградой в 10000 рублей.</w:t>
      </w:r>
    </w:p>
    <w:p w14:paraId="43455420"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в) Бывшего Технического директора завода № 1 КОСТКИНА Ивана Михайловича – денежной наградой в 3000 рублей.</w:t>
      </w:r>
    </w:p>
    <w:p w14:paraId="55B9359A"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г) Б. (бывшего) постоянного члена Научно-Технического Комитета Управления Военно-Воздушных сил РККА КРЕЙСОНА Павла Мартыновича – денежной наградой в 1000 рублей.</w:t>
      </w:r>
    </w:p>
    <w:p w14:paraId="3D4A36F4"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д) Быв. инженера ВАО ЮРВИЦА Виктора Львовича – денежной наградой в 1000 рублей.</w:t>
      </w:r>
    </w:p>
    <w:p w14:paraId="632AF898"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028FC3C7"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3. Наградить орденами «Красная Звезда» начальника Центрального Конструктора Бюро завода № 39 тов. ГОРЯНОВА Анатолия Григорьевича и его заместителя тов. ПАУФЛЕРА Николая Евгеньевича за проявленную ими инициативу и упорство по созданию Центрального Конструкторского Бюро, умелую организацию в нем работы для усиления боевой мощи Военно-Воздушных Сил РККА и использование инженеров – бывших вредителей на практической работе.</w:t>
      </w:r>
    </w:p>
    <w:p w14:paraId="605653A0"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4. Наградить орденами « Трудовое Красное Знамя» за образцовую работу и примерность в деле усиления темпов и создание новых образцов самолетов и их вооружения нижеследующих работников завода № 39:</w:t>
      </w:r>
    </w:p>
    <w:p w14:paraId="6AD31304"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РАФАЭЛЬЯНЦА Рама Назаровича, молодого инженера–конструктора, являющегося ближайшим помощником Главного конструктора ГРИГОРОВИЧА и умело воспринимающего его опыт и знания;</w:t>
      </w:r>
    </w:p>
    <w:p w14:paraId="3E8D74E4"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БАШИНА Федора Федоровича – рабочего, групповода по постройке истребителя И-5;</w:t>
      </w:r>
    </w:p>
    <w:p w14:paraId="53CA3328"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ШЕСТЕРА Леона Борисовича – рабочего медника, лучшего ударника;</w:t>
      </w:r>
    </w:p>
    <w:p w14:paraId="0F1967B1"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ИГНАТОВА Сергея Романовича- рабочего слесаря, лучшего ударника завода;</w:t>
      </w:r>
    </w:p>
    <w:p w14:paraId="5CABA2D4"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ЗУЕВА Тимофея Арсеньевича – рабочего слесаря, лучшего ударника завода;</w:t>
      </w:r>
    </w:p>
    <w:p w14:paraId="3F927B54"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 xml:space="preserve">КРЮКОВА Сергея </w:t>
      </w:r>
      <w:proofErr w:type="spellStart"/>
      <w:r w:rsidRPr="007122AB">
        <w:rPr>
          <w:rStyle w:val="af0"/>
          <w:i w:val="0"/>
          <w:color w:val="000000" w:themeColor="text1"/>
          <w:sz w:val="16"/>
          <w:szCs w:val="16"/>
        </w:rPr>
        <w:t>Меркуловича</w:t>
      </w:r>
      <w:proofErr w:type="spellEnd"/>
      <w:r w:rsidRPr="007122AB">
        <w:rPr>
          <w:rStyle w:val="af0"/>
          <w:i w:val="0"/>
          <w:color w:val="000000" w:themeColor="text1"/>
          <w:sz w:val="16"/>
          <w:szCs w:val="16"/>
        </w:rPr>
        <w:t xml:space="preserve"> – рабочего слесаря, лучшего ударника завода;</w:t>
      </w:r>
    </w:p>
    <w:p w14:paraId="719216F6"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РОМАНЦОВА Ивана Сергеевича – заместителя зав. Производством, выдвиженца из рабочих, обеспечившего умелой организацией указанные высокие темпы постройки новых опытных типов самолетов;</w:t>
      </w:r>
    </w:p>
    <w:p w14:paraId="0C87C638"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БУХГОЛЬЦА Бенедикта Леоновича, летчика завода по испытанию новых образцов самолетов и их вооружения.</w:t>
      </w:r>
    </w:p>
    <w:p w14:paraId="4FCC06B8"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Председатель Центрального Исполнительного Комитета Союза ССР М. Калинин</w:t>
      </w:r>
    </w:p>
    <w:p w14:paraId="612A9968"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Председатель Совета Народных Комисаров Союза ССР В. Молотов (Скрябин)</w:t>
      </w:r>
    </w:p>
    <w:p w14:paraId="3A4C1F72"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Секретарь Центрального Исполнительного Комитета Союза ССР А. Енукидзе</w:t>
      </w:r>
    </w:p>
    <w:p w14:paraId="155F2B23"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Москва, Кремль, 08 июля 1931 года.</w:t>
      </w:r>
    </w:p>
    <w:p w14:paraId="7F06A591" w14:textId="77777777" w:rsidR="00D84D3F" w:rsidRPr="007122AB" w:rsidRDefault="00D84D3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Имя Н.Н. Поликарпова в вышедшем Постановлении не упоминается</w:t>
      </w:r>
    </w:p>
    <w:p w14:paraId="3D0AB34C" w14:textId="77777777" w:rsidR="00D84D3F" w:rsidRPr="007122AB" w:rsidRDefault="00D84D3F" w:rsidP="007122AB">
      <w:pPr>
        <w:shd w:val="clear" w:color="auto" w:fill="FFFFFF"/>
        <w:spacing w:after="0" w:line="240" w:lineRule="auto"/>
        <w:jc w:val="both"/>
        <w:rPr>
          <w:rFonts w:ascii="Times New Roman" w:hAnsi="Times New Roman"/>
          <w:color w:val="000000" w:themeColor="text1"/>
          <w:sz w:val="16"/>
          <w:szCs w:val="16"/>
        </w:rPr>
      </w:pPr>
    </w:p>
    <w:p w14:paraId="5E8D3BC1" w14:textId="77777777" w:rsidR="00E812E3" w:rsidRPr="007122AB" w:rsidRDefault="00E812E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июля 1931 г. Протокол ПБ № 48 п.19/6: О договоре ВОГВФ с фирмой Цеппелин. – ОП. Приняты решения: 1. согласиться на дальнейшее ведение переговоров с фирмой «Цеппелин» на базе предварительного договора, подписанного </w:t>
      </w:r>
      <w:proofErr w:type="spellStart"/>
      <w:r w:rsidRPr="007122AB">
        <w:rPr>
          <w:rFonts w:ascii="Times New Roman" w:hAnsi="Times New Roman"/>
          <w:color w:val="000000" w:themeColor="text1"/>
          <w:sz w:val="16"/>
          <w:szCs w:val="16"/>
        </w:rPr>
        <w:t>Гольцманом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Эккенером</w:t>
      </w:r>
      <w:proofErr w:type="spellEnd"/>
      <w:r w:rsidRPr="007122AB">
        <w:rPr>
          <w:rFonts w:ascii="Times New Roman" w:hAnsi="Times New Roman"/>
          <w:color w:val="000000" w:themeColor="text1"/>
          <w:sz w:val="16"/>
          <w:szCs w:val="16"/>
        </w:rPr>
        <w:t xml:space="preserve">. Предложить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выехать для продолжения переговоров в Германию; 2. дать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следующие директивы: а) общую сумму наших платежей фирме «Цеппелин» снизить с 5000000 марок до 4000000 марок; б) валютные платежи текущего года ограничить 150000 марок; в) срок остальных платежей построить по согласованию с </w:t>
      </w:r>
      <w:proofErr w:type="spellStart"/>
      <w:r w:rsidRPr="007122AB">
        <w:rPr>
          <w:rFonts w:ascii="Times New Roman" w:hAnsi="Times New Roman"/>
          <w:color w:val="000000" w:themeColor="text1"/>
          <w:sz w:val="16"/>
          <w:szCs w:val="16"/>
        </w:rPr>
        <w:t>Розенгольцем</w:t>
      </w:r>
      <w:proofErr w:type="spellEnd"/>
      <w:r w:rsidRPr="007122AB">
        <w:rPr>
          <w:rFonts w:ascii="Times New Roman" w:hAnsi="Times New Roman"/>
          <w:color w:val="000000" w:themeColor="text1"/>
          <w:sz w:val="16"/>
          <w:szCs w:val="16"/>
        </w:rPr>
        <w:t xml:space="preserve"> таким образом, чтобы большая часть (не менее 50%) была нами выплачена после выполнения фирмой основных своих обязательств и, в частности, после постройки в СССР первого большого дирижабля; 3. поручить </w:t>
      </w:r>
      <w:proofErr w:type="spellStart"/>
      <w:r w:rsidRPr="007122AB">
        <w:rPr>
          <w:rFonts w:ascii="Times New Roman" w:hAnsi="Times New Roman"/>
          <w:color w:val="000000" w:themeColor="text1"/>
          <w:sz w:val="16"/>
          <w:szCs w:val="16"/>
        </w:rPr>
        <w:t>Хинчуку</w:t>
      </w:r>
      <w:proofErr w:type="spellEnd"/>
      <w:r w:rsidRPr="007122AB">
        <w:rPr>
          <w:rFonts w:ascii="Times New Roman" w:hAnsi="Times New Roman"/>
          <w:color w:val="000000" w:themeColor="text1"/>
          <w:sz w:val="16"/>
          <w:szCs w:val="16"/>
        </w:rPr>
        <w:t xml:space="preserve"> оказать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содействие при ведении переговоров; 4. разрешить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взять с собой в Германию инженера-коммуниста </w:t>
      </w:r>
      <w:proofErr w:type="spellStart"/>
      <w:r w:rsidRPr="007122AB">
        <w:rPr>
          <w:rFonts w:ascii="Times New Roman" w:hAnsi="Times New Roman"/>
          <w:color w:val="000000" w:themeColor="text1"/>
          <w:sz w:val="16"/>
          <w:szCs w:val="16"/>
        </w:rPr>
        <w:t>А.Н.Флаксермана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дирижаблиста</w:t>
      </w:r>
      <w:proofErr w:type="spellEnd"/>
      <w:r w:rsidRPr="007122AB">
        <w:rPr>
          <w:rFonts w:ascii="Times New Roman" w:hAnsi="Times New Roman"/>
          <w:color w:val="000000" w:themeColor="text1"/>
          <w:sz w:val="16"/>
          <w:szCs w:val="16"/>
        </w:rPr>
        <w:t>) (15953).</w:t>
      </w:r>
    </w:p>
    <w:p w14:paraId="6B3A5073" w14:textId="77777777" w:rsidR="00E812E3" w:rsidRPr="007122AB" w:rsidRDefault="00E812E3" w:rsidP="007122AB">
      <w:pPr>
        <w:spacing w:after="0" w:line="240" w:lineRule="auto"/>
        <w:jc w:val="both"/>
        <w:rPr>
          <w:rFonts w:ascii="Times New Roman" w:hAnsi="Times New Roman"/>
          <w:color w:val="000000" w:themeColor="text1"/>
          <w:sz w:val="16"/>
          <w:szCs w:val="16"/>
        </w:rPr>
      </w:pPr>
    </w:p>
    <w:p w14:paraId="372D36D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w:t>
      </w:r>
    </w:p>
    <w:p w14:paraId="5C9E1266"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Решения Политбюро от 5</w:t>
      </w:r>
      <w:r w:rsidRPr="007122AB">
        <w:rPr>
          <w:rFonts w:ascii="Times New Roman" w:hAnsi="Times New Roman"/>
          <w:color w:val="000000" w:themeColor="text1"/>
          <w:sz w:val="16"/>
          <w:szCs w:val="16"/>
        </w:rPr>
        <w:noBreakHyphen/>
        <w:t>8.VII.1931 г.</w:t>
      </w:r>
    </w:p>
    <w:p w14:paraId="3734BEA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19/40: О договоре ВОГВФ с фирмой Цеппелин</w:t>
      </w:r>
    </w:p>
    <w:p w14:paraId="7D82E036"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20E065C4"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Согласиться на дальнейшее ведение переговоров с фирмой “Цеппелин” на базе предварительного договора, подписанного тов. </w:t>
      </w:r>
      <w:proofErr w:type="spellStart"/>
      <w:r w:rsidRPr="007122AB">
        <w:rPr>
          <w:rFonts w:ascii="Times New Roman" w:hAnsi="Times New Roman"/>
          <w:color w:val="000000" w:themeColor="text1"/>
          <w:sz w:val="16"/>
          <w:szCs w:val="16"/>
        </w:rPr>
        <w:t>Гольцманом</w:t>
      </w:r>
      <w:proofErr w:type="spellEnd"/>
      <w:r w:rsidRPr="007122AB">
        <w:rPr>
          <w:rFonts w:ascii="Times New Roman" w:hAnsi="Times New Roman"/>
          <w:color w:val="000000" w:themeColor="text1"/>
          <w:sz w:val="16"/>
          <w:szCs w:val="16"/>
        </w:rPr>
        <w:t xml:space="preserve"> и г. </w:t>
      </w:r>
      <w:proofErr w:type="spellStart"/>
      <w:r w:rsidRPr="007122AB">
        <w:rPr>
          <w:rFonts w:ascii="Times New Roman" w:hAnsi="Times New Roman"/>
          <w:color w:val="000000" w:themeColor="text1"/>
          <w:sz w:val="16"/>
          <w:szCs w:val="16"/>
        </w:rPr>
        <w:t>Эккенером</w:t>
      </w:r>
      <w:proofErr w:type="spellEnd"/>
      <w:r w:rsidRPr="007122AB">
        <w:rPr>
          <w:rFonts w:ascii="Times New Roman" w:hAnsi="Times New Roman"/>
          <w:color w:val="000000" w:themeColor="text1"/>
          <w:sz w:val="16"/>
          <w:szCs w:val="16"/>
        </w:rPr>
        <w:t>. Предложить тов.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выехать для продолжения переговоров в Германию.</w:t>
      </w:r>
    </w:p>
    <w:p w14:paraId="5BACC44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Дать тов.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следующие директивы:</w:t>
      </w:r>
    </w:p>
    <w:p w14:paraId="0DF2BAD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общую сумму наших платежей фирме “Цеппелин” снизить с 5.000.000 марок до 4.000.000 марок.</w:t>
      </w:r>
    </w:p>
    <w:p w14:paraId="33F6F59E"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валютные платежи текущего года ограничить 150.000 марок.</w:t>
      </w:r>
    </w:p>
    <w:p w14:paraId="24397F9F"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срок остальных платежей построить по согласованию с т. </w:t>
      </w:r>
      <w:proofErr w:type="spellStart"/>
      <w:r w:rsidRPr="007122AB">
        <w:rPr>
          <w:rFonts w:ascii="Times New Roman" w:hAnsi="Times New Roman"/>
          <w:color w:val="000000" w:themeColor="text1"/>
          <w:sz w:val="16"/>
          <w:szCs w:val="16"/>
        </w:rPr>
        <w:t>Розенгольцем</w:t>
      </w:r>
      <w:proofErr w:type="spellEnd"/>
      <w:r w:rsidRPr="007122AB">
        <w:rPr>
          <w:rFonts w:ascii="Times New Roman" w:hAnsi="Times New Roman"/>
          <w:color w:val="000000" w:themeColor="text1"/>
          <w:sz w:val="16"/>
          <w:szCs w:val="16"/>
        </w:rPr>
        <w:t xml:space="preserve"> таким образом, чтобы большая часть (не менее 50%) была нами выплачена после выполнения фирмой основных своих обязательств и, в частности, после постройки в СССР первого большого дирижабля.</w:t>
      </w:r>
    </w:p>
    <w:p w14:paraId="4CE1CCB4"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Поручить т. </w:t>
      </w:r>
      <w:proofErr w:type="spellStart"/>
      <w:r w:rsidRPr="007122AB">
        <w:rPr>
          <w:rFonts w:ascii="Times New Roman" w:hAnsi="Times New Roman"/>
          <w:color w:val="000000" w:themeColor="text1"/>
          <w:sz w:val="16"/>
          <w:szCs w:val="16"/>
        </w:rPr>
        <w:t>Хинчуку</w:t>
      </w:r>
      <w:proofErr w:type="spellEnd"/>
      <w:r w:rsidRPr="007122AB">
        <w:rPr>
          <w:rFonts w:ascii="Times New Roman" w:hAnsi="Times New Roman"/>
          <w:color w:val="000000" w:themeColor="text1"/>
          <w:sz w:val="16"/>
          <w:szCs w:val="16"/>
        </w:rPr>
        <w:t xml:space="preserve"> оказать т.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содействие при ведении переговоров.</w:t>
      </w:r>
    </w:p>
    <w:p w14:paraId="0D76FC58"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Разрешить т.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xml:space="preserve"> взять с собой в Германию инженера-коммуниста А. Н. </w:t>
      </w:r>
      <w:proofErr w:type="spellStart"/>
      <w:r w:rsidRPr="007122AB">
        <w:rPr>
          <w:rFonts w:ascii="Times New Roman" w:hAnsi="Times New Roman"/>
          <w:color w:val="000000" w:themeColor="text1"/>
          <w:sz w:val="16"/>
          <w:szCs w:val="16"/>
        </w:rPr>
        <w:t>Флаксермана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дирижаблиста</w:t>
      </w:r>
      <w:proofErr w:type="spellEnd"/>
      <w:r w:rsidRPr="007122AB">
        <w:rPr>
          <w:rFonts w:ascii="Times New Roman" w:hAnsi="Times New Roman"/>
          <w:color w:val="000000" w:themeColor="text1"/>
          <w:sz w:val="16"/>
          <w:szCs w:val="16"/>
        </w:rPr>
        <w:t>).</w:t>
      </w:r>
    </w:p>
    <w:p w14:paraId="28BB857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3CFC541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Рудзутаку, Керженцеву, </w:t>
      </w:r>
      <w:proofErr w:type="spellStart"/>
      <w:r w:rsidRPr="007122AB">
        <w:rPr>
          <w:rFonts w:ascii="Times New Roman" w:hAnsi="Times New Roman"/>
          <w:color w:val="000000" w:themeColor="text1"/>
          <w:sz w:val="16"/>
          <w:szCs w:val="16"/>
        </w:rPr>
        <w:t>Гольцману</w:t>
      </w:r>
      <w:proofErr w:type="spellEnd"/>
      <w:r w:rsidRPr="007122AB">
        <w:rPr>
          <w:rFonts w:ascii="Times New Roman" w:hAnsi="Times New Roman"/>
          <w:color w:val="000000" w:themeColor="text1"/>
          <w:sz w:val="16"/>
          <w:szCs w:val="16"/>
        </w:rPr>
        <w:t> — все;</w:t>
      </w:r>
    </w:p>
    <w:p w14:paraId="3731D33D"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Мессингу — 1 и 4;</w:t>
      </w:r>
    </w:p>
    <w:p w14:paraId="0D819472" w14:textId="77777777" w:rsidR="00962513" w:rsidRPr="007122AB" w:rsidRDefault="00962513"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Розенгольцу</w:t>
      </w:r>
      <w:proofErr w:type="spellEnd"/>
      <w:r w:rsidRPr="007122AB">
        <w:rPr>
          <w:rFonts w:ascii="Times New Roman" w:hAnsi="Times New Roman"/>
          <w:color w:val="000000" w:themeColor="text1"/>
          <w:sz w:val="16"/>
          <w:szCs w:val="16"/>
        </w:rPr>
        <w:t> — 1 и 2;</w:t>
      </w:r>
    </w:p>
    <w:p w14:paraId="3F287F4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Крестинскому — 1 и 3.</w:t>
      </w:r>
    </w:p>
    <w:p w14:paraId="0FA6B00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(18115).</w:t>
      </w:r>
    </w:p>
    <w:p w14:paraId="08BC37CB"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0CD9B679" w14:textId="77777777" w:rsidR="00C74467" w:rsidRPr="009F5089" w:rsidRDefault="00C74467" w:rsidP="00C7446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 xml:space="preserve">10 июля </w:t>
      </w:r>
      <w:r>
        <w:rPr>
          <w:rFonts w:ascii="Times New Roman" w:hAnsi="Times New Roman"/>
          <w:color w:val="0070C0"/>
          <w:sz w:val="16"/>
          <w:szCs w:val="16"/>
        </w:rPr>
        <w:t>1931 г. н</w:t>
      </w:r>
      <w:r w:rsidRPr="009F5089">
        <w:rPr>
          <w:rFonts w:ascii="Times New Roman" w:hAnsi="Times New Roman"/>
          <w:color w:val="0070C0"/>
          <w:sz w:val="16"/>
          <w:szCs w:val="16"/>
        </w:rPr>
        <w:t xml:space="preserve">ачался </w:t>
      </w:r>
      <w:proofErr w:type="spellStart"/>
      <w:r w:rsidRPr="009F5089">
        <w:rPr>
          <w:rFonts w:ascii="Times New Roman" w:hAnsi="Times New Roman"/>
          <w:color w:val="0070C0"/>
          <w:sz w:val="16"/>
          <w:szCs w:val="16"/>
        </w:rPr>
        <w:t>десятидневник</w:t>
      </w:r>
      <w:proofErr w:type="spellEnd"/>
      <w:r w:rsidRPr="009F5089">
        <w:rPr>
          <w:rFonts w:ascii="Times New Roman" w:hAnsi="Times New Roman"/>
          <w:color w:val="0070C0"/>
          <w:sz w:val="16"/>
          <w:szCs w:val="16"/>
        </w:rPr>
        <w:t xml:space="preserve"> помощи гражданскому воздушному флоту.</w:t>
      </w:r>
      <w:r>
        <w:rPr>
          <w:rFonts w:ascii="Times New Roman" w:hAnsi="Times New Roman"/>
          <w:color w:val="0070C0"/>
          <w:sz w:val="16"/>
          <w:szCs w:val="16"/>
        </w:rPr>
        <w:t xml:space="preserve"> </w:t>
      </w:r>
      <w:r w:rsidRPr="009F5089">
        <w:rPr>
          <w:rFonts w:ascii="Times New Roman" w:hAnsi="Times New Roman"/>
          <w:color w:val="0070C0"/>
          <w:sz w:val="16"/>
          <w:szCs w:val="16"/>
        </w:rPr>
        <w:t>Газета "Правда" по инициативе рабочих московского электро</w:t>
      </w:r>
      <w:r>
        <w:rPr>
          <w:rFonts w:ascii="Times New Roman" w:hAnsi="Times New Roman"/>
          <w:color w:val="0070C0"/>
          <w:sz w:val="16"/>
          <w:szCs w:val="16"/>
        </w:rPr>
        <w:t>за</w:t>
      </w:r>
      <w:r w:rsidRPr="009F5089">
        <w:rPr>
          <w:rFonts w:ascii="Times New Roman" w:hAnsi="Times New Roman"/>
          <w:color w:val="0070C0"/>
          <w:sz w:val="16"/>
          <w:szCs w:val="16"/>
        </w:rPr>
        <w:t xml:space="preserve">вода начала кампанию за привлечение внимания общественности </w:t>
      </w:r>
      <w:r>
        <w:rPr>
          <w:rFonts w:ascii="Times New Roman" w:hAnsi="Times New Roman"/>
          <w:color w:val="0070C0"/>
          <w:sz w:val="16"/>
          <w:szCs w:val="16"/>
        </w:rPr>
        <w:t xml:space="preserve">к </w:t>
      </w:r>
      <w:r w:rsidRPr="009F5089">
        <w:rPr>
          <w:rFonts w:ascii="Times New Roman" w:hAnsi="Times New Roman"/>
          <w:color w:val="0070C0"/>
          <w:sz w:val="16"/>
          <w:szCs w:val="16"/>
        </w:rPr>
        <w:t>ну</w:t>
      </w:r>
      <w:r>
        <w:rPr>
          <w:rFonts w:ascii="Times New Roman" w:hAnsi="Times New Roman"/>
          <w:color w:val="0070C0"/>
          <w:sz w:val="16"/>
          <w:szCs w:val="16"/>
        </w:rPr>
        <w:t>ж</w:t>
      </w:r>
      <w:r w:rsidRPr="009F5089">
        <w:rPr>
          <w:rFonts w:ascii="Times New Roman" w:hAnsi="Times New Roman"/>
          <w:color w:val="0070C0"/>
          <w:sz w:val="16"/>
          <w:szCs w:val="16"/>
        </w:rPr>
        <w:t>дам гражданского воздушного флота и оказание ему помощ</w:t>
      </w:r>
      <w:r>
        <w:rPr>
          <w:rFonts w:ascii="Times New Roman" w:hAnsi="Times New Roman"/>
          <w:color w:val="0070C0"/>
          <w:sz w:val="16"/>
          <w:szCs w:val="16"/>
        </w:rPr>
        <w:t xml:space="preserve">и </w:t>
      </w:r>
      <w:r w:rsidRPr="009F5089">
        <w:rPr>
          <w:rFonts w:ascii="Times New Roman" w:hAnsi="Times New Roman"/>
          <w:color w:val="0070C0"/>
          <w:sz w:val="16"/>
          <w:szCs w:val="16"/>
        </w:rPr>
        <w:t>в</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реализации правительственных постановлений. В </w:t>
      </w:r>
      <w:proofErr w:type="spellStart"/>
      <w:r w:rsidRPr="009F5089">
        <w:rPr>
          <w:rFonts w:ascii="Times New Roman" w:hAnsi="Times New Roman"/>
          <w:color w:val="0070C0"/>
          <w:sz w:val="16"/>
          <w:szCs w:val="16"/>
        </w:rPr>
        <w:t>де</w:t>
      </w:r>
      <w:r>
        <w:rPr>
          <w:rFonts w:ascii="Times New Roman" w:hAnsi="Times New Roman"/>
          <w:color w:val="0070C0"/>
          <w:sz w:val="16"/>
          <w:szCs w:val="16"/>
        </w:rPr>
        <w:t>с</w:t>
      </w:r>
      <w:r w:rsidRPr="009F5089">
        <w:rPr>
          <w:rFonts w:ascii="Times New Roman" w:hAnsi="Times New Roman"/>
          <w:color w:val="0070C0"/>
          <w:sz w:val="16"/>
          <w:szCs w:val="16"/>
        </w:rPr>
        <w:t>ятиднев</w:t>
      </w:r>
      <w:r>
        <w:rPr>
          <w:rFonts w:ascii="Times New Roman" w:hAnsi="Times New Roman"/>
          <w:color w:val="0070C0"/>
          <w:sz w:val="16"/>
          <w:szCs w:val="16"/>
        </w:rPr>
        <w:t>н</w:t>
      </w:r>
      <w:r w:rsidRPr="009F5089">
        <w:rPr>
          <w:rFonts w:ascii="Times New Roman" w:hAnsi="Times New Roman"/>
          <w:color w:val="0070C0"/>
          <w:sz w:val="16"/>
          <w:szCs w:val="16"/>
        </w:rPr>
        <w:t>ик</w:t>
      </w:r>
      <w:proofErr w:type="spellEnd"/>
      <w:r w:rsidRPr="009F5089">
        <w:rPr>
          <w:rFonts w:ascii="Times New Roman" w:hAnsi="Times New Roman"/>
          <w:color w:val="0070C0"/>
          <w:sz w:val="16"/>
          <w:szCs w:val="16"/>
        </w:rPr>
        <w:t xml:space="preserve"> в</w:t>
      </w:r>
      <w:r>
        <w:rPr>
          <w:rFonts w:ascii="Times New Roman" w:hAnsi="Times New Roman"/>
          <w:color w:val="0070C0"/>
          <w:sz w:val="16"/>
          <w:szCs w:val="16"/>
        </w:rPr>
        <w:t>к</w:t>
      </w:r>
      <w:r w:rsidRPr="009F5089">
        <w:rPr>
          <w:rFonts w:ascii="Times New Roman" w:hAnsi="Times New Roman"/>
          <w:color w:val="0070C0"/>
          <w:sz w:val="16"/>
          <w:szCs w:val="16"/>
        </w:rPr>
        <w:t>лю</w:t>
      </w:r>
      <w:r>
        <w:rPr>
          <w:rFonts w:ascii="Times New Roman" w:hAnsi="Times New Roman"/>
          <w:color w:val="0070C0"/>
          <w:sz w:val="16"/>
          <w:szCs w:val="16"/>
        </w:rPr>
        <w:t>чились</w:t>
      </w:r>
      <w:r w:rsidRPr="009F5089">
        <w:rPr>
          <w:rFonts w:ascii="Times New Roman" w:hAnsi="Times New Roman"/>
          <w:color w:val="0070C0"/>
          <w:sz w:val="16"/>
          <w:szCs w:val="16"/>
        </w:rPr>
        <w:t xml:space="preserve"> ВЛКСМ,</w:t>
      </w:r>
      <w:r>
        <w:rPr>
          <w:rFonts w:ascii="Times New Roman" w:hAnsi="Times New Roman"/>
          <w:color w:val="0070C0"/>
          <w:sz w:val="16"/>
          <w:szCs w:val="16"/>
        </w:rPr>
        <w:t xml:space="preserve"> </w:t>
      </w:r>
      <w:r w:rsidRPr="009F5089">
        <w:rPr>
          <w:rFonts w:ascii="Times New Roman" w:hAnsi="Times New Roman"/>
          <w:color w:val="0070C0"/>
          <w:sz w:val="16"/>
          <w:szCs w:val="16"/>
        </w:rPr>
        <w:t>ВЦСПС и Осоавиахим.</w:t>
      </w:r>
      <w:r>
        <w:rPr>
          <w:rFonts w:ascii="Times New Roman" w:hAnsi="Times New Roman"/>
          <w:color w:val="0070C0"/>
          <w:sz w:val="16"/>
          <w:szCs w:val="16"/>
        </w:rPr>
        <w:t xml:space="preserve"> </w:t>
      </w:r>
      <w:r w:rsidRPr="009F5089">
        <w:rPr>
          <w:rFonts w:ascii="Times New Roman" w:hAnsi="Times New Roman"/>
          <w:color w:val="0070C0"/>
          <w:sz w:val="16"/>
          <w:szCs w:val="16"/>
        </w:rPr>
        <w:t>Кампания шла под лозунгом "Стра</w:t>
      </w:r>
      <w:r w:rsidRPr="009F5089">
        <w:rPr>
          <w:rFonts w:ascii="Times New Roman" w:hAnsi="Times New Roman"/>
          <w:color w:val="0070C0"/>
          <w:sz w:val="16"/>
          <w:szCs w:val="16"/>
        </w:rPr>
        <w:softHyphen/>
        <w:t>не Советов - мощную гражданскую авиацию"</w:t>
      </w:r>
      <w:r>
        <w:rPr>
          <w:rFonts w:ascii="Times New Roman" w:hAnsi="Times New Roman"/>
          <w:color w:val="0070C0"/>
          <w:sz w:val="16"/>
          <w:szCs w:val="16"/>
        </w:rPr>
        <w:t>.</w:t>
      </w:r>
    </w:p>
    <w:p w14:paraId="1739EE44" w14:textId="77777777" w:rsidR="00C74467" w:rsidRDefault="00C74467" w:rsidP="00C74467">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/«Красная звезда</w:t>
      </w:r>
      <w:r>
        <w:rPr>
          <w:rFonts w:ascii="Times New Roman" w:hAnsi="Times New Roman"/>
          <w:color w:val="0070C0"/>
          <w:sz w:val="16"/>
          <w:szCs w:val="16"/>
        </w:rPr>
        <w:t>»</w:t>
      </w:r>
      <w:r w:rsidRPr="009F5089">
        <w:rPr>
          <w:rFonts w:ascii="Times New Roman" w:hAnsi="Times New Roman"/>
          <w:color w:val="0070C0"/>
          <w:sz w:val="16"/>
          <w:szCs w:val="16"/>
        </w:rPr>
        <w:t xml:space="preserve"> за 11 и 12 июля 1931/</w:t>
      </w:r>
      <w:r>
        <w:rPr>
          <w:rFonts w:ascii="Times New Roman" w:hAnsi="Times New Roman"/>
          <w:color w:val="0070C0"/>
          <w:sz w:val="16"/>
          <w:szCs w:val="16"/>
        </w:rPr>
        <w:t xml:space="preserve"> (23370).</w:t>
      </w:r>
    </w:p>
    <w:p w14:paraId="247663EC" w14:textId="77777777" w:rsidR="00C74467" w:rsidRPr="009F5089" w:rsidRDefault="00C74467" w:rsidP="00C74467">
      <w:pPr>
        <w:spacing w:after="0" w:line="240" w:lineRule="auto"/>
        <w:jc w:val="both"/>
        <w:rPr>
          <w:rFonts w:ascii="Times New Roman" w:hAnsi="Times New Roman"/>
          <w:color w:val="0070C0"/>
          <w:sz w:val="16"/>
          <w:szCs w:val="16"/>
        </w:rPr>
      </w:pPr>
    </w:p>
    <w:p w14:paraId="37B51727"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945F3AF"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BA2431C" w14:textId="77777777" w:rsidR="00E812E3" w:rsidRPr="007122AB" w:rsidRDefault="00E812E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в 1931 году образовано ГУП "38 Научно-исследовательский испытательный институт" МО Российской Федерации. История развития 38 НИИИ БТВТ начинается с создания в соответствии с приказом РЕВВОЕНСОВЕТА СССР от 4 апреля 1931 года №22 Научно-испытательного автобронетанкового полигона Управления Механизации и Моторизации Рабоче-Крестьянской Красной Армии (РККА). 10-го июля 1931 года 23 человека личного состава Полигона прибыли на строительную площадку в указанном районе и поселились в палатках. Именно этот день позднее, приказом Министра обороны СССР №007 от 1971г., установлен днем образования части. В 1930-е годы прошлого столетия на вооружение Красной Армии стала интенсивно поступать автобронетанковая техника. По мере количественного и качественного роста автобронетанковой техники задачи, возлагаемые на полигон, усложнялись, а их количество увеличивалось. Только за период с 1934 по 1938 год здесь были проведены испытания танков «БТ-2», «БТ-5», «БТ-7», плавающих танков «Т-37», «Т-37А», «Т-38», среднего танка «Т-28», тяжелого танка Т-35, а также большого количества бронеавтомобилей, артиллерийских тягачей, тракторов, транспортных автомобилей и т. д. В годы Великой Отечественной войны основные усилия коллектива были направлены на испытание и усовершенствование танков и САУ: «Т-60», «Т-70», «Т-34», «КВ», «ИС-1», «ИС-2», «ИС-3», «СУ-76», «СУ-85», «СУ-100», «СУ-122», «СУ-152», «ИСУ-122», «ИСУ-152». Достаточно привести такой факт: за период с мая 1941 года по январь 1943 года в легендарный танк Т-34 было внесено более 200 конструкторских изменений, подавляющая часть которых была внедрена по рекомендациям полигона. С 1956 года начались работы по исследованию принципиально новых способов защиты танков от кумулятивных средств поражения и, в частности, исследования принципиальной возможности создания средств активной и динамической защиты. В это же время на полигоне были начаты работы по исследованию противоминной стойкости танков. В 1966 году была прията на вооружение боевая машина пехоты «БМП-1», которая стала родоначальником нового класса машин. Усложнение задач, возлагавшихся на Полигон, которые он выполнял в течении всех послевоенных лет, привело к фактическому слиянию в его рамках функций научно-исследовательского института и испытательного учреждения. В связи с этим Директивой Генерального штаба от 5 февраля 1972 года 22-й Полигон был преобразован в 38-й Научно-исследовательский испытательный институт бронетанковой техники (Ныне ГУП "38 Научно-исследовательский испытательный институт" МО Российской Федерации). К настоящему времени институт располагает уникальным, единственным в России и СНГ, комплексом современного экспериментального оборудования для проведения научных исследований и испытаний как Броне-танкового Вооружений и Техники, так и военной техники на их базе, а также народнохозяйственных гусеничных и колесных машин. За большие заслуги в разработке и испытании новой техники Институт награжден орденами Красного Знамени (1968 г.) и Октябрьской революции (1976г.). В 1977 г. 38 НИИИ БТВТ присвоено имя Маршала бронетанковых войск Федоренко Я.Н. (14948).</w:t>
      </w:r>
    </w:p>
    <w:p w14:paraId="2AF56E67" w14:textId="77777777" w:rsidR="00E812E3" w:rsidRPr="007122AB" w:rsidRDefault="00E812E3" w:rsidP="007122AB">
      <w:pPr>
        <w:spacing w:after="0" w:line="240" w:lineRule="auto"/>
        <w:jc w:val="both"/>
        <w:rPr>
          <w:rFonts w:ascii="Times New Roman" w:hAnsi="Times New Roman"/>
          <w:color w:val="000000" w:themeColor="text1"/>
          <w:sz w:val="16"/>
          <w:szCs w:val="16"/>
        </w:rPr>
      </w:pPr>
    </w:p>
    <w:p w14:paraId="2499281B"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10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48. Опросом членов ПБ от 10 июля 1931 г. 34/25. О закупке механического оборудования для </w:t>
      </w:r>
      <w:proofErr w:type="spellStart"/>
      <w:r w:rsidRPr="007122AB">
        <w:rPr>
          <w:rFonts w:ascii="Times New Roman" w:hAnsi="Times New Roman"/>
          <w:color w:val="000000" w:themeColor="text1"/>
          <w:sz w:val="16"/>
          <w:szCs w:val="16"/>
          <w:u w:color="002060"/>
        </w:rPr>
        <w:t>бункерования</w:t>
      </w:r>
      <w:proofErr w:type="spellEnd"/>
      <w:r w:rsidRPr="007122AB">
        <w:rPr>
          <w:rFonts w:ascii="Times New Roman" w:hAnsi="Times New Roman"/>
          <w:color w:val="000000" w:themeColor="text1"/>
          <w:sz w:val="16"/>
          <w:szCs w:val="16"/>
          <w:u w:color="002060"/>
        </w:rPr>
        <w:t xml:space="preserve"> судов. (РГАСПИ. Ф. 17. Оп. 162. Д. 10. Л. 111) (12416).</w:t>
      </w:r>
    </w:p>
    <w:p w14:paraId="22A4609D"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171B217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6E0393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008C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 Политбюро ЦК ВКП(б) постановило освободить из тюрем несколько тысяч инженеров и техников (4962).</w:t>
      </w:r>
    </w:p>
    <w:p w14:paraId="271D3B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DE5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10 и 16 июля 1931. Из протокола заседания Политбюро № 41, 1931 г.</w:t>
      </w:r>
    </w:p>
    <w:p w14:paraId="3E1C0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работе технического персонала на предприятиях и об улучшении бытовых условий инженерно-технических работников </w:t>
      </w:r>
    </w:p>
    <w:p w14:paraId="539BDD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Руководителям предприятий и учреждений, партийным и профсоюзным органам добиться осуществления в полном объеме прав и обязанностей инженеров по руководству производством... </w:t>
      </w:r>
    </w:p>
    <w:p w14:paraId="1D8999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Предоставить возможность инженерно-техническому персоналу проявлять широкую инициативу в деле рационализации и улучшения процессов производства, допуская производственный риск, неудовлетворительные результаты которого рассматривать как неудачу, подлежащую техническому и хозяйственному разбору лишь со стороны руководителей предприятий и объединений... </w:t>
      </w:r>
    </w:p>
    <w:p w14:paraId="42BF7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Пересмотреть дела осужденных и приговоренных к принудительным работам специалистов за допущенные в работе неполадки и промахи и за нарушение трудового законодательства. В отношении осужденных специалистов, которые доказали своей работой преданность делу социалистического строительства, снять судимость, исключив соответствующую запись в их трудовых списках... </w:t>
      </w:r>
    </w:p>
    <w:p w14:paraId="45D256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а) Воспретить органам милиции, угрозыска и прокуратуры вмешиваться в производственную жизнь завода и вести следствие по производственным делам без специального разрешения дирекции предприятий или руководящих органов; </w:t>
      </w:r>
    </w:p>
    <w:p w14:paraId="315AD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считать нецелесообразным существование официальных представителей ОГПУ на предприятиях; </w:t>
      </w:r>
    </w:p>
    <w:p w14:paraId="0548FB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воспретить парторганизациям отмену, исправление или задержку оперативных распоряжений дирекции заводов (11652).</w:t>
      </w:r>
    </w:p>
    <w:p w14:paraId="5BF059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AD7E98"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w:t>
      </w:r>
    </w:p>
    <w:p w14:paraId="50DE55E6"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Решения Политбюро от 10.VII.1931 г.</w:t>
      </w:r>
    </w:p>
    <w:p w14:paraId="7C9239BC"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1/13: Вопросы ОГПУ</w:t>
      </w:r>
    </w:p>
    <w:p w14:paraId="10BDD1B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30.VI.31 г., пр. № 46, п. 1/17).</w:t>
      </w:r>
    </w:p>
    <w:p w14:paraId="5D223875"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(Молотов, Сталин, Ворошилов, Андреев, Орджоникидзе).</w:t>
      </w:r>
    </w:p>
    <w:p w14:paraId="04DCD373"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 особая папка.</w:t>
      </w:r>
    </w:p>
    <w:p w14:paraId="26A8885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Никого из коммунистов, работающих в органах ОГПУ или вне этих органов, как в центре, так и на местах, не арестовывать без ведома и согласия ЦК ВКП(б).</w:t>
      </w:r>
    </w:p>
    <w:p w14:paraId="2A82655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Никого из специалистов (инженерно-технический персонал, военные, агрономы, врачи и т. п.) не арестовывать без согласия соответствующего наркома (союзного или республиканского), в случае же разногласия вопрос переносить в ЦК ВКП(б).</w:t>
      </w:r>
    </w:p>
    <w:p w14:paraId="6776933E"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Граждан, арестованных по обвинению в политическом преступлении, не держать без допроса более чем две недели, и под следствием более, чем три месяца, после чего дело должно быть ликвидировано либо передачей суду, либо самостоятельным решением коллегии ОГПУ.</w:t>
      </w:r>
    </w:p>
    <w:p w14:paraId="4AFBAD28"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Все приговоры о высшей мере наказания, выносимые коллегией ОГПУ, вносить на утверждение ЦК ВКП(б).</w:t>
      </w:r>
    </w:p>
    <w:p w14:paraId="342EA622"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Выписка послана:</w:t>
      </w:r>
    </w:p>
    <w:p w14:paraId="7CA82E94"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Менжинскому.</w:t>
      </w:r>
    </w:p>
    <w:p w14:paraId="5B0FE7DD"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Приписка от руки:</w:t>
      </w:r>
    </w:p>
    <w:p w14:paraId="0C3EEC1E"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Разослано за № 45 (1/13) пр. № 54 (как открытое решение).</w:t>
      </w:r>
    </w:p>
    <w:p w14:paraId="64F504C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(18115).</w:t>
      </w:r>
    </w:p>
    <w:p w14:paraId="26C523E1"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73FE438E"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w:t>
      </w:r>
    </w:p>
    <w:p w14:paraId="7C729019"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18/39: О работе технического персонала на предприятиях и об улучшении бытовых условий инженерно-технических работников</w:t>
      </w:r>
    </w:p>
    <w:p w14:paraId="520F167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(Орджоникидзе).</w:t>
      </w:r>
    </w:p>
    <w:p w14:paraId="27DE28D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Принять с поправкой в п. 7</w:t>
      </w:r>
      <w:r w:rsidRPr="007122AB">
        <w:rPr>
          <w:rFonts w:ascii="Times New Roman" w:hAnsi="Times New Roman"/>
          <w:color w:val="000000" w:themeColor="text1"/>
          <w:sz w:val="16"/>
          <w:szCs w:val="16"/>
        </w:rPr>
        <w:noBreakHyphen/>
        <w:t>в предложенный т. Орджоникидзе проект постановления ЦК по вопросу о работе технического персонала на предприятиях и об улучшении бытовых условий инженерно-технических работников (</w:t>
      </w:r>
      <w:hyperlink r:id="rId142" w:history="1">
        <w:r w:rsidRPr="007122AB">
          <w:rPr>
            <w:rStyle w:val="a5"/>
            <w:rFonts w:ascii="Times New Roman" w:hAnsi="Times New Roman"/>
            <w:color w:val="000000" w:themeColor="text1"/>
            <w:sz w:val="16"/>
            <w:szCs w:val="16"/>
          </w:rPr>
          <w:t>см. приложение № 3</w:t>
        </w:r>
      </w:hyperlink>
      <w:r w:rsidRPr="007122AB">
        <w:rPr>
          <w:rFonts w:ascii="Times New Roman" w:hAnsi="Times New Roman"/>
          <w:color w:val="000000" w:themeColor="text1"/>
          <w:sz w:val="16"/>
          <w:szCs w:val="16"/>
        </w:rPr>
        <w:t>).</w:t>
      </w:r>
    </w:p>
    <w:p w14:paraId="10D2079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Постановление разослать нац. ЦК, краевым и областным парторганизациям, всем директорам фабрик и заводов и председателям объединений.</w:t>
      </w:r>
    </w:p>
    <w:p w14:paraId="64790D6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 Решение — особая папка.</w:t>
      </w:r>
    </w:p>
    <w:p w14:paraId="13033BED"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Освободить арестованных специалистов в первую очередь по черной металлургии и потом по углю по списку, согласованного между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Орджоникидзе и Менжинским, и направить их для работы на заводы.</w:t>
      </w:r>
    </w:p>
    <w:p w14:paraId="7E1EA5F8"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Отменить постановление СТО об обязанности ОГПУ привлекать к ответственности специалистов за пережоги топлива.</w:t>
      </w:r>
    </w:p>
    <w:p w14:paraId="78D2281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Выписки посланы:</w:t>
      </w:r>
    </w:p>
    <w:p w14:paraId="31598E5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Менжинскому, Орджоникидзе — п. “в”, “г”;</w:t>
      </w:r>
    </w:p>
    <w:p w14:paraId="53B592A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Керженцеву — п. “г”.</w:t>
      </w:r>
    </w:p>
    <w:p w14:paraId="77C86A68"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(18115).</w:t>
      </w:r>
    </w:p>
    <w:p w14:paraId="5EA71223"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работе технического персонала на предприятии и об улучшении бытовых условий инженерно-технических работников.</w:t>
      </w:r>
    </w:p>
    <w:p w14:paraId="4A6FBA6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ЦК ВКП(б) от 10</w:t>
      </w:r>
      <w:r w:rsidRPr="007122AB">
        <w:rPr>
          <w:rFonts w:ascii="Times New Roman" w:hAnsi="Times New Roman"/>
          <w:color w:val="000000" w:themeColor="text1"/>
          <w:sz w:val="16"/>
          <w:szCs w:val="16"/>
        </w:rPr>
        <w:noBreakHyphen/>
        <w:t>го июля 1931 г.).</w:t>
      </w:r>
    </w:p>
    <w:p w14:paraId="3B4E0A22"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целях улучшения условий работы инженерно-технического персонала на предприятиях и в учреждениях ЦК ВКП(б) утверждает следующие предложения ВСНХ СССР:</w:t>
      </w:r>
    </w:p>
    <w:p w14:paraId="3BE78D99"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Руководителям предприятий и учреждений, партийным и профсоюзным органам поднять авторитет инженерно-технического персонала и добиться осуществления в полном объеме прав и обязанностей инженеров по руководству производством. Особо необходимо поддержать молодых специалистов, обеспечив их дальнейший рост в процессе работы.</w:t>
      </w:r>
    </w:p>
    <w:p w14:paraId="3D2FF8D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Предоставить возможность инженерно-техническому персоналу проявлять широкую инициативу в деле рационализации и улучшения процессов производства, допуская производственный риск, неудовлетворительные результаты которого рассматривать как неудачу, подлежащую техническому и хозяйственному разбору лишь со стороны руководителей предприятий и объединений.</w:t>
      </w:r>
    </w:p>
    <w:p w14:paraId="746AADF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Руководителям предприятий и учреждений всячески поощрять проявление специалистами в своей работе изобретательности, умелого руководства, энергии и инициативы, путем премирования их, опубликования в печати об их достижениях и в особо выдающихся случаях предоставлять инженерно-технических работников к наградам.</w:t>
      </w:r>
    </w:p>
    <w:p w14:paraId="3BA0D6B7"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Пересмотреть дела осужденных и приговоренных к принудительным работам специалистов за допущенные в работе неполадки и промахи и за нарушение трудового законодательства. В отношении осужденных специалистов, которые доказали своей работой преданность делу социалистического строительства, снять судимость, исключив соответствующие записи в их трудовых списках.</w:t>
      </w:r>
    </w:p>
    <w:p w14:paraId="2459F93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проведения в жизнь этого постановления образовать на предприятиях и в учреждениях специальные комиссии из представителей </w:t>
      </w:r>
      <w:proofErr w:type="spellStart"/>
      <w:r w:rsidRPr="007122AB">
        <w:rPr>
          <w:rFonts w:ascii="Times New Roman" w:hAnsi="Times New Roman"/>
          <w:color w:val="000000" w:themeColor="text1"/>
          <w:sz w:val="16"/>
          <w:szCs w:val="16"/>
        </w:rPr>
        <w:t>Наркомюста</w:t>
      </w:r>
      <w:proofErr w:type="spellEnd"/>
      <w:r w:rsidRPr="007122AB">
        <w:rPr>
          <w:rFonts w:ascii="Times New Roman" w:hAnsi="Times New Roman"/>
          <w:color w:val="000000" w:themeColor="text1"/>
          <w:sz w:val="16"/>
          <w:szCs w:val="16"/>
        </w:rPr>
        <w:t>, управления данного предприятия и бюро ИТС соответствующего профсоюза, которым в течение месячного срока закончить свою работу по пересмотру этих дел. Указанным комиссиям предоставить право окончательных решений.</w:t>
      </w:r>
    </w:p>
    <w:p w14:paraId="2ABB229A"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 целях наилучшего использования наличных инженерно-технических кадров, пересмотреть загрузку специалистов, работающих на предприятиях и в учреждениях и освободить их от канцелярской и иной несвойственной им работы, переложив таковую на обслуживающий персонал.</w:t>
      </w:r>
    </w:p>
    <w:p w14:paraId="682B4370"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Усилить практику назначения инженерно-технических работников на должности зав. цехов, зав. конструкторскими, техническими и т. п. отделами и на другие руководящие должности.</w:t>
      </w:r>
    </w:p>
    <w:p w14:paraId="5EC70331"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 части улучшения бытовых условий инженерно-технических работников провести следующие мероприятия:</w:t>
      </w:r>
    </w:p>
    <w:p w14:paraId="13D25109"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обеспечить места детям инженерно-технических работников при приеме в учебные заведения наравне с детьми индустриальных рабочих;</w:t>
      </w:r>
    </w:p>
    <w:p w14:paraId="067B7EC5"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обеспечить инженерно-технических работников домами отдыха и санаториями наравне с индустриальными рабочими;</w:t>
      </w:r>
    </w:p>
    <w:p w14:paraId="4ABAFD65"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больным инженерно-техническим работникам во время их болезни выдавать пособие наравне с рабочими;</w:t>
      </w:r>
    </w:p>
    <w:p w14:paraId="0297DD84"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 отношении условий снабжения инженерно-технических работников и их семей приравнять их к индустриальным рабочим;</w:t>
      </w:r>
    </w:p>
    <w:p w14:paraId="1719D1E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при переводе инженерно-технических работников с производства на работу в учреждения, в целях укрепления технического руководства высших звеньев управления, не допускать ухудшений условий оплаты их труда;</w:t>
      </w:r>
    </w:p>
    <w:p w14:paraId="5496EA5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приравнять инженерно-технических работников к индустриальным рабочим в правах на получение жилой площади. Существующие кооперативы инженерно-технических работников приравнять к рабочим жилищным кооперативам.</w:t>
      </w:r>
    </w:p>
    <w:p w14:paraId="3CA98890"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СНК СССР выделить дополнительно на 1931 г. 10 млн. руб. сверх предусмотренных планом, по линии жилищной кооперации, для усиления жилстроительства и обеспечения жилплощадью инженерно-технических работников в наиболее неблагополучных в этом отношении пунктах.</w:t>
      </w:r>
    </w:p>
    <w:p w14:paraId="4EE8DE8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ВСНХ СССР выделить дополнительный фонд стройматериалов для реализации указанных вложений</w:t>
      </w:r>
    </w:p>
    <w:p w14:paraId="56AE595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установлении нормы жилой площади исходить из необходимости обеспечения специалистам проводимой ими на дому работы по повышению своей квалификации, предоставив им право на дополнительную площадь наравне с ответственными работниками.</w:t>
      </w:r>
    </w:p>
    <w:p w14:paraId="79A6D03F"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Предложить Комиссии Исполнения при Совнаркоме иметь постоянное наблюдение за выполнением означенного постановления.</w:t>
      </w:r>
    </w:p>
    <w:p w14:paraId="0F8FF913"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Распространить п. 5 (“а”, “б”, “в”) постановления ЦК ВКП(б) и СНК СССР от 3.VI</w:t>
      </w:r>
      <w:r w:rsidRPr="007122AB">
        <w:rPr>
          <w:rFonts w:ascii="Times New Roman" w:hAnsi="Times New Roman"/>
          <w:color w:val="000000" w:themeColor="text1"/>
          <w:sz w:val="16"/>
          <w:szCs w:val="16"/>
        </w:rPr>
        <w:noBreakHyphen/>
        <w:t>31 г. на весь Союз:</w:t>
      </w:r>
    </w:p>
    <w:p w14:paraId="21530EDE"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Воспретить органам милиции, угрозыска и прокуратуры вмешиваться в производственную жизнь завода и вести следствие по производственным делам без специального разрешения дирекции предприятий или вышестоящих органов.</w:t>
      </w:r>
    </w:p>
    <w:p w14:paraId="0A6E20A3"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Считать нецелесообразным существование официальных представительств ОГПУ на предприятиях.</w:t>
      </w:r>
    </w:p>
    <w:p w14:paraId="3DE6B35B" w14:textId="77777777" w:rsidR="00962513" w:rsidRPr="007122AB" w:rsidRDefault="0096251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Воспретить парторганизациям отмену, исправление или задержку оперативных распоряжений дирекции заводов (18116).</w:t>
      </w:r>
    </w:p>
    <w:p w14:paraId="567B6EFE" w14:textId="77777777" w:rsidR="00962513" w:rsidRPr="007122AB" w:rsidRDefault="00962513" w:rsidP="007122AB">
      <w:pPr>
        <w:spacing w:after="0" w:line="240" w:lineRule="auto"/>
        <w:jc w:val="both"/>
        <w:rPr>
          <w:rFonts w:ascii="Times New Roman" w:hAnsi="Times New Roman"/>
          <w:color w:val="000000" w:themeColor="text1"/>
          <w:sz w:val="16"/>
          <w:szCs w:val="16"/>
        </w:rPr>
      </w:pPr>
    </w:p>
    <w:p w14:paraId="585DE44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50C82F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0916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 вопреки протестам Дании, Норвегия аннексировала Восточную Гренландию (4962).</w:t>
      </w:r>
    </w:p>
    <w:p w14:paraId="33B1CF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30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июля 1931 Норвегия аннексировала Восточную Гренландию. Дания заявила протест и вопрос передали в Лигу наций: которая в апреле 1933 осудила действия Норвегии (3907,168).</w:t>
      </w:r>
    </w:p>
    <w:p w14:paraId="23EE5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B083B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0BA567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947357" w14:textId="77777777" w:rsidR="00D84D3F" w:rsidRPr="007122AB" w:rsidRDefault="00D84D3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июля 1931 вслед за Постановлением о награждении, на завод № 39 пришло поздравительное письмо от членов правительства Г.К. Орджоникидзе и К.Е. Ворошилова.</w:t>
      </w:r>
    </w:p>
    <w:p w14:paraId="1519B576"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РАБОЧИМ И СПЕЦИАЛИСТАМ ЦКБ и ЗАВОДА № 39.</w:t>
      </w:r>
    </w:p>
    <w:p w14:paraId="1653363A"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Дорогие товарищи.</w:t>
      </w:r>
    </w:p>
    <w:p w14:paraId="1154180E"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Пользуясь случаем празднования Вами новой вашей большой производственной победы, шлем наш братский привет и горячие поздравления. Вслед за И-5, ЛШ, ТШ и другими машинами, выпущенными вашим заводом в течение одного года. Вы внесли в дело социалистического строительства новый ценный вклад – многомоторный самолет ТБ-5. Мы уверены, что предстоящие, более длительные и трудные испытания этого корабля прочно установят его заслуженное место в первом ряду самолетов Красного Воздушного Флота.</w:t>
      </w:r>
    </w:p>
    <w:p w14:paraId="622B816A"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Пролетариат Советского Союза может гордиться вашей работой и вашими достижениями. За короткий срок, не взирая на сравнительную бедность зданий и оборудования 39-го завода, преодолевая многочисленные нехватки в материалах и другие трудности, вы сумели дать советской стране ряд прекрасных воздушных кораблей, стоящих на уровне лучших заграничных образцов. Выполняя задания Партии и Правительства, вы добились в своей работе небывалых в нашей стране темпов проектирования и постройки самолетов. Сроки, выдержанные вами в создание ТБ-5, бьют не только наши, но и лучшие заграничные рекорды сооружения тяжелых многомоторных самолетов.</w:t>
      </w:r>
    </w:p>
    <w:p w14:paraId="3A109F6B"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Ваши победы доказывают высокую зрелость конструкторского и производственного коллектива ЦКБ и завода, подлинно большевистский энтузиазм строителей и крепкое хорошее руководство работой администрации и партийного коллектива, сумевших использовать все возможности и поднять волю всех рабочих и специалистов на выполнение важнейших для нашей страны задач.</w:t>
      </w:r>
    </w:p>
    <w:p w14:paraId="2AC09288"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Нам особенно приятно отметить, что ваш новый самолет, как, впрочем, и другие ваши работы – не творение рук одного только талантливого инженера, а подлинное детище дружного, крепко сплоченного коллектива старых и молодых специалистов, пролетариев завода, администрации, партийной и общественных организаций, летчиков, мотористов и других товарищей, которые все с величайшим подъемом отдавали полностью свои силы, знания, опыт и труд на создание новых наших воздушных кораблей.</w:t>
      </w:r>
    </w:p>
    <w:p w14:paraId="38C229E6"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Мы должны в то же время с большим удовлетворением подчеркнуть, что в достижениях вашего коллектива одно из почетных мест по праву принадлежит группе старых специалистов. Еще недавно, не будучи в силах освободиться от кастовых предрассудков буржуазного инженерства, не веря в великую творческую роль пролетариата, они не желали отдать ему свой выдающийся опыт и знания. Поставленные в особые условия вынужденным к тому пролетариатом и убежденные величайшими победами социалистического строительства, они поняли, что их место не против, не в стороне, а в одной колонне с рабочим классом, с неслыханной энергией строящим новое человеческое общество. Эти товарищи – старые инженеры сами, находясь в вашем коллективе, превратились в энтузиастов социалистической стройки, в весьма полезных наших сотрудников.</w:t>
      </w:r>
    </w:p>
    <w:p w14:paraId="0BCE22C4"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Мы ни на минуту не сомневаемся, что ЦКБ и пролетарии 39-го завода не остановятся на достигнутом и дадут нашей стране еще более совершенные плоды своей большевистской работы.</w:t>
      </w:r>
    </w:p>
    <w:p w14:paraId="7E18743E"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Да здравствуют славные пролетарии и специалисты ЦКБ и 39-го завода. Вперед к новым победам!</w:t>
      </w:r>
    </w:p>
    <w:p w14:paraId="0B3073D3"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Ваши /Орджоникидзе/</w:t>
      </w:r>
    </w:p>
    <w:p w14:paraId="5CD81E86"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/Ворошилов/</w:t>
      </w:r>
    </w:p>
    <w:p w14:paraId="6A17CF59"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lastRenderedPageBreak/>
        <w:t>II/VII-31г.</w:t>
      </w:r>
    </w:p>
    <w:p w14:paraId="2E7A6CEA" w14:textId="77777777" w:rsidR="00D84D3F" w:rsidRPr="007122AB" w:rsidRDefault="00D84D3F"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ответном письме К.Е. Ворошилову - Народному комиссару по военным и морским делам СССР заводчане писали...</w:t>
      </w:r>
    </w:p>
    <w:p w14:paraId="29B10FD8"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Дорогой КЛЕМЕНТИЙ ЕФРЕМОВИЧ!</w:t>
      </w:r>
    </w:p>
    <w:p w14:paraId="08B9AC36"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Вчера на торжественном собрании лучших ударников нашего коллектива рабочих и инженерно-технического персонала, совместно с </w:t>
      </w:r>
      <w:proofErr w:type="spellStart"/>
      <w:r w:rsidRPr="007122AB">
        <w:rPr>
          <w:rStyle w:val="af0"/>
          <w:i w:val="0"/>
          <w:color w:val="000000" w:themeColor="text1"/>
          <w:sz w:val="16"/>
          <w:szCs w:val="16"/>
        </w:rPr>
        <w:t>партруководителями</w:t>
      </w:r>
      <w:proofErr w:type="spellEnd"/>
      <w:r w:rsidRPr="007122AB">
        <w:rPr>
          <w:rStyle w:val="af0"/>
          <w:i w:val="0"/>
          <w:color w:val="000000" w:themeColor="text1"/>
          <w:sz w:val="16"/>
          <w:szCs w:val="16"/>
        </w:rPr>
        <w:t xml:space="preserve"> Красно–Пресненского района, по Твоему приказанию, член Реввоенсовета и начальник Военно-Воздушных Сил РККА СССР тов. АЛКС-НИС огласил Тобою представленное и проведенное через Правительство постановление ЦИК Союза о награждении завода и его работников.</w:t>
      </w:r>
    </w:p>
    <w:p w14:paraId="561045D1"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Признавая, что наша упорная работа по пролетарской справедливости отмечена Партией и Правительством, и в первую очередь Тобой, Вождем и руководителем нашей несокрушимой Красной Армии, над усилением мощи которой мы неустанно работаем, шлем Тебе, дорогой КЛЕМЕНТИЙ ЕФРЕМОВИЧ, нашу искреннюю товарищескую благодарность за то, что ты первый, как всегда, с твоим старо–большевистским напором выпестовал нашу молодую организацию, поддерживая ее на кратком пути, борющуюся за лучшее вооружение Воздушного Флота, несмотря на страхи, сомнения в успехе начинаемого дела, несмотря на возникающие политические затруднения в использовании технических сил, косности ряда органов, с которыми вынуждены были работать.</w:t>
      </w:r>
    </w:p>
    <w:p w14:paraId="49535797"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Ты, старый партиец, не раз упорно отстаивающий и проводящий Ленинские заветы, своим пролетарским чутьем, верно определил и довел до определенных результатов дело, за которое мы год тому назад крепко взялись, имея своей целью в наикратчайший срок перевооружить Красный Воздушный Флот, сделать его, в первом завтрашнем бою с врагом, непобедимым, вследствие своего технического совершенства и вооружения.</w:t>
      </w:r>
    </w:p>
    <w:p w14:paraId="1D540E94"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Ныне мы достигли первых позиций. Начиная с маленьких машин - истребителя «КЛИМ ВОРОШИЛОВ», мы 1/У11-31 года закончили большим бомбовозом.</w:t>
      </w:r>
    </w:p>
    <w:p w14:paraId="3CC00B9F"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Мы, работники ЦКБ и завода 39 заверяем Тебя КЛЕМЕНТИЙ ЕФРЕМОВИЧ, что сегодняшние наши достижения и Твое признание ценности нашей работы вселяют в нас не только удовлетворение в проделанном, но еще больше заражают нас энтузиазмом, укрепляет наше упорство – поставить на первое место руководимый Тобою Красный Воздушный Флот.</w:t>
      </w:r>
    </w:p>
    <w:p w14:paraId="2E8AB405"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От лица всех работников и инженерно-технического персонала нашего коллектива, просим Тебя передать наши заверения Центральному Комитету Всесоюзной Коммунистической партии и Вождю Пролетарских масс тов. СТАЛИНУ - отдать все силы на укрепление Строительства Социализма - укрепление мощи Армии в предстоящей схватке с мировой буржуазией.</w:t>
      </w:r>
    </w:p>
    <w:p w14:paraId="1A28F4D1"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 xml:space="preserve">Начальник ЦКБ </w:t>
      </w:r>
      <w:proofErr w:type="spellStart"/>
      <w:r w:rsidRPr="007122AB">
        <w:rPr>
          <w:rStyle w:val="af0"/>
          <w:i w:val="0"/>
          <w:color w:val="000000" w:themeColor="text1"/>
          <w:sz w:val="16"/>
          <w:szCs w:val="16"/>
        </w:rPr>
        <w:t>Горянов</w:t>
      </w:r>
      <w:proofErr w:type="spellEnd"/>
    </w:p>
    <w:p w14:paraId="3044B6F7"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Зам. начальника ЦКБ и директор завода </w:t>
      </w:r>
      <w:proofErr w:type="spellStart"/>
      <w:r w:rsidRPr="007122AB">
        <w:rPr>
          <w:rStyle w:val="af0"/>
          <w:i w:val="0"/>
          <w:color w:val="000000" w:themeColor="text1"/>
          <w:sz w:val="16"/>
          <w:szCs w:val="16"/>
        </w:rPr>
        <w:t>Пауфлер</w:t>
      </w:r>
      <w:proofErr w:type="spellEnd"/>
    </w:p>
    <w:p w14:paraId="572BEEAE" w14:textId="77777777" w:rsidR="00D84D3F" w:rsidRPr="007122AB" w:rsidRDefault="00D84D3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 xml:space="preserve">Секретарь ячейки ВКП(б) </w:t>
      </w:r>
      <w:proofErr w:type="spellStart"/>
      <w:r w:rsidRPr="007122AB">
        <w:rPr>
          <w:rStyle w:val="af0"/>
          <w:i w:val="0"/>
          <w:color w:val="000000" w:themeColor="text1"/>
          <w:sz w:val="16"/>
          <w:szCs w:val="16"/>
        </w:rPr>
        <w:t>Сачковский</w:t>
      </w:r>
      <w:proofErr w:type="spellEnd"/>
    </w:p>
    <w:p w14:paraId="4B7077F4"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Предзавкома Царев (15223).</w:t>
      </w:r>
    </w:p>
    <w:p w14:paraId="34B6B750" w14:textId="77777777" w:rsidR="00D84D3F" w:rsidRPr="007122AB" w:rsidRDefault="00D84D3F" w:rsidP="007122AB">
      <w:pPr>
        <w:pStyle w:val="rteindent11"/>
        <w:shd w:val="clear" w:color="auto" w:fill="FFFFFF"/>
        <w:spacing w:before="0" w:beforeAutospacing="0" w:after="0"/>
        <w:ind w:left="0" w:firstLine="0"/>
        <w:rPr>
          <w:rStyle w:val="af0"/>
          <w:i w:val="0"/>
          <w:color w:val="000000" w:themeColor="text1"/>
          <w:sz w:val="16"/>
          <w:szCs w:val="16"/>
        </w:rPr>
      </w:pPr>
    </w:p>
    <w:p w14:paraId="60A352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июля 1931 состоялось заседание КО (</w:t>
      </w:r>
      <w:proofErr w:type="spellStart"/>
      <w:r w:rsidRPr="007122AB">
        <w:rPr>
          <w:rFonts w:ascii="Times New Roman" w:hAnsi="Times New Roman"/>
          <w:color w:val="000000" w:themeColor="text1"/>
          <w:sz w:val="16"/>
          <w:szCs w:val="16"/>
        </w:rPr>
        <w:t>прот</w:t>
      </w:r>
      <w:proofErr w:type="spellEnd"/>
      <w:r w:rsidRPr="007122AB">
        <w:rPr>
          <w:rFonts w:ascii="Times New Roman" w:hAnsi="Times New Roman"/>
          <w:color w:val="000000" w:themeColor="text1"/>
          <w:sz w:val="16"/>
          <w:szCs w:val="16"/>
        </w:rPr>
        <w:t>. 10), на котором утвердили постановление по авиапромышленности, но так и смогли и опять поручили подготовить текст (1028,114).</w:t>
      </w:r>
    </w:p>
    <w:p w14:paraId="74A3BB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5A1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июля 1931 рекордный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Д-33 "Le </w:t>
      </w:r>
      <w:proofErr w:type="spellStart"/>
      <w:r w:rsidRPr="007122AB">
        <w:rPr>
          <w:rFonts w:ascii="Times New Roman" w:hAnsi="Times New Roman"/>
          <w:color w:val="000000" w:themeColor="text1"/>
          <w:sz w:val="16"/>
          <w:szCs w:val="16"/>
        </w:rPr>
        <w:t>Trait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d'Union</w:t>
      </w:r>
      <w:proofErr w:type="spellEnd"/>
      <w:r w:rsidRPr="007122AB">
        <w:rPr>
          <w:rFonts w:ascii="Times New Roman" w:hAnsi="Times New Roman"/>
          <w:color w:val="000000" w:themeColor="text1"/>
          <w:sz w:val="16"/>
          <w:szCs w:val="16"/>
        </w:rPr>
        <w:t xml:space="preserve">" вылетел из Парижа и в ночь с 12 на 13 через 6200 упал недалеко от станции </w:t>
      </w:r>
      <w:proofErr w:type="spellStart"/>
      <w:r w:rsidRPr="007122AB">
        <w:rPr>
          <w:rFonts w:ascii="Times New Roman" w:hAnsi="Times New Roman"/>
          <w:color w:val="000000" w:themeColor="text1"/>
          <w:sz w:val="16"/>
          <w:szCs w:val="16"/>
        </w:rPr>
        <w:t>Шеборта</w:t>
      </w:r>
      <w:proofErr w:type="spellEnd"/>
      <w:r w:rsidRPr="007122AB">
        <w:rPr>
          <w:rFonts w:ascii="Times New Roman" w:hAnsi="Times New Roman"/>
          <w:color w:val="000000" w:themeColor="text1"/>
          <w:sz w:val="16"/>
          <w:szCs w:val="16"/>
        </w:rPr>
        <w:t xml:space="preserve"> Омской </w:t>
      </w:r>
      <w:proofErr w:type="spellStart"/>
      <w:r w:rsidRPr="007122AB">
        <w:rPr>
          <w:rFonts w:ascii="Times New Roman" w:hAnsi="Times New Roman"/>
          <w:color w:val="000000" w:themeColor="text1"/>
          <w:sz w:val="16"/>
          <w:szCs w:val="16"/>
        </w:rPr>
        <w:t>жд</w:t>
      </w:r>
      <w:proofErr w:type="spellEnd"/>
      <w:r w:rsidRPr="007122AB">
        <w:rPr>
          <w:rFonts w:ascii="Times New Roman" w:hAnsi="Times New Roman"/>
          <w:color w:val="000000" w:themeColor="text1"/>
          <w:sz w:val="16"/>
          <w:szCs w:val="16"/>
        </w:rPr>
        <w:t xml:space="preserve">, В нем был </w:t>
      </w:r>
      <w:proofErr w:type="spellStart"/>
      <w:r w:rsidRPr="007122AB">
        <w:rPr>
          <w:rFonts w:ascii="Times New Roman" w:hAnsi="Times New Roman"/>
          <w:color w:val="000000" w:themeColor="text1"/>
          <w:sz w:val="16"/>
          <w:szCs w:val="16"/>
        </w:rPr>
        <w:t>Д.Марсель</w:t>
      </w:r>
      <w:proofErr w:type="spellEnd"/>
      <w:r w:rsidRPr="007122AB">
        <w:rPr>
          <w:rFonts w:ascii="Times New Roman" w:hAnsi="Times New Roman"/>
          <w:color w:val="000000" w:themeColor="text1"/>
          <w:sz w:val="16"/>
          <w:szCs w:val="16"/>
        </w:rPr>
        <w:t>, а второй пилот и механик выбросились с парашютом (542).</w:t>
      </w:r>
    </w:p>
    <w:p w14:paraId="446E1F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AB6F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июля 1931 г. – приезд Умберто Нобиле в Советский Союз для руководства постройкой дирижаблей (11013).</w:t>
      </w:r>
    </w:p>
    <w:p w14:paraId="7EDB9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A81999" w14:textId="77777777" w:rsidR="003562F3" w:rsidRPr="007122AB" w:rsidRDefault="003562F3" w:rsidP="007122AB">
      <w:pPr>
        <w:pStyle w:val="a3"/>
        <w:rPr>
          <w:color w:val="000000" w:themeColor="text1"/>
          <w:lang w:val="ru-RU"/>
        </w:rPr>
      </w:pPr>
      <w:r w:rsidRPr="007122AB">
        <w:rPr>
          <w:color w:val="000000" w:themeColor="text1"/>
          <w:lang w:val="ru-RU"/>
        </w:rPr>
        <w:t>11 июля 1931 г. в Ленинград по приглаше</w:t>
      </w:r>
      <w:r w:rsidRPr="007122AB">
        <w:rPr>
          <w:color w:val="000000" w:themeColor="text1"/>
          <w:lang w:val="ru-RU"/>
        </w:rPr>
        <w:softHyphen/>
        <w:t>нию Советского Правительства прибыл У. Нобиле, уже дважды посетивший СССР в 1926 и 1927 гг. На этот раз его приезд, помимо участия в арктическом походе к Земле Франца Иосифа на ледоколе «Ма</w:t>
      </w:r>
      <w:r w:rsidRPr="007122AB">
        <w:rPr>
          <w:color w:val="000000" w:themeColor="text1"/>
          <w:lang w:val="ru-RU"/>
        </w:rPr>
        <w:softHyphen/>
        <w:t>лыгин» в составе группы ученых во главе с И.Д. Папаниным, предусматривал не афишируемые в печати контакты с предста</w:t>
      </w:r>
      <w:r w:rsidRPr="007122AB">
        <w:rPr>
          <w:color w:val="000000" w:themeColor="text1"/>
          <w:lang w:val="ru-RU"/>
        </w:rPr>
        <w:softHyphen/>
        <w:t>вителями «Аэрофлота».</w:t>
      </w:r>
    </w:p>
    <w:p w14:paraId="50EAF166" w14:textId="77777777" w:rsidR="003562F3" w:rsidRPr="007122AB" w:rsidRDefault="003562F3" w:rsidP="007122AB">
      <w:pPr>
        <w:pStyle w:val="a3"/>
        <w:rPr>
          <w:color w:val="000000" w:themeColor="text1"/>
          <w:lang w:val="ru-RU"/>
        </w:rPr>
      </w:pPr>
      <w:r w:rsidRPr="007122AB">
        <w:rPr>
          <w:color w:val="000000" w:themeColor="text1"/>
          <w:lang w:val="ru-RU"/>
        </w:rPr>
        <w:t>Завершив официальную часть визита, ге</w:t>
      </w:r>
      <w:r w:rsidRPr="007122AB">
        <w:rPr>
          <w:color w:val="000000" w:themeColor="text1"/>
          <w:lang w:val="ru-RU"/>
        </w:rPr>
        <w:softHyphen/>
        <w:t>нерал Нобиле 20 августа оказался в Москве, где его ожидал роскошный гостиничный номер «Гранд-Отеля». В течение 23 августа - 30 сентября им были проведены:</w:t>
      </w:r>
    </w:p>
    <w:p w14:paraId="603BC8B1" w14:textId="77777777" w:rsidR="003562F3" w:rsidRPr="007122AB" w:rsidRDefault="003562F3" w:rsidP="007122AB">
      <w:pPr>
        <w:pStyle w:val="a3"/>
        <w:widowControl/>
        <w:numPr>
          <w:ilvl w:val="0"/>
          <w:numId w:val="3"/>
        </w:numPr>
        <w:tabs>
          <w:tab w:val="left" w:pos="428"/>
        </w:tabs>
        <w:autoSpaceDE/>
        <w:autoSpaceDN/>
        <w:adjustRightInd/>
        <w:rPr>
          <w:color w:val="000000" w:themeColor="text1"/>
          <w:lang w:val="ru-RU"/>
        </w:rPr>
      </w:pPr>
      <w:r w:rsidRPr="007122AB">
        <w:rPr>
          <w:color w:val="000000" w:themeColor="text1"/>
          <w:lang w:val="ru-RU"/>
        </w:rPr>
        <w:t>- консультации в ЦАГИ (в присутствии всех инженеров) по проектам двух дирижа</w:t>
      </w:r>
      <w:r w:rsidRPr="007122AB">
        <w:rPr>
          <w:color w:val="000000" w:themeColor="text1"/>
          <w:lang w:val="ru-RU"/>
        </w:rPr>
        <w:softHyphen/>
        <w:t>блей объемом 2200 и 2700 м</w:t>
      </w:r>
      <w:r w:rsidRPr="007122AB">
        <w:rPr>
          <w:color w:val="000000" w:themeColor="text1"/>
          <w:vertAlign w:val="superscript"/>
          <w:lang w:val="ru-RU"/>
        </w:rPr>
        <w:t>3</w:t>
      </w:r>
      <w:r w:rsidRPr="007122AB">
        <w:rPr>
          <w:color w:val="000000" w:themeColor="text1"/>
          <w:lang w:val="ru-RU"/>
        </w:rPr>
        <w:t>: первый одо</w:t>
      </w:r>
      <w:r w:rsidRPr="007122AB">
        <w:rPr>
          <w:color w:val="000000" w:themeColor="text1"/>
          <w:lang w:val="ru-RU"/>
        </w:rPr>
        <w:softHyphen/>
        <w:t xml:space="preserve">брен к </w:t>
      </w:r>
      <w:proofErr w:type="spellStart"/>
      <w:r w:rsidRPr="007122AB">
        <w:rPr>
          <w:color w:val="000000" w:themeColor="text1"/>
          <w:lang w:val="ru-RU"/>
        </w:rPr>
        <w:t>постройке,второй</w:t>
      </w:r>
      <w:proofErr w:type="spellEnd"/>
      <w:r w:rsidRPr="007122AB">
        <w:rPr>
          <w:color w:val="000000" w:themeColor="text1"/>
          <w:lang w:val="ru-RU"/>
        </w:rPr>
        <w:t xml:space="preserve"> - к окончательной разработке;</w:t>
      </w:r>
    </w:p>
    <w:p w14:paraId="708F2B0E" w14:textId="77777777" w:rsidR="003562F3" w:rsidRPr="007122AB" w:rsidRDefault="003562F3" w:rsidP="007122AB">
      <w:pPr>
        <w:pStyle w:val="a3"/>
        <w:widowControl/>
        <w:numPr>
          <w:ilvl w:val="0"/>
          <w:numId w:val="3"/>
        </w:numPr>
        <w:tabs>
          <w:tab w:val="left" w:pos="433"/>
        </w:tabs>
        <w:autoSpaceDE/>
        <w:autoSpaceDN/>
        <w:adjustRightInd/>
        <w:rPr>
          <w:color w:val="000000" w:themeColor="text1"/>
          <w:lang w:val="ru-RU"/>
        </w:rPr>
      </w:pPr>
      <w:r w:rsidRPr="007122AB">
        <w:rPr>
          <w:color w:val="000000" w:themeColor="text1"/>
          <w:lang w:val="ru-RU"/>
        </w:rPr>
        <w:t>- консультации КБ ЛИ ГВФ по проекту дирижабля полужесткой конструкции объ</w:t>
      </w:r>
      <w:r w:rsidRPr="007122AB">
        <w:rPr>
          <w:color w:val="000000" w:themeColor="text1"/>
          <w:lang w:val="ru-RU"/>
        </w:rPr>
        <w:softHyphen/>
        <w:t>емом 7500 м</w:t>
      </w:r>
      <w:r w:rsidRPr="007122AB">
        <w:rPr>
          <w:color w:val="000000" w:themeColor="text1"/>
          <w:vertAlign w:val="superscript"/>
          <w:lang w:val="ru-RU"/>
        </w:rPr>
        <w:t>3</w:t>
      </w:r>
      <w:r w:rsidRPr="007122AB">
        <w:rPr>
          <w:color w:val="000000" w:themeColor="text1"/>
          <w:lang w:val="ru-RU"/>
        </w:rPr>
        <w:t>;</w:t>
      </w:r>
    </w:p>
    <w:p w14:paraId="3F73A27C" w14:textId="77777777" w:rsidR="003562F3" w:rsidRPr="007122AB" w:rsidRDefault="003562F3" w:rsidP="007122AB">
      <w:pPr>
        <w:pStyle w:val="a3"/>
        <w:widowControl/>
        <w:numPr>
          <w:ilvl w:val="0"/>
          <w:numId w:val="3"/>
        </w:numPr>
        <w:tabs>
          <w:tab w:val="left" w:pos="433"/>
        </w:tabs>
        <w:autoSpaceDE/>
        <w:autoSpaceDN/>
        <w:adjustRightInd/>
        <w:rPr>
          <w:color w:val="000000" w:themeColor="text1"/>
          <w:lang w:val="ru-RU"/>
        </w:rPr>
      </w:pPr>
      <w:r w:rsidRPr="007122AB">
        <w:rPr>
          <w:color w:val="000000" w:themeColor="text1"/>
          <w:lang w:val="ru-RU"/>
        </w:rPr>
        <w:t>- консультации по проекту корабля в 37000 м</w:t>
      </w:r>
      <w:r w:rsidRPr="007122AB">
        <w:rPr>
          <w:color w:val="000000" w:themeColor="text1"/>
          <w:vertAlign w:val="superscript"/>
          <w:lang w:val="ru-RU"/>
        </w:rPr>
        <w:t>3</w:t>
      </w:r>
      <w:r w:rsidRPr="007122AB">
        <w:rPr>
          <w:color w:val="000000" w:themeColor="text1"/>
          <w:lang w:val="ru-RU"/>
        </w:rPr>
        <w:t>;</w:t>
      </w:r>
    </w:p>
    <w:p w14:paraId="522D4630" w14:textId="77777777" w:rsidR="003562F3" w:rsidRPr="007122AB" w:rsidRDefault="003562F3" w:rsidP="007122AB">
      <w:pPr>
        <w:pStyle w:val="a3"/>
        <w:widowControl/>
        <w:numPr>
          <w:ilvl w:val="0"/>
          <w:numId w:val="3"/>
        </w:numPr>
        <w:tabs>
          <w:tab w:val="left" w:pos="423"/>
        </w:tabs>
        <w:autoSpaceDE/>
        <w:autoSpaceDN/>
        <w:adjustRightInd/>
        <w:rPr>
          <w:color w:val="000000" w:themeColor="text1"/>
          <w:lang w:val="ru-RU"/>
        </w:rPr>
      </w:pPr>
      <w:r w:rsidRPr="007122AB">
        <w:rPr>
          <w:color w:val="000000" w:themeColor="text1"/>
          <w:lang w:val="ru-RU"/>
        </w:rPr>
        <w:t>- консультации по организации совет</w:t>
      </w:r>
      <w:r w:rsidRPr="007122AB">
        <w:rPr>
          <w:color w:val="000000" w:themeColor="text1"/>
          <w:lang w:val="ru-RU"/>
        </w:rPr>
        <w:softHyphen/>
        <w:t>ской базы дирижаблей, включая ее генплан;</w:t>
      </w:r>
    </w:p>
    <w:p w14:paraId="2DEA82CB"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прочитаны три лекции (по четыре часа) в Московском авиационном институте (МАИ).</w:t>
      </w:r>
    </w:p>
    <w:p w14:paraId="18A87A0B" w14:textId="77777777" w:rsidR="003562F3" w:rsidRPr="007122AB" w:rsidRDefault="003562F3" w:rsidP="007122AB">
      <w:pPr>
        <w:pStyle w:val="a3"/>
        <w:rPr>
          <w:color w:val="000000" w:themeColor="text1"/>
          <w:lang w:val="ru-RU"/>
        </w:rPr>
      </w:pPr>
      <w:r w:rsidRPr="007122AB">
        <w:rPr>
          <w:color w:val="000000" w:themeColor="text1"/>
          <w:lang w:val="ru-RU"/>
        </w:rPr>
        <w:t xml:space="preserve">Сопровождаемый П.М. </w:t>
      </w:r>
      <w:proofErr w:type="spellStart"/>
      <w:r w:rsidRPr="007122AB">
        <w:rPr>
          <w:color w:val="000000" w:themeColor="text1"/>
          <w:lang w:val="ru-RU"/>
        </w:rPr>
        <w:t>Пурмалем</w:t>
      </w:r>
      <w:proofErr w:type="spellEnd"/>
      <w:r w:rsidRPr="007122AB">
        <w:rPr>
          <w:color w:val="000000" w:themeColor="text1"/>
          <w:lang w:val="ru-RU"/>
        </w:rPr>
        <w:t>, У. Нобиле осмотрел и площадку строи</w:t>
      </w:r>
      <w:r w:rsidRPr="007122AB">
        <w:rPr>
          <w:color w:val="000000" w:themeColor="text1"/>
          <w:lang w:val="ru-RU"/>
        </w:rPr>
        <w:softHyphen/>
        <w:t>тельства БОСЭД в 18 км от Москвы, найдя ее весьма неудачной. Смущало многое: сплошной лес, отсутствие подъездных дорог, каких-либо построек и связи с Москвой, сырая глинистая почва из-за близости</w:t>
      </w:r>
      <w:r w:rsidRPr="007122AB">
        <w:rPr>
          <w:rStyle w:val="83"/>
          <w:rFonts w:ascii="Times New Roman" w:eastAsia="Microsoft Sans Serif" w:hAnsi="Times New Roman" w:cs="Times New Roman"/>
          <w:i w:val="0"/>
          <w:color w:val="000000" w:themeColor="text1"/>
          <w:sz w:val="16"/>
          <w:szCs w:val="16"/>
          <w:lang w:val="ru-RU"/>
        </w:rPr>
        <w:t xml:space="preserve"> долгих</w:t>
      </w:r>
      <w:r w:rsidRPr="007122AB">
        <w:rPr>
          <w:color w:val="000000" w:themeColor="text1"/>
          <w:lang w:val="ru-RU"/>
        </w:rPr>
        <w:t xml:space="preserve"> прудов. Вероятно по</w:t>
      </w:r>
      <w:r w:rsidRPr="007122AB">
        <w:rPr>
          <w:color w:val="000000" w:themeColor="text1"/>
          <w:lang w:val="ru-RU"/>
        </w:rPr>
        <w:softHyphen/>
        <w:t>этому, вечерами итальянский гость со 2 по 24 сентября интенсивно предавался московским развлечениям - Государствен</w:t>
      </w:r>
      <w:r w:rsidRPr="007122AB">
        <w:rPr>
          <w:color w:val="000000" w:themeColor="text1"/>
          <w:lang w:val="ru-RU"/>
        </w:rPr>
        <w:softHyphen/>
        <w:t>ный театр оперы и балета, ГАБТ, МХАТ, кинотеатры «Эрмитаж», «Колос» и др. о чем свидетельствуют многочисленные театральные билеты, сохранившиеся в «деле</w:t>
      </w:r>
      <w:r w:rsidRPr="007122AB">
        <w:rPr>
          <w:rStyle w:val="83"/>
          <w:rFonts w:ascii="Times New Roman" w:eastAsia="Microsoft Sans Serif" w:hAnsi="Times New Roman" w:cs="Times New Roman"/>
          <w:i w:val="0"/>
          <w:color w:val="000000" w:themeColor="text1"/>
          <w:sz w:val="16"/>
          <w:szCs w:val="16"/>
          <w:lang w:val="ru-RU"/>
        </w:rPr>
        <w:t xml:space="preserve"> Нобиле» в</w:t>
      </w:r>
      <w:r w:rsidRPr="007122AB">
        <w:rPr>
          <w:color w:val="000000" w:themeColor="text1"/>
          <w:lang w:val="ru-RU"/>
        </w:rPr>
        <w:t xml:space="preserve"> РГАЭ.</w:t>
      </w:r>
    </w:p>
    <w:p w14:paraId="125EB8BD" w14:textId="77777777" w:rsidR="003562F3" w:rsidRPr="007122AB" w:rsidRDefault="003562F3" w:rsidP="007122AB">
      <w:pPr>
        <w:pStyle w:val="a3"/>
        <w:rPr>
          <w:color w:val="000000" w:themeColor="text1"/>
          <w:lang w:val="ru-RU"/>
        </w:rPr>
      </w:pPr>
      <w:r w:rsidRPr="007122AB">
        <w:rPr>
          <w:color w:val="000000" w:themeColor="text1"/>
          <w:lang w:val="ru-RU"/>
        </w:rPr>
        <w:t>Приняв, как оказалось, желаемое за действительное (несомненную техническую эрудицию, опыт полетов инженера Нобиле и его умение преподнести себя в общении со специалистами за</w:t>
      </w:r>
      <w:r w:rsidRPr="007122AB">
        <w:rPr>
          <w:rStyle w:val="83"/>
          <w:rFonts w:ascii="Times New Roman" w:eastAsia="Microsoft Sans Serif" w:hAnsi="Times New Roman" w:cs="Times New Roman"/>
          <w:i w:val="0"/>
          <w:color w:val="000000" w:themeColor="text1"/>
          <w:sz w:val="16"/>
          <w:szCs w:val="16"/>
          <w:lang w:val="ru-RU"/>
        </w:rPr>
        <w:t xml:space="preserve"> огромную ценность, как конструктора-</w:t>
      </w:r>
      <w:proofErr w:type="spellStart"/>
      <w:r w:rsidRPr="007122AB">
        <w:rPr>
          <w:rStyle w:val="83"/>
          <w:rFonts w:ascii="Times New Roman" w:eastAsia="Microsoft Sans Serif" w:hAnsi="Times New Roman" w:cs="Times New Roman"/>
          <w:i w:val="0"/>
          <w:color w:val="000000" w:themeColor="text1"/>
          <w:sz w:val="16"/>
          <w:szCs w:val="16"/>
          <w:lang w:val="ru-RU"/>
        </w:rPr>
        <w:t>дирижаблиста</w:t>
      </w:r>
      <w:proofErr w:type="spellEnd"/>
      <w:r w:rsidRPr="007122AB">
        <w:rPr>
          <w:rStyle w:val="83"/>
          <w:rFonts w:ascii="Times New Roman" w:eastAsia="Microsoft Sans Serif" w:hAnsi="Times New Roman" w:cs="Times New Roman"/>
          <w:i w:val="0"/>
          <w:color w:val="000000" w:themeColor="text1"/>
          <w:sz w:val="16"/>
          <w:szCs w:val="16"/>
          <w:lang w:val="ru-RU"/>
        </w:rPr>
        <w:t>),</w:t>
      </w:r>
      <w:r w:rsidRPr="007122AB">
        <w:rPr>
          <w:color w:val="000000" w:themeColor="text1"/>
          <w:lang w:val="ru-RU"/>
        </w:rPr>
        <w:t xml:space="preserve"> руководите</w:t>
      </w:r>
      <w:r w:rsidRPr="007122AB">
        <w:rPr>
          <w:color w:val="000000" w:themeColor="text1"/>
          <w:lang w:val="ru-RU"/>
        </w:rPr>
        <w:softHyphen/>
        <w:t>ли «Аэрофлота» предложили ему контракт технического руководителя и консультанта БОСЭД. 30 сентября предварительное соглашение между сторонами было под</w:t>
      </w:r>
      <w:r w:rsidRPr="007122AB">
        <w:rPr>
          <w:color w:val="000000" w:themeColor="text1"/>
          <w:lang w:val="ru-RU"/>
        </w:rPr>
        <w:softHyphen/>
        <w:t>писано и отправлено на утверждение СНК СССР. Приведем наиболее значимые па</w:t>
      </w:r>
      <w:r w:rsidRPr="007122AB">
        <w:rPr>
          <w:color w:val="000000" w:themeColor="text1"/>
          <w:lang w:val="ru-RU"/>
        </w:rPr>
        <w:softHyphen/>
        <w:t>раграфы этого документа, рассекреченного в 1964 г.:</w:t>
      </w:r>
    </w:p>
    <w:p w14:paraId="56E1DBBD" w14:textId="77777777" w:rsidR="003562F3" w:rsidRPr="007122AB" w:rsidRDefault="003562F3" w:rsidP="007122AB">
      <w:pPr>
        <w:pStyle w:val="a3"/>
        <w:rPr>
          <w:color w:val="000000" w:themeColor="text1"/>
          <w:lang w:val="ru-RU"/>
        </w:rPr>
      </w:pPr>
      <w:r w:rsidRPr="007122AB">
        <w:rPr>
          <w:color w:val="000000" w:themeColor="text1"/>
          <w:lang w:val="ru-RU"/>
        </w:rPr>
        <w:t>(1). Инженер Нобиле принимает на себя техническое руководство и ответственность за подготовку дирижабля, приспособленно</w:t>
      </w:r>
      <w:r w:rsidRPr="007122AB">
        <w:rPr>
          <w:color w:val="000000" w:themeColor="text1"/>
          <w:lang w:val="ru-RU"/>
        </w:rPr>
        <w:softHyphen/>
        <w:t>го к арктической экспедиции и руководство по проектированию и постройке дирижа</w:t>
      </w:r>
      <w:r w:rsidRPr="007122AB">
        <w:rPr>
          <w:color w:val="000000" w:themeColor="text1"/>
          <w:lang w:val="ru-RU"/>
        </w:rPr>
        <w:softHyphen/>
        <w:t>блей (в плане ВО ГВФ) объемом в 7000, 10000 и 37000 м</w:t>
      </w:r>
      <w:r w:rsidRPr="007122AB">
        <w:rPr>
          <w:color w:val="000000" w:themeColor="text1"/>
          <w:vertAlign w:val="superscript"/>
          <w:lang w:val="ru-RU"/>
        </w:rPr>
        <w:t>3</w:t>
      </w:r>
      <w:r w:rsidRPr="007122AB">
        <w:rPr>
          <w:color w:val="000000" w:themeColor="text1"/>
          <w:lang w:val="ru-RU"/>
        </w:rPr>
        <w:t>.</w:t>
      </w:r>
    </w:p>
    <w:p w14:paraId="31B7BA87" w14:textId="77777777" w:rsidR="003562F3" w:rsidRPr="007122AB" w:rsidRDefault="003562F3" w:rsidP="007122AB">
      <w:pPr>
        <w:pStyle w:val="a3"/>
        <w:widowControl/>
        <w:numPr>
          <w:ilvl w:val="1"/>
          <w:numId w:val="3"/>
        </w:numPr>
        <w:tabs>
          <w:tab w:val="left" w:pos="582"/>
        </w:tabs>
        <w:autoSpaceDE/>
        <w:autoSpaceDN/>
        <w:adjustRightInd/>
        <w:rPr>
          <w:color w:val="000000" w:themeColor="text1"/>
          <w:lang w:val="ru-RU"/>
        </w:rPr>
      </w:pPr>
      <w:r w:rsidRPr="007122AB">
        <w:rPr>
          <w:color w:val="000000" w:themeColor="text1"/>
          <w:lang w:val="ru-RU"/>
        </w:rPr>
        <w:t>(2). С октября по декабрь 1931 г. Нобиле предпримет все меры по обеспечению строительства дирижаблей в СССР ква</w:t>
      </w:r>
      <w:r w:rsidRPr="007122AB">
        <w:rPr>
          <w:color w:val="000000" w:themeColor="text1"/>
          <w:lang w:val="ru-RU"/>
        </w:rPr>
        <w:softHyphen/>
        <w:t>лифицированными кадрами, технической помощью в области производства прорези</w:t>
      </w:r>
      <w:r w:rsidRPr="007122AB">
        <w:rPr>
          <w:color w:val="000000" w:themeColor="text1"/>
          <w:lang w:val="ru-RU"/>
        </w:rPr>
        <w:softHyphen/>
        <w:t>ненных тканей, приобретением или заказом частей дирижаблей, сбором материалов, чертежей, образцов.</w:t>
      </w:r>
    </w:p>
    <w:p w14:paraId="707B90DA" w14:textId="77777777" w:rsidR="003562F3" w:rsidRPr="007122AB" w:rsidRDefault="003562F3" w:rsidP="007122AB">
      <w:pPr>
        <w:pStyle w:val="a3"/>
        <w:widowControl/>
        <w:numPr>
          <w:ilvl w:val="1"/>
          <w:numId w:val="3"/>
        </w:numPr>
        <w:tabs>
          <w:tab w:val="left" w:pos="606"/>
        </w:tabs>
        <w:autoSpaceDE/>
        <w:autoSpaceDN/>
        <w:adjustRightInd/>
        <w:rPr>
          <w:color w:val="000000" w:themeColor="text1"/>
          <w:lang w:val="ru-RU"/>
        </w:rPr>
      </w:pPr>
      <w:r w:rsidRPr="007122AB">
        <w:rPr>
          <w:color w:val="000000" w:themeColor="text1"/>
          <w:lang w:val="ru-RU"/>
        </w:rPr>
        <w:t>(3). Нобиле предоставляется право че</w:t>
      </w:r>
      <w:r w:rsidRPr="007122AB">
        <w:rPr>
          <w:color w:val="000000" w:themeColor="text1"/>
          <w:lang w:val="ru-RU"/>
        </w:rPr>
        <w:softHyphen/>
        <w:t>рез торгпредство СССР в Италии заключать договора со специалистами на срок до 3 лет на сумму месячных окладов до 2000$.</w:t>
      </w:r>
    </w:p>
    <w:p w14:paraId="4F70E3CB" w14:textId="77777777" w:rsidR="003562F3" w:rsidRPr="007122AB" w:rsidRDefault="003562F3" w:rsidP="007122AB">
      <w:pPr>
        <w:pStyle w:val="a3"/>
        <w:rPr>
          <w:color w:val="000000" w:themeColor="text1"/>
          <w:lang w:val="ru-RU"/>
        </w:rPr>
      </w:pPr>
      <w:r w:rsidRPr="007122AB">
        <w:rPr>
          <w:color w:val="000000" w:themeColor="text1"/>
          <w:lang w:val="ru-RU"/>
        </w:rPr>
        <w:t>(5). Начальником Арктической экспеди</w:t>
      </w:r>
      <w:r w:rsidRPr="007122AB">
        <w:rPr>
          <w:color w:val="000000" w:themeColor="text1"/>
          <w:lang w:val="ru-RU"/>
        </w:rPr>
        <w:softHyphen/>
        <w:t>ции и руководителем работ по организации ее базы будет назначен Нобиле. Срок его пребывания в Арктике не менее 5 мес. (1933 г.).</w:t>
      </w:r>
    </w:p>
    <w:p w14:paraId="38DFD277" w14:textId="77777777" w:rsidR="003562F3" w:rsidRPr="007122AB" w:rsidRDefault="003562F3" w:rsidP="007122AB">
      <w:pPr>
        <w:pStyle w:val="a3"/>
        <w:rPr>
          <w:color w:val="000000" w:themeColor="text1"/>
          <w:lang w:val="ru-RU"/>
        </w:rPr>
      </w:pPr>
      <w:r w:rsidRPr="007122AB">
        <w:rPr>
          <w:color w:val="000000" w:themeColor="text1"/>
          <w:lang w:val="ru-RU"/>
        </w:rPr>
        <w:t>(8). Нобиле будут возмещены все до</w:t>
      </w:r>
      <w:r w:rsidRPr="007122AB">
        <w:rPr>
          <w:color w:val="000000" w:themeColor="text1"/>
          <w:lang w:val="ru-RU"/>
        </w:rPr>
        <w:softHyphen/>
        <w:t>рожные расходы по переезду и перевозу багажа из Италии в СССР.</w:t>
      </w:r>
    </w:p>
    <w:p w14:paraId="7D99F266" w14:textId="77777777" w:rsidR="003562F3" w:rsidRPr="007122AB" w:rsidRDefault="003562F3" w:rsidP="007122AB">
      <w:pPr>
        <w:pStyle w:val="a3"/>
        <w:widowControl/>
        <w:numPr>
          <w:ilvl w:val="2"/>
          <w:numId w:val="3"/>
        </w:numPr>
        <w:tabs>
          <w:tab w:val="left" w:pos="726"/>
        </w:tabs>
        <w:autoSpaceDE/>
        <w:autoSpaceDN/>
        <w:adjustRightInd/>
        <w:rPr>
          <w:color w:val="000000" w:themeColor="text1"/>
          <w:lang w:val="ru-RU"/>
        </w:rPr>
      </w:pPr>
      <w:r w:rsidRPr="007122AB">
        <w:rPr>
          <w:color w:val="000000" w:themeColor="text1"/>
          <w:lang w:val="ru-RU"/>
        </w:rPr>
        <w:t>(11). На срок не менее 3 лет Нобиле имеет право выезжать в Италию на 2 месяца. Месячное вознаграждение Нобиле предпо</w:t>
      </w:r>
      <w:r w:rsidRPr="007122AB">
        <w:rPr>
          <w:color w:val="000000" w:themeColor="text1"/>
          <w:lang w:val="ru-RU"/>
        </w:rPr>
        <w:softHyphen/>
        <w:t>лагается соглашением в 1200$ (свободное от налога).</w:t>
      </w:r>
    </w:p>
    <w:p w14:paraId="15F524B9" w14:textId="77777777" w:rsidR="003562F3" w:rsidRPr="007122AB" w:rsidRDefault="003562F3" w:rsidP="007122AB">
      <w:pPr>
        <w:pStyle w:val="a3"/>
        <w:widowControl/>
        <w:numPr>
          <w:ilvl w:val="2"/>
          <w:numId w:val="3"/>
        </w:numPr>
        <w:tabs>
          <w:tab w:val="left" w:pos="663"/>
        </w:tabs>
        <w:autoSpaceDE/>
        <w:autoSpaceDN/>
        <w:adjustRightInd/>
        <w:rPr>
          <w:color w:val="000000" w:themeColor="text1"/>
          <w:lang w:val="ru-RU"/>
        </w:rPr>
      </w:pPr>
      <w:r w:rsidRPr="007122AB">
        <w:rPr>
          <w:color w:val="000000" w:themeColor="text1"/>
          <w:lang w:val="ru-RU"/>
        </w:rPr>
        <w:t>(12). В случае смерти Нобиле или потери им трудоспособности во время пребывания в СССР - единовременная выплата семье составит 40000$.</w:t>
      </w:r>
    </w:p>
    <w:p w14:paraId="788E95CF" w14:textId="77777777" w:rsidR="003562F3" w:rsidRPr="007122AB" w:rsidRDefault="003562F3" w:rsidP="007122AB">
      <w:pPr>
        <w:pStyle w:val="a3"/>
        <w:widowControl/>
        <w:numPr>
          <w:ilvl w:val="2"/>
          <w:numId w:val="3"/>
        </w:numPr>
        <w:tabs>
          <w:tab w:val="left" w:pos="735"/>
        </w:tabs>
        <w:autoSpaceDE/>
        <w:autoSpaceDN/>
        <w:adjustRightInd/>
        <w:rPr>
          <w:color w:val="000000" w:themeColor="text1"/>
          <w:lang w:val="ru-RU"/>
        </w:rPr>
      </w:pPr>
      <w:r w:rsidRPr="007122AB">
        <w:rPr>
          <w:color w:val="000000" w:themeColor="text1"/>
          <w:lang w:val="ru-RU"/>
        </w:rPr>
        <w:t>(13). Соглашение подлежит утверж</w:t>
      </w:r>
      <w:r w:rsidRPr="007122AB">
        <w:rPr>
          <w:color w:val="000000" w:themeColor="text1"/>
          <w:lang w:val="ru-RU"/>
        </w:rPr>
        <w:softHyphen/>
        <w:t>дению Советским Правительством до 10 октября 1931 г. (РГАЭ. Ф. 9574, оп. 1, д. 11, л. 4-6.) (12732).</w:t>
      </w:r>
    </w:p>
    <w:p w14:paraId="111626C8" w14:textId="77777777" w:rsidR="003562F3" w:rsidRPr="007122AB" w:rsidRDefault="003562F3" w:rsidP="007122AB">
      <w:pPr>
        <w:pStyle w:val="a3"/>
        <w:widowControl/>
        <w:numPr>
          <w:ilvl w:val="2"/>
          <w:numId w:val="3"/>
        </w:numPr>
        <w:tabs>
          <w:tab w:val="left" w:pos="735"/>
        </w:tabs>
        <w:autoSpaceDE/>
        <w:autoSpaceDN/>
        <w:adjustRightInd/>
        <w:rPr>
          <w:color w:val="000000" w:themeColor="text1"/>
          <w:lang w:val="ru-RU"/>
        </w:rPr>
      </w:pPr>
    </w:p>
    <w:p w14:paraId="19DA6E72"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ночь с 12 на 13 июля 1931 года произош</w:t>
      </w:r>
      <w:r w:rsidRPr="007122AB">
        <w:rPr>
          <w:rFonts w:ascii="Times New Roman" w:hAnsi="Times New Roman"/>
          <w:color w:val="000000" w:themeColor="text1"/>
          <w:sz w:val="16"/>
          <w:szCs w:val="16"/>
        </w:rPr>
        <w:softHyphen/>
        <w:t>ло событие, которое спустя шесть лет при</w:t>
      </w:r>
      <w:r w:rsidRPr="007122AB">
        <w:rPr>
          <w:rFonts w:ascii="Times New Roman" w:hAnsi="Times New Roman"/>
          <w:color w:val="000000" w:themeColor="text1"/>
          <w:sz w:val="16"/>
          <w:szCs w:val="16"/>
        </w:rPr>
        <w:softHyphen/>
        <w:t>вело к сенсационным межконтиненталь</w:t>
      </w:r>
      <w:r w:rsidRPr="007122AB">
        <w:rPr>
          <w:rFonts w:ascii="Times New Roman" w:hAnsi="Times New Roman"/>
          <w:color w:val="000000" w:themeColor="text1"/>
          <w:sz w:val="16"/>
          <w:szCs w:val="16"/>
        </w:rPr>
        <w:softHyphen/>
        <w:t>ным перелетам советских пилотов из Ев</w:t>
      </w:r>
      <w:r w:rsidRPr="007122AB">
        <w:rPr>
          <w:rFonts w:ascii="Times New Roman" w:hAnsi="Times New Roman"/>
          <w:color w:val="000000" w:themeColor="text1"/>
          <w:sz w:val="16"/>
          <w:szCs w:val="16"/>
        </w:rPr>
        <w:softHyphen/>
        <w:t>ропы в США через Северный полюс. В ту мочь в Сибири совершил аварийную по</w:t>
      </w:r>
      <w:r w:rsidRPr="007122AB">
        <w:rPr>
          <w:rFonts w:ascii="Times New Roman" w:hAnsi="Times New Roman"/>
          <w:color w:val="000000" w:themeColor="text1"/>
          <w:sz w:val="16"/>
          <w:szCs w:val="16"/>
        </w:rPr>
        <w:softHyphen/>
        <w:t xml:space="preserve">садку на лес французский самолет </w:t>
      </w:r>
      <w:r w:rsidRPr="007122AB">
        <w:rPr>
          <w:rFonts w:ascii="Times New Roman" w:hAnsi="Times New Roman"/>
          <w:color w:val="000000" w:themeColor="text1"/>
          <w:sz w:val="16"/>
          <w:szCs w:val="16"/>
          <w:lang w:val="en-US"/>
        </w:rPr>
        <w:t>D</w:t>
      </w:r>
      <w:r w:rsidRPr="007122AB">
        <w:rPr>
          <w:rFonts w:ascii="Times New Roman" w:hAnsi="Times New Roman"/>
          <w:color w:val="000000" w:themeColor="text1"/>
          <w:sz w:val="16"/>
          <w:szCs w:val="16"/>
        </w:rPr>
        <w:t>-33 «Тред-Юнион», что в переводе означает «дефис» (соединительная черта), постро</w:t>
      </w:r>
      <w:r w:rsidRPr="007122AB">
        <w:rPr>
          <w:rFonts w:ascii="Times New Roman" w:hAnsi="Times New Roman"/>
          <w:color w:val="000000" w:themeColor="text1"/>
          <w:sz w:val="16"/>
          <w:szCs w:val="16"/>
        </w:rPr>
        <w:softHyphen/>
        <w:t>енный компанией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w:t>
      </w:r>
    </w:p>
    <w:p w14:paraId="6BCBD032"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Месяц спустя произошло еще одно не менее значимое событие — при Реввоенсо</w:t>
      </w:r>
      <w:r w:rsidRPr="007122AB">
        <w:rPr>
          <w:rFonts w:ascii="Times New Roman" w:hAnsi="Times New Roman"/>
          <w:color w:val="000000" w:themeColor="text1"/>
          <w:sz w:val="16"/>
          <w:szCs w:val="16"/>
        </w:rPr>
        <w:softHyphen/>
        <w:t>вете СССР была образована комиссия по постройке самолета для установления ре</w:t>
      </w:r>
      <w:r w:rsidRPr="007122AB">
        <w:rPr>
          <w:rFonts w:ascii="Times New Roman" w:hAnsi="Times New Roman"/>
          <w:color w:val="000000" w:themeColor="text1"/>
          <w:sz w:val="16"/>
          <w:szCs w:val="16"/>
        </w:rPr>
        <w:softHyphen/>
        <w:t>корда дальности полета. Итогом ее рабо</w:t>
      </w:r>
      <w:r w:rsidRPr="007122AB">
        <w:rPr>
          <w:rFonts w:ascii="Times New Roman" w:hAnsi="Times New Roman"/>
          <w:color w:val="000000" w:themeColor="text1"/>
          <w:sz w:val="16"/>
          <w:szCs w:val="16"/>
        </w:rPr>
        <w:softHyphen/>
        <w:t>ты стало постановление Совета Народных Комиссаров (СНК) о постройке самоле</w:t>
      </w:r>
      <w:r w:rsidRPr="007122AB">
        <w:rPr>
          <w:rFonts w:ascii="Times New Roman" w:hAnsi="Times New Roman"/>
          <w:color w:val="000000" w:themeColor="text1"/>
          <w:sz w:val="16"/>
          <w:szCs w:val="16"/>
        </w:rPr>
        <w:softHyphen/>
        <w:t>та РД (Рекорд дальности) с мотором М-34 и полете на нем на предельную дальность 13 000 км (12725).</w:t>
      </w:r>
    </w:p>
    <w:p w14:paraId="04FF04A1" w14:textId="77777777" w:rsidR="003562F3" w:rsidRPr="007122AB" w:rsidRDefault="003562F3" w:rsidP="007122AB">
      <w:pPr>
        <w:spacing w:after="0" w:line="240" w:lineRule="auto"/>
        <w:jc w:val="both"/>
        <w:rPr>
          <w:rFonts w:ascii="Times New Roman" w:hAnsi="Times New Roman"/>
          <w:bCs/>
          <w:color w:val="000000" w:themeColor="text1"/>
          <w:sz w:val="16"/>
          <w:szCs w:val="16"/>
        </w:rPr>
      </w:pPr>
    </w:p>
    <w:p w14:paraId="46614EB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E1554C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61A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июля 1931 года Комиссия обороны под руководством В. В. Куй</w:t>
      </w:r>
      <w:r w:rsidRPr="007122AB">
        <w:rPr>
          <w:rFonts w:ascii="Times New Roman" w:hAnsi="Times New Roman"/>
          <w:color w:val="000000" w:themeColor="text1"/>
          <w:sz w:val="16"/>
          <w:szCs w:val="16"/>
        </w:rPr>
        <w:softHyphen/>
        <w:t>бышева при Совнаркоме, заслушав подготовленные Орловым пред</w:t>
      </w:r>
      <w:r w:rsidRPr="007122AB">
        <w:rPr>
          <w:rFonts w:ascii="Times New Roman" w:hAnsi="Times New Roman"/>
          <w:color w:val="000000" w:themeColor="text1"/>
          <w:sz w:val="16"/>
          <w:szCs w:val="16"/>
        </w:rPr>
        <w:softHyphen/>
        <w:t>ложения Ворошилова, рекомендовала при планировании состава РККФ взять за основу постройку к концу 1935 г. для всех мо</w:t>
      </w:r>
      <w:r w:rsidRPr="007122AB">
        <w:rPr>
          <w:rFonts w:ascii="Times New Roman" w:hAnsi="Times New Roman"/>
          <w:color w:val="000000" w:themeColor="text1"/>
          <w:sz w:val="16"/>
          <w:szCs w:val="16"/>
        </w:rPr>
        <w:softHyphen/>
        <w:t>рей 200 подводных лодок, 40—50 эсминцев и 250 торпедных кате</w:t>
      </w:r>
      <w:r w:rsidRPr="007122AB">
        <w:rPr>
          <w:rFonts w:ascii="Times New Roman" w:hAnsi="Times New Roman"/>
          <w:color w:val="000000" w:themeColor="text1"/>
          <w:sz w:val="16"/>
          <w:szCs w:val="16"/>
        </w:rPr>
        <w:softHyphen/>
        <w:t>ров (3898).</w:t>
      </w:r>
    </w:p>
    <w:p w14:paraId="43B5C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21EEB0"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11 июля 1931 г., впервые с 1926 г., высший оборонный орган (КО) приступил к разработке военно-морской программы СССР - важнейшей статье экономии военного бюджета в предшествующие годы.</w:t>
      </w:r>
    </w:p>
    <w:p w14:paraId="08CE9B1A"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На начало 1931 г. советские Военно-Морские Силы насчитывали 3 линкора, 4 крейсера, 17 эсминцев, 16 субмарин и небольшое число других боевых, вспомогательных и учебных судов. Общий тоннаж боевых кораблей составлял всего 130 тыс. тонн (Сводная ведомость общей численности судового состава Военно-Морского Флота </w:t>
      </w:r>
      <w:r w:rsidRPr="007122AB">
        <w:rPr>
          <w:rFonts w:ascii="Times New Roman" w:eastAsia="Times New Roman" w:hAnsi="Times New Roman"/>
          <w:color w:val="000000" w:themeColor="text1"/>
          <w:sz w:val="16"/>
          <w:szCs w:val="16"/>
          <w:lang w:eastAsia="ru-RU"/>
        </w:rPr>
        <w:lastRenderedPageBreak/>
        <w:t xml:space="preserve">СССР по состоянию на 1.01.1931 (приложение к письму Народного Комиссара Иностранных Дел СССР Литвинова Генеральному секретарю Лиги Наций </w:t>
      </w:r>
      <w:proofErr w:type="spellStart"/>
      <w:r w:rsidRPr="007122AB">
        <w:rPr>
          <w:rFonts w:ascii="Times New Roman" w:eastAsia="Times New Roman" w:hAnsi="Times New Roman"/>
          <w:color w:val="000000" w:themeColor="text1"/>
          <w:sz w:val="16"/>
          <w:szCs w:val="16"/>
          <w:lang w:eastAsia="ru-RU"/>
        </w:rPr>
        <w:t>Друммонду</w:t>
      </w:r>
      <w:proofErr w:type="spellEnd"/>
      <w:r w:rsidRPr="007122AB">
        <w:rPr>
          <w:rFonts w:ascii="Times New Roman" w:eastAsia="Times New Roman" w:hAnsi="Times New Roman"/>
          <w:color w:val="000000" w:themeColor="text1"/>
          <w:sz w:val="16"/>
          <w:szCs w:val="16"/>
          <w:lang w:eastAsia="ru-RU"/>
        </w:rPr>
        <w:t>, 25.04.1931) //ДВП СССР. Т. 14. С. 279.</w:t>
      </w:r>
    </w:p>
    <w:p w14:paraId="7920DAA8"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Для сравнения: Балтийский флот в 1914 г. располагал 4 линкорами, 10 крейсерами, 49 эсминцами и 11 подводными лодками.). Теперь же, свидетельствовал Ворошилов в июле 1931 г., "этим делом (морскими вооружениями) серьезно занялся Сталин" (Личное письмо Ворошилова Гамарнику, 12.07.1931 ("Вагон (после Вятки)") // Советское руководство: Переписка, 1928-1941 гг. / Сост. А. В. </w:t>
      </w:r>
      <w:proofErr w:type="spellStart"/>
      <w:r w:rsidRPr="007122AB">
        <w:rPr>
          <w:rFonts w:ascii="Times New Roman" w:eastAsia="Times New Roman" w:hAnsi="Times New Roman"/>
          <w:color w:val="000000" w:themeColor="text1"/>
          <w:sz w:val="16"/>
          <w:szCs w:val="16"/>
          <w:lang w:eastAsia="ru-RU"/>
        </w:rPr>
        <w:t>Квашонкин</w:t>
      </w:r>
      <w:proofErr w:type="spellEnd"/>
      <w:r w:rsidRPr="007122AB">
        <w:rPr>
          <w:rFonts w:ascii="Times New Roman" w:eastAsia="Times New Roman" w:hAnsi="Times New Roman"/>
          <w:color w:val="000000" w:themeColor="text1"/>
          <w:sz w:val="16"/>
          <w:szCs w:val="16"/>
          <w:lang w:eastAsia="ru-RU"/>
        </w:rPr>
        <w:t xml:space="preserve"> и др. М., 1999. С. 154.).</w:t>
      </w:r>
    </w:p>
    <w:p w14:paraId="7C71514B"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Заслушав доклад наркомвоенмора "О направлении строительства морских сил", Комиссия обороны по предложению Сталина приняла "за основу следующие положения":</w:t>
      </w:r>
    </w:p>
    <w:p w14:paraId="2248AA9A"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"к концу 1935 г. построить для всех морей: 200 подводных лодок (включая и малые), 40-50 эскадренных миноносцев, 250 торпедных катеров и гидроавиацию состава со-ответственно данным силам";</w:t>
      </w:r>
    </w:p>
    <w:p w14:paraId="58C58F44"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"предусмотреть постройку новых верфей на Амуре (район Хабаровска), в Архангельске и на Азовском море";</w:t>
      </w:r>
    </w:p>
    <w:p w14:paraId="2E15FBD2"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"пересмотреть мощности существующих производственных баз (как по судостроению, так и по морскому вооружению) в сторону их усиления".</w:t>
      </w:r>
    </w:p>
    <w:p w14:paraId="1C6A7225"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Для разработки предложений на этот счет КО образовала комиссию во главе с председателем ВСНХ Куйбышевым (в нее вошли также Тухачевский, Егоров, Орлов, </w:t>
      </w:r>
      <w:proofErr w:type="spellStart"/>
      <w:r w:rsidRPr="007122AB">
        <w:rPr>
          <w:rFonts w:ascii="Times New Roman" w:eastAsia="Times New Roman" w:hAnsi="Times New Roman"/>
          <w:color w:val="000000" w:themeColor="text1"/>
          <w:sz w:val="16"/>
          <w:szCs w:val="16"/>
          <w:lang w:eastAsia="ru-RU"/>
        </w:rPr>
        <w:t>Павлуновский</w:t>
      </w:r>
      <w:proofErr w:type="spellEnd"/>
      <w:r w:rsidRPr="007122AB">
        <w:rPr>
          <w:rFonts w:ascii="Times New Roman" w:eastAsia="Times New Roman" w:hAnsi="Times New Roman"/>
          <w:color w:val="000000" w:themeColor="text1"/>
          <w:sz w:val="16"/>
          <w:szCs w:val="16"/>
          <w:lang w:eastAsia="ru-RU"/>
        </w:rPr>
        <w:t>, Смилга и Гуревич)35.</w:t>
      </w:r>
    </w:p>
    <w:p w14:paraId="3AA9BA87"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 (22725).</w:t>
      </w:r>
    </w:p>
    <w:p w14:paraId="1C6592A7" w14:textId="77777777" w:rsidR="00472582" w:rsidRPr="007122AB" w:rsidRDefault="00472582" w:rsidP="007122AB">
      <w:pPr>
        <w:spacing w:after="0" w:line="240" w:lineRule="auto"/>
        <w:jc w:val="both"/>
        <w:rPr>
          <w:rFonts w:ascii="Times New Roman" w:hAnsi="Times New Roman"/>
          <w:color w:val="000000" w:themeColor="text1"/>
          <w:sz w:val="16"/>
          <w:szCs w:val="16"/>
        </w:rPr>
      </w:pPr>
    </w:p>
    <w:p w14:paraId="30A0279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B1A7E4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6A4D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рассвете 11 июля (в 4 часа 30 минут) 1931 г. серебристый красавец D.33-01, несший на борту надпись "LE TRAIT D'UNION", стартовал с аэродрома Ля Бурже под Парижем в направлении на восток. Конечной целью задуманной акции являлась японская столица Токио. Поначалу события развивались в соответствии с графиком перелета. После того, как значительная часть пути была пройдена, в ночь с 12 на 13 июля, на удалении 6200 км от места старта французов подвела несовершенная система </w:t>
      </w:r>
      <w:proofErr w:type="spellStart"/>
      <w:r w:rsidRPr="007122AB">
        <w:rPr>
          <w:rFonts w:ascii="Times New Roman" w:hAnsi="Times New Roman"/>
          <w:color w:val="000000" w:themeColor="text1"/>
          <w:sz w:val="16"/>
          <w:szCs w:val="16"/>
        </w:rPr>
        <w:t>бензопитания</w:t>
      </w:r>
      <w:proofErr w:type="spellEnd"/>
      <w:r w:rsidRPr="007122AB">
        <w:rPr>
          <w:rFonts w:ascii="Times New Roman" w:hAnsi="Times New Roman"/>
          <w:color w:val="000000" w:themeColor="text1"/>
          <w:sz w:val="16"/>
          <w:szCs w:val="16"/>
        </w:rPr>
        <w:t xml:space="preserve">, и двигатель самолета остановился. В полной темноте над глухой сибирской тайгой в районе станции </w:t>
      </w:r>
      <w:proofErr w:type="spellStart"/>
      <w:r w:rsidRPr="007122AB">
        <w:rPr>
          <w:rFonts w:ascii="Times New Roman" w:hAnsi="Times New Roman"/>
          <w:color w:val="000000" w:themeColor="text1"/>
          <w:sz w:val="16"/>
          <w:szCs w:val="16"/>
        </w:rPr>
        <w:t>Шеборта</w:t>
      </w:r>
      <w:proofErr w:type="spellEnd"/>
      <w:r w:rsidRPr="007122AB">
        <w:rPr>
          <w:rFonts w:ascii="Times New Roman" w:hAnsi="Times New Roman"/>
          <w:color w:val="000000" w:themeColor="text1"/>
          <w:sz w:val="16"/>
          <w:szCs w:val="16"/>
        </w:rPr>
        <w:t xml:space="preserve"> Омской железной дороги в воздухе повисли два парашюта. Летчик Ле Бри и механик </w:t>
      </w:r>
      <w:proofErr w:type="spellStart"/>
      <w:r w:rsidRPr="007122AB">
        <w:rPr>
          <w:rFonts w:ascii="Times New Roman" w:hAnsi="Times New Roman"/>
          <w:color w:val="000000" w:themeColor="text1"/>
          <w:sz w:val="16"/>
          <w:szCs w:val="16"/>
        </w:rPr>
        <w:t>Месмин</w:t>
      </w:r>
      <w:proofErr w:type="spellEnd"/>
      <w:r w:rsidRPr="007122AB">
        <w:rPr>
          <w:rFonts w:ascii="Times New Roman" w:hAnsi="Times New Roman"/>
          <w:color w:val="000000" w:themeColor="text1"/>
          <w:sz w:val="16"/>
          <w:szCs w:val="16"/>
        </w:rPr>
        <w:t xml:space="preserve"> покинули самолет, третий член экипажа - Марсель Доре - попытался спасти машину и совершил вынужденную посадку на лесной поляне. Сам пилот уцелел, однако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оказался основательно поврежден. В тот же день шокированные, но не сломленные авиаторы на мотодрезине были доставлены в Нижне-Удинск, после чего отправились на свою родину за новым самолетом.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 имел цельнометаллическую конструкцию. Одно- лонжеронное крыло, с относительной толщиной в корне 17,5% и удлинением 10, отличалось высокими аэродинамическими характеристиками. Топливные баки общей емкостью 8000 литров располагались в средней части крыла симметрично по обе стороны лонжерона, причем передние баки являлись частью конструкции. Элероны были сбалансированы в весовом отношении. Это обстоятельство,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лонжеронов, набора силовых шпангоутов, подкрепляющих стрингеров и промежуточных шпангоутов, поддерживающих гладкую дюралевую обшивку. Двигатель "</w:t>
      </w:r>
      <w:proofErr w:type="spellStart"/>
      <w:r w:rsidRPr="007122AB">
        <w:rPr>
          <w:rFonts w:ascii="Times New Roman" w:hAnsi="Times New Roman"/>
          <w:color w:val="000000" w:themeColor="text1"/>
          <w:sz w:val="16"/>
          <w:szCs w:val="16"/>
        </w:rPr>
        <w:t>Испа</w:t>
      </w:r>
      <w:proofErr w:type="spellEnd"/>
      <w:r w:rsidRPr="007122AB">
        <w:rPr>
          <w:rFonts w:ascii="Times New Roman" w:hAnsi="Times New Roman"/>
          <w:color w:val="000000" w:themeColor="text1"/>
          <w:sz w:val="16"/>
          <w:szCs w:val="16"/>
        </w:rPr>
        <w:t>- 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12 </w:t>
      </w:r>
      <w:proofErr w:type="spellStart"/>
      <w:r w:rsidRPr="007122AB">
        <w:rPr>
          <w:rFonts w:ascii="Times New Roman" w:hAnsi="Times New Roman"/>
          <w:color w:val="000000" w:themeColor="text1"/>
          <w:sz w:val="16"/>
          <w:szCs w:val="16"/>
        </w:rPr>
        <w:t>Nbr</w:t>
      </w:r>
      <w:proofErr w:type="spellEnd"/>
      <w:r w:rsidRPr="007122AB">
        <w:rPr>
          <w:rFonts w:ascii="Times New Roman" w:hAnsi="Times New Roman"/>
          <w:color w:val="000000" w:themeColor="text1"/>
          <w:sz w:val="16"/>
          <w:szCs w:val="16"/>
        </w:rPr>
        <w:t xml:space="preserve"> мощностью 650 л. е., поначалу был снабжен двухлопастным воздушным винтом, который затем заменили более эффективным трехлопастным винтом. Радиатор охлаждения мотора выдвигаемый в полете. Шасси пирамидальное, </w:t>
      </w:r>
      <w:proofErr w:type="spellStart"/>
      <w:r w:rsidRPr="007122AB">
        <w:rPr>
          <w:rFonts w:ascii="Times New Roman" w:hAnsi="Times New Roman"/>
          <w:color w:val="000000" w:themeColor="text1"/>
          <w:sz w:val="16"/>
          <w:szCs w:val="16"/>
        </w:rPr>
        <w:t>неубираемое</w:t>
      </w:r>
      <w:proofErr w:type="spellEnd"/>
      <w:r w:rsidRPr="007122AB">
        <w:rPr>
          <w:rFonts w:ascii="Times New Roman" w:hAnsi="Times New Roman"/>
          <w:color w:val="000000" w:themeColor="text1"/>
          <w:sz w:val="16"/>
          <w:szCs w:val="16"/>
        </w:rPr>
        <w:t xml:space="preserve">, с масляно-пневматической амортизацией, колеса заключены в обтекатели.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 построили в двух экземплярах, его доводили с целью получения наибольших значений дальности полета. Начиная с декабря 1930-го и вплоть до середины 1931-го, машина поэтапно совершенствовалась (11941).</w:t>
      </w:r>
    </w:p>
    <w:p w14:paraId="13231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1002C3" w:rsidRPr="007122AB" w14:paraId="3ABCD4BE" w14:textId="77777777">
        <w:tc>
          <w:tcPr>
            <w:tcW w:w="1145" w:type="dxa"/>
            <w:tcBorders>
              <w:top w:val="single" w:sz="12" w:space="0" w:color="auto"/>
            </w:tcBorders>
          </w:tcPr>
          <w:p w14:paraId="447938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145" w:type="dxa"/>
            <w:tcBorders>
              <w:top w:val="single" w:sz="12" w:space="0" w:color="auto"/>
            </w:tcBorders>
          </w:tcPr>
          <w:p w14:paraId="797C0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Двигатель(л.с.)</w:t>
            </w:r>
          </w:p>
        </w:tc>
        <w:tc>
          <w:tcPr>
            <w:tcW w:w="1145" w:type="dxa"/>
            <w:tcBorders>
              <w:top w:val="single" w:sz="12" w:space="0" w:color="auto"/>
            </w:tcBorders>
          </w:tcPr>
          <w:p w14:paraId="258E8E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(м)</w:t>
            </w:r>
          </w:p>
        </w:tc>
        <w:tc>
          <w:tcPr>
            <w:tcW w:w="1145" w:type="dxa"/>
            <w:tcBorders>
              <w:top w:val="single" w:sz="12" w:space="0" w:color="auto"/>
            </w:tcBorders>
          </w:tcPr>
          <w:p w14:paraId="69053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(мг)</w:t>
            </w:r>
          </w:p>
        </w:tc>
        <w:tc>
          <w:tcPr>
            <w:tcW w:w="1145" w:type="dxa"/>
            <w:tcBorders>
              <w:top w:val="single" w:sz="12" w:space="0" w:color="auto"/>
            </w:tcBorders>
          </w:tcPr>
          <w:p w14:paraId="07E927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tc>
        <w:tc>
          <w:tcPr>
            <w:tcW w:w="1145" w:type="dxa"/>
            <w:tcBorders>
              <w:top w:val="single" w:sz="12" w:space="0" w:color="auto"/>
            </w:tcBorders>
          </w:tcPr>
          <w:p w14:paraId="168D26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145" w:type="dxa"/>
            <w:tcBorders>
              <w:top w:val="single" w:sz="12" w:space="0" w:color="auto"/>
            </w:tcBorders>
          </w:tcPr>
          <w:p w14:paraId="4007D6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145" w:type="dxa"/>
            <w:tcBorders>
              <w:top w:val="single" w:sz="12" w:space="0" w:color="auto"/>
            </w:tcBorders>
          </w:tcPr>
          <w:p w14:paraId="07B327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7EEBE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(кг/м2)</w:t>
            </w:r>
          </w:p>
        </w:tc>
      </w:tr>
      <w:tr w:rsidR="001002C3" w:rsidRPr="007122AB" w14:paraId="1B299810" w14:textId="77777777">
        <w:tc>
          <w:tcPr>
            <w:tcW w:w="1145" w:type="dxa"/>
          </w:tcPr>
          <w:p w14:paraId="793A49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C180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097A1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41391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DAF06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EAB1A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5297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2E29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8CF7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50EB41" w14:textId="77777777">
        <w:tc>
          <w:tcPr>
            <w:tcW w:w="1145" w:type="dxa"/>
          </w:tcPr>
          <w:p w14:paraId="25BB6B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Фэйри</w:t>
            </w:r>
            <w:proofErr w:type="spellEnd"/>
            <w:r w:rsidRPr="007122AB">
              <w:rPr>
                <w:rFonts w:ascii="Times New Roman" w:hAnsi="Times New Roman"/>
                <w:color w:val="000000" w:themeColor="text1"/>
                <w:sz w:val="16"/>
                <w:szCs w:val="16"/>
              </w:rPr>
              <w:t xml:space="preserve"> LR</w:t>
            </w:r>
          </w:p>
        </w:tc>
        <w:tc>
          <w:tcPr>
            <w:tcW w:w="1145" w:type="dxa"/>
          </w:tcPr>
          <w:p w14:paraId="2212A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Нэпир</w:t>
            </w:r>
            <w:proofErr w:type="spellEnd"/>
            <w:r w:rsidRPr="007122AB">
              <w:rPr>
                <w:rFonts w:ascii="Times New Roman" w:hAnsi="Times New Roman"/>
                <w:color w:val="000000" w:themeColor="text1"/>
                <w:sz w:val="16"/>
                <w:szCs w:val="16"/>
              </w:rPr>
              <w:t xml:space="preserve"> XI (530)</w:t>
            </w:r>
          </w:p>
        </w:tc>
        <w:tc>
          <w:tcPr>
            <w:tcW w:w="1145" w:type="dxa"/>
          </w:tcPr>
          <w:p w14:paraId="40D8F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145" w:type="dxa"/>
          </w:tcPr>
          <w:p w14:paraId="5E12A8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w:t>
            </w:r>
          </w:p>
        </w:tc>
        <w:tc>
          <w:tcPr>
            <w:tcW w:w="1145" w:type="dxa"/>
          </w:tcPr>
          <w:p w14:paraId="0CDB3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145" w:type="dxa"/>
          </w:tcPr>
          <w:p w14:paraId="50C781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145" w:type="dxa"/>
          </w:tcPr>
          <w:p w14:paraId="10D14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w:t>
            </w:r>
          </w:p>
        </w:tc>
        <w:tc>
          <w:tcPr>
            <w:tcW w:w="1145" w:type="dxa"/>
          </w:tcPr>
          <w:p w14:paraId="48B2BF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1145" w:type="dxa"/>
          </w:tcPr>
          <w:p w14:paraId="0C71B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95,0</w:t>
            </w:r>
          </w:p>
        </w:tc>
      </w:tr>
      <w:tr w:rsidR="001002C3" w:rsidRPr="007122AB" w14:paraId="0549EA03" w14:textId="77777777">
        <w:tc>
          <w:tcPr>
            <w:tcW w:w="1145" w:type="dxa"/>
          </w:tcPr>
          <w:p w14:paraId="185DDE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 S-64</w:t>
            </w:r>
          </w:p>
        </w:tc>
        <w:tc>
          <w:tcPr>
            <w:tcW w:w="1145" w:type="dxa"/>
          </w:tcPr>
          <w:p w14:paraId="6426F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Фиат А-22Т (620)</w:t>
            </w:r>
          </w:p>
        </w:tc>
        <w:tc>
          <w:tcPr>
            <w:tcW w:w="1145" w:type="dxa"/>
          </w:tcPr>
          <w:p w14:paraId="46898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145" w:type="dxa"/>
          </w:tcPr>
          <w:p w14:paraId="25E60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145" w:type="dxa"/>
          </w:tcPr>
          <w:p w14:paraId="049E3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w:t>
            </w:r>
          </w:p>
        </w:tc>
        <w:tc>
          <w:tcPr>
            <w:tcW w:w="1145" w:type="dxa"/>
          </w:tcPr>
          <w:p w14:paraId="44F37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2670</w:t>
            </w:r>
          </w:p>
        </w:tc>
        <w:tc>
          <w:tcPr>
            <w:tcW w:w="1145" w:type="dxa"/>
          </w:tcPr>
          <w:p w14:paraId="4A7FF3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7200</w:t>
            </w:r>
          </w:p>
        </w:tc>
        <w:tc>
          <w:tcPr>
            <w:tcW w:w="1145" w:type="dxa"/>
          </w:tcPr>
          <w:p w14:paraId="299D39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4550</w:t>
            </w:r>
          </w:p>
        </w:tc>
        <w:tc>
          <w:tcPr>
            <w:tcW w:w="1145" w:type="dxa"/>
          </w:tcPr>
          <w:p w14:paraId="0FB3F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r>
      <w:tr w:rsidR="001002C3" w:rsidRPr="007122AB" w14:paraId="7A68C739" w14:textId="77777777">
        <w:tc>
          <w:tcPr>
            <w:tcW w:w="1145" w:type="dxa"/>
          </w:tcPr>
          <w:p w14:paraId="7FA328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Блерио-110</w:t>
            </w:r>
          </w:p>
        </w:tc>
        <w:tc>
          <w:tcPr>
            <w:tcW w:w="1145" w:type="dxa"/>
          </w:tcPr>
          <w:p w14:paraId="316393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12МЬг (500)</w:t>
            </w:r>
          </w:p>
        </w:tc>
        <w:tc>
          <w:tcPr>
            <w:tcW w:w="1145" w:type="dxa"/>
          </w:tcPr>
          <w:p w14:paraId="542B1B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26,5</w:t>
            </w:r>
          </w:p>
        </w:tc>
        <w:tc>
          <w:tcPr>
            <w:tcW w:w="1145" w:type="dxa"/>
          </w:tcPr>
          <w:p w14:paraId="14C84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145" w:type="dxa"/>
          </w:tcPr>
          <w:p w14:paraId="638AF5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8,65</w:t>
            </w:r>
          </w:p>
        </w:tc>
        <w:tc>
          <w:tcPr>
            <w:tcW w:w="1145" w:type="dxa"/>
          </w:tcPr>
          <w:p w14:paraId="64F2AB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c>
          <w:tcPr>
            <w:tcW w:w="1145" w:type="dxa"/>
          </w:tcPr>
          <w:p w14:paraId="4CA17D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8500</w:t>
            </w:r>
          </w:p>
        </w:tc>
        <w:tc>
          <w:tcPr>
            <w:tcW w:w="1145" w:type="dxa"/>
          </w:tcPr>
          <w:p w14:paraId="6A627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145" w:type="dxa"/>
          </w:tcPr>
          <w:p w14:paraId="5EE7B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104,5</w:t>
            </w:r>
          </w:p>
        </w:tc>
      </w:tr>
      <w:tr w:rsidR="001002C3" w:rsidRPr="007122AB" w14:paraId="6BB46020" w14:textId="77777777">
        <w:tc>
          <w:tcPr>
            <w:tcW w:w="1145" w:type="dxa"/>
          </w:tcPr>
          <w:p w14:paraId="20AFC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w:t>
            </w:r>
          </w:p>
        </w:tc>
        <w:tc>
          <w:tcPr>
            <w:tcW w:w="1145" w:type="dxa"/>
          </w:tcPr>
          <w:p w14:paraId="118941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Pr>
          <w:p w14:paraId="59A694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145" w:type="dxa"/>
          </w:tcPr>
          <w:p w14:paraId="66942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w:t>
            </w:r>
          </w:p>
        </w:tc>
        <w:tc>
          <w:tcPr>
            <w:tcW w:w="1145" w:type="dxa"/>
          </w:tcPr>
          <w:p w14:paraId="5BF371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1145" w:type="dxa"/>
          </w:tcPr>
          <w:p w14:paraId="2561C3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Pr>
          <w:p w14:paraId="328D5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9200</w:t>
            </w:r>
          </w:p>
        </w:tc>
        <w:tc>
          <w:tcPr>
            <w:tcW w:w="1145" w:type="dxa"/>
          </w:tcPr>
          <w:p w14:paraId="72CF3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5600</w:t>
            </w:r>
          </w:p>
        </w:tc>
        <w:tc>
          <w:tcPr>
            <w:tcW w:w="1145" w:type="dxa"/>
          </w:tcPr>
          <w:p w14:paraId="139239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117,5</w:t>
            </w:r>
          </w:p>
        </w:tc>
      </w:tr>
      <w:tr w:rsidR="001002C3" w:rsidRPr="007122AB" w14:paraId="7E53000B" w14:textId="77777777">
        <w:tc>
          <w:tcPr>
            <w:tcW w:w="1145" w:type="dxa"/>
            <w:tcBorders>
              <w:bottom w:val="single" w:sz="12" w:space="0" w:color="auto"/>
            </w:tcBorders>
          </w:tcPr>
          <w:p w14:paraId="01D8A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Бернар-80</w:t>
            </w:r>
          </w:p>
        </w:tc>
        <w:tc>
          <w:tcPr>
            <w:tcW w:w="1145" w:type="dxa"/>
            <w:tcBorders>
              <w:bottom w:val="single" w:sz="12" w:space="0" w:color="auto"/>
            </w:tcBorders>
          </w:tcPr>
          <w:p w14:paraId="6F44E1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12Nb (650)</w:t>
            </w:r>
          </w:p>
        </w:tc>
        <w:tc>
          <w:tcPr>
            <w:tcW w:w="1145" w:type="dxa"/>
            <w:tcBorders>
              <w:bottom w:val="single" w:sz="12" w:space="0" w:color="auto"/>
            </w:tcBorders>
          </w:tcPr>
          <w:p w14:paraId="4085E9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145" w:type="dxa"/>
            <w:tcBorders>
              <w:bottom w:val="single" w:sz="12" w:space="0" w:color="auto"/>
            </w:tcBorders>
          </w:tcPr>
          <w:p w14:paraId="6C673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145" w:type="dxa"/>
            <w:tcBorders>
              <w:bottom w:val="single" w:sz="12" w:space="0" w:color="auto"/>
            </w:tcBorders>
          </w:tcPr>
          <w:p w14:paraId="4FFDF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w:t>
            </w:r>
          </w:p>
        </w:tc>
        <w:tc>
          <w:tcPr>
            <w:tcW w:w="1145" w:type="dxa"/>
            <w:tcBorders>
              <w:bottom w:val="single" w:sz="12" w:space="0" w:color="auto"/>
            </w:tcBorders>
          </w:tcPr>
          <w:p w14:paraId="5DA68A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c>
          <w:tcPr>
            <w:tcW w:w="1145" w:type="dxa"/>
            <w:tcBorders>
              <w:bottom w:val="single" w:sz="12" w:space="0" w:color="auto"/>
            </w:tcBorders>
          </w:tcPr>
          <w:p w14:paraId="59224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8625</w:t>
            </w:r>
          </w:p>
        </w:tc>
        <w:tc>
          <w:tcPr>
            <w:tcW w:w="1145" w:type="dxa"/>
            <w:tcBorders>
              <w:bottom w:val="single" w:sz="12" w:space="0" w:color="auto"/>
            </w:tcBorders>
          </w:tcPr>
          <w:p w14:paraId="12F63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145" w:type="dxa"/>
            <w:tcBorders>
              <w:bottom w:val="single" w:sz="12" w:space="0" w:color="auto"/>
            </w:tcBorders>
          </w:tcPr>
          <w:p w14:paraId="09D9A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w:t>
            </w:r>
          </w:p>
        </w:tc>
      </w:tr>
    </w:tbl>
    <w:p w14:paraId="5135B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45AC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4372C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896FD1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78D34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июля 1931 года закончились испытания самолета ДИ3 БМВ VI – опытный экземпляр постройки ЦКБ завода № 39 № 17115, которые проходили с 10 апреля 1931.</w:t>
      </w:r>
    </w:p>
    <w:p w14:paraId="6D4EBF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получен на испытания – 10 апреля 1931 года</w:t>
      </w:r>
    </w:p>
    <w:p w14:paraId="012700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окончены – 12 июля 1931 года</w:t>
      </w:r>
    </w:p>
    <w:p w14:paraId="504861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число дней – 92</w:t>
      </w:r>
    </w:p>
    <w:p w14:paraId="03D0D6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летал – 24 дня</w:t>
      </w:r>
    </w:p>
    <w:p w14:paraId="7DD3D63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36 с налетом 28, 5 часов</w:t>
      </w:r>
    </w:p>
    <w:p w14:paraId="42CEBC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0205C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449B84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1D2732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1271E"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июля в 1931 году завершились (с 10 апреля) Государственные испытания в НИИ ВВС дальнего истребителя Поликарпова и Григоровича </w:t>
      </w:r>
      <w:hyperlink r:id="rId143" w:tgtFrame="_blank" w:history="1">
        <w:r w:rsidRPr="007122AB">
          <w:rPr>
            <w:rFonts w:ascii="Times New Roman" w:hAnsi="Times New Roman"/>
            <w:color w:val="000000" w:themeColor="text1"/>
            <w:sz w:val="16"/>
            <w:szCs w:val="16"/>
          </w:rPr>
          <w:t xml:space="preserve">«ДИ-3». </w:t>
        </w:r>
      </w:hyperlink>
      <w:r w:rsidRPr="007122AB">
        <w:rPr>
          <w:rFonts w:ascii="Times New Roman" w:hAnsi="Times New Roman"/>
          <w:color w:val="000000" w:themeColor="text1"/>
          <w:sz w:val="16"/>
          <w:szCs w:val="16"/>
        </w:rPr>
        <w:t>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 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(14950).</w:t>
      </w:r>
    </w:p>
    <w:p w14:paraId="09D669D1" w14:textId="77777777" w:rsidR="00D84D3F" w:rsidRPr="007122AB" w:rsidRDefault="00D84D3F" w:rsidP="007122AB">
      <w:pPr>
        <w:spacing w:after="0" w:line="240" w:lineRule="auto"/>
        <w:jc w:val="both"/>
        <w:rPr>
          <w:rFonts w:ascii="Times New Roman" w:hAnsi="Times New Roman"/>
          <w:color w:val="000000" w:themeColor="text1"/>
          <w:sz w:val="16"/>
          <w:szCs w:val="16"/>
        </w:rPr>
      </w:pPr>
    </w:p>
    <w:p w14:paraId="08315A8F"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июля 1931 - (с 10 апреля ) 1931 года завершились Государственные испытания в НИИ ВВС дальнего истребителя Поликарпова и Григоровича ДИ-3. 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w:t>
      </w:r>
    </w:p>
    <w:p w14:paraId="686BE5DB"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(22432).</w:t>
      </w:r>
    </w:p>
    <w:p w14:paraId="0E5DEE75" w14:textId="77777777" w:rsidR="00472582" w:rsidRPr="007122AB" w:rsidRDefault="00472582" w:rsidP="007122AB">
      <w:pPr>
        <w:spacing w:after="0" w:line="240" w:lineRule="auto"/>
        <w:jc w:val="both"/>
        <w:rPr>
          <w:rFonts w:ascii="Times New Roman" w:hAnsi="Times New Roman"/>
          <w:color w:val="000000" w:themeColor="text1"/>
          <w:sz w:val="16"/>
          <w:szCs w:val="16"/>
        </w:rPr>
      </w:pPr>
    </w:p>
    <w:p w14:paraId="01A628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июля 1931 года начальник 2-го отдела НИИ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407 начальнику 8 сектора УСС ВВС.</w:t>
      </w:r>
    </w:p>
    <w:p w14:paraId="5E5C67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Препровождая при сем заключение по испытанию самолета Р5 с несимметричной относительно продольной оси нагрузкой сообщаем, что хотя самолет Р5 по своим аэродинамическим качествам и допускает довольно большую весовую поперечную асимметрию, но результаты испытаний не должны повести за собой снижение требований к заводам серийной постройки, так как это может повлечь за собой общее ослабление внимания за соблюдением...</w:t>
      </w:r>
    </w:p>
    <w:p w14:paraId="19EC1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по испытанию самолета Р5 БМВ VI с несимметричной нагрузкой относительно продольной оси.</w:t>
      </w:r>
    </w:p>
    <w:p w14:paraId="1033D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Произведено 7 полетов с постепенным подвешиванием на бомбодержателях правого крыла бомб разного веса.</w:t>
      </w:r>
    </w:p>
    <w:p w14:paraId="30AA1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Заключение</w:t>
      </w:r>
    </w:p>
    <w:p w14:paraId="080A0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Р5 позволяет совершать полеты и посадки даже при условии оставления под одним из крыльев (правом или левом) двух бомб по 82 кг, помещенных на средних бомбодержателях (3216).</w:t>
      </w:r>
    </w:p>
    <w:p w14:paraId="041C86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6237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июля 1931 был подготовлен Отчет об испытании приборов "ВАП-4" (2-х комплектов) на сам. Р-5 БМВVI Е=6.</w:t>
      </w:r>
    </w:p>
    <w:p w14:paraId="33FF80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BE445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представленном виде установку на сам. Р-5 - "ВАП-4" - считать возможной допустить к испытаниям с ОВ (3208,269-281).</w:t>
      </w:r>
    </w:p>
    <w:p w14:paraId="2F5906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4CE7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июля 1931 Погиб в авиакатастрофе на пути из Москвы в Киев на маневры Владимир </w:t>
      </w:r>
      <w:proofErr w:type="spellStart"/>
      <w:r w:rsidRPr="007122AB">
        <w:rPr>
          <w:rFonts w:ascii="Times New Roman" w:hAnsi="Times New Roman"/>
          <w:color w:val="000000" w:themeColor="text1"/>
          <w:sz w:val="16"/>
          <w:szCs w:val="16"/>
        </w:rPr>
        <w:t>Кириакович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Триандофилов</w:t>
      </w:r>
      <w:proofErr w:type="spellEnd"/>
      <w:r w:rsidRPr="007122AB">
        <w:rPr>
          <w:rFonts w:ascii="Times New Roman" w:hAnsi="Times New Roman"/>
          <w:color w:val="000000" w:themeColor="text1"/>
          <w:sz w:val="16"/>
          <w:szCs w:val="16"/>
        </w:rPr>
        <w:t xml:space="preserve">, выдающийся военный мыслитель, автор книг по теории военного дела (4963 ). Возможно на АНТ-9, где в тот же день погиб </w:t>
      </w:r>
      <w:proofErr w:type="spellStart"/>
      <w:r w:rsidRPr="007122AB">
        <w:rPr>
          <w:rFonts w:ascii="Times New Roman" w:hAnsi="Times New Roman"/>
          <w:color w:val="000000" w:themeColor="text1"/>
          <w:sz w:val="16"/>
          <w:szCs w:val="16"/>
        </w:rPr>
        <w:t>С</w:t>
      </w:r>
      <w:r w:rsidR="00E278B5"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Т</w:t>
      </w:r>
      <w:r w:rsidR="00E278B5"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Рыбальчук</w:t>
      </w:r>
      <w:proofErr w:type="spellEnd"/>
      <w:r w:rsidRPr="007122AB">
        <w:rPr>
          <w:rFonts w:ascii="Times New Roman" w:hAnsi="Times New Roman"/>
          <w:color w:val="000000" w:themeColor="text1"/>
          <w:sz w:val="16"/>
          <w:szCs w:val="16"/>
        </w:rPr>
        <w:t xml:space="preserve"> (7610).</w:t>
      </w:r>
    </w:p>
    <w:p w14:paraId="725BAB3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C54B01" w14:textId="77777777" w:rsidR="00E278B5" w:rsidRPr="007122AB" w:rsidRDefault="00E278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июля 1931 года стоял туман, заместитель начальника штаба РККА, крупнейший в стране военный теоретик и стратег Владимир </w:t>
      </w:r>
      <w:proofErr w:type="spellStart"/>
      <w:r w:rsidRPr="007122AB">
        <w:rPr>
          <w:rFonts w:ascii="Times New Roman" w:hAnsi="Times New Roman"/>
          <w:color w:val="000000" w:themeColor="text1"/>
          <w:sz w:val="16"/>
          <w:szCs w:val="16"/>
        </w:rPr>
        <w:t>Триандафиллов</w:t>
      </w:r>
      <w:proofErr w:type="spellEnd"/>
      <w:r w:rsidRPr="007122AB">
        <w:rPr>
          <w:rFonts w:ascii="Times New Roman" w:hAnsi="Times New Roman"/>
          <w:color w:val="000000" w:themeColor="text1"/>
          <w:sz w:val="16"/>
          <w:szCs w:val="16"/>
        </w:rPr>
        <w:t xml:space="preserve"> должен был вылететь в инспекционную поездку по стране, как делал до того не раз, однако этот полет оказался для него последним. Хотя, </w:t>
      </w:r>
      <w:proofErr w:type="spellStart"/>
      <w:r w:rsidRPr="007122AB">
        <w:rPr>
          <w:rFonts w:ascii="Times New Roman" w:hAnsi="Times New Roman"/>
          <w:color w:val="000000" w:themeColor="text1"/>
          <w:sz w:val="16"/>
          <w:szCs w:val="16"/>
        </w:rPr>
        <w:t>Триандафиллов</w:t>
      </w:r>
      <w:proofErr w:type="spellEnd"/>
      <w:r w:rsidRPr="007122AB">
        <w:rPr>
          <w:rFonts w:ascii="Times New Roman" w:hAnsi="Times New Roman"/>
          <w:color w:val="000000" w:themeColor="text1"/>
          <w:sz w:val="16"/>
          <w:szCs w:val="16"/>
        </w:rPr>
        <w:t xml:space="preserve"> твердо верил в мастерство своего пилота. «Летчика С. Т. </w:t>
      </w:r>
      <w:proofErr w:type="spellStart"/>
      <w:r w:rsidRPr="007122AB">
        <w:rPr>
          <w:rFonts w:ascii="Times New Roman" w:hAnsi="Times New Roman"/>
          <w:color w:val="000000" w:themeColor="text1"/>
          <w:sz w:val="16"/>
          <w:szCs w:val="16"/>
        </w:rPr>
        <w:t>Рыбальчука</w:t>
      </w:r>
      <w:proofErr w:type="spellEnd"/>
      <w:r w:rsidRPr="007122AB">
        <w:rPr>
          <w:rFonts w:ascii="Times New Roman" w:hAnsi="Times New Roman"/>
          <w:color w:val="000000" w:themeColor="text1"/>
          <w:sz w:val="16"/>
          <w:szCs w:val="16"/>
        </w:rPr>
        <w:t>. — вспоминал Михаил Громов,— хорошо знал авиаконструктор С. В. Ильюшин и рекомендовал его как отличного летчика: спокойного, уравновешенного, никогда не торопящегося. Я видел его полеты — он летал, безусловно, отлично… Блестящий был пилот — С. Т. </w:t>
      </w:r>
      <w:proofErr w:type="spellStart"/>
      <w:r w:rsidRPr="007122AB">
        <w:rPr>
          <w:rFonts w:ascii="Times New Roman" w:hAnsi="Times New Roman"/>
          <w:color w:val="000000" w:themeColor="text1"/>
          <w:sz w:val="16"/>
          <w:szCs w:val="16"/>
        </w:rPr>
        <w:t>Рыбальчук</w:t>
      </w:r>
      <w:proofErr w:type="spellEnd"/>
      <w:r w:rsidRPr="007122AB">
        <w:rPr>
          <w:rFonts w:ascii="Times New Roman" w:hAnsi="Times New Roman"/>
          <w:color w:val="000000" w:themeColor="text1"/>
          <w:sz w:val="16"/>
          <w:szCs w:val="16"/>
        </w:rPr>
        <w:t>! Видимо, из самолюбия он не отказался от полета в таких условиях и в тумане зацепил деревья… Катастрофа, все погибли» (12634).</w:t>
      </w:r>
    </w:p>
    <w:p w14:paraId="48DB4B57" w14:textId="77777777" w:rsidR="00E278B5" w:rsidRPr="007122AB" w:rsidRDefault="00E278B5" w:rsidP="007122AB">
      <w:pPr>
        <w:spacing w:after="0" w:line="240" w:lineRule="auto"/>
        <w:jc w:val="both"/>
        <w:rPr>
          <w:rFonts w:ascii="Times New Roman" w:hAnsi="Times New Roman"/>
          <w:color w:val="000000" w:themeColor="text1"/>
          <w:sz w:val="16"/>
          <w:szCs w:val="16"/>
        </w:rPr>
      </w:pPr>
    </w:p>
    <w:p w14:paraId="1FE62A9D"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июля в 1931 году катастрофа самолёта «АНТ-9», командир экипажа </w:t>
      </w:r>
      <w:proofErr w:type="spellStart"/>
      <w:r w:rsidRPr="007122AB">
        <w:rPr>
          <w:rFonts w:ascii="Times New Roman" w:hAnsi="Times New Roman"/>
          <w:color w:val="000000" w:themeColor="text1"/>
          <w:sz w:val="16"/>
          <w:szCs w:val="16"/>
        </w:rPr>
        <w:t>Рыбальчук</w:t>
      </w:r>
      <w:proofErr w:type="spellEnd"/>
      <w:r w:rsidRPr="007122AB">
        <w:rPr>
          <w:rFonts w:ascii="Times New Roman" w:hAnsi="Times New Roman"/>
          <w:color w:val="000000" w:themeColor="text1"/>
          <w:sz w:val="16"/>
          <w:szCs w:val="16"/>
        </w:rPr>
        <w:t xml:space="preserve"> С.Т. На борту находился замначальника штаба РККА, крупнейший военный теоретик и стратег </w:t>
      </w:r>
      <w:proofErr w:type="spellStart"/>
      <w:r w:rsidRPr="007122AB">
        <w:rPr>
          <w:rFonts w:ascii="Times New Roman" w:hAnsi="Times New Roman"/>
          <w:color w:val="000000" w:themeColor="text1"/>
          <w:sz w:val="16"/>
          <w:szCs w:val="16"/>
        </w:rPr>
        <w:t>Триандафиллов</w:t>
      </w:r>
      <w:proofErr w:type="spellEnd"/>
      <w:r w:rsidRPr="007122AB">
        <w:rPr>
          <w:rFonts w:ascii="Times New Roman" w:hAnsi="Times New Roman"/>
          <w:color w:val="000000" w:themeColor="text1"/>
          <w:sz w:val="16"/>
          <w:szCs w:val="16"/>
        </w:rPr>
        <w:t xml:space="preserve"> В., вылетевший в инспекционную поездку по стране. Самолёт в тумане зацепился за деревья (этап полёта неизвестен), столкнулся с землёй и разрушился. Все, находившиеся на борту, погибли. Погиб летчик-испытатель </w:t>
      </w:r>
      <w:proofErr w:type="spellStart"/>
      <w:r w:rsidRPr="007122AB">
        <w:rPr>
          <w:rFonts w:ascii="Times New Roman" w:hAnsi="Times New Roman"/>
          <w:color w:val="000000" w:themeColor="text1"/>
          <w:sz w:val="16"/>
          <w:szCs w:val="16"/>
        </w:rPr>
        <w:t>С.Т.Рыбальчук</w:t>
      </w:r>
      <w:proofErr w:type="spellEnd"/>
      <w:r w:rsidRPr="007122AB">
        <w:rPr>
          <w:rFonts w:ascii="Times New Roman" w:hAnsi="Times New Roman"/>
          <w:color w:val="000000" w:themeColor="text1"/>
          <w:sz w:val="16"/>
          <w:szCs w:val="16"/>
        </w:rPr>
        <w:t xml:space="preserve">. Поднял в небо и провёл испытания «АНТ-8» («МДР-2») (30 января 1931). Провёл испытания гидросамолётов «РОМ-1» («МДР-1») (1927-28), «МР-3» («МР-5») (1929), «МУ-2» (1929) и других. После этого лётного </w:t>
      </w:r>
      <w:proofErr w:type="spellStart"/>
      <w:r w:rsidRPr="007122AB">
        <w:rPr>
          <w:rFonts w:ascii="Times New Roman" w:hAnsi="Times New Roman"/>
          <w:color w:val="000000" w:themeColor="text1"/>
          <w:sz w:val="16"/>
          <w:szCs w:val="16"/>
        </w:rPr>
        <w:t>проишествия</w:t>
      </w:r>
      <w:proofErr w:type="spellEnd"/>
      <w:r w:rsidRPr="007122AB">
        <w:rPr>
          <w:rFonts w:ascii="Times New Roman" w:hAnsi="Times New Roman"/>
          <w:color w:val="000000" w:themeColor="text1"/>
          <w:sz w:val="16"/>
          <w:szCs w:val="16"/>
        </w:rPr>
        <w:t xml:space="preserve"> Сталин запретил членам Политбюро и руководящим работникам высокого ранга летать на самолетах. Ослушавшимся грозило суровое партийное наказание (14950).</w:t>
      </w:r>
    </w:p>
    <w:p w14:paraId="5BFD92FD" w14:textId="77777777" w:rsidR="00D84D3F" w:rsidRPr="007122AB" w:rsidRDefault="00D84D3F" w:rsidP="007122AB">
      <w:pPr>
        <w:spacing w:after="0" w:line="240" w:lineRule="auto"/>
        <w:jc w:val="both"/>
        <w:rPr>
          <w:rFonts w:ascii="Times New Roman" w:hAnsi="Times New Roman"/>
          <w:color w:val="000000" w:themeColor="text1"/>
          <w:sz w:val="16"/>
          <w:szCs w:val="16"/>
        </w:rPr>
      </w:pPr>
    </w:p>
    <w:p w14:paraId="2BCD07E7" w14:textId="77777777" w:rsidR="00472582" w:rsidRPr="007122AB" w:rsidRDefault="00472582" w:rsidP="007122AB">
      <w:pPr>
        <w:pStyle w:val="doctext"/>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 xml:space="preserve">12 июля 1931 года заместитель начальника штаба РККА, крупнейший в стране военный теоретик и стратег Владимир </w:t>
      </w:r>
      <w:proofErr w:type="spellStart"/>
      <w:r w:rsidRPr="007122AB">
        <w:rPr>
          <w:color w:val="000000" w:themeColor="text1"/>
          <w:sz w:val="16"/>
          <w:szCs w:val="16"/>
        </w:rPr>
        <w:t>Триандафиллов</w:t>
      </w:r>
      <w:proofErr w:type="spellEnd"/>
      <w:r w:rsidRPr="007122AB">
        <w:rPr>
          <w:color w:val="000000" w:themeColor="text1"/>
          <w:sz w:val="16"/>
          <w:szCs w:val="16"/>
        </w:rPr>
        <w:t xml:space="preserve"> должен был вылететь в инспекционную поездку по стране, как делал до того не раз. Однако этот полет оказался для него последним. Хотя стоял туман, </w:t>
      </w:r>
      <w:proofErr w:type="spellStart"/>
      <w:r w:rsidRPr="007122AB">
        <w:rPr>
          <w:color w:val="000000" w:themeColor="text1"/>
          <w:sz w:val="16"/>
          <w:szCs w:val="16"/>
        </w:rPr>
        <w:t>Триандафиллов</w:t>
      </w:r>
      <w:proofErr w:type="spellEnd"/>
      <w:r w:rsidRPr="007122AB">
        <w:rPr>
          <w:color w:val="000000" w:themeColor="text1"/>
          <w:sz w:val="16"/>
          <w:szCs w:val="16"/>
        </w:rPr>
        <w:t xml:space="preserve"> твердо верил в мастерство своего пилота.</w:t>
      </w:r>
    </w:p>
    <w:p w14:paraId="73B4E3E2" w14:textId="77777777" w:rsidR="00472582" w:rsidRPr="007122AB" w:rsidRDefault="00472582" w:rsidP="007122AB">
      <w:pPr>
        <w:pStyle w:val="doctext"/>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"Летчика С. Т. </w:t>
      </w:r>
      <w:proofErr w:type="spellStart"/>
      <w:r w:rsidRPr="007122AB">
        <w:rPr>
          <w:color w:val="000000" w:themeColor="text1"/>
          <w:sz w:val="16"/>
          <w:szCs w:val="16"/>
        </w:rPr>
        <w:t>Рыбальчука</w:t>
      </w:r>
      <w:proofErr w:type="spellEnd"/>
      <w:r w:rsidRPr="007122AB">
        <w:rPr>
          <w:color w:val="000000" w:themeColor="text1"/>
          <w:sz w:val="16"/>
          <w:szCs w:val="16"/>
        </w:rPr>
        <w:t>,— вспоминал Михаил Громов,— хорошо знал авиаконструктор С. В. Ильюшин и рекомендовал его как отличного летчика: спокойного, уравновешенного, никогда не торопящегося. Я видел его полеты — он летал, безусловно, отлично... Блестящий был пилот — С. Т. </w:t>
      </w:r>
      <w:proofErr w:type="spellStart"/>
      <w:r w:rsidRPr="007122AB">
        <w:rPr>
          <w:color w:val="000000" w:themeColor="text1"/>
          <w:sz w:val="16"/>
          <w:szCs w:val="16"/>
        </w:rPr>
        <w:t>Рыбальчук</w:t>
      </w:r>
      <w:proofErr w:type="spellEnd"/>
      <w:r w:rsidRPr="007122AB">
        <w:rPr>
          <w:color w:val="000000" w:themeColor="text1"/>
          <w:sz w:val="16"/>
          <w:szCs w:val="16"/>
        </w:rPr>
        <w:t>! Видимо, из самолюбия он не отказался от полета в таких условиях и в тумане зацепил деревья... Катастрофа, все погибли" (21579).</w:t>
      </w:r>
    </w:p>
    <w:p w14:paraId="7D97536D"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FCD877"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ночь с 12 на 13 июля (по сведениям из французской прес</w:t>
      </w:r>
      <w:r w:rsidRPr="007122AB">
        <w:rPr>
          <w:rFonts w:ascii="Times New Roman" w:hAnsi="Times New Roman"/>
          <w:color w:val="000000" w:themeColor="text1"/>
          <w:sz w:val="16"/>
          <w:szCs w:val="16"/>
        </w:rPr>
        <w:softHyphen/>
        <w:t>сы) 1931 на «Тред-Юнионе» отказал двигатель. Машина была разбита, но экипаж в соста</w:t>
      </w:r>
      <w:r w:rsidRPr="007122AB">
        <w:rPr>
          <w:rFonts w:ascii="Times New Roman" w:hAnsi="Times New Roman"/>
          <w:color w:val="000000" w:themeColor="text1"/>
          <w:sz w:val="16"/>
          <w:szCs w:val="16"/>
        </w:rPr>
        <w:softHyphen/>
        <w:t xml:space="preserve">ве в составе Доре, Ле Бри и механика </w:t>
      </w:r>
      <w:proofErr w:type="spellStart"/>
      <w:r w:rsidRPr="007122AB">
        <w:rPr>
          <w:rFonts w:ascii="Times New Roman" w:hAnsi="Times New Roman"/>
          <w:color w:val="000000" w:themeColor="text1"/>
          <w:sz w:val="16"/>
          <w:szCs w:val="16"/>
        </w:rPr>
        <w:t>Месмена</w:t>
      </w:r>
      <w:proofErr w:type="spellEnd"/>
      <w:r w:rsidRPr="007122AB">
        <w:rPr>
          <w:rFonts w:ascii="Times New Roman" w:hAnsi="Times New Roman"/>
          <w:color w:val="000000" w:themeColor="text1"/>
          <w:sz w:val="16"/>
          <w:szCs w:val="16"/>
        </w:rPr>
        <w:t xml:space="preserve"> остался цел.</w:t>
      </w:r>
    </w:p>
    <w:p w14:paraId="64091DED" w14:textId="77777777" w:rsidR="003562F3" w:rsidRPr="007122AB" w:rsidRDefault="003562F3"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Style w:val="114"/>
          <w:rFonts w:eastAsia="Calibri"/>
          <w:b w:val="0"/>
          <w:i w:val="0"/>
          <w:color w:val="000000" w:themeColor="text1"/>
          <w:sz w:val="16"/>
          <w:szCs w:val="16"/>
        </w:rPr>
        <w:t>Как следует из документов, хранящих</w:t>
      </w:r>
      <w:r w:rsidRPr="007122AB">
        <w:rPr>
          <w:rStyle w:val="114"/>
          <w:rFonts w:eastAsia="Calibri"/>
          <w:b w:val="0"/>
          <w:i w:val="0"/>
          <w:color w:val="000000" w:themeColor="text1"/>
          <w:sz w:val="16"/>
          <w:szCs w:val="16"/>
        </w:rPr>
        <w:softHyphen/>
        <w:t>ся в российских архивах, в частности, из телеграммы, отправленной начальнику Главного управления гражданского воз</w:t>
      </w:r>
      <w:r w:rsidRPr="007122AB">
        <w:rPr>
          <w:rStyle w:val="114"/>
          <w:rFonts w:eastAsia="Calibri"/>
          <w:b w:val="0"/>
          <w:i w:val="0"/>
          <w:color w:val="000000" w:themeColor="text1"/>
          <w:sz w:val="16"/>
          <w:szCs w:val="16"/>
        </w:rPr>
        <w:softHyphen/>
        <w:t xml:space="preserve">душного </w:t>
      </w:r>
      <w:proofErr w:type="spellStart"/>
      <w:r w:rsidRPr="007122AB">
        <w:rPr>
          <w:rStyle w:val="114"/>
          <w:rFonts w:eastAsia="Calibri"/>
          <w:b w:val="0"/>
          <w:i w:val="0"/>
          <w:color w:val="000000" w:themeColor="text1"/>
          <w:sz w:val="16"/>
          <w:szCs w:val="16"/>
        </w:rPr>
        <w:t>флота.Яну</w:t>
      </w:r>
      <w:proofErr w:type="spellEnd"/>
      <w:r w:rsidRPr="007122AB">
        <w:rPr>
          <w:rStyle w:val="114"/>
          <w:rFonts w:eastAsia="Calibri"/>
          <w:b w:val="0"/>
          <w:i w:val="0"/>
          <w:color w:val="000000" w:themeColor="text1"/>
          <w:sz w:val="16"/>
          <w:szCs w:val="16"/>
        </w:rPr>
        <w:t xml:space="preserve"> </w:t>
      </w:r>
      <w:proofErr w:type="spellStart"/>
      <w:r w:rsidRPr="007122AB">
        <w:rPr>
          <w:rStyle w:val="114"/>
          <w:rFonts w:eastAsia="Calibri"/>
          <w:b w:val="0"/>
          <w:i w:val="0"/>
          <w:color w:val="000000" w:themeColor="text1"/>
          <w:sz w:val="16"/>
          <w:szCs w:val="16"/>
        </w:rPr>
        <w:t>Анвельту</w:t>
      </w:r>
      <w:proofErr w:type="spellEnd"/>
      <w:r w:rsidRPr="007122AB">
        <w:rPr>
          <w:rStyle w:val="114"/>
          <w:rFonts w:eastAsia="Calibri"/>
          <w:b w:val="0"/>
          <w:i w:val="0"/>
          <w:color w:val="000000" w:themeColor="text1"/>
          <w:sz w:val="16"/>
          <w:szCs w:val="16"/>
        </w:rPr>
        <w:t>:</w:t>
      </w:r>
      <w:r w:rsidRPr="007122AB">
        <w:rPr>
          <w:rFonts w:ascii="Times New Roman" w:hAnsi="Times New Roman" w:cs="Times New Roman"/>
          <w:b w:val="0"/>
          <w:color w:val="000000" w:themeColor="text1"/>
          <w:sz w:val="16"/>
          <w:szCs w:val="16"/>
        </w:rPr>
        <w:t xml:space="preserve"> «14 июля 1931 года в 400 км от станции (железнодо</w:t>
      </w:r>
      <w:r w:rsidRPr="007122AB">
        <w:rPr>
          <w:rFonts w:ascii="Times New Roman" w:hAnsi="Times New Roman" w:cs="Times New Roman"/>
          <w:b w:val="0"/>
          <w:color w:val="000000" w:themeColor="text1"/>
          <w:sz w:val="16"/>
          <w:szCs w:val="16"/>
        </w:rPr>
        <w:softHyphen/>
        <w:t>рожной</w:t>
      </w:r>
      <w:r w:rsidRPr="007122AB">
        <w:rPr>
          <w:rStyle w:val="119pt"/>
          <w:rFonts w:eastAsia="Calibri"/>
          <w:color w:val="000000" w:themeColor="text1"/>
          <w:sz w:val="16"/>
          <w:szCs w:val="16"/>
        </w:rPr>
        <w:t>)</w:t>
      </w:r>
      <w:r w:rsidRPr="007122AB">
        <w:rPr>
          <w:rFonts w:ascii="Times New Roman" w:hAnsi="Times New Roman" w:cs="Times New Roman"/>
          <w:b w:val="0"/>
          <w:color w:val="000000" w:themeColor="text1"/>
          <w:sz w:val="16"/>
          <w:szCs w:val="16"/>
        </w:rPr>
        <w:t xml:space="preserve"> </w:t>
      </w:r>
      <w:proofErr w:type="spellStart"/>
      <w:r w:rsidRPr="007122AB">
        <w:rPr>
          <w:rFonts w:ascii="Times New Roman" w:hAnsi="Times New Roman" w:cs="Times New Roman"/>
          <w:b w:val="0"/>
          <w:color w:val="000000" w:themeColor="text1"/>
          <w:sz w:val="16"/>
          <w:szCs w:val="16"/>
        </w:rPr>
        <w:t>Шабарта</w:t>
      </w:r>
      <w:proofErr w:type="spellEnd"/>
      <w:r w:rsidRPr="007122AB">
        <w:rPr>
          <w:rFonts w:ascii="Times New Roman" w:hAnsi="Times New Roman" w:cs="Times New Roman"/>
          <w:b w:val="0"/>
          <w:color w:val="000000" w:themeColor="text1"/>
          <w:sz w:val="16"/>
          <w:szCs w:val="16"/>
        </w:rPr>
        <w:t xml:space="preserve"> вследст</w:t>
      </w:r>
      <w:r w:rsidRPr="007122AB">
        <w:rPr>
          <w:rFonts w:ascii="Times New Roman" w:hAnsi="Times New Roman" w:cs="Times New Roman"/>
          <w:b w:val="0"/>
          <w:color w:val="000000" w:themeColor="text1"/>
          <w:sz w:val="16"/>
          <w:szCs w:val="16"/>
        </w:rPr>
        <w:softHyphen/>
        <w:t>вие остановки мотора в воздухе потерпел аварию французский самолет, летевший из Парижа на восток. При посадке мотор ото</w:t>
      </w:r>
      <w:r w:rsidRPr="007122AB">
        <w:rPr>
          <w:rFonts w:ascii="Times New Roman" w:hAnsi="Times New Roman" w:cs="Times New Roman"/>
          <w:b w:val="0"/>
          <w:color w:val="000000" w:themeColor="text1"/>
          <w:sz w:val="16"/>
          <w:szCs w:val="16"/>
        </w:rPr>
        <w:softHyphen/>
        <w:t>рвался, плоскости повреждены, фюзеляж и оперение целы. Часть приборов, мотор и ин</w:t>
      </w:r>
      <w:r w:rsidRPr="007122AB">
        <w:rPr>
          <w:rFonts w:ascii="Times New Roman" w:hAnsi="Times New Roman" w:cs="Times New Roman"/>
          <w:b w:val="0"/>
          <w:color w:val="000000" w:themeColor="text1"/>
          <w:sz w:val="16"/>
          <w:szCs w:val="16"/>
        </w:rPr>
        <w:softHyphen/>
        <w:t>струменты, уезжая, французы забрали. Со</w:t>
      </w:r>
      <w:r w:rsidRPr="007122AB">
        <w:rPr>
          <w:rFonts w:ascii="Times New Roman" w:hAnsi="Times New Roman" w:cs="Times New Roman"/>
          <w:b w:val="0"/>
          <w:color w:val="000000" w:themeColor="text1"/>
          <w:sz w:val="16"/>
          <w:szCs w:val="16"/>
        </w:rPr>
        <w:softHyphen/>
        <w:t>гласно телеграммы начальника станции Нижне-Удинск, самолет оставлен там. Про</w:t>
      </w:r>
      <w:r w:rsidRPr="007122AB">
        <w:rPr>
          <w:rFonts w:ascii="Times New Roman" w:hAnsi="Times New Roman" w:cs="Times New Roman"/>
          <w:b w:val="0"/>
          <w:color w:val="000000" w:themeColor="text1"/>
          <w:sz w:val="16"/>
          <w:szCs w:val="16"/>
        </w:rPr>
        <w:softHyphen/>
        <w:t>шу Вашего разрешения о возможной перевоз</w:t>
      </w:r>
      <w:r w:rsidRPr="007122AB">
        <w:rPr>
          <w:rFonts w:ascii="Times New Roman" w:hAnsi="Times New Roman" w:cs="Times New Roman"/>
          <w:b w:val="0"/>
          <w:color w:val="000000" w:themeColor="text1"/>
          <w:sz w:val="16"/>
          <w:szCs w:val="16"/>
        </w:rPr>
        <w:softHyphen/>
        <w:t>ке самолета в Иркутск для осмотра и озна</w:t>
      </w:r>
      <w:r w:rsidRPr="007122AB">
        <w:rPr>
          <w:rFonts w:ascii="Times New Roman" w:hAnsi="Times New Roman" w:cs="Times New Roman"/>
          <w:b w:val="0"/>
          <w:color w:val="000000" w:themeColor="text1"/>
          <w:sz w:val="16"/>
          <w:szCs w:val="16"/>
        </w:rPr>
        <w:softHyphen/>
        <w:t>комления с конструкцией инженерно-тех</w:t>
      </w:r>
      <w:r w:rsidRPr="007122AB">
        <w:rPr>
          <w:rFonts w:ascii="Times New Roman" w:hAnsi="Times New Roman" w:cs="Times New Roman"/>
          <w:b w:val="0"/>
          <w:color w:val="000000" w:themeColor="text1"/>
          <w:sz w:val="16"/>
          <w:szCs w:val="16"/>
        </w:rPr>
        <w:softHyphen/>
        <w:t>нического состава. Если самолет остав</w:t>
      </w:r>
      <w:r w:rsidRPr="007122AB">
        <w:rPr>
          <w:rFonts w:ascii="Times New Roman" w:hAnsi="Times New Roman" w:cs="Times New Roman"/>
          <w:b w:val="0"/>
          <w:color w:val="000000" w:themeColor="text1"/>
          <w:sz w:val="16"/>
          <w:szCs w:val="16"/>
        </w:rPr>
        <w:softHyphen/>
        <w:t xml:space="preserve">лен — брошен вообще, оставили его нам, т.е. </w:t>
      </w:r>
      <w:proofErr w:type="spellStart"/>
      <w:r w:rsidRPr="007122AB">
        <w:rPr>
          <w:rFonts w:ascii="Times New Roman" w:hAnsi="Times New Roman" w:cs="Times New Roman"/>
          <w:b w:val="0"/>
          <w:color w:val="000000" w:themeColor="text1"/>
          <w:sz w:val="16"/>
          <w:szCs w:val="16"/>
        </w:rPr>
        <w:t>восточно-сибирскому</w:t>
      </w:r>
      <w:proofErr w:type="spellEnd"/>
      <w:r w:rsidRPr="007122AB">
        <w:rPr>
          <w:rFonts w:ascii="Times New Roman" w:hAnsi="Times New Roman" w:cs="Times New Roman"/>
          <w:b w:val="0"/>
          <w:color w:val="000000" w:themeColor="text1"/>
          <w:sz w:val="16"/>
          <w:szCs w:val="16"/>
        </w:rPr>
        <w:t xml:space="preserve"> управлению</w:t>
      </w:r>
      <w:r w:rsidRPr="007122AB">
        <w:rPr>
          <w:rStyle w:val="114"/>
          <w:rFonts w:eastAsia="Calibri"/>
          <w:b w:val="0"/>
          <w:i w:val="0"/>
          <w:color w:val="000000" w:themeColor="text1"/>
          <w:sz w:val="16"/>
          <w:szCs w:val="16"/>
        </w:rPr>
        <w:t xml:space="preserve"> (ГВФ</w:t>
      </w:r>
      <w:r w:rsidRPr="007122AB">
        <w:rPr>
          <w:rStyle w:val="115"/>
          <w:rFonts w:eastAsia="Calibri"/>
          <w:i w:val="0"/>
          <w:color w:val="000000" w:themeColor="text1"/>
          <w:sz w:val="16"/>
          <w:szCs w:val="16"/>
        </w:rPr>
        <w:t>)</w:t>
      </w:r>
      <w:r w:rsidRPr="007122AB">
        <w:rPr>
          <w:rFonts w:ascii="Times New Roman" w:hAnsi="Times New Roman" w:cs="Times New Roman"/>
          <w:b w:val="0"/>
          <w:color w:val="000000" w:themeColor="text1"/>
          <w:sz w:val="16"/>
          <w:szCs w:val="16"/>
        </w:rPr>
        <w:t xml:space="preserve"> на случай возможного ремонта в наших мастерских.»</w:t>
      </w:r>
    </w:p>
    <w:p w14:paraId="4CCDFEFD"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ответ </w:t>
      </w:r>
      <w:proofErr w:type="spellStart"/>
      <w:r w:rsidRPr="007122AB">
        <w:rPr>
          <w:rFonts w:ascii="Times New Roman" w:hAnsi="Times New Roman"/>
          <w:color w:val="000000" w:themeColor="text1"/>
          <w:sz w:val="16"/>
          <w:szCs w:val="16"/>
        </w:rPr>
        <w:t>Анвельт</w:t>
      </w:r>
      <w:proofErr w:type="spellEnd"/>
      <w:r w:rsidRPr="007122AB">
        <w:rPr>
          <w:rFonts w:ascii="Times New Roman" w:hAnsi="Times New Roman"/>
          <w:color w:val="000000" w:themeColor="text1"/>
          <w:sz w:val="16"/>
          <w:szCs w:val="16"/>
        </w:rPr>
        <w:t xml:space="preserve"> телеграммой от 8 авгу</w:t>
      </w:r>
      <w:r w:rsidRPr="007122AB">
        <w:rPr>
          <w:rFonts w:ascii="Times New Roman" w:hAnsi="Times New Roman"/>
          <w:color w:val="000000" w:themeColor="text1"/>
          <w:sz w:val="16"/>
          <w:szCs w:val="16"/>
        </w:rPr>
        <w:softHyphen/>
        <w:t>ста сообщал в Иркутск:</w:t>
      </w:r>
      <w:r w:rsidRPr="007122AB">
        <w:rPr>
          <w:rStyle w:val="aff5"/>
          <w:rFonts w:ascii="Times New Roman" w:eastAsia="Arial Unicode MS" w:hAnsi="Times New Roman" w:cs="Times New Roman"/>
          <w:i w:val="0"/>
          <w:color w:val="000000" w:themeColor="text1"/>
        </w:rPr>
        <w:t xml:space="preserve"> «...французский са</w:t>
      </w:r>
      <w:r w:rsidRPr="007122AB">
        <w:rPr>
          <w:rStyle w:val="aff5"/>
          <w:rFonts w:ascii="Times New Roman" w:eastAsia="Arial Unicode MS" w:hAnsi="Times New Roman" w:cs="Times New Roman"/>
          <w:i w:val="0"/>
          <w:color w:val="000000" w:themeColor="text1"/>
        </w:rPr>
        <w:softHyphen/>
        <w:t>молет доставьте в Москву».</w:t>
      </w:r>
    </w:p>
    <w:p w14:paraId="15BC0D59" w14:textId="77777777" w:rsidR="003562F3" w:rsidRPr="007122AB" w:rsidRDefault="003562F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Похоже, что советское правительство, не желавшее безучастно смотреть на про</w:t>
      </w:r>
      <w:r w:rsidRPr="007122AB">
        <w:rPr>
          <w:rFonts w:ascii="Times New Roman" w:hAnsi="Times New Roman"/>
          <w:color w:val="000000" w:themeColor="text1"/>
          <w:sz w:val="16"/>
          <w:szCs w:val="16"/>
        </w:rPr>
        <w:softHyphen/>
        <w:t>исходившие события, в августе 1931 го</w:t>
      </w:r>
      <w:r w:rsidRPr="007122AB">
        <w:rPr>
          <w:rFonts w:ascii="Times New Roman" w:hAnsi="Times New Roman"/>
          <w:color w:val="000000" w:themeColor="text1"/>
          <w:sz w:val="16"/>
          <w:szCs w:val="16"/>
        </w:rPr>
        <w:softHyphen/>
        <w:t xml:space="preserve">да (видимо, вскоре после ознакомления с останками </w:t>
      </w:r>
      <w:r w:rsidRPr="007122AB">
        <w:rPr>
          <w:rFonts w:ascii="Times New Roman" w:hAnsi="Times New Roman"/>
          <w:color w:val="000000" w:themeColor="text1"/>
          <w:sz w:val="16"/>
          <w:szCs w:val="16"/>
          <w:lang w:val="en-US"/>
        </w:rPr>
        <w:t>D</w:t>
      </w:r>
      <w:r w:rsidRPr="007122AB">
        <w:rPr>
          <w:rFonts w:ascii="Times New Roman" w:hAnsi="Times New Roman"/>
          <w:color w:val="000000" w:themeColor="text1"/>
          <w:sz w:val="16"/>
          <w:szCs w:val="16"/>
        </w:rPr>
        <w:t>-33) образовало при Реввоенсовете страны специальную комиссию по постройке самолета РД под руководством К.Е. Ворошилова (12725).</w:t>
      </w:r>
    </w:p>
    <w:p w14:paraId="6A58D636" w14:textId="77777777" w:rsidR="003562F3" w:rsidRPr="007122AB" w:rsidRDefault="003562F3" w:rsidP="007122AB">
      <w:pPr>
        <w:spacing w:after="0" w:line="240" w:lineRule="auto"/>
        <w:jc w:val="both"/>
        <w:rPr>
          <w:rFonts w:ascii="Times New Roman" w:hAnsi="Times New Roman"/>
          <w:color w:val="000000" w:themeColor="text1"/>
          <w:sz w:val="16"/>
          <w:szCs w:val="16"/>
        </w:rPr>
      </w:pPr>
    </w:p>
    <w:p w14:paraId="6D1ECF6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206761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ECE628"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12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147сс о приравнивании Толуолового завода к ударным стройкам (ГА РФ. Ф. Р?8418. Оп. 28. Д. 1а. Л. 37) (12415).</w:t>
      </w:r>
    </w:p>
    <w:p w14:paraId="07468744"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37C00369"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12 июля 1931 года было намечено начало пробега мотоциклов ХПСЗ. Для сравнения </w:t>
      </w:r>
      <w:proofErr w:type="spellStart"/>
      <w:r w:rsidRPr="007122AB">
        <w:rPr>
          <w:rFonts w:ascii="Times New Roman" w:hAnsi="Times New Roman"/>
          <w:color w:val="000000" w:themeColor="text1"/>
          <w:sz w:val="16"/>
          <w:szCs w:val="16"/>
        </w:rPr>
        <w:t>эксплуатацион-ных</w:t>
      </w:r>
      <w:proofErr w:type="spellEnd"/>
      <w:r w:rsidRPr="007122AB">
        <w:rPr>
          <w:rFonts w:ascii="Times New Roman" w:hAnsi="Times New Roman"/>
          <w:color w:val="000000" w:themeColor="text1"/>
          <w:sz w:val="16"/>
          <w:szCs w:val="16"/>
        </w:rPr>
        <w:t xml:space="preserve"> характеристик в пробеге уча-</w:t>
      </w:r>
      <w:proofErr w:type="spellStart"/>
      <w:r w:rsidRPr="007122AB">
        <w:rPr>
          <w:rFonts w:ascii="Times New Roman" w:hAnsi="Times New Roman"/>
          <w:color w:val="000000" w:themeColor="text1"/>
          <w:sz w:val="16"/>
          <w:szCs w:val="16"/>
        </w:rPr>
        <w:t>ствовали</w:t>
      </w:r>
      <w:proofErr w:type="spellEnd"/>
      <w:r w:rsidRPr="007122AB">
        <w:rPr>
          <w:rFonts w:ascii="Times New Roman" w:hAnsi="Times New Roman"/>
          <w:color w:val="000000" w:themeColor="text1"/>
          <w:sz w:val="16"/>
          <w:szCs w:val="16"/>
        </w:rPr>
        <w:t xml:space="preserve"> и заграничные модели, в том числе - однотипный с харь-</w:t>
      </w:r>
      <w:proofErr w:type="spellStart"/>
      <w:r w:rsidRPr="007122AB">
        <w:rPr>
          <w:rFonts w:ascii="Times New Roman" w:hAnsi="Times New Roman"/>
          <w:color w:val="000000" w:themeColor="text1"/>
          <w:sz w:val="16"/>
          <w:szCs w:val="16"/>
        </w:rPr>
        <w:t>ковским</w:t>
      </w:r>
      <w:proofErr w:type="spellEnd"/>
      <w:r w:rsidRPr="007122AB">
        <w:rPr>
          <w:rFonts w:ascii="Times New Roman" w:hAnsi="Times New Roman"/>
          <w:color w:val="000000" w:themeColor="text1"/>
          <w:sz w:val="16"/>
          <w:szCs w:val="16"/>
        </w:rPr>
        <w:t xml:space="preserve"> американский "Харлей-Дэвидсон" с объемом двигателя 350 </w:t>
      </w:r>
      <w:proofErr w:type="spellStart"/>
      <w:r w:rsidRPr="007122AB">
        <w:rPr>
          <w:rFonts w:ascii="Times New Roman" w:hAnsi="Times New Roman"/>
          <w:color w:val="000000" w:themeColor="text1"/>
          <w:sz w:val="16"/>
          <w:szCs w:val="16"/>
        </w:rPr>
        <w:t>куб.см</w:t>
      </w:r>
      <w:proofErr w:type="spellEnd"/>
      <w:r w:rsidRPr="007122AB">
        <w:rPr>
          <w:rFonts w:ascii="Times New Roman" w:hAnsi="Times New Roman"/>
          <w:color w:val="000000" w:themeColor="text1"/>
          <w:sz w:val="16"/>
          <w:szCs w:val="16"/>
        </w:rPr>
        <w:t xml:space="preserve">. Доверили пробег за-водским водителям Солдатенко, </w:t>
      </w:r>
      <w:proofErr w:type="spellStart"/>
      <w:r w:rsidRPr="007122AB">
        <w:rPr>
          <w:rFonts w:ascii="Times New Roman" w:hAnsi="Times New Roman"/>
          <w:color w:val="000000" w:themeColor="text1"/>
          <w:sz w:val="16"/>
          <w:szCs w:val="16"/>
        </w:rPr>
        <w:t>Двоименному</w:t>
      </w:r>
      <w:proofErr w:type="spellEnd"/>
      <w:r w:rsidRPr="007122AB">
        <w:rPr>
          <w:rFonts w:ascii="Times New Roman" w:hAnsi="Times New Roman"/>
          <w:color w:val="000000" w:themeColor="text1"/>
          <w:sz w:val="16"/>
          <w:szCs w:val="16"/>
        </w:rPr>
        <w:t xml:space="preserve">, Радионову, Ветчинкину. 12 июля на завод прибыли члены Правительства, </w:t>
      </w:r>
      <w:proofErr w:type="spellStart"/>
      <w:r w:rsidRPr="007122AB">
        <w:rPr>
          <w:rFonts w:ascii="Times New Roman" w:hAnsi="Times New Roman"/>
          <w:color w:val="000000" w:themeColor="text1"/>
          <w:sz w:val="16"/>
          <w:szCs w:val="16"/>
        </w:rPr>
        <w:t>предста-вители</w:t>
      </w:r>
      <w:proofErr w:type="spellEnd"/>
      <w:r w:rsidRPr="007122AB">
        <w:rPr>
          <w:rFonts w:ascii="Times New Roman" w:hAnsi="Times New Roman"/>
          <w:color w:val="000000" w:themeColor="text1"/>
          <w:sz w:val="16"/>
          <w:szCs w:val="16"/>
        </w:rPr>
        <w:t xml:space="preserve"> Укравтодора, </w:t>
      </w:r>
      <w:proofErr w:type="spellStart"/>
      <w:r w:rsidRPr="007122AB">
        <w:rPr>
          <w:rFonts w:ascii="Times New Roman" w:hAnsi="Times New Roman"/>
          <w:color w:val="000000" w:themeColor="text1"/>
          <w:sz w:val="16"/>
          <w:szCs w:val="16"/>
        </w:rPr>
        <w:t>Харьковс</w:t>
      </w:r>
      <w:proofErr w:type="spellEnd"/>
      <w:r w:rsidRPr="007122AB">
        <w:rPr>
          <w:rFonts w:ascii="Times New Roman" w:hAnsi="Times New Roman"/>
          <w:color w:val="000000" w:themeColor="text1"/>
          <w:sz w:val="16"/>
          <w:szCs w:val="16"/>
        </w:rPr>
        <w:t xml:space="preserve">-кого Автодора и правления </w:t>
      </w:r>
      <w:proofErr w:type="spellStart"/>
      <w:r w:rsidRPr="007122AB">
        <w:rPr>
          <w:rFonts w:ascii="Times New Roman" w:hAnsi="Times New Roman"/>
          <w:color w:val="000000" w:themeColor="text1"/>
          <w:sz w:val="16"/>
          <w:szCs w:val="16"/>
        </w:rPr>
        <w:t>УкрМЕТО</w:t>
      </w:r>
      <w:proofErr w:type="spellEnd"/>
      <w:r w:rsidRPr="007122AB">
        <w:rPr>
          <w:rFonts w:ascii="Times New Roman" w:hAnsi="Times New Roman"/>
          <w:color w:val="000000" w:themeColor="text1"/>
          <w:sz w:val="16"/>
          <w:szCs w:val="16"/>
        </w:rPr>
        <w:t xml:space="preserve">. Состоялось праздничное заседание. Была принята программа выпуска мотоциклов на второе полугодие в объеме 250 штук. Отмечая заслуги в </w:t>
      </w:r>
      <w:proofErr w:type="spellStart"/>
      <w:r w:rsidRPr="007122AB">
        <w:rPr>
          <w:rFonts w:ascii="Times New Roman" w:hAnsi="Times New Roman"/>
          <w:color w:val="000000" w:themeColor="text1"/>
          <w:sz w:val="16"/>
          <w:szCs w:val="16"/>
        </w:rPr>
        <w:t>органи-зации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мотостроения</w:t>
      </w:r>
      <w:proofErr w:type="spellEnd"/>
      <w:r w:rsidRPr="007122AB">
        <w:rPr>
          <w:rFonts w:ascii="Times New Roman" w:hAnsi="Times New Roman"/>
          <w:color w:val="000000" w:themeColor="text1"/>
          <w:sz w:val="16"/>
          <w:szCs w:val="16"/>
        </w:rPr>
        <w:t>, наградили орденами Ленина Водопьянова, Амирова и Солдатенко. Попов, Саламатов и Алексеев были пре-</w:t>
      </w:r>
      <w:proofErr w:type="spellStart"/>
      <w:r w:rsidRPr="007122AB">
        <w:rPr>
          <w:rFonts w:ascii="Times New Roman" w:hAnsi="Times New Roman"/>
          <w:color w:val="000000" w:themeColor="text1"/>
          <w:sz w:val="16"/>
          <w:szCs w:val="16"/>
        </w:rPr>
        <w:t>мированы</w:t>
      </w:r>
      <w:proofErr w:type="spellEnd"/>
      <w:r w:rsidRPr="007122AB">
        <w:rPr>
          <w:rFonts w:ascii="Times New Roman" w:hAnsi="Times New Roman"/>
          <w:color w:val="000000" w:themeColor="text1"/>
          <w:sz w:val="16"/>
          <w:szCs w:val="16"/>
        </w:rPr>
        <w:t xml:space="preserve">. Директор завода Амиров получил в подарок </w:t>
      </w:r>
      <w:proofErr w:type="spellStart"/>
      <w:r w:rsidRPr="007122AB">
        <w:rPr>
          <w:rFonts w:ascii="Times New Roman" w:hAnsi="Times New Roman"/>
          <w:color w:val="000000" w:themeColor="text1"/>
          <w:sz w:val="16"/>
          <w:szCs w:val="16"/>
        </w:rPr>
        <w:t>спортив-ный</w:t>
      </w:r>
      <w:proofErr w:type="spellEnd"/>
      <w:r w:rsidRPr="007122AB">
        <w:rPr>
          <w:rFonts w:ascii="Times New Roman" w:hAnsi="Times New Roman"/>
          <w:color w:val="000000" w:themeColor="text1"/>
          <w:sz w:val="16"/>
          <w:szCs w:val="16"/>
        </w:rPr>
        <w:t xml:space="preserve"> "Форд", а пятеро других </w:t>
      </w:r>
      <w:proofErr w:type="spellStart"/>
      <w:r w:rsidRPr="007122AB">
        <w:rPr>
          <w:rFonts w:ascii="Times New Roman" w:hAnsi="Times New Roman"/>
          <w:color w:val="000000" w:themeColor="text1"/>
          <w:sz w:val="16"/>
          <w:szCs w:val="16"/>
        </w:rPr>
        <w:t>ра-ботников</w:t>
      </w:r>
      <w:proofErr w:type="spellEnd"/>
      <w:r w:rsidRPr="007122AB">
        <w:rPr>
          <w:rFonts w:ascii="Times New Roman" w:hAnsi="Times New Roman"/>
          <w:color w:val="000000" w:themeColor="text1"/>
          <w:sz w:val="16"/>
          <w:szCs w:val="16"/>
        </w:rPr>
        <w:t xml:space="preserve"> - велосипеды. А в 18 часов был дан старт и мотоциклисты отправились по маршруту "Харьков-Москва-Ленинград-Псков-Витебск-Смоленск-Орел-Харьков" (11602).</w:t>
      </w:r>
    </w:p>
    <w:p w14:paraId="5C4FA677"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0C79B" w14:textId="79820DCE" w:rsidR="000F4C20" w:rsidRDefault="000F4C20"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791A8206" w14:textId="77777777" w:rsidR="000F4C20" w:rsidRDefault="000F4C20"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D5893C5" w14:textId="77777777" w:rsidR="000F4C20" w:rsidRPr="009F5089" w:rsidRDefault="000F4C20" w:rsidP="000F4C20">
      <w:pPr>
        <w:spacing w:after="0" w:line="240" w:lineRule="auto"/>
        <w:jc w:val="both"/>
        <w:rPr>
          <w:rFonts w:ascii="Times New Roman" w:hAnsi="Times New Roman"/>
          <w:color w:val="0070C0"/>
          <w:sz w:val="16"/>
          <w:szCs w:val="16"/>
        </w:rPr>
      </w:pPr>
      <w:r>
        <w:rPr>
          <w:rFonts w:ascii="Times New Roman" w:hAnsi="Times New Roman"/>
          <w:color w:val="0070C0"/>
          <w:sz w:val="16"/>
          <w:szCs w:val="16"/>
        </w:rPr>
        <w:t>12</w:t>
      </w:r>
      <w:r w:rsidRPr="009F5089">
        <w:rPr>
          <w:rFonts w:ascii="Times New Roman" w:hAnsi="Times New Roman"/>
          <w:color w:val="0070C0"/>
          <w:sz w:val="16"/>
          <w:szCs w:val="16"/>
        </w:rPr>
        <w:t xml:space="preserve"> июля</w:t>
      </w:r>
      <w:r>
        <w:rPr>
          <w:rFonts w:ascii="Times New Roman" w:hAnsi="Times New Roman"/>
          <w:color w:val="0070C0"/>
          <w:sz w:val="16"/>
          <w:szCs w:val="16"/>
        </w:rPr>
        <w:t xml:space="preserve"> 1931 г. в</w:t>
      </w:r>
      <w:r w:rsidRPr="009F5089">
        <w:rPr>
          <w:rFonts w:ascii="Times New Roman" w:hAnsi="Times New Roman"/>
          <w:color w:val="0070C0"/>
          <w:sz w:val="16"/>
          <w:szCs w:val="16"/>
        </w:rPr>
        <w:t xml:space="preserve"> районе ст.</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Алабьи</w:t>
      </w:r>
      <w:r>
        <w:rPr>
          <w:rFonts w:ascii="Times New Roman" w:hAnsi="Times New Roman"/>
          <w:color w:val="0070C0"/>
          <w:sz w:val="16"/>
          <w:szCs w:val="16"/>
        </w:rPr>
        <w:t>н</w:t>
      </w:r>
      <w:r w:rsidRPr="009F5089">
        <w:rPr>
          <w:rFonts w:ascii="Times New Roman" w:hAnsi="Times New Roman"/>
          <w:color w:val="0070C0"/>
          <w:sz w:val="16"/>
          <w:szCs w:val="16"/>
        </w:rPr>
        <w:t>о</w:t>
      </w:r>
      <w:proofErr w:type="spellEnd"/>
      <w:r w:rsidRPr="009F5089">
        <w:rPr>
          <w:rFonts w:ascii="Times New Roman" w:hAnsi="Times New Roman"/>
          <w:color w:val="0070C0"/>
          <w:sz w:val="16"/>
          <w:szCs w:val="16"/>
        </w:rPr>
        <w:t xml:space="preserve"> за</w:t>
      </w:r>
      <w:r>
        <w:rPr>
          <w:rFonts w:ascii="Times New Roman" w:hAnsi="Times New Roman"/>
          <w:color w:val="0070C0"/>
          <w:sz w:val="16"/>
          <w:szCs w:val="16"/>
        </w:rPr>
        <w:t>п</w:t>
      </w:r>
      <w:r w:rsidRPr="009F5089">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ж.д</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при вынужденной посадке самолета АНТ-9</w:t>
      </w:r>
      <w:r>
        <w:rPr>
          <w:rFonts w:ascii="Times New Roman" w:hAnsi="Times New Roman"/>
          <w:color w:val="0070C0"/>
          <w:sz w:val="16"/>
          <w:szCs w:val="16"/>
        </w:rPr>
        <w:t xml:space="preserve"> п</w:t>
      </w:r>
      <w:r w:rsidRPr="009F5089">
        <w:rPr>
          <w:rFonts w:ascii="Times New Roman" w:hAnsi="Times New Roman"/>
          <w:color w:val="0070C0"/>
          <w:sz w:val="16"/>
          <w:szCs w:val="16"/>
        </w:rPr>
        <w:t>роизошла тяжелая катастрофа. По гибло 5 человек</w:t>
      </w:r>
      <w:r>
        <w:rPr>
          <w:rFonts w:ascii="Times New Roman" w:hAnsi="Times New Roman"/>
          <w:color w:val="0070C0"/>
          <w:sz w:val="16"/>
          <w:szCs w:val="16"/>
        </w:rPr>
        <w:t xml:space="preserve"> эки</w:t>
      </w:r>
      <w:r w:rsidRPr="009F5089">
        <w:rPr>
          <w:rFonts w:ascii="Times New Roman" w:hAnsi="Times New Roman"/>
          <w:color w:val="0070C0"/>
          <w:sz w:val="16"/>
          <w:szCs w:val="16"/>
        </w:rPr>
        <w:t>пажа и три пассажира.</w:t>
      </w:r>
      <w:r>
        <w:rPr>
          <w:rFonts w:ascii="Times New Roman" w:hAnsi="Times New Roman"/>
          <w:color w:val="0070C0"/>
          <w:sz w:val="16"/>
          <w:szCs w:val="16"/>
        </w:rPr>
        <w:t xml:space="preserve"> </w:t>
      </w:r>
      <w:r w:rsidRPr="009F5089">
        <w:rPr>
          <w:rFonts w:ascii="Times New Roman" w:hAnsi="Times New Roman"/>
          <w:color w:val="0070C0"/>
          <w:sz w:val="16"/>
          <w:szCs w:val="16"/>
        </w:rPr>
        <w:t>Среди погибших были:</w:t>
      </w:r>
      <w:r>
        <w:rPr>
          <w:rFonts w:ascii="Times New Roman" w:hAnsi="Times New Roman"/>
          <w:color w:val="0070C0"/>
          <w:sz w:val="16"/>
          <w:szCs w:val="16"/>
        </w:rPr>
        <w:t xml:space="preserve"> </w:t>
      </w:r>
      <w:r w:rsidRPr="009F5089">
        <w:rPr>
          <w:rFonts w:ascii="Times New Roman" w:hAnsi="Times New Roman"/>
          <w:color w:val="0070C0"/>
          <w:sz w:val="16"/>
          <w:szCs w:val="16"/>
        </w:rPr>
        <w:t>командир корабля</w:t>
      </w:r>
      <w:r>
        <w:rPr>
          <w:rFonts w:ascii="Times New Roman" w:hAnsi="Times New Roman"/>
          <w:color w:val="0070C0"/>
          <w:sz w:val="16"/>
          <w:szCs w:val="16"/>
        </w:rPr>
        <w:t xml:space="preserve"> л</w:t>
      </w:r>
      <w:r w:rsidRPr="009F5089">
        <w:rPr>
          <w:rFonts w:ascii="Times New Roman" w:hAnsi="Times New Roman"/>
          <w:color w:val="0070C0"/>
          <w:sz w:val="16"/>
          <w:szCs w:val="16"/>
        </w:rPr>
        <w:t xml:space="preserve">етчик НИИ ВВС Степан Тимофеевич </w:t>
      </w:r>
      <w:proofErr w:type="spellStart"/>
      <w:r>
        <w:rPr>
          <w:rFonts w:ascii="Times New Roman" w:hAnsi="Times New Roman"/>
          <w:color w:val="0070C0"/>
          <w:sz w:val="16"/>
          <w:szCs w:val="16"/>
        </w:rPr>
        <w:t>Р</w:t>
      </w:r>
      <w:r w:rsidRPr="009F5089">
        <w:rPr>
          <w:rFonts w:ascii="Times New Roman" w:hAnsi="Times New Roman"/>
          <w:color w:val="0070C0"/>
          <w:sz w:val="16"/>
          <w:szCs w:val="16"/>
        </w:rPr>
        <w:t>ыбальчук</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заместитель нача</w:t>
      </w:r>
      <w:r>
        <w:rPr>
          <w:rFonts w:ascii="Times New Roman" w:hAnsi="Times New Roman"/>
          <w:color w:val="0070C0"/>
          <w:sz w:val="16"/>
          <w:szCs w:val="16"/>
        </w:rPr>
        <w:t>льни</w:t>
      </w:r>
      <w:r w:rsidRPr="009F5089">
        <w:rPr>
          <w:rFonts w:ascii="Times New Roman" w:hAnsi="Times New Roman"/>
          <w:color w:val="0070C0"/>
          <w:sz w:val="16"/>
          <w:szCs w:val="16"/>
        </w:rPr>
        <w:t xml:space="preserve">ка штаба РККА </w:t>
      </w:r>
      <w:proofErr w:type="spellStart"/>
      <w:r>
        <w:rPr>
          <w:rFonts w:ascii="Times New Roman" w:hAnsi="Times New Roman"/>
          <w:color w:val="0070C0"/>
          <w:sz w:val="16"/>
          <w:szCs w:val="16"/>
        </w:rPr>
        <w:t>В</w:t>
      </w:r>
      <w:r w:rsidRPr="009F5089">
        <w:rPr>
          <w:rFonts w:ascii="Times New Roman" w:hAnsi="Times New Roman"/>
          <w:color w:val="0070C0"/>
          <w:sz w:val="16"/>
          <w:szCs w:val="16"/>
        </w:rPr>
        <w:t>.К.Триандофилов</w:t>
      </w:r>
      <w:proofErr w:type="spellEnd"/>
      <w:r w:rsidRPr="009F5089">
        <w:rPr>
          <w:rFonts w:ascii="Times New Roman" w:hAnsi="Times New Roman"/>
          <w:color w:val="0070C0"/>
          <w:sz w:val="16"/>
          <w:szCs w:val="16"/>
        </w:rPr>
        <w:t>, заместитель начальника у</w:t>
      </w:r>
      <w:r>
        <w:rPr>
          <w:rFonts w:ascii="Times New Roman" w:hAnsi="Times New Roman"/>
          <w:color w:val="0070C0"/>
          <w:sz w:val="16"/>
          <w:szCs w:val="16"/>
        </w:rPr>
        <w:t xml:space="preserve">правления </w:t>
      </w:r>
      <w:r w:rsidRPr="009F5089">
        <w:rPr>
          <w:rFonts w:ascii="Times New Roman" w:hAnsi="Times New Roman"/>
          <w:color w:val="0070C0"/>
          <w:sz w:val="16"/>
          <w:szCs w:val="16"/>
        </w:rPr>
        <w:t xml:space="preserve">по механизации и моторизации Краснов армии </w:t>
      </w:r>
      <w:proofErr w:type="spellStart"/>
      <w:r w:rsidRPr="009F5089">
        <w:rPr>
          <w:rFonts w:ascii="Times New Roman" w:hAnsi="Times New Roman"/>
          <w:color w:val="0070C0"/>
          <w:sz w:val="16"/>
          <w:szCs w:val="16"/>
        </w:rPr>
        <w:t>К</w:t>
      </w:r>
      <w:r>
        <w:rPr>
          <w:rFonts w:ascii="Times New Roman" w:hAnsi="Times New Roman"/>
          <w:color w:val="0070C0"/>
          <w:sz w:val="16"/>
          <w:szCs w:val="16"/>
        </w:rPr>
        <w:t>.</w:t>
      </w:r>
      <w:r w:rsidRPr="009F5089">
        <w:rPr>
          <w:rFonts w:ascii="Times New Roman" w:hAnsi="Times New Roman"/>
          <w:color w:val="0070C0"/>
          <w:sz w:val="16"/>
          <w:szCs w:val="16"/>
        </w:rPr>
        <w:t>Б.Калиновский</w:t>
      </w:r>
      <w:proofErr w:type="spellEnd"/>
      <w:r w:rsidRPr="009F5089">
        <w:rPr>
          <w:rFonts w:ascii="Times New Roman" w:hAnsi="Times New Roman"/>
          <w:color w:val="0070C0"/>
          <w:sz w:val="16"/>
          <w:szCs w:val="16"/>
        </w:rPr>
        <w:t xml:space="preserve"> и др.</w:t>
      </w:r>
      <w:r>
        <w:rPr>
          <w:rFonts w:ascii="Times New Roman" w:hAnsi="Times New Roman"/>
          <w:color w:val="0070C0"/>
          <w:sz w:val="16"/>
          <w:szCs w:val="16"/>
        </w:rPr>
        <w:t xml:space="preserve"> </w:t>
      </w:r>
      <w:r w:rsidRPr="009F5089">
        <w:rPr>
          <w:rFonts w:ascii="Times New Roman" w:hAnsi="Times New Roman"/>
          <w:color w:val="0070C0"/>
          <w:sz w:val="16"/>
          <w:szCs w:val="16"/>
        </w:rPr>
        <w:t>Гибель восьми товарищей била тяжелой утратой для всей</w:t>
      </w:r>
      <w:r>
        <w:rPr>
          <w:rFonts w:ascii="Times New Roman" w:hAnsi="Times New Roman"/>
          <w:color w:val="0070C0"/>
          <w:sz w:val="16"/>
          <w:szCs w:val="16"/>
        </w:rPr>
        <w:t xml:space="preserve"> </w:t>
      </w:r>
      <w:r w:rsidRPr="009F5089">
        <w:rPr>
          <w:rFonts w:ascii="Times New Roman" w:hAnsi="Times New Roman"/>
          <w:color w:val="0070C0"/>
          <w:sz w:val="16"/>
          <w:szCs w:val="16"/>
        </w:rPr>
        <w:t>Красной армии</w:t>
      </w:r>
      <w:r>
        <w:rPr>
          <w:rFonts w:ascii="Times New Roman" w:hAnsi="Times New Roman"/>
          <w:color w:val="0070C0"/>
          <w:sz w:val="16"/>
          <w:szCs w:val="16"/>
        </w:rPr>
        <w:t>.</w:t>
      </w:r>
    </w:p>
    <w:p w14:paraId="1A29B0D4" w14:textId="77777777" w:rsidR="000F4C20" w:rsidRDefault="000F4C20" w:rsidP="000F4C2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/Приказ РВС СССР 9/2 от 13 июля 1931</w:t>
      </w:r>
      <w:r>
        <w:rPr>
          <w:rFonts w:ascii="Times New Roman" w:hAnsi="Times New Roman"/>
          <w:color w:val="0070C0"/>
          <w:sz w:val="16"/>
          <w:szCs w:val="16"/>
        </w:rPr>
        <w:t xml:space="preserve"> г.; «Известия ЦИК» </w:t>
      </w:r>
      <w:r w:rsidRPr="009F5089">
        <w:rPr>
          <w:rFonts w:ascii="Times New Roman" w:hAnsi="Times New Roman"/>
          <w:color w:val="0070C0"/>
          <w:sz w:val="16"/>
          <w:szCs w:val="16"/>
        </w:rPr>
        <w:t>з</w:t>
      </w:r>
      <w:r>
        <w:rPr>
          <w:rFonts w:ascii="Times New Roman" w:hAnsi="Times New Roman"/>
          <w:color w:val="0070C0"/>
          <w:sz w:val="16"/>
          <w:szCs w:val="16"/>
        </w:rPr>
        <w:t>а 14 июля 19</w:t>
      </w:r>
      <w:r w:rsidRPr="009F5089">
        <w:rPr>
          <w:rFonts w:ascii="Times New Roman" w:hAnsi="Times New Roman"/>
          <w:color w:val="0070C0"/>
          <w:sz w:val="16"/>
          <w:szCs w:val="16"/>
        </w:rPr>
        <w:t>31</w:t>
      </w:r>
      <w:r>
        <w:rPr>
          <w:rFonts w:ascii="Times New Roman" w:hAnsi="Times New Roman"/>
          <w:color w:val="0070C0"/>
          <w:sz w:val="16"/>
          <w:szCs w:val="16"/>
        </w:rPr>
        <w:t xml:space="preserve"> г.</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4C717AB3" w14:textId="77777777" w:rsidR="000F4C20" w:rsidRPr="009F5089" w:rsidRDefault="000F4C20" w:rsidP="000F4C20">
      <w:pPr>
        <w:spacing w:after="0" w:line="240" w:lineRule="auto"/>
        <w:jc w:val="both"/>
        <w:rPr>
          <w:rFonts w:ascii="Times New Roman" w:hAnsi="Times New Roman"/>
          <w:color w:val="0070C0"/>
          <w:sz w:val="16"/>
          <w:szCs w:val="16"/>
        </w:rPr>
      </w:pPr>
    </w:p>
    <w:p w14:paraId="76B1FC78" w14:textId="3936745A"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52F6E3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B186D8" w14:textId="77777777" w:rsidR="00472582" w:rsidRPr="007122AB" w:rsidRDefault="00472582"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12 июля 1931 в 4.43 из Парижа в Токио вылетел самолет «</w:t>
      </w:r>
      <w:proofErr w:type="spellStart"/>
      <w:r w:rsidRPr="007122AB">
        <w:rPr>
          <w:rFonts w:ascii="Times New Roman" w:hAnsi="Times New Roman"/>
          <w:color w:val="000000" w:themeColor="text1"/>
          <w:sz w:val="16"/>
          <w:szCs w:val="16"/>
          <w:shd w:val="clear" w:color="auto" w:fill="FFFFFF"/>
        </w:rPr>
        <w:t>Девуатин</w:t>
      </w:r>
      <w:proofErr w:type="spellEnd"/>
      <w:r w:rsidRPr="007122AB">
        <w:rPr>
          <w:rFonts w:ascii="Times New Roman" w:hAnsi="Times New Roman"/>
          <w:color w:val="000000" w:themeColor="text1"/>
          <w:sz w:val="16"/>
          <w:szCs w:val="16"/>
          <w:shd w:val="clear" w:color="auto" w:fill="FFFFFF"/>
        </w:rPr>
        <w:t>» D.33 (</w:t>
      </w:r>
      <w:proofErr w:type="spellStart"/>
      <w:r w:rsidRPr="007122AB">
        <w:rPr>
          <w:rFonts w:ascii="Times New Roman" w:hAnsi="Times New Roman"/>
          <w:color w:val="000000" w:themeColor="text1"/>
          <w:sz w:val="16"/>
          <w:szCs w:val="16"/>
          <w:shd w:val="clear" w:color="auto" w:fill="FFFFFF"/>
        </w:rPr>
        <w:t>Dewoitine</w:t>
      </w:r>
      <w:proofErr w:type="spellEnd"/>
      <w:r w:rsidRPr="007122AB">
        <w:rPr>
          <w:rFonts w:ascii="Times New Roman" w:hAnsi="Times New Roman"/>
          <w:color w:val="000000" w:themeColor="text1"/>
          <w:sz w:val="16"/>
          <w:szCs w:val="16"/>
          <w:shd w:val="clear" w:color="auto" w:fill="FFFFFF"/>
        </w:rPr>
        <w:t xml:space="preserve">), имеющий собственное имя «Le </w:t>
      </w:r>
      <w:proofErr w:type="spellStart"/>
      <w:r w:rsidRPr="007122AB">
        <w:rPr>
          <w:rFonts w:ascii="Times New Roman" w:hAnsi="Times New Roman"/>
          <w:color w:val="000000" w:themeColor="text1"/>
          <w:sz w:val="16"/>
          <w:szCs w:val="16"/>
          <w:shd w:val="clear" w:color="auto" w:fill="FFFFFF"/>
        </w:rPr>
        <w:t>Trait</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D'union</w:t>
      </w:r>
      <w:proofErr w:type="spellEnd"/>
      <w:r w:rsidRPr="007122AB">
        <w:rPr>
          <w:rFonts w:ascii="Times New Roman" w:hAnsi="Times New Roman"/>
          <w:color w:val="000000" w:themeColor="text1"/>
          <w:sz w:val="16"/>
          <w:szCs w:val="16"/>
          <w:shd w:val="clear" w:color="auto" w:fill="FFFFFF"/>
        </w:rPr>
        <w:t>». В состав его экипажа вошли известные французские авиаторы – Жозеф Ле Бри (</w:t>
      </w:r>
      <w:proofErr w:type="spellStart"/>
      <w:r w:rsidRPr="007122AB">
        <w:rPr>
          <w:rFonts w:ascii="Times New Roman" w:hAnsi="Times New Roman"/>
          <w:color w:val="000000" w:themeColor="text1"/>
          <w:sz w:val="16"/>
          <w:szCs w:val="16"/>
          <w:shd w:val="clear" w:color="auto" w:fill="FFFFFF"/>
        </w:rPr>
        <w:t>Joseph</w:t>
      </w:r>
      <w:proofErr w:type="spellEnd"/>
      <w:r w:rsidRPr="007122AB">
        <w:rPr>
          <w:rFonts w:ascii="Times New Roman" w:hAnsi="Times New Roman"/>
          <w:color w:val="000000" w:themeColor="text1"/>
          <w:sz w:val="16"/>
          <w:szCs w:val="16"/>
          <w:shd w:val="clear" w:color="auto" w:fill="FFFFFF"/>
        </w:rPr>
        <w:t xml:space="preserve"> Le </w:t>
      </w:r>
      <w:proofErr w:type="spellStart"/>
      <w:r w:rsidRPr="007122AB">
        <w:rPr>
          <w:rFonts w:ascii="Times New Roman" w:hAnsi="Times New Roman"/>
          <w:color w:val="000000" w:themeColor="text1"/>
          <w:sz w:val="16"/>
          <w:szCs w:val="16"/>
          <w:shd w:val="clear" w:color="auto" w:fill="FFFFFF"/>
        </w:rPr>
        <w:t>Brix</w:t>
      </w:r>
      <w:proofErr w:type="spellEnd"/>
      <w:r w:rsidRPr="007122AB">
        <w:rPr>
          <w:rFonts w:ascii="Times New Roman" w:hAnsi="Times New Roman"/>
          <w:color w:val="000000" w:themeColor="text1"/>
          <w:sz w:val="16"/>
          <w:szCs w:val="16"/>
          <w:shd w:val="clear" w:color="auto" w:fill="FFFFFF"/>
        </w:rPr>
        <w:t xml:space="preserve">), Марсель </w:t>
      </w:r>
      <w:proofErr w:type="spellStart"/>
      <w:r w:rsidRPr="007122AB">
        <w:rPr>
          <w:rFonts w:ascii="Times New Roman" w:hAnsi="Times New Roman"/>
          <w:color w:val="000000" w:themeColor="text1"/>
          <w:sz w:val="16"/>
          <w:szCs w:val="16"/>
          <w:shd w:val="clear" w:color="auto" w:fill="FFFFFF"/>
        </w:rPr>
        <w:t>Дорэ</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Marcel</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Doret</w:t>
      </w:r>
      <w:proofErr w:type="spellEnd"/>
      <w:r w:rsidRPr="007122AB">
        <w:rPr>
          <w:rFonts w:ascii="Times New Roman" w:hAnsi="Times New Roman"/>
          <w:color w:val="000000" w:themeColor="text1"/>
          <w:sz w:val="16"/>
          <w:szCs w:val="16"/>
          <w:shd w:val="clear" w:color="auto" w:fill="FFFFFF"/>
        </w:rPr>
        <w:t xml:space="preserve">) и Рене </w:t>
      </w:r>
      <w:proofErr w:type="spellStart"/>
      <w:r w:rsidRPr="007122AB">
        <w:rPr>
          <w:rFonts w:ascii="Times New Roman" w:hAnsi="Times New Roman"/>
          <w:color w:val="000000" w:themeColor="text1"/>
          <w:sz w:val="16"/>
          <w:szCs w:val="16"/>
          <w:shd w:val="clear" w:color="auto" w:fill="FFFFFF"/>
        </w:rPr>
        <w:t>Месмин</w:t>
      </w:r>
      <w:proofErr w:type="spellEnd"/>
      <w:r w:rsidRPr="007122AB">
        <w:rPr>
          <w:rFonts w:ascii="Times New Roman" w:hAnsi="Times New Roman"/>
          <w:color w:val="000000" w:themeColor="text1"/>
          <w:sz w:val="16"/>
          <w:szCs w:val="16"/>
          <w:shd w:val="clear" w:color="auto" w:fill="FFFFFF"/>
        </w:rPr>
        <w:t xml:space="preserve"> (Ren; </w:t>
      </w:r>
      <w:proofErr w:type="spellStart"/>
      <w:r w:rsidRPr="007122AB">
        <w:rPr>
          <w:rFonts w:ascii="Times New Roman" w:hAnsi="Times New Roman"/>
          <w:color w:val="000000" w:themeColor="text1"/>
          <w:sz w:val="16"/>
          <w:szCs w:val="16"/>
          <w:shd w:val="clear" w:color="auto" w:fill="FFFFFF"/>
        </w:rPr>
        <w:t>Mesmin</w:t>
      </w:r>
      <w:proofErr w:type="spellEnd"/>
      <w:r w:rsidRPr="007122AB">
        <w:rPr>
          <w:rFonts w:ascii="Times New Roman" w:hAnsi="Times New Roman"/>
          <w:color w:val="000000" w:themeColor="text1"/>
          <w:sz w:val="16"/>
          <w:szCs w:val="16"/>
          <w:shd w:val="clear" w:color="auto" w:fill="FFFFFF"/>
        </w:rPr>
        <w:t>). За месяц до описываемых событий, 10 июня им удалось на своем «</w:t>
      </w:r>
      <w:proofErr w:type="spellStart"/>
      <w:r w:rsidRPr="007122AB">
        <w:rPr>
          <w:rFonts w:ascii="Times New Roman" w:hAnsi="Times New Roman"/>
          <w:color w:val="000000" w:themeColor="text1"/>
          <w:sz w:val="16"/>
          <w:szCs w:val="16"/>
          <w:shd w:val="clear" w:color="auto" w:fill="FFFFFF"/>
        </w:rPr>
        <w:t>Девуатине</w:t>
      </w:r>
      <w:proofErr w:type="spellEnd"/>
      <w:r w:rsidRPr="007122AB">
        <w:rPr>
          <w:rFonts w:ascii="Times New Roman" w:hAnsi="Times New Roman"/>
          <w:color w:val="000000" w:themeColor="text1"/>
          <w:sz w:val="16"/>
          <w:szCs w:val="16"/>
          <w:shd w:val="clear" w:color="auto" w:fill="FFFFFF"/>
        </w:rPr>
        <w:t>» установить рекорд дальности полета по замкнутому маршруту. Они пролетели 10372 километра.</w:t>
      </w:r>
    </w:p>
    <w:p w14:paraId="0A8EE81C" w14:textId="77777777" w:rsidR="00472582" w:rsidRPr="007122AB" w:rsidRDefault="00472582"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В очередном полете, претендующим на рекорд, французский самолет без посадок прошел над Берлином, Кенигсбергом, Москвой, Нижним Новгородом, Свердловском и Красноярском, но вдруг над тайгой двигатель рекордного «</w:t>
      </w:r>
      <w:proofErr w:type="spellStart"/>
      <w:r w:rsidRPr="007122AB">
        <w:rPr>
          <w:rFonts w:ascii="Times New Roman" w:hAnsi="Times New Roman"/>
          <w:color w:val="000000" w:themeColor="text1"/>
          <w:sz w:val="16"/>
          <w:szCs w:val="16"/>
          <w:shd w:val="clear" w:color="auto" w:fill="FFFFFF"/>
        </w:rPr>
        <w:t>Девуатина</w:t>
      </w:r>
      <w:proofErr w:type="spellEnd"/>
      <w:r w:rsidRPr="007122AB">
        <w:rPr>
          <w:rFonts w:ascii="Times New Roman" w:hAnsi="Times New Roman"/>
          <w:color w:val="000000" w:themeColor="text1"/>
          <w:sz w:val="16"/>
          <w:szCs w:val="16"/>
          <w:shd w:val="clear" w:color="auto" w:fill="FFFFFF"/>
        </w:rPr>
        <w:t xml:space="preserve">» стал сдавать, и экипажу не осталось другого выбора, кроме как покинуть самолет. Ле Бри и </w:t>
      </w:r>
      <w:proofErr w:type="spellStart"/>
      <w:r w:rsidRPr="007122AB">
        <w:rPr>
          <w:rFonts w:ascii="Times New Roman" w:hAnsi="Times New Roman"/>
          <w:color w:val="000000" w:themeColor="text1"/>
          <w:sz w:val="16"/>
          <w:szCs w:val="16"/>
          <w:shd w:val="clear" w:color="auto" w:fill="FFFFFF"/>
        </w:rPr>
        <w:t>Месмин</w:t>
      </w:r>
      <w:proofErr w:type="spellEnd"/>
      <w:r w:rsidRPr="007122AB">
        <w:rPr>
          <w:rFonts w:ascii="Times New Roman" w:hAnsi="Times New Roman"/>
          <w:color w:val="000000" w:themeColor="text1"/>
          <w:sz w:val="16"/>
          <w:szCs w:val="16"/>
          <w:shd w:val="clear" w:color="auto" w:fill="FFFFFF"/>
        </w:rPr>
        <w:t xml:space="preserve"> воспользовались парашютами, в то время как Доре решил остаться на борту и попытаться спасти самолет. Пилоту это удалось лишь отчасти, хотя самолет при посадке на деревья разрушился, но сам Доре остался жив, получив легкие ранения. Авария произошла в 4 км от железнодорожной станции </w:t>
      </w:r>
      <w:proofErr w:type="spellStart"/>
      <w:r w:rsidRPr="007122AB">
        <w:rPr>
          <w:rFonts w:ascii="Times New Roman" w:hAnsi="Times New Roman"/>
          <w:color w:val="000000" w:themeColor="text1"/>
          <w:sz w:val="16"/>
          <w:szCs w:val="16"/>
          <w:shd w:val="clear" w:color="auto" w:fill="FFFFFF"/>
        </w:rPr>
        <w:t>Шиберта</w:t>
      </w:r>
      <w:proofErr w:type="spellEnd"/>
      <w:r w:rsidRPr="007122AB">
        <w:rPr>
          <w:rFonts w:ascii="Times New Roman" w:hAnsi="Times New Roman"/>
          <w:color w:val="000000" w:themeColor="text1"/>
          <w:sz w:val="16"/>
          <w:szCs w:val="16"/>
          <w:shd w:val="clear" w:color="auto" w:fill="FFFFFF"/>
        </w:rPr>
        <w:t xml:space="preserve"> (в 60 км от </w:t>
      </w:r>
      <w:proofErr w:type="spellStart"/>
      <w:r w:rsidRPr="007122AB">
        <w:rPr>
          <w:rFonts w:ascii="Times New Roman" w:hAnsi="Times New Roman"/>
          <w:color w:val="000000" w:themeColor="text1"/>
          <w:sz w:val="16"/>
          <w:szCs w:val="16"/>
          <w:shd w:val="clear" w:color="auto" w:fill="FFFFFF"/>
        </w:rPr>
        <w:t>Нжнеудинска</w:t>
      </w:r>
      <w:proofErr w:type="spellEnd"/>
      <w:r w:rsidRPr="007122AB">
        <w:rPr>
          <w:rFonts w:ascii="Times New Roman" w:hAnsi="Times New Roman"/>
          <w:color w:val="000000" w:themeColor="text1"/>
          <w:sz w:val="16"/>
          <w:szCs w:val="16"/>
          <w:shd w:val="clear" w:color="auto" w:fill="FFFFFF"/>
        </w:rPr>
        <w:t xml:space="preserve">). В тот же день авиаторы на мотодрезине добрались до Нижнеудинска, откуда отправились в Москву. 24 июля </w:t>
      </w:r>
      <w:proofErr w:type="spellStart"/>
      <w:r w:rsidRPr="007122AB">
        <w:rPr>
          <w:rFonts w:ascii="Times New Roman" w:hAnsi="Times New Roman"/>
          <w:color w:val="000000" w:themeColor="text1"/>
          <w:sz w:val="16"/>
          <w:szCs w:val="16"/>
          <w:shd w:val="clear" w:color="auto" w:fill="FFFFFF"/>
        </w:rPr>
        <w:t>Лебри</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Дорэ</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Месмин</w:t>
      </w:r>
      <w:proofErr w:type="spellEnd"/>
      <w:r w:rsidRPr="007122AB">
        <w:rPr>
          <w:rFonts w:ascii="Times New Roman" w:hAnsi="Times New Roman"/>
          <w:color w:val="000000" w:themeColor="text1"/>
          <w:sz w:val="16"/>
          <w:szCs w:val="16"/>
          <w:shd w:val="clear" w:color="auto" w:fill="FFFFFF"/>
        </w:rPr>
        <w:t xml:space="preserve"> выехали в Париж с намерением возобновить свой перелет на другом самолете.</w:t>
      </w:r>
    </w:p>
    <w:p w14:paraId="276B3345" w14:textId="77777777" w:rsidR="00472582" w:rsidRPr="007122AB" w:rsidRDefault="00472582"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На рассвете 11 сентября 1931 новый «</w:t>
      </w:r>
      <w:proofErr w:type="spellStart"/>
      <w:r w:rsidRPr="007122AB">
        <w:rPr>
          <w:rFonts w:ascii="Times New Roman" w:hAnsi="Times New Roman"/>
          <w:color w:val="000000" w:themeColor="text1"/>
          <w:sz w:val="16"/>
          <w:szCs w:val="16"/>
          <w:shd w:val="clear" w:color="auto" w:fill="FFFFFF"/>
        </w:rPr>
        <w:t>Девуатин</w:t>
      </w:r>
      <w:proofErr w:type="spellEnd"/>
      <w:r w:rsidRPr="007122AB">
        <w:rPr>
          <w:rFonts w:ascii="Times New Roman" w:hAnsi="Times New Roman"/>
          <w:color w:val="000000" w:themeColor="text1"/>
          <w:sz w:val="16"/>
          <w:szCs w:val="16"/>
          <w:shd w:val="clear" w:color="auto" w:fill="FFFFFF"/>
        </w:rPr>
        <w:t>» D.33 «</w:t>
      </w:r>
      <w:proofErr w:type="spellStart"/>
      <w:r w:rsidRPr="007122AB">
        <w:rPr>
          <w:rFonts w:ascii="Times New Roman" w:hAnsi="Times New Roman"/>
          <w:color w:val="000000" w:themeColor="text1"/>
          <w:sz w:val="16"/>
          <w:szCs w:val="16"/>
          <w:shd w:val="clear" w:color="auto" w:fill="FFFFFF"/>
        </w:rPr>
        <w:t>Trait</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d'Union</w:t>
      </w:r>
      <w:proofErr w:type="spellEnd"/>
      <w:r w:rsidRPr="007122AB">
        <w:rPr>
          <w:rFonts w:ascii="Times New Roman" w:hAnsi="Times New Roman"/>
          <w:color w:val="000000" w:themeColor="text1"/>
          <w:sz w:val="16"/>
          <w:szCs w:val="16"/>
          <w:shd w:val="clear" w:color="auto" w:fill="FFFFFF"/>
        </w:rPr>
        <w:t xml:space="preserve"> II» вылетел из Ле-Бурже в восточном направлении. Около 4000 км полет проходил нормально, но над Уральскими горами погода испортилась, появились плотная облачность, а двигатель самолета стал вибрировать и терять мощность. Вскоре вибрация опасно увеличилась. Можно предположить, что в результате вибрации произошло разрушение конструкции. Самолет стал неуправляемым и Доре приказал экипажу покинуть самолет, затем выпрыгнул сам. Марсель Доре приземлился в нескольких метрах от обломков самолета. Ле Бри же и </w:t>
      </w:r>
      <w:proofErr w:type="spellStart"/>
      <w:r w:rsidRPr="007122AB">
        <w:rPr>
          <w:rFonts w:ascii="Times New Roman" w:hAnsi="Times New Roman"/>
          <w:color w:val="000000" w:themeColor="text1"/>
          <w:sz w:val="16"/>
          <w:szCs w:val="16"/>
          <w:shd w:val="clear" w:color="auto" w:fill="FFFFFF"/>
        </w:rPr>
        <w:t>Месмин</w:t>
      </w:r>
      <w:proofErr w:type="spellEnd"/>
      <w:r w:rsidRPr="007122AB">
        <w:rPr>
          <w:rFonts w:ascii="Times New Roman" w:hAnsi="Times New Roman"/>
          <w:color w:val="000000" w:themeColor="text1"/>
          <w:sz w:val="16"/>
          <w:szCs w:val="16"/>
          <w:shd w:val="clear" w:color="auto" w:fill="FFFFFF"/>
        </w:rPr>
        <w:t>, по какой-то причине, остались на борту и погибли (21438).</w:t>
      </w:r>
    </w:p>
    <w:p w14:paraId="569AA147" w14:textId="77777777" w:rsidR="00472582" w:rsidRPr="007122AB" w:rsidRDefault="00472582" w:rsidP="007122AB">
      <w:pPr>
        <w:spacing w:after="0" w:line="240" w:lineRule="auto"/>
        <w:jc w:val="both"/>
        <w:rPr>
          <w:rFonts w:ascii="Times New Roman" w:hAnsi="Times New Roman"/>
          <w:color w:val="000000" w:themeColor="text1"/>
          <w:sz w:val="16"/>
          <w:szCs w:val="16"/>
          <w:shd w:val="clear" w:color="auto" w:fill="FFFFFF"/>
        </w:rPr>
      </w:pPr>
    </w:p>
    <w:p w14:paraId="27A53B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июля 1931 во Франции открыт памятник мушкетеру Д'Артаньяну (4962).</w:t>
      </w:r>
    </w:p>
    <w:p w14:paraId="08D67B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C413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D9EFFD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C90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июля 1931, 1 августа 1931 и в апреле 1932 был рассмотрен макет самолетов МИ3-2М34 опытный и дублер (7415, 16).</w:t>
      </w:r>
    </w:p>
    <w:p w14:paraId="26F19C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066E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13 июля 1931 были подготовлены Результаты полетных предварительных испытаний вооружения самолета ДИ-3, произведенных </w:t>
      </w:r>
      <w:proofErr w:type="spellStart"/>
      <w:r w:rsidRPr="007122AB">
        <w:rPr>
          <w:rFonts w:ascii="Times New Roman" w:hAnsi="Times New Roman"/>
          <w:color w:val="000000" w:themeColor="text1"/>
          <w:sz w:val="16"/>
          <w:szCs w:val="16"/>
        </w:rPr>
        <w:t>стрелк</w:t>
      </w:r>
      <w:proofErr w:type="spellEnd"/>
      <w:r w:rsidRPr="007122AB">
        <w:rPr>
          <w:rFonts w:ascii="Times New Roman" w:hAnsi="Times New Roman"/>
          <w:color w:val="000000" w:themeColor="text1"/>
          <w:sz w:val="16"/>
          <w:szCs w:val="16"/>
        </w:rPr>
        <w:t>. отд. 3-го отд. НИИ</w:t>
      </w:r>
    </w:p>
    <w:p w14:paraId="77D08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16AB3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Выявить удобство работы с турелью.</w:t>
      </w:r>
    </w:p>
    <w:p w14:paraId="407AAB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Надежность работы стопоров.</w:t>
      </w:r>
    </w:p>
    <w:p w14:paraId="3D0FD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Проверить работу ящика-кассеты.</w:t>
      </w:r>
    </w:p>
    <w:p w14:paraId="23F2A2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E3E27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кабины стрелка самолета ДИ-3 неудовлетворительное и может быть принято на вооружение предполагаемой серии самолета этого типа (3208,239).</w:t>
      </w:r>
    </w:p>
    <w:p w14:paraId="2176A9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F778BD"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13 июля 1931 года состоялся предварительный осмотр макета самолета АНТ-21, МИ-3 в ЦАГИ. В связи с рядом переделок предложенных макетной комиссией, окончательное принятие макета было </w:t>
      </w:r>
      <w:proofErr w:type="spellStart"/>
      <w:r w:rsidRPr="00441F34">
        <w:rPr>
          <w:rFonts w:ascii="Times New Roman" w:hAnsi="Times New Roman"/>
          <w:color w:val="0070C0"/>
          <w:sz w:val="16"/>
          <w:szCs w:val="16"/>
        </w:rPr>
        <w:t>npoизведено</w:t>
      </w:r>
      <w:proofErr w:type="spellEnd"/>
      <w:r w:rsidRPr="00441F34">
        <w:rPr>
          <w:rFonts w:ascii="Times New Roman" w:hAnsi="Times New Roman"/>
          <w:color w:val="0070C0"/>
          <w:sz w:val="16"/>
          <w:szCs w:val="16"/>
        </w:rPr>
        <w:t xml:space="preserve"> спустя два месяца, 3 го сентября 1931 года (23345).</w:t>
      </w:r>
    </w:p>
    <w:p w14:paraId="18DFAAF4" w14:textId="77777777" w:rsidR="00DE6D61" w:rsidRPr="00441F34" w:rsidRDefault="00DE6D61" w:rsidP="00DE6D61">
      <w:pPr>
        <w:spacing w:after="0" w:line="240" w:lineRule="auto"/>
        <w:jc w:val="both"/>
        <w:rPr>
          <w:rFonts w:ascii="Times New Roman" w:hAnsi="Times New Roman"/>
          <w:color w:val="0070C0"/>
          <w:sz w:val="16"/>
          <w:szCs w:val="16"/>
        </w:rPr>
      </w:pPr>
    </w:p>
    <w:p w14:paraId="57AE0045"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13 июля 1931состоялся первый осмотр макета машины МИ-3. Самолет был принят 3 сентября 1931г. после доработок по замечаниям макетной комиссии. Он имел </w:t>
      </w:r>
      <w:proofErr w:type="spellStart"/>
      <w:r w:rsidRPr="00441F34">
        <w:rPr>
          <w:rFonts w:ascii="Times New Roman" w:hAnsi="Times New Roman"/>
          <w:color w:val="0070C0"/>
          <w:sz w:val="16"/>
          <w:szCs w:val="16"/>
        </w:rPr>
        <w:t>двухкилевое</w:t>
      </w:r>
      <w:proofErr w:type="spellEnd"/>
      <w:r w:rsidRPr="00441F34">
        <w:rPr>
          <w:rFonts w:ascii="Times New Roman" w:hAnsi="Times New Roman"/>
          <w:color w:val="0070C0"/>
          <w:sz w:val="16"/>
          <w:szCs w:val="16"/>
        </w:rPr>
        <w:t xml:space="preserve"> вертикальное опере</w:t>
      </w:r>
      <w:r w:rsidRPr="00441F34">
        <w:rPr>
          <w:rFonts w:ascii="Times New Roman" w:hAnsi="Times New Roman"/>
          <w:color w:val="0070C0"/>
          <w:sz w:val="16"/>
          <w:szCs w:val="16"/>
        </w:rPr>
        <w:softHyphen/>
        <w:t>ние с большими рулями направления и низкорасположенный стабилизатор. Обшивка фюзеляжа была гладкой, а крыла и оперения — гофрированной. Машина имела значительно меньшие размеры, более мощные двигатели и улучшенную аэродинамику. Шасси стало убираю</w:t>
      </w:r>
      <w:r w:rsidRPr="00441F34">
        <w:rPr>
          <w:rFonts w:ascii="Times New Roman" w:hAnsi="Times New Roman"/>
          <w:color w:val="0070C0"/>
          <w:sz w:val="16"/>
          <w:szCs w:val="16"/>
        </w:rPr>
        <w:softHyphen/>
        <w:t>щимся, кабины экипажа — полузакры</w:t>
      </w:r>
      <w:r w:rsidRPr="00441F34">
        <w:rPr>
          <w:rFonts w:ascii="Times New Roman" w:hAnsi="Times New Roman"/>
          <w:color w:val="0070C0"/>
          <w:sz w:val="16"/>
          <w:szCs w:val="16"/>
        </w:rPr>
        <w:softHyphen/>
        <w:t>тыми.</w:t>
      </w:r>
    </w:p>
    <w:p w14:paraId="494D48A8"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Первый опытный самолет планиро</w:t>
      </w:r>
      <w:r w:rsidRPr="00441F34">
        <w:rPr>
          <w:rFonts w:ascii="Times New Roman" w:hAnsi="Times New Roman"/>
          <w:color w:val="0070C0"/>
          <w:sz w:val="16"/>
          <w:szCs w:val="16"/>
        </w:rPr>
        <w:softHyphen/>
        <w:t>валось вооружить шестью пулеметами калибра 7,62 мм: два ПВ—1 — в носовой установке, два неподвижных ПВ—1 — в корневых частях крыла, по одному пу</w:t>
      </w:r>
      <w:r w:rsidRPr="00441F34">
        <w:rPr>
          <w:rFonts w:ascii="Times New Roman" w:hAnsi="Times New Roman"/>
          <w:color w:val="0070C0"/>
          <w:sz w:val="16"/>
          <w:szCs w:val="16"/>
        </w:rPr>
        <w:softHyphen/>
        <w:t>лемету ПВ—1 или ДА — на средней и нижней подвижных установках.</w:t>
      </w:r>
    </w:p>
    <w:p w14:paraId="34E93CF5"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Постройка самолета потребовала проведения большого объема экспери</w:t>
      </w:r>
      <w:r w:rsidRPr="00441F34">
        <w:rPr>
          <w:rFonts w:ascii="Times New Roman" w:hAnsi="Times New Roman"/>
          <w:color w:val="0070C0"/>
          <w:sz w:val="16"/>
          <w:szCs w:val="16"/>
        </w:rPr>
        <w:softHyphen/>
        <w:t>ментальных работ по шасси и моторному оборудованию. Поэтому машина была готова только к 26 апреля 1933 г. Воору</w:t>
      </w:r>
      <w:r w:rsidRPr="00441F34">
        <w:rPr>
          <w:rFonts w:ascii="Times New Roman" w:hAnsi="Times New Roman"/>
          <w:color w:val="0070C0"/>
          <w:sz w:val="16"/>
          <w:szCs w:val="16"/>
        </w:rPr>
        <w:softHyphen/>
        <w:t>жение на ней не устанавливалось (23474).</w:t>
      </w:r>
    </w:p>
    <w:p w14:paraId="72D45A5E" w14:textId="77777777" w:rsidR="00DE6D61" w:rsidRPr="00441F34" w:rsidRDefault="00DE6D61" w:rsidP="00DE6D61">
      <w:pPr>
        <w:spacing w:after="0" w:line="240" w:lineRule="auto"/>
        <w:jc w:val="both"/>
        <w:rPr>
          <w:rFonts w:ascii="Times New Roman" w:hAnsi="Times New Roman"/>
          <w:color w:val="0070C0"/>
          <w:sz w:val="16"/>
          <w:szCs w:val="16"/>
        </w:rPr>
      </w:pPr>
    </w:p>
    <w:p w14:paraId="579BC068" w14:textId="77777777" w:rsidR="00DE6D61" w:rsidRPr="00441F34" w:rsidRDefault="00DE6D61" w:rsidP="00DE6D6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13 июля 1931 года состоялся предварительный осмотр макета самолета МИ-3 (АНТ-21). В связи с рядом переделок предложенных макетной комиссией, окончательное принятие макета МИ-3 (АНТ-21) было </w:t>
      </w:r>
      <w:proofErr w:type="spellStart"/>
      <w:r w:rsidRPr="00441F34">
        <w:rPr>
          <w:rFonts w:ascii="Times New Roman" w:hAnsi="Times New Roman"/>
          <w:color w:val="0070C0"/>
          <w:sz w:val="16"/>
          <w:szCs w:val="16"/>
        </w:rPr>
        <w:t>npoизведено</w:t>
      </w:r>
      <w:proofErr w:type="spellEnd"/>
      <w:r w:rsidRPr="00441F34">
        <w:rPr>
          <w:rFonts w:ascii="Times New Roman" w:hAnsi="Times New Roman"/>
          <w:color w:val="0070C0"/>
          <w:sz w:val="16"/>
          <w:szCs w:val="16"/>
        </w:rPr>
        <w:t xml:space="preserve"> спустя два месяца, 3 го сентября 1931 года (24197).</w:t>
      </w:r>
    </w:p>
    <w:p w14:paraId="0D314427" w14:textId="77777777" w:rsidR="00DE6D61" w:rsidRPr="00441F34" w:rsidRDefault="00DE6D61" w:rsidP="00DE6D61">
      <w:pPr>
        <w:spacing w:after="0" w:line="240" w:lineRule="auto"/>
        <w:jc w:val="both"/>
        <w:rPr>
          <w:rFonts w:ascii="Times New Roman" w:hAnsi="Times New Roman"/>
          <w:color w:val="0070C0"/>
          <w:sz w:val="16"/>
          <w:szCs w:val="16"/>
        </w:rPr>
      </w:pPr>
    </w:p>
    <w:p w14:paraId="6050E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13 июля по 13 августа 1931 г. И-5 прошел государственные испытания с положительной оценкой. Был сделан вывод о целесообразности принятия самоле</w:t>
      </w:r>
      <w:r w:rsidRPr="007122AB">
        <w:rPr>
          <w:rFonts w:ascii="Times New Roman" w:hAnsi="Times New Roman"/>
          <w:color w:val="000000" w:themeColor="text1"/>
          <w:sz w:val="16"/>
          <w:szCs w:val="16"/>
        </w:rPr>
        <w:softHyphen/>
        <w:t>та на вооружение ВВС РККА. Эта рекомендация «зад</w:t>
      </w:r>
      <w:r w:rsidRPr="007122AB">
        <w:rPr>
          <w:rFonts w:ascii="Times New Roman" w:hAnsi="Times New Roman"/>
          <w:color w:val="000000" w:themeColor="text1"/>
          <w:sz w:val="16"/>
          <w:szCs w:val="16"/>
        </w:rPr>
        <w:softHyphen/>
        <w:t>ним числом» официально утверждала уже принятое решение (10667).</w:t>
      </w:r>
    </w:p>
    <w:p w14:paraId="1A757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A00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13 июля по 13 августа 1931 проходили гос. испытания второго экземпляра И-5 и по результатам решили принять на вооружение (222,6).</w:t>
      </w:r>
    </w:p>
    <w:p w14:paraId="1F4015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93F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13 июля по 13 августа 1931 проходили гос. испытания самолета И5 - М22 N 21117 эталона на 1933 год</w:t>
      </w:r>
    </w:p>
    <w:p w14:paraId="5F5B3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испытания:</w:t>
      </w:r>
    </w:p>
    <w:p w14:paraId="48888D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399C8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w:t>
      </w:r>
      <w:proofErr w:type="spellStart"/>
      <w:r w:rsidRPr="007122AB">
        <w:rPr>
          <w:rFonts w:ascii="Times New Roman" w:hAnsi="Times New Roman"/>
          <w:color w:val="000000" w:themeColor="text1"/>
          <w:sz w:val="16"/>
          <w:szCs w:val="16"/>
        </w:rPr>
        <w:t>электровооружением</w:t>
      </w:r>
      <w:proofErr w:type="spellEnd"/>
      <w:r w:rsidRPr="007122AB">
        <w:rPr>
          <w:rFonts w:ascii="Times New Roman" w:hAnsi="Times New Roman"/>
          <w:color w:val="000000" w:themeColor="text1"/>
          <w:sz w:val="16"/>
          <w:szCs w:val="16"/>
        </w:rPr>
        <w:t xml:space="preserve">, новым подогревателем и заменой помпы АМ на помпу типа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w:t>
      </w:r>
    </w:p>
    <w:p w14:paraId="44AC53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2076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10A8D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И5 ЮVI</w:t>
      </w:r>
    </w:p>
    <w:p w14:paraId="37CF7F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N2 постройки ЦКБ - мотор Гном Рон _Юпитер_ VI 480 НР N 42071</w:t>
      </w:r>
    </w:p>
    <w:p w14:paraId="2E559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6B87B6D0" w14:textId="77777777">
        <w:tc>
          <w:tcPr>
            <w:tcW w:w="5636" w:type="dxa"/>
          </w:tcPr>
          <w:p w14:paraId="24C49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w:t>
            </w:r>
          </w:p>
        </w:tc>
        <w:tc>
          <w:tcPr>
            <w:tcW w:w="5636" w:type="dxa"/>
          </w:tcPr>
          <w:p w14:paraId="253489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июля 1931 года</w:t>
            </w:r>
          </w:p>
        </w:tc>
      </w:tr>
      <w:tr w:rsidR="001002C3" w:rsidRPr="007122AB" w14:paraId="0A805623" w14:textId="77777777">
        <w:tc>
          <w:tcPr>
            <w:tcW w:w="5636" w:type="dxa"/>
          </w:tcPr>
          <w:p w14:paraId="507D42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w:t>
            </w:r>
          </w:p>
        </w:tc>
        <w:tc>
          <w:tcPr>
            <w:tcW w:w="5636" w:type="dxa"/>
          </w:tcPr>
          <w:p w14:paraId="706FC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августа 1931 года</w:t>
            </w:r>
          </w:p>
        </w:tc>
      </w:tr>
      <w:tr w:rsidR="001002C3" w:rsidRPr="007122AB" w14:paraId="0791C3BE" w14:textId="77777777">
        <w:tc>
          <w:tcPr>
            <w:tcW w:w="5636" w:type="dxa"/>
          </w:tcPr>
          <w:p w14:paraId="787523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Летных дней </w:t>
            </w:r>
          </w:p>
        </w:tc>
        <w:tc>
          <w:tcPr>
            <w:tcW w:w="5636" w:type="dxa"/>
          </w:tcPr>
          <w:p w14:paraId="40CCB0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r>
    </w:tbl>
    <w:p w14:paraId="7E0F1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самолет находился на испытаниях 31 день.</w:t>
      </w:r>
    </w:p>
    <w:p w14:paraId="22FD2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3D62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произведенных испытаний НИИ считает:</w:t>
      </w:r>
    </w:p>
    <w:p w14:paraId="2AE20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самолет И-5 ЮVI, обладая хорошими летными и эксплуатационными данными может быть признан современным истребителем.</w:t>
      </w:r>
    </w:p>
    <w:p w14:paraId="3B384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7A083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729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и осенью 1931 г. балтийские ЮГ-1 приняли участие в войсковых испытаниях авиамин ВОМИЗА-100 (3224,15).</w:t>
      </w:r>
    </w:p>
    <w:p w14:paraId="2B5D6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88AE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13 июля по 9 октября 1931 самолеты Юг-1 сбросили 24 мины ВОМИЗА-100 с высот от 500 до 1500 м. В своем рапорте начальник Воздушных сил Балтийского моря Никифоров рекомендовал после устранения выявленных недостатков принять эту систему на вооружение (3224,15).</w:t>
      </w:r>
    </w:p>
    <w:p w14:paraId="289DE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E148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13 июля 1931 начался </w:t>
      </w:r>
      <w:proofErr w:type="spellStart"/>
      <w:r w:rsidRPr="007122AB">
        <w:rPr>
          <w:rFonts w:ascii="Times New Roman" w:hAnsi="Times New Roman"/>
          <w:color w:val="000000" w:themeColor="text1"/>
          <w:sz w:val="16"/>
          <w:szCs w:val="16"/>
        </w:rPr>
        <w:t>циел</w:t>
      </w:r>
      <w:proofErr w:type="spellEnd"/>
      <w:r w:rsidRPr="007122AB">
        <w:rPr>
          <w:rFonts w:ascii="Times New Roman" w:hAnsi="Times New Roman"/>
          <w:color w:val="000000" w:themeColor="text1"/>
          <w:sz w:val="16"/>
          <w:szCs w:val="16"/>
        </w:rPr>
        <w:t xml:space="preserve"> испытаний мин ВОМИЗА.</w:t>
      </w:r>
    </w:p>
    <w:p w14:paraId="79A3C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Первая советская авиационная мина называлась ВОМИЗА- 100. ВОМИЗА расшифровывалась как "воздушная </w:t>
      </w:r>
      <w:proofErr w:type="spellStart"/>
      <w:r w:rsidRPr="007122AB">
        <w:rPr>
          <w:rFonts w:ascii="Times New Roman" w:hAnsi="Times New Roman"/>
          <w:color w:val="000000" w:themeColor="text1"/>
          <w:sz w:val="16"/>
          <w:szCs w:val="16"/>
        </w:rPr>
        <w:t>МИна</w:t>
      </w:r>
      <w:proofErr w:type="spellEnd"/>
      <w:r w:rsidRPr="007122AB">
        <w:rPr>
          <w:rFonts w:ascii="Times New Roman" w:hAnsi="Times New Roman"/>
          <w:color w:val="000000" w:themeColor="text1"/>
          <w:sz w:val="16"/>
          <w:szCs w:val="16"/>
        </w:rPr>
        <w:t xml:space="preserve">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1C516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78EEE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Проектирование </w:t>
      </w:r>
      <w:proofErr w:type="spellStart"/>
      <w:r w:rsidRPr="007122AB">
        <w:rPr>
          <w:rFonts w:ascii="Times New Roman" w:hAnsi="Times New Roman"/>
          <w:color w:val="000000" w:themeColor="text1"/>
          <w:sz w:val="16"/>
          <w:szCs w:val="16"/>
        </w:rPr>
        <w:t>ВОМИЗы</w:t>
      </w:r>
      <w:proofErr w:type="spellEnd"/>
      <w:r w:rsidRPr="007122AB">
        <w:rPr>
          <w:rFonts w:ascii="Times New Roman" w:hAnsi="Times New Roman"/>
          <w:color w:val="000000" w:themeColor="text1"/>
          <w:sz w:val="16"/>
          <w:szCs w:val="16"/>
        </w:rPr>
        <w:t>-ЮО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0010E0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22744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w:t>
      </w:r>
      <w:proofErr w:type="spellStart"/>
      <w:r w:rsidRPr="007122AB">
        <w:rPr>
          <w:rFonts w:ascii="Times New Roman" w:hAnsi="Times New Roman"/>
          <w:color w:val="000000" w:themeColor="text1"/>
          <w:sz w:val="16"/>
          <w:szCs w:val="16"/>
        </w:rPr>
        <w:t>минрепом</w:t>
      </w:r>
      <w:proofErr w:type="spellEnd"/>
      <w:r w:rsidRPr="007122AB">
        <w:rPr>
          <w:rFonts w:ascii="Times New Roman" w:hAnsi="Times New Roman"/>
          <w:color w:val="000000" w:themeColor="text1"/>
          <w:sz w:val="16"/>
          <w:szCs w:val="16"/>
        </w:rPr>
        <w:t xml:space="preserve">. Устройство получилось достаточно громоздким - общая длина равнялась 3,5 м, так что поднять </w:t>
      </w:r>
      <w:proofErr w:type="spellStart"/>
      <w:r w:rsidRPr="007122AB">
        <w:rPr>
          <w:rFonts w:ascii="Times New Roman" w:hAnsi="Times New Roman"/>
          <w:color w:val="000000" w:themeColor="text1"/>
          <w:sz w:val="16"/>
          <w:szCs w:val="16"/>
        </w:rPr>
        <w:t>ВОМИЗу</w:t>
      </w:r>
      <w:proofErr w:type="spellEnd"/>
      <w:r w:rsidRPr="007122AB">
        <w:rPr>
          <w:rFonts w:ascii="Times New Roman" w:hAnsi="Times New Roman"/>
          <w:color w:val="000000" w:themeColor="text1"/>
          <w:sz w:val="16"/>
          <w:szCs w:val="16"/>
        </w:rPr>
        <w:t xml:space="preserve">-ЮО мог далеко не каждый самолет. Первые образцы мины переделывали в мастерских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w:t>
      </w:r>
    </w:p>
    <w:p w14:paraId="62A5C3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взяли из практики артиллерии, где их применяли в снарядах различных типов.</w:t>
      </w:r>
    </w:p>
    <w:p w14:paraId="0C4ADA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Когда трубки догорели, пороховые заряды в </w:t>
      </w:r>
      <w:proofErr w:type="spellStart"/>
      <w:r w:rsidRPr="007122AB">
        <w:rPr>
          <w:rFonts w:ascii="Times New Roman" w:hAnsi="Times New Roman"/>
          <w:color w:val="000000" w:themeColor="text1"/>
          <w:sz w:val="16"/>
          <w:szCs w:val="16"/>
        </w:rPr>
        <w:t>пирозамках</w:t>
      </w:r>
      <w:proofErr w:type="spellEnd"/>
      <w:r w:rsidRPr="007122AB">
        <w:rPr>
          <w:rFonts w:ascii="Times New Roman" w:hAnsi="Times New Roman"/>
          <w:color w:val="000000" w:themeColor="text1"/>
          <w:sz w:val="16"/>
          <w:szCs w:val="16"/>
        </w:rPr>
        <w:t xml:space="preserve">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w:t>
      </w:r>
      <w:r w:rsidRPr="007122AB">
        <w:rPr>
          <w:rFonts w:ascii="Times New Roman" w:hAnsi="Times New Roman"/>
          <w:color w:val="000000" w:themeColor="text1"/>
          <w:sz w:val="16"/>
          <w:szCs w:val="16"/>
        </w:rPr>
        <w:lastRenderedPageBreak/>
        <w:t>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2EB8AC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w:t>
      </w:r>
      <w:proofErr w:type="spellStart"/>
      <w:r w:rsidRPr="007122AB">
        <w:rPr>
          <w:rFonts w:ascii="Times New Roman" w:hAnsi="Times New Roman"/>
          <w:color w:val="000000" w:themeColor="text1"/>
          <w:sz w:val="16"/>
          <w:szCs w:val="16"/>
        </w:rPr>
        <w:t>расфиксировала</w:t>
      </w:r>
      <w:proofErr w:type="spellEnd"/>
      <w:r w:rsidRPr="007122AB">
        <w:rPr>
          <w:rFonts w:ascii="Times New Roman" w:hAnsi="Times New Roman"/>
          <w:color w:val="000000" w:themeColor="text1"/>
          <w:sz w:val="16"/>
          <w:szCs w:val="16"/>
        </w:rPr>
        <w:t xml:space="preserve">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w:t>
      </w:r>
      <w:proofErr w:type="spellStart"/>
      <w:r w:rsidRPr="007122AB">
        <w:rPr>
          <w:rFonts w:ascii="Times New Roman" w:hAnsi="Times New Roman"/>
          <w:color w:val="000000" w:themeColor="text1"/>
          <w:sz w:val="16"/>
          <w:szCs w:val="16"/>
        </w:rPr>
        <w:t>минрепом</w:t>
      </w:r>
      <w:proofErr w:type="spellEnd"/>
      <w:r w:rsidRPr="007122AB">
        <w:rPr>
          <w:rFonts w:ascii="Times New Roman" w:hAnsi="Times New Roman"/>
          <w:color w:val="000000" w:themeColor="text1"/>
          <w:sz w:val="16"/>
          <w:szCs w:val="16"/>
        </w:rPr>
        <w:t xml:space="preserve"> на заданном углублении. Последнее отслеживается с помощью гидростатической коробки, прекращающей вытравливание </w:t>
      </w:r>
      <w:proofErr w:type="spellStart"/>
      <w:r w:rsidRPr="007122AB">
        <w:rPr>
          <w:rFonts w:ascii="Times New Roman" w:hAnsi="Times New Roman"/>
          <w:color w:val="000000" w:themeColor="text1"/>
          <w:sz w:val="16"/>
          <w:szCs w:val="16"/>
        </w:rPr>
        <w:t>минрепа</w:t>
      </w:r>
      <w:proofErr w:type="spellEnd"/>
      <w:r w:rsidRPr="007122AB">
        <w:rPr>
          <w:rFonts w:ascii="Times New Roman" w:hAnsi="Times New Roman"/>
          <w:color w:val="000000" w:themeColor="text1"/>
          <w:sz w:val="16"/>
          <w:szCs w:val="16"/>
        </w:rPr>
        <w:t>.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DB54C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проводили на базе 62-й отдельной эскадрильи (эскадрилья имела по три ТБ-1а и ЮГ-1), дислоцировавшейся в Гребном порту в Ленинграде. До 9 октября самолеты сбросили 24 </w:t>
      </w:r>
      <w:proofErr w:type="spellStart"/>
      <w:r w:rsidRPr="007122AB">
        <w:rPr>
          <w:rFonts w:ascii="Times New Roman" w:hAnsi="Times New Roman"/>
          <w:color w:val="000000" w:themeColor="text1"/>
          <w:sz w:val="16"/>
          <w:szCs w:val="16"/>
        </w:rPr>
        <w:t>ВОМИЗы</w:t>
      </w:r>
      <w:proofErr w:type="spellEnd"/>
      <w:r w:rsidRPr="007122AB">
        <w:rPr>
          <w:rFonts w:ascii="Times New Roman" w:hAnsi="Times New Roman"/>
          <w:color w:val="000000" w:themeColor="text1"/>
          <w:sz w:val="16"/>
          <w:szCs w:val="16"/>
        </w:rPr>
        <w:t>, из них 17 - успешно. При высоте сброса до 500 м результаты были великолепными - 11 из 12, а самым проблемным оказался диапазон 1000-1500 м В трех случаях мины оторвались от парашютов - лопнула пайка тросов. Большая часть ВОМИЗ сбрасывалась "на всплытие" (без углубления), но всплыли не все. Причиной оказалось частичное растворение сахара при разбеге самолета. При небольшом волнении и даже в штиль мина, подвешенная под брюхом поплавкового "Юнкерса", забрызгивалась водой. Сахар при этом растворялся неравномерно, пружина перекашивалась, и в итоге расцепки не происходило.</w:t>
      </w:r>
    </w:p>
    <w:p w14:paraId="2F3AF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Детали парашютной системы после приводнения мины подбирали - для этой цели к коробке, крышке и колпаку крепили буйки. Все это использовалось повторно. Кое-что, конечно, безвозвратно утопили. Выяснилось, что более четырех-пяти сбрасываний шнуры-амортизаторы не выдерживают, выходят из строя.</w:t>
      </w:r>
    </w:p>
    <w:p w14:paraId="046700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самым больным местом оказалось крепление зарядной камеры мины. Удар о воду смещал ее, что могло впоследствии привести к тому, что она просто не взорвется. Особенно сильный удар имел место при затянутом горении дистанционных трубок, когда большие парашюты раскрывались с запозданием, и из-за этого скорость входа в воду превышала расчетные 25-30 м/с. Приличный удар получали и мины, приводнившиеся на гребень волны. Важной частью испытаний стал хронометраж процесса подвески мины под самолет. Команда из трех специалистов и четырех приданных им краснофлотцев тратила на это более двух с половиной часов. Час занимала сборка системы. К мине присоединяли парашютную коробку и регулировали длину сборки. Последнее было необходимо из-за значительной погрешности изготовления коробок - по документам допуск составлял до 100 мм. Затем уже собранный комплект грузили на бон и буксировали к самолету. Это "съедало" около 40 минут. Еще час уходил на собственно подвеску мины под мост, установку предохранительных защелок, укладку сахара в разъединитель и прибор малых глубин, пороховых зарядов в </w:t>
      </w:r>
      <w:proofErr w:type="spellStart"/>
      <w:r w:rsidRPr="007122AB">
        <w:rPr>
          <w:rFonts w:ascii="Times New Roman" w:hAnsi="Times New Roman"/>
          <w:color w:val="000000" w:themeColor="text1"/>
          <w:sz w:val="16"/>
          <w:szCs w:val="16"/>
        </w:rPr>
        <w:t>пирозамки</w:t>
      </w:r>
      <w:proofErr w:type="spellEnd"/>
      <w:r w:rsidRPr="007122AB">
        <w:rPr>
          <w:rFonts w:ascii="Times New Roman" w:hAnsi="Times New Roman"/>
          <w:color w:val="000000" w:themeColor="text1"/>
          <w:sz w:val="16"/>
          <w:szCs w:val="16"/>
        </w:rPr>
        <w:t xml:space="preserve"> и вставку дистанционных трубок. Непосредственно перед взлетом снимали предохранительные чеки (их было десять штук) (12002).</w:t>
      </w:r>
    </w:p>
    <w:p w14:paraId="7E7AB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BA8E1A"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13 июля по 9 октября 1931 самолеты ЮГ-1 в войсковых испытаниях авиамин ВОМИЗА-100сбросили 24 мины с высот от 500 до 1500 метров. В своем рапорте начальник Воздушных сил Балтийского моря Никифоров рекомендовал после устранения выявленных недостатков принять эту систему на вооружение. И действительно, в марте 1932 года мину ВОМИЗА-100 приняли на вооружение под названием МАВ-1. Но ЮГ-1 ее носителями фактически так и не стали (15478).</w:t>
      </w:r>
    </w:p>
    <w:p w14:paraId="43EA428D"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1929 года командование Воздушных сил Балтийского моря констатировало этот недостаток:</w:t>
      </w:r>
    </w:p>
    <w:p w14:paraId="0D080387"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бомбардировщики-торпедоносцы ЮГ-1, удовлетворительные по своим летным качествам, обладают недостаточной грузоподъемностью, что ограничивает радиус действия при необходимой нагрузке бомб или торпеды» (15479).</w:t>
      </w:r>
    </w:p>
    <w:p w14:paraId="077BFF87" w14:textId="77777777" w:rsidR="00D84D3F" w:rsidRPr="007122AB" w:rsidRDefault="00D84D3F" w:rsidP="007122AB">
      <w:pPr>
        <w:spacing w:after="0" w:line="240" w:lineRule="auto"/>
        <w:jc w:val="both"/>
        <w:rPr>
          <w:rFonts w:ascii="Times New Roman" w:hAnsi="Times New Roman"/>
          <w:color w:val="000000" w:themeColor="text1"/>
          <w:sz w:val="16"/>
          <w:szCs w:val="16"/>
        </w:rPr>
      </w:pPr>
    </w:p>
    <w:p w14:paraId="02CED82C" w14:textId="77777777" w:rsidR="005D6783" w:rsidRDefault="005D6783" w:rsidP="005D678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13 </w:t>
      </w:r>
      <w:r w:rsidRPr="009F5089">
        <w:rPr>
          <w:rFonts w:ascii="Times New Roman" w:hAnsi="Times New Roman"/>
          <w:color w:val="0070C0"/>
          <w:sz w:val="16"/>
          <w:szCs w:val="16"/>
        </w:rPr>
        <w:t>июля</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Центральный сов</w:t>
      </w:r>
      <w:r>
        <w:rPr>
          <w:rFonts w:ascii="Times New Roman" w:hAnsi="Times New Roman"/>
          <w:color w:val="0070C0"/>
          <w:sz w:val="16"/>
          <w:szCs w:val="16"/>
        </w:rPr>
        <w:t>е</w:t>
      </w:r>
      <w:r w:rsidRPr="009F5089">
        <w:rPr>
          <w:rFonts w:ascii="Times New Roman" w:hAnsi="Times New Roman"/>
          <w:color w:val="0070C0"/>
          <w:sz w:val="16"/>
          <w:szCs w:val="16"/>
        </w:rPr>
        <w:t xml:space="preserve">т </w:t>
      </w:r>
      <w:proofErr w:type="spellStart"/>
      <w:r w:rsidRPr="009F5089">
        <w:rPr>
          <w:rFonts w:ascii="Times New Roman" w:hAnsi="Times New Roman"/>
          <w:color w:val="0070C0"/>
          <w:sz w:val="16"/>
          <w:szCs w:val="16"/>
        </w:rPr>
        <w:t>О</w:t>
      </w:r>
      <w:r>
        <w:rPr>
          <w:rFonts w:ascii="Times New Roman" w:hAnsi="Times New Roman"/>
          <w:color w:val="0070C0"/>
          <w:sz w:val="16"/>
          <w:szCs w:val="16"/>
        </w:rPr>
        <w:t>с</w:t>
      </w:r>
      <w:r w:rsidRPr="009F5089">
        <w:rPr>
          <w:rFonts w:ascii="Times New Roman" w:hAnsi="Times New Roman"/>
          <w:color w:val="0070C0"/>
          <w:sz w:val="16"/>
          <w:szCs w:val="16"/>
        </w:rPr>
        <w:t>оа</w:t>
      </w:r>
      <w:r>
        <w:rPr>
          <w:rFonts w:ascii="Times New Roman" w:hAnsi="Times New Roman"/>
          <w:color w:val="0070C0"/>
          <w:sz w:val="16"/>
          <w:szCs w:val="16"/>
        </w:rPr>
        <w:t>в</w:t>
      </w:r>
      <w:r w:rsidRPr="009F5089">
        <w:rPr>
          <w:rFonts w:ascii="Times New Roman" w:hAnsi="Times New Roman"/>
          <w:color w:val="0070C0"/>
          <w:sz w:val="16"/>
          <w:szCs w:val="16"/>
        </w:rPr>
        <w:t>инхима</w:t>
      </w:r>
      <w:proofErr w:type="spellEnd"/>
      <w:r w:rsidRPr="009F5089">
        <w:rPr>
          <w:rFonts w:ascii="Times New Roman" w:hAnsi="Times New Roman"/>
          <w:color w:val="0070C0"/>
          <w:sz w:val="16"/>
          <w:szCs w:val="16"/>
        </w:rPr>
        <w:t xml:space="preserve"> внес 100.000 рублей</w:t>
      </w:r>
      <w:r>
        <w:rPr>
          <w:rFonts w:ascii="Times New Roman" w:hAnsi="Times New Roman"/>
          <w:color w:val="0070C0"/>
          <w:sz w:val="16"/>
          <w:szCs w:val="16"/>
        </w:rPr>
        <w:t xml:space="preserve"> в </w:t>
      </w:r>
      <w:r w:rsidRPr="009F5089">
        <w:rPr>
          <w:rFonts w:ascii="Times New Roman" w:hAnsi="Times New Roman"/>
          <w:color w:val="0070C0"/>
          <w:sz w:val="16"/>
          <w:szCs w:val="16"/>
        </w:rPr>
        <w:t xml:space="preserve">фонд «Обеспечения безопасности самолетовождения </w:t>
      </w:r>
      <w:r>
        <w:rPr>
          <w:rFonts w:ascii="Times New Roman" w:hAnsi="Times New Roman"/>
          <w:color w:val="0070C0"/>
          <w:sz w:val="16"/>
          <w:szCs w:val="16"/>
        </w:rPr>
        <w:t>имени</w:t>
      </w:r>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Tp</w:t>
      </w:r>
      <w:r>
        <w:rPr>
          <w:rFonts w:ascii="Times New Roman" w:hAnsi="Times New Roman"/>
          <w:color w:val="0070C0"/>
          <w:sz w:val="16"/>
          <w:szCs w:val="16"/>
        </w:rPr>
        <w:t>и</w:t>
      </w:r>
      <w:r w:rsidRPr="009F5089">
        <w:rPr>
          <w:rFonts w:ascii="Times New Roman" w:hAnsi="Times New Roman"/>
          <w:color w:val="0070C0"/>
          <w:sz w:val="16"/>
          <w:szCs w:val="16"/>
        </w:rPr>
        <w:t>a</w:t>
      </w:r>
      <w:r>
        <w:rPr>
          <w:rFonts w:ascii="Times New Roman" w:hAnsi="Times New Roman"/>
          <w:color w:val="0070C0"/>
          <w:sz w:val="16"/>
          <w:szCs w:val="16"/>
        </w:rPr>
        <w:t>ндоф</w:t>
      </w:r>
      <w:r w:rsidRPr="009F5089">
        <w:rPr>
          <w:rFonts w:ascii="Times New Roman" w:hAnsi="Times New Roman"/>
          <w:color w:val="0070C0"/>
          <w:sz w:val="16"/>
          <w:szCs w:val="16"/>
        </w:rPr>
        <w:t>илова</w:t>
      </w:r>
      <w:proofErr w:type="spellEnd"/>
      <w:r>
        <w:rPr>
          <w:rFonts w:ascii="Times New Roman" w:hAnsi="Times New Roman"/>
          <w:color w:val="0070C0"/>
          <w:sz w:val="16"/>
          <w:szCs w:val="16"/>
        </w:rPr>
        <w:t>»</w:t>
      </w:r>
      <w:r w:rsidRPr="009F5089">
        <w:rPr>
          <w:rFonts w:ascii="Times New Roman" w:hAnsi="Times New Roman"/>
          <w:color w:val="0070C0"/>
          <w:sz w:val="16"/>
          <w:szCs w:val="16"/>
        </w:rPr>
        <w:t>, погибшего при катастрофе самолета 12-го июля</w:t>
      </w:r>
      <w:r>
        <w:rPr>
          <w:rFonts w:ascii="Times New Roman" w:hAnsi="Times New Roman"/>
          <w:color w:val="0070C0"/>
          <w:sz w:val="16"/>
          <w:szCs w:val="16"/>
        </w:rPr>
        <w:t xml:space="preserve"> (23370).</w:t>
      </w:r>
    </w:p>
    <w:p w14:paraId="5447BD51" w14:textId="77777777" w:rsidR="005D6783" w:rsidRDefault="005D6783" w:rsidP="005D6783">
      <w:pPr>
        <w:spacing w:after="0" w:line="240" w:lineRule="auto"/>
        <w:jc w:val="both"/>
        <w:rPr>
          <w:rFonts w:ascii="Times New Roman" w:hAnsi="Times New Roman"/>
          <w:color w:val="0070C0"/>
          <w:sz w:val="16"/>
          <w:szCs w:val="16"/>
        </w:rPr>
      </w:pPr>
    </w:p>
    <w:p w14:paraId="3B069B56" w14:textId="77777777" w:rsidR="00D84D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781FC0D" w14:textId="77777777" w:rsidR="00D84D3F" w:rsidRPr="007122AB" w:rsidRDefault="00D84D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AF2EFB" w14:textId="77777777" w:rsidR="00D84D3F" w:rsidRPr="007122AB" w:rsidRDefault="00D84D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июля в 1931 году комиссия Народного Комиссариата тяжелой промышленности Союза СССР утвердила Устав "Государственного управления по стройке и временной эксплуатации Красноярского машиностроительного завода" - "</w:t>
      </w:r>
      <w:proofErr w:type="spellStart"/>
      <w:r w:rsidRPr="007122AB">
        <w:rPr>
          <w:rFonts w:ascii="Times New Roman" w:hAnsi="Times New Roman"/>
          <w:color w:val="000000" w:themeColor="text1"/>
          <w:sz w:val="16"/>
          <w:szCs w:val="16"/>
        </w:rPr>
        <w:t>Стройкрасмаш</w:t>
      </w:r>
      <w:proofErr w:type="spellEnd"/>
      <w:r w:rsidRPr="007122AB">
        <w:rPr>
          <w:rFonts w:ascii="Times New Roman" w:hAnsi="Times New Roman"/>
          <w:color w:val="000000" w:themeColor="text1"/>
          <w:sz w:val="16"/>
          <w:szCs w:val="16"/>
        </w:rPr>
        <w:t xml:space="preserve">" - ныне ФГУП "Красноярский машиностроительный завод". Начальником строительства и первым директором завода в ноябре 1932 года был назначен Субботин Александр Петрович. 23 июня 1933 года на месте, где проходил Великий Сибирский каторжный путь, был заложен корпус первого производственного цеха завода - цеха металлических конструкций. Строительство завода послужило началом основания и развития правобережной части города Красноярска. До 1941 года заводом изготавливались шахтные подъемные машины, шахтные лебедки, проходческие комбайны, врубовые машины, вагонетки, клети шахтные, скипы, копры, транспортеры и другое оборудование для золотодобывающей промышленности, катера, баржи, оборудование для нефтедобывающей промышленности и др. На январь 1941 года завод располагал приблизительно 300 единицами оборудования и 3600 рабочими. С началом войны завод перешел в подчинение Наркомата вооружения. В него влились эвакуированные из западных районов страны Коломенский завод имени Ворошилова, частично Ленинградские заводы "Арсенал" и "Большевик", Калужские и Сталинградские заводы. Основной продукцией завода стали автоматические зенитные пушки. Первый эшелон пушек 61-К из Красноярска на фронт был отправлен 15 ноября 1941 года. С ноября 1942 года по апрель 1946 года заводом руководил Хазанов Борис Абрамович. Выпуск вооружения за годы войны и боеприпасов увеличился в три раза, производительность труда увеличилась в 1,8 раза. 26 тысяч пушек различных систем, более 5 тысяч минометов, 220 тысяч крупных авиабомб, 3500 морских мин - таков вклад предприятия, работавшего под лозунгом: "Все для фронта, все для победы!", в победу разгром врага. За героический, самоотверженный труд в годы войны Указом Президиума Верховного Совета СССР от 16 сентября 1945 года завод был награжден орденом Ленина. 230 работников завода были награждены орденами и медалями Советского Союза. В 1949 году заводу было поручено серийное производство автоматических зенитных пушек С-60, а в 1956 - спаренных автоматических зенитных пушек для самоходной установки ЗСУ-57-2. Всего этих пушек было выпущено более 5300. С сентября 1953 года по июль 1966 года заводом руководил Сысоев Петр Александрович. В феврале 1958 года было принято решение о реконструкции завода под выпуск новой ракетно-космической техники. С 1959 по 1965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xml:space="preserve">. производственные площади завода увеличились втрое, численность работающих увеличилась вдвое, объем валовой продукции - в 3,3 раза, производительность труда и заработная плата возросли на 40%. В итоге было создано современное высокотехнологичное производство ракетно-космической техники и освоена первая баллистическая ракета 8К65, разработанная ОКБ-586 под руководством </w:t>
      </w:r>
      <w:proofErr w:type="spellStart"/>
      <w:r w:rsidRPr="007122AB">
        <w:rPr>
          <w:rFonts w:ascii="Times New Roman" w:hAnsi="Times New Roman"/>
          <w:color w:val="000000" w:themeColor="text1"/>
          <w:sz w:val="16"/>
          <w:szCs w:val="16"/>
        </w:rPr>
        <w:t>Янгеля</w:t>
      </w:r>
      <w:proofErr w:type="spellEnd"/>
      <w:r w:rsidRPr="007122AB">
        <w:rPr>
          <w:rFonts w:ascii="Times New Roman" w:hAnsi="Times New Roman"/>
          <w:color w:val="000000" w:themeColor="text1"/>
          <w:sz w:val="16"/>
          <w:szCs w:val="16"/>
        </w:rPr>
        <w:t xml:space="preserve"> М.К. В 1964 году завод приступил к освоению ракеты-носителя 11К65 для выведения на круговые орбиты легких спутников. Ракета была разработана ОКБ-10, под руководством Решетнева М.Ф. Ракета выпускалась заводом до 1971 года и была передана для производства на другой завод. С 1958 года завод приступил к выпуску ведущих мостов зерноуборочного комбайна СК-3. За три года их было изготовлено более 10000. В 1963 году на заводе приступили к созданию производства бытовых холодильников "Бирюса". В 1963 году на заводе приступили к созданию производства бытовых холодильников "Бирюса". В 1964 году их было выпущено 17 тысяч. В 70-х годах производство холодильников стало самым крупным в СССР и Европе. Годовой выпуск был доведен до 750 тысяч. В 1992 году производство холодильников было выделено в самостоятельный завод холодильников "Бирюса". Марка холодильника "Бирюса" была известна в 32-х странах мира. Указом Президиума Верховного Совета СССР от 26 июля 1966 года за заслуги в создании и производстве новой техники завод был награжден вторым орденом - Трудового Красного Знамени. В 1965 году завод начал сотрудничать с СКБ-385, руководимым Макеевым В.П. в деле создания отечественных баллистических ракет морского базирования. С 1965 по 1988 год завод совместно с СКБ-385 (позднее КБМ, ГРЦ имени Макеева В.П.) отработал и поставил на серийное производство четыре типа баллистических ракет для подводных лодок, которые заняли одно из важнейших мест в системе стратегических сил страны. С 1966 по 1970 год объем промышленной продукции вырос в 2,8 раза. Производительность труда выросла в 2,4 раза. Правительство высоко оценило труд коллектива завода и наградило его в 1971 году третьим орденом - Орденом Октябрьской Революции. С 1966 по 1969 год заводом руководил Гуров Борис Николаевич. С 1969 года по 1974 год директором завода был Котельников Владилен Петрович. Системное рассмотрение вопросов эффективности производства, внедрение новой техники и технологии, совершенствование организации и управления производством позволило в 1971 - 1975 годах увеличить объем производства еще на 167% . В феврале 1975 года завод был награжден четвертым орденом - Орденом Ленина. В 1975-2005 гг. завод возглавлял </w:t>
      </w:r>
      <w:proofErr w:type="spellStart"/>
      <w:r w:rsidRPr="007122AB">
        <w:rPr>
          <w:rFonts w:ascii="Times New Roman" w:hAnsi="Times New Roman"/>
          <w:color w:val="000000" w:themeColor="text1"/>
          <w:sz w:val="16"/>
          <w:szCs w:val="16"/>
        </w:rPr>
        <w:t>Гупалов</w:t>
      </w:r>
      <w:proofErr w:type="spellEnd"/>
      <w:r w:rsidRPr="007122AB">
        <w:rPr>
          <w:rFonts w:ascii="Times New Roman" w:hAnsi="Times New Roman"/>
          <w:color w:val="000000" w:themeColor="text1"/>
          <w:sz w:val="16"/>
          <w:szCs w:val="16"/>
        </w:rPr>
        <w:t xml:space="preserve"> Виктор Кириллович. Благодаря решению всего комплекса производственных, научно-технических и социальных задач, реализация планов технического перевооружения, внедрению вычислительной техники в 1976-1980 годах рост объемов производства составил 174,9%. При этом практически весь прирост выпуска продукции был обеспечен за счет роста производительности труда. В 1982 году завод был награжден пятым орденом - Орденом Трудового Красного Знамени. Каждый раз при награждении завода награждались Правительственными наградами и работники завода. Всего было награждено более 5000 </w:t>
      </w:r>
      <w:proofErr w:type="spellStart"/>
      <w:r w:rsidRPr="007122AB">
        <w:rPr>
          <w:rFonts w:ascii="Times New Roman" w:hAnsi="Times New Roman"/>
          <w:color w:val="000000" w:themeColor="text1"/>
          <w:sz w:val="16"/>
          <w:szCs w:val="16"/>
        </w:rPr>
        <w:t>красмашевцев</w:t>
      </w:r>
      <w:proofErr w:type="spellEnd"/>
      <w:r w:rsidRPr="007122AB">
        <w:rPr>
          <w:rFonts w:ascii="Times New Roman" w:hAnsi="Times New Roman"/>
          <w:color w:val="000000" w:themeColor="text1"/>
          <w:sz w:val="16"/>
          <w:szCs w:val="16"/>
        </w:rPr>
        <w:t xml:space="preserve">. В том числе звания Героя Социалистического труда были удостоены 11 человек. Лауреатами Сталинской премии стали 4 человека, лауреатами Государственной премии - 8 человек. Лауреатами Государственной премии стали 12 работников завода. С 1989 года завод начал выпускать базовые модули для разгонных блоков ракет-носителей "Протон" и "Зенит-3SL" (морской старт). Начиная с 1985 года завод, в порядке конверсии, разрабатывает и выпускает мясоперерабатывающее оборудование, термопластавтоматы, медицинский инструмент, теплообменное оборудование, оборудование для производства кремния и многое другое. Развитие производственных сил завода, повышение эффективности производства позволило решить многие социальные проблемы, что коренным образом изменило облик города. К 1990 году на балансе управления жилищно-коммунального хозяйства завода находилось более одного миллиона квадратных метров жилья. В 1999-2000 гг. на "Красноярском машиностроительном заводе", возобновлено производство БРПЛ РСМ-54, проведены опытно-конструкторские работы по модернизации изделий, и совместно с предприятиями кооперации начато их серийное производство. 10 января 2003 года за большой вклад в разработку и создание ракетно-космической техники Президент Российской Федерации В.В. Путин объявил коллективу ФГУП "Красмаш" благодарность. Большая группа </w:t>
      </w:r>
      <w:proofErr w:type="spellStart"/>
      <w:r w:rsidRPr="007122AB">
        <w:rPr>
          <w:rFonts w:ascii="Times New Roman" w:hAnsi="Times New Roman"/>
          <w:color w:val="000000" w:themeColor="text1"/>
          <w:sz w:val="16"/>
          <w:szCs w:val="16"/>
        </w:rPr>
        <w:t>красмашевцев</w:t>
      </w:r>
      <w:proofErr w:type="spellEnd"/>
      <w:r w:rsidRPr="007122AB">
        <w:rPr>
          <w:rFonts w:ascii="Times New Roman" w:hAnsi="Times New Roman"/>
          <w:color w:val="000000" w:themeColor="text1"/>
          <w:sz w:val="16"/>
          <w:szCs w:val="16"/>
        </w:rPr>
        <w:t xml:space="preserve"> была удостоена государственных наград </w:t>
      </w:r>
      <w:r w:rsidRPr="007122AB">
        <w:rPr>
          <w:rFonts w:ascii="Times New Roman" w:hAnsi="Times New Roman"/>
          <w:color w:val="000000" w:themeColor="text1"/>
          <w:sz w:val="16"/>
          <w:szCs w:val="16"/>
        </w:rPr>
        <w:lastRenderedPageBreak/>
        <w:t>Российской Федерации. Выпуская самое совершенное ракетное оружие морского базирования, являющееся основой стратегических ядерных сил сдерживания, коллектив предприятия продолжает наращивать номенклатуру и объем выпуска продукции гражданского назначения. Особое внимание при этом уделяется производству наукоемкого технологического оборудования для получения сверхчистых монокристаллических материалов из кремния и корунда. Одновременно продолжаются работы в области освоения и производства ракетно-космической техники - основного производственно-технологического направления деятельности предприятия. С августа 2005 года предприятие возглавляет генеральный директор кандидат технических наук, академик Международной инженерной академии Колмыков Владимир Афанасьевич (14951).</w:t>
      </w:r>
    </w:p>
    <w:p w14:paraId="7BAA05C2" w14:textId="77777777" w:rsidR="00D84D3F" w:rsidRPr="007122AB" w:rsidRDefault="00D84D3F" w:rsidP="007122AB">
      <w:pPr>
        <w:spacing w:after="0" w:line="240" w:lineRule="auto"/>
        <w:jc w:val="both"/>
        <w:rPr>
          <w:rFonts w:ascii="Times New Roman" w:hAnsi="Times New Roman"/>
          <w:color w:val="000000" w:themeColor="text1"/>
          <w:sz w:val="16"/>
          <w:szCs w:val="16"/>
        </w:rPr>
      </w:pPr>
    </w:p>
    <w:p w14:paraId="44ABD49E"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F089608"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706235"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13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148с об отпуске Наркомвоенмору ржи и пшеницы из урожая 1930 г. (ГА РФ. Ф. Р?8418. Оп. 28. Д. 1а. Л. 38) (12415).</w:t>
      </w:r>
    </w:p>
    <w:p w14:paraId="0D747907"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4853B8F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EECABA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8814B0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июля 1931 в Саскачеване (Канада) индейцы в нарушение канадских законов провели ритуальные танцы с целью вызова дождя и прекращения засухи (4962).</w:t>
      </w:r>
    </w:p>
    <w:p w14:paraId="432747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CB1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июля 1931 из-за банкротства немецкого «</w:t>
      </w:r>
      <w:proofErr w:type="spellStart"/>
      <w:r w:rsidRPr="007122AB">
        <w:rPr>
          <w:rFonts w:ascii="Times New Roman" w:hAnsi="Times New Roman"/>
          <w:color w:val="000000" w:themeColor="text1"/>
          <w:sz w:val="16"/>
          <w:szCs w:val="16"/>
        </w:rPr>
        <w:t>Данабанка</w:t>
      </w:r>
      <w:proofErr w:type="spellEnd"/>
      <w:r w:rsidRPr="007122AB">
        <w:rPr>
          <w:rFonts w:ascii="Times New Roman" w:hAnsi="Times New Roman"/>
          <w:color w:val="000000" w:themeColor="text1"/>
          <w:sz w:val="16"/>
          <w:szCs w:val="16"/>
        </w:rPr>
        <w:t>» все банки Германии остановили свою работу на месяц (4962).</w:t>
      </w:r>
    </w:p>
    <w:p w14:paraId="175C10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88D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июля 1931 рухнул крупнейший банк Германии </w:t>
      </w:r>
      <w:proofErr w:type="spellStart"/>
      <w:r w:rsidRPr="007122AB">
        <w:rPr>
          <w:rFonts w:ascii="Times New Roman" w:hAnsi="Times New Roman"/>
          <w:color w:val="000000" w:themeColor="text1"/>
          <w:sz w:val="16"/>
          <w:szCs w:val="16"/>
        </w:rPr>
        <w:t>Danabank</w:t>
      </w:r>
      <w:proofErr w:type="spellEnd"/>
      <w:r w:rsidRPr="007122AB">
        <w:rPr>
          <w:rFonts w:ascii="Times New Roman" w:hAnsi="Times New Roman"/>
          <w:color w:val="000000" w:themeColor="text1"/>
          <w:sz w:val="16"/>
          <w:szCs w:val="16"/>
        </w:rPr>
        <w:t>, что привело к закрытию всех немецких банков до 5 августа 1931 (2100).</w:t>
      </w:r>
    </w:p>
    <w:p w14:paraId="77695E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6467D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6F1055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65B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июля 1931 была большая демонстрация работ </w:t>
      </w:r>
      <w:proofErr w:type="spellStart"/>
      <w:r w:rsidRPr="007122AB">
        <w:rPr>
          <w:rFonts w:ascii="Times New Roman" w:hAnsi="Times New Roman"/>
          <w:color w:val="000000" w:themeColor="text1"/>
          <w:sz w:val="16"/>
          <w:szCs w:val="16"/>
        </w:rPr>
        <w:t>П.И.Гроховского</w:t>
      </w:r>
      <w:proofErr w:type="spellEnd"/>
      <w:r w:rsidRPr="007122AB">
        <w:rPr>
          <w:rFonts w:ascii="Times New Roman" w:hAnsi="Times New Roman"/>
          <w:color w:val="000000" w:themeColor="text1"/>
          <w:sz w:val="16"/>
          <w:szCs w:val="16"/>
        </w:rPr>
        <w:t xml:space="preserve"> в Москве. Он хотел прыгать в Форде на ЦА, чтобы подъехать к </w:t>
      </w:r>
      <w:proofErr w:type="spellStart"/>
      <w:r w:rsidRPr="007122AB">
        <w:rPr>
          <w:rFonts w:ascii="Times New Roman" w:hAnsi="Times New Roman"/>
          <w:color w:val="000000" w:themeColor="text1"/>
          <w:sz w:val="16"/>
          <w:szCs w:val="16"/>
        </w:rPr>
        <w:t>М.Н.Тухачевскому</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Буденому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М.Н.Тухачевский</w:t>
      </w:r>
      <w:proofErr w:type="spellEnd"/>
      <w:r w:rsidRPr="007122AB">
        <w:rPr>
          <w:rFonts w:ascii="Times New Roman" w:hAnsi="Times New Roman"/>
          <w:color w:val="000000" w:themeColor="text1"/>
          <w:sz w:val="16"/>
          <w:szCs w:val="16"/>
        </w:rPr>
        <w:t xml:space="preserve"> - запретил и действительно - парашют не раскрылся. Расследовал представитель ГПУ </w:t>
      </w:r>
      <w:proofErr w:type="spellStart"/>
      <w:r w:rsidRPr="007122AB">
        <w:rPr>
          <w:rFonts w:ascii="Times New Roman" w:hAnsi="Times New Roman"/>
          <w:color w:val="000000" w:themeColor="text1"/>
          <w:sz w:val="16"/>
          <w:szCs w:val="16"/>
        </w:rPr>
        <w:t>О.Н.Нежил</w:t>
      </w:r>
      <w:proofErr w:type="spellEnd"/>
      <w:r w:rsidRPr="007122AB">
        <w:rPr>
          <w:rFonts w:ascii="Times New Roman" w:hAnsi="Times New Roman"/>
          <w:color w:val="000000" w:themeColor="text1"/>
          <w:sz w:val="16"/>
          <w:szCs w:val="16"/>
        </w:rPr>
        <w:t xml:space="preserve"> - ошибка в методе (1101,95).</w:t>
      </w:r>
    </w:p>
    <w:p w14:paraId="040C2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7CED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июля 1931 с высоты 600 м совершила первый прыжок женщина - </w:t>
      </w:r>
      <w:proofErr w:type="spellStart"/>
      <w:r w:rsidRPr="007122AB">
        <w:rPr>
          <w:rFonts w:ascii="Times New Roman" w:hAnsi="Times New Roman"/>
          <w:color w:val="000000" w:themeColor="text1"/>
          <w:sz w:val="16"/>
          <w:szCs w:val="16"/>
        </w:rPr>
        <w:t>В.Кулешова</w:t>
      </w:r>
      <w:proofErr w:type="spellEnd"/>
      <w:r w:rsidRPr="007122AB">
        <w:rPr>
          <w:rFonts w:ascii="Times New Roman" w:hAnsi="Times New Roman"/>
          <w:color w:val="000000" w:themeColor="text1"/>
          <w:sz w:val="16"/>
          <w:szCs w:val="16"/>
        </w:rPr>
        <w:t xml:space="preserve"> (271,126).</w:t>
      </w:r>
    </w:p>
    <w:p w14:paraId="33AAD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4102C4" w14:textId="77777777" w:rsidR="00785E72" w:rsidRPr="007122AB" w:rsidRDefault="00785E7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июля в 1931 году с высоты 600 м совершила прыжок первая советская парашютистка </w:t>
      </w:r>
      <w:proofErr w:type="spellStart"/>
      <w:r w:rsidRPr="007122AB">
        <w:rPr>
          <w:rFonts w:ascii="Times New Roman" w:hAnsi="Times New Roman"/>
          <w:color w:val="000000" w:themeColor="text1"/>
          <w:sz w:val="16"/>
          <w:szCs w:val="16"/>
        </w:rPr>
        <w:t>В.Кулешова</w:t>
      </w:r>
      <w:proofErr w:type="spellEnd"/>
      <w:r w:rsidRPr="007122AB">
        <w:rPr>
          <w:rFonts w:ascii="Times New Roman" w:hAnsi="Times New Roman"/>
          <w:color w:val="000000" w:themeColor="text1"/>
          <w:sz w:val="16"/>
          <w:szCs w:val="16"/>
        </w:rPr>
        <w:t xml:space="preserve"> (14952).</w:t>
      </w:r>
    </w:p>
    <w:p w14:paraId="4813F4FD" w14:textId="77777777" w:rsidR="00785E72" w:rsidRPr="007122AB" w:rsidRDefault="00785E72" w:rsidP="007122AB">
      <w:pPr>
        <w:spacing w:after="0" w:line="240" w:lineRule="auto"/>
        <w:jc w:val="both"/>
        <w:rPr>
          <w:rFonts w:ascii="Times New Roman" w:hAnsi="Times New Roman"/>
          <w:color w:val="000000" w:themeColor="text1"/>
          <w:sz w:val="16"/>
          <w:szCs w:val="16"/>
        </w:rPr>
      </w:pPr>
    </w:p>
    <w:p w14:paraId="40AA7B4E"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74940AA"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42B817"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14 июля 1931</w:t>
      </w:r>
      <w:r w:rsidRPr="007122AB">
        <w:rPr>
          <w:rFonts w:ascii="Times New Roman" w:hAnsi="Times New Roman"/>
          <w:color w:val="000000" w:themeColor="text1"/>
          <w:sz w:val="16"/>
          <w:szCs w:val="16"/>
        </w:rPr>
        <w:t>Политбюро ЦК ВКП (б) приняло директивы по народнохозяйственному плану на 1932 г. и решение о командировании уполномоченных ЦК ВКП (б) на металлургические заводы объединения «Сталь» для улучшения организационно-хозяйственной работы; одобрило предложение ВСНХ и НКЗ о производстве на Саратовском заводе и заводе «Коммунар» комбайнов с 15-футовым захватом, а на Ростовском и Сибирском заводах - с 20-футовым (12265).</w:t>
      </w:r>
    </w:p>
    <w:p w14:paraId="1A9D0746"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52CD5C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41146B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D2418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июля 1931 в Бискайском заливе перевернулся вверх килем французский экскурсионный корабль «Сен-</w:t>
      </w:r>
      <w:proofErr w:type="spellStart"/>
      <w:r w:rsidRPr="007122AB">
        <w:rPr>
          <w:rFonts w:ascii="Times New Roman" w:hAnsi="Times New Roman"/>
          <w:color w:val="000000" w:themeColor="text1"/>
          <w:sz w:val="16"/>
          <w:szCs w:val="16"/>
        </w:rPr>
        <w:t>Филибер</w:t>
      </w:r>
      <w:proofErr w:type="spellEnd"/>
      <w:r w:rsidRPr="007122AB">
        <w:rPr>
          <w:rFonts w:ascii="Times New Roman" w:hAnsi="Times New Roman"/>
          <w:color w:val="000000" w:themeColor="text1"/>
          <w:sz w:val="16"/>
          <w:szCs w:val="16"/>
        </w:rPr>
        <w:t>», в результате чего погибли 500 человек (4962).</w:t>
      </w:r>
    </w:p>
    <w:p w14:paraId="7E280D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0184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5CF612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CE48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1931 г. на заседании Политбюро ЦК ВКП (б) было принято решение о строительстве Уфимского моторного завода. Башкирскому обкому партии поручили определить место его расположения. В Уфе к началу первой советской пятилетки существовало всего 19 промышленных предприятий. Большинство из них, исключая паровозоремонтный и </w:t>
      </w:r>
      <w:proofErr w:type="spellStart"/>
      <w:r w:rsidRPr="007122AB">
        <w:rPr>
          <w:rFonts w:ascii="Times New Roman" w:hAnsi="Times New Roman"/>
          <w:color w:val="000000" w:themeColor="text1"/>
          <w:sz w:val="16"/>
          <w:szCs w:val="16"/>
        </w:rPr>
        <w:t>госзавод</w:t>
      </w:r>
      <w:proofErr w:type="spellEnd"/>
      <w:r w:rsidRPr="007122AB">
        <w:rPr>
          <w:rFonts w:ascii="Times New Roman" w:hAnsi="Times New Roman"/>
          <w:color w:val="000000" w:themeColor="text1"/>
          <w:sz w:val="16"/>
          <w:szCs w:val="16"/>
        </w:rPr>
        <w:t xml:space="preserve"> № 1 (бывший Гутмана), были маломощными, с изношенным оборудованием, низкой энерговооруженностью труда. Рабочий класс столицы Башкирии насчитывал 8,5 тысячи рабочих и 145 инженерно-технических работников (только 25 из них имели высшее техническое образование). В резерве были 10 тысяч безработных, официально зарегистрированных на бирже труда.</w:t>
      </w:r>
    </w:p>
    <w:p w14:paraId="77B83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Через 10 дней, 25 июля, под стройку была отведена площадь возле села Богородское на реке Уфе, километрах в двадцати от центра города.</w:t>
      </w:r>
    </w:p>
    <w:p w14:paraId="70425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3C526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3FBF6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2C080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4C305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74B9C4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году был создан партком </w:t>
      </w:r>
      <w:proofErr w:type="spellStart"/>
      <w:r w:rsidRPr="007122AB">
        <w:rPr>
          <w:rFonts w:ascii="Times New Roman" w:hAnsi="Times New Roman"/>
          <w:color w:val="000000" w:themeColor="text1"/>
          <w:sz w:val="16"/>
          <w:szCs w:val="16"/>
        </w:rPr>
        <w:t>Моторостроя</w:t>
      </w:r>
      <w:proofErr w:type="spellEnd"/>
      <w:r w:rsidRPr="007122AB">
        <w:rPr>
          <w:rFonts w:ascii="Times New Roman" w:hAnsi="Times New Roman"/>
          <w:color w:val="000000" w:themeColor="text1"/>
          <w:sz w:val="16"/>
          <w:szCs w:val="16"/>
        </w:rPr>
        <w:t xml:space="preserve">. Секретарем парткома избрали Ф. В. </w:t>
      </w:r>
      <w:proofErr w:type="spellStart"/>
      <w:r w:rsidRPr="007122AB">
        <w:rPr>
          <w:rFonts w:ascii="Times New Roman" w:hAnsi="Times New Roman"/>
          <w:color w:val="000000" w:themeColor="text1"/>
          <w:sz w:val="16"/>
          <w:szCs w:val="16"/>
        </w:rPr>
        <w:t>Шагимарданова</w:t>
      </w:r>
      <w:proofErr w:type="spellEnd"/>
      <w:r w:rsidRPr="007122AB">
        <w:rPr>
          <w:rFonts w:ascii="Times New Roman" w:hAnsi="Times New Roman"/>
          <w:color w:val="000000" w:themeColor="text1"/>
          <w:sz w:val="16"/>
          <w:szCs w:val="16"/>
        </w:rPr>
        <w:t>.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15C25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w:t>
      </w:r>
      <w:proofErr w:type="spellStart"/>
      <w:r w:rsidRPr="007122AB">
        <w:rPr>
          <w:rFonts w:ascii="Times New Roman" w:hAnsi="Times New Roman"/>
          <w:color w:val="000000" w:themeColor="text1"/>
          <w:sz w:val="16"/>
          <w:szCs w:val="16"/>
        </w:rPr>
        <w:t>козоносы</w:t>
      </w:r>
      <w:proofErr w:type="spellEnd"/>
      <w:r w:rsidRPr="007122AB">
        <w:rPr>
          <w:rFonts w:ascii="Times New Roman" w:hAnsi="Times New Roman"/>
          <w:color w:val="000000" w:themeColor="text1"/>
          <w:sz w:val="16"/>
          <w:szCs w:val="16"/>
        </w:rPr>
        <w:t>. Так называли грузчиков, которые на «козе», закрепленной на спине, носили наверх кирпичи.</w:t>
      </w:r>
    </w:p>
    <w:p w14:paraId="5BB24D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626142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Первыми должны были ввести в строй </w:t>
      </w:r>
      <w:proofErr w:type="spellStart"/>
      <w:r w:rsidRPr="007122AB">
        <w:rPr>
          <w:rFonts w:ascii="Times New Roman" w:hAnsi="Times New Roman"/>
          <w:color w:val="000000" w:themeColor="text1"/>
          <w:sz w:val="16"/>
          <w:szCs w:val="16"/>
        </w:rPr>
        <w:t>малолитейный</w:t>
      </w:r>
      <w:proofErr w:type="spellEnd"/>
      <w:r w:rsidRPr="007122AB">
        <w:rPr>
          <w:rFonts w:ascii="Times New Roman" w:hAnsi="Times New Roman"/>
          <w:color w:val="000000" w:themeColor="text1"/>
          <w:sz w:val="16"/>
          <w:szCs w:val="16"/>
        </w:rPr>
        <w:t>, кузнечный и инструментальный цехи. С расчисткой площадки сразу же закладывались их фундаменты.</w:t>
      </w:r>
    </w:p>
    <w:p w14:paraId="482E7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Одновременно строилось жилье, почта, телеграф, телефонная станция, прокладывались шоссе до города Уфы, железная дорога от станции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w:t>
      </w:r>
    </w:p>
    <w:p w14:paraId="39D2D4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 xml:space="preserve"> возник большой палаточный городок. Весной 1935 года на стройку прибыл отряд казахов-кочевников (с семьями, на арбах, со своими верблюдами) во главе с </w:t>
      </w:r>
      <w:proofErr w:type="spellStart"/>
      <w:r w:rsidRPr="007122AB">
        <w:rPr>
          <w:rFonts w:ascii="Times New Roman" w:hAnsi="Times New Roman"/>
          <w:color w:val="000000" w:themeColor="text1"/>
          <w:sz w:val="16"/>
          <w:szCs w:val="16"/>
        </w:rPr>
        <w:t>Бетангалеевым</w:t>
      </w:r>
      <w:proofErr w:type="spellEnd"/>
      <w:r w:rsidRPr="007122AB">
        <w:rPr>
          <w:rFonts w:ascii="Times New Roman" w:hAnsi="Times New Roman"/>
          <w:color w:val="000000" w:themeColor="text1"/>
          <w:sz w:val="16"/>
          <w:szCs w:val="16"/>
        </w:rPr>
        <w:t>.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682FC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w:t>
      </w:r>
      <w:proofErr w:type="spellStart"/>
      <w:r w:rsidRPr="007122AB">
        <w:rPr>
          <w:rFonts w:ascii="Times New Roman" w:hAnsi="Times New Roman"/>
          <w:color w:val="000000" w:themeColor="text1"/>
          <w:sz w:val="16"/>
          <w:szCs w:val="16"/>
        </w:rPr>
        <w:t>Бетангалееву</w:t>
      </w:r>
      <w:proofErr w:type="spellEnd"/>
      <w:r w:rsidRPr="007122AB">
        <w:rPr>
          <w:rFonts w:ascii="Times New Roman" w:hAnsi="Times New Roman"/>
          <w:color w:val="000000" w:themeColor="text1"/>
          <w:sz w:val="16"/>
          <w:szCs w:val="16"/>
        </w:rPr>
        <w:t xml:space="preserve"> образцовую квартиру. Обставили ее мебелью — столы, стулья, кровати, шкафы, повесили оконные и дверные занавески, выдали постельное белье. </w:t>
      </w:r>
    </w:p>
    <w:p w14:paraId="0BFFF4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7552E7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w:t>
      </w:r>
      <w:proofErr w:type="spellStart"/>
      <w:r w:rsidRPr="007122AB">
        <w:rPr>
          <w:rFonts w:ascii="Times New Roman" w:hAnsi="Times New Roman"/>
          <w:color w:val="000000" w:themeColor="text1"/>
          <w:sz w:val="16"/>
          <w:szCs w:val="16"/>
        </w:rPr>
        <w:t>Мичугина</w:t>
      </w:r>
      <w:proofErr w:type="spellEnd"/>
      <w:r w:rsidRPr="007122AB">
        <w:rPr>
          <w:rFonts w:ascii="Times New Roman" w:hAnsi="Times New Roman"/>
          <w:color w:val="000000" w:themeColor="text1"/>
          <w:sz w:val="16"/>
          <w:szCs w:val="16"/>
        </w:rPr>
        <w:t xml:space="preserve"> из Магнитогорска. Она привезла с собой богатый опыт всесоюзной стройки. </w:t>
      </w:r>
    </w:p>
    <w:p w14:paraId="087F6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1B483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w:t>
      </w:r>
      <w:r w:rsidRPr="007122AB">
        <w:rPr>
          <w:rFonts w:ascii="Times New Roman" w:hAnsi="Times New Roman"/>
          <w:color w:val="000000" w:themeColor="text1"/>
          <w:sz w:val="16"/>
          <w:szCs w:val="16"/>
        </w:rPr>
        <w:lastRenderedPageBreak/>
        <w:t xml:space="preserve">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3D289C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59F66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5DF10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030A76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Интересна судьба </w:t>
      </w:r>
      <w:proofErr w:type="spellStart"/>
      <w:r w:rsidRPr="007122AB">
        <w:rPr>
          <w:rFonts w:ascii="Times New Roman" w:hAnsi="Times New Roman"/>
          <w:color w:val="000000" w:themeColor="text1"/>
          <w:sz w:val="16"/>
          <w:szCs w:val="16"/>
        </w:rPr>
        <w:t>Гатията</w:t>
      </w:r>
      <w:proofErr w:type="spellEnd"/>
      <w:r w:rsidRPr="007122AB">
        <w:rPr>
          <w:rFonts w:ascii="Times New Roman" w:hAnsi="Times New Roman"/>
          <w:color w:val="000000" w:themeColor="text1"/>
          <w:sz w:val="16"/>
          <w:szCs w:val="16"/>
        </w:rPr>
        <w:t xml:space="preserve"> Рахматуллина. На стройку он пришел в лаптях и онучах, в грубых самотканых портках. «Я знал только, как плести лапти да пастуший кнут», — рассказывал он позднее. </w:t>
      </w:r>
      <w:proofErr w:type="spellStart"/>
      <w:r w:rsidRPr="007122AB">
        <w:rPr>
          <w:rFonts w:ascii="Times New Roman" w:hAnsi="Times New Roman"/>
          <w:color w:val="000000" w:themeColor="text1"/>
          <w:sz w:val="16"/>
          <w:szCs w:val="16"/>
        </w:rPr>
        <w:t>Гатият</w:t>
      </w:r>
      <w:proofErr w:type="spellEnd"/>
      <w:r w:rsidRPr="007122AB">
        <w:rPr>
          <w:rFonts w:ascii="Times New Roman" w:hAnsi="Times New Roman"/>
          <w:color w:val="000000" w:themeColor="text1"/>
          <w:sz w:val="16"/>
          <w:szCs w:val="16"/>
        </w:rPr>
        <w:t xml:space="preserve"> научился писать и читать, стал комсомольцем, стахановцем. За первые три года освоил три специальности: каменщика, бетонщика и штукатура. </w:t>
      </w:r>
    </w:p>
    <w:p w14:paraId="4371A5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79F1BE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1938 году Москва снарядила </w:t>
      </w:r>
      <w:proofErr w:type="spellStart"/>
      <w:r w:rsidRPr="007122AB">
        <w:rPr>
          <w:rFonts w:ascii="Times New Roman" w:hAnsi="Times New Roman"/>
          <w:color w:val="000000" w:themeColor="text1"/>
          <w:sz w:val="16"/>
          <w:szCs w:val="16"/>
        </w:rPr>
        <w:t>агитсамолет</w:t>
      </w:r>
      <w:proofErr w:type="spellEnd"/>
      <w:r w:rsidRPr="007122AB">
        <w:rPr>
          <w:rFonts w:ascii="Times New Roman" w:hAnsi="Times New Roman"/>
          <w:color w:val="000000" w:themeColor="text1"/>
          <w:sz w:val="16"/>
          <w:szCs w:val="16"/>
        </w:rPr>
        <w:t xml:space="preserve"> «Крокодил» по маршруту: Москва — Орск — Магнитогорск — Уфа — Челябинск — Караганда — Кемерово — Новосибирск — Свердловск. На борту </w:t>
      </w:r>
      <w:proofErr w:type="spellStart"/>
      <w:r w:rsidRPr="007122AB">
        <w:rPr>
          <w:rFonts w:ascii="Times New Roman" w:hAnsi="Times New Roman"/>
          <w:color w:val="000000" w:themeColor="text1"/>
          <w:sz w:val="16"/>
          <w:szCs w:val="16"/>
        </w:rPr>
        <w:t>агитсамолета</w:t>
      </w:r>
      <w:proofErr w:type="spellEnd"/>
      <w:r w:rsidRPr="007122AB">
        <w:rPr>
          <w:rFonts w:ascii="Times New Roman" w:hAnsi="Times New Roman"/>
          <w:color w:val="000000" w:themeColor="text1"/>
          <w:sz w:val="16"/>
          <w:szCs w:val="16"/>
        </w:rPr>
        <w:t xml:space="preserve"> находились знатные труженики страны, знатоки своего дела, умельцы. Среди них был и </w:t>
      </w:r>
      <w:proofErr w:type="spellStart"/>
      <w:r w:rsidRPr="007122AB">
        <w:rPr>
          <w:rFonts w:ascii="Times New Roman" w:hAnsi="Times New Roman"/>
          <w:color w:val="000000" w:themeColor="text1"/>
          <w:sz w:val="16"/>
          <w:szCs w:val="16"/>
        </w:rPr>
        <w:t>Гатият</w:t>
      </w:r>
      <w:proofErr w:type="spellEnd"/>
      <w:r w:rsidRPr="007122AB">
        <w:rPr>
          <w:rFonts w:ascii="Times New Roman" w:hAnsi="Times New Roman"/>
          <w:color w:val="000000" w:themeColor="text1"/>
          <w:sz w:val="16"/>
          <w:szCs w:val="16"/>
        </w:rPr>
        <w:t>. Он обучил своим приемам 335 человек, и ЦК профсоюза строителей премировал его путевкой в Гагры.</w:t>
      </w:r>
    </w:p>
    <w:p w14:paraId="4A338F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3721A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2046B4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сентября 1934 года состоялся пуск </w:t>
      </w:r>
      <w:proofErr w:type="spellStart"/>
      <w:r w:rsidRPr="007122AB">
        <w:rPr>
          <w:rFonts w:ascii="Times New Roman" w:hAnsi="Times New Roman"/>
          <w:color w:val="000000" w:themeColor="text1"/>
          <w:sz w:val="16"/>
          <w:szCs w:val="16"/>
        </w:rPr>
        <w:t>малолитейного</w:t>
      </w:r>
      <w:proofErr w:type="spellEnd"/>
      <w:r w:rsidRPr="007122AB">
        <w:rPr>
          <w:rFonts w:ascii="Times New Roman" w:hAnsi="Times New Roman"/>
          <w:color w:val="000000" w:themeColor="text1"/>
          <w:sz w:val="16"/>
          <w:szCs w:val="16"/>
        </w:rPr>
        <w:t xml:space="preserve">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w:t>
      </w:r>
      <w:proofErr w:type="spellStart"/>
      <w:r w:rsidRPr="007122AB">
        <w:rPr>
          <w:rFonts w:ascii="Times New Roman" w:hAnsi="Times New Roman"/>
          <w:color w:val="000000" w:themeColor="text1"/>
          <w:sz w:val="16"/>
          <w:szCs w:val="16"/>
        </w:rPr>
        <w:t>БашЦИКа</w:t>
      </w:r>
      <w:proofErr w:type="spellEnd"/>
      <w:r w:rsidRPr="007122AB">
        <w:rPr>
          <w:rFonts w:ascii="Times New Roman" w:hAnsi="Times New Roman"/>
          <w:color w:val="000000" w:themeColor="text1"/>
          <w:sz w:val="16"/>
          <w:szCs w:val="16"/>
        </w:rPr>
        <w:t xml:space="preserve">, известный литератор </w:t>
      </w:r>
      <w:proofErr w:type="spellStart"/>
      <w:r w:rsidRPr="007122AB">
        <w:rPr>
          <w:rFonts w:ascii="Times New Roman" w:hAnsi="Times New Roman"/>
          <w:color w:val="000000" w:themeColor="text1"/>
          <w:sz w:val="16"/>
          <w:szCs w:val="16"/>
        </w:rPr>
        <w:t>Афзал</w:t>
      </w:r>
      <w:proofErr w:type="spellEnd"/>
      <w:r w:rsidRPr="007122AB">
        <w:rPr>
          <w:rFonts w:ascii="Times New Roman" w:hAnsi="Times New Roman"/>
          <w:color w:val="000000" w:themeColor="text1"/>
          <w:sz w:val="16"/>
          <w:szCs w:val="16"/>
        </w:rPr>
        <w:t xml:space="preserve"> Тагиров.</w:t>
      </w:r>
    </w:p>
    <w:p w14:paraId="539371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5A7B97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1935 году завод дал первые десять комбайновых моторов У-5 и пять дизель-моторов «</w:t>
      </w:r>
      <w:proofErr w:type="spellStart"/>
      <w:r w:rsidRPr="007122AB">
        <w:rPr>
          <w:rFonts w:ascii="Times New Roman" w:hAnsi="Times New Roman"/>
          <w:color w:val="000000" w:themeColor="text1"/>
          <w:sz w:val="16"/>
          <w:szCs w:val="16"/>
        </w:rPr>
        <w:t>Коджу</w:t>
      </w:r>
      <w:proofErr w:type="spellEnd"/>
      <w:r w:rsidRPr="007122AB">
        <w:rPr>
          <w:rFonts w:ascii="Times New Roman" w:hAnsi="Times New Roman"/>
          <w:color w:val="000000" w:themeColor="text1"/>
          <w:sz w:val="16"/>
          <w:szCs w:val="16"/>
        </w:rPr>
        <w:t>». Необходимо было организовать их серийный выпуск.</w:t>
      </w:r>
    </w:p>
    <w:p w14:paraId="527DD9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411638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0C925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652EED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54499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25CAE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68B3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июля 1931 года Тухачевскому была устроена демонстрация изобретений Гроховского в области воздушной пехоты. Была неудача с воздушными мешками, велосипедами и с орудием, которые Гроховский относил к недостаточному количеству испытаний на самолетах, которые ему не давались и тормозились зам. начальника НИИ Фроловским (6769, 29-31).</w:t>
      </w:r>
    </w:p>
    <w:p w14:paraId="6FCCD0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E89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1931 приказом начальника ВОГВФ был организован специальный отряд "Правда" для доставки матриц газет под командованием </w:t>
      </w:r>
      <w:proofErr w:type="spellStart"/>
      <w:r w:rsidRPr="007122AB">
        <w:rPr>
          <w:rFonts w:ascii="Times New Roman" w:hAnsi="Times New Roman"/>
          <w:color w:val="000000" w:themeColor="text1"/>
          <w:sz w:val="16"/>
          <w:szCs w:val="16"/>
        </w:rPr>
        <w:t>П.С.Никитченко</w:t>
      </w:r>
      <w:proofErr w:type="spellEnd"/>
      <w:r w:rsidRPr="007122AB">
        <w:rPr>
          <w:rFonts w:ascii="Times New Roman" w:hAnsi="Times New Roman"/>
          <w:color w:val="000000" w:themeColor="text1"/>
          <w:sz w:val="16"/>
          <w:szCs w:val="16"/>
        </w:rPr>
        <w:t xml:space="preserve"> и с августа стали доставлять (442,59).</w:t>
      </w:r>
    </w:p>
    <w:p w14:paraId="08D7B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4FB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был создан специальный авиаотряд для доставки матриц Правды в Ленинград, Харьков, Одессу,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xml:space="preserve"> на Дону, Казань, Баку, Тифлис, Свердловск и др. (446,365).</w:t>
      </w:r>
    </w:p>
    <w:p w14:paraId="4BD41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2E44BA" w14:textId="77777777" w:rsidR="00806BF6" w:rsidRPr="007122AB" w:rsidRDefault="00806BF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в 1931 году создан специальный отряд перевозки матриц газеты «Правда». В августе того же года матрицы "Правды" доставлялись уже в Ленинград, Харьков, Киев, Грозный, Одессу, Казань,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-на-Дону, Тифлис (Тбилиси), Свердловск (14953).</w:t>
      </w:r>
    </w:p>
    <w:p w14:paraId="640F6803" w14:textId="77777777" w:rsidR="00806BF6" w:rsidRPr="007122AB" w:rsidRDefault="00806BF6" w:rsidP="007122AB">
      <w:pPr>
        <w:spacing w:after="0" w:line="240" w:lineRule="auto"/>
        <w:jc w:val="both"/>
        <w:rPr>
          <w:rFonts w:ascii="Times New Roman" w:hAnsi="Times New Roman"/>
          <w:color w:val="000000" w:themeColor="text1"/>
          <w:sz w:val="16"/>
          <w:szCs w:val="16"/>
        </w:rPr>
      </w:pPr>
    </w:p>
    <w:p w14:paraId="3E163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1931 вышло решение ПБ о строительстве завода комбайновых моторов в Уфе - будущего завода № 26. Площадка у села Богородское в 18 км. От города. </w:t>
      </w:r>
      <w:proofErr w:type="spellStart"/>
      <w:r w:rsidRPr="007122AB">
        <w:rPr>
          <w:rFonts w:ascii="Times New Roman" w:hAnsi="Times New Roman"/>
          <w:color w:val="000000" w:themeColor="text1"/>
          <w:sz w:val="16"/>
          <w:szCs w:val="16"/>
        </w:rPr>
        <w:t>Переименовалив</w:t>
      </w:r>
      <w:proofErr w:type="spellEnd"/>
      <w:r w:rsidRPr="007122AB">
        <w:rPr>
          <w:rFonts w:ascii="Times New Roman" w:hAnsi="Times New Roman"/>
          <w:color w:val="000000" w:themeColor="text1"/>
          <w:sz w:val="16"/>
          <w:szCs w:val="16"/>
        </w:rPr>
        <w:t xml:space="preserve"> Моторный 6 августа (9088,177).</w:t>
      </w:r>
    </w:p>
    <w:p w14:paraId="74413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08D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1931г Начальником ГДЛ назначен </w:t>
      </w:r>
      <w:proofErr w:type="spellStart"/>
      <w:r w:rsidRPr="007122AB">
        <w:rPr>
          <w:rFonts w:ascii="Times New Roman" w:hAnsi="Times New Roman"/>
          <w:color w:val="000000" w:themeColor="text1"/>
          <w:sz w:val="16"/>
          <w:szCs w:val="16"/>
        </w:rPr>
        <w:t>Н.Я.Ильин</w:t>
      </w:r>
      <w:proofErr w:type="spellEnd"/>
      <w:r w:rsidRPr="007122AB">
        <w:rPr>
          <w:rFonts w:ascii="Times New Roman" w:hAnsi="Times New Roman"/>
          <w:color w:val="000000" w:themeColor="text1"/>
          <w:sz w:val="16"/>
          <w:szCs w:val="16"/>
        </w:rPr>
        <w:t xml:space="preserve"> (11330).</w:t>
      </w:r>
    </w:p>
    <w:p w14:paraId="62554D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9889F2"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1931 г. вышел приказ Начальника вооружений РККА о подчинении ГДЛ начальнику </w:t>
      </w:r>
      <w:proofErr w:type="spellStart"/>
      <w:r w:rsidRPr="007122AB">
        <w:rPr>
          <w:rFonts w:ascii="Times New Roman" w:hAnsi="Times New Roman"/>
          <w:color w:val="000000" w:themeColor="text1"/>
          <w:sz w:val="16"/>
          <w:szCs w:val="16"/>
        </w:rPr>
        <w:t>Техштаба</w:t>
      </w:r>
      <w:proofErr w:type="spellEnd"/>
      <w:r w:rsidRPr="007122AB">
        <w:rPr>
          <w:rFonts w:ascii="Times New Roman" w:hAnsi="Times New Roman"/>
          <w:color w:val="000000" w:themeColor="text1"/>
          <w:sz w:val="16"/>
          <w:szCs w:val="16"/>
        </w:rPr>
        <w:t xml:space="preserve"> Начальника вооружений РККА и о назначении начальником ГДЛ </w:t>
      </w:r>
      <w:proofErr w:type="spellStart"/>
      <w:r w:rsidRPr="007122AB">
        <w:rPr>
          <w:rFonts w:ascii="Times New Roman" w:hAnsi="Times New Roman"/>
          <w:color w:val="000000" w:themeColor="text1"/>
          <w:sz w:val="16"/>
          <w:szCs w:val="16"/>
        </w:rPr>
        <w:t>Н.Я.Ильина</w:t>
      </w:r>
      <w:proofErr w:type="spellEnd"/>
      <w:r w:rsidRPr="007122AB">
        <w:rPr>
          <w:rFonts w:ascii="Times New Roman" w:hAnsi="Times New Roman"/>
          <w:color w:val="000000" w:themeColor="text1"/>
          <w:sz w:val="16"/>
          <w:szCs w:val="16"/>
        </w:rPr>
        <w:t xml:space="preserve">, сохранившего за собой </w:t>
      </w:r>
      <w:proofErr w:type="spellStart"/>
      <w:r w:rsidRPr="007122AB">
        <w:rPr>
          <w:rFonts w:ascii="Times New Roman" w:hAnsi="Times New Roman"/>
          <w:color w:val="000000" w:themeColor="text1"/>
          <w:sz w:val="16"/>
          <w:szCs w:val="16"/>
        </w:rPr>
        <w:t>долж¬ность</w:t>
      </w:r>
      <w:proofErr w:type="spellEnd"/>
      <w:r w:rsidRPr="007122AB">
        <w:rPr>
          <w:rFonts w:ascii="Times New Roman" w:hAnsi="Times New Roman"/>
          <w:color w:val="000000" w:themeColor="text1"/>
          <w:sz w:val="16"/>
          <w:szCs w:val="16"/>
        </w:rPr>
        <w:t xml:space="preserve"> уполномоченного Начальника вооружений РККА.</w:t>
      </w:r>
    </w:p>
    <w:p w14:paraId="5FF0FC60"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Уже к 1 апреля 1932 г. ГДЛ под руководством </w:t>
      </w:r>
      <w:proofErr w:type="spellStart"/>
      <w:r w:rsidRPr="007122AB">
        <w:rPr>
          <w:rFonts w:ascii="Times New Roman" w:hAnsi="Times New Roman"/>
          <w:color w:val="000000" w:themeColor="text1"/>
          <w:sz w:val="16"/>
          <w:szCs w:val="16"/>
        </w:rPr>
        <w:t>Н.Я.Ильина</w:t>
      </w:r>
      <w:proofErr w:type="spellEnd"/>
      <w:r w:rsidRPr="007122AB">
        <w:rPr>
          <w:rFonts w:ascii="Times New Roman" w:hAnsi="Times New Roman"/>
          <w:color w:val="000000" w:themeColor="text1"/>
          <w:sz w:val="16"/>
          <w:szCs w:val="16"/>
        </w:rPr>
        <w:t xml:space="preserve"> имела ряд достижений, а именно:</w:t>
      </w:r>
    </w:p>
    <w:p w14:paraId="3B0EEBA2"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132 мм, 82 мм и 70 мм ракетные орудия;</w:t>
      </w:r>
    </w:p>
    <w:p w14:paraId="467269E3"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приспособление для разгона самолета;</w:t>
      </w:r>
    </w:p>
    <w:p w14:paraId="2E55009C"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реактивные моторы на жидком топливе (12702).</w:t>
      </w:r>
    </w:p>
    <w:p w14:paraId="0E051DAB" w14:textId="77777777" w:rsidR="007908DF" w:rsidRPr="007122AB" w:rsidRDefault="007908DF" w:rsidP="007122AB">
      <w:pPr>
        <w:spacing w:after="0" w:line="240" w:lineRule="auto"/>
        <w:jc w:val="both"/>
        <w:rPr>
          <w:rFonts w:ascii="Times New Roman" w:hAnsi="Times New Roman"/>
          <w:color w:val="000000" w:themeColor="text1"/>
          <w:sz w:val="16"/>
          <w:szCs w:val="16"/>
        </w:rPr>
      </w:pPr>
    </w:p>
    <w:p w14:paraId="754FD70D"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июля 1931 г. по приказу Начальника вооружений РККА </w:t>
      </w:r>
      <w:proofErr w:type="spellStart"/>
      <w:r w:rsidRPr="007122AB">
        <w:rPr>
          <w:rFonts w:ascii="Times New Roman" w:hAnsi="Times New Roman"/>
          <w:color w:val="000000" w:themeColor="text1"/>
          <w:sz w:val="16"/>
          <w:szCs w:val="16"/>
        </w:rPr>
        <w:t>М.Н.Тухачевского</w:t>
      </w:r>
      <w:proofErr w:type="spellEnd"/>
      <w:r w:rsidRPr="007122AB">
        <w:rPr>
          <w:rFonts w:ascii="Times New Roman" w:hAnsi="Times New Roman"/>
          <w:color w:val="000000" w:themeColor="text1"/>
          <w:sz w:val="16"/>
          <w:szCs w:val="16"/>
        </w:rPr>
        <w:t xml:space="preserve"> его заместитель </w:t>
      </w:r>
      <w:proofErr w:type="spellStart"/>
      <w:r w:rsidRPr="007122AB">
        <w:rPr>
          <w:rFonts w:ascii="Times New Roman" w:hAnsi="Times New Roman"/>
          <w:color w:val="000000" w:themeColor="text1"/>
          <w:sz w:val="16"/>
          <w:szCs w:val="16"/>
        </w:rPr>
        <w:t>Н.А.Ефимов</w:t>
      </w:r>
      <w:proofErr w:type="spellEnd"/>
      <w:r w:rsidRPr="007122AB">
        <w:rPr>
          <w:rFonts w:ascii="Times New Roman" w:hAnsi="Times New Roman"/>
          <w:color w:val="000000" w:themeColor="text1"/>
          <w:sz w:val="16"/>
          <w:szCs w:val="16"/>
        </w:rPr>
        <w:t xml:space="preserve"> передает Лабораторию в подчинение АНИИ и назначает нового начальника ГДЛ - Николая Яковлевича Ильина, оставляя его уполномоченным </w:t>
      </w:r>
      <w:proofErr w:type="spellStart"/>
      <w:r w:rsidRPr="007122AB">
        <w:rPr>
          <w:rFonts w:ascii="Times New Roman" w:hAnsi="Times New Roman"/>
          <w:color w:val="000000" w:themeColor="text1"/>
          <w:sz w:val="16"/>
          <w:szCs w:val="16"/>
        </w:rPr>
        <w:t>Техштаба</w:t>
      </w:r>
      <w:proofErr w:type="spellEnd"/>
      <w:r w:rsidRPr="007122AB">
        <w:rPr>
          <w:rFonts w:ascii="Times New Roman" w:hAnsi="Times New Roman"/>
          <w:color w:val="000000" w:themeColor="text1"/>
          <w:sz w:val="16"/>
          <w:szCs w:val="16"/>
        </w:rPr>
        <w:t xml:space="preserve"> НВ РККА по Ленинграду, а Борис Сергеевич становится заместителем начальника по опытно-конструкторской части. Теперь он мог заниматься только наукой. Такое решение </w:t>
      </w:r>
      <w:proofErr w:type="spellStart"/>
      <w:r w:rsidRPr="007122AB">
        <w:rPr>
          <w:rFonts w:ascii="Times New Roman" w:hAnsi="Times New Roman"/>
          <w:color w:val="000000" w:themeColor="text1"/>
          <w:sz w:val="16"/>
          <w:szCs w:val="16"/>
        </w:rPr>
        <w:t>М.Н.Тухачевского</w:t>
      </w:r>
      <w:proofErr w:type="spellEnd"/>
      <w:r w:rsidRPr="007122AB">
        <w:rPr>
          <w:rFonts w:ascii="Times New Roman" w:hAnsi="Times New Roman"/>
          <w:color w:val="000000" w:themeColor="text1"/>
          <w:sz w:val="16"/>
          <w:szCs w:val="16"/>
        </w:rPr>
        <w:t xml:space="preserve"> было обусловлено не только просьбами </w:t>
      </w:r>
      <w:proofErr w:type="spellStart"/>
      <w:r w:rsidRPr="007122AB">
        <w:rPr>
          <w:rFonts w:ascii="Times New Roman" w:hAnsi="Times New Roman"/>
          <w:color w:val="000000" w:themeColor="text1"/>
          <w:sz w:val="16"/>
          <w:szCs w:val="16"/>
        </w:rPr>
        <w:t>Б.С.Петропавловского</w:t>
      </w:r>
      <w:proofErr w:type="spellEnd"/>
      <w:r w:rsidRPr="007122AB">
        <w:rPr>
          <w:rFonts w:ascii="Times New Roman" w:hAnsi="Times New Roman"/>
          <w:color w:val="000000" w:themeColor="text1"/>
          <w:sz w:val="16"/>
          <w:szCs w:val="16"/>
        </w:rPr>
        <w:t xml:space="preserve">, но еще и необходимостью сократить время на выполнение заказов организации. Дело в том, что все ее заказы проходили через уполномоченного </w:t>
      </w:r>
      <w:proofErr w:type="spellStart"/>
      <w:r w:rsidRPr="007122AB">
        <w:rPr>
          <w:rFonts w:ascii="Times New Roman" w:hAnsi="Times New Roman"/>
          <w:color w:val="000000" w:themeColor="text1"/>
          <w:sz w:val="16"/>
          <w:szCs w:val="16"/>
        </w:rPr>
        <w:t>Техштаба</w:t>
      </w:r>
      <w:proofErr w:type="spellEnd"/>
      <w:r w:rsidRPr="007122AB">
        <w:rPr>
          <w:rFonts w:ascii="Times New Roman" w:hAnsi="Times New Roman"/>
          <w:color w:val="000000" w:themeColor="text1"/>
          <w:sz w:val="16"/>
          <w:szCs w:val="16"/>
        </w:rPr>
        <w:t>, который и давал ход той или иной просьбе. Совмещение же должностей упрощало решение этой задачи.</w:t>
      </w:r>
    </w:p>
    <w:p w14:paraId="12F9F4D4"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Тем временем, кроме РС-82 и РС-132, ведутся работы по созданию снарядов крупного калибра. Особо следует отметить, что в 1931-1932 гг. разрабатывалось ручное ракетное орудие для стрельбы по танкам. Практическое воплощение этого ружья опередило бы американскую «базуку» больше чем на десять лет. Ружье не нашло применения из-за сравнительно малой </w:t>
      </w:r>
      <w:proofErr w:type="spellStart"/>
      <w:r w:rsidRPr="007122AB">
        <w:rPr>
          <w:rFonts w:ascii="Times New Roman" w:hAnsi="Times New Roman"/>
          <w:color w:val="000000" w:themeColor="text1"/>
          <w:sz w:val="16"/>
          <w:szCs w:val="16"/>
        </w:rPr>
        <w:t>бронебойности</w:t>
      </w:r>
      <w:proofErr w:type="spellEnd"/>
      <w:r w:rsidRPr="007122AB">
        <w:rPr>
          <w:rFonts w:ascii="Times New Roman" w:hAnsi="Times New Roman"/>
          <w:color w:val="000000" w:themeColor="text1"/>
          <w:sz w:val="16"/>
          <w:szCs w:val="16"/>
        </w:rPr>
        <w:t>, а довести его не хватило сил из-за недостатка кадров.</w:t>
      </w:r>
    </w:p>
    <w:p w14:paraId="1A321A19"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Объем работ был всегда огромен, но люди работали как заведенные, увлеченные новой и интересной идеей. Для примера приведем объемы работ, выполнявшиеся в ГДЛ. Так, в частности, за первый квартал 1932 г. при непосредственном участии </w:t>
      </w:r>
      <w:proofErr w:type="spellStart"/>
      <w:r w:rsidRPr="007122AB">
        <w:rPr>
          <w:rFonts w:ascii="Times New Roman" w:hAnsi="Times New Roman"/>
          <w:color w:val="000000" w:themeColor="text1"/>
          <w:sz w:val="16"/>
          <w:szCs w:val="16"/>
        </w:rPr>
        <w:t>Б.С.Петропавловского</w:t>
      </w:r>
      <w:proofErr w:type="spellEnd"/>
      <w:r w:rsidRPr="007122AB">
        <w:rPr>
          <w:rFonts w:ascii="Times New Roman" w:hAnsi="Times New Roman"/>
          <w:color w:val="000000" w:themeColor="text1"/>
          <w:sz w:val="16"/>
          <w:szCs w:val="16"/>
        </w:rPr>
        <w:t xml:space="preserve"> были выполнены следующие разработки:</w:t>
      </w:r>
    </w:p>
    <w:p w14:paraId="0F1FE396"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Конструкторские работы:</w:t>
      </w:r>
    </w:p>
    <w:p w14:paraId="556AB54D"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Расчет, описание и рабочие чертежи 3-х вариантов 65-мм бронебойного снаряда.</w:t>
      </w:r>
    </w:p>
    <w:p w14:paraId="79BA3392"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Расчет, описание и рабочие чертежи 82-мм стального фугасного и снарядов с дюралевой камерой бризантного действия для стрельбы с самолета.</w:t>
      </w:r>
    </w:p>
    <w:p w14:paraId="775957C1"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Расчет, описание и рабочие чертежи 132-мм четырёх вариантов фугасных с хвостовым оперением, бризантного для стрельбы с самолета, химического, агитационного и осветительного снарядов.</w:t>
      </w:r>
    </w:p>
    <w:p w14:paraId="398880B9"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Расчет, описание, рабочие чертежи 245-мм фугасного для полевой стрельбы, фугасного для стрельбы с самолета по наземным целям и химического снарядов.</w:t>
      </w:r>
    </w:p>
    <w:p w14:paraId="44BF0B8E"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Эскизный проект 245-мм ракетного орудия.</w:t>
      </w:r>
    </w:p>
    <w:p w14:paraId="702B11F6"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Внеплановые конструкторские работы:</w:t>
      </w:r>
    </w:p>
    <w:p w14:paraId="3F5D003B"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Расчет, описание, рабочие чертежи глубинной противолодочной реактивной бомбы весом в 200 кг по заданию УВМС.</w:t>
      </w:r>
    </w:p>
    <w:p w14:paraId="6DDEA6A1"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Эскизный проект пускового станка к этой бомбе.</w:t>
      </w:r>
    </w:p>
    <w:p w14:paraId="11AB6E78"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Расчет и рабочие чертежи реактивной камеры для завода №75.</w:t>
      </w:r>
    </w:p>
    <w:p w14:paraId="78B9AE5C"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 и исследовательские работы:</w:t>
      </w:r>
    </w:p>
    <w:p w14:paraId="0662E52E"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Подбор заряда и сопла: к 65-мм бронебойному снаряду, к 82-мм снаряду повышенной дальности, к 245-мм снаряду, к реактивной камере для завода № 75, к 70-мм трассирующему снаряду.</w:t>
      </w:r>
    </w:p>
    <w:p w14:paraId="1AFEBC9A"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Подробное исследование характера горения заряда в 65-мм камере в зависимости от условий заряжания и характера укладки заряда, с попутным испытанием прочности дюралевых камер.</w:t>
      </w:r>
    </w:p>
    <w:p w14:paraId="39961DD6"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Испытание прочности камер к 132-мм снаряду по измененному чертежу.</w:t>
      </w:r>
    </w:p>
    <w:p w14:paraId="4F0375EE"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Исследование горения заряда в удлиненной камере, предназначенной для 132-мм снаряда с дальностью 8 км.</w:t>
      </w:r>
    </w:p>
    <w:p w14:paraId="52D00779"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Испытание горения зарядов массой 6 и 10 кг в камере для разгона самолетов с определением реактивной тяги, с попутным испытанием прочности держателей и способов воспламенения нескольких камер (работы проводились совместно с 3-м сектором).</w:t>
      </w:r>
    </w:p>
    <w:p w14:paraId="11BB88E6"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Испытание стрельбой осветительных </w:t>
      </w:r>
      <w:proofErr w:type="spellStart"/>
      <w:r w:rsidRPr="007122AB">
        <w:rPr>
          <w:rFonts w:ascii="Times New Roman" w:hAnsi="Times New Roman"/>
          <w:color w:val="000000" w:themeColor="text1"/>
          <w:sz w:val="16"/>
          <w:szCs w:val="16"/>
        </w:rPr>
        <w:t>вурдо</w:t>
      </w:r>
      <w:proofErr w:type="spellEnd"/>
      <w:r w:rsidRPr="007122AB">
        <w:rPr>
          <w:rFonts w:ascii="Times New Roman" w:hAnsi="Times New Roman"/>
          <w:color w:val="000000" w:themeColor="text1"/>
          <w:sz w:val="16"/>
          <w:szCs w:val="16"/>
        </w:rPr>
        <w:t>-гранат.</w:t>
      </w:r>
    </w:p>
    <w:p w14:paraId="627F8E29"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Исследование стрельбой трех вариантов 132-мм осветительных снарядов (15252).</w:t>
      </w:r>
    </w:p>
    <w:p w14:paraId="527D93FC" w14:textId="77777777" w:rsidR="00806BF6" w:rsidRPr="007122AB" w:rsidRDefault="00806BF6" w:rsidP="007122AB">
      <w:pPr>
        <w:shd w:val="clear" w:color="auto" w:fill="FFFFFF"/>
        <w:spacing w:after="0" w:line="240" w:lineRule="auto"/>
        <w:jc w:val="both"/>
        <w:rPr>
          <w:rFonts w:ascii="Times New Roman" w:hAnsi="Times New Roman"/>
          <w:color w:val="000000" w:themeColor="text1"/>
          <w:sz w:val="16"/>
          <w:szCs w:val="16"/>
        </w:rPr>
      </w:pPr>
    </w:p>
    <w:p w14:paraId="36A3034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6C0FD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E45CE3"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июля 1931 г. проект танка ПТ-1 был рассмотрен председателем Научно-технического комитета (НТК) УММ РККА И.А. Лебедевым совместно с начальником Конструкторского бюро № 3 Государственного Всесоюзного объединения орудийно-оружейно-пулеметных производств (</w:t>
      </w:r>
      <w:proofErr w:type="spellStart"/>
      <w:r w:rsidRPr="00441F34">
        <w:rPr>
          <w:rFonts w:ascii="Times New Roman" w:hAnsi="Times New Roman"/>
          <w:color w:val="0070C0"/>
          <w:sz w:val="16"/>
          <w:szCs w:val="16"/>
        </w:rPr>
        <w:t>Оружобъединения</w:t>
      </w:r>
      <w:proofErr w:type="spellEnd"/>
      <w:r w:rsidRPr="00441F34">
        <w:rPr>
          <w:rFonts w:ascii="Times New Roman" w:hAnsi="Times New Roman"/>
          <w:color w:val="0070C0"/>
          <w:sz w:val="16"/>
          <w:szCs w:val="16"/>
        </w:rPr>
        <w:t>) С.А. Гинзбургом (24856).</w:t>
      </w:r>
    </w:p>
    <w:p w14:paraId="51CC26A3" w14:textId="77777777" w:rsidR="00190478" w:rsidRPr="00441F34" w:rsidRDefault="00190478" w:rsidP="00190478">
      <w:pPr>
        <w:spacing w:after="0" w:line="240" w:lineRule="auto"/>
        <w:jc w:val="both"/>
        <w:rPr>
          <w:rFonts w:ascii="Times New Roman" w:hAnsi="Times New Roman"/>
          <w:color w:val="0070C0"/>
          <w:sz w:val="16"/>
          <w:szCs w:val="16"/>
        </w:rPr>
      </w:pPr>
    </w:p>
    <w:p w14:paraId="1FF32192"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июля 1931 г.</w:t>
      </w:r>
    </w:p>
    <w:p w14:paraId="4D5B9629"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РГВА Фонд 31811 Опись 3 Дело 29 лист 52 с об. </w:t>
      </w:r>
    </w:p>
    <w:p w14:paraId="4D9C7E9B" w14:textId="77777777" w:rsidR="00190478" w:rsidRPr="00441F34" w:rsidRDefault="00190478" w:rsidP="00190478">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Сов.Секретно</w:t>
      </w:r>
      <w:proofErr w:type="spellEnd"/>
      <w:r w:rsidRPr="00441F34">
        <w:rPr>
          <w:rFonts w:ascii="Times New Roman" w:hAnsi="Times New Roman"/>
          <w:color w:val="0070C0"/>
          <w:sz w:val="16"/>
          <w:szCs w:val="16"/>
        </w:rPr>
        <w:t xml:space="preserve">. </w:t>
      </w:r>
    </w:p>
    <w:p w14:paraId="07B1E6BD"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Экз. № 1 </w:t>
      </w:r>
    </w:p>
    <w:p w14:paraId="4EED9FC0"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НАЧАЛЬНИКУ УПРАВЛЕНИЯ ПО МЕХАНИЗАЦИИ И МОТОРИЗАЦИИ Р.К.К.А.</w:t>
      </w:r>
    </w:p>
    <w:p w14:paraId="0D166058"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15 июля 1941 г. мною совместно с Начальником КБ № 3 тов. Гинзбургом были рассмотрены общие чертежи колесно-гусеничного плавающего танка, изготовленные Особым Конструкторским Бюро (начальник Бюро тов. </w:t>
      </w:r>
      <w:proofErr w:type="spellStart"/>
      <w:r w:rsidRPr="00441F34">
        <w:rPr>
          <w:rFonts w:ascii="Times New Roman" w:hAnsi="Times New Roman"/>
          <w:color w:val="0070C0"/>
          <w:sz w:val="16"/>
          <w:szCs w:val="16"/>
        </w:rPr>
        <w:t>Вунштейн</w:t>
      </w:r>
      <w:proofErr w:type="spellEnd"/>
      <w:r w:rsidRPr="00441F34">
        <w:rPr>
          <w:rFonts w:ascii="Times New Roman" w:hAnsi="Times New Roman"/>
          <w:color w:val="0070C0"/>
          <w:sz w:val="16"/>
          <w:szCs w:val="16"/>
        </w:rPr>
        <w:t xml:space="preserve">). </w:t>
      </w:r>
    </w:p>
    <w:p w14:paraId="2E7AD069"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Рассмотренная конструкция представляет из себя колесно-гусеничный танк типа Кристи со всеми 4-мя ведущими осями на колесном ходу. Основная характеристика танка следующая: </w:t>
      </w:r>
    </w:p>
    <w:p w14:paraId="389A07B7"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Вес – около 11 тонн. </w:t>
      </w:r>
    </w:p>
    <w:p w14:paraId="0826BA78"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Броня – 6 мм. борта, 7 мм. лобовая. </w:t>
      </w:r>
    </w:p>
    <w:p w14:paraId="50CC4FE8"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Вооружение – одна 45 мм пушка с пулеметом во вращающейся башне, один пулемет в шаровой установке. </w:t>
      </w:r>
    </w:p>
    <w:p w14:paraId="4922479B"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Скорость на гусеницах – </w:t>
      </w:r>
      <w:proofErr w:type="spellStart"/>
      <w:r w:rsidRPr="00441F34">
        <w:rPr>
          <w:rFonts w:ascii="Times New Roman" w:hAnsi="Times New Roman"/>
          <w:color w:val="0070C0"/>
          <w:sz w:val="16"/>
          <w:szCs w:val="16"/>
        </w:rPr>
        <w:t>ок</w:t>
      </w:r>
      <w:proofErr w:type="spellEnd"/>
      <w:r w:rsidRPr="00441F34">
        <w:rPr>
          <w:rFonts w:ascii="Times New Roman" w:hAnsi="Times New Roman"/>
          <w:color w:val="0070C0"/>
          <w:sz w:val="16"/>
          <w:szCs w:val="16"/>
        </w:rPr>
        <w:t xml:space="preserve">. 60 </w:t>
      </w:r>
      <w:proofErr w:type="spellStart"/>
      <w:r w:rsidRPr="00441F34">
        <w:rPr>
          <w:rFonts w:ascii="Times New Roman" w:hAnsi="Times New Roman"/>
          <w:color w:val="0070C0"/>
          <w:sz w:val="16"/>
          <w:szCs w:val="16"/>
        </w:rPr>
        <w:t>клм</w:t>
      </w:r>
      <w:proofErr w:type="spellEnd"/>
      <w:r w:rsidRPr="00441F34">
        <w:rPr>
          <w:rFonts w:ascii="Times New Roman" w:hAnsi="Times New Roman"/>
          <w:color w:val="0070C0"/>
          <w:sz w:val="16"/>
          <w:szCs w:val="16"/>
        </w:rPr>
        <w:t xml:space="preserve">., на колесах – около 78 </w:t>
      </w:r>
      <w:proofErr w:type="spellStart"/>
      <w:r w:rsidRPr="00441F34">
        <w:rPr>
          <w:rFonts w:ascii="Times New Roman" w:hAnsi="Times New Roman"/>
          <w:color w:val="0070C0"/>
          <w:sz w:val="16"/>
          <w:szCs w:val="16"/>
        </w:rPr>
        <w:t>клм</w:t>
      </w:r>
      <w:proofErr w:type="spellEnd"/>
      <w:r w:rsidRPr="00441F34">
        <w:rPr>
          <w:rFonts w:ascii="Times New Roman" w:hAnsi="Times New Roman"/>
          <w:color w:val="0070C0"/>
          <w:sz w:val="16"/>
          <w:szCs w:val="16"/>
        </w:rPr>
        <w:t xml:space="preserve">/час., на воде – 15 </w:t>
      </w:r>
      <w:proofErr w:type="spellStart"/>
      <w:r w:rsidRPr="00441F34">
        <w:rPr>
          <w:rFonts w:ascii="Times New Roman" w:hAnsi="Times New Roman"/>
          <w:color w:val="0070C0"/>
          <w:sz w:val="16"/>
          <w:szCs w:val="16"/>
        </w:rPr>
        <w:t>клм</w:t>
      </w:r>
      <w:proofErr w:type="spellEnd"/>
      <w:r w:rsidRPr="00441F34">
        <w:rPr>
          <w:rFonts w:ascii="Times New Roman" w:hAnsi="Times New Roman"/>
          <w:color w:val="0070C0"/>
          <w:sz w:val="16"/>
          <w:szCs w:val="16"/>
        </w:rPr>
        <w:t xml:space="preserve">/час. </w:t>
      </w:r>
    </w:p>
    <w:p w14:paraId="4321D45C"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Мотор – 325 л.с. типа дизель. </w:t>
      </w:r>
    </w:p>
    <w:p w14:paraId="03DC991A"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Из обмена мнениями с лицами, выполняющими этот проект, выяснилось, что они имеют сильную инженерную подготовку и способны правильно решить чрезвычайно трудную задачу, которой является плавучий танк. Над этим вопросом работает один из самых лучших инженеров-специалистов корабельного дела. </w:t>
      </w:r>
    </w:p>
    <w:p w14:paraId="40EA3F74"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Наши замечания по проекту сводились к следующему: </w:t>
      </w:r>
    </w:p>
    <w:p w14:paraId="75912A24"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Мы потребовали усиления бронирования до 10 мм, однако если после детальных просчетов это отразится на плавучести машины, то следует пожертвовать для опыта толщиной брони. </w:t>
      </w:r>
    </w:p>
    <w:p w14:paraId="5D0AA196"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Смешанный вариант ходовой части с катками и колесами мы забраковали и посоветовали остановиться на чисто колесном варианте типа Кристи. </w:t>
      </w:r>
    </w:p>
    <w:p w14:paraId="7BE5D0BA"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Вооружение этой машины достаточно мощное для машины этого класса, почему мы его оставили без изменений. </w:t>
      </w:r>
    </w:p>
    <w:p w14:paraId="3A857C96"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Ввиду того, что габариты корпуса позволяют вместить не только передаточный механизм для привода в движение всех колес, но и осуществить поворачивание всех колес – то мы одобрили как то, так и другое, т.к. благодаря передаче вращения на все поддерживающие колеса (получается все колеса ведущие) в значительной мере повышается проходимость машины при движении ее на колесах, а осуществление привода рулевого управления на все 4 колеса уменьшает радиус поворота, доводя его до 6 – 7 </w:t>
      </w:r>
      <w:proofErr w:type="spellStart"/>
      <w:r w:rsidRPr="00441F34">
        <w:rPr>
          <w:rFonts w:ascii="Times New Roman" w:hAnsi="Times New Roman"/>
          <w:color w:val="0070C0"/>
          <w:sz w:val="16"/>
          <w:szCs w:val="16"/>
        </w:rPr>
        <w:t>мтр</w:t>
      </w:r>
      <w:proofErr w:type="spellEnd"/>
      <w:r w:rsidRPr="00441F34">
        <w:rPr>
          <w:rFonts w:ascii="Times New Roman" w:hAnsi="Times New Roman"/>
          <w:color w:val="0070C0"/>
          <w:sz w:val="16"/>
          <w:szCs w:val="16"/>
        </w:rPr>
        <w:t xml:space="preserve">., что соответствует радиусу поворота обыкновенного грузовика. </w:t>
      </w:r>
    </w:p>
    <w:p w14:paraId="2E095AA3"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Конструкция дизель-мотора, наиболее нас интересующая, показана не была и будет демонстрироваться нам на этих днях. Так как конструкция этого танка связана с конструкцией мотора, то успех его осуществления зависит в первую очередь от удачного осуществления мотора. К тому же этот мотор, как по мощности, как по габаритам, так и по роду топлива чрезвычайно интересен для нас с точки зрения применения его в средних танках. </w:t>
      </w:r>
    </w:p>
    <w:p w14:paraId="37E6F861"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Работу по созданию плавающего танка считаю необходимым закрепить за Особым Конструкторским Бюро и нам временно в целях экономии сил и средств этим делом пока не заниматься. </w:t>
      </w:r>
    </w:p>
    <w:p w14:paraId="32D380EC"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Кроме плавучего танка мы рассмотрели схему бронирования 6-колесного Форда АА, состоящего из броневого корпуса, вооруженного одним пулеметом Дегтярева, поставленным в лобовой стенке и одной 37-мм пушкой с возможностью стрельбы только назад. Таким расположением вооружения авторы проекта добивались уменьшения высоты машины. Этот вариант бронирования нами был категорически отвергнут, так как вследствие отсутствия кругового обстрела как для пулемета, так и для пушки, использовать вооружение фактически нельзя. Для средней бронемашины, каковой является 6-колесный Форд АА, обязательна постановка вооружения во вращающейся башне. </w:t>
      </w:r>
    </w:p>
    <w:p w14:paraId="7705B5D9"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 тов. </w:t>
      </w:r>
      <w:proofErr w:type="spellStart"/>
      <w:r w:rsidRPr="00441F34">
        <w:rPr>
          <w:rFonts w:ascii="Times New Roman" w:hAnsi="Times New Roman"/>
          <w:color w:val="0070C0"/>
          <w:sz w:val="16"/>
          <w:szCs w:val="16"/>
        </w:rPr>
        <w:t>Вунштейн</w:t>
      </w:r>
      <w:proofErr w:type="spellEnd"/>
      <w:r w:rsidRPr="00441F34">
        <w:rPr>
          <w:rFonts w:ascii="Times New Roman" w:hAnsi="Times New Roman"/>
          <w:color w:val="0070C0"/>
          <w:sz w:val="16"/>
          <w:szCs w:val="16"/>
        </w:rPr>
        <w:t xml:space="preserve"> я договорился, что он будет держать нас в курсе всех работ, периодически созывая подобного рода совещания.</w:t>
      </w:r>
    </w:p>
    <w:p w14:paraId="311E370D"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ПРЕДСЕДАТЕЛЬ НТК УММ РККА </w:t>
      </w:r>
    </w:p>
    <w:p w14:paraId="6F32B2E1"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(Лебедев) 18-VII-31 г. подпись</w:t>
      </w:r>
    </w:p>
    <w:p w14:paraId="070554AF" w14:textId="77777777" w:rsidR="00190478" w:rsidRPr="00441F34" w:rsidRDefault="00190478" w:rsidP="00190478">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Отпеч</w:t>
      </w:r>
      <w:proofErr w:type="spellEnd"/>
      <w:r w:rsidRPr="00441F34">
        <w:rPr>
          <w:rFonts w:ascii="Times New Roman" w:hAnsi="Times New Roman"/>
          <w:color w:val="0070C0"/>
          <w:sz w:val="16"/>
          <w:szCs w:val="16"/>
        </w:rPr>
        <w:t xml:space="preserve">. 2 экз. </w:t>
      </w:r>
    </w:p>
    <w:p w14:paraId="728E6343"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1 – Нач. УММ </w:t>
      </w:r>
    </w:p>
    <w:p w14:paraId="5B82E930" w14:textId="77777777" w:rsidR="00190478" w:rsidRPr="00441F34" w:rsidRDefault="00190478" w:rsidP="0019047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2 – в деле (24863).</w:t>
      </w:r>
    </w:p>
    <w:p w14:paraId="4838CD59" w14:textId="77777777" w:rsidR="00190478" w:rsidRPr="00441F34" w:rsidRDefault="00190478" w:rsidP="00190478">
      <w:pPr>
        <w:spacing w:after="0" w:line="240" w:lineRule="auto"/>
        <w:jc w:val="both"/>
        <w:rPr>
          <w:rFonts w:ascii="Times New Roman" w:hAnsi="Times New Roman"/>
          <w:color w:val="0070C0"/>
          <w:sz w:val="16"/>
          <w:szCs w:val="16"/>
        </w:rPr>
      </w:pPr>
    </w:p>
    <w:p w14:paraId="54CCE1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июля 1931 в 14 ч 30 мин шесть мотоциклов Л-300 стартовали в Ленинграде на площади Урицкого, а иномар</w:t>
      </w:r>
      <w:r w:rsidRPr="007122AB">
        <w:rPr>
          <w:rFonts w:ascii="Times New Roman" w:hAnsi="Times New Roman"/>
          <w:color w:val="000000" w:themeColor="text1"/>
          <w:sz w:val="16"/>
          <w:szCs w:val="16"/>
        </w:rPr>
        <w:softHyphen/>
        <w:t xml:space="preserve">ки и автомобили сопровождения выехали из Москвы. В Вышнем Волочке две </w:t>
      </w:r>
      <w:proofErr w:type="spellStart"/>
      <w:r w:rsidRPr="007122AB">
        <w:rPr>
          <w:rFonts w:ascii="Times New Roman" w:hAnsi="Times New Roman"/>
          <w:color w:val="000000" w:themeColor="text1"/>
          <w:sz w:val="16"/>
          <w:szCs w:val="16"/>
        </w:rPr>
        <w:t>мотоколонны</w:t>
      </w:r>
      <w:proofErr w:type="spellEnd"/>
      <w:r w:rsidRPr="007122AB">
        <w:rPr>
          <w:rFonts w:ascii="Times New Roman" w:hAnsi="Times New Roman"/>
          <w:color w:val="000000" w:themeColor="text1"/>
          <w:sz w:val="16"/>
          <w:szCs w:val="16"/>
        </w:rPr>
        <w:t xml:space="preserve"> объединились. Маршрут пробега пришлось несколько изменить из-за дождей и связанного с ними сильного загрязнения пути. На участке Сталинград-Харьков вместо трассы Евсеев-</w:t>
      </w:r>
      <w:proofErr w:type="spellStart"/>
      <w:r w:rsidRPr="007122AB">
        <w:rPr>
          <w:rFonts w:ascii="Times New Roman" w:hAnsi="Times New Roman"/>
          <w:color w:val="000000" w:themeColor="text1"/>
          <w:sz w:val="16"/>
          <w:szCs w:val="16"/>
        </w:rPr>
        <w:t>Усть</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Медведецкая</w:t>
      </w:r>
      <w:proofErr w:type="spellEnd"/>
      <w:r w:rsidRPr="007122AB">
        <w:rPr>
          <w:rFonts w:ascii="Times New Roman" w:hAnsi="Times New Roman"/>
          <w:color w:val="000000" w:themeColor="text1"/>
          <w:sz w:val="16"/>
          <w:szCs w:val="16"/>
        </w:rPr>
        <w:t>-Верхне-Сальск-Бело-</w:t>
      </w:r>
      <w:proofErr w:type="spellStart"/>
      <w:r w:rsidRPr="007122AB">
        <w:rPr>
          <w:rFonts w:ascii="Times New Roman" w:hAnsi="Times New Roman"/>
          <w:color w:val="000000" w:themeColor="text1"/>
          <w:sz w:val="16"/>
          <w:szCs w:val="16"/>
        </w:rPr>
        <w:t>водск</w:t>
      </w:r>
      <w:proofErr w:type="spellEnd"/>
      <w:r w:rsidRPr="007122AB">
        <w:rPr>
          <w:rFonts w:ascii="Times New Roman" w:hAnsi="Times New Roman"/>
          <w:color w:val="000000" w:themeColor="text1"/>
          <w:sz w:val="16"/>
          <w:szCs w:val="16"/>
        </w:rPr>
        <w:t>-Купянск избрали более лёгкую: Калач-Миллерово-Бело-</w:t>
      </w:r>
      <w:proofErr w:type="spellStart"/>
      <w:r w:rsidRPr="007122AB">
        <w:rPr>
          <w:rFonts w:ascii="Times New Roman" w:hAnsi="Times New Roman"/>
          <w:color w:val="000000" w:themeColor="text1"/>
          <w:sz w:val="16"/>
          <w:szCs w:val="16"/>
        </w:rPr>
        <w:t>водск</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Старобсльск</w:t>
      </w:r>
      <w:proofErr w:type="spellEnd"/>
      <w:r w:rsidRPr="007122AB">
        <w:rPr>
          <w:rFonts w:ascii="Times New Roman" w:hAnsi="Times New Roman"/>
          <w:color w:val="000000" w:themeColor="text1"/>
          <w:sz w:val="16"/>
          <w:szCs w:val="16"/>
        </w:rPr>
        <w:t>-Сватово-Чугуев. На участке Харьков-Москва, посчитав, что по грунтовым дорогам проехали доста</w:t>
      </w:r>
      <w:r w:rsidRPr="007122AB">
        <w:rPr>
          <w:rFonts w:ascii="Times New Roman" w:hAnsi="Times New Roman"/>
          <w:color w:val="000000" w:themeColor="text1"/>
          <w:sz w:val="16"/>
          <w:szCs w:val="16"/>
        </w:rPr>
        <w:softHyphen/>
        <w:t>точно, в столицу решили добираться по шоссе через Курск, Орёл и Тулу [4.41].</w:t>
      </w:r>
    </w:p>
    <w:p w14:paraId="52E9F6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Третий Всесоюзный ис</w:t>
      </w:r>
      <w:r w:rsidRPr="007122AB">
        <w:rPr>
          <w:rFonts w:ascii="Times New Roman" w:hAnsi="Times New Roman"/>
          <w:color w:val="000000" w:themeColor="text1"/>
          <w:sz w:val="16"/>
          <w:szCs w:val="16"/>
        </w:rPr>
        <w:softHyphen/>
        <w:t xml:space="preserve">пытательный пробег советских мотоциклов [4.39] был </w:t>
      </w:r>
      <w:proofErr w:type="spellStart"/>
      <w:r w:rsidRPr="007122AB">
        <w:rPr>
          <w:rFonts w:ascii="Times New Roman" w:hAnsi="Times New Roman"/>
          <w:color w:val="000000" w:themeColor="text1"/>
          <w:sz w:val="16"/>
          <w:szCs w:val="16"/>
        </w:rPr>
        <w:t>организовани</w:t>
      </w:r>
      <w:proofErr w:type="spellEnd"/>
      <w:r w:rsidRPr="007122AB">
        <w:rPr>
          <w:rFonts w:ascii="Times New Roman" w:hAnsi="Times New Roman"/>
          <w:color w:val="000000" w:themeColor="text1"/>
          <w:sz w:val="16"/>
          <w:szCs w:val="16"/>
        </w:rPr>
        <w:t xml:space="preserve"> ЦС </w:t>
      </w:r>
      <w:proofErr w:type="spellStart"/>
      <w:r w:rsidRPr="007122AB">
        <w:rPr>
          <w:rFonts w:ascii="Times New Roman" w:hAnsi="Times New Roman"/>
          <w:color w:val="000000" w:themeColor="text1"/>
          <w:sz w:val="16"/>
          <w:szCs w:val="16"/>
        </w:rPr>
        <w:t>АВТОДОРа</w:t>
      </w:r>
      <w:proofErr w:type="spellEnd"/>
      <w:r w:rsidRPr="007122AB">
        <w:rPr>
          <w:rFonts w:ascii="Times New Roman" w:hAnsi="Times New Roman"/>
          <w:color w:val="000000" w:themeColor="text1"/>
          <w:sz w:val="16"/>
          <w:szCs w:val="16"/>
        </w:rPr>
        <w:t xml:space="preserve"> для сравнения обновленного Л-300 с базовой моделью. В него напра</w:t>
      </w:r>
      <w:r w:rsidRPr="007122AB">
        <w:rPr>
          <w:rFonts w:ascii="Times New Roman" w:hAnsi="Times New Roman"/>
          <w:color w:val="000000" w:themeColor="text1"/>
          <w:sz w:val="16"/>
          <w:szCs w:val="16"/>
        </w:rPr>
        <w:softHyphen/>
        <w:t>вили шесть мотоциклов Л-300: три модернизированных и столь</w:t>
      </w:r>
      <w:r w:rsidRPr="007122AB">
        <w:rPr>
          <w:rFonts w:ascii="Times New Roman" w:hAnsi="Times New Roman"/>
          <w:color w:val="000000" w:themeColor="text1"/>
          <w:sz w:val="16"/>
          <w:szCs w:val="16"/>
        </w:rPr>
        <w:softHyphen/>
        <w:t>ко же сделанных по первоначальной документации. Вместе с ними отправили два иностранных мотоцикла-одиночки: амери</w:t>
      </w:r>
      <w:r w:rsidRPr="007122AB">
        <w:rPr>
          <w:rFonts w:ascii="Times New Roman" w:hAnsi="Times New Roman"/>
          <w:color w:val="000000" w:themeColor="text1"/>
          <w:sz w:val="16"/>
          <w:szCs w:val="16"/>
        </w:rPr>
        <w:softHyphen/>
        <w:t xml:space="preserve">канский </w:t>
      </w:r>
      <w:proofErr w:type="spellStart"/>
      <w:r w:rsidRPr="007122AB">
        <w:rPr>
          <w:rFonts w:ascii="Times New Roman" w:hAnsi="Times New Roman"/>
          <w:color w:val="000000" w:themeColor="text1"/>
          <w:sz w:val="16"/>
          <w:szCs w:val="16"/>
          <w:lang w:val="en-US"/>
        </w:rPr>
        <w:t>HarleyDavidson</w:t>
      </w:r>
      <w:proofErr w:type="spellEnd"/>
      <w:r w:rsidRPr="007122AB">
        <w:rPr>
          <w:rFonts w:ascii="Times New Roman" w:hAnsi="Times New Roman"/>
          <w:color w:val="000000" w:themeColor="text1"/>
          <w:sz w:val="16"/>
          <w:szCs w:val="16"/>
        </w:rPr>
        <w:t xml:space="preserve"> и английский В</w:t>
      </w:r>
      <w:r w:rsidRPr="007122AB">
        <w:rPr>
          <w:rFonts w:ascii="Times New Roman" w:hAnsi="Times New Roman"/>
          <w:color w:val="000000" w:themeColor="text1"/>
          <w:sz w:val="16"/>
          <w:szCs w:val="16"/>
          <w:lang w:val="en-US"/>
        </w:rPr>
        <w:t>S</w:t>
      </w:r>
      <w:r w:rsidRPr="007122AB">
        <w:rPr>
          <w:rFonts w:ascii="Times New Roman" w:hAnsi="Times New Roman"/>
          <w:color w:val="000000" w:themeColor="text1"/>
          <w:sz w:val="16"/>
          <w:szCs w:val="16"/>
        </w:rPr>
        <w:t>А, - оба с одноцилинд</w:t>
      </w:r>
      <w:r w:rsidRPr="007122AB">
        <w:rPr>
          <w:rFonts w:ascii="Times New Roman" w:hAnsi="Times New Roman"/>
          <w:color w:val="000000" w:themeColor="text1"/>
          <w:sz w:val="16"/>
          <w:szCs w:val="16"/>
        </w:rPr>
        <w:softHyphen/>
        <w:t>ровыми двигателями рабочим объёмом 500 см</w:t>
      </w:r>
      <w:r w:rsidRPr="007122AB">
        <w:rPr>
          <w:rFonts w:ascii="Times New Roman" w:hAnsi="Times New Roman"/>
          <w:color w:val="000000" w:themeColor="text1"/>
          <w:sz w:val="16"/>
          <w:szCs w:val="16"/>
          <w:vertAlign w:val="superscript"/>
        </w:rPr>
        <w:t>3</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Мотоколонну</w:t>
      </w:r>
      <w:proofErr w:type="spellEnd"/>
      <w:r w:rsidRPr="007122AB">
        <w:rPr>
          <w:rFonts w:ascii="Times New Roman" w:hAnsi="Times New Roman"/>
          <w:color w:val="000000" w:themeColor="text1"/>
          <w:sz w:val="16"/>
          <w:szCs w:val="16"/>
        </w:rPr>
        <w:t xml:space="preserve"> сопровождали три легковых машины Форд-А: грузовик Форд-АА и два американских 1200-кубовых мотоцикла На</w:t>
      </w:r>
      <w:proofErr w:type="spellStart"/>
      <w:r w:rsidRPr="007122AB">
        <w:rPr>
          <w:rFonts w:ascii="Times New Roman" w:hAnsi="Times New Roman"/>
          <w:color w:val="000000" w:themeColor="text1"/>
          <w:sz w:val="16"/>
          <w:szCs w:val="16"/>
          <w:lang w:val="en-US"/>
        </w:rPr>
        <w:t>rley</w:t>
      </w:r>
      <w:proofErr w:type="spellEnd"/>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Davidson</w:t>
      </w:r>
      <w:r w:rsidRPr="007122AB">
        <w:rPr>
          <w:rFonts w:ascii="Times New Roman" w:hAnsi="Times New Roman"/>
          <w:color w:val="000000" w:themeColor="text1"/>
          <w:sz w:val="16"/>
          <w:szCs w:val="16"/>
        </w:rPr>
        <w:t xml:space="preserve"> с колясками. Планировалось проехать 4017 км (929 км по шоссе и 3088 км по грунтовым дорогам). Трасса состояла из шести этапов: Ленинград-Вышний-Волочёк-Нижний Новгород-Сталинград-Харьков-Москва-Ленинград. Маршрут прошли за 32 дня, из них 21 день - в движении и 11 - отдых в городах [4.40]. На трассе пробега не проводили рекогносцировку. По этой причине на участке Вышний-Волочек-Иваново-Вознесенск в де</w:t>
      </w:r>
      <w:r w:rsidRPr="007122AB">
        <w:rPr>
          <w:rFonts w:ascii="Times New Roman" w:hAnsi="Times New Roman"/>
          <w:color w:val="000000" w:themeColor="text1"/>
          <w:sz w:val="16"/>
          <w:szCs w:val="16"/>
        </w:rPr>
        <w:softHyphen/>
        <w:t>ревнях мотоциклы увидели впервые. Управление усовершенство</w:t>
      </w:r>
      <w:r w:rsidRPr="007122AB">
        <w:rPr>
          <w:rFonts w:ascii="Times New Roman" w:hAnsi="Times New Roman"/>
          <w:color w:val="000000" w:themeColor="text1"/>
          <w:sz w:val="16"/>
          <w:szCs w:val="16"/>
        </w:rPr>
        <w:softHyphen/>
        <w:t xml:space="preserve">ванными образцами Л-300 поручили весьма незаурядным людям. Это были лучшие мотоциклисты Ленинграда: член городского мотоклуба П.П. </w:t>
      </w:r>
      <w:proofErr w:type="spellStart"/>
      <w:r w:rsidRPr="007122AB">
        <w:rPr>
          <w:rFonts w:ascii="Times New Roman" w:hAnsi="Times New Roman"/>
          <w:color w:val="000000" w:themeColor="text1"/>
          <w:sz w:val="16"/>
          <w:szCs w:val="16"/>
        </w:rPr>
        <w:t>Воротилкин</w:t>
      </w:r>
      <w:proofErr w:type="spellEnd"/>
      <w:r w:rsidRPr="007122AB">
        <w:rPr>
          <w:rFonts w:ascii="Times New Roman" w:hAnsi="Times New Roman"/>
          <w:color w:val="000000" w:themeColor="text1"/>
          <w:sz w:val="16"/>
          <w:szCs w:val="16"/>
        </w:rPr>
        <w:t>, а также два конструктора завода «Красный Октябрь» А.М. Лутц и А.А. Иванов, имевшие большой опыт участия в мотопробегах. Серийные Л-300 вели красноар</w:t>
      </w:r>
      <w:r w:rsidRPr="007122AB">
        <w:rPr>
          <w:rFonts w:ascii="Times New Roman" w:hAnsi="Times New Roman"/>
          <w:color w:val="000000" w:themeColor="text1"/>
          <w:sz w:val="16"/>
          <w:szCs w:val="16"/>
        </w:rPr>
        <w:softHyphen/>
        <w:t xml:space="preserve">мейцы П. </w:t>
      </w:r>
      <w:proofErr w:type="spellStart"/>
      <w:r w:rsidRPr="007122AB">
        <w:rPr>
          <w:rFonts w:ascii="Times New Roman" w:hAnsi="Times New Roman"/>
          <w:color w:val="000000" w:themeColor="text1"/>
          <w:sz w:val="16"/>
          <w:szCs w:val="16"/>
        </w:rPr>
        <w:t>Зубковский</w:t>
      </w:r>
      <w:proofErr w:type="spellEnd"/>
      <w:r w:rsidRPr="007122AB">
        <w:rPr>
          <w:rFonts w:ascii="Times New Roman" w:hAnsi="Times New Roman"/>
          <w:color w:val="000000" w:themeColor="text1"/>
          <w:sz w:val="16"/>
          <w:szCs w:val="16"/>
        </w:rPr>
        <w:t xml:space="preserve">, В. Кудрявцев и Мартьянов. Известного в стране специалиста мототранспорта И.П. </w:t>
      </w:r>
      <w:proofErr w:type="spellStart"/>
      <w:r w:rsidRPr="007122AB">
        <w:rPr>
          <w:rFonts w:ascii="Times New Roman" w:hAnsi="Times New Roman"/>
          <w:color w:val="000000" w:themeColor="text1"/>
          <w:sz w:val="16"/>
          <w:szCs w:val="16"/>
        </w:rPr>
        <w:t>Дюмулена</w:t>
      </w:r>
      <w:proofErr w:type="spellEnd"/>
      <w:r w:rsidRPr="007122AB">
        <w:rPr>
          <w:rFonts w:ascii="Times New Roman" w:hAnsi="Times New Roman"/>
          <w:color w:val="000000" w:themeColor="text1"/>
          <w:sz w:val="16"/>
          <w:szCs w:val="16"/>
        </w:rPr>
        <w:t xml:space="preserve"> назначили командором пробега, а инженера Ю.М. Галкина - председателем технической комиссии, в которую включили П.В. Можарова. Фи</w:t>
      </w:r>
      <w:r w:rsidRPr="007122AB">
        <w:rPr>
          <w:rFonts w:ascii="Times New Roman" w:hAnsi="Times New Roman"/>
          <w:color w:val="000000" w:themeColor="text1"/>
          <w:sz w:val="16"/>
          <w:szCs w:val="16"/>
        </w:rPr>
        <w:softHyphen/>
        <w:t>нансирование пробега обошлось в 18 тыс. р. По 7 тыс. р. предос</w:t>
      </w:r>
      <w:r w:rsidRPr="007122AB">
        <w:rPr>
          <w:rFonts w:ascii="Times New Roman" w:hAnsi="Times New Roman"/>
          <w:color w:val="000000" w:themeColor="text1"/>
          <w:sz w:val="16"/>
          <w:szCs w:val="16"/>
        </w:rPr>
        <w:softHyphen/>
        <w:t>тавили завод «Красный Октябрь» и ЦС АВТОДОР, 2 тыс. р. -ВАТО, по 1 тыс. р. - Центральное управление дорожным транс</w:t>
      </w:r>
      <w:r w:rsidRPr="007122AB">
        <w:rPr>
          <w:rFonts w:ascii="Times New Roman" w:hAnsi="Times New Roman"/>
          <w:color w:val="000000" w:themeColor="text1"/>
          <w:sz w:val="16"/>
          <w:szCs w:val="16"/>
        </w:rPr>
        <w:softHyphen/>
        <w:t>портом (ЦУДОРТРАНС) и наркомат почт (НАРКОМПОЧ-ТЕЛЬ). Техническая комиссия проверяла качество вождения мотоциклов и признала его высоким. Красноармейцы, слабо знавшие устройство мотоцикла в сравнении с лучшими мотоци</w:t>
      </w:r>
      <w:r w:rsidRPr="007122AB">
        <w:rPr>
          <w:rFonts w:ascii="Times New Roman" w:hAnsi="Times New Roman"/>
          <w:color w:val="000000" w:themeColor="text1"/>
          <w:sz w:val="16"/>
          <w:szCs w:val="16"/>
        </w:rPr>
        <w:softHyphen/>
        <w:t>клистами, показали вполне удовлетворительные результаты. Этот факт свидетельствовал о простоте освоения вождения и об</w:t>
      </w:r>
      <w:r w:rsidRPr="007122AB">
        <w:rPr>
          <w:rFonts w:ascii="Times New Roman" w:hAnsi="Times New Roman"/>
          <w:color w:val="000000" w:themeColor="text1"/>
          <w:sz w:val="16"/>
          <w:szCs w:val="16"/>
        </w:rPr>
        <w:softHyphen/>
        <w:t>служивания мотоцикла.</w:t>
      </w:r>
    </w:p>
    <w:p w14:paraId="74A219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Москву прибыли 19 августа. Технический финиш состоялся на 11-м километре Серпуховского шоссе, где пробег официально завершился. После трёхдневного отдыха, 23 августа шесть мото</w:t>
      </w:r>
      <w:r w:rsidRPr="007122AB">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7122AB">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7122AB">
        <w:rPr>
          <w:rFonts w:ascii="Times New Roman" w:hAnsi="Times New Roman"/>
          <w:color w:val="000000" w:themeColor="text1"/>
          <w:sz w:val="16"/>
          <w:szCs w:val="16"/>
        </w:rPr>
        <w:softHyphen/>
        <w:t xml:space="preserve">щищённости от влаги. На участке Нижний Новгород-Сталинград температура металлических деталей </w:t>
      </w:r>
      <w:r w:rsidRPr="007122AB">
        <w:rPr>
          <w:rFonts w:ascii="Times New Roman" w:hAnsi="Times New Roman"/>
          <w:color w:val="000000" w:themeColor="text1"/>
          <w:sz w:val="16"/>
          <w:szCs w:val="16"/>
        </w:rPr>
        <w:lastRenderedPageBreak/>
        <w:t>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7122AB">
        <w:rPr>
          <w:rFonts w:ascii="Times New Roman" w:hAnsi="Times New Roman"/>
          <w:color w:val="000000" w:themeColor="text1"/>
          <w:sz w:val="16"/>
          <w:szCs w:val="16"/>
        </w:rPr>
        <w:softHyphen/>
        <w:t>новках и дневках, в городах и даже небольших населённых пунк</w:t>
      </w:r>
      <w:r w:rsidRPr="007122AB">
        <w:rPr>
          <w:rFonts w:ascii="Times New Roman" w:hAnsi="Times New Roman"/>
          <w:color w:val="000000" w:themeColor="text1"/>
          <w:sz w:val="16"/>
          <w:szCs w:val="16"/>
        </w:rPr>
        <w:softHyphen/>
        <w:t>тах проходили митинги [4.42].</w:t>
      </w:r>
    </w:p>
    <w:p w14:paraId="09CBCD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Руководители заинтересованных организаций, техническая комиссия, </w:t>
      </w:r>
      <w:proofErr w:type="spellStart"/>
      <w:r w:rsidRPr="007122AB">
        <w:rPr>
          <w:rFonts w:ascii="Times New Roman" w:hAnsi="Times New Roman"/>
          <w:color w:val="000000" w:themeColor="text1"/>
          <w:sz w:val="16"/>
          <w:szCs w:val="16"/>
        </w:rPr>
        <w:t>автодоровская</w:t>
      </w:r>
      <w:proofErr w:type="spellEnd"/>
      <w:r w:rsidRPr="007122AB">
        <w:rPr>
          <w:rFonts w:ascii="Times New Roman" w:hAnsi="Times New Roman"/>
          <w:color w:val="000000" w:themeColor="text1"/>
          <w:sz w:val="16"/>
          <w:szCs w:val="16"/>
        </w:rPr>
        <w:t xml:space="preserve">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7122AB">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7122AB">
        <w:rPr>
          <w:rFonts w:ascii="Times New Roman" w:hAnsi="Times New Roman"/>
          <w:color w:val="000000" w:themeColor="text1"/>
          <w:sz w:val="16"/>
          <w:szCs w:val="16"/>
        </w:rPr>
        <w:softHyphen/>
        <w:t>ность освоения в серийном производстве нового Л-300 [4.40].</w:t>
      </w:r>
    </w:p>
    <w:p w14:paraId="6A86A3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Заместитель председателя ВСНХ СССР А.П. Медведев за</w:t>
      </w:r>
      <w:r w:rsidRPr="007122AB">
        <w:rPr>
          <w:rFonts w:ascii="Times New Roman" w:hAnsi="Times New Roman"/>
          <w:color w:val="000000" w:themeColor="text1"/>
          <w:sz w:val="16"/>
          <w:szCs w:val="16"/>
        </w:rPr>
        <w:softHyphen/>
        <w:t>явил в прессе, что к концу первой пятилетки выпустят 25 тыс. мо</w:t>
      </w:r>
      <w:r w:rsidRPr="007122AB">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7122AB">
        <w:rPr>
          <w:rFonts w:ascii="Times New Roman" w:hAnsi="Times New Roman"/>
          <w:color w:val="000000" w:themeColor="text1"/>
          <w:sz w:val="16"/>
          <w:szCs w:val="16"/>
        </w:rPr>
        <w:softHyphen/>
        <w:t xml:space="preserve">водством ВСНХ, ВАТО и заинтересованных в </w:t>
      </w:r>
      <w:proofErr w:type="spellStart"/>
      <w:r w:rsidRPr="007122AB">
        <w:rPr>
          <w:rFonts w:ascii="Times New Roman" w:hAnsi="Times New Roman"/>
          <w:color w:val="000000" w:themeColor="text1"/>
          <w:sz w:val="16"/>
          <w:szCs w:val="16"/>
        </w:rPr>
        <w:t>мотоциклострое-нии</w:t>
      </w:r>
      <w:proofErr w:type="spellEnd"/>
      <w:r w:rsidRPr="007122AB">
        <w:rPr>
          <w:rFonts w:ascii="Times New Roman" w:hAnsi="Times New Roman"/>
          <w:color w:val="000000" w:themeColor="text1"/>
          <w:sz w:val="16"/>
          <w:szCs w:val="16"/>
        </w:rPr>
        <w:t xml:space="preserve"> трестов и прояснить положение дел. Выявили настораживаю</w:t>
      </w:r>
      <w:r w:rsidRPr="007122AB">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7122AB">
        <w:rPr>
          <w:rFonts w:ascii="Times New Roman" w:hAnsi="Times New Roman"/>
          <w:color w:val="000000" w:themeColor="text1"/>
          <w:sz w:val="16"/>
          <w:szCs w:val="16"/>
        </w:rPr>
        <w:softHyphen/>
        <w:t xml:space="preserve">ски отказал продолжить выпуск мотоциклов Л-300 на заводе «Красный Октябрь»; на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мотоциклы изготовили не по рас</w:t>
      </w:r>
      <w:r w:rsidRPr="007122AB">
        <w:rPr>
          <w:rFonts w:ascii="Times New Roman" w:hAnsi="Times New Roman"/>
          <w:color w:val="000000" w:themeColor="text1"/>
          <w:sz w:val="16"/>
          <w:szCs w:val="16"/>
        </w:rPr>
        <w:softHyphen/>
        <w:t>поряжению ВСНХ СССР, а благодаря увлечённости мотоцикла</w:t>
      </w:r>
      <w:r w:rsidRPr="007122AB">
        <w:rPr>
          <w:rFonts w:ascii="Times New Roman" w:hAnsi="Times New Roman"/>
          <w:color w:val="000000" w:themeColor="text1"/>
          <w:sz w:val="16"/>
          <w:szCs w:val="16"/>
        </w:rPr>
        <w:softHyphen/>
        <w:t>ми работников завода и председателя ВСНХ Украинской совет</w:t>
      </w:r>
      <w:r w:rsidRPr="007122AB">
        <w:rPr>
          <w:rFonts w:ascii="Times New Roman" w:hAnsi="Times New Roman"/>
          <w:color w:val="000000" w:themeColor="text1"/>
          <w:sz w:val="16"/>
          <w:szCs w:val="16"/>
        </w:rPr>
        <w:softHyphen/>
        <w:t>ской социалистической республики (УССР) Сухомлинова [4.44] (11429).</w:t>
      </w:r>
    </w:p>
    <w:p w14:paraId="4A41D4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4019C"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июля. Протокол заседания Политбюро ЦК ВКП(б) № 49. Опросом членов ПБ от 15 июля 1931 г. 41/17. О выполнении решения ПБ о состоянии производств, обслуживающих автотракторную промышленность, в частности, производства магнето (ПБ от 5 марта 1931 г., пр. № 28, п. 12д). 47/23. О технических качествах самолетов (ПБ от 20 мая 1931 г., пр. № 39, п. 30/33). (Политбюро... Т. 2. С. 193) (12416).</w:t>
      </w:r>
    </w:p>
    <w:p w14:paraId="153E9617" w14:textId="77777777" w:rsidR="00BB323F" w:rsidRPr="007122AB" w:rsidRDefault="00BB323F" w:rsidP="007122AB">
      <w:pPr>
        <w:spacing w:after="0" w:line="240" w:lineRule="auto"/>
        <w:jc w:val="both"/>
        <w:rPr>
          <w:rFonts w:ascii="Times New Roman" w:hAnsi="Times New Roman"/>
          <w:color w:val="000000" w:themeColor="text1"/>
          <w:sz w:val="16"/>
          <w:szCs w:val="16"/>
          <w:u w:color="002060"/>
        </w:rPr>
      </w:pPr>
    </w:p>
    <w:p w14:paraId="1D10B0B9"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15 июля 1931</w:t>
      </w:r>
      <w:r w:rsidRPr="007122AB">
        <w:rPr>
          <w:rFonts w:ascii="Times New Roman" w:hAnsi="Times New Roman"/>
          <w:color w:val="000000" w:themeColor="text1"/>
          <w:sz w:val="16"/>
          <w:szCs w:val="16"/>
        </w:rPr>
        <w:t>Политбюро ЦК ВКП (б) приняло решение о строительстве моторного завода в Уфе; одобрило постановление президиума ВСНХ о разукрупнении объединений промышленности; утвердило проект постановления ЦК ВКП(б) «Об упорядочении проведения непрерывной производственной недели и ликвидации обезлички» и создало комиссию для разрешения всех связанных с этим вопросов; приняло предложение комиссии о. мерах по усилению производства экскаваторов и оборудования для хлебозаводов; приняло предложение ВСНХ о производстве рельс в 1931 г., предложив директорам заводов каждые 5 дней сообщать в ЦК ВКП (б) сведения о ходе поставки рельс (12265).</w:t>
      </w:r>
    </w:p>
    <w:p w14:paraId="24585DCF"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D13954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353B9A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05760F" w14:textId="77777777" w:rsidR="0005751F" w:rsidRPr="007122AB" w:rsidRDefault="0005751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В середине июля 1931 было письмо завода № 39 </w:t>
      </w:r>
      <w:r w:rsidRPr="007122AB">
        <w:rPr>
          <w:color w:val="000000" w:themeColor="text1"/>
          <w:sz w:val="16"/>
          <w:szCs w:val="16"/>
        </w:rPr>
        <w:t>ближайшему помощнику и сотруднику Г.Г. Ягоды, комиссару I ранга Государственной безопасности Г.Е. Прокофьеву</w:t>
      </w:r>
    </w:p>
    <w:p w14:paraId="128F011B" w14:textId="77777777" w:rsidR="0005751F" w:rsidRPr="007122AB" w:rsidRDefault="0005751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Дорогой ГЕОРГИЙ ЕВГЕНЬЕВИЧ!</w:t>
      </w:r>
    </w:p>
    <w:p w14:paraId="132A329E" w14:textId="77777777" w:rsidR="0005751F" w:rsidRPr="007122AB" w:rsidRDefault="0005751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Вчера, Постановлением ЦИК Союза, ЦКБ и завод № 39 им. Менжинского получили награды.</w:t>
      </w:r>
    </w:p>
    <w:p w14:paraId="54E487A7" w14:textId="77777777" w:rsidR="0005751F" w:rsidRPr="007122AB" w:rsidRDefault="0005751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Принимая утвержденные Партией и Правительством награды и считая их нами заслуженными упорной работой, сметающей с пути все препятствия в неустанном движении поставленным задачам, мы, коллектив рабочих и инженерно-технических работников ЦКБ не можем не вспомнить Тебя, дорогой Георгий Евгеньевич, первого смелого инициатора нашей молодой организации, старого Чекиста, революционера, первого поставившего вопрос об использовании вчерашних врагов Революции - вредителей инженеров Авиации – на службу укрепления Пролетарской Армии в предстоящих решительных боях за Коммунизм.</w:t>
      </w:r>
    </w:p>
    <w:p w14:paraId="5E34EA9B" w14:textId="77777777" w:rsidR="0005751F" w:rsidRPr="007122AB" w:rsidRDefault="0005751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Считаем, что вместе с нами Ты разделишь нашу радость в достигнутых успехах, шлем Тебе дорогой Георгий Евгеньевич наш пролетарский привет, нашу благодарность за внимание, помощь во всей нашей успешной работе под Твоим руководством, приведшим к перевооружению Воздушного флота.</w:t>
      </w:r>
    </w:p>
    <w:p w14:paraId="2F192D74" w14:textId="77777777" w:rsidR="0005751F" w:rsidRPr="007122AB" w:rsidRDefault="0005751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Надеемся, что и в дальнейшем, как и в первом успешно пройденном пути нашей работы, Ты, испытанный опытный руководитель, организатор ряда Конструкторских Бюро и в будущем не откажешь в своем руководстве.</w:t>
      </w:r>
    </w:p>
    <w:p w14:paraId="73F17941" w14:textId="77777777" w:rsidR="0005751F" w:rsidRPr="007122AB" w:rsidRDefault="0005751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Посылая Тебе наш дружеский братский привет, заверяем Тебя и Председателя ОГПУ тов. Менжинского, имя которого носит наш завод и неутомимого славного Чекиста тов. Ягоду, что мы отдадим все силы, знания на превышение достигнутых результатов, темпов в деле построения Социалистической Экономики Союза для ускорения свержения власти капитала.</w:t>
      </w:r>
    </w:p>
    <w:p w14:paraId="11C5A2B6" w14:textId="77777777" w:rsidR="0005751F" w:rsidRPr="007122AB" w:rsidRDefault="0005751F" w:rsidP="007122AB">
      <w:pPr>
        <w:pStyle w:val="rteindent11"/>
        <w:shd w:val="clear" w:color="auto" w:fill="FFFFFF"/>
        <w:spacing w:before="0" w:beforeAutospacing="0" w:after="0"/>
        <w:ind w:left="0" w:firstLine="0"/>
        <w:rPr>
          <w:color w:val="000000" w:themeColor="text1"/>
          <w:sz w:val="16"/>
          <w:szCs w:val="16"/>
        </w:rPr>
      </w:pPr>
      <w:r w:rsidRPr="007122AB">
        <w:rPr>
          <w:rStyle w:val="af0"/>
          <w:i w:val="0"/>
          <w:color w:val="000000" w:themeColor="text1"/>
          <w:sz w:val="16"/>
          <w:szCs w:val="16"/>
        </w:rPr>
        <w:t xml:space="preserve">Начальник ЦКБ </w:t>
      </w:r>
      <w:proofErr w:type="spellStart"/>
      <w:r w:rsidRPr="007122AB">
        <w:rPr>
          <w:rStyle w:val="af0"/>
          <w:i w:val="0"/>
          <w:color w:val="000000" w:themeColor="text1"/>
          <w:sz w:val="16"/>
          <w:szCs w:val="16"/>
        </w:rPr>
        <w:t>Горянов</w:t>
      </w:r>
      <w:proofErr w:type="spellEnd"/>
    </w:p>
    <w:p w14:paraId="65FFC967" w14:textId="77777777" w:rsidR="0005751F" w:rsidRPr="007122AB" w:rsidRDefault="0005751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Зам. начальника ЦКБ и директор завода </w:t>
      </w:r>
      <w:proofErr w:type="spellStart"/>
      <w:r w:rsidRPr="007122AB">
        <w:rPr>
          <w:rStyle w:val="af0"/>
          <w:i w:val="0"/>
          <w:color w:val="000000" w:themeColor="text1"/>
          <w:sz w:val="16"/>
          <w:szCs w:val="16"/>
        </w:rPr>
        <w:t>Пауфлер</w:t>
      </w:r>
      <w:proofErr w:type="spellEnd"/>
    </w:p>
    <w:p w14:paraId="20DE517B" w14:textId="77777777" w:rsidR="0005751F" w:rsidRPr="007122AB" w:rsidRDefault="0005751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 xml:space="preserve">Секретарь ячейки ВКП(б) </w:t>
      </w:r>
      <w:proofErr w:type="spellStart"/>
      <w:r w:rsidRPr="007122AB">
        <w:rPr>
          <w:rStyle w:val="af0"/>
          <w:i w:val="0"/>
          <w:color w:val="000000" w:themeColor="text1"/>
          <w:sz w:val="16"/>
          <w:szCs w:val="16"/>
        </w:rPr>
        <w:t>Сачковский</w:t>
      </w:r>
      <w:proofErr w:type="spellEnd"/>
    </w:p>
    <w:p w14:paraId="0BE8A617" w14:textId="77777777" w:rsidR="0005751F" w:rsidRPr="007122AB" w:rsidRDefault="0005751F" w:rsidP="007122AB">
      <w:pPr>
        <w:pStyle w:val="rteindent11"/>
        <w:shd w:val="clear" w:color="auto" w:fill="FFFFFF"/>
        <w:spacing w:before="0" w:beforeAutospacing="0" w:after="0"/>
        <w:ind w:left="0" w:firstLine="0"/>
        <w:rPr>
          <w:rStyle w:val="af0"/>
          <w:i w:val="0"/>
          <w:color w:val="000000" w:themeColor="text1"/>
          <w:sz w:val="16"/>
          <w:szCs w:val="16"/>
        </w:rPr>
      </w:pPr>
      <w:r w:rsidRPr="007122AB">
        <w:rPr>
          <w:rStyle w:val="af0"/>
          <w:i w:val="0"/>
          <w:color w:val="000000" w:themeColor="text1"/>
          <w:sz w:val="16"/>
          <w:szCs w:val="16"/>
        </w:rPr>
        <w:t>Председатель завкома Царев (15223).</w:t>
      </w:r>
    </w:p>
    <w:p w14:paraId="773881FD" w14:textId="77777777" w:rsidR="0005751F" w:rsidRPr="007122AB" w:rsidRDefault="0005751F" w:rsidP="007122AB">
      <w:pPr>
        <w:pStyle w:val="rteindent11"/>
        <w:shd w:val="clear" w:color="auto" w:fill="FFFFFF"/>
        <w:spacing w:before="0" w:beforeAutospacing="0" w:after="0"/>
        <w:ind w:left="0" w:firstLine="0"/>
        <w:rPr>
          <w:rStyle w:val="af0"/>
          <w:i w:val="0"/>
          <w:color w:val="000000" w:themeColor="text1"/>
          <w:sz w:val="16"/>
          <w:szCs w:val="16"/>
        </w:rPr>
      </w:pPr>
    </w:p>
    <w:p w14:paraId="4DDFC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июля 1931 г. из заключения освободили Поликарпова и других инженеров (9536,4).</w:t>
      </w:r>
    </w:p>
    <w:p w14:paraId="1D92ED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AEFCF5" w14:textId="77777777" w:rsidR="0005751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C2AFD39" w14:textId="77777777" w:rsidR="0005751F" w:rsidRPr="007122AB" w:rsidRDefault="0005751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4152B7" w14:textId="77777777" w:rsidR="0005751F" w:rsidRPr="007122AB" w:rsidRDefault="0005751F" w:rsidP="007122AB">
      <w:pPr>
        <w:pStyle w:val="a3"/>
        <w:rPr>
          <w:color w:val="000000" w:themeColor="text1"/>
          <w:lang w:val="ru-RU"/>
        </w:rPr>
      </w:pPr>
      <w:r w:rsidRPr="007122AB">
        <w:rPr>
          <w:color w:val="000000" w:themeColor="text1"/>
          <w:lang w:val="ru-RU"/>
        </w:rPr>
        <w:t>В середине июля 1931 прошли приемочные испытания танка Виккерс 12-тонный №4 (№232), а 1 августа он был отправлен в СССР на пароходе «Смольный». Пя</w:t>
      </w:r>
      <w:r w:rsidRPr="007122AB">
        <w:rPr>
          <w:color w:val="000000" w:themeColor="text1"/>
          <w:lang w:val="ru-RU"/>
        </w:rPr>
        <w:softHyphen/>
        <w:t xml:space="preserve">тый 12-тонный танк (№233) после сдаточных испытаний отправили через несколько дней. В том же месяце были приняты и отправлены танки №6, №7, №8, №9 и № 10. Однако при проведении </w:t>
      </w:r>
      <w:proofErr w:type="spellStart"/>
      <w:r w:rsidRPr="007122AB">
        <w:rPr>
          <w:color w:val="000000" w:themeColor="text1"/>
          <w:lang w:val="ru-RU"/>
        </w:rPr>
        <w:t>пробеговых</w:t>
      </w:r>
      <w:proofErr w:type="spellEnd"/>
      <w:r w:rsidRPr="007122AB">
        <w:rPr>
          <w:color w:val="000000" w:themeColor="text1"/>
          <w:lang w:val="ru-RU"/>
        </w:rPr>
        <w:t xml:space="preserve"> испы</w:t>
      </w:r>
      <w:r w:rsidRPr="007122AB">
        <w:rPr>
          <w:color w:val="000000" w:themeColor="text1"/>
          <w:lang w:val="ru-RU"/>
        </w:rPr>
        <w:softHyphen/>
        <w:t>таний в Англии обнаружился еще один недоста</w:t>
      </w:r>
      <w:r w:rsidRPr="007122AB">
        <w:rPr>
          <w:color w:val="000000" w:themeColor="text1"/>
          <w:lang w:val="ru-RU"/>
        </w:rPr>
        <w:softHyphen/>
        <w:t>ток - разбалтывание заклепок траков (случа</w:t>
      </w:r>
      <w:r w:rsidRPr="007122AB">
        <w:rPr>
          <w:color w:val="000000" w:themeColor="text1"/>
          <w:lang w:val="ru-RU"/>
        </w:rPr>
        <w:softHyphen/>
        <w:t>лось, что после пробегов приходилось менять до 17 плиц). Их замена оказалась крайне затрудне</w:t>
      </w:r>
      <w:r w:rsidRPr="007122AB">
        <w:rPr>
          <w:color w:val="000000" w:themeColor="text1"/>
          <w:lang w:val="ru-RU"/>
        </w:rPr>
        <w:softHyphen/>
        <w:t xml:space="preserve">на, так как требовалось предварительно срубать ослабевшие заклепки. Тогда было решено: установить на танк </w:t>
      </w:r>
      <w:r w:rsidRPr="007122AB">
        <w:rPr>
          <w:color w:val="000000" w:themeColor="text1"/>
        </w:rPr>
        <w:t>N</w:t>
      </w:r>
      <w:r w:rsidRPr="007122AB">
        <w:rPr>
          <w:color w:val="000000" w:themeColor="text1"/>
          <w:lang w:val="ru-RU"/>
        </w:rPr>
        <w:t xml:space="preserve"> 9 одну гусеницу со </w:t>
      </w:r>
      <w:proofErr w:type="spellStart"/>
      <w:r w:rsidRPr="007122AB">
        <w:rPr>
          <w:color w:val="000000" w:themeColor="text1"/>
          <w:lang w:val="ru-RU"/>
        </w:rPr>
        <w:t>старыси</w:t>
      </w:r>
      <w:proofErr w:type="spellEnd"/>
      <w:r w:rsidRPr="007122AB">
        <w:rPr>
          <w:color w:val="000000" w:themeColor="text1"/>
          <w:lang w:val="ru-RU"/>
        </w:rPr>
        <w:t xml:space="preserve"> заклепками, а другую - с заклепками </w:t>
      </w:r>
      <w:proofErr w:type="spellStart"/>
      <w:r w:rsidRPr="007122AB">
        <w:rPr>
          <w:color w:val="000000" w:themeColor="text1"/>
          <w:lang w:val="ru-RU"/>
        </w:rPr>
        <w:t>вполупотай</w:t>
      </w:r>
      <w:proofErr w:type="spellEnd"/>
      <w:r w:rsidRPr="007122AB">
        <w:rPr>
          <w:color w:val="000000" w:themeColor="text1"/>
          <w:lang w:val="ru-RU"/>
        </w:rPr>
        <w:t>. Последний вариант показал удовлетворительные результаты на испытаниях, и начиная с этого танка все машины оснащались такими гусеницами (15745).</w:t>
      </w:r>
    </w:p>
    <w:p w14:paraId="7D0F1C9B" w14:textId="77777777" w:rsidR="0005751F" w:rsidRPr="007122AB" w:rsidRDefault="0005751F" w:rsidP="007122AB">
      <w:pPr>
        <w:pStyle w:val="a3"/>
        <w:rPr>
          <w:color w:val="000000" w:themeColor="text1"/>
          <w:lang w:val="ru-RU"/>
        </w:rPr>
      </w:pPr>
    </w:p>
    <w:p w14:paraId="47C95654" w14:textId="77777777" w:rsidR="00697DA5" w:rsidRPr="007122AB" w:rsidRDefault="00697DA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2019D46" w14:textId="77777777" w:rsidR="00697DA5" w:rsidRPr="007122AB" w:rsidRDefault="00697DA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FB4837" w14:textId="77777777" w:rsidR="00697DA5" w:rsidRPr="007122AB" w:rsidRDefault="00697DA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середине июля 1931 г. Каганович и Булганин предложили Сталину создать специальное учреждение по строительству метро. Как и другие «гиганты пятилетки», стройка должна была носить общегосударственный характер и снабжаться в привилегированном режиме. Руководство предприятием следовало поручить специалисту с практическим опытом </w:t>
      </w:r>
      <w:proofErr w:type="spellStart"/>
      <w:r w:rsidRPr="007122AB">
        <w:rPr>
          <w:rFonts w:ascii="Times New Roman" w:hAnsi="Times New Roman"/>
          <w:color w:val="000000" w:themeColor="text1"/>
          <w:sz w:val="16"/>
          <w:szCs w:val="16"/>
        </w:rPr>
        <w:t>работына</w:t>
      </w:r>
      <w:proofErr w:type="spellEnd"/>
      <w:r w:rsidRPr="007122AB">
        <w:rPr>
          <w:rFonts w:ascii="Times New Roman" w:hAnsi="Times New Roman"/>
          <w:color w:val="000000" w:themeColor="text1"/>
          <w:sz w:val="16"/>
          <w:szCs w:val="16"/>
        </w:rPr>
        <w:t xml:space="preserve"> крупных стройках. Каганович и Булганин предложили кандидатуру инженера А. В. Винтера, который успешно руководил сооружением плотины гидроэлектростанции на Днепре (</w:t>
      </w:r>
      <w:proofErr w:type="spellStart"/>
      <w:r w:rsidRPr="007122AB">
        <w:rPr>
          <w:rFonts w:ascii="Times New Roman" w:hAnsi="Times New Roman"/>
          <w:color w:val="000000" w:themeColor="text1"/>
          <w:sz w:val="16"/>
          <w:szCs w:val="16"/>
        </w:rPr>
        <w:t>Днепрострой</w:t>
      </w:r>
      <w:proofErr w:type="spellEnd"/>
      <w:r w:rsidRPr="007122AB">
        <w:rPr>
          <w:rFonts w:ascii="Times New Roman" w:hAnsi="Times New Roman"/>
          <w:color w:val="000000" w:themeColor="text1"/>
          <w:sz w:val="16"/>
          <w:szCs w:val="16"/>
        </w:rPr>
        <w:t>) и в неофициальных переговорах дал свое принципиальное согласие{353}.</w:t>
      </w:r>
    </w:p>
    <w:p w14:paraId="5D0E5240" w14:textId="77777777" w:rsidR="00697DA5" w:rsidRPr="007122AB" w:rsidRDefault="00697DA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В конце июля Политбюро обсудило вопрос и высказалось в пользу не Винтера, а его заместителя Павла Павловича </w:t>
      </w:r>
      <w:proofErr w:type="spellStart"/>
      <w:r w:rsidRPr="007122AB">
        <w:rPr>
          <w:rFonts w:ascii="Times New Roman" w:hAnsi="Times New Roman"/>
          <w:color w:val="000000" w:themeColor="text1"/>
          <w:sz w:val="16"/>
          <w:szCs w:val="16"/>
        </w:rPr>
        <w:t>Ротерта</w:t>
      </w:r>
      <w:proofErr w:type="spellEnd"/>
      <w:r w:rsidRPr="007122AB">
        <w:rPr>
          <w:rFonts w:ascii="Times New Roman" w:hAnsi="Times New Roman"/>
          <w:color w:val="000000" w:themeColor="text1"/>
          <w:sz w:val="16"/>
          <w:szCs w:val="16"/>
        </w:rPr>
        <w:t xml:space="preserve">. Орджоникидзе и Кагановичу поручили переговорить с </w:t>
      </w:r>
      <w:proofErr w:type="spellStart"/>
      <w:r w:rsidRPr="007122AB">
        <w:rPr>
          <w:rFonts w:ascii="Times New Roman" w:hAnsi="Times New Roman"/>
          <w:color w:val="000000" w:themeColor="text1"/>
          <w:sz w:val="16"/>
          <w:szCs w:val="16"/>
        </w:rPr>
        <w:t>Ротерт.ом</w:t>
      </w:r>
      <w:proofErr w:type="spellEnd"/>
      <w:r w:rsidRPr="007122AB">
        <w:rPr>
          <w:rFonts w:ascii="Times New Roman" w:hAnsi="Times New Roman"/>
          <w:color w:val="000000" w:themeColor="text1"/>
          <w:sz w:val="16"/>
          <w:szCs w:val="16"/>
        </w:rPr>
        <w:t xml:space="preserve">. 5 августа 1931 г. тот был утвержден в должности начальника строительства московского метро с обязательством не позднее 1 мая 1932 г. быть в полном распоряжении для выполнения этой задачи{354}.Дело в том, что </w:t>
      </w:r>
      <w:proofErr w:type="spellStart"/>
      <w:r w:rsidRPr="007122AB">
        <w:rPr>
          <w:rFonts w:ascii="Times New Roman" w:hAnsi="Times New Roman"/>
          <w:color w:val="000000" w:themeColor="text1"/>
          <w:sz w:val="16"/>
          <w:szCs w:val="16"/>
        </w:rPr>
        <w:t>Ротерт</w:t>
      </w:r>
      <w:proofErr w:type="spellEnd"/>
      <w:r w:rsidRPr="007122AB">
        <w:rPr>
          <w:rFonts w:ascii="Times New Roman" w:hAnsi="Times New Roman"/>
          <w:color w:val="000000" w:themeColor="text1"/>
          <w:sz w:val="16"/>
          <w:szCs w:val="16"/>
        </w:rPr>
        <w:t xml:space="preserve">. был еще занят на </w:t>
      </w:r>
      <w:proofErr w:type="spellStart"/>
      <w:r w:rsidRPr="007122AB">
        <w:rPr>
          <w:rFonts w:ascii="Times New Roman" w:hAnsi="Times New Roman"/>
          <w:color w:val="000000" w:themeColor="text1"/>
          <w:sz w:val="16"/>
          <w:szCs w:val="16"/>
        </w:rPr>
        <w:t>Днепрострое</w:t>
      </w:r>
      <w:proofErr w:type="spellEnd"/>
      <w:r w:rsidRPr="007122AB">
        <w:rPr>
          <w:rFonts w:ascii="Times New Roman" w:hAnsi="Times New Roman"/>
          <w:color w:val="000000" w:themeColor="text1"/>
          <w:sz w:val="16"/>
          <w:szCs w:val="16"/>
        </w:rPr>
        <w:t>, откуда был окончательно уволен только 8 мая 1932 г.{355} (18299).</w:t>
      </w:r>
    </w:p>
    <w:p w14:paraId="09764D27" w14:textId="77777777" w:rsidR="00697DA5" w:rsidRPr="007122AB" w:rsidRDefault="00697DA5" w:rsidP="007122AB">
      <w:pPr>
        <w:spacing w:after="0" w:line="240" w:lineRule="auto"/>
        <w:jc w:val="both"/>
        <w:rPr>
          <w:rFonts w:ascii="Times New Roman" w:hAnsi="Times New Roman"/>
          <w:color w:val="000000" w:themeColor="text1"/>
          <w:sz w:val="16"/>
          <w:szCs w:val="16"/>
        </w:rPr>
      </w:pPr>
    </w:p>
    <w:p w14:paraId="1A7A73D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6BB9C9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72DB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июля 1931 при полете на И-4 у </w:t>
      </w:r>
      <w:proofErr w:type="spellStart"/>
      <w:r w:rsidRPr="007122AB">
        <w:rPr>
          <w:rFonts w:ascii="Times New Roman" w:hAnsi="Times New Roman"/>
          <w:color w:val="000000" w:themeColor="text1"/>
          <w:sz w:val="16"/>
          <w:szCs w:val="16"/>
        </w:rPr>
        <w:t>А.Ф.Анисимова</w:t>
      </w:r>
      <w:proofErr w:type="spellEnd"/>
      <w:r w:rsidRPr="007122AB">
        <w:rPr>
          <w:rFonts w:ascii="Times New Roman" w:hAnsi="Times New Roman"/>
          <w:color w:val="000000" w:themeColor="text1"/>
          <w:sz w:val="16"/>
          <w:szCs w:val="16"/>
        </w:rPr>
        <w:t xml:space="preserve"> оборвалась верхняя обшивка правого крыла, но сумел приземлиться на ЦА (172,46).</w:t>
      </w:r>
    </w:p>
    <w:p w14:paraId="3F6B8D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F305D4" w14:textId="77777777" w:rsidR="00472582" w:rsidRPr="007122AB" w:rsidRDefault="0047258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C336B82" w14:textId="77777777" w:rsidR="00472582" w:rsidRPr="007122AB" w:rsidRDefault="0047258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6BAF34"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июля 1931 года — первый полёт гоночного гидросамолёта </w:t>
      </w:r>
      <w:proofErr w:type="spellStart"/>
      <w:r w:rsidRPr="007122AB">
        <w:rPr>
          <w:rFonts w:ascii="Times New Roman" w:hAnsi="Times New Roman"/>
          <w:color w:val="000000" w:themeColor="text1"/>
          <w:sz w:val="16"/>
          <w:szCs w:val="16"/>
        </w:rPr>
        <w:t>Macchi</w:t>
      </w:r>
      <w:proofErr w:type="spellEnd"/>
      <w:r w:rsidRPr="007122AB">
        <w:rPr>
          <w:rFonts w:ascii="Times New Roman" w:hAnsi="Times New Roman"/>
          <w:color w:val="000000" w:themeColor="text1"/>
          <w:sz w:val="16"/>
          <w:szCs w:val="16"/>
        </w:rPr>
        <w:t xml:space="preserve"> M.C.72. /Италия/</w:t>
      </w:r>
    </w:p>
    <w:p w14:paraId="312D266C"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Кубком Шнейдера 1931 года на счету британской команды было 2 победы подряд. По правилам, третья победа навечно оставляла трофей в Великобритании. Италия прикладывала все усилия, чтобы не допустить этого. Под руководством ведущего конструктора компании Aeronautica </w:t>
      </w:r>
      <w:proofErr w:type="spellStart"/>
      <w:r w:rsidRPr="007122AB">
        <w:rPr>
          <w:rFonts w:ascii="Times New Roman" w:hAnsi="Times New Roman"/>
          <w:color w:val="000000" w:themeColor="text1"/>
          <w:sz w:val="16"/>
          <w:szCs w:val="16"/>
        </w:rPr>
        <w:t>Macchi</w:t>
      </w:r>
      <w:proofErr w:type="spellEnd"/>
      <w:r w:rsidRPr="007122AB">
        <w:rPr>
          <w:rFonts w:ascii="Times New Roman" w:hAnsi="Times New Roman"/>
          <w:color w:val="000000" w:themeColor="text1"/>
          <w:sz w:val="16"/>
          <w:szCs w:val="16"/>
        </w:rPr>
        <w:t xml:space="preserve"> Марио </w:t>
      </w:r>
      <w:proofErr w:type="spellStart"/>
      <w:r w:rsidRPr="007122AB">
        <w:rPr>
          <w:rFonts w:ascii="Times New Roman" w:hAnsi="Times New Roman"/>
          <w:color w:val="000000" w:themeColor="text1"/>
          <w:sz w:val="16"/>
          <w:szCs w:val="16"/>
        </w:rPr>
        <w:t>Кастольди</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Mario</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Castoldi</w:t>
      </w:r>
      <w:proofErr w:type="spellEnd"/>
      <w:r w:rsidRPr="007122AB">
        <w:rPr>
          <w:rFonts w:ascii="Times New Roman" w:hAnsi="Times New Roman"/>
          <w:color w:val="000000" w:themeColor="text1"/>
          <w:sz w:val="16"/>
          <w:szCs w:val="16"/>
        </w:rPr>
        <w:t>) спроектировали гидросамолёт M.C.72.</w:t>
      </w:r>
    </w:p>
    <w:p w14:paraId="2C27D07B"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 был низкоплан с поплавковым шасси, развивавший идеи предыдущих проектов </w:t>
      </w:r>
      <w:proofErr w:type="spellStart"/>
      <w:r w:rsidRPr="007122AB">
        <w:rPr>
          <w:rFonts w:ascii="Times New Roman" w:hAnsi="Times New Roman"/>
          <w:color w:val="000000" w:themeColor="text1"/>
          <w:sz w:val="16"/>
          <w:szCs w:val="16"/>
        </w:rPr>
        <w:t>Кастольди</w:t>
      </w:r>
      <w:proofErr w:type="spellEnd"/>
      <w:r w:rsidRPr="007122AB">
        <w:rPr>
          <w:rFonts w:ascii="Times New Roman" w:hAnsi="Times New Roman"/>
          <w:color w:val="000000" w:themeColor="text1"/>
          <w:sz w:val="16"/>
          <w:szCs w:val="16"/>
        </w:rPr>
        <w:t xml:space="preserve"> — M.67 и M.39. Оснащался 24-цилиндровым двигателем Fiat AS.6 мощностью 2851 л.с. (позже форсировали до 3100 л.с.)</w:t>
      </w:r>
    </w:p>
    <w:p w14:paraId="0E75D0F5"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Из-за проблем с двигателем M.C.72 не принял участие в Кубке Шнейдера. Но 23 октября 1934 года на нём был установлен мировой рекорд скорости для поршневых гидросамолётов — 709,207 км/ч. Он не побит до сих пор! Всего построили 5 самолётов M.C.72, два из которых разбились, унеся жизни пилотов. Сохранившийся рекордный гидросамолёт находится в музее итальянских ВВС (22300).</w:t>
      </w:r>
    </w:p>
    <w:p w14:paraId="58DE0B6A" w14:textId="77777777" w:rsidR="00472582" w:rsidRPr="007122AB" w:rsidRDefault="00472582" w:rsidP="007122AB">
      <w:pPr>
        <w:spacing w:after="0" w:line="240" w:lineRule="auto"/>
        <w:jc w:val="both"/>
        <w:rPr>
          <w:rFonts w:ascii="Times New Roman" w:hAnsi="Times New Roman"/>
          <w:color w:val="000000" w:themeColor="text1"/>
          <w:sz w:val="16"/>
          <w:szCs w:val="16"/>
        </w:rPr>
      </w:pPr>
    </w:p>
    <w:p w14:paraId="1C1C89C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DDD62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20E9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17 и 23 июля 1931. Из протокола заседания Политбюро № 51, 1931 г.</w:t>
      </w:r>
    </w:p>
    <w:p w14:paraId="66B4A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мероприятиях по борьбе с антисанитарным состоянием рабочих поселков, общежитий и учреждений общественного питания</w:t>
      </w:r>
    </w:p>
    <w:p w14:paraId="3C175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ЦК констатирует, что </w:t>
      </w:r>
      <w:proofErr w:type="spellStart"/>
      <w:r w:rsidRPr="007122AB">
        <w:rPr>
          <w:rFonts w:ascii="Times New Roman" w:hAnsi="Times New Roman"/>
          <w:color w:val="000000" w:themeColor="text1"/>
          <w:sz w:val="16"/>
          <w:szCs w:val="16"/>
        </w:rPr>
        <w:t>наркомздравы</w:t>
      </w:r>
      <w:proofErr w:type="spellEnd"/>
      <w:r w:rsidRPr="007122AB">
        <w:rPr>
          <w:rFonts w:ascii="Times New Roman" w:hAnsi="Times New Roman"/>
          <w:color w:val="000000" w:themeColor="text1"/>
          <w:sz w:val="16"/>
          <w:szCs w:val="16"/>
        </w:rPr>
        <w:t xml:space="preserve"> союзных республик: </w:t>
      </w:r>
    </w:p>
    <w:p w14:paraId="66373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не ведут большевистской борьбы с антисанитарным состоянием рабочих общежитий и поселков; </w:t>
      </w:r>
    </w:p>
    <w:p w14:paraId="6E8E3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не осуществляют никакого надзора за культурным состоянием заводских столовых и других закрытых и открытых учреждений общественного питания; </w:t>
      </w:r>
    </w:p>
    <w:p w14:paraId="61AE1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не обеспечили медицинской помощи на лесоразработках, лесосплаве, на сезонно-дорожных, земляных и других работах. </w:t>
      </w:r>
    </w:p>
    <w:p w14:paraId="6DB81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ЦК постановляет: </w:t>
      </w:r>
    </w:p>
    <w:p w14:paraId="49B695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Указать наркомам здравоохранения союзных республик на их бездеятельность в деле борьбы с антисанитарным состоянием рабочих поселков, общежитий и учреждений общественного питания. </w:t>
      </w:r>
    </w:p>
    <w:p w14:paraId="7C9C89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Предложить под личную ответственность наркомов здравоохранения союзных республик в декадный срок развернуть эту работу, выделить специальных инспекторов санитарного надзора, на обязанность которых возложить повседневное наблюдение за культурным состоянием указанных учреждений и с правом привлекать к строжайшей ответственности (наложение штрафов, передача в суд) виновных в антисанитарном состоянии этих учреждений; </w:t>
      </w:r>
      <w:proofErr w:type="spellStart"/>
      <w:r w:rsidRPr="007122AB">
        <w:rPr>
          <w:rFonts w:ascii="Times New Roman" w:hAnsi="Times New Roman"/>
          <w:color w:val="000000" w:themeColor="text1"/>
          <w:sz w:val="16"/>
          <w:szCs w:val="16"/>
        </w:rPr>
        <w:t>наркомздравам</w:t>
      </w:r>
      <w:proofErr w:type="spellEnd"/>
      <w:r w:rsidRPr="007122AB">
        <w:rPr>
          <w:rFonts w:ascii="Times New Roman" w:hAnsi="Times New Roman"/>
          <w:color w:val="000000" w:themeColor="text1"/>
          <w:sz w:val="16"/>
          <w:szCs w:val="16"/>
        </w:rPr>
        <w:t xml:space="preserve"> союзных республик организовать дело оказания медицинской помощи в районе лесоразработок, сплава, погрузки, а также сезонных, дорожных и других работ. </w:t>
      </w:r>
    </w:p>
    <w:p w14:paraId="1C445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Поручить СНК СССР разработать положение о санитарной инспекции, правила санитарного надзора и определить меры взыскания, применяемые в отношении лиц, виновных в нарушении этих правил (11652).</w:t>
      </w:r>
    </w:p>
    <w:p w14:paraId="05022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DF14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17 и 23 июля 1931. Из протокола заседания Политбюро № 50, 1931 г.</w:t>
      </w:r>
    </w:p>
    <w:p w14:paraId="32316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Постановление СНК СССР о ликвидации задолженности учителям </w:t>
      </w:r>
    </w:p>
    <w:p w14:paraId="2C2A2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Отпустить из резервного фонда СНК СССР 7 млн рублей на ликвидацию задолженности учителям по тем областям, которые в данный момент полностью не могут за счет местного бюджета покрыть эту задолженность (по УССР — 1 млн руб., РСФСР — 5,5 млн рублей и по остальным союзным республикам — 0,5 млн рублей) (11652).</w:t>
      </w:r>
    </w:p>
    <w:p w14:paraId="6820D3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4DAED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538E6B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F6C8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июля 1931 года Начальник НИИ Дубенский утвердил результаты:</w:t>
      </w:r>
    </w:p>
    <w:p w14:paraId="1074CD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ДИ3 БМВ VI – опытный экземпляр</w:t>
      </w:r>
    </w:p>
    <w:p w14:paraId="6C080C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Постройки ЦКБ завода № 39 № 17115</w:t>
      </w:r>
    </w:p>
    <w:p w14:paraId="0BC66C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получен на испытания – 10 апреля 1931 года</w:t>
      </w:r>
    </w:p>
    <w:p w14:paraId="56360B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окончены – 12 июля 1931 года</w:t>
      </w:r>
    </w:p>
    <w:p w14:paraId="726646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число дней – 92</w:t>
      </w:r>
    </w:p>
    <w:p w14:paraId="58A265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летал – 24 дня</w:t>
      </w:r>
    </w:p>
    <w:p w14:paraId="692E5E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36 с налетом 28, 5 часов</w:t>
      </w:r>
    </w:p>
    <w:p w14:paraId="32E51B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A6FE5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51D451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5955A8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4D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июля 1931 состоялось первое совещание группы, которая потом стала ядром ГИРД (сначала бюро ИРД) (388,58).</w:t>
      </w:r>
    </w:p>
    <w:p w14:paraId="0EDC31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51E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июля 1931 г. при ЦС Осоавиахима создано общественное бюро изучения реактивного движения, 20.09.1931 г. оно преобразовано в ГИРД, которая называлась вначале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затем- Центральная ГИРД (ЦГИРД). Организаторами ГИРД были С.П. Королев, Ф.А. Цандер, М.К. Тихонравов, Ю.А. Победоносцев. Группа располагалась в подвале дома № 19 по ул. Садово-Черногрязской, вместе с ЦКБ по планерам Осоавиахима, которое возглавлял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 В 1931 г. в ГИРД организовано 4 бригады: № 1 (далее - КБ-7 РНИИ) - разработка жидкостных двигателей для ракетоплана; № 2 - жидкостных баллистических ракет; № 3 - ПВРД, газодинамических испытательных установок; № 4 - ракетопланов и крылатых ракет. В 04.1931 г. было принято решение о создании Опытного ракетного завода ЦГИРД.</w:t>
      </w:r>
    </w:p>
    <w:p w14:paraId="51AD8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Существовала также Ленинградская группа -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созданная 13.11.1931 г., организаторами которой были Н.А. Рынин</w:t>
      </w:r>
      <w:r w:rsidRPr="007122AB">
        <w:rPr>
          <w:rFonts w:ascii="Times New Roman" w:hAnsi="Times New Roman"/>
          <w:color w:val="000000" w:themeColor="text1"/>
          <w:sz w:val="16"/>
          <w:szCs w:val="16"/>
          <w:vertAlign w:val="superscript"/>
        </w:rPr>
        <w:t>84</w:t>
      </w:r>
      <w:r w:rsidRPr="007122AB">
        <w:rPr>
          <w:rFonts w:ascii="Times New Roman" w:hAnsi="Times New Roman"/>
          <w:color w:val="000000" w:themeColor="text1"/>
          <w:sz w:val="16"/>
          <w:szCs w:val="16"/>
        </w:rPr>
        <w:t xml:space="preserve"> и В.В. Разумов (председатель); располагалась в </w:t>
      </w:r>
      <w:proofErr w:type="spellStart"/>
      <w:r w:rsidRPr="007122AB">
        <w:rPr>
          <w:rFonts w:ascii="Times New Roman" w:hAnsi="Times New Roman"/>
          <w:color w:val="000000" w:themeColor="text1"/>
          <w:sz w:val="16"/>
          <w:szCs w:val="16"/>
        </w:rPr>
        <w:t>Иоанновском</w:t>
      </w:r>
      <w:proofErr w:type="spellEnd"/>
      <w:r w:rsidRPr="007122AB">
        <w:rPr>
          <w:rFonts w:ascii="Times New Roman" w:hAnsi="Times New Roman"/>
          <w:color w:val="000000" w:themeColor="text1"/>
          <w:sz w:val="16"/>
          <w:szCs w:val="16"/>
        </w:rPr>
        <w:t xml:space="preserve"> равелине Петропавловской крепости.</w:t>
      </w:r>
    </w:p>
    <w:p w14:paraId="09583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09.1930 г. испытан воздушно-бензиновый ракетный двигатель Цандера ОР-1. 17.08.1933г. запущена первая советская ракета Р-1 («09») с жидкостным двигателем Цандера, 25.11.1933г. запущена ракета ГИРД-Х (11982).</w:t>
      </w:r>
    </w:p>
    <w:p w14:paraId="19947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039421"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июля в 1931 году инициативной группой оформлен протокол о создании общественного бюро изучения реактивного движения. 20 сентября 1931 при регистрации в Центральном совете ОСОАВИАХИМ бюро было переименовано в группу ГИРД (14956).</w:t>
      </w:r>
    </w:p>
    <w:p w14:paraId="7756A867"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731B8ACF"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июля 1931 г. при ЦС Осоавиахима было создано Центральное бюро изучения реактивного движения. Через три месяца (20 сентября) состоялось организационное собрание тех членов московского отделения этого бюро, которые хотели стро</w:t>
      </w:r>
      <w:r w:rsidRPr="00441F34">
        <w:rPr>
          <w:rFonts w:ascii="Times New Roman" w:hAnsi="Times New Roman"/>
          <w:color w:val="0070C0"/>
          <w:sz w:val="16"/>
          <w:szCs w:val="16"/>
        </w:rPr>
        <w:softHyphen/>
        <w:t>ить летательные аппараты с реактивными двигателями — ракето</w:t>
      </w:r>
      <w:r w:rsidRPr="00441F34">
        <w:rPr>
          <w:rFonts w:ascii="Times New Roman" w:hAnsi="Times New Roman"/>
          <w:color w:val="0070C0"/>
          <w:sz w:val="16"/>
          <w:szCs w:val="16"/>
        </w:rPr>
        <w:softHyphen/>
        <w:t>планы и баллистические ракеты.</w:t>
      </w:r>
    </w:p>
    <w:p w14:paraId="02A92B27"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Свое объединение они назвали московской Группой изучения реактивного движения, сокращенно — </w:t>
      </w:r>
      <w:proofErr w:type="spellStart"/>
      <w:r w:rsidRPr="00441F34">
        <w:rPr>
          <w:rFonts w:ascii="Times New Roman" w:hAnsi="Times New Roman"/>
          <w:color w:val="0070C0"/>
          <w:sz w:val="16"/>
          <w:szCs w:val="16"/>
        </w:rPr>
        <w:t>МосГИРД</w:t>
      </w:r>
      <w:proofErr w:type="spellEnd"/>
      <w:r w:rsidRPr="00441F34">
        <w:rPr>
          <w:rFonts w:ascii="Times New Roman" w:hAnsi="Times New Roman"/>
          <w:color w:val="0070C0"/>
          <w:sz w:val="16"/>
          <w:szCs w:val="16"/>
        </w:rPr>
        <w:t xml:space="preserve"> при ЦС ОСО- ВИАХИМ.</w:t>
      </w:r>
    </w:p>
    <w:p w14:paraId="2EE925B3"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Руководителем группы избрали инженера Фридриха Цан</w:t>
      </w:r>
      <w:r w:rsidRPr="00441F34">
        <w:rPr>
          <w:rFonts w:ascii="Times New Roman" w:hAnsi="Times New Roman"/>
          <w:color w:val="0070C0"/>
          <w:sz w:val="16"/>
          <w:szCs w:val="16"/>
        </w:rPr>
        <w:softHyphen/>
        <w:t>дера, автора двух вариантов проекта ракетопланов для выхода в космос. Они были совершенно фантастическими, но энтузиа</w:t>
      </w:r>
      <w:r w:rsidRPr="00441F34">
        <w:rPr>
          <w:rFonts w:ascii="Times New Roman" w:hAnsi="Times New Roman"/>
          <w:color w:val="0070C0"/>
          <w:sz w:val="16"/>
          <w:szCs w:val="16"/>
        </w:rPr>
        <w:softHyphen/>
        <w:t>стам, мечтавшим о космосе, очень нравились.</w:t>
      </w:r>
    </w:p>
    <w:p w14:paraId="41581627"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Члены группы занимались реализацией своих проектов бес</w:t>
      </w:r>
      <w:r w:rsidRPr="00441F34">
        <w:rPr>
          <w:rFonts w:ascii="Times New Roman" w:hAnsi="Times New Roman"/>
          <w:color w:val="0070C0"/>
          <w:sz w:val="16"/>
          <w:szCs w:val="16"/>
        </w:rPr>
        <w:softHyphen/>
        <w:t>платно, по вечерам после основной работы или службы, а так</w:t>
      </w:r>
      <w:r w:rsidRPr="00441F34">
        <w:rPr>
          <w:rFonts w:ascii="Times New Roman" w:hAnsi="Times New Roman"/>
          <w:color w:val="0070C0"/>
          <w:sz w:val="16"/>
          <w:szCs w:val="16"/>
        </w:rPr>
        <w:softHyphen/>
        <w:t>же в выходные и праздничные дни (в СССР тогда существовала пятидневка: каждый пятый день был выходным). Поэтому они шутливо расшифровывали аббревиатуру ГИРД как Группа Инже</w:t>
      </w:r>
      <w:r w:rsidRPr="00441F34">
        <w:rPr>
          <w:rFonts w:ascii="Times New Roman" w:hAnsi="Times New Roman"/>
          <w:color w:val="0070C0"/>
          <w:sz w:val="16"/>
          <w:szCs w:val="16"/>
        </w:rPr>
        <w:softHyphen/>
        <w:t>неров Работающих Даром. Забегая вперед, скажу, что эта шутка оказалась пророческой: слово «даром» имеет и другое значение — «напрасно». Ни одна из разработок ГИРД не нашла практическо</w:t>
      </w:r>
      <w:r w:rsidRPr="00441F34">
        <w:rPr>
          <w:rFonts w:ascii="Times New Roman" w:hAnsi="Times New Roman"/>
          <w:color w:val="0070C0"/>
          <w:sz w:val="16"/>
          <w:szCs w:val="16"/>
        </w:rPr>
        <w:softHyphen/>
        <w:t>го применения (23550).</w:t>
      </w:r>
    </w:p>
    <w:p w14:paraId="6B56A3A4" w14:textId="77777777" w:rsidR="00F57EA4" w:rsidRPr="00441F34" w:rsidRDefault="00F57EA4" w:rsidP="00F57EA4">
      <w:pPr>
        <w:spacing w:after="0" w:line="240" w:lineRule="auto"/>
        <w:jc w:val="both"/>
        <w:rPr>
          <w:rFonts w:ascii="Times New Roman" w:hAnsi="Times New Roman"/>
          <w:color w:val="0070C0"/>
          <w:sz w:val="16"/>
          <w:szCs w:val="16"/>
        </w:rPr>
      </w:pPr>
    </w:p>
    <w:p w14:paraId="4E5C4AFA" w14:textId="2E56C9CC" w:rsidR="00F57EA4" w:rsidRDefault="00F57EA4"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547C2285" w14:textId="77777777" w:rsidR="00F57EA4" w:rsidRDefault="00F57EA4"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394537F6"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18 июля 1931 г. О результатах рассмотрения проекта танка ПТ-1  И.А. Лебедев составил письмо на имя начальника УММ РККА И.А. </w:t>
      </w:r>
      <w:proofErr w:type="spellStart"/>
      <w:r w:rsidRPr="00441F34">
        <w:rPr>
          <w:rFonts w:ascii="Times New Roman" w:hAnsi="Times New Roman"/>
          <w:color w:val="0070C0"/>
          <w:sz w:val="16"/>
          <w:szCs w:val="16"/>
        </w:rPr>
        <w:t>Халепского</w:t>
      </w:r>
      <w:proofErr w:type="spellEnd"/>
      <w:r w:rsidRPr="00441F34">
        <w:rPr>
          <w:rFonts w:ascii="Times New Roman" w:hAnsi="Times New Roman"/>
          <w:color w:val="0070C0"/>
          <w:sz w:val="16"/>
          <w:szCs w:val="16"/>
        </w:rPr>
        <w:t>, в котором, в частности, говорилось:</w:t>
      </w:r>
    </w:p>
    <w:p w14:paraId="2F80A492"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«Рассмотренная конструкция представляет из себя колесно-гусеничный танк типа Кристи со всеми 4-мя ведущими осями на колесном ходу. Основная характеристика танка следующая:</w:t>
      </w:r>
    </w:p>
    <w:p w14:paraId="75364476"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 – около 11 тонн.</w:t>
      </w:r>
    </w:p>
    <w:p w14:paraId="3DED5163"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Броня – 6 мм борта, 7 мм лобовая.</w:t>
      </w:r>
    </w:p>
    <w:p w14:paraId="545819CE"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Вооружение – одна 45 мм пушка с пулеметом во вращающейся башне, один пулемет в шаровой установке.</w:t>
      </w:r>
    </w:p>
    <w:p w14:paraId="52E2E1AE"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Скорость на гусеницах – </w:t>
      </w:r>
      <w:proofErr w:type="spellStart"/>
      <w:r w:rsidRPr="00441F34">
        <w:rPr>
          <w:rFonts w:ascii="Times New Roman" w:hAnsi="Times New Roman"/>
          <w:color w:val="0070C0"/>
          <w:sz w:val="16"/>
          <w:szCs w:val="16"/>
        </w:rPr>
        <w:t>ок</w:t>
      </w:r>
      <w:proofErr w:type="spellEnd"/>
      <w:r w:rsidRPr="00441F34">
        <w:rPr>
          <w:rFonts w:ascii="Times New Roman" w:hAnsi="Times New Roman"/>
          <w:color w:val="0070C0"/>
          <w:sz w:val="16"/>
          <w:szCs w:val="16"/>
        </w:rPr>
        <w:t xml:space="preserve">. 60 </w:t>
      </w:r>
      <w:proofErr w:type="spellStart"/>
      <w:r w:rsidRPr="00441F34">
        <w:rPr>
          <w:rFonts w:ascii="Times New Roman" w:hAnsi="Times New Roman"/>
          <w:color w:val="0070C0"/>
          <w:sz w:val="16"/>
          <w:szCs w:val="16"/>
        </w:rPr>
        <w:t>клм</w:t>
      </w:r>
      <w:proofErr w:type="spellEnd"/>
      <w:r w:rsidRPr="00441F34">
        <w:rPr>
          <w:rFonts w:ascii="Times New Roman" w:hAnsi="Times New Roman"/>
          <w:color w:val="0070C0"/>
          <w:sz w:val="16"/>
          <w:szCs w:val="16"/>
        </w:rPr>
        <w:t xml:space="preserve">, на колесах – около 78 км/час., на воде – 15 </w:t>
      </w:r>
      <w:proofErr w:type="spellStart"/>
      <w:r w:rsidRPr="00441F34">
        <w:rPr>
          <w:rFonts w:ascii="Times New Roman" w:hAnsi="Times New Roman"/>
          <w:color w:val="0070C0"/>
          <w:sz w:val="16"/>
          <w:szCs w:val="16"/>
        </w:rPr>
        <w:t>клм</w:t>
      </w:r>
      <w:proofErr w:type="spellEnd"/>
      <w:r w:rsidRPr="00441F34">
        <w:rPr>
          <w:rFonts w:ascii="Times New Roman" w:hAnsi="Times New Roman"/>
          <w:color w:val="0070C0"/>
          <w:sz w:val="16"/>
          <w:szCs w:val="16"/>
        </w:rPr>
        <w:t>/час.</w:t>
      </w:r>
    </w:p>
    <w:p w14:paraId="64F8B4FD"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Мотор – 325 л.с. типа дизель.</w:t>
      </w:r>
    </w:p>
    <w:p w14:paraId="34443384"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 обмена мнениями с лицами, выполняющими этот проект, выяснилось, что они имеют сильную инженерную подготовку и способны правильно решить чрезвычайно трудную задачу, которой является плавучий танк. Над этим вопросом работает один из самых лучших инженеров-специалистов корабельного дела.</w:t>
      </w:r>
    </w:p>
    <w:p w14:paraId="37790E1E"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&lt;...&gt;</w:t>
      </w:r>
    </w:p>
    <w:p w14:paraId="3A1F7375"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Конструкция дизель-мотора, наиболее нас интересующая, показана не была и будет демонстрироваться нам на этих днях. Так как конструкция этого танка связана с конструкцией мотора, то успех его осуществления зависит в первую очередь от удачного осуществления мотора. К тому же этот мотор, как по мощности, как по габаритам, так и по роду топлива чрезвычайно интересен для нас с точки зрения применения его в средних танках».</w:t>
      </w:r>
    </w:p>
    <w:p w14:paraId="639D322F" w14:textId="77777777" w:rsidR="00F57EA4" w:rsidRPr="00441F34" w:rsidRDefault="00F57EA4" w:rsidP="00F57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[РГВА. Ф. 31811. Оп. 3. Д. 29. Л. 52 с об.] (24856).</w:t>
      </w:r>
    </w:p>
    <w:p w14:paraId="209B1762" w14:textId="77777777" w:rsidR="00F57EA4" w:rsidRPr="00441F34" w:rsidRDefault="00F57EA4" w:rsidP="00F57EA4">
      <w:pPr>
        <w:spacing w:after="0" w:line="240" w:lineRule="auto"/>
        <w:jc w:val="both"/>
        <w:rPr>
          <w:rFonts w:ascii="Times New Roman" w:hAnsi="Times New Roman"/>
          <w:color w:val="0070C0"/>
          <w:sz w:val="16"/>
          <w:szCs w:val="16"/>
        </w:rPr>
      </w:pPr>
    </w:p>
    <w:p w14:paraId="52875F58" w14:textId="45B539ED"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E618A6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07B7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июля 1931 в США спущен на воду первый в мире корабль с кондиционерами (4962).</w:t>
      </w:r>
    </w:p>
    <w:p w14:paraId="1604B1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9AD3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Авиапромышленность:</w:t>
      </w:r>
    </w:p>
    <w:p w14:paraId="52E780C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4361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июля 1931 И-12 2ЮП-6 был переведен на аэродром (3029,209).</w:t>
      </w:r>
    </w:p>
    <w:p w14:paraId="32014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8FD537"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июля 1931 И-12 перевезли на Центральный аэродром, и только 29 августа 1931 г. на</w:t>
      </w:r>
      <w:r w:rsidRPr="007122AB">
        <w:rPr>
          <w:rFonts w:ascii="Times New Roman" w:hAnsi="Times New Roman"/>
          <w:color w:val="000000" w:themeColor="text1"/>
          <w:sz w:val="16"/>
          <w:szCs w:val="16"/>
        </w:rPr>
        <w:softHyphen/>
        <w:t>чальник лётной части ОЭЛИД И.Ф. Козлов совершил на нём первый полёт. Начавшиеся заводские лётные испытания выявили необходимость переделки вертикального опере</w:t>
      </w:r>
      <w:r w:rsidRPr="007122AB">
        <w:rPr>
          <w:rFonts w:ascii="Times New Roman" w:hAnsi="Times New Roman"/>
          <w:color w:val="000000" w:themeColor="text1"/>
          <w:sz w:val="16"/>
          <w:szCs w:val="16"/>
        </w:rPr>
        <w:softHyphen/>
        <w:t>ния, костылей и замену заднего воздушного винта (15823).</w:t>
      </w:r>
    </w:p>
    <w:p w14:paraId="29F383FC"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7E1B2EB0" w14:textId="77777777" w:rsidR="00A77F55" w:rsidRPr="007122AB" w:rsidRDefault="00A77F55" w:rsidP="007122AB">
      <w:pPr>
        <w:pStyle w:val="rtecenter"/>
        <w:shd w:val="clear" w:color="auto" w:fill="FFFFFF"/>
        <w:spacing w:before="0" w:after="0"/>
        <w:jc w:val="both"/>
        <w:textAlignment w:val="baseline"/>
        <w:rPr>
          <w:color w:val="000000" w:themeColor="text1"/>
          <w:sz w:val="16"/>
          <w:szCs w:val="16"/>
        </w:rPr>
      </w:pPr>
      <w:r w:rsidRPr="007122AB">
        <w:rPr>
          <w:color w:val="000000" w:themeColor="text1"/>
          <w:sz w:val="16"/>
          <w:szCs w:val="16"/>
        </w:rPr>
        <w:t>19 июля 1931 самолет И-12 перевезли на Центральный аэродром, и только 29 августа 1931 года начальник летной части ОЭЛИД И.Ф. Козлов совершил на нем первый полет. Начавшиеся заводские летные испытания выявили необходимость переделки вертикального оперения, костылей и замены заднего воздушного винта (19172).</w:t>
      </w:r>
    </w:p>
    <w:p w14:paraId="73DB1576" w14:textId="77777777" w:rsidR="00A77F55" w:rsidRPr="007122AB" w:rsidRDefault="00A77F55" w:rsidP="007122AB">
      <w:pPr>
        <w:pStyle w:val="rtecenter"/>
        <w:shd w:val="clear" w:color="auto" w:fill="FFFFFF"/>
        <w:spacing w:before="0" w:after="0"/>
        <w:jc w:val="both"/>
        <w:textAlignment w:val="baseline"/>
        <w:rPr>
          <w:color w:val="000000" w:themeColor="text1"/>
          <w:sz w:val="16"/>
          <w:szCs w:val="16"/>
        </w:rPr>
      </w:pPr>
    </w:p>
    <w:p w14:paraId="58C8571E"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июля 1931 г. самолет И-12 (АНТ-23, без б/№).  был закончен постройкой и передан на наземные испытания, которые проходили на ЦА (г. Москва).   Ведущим летчиком-испытателем был назначен И.Ф. Козлов, наблюдающим инженером от НИИ ВВС – Жемчужин. Оба уже имели хороший опыт испытательной работы и заслуженный авторитет.   21.07.31 г. была выполнена первая рулежка. Результат был неудовлетворительный – самолет на малых скоростях управлялся плохо (23136).</w:t>
      </w:r>
    </w:p>
    <w:p w14:paraId="18C2F218" w14:textId="77777777" w:rsidR="00472582" w:rsidRPr="007122AB" w:rsidRDefault="00472582" w:rsidP="007122AB">
      <w:pPr>
        <w:spacing w:after="0" w:line="240" w:lineRule="auto"/>
        <w:jc w:val="both"/>
        <w:rPr>
          <w:rFonts w:ascii="Times New Roman" w:hAnsi="Times New Roman"/>
          <w:color w:val="000000" w:themeColor="text1"/>
          <w:sz w:val="16"/>
          <w:szCs w:val="16"/>
        </w:rPr>
      </w:pPr>
    </w:p>
    <w:p w14:paraId="36D356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июля 1931 с парашютом с 600 м прыгнули две женщины - </w:t>
      </w:r>
      <w:proofErr w:type="spellStart"/>
      <w:r w:rsidRPr="007122AB">
        <w:rPr>
          <w:rFonts w:ascii="Times New Roman" w:hAnsi="Times New Roman"/>
          <w:color w:val="000000" w:themeColor="text1"/>
          <w:sz w:val="16"/>
          <w:szCs w:val="16"/>
        </w:rPr>
        <w:t>В.Федорова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А.Чиркова</w:t>
      </w:r>
      <w:proofErr w:type="spellEnd"/>
      <w:r w:rsidRPr="007122AB">
        <w:rPr>
          <w:rFonts w:ascii="Times New Roman" w:hAnsi="Times New Roman"/>
          <w:color w:val="000000" w:themeColor="text1"/>
          <w:sz w:val="16"/>
          <w:szCs w:val="16"/>
        </w:rPr>
        <w:t xml:space="preserve"> (271,126).</w:t>
      </w:r>
    </w:p>
    <w:p w14:paraId="64998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4DAC2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BD1561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DF8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июля 1931 было дано задание на проектирование ТБ-4 6М-34 (2287,131).</w:t>
      </w:r>
    </w:p>
    <w:p w14:paraId="729EE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073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20 июля 1931 самолет ТБ-5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 Полученные на испытаниях летные характеристики ТБ-5 оценивались как невысокие, особенно в сравнении с уже летавшим в течение полугода ТБ-3. Причиной тому являлась не вполне удачная </w:t>
      </w:r>
      <w:proofErr w:type="spellStart"/>
      <w:r w:rsidRPr="007122AB">
        <w:rPr>
          <w:rFonts w:ascii="Times New Roman" w:hAnsi="Times New Roman"/>
          <w:color w:val="000000" w:themeColor="text1"/>
          <w:sz w:val="16"/>
          <w:szCs w:val="16"/>
        </w:rPr>
        <w:t>мотоустановка</w:t>
      </w:r>
      <w:proofErr w:type="spellEnd"/>
      <w:r w:rsidRPr="007122AB">
        <w:rPr>
          <w:rFonts w:ascii="Times New Roman" w:hAnsi="Times New Roman"/>
          <w:color w:val="000000" w:themeColor="text1"/>
          <w:sz w:val="16"/>
          <w:szCs w:val="16"/>
        </w:rPr>
        <w:t xml:space="preserve">. Двигатели оснастили воздушными винтами, более подходящими для истребителей. Кроме того, винты задних «Юпитеров» пришлось значительно уменьшить в диаметре из-за размещения их под крылом. Однако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(одинаковые с ТБ-1). Надежды улучшить ЛТХ самолета путем установки двигателей ФЭД оставались. Летом 1931 г. на моторном заводе №24 в производстве находились 12 </w:t>
      </w:r>
      <w:proofErr w:type="spellStart"/>
      <w:r w:rsidRPr="007122AB">
        <w:rPr>
          <w:rFonts w:ascii="Times New Roman" w:hAnsi="Times New Roman"/>
          <w:color w:val="000000" w:themeColor="text1"/>
          <w:sz w:val="16"/>
          <w:szCs w:val="16"/>
        </w:rPr>
        <w:t>ФЭДов</w:t>
      </w:r>
      <w:proofErr w:type="spellEnd"/>
      <w:r w:rsidRPr="007122AB">
        <w:rPr>
          <w:rFonts w:ascii="Times New Roman" w:hAnsi="Times New Roman"/>
          <w:color w:val="000000" w:themeColor="text1"/>
          <w:sz w:val="16"/>
          <w:szCs w:val="16"/>
        </w:rPr>
        <w:t>, и еще на 10 имелся задел деталей (5854,34).</w:t>
      </w:r>
    </w:p>
    <w:p w14:paraId="6D4267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64ED51"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20 июля 1931, возвратившись из Берлина, начальник ГВФ </w:t>
      </w:r>
      <w:proofErr w:type="spellStart"/>
      <w:r w:rsidRPr="007122AB">
        <w:rPr>
          <w:rFonts w:ascii="Times New Roman" w:eastAsia="Times New Roman" w:hAnsi="Times New Roman"/>
          <w:color w:val="000000" w:themeColor="text1"/>
          <w:sz w:val="16"/>
          <w:szCs w:val="16"/>
          <w:lang w:eastAsia="ru-RU"/>
        </w:rPr>
        <w:t>Гольцман</w:t>
      </w:r>
      <w:proofErr w:type="spellEnd"/>
      <w:r w:rsidRPr="007122AB">
        <w:rPr>
          <w:rFonts w:ascii="Times New Roman" w:eastAsia="Times New Roman" w:hAnsi="Times New Roman"/>
          <w:color w:val="000000" w:themeColor="text1"/>
          <w:sz w:val="16"/>
          <w:szCs w:val="16"/>
          <w:lang w:eastAsia="ru-RU"/>
        </w:rPr>
        <w:t xml:space="preserve"> сообщил журналистам, что воздухоплавательная экспедиция начнется, ориентировочно,. Маршрут проляжет от Ленинграда на Землю Франца-Иосифа, затем в район Северного полюса и к Северной Земле, оттуда, минуя Новую Землю, назад, к городу на Неве.</w:t>
      </w:r>
    </w:p>
    <w:p w14:paraId="78F11E94"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Проведена будет на средства трех стран. Германия предоставляет воздушный корабль, США, точнее, газетный магнат Уильям </w:t>
      </w:r>
      <w:proofErr w:type="spellStart"/>
      <w:r w:rsidRPr="007122AB">
        <w:rPr>
          <w:rFonts w:ascii="Times New Roman" w:eastAsia="Times New Roman" w:hAnsi="Times New Roman"/>
          <w:color w:val="000000" w:themeColor="text1"/>
          <w:sz w:val="16"/>
          <w:szCs w:val="16"/>
          <w:lang w:eastAsia="ru-RU"/>
        </w:rPr>
        <w:t>Хёрст</w:t>
      </w:r>
      <w:proofErr w:type="spellEnd"/>
      <w:r w:rsidRPr="007122AB">
        <w:rPr>
          <w:rFonts w:ascii="Times New Roman" w:eastAsia="Times New Roman" w:hAnsi="Times New Roman"/>
          <w:color w:val="000000" w:themeColor="text1"/>
          <w:sz w:val="16"/>
          <w:szCs w:val="16"/>
          <w:lang w:eastAsia="ru-RU"/>
        </w:rPr>
        <w:t>, оплачивает научное оборудование, СССР готовит базу на Комендантском аэродроме Ленинграда. Поэтому на борт помимо 29 членов экипажа возьмут представителей этих стран. Среди них — генерального секретаря «</w:t>
      </w:r>
      <w:proofErr w:type="spellStart"/>
      <w:r w:rsidRPr="007122AB">
        <w:rPr>
          <w:rFonts w:ascii="Times New Roman" w:eastAsia="Times New Roman" w:hAnsi="Times New Roman"/>
          <w:color w:val="000000" w:themeColor="text1"/>
          <w:sz w:val="16"/>
          <w:szCs w:val="16"/>
          <w:lang w:eastAsia="ru-RU"/>
        </w:rPr>
        <w:t>Аэроарктик</w:t>
      </w:r>
      <w:proofErr w:type="spellEnd"/>
      <w:r w:rsidRPr="007122AB">
        <w:rPr>
          <w:rFonts w:ascii="Times New Roman" w:eastAsia="Times New Roman" w:hAnsi="Times New Roman"/>
          <w:color w:val="000000" w:themeColor="text1"/>
          <w:sz w:val="16"/>
          <w:szCs w:val="16"/>
          <w:lang w:eastAsia="ru-RU"/>
        </w:rPr>
        <w:t xml:space="preserve">» Вальтера Брунса, спутника по полетам Амундсена — американца Линкольна </w:t>
      </w:r>
      <w:proofErr w:type="spellStart"/>
      <w:r w:rsidRPr="007122AB">
        <w:rPr>
          <w:rFonts w:ascii="Times New Roman" w:eastAsia="Times New Roman" w:hAnsi="Times New Roman"/>
          <w:color w:val="000000" w:themeColor="text1"/>
          <w:sz w:val="16"/>
          <w:szCs w:val="16"/>
          <w:lang w:eastAsia="ru-RU"/>
        </w:rPr>
        <w:t>Эллсуорта</w:t>
      </w:r>
      <w:proofErr w:type="spellEnd"/>
      <w:r w:rsidRPr="007122AB">
        <w:rPr>
          <w:rFonts w:ascii="Times New Roman" w:eastAsia="Times New Roman" w:hAnsi="Times New Roman"/>
          <w:color w:val="000000" w:themeColor="text1"/>
          <w:sz w:val="16"/>
          <w:szCs w:val="16"/>
          <w:lang w:eastAsia="ru-RU"/>
        </w:rPr>
        <w:t xml:space="preserve">, научного руководителя экспедиции Р.Л. Самойловича, аэролога П.А. Молчанова и инженера Ф.Ф. </w:t>
      </w:r>
      <w:proofErr w:type="spellStart"/>
      <w:r w:rsidRPr="007122AB">
        <w:rPr>
          <w:rFonts w:ascii="Times New Roman" w:eastAsia="Times New Roman" w:hAnsi="Times New Roman"/>
          <w:color w:val="000000" w:themeColor="text1"/>
          <w:sz w:val="16"/>
          <w:szCs w:val="16"/>
          <w:lang w:eastAsia="ru-RU"/>
        </w:rPr>
        <w:t>Ассьерга</w:t>
      </w:r>
      <w:proofErr w:type="spellEnd"/>
      <w:r w:rsidRPr="007122AB">
        <w:rPr>
          <w:rFonts w:ascii="Times New Roman" w:eastAsia="Times New Roman" w:hAnsi="Times New Roman"/>
          <w:color w:val="000000" w:themeColor="text1"/>
          <w:sz w:val="16"/>
          <w:szCs w:val="16"/>
          <w:lang w:eastAsia="ru-RU"/>
        </w:rPr>
        <w:t>. Кроме того, в состав экипажа зачислен как один из трех радистов советский полярник Э.Т. Кренкель, зимовавший на Земле Франца-Иосифа в 1929–1930 годах60.</w:t>
      </w:r>
    </w:p>
    <w:p w14:paraId="552F1205" w14:textId="77777777" w:rsidR="00472582" w:rsidRPr="007122AB" w:rsidRDefault="0047258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Во время полета предполагались две встречи, призванные продемонстрировать достижения техники. Первая — в бухте Тихая на Земле Франца-Иосифа с советским ледокольным пароходом «Малыгин», совершающим туристический круиз в полярных водах. Вторая — в районе Северного полюса с американской подводной лодкой Джорджа Уилкинса «Наутилус» (20467).</w:t>
      </w:r>
    </w:p>
    <w:p w14:paraId="09D32635" w14:textId="77777777" w:rsidR="00472582" w:rsidRPr="007122AB" w:rsidRDefault="00472582" w:rsidP="007122AB">
      <w:pPr>
        <w:spacing w:after="0" w:line="240" w:lineRule="auto"/>
        <w:jc w:val="both"/>
        <w:rPr>
          <w:rFonts w:ascii="Times New Roman" w:hAnsi="Times New Roman"/>
          <w:color w:val="000000" w:themeColor="text1"/>
          <w:sz w:val="16"/>
          <w:szCs w:val="16"/>
        </w:rPr>
      </w:pPr>
    </w:p>
    <w:p w14:paraId="277C83BC" w14:textId="77777777" w:rsidR="0005751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ED6963D" w14:textId="77777777" w:rsidR="0005751F" w:rsidRPr="007122AB" w:rsidRDefault="0005751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4EA549"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 xml:space="preserve">20 июля 1931 г. в постановлении Комитета обороны при СНК СССР была отмечена неудовлетворительная работа научно-исследовательских учреждений по созданию «особо секретной техники» в области «мощных ультракоротких волн», «передачи изображения и телевидения» (в течение нескольких лет НКВМ не получил ни одного образца), «секретной телеграфии» (некоторые достижения имелись только по </w:t>
      </w:r>
      <w:proofErr w:type="spellStart"/>
      <w:r w:rsidRPr="007122AB">
        <w:rPr>
          <w:color w:val="000000" w:themeColor="text1"/>
          <w:sz w:val="16"/>
          <w:szCs w:val="16"/>
        </w:rPr>
        <w:t>Остехбюро</w:t>
      </w:r>
      <w:proofErr w:type="spellEnd"/>
      <w:r w:rsidRPr="007122AB">
        <w:rPr>
          <w:color w:val="000000" w:themeColor="text1"/>
          <w:sz w:val="16"/>
          <w:szCs w:val="16"/>
        </w:rPr>
        <w:t xml:space="preserve"> и Институту связи РККА), ночного фотографирования при помощи невидимых лучей, управления самолетами на расстоянии по радио, телефонии на инфракрасных лучах (15736).</w:t>
      </w:r>
    </w:p>
    <w:p w14:paraId="1927B691" w14:textId="77777777" w:rsidR="0005751F" w:rsidRPr="007122AB" w:rsidRDefault="0005751F" w:rsidP="007122AB">
      <w:pPr>
        <w:pStyle w:val="ae"/>
        <w:spacing w:before="0" w:after="0"/>
        <w:jc w:val="both"/>
        <w:rPr>
          <w:color w:val="000000" w:themeColor="text1"/>
          <w:sz w:val="16"/>
          <w:szCs w:val="16"/>
        </w:rPr>
      </w:pPr>
    </w:p>
    <w:p w14:paraId="2393925F"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20 июля 1931 года в постановлении КО «По материальной обеспеченности РККА средствами связи» подчеркивалось, что общая средняя обеспеченность развертывания РККА в военное время по радиостанциям составляла всего 3,7 %, то есть оставалась крайне низкой. КО признала необходимым утвердить принятую Реввоенсоветом СССР в апреле 1930 года систему вооружений РККА по связи, которой и стала заниматься ЦВИРЛ. Был одобрен план Реввоенсовета об изъятии к 1 января 1934 года из РККА имущества старых заготовок и введении на вооружение нового имущества в соответствии с системой вооружения. Для этого 12 октября 1931 года Комиссия обороны приняла решение о поставке НКВМ 6 тыс. радиостанций и телемеханических устройств – всего на 5 млн руб.</w:t>
      </w:r>
    </w:p>
    <w:p w14:paraId="6F631B1A"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Средств не жалели, что видно из предложений ВЭСО с мерами обеспечения для выполнения планов поставок, изложенных в докладной записке в Комиссию обороны и ВСНХ:</w:t>
      </w:r>
    </w:p>
    <w:p w14:paraId="4813B76B"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«&lt;…&gt; По лабораториям ВЭСО</w:t>
      </w:r>
    </w:p>
    <w:p w14:paraId="37707131"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 xml:space="preserve">1. Ввиду необходимости срочного расширения лабораторий радиоламп при заводе «Светлана», на что </w:t>
      </w:r>
      <w:proofErr w:type="spellStart"/>
      <w:r w:rsidRPr="007122AB">
        <w:rPr>
          <w:color w:val="000000" w:themeColor="text1"/>
          <w:sz w:val="16"/>
          <w:szCs w:val="16"/>
        </w:rPr>
        <w:t>Ревсоветом</w:t>
      </w:r>
      <w:proofErr w:type="spellEnd"/>
      <w:r w:rsidRPr="007122AB">
        <w:rPr>
          <w:color w:val="000000" w:themeColor="text1"/>
          <w:sz w:val="16"/>
          <w:szCs w:val="16"/>
        </w:rPr>
        <w:t xml:space="preserve"> СССР ассигновано 400 тыс. руб., обязать ВЭСО к 1 января закончить начатое строительство этой лаборатории, для чего Президиуму ВСНХ СССР обеспечить эту стройку стройматериалами не позднее 10 ноября.</w:t>
      </w:r>
    </w:p>
    <w:p w14:paraId="6FB33F29"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2. Для обеспечения Центральной военно-индустриальной радиолаборатории ВЭСО в Нижнем Новгороде разрешить заказать на 10 тыс. руб. лабораторно-измерительного оборудования в Америке.</w:t>
      </w:r>
    </w:p>
    <w:p w14:paraId="4A8B0A58"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3. Разрешить ВЭСО приглашение из-за границы 2 радиоспециалистов высокой квалификации по радиоприемным устройствам. Наем указанных специалистов разрешить с оплатой до 300 долларов в месяц сроком на полтора года.</w:t>
      </w:r>
    </w:p>
    <w:p w14:paraId="5318B4F3"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Всего валютных контингентов ВЭО и ВЭСО в IV квартале с. г. – 996 тыс. руб., в 1 квартале 1932 г. – 150 тыс. руб.; итого —1146 тыс. руб.</w:t>
      </w:r>
    </w:p>
    <w:p w14:paraId="75E2A617" w14:textId="77777777" w:rsidR="0005751F" w:rsidRPr="007122AB" w:rsidRDefault="0005751F" w:rsidP="007122AB">
      <w:pPr>
        <w:pStyle w:val="ae"/>
        <w:spacing w:before="0" w:after="0"/>
        <w:jc w:val="both"/>
        <w:rPr>
          <w:color w:val="000000" w:themeColor="text1"/>
          <w:sz w:val="16"/>
          <w:szCs w:val="16"/>
        </w:rPr>
      </w:pPr>
      <w:r w:rsidRPr="007122AB">
        <w:rPr>
          <w:color w:val="000000" w:themeColor="text1"/>
          <w:sz w:val="16"/>
          <w:szCs w:val="16"/>
        </w:rPr>
        <w:t>Управляющий Всесоюзным электрослаботочным объединением ВЭСО Романовский» (15736).</w:t>
      </w:r>
    </w:p>
    <w:p w14:paraId="130ABC11" w14:textId="77777777" w:rsidR="0005751F" w:rsidRPr="007122AB" w:rsidRDefault="0005751F" w:rsidP="007122AB">
      <w:pPr>
        <w:pStyle w:val="ae"/>
        <w:spacing w:before="0" w:after="0"/>
        <w:jc w:val="both"/>
        <w:rPr>
          <w:color w:val="000000" w:themeColor="text1"/>
          <w:sz w:val="16"/>
          <w:szCs w:val="16"/>
        </w:rPr>
      </w:pPr>
    </w:p>
    <w:p w14:paraId="1DDD877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июля 1931 г. вышло постановление Комиссии обороны при СНК СССР от «По материальной обеспеченности РККА средствами связи». Этим документом утверждалась принятая в апреле 1930 г. Реввоенсоветом СССР система вооружения РККА по связи и поддерживался план РВС по оснащению армии к началу 1934 г. новым имуществом в соответствии с этой системой. Перед промышленностью ставилась задача до конца 1932 г. завершить разработку образцов приборов связи по наиболее перспективным направлениям, а также существенно расширить свои производственные мощности (18297).</w:t>
      </w:r>
    </w:p>
    <w:p w14:paraId="56A25E95" w14:textId="77777777" w:rsidR="00A77F55" w:rsidRPr="007122AB" w:rsidRDefault="00A77F55" w:rsidP="007122AB">
      <w:pPr>
        <w:spacing w:after="0" w:line="240" w:lineRule="auto"/>
        <w:jc w:val="both"/>
        <w:rPr>
          <w:rFonts w:ascii="Times New Roman" w:hAnsi="Times New Roman"/>
          <w:color w:val="000000" w:themeColor="text1"/>
          <w:sz w:val="16"/>
          <w:szCs w:val="16"/>
        </w:rPr>
      </w:pPr>
    </w:p>
    <w:p w14:paraId="2EC2D4C7" w14:textId="77777777" w:rsidR="00472582" w:rsidRPr="007122AB" w:rsidRDefault="0047258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3699D8E" w14:textId="77777777" w:rsidR="00472582" w:rsidRPr="007122AB" w:rsidRDefault="0047258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F089FB" w14:textId="77777777" w:rsidR="00472582" w:rsidRPr="007122AB" w:rsidRDefault="0047258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июля 1931 Железная дорога Бостона и Мэна и Центральная железная дорога Мэна основали компанию Boston-</w:t>
      </w:r>
      <w:proofErr w:type="spellStart"/>
      <w:r w:rsidRPr="007122AB">
        <w:rPr>
          <w:rFonts w:ascii="Times New Roman" w:hAnsi="Times New Roman"/>
          <w:color w:val="000000" w:themeColor="text1"/>
          <w:sz w:val="16"/>
          <w:szCs w:val="16"/>
        </w:rPr>
        <w:t>Maine</w:t>
      </w:r>
      <w:proofErr w:type="spellEnd"/>
      <w:r w:rsidRPr="007122AB">
        <w:rPr>
          <w:rFonts w:ascii="Times New Roman" w:hAnsi="Times New Roman"/>
          <w:color w:val="000000" w:themeColor="text1"/>
          <w:sz w:val="16"/>
          <w:szCs w:val="16"/>
        </w:rPr>
        <w:t xml:space="preserve"> Airways, будущую компанию </w:t>
      </w:r>
      <w:proofErr w:type="spellStart"/>
      <w:r w:rsidRPr="007122AB">
        <w:rPr>
          <w:rFonts w:ascii="Times New Roman" w:hAnsi="Times New Roman"/>
          <w:color w:val="000000" w:themeColor="text1"/>
          <w:sz w:val="16"/>
          <w:szCs w:val="16"/>
        </w:rPr>
        <w:t>Northeast</w:t>
      </w:r>
      <w:proofErr w:type="spellEnd"/>
      <w:r w:rsidRPr="007122AB">
        <w:rPr>
          <w:rFonts w:ascii="Times New Roman" w:hAnsi="Times New Roman"/>
          <w:color w:val="000000" w:themeColor="text1"/>
          <w:sz w:val="16"/>
          <w:szCs w:val="16"/>
        </w:rPr>
        <w:t xml:space="preserve"> Airlines . Он выполняет рейсы из Бостона, Массачусетс , в Бангор, штат Мэн , через Портленд, штат Мэн, в качестве контрактного перевозчика </w:t>
      </w:r>
      <w:proofErr w:type="spellStart"/>
      <w:r w:rsidRPr="007122AB">
        <w:rPr>
          <w:rFonts w:ascii="Times New Roman" w:hAnsi="Times New Roman"/>
          <w:color w:val="000000" w:themeColor="text1"/>
          <w:sz w:val="16"/>
          <w:szCs w:val="16"/>
        </w:rPr>
        <w:t>Pan</w:t>
      </w:r>
      <w:proofErr w:type="spellEnd"/>
      <w:r w:rsidRPr="007122AB">
        <w:rPr>
          <w:rFonts w:ascii="Times New Roman" w:hAnsi="Times New Roman"/>
          <w:color w:val="000000" w:themeColor="text1"/>
          <w:sz w:val="16"/>
          <w:szCs w:val="16"/>
        </w:rPr>
        <w:t xml:space="preserve"> American Airways (20804).</w:t>
      </w:r>
    </w:p>
    <w:p w14:paraId="48EA24F2" w14:textId="77777777" w:rsidR="00472582" w:rsidRPr="007122AB" w:rsidRDefault="00472582" w:rsidP="007122AB">
      <w:pPr>
        <w:spacing w:after="0" w:line="240" w:lineRule="auto"/>
        <w:jc w:val="both"/>
        <w:rPr>
          <w:rFonts w:ascii="Times New Roman" w:hAnsi="Times New Roman"/>
          <w:color w:val="000000" w:themeColor="text1"/>
          <w:sz w:val="16"/>
          <w:szCs w:val="16"/>
        </w:rPr>
      </w:pPr>
    </w:p>
    <w:p w14:paraId="2E13541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68EE28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9466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июля 1931 на И-12 2ЮП-6 рулили. Результат - неудовлетворительный (3029,209).</w:t>
      </w:r>
    </w:p>
    <w:p w14:paraId="32283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987F91" w14:textId="77777777" w:rsidR="00AC6695" w:rsidRPr="007122AB" w:rsidRDefault="00AC669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162AEC0" w14:textId="77777777" w:rsidR="00AC6695" w:rsidRPr="007122AB" w:rsidRDefault="00AC669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51E864" w14:textId="77777777" w:rsidR="00AC6695" w:rsidRPr="007122AB" w:rsidRDefault="00AC669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21 июля 1931 года испытания танка Кристи были закончены. В дальнейшем с испытаний танк сняли, поскольку он понадобился для снятия с него чертежей. По итогам испытаний был составлен отчет, в конце которого указывалось, что машина представляет исключительный интерес, но при этом требует доработки. Позже этот танк </w:t>
      </w:r>
      <w:r w:rsidRPr="007122AB">
        <w:rPr>
          <w:rFonts w:ascii="Times New Roman" w:hAnsi="Times New Roman"/>
          <w:color w:val="000000" w:themeColor="text1"/>
          <w:sz w:val="16"/>
          <w:szCs w:val="16"/>
          <w:shd w:val="clear" w:color="auto" w:fill="FFFFFF"/>
        </w:rPr>
        <w:lastRenderedPageBreak/>
        <w:t>оказался на полигоне, где далее оказался на территории музея. Последние упоминания о данной машине датированы 1941 годом, далее следы танка с серийным номером 2051 теряются (20339).</w:t>
      </w:r>
    </w:p>
    <w:p w14:paraId="7E4D1A1E" w14:textId="77777777" w:rsidR="00AC6695" w:rsidRPr="007122AB" w:rsidRDefault="00AC6695" w:rsidP="007122AB">
      <w:pPr>
        <w:shd w:val="clear" w:color="auto" w:fill="FFFFFF"/>
        <w:spacing w:after="0" w:line="240" w:lineRule="auto"/>
        <w:jc w:val="both"/>
        <w:rPr>
          <w:rFonts w:ascii="Times New Roman" w:hAnsi="Times New Roman"/>
          <w:color w:val="000000" w:themeColor="text1"/>
          <w:sz w:val="16"/>
          <w:szCs w:val="16"/>
        </w:rPr>
      </w:pPr>
    </w:p>
    <w:p w14:paraId="45F15BFD" w14:textId="77777777" w:rsidR="00AC6695" w:rsidRPr="007122AB" w:rsidRDefault="00AC669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762D7D8" w14:textId="77777777" w:rsidR="00AC6695" w:rsidRPr="007122AB" w:rsidRDefault="00AC669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2218C9"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июля - 1 сентября 1931 сэр Алан </w:t>
      </w:r>
      <w:proofErr w:type="spellStart"/>
      <w:r w:rsidRPr="007122AB">
        <w:rPr>
          <w:rFonts w:ascii="Times New Roman" w:hAnsi="Times New Roman"/>
          <w:color w:val="000000" w:themeColor="text1"/>
          <w:sz w:val="16"/>
          <w:szCs w:val="16"/>
        </w:rPr>
        <w:t>Кобхэм</w:t>
      </w:r>
      <w:proofErr w:type="spellEnd"/>
      <w:r w:rsidRPr="007122AB">
        <w:rPr>
          <w:rFonts w:ascii="Times New Roman" w:hAnsi="Times New Roman"/>
          <w:color w:val="000000" w:themeColor="text1"/>
          <w:sz w:val="16"/>
          <w:szCs w:val="16"/>
        </w:rPr>
        <w:t xml:space="preserve"> и его команда совершают обратный перелет между Англией и Бельгийским Конго на расстояние 19 800 км (12 300 миль) (20804).</w:t>
      </w:r>
    </w:p>
    <w:p w14:paraId="641D9DAD" w14:textId="77777777" w:rsidR="00AC6695" w:rsidRPr="007122AB" w:rsidRDefault="00AC6695" w:rsidP="007122AB">
      <w:pPr>
        <w:spacing w:after="0" w:line="240" w:lineRule="auto"/>
        <w:jc w:val="both"/>
        <w:rPr>
          <w:rFonts w:ascii="Times New Roman" w:hAnsi="Times New Roman"/>
          <w:color w:val="000000" w:themeColor="text1"/>
          <w:sz w:val="16"/>
          <w:szCs w:val="16"/>
        </w:rPr>
      </w:pPr>
    </w:p>
    <w:p w14:paraId="4D2652E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47576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F13B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июля 1931 был подготовлен материал по Срокам постройки самолетов ВВС-ЦАГИ. п/п А.Н.Т. (351).</w:t>
      </w:r>
    </w:p>
    <w:p w14:paraId="628EF2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 был направлен в ВАО на имя П.И.Б. и передан Я.И.А.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1491"/>
        <w:gridCol w:w="1701"/>
        <w:gridCol w:w="1705"/>
        <w:gridCol w:w="1486"/>
        <w:gridCol w:w="2052"/>
      </w:tblGrid>
      <w:tr w:rsidR="001002C3" w:rsidRPr="007122AB" w14:paraId="396FE42F" w14:textId="77777777">
        <w:tc>
          <w:tcPr>
            <w:tcW w:w="939" w:type="dxa"/>
          </w:tcPr>
          <w:p w14:paraId="20FD9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939" w:type="dxa"/>
          </w:tcPr>
          <w:p w14:paraId="3CC92D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w:t>
            </w:r>
          </w:p>
        </w:tc>
        <w:tc>
          <w:tcPr>
            <w:tcW w:w="1491" w:type="dxa"/>
          </w:tcPr>
          <w:p w14:paraId="0CEBD5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тех.</w:t>
            </w:r>
          </w:p>
        </w:tc>
        <w:tc>
          <w:tcPr>
            <w:tcW w:w="1701" w:type="dxa"/>
          </w:tcPr>
          <w:p w14:paraId="4E6D00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выдвигаемый</w:t>
            </w:r>
          </w:p>
        </w:tc>
        <w:tc>
          <w:tcPr>
            <w:tcW w:w="1705" w:type="dxa"/>
          </w:tcPr>
          <w:p w14:paraId="46C5A7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принятый</w:t>
            </w:r>
          </w:p>
        </w:tc>
        <w:tc>
          <w:tcPr>
            <w:tcW w:w="1486" w:type="dxa"/>
          </w:tcPr>
          <w:p w14:paraId="27A83B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поставки</w:t>
            </w:r>
          </w:p>
        </w:tc>
        <w:tc>
          <w:tcPr>
            <w:tcW w:w="2052" w:type="dxa"/>
          </w:tcPr>
          <w:p w14:paraId="7BEC75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Примечания</w:t>
            </w:r>
          </w:p>
        </w:tc>
      </w:tr>
      <w:tr w:rsidR="001002C3" w:rsidRPr="007122AB" w14:paraId="2CCA6E83" w14:textId="77777777">
        <w:tc>
          <w:tcPr>
            <w:tcW w:w="939" w:type="dxa"/>
          </w:tcPr>
          <w:p w14:paraId="1491A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C959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16FE0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требований</w:t>
            </w:r>
          </w:p>
        </w:tc>
        <w:tc>
          <w:tcPr>
            <w:tcW w:w="1701" w:type="dxa"/>
          </w:tcPr>
          <w:p w14:paraId="6C00B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ВВС</w:t>
            </w:r>
          </w:p>
        </w:tc>
        <w:tc>
          <w:tcPr>
            <w:tcW w:w="1705" w:type="dxa"/>
          </w:tcPr>
          <w:p w14:paraId="72ABE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486" w:type="dxa"/>
          </w:tcPr>
          <w:p w14:paraId="46D64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 в ЦАГИ</w:t>
            </w:r>
          </w:p>
        </w:tc>
        <w:tc>
          <w:tcPr>
            <w:tcW w:w="2052" w:type="dxa"/>
          </w:tcPr>
          <w:p w14:paraId="26BFF2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C56B740" w14:textId="77777777">
        <w:tc>
          <w:tcPr>
            <w:tcW w:w="939" w:type="dxa"/>
          </w:tcPr>
          <w:p w14:paraId="6CFE6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w:t>
            </w:r>
          </w:p>
        </w:tc>
        <w:tc>
          <w:tcPr>
            <w:tcW w:w="939" w:type="dxa"/>
          </w:tcPr>
          <w:p w14:paraId="75EB36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 с</w:t>
            </w:r>
          </w:p>
        </w:tc>
        <w:tc>
          <w:tcPr>
            <w:tcW w:w="1491" w:type="dxa"/>
          </w:tcPr>
          <w:p w14:paraId="5B8F4D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w:t>
            </w:r>
            <w:proofErr w:type="spellStart"/>
            <w:r w:rsidRPr="007122AB">
              <w:rPr>
                <w:rFonts w:ascii="Times New Roman" w:hAnsi="Times New Roman"/>
                <w:color w:val="000000" w:themeColor="text1"/>
                <w:sz w:val="16"/>
                <w:szCs w:val="16"/>
              </w:rPr>
              <w:t>удовл</w:t>
            </w:r>
            <w:proofErr w:type="spellEnd"/>
            <w:r w:rsidRPr="007122AB">
              <w:rPr>
                <w:rFonts w:ascii="Times New Roman" w:hAnsi="Times New Roman"/>
                <w:color w:val="000000" w:themeColor="text1"/>
                <w:sz w:val="16"/>
                <w:szCs w:val="16"/>
              </w:rPr>
              <w:t>. по</w:t>
            </w:r>
          </w:p>
        </w:tc>
        <w:tc>
          <w:tcPr>
            <w:tcW w:w="1701" w:type="dxa"/>
          </w:tcPr>
          <w:p w14:paraId="23A257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01.02.32</w:t>
            </w:r>
          </w:p>
        </w:tc>
        <w:tc>
          <w:tcPr>
            <w:tcW w:w="1705" w:type="dxa"/>
          </w:tcPr>
          <w:p w14:paraId="260102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01.02.32</w:t>
            </w:r>
          </w:p>
        </w:tc>
        <w:tc>
          <w:tcPr>
            <w:tcW w:w="1486" w:type="dxa"/>
          </w:tcPr>
          <w:p w14:paraId="0FC63B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01.10.32</w:t>
            </w:r>
          </w:p>
        </w:tc>
        <w:tc>
          <w:tcPr>
            <w:tcW w:w="2052" w:type="dxa"/>
          </w:tcPr>
          <w:p w14:paraId="42EF2B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 треб. могут</w:t>
            </w:r>
          </w:p>
        </w:tc>
      </w:tr>
      <w:tr w:rsidR="001002C3" w:rsidRPr="007122AB" w14:paraId="5FC99C95" w14:textId="77777777">
        <w:tc>
          <w:tcPr>
            <w:tcW w:w="939" w:type="dxa"/>
          </w:tcPr>
          <w:p w14:paraId="55C114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46D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наддув.</w:t>
            </w:r>
          </w:p>
        </w:tc>
        <w:tc>
          <w:tcPr>
            <w:tcW w:w="1491" w:type="dxa"/>
          </w:tcPr>
          <w:p w14:paraId="182440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w:t>
            </w:r>
          </w:p>
        </w:tc>
        <w:tc>
          <w:tcPr>
            <w:tcW w:w="1701" w:type="dxa"/>
          </w:tcPr>
          <w:p w14:paraId="41C3C2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DF97F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7AFD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FD880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быть почти </w:t>
            </w:r>
            <w:proofErr w:type="spellStart"/>
            <w:r w:rsidRPr="007122AB">
              <w:rPr>
                <w:rFonts w:ascii="Times New Roman" w:hAnsi="Times New Roman"/>
                <w:color w:val="000000" w:themeColor="text1"/>
                <w:sz w:val="16"/>
                <w:szCs w:val="16"/>
              </w:rPr>
              <w:t>вып</w:t>
            </w:r>
            <w:proofErr w:type="spellEnd"/>
            <w:r w:rsidRPr="007122AB">
              <w:rPr>
                <w:rFonts w:ascii="Times New Roman" w:hAnsi="Times New Roman"/>
                <w:color w:val="000000" w:themeColor="text1"/>
                <w:sz w:val="16"/>
                <w:szCs w:val="16"/>
              </w:rPr>
              <w:t>. с</w:t>
            </w:r>
          </w:p>
        </w:tc>
      </w:tr>
      <w:tr w:rsidR="001002C3" w:rsidRPr="007122AB" w14:paraId="7F08431B" w14:textId="77777777">
        <w:tc>
          <w:tcPr>
            <w:tcW w:w="939" w:type="dxa"/>
          </w:tcPr>
          <w:p w14:paraId="5488F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925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98D1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скоропод</w:t>
            </w:r>
            <w:proofErr w:type="spellEnd"/>
            <w:r w:rsidRPr="007122AB">
              <w:rPr>
                <w:rFonts w:ascii="Times New Roman" w:hAnsi="Times New Roman"/>
                <w:color w:val="000000" w:themeColor="text1"/>
                <w:sz w:val="16"/>
                <w:szCs w:val="16"/>
              </w:rPr>
              <w:t>.</w:t>
            </w:r>
          </w:p>
        </w:tc>
        <w:tc>
          <w:tcPr>
            <w:tcW w:w="1701" w:type="dxa"/>
          </w:tcPr>
          <w:p w14:paraId="758340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47585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34EA4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1B0DE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r>
      <w:tr w:rsidR="001002C3" w:rsidRPr="007122AB" w14:paraId="1E09D5CC" w14:textId="77777777">
        <w:tc>
          <w:tcPr>
            <w:tcW w:w="939" w:type="dxa"/>
          </w:tcPr>
          <w:p w14:paraId="7B036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939" w:type="dxa"/>
          </w:tcPr>
          <w:p w14:paraId="4DB20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4М-34 с</w:t>
            </w:r>
          </w:p>
        </w:tc>
        <w:tc>
          <w:tcPr>
            <w:tcW w:w="1491" w:type="dxa"/>
          </w:tcPr>
          <w:p w14:paraId="41E8CA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w:t>
            </w:r>
            <w:proofErr w:type="spellStart"/>
            <w:r w:rsidRPr="007122AB">
              <w:rPr>
                <w:rFonts w:ascii="Times New Roman" w:hAnsi="Times New Roman"/>
                <w:color w:val="000000" w:themeColor="text1"/>
                <w:sz w:val="16"/>
                <w:szCs w:val="16"/>
              </w:rPr>
              <w:t>удовл</w:t>
            </w:r>
            <w:proofErr w:type="spellEnd"/>
            <w:r w:rsidRPr="007122AB">
              <w:rPr>
                <w:rFonts w:ascii="Times New Roman" w:hAnsi="Times New Roman"/>
                <w:color w:val="000000" w:themeColor="text1"/>
                <w:sz w:val="16"/>
                <w:szCs w:val="16"/>
              </w:rPr>
              <w:t>. по</w:t>
            </w:r>
          </w:p>
        </w:tc>
        <w:tc>
          <w:tcPr>
            <w:tcW w:w="1701" w:type="dxa"/>
          </w:tcPr>
          <w:p w14:paraId="1AB05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01.11.32</w:t>
            </w:r>
          </w:p>
        </w:tc>
        <w:tc>
          <w:tcPr>
            <w:tcW w:w="1705" w:type="dxa"/>
          </w:tcPr>
          <w:p w14:paraId="79357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01.11.32</w:t>
            </w:r>
          </w:p>
        </w:tc>
        <w:tc>
          <w:tcPr>
            <w:tcW w:w="1486" w:type="dxa"/>
          </w:tcPr>
          <w:p w14:paraId="13A91F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01.03.32</w:t>
            </w:r>
          </w:p>
        </w:tc>
        <w:tc>
          <w:tcPr>
            <w:tcW w:w="2052" w:type="dxa"/>
          </w:tcPr>
          <w:p w14:paraId="5A30D2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 треб. согласов.</w:t>
            </w:r>
          </w:p>
        </w:tc>
      </w:tr>
      <w:tr w:rsidR="001002C3" w:rsidRPr="007122AB" w14:paraId="1153BC03" w14:textId="77777777">
        <w:tc>
          <w:tcPr>
            <w:tcW w:w="939" w:type="dxa"/>
          </w:tcPr>
          <w:p w14:paraId="7A5BA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5D5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наддув.</w:t>
            </w:r>
          </w:p>
        </w:tc>
        <w:tc>
          <w:tcPr>
            <w:tcW w:w="1491" w:type="dxa"/>
          </w:tcPr>
          <w:p w14:paraId="7CD7D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 и</w:t>
            </w:r>
          </w:p>
        </w:tc>
        <w:tc>
          <w:tcPr>
            <w:tcW w:w="1701" w:type="dxa"/>
          </w:tcPr>
          <w:p w14:paraId="7F7ED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F4388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CE7E1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6B964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т. Межениновым за</w:t>
            </w:r>
          </w:p>
        </w:tc>
      </w:tr>
      <w:tr w:rsidR="001002C3" w:rsidRPr="007122AB" w14:paraId="6A562BAD" w14:textId="77777777">
        <w:tc>
          <w:tcPr>
            <w:tcW w:w="939" w:type="dxa"/>
          </w:tcPr>
          <w:p w14:paraId="54606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79DD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ред.</w:t>
            </w:r>
          </w:p>
        </w:tc>
        <w:tc>
          <w:tcPr>
            <w:tcW w:w="1491" w:type="dxa"/>
          </w:tcPr>
          <w:p w14:paraId="6831C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w:t>
            </w:r>
            <w:proofErr w:type="spellEnd"/>
            <w:r w:rsidRPr="007122AB">
              <w:rPr>
                <w:rFonts w:ascii="Times New Roman" w:hAnsi="Times New Roman"/>
                <w:color w:val="000000" w:themeColor="text1"/>
                <w:sz w:val="16"/>
                <w:szCs w:val="16"/>
              </w:rPr>
              <w:t>.</w:t>
            </w:r>
          </w:p>
        </w:tc>
        <w:tc>
          <w:tcPr>
            <w:tcW w:w="1701" w:type="dxa"/>
          </w:tcPr>
          <w:p w14:paraId="59AE85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73BE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05E2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633BF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исключ</w:t>
            </w:r>
            <w:proofErr w:type="spellEnd"/>
            <w:r w:rsidRPr="007122AB">
              <w:rPr>
                <w:rFonts w:ascii="Times New Roman" w:hAnsi="Times New Roman"/>
                <w:color w:val="000000" w:themeColor="text1"/>
                <w:sz w:val="16"/>
                <w:szCs w:val="16"/>
              </w:rPr>
              <w:t>. скорости. Для</w:t>
            </w:r>
          </w:p>
        </w:tc>
      </w:tr>
      <w:tr w:rsidR="001002C3" w:rsidRPr="007122AB" w14:paraId="11F87E17" w14:textId="77777777">
        <w:tc>
          <w:tcPr>
            <w:tcW w:w="939" w:type="dxa"/>
          </w:tcPr>
          <w:p w14:paraId="06D68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B4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C9A6C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B3C8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CC43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E47A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E9E8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удовлетв</w:t>
            </w:r>
            <w:proofErr w:type="spellEnd"/>
            <w:r w:rsidRPr="007122AB">
              <w:rPr>
                <w:rFonts w:ascii="Times New Roman" w:hAnsi="Times New Roman"/>
                <w:color w:val="000000" w:themeColor="text1"/>
                <w:sz w:val="16"/>
                <w:szCs w:val="16"/>
              </w:rPr>
              <w:t>. скор. надо</w:t>
            </w:r>
          </w:p>
        </w:tc>
      </w:tr>
      <w:tr w:rsidR="001002C3" w:rsidRPr="007122AB" w14:paraId="5194605B" w14:textId="77777777">
        <w:tc>
          <w:tcPr>
            <w:tcW w:w="939" w:type="dxa"/>
          </w:tcPr>
          <w:p w14:paraId="0509F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4FA9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D14C6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FE4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66CC35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33A20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80136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ставить М-35 и при</w:t>
            </w:r>
          </w:p>
        </w:tc>
      </w:tr>
      <w:tr w:rsidR="001002C3" w:rsidRPr="007122AB" w14:paraId="233161F8" w14:textId="77777777">
        <w:tc>
          <w:tcPr>
            <w:tcW w:w="939" w:type="dxa"/>
          </w:tcPr>
          <w:p w14:paraId="444162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5C0C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550D5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2B5A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F2BB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BFBE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9C5C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постр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рекоменд</w:t>
            </w:r>
            <w:proofErr w:type="spellEnd"/>
            <w:r w:rsidRPr="007122AB">
              <w:rPr>
                <w:rFonts w:ascii="Times New Roman" w:hAnsi="Times New Roman"/>
                <w:color w:val="000000" w:themeColor="text1"/>
                <w:sz w:val="16"/>
                <w:szCs w:val="16"/>
              </w:rPr>
              <w:t>.</w:t>
            </w:r>
          </w:p>
        </w:tc>
      </w:tr>
      <w:tr w:rsidR="001002C3" w:rsidRPr="007122AB" w14:paraId="69BBBB3C" w14:textId="77777777">
        <w:tc>
          <w:tcPr>
            <w:tcW w:w="939" w:type="dxa"/>
          </w:tcPr>
          <w:p w14:paraId="38883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15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A07B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4A81D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07FF7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85871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3F42E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2М-35+2М-34</w:t>
            </w:r>
          </w:p>
        </w:tc>
      </w:tr>
      <w:tr w:rsidR="001002C3" w:rsidRPr="007122AB" w14:paraId="5FE131AD" w14:textId="77777777">
        <w:tc>
          <w:tcPr>
            <w:tcW w:w="939" w:type="dxa"/>
          </w:tcPr>
          <w:p w14:paraId="620AD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w:t>
            </w:r>
          </w:p>
        </w:tc>
        <w:tc>
          <w:tcPr>
            <w:tcW w:w="939" w:type="dxa"/>
          </w:tcPr>
          <w:p w14:paraId="558F6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91" w:type="dxa"/>
          </w:tcPr>
          <w:p w14:paraId="79BE6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 треб. не</w:t>
            </w:r>
          </w:p>
        </w:tc>
        <w:tc>
          <w:tcPr>
            <w:tcW w:w="1701" w:type="dxa"/>
          </w:tcPr>
          <w:p w14:paraId="197E3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01.10.32</w:t>
            </w:r>
          </w:p>
        </w:tc>
        <w:tc>
          <w:tcPr>
            <w:tcW w:w="1705" w:type="dxa"/>
          </w:tcPr>
          <w:p w14:paraId="1AF51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01.08.33</w:t>
            </w:r>
          </w:p>
        </w:tc>
        <w:tc>
          <w:tcPr>
            <w:tcW w:w="1486" w:type="dxa"/>
          </w:tcPr>
          <w:p w14:paraId="47A8D2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01.01.33</w:t>
            </w:r>
          </w:p>
        </w:tc>
        <w:tc>
          <w:tcPr>
            <w:tcW w:w="2052" w:type="dxa"/>
          </w:tcPr>
          <w:p w14:paraId="32AE32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принят ЦАГИ</w:t>
            </w:r>
          </w:p>
        </w:tc>
      </w:tr>
      <w:tr w:rsidR="001002C3" w:rsidRPr="007122AB" w14:paraId="60B0AD51" w14:textId="77777777">
        <w:tc>
          <w:tcPr>
            <w:tcW w:w="939" w:type="dxa"/>
          </w:tcPr>
          <w:p w14:paraId="5D3BB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D9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9078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могут быть об.</w:t>
            </w:r>
          </w:p>
        </w:tc>
        <w:tc>
          <w:tcPr>
            <w:tcW w:w="1701" w:type="dxa"/>
          </w:tcPr>
          <w:p w14:paraId="21815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AA85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825A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8863B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условно в завис.</w:t>
            </w:r>
          </w:p>
        </w:tc>
      </w:tr>
      <w:tr w:rsidR="001002C3" w:rsidRPr="007122AB" w14:paraId="0C7DD460" w14:textId="77777777">
        <w:tc>
          <w:tcPr>
            <w:tcW w:w="939" w:type="dxa"/>
          </w:tcPr>
          <w:p w14:paraId="74F5DC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20F5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66D8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 одним из</w:t>
            </w:r>
          </w:p>
        </w:tc>
        <w:tc>
          <w:tcPr>
            <w:tcW w:w="1701" w:type="dxa"/>
          </w:tcPr>
          <w:p w14:paraId="140E7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AC5F1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6DFB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038C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 </w:t>
            </w:r>
            <w:proofErr w:type="spellStart"/>
            <w:r w:rsidRPr="007122AB">
              <w:rPr>
                <w:rFonts w:ascii="Times New Roman" w:hAnsi="Times New Roman"/>
                <w:color w:val="000000" w:themeColor="text1"/>
                <w:sz w:val="16"/>
                <w:szCs w:val="16"/>
              </w:rPr>
              <w:t>получ</w:t>
            </w:r>
            <w:proofErr w:type="spellEnd"/>
            <w:r w:rsidRPr="007122AB">
              <w:rPr>
                <w:rFonts w:ascii="Times New Roman" w:hAnsi="Times New Roman"/>
                <w:color w:val="000000" w:themeColor="text1"/>
                <w:sz w:val="16"/>
                <w:szCs w:val="16"/>
              </w:rPr>
              <w:t>. спец.</w:t>
            </w:r>
          </w:p>
        </w:tc>
      </w:tr>
      <w:tr w:rsidR="001002C3" w:rsidRPr="007122AB" w14:paraId="47FC2567" w14:textId="77777777">
        <w:tc>
          <w:tcPr>
            <w:tcW w:w="939" w:type="dxa"/>
          </w:tcPr>
          <w:p w14:paraId="52491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2304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F7A9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 от. или</w:t>
            </w:r>
          </w:p>
        </w:tc>
        <w:tc>
          <w:tcPr>
            <w:tcW w:w="1701" w:type="dxa"/>
          </w:tcPr>
          <w:p w14:paraId="0E3C68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E806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FFA8F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A603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высотного мотор.</w:t>
            </w:r>
          </w:p>
        </w:tc>
      </w:tr>
      <w:tr w:rsidR="001002C3" w:rsidRPr="007122AB" w14:paraId="51889058" w14:textId="77777777">
        <w:tc>
          <w:tcPr>
            <w:tcW w:w="939" w:type="dxa"/>
          </w:tcPr>
          <w:p w14:paraId="2F33C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A27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740B5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заруб. мотором</w:t>
            </w:r>
          </w:p>
        </w:tc>
        <w:tc>
          <w:tcPr>
            <w:tcW w:w="1701" w:type="dxa"/>
          </w:tcPr>
          <w:p w14:paraId="18816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6D89C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EE8EE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910B8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E0FDCE" w14:textId="77777777">
        <w:tc>
          <w:tcPr>
            <w:tcW w:w="939" w:type="dxa"/>
          </w:tcPr>
          <w:p w14:paraId="7F166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w:t>
            </w:r>
          </w:p>
        </w:tc>
        <w:tc>
          <w:tcPr>
            <w:tcW w:w="939" w:type="dxa"/>
          </w:tcPr>
          <w:p w14:paraId="19F5A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1491" w:type="dxa"/>
          </w:tcPr>
          <w:p w14:paraId="015C7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Приним</w:t>
            </w:r>
            <w:proofErr w:type="spellEnd"/>
            <w:r w:rsidRPr="007122AB">
              <w:rPr>
                <w:rFonts w:ascii="Times New Roman" w:hAnsi="Times New Roman"/>
                <w:color w:val="000000" w:themeColor="text1"/>
                <w:sz w:val="16"/>
                <w:szCs w:val="16"/>
              </w:rPr>
              <w:t>. к пр.</w:t>
            </w:r>
          </w:p>
        </w:tc>
        <w:tc>
          <w:tcPr>
            <w:tcW w:w="1701" w:type="dxa"/>
          </w:tcPr>
          <w:p w14:paraId="53AF30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01.05.34</w:t>
            </w:r>
          </w:p>
        </w:tc>
        <w:tc>
          <w:tcPr>
            <w:tcW w:w="1705" w:type="dxa"/>
          </w:tcPr>
          <w:p w14:paraId="02F49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01.10.34</w:t>
            </w:r>
          </w:p>
        </w:tc>
        <w:tc>
          <w:tcPr>
            <w:tcW w:w="1486" w:type="dxa"/>
          </w:tcPr>
          <w:p w14:paraId="7B7AB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01.01.34</w:t>
            </w:r>
          </w:p>
        </w:tc>
        <w:tc>
          <w:tcPr>
            <w:tcW w:w="2052" w:type="dxa"/>
          </w:tcPr>
          <w:p w14:paraId="2D9E0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 должна</w:t>
            </w:r>
          </w:p>
        </w:tc>
      </w:tr>
      <w:tr w:rsidR="001002C3" w:rsidRPr="007122AB" w14:paraId="3E486A5B" w14:textId="77777777">
        <w:tc>
          <w:tcPr>
            <w:tcW w:w="939" w:type="dxa"/>
          </w:tcPr>
          <w:p w14:paraId="4F758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6FC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E2E2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постр</w:t>
            </w:r>
            <w:proofErr w:type="spellEnd"/>
            <w:r w:rsidRPr="007122AB">
              <w:rPr>
                <w:rFonts w:ascii="Times New Roman" w:hAnsi="Times New Roman"/>
                <w:color w:val="000000" w:themeColor="text1"/>
                <w:sz w:val="16"/>
                <w:szCs w:val="16"/>
              </w:rPr>
              <w:t>. как</w:t>
            </w:r>
          </w:p>
        </w:tc>
        <w:tc>
          <w:tcPr>
            <w:tcW w:w="1701" w:type="dxa"/>
          </w:tcPr>
          <w:p w14:paraId="2B024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2645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DFC8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C2EE6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рассматр</w:t>
            </w:r>
            <w:proofErr w:type="spellEnd"/>
            <w:r w:rsidRPr="007122AB">
              <w:rPr>
                <w:rFonts w:ascii="Times New Roman" w:hAnsi="Times New Roman"/>
                <w:color w:val="000000" w:themeColor="text1"/>
                <w:sz w:val="16"/>
                <w:szCs w:val="16"/>
              </w:rPr>
              <w:t>. как</w:t>
            </w:r>
          </w:p>
        </w:tc>
      </w:tr>
      <w:tr w:rsidR="001002C3" w:rsidRPr="007122AB" w14:paraId="0D378C6B" w14:textId="77777777">
        <w:tc>
          <w:tcPr>
            <w:tcW w:w="939" w:type="dxa"/>
          </w:tcPr>
          <w:p w14:paraId="7B250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5E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3724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небольш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возм</w:t>
            </w:r>
            <w:proofErr w:type="spellEnd"/>
            <w:r w:rsidRPr="007122AB">
              <w:rPr>
                <w:rFonts w:ascii="Times New Roman" w:hAnsi="Times New Roman"/>
                <w:color w:val="000000" w:themeColor="text1"/>
                <w:sz w:val="16"/>
                <w:szCs w:val="16"/>
              </w:rPr>
              <w:t>.</w:t>
            </w:r>
          </w:p>
        </w:tc>
        <w:tc>
          <w:tcPr>
            <w:tcW w:w="1701" w:type="dxa"/>
          </w:tcPr>
          <w:p w14:paraId="51BA6A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79254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3C58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CD97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эксперим</w:t>
            </w:r>
            <w:proofErr w:type="spellEnd"/>
            <w:r w:rsidRPr="007122AB">
              <w:rPr>
                <w:rFonts w:ascii="Times New Roman" w:hAnsi="Times New Roman"/>
                <w:color w:val="000000" w:themeColor="text1"/>
                <w:sz w:val="16"/>
                <w:szCs w:val="16"/>
              </w:rPr>
              <w:t>.</w:t>
            </w:r>
          </w:p>
        </w:tc>
      </w:tr>
      <w:tr w:rsidR="001002C3" w:rsidRPr="007122AB" w14:paraId="118C1D8D" w14:textId="77777777">
        <w:tc>
          <w:tcPr>
            <w:tcW w:w="939" w:type="dxa"/>
          </w:tcPr>
          <w:p w14:paraId="27128C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0B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EF32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грузоп</w:t>
            </w:r>
            <w:proofErr w:type="spellEnd"/>
            <w:r w:rsidRPr="007122AB">
              <w:rPr>
                <w:rFonts w:ascii="Times New Roman" w:hAnsi="Times New Roman"/>
                <w:color w:val="000000" w:themeColor="text1"/>
                <w:sz w:val="16"/>
                <w:szCs w:val="16"/>
              </w:rPr>
              <w:t>. в</w:t>
            </w:r>
          </w:p>
        </w:tc>
        <w:tc>
          <w:tcPr>
            <w:tcW w:w="1701" w:type="dxa"/>
          </w:tcPr>
          <w:p w14:paraId="62027E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4ACE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96E1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02DA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802DDCA" w14:textId="77777777">
        <w:tc>
          <w:tcPr>
            <w:tcW w:w="939" w:type="dxa"/>
          </w:tcPr>
          <w:p w14:paraId="47566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018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8D4B7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в</w:t>
            </w:r>
          </w:p>
        </w:tc>
        <w:tc>
          <w:tcPr>
            <w:tcW w:w="1701" w:type="dxa"/>
          </w:tcPr>
          <w:p w14:paraId="638C7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EF20C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6DC5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EAD43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6E19B2" w14:textId="77777777">
        <w:tc>
          <w:tcPr>
            <w:tcW w:w="939" w:type="dxa"/>
          </w:tcPr>
          <w:p w14:paraId="11035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57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3056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завис. от кач.</w:t>
            </w:r>
          </w:p>
        </w:tc>
        <w:tc>
          <w:tcPr>
            <w:tcW w:w="1701" w:type="dxa"/>
          </w:tcPr>
          <w:p w14:paraId="208290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4BF73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6AB3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243F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B312D40" w14:textId="77777777">
        <w:tc>
          <w:tcPr>
            <w:tcW w:w="939" w:type="dxa"/>
          </w:tcPr>
          <w:p w14:paraId="01DC8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60D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2212A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 мат.</w:t>
            </w:r>
          </w:p>
        </w:tc>
        <w:tc>
          <w:tcPr>
            <w:tcW w:w="1701" w:type="dxa"/>
          </w:tcPr>
          <w:p w14:paraId="1D634F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5F93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511C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5B5D1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3813C80" w14:textId="77777777">
        <w:tc>
          <w:tcPr>
            <w:tcW w:w="939" w:type="dxa"/>
          </w:tcPr>
          <w:p w14:paraId="68A1C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A19C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D05F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 треб. под.</w:t>
            </w:r>
          </w:p>
        </w:tc>
        <w:tc>
          <w:tcPr>
            <w:tcW w:w="1701" w:type="dxa"/>
          </w:tcPr>
          <w:p w14:paraId="59A3B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8561F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AF1C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79B7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C1C0688" w14:textId="77777777">
        <w:tc>
          <w:tcPr>
            <w:tcW w:w="939" w:type="dxa"/>
          </w:tcPr>
          <w:p w14:paraId="7FFAB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C2CC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C2DBA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согласов.</w:t>
            </w:r>
          </w:p>
        </w:tc>
        <w:tc>
          <w:tcPr>
            <w:tcW w:w="1701" w:type="dxa"/>
          </w:tcPr>
          <w:p w14:paraId="6156B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60437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AD4F4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6ACBE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8FFB0A" w14:textId="77777777">
        <w:tc>
          <w:tcPr>
            <w:tcW w:w="939" w:type="dxa"/>
          </w:tcPr>
          <w:p w14:paraId="1A3369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w:t>
            </w:r>
          </w:p>
        </w:tc>
        <w:tc>
          <w:tcPr>
            <w:tcW w:w="939" w:type="dxa"/>
          </w:tcPr>
          <w:p w14:paraId="416D8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3М-34</w:t>
            </w:r>
          </w:p>
        </w:tc>
        <w:tc>
          <w:tcPr>
            <w:tcW w:w="1491" w:type="dxa"/>
          </w:tcPr>
          <w:p w14:paraId="21D397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 треб. не</w:t>
            </w:r>
          </w:p>
        </w:tc>
        <w:tc>
          <w:tcPr>
            <w:tcW w:w="1701" w:type="dxa"/>
          </w:tcPr>
          <w:p w14:paraId="4D6AB3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01.12.32</w:t>
            </w:r>
          </w:p>
        </w:tc>
        <w:tc>
          <w:tcPr>
            <w:tcW w:w="1705" w:type="dxa"/>
          </w:tcPr>
          <w:p w14:paraId="116B7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01.06.32</w:t>
            </w:r>
          </w:p>
        </w:tc>
        <w:tc>
          <w:tcPr>
            <w:tcW w:w="1486" w:type="dxa"/>
          </w:tcPr>
          <w:p w14:paraId="62DC7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01.09.32</w:t>
            </w:r>
          </w:p>
        </w:tc>
        <w:tc>
          <w:tcPr>
            <w:tcW w:w="2052" w:type="dxa"/>
          </w:tcPr>
          <w:p w14:paraId="3FA7C0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Тех. треб. б. </w:t>
            </w:r>
            <w:proofErr w:type="spellStart"/>
            <w:r w:rsidRPr="007122AB">
              <w:rPr>
                <w:rFonts w:ascii="Times New Roman" w:hAnsi="Times New Roman"/>
                <w:color w:val="000000" w:themeColor="text1"/>
                <w:sz w:val="16"/>
                <w:szCs w:val="16"/>
              </w:rPr>
              <w:t>вып</w:t>
            </w:r>
            <w:proofErr w:type="spellEnd"/>
            <w:r w:rsidRPr="007122AB">
              <w:rPr>
                <w:rFonts w:ascii="Times New Roman" w:hAnsi="Times New Roman"/>
                <w:color w:val="000000" w:themeColor="text1"/>
                <w:sz w:val="16"/>
                <w:szCs w:val="16"/>
              </w:rPr>
              <w:t>.</w:t>
            </w:r>
          </w:p>
        </w:tc>
      </w:tr>
      <w:tr w:rsidR="001002C3" w:rsidRPr="007122AB" w14:paraId="3F4E1B4E" w14:textId="77777777">
        <w:tc>
          <w:tcPr>
            <w:tcW w:w="939" w:type="dxa"/>
          </w:tcPr>
          <w:p w14:paraId="2B9E6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ADB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над.</w:t>
            </w:r>
          </w:p>
        </w:tc>
        <w:tc>
          <w:tcPr>
            <w:tcW w:w="1491" w:type="dxa"/>
          </w:tcPr>
          <w:p w14:paraId="016FB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 по скор.</w:t>
            </w:r>
          </w:p>
        </w:tc>
        <w:tc>
          <w:tcPr>
            <w:tcW w:w="1701" w:type="dxa"/>
          </w:tcPr>
          <w:p w14:paraId="3501BF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F2335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D7A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115E0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уст. М-35</w:t>
            </w:r>
          </w:p>
        </w:tc>
      </w:tr>
      <w:tr w:rsidR="001002C3" w:rsidRPr="007122AB" w14:paraId="7D0ED337" w14:textId="77777777">
        <w:tc>
          <w:tcPr>
            <w:tcW w:w="939" w:type="dxa"/>
          </w:tcPr>
          <w:p w14:paraId="327A5F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Э.1.</w:t>
            </w:r>
          </w:p>
        </w:tc>
        <w:tc>
          <w:tcPr>
            <w:tcW w:w="939" w:type="dxa"/>
          </w:tcPr>
          <w:p w14:paraId="1BB495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9D1C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 треб.</w:t>
            </w:r>
          </w:p>
        </w:tc>
        <w:tc>
          <w:tcPr>
            <w:tcW w:w="1701" w:type="dxa"/>
          </w:tcPr>
          <w:p w14:paraId="00D4B9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Сроки подлежат согласов. в</w:t>
            </w:r>
          </w:p>
        </w:tc>
        <w:tc>
          <w:tcPr>
            <w:tcW w:w="1705" w:type="dxa"/>
          </w:tcPr>
          <w:p w14:paraId="7BD31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BB80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EFC38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Принимается как</w:t>
            </w:r>
          </w:p>
        </w:tc>
      </w:tr>
      <w:tr w:rsidR="001002C3" w:rsidRPr="007122AB" w14:paraId="00C3BB1C" w14:textId="77777777">
        <w:tc>
          <w:tcPr>
            <w:tcW w:w="939" w:type="dxa"/>
          </w:tcPr>
          <w:p w14:paraId="3CC9E8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Э.2</w:t>
            </w:r>
          </w:p>
        </w:tc>
        <w:tc>
          <w:tcPr>
            <w:tcW w:w="939" w:type="dxa"/>
          </w:tcPr>
          <w:p w14:paraId="28F12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69162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w:t>
            </w:r>
            <w:proofErr w:type="spellStart"/>
            <w:r w:rsidRPr="007122AB">
              <w:rPr>
                <w:rFonts w:ascii="Times New Roman" w:hAnsi="Times New Roman"/>
                <w:color w:val="000000" w:themeColor="text1"/>
                <w:sz w:val="16"/>
                <w:szCs w:val="16"/>
              </w:rPr>
              <w:t>устан</w:t>
            </w:r>
            <w:proofErr w:type="spellEnd"/>
            <w:r w:rsidRPr="007122AB">
              <w:rPr>
                <w:rFonts w:ascii="Times New Roman" w:hAnsi="Times New Roman"/>
                <w:color w:val="000000" w:themeColor="text1"/>
                <w:sz w:val="16"/>
                <w:szCs w:val="16"/>
              </w:rPr>
              <w:t>.</w:t>
            </w:r>
          </w:p>
        </w:tc>
        <w:tc>
          <w:tcPr>
            <w:tcW w:w="1701" w:type="dxa"/>
          </w:tcPr>
          <w:p w14:paraId="5277FA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Порядке принятия маш. к </w:t>
            </w:r>
            <w:proofErr w:type="spellStart"/>
            <w:r w:rsidRPr="007122AB">
              <w:rPr>
                <w:rFonts w:ascii="Times New Roman" w:hAnsi="Times New Roman"/>
                <w:color w:val="000000" w:themeColor="text1"/>
                <w:sz w:val="16"/>
                <w:szCs w:val="16"/>
              </w:rPr>
              <w:t>постр</w:t>
            </w:r>
            <w:proofErr w:type="spellEnd"/>
            <w:r w:rsidRPr="007122AB">
              <w:rPr>
                <w:rFonts w:ascii="Times New Roman" w:hAnsi="Times New Roman"/>
                <w:color w:val="000000" w:themeColor="text1"/>
                <w:sz w:val="16"/>
                <w:szCs w:val="16"/>
              </w:rPr>
              <w:t>.</w:t>
            </w:r>
          </w:p>
        </w:tc>
        <w:tc>
          <w:tcPr>
            <w:tcW w:w="1705" w:type="dxa"/>
          </w:tcPr>
          <w:p w14:paraId="5FDE7D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58D9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4C76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новых </w:t>
            </w:r>
            <w:proofErr w:type="spellStart"/>
            <w:r w:rsidRPr="007122AB">
              <w:rPr>
                <w:rFonts w:ascii="Times New Roman" w:hAnsi="Times New Roman"/>
                <w:color w:val="000000" w:themeColor="text1"/>
                <w:sz w:val="16"/>
                <w:szCs w:val="16"/>
              </w:rPr>
              <w:t>экспер</w:t>
            </w:r>
            <w:proofErr w:type="spellEnd"/>
            <w:r w:rsidRPr="007122AB">
              <w:rPr>
                <w:rFonts w:ascii="Times New Roman" w:hAnsi="Times New Roman"/>
                <w:color w:val="000000" w:themeColor="text1"/>
                <w:sz w:val="16"/>
                <w:szCs w:val="16"/>
              </w:rPr>
              <w:t>.</w:t>
            </w:r>
          </w:p>
        </w:tc>
      </w:tr>
      <w:tr w:rsidR="001002C3" w:rsidRPr="007122AB" w14:paraId="789935FC" w14:textId="77777777">
        <w:tc>
          <w:tcPr>
            <w:tcW w:w="939" w:type="dxa"/>
          </w:tcPr>
          <w:p w14:paraId="6FEDD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AD4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DA38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51A1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58174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024DB5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7A3C5B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 размерности</w:t>
            </w:r>
          </w:p>
        </w:tc>
      </w:tr>
      <w:tr w:rsidR="001002C3" w:rsidRPr="007122AB" w14:paraId="3316A678" w14:textId="77777777">
        <w:tc>
          <w:tcPr>
            <w:tcW w:w="939" w:type="dxa"/>
          </w:tcPr>
          <w:p w14:paraId="28B8F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EE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86801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00B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B302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22B7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7DFE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истребителя</w:t>
            </w:r>
          </w:p>
        </w:tc>
      </w:tr>
      <w:tr w:rsidR="001002C3" w:rsidRPr="007122AB" w14:paraId="641DA71E" w14:textId="77777777">
        <w:tc>
          <w:tcPr>
            <w:tcW w:w="939" w:type="dxa"/>
          </w:tcPr>
          <w:p w14:paraId="06FD1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ТБ-1Х</w:t>
            </w:r>
          </w:p>
        </w:tc>
        <w:tc>
          <w:tcPr>
            <w:tcW w:w="939" w:type="dxa"/>
          </w:tcPr>
          <w:p w14:paraId="35B2E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Подл.</w:t>
            </w:r>
          </w:p>
        </w:tc>
        <w:tc>
          <w:tcPr>
            <w:tcW w:w="1491" w:type="dxa"/>
          </w:tcPr>
          <w:p w14:paraId="2B929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Рассматр</w:t>
            </w:r>
            <w:proofErr w:type="spellEnd"/>
            <w:r w:rsidRPr="007122AB">
              <w:rPr>
                <w:rFonts w:ascii="Times New Roman" w:hAnsi="Times New Roman"/>
                <w:color w:val="000000" w:themeColor="text1"/>
                <w:sz w:val="16"/>
                <w:szCs w:val="16"/>
              </w:rPr>
              <w:t>. как</w:t>
            </w:r>
          </w:p>
        </w:tc>
        <w:tc>
          <w:tcPr>
            <w:tcW w:w="1701" w:type="dxa"/>
          </w:tcPr>
          <w:p w14:paraId="3206E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01.05.34</w:t>
            </w:r>
          </w:p>
        </w:tc>
        <w:tc>
          <w:tcPr>
            <w:tcW w:w="1705" w:type="dxa"/>
          </w:tcPr>
          <w:p w14:paraId="4DBF3D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Конец 1935</w:t>
            </w:r>
          </w:p>
        </w:tc>
        <w:tc>
          <w:tcPr>
            <w:tcW w:w="1486" w:type="dxa"/>
          </w:tcPr>
          <w:p w14:paraId="3CB36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01.01.34</w:t>
            </w:r>
          </w:p>
        </w:tc>
        <w:tc>
          <w:tcPr>
            <w:tcW w:w="2052" w:type="dxa"/>
          </w:tcPr>
          <w:p w14:paraId="4A70C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Принимается </w:t>
            </w:r>
            <w:proofErr w:type="spellStart"/>
            <w:r w:rsidRPr="007122AB">
              <w:rPr>
                <w:rFonts w:ascii="Times New Roman" w:hAnsi="Times New Roman"/>
                <w:color w:val="000000" w:themeColor="text1"/>
                <w:sz w:val="16"/>
                <w:szCs w:val="16"/>
              </w:rPr>
              <w:t>усл</w:t>
            </w:r>
            <w:proofErr w:type="spellEnd"/>
            <w:r w:rsidRPr="007122AB">
              <w:rPr>
                <w:rFonts w:ascii="Times New Roman" w:hAnsi="Times New Roman"/>
                <w:color w:val="000000" w:themeColor="text1"/>
                <w:sz w:val="16"/>
                <w:szCs w:val="16"/>
              </w:rPr>
              <w:t>.</w:t>
            </w:r>
          </w:p>
        </w:tc>
      </w:tr>
      <w:tr w:rsidR="001002C3" w:rsidRPr="007122AB" w14:paraId="576A733A" w14:textId="77777777">
        <w:tc>
          <w:tcPr>
            <w:tcW w:w="939" w:type="dxa"/>
          </w:tcPr>
          <w:p w14:paraId="60A125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29A1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уточнен. </w:t>
            </w:r>
          </w:p>
        </w:tc>
        <w:tc>
          <w:tcPr>
            <w:tcW w:w="1491" w:type="dxa"/>
          </w:tcPr>
          <w:p w14:paraId="55129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 ТБ-7 в</w:t>
            </w:r>
          </w:p>
        </w:tc>
        <w:tc>
          <w:tcPr>
            <w:tcW w:w="1701" w:type="dxa"/>
          </w:tcPr>
          <w:p w14:paraId="447641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7C4D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C91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1557B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завис. от моторов</w:t>
            </w:r>
          </w:p>
        </w:tc>
      </w:tr>
      <w:tr w:rsidR="001002C3" w:rsidRPr="007122AB" w14:paraId="3346FF9B" w14:textId="77777777">
        <w:tc>
          <w:tcPr>
            <w:tcW w:w="939" w:type="dxa"/>
          </w:tcPr>
          <w:p w14:paraId="29D36D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0D9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7E80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сторону увел.</w:t>
            </w:r>
          </w:p>
        </w:tc>
        <w:tc>
          <w:tcPr>
            <w:tcW w:w="1701" w:type="dxa"/>
          </w:tcPr>
          <w:p w14:paraId="5B8C96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B804F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484C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47CD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матер.</w:t>
            </w:r>
          </w:p>
        </w:tc>
      </w:tr>
      <w:tr w:rsidR="001002C3" w:rsidRPr="007122AB" w14:paraId="1BA296D9" w14:textId="77777777">
        <w:tc>
          <w:tcPr>
            <w:tcW w:w="939" w:type="dxa"/>
          </w:tcPr>
          <w:p w14:paraId="45C8B8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D9C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2374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груз. и </w:t>
            </w:r>
            <w:proofErr w:type="spellStart"/>
            <w:r w:rsidRPr="007122AB">
              <w:rPr>
                <w:rFonts w:ascii="Times New Roman" w:hAnsi="Times New Roman"/>
                <w:color w:val="000000" w:themeColor="text1"/>
                <w:sz w:val="16"/>
                <w:szCs w:val="16"/>
              </w:rPr>
              <w:t>м.б.</w:t>
            </w:r>
            <w:proofErr w:type="spellEnd"/>
          </w:p>
        </w:tc>
        <w:tc>
          <w:tcPr>
            <w:tcW w:w="1701" w:type="dxa"/>
          </w:tcPr>
          <w:p w14:paraId="7D2A7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60921A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01862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289C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0B9A86C" w14:textId="77777777">
        <w:tc>
          <w:tcPr>
            <w:tcW w:w="939" w:type="dxa"/>
          </w:tcPr>
          <w:p w14:paraId="4781B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922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3FB9C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постр</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осн</w:t>
            </w:r>
            <w:proofErr w:type="spellEnd"/>
            <w:r w:rsidRPr="007122AB">
              <w:rPr>
                <w:rFonts w:ascii="Times New Roman" w:hAnsi="Times New Roman"/>
                <w:color w:val="000000" w:themeColor="text1"/>
                <w:sz w:val="16"/>
                <w:szCs w:val="16"/>
              </w:rPr>
              <w:t>.</w:t>
            </w:r>
          </w:p>
        </w:tc>
        <w:tc>
          <w:tcPr>
            <w:tcW w:w="1701" w:type="dxa"/>
          </w:tcPr>
          <w:p w14:paraId="46AA07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3E24B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B745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8E0BC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EDDC18" w14:textId="77777777">
        <w:tc>
          <w:tcPr>
            <w:tcW w:w="939" w:type="dxa"/>
          </w:tcPr>
          <w:p w14:paraId="2D7F1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B021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FF68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развит. </w:t>
            </w:r>
            <w:proofErr w:type="spellStart"/>
            <w:r w:rsidRPr="007122AB">
              <w:rPr>
                <w:rFonts w:ascii="Times New Roman" w:hAnsi="Times New Roman"/>
                <w:color w:val="000000" w:themeColor="text1"/>
                <w:sz w:val="16"/>
                <w:szCs w:val="16"/>
              </w:rPr>
              <w:t>моторн</w:t>
            </w:r>
            <w:proofErr w:type="spellEnd"/>
            <w:r w:rsidRPr="007122AB">
              <w:rPr>
                <w:rFonts w:ascii="Times New Roman" w:hAnsi="Times New Roman"/>
                <w:color w:val="000000" w:themeColor="text1"/>
                <w:sz w:val="16"/>
                <w:szCs w:val="16"/>
              </w:rPr>
              <w:t>.</w:t>
            </w:r>
          </w:p>
        </w:tc>
        <w:tc>
          <w:tcPr>
            <w:tcW w:w="1701" w:type="dxa"/>
          </w:tcPr>
          <w:p w14:paraId="303A9C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3817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94B7A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FA21A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C35AF0" w14:textId="77777777">
        <w:tc>
          <w:tcPr>
            <w:tcW w:w="939" w:type="dxa"/>
          </w:tcPr>
          <w:p w14:paraId="78213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D1A3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E81D2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дела и </w:t>
            </w:r>
            <w:proofErr w:type="spellStart"/>
            <w:r w:rsidRPr="007122AB">
              <w:rPr>
                <w:rFonts w:ascii="Times New Roman" w:hAnsi="Times New Roman"/>
                <w:color w:val="000000" w:themeColor="text1"/>
                <w:sz w:val="16"/>
                <w:szCs w:val="16"/>
              </w:rPr>
              <w:t>расш</w:t>
            </w:r>
            <w:proofErr w:type="spellEnd"/>
            <w:r w:rsidRPr="007122AB">
              <w:rPr>
                <w:rFonts w:ascii="Times New Roman" w:hAnsi="Times New Roman"/>
                <w:color w:val="000000" w:themeColor="text1"/>
                <w:sz w:val="16"/>
                <w:szCs w:val="16"/>
              </w:rPr>
              <w:t>.</w:t>
            </w:r>
          </w:p>
        </w:tc>
        <w:tc>
          <w:tcPr>
            <w:tcW w:w="1701" w:type="dxa"/>
          </w:tcPr>
          <w:p w14:paraId="35802A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0F70D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0BEB0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E8DD8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4FDB7A" w14:textId="77777777">
        <w:tc>
          <w:tcPr>
            <w:tcW w:w="939" w:type="dxa"/>
          </w:tcPr>
          <w:p w14:paraId="1B846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9C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0BC2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 базы. Тех.</w:t>
            </w:r>
          </w:p>
        </w:tc>
        <w:tc>
          <w:tcPr>
            <w:tcW w:w="1701" w:type="dxa"/>
          </w:tcPr>
          <w:p w14:paraId="2C319B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6217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C8BDE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CE3C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F762EE" w14:textId="77777777">
        <w:tc>
          <w:tcPr>
            <w:tcW w:w="939" w:type="dxa"/>
          </w:tcPr>
          <w:p w14:paraId="24A3BC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8AE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5189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треб. подл.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w:t>
            </w:r>
          </w:p>
        </w:tc>
        <w:tc>
          <w:tcPr>
            <w:tcW w:w="1701" w:type="dxa"/>
          </w:tcPr>
          <w:p w14:paraId="5C7AF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4A0F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F635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0893D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14C6A2" w14:textId="77777777">
        <w:tc>
          <w:tcPr>
            <w:tcW w:w="939" w:type="dxa"/>
          </w:tcPr>
          <w:p w14:paraId="4C9B0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F83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AE5A6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согл</w:t>
            </w:r>
            <w:proofErr w:type="spellEnd"/>
            <w:r w:rsidRPr="007122AB">
              <w:rPr>
                <w:rFonts w:ascii="Times New Roman" w:hAnsi="Times New Roman"/>
                <w:color w:val="000000" w:themeColor="text1"/>
                <w:sz w:val="16"/>
                <w:szCs w:val="16"/>
              </w:rPr>
              <w:t>. в пор.</w:t>
            </w:r>
          </w:p>
        </w:tc>
        <w:tc>
          <w:tcPr>
            <w:tcW w:w="1701" w:type="dxa"/>
          </w:tcPr>
          <w:p w14:paraId="373962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F8735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115E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FD32A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5AE9B79" w14:textId="77777777">
        <w:tc>
          <w:tcPr>
            <w:tcW w:w="939" w:type="dxa"/>
          </w:tcPr>
          <w:p w14:paraId="1F14F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BF9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F0C8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проектир</w:t>
            </w:r>
            <w:proofErr w:type="spellEnd"/>
            <w:r w:rsidRPr="007122AB">
              <w:rPr>
                <w:rFonts w:ascii="Times New Roman" w:hAnsi="Times New Roman"/>
                <w:color w:val="000000" w:themeColor="text1"/>
                <w:sz w:val="16"/>
                <w:szCs w:val="16"/>
              </w:rPr>
              <w:t>. Маш.</w:t>
            </w:r>
          </w:p>
        </w:tc>
        <w:tc>
          <w:tcPr>
            <w:tcW w:w="1701" w:type="dxa"/>
          </w:tcPr>
          <w:p w14:paraId="0F4082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8D903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864D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F630B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304B74F" w14:textId="77777777">
        <w:tc>
          <w:tcPr>
            <w:tcW w:w="939" w:type="dxa"/>
          </w:tcPr>
          <w:p w14:paraId="368F4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w:t>
            </w:r>
          </w:p>
        </w:tc>
        <w:tc>
          <w:tcPr>
            <w:tcW w:w="939" w:type="dxa"/>
          </w:tcPr>
          <w:p w14:paraId="3226E6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91" w:type="dxa"/>
          </w:tcPr>
          <w:p w14:paraId="1962D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задано.</w:t>
            </w:r>
          </w:p>
        </w:tc>
        <w:tc>
          <w:tcPr>
            <w:tcW w:w="1701" w:type="dxa"/>
          </w:tcPr>
          <w:p w14:paraId="7F0F8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705" w:type="dxa"/>
          </w:tcPr>
          <w:p w14:paraId="10C43E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86" w:type="dxa"/>
          </w:tcPr>
          <w:p w14:paraId="539AB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052" w:type="dxa"/>
          </w:tcPr>
          <w:p w14:paraId="71311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Принимается как</w:t>
            </w:r>
          </w:p>
        </w:tc>
      </w:tr>
      <w:tr w:rsidR="001002C3" w:rsidRPr="007122AB" w14:paraId="5501F0BB" w14:textId="77777777">
        <w:tc>
          <w:tcPr>
            <w:tcW w:w="939" w:type="dxa"/>
          </w:tcPr>
          <w:p w14:paraId="66F91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C8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99AE6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Подл.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В</w:t>
            </w:r>
          </w:p>
        </w:tc>
        <w:tc>
          <w:tcPr>
            <w:tcW w:w="1701" w:type="dxa"/>
          </w:tcPr>
          <w:p w14:paraId="067D79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69FC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09DB47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C4F9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работ по</w:t>
            </w:r>
          </w:p>
        </w:tc>
      </w:tr>
      <w:tr w:rsidR="001002C3" w:rsidRPr="007122AB" w14:paraId="1C69ED1E" w14:textId="77777777">
        <w:tc>
          <w:tcPr>
            <w:tcW w:w="939" w:type="dxa"/>
          </w:tcPr>
          <w:p w14:paraId="467D2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D26E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8D58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 проект.</w:t>
            </w:r>
          </w:p>
        </w:tc>
        <w:tc>
          <w:tcPr>
            <w:tcW w:w="1701" w:type="dxa"/>
          </w:tcPr>
          <w:p w14:paraId="23BAE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3477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7F4B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35CDB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автожирам</w:t>
            </w:r>
          </w:p>
        </w:tc>
      </w:tr>
      <w:tr w:rsidR="001002C3" w:rsidRPr="007122AB" w14:paraId="201DD1D5" w14:textId="77777777">
        <w:tc>
          <w:tcPr>
            <w:tcW w:w="939" w:type="dxa"/>
          </w:tcPr>
          <w:p w14:paraId="26BA6B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Геликоп</w:t>
            </w:r>
            <w:proofErr w:type="spellEnd"/>
            <w:r w:rsidRPr="007122AB">
              <w:rPr>
                <w:rFonts w:ascii="Times New Roman" w:hAnsi="Times New Roman"/>
                <w:color w:val="000000" w:themeColor="text1"/>
                <w:sz w:val="16"/>
                <w:szCs w:val="16"/>
              </w:rPr>
              <w:t>.</w:t>
            </w:r>
          </w:p>
        </w:tc>
        <w:tc>
          <w:tcPr>
            <w:tcW w:w="939" w:type="dxa"/>
          </w:tcPr>
          <w:p w14:paraId="58CCD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91" w:type="dxa"/>
          </w:tcPr>
          <w:p w14:paraId="46058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задано.</w:t>
            </w:r>
          </w:p>
        </w:tc>
        <w:tc>
          <w:tcPr>
            <w:tcW w:w="1701" w:type="dxa"/>
          </w:tcPr>
          <w:p w14:paraId="5D7FF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705" w:type="dxa"/>
          </w:tcPr>
          <w:p w14:paraId="120D6D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86" w:type="dxa"/>
          </w:tcPr>
          <w:p w14:paraId="2831ED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052" w:type="dxa"/>
          </w:tcPr>
          <w:p w14:paraId="1E64E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Принимается как</w:t>
            </w:r>
          </w:p>
        </w:tc>
      </w:tr>
      <w:tr w:rsidR="001002C3" w:rsidRPr="007122AB" w14:paraId="1C769FB1" w14:textId="77777777">
        <w:tc>
          <w:tcPr>
            <w:tcW w:w="939" w:type="dxa"/>
          </w:tcPr>
          <w:p w14:paraId="3307A5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29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1D892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Подл.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В</w:t>
            </w:r>
          </w:p>
        </w:tc>
        <w:tc>
          <w:tcPr>
            <w:tcW w:w="1701" w:type="dxa"/>
          </w:tcPr>
          <w:p w14:paraId="3C87C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FA68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283F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B191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развитие работ по</w:t>
            </w:r>
          </w:p>
        </w:tc>
      </w:tr>
      <w:tr w:rsidR="001002C3" w:rsidRPr="007122AB" w14:paraId="1670395F" w14:textId="77777777">
        <w:tc>
          <w:tcPr>
            <w:tcW w:w="939" w:type="dxa"/>
          </w:tcPr>
          <w:p w14:paraId="0DD8F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6ECF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E1E2D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 проект.</w:t>
            </w:r>
          </w:p>
        </w:tc>
        <w:tc>
          <w:tcPr>
            <w:tcW w:w="1701" w:type="dxa"/>
          </w:tcPr>
          <w:p w14:paraId="56CF9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47144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854E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C06A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геликоптерам</w:t>
            </w:r>
          </w:p>
        </w:tc>
      </w:tr>
    </w:tbl>
    <w:p w14:paraId="6A55C0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ПАССАЖИРСКИЕ МАШИНЫ ПО ПЛАНУ ВОГВФ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877"/>
        <w:gridCol w:w="1022"/>
        <w:gridCol w:w="876"/>
        <w:gridCol w:w="1023"/>
        <w:gridCol w:w="4707"/>
      </w:tblGrid>
      <w:tr w:rsidR="001002C3" w:rsidRPr="007122AB" w14:paraId="3F762F3D" w14:textId="77777777">
        <w:tc>
          <w:tcPr>
            <w:tcW w:w="959" w:type="dxa"/>
          </w:tcPr>
          <w:p w14:paraId="76D49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АНТ-20</w:t>
            </w:r>
          </w:p>
        </w:tc>
        <w:tc>
          <w:tcPr>
            <w:tcW w:w="850" w:type="dxa"/>
          </w:tcPr>
          <w:p w14:paraId="55F6B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4АМ-35</w:t>
            </w:r>
          </w:p>
        </w:tc>
        <w:tc>
          <w:tcPr>
            <w:tcW w:w="877" w:type="dxa"/>
          </w:tcPr>
          <w:p w14:paraId="762AA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w:t>
            </w:r>
            <w:proofErr w:type="spellStart"/>
            <w:r w:rsidRPr="007122AB">
              <w:rPr>
                <w:rFonts w:ascii="Times New Roman" w:hAnsi="Times New Roman"/>
                <w:color w:val="000000" w:themeColor="text1"/>
                <w:sz w:val="16"/>
                <w:szCs w:val="16"/>
              </w:rPr>
              <w:t>модиф</w:t>
            </w:r>
            <w:proofErr w:type="spellEnd"/>
            <w:r w:rsidRPr="007122AB">
              <w:rPr>
                <w:rFonts w:ascii="Times New Roman" w:hAnsi="Times New Roman"/>
                <w:color w:val="000000" w:themeColor="text1"/>
                <w:sz w:val="16"/>
                <w:szCs w:val="16"/>
              </w:rPr>
              <w:t>. ТБ-4</w:t>
            </w:r>
          </w:p>
        </w:tc>
        <w:tc>
          <w:tcPr>
            <w:tcW w:w="1022" w:type="dxa"/>
          </w:tcPr>
          <w:p w14:paraId="5D7DA1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01.10.32</w:t>
            </w:r>
          </w:p>
        </w:tc>
        <w:tc>
          <w:tcPr>
            <w:tcW w:w="876" w:type="dxa"/>
          </w:tcPr>
          <w:p w14:paraId="37A52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01.12.32</w:t>
            </w:r>
          </w:p>
        </w:tc>
        <w:tc>
          <w:tcPr>
            <w:tcW w:w="1023" w:type="dxa"/>
          </w:tcPr>
          <w:p w14:paraId="55223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01.04.1932 </w:t>
            </w:r>
          </w:p>
        </w:tc>
        <w:tc>
          <w:tcPr>
            <w:tcW w:w="4707" w:type="dxa"/>
          </w:tcPr>
          <w:p w14:paraId="1DC8E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будет</w:t>
            </w:r>
          </w:p>
        </w:tc>
      </w:tr>
      <w:tr w:rsidR="001002C3" w:rsidRPr="007122AB" w14:paraId="6BF6FE72" w14:textId="77777777">
        <w:tc>
          <w:tcPr>
            <w:tcW w:w="959" w:type="dxa"/>
          </w:tcPr>
          <w:p w14:paraId="33FEF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модиф</w:t>
            </w:r>
            <w:proofErr w:type="spellEnd"/>
            <w:r w:rsidRPr="007122AB">
              <w:rPr>
                <w:rFonts w:ascii="Times New Roman" w:hAnsi="Times New Roman"/>
                <w:color w:val="000000" w:themeColor="text1"/>
                <w:sz w:val="16"/>
                <w:szCs w:val="16"/>
              </w:rPr>
              <w:t>.</w:t>
            </w:r>
          </w:p>
        </w:tc>
        <w:tc>
          <w:tcPr>
            <w:tcW w:w="850" w:type="dxa"/>
          </w:tcPr>
          <w:p w14:paraId="584520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ред.</w:t>
            </w:r>
          </w:p>
        </w:tc>
        <w:tc>
          <w:tcPr>
            <w:tcW w:w="877" w:type="dxa"/>
          </w:tcPr>
          <w:p w14:paraId="6F08B2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произвед</w:t>
            </w:r>
            <w:proofErr w:type="spellEnd"/>
            <w:r w:rsidRPr="007122AB">
              <w:rPr>
                <w:rFonts w:ascii="Times New Roman" w:hAnsi="Times New Roman"/>
                <w:color w:val="000000" w:themeColor="text1"/>
                <w:sz w:val="16"/>
                <w:szCs w:val="16"/>
              </w:rPr>
              <w:t>. и кон.</w:t>
            </w:r>
          </w:p>
        </w:tc>
        <w:tc>
          <w:tcPr>
            <w:tcW w:w="1022" w:type="dxa"/>
          </w:tcPr>
          <w:p w14:paraId="3BBDD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D8A1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3585B2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65258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выдерж</w:t>
            </w:r>
            <w:proofErr w:type="spellEnd"/>
            <w:r w:rsidRPr="007122AB">
              <w:rPr>
                <w:rFonts w:ascii="Times New Roman" w:hAnsi="Times New Roman"/>
                <w:color w:val="000000" w:themeColor="text1"/>
                <w:sz w:val="16"/>
                <w:szCs w:val="16"/>
              </w:rPr>
              <w:t xml:space="preserve">. при </w:t>
            </w:r>
            <w:proofErr w:type="spellStart"/>
            <w:r w:rsidRPr="007122AB">
              <w:rPr>
                <w:rFonts w:ascii="Times New Roman" w:hAnsi="Times New Roman"/>
                <w:color w:val="000000" w:themeColor="text1"/>
                <w:sz w:val="16"/>
                <w:szCs w:val="16"/>
              </w:rPr>
              <w:t>услов</w:t>
            </w:r>
            <w:proofErr w:type="spellEnd"/>
            <w:r w:rsidRPr="007122AB">
              <w:rPr>
                <w:rFonts w:ascii="Times New Roman" w:hAnsi="Times New Roman"/>
                <w:color w:val="000000" w:themeColor="text1"/>
                <w:sz w:val="16"/>
                <w:szCs w:val="16"/>
              </w:rPr>
              <w:t>.</w:t>
            </w:r>
          </w:p>
        </w:tc>
      </w:tr>
      <w:tr w:rsidR="001002C3" w:rsidRPr="007122AB" w14:paraId="528CEDCF" w14:textId="77777777">
        <w:tc>
          <w:tcPr>
            <w:tcW w:w="959" w:type="dxa"/>
          </w:tcPr>
          <w:p w14:paraId="7D8C4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AF64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w:t>
            </w:r>
          </w:p>
        </w:tc>
        <w:tc>
          <w:tcPr>
            <w:tcW w:w="877" w:type="dxa"/>
          </w:tcPr>
          <w:p w14:paraId="05B508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реальна, техн.</w:t>
            </w:r>
          </w:p>
        </w:tc>
        <w:tc>
          <w:tcPr>
            <w:tcW w:w="1022" w:type="dxa"/>
          </w:tcPr>
          <w:p w14:paraId="0D233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1BC80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63647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20FADA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поставки моторов</w:t>
            </w:r>
          </w:p>
        </w:tc>
      </w:tr>
      <w:tr w:rsidR="001002C3" w:rsidRPr="007122AB" w14:paraId="459D8D74" w14:textId="77777777">
        <w:tc>
          <w:tcPr>
            <w:tcW w:w="959" w:type="dxa"/>
          </w:tcPr>
          <w:p w14:paraId="038BEF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5E7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6М-34</w:t>
            </w:r>
          </w:p>
        </w:tc>
        <w:tc>
          <w:tcPr>
            <w:tcW w:w="877" w:type="dxa"/>
          </w:tcPr>
          <w:p w14:paraId="054E0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треб. подл. </w:t>
            </w:r>
            <w:proofErr w:type="spellStart"/>
            <w:r w:rsidRPr="007122AB">
              <w:rPr>
                <w:rFonts w:ascii="Times New Roman" w:hAnsi="Times New Roman"/>
                <w:color w:val="000000" w:themeColor="text1"/>
                <w:sz w:val="16"/>
                <w:szCs w:val="16"/>
              </w:rPr>
              <w:t>согл</w:t>
            </w:r>
            <w:proofErr w:type="spellEnd"/>
            <w:r w:rsidRPr="007122AB">
              <w:rPr>
                <w:rFonts w:ascii="Times New Roman" w:hAnsi="Times New Roman"/>
                <w:color w:val="000000" w:themeColor="text1"/>
                <w:sz w:val="16"/>
                <w:szCs w:val="16"/>
              </w:rPr>
              <w:t>.</w:t>
            </w:r>
          </w:p>
        </w:tc>
        <w:tc>
          <w:tcPr>
            <w:tcW w:w="1022" w:type="dxa"/>
          </w:tcPr>
          <w:p w14:paraId="1E294B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3140E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20F491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617E4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615BD9" w14:textId="77777777">
        <w:tc>
          <w:tcPr>
            <w:tcW w:w="959" w:type="dxa"/>
          </w:tcPr>
          <w:p w14:paraId="48487A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A28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ред.</w:t>
            </w:r>
          </w:p>
        </w:tc>
        <w:tc>
          <w:tcPr>
            <w:tcW w:w="877" w:type="dxa"/>
          </w:tcPr>
          <w:p w14:paraId="395BCC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ВОГВФ</w:t>
            </w:r>
          </w:p>
        </w:tc>
        <w:tc>
          <w:tcPr>
            <w:tcW w:w="1022" w:type="dxa"/>
          </w:tcPr>
          <w:p w14:paraId="11B5A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01B01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5BE77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AD571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F1BAF9" w14:textId="77777777">
        <w:tc>
          <w:tcPr>
            <w:tcW w:w="959" w:type="dxa"/>
          </w:tcPr>
          <w:p w14:paraId="370D66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АНТ-8</w:t>
            </w:r>
          </w:p>
        </w:tc>
        <w:tc>
          <w:tcPr>
            <w:tcW w:w="850" w:type="dxa"/>
          </w:tcPr>
          <w:p w14:paraId="181E5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2М-17</w:t>
            </w:r>
          </w:p>
        </w:tc>
        <w:tc>
          <w:tcPr>
            <w:tcW w:w="877" w:type="dxa"/>
          </w:tcPr>
          <w:p w14:paraId="5FFD8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Согласованы</w:t>
            </w:r>
          </w:p>
        </w:tc>
        <w:tc>
          <w:tcPr>
            <w:tcW w:w="1022" w:type="dxa"/>
          </w:tcPr>
          <w:p w14:paraId="1BF85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01.07.32</w:t>
            </w:r>
          </w:p>
        </w:tc>
        <w:tc>
          <w:tcPr>
            <w:tcW w:w="876" w:type="dxa"/>
          </w:tcPr>
          <w:p w14:paraId="21F971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3" w:type="dxa"/>
          </w:tcPr>
          <w:p w14:paraId="797D7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707" w:type="dxa"/>
          </w:tcPr>
          <w:p w14:paraId="5CBDAF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не готов</w:t>
            </w:r>
          </w:p>
        </w:tc>
      </w:tr>
      <w:tr w:rsidR="001002C3" w:rsidRPr="007122AB" w14:paraId="3B69FFA6" w14:textId="77777777">
        <w:tc>
          <w:tcPr>
            <w:tcW w:w="959" w:type="dxa"/>
          </w:tcPr>
          <w:p w14:paraId="1B9ECB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модиф</w:t>
            </w:r>
            <w:proofErr w:type="spellEnd"/>
            <w:r w:rsidRPr="007122AB">
              <w:rPr>
                <w:rFonts w:ascii="Times New Roman" w:hAnsi="Times New Roman"/>
                <w:color w:val="000000" w:themeColor="text1"/>
                <w:sz w:val="16"/>
                <w:szCs w:val="16"/>
              </w:rPr>
              <w:t>.</w:t>
            </w:r>
          </w:p>
        </w:tc>
        <w:tc>
          <w:tcPr>
            <w:tcW w:w="850" w:type="dxa"/>
          </w:tcPr>
          <w:p w14:paraId="35E687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7F09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2E575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07CEA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1DFFC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8BB10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сроку ВОГВФ</w:t>
            </w:r>
          </w:p>
        </w:tc>
      </w:tr>
      <w:tr w:rsidR="001002C3" w:rsidRPr="007122AB" w14:paraId="3BB5E034" w14:textId="77777777">
        <w:tc>
          <w:tcPr>
            <w:tcW w:w="959" w:type="dxa"/>
          </w:tcPr>
          <w:p w14:paraId="6C814B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w:t>
            </w:r>
          </w:p>
        </w:tc>
        <w:tc>
          <w:tcPr>
            <w:tcW w:w="850" w:type="dxa"/>
          </w:tcPr>
          <w:p w14:paraId="374A0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D82DD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067E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D09B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79CC3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2BB78D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17322AA" w14:textId="77777777">
        <w:tc>
          <w:tcPr>
            <w:tcW w:w="959" w:type="dxa"/>
          </w:tcPr>
          <w:p w14:paraId="4B66FB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10Т</w:t>
            </w:r>
          </w:p>
        </w:tc>
        <w:tc>
          <w:tcPr>
            <w:tcW w:w="850" w:type="dxa"/>
          </w:tcPr>
          <w:p w14:paraId="48BA7C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77" w:type="dxa"/>
          </w:tcPr>
          <w:p w14:paraId="353EF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 ТБ-7</w:t>
            </w:r>
          </w:p>
        </w:tc>
        <w:tc>
          <w:tcPr>
            <w:tcW w:w="1022" w:type="dxa"/>
          </w:tcPr>
          <w:p w14:paraId="4B8F01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01.12.33</w:t>
            </w:r>
          </w:p>
        </w:tc>
        <w:tc>
          <w:tcPr>
            <w:tcW w:w="876" w:type="dxa"/>
          </w:tcPr>
          <w:p w14:paraId="4829E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3" w:type="dxa"/>
          </w:tcPr>
          <w:p w14:paraId="09C6F3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707" w:type="dxa"/>
          </w:tcPr>
          <w:p w14:paraId="306C9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Может быть </w:t>
            </w:r>
            <w:proofErr w:type="spellStart"/>
            <w:r w:rsidRPr="007122AB">
              <w:rPr>
                <w:rFonts w:ascii="Times New Roman" w:hAnsi="Times New Roman"/>
                <w:color w:val="000000" w:themeColor="text1"/>
                <w:sz w:val="16"/>
                <w:szCs w:val="16"/>
              </w:rPr>
              <w:t>выполн</w:t>
            </w:r>
            <w:proofErr w:type="spellEnd"/>
            <w:r w:rsidRPr="007122AB">
              <w:rPr>
                <w:rFonts w:ascii="Times New Roman" w:hAnsi="Times New Roman"/>
                <w:color w:val="000000" w:themeColor="text1"/>
                <w:sz w:val="16"/>
                <w:szCs w:val="16"/>
              </w:rPr>
              <w:t>.</w:t>
            </w:r>
          </w:p>
        </w:tc>
      </w:tr>
      <w:tr w:rsidR="001002C3" w:rsidRPr="007122AB" w14:paraId="5CB3701D" w14:textId="77777777">
        <w:tc>
          <w:tcPr>
            <w:tcW w:w="959" w:type="dxa"/>
          </w:tcPr>
          <w:p w14:paraId="4905B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lastRenderedPageBreak/>
              <w:t>модиф</w:t>
            </w:r>
            <w:proofErr w:type="spellEnd"/>
            <w:r w:rsidRPr="007122AB">
              <w:rPr>
                <w:rFonts w:ascii="Times New Roman" w:hAnsi="Times New Roman"/>
                <w:color w:val="000000" w:themeColor="text1"/>
                <w:sz w:val="16"/>
                <w:szCs w:val="16"/>
              </w:rPr>
              <w:t>.</w:t>
            </w:r>
          </w:p>
        </w:tc>
        <w:tc>
          <w:tcPr>
            <w:tcW w:w="850" w:type="dxa"/>
          </w:tcPr>
          <w:p w14:paraId="7BC1A2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E89E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ACC79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315C1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34CDAD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173A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ранее, чем через</w:t>
            </w:r>
          </w:p>
        </w:tc>
      </w:tr>
      <w:tr w:rsidR="001002C3" w:rsidRPr="007122AB" w14:paraId="0E517546" w14:textId="77777777">
        <w:tc>
          <w:tcPr>
            <w:tcW w:w="959" w:type="dxa"/>
          </w:tcPr>
          <w:p w14:paraId="6AE0F1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ТБ-7</w:t>
            </w:r>
          </w:p>
        </w:tc>
        <w:tc>
          <w:tcPr>
            <w:tcW w:w="850" w:type="dxa"/>
          </w:tcPr>
          <w:p w14:paraId="52AC5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816C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D4461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23564E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41087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BFF5A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год после ТБ-7</w:t>
            </w:r>
          </w:p>
        </w:tc>
      </w:tr>
      <w:tr w:rsidR="001002C3" w:rsidRPr="007122AB" w14:paraId="5F229619" w14:textId="77777777">
        <w:tc>
          <w:tcPr>
            <w:tcW w:w="959" w:type="dxa"/>
          </w:tcPr>
          <w:p w14:paraId="660CB3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25Т</w:t>
            </w:r>
          </w:p>
        </w:tc>
        <w:tc>
          <w:tcPr>
            <w:tcW w:w="850" w:type="dxa"/>
          </w:tcPr>
          <w:p w14:paraId="103FE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DA32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 ТБ-1Х</w:t>
            </w:r>
          </w:p>
        </w:tc>
        <w:tc>
          <w:tcPr>
            <w:tcW w:w="1022" w:type="dxa"/>
          </w:tcPr>
          <w:p w14:paraId="7666F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01.05.34</w:t>
            </w:r>
          </w:p>
        </w:tc>
        <w:tc>
          <w:tcPr>
            <w:tcW w:w="876" w:type="dxa"/>
          </w:tcPr>
          <w:p w14:paraId="67535B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3" w:type="dxa"/>
          </w:tcPr>
          <w:p w14:paraId="03D73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707" w:type="dxa"/>
          </w:tcPr>
          <w:p w14:paraId="7273C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Машина может быть</w:t>
            </w:r>
          </w:p>
        </w:tc>
      </w:tr>
      <w:tr w:rsidR="001002C3" w:rsidRPr="007122AB" w14:paraId="24B8EB62" w14:textId="77777777">
        <w:tc>
          <w:tcPr>
            <w:tcW w:w="959" w:type="dxa"/>
          </w:tcPr>
          <w:p w14:paraId="4CE51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модиф</w:t>
            </w:r>
            <w:proofErr w:type="spellEnd"/>
            <w:r w:rsidRPr="007122AB">
              <w:rPr>
                <w:rFonts w:ascii="Times New Roman" w:hAnsi="Times New Roman"/>
                <w:color w:val="000000" w:themeColor="text1"/>
                <w:sz w:val="16"/>
                <w:szCs w:val="16"/>
              </w:rPr>
              <w:t>.</w:t>
            </w:r>
          </w:p>
        </w:tc>
        <w:tc>
          <w:tcPr>
            <w:tcW w:w="850" w:type="dxa"/>
          </w:tcPr>
          <w:p w14:paraId="0B4B71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859B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4F067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25B85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2D1A9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0AC80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выполн</w:t>
            </w:r>
            <w:proofErr w:type="spellEnd"/>
            <w:r w:rsidRPr="007122AB">
              <w:rPr>
                <w:rFonts w:ascii="Times New Roman" w:hAnsi="Times New Roman"/>
                <w:color w:val="000000" w:themeColor="text1"/>
                <w:sz w:val="16"/>
                <w:szCs w:val="16"/>
              </w:rPr>
              <w:t>. через год</w:t>
            </w:r>
          </w:p>
        </w:tc>
      </w:tr>
      <w:tr w:rsidR="001002C3" w:rsidRPr="007122AB" w14:paraId="02FAEEF2" w14:textId="77777777">
        <w:tc>
          <w:tcPr>
            <w:tcW w:w="959" w:type="dxa"/>
          </w:tcPr>
          <w:p w14:paraId="652AC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ТБ-9</w:t>
            </w:r>
          </w:p>
        </w:tc>
        <w:tc>
          <w:tcPr>
            <w:tcW w:w="850" w:type="dxa"/>
          </w:tcPr>
          <w:p w14:paraId="358F3D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336B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751F3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4A2A4B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539B7F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0F852C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ТБ-9</w:t>
            </w:r>
          </w:p>
        </w:tc>
      </w:tr>
      <w:tr w:rsidR="001002C3" w:rsidRPr="007122AB" w14:paraId="0B201F80" w14:textId="77777777">
        <w:tc>
          <w:tcPr>
            <w:tcW w:w="959" w:type="dxa"/>
          </w:tcPr>
          <w:p w14:paraId="6FAD5E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Г.6.Т</w:t>
            </w:r>
          </w:p>
        </w:tc>
        <w:tc>
          <w:tcPr>
            <w:tcW w:w="850" w:type="dxa"/>
          </w:tcPr>
          <w:p w14:paraId="6902E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77" w:type="dxa"/>
          </w:tcPr>
          <w:p w14:paraId="2E886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может быть принята</w:t>
            </w:r>
          </w:p>
        </w:tc>
        <w:tc>
          <w:tcPr>
            <w:tcW w:w="1022" w:type="dxa"/>
          </w:tcPr>
          <w:p w14:paraId="41615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4F540D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66A4C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B05DD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Взамен ЦАГИ предл.</w:t>
            </w:r>
          </w:p>
        </w:tc>
      </w:tr>
      <w:tr w:rsidR="001002C3" w:rsidRPr="007122AB" w14:paraId="4963FBF5" w14:textId="77777777">
        <w:tc>
          <w:tcPr>
            <w:tcW w:w="959" w:type="dxa"/>
          </w:tcPr>
          <w:p w14:paraId="6A6526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Г.10.Т.</w:t>
            </w:r>
          </w:p>
        </w:tc>
        <w:tc>
          <w:tcPr>
            <w:tcW w:w="850" w:type="dxa"/>
          </w:tcPr>
          <w:p w14:paraId="458D5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77" w:type="dxa"/>
          </w:tcPr>
          <w:p w14:paraId="5AAB1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может быть принята</w:t>
            </w:r>
          </w:p>
        </w:tc>
        <w:tc>
          <w:tcPr>
            <w:tcW w:w="1022" w:type="dxa"/>
          </w:tcPr>
          <w:p w14:paraId="703FC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5A1C4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09A90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3595A8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модиф</w:t>
            </w:r>
            <w:proofErr w:type="spellEnd"/>
            <w:r w:rsidRPr="007122AB">
              <w:rPr>
                <w:rFonts w:ascii="Times New Roman" w:hAnsi="Times New Roman"/>
                <w:color w:val="000000" w:themeColor="text1"/>
                <w:sz w:val="16"/>
                <w:szCs w:val="16"/>
              </w:rPr>
              <w:t>. М.К. с сроком</w:t>
            </w:r>
          </w:p>
        </w:tc>
      </w:tr>
      <w:tr w:rsidR="001002C3" w:rsidRPr="007122AB" w14:paraId="50652163" w14:textId="77777777">
        <w:tc>
          <w:tcPr>
            <w:tcW w:w="959" w:type="dxa"/>
          </w:tcPr>
          <w:p w14:paraId="1BC5D1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EFD5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1DF5E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13679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1D67D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4C9B0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вып</w:t>
            </w:r>
            <w:proofErr w:type="spellEnd"/>
            <w:r w:rsidRPr="007122AB">
              <w:rPr>
                <w:rFonts w:ascii="Times New Roman" w:hAnsi="Times New Roman"/>
                <w:color w:val="000000" w:themeColor="text1"/>
                <w:sz w:val="16"/>
                <w:szCs w:val="16"/>
              </w:rPr>
              <w:t>. 01.03.33</w:t>
            </w:r>
          </w:p>
        </w:tc>
        <w:tc>
          <w:tcPr>
            <w:tcW w:w="4707" w:type="dxa"/>
          </w:tcPr>
          <w:p w14:paraId="72CA27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52BEA5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76CD3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354BFD" w14:textId="77777777" w:rsidR="00BB323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9B0F69D" w14:textId="77777777" w:rsidR="00BB323F" w:rsidRPr="007122AB" w:rsidRDefault="00BB323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F1A660" w14:textId="77777777" w:rsidR="00BB323F" w:rsidRPr="007122AB" w:rsidRDefault="00BB323F" w:rsidP="007122AB">
      <w:pPr>
        <w:pStyle w:val="rtejustify"/>
        <w:spacing w:before="0" w:after="0"/>
        <w:rPr>
          <w:color w:val="000000" w:themeColor="text1"/>
          <w:sz w:val="16"/>
          <w:szCs w:val="16"/>
        </w:rPr>
      </w:pPr>
      <w:r w:rsidRPr="007122AB">
        <w:rPr>
          <w:rStyle w:val="af0"/>
          <w:i w:val="0"/>
          <w:color w:val="000000" w:themeColor="text1"/>
          <w:sz w:val="16"/>
          <w:szCs w:val="16"/>
        </w:rPr>
        <w:t>23 июля 1931 г. Протокол Реввоенсовета № 26.</w:t>
      </w:r>
      <w:r w:rsidRPr="007122AB">
        <w:rPr>
          <w:color w:val="000000" w:themeColor="text1"/>
          <w:sz w:val="16"/>
          <w:szCs w:val="16"/>
        </w:rPr>
        <w:t xml:space="preserve"> 3. Итоги опытной мобилизации промышленности в 1930 г. (Егоров, Тухачевский). 8. О средствах связи РККА (</w:t>
      </w:r>
      <w:proofErr w:type="spellStart"/>
      <w:r w:rsidRPr="007122AB">
        <w:rPr>
          <w:color w:val="000000" w:themeColor="text1"/>
          <w:sz w:val="16"/>
          <w:szCs w:val="16"/>
        </w:rPr>
        <w:t>Лонгва</w:t>
      </w:r>
      <w:proofErr w:type="spellEnd"/>
      <w:r w:rsidRPr="007122AB">
        <w:rPr>
          <w:color w:val="000000" w:themeColor="text1"/>
          <w:sz w:val="16"/>
          <w:szCs w:val="16"/>
        </w:rPr>
        <w:t xml:space="preserve">, </w:t>
      </w:r>
      <w:proofErr w:type="spellStart"/>
      <w:r w:rsidRPr="007122AB">
        <w:rPr>
          <w:color w:val="000000" w:themeColor="text1"/>
          <w:sz w:val="16"/>
          <w:szCs w:val="16"/>
        </w:rPr>
        <w:t>Бордовский</w:t>
      </w:r>
      <w:proofErr w:type="spellEnd"/>
      <w:r w:rsidRPr="007122AB">
        <w:rPr>
          <w:color w:val="000000" w:themeColor="text1"/>
          <w:sz w:val="16"/>
          <w:szCs w:val="16"/>
        </w:rPr>
        <w:t>). 11. Выполнение промышленностью заказов за 1</w:t>
      </w:r>
      <w:r w:rsidRPr="007122AB">
        <w:rPr>
          <w:color w:val="000000" w:themeColor="text1"/>
          <w:sz w:val="16"/>
          <w:szCs w:val="16"/>
        </w:rPr>
        <w:noBreakHyphen/>
        <w:t>ю половину 1931 г. (Ефимов). 20. Организация сбора средств на 2</w:t>
      </w:r>
      <w:r w:rsidRPr="007122AB">
        <w:rPr>
          <w:color w:val="000000" w:themeColor="text1"/>
          <w:sz w:val="16"/>
          <w:szCs w:val="16"/>
        </w:rPr>
        <w:noBreakHyphen/>
        <w:t>ю подводную лодку (</w:t>
      </w:r>
      <w:proofErr w:type="spellStart"/>
      <w:r w:rsidRPr="007122AB">
        <w:rPr>
          <w:color w:val="000000" w:themeColor="text1"/>
          <w:sz w:val="16"/>
          <w:szCs w:val="16"/>
        </w:rPr>
        <w:t>Булин</w:t>
      </w:r>
      <w:proofErr w:type="spellEnd"/>
      <w:r w:rsidRPr="007122AB">
        <w:rPr>
          <w:color w:val="000000" w:themeColor="text1"/>
          <w:sz w:val="16"/>
          <w:szCs w:val="16"/>
        </w:rPr>
        <w:t>). (РГВА. Ф. 4. Оп. 18. Д. 21. Л. 9, 10</w:t>
      </w:r>
      <w:r w:rsidRPr="007122AB">
        <w:rPr>
          <w:color w:val="000000" w:themeColor="text1"/>
          <w:sz w:val="16"/>
          <w:szCs w:val="16"/>
        </w:rPr>
        <w:noBreakHyphen/>
        <w:t>11, 12, 14) (12342).</w:t>
      </w:r>
    </w:p>
    <w:p w14:paraId="45887356" w14:textId="77777777" w:rsidR="00BB323F" w:rsidRPr="007122AB" w:rsidRDefault="00BB323F" w:rsidP="007122AB">
      <w:pPr>
        <w:pStyle w:val="rtejustify"/>
        <w:spacing w:before="0" w:after="0"/>
        <w:rPr>
          <w:color w:val="000000" w:themeColor="text1"/>
          <w:sz w:val="16"/>
          <w:szCs w:val="16"/>
        </w:rPr>
      </w:pPr>
    </w:p>
    <w:p w14:paraId="1EBD888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2A83A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0A29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июля 1931 </w:t>
      </w:r>
      <w:proofErr w:type="spellStart"/>
      <w:r w:rsidRPr="007122AB">
        <w:rPr>
          <w:rFonts w:ascii="Times New Roman" w:hAnsi="Times New Roman"/>
          <w:color w:val="000000" w:themeColor="text1"/>
          <w:sz w:val="16"/>
          <w:szCs w:val="16"/>
        </w:rPr>
        <w:t>А.С.Москалев</w:t>
      </w:r>
      <w:proofErr w:type="spellEnd"/>
      <w:r w:rsidRPr="007122AB">
        <w:rPr>
          <w:rFonts w:ascii="Times New Roman" w:hAnsi="Times New Roman"/>
          <w:color w:val="000000" w:themeColor="text1"/>
          <w:sz w:val="16"/>
          <w:szCs w:val="16"/>
        </w:rPr>
        <w:t xml:space="preserve"> попал в Воронеж на должность Нач. СКО строящегося завода 18 (2889,154).</w:t>
      </w:r>
    </w:p>
    <w:p w14:paraId="1AF6B3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63399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AA613E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5747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июля 1931 состоялось параллельное испытание Т-12 и Т-24. Были практически одинаковыми по свойствам (4243,23).</w:t>
      </w:r>
    </w:p>
    <w:p w14:paraId="0F5B5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6283B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4636A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0BE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24 и 30 июля 1931. Из протокола заседания Политбюро № 51, 1931 г.</w:t>
      </w:r>
    </w:p>
    <w:p w14:paraId="4515A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отпуске тов. Ежову </w:t>
      </w:r>
    </w:p>
    <w:p w14:paraId="6AB888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Отправить немедленно тов. Ежова для лечения в отпуск на 2 месяца в Абас-Туман. Обязать тов. </w:t>
      </w:r>
      <w:proofErr w:type="spellStart"/>
      <w:r w:rsidRPr="007122AB">
        <w:rPr>
          <w:rFonts w:ascii="Times New Roman" w:hAnsi="Times New Roman"/>
          <w:color w:val="000000" w:themeColor="text1"/>
          <w:sz w:val="16"/>
          <w:szCs w:val="16"/>
        </w:rPr>
        <w:t>Картвелишвили</w:t>
      </w:r>
      <w:proofErr w:type="spellEnd"/>
      <w:r w:rsidRPr="007122AB">
        <w:rPr>
          <w:rFonts w:ascii="Times New Roman" w:hAnsi="Times New Roman"/>
          <w:color w:val="000000" w:themeColor="text1"/>
          <w:sz w:val="16"/>
          <w:szCs w:val="16"/>
        </w:rPr>
        <w:t xml:space="preserve"> организовать специальный уход за тов. Ежовым (11652).</w:t>
      </w:r>
    </w:p>
    <w:p w14:paraId="44642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813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24 и 30 июля 1931. Из протокола заседания Политбюро № 51, 1931 г.</w:t>
      </w:r>
    </w:p>
    <w:p w14:paraId="434ED9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мобилизации коммунистов с производства для укрепления органов милиции</w:t>
      </w:r>
    </w:p>
    <w:p w14:paraId="42FCD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Удовлетворить просьбу МОК ВКП(б) о разрешении мобилизации 200 коммунистов с производства за счет неквалифицированных рабочих, занятых в легкой промышленности, для укрепления органов милиции (11652).</w:t>
      </w:r>
    </w:p>
    <w:p w14:paraId="795655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1B38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24 и 30 июля 1931. Из протокола заседания Политбюро № 51, 1931 г.</w:t>
      </w:r>
    </w:p>
    <w:p w14:paraId="2F495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обязательном присутствии наркомов на заседаниях СНК СССР и СТО</w:t>
      </w:r>
    </w:p>
    <w:p w14:paraId="2BC58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всех наркомов, если они находятся в Москве, присутствовать на заседаниях СНК СССР и СТО, договариваясь каждый раз, в случае невозможности их присутствия, с председателем СНК и СТО тов. Молотовым и оставляя, в случае отъезда в командировку, своих заместителей (11652).</w:t>
      </w:r>
    </w:p>
    <w:p w14:paraId="549AB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4C9672"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июля в 1931 году в Ленинград с коротким визитом прибыл Бернард Шоу. Он остановился в гостинице "Европейской", встречался с писателями, посетил Эрмитаж, Русский музей и Исаакиевский собор (14962).</w:t>
      </w:r>
    </w:p>
    <w:p w14:paraId="6B347E09"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57D40B51" w14:textId="77777777" w:rsidR="0005751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CC2F990" w14:textId="77777777" w:rsidR="0005751F" w:rsidRPr="007122AB" w:rsidRDefault="0005751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ED1307"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июля в 1931 году пилот Лукас совершил первый полет на самолете </w:t>
      </w:r>
      <w:hyperlink r:id="rId144"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Tomtit</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 xml:space="preserve">с двигателем «R.2». Затем на самолет поочередно установили двигатели «R.7» и «R.9». С этим двигателем было произведено три образца самолета, принявших участие в </w:t>
      </w:r>
      <w:proofErr w:type="spellStart"/>
      <w:r w:rsidRPr="007122AB">
        <w:rPr>
          <w:rFonts w:ascii="Times New Roman" w:hAnsi="Times New Roman"/>
          <w:color w:val="000000" w:themeColor="text1"/>
          <w:sz w:val="16"/>
          <w:szCs w:val="16"/>
        </w:rPr>
        <w:t>авиагонке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King's</w:t>
      </w:r>
      <w:proofErr w:type="spellEnd"/>
      <w:r w:rsidRPr="007122AB">
        <w:rPr>
          <w:rFonts w:ascii="Times New Roman" w:hAnsi="Times New Roman"/>
          <w:color w:val="000000" w:themeColor="text1"/>
          <w:sz w:val="16"/>
          <w:szCs w:val="16"/>
        </w:rPr>
        <w:t xml:space="preserve"> Cup Race» 1933 года. В этой гонке самолеты не добились больших успехов, а уже в следующем году </w:t>
      </w:r>
      <w:proofErr w:type="spellStart"/>
      <w:r w:rsidRPr="007122AB">
        <w:rPr>
          <w:rFonts w:ascii="Times New Roman" w:hAnsi="Times New Roman"/>
          <w:color w:val="000000" w:themeColor="text1"/>
          <w:sz w:val="16"/>
          <w:szCs w:val="16"/>
        </w:rPr>
        <w:t>Tomtim</w:t>
      </w:r>
      <w:proofErr w:type="spellEnd"/>
      <w:r w:rsidRPr="007122AB">
        <w:rPr>
          <w:rFonts w:ascii="Times New Roman" w:hAnsi="Times New Roman"/>
          <w:color w:val="000000" w:themeColor="text1"/>
          <w:sz w:val="16"/>
          <w:szCs w:val="16"/>
        </w:rPr>
        <w:t xml:space="preserve"> с двигателем «A.R.9» «Mark IA» стал седьмым (из 41 участников) в гонке 1934 «</w:t>
      </w:r>
      <w:proofErr w:type="spellStart"/>
      <w:r w:rsidRPr="007122AB">
        <w:rPr>
          <w:rFonts w:ascii="Times New Roman" w:hAnsi="Times New Roman"/>
          <w:color w:val="000000" w:themeColor="text1"/>
          <w:sz w:val="16"/>
          <w:szCs w:val="16"/>
        </w:rPr>
        <w:t>King's</w:t>
      </w:r>
      <w:proofErr w:type="spellEnd"/>
      <w:r w:rsidRPr="007122AB">
        <w:rPr>
          <w:rFonts w:ascii="Times New Roman" w:hAnsi="Times New Roman"/>
          <w:color w:val="000000" w:themeColor="text1"/>
          <w:sz w:val="16"/>
          <w:szCs w:val="16"/>
        </w:rPr>
        <w:t xml:space="preserve"> Cup Race», а еще один </w:t>
      </w:r>
      <w:proofErr w:type="spellStart"/>
      <w:r w:rsidRPr="007122AB">
        <w:rPr>
          <w:rFonts w:ascii="Times New Roman" w:hAnsi="Times New Roman"/>
          <w:color w:val="000000" w:themeColor="text1"/>
          <w:sz w:val="16"/>
          <w:szCs w:val="16"/>
        </w:rPr>
        <w:t>Tomtim</w:t>
      </w:r>
      <w:proofErr w:type="spellEnd"/>
      <w:r w:rsidRPr="007122AB">
        <w:rPr>
          <w:rFonts w:ascii="Times New Roman" w:hAnsi="Times New Roman"/>
          <w:color w:val="000000" w:themeColor="text1"/>
          <w:sz w:val="16"/>
          <w:szCs w:val="16"/>
        </w:rPr>
        <w:t xml:space="preserve"> пришел вторым в гонке «</w:t>
      </w:r>
      <w:proofErr w:type="spellStart"/>
      <w:r w:rsidRPr="007122AB">
        <w:rPr>
          <w:rFonts w:ascii="Times New Roman" w:hAnsi="Times New Roman"/>
          <w:color w:val="000000" w:themeColor="text1"/>
          <w:sz w:val="16"/>
          <w:szCs w:val="16"/>
        </w:rPr>
        <w:t>Newcastle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Trophy</w:t>
      </w:r>
      <w:proofErr w:type="spellEnd"/>
      <w:r w:rsidRPr="007122AB">
        <w:rPr>
          <w:rFonts w:ascii="Times New Roman" w:hAnsi="Times New Roman"/>
          <w:color w:val="000000" w:themeColor="text1"/>
          <w:sz w:val="16"/>
          <w:szCs w:val="16"/>
        </w:rPr>
        <w:t xml:space="preserve"> Race». Последней победой самолета стал выигрыш в 1938 году гонки «</w:t>
      </w:r>
      <w:proofErr w:type="spellStart"/>
      <w:r w:rsidRPr="007122AB">
        <w:rPr>
          <w:rFonts w:ascii="Times New Roman" w:hAnsi="Times New Roman"/>
          <w:color w:val="000000" w:themeColor="text1"/>
          <w:sz w:val="16"/>
          <w:szCs w:val="16"/>
        </w:rPr>
        <w:t>Manx</w:t>
      </w:r>
      <w:proofErr w:type="spellEnd"/>
      <w:r w:rsidRPr="007122AB">
        <w:rPr>
          <w:rFonts w:ascii="Times New Roman" w:hAnsi="Times New Roman"/>
          <w:color w:val="000000" w:themeColor="text1"/>
          <w:sz w:val="16"/>
          <w:szCs w:val="16"/>
        </w:rPr>
        <w:t xml:space="preserve"> Air </w:t>
      </w:r>
      <w:proofErr w:type="spellStart"/>
      <w:r w:rsidRPr="007122AB">
        <w:rPr>
          <w:rFonts w:ascii="Times New Roman" w:hAnsi="Times New Roman"/>
          <w:color w:val="000000" w:themeColor="text1"/>
          <w:sz w:val="16"/>
          <w:szCs w:val="16"/>
        </w:rPr>
        <w:t>Derby</w:t>
      </w:r>
      <w:proofErr w:type="spellEnd"/>
      <w:r w:rsidRPr="007122AB">
        <w:rPr>
          <w:rFonts w:ascii="Times New Roman" w:hAnsi="Times New Roman"/>
          <w:color w:val="000000" w:themeColor="text1"/>
          <w:sz w:val="16"/>
          <w:szCs w:val="16"/>
        </w:rPr>
        <w:t>» (14962).</w:t>
      </w:r>
    </w:p>
    <w:p w14:paraId="47FFEE5A"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33B3A056"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июля 1931 состоялся первый полет Дорнье До 10 (20804).</w:t>
      </w:r>
    </w:p>
    <w:p w14:paraId="0D1AE540" w14:textId="77777777" w:rsidR="00AC6695" w:rsidRPr="007122AB" w:rsidRDefault="00AC6695" w:rsidP="007122AB">
      <w:pPr>
        <w:spacing w:after="0" w:line="240" w:lineRule="auto"/>
        <w:jc w:val="both"/>
        <w:rPr>
          <w:rFonts w:ascii="Times New Roman" w:hAnsi="Times New Roman"/>
          <w:color w:val="000000" w:themeColor="text1"/>
          <w:sz w:val="16"/>
          <w:szCs w:val="16"/>
        </w:rPr>
      </w:pPr>
    </w:p>
    <w:p w14:paraId="5BD99234"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июля 1934 года — первый полёт дальней разведывательной летающей лодки </w:t>
      </w:r>
      <w:proofErr w:type="spellStart"/>
      <w:r w:rsidRPr="007122AB">
        <w:rPr>
          <w:rFonts w:ascii="Times New Roman" w:hAnsi="Times New Roman"/>
          <w:color w:val="000000" w:themeColor="text1"/>
          <w:sz w:val="16"/>
          <w:szCs w:val="16"/>
        </w:rPr>
        <w:t>Supermarine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Stranraer</w:t>
      </w:r>
      <w:proofErr w:type="spellEnd"/>
      <w:r w:rsidRPr="007122AB">
        <w:rPr>
          <w:rFonts w:ascii="Times New Roman" w:hAnsi="Times New Roman"/>
          <w:color w:val="000000" w:themeColor="text1"/>
          <w:sz w:val="16"/>
          <w:szCs w:val="16"/>
        </w:rPr>
        <w:t>. /Англия/</w:t>
      </w:r>
    </w:p>
    <w:p w14:paraId="44CAB972"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Спецификация R.24/31 британского авиационного министерства описывала «универсальную патрульную летающую лодку открытого моря». Участие в конкурсе приняли 3 компании. В том числе и </w:t>
      </w:r>
      <w:proofErr w:type="spellStart"/>
      <w:r w:rsidRPr="007122AB">
        <w:rPr>
          <w:rFonts w:ascii="Times New Roman" w:hAnsi="Times New Roman"/>
          <w:color w:val="000000" w:themeColor="text1"/>
          <w:sz w:val="16"/>
          <w:szCs w:val="16"/>
        </w:rPr>
        <w:t>Supermarine</w:t>
      </w:r>
      <w:proofErr w:type="spellEnd"/>
      <w:r w:rsidRPr="007122AB">
        <w:rPr>
          <w:rFonts w:ascii="Times New Roman" w:hAnsi="Times New Roman"/>
          <w:color w:val="000000" w:themeColor="text1"/>
          <w:sz w:val="16"/>
          <w:szCs w:val="16"/>
        </w:rPr>
        <w:t xml:space="preserve"> Aviation Works со своим проектом </w:t>
      </w:r>
      <w:proofErr w:type="spellStart"/>
      <w:r w:rsidRPr="007122AB">
        <w:rPr>
          <w:rFonts w:ascii="Times New Roman" w:hAnsi="Times New Roman"/>
          <w:color w:val="000000" w:themeColor="text1"/>
          <w:sz w:val="16"/>
          <w:szCs w:val="16"/>
        </w:rPr>
        <w:t>Stranraer</w:t>
      </w:r>
      <w:proofErr w:type="spellEnd"/>
      <w:r w:rsidRPr="007122AB">
        <w:rPr>
          <w:rFonts w:ascii="Times New Roman" w:hAnsi="Times New Roman"/>
          <w:color w:val="000000" w:themeColor="text1"/>
          <w:sz w:val="16"/>
          <w:szCs w:val="16"/>
        </w:rPr>
        <w:t>, основанным на летающей лодке </w:t>
      </w:r>
      <w:proofErr w:type="spellStart"/>
      <w:r w:rsidRPr="007122AB">
        <w:rPr>
          <w:rFonts w:ascii="Times New Roman" w:hAnsi="Times New Roman"/>
          <w:color w:val="000000" w:themeColor="text1"/>
          <w:sz w:val="16"/>
          <w:szCs w:val="16"/>
        </w:rPr>
        <w:t>Supermarine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Scapa</w:t>
      </w:r>
      <w:proofErr w:type="spellEnd"/>
      <w:r w:rsidRPr="007122AB">
        <w:rPr>
          <w:rFonts w:ascii="Times New Roman" w:hAnsi="Times New Roman"/>
          <w:color w:val="000000" w:themeColor="text1"/>
          <w:sz w:val="16"/>
          <w:szCs w:val="16"/>
        </w:rPr>
        <w:t>.</w:t>
      </w:r>
    </w:p>
    <w:p w14:paraId="30391B1D" w14:textId="77777777" w:rsidR="00AC6695" w:rsidRPr="007122AB" w:rsidRDefault="00AC669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Stranraer</w:t>
      </w:r>
      <w:proofErr w:type="spellEnd"/>
      <w:r w:rsidRPr="007122AB">
        <w:rPr>
          <w:rFonts w:ascii="Times New Roman" w:hAnsi="Times New Roman"/>
          <w:color w:val="000000" w:themeColor="text1"/>
          <w:sz w:val="16"/>
          <w:szCs w:val="16"/>
        </w:rPr>
        <w:t xml:space="preserve"> был цельнометаллическим бипланом с </w:t>
      </w:r>
      <w:proofErr w:type="spellStart"/>
      <w:r w:rsidRPr="007122AB">
        <w:rPr>
          <w:rFonts w:ascii="Times New Roman" w:hAnsi="Times New Roman"/>
          <w:color w:val="000000" w:themeColor="text1"/>
          <w:sz w:val="16"/>
          <w:szCs w:val="16"/>
        </w:rPr>
        <w:t>двухкилевым</w:t>
      </w:r>
      <w:proofErr w:type="spellEnd"/>
      <w:r w:rsidRPr="007122AB">
        <w:rPr>
          <w:rFonts w:ascii="Times New Roman" w:hAnsi="Times New Roman"/>
          <w:color w:val="000000" w:themeColor="text1"/>
          <w:sz w:val="16"/>
          <w:szCs w:val="16"/>
        </w:rPr>
        <w:t xml:space="preserve"> хвостовым оперением. Стал последним бипланом, разработанным знаменитым конструктором Реджинальдом Митчеллом (</w:t>
      </w:r>
      <w:proofErr w:type="spellStart"/>
      <w:r w:rsidRPr="007122AB">
        <w:rPr>
          <w:rFonts w:ascii="Times New Roman" w:hAnsi="Times New Roman"/>
          <w:color w:val="000000" w:themeColor="text1"/>
          <w:sz w:val="16"/>
          <w:szCs w:val="16"/>
        </w:rPr>
        <w:t>Reginald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Joseph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Mitchell</w:t>
      </w:r>
      <w:proofErr w:type="spellEnd"/>
      <w:r w:rsidRPr="007122AB">
        <w:rPr>
          <w:rFonts w:ascii="Times New Roman" w:hAnsi="Times New Roman"/>
          <w:color w:val="000000" w:themeColor="text1"/>
          <w:sz w:val="16"/>
          <w:szCs w:val="16"/>
        </w:rPr>
        <w:t xml:space="preserve">). Экипаж — 6-7 человек. 2 × двигателя Bristol Pegasus X (920 л.с.) позволяли развивать скорость до 266 км/ч. Дальность полёта — 1600 км. Вооружение состояло из 3 × 7,7-мм пулемётов </w:t>
      </w:r>
      <w:proofErr w:type="spellStart"/>
      <w:r w:rsidRPr="007122AB">
        <w:rPr>
          <w:rFonts w:ascii="Times New Roman" w:hAnsi="Times New Roman"/>
          <w:color w:val="000000" w:themeColor="text1"/>
          <w:sz w:val="16"/>
          <w:szCs w:val="16"/>
        </w:rPr>
        <w:t>Lewis</w:t>
      </w:r>
      <w:proofErr w:type="spellEnd"/>
      <w:r w:rsidRPr="007122AB">
        <w:rPr>
          <w:rFonts w:ascii="Times New Roman" w:hAnsi="Times New Roman"/>
          <w:color w:val="000000" w:themeColor="text1"/>
          <w:sz w:val="16"/>
          <w:szCs w:val="16"/>
        </w:rPr>
        <w:t xml:space="preserve"> + 454 кг бомб (в том числе и глубинных).</w:t>
      </w:r>
    </w:p>
    <w:p w14:paraId="19D1F311"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Выпустили 57 летающих лодок </w:t>
      </w:r>
      <w:proofErr w:type="spellStart"/>
      <w:r w:rsidRPr="007122AB">
        <w:rPr>
          <w:rFonts w:ascii="Times New Roman" w:hAnsi="Times New Roman"/>
          <w:color w:val="000000" w:themeColor="text1"/>
          <w:sz w:val="16"/>
          <w:szCs w:val="16"/>
        </w:rPr>
        <w:t>Supermarine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Stranraer</w:t>
      </w:r>
      <w:proofErr w:type="spellEnd"/>
      <w:r w:rsidRPr="007122AB">
        <w:rPr>
          <w:rFonts w:ascii="Times New Roman" w:hAnsi="Times New Roman"/>
          <w:color w:val="000000" w:themeColor="text1"/>
          <w:sz w:val="16"/>
          <w:szCs w:val="16"/>
        </w:rPr>
        <w:t xml:space="preserve">. Основными эксплуатантами стали Королевские ВВС Великобритании (до 1942 года) и Королевские ВВС Канады (до 1945 года). После списания из состава ВВС </w:t>
      </w:r>
      <w:proofErr w:type="spellStart"/>
      <w:r w:rsidRPr="007122AB">
        <w:rPr>
          <w:rFonts w:ascii="Times New Roman" w:hAnsi="Times New Roman"/>
          <w:color w:val="000000" w:themeColor="text1"/>
          <w:sz w:val="16"/>
          <w:szCs w:val="16"/>
        </w:rPr>
        <w:t>Stranraer</w:t>
      </w:r>
      <w:proofErr w:type="spellEnd"/>
      <w:r w:rsidRPr="007122AB">
        <w:rPr>
          <w:rFonts w:ascii="Times New Roman" w:hAnsi="Times New Roman"/>
          <w:color w:val="000000" w:themeColor="text1"/>
          <w:sz w:val="16"/>
          <w:szCs w:val="16"/>
        </w:rPr>
        <w:t xml:space="preserve"> летали в гражданской авиации до 1963 года (22300).</w:t>
      </w:r>
    </w:p>
    <w:p w14:paraId="26668A40" w14:textId="77777777" w:rsidR="00AC6695" w:rsidRPr="007122AB" w:rsidRDefault="00AC6695" w:rsidP="007122AB">
      <w:pPr>
        <w:shd w:val="clear" w:color="auto" w:fill="FFFFFF"/>
        <w:spacing w:after="0" w:line="240" w:lineRule="auto"/>
        <w:jc w:val="both"/>
        <w:rPr>
          <w:rFonts w:ascii="Times New Roman" w:hAnsi="Times New Roman"/>
          <w:color w:val="000000" w:themeColor="text1"/>
          <w:sz w:val="16"/>
          <w:szCs w:val="16"/>
        </w:rPr>
      </w:pPr>
    </w:p>
    <w:p w14:paraId="46D28022" w14:textId="77777777" w:rsidR="00AC6695" w:rsidRPr="007122AB" w:rsidRDefault="00AC669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24 июля 1931 дирижабль LZ-127 под управлением Хуго </w:t>
      </w:r>
      <w:proofErr w:type="spellStart"/>
      <w:r w:rsidRPr="007122AB">
        <w:rPr>
          <w:rFonts w:ascii="Times New Roman" w:eastAsia="Times New Roman" w:hAnsi="Times New Roman"/>
          <w:color w:val="000000" w:themeColor="text1"/>
          <w:sz w:val="16"/>
          <w:szCs w:val="16"/>
          <w:lang w:eastAsia="ru-RU"/>
        </w:rPr>
        <w:t>Эккенера</w:t>
      </w:r>
      <w:proofErr w:type="spellEnd"/>
      <w:r w:rsidRPr="007122AB">
        <w:rPr>
          <w:rFonts w:ascii="Times New Roman" w:eastAsia="Times New Roman" w:hAnsi="Times New Roman"/>
          <w:color w:val="000000" w:themeColor="text1"/>
          <w:sz w:val="16"/>
          <w:szCs w:val="16"/>
          <w:lang w:eastAsia="ru-RU"/>
        </w:rPr>
        <w:t xml:space="preserve"> вылетел из Фридрихсхафена и вечером следующего дня достиг Ленинграда. Утром 26 июля продолжил полярный рейс и вечером 27 июля снизился в бухте Тихая на Земле Франца-Иосифа. Там произошла запланированная встреча с «Малыгиным», обмен с ним почтой, где в роли почтмейстера выступил И.Д. Папанин. Затем </w:t>
      </w:r>
      <w:proofErr w:type="spellStart"/>
      <w:r w:rsidRPr="007122AB">
        <w:rPr>
          <w:rFonts w:ascii="Times New Roman" w:eastAsia="Times New Roman" w:hAnsi="Times New Roman"/>
          <w:color w:val="000000" w:themeColor="text1"/>
          <w:sz w:val="16"/>
          <w:szCs w:val="16"/>
          <w:lang w:eastAsia="ru-RU"/>
        </w:rPr>
        <w:t>Эккенер</w:t>
      </w:r>
      <w:proofErr w:type="spellEnd"/>
      <w:r w:rsidRPr="007122AB">
        <w:rPr>
          <w:rFonts w:ascii="Times New Roman" w:eastAsia="Times New Roman" w:hAnsi="Times New Roman"/>
          <w:color w:val="000000" w:themeColor="text1"/>
          <w:sz w:val="16"/>
          <w:szCs w:val="16"/>
          <w:lang w:eastAsia="ru-RU"/>
        </w:rPr>
        <w:t xml:space="preserve"> направил воздушный корабль к Северной Земле, провел предусмотренную программой ее аэрофотосъемку, облетел Таймыр и Новую Землю и взял курс на юг. Утром 30 июля пролетел над Ленинградом, а вечером того же дня его встретили на берлинском аэродроме </w:t>
      </w:r>
      <w:proofErr w:type="spellStart"/>
      <w:r w:rsidRPr="007122AB">
        <w:rPr>
          <w:rFonts w:ascii="Times New Roman" w:eastAsia="Times New Roman" w:hAnsi="Times New Roman"/>
          <w:color w:val="000000" w:themeColor="text1"/>
          <w:sz w:val="16"/>
          <w:szCs w:val="16"/>
          <w:lang w:eastAsia="ru-RU"/>
        </w:rPr>
        <w:t>Темпельгоф</w:t>
      </w:r>
      <w:proofErr w:type="spellEnd"/>
      <w:r w:rsidRPr="007122AB">
        <w:rPr>
          <w:rFonts w:ascii="Times New Roman" w:eastAsia="Times New Roman" w:hAnsi="Times New Roman"/>
          <w:color w:val="000000" w:themeColor="text1"/>
          <w:sz w:val="16"/>
          <w:szCs w:val="16"/>
          <w:lang w:eastAsia="ru-RU"/>
        </w:rPr>
        <w:t>.</w:t>
      </w:r>
    </w:p>
    <w:p w14:paraId="148A6BC0" w14:textId="77777777" w:rsidR="00AC6695" w:rsidRPr="007122AB" w:rsidRDefault="00AC669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За время экспедиции LZ-127 находился в воздухе 110 часов и покрыл 13 тысяч километров.</w:t>
      </w:r>
    </w:p>
    <w:p w14:paraId="1D545E99" w14:textId="77777777" w:rsidR="00AC6695" w:rsidRPr="007122AB" w:rsidRDefault="00AC669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Своеобразным итогом полета германского дирижабля в Арктике стал отказ советского руководства от продолжения переговоров с </w:t>
      </w:r>
      <w:proofErr w:type="spellStart"/>
      <w:r w:rsidRPr="007122AB">
        <w:rPr>
          <w:rFonts w:ascii="Times New Roman" w:eastAsia="Times New Roman" w:hAnsi="Times New Roman"/>
          <w:color w:val="000000" w:themeColor="text1"/>
          <w:sz w:val="16"/>
          <w:szCs w:val="16"/>
          <w:lang w:eastAsia="ru-RU"/>
        </w:rPr>
        <w:t>Эккенером</w:t>
      </w:r>
      <w:proofErr w:type="spellEnd"/>
      <w:r w:rsidRPr="007122AB">
        <w:rPr>
          <w:rFonts w:ascii="Times New Roman" w:eastAsia="Times New Roman" w:hAnsi="Times New Roman"/>
          <w:color w:val="000000" w:themeColor="text1"/>
          <w:sz w:val="16"/>
          <w:szCs w:val="16"/>
          <w:lang w:eastAsia="ru-RU"/>
        </w:rPr>
        <w:t xml:space="preserve"> (20467).</w:t>
      </w:r>
    </w:p>
    <w:p w14:paraId="48BDCFC0" w14:textId="77777777" w:rsidR="00AC6695" w:rsidRPr="007122AB" w:rsidRDefault="00AC6695"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D7CD1F"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июля 1931 г. в день вылета, на борту дири</w:t>
      </w:r>
      <w:r w:rsidRPr="007122AB">
        <w:rPr>
          <w:rFonts w:ascii="Times New Roman" w:hAnsi="Times New Roman"/>
          <w:color w:val="000000" w:themeColor="text1"/>
          <w:sz w:val="16"/>
          <w:szCs w:val="16"/>
        </w:rPr>
        <w:softHyphen/>
        <w:t xml:space="preserve">жабля LZ-127 «Граф Цеппелин» находилось 46 человек: 30 человек экипажа дирижабля под командой доктора </w:t>
      </w:r>
      <w:proofErr w:type="spellStart"/>
      <w:r w:rsidRPr="007122AB">
        <w:rPr>
          <w:rFonts w:ascii="Times New Roman" w:hAnsi="Times New Roman"/>
          <w:color w:val="000000" w:themeColor="text1"/>
          <w:sz w:val="16"/>
          <w:szCs w:val="16"/>
        </w:rPr>
        <w:t>Эккенера</w:t>
      </w:r>
      <w:proofErr w:type="spellEnd"/>
      <w:r w:rsidRPr="007122AB">
        <w:rPr>
          <w:rFonts w:ascii="Times New Roman" w:hAnsi="Times New Roman"/>
          <w:color w:val="000000" w:themeColor="text1"/>
          <w:sz w:val="16"/>
          <w:szCs w:val="16"/>
        </w:rPr>
        <w:t>, со</w:t>
      </w:r>
      <w:r w:rsidRPr="007122AB">
        <w:rPr>
          <w:rFonts w:ascii="Times New Roman" w:hAnsi="Times New Roman"/>
          <w:color w:val="000000" w:themeColor="text1"/>
          <w:sz w:val="16"/>
          <w:szCs w:val="16"/>
        </w:rPr>
        <w:softHyphen/>
        <w:t>ветский радист Э.Т. Кренкель и 15 человек меж</w:t>
      </w:r>
      <w:r w:rsidRPr="007122AB">
        <w:rPr>
          <w:rFonts w:ascii="Times New Roman" w:hAnsi="Times New Roman"/>
          <w:color w:val="000000" w:themeColor="text1"/>
          <w:sz w:val="16"/>
          <w:szCs w:val="16"/>
        </w:rPr>
        <w:softHyphen/>
        <w:t>дународной полярной экспедиции. От СССР в полёте принимали участие: научный руково</w:t>
      </w:r>
      <w:r w:rsidRPr="007122AB">
        <w:rPr>
          <w:rFonts w:ascii="Times New Roman" w:hAnsi="Times New Roman"/>
          <w:color w:val="000000" w:themeColor="text1"/>
          <w:sz w:val="16"/>
          <w:szCs w:val="16"/>
        </w:rPr>
        <w:softHyphen/>
        <w:t>дитель экспедиции профессор Р.Л. Самойлович, аэролог профессор П.А. Молчанов, воздухопла</w:t>
      </w:r>
      <w:r w:rsidRPr="007122AB">
        <w:rPr>
          <w:rFonts w:ascii="Times New Roman" w:hAnsi="Times New Roman"/>
          <w:color w:val="000000" w:themeColor="text1"/>
          <w:sz w:val="16"/>
          <w:szCs w:val="16"/>
        </w:rPr>
        <w:softHyphen/>
        <w:t xml:space="preserve">ватель и спецкор ТАСС инженер Ф.Ф. </w:t>
      </w:r>
      <w:proofErr w:type="spellStart"/>
      <w:r w:rsidRPr="007122AB">
        <w:rPr>
          <w:rFonts w:ascii="Times New Roman" w:hAnsi="Times New Roman"/>
          <w:color w:val="000000" w:themeColor="text1"/>
          <w:sz w:val="16"/>
          <w:szCs w:val="16"/>
        </w:rPr>
        <w:t>Ассберг</w:t>
      </w:r>
      <w:proofErr w:type="spellEnd"/>
      <w:r w:rsidRPr="007122AB">
        <w:rPr>
          <w:rFonts w:ascii="Times New Roman" w:hAnsi="Times New Roman"/>
          <w:color w:val="000000" w:themeColor="text1"/>
          <w:sz w:val="16"/>
          <w:szCs w:val="16"/>
        </w:rPr>
        <w:t>.</w:t>
      </w:r>
    </w:p>
    <w:p w14:paraId="55E4E5F8"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следующий день в 18.40 «Граф Цеппелин» пришвартовался у малой мачты на Комендант</w:t>
      </w:r>
      <w:r w:rsidRPr="007122AB">
        <w:rPr>
          <w:rFonts w:ascii="Times New Roman" w:hAnsi="Times New Roman"/>
          <w:color w:val="000000" w:themeColor="text1"/>
          <w:sz w:val="16"/>
          <w:szCs w:val="16"/>
        </w:rPr>
        <w:softHyphen/>
        <w:t>ском аэродроме, где его обслуживала команда Осоавиахима.</w:t>
      </w:r>
    </w:p>
    <w:p w14:paraId="49572E6A"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Утром 26 июля LZ-127 направился в Аркти</w:t>
      </w:r>
      <w:r w:rsidRPr="007122AB">
        <w:rPr>
          <w:rFonts w:ascii="Times New Roman" w:hAnsi="Times New Roman"/>
          <w:color w:val="000000" w:themeColor="text1"/>
          <w:sz w:val="16"/>
          <w:szCs w:val="16"/>
        </w:rPr>
        <w:softHyphen/>
        <w:t xml:space="preserve">ку. В 16.05 дирижабль подлетел к Архангельску, в 18.00 прошёл маяк </w:t>
      </w:r>
      <w:proofErr w:type="spellStart"/>
      <w:r w:rsidRPr="007122AB">
        <w:rPr>
          <w:rFonts w:ascii="Times New Roman" w:hAnsi="Times New Roman"/>
          <w:color w:val="000000" w:themeColor="text1"/>
          <w:sz w:val="16"/>
          <w:szCs w:val="16"/>
        </w:rPr>
        <w:t>Инцы</w:t>
      </w:r>
      <w:proofErr w:type="spellEnd"/>
      <w:r w:rsidRPr="007122AB">
        <w:rPr>
          <w:rFonts w:ascii="Times New Roman" w:hAnsi="Times New Roman"/>
          <w:color w:val="000000" w:themeColor="text1"/>
          <w:sz w:val="16"/>
          <w:szCs w:val="16"/>
        </w:rPr>
        <w:t xml:space="preserve"> и ушёл в горло Бе</w:t>
      </w:r>
      <w:r w:rsidRPr="007122AB">
        <w:rPr>
          <w:rFonts w:ascii="Times New Roman" w:hAnsi="Times New Roman"/>
          <w:color w:val="000000" w:themeColor="text1"/>
          <w:sz w:val="16"/>
          <w:szCs w:val="16"/>
        </w:rPr>
        <w:softHyphen/>
        <w:t>лого моря. Миновав в 22.53 мыс Канин Нос, он в полночь уже находился в Баренцевом море, а утром 27 июля — в Северном Ледовитом оке</w:t>
      </w:r>
      <w:r w:rsidRPr="007122AB">
        <w:rPr>
          <w:rFonts w:ascii="Times New Roman" w:hAnsi="Times New Roman"/>
          <w:color w:val="000000" w:themeColor="text1"/>
          <w:sz w:val="16"/>
          <w:szCs w:val="16"/>
        </w:rPr>
        <w:softHyphen/>
        <w:t>ане.</w:t>
      </w:r>
    </w:p>
    <w:p w14:paraId="309C71C0"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Была установлена радиосвязь с ледоколом «Малыгин», находившимся в бухте Тихой у о. </w:t>
      </w:r>
      <w:proofErr w:type="spellStart"/>
      <w:r w:rsidRPr="007122AB">
        <w:rPr>
          <w:rFonts w:ascii="Times New Roman" w:hAnsi="Times New Roman"/>
          <w:color w:val="000000" w:themeColor="text1"/>
          <w:sz w:val="16"/>
          <w:szCs w:val="16"/>
        </w:rPr>
        <w:t>Гу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кера</w:t>
      </w:r>
      <w:proofErr w:type="spellEnd"/>
      <w:r w:rsidRPr="007122AB">
        <w:rPr>
          <w:rFonts w:ascii="Times New Roman" w:hAnsi="Times New Roman"/>
          <w:color w:val="000000" w:themeColor="text1"/>
          <w:sz w:val="16"/>
          <w:szCs w:val="16"/>
        </w:rPr>
        <w:t xml:space="preserve"> архипелага Земли Франца-Иосифа. 27 июля дирижабль приводнился у Земли Франца-Иоси</w:t>
      </w:r>
      <w:r w:rsidRPr="007122AB">
        <w:rPr>
          <w:rFonts w:ascii="Times New Roman" w:hAnsi="Times New Roman"/>
          <w:color w:val="000000" w:themeColor="text1"/>
          <w:sz w:val="16"/>
          <w:szCs w:val="16"/>
        </w:rPr>
        <w:softHyphen/>
        <w:t>фа. После посадки на воду из-за течения и боль</w:t>
      </w:r>
      <w:r w:rsidRPr="007122AB">
        <w:rPr>
          <w:rFonts w:ascii="Times New Roman" w:hAnsi="Times New Roman"/>
          <w:color w:val="000000" w:themeColor="text1"/>
          <w:sz w:val="16"/>
          <w:szCs w:val="16"/>
        </w:rPr>
        <w:softHyphen/>
        <w:t>шой парусности LZ-127 ударился поплавком о плавающую льдину и вместе с ней стал сно</w:t>
      </w:r>
      <w:r w:rsidRPr="007122AB">
        <w:rPr>
          <w:rFonts w:ascii="Times New Roman" w:hAnsi="Times New Roman"/>
          <w:color w:val="000000" w:themeColor="text1"/>
          <w:sz w:val="16"/>
          <w:szCs w:val="16"/>
        </w:rPr>
        <w:softHyphen/>
        <w:t xml:space="preserve">ситься </w:t>
      </w:r>
      <w:r w:rsidRPr="007122AB">
        <w:rPr>
          <w:rFonts w:ascii="Times New Roman" w:hAnsi="Times New Roman"/>
          <w:color w:val="000000" w:themeColor="text1"/>
          <w:sz w:val="16"/>
          <w:szCs w:val="16"/>
        </w:rPr>
        <w:lastRenderedPageBreak/>
        <w:t>течением. К дирижаблю пристала шлюп</w:t>
      </w:r>
      <w:r w:rsidRPr="007122AB">
        <w:rPr>
          <w:rFonts w:ascii="Times New Roman" w:hAnsi="Times New Roman"/>
          <w:color w:val="000000" w:themeColor="text1"/>
          <w:sz w:val="16"/>
          <w:szCs w:val="16"/>
        </w:rPr>
        <w:softHyphen/>
        <w:t>ка с ледокола, в которой находился и Нобиле. За несколько минут состоялся обмен почты (почтальоном выступил И.Д. Папанин), и шлюп</w:t>
      </w:r>
      <w:r w:rsidRPr="007122AB">
        <w:rPr>
          <w:rFonts w:ascii="Times New Roman" w:hAnsi="Times New Roman"/>
          <w:color w:val="000000" w:themeColor="text1"/>
          <w:sz w:val="16"/>
          <w:szCs w:val="16"/>
        </w:rPr>
        <w:softHyphen/>
        <w:t>ка отчалила от дирижабля. Так как сохранялась опасность повреждения поплавка от льдины, то, простояв на воде всего четверть часа, LZ-127 про</w:t>
      </w:r>
      <w:r w:rsidRPr="007122AB">
        <w:rPr>
          <w:rFonts w:ascii="Times New Roman" w:hAnsi="Times New Roman"/>
          <w:color w:val="000000" w:themeColor="text1"/>
          <w:sz w:val="16"/>
          <w:szCs w:val="16"/>
        </w:rPr>
        <w:softHyphen/>
        <w:t>должил полёт.</w:t>
      </w:r>
    </w:p>
    <w:p w14:paraId="7CC49309"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Поднявшись в 18.45 от «Малыгина» на высоту 1200 м, дирижабль приступил к облёту и аэро</w:t>
      </w:r>
      <w:r w:rsidRPr="007122AB">
        <w:rPr>
          <w:rFonts w:ascii="Times New Roman" w:hAnsi="Times New Roman"/>
          <w:color w:val="000000" w:themeColor="text1"/>
          <w:sz w:val="16"/>
          <w:szCs w:val="16"/>
        </w:rPr>
        <w:softHyphen/>
        <w:t>фотосъемке о. Александры, Георга, Джексон, Ру</w:t>
      </w:r>
      <w:r w:rsidRPr="007122AB">
        <w:rPr>
          <w:rFonts w:ascii="Times New Roman" w:hAnsi="Times New Roman"/>
          <w:color w:val="000000" w:themeColor="text1"/>
          <w:sz w:val="16"/>
          <w:szCs w:val="16"/>
        </w:rPr>
        <w:softHyphen/>
        <w:t>дольфа. Эта работа велась в течение шести часов, и к полуночи дирижабль находился в северной части о. Рудольфа. В первом часу он взял курс на Северную Землю, к которой «Граф Цеппелин» подошёл в 5.00. В течение всего полёта LZ-127 курс указывал Р.Л. Самойлович, который почти всё время находился в гондоле управления, ведя ледовые и географические наблюдения. Проле</w:t>
      </w:r>
      <w:r w:rsidRPr="007122AB">
        <w:rPr>
          <w:rFonts w:ascii="Times New Roman" w:hAnsi="Times New Roman"/>
          <w:color w:val="000000" w:themeColor="text1"/>
          <w:sz w:val="16"/>
          <w:szCs w:val="16"/>
        </w:rPr>
        <w:softHyphen/>
        <w:t>тев над северной частью Северной Земли, а за</w:t>
      </w:r>
      <w:r w:rsidRPr="007122AB">
        <w:rPr>
          <w:rFonts w:ascii="Times New Roman" w:hAnsi="Times New Roman"/>
          <w:color w:val="000000" w:themeColor="text1"/>
          <w:sz w:val="16"/>
          <w:szCs w:val="16"/>
        </w:rPr>
        <w:softHyphen/>
        <w:t>тем над её восточным, самым изученным побе</w:t>
      </w:r>
      <w:r w:rsidRPr="007122AB">
        <w:rPr>
          <w:rFonts w:ascii="Times New Roman" w:hAnsi="Times New Roman"/>
          <w:color w:val="000000" w:themeColor="text1"/>
          <w:sz w:val="16"/>
          <w:szCs w:val="16"/>
        </w:rPr>
        <w:softHyphen/>
        <w:t>режьем, дирижабль взял курс по направлению к о. Каменева, где работала группа Г.А. Ушако</w:t>
      </w:r>
      <w:r w:rsidRPr="007122AB">
        <w:rPr>
          <w:rFonts w:ascii="Times New Roman" w:hAnsi="Times New Roman"/>
          <w:color w:val="000000" w:themeColor="text1"/>
          <w:sz w:val="16"/>
          <w:szCs w:val="16"/>
        </w:rPr>
        <w:softHyphen/>
        <w:t>ва — Н.Н. Урванцева. Предполагалось взять на борт Н.Н. Урванцева и перевезти его в Ленин</w:t>
      </w:r>
      <w:r w:rsidRPr="007122AB">
        <w:rPr>
          <w:rFonts w:ascii="Times New Roman" w:hAnsi="Times New Roman"/>
          <w:color w:val="000000" w:themeColor="text1"/>
          <w:sz w:val="16"/>
          <w:szCs w:val="16"/>
        </w:rPr>
        <w:softHyphen/>
        <w:t>град, но из-за сильных туманов группу исследо</w:t>
      </w:r>
      <w:r w:rsidRPr="007122AB">
        <w:rPr>
          <w:rFonts w:ascii="Times New Roman" w:hAnsi="Times New Roman"/>
          <w:color w:val="000000" w:themeColor="text1"/>
          <w:sz w:val="16"/>
          <w:szCs w:val="16"/>
        </w:rPr>
        <w:softHyphen/>
        <w:t>вателей обнаружить не удалось, и задание оста</w:t>
      </w:r>
      <w:r w:rsidRPr="007122AB">
        <w:rPr>
          <w:rFonts w:ascii="Times New Roman" w:hAnsi="Times New Roman"/>
          <w:color w:val="000000" w:themeColor="text1"/>
          <w:sz w:val="16"/>
          <w:szCs w:val="16"/>
        </w:rPr>
        <w:softHyphen/>
        <w:t>лось невыполненным.</w:t>
      </w:r>
    </w:p>
    <w:p w14:paraId="1C49BAA1"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июля в 11.20 LZ-127 достиг м. Челюски</w:t>
      </w:r>
      <w:r w:rsidRPr="007122AB">
        <w:rPr>
          <w:rFonts w:ascii="Times New Roman" w:hAnsi="Times New Roman"/>
          <w:color w:val="000000" w:themeColor="text1"/>
          <w:sz w:val="16"/>
          <w:szCs w:val="16"/>
        </w:rPr>
        <w:softHyphen/>
        <w:t>на, а в 14.00 миновал Таймырское озеро. В 22.30 экспедиция пришла к о. Диксона, где сбросила на парашютах зимовщикам продукты и письма, предназначавшиеся Урванцеву и Ушакову на Се</w:t>
      </w:r>
      <w:r w:rsidRPr="007122AB">
        <w:rPr>
          <w:rFonts w:ascii="Times New Roman" w:hAnsi="Times New Roman"/>
          <w:color w:val="000000" w:themeColor="text1"/>
          <w:sz w:val="16"/>
          <w:szCs w:val="16"/>
        </w:rPr>
        <w:softHyphen/>
        <w:t>верной Земле.</w:t>
      </w:r>
    </w:p>
    <w:p w14:paraId="53897DCA"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июля к 4.00, после шести часов полёта, ди</w:t>
      </w:r>
      <w:r w:rsidRPr="007122AB">
        <w:rPr>
          <w:rFonts w:ascii="Times New Roman" w:hAnsi="Times New Roman"/>
          <w:color w:val="000000" w:themeColor="text1"/>
          <w:sz w:val="16"/>
          <w:szCs w:val="16"/>
        </w:rPr>
        <w:softHyphen/>
        <w:t>рижабль прошёл Карское море и приблизился к северо-восточной части Новой Земли, вновь приступив к аэрофотосъёмке берегов. Достигнув в 10.30 восточного берега острова, LZ-127 взял курс на юг, летя над южной частью Новой Зем</w:t>
      </w:r>
      <w:r w:rsidRPr="007122AB">
        <w:rPr>
          <w:rFonts w:ascii="Times New Roman" w:hAnsi="Times New Roman"/>
          <w:color w:val="000000" w:themeColor="text1"/>
          <w:sz w:val="16"/>
          <w:szCs w:val="16"/>
        </w:rPr>
        <w:softHyphen/>
        <w:t>ли. В 12.00 дирижабль, покинув Новую Землю, летел уже над Баренцевым морем, направляясь к Ленинграду через Архангельск. С этого мо</w:t>
      </w:r>
      <w:r w:rsidRPr="007122AB">
        <w:rPr>
          <w:rFonts w:ascii="Times New Roman" w:hAnsi="Times New Roman"/>
          <w:color w:val="000000" w:themeColor="text1"/>
          <w:sz w:val="16"/>
          <w:szCs w:val="16"/>
        </w:rPr>
        <w:softHyphen/>
        <w:t>мента научные работы в Арктике были законче</w:t>
      </w:r>
      <w:r w:rsidRPr="007122AB">
        <w:rPr>
          <w:rFonts w:ascii="Times New Roman" w:hAnsi="Times New Roman"/>
          <w:color w:val="000000" w:themeColor="text1"/>
          <w:sz w:val="16"/>
          <w:szCs w:val="16"/>
        </w:rPr>
        <w:softHyphen/>
        <w:t>ны. Над Баренцевым морем LZ-127 шёл в тума</w:t>
      </w:r>
      <w:r w:rsidRPr="007122AB">
        <w:rPr>
          <w:rFonts w:ascii="Times New Roman" w:hAnsi="Times New Roman"/>
          <w:color w:val="000000" w:themeColor="text1"/>
          <w:sz w:val="16"/>
          <w:szCs w:val="16"/>
        </w:rPr>
        <w:softHyphen/>
        <w:t>не, в 14.10 миновал о. Колгуев, в 15.30 Чешскую губу в восточной части полуострова Канин и да</w:t>
      </w:r>
      <w:r w:rsidRPr="007122AB">
        <w:rPr>
          <w:rFonts w:ascii="Times New Roman" w:hAnsi="Times New Roman"/>
          <w:color w:val="000000" w:themeColor="text1"/>
          <w:sz w:val="16"/>
          <w:szCs w:val="16"/>
        </w:rPr>
        <w:softHyphen/>
        <w:t>лее продолжал путь над материком.</w:t>
      </w:r>
    </w:p>
    <w:p w14:paraId="5CAB9D46"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Ночью 30 июля LZ-127 прибыл в Ленинград, но не сел, ограничившись сбрасыванием на па</w:t>
      </w:r>
      <w:r w:rsidRPr="007122AB">
        <w:rPr>
          <w:rFonts w:ascii="Times New Roman" w:hAnsi="Times New Roman"/>
          <w:color w:val="000000" w:themeColor="text1"/>
          <w:sz w:val="16"/>
          <w:szCs w:val="16"/>
        </w:rPr>
        <w:softHyphen/>
        <w:t>рашютах почты с «Малыгина» и официальной записки командира корабля. В 18.00 дирижабль появился над Берлином.</w:t>
      </w:r>
    </w:p>
    <w:p w14:paraId="3EBD800A"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Международная экспедиция на «Графе Цеппе</w:t>
      </w:r>
      <w:r w:rsidRPr="007122AB">
        <w:rPr>
          <w:rFonts w:ascii="Times New Roman" w:hAnsi="Times New Roman"/>
          <w:color w:val="000000" w:themeColor="text1"/>
          <w:sz w:val="16"/>
          <w:szCs w:val="16"/>
        </w:rPr>
        <w:softHyphen/>
        <w:t>лине» стала одной из самых успешных воздуш</w:t>
      </w:r>
      <w:r w:rsidRPr="007122AB">
        <w:rPr>
          <w:rFonts w:ascii="Times New Roman" w:hAnsi="Times New Roman"/>
          <w:color w:val="000000" w:themeColor="text1"/>
          <w:sz w:val="16"/>
          <w:szCs w:val="16"/>
        </w:rPr>
        <w:softHyphen/>
        <w:t>ных экспедиций в Арктике. За 106 часов арктиче</w:t>
      </w:r>
      <w:r w:rsidRPr="007122AB">
        <w:rPr>
          <w:rFonts w:ascii="Times New Roman" w:hAnsi="Times New Roman"/>
          <w:color w:val="000000" w:themeColor="text1"/>
          <w:sz w:val="16"/>
          <w:szCs w:val="16"/>
        </w:rPr>
        <w:softHyphen/>
        <w:t>ского полёта дирижабль проделал такую работу, которую при нормальных экспедициях на ледо</w:t>
      </w:r>
      <w:r w:rsidRPr="007122AB">
        <w:rPr>
          <w:rFonts w:ascii="Times New Roman" w:hAnsi="Times New Roman"/>
          <w:color w:val="000000" w:themeColor="text1"/>
          <w:sz w:val="16"/>
          <w:szCs w:val="16"/>
        </w:rPr>
        <w:softHyphen/>
        <w:t>колах можно было выполнить лишь в 2-3 года. Была произведена аэрофотосъёмка Земли Фран</w:t>
      </w:r>
      <w:r w:rsidRPr="007122AB">
        <w:rPr>
          <w:rFonts w:ascii="Times New Roman" w:hAnsi="Times New Roman"/>
          <w:color w:val="000000" w:themeColor="text1"/>
          <w:sz w:val="16"/>
          <w:szCs w:val="16"/>
        </w:rPr>
        <w:softHyphen/>
        <w:t>ца-Иосифа, Северной Земли, Таймырского по</w:t>
      </w:r>
      <w:r w:rsidRPr="007122AB">
        <w:rPr>
          <w:rFonts w:ascii="Times New Roman" w:hAnsi="Times New Roman"/>
          <w:color w:val="000000" w:themeColor="text1"/>
          <w:sz w:val="16"/>
          <w:szCs w:val="16"/>
        </w:rPr>
        <w:softHyphen/>
        <w:t>луострова, Новой Земли. Велись географические и ледовые, геомагнитные, навигационные, аэро</w:t>
      </w:r>
      <w:r w:rsidRPr="007122AB">
        <w:rPr>
          <w:rFonts w:ascii="Times New Roman" w:hAnsi="Times New Roman"/>
          <w:color w:val="000000" w:themeColor="text1"/>
          <w:sz w:val="16"/>
          <w:szCs w:val="16"/>
        </w:rPr>
        <w:softHyphen/>
        <w:t>логические и метеорологические наблюдения.</w:t>
      </w:r>
    </w:p>
    <w:p w14:paraId="06E5D1E8"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 следует отметить исследование стра</w:t>
      </w:r>
      <w:r w:rsidRPr="007122AB">
        <w:rPr>
          <w:rFonts w:ascii="Times New Roman" w:hAnsi="Times New Roman"/>
          <w:color w:val="000000" w:themeColor="text1"/>
          <w:sz w:val="16"/>
          <w:szCs w:val="16"/>
        </w:rPr>
        <w:softHyphen/>
        <w:t>тосферы радиозондами П.А. Молчанова, впер</w:t>
      </w:r>
      <w:r w:rsidRPr="007122AB">
        <w:rPr>
          <w:rFonts w:ascii="Times New Roman" w:hAnsi="Times New Roman"/>
          <w:color w:val="000000" w:themeColor="text1"/>
          <w:sz w:val="16"/>
          <w:szCs w:val="16"/>
        </w:rPr>
        <w:softHyphen/>
        <w:t xml:space="preserve">вые </w:t>
      </w:r>
      <w:proofErr w:type="spellStart"/>
      <w:r w:rsidRPr="007122AB">
        <w:rPr>
          <w:rFonts w:ascii="Times New Roman" w:hAnsi="Times New Roman"/>
          <w:color w:val="000000" w:themeColor="text1"/>
          <w:sz w:val="16"/>
          <w:szCs w:val="16"/>
        </w:rPr>
        <w:t>запускавшимися</w:t>
      </w:r>
      <w:proofErr w:type="spellEnd"/>
      <w:r w:rsidRPr="007122AB">
        <w:rPr>
          <w:rFonts w:ascii="Times New Roman" w:hAnsi="Times New Roman"/>
          <w:color w:val="000000" w:themeColor="text1"/>
          <w:sz w:val="16"/>
          <w:szCs w:val="16"/>
        </w:rPr>
        <w:t xml:space="preserve"> с летящего дирижабля. Чтобы радиозонд не столкнулся при выпуске с дирижаблем, его утяжеляли балластом. При пуске радиозонда LZ-127 замедлял ход до 4 м/с, после чего открывался люк в нижней части корабля, и радиозонд (объём оболочки 5 м3) па</w:t>
      </w:r>
      <w:r w:rsidRPr="007122AB">
        <w:rPr>
          <w:rFonts w:ascii="Times New Roman" w:hAnsi="Times New Roman"/>
          <w:color w:val="000000" w:themeColor="text1"/>
          <w:sz w:val="16"/>
          <w:szCs w:val="16"/>
        </w:rPr>
        <w:softHyphen/>
        <w:t>дал до тех пор, пока нож, скользивший по тросу, не освобождал его от балласта. Приём сигналов длился 50 минут и прекращался после достиже</w:t>
      </w:r>
      <w:r w:rsidRPr="007122AB">
        <w:rPr>
          <w:rFonts w:ascii="Times New Roman" w:hAnsi="Times New Roman"/>
          <w:color w:val="000000" w:themeColor="text1"/>
          <w:sz w:val="16"/>
          <w:szCs w:val="16"/>
        </w:rPr>
        <w:softHyphen/>
        <w:t>ния наивысшей точки подъёма. До окончания приёма сигналов с радиозонда дирижабль шёл с минимальной скоростью, после чего скорость доводилась до нормальной.</w:t>
      </w:r>
    </w:p>
    <w:p w14:paraId="39B275B1"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с LZ-127 выпустили четыре радиозон</w:t>
      </w:r>
      <w:r w:rsidRPr="007122AB">
        <w:rPr>
          <w:rFonts w:ascii="Times New Roman" w:hAnsi="Times New Roman"/>
          <w:color w:val="000000" w:themeColor="text1"/>
          <w:sz w:val="16"/>
          <w:szCs w:val="16"/>
        </w:rPr>
        <w:softHyphen/>
        <w:t>да: на середине пути от Земли Франца-Иосифа к Северной Земле, над м. Челюскина, в южной части Северной Земли и перед Каменным Носом в Белом море. Высоты подъёмов зондов состави</w:t>
      </w:r>
      <w:r w:rsidRPr="007122AB">
        <w:rPr>
          <w:rFonts w:ascii="Times New Roman" w:hAnsi="Times New Roman"/>
          <w:color w:val="000000" w:themeColor="text1"/>
          <w:sz w:val="16"/>
          <w:szCs w:val="16"/>
        </w:rPr>
        <w:softHyphen/>
        <w:t>ли 17-20 км, что позволило установить высоту стратосферы в Арктике в пределах 10,4-10,6 км. Правда, помехи от систем зажигания двигателей LZ-127 мешали приёму радиосигналов. Кроме того, дирижаблю не всегда удавалось поддержи</w:t>
      </w:r>
      <w:r w:rsidRPr="007122AB">
        <w:rPr>
          <w:rFonts w:ascii="Times New Roman" w:hAnsi="Times New Roman"/>
          <w:color w:val="000000" w:themeColor="text1"/>
          <w:sz w:val="16"/>
          <w:szCs w:val="16"/>
        </w:rPr>
        <w:softHyphen/>
        <w:t>вать малый ход для получения полной записи сигналов радиозонда.</w:t>
      </w:r>
    </w:p>
    <w:p w14:paraId="0E59DAED"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 Молчанов писал: «Мы готовились к полё</w:t>
      </w:r>
      <w:r w:rsidRPr="007122AB">
        <w:rPr>
          <w:rFonts w:ascii="Times New Roman" w:hAnsi="Times New Roman"/>
          <w:color w:val="000000" w:themeColor="text1"/>
          <w:sz w:val="16"/>
          <w:szCs w:val="16"/>
        </w:rPr>
        <w:softHyphen/>
        <w:t>ту с 1927 г., но оказались не вполне готовыми не потому, что мы мало готовились к полёту, а по</w:t>
      </w:r>
      <w:r w:rsidRPr="007122AB">
        <w:rPr>
          <w:rFonts w:ascii="Times New Roman" w:hAnsi="Times New Roman"/>
          <w:color w:val="000000" w:themeColor="text1"/>
          <w:sz w:val="16"/>
          <w:szCs w:val="16"/>
        </w:rPr>
        <w:softHyphen/>
        <w:t>тому, что мы не знали, что представляет собой цеппелин, что он даёт так много возможностей. Хотя мы выполнили нашу программу, но она оказалась слишком малой. .Необходимо при</w:t>
      </w:r>
      <w:r w:rsidRPr="007122AB">
        <w:rPr>
          <w:rFonts w:ascii="Times New Roman" w:hAnsi="Times New Roman"/>
          <w:color w:val="000000" w:themeColor="text1"/>
          <w:sz w:val="16"/>
          <w:szCs w:val="16"/>
        </w:rPr>
        <w:softHyphen/>
        <w:t>знать, что цеппелин является идеальным сред</w:t>
      </w:r>
      <w:r w:rsidRPr="007122AB">
        <w:rPr>
          <w:rFonts w:ascii="Times New Roman" w:hAnsi="Times New Roman"/>
          <w:color w:val="000000" w:themeColor="text1"/>
          <w:sz w:val="16"/>
          <w:szCs w:val="16"/>
        </w:rPr>
        <w:softHyphen/>
        <w:t>ством для такого рода научных исследований».</w:t>
      </w:r>
    </w:p>
    <w:p w14:paraId="28305E7C"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СССР не получил результатов аэрофотосъёмки под предлогом того, что все фо</w:t>
      </w:r>
      <w:r w:rsidRPr="007122AB">
        <w:rPr>
          <w:rFonts w:ascii="Times New Roman" w:hAnsi="Times New Roman"/>
          <w:color w:val="000000" w:themeColor="text1"/>
          <w:sz w:val="16"/>
          <w:szCs w:val="16"/>
        </w:rPr>
        <w:softHyphen/>
        <w:t>тографии оказались, якобы, засвеченными. О на</w:t>
      </w:r>
      <w:r w:rsidRPr="007122AB">
        <w:rPr>
          <w:rFonts w:ascii="Times New Roman" w:hAnsi="Times New Roman"/>
          <w:color w:val="000000" w:themeColor="text1"/>
          <w:sz w:val="16"/>
          <w:szCs w:val="16"/>
        </w:rPr>
        <w:softHyphen/>
        <w:t>думанности этого предлога свидетельствует ста</w:t>
      </w:r>
      <w:r w:rsidRPr="007122AB">
        <w:rPr>
          <w:rFonts w:ascii="Times New Roman" w:hAnsi="Times New Roman"/>
          <w:color w:val="000000" w:themeColor="text1"/>
          <w:sz w:val="16"/>
          <w:szCs w:val="16"/>
        </w:rPr>
        <w:softHyphen/>
        <w:t>тья германского специалиста по фотограмметрии О. фон Грубера, отмечавшего: «Поверка всех снимков двойной камерой показала, что только небольшая часть снимков (главным образом Се</w:t>
      </w:r>
      <w:r w:rsidRPr="007122AB">
        <w:rPr>
          <w:rFonts w:ascii="Times New Roman" w:hAnsi="Times New Roman"/>
          <w:color w:val="000000" w:themeColor="text1"/>
          <w:sz w:val="16"/>
          <w:szCs w:val="16"/>
        </w:rPr>
        <w:softHyphen/>
        <w:t>верной Земли) непригодна. На них видны лишь отдельные отдалённые вершины гор, окутанные густым слоем тумана. Другие же снимки, засня</w:t>
      </w:r>
      <w:r w:rsidRPr="007122AB">
        <w:rPr>
          <w:rFonts w:ascii="Times New Roman" w:hAnsi="Times New Roman"/>
          <w:color w:val="000000" w:themeColor="text1"/>
          <w:sz w:val="16"/>
          <w:szCs w:val="16"/>
        </w:rPr>
        <w:softHyphen/>
        <w:t>тые на протяжении полёта в 1000 км, оказались годными либо для развёртки отдельными сним</w:t>
      </w:r>
      <w:r w:rsidRPr="007122AB">
        <w:rPr>
          <w:rFonts w:ascii="Times New Roman" w:hAnsi="Times New Roman"/>
          <w:color w:val="000000" w:themeColor="text1"/>
          <w:sz w:val="16"/>
          <w:szCs w:val="16"/>
        </w:rPr>
        <w:softHyphen/>
        <w:t>ками, либо для стереоскопических измерений. Развёртывание может быть произведено в мас</w:t>
      </w:r>
      <w:r w:rsidRPr="007122AB">
        <w:rPr>
          <w:rFonts w:ascii="Times New Roman" w:hAnsi="Times New Roman"/>
          <w:color w:val="000000" w:themeColor="text1"/>
          <w:sz w:val="16"/>
          <w:szCs w:val="16"/>
        </w:rPr>
        <w:softHyphen/>
        <w:t>штабах 1:200 000 и 1:500 000; в отдельных же ча</w:t>
      </w:r>
      <w:r w:rsidRPr="007122AB">
        <w:rPr>
          <w:rFonts w:ascii="Times New Roman" w:hAnsi="Times New Roman"/>
          <w:color w:val="000000" w:themeColor="text1"/>
          <w:sz w:val="16"/>
          <w:szCs w:val="16"/>
        </w:rPr>
        <w:softHyphen/>
        <w:t>стях морфологически интересные детали могут быть изображены достаточно точно в масштабе 1:10 000 и 1:20 000»84.</w:t>
      </w:r>
    </w:p>
    <w:p w14:paraId="62A59136"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Отказ от передачи результатов фотосъёмок был недружественным актом, тем более вызы</w:t>
      </w:r>
      <w:r w:rsidRPr="007122AB">
        <w:rPr>
          <w:rFonts w:ascii="Times New Roman" w:hAnsi="Times New Roman"/>
          <w:color w:val="000000" w:themeColor="text1"/>
          <w:sz w:val="16"/>
          <w:szCs w:val="16"/>
        </w:rPr>
        <w:softHyphen/>
        <w:t>вающим, что главным условием, согласно кото</w:t>
      </w:r>
      <w:r w:rsidRPr="007122AB">
        <w:rPr>
          <w:rFonts w:ascii="Times New Roman" w:hAnsi="Times New Roman"/>
          <w:color w:val="000000" w:themeColor="text1"/>
          <w:sz w:val="16"/>
          <w:szCs w:val="16"/>
        </w:rPr>
        <w:softHyphen/>
        <w:t>рому LZ-127 разрешили полёт и аэрофотосъём</w:t>
      </w:r>
      <w:r w:rsidRPr="007122AB">
        <w:rPr>
          <w:rFonts w:ascii="Times New Roman" w:hAnsi="Times New Roman"/>
          <w:color w:val="000000" w:themeColor="text1"/>
          <w:sz w:val="16"/>
          <w:szCs w:val="16"/>
        </w:rPr>
        <w:softHyphen/>
        <w:t>ку, было обязательство германской стороны передать СССР все копии отснятого материала (20120).</w:t>
      </w:r>
    </w:p>
    <w:p w14:paraId="04C0C07A" w14:textId="77777777" w:rsidR="00AC6695" w:rsidRPr="007122AB" w:rsidRDefault="00AC6695" w:rsidP="007122AB">
      <w:pPr>
        <w:spacing w:after="0" w:line="240" w:lineRule="auto"/>
        <w:jc w:val="both"/>
        <w:rPr>
          <w:rFonts w:ascii="Times New Roman" w:hAnsi="Times New Roman"/>
          <w:color w:val="000000" w:themeColor="text1"/>
          <w:sz w:val="16"/>
          <w:szCs w:val="16"/>
        </w:rPr>
      </w:pPr>
    </w:p>
    <w:p w14:paraId="4067C1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77228B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90A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июля 1931 л </w:t>
      </w:r>
      <w:proofErr w:type="spellStart"/>
      <w:r w:rsidRPr="007122AB">
        <w:rPr>
          <w:rFonts w:ascii="Times New Roman" w:hAnsi="Times New Roman"/>
          <w:color w:val="000000" w:themeColor="text1"/>
          <w:sz w:val="16"/>
          <w:szCs w:val="16"/>
        </w:rPr>
        <w:t>А.И.Жуков</w:t>
      </w:r>
      <w:proofErr w:type="spellEnd"/>
      <w:r w:rsidRPr="007122AB">
        <w:rPr>
          <w:rFonts w:ascii="Times New Roman" w:hAnsi="Times New Roman"/>
          <w:color w:val="000000" w:themeColor="text1"/>
          <w:sz w:val="16"/>
          <w:szCs w:val="16"/>
        </w:rPr>
        <w:t xml:space="preserve"> облетал один из первых серийных И-7, сделанных на заводе 1 в рамках заводских испытаний. Отметили недостаточную устойчивость пути и сложность при выполнении виражей. В заключении говорилось: "Самолет И-7 с БМВ-6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Потом передали в НИИ ВВС, но там сделали совсем другие выводы: "И-7 не отвечает по своим ЛД требованиям, предъявляемым к современным и, однако, целесообразно самолет строить для вооружения нескольких эскадрилий." Хотели ставить более мощные двигатели - М-19, М-27 и в дальнейшем М-34. В это время в СССР было 3 машины: один ХД-37 N 292 служил 2 года в 15АБ, на одном производства завода 31 испытывали вооружение на Кунцевском полигоне, один - хранился про запас. На 1-м заводе развернули производство И-5. Потом решили перенести И-7 на 135, а И-5 - на 21-й (3202,3).</w:t>
      </w:r>
    </w:p>
    <w:p w14:paraId="457F9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600F91"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июля в 1931 году -испытатель </w:t>
      </w:r>
      <w:proofErr w:type="spellStart"/>
      <w:r w:rsidRPr="007122AB">
        <w:rPr>
          <w:rFonts w:ascii="Times New Roman" w:hAnsi="Times New Roman"/>
          <w:color w:val="000000" w:themeColor="text1"/>
          <w:sz w:val="16"/>
          <w:szCs w:val="16"/>
        </w:rPr>
        <w:t>А.И.Жуков</w:t>
      </w:r>
      <w:proofErr w:type="spellEnd"/>
      <w:r w:rsidRPr="007122AB">
        <w:rPr>
          <w:rFonts w:ascii="Times New Roman" w:hAnsi="Times New Roman"/>
          <w:color w:val="000000" w:themeColor="text1"/>
          <w:sz w:val="16"/>
          <w:szCs w:val="16"/>
        </w:rPr>
        <w:t xml:space="preserve"> облетал один из самолетов Он оценил «И-7» как нормальный аппарат, обладающий, однако, недостаточной устойчивостью пути и некоторой сложностью при выполнении виражей. В Заключении по заводским испытаниям говорилось: "Самолет «И-7» с «BMW» «VI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(14963).</w:t>
      </w:r>
    </w:p>
    <w:p w14:paraId="6241FAC6"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183E7A9D"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летчик-испытатель Александр Жуков обле</w:t>
      </w:r>
      <w:r w:rsidRPr="007122AB">
        <w:rPr>
          <w:rFonts w:ascii="Times New Roman" w:hAnsi="Times New Roman"/>
          <w:color w:val="000000" w:themeColor="text1"/>
          <w:sz w:val="16"/>
          <w:szCs w:val="16"/>
        </w:rPr>
        <w:softHyphen/>
        <w:t>тал один из самолетов И-7, из двух первых, построенных на Заводе № 1. Он оценивал И-7 как нормальный аппарат, однако отметил недо</w:t>
      </w:r>
      <w:r w:rsidRPr="007122AB">
        <w:rPr>
          <w:rFonts w:ascii="Times New Roman" w:hAnsi="Times New Roman"/>
          <w:color w:val="000000" w:themeColor="text1"/>
          <w:sz w:val="16"/>
          <w:szCs w:val="16"/>
        </w:rPr>
        <w:softHyphen/>
        <w:t>статочную устойчивость пути и некоторую сложность при выполнении виражей. В за</w:t>
      </w:r>
      <w:r w:rsidRPr="007122AB">
        <w:rPr>
          <w:rFonts w:ascii="Times New Roman" w:hAnsi="Times New Roman"/>
          <w:color w:val="000000" w:themeColor="text1"/>
          <w:sz w:val="16"/>
          <w:szCs w:val="16"/>
        </w:rPr>
        <w:softHyphen/>
        <w:t>ключении по заводским испытаниям гово</w:t>
      </w:r>
      <w:r w:rsidRPr="007122AB">
        <w:rPr>
          <w:rFonts w:ascii="Times New Roman" w:hAnsi="Times New Roman"/>
          <w:color w:val="000000" w:themeColor="text1"/>
          <w:sz w:val="16"/>
          <w:szCs w:val="16"/>
        </w:rPr>
        <w:softHyphen/>
        <w:t>рилось: «Самолет И-7 с ВМ\У-У1 7,3 имеет чуткое управление и требует хорошей трени</w:t>
      </w:r>
      <w:r w:rsidRPr="007122AB">
        <w:rPr>
          <w:rFonts w:ascii="Times New Roman" w:hAnsi="Times New Roman"/>
          <w:color w:val="000000" w:themeColor="text1"/>
          <w:sz w:val="16"/>
          <w:szCs w:val="16"/>
        </w:rPr>
        <w:softHyphen/>
        <w:t>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w:t>
      </w:r>
    </w:p>
    <w:p w14:paraId="2FF2961A"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Далее И-7 передали в Н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xml:space="preserve"> ВВС, выводы там сделали несколько в другой плоскости: «И-7 не отвечает по своим летным данным требовани</w:t>
      </w:r>
      <w:r w:rsidRPr="007122AB">
        <w:rPr>
          <w:rFonts w:ascii="Times New Roman" w:hAnsi="Times New Roman"/>
          <w:color w:val="000000" w:themeColor="text1"/>
          <w:sz w:val="16"/>
          <w:szCs w:val="16"/>
        </w:rPr>
        <w:softHyphen/>
        <w:t>ям, предъявляемым к современным истреби</w:t>
      </w:r>
      <w:r w:rsidRPr="007122AB">
        <w:rPr>
          <w:rFonts w:ascii="Times New Roman" w:hAnsi="Times New Roman"/>
          <w:color w:val="000000" w:themeColor="text1"/>
          <w:sz w:val="16"/>
          <w:szCs w:val="16"/>
        </w:rPr>
        <w:softHyphen/>
        <w:t>телям, однако целесообразно самолет строить для вооружения нескольких эскадрилий». По</w:t>
      </w:r>
      <w:r w:rsidRPr="007122AB">
        <w:rPr>
          <w:rFonts w:ascii="Times New Roman" w:hAnsi="Times New Roman"/>
          <w:color w:val="000000" w:themeColor="text1"/>
          <w:sz w:val="16"/>
          <w:szCs w:val="16"/>
        </w:rPr>
        <w:softHyphen/>
        <w:t>следнее мнение связывалось с надеждой ис</w:t>
      </w:r>
      <w:r w:rsidRPr="007122AB">
        <w:rPr>
          <w:rFonts w:ascii="Times New Roman" w:hAnsi="Times New Roman"/>
          <w:color w:val="000000" w:themeColor="text1"/>
          <w:sz w:val="16"/>
          <w:szCs w:val="16"/>
        </w:rPr>
        <w:softHyphen/>
        <w:t>пользования более мощных двигателей, раз</w:t>
      </w:r>
      <w:r w:rsidRPr="007122AB">
        <w:rPr>
          <w:rFonts w:ascii="Times New Roman" w:hAnsi="Times New Roman"/>
          <w:color w:val="000000" w:themeColor="text1"/>
          <w:sz w:val="16"/>
          <w:szCs w:val="16"/>
        </w:rPr>
        <w:softHyphen/>
        <w:t>работанных для замены ВМ\У-У1. Поначалу предполагались двигатели М-19 и М-27, а бли</w:t>
      </w:r>
      <w:r w:rsidRPr="007122AB">
        <w:rPr>
          <w:rFonts w:ascii="Times New Roman" w:hAnsi="Times New Roman"/>
          <w:color w:val="000000" w:themeColor="text1"/>
          <w:sz w:val="16"/>
          <w:szCs w:val="16"/>
        </w:rPr>
        <w:softHyphen/>
        <w:t>же к осени 1931 г. ожидался М-34.</w:t>
      </w:r>
    </w:p>
    <w:p w14:paraId="08753EB6"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Вообще, ситуация с И-7 во второй поло</w:t>
      </w:r>
      <w:r w:rsidRPr="007122AB">
        <w:rPr>
          <w:rFonts w:ascii="Times New Roman" w:hAnsi="Times New Roman"/>
          <w:color w:val="000000" w:themeColor="text1"/>
          <w:sz w:val="16"/>
          <w:szCs w:val="16"/>
        </w:rPr>
        <w:softHyphen/>
        <w:t xml:space="preserve">вине 1931 г. складывалась следующим </w:t>
      </w:r>
      <w:proofErr w:type="spellStart"/>
      <w:r w:rsidRPr="007122AB">
        <w:rPr>
          <w:rFonts w:ascii="Times New Roman" w:hAnsi="Times New Roman"/>
          <w:color w:val="000000" w:themeColor="text1"/>
          <w:sz w:val="16"/>
          <w:szCs w:val="16"/>
        </w:rPr>
        <w:t>обра-зом</w:t>
      </w:r>
      <w:proofErr w:type="spellEnd"/>
      <w:r w:rsidRPr="007122AB">
        <w:rPr>
          <w:rFonts w:ascii="Times New Roman" w:hAnsi="Times New Roman"/>
          <w:color w:val="000000" w:themeColor="text1"/>
          <w:sz w:val="16"/>
          <w:szCs w:val="16"/>
        </w:rPr>
        <w:t>. Летающих истребителей этого типа в Союзе имелось три экземпляра. Во-первых, уже в течение двух лет в 15-й авиабригаде нес строевую службу НО-37 №292 немецкой по</w:t>
      </w:r>
      <w:r w:rsidRPr="007122AB">
        <w:rPr>
          <w:rFonts w:ascii="Times New Roman" w:hAnsi="Times New Roman"/>
          <w:color w:val="000000" w:themeColor="text1"/>
          <w:sz w:val="16"/>
          <w:szCs w:val="16"/>
        </w:rPr>
        <w:softHyphen/>
        <w:t>стройки. Самолет находился в личном поль</w:t>
      </w:r>
      <w:r w:rsidRPr="007122AB">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7122AB">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7122AB">
        <w:rPr>
          <w:rFonts w:ascii="Times New Roman" w:hAnsi="Times New Roman"/>
          <w:color w:val="000000" w:themeColor="text1"/>
          <w:sz w:val="16"/>
          <w:szCs w:val="16"/>
        </w:rPr>
        <w:softHyphen/>
        <w:t>рвюры центроплана по сварке.</w:t>
      </w:r>
    </w:p>
    <w:p w14:paraId="14F388BD"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Добавим, что в 9-й эскадрилье 15-й ави</w:t>
      </w:r>
      <w:r w:rsidRPr="007122AB">
        <w:rPr>
          <w:rFonts w:ascii="Times New Roman" w:hAnsi="Times New Roman"/>
          <w:color w:val="000000" w:themeColor="text1"/>
          <w:sz w:val="16"/>
          <w:szCs w:val="16"/>
        </w:rPr>
        <w:softHyphen/>
        <w:t>абригады в этот период числился и НО-43 №327.</w:t>
      </w:r>
    </w:p>
    <w:p w14:paraId="5DD16C1D"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7122AB">
        <w:rPr>
          <w:rFonts w:ascii="Times New Roman" w:hAnsi="Times New Roman"/>
          <w:color w:val="000000" w:themeColor="text1"/>
          <w:sz w:val="16"/>
          <w:szCs w:val="16"/>
        </w:rPr>
        <w:softHyphen/>
        <w:t>можно сохранялся про запас.</w:t>
      </w:r>
    </w:p>
    <w:p w14:paraId="462D69E1"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 продолжением серийного производст</w:t>
      </w:r>
      <w:r w:rsidRPr="007122AB">
        <w:rPr>
          <w:rFonts w:ascii="Times New Roman" w:hAnsi="Times New Roman"/>
          <w:color w:val="000000" w:themeColor="text1"/>
          <w:sz w:val="16"/>
          <w:szCs w:val="16"/>
        </w:rPr>
        <w:softHyphen/>
        <w:t>ва вышла заминка. На авиазаводе №1 в те</w:t>
      </w:r>
      <w:r w:rsidRPr="007122AB">
        <w:rPr>
          <w:rFonts w:ascii="Times New Roman" w:hAnsi="Times New Roman"/>
          <w:color w:val="000000" w:themeColor="text1"/>
          <w:sz w:val="16"/>
          <w:szCs w:val="16"/>
        </w:rPr>
        <w:softHyphen/>
        <w:t>чение года развернули серийное изготовле</w:t>
      </w:r>
      <w:r w:rsidRPr="007122AB">
        <w:rPr>
          <w:rFonts w:ascii="Times New Roman" w:hAnsi="Times New Roman"/>
          <w:color w:val="000000" w:themeColor="text1"/>
          <w:sz w:val="16"/>
          <w:szCs w:val="16"/>
        </w:rPr>
        <w:softHyphen/>
        <w:t>ние отечественных истребителей И-5, ко</w:t>
      </w:r>
      <w:r w:rsidRPr="007122AB">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7122AB">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7122AB">
        <w:rPr>
          <w:rFonts w:ascii="Times New Roman" w:hAnsi="Times New Roman"/>
          <w:color w:val="000000" w:themeColor="text1"/>
          <w:sz w:val="16"/>
          <w:szCs w:val="16"/>
        </w:rPr>
        <w:softHyphen/>
        <w:t>тому до конца 1931 года И-7 не строили. Бо</w:t>
      </w:r>
      <w:r w:rsidRPr="007122AB">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7122AB">
        <w:rPr>
          <w:rFonts w:ascii="Times New Roman" w:hAnsi="Times New Roman"/>
          <w:color w:val="000000" w:themeColor="text1"/>
          <w:sz w:val="16"/>
          <w:szCs w:val="16"/>
        </w:rPr>
        <w:softHyphen/>
        <w:t>заводе №1, так как производство И-5 пере</w:t>
      </w:r>
      <w:r w:rsidRPr="007122AB">
        <w:rPr>
          <w:rFonts w:ascii="Times New Roman" w:hAnsi="Times New Roman"/>
          <w:color w:val="000000" w:themeColor="text1"/>
          <w:sz w:val="16"/>
          <w:szCs w:val="16"/>
        </w:rPr>
        <w:softHyphen/>
        <w:t>несли на авиационный завод №21 в Нижний Новгород (12295).</w:t>
      </w:r>
    </w:p>
    <w:p w14:paraId="5743B24E" w14:textId="77777777" w:rsidR="00BB323F" w:rsidRPr="007122AB" w:rsidRDefault="00BB323F" w:rsidP="007122AB">
      <w:pPr>
        <w:spacing w:after="0" w:line="240" w:lineRule="auto"/>
        <w:jc w:val="both"/>
        <w:rPr>
          <w:rFonts w:ascii="Times New Roman" w:hAnsi="Times New Roman"/>
          <w:color w:val="000000" w:themeColor="text1"/>
          <w:sz w:val="16"/>
          <w:szCs w:val="16"/>
        </w:rPr>
      </w:pPr>
    </w:p>
    <w:p w14:paraId="1CE320F6"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июля 1931 г. заводской летчик-испытатель А.И. Жуков облетал один из двух первых серийных И-7, приступив к выполнению заводских испытаний.</w:t>
      </w:r>
    </w:p>
    <w:p w14:paraId="50742C46"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итогам заводских испытаний установлено следующее:</w:t>
      </w:r>
    </w:p>
    <w:p w14:paraId="13D34808"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взлете и посадке самолет прост, но при выполнении пилотажа требует повышенного внимания и хорошей подготовки летчика;</w:t>
      </w:r>
    </w:p>
    <w:p w14:paraId="2B7F2324"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углы перестановки стабилизатора вверх и вниз для обеспечения устойчивости и управляемости недостаточные;</w:t>
      </w:r>
    </w:p>
    <w:p w14:paraId="4773D373"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 полете путевая устойчивость недостаточна;</w:t>
      </w:r>
    </w:p>
    <w:p w14:paraId="4183C588"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удержание самолета в правильном вираже без скольжения сложно;</w:t>
      </w:r>
    </w:p>
    <w:p w14:paraId="773DDBAD"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выполнение штопора отличается от такового на других самолетах.</w:t>
      </w:r>
    </w:p>
    <w:p w14:paraId="1B2183EC"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Выдержки из отчета:</w:t>
      </w:r>
    </w:p>
    <w:p w14:paraId="6FCEA2D0"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И-7 с БМВ-6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(24331).</w:t>
      </w:r>
    </w:p>
    <w:p w14:paraId="6548FA99" w14:textId="77777777" w:rsidR="00535A7C" w:rsidRPr="00441F34" w:rsidRDefault="00535A7C" w:rsidP="00535A7C">
      <w:pPr>
        <w:spacing w:after="0" w:line="240" w:lineRule="auto"/>
        <w:jc w:val="both"/>
        <w:rPr>
          <w:rFonts w:ascii="Times New Roman" w:hAnsi="Times New Roman"/>
          <w:color w:val="0070C0"/>
          <w:sz w:val="16"/>
          <w:szCs w:val="16"/>
        </w:rPr>
      </w:pPr>
    </w:p>
    <w:p w14:paraId="5B1C4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июля 1931 г. Совет труда и обороны (СТО) обязал Всесоюзное авиационное объединение (ВАО) построить шесть ТБ-5 (один шел как опытный, другие - войсковая серия). Более того, все эти машины учитывались в планах формирования новых бомбардировочных эскадрилий на 1932 г. В то же время, начальник ВВС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считал, что в ожидании двигателей ФЭД постройку ТБ-5 следует затормозить и перенести на 1932 г. С таким предложением он обратился в ВСНХ СССР. Однако Председатель СНК СССР </w:t>
      </w:r>
      <w:proofErr w:type="spellStart"/>
      <w:r w:rsidRPr="007122AB">
        <w:rPr>
          <w:rFonts w:ascii="Times New Roman" w:hAnsi="Times New Roman"/>
          <w:color w:val="000000" w:themeColor="text1"/>
          <w:sz w:val="16"/>
          <w:szCs w:val="16"/>
        </w:rPr>
        <w:t>В.М.Молотов</w:t>
      </w:r>
      <w:proofErr w:type="spellEnd"/>
      <w:r w:rsidRPr="007122AB">
        <w:rPr>
          <w:rFonts w:ascii="Times New Roman" w:hAnsi="Times New Roman"/>
          <w:color w:val="000000" w:themeColor="text1"/>
          <w:sz w:val="16"/>
          <w:szCs w:val="16"/>
        </w:rPr>
        <w:t xml:space="preserve"> руководствовался какими-то особыми соображениями, поэтому такую идею отклонил и предложил принять все меры для скорейшей постройки серии ТБ-5. Причина, думается, заключалась в том, что этот бомбардировщик создавался под патронажем ОГПУ. Причем достигнутые чекистами результаты были наглядно продемонстрированы 6 июля 1931 г. </w:t>
      </w:r>
      <w:proofErr w:type="spellStart"/>
      <w:r w:rsidRPr="007122AB">
        <w:rPr>
          <w:rFonts w:ascii="Times New Roman" w:hAnsi="Times New Roman"/>
          <w:color w:val="000000" w:themeColor="text1"/>
          <w:sz w:val="16"/>
          <w:szCs w:val="16"/>
        </w:rPr>
        <w:t>И.В.Сталину</w:t>
      </w:r>
      <w:proofErr w:type="spellEnd"/>
      <w:r w:rsidRPr="007122AB">
        <w:rPr>
          <w:rFonts w:ascii="Times New Roman" w:hAnsi="Times New Roman"/>
          <w:color w:val="000000" w:themeColor="text1"/>
          <w:sz w:val="16"/>
          <w:szCs w:val="16"/>
        </w:rPr>
        <w:t xml:space="preserve">, которому, кроме ТБ-5, показали модификации И-5, Р-5, ТШ-1 и суперновинку - пушечный истребитель И-Z. По всему выходило, что руководителям ОГПУ действительно удалось найти наиболее продуктивную форму деятельности авиапромышленности. А спустя короткое время, 27 августа 1931 г. ЦКБ и ЦАГИ объединили в единую организацию - ЦКБ-ЦАГИ. Старшим поставили </w:t>
      </w:r>
      <w:proofErr w:type="spellStart"/>
      <w:r w:rsidRPr="007122AB">
        <w:rPr>
          <w:rFonts w:ascii="Times New Roman" w:hAnsi="Times New Roman"/>
          <w:color w:val="000000" w:themeColor="text1"/>
          <w:sz w:val="16"/>
          <w:szCs w:val="16"/>
        </w:rPr>
        <w:t>Е.С.Пауфлера</w:t>
      </w:r>
      <w:proofErr w:type="spellEnd"/>
      <w:r w:rsidRPr="007122AB">
        <w:rPr>
          <w:rFonts w:ascii="Times New Roman" w:hAnsi="Times New Roman"/>
          <w:color w:val="000000" w:themeColor="text1"/>
          <w:sz w:val="16"/>
          <w:szCs w:val="16"/>
        </w:rPr>
        <w:t xml:space="preserve"> (5854,34).</w:t>
      </w:r>
    </w:p>
    <w:p w14:paraId="668897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2190EF"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 по постановлению Совета труда и обо</w:t>
      </w:r>
      <w:r w:rsidRPr="007122AB">
        <w:rPr>
          <w:rFonts w:ascii="Times New Roman" w:hAnsi="Times New Roman"/>
          <w:color w:val="000000" w:themeColor="text1"/>
          <w:sz w:val="16"/>
          <w:szCs w:val="16"/>
        </w:rPr>
        <w:softHyphen/>
        <w:t>роны республики в программу серийного строительства было введено обязатель</w:t>
      </w:r>
      <w:r w:rsidRPr="007122AB">
        <w:rPr>
          <w:rFonts w:ascii="Times New Roman" w:hAnsi="Times New Roman"/>
          <w:color w:val="000000" w:themeColor="text1"/>
          <w:sz w:val="16"/>
          <w:szCs w:val="16"/>
        </w:rPr>
        <w:softHyphen/>
        <w:t>ство постройки шести ТБ-5: один опытный экземпляр и пять самолетов войсковой серии. Более того, при планах формирова</w:t>
      </w:r>
      <w:r w:rsidRPr="007122AB">
        <w:rPr>
          <w:rFonts w:ascii="Times New Roman" w:hAnsi="Times New Roman"/>
          <w:color w:val="000000" w:themeColor="text1"/>
          <w:sz w:val="16"/>
          <w:szCs w:val="16"/>
        </w:rPr>
        <w:softHyphen/>
        <w:t>ния новых бомбардировочных эскадрилий на 1932 г. эти 6 аппаратов были учтены. Так как надежды на смену моторных установок было мало, обозначались они как ТБ-5 с М-22, или просто ТБМ-22.</w:t>
      </w:r>
    </w:p>
    <w:p w14:paraId="1FC1F57F"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 он был, что называется, на скорую руку, самолет подвергался непрерывным улучшениям и переделкам. Начиная с июня 1931 г. на нем усилили фюзеляж (отмечалось скручивание хвостовой части фюзеляжа в полете) и крепление двига</w:t>
      </w:r>
      <w:r w:rsidRPr="007122AB">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7122AB">
        <w:rPr>
          <w:rFonts w:ascii="Times New Roman" w:hAnsi="Times New Roman"/>
          <w:color w:val="000000" w:themeColor="text1"/>
          <w:sz w:val="16"/>
          <w:szCs w:val="16"/>
        </w:rPr>
        <w:softHyphen/>
        <w:t xml:space="preserve">плане, сняты кольца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xml:space="preserve"> с задних двигателей. В период зимы 1931—1932 гг. ТБ-5 был поставлен на лыжи и совершил еще ряд полетов.</w:t>
      </w:r>
    </w:p>
    <w:p w14:paraId="6EF3C65A"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Продолжались и проектные работы по установке двигателей ФЭД. Были отрабо</w:t>
      </w:r>
      <w:r w:rsidRPr="007122AB">
        <w:rPr>
          <w:rFonts w:ascii="Times New Roman" w:hAnsi="Times New Roman"/>
          <w:color w:val="000000" w:themeColor="text1"/>
          <w:sz w:val="16"/>
          <w:szCs w:val="16"/>
        </w:rPr>
        <w:softHyphen/>
        <w:t xml:space="preserve">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Другими известными впо</w:t>
      </w:r>
      <w:r w:rsidRPr="007122AB">
        <w:rPr>
          <w:rFonts w:ascii="Times New Roman" w:hAnsi="Times New Roman"/>
          <w:color w:val="000000" w:themeColor="text1"/>
          <w:sz w:val="16"/>
          <w:szCs w:val="16"/>
        </w:rPr>
        <w:softHyphen/>
        <w:t xml:space="preserve">следствии конструкторами, отметившимися на ТБ-5, можно назвать Б.И. </w:t>
      </w:r>
      <w:proofErr w:type="spellStart"/>
      <w:r w:rsidRPr="007122AB">
        <w:rPr>
          <w:rFonts w:ascii="Times New Roman" w:hAnsi="Times New Roman"/>
          <w:color w:val="000000" w:themeColor="text1"/>
          <w:sz w:val="16"/>
          <w:szCs w:val="16"/>
        </w:rPr>
        <w:t>Черановского</w:t>
      </w:r>
      <w:proofErr w:type="spellEnd"/>
      <w:r w:rsidRPr="007122AB">
        <w:rPr>
          <w:rFonts w:ascii="Times New Roman" w:hAnsi="Times New Roman"/>
          <w:color w:val="000000" w:themeColor="text1"/>
          <w:sz w:val="16"/>
          <w:szCs w:val="16"/>
        </w:rPr>
        <w:t xml:space="preserve">, В.П. Яценко и А.Н. </w:t>
      </w:r>
      <w:proofErr w:type="spellStart"/>
      <w:r w:rsidRPr="007122AB">
        <w:rPr>
          <w:rFonts w:ascii="Times New Roman" w:hAnsi="Times New Roman"/>
          <w:color w:val="000000" w:themeColor="text1"/>
          <w:sz w:val="16"/>
          <w:szCs w:val="16"/>
        </w:rPr>
        <w:t>Рафаэлянца</w:t>
      </w:r>
      <w:proofErr w:type="spellEnd"/>
      <w:r w:rsidRPr="007122AB">
        <w:rPr>
          <w:rFonts w:ascii="Times New Roman" w:hAnsi="Times New Roman"/>
          <w:color w:val="000000" w:themeColor="text1"/>
          <w:sz w:val="16"/>
          <w:szCs w:val="16"/>
        </w:rPr>
        <w:t>.</w:t>
      </w:r>
    </w:p>
    <w:p w14:paraId="190D53E6" w14:textId="77777777" w:rsidR="00BB323F" w:rsidRPr="007122AB" w:rsidRDefault="00BB32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7122AB">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 то особыми соображениями, поэ</w:t>
      </w:r>
      <w:r w:rsidRPr="007122AB">
        <w:rPr>
          <w:rFonts w:ascii="Times New Roman" w:hAnsi="Times New Roman"/>
          <w:color w:val="000000" w:themeColor="text1"/>
          <w:sz w:val="16"/>
          <w:szCs w:val="16"/>
        </w:rPr>
        <w:softHyphen/>
        <w:t>тому идею его отклонил и предложил при</w:t>
      </w:r>
      <w:r w:rsidRPr="007122AB">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7122AB">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7122AB">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7122AB">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7122AB">
        <w:rPr>
          <w:rFonts w:ascii="Times New Roman" w:hAnsi="Times New Roman"/>
          <w:color w:val="000000" w:themeColor="text1"/>
          <w:sz w:val="16"/>
          <w:szCs w:val="16"/>
        </w:rPr>
        <w:softHyphen/>
        <w:t xml:space="preserve">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(12611).</w:t>
      </w:r>
    </w:p>
    <w:p w14:paraId="2F5852EE" w14:textId="77777777" w:rsidR="00BB323F" w:rsidRPr="007122AB" w:rsidRDefault="00BB323F" w:rsidP="007122AB">
      <w:pPr>
        <w:spacing w:after="0" w:line="240" w:lineRule="auto"/>
        <w:jc w:val="both"/>
        <w:rPr>
          <w:rFonts w:ascii="Times New Roman" w:hAnsi="Times New Roman"/>
          <w:color w:val="000000" w:themeColor="text1"/>
          <w:sz w:val="16"/>
          <w:szCs w:val="16"/>
        </w:rPr>
      </w:pPr>
    </w:p>
    <w:p w14:paraId="68BF9F2B"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20 июля с 30 июня 1931 г. самолет ТБ-5 (ЦКБ-8)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w:t>
      </w:r>
    </w:p>
    <w:p w14:paraId="1A4A235E"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Полученные летные данные ТБ-5 оценивались как невысокие. Причиной была не вполне удачная </w:t>
      </w:r>
      <w:proofErr w:type="spellStart"/>
      <w:r w:rsidRPr="00441F34">
        <w:rPr>
          <w:rFonts w:ascii="Times New Roman" w:hAnsi="Times New Roman"/>
          <w:color w:val="0070C0"/>
          <w:sz w:val="16"/>
          <w:szCs w:val="16"/>
        </w:rPr>
        <w:t>мотоустановка</w:t>
      </w:r>
      <w:proofErr w:type="spellEnd"/>
      <w:r w:rsidRPr="00441F34">
        <w:rPr>
          <w:rFonts w:ascii="Times New Roman" w:hAnsi="Times New Roman"/>
          <w:color w:val="0070C0"/>
          <w:sz w:val="16"/>
          <w:szCs w:val="16"/>
        </w:rPr>
        <w:t xml:space="preserve"> с воздушными винтами, более подхо</w:t>
      </w:r>
      <w:r w:rsidRPr="00441F34">
        <w:rPr>
          <w:rFonts w:ascii="Times New Roman" w:hAnsi="Times New Roman"/>
          <w:color w:val="0070C0"/>
          <w:sz w:val="16"/>
          <w:szCs w:val="16"/>
        </w:rPr>
        <w:softHyphen/>
        <w:t>дящими для истребителей. Кроме того, винты задних «Юпитеров» пришлось значительно уменьшить в диаметре из-за размещения их под крылом.</w:t>
      </w:r>
    </w:p>
    <w:p w14:paraId="293B9275"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Судьбу самолёта решил аварийный случай, произо</w:t>
      </w:r>
      <w:r w:rsidRPr="00441F34">
        <w:rPr>
          <w:rFonts w:ascii="Times New Roman" w:hAnsi="Times New Roman"/>
          <w:color w:val="0070C0"/>
          <w:sz w:val="16"/>
          <w:szCs w:val="16"/>
        </w:rPr>
        <w:softHyphen/>
        <w:t xml:space="preserve">шедший в мае 1932 года. В полёте на высоте 800 м левый задний двигатель сорвался с </w:t>
      </w:r>
      <w:proofErr w:type="spellStart"/>
      <w:r w:rsidRPr="00441F34">
        <w:rPr>
          <w:rFonts w:ascii="Times New Roman" w:hAnsi="Times New Roman"/>
          <w:color w:val="0070C0"/>
          <w:sz w:val="16"/>
          <w:szCs w:val="16"/>
        </w:rPr>
        <w:t>моторамы</w:t>
      </w:r>
      <w:proofErr w:type="spellEnd"/>
      <w:r w:rsidRPr="00441F34">
        <w:rPr>
          <w:rFonts w:ascii="Times New Roman" w:hAnsi="Times New Roman"/>
          <w:color w:val="0070C0"/>
          <w:sz w:val="16"/>
          <w:szCs w:val="16"/>
        </w:rPr>
        <w:t xml:space="preserve"> и повис, зацепившись за шасси. Пилот </w:t>
      </w:r>
      <w:proofErr w:type="spellStart"/>
      <w:r w:rsidRPr="00441F34">
        <w:rPr>
          <w:rFonts w:ascii="Times New Roman" w:hAnsi="Times New Roman"/>
          <w:color w:val="0070C0"/>
          <w:sz w:val="16"/>
          <w:szCs w:val="16"/>
        </w:rPr>
        <w:t>М.Громов</w:t>
      </w:r>
      <w:proofErr w:type="spellEnd"/>
      <w:r w:rsidRPr="00441F34">
        <w:rPr>
          <w:rFonts w:ascii="Times New Roman" w:hAnsi="Times New Roman"/>
          <w:color w:val="0070C0"/>
          <w:sz w:val="16"/>
          <w:szCs w:val="16"/>
        </w:rPr>
        <w:t xml:space="preserve"> успешно посадил самолёт, однако до его восстановления дело так и не дошло. В феврале 1933 г. начальник ГУАП Баранов распорядился: «Самолет разобрать. Дальнейшие работы по этому самолету прекратить» (23907).</w:t>
      </w:r>
    </w:p>
    <w:p w14:paraId="6D6E6D04" w14:textId="77777777" w:rsidR="00535A7C" w:rsidRPr="00441F34" w:rsidRDefault="00535A7C" w:rsidP="00535A7C">
      <w:pPr>
        <w:spacing w:after="0" w:line="240" w:lineRule="auto"/>
        <w:jc w:val="both"/>
        <w:rPr>
          <w:rFonts w:ascii="Times New Roman" w:hAnsi="Times New Roman"/>
          <w:color w:val="0070C0"/>
          <w:sz w:val="16"/>
          <w:szCs w:val="16"/>
        </w:rPr>
      </w:pPr>
    </w:p>
    <w:p w14:paraId="6A724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года вышло Постановление N 158сс СТО по авиапромышленности:</w:t>
      </w:r>
    </w:p>
    <w:p w14:paraId="3E01D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 что постановления Правительства от 5 марта 1930 года, 5 сентября 1930 года и от 11 января 1931 года в отношении развития авиапромышленности проводятся в жизнь явно неудовлетворительно. В особом квартале 1930 года и первом полугодии 1931 года планы как по строительству, так и по производству фактически сорваны (3529,3-16).</w:t>
      </w:r>
    </w:p>
    <w:p w14:paraId="6728D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FA97A9" w14:textId="77777777" w:rsidR="00875C4A" w:rsidRPr="007122AB" w:rsidRDefault="00875C4A"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вышло решение СТО N 158 (3082) по авиапромышленности (1028,117) о реализации договора с итальянской фирмой "Фиат" (3082).</w:t>
      </w:r>
    </w:p>
    <w:p w14:paraId="3C98E94A" w14:textId="77777777" w:rsidR="00875C4A" w:rsidRPr="007122AB" w:rsidRDefault="00875C4A" w:rsidP="007122AB">
      <w:pPr>
        <w:autoSpaceDE w:val="0"/>
        <w:autoSpaceDN w:val="0"/>
        <w:adjustRightInd w:val="0"/>
        <w:spacing w:after="0" w:line="240" w:lineRule="auto"/>
        <w:jc w:val="both"/>
        <w:rPr>
          <w:rFonts w:ascii="Times New Roman" w:hAnsi="Times New Roman"/>
          <w:color w:val="000000" w:themeColor="text1"/>
          <w:sz w:val="16"/>
          <w:szCs w:val="16"/>
        </w:rPr>
      </w:pPr>
    </w:p>
    <w:p w14:paraId="0920054E"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25 июля 1931 вышло постановление № 158сс РЗ СТО или КО (№ 498/ко от 26.7.1931 г.) - По авиапромышленности (21565).</w:t>
      </w:r>
    </w:p>
    <w:p w14:paraId="2C78399C" w14:textId="77777777" w:rsidR="00AC6695" w:rsidRPr="007122AB" w:rsidRDefault="00AC6695" w:rsidP="007122AB">
      <w:pPr>
        <w:spacing w:after="0" w:line="240" w:lineRule="auto"/>
        <w:jc w:val="both"/>
        <w:rPr>
          <w:rFonts w:ascii="Times New Roman" w:hAnsi="Times New Roman"/>
          <w:color w:val="000000" w:themeColor="text1"/>
          <w:sz w:val="16"/>
          <w:szCs w:val="16"/>
        </w:rPr>
      </w:pPr>
    </w:p>
    <w:p w14:paraId="1B46D8F6"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25 июля 1931 на заседании Совета Труда и Обороны были доложены первые выводы из работы комиссии, созданной 23 мая 1931 г. на очередном заседа</w:t>
      </w:r>
      <w:r w:rsidRPr="007122AB">
        <w:rPr>
          <w:rFonts w:ascii="Times New Roman" w:hAnsi="Times New Roman"/>
          <w:color w:val="000000" w:themeColor="text1"/>
          <w:sz w:val="16"/>
          <w:szCs w:val="16"/>
          <w:lang w:eastAsia="ru-RU" w:bidi="ru-RU"/>
        </w:rPr>
        <w:softHyphen/>
        <w:t>нии Комиссии Обороны при СНК СССР для де</w:t>
      </w:r>
      <w:r w:rsidRPr="007122AB">
        <w:rPr>
          <w:rFonts w:ascii="Times New Roman" w:hAnsi="Times New Roman"/>
          <w:color w:val="000000" w:themeColor="text1"/>
          <w:sz w:val="16"/>
          <w:szCs w:val="16"/>
          <w:lang w:eastAsia="ru-RU" w:bidi="ru-RU"/>
        </w:rPr>
        <w:softHyphen/>
        <w:t xml:space="preserve">тального </w:t>
      </w:r>
      <w:proofErr w:type="spellStart"/>
      <w:r w:rsidRPr="007122AB">
        <w:rPr>
          <w:rFonts w:ascii="Times New Roman" w:hAnsi="Times New Roman"/>
          <w:color w:val="000000" w:themeColor="text1"/>
          <w:sz w:val="16"/>
          <w:szCs w:val="16"/>
          <w:lang w:eastAsia="ru-RU" w:bidi="ru-RU"/>
        </w:rPr>
        <w:t>разоборя</w:t>
      </w:r>
      <w:proofErr w:type="spellEnd"/>
      <w:r w:rsidRPr="007122AB">
        <w:rPr>
          <w:rFonts w:ascii="Times New Roman" w:hAnsi="Times New Roman"/>
          <w:color w:val="000000" w:themeColor="text1"/>
          <w:sz w:val="16"/>
          <w:szCs w:val="16"/>
          <w:lang w:eastAsia="ru-RU" w:bidi="ru-RU"/>
        </w:rPr>
        <w:t xml:space="preserve"> с причинами невы</w:t>
      </w:r>
      <w:r w:rsidRPr="007122AB">
        <w:rPr>
          <w:rFonts w:ascii="Times New Roman" w:hAnsi="Times New Roman"/>
          <w:color w:val="000000" w:themeColor="text1"/>
          <w:sz w:val="16"/>
          <w:szCs w:val="16"/>
          <w:lang w:eastAsia="ru-RU" w:bidi="ru-RU"/>
        </w:rPr>
        <w:softHyphen/>
        <w:t>полнения авиапромом плановых заданий по выпуску самолетов и опытному стро</w:t>
      </w:r>
      <w:r w:rsidRPr="007122AB">
        <w:rPr>
          <w:rFonts w:ascii="Times New Roman" w:hAnsi="Times New Roman"/>
          <w:color w:val="000000" w:themeColor="text1"/>
          <w:sz w:val="16"/>
          <w:szCs w:val="16"/>
          <w:lang w:eastAsia="ru-RU" w:bidi="ru-RU"/>
        </w:rPr>
        <w:softHyphen/>
        <w:t>ительству и на основании этого внести в правительство конкретные предложения по коренному улучшению ситуации. По итогам обсу</w:t>
      </w:r>
      <w:r w:rsidRPr="007122AB">
        <w:rPr>
          <w:rFonts w:ascii="Times New Roman" w:hAnsi="Times New Roman"/>
          <w:color w:val="000000" w:themeColor="text1"/>
          <w:sz w:val="16"/>
          <w:szCs w:val="16"/>
          <w:lang w:eastAsia="ru-RU" w:bidi="ru-RU"/>
        </w:rPr>
        <w:softHyphen/>
        <w:t>ждения вышло постановление №158сс.</w:t>
      </w:r>
    </w:p>
    <w:p w14:paraId="07FE0D31"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ряду первоочередных мероприя</w:t>
      </w:r>
      <w:r w:rsidRPr="007122AB">
        <w:rPr>
          <w:rFonts w:ascii="Times New Roman" w:hAnsi="Times New Roman"/>
          <w:color w:val="000000" w:themeColor="text1"/>
          <w:sz w:val="16"/>
          <w:szCs w:val="16"/>
          <w:lang w:eastAsia="ru-RU" w:bidi="ru-RU"/>
        </w:rPr>
        <w:softHyphen/>
        <w:t>тий, направленных на ликвидацию про</w:t>
      </w:r>
      <w:r w:rsidRPr="007122AB">
        <w:rPr>
          <w:rFonts w:ascii="Times New Roman" w:hAnsi="Times New Roman"/>
          <w:color w:val="000000" w:themeColor="text1"/>
          <w:sz w:val="16"/>
          <w:szCs w:val="16"/>
          <w:lang w:eastAsia="ru-RU" w:bidi="ru-RU"/>
        </w:rPr>
        <w:softHyphen/>
        <w:t>рыва в авиапромышленности, предла</w:t>
      </w:r>
      <w:r w:rsidRPr="007122AB">
        <w:rPr>
          <w:rFonts w:ascii="Times New Roman" w:hAnsi="Times New Roman"/>
          <w:color w:val="000000" w:themeColor="text1"/>
          <w:sz w:val="16"/>
          <w:szCs w:val="16"/>
          <w:lang w:eastAsia="ru-RU" w:bidi="ru-RU"/>
        </w:rPr>
        <w:softHyphen/>
        <w:t>галось «ВАО поставить себе главной за</w:t>
      </w:r>
      <w:r w:rsidRPr="007122AB">
        <w:rPr>
          <w:rFonts w:ascii="Times New Roman" w:hAnsi="Times New Roman"/>
          <w:color w:val="000000" w:themeColor="text1"/>
          <w:sz w:val="16"/>
          <w:szCs w:val="16"/>
          <w:lang w:eastAsia="ru-RU" w:bidi="ru-RU"/>
        </w:rPr>
        <w:softHyphen/>
        <w:t>дачей переход в кратчайший срок на механизированное производство, при</w:t>
      </w:r>
      <w:r w:rsidRPr="007122AB">
        <w:rPr>
          <w:rFonts w:ascii="Times New Roman" w:hAnsi="Times New Roman"/>
          <w:color w:val="000000" w:themeColor="text1"/>
          <w:sz w:val="16"/>
          <w:szCs w:val="16"/>
          <w:lang w:eastAsia="ru-RU" w:bidi="ru-RU"/>
        </w:rPr>
        <w:softHyphen/>
        <w:t>менение штамповки, сварки и прочих способов массового изготовления дета</w:t>
      </w:r>
      <w:r w:rsidRPr="007122AB">
        <w:rPr>
          <w:rFonts w:ascii="Times New Roman" w:hAnsi="Times New Roman"/>
          <w:color w:val="000000" w:themeColor="text1"/>
          <w:sz w:val="16"/>
          <w:szCs w:val="16"/>
          <w:lang w:eastAsia="ru-RU" w:bidi="ru-RU"/>
        </w:rPr>
        <w:softHyphen/>
        <w:t>лей и их сборки».</w:t>
      </w:r>
    </w:p>
    <w:p w14:paraId="384CD0A4"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Требовалось «обязать ВАО, реши</w:t>
      </w:r>
      <w:r w:rsidRPr="007122AB">
        <w:rPr>
          <w:rFonts w:ascii="Times New Roman" w:hAnsi="Times New Roman"/>
          <w:color w:val="000000" w:themeColor="text1"/>
          <w:sz w:val="16"/>
          <w:szCs w:val="16"/>
          <w:lang w:eastAsia="ru-RU" w:bidi="ru-RU"/>
        </w:rPr>
        <w:softHyphen/>
        <w:t>тельно пресекая попытки отдельных това</w:t>
      </w:r>
      <w:r w:rsidRPr="007122AB">
        <w:rPr>
          <w:rFonts w:ascii="Times New Roman" w:hAnsi="Times New Roman"/>
          <w:color w:val="000000" w:themeColor="text1"/>
          <w:sz w:val="16"/>
          <w:szCs w:val="16"/>
          <w:lang w:eastAsia="ru-RU" w:bidi="ru-RU"/>
        </w:rPr>
        <w:softHyphen/>
        <w:t>рищей превратить опытное производство в самоцель, взять основную установку на скорейшее внедрение в серийное про</w:t>
      </w:r>
      <w:r w:rsidRPr="007122AB">
        <w:rPr>
          <w:rFonts w:ascii="Times New Roman" w:hAnsi="Times New Roman"/>
          <w:color w:val="000000" w:themeColor="text1"/>
          <w:sz w:val="16"/>
          <w:szCs w:val="16"/>
          <w:lang w:eastAsia="ru-RU" w:bidi="ru-RU"/>
        </w:rPr>
        <w:softHyphen/>
        <w:t>изводство построенных и испытанных образцов самолетов и моторов, как пер</w:t>
      </w:r>
      <w:r w:rsidRPr="007122AB">
        <w:rPr>
          <w:rFonts w:ascii="Times New Roman" w:hAnsi="Times New Roman"/>
          <w:color w:val="000000" w:themeColor="text1"/>
          <w:sz w:val="16"/>
          <w:szCs w:val="16"/>
          <w:lang w:eastAsia="ru-RU" w:bidi="ru-RU"/>
        </w:rPr>
        <w:softHyphen/>
        <w:t>воочередную свою задачу (в сроки не бо</w:t>
      </w:r>
      <w:r w:rsidRPr="007122AB">
        <w:rPr>
          <w:rFonts w:ascii="Times New Roman" w:hAnsi="Times New Roman"/>
          <w:color w:val="000000" w:themeColor="text1"/>
          <w:sz w:val="16"/>
          <w:szCs w:val="16"/>
          <w:lang w:eastAsia="ru-RU" w:bidi="ru-RU"/>
        </w:rPr>
        <w:softHyphen/>
        <w:t>лее как 6-8 месяцев)».</w:t>
      </w:r>
    </w:p>
    <w:p w14:paraId="75ECF420"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С целью экономии дефицитного дюра</w:t>
      </w:r>
      <w:r w:rsidRPr="007122AB">
        <w:rPr>
          <w:rFonts w:ascii="Times New Roman" w:hAnsi="Times New Roman"/>
          <w:color w:val="000000" w:themeColor="text1"/>
          <w:sz w:val="16"/>
          <w:szCs w:val="16"/>
          <w:lang w:eastAsia="ru-RU" w:bidi="ru-RU"/>
        </w:rPr>
        <w:softHyphen/>
        <w:t>люминия считалось необходимым «проек</w:t>
      </w:r>
      <w:r w:rsidRPr="007122AB">
        <w:rPr>
          <w:rFonts w:ascii="Times New Roman" w:hAnsi="Times New Roman"/>
          <w:color w:val="000000" w:themeColor="text1"/>
          <w:sz w:val="16"/>
          <w:szCs w:val="16"/>
          <w:lang w:eastAsia="ru-RU" w:bidi="ru-RU"/>
        </w:rPr>
        <w:softHyphen/>
        <w:t>тировать и производить тяжелые и сверх</w:t>
      </w:r>
      <w:r w:rsidRPr="007122AB">
        <w:rPr>
          <w:rFonts w:ascii="Times New Roman" w:hAnsi="Times New Roman"/>
          <w:color w:val="000000" w:themeColor="text1"/>
          <w:sz w:val="16"/>
          <w:szCs w:val="16"/>
          <w:lang w:eastAsia="ru-RU" w:bidi="ru-RU"/>
        </w:rPr>
        <w:softHyphen/>
        <w:t>тяжелые самолеты из металла с возможно большим применением стали и уменьше</w:t>
      </w:r>
      <w:r w:rsidRPr="007122AB">
        <w:rPr>
          <w:rFonts w:ascii="Times New Roman" w:hAnsi="Times New Roman"/>
          <w:color w:val="000000" w:themeColor="text1"/>
          <w:sz w:val="16"/>
          <w:szCs w:val="16"/>
          <w:lang w:eastAsia="ru-RU" w:bidi="ru-RU"/>
        </w:rPr>
        <w:softHyphen/>
        <w:t>нием алюминия, а самолетов легкого типа по преимуществу смешанной конструкции (сталь, дерево, полотно)».</w:t>
      </w:r>
    </w:p>
    <w:p w14:paraId="1E5E5395"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Предлагалось закупить лицензии и ос</w:t>
      </w:r>
      <w:r w:rsidRPr="007122AB">
        <w:rPr>
          <w:rFonts w:ascii="Times New Roman" w:hAnsi="Times New Roman"/>
          <w:color w:val="000000" w:themeColor="text1"/>
          <w:sz w:val="16"/>
          <w:szCs w:val="16"/>
          <w:lang w:eastAsia="ru-RU" w:bidi="ru-RU"/>
        </w:rPr>
        <w:softHyphen/>
        <w:t>воить технологии и зарубежный опыт на производство разрезных крыльев, совре</w:t>
      </w:r>
      <w:r w:rsidRPr="007122AB">
        <w:rPr>
          <w:rFonts w:ascii="Times New Roman" w:hAnsi="Times New Roman"/>
          <w:color w:val="000000" w:themeColor="text1"/>
          <w:sz w:val="16"/>
          <w:szCs w:val="16"/>
          <w:lang w:eastAsia="ru-RU" w:bidi="ru-RU"/>
        </w:rPr>
        <w:softHyphen/>
        <w:t>менных моторов жидкостного и воздуш</w:t>
      </w:r>
      <w:r w:rsidRPr="007122AB">
        <w:rPr>
          <w:rFonts w:ascii="Times New Roman" w:hAnsi="Times New Roman"/>
          <w:color w:val="000000" w:themeColor="text1"/>
          <w:sz w:val="16"/>
          <w:szCs w:val="16"/>
          <w:lang w:eastAsia="ru-RU" w:bidi="ru-RU"/>
        </w:rPr>
        <w:softHyphen/>
        <w:t>ного охлаждения, хромомолибденовых труб, по литью, ковке, штамповке и термо</w:t>
      </w:r>
      <w:r w:rsidRPr="007122AB">
        <w:rPr>
          <w:rFonts w:ascii="Times New Roman" w:hAnsi="Times New Roman"/>
          <w:color w:val="000000" w:themeColor="text1"/>
          <w:sz w:val="16"/>
          <w:szCs w:val="16"/>
          <w:lang w:eastAsia="ru-RU" w:bidi="ru-RU"/>
        </w:rPr>
        <w:softHyphen/>
        <w:t>обработке алюминиевых сплавов, изго</w:t>
      </w:r>
      <w:r w:rsidRPr="007122AB">
        <w:rPr>
          <w:rFonts w:ascii="Times New Roman" w:hAnsi="Times New Roman"/>
          <w:color w:val="000000" w:themeColor="text1"/>
          <w:sz w:val="16"/>
          <w:szCs w:val="16"/>
          <w:lang w:eastAsia="ru-RU" w:bidi="ru-RU"/>
        </w:rPr>
        <w:softHyphen/>
        <w:t>товления металлических винтов, самопу</w:t>
      </w:r>
      <w:r w:rsidRPr="007122AB">
        <w:rPr>
          <w:rFonts w:ascii="Times New Roman" w:hAnsi="Times New Roman"/>
          <w:color w:val="000000" w:themeColor="text1"/>
          <w:sz w:val="16"/>
          <w:szCs w:val="16"/>
          <w:lang w:eastAsia="ru-RU" w:bidi="ru-RU"/>
        </w:rPr>
        <w:softHyphen/>
        <w:t>сков, тормозных колес и т.д.</w:t>
      </w:r>
    </w:p>
    <w:p w14:paraId="23B93A98" w14:textId="77777777" w:rsidR="00AC6695" w:rsidRPr="007122AB" w:rsidRDefault="00AC669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Управление ВВС и ВАО обязывались «в месячный срок разработать и предста</w:t>
      </w:r>
      <w:r w:rsidRPr="007122AB">
        <w:rPr>
          <w:rFonts w:ascii="Times New Roman" w:hAnsi="Times New Roman"/>
          <w:color w:val="000000" w:themeColor="text1"/>
          <w:sz w:val="16"/>
          <w:szCs w:val="16"/>
          <w:lang w:eastAsia="ru-RU" w:bidi="ru-RU"/>
        </w:rPr>
        <w:softHyphen/>
        <w:t>вить на утверждение СТО план опытного строительства самолетов и моторов, имея в виду «сокращение типов моторов и са</w:t>
      </w:r>
      <w:r w:rsidRPr="007122AB">
        <w:rPr>
          <w:rFonts w:ascii="Times New Roman" w:hAnsi="Times New Roman"/>
          <w:color w:val="000000" w:themeColor="text1"/>
          <w:sz w:val="16"/>
          <w:szCs w:val="16"/>
          <w:lang w:eastAsia="ru-RU" w:bidi="ru-RU"/>
        </w:rPr>
        <w:softHyphen/>
        <w:t>молетов ВВС и унификацию военных и гражданских моторов и самолетов».</w:t>
      </w:r>
    </w:p>
    <w:p w14:paraId="1409AD4B" w14:textId="77777777" w:rsidR="00AC6695" w:rsidRPr="007122AB" w:rsidRDefault="00AC6695"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Одновременно по инициативе ВАО была принята сокращенная программа производства боевых самолетов в 1931 г., согласно которой к концу года советский авиапром, помимо других машин, должен выпустить 10 бронированных штурмови</w:t>
      </w:r>
      <w:r w:rsidRPr="007122AB">
        <w:rPr>
          <w:rFonts w:ascii="Times New Roman" w:hAnsi="Times New Roman"/>
          <w:color w:val="000000" w:themeColor="text1"/>
          <w:sz w:val="16"/>
          <w:szCs w:val="16"/>
          <w:lang w:eastAsia="ru-RU" w:bidi="ru-RU"/>
        </w:rPr>
        <w:softHyphen/>
        <w:t>ков ТШ-2 М-17 войсковой серии (21062).</w:t>
      </w:r>
    </w:p>
    <w:p w14:paraId="5249C214" w14:textId="77777777" w:rsidR="00AC6695" w:rsidRPr="007122AB" w:rsidRDefault="00AC6695" w:rsidP="007122AB">
      <w:pPr>
        <w:spacing w:after="0" w:line="240" w:lineRule="auto"/>
        <w:jc w:val="both"/>
        <w:rPr>
          <w:rFonts w:ascii="Times New Roman" w:hAnsi="Times New Roman"/>
          <w:color w:val="000000" w:themeColor="text1"/>
          <w:sz w:val="16"/>
          <w:szCs w:val="16"/>
        </w:rPr>
      </w:pPr>
    </w:p>
    <w:p w14:paraId="75612046"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июля 1931 г. №158сс в постановлении СТО СССР «По ави</w:t>
      </w:r>
      <w:r w:rsidRPr="00441F34">
        <w:rPr>
          <w:rFonts w:ascii="Times New Roman" w:hAnsi="Times New Roman"/>
          <w:color w:val="0070C0"/>
          <w:sz w:val="16"/>
          <w:szCs w:val="16"/>
        </w:rPr>
        <w:softHyphen/>
        <w:t>апромышленности», в частности констатирова</w:t>
      </w:r>
      <w:r w:rsidRPr="00441F34">
        <w:rPr>
          <w:rFonts w:ascii="Times New Roman" w:hAnsi="Times New Roman"/>
          <w:color w:val="0070C0"/>
          <w:sz w:val="16"/>
          <w:szCs w:val="16"/>
        </w:rPr>
        <w:softHyphen/>
        <w:t>лось, «что постановления Правительства от 5.III.30 г., 9.IX.30 г. и от 11.I.31 г. в от</w:t>
      </w:r>
      <w:r w:rsidRPr="00441F34">
        <w:rPr>
          <w:rFonts w:ascii="Times New Roman" w:hAnsi="Times New Roman"/>
          <w:color w:val="0070C0"/>
          <w:sz w:val="16"/>
          <w:szCs w:val="16"/>
        </w:rPr>
        <w:softHyphen/>
        <w:t>ношении развития авиапромышленности проводятся в жизнь явно неудовлетвори</w:t>
      </w:r>
      <w:r w:rsidRPr="00441F34">
        <w:rPr>
          <w:rFonts w:ascii="Times New Roman" w:hAnsi="Times New Roman"/>
          <w:color w:val="0070C0"/>
          <w:sz w:val="16"/>
          <w:szCs w:val="16"/>
        </w:rPr>
        <w:softHyphen/>
        <w:t>тельно. В особом квартале 1930 г. и пер</w:t>
      </w:r>
      <w:r w:rsidRPr="00441F34">
        <w:rPr>
          <w:rFonts w:ascii="Times New Roman" w:hAnsi="Times New Roman"/>
          <w:color w:val="0070C0"/>
          <w:sz w:val="16"/>
          <w:szCs w:val="16"/>
        </w:rPr>
        <w:softHyphen/>
        <w:t>вом полугодии 1931 г. планы как по стро</w:t>
      </w:r>
      <w:r w:rsidRPr="00441F34">
        <w:rPr>
          <w:rFonts w:ascii="Times New Roman" w:hAnsi="Times New Roman"/>
          <w:color w:val="0070C0"/>
          <w:sz w:val="16"/>
          <w:szCs w:val="16"/>
        </w:rPr>
        <w:softHyphen/>
        <w:t>ительству, так и по производству фак</w:t>
      </w:r>
      <w:r w:rsidRPr="00441F34">
        <w:rPr>
          <w:rFonts w:ascii="Times New Roman" w:hAnsi="Times New Roman"/>
          <w:color w:val="0070C0"/>
          <w:sz w:val="16"/>
          <w:szCs w:val="16"/>
        </w:rPr>
        <w:softHyphen/>
        <w:t>тически сорваны. Реконструкция старых, планирование и развёртывание новых за</w:t>
      </w:r>
      <w:r w:rsidRPr="00441F34">
        <w:rPr>
          <w:rFonts w:ascii="Times New Roman" w:hAnsi="Times New Roman"/>
          <w:color w:val="0070C0"/>
          <w:sz w:val="16"/>
          <w:szCs w:val="16"/>
        </w:rPr>
        <w:softHyphen/>
        <w:t>водов находятся в совершенно неудовлет</w:t>
      </w:r>
      <w:r w:rsidRPr="00441F34">
        <w:rPr>
          <w:rFonts w:ascii="Times New Roman" w:hAnsi="Times New Roman"/>
          <w:color w:val="0070C0"/>
          <w:sz w:val="16"/>
          <w:szCs w:val="16"/>
        </w:rPr>
        <w:softHyphen/>
        <w:t>ворительном состоянии.</w:t>
      </w:r>
    </w:p>
    <w:p w14:paraId="2A200BE0"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Констатировать, что авиационная промышленность, переданная в целях её улучшения в июле 1930 г. в ведение НКВМ (Народный комиссариат по военным и морским делам СССР), где и нахо</w:t>
      </w:r>
      <w:r w:rsidRPr="00441F34">
        <w:rPr>
          <w:rFonts w:ascii="Times New Roman" w:hAnsi="Times New Roman"/>
          <w:color w:val="0070C0"/>
          <w:sz w:val="16"/>
          <w:szCs w:val="16"/>
        </w:rPr>
        <w:softHyphen/>
        <w:t>дилась по март 1931 г, на самом деле ни</w:t>
      </w:r>
      <w:r w:rsidRPr="00441F34">
        <w:rPr>
          <w:rFonts w:ascii="Times New Roman" w:hAnsi="Times New Roman"/>
          <w:color w:val="0070C0"/>
          <w:sz w:val="16"/>
          <w:szCs w:val="16"/>
        </w:rPr>
        <w:softHyphen/>
        <w:t>какого улучшения не достигла, а наобо</w:t>
      </w:r>
      <w:r w:rsidRPr="00441F34">
        <w:rPr>
          <w:rFonts w:ascii="Times New Roman" w:hAnsi="Times New Roman"/>
          <w:color w:val="0070C0"/>
          <w:sz w:val="16"/>
          <w:szCs w:val="16"/>
        </w:rPr>
        <w:softHyphen/>
        <w:t xml:space="preserve">рот, пошла вниз, ввиду чего создалась не </w:t>
      </w:r>
      <w:proofErr w:type="spellStart"/>
      <w:r w:rsidRPr="00441F34">
        <w:rPr>
          <w:rFonts w:ascii="Times New Roman" w:hAnsi="Times New Roman"/>
          <w:color w:val="0070C0"/>
          <w:sz w:val="16"/>
          <w:szCs w:val="16"/>
        </w:rPr>
        <w:t>обходимость</w:t>
      </w:r>
      <w:proofErr w:type="spellEnd"/>
      <w:r w:rsidRPr="00441F34">
        <w:rPr>
          <w:rFonts w:ascii="Times New Roman" w:hAnsi="Times New Roman"/>
          <w:color w:val="0070C0"/>
          <w:sz w:val="16"/>
          <w:szCs w:val="16"/>
        </w:rPr>
        <w:t xml:space="preserve"> обратной её передачи в ве</w:t>
      </w:r>
      <w:r w:rsidRPr="00441F34">
        <w:rPr>
          <w:rFonts w:ascii="Times New Roman" w:hAnsi="Times New Roman"/>
          <w:color w:val="0070C0"/>
          <w:sz w:val="16"/>
          <w:szCs w:val="16"/>
        </w:rPr>
        <w:softHyphen/>
        <w:t>дение ВСНХ (Высший совет народного хозяйства - Авт.)».</w:t>
      </w:r>
    </w:p>
    <w:p w14:paraId="2A746053"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Ввиду этого, в части опытного стро</w:t>
      </w:r>
      <w:r w:rsidRPr="00441F34">
        <w:rPr>
          <w:rFonts w:ascii="Times New Roman" w:hAnsi="Times New Roman"/>
          <w:color w:val="0070C0"/>
          <w:sz w:val="16"/>
          <w:szCs w:val="16"/>
        </w:rPr>
        <w:softHyphen/>
        <w:t>ительства СТО постановил «организо</w:t>
      </w:r>
      <w:r w:rsidRPr="00441F34">
        <w:rPr>
          <w:rFonts w:ascii="Times New Roman" w:hAnsi="Times New Roman"/>
          <w:color w:val="0070C0"/>
          <w:sz w:val="16"/>
          <w:szCs w:val="16"/>
        </w:rPr>
        <w:softHyphen/>
        <w:t>вать работу опытных организаций на ос</w:t>
      </w:r>
      <w:r w:rsidRPr="00441F34">
        <w:rPr>
          <w:rFonts w:ascii="Times New Roman" w:hAnsi="Times New Roman"/>
          <w:color w:val="0070C0"/>
          <w:sz w:val="16"/>
          <w:szCs w:val="16"/>
        </w:rPr>
        <w:softHyphen/>
        <w:t>нове концентрации научных и конструк</w:t>
      </w:r>
      <w:r w:rsidRPr="00441F34">
        <w:rPr>
          <w:rFonts w:ascii="Times New Roman" w:hAnsi="Times New Roman"/>
          <w:color w:val="0070C0"/>
          <w:sz w:val="16"/>
          <w:szCs w:val="16"/>
        </w:rPr>
        <w:softHyphen/>
        <w:t>торских сил, привлечения и использования иностранной технической помощи, тща</w:t>
      </w:r>
      <w:r w:rsidRPr="00441F34">
        <w:rPr>
          <w:rFonts w:ascii="Times New Roman" w:hAnsi="Times New Roman"/>
          <w:color w:val="0070C0"/>
          <w:sz w:val="16"/>
          <w:szCs w:val="16"/>
        </w:rPr>
        <w:softHyphen/>
        <w:t>тельного изучения лучших образцов само</w:t>
      </w:r>
      <w:r w:rsidRPr="00441F34">
        <w:rPr>
          <w:rFonts w:ascii="Times New Roman" w:hAnsi="Times New Roman"/>
          <w:color w:val="0070C0"/>
          <w:sz w:val="16"/>
          <w:szCs w:val="16"/>
        </w:rPr>
        <w:softHyphen/>
        <w:t>лётов и моторов с тем, чтобы проблема «догнать и перегнать» была разрешена в течение ближайших 2-3 лет и созданы образцы самолётов и моторов, предметов вооружения и снаряжения (пулемёты, пуш</w:t>
      </w:r>
      <w:r w:rsidRPr="00441F34">
        <w:rPr>
          <w:rFonts w:ascii="Times New Roman" w:hAnsi="Times New Roman"/>
          <w:color w:val="0070C0"/>
          <w:sz w:val="16"/>
          <w:szCs w:val="16"/>
        </w:rPr>
        <w:softHyphen/>
        <w:t>ки, прицелы, фото, радио), превосходящие лучшие образцы иностранной техники...» (24309).</w:t>
      </w:r>
    </w:p>
    <w:p w14:paraId="4DA022B9" w14:textId="77777777" w:rsidR="00535A7C" w:rsidRPr="00441F34" w:rsidRDefault="00535A7C" w:rsidP="00535A7C">
      <w:pPr>
        <w:spacing w:after="0" w:line="240" w:lineRule="auto"/>
        <w:jc w:val="both"/>
        <w:rPr>
          <w:rFonts w:ascii="Times New Roman" w:hAnsi="Times New Roman"/>
          <w:color w:val="0070C0"/>
          <w:sz w:val="16"/>
          <w:szCs w:val="16"/>
        </w:rPr>
      </w:pPr>
    </w:p>
    <w:p w14:paraId="513A8CE1" w14:textId="77777777" w:rsidR="00875C4A" w:rsidRPr="007122AB" w:rsidRDefault="00875C4A"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 вышло Постановление СТО:</w:t>
      </w:r>
    </w:p>
    <w:p w14:paraId="4E3B7B24" w14:textId="77777777" w:rsidR="00875C4A" w:rsidRPr="007122AB" w:rsidRDefault="00875C4A"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 "б". Приобрести у английской фирмы </w:t>
      </w:r>
      <w:proofErr w:type="spellStart"/>
      <w:r w:rsidRPr="007122AB">
        <w:rPr>
          <w:rFonts w:ascii="Times New Roman" w:hAnsi="Times New Roman"/>
          <w:color w:val="000000" w:themeColor="text1"/>
          <w:sz w:val="16"/>
          <w:szCs w:val="16"/>
        </w:rPr>
        <w:t>Хейндлей</w:t>
      </w:r>
      <w:proofErr w:type="spellEnd"/>
      <w:r w:rsidRPr="007122AB">
        <w:rPr>
          <w:rFonts w:ascii="Times New Roman" w:hAnsi="Times New Roman"/>
          <w:color w:val="000000" w:themeColor="text1"/>
          <w:sz w:val="16"/>
          <w:szCs w:val="16"/>
        </w:rPr>
        <w:t xml:space="preserve"> Пейдж лицензию на разрезные крылья (3082).</w:t>
      </w:r>
    </w:p>
    <w:p w14:paraId="5AEFE107" w14:textId="77777777" w:rsidR="00875C4A" w:rsidRPr="007122AB" w:rsidRDefault="00875C4A" w:rsidP="007122AB">
      <w:pPr>
        <w:autoSpaceDE w:val="0"/>
        <w:autoSpaceDN w:val="0"/>
        <w:adjustRightInd w:val="0"/>
        <w:spacing w:after="0" w:line="240" w:lineRule="auto"/>
        <w:jc w:val="both"/>
        <w:rPr>
          <w:rFonts w:ascii="Times New Roman" w:hAnsi="Times New Roman"/>
          <w:color w:val="000000" w:themeColor="text1"/>
          <w:sz w:val="16"/>
          <w:szCs w:val="16"/>
        </w:rPr>
      </w:pPr>
    </w:p>
    <w:p w14:paraId="3F98B84A"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158сс по авиапромышленности (ГА РФ. Ф. Р?8418. Оп. 28. Д. 1а. Л. 39?52) (12415).</w:t>
      </w:r>
    </w:p>
    <w:p w14:paraId="60E2B431"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p>
    <w:p w14:paraId="7427965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 — Постановление № 158/сс СТО СССР «По авиапромышленности»</w:t>
      </w:r>
    </w:p>
    <w:p w14:paraId="2DBE6516"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7C38D7B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 что постановления правительства от 5 марта 1930 г., 5 сентября 1930 г. и от 11 января 1931 г. в отношении развития авиапромышленности проводятся в жизнь явно неудовлетворительно. В особом квартале 1930 г. и первом полугодии 1931 г. планы как по строительству, так и по производству фактически сорваны. Реконструкция старых, планирование и развертывание новых заводов находятся в совершенно неудовлетворительном состоянии.</w:t>
      </w:r>
    </w:p>
    <w:p w14:paraId="2BB8F98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 что авиационная промышленность, переданная в целях ее улучшения в июле 1930 г. в ведение НКВМ, где и находилась по март 1931 г., на самом деле никакого улучшения не достигла, а наоборот, пошла вниз, ввиду чего создалась необходимость обратной ее передачи в ведение ВСНХ.</w:t>
      </w:r>
    </w:p>
    <w:p w14:paraId="724871F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развитие указанных постановлений правительства Совет труда и обороны постановляет:</w:t>
      </w:r>
    </w:p>
    <w:p w14:paraId="604857E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По опытному строительству</w:t>
      </w:r>
    </w:p>
    <w:p w14:paraId="526251F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Предложить президиуму ВСНХ СССР и РВС уделить особое внимание опытному авиастроительству и обеспечить все необходимые условия для развертывания опытных организаций до размеров, вполне обеспечивающих принятые темпы и масштаб развития авиации.</w:t>
      </w:r>
    </w:p>
    <w:p w14:paraId="20EEC739"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Организовать работу опытных организаций на основе концентрации научных и конструкторских сил, привлечения и использования иностранной технической помощи, тщательного изучения лучших образцов самолетов и моторов с тем, чтобы проблема «догнать и перегнать» была разрешена в течение ближайших 2</w:t>
      </w:r>
      <w:r w:rsidRPr="007122AB">
        <w:rPr>
          <w:rFonts w:ascii="Times New Roman" w:hAnsi="Times New Roman"/>
          <w:color w:val="000000" w:themeColor="text1"/>
          <w:sz w:val="16"/>
          <w:szCs w:val="16"/>
        </w:rPr>
        <w:noBreakHyphen/>
        <w:t>3 лет и созданы образцы самолетов и моторов, предметов вооружения и снаряжения (пулеметы, пушки, прицелы, фото, радио), превосходящие лучшие образцы иностранной техники.</w:t>
      </w:r>
    </w:p>
    <w:p w14:paraId="035D976C"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Вменить в обязанность опытных организаций детальную и тщательную разработку всех технологических вопросов внедрения и пуска опытных образцов в серию, рационализации серийного производства. Институты должны явиться ведущим началом в деле технической реконструкции авиационной промышленности.</w:t>
      </w:r>
    </w:p>
    <w:p w14:paraId="3886C92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области организации производства предложить ВАО поставить себе главной задачей переход в кратчайший срок на механизированное производство, применение штамповки, сварки и прочих способов массового изготовления деталей и их сборки.</w:t>
      </w:r>
    </w:p>
    <w:p w14:paraId="25E08D0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Обязать ВАО, решительно пресекая попытки отдельных товарищей превратить опытное производство в самоцель, взять основную установку на скорейшее внедрение в серийное производство построенных и испытанных образцов самолетов и моторов как первоочередную свою задачу (в сроки не более как 6</w:t>
      </w:r>
      <w:r w:rsidRPr="007122AB">
        <w:rPr>
          <w:rFonts w:ascii="Times New Roman" w:hAnsi="Times New Roman"/>
          <w:color w:val="000000" w:themeColor="text1"/>
          <w:sz w:val="16"/>
          <w:szCs w:val="16"/>
        </w:rPr>
        <w:noBreakHyphen/>
        <w:t>8 месяцев).</w:t>
      </w:r>
    </w:p>
    <w:p w14:paraId="328E280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Обязать ЦАГИ и ИАМ¹* сосредоточить внимание на разработке вопросов технологии применяемых материалов в авиастроении, для чего создать при них мощные технологические отделы.</w:t>
      </w:r>
    </w:p>
    <w:p w14:paraId="12A30F2E"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Предложить ВАО проектировать и производить тяжелые и сверхтяжелые самолеты из металла с возможно большим применением стали и уменьшением алюминия, а самолетов легкого типа — по преимуществу смешанной конструкции (сталь, дерево, полотно).</w:t>
      </w:r>
    </w:p>
    <w:p w14:paraId="148A21BE"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Предложить ВАО форсировать работу по созданию дизель-моторов тяжелого топлива, с широким привлечением иностранной технической помощи и изучением заграничных образцов.</w:t>
      </w:r>
    </w:p>
    <w:p w14:paraId="123D3B2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ВАО построить к 1 ноября по имеющимся чертежам 5 дизель-моторов тяжелого топлива мощностью 230 НР. Наряду с этим особое внимание уделить разрешению проблемы об остановке мотора на расстоянии.</w:t>
      </w:r>
    </w:p>
    <w:p w14:paraId="521446A6"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Обязать начальника ВАО форсировать постройку опытных образцов маломощных самолетов и моторов и уже в 1932 г. поставить массовое производство на существующих заводах.</w:t>
      </w:r>
    </w:p>
    <w:p w14:paraId="6EE7409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Обязать ИАМ широко развернуть практические опытные работы по электронному литью картеров и других агрегатов моторов и изготовить не позже 1 октября 1931 г. два опытных электронных картера М</w:t>
      </w:r>
      <w:r w:rsidRPr="007122AB">
        <w:rPr>
          <w:rFonts w:ascii="Times New Roman" w:hAnsi="Times New Roman"/>
          <w:color w:val="000000" w:themeColor="text1"/>
          <w:sz w:val="16"/>
          <w:szCs w:val="16"/>
        </w:rPr>
        <w:noBreakHyphen/>
        <w:t xml:space="preserve">34, используя в полной мере опыт германской фирмы «БМВ» и опыт итальянской фирмы «Изота </w:t>
      </w:r>
      <w:proofErr w:type="spellStart"/>
      <w:r w:rsidRPr="007122AB">
        <w:rPr>
          <w:rFonts w:ascii="Times New Roman" w:hAnsi="Times New Roman"/>
          <w:color w:val="000000" w:themeColor="text1"/>
          <w:sz w:val="16"/>
          <w:szCs w:val="16"/>
        </w:rPr>
        <w:t>Фраскини</w:t>
      </w:r>
      <w:proofErr w:type="spellEnd"/>
      <w:r w:rsidRPr="007122AB">
        <w:rPr>
          <w:rFonts w:ascii="Times New Roman" w:hAnsi="Times New Roman"/>
          <w:color w:val="000000" w:themeColor="text1"/>
          <w:sz w:val="16"/>
          <w:szCs w:val="16"/>
        </w:rPr>
        <w:t>».</w:t>
      </w:r>
    </w:p>
    <w:p w14:paraId="38A4FAF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Обязать ВСНХ СССР в лице трестов «</w:t>
      </w:r>
      <w:proofErr w:type="spellStart"/>
      <w:r w:rsidRPr="007122AB">
        <w:rPr>
          <w:rFonts w:ascii="Times New Roman" w:hAnsi="Times New Roman"/>
          <w:color w:val="000000" w:themeColor="text1"/>
          <w:sz w:val="16"/>
          <w:szCs w:val="16"/>
        </w:rPr>
        <w:t>Теплобетон</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Госсантехстрой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Москомгаза</w:t>
      </w:r>
      <w:proofErr w:type="spellEnd"/>
      <w:r w:rsidRPr="007122AB">
        <w:rPr>
          <w:rFonts w:ascii="Times New Roman" w:hAnsi="Times New Roman"/>
          <w:color w:val="000000" w:themeColor="text1"/>
          <w:sz w:val="16"/>
          <w:szCs w:val="16"/>
        </w:rPr>
        <w:t>, ВЭО и др., под ответственность председателей этих трестов и объединений, полностью закончить капитальное строительство и оборудование опытных организаций в обусловленные сроки.</w:t>
      </w:r>
    </w:p>
    <w:p w14:paraId="2C3C3B48"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Обязать НКВТ доставить в Союз заказанное для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оборудование по заявкам 1929/30 г. и особого квартала не позднее 1 октября 1931 г.</w:t>
      </w:r>
    </w:p>
    <w:p w14:paraId="1DBB0E6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Обязать ВСНХ СССР обеспечить полностью заказы научно-исследовательских институтов на оборудование лабораторий и завода ИАМ транспортными устройствами, кранами, компрессорными установками и прочими советского производства не позднее 1 ноября 1931 г.</w:t>
      </w:r>
    </w:p>
    <w:p w14:paraId="2C253A3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Обязать начальника ВАО, </w:t>
      </w:r>
      <w:proofErr w:type="spellStart"/>
      <w:r w:rsidRPr="007122AB">
        <w:rPr>
          <w:rFonts w:ascii="Times New Roman" w:hAnsi="Times New Roman"/>
          <w:color w:val="000000" w:themeColor="text1"/>
          <w:sz w:val="16"/>
          <w:szCs w:val="16"/>
        </w:rPr>
        <w:t>Союзстанкоинструмент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Оргметалл</w:t>
      </w:r>
      <w:proofErr w:type="spellEnd"/>
      <w:r w:rsidRPr="007122AB">
        <w:rPr>
          <w:rFonts w:ascii="Times New Roman" w:hAnsi="Times New Roman"/>
          <w:color w:val="000000" w:themeColor="text1"/>
          <w:sz w:val="16"/>
          <w:szCs w:val="16"/>
        </w:rPr>
        <w:t xml:space="preserve"> и объединения ВСНХ СССР, под ответственность председателей этих объединений, удовлетворять заявки на инструмент, материалы и предметы оборудования для срочных экспериментальных работ опытных строительств ВАО, УВВС, ВОГВФ вне всякой очереди, а заводы Ижевский, Мотовилихинский и «Электросталь» поставлять поковки для опытных моторов в сроки, не превышающие двух месяцев с момента получения ими чертежей.</w:t>
      </w:r>
    </w:p>
    <w:p w14:paraId="2B367EC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Отпустить для ВСНХ дополнительный контингент в 250 тыс. руб. на приобретение специальных станков и лабораторного оборудования для создания мощного технологического отдела при ИАМ. Обязать ВСНХ СССР и НКВТ закупить и доставить оборудование на эту сумму в Союз не позднее 1 декабря 1931 г.</w:t>
      </w:r>
    </w:p>
    <w:p w14:paraId="64A9B636"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Открыть ВСНХ для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дополнительный свободный контингент на 50 тыс. руб. для срочных закупок за границей отдельных материалов, аппаратуры, агрегатов для опытных лабораторий и опытного моторостроения.</w:t>
      </w:r>
    </w:p>
    <w:p w14:paraId="5DC0185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Обязать ВСНХ СССР и НКВТ немедленно приступить к переговорам о закупке за границей трех опытных наиболее совершенных и мощных образцов бензиновых и 4 образцов нефтяных двигателей для изучения их конструкций в </w:t>
      </w:r>
      <w:proofErr w:type="spellStart"/>
      <w:r w:rsidRPr="007122AB">
        <w:rPr>
          <w:rFonts w:ascii="Times New Roman" w:hAnsi="Times New Roman"/>
          <w:color w:val="000000" w:themeColor="text1"/>
          <w:sz w:val="16"/>
          <w:szCs w:val="16"/>
        </w:rPr>
        <w:t>ИАМе</w:t>
      </w:r>
      <w:proofErr w:type="spellEnd"/>
      <w:r w:rsidRPr="007122AB">
        <w:rPr>
          <w:rFonts w:ascii="Times New Roman" w:hAnsi="Times New Roman"/>
          <w:color w:val="000000" w:themeColor="text1"/>
          <w:sz w:val="16"/>
          <w:szCs w:val="16"/>
        </w:rPr>
        <w:t xml:space="preserve"> и в полуторамесячный срок доложить СТО о требующемся дополнительно отпуске валюты. Пригласить к 1 октября 1931 г. 2 конструкторские группы, каждую по 5 чел., и, кроме того, 10 инженеров, мастеров и техников для опытного завода ИАМ.</w:t>
      </w:r>
    </w:p>
    <w:p w14:paraId="2D73DDC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Обязать начальника ВАО не позднее 1 августа 1931 г. командировать от ИАМ в Италию на завод «Изота </w:t>
      </w:r>
      <w:proofErr w:type="spellStart"/>
      <w:r w:rsidRPr="007122AB">
        <w:rPr>
          <w:rFonts w:ascii="Times New Roman" w:hAnsi="Times New Roman"/>
          <w:color w:val="000000" w:themeColor="text1"/>
          <w:sz w:val="16"/>
          <w:szCs w:val="16"/>
        </w:rPr>
        <w:t>Фраскини</w:t>
      </w:r>
      <w:proofErr w:type="spellEnd"/>
      <w:r w:rsidRPr="007122AB">
        <w:rPr>
          <w:rFonts w:ascii="Times New Roman" w:hAnsi="Times New Roman"/>
          <w:color w:val="000000" w:themeColor="text1"/>
          <w:sz w:val="16"/>
          <w:szCs w:val="16"/>
        </w:rPr>
        <w:t>» инженеров (в том числе одного по электронному литью) на все время приемки заказанных нами моторов «АССО» для детального изучения опыта этой фирмы, особенно по электронному литью, и сверх того, в августе и сентябре еще 8 инженеров и 4 мастера на заводы Европы и Америки для выполнения целевых заданий, связанных с планом опытного строительства авиамоторов.</w:t>
      </w:r>
    </w:p>
    <w:p w14:paraId="511049B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Обязать НКВМ, ВОГВФ и ВАО в месячный срок разработать и представить на утверждение Совета труда и обороны план опытного строительства самолетов и моторов, имея в виду внедрение строгой специализации моторов по заводам, причем типы моторов должны быть общие для ВВС и гражданской авиации.</w:t>
      </w:r>
    </w:p>
    <w:p w14:paraId="78E9390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По иностранной технической помощи</w:t>
      </w:r>
    </w:p>
    <w:p w14:paraId="263D1D2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обеспечения выполнения намеченного плана авиационного строительства и освобождения от заграничной зависимости по </w:t>
      </w:r>
      <w:proofErr w:type="spellStart"/>
      <w:r w:rsidRPr="007122AB">
        <w:rPr>
          <w:rFonts w:ascii="Times New Roman" w:hAnsi="Times New Roman"/>
          <w:color w:val="000000" w:themeColor="text1"/>
          <w:sz w:val="16"/>
          <w:szCs w:val="16"/>
        </w:rPr>
        <w:t>техснабжению</w:t>
      </w:r>
      <w:proofErr w:type="spellEnd"/>
      <w:r w:rsidRPr="007122AB">
        <w:rPr>
          <w:rFonts w:ascii="Times New Roman" w:hAnsi="Times New Roman"/>
          <w:color w:val="000000" w:themeColor="text1"/>
          <w:sz w:val="16"/>
          <w:szCs w:val="16"/>
        </w:rPr>
        <w:t xml:space="preserve"> начиная с 1933 г. (исключая алюминий) считать необходимым привлечение иностранной технической помощи, для чего обязать ВАО заключить договоры с иностранными американскими и европейскими фирмами на нижеследующие объекты с внесением на утверждение правительства.</w:t>
      </w:r>
    </w:p>
    <w:p w14:paraId="11934A5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 инструментальному хозяйству</w:t>
      </w:r>
    </w:p>
    <w:p w14:paraId="5A97ACC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техническую помощь на постановку производства всех видов инструмента для всей авиационной промышленности с соответствующими иностранными фирмами (Германия, Италия, Англия).</w:t>
      </w:r>
    </w:p>
    <w:p w14:paraId="07CCC2A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 разрезным крыльям</w:t>
      </w:r>
    </w:p>
    <w:p w14:paraId="5553A75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Приобрести у английской фирмы «X. Пейдж» </w:t>
      </w:r>
      <w:proofErr w:type="spellStart"/>
      <w:r w:rsidRPr="007122AB">
        <w:rPr>
          <w:rFonts w:ascii="Times New Roman" w:hAnsi="Times New Roman"/>
          <w:color w:val="000000" w:themeColor="text1"/>
          <w:sz w:val="16"/>
          <w:szCs w:val="16"/>
        </w:rPr>
        <w:t>лиценз</w:t>
      </w:r>
      <w:proofErr w:type="spellEnd"/>
      <w:r w:rsidRPr="007122AB">
        <w:rPr>
          <w:rFonts w:ascii="Times New Roman" w:hAnsi="Times New Roman"/>
          <w:color w:val="000000" w:themeColor="text1"/>
          <w:sz w:val="16"/>
          <w:szCs w:val="16"/>
        </w:rPr>
        <w:t xml:space="preserve"> на разрезные крылья.</w:t>
      </w:r>
    </w:p>
    <w:p w14:paraId="0548141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 хромомолибденовым трубам</w:t>
      </w:r>
    </w:p>
    <w:p w14:paraId="3938965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оказание технической помощи по постановке производства хромомолибденовых труб с одной из иностранных фирм (Англия, Швеция).</w:t>
      </w:r>
    </w:p>
    <w:p w14:paraId="4AED7B5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 поршневым кольцам</w:t>
      </w:r>
    </w:p>
    <w:p w14:paraId="13A0FD9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оказание технической помощи на постановку производства поршневых колец для авиационных моторов с одной из иностранных фирм (Италия, Германия, Америка и др.).</w:t>
      </w:r>
    </w:p>
    <w:p w14:paraId="222C520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 алюминиевому литейно-коночному производству</w:t>
      </w:r>
    </w:p>
    <w:p w14:paraId="1954CDA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«Американская алюминиевая компания» на оказание технической помощи по литью, ковке, штамповке и термообработке цветных легких и ультра-легких сплавов, а также по литью импеллеров, ковке и штамповке металлических винтов. При заключении договора предусмотреть оказание технической помощи как по проектированию, постройке и подбору оборудования литейного завода, так и по разработке технологических процессов, подбору формовочных земель, спецификации материалов и т. д.</w:t>
      </w:r>
    </w:p>
    <w:p w14:paraId="6561A4EE"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Если соглашение с «Американской алюминиевой компанией» не состоится, договор заключить с фирмой «Кертис Райт» или с фирмой «Бон </w:t>
      </w:r>
      <w:proofErr w:type="spellStart"/>
      <w:r w:rsidRPr="007122AB">
        <w:rPr>
          <w:rFonts w:ascii="Times New Roman" w:hAnsi="Times New Roman"/>
          <w:color w:val="000000" w:themeColor="text1"/>
          <w:sz w:val="16"/>
          <w:szCs w:val="16"/>
        </w:rPr>
        <w:t>Алюминиум</w:t>
      </w:r>
      <w:proofErr w:type="spellEnd"/>
      <w:r w:rsidRPr="007122AB">
        <w:rPr>
          <w:rFonts w:ascii="Times New Roman" w:hAnsi="Times New Roman"/>
          <w:color w:val="000000" w:themeColor="text1"/>
          <w:sz w:val="16"/>
          <w:szCs w:val="16"/>
        </w:rPr>
        <w:t xml:space="preserve"> Компани» или с одной из европейских фирм (Италия, Германия).</w:t>
      </w:r>
    </w:p>
    <w:p w14:paraId="6E01199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По изготовлению специальных изделий и деталей</w:t>
      </w:r>
    </w:p>
    <w:p w14:paraId="3B3EF17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w:t>
      </w:r>
      <w:proofErr w:type="spellStart"/>
      <w:r w:rsidRPr="007122AB">
        <w:rPr>
          <w:rFonts w:ascii="Times New Roman" w:hAnsi="Times New Roman"/>
          <w:color w:val="000000" w:themeColor="text1"/>
          <w:sz w:val="16"/>
          <w:szCs w:val="16"/>
        </w:rPr>
        <w:t>Веидикс</w:t>
      </w:r>
      <w:proofErr w:type="spellEnd"/>
      <w:r w:rsidRPr="007122AB">
        <w:rPr>
          <w:rFonts w:ascii="Times New Roman" w:hAnsi="Times New Roman"/>
          <w:color w:val="000000" w:themeColor="text1"/>
          <w:sz w:val="16"/>
          <w:szCs w:val="16"/>
        </w:rPr>
        <w:t>» на постановку производства карбюраторов типа «</w:t>
      </w:r>
      <w:proofErr w:type="spellStart"/>
      <w:r w:rsidRPr="007122AB">
        <w:rPr>
          <w:rFonts w:ascii="Times New Roman" w:hAnsi="Times New Roman"/>
          <w:color w:val="000000" w:themeColor="text1"/>
          <w:sz w:val="16"/>
          <w:szCs w:val="16"/>
        </w:rPr>
        <w:t>Стромберг</w:t>
      </w:r>
      <w:proofErr w:type="spellEnd"/>
      <w:r w:rsidRPr="007122AB">
        <w:rPr>
          <w:rFonts w:ascii="Times New Roman" w:hAnsi="Times New Roman"/>
          <w:color w:val="000000" w:themeColor="text1"/>
          <w:sz w:val="16"/>
          <w:szCs w:val="16"/>
        </w:rPr>
        <w:t xml:space="preserve">», самопусков «Эклипс», электромеханического и </w:t>
      </w:r>
      <w:proofErr w:type="spellStart"/>
      <w:r w:rsidRPr="007122AB">
        <w:rPr>
          <w:rFonts w:ascii="Times New Roman" w:hAnsi="Times New Roman"/>
          <w:color w:val="000000" w:themeColor="text1"/>
          <w:sz w:val="16"/>
          <w:szCs w:val="16"/>
        </w:rPr>
        <w:t>электроинерционного</w:t>
      </w:r>
      <w:proofErr w:type="spellEnd"/>
      <w:r w:rsidRPr="007122AB">
        <w:rPr>
          <w:rFonts w:ascii="Times New Roman" w:hAnsi="Times New Roman"/>
          <w:color w:val="000000" w:themeColor="text1"/>
          <w:sz w:val="16"/>
          <w:szCs w:val="16"/>
        </w:rPr>
        <w:t xml:space="preserve"> типа и тормозных колес.</w:t>
      </w:r>
    </w:p>
    <w:p w14:paraId="78C1828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На механическую обработку и изготовление винтов</w:t>
      </w:r>
    </w:p>
    <w:p w14:paraId="32BA106C"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 американской фирмой «Гамильтон» на техническую помощь на механическую обработку и изготовление винтов из поковок (стальные для втулок и дюралевые для лопастей).</w:t>
      </w:r>
    </w:p>
    <w:p w14:paraId="2714D7E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 производству клапанов</w:t>
      </w:r>
    </w:p>
    <w:p w14:paraId="65AA81A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«Томсон» на техническую помощь и постановку производства клапанов к авиационным моторам.</w:t>
      </w:r>
    </w:p>
    <w:p w14:paraId="593C658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По производству подшипников</w:t>
      </w:r>
    </w:p>
    <w:p w14:paraId="7D104DB9"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w:t>
      </w:r>
      <w:proofErr w:type="spellStart"/>
      <w:r w:rsidRPr="007122AB">
        <w:rPr>
          <w:rFonts w:ascii="Times New Roman" w:hAnsi="Times New Roman"/>
          <w:color w:val="000000" w:themeColor="text1"/>
          <w:sz w:val="16"/>
          <w:szCs w:val="16"/>
        </w:rPr>
        <w:t>Адлисон</w:t>
      </w:r>
      <w:proofErr w:type="spellEnd"/>
      <w:r w:rsidRPr="007122AB">
        <w:rPr>
          <w:rFonts w:ascii="Times New Roman" w:hAnsi="Times New Roman"/>
          <w:color w:val="000000" w:themeColor="text1"/>
          <w:sz w:val="16"/>
          <w:szCs w:val="16"/>
        </w:rPr>
        <w:t>» на техническую помощь и постановку производства подшипников²*.</w:t>
      </w:r>
    </w:p>
    <w:p w14:paraId="7582B64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По моторостроению</w:t>
      </w:r>
    </w:p>
    <w:p w14:paraId="3298B12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 американской фирмой «Кертис Райт» на оказание техпомощи по проектированию, постройке и оборудованию двух моторостроительных заводов, одного на 10 тыс. мощных моторов водяного охлаждения типа «Кертис </w:t>
      </w:r>
      <w:proofErr w:type="spellStart"/>
      <w:r w:rsidRPr="007122AB">
        <w:rPr>
          <w:rFonts w:ascii="Times New Roman" w:hAnsi="Times New Roman"/>
          <w:color w:val="000000" w:themeColor="text1"/>
          <w:sz w:val="16"/>
          <w:szCs w:val="16"/>
        </w:rPr>
        <w:t>Конкверрор</w:t>
      </w:r>
      <w:proofErr w:type="spellEnd"/>
      <w:r w:rsidRPr="007122AB">
        <w:rPr>
          <w:rFonts w:ascii="Times New Roman" w:hAnsi="Times New Roman"/>
          <w:color w:val="000000" w:themeColor="text1"/>
          <w:sz w:val="16"/>
          <w:szCs w:val="16"/>
        </w:rPr>
        <w:t>» и другого на 10 тыс. маломощных моторов воздушного охлаждения типа «Райт Ж</w:t>
      </w:r>
      <w:r w:rsidRPr="007122AB">
        <w:rPr>
          <w:rFonts w:ascii="Times New Roman" w:hAnsi="Times New Roman"/>
          <w:color w:val="000000" w:themeColor="text1"/>
          <w:sz w:val="16"/>
          <w:szCs w:val="16"/>
        </w:rPr>
        <w:noBreakHyphen/>
        <w:t>6» 166 л. с. и его модификации и 5 тыс. мощных моторов воздушного охлаждения типа «Райт-Циклон».</w:t>
      </w:r>
    </w:p>
    <w:p w14:paraId="26D1889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Приобрести </w:t>
      </w:r>
      <w:proofErr w:type="spellStart"/>
      <w:r w:rsidRPr="007122AB">
        <w:rPr>
          <w:rFonts w:ascii="Times New Roman" w:hAnsi="Times New Roman"/>
          <w:color w:val="000000" w:themeColor="text1"/>
          <w:sz w:val="16"/>
          <w:szCs w:val="16"/>
        </w:rPr>
        <w:t>лиценз</w:t>
      </w:r>
      <w:proofErr w:type="spellEnd"/>
      <w:r w:rsidRPr="007122AB">
        <w:rPr>
          <w:rFonts w:ascii="Times New Roman" w:hAnsi="Times New Roman"/>
          <w:color w:val="000000" w:themeColor="text1"/>
          <w:sz w:val="16"/>
          <w:szCs w:val="16"/>
        </w:rPr>
        <w:t xml:space="preserve"> на вышеуказанные моторы «Кертис </w:t>
      </w:r>
      <w:proofErr w:type="spellStart"/>
      <w:r w:rsidRPr="007122AB">
        <w:rPr>
          <w:rFonts w:ascii="Times New Roman" w:hAnsi="Times New Roman"/>
          <w:color w:val="000000" w:themeColor="text1"/>
          <w:sz w:val="16"/>
          <w:szCs w:val="16"/>
        </w:rPr>
        <w:t>Конкверрор</w:t>
      </w:r>
      <w:proofErr w:type="spellEnd"/>
      <w:r w:rsidRPr="007122AB">
        <w:rPr>
          <w:rFonts w:ascii="Times New Roman" w:hAnsi="Times New Roman"/>
          <w:color w:val="000000" w:themeColor="text1"/>
          <w:sz w:val="16"/>
          <w:szCs w:val="16"/>
        </w:rPr>
        <w:t>» и «Райт» во всех его типах.</w:t>
      </w:r>
    </w:p>
    <w:p w14:paraId="4F7153F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заключении договоров учесть необходимость обеспечить не только получение технической помощи на существующие образцы и методы изготовления, но также и по развитию образцов и методов. Вместе с тем при заключении договоров не связывать получение </w:t>
      </w:r>
      <w:proofErr w:type="spellStart"/>
      <w:r w:rsidRPr="007122AB">
        <w:rPr>
          <w:rFonts w:ascii="Times New Roman" w:hAnsi="Times New Roman"/>
          <w:color w:val="000000" w:themeColor="text1"/>
          <w:sz w:val="16"/>
          <w:szCs w:val="16"/>
        </w:rPr>
        <w:t>интехпомощи</w:t>
      </w:r>
      <w:proofErr w:type="spellEnd"/>
      <w:r w:rsidRPr="007122AB">
        <w:rPr>
          <w:rFonts w:ascii="Times New Roman" w:hAnsi="Times New Roman"/>
          <w:color w:val="000000" w:themeColor="text1"/>
          <w:sz w:val="16"/>
          <w:szCs w:val="16"/>
        </w:rPr>
        <w:t xml:space="preserve"> и приобретение </w:t>
      </w:r>
      <w:proofErr w:type="spellStart"/>
      <w:r w:rsidRPr="007122AB">
        <w:rPr>
          <w:rFonts w:ascii="Times New Roman" w:hAnsi="Times New Roman"/>
          <w:color w:val="000000" w:themeColor="text1"/>
          <w:sz w:val="16"/>
          <w:szCs w:val="16"/>
        </w:rPr>
        <w:t>лицензов</w:t>
      </w:r>
      <w:proofErr w:type="spellEnd"/>
      <w:r w:rsidRPr="007122AB">
        <w:rPr>
          <w:rFonts w:ascii="Times New Roman" w:hAnsi="Times New Roman"/>
          <w:color w:val="000000" w:themeColor="text1"/>
          <w:sz w:val="16"/>
          <w:szCs w:val="16"/>
        </w:rPr>
        <w:t xml:space="preserve"> с покупкой оборудования у данных форм, ориентируясь прежде всего на отечественное машиностроение.</w:t>
      </w:r>
    </w:p>
    <w:p w14:paraId="49AEAEB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Приобретение технической помощи необходимо связать с максимальным укреплением позиций собственного опытного строительства. В частности, необходимо добиться у фирм, с которыми будут заключать договоры, права использования опыта и знания в области научно-исследовательских лабораторий, изучения методики, закупки специальной аппаратуры и установок и привлечения работников этих лабораторий для руководства отдельными темами в наших лабораториях.</w:t>
      </w:r>
    </w:p>
    <w:p w14:paraId="4D70FAE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Считая необходимой максимальную экономию в расходовании валюты, поручить комиссии в составе т. </w:t>
      </w:r>
      <w:proofErr w:type="spellStart"/>
      <w:r w:rsidR="00000000">
        <w:fldChar w:fldCharType="begin"/>
      </w:r>
      <w:r w:rsidR="00000000">
        <w:instrText>HYPERLINK "http://www.hrono.ru/biograf/bio_p/pavlunovski_ip.php"</w:instrText>
      </w:r>
      <w:r w:rsidR="00000000">
        <w:fldChar w:fldCharType="separate"/>
      </w:r>
      <w:r w:rsidRPr="007122AB">
        <w:rPr>
          <w:rStyle w:val="a5"/>
          <w:rFonts w:ascii="Times New Roman" w:hAnsi="Times New Roman"/>
          <w:color w:val="000000" w:themeColor="text1"/>
          <w:sz w:val="16"/>
          <w:szCs w:val="16"/>
          <w:u w:val="none"/>
        </w:rPr>
        <w:t>Павлуновского</w:t>
      </w:r>
      <w:proofErr w:type="spellEnd"/>
      <w:r w:rsidR="00000000">
        <w:rPr>
          <w:rStyle w:val="a5"/>
          <w:rFonts w:ascii="Times New Roman" w:hAnsi="Times New Roman"/>
          <w:color w:val="000000" w:themeColor="text1"/>
          <w:sz w:val="16"/>
          <w:szCs w:val="16"/>
          <w:u w:val="none"/>
        </w:rPr>
        <w:fldChar w:fldCharType="end"/>
      </w:r>
      <w:r w:rsidRPr="007122AB">
        <w:rPr>
          <w:rFonts w:ascii="Times New Roman" w:hAnsi="Times New Roman"/>
          <w:color w:val="000000" w:themeColor="text1"/>
          <w:sz w:val="16"/>
          <w:szCs w:val="16"/>
        </w:rPr>
        <w:t xml:space="preserve">, </w:t>
      </w:r>
      <w:hyperlink r:id="rId145" w:history="1">
        <w:proofErr w:type="spellStart"/>
        <w:r w:rsidRPr="007122AB">
          <w:rPr>
            <w:rStyle w:val="a5"/>
            <w:rFonts w:ascii="Times New Roman" w:hAnsi="Times New Roman"/>
            <w:color w:val="000000" w:themeColor="text1"/>
            <w:sz w:val="16"/>
            <w:szCs w:val="16"/>
            <w:u w:val="none"/>
          </w:rPr>
          <w:t>Розенгольца</w:t>
        </w:r>
        <w:proofErr w:type="spellEnd"/>
      </w:hyperlink>
      <w:r w:rsidRPr="007122AB">
        <w:rPr>
          <w:rFonts w:ascii="Times New Roman" w:hAnsi="Times New Roman"/>
          <w:color w:val="000000" w:themeColor="text1"/>
          <w:sz w:val="16"/>
          <w:szCs w:val="16"/>
        </w:rPr>
        <w:t xml:space="preserve"> (с правом замены по его указанию), </w:t>
      </w:r>
      <w:hyperlink r:id="rId146" w:history="1">
        <w:r w:rsidRPr="007122AB">
          <w:rPr>
            <w:rStyle w:val="a5"/>
            <w:rFonts w:ascii="Times New Roman" w:hAnsi="Times New Roman"/>
            <w:color w:val="000000" w:themeColor="text1"/>
            <w:sz w:val="16"/>
            <w:szCs w:val="16"/>
            <w:u w:val="none"/>
          </w:rPr>
          <w:t>Баранова</w:t>
        </w:r>
      </w:hyperlink>
      <w:r w:rsidRPr="007122AB">
        <w:rPr>
          <w:rFonts w:ascii="Times New Roman" w:hAnsi="Times New Roman"/>
          <w:color w:val="000000" w:themeColor="text1"/>
          <w:sz w:val="16"/>
          <w:szCs w:val="16"/>
        </w:rPr>
        <w:t xml:space="preserve">, </w:t>
      </w:r>
      <w:hyperlink r:id="rId147" w:history="1">
        <w:r w:rsidRPr="007122AB">
          <w:rPr>
            <w:rStyle w:val="a5"/>
            <w:rFonts w:ascii="Times New Roman" w:hAnsi="Times New Roman"/>
            <w:color w:val="000000" w:themeColor="text1"/>
            <w:sz w:val="16"/>
            <w:szCs w:val="16"/>
            <w:u w:val="none"/>
          </w:rPr>
          <w:t>Кагановича</w:t>
        </w:r>
      </w:hyperlink>
      <w:r w:rsidRPr="007122AB">
        <w:rPr>
          <w:rFonts w:ascii="Times New Roman" w:hAnsi="Times New Roman"/>
          <w:color w:val="000000" w:themeColor="text1"/>
          <w:sz w:val="16"/>
          <w:szCs w:val="16"/>
        </w:rPr>
        <w:t xml:space="preserve">, </w:t>
      </w:r>
      <w:hyperlink r:id="rId148" w:history="1">
        <w:r w:rsidRPr="007122AB">
          <w:rPr>
            <w:rStyle w:val="a5"/>
            <w:rFonts w:ascii="Times New Roman" w:hAnsi="Times New Roman"/>
            <w:color w:val="000000" w:themeColor="text1"/>
            <w:sz w:val="16"/>
            <w:szCs w:val="16"/>
            <w:u w:val="none"/>
          </w:rPr>
          <w:t>Алксниса</w:t>
        </w:r>
      </w:hyperlink>
      <w:r w:rsidRPr="007122AB">
        <w:rPr>
          <w:rFonts w:ascii="Times New Roman" w:hAnsi="Times New Roman"/>
          <w:color w:val="000000" w:themeColor="text1"/>
          <w:sz w:val="16"/>
          <w:szCs w:val="16"/>
        </w:rPr>
        <w:t xml:space="preserve">, </w:t>
      </w:r>
      <w:hyperlink r:id="rId149" w:history="1">
        <w:proofErr w:type="spellStart"/>
        <w:r w:rsidRPr="007122AB">
          <w:rPr>
            <w:rStyle w:val="a5"/>
            <w:rFonts w:ascii="Times New Roman" w:hAnsi="Times New Roman"/>
            <w:color w:val="000000" w:themeColor="text1"/>
            <w:sz w:val="16"/>
            <w:szCs w:val="16"/>
            <w:u w:val="none"/>
          </w:rPr>
          <w:t>Гольцмана</w:t>
        </w:r>
        <w:proofErr w:type="spellEnd"/>
      </w:hyperlink>
      <w:r w:rsidRPr="007122AB">
        <w:rPr>
          <w:rFonts w:ascii="Times New Roman" w:hAnsi="Times New Roman"/>
          <w:color w:val="000000" w:themeColor="text1"/>
          <w:sz w:val="16"/>
          <w:szCs w:val="16"/>
        </w:rPr>
        <w:t xml:space="preserve">, </w:t>
      </w:r>
      <w:hyperlink r:id="rId150" w:history="1">
        <w:r w:rsidRPr="007122AB">
          <w:rPr>
            <w:rStyle w:val="a5"/>
            <w:rFonts w:ascii="Times New Roman" w:hAnsi="Times New Roman"/>
            <w:color w:val="000000" w:themeColor="text1"/>
            <w:sz w:val="16"/>
            <w:szCs w:val="16"/>
            <w:u w:val="none"/>
          </w:rPr>
          <w:t>Гая</w:t>
        </w:r>
      </w:hyperlink>
      <w:r w:rsidRPr="007122AB">
        <w:rPr>
          <w:rFonts w:ascii="Times New Roman" w:hAnsi="Times New Roman"/>
          <w:color w:val="000000" w:themeColor="text1"/>
          <w:sz w:val="16"/>
          <w:szCs w:val="16"/>
        </w:rPr>
        <w:t xml:space="preserve"> и </w:t>
      </w:r>
      <w:hyperlink r:id="rId151" w:history="1">
        <w:proofErr w:type="spellStart"/>
        <w:r w:rsidRPr="007122AB">
          <w:rPr>
            <w:rStyle w:val="a5"/>
            <w:rFonts w:ascii="Times New Roman" w:hAnsi="Times New Roman"/>
            <w:color w:val="000000" w:themeColor="text1"/>
            <w:sz w:val="16"/>
            <w:szCs w:val="16"/>
            <w:u w:val="none"/>
          </w:rPr>
          <w:t>Горянова</w:t>
        </w:r>
        <w:proofErr w:type="spellEnd"/>
      </w:hyperlink>
      <w:r w:rsidRPr="007122AB">
        <w:rPr>
          <w:rFonts w:ascii="Times New Roman" w:hAnsi="Times New Roman"/>
          <w:color w:val="000000" w:themeColor="text1"/>
          <w:sz w:val="16"/>
          <w:szCs w:val="16"/>
        </w:rPr>
        <w:t xml:space="preserve"> пересмотреть все требования на валюту но оборудованию и на техпомощь, с изысканием всех возможностей базироваться на производство и технику внутри СССР. Созыв комиссии — за т. </w:t>
      </w:r>
      <w:proofErr w:type="spellStart"/>
      <w:r w:rsidRPr="007122AB">
        <w:rPr>
          <w:rFonts w:ascii="Times New Roman" w:hAnsi="Times New Roman"/>
          <w:color w:val="000000" w:themeColor="text1"/>
          <w:sz w:val="16"/>
          <w:szCs w:val="16"/>
        </w:rPr>
        <w:t>Павлуновским</w:t>
      </w:r>
      <w:proofErr w:type="spellEnd"/>
      <w:r w:rsidRPr="007122AB">
        <w:rPr>
          <w:rFonts w:ascii="Times New Roman" w:hAnsi="Times New Roman"/>
          <w:color w:val="000000" w:themeColor="text1"/>
          <w:sz w:val="16"/>
          <w:szCs w:val="16"/>
        </w:rPr>
        <w:t>. При единогласном решении комиссии приступать к заключению договоров. Срок работы комиссии месячный.</w:t>
      </w:r>
    </w:p>
    <w:p w14:paraId="0256E6D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Неотложные договоры рассмотреть и внести в декадный срок. Разрешить немедленно же приступить к заключению договора с американскими фирмами на техпомощь по алюминиевому литью, ковке и штамповке в пределах суммы валюты в 1 млн. долларов.</w:t>
      </w:r>
    </w:p>
    <w:p w14:paraId="5AE15A1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 По выполнению плана строительства и программы 1931 г.</w:t>
      </w:r>
    </w:p>
    <w:p w14:paraId="1249AB08"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Утвердить программу производства авиапромышленности в 1931 г. по самолетам: Р</w:t>
      </w:r>
      <w:r w:rsidRPr="007122AB">
        <w:rPr>
          <w:rFonts w:ascii="Times New Roman" w:hAnsi="Times New Roman"/>
          <w:color w:val="000000" w:themeColor="text1"/>
          <w:sz w:val="16"/>
          <w:szCs w:val="16"/>
        </w:rPr>
        <w:noBreakHyphen/>
        <w:t>5 — 680, ТБ</w:t>
      </w:r>
      <w:r w:rsidRPr="007122AB">
        <w:rPr>
          <w:rFonts w:ascii="Times New Roman" w:hAnsi="Times New Roman"/>
          <w:color w:val="000000" w:themeColor="text1"/>
          <w:sz w:val="16"/>
          <w:szCs w:val="16"/>
        </w:rPr>
        <w:noBreakHyphen/>
        <w:t>1 — 146, Р</w:t>
      </w:r>
      <w:r w:rsidRPr="007122AB">
        <w:rPr>
          <w:rFonts w:ascii="Times New Roman" w:hAnsi="Times New Roman"/>
          <w:color w:val="000000" w:themeColor="text1"/>
          <w:sz w:val="16"/>
          <w:szCs w:val="16"/>
        </w:rPr>
        <w:noBreakHyphen/>
        <w:t>6 — 50, истребители — 376, ТБ</w:t>
      </w:r>
      <w:r w:rsidRPr="007122AB">
        <w:rPr>
          <w:rFonts w:ascii="Times New Roman" w:hAnsi="Times New Roman"/>
          <w:color w:val="000000" w:themeColor="text1"/>
          <w:sz w:val="16"/>
          <w:szCs w:val="16"/>
        </w:rPr>
        <w:noBreakHyphen/>
        <w:t>3 — 3, У</w:t>
      </w:r>
      <w:r w:rsidRPr="007122AB">
        <w:rPr>
          <w:rFonts w:ascii="Times New Roman" w:hAnsi="Times New Roman"/>
          <w:color w:val="000000" w:themeColor="text1"/>
          <w:sz w:val="16"/>
          <w:szCs w:val="16"/>
        </w:rPr>
        <w:noBreakHyphen/>
        <w:t>2 (учебные) — 809, С</w:t>
      </w:r>
      <w:r w:rsidRPr="007122AB">
        <w:rPr>
          <w:rFonts w:ascii="Times New Roman" w:hAnsi="Times New Roman"/>
          <w:color w:val="000000" w:themeColor="text1"/>
          <w:sz w:val="16"/>
          <w:szCs w:val="16"/>
        </w:rPr>
        <w:noBreakHyphen/>
        <w:t>62 бис («Савойя») — 30, ТШ</w:t>
      </w:r>
      <w:r w:rsidRPr="007122AB">
        <w:rPr>
          <w:rFonts w:ascii="Times New Roman" w:hAnsi="Times New Roman"/>
          <w:color w:val="000000" w:themeColor="text1"/>
          <w:sz w:val="16"/>
          <w:szCs w:val="16"/>
        </w:rPr>
        <w:noBreakHyphen/>
        <w:t>7 (штурмовые) — 10, АНТ</w:t>
      </w:r>
      <w:r w:rsidRPr="007122AB">
        <w:rPr>
          <w:rFonts w:ascii="Times New Roman" w:hAnsi="Times New Roman"/>
          <w:color w:val="000000" w:themeColor="text1"/>
          <w:sz w:val="16"/>
          <w:szCs w:val="16"/>
        </w:rPr>
        <w:noBreakHyphen/>
        <w:t>9 — 114, К</w:t>
      </w:r>
      <w:r w:rsidRPr="007122AB">
        <w:rPr>
          <w:rFonts w:ascii="Times New Roman" w:hAnsi="Times New Roman"/>
          <w:color w:val="000000" w:themeColor="text1"/>
          <w:sz w:val="16"/>
          <w:szCs w:val="16"/>
        </w:rPr>
        <w:noBreakHyphen/>
        <w:t>5 — 205, У</w:t>
      </w:r>
      <w:r w:rsidRPr="007122AB">
        <w:rPr>
          <w:rFonts w:ascii="Times New Roman" w:hAnsi="Times New Roman"/>
          <w:color w:val="000000" w:themeColor="text1"/>
          <w:sz w:val="16"/>
          <w:szCs w:val="16"/>
        </w:rPr>
        <w:noBreakHyphen/>
        <w:t>1 — 105, Р</w:t>
      </w:r>
      <w:r w:rsidRPr="007122AB">
        <w:rPr>
          <w:rFonts w:ascii="Times New Roman" w:hAnsi="Times New Roman"/>
          <w:color w:val="000000" w:themeColor="text1"/>
          <w:sz w:val="16"/>
          <w:szCs w:val="16"/>
        </w:rPr>
        <w:noBreakHyphen/>
        <w:t>1 — 302, АП</w:t>
      </w:r>
      <w:r w:rsidRPr="007122AB">
        <w:rPr>
          <w:rFonts w:ascii="Times New Roman" w:hAnsi="Times New Roman"/>
          <w:color w:val="000000" w:themeColor="text1"/>
          <w:sz w:val="16"/>
          <w:szCs w:val="16"/>
        </w:rPr>
        <w:noBreakHyphen/>
        <w:t>2 — 55, П</w:t>
      </w:r>
      <w:r w:rsidRPr="007122AB">
        <w:rPr>
          <w:rFonts w:ascii="Times New Roman" w:hAnsi="Times New Roman"/>
          <w:color w:val="000000" w:themeColor="text1"/>
          <w:sz w:val="16"/>
          <w:szCs w:val="16"/>
        </w:rPr>
        <w:noBreakHyphen/>
        <w:t>1 — 15, [итого] — 2900, в том числе ВВС — 2024; по моторам: М</w:t>
      </w:r>
      <w:r w:rsidRPr="007122AB">
        <w:rPr>
          <w:rFonts w:ascii="Times New Roman" w:hAnsi="Times New Roman"/>
          <w:color w:val="000000" w:themeColor="text1"/>
          <w:sz w:val="16"/>
          <w:szCs w:val="16"/>
        </w:rPr>
        <w:noBreakHyphen/>
        <w:t>17 — 900, М</w:t>
      </w:r>
      <w:r w:rsidRPr="007122AB">
        <w:rPr>
          <w:rFonts w:ascii="Times New Roman" w:hAnsi="Times New Roman"/>
          <w:color w:val="000000" w:themeColor="text1"/>
          <w:sz w:val="16"/>
          <w:szCs w:val="16"/>
        </w:rPr>
        <w:noBreakHyphen/>
        <w:t>22 — 281, М</w:t>
      </w:r>
      <w:r w:rsidRPr="007122AB">
        <w:rPr>
          <w:rFonts w:ascii="Times New Roman" w:hAnsi="Times New Roman"/>
          <w:color w:val="000000" w:themeColor="text1"/>
          <w:sz w:val="16"/>
          <w:szCs w:val="16"/>
        </w:rPr>
        <w:noBreakHyphen/>
        <w:t>11 — 971, М</w:t>
      </w:r>
      <w:r w:rsidRPr="007122AB">
        <w:rPr>
          <w:rFonts w:ascii="Times New Roman" w:hAnsi="Times New Roman"/>
          <w:color w:val="000000" w:themeColor="text1"/>
          <w:sz w:val="16"/>
          <w:szCs w:val="16"/>
        </w:rPr>
        <w:noBreakHyphen/>
        <w:t>15 — 430, М</w:t>
      </w:r>
      <w:r w:rsidRPr="007122AB">
        <w:rPr>
          <w:rFonts w:ascii="Times New Roman" w:hAnsi="Times New Roman"/>
          <w:color w:val="000000" w:themeColor="text1"/>
          <w:sz w:val="16"/>
          <w:szCs w:val="16"/>
        </w:rPr>
        <w:noBreakHyphen/>
        <w:t>27 — 150, М</w:t>
      </w:r>
      <w:r w:rsidRPr="007122AB">
        <w:rPr>
          <w:rFonts w:ascii="Times New Roman" w:hAnsi="Times New Roman"/>
          <w:color w:val="000000" w:themeColor="text1"/>
          <w:sz w:val="16"/>
          <w:szCs w:val="16"/>
        </w:rPr>
        <w:noBreakHyphen/>
        <w:t>26 — 410, М</w:t>
      </w:r>
      <w:r w:rsidRPr="007122AB">
        <w:rPr>
          <w:rFonts w:ascii="Times New Roman" w:hAnsi="Times New Roman"/>
          <w:color w:val="000000" w:themeColor="text1"/>
          <w:sz w:val="16"/>
          <w:szCs w:val="16"/>
        </w:rPr>
        <w:noBreakHyphen/>
        <w:t>19 — 10, М</w:t>
      </w:r>
      <w:r w:rsidRPr="007122AB">
        <w:rPr>
          <w:rFonts w:ascii="Times New Roman" w:hAnsi="Times New Roman"/>
          <w:color w:val="000000" w:themeColor="text1"/>
          <w:sz w:val="16"/>
          <w:szCs w:val="16"/>
        </w:rPr>
        <w:noBreakHyphen/>
        <w:t>34 — 8, ЮУН — 10, [итого] — 3170, в том числе ВВС — 2090.</w:t>
      </w:r>
    </w:p>
    <w:p w14:paraId="2F32FC6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Обязать ВАО выполнить весь заказ по запчастям и моторам М</w:t>
      </w:r>
      <w:r w:rsidRPr="007122AB">
        <w:rPr>
          <w:rFonts w:ascii="Times New Roman" w:hAnsi="Times New Roman"/>
          <w:color w:val="000000" w:themeColor="text1"/>
          <w:sz w:val="16"/>
          <w:szCs w:val="16"/>
        </w:rPr>
        <w:noBreakHyphen/>
        <w:t>5 и М</w:t>
      </w:r>
      <w:r w:rsidRPr="007122AB">
        <w:rPr>
          <w:rFonts w:ascii="Times New Roman" w:hAnsi="Times New Roman"/>
          <w:color w:val="000000" w:themeColor="text1"/>
          <w:sz w:val="16"/>
          <w:szCs w:val="16"/>
        </w:rPr>
        <w:noBreakHyphen/>
        <w:t>2 до 15 октября 1931 г.</w:t>
      </w:r>
    </w:p>
    <w:p w14:paraId="520961C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 целях своевременного обеспечения заводов ВАО оборудованием для выполнения большой программы 1932 г.: а) комиссии т.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рассмотреть и доложить СТО в декадный срок вопрос об увеличении импортного контингента ВСНХ в 1931 г. на 6,5 млн. руб. на закупку оборудования для заводов Авиапрома; б) обязать НКВТ в наикратчайший срок разместить полностью все заказы на оборудование для авиапромышленности по всем ассигнованиям 1931 г.; в) обязать ВСНХ полностью разместить все потребное для авиапромышленности оборудование в 1931 г. на заводах Союза.</w:t>
      </w:r>
    </w:p>
    <w:p w14:paraId="4CF97DF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Для обеспечения программы 1931 г. принять следующие мероприятия: а) обязать ВАО командировать за границу для освоения опыта иностранных фирм необходимое количество работников, и в первую очередь: по заводу № 24 — 8 инженеров, 8 мастеров, 8 рабочих; по заводу № 26 — 6 инженеров, 4 мастера в Германию на завод «БМВ» в порядке действующего договора на техпомощь и лицензию; по заводу № 29 — во Францию на завод «Гном и Рон» 10 инженеров и 10 мастеров в порядке действующего договора на техпомощь и лицензию; б) обязать ВАО завербовать за границей 45 инженеров и 200 мастеров и рабочих; в) обязать ВСНХ СССР обеспечить подачу заводу № 26 в июле месяце с. г. 200 т шамота и в дальнейшем, начиная с августа с. г., по 50 т в месяц.</w:t>
      </w:r>
    </w:p>
    <w:p w14:paraId="1A614E2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 основу реконструкции старых заводов и нового строительства положить строгую техническую специализацию, внедрение новейших совершенных методов обработки, а также привлечение и использование иностранной технической помощи.</w:t>
      </w:r>
    </w:p>
    <w:p w14:paraId="22012D6E"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плане развития авиапромышленности предусмотреть массовое производство маломощных самолетов и моторов.</w:t>
      </w:r>
    </w:p>
    <w:p w14:paraId="22388BF6"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Предложить Президиуму ВСНХ СССР осуществлять постоянное и систематическое руководство и контроль за развертыванием капитального строительства авиационной промышленности и обеспечить последнее всем необходимым для выполнения плана в точно указанные сроки.</w:t>
      </w:r>
    </w:p>
    <w:p w14:paraId="6E5E1C4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Создать при Управлении по капитальному строительству ВАО мощный проектный отдел.</w:t>
      </w:r>
    </w:p>
    <w:p w14:paraId="2B6FCDA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Обязать Президиум ВСНХ выделить на местах специальные строительные конторы для строительства ВАО.</w:t>
      </w:r>
    </w:p>
    <w:p w14:paraId="7B321F5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Отнести капитальное строительство авиапромышленности к группе ударных строительств, находящихся под специальным наблюдением ВСНХ.</w:t>
      </w:r>
    </w:p>
    <w:p w14:paraId="4CE84C7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Обязать </w:t>
      </w:r>
      <w:proofErr w:type="spellStart"/>
      <w:r w:rsidRPr="007122AB">
        <w:rPr>
          <w:rFonts w:ascii="Times New Roman" w:hAnsi="Times New Roman"/>
          <w:color w:val="000000" w:themeColor="text1"/>
          <w:sz w:val="16"/>
          <w:szCs w:val="16"/>
        </w:rPr>
        <w:t>Союзстрой</w:t>
      </w:r>
      <w:proofErr w:type="spellEnd"/>
      <w:r w:rsidRPr="007122AB">
        <w:rPr>
          <w:rFonts w:ascii="Times New Roman" w:hAnsi="Times New Roman"/>
          <w:color w:val="000000" w:themeColor="text1"/>
          <w:sz w:val="16"/>
          <w:szCs w:val="16"/>
        </w:rPr>
        <w:t xml:space="preserve"> т. Иванова обеспечить выполнение в срок проектов и чертежей для строительных работ ВАО.</w:t>
      </w:r>
    </w:p>
    <w:p w14:paraId="06CACD7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Выделить для ВАО 120 грузовых и 30 легковых машин не позднее 1 ноября 1931 г.</w:t>
      </w:r>
    </w:p>
    <w:p w14:paraId="2D38622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Ввиду привлечения большого числа специалистов, в том числе иностранных, обязать Моссовет не позднее 1 января 1932 г. предоставить ВАО 75 квартир и ВОГВФ 25 квартир.</w:t>
      </w:r>
    </w:p>
    <w:p w14:paraId="671B81C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заводу № 39. Обязать ВСНХ и НКВМ в течение 1931 г. выпустить 20 самолетов (перехватчиков) и 6 тяжелых бомбовозов ТБ</w:t>
      </w:r>
      <w:r w:rsidRPr="007122AB">
        <w:rPr>
          <w:rFonts w:ascii="Times New Roman" w:hAnsi="Times New Roman"/>
          <w:color w:val="000000" w:themeColor="text1"/>
          <w:sz w:val="16"/>
          <w:szCs w:val="16"/>
        </w:rPr>
        <w:noBreakHyphen/>
        <w:t>5.</w:t>
      </w:r>
    </w:p>
    <w:p w14:paraId="254DE3C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По кадрам</w:t>
      </w:r>
    </w:p>
    <w:p w14:paraId="3827AC7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Бурный рост авиационной промышленности за период 1931</w:t>
      </w:r>
      <w:r w:rsidRPr="007122AB">
        <w:rPr>
          <w:rFonts w:ascii="Times New Roman" w:hAnsi="Times New Roman"/>
          <w:color w:val="000000" w:themeColor="text1"/>
          <w:sz w:val="16"/>
          <w:szCs w:val="16"/>
        </w:rPr>
        <w:noBreakHyphen/>
        <w:t xml:space="preserve">1934 гг. потребует особого внимания к вопросам подготовки кадров. Наличные количества квалифицированной рабочей силы, инженерно-технического персонала и имеющаяся сеть учебных заведений </w:t>
      </w:r>
      <w:proofErr w:type="spellStart"/>
      <w:r w:rsidRPr="007122AB">
        <w:rPr>
          <w:rFonts w:ascii="Times New Roman" w:hAnsi="Times New Roman"/>
          <w:color w:val="000000" w:themeColor="text1"/>
          <w:sz w:val="16"/>
          <w:szCs w:val="16"/>
        </w:rPr>
        <w:t>Авиаобъединения</w:t>
      </w:r>
      <w:proofErr w:type="spellEnd"/>
      <w:r w:rsidRPr="007122AB">
        <w:rPr>
          <w:rFonts w:ascii="Times New Roman" w:hAnsi="Times New Roman"/>
          <w:color w:val="000000" w:themeColor="text1"/>
          <w:sz w:val="16"/>
          <w:szCs w:val="16"/>
        </w:rPr>
        <w:t xml:space="preserve"> не обеспечивает выполнения плана развития авиапромышленности.</w:t>
      </w:r>
    </w:p>
    <w:p w14:paraId="650F6DE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Предложить ВСНХ СССР укрепить аппарат ВАО и руководящий состав заводов авиапромышленности.</w:t>
      </w:r>
    </w:p>
    <w:p w14:paraId="1BF709C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Отделу кадров ВСНХ и начальнику ВАО обратить особое внимание на подбор директоров предприятий авиапромышленности.</w:t>
      </w:r>
    </w:p>
    <w:p w14:paraId="6F3E3A1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Обязать ВАО в контрольных цифрах на 1932 г. предусмотреть средства на улучшение культурно-бытовых и жилищных условий.</w:t>
      </w:r>
    </w:p>
    <w:p w14:paraId="414712F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Обязать </w:t>
      </w:r>
      <w:proofErr w:type="spellStart"/>
      <w:r w:rsidRPr="007122AB">
        <w:rPr>
          <w:rFonts w:ascii="Times New Roman" w:hAnsi="Times New Roman"/>
          <w:color w:val="000000" w:themeColor="text1"/>
          <w:sz w:val="16"/>
          <w:szCs w:val="16"/>
        </w:rPr>
        <w:t>НКСнаб</w:t>
      </w:r>
      <w:proofErr w:type="spellEnd"/>
      <w:r w:rsidRPr="007122AB">
        <w:rPr>
          <w:rFonts w:ascii="Times New Roman" w:hAnsi="Times New Roman"/>
          <w:color w:val="000000" w:themeColor="text1"/>
          <w:sz w:val="16"/>
          <w:szCs w:val="16"/>
        </w:rPr>
        <w:t xml:space="preserve">, совместно с ВАО, в </w:t>
      </w:r>
      <w:proofErr w:type="spellStart"/>
      <w:r w:rsidRPr="007122AB">
        <w:rPr>
          <w:rFonts w:ascii="Times New Roman" w:hAnsi="Times New Roman"/>
          <w:color w:val="000000" w:themeColor="text1"/>
          <w:sz w:val="16"/>
          <w:szCs w:val="16"/>
        </w:rPr>
        <w:t>двухдекадный</w:t>
      </w:r>
      <w:proofErr w:type="spellEnd"/>
      <w:r w:rsidRPr="007122AB">
        <w:rPr>
          <w:rFonts w:ascii="Times New Roman" w:hAnsi="Times New Roman"/>
          <w:color w:val="000000" w:themeColor="text1"/>
          <w:sz w:val="16"/>
          <w:szCs w:val="16"/>
        </w:rPr>
        <w:t xml:space="preserve"> срок наметить конкретно мероприятия по коренному улучшению снабжения рабочих авиапромышленности и представить на утверждение СНК.</w:t>
      </w:r>
    </w:p>
    <w:p w14:paraId="5EAF77C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Для обеспечения производственной программы 1931 г. квалифицированной рабочей силой предложить ВАО: а) из числа обучающихся 17 тыс. чел. рабочих обеспечить выпуск в текущем году не менее 6 тыс. чел. Кроме того, немедленно развернуть подготовку рабочих средней квалификации в выпустить их в текущем году не менее 4 тыс. чел., в том числе 1 тыс. чел. без отрыва от производств; б) перебросить с московских авиазаводов необходимое количество квалифицированных рабочих (медников, токарей и фрезеровщиков) на завод № 39 для обеспечения в установленный срок выполнения специального задания.</w:t>
      </w:r>
    </w:p>
    <w:p w14:paraId="0C9201C8"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 месячный срок перебросить из других отраслей промышленности квалифицированных рабочих (4</w:t>
      </w:r>
      <w:r w:rsidRPr="007122AB">
        <w:rPr>
          <w:rFonts w:ascii="Times New Roman" w:hAnsi="Times New Roman"/>
          <w:color w:val="000000" w:themeColor="text1"/>
          <w:sz w:val="16"/>
          <w:szCs w:val="16"/>
        </w:rPr>
        <w:noBreakHyphen/>
        <w:t>7 разряд): а) для завода № 26 — обязать т. </w:t>
      </w:r>
      <w:hyperlink r:id="rId152" w:history="1">
        <w:r w:rsidRPr="007122AB">
          <w:rPr>
            <w:rStyle w:val="a5"/>
            <w:rFonts w:ascii="Times New Roman" w:hAnsi="Times New Roman"/>
            <w:color w:val="000000" w:themeColor="text1"/>
            <w:sz w:val="16"/>
            <w:szCs w:val="16"/>
          </w:rPr>
          <w:t>Колотилова</w:t>
        </w:r>
      </w:hyperlink>
      <w:r w:rsidRPr="007122AB">
        <w:rPr>
          <w:rFonts w:ascii="Times New Roman" w:hAnsi="Times New Roman"/>
          <w:color w:val="000000" w:themeColor="text1"/>
          <w:sz w:val="16"/>
          <w:szCs w:val="16"/>
        </w:rPr>
        <w:t xml:space="preserve"> перебросить не менее 800 чел. ВСНХ СССР передать в ведение завода № 26 в Рыбинске завод быв. «Металлист» им. Ягоды со всем оборудованием и личным составом; б) для завода № 29 — обязать т. </w:t>
      </w:r>
      <w:hyperlink r:id="rId153" w:history="1">
        <w:r w:rsidRPr="007122AB">
          <w:rPr>
            <w:rStyle w:val="a5"/>
            <w:rFonts w:ascii="Times New Roman" w:hAnsi="Times New Roman"/>
            <w:color w:val="000000" w:themeColor="text1"/>
            <w:sz w:val="16"/>
            <w:szCs w:val="16"/>
            <w:u w:val="none"/>
          </w:rPr>
          <w:t>Косиора С</w:t>
        </w:r>
      </w:hyperlink>
      <w:r w:rsidRPr="007122AB">
        <w:rPr>
          <w:rFonts w:ascii="Times New Roman" w:hAnsi="Times New Roman"/>
          <w:color w:val="000000" w:themeColor="text1"/>
          <w:sz w:val="16"/>
          <w:szCs w:val="16"/>
        </w:rPr>
        <w:t xml:space="preserve">. перебросить не менее 250 чел., а также передать Запорожский механический завод (быв. </w:t>
      </w:r>
      <w:proofErr w:type="spellStart"/>
      <w:r w:rsidRPr="007122AB">
        <w:rPr>
          <w:rFonts w:ascii="Times New Roman" w:hAnsi="Times New Roman"/>
          <w:color w:val="000000" w:themeColor="text1"/>
          <w:sz w:val="16"/>
          <w:szCs w:val="16"/>
        </w:rPr>
        <w:t>Кацена</w:t>
      </w:r>
      <w:proofErr w:type="spellEnd"/>
      <w:r w:rsidRPr="007122AB">
        <w:rPr>
          <w:rFonts w:ascii="Times New Roman" w:hAnsi="Times New Roman"/>
          <w:color w:val="000000" w:themeColor="text1"/>
          <w:sz w:val="16"/>
          <w:szCs w:val="16"/>
        </w:rPr>
        <w:t>), находящийся на консервации, в ведение завода № 29 для подготовки кадров; в) для завода № 24 — обязать т. Рындина перебросить 200 чел.</w:t>
      </w:r>
    </w:p>
    <w:p w14:paraId="585B00E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Обязать ВСНХ СССР выделить в первую очередь 630 станков для ВАО из фондов станков, предназначенных для школ ФЗУ.</w:t>
      </w:r>
    </w:p>
    <w:p w14:paraId="363DFD4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Обязать ВАО и текущем году развернуть дополнительную подготовку рабочей силы для вновь строящихся заводов в количестве 16 тыс. чел., в том числе на базах </w:t>
      </w:r>
      <w:proofErr w:type="spellStart"/>
      <w:r w:rsidRPr="007122AB">
        <w:rPr>
          <w:rFonts w:ascii="Times New Roman" w:hAnsi="Times New Roman"/>
          <w:color w:val="000000" w:themeColor="text1"/>
          <w:sz w:val="16"/>
          <w:szCs w:val="16"/>
        </w:rPr>
        <w:t>ЦИТа</w:t>
      </w:r>
      <w:proofErr w:type="spellEnd"/>
      <w:r w:rsidRPr="007122AB">
        <w:rPr>
          <w:rFonts w:ascii="Times New Roman" w:hAnsi="Times New Roman"/>
          <w:color w:val="000000" w:themeColor="text1"/>
          <w:sz w:val="16"/>
          <w:szCs w:val="16"/>
        </w:rPr>
        <w:t xml:space="preserve"> при вновь строящихся заводах 9,5 тыс. чел.</w:t>
      </w:r>
    </w:p>
    <w:p w14:paraId="0329529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Обязать т. </w:t>
      </w:r>
      <w:hyperlink r:id="rId154" w:history="1">
        <w:r w:rsidRPr="007122AB">
          <w:rPr>
            <w:rStyle w:val="a5"/>
            <w:rFonts w:ascii="Times New Roman" w:hAnsi="Times New Roman"/>
            <w:color w:val="000000" w:themeColor="text1"/>
            <w:sz w:val="16"/>
            <w:szCs w:val="16"/>
            <w:u w:val="none"/>
          </w:rPr>
          <w:t>Кагановича Л</w:t>
        </w:r>
      </w:hyperlink>
      <w:r w:rsidRPr="007122AB">
        <w:rPr>
          <w:rFonts w:ascii="Times New Roman" w:hAnsi="Times New Roman"/>
          <w:color w:val="000000" w:themeColor="text1"/>
          <w:sz w:val="16"/>
          <w:szCs w:val="16"/>
        </w:rPr>
        <w:t xml:space="preserve">., </w:t>
      </w:r>
      <w:hyperlink r:id="rId155" w:history="1">
        <w:r w:rsidRPr="007122AB">
          <w:rPr>
            <w:rStyle w:val="a5"/>
            <w:rFonts w:ascii="Times New Roman" w:hAnsi="Times New Roman"/>
            <w:color w:val="000000" w:themeColor="text1"/>
            <w:sz w:val="16"/>
            <w:szCs w:val="16"/>
            <w:u w:val="none"/>
          </w:rPr>
          <w:t>Кабакова</w:t>
        </w:r>
      </w:hyperlink>
      <w:r w:rsidRPr="007122AB">
        <w:rPr>
          <w:rFonts w:ascii="Times New Roman" w:hAnsi="Times New Roman"/>
          <w:color w:val="000000" w:themeColor="text1"/>
          <w:sz w:val="16"/>
          <w:szCs w:val="16"/>
        </w:rPr>
        <w:t xml:space="preserve">, </w:t>
      </w:r>
      <w:hyperlink r:id="rId156" w:history="1">
        <w:proofErr w:type="spellStart"/>
        <w:r w:rsidRPr="007122AB">
          <w:rPr>
            <w:rStyle w:val="a5"/>
            <w:rFonts w:ascii="Times New Roman" w:hAnsi="Times New Roman"/>
            <w:color w:val="000000" w:themeColor="text1"/>
            <w:sz w:val="16"/>
            <w:szCs w:val="16"/>
            <w:u w:val="none"/>
          </w:rPr>
          <w:t>Варейкиса</w:t>
        </w:r>
        <w:proofErr w:type="spellEnd"/>
      </w:hyperlink>
      <w:r w:rsidRPr="007122AB">
        <w:rPr>
          <w:rFonts w:ascii="Times New Roman" w:hAnsi="Times New Roman"/>
          <w:color w:val="000000" w:themeColor="text1"/>
          <w:sz w:val="16"/>
          <w:szCs w:val="16"/>
        </w:rPr>
        <w:t xml:space="preserve"> и </w:t>
      </w:r>
      <w:hyperlink r:id="rId157" w:history="1">
        <w:r w:rsidRPr="007122AB">
          <w:rPr>
            <w:rStyle w:val="a5"/>
            <w:rFonts w:ascii="Times New Roman" w:hAnsi="Times New Roman"/>
            <w:color w:val="000000" w:themeColor="text1"/>
            <w:sz w:val="16"/>
            <w:szCs w:val="16"/>
            <w:u w:val="none"/>
          </w:rPr>
          <w:t>Жданова</w:t>
        </w:r>
      </w:hyperlink>
      <w:r w:rsidRPr="007122AB">
        <w:rPr>
          <w:rFonts w:ascii="Times New Roman" w:hAnsi="Times New Roman"/>
          <w:color w:val="000000" w:themeColor="text1"/>
          <w:sz w:val="16"/>
          <w:szCs w:val="16"/>
        </w:rPr>
        <w:t xml:space="preserve"> в течение IV квартала 1931 г. и I квартала 1932 г. подготовить на предприятиях других отраслей промышленности для вновь строящихся авиазаводов 13 тыс. чел. рабочих соответствующих специальностей, из них: по Нижегородскому краю для завода № 21 — 2 тыс. чел., по Уральской области для завода № 19 — 4 тыс. чел., по Центрально-Черноземной области для заводов № 16 и 18 — 4 тыс. чел. и по Московской области для завода № 20 — 2 тыс. чел.</w:t>
      </w:r>
    </w:p>
    <w:p w14:paraId="635282F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Строительство начатых в текущем году 6 школ ФЗУ закончить к 1 ноября 1931 г. и дополнительно приступить к постройке 3 школ ФЗУ в текущем году для заводов № 22, 31 и 20.</w:t>
      </w:r>
    </w:p>
    <w:p w14:paraId="6F76E6DE"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Президиуму ВСНХ СССР, кроме инженеров, выпускаемых учебными заведениями ВАО удовлетворить заявку </w:t>
      </w:r>
      <w:proofErr w:type="spellStart"/>
      <w:r w:rsidRPr="007122AB">
        <w:rPr>
          <w:rFonts w:ascii="Times New Roman" w:hAnsi="Times New Roman"/>
          <w:color w:val="000000" w:themeColor="text1"/>
          <w:sz w:val="16"/>
          <w:szCs w:val="16"/>
        </w:rPr>
        <w:t>Авиаобъединения</w:t>
      </w:r>
      <w:proofErr w:type="spellEnd"/>
      <w:r w:rsidRPr="007122AB">
        <w:rPr>
          <w:rFonts w:ascii="Times New Roman" w:hAnsi="Times New Roman"/>
          <w:color w:val="000000" w:themeColor="text1"/>
          <w:sz w:val="16"/>
          <w:szCs w:val="16"/>
        </w:rPr>
        <w:t xml:space="preserve"> на инженерно-технический персонал не менее 600 чел. (инженеров — 250, техников — 350) для вновь строящихся и реконструируемых заводов, в том числе по специальности холодной и термической обработки передать не менее 100 инженеров и по тем же специальностям не менее 100 техников.</w:t>
      </w:r>
    </w:p>
    <w:p w14:paraId="3F83B8C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Предложить </w:t>
      </w:r>
      <w:proofErr w:type="spellStart"/>
      <w:r w:rsidRPr="007122AB">
        <w:rPr>
          <w:rFonts w:ascii="Times New Roman" w:hAnsi="Times New Roman"/>
          <w:color w:val="000000" w:themeColor="text1"/>
          <w:sz w:val="16"/>
          <w:szCs w:val="16"/>
        </w:rPr>
        <w:t>НКПросу</w:t>
      </w:r>
      <w:proofErr w:type="spellEnd"/>
      <w:r w:rsidRPr="007122AB">
        <w:rPr>
          <w:rFonts w:ascii="Times New Roman" w:hAnsi="Times New Roman"/>
          <w:color w:val="000000" w:themeColor="text1"/>
          <w:sz w:val="16"/>
          <w:szCs w:val="16"/>
        </w:rPr>
        <w:t xml:space="preserve"> РСФСР передать специалистов, выпускаемых Московским и Казанским государственными университетами в 1931 г. по аэродинамической специальности — авиапромышленности и в месячный срок передать в ведение </w:t>
      </w:r>
      <w:proofErr w:type="spellStart"/>
      <w:r w:rsidRPr="007122AB">
        <w:rPr>
          <w:rFonts w:ascii="Times New Roman" w:hAnsi="Times New Roman"/>
          <w:color w:val="000000" w:themeColor="text1"/>
          <w:sz w:val="16"/>
          <w:szCs w:val="16"/>
        </w:rPr>
        <w:t>Авиаобъединения</w:t>
      </w:r>
      <w:proofErr w:type="spellEnd"/>
      <w:r w:rsidRPr="007122AB">
        <w:rPr>
          <w:rFonts w:ascii="Times New Roman" w:hAnsi="Times New Roman"/>
          <w:color w:val="000000" w:themeColor="text1"/>
          <w:sz w:val="16"/>
          <w:szCs w:val="16"/>
        </w:rPr>
        <w:t xml:space="preserve"> отделения аэродинамической специальности Московского и Казанского университетов.</w:t>
      </w:r>
    </w:p>
    <w:p w14:paraId="3B5473F3"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В целях обеспечения техниками в 1932 г. предложить ВСНХ СССР из дополнительного контингента в 50 тыс. техников, подготовляемых в ускоренном порядке на основании директивных решений, выделить для авиапромышленности не менее 5 тыс. чел.</w:t>
      </w:r>
    </w:p>
    <w:p w14:paraId="31F0F9F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15. Реорганизовать систему подготовки научно-педагогических кадров, сосредоточив ее в ЦАГИ и в Институте авиамоторостроения, доведя контингент аспирантуры к 1 марта 1932 г. до 140 чел.</w:t>
      </w:r>
    </w:p>
    <w:p w14:paraId="04B20D3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Считать необходимым организовать с осени 1931 г. во Всесоюзной </w:t>
      </w:r>
      <w:proofErr w:type="spellStart"/>
      <w:r w:rsidRPr="007122AB">
        <w:rPr>
          <w:rFonts w:ascii="Times New Roman" w:hAnsi="Times New Roman"/>
          <w:color w:val="000000" w:themeColor="text1"/>
          <w:sz w:val="16"/>
          <w:szCs w:val="16"/>
        </w:rPr>
        <w:t>промакадемии</w:t>
      </w:r>
      <w:proofErr w:type="spellEnd"/>
      <w:r w:rsidRPr="007122AB">
        <w:rPr>
          <w:rFonts w:ascii="Times New Roman" w:hAnsi="Times New Roman"/>
          <w:color w:val="000000" w:themeColor="text1"/>
          <w:sz w:val="16"/>
          <w:szCs w:val="16"/>
        </w:rPr>
        <w:t xml:space="preserve"> отделение ВАО по подготовке руководящего состава для авиапромышленности с контингентом учащихся в 20 чел. на каждом курсе.</w:t>
      </w:r>
    </w:p>
    <w:p w14:paraId="3DB0B478"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ВСНХ перебросить на укомплектование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в течение III и IV кварт[</w:t>
      </w:r>
      <w:proofErr w:type="spellStart"/>
      <w:r w:rsidRPr="007122AB">
        <w:rPr>
          <w:rFonts w:ascii="Times New Roman" w:hAnsi="Times New Roman"/>
          <w:color w:val="000000" w:themeColor="text1"/>
          <w:sz w:val="16"/>
          <w:szCs w:val="16"/>
        </w:rPr>
        <w:t>алов</w:t>
      </w:r>
      <w:proofErr w:type="spellEnd"/>
      <w:r w:rsidRPr="007122AB">
        <w:rPr>
          <w:rFonts w:ascii="Times New Roman" w:hAnsi="Times New Roman"/>
          <w:color w:val="000000" w:themeColor="text1"/>
          <w:sz w:val="16"/>
          <w:szCs w:val="16"/>
        </w:rPr>
        <w:t xml:space="preserve">] по 100 чел. высококвалифицированных рабочих по специальностям согласно заявке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w:t>
      </w:r>
    </w:p>
    <w:p w14:paraId="3F0824C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ВСНХ СССР: а) направить не позднее 1 августа с. г. на работу в ИАМ всех инженеров-конструкторов и производственников по авиамоторам, работающих в данное время в других отраслях промышленности не по своей специальности; б) передать в ИАМ не позднее 1 августа на укомплектование отдела физикохимии авиатоплива 6 инженеров-топливников; в) укомплектовать к 1 августа с. г. опытный завод и лаборатории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инженерами и лаборантами тех специальностей и квалификаций, которых не имеет в своем распоряжении отдал кадров ВАО.</w:t>
      </w:r>
    </w:p>
    <w:p w14:paraId="3676CCB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Обязать НКВМ не позднее 15 июля с. г. передать в распоряжение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инженеров-механиков т. Киселева и Ро.</w:t>
      </w:r>
    </w:p>
    <w:p w14:paraId="06976E3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w:t>
      </w:r>
    </w:p>
    <w:p w14:paraId="7A6B9AC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заявления т. Баранова о крайне тяжелом финансовом положении авиапромышленности предложить ВСНХ войти в СТО со специальным докладом о финансовом положении авиапромышленности.</w:t>
      </w:r>
    </w:p>
    <w:p w14:paraId="0D1EA97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w:t>
      </w:r>
    </w:p>
    <w:p w14:paraId="6C5882A9"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Обследования предприятий ВАО производить исключительно с разрешения НК РКИ.</w:t>
      </w:r>
    </w:p>
    <w:p w14:paraId="1A99895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VIII.</w:t>
      </w:r>
    </w:p>
    <w:p w14:paraId="0F361FC7" w14:textId="77777777" w:rsidR="00875C4A" w:rsidRPr="007122AB" w:rsidRDefault="00875C4A" w:rsidP="007122AB">
      <w:pPr>
        <w:pStyle w:val="rtejustify"/>
        <w:spacing w:before="0" w:after="0"/>
        <w:rPr>
          <w:color w:val="000000" w:themeColor="text1"/>
          <w:sz w:val="16"/>
          <w:szCs w:val="16"/>
        </w:rPr>
      </w:pPr>
      <w:r w:rsidRPr="007122AB">
        <w:rPr>
          <w:color w:val="000000" w:themeColor="text1"/>
          <w:sz w:val="16"/>
          <w:szCs w:val="16"/>
        </w:rPr>
        <w:t>Народному комиссариату Рабоче-крестьянской инспекции СССР произвести к 1 января 1932 г. проверку выполнения настоящего постановления и о результатах проверки донести в СТО³*.</w:t>
      </w:r>
    </w:p>
    <w:p w14:paraId="2A6DDAFA" w14:textId="77777777" w:rsidR="00875C4A" w:rsidRPr="007122AB" w:rsidRDefault="00875C4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Председатель Совета труда и обороны </w:t>
      </w:r>
      <w:hyperlink r:id="rId158" w:history="1">
        <w:r w:rsidRPr="007122AB">
          <w:rPr>
            <w:rStyle w:val="af0"/>
            <w:i w:val="0"/>
            <w:color w:val="000000" w:themeColor="text1"/>
            <w:sz w:val="16"/>
            <w:szCs w:val="16"/>
          </w:rPr>
          <w:t>В. Молотов</w:t>
        </w:r>
      </w:hyperlink>
    </w:p>
    <w:p w14:paraId="53767FD0" w14:textId="77777777" w:rsidR="00875C4A" w:rsidRPr="007122AB" w:rsidRDefault="00875C4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Секретарь Совета труда и обороны </w:t>
      </w:r>
      <w:hyperlink r:id="rId159" w:history="1">
        <w:r w:rsidRPr="007122AB">
          <w:rPr>
            <w:rStyle w:val="af0"/>
            <w:i w:val="0"/>
            <w:color w:val="000000" w:themeColor="text1"/>
            <w:sz w:val="16"/>
            <w:szCs w:val="16"/>
          </w:rPr>
          <w:t>И. Мирошников</w:t>
        </w:r>
      </w:hyperlink>
    </w:p>
    <w:p w14:paraId="041223FC" w14:textId="77777777" w:rsidR="00875C4A" w:rsidRPr="007122AB" w:rsidRDefault="00875C4A"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p>
    <w:p w14:paraId="46FB30B8" w14:textId="77777777" w:rsidR="00875C4A" w:rsidRPr="007122AB" w:rsidRDefault="00875C4A"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w:t>
      </w:r>
      <w:r w:rsidRPr="007122AB">
        <w:rPr>
          <w:rStyle w:val="af0"/>
          <w:i w:val="0"/>
          <w:color w:val="000000" w:themeColor="text1"/>
          <w:sz w:val="16"/>
          <w:szCs w:val="16"/>
        </w:rPr>
        <w:t>Институт авиационных моторов (ИАМ)</w:t>
      </w:r>
      <w:r w:rsidRPr="007122AB">
        <w:rPr>
          <w:color w:val="000000" w:themeColor="text1"/>
          <w:sz w:val="16"/>
          <w:szCs w:val="16"/>
        </w:rPr>
        <w:t xml:space="preserve"> создан решением Реввоенсовета 3 декабря 1930 г. Приказом Наркомата тяжелой промышленности СССР 29 июля 1932 г. переименован в Центральный институт авиационного моторостроения (ЦИАМ). Занимался конструированием и разработкой образцов авиационных моторов и их агрегатов.</w:t>
      </w:r>
    </w:p>
    <w:p w14:paraId="2D88E932" w14:textId="77777777" w:rsidR="00875C4A" w:rsidRPr="007122AB" w:rsidRDefault="00875C4A"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Договор с фирмой «</w:t>
      </w:r>
      <w:proofErr w:type="spellStart"/>
      <w:r w:rsidRPr="007122AB">
        <w:rPr>
          <w:color w:val="000000" w:themeColor="text1"/>
          <w:sz w:val="16"/>
          <w:szCs w:val="16"/>
        </w:rPr>
        <w:t>Адлисон</w:t>
      </w:r>
      <w:proofErr w:type="spellEnd"/>
      <w:r w:rsidRPr="007122AB">
        <w:rPr>
          <w:color w:val="000000" w:themeColor="text1"/>
          <w:sz w:val="16"/>
          <w:szCs w:val="16"/>
        </w:rPr>
        <w:t xml:space="preserve">» заключить в том случае, если не будет заключен договор с фирмой «Бон </w:t>
      </w:r>
      <w:proofErr w:type="spellStart"/>
      <w:r w:rsidRPr="007122AB">
        <w:rPr>
          <w:color w:val="000000" w:themeColor="text1"/>
          <w:sz w:val="16"/>
          <w:szCs w:val="16"/>
        </w:rPr>
        <w:t>Алюминиум</w:t>
      </w:r>
      <w:proofErr w:type="spellEnd"/>
      <w:r w:rsidRPr="007122AB">
        <w:rPr>
          <w:color w:val="000000" w:themeColor="text1"/>
          <w:sz w:val="16"/>
          <w:szCs w:val="16"/>
        </w:rPr>
        <w:t xml:space="preserve"> Компани» на оказание технической помощи и постановку производства алюминиевого литья и подшипников (</w:t>
      </w:r>
      <w:r w:rsidRPr="007122AB">
        <w:rPr>
          <w:rStyle w:val="af0"/>
          <w:i w:val="0"/>
          <w:color w:val="000000" w:themeColor="text1"/>
          <w:sz w:val="16"/>
          <w:szCs w:val="16"/>
        </w:rPr>
        <w:t>Прим. док</w:t>
      </w:r>
      <w:r w:rsidRPr="007122AB">
        <w:rPr>
          <w:color w:val="000000" w:themeColor="text1"/>
          <w:sz w:val="16"/>
          <w:szCs w:val="16"/>
        </w:rPr>
        <w:t>.).</w:t>
      </w:r>
    </w:p>
    <w:p w14:paraId="786701A5" w14:textId="77777777" w:rsidR="00875C4A" w:rsidRPr="007122AB" w:rsidRDefault="00875C4A"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xml:space="preserve">* В справке НК РКИ о </w:t>
      </w:r>
      <w:r w:rsidRPr="007122AB">
        <w:rPr>
          <w:rStyle w:val="af0"/>
          <w:i w:val="0"/>
          <w:color w:val="000000" w:themeColor="text1"/>
          <w:sz w:val="16"/>
          <w:szCs w:val="16"/>
        </w:rPr>
        <w:t>выполнении постановления СТО СССР от 25 июля 1931 г.,</w:t>
      </w:r>
      <w:r w:rsidRPr="007122AB">
        <w:rPr>
          <w:color w:val="000000" w:themeColor="text1"/>
          <w:sz w:val="16"/>
          <w:szCs w:val="16"/>
        </w:rPr>
        <w:t xml:space="preserve"> указывалось, что по состоянию на 1 декабря 1931 г. сделано: I. По опытному строительству: п. 1, 11, 12 и 17 не выполнены; п. 14 и 18 выполнены частично; п. 13, 15 и 16 выполняются с запозданием. Пункт 2: отмечены достижения по Институту авиационных моторов — успешно завершены работы по мотору М</w:t>
      </w:r>
      <w:r w:rsidRPr="007122AB">
        <w:rPr>
          <w:color w:val="000000" w:themeColor="text1"/>
          <w:sz w:val="16"/>
          <w:szCs w:val="16"/>
        </w:rPr>
        <w:noBreakHyphen/>
        <w:t xml:space="preserve">34, отмечены удовлетворительные результаты в области исследования и применения новых авиационных сплавов. Пункт о привлечении иностранной помощи выполняется неудовлетворительно. Пункт 3: моторостроение — «при </w:t>
      </w:r>
      <w:proofErr w:type="spellStart"/>
      <w:r w:rsidRPr="007122AB">
        <w:rPr>
          <w:color w:val="000000" w:themeColor="text1"/>
          <w:sz w:val="16"/>
          <w:szCs w:val="16"/>
        </w:rPr>
        <w:t>ИАМе</w:t>
      </w:r>
      <w:proofErr w:type="spellEnd"/>
      <w:r w:rsidRPr="007122AB">
        <w:rPr>
          <w:color w:val="000000" w:themeColor="text1"/>
          <w:sz w:val="16"/>
          <w:szCs w:val="16"/>
        </w:rPr>
        <w:t xml:space="preserve"> создан специальный отдел серийного производства, разработано положение о его работе и порядок введения опытных образцов в серию», начато изучение методики «</w:t>
      </w:r>
      <w:proofErr w:type="spellStart"/>
      <w:r w:rsidRPr="007122AB">
        <w:rPr>
          <w:color w:val="000000" w:themeColor="text1"/>
          <w:sz w:val="16"/>
          <w:szCs w:val="16"/>
        </w:rPr>
        <w:t>Гипроспецмета</w:t>
      </w:r>
      <w:proofErr w:type="spellEnd"/>
      <w:r w:rsidRPr="007122AB">
        <w:rPr>
          <w:color w:val="000000" w:themeColor="text1"/>
          <w:sz w:val="16"/>
          <w:szCs w:val="16"/>
        </w:rPr>
        <w:t xml:space="preserve"> по проектированию технологических процессов и оборудованию заводов серийного производства». Самолетостроение, специальный отдел ЦАГИ по внедрению опытных образцов в серийное производство не ведет работы должными темпами из-за отсутствия достаточно квалифицированных инженеров. Пункт 4: ИАМ распределил свои опытные моторы по заводам серийного производства, учтя их производственные возможности и опыт. Однако по самолетам полная увязка отсутствует: АНТ</w:t>
      </w:r>
      <w:r w:rsidRPr="007122AB">
        <w:rPr>
          <w:color w:val="000000" w:themeColor="text1"/>
          <w:sz w:val="16"/>
          <w:szCs w:val="16"/>
        </w:rPr>
        <w:noBreakHyphen/>
        <w:t xml:space="preserve">14 выпуска 1930 г. до этого момента полностью не испытан и не включен в серийное производство 1932 г. Пункт 5: в </w:t>
      </w:r>
      <w:proofErr w:type="spellStart"/>
      <w:r w:rsidRPr="007122AB">
        <w:rPr>
          <w:color w:val="000000" w:themeColor="text1"/>
          <w:sz w:val="16"/>
          <w:szCs w:val="16"/>
        </w:rPr>
        <w:t>ИАМе</w:t>
      </w:r>
      <w:proofErr w:type="spellEnd"/>
      <w:r w:rsidRPr="007122AB">
        <w:rPr>
          <w:color w:val="000000" w:themeColor="text1"/>
          <w:sz w:val="16"/>
          <w:szCs w:val="16"/>
        </w:rPr>
        <w:t xml:space="preserve"> активизирован процесс по созданию технологического отдела; в ЦАГИ проведены большие работы по хромомолибденовым трубам. Пункт 6: запроектированы самолеты ТШ и ТБ-4 стальной конструкции; на 1932 г. в серийное производство включены тяжелые самолеты ТБ</w:t>
      </w:r>
      <w:r w:rsidRPr="007122AB">
        <w:rPr>
          <w:color w:val="000000" w:themeColor="text1"/>
          <w:sz w:val="16"/>
          <w:szCs w:val="16"/>
        </w:rPr>
        <w:noBreakHyphen/>
        <w:t>3, ТБ</w:t>
      </w:r>
      <w:r w:rsidRPr="007122AB">
        <w:rPr>
          <w:color w:val="000000" w:themeColor="text1"/>
          <w:sz w:val="16"/>
          <w:szCs w:val="16"/>
        </w:rPr>
        <w:noBreakHyphen/>
        <w:t>1, АНТ</w:t>
      </w:r>
      <w:r w:rsidRPr="007122AB">
        <w:rPr>
          <w:color w:val="000000" w:themeColor="text1"/>
          <w:sz w:val="16"/>
          <w:szCs w:val="16"/>
        </w:rPr>
        <w:noBreakHyphen/>
        <w:t>9. Пункт 7: ИАМ создал нефтяной отдел, где проводятся эксперименты с одноцилиндровыми установками, начаты работы по проектированию дизель-моторов. Однако в части привлечения иностранной технической помощи для постройки 5 дизелей и по вопросам остановки мотора в воздухе постановление не выполнено. Пункт 8: успешно проведены испытания и начато серийное производство мотора 65 НР. В ЦАГИ запроектированы и будут построены в 1932 г. 2 маломощных самолета, однако массовый выпуск маломощных самолетов на повестку дня не поставлен. Пункт 9 выполнен полностью. Пункт 10: капитальное строительство опытных организаций идет неудовлетворительно; Президиум ВСНХ специальных указаний не дал и не контролировал выполнение этого решения трестами и объединениями. II. По иностранной технической помощи: ВАО был разработан план реализации постановления по привлечению иностранной технической помощи и представлена смета. Однако иностранный отдел ВСНХ не оформил командировок и не перевел необходимые средства. Все пункты этого раздела не выполнены. III. По выполнению плана строительства и программы 1931 г.: выполнены только пункты 4“в”, 5, 8, 11 и 12. V. По кадрам: не выполнены пункты 6“б”, 7“в”, 8, 11</w:t>
      </w:r>
      <w:r w:rsidRPr="007122AB">
        <w:rPr>
          <w:color w:val="000000" w:themeColor="text1"/>
          <w:sz w:val="16"/>
          <w:szCs w:val="16"/>
        </w:rPr>
        <w:noBreakHyphen/>
        <w:t>14, 17, 18. Разделы VI</w:t>
      </w:r>
      <w:r w:rsidRPr="007122AB">
        <w:rPr>
          <w:color w:val="000000" w:themeColor="text1"/>
          <w:sz w:val="16"/>
          <w:szCs w:val="16"/>
        </w:rPr>
        <w:noBreakHyphen/>
        <w:t>VIII выполнены полностью. (ГА РФ. Ф. Р</w:t>
      </w:r>
      <w:r w:rsidRPr="007122AB">
        <w:rPr>
          <w:color w:val="000000" w:themeColor="text1"/>
          <w:sz w:val="16"/>
          <w:szCs w:val="16"/>
        </w:rPr>
        <w:noBreakHyphen/>
        <w:t>8418. Оп. 5. Д. 163. Л. 123</w:t>
      </w:r>
      <w:r w:rsidRPr="007122AB">
        <w:rPr>
          <w:color w:val="000000" w:themeColor="text1"/>
          <w:sz w:val="16"/>
          <w:szCs w:val="16"/>
        </w:rPr>
        <w:noBreakHyphen/>
        <w:t>136).</w:t>
      </w:r>
    </w:p>
    <w:p w14:paraId="22B71905" w14:textId="77777777" w:rsidR="00875C4A" w:rsidRPr="007122AB" w:rsidRDefault="00875C4A" w:rsidP="007122AB">
      <w:pPr>
        <w:pStyle w:val="ae"/>
        <w:spacing w:before="0" w:after="0"/>
        <w:jc w:val="both"/>
        <w:rPr>
          <w:color w:val="000000" w:themeColor="text1"/>
          <w:sz w:val="16"/>
          <w:szCs w:val="16"/>
        </w:rPr>
      </w:pPr>
      <w:r w:rsidRPr="007122AB">
        <w:rPr>
          <w:color w:val="000000" w:themeColor="text1"/>
          <w:sz w:val="16"/>
          <w:szCs w:val="16"/>
        </w:rPr>
        <w:t>ГА РФ. Ф. Р-8418. Оп. 5. Д. 62. Л. 3-16. Заверенная копия.</w:t>
      </w:r>
    </w:p>
    <w:p w14:paraId="654794E1"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5. Д. 62. Л. 3-16. Заверенная копия. </w:t>
      </w:r>
    </w:p>
    <w:p w14:paraId="0627613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552-559 (12535).</w:t>
      </w:r>
    </w:p>
    <w:p w14:paraId="2FC86C65"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p>
    <w:p w14:paraId="36F31F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года постановление № 158/сс СТО</w:t>
      </w:r>
    </w:p>
    <w:p w14:paraId="27FE16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авиапромышленности</w:t>
      </w:r>
    </w:p>
    <w:p w14:paraId="59C21E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 что постановления Правительства от 5 марта 1930 года, 5 сентября 1930 года и от 11 января 1931 года в отношении развития авиапромышленности проводятся в жизнь явно неудовлетворительно. В особом квартале 1930 года и первом полугодии 1931 года планы как по строительству, так и по производству фактически сорваны. Реконструкция старых, планирование и развертывание новых заводов находятся в совершенно неудовлетворительном состоянии.</w:t>
      </w:r>
    </w:p>
    <w:p w14:paraId="072161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Констатировать, что авиационная промышленность, переданная в целях ее улучшения в июле 1930 года в ведение НКВМ, где и находилась по март 1931 года, на самом деле никакого улучшения не достигла, а наоборот, пошла вниз, ввиду чего создалась необходимость обратной ее передачи в ведение ВСНХ.</w:t>
      </w:r>
    </w:p>
    <w:p w14:paraId="26A6F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развитие указанных постановлений правительства СТО постановляет:</w:t>
      </w:r>
    </w:p>
    <w:p w14:paraId="6F1091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69AF9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опытному строительству.</w:t>
      </w:r>
    </w:p>
    <w:p w14:paraId="1093CBC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Президиуму ВСНХ и РВС уделить особое внимание опытному авиастроительству и обеспечить все необходимые условия для развертывания опытных организаций до размеров вполне обеспечивающих принятые темпы и масштаб развития авиации.</w:t>
      </w:r>
    </w:p>
    <w:p w14:paraId="10FD843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Организовать работу опытных организаций на основе концентрации научных и конструкторских сил, привлечения и использования иностранной техпомощи, тщательного изучения лучших образцов самолетов и моторов с тем, чтобы проблема "догнать и перегнать" была разрешена в течение ближайших 2-3 лет и созданы образцы самолетов и моторов, предметов вооружения и снаряжения (пулеметы, пушки, прицелы, фото, радио), превосходящие лучшие образцы иностранной техники.</w:t>
      </w:r>
    </w:p>
    <w:p w14:paraId="68C6BDB2"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Вменить в обязанность опытных организаций детальную и тщательную разработку всех технологических вопросов внедрения и пуска опытных образцов в серию, рационализации серийного производства. Институты должны явиться ведущим началом в деле технической реконструкции авиационной промышленности.</w:t>
      </w:r>
    </w:p>
    <w:p w14:paraId="2B685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области организации производства предложить ВАО поставить себе главной задачей переход в кратчайший срок на механизированное производство, применение штамповки, сварки и пр. способов массового изготовления деталей и их сборки.</w:t>
      </w:r>
    </w:p>
    <w:p w14:paraId="5CB5D731"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ВАО, решительно пресекая попытки отдельных товарищей превратить опытное производство в самоцель, взять основную установку на скорейшее внедрение в серийное производство построенных и испытанных образцов самолетов и моторов, как первоочередную свою задачу (в сроки не более как 6-8 месяцев).</w:t>
      </w:r>
    </w:p>
    <w:p w14:paraId="470D4812"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ЦАГИ и ИАМ сосредоточить внимание на разработке вопросов технологии применяемых материалов в авиастроении, для чего создать при них мощные технологические отделы.</w:t>
      </w:r>
    </w:p>
    <w:p w14:paraId="6392A923"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ВАО проектировать и производить тяжелые и сверхтяжелые самолеты их металла с возможно большим применением стали и уменьшением алюминия, а самолетов легкого типа по преимуществу смешанной конструкции (сталь, дерево, полотно).</w:t>
      </w:r>
    </w:p>
    <w:p w14:paraId="0C6F925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Предложить ВАО форсировать работу по созданию </w:t>
      </w:r>
      <w:proofErr w:type="spellStart"/>
      <w:r w:rsidRPr="007122AB">
        <w:rPr>
          <w:rFonts w:ascii="Times New Roman" w:hAnsi="Times New Roman"/>
          <w:color w:val="000000" w:themeColor="text1"/>
          <w:sz w:val="16"/>
          <w:szCs w:val="16"/>
        </w:rPr>
        <w:t>дизельмоторов</w:t>
      </w:r>
      <w:proofErr w:type="spellEnd"/>
      <w:r w:rsidRPr="007122AB">
        <w:rPr>
          <w:rFonts w:ascii="Times New Roman" w:hAnsi="Times New Roman"/>
          <w:color w:val="000000" w:themeColor="text1"/>
          <w:sz w:val="16"/>
          <w:szCs w:val="16"/>
        </w:rPr>
        <w:t xml:space="preserve"> тяжелого топлива, с широким привлечением иностранной технической помощи и изучением заграничных образцов.</w:t>
      </w:r>
    </w:p>
    <w:p w14:paraId="2F4CB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Предложить ВАО построить к 1 ноября по имеющимся чертежам 5 </w:t>
      </w:r>
      <w:proofErr w:type="spellStart"/>
      <w:r w:rsidRPr="007122AB">
        <w:rPr>
          <w:rFonts w:ascii="Times New Roman" w:hAnsi="Times New Roman"/>
          <w:color w:val="000000" w:themeColor="text1"/>
          <w:sz w:val="16"/>
          <w:szCs w:val="16"/>
        </w:rPr>
        <w:t>дизельмоторов</w:t>
      </w:r>
      <w:proofErr w:type="spellEnd"/>
      <w:r w:rsidRPr="007122AB">
        <w:rPr>
          <w:rFonts w:ascii="Times New Roman" w:hAnsi="Times New Roman"/>
          <w:color w:val="000000" w:themeColor="text1"/>
          <w:sz w:val="16"/>
          <w:szCs w:val="16"/>
        </w:rPr>
        <w:t xml:space="preserve"> тяжелого топлива мощностью 230 НР.</w:t>
      </w:r>
    </w:p>
    <w:p w14:paraId="2E328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Наряду с этим особое внимание уделить разрешению проблемы об остановке мотора на расстоянии.</w:t>
      </w:r>
    </w:p>
    <w:p w14:paraId="640E678A"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начальника ВАО форсировать постройку опытных образцов маломощных самолетов и моторов и уже в 1932 году поставить массовое производство на существующих заводах.</w:t>
      </w:r>
    </w:p>
    <w:p w14:paraId="17A6FAD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ИАМ широко развернуть практические опытные работы по электронному литью картеров и других агрегатов моторов и изготовить не позже 1 октября 1931 года два опытных электронных картера М-34, используя в полной мере опыт германской фирмы БМВ и опыт итальянской фирмы Изота </w:t>
      </w:r>
      <w:proofErr w:type="spellStart"/>
      <w:r w:rsidRPr="007122AB">
        <w:rPr>
          <w:rFonts w:ascii="Times New Roman" w:hAnsi="Times New Roman"/>
          <w:color w:val="000000" w:themeColor="text1"/>
          <w:sz w:val="16"/>
          <w:szCs w:val="16"/>
        </w:rPr>
        <w:t>Фраскини</w:t>
      </w:r>
      <w:proofErr w:type="spellEnd"/>
      <w:r w:rsidRPr="007122AB">
        <w:rPr>
          <w:rFonts w:ascii="Times New Roman" w:hAnsi="Times New Roman"/>
          <w:color w:val="000000" w:themeColor="text1"/>
          <w:sz w:val="16"/>
          <w:szCs w:val="16"/>
        </w:rPr>
        <w:t>.</w:t>
      </w:r>
    </w:p>
    <w:p w14:paraId="7BF1DE8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Обязать ВСНХ в лице треста </w:t>
      </w:r>
      <w:proofErr w:type="spellStart"/>
      <w:r w:rsidRPr="007122AB">
        <w:rPr>
          <w:rFonts w:ascii="Times New Roman" w:hAnsi="Times New Roman"/>
          <w:color w:val="000000" w:themeColor="text1"/>
          <w:sz w:val="16"/>
          <w:szCs w:val="16"/>
        </w:rPr>
        <w:t>Теплобетон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Госсантехстрой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Москомгаза</w:t>
      </w:r>
      <w:proofErr w:type="spellEnd"/>
      <w:r w:rsidRPr="007122AB">
        <w:rPr>
          <w:rFonts w:ascii="Times New Roman" w:hAnsi="Times New Roman"/>
          <w:color w:val="000000" w:themeColor="text1"/>
          <w:sz w:val="16"/>
          <w:szCs w:val="16"/>
        </w:rPr>
        <w:t>, ВЭО и др., под ответственность председателей этих трестов и объединений, полностью закончить капитальное строительство и оборудование опытных организаций в обусловленные сроки.</w:t>
      </w:r>
    </w:p>
    <w:p w14:paraId="08F395E7"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НКВТ доставить в Союз заказанное для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оборудование по заявкам 1929-30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и особого квартала не позднее 1 октября 1931 года.</w:t>
      </w:r>
    </w:p>
    <w:p w14:paraId="03CA67E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ВСНХ обеспечить полностью заказы научно-исследовательских институтов на оборудование лабораторий и завода ИАМ транспортными устройствами, кранами, компрессорными установками и пр. советского производства не позднее 1 ноября 1931 года.</w:t>
      </w:r>
    </w:p>
    <w:p w14:paraId="0700F079"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начальника ВАО, </w:t>
      </w:r>
      <w:proofErr w:type="spellStart"/>
      <w:r w:rsidRPr="007122AB">
        <w:rPr>
          <w:rFonts w:ascii="Times New Roman" w:hAnsi="Times New Roman"/>
          <w:color w:val="000000" w:themeColor="text1"/>
          <w:sz w:val="16"/>
          <w:szCs w:val="16"/>
        </w:rPr>
        <w:t>Союзстанкоинструмент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Оргметалл</w:t>
      </w:r>
      <w:proofErr w:type="spellEnd"/>
      <w:r w:rsidRPr="007122AB">
        <w:rPr>
          <w:rFonts w:ascii="Times New Roman" w:hAnsi="Times New Roman"/>
          <w:color w:val="000000" w:themeColor="text1"/>
          <w:sz w:val="16"/>
          <w:szCs w:val="16"/>
        </w:rPr>
        <w:t xml:space="preserve"> и объединения ВСНХ, под ответственность председателей этих объединений, удовлетворять заявки на инструмент, материалы и предметы оборудования для срочных экспериментальных работ опытных строительств ВАО, УВВС, ВОГВФ вне всякой очереди, а заводы – Ижевский, Мотовилихинский и Электросталь поставлять поковки для опытных моторов в сроки, не превышающие двух месяцев с момента получения ими чертежей.</w:t>
      </w:r>
    </w:p>
    <w:p w14:paraId="4A16067B"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Отпустить для ВСНХ дополнительный контингент в 250000 рублей на приобретение специальных станков и лабораторного оборудования для создания мощного технологического отдела при ИАМ. Обязать ВСНХ и НКВТ закупить и доставить оборудование на эту сумму в Союз не позднее 1 декабря 1931 года.</w:t>
      </w:r>
    </w:p>
    <w:p w14:paraId="4A03832F"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Открыть ВСНХ для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дополнительный свободный контингент на 50000 рублей для срочных закупок за границей отдельных материалов, аппаратуры, агрегатов для опытных лабораторий и опытного моторостроения.</w:t>
      </w:r>
    </w:p>
    <w:p w14:paraId="03CC8E8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ВСНХ и НКВТ немедленно приступить к переговорам о закупке за границей трех опытных наиболее совершенных и мощных образца бензиновых и 4 образцов нефтяных двигателей для изучения их конструкций в </w:t>
      </w:r>
      <w:proofErr w:type="spellStart"/>
      <w:r w:rsidRPr="007122AB">
        <w:rPr>
          <w:rFonts w:ascii="Times New Roman" w:hAnsi="Times New Roman"/>
          <w:color w:val="000000" w:themeColor="text1"/>
          <w:sz w:val="16"/>
          <w:szCs w:val="16"/>
        </w:rPr>
        <w:t>ИАМе</w:t>
      </w:r>
      <w:proofErr w:type="spellEnd"/>
      <w:r w:rsidRPr="007122AB">
        <w:rPr>
          <w:rFonts w:ascii="Times New Roman" w:hAnsi="Times New Roman"/>
          <w:color w:val="000000" w:themeColor="text1"/>
          <w:sz w:val="16"/>
          <w:szCs w:val="16"/>
        </w:rPr>
        <w:t xml:space="preserve"> и в полуторамесячный срок доложить СТО о требующемся дополнительном отпуске валюты. Пригласить к 1 октября 1931 года 2 конструкторские группы, каждую по 5 человек и кроме того 10 инженеров, мастеров и техников для опытного завода ИАМ.</w:t>
      </w:r>
    </w:p>
    <w:p w14:paraId="5983719B"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начальника ВАО не позднее 1 августа 1931 года командировать от ИАМ в Италию на завод Изота </w:t>
      </w:r>
      <w:proofErr w:type="spellStart"/>
      <w:r w:rsidRPr="007122AB">
        <w:rPr>
          <w:rFonts w:ascii="Times New Roman" w:hAnsi="Times New Roman"/>
          <w:color w:val="000000" w:themeColor="text1"/>
          <w:sz w:val="16"/>
          <w:szCs w:val="16"/>
        </w:rPr>
        <w:t>Фраскини</w:t>
      </w:r>
      <w:proofErr w:type="spellEnd"/>
      <w:r w:rsidRPr="007122AB">
        <w:rPr>
          <w:rFonts w:ascii="Times New Roman" w:hAnsi="Times New Roman"/>
          <w:color w:val="000000" w:themeColor="text1"/>
          <w:sz w:val="16"/>
          <w:szCs w:val="16"/>
        </w:rPr>
        <w:t xml:space="preserve"> инженеров (в том числе одного по электронному литью) на все время приемки заказанных нами моторов АССО для детального изучения опыта этой фирмы, особенно по электронному литью и сверх того, в августе и сентябре еще 8 инженеров и 4 мастера на заводы Европы и Америки для выполнения целевых заданий, связанных с планом опытного строительства авиамоторов.</w:t>
      </w:r>
    </w:p>
    <w:p w14:paraId="22AA2E7D"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НКВМ, ВОГВФ и ВАО в месячный срок разработать и представить на утверждение СТО план опытного строительства самолетов и моторов, имея в виду внедрение строгой специализации моторов по заводам, причем типы моторов должны быть общие для ВВС и гражданской авиации.</w:t>
      </w:r>
    </w:p>
    <w:p w14:paraId="75C629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p w14:paraId="4E314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иностранной технической помощи.</w:t>
      </w:r>
    </w:p>
    <w:p w14:paraId="52C755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обеспечения выполнения намеченного плана авиационного строительства и освобождения от заграничной зависимости по </w:t>
      </w:r>
      <w:proofErr w:type="spellStart"/>
      <w:r w:rsidRPr="007122AB">
        <w:rPr>
          <w:rFonts w:ascii="Times New Roman" w:hAnsi="Times New Roman"/>
          <w:color w:val="000000" w:themeColor="text1"/>
          <w:sz w:val="16"/>
          <w:szCs w:val="16"/>
        </w:rPr>
        <w:t>техснабжению</w:t>
      </w:r>
      <w:proofErr w:type="spellEnd"/>
      <w:r w:rsidRPr="007122AB">
        <w:rPr>
          <w:rFonts w:ascii="Times New Roman" w:hAnsi="Times New Roman"/>
          <w:color w:val="000000" w:themeColor="text1"/>
          <w:sz w:val="16"/>
          <w:szCs w:val="16"/>
        </w:rPr>
        <w:t>, начиная с 1933 года (исключая алюминий), считать необходимым привлечение иностранной технической помощи, для чего обязать ВАО заключить договора с иностранными американскими и европейскими фирмами на нижеследующие объекты с внесением на утверждение Правительства.</w:t>
      </w:r>
    </w:p>
    <w:p w14:paraId="44284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 инструментальному хозяйству.</w:t>
      </w:r>
    </w:p>
    <w:p w14:paraId="58697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техпомощь на постановку производства всех видов инструмента для всей авиационной промышленности и с соответствующими иностранными фирмами (Германия, Италия, Англия).</w:t>
      </w:r>
    </w:p>
    <w:p w14:paraId="61D71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 разрезным крыльям.</w:t>
      </w:r>
    </w:p>
    <w:p w14:paraId="12A6B3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Приобрести у английской фирмы Х. Пейдж </w:t>
      </w:r>
      <w:proofErr w:type="spellStart"/>
      <w:r w:rsidRPr="007122AB">
        <w:rPr>
          <w:rFonts w:ascii="Times New Roman" w:hAnsi="Times New Roman"/>
          <w:color w:val="000000" w:themeColor="text1"/>
          <w:sz w:val="16"/>
          <w:szCs w:val="16"/>
        </w:rPr>
        <w:t>лиценз</w:t>
      </w:r>
      <w:proofErr w:type="spellEnd"/>
      <w:r w:rsidRPr="007122AB">
        <w:rPr>
          <w:rFonts w:ascii="Times New Roman" w:hAnsi="Times New Roman"/>
          <w:color w:val="000000" w:themeColor="text1"/>
          <w:sz w:val="16"/>
          <w:szCs w:val="16"/>
        </w:rPr>
        <w:t xml:space="preserve"> на разрезные крылья.</w:t>
      </w:r>
    </w:p>
    <w:p w14:paraId="2035B8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 хромомолибденовым трубам.</w:t>
      </w:r>
    </w:p>
    <w:p w14:paraId="47EA01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оказание технической помощи по постановке производства хромомолибденовых труб с одной из иностранных фирм (Англия, Швеция).</w:t>
      </w:r>
    </w:p>
    <w:p w14:paraId="77358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 поршневым кольцам.</w:t>
      </w:r>
    </w:p>
    <w:p w14:paraId="5B4D0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оказание техпомощи на постановку производства поршневых колец для авиационных моторов с одной из иностранных фирм (Италия, Германия, Америка и др.).</w:t>
      </w:r>
    </w:p>
    <w:p w14:paraId="340A3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 алюминиевому литейно-ковочному производству.</w:t>
      </w:r>
    </w:p>
    <w:p w14:paraId="07FBCA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 "Американская алюминиевая компания" на оказание техпомощи по литью, ковке, штамповке и термообработке цветных легких и ультра-легких сплавов, а также по литью импеллеров, ковке и штамповке металлических винтов. При заключении договора предусмотреть оказание техпомощи как по проектированию, постройке и подбору оборудования литейного завода, так и по разработке технологических процессов, подбору формовочных земель, спецификации материалов и т.д.</w:t>
      </w:r>
    </w:p>
    <w:p w14:paraId="618F8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Если соглашение с "Американской алюминиевой компанией" не состоится, договор заключить с фирмой Кертис Райт или с фирмой Бон </w:t>
      </w:r>
      <w:proofErr w:type="spellStart"/>
      <w:r w:rsidRPr="007122AB">
        <w:rPr>
          <w:rFonts w:ascii="Times New Roman" w:hAnsi="Times New Roman"/>
          <w:color w:val="000000" w:themeColor="text1"/>
          <w:sz w:val="16"/>
          <w:szCs w:val="16"/>
        </w:rPr>
        <w:t>алюминиум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компани</w:t>
      </w:r>
      <w:proofErr w:type="spellEnd"/>
      <w:r w:rsidRPr="007122AB">
        <w:rPr>
          <w:rFonts w:ascii="Times New Roman" w:hAnsi="Times New Roman"/>
          <w:color w:val="000000" w:themeColor="text1"/>
          <w:sz w:val="16"/>
          <w:szCs w:val="16"/>
        </w:rPr>
        <w:t xml:space="preserve"> или с одной из европейских фирм (Италия, Германия).</w:t>
      </w:r>
    </w:p>
    <w:p w14:paraId="595C1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По изготовлению специальных изделий и деталей.</w:t>
      </w:r>
    </w:p>
    <w:p w14:paraId="3CEF4C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американской фирмой </w:t>
      </w:r>
      <w:proofErr w:type="spellStart"/>
      <w:r w:rsidRPr="007122AB">
        <w:rPr>
          <w:rFonts w:ascii="Times New Roman" w:hAnsi="Times New Roman"/>
          <w:color w:val="000000" w:themeColor="text1"/>
          <w:sz w:val="16"/>
          <w:szCs w:val="16"/>
        </w:rPr>
        <w:t>Вендикс</w:t>
      </w:r>
      <w:proofErr w:type="spellEnd"/>
      <w:r w:rsidRPr="007122AB">
        <w:rPr>
          <w:rFonts w:ascii="Times New Roman" w:hAnsi="Times New Roman"/>
          <w:color w:val="000000" w:themeColor="text1"/>
          <w:sz w:val="16"/>
          <w:szCs w:val="16"/>
        </w:rPr>
        <w:t xml:space="preserve"> на постановку производства карбюраторов типа </w:t>
      </w:r>
      <w:proofErr w:type="spellStart"/>
      <w:r w:rsidRPr="007122AB">
        <w:rPr>
          <w:rFonts w:ascii="Times New Roman" w:hAnsi="Times New Roman"/>
          <w:color w:val="000000" w:themeColor="text1"/>
          <w:sz w:val="16"/>
          <w:szCs w:val="16"/>
        </w:rPr>
        <w:t>Стромберг</w:t>
      </w:r>
      <w:proofErr w:type="spellEnd"/>
      <w:r w:rsidRPr="007122AB">
        <w:rPr>
          <w:rFonts w:ascii="Times New Roman" w:hAnsi="Times New Roman"/>
          <w:color w:val="000000" w:themeColor="text1"/>
          <w:sz w:val="16"/>
          <w:szCs w:val="16"/>
        </w:rPr>
        <w:t xml:space="preserve">, самопусков Эклипс, электромеханического и </w:t>
      </w:r>
      <w:proofErr w:type="spellStart"/>
      <w:r w:rsidRPr="007122AB">
        <w:rPr>
          <w:rFonts w:ascii="Times New Roman" w:hAnsi="Times New Roman"/>
          <w:color w:val="000000" w:themeColor="text1"/>
          <w:sz w:val="16"/>
          <w:szCs w:val="16"/>
        </w:rPr>
        <w:t>электроинерционного</w:t>
      </w:r>
      <w:proofErr w:type="spellEnd"/>
      <w:r w:rsidRPr="007122AB">
        <w:rPr>
          <w:rFonts w:ascii="Times New Roman" w:hAnsi="Times New Roman"/>
          <w:color w:val="000000" w:themeColor="text1"/>
          <w:sz w:val="16"/>
          <w:szCs w:val="16"/>
        </w:rPr>
        <w:t xml:space="preserve"> типа и тормозных колес.</w:t>
      </w:r>
    </w:p>
    <w:p w14:paraId="435BD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На механическую обработку и изготовление винтов.</w:t>
      </w:r>
    </w:p>
    <w:p w14:paraId="36450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Гамильтон на техпомощь на механическую обработку и изготовление винтов из поковок (стальные для втулок и дюралевые для лопастей).</w:t>
      </w:r>
    </w:p>
    <w:p w14:paraId="11DF4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По производству клапанов.</w:t>
      </w:r>
    </w:p>
    <w:p w14:paraId="3EF17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американской фирмой Томсон на техпомощь и постановку производства клапанов к авиамоторам.</w:t>
      </w:r>
    </w:p>
    <w:p w14:paraId="511287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По производству подшипников.</w:t>
      </w:r>
    </w:p>
    <w:p w14:paraId="4EED5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американской фирмой </w:t>
      </w:r>
      <w:proofErr w:type="spellStart"/>
      <w:r w:rsidRPr="007122AB">
        <w:rPr>
          <w:rFonts w:ascii="Times New Roman" w:hAnsi="Times New Roman"/>
          <w:color w:val="000000" w:themeColor="text1"/>
          <w:sz w:val="16"/>
          <w:szCs w:val="16"/>
        </w:rPr>
        <w:t>Адлисон</w:t>
      </w:r>
      <w:proofErr w:type="spellEnd"/>
      <w:r w:rsidRPr="007122AB">
        <w:rPr>
          <w:rFonts w:ascii="Times New Roman" w:hAnsi="Times New Roman"/>
          <w:color w:val="000000" w:themeColor="text1"/>
          <w:sz w:val="16"/>
          <w:szCs w:val="16"/>
        </w:rPr>
        <w:t xml:space="preserve"> на техпомощь и постановку производства подшипников.</w:t>
      </w:r>
    </w:p>
    <w:p w14:paraId="014FC8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Примечание: Договор с фирмой </w:t>
      </w:r>
      <w:proofErr w:type="spellStart"/>
      <w:r w:rsidRPr="007122AB">
        <w:rPr>
          <w:rFonts w:ascii="Times New Roman" w:hAnsi="Times New Roman"/>
          <w:color w:val="000000" w:themeColor="text1"/>
          <w:sz w:val="16"/>
          <w:szCs w:val="16"/>
        </w:rPr>
        <w:t>Адлисон</w:t>
      </w:r>
      <w:proofErr w:type="spellEnd"/>
      <w:r w:rsidRPr="007122AB">
        <w:rPr>
          <w:rFonts w:ascii="Times New Roman" w:hAnsi="Times New Roman"/>
          <w:color w:val="000000" w:themeColor="text1"/>
          <w:sz w:val="16"/>
          <w:szCs w:val="16"/>
        </w:rPr>
        <w:t xml:space="preserve"> заключить в том случае, если не будет заключен договор с фирмой Бон </w:t>
      </w:r>
      <w:proofErr w:type="spellStart"/>
      <w:r w:rsidRPr="007122AB">
        <w:rPr>
          <w:rFonts w:ascii="Times New Roman" w:hAnsi="Times New Roman"/>
          <w:color w:val="000000" w:themeColor="text1"/>
          <w:sz w:val="16"/>
          <w:szCs w:val="16"/>
        </w:rPr>
        <w:t>алюминиум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компани</w:t>
      </w:r>
      <w:proofErr w:type="spellEnd"/>
      <w:r w:rsidRPr="007122AB">
        <w:rPr>
          <w:rFonts w:ascii="Times New Roman" w:hAnsi="Times New Roman"/>
          <w:color w:val="000000" w:themeColor="text1"/>
          <w:sz w:val="16"/>
          <w:szCs w:val="16"/>
        </w:rPr>
        <w:t xml:space="preserve"> на оказание техпомощи и постановку производства алюминиевого литься и подшипников.</w:t>
      </w:r>
    </w:p>
    <w:p w14:paraId="6CD41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По моторостроению.</w:t>
      </w:r>
    </w:p>
    <w:p w14:paraId="205541CD"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американской фирмой Кертис Райт на оказание техпомощи по проектированию, постройке и оборудованию двух моторостроительных заводов: одного на 10000 мощных моторов водяного охлаждения типа Кертис </w:t>
      </w:r>
      <w:proofErr w:type="spellStart"/>
      <w:r w:rsidRPr="007122AB">
        <w:rPr>
          <w:rFonts w:ascii="Times New Roman" w:hAnsi="Times New Roman"/>
          <w:color w:val="000000" w:themeColor="text1"/>
          <w:sz w:val="16"/>
          <w:szCs w:val="16"/>
        </w:rPr>
        <w:t>Конкверрор</w:t>
      </w:r>
      <w:proofErr w:type="spellEnd"/>
      <w:r w:rsidRPr="007122AB">
        <w:rPr>
          <w:rFonts w:ascii="Times New Roman" w:hAnsi="Times New Roman"/>
          <w:color w:val="000000" w:themeColor="text1"/>
          <w:sz w:val="16"/>
          <w:szCs w:val="16"/>
        </w:rPr>
        <w:t xml:space="preserve"> и другого на 10000 маломощных моторов воздушного охлаждения типа Райт Ж-6 165 л.с. и его модификации и 5000 мощных моторов воздушного охлаждения типа Райт-Циклон.</w:t>
      </w:r>
    </w:p>
    <w:p w14:paraId="01CA0D73"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Приобрести </w:t>
      </w:r>
      <w:proofErr w:type="spellStart"/>
      <w:r w:rsidRPr="007122AB">
        <w:rPr>
          <w:rFonts w:ascii="Times New Roman" w:hAnsi="Times New Roman"/>
          <w:color w:val="000000" w:themeColor="text1"/>
          <w:sz w:val="16"/>
          <w:szCs w:val="16"/>
        </w:rPr>
        <w:t>лиценз</w:t>
      </w:r>
      <w:proofErr w:type="spellEnd"/>
      <w:r w:rsidRPr="007122AB">
        <w:rPr>
          <w:rFonts w:ascii="Times New Roman" w:hAnsi="Times New Roman"/>
          <w:color w:val="000000" w:themeColor="text1"/>
          <w:sz w:val="16"/>
          <w:szCs w:val="16"/>
        </w:rPr>
        <w:t xml:space="preserve"> на вышеуказанные моторы Кертис </w:t>
      </w:r>
      <w:proofErr w:type="spellStart"/>
      <w:r w:rsidRPr="007122AB">
        <w:rPr>
          <w:rFonts w:ascii="Times New Roman" w:hAnsi="Times New Roman"/>
          <w:color w:val="000000" w:themeColor="text1"/>
          <w:sz w:val="16"/>
          <w:szCs w:val="16"/>
        </w:rPr>
        <w:t>Конкверрор</w:t>
      </w:r>
      <w:proofErr w:type="spellEnd"/>
      <w:r w:rsidRPr="007122AB">
        <w:rPr>
          <w:rFonts w:ascii="Times New Roman" w:hAnsi="Times New Roman"/>
          <w:color w:val="000000" w:themeColor="text1"/>
          <w:sz w:val="16"/>
          <w:szCs w:val="16"/>
        </w:rPr>
        <w:t xml:space="preserve"> и Райт во всех его типах.</w:t>
      </w:r>
    </w:p>
    <w:p w14:paraId="3F729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заключении договоров учесть необходимость обеспечить не только получение техпомощи на существующие образцы и методы изготовления, но также и по развитию образцов и методов.</w:t>
      </w:r>
    </w:p>
    <w:p w14:paraId="2ADEC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Вместе с тем, при заключении договоров не связывать получение иностранной техпомощи и приобретение </w:t>
      </w:r>
      <w:proofErr w:type="spellStart"/>
      <w:r w:rsidRPr="007122AB">
        <w:rPr>
          <w:rFonts w:ascii="Times New Roman" w:hAnsi="Times New Roman"/>
          <w:color w:val="000000" w:themeColor="text1"/>
          <w:sz w:val="16"/>
          <w:szCs w:val="16"/>
        </w:rPr>
        <w:t>лицензов</w:t>
      </w:r>
      <w:proofErr w:type="spellEnd"/>
      <w:r w:rsidRPr="007122AB">
        <w:rPr>
          <w:rFonts w:ascii="Times New Roman" w:hAnsi="Times New Roman"/>
          <w:color w:val="000000" w:themeColor="text1"/>
          <w:sz w:val="16"/>
          <w:szCs w:val="16"/>
        </w:rPr>
        <w:t xml:space="preserve"> с покупкой оборудования у данных фирм, ориентируясь прежде всего на отечественное машиностроение.</w:t>
      </w:r>
    </w:p>
    <w:p w14:paraId="40492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Приобретение техпомощи необходимо связать с максимальным укреплением позиций собственного опытного строительства.</w:t>
      </w:r>
    </w:p>
    <w:p w14:paraId="50E454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частности, необходимо добиться у фирм, с которыми будут заключать договора, права использования опыта и знания в области научно-исследовательских лабораторий, изучения методики, закупки специальной аппаратуры и установок и привлечения работников этих лабораторий для руководства отдельными темами в наших лабораториях.</w:t>
      </w:r>
    </w:p>
    <w:p w14:paraId="628B5C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Считая необходимой максимальную экономию в расходовании валюты, поручить комиссии в составе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Розенгольца</w:t>
      </w:r>
      <w:proofErr w:type="spellEnd"/>
      <w:r w:rsidRPr="007122AB">
        <w:rPr>
          <w:rFonts w:ascii="Times New Roman" w:hAnsi="Times New Roman"/>
          <w:color w:val="000000" w:themeColor="text1"/>
          <w:sz w:val="16"/>
          <w:szCs w:val="16"/>
        </w:rPr>
        <w:t xml:space="preserve"> (с правом замены по его указанию), Баранова, Кагановича, Алксниса,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xml:space="preserve">, Гая и </w:t>
      </w:r>
      <w:proofErr w:type="spellStart"/>
      <w:r w:rsidRPr="007122AB">
        <w:rPr>
          <w:rFonts w:ascii="Times New Roman" w:hAnsi="Times New Roman"/>
          <w:color w:val="000000" w:themeColor="text1"/>
          <w:sz w:val="16"/>
          <w:szCs w:val="16"/>
        </w:rPr>
        <w:t>Горянова</w:t>
      </w:r>
      <w:proofErr w:type="spellEnd"/>
      <w:r w:rsidRPr="007122AB">
        <w:rPr>
          <w:rFonts w:ascii="Times New Roman" w:hAnsi="Times New Roman"/>
          <w:color w:val="000000" w:themeColor="text1"/>
          <w:sz w:val="16"/>
          <w:szCs w:val="16"/>
        </w:rPr>
        <w:t xml:space="preserve"> пересмотреть все требования на валюту по оборудованию и на техпомощь, с изысканием всех возможностей базироваться на производство и технику внутри СССР. Созыв комиссии за </w:t>
      </w:r>
      <w:proofErr w:type="spellStart"/>
      <w:r w:rsidRPr="007122AB">
        <w:rPr>
          <w:rFonts w:ascii="Times New Roman" w:hAnsi="Times New Roman"/>
          <w:color w:val="000000" w:themeColor="text1"/>
          <w:sz w:val="16"/>
          <w:szCs w:val="16"/>
        </w:rPr>
        <w:t>Павлуновским</w:t>
      </w:r>
      <w:proofErr w:type="spellEnd"/>
      <w:r w:rsidRPr="007122AB">
        <w:rPr>
          <w:rFonts w:ascii="Times New Roman" w:hAnsi="Times New Roman"/>
          <w:color w:val="000000" w:themeColor="text1"/>
          <w:sz w:val="16"/>
          <w:szCs w:val="16"/>
        </w:rPr>
        <w:t>.</w:t>
      </w:r>
    </w:p>
    <w:p w14:paraId="17738F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единогласном решении комиссии приступить к заключению договоров.</w:t>
      </w:r>
    </w:p>
    <w:p w14:paraId="4754B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работы комиссии – месячный.</w:t>
      </w:r>
    </w:p>
    <w:p w14:paraId="178A8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Неотложные договора рассмотреть и внести в декадный срок.</w:t>
      </w:r>
    </w:p>
    <w:p w14:paraId="382C57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Разрешить немедленно же приступить к заключению договора с американскими фирмами на техпомощь по алюминиевому литью, ковке и штамповке в пределах суммы валюты в 1 млн. долларов.</w:t>
      </w:r>
    </w:p>
    <w:p w14:paraId="181CD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w:t>
      </w:r>
    </w:p>
    <w:p w14:paraId="26149A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выполнению плана строительства и программы 1931 </w:t>
      </w:r>
      <w:proofErr w:type="spellStart"/>
      <w:r w:rsidRPr="007122AB">
        <w:rPr>
          <w:rFonts w:ascii="Times New Roman" w:hAnsi="Times New Roman"/>
          <w:color w:val="000000" w:themeColor="text1"/>
          <w:sz w:val="16"/>
          <w:szCs w:val="16"/>
        </w:rPr>
        <w:t>годп</w:t>
      </w:r>
      <w:proofErr w:type="spellEnd"/>
    </w:p>
    <w:p w14:paraId="7F75B99D"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Утвердить программу производства авиапромышленности в 1931 году.</w:t>
      </w:r>
    </w:p>
    <w:p w14:paraId="625EB0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самолетам:</w:t>
      </w:r>
    </w:p>
    <w:p w14:paraId="65AD9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 680</w:t>
      </w:r>
    </w:p>
    <w:p w14:paraId="4F598E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 146</w:t>
      </w:r>
    </w:p>
    <w:p w14:paraId="39BBB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 50</w:t>
      </w:r>
    </w:p>
    <w:p w14:paraId="721348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Истребители – 376</w:t>
      </w:r>
    </w:p>
    <w:p w14:paraId="68DF9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3</w:t>
      </w:r>
    </w:p>
    <w:p w14:paraId="65A0A5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(учебные) – 809</w:t>
      </w:r>
    </w:p>
    <w:p w14:paraId="5EF60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С-62-бис (Савойя) – 30</w:t>
      </w:r>
    </w:p>
    <w:p w14:paraId="201B7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 (штурмовые) – 10</w:t>
      </w:r>
    </w:p>
    <w:p w14:paraId="58F3AB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АНТ9 – 114</w:t>
      </w:r>
    </w:p>
    <w:p w14:paraId="16FD7F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 – 205</w:t>
      </w:r>
    </w:p>
    <w:p w14:paraId="161AF0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 – 105</w:t>
      </w:r>
    </w:p>
    <w:p w14:paraId="227E7D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 302</w:t>
      </w:r>
    </w:p>
    <w:p w14:paraId="69ABB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АП-2 – 55</w:t>
      </w:r>
    </w:p>
    <w:p w14:paraId="7BB8CC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П-1 – 15</w:t>
      </w:r>
    </w:p>
    <w:p w14:paraId="7B7844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- 2900</w:t>
      </w:r>
    </w:p>
    <w:p w14:paraId="4FF02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т.ч. ВВС - 2024</w:t>
      </w:r>
    </w:p>
    <w:p w14:paraId="4B5AD7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моторам:</w:t>
      </w:r>
    </w:p>
    <w:p w14:paraId="76FBFA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 – 900</w:t>
      </w:r>
    </w:p>
    <w:p w14:paraId="3BD2A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 – 281</w:t>
      </w:r>
    </w:p>
    <w:p w14:paraId="1AA3B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 – 971</w:t>
      </w:r>
    </w:p>
    <w:p w14:paraId="16C4E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 – 430</w:t>
      </w:r>
    </w:p>
    <w:p w14:paraId="1A621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 – 150</w:t>
      </w:r>
    </w:p>
    <w:p w14:paraId="40206F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 – 410</w:t>
      </w:r>
    </w:p>
    <w:p w14:paraId="376213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 – 10</w:t>
      </w:r>
    </w:p>
    <w:p w14:paraId="48952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 – 8</w:t>
      </w:r>
    </w:p>
    <w:p w14:paraId="1CE63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ЮVН – 10</w:t>
      </w:r>
    </w:p>
    <w:p w14:paraId="4795DA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 3170</w:t>
      </w:r>
    </w:p>
    <w:p w14:paraId="5ADAE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т.ч. для ВВС – 2090</w:t>
      </w:r>
    </w:p>
    <w:p w14:paraId="1BF2082E"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ВАО выполнить весь заказ по запчастям и моторам М5 и М2 до 15 октября 1931 года.</w:t>
      </w:r>
    </w:p>
    <w:p w14:paraId="2F308FC6"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целях своевременного обеспечения заводов ВАО оборудованием для выполнения большой программы 1932 года:</w:t>
      </w:r>
    </w:p>
    <w:p w14:paraId="75086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комиссии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рассмотреть и доложить СТО в декадный срок вопрос об увеличении импортного контингента ВСНХ в 1931 году на 6,5 млн. рублей на закупку оборудования для заводов авиапрома;</w:t>
      </w:r>
    </w:p>
    <w:p w14:paraId="5E92AB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обязать НКВТ в наикратчайший срок разместить полностью все заказы на оборудование для авиапромышленности по всем ассигнованиям 1931 года;</w:t>
      </w:r>
    </w:p>
    <w:p w14:paraId="3BD666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обязать ВСНХ полностью разместить все потребное для авиапромышленности оборудование в 1931 году на заводах Союза.</w:t>
      </w:r>
    </w:p>
    <w:p w14:paraId="2B322282"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обеспечения программы 1931 года принять следующие мероприятия:</w:t>
      </w:r>
    </w:p>
    <w:p w14:paraId="3D62A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обязать ВАО командировать за границу для освоения опыта иностранных фирм необходимое количество работников и в первую очередь: по заводу № 24 – 8 инженеров, 8 мастеров, 8 рабочих; по заводу № 26 – 6 инженеров, 4 мастера в Германию на завод БМВ в порядке действующего договора на техпомощь и лицензию; по заводу № 29 – во Францию на завод Гном и Рон 10 инженеров и 10 мастеров в </w:t>
      </w:r>
      <w:proofErr w:type="spellStart"/>
      <w:r w:rsidRPr="007122AB">
        <w:rPr>
          <w:rFonts w:ascii="Times New Roman" w:hAnsi="Times New Roman"/>
          <w:color w:val="000000" w:themeColor="text1"/>
          <w:sz w:val="16"/>
          <w:szCs w:val="16"/>
        </w:rPr>
        <w:t>в</w:t>
      </w:r>
      <w:proofErr w:type="spellEnd"/>
      <w:r w:rsidRPr="007122AB">
        <w:rPr>
          <w:rFonts w:ascii="Times New Roman" w:hAnsi="Times New Roman"/>
          <w:color w:val="000000" w:themeColor="text1"/>
          <w:sz w:val="16"/>
          <w:szCs w:val="16"/>
        </w:rPr>
        <w:t xml:space="preserve"> порядке действующего договора на техпомощь и лицензию;</w:t>
      </w:r>
    </w:p>
    <w:p w14:paraId="0CCEF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обязать ВАО завербовать за границей 45 инженеров и 200 мастеров и рабочих;</w:t>
      </w:r>
    </w:p>
    <w:p w14:paraId="7BD6D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обязать ВСНХ обеспечить подачу заводу № 26 в июле 200 тонн шамота и в дальнейшем, начиная с августа по 50 тонн в месяц.</w:t>
      </w:r>
    </w:p>
    <w:p w14:paraId="7C44DB77"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основу реконструкции старых заводов и нового строительства положить строгую техническую специализацию, внедрение новейших совершенных методов обработки, а также привлечение и использование иностранной техпомощи.</w:t>
      </w:r>
    </w:p>
    <w:p w14:paraId="78A44F26"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плане развития авиапромышленности предусмотреть массовое производство маломощных самолетов и моторов.</w:t>
      </w:r>
    </w:p>
    <w:p w14:paraId="527D6CC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Предложить президиуму ВСНХ осуществлять постоянное и систематическое руководство и контроль за развертыванием капитального строительства авиапромышленности и обеспечить последнее всем необходимым для выполнения плана в точно указанные сроки.</w:t>
      </w:r>
    </w:p>
    <w:p w14:paraId="30C3C206"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Создать при управлении по капитальному строительству ВАО мощный проектный отдел.</w:t>
      </w:r>
    </w:p>
    <w:p w14:paraId="60F739F1"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президиум ВСНХ выделить на местах специальные строительные конторы для строительства ВАО.</w:t>
      </w:r>
    </w:p>
    <w:p w14:paraId="0776C39F"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Отнести капитальное строительство авиапромышленности к группе ударных строительств, находящихся под специальным наблюдением.</w:t>
      </w:r>
    </w:p>
    <w:p w14:paraId="723B61E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w:t>
      </w:r>
      <w:proofErr w:type="spellStart"/>
      <w:r w:rsidRPr="007122AB">
        <w:rPr>
          <w:rFonts w:ascii="Times New Roman" w:hAnsi="Times New Roman"/>
          <w:color w:val="000000" w:themeColor="text1"/>
          <w:sz w:val="16"/>
          <w:szCs w:val="16"/>
        </w:rPr>
        <w:t>Союзстрой</w:t>
      </w:r>
      <w:proofErr w:type="spellEnd"/>
      <w:r w:rsidRPr="007122AB">
        <w:rPr>
          <w:rFonts w:ascii="Times New Roman" w:hAnsi="Times New Roman"/>
          <w:color w:val="000000" w:themeColor="text1"/>
          <w:sz w:val="16"/>
          <w:szCs w:val="16"/>
        </w:rPr>
        <w:t xml:space="preserve"> Иванова обеспечить выполнение в срок проектов и чертежей для строительных работ ВАО.</w:t>
      </w:r>
    </w:p>
    <w:p w14:paraId="6B27F57E"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Выделить для ВАО 120 грузовых и 30 легковых машин не позднее 1 ноября 1931 года.</w:t>
      </w:r>
    </w:p>
    <w:p w14:paraId="7701D87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привлечения большого числа специалистов, в том числе и иностранных, обязать Моссовет не позднее 1 января 1932 года предоставить ВАО 75 квартир и ВОГВФ – 25 квартир.</w:t>
      </w:r>
    </w:p>
    <w:p w14:paraId="1CDAF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 По заводу № 39.</w:t>
      </w:r>
    </w:p>
    <w:p w14:paraId="16E94C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ВСНХ и НКВМ в течение 1931 года выпустить 20 самолетов (перехватчиков) и 6 тяжелых бомбовозов ТБ5.</w:t>
      </w:r>
    </w:p>
    <w:p w14:paraId="0F256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По кадрам.</w:t>
      </w:r>
    </w:p>
    <w:p w14:paraId="290E2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……………………………..(7429, 92-102).</w:t>
      </w:r>
    </w:p>
    <w:p w14:paraId="1EB73F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FD57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в соответствии с решением Политбюро ЦК ВКП (б) о строительстве Уфимского моторного завода от 15 июля, Башкирскому обкому партии поручили определить место его расположения, под стройку была отведена площадь возле села Богородское на реке Уфе, километрах в двадцати от центра города.</w:t>
      </w:r>
    </w:p>
    <w:p w14:paraId="700B6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7FFE3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564B18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1A006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1D032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1CF10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году был создан партком </w:t>
      </w:r>
      <w:proofErr w:type="spellStart"/>
      <w:r w:rsidRPr="007122AB">
        <w:rPr>
          <w:rFonts w:ascii="Times New Roman" w:hAnsi="Times New Roman"/>
          <w:color w:val="000000" w:themeColor="text1"/>
          <w:sz w:val="16"/>
          <w:szCs w:val="16"/>
        </w:rPr>
        <w:t>Моторостроя</w:t>
      </w:r>
      <w:proofErr w:type="spellEnd"/>
      <w:r w:rsidRPr="007122AB">
        <w:rPr>
          <w:rFonts w:ascii="Times New Roman" w:hAnsi="Times New Roman"/>
          <w:color w:val="000000" w:themeColor="text1"/>
          <w:sz w:val="16"/>
          <w:szCs w:val="16"/>
        </w:rPr>
        <w:t xml:space="preserve">. Секретарем парткома избрали Ф. В. </w:t>
      </w:r>
      <w:proofErr w:type="spellStart"/>
      <w:r w:rsidRPr="007122AB">
        <w:rPr>
          <w:rFonts w:ascii="Times New Roman" w:hAnsi="Times New Roman"/>
          <w:color w:val="000000" w:themeColor="text1"/>
          <w:sz w:val="16"/>
          <w:szCs w:val="16"/>
        </w:rPr>
        <w:t>Шагимарданова</w:t>
      </w:r>
      <w:proofErr w:type="spellEnd"/>
      <w:r w:rsidRPr="007122AB">
        <w:rPr>
          <w:rFonts w:ascii="Times New Roman" w:hAnsi="Times New Roman"/>
          <w:color w:val="000000" w:themeColor="text1"/>
          <w:sz w:val="16"/>
          <w:szCs w:val="16"/>
        </w:rPr>
        <w:t>.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66E7A7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w:t>
      </w:r>
      <w:proofErr w:type="spellStart"/>
      <w:r w:rsidRPr="007122AB">
        <w:rPr>
          <w:rFonts w:ascii="Times New Roman" w:hAnsi="Times New Roman"/>
          <w:color w:val="000000" w:themeColor="text1"/>
          <w:sz w:val="16"/>
          <w:szCs w:val="16"/>
        </w:rPr>
        <w:t>козоносы</w:t>
      </w:r>
      <w:proofErr w:type="spellEnd"/>
      <w:r w:rsidRPr="007122AB">
        <w:rPr>
          <w:rFonts w:ascii="Times New Roman" w:hAnsi="Times New Roman"/>
          <w:color w:val="000000" w:themeColor="text1"/>
          <w:sz w:val="16"/>
          <w:szCs w:val="16"/>
        </w:rPr>
        <w:t>. Так называли грузчиков, которые на «козе», закрепленной на спине, носили наверх кирпичи.</w:t>
      </w:r>
    </w:p>
    <w:p w14:paraId="6024B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7CAC03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Первыми должны были ввести в строй </w:t>
      </w:r>
      <w:proofErr w:type="spellStart"/>
      <w:r w:rsidRPr="007122AB">
        <w:rPr>
          <w:rFonts w:ascii="Times New Roman" w:hAnsi="Times New Roman"/>
          <w:color w:val="000000" w:themeColor="text1"/>
          <w:sz w:val="16"/>
          <w:szCs w:val="16"/>
        </w:rPr>
        <w:t>малолитейный</w:t>
      </w:r>
      <w:proofErr w:type="spellEnd"/>
      <w:r w:rsidRPr="007122AB">
        <w:rPr>
          <w:rFonts w:ascii="Times New Roman" w:hAnsi="Times New Roman"/>
          <w:color w:val="000000" w:themeColor="text1"/>
          <w:sz w:val="16"/>
          <w:szCs w:val="16"/>
        </w:rPr>
        <w:t>, кузнечный и инструментальный цехи. С расчисткой площадки сразу же закладывались их фундаменты.</w:t>
      </w:r>
    </w:p>
    <w:p w14:paraId="6E1B5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Одновременно строилось жилье, почта, телеграф, телефонная станция, прокладывались шоссе до города Уфы, железная дорога от станции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w:t>
      </w:r>
    </w:p>
    <w:p w14:paraId="2AD6BD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 xml:space="preserve"> возник большой палаточный городок. Весной 1935 года на стройку прибыл отряд казахов-кочевников (с семьями, на арбах, со своими верблюдами) во главе с </w:t>
      </w:r>
      <w:proofErr w:type="spellStart"/>
      <w:r w:rsidRPr="007122AB">
        <w:rPr>
          <w:rFonts w:ascii="Times New Roman" w:hAnsi="Times New Roman"/>
          <w:color w:val="000000" w:themeColor="text1"/>
          <w:sz w:val="16"/>
          <w:szCs w:val="16"/>
        </w:rPr>
        <w:t>Бетангалеевым</w:t>
      </w:r>
      <w:proofErr w:type="spellEnd"/>
      <w:r w:rsidRPr="007122AB">
        <w:rPr>
          <w:rFonts w:ascii="Times New Roman" w:hAnsi="Times New Roman"/>
          <w:color w:val="000000" w:themeColor="text1"/>
          <w:sz w:val="16"/>
          <w:szCs w:val="16"/>
        </w:rPr>
        <w:t>.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0B23FA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w:t>
      </w:r>
      <w:proofErr w:type="spellStart"/>
      <w:r w:rsidRPr="007122AB">
        <w:rPr>
          <w:rFonts w:ascii="Times New Roman" w:hAnsi="Times New Roman"/>
          <w:color w:val="000000" w:themeColor="text1"/>
          <w:sz w:val="16"/>
          <w:szCs w:val="16"/>
        </w:rPr>
        <w:t>Бетангалееву</w:t>
      </w:r>
      <w:proofErr w:type="spellEnd"/>
      <w:r w:rsidRPr="007122AB">
        <w:rPr>
          <w:rFonts w:ascii="Times New Roman" w:hAnsi="Times New Roman"/>
          <w:color w:val="000000" w:themeColor="text1"/>
          <w:sz w:val="16"/>
          <w:szCs w:val="16"/>
        </w:rPr>
        <w:t xml:space="preserve"> образцовую квартиру. Обставили ее мебелью — столы, стулья, кровати, шкафы, повесили оконные и дверные занавески, выдали постельное белье. </w:t>
      </w:r>
    </w:p>
    <w:p w14:paraId="7E3AD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32EF37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Многие рабочие, прибывшие на стройку, не имели ни опыта, ни квалификации. На виду была краснознаменная бригада мастера </w:t>
      </w:r>
      <w:proofErr w:type="spellStart"/>
      <w:r w:rsidRPr="007122AB">
        <w:rPr>
          <w:rFonts w:ascii="Times New Roman" w:hAnsi="Times New Roman"/>
          <w:color w:val="000000" w:themeColor="text1"/>
          <w:sz w:val="16"/>
          <w:szCs w:val="16"/>
        </w:rPr>
        <w:t>Мичугина</w:t>
      </w:r>
      <w:proofErr w:type="spellEnd"/>
      <w:r w:rsidRPr="007122AB">
        <w:rPr>
          <w:rFonts w:ascii="Times New Roman" w:hAnsi="Times New Roman"/>
          <w:color w:val="000000" w:themeColor="text1"/>
          <w:sz w:val="16"/>
          <w:szCs w:val="16"/>
        </w:rPr>
        <w:t xml:space="preserve"> из Магнитогорска. Она привезла с собой богатый опыт всесоюзной стройки. </w:t>
      </w:r>
    </w:p>
    <w:p w14:paraId="1E2E6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744B7E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0F35A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198FA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367F5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4E782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Интересна судьба </w:t>
      </w:r>
      <w:proofErr w:type="spellStart"/>
      <w:r w:rsidRPr="007122AB">
        <w:rPr>
          <w:rFonts w:ascii="Times New Roman" w:hAnsi="Times New Roman"/>
          <w:color w:val="000000" w:themeColor="text1"/>
          <w:sz w:val="16"/>
          <w:szCs w:val="16"/>
        </w:rPr>
        <w:t>Гатията</w:t>
      </w:r>
      <w:proofErr w:type="spellEnd"/>
      <w:r w:rsidRPr="007122AB">
        <w:rPr>
          <w:rFonts w:ascii="Times New Roman" w:hAnsi="Times New Roman"/>
          <w:color w:val="000000" w:themeColor="text1"/>
          <w:sz w:val="16"/>
          <w:szCs w:val="16"/>
        </w:rPr>
        <w:t xml:space="preserve"> Рахматуллина. На стройку он пришел в лаптях и онучах, в грубых самотканых портках. «Я знал только, как плести лапти да пастуший кнут», — рассказывал он позднее. </w:t>
      </w:r>
      <w:proofErr w:type="spellStart"/>
      <w:r w:rsidRPr="007122AB">
        <w:rPr>
          <w:rFonts w:ascii="Times New Roman" w:hAnsi="Times New Roman"/>
          <w:color w:val="000000" w:themeColor="text1"/>
          <w:sz w:val="16"/>
          <w:szCs w:val="16"/>
        </w:rPr>
        <w:t>Гатият</w:t>
      </w:r>
      <w:proofErr w:type="spellEnd"/>
      <w:r w:rsidRPr="007122AB">
        <w:rPr>
          <w:rFonts w:ascii="Times New Roman" w:hAnsi="Times New Roman"/>
          <w:color w:val="000000" w:themeColor="text1"/>
          <w:sz w:val="16"/>
          <w:szCs w:val="16"/>
        </w:rPr>
        <w:t xml:space="preserve"> научился писать и читать, стал комсомольцем, стахановцем. За первые три года освоил три специальности: каменщика, бетонщика и штукатура. </w:t>
      </w:r>
    </w:p>
    <w:p w14:paraId="734EE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3606CF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1938 году Москва снарядила </w:t>
      </w:r>
      <w:proofErr w:type="spellStart"/>
      <w:r w:rsidRPr="007122AB">
        <w:rPr>
          <w:rFonts w:ascii="Times New Roman" w:hAnsi="Times New Roman"/>
          <w:color w:val="000000" w:themeColor="text1"/>
          <w:sz w:val="16"/>
          <w:szCs w:val="16"/>
        </w:rPr>
        <w:t>агитсамолет</w:t>
      </w:r>
      <w:proofErr w:type="spellEnd"/>
      <w:r w:rsidRPr="007122AB">
        <w:rPr>
          <w:rFonts w:ascii="Times New Roman" w:hAnsi="Times New Roman"/>
          <w:color w:val="000000" w:themeColor="text1"/>
          <w:sz w:val="16"/>
          <w:szCs w:val="16"/>
        </w:rPr>
        <w:t xml:space="preserve"> «Крокодил» по маршруту: Москва — Орск — Магнитогорск — Уфа — Челябинск — Караганда — Кемерово — Новосибирск — Свердловск. На борту </w:t>
      </w:r>
      <w:proofErr w:type="spellStart"/>
      <w:r w:rsidRPr="007122AB">
        <w:rPr>
          <w:rFonts w:ascii="Times New Roman" w:hAnsi="Times New Roman"/>
          <w:color w:val="000000" w:themeColor="text1"/>
          <w:sz w:val="16"/>
          <w:szCs w:val="16"/>
        </w:rPr>
        <w:t>агитсамолета</w:t>
      </w:r>
      <w:proofErr w:type="spellEnd"/>
      <w:r w:rsidRPr="007122AB">
        <w:rPr>
          <w:rFonts w:ascii="Times New Roman" w:hAnsi="Times New Roman"/>
          <w:color w:val="000000" w:themeColor="text1"/>
          <w:sz w:val="16"/>
          <w:szCs w:val="16"/>
        </w:rPr>
        <w:t xml:space="preserve"> находились знатные труженики страны, знатоки своего дела, умельцы. Среди них был и </w:t>
      </w:r>
      <w:proofErr w:type="spellStart"/>
      <w:r w:rsidRPr="007122AB">
        <w:rPr>
          <w:rFonts w:ascii="Times New Roman" w:hAnsi="Times New Roman"/>
          <w:color w:val="000000" w:themeColor="text1"/>
          <w:sz w:val="16"/>
          <w:szCs w:val="16"/>
        </w:rPr>
        <w:t>Гатият</w:t>
      </w:r>
      <w:proofErr w:type="spellEnd"/>
      <w:r w:rsidRPr="007122AB">
        <w:rPr>
          <w:rFonts w:ascii="Times New Roman" w:hAnsi="Times New Roman"/>
          <w:color w:val="000000" w:themeColor="text1"/>
          <w:sz w:val="16"/>
          <w:szCs w:val="16"/>
        </w:rPr>
        <w:t>. Он обучил своим приемам 335 человек, и ЦК профсоюза строителей премировал его путевкой в Гагры.</w:t>
      </w:r>
    </w:p>
    <w:p w14:paraId="3E65B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5ED0A7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05B63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сентября 1934 года состоялся пуск </w:t>
      </w:r>
      <w:proofErr w:type="spellStart"/>
      <w:r w:rsidRPr="007122AB">
        <w:rPr>
          <w:rFonts w:ascii="Times New Roman" w:hAnsi="Times New Roman"/>
          <w:color w:val="000000" w:themeColor="text1"/>
          <w:sz w:val="16"/>
          <w:szCs w:val="16"/>
        </w:rPr>
        <w:t>малолитейного</w:t>
      </w:r>
      <w:proofErr w:type="spellEnd"/>
      <w:r w:rsidRPr="007122AB">
        <w:rPr>
          <w:rFonts w:ascii="Times New Roman" w:hAnsi="Times New Roman"/>
          <w:color w:val="000000" w:themeColor="text1"/>
          <w:sz w:val="16"/>
          <w:szCs w:val="16"/>
        </w:rPr>
        <w:t xml:space="preserve">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w:t>
      </w:r>
      <w:proofErr w:type="spellStart"/>
      <w:r w:rsidRPr="007122AB">
        <w:rPr>
          <w:rFonts w:ascii="Times New Roman" w:hAnsi="Times New Roman"/>
          <w:color w:val="000000" w:themeColor="text1"/>
          <w:sz w:val="16"/>
          <w:szCs w:val="16"/>
        </w:rPr>
        <w:t>БашЦИКа</w:t>
      </w:r>
      <w:proofErr w:type="spellEnd"/>
      <w:r w:rsidRPr="007122AB">
        <w:rPr>
          <w:rFonts w:ascii="Times New Roman" w:hAnsi="Times New Roman"/>
          <w:color w:val="000000" w:themeColor="text1"/>
          <w:sz w:val="16"/>
          <w:szCs w:val="16"/>
        </w:rPr>
        <w:t xml:space="preserve">, известный литератор </w:t>
      </w:r>
      <w:proofErr w:type="spellStart"/>
      <w:r w:rsidRPr="007122AB">
        <w:rPr>
          <w:rFonts w:ascii="Times New Roman" w:hAnsi="Times New Roman"/>
          <w:color w:val="000000" w:themeColor="text1"/>
          <w:sz w:val="16"/>
          <w:szCs w:val="16"/>
        </w:rPr>
        <w:t>Афзал</w:t>
      </w:r>
      <w:proofErr w:type="spellEnd"/>
      <w:r w:rsidRPr="007122AB">
        <w:rPr>
          <w:rFonts w:ascii="Times New Roman" w:hAnsi="Times New Roman"/>
          <w:color w:val="000000" w:themeColor="text1"/>
          <w:sz w:val="16"/>
          <w:szCs w:val="16"/>
        </w:rPr>
        <w:t xml:space="preserve"> Тагиров.</w:t>
      </w:r>
    </w:p>
    <w:p w14:paraId="3A44B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79B3F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1935 году завод дал первые десять комбайновых моторов У-5 и пять дизель-моторов «</w:t>
      </w:r>
      <w:proofErr w:type="spellStart"/>
      <w:r w:rsidRPr="007122AB">
        <w:rPr>
          <w:rFonts w:ascii="Times New Roman" w:hAnsi="Times New Roman"/>
          <w:color w:val="000000" w:themeColor="text1"/>
          <w:sz w:val="16"/>
          <w:szCs w:val="16"/>
        </w:rPr>
        <w:t>Коджу</w:t>
      </w:r>
      <w:proofErr w:type="spellEnd"/>
      <w:r w:rsidRPr="007122AB">
        <w:rPr>
          <w:rFonts w:ascii="Times New Roman" w:hAnsi="Times New Roman"/>
          <w:color w:val="000000" w:themeColor="text1"/>
          <w:sz w:val="16"/>
          <w:szCs w:val="16"/>
        </w:rPr>
        <w:t>». Необходимо было организовать их серийный выпуск.</w:t>
      </w:r>
    </w:p>
    <w:p w14:paraId="0923E1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40861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7370E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4D0D39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0F635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70C7F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837D29"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w:t>
      </w:r>
    </w:p>
    <w:p w14:paraId="49656C87"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w:t>
      </w:r>
    </w:p>
    <w:p w14:paraId="530160B1"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РЕВОЛЮЦИОННОГО ВОЕННОГО СОВЕТА СОЮЗА СОВЕТСКИХ СОЦИАЛИСТИЧЕСКИХ РЕСПУБЛИК</w:t>
      </w:r>
    </w:p>
    <w:p w14:paraId="76E7447C"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№119</w:t>
      </w:r>
    </w:p>
    <w:p w14:paraId="213B2F40"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1931 г. г. Москва</w:t>
      </w:r>
    </w:p>
    <w:p w14:paraId="76907ACB"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присвоении отдельному авиационному отряду по испытанию морских самолетов Научно-испытательного института ВВС РККА наименования: «Отдельный авиационный отряд по испытанию морских самолетов инженер-летчика Коровкина»</w:t>
      </w:r>
    </w:p>
    <w:p w14:paraId="1FC3C811"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увековечения памяти военного инженера-механика воздушного флота военно-морского летчика Коровкина Митрофана Андреевича, погибшего при выполнении специального служебного задания, присвоить отдельному авиационному отряду по испытанию морских самолетов Научно-испытательного института ВВС РККА наименование:</w:t>
      </w:r>
    </w:p>
    <w:p w14:paraId="34DEF3A4"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«Отдельный авиационный отряд по испытанию морских самолетов имени инженера-летчика Коровкина».</w:t>
      </w:r>
    </w:p>
    <w:p w14:paraId="6835AEA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Заместитель Народного Комиссара по Военным и Морским Делам Председателя РВС СССР</w:t>
      </w:r>
    </w:p>
    <w:p w14:paraId="6E79E880"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Тухачевский (18518).</w:t>
      </w:r>
    </w:p>
    <w:p w14:paraId="55D95A4E" w14:textId="77777777" w:rsidR="00A77F55" w:rsidRPr="007122AB" w:rsidRDefault="00A77F55" w:rsidP="007122AB">
      <w:pPr>
        <w:spacing w:after="0" w:line="240" w:lineRule="auto"/>
        <w:jc w:val="both"/>
        <w:rPr>
          <w:rFonts w:ascii="Times New Roman" w:hAnsi="Times New Roman"/>
          <w:color w:val="000000" w:themeColor="text1"/>
          <w:sz w:val="16"/>
          <w:szCs w:val="16"/>
        </w:rPr>
      </w:pPr>
    </w:p>
    <w:p w14:paraId="0E6A3A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июля 1931 в Ленинград прилетел дирижабль LZ-127 "Граф Цеппелин" под управлением </w:t>
      </w:r>
      <w:proofErr w:type="spellStart"/>
      <w:r w:rsidRPr="007122AB">
        <w:rPr>
          <w:rFonts w:ascii="Times New Roman" w:hAnsi="Times New Roman"/>
          <w:color w:val="000000" w:themeColor="text1"/>
          <w:sz w:val="16"/>
          <w:szCs w:val="16"/>
        </w:rPr>
        <w:t>Г.Эккенера</w:t>
      </w:r>
      <w:proofErr w:type="spellEnd"/>
      <w:r w:rsidRPr="007122AB">
        <w:rPr>
          <w:rFonts w:ascii="Times New Roman" w:hAnsi="Times New Roman"/>
          <w:color w:val="000000" w:themeColor="text1"/>
          <w:sz w:val="16"/>
          <w:szCs w:val="16"/>
        </w:rPr>
        <w:t xml:space="preserve"> (438,625) для начала поисков дирижабля "Норге" (233,84). На нем с 26 по 30 июля 1931 летали несколько русских (438,625). Потом полетел в Архангельск и затем через Баренцево море к Земле Франца-Иосифа. Достиг бухты Тихой за 34 час. и сев на воду обменялся почтой с пароходом Малыгин.</w:t>
      </w:r>
    </w:p>
    <w:p w14:paraId="1C42D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8A70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июля 1931 г. – В Ленинград прилетел дирижабль «Граф Цеппелин» для участия в экспедиции на Советский Север. От СССР в состав экипажа дирижабля вошли Р.Л. Самойлович, П.А. Молчанов, Ф.Ф. </w:t>
      </w:r>
      <w:proofErr w:type="spellStart"/>
      <w:r w:rsidRPr="007122AB">
        <w:rPr>
          <w:rFonts w:ascii="Times New Roman" w:hAnsi="Times New Roman"/>
          <w:color w:val="000000" w:themeColor="text1"/>
          <w:sz w:val="16"/>
          <w:szCs w:val="16"/>
        </w:rPr>
        <w:t>Ассберг</w:t>
      </w:r>
      <w:proofErr w:type="spellEnd"/>
      <w:r w:rsidRPr="007122AB">
        <w:rPr>
          <w:rFonts w:ascii="Times New Roman" w:hAnsi="Times New Roman"/>
          <w:color w:val="000000" w:themeColor="text1"/>
          <w:sz w:val="16"/>
          <w:szCs w:val="16"/>
        </w:rPr>
        <w:t xml:space="preserve"> и Э.А. Кренкель (11013).</w:t>
      </w:r>
    </w:p>
    <w:p w14:paraId="7601C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CDFC1B"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в 1931 году на Комендантский аэродром прибыл немецкий дирижабль ("цеппелин") "ЛЦ-127". Он совершал перелет из Берлина в Арктику, к Новой Земле (14963).</w:t>
      </w:r>
    </w:p>
    <w:p w14:paraId="224D655D"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0E365430" w14:textId="77777777" w:rsidR="003562F3" w:rsidRPr="007122AB" w:rsidRDefault="003562F3" w:rsidP="007122AB">
      <w:pPr>
        <w:pStyle w:val="a3"/>
        <w:widowControl/>
        <w:autoSpaceDE/>
        <w:autoSpaceDN/>
        <w:adjustRightInd/>
        <w:rPr>
          <w:color w:val="000000" w:themeColor="text1"/>
          <w:lang w:val="ru-RU"/>
        </w:rPr>
      </w:pPr>
      <w:r w:rsidRPr="007122AB">
        <w:rPr>
          <w:color w:val="000000" w:themeColor="text1"/>
          <w:lang w:val="ru-RU"/>
        </w:rPr>
        <w:t>На вечер 25 июля 1931 г. пришелся второй прилет «Графа Цеппелина» в Россию, теперь уже в Ленинград. Дирижабль имел на борту группу советских ученых во главе с директором Арктического института про</w:t>
      </w:r>
      <w:r w:rsidRPr="007122AB">
        <w:rPr>
          <w:color w:val="000000" w:themeColor="text1"/>
          <w:lang w:val="ru-RU"/>
        </w:rPr>
        <w:softHyphen/>
        <w:t>фессором Р.Л. Самойловичем и, спеша на Север, пользовался гостеприимством при</w:t>
      </w:r>
      <w:r w:rsidRPr="007122AB">
        <w:rPr>
          <w:color w:val="000000" w:themeColor="text1"/>
          <w:lang w:val="ru-RU"/>
        </w:rPr>
        <w:softHyphen/>
        <w:t xml:space="preserve">нимающей его стороны всего 15 ч. Поэтому банкетные речи, </w:t>
      </w:r>
      <w:proofErr w:type="spellStart"/>
      <w:r w:rsidRPr="007122AB">
        <w:rPr>
          <w:color w:val="000000" w:themeColor="text1"/>
          <w:lang w:val="ru-RU"/>
        </w:rPr>
        <w:t>втом</w:t>
      </w:r>
      <w:proofErr w:type="spellEnd"/>
      <w:r w:rsidRPr="007122AB">
        <w:rPr>
          <w:color w:val="000000" w:themeColor="text1"/>
          <w:lang w:val="ru-RU"/>
        </w:rPr>
        <w:t xml:space="preserve"> числе и </w:t>
      </w:r>
      <w:proofErr w:type="spellStart"/>
      <w:r w:rsidRPr="007122AB">
        <w:rPr>
          <w:color w:val="000000" w:themeColor="text1"/>
          <w:lang w:val="ru-RU"/>
        </w:rPr>
        <w:t>комвойскЛе</w:t>
      </w:r>
      <w:proofErr w:type="spellEnd"/>
      <w:r w:rsidRPr="007122AB">
        <w:rPr>
          <w:color w:val="000000" w:themeColor="text1"/>
          <w:lang w:val="ru-RU"/>
        </w:rPr>
        <w:t xml:space="preserve">- </w:t>
      </w:r>
      <w:proofErr w:type="spellStart"/>
      <w:r w:rsidRPr="007122AB">
        <w:rPr>
          <w:color w:val="000000" w:themeColor="text1"/>
          <w:lang w:val="ru-RU"/>
        </w:rPr>
        <w:t>нинградского</w:t>
      </w:r>
      <w:proofErr w:type="spellEnd"/>
      <w:r w:rsidRPr="007122AB">
        <w:rPr>
          <w:color w:val="000000" w:themeColor="text1"/>
          <w:lang w:val="ru-RU"/>
        </w:rPr>
        <w:t xml:space="preserve"> военного округа И.П. Белова, были кратки. Пополнив запасы газа с заранее доставленного из Германии </w:t>
      </w:r>
      <w:proofErr w:type="spellStart"/>
      <w:r w:rsidRPr="007122AB">
        <w:rPr>
          <w:color w:val="000000" w:themeColor="text1"/>
          <w:lang w:val="ru-RU"/>
        </w:rPr>
        <w:t>минизавода</w:t>
      </w:r>
      <w:proofErr w:type="spellEnd"/>
      <w:r w:rsidRPr="007122AB">
        <w:rPr>
          <w:color w:val="000000" w:themeColor="text1"/>
          <w:lang w:val="ru-RU"/>
        </w:rPr>
        <w:t xml:space="preserve"> концерна «Сименс-</w:t>
      </w:r>
      <w:proofErr w:type="spellStart"/>
      <w:r w:rsidRPr="007122AB">
        <w:rPr>
          <w:color w:val="000000" w:themeColor="text1"/>
          <w:lang w:val="ru-RU"/>
        </w:rPr>
        <w:t>Шуккерт</w:t>
      </w:r>
      <w:proofErr w:type="spellEnd"/>
      <w:r w:rsidRPr="007122AB">
        <w:rPr>
          <w:color w:val="000000" w:themeColor="text1"/>
          <w:lang w:val="ru-RU"/>
        </w:rPr>
        <w:t>», 12-127 отбыл в 11.00 утра курсом на Архангельск.</w:t>
      </w:r>
    </w:p>
    <w:p w14:paraId="55488024" w14:textId="77777777" w:rsidR="003562F3" w:rsidRPr="007122AB" w:rsidRDefault="003562F3" w:rsidP="007122AB">
      <w:pPr>
        <w:pStyle w:val="a3"/>
        <w:widowControl/>
        <w:autoSpaceDE/>
        <w:autoSpaceDN/>
        <w:adjustRightInd/>
        <w:rPr>
          <w:color w:val="000000" w:themeColor="text1"/>
          <w:lang w:val="ru-RU"/>
        </w:rPr>
      </w:pPr>
      <w:r w:rsidRPr="007122AB">
        <w:rPr>
          <w:color w:val="000000" w:themeColor="text1"/>
          <w:lang w:val="ru-RU"/>
        </w:rPr>
        <w:t>Через 91 ч (столько продлился весь полет в Арктику) цеппелин, кстати, осна</w:t>
      </w:r>
      <w:r w:rsidRPr="007122AB">
        <w:rPr>
          <w:color w:val="000000" w:themeColor="text1"/>
          <w:lang w:val="ru-RU"/>
        </w:rPr>
        <w:softHyphen/>
        <w:t>щенный прекрасной аэрофотографической аппаратурой, вторично появился над Ленин</w:t>
      </w:r>
      <w:r w:rsidRPr="007122AB">
        <w:rPr>
          <w:color w:val="000000" w:themeColor="text1"/>
          <w:lang w:val="ru-RU"/>
        </w:rPr>
        <w:softHyphen/>
        <w:t>градом, сделал два круга над аэродромом, сбросил принятую в Баренцевом море с ледокола «Малыгин» почту и, сославшись на надвигающуюся грозу, убыл восвояси. Необъяснимая спешка всего предпри</w:t>
      </w:r>
      <w:r w:rsidRPr="007122AB">
        <w:rPr>
          <w:color w:val="000000" w:themeColor="text1"/>
          <w:lang w:val="ru-RU"/>
        </w:rPr>
        <w:softHyphen/>
        <w:t>ятия осталась одной из тайн германской дипломатии или, скорее, военной разведки Рейхсвера (12732).</w:t>
      </w:r>
    </w:p>
    <w:p w14:paraId="5968C296" w14:textId="77777777" w:rsidR="003562F3" w:rsidRPr="007122AB" w:rsidRDefault="003562F3" w:rsidP="007122AB">
      <w:pPr>
        <w:pStyle w:val="a3"/>
        <w:widowControl/>
        <w:autoSpaceDE/>
        <w:autoSpaceDN/>
        <w:adjustRightInd/>
        <w:rPr>
          <w:color w:val="000000" w:themeColor="text1"/>
          <w:lang w:val="ru-RU"/>
        </w:rPr>
      </w:pPr>
    </w:p>
    <w:p w14:paraId="22FDE8B5" w14:textId="77777777" w:rsidR="00875C4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1D53708" w14:textId="77777777" w:rsidR="00875C4A" w:rsidRPr="007122AB" w:rsidRDefault="00875C4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ACE820"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июля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№51. 19. О Сталинградском тракторном заводе (ПБ от 10 декабря 1930 г., пр. № 20, п. 4/10) (Орджоникидзе). (Политбюро... Т. 2. С. 196) (12416).</w:t>
      </w:r>
    </w:p>
    <w:p w14:paraId="6351F2A2"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p>
    <w:p w14:paraId="59D62E0E" w14:textId="77777777" w:rsidR="0005751F" w:rsidRPr="007122AB" w:rsidRDefault="0005751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июля в 1931 году в Челябинске Государственная комиссия принимает в эксплуатацию первую очередь ферросплавного завода. (Ныне ЧЭМК - Челябинский Электрометаллургический Комбинат) (14963).</w:t>
      </w:r>
    </w:p>
    <w:p w14:paraId="08B1BCEF" w14:textId="77777777" w:rsidR="0005751F" w:rsidRPr="007122AB" w:rsidRDefault="0005751F" w:rsidP="007122AB">
      <w:pPr>
        <w:spacing w:after="0" w:line="240" w:lineRule="auto"/>
        <w:jc w:val="both"/>
        <w:rPr>
          <w:rFonts w:ascii="Times New Roman" w:hAnsi="Times New Roman"/>
          <w:color w:val="000000" w:themeColor="text1"/>
          <w:sz w:val="16"/>
          <w:szCs w:val="16"/>
        </w:rPr>
      </w:pPr>
    </w:p>
    <w:p w14:paraId="25A9DB3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04C98C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8D56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июля 1931 появились новые требования ВВС к ДИП (АНТ-29) с АПК-8 в 103 мм и скоростью 350 км/час (1454,22) и был открыт заказ (2693,15).</w:t>
      </w:r>
    </w:p>
    <w:p w14:paraId="6A3732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A13A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июля 1931 года ВСНХ издал приказ, которым предлагалось Всесоюзному электротехническому объединению (ВЭО) приступить к проектированию электровозного завода.</w:t>
      </w:r>
    </w:p>
    <w:p w14:paraId="5E59AF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Строительно-подготовительные работы были начаты в июне 1932 года, но выполнены в этом году в незначительном объеме.</w:t>
      </w:r>
    </w:p>
    <w:p w14:paraId="31BC0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Строительная площадка была перенесена ближе к ст. Ступино, в 12 км северо-западнее Каширы.</w:t>
      </w:r>
    </w:p>
    <w:p w14:paraId="169152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Окончательное утверждение Правительством генерального плана и генеральной сметы Каширского электровозного завода состоялось 13 сентября 1935 года (Постановление СТО № 572).</w:t>
      </w:r>
    </w:p>
    <w:p w14:paraId="602430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пуска электровозного завода был установлен на начало 1936 года.</w:t>
      </w:r>
    </w:p>
    <w:p w14:paraId="676132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решения Правительства, приказом НКТП от 3 марта 1936 года за № 46с было предложено:</w:t>
      </w:r>
    </w:p>
    <w:p w14:paraId="16E812A9"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Строительную площадку Каширского электровозного завода передать из ведения </w:t>
      </w:r>
      <w:proofErr w:type="spellStart"/>
      <w:r w:rsidRPr="007122AB">
        <w:rPr>
          <w:rFonts w:ascii="Times New Roman" w:hAnsi="Times New Roman"/>
          <w:color w:val="000000" w:themeColor="text1"/>
          <w:sz w:val="16"/>
          <w:szCs w:val="16"/>
        </w:rPr>
        <w:t>Главэнергопрома</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w:t>
      </w:r>
    </w:p>
    <w:p w14:paraId="6020ABD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Глававиапрому</w:t>
      </w:r>
      <w:proofErr w:type="spellEnd"/>
      <w:r w:rsidRPr="007122AB">
        <w:rPr>
          <w:rFonts w:ascii="Times New Roman" w:hAnsi="Times New Roman"/>
          <w:color w:val="000000" w:themeColor="text1"/>
          <w:sz w:val="16"/>
          <w:szCs w:val="16"/>
        </w:rPr>
        <w:t xml:space="preserve"> развернуть на базе стройплощадки </w:t>
      </w:r>
      <w:proofErr w:type="spellStart"/>
      <w:r w:rsidRPr="007122AB">
        <w:rPr>
          <w:rFonts w:ascii="Times New Roman" w:hAnsi="Times New Roman"/>
          <w:color w:val="000000" w:themeColor="text1"/>
          <w:sz w:val="16"/>
          <w:szCs w:val="16"/>
        </w:rPr>
        <w:t>элеткровозного</w:t>
      </w:r>
      <w:proofErr w:type="spellEnd"/>
      <w:r w:rsidRPr="007122AB">
        <w:rPr>
          <w:rFonts w:ascii="Times New Roman" w:hAnsi="Times New Roman"/>
          <w:color w:val="000000" w:themeColor="text1"/>
          <w:sz w:val="16"/>
          <w:szCs w:val="16"/>
        </w:rPr>
        <w:t xml:space="preserve"> завода строительство нового авиационного комбината, в первую очередь – завода винтов переменного шага и самопусков.</w:t>
      </w:r>
    </w:p>
    <w:p w14:paraId="606D5E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этом же заводе организовать производство мелких паровых турбин от 1 до 3 тыс. киловатт.</w:t>
      </w:r>
    </w:p>
    <w:p w14:paraId="5EC0D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Этим же приказом строительству </w:t>
      </w:r>
      <w:proofErr w:type="spellStart"/>
      <w:r w:rsidRPr="007122AB">
        <w:rPr>
          <w:rFonts w:ascii="Times New Roman" w:hAnsi="Times New Roman"/>
          <w:color w:val="000000" w:themeColor="text1"/>
          <w:sz w:val="16"/>
          <w:szCs w:val="16"/>
        </w:rPr>
        <w:t>авиакомбината</w:t>
      </w:r>
      <w:proofErr w:type="spellEnd"/>
      <w:r w:rsidRPr="007122AB">
        <w:rPr>
          <w:rFonts w:ascii="Times New Roman" w:hAnsi="Times New Roman"/>
          <w:color w:val="000000" w:themeColor="text1"/>
          <w:sz w:val="16"/>
          <w:szCs w:val="16"/>
        </w:rPr>
        <w:t xml:space="preserve"> было присвоено наименование «Комбинат № 150» (9504).</w:t>
      </w:r>
    </w:p>
    <w:p w14:paraId="271C1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А. Назаров</w:t>
      </w:r>
    </w:p>
    <w:p w14:paraId="7AC32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ст. Ступино Московской области</w:t>
      </w:r>
    </w:p>
    <w:p w14:paraId="2C45E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Производственный профиль – прокат (листы), прессованные прутки, профили и трубы из алюминиевых сплавов; жаропрочные </w:t>
      </w:r>
      <w:proofErr w:type="spellStart"/>
      <w:r w:rsidRPr="007122AB">
        <w:rPr>
          <w:rFonts w:ascii="Times New Roman" w:hAnsi="Times New Roman"/>
          <w:color w:val="000000" w:themeColor="text1"/>
          <w:sz w:val="16"/>
          <w:szCs w:val="16"/>
        </w:rPr>
        <w:t>спецсплавы</w:t>
      </w:r>
      <w:proofErr w:type="spellEnd"/>
      <w:r w:rsidRPr="007122AB">
        <w:rPr>
          <w:rFonts w:ascii="Times New Roman" w:hAnsi="Times New Roman"/>
          <w:color w:val="000000" w:themeColor="text1"/>
          <w:sz w:val="16"/>
          <w:szCs w:val="16"/>
        </w:rPr>
        <w:t xml:space="preserve"> для авиамоторостроения; штамповки из стали и титана</w:t>
      </w:r>
    </w:p>
    <w:p w14:paraId="11BF95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150 расположен в Ступино в 99 км от Москвы в сторону Каширы.</w:t>
      </w:r>
    </w:p>
    <w:p w14:paraId="7DE1CC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 150 создан на базе строительства Каширского электровозного завода, начатого в 1932 году в соответствии с решениями Партии и Правительства об электрификации ж/д </w:t>
      </w:r>
      <w:proofErr w:type="spellStart"/>
      <w:r w:rsidRPr="007122AB">
        <w:rPr>
          <w:rFonts w:ascii="Times New Roman" w:hAnsi="Times New Roman"/>
          <w:color w:val="000000" w:themeColor="text1"/>
          <w:sz w:val="16"/>
          <w:szCs w:val="16"/>
        </w:rPr>
        <w:t>траснпорта</w:t>
      </w:r>
      <w:proofErr w:type="spellEnd"/>
      <w:r w:rsidRPr="007122AB">
        <w:rPr>
          <w:rFonts w:ascii="Times New Roman" w:hAnsi="Times New Roman"/>
          <w:color w:val="000000" w:themeColor="text1"/>
          <w:sz w:val="16"/>
          <w:szCs w:val="16"/>
        </w:rPr>
        <w:t>.</w:t>
      </w:r>
    </w:p>
    <w:p w14:paraId="5A790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проект и генеральная смета Комбината № 150 были утверждены в январе 1937 года в составе следующих заводов:</w:t>
      </w:r>
    </w:p>
    <w:p w14:paraId="6F8EA53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Металлических винтов переменного шага с выпуском 38000 штук в год.</w:t>
      </w:r>
    </w:p>
    <w:p w14:paraId="4E641C1F"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Самопусков различных систем, общим количеством 124000 штук в год.</w:t>
      </w:r>
    </w:p>
    <w:p w14:paraId="7197AA8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 учебных и тренировочных – 1000 штук в год.</w:t>
      </w:r>
    </w:p>
    <w:p w14:paraId="6274D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винтов и самопусков было намечено замкнутым циклом с изготовлением на комбинате № 150 кузнечной заготовки и литья.</w:t>
      </w:r>
    </w:p>
    <w:p w14:paraId="376EC7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самолетов осуществлялось с нормальной кооперацией со смежными заводами по моторам, приборам, колесам.</w:t>
      </w:r>
    </w:p>
    <w:p w14:paraId="2FE121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Комбинат начал свою производственную деятельность с 1 января 1937 года (выпуск винтов).</w:t>
      </w:r>
    </w:p>
    <w:p w14:paraId="6AC48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1937 и 1938 годы были периодом формирования Комбината № 150 как действующего предприятия авиапромышленности.</w:t>
      </w:r>
    </w:p>
    <w:p w14:paraId="117EFD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эти годы винтовое производство Комбината № 150 выпускало металлические винты изменяемого в полете шага типов ВИШ-3, ВИШ-6, ВИШ-21, В-25. Самолетостроительное производство выпускало учебно-тренировочные самолеты типа УТ-1.</w:t>
      </w:r>
    </w:p>
    <w:p w14:paraId="4FC58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самопусков организовано не было.</w:t>
      </w:r>
    </w:p>
    <w:p w14:paraId="687D5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о количестве винтов всех типов, выпущенных комбинатом № 150 с начала производства и до его прекращения: 1937 год – 355 штук</w:t>
      </w:r>
    </w:p>
    <w:p w14:paraId="2C17A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1938 год – 4322 штук 1939 год – 7605 штук 1940 год – 11865 штук до 14 октября 1941 года – 12084 штук Итого – 36231 штук</w:t>
      </w:r>
    </w:p>
    <w:p w14:paraId="21A34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самолетов на Комбинате № 150 было прекращено в конце июня 1939 года согласно приказу НКАП и в дальнейшем не возобновлялось.</w:t>
      </w:r>
    </w:p>
    <w:p w14:paraId="0FD12A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Экономсовета от 29 марта 1938 года за № 161-31с было предложено организовать на Комбината № 150 производство проката листов из алюминиевых сплавов и для этой цели начать строительство соответствующих производственных корпусов (производство № 4).</w:t>
      </w:r>
    </w:p>
    <w:p w14:paraId="6646E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 продукции прокатным производством был начат в апреле 1940 года. В 1941 году, к началу ВОВ, Комбинат № 150 имел в своем составе три основных производства: винтовое, прокатное и кузнечное.</w:t>
      </w:r>
    </w:p>
    <w:p w14:paraId="499FD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Постановления ГКО от 8 октября 1941 года за № 741сс и приказа НКАП № 1053сс от 9 октября 1941 года Комбинат № 150 был эвакуирован. Выпуск продукции комбината был прекращен с 14 октября 1941 года, когда начался демонтаж оборудования.</w:t>
      </w:r>
    </w:p>
    <w:p w14:paraId="14825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Эвакуация комбината была произведена за время с 9 октября по 5 декабря 1941 года. Винтовое производство было перебазировано на ст. Безымянка (близ Куйбышева), металлургическое на ст. УАЗ Южно-Уральской ж/д (Каменск).</w:t>
      </w:r>
    </w:p>
    <w:p w14:paraId="673E5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эвакуации из Ступино, винтовое производство было организовано в самостоятельный завод № 35 НКАП на ст. Безымянка.</w:t>
      </w:r>
    </w:p>
    <w:p w14:paraId="5CFE79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Каменске оборудование металлургического производства из-за отсутствия производственных площадей смонтировано не было и во время нахождения в эвакуации не работало.</w:t>
      </w:r>
    </w:p>
    <w:p w14:paraId="29927A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Металлургическое производство Комбината № 150 на основании Постановления ГКО от 16 февраля 1942 года за № 1292с, по приказу НКАП № 143с от 20 февраля 1942 года, было возвращено из Каменска на прежние площади в Ступино на правах самостоятельного завода.</w:t>
      </w:r>
    </w:p>
    <w:p w14:paraId="736B6A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Заводу был присвоен номер 150.</w:t>
      </w:r>
    </w:p>
    <w:p w14:paraId="7ACEE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этого времени завод № 150 начал развиваться как предприятие металлургического профиля по производству различных видов проката из алюминиевых сплавов. В течение февраля-марта 1942 года была проведена реэвакуация завода. С 1945-46 гг. Начинается новый этап в развитии завода.</w:t>
      </w:r>
    </w:p>
    <w:p w14:paraId="6E88A8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НКАП от 16 января 1945 года за № 9с на завод № 150 было перебазировано с завода № 49 производство жаропрочных </w:t>
      </w:r>
      <w:proofErr w:type="spellStart"/>
      <w:r w:rsidRPr="007122AB">
        <w:rPr>
          <w:rFonts w:ascii="Times New Roman" w:hAnsi="Times New Roman"/>
          <w:color w:val="000000" w:themeColor="text1"/>
          <w:sz w:val="16"/>
          <w:szCs w:val="16"/>
        </w:rPr>
        <w:t>спецсплавов</w:t>
      </w:r>
      <w:proofErr w:type="spellEnd"/>
      <w:r w:rsidRPr="007122AB">
        <w:rPr>
          <w:rFonts w:ascii="Times New Roman" w:hAnsi="Times New Roman"/>
          <w:color w:val="000000" w:themeColor="text1"/>
          <w:sz w:val="16"/>
          <w:szCs w:val="16"/>
        </w:rPr>
        <w:t xml:space="preserve"> и резцов с пластинами из твердых сплавов.</w:t>
      </w:r>
    </w:p>
    <w:p w14:paraId="0BADA0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1945 году по приказу НКАП № 161с от 20 апреля 1945 года на заводе вновь была начата организация винтового производства на основе трофейного оборудования, прибывшего из Германии.</w:t>
      </w:r>
    </w:p>
    <w:p w14:paraId="1EEA01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в 1946 году это производство было выделено в самостоятельный завод № 120 МАП и вошло в состав завода № 150 (приказ МАП № 155с от 25 марта 1946 года).</w:t>
      </w:r>
    </w:p>
    <w:p w14:paraId="12532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этот завод, вместе с ОКБ-120, руководимым гл. конструктором Ждановым К.И. существует на площадях, переданных ему заводом № 150 по приказу МАП.</w:t>
      </w:r>
    </w:p>
    <w:p w14:paraId="1C2C8E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Начальником строительства Каширского электровозного завода и впоследствии Комбината № 150 за период с августа 1932 года до ноября 1940 года являлся </w:t>
      </w:r>
      <w:proofErr w:type="spellStart"/>
      <w:r w:rsidRPr="007122AB">
        <w:rPr>
          <w:rFonts w:ascii="Times New Roman" w:hAnsi="Times New Roman"/>
          <w:color w:val="000000" w:themeColor="text1"/>
          <w:sz w:val="16"/>
          <w:szCs w:val="16"/>
        </w:rPr>
        <w:t>Визирян</w:t>
      </w:r>
      <w:proofErr w:type="spellEnd"/>
      <w:r w:rsidRPr="007122AB">
        <w:rPr>
          <w:rFonts w:ascii="Times New Roman" w:hAnsi="Times New Roman"/>
          <w:color w:val="000000" w:themeColor="text1"/>
          <w:sz w:val="16"/>
          <w:szCs w:val="16"/>
        </w:rPr>
        <w:t xml:space="preserve"> Г.В., который с начала пуска завода в эксплуатацию (1937 год) одновременно был директором Комбината № 150.</w:t>
      </w:r>
    </w:p>
    <w:p w14:paraId="74633A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конца 1940 года до эвакуации директором Комбината № 150 был Окунев И.В. После возвращения завода из эвакуации до 28 июня 1951 года директором был Белов А.Ф.</w:t>
      </w:r>
    </w:p>
    <w:p w14:paraId="1DB54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Директором завода № 150 с 29 июня 1952 года является Назаров А.И. (9504).</w:t>
      </w:r>
    </w:p>
    <w:p w14:paraId="4F8F3E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63AB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26-30 июля 1931 советские ученые и специалисты проф. </w:t>
      </w:r>
      <w:proofErr w:type="spellStart"/>
      <w:r w:rsidRPr="007122AB">
        <w:rPr>
          <w:rFonts w:ascii="Times New Roman" w:hAnsi="Times New Roman"/>
          <w:color w:val="000000" w:themeColor="text1"/>
          <w:sz w:val="16"/>
          <w:szCs w:val="16"/>
        </w:rPr>
        <w:t>Р.Л.Самойлович</w:t>
      </w:r>
      <w:proofErr w:type="spellEnd"/>
      <w:r w:rsidRPr="007122AB">
        <w:rPr>
          <w:rFonts w:ascii="Times New Roman" w:hAnsi="Times New Roman"/>
          <w:color w:val="000000" w:themeColor="text1"/>
          <w:sz w:val="16"/>
          <w:szCs w:val="16"/>
        </w:rPr>
        <w:t xml:space="preserve">, аэролог </w:t>
      </w:r>
      <w:proofErr w:type="spellStart"/>
      <w:r w:rsidRPr="007122AB">
        <w:rPr>
          <w:rFonts w:ascii="Times New Roman" w:hAnsi="Times New Roman"/>
          <w:color w:val="000000" w:themeColor="text1"/>
          <w:sz w:val="16"/>
          <w:szCs w:val="16"/>
        </w:rPr>
        <w:t>П.А.Молчанов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Ф.Ф.Ассберг</w:t>
      </w:r>
      <w:proofErr w:type="spellEnd"/>
      <w:r w:rsidRPr="007122AB">
        <w:rPr>
          <w:rFonts w:ascii="Times New Roman" w:hAnsi="Times New Roman"/>
          <w:color w:val="000000" w:themeColor="text1"/>
          <w:sz w:val="16"/>
          <w:szCs w:val="16"/>
        </w:rPr>
        <w:t xml:space="preserve"> и радист </w:t>
      </w:r>
      <w:proofErr w:type="spellStart"/>
      <w:r w:rsidRPr="007122AB">
        <w:rPr>
          <w:rFonts w:ascii="Times New Roman" w:hAnsi="Times New Roman"/>
          <w:color w:val="000000" w:themeColor="text1"/>
          <w:sz w:val="16"/>
          <w:szCs w:val="16"/>
        </w:rPr>
        <w:t>Э.Т.Кренкель</w:t>
      </w:r>
      <w:proofErr w:type="spellEnd"/>
      <w:r w:rsidRPr="007122AB">
        <w:rPr>
          <w:rFonts w:ascii="Times New Roman" w:hAnsi="Times New Roman"/>
          <w:color w:val="000000" w:themeColor="text1"/>
          <w:sz w:val="16"/>
          <w:szCs w:val="16"/>
        </w:rPr>
        <w:t xml:space="preserve"> приняли участие в арктическом полете дирижабля ЛЦ-127 Граф Цеппелин под управления </w:t>
      </w:r>
      <w:proofErr w:type="spellStart"/>
      <w:r w:rsidRPr="007122AB">
        <w:rPr>
          <w:rFonts w:ascii="Times New Roman" w:hAnsi="Times New Roman"/>
          <w:color w:val="000000" w:themeColor="text1"/>
          <w:sz w:val="16"/>
          <w:szCs w:val="16"/>
        </w:rPr>
        <w:t>Г.Эккенера</w:t>
      </w:r>
      <w:proofErr w:type="spellEnd"/>
      <w:r w:rsidRPr="007122AB">
        <w:rPr>
          <w:rFonts w:ascii="Times New Roman" w:hAnsi="Times New Roman"/>
          <w:color w:val="000000" w:themeColor="text1"/>
          <w:sz w:val="16"/>
          <w:szCs w:val="16"/>
        </w:rPr>
        <w:t>. Дирижабль прибыл из Берлина в Ленинград, взял советских специалистов и отправился в район Земли Франца-Иосифа, Северной Земли, Таймырского полуострова и вернулся в Ленинград. 106 час. полета (438,626).</w:t>
      </w:r>
    </w:p>
    <w:p w14:paraId="1BBD8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6BCC0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27EF74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BE1C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июля 1931 на третий день испытаний, когда на танк поставили башню от Т-12, у Т-24 при движении по мягкому грунту загорелся двигатель: “...тов. Владимиров остановил танк, помог экипажу покинуть машину, открыл двигатель и сбил 75% пламени штатным огнетушителем, после чего одел противогаз, забрался в моторное отделение и полностью потушил огонь песком и одеждой...” (4243,23).</w:t>
      </w:r>
    </w:p>
    <w:p w14:paraId="50B88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2C799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C410BF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74D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июля 1931 в Томской области вспыхнуло восстание спецпереселенцев </w:t>
      </w:r>
      <w:proofErr w:type="spellStart"/>
      <w:r w:rsidRPr="007122AB">
        <w:rPr>
          <w:rFonts w:ascii="Times New Roman" w:hAnsi="Times New Roman"/>
          <w:color w:val="000000" w:themeColor="text1"/>
          <w:sz w:val="16"/>
          <w:szCs w:val="16"/>
        </w:rPr>
        <w:t>Парбигской</w:t>
      </w:r>
      <w:proofErr w:type="spellEnd"/>
      <w:r w:rsidRPr="007122AB">
        <w:rPr>
          <w:rFonts w:ascii="Times New Roman" w:hAnsi="Times New Roman"/>
          <w:color w:val="000000" w:themeColor="text1"/>
          <w:sz w:val="16"/>
          <w:szCs w:val="16"/>
        </w:rPr>
        <w:t xml:space="preserve"> комендатуры </w:t>
      </w:r>
      <w:proofErr w:type="spellStart"/>
      <w:r w:rsidRPr="007122AB">
        <w:rPr>
          <w:rFonts w:ascii="Times New Roman" w:hAnsi="Times New Roman"/>
          <w:color w:val="000000" w:themeColor="text1"/>
          <w:sz w:val="16"/>
          <w:szCs w:val="16"/>
        </w:rPr>
        <w:t>Сиблага</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востании</w:t>
      </w:r>
      <w:proofErr w:type="spellEnd"/>
      <w:r w:rsidRPr="007122AB">
        <w:rPr>
          <w:rFonts w:ascii="Times New Roman" w:hAnsi="Times New Roman"/>
          <w:color w:val="000000" w:themeColor="text1"/>
          <w:sz w:val="16"/>
          <w:szCs w:val="16"/>
        </w:rPr>
        <w:t xml:space="preserve"> участвовало до 1, 5 тысяч человек (10687).</w:t>
      </w:r>
    </w:p>
    <w:p w14:paraId="1C611D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AB5C1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CF7C6C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918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26 июля 1931 ушел в отставку президент Чили и 4 октября был избран </w:t>
      </w:r>
      <w:proofErr w:type="spellStart"/>
      <w:r w:rsidRPr="007122AB">
        <w:rPr>
          <w:rFonts w:ascii="Times New Roman" w:hAnsi="Times New Roman"/>
          <w:color w:val="000000" w:themeColor="text1"/>
          <w:sz w:val="16"/>
          <w:szCs w:val="16"/>
        </w:rPr>
        <w:t>Х.Монтеро</w:t>
      </w:r>
      <w:proofErr w:type="spellEnd"/>
      <w:r w:rsidRPr="007122AB">
        <w:rPr>
          <w:rFonts w:ascii="Times New Roman" w:hAnsi="Times New Roman"/>
          <w:color w:val="000000" w:themeColor="text1"/>
          <w:sz w:val="16"/>
          <w:szCs w:val="16"/>
        </w:rPr>
        <w:t xml:space="preserve"> (3907,168).</w:t>
      </w:r>
    </w:p>
    <w:p w14:paraId="622F5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AC774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C682E9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D11E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июля 1931 года состоялось совещание под председательством начальника 1 управления УВВС </w:t>
      </w:r>
      <w:proofErr w:type="spellStart"/>
      <w:r w:rsidRPr="007122AB">
        <w:rPr>
          <w:rFonts w:ascii="Times New Roman" w:hAnsi="Times New Roman"/>
          <w:color w:val="000000" w:themeColor="text1"/>
          <w:sz w:val="16"/>
          <w:szCs w:val="16"/>
        </w:rPr>
        <w:t>Хрипина</w:t>
      </w:r>
      <w:proofErr w:type="spellEnd"/>
      <w:r w:rsidRPr="007122AB">
        <w:rPr>
          <w:rFonts w:ascii="Times New Roman" w:hAnsi="Times New Roman"/>
          <w:color w:val="000000" w:themeColor="text1"/>
          <w:sz w:val="16"/>
          <w:szCs w:val="16"/>
        </w:rPr>
        <w:t xml:space="preserve"> по вопросу о ходе работ по разрешению конструкторских вопросов Гроховского и о выполнении плана работ конструкторского бюро до конца 1931 года (6770):</w:t>
      </w:r>
    </w:p>
    <w:p w14:paraId="389533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Протокол совещания под председательством начальника 1 управления УВВС </w:t>
      </w:r>
      <w:proofErr w:type="spellStart"/>
      <w:r w:rsidRPr="007122AB">
        <w:rPr>
          <w:rFonts w:ascii="Times New Roman" w:hAnsi="Times New Roman"/>
          <w:color w:val="000000" w:themeColor="text1"/>
          <w:sz w:val="16"/>
          <w:szCs w:val="16"/>
        </w:rPr>
        <w:t>Хрипина</w:t>
      </w:r>
      <w:proofErr w:type="spellEnd"/>
      <w:r w:rsidRPr="007122AB">
        <w:rPr>
          <w:rFonts w:ascii="Times New Roman" w:hAnsi="Times New Roman"/>
          <w:color w:val="000000" w:themeColor="text1"/>
          <w:sz w:val="16"/>
          <w:szCs w:val="16"/>
        </w:rPr>
        <w:t xml:space="preserve"> по вопросу о ходе работ по разрешению конструкторских вопросов Гроховского и о выполнении плана работ конструкторского бюро до конца 1931 года</w:t>
      </w:r>
    </w:p>
    <w:p w14:paraId="4EE451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заслушивании доклада Гроховского и по обмене мнениями по вопросам о ходе технических испытаний технических средств Гроховского для высадки десанта и о выполнении плана работ конструкторским отделом НИИ совещание постановляет:</w:t>
      </w:r>
    </w:p>
    <w:p w14:paraId="2811732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Автоматическая кабина (люлька).</w:t>
      </w:r>
    </w:p>
    <w:p w14:paraId="407ADB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Конструкцию автоматической кабины признать достаточно доработанной и с точки зрения безопасности сбрасывания и с точки зрения надежности. Эта конструкция позволяет одновременное компактное сбрасывание людей и не требует от сбрасываемых никакой предварительной подготовки, что следует одобрить и с тактической и с технической стороны.</w:t>
      </w:r>
    </w:p>
    <w:p w14:paraId="443863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Применение этих кабин с успехом может иметь место с самолетов легкого типа для целей сбрасывания одиночных людей.</w:t>
      </w:r>
    </w:p>
    <w:p w14:paraId="4257EB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Применение кабин на тяжелых машинах для массового сбрасывания с точки зрения тактической чрезвычайно ценно и его надо одобрить.</w:t>
      </w:r>
    </w:p>
    <w:p w14:paraId="41FA5D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установления тактических норм применения люлек на различных типах самолетов (радиус действия, потолок, скорость) – необходимо произвести дополнительные испытания.</w:t>
      </w:r>
    </w:p>
    <w:p w14:paraId="3CE628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Вследствие вредных лобовых сопротивлений, резко понижающих летно-технические свойства самолетов, признать необходимым поставить работы по конструированию приспособлений для механического сбрасывания людей с парашютами изнутри самолета</w:t>
      </w:r>
    </w:p>
    <w:p w14:paraId="64A20AE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клеть для выбрасывания группы людей (с большим парашютом).</w:t>
      </w:r>
    </w:p>
    <w:p w14:paraId="3788B4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отсутствия достаточного опыта по сбрасыванию больших парашютов поставить применение его для сбрасывания людей в зависимость от разрешения надежного сбрасывания тяжелых грузов.</w:t>
      </w:r>
    </w:p>
    <w:p w14:paraId="1274288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больших парашютов для сбрасывания тяжелых грузов</w:t>
      </w:r>
    </w:p>
    <w:p w14:paraId="0D431C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Продолжать работы по испытанию больших парашютов для сбрасывания тяжелых грузов, имея задание добиться скорости сбрасывания до 3 м/сек. для перехода к безопасному сбрасыванию людей. Учитывая условия облачности добиваться возможности сбрасывания тяжелых грузов с высоты 200 м.</w:t>
      </w:r>
    </w:p>
    <w:p w14:paraId="62A779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Исходя из характера сбрасываемых грузов, нагрузки на парашют определить на: 40 кг, 80 кг, комбинации 80 кг парашютов для поднятия различных грузов до 1000 кг, 1500 кг и 2000 кг.</w:t>
      </w:r>
    </w:p>
    <w:p w14:paraId="4DEA9B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целях достижения по возможности прицельного сбрасывания грузов с больших высот (3000 м) с последующим погашением большой скорости сбрасывания на низкой высоте, поручить Гроховскому использовать принципы конструкции парашютов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применяемых для прицельного сбрасывания ВОМИЗ и ТОРПЕД.</w:t>
      </w:r>
    </w:p>
    <w:p w14:paraId="3C64E0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приборов приспособленных для сбрасывания грузов с бреющего полета</w:t>
      </w:r>
    </w:p>
    <w:p w14:paraId="05045AC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тактической стороны сбрасывание грузов на бреющем полете считать чрезвычайно ценным. Осуществленные конструкции признать обеспечивающими сбрасывание грузов. Для обеспечения возможности сбрасывания людей произвести опыты, как в смысле изыскания </w:t>
      </w:r>
      <w:proofErr w:type="spellStart"/>
      <w:r w:rsidRPr="007122AB">
        <w:rPr>
          <w:rFonts w:ascii="Times New Roman" w:hAnsi="Times New Roman"/>
          <w:color w:val="000000" w:themeColor="text1"/>
          <w:sz w:val="16"/>
          <w:szCs w:val="16"/>
        </w:rPr>
        <w:t>наивыгоднейшей</w:t>
      </w:r>
      <w:proofErr w:type="spellEnd"/>
      <w:r w:rsidRPr="007122AB">
        <w:rPr>
          <w:rFonts w:ascii="Times New Roman" w:hAnsi="Times New Roman"/>
          <w:color w:val="000000" w:themeColor="text1"/>
          <w:sz w:val="16"/>
          <w:szCs w:val="16"/>
        </w:rPr>
        <w:t xml:space="preserve"> формы </w:t>
      </w:r>
      <w:proofErr w:type="spellStart"/>
      <w:r w:rsidRPr="007122AB">
        <w:rPr>
          <w:rFonts w:ascii="Times New Roman" w:hAnsi="Times New Roman"/>
          <w:color w:val="000000" w:themeColor="text1"/>
          <w:sz w:val="16"/>
          <w:szCs w:val="16"/>
        </w:rPr>
        <w:t>авиабусов</w:t>
      </w:r>
      <w:proofErr w:type="spellEnd"/>
      <w:r w:rsidRPr="007122AB">
        <w:rPr>
          <w:rFonts w:ascii="Times New Roman" w:hAnsi="Times New Roman"/>
          <w:color w:val="000000" w:themeColor="text1"/>
          <w:sz w:val="16"/>
          <w:szCs w:val="16"/>
        </w:rPr>
        <w:t>, так и условий местности, для чего произвести испытания по сбрасыванию в различных условиях и лишь после удовлетворительных результатов с грузами – перейти к сбрасыванию людей.</w:t>
      </w:r>
    </w:p>
    <w:p w14:paraId="131A34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Большие </w:t>
      </w:r>
      <w:proofErr w:type="spellStart"/>
      <w:r w:rsidRPr="007122AB">
        <w:rPr>
          <w:rFonts w:ascii="Times New Roman" w:hAnsi="Times New Roman"/>
          <w:color w:val="000000" w:themeColor="text1"/>
          <w:sz w:val="16"/>
          <w:szCs w:val="16"/>
        </w:rPr>
        <w:t>авиабусы</w:t>
      </w:r>
      <w:proofErr w:type="spellEnd"/>
      <w:r w:rsidRPr="007122AB">
        <w:rPr>
          <w:rFonts w:ascii="Times New Roman" w:hAnsi="Times New Roman"/>
          <w:color w:val="000000" w:themeColor="text1"/>
          <w:sz w:val="16"/>
          <w:szCs w:val="16"/>
        </w:rPr>
        <w:t xml:space="preserve"> ограничить конструктивными данными под ТБ-1.</w:t>
      </w:r>
    </w:p>
    <w:p w14:paraId="6F6071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Приборы для сбрасывания орудий, танков, автомобилей и др. военных предметов</w:t>
      </w:r>
    </w:p>
    <w:p w14:paraId="61F203B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Признать целесообразным сбрасывание с бреющего полета предметов военного вооружения. Принятую разработку конструкции для сбрасывания орудий довести до конца.</w:t>
      </w:r>
    </w:p>
    <w:p w14:paraId="1C868D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воздушных мешках Т-3 и Т-2</w:t>
      </w:r>
    </w:p>
    <w:p w14:paraId="70E4D7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Признать Т-3 и Т-2 целесообразными для тактического применения как давших положительные результаты при неоднократных испытаниях.</w:t>
      </w:r>
    </w:p>
    <w:p w14:paraId="163C10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Конструктивные приспособления для сбрасывания воды и консервов</w:t>
      </w:r>
    </w:p>
    <w:p w14:paraId="195CD4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Одобрить.</w:t>
      </w:r>
    </w:p>
    <w:p w14:paraId="19589D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Кабина беспосадочной загрузки самолетов</w:t>
      </w:r>
    </w:p>
    <w:p w14:paraId="779208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(связь с землей, подхватывание предметов и людей).</w:t>
      </w:r>
    </w:p>
    <w:p w14:paraId="385687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Признать очевидной тактическую целесообразность конструкции. Гроховскому ускорить работы.</w:t>
      </w:r>
    </w:p>
    <w:p w14:paraId="6AA9BA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Комбинированный комбинезон с парашютной сумкой для сбрасывания людей (со снаряжением).</w:t>
      </w:r>
    </w:p>
    <w:p w14:paraId="0C6E83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CD1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Считать этот комбинезон пригодным для сбрасывания людей, а вопрос возможности дальнейшей в нем работы бойца – изучить.</w:t>
      </w:r>
    </w:p>
    <w:p w14:paraId="14CDE5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работ конструкторского отдела НИИ</w:t>
      </w:r>
    </w:p>
    <w:p w14:paraId="39F239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Внести в намеченный план изменения и уточнения согласно решений принятых в данном протоколе. Работу закончить не позднее 5 августа 1931 года (Претензии конструкторского отдела НИИ) (6770, 142-143).</w:t>
      </w:r>
    </w:p>
    <w:p w14:paraId="1C97C10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4F0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1931 состоялась конференция директоров заводов авиапромышленности (1028,116).</w:t>
      </w:r>
    </w:p>
    <w:p w14:paraId="78157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D47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1931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75094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0045AF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0C7AF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6448E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5D1ABF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году был создан партком </w:t>
      </w:r>
      <w:proofErr w:type="spellStart"/>
      <w:r w:rsidRPr="007122AB">
        <w:rPr>
          <w:rFonts w:ascii="Times New Roman" w:hAnsi="Times New Roman"/>
          <w:color w:val="000000" w:themeColor="text1"/>
          <w:sz w:val="16"/>
          <w:szCs w:val="16"/>
        </w:rPr>
        <w:t>Моторостроя</w:t>
      </w:r>
      <w:proofErr w:type="spellEnd"/>
      <w:r w:rsidRPr="007122AB">
        <w:rPr>
          <w:rFonts w:ascii="Times New Roman" w:hAnsi="Times New Roman"/>
          <w:color w:val="000000" w:themeColor="text1"/>
          <w:sz w:val="16"/>
          <w:szCs w:val="16"/>
        </w:rPr>
        <w:t xml:space="preserve">. Секретарем парткома избрали Ф. В. </w:t>
      </w:r>
      <w:proofErr w:type="spellStart"/>
      <w:r w:rsidRPr="007122AB">
        <w:rPr>
          <w:rFonts w:ascii="Times New Roman" w:hAnsi="Times New Roman"/>
          <w:color w:val="000000" w:themeColor="text1"/>
          <w:sz w:val="16"/>
          <w:szCs w:val="16"/>
        </w:rPr>
        <w:t>Шагимарданова</w:t>
      </w:r>
      <w:proofErr w:type="spellEnd"/>
      <w:r w:rsidRPr="007122AB">
        <w:rPr>
          <w:rFonts w:ascii="Times New Roman" w:hAnsi="Times New Roman"/>
          <w:color w:val="000000" w:themeColor="text1"/>
          <w:sz w:val="16"/>
          <w:szCs w:val="16"/>
        </w:rPr>
        <w:t>.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663D8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w:t>
      </w:r>
      <w:proofErr w:type="spellStart"/>
      <w:r w:rsidRPr="007122AB">
        <w:rPr>
          <w:rFonts w:ascii="Times New Roman" w:hAnsi="Times New Roman"/>
          <w:color w:val="000000" w:themeColor="text1"/>
          <w:sz w:val="16"/>
          <w:szCs w:val="16"/>
        </w:rPr>
        <w:t>козоносы</w:t>
      </w:r>
      <w:proofErr w:type="spellEnd"/>
      <w:r w:rsidRPr="007122AB">
        <w:rPr>
          <w:rFonts w:ascii="Times New Roman" w:hAnsi="Times New Roman"/>
          <w:color w:val="000000" w:themeColor="text1"/>
          <w:sz w:val="16"/>
          <w:szCs w:val="16"/>
        </w:rPr>
        <w:t>. Так называли грузчиков, которые на «козе», закрепленной на спине, носили наверх кирпичи.</w:t>
      </w:r>
    </w:p>
    <w:p w14:paraId="61E5AF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437849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Первыми должны были ввести в строй </w:t>
      </w:r>
      <w:proofErr w:type="spellStart"/>
      <w:r w:rsidRPr="007122AB">
        <w:rPr>
          <w:rFonts w:ascii="Times New Roman" w:hAnsi="Times New Roman"/>
          <w:color w:val="000000" w:themeColor="text1"/>
          <w:sz w:val="16"/>
          <w:szCs w:val="16"/>
        </w:rPr>
        <w:t>малолитейный</w:t>
      </w:r>
      <w:proofErr w:type="spellEnd"/>
      <w:r w:rsidRPr="007122AB">
        <w:rPr>
          <w:rFonts w:ascii="Times New Roman" w:hAnsi="Times New Roman"/>
          <w:color w:val="000000" w:themeColor="text1"/>
          <w:sz w:val="16"/>
          <w:szCs w:val="16"/>
        </w:rPr>
        <w:t>, кузнечный и инструментальный цехи. С расчисткой площадки сразу же закладывались их фундаменты.</w:t>
      </w:r>
    </w:p>
    <w:p w14:paraId="78AE68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Одновременно строилось жилье, почта, телеграф, телефонная станция, прокладывались шоссе до города Уфы, железная дорога от станции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w:t>
      </w:r>
    </w:p>
    <w:p w14:paraId="55F1B8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 xml:space="preserve"> возник большой палаточный городок. Весной 1935 года на стройку прибыл отряд казахов-кочевников (с семьями, на арбах, со своими верблюдами) во главе с </w:t>
      </w:r>
      <w:proofErr w:type="spellStart"/>
      <w:r w:rsidRPr="007122AB">
        <w:rPr>
          <w:rFonts w:ascii="Times New Roman" w:hAnsi="Times New Roman"/>
          <w:color w:val="000000" w:themeColor="text1"/>
          <w:sz w:val="16"/>
          <w:szCs w:val="16"/>
        </w:rPr>
        <w:t>Бетангалеевым</w:t>
      </w:r>
      <w:proofErr w:type="spellEnd"/>
      <w:r w:rsidRPr="007122AB">
        <w:rPr>
          <w:rFonts w:ascii="Times New Roman" w:hAnsi="Times New Roman"/>
          <w:color w:val="000000" w:themeColor="text1"/>
          <w:sz w:val="16"/>
          <w:szCs w:val="16"/>
        </w:rPr>
        <w:t>.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353E99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w:t>
      </w:r>
      <w:proofErr w:type="spellStart"/>
      <w:r w:rsidRPr="007122AB">
        <w:rPr>
          <w:rFonts w:ascii="Times New Roman" w:hAnsi="Times New Roman"/>
          <w:color w:val="000000" w:themeColor="text1"/>
          <w:sz w:val="16"/>
          <w:szCs w:val="16"/>
        </w:rPr>
        <w:t>Бетангалееву</w:t>
      </w:r>
      <w:proofErr w:type="spellEnd"/>
      <w:r w:rsidRPr="007122AB">
        <w:rPr>
          <w:rFonts w:ascii="Times New Roman" w:hAnsi="Times New Roman"/>
          <w:color w:val="000000" w:themeColor="text1"/>
          <w:sz w:val="16"/>
          <w:szCs w:val="16"/>
        </w:rPr>
        <w:t xml:space="preserve"> образцовую квартиру. Обставили ее мебелью — столы, стулья, кровати, шкафы, повесили оконные и дверные занавески, выдали постельное белье. </w:t>
      </w:r>
    </w:p>
    <w:p w14:paraId="3D8DE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092FD1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w:t>
      </w:r>
      <w:proofErr w:type="spellStart"/>
      <w:r w:rsidRPr="007122AB">
        <w:rPr>
          <w:rFonts w:ascii="Times New Roman" w:hAnsi="Times New Roman"/>
          <w:color w:val="000000" w:themeColor="text1"/>
          <w:sz w:val="16"/>
          <w:szCs w:val="16"/>
        </w:rPr>
        <w:t>Мичугина</w:t>
      </w:r>
      <w:proofErr w:type="spellEnd"/>
      <w:r w:rsidRPr="007122AB">
        <w:rPr>
          <w:rFonts w:ascii="Times New Roman" w:hAnsi="Times New Roman"/>
          <w:color w:val="000000" w:themeColor="text1"/>
          <w:sz w:val="16"/>
          <w:szCs w:val="16"/>
        </w:rPr>
        <w:t xml:space="preserve"> из Магнитогорска. Она привезла с собой богатый опыт всесоюзной стройки. </w:t>
      </w:r>
    </w:p>
    <w:p w14:paraId="0A7E60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2D4618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7523F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00CDFE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79B0A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0824CD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Интересна судьба </w:t>
      </w:r>
      <w:proofErr w:type="spellStart"/>
      <w:r w:rsidRPr="007122AB">
        <w:rPr>
          <w:rFonts w:ascii="Times New Roman" w:hAnsi="Times New Roman"/>
          <w:color w:val="000000" w:themeColor="text1"/>
          <w:sz w:val="16"/>
          <w:szCs w:val="16"/>
        </w:rPr>
        <w:t>Гатията</w:t>
      </w:r>
      <w:proofErr w:type="spellEnd"/>
      <w:r w:rsidRPr="007122AB">
        <w:rPr>
          <w:rFonts w:ascii="Times New Roman" w:hAnsi="Times New Roman"/>
          <w:color w:val="000000" w:themeColor="text1"/>
          <w:sz w:val="16"/>
          <w:szCs w:val="16"/>
        </w:rPr>
        <w:t xml:space="preserve"> Рахматуллина. На стройку он пришел в лаптях и онучах, в грубых самотканых портках. «Я знал только, как плести лапти да пастуший кнут», — рассказывал он позднее. </w:t>
      </w:r>
      <w:proofErr w:type="spellStart"/>
      <w:r w:rsidRPr="007122AB">
        <w:rPr>
          <w:rFonts w:ascii="Times New Roman" w:hAnsi="Times New Roman"/>
          <w:color w:val="000000" w:themeColor="text1"/>
          <w:sz w:val="16"/>
          <w:szCs w:val="16"/>
        </w:rPr>
        <w:t>Гатият</w:t>
      </w:r>
      <w:proofErr w:type="spellEnd"/>
      <w:r w:rsidRPr="007122AB">
        <w:rPr>
          <w:rFonts w:ascii="Times New Roman" w:hAnsi="Times New Roman"/>
          <w:color w:val="000000" w:themeColor="text1"/>
          <w:sz w:val="16"/>
          <w:szCs w:val="16"/>
        </w:rPr>
        <w:t xml:space="preserve"> научился писать и читать, стал комсомольцем, стахановцем. За первые три года освоил три специальности: каменщика, бетонщика и штукатура. </w:t>
      </w:r>
    </w:p>
    <w:p w14:paraId="06E451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002699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1938 году Москва снарядила </w:t>
      </w:r>
      <w:proofErr w:type="spellStart"/>
      <w:r w:rsidRPr="007122AB">
        <w:rPr>
          <w:rFonts w:ascii="Times New Roman" w:hAnsi="Times New Roman"/>
          <w:color w:val="000000" w:themeColor="text1"/>
          <w:sz w:val="16"/>
          <w:szCs w:val="16"/>
        </w:rPr>
        <w:t>агитсамолет</w:t>
      </w:r>
      <w:proofErr w:type="spellEnd"/>
      <w:r w:rsidRPr="007122AB">
        <w:rPr>
          <w:rFonts w:ascii="Times New Roman" w:hAnsi="Times New Roman"/>
          <w:color w:val="000000" w:themeColor="text1"/>
          <w:sz w:val="16"/>
          <w:szCs w:val="16"/>
        </w:rPr>
        <w:t xml:space="preserve"> «Крокодил» по маршруту: Москва — Орск — Магнитогорск — Уфа — Челябинск — Караганда — Кемерово — Новосибирск — Свердловск. На борту </w:t>
      </w:r>
      <w:proofErr w:type="spellStart"/>
      <w:r w:rsidRPr="007122AB">
        <w:rPr>
          <w:rFonts w:ascii="Times New Roman" w:hAnsi="Times New Roman"/>
          <w:color w:val="000000" w:themeColor="text1"/>
          <w:sz w:val="16"/>
          <w:szCs w:val="16"/>
        </w:rPr>
        <w:t>агитсамолета</w:t>
      </w:r>
      <w:proofErr w:type="spellEnd"/>
      <w:r w:rsidRPr="007122AB">
        <w:rPr>
          <w:rFonts w:ascii="Times New Roman" w:hAnsi="Times New Roman"/>
          <w:color w:val="000000" w:themeColor="text1"/>
          <w:sz w:val="16"/>
          <w:szCs w:val="16"/>
        </w:rPr>
        <w:t xml:space="preserve"> находились знатные труженики страны, знатоки своего дела, умельцы. Среди них был и </w:t>
      </w:r>
      <w:proofErr w:type="spellStart"/>
      <w:r w:rsidRPr="007122AB">
        <w:rPr>
          <w:rFonts w:ascii="Times New Roman" w:hAnsi="Times New Roman"/>
          <w:color w:val="000000" w:themeColor="text1"/>
          <w:sz w:val="16"/>
          <w:szCs w:val="16"/>
        </w:rPr>
        <w:t>Гатият</w:t>
      </w:r>
      <w:proofErr w:type="spellEnd"/>
      <w:r w:rsidRPr="007122AB">
        <w:rPr>
          <w:rFonts w:ascii="Times New Roman" w:hAnsi="Times New Roman"/>
          <w:color w:val="000000" w:themeColor="text1"/>
          <w:sz w:val="16"/>
          <w:szCs w:val="16"/>
        </w:rPr>
        <w:t>. Он обучил своим приемам 335 человек, и ЦК профсоюза строителей премировал его путевкой в Гагры.</w:t>
      </w:r>
    </w:p>
    <w:p w14:paraId="63C89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21EB3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572C94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сентября 1934 года состоялся пуск </w:t>
      </w:r>
      <w:proofErr w:type="spellStart"/>
      <w:r w:rsidRPr="007122AB">
        <w:rPr>
          <w:rFonts w:ascii="Times New Roman" w:hAnsi="Times New Roman"/>
          <w:color w:val="000000" w:themeColor="text1"/>
          <w:sz w:val="16"/>
          <w:szCs w:val="16"/>
        </w:rPr>
        <w:t>малолитейного</w:t>
      </w:r>
      <w:proofErr w:type="spellEnd"/>
      <w:r w:rsidRPr="007122AB">
        <w:rPr>
          <w:rFonts w:ascii="Times New Roman" w:hAnsi="Times New Roman"/>
          <w:color w:val="000000" w:themeColor="text1"/>
          <w:sz w:val="16"/>
          <w:szCs w:val="16"/>
        </w:rPr>
        <w:t xml:space="preserve">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w:t>
      </w:r>
      <w:proofErr w:type="spellStart"/>
      <w:r w:rsidRPr="007122AB">
        <w:rPr>
          <w:rFonts w:ascii="Times New Roman" w:hAnsi="Times New Roman"/>
          <w:color w:val="000000" w:themeColor="text1"/>
          <w:sz w:val="16"/>
          <w:szCs w:val="16"/>
        </w:rPr>
        <w:t>БашЦИКа</w:t>
      </w:r>
      <w:proofErr w:type="spellEnd"/>
      <w:r w:rsidRPr="007122AB">
        <w:rPr>
          <w:rFonts w:ascii="Times New Roman" w:hAnsi="Times New Roman"/>
          <w:color w:val="000000" w:themeColor="text1"/>
          <w:sz w:val="16"/>
          <w:szCs w:val="16"/>
        </w:rPr>
        <w:t xml:space="preserve">, известный литератор </w:t>
      </w:r>
      <w:proofErr w:type="spellStart"/>
      <w:r w:rsidRPr="007122AB">
        <w:rPr>
          <w:rFonts w:ascii="Times New Roman" w:hAnsi="Times New Roman"/>
          <w:color w:val="000000" w:themeColor="text1"/>
          <w:sz w:val="16"/>
          <w:szCs w:val="16"/>
        </w:rPr>
        <w:t>Афзал</w:t>
      </w:r>
      <w:proofErr w:type="spellEnd"/>
      <w:r w:rsidRPr="007122AB">
        <w:rPr>
          <w:rFonts w:ascii="Times New Roman" w:hAnsi="Times New Roman"/>
          <w:color w:val="000000" w:themeColor="text1"/>
          <w:sz w:val="16"/>
          <w:szCs w:val="16"/>
        </w:rPr>
        <w:t xml:space="preserve"> Тагиров.</w:t>
      </w:r>
    </w:p>
    <w:p w14:paraId="64547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182D65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1935 году завод дал первые десять комбайновых моторов У-5 и пять дизель-моторов «</w:t>
      </w:r>
      <w:proofErr w:type="spellStart"/>
      <w:r w:rsidRPr="007122AB">
        <w:rPr>
          <w:rFonts w:ascii="Times New Roman" w:hAnsi="Times New Roman"/>
          <w:color w:val="000000" w:themeColor="text1"/>
          <w:sz w:val="16"/>
          <w:szCs w:val="16"/>
        </w:rPr>
        <w:t>Коджу</w:t>
      </w:r>
      <w:proofErr w:type="spellEnd"/>
      <w:r w:rsidRPr="007122AB">
        <w:rPr>
          <w:rFonts w:ascii="Times New Roman" w:hAnsi="Times New Roman"/>
          <w:color w:val="000000" w:themeColor="text1"/>
          <w:sz w:val="16"/>
          <w:szCs w:val="16"/>
        </w:rPr>
        <w:t>». Необходимо было организовать их серийный выпуск.</w:t>
      </w:r>
    </w:p>
    <w:p w14:paraId="20904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5A726C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72C8FA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234CD0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54E47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5B567E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46E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1931 завершился перелет на К-5 по маршруту Харьков-Москва-Пенза-Оренбург-Кустанай-Акмолинск-Павлодар-Семипалатинск-Алма-Ата - 34 часа (70,168).</w:t>
      </w:r>
    </w:p>
    <w:p w14:paraId="5B6B2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D16024" w14:textId="77777777" w:rsidR="003562F3" w:rsidRPr="007122AB" w:rsidRDefault="003562F3" w:rsidP="007122AB">
      <w:pPr>
        <w:pStyle w:val="a3"/>
        <w:autoSpaceDE/>
        <w:autoSpaceDN/>
        <w:adjustRightInd/>
        <w:rPr>
          <w:rStyle w:val="66"/>
          <w:rFonts w:ascii="Times New Roman" w:eastAsia="Calibri" w:hAnsi="Times New Roman"/>
          <w:color w:val="000000" w:themeColor="text1"/>
          <w:sz w:val="16"/>
          <w:szCs w:val="16"/>
          <w:lang w:val="ru-RU"/>
        </w:rPr>
      </w:pPr>
      <w:r w:rsidRPr="007122AB">
        <w:rPr>
          <w:color w:val="000000" w:themeColor="text1"/>
          <w:lang w:val="ru-RU"/>
        </w:rPr>
        <w:t>27 июля 1931 г. появился первый акт инспекторского осмотра хода работ на земельном участке в 187 га к западу от платформы «</w:t>
      </w:r>
      <w:proofErr w:type="spellStart"/>
      <w:r w:rsidRPr="007122AB">
        <w:rPr>
          <w:color w:val="000000" w:themeColor="text1"/>
          <w:lang w:val="ru-RU"/>
        </w:rPr>
        <w:t>Долгопруд</w:t>
      </w:r>
      <w:r w:rsidRPr="007122AB">
        <w:rPr>
          <w:color w:val="000000" w:themeColor="text1"/>
          <w:lang w:val="ru-RU"/>
        </w:rPr>
        <w:softHyphen/>
        <w:t>ная</w:t>
      </w:r>
      <w:proofErr w:type="spellEnd"/>
      <w:r w:rsidRPr="007122AB">
        <w:rPr>
          <w:color w:val="000000" w:themeColor="text1"/>
          <w:lang w:val="ru-RU"/>
        </w:rPr>
        <w:t>» Савеловской ж/дороги представителями «Аэро</w:t>
      </w:r>
      <w:r w:rsidRPr="007122AB">
        <w:rPr>
          <w:color w:val="000000" w:themeColor="text1"/>
          <w:lang w:val="ru-RU"/>
        </w:rPr>
        <w:softHyphen/>
        <w:t>флота» В Москве и Ле</w:t>
      </w:r>
      <w:r w:rsidRPr="007122AB">
        <w:rPr>
          <w:color w:val="000000" w:themeColor="text1"/>
          <w:lang w:val="ru-RU"/>
        </w:rPr>
        <w:softHyphen/>
        <w:t>нинграде был спешно издан сборник статей «Строим эскадру дирижаблей им. Ленина» с предисловием еще одного «воздухопла</w:t>
      </w:r>
      <w:r w:rsidRPr="007122AB">
        <w:rPr>
          <w:color w:val="000000" w:themeColor="text1"/>
          <w:lang w:val="ru-RU"/>
        </w:rPr>
        <w:softHyphen/>
        <w:t>вателя» - врача Н.А. Семашко. Профессор МГУ с пафосом оратора-большевика вещал на всю голодающую Россию: «Ни секунды нельзя сомневаться, что идея об эскадре дирижаблей будет реализована и уже от себя предложил включить в нее седьмой корабль - «Сталин». Ему вторили строки автора статьи «Дирижабль и Воздухопла</w:t>
      </w:r>
      <w:r w:rsidRPr="007122AB">
        <w:rPr>
          <w:color w:val="000000" w:themeColor="text1"/>
          <w:lang w:val="ru-RU"/>
        </w:rPr>
        <w:softHyphen/>
        <w:t>вание» в Большой советской энциклопедии под редакцией О.Ю. Шмидта: «...</w:t>
      </w:r>
      <w:r w:rsidRPr="007122AB">
        <w:rPr>
          <w:rStyle w:val="66"/>
          <w:rFonts w:ascii="Times New Roman" w:eastAsia="Calibri" w:hAnsi="Times New Roman"/>
          <w:color w:val="000000" w:themeColor="text1"/>
          <w:sz w:val="16"/>
          <w:szCs w:val="16"/>
          <w:lang w:val="ru-RU"/>
        </w:rPr>
        <w:t xml:space="preserve"> Несмотря на большие трудности освоения технологии строительства и эксплуатации цеппелинов, в Советском Союзе имеются все предпосылки для овладения этой вершиной капиталисти</w:t>
      </w:r>
      <w:r w:rsidRPr="007122AB">
        <w:rPr>
          <w:rStyle w:val="66"/>
          <w:rFonts w:ascii="Times New Roman" w:eastAsia="Calibri" w:hAnsi="Times New Roman"/>
          <w:color w:val="000000" w:themeColor="text1"/>
          <w:sz w:val="16"/>
          <w:szCs w:val="16"/>
          <w:lang w:val="ru-RU"/>
        </w:rPr>
        <w:softHyphen/>
        <w:t>ческой промышленности. И можно с полной уверенностью сказать, что в недалеком бу</w:t>
      </w:r>
      <w:r w:rsidRPr="007122AB">
        <w:rPr>
          <w:rStyle w:val="66"/>
          <w:rFonts w:ascii="Times New Roman" w:eastAsia="Calibri" w:hAnsi="Times New Roman"/>
          <w:color w:val="000000" w:themeColor="text1"/>
          <w:sz w:val="16"/>
          <w:szCs w:val="16"/>
          <w:lang w:val="ru-RU"/>
        </w:rPr>
        <w:softHyphen/>
        <w:t>дущем и у нас появятся советские цеппелины в эскадре им. Ленина» (12732).</w:t>
      </w:r>
    </w:p>
    <w:p w14:paraId="30621541" w14:textId="77777777" w:rsidR="003562F3" w:rsidRPr="007122AB" w:rsidRDefault="003562F3" w:rsidP="007122AB">
      <w:pPr>
        <w:pStyle w:val="a3"/>
        <w:autoSpaceDE/>
        <w:autoSpaceDN/>
        <w:adjustRightInd/>
        <w:rPr>
          <w:color w:val="000000" w:themeColor="text1"/>
          <w:lang w:val="ru-RU"/>
        </w:rPr>
      </w:pPr>
    </w:p>
    <w:p w14:paraId="455127AC" w14:textId="77777777" w:rsidR="00494647" w:rsidRPr="007122AB" w:rsidRDefault="00494647"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56BBDD6" w14:textId="77777777" w:rsidR="00494647" w:rsidRPr="007122AB" w:rsidRDefault="0049464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F9574B" w14:textId="77777777" w:rsidR="00494647" w:rsidRPr="007122AB" w:rsidRDefault="0049464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27 июля 1931 года первым на "Большевике" построили не Т-26, а ТММ-1. Разработка М.В. Данченко форсировалась по той причине, что там стояли агрегаты грузовика Я-5 и мотор "Геркулес". А еще явно имелись некоторые соображения по поводу мотора </w:t>
      </w:r>
      <w:proofErr w:type="spellStart"/>
      <w:r w:rsidRPr="007122AB">
        <w:rPr>
          <w:rFonts w:ascii="Times New Roman" w:eastAsia="Times New Roman" w:hAnsi="Times New Roman"/>
          <w:color w:val="000000" w:themeColor="text1"/>
          <w:sz w:val="16"/>
          <w:szCs w:val="16"/>
          <w:lang w:eastAsia="ru-RU"/>
        </w:rPr>
        <w:t>Vickers</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Mk.E</w:t>
      </w:r>
      <w:proofErr w:type="spellEnd"/>
      <w:r w:rsidRPr="007122AB">
        <w:rPr>
          <w:rFonts w:ascii="Times New Roman" w:eastAsia="Times New Roman" w:hAnsi="Times New Roman"/>
          <w:color w:val="000000" w:themeColor="text1"/>
          <w:sz w:val="16"/>
          <w:szCs w:val="16"/>
          <w:lang w:eastAsia="ru-RU"/>
        </w:rPr>
        <w:t>. Напрямую это не говорилось, но то, что мотор имел склонность к перегреву, не секрет. Больше того, в январе 1931 года С.А, Гинзбург предлагал "скрестить" Т-26 и Т-19. От 26-го предлагалось взять ходовую часть и трансмиссию. Впрочем, долго эта идея не прожила, хотя идея смены английского мотора витала чуть ли не всё время производства танка (20740).</w:t>
      </w:r>
    </w:p>
    <w:p w14:paraId="5A96B89A" w14:textId="77777777" w:rsidR="00494647" w:rsidRPr="007122AB" w:rsidRDefault="0049464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DD61FB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A8BF67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7C0408" w14:textId="77777777" w:rsidR="001B5144" w:rsidRPr="007122AB" w:rsidRDefault="001B514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в 1931 году впервые поднят в воздух прототип «</w:t>
      </w:r>
      <w:proofErr w:type="spellStart"/>
      <w:r w:rsidRPr="007122AB">
        <w:rPr>
          <w:rFonts w:ascii="Times New Roman" w:hAnsi="Times New Roman"/>
          <w:color w:val="000000" w:themeColor="text1"/>
          <w:sz w:val="16"/>
          <w:szCs w:val="16"/>
        </w:rPr>
        <w:t>Stag</w:t>
      </w:r>
      <w:proofErr w:type="spellEnd"/>
      <w:r w:rsidRPr="007122AB">
        <w:rPr>
          <w:rFonts w:ascii="Times New Roman" w:hAnsi="Times New Roman"/>
          <w:color w:val="000000" w:themeColor="text1"/>
          <w:sz w:val="16"/>
          <w:szCs w:val="16"/>
        </w:rPr>
        <w:t xml:space="preserve"> Lane» «J9184» английского тяжелого бомбардировщика </w:t>
      </w:r>
      <w:hyperlink r:id="rId160"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xml:space="preserve">» «D.H.72». </w:t>
        </w:r>
      </w:hyperlink>
      <w:r w:rsidRPr="007122AB">
        <w:rPr>
          <w:rFonts w:ascii="Times New Roman" w:hAnsi="Times New Roman"/>
          <w:color w:val="000000" w:themeColor="text1"/>
          <w:sz w:val="16"/>
          <w:szCs w:val="16"/>
        </w:rPr>
        <w:t>В конце ноября самолет был доставлен «</w:t>
      </w:r>
      <w:proofErr w:type="spellStart"/>
      <w:r w:rsidRPr="007122AB">
        <w:rPr>
          <w:rFonts w:ascii="Times New Roman" w:hAnsi="Times New Roman"/>
          <w:color w:val="000000" w:themeColor="text1"/>
          <w:sz w:val="16"/>
          <w:szCs w:val="16"/>
        </w:rPr>
        <w:t>Martlesham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Heath</w:t>
      </w:r>
      <w:proofErr w:type="spellEnd"/>
      <w:r w:rsidRPr="007122AB">
        <w:rPr>
          <w:rFonts w:ascii="Times New Roman" w:hAnsi="Times New Roman"/>
          <w:color w:val="000000" w:themeColor="text1"/>
          <w:sz w:val="16"/>
          <w:szCs w:val="16"/>
        </w:rPr>
        <w:t xml:space="preserve">» для проведения испытаний в составе No.22 </w:t>
      </w:r>
      <w:proofErr w:type="spellStart"/>
      <w:r w:rsidRPr="007122AB">
        <w:rPr>
          <w:rFonts w:ascii="Times New Roman" w:hAnsi="Times New Roman"/>
          <w:color w:val="000000" w:themeColor="text1"/>
          <w:sz w:val="16"/>
          <w:szCs w:val="16"/>
        </w:rPr>
        <w:t>Squadron</w:t>
      </w:r>
      <w:proofErr w:type="spellEnd"/>
      <w:r w:rsidRPr="007122AB">
        <w:rPr>
          <w:rFonts w:ascii="Times New Roman" w:hAnsi="Times New Roman"/>
          <w:color w:val="000000" w:themeColor="text1"/>
          <w:sz w:val="16"/>
          <w:szCs w:val="16"/>
        </w:rPr>
        <w:t>. К этому времени Авиационное Министерство заметно охладело к идее вооружения ВВС тяжелыми бомбардировщиками (на это серьезно повлияло решения Женевской конвенции о запрещении строительства бомбардировщиков) и в сентябре 1932 года спецификация B.22/27 была аннулирована, что привело к закрытию проекта «D.H.72» (14965).</w:t>
      </w:r>
    </w:p>
    <w:p w14:paraId="1EB392F5" w14:textId="77777777" w:rsidR="001B5144" w:rsidRPr="007122AB" w:rsidRDefault="001B5144" w:rsidP="007122AB">
      <w:pPr>
        <w:spacing w:after="0" w:line="240" w:lineRule="auto"/>
        <w:jc w:val="both"/>
        <w:rPr>
          <w:rFonts w:ascii="Times New Roman" w:hAnsi="Times New Roman"/>
          <w:color w:val="000000" w:themeColor="text1"/>
          <w:sz w:val="16"/>
          <w:szCs w:val="16"/>
        </w:rPr>
      </w:pPr>
    </w:p>
    <w:p w14:paraId="589E28ED" w14:textId="77777777" w:rsidR="00494647" w:rsidRPr="007122AB" w:rsidRDefault="004946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июля 1931 на собрании в Чикаго, штат Иллинойс, основана Международная ассоциация пилотов воздушных линий (20804).</w:t>
      </w:r>
    </w:p>
    <w:p w14:paraId="4694E2B7" w14:textId="77777777" w:rsidR="00494647" w:rsidRPr="007122AB" w:rsidRDefault="00494647" w:rsidP="007122AB">
      <w:pPr>
        <w:spacing w:after="0" w:line="240" w:lineRule="auto"/>
        <w:jc w:val="both"/>
        <w:rPr>
          <w:rFonts w:ascii="Times New Roman" w:hAnsi="Times New Roman"/>
          <w:color w:val="000000" w:themeColor="text1"/>
          <w:sz w:val="16"/>
          <w:szCs w:val="16"/>
        </w:rPr>
      </w:pPr>
    </w:p>
    <w:p w14:paraId="6A1971A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июля 1931 у </w:t>
      </w:r>
      <w:proofErr w:type="spellStart"/>
      <w:r w:rsidRPr="007122AB">
        <w:rPr>
          <w:rFonts w:ascii="Times New Roman" w:hAnsi="Times New Roman"/>
          <w:color w:val="000000" w:themeColor="text1"/>
          <w:sz w:val="16"/>
          <w:szCs w:val="16"/>
        </w:rPr>
        <w:t>Мукдена</w:t>
      </w:r>
      <w:proofErr w:type="spellEnd"/>
      <w:r w:rsidRPr="007122AB">
        <w:rPr>
          <w:rFonts w:ascii="Times New Roman" w:hAnsi="Times New Roman"/>
          <w:color w:val="000000" w:themeColor="text1"/>
          <w:sz w:val="16"/>
          <w:szCs w:val="16"/>
        </w:rPr>
        <w:t xml:space="preserve"> убит японский капитан </w:t>
      </w:r>
      <w:proofErr w:type="spellStart"/>
      <w:r w:rsidRPr="007122AB">
        <w:rPr>
          <w:rFonts w:ascii="Times New Roman" w:hAnsi="Times New Roman"/>
          <w:color w:val="000000" w:themeColor="text1"/>
          <w:sz w:val="16"/>
          <w:szCs w:val="16"/>
        </w:rPr>
        <w:t>Накумара</w:t>
      </w:r>
      <w:proofErr w:type="spellEnd"/>
      <w:r w:rsidRPr="007122AB">
        <w:rPr>
          <w:rFonts w:ascii="Times New Roman" w:hAnsi="Times New Roman"/>
          <w:color w:val="000000" w:themeColor="text1"/>
          <w:sz w:val="16"/>
          <w:szCs w:val="16"/>
        </w:rPr>
        <w:t>, что послужило поводом для вторжения Японии в Манчжурию (4962).</w:t>
      </w:r>
    </w:p>
    <w:p w14:paraId="6D2929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D03D02" w14:textId="2F8E3AC8" w:rsidR="00535A7C" w:rsidRDefault="00535A7C"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50047D98" w14:textId="77777777" w:rsidR="00535A7C" w:rsidRDefault="00535A7C"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7530830" w14:textId="77777777" w:rsidR="00535A7C" w:rsidRPr="00441F34" w:rsidRDefault="00535A7C" w:rsidP="00535A7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28 июля 1930 г. Всесоюзное авиационное объединение (ВАО) при Главном управлении металлопромышленности ВСНХ СССР было подчинено Наркомвоенмору, а с 10.01.1932 г. – Наркомату тяжелой промышленности и преобразовано в Главное управление авиапромышленности (24115).</w:t>
      </w:r>
    </w:p>
    <w:p w14:paraId="276DED5C" w14:textId="77777777" w:rsidR="00535A7C" w:rsidRPr="00441F34" w:rsidRDefault="00535A7C" w:rsidP="00535A7C">
      <w:pPr>
        <w:spacing w:after="0" w:line="240" w:lineRule="auto"/>
        <w:jc w:val="both"/>
        <w:rPr>
          <w:rFonts w:ascii="Times New Roman" w:hAnsi="Times New Roman"/>
          <w:color w:val="0070C0"/>
          <w:sz w:val="16"/>
          <w:szCs w:val="16"/>
        </w:rPr>
      </w:pPr>
    </w:p>
    <w:p w14:paraId="5F21189A" w14:textId="02C16320" w:rsidR="00875C4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3B9B260" w14:textId="77777777" w:rsidR="00875C4A" w:rsidRPr="007122AB" w:rsidRDefault="00875C4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FCCBF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lastRenderedPageBreak/>
        <w:t>28 июля 1931</w:t>
      </w:r>
      <w:r w:rsidRPr="007122AB">
        <w:rPr>
          <w:rFonts w:ascii="Times New Roman" w:hAnsi="Times New Roman"/>
          <w:color w:val="000000" w:themeColor="text1"/>
          <w:sz w:val="16"/>
          <w:szCs w:val="16"/>
        </w:rPr>
        <w:t>Политбюро ЦК ВКП (б) одобрило решение ВСНХ о замене коллегиального управления трестов единоначалием по примеру объединения «Уголь» (12265).</w:t>
      </w:r>
    </w:p>
    <w:p w14:paraId="5E299A52"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D122296" w14:textId="77777777" w:rsidR="001B514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BC5DCCA" w14:textId="77777777" w:rsidR="001B5144" w:rsidRPr="007122AB" w:rsidRDefault="001B514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B3F472" w14:textId="77777777" w:rsidR="001B5144" w:rsidRPr="007122AB" w:rsidRDefault="001B514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июля в 1931 году первый в мире беспосадочный полёт через Тихий океан. Кругосветный перелёт был совершен американскими лётчиками Клайдом </w:t>
      </w:r>
      <w:proofErr w:type="spellStart"/>
      <w:r w:rsidRPr="007122AB">
        <w:rPr>
          <w:rFonts w:ascii="Times New Roman" w:hAnsi="Times New Roman"/>
          <w:color w:val="000000" w:themeColor="text1"/>
          <w:sz w:val="16"/>
          <w:szCs w:val="16"/>
        </w:rPr>
        <w:t>Пангборном</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Херндоном</w:t>
      </w:r>
      <w:proofErr w:type="spellEnd"/>
      <w:r w:rsidRPr="007122AB">
        <w:rPr>
          <w:rFonts w:ascii="Times New Roman" w:hAnsi="Times New Roman"/>
          <w:color w:val="000000" w:themeColor="text1"/>
          <w:sz w:val="16"/>
          <w:szCs w:val="16"/>
        </w:rPr>
        <w:t xml:space="preserve"> из США в Японию на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«CH-400»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Перелёт они благополучно завершили 15 октября 1931. Усовершенствованный вариант самолетов семейства «</w:t>
      </w:r>
      <w:proofErr w:type="spellStart"/>
      <w:r w:rsidRPr="007122AB">
        <w:rPr>
          <w:rFonts w:ascii="Times New Roman" w:hAnsi="Times New Roman"/>
          <w:color w:val="000000" w:themeColor="text1"/>
          <w:sz w:val="16"/>
          <w:szCs w:val="16"/>
        </w:rPr>
        <w:t>Pacemaker</w:t>
      </w:r>
      <w:proofErr w:type="spellEnd"/>
      <w:r w:rsidRPr="007122AB">
        <w:rPr>
          <w:rFonts w:ascii="Times New Roman" w:hAnsi="Times New Roman"/>
          <w:color w:val="000000" w:themeColor="text1"/>
          <w:sz w:val="16"/>
          <w:szCs w:val="16"/>
        </w:rPr>
        <w:t xml:space="preserve"> «моноплан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«CH-400» «</w:t>
      </w:r>
      <w:proofErr w:type="spellStart"/>
      <w:r w:rsidRPr="007122AB">
        <w:rPr>
          <w:rFonts w:ascii="Times New Roman" w:hAnsi="Times New Roman"/>
          <w:color w:val="000000" w:themeColor="text1"/>
          <w:sz w:val="16"/>
          <w:szCs w:val="16"/>
        </w:rPr>
        <w:t>Skyrocket</w:t>
      </w:r>
      <w:proofErr w:type="spellEnd"/>
      <w:r w:rsidRPr="007122AB">
        <w:rPr>
          <w:rFonts w:ascii="Times New Roman" w:hAnsi="Times New Roman"/>
          <w:color w:val="000000" w:themeColor="text1"/>
          <w:sz w:val="16"/>
          <w:szCs w:val="16"/>
        </w:rPr>
        <w:t>» впервые поднялся в воздух в 1930 году с силовой установкой «Pratt &amp; Whitney» «</w:t>
      </w:r>
      <w:proofErr w:type="spellStart"/>
      <w:r w:rsidRPr="007122AB">
        <w:rPr>
          <w:rFonts w:ascii="Times New Roman" w:hAnsi="Times New Roman"/>
          <w:color w:val="000000" w:themeColor="text1"/>
          <w:sz w:val="16"/>
          <w:szCs w:val="16"/>
        </w:rPr>
        <w:t>Wasp</w:t>
      </w:r>
      <w:proofErr w:type="spellEnd"/>
      <w:r w:rsidRPr="007122AB">
        <w:rPr>
          <w:rFonts w:ascii="Times New Roman" w:hAnsi="Times New Roman"/>
          <w:color w:val="000000" w:themeColor="text1"/>
          <w:sz w:val="16"/>
          <w:szCs w:val="16"/>
        </w:rPr>
        <w:t xml:space="preserve"> С» мощностью 425 л.с. Кроме колесного шасси предусматривалась так же установка поплавков «Идо». «</w:t>
      </w:r>
      <w:proofErr w:type="spellStart"/>
      <w:r w:rsidRPr="007122AB">
        <w:rPr>
          <w:rFonts w:ascii="Times New Roman" w:hAnsi="Times New Roman"/>
          <w:color w:val="000000" w:themeColor="text1"/>
          <w:sz w:val="16"/>
          <w:szCs w:val="16"/>
        </w:rPr>
        <w:t>Skyrocket</w:t>
      </w:r>
      <w:proofErr w:type="spellEnd"/>
      <w:r w:rsidRPr="007122AB">
        <w:rPr>
          <w:rFonts w:ascii="Times New Roman" w:hAnsi="Times New Roman"/>
          <w:color w:val="000000" w:themeColor="text1"/>
          <w:sz w:val="16"/>
          <w:szCs w:val="16"/>
        </w:rPr>
        <w:t>» имел скорость только на 8 км/час выше, чем самолет «</w:t>
      </w:r>
      <w:proofErr w:type="spellStart"/>
      <w:r w:rsidRPr="007122AB">
        <w:rPr>
          <w:rFonts w:ascii="Times New Roman" w:hAnsi="Times New Roman"/>
          <w:color w:val="000000" w:themeColor="text1"/>
          <w:sz w:val="16"/>
          <w:szCs w:val="16"/>
        </w:rPr>
        <w:t>Pacemaker</w:t>
      </w:r>
      <w:proofErr w:type="spellEnd"/>
      <w:r w:rsidRPr="007122AB">
        <w:rPr>
          <w:rFonts w:ascii="Times New Roman" w:hAnsi="Times New Roman"/>
          <w:color w:val="000000" w:themeColor="text1"/>
          <w:sz w:val="16"/>
          <w:szCs w:val="16"/>
        </w:rPr>
        <w:t xml:space="preserve">». Технические характеристики Экипаж: один пилот. Вместимость: 5 пассажиров. Длина: 27 футов. Размах Крыльев: 46 футов 4 дюймов (14.1 м). Силовая Установка: 1 Ч Pratt &amp; Whitney </w:t>
      </w:r>
      <w:proofErr w:type="spellStart"/>
      <w:r w:rsidRPr="007122AB">
        <w:rPr>
          <w:rFonts w:ascii="Times New Roman" w:hAnsi="Times New Roman"/>
          <w:color w:val="000000" w:themeColor="text1"/>
          <w:sz w:val="16"/>
          <w:szCs w:val="16"/>
        </w:rPr>
        <w:t>Wasp</w:t>
      </w:r>
      <w:proofErr w:type="spellEnd"/>
      <w:r w:rsidRPr="007122AB">
        <w:rPr>
          <w:rFonts w:ascii="Times New Roman" w:hAnsi="Times New Roman"/>
          <w:color w:val="000000" w:themeColor="text1"/>
          <w:sz w:val="16"/>
          <w:szCs w:val="16"/>
        </w:rPr>
        <w:t xml:space="preserve"> 420 л.с.(313 </w:t>
      </w:r>
      <w:proofErr w:type="spellStart"/>
      <w:r w:rsidRPr="007122AB">
        <w:rPr>
          <w:rFonts w:ascii="Times New Roman" w:hAnsi="Times New Roman"/>
          <w:color w:val="000000" w:themeColor="text1"/>
          <w:sz w:val="16"/>
          <w:szCs w:val="16"/>
        </w:rPr>
        <w:t>Квт</w:t>
      </w:r>
      <w:proofErr w:type="spellEnd"/>
      <w:r w:rsidRPr="007122AB">
        <w:rPr>
          <w:rFonts w:ascii="Times New Roman" w:hAnsi="Times New Roman"/>
          <w:color w:val="000000" w:themeColor="text1"/>
          <w:sz w:val="16"/>
          <w:szCs w:val="16"/>
        </w:rPr>
        <w:t xml:space="preserve">). Максимальная скорость: 155 </w:t>
      </w:r>
      <w:proofErr w:type="spellStart"/>
      <w:r w:rsidRPr="007122AB">
        <w:rPr>
          <w:rFonts w:ascii="Times New Roman" w:hAnsi="Times New Roman"/>
          <w:color w:val="000000" w:themeColor="text1"/>
          <w:sz w:val="16"/>
          <w:szCs w:val="16"/>
        </w:rPr>
        <w:t>mph</w:t>
      </w:r>
      <w:proofErr w:type="spellEnd"/>
      <w:r w:rsidRPr="007122AB">
        <w:rPr>
          <w:rFonts w:ascii="Times New Roman" w:hAnsi="Times New Roman"/>
          <w:color w:val="000000" w:themeColor="text1"/>
          <w:sz w:val="16"/>
          <w:szCs w:val="16"/>
        </w:rPr>
        <w:t xml:space="preserve"> (249 км/ч). Дальность: 670 миль (1,080 км) (14966).</w:t>
      </w:r>
    </w:p>
    <w:p w14:paraId="02B582B3" w14:textId="77777777" w:rsidR="001B5144" w:rsidRPr="007122AB" w:rsidRDefault="001B5144" w:rsidP="007122AB">
      <w:pPr>
        <w:spacing w:after="0" w:line="240" w:lineRule="auto"/>
        <w:jc w:val="both"/>
        <w:rPr>
          <w:rFonts w:ascii="Times New Roman" w:hAnsi="Times New Roman"/>
          <w:color w:val="000000" w:themeColor="text1"/>
          <w:sz w:val="16"/>
          <w:szCs w:val="16"/>
        </w:rPr>
      </w:pPr>
    </w:p>
    <w:p w14:paraId="41B7C092" w14:textId="77777777" w:rsidR="00494647" w:rsidRPr="007122AB" w:rsidRDefault="004946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28-31 июля 1931 Рассел Нортон </w:t>
      </w:r>
      <w:proofErr w:type="spellStart"/>
      <w:r w:rsidRPr="007122AB">
        <w:rPr>
          <w:rFonts w:ascii="Times New Roman" w:hAnsi="Times New Roman"/>
          <w:color w:val="000000" w:themeColor="text1"/>
          <w:sz w:val="16"/>
          <w:szCs w:val="16"/>
        </w:rPr>
        <w:t>Бордмен</w:t>
      </w:r>
      <w:proofErr w:type="spellEnd"/>
      <w:r w:rsidRPr="007122AB">
        <w:rPr>
          <w:rFonts w:ascii="Times New Roman" w:hAnsi="Times New Roman"/>
          <w:color w:val="000000" w:themeColor="text1"/>
          <w:sz w:val="16"/>
          <w:szCs w:val="16"/>
        </w:rPr>
        <w:t xml:space="preserve"> и Джон Луи </w:t>
      </w:r>
      <w:proofErr w:type="spellStart"/>
      <w:r w:rsidRPr="007122AB">
        <w:rPr>
          <w:rFonts w:ascii="Times New Roman" w:hAnsi="Times New Roman"/>
          <w:color w:val="000000" w:themeColor="text1"/>
          <w:sz w:val="16"/>
          <w:szCs w:val="16"/>
        </w:rPr>
        <w:t>Polando</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Special J-300 </w:t>
      </w:r>
      <w:proofErr w:type="spellStart"/>
      <w:r w:rsidRPr="007122AB">
        <w:rPr>
          <w:rFonts w:ascii="Times New Roman" w:hAnsi="Times New Roman"/>
          <w:color w:val="000000" w:themeColor="text1"/>
          <w:sz w:val="16"/>
          <w:szCs w:val="16"/>
        </w:rPr>
        <w:t>Cape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Cod</w:t>
      </w:r>
      <w:proofErr w:type="spellEnd"/>
      <w:r w:rsidRPr="007122AB">
        <w:rPr>
          <w:rFonts w:ascii="Times New Roman" w:hAnsi="Times New Roman"/>
          <w:color w:val="000000" w:themeColor="text1"/>
          <w:sz w:val="16"/>
          <w:szCs w:val="16"/>
        </w:rPr>
        <w:t xml:space="preserve">, регистрация NR761W, с двигателем 300 л.с. (220 кВт) Райт J-6 Вихрь и совершают </w:t>
      </w:r>
      <w:proofErr w:type="spellStart"/>
      <w:r w:rsidRPr="007122AB">
        <w:rPr>
          <w:rFonts w:ascii="Times New Roman" w:hAnsi="Times New Roman"/>
          <w:color w:val="000000" w:themeColor="text1"/>
          <w:sz w:val="16"/>
          <w:szCs w:val="16"/>
        </w:rPr>
        <w:t>безпосадочный</w:t>
      </w:r>
      <w:proofErr w:type="spellEnd"/>
      <w:r w:rsidRPr="007122AB">
        <w:rPr>
          <w:rFonts w:ascii="Times New Roman" w:hAnsi="Times New Roman"/>
          <w:color w:val="000000" w:themeColor="text1"/>
          <w:sz w:val="16"/>
          <w:szCs w:val="16"/>
        </w:rPr>
        <w:t xml:space="preserve"> перелет от Floyd </w:t>
      </w:r>
      <w:proofErr w:type="spellStart"/>
      <w:r w:rsidRPr="007122AB">
        <w:rPr>
          <w:rFonts w:ascii="Times New Roman" w:hAnsi="Times New Roman"/>
          <w:color w:val="000000" w:themeColor="text1"/>
          <w:sz w:val="16"/>
          <w:szCs w:val="16"/>
        </w:rPr>
        <w:t>Bennett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Field,з</w:t>
      </w:r>
      <w:proofErr w:type="spellEnd"/>
      <w:r w:rsidRPr="007122AB">
        <w:rPr>
          <w:rFonts w:ascii="Times New Roman" w:hAnsi="Times New Roman"/>
          <w:color w:val="000000" w:themeColor="text1"/>
          <w:sz w:val="16"/>
          <w:szCs w:val="16"/>
        </w:rPr>
        <w:t xml:space="preserve"> Нью-Йорка в Стамбул, Турция , за 49 часов 20 минут, установив рекорд расстояния в 5011,8 миль (8 065,7 км). Это первый известный беспосадочный перелет, который преодолеет расстояние от 5000 до 8000 километров (20804).</w:t>
      </w:r>
    </w:p>
    <w:p w14:paraId="41636AC5" w14:textId="77777777" w:rsidR="00494647" w:rsidRPr="007122AB" w:rsidRDefault="00494647" w:rsidP="007122AB">
      <w:pPr>
        <w:spacing w:after="0" w:line="240" w:lineRule="auto"/>
        <w:jc w:val="both"/>
        <w:rPr>
          <w:rFonts w:ascii="Times New Roman" w:hAnsi="Times New Roman"/>
          <w:color w:val="000000" w:themeColor="text1"/>
          <w:sz w:val="16"/>
          <w:szCs w:val="16"/>
        </w:rPr>
      </w:pPr>
    </w:p>
    <w:p w14:paraId="0863B2D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3D1BE1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75BE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июля 1931 г. высокоплан "</w:t>
      </w:r>
      <w:proofErr w:type="spellStart"/>
      <w:r w:rsidRPr="007122AB">
        <w:rPr>
          <w:rFonts w:ascii="Times New Roman" w:hAnsi="Times New Roman"/>
          <w:color w:val="000000" w:themeColor="text1"/>
          <w:sz w:val="16"/>
          <w:szCs w:val="16"/>
        </w:rPr>
        <w:t>Белланка</w:t>
      </w:r>
      <w:proofErr w:type="spellEnd"/>
      <w:r w:rsidRPr="007122AB">
        <w:rPr>
          <w:rFonts w:ascii="Times New Roman" w:hAnsi="Times New Roman"/>
          <w:color w:val="000000" w:themeColor="text1"/>
          <w:sz w:val="16"/>
          <w:szCs w:val="16"/>
        </w:rPr>
        <w:t xml:space="preserve">" с бортовым номером NR 796W и именем собственным на борту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летчиков </w:t>
      </w:r>
      <w:proofErr w:type="spellStart"/>
      <w:r w:rsidRPr="007122AB">
        <w:rPr>
          <w:rFonts w:ascii="Times New Roman" w:hAnsi="Times New Roman"/>
          <w:color w:val="000000" w:themeColor="text1"/>
          <w:sz w:val="16"/>
          <w:szCs w:val="16"/>
        </w:rPr>
        <w:t>Пэнгборна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Херндона</w:t>
      </w:r>
      <w:proofErr w:type="spellEnd"/>
      <w:r w:rsidRPr="007122AB">
        <w:rPr>
          <w:rFonts w:ascii="Times New Roman" w:hAnsi="Times New Roman"/>
          <w:color w:val="000000" w:themeColor="text1"/>
          <w:sz w:val="16"/>
          <w:szCs w:val="16"/>
        </w:rPr>
        <w:t xml:space="preserve"> совершил плановую посадку в московском аэропорту Этот перелет американцев, который относился к скоростным перелетам вокруг света с промежуточными посадками (11941).</w:t>
      </w:r>
    </w:p>
    <w:p w14:paraId="5008DD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2C1CD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За</w:t>
      </w:r>
      <w:r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рубежом</w:t>
      </w:r>
      <w:r w:rsidRPr="007122AB">
        <w:rPr>
          <w:rFonts w:ascii="Times New Roman" w:hAnsi="Times New Roman"/>
          <w:i/>
          <w:iCs/>
          <w:color w:val="000000" w:themeColor="text1"/>
          <w:sz w:val="16"/>
          <w:szCs w:val="16"/>
          <w:lang w:val="en-US"/>
        </w:rPr>
        <w:t>:</w:t>
      </w:r>
    </w:p>
    <w:p w14:paraId="5A5B67C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FA83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July 29-August 26 1931 Colonel and Mrs. Lindbergh made survey flight to Japan in Sirius seaplane, via Alaska and Siberia (1038).</w:t>
      </w:r>
    </w:p>
    <w:p w14:paraId="733F8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676DB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29 июля по 26 августа 1931 п и миссис Линдберг совершили перелет в Японию через Аляску, а далее - Сибирь (3908,337).</w:t>
      </w:r>
    </w:p>
    <w:p w14:paraId="77DFF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57931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5B2380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1BAB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30 июля по 15 августа 1931 в НИИ ВВС проходил первый этап испытаний (образца для серии) самолета И5 № 18 с мотором М15.</w:t>
      </w:r>
    </w:p>
    <w:p w14:paraId="5D8D24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 (образца для серии) самолета И5 № 18 с мотором М15</w:t>
      </w:r>
    </w:p>
    <w:p w14:paraId="0ACCBE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6BAAA5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0CAAE8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13972A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сообщению завода № 39 данный самолет в сравнении с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xml:space="preserve"> VI усилен ………….</w:t>
      </w:r>
    </w:p>
    <w:p w14:paraId="294090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2CFABF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2A7F06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663958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 испытания</w:t>
      </w:r>
    </w:p>
    <w:p w14:paraId="41179F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первого испытания самолет И5 № 18 произвел следующие полеты:</w:t>
      </w:r>
    </w:p>
    <w:p w14:paraId="425A56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1EBB6D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17610A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0E509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второго испытания произведены следующие полеты:</w:t>
      </w:r>
    </w:p>
    <w:p w14:paraId="6DB649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53464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5FBEB6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C81B1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w:t>
      </w:r>
      <w:proofErr w:type="spellStart"/>
      <w:r w:rsidRPr="007122AB">
        <w:rPr>
          <w:rFonts w:ascii="Times New Roman" w:hAnsi="Times New Roman"/>
          <w:color w:val="000000" w:themeColor="text1"/>
          <w:sz w:val="16"/>
          <w:szCs w:val="16"/>
        </w:rPr>
        <w:t>ЮпVI</w:t>
      </w:r>
      <w:proofErr w:type="spellEnd"/>
      <w:r w:rsidRPr="007122AB">
        <w:rPr>
          <w:rFonts w:ascii="Times New Roman" w:hAnsi="Times New Roman"/>
          <w:color w:val="000000" w:themeColor="text1"/>
          <w:sz w:val="16"/>
          <w:szCs w:val="16"/>
        </w:rPr>
        <w:t xml:space="preserve"> (6964, 32-40).</w:t>
      </w:r>
    </w:p>
    <w:p w14:paraId="4689C7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E1C99"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июля 1931 начались </w:t>
      </w:r>
      <w:proofErr w:type="spellStart"/>
      <w:r w:rsidRPr="007122AB">
        <w:rPr>
          <w:rFonts w:ascii="Times New Roman" w:hAnsi="Times New Roman"/>
          <w:color w:val="000000" w:themeColor="text1"/>
          <w:sz w:val="16"/>
          <w:szCs w:val="16"/>
        </w:rPr>
        <w:t>спы</w:t>
      </w:r>
      <w:r w:rsidRPr="007122AB">
        <w:rPr>
          <w:rFonts w:ascii="Times New Roman" w:hAnsi="Times New Roman"/>
          <w:color w:val="000000" w:themeColor="text1"/>
          <w:sz w:val="16"/>
          <w:szCs w:val="16"/>
        </w:rPr>
        <w:softHyphen/>
        <w:t>тания</w:t>
      </w:r>
      <w:proofErr w:type="spellEnd"/>
      <w:r w:rsidRPr="007122AB">
        <w:rPr>
          <w:rFonts w:ascii="Times New Roman" w:hAnsi="Times New Roman"/>
          <w:color w:val="000000" w:themeColor="text1"/>
          <w:sz w:val="16"/>
          <w:szCs w:val="16"/>
        </w:rPr>
        <w:t xml:space="preserve"> в НИИ ВВС И-5 № 18 с двигателем М-15 №6 и были прерваны 15 августа 1931 года по причине поломки </w:t>
      </w:r>
      <w:proofErr w:type="spellStart"/>
      <w:r w:rsidRPr="007122AB">
        <w:rPr>
          <w:rFonts w:ascii="Times New Roman" w:hAnsi="Times New Roman"/>
          <w:color w:val="000000" w:themeColor="text1"/>
          <w:sz w:val="16"/>
          <w:szCs w:val="16"/>
        </w:rPr>
        <w:t>мо</w:t>
      </w:r>
      <w:r w:rsidRPr="007122AB">
        <w:rPr>
          <w:rFonts w:ascii="Times New Roman" w:hAnsi="Times New Roman"/>
          <w:color w:val="000000" w:themeColor="text1"/>
          <w:sz w:val="16"/>
          <w:szCs w:val="16"/>
        </w:rPr>
        <w:softHyphen/>
        <w:t>торамы</w:t>
      </w:r>
      <w:proofErr w:type="spellEnd"/>
      <w:r w:rsidRPr="007122AB">
        <w:rPr>
          <w:rFonts w:ascii="Times New Roman" w:hAnsi="Times New Roman"/>
          <w:color w:val="000000" w:themeColor="text1"/>
          <w:sz w:val="16"/>
          <w:szCs w:val="16"/>
        </w:rPr>
        <w:t>. После ремонта самолет предъявили к тестированию с новым двигателем - М-15 №24109. Полеты начались 10 октября, а че</w:t>
      </w:r>
      <w:r w:rsidRPr="007122AB">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7122AB">
        <w:rPr>
          <w:rFonts w:ascii="Times New Roman" w:hAnsi="Times New Roman"/>
          <w:color w:val="000000" w:themeColor="text1"/>
          <w:sz w:val="16"/>
          <w:szCs w:val="16"/>
        </w:rPr>
        <w:softHyphen/>
        <w:t>ки. Дальнейшая судьба машины не просле</w:t>
      </w:r>
      <w:r w:rsidRPr="007122AB">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w:t>
      </w:r>
    </w:p>
    <w:p w14:paraId="688BE974"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аварию, основные выводы в отношении дальнейшего использования двигателя М-15 были получены. В частно</w:t>
      </w:r>
      <w:r w:rsidRPr="007122AB">
        <w:rPr>
          <w:rFonts w:ascii="Times New Roman" w:hAnsi="Times New Roman"/>
          <w:color w:val="000000" w:themeColor="text1"/>
          <w:sz w:val="16"/>
          <w:szCs w:val="16"/>
        </w:rPr>
        <w:softHyphen/>
        <w:t>сти, указывалось, что серийные И-5 с М-15 будут обладать худшими летными данными и меньшим радиусом действия, чем И-5 с дви</w:t>
      </w:r>
      <w:r w:rsidRPr="007122AB">
        <w:rPr>
          <w:rFonts w:ascii="Times New Roman" w:hAnsi="Times New Roman"/>
          <w:color w:val="000000" w:themeColor="text1"/>
          <w:sz w:val="16"/>
          <w:szCs w:val="16"/>
        </w:rPr>
        <w:softHyphen/>
        <w:t>гателем «Юпитер» VI. Максимальная полет</w:t>
      </w:r>
      <w:r w:rsidRPr="007122AB">
        <w:rPr>
          <w:rFonts w:ascii="Times New Roman" w:hAnsi="Times New Roman"/>
          <w:color w:val="000000" w:themeColor="text1"/>
          <w:sz w:val="16"/>
          <w:szCs w:val="16"/>
        </w:rPr>
        <w:softHyphen/>
        <w:t>ная скорость самолета с М -15 оказалась нем</w:t>
      </w:r>
      <w:r w:rsidRPr="007122AB">
        <w:rPr>
          <w:rFonts w:ascii="Times New Roman" w:hAnsi="Times New Roman"/>
          <w:color w:val="000000" w:themeColor="text1"/>
          <w:sz w:val="16"/>
          <w:szCs w:val="16"/>
        </w:rPr>
        <w:softHyphen/>
        <w:t>ного выше, а скороподъемность чуть ниже, чем у второго опытного экземпляра.</w:t>
      </w:r>
    </w:p>
    <w:p w14:paraId="5A87F91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Ю-У1Скорость макс, на 1000 м (км/ч)</w:t>
      </w:r>
    </w:p>
    <w:p w14:paraId="2D6C653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 (12295).</w:t>
      </w:r>
    </w:p>
    <w:p w14:paraId="3273B1BE" w14:textId="77777777" w:rsidR="00875C4A" w:rsidRPr="007122AB" w:rsidRDefault="00875C4A" w:rsidP="007122AB">
      <w:pPr>
        <w:spacing w:after="0" w:line="240" w:lineRule="auto"/>
        <w:jc w:val="both"/>
        <w:rPr>
          <w:rFonts w:ascii="Times New Roman" w:hAnsi="Times New Roman"/>
          <w:color w:val="000000" w:themeColor="text1"/>
          <w:sz w:val="16"/>
          <w:szCs w:val="16"/>
        </w:rPr>
      </w:pPr>
    </w:p>
    <w:p w14:paraId="1B769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июля 1931 г. и.о. зам. нач. 2 отдела НИИ ВВС Квитко писал письмо N 436с в 8 сектор 3 Управления УВВС.</w:t>
      </w:r>
    </w:p>
    <w:p w14:paraId="2FF6DD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препровождаются результаты предварительных испытаний опытного самолета И5 с мотором М15.</w:t>
      </w:r>
    </w:p>
    <w:p w14:paraId="2C99B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И5-М15 был начат гос. испытанием в НИИ УВВС 12 декабря 1930 г., но ввиду неисправности мотора испытание было прервано 1 февраля 31 г. За указанный период произведено всего 8 полетов.</w:t>
      </w:r>
    </w:p>
    <w:p w14:paraId="2064A2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было продолжено при вторичном получении самолета с новым мотором 6 мая 1931 г.</w:t>
      </w:r>
    </w:p>
    <w:p w14:paraId="4FBA98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Испытывался в первый раз самолет И5 N 3 (XVI съезд) постройки ЦКБ, с мотором 2М15 N 2, постройки завода N 24.</w:t>
      </w:r>
    </w:p>
    <w:p w14:paraId="446F1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вторичном испытании тот же самолет имел мотор М15 N 18, постройки завода N 24.</w:t>
      </w:r>
    </w:p>
    <w:p w14:paraId="748C6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98AC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Поскольку самолет И5-М15 N 3 не является по своей конструкции идентичным тому, который предположен к серийной постройке, не мог быть испытан на стрельбу считать, что на основе его испытания нельзя дать заключения о самолете И5-М15, предназначенного к серийной постройке (3290,41-58).</w:t>
      </w:r>
    </w:p>
    <w:p w14:paraId="6BF810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ABC8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июля 1931 начались испытания в НИИ ВВС И-5 № 18 с двигателем М-15 № 6, которые были прерваны 15 августа 1931 г. по причине по</w:t>
      </w:r>
      <w:r w:rsidRPr="007122AB">
        <w:rPr>
          <w:rFonts w:ascii="Times New Roman" w:hAnsi="Times New Roman"/>
          <w:color w:val="000000" w:themeColor="text1"/>
          <w:sz w:val="16"/>
          <w:szCs w:val="16"/>
        </w:rPr>
        <w:softHyphen/>
        <w:t xml:space="preserve">ломки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После ремонта самолет предъявили к тестированию с новым двигате</w:t>
      </w:r>
      <w:r w:rsidRPr="007122AB">
        <w:rPr>
          <w:rFonts w:ascii="Times New Roman" w:hAnsi="Times New Roman"/>
          <w:color w:val="000000" w:themeColor="text1"/>
          <w:sz w:val="16"/>
          <w:szCs w:val="16"/>
        </w:rPr>
        <w:softHyphen/>
        <w:t>лем - М-15 № 24109. Полеты начались 10 ок</w:t>
      </w:r>
      <w:r w:rsidRPr="007122AB">
        <w:rPr>
          <w:rFonts w:ascii="Times New Roman" w:hAnsi="Times New Roman"/>
          <w:color w:val="000000" w:themeColor="text1"/>
          <w:sz w:val="16"/>
          <w:szCs w:val="16"/>
        </w:rPr>
        <w:softHyphen/>
        <w:t xml:space="preserve">тября, а через несколько дней самолет потерпел аварию при </w:t>
      </w:r>
      <w:r w:rsidRPr="007122AB">
        <w:rPr>
          <w:rFonts w:ascii="Times New Roman" w:hAnsi="Times New Roman"/>
          <w:color w:val="000000" w:themeColor="text1"/>
          <w:sz w:val="16"/>
          <w:szCs w:val="16"/>
        </w:rPr>
        <w:lastRenderedPageBreak/>
        <w:t>выполнении вынужденной по</w:t>
      </w:r>
      <w:r w:rsidRPr="007122AB">
        <w:rPr>
          <w:rFonts w:ascii="Times New Roman" w:hAnsi="Times New Roman"/>
          <w:color w:val="000000" w:themeColor="text1"/>
          <w:sz w:val="16"/>
          <w:szCs w:val="16"/>
        </w:rPr>
        <w:softHyphen/>
        <w:t xml:space="preserve">садки. Дальнейшая судьба машины не </w:t>
      </w:r>
      <w:proofErr w:type="spellStart"/>
      <w:r w:rsidRPr="007122AB">
        <w:rPr>
          <w:rFonts w:ascii="Times New Roman" w:hAnsi="Times New Roman"/>
          <w:color w:val="000000" w:themeColor="text1"/>
          <w:sz w:val="16"/>
          <w:szCs w:val="16"/>
        </w:rPr>
        <w:t>просле</w:t>
      </w:r>
      <w:proofErr w:type="spellEnd"/>
      <w:r w:rsidRPr="007122AB">
        <w:rPr>
          <w:rFonts w:ascii="Times New Roman" w:hAnsi="Times New Roman"/>
          <w:color w:val="000000" w:themeColor="text1"/>
          <w:sz w:val="16"/>
          <w:szCs w:val="16"/>
        </w:rPr>
        <w:t xml:space="preserve"> живется, однако из переписки завода №39 известно, что какой-то И-5 с М-15 потерпел аварию и не восстанавливался (вероятно это был И-5 №18).</w:t>
      </w:r>
    </w:p>
    <w:p w14:paraId="2748E4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смотря на аварию, основные выводы в отношении </w:t>
      </w:r>
      <w:proofErr w:type="spellStart"/>
      <w:r w:rsidRPr="007122AB">
        <w:rPr>
          <w:rFonts w:ascii="Times New Roman" w:hAnsi="Times New Roman"/>
          <w:color w:val="000000" w:themeColor="text1"/>
          <w:sz w:val="16"/>
          <w:szCs w:val="16"/>
        </w:rPr>
        <w:t>испытывавшегося</w:t>
      </w:r>
      <w:proofErr w:type="spellEnd"/>
      <w:r w:rsidRPr="007122AB">
        <w:rPr>
          <w:rFonts w:ascii="Times New Roman" w:hAnsi="Times New Roman"/>
          <w:color w:val="000000" w:themeColor="text1"/>
          <w:sz w:val="16"/>
          <w:szCs w:val="16"/>
        </w:rPr>
        <w:t xml:space="preserve"> самолета были, получены. В частности, указывалось, что се</w:t>
      </w:r>
      <w:r w:rsidRPr="007122AB">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7122AB">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7122AB">
        <w:rPr>
          <w:rFonts w:ascii="Times New Roman" w:hAnsi="Times New Roman"/>
          <w:color w:val="000000" w:themeColor="text1"/>
          <w:sz w:val="16"/>
          <w:szCs w:val="16"/>
        </w:rPr>
        <w:softHyphen/>
        <w:t>ность чуть ниже, чем у второго опытного эк</w:t>
      </w:r>
      <w:r w:rsidRPr="007122AB">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7122AB" w14:paraId="20C24957" w14:textId="77777777">
        <w:tc>
          <w:tcPr>
            <w:tcW w:w="3736" w:type="dxa"/>
            <w:tcBorders>
              <w:top w:val="single" w:sz="12" w:space="0" w:color="auto"/>
            </w:tcBorders>
          </w:tcPr>
          <w:p w14:paraId="32609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3F156A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М-15</w:t>
            </w:r>
          </w:p>
        </w:tc>
        <w:tc>
          <w:tcPr>
            <w:tcW w:w="3736" w:type="dxa"/>
            <w:tcBorders>
              <w:top w:val="single" w:sz="12" w:space="0" w:color="auto"/>
            </w:tcBorders>
          </w:tcPr>
          <w:p w14:paraId="33997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w:t>
            </w:r>
            <w:r w:rsidRPr="007122AB">
              <w:rPr>
                <w:rFonts w:ascii="Times New Roman" w:hAnsi="Times New Roman"/>
                <w:color w:val="000000" w:themeColor="text1"/>
                <w:sz w:val="16"/>
                <w:szCs w:val="16"/>
                <w:lang w:val="en-US"/>
              </w:rPr>
              <w:t>-VI</w:t>
            </w:r>
          </w:p>
        </w:tc>
      </w:tr>
      <w:tr w:rsidR="001002C3" w:rsidRPr="007122AB" w14:paraId="1B5DA121" w14:textId="77777777">
        <w:tc>
          <w:tcPr>
            <w:tcW w:w="3736" w:type="dxa"/>
          </w:tcPr>
          <w:p w14:paraId="58845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1000 м (км/ч)</w:t>
            </w:r>
          </w:p>
        </w:tc>
        <w:tc>
          <w:tcPr>
            <w:tcW w:w="3736" w:type="dxa"/>
          </w:tcPr>
          <w:p w14:paraId="689F6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3736" w:type="dxa"/>
          </w:tcPr>
          <w:p w14:paraId="462BDA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r>
      <w:tr w:rsidR="001002C3" w:rsidRPr="007122AB" w14:paraId="61F5898B" w14:textId="77777777">
        <w:tc>
          <w:tcPr>
            <w:tcW w:w="3736" w:type="dxa"/>
            <w:tcBorders>
              <w:bottom w:val="single" w:sz="12" w:space="0" w:color="auto"/>
            </w:tcBorders>
          </w:tcPr>
          <w:p w14:paraId="71FB2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BD31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3736" w:type="dxa"/>
            <w:tcBorders>
              <w:bottom w:val="single" w:sz="12" w:space="0" w:color="auto"/>
            </w:tcBorders>
          </w:tcPr>
          <w:p w14:paraId="7B2BFF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w:t>
            </w:r>
          </w:p>
        </w:tc>
      </w:tr>
    </w:tbl>
    <w:p w14:paraId="23AA94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значительные усилия, потра</w:t>
      </w:r>
      <w:r w:rsidRPr="007122AB">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7122AB">
        <w:rPr>
          <w:rFonts w:ascii="Times New Roman" w:hAnsi="Times New Roman"/>
          <w:color w:val="000000" w:themeColor="text1"/>
          <w:sz w:val="16"/>
          <w:szCs w:val="16"/>
        </w:rPr>
        <w:softHyphen/>
        <w:t>должение работ по его внедрению. Было ре</w:t>
      </w:r>
      <w:r w:rsidRPr="007122AB">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7122AB">
        <w:rPr>
          <w:rFonts w:ascii="Times New Roman" w:hAnsi="Times New Roman"/>
          <w:color w:val="000000" w:themeColor="text1"/>
          <w:sz w:val="16"/>
          <w:szCs w:val="16"/>
        </w:rPr>
        <w:softHyphen/>
        <w:t xml:space="preserve">ября 1931 г.,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6213C2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194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июля 1931 года приступили к испытаниям доработанного серийного истребителя И-5 № 18. Его собрали на заводе № 39 из узлов собственного производства и доставленных с завода № 1. Кое-что на заказ изготовили на заводе № 22 в подмосковных Филях. Лонжероны крыльев и нижний лонжерон фюзеляжа по сравнению с опытными образцами И-5 усилили, одинарные ленты расчалок заменили двойными, ввели дополнительный подкос в </w:t>
      </w:r>
      <w:proofErr w:type="spellStart"/>
      <w:r w:rsidRPr="007122AB">
        <w:rPr>
          <w:rFonts w:ascii="Times New Roman" w:hAnsi="Times New Roman"/>
          <w:color w:val="000000" w:themeColor="text1"/>
          <w:sz w:val="16"/>
          <w:szCs w:val="16"/>
        </w:rPr>
        <w:t>мотораме</w:t>
      </w:r>
      <w:proofErr w:type="spellEnd"/>
      <w:r w:rsidRPr="007122AB">
        <w:rPr>
          <w:rFonts w:ascii="Times New Roman" w:hAnsi="Times New Roman"/>
          <w:color w:val="000000" w:themeColor="text1"/>
          <w:sz w:val="16"/>
          <w:szCs w:val="16"/>
        </w:rPr>
        <w:t xml:space="preserve">. На самолёте стоял мотор М-15 № 6 из опытной малой серии. Уже при пробных запусках двигателя выявилась тряска в некоторых диапазонах оборотов, всё вокруг забрызгивало маслом. На этой машине совершили всего один полёт, закончившийся аварией. 5 августа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w:t>
      </w:r>
      <w:proofErr w:type="spellStart"/>
      <w:r w:rsidRPr="007122AB">
        <w:rPr>
          <w:rFonts w:ascii="Times New Roman" w:hAnsi="Times New Roman"/>
          <w:color w:val="000000" w:themeColor="text1"/>
          <w:sz w:val="16"/>
          <w:szCs w:val="16"/>
        </w:rPr>
        <w:t>моторамой</w:t>
      </w:r>
      <w:proofErr w:type="spellEnd"/>
      <w:r w:rsidRPr="007122AB">
        <w:rPr>
          <w:rFonts w:ascii="Times New Roman" w:hAnsi="Times New Roman"/>
          <w:color w:val="000000" w:themeColor="text1"/>
          <w:sz w:val="16"/>
          <w:szCs w:val="16"/>
        </w:rPr>
        <w:t xml:space="preserve"> и изменённым капотом. Этот двигатель работал лучше предыдущего, но расход масла оставался чрезмерно большим.</w:t>
      </w:r>
    </w:p>
    <w:p w14:paraId="02D9C6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77999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5AABE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10D987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w:t>
      </w:r>
      <w:proofErr w:type="spellStart"/>
      <w:r w:rsidRPr="007122AB">
        <w:rPr>
          <w:rFonts w:ascii="Times New Roman" w:hAnsi="Times New Roman"/>
          <w:color w:val="000000" w:themeColor="text1"/>
          <w:sz w:val="16"/>
          <w:szCs w:val="16"/>
        </w:rPr>
        <w:t>Хорнету</w:t>
      </w:r>
      <w:proofErr w:type="spellEnd"/>
      <w:r w:rsidRPr="007122AB">
        <w:rPr>
          <w:rFonts w:ascii="Times New Roman" w:hAnsi="Times New Roman"/>
          <w:color w:val="000000" w:themeColor="text1"/>
          <w:sz w:val="16"/>
          <w:szCs w:val="16"/>
        </w:rPr>
        <w:t>"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04286F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w:t>
      </w:r>
      <w:proofErr w:type="spellStart"/>
      <w:r w:rsidRPr="007122AB">
        <w:rPr>
          <w:rFonts w:ascii="Times New Roman" w:hAnsi="Times New Roman"/>
          <w:color w:val="000000" w:themeColor="text1"/>
          <w:sz w:val="16"/>
          <w:szCs w:val="16"/>
        </w:rPr>
        <w:t>невзаимозаменяемы</w:t>
      </w:r>
      <w:proofErr w:type="spellEnd"/>
      <w:r w:rsidRPr="007122AB">
        <w:rPr>
          <w:rFonts w:ascii="Times New Roman" w:hAnsi="Times New Roman"/>
          <w:color w:val="000000" w:themeColor="text1"/>
          <w:sz w:val="16"/>
          <w:szCs w:val="16"/>
        </w:rPr>
        <w:t>. Всю серию "Б" после предъявления военпред отклонил и потребовал довести её до уровня требований технических условий (11997).</w:t>
      </w:r>
    </w:p>
    <w:p w14:paraId="1E49D2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0CD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июля 1931 был готов АНТ-14 (346,52). В серию не пошла из-за отсутствия производственной базы для гражданских машин (514).</w:t>
      </w:r>
    </w:p>
    <w:p w14:paraId="34A8B7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653D60"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июля 1931 г. была завершена постройка АНТ-14 и в ночь на второе августа АНТ—14 перевезли на аэродром (23474).</w:t>
      </w:r>
    </w:p>
    <w:p w14:paraId="04F0602C" w14:textId="77777777" w:rsidR="00984EA8" w:rsidRPr="00441F34" w:rsidRDefault="00984EA8" w:rsidP="00984EA8">
      <w:pPr>
        <w:spacing w:after="0" w:line="240" w:lineRule="auto"/>
        <w:jc w:val="both"/>
        <w:rPr>
          <w:rFonts w:ascii="Times New Roman" w:hAnsi="Times New Roman"/>
          <w:color w:val="0070C0"/>
          <w:sz w:val="16"/>
          <w:szCs w:val="16"/>
        </w:rPr>
      </w:pPr>
    </w:p>
    <w:p w14:paraId="479408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30 июля по 2 августа 1931 был второй украинский перелет на К-5 (70,165).</w:t>
      </w:r>
    </w:p>
    <w:p w14:paraId="1523A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999BF4" w14:textId="77777777" w:rsidR="00875C4A"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70088C8" w14:textId="77777777" w:rsidR="00875C4A" w:rsidRPr="007122AB" w:rsidRDefault="00875C4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8C096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30 июля 1931</w:t>
      </w:r>
      <w:r w:rsidRPr="007122AB">
        <w:rPr>
          <w:rFonts w:ascii="Times New Roman" w:hAnsi="Times New Roman"/>
          <w:color w:val="000000" w:themeColor="text1"/>
          <w:sz w:val="16"/>
          <w:szCs w:val="16"/>
        </w:rPr>
        <w:t>Политбюро ЦК ВКП (б) приняло постановление о перспективах развития цветной металлургии (12265).</w:t>
      </w:r>
    </w:p>
    <w:p w14:paraId="2952208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EB64F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309634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321EB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июля 1931 ЦК ВКП(б) утвердил постановление об издании «Истории гражданской войны» (4962).</w:t>
      </w:r>
    </w:p>
    <w:p w14:paraId="4FD030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EF497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6E2BA3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0DC0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31 июля по 11 августа 1931 г. проходили испытания самолета И5 N 5 с ЮVI с утоненными консолями.</w:t>
      </w:r>
    </w:p>
    <w:p w14:paraId="71A72C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356FC7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на штопор.</w:t>
      </w:r>
    </w:p>
    <w:p w14:paraId="1C3489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вывод</w:t>
      </w:r>
    </w:p>
    <w:p w14:paraId="2678B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00FE9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429C8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- 9</w:t>
      </w:r>
    </w:p>
    <w:p w14:paraId="09902F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- 4 час. 10 мин. (3289,84-95).</w:t>
      </w:r>
    </w:p>
    <w:p w14:paraId="7B8B41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4E8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июля 1931 на заводе 39 им. Менжинского начали строить АИР-5 (машина 49) А.С.Я. Работа шла неровно, в зависимости от хода выполнения основной программы завода. Помогали комсомольская и </w:t>
      </w:r>
      <w:proofErr w:type="spellStart"/>
      <w:r w:rsidRPr="007122AB">
        <w:rPr>
          <w:rFonts w:ascii="Times New Roman" w:hAnsi="Times New Roman"/>
          <w:color w:val="000000" w:themeColor="text1"/>
          <w:sz w:val="16"/>
          <w:szCs w:val="16"/>
        </w:rPr>
        <w:t>осоавиахимовская</w:t>
      </w:r>
      <w:proofErr w:type="spellEnd"/>
      <w:r w:rsidRPr="007122AB">
        <w:rPr>
          <w:rFonts w:ascii="Times New Roman" w:hAnsi="Times New Roman"/>
          <w:color w:val="000000" w:themeColor="text1"/>
          <w:sz w:val="16"/>
          <w:szCs w:val="16"/>
        </w:rPr>
        <w:t xml:space="preserve"> организации. В июле 1931 многотиражка “</w:t>
      </w:r>
      <w:proofErr w:type="spellStart"/>
      <w:r w:rsidRPr="007122AB">
        <w:rPr>
          <w:rFonts w:ascii="Times New Roman" w:hAnsi="Times New Roman"/>
          <w:color w:val="000000" w:themeColor="text1"/>
          <w:sz w:val="16"/>
          <w:szCs w:val="16"/>
        </w:rPr>
        <w:t>Менжинец</w:t>
      </w:r>
      <w:proofErr w:type="spellEnd"/>
      <w:r w:rsidRPr="007122AB">
        <w:rPr>
          <w:rFonts w:ascii="Times New Roman" w:hAnsi="Times New Roman"/>
          <w:color w:val="000000" w:themeColor="text1"/>
          <w:sz w:val="16"/>
          <w:szCs w:val="16"/>
        </w:rPr>
        <w:t>” писала: “Совет Осоавиахима завода 39 им. Менжинского, учитывая всю важность выполнения плана создания мощной сети воздушного сообщения в 42000 км и отвечая на обращение ЦС Осоавиахима - рапортует, что организация Осоавиахима Краснознаменного завода 39 включилась в работу по содействию развития ГА. Осоавиахимом взято шефство над пассажирским самолетом конструкции т Яковлева, который явится ценным вкладом в нашу ГА.” Построили за 3 месяца к годовщине ОР (3977,6).</w:t>
      </w:r>
    </w:p>
    <w:p w14:paraId="68458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C20E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за № 433/5 появился План работ опытного самолетостроения АГОС ЦАГИ на 1931-1934 (светокопия) (351).</w:t>
      </w:r>
    </w:p>
    <w:p w14:paraId="28C355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A904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было создано Рыбинское КБ моторостроения (274).</w:t>
      </w:r>
    </w:p>
    <w:p w14:paraId="372D2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298C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 было организовано Рыбинское КБ моторостроения (6395).</w:t>
      </w:r>
    </w:p>
    <w:p w14:paraId="63F298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B62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организовано Рыбинское КБ моторостроения (4963 ).</w:t>
      </w:r>
    </w:p>
    <w:p w14:paraId="51909B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4CDB2" w14:textId="77777777" w:rsidR="001B5144" w:rsidRPr="007122AB" w:rsidRDefault="001B514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в 1931 году образовано Рыбинское КБ моторостроения (РКБМ) , ведущий разработчик двигателей для самолетов, вертолетов и др. В 1997 г. РКБМ объединилось с ОАО "Рыбинские моторы", в 1998 г. произошло объединение ВМЗ и ОАО "Рыбинские моторы", в 2001 г. - слияние ОАО "Рыбинские моторы" и ОАО "</w:t>
      </w:r>
      <w:proofErr w:type="spellStart"/>
      <w:r w:rsidRPr="007122AB">
        <w:rPr>
          <w:rFonts w:ascii="Times New Roman" w:hAnsi="Times New Roman"/>
          <w:color w:val="000000" w:themeColor="text1"/>
          <w:sz w:val="16"/>
          <w:szCs w:val="16"/>
        </w:rPr>
        <w:t>А.Люлька</w:t>
      </w:r>
      <w:proofErr w:type="spellEnd"/>
      <w:r w:rsidRPr="007122AB">
        <w:rPr>
          <w:rFonts w:ascii="Times New Roman" w:hAnsi="Times New Roman"/>
          <w:color w:val="000000" w:themeColor="text1"/>
          <w:sz w:val="16"/>
          <w:szCs w:val="16"/>
        </w:rPr>
        <w:t>-Сатурн" и образование ОАО "НПО "Сатурн" - одного из лидеров отечественного двигателестроения (14969).</w:t>
      </w:r>
    </w:p>
    <w:p w14:paraId="5474051F" w14:textId="77777777" w:rsidR="001B5144" w:rsidRPr="007122AB" w:rsidRDefault="001B5144" w:rsidP="007122AB">
      <w:pPr>
        <w:spacing w:after="0" w:line="240" w:lineRule="auto"/>
        <w:jc w:val="both"/>
        <w:rPr>
          <w:rFonts w:ascii="Times New Roman" w:hAnsi="Times New Roman"/>
          <w:color w:val="000000" w:themeColor="text1"/>
          <w:sz w:val="16"/>
          <w:szCs w:val="16"/>
        </w:rPr>
      </w:pPr>
    </w:p>
    <w:p w14:paraId="01F55FD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D6A6BF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BC80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31 июля и 6 августа 1931. Из протокола заседания Политбюро № 49, 1931 г.</w:t>
      </w:r>
    </w:p>
    <w:p w14:paraId="7893F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Об издании "Истории Гражданской войны" </w:t>
      </w:r>
    </w:p>
    <w:p w14:paraId="60784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Утвердить главную редакцию "Истории Гражданской войны" в составе тт. Горького, Сталина, Молотова, Кирова, Ворошилова, Бубнова и Гамарника. </w:t>
      </w:r>
    </w:p>
    <w:p w14:paraId="024A1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главной редакции: </w:t>
      </w:r>
    </w:p>
    <w:p w14:paraId="6EE8C9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Представить на утверждение Политбюро составы политической и художественной редакций; </w:t>
      </w:r>
    </w:p>
    <w:p w14:paraId="7385E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рассмотреть вопрос о программе "Истории Гражданской войны"; </w:t>
      </w:r>
    </w:p>
    <w:p w14:paraId="72C8E9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издать обращение по вопросу об истории Гражданской войны за подписью т. Горького (11652).</w:t>
      </w:r>
    </w:p>
    <w:p w14:paraId="20B68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1912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31 июля и 6 августа 1931. Из протокола заседания Политбюро № 54, 1931 г.</w:t>
      </w:r>
    </w:p>
    <w:p w14:paraId="7DE9F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Вопросы ОГПУ</w:t>
      </w:r>
    </w:p>
    <w:p w14:paraId="1382E6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Никого из коммунистов, работающих в органах ОГПУ или вне этих органов, как в центре, так и на местах, не арестовывать без ведома и согласия ЦК ВКП(б). </w:t>
      </w:r>
    </w:p>
    <w:p w14:paraId="1FC28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Никого из специалистов (инженерно-технический персонал, военные, агрономы, врачи и т. п.) не арестовывать без согласия соответствующего наркома (союзного или республиканского), в случае же разногласия вопрос переносить в ЦК ВКП(б). </w:t>
      </w:r>
    </w:p>
    <w:p w14:paraId="04EF1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Граждан, арестованных по обвинению в политическом преступлении, не держать без допроса более чем три месяца, после чего дело должно быть ликвидировано либо передачей суду, либо самостоятельным решением коллегии ОГПУ. </w:t>
      </w:r>
    </w:p>
    <w:p w14:paraId="631A3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Все приговоры к высшей мере наказания, выносимые коллегией ОГПУ, вносить на утверждение ЦК ВКП(б) (11652).</w:t>
      </w:r>
    </w:p>
    <w:p w14:paraId="00D30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830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31 июля и 6 августа 1931. Из протокола заседания Политбюро № 54, 1931 г.</w:t>
      </w:r>
    </w:p>
    <w:p w14:paraId="4F968A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темпах дальнейшей коллективизации и задачах укрепления колхозов</w:t>
      </w:r>
    </w:p>
    <w:p w14:paraId="5D3AE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...Разъяснить, что мерилом завершения в основном коллективизации того или иного района является не обязательный охват всех 100% бедняцко-середняцких хозяйств, а вовлечение в колхозы не менее 68-70% крестьянских хозяйств с охватом не менее 75-80% посевных площадей крестьянских хозяйств... (11652).</w:t>
      </w:r>
    </w:p>
    <w:p w14:paraId="3812C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22CDB3" w14:textId="77777777" w:rsidR="00511EE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93A2605" w14:textId="77777777" w:rsidR="00511EE8" w:rsidRPr="007122AB" w:rsidRDefault="00511EE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D14710" w14:textId="77777777" w:rsidR="00511EE8" w:rsidRPr="007122AB" w:rsidRDefault="00511EE8"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 аргентинская полиция арестовала сотрудников советской организации «</w:t>
      </w:r>
      <w:proofErr w:type="spellStart"/>
      <w:r w:rsidRPr="007122AB">
        <w:rPr>
          <w:rFonts w:ascii="Times New Roman" w:hAnsi="Times New Roman"/>
          <w:color w:val="000000" w:themeColor="text1"/>
          <w:sz w:val="16"/>
          <w:szCs w:val="16"/>
        </w:rPr>
        <w:t>Южамторг</w:t>
      </w:r>
      <w:proofErr w:type="spellEnd"/>
      <w:r w:rsidRPr="007122AB">
        <w:rPr>
          <w:rFonts w:ascii="Times New Roman" w:hAnsi="Times New Roman"/>
          <w:color w:val="000000" w:themeColor="text1"/>
          <w:sz w:val="16"/>
          <w:szCs w:val="16"/>
        </w:rPr>
        <w:t>» в Буэнос-Айресе. После окончания следствия полиция передала аргентинскому правительству доклад, в котором против «</w:t>
      </w:r>
      <w:proofErr w:type="spellStart"/>
      <w:r w:rsidRPr="007122AB">
        <w:rPr>
          <w:rFonts w:ascii="Times New Roman" w:hAnsi="Times New Roman"/>
          <w:color w:val="000000" w:themeColor="text1"/>
          <w:sz w:val="16"/>
          <w:szCs w:val="16"/>
        </w:rPr>
        <w:t>Южамторга</w:t>
      </w:r>
      <w:proofErr w:type="spellEnd"/>
      <w:r w:rsidRPr="007122AB">
        <w:rPr>
          <w:rFonts w:ascii="Times New Roman" w:hAnsi="Times New Roman"/>
          <w:color w:val="000000" w:themeColor="text1"/>
          <w:sz w:val="16"/>
          <w:szCs w:val="16"/>
        </w:rPr>
        <w:t>» выдвигались обвинения в том, что он якобы «в скрытой форме руководил коммунистической пропагандой» и проводил политику демпинга. 20 августа 1931 г. аргентинское правительство лишило «</w:t>
      </w:r>
      <w:proofErr w:type="spellStart"/>
      <w:r w:rsidRPr="007122AB">
        <w:rPr>
          <w:rFonts w:ascii="Times New Roman" w:hAnsi="Times New Roman"/>
          <w:color w:val="000000" w:themeColor="text1"/>
          <w:sz w:val="16"/>
          <w:szCs w:val="16"/>
        </w:rPr>
        <w:t>Южамторг</w:t>
      </w:r>
      <w:proofErr w:type="spellEnd"/>
      <w:r w:rsidRPr="007122AB">
        <w:rPr>
          <w:rFonts w:ascii="Times New Roman" w:hAnsi="Times New Roman"/>
          <w:color w:val="000000" w:themeColor="text1"/>
          <w:sz w:val="16"/>
          <w:szCs w:val="16"/>
        </w:rPr>
        <w:t>» прав юридического лица (ДВП. Т. XIV. С. 807, 808). 3 сентября 1931 г. ПБ обсудило этот вопрос и приняло решение «Центр по торговле со странами Южной Америки перенести в Уругвай[...] В целях сохранения возможности для возвращения в Аргентину принять меры формального сохранения «</w:t>
      </w:r>
      <w:proofErr w:type="spellStart"/>
      <w:r w:rsidRPr="007122AB">
        <w:rPr>
          <w:rFonts w:ascii="Times New Roman" w:hAnsi="Times New Roman"/>
          <w:color w:val="000000" w:themeColor="text1"/>
          <w:sz w:val="16"/>
          <w:szCs w:val="16"/>
        </w:rPr>
        <w:t>Южамторга</w:t>
      </w:r>
      <w:proofErr w:type="spellEnd"/>
      <w:r w:rsidRPr="007122AB">
        <w:rPr>
          <w:rFonts w:ascii="Times New Roman" w:hAnsi="Times New Roman"/>
          <w:color w:val="000000" w:themeColor="text1"/>
          <w:sz w:val="16"/>
          <w:szCs w:val="16"/>
        </w:rPr>
        <w:t>», для чего, в случае надобности, поднять в верховном суде Аргентины судебный процесс о признании декрета о ликвидации «</w:t>
      </w:r>
      <w:proofErr w:type="spellStart"/>
      <w:r w:rsidRPr="007122AB">
        <w:rPr>
          <w:rFonts w:ascii="Times New Roman" w:hAnsi="Times New Roman"/>
          <w:color w:val="000000" w:themeColor="text1"/>
          <w:sz w:val="16"/>
          <w:szCs w:val="16"/>
        </w:rPr>
        <w:t>Южамторга</w:t>
      </w:r>
      <w:proofErr w:type="spellEnd"/>
      <w:r w:rsidRPr="007122AB">
        <w:rPr>
          <w:rFonts w:ascii="Times New Roman" w:hAnsi="Times New Roman"/>
          <w:color w:val="000000" w:themeColor="text1"/>
          <w:sz w:val="16"/>
          <w:szCs w:val="16"/>
        </w:rPr>
        <w:t>» незаконным» (РГАСПИ. Ф. 17. Оп. 162. Д. 10. Л. 182–183) (17281).</w:t>
      </w:r>
    </w:p>
    <w:p w14:paraId="15A001F6" w14:textId="3D1C1A4A" w:rsidR="00511EE8" w:rsidRPr="007122AB" w:rsidRDefault="00511EE8" w:rsidP="007122AB">
      <w:pPr>
        <w:autoSpaceDE w:val="0"/>
        <w:autoSpaceDN w:val="0"/>
        <w:adjustRightInd w:val="0"/>
        <w:spacing w:after="0" w:line="240" w:lineRule="auto"/>
        <w:jc w:val="both"/>
        <w:rPr>
          <w:rFonts w:ascii="Times New Roman" w:hAnsi="Times New Roman"/>
          <w:color w:val="000000" w:themeColor="text1"/>
          <w:sz w:val="16"/>
          <w:szCs w:val="16"/>
        </w:rPr>
      </w:pPr>
    </w:p>
    <w:p w14:paraId="7A296112" w14:textId="69F45C32" w:rsidR="00494647" w:rsidRPr="007122AB" w:rsidRDefault="00494647"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192F8B89" w14:textId="77777777" w:rsidR="00494647" w:rsidRPr="007122AB" w:rsidRDefault="00494647"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95A7665" w14:textId="77777777" w:rsidR="00494647" w:rsidRPr="007122AB" w:rsidRDefault="0049464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31 июля 1931 в 11.53 Американские летчики </w:t>
      </w:r>
      <w:proofErr w:type="spellStart"/>
      <w:r w:rsidRPr="007122AB">
        <w:rPr>
          <w:rFonts w:ascii="Times New Roman" w:hAnsi="Times New Roman"/>
          <w:color w:val="000000" w:themeColor="text1"/>
          <w:sz w:val="16"/>
          <w:szCs w:val="16"/>
          <w:shd w:val="clear" w:color="auto" w:fill="FFFFFF"/>
        </w:rPr>
        <w:t>Херндон</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Hugh</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Herndon</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Пангборн</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Clyde</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Pangborn</w:t>
      </w:r>
      <w:proofErr w:type="spellEnd"/>
      <w:r w:rsidRPr="007122AB">
        <w:rPr>
          <w:rFonts w:ascii="Times New Roman" w:hAnsi="Times New Roman"/>
          <w:color w:val="000000" w:themeColor="text1"/>
          <w:sz w:val="16"/>
          <w:szCs w:val="16"/>
          <w:shd w:val="clear" w:color="auto" w:fill="FFFFFF"/>
        </w:rPr>
        <w:t xml:space="preserve">) планировали из Нью-Йорка без посадки достичь Москвы, а затем попытаться превзойти результат Поста и </w:t>
      </w:r>
      <w:proofErr w:type="spellStart"/>
      <w:r w:rsidRPr="007122AB">
        <w:rPr>
          <w:rFonts w:ascii="Times New Roman" w:hAnsi="Times New Roman"/>
          <w:color w:val="000000" w:themeColor="text1"/>
          <w:sz w:val="16"/>
          <w:szCs w:val="16"/>
          <w:shd w:val="clear" w:color="auto" w:fill="FFFFFF"/>
        </w:rPr>
        <w:t>Гэтти</w:t>
      </w:r>
      <w:proofErr w:type="spellEnd"/>
      <w:r w:rsidRPr="007122AB">
        <w:rPr>
          <w:rFonts w:ascii="Times New Roman" w:hAnsi="Times New Roman"/>
          <w:color w:val="000000" w:themeColor="text1"/>
          <w:sz w:val="16"/>
          <w:szCs w:val="16"/>
          <w:shd w:val="clear" w:color="auto" w:fill="FFFFFF"/>
        </w:rPr>
        <w:t xml:space="preserve"> в кругосветном перелете, прибыли в Москву. </w:t>
      </w:r>
    </w:p>
    <w:p w14:paraId="7E7CE564" w14:textId="77777777" w:rsidR="00494647" w:rsidRPr="007122AB" w:rsidRDefault="0049464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Они вылетели на самолете «</w:t>
      </w:r>
      <w:proofErr w:type="spellStart"/>
      <w:r w:rsidRPr="007122AB">
        <w:rPr>
          <w:rFonts w:ascii="Times New Roman" w:hAnsi="Times New Roman"/>
          <w:color w:val="000000" w:themeColor="text1"/>
          <w:sz w:val="16"/>
          <w:szCs w:val="16"/>
          <w:shd w:val="clear" w:color="auto" w:fill="FFFFFF"/>
        </w:rPr>
        <w:t>Беланка</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Скайрокет</w:t>
      </w:r>
      <w:proofErr w:type="spellEnd"/>
      <w:r w:rsidRPr="007122AB">
        <w:rPr>
          <w:rFonts w:ascii="Times New Roman" w:hAnsi="Times New Roman"/>
          <w:color w:val="000000" w:themeColor="text1"/>
          <w:sz w:val="16"/>
          <w:szCs w:val="16"/>
          <w:shd w:val="clear" w:color="auto" w:fill="FFFFFF"/>
        </w:rPr>
        <w:t>» (</w:t>
      </w:r>
      <w:proofErr w:type="spellStart"/>
      <w:r w:rsidRPr="007122AB">
        <w:rPr>
          <w:rFonts w:ascii="Times New Roman" w:hAnsi="Times New Roman"/>
          <w:color w:val="000000" w:themeColor="text1"/>
          <w:sz w:val="16"/>
          <w:szCs w:val="16"/>
          <w:shd w:val="clear" w:color="auto" w:fill="FFFFFF"/>
        </w:rPr>
        <w:t>Bellanca</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Skyrocket</w:t>
      </w:r>
      <w:proofErr w:type="spellEnd"/>
      <w:r w:rsidRPr="007122AB">
        <w:rPr>
          <w:rFonts w:ascii="Times New Roman" w:hAnsi="Times New Roman"/>
          <w:color w:val="000000" w:themeColor="text1"/>
          <w:sz w:val="16"/>
          <w:szCs w:val="16"/>
          <w:shd w:val="clear" w:color="auto" w:fill="FFFFFF"/>
        </w:rPr>
        <w:t xml:space="preserve">) с собственным именем «Мисс </w:t>
      </w:r>
      <w:proofErr w:type="spellStart"/>
      <w:r w:rsidRPr="007122AB">
        <w:rPr>
          <w:rFonts w:ascii="Times New Roman" w:hAnsi="Times New Roman"/>
          <w:color w:val="000000" w:themeColor="text1"/>
          <w:sz w:val="16"/>
          <w:szCs w:val="16"/>
          <w:shd w:val="clear" w:color="auto" w:fill="FFFFFF"/>
        </w:rPr>
        <w:t>Видол</w:t>
      </w:r>
      <w:proofErr w:type="spellEnd"/>
      <w:r w:rsidRPr="007122AB">
        <w:rPr>
          <w:rFonts w:ascii="Times New Roman" w:hAnsi="Times New Roman"/>
          <w:color w:val="000000" w:themeColor="text1"/>
          <w:sz w:val="16"/>
          <w:szCs w:val="16"/>
          <w:shd w:val="clear" w:color="auto" w:fill="FFFFFF"/>
        </w:rPr>
        <w:t xml:space="preserve">» (Miss </w:t>
      </w:r>
      <w:proofErr w:type="spellStart"/>
      <w:r w:rsidRPr="007122AB">
        <w:rPr>
          <w:rFonts w:ascii="Times New Roman" w:hAnsi="Times New Roman"/>
          <w:color w:val="000000" w:themeColor="text1"/>
          <w:sz w:val="16"/>
          <w:szCs w:val="16"/>
          <w:shd w:val="clear" w:color="auto" w:fill="FFFFFF"/>
        </w:rPr>
        <w:t>Veedol</w:t>
      </w:r>
      <w:proofErr w:type="spellEnd"/>
      <w:r w:rsidRPr="007122AB">
        <w:rPr>
          <w:rFonts w:ascii="Times New Roman" w:hAnsi="Times New Roman"/>
          <w:color w:val="000000" w:themeColor="text1"/>
          <w:sz w:val="16"/>
          <w:szCs w:val="16"/>
          <w:shd w:val="clear" w:color="auto" w:fill="FFFFFF"/>
        </w:rPr>
        <w:t xml:space="preserve">) 28 июля. Однако уже на первом этапе полет не заладился. Из-за тумана 29 июля им пришлось вынужденно приземлиться в Англии у деревни </w:t>
      </w:r>
      <w:proofErr w:type="spellStart"/>
      <w:r w:rsidRPr="007122AB">
        <w:rPr>
          <w:rFonts w:ascii="Times New Roman" w:hAnsi="Times New Roman"/>
          <w:color w:val="000000" w:themeColor="text1"/>
          <w:sz w:val="16"/>
          <w:szCs w:val="16"/>
          <w:shd w:val="clear" w:color="auto" w:fill="FFFFFF"/>
        </w:rPr>
        <w:t>Мойлгрув</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Moylgrove</w:t>
      </w:r>
      <w:proofErr w:type="spellEnd"/>
      <w:r w:rsidRPr="007122AB">
        <w:rPr>
          <w:rFonts w:ascii="Times New Roman" w:hAnsi="Times New Roman"/>
          <w:color w:val="000000" w:themeColor="text1"/>
          <w:sz w:val="16"/>
          <w:szCs w:val="16"/>
          <w:shd w:val="clear" w:color="auto" w:fill="FFFFFF"/>
        </w:rPr>
        <w:t xml:space="preserve">, в 6 км от Кардигана). 30 июля они перелетели в </w:t>
      </w:r>
      <w:proofErr w:type="spellStart"/>
      <w:r w:rsidRPr="007122AB">
        <w:rPr>
          <w:rFonts w:ascii="Times New Roman" w:hAnsi="Times New Roman"/>
          <w:color w:val="000000" w:themeColor="text1"/>
          <w:sz w:val="16"/>
          <w:szCs w:val="16"/>
          <w:shd w:val="clear" w:color="auto" w:fill="FFFFFF"/>
        </w:rPr>
        <w:t>Кройдон</w:t>
      </w:r>
      <w:proofErr w:type="spellEnd"/>
      <w:r w:rsidRPr="007122AB">
        <w:rPr>
          <w:rFonts w:ascii="Times New Roman" w:hAnsi="Times New Roman"/>
          <w:color w:val="000000" w:themeColor="text1"/>
          <w:sz w:val="16"/>
          <w:szCs w:val="16"/>
          <w:shd w:val="clear" w:color="auto" w:fill="FFFFFF"/>
        </w:rPr>
        <w:t>, а затем в Берлин.</w:t>
      </w:r>
    </w:p>
    <w:p w14:paraId="18793254" w14:textId="77777777" w:rsidR="00494647" w:rsidRPr="007122AB" w:rsidRDefault="0049464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Вылетев в тот же день на восток, летчики сделали вынужденную посадку у станции </w:t>
      </w:r>
      <w:proofErr w:type="spellStart"/>
      <w:r w:rsidRPr="007122AB">
        <w:rPr>
          <w:rFonts w:ascii="Times New Roman" w:hAnsi="Times New Roman"/>
          <w:color w:val="000000" w:themeColor="text1"/>
          <w:sz w:val="16"/>
          <w:szCs w:val="16"/>
          <w:shd w:val="clear" w:color="auto" w:fill="FFFFFF"/>
        </w:rPr>
        <w:t>Джетыгар</w:t>
      </w:r>
      <w:proofErr w:type="spellEnd"/>
      <w:r w:rsidRPr="007122AB">
        <w:rPr>
          <w:rFonts w:ascii="Times New Roman" w:hAnsi="Times New Roman"/>
          <w:color w:val="000000" w:themeColor="text1"/>
          <w:sz w:val="16"/>
          <w:szCs w:val="16"/>
          <w:shd w:val="clear" w:color="auto" w:fill="FFFFFF"/>
        </w:rPr>
        <w:t xml:space="preserve"> в 230 км от Кустаная (Казахстан). 2 августа они совершили посадки в Омске и Чите. Когда 3 августа пилоты прибыли в Хабаровск, их опережение результата Поста составляло 27 часов. Однако внезапная перемена погоды со штормовым ветром задержала вылет самолета на три дня. Дальше бороться за рекорд не имело смысла. В этой обстановке Клайд </w:t>
      </w:r>
      <w:proofErr w:type="spellStart"/>
      <w:r w:rsidRPr="007122AB">
        <w:rPr>
          <w:rFonts w:ascii="Times New Roman" w:hAnsi="Times New Roman"/>
          <w:color w:val="000000" w:themeColor="text1"/>
          <w:sz w:val="16"/>
          <w:szCs w:val="16"/>
          <w:shd w:val="clear" w:color="auto" w:fill="FFFFFF"/>
        </w:rPr>
        <w:t>Пэнгборн</w:t>
      </w:r>
      <w:proofErr w:type="spellEnd"/>
      <w:r w:rsidRPr="007122AB">
        <w:rPr>
          <w:rFonts w:ascii="Times New Roman" w:hAnsi="Times New Roman"/>
          <w:color w:val="000000" w:themeColor="text1"/>
          <w:sz w:val="16"/>
          <w:szCs w:val="16"/>
          <w:shd w:val="clear" w:color="auto" w:fill="FFFFFF"/>
        </w:rPr>
        <w:t xml:space="preserve"> решает осуществить беспосадочный перелет из Токио в США. Еще никто не летал по этому маршруту во время кругосветных полетов и не получил приза, установленного издательством «Асахи Симбун». 6 августа американцы вылетели в Токио, чтобы предпринять полет через Тихий океан. Месяц ушел на переговоры и решение организационных вопросов.</w:t>
      </w:r>
    </w:p>
    <w:p w14:paraId="7C8C83DF" w14:textId="77777777" w:rsidR="00494647" w:rsidRPr="007122AB" w:rsidRDefault="0049464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Интересно, что и этот план </w:t>
      </w:r>
      <w:proofErr w:type="spellStart"/>
      <w:r w:rsidRPr="007122AB">
        <w:rPr>
          <w:rFonts w:ascii="Times New Roman" w:hAnsi="Times New Roman"/>
          <w:color w:val="000000" w:themeColor="text1"/>
          <w:sz w:val="16"/>
          <w:szCs w:val="16"/>
          <w:shd w:val="clear" w:color="auto" w:fill="FFFFFF"/>
        </w:rPr>
        <w:t>Херндона</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Пангборна</w:t>
      </w:r>
      <w:proofErr w:type="spellEnd"/>
      <w:r w:rsidRPr="007122AB">
        <w:rPr>
          <w:rFonts w:ascii="Times New Roman" w:hAnsi="Times New Roman"/>
          <w:color w:val="000000" w:themeColor="text1"/>
          <w:sz w:val="16"/>
          <w:szCs w:val="16"/>
          <w:shd w:val="clear" w:color="auto" w:fill="FFFFFF"/>
        </w:rPr>
        <w:t xml:space="preserve"> был на грани провала – 6 сентября из Японии в Сиэтл вылетели американцы Дон </w:t>
      </w:r>
      <w:proofErr w:type="spellStart"/>
      <w:r w:rsidRPr="007122AB">
        <w:rPr>
          <w:rFonts w:ascii="Times New Roman" w:hAnsi="Times New Roman"/>
          <w:color w:val="000000" w:themeColor="text1"/>
          <w:sz w:val="16"/>
          <w:szCs w:val="16"/>
          <w:shd w:val="clear" w:color="auto" w:fill="FFFFFF"/>
        </w:rPr>
        <w:t>Мойл</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Don</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Moyle</w:t>
      </w:r>
      <w:proofErr w:type="spellEnd"/>
      <w:r w:rsidRPr="007122AB">
        <w:rPr>
          <w:rFonts w:ascii="Times New Roman" w:hAnsi="Times New Roman"/>
          <w:color w:val="000000" w:themeColor="text1"/>
          <w:sz w:val="16"/>
          <w:szCs w:val="16"/>
          <w:shd w:val="clear" w:color="auto" w:fill="FFFFFF"/>
        </w:rPr>
        <w:t>) и Сесил Аллен (</w:t>
      </w:r>
      <w:proofErr w:type="spellStart"/>
      <w:r w:rsidRPr="007122AB">
        <w:rPr>
          <w:rFonts w:ascii="Times New Roman" w:hAnsi="Times New Roman"/>
          <w:color w:val="000000" w:themeColor="text1"/>
          <w:sz w:val="16"/>
          <w:szCs w:val="16"/>
          <w:shd w:val="clear" w:color="auto" w:fill="FFFFFF"/>
        </w:rPr>
        <w:t>Cecil</w:t>
      </w:r>
      <w:proofErr w:type="spellEnd"/>
      <w:r w:rsidRPr="007122AB">
        <w:rPr>
          <w:rFonts w:ascii="Times New Roman" w:hAnsi="Times New Roman"/>
          <w:color w:val="000000" w:themeColor="text1"/>
          <w:sz w:val="16"/>
          <w:szCs w:val="16"/>
          <w:shd w:val="clear" w:color="auto" w:fill="FFFFFF"/>
        </w:rPr>
        <w:t xml:space="preserve"> Allen). Однако скоро они столкнулись с плохой погодой, сбились с курса и были вынуждены приземлиться на одном из Алеутских островов. Спустя несколько дней они смогли добраться до Камчатки, где заправились, по некоторым воспоминаниям, то ли разбавителем краски, то ли дизельным топливом, и улетели на Аляску, в Ном.</w:t>
      </w:r>
    </w:p>
    <w:p w14:paraId="35AC0D87" w14:textId="77777777" w:rsidR="00494647" w:rsidRPr="007122AB" w:rsidRDefault="004946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Только 4 октября </w:t>
      </w:r>
      <w:proofErr w:type="spellStart"/>
      <w:r w:rsidRPr="007122AB">
        <w:rPr>
          <w:rFonts w:ascii="Times New Roman" w:hAnsi="Times New Roman"/>
          <w:color w:val="000000" w:themeColor="text1"/>
          <w:sz w:val="16"/>
          <w:szCs w:val="16"/>
          <w:shd w:val="clear" w:color="auto" w:fill="FFFFFF"/>
        </w:rPr>
        <w:t>Херндон</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Пангборн</w:t>
      </w:r>
      <w:proofErr w:type="spellEnd"/>
      <w:r w:rsidRPr="007122AB">
        <w:rPr>
          <w:rFonts w:ascii="Times New Roman" w:hAnsi="Times New Roman"/>
          <w:color w:val="000000" w:themeColor="text1"/>
          <w:sz w:val="16"/>
          <w:szCs w:val="16"/>
          <w:shd w:val="clear" w:color="auto" w:fill="FFFFFF"/>
        </w:rPr>
        <w:t xml:space="preserve"> стартовали в Америку, вылетев со взлетной полосы, построенной на пляже </w:t>
      </w:r>
      <w:proofErr w:type="spellStart"/>
      <w:r w:rsidRPr="007122AB">
        <w:rPr>
          <w:rFonts w:ascii="Times New Roman" w:hAnsi="Times New Roman"/>
          <w:color w:val="000000" w:themeColor="text1"/>
          <w:sz w:val="16"/>
          <w:szCs w:val="16"/>
          <w:shd w:val="clear" w:color="auto" w:fill="FFFFFF"/>
        </w:rPr>
        <w:t>Сабуширо</w:t>
      </w:r>
      <w:proofErr w:type="spellEnd"/>
      <w:r w:rsidRPr="007122AB">
        <w:rPr>
          <w:rFonts w:ascii="Times New Roman" w:hAnsi="Times New Roman"/>
          <w:color w:val="000000" w:themeColor="text1"/>
          <w:sz w:val="16"/>
          <w:szCs w:val="16"/>
          <w:shd w:val="clear" w:color="auto" w:fill="FFFFFF"/>
        </w:rPr>
        <w:t>, в префектуре Аомори, к северу от Токио. За 41 час 31 минуту полета ими было пройдено более 7000 км. Их «</w:t>
      </w:r>
      <w:proofErr w:type="spellStart"/>
      <w:r w:rsidRPr="007122AB">
        <w:rPr>
          <w:rFonts w:ascii="Times New Roman" w:hAnsi="Times New Roman"/>
          <w:color w:val="000000" w:themeColor="text1"/>
          <w:sz w:val="16"/>
          <w:szCs w:val="16"/>
          <w:shd w:val="clear" w:color="auto" w:fill="FFFFFF"/>
        </w:rPr>
        <w:t>Беланка</w:t>
      </w:r>
      <w:proofErr w:type="spellEnd"/>
      <w:r w:rsidRPr="007122AB">
        <w:rPr>
          <w:rFonts w:ascii="Times New Roman" w:hAnsi="Times New Roman"/>
          <w:color w:val="000000" w:themeColor="text1"/>
          <w:sz w:val="16"/>
          <w:szCs w:val="16"/>
          <w:shd w:val="clear" w:color="auto" w:fill="FFFFFF"/>
        </w:rPr>
        <w:t xml:space="preserve">» приземлилась в городе </w:t>
      </w:r>
      <w:proofErr w:type="spellStart"/>
      <w:r w:rsidRPr="007122AB">
        <w:rPr>
          <w:rFonts w:ascii="Times New Roman" w:hAnsi="Times New Roman"/>
          <w:color w:val="000000" w:themeColor="text1"/>
          <w:sz w:val="16"/>
          <w:szCs w:val="16"/>
          <w:shd w:val="clear" w:color="auto" w:fill="FFFFFF"/>
        </w:rPr>
        <w:t>Уэнатчи</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Wenatchee</w:t>
      </w:r>
      <w:proofErr w:type="spellEnd"/>
      <w:r w:rsidRPr="007122AB">
        <w:rPr>
          <w:rFonts w:ascii="Times New Roman" w:hAnsi="Times New Roman"/>
          <w:color w:val="000000" w:themeColor="text1"/>
          <w:sz w:val="16"/>
          <w:szCs w:val="16"/>
          <w:shd w:val="clear" w:color="auto" w:fill="FFFFFF"/>
        </w:rPr>
        <w:t xml:space="preserve">) в 150 км восточнее Сиэтла. За совершенный перелет </w:t>
      </w:r>
      <w:proofErr w:type="spellStart"/>
      <w:r w:rsidRPr="007122AB">
        <w:rPr>
          <w:rFonts w:ascii="Times New Roman" w:hAnsi="Times New Roman"/>
          <w:color w:val="000000" w:themeColor="text1"/>
          <w:sz w:val="16"/>
          <w:szCs w:val="16"/>
          <w:shd w:val="clear" w:color="auto" w:fill="FFFFFF"/>
        </w:rPr>
        <w:t>Пэнгборн</w:t>
      </w:r>
      <w:proofErr w:type="spellEnd"/>
      <w:r w:rsidRPr="007122AB">
        <w:rPr>
          <w:rFonts w:ascii="Times New Roman" w:hAnsi="Times New Roman"/>
          <w:color w:val="000000" w:themeColor="text1"/>
          <w:sz w:val="16"/>
          <w:szCs w:val="16"/>
          <w:shd w:val="clear" w:color="auto" w:fill="FFFFFF"/>
        </w:rPr>
        <w:t xml:space="preserve"> и </w:t>
      </w:r>
      <w:proofErr w:type="spellStart"/>
      <w:r w:rsidRPr="007122AB">
        <w:rPr>
          <w:rFonts w:ascii="Times New Roman" w:hAnsi="Times New Roman"/>
          <w:color w:val="000000" w:themeColor="text1"/>
          <w:sz w:val="16"/>
          <w:szCs w:val="16"/>
          <w:shd w:val="clear" w:color="auto" w:fill="FFFFFF"/>
        </w:rPr>
        <w:t>Херндон</w:t>
      </w:r>
      <w:proofErr w:type="spellEnd"/>
      <w:r w:rsidRPr="007122AB">
        <w:rPr>
          <w:rFonts w:ascii="Times New Roman" w:hAnsi="Times New Roman"/>
          <w:color w:val="000000" w:themeColor="text1"/>
          <w:sz w:val="16"/>
          <w:szCs w:val="16"/>
          <w:shd w:val="clear" w:color="auto" w:fill="FFFFFF"/>
        </w:rPr>
        <w:t xml:space="preserve"> получили чек на 5000 фунтов стерлингов (21438).</w:t>
      </w:r>
    </w:p>
    <w:p w14:paraId="248FD647" w14:textId="77777777" w:rsidR="00494647" w:rsidRPr="007122AB" w:rsidRDefault="00494647" w:rsidP="007122AB">
      <w:pPr>
        <w:spacing w:after="0" w:line="240" w:lineRule="auto"/>
        <w:jc w:val="both"/>
        <w:rPr>
          <w:rFonts w:ascii="Times New Roman" w:hAnsi="Times New Roman"/>
          <w:color w:val="000000" w:themeColor="text1"/>
          <w:sz w:val="16"/>
          <w:szCs w:val="16"/>
        </w:rPr>
      </w:pPr>
    </w:p>
    <w:p w14:paraId="367809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60B39A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B09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УВВС дало ЦАГИ ТТ на морской крейсер - 6 т бомб со скоростью 300 км/ч на 1000 км радиус (80,277).</w:t>
      </w:r>
    </w:p>
    <w:p w14:paraId="7BC49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BFCFC3"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1931 г. ЦАГИ получило от УВВС тактико-технические требо</w:t>
      </w:r>
      <w:r w:rsidRPr="00441F34">
        <w:rPr>
          <w:rFonts w:ascii="Times New Roman" w:hAnsi="Times New Roman"/>
          <w:color w:val="0070C0"/>
          <w:sz w:val="16"/>
          <w:szCs w:val="16"/>
        </w:rPr>
        <w:softHyphen/>
        <w:t>вания к гидросамолету, предназ</w:t>
      </w:r>
      <w:r w:rsidRPr="00441F34">
        <w:rPr>
          <w:rFonts w:ascii="Times New Roman" w:hAnsi="Times New Roman"/>
          <w:color w:val="0070C0"/>
          <w:sz w:val="16"/>
          <w:szCs w:val="16"/>
        </w:rPr>
        <w:softHyphen/>
        <w:t>начавшемуся для нанесения бомбовых ударов и дальней морской разведки. По ТТТ он должен был иметь:</w:t>
      </w:r>
    </w:p>
    <w:p w14:paraId="159258F0"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скорость</w:t>
      </w:r>
      <w:r w:rsidRPr="00441F34">
        <w:rPr>
          <w:rFonts w:ascii="Times New Roman" w:hAnsi="Times New Roman"/>
          <w:color w:val="0070C0"/>
          <w:sz w:val="16"/>
          <w:szCs w:val="16"/>
        </w:rPr>
        <w:tab/>
        <w:t>300 км/ч</w:t>
      </w:r>
    </w:p>
    <w:p w14:paraId="2A6AB4A6"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радиус действия</w:t>
      </w:r>
      <w:r w:rsidRPr="00441F34">
        <w:rPr>
          <w:rFonts w:ascii="Times New Roman" w:hAnsi="Times New Roman"/>
          <w:color w:val="0070C0"/>
          <w:sz w:val="16"/>
          <w:szCs w:val="16"/>
        </w:rPr>
        <w:tab/>
        <w:t>1000 км</w:t>
      </w:r>
    </w:p>
    <w:p w14:paraId="5AA10664"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массу бомбовой нагрузки</w:t>
      </w:r>
      <w:r w:rsidRPr="00441F34">
        <w:rPr>
          <w:rFonts w:ascii="Times New Roman" w:hAnsi="Times New Roman"/>
          <w:color w:val="0070C0"/>
          <w:sz w:val="16"/>
          <w:szCs w:val="16"/>
        </w:rPr>
        <w:tab/>
        <w:t>6000 кг</w:t>
      </w:r>
    </w:p>
    <w:p w14:paraId="6E7F0C1B"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Экипаж должен был состоять из 5—6 человек.</w:t>
      </w:r>
    </w:p>
    <w:p w14:paraId="1B006996"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Машина получила название МК—1 — «Морской крейсер первый». В КБ ей присвоили очередное обозначение — АНТ-22.</w:t>
      </w:r>
    </w:p>
    <w:p w14:paraId="79DF6A0B"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Ведущим инженером, как и раньше по гидросамолетам, назначили И.И. По- </w:t>
      </w:r>
      <w:proofErr w:type="spellStart"/>
      <w:r w:rsidRPr="00441F34">
        <w:rPr>
          <w:rFonts w:ascii="Times New Roman" w:hAnsi="Times New Roman"/>
          <w:color w:val="0070C0"/>
          <w:sz w:val="16"/>
          <w:szCs w:val="16"/>
        </w:rPr>
        <w:t>госского</w:t>
      </w:r>
      <w:proofErr w:type="spellEnd"/>
      <w:r w:rsidRPr="00441F34">
        <w:rPr>
          <w:rFonts w:ascii="Times New Roman" w:hAnsi="Times New Roman"/>
          <w:color w:val="0070C0"/>
          <w:sz w:val="16"/>
          <w:szCs w:val="16"/>
        </w:rPr>
        <w:t>. После его гибели 15 апреля 1934 г. на самолете АНТ—27 работу воз</w:t>
      </w:r>
      <w:r w:rsidRPr="00441F34">
        <w:rPr>
          <w:rFonts w:ascii="Times New Roman" w:hAnsi="Times New Roman"/>
          <w:color w:val="0070C0"/>
          <w:sz w:val="16"/>
          <w:szCs w:val="16"/>
        </w:rPr>
        <w:softHyphen/>
        <w:t>главил А.П. Голубков.</w:t>
      </w:r>
    </w:p>
    <w:p w14:paraId="0AF41DF0"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заданных в ТТТ параметрах ма</w:t>
      </w:r>
      <w:r w:rsidRPr="00441F34">
        <w:rPr>
          <w:rFonts w:ascii="Times New Roman" w:hAnsi="Times New Roman"/>
          <w:color w:val="0070C0"/>
          <w:sz w:val="16"/>
          <w:szCs w:val="16"/>
        </w:rPr>
        <w:softHyphen/>
        <w:t>шина получалась довольно большой. Ис</w:t>
      </w:r>
      <w:r w:rsidRPr="00441F34">
        <w:rPr>
          <w:rFonts w:ascii="Times New Roman" w:hAnsi="Times New Roman"/>
          <w:color w:val="0070C0"/>
          <w:sz w:val="16"/>
          <w:szCs w:val="16"/>
        </w:rPr>
        <w:softHyphen/>
        <w:t xml:space="preserve">следования и расчеты показали, что обычная </w:t>
      </w:r>
      <w:proofErr w:type="spellStart"/>
      <w:r w:rsidRPr="00441F34">
        <w:rPr>
          <w:rFonts w:ascii="Times New Roman" w:hAnsi="Times New Roman"/>
          <w:color w:val="0070C0"/>
          <w:sz w:val="16"/>
          <w:szCs w:val="16"/>
        </w:rPr>
        <w:t>однолодочная</w:t>
      </w:r>
      <w:proofErr w:type="spellEnd"/>
      <w:r w:rsidRPr="00441F34">
        <w:rPr>
          <w:rFonts w:ascii="Times New Roman" w:hAnsi="Times New Roman"/>
          <w:color w:val="0070C0"/>
          <w:sz w:val="16"/>
          <w:szCs w:val="16"/>
        </w:rPr>
        <w:t xml:space="preserve"> схема приведет к значительным весовым и аэродинамиче</w:t>
      </w:r>
      <w:r w:rsidRPr="00441F34">
        <w:rPr>
          <w:rFonts w:ascii="Times New Roman" w:hAnsi="Times New Roman"/>
          <w:color w:val="0070C0"/>
          <w:sz w:val="16"/>
          <w:szCs w:val="16"/>
        </w:rPr>
        <w:softHyphen/>
        <w:t>ским потерям. В результате остановились на схеме самолета-катамарана. Комиссия приняла макет и началась постройка. Ее окончание планировалось на 1 сентября 1933 г., но из-за отсутствия моторов само</w:t>
      </w:r>
      <w:r w:rsidRPr="00441F34">
        <w:rPr>
          <w:rFonts w:ascii="Times New Roman" w:hAnsi="Times New Roman"/>
          <w:color w:val="0070C0"/>
          <w:sz w:val="16"/>
          <w:szCs w:val="16"/>
        </w:rPr>
        <w:softHyphen/>
        <w:t>лет был готов только в июле 1934 г.</w:t>
      </w:r>
    </w:p>
    <w:p w14:paraId="522D3011" w14:textId="77777777" w:rsidR="00984EA8" w:rsidRPr="00441F34" w:rsidRDefault="00984EA8" w:rsidP="00984EA8">
      <w:pPr>
        <w:spacing w:after="0" w:line="240" w:lineRule="auto"/>
        <w:jc w:val="both"/>
        <w:rPr>
          <w:rFonts w:ascii="Times New Roman" w:hAnsi="Times New Roman"/>
          <w:color w:val="0070C0"/>
          <w:sz w:val="16"/>
          <w:szCs w:val="16"/>
        </w:rPr>
      </w:pPr>
    </w:p>
    <w:p w14:paraId="300EB7F2"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1931 г. ЦАГИ закончил и представил на рассмотрение НИИ ВВС эскизный проект самолета МИ-3.</w:t>
      </w:r>
    </w:p>
    <w:p w14:paraId="3FB39947"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Проектируемый ЦАГИ самолет под шифром МИ-3, по нормам прочности относился к 8-й группе 2-го класса. Экипаж самолета состоял из четырех человек, конструкция самолета - цельнометаллический моноплан, с низко расположенным крылом. Фюзеляж - овального сечения, оперение </w:t>
      </w:r>
      <w:proofErr w:type="spellStart"/>
      <w:r w:rsidRPr="00441F34">
        <w:rPr>
          <w:rFonts w:ascii="Times New Roman" w:hAnsi="Times New Roman"/>
          <w:color w:val="0070C0"/>
          <w:sz w:val="16"/>
          <w:szCs w:val="16"/>
        </w:rPr>
        <w:t>двухкилевое</w:t>
      </w:r>
      <w:proofErr w:type="spellEnd"/>
      <w:r w:rsidRPr="00441F34">
        <w:rPr>
          <w:rFonts w:ascii="Times New Roman" w:hAnsi="Times New Roman"/>
          <w:color w:val="0070C0"/>
          <w:sz w:val="16"/>
          <w:szCs w:val="16"/>
        </w:rPr>
        <w:t>, шасси - убирающиеся в полете, с масляно-пневматической амортизацией. Вооружение самолета - передняя установка с двумя тяжелыми пулеметами. Средняя установка с двумя тяжелыми пулеметами. Задняя установка с одним пулеметом, нижняя задняя установка с одним пулеметом.</w:t>
      </w:r>
    </w:p>
    <w:p w14:paraId="680C14E1"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Несмотря на то, что расчетные данные самолета в отношении посадочной скорости, разбега и пробега не удовлетворяли техническим требованиям, эскизный проект УВВС был утвержден. Тем не менее, новый самолет ЦАГИ не только не уступал находящимся в </w:t>
      </w:r>
      <w:proofErr w:type="spellStart"/>
      <w:r w:rsidRPr="00441F34">
        <w:rPr>
          <w:rFonts w:ascii="Times New Roman" w:hAnsi="Times New Roman"/>
          <w:color w:val="0070C0"/>
          <w:sz w:val="16"/>
          <w:szCs w:val="16"/>
        </w:rPr>
        <w:t>эксплоатации</w:t>
      </w:r>
      <w:proofErr w:type="spellEnd"/>
      <w:r w:rsidRPr="00441F34">
        <w:rPr>
          <w:rFonts w:ascii="Times New Roman" w:hAnsi="Times New Roman"/>
          <w:color w:val="0070C0"/>
          <w:sz w:val="16"/>
          <w:szCs w:val="16"/>
        </w:rPr>
        <w:t xml:space="preserve"> самолетам, но и превышал их данные в отношении скорости, потолка и грузоподъемности.</w:t>
      </w:r>
    </w:p>
    <w:p w14:paraId="3289DEA5"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Эскизный проект ЦАГИ был утвержден, и УВВС предложило ВАО предоставить ЦАГИ мотор который обеспечил бы указанные выше расчетные данные самолета. В качестве такого мотора был выбран мотор М-34 с номинальной мощностью 750 л.с. (23345).</w:t>
      </w:r>
    </w:p>
    <w:p w14:paraId="6E2F30C9" w14:textId="77777777" w:rsidR="00984EA8" w:rsidRPr="00441F34" w:rsidRDefault="00984EA8" w:rsidP="00984EA8">
      <w:pPr>
        <w:spacing w:after="0" w:line="240" w:lineRule="auto"/>
        <w:jc w:val="both"/>
        <w:rPr>
          <w:rFonts w:ascii="Times New Roman" w:hAnsi="Times New Roman"/>
          <w:color w:val="0070C0"/>
          <w:sz w:val="16"/>
          <w:szCs w:val="16"/>
        </w:rPr>
      </w:pPr>
    </w:p>
    <w:p w14:paraId="236F8ED9"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1931 ЦАГИ представило на рассмотрение НИИ ВВС эскизный проект истребителя МИ-3 (заводское обозначение АНТ—21). Проект был утвержден, несмотря на не</w:t>
      </w:r>
      <w:r w:rsidRPr="00441F34">
        <w:rPr>
          <w:rFonts w:ascii="Times New Roman" w:hAnsi="Times New Roman"/>
          <w:color w:val="0070C0"/>
          <w:sz w:val="16"/>
          <w:szCs w:val="16"/>
        </w:rPr>
        <w:softHyphen/>
        <w:t>которые отклонения от требований ВВС:</w:t>
      </w:r>
    </w:p>
    <w:p w14:paraId="09C7F02E"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w:t>
      </w:r>
    </w:p>
    <w:tbl>
      <w:tblPr>
        <w:tblOverlap w:val="never"/>
        <w:tblW w:w="0" w:type="auto"/>
        <w:tblLayout w:type="fixed"/>
        <w:tblCellMar>
          <w:left w:w="10" w:type="dxa"/>
          <w:right w:w="10" w:type="dxa"/>
        </w:tblCellMar>
        <w:tblLook w:val="04A0" w:firstRow="1" w:lastRow="0" w:firstColumn="1" w:lastColumn="0" w:noHBand="0" w:noVBand="1"/>
      </w:tblPr>
      <w:tblGrid>
        <w:gridCol w:w="2045"/>
        <w:gridCol w:w="811"/>
        <w:gridCol w:w="562"/>
      </w:tblGrid>
      <w:tr w:rsidR="00984EA8" w:rsidRPr="00441F34" w14:paraId="0DD1C8FC" w14:textId="77777777" w:rsidTr="004B2EA4">
        <w:trPr>
          <w:trHeight w:val="235"/>
        </w:trPr>
        <w:tc>
          <w:tcPr>
            <w:tcW w:w="2045" w:type="dxa"/>
            <w:shd w:val="clear" w:color="auto" w:fill="auto"/>
          </w:tcPr>
          <w:p w14:paraId="5655C3EA"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скорость, км/ч</w:t>
            </w:r>
          </w:p>
        </w:tc>
        <w:tc>
          <w:tcPr>
            <w:tcW w:w="811" w:type="dxa"/>
            <w:shd w:val="clear" w:color="auto" w:fill="auto"/>
          </w:tcPr>
          <w:p w14:paraId="3349D27B"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300</w:t>
            </w:r>
          </w:p>
        </w:tc>
        <w:tc>
          <w:tcPr>
            <w:tcW w:w="562" w:type="dxa"/>
            <w:shd w:val="clear" w:color="auto" w:fill="auto"/>
          </w:tcPr>
          <w:p w14:paraId="321C96CB"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320</w:t>
            </w:r>
          </w:p>
        </w:tc>
      </w:tr>
      <w:tr w:rsidR="00984EA8" w:rsidRPr="00441F34" w14:paraId="16E70023" w14:textId="77777777" w:rsidTr="004B2EA4">
        <w:trPr>
          <w:trHeight w:val="643"/>
        </w:trPr>
        <w:tc>
          <w:tcPr>
            <w:tcW w:w="2045" w:type="dxa"/>
            <w:shd w:val="clear" w:color="auto" w:fill="auto"/>
            <w:vAlign w:val="bottom"/>
          </w:tcPr>
          <w:p w14:paraId="441819DA"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скорость</w:t>
            </w:r>
          </w:p>
          <w:p w14:paraId="6BA4A3C6"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посадочная, км/ч время набора высоты</w:t>
            </w:r>
          </w:p>
        </w:tc>
        <w:tc>
          <w:tcPr>
            <w:tcW w:w="811" w:type="dxa"/>
            <w:shd w:val="clear" w:color="auto" w:fill="auto"/>
            <w:vAlign w:val="center"/>
          </w:tcPr>
          <w:p w14:paraId="262BCC22"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90-100</w:t>
            </w:r>
          </w:p>
        </w:tc>
        <w:tc>
          <w:tcPr>
            <w:tcW w:w="562" w:type="dxa"/>
            <w:shd w:val="clear" w:color="auto" w:fill="auto"/>
            <w:vAlign w:val="center"/>
          </w:tcPr>
          <w:p w14:paraId="7942E8B9"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w:t>
            </w:r>
          </w:p>
        </w:tc>
      </w:tr>
      <w:tr w:rsidR="00984EA8" w:rsidRPr="00441F34" w14:paraId="1408078E" w14:textId="77777777" w:rsidTr="004B2EA4">
        <w:trPr>
          <w:trHeight w:val="206"/>
        </w:trPr>
        <w:tc>
          <w:tcPr>
            <w:tcW w:w="2045" w:type="dxa"/>
            <w:shd w:val="clear" w:color="auto" w:fill="auto"/>
          </w:tcPr>
          <w:p w14:paraId="36FD0D2A"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5000 м, мин</w:t>
            </w:r>
          </w:p>
        </w:tc>
        <w:tc>
          <w:tcPr>
            <w:tcW w:w="811" w:type="dxa"/>
            <w:shd w:val="clear" w:color="auto" w:fill="auto"/>
          </w:tcPr>
          <w:p w14:paraId="24EEE4EB"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12-14</w:t>
            </w:r>
          </w:p>
        </w:tc>
        <w:tc>
          <w:tcPr>
            <w:tcW w:w="562" w:type="dxa"/>
            <w:shd w:val="clear" w:color="auto" w:fill="auto"/>
          </w:tcPr>
          <w:p w14:paraId="7BD0CAFB"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w:t>
            </w:r>
          </w:p>
        </w:tc>
      </w:tr>
      <w:tr w:rsidR="00984EA8" w:rsidRPr="00441F34" w14:paraId="6AF856BE" w14:textId="77777777" w:rsidTr="004B2EA4">
        <w:trPr>
          <w:trHeight w:val="221"/>
        </w:trPr>
        <w:tc>
          <w:tcPr>
            <w:tcW w:w="2045" w:type="dxa"/>
            <w:shd w:val="clear" w:color="auto" w:fill="auto"/>
            <w:vAlign w:val="bottom"/>
          </w:tcPr>
          <w:p w14:paraId="13169C8B"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потолок, м</w:t>
            </w:r>
          </w:p>
        </w:tc>
        <w:tc>
          <w:tcPr>
            <w:tcW w:w="811" w:type="dxa"/>
            <w:shd w:val="clear" w:color="auto" w:fill="auto"/>
            <w:vAlign w:val="bottom"/>
          </w:tcPr>
          <w:p w14:paraId="65803EAF"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7000</w:t>
            </w:r>
          </w:p>
        </w:tc>
        <w:tc>
          <w:tcPr>
            <w:tcW w:w="562" w:type="dxa"/>
            <w:shd w:val="clear" w:color="auto" w:fill="auto"/>
            <w:vAlign w:val="bottom"/>
          </w:tcPr>
          <w:p w14:paraId="03F1B6A4"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8300</w:t>
            </w:r>
          </w:p>
        </w:tc>
      </w:tr>
      <w:tr w:rsidR="00984EA8" w:rsidRPr="00441F34" w14:paraId="5ACD2B8A" w14:textId="77777777" w:rsidTr="004B2EA4">
        <w:trPr>
          <w:trHeight w:val="221"/>
        </w:trPr>
        <w:tc>
          <w:tcPr>
            <w:tcW w:w="2045" w:type="dxa"/>
            <w:shd w:val="clear" w:color="auto" w:fill="auto"/>
            <w:vAlign w:val="bottom"/>
          </w:tcPr>
          <w:p w14:paraId="54249475"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дальность, км</w:t>
            </w:r>
          </w:p>
        </w:tc>
        <w:tc>
          <w:tcPr>
            <w:tcW w:w="811" w:type="dxa"/>
            <w:shd w:val="clear" w:color="auto" w:fill="auto"/>
            <w:vAlign w:val="bottom"/>
          </w:tcPr>
          <w:p w14:paraId="1A6039D4" w14:textId="77777777" w:rsidR="00984EA8" w:rsidRPr="00441F34" w:rsidRDefault="00984EA8" w:rsidP="004B2EA4">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юоо</w:t>
            </w:r>
            <w:proofErr w:type="spellEnd"/>
          </w:p>
        </w:tc>
        <w:tc>
          <w:tcPr>
            <w:tcW w:w="562" w:type="dxa"/>
            <w:shd w:val="clear" w:color="auto" w:fill="auto"/>
            <w:vAlign w:val="bottom"/>
          </w:tcPr>
          <w:p w14:paraId="78972E03"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ЮОО</w:t>
            </w:r>
          </w:p>
        </w:tc>
      </w:tr>
      <w:tr w:rsidR="00984EA8" w:rsidRPr="00441F34" w14:paraId="6E75BF33" w14:textId="77777777" w:rsidTr="004B2EA4">
        <w:trPr>
          <w:trHeight w:val="226"/>
        </w:trPr>
        <w:tc>
          <w:tcPr>
            <w:tcW w:w="2045" w:type="dxa"/>
            <w:shd w:val="clear" w:color="auto" w:fill="auto"/>
          </w:tcPr>
          <w:p w14:paraId="0C0C301E"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разбег, м</w:t>
            </w:r>
          </w:p>
        </w:tc>
        <w:tc>
          <w:tcPr>
            <w:tcW w:w="811" w:type="dxa"/>
            <w:shd w:val="clear" w:color="auto" w:fill="auto"/>
          </w:tcPr>
          <w:p w14:paraId="4A9EA05A"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w:t>
            </w:r>
          </w:p>
        </w:tc>
        <w:tc>
          <w:tcPr>
            <w:tcW w:w="562" w:type="dxa"/>
            <w:shd w:val="clear" w:color="auto" w:fill="auto"/>
          </w:tcPr>
          <w:p w14:paraId="427A720A"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130</w:t>
            </w:r>
          </w:p>
        </w:tc>
      </w:tr>
      <w:tr w:rsidR="00984EA8" w:rsidRPr="00441F34" w14:paraId="28350958" w14:textId="77777777" w:rsidTr="004B2EA4">
        <w:trPr>
          <w:trHeight w:val="221"/>
        </w:trPr>
        <w:tc>
          <w:tcPr>
            <w:tcW w:w="2045" w:type="dxa"/>
            <w:shd w:val="clear" w:color="auto" w:fill="auto"/>
          </w:tcPr>
          <w:p w14:paraId="3634F200"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пробег (с тормозами), м</w:t>
            </w:r>
          </w:p>
        </w:tc>
        <w:tc>
          <w:tcPr>
            <w:tcW w:w="811" w:type="dxa"/>
            <w:shd w:val="clear" w:color="auto" w:fill="auto"/>
          </w:tcPr>
          <w:p w14:paraId="2834C830"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w:t>
            </w:r>
          </w:p>
        </w:tc>
        <w:tc>
          <w:tcPr>
            <w:tcW w:w="562" w:type="dxa"/>
            <w:shd w:val="clear" w:color="auto" w:fill="auto"/>
          </w:tcPr>
          <w:p w14:paraId="0BF09948" w14:textId="77777777" w:rsidR="00984EA8" w:rsidRPr="00441F34" w:rsidRDefault="00984EA8"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315</w:t>
            </w:r>
          </w:p>
        </w:tc>
      </w:tr>
    </w:tbl>
    <w:p w14:paraId="15B43290"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(23474).</w:t>
      </w:r>
    </w:p>
    <w:p w14:paraId="3D047DA1" w14:textId="77777777" w:rsidR="00984EA8" w:rsidRPr="00441F34" w:rsidRDefault="00984EA8" w:rsidP="00984EA8">
      <w:pPr>
        <w:spacing w:after="0" w:line="240" w:lineRule="auto"/>
        <w:jc w:val="both"/>
        <w:rPr>
          <w:rFonts w:ascii="Times New Roman" w:hAnsi="Times New Roman"/>
          <w:color w:val="0070C0"/>
          <w:sz w:val="16"/>
          <w:szCs w:val="16"/>
        </w:rPr>
      </w:pPr>
    </w:p>
    <w:p w14:paraId="70544F9E"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1931 г. ЦАГИ закончил и представил на рассмотрение НИИ ВВС эскизный проект самолета МИ-3 (АНТ-21) (24197).</w:t>
      </w:r>
    </w:p>
    <w:p w14:paraId="6D7F6133"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Проектируемый ЦАГИ самолет под шифром МИ-3 (АНТ-21), по нормам прочности относился к 8-й группе 2-го класса. Экипаж самолета состоял из четырех человек, конструкция самолета - цельнометаллический моноплан, с низко расположенным крылом. Фюзеляж - овального сечения, оперение </w:t>
      </w:r>
      <w:proofErr w:type="spellStart"/>
      <w:r w:rsidRPr="00441F34">
        <w:rPr>
          <w:rFonts w:ascii="Times New Roman" w:hAnsi="Times New Roman"/>
          <w:color w:val="0070C0"/>
          <w:sz w:val="16"/>
          <w:szCs w:val="16"/>
        </w:rPr>
        <w:t>двухкилевое</w:t>
      </w:r>
      <w:proofErr w:type="spellEnd"/>
      <w:r w:rsidRPr="00441F34">
        <w:rPr>
          <w:rFonts w:ascii="Times New Roman" w:hAnsi="Times New Roman"/>
          <w:color w:val="0070C0"/>
          <w:sz w:val="16"/>
          <w:szCs w:val="16"/>
        </w:rPr>
        <w:t xml:space="preserve">, шасси - убирающиеся в полете, с масляно-пневматической </w:t>
      </w:r>
      <w:proofErr w:type="spellStart"/>
      <w:r w:rsidRPr="00441F34">
        <w:rPr>
          <w:rFonts w:ascii="Times New Roman" w:hAnsi="Times New Roman"/>
          <w:color w:val="0070C0"/>
          <w:sz w:val="16"/>
          <w:szCs w:val="16"/>
        </w:rPr>
        <w:t>аммортизацией</w:t>
      </w:r>
      <w:proofErr w:type="spellEnd"/>
      <w:r w:rsidRPr="00441F34">
        <w:rPr>
          <w:rFonts w:ascii="Times New Roman" w:hAnsi="Times New Roman"/>
          <w:color w:val="0070C0"/>
          <w:sz w:val="16"/>
          <w:szCs w:val="16"/>
        </w:rPr>
        <w:t>. Вооружение самолета - передняя установка с двумя тяжелыми пулеметами. Средняя установка с двумя тяжелыми пулеметами. Задняя установка с одним пулеметом, нижняя задняя установка с одним пулеметом.</w:t>
      </w:r>
    </w:p>
    <w:p w14:paraId="4AC0C4A8"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Несмотря на то, что расчетные данные самолета в отношении посадочной скорости, разбега и пробега не удовлетворяли техническим требованиям, эскизный проект УВВС был утвержден. Тем не менее, новый самолет ЦАГИ не только не уступал находящимся в </w:t>
      </w:r>
      <w:proofErr w:type="spellStart"/>
      <w:r w:rsidRPr="00441F34">
        <w:rPr>
          <w:rFonts w:ascii="Times New Roman" w:hAnsi="Times New Roman"/>
          <w:color w:val="0070C0"/>
          <w:sz w:val="16"/>
          <w:szCs w:val="16"/>
        </w:rPr>
        <w:t>эксплоатации</w:t>
      </w:r>
      <w:proofErr w:type="spellEnd"/>
      <w:r w:rsidRPr="00441F34">
        <w:rPr>
          <w:rFonts w:ascii="Times New Roman" w:hAnsi="Times New Roman"/>
          <w:color w:val="0070C0"/>
          <w:sz w:val="16"/>
          <w:szCs w:val="16"/>
        </w:rPr>
        <w:t xml:space="preserve"> самолетам, но и превышал их данные в отношении скорости, потолка и грузоподъемности.</w:t>
      </w:r>
    </w:p>
    <w:p w14:paraId="604546DB"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Эскизный проект ЦАГИ МИ-3 (АНТ-21) был утвержден, и УВВС предложило ВАО предоставить ЦАГИ мотор который обеспечил бы указанные выше расчетные данные самолета. В качестве такого мотора был выбран мотор М-34 с номинальной мощностью 750 л.с. (24197)</w:t>
      </w:r>
    </w:p>
    <w:p w14:paraId="5CBC39FD" w14:textId="77777777" w:rsidR="00984EA8" w:rsidRPr="00441F34" w:rsidRDefault="00984EA8" w:rsidP="00984EA8">
      <w:pPr>
        <w:spacing w:after="0" w:line="240" w:lineRule="auto"/>
        <w:jc w:val="both"/>
        <w:rPr>
          <w:rFonts w:ascii="Times New Roman" w:hAnsi="Times New Roman"/>
          <w:color w:val="0070C0"/>
          <w:sz w:val="16"/>
          <w:szCs w:val="16"/>
        </w:rPr>
      </w:pPr>
    </w:p>
    <w:p w14:paraId="40842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проходили испытания МР-3бис (МР-5) Д.П.Г. с деревянной лодкой, проводившиеся по инициативе </w:t>
      </w:r>
      <w:proofErr w:type="spellStart"/>
      <w:r w:rsidRPr="007122AB">
        <w:rPr>
          <w:rFonts w:ascii="Times New Roman" w:hAnsi="Times New Roman"/>
          <w:color w:val="000000" w:themeColor="text1"/>
          <w:sz w:val="16"/>
          <w:szCs w:val="16"/>
        </w:rPr>
        <w:t>И.В.Четверикова</w:t>
      </w:r>
      <w:proofErr w:type="spellEnd"/>
      <w:r w:rsidRPr="007122AB">
        <w:rPr>
          <w:rFonts w:ascii="Times New Roman" w:hAnsi="Times New Roman"/>
          <w:color w:val="000000" w:themeColor="text1"/>
          <w:sz w:val="16"/>
          <w:szCs w:val="16"/>
        </w:rPr>
        <w:t xml:space="preserve"> на Москве реке. Устарел (92,378).</w:t>
      </w:r>
    </w:p>
    <w:p w14:paraId="2877B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C5FA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на Р-5 испытали дисковые колеса (но без тормозов), но в серию их не пустили, поскольку диски делали из дефицитного тогда импортного дюралевого листа. В феврале 1930 г. тормозные колеса для Р-5 заказали в Америке, у фирмы "</w:t>
      </w:r>
      <w:proofErr w:type="spellStart"/>
      <w:r w:rsidRPr="007122AB">
        <w:rPr>
          <w:rFonts w:ascii="Times New Roman" w:hAnsi="Times New Roman"/>
          <w:color w:val="000000" w:themeColor="text1"/>
          <w:sz w:val="16"/>
          <w:szCs w:val="16"/>
        </w:rPr>
        <w:t>Бендикс</w:t>
      </w:r>
      <w:proofErr w:type="spellEnd"/>
      <w:r w:rsidRPr="007122AB">
        <w:rPr>
          <w:rFonts w:ascii="Times New Roman" w:hAnsi="Times New Roman"/>
          <w:color w:val="000000" w:themeColor="text1"/>
          <w:sz w:val="16"/>
          <w:szCs w:val="16"/>
        </w:rPr>
        <w:t>",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503212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03A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Л .И. Сутугин (аэродинамик) и С.А.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 xml:space="preserve"> (конструктор)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w:t>
      </w:r>
      <w:proofErr w:type="spellStart"/>
      <w:r w:rsidRPr="007122AB">
        <w:rPr>
          <w:rFonts w:ascii="Times New Roman" w:hAnsi="Times New Roman"/>
          <w:color w:val="000000" w:themeColor="text1"/>
          <w:sz w:val="16"/>
          <w:szCs w:val="16"/>
        </w:rPr>
        <w:t>законцовки</w:t>
      </w:r>
      <w:proofErr w:type="spellEnd"/>
      <w:r w:rsidRPr="007122AB">
        <w:rPr>
          <w:rFonts w:ascii="Times New Roman" w:hAnsi="Times New Roman"/>
          <w:color w:val="000000" w:themeColor="text1"/>
          <w:sz w:val="16"/>
          <w:szCs w:val="16"/>
        </w:rPr>
        <w:t xml:space="preserve">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238988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самолет передали на испытания в НИИ ВВС 5 мая 1932 г.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6E40FF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4E968F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D2FBF7"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w:t>
      </w:r>
      <w:proofErr w:type="spellStart"/>
      <w:r w:rsidRPr="007122AB">
        <w:rPr>
          <w:rFonts w:ascii="Times New Roman" w:hAnsi="Times New Roman"/>
          <w:color w:val="000000" w:themeColor="text1"/>
          <w:sz w:val="16"/>
          <w:szCs w:val="16"/>
        </w:rPr>
        <w:t>г.А.Н.Т</w:t>
      </w:r>
      <w:proofErr w:type="spellEnd"/>
      <w:r w:rsidRPr="007122AB">
        <w:rPr>
          <w:rFonts w:ascii="Times New Roman" w:hAnsi="Times New Roman"/>
          <w:color w:val="000000" w:themeColor="text1"/>
          <w:sz w:val="16"/>
          <w:szCs w:val="16"/>
        </w:rPr>
        <w:t>.  обратился за помощью в УВВС. к С.А. Меженинову:</w:t>
      </w:r>
    </w:p>
    <w:p w14:paraId="2D18E5FC"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«Сергеи </w:t>
      </w:r>
      <w:proofErr w:type="spellStart"/>
      <w:r w:rsidRPr="007122AB">
        <w:rPr>
          <w:rFonts w:ascii="Times New Roman" w:hAnsi="Times New Roman"/>
          <w:color w:val="000000" w:themeColor="text1"/>
          <w:sz w:val="16"/>
          <w:szCs w:val="16"/>
        </w:rPr>
        <w:t>Александрвич</w:t>
      </w:r>
      <w:proofErr w:type="spellEnd"/>
      <w:r w:rsidRPr="007122AB">
        <w:rPr>
          <w:rFonts w:ascii="Times New Roman" w:hAnsi="Times New Roman"/>
          <w:color w:val="000000" w:themeColor="text1"/>
          <w:sz w:val="16"/>
          <w:szCs w:val="16"/>
        </w:rPr>
        <w:t>.</w:t>
      </w:r>
    </w:p>
    <w:p w14:paraId="2F3BB151"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Разворачивание работ по проектиро</w:t>
      </w:r>
      <w:r w:rsidRPr="007122AB">
        <w:rPr>
          <w:rFonts w:ascii="Times New Roman" w:hAnsi="Times New Roman"/>
          <w:color w:val="000000" w:themeColor="text1"/>
          <w:sz w:val="16"/>
          <w:szCs w:val="16"/>
        </w:rPr>
        <w:softHyphen/>
        <w:t>ванию пассажирского самолета АНТ-20 (модификация ТБ-4) задерживается из-за того, что до сего времени еще не утверж</w:t>
      </w:r>
      <w:r w:rsidRPr="007122AB">
        <w:rPr>
          <w:rFonts w:ascii="Times New Roman" w:hAnsi="Times New Roman"/>
          <w:color w:val="000000" w:themeColor="text1"/>
          <w:sz w:val="16"/>
          <w:szCs w:val="16"/>
        </w:rPr>
        <w:softHyphen/>
        <w:t>ден УВВС эскизный проект его в смысле использования машины как военного агре</w:t>
      </w:r>
      <w:r w:rsidRPr="007122AB">
        <w:rPr>
          <w:rFonts w:ascii="Times New Roman" w:hAnsi="Times New Roman"/>
          <w:color w:val="000000" w:themeColor="text1"/>
          <w:sz w:val="16"/>
          <w:szCs w:val="16"/>
        </w:rPr>
        <w:softHyphen/>
        <w:t>гата. В НАГИ имеется в масштабе 1/10 макет самолета и в том же масштабе выполнен ряд специальных объектов, под</w:t>
      </w:r>
      <w:r w:rsidRPr="007122AB">
        <w:rPr>
          <w:rFonts w:ascii="Times New Roman" w:hAnsi="Times New Roman"/>
          <w:color w:val="000000" w:themeColor="text1"/>
          <w:sz w:val="16"/>
          <w:szCs w:val="16"/>
        </w:rPr>
        <w:softHyphen/>
        <w:t>лежащих транспортировке на самолете.</w:t>
      </w:r>
    </w:p>
    <w:p w14:paraId="200E2FD1"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Настоящим очень прошу Вас приехать в ближайшие же дни к нам в Институт и рассмотреть предлагаемый проект (кото</w:t>
      </w:r>
      <w:r w:rsidRPr="007122AB">
        <w:rPr>
          <w:rFonts w:ascii="Times New Roman" w:hAnsi="Times New Roman"/>
          <w:color w:val="000000" w:themeColor="text1"/>
          <w:sz w:val="16"/>
          <w:szCs w:val="16"/>
        </w:rPr>
        <w:softHyphen/>
        <w:t>рый. кстати сказать, в пассажирском ва</w:t>
      </w:r>
      <w:r w:rsidRPr="007122AB">
        <w:rPr>
          <w:rFonts w:ascii="Times New Roman" w:hAnsi="Times New Roman"/>
          <w:color w:val="000000" w:themeColor="text1"/>
          <w:sz w:val="16"/>
          <w:szCs w:val="16"/>
        </w:rPr>
        <w:softHyphen/>
        <w:t>рианте уже принят начальником ВО ГВФ к постройке).</w:t>
      </w:r>
    </w:p>
    <w:p w14:paraId="5B4D3207"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Очень желательно, чтобы Ваш приезд осуществился бы до 5-го сего августа.</w:t>
      </w:r>
    </w:p>
    <w:p w14:paraId="3B850CDC"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Туполев».</w:t>
      </w:r>
    </w:p>
    <w:p w14:paraId="7A4B3759"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всей видимости, ясного ответа КБ так и не получило (21240).</w:t>
      </w:r>
    </w:p>
    <w:p w14:paraId="329752F6" w14:textId="77777777" w:rsidR="003250DD" w:rsidRPr="007122AB" w:rsidRDefault="003250DD" w:rsidP="007122AB">
      <w:pPr>
        <w:spacing w:after="0" w:line="240" w:lineRule="auto"/>
        <w:jc w:val="both"/>
        <w:rPr>
          <w:rFonts w:ascii="Times New Roman" w:hAnsi="Times New Roman"/>
          <w:color w:val="000000" w:themeColor="text1"/>
          <w:sz w:val="16"/>
          <w:szCs w:val="16"/>
        </w:rPr>
      </w:pPr>
    </w:p>
    <w:p w14:paraId="29F42959"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1931 г. в ЦКБ-39 были закончены и утверждены плановые проекты летающих лодок ЦКБ-28 и ЦКБ-29, на основе которых далее был построен самолет Ш-5. Но в то время проект был отложен почти на четыре года (23559).</w:t>
      </w:r>
    </w:p>
    <w:p w14:paraId="16E300CB" w14:textId="77777777" w:rsidR="00984EA8" w:rsidRPr="00441F34" w:rsidRDefault="00984EA8" w:rsidP="00984EA8">
      <w:pPr>
        <w:spacing w:after="0" w:line="240" w:lineRule="auto"/>
        <w:jc w:val="both"/>
        <w:rPr>
          <w:rFonts w:ascii="Times New Roman" w:hAnsi="Times New Roman"/>
          <w:color w:val="0070C0"/>
          <w:sz w:val="16"/>
          <w:szCs w:val="16"/>
        </w:rPr>
      </w:pPr>
    </w:p>
    <w:p w14:paraId="0104EA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был утвержден проект Ш-5, который проходил под номерами 28 и 29 в плане ЦКБ (1076,917).</w:t>
      </w:r>
    </w:p>
    <w:p w14:paraId="34AD7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78C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для проведения войсковых испытаний в 9-й бригаде создали отряд торпедоносцев из двух ТБ-1, оснащенных теми же торпедными мостами, что ЮГ-1 весом 300 кг, которые производили серийно в 1932-1933 (561,6).</w:t>
      </w:r>
    </w:p>
    <w:p w14:paraId="7AF7E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C2C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был построен И-12 (АНТ-23) (80,151).</w:t>
      </w:r>
    </w:p>
    <w:p w14:paraId="3342E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- 1 июля 1931</w:t>
      </w:r>
    </w:p>
    <w:p w14:paraId="29425F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5297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УВВС сообщило ЦАГИ требования к вооружению самолета АНТ-14 (346,53).</w:t>
      </w:r>
    </w:p>
    <w:p w14:paraId="6596A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была бомбардировочная версия с установкой пулеметных оборонительных точек (2072,63).</w:t>
      </w:r>
    </w:p>
    <w:p w14:paraId="60581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B09498"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1931 г. УВВС сообщило ЦАГИ требования к вооруже</w:t>
      </w:r>
      <w:r w:rsidRPr="00441F34">
        <w:rPr>
          <w:rFonts w:ascii="Times New Roman" w:hAnsi="Times New Roman"/>
          <w:color w:val="0070C0"/>
          <w:sz w:val="16"/>
          <w:szCs w:val="16"/>
        </w:rPr>
        <w:softHyphen/>
        <w:t>нию самолета АНТ-14 в военной версии. Оборонительное вооруже</w:t>
      </w:r>
      <w:r w:rsidRPr="00441F34">
        <w:rPr>
          <w:rFonts w:ascii="Times New Roman" w:hAnsi="Times New Roman"/>
          <w:color w:val="0070C0"/>
          <w:sz w:val="16"/>
          <w:szCs w:val="16"/>
        </w:rPr>
        <w:softHyphen/>
        <w:t>ние должно было включать спаренную пулеметную установку у переднего стрел ка и такую же — у заднего, по одному тя</w:t>
      </w:r>
      <w:r w:rsidRPr="00441F34">
        <w:rPr>
          <w:rFonts w:ascii="Times New Roman" w:hAnsi="Times New Roman"/>
          <w:color w:val="0070C0"/>
          <w:sz w:val="16"/>
          <w:szCs w:val="16"/>
        </w:rPr>
        <w:softHyphen/>
        <w:t>желому пулемету у стрелков в средней и хвостовой частях фюзеляжа, а также по два пулемета у каждого из стрелков опус</w:t>
      </w:r>
      <w:r w:rsidRPr="00441F34">
        <w:rPr>
          <w:rFonts w:ascii="Times New Roman" w:hAnsi="Times New Roman"/>
          <w:color w:val="0070C0"/>
          <w:sz w:val="16"/>
          <w:szCs w:val="16"/>
        </w:rPr>
        <w:softHyphen/>
        <w:t>кающихся подкрыльных башен.</w:t>
      </w:r>
    </w:p>
    <w:p w14:paraId="1B413B7A"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Предусматривалась подвеска бомб ка</w:t>
      </w:r>
      <w:r w:rsidRPr="00441F34">
        <w:rPr>
          <w:rFonts w:ascii="Times New Roman" w:hAnsi="Times New Roman"/>
          <w:color w:val="0070C0"/>
          <w:sz w:val="16"/>
          <w:szCs w:val="16"/>
        </w:rPr>
        <w:softHyphen/>
        <w:t>либра 250 или 500 кг. Максимальная масса бомбовой нагрузки — 4000 кг.</w:t>
      </w:r>
    </w:p>
    <w:p w14:paraId="309369E6"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Документы о дальнейшей судьбе воен</w:t>
      </w:r>
      <w:r w:rsidRPr="00441F34">
        <w:rPr>
          <w:rFonts w:ascii="Times New Roman" w:hAnsi="Times New Roman"/>
          <w:color w:val="0070C0"/>
          <w:sz w:val="16"/>
          <w:szCs w:val="16"/>
        </w:rPr>
        <w:softHyphen/>
        <w:t>ного варианта не найдены (23474).</w:t>
      </w:r>
    </w:p>
    <w:p w14:paraId="22526756" w14:textId="77777777" w:rsidR="00984EA8" w:rsidRPr="00441F34" w:rsidRDefault="00984EA8" w:rsidP="00984EA8">
      <w:pPr>
        <w:spacing w:after="0" w:line="240" w:lineRule="auto"/>
        <w:jc w:val="both"/>
        <w:rPr>
          <w:rFonts w:ascii="Times New Roman" w:hAnsi="Times New Roman"/>
          <w:color w:val="0070C0"/>
          <w:sz w:val="16"/>
          <w:szCs w:val="16"/>
        </w:rPr>
      </w:pPr>
    </w:p>
    <w:p w14:paraId="2F1F3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когда опытный образец еще не поднимался в воздух, были сформулированы требования к бомбардировочному варианту АНТ-14. Самолет должен был нести 4000 кг бомб. Максимальный калибр определялся в 500 кг. Оборонительное вооружение складывалось из десяти пулеметов, в том числе двух крупнокалиберных; в том числе предусматривались две турели со спаренными пулеметами (спереди и сзади) и две башни со спаренными установками, выдвигавшиеся вниз из крыла.</w:t>
      </w:r>
    </w:p>
    <w:p w14:paraId="5C1B8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1933 г. выполнялся эскизный проект военной модификации АНТ-14 с четырьмя моторами М-34Р и новыми носовой и хвостовой частью. Вооружение у него было послабее. Самолет предполагалось вооружить четырьмя 7,62-мм пулеметами. Три ручных пулемета Д П (пехотных, именно так записано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установки вел огонь штурман, из верхней - борттехник, из кормовой - стрелок. Переносным пулеметом оперировал радист.</w:t>
      </w:r>
    </w:p>
    <w:p w14:paraId="27D93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Предусматривались две радиостанции: 11-СК (у радиста) и 15-СУ (у штурмана). Основным назначением машины считалась перевозка солдат и военных грузов, а также высадка воздушных десантов, но при монтаже в салоне многоярусных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52ACDD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Такие военно-транспортные машины собирались серийно строить на заводе № 22 в Филях. В сентябре 1933 г. руководство этого предприятия обратилось в ГУАП за разрешением на постройку опытного образца, но, видимо, получило отказ. В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w:t>
      </w:r>
      <w:proofErr w:type="spellStart"/>
      <w:r w:rsidRPr="007122AB">
        <w:rPr>
          <w:rFonts w:ascii="Times New Roman" w:hAnsi="Times New Roman"/>
          <w:color w:val="000000" w:themeColor="text1"/>
          <w:sz w:val="16"/>
          <w:szCs w:val="16"/>
        </w:rPr>
        <w:t>бензиноносца</w:t>
      </w:r>
      <w:proofErr w:type="spellEnd"/>
      <w:r w:rsidRPr="007122AB">
        <w:rPr>
          <w:rFonts w:ascii="Times New Roman" w:hAnsi="Times New Roman"/>
          <w:color w:val="000000" w:themeColor="text1"/>
          <w:sz w:val="16"/>
          <w:szCs w:val="16"/>
        </w:rPr>
        <w:t>" - танкера для дозаправки в воздухе тяжелого бомбардировщика ТБ-4. Он мог, по расчетам, нести дополнительно около 2500 кг топлива.</w:t>
      </w:r>
    </w:p>
    <w:p w14:paraId="4CB2F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098C0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457D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года М-23 установили на АИР-2, а позднее и на АИР-4, который успешно прошел государственные испытания. В 1932 году были выполнены рабочие чертежи для его серийного выпуска с М-23. Школе ФЗУ завода №24 поручили изготовить серию в 30 моторов М-23 для этого самолета. Предполагалось в 1933 году конструктивно довести АИР-4 с М-23, превратив его в учебно-тренировочную машину. Осоавиахим запланировал на вторую пятилетку непрерывное увеличение количества АИР-4 С М-23 - с пяти самолетов в 1933 году до 276 в 1937-м и решил ассигновать на эту программу 3,7 млн. рублей. Тем не менее двигатель М-23 в серию так и не пошел, что повлияло и на дальнейшую судьбу самолетов, для которых он предназначался. А это были не только </w:t>
      </w:r>
      <w:proofErr w:type="spellStart"/>
      <w:r w:rsidRPr="007122AB">
        <w:rPr>
          <w:rFonts w:ascii="Times New Roman" w:hAnsi="Times New Roman"/>
          <w:color w:val="000000" w:themeColor="text1"/>
          <w:sz w:val="16"/>
          <w:szCs w:val="16"/>
        </w:rPr>
        <w:t>АИРы</w:t>
      </w:r>
      <w:proofErr w:type="spellEnd"/>
      <w:r w:rsidRPr="007122AB">
        <w:rPr>
          <w:rFonts w:ascii="Times New Roman" w:hAnsi="Times New Roman"/>
          <w:color w:val="000000" w:themeColor="text1"/>
          <w:sz w:val="16"/>
          <w:szCs w:val="16"/>
        </w:rPr>
        <w:t xml:space="preserve"> А. С. Яковлева, но и самолеты А. Н. Грацианского, В. К. Грибовского, А. С. Москалева. Неспособность Осоавиахима и авиационной промышленности наладить производство маломощных моторов привела к тому, что ни одна даже самая удачная отечественная авиетка не выпускалась тогда большой серией. Поставлять для них в больших количествах импортные, оплачиваемые валютой моторы, было немыслимо (11981).</w:t>
      </w:r>
    </w:p>
    <w:p w14:paraId="4DFE2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995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было подготовлено заключение по гос. испытаниям АНТ-8 МДР-2, на котором Нач. ВВС РККА наложил резолюцию: “Решение вопроса о введении на вооружение...отложить до окончания испытаний и проверки технических изменений, до получения результатов испытаний МДР-3 завода 39.” (4269,18).</w:t>
      </w:r>
    </w:p>
    <w:p w14:paraId="7BAE8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E8CC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КБ А.Н.Т. получило ТТТ от УВВС к гидросамолету для дальней морской разведки - потом сделали АНТ-22 (МК-1) (2072,69).</w:t>
      </w:r>
    </w:p>
    <w:p w14:paraId="2E039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4726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Управление ВВС выдало новое задание на гораздо большую по размерам машину. Теперь требовался "морской крейсер" с бомбовой нагрузкой 6000 кг. Задачами самолета считались разведка отдаленных районов моря и нанесение ударов бомбами и торпедами. Максимальная скорость задавалась равной 300 км/ч, а радиус действия - 1000 км. Машине присвоили обозначение МК-1; в ЦАГИ ее назвали АНТ-22. Проектирование вели в бригаде гидросамолетов КОСОС, руководимой И.И. </w:t>
      </w:r>
      <w:proofErr w:type="spellStart"/>
      <w:r w:rsidRPr="007122AB">
        <w:rPr>
          <w:rFonts w:ascii="Times New Roman" w:hAnsi="Times New Roman"/>
          <w:color w:val="000000" w:themeColor="text1"/>
          <w:sz w:val="16"/>
          <w:szCs w:val="16"/>
        </w:rPr>
        <w:t>Погосским</w:t>
      </w:r>
      <w:proofErr w:type="spellEnd"/>
      <w:r w:rsidRPr="007122AB">
        <w:rPr>
          <w:rFonts w:ascii="Times New Roman" w:hAnsi="Times New Roman"/>
          <w:color w:val="000000" w:themeColor="text1"/>
          <w:sz w:val="16"/>
          <w:szCs w:val="16"/>
        </w:rPr>
        <w:t xml:space="preserve">. По расчетам такому самолету требовалось крыло с размахом около 50 м и площадью 300 м2. При классической схеме лодка получалась </w:t>
      </w:r>
      <w:proofErr w:type="spellStart"/>
      <w:r w:rsidRPr="007122AB">
        <w:rPr>
          <w:rFonts w:ascii="Times New Roman" w:hAnsi="Times New Roman"/>
          <w:color w:val="000000" w:themeColor="text1"/>
          <w:sz w:val="16"/>
          <w:szCs w:val="16"/>
        </w:rPr>
        <w:t>офомной</w:t>
      </w:r>
      <w:proofErr w:type="spellEnd"/>
      <w:r w:rsidRPr="007122AB">
        <w:rPr>
          <w:rFonts w:ascii="Times New Roman" w:hAnsi="Times New Roman"/>
          <w:color w:val="000000" w:themeColor="text1"/>
          <w:sz w:val="16"/>
          <w:szCs w:val="16"/>
        </w:rPr>
        <w:t>, высокой и широкой. Чтобы обеспечить ей остойчивость, потребовались бы либо "жабры" большого объема, либо очень немаленькие подкрыльные поплавки. Вспомнив о работе над АНТ-11, предложили использовать катамаранную схему с расстоянием между осями фюзеляжей в 15 м. По оси самолета из крыла выступала кабина экипажа.</w:t>
      </w:r>
    </w:p>
    <w:p w14:paraId="769923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Лодки были </w:t>
      </w:r>
      <w:proofErr w:type="spellStart"/>
      <w:r w:rsidRPr="007122AB">
        <w:rPr>
          <w:rFonts w:ascii="Times New Roman" w:hAnsi="Times New Roman"/>
          <w:color w:val="000000" w:themeColor="text1"/>
          <w:sz w:val="16"/>
          <w:szCs w:val="16"/>
        </w:rPr>
        <w:t>двухреданными</w:t>
      </w:r>
      <w:proofErr w:type="spellEnd"/>
      <w:r w:rsidRPr="007122AB">
        <w:rPr>
          <w:rFonts w:ascii="Times New Roman" w:hAnsi="Times New Roman"/>
          <w:color w:val="000000" w:themeColor="text1"/>
          <w:sz w:val="16"/>
          <w:szCs w:val="16"/>
        </w:rPr>
        <w:t xml:space="preserve">. Они выполнялись не "зеркальными", а совершенно одинаковыми и симметричными. Это упрощало производство и ремонт. Форму днища определили после </w:t>
      </w:r>
      <w:proofErr w:type="spellStart"/>
      <w:r w:rsidRPr="007122AB">
        <w:rPr>
          <w:rFonts w:ascii="Times New Roman" w:hAnsi="Times New Roman"/>
          <w:color w:val="000000" w:themeColor="text1"/>
          <w:sz w:val="16"/>
          <w:szCs w:val="16"/>
        </w:rPr>
        <w:t>протасок</w:t>
      </w:r>
      <w:proofErr w:type="spellEnd"/>
      <w:r w:rsidRPr="007122AB">
        <w:rPr>
          <w:rFonts w:ascii="Times New Roman" w:hAnsi="Times New Roman"/>
          <w:color w:val="000000" w:themeColor="text1"/>
          <w:sz w:val="16"/>
          <w:szCs w:val="16"/>
        </w:rPr>
        <w:t xml:space="preserve"> различных моделей в гидроканале. Развитая носовая часть корпуса обеспечивала хорошую мореходность. </w:t>
      </w:r>
      <w:proofErr w:type="spellStart"/>
      <w:r w:rsidRPr="007122AB">
        <w:rPr>
          <w:rFonts w:ascii="Times New Roman" w:hAnsi="Times New Roman"/>
          <w:color w:val="000000" w:themeColor="text1"/>
          <w:sz w:val="16"/>
          <w:szCs w:val="16"/>
        </w:rPr>
        <w:t>По-настояшему</w:t>
      </w:r>
      <w:proofErr w:type="spellEnd"/>
      <w:r w:rsidRPr="007122AB">
        <w:rPr>
          <w:rFonts w:ascii="Times New Roman" w:hAnsi="Times New Roman"/>
          <w:color w:val="000000" w:themeColor="text1"/>
          <w:sz w:val="16"/>
          <w:szCs w:val="16"/>
        </w:rPr>
        <w:t xml:space="preserve"> герметичны были только нижние широкие части лодок, которые фактически являлись поплавками. Сверху они закрывались водонепроницаемым полом с люками. Выше шла более легкая конструкция. Обшивка лодок была гладкой. Клепку, чтобы не проступала вода, делали на сурике.</w:t>
      </w:r>
    </w:p>
    <w:p w14:paraId="6BF29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Крыло по конструкции было похоже на ТБ-3. Четыре ферменных лонжерона из дюралевых труб, ферменные же нервюры, стрингеры в виде трехгранных балок из листа с отверстиями для облегчения и гофрированная обшивка.</w:t>
      </w:r>
    </w:p>
    <w:p w14:paraId="5546F5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Мотоустановка</w:t>
      </w:r>
      <w:proofErr w:type="spellEnd"/>
      <w:r w:rsidRPr="007122AB">
        <w:rPr>
          <w:rFonts w:ascii="Times New Roman" w:hAnsi="Times New Roman"/>
          <w:color w:val="000000" w:themeColor="text1"/>
          <w:sz w:val="16"/>
          <w:szCs w:val="16"/>
        </w:rPr>
        <w:t xml:space="preserve"> АНТ-22 состояла из шести двигателей М-34Р. Они размещались тремя тандемными парами - две над лодками и одна по оси самолета над центропланом и кабиной экипажа. Похоже, использовалась та же самая установка, что монтировалась на фюзеляже ТБ-4. В каждой гондоле один двигатель работал с тянущим винтом, другой - с толкающим. Общий для пары радиатор размещался сверху. Крыло хорошо защищало приподнятые вверх двигатели от брызг при взлете и посадке. </w:t>
      </w:r>
    </w:p>
    <w:p w14:paraId="1E563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Хвостовая часть каждой лодки заканчивалась присоединенным на болтах килем. Кили соединялись стабилизатором, превращавшим конструкцию в жесткую раму. Стабилизатор специально разместили в плоскости осей воздушных винтов, чтобы повысить эффективность работы рулей. Внешние части стабилизатора, выступавшие за кили, могли в полете менять угол установки.</w:t>
      </w:r>
    </w:p>
    <w:p w14:paraId="6B9E44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состоял из 11 человек. В центральной кабине сидели два пилота, штурман и бортмеханик. Последний располагался во втором ярусе, над летчиками, и имел люк для выхода на крыло. В лодках размещались шесть стрелков, а в носовой части правой - еще радист со станцией ПСК-1.</w:t>
      </w:r>
    </w:p>
    <w:p w14:paraId="31B648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МК-1 имел мощное вооружение: шесть пулеметов и две пушки, боезапас 600 снарядов и 14 ООО патронов. В каждой лодке находились пулемет ШКАС, спарка ДА-2 и 20-мм пушка "</w:t>
      </w:r>
      <w:proofErr w:type="spellStart"/>
      <w:r w:rsidRPr="007122AB">
        <w:rPr>
          <w:rFonts w:ascii="Times New Roman" w:hAnsi="Times New Roman"/>
          <w:color w:val="000000" w:themeColor="text1"/>
          <w:sz w:val="16"/>
          <w:szCs w:val="16"/>
        </w:rPr>
        <w:t>Эрликон</w:t>
      </w:r>
      <w:proofErr w:type="spellEnd"/>
      <w:r w:rsidRPr="007122AB">
        <w:rPr>
          <w:rFonts w:ascii="Times New Roman" w:hAnsi="Times New Roman"/>
          <w:color w:val="000000" w:themeColor="text1"/>
          <w:sz w:val="16"/>
          <w:szCs w:val="16"/>
        </w:rPr>
        <w:t>", но размещение их было не одинаково. В кормовых установках в обоих случаях монтировались пулеметы ДА-2, пушка в левой лодке стояла на средней турели, а в правой - на передней. Соответственно менялось положение пулеметов ШКАС. Все установки выполнялись экранированными, с остекленными целлулоидом колпаками.</w:t>
      </w:r>
    </w:p>
    <w:p w14:paraId="39196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уже говорилось, максимальная бомбовая нагрузка равнялась 6000 кг, нормальная - 5000 кг. Бомбы укладывались в восьми отсеках в центроплане, где монтировались кассетные держатели для 32 бомб по 100 кг. Бомбы более крупного калибра, вплоть до шести по 1000 кг, крепились на наружных балках. Вместо бомб снаружи можно было нести четыре торпеды по 1200 кг (например, ТАН-27). </w:t>
      </w:r>
      <w:proofErr w:type="spellStart"/>
      <w:r w:rsidRPr="007122AB">
        <w:rPr>
          <w:rFonts w:ascii="Times New Roman" w:hAnsi="Times New Roman"/>
          <w:color w:val="000000" w:themeColor="text1"/>
          <w:sz w:val="16"/>
          <w:szCs w:val="16"/>
        </w:rPr>
        <w:t>По-ви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димому</w:t>
      </w:r>
      <w:proofErr w:type="spellEnd"/>
      <w:r w:rsidRPr="007122AB">
        <w:rPr>
          <w:rFonts w:ascii="Times New Roman" w:hAnsi="Times New Roman"/>
          <w:color w:val="000000" w:themeColor="text1"/>
          <w:sz w:val="16"/>
          <w:szCs w:val="16"/>
        </w:rPr>
        <w:t>, вместо торпед предусматривалась и загрузка авиационных мин. Реально в перегрузку огромный самолет мог поднять гораздо больше.</w:t>
      </w:r>
    </w:p>
    <w:p w14:paraId="1FB18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Постройку опытного образца МК-1 осуществляли в большом цехе Завода опытных конструкций с 1933 г. (12036).</w:t>
      </w:r>
    </w:p>
    <w:p w14:paraId="78CBD2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67CE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был смотр авиации, на который приезжал И.В.С., </w:t>
      </w:r>
      <w:proofErr w:type="spellStart"/>
      <w:r w:rsidRPr="007122AB">
        <w:rPr>
          <w:rFonts w:ascii="Times New Roman" w:hAnsi="Times New Roman"/>
          <w:color w:val="000000" w:themeColor="text1"/>
          <w:sz w:val="16"/>
          <w:szCs w:val="16"/>
        </w:rPr>
        <w:t>A.К.Орджоникидзе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В.П.Чкалов</w:t>
      </w:r>
      <w:proofErr w:type="spellEnd"/>
      <w:r w:rsidRPr="007122AB">
        <w:rPr>
          <w:rFonts w:ascii="Times New Roman" w:hAnsi="Times New Roman"/>
          <w:color w:val="000000" w:themeColor="text1"/>
          <w:sz w:val="16"/>
          <w:szCs w:val="16"/>
        </w:rPr>
        <w:t xml:space="preserve"> летал на И-5 и после этого смотра Н.Н.П. заменили высшую меру на 10 лет лагерей (191,22).</w:t>
      </w:r>
    </w:p>
    <w:p w14:paraId="2F7091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отношении Н.Н.П. - не совсем корректно, так как 10 лет лагерей были даны еще 18 марта 1931.</w:t>
      </w:r>
    </w:p>
    <w:p w14:paraId="0C7771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4FC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официально сдали головной образец М-17Б.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7122AB">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7122AB">
        <w:rPr>
          <w:rFonts w:ascii="Times New Roman" w:hAnsi="Times New Roman"/>
          <w:color w:val="000000" w:themeColor="text1"/>
          <w:sz w:val="16"/>
          <w:szCs w:val="16"/>
        </w:rPr>
        <w:softHyphen/>
        <w:t>лись целые серии высотных двигателей. Например, все моторы, входив</w:t>
      </w:r>
      <w:r w:rsidRPr="007122AB">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7122AB">
        <w:rPr>
          <w:rFonts w:ascii="Times New Roman" w:hAnsi="Times New Roman"/>
          <w:color w:val="000000" w:themeColor="text1"/>
          <w:sz w:val="16"/>
          <w:szCs w:val="16"/>
        </w:rPr>
        <w:softHyphen/>
        <w:t>лись планы его последующей модернизации. При этом не только следова</w:t>
      </w:r>
      <w:r w:rsidRPr="007122AB">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7122AB">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7122AB">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7122AB">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7122AB">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2058EB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4BCC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небольшая лаборатория двигателей внутреннего сгорания получила задание на разработку </w:t>
      </w:r>
      <w:proofErr w:type="spellStart"/>
      <w:r w:rsidRPr="007122AB">
        <w:rPr>
          <w:rFonts w:ascii="Times New Roman" w:hAnsi="Times New Roman"/>
          <w:color w:val="000000" w:themeColor="text1"/>
          <w:sz w:val="16"/>
          <w:szCs w:val="16"/>
        </w:rPr>
        <w:t>авиадизеля</w:t>
      </w:r>
      <w:proofErr w:type="spellEnd"/>
      <w:r w:rsidRPr="007122AB">
        <w:rPr>
          <w:rFonts w:ascii="Times New Roman" w:hAnsi="Times New Roman"/>
          <w:color w:val="000000" w:themeColor="text1"/>
          <w:sz w:val="16"/>
          <w:szCs w:val="16"/>
        </w:rPr>
        <w:t xml:space="preserve"> Н-3. Далее стала УИДВС (его иногда сокращенно именовали также </w:t>
      </w:r>
      <w:proofErr w:type="spellStart"/>
      <w:r w:rsidRPr="007122AB">
        <w:rPr>
          <w:rFonts w:ascii="Times New Roman" w:hAnsi="Times New Roman"/>
          <w:color w:val="000000" w:themeColor="text1"/>
          <w:sz w:val="16"/>
          <w:szCs w:val="16"/>
        </w:rPr>
        <w:t>УкрИДВС</w:t>
      </w:r>
      <w:proofErr w:type="spellEnd"/>
      <w:r w:rsidRPr="007122AB">
        <w:rPr>
          <w:rFonts w:ascii="Times New Roman" w:hAnsi="Times New Roman"/>
          <w:color w:val="000000" w:themeColor="text1"/>
          <w:sz w:val="16"/>
          <w:szCs w:val="16"/>
        </w:rPr>
        <w:t>). Институт возглавлял Я.М. Майер. Непосредственно конструированием занимался от</w:t>
      </w:r>
      <w:r w:rsidRPr="007122AB">
        <w:rPr>
          <w:rFonts w:ascii="Times New Roman" w:hAnsi="Times New Roman"/>
          <w:color w:val="000000" w:themeColor="text1"/>
          <w:sz w:val="16"/>
          <w:szCs w:val="16"/>
        </w:rPr>
        <w:softHyphen/>
        <w:t xml:space="preserve">дел Г.И. </w:t>
      </w:r>
      <w:proofErr w:type="spellStart"/>
      <w:r w:rsidRPr="007122AB">
        <w:rPr>
          <w:rFonts w:ascii="Times New Roman" w:hAnsi="Times New Roman"/>
          <w:color w:val="000000" w:themeColor="text1"/>
          <w:sz w:val="16"/>
          <w:szCs w:val="16"/>
        </w:rPr>
        <w:t>Аптекмана</w:t>
      </w:r>
      <w:proofErr w:type="spellEnd"/>
      <w:r w:rsidRPr="007122AB">
        <w:rPr>
          <w:rFonts w:ascii="Times New Roman" w:hAnsi="Times New Roman"/>
          <w:color w:val="000000" w:themeColor="text1"/>
          <w:sz w:val="16"/>
          <w:szCs w:val="16"/>
        </w:rPr>
        <w:t>. В январе 1932 г. был представлен эскизный проект дизеля, названного АД-1. Он также являлся 12-цилиндровым, выполнял</w:t>
      </w:r>
      <w:r w:rsidRPr="007122AB">
        <w:rPr>
          <w:rFonts w:ascii="Times New Roman" w:hAnsi="Times New Roman"/>
          <w:color w:val="000000" w:themeColor="text1"/>
          <w:sz w:val="16"/>
          <w:szCs w:val="16"/>
        </w:rPr>
        <w:softHyphen/>
        <w:t xml:space="preserve">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w:t>
      </w:r>
      <w:r w:rsidRPr="007122AB">
        <w:rPr>
          <w:rFonts w:ascii="Times New Roman" w:hAnsi="Times New Roman"/>
          <w:color w:val="000000" w:themeColor="text1"/>
          <w:sz w:val="16"/>
          <w:szCs w:val="16"/>
        </w:rPr>
        <w:lastRenderedPageBreak/>
        <w:t>за</w:t>
      </w:r>
      <w:r w:rsidRPr="007122AB">
        <w:rPr>
          <w:rFonts w:ascii="Times New Roman" w:hAnsi="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w:t>
      </w:r>
      <w:proofErr w:type="spellStart"/>
      <w:r w:rsidRPr="007122AB">
        <w:rPr>
          <w:rFonts w:ascii="Times New Roman" w:hAnsi="Times New Roman"/>
          <w:color w:val="000000" w:themeColor="text1"/>
          <w:sz w:val="16"/>
          <w:szCs w:val="16"/>
        </w:rPr>
        <w:t>Ворошиловец</w:t>
      </w:r>
      <w:proofErr w:type="spellEnd"/>
      <w:r w:rsidRPr="007122AB">
        <w:rPr>
          <w:rFonts w:ascii="Times New Roman" w:hAnsi="Times New Roman"/>
          <w:color w:val="000000" w:themeColor="text1"/>
          <w:sz w:val="16"/>
          <w:szCs w:val="16"/>
        </w:rPr>
        <w:t>».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7122AB">
        <w:rPr>
          <w:rFonts w:ascii="Times New Roman" w:hAnsi="Times New Roman"/>
          <w:color w:val="000000" w:themeColor="text1"/>
          <w:sz w:val="16"/>
          <w:szCs w:val="16"/>
        </w:rPr>
        <w:softHyphen/>
        <w:t>ектирование дизеля АД-3 (11852).</w:t>
      </w:r>
    </w:p>
    <w:p w14:paraId="0CFD7E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C3D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выдали задание на Н-3 Лаборатории двигателей вну</w:t>
      </w:r>
      <w:r w:rsidRPr="007122AB">
        <w:rPr>
          <w:rFonts w:ascii="Times New Roman" w:hAnsi="Times New Roman"/>
          <w:color w:val="000000" w:themeColor="text1"/>
          <w:sz w:val="16"/>
          <w:szCs w:val="16"/>
        </w:rPr>
        <w:softHyphen/>
        <w:t>треннего сгорания (впоследствии УИДВС и УНИАДИ) в Харькове. Проек</w:t>
      </w:r>
      <w:r w:rsidRPr="007122AB">
        <w:rPr>
          <w:rFonts w:ascii="Times New Roman" w:hAnsi="Times New Roman"/>
          <w:color w:val="000000" w:themeColor="text1"/>
          <w:sz w:val="16"/>
          <w:szCs w:val="16"/>
        </w:rPr>
        <w:softHyphen/>
        <w:t xml:space="preserve">тирование велось под руководством Я.М. Майера и Г.И. </w:t>
      </w:r>
      <w:proofErr w:type="spellStart"/>
      <w:r w:rsidRPr="007122AB">
        <w:rPr>
          <w:rFonts w:ascii="Times New Roman" w:hAnsi="Times New Roman"/>
          <w:color w:val="000000" w:themeColor="text1"/>
          <w:sz w:val="16"/>
          <w:szCs w:val="16"/>
        </w:rPr>
        <w:t>Аптекмана</w:t>
      </w:r>
      <w:proofErr w:type="spellEnd"/>
      <w:r w:rsidRPr="007122AB">
        <w:rPr>
          <w:rFonts w:ascii="Times New Roman" w:hAnsi="Times New Roman"/>
          <w:color w:val="000000" w:themeColor="text1"/>
          <w:sz w:val="16"/>
          <w:szCs w:val="16"/>
        </w:rPr>
        <w:t>. Осо</w:t>
      </w:r>
      <w:r w:rsidRPr="007122AB">
        <w:rPr>
          <w:rFonts w:ascii="Times New Roman" w:hAnsi="Times New Roman"/>
          <w:color w:val="000000" w:themeColor="text1"/>
          <w:sz w:val="16"/>
          <w:szCs w:val="16"/>
        </w:rPr>
        <w:softHyphen/>
        <w:t>бенностями конструкции являлись развал блоков под углом 45° и заливка силовых шпилек в алюминиевый картер. Опытный образец был закончен осенью 1934 г., испытывался с декабря 1934 г. по июнь 1935 г. Мощность оказалась ниже проектной, и приоритет отдали дизелю АН-1, разработан</w:t>
      </w:r>
      <w:r w:rsidRPr="007122AB">
        <w:rPr>
          <w:rFonts w:ascii="Times New Roman" w:hAnsi="Times New Roman"/>
          <w:color w:val="000000" w:themeColor="text1"/>
          <w:sz w:val="16"/>
          <w:szCs w:val="16"/>
        </w:rPr>
        <w:softHyphen/>
        <w:t>ному в ЦИАМ. Изготовлены три экземпляра.</w:t>
      </w:r>
    </w:p>
    <w:p w14:paraId="48F9F7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38A5C6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4AC2BC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проекту 500 л.с. (реально 427 л.с.);</w:t>
      </w:r>
    </w:p>
    <w:p w14:paraId="2BC462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150/165 мм;</w:t>
      </w:r>
    </w:p>
    <w:p w14:paraId="27F2FB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650 кг (по заданию).</w:t>
      </w:r>
    </w:p>
    <w:p w14:paraId="2F9F53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Н-4 (АН-4)</w:t>
      </w:r>
    </w:p>
    <w:p w14:paraId="0E4A74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7122AB">
        <w:rPr>
          <w:rFonts w:ascii="Times New Roman" w:hAnsi="Times New Roman"/>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7122AB">
        <w:rPr>
          <w:rFonts w:ascii="Times New Roman" w:hAnsi="Times New Roman"/>
          <w:color w:val="000000" w:themeColor="text1"/>
          <w:sz w:val="16"/>
          <w:szCs w:val="16"/>
        </w:rPr>
        <w:softHyphen/>
        <w:t>стройке и испытании опытных образцов Н-4 в целом нет.</w:t>
      </w:r>
    </w:p>
    <w:p w14:paraId="59739E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43A3ED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Двухтактный дизель, водяного охлаждения;</w:t>
      </w:r>
    </w:p>
    <w:p w14:paraId="02E371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заданию 500-600 л.с.;</w:t>
      </w:r>
    </w:p>
    <w:p w14:paraId="6A89FE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500-600 кг (11852).</w:t>
      </w:r>
    </w:p>
    <w:p w14:paraId="4B04DB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68B0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года Гроховский писал письмо зам. председателя и начальнику вооружения РККА Тухачевскому:</w:t>
      </w:r>
    </w:p>
    <w:p w14:paraId="0F4EDC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1929 году мною предложено 54 изобретения. Все мои предложения одобрены, 18 изобретений мною проработаны и сданы на снабжение в ВВС. Последняя демонстрация показала о ряде еще изобретений, которые можно передать в промышленность.</w:t>
      </w:r>
    </w:p>
    <w:p w14:paraId="5F802D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535F4B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эти изобретения и патенты я передаю безвозмездно для усиления боевой мощи Красной Армии и прошу о премировании ниже упомянутых товарищей, которые проявили лучшими ударниками по подготовке опытных экземпляров моих изобретений.</w:t>
      </w:r>
    </w:p>
    <w:p w14:paraId="09D464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42629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Прошу о премировании первых четырех автомобилями «Форд» и последних трех мотоциклами (6770, 34-35).</w:t>
      </w:r>
    </w:p>
    <w:p w14:paraId="3723E3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D6E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Гроховский писал письмо зам. председателя и начальнику вооружения Тухачевскому:</w:t>
      </w:r>
    </w:p>
    <w:p w14:paraId="420FA5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июля 1931 года Вам была устроена демонстрация моих изобретений в области воздушной пехоты. Неудачу с воздушными мешками, велосипедами и с орудием я отношу к недостаточному количеству испытаний на самолетах, которые мне не давались и тормозились зам. начальника НИИ Фроловским …………………… (о борьбе института с ним – Гроховским).</w:t>
      </w:r>
    </w:p>
    <w:p w14:paraId="6D4EDBE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5560F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программы демонстрации я должен был произвести прыжок вместе с автомобилем. В последний момент я изменил свое решение и произвел прыжок из автоматических кабин с командой воздушных бойцов. При сбрасывании автомобиля парашют не раскрылся и авто «Форд» был разбит. После демонстрации все мои объекты были арестованы зам. начальника НИИ Фроловским ……………….. Все это было сделано для того, чтобы выяснить на другой день состояние моих изобретений. Утром был вскрыт ангар, подсчитаны убытки и Фроловским было дано приказание сдать все объекты обратно мне.</w:t>
      </w:r>
    </w:p>
    <w:p w14:paraId="519A5D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9F66B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осмотра нераскрывшегося парашюта был установлен факт вредительства.</w:t>
      </w:r>
    </w:p>
    <w:p w14:paraId="6D9493D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7F86C6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Написанный мною труд «Книга воздушной пехоты», где я описываю свои конструкции мною была сдана редактору НИИ с таким расчетом, чтобы можно было ее отпечатать к демонстрации для передачи членам РВС. В последние дни выпуск книги без всякого основания был запрещен Дубенским.</w:t>
      </w:r>
    </w:p>
    <w:p w14:paraId="1064A3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7FD519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эти факты и факты, описанные мною в письмах наркому Ворошилову делают работу мою невозможной, больше работать в таких условиях я не могу и сегодня мною был подан рапорт начальнику НИИ Дубенскому о снятии меня с должности начальника конструкторского отдела с переводом из НИИ на летную должность в строевую часть (6769, 29-31).</w:t>
      </w:r>
    </w:p>
    <w:p w14:paraId="2D3536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255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на ХПЗ им Коминтерна по заданию УММ РККА началось проектирование 12 цилиндрового дизеля в 400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с использованием опыта АН-1 и АД-1 (3879,37).</w:t>
      </w:r>
    </w:p>
    <w:p w14:paraId="564E0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B9C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лаборатория двигателей внутреннего сгорания в Харькове получила, как и ЦИАМ, на эскизный проект мощного авиационного дизеля. Небольшая лаборатория, насчитывавшая всего 45 сотрудников и шесть станков, выросла в Украинский научно-исследовательский </w:t>
      </w:r>
      <w:proofErr w:type="spellStart"/>
      <w:r w:rsidRPr="007122AB">
        <w:rPr>
          <w:rFonts w:ascii="Times New Roman" w:hAnsi="Times New Roman"/>
          <w:color w:val="000000" w:themeColor="text1"/>
          <w:sz w:val="16"/>
          <w:szCs w:val="16"/>
        </w:rPr>
        <w:t>авиадизельный</w:t>
      </w:r>
      <w:proofErr w:type="spellEnd"/>
      <w:r w:rsidRPr="007122AB">
        <w:rPr>
          <w:rFonts w:ascii="Times New Roman" w:hAnsi="Times New Roman"/>
          <w:color w:val="000000" w:themeColor="text1"/>
          <w:sz w:val="16"/>
          <w:szCs w:val="16"/>
        </w:rPr>
        <w:t xml:space="preserve"> институт (УНИАДИ), который возглавил Я.М. Майер, прежде заведовавший "подотделом тепловых двигателей" ХПЗ (9021).</w:t>
      </w:r>
    </w:p>
    <w:p w14:paraId="716F9C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C65F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выдали задание на разработку дизеля Н-3 Лаборатории двигателей внутреннего сгорания (позднее </w:t>
      </w:r>
      <w:proofErr w:type="spellStart"/>
      <w:r w:rsidRPr="007122AB">
        <w:rPr>
          <w:rFonts w:ascii="Times New Roman" w:hAnsi="Times New Roman"/>
          <w:color w:val="000000" w:themeColor="text1"/>
          <w:sz w:val="16"/>
          <w:szCs w:val="16"/>
        </w:rPr>
        <w:t>УкрИДВС</w:t>
      </w:r>
      <w:proofErr w:type="spellEnd"/>
      <w:r w:rsidRPr="007122AB">
        <w:rPr>
          <w:rFonts w:ascii="Times New Roman" w:hAnsi="Times New Roman"/>
          <w:color w:val="000000" w:themeColor="text1"/>
          <w:sz w:val="16"/>
          <w:szCs w:val="16"/>
        </w:rPr>
        <w:t xml:space="preserve">) в Харькове. Проектирование велось под руководством Я.М. Майера и Г.И. </w:t>
      </w:r>
      <w:proofErr w:type="spellStart"/>
      <w:r w:rsidRPr="007122AB">
        <w:rPr>
          <w:rFonts w:ascii="Times New Roman" w:hAnsi="Times New Roman"/>
          <w:color w:val="000000" w:themeColor="text1"/>
          <w:sz w:val="16"/>
          <w:szCs w:val="16"/>
        </w:rPr>
        <w:t>Аптекмана</w:t>
      </w:r>
      <w:proofErr w:type="spellEnd"/>
      <w:r w:rsidRPr="007122AB">
        <w:rPr>
          <w:rFonts w:ascii="Times New Roman" w:hAnsi="Times New Roman"/>
          <w:color w:val="000000" w:themeColor="text1"/>
          <w:sz w:val="16"/>
          <w:szCs w:val="16"/>
        </w:rPr>
        <w:t xml:space="preserve">. Этот 12-цилиндровый V-образный дизель имел массу 650 кг, диаметр и ход поршня - 150 и 165 мм, соответственно. Опытный образец закончили постройкой только осенью 1934 г., дизель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Двухтактный дизель Н-4 сконструировала в ХАИ группа профессора Цветкова. Разработку проекта завершили в 1934 г. По своим расчетным характеристикам Н-4 получался одним из лучших. Дизель Н-5 создавался арестованными "врагами народа" в Особом КБ НКВД при заводе № 24 в Москве. В работе участвовали Б.С. Стечкин, Н.Р. </w:t>
      </w:r>
      <w:proofErr w:type="spellStart"/>
      <w:r w:rsidRPr="007122AB">
        <w:rPr>
          <w:rFonts w:ascii="Times New Roman" w:hAnsi="Times New Roman"/>
          <w:color w:val="000000" w:themeColor="text1"/>
          <w:sz w:val="16"/>
          <w:szCs w:val="16"/>
        </w:rPr>
        <w:t>Брилинг</w:t>
      </w:r>
      <w:proofErr w:type="spellEnd"/>
      <w:r w:rsidRPr="007122AB">
        <w:rPr>
          <w:rFonts w:ascii="Times New Roman" w:hAnsi="Times New Roman"/>
          <w:color w:val="000000" w:themeColor="text1"/>
          <w:sz w:val="16"/>
          <w:szCs w:val="16"/>
        </w:rPr>
        <w:t xml:space="preserve"> и А.А. Бессонов. О степени "враждебности" арестантов свидетельствовало другое название двигателя - ФЭД-8 ("Феликс Эдмундович Дзержинский - восьмой"). 24-цилиндровый Х-образный дизель имел смешанное клапанно-щелевое газораспределение. Был изготовлен опытный образец, проходивший стендовые испытания. После ликвидации Особого бюро доводка ФЭД-8 продолжалась в ЦИАМ вплоть до 1934 г., но положительных результатов добиться не удалось. Другим образцом технического творчества заключенных являлся исключительно оригинальный дизель Н-6 (МСК), также спроектированный в Особом КБ НКВД Стечкиным и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(отсюда МСК - "Мотор Стечкина-</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Двигатель имел необычное для звездообразной компоновки четное количество цилиндров - шесть, причем каждый из них обслуживался отдельным цилиндром шестицилиндрового поршневого компрессора (нагнетателя). В 1932 г. опытный образец МСК изготовили в мастерских ЦИАМ и подвергли стендовым испытаниям. Увы, и эта конструкция оказалась нежизнеспособной (9035).</w:t>
      </w:r>
    </w:p>
    <w:p w14:paraId="123982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5680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на самолете ТБ-1 смонтировали комплект из восьми укороченных балок Дер-13бис, сведенных в два "агрегата". Все это весило 149 кг. Испытания прошли удачно, но сочли, что столько бомбодержателей не нужно.</w:t>
      </w:r>
    </w:p>
    <w:p w14:paraId="68976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Кассеты Дер-9 позволяли нести внутри фюзеляжа бомбы только сравнительно небольшого калибра. Те, что покрупнее, подвешивались на двух балках Дер-13 под центропланом. Максимально снаружи можно было брать две бомбы по 250 кг; грузоподъемность бомбардировщика при этом использовалась не полностью. Поэтому в НИИ ВВС вели эксперименты с новыми вариантами наружной подвески.</w:t>
      </w:r>
    </w:p>
    <w:p w14:paraId="1471F3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сначала попытались добавить две балки Дер-15 (под 500-кг бомбы) и две Дер-5 для мелких боеприпасов. Затем опробовали вариант из двух Дер-15 и двух Дер-16 (для 100-кг бомб).</w:t>
      </w:r>
    </w:p>
    <w:p w14:paraId="729EF4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феврале 1932 г.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w:t>
      </w:r>
    </w:p>
    <w:p w14:paraId="57269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К середине августа 1932 г. успели модернизировать бомбовое вооружение на 75 машинах (12001).</w:t>
      </w:r>
    </w:p>
    <w:p w14:paraId="7F28B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F3D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ВОМИЗу-250 представили на войсковые испытания, но выяснилось, что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еще ни разу не сбрасывало ее с самолета. Поэтому войсковые испытания отложили, дав возможность ОТБ отладить конструкцию после опробования в воздухе. МАВ-2 испытывали в июле-октябре 1932 г. на Копейском озере, а </w:t>
      </w:r>
      <w:r w:rsidRPr="007122AB">
        <w:rPr>
          <w:rFonts w:ascii="Times New Roman" w:hAnsi="Times New Roman"/>
          <w:color w:val="000000" w:themeColor="text1"/>
          <w:sz w:val="16"/>
          <w:szCs w:val="16"/>
        </w:rPr>
        <w:lastRenderedPageBreak/>
        <w:t xml:space="preserve">затем в ноябре - в </w:t>
      </w:r>
      <w:proofErr w:type="spellStart"/>
      <w:r w:rsidRPr="007122AB">
        <w:rPr>
          <w:rFonts w:ascii="Times New Roman" w:hAnsi="Times New Roman"/>
          <w:color w:val="000000" w:themeColor="text1"/>
          <w:sz w:val="16"/>
          <w:szCs w:val="16"/>
        </w:rPr>
        <w:t>Копорском</w:t>
      </w:r>
      <w:proofErr w:type="spellEnd"/>
      <w:r w:rsidRPr="007122AB">
        <w:rPr>
          <w:rFonts w:ascii="Times New Roman" w:hAnsi="Times New Roman"/>
          <w:color w:val="000000" w:themeColor="text1"/>
          <w:sz w:val="16"/>
          <w:szCs w:val="16"/>
        </w:rPr>
        <w:t xml:space="preserve"> заливе.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3FC380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4A1C2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828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П.И.Б. был назначен членом Президиума ВСНХ СССР и начальником ВАО (373,79).</w:t>
      </w:r>
    </w:p>
    <w:p w14:paraId="6CAFC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49B2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C62EC9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1C4928"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июле-августе 1931 г. на Научном исследовательском артиллерийском полигоне (НИАП) проведена стрельба с целью подбора зарядов к Б-4 (15132).</w:t>
      </w:r>
    </w:p>
    <w:p w14:paraId="0A2F629E" w14:textId="77777777" w:rsidR="00EC6BCC" w:rsidRPr="007122AB" w:rsidRDefault="00EC6BCC" w:rsidP="007122AB">
      <w:pPr>
        <w:spacing w:after="0" w:line="240" w:lineRule="auto"/>
        <w:jc w:val="both"/>
        <w:rPr>
          <w:rFonts w:ascii="Times New Roman" w:hAnsi="Times New Roman"/>
          <w:color w:val="000000" w:themeColor="text1"/>
          <w:sz w:val="16"/>
          <w:szCs w:val="16"/>
        </w:rPr>
      </w:pPr>
    </w:p>
    <w:p w14:paraId="56E70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к концу испытаний Т-12 на полигон доставили Т-24 с новым корпусом. Всего изготовили 3 (4243,23).</w:t>
      </w:r>
    </w:p>
    <w:p w14:paraId="7915F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373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года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был испытан стрельбой на танке ТГ опытный образец пушки ТГ, изготовленный на заводе "Большевик". В 30-е годы при проектировании тяжелых и средних танков конструкторы не могли удержаться от соблазна поставить в танк 76-мм зенитную пушку обр. 1914/15 г. системы </w:t>
      </w:r>
      <w:proofErr w:type="spellStart"/>
      <w:r w:rsidRPr="007122AB">
        <w:rPr>
          <w:rFonts w:ascii="Times New Roman" w:hAnsi="Times New Roman"/>
          <w:color w:val="000000" w:themeColor="text1"/>
          <w:sz w:val="16"/>
          <w:szCs w:val="16"/>
        </w:rPr>
        <w:t>Лендера</w:t>
      </w:r>
      <w:proofErr w:type="spellEnd"/>
      <w:r w:rsidRPr="007122AB">
        <w:rPr>
          <w:rFonts w:ascii="Times New Roman" w:hAnsi="Times New Roman"/>
          <w:color w:val="000000" w:themeColor="text1"/>
          <w:sz w:val="16"/>
          <w:szCs w:val="16"/>
        </w:rPr>
        <w:t xml:space="preserve">. Качающаяся часть этой пушки отличалась от 76-мм пушки обр. 1902 года наличием вертикального клинового полуавтоматического затвора и, соответственно, большей скорострельностью. Первым пушку </w:t>
      </w:r>
      <w:proofErr w:type="spellStart"/>
      <w:r w:rsidRPr="007122AB">
        <w:rPr>
          <w:rFonts w:ascii="Times New Roman" w:hAnsi="Times New Roman"/>
          <w:color w:val="000000" w:themeColor="text1"/>
          <w:sz w:val="16"/>
          <w:szCs w:val="16"/>
        </w:rPr>
        <w:t>Лендера</w:t>
      </w:r>
      <w:proofErr w:type="spellEnd"/>
      <w:r w:rsidRPr="007122AB">
        <w:rPr>
          <w:rFonts w:ascii="Times New Roman" w:hAnsi="Times New Roman"/>
          <w:color w:val="000000" w:themeColor="text1"/>
          <w:sz w:val="16"/>
          <w:szCs w:val="16"/>
        </w:rPr>
        <w:t xml:space="preserve"> установил на танке ТГ немецкий конструктор Гроте. Модернизированная им пушка получила индекс ТГ. В целом испытания пушки ТГ прошли удачно, но танк был забракован (3861).</w:t>
      </w:r>
    </w:p>
    <w:p w14:paraId="12EBA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553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под председательством Тухачевского и с участием </w:t>
      </w:r>
      <w:proofErr w:type="spellStart"/>
      <w:r w:rsidRPr="007122AB">
        <w:rPr>
          <w:rFonts w:ascii="Times New Roman" w:hAnsi="Times New Roman"/>
          <w:color w:val="000000" w:themeColor="text1"/>
          <w:sz w:val="16"/>
          <w:szCs w:val="16"/>
        </w:rPr>
        <w:t>И.Т.Смилги</w:t>
      </w:r>
      <w:proofErr w:type="spellEnd"/>
      <w:r w:rsidRPr="007122AB">
        <w:rPr>
          <w:rFonts w:ascii="Times New Roman" w:hAnsi="Times New Roman"/>
          <w:color w:val="000000" w:themeColor="text1"/>
          <w:sz w:val="16"/>
          <w:szCs w:val="16"/>
        </w:rPr>
        <w:t xml:space="preserve"> и Мартиновича, представлявших ВССНХ, а также </w:t>
      </w:r>
      <w:proofErr w:type="spellStart"/>
      <w:r w:rsidRPr="007122AB">
        <w:rPr>
          <w:rFonts w:ascii="Times New Roman" w:hAnsi="Times New Roman"/>
          <w:color w:val="000000" w:themeColor="text1"/>
          <w:sz w:val="16"/>
          <w:szCs w:val="16"/>
        </w:rPr>
        <w:t>А.И.Егорова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И.А.Халепского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Лд.Будняка</w:t>
      </w:r>
      <w:proofErr w:type="spellEnd"/>
      <w:r w:rsidRPr="007122AB">
        <w:rPr>
          <w:rFonts w:ascii="Times New Roman" w:hAnsi="Times New Roman"/>
          <w:color w:val="000000" w:themeColor="text1"/>
          <w:sz w:val="16"/>
          <w:szCs w:val="16"/>
        </w:rPr>
        <w:t xml:space="preserve">, представлявших НКВМ, состоялось заседание по производству танков, на котором были установлены показатели производства на 1931 и 1932. Идея Тухачевского по использованию новых мощностей авто и тракторной промышленности одержала верх. </w:t>
      </w:r>
      <w:proofErr w:type="spellStart"/>
      <w:r w:rsidRPr="007122AB">
        <w:rPr>
          <w:rFonts w:ascii="Times New Roman" w:hAnsi="Times New Roman"/>
          <w:color w:val="000000" w:themeColor="text1"/>
          <w:sz w:val="16"/>
          <w:szCs w:val="16"/>
        </w:rPr>
        <w:t>Исхоодя</w:t>
      </w:r>
      <w:proofErr w:type="spellEnd"/>
      <w:r w:rsidRPr="007122AB">
        <w:rPr>
          <w:rFonts w:ascii="Times New Roman" w:hAnsi="Times New Roman"/>
          <w:color w:val="000000" w:themeColor="text1"/>
          <w:sz w:val="16"/>
          <w:szCs w:val="16"/>
        </w:rPr>
        <w:t xml:space="preserve"> из мощности ГАЗ в 140000 автомашин в военное время можно было выпустить 28000-35000 танкеток, а на СТЗ - до 12000 легких танков Т-26 (9089,154).</w:t>
      </w:r>
    </w:p>
    <w:p w14:paraId="60E4B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10510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КБ № 3 ВОАО под руководством </w:t>
      </w:r>
      <w:proofErr w:type="spellStart"/>
      <w:r w:rsidRPr="007122AB">
        <w:rPr>
          <w:rFonts w:ascii="Times New Roman" w:hAnsi="Times New Roman"/>
          <w:color w:val="000000" w:themeColor="text1"/>
          <w:sz w:val="16"/>
          <w:szCs w:val="16"/>
        </w:rPr>
        <w:t>С.А.Гинзбурга</w:t>
      </w:r>
      <w:proofErr w:type="spellEnd"/>
      <w:r w:rsidRPr="007122AB">
        <w:rPr>
          <w:rFonts w:ascii="Times New Roman" w:hAnsi="Times New Roman"/>
          <w:color w:val="000000" w:themeColor="text1"/>
          <w:sz w:val="16"/>
          <w:szCs w:val="16"/>
        </w:rPr>
        <w:t xml:space="preserve"> был разработан танк Т-28 (прототип 2) (9527,134).</w:t>
      </w:r>
    </w:p>
    <w:p w14:paraId="7A4F09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312D0B"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КБ под руководством Гинзбурга представило проект танка под индексом Т-28. В пояснительной записке говорилось, что в основу проекта положены следующие ТТТ:</w:t>
      </w:r>
    </w:p>
    <w:p w14:paraId="0A99EAD2"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Спроектировать танк среднего веса — 16 т.</w:t>
      </w:r>
    </w:p>
    <w:p w14:paraId="4DD23C60"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Положить в основу конструкции 16-тонного танка опыт отечественного танкостроения.</w:t>
      </w:r>
    </w:p>
    <w:p w14:paraId="156310A9"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 основу общего расположения агрегатов положить конструкцию 16-тонного танка «Виккерс».</w:t>
      </w:r>
    </w:p>
    <w:p w14:paraId="1482D872"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Исходя из расчётов, в танке предполагалось установить мотор М-5 в 400 л. с. В ходе работы над опытным образцом в конструкцию танка вносили изменения: вместо двигателя М5 установили более мощный М17 в 500 л. с., вместо 45-мм орудия (из-за его отсутствия) установили 37-мм пушку ПС-2, машину изготовили из обычной (небронированной) стали (15132).</w:t>
      </w:r>
    </w:p>
    <w:p w14:paraId="7AB657F7" w14:textId="77777777" w:rsidR="00EC6BCC" w:rsidRPr="007122AB" w:rsidRDefault="00EC6BCC" w:rsidP="007122AB">
      <w:pPr>
        <w:spacing w:after="0" w:line="240" w:lineRule="auto"/>
        <w:jc w:val="both"/>
        <w:rPr>
          <w:rFonts w:ascii="Times New Roman" w:hAnsi="Times New Roman"/>
          <w:color w:val="000000" w:themeColor="text1"/>
          <w:sz w:val="16"/>
          <w:szCs w:val="16"/>
        </w:rPr>
      </w:pPr>
    </w:p>
    <w:p w14:paraId="405994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оба проекта (ТТКБ ВОАО Гинзбурга и ВТА Дзержинского) в целом были готовы. Про</w:t>
      </w:r>
      <w:r w:rsidRPr="007122AB">
        <w:rPr>
          <w:rFonts w:ascii="Times New Roman" w:hAnsi="Times New Roman"/>
          <w:color w:val="000000" w:themeColor="text1"/>
          <w:sz w:val="16"/>
          <w:szCs w:val="16"/>
        </w:rPr>
        <w:softHyphen/>
        <w:t>ект ВОАО выглядел следующим образом:</w:t>
      </w:r>
    </w:p>
    <w:p w14:paraId="47A93A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«КРАТКАЯ ПОЯСНИТЕЛЬНАЯ ЗАПИСКАК ПРЕДВАРИТЕЛЬНОМУ ПРОЭКТУ 16-ти тонного ТАНКА Т-28.</w:t>
      </w:r>
    </w:p>
    <w:p w14:paraId="4230DE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Общие основания</w:t>
      </w:r>
    </w:p>
    <w:p w14:paraId="67CAF6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основу </w:t>
      </w:r>
      <w:proofErr w:type="spellStart"/>
      <w:r w:rsidRPr="007122AB">
        <w:rPr>
          <w:rFonts w:ascii="Times New Roman" w:hAnsi="Times New Roman"/>
          <w:color w:val="000000" w:themeColor="text1"/>
          <w:sz w:val="16"/>
          <w:szCs w:val="16"/>
        </w:rPr>
        <w:t>проэкта</w:t>
      </w:r>
      <w:proofErr w:type="spellEnd"/>
      <w:r w:rsidRPr="007122AB">
        <w:rPr>
          <w:rFonts w:ascii="Times New Roman" w:hAnsi="Times New Roman"/>
          <w:color w:val="000000" w:themeColor="text1"/>
          <w:sz w:val="16"/>
          <w:szCs w:val="16"/>
        </w:rPr>
        <w:t xml:space="preserve"> положены следующие тактико-техни</w:t>
      </w:r>
      <w:r w:rsidRPr="007122AB">
        <w:rPr>
          <w:rFonts w:ascii="Times New Roman" w:hAnsi="Times New Roman"/>
          <w:color w:val="000000" w:themeColor="text1"/>
          <w:sz w:val="16"/>
          <w:szCs w:val="16"/>
        </w:rPr>
        <w:softHyphen/>
        <w:t>ческие требования:</w:t>
      </w:r>
    </w:p>
    <w:p w14:paraId="705697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Спроэктировать</w:t>
      </w:r>
      <w:proofErr w:type="spellEnd"/>
      <w:r w:rsidRPr="007122AB">
        <w:rPr>
          <w:rFonts w:ascii="Times New Roman" w:hAnsi="Times New Roman"/>
          <w:color w:val="000000" w:themeColor="text1"/>
          <w:sz w:val="16"/>
          <w:szCs w:val="16"/>
        </w:rPr>
        <w:t xml:space="preserve"> танк среднего веса/16000 тонн/с боль</w:t>
      </w:r>
      <w:r w:rsidRPr="007122AB">
        <w:rPr>
          <w:rFonts w:ascii="Times New Roman" w:hAnsi="Times New Roman"/>
          <w:color w:val="000000" w:themeColor="text1"/>
          <w:sz w:val="16"/>
          <w:szCs w:val="16"/>
        </w:rPr>
        <w:softHyphen/>
        <w:t>шим радиусом действия для механизированных соединений.</w:t>
      </w:r>
    </w:p>
    <w:p w14:paraId="45057C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Положить в основу конструкции «16-ти тонный танк» Виккерса опыт танков в ТЕКО и отечественный опыт танкостроения.</w:t>
      </w:r>
    </w:p>
    <w:p w14:paraId="7E926E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Общие данные к </w:t>
      </w:r>
      <w:proofErr w:type="spellStart"/>
      <w:r w:rsidRPr="007122AB">
        <w:rPr>
          <w:rFonts w:ascii="Times New Roman" w:hAnsi="Times New Roman"/>
          <w:color w:val="000000" w:themeColor="text1"/>
          <w:sz w:val="16"/>
          <w:szCs w:val="16"/>
        </w:rPr>
        <w:t>проэкту</w:t>
      </w:r>
      <w:proofErr w:type="spellEnd"/>
      <w:r w:rsidRPr="007122AB">
        <w:rPr>
          <w:rFonts w:ascii="Times New Roman" w:hAnsi="Times New Roman"/>
          <w:color w:val="000000" w:themeColor="text1"/>
          <w:sz w:val="16"/>
          <w:szCs w:val="16"/>
        </w:rPr>
        <w:t>.</w:t>
      </w:r>
    </w:p>
    <w:p w14:paraId="529ECD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Общая </w:t>
      </w:r>
      <w:proofErr w:type="spellStart"/>
      <w:r w:rsidRPr="007122AB">
        <w:rPr>
          <w:rFonts w:ascii="Times New Roman" w:hAnsi="Times New Roman"/>
          <w:color w:val="000000" w:themeColor="text1"/>
          <w:sz w:val="16"/>
          <w:szCs w:val="16"/>
        </w:rPr>
        <w:t>компановка</w:t>
      </w:r>
      <w:proofErr w:type="spellEnd"/>
      <w:r w:rsidRPr="007122AB">
        <w:rPr>
          <w:rFonts w:ascii="Times New Roman" w:hAnsi="Times New Roman"/>
          <w:color w:val="000000" w:themeColor="text1"/>
          <w:sz w:val="16"/>
          <w:szCs w:val="16"/>
        </w:rPr>
        <w:t xml:space="preserve"> танка.</w:t>
      </w:r>
    </w:p>
    <w:p w14:paraId="31472A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основу общего расположения аггрегатов, вооружения и </w:t>
      </w:r>
      <w:proofErr w:type="spellStart"/>
      <w:r w:rsidRPr="007122AB">
        <w:rPr>
          <w:rFonts w:ascii="Times New Roman" w:hAnsi="Times New Roman"/>
          <w:color w:val="000000" w:themeColor="text1"/>
          <w:sz w:val="16"/>
          <w:szCs w:val="16"/>
        </w:rPr>
        <w:t>об»емов</w:t>
      </w:r>
      <w:proofErr w:type="spellEnd"/>
      <w:r w:rsidRPr="007122AB">
        <w:rPr>
          <w:rFonts w:ascii="Times New Roman" w:hAnsi="Times New Roman"/>
          <w:color w:val="000000" w:themeColor="text1"/>
          <w:sz w:val="16"/>
          <w:szCs w:val="16"/>
        </w:rPr>
        <w:t xml:space="preserve"> положена конструкция «16-ти тонного танка Вик</w:t>
      </w:r>
      <w:r w:rsidRPr="007122AB">
        <w:rPr>
          <w:rFonts w:ascii="Times New Roman" w:hAnsi="Times New Roman"/>
          <w:color w:val="000000" w:themeColor="text1"/>
          <w:sz w:val="16"/>
          <w:szCs w:val="16"/>
        </w:rPr>
        <w:softHyphen/>
        <w:t>керса».</w:t>
      </w:r>
    </w:p>
    <w:p w14:paraId="122F45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носовой части танка находится место водителя, по сторонам от водителя и несколько сзади расположены две пу</w:t>
      </w:r>
      <w:r w:rsidRPr="007122AB">
        <w:rPr>
          <w:rFonts w:ascii="Times New Roman" w:hAnsi="Times New Roman"/>
          <w:color w:val="000000" w:themeColor="text1"/>
          <w:sz w:val="16"/>
          <w:szCs w:val="16"/>
        </w:rPr>
        <w:softHyphen/>
        <w:t>леметные башни; за пулеметными башнями расположена большая башня.</w:t>
      </w:r>
    </w:p>
    <w:p w14:paraId="3A94FA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Боевое помещение отделяется от моторного перегород</w:t>
      </w:r>
      <w:r w:rsidRPr="007122AB">
        <w:rPr>
          <w:rFonts w:ascii="Times New Roman" w:hAnsi="Times New Roman"/>
          <w:color w:val="000000" w:themeColor="text1"/>
          <w:sz w:val="16"/>
          <w:szCs w:val="16"/>
        </w:rPr>
        <w:softHyphen/>
        <w:t>кой, в которой имеется дверка для доступа к мотору изнут</w:t>
      </w:r>
      <w:r w:rsidRPr="007122AB">
        <w:rPr>
          <w:rFonts w:ascii="Times New Roman" w:hAnsi="Times New Roman"/>
          <w:color w:val="000000" w:themeColor="text1"/>
          <w:sz w:val="16"/>
          <w:szCs w:val="16"/>
        </w:rPr>
        <w:softHyphen/>
        <w:t>ри танка.</w:t>
      </w:r>
    </w:p>
    <w:p w14:paraId="004C69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кормовой части танка, отделенной перегородкой от моторного помещения располагается коробка скоростей, бор</w:t>
      </w:r>
      <w:r w:rsidRPr="007122AB">
        <w:rPr>
          <w:rFonts w:ascii="Times New Roman" w:hAnsi="Times New Roman"/>
          <w:color w:val="000000" w:themeColor="text1"/>
          <w:sz w:val="16"/>
          <w:szCs w:val="16"/>
        </w:rPr>
        <w:softHyphen/>
        <w:t>товые фрикционы и бортовая передача, по обеим сторонам коробки скоростей по бортам располагаются бензиновые ба</w:t>
      </w:r>
      <w:r w:rsidRPr="007122AB">
        <w:rPr>
          <w:rFonts w:ascii="Times New Roman" w:hAnsi="Times New Roman"/>
          <w:color w:val="000000" w:themeColor="text1"/>
          <w:sz w:val="16"/>
          <w:szCs w:val="16"/>
        </w:rPr>
        <w:softHyphen/>
        <w:t>ки, изолированные броневыми перегородками.</w:t>
      </w:r>
    </w:p>
    <w:p w14:paraId="0E81D9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Моторная установка</w:t>
      </w:r>
    </w:p>
    <w:p w14:paraId="268482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Исходя из данных тягового расчета в танке устанавли</w:t>
      </w:r>
      <w:r w:rsidRPr="007122AB">
        <w:rPr>
          <w:rFonts w:ascii="Times New Roman" w:hAnsi="Times New Roman"/>
          <w:color w:val="000000" w:themeColor="text1"/>
          <w:sz w:val="16"/>
          <w:szCs w:val="16"/>
        </w:rPr>
        <w:softHyphen/>
        <w:t>вается мотор типа М5-400 с теми же доделками, что и для танка Б-Т.</w:t>
      </w:r>
    </w:p>
    <w:p w14:paraId="448842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Расположение мотора и конструкция водяного охлажде</w:t>
      </w:r>
      <w:r w:rsidRPr="007122AB">
        <w:rPr>
          <w:rFonts w:ascii="Times New Roman" w:hAnsi="Times New Roman"/>
          <w:color w:val="000000" w:themeColor="text1"/>
          <w:sz w:val="16"/>
          <w:szCs w:val="16"/>
        </w:rPr>
        <w:softHyphen/>
        <w:t>ния по типу Кристи.</w:t>
      </w:r>
    </w:p>
    <w:p w14:paraId="3A5FF2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Радиаторы несколько раздвинуты с целью получения дос</w:t>
      </w:r>
      <w:r w:rsidRPr="007122AB">
        <w:rPr>
          <w:rFonts w:ascii="Times New Roman" w:hAnsi="Times New Roman"/>
          <w:color w:val="000000" w:themeColor="text1"/>
          <w:sz w:val="16"/>
          <w:szCs w:val="16"/>
        </w:rPr>
        <w:softHyphen/>
        <w:t>тупа к мотору изнутри.</w:t>
      </w:r>
    </w:p>
    <w:p w14:paraId="0DE8A6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Направление потока охлаждающего воздуха тоже по типу «Кристи», а именно — воздух засасывается вентилятором через I радиаторы сверху и выталкивается назад через корму, омывая по дороге трансмиссию, выхлопные патрубки и глушитель. -</w:t>
      </w:r>
    </w:p>
    <w:p w14:paraId="3153B3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вентилятора и главного сцепления мотора типа «Кристи», считая принятую систему водяного охлажде</w:t>
      </w:r>
      <w:r w:rsidRPr="007122AB">
        <w:rPr>
          <w:rFonts w:ascii="Times New Roman" w:hAnsi="Times New Roman"/>
          <w:color w:val="000000" w:themeColor="text1"/>
          <w:sz w:val="16"/>
          <w:szCs w:val="16"/>
        </w:rPr>
        <w:softHyphen/>
        <w:t>ния наиболее надежной в процессе дальнейшей разработки и де</w:t>
      </w:r>
      <w:r w:rsidRPr="007122AB">
        <w:rPr>
          <w:rFonts w:ascii="Times New Roman" w:hAnsi="Times New Roman"/>
          <w:color w:val="000000" w:themeColor="text1"/>
          <w:sz w:val="16"/>
          <w:szCs w:val="16"/>
        </w:rPr>
        <w:softHyphen/>
        <w:t xml:space="preserve">талировки </w:t>
      </w:r>
      <w:proofErr w:type="spellStart"/>
      <w:r w:rsidRPr="007122AB">
        <w:rPr>
          <w:rFonts w:ascii="Times New Roman" w:hAnsi="Times New Roman"/>
          <w:color w:val="000000" w:themeColor="text1"/>
          <w:sz w:val="16"/>
          <w:szCs w:val="16"/>
        </w:rPr>
        <w:t>проэкта</w:t>
      </w:r>
      <w:proofErr w:type="spellEnd"/>
      <w:r w:rsidRPr="007122AB">
        <w:rPr>
          <w:rFonts w:ascii="Times New Roman" w:hAnsi="Times New Roman"/>
          <w:color w:val="000000" w:themeColor="text1"/>
          <w:sz w:val="16"/>
          <w:szCs w:val="16"/>
        </w:rPr>
        <w:t xml:space="preserve"> будет спроектирована и испытана также система с более мощным вентилятором «СИРОККО».</w:t>
      </w:r>
    </w:p>
    <w:p w14:paraId="732B7B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Трансмиссия</w:t>
      </w:r>
    </w:p>
    <w:p w14:paraId="6625DC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продолжении оси коленчатого вала сзади мотора уста</w:t>
      </w:r>
      <w:r w:rsidRPr="007122AB">
        <w:rPr>
          <w:rFonts w:ascii="Times New Roman" w:hAnsi="Times New Roman"/>
          <w:color w:val="000000" w:themeColor="text1"/>
          <w:sz w:val="16"/>
          <w:szCs w:val="16"/>
        </w:rPr>
        <w:softHyphen/>
        <w:t>новлена коробка скоростей нормального шестеренчатого типа с валами параллельно продольной оси танка. Общая схема трансмиссии проделана по схеме «16-ти тонного танка Вик-</w:t>
      </w:r>
      <w:proofErr w:type="spellStart"/>
      <w:r w:rsidRPr="007122AB">
        <w:rPr>
          <w:rFonts w:ascii="Times New Roman" w:hAnsi="Times New Roman"/>
          <w:color w:val="000000" w:themeColor="text1"/>
          <w:sz w:val="16"/>
          <w:szCs w:val="16"/>
        </w:rPr>
        <w:t>керса</w:t>
      </w:r>
      <w:proofErr w:type="spellEnd"/>
      <w:r w:rsidRPr="007122AB">
        <w:rPr>
          <w:rFonts w:ascii="Times New Roman" w:hAnsi="Times New Roman"/>
          <w:color w:val="000000" w:themeColor="text1"/>
          <w:sz w:val="16"/>
          <w:szCs w:val="16"/>
        </w:rPr>
        <w:t>» и Т-26. Бортовые фрикционы конструкции Кристи...</w:t>
      </w:r>
    </w:p>
    <w:p w14:paraId="5585A5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Движитель</w:t>
      </w:r>
    </w:p>
    <w:p w14:paraId="031F75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Спроэктирован</w:t>
      </w:r>
      <w:proofErr w:type="spellEnd"/>
      <w:r w:rsidRPr="007122AB">
        <w:rPr>
          <w:rFonts w:ascii="Times New Roman" w:hAnsi="Times New Roman"/>
          <w:color w:val="000000" w:themeColor="text1"/>
          <w:sz w:val="16"/>
          <w:szCs w:val="16"/>
        </w:rPr>
        <w:t xml:space="preserve"> по общей </w:t>
      </w:r>
      <w:proofErr w:type="spellStart"/>
      <w:r w:rsidRPr="007122AB">
        <w:rPr>
          <w:rFonts w:ascii="Times New Roman" w:hAnsi="Times New Roman"/>
          <w:color w:val="000000" w:themeColor="text1"/>
          <w:sz w:val="16"/>
          <w:szCs w:val="16"/>
        </w:rPr>
        <w:t>компановке</w:t>
      </w:r>
      <w:proofErr w:type="spellEnd"/>
      <w:r w:rsidRPr="007122AB">
        <w:rPr>
          <w:rFonts w:ascii="Times New Roman" w:hAnsi="Times New Roman"/>
          <w:color w:val="000000" w:themeColor="text1"/>
          <w:sz w:val="16"/>
          <w:szCs w:val="16"/>
        </w:rPr>
        <w:t xml:space="preserve"> по типу «16-ти тонного танка Виккерса», т.е. принято ведущее колесо зад</w:t>
      </w:r>
      <w:r w:rsidRPr="007122AB">
        <w:rPr>
          <w:rFonts w:ascii="Times New Roman" w:hAnsi="Times New Roman"/>
          <w:color w:val="000000" w:themeColor="text1"/>
          <w:sz w:val="16"/>
          <w:szCs w:val="16"/>
        </w:rPr>
        <w:softHyphen/>
        <w:t>ним, подвеска на свечах в гусеничной раме (коробке) и жест</w:t>
      </w:r>
      <w:r w:rsidRPr="007122AB">
        <w:rPr>
          <w:rFonts w:ascii="Times New Roman" w:hAnsi="Times New Roman"/>
          <w:color w:val="000000" w:themeColor="text1"/>
          <w:sz w:val="16"/>
          <w:szCs w:val="16"/>
        </w:rPr>
        <w:softHyphen/>
        <w:t>кая верхняя подвеска на катках.</w:t>
      </w:r>
    </w:p>
    <w:p w14:paraId="68E910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гусеничная цепь типа Т-26 с шириной доведенной от 300 мм до 380 мм./подобно танкам в ТЕКО/, с целью понижения удельного давления до 0,4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на кв. см. Шаг звена принят в 130 мм. Высота направляющего гребня </w:t>
      </w:r>
      <w:proofErr w:type="spellStart"/>
      <w:r w:rsidRPr="007122AB">
        <w:rPr>
          <w:rFonts w:ascii="Times New Roman" w:hAnsi="Times New Roman"/>
          <w:color w:val="000000" w:themeColor="text1"/>
          <w:sz w:val="16"/>
          <w:szCs w:val="16"/>
        </w:rPr>
        <w:t>спроэктирована</w:t>
      </w:r>
      <w:proofErr w:type="spellEnd"/>
      <w:r w:rsidRPr="007122AB">
        <w:rPr>
          <w:rFonts w:ascii="Times New Roman" w:hAnsi="Times New Roman"/>
          <w:color w:val="000000" w:themeColor="text1"/>
          <w:sz w:val="16"/>
          <w:szCs w:val="16"/>
        </w:rPr>
        <w:t xml:space="preserve"> в 80 мм. Способ производственного выполнения тот же, что ц Т-26.</w:t>
      </w:r>
    </w:p>
    <w:p w14:paraId="5024E4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ведущие колеса типа Т-26, но с усиленными зубчатыми венцами.</w:t>
      </w:r>
    </w:p>
    <w:p w14:paraId="326B4F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в/ленивец/холостое колесо/</w:t>
      </w:r>
      <w:proofErr w:type="spellStart"/>
      <w:r w:rsidRPr="007122AB">
        <w:rPr>
          <w:rFonts w:ascii="Times New Roman" w:hAnsi="Times New Roman"/>
          <w:color w:val="000000" w:themeColor="text1"/>
          <w:sz w:val="16"/>
          <w:szCs w:val="16"/>
        </w:rPr>
        <w:t>подрезиненный</w:t>
      </w:r>
      <w:proofErr w:type="spellEnd"/>
      <w:r w:rsidRPr="007122AB">
        <w:rPr>
          <w:rFonts w:ascii="Times New Roman" w:hAnsi="Times New Roman"/>
          <w:color w:val="000000" w:themeColor="text1"/>
          <w:sz w:val="16"/>
          <w:szCs w:val="16"/>
        </w:rPr>
        <w:t xml:space="preserve"> со </w:t>
      </w:r>
      <w:proofErr w:type="spellStart"/>
      <w:r w:rsidRPr="007122AB">
        <w:rPr>
          <w:rFonts w:ascii="Times New Roman" w:hAnsi="Times New Roman"/>
          <w:color w:val="000000" w:themeColor="text1"/>
          <w:sz w:val="16"/>
          <w:szCs w:val="16"/>
        </w:rPr>
        <w:t>с»емными</w:t>
      </w:r>
      <w:proofErr w:type="spellEnd"/>
      <w:r w:rsidRPr="007122AB">
        <w:rPr>
          <w:rFonts w:ascii="Times New Roman" w:hAnsi="Times New Roman"/>
          <w:color w:val="000000" w:themeColor="text1"/>
          <w:sz w:val="16"/>
          <w:szCs w:val="16"/>
        </w:rPr>
        <w:t xml:space="preserve"> бандажами и </w:t>
      </w:r>
      <w:proofErr w:type="spellStart"/>
      <w:r w:rsidRPr="007122AB">
        <w:rPr>
          <w:rFonts w:ascii="Times New Roman" w:hAnsi="Times New Roman"/>
          <w:color w:val="000000" w:themeColor="text1"/>
          <w:sz w:val="16"/>
          <w:szCs w:val="16"/>
        </w:rPr>
        <w:t>аммортизаторами</w:t>
      </w:r>
      <w:proofErr w:type="spellEnd"/>
      <w:r w:rsidRPr="007122AB">
        <w:rPr>
          <w:rFonts w:ascii="Times New Roman" w:hAnsi="Times New Roman"/>
          <w:color w:val="000000" w:themeColor="text1"/>
          <w:sz w:val="16"/>
          <w:szCs w:val="16"/>
        </w:rPr>
        <w:t xml:space="preserve"> натяжения простого ком</w:t>
      </w:r>
      <w:r w:rsidRPr="007122AB">
        <w:rPr>
          <w:rFonts w:ascii="Times New Roman" w:hAnsi="Times New Roman"/>
          <w:color w:val="000000" w:themeColor="text1"/>
          <w:sz w:val="16"/>
          <w:szCs w:val="16"/>
        </w:rPr>
        <w:softHyphen/>
        <w:t xml:space="preserve">пактного типа на кривошипе: </w:t>
      </w:r>
      <w:proofErr w:type="spellStart"/>
      <w:r w:rsidRPr="007122AB">
        <w:rPr>
          <w:rFonts w:ascii="Times New Roman" w:hAnsi="Times New Roman"/>
          <w:color w:val="000000" w:themeColor="text1"/>
          <w:sz w:val="16"/>
          <w:szCs w:val="16"/>
        </w:rPr>
        <w:t>Подрезинивание</w:t>
      </w:r>
      <w:proofErr w:type="spellEnd"/>
      <w:r w:rsidRPr="007122AB">
        <w:rPr>
          <w:rFonts w:ascii="Times New Roman" w:hAnsi="Times New Roman"/>
          <w:color w:val="000000" w:themeColor="text1"/>
          <w:sz w:val="16"/>
          <w:szCs w:val="16"/>
        </w:rPr>
        <w:t xml:space="preserve"> ленивца необ</w:t>
      </w:r>
      <w:r w:rsidRPr="007122AB">
        <w:rPr>
          <w:rFonts w:ascii="Times New Roman" w:hAnsi="Times New Roman"/>
          <w:color w:val="000000" w:themeColor="text1"/>
          <w:sz w:val="16"/>
          <w:szCs w:val="16"/>
        </w:rPr>
        <w:softHyphen/>
        <w:t>ходимо вследствие большой скорости движения и значитель</w:t>
      </w:r>
      <w:r w:rsidRPr="007122AB">
        <w:rPr>
          <w:rFonts w:ascii="Times New Roman" w:hAnsi="Times New Roman"/>
          <w:color w:val="000000" w:themeColor="text1"/>
          <w:sz w:val="16"/>
          <w:szCs w:val="16"/>
        </w:rPr>
        <w:softHyphen/>
        <w:t>ного веса гусениц танка.</w:t>
      </w:r>
    </w:p>
    <w:p w14:paraId="59E3A9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верхняя подвеска с жесткими </w:t>
      </w:r>
      <w:proofErr w:type="spellStart"/>
      <w:r w:rsidRPr="007122AB">
        <w:rPr>
          <w:rFonts w:ascii="Times New Roman" w:hAnsi="Times New Roman"/>
          <w:color w:val="000000" w:themeColor="text1"/>
          <w:sz w:val="16"/>
          <w:szCs w:val="16"/>
        </w:rPr>
        <w:t>подрезиненными</w:t>
      </w:r>
      <w:proofErr w:type="spellEnd"/>
      <w:r w:rsidRPr="007122AB">
        <w:rPr>
          <w:rFonts w:ascii="Times New Roman" w:hAnsi="Times New Roman"/>
          <w:color w:val="000000" w:themeColor="text1"/>
          <w:sz w:val="16"/>
          <w:szCs w:val="16"/>
        </w:rPr>
        <w:t xml:space="preserve"> катками укреплена кронштейнами на бортах корпуса. Подвеска сдела</w:t>
      </w:r>
      <w:r w:rsidRPr="007122AB">
        <w:rPr>
          <w:rFonts w:ascii="Times New Roman" w:hAnsi="Times New Roman"/>
          <w:color w:val="000000" w:themeColor="text1"/>
          <w:sz w:val="16"/>
          <w:szCs w:val="16"/>
        </w:rPr>
        <w:softHyphen/>
        <w:t xml:space="preserve">на по типу Т-26 и 16-ти </w:t>
      </w:r>
      <w:proofErr w:type="spellStart"/>
      <w:r w:rsidRPr="007122AB">
        <w:rPr>
          <w:rFonts w:ascii="Times New Roman" w:hAnsi="Times New Roman"/>
          <w:color w:val="000000" w:themeColor="text1"/>
          <w:sz w:val="16"/>
          <w:szCs w:val="16"/>
        </w:rPr>
        <w:t>тооного</w:t>
      </w:r>
      <w:proofErr w:type="spellEnd"/>
      <w:r w:rsidRPr="007122AB">
        <w:rPr>
          <w:rFonts w:ascii="Times New Roman" w:hAnsi="Times New Roman"/>
          <w:color w:val="000000" w:themeColor="text1"/>
          <w:sz w:val="16"/>
          <w:szCs w:val="16"/>
        </w:rPr>
        <w:t xml:space="preserve"> танка Виккерса.</w:t>
      </w:r>
    </w:p>
    <w:p w14:paraId="0DEF3E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нижняя подвеска — </w:t>
      </w:r>
      <w:proofErr w:type="spellStart"/>
      <w:r w:rsidRPr="007122AB">
        <w:rPr>
          <w:rFonts w:ascii="Times New Roman" w:hAnsi="Times New Roman"/>
          <w:color w:val="000000" w:themeColor="text1"/>
          <w:sz w:val="16"/>
          <w:szCs w:val="16"/>
        </w:rPr>
        <w:t>спроэктирована</w:t>
      </w:r>
      <w:proofErr w:type="spellEnd"/>
      <w:r w:rsidRPr="007122AB">
        <w:rPr>
          <w:rFonts w:ascii="Times New Roman" w:hAnsi="Times New Roman"/>
          <w:color w:val="000000" w:themeColor="text1"/>
          <w:sz w:val="16"/>
          <w:szCs w:val="16"/>
        </w:rPr>
        <w:t xml:space="preserve"> в основном по типу «Танка КР в ТЕКО». На каждой стороне состоит из несколь</w:t>
      </w:r>
      <w:r w:rsidRPr="007122AB">
        <w:rPr>
          <w:rFonts w:ascii="Times New Roman" w:hAnsi="Times New Roman"/>
          <w:color w:val="000000" w:themeColor="text1"/>
          <w:sz w:val="16"/>
          <w:szCs w:val="16"/>
        </w:rPr>
        <w:softHyphen/>
        <w:t>ких деталей: Гусеничной рамы /коробки/, приклепанной к бор</w:t>
      </w:r>
      <w:r w:rsidRPr="007122AB">
        <w:rPr>
          <w:rFonts w:ascii="Times New Roman" w:hAnsi="Times New Roman"/>
          <w:color w:val="000000" w:themeColor="text1"/>
          <w:sz w:val="16"/>
          <w:szCs w:val="16"/>
        </w:rPr>
        <w:softHyphen/>
        <w:t xml:space="preserve">товой броне корпуса, со </w:t>
      </w:r>
      <w:proofErr w:type="spellStart"/>
      <w:r w:rsidRPr="007122AB">
        <w:rPr>
          <w:rFonts w:ascii="Times New Roman" w:hAnsi="Times New Roman"/>
          <w:color w:val="000000" w:themeColor="text1"/>
          <w:sz w:val="16"/>
          <w:szCs w:val="16"/>
        </w:rPr>
        <w:t>с»емной</w:t>
      </w:r>
      <w:proofErr w:type="spellEnd"/>
      <w:r w:rsidRPr="007122AB">
        <w:rPr>
          <w:rFonts w:ascii="Times New Roman" w:hAnsi="Times New Roman"/>
          <w:color w:val="000000" w:themeColor="text1"/>
          <w:sz w:val="16"/>
          <w:szCs w:val="16"/>
        </w:rPr>
        <w:t xml:space="preserve"> стенкой/открывается в виде трех дверец/. Внутри этой коробки монтируется вся ниж</w:t>
      </w:r>
      <w:r w:rsidRPr="007122AB">
        <w:rPr>
          <w:rFonts w:ascii="Times New Roman" w:hAnsi="Times New Roman"/>
          <w:color w:val="000000" w:themeColor="text1"/>
          <w:sz w:val="16"/>
          <w:szCs w:val="16"/>
        </w:rPr>
        <w:softHyphen/>
        <w:t xml:space="preserve">няя подвеска и ящик для запчастей и инструмента </w:t>
      </w:r>
      <w:proofErr w:type="spellStart"/>
      <w:r w:rsidRPr="007122AB">
        <w:rPr>
          <w:rFonts w:ascii="Times New Roman" w:hAnsi="Times New Roman"/>
          <w:color w:val="000000" w:themeColor="text1"/>
          <w:sz w:val="16"/>
          <w:szCs w:val="16"/>
        </w:rPr>
        <w:t>об»емом</w:t>
      </w:r>
      <w:proofErr w:type="spellEnd"/>
      <w:r w:rsidRPr="007122AB">
        <w:rPr>
          <w:rFonts w:ascii="Times New Roman" w:hAnsi="Times New Roman"/>
          <w:color w:val="000000" w:themeColor="text1"/>
          <w:sz w:val="16"/>
          <w:szCs w:val="16"/>
        </w:rPr>
        <w:t xml:space="preserve"> в 1/8 куб метра /на обе стороны в 1/4 куб. метра/. После уста</w:t>
      </w:r>
      <w:r w:rsidRPr="007122AB">
        <w:rPr>
          <w:rFonts w:ascii="Times New Roman" w:hAnsi="Times New Roman"/>
          <w:color w:val="000000" w:themeColor="text1"/>
          <w:sz w:val="16"/>
          <w:szCs w:val="16"/>
        </w:rPr>
        <w:softHyphen/>
        <w:t>новки всех, деталей закрытая наглухо коробка изолирует пол</w:t>
      </w:r>
      <w:r w:rsidRPr="007122AB">
        <w:rPr>
          <w:rFonts w:ascii="Times New Roman" w:hAnsi="Times New Roman"/>
          <w:color w:val="000000" w:themeColor="text1"/>
          <w:sz w:val="16"/>
          <w:szCs w:val="16"/>
        </w:rPr>
        <w:softHyphen/>
        <w:t>ностью наиболее уязвимые детали подвески от попадания грязи и повреждений...</w:t>
      </w:r>
    </w:p>
    <w:p w14:paraId="2E4C43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Система подвески. </w:t>
      </w:r>
      <w:proofErr w:type="spellStart"/>
      <w:r w:rsidRPr="007122AB">
        <w:rPr>
          <w:rFonts w:ascii="Times New Roman" w:hAnsi="Times New Roman"/>
          <w:color w:val="000000" w:themeColor="text1"/>
          <w:sz w:val="16"/>
          <w:szCs w:val="16"/>
        </w:rPr>
        <w:t>Спроэктирована</w:t>
      </w:r>
      <w:proofErr w:type="spellEnd"/>
      <w:r w:rsidRPr="007122AB">
        <w:rPr>
          <w:rFonts w:ascii="Times New Roman" w:hAnsi="Times New Roman"/>
          <w:color w:val="000000" w:themeColor="text1"/>
          <w:sz w:val="16"/>
          <w:szCs w:val="16"/>
        </w:rPr>
        <w:t xml:space="preserve"> в виде двух тележек на каждую сторону. Каждая тележка имеет по три свечи, с двумя парами катков, связанных между собой двумя парами балансиров, согласно схемы ниже.</w:t>
      </w:r>
    </w:p>
    <w:p w14:paraId="3EBA4F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Такая конструкция подвески и тележек обладает следу</w:t>
      </w:r>
      <w:r w:rsidRPr="007122AB">
        <w:rPr>
          <w:rFonts w:ascii="Times New Roman" w:hAnsi="Times New Roman"/>
          <w:color w:val="000000" w:themeColor="text1"/>
          <w:sz w:val="16"/>
          <w:szCs w:val="16"/>
        </w:rPr>
        <w:softHyphen/>
        <w:t>ющими достоинствами...</w:t>
      </w:r>
    </w:p>
    <w:p w14:paraId="0C7C10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Подъем одного из катков тележки на препятствии уравнивается перемещениями других катков таки образом, что центр тяжести машины перемещается вверх всего на 1/15 высоты перемещения катков на препятствии./в тележке Т-26 эта величина составляет 1/8/, что делает машину чрезвычайно </w:t>
      </w:r>
      <w:proofErr w:type="spellStart"/>
      <w:r w:rsidRPr="007122AB">
        <w:rPr>
          <w:rFonts w:ascii="Times New Roman" w:hAnsi="Times New Roman"/>
          <w:color w:val="000000" w:themeColor="text1"/>
          <w:sz w:val="16"/>
          <w:szCs w:val="16"/>
        </w:rPr>
        <w:t>элластичной</w:t>
      </w:r>
      <w:proofErr w:type="spellEnd"/>
      <w:r w:rsidRPr="007122AB">
        <w:rPr>
          <w:rFonts w:ascii="Times New Roman" w:hAnsi="Times New Roman"/>
          <w:color w:val="000000" w:themeColor="text1"/>
          <w:sz w:val="16"/>
          <w:szCs w:val="16"/>
        </w:rPr>
        <w:t xml:space="preserve"> при движении по пересеченной мес</w:t>
      </w:r>
      <w:r w:rsidRPr="007122AB">
        <w:rPr>
          <w:rFonts w:ascii="Times New Roman" w:hAnsi="Times New Roman"/>
          <w:color w:val="000000" w:themeColor="text1"/>
          <w:sz w:val="16"/>
          <w:szCs w:val="16"/>
        </w:rPr>
        <w:softHyphen/>
        <w:t xml:space="preserve">тности и допускает развитие больших скоростей движения без ущерба управления и стрельбы с хода. Опыт доказал возможность производства стрельбы при движении по целине, пахоте на скорости около 20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xml:space="preserve">/час с результатами не ниже результатов стрельб из Т-26 на скорости 12-15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/час.</w:t>
      </w:r>
    </w:p>
    <w:p w14:paraId="0E8FA7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Для облегчения поворотливости танка давление под катками без ущерба взаимозаменяемости и прочности распределяется не по прямой, а ступенчато/по кривой/, что при-</w:t>
      </w:r>
      <w:proofErr w:type="spellStart"/>
      <w:r w:rsidRPr="007122AB">
        <w:rPr>
          <w:rFonts w:ascii="Times New Roman" w:hAnsi="Times New Roman"/>
          <w:color w:val="000000" w:themeColor="text1"/>
          <w:sz w:val="16"/>
          <w:szCs w:val="16"/>
        </w:rPr>
        <w:t>Еяиясаети</w:t>
      </w:r>
      <w:proofErr w:type="spellEnd"/>
      <w:r w:rsidRPr="007122AB">
        <w:rPr>
          <w:rFonts w:ascii="Times New Roman" w:hAnsi="Times New Roman"/>
          <w:color w:val="000000" w:themeColor="text1"/>
          <w:sz w:val="16"/>
          <w:szCs w:val="16"/>
        </w:rPr>
        <w:t xml:space="preserve"> характер поворота танка к повороту танков с жесткой подвеской/танк Рикардо поворачивающийся на малой опорной поверхности </w:t>
      </w:r>
      <w:proofErr w:type="spellStart"/>
      <w:r w:rsidRPr="007122AB">
        <w:rPr>
          <w:rFonts w:ascii="Times New Roman" w:hAnsi="Times New Roman"/>
          <w:color w:val="000000" w:themeColor="text1"/>
          <w:sz w:val="16"/>
          <w:szCs w:val="16"/>
        </w:rPr>
        <w:t>гучениц</w:t>
      </w:r>
      <w:proofErr w:type="spellEnd"/>
      <w:r w:rsidRPr="007122AB">
        <w:rPr>
          <w:rFonts w:ascii="Times New Roman" w:hAnsi="Times New Roman"/>
          <w:color w:val="000000" w:themeColor="text1"/>
          <w:sz w:val="16"/>
          <w:szCs w:val="16"/>
        </w:rPr>
        <w:t>, приближающей поворот к повороту на одной точке/.</w:t>
      </w:r>
    </w:p>
    <w:p w14:paraId="3819BB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применение этого типа подвески облегчит работу танка на повороте, улучшить его управляемость и снизит напряжения в его аггрегатах.</w:t>
      </w:r>
    </w:p>
    <w:p w14:paraId="4E3294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Привода управления</w:t>
      </w:r>
    </w:p>
    <w:p w14:paraId="057A6F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Схема приводов, благодаря симметричному расположе</w:t>
      </w:r>
      <w:r w:rsidRPr="007122AB">
        <w:rPr>
          <w:rFonts w:ascii="Times New Roman" w:hAnsi="Times New Roman"/>
          <w:color w:val="000000" w:themeColor="text1"/>
          <w:sz w:val="16"/>
          <w:szCs w:val="16"/>
        </w:rPr>
        <w:softHyphen/>
        <w:t xml:space="preserve">нию КПП и фрикционов, а также размещения водителя на </w:t>
      </w:r>
      <w:proofErr w:type="spellStart"/>
      <w:r w:rsidRPr="007122AB">
        <w:rPr>
          <w:rFonts w:ascii="Times New Roman" w:hAnsi="Times New Roman"/>
          <w:color w:val="000000" w:themeColor="text1"/>
          <w:sz w:val="16"/>
          <w:szCs w:val="16"/>
        </w:rPr>
        <w:t>оеи</w:t>
      </w:r>
      <w:proofErr w:type="spellEnd"/>
      <w:r w:rsidRPr="007122AB">
        <w:rPr>
          <w:rFonts w:ascii="Times New Roman" w:hAnsi="Times New Roman"/>
          <w:color w:val="000000" w:themeColor="text1"/>
          <w:sz w:val="16"/>
          <w:szCs w:val="16"/>
        </w:rPr>
        <w:t>, получается в виде простой схемы.</w:t>
      </w:r>
    </w:p>
    <w:p w14:paraId="4517E9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тяги будут работать только на растяжение или сжатие, кулиса и рычаг переключения нормального автомо</w:t>
      </w:r>
      <w:r w:rsidRPr="007122AB">
        <w:rPr>
          <w:rFonts w:ascii="Times New Roman" w:hAnsi="Times New Roman"/>
          <w:color w:val="000000" w:themeColor="text1"/>
          <w:sz w:val="16"/>
          <w:szCs w:val="16"/>
        </w:rPr>
        <w:softHyphen/>
        <w:t>бильного типа.</w:t>
      </w:r>
    </w:p>
    <w:p w14:paraId="4170E6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Управление фрикционами и тормозами двух вариантов по типу Т-26 — рычажное, или даже рулевое.</w:t>
      </w:r>
    </w:p>
    <w:p w14:paraId="235494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Корпус</w:t>
      </w:r>
    </w:p>
    <w:p w14:paraId="7ED6CC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корпуса имеет простую гладкую форму и рассчитана на склепанный или сварной тип.</w:t>
      </w:r>
    </w:p>
    <w:p w14:paraId="116156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Толщина всех вертикальных листов принята 16-17 мм, что при цементированной броне будет эквивалентно 20 мм толщине легированной брони. Вертикальные листы носовой части в 20мм крыша в 10мм и дно в 8мм.</w:t>
      </w:r>
    </w:p>
    <w:p w14:paraId="5E3C1C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корпусе имеются следующие люки: передние водителя, задние к трансмиссии, верхний к мотору и нижний к коробке скоростей. Кроме того имеются отверстия на крыше под по</w:t>
      </w:r>
      <w:r w:rsidRPr="007122AB">
        <w:rPr>
          <w:rFonts w:ascii="Times New Roman" w:hAnsi="Times New Roman"/>
          <w:color w:val="000000" w:themeColor="text1"/>
          <w:sz w:val="16"/>
          <w:szCs w:val="16"/>
        </w:rPr>
        <w:softHyphen/>
        <w:t>гоны трех башен и жалюзи радиаторов.</w:t>
      </w:r>
    </w:p>
    <w:p w14:paraId="432BF8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Башни и вооружение</w:t>
      </w:r>
    </w:p>
    <w:p w14:paraId="08E11C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Танк имеет три башни: Большая центральная башня идее малые. Большая центральная </w:t>
      </w:r>
      <w:proofErr w:type="spellStart"/>
      <w:r w:rsidRPr="007122AB">
        <w:rPr>
          <w:rFonts w:ascii="Times New Roman" w:hAnsi="Times New Roman"/>
          <w:color w:val="000000" w:themeColor="text1"/>
          <w:sz w:val="16"/>
          <w:szCs w:val="16"/>
        </w:rPr>
        <w:t>проэктируется</w:t>
      </w:r>
      <w:proofErr w:type="spellEnd"/>
      <w:r w:rsidRPr="007122AB">
        <w:rPr>
          <w:rFonts w:ascii="Times New Roman" w:hAnsi="Times New Roman"/>
          <w:color w:val="000000" w:themeColor="text1"/>
          <w:sz w:val="16"/>
          <w:szCs w:val="16"/>
        </w:rPr>
        <w:t xml:space="preserve"> со спаренной установкой 45-мм пушки и пулемета Дегтярева. Конструк</w:t>
      </w:r>
      <w:r w:rsidRPr="007122AB">
        <w:rPr>
          <w:rFonts w:ascii="Times New Roman" w:hAnsi="Times New Roman"/>
          <w:color w:val="000000" w:themeColor="text1"/>
          <w:sz w:val="16"/>
          <w:szCs w:val="16"/>
        </w:rPr>
        <w:softHyphen/>
        <w:t>ция башни по типу устанавливаемому на танке Б-Тс меха</w:t>
      </w:r>
      <w:r w:rsidRPr="007122AB">
        <w:rPr>
          <w:rFonts w:ascii="Times New Roman" w:hAnsi="Times New Roman"/>
          <w:color w:val="000000" w:themeColor="text1"/>
          <w:sz w:val="16"/>
          <w:szCs w:val="16"/>
        </w:rPr>
        <w:softHyphen/>
        <w:t>ническим приводом вращения и перископическим прицелом. Параллельно будет разработана башня с комбинированным поворотным механизмом механически-электрическим.</w:t>
      </w:r>
    </w:p>
    <w:p w14:paraId="3F208F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Электрический привод со скоростью полного оборота в 5-10 секунд и механический в 50-60 секунд, т.е. будут две скорос</w:t>
      </w:r>
      <w:r w:rsidRPr="007122AB">
        <w:rPr>
          <w:rFonts w:ascii="Times New Roman" w:hAnsi="Times New Roman"/>
          <w:color w:val="000000" w:themeColor="text1"/>
          <w:sz w:val="16"/>
          <w:szCs w:val="16"/>
        </w:rPr>
        <w:softHyphen/>
        <w:t>ти вращения башни. Одна для быстрой-грубой наводки баш</w:t>
      </w:r>
      <w:r w:rsidRPr="007122AB">
        <w:rPr>
          <w:rFonts w:ascii="Times New Roman" w:hAnsi="Times New Roman"/>
          <w:color w:val="000000" w:themeColor="text1"/>
          <w:sz w:val="16"/>
          <w:szCs w:val="16"/>
        </w:rPr>
        <w:softHyphen/>
        <w:t xml:space="preserve">ни/перекидки башни/и вторая для точной наводки/подводки/. Конструкция малых башен по типу Т-26 с вооружением один пулемет Дегтярева. Правя малая башня для командира танка. Левая — для радиста. В обеих малых </w:t>
      </w:r>
      <w:proofErr w:type="spellStart"/>
      <w:r w:rsidRPr="007122AB">
        <w:rPr>
          <w:rFonts w:ascii="Times New Roman" w:hAnsi="Times New Roman"/>
          <w:color w:val="000000" w:themeColor="text1"/>
          <w:sz w:val="16"/>
          <w:szCs w:val="16"/>
        </w:rPr>
        <w:t>дашнях</w:t>
      </w:r>
      <w:proofErr w:type="spellEnd"/>
      <w:r w:rsidRPr="007122AB">
        <w:rPr>
          <w:rFonts w:ascii="Times New Roman" w:hAnsi="Times New Roman"/>
          <w:color w:val="000000" w:themeColor="text1"/>
          <w:sz w:val="16"/>
          <w:szCs w:val="16"/>
        </w:rPr>
        <w:t xml:space="preserve"> также как в фонаре водителя широко применяется непробиваемое стекло.</w:t>
      </w:r>
    </w:p>
    <w:p w14:paraId="5F3FA9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285A85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ОБЩИЕ ВЫВОДЫ</w:t>
      </w:r>
    </w:p>
    <w:p w14:paraId="33D202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Разработанный в данном предварительном </w:t>
      </w:r>
      <w:proofErr w:type="spellStart"/>
      <w:r w:rsidRPr="007122AB">
        <w:rPr>
          <w:rFonts w:ascii="Times New Roman" w:hAnsi="Times New Roman"/>
          <w:color w:val="000000" w:themeColor="text1"/>
          <w:sz w:val="16"/>
          <w:szCs w:val="16"/>
        </w:rPr>
        <w:t>проэкте</w:t>
      </w:r>
      <w:proofErr w:type="spellEnd"/>
      <w:r w:rsidRPr="007122AB">
        <w:rPr>
          <w:rFonts w:ascii="Times New Roman" w:hAnsi="Times New Roman"/>
          <w:color w:val="000000" w:themeColor="text1"/>
          <w:sz w:val="16"/>
          <w:szCs w:val="16"/>
        </w:rPr>
        <w:t xml:space="preserve"> танк является по своей доработке лучшей и наиболее совер</w:t>
      </w:r>
      <w:r w:rsidRPr="007122AB">
        <w:rPr>
          <w:rFonts w:ascii="Times New Roman" w:hAnsi="Times New Roman"/>
          <w:color w:val="000000" w:themeColor="text1"/>
          <w:sz w:val="16"/>
          <w:szCs w:val="16"/>
        </w:rPr>
        <w:softHyphen/>
        <w:t>шенной конструкцией танка среднего веса, полностью охва</w:t>
      </w:r>
      <w:r w:rsidRPr="007122AB">
        <w:rPr>
          <w:rFonts w:ascii="Times New Roman" w:hAnsi="Times New Roman"/>
          <w:color w:val="000000" w:themeColor="text1"/>
          <w:sz w:val="16"/>
          <w:szCs w:val="16"/>
        </w:rPr>
        <w:softHyphen/>
        <w:t>тывающей весь известный нам положительный опыт по по</w:t>
      </w:r>
      <w:r w:rsidRPr="007122AB">
        <w:rPr>
          <w:rFonts w:ascii="Times New Roman" w:hAnsi="Times New Roman"/>
          <w:color w:val="000000" w:themeColor="text1"/>
          <w:sz w:val="16"/>
          <w:szCs w:val="16"/>
        </w:rPr>
        <w:softHyphen/>
        <w:t>добным конструкциям как заграничным, так и нашим.</w:t>
      </w:r>
    </w:p>
    <w:p w14:paraId="1AB175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частности, его отличие от лучшего современного 16-ти тонного танка Виккерса следующее:</w:t>
      </w:r>
    </w:p>
    <w:p w14:paraId="24E2DC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Установка в два раза более мощного мотора на Т-28 поднимает его проходимость, подвижность, а следователь</w:t>
      </w:r>
      <w:r w:rsidRPr="007122AB">
        <w:rPr>
          <w:rFonts w:ascii="Times New Roman" w:hAnsi="Times New Roman"/>
          <w:color w:val="000000" w:themeColor="text1"/>
          <w:sz w:val="16"/>
          <w:szCs w:val="16"/>
        </w:rPr>
        <w:softHyphen/>
        <w:t>но, и среднюю скорость Т-28 примерно в такой ровности, как скорость движения по пересеченному профилю между авто</w:t>
      </w:r>
      <w:r w:rsidRPr="007122AB">
        <w:rPr>
          <w:rFonts w:ascii="Times New Roman" w:hAnsi="Times New Roman"/>
          <w:color w:val="000000" w:themeColor="text1"/>
          <w:sz w:val="16"/>
          <w:szCs w:val="16"/>
        </w:rPr>
        <w:softHyphen/>
        <w:t>мобилями форда типа АА и Т.</w:t>
      </w:r>
    </w:p>
    <w:p w14:paraId="2E1F5C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Более современная подвеска на Т-28 обеспечит: действи</w:t>
      </w:r>
      <w:r w:rsidRPr="007122AB">
        <w:rPr>
          <w:rFonts w:ascii="Times New Roman" w:hAnsi="Times New Roman"/>
          <w:color w:val="000000" w:themeColor="text1"/>
          <w:sz w:val="16"/>
          <w:szCs w:val="16"/>
        </w:rPr>
        <w:softHyphen/>
        <w:t>тельную стрельбу с танка на больших скоростях движения...</w:t>
      </w:r>
    </w:p>
    <w:p w14:paraId="0438B6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Детальная разработка проекта и постройка двух пер</w:t>
      </w:r>
      <w:r w:rsidRPr="007122AB">
        <w:rPr>
          <w:rFonts w:ascii="Times New Roman" w:hAnsi="Times New Roman"/>
          <w:color w:val="000000" w:themeColor="text1"/>
          <w:sz w:val="16"/>
          <w:szCs w:val="16"/>
        </w:rPr>
        <w:softHyphen/>
        <w:t>вых образцов может быть проделана в следующие сроки:</w:t>
      </w:r>
    </w:p>
    <w:p w14:paraId="0EB217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детальная проработка общей </w:t>
      </w:r>
      <w:proofErr w:type="spellStart"/>
      <w:r w:rsidRPr="007122AB">
        <w:rPr>
          <w:rFonts w:ascii="Times New Roman" w:hAnsi="Times New Roman"/>
          <w:color w:val="000000" w:themeColor="text1"/>
          <w:sz w:val="16"/>
          <w:szCs w:val="16"/>
        </w:rPr>
        <w:t>компановки</w:t>
      </w:r>
      <w:proofErr w:type="spellEnd"/>
      <w:r w:rsidRPr="007122AB">
        <w:rPr>
          <w:rFonts w:ascii="Times New Roman" w:hAnsi="Times New Roman"/>
          <w:color w:val="000000" w:themeColor="text1"/>
          <w:sz w:val="16"/>
          <w:szCs w:val="16"/>
        </w:rPr>
        <w:t xml:space="preserve">, сборочных чертежей аггрегатов и основных ведущих деталей к 1/Х1 —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613759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разработка детальных рабочих чертежей для опытно</w:t>
      </w:r>
      <w:r w:rsidRPr="007122AB">
        <w:rPr>
          <w:rFonts w:ascii="Times New Roman" w:hAnsi="Times New Roman"/>
          <w:color w:val="000000" w:themeColor="text1"/>
          <w:sz w:val="16"/>
          <w:szCs w:val="16"/>
        </w:rPr>
        <w:softHyphen/>
        <w:t>го цеха с 1/</w:t>
      </w:r>
      <w:proofErr w:type="spellStart"/>
      <w:r w:rsidRPr="007122AB">
        <w:rPr>
          <w:rFonts w:ascii="Times New Roman" w:hAnsi="Times New Roman"/>
          <w:color w:val="000000" w:themeColor="text1"/>
          <w:sz w:val="16"/>
          <w:szCs w:val="16"/>
        </w:rPr>
        <w:t>Хпо</w:t>
      </w:r>
      <w:proofErr w:type="spellEnd"/>
      <w:r w:rsidRPr="007122AB">
        <w:rPr>
          <w:rFonts w:ascii="Times New Roman" w:hAnsi="Times New Roman"/>
          <w:color w:val="000000" w:themeColor="text1"/>
          <w:sz w:val="16"/>
          <w:szCs w:val="16"/>
        </w:rPr>
        <w:t xml:space="preserve"> 15 XII — </w:t>
      </w:r>
      <w:proofErr w:type="spellStart"/>
      <w:r w:rsidRPr="007122AB">
        <w:rPr>
          <w:rFonts w:ascii="Times New Roman" w:hAnsi="Times New Roman"/>
          <w:color w:val="000000" w:themeColor="text1"/>
          <w:sz w:val="16"/>
          <w:szCs w:val="16"/>
        </w:rPr>
        <w:t>сг</w:t>
      </w:r>
      <w:proofErr w:type="spellEnd"/>
    </w:p>
    <w:p w14:paraId="236C84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начало спуска рабочих чертежей в производство с 1/Х1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152DA1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выпуск 2-х опытных образцов к 1-му Мая 1932 года.</w:t>
      </w:r>
    </w:p>
    <w:p w14:paraId="129A81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КОНСТР. БЮРО № 3 /Гинзбург/</w:t>
      </w:r>
    </w:p>
    <w:p w14:paraId="4C65D9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/Заславский/</w:t>
      </w:r>
    </w:p>
    <w:p w14:paraId="7A465B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ИНЖЕНЕР-КОНСТРУКТОР /Иванов/</w:t>
      </w:r>
    </w:p>
    <w:p w14:paraId="782808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ИНЖЕНЕР-КОНСТРУКТОР /</w:t>
      </w:r>
      <w:proofErr w:type="spellStart"/>
      <w:r w:rsidRPr="007122AB">
        <w:rPr>
          <w:rFonts w:ascii="Times New Roman" w:hAnsi="Times New Roman"/>
          <w:color w:val="000000" w:themeColor="text1"/>
          <w:sz w:val="16"/>
          <w:szCs w:val="16"/>
        </w:rPr>
        <w:t>Гаккелъ</w:t>
      </w:r>
      <w:proofErr w:type="spellEnd"/>
      <w:r w:rsidRPr="007122AB">
        <w:rPr>
          <w:rFonts w:ascii="Times New Roman" w:hAnsi="Times New Roman"/>
          <w:color w:val="000000" w:themeColor="text1"/>
          <w:sz w:val="16"/>
          <w:szCs w:val="16"/>
        </w:rPr>
        <w:t>/»</w:t>
      </w:r>
    </w:p>
    <w:p w14:paraId="32DF18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 их конкурентов — факультета механизации и мо</w:t>
      </w:r>
      <w:r w:rsidRPr="007122AB">
        <w:rPr>
          <w:rFonts w:ascii="Times New Roman" w:hAnsi="Times New Roman"/>
          <w:color w:val="000000" w:themeColor="text1"/>
          <w:sz w:val="16"/>
          <w:szCs w:val="16"/>
        </w:rPr>
        <w:softHyphen/>
        <w:t>торизации Академии им. Ф. Дзержинского под индексом ВТА отличался применением в подвеске тележек танка Т-26, что, по мнению проектировщиков, должно было упростить производство танка на существующем оборудовании.</w:t>
      </w:r>
    </w:p>
    <w:p w14:paraId="33BA9E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сравнение проектов показало, что танк ВТА имел массу недоработок с точки зрения чрезмерной нагрузки на тележку подвески (при массе вдвое большей, чем Т-26, танк имел лишь 6 тележек вместо 4, КПП оказалась пере</w:t>
      </w:r>
      <w:r w:rsidRPr="007122AB">
        <w:rPr>
          <w:rFonts w:ascii="Times New Roman" w:hAnsi="Times New Roman"/>
          <w:color w:val="000000" w:themeColor="text1"/>
          <w:sz w:val="16"/>
          <w:szCs w:val="16"/>
        </w:rPr>
        <w:softHyphen/>
        <w:t>груженной, не была продумана система вентиляции, высо</w:t>
      </w:r>
      <w:r w:rsidRPr="007122AB">
        <w:rPr>
          <w:rFonts w:ascii="Times New Roman" w:hAnsi="Times New Roman"/>
          <w:color w:val="000000" w:themeColor="text1"/>
          <w:sz w:val="16"/>
          <w:szCs w:val="16"/>
        </w:rPr>
        <w:softHyphen/>
        <w:t>кий подъем носа ограничивал обзор механика-водителя перед танком, не продумано размещение бензобаков, кото</w:t>
      </w:r>
      <w:r w:rsidRPr="007122AB">
        <w:rPr>
          <w:rFonts w:ascii="Times New Roman" w:hAnsi="Times New Roman"/>
          <w:color w:val="000000" w:themeColor="text1"/>
          <w:sz w:val="16"/>
          <w:szCs w:val="16"/>
        </w:rPr>
        <w:softHyphen/>
        <w:t>рые пришлось бы разбрасывать по всем свободным местам корпуса, которых в танке и так осталось крайне мало.</w:t>
      </w:r>
    </w:p>
    <w:p w14:paraId="1965CF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это предопределило выбор в пользу танка Т-28 кон</w:t>
      </w:r>
      <w:r w:rsidRPr="007122AB">
        <w:rPr>
          <w:rFonts w:ascii="Times New Roman" w:hAnsi="Times New Roman"/>
          <w:color w:val="000000" w:themeColor="text1"/>
          <w:sz w:val="16"/>
          <w:szCs w:val="16"/>
        </w:rPr>
        <w:softHyphen/>
        <w:t>струкции ВОАО (10733,229).</w:t>
      </w:r>
    </w:p>
    <w:p w14:paraId="71CCAEE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DC567" w14:textId="77777777" w:rsidR="00EC6BCC" w:rsidRPr="007122AB" w:rsidRDefault="00EC6B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приступили к сборке первых 10 машин Т-26, так называемой «установочной партии». Конструкция их почти полностью повторяла «</w:t>
      </w:r>
      <w:proofErr w:type="spellStart"/>
      <w:r w:rsidRPr="007122AB">
        <w:rPr>
          <w:rFonts w:ascii="Times New Roman" w:hAnsi="Times New Roman"/>
          <w:color w:val="000000" w:themeColor="text1"/>
          <w:sz w:val="16"/>
          <w:szCs w:val="16"/>
        </w:rPr>
        <w:t>виккерсы</w:t>
      </w:r>
      <w:proofErr w:type="spellEnd"/>
      <w:r w:rsidRPr="007122AB">
        <w:rPr>
          <w:rFonts w:ascii="Times New Roman" w:hAnsi="Times New Roman"/>
          <w:color w:val="000000" w:themeColor="text1"/>
          <w:sz w:val="16"/>
          <w:szCs w:val="16"/>
        </w:rPr>
        <w:t>». Единственным отличием от английской машины была установка в правой башне 37-мм пушки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xml:space="preserve"> (ПС-1), а в левой — 7,62-мм пулемёта ДТ (на английских машинах стояли пулемёты «Виккерс»). Изготовление этих танков велось по временной технологии из обычной (не броневой) стали. Фактически велась индивидуальная сборка каждого танка, но выпуск первых Т-26 в условиях неподготовленного производства был необходим для отладки приспособлений и опробования технологии производства танков (15132).</w:t>
      </w:r>
    </w:p>
    <w:p w14:paraId="2C6AEE57" w14:textId="77777777" w:rsidR="00EC6BCC" w:rsidRPr="007122AB" w:rsidRDefault="00EC6BCC" w:rsidP="007122AB">
      <w:pPr>
        <w:spacing w:after="0" w:line="240" w:lineRule="auto"/>
        <w:jc w:val="both"/>
        <w:rPr>
          <w:rFonts w:ascii="Times New Roman" w:hAnsi="Times New Roman"/>
          <w:color w:val="000000" w:themeColor="text1"/>
          <w:sz w:val="16"/>
          <w:szCs w:val="16"/>
        </w:rPr>
      </w:pPr>
    </w:p>
    <w:p w14:paraId="1D4644FE" w14:textId="77777777" w:rsidR="00EC6BCC" w:rsidRPr="007122AB" w:rsidRDefault="00EC6BCC" w:rsidP="007122AB">
      <w:pPr>
        <w:pStyle w:val="a3"/>
        <w:rPr>
          <w:color w:val="000000" w:themeColor="text1"/>
          <w:lang w:val="ru-RU"/>
        </w:rPr>
      </w:pPr>
      <w:r w:rsidRPr="007122AB">
        <w:rPr>
          <w:color w:val="000000" w:themeColor="text1"/>
          <w:lang w:val="ru-RU"/>
        </w:rPr>
        <w:t>В июле 1930 г. на фирму «Виккерс-Армстронг» был отправлен проект установки вооружения в башне 12-тонного танка, выполненный нашими кон</w:t>
      </w:r>
      <w:r w:rsidRPr="007122AB">
        <w:rPr>
          <w:color w:val="000000" w:themeColor="text1"/>
          <w:lang w:val="ru-RU"/>
        </w:rPr>
        <w:softHyphen/>
        <w:t>структорами, и принят англичанами без возражений. Предлагалось также заказать дополнительно три башни, полностью адаптированные под установку отечественного вооружения, для замены башен первых трех поставленных машин. Демонтированные при этом «родные» башни пла</w:t>
      </w:r>
      <w:r w:rsidRPr="007122AB">
        <w:rPr>
          <w:color w:val="000000" w:themeColor="text1"/>
          <w:lang w:val="ru-RU"/>
        </w:rPr>
        <w:softHyphen/>
        <w:t>нировалось использовать в качестве запасных (15745).</w:t>
      </w:r>
    </w:p>
    <w:p w14:paraId="2BD17F65" w14:textId="77777777" w:rsidR="00EC6BCC" w:rsidRPr="007122AB" w:rsidRDefault="00EC6BCC" w:rsidP="007122AB">
      <w:pPr>
        <w:pStyle w:val="a3"/>
        <w:rPr>
          <w:color w:val="000000" w:themeColor="text1"/>
          <w:lang w:val="ru-RU"/>
        </w:rPr>
      </w:pPr>
    </w:p>
    <w:p w14:paraId="14B5E221" w14:textId="77777777" w:rsidR="00FA27D7" w:rsidRPr="007122AB" w:rsidRDefault="00FA27D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июле 1931 года, согласно планам, сдавались первые образцы Т-26, позже сроком указывалось 1 августа. Следует отметить, что изначально предполагалось копировать </w:t>
      </w:r>
      <w:proofErr w:type="spellStart"/>
      <w:r w:rsidRPr="007122AB">
        <w:rPr>
          <w:rFonts w:ascii="Times New Roman" w:eastAsia="Times New Roman" w:hAnsi="Times New Roman"/>
          <w:color w:val="000000" w:themeColor="text1"/>
          <w:sz w:val="16"/>
          <w:szCs w:val="16"/>
          <w:lang w:eastAsia="ru-RU"/>
        </w:rPr>
        <w:t>Vickers</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Mk.E</w:t>
      </w:r>
      <w:proofErr w:type="spellEnd"/>
      <w:r w:rsidRPr="007122AB">
        <w:rPr>
          <w:rFonts w:ascii="Times New Roman" w:eastAsia="Times New Roman" w:hAnsi="Times New Roman"/>
          <w:color w:val="000000" w:themeColor="text1"/>
          <w:sz w:val="16"/>
          <w:szCs w:val="16"/>
          <w:lang w:eastAsia="ru-RU"/>
        </w:rPr>
        <w:t xml:space="preserve"> практически полностью, разве что решались мелкие недостатки вроде отсутствующих смотровых щелей у створки люка механика-водителя и башен. При этом в левой башне предполагалось ставить пулемет ДТ, а в правой - 37-мм пушку "большой мощности". Именовалась она как 37-мм танковая пушка обр.1930 года, но более известна как Б-3. Разрабатывалось орудие с 1927 года, предполагалось, что его поставят в башни Т-18 и Т-20, но они их так и не дождались. Существенным отличием данного орудия было использование боеприпасов от 37-мм немецкой пушки </w:t>
      </w:r>
      <w:proofErr w:type="spellStart"/>
      <w:r w:rsidRPr="007122AB">
        <w:rPr>
          <w:rFonts w:ascii="Times New Roman" w:eastAsia="Times New Roman" w:hAnsi="Times New Roman"/>
          <w:color w:val="000000" w:themeColor="text1"/>
          <w:sz w:val="16"/>
          <w:szCs w:val="16"/>
          <w:lang w:eastAsia="ru-RU"/>
        </w:rPr>
        <w:t>Tak</w:t>
      </w:r>
      <w:proofErr w:type="spellEnd"/>
      <w:r w:rsidRPr="007122AB">
        <w:rPr>
          <w:rFonts w:ascii="Times New Roman" w:eastAsia="Times New Roman" w:hAnsi="Times New Roman"/>
          <w:color w:val="000000" w:themeColor="text1"/>
          <w:sz w:val="16"/>
          <w:szCs w:val="16"/>
          <w:lang w:eastAsia="ru-RU"/>
        </w:rPr>
        <w:t xml:space="preserve"> 29, которая у нас проходила как "пушка </w:t>
      </w:r>
      <w:proofErr w:type="spellStart"/>
      <w:r w:rsidRPr="007122AB">
        <w:rPr>
          <w:rFonts w:ascii="Times New Roman" w:eastAsia="Times New Roman" w:hAnsi="Times New Roman"/>
          <w:color w:val="000000" w:themeColor="text1"/>
          <w:sz w:val="16"/>
          <w:szCs w:val="16"/>
          <w:lang w:eastAsia="ru-RU"/>
        </w:rPr>
        <w:t>Рейнметалл</w:t>
      </w:r>
      <w:proofErr w:type="spellEnd"/>
      <w:r w:rsidRPr="007122AB">
        <w:rPr>
          <w:rFonts w:ascii="Times New Roman" w:eastAsia="Times New Roman" w:hAnsi="Times New Roman"/>
          <w:color w:val="000000" w:themeColor="text1"/>
          <w:sz w:val="16"/>
          <w:szCs w:val="16"/>
          <w:lang w:eastAsia="ru-RU"/>
        </w:rPr>
        <w:t>". Начальная скорость бронебойного снаряда составляла 670 м/с, а на дистанции 1000 метров этот снаряд пробивал плиту толщиной 18 мм, поставленную под углом 30 градусов от вертикали. Для сравнения, бронебойный снаряд пушки "</w:t>
      </w:r>
      <w:proofErr w:type="spellStart"/>
      <w:r w:rsidRPr="007122AB">
        <w:rPr>
          <w:rFonts w:ascii="Times New Roman" w:eastAsia="Times New Roman" w:hAnsi="Times New Roman"/>
          <w:color w:val="000000" w:themeColor="text1"/>
          <w:sz w:val="16"/>
          <w:szCs w:val="16"/>
          <w:lang w:eastAsia="ru-RU"/>
        </w:rPr>
        <w:t>Гочкис</w:t>
      </w:r>
      <w:proofErr w:type="spellEnd"/>
      <w:r w:rsidRPr="007122AB">
        <w:rPr>
          <w:rFonts w:ascii="Times New Roman" w:eastAsia="Times New Roman" w:hAnsi="Times New Roman"/>
          <w:color w:val="000000" w:themeColor="text1"/>
          <w:sz w:val="16"/>
          <w:szCs w:val="16"/>
          <w:lang w:eastAsia="ru-RU"/>
        </w:rPr>
        <w:t>" пробивал на той же дистанции плиту толщиной 16 мм, установленную под тем же углом. После ряда доводочных работ Б-3 приняли на вооружение одновременно с Т-26, то есть 13 февраля 1931 года. Таким образом, с самого начала Т-26 предполагался именно с пушечно-пулеметным вооружением. По планам, до конца 1931 года завод "Большевик" должен был сдать 300 танков Т-26 (из них 70 в октябре, 100 в ноябре и 120 в декабре). Одновременно был сделан заказ на 200 пушек Б-3 (20740).</w:t>
      </w:r>
    </w:p>
    <w:p w14:paraId="20B0CADB" w14:textId="77777777" w:rsidR="00FA27D7" w:rsidRPr="007122AB" w:rsidRDefault="00FA27D7" w:rsidP="007122AB">
      <w:pPr>
        <w:spacing w:after="0" w:line="240" w:lineRule="auto"/>
        <w:jc w:val="both"/>
        <w:rPr>
          <w:rFonts w:ascii="Times New Roman" w:eastAsia="Times New Roman" w:hAnsi="Times New Roman"/>
          <w:color w:val="000000" w:themeColor="text1"/>
          <w:sz w:val="16"/>
          <w:szCs w:val="16"/>
          <w:lang w:eastAsia="ru-RU"/>
        </w:rPr>
      </w:pPr>
    </w:p>
    <w:p w14:paraId="3962F63F" w14:textId="77777777" w:rsidR="00FA27D7" w:rsidRPr="007122AB" w:rsidRDefault="00FA27D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июле 1931 года всё же работы по Т-26 форсировались. Собрали первый мотор, имелись корпуса для двух опытных машин, проработали проект сварного корпуса и двухместной башни под 45-мм пушку (это другая пушка, более ранняя, нежели та, про которую подумали). Позже башню, по требованию УММ, переделали под 37-мм пушку. Тем не менее, ни о каких 30 танках в 1931 году не шло и речи. Две опытные машины, которые сдали в августе 1931 года, осенью-зимой использовались как стенды для испытания моторов. А фактически за 1931 год сдали всего 17 машин из 120 предъявленных. Из них 10 машин относилось к танкам установочной партии, а остальные уже отличались, прежде всего башнями. Доработанные, при участии КБ-3 ВОАО, башни получили выступы наверху со смотровыми лючками. Это не только увеличило внутренний объем башни, но и улучшило обзорность. Шаг заклепок на корпусе, по сравнению с </w:t>
      </w:r>
      <w:proofErr w:type="spellStart"/>
      <w:r w:rsidRPr="007122AB">
        <w:rPr>
          <w:rFonts w:ascii="Times New Roman" w:eastAsia="Times New Roman" w:hAnsi="Times New Roman"/>
          <w:color w:val="000000" w:themeColor="text1"/>
          <w:sz w:val="16"/>
          <w:szCs w:val="16"/>
          <w:lang w:eastAsia="ru-RU"/>
        </w:rPr>
        <w:t>Vickers</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Mk.E</w:t>
      </w:r>
      <w:proofErr w:type="spellEnd"/>
      <w:r w:rsidRPr="007122AB">
        <w:rPr>
          <w:rFonts w:ascii="Times New Roman" w:eastAsia="Times New Roman" w:hAnsi="Times New Roman"/>
          <w:color w:val="000000" w:themeColor="text1"/>
          <w:sz w:val="16"/>
          <w:szCs w:val="16"/>
          <w:lang w:eastAsia="ru-RU"/>
        </w:rPr>
        <w:t>, уменьшился, также внесли изменения в светотехнику. Еще больше изменений оказалось внутри. Кстати говоря, электрооборудование танка имело марку Bosch (20740).</w:t>
      </w:r>
    </w:p>
    <w:p w14:paraId="248D9BB1" w14:textId="77777777" w:rsidR="00FA27D7" w:rsidRPr="007122AB" w:rsidRDefault="00FA27D7" w:rsidP="007122AB">
      <w:pPr>
        <w:spacing w:after="0" w:line="240" w:lineRule="auto"/>
        <w:jc w:val="both"/>
        <w:rPr>
          <w:rFonts w:ascii="Times New Roman" w:eastAsia="Times New Roman" w:hAnsi="Times New Roman"/>
          <w:color w:val="000000" w:themeColor="text1"/>
          <w:sz w:val="16"/>
          <w:szCs w:val="16"/>
          <w:lang w:eastAsia="ru-RU"/>
        </w:rPr>
      </w:pPr>
    </w:p>
    <w:p w14:paraId="1F110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НТК УММ РККА рассмотрело проекты танков и выбрало </w:t>
      </w:r>
      <w:proofErr w:type="spellStart"/>
      <w:r w:rsidRPr="007122AB">
        <w:rPr>
          <w:rFonts w:ascii="Times New Roman" w:hAnsi="Times New Roman"/>
          <w:color w:val="000000" w:themeColor="text1"/>
          <w:sz w:val="16"/>
          <w:szCs w:val="16"/>
        </w:rPr>
        <w:t>пототип</w:t>
      </w:r>
      <w:proofErr w:type="spellEnd"/>
      <w:r w:rsidRPr="007122AB">
        <w:rPr>
          <w:rFonts w:ascii="Times New Roman" w:hAnsi="Times New Roman"/>
          <w:color w:val="000000" w:themeColor="text1"/>
          <w:sz w:val="16"/>
          <w:szCs w:val="16"/>
        </w:rPr>
        <w:t xml:space="preserve"> 2 КБ № 3 ВОАО, разработанный под руководством </w:t>
      </w:r>
      <w:proofErr w:type="spellStart"/>
      <w:r w:rsidRPr="007122AB">
        <w:rPr>
          <w:rFonts w:ascii="Times New Roman" w:hAnsi="Times New Roman"/>
          <w:color w:val="000000" w:themeColor="text1"/>
          <w:sz w:val="16"/>
          <w:szCs w:val="16"/>
        </w:rPr>
        <w:t>С.А.Гинзбурга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О.М.Ивановым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А.Б.Гаккелем</w:t>
      </w:r>
      <w:proofErr w:type="spellEnd"/>
      <w:r w:rsidRPr="007122AB">
        <w:rPr>
          <w:rFonts w:ascii="Times New Roman" w:hAnsi="Times New Roman"/>
          <w:color w:val="000000" w:themeColor="text1"/>
          <w:sz w:val="16"/>
          <w:szCs w:val="16"/>
        </w:rPr>
        <w:t xml:space="preserve"> (9527,119).</w:t>
      </w:r>
    </w:p>
    <w:p w14:paraId="6B0283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7A8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на ХПЗ по заданию УММ РККА началось проектирование четырехтактного, двенадцатицилиндрового V-образного быстроходного дизеля мощностью 400 л.с. (295 кВт).</w:t>
      </w:r>
    </w:p>
    <w:p w14:paraId="299B22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апреля 1933 г. первый образец дизеля, получившего название БД-2, был размещен на стенде для испытаний. Испытания выявили много дефектов, конструктивных и производственных недостатков. Началась трудная, кропотливая конструкторская доводка дизеля. В ноябре 1933 г. вместо авиационного мотора «Либерти» в опытный танк БТ-2 был установлен быстроходный дизель БД-2 № 1. Пробные </w:t>
      </w:r>
      <w:proofErr w:type="spellStart"/>
      <w:r w:rsidRPr="007122AB">
        <w:rPr>
          <w:rFonts w:ascii="Times New Roman" w:hAnsi="Times New Roman"/>
          <w:color w:val="000000" w:themeColor="text1"/>
          <w:sz w:val="16"/>
          <w:szCs w:val="16"/>
        </w:rPr>
        <w:t>пробеговые</w:t>
      </w:r>
      <w:proofErr w:type="spellEnd"/>
      <w:r w:rsidRPr="007122AB">
        <w:rPr>
          <w:rFonts w:ascii="Times New Roman" w:hAnsi="Times New Roman"/>
          <w:color w:val="000000" w:themeColor="text1"/>
          <w:sz w:val="16"/>
          <w:szCs w:val="16"/>
        </w:rPr>
        <w:t xml:space="preserve"> испытания танка с новым двигателем по территории завода были «первыми шагами» нового типа танкового двигателя - дизель-мотора. </w:t>
      </w:r>
    </w:p>
    <w:p w14:paraId="3F7D3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42251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EAC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в Кубинке был создан Научно-испытательный бронетанковый полигон (9527,10).</w:t>
      </w:r>
    </w:p>
    <w:p w14:paraId="5DD65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1FCBBC"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июля по ноябрь 1931 г. на НИАБТП проводились Государственные испытания трактора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 №3 с четырехскоростной коробкой передач. Машину обмерили, взвесили, </w:t>
      </w:r>
      <w:proofErr w:type="spellStart"/>
      <w:r w:rsidRPr="007122AB">
        <w:rPr>
          <w:rFonts w:ascii="Times New Roman" w:hAnsi="Times New Roman"/>
          <w:color w:val="000000" w:themeColor="text1"/>
          <w:sz w:val="16"/>
          <w:szCs w:val="16"/>
        </w:rPr>
        <w:t>отдинамометрировали</w:t>
      </w:r>
      <w:proofErr w:type="spellEnd"/>
      <w:r w:rsidRPr="007122AB">
        <w:rPr>
          <w:rFonts w:ascii="Times New Roman" w:hAnsi="Times New Roman"/>
          <w:color w:val="000000" w:themeColor="text1"/>
          <w:sz w:val="16"/>
          <w:szCs w:val="16"/>
        </w:rPr>
        <w:t xml:space="preserve"> и после обкатки направили на испытания. По программе, утвержденной 4-й секцией НТКУММ, целью испытаний являлось определение тяговых и скоростных качеств трактора при перевозке тяжелых орудий АРГК, прочности и надежности, удобства обслуживания, расхода горючего и проходимости. «Сталинец-3» испытывался совместно с американским прототипом и на некоторых этапах – параллельно с трактором №2.</w:t>
      </w:r>
    </w:p>
    <w:p w14:paraId="18D79F86"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Планировалось испытать трактор пробегом на 100 км с грузом 10-11,5 т, причем 50 км предполагалось пройти по дорогам с твердым покрытием и 50 км – по грунтовым. Кроме того, в ходе испытаний выполнялись выезды и снятия с артиллерийских позиций, осуществлялось движение по местности с ямами и ухабами, преодолевались подъемы, броды, участки с песчаным грунтом и заболоченные участки. Всего в ходе испытаний трактор №3 прошел 311 км по шоссе и 134 км по грунту.</w:t>
      </w:r>
    </w:p>
    <w:p w14:paraId="230FA25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же время был выявлен ряд серьезных дефектов, связанных с надежностью трактора. Произошло ослабление болтов, крепящих мотор к раме трактора, что объяснили несоответствием диаметра болтов размеру отверстий в лапах мотора и раме. Погнулись края вилки сцепного прибора, и шкворневой болт оказался зажатым в лапах вилки. Дважды отламывался край кронштейна, поддерживающего бензобак. Фрикционы гусениц грелись и пробуксовывали, в результате чего терялось управление(проблему устранили вытачиванием дополнительных шайб 100 мм для лучшего сжатия пружин). Оборвалось крепление радиатора к блоку мотора, в результате радиатор наклонился вперед и задел кожухом за вентилятор. Это привело к поломке его лопастей, которые пришлось приваривать. Были срезаны болты крепления радиатора. Срезались и заменялись трижды болты, крепящие салазки ленивцев. Получила повреждения рама трактора. Бензобак терял герметичность в швах и соединениях, и его пришлось четыре раза запаивать.</w:t>
      </w:r>
    </w:p>
    <w:p w14:paraId="29D29E3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эксплуатационных недостатков было отмечено отсутствие краника для слива воды из помпы.</w:t>
      </w:r>
    </w:p>
    <w:p w14:paraId="100D9FCC"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итогам испытаний было составлено заключение:</w:t>
      </w:r>
    </w:p>
    <w:p w14:paraId="75B7FE78"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 3»имеет все преимущества тракторов «Катерпиллер»:</w:t>
      </w:r>
    </w:p>
    <w:p w14:paraId="2EAA25A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Хорошую проходимость по мягким грунтам и песку. Со 155 мм пушкой легко преодолевает пески, где пушка погружается до 50 см.</w:t>
      </w:r>
    </w:p>
    <w:p w14:paraId="5072317B"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Удобен и прост в управлении и обслуживании.</w:t>
      </w:r>
    </w:p>
    <w:p w14:paraId="47E12B07"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Скорости на грунтовых дорогах все четыре легко используются. По ровной дороге трактор может все время </w:t>
      </w:r>
      <w:proofErr w:type="spellStart"/>
      <w:r w:rsidRPr="007122AB">
        <w:rPr>
          <w:rFonts w:ascii="Times New Roman" w:hAnsi="Times New Roman"/>
          <w:color w:val="000000" w:themeColor="text1"/>
          <w:sz w:val="16"/>
          <w:szCs w:val="16"/>
        </w:rPr>
        <w:t>итти</w:t>
      </w:r>
      <w:proofErr w:type="spellEnd"/>
      <w:r w:rsidRPr="007122AB">
        <w:rPr>
          <w:rFonts w:ascii="Times New Roman" w:hAnsi="Times New Roman"/>
          <w:color w:val="000000" w:themeColor="text1"/>
          <w:sz w:val="16"/>
          <w:szCs w:val="16"/>
        </w:rPr>
        <w:t xml:space="preserve"> на четвертой передаче, в худших местах на третьей и лишь в особо трудных условиях на второй или первой передаче, но увеличение скоростей повлекло за собой следующее:</w:t>
      </w:r>
    </w:p>
    <w:p w14:paraId="243C823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w:t>
      </w:r>
      <w:proofErr w:type="spellStart"/>
      <w:r w:rsidRPr="007122AB">
        <w:rPr>
          <w:rFonts w:ascii="Times New Roman" w:hAnsi="Times New Roman"/>
          <w:color w:val="000000" w:themeColor="text1"/>
          <w:sz w:val="16"/>
          <w:szCs w:val="16"/>
        </w:rPr>
        <w:t>пробуксовывание</w:t>
      </w:r>
      <w:proofErr w:type="spellEnd"/>
      <w:r w:rsidRPr="007122AB">
        <w:rPr>
          <w:rFonts w:ascii="Times New Roman" w:hAnsi="Times New Roman"/>
          <w:color w:val="000000" w:themeColor="text1"/>
          <w:sz w:val="16"/>
          <w:szCs w:val="16"/>
        </w:rPr>
        <w:t xml:space="preserve"> дисков фрикционов, чем нарушается управление,</w:t>
      </w:r>
    </w:p>
    <w:p w14:paraId="405D17B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срезывание болтов </w:t>
      </w:r>
      <w:proofErr w:type="spellStart"/>
      <w:r w:rsidRPr="007122AB">
        <w:rPr>
          <w:rFonts w:ascii="Times New Roman" w:hAnsi="Times New Roman"/>
          <w:color w:val="000000" w:themeColor="text1"/>
          <w:sz w:val="16"/>
          <w:szCs w:val="16"/>
        </w:rPr>
        <w:t>напраляющих</w:t>
      </w:r>
      <w:proofErr w:type="spellEnd"/>
      <w:r w:rsidRPr="007122AB">
        <w:rPr>
          <w:rFonts w:ascii="Times New Roman" w:hAnsi="Times New Roman"/>
          <w:color w:val="000000" w:themeColor="text1"/>
          <w:sz w:val="16"/>
          <w:szCs w:val="16"/>
        </w:rPr>
        <w:t xml:space="preserve"> передних колес гусениц, особенно по дорогам с твердым покрытием,</w:t>
      </w:r>
    </w:p>
    <w:p w14:paraId="4E634169"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 же болтов на соединительных траверсах рам гусениц и даже поломку этих траверсов,</w:t>
      </w:r>
    </w:p>
    <w:p w14:paraId="50D13DFF"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поломку кронштейнов бензобака, разрыв бензопроводов, ослабление швов и заклепок бензобака,</w:t>
      </w:r>
    </w:p>
    <w:p w14:paraId="06444C36"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если бы была на машине крыша типа «Катерпиллер», то она бы быстро поломала кронштейны от тряски.</w:t>
      </w:r>
    </w:p>
    <w:p w14:paraId="052C6EAA"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с четырехскоростной коробкой передач является хорошим типом трактора для перевозки тяжелых орудий Артиллерии Резерва Главного Командования, но при условии увеличения прочности указанных слабых деталей и обязательного введения съемных или постоянных резиновых башмаков на гусеницы для езды по твердым дорогам, без каковых по таким дорогам его пускать нельзя».</w:t>
      </w:r>
    </w:p>
    <w:p w14:paraId="149E285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Окончательный вывод о принятии на вооружение быстроходной версии трактора предстояло сделать на основании результатов зимних испытаний. На эти испытания поступили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№3 с четырехскоростной коробкой скоростей и образец №4, подобный американскому прототипу, но без установки тента. Испытания проходили в Подмосковье совместно с «</w:t>
      </w:r>
      <w:proofErr w:type="spellStart"/>
      <w:r w:rsidRPr="007122AB">
        <w:rPr>
          <w:rFonts w:ascii="Times New Roman" w:hAnsi="Times New Roman"/>
          <w:color w:val="000000" w:themeColor="text1"/>
          <w:sz w:val="16"/>
          <w:szCs w:val="16"/>
        </w:rPr>
        <w:t>Sixty</w:t>
      </w:r>
      <w:proofErr w:type="spellEnd"/>
      <w:r w:rsidRPr="007122AB">
        <w:rPr>
          <w:rFonts w:ascii="Times New Roman" w:hAnsi="Times New Roman"/>
          <w:color w:val="000000" w:themeColor="text1"/>
          <w:sz w:val="16"/>
          <w:szCs w:val="16"/>
        </w:rPr>
        <w:t>», трактором КПД конструкции АТТБ ОГПУ и некоторыми другими.</w:t>
      </w:r>
    </w:p>
    <w:p w14:paraId="127DFDA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движении на малых скоростях трактор №3 не вызвал серьезных нареканий. Однако с ростом скорости движения полностью повторились все выявленные летом дефекты: были срезаны болты в направляющих ленивцев, поломаны кронштейны бензобака, а в самом бензобаке от тряски образовалась течь. «Эти же неисправности сразу вывели трактор из строя при настоящем пробеге по мерзлому шоссе. Трактор «Катерпиллер-американский», шедший со средней скоростью 4 км/ч, никаких поломок не имел».</w:t>
      </w:r>
    </w:p>
    <w:p w14:paraId="0679A38D"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первоначально низкая надежность «Сталинца-3» могла объясняться недостатками изготовления первых, пока еще опытных, тракторов, то теперь уже было очевидно, что речь шла о конструктивном несовершенстве машины.</w:t>
      </w:r>
    </w:p>
    <w:p w14:paraId="0384199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ТТХ трактора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 №3 по данным госиспытаний 1932 г. Марка трактора </w:t>
      </w:r>
      <w:proofErr w:type="spellStart"/>
      <w:r w:rsidRPr="007122AB">
        <w:rPr>
          <w:rFonts w:ascii="Times New Roman" w:hAnsi="Times New Roman"/>
          <w:color w:val="000000" w:themeColor="text1"/>
          <w:sz w:val="16"/>
          <w:szCs w:val="16"/>
        </w:rPr>
        <w:t>Сталинец</w:t>
      </w:r>
      <w:proofErr w:type="spellEnd"/>
      <w:r w:rsidRPr="007122AB">
        <w:rPr>
          <w:rFonts w:ascii="Times New Roman" w:hAnsi="Times New Roman"/>
          <w:color w:val="000000" w:themeColor="text1"/>
          <w:sz w:val="16"/>
          <w:szCs w:val="16"/>
        </w:rPr>
        <w:t xml:space="preserve"> Год изготовления 1931 Мощность двигателя, л.с. 60 Габаритные размеры, мм: длина 4010 ширина 2440 высота 2760 клиренс 385 высота тягового крюка над землей 500 Вес (без водителя), кг 9935 Скорости движения, км/ч: 1-я скорость 3,3 2-я скорость 5,2 3-я скорость 7,8 4-я скорость 13,0 задний ход 4,4 Число оборотов при максимальной мощности, об/мин 650 Тип топлива Бензин и лигроин Тип карбюратора </w:t>
      </w:r>
      <w:proofErr w:type="spellStart"/>
      <w:r w:rsidRPr="007122AB">
        <w:rPr>
          <w:rFonts w:ascii="Times New Roman" w:hAnsi="Times New Roman"/>
          <w:color w:val="000000" w:themeColor="text1"/>
          <w:sz w:val="16"/>
          <w:szCs w:val="16"/>
        </w:rPr>
        <w:t>Энсайн</w:t>
      </w:r>
      <w:proofErr w:type="spellEnd"/>
      <w:r w:rsidRPr="007122AB">
        <w:rPr>
          <w:rFonts w:ascii="Times New Roman" w:hAnsi="Times New Roman"/>
          <w:color w:val="000000" w:themeColor="text1"/>
          <w:sz w:val="16"/>
          <w:szCs w:val="16"/>
        </w:rPr>
        <w:t xml:space="preserve"> АА Способ подачи топлива Вакуум-аппарат Запас топлива, л 352 Система смазки Коренные и шатунные подшипники от шестеренчатого насоса. Цилиндры, поршни, пальцы, подшипники кулачкового вала, кулачки и толкатели - </w:t>
      </w:r>
      <w:proofErr w:type="spellStart"/>
      <w:r w:rsidRPr="007122AB">
        <w:rPr>
          <w:rFonts w:ascii="Times New Roman" w:hAnsi="Times New Roman"/>
          <w:color w:val="000000" w:themeColor="text1"/>
          <w:sz w:val="16"/>
          <w:szCs w:val="16"/>
        </w:rPr>
        <w:t>рабрызгиванием</w:t>
      </w:r>
      <w:proofErr w:type="spellEnd"/>
      <w:r w:rsidRPr="007122AB">
        <w:rPr>
          <w:rFonts w:ascii="Times New Roman" w:hAnsi="Times New Roman"/>
          <w:color w:val="000000" w:themeColor="text1"/>
          <w:sz w:val="16"/>
          <w:szCs w:val="16"/>
        </w:rPr>
        <w:t xml:space="preserve">. Тип радиатора системы охлаждения Трубчатый Зажигание Магнето Сцепление Сухое однодисковое Тип коробки передач Шестеренчатая Передача на ведущие колеса Коническими и тарельчатыми шестернями и многодисковыми фрикционами Тип трака гусеничного движителя Стальные с несъемными шпорами Число траков гусеничного движителя, мм 33x2 Опорная длина гусеницы, мм 2500 Удельное давление на грунт, кг/см? 0,46 Система </w:t>
      </w:r>
      <w:proofErr w:type="spellStart"/>
      <w:r w:rsidRPr="007122AB">
        <w:rPr>
          <w:rFonts w:ascii="Times New Roman" w:hAnsi="Times New Roman"/>
          <w:color w:val="000000" w:themeColor="text1"/>
          <w:sz w:val="16"/>
          <w:szCs w:val="16"/>
        </w:rPr>
        <w:t>подрессоривания</w:t>
      </w:r>
      <w:proofErr w:type="spellEnd"/>
      <w:r w:rsidRPr="007122AB">
        <w:rPr>
          <w:rFonts w:ascii="Times New Roman" w:hAnsi="Times New Roman"/>
          <w:color w:val="000000" w:themeColor="text1"/>
          <w:sz w:val="16"/>
          <w:szCs w:val="16"/>
        </w:rPr>
        <w:t xml:space="preserve"> Пружины Ширина хода, мм 2250 Ширина колеи, мм 1845.</w:t>
      </w:r>
    </w:p>
    <w:p w14:paraId="7DD56BC5"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 №4 в целом продемонстрировал удовлетворительную надежность и основные эксплуатационные показатели на уровне прототипа. Из общих недостатков тракторов №3 и №4 были отмечены беззащитность водителя перед непогодой и отсутствие осветительных приборов.</w:t>
      </w:r>
    </w:p>
    <w:p w14:paraId="7F946930" w14:textId="77777777" w:rsidR="00875C4A" w:rsidRPr="007122AB" w:rsidRDefault="00875C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трактор №3 не мог быть рекомендован к серийному производству и принятию на вооружение. Однако на основе полученных результатов конструирования и испытаний тракторов КПД и «Сталинец-3» работы по созданию быстроходной армейской версии челябинского трактора были продолжены и в конечном итоге привели к появлению достаточно удачной машины С-2 (12132).</w:t>
      </w:r>
    </w:p>
    <w:p w14:paraId="7B9443C1" w14:textId="77777777" w:rsidR="00875C4A" w:rsidRPr="007122AB" w:rsidRDefault="00875C4A" w:rsidP="007122AB">
      <w:pPr>
        <w:spacing w:after="0" w:line="240" w:lineRule="auto"/>
        <w:jc w:val="both"/>
        <w:rPr>
          <w:rFonts w:ascii="Times New Roman" w:hAnsi="Times New Roman"/>
          <w:color w:val="000000" w:themeColor="text1"/>
          <w:sz w:val="16"/>
          <w:szCs w:val="16"/>
        </w:rPr>
      </w:pPr>
    </w:p>
    <w:p w14:paraId="01F843EB"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года, на 3-м Всесоюзном пробеге советских мотоциклов, сравнили три машины «</w:t>
      </w:r>
      <w:proofErr w:type="spellStart"/>
      <w:r w:rsidRPr="007122AB">
        <w:rPr>
          <w:rFonts w:ascii="Times New Roman" w:hAnsi="Times New Roman"/>
          <w:color w:val="000000" w:themeColor="text1"/>
          <w:sz w:val="16"/>
          <w:szCs w:val="16"/>
        </w:rPr>
        <w:t>Тремасс</w:t>
      </w:r>
      <w:proofErr w:type="spellEnd"/>
      <w:r w:rsidRPr="007122AB">
        <w:rPr>
          <w:rFonts w:ascii="Times New Roman" w:hAnsi="Times New Roman"/>
          <w:color w:val="000000" w:themeColor="text1"/>
          <w:sz w:val="16"/>
          <w:szCs w:val="16"/>
        </w:rPr>
        <w:t>» с тремя «Красный Октябрь», доработанными по советам П. В. Можарова. Лучшими оказались последние, хотя техническая комиссия отметила и у них ряд недостатков, больше производственного характера. Например, водителям приходилось не раз менять некачественно изготовленные магнето, прерыватели, конуса маховика и колес, ломались неважно закаленные шестерни. Но сам мотоцикл оказался неплохим.</w:t>
      </w:r>
    </w:p>
    <w:p w14:paraId="2C524B24"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Вскоре после пробега «Красный Октябрь» получил заказ сразу на 4050 машин и аванс в миллион рублей. Его следовало погасить в 1933 году, одновременно обеспечив выпуск до 10 тыс. мотоциклов в год.</w:t>
      </w:r>
    </w:p>
    <w:p w14:paraId="6C196378"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1934 года производство Л-300 на «</w:t>
      </w:r>
      <w:proofErr w:type="spellStart"/>
      <w:r w:rsidRPr="007122AB">
        <w:rPr>
          <w:rFonts w:ascii="Times New Roman" w:hAnsi="Times New Roman"/>
          <w:color w:val="000000" w:themeColor="text1"/>
          <w:sz w:val="16"/>
          <w:szCs w:val="16"/>
        </w:rPr>
        <w:t>Промете</w:t>
      </w:r>
      <w:proofErr w:type="spellEnd"/>
      <w:r w:rsidRPr="007122AB">
        <w:rPr>
          <w:rFonts w:ascii="Times New Roman" w:hAnsi="Times New Roman"/>
          <w:color w:val="000000" w:themeColor="text1"/>
          <w:sz w:val="16"/>
          <w:szCs w:val="16"/>
        </w:rPr>
        <w:t>» начали сворачивать, расширяя его на «Красном Октябре». Не прекращая серийного выпуска, конструкторы совершенствовали эту модель, позже на ее базе создали экспериментальный, усиленный Л-350.</w:t>
      </w:r>
    </w:p>
    <w:p w14:paraId="2509D6B3"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прочности и надежности мотоциклов Л-300 свидетельствовали и такие оригинальные соревнования, как прыжки с трамплина. В 1936 году Ф. Филонов, оторвавшись от него, пролетел на Л-300 почти 13 м. Поэтому вряд ли стоит удивляться тому, что эту машину широко применяли в Красной Армии для связи и ближней разведки, а в школах Автодора на ней учили будущих водителей.</w:t>
      </w:r>
    </w:p>
    <w:p w14:paraId="057E5E48"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...Возможно, некоторые читатели помнят довоенный кинофильм «Тимур и его команда». Так вот, герой этой картины едет именно на Л-300...</w:t>
      </w:r>
    </w:p>
    <w:p w14:paraId="5BF3AE0C"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Теперь о первых советских серийных мотоциклах напоминают около двух десятков чудом уцелевших экземпляров Л-300, пять из которых хранятся в Московском Политехническом музее. Причем один, что называется, на ходу...(11396).</w:t>
      </w:r>
    </w:p>
    <w:p w14:paraId="2E68DD8C"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81F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года Гипромезом был утвержден проект строительства НТМК. До конца того же года были построены щебеночный карьер, бетонный заводик и лесопилка. На стройку, общая стоимость которой была определена почти в 440 млн. рублей, планировалось закупить несколько мощных американских экскаваторов, однако сделка сорвалась, и вместо них было приобретено только 6 устаревших и слабых английских машин. Изначально строительство НТМК велось в авральном режиме, было слабо проработано, что вообще было характерно для всех объектов советской индустриализации тех лет, где участие иностранцев было или минимальным или же оно вообще отсутствовало. Первой проблемой – после отсутствия единого плана, стала нехватка рабочей силы. В результате чего темпы строительства оказались в два раза ниже, и в 1931 году удалось освоить лишь 18 из 30 млн. рублей, заложенных в финансирование проекта (11514).</w:t>
      </w:r>
    </w:p>
    <w:p w14:paraId="3ABB8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A804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 был спущен на воду и сдан в эксплуатацию в декабре следующего года Головной лесовоз "</w:t>
      </w:r>
      <w:proofErr w:type="spellStart"/>
      <w:r w:rsidRPr="007122AB">
        <w:rPr>
          <w:rFonts w:ascii="Times New Roman" w:hAnsi="Times New Roman"/>
          <w:color w:val="000000" w:themeColor="text1"/>
          <w:sz w:val="16"/>
          <w:szCs w:val="16"/>
        </w:rPr>
        <w:t>Волголес</w:t>
      </w:r>
      <w:proofErr w:type="spellEnd"/>
      <w:r w:rsidRPr="007122AB">
        <w:rPr>
          <w:rFonts w:ascii="Times New Roman" w:hAnsi="Times New Roman"/>
          <w:color w:val="000000" w:themeColor="text1"/>
          <w:sz w:val="16"/>
          <w:szCs w:val="16"/>
        </w:rPr>
        <w:t xml:space="preserve">", заложенный на ленинградском </w:t>
      </w:r>
      <w:proofErr w:type="spellStart"/>
      <w:r w:rsidRPr="007122AB">
        <w:rPr>
          <w:rFonts w:ascii="Times New Roman" w:hAnsi="Times New Roman"/>
          <w:color w:val="000000" w:themeColor="text1"/>
          <w:sz w:val="16"/>
          <w:szCs w:val="16"/>
        </w:rPr>
        <w:t>заводеим</w:t>
      </w:r>
      <w:proofErr w:type="spellEnd"/>
      <w:r w:rsidRPr="007122AB">
        <w:rPr>
          <w:rFonts w:ascii="Times New Roman" w:hAnsi="Times New Roman"/>
          <w:color w:val="000000" w:themeColor="text1"/>
          <w:sz w:val="16"/>
          <w:szCs w:val="16"/>
        </w:rPr>
        <w:t>. А. Марта в 1930 г. Заводом им. А. Марта построены также "</w:t>
      </w:r>
      <w:proofErr w:type="spellStart"/>
      <w:r w:rsidRPr="007122AB">
        <w:rPr>
          <w:rFonts w:ascii="Times New Roman" w:hAnsi="Times New Roman"/>
          <w:color w:val="000000" w:themeColor="text1"/>
          <w:sz w:val="16"/>
          <w:szCs w:val="16"/>
        </w:rPr>
        <w:t>Двинолес</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Комилес</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Севзаплес</w:t>
      </w:r>
      <w:proofErr w:type="spellEnd"/>
      <w:r w:rsidRPr="007122AB">
        <w:rPr>
          <w:rFonts w:ascii="Times New Roman" w:hAnsi="Times New Roman"/>
          <w:color w:val="000000" w:themeColor="text1"/>
          <w:sz w:val="16"/>
          <w:szCs w:val="16"/>
        </w:rPr>
        <w:t>", "Экспортлес" (затем "Максим Горький"), "</w:t>
      </w:r>
      <w:proofErr w:type="spellStart"/>
      <w:r w:rsidRPr="007122AB">
        <w:rPr>
          <w:rFonts w:ascii="Times New Roman" w:hAnsi="Times New Roman"/>
          <w:color w:val="000000" w:themeColor="text1"/>
          <w:sz w:val="16"/>
          <w:szCs w:val="16"/>
        </w:rPr>
        <w:t>Северолес</w:t>
      </w:r>
      <w:proofErr w:type="spellEnd"/>
      <w:r w:rsidRPr="007122AB">
        <w:rPr>
          <w:rFonts w:ascii="Times New Roman" w:hAnsi="Times New Roman"/>
          <w:color w:val="000000" w:themeColor="text1"/>
          <w:sz w:val="16"/>
          <w:szCs w:val="16"/>
        </w:rPr>
        <w:t xml:space="preserve">" (затем "Кузнец </w:t>
      </w:r>
      <w:r w:rsidRPr="007122AB">
        <w:rPr>
          <w:rFonts w:ascii="Times New Roman" w:hAnsi="Times New Roman"/>
          <w:color w:val="000000" w:themeColor="text1"/>
          <w:sz w:val="16"/>
          <w:szCs w:val="16"/>
        </w:rPr>
        <w:lastRenderedPageBreak/>
        <w:t>Лесов"), "Клара Цеткин" и "</w:t>
      </w:r>
      <w:proofErr w:type="spellStart"/>
      <w:r w:rsidRPr="007122AB">
        <w:rPr>
          <w:rFonts w:ascii="Times New Roman" w:hAnsi="Times New Roman"/>
          <w:color w:val="000000" w:themeColor="text1"/>
          <w:sz w:val="16"/>
          <w:szCs w:val="16"/>
        </w:rPr>
        <w:t>Лесбел</w:t>
      </w:r>
      <w:proofErr w:type="spellEnd"/>
      <w:r w:rsidRPr="007122AB">
        <w:rPr>
          <w:rFonts w:ascii="Times New Roman" w:hAnsi="Times New Roman"/>
          <w:color w:val="000000" w:themeColor="text1"/>
          <w:sz w:val="16"/>
          <w:szCs w:val="16"/>
        </w:rPr>
        <w:t>" (затем "Вторая пятилетка"), т. е. всего восемь лесовозов, включая головной. Два судна — "</w:t>
      </w:r>
      <w:proofErr w:type="spellStart"/>
      <w:r w:rsidRPr="007122AB">
        <w:rPr>
          <w:rFonts w:ascii="Times New Roman" w:hAnsi="Times New Roman"/>
          <w:color w:val="000000" w:themeColor="text1"/>
          <w:sz w:val="16"/>
          <w:szCs w:val="16"/>
        </w:rPr>
        <w:t>Мурманлес</w:t>
      </w:r>
      <w:proofErr w:type="spellEnd"/>
      <w:r w:rsidRPr="007122AB">
        <w:rPr>
          <w:rFonts w:ascii="Times New Roman" w:hAnsi="Times New Roman"/>
          <w:color w:val="000000" w:themeColor="text1"/>
          <w:sz w:val="16"/>
          <w:szCs w:val="16"/>
        </w:rPr>
        <w:t>" и "Старый большевик" — построила Северная верфь в Ленинграде. Кроме этого два однотипных судна — "Коллек</w:t>
      </w:r>
      <w:r w:rsidRPr="007122AB">
        <w:rPr>
          <w:rFonts w:ascii="Times New Roman" w:hAnsi="Times New Roman"/>
          <w:color w:val="000000" w:themeColor="text1"/>
          <w:sz w:val="16"/>
          <w:szCs w:val="16"/>
        </w:rPr>
        <w:softHyphen/>
        <w:t>тивизация" и "Строительство" — построены в 1932—1939 гг. нико</w:t>
      </w:r>
      <w:r w:rsidRPr="007122AB">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7122AB">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13B7BD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Суда типа "</w:t>
      </w:r>
      <w:proofErr w:type="spellStart"/>
      <w:r w:rsidRPr="007122AB">
        <w:rPr>
          <w:rFonts w:ascii="Times New Roman" w:hAnsi="Times New Roman"/>
          <w:color w:val="000000" w:themeColor="text1"/>
          <w:sz w:val="16"/>
          <w:szCs w:val="16"/>
        </w:rPr>
        <w:t>Волголес</w:t>
      </w:r>
      <w:proofErr w:type="spellEnd"/>
      <w:r w:rsidRPr="007122AB">
        <w:rPr>
          <w:rFonts w:ascii="Times New Roman" w:hAnsi="Times New Roman"/>
          <w:color w:val="000000" w:themeColor="text1"/>
          <w:sz w:val="16"/>
          <w:szCs w:val="16"/>
        </w:rPr>
        <w:t xml:space="preserve">" были крупнее и значительно </w:t>
      </w:r>
      <w:proofErr w:type="spellStart"/>
      <w:r w:rsidRPr="007122AB">
        <w:rPr>
          <w:rFonts w:ascii="Times New Roman" w:hAnsi="Times New Roman"/>
          <w:color w:val="000000" w:themeColor="text1"/>
          <w:sz w:val="16"/>
          <w:szCs w:val="16"/>
        </w:rPr>
        <w:t>мореходнее</w:t>
      </w:r>
      <w:proofErr w:type="spellEnd"/>
      <w:r w:rsidRPr="007122AB">
        <w:rPr>
          <w:rFonts w:ascii="Times New Roman" w:hAnsi="Times New Roman"/>
          <w:color w:val="000000" w:themeColor="text1"/>
          <w:sz w:val="16"/>
          <w:szCs w:val="16"/>
        </w:rPr>
        <w:t xml:space="preserve"> средних лесовозов, имели близкую к ним архитектуру корпуса, но при этом шесть главных отсеков, три трюма с пятью люками. Кор</w:t>
      </w:r>
      <w:r w:rsidRPr="007122AB">
        <w:rPr>
          <w:rFonts w:ascii="Times New Roman" w:hAnsi="Times New Roman"/>
          <w:color w:val="000000" w:themeColor="text1"/>
          <w:sz w:val="16"/>
          <w:szCs w:val="16"/>
        </w:rPr>
        <w:softHyphen/>
        <w:t xml:space="preserve">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w:t>
      </w:r>
      <w:proofErr w:type="spellStart"/>
      <w:r w:rsidRPr="007122AB">
        <w:rPr>
          <w:rFonts w:ascii="Times New Roman" w:hAnsi="Times New Roman"/>
          <w:color w:val="000000" w:themeColor="text1"/>
          <w:sz w:val="16"/>
          <w:szCs w:val="16"/>
        </w:rPr>
        <w:t>Зульцера</w:t>
      </w:r>
      <w:proofErr w:type="spellEnd"/>
      <w:r w:rsidRPr="007122AB">
        <w:rPr>
          <w:rFonts w:ascii="Times New Roman" w:hAnsi="Times New Roman"/>
          <w:color w:val="000000" w:themeColor="text1"/>
          <w:sz w:val="16"/>
          <w:szCs w:val="16"/>
        </w:rPr>
        <w:t xml:space="preserve"> производства завода "Русский дизель".</w:t>
      </w:r>
    </w:p>
    <w:p w14:paraId="0AFFF8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7122AB">
        <w:rPr>
          <w:rFonts w:ascii="Times New Roman" w:hAnsi="Times New Roman"/>
          <w:color w:val="000000" w:themeColor="text1"/>
          <w:sz w:val="16"/>
          <w:szCs w:val="16"/>
        </w:rPr>
        <w:softHyphen/>
        <w:t>зов-паровозов (3898).</w:t>
      </w:r>
    </w:p>
    <w:p w14:paraId="18EE7C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88379C" w14:textId="77777777" w:rsidR="00984EA8" w:rsidRPr="00441F34" w:rsidRDefault="00984EA8" w:rsidP="00984E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 июля 1931 года И.П. </w:t>
      </w:r>
      <w:proofErr w:type="spellStart"/>
      <w:r w:rsidRPr="00441F34">
        <w:rPr>
          <w:rFonts w:ascii="Times New Roman" w:hAnsi="Times New Roman"/>
          <w:color w:val="0070C0"/>
          <w:sz w:val="16"/>
          <w:szCs w:val="16"/>
        </w:rPr>
        <w:t>Павлуновский</w:t>
      </w:r>
      <w:proofErr w:type="spellEnd"/>
      <w:r w:rsidRPr="00441F34">
        <w:rPr>
          <w:rFonts w:ascii="Times New Roman" w:hAnsi="Times New Roman"/>
          <w:color w:val="0070C0"/>
          <w:sz w:val="16"/>
          <w:szCs w:val="16"/>
        </w:rPr>
        <w:t xml:space="preserve"> находился в должности заместителя председателя ВСНХ (то есть был заместителем Г.К. Орджоникидзе) по военной промышленности. В 1932 г. ВСНХ и его управленческие структуры были расформированы. Управление </w:t>
      </w:r>
      <w:proofErr w:type="spellStart"/>
      <w:r w:rsidRPr="00441F34">
        <w:rPr>
          <w:rFonts w:ascii="Times New Roman" w:hAnsi="Times New Roman"/>
          <w:color w:val="0070C0"/>
          <w:sz w:val="16"/>
          <w:szCs w:val="16"/>
        </w:rPr>
        <w:t>военпромом</w:t>
      </w:r>
      <w:proofErr w:type="spellEnd"/>
      <w:r w:rsidRPr="00441F34">
        <w:rPr>
          <w:rFonts w:ascii="Times New Roman" w:hAnsi="Times New Roman"/>
          <w:color w:val="0070C0"/>
          <w:sz w:val="16"/>
          <w:szCs w:val="16"/>
        </w:rPr>
        <w:t xml:space="preserve"> было сосредоточено в Главном военно-мобилизационном управлении (ГВМУ) в рамках вновь созданного Наркомата тяжелой промышленности СССР под руководством Г.К. Орджоникидзе. Возглавил ГВМУ и стал фактически правой рукой наркома </w:t>
      </w:r>
      <w:proofErr w:type="spellStart"/>
      <w:r w:rsidRPr="00441F34">
        <w:rPr>
          <w:rFonts w:ascii="Times New Roman" w:hAnsi="Times New Roman"/>
          <w:color w:val="0070C0"/>
          <w:sz w:val="16"/>
          <w:szCs w:val="16"/>
        </w:rPr>
        <w:t>тяжпрома</w:t>
      </w:r>
      <w:proofErr w:type="spellEnd"/>
      <w:r w:rsidRPr="00441F34">
        <w:rPr>
          <w:rFonts w:ascii="Times New Roman" w:hAnsi="Times New Roman"/>
          <w:color w:val="0070C0"/>
          <w:sz w:val="16"/>
          <w:szCs w:val="16"/>
        </w:rPr>
        <w:t xml:space="preserve"> именно И.П. </w:t>
      </w:r>
      <w:proofErr w:type="spellStart"/>
      <w:r w:rsidRPr="00441F34">
        <w:rPr>
          <w:rFonts w:ascii="Times New Roman" w:hAnsi="Times New Roman"/>
          <w:color w:val="0070C0"/>
          <w:sz w:val="16"/>
          <w:szCs w:val="16"/>
        </w:rPr>
        <w:t>Павлуновский</w:t>
      </w:r>
      <w:proofErr w:type="spellEnd"/>
      <w:r w:rsidRPr="00441F34">
        <w:rPr>
          <w:rFonts w:ascii="Times New Roman" w:hAnsi="Times New Roman"/>
          <w:color w:val="0070C0"/>
          <w:sz w:val="16"/>
          <w:szCs w:val="16"/>
        </w:rPr>
        <w:t xml:space="preserve">. А в 1934 г. он стал кандидатом в члены ЦК ВКП(б). Тогда как карьера А.Ф. </w:t>
      </w:r>
      <w:proofErr w:type="spellStart"/>
      <w:r w:rsidRPr="00441F34">
        <w:rPr>
          <w:rFonts w:ascii="Times New Roman" w:hAnsi="Times New Roman"/>
          <w:color w:val="0070C0"/>
          <w:sz w:val="16"/>
          <w:szCs w:val="16"/>
        </w:rPr>
        <w:t>Толоконцева</w:t>
      </w:r>
      <w:proofErr w:type="spellEnd"/>
      <w:r w:rsidRPr="00441F34">
        <w:rPr>
          <w:rFonts w:ascii="Times New Roman" w:hAnsi="Times New Roman"/>
          <w:color w:val="0070C0"/>
          <w:sz w:val="16"/>
          <w:szCs w:val="16"/>
        </w:rPr>
        <w:t xml:space="preserve"> стала медленно стремиться в противоположном направлении. В 1933 г. он из Управления машиностроения и металлообработки перешел на должность начальника </w:t>
      </w:r>
      <w:proofErr w:type="spellStart"/>
      <w:r w:rsidRPr="00441F34">
        <w:rPr>
          <w:rFonts w:ascii="Times New Roman" w:hAnsi="Times New Roman"/>
          <w:color w:val="0070C0"/>
          <w:sz w:val="16"/>
          <w:szCs w:val="16"/>
        </w:rPr>
        <w:t>Главточмаша</w:t>
      </w:r>
      <w:proofErr w:type="spellEnd"/>
      <w:r w:rsidRPr="00441F34">
        <w:rPr>
          <w:rFonts w:ascii="Times New Roman" w:hAnsi="Times New Roman"/>
          <w:color w:val="0070C0"/>
          <w:sz w:val="16"/>
          <w:szCs w:val="16"/>
        </w:rPr>
        <w:t xml:space="preserve"> Наркомата </w:t>
      </w:r>
      <w:proofErr w:type="spellStart"/>
      <w:r w:rsidRPr="00441F34">
        <w:rPr>
          <w:rFonts w:ascii="Times New Roman" w:hAnsi="Times New Roman"/>
          <w:color w:val="0070C0"/>
          <w:sz w:val="16"/>
          <w:szCs w:val="16"/>
        </w:rPr>
        <w:t>тяжпрома</w:t>
      </w:r>
      <w:proofErr w:type="spellEnd"/>
      <w:r w:rsidRPr="00441F34">
        <w:rPr>
          <w:rFonts w:ascii="Times New Roman" w:hAnsi="Times New Roman"/>
          <w:color w:val="0070C0"/>
          <w:sz w:val="16"/>
          <w:szCs w:val="16"/>
        </w:rPr>
        <w:t>, а в 1934 г. был выведен из состава кандидатов в члены ЦК ВКП(б). Однако итог обоих оказался одинаковым: в 1937 г. они были арестованы и впоследствии расстреляны [49] (23536).</w:t>
      </w:r>
    </w:p>
    <w:p w14:paraId="48CA063B" w14:textId="77777777" w:rsidR="00984EA8" w:rsidRPr="00441F34" w:rsidRDefault="00984EA8" w:rsidP="00984EA8">
      <w:pPr>
        <w:spacing w:after="0" w:line="240" w:lineRule="auto"/>
        <w:jc w:val="both"/>
        <w:rPr>
          <w:rFonts w:ascii="Times New Roman" w:hAnsi="Times New Roman"/>
          <w:color w:val="0070C0"/>
          <w:sz w:val="16"/>
          <w:szCs w:val="16"/>
        </w:rPr>
      </w:pPr>
    </w:p>
    <w:p w14:paraId="1018233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90B70D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83B934"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г. Тухачевский обсуждает вопрос об использовании военно-воздушных сил в качестве сдерживающего фактора в случае военного конфликта с Японией (9089). </w:t>
      </w:r>
    </w:p>
    <w:p w14:paraId="3864E7D1" w14:textId="77777777" w:rsidR="003250DD" w:rsidRPr="007122AB" w:rsidRDefault="003250DD" w:rsidP="007122AB">
      <w:pPr>
        <w:spacing w:after="0" w:line="240" w:lineRule="auto"/>
        <w:jc w:val="both"/>
        <w:rPr>
          <w:rFonts w:ascii="Times New Roman" w:hAnsi="Times New Roman"/>
          <w:color w:val="000000" w:themeColor="text1"/>
          <w:sz w:val="16"/>
          <w:szCs w:val="16"/>
        </w:rPr>
      </w:pPr>
    </w:p>
    <w:p w14:paraId="121E144C"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были подготовлены Бюджетные предложения армии и Госплана по бюджету на 1932 г. (млн. рублей)</w:t>
      </w:r>
    </w:p>
    <w:tbl>
      <w:tblPr>
        <w:tblW w:w="10456" w:type="dxa"/>
        <w:tblLook w:val="04A0" w:firstRow="1" w:lastRow="0" w:firstColumn="1" w:lastColumn="0" w:noHBand="0" w:noVBand="1"/>
      </w:tblPr>
      <w:tblGrid>
        <w:gridCol w:w="2614"/>
        <w:gridCol w:w="2614"/>
        <w:gridCol w:w="2614"/>
        <w:gridCol w:w="2614"/>
      </w:tblGrid>
      <w:tr w:rsidR="001002C3" w:rsidRPr="007122AB" w14:paraId="23F8588C" w14:textId="77777777" w:rsidTr="00027DFA">
        <w:tc>
          <w:tcPr>
            <w:tcW w:w="2614" w:type="dxa"/>
          </w:tcPr>
          <w:p w14:paraId="26FD5325" w14:textId="77777777" w:rsidR="003250DD" w:rsidRPr="007122AB" w:rsidRDefault="003250DD" w:rsidP="007122AB">
            <w:pPr>
              <w:spacing w:after="0" w:line="240" w:lineRule="auto"/>
              <w:jc w:val="both"/>
              <w:rPr>
                <w:rFonts w:ascii="Times New Roman" w:hAnsi="Times New Roman"/>
                <w:color w:val="000000" w:themeColor="text1"/>
                <w:sz w:val="16"/>
                <w:szCs w:val="16"/>
              </w:rPr>
            </w:pPr>
          </w:p>
        </w:tc>
        <w:tc>
          <w:tcPr>
            <w:tcW w:w="2614" w:type="dxa"/>
          </w:tcPr>
          <w:p w14:paraId="5F6B7A5F"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Одобренный план на 1931 г.</w:t>
            </w:r>
          </w:p>
        </w:tc>
        <w:tc>
          <w:tcPr>
            <w:tcW w:w="2614" w:type="dxa"/>
          </w:tcPr>
          <w:p w14:paraId="394276BD"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Проект НКВМ</w:t>
            </w:r>
          </w:p>
        </w:tc>
        <w:tc>
          <w:tcPr>
            <w:tcW w:w="2614" w:type="dxa"/>
          </w:tcPr>
          <w:p w14:paraId="45D1FD89"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 Госплана</w:t>
            </w:r>
          </w:p>
        </w:tc>
      </w:tr>
      <w:tr w:rsidR="001002C3" w:rsidRPr="007122AB" w14:paraId="6D583406" w14:textId="77777777" w:rsidTr="00027DFA">
        <w:tc>
          <w:tcPr>
            <w:tcW w:w="2614" w:type="dxa"/>
          </w:tcPr>
          <w:p w14:paraId="0969BC4B"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Оборонные заказы промышленности</w:t>
            </w:r>
          </w:p>
        </w:tc>
        <w:tc>
          <w:tcPr>
            <w:tcW w:w="2614" w:type="dxa"/>
          </w:tcPr>
          <w:p w14:paraId="38693D06" w14:textId="77777777" w:rsidR="003250DD" w:rsidRPr="007122AB" w:rsidRDefault="003250D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rPr>
              <w:t>852,4</w:t>
            </w:r>
          </w:p>
        </w:tc>
        <w:tc>
          <w:tcPr>
            <w:tcW w:w="2614" w:type="dxa"/>
          </w:tcPr>
          <w:p w14:paraId="3856D65D" w14:textId="77777777" w:rsidR="003250DD" w:rsidRPr="007122AB" w:rsidRDefault="003250D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rPr>
              <w:t>1629,3</w:t>
            </w:r>
          </w:p>
        </w:tc>
        <w:tc>
          <w:tcPr>
            <w:tcW w:w="2614" w:type="dxa"/>
          </w:tcPr>
          <w:p w14:paraId="766A76B0"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1320,0</w:t>
            </w:r>
          </w:p>
        </w:tc>
      </w:tr>
      <w:tr w:rsidR="001002C3" w:rsidRPr="007122AB" w14:paraId="09CD5E0F" w14:textId="77777777" w:rsidTr="00027DFA">
        <w:tc>
          <w:tcPr>
            <w:tcW w:w="2614" w:type="dxa"/>
          </w:tcPr>
          <w:p w14:paraId="6BD0AE35"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Строительство</w:t>
            </w:r>
          </w:p>
        </w:tc>
        <w:tc>
          <w:tcPr>
            <w:tcW w:w="2614" w:type="dxa"/>
          </w:tcPr>
          <w:p w14:paraId="3FB813FA"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210,1</w:t>
            </w:r>
          </w:p>
        </w:tc>
        <w:tc>
          <w:tcPr>
            <w:tcW w:w="2614" w:type="dxa"/>
          </w:tcPr>
          <w:p w14:paraId="13E326E1"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2614" w:type="dxa"/>
          </w:tcPr>
          <w:p w14:paraId="0C573D0A"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5189967E" w14:textId="77777777" w:rsidTr="00027DFA">
        <w:tc>
          <w:tcPr>
            <w:tcW w:w="2614" w:type="dxa"/>
          </w:tcPr>
          <w:p w14:paraId="269E2C7C"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Расходы по эксплуатации</w:t>
            </w:r>
          </w:p>
        </w:tc>
        <w:tc>
          <w:tcPr>
            <w:tcW w:w="2614" w:type="dxa"/>
          </w:tcPr>
          <w:p w14:paraId="1D1D4C05"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68,1</w:t>
            </w:r>
          </w:p>
        </w:tc>
        <w:tc>
          <w:tcPr>
            <w:tcW w:w="2614" w:type="dxa"/>
          </w:tcPr>
          <w:p w14:paraId="07FA0D6C"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101,6</w:t>
            </w:r>
          </w:p>
        </w:tc>
        <w:tc>
          <w:tcPr>
            <w:tcW w:w="2614" w:type="dxa"/>
          </w:tcPr>
          <w:p w14:paraId="1EE1A527"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w:t>
            </w:r>
          </w:p>
        </w:tc>
      </w:tr>
      <w:tr w:rsidR="001002C3" w:rsidRPr="007122AB" w14:paraId="0023B07C" w14:textId="77777777" w:rsidTr="00027DFA">
        <w:tc>
          <w:tcPr>
            <w:tcW w:w="2614" w:type="dxa"/>
          </w:tcPr>
          <w:p w14:paraId="265F4AFF"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Денежное содержание</w:t>
            </w:r>
          </w:p>
        </w:tc>
        <w:tc>
          <w:tcPr>
            <w:tcW w:w="2614" w:type="dxa"/>
          </w:tcPr>
          <w:p w14:paraId="30CCEFB4"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659,4</w:t>
            </w:r>
          </w:p>
        </w:tc>
        <w:tc>
          <w:tcPr>
            <w:tcW w:w="2614" w:type="dxa"/>
          </w:tcPr>
          <w:p w14:paraId="4114A8C7"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904,6</w:t>
            </w:r>
          </w:p>
        </w:tc>
        <w:tc>
          <w:tcPr>
            <w:tcW w:w="2614" w:type="dxa"/>
          </w:tcPr>
          <w:p w14:paraId="509BB2B5"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804</w:t>
            </w:r>
          </w:p>
        </w:tc>
      </w:tr>
      <w:tr w:rsidR="001002C3" w:rsidRPr="007122AB" w14:paraId="3B98D188" w14:textId="77777777" w:rsidTr="00027DFA">
        <w:tc>
          <w:tcPr>
            <w:tcW w:w="2614" w:type="dxa"/>
          </w:tcPr>
          <w:p w14:paraId="743639A5"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Весь оборонный бюджет</w:t>
            </w:r>
          </w:p>
        </w:tc>
        <w:tc>
          <w:tcPr>
            <w:tcW w:w="2614" w:type="dxa"/>
          </w:tcPr>
          <w:p w14:paraId="5F4E5C69"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1790,0</w:t>
            </w:r>
          </w:p>
        </w:tc>
        <w:tc>
          <w:tcPr>
            <w:tcW w:w="2614" w:type="dxa"/>
          </w:tcPr>
          <w:p w14:paraId="5C3C1EE8"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2985,5</w:t>
            </w:r>
          </w:p>
        </w:tc>
        <w:tc>
          <w:tcPr>
            <w:tcW w:w="2614" w:type="dxa"/>
          </w:tcPr>
          <w:p w14:paraId="097A804D" w14:textId="77777777" w:rsidR="003250DD" w:rsidRPr="007122AB" w:rsidRDefault="003250D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2514</w:t>
            </w:r>
          </w:p>
        </w:tc>
      </w:tr>
    </w:tbl>
    <w:p w14:paraId="70AB13CA" w14:textId="77777777" w:rsidR="003250DD" w:rsidRPr="007122AB" w:rsidRDefault="003250D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Источник:РГАЭ</w:t>
      </w:r>
      <w:proofErr w:type="spellEnd"/>
      <w:r w:rsidRPr="007122AB">
        <w:rPr>
          <w:rFonts w:ascii="Times New Roman" w:hAnsi="Times New Roman"/>
          <w:color w:val="000000" w:themeColor="text1"/>
          <w:sz w:val="16"/>
          <w:szCs w:val="16"/>
        </w:rPr>
        <w:t>. Ф.4372. Оп.91. Д.1149. Л.21об. Предложения Штаба РККА и Снитко, Госплан, июль 1931 г. (9089).</w:t>
      </w:r>
    </w:p>
    <w:p w14:paraId="6E230DDD" w14:textId="77777777" w:rsidR="003250DD" w:rsidRPr="007122AB" w:rsidRDefault="003250DD" w:rsidP="007122AB">
      <w:pPr>
        <w:spacing w:after="0" w:line="240" w:lineRule="auto"/>
        <w:jc w:val="both"/>
        <w:rPr>
          <w:rFonts w:ascii="Times New Roman" w:hAnsi="Times New Roman"/>
          <w:color w:val="000000" w:themeColor="text1"/>
          <w:sz w:val="16"/>
          <w:szCs w:val="16"/>
        </w:rPr>
      </w:pPr>
    </w:p>
    <w:p w14:paraId="16F582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июля 1931 г. мятежные туркменские племена в Каракумах начали систематически нападать на военные посты и станции железной дороги. Туркменскую авиагруппу существенно усилили. Дополнительные самолеты двумя эшелонами с промежуточными посадками в </w:t>
      </w:r>
      <w:proofErr w:type="spellStart"/>
      <w:r w:rsidRPr="007122AB">
        <w:rPr>
          <w:rFonts w:ascii="Times New Roman" w:hAnsi="Times New Roman"/>
          <w:color w:val="000000" w:themeColor="text1"/>
          <w:sz w:val="16"/>
          <w:szCs w:val="16"/>
        </w:rPr>
        <w:t>Чарджуе</w:t>
      </w:r>
      <w:proofErr w:type="spellEnd"/>
      <w:r w:rsidRPr="007122AB">
        <w:rPr>
          <w:rFonts w:ascii="Times New Roman" w:hAnsi="Times New Roman"/>
          <w:color w:val="000000" w:themeColor="text1"/>
          <w:sz w:val="16"/>
          <w:szCs w:val="16"/>
        </w:rPr>
        <w:t xml:space="preserve"> и Мерве перелетели из Ташкента в Кызыл-</w:t>
      </w:r>
      <w:proofErr w:type="spellStart"/>
      <w:r w:rsidRPr="007122AB">
        <w:rPr>
          <w:rFonts w:ascii="Times New Roman" w:hAnsi="Times New Roman"/>
          <w:color w:val="000000" w:themeColor="text1"/>
          <w:sz w:val="16"/>
          <w:szCs w:val="16"/>
        </w:rPr>
        <w:t>Арват</w:t>
      </w:r>
      <w:proofErr w:type="spellEnd"/>
      <w:r w:rsidRPr="007122AB">
        <w:rPr>
          <w:rFonts w:ascii="Times New Roman" w:hAnsi="Times New Roman"/>
          <w:color w:val="000000" w:themeColor="text1"/>
          <w:sz w:val="16"/>
          <w:szCs w:val="16"/>
        </w:rPr>
        <w:t>. Всего там собралось 28 Р-ЗЛД, один Ю-13, два Р-5 и один АНТ-9. Затем эти машины рассредоточили по передовым аэродромам, снабжавшимся в основном караванами верблюдов. Операциями командовал комбриг Богослов.</w:t>
      </w:r>
    </w:p>
    <w:p w14:paraId="638E4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Красная Армия начала Каракумский поход. Одну группировку войск высадили в порту Красноводск на Каспийском море. Она включала мотопехоту, броневики и танкетки. Туда также перелетело звено Р-ЗЛД.</w:t>
      </w:r>
    </w:p>
    <w:p w14:paraId="64417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Красноводска сводный механизированный отряд двинулся в пустыню, пробираясь от колодца к колодцу. Там, где находили подходящие площадки, принимали транспортные самолеты Ю-13 с бензином и маслом для техники. Регулярно велась воздушная разведка, являвшаяся единственным средством получать оперативную информацию о противнике. Самолеты доставляли приказы, различные документы, карты, а также свежие газеты.</w:t>
      </w:r>
    </w:p>
    <w:p w14:paraId="3E8FA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Уже с 14 августа авиация начала наносить удары по становищам мятежных племен. У колодца Аджи-Кую самолеты из Красноводска нашли пять глинобитных построек и около 40 юрт. Рядом паслись верблюды и лошади. Решили, что это "становище банды", и сбросили </w:t>
      </w:r>
      <w:proofErr w:type="spellStart"/>
      <w:r w:rsidRPr="007122AB">
        <w:rPr>
          <w:rFonts w:ascii="Times New Roman" w:hAnsi="Times New Roman"/>
          <w:color w:val="000000" w:themeColor="text1"/>
          <w:sz w:val="16"/>
          <w:szCs w:val="16"/>
        </w:rPr>
        <w:t>бомбы.И</w:t>
      </w:r>
      <w:proofErr w:type="spellEnd"/>
      <w:r w:rsidRPr="007122AB">
        <w:rPr>
          <w:rFonts w:ascii="Times New Roman" w:hAnsi="Times New Roman"/>
          <w:color w:val="000000" w:themeColor="text1"/>
          <w:sz w:val="16"/>
          <w:szCs w:val="16"/>
        </w:rPr>
        <w:t xml:space="preserve"> так почти каждый день. 21 августа три Р-ЗЛД встретили 70 - 80 всадников у колодца </w:t>
      </w:r>
      <w:proofErr w:type="spellStart"/>
      <w:r w:rsidRPr="007122AB">
        <w:rPr>
          <w:rFonts w:ascii="Times New Roman" w:hAnsi="Times New Roman"/>
          <w:color w:val="000000" w:themeColor="text1"/>
          <w:sz w:val="16"/>
          <w:szCs w:val="16"/>
        </w:rPr>
        <w:t>Накар</w:t>
      </w:r>
      <w:proofErr w:type="spellEnd"/>
      <w:r w:rsidRPr="007122AB">
        <w:rPr>
          <w:rFonts w:ascii="Times New Roman" w:hAnsi="Times New Roman"/>
          <w:color w:val="000000" w:themeColor="text1"/>
          <w:sz w:val="16"/>
          <w:szCs w:val="16"/>
        </w:rPr>
        <w:t xml:space="preserve">-Кую. На них израсходовали 24 мелкие бомбы и 1000 патронов. В рапорте командир звена написал: "Отмечено значительное поражение людского состава". Басмачи тоже стреляли по самолетам. Но потерь летчики не имели. Зато 24 августа у кишлака </w:t>
      </w:r>
      <w:proofErr w:type="spellStart"/>
      <w:r w:rsidRPr="007122AB">
        <w:rPr>
          <w:rFonts w:ascii="Times New Roman" w:hAnsi="Times New Roman"/>
          <w:color w:val="000000" w:themeColor="text1"/>
          <w:sz w:val="16"/>
          <w:szCs w:val="16"/>
        </w:rPr>
        <w:t>Каравиколь</w:t>
      </w:r>
      <w:proofErr w:type="spellEnd"/>
      <w:r w:rsidRPr="007122AB">
        <w:rPr>
          <w:rFonts w:ascii="Times New Roman" w:hAnsi="Times New Roman"/>
          <w:color w:val="000000" w:themeColor="text1"/>
          <w:sz w:val="16"/>
          <w:szCs w:val="16"/>
        </w:rPr>
        <w:t xml:space="preserve"> разбился Р-ЗЛД, пытавшийся принять с земли донесение "кошкой".</w:t>
      </w:r>
    </w:p>
    <w:p w14:paraId="28FCE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Похоже, что основное внимание при действиях авиации уделялось устрашению местного населения. Почти половина вылетов с бомбометанием осуществлялась по становищам, где на одного боеспособного мужчину приходилось свыше десятка женщин, детей и стариков. Вот как это описывалось в рапорте: "При появлении самолетов все живое покидает аул, укрываясь в барханах и зарослях саксаула... Количество аулов и юрт в районе действия авиации значительно уменьшилось". Правда, в некоторых случаях совершались так называемые "демонстративные" налеты. Машины просто на малой высоте несколько раз проходили над селением. Да и при бомбометании предпочитали скорее эффектность, чем эффективность. Брали в основном фугасные бомбы, от которых было много шума и пыли, а не осколочные, реально поражавшие людей.</w:t>
      </w:r>
    </w:p>
    <w:p w14:paraId="09799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Охотились самолеты и за караванами. Так, 28 августа близ колодца </w:t>
      </w:r>
      <w:proofErr w:type="spellStart"/>
      <w:r w:rsidRPr="007122AB">
        <w:rPr>
          <w:rFonts w:ascii="Times New Roman" w:hAnsi="Times New Roman"/>
          <w:color w:val="000000" w:themeColor="text1"/>
          <w:sz w:val="16"/>
          <w:szCs w:val="16"/>
        </w:rPr>
        <w:t>Герли-Ата</w:t>
      </w:r>
      <w:proofErr w:type="spellEnd"/>
      <w:r w:rsidRPr="007122AB">
        <w:rPr>
          <w:rFonts w:ascii="Times New Roman" w:hAnsi="Times New Roman"/>
          <w:color w:val="000000" w:themeColor="text1"/>
          <w:sz w:val="16"/>
          <w:szCs w:val="16"/>
        </w:rPr>
        <w:t xml:space="preserve"> разгромили караван из 250 - 300 верблюдов, сопровождаемый 70 всадниками.</w:t>
      </w:r>
    </w:p>
    <w:p w14:paraId="18F1E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Туркмены не отсиживались в обороне. 24 августа 1931 г. одна из банд атаковала передовой аэродром. Все находившиеся на нем, около 40 человек, взялись за оружие и отстояли самолеты.</w:t>
      </w:r>
    </w:p>
    <w:p w14:paraId="12ED60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августа банда </w:t>
      </w:r>
      <w:proofErr w:type="spellStart"/>
      <w:r w:rsidRPr="007122AB">
        <w:rPr>
          <w:rFonts w:ascii="Times New Roman" w:hAnsi="Times New Roman"/>
          <w:color w:val="000000" w:themeColor="text1"/>
          <w:sz w:val="16"/>
          <w:szCs w:val="16"/>
        </w:rPr>
        <w:t>Хакмурата</w:t>
      </w:r>
      <w:proofErr w:type="spellEnd"/>
      <w:r w:rsidRPr="007122AB">
        <w:rPr>
          <w:rFonts w:ascii="Times New Roman" w:hAnsi="Times New Roman"/>
          <w:color w:val="000000" w:themeColor="text1"/>
          <w:sz w:val="16"/>
          <w:szCs w:val="16"/>
        </w:rPr>
        <w:t xml:space="preserve"> осадила железнодорожную станцию Джебель. На помощь небольшому отряду красноармейцев и ополченцев вылетела группа Р-ЗЛД, которую вел </w:t>
      </w:r>
      <w:proofErr w:type="spellStart"/>
      <w:r w:rsidRPr="007122AB">
        <w:rPr>
          <w:rFonts w:ascii="Times New Roman" w:hAnsi="Times New Roman"/>
          <w:color w:val="000000" w:themeColor="text1"/>
          <w:sz w:val="16"/>
          <w:szCs w:val="16"/>
        </w:rPr>
        <w:t>Калюжнов</w:t>
      </w:r>
      <w:proofErr w:type="spellEnd"/>
      <w:r w:rsidRPr="007122AB">
        <w:rPr>
          <w:rFonts w:ascii="Times New Roman" w:hAnsi="Times New Roman"/>
          <w:color w:val="000000" w:themeColor="text1"/>
          <w:sz w:val="16"/>
          <w:szCs w:val="16"/>
        </w:rPr>
        <w:t xml:space="preserve">. Самолеты сбросили бомбы, причем отличился экипаж Н.Д. Груздева, подавивший ключевую позицию противника у водокачки, а затем начали штурмовать пулеметным огнем. На самолете </w:t>
      </w:r>
      <w:proofErr w:type="spellStart"/>
      <w:r w:rsidRPr="007122AB">
        <w:rPr>
          <w:rFonts w:ascii="Times New Roman" w:hAnsi="Times New Roman"/>
          <w:color w:val="000000" w:themeColor="text1"/>
          <w:sz w:val="16"/>
          <w:szCs w:val="16"/>
        </w:rPr>
        <w:t>Калюжнова</w:t>
      </w:r>
      <w:proofErr w:type="spellEnd"/>
      <w:r w:rsidRPr="007122AB">
        <w:rPr>
          <w:rFonts w:ascii="Times New Roman" w:hAnsi="Times New Roman"/>
          <w:color w:val="000000" w:themeColor="text1"/>
          <w:sz w:val="16"/>
          <w:szCs w:val="16"/>
        </w:rPr>
        <w:t xml:space="preserve"> пулей пробило бензобак, но, ежеминутно рискуя взорваться, он продолжал атаки, пока басмачи не начали отступать. И только после этого совершил вынужденную посадку.</w:t>
      </w:r>
    </w:p>
    <w:p w14:paraId="378965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сентября пилота М.Ф. Мищенко отправили с донесением к командиру механизированного отряда </w:t>
      </w:r>
      <w:proofErr w:type="spellStart"/>
      <w:r w:rsidRPr="007122AB">
        <w:rPr>
          <w:rFonts w:ascii="Times New Roman" w:hAnsi="Times New Roman"/>
          <w:color w:val="000000" w:themeColor="text1"/>
          <w:sz w:val="16"/>
          <w:szCs w:val="16"/>
        </w:rPr>
        <w:t>Ломанову</w:t>
      </w:r>
      <w:proofErr w:type="spellEnd"/>
      <w:r w:rsidRPr="007122AB">
        <w:rPr>
          <w:rFonts w:ascii="Times New Roman" w:hAnsi="Times New Roman"/>
          <w:color w:val="000000" w:themeColor="text1"/>
          <w:sz w:val="16"/>
          <w:szCs w:val="16"/>
        </w:rPr>
        <w:t xml:space="preserve">. При взлете от места стоянки отряда летчик в километре от него обнаружил засаду басмачей. Успев набрать высоту всего 50 м, он сразу ринулся в атаку. Бандиты встретили самолет ружейными залпами в упор и достигли двух попаданий. Находчивость пилота дала время </w:t>
      </w:r>
      <w:proofErr w:type="spellStart"/>
      <w:r w:rsidRPr="007122AB">
        <w:rPr>
          <w:rFonts w:ascii="Times New Roman" w:hAnsi="Times New Roman"/>
          <w:color w:val="000000" w:themeColor="text1"/>
          <w:sz w:val="16"/>
          <w:szCs w:val="16"/>
        </w:rPr>
        <w:t>мотоотряду</w:t>
      </w:r>
      <w:proofErr w:type="spellEnd"/>
      <w:r w:rsidRPr="007122AB">
        <w:rPr>
          <w:rFonts w:ascii="Times New Roman" w:hAnsi="Times New Roman"/>
          <w:color w:val="000000" w:themeColor="text1"/>
          <w:sz w:val="16"/>
          <w:szCs w:val="16"/>
        </w:rPr>
        <w:t xml:space="preserve"> развернуться в боевые порядки и смять засаду.</w:t>
      </w:r>
    </w:p>
    <w:p w14:paraId="2CF67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Механизированный отряд имел два крупных боя с туркменами, оба в начале сентября: у становища </w:t>
      </w:r>
      <w:proofErr w:type="spellStart"/>
      <w:r w:rsidRPr="007122AB">
        <w:rPr>
          <w:rFonts w:ascii="Times New Roman" w:hAnsi="Times New Roman"/>
          <w:color w:val="000000" w:themeColor="text1"/>
          <w:sz w:val="16"/>
          <w:szCs w:val="16"/>
        </w:rPr>
        <w:t>Туар</w:t>
      </w:r>
      <w:proofErr w:type="spellEnd"/>
      <w:r w:rsidRPr="007122AB">
        <w:rPr>
          <w:rFonts w:ascii="Times New Roman" w:hAnsi="Times New Roman"/>
          <w:color w:val="000000" w:themeColor="text1"/>
          <w:sz w:val="16"/>
          <w:szCs w:val="16"/>
        </w:rPr>
        <w:t xml:space="preserve"> и у колодца </w:t>
      </w:r>
      <w:proofErr w:type="spellStart"/>
      <w:r w:rsidRPr="007122AB">
        <w:rPr>
          <w:rFonts w:ascii="Times New Roman" w:hAnsi="Times New Roman"/>
          <w:color w:val="000000" w:themeColor="text1"/>
          <w:sz w:val="16"/>
          <w:szCs w:val="16"/>
        </w:rPr>
        <w:t>Чагыл</w:t>
      </w:r>
      <w:proofErr w:type="spellEnd"/>
      <w:r w:rsidRPr="007122AB">
        <w:rPr>
          <w:rFonts w:ascii="Times New Roman" w:hAnsi="Times New Roman"/>
          <w:color w:val="000000" w:themeColor="text1"/>
          <w:sz w:val="16"/>
          <w:szCs w:val="16"/>
        </w:rPr>
        <w:t xml:space="preserve">. В обоих случаях атака поддерживалась авиацией, хотя, по сообщениям, "мощная бомбежка паники не вызвала". По меркам среднеазиатского театра, это действительно был серьезный удар. Так, </w:t>
      </w:r>
      <w:proofErr w:type="spellStart"/>
      <w:r w:rsidRPr="007122AB">
        <w:rPr>
          <w:rFonts w:ascii="Times New Roman" w:hAnsi="Times New Roman"/>
          <w:color w:val="000000" w:themeColor="text1"/>
          <w:sz w:val="16"/>
          <w:szCs w:val="16"/>
        </w:rPr>
        <w:t>Чагыл</w:t>
      </w:r>
      <w:proofErr w:type="spellEnd"/>
      <w:r w:rsidRPr="007122AB">
        <w:rPr>
          <w:rFonts w:ascii="Times New Roman" w:hAnsi="Times New Roman"/>
          <w:color w:val="000000" w:themeColor="text1"/>
          <w:sz w:val="16"/>
          <w:szCs w:val="16"/>
        </w:rPr>
        <w:t>, который обороняли 600 человек, три дня бомбили и обстреливали 22 самолета, сбросив 392 бомбы. Конечно, кочевники не смогли устоять против артиллерии, авиации и танкеток. Оставив семьи и скот, мужчины отошли в пустыню. Потери красноармейцев были мизерны (правда, туркменам удалось сжечь одну танкетку). Отходящих преследовала авиация, обрушившая на их головы еще 150 бомб.</w:t>
      </w:r>
    </w:p>
    <w:p w14:paraId="064A5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другой стороны навстречу в пески двигалась Хорезмская группа: моторизованный отряд ОГПУ и Туркменская </w:t>
      </w:r>
      <w:proofErr w:type="spellStart"/>
      <w:r w:rsidRPr="007122AB">
        <w:rPr>
          <w:rFonts w:ascii="Times New Roman" w:hAnsi="Times New Roman"/>
          <w:color w:val="000000" w:themeColor="text1"/>
          <w:sz w:val="16"/>
          <w:szCs w:val="16"/>
        </w:rPr>
        <w:t>кавбригада</w:t>
      </w:r>
      <w:proofErr w:type="spellEnd"/>
      <w:r w:rsidRPr="007122AB">
        <w:rPr>
          <w:rFonts w:ascii="Times New Roman" w:hAnsi="Times New Roman"/>
          <w:color w:val="000000" w:themeColor="text1"/>
          <w:sz w:val="16"/>
          <w:szCs w:val="16"/>
        </w:rPr>
        <w:t xml:space="preserve">. Их поддерживали девять само- </w:t>
      </w:r>
      <w:proofErr w:type="spellStart"/>
      <w:r w:rsidRPr="007122AB">
        <w:rPr>
          <w:rFonts w:ascii="Times New Roman" w:hAnsi="Times New Roman"/>
          <w:color w:val="000000" w:themeColor="text1"/>
          <w:sz w:val="16"/>
          <w:szCs w:val="16"/>
        </w:rPr>
        <w:t>летов</w:t>
      </w:r>
      <w:proofErr w:type="spellEnd"/>
      <w:r w:rsidRPr="007122AB">
        <w:rPr>
          <w:rFonts w:ascii="Times New Roman" w:hAnsi="Times New Roman"/>
          <w:color w:val="000000" w:themeColor="text1"/>
          <w:sz w:val="16"/>
          <w:szCs w:val="16"/>
        </w:rPr>
        <w:t xml:space="preserve">-разведчиков и один транспортный Ю-13. Хорезмская группа серьезного сопротивления не встретила. 18 сентября летнаб Мальцев нашел большое становище в урочище </w:t>
      </w:r>
      <w:proofErr w:type="spellStart"/>
      <w:r w:rsidRPr="007122AB">
        <w:rPr>
          <w:rFonts w:ascii="Times New Roman" w:hAnsi="Times New Roman"/>
          <w:color w:val="000000" w:themeColor="text1"/>
          <w:sz w:val="16"/>
          <w:szCs w:val="16"/>
        </w:rPr>
        <w:t>Кесекли</w:t>
      </w:r>
      <w:proofErr w:type="spellEnd"/>
      <w:r w:rsidRPr="007122AB">
        <w:rPr>
          <w:rFonts w:ascii="Times New Roman" w:hAnsi="Times New Roman"/>
          <w:color w:val="000000" w:themeColor="text1"/>
          <w:sz w:val="16"/>
          <w:szCs w:val="16"/>
        </w:rPr>
        <w:t xml:space="preserve">. На следующий день туда подошел отряд ОГПУ. С рассветом по становищу отбомбились три Р-ЗЛД 40-го </w:t>
      </w:r>
      <w:proofErr w:type="spellStart"/>
      <w:r w:rsidRPr="007122AB">
        <w:rPr>
          <w:rFonts w:ascii="Times New Roman" w:hAnsi="Times New Roman"/>
          <w:color w:val="000000" w:themeColor="text1"/>
          <w:sz w:val="16"/>
          <w:szCs w:val="16"/>
        </w:rPr>
        <w:t>ао</w:t>
      </w:r>
      <w:proofErr w:type="spellEnd"/>
      <w:r w:rsidRPr="007122AB">
        <w:rPr>
          <w:rFonts w:ascii="Times New Roman" w:hAnsi="Times New Roman"/>
          <w:color w:val="000000" w:themeColor="text1"/>
          <w:sz w:val="16"/>
          <w:szCs w:val="16"/>
        </w:rPr>
        <w:t>, несколько выстрелов сделала единственная пушка чекистов, а затем вперед двинулись грузовики с пулеметами. Но становище сдалось без боя. Пленных не могли даже сосчитать: в урочище пряталось около 20 000 человек с большим количеством скота. Их стоянки растянулись на 25 - 30 км.</w:t>
      </w:r>
    </w:p>
    <w:p w14:paraId="6D65B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Позже авиацию использовали в основном для разведки и связи. Был случай, когда командир 35-го </w:t>
      </w:r>
      <w:proofErr w:type="spellStart"/>
      <w:r w:rsidRPr="007122AB">
        <w:rPr>
          <w:rFonts w:ascii="Times New Roman" w:hAnsi="Times New Roman"/>
          <w:color w:val="000000" w:themeColor="text1"/>
          <w:sz w:val="16"/>
          <w:szCs w:val="16"/>
        </w:rPr>
        <w:t>ао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Калюжнов</w:t>
      </w:r>
      <w:proofErr w:type="spellEnd"/>
      <w:r w:rsidRPr="007122AB">
        <w:rPr>
          <w:rFonts w:ascii="Times New Roman" w:hAnsi="Times New Roman"/>
          <w:color w:val="000000" w:themeColor="text1"/>
          <w:sz w:val="16"/>
          <w:szCs w:val="16"/>
        </w:rPr>
        <w:t xml:space="preserve"> отправился искать </w:t>
      </w:r>
      <w:proofErr w:type="spellStart"/>
      <w:r w:rsidRPr="007122AB">
        <w:rPr>
          <w:rFonts w:ascii="Times New Roman" w:hAnsi="Times New Roman"/>
          <w:color w:val="000000" w:themeColor="text1"/>
          <w:sz w:val="16"/>
          <w:szCs w:val="16"/>
        </w:rPr>
        <w:t>мотомехотряд</w:t>
      </w:r>
      <w:proofErr w:type="spellEnd"/>
      <w:r w:rsidRPr="007122AB">
        <w:rPr>
          <w:rFonts w:ascii="Times New Roman" w:hAnsi="Times New Roman"/>
          <w:color w:val="000000" w:themeColor="text1"/>
          <w:sz w:val="16"/>
          <w:szCs w:val="16"/>
        </w:rPr>
        <w:t xml:space="preserve"> ОГПУ. Он долго летал и, наконец, увидел внизу следы машин. По ним летчик нашел отряд и сбросил вымпел с приказом. На бомбометание летали сравнительно редко. Несколько вылетов с бомбами сделали в районе Ташауза.</w:t>
      </w:r>
    </w:p>
    <w:p w14:paraId="71BBD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сентября вся Туркменская авиагруппа уже была на грани потери боеспособности. Моторесурс был на исходе, поскольку летали вдвое больше нормы ("эксплуатация самолетов хищническая", сообщали из 35-го </w:t>
      </w:r>
      <w:proofErr w:type="spellStart"/>
      <w:r w:rsidRPr="007122AB">
        <w:rPr>
          <w:rFonts w:ascii="Times New Roman" w:hAnsi="Times New Roman"/>
          <w:color w:val="000000" w:themeColor="text1"/>
          <w:sz w:val="16"/>
          <w:szCs w:val="16"/>
        </w:rPr>
        <w:t>ао</w:t>
      </w:r>
      <w:proofErr w:type="spellEnd"/>
      <w:r w:rsidRPr="007122AB">
        <w:rPr>
          <w:rFonts w:ascii="Times New Roman" w:hAnsi="Times New Roman"/>
          <w:color w:val="000000" w:themeColor="text1"/>
          <w:sz w:val="16"/>
          <w:szCs w:val="16"/>
        </w:rPr>
        <w:t>), запас бензина кончался, экипажи устали. Особенно страдали от нехватки воды. В одном случае даже собрали фляги у наземного состава, чтобы залить воду в радиаторы самолетов.</w:t>
      </w:r>
    </w:p>
    <w:p w14:paraId="4F4F1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Потери в технике имелись только за счет аварий. Из личного состава не в катастрофе погиб начальник штаба 37-й </w:t>
      </w:r>
      <w:proofErr w:type="spellStart"/>
      <w:r w:rsidRPr="007122AB">
        <w:rPr>
          <w:rFonts w:ascii="Times New Roman" w:hAnsi="Times New Roman"/>
          <w:color w:val="000000" w:themeColor="text1"/>
          <w:sz w:val="16"/>
          <w:szCs w:val="16"/>
        </w:rPr>
        <w:t>аэ</w:t>
      </w:r>
      <w:proofErr w:type="spellEnd"/>
      <w:r w:rsidRPr="007122AB">
        <w:rPr>
          <w:rFonts w:ascii="Times New Roman" w:hAnsi="Times New Roman"/>
          <w:color w:val="000000" w:themeColor="text1"/>
          <w:sz w:val="16"/>
          <w:szCs w:val="16"/>
        </w:rPr>
        <w:t xml:space="preserve"> А.Р Янко. Его убили в воздухе во время фотографирования стоянки басмачей у озера Джамала. Несколькими месяцами ранее летнаб Балакирев получил ранение в руку.</w:t>
      </w:r>
    </w:p>
    <w:p w14:paraId="2815F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экипажи имели большой налет, поскольку проводили в воздухе до шести - восьми часов в день. В некоторых случаях совершали за день до трех вылетов. Только за август - октябрь авиаторы сбросили 1875 бомб и расстреляли 25 883 патрона.</w:t>
      </w:r>
    </w:p>
    <w:p w14:paraId="6EEE1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Хотя официально операции закончились в ноябре 1931 г., в пустыне оставили звено 40-го </w:t>
      </w:r>
      <w:proofErr w:type="spellStart"/>
      <w:r w:rsidRPr="007122AB">
        <w:rPr>
          <w:rFonts w:ascii="Times New Roman" w:hAnsi="Times New Roman"/>
          <w:color w:val="000000" w:themeColor="text1"/>
          <w:sz w:val="16"/>
          <w:szCs w:val="16"/>
        </w:rPr>
        <w:t>ао</w:t>
      </w:r>
      <w:proofErr w:type="spellEnd"/>
      <w:r w:rsidRPr="007122AB">
        <w:rPr>
          <w:rFonts w:ascii="Times New Roman" w:hAnsi="Times New Roman"/>
          <w:color w:val="000000" w:themeColor="text1"/>
          <w:sz w:val="16"/>
          <w:szCs w:val="16"/>
        </w:rPr>
        <w:t>. Правда, его деятельность ограничили разведкой и демонстративными полетами (11985).</w:t>
      </w:r>
    </w:p>
    <w:p w14:paraId="40099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E22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 торпедную ячейку", созданную 25 мая 1931 приказом Алксниса по предложению НИИ ВВС в составе 9-й авиабригады на Черном море,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60BBC3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1E3FF3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6610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3EAD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3D55F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2BC9B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xml:space="preserve"> весной 1933 г. (12001).</w:t>
      </w:r>
    </w:p>
    <w:p w14:paraId="75814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743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июле 1931 года в пайке 400 г хлеба ржаного заменены равным количеством хлеба пшеничного; вместо 20 г жиров животных был установлен отпуск 30 г масла растительного; увеличились нормы выдачи сахара (9090).</w:t>
      </w:r>
    </w:p>
    <w:p w14:paraId="10D16E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77FA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Тухачевский обсуждал вопрос об использовании ВВС в качестве сдерживающего фактора в случае конфликта с Японией. Оказалось - во время, т.к. в сентябре Япония </w:t>
      </w:r>
      <w:proofErr w:type="spellStart"/>
      <w:r w:rsidRPr="007122AB">
        <w:rPr>
          <w:rFonts w:ascii="Times New Roman" w:hAnsi="Times New Roman"/>
          <w:color w:val="000000" w:themeColor="text1"/>
          <w:sz w:val="16"/>
          <w:szCs w:val="16"/>
        </w:rPr>
        <w:t>торглась</w:t>
      </w:r>
      <w:proofErr w:type="spellEnd"/>
      <w:r w:rsidRPr="007122AB">
        <w:rPr>
          <w:rFonts w:ascii="Times New Roman" w:hAnsi="Times New Roman"/>
          <w:color w:val="000000" w:themeColor="text1"/>
          <w:sz w:val="16"/>
          <w:szCs w:val="16"/>
        </w:rPr>
        <w:t xml:space="preserve"> в Манчжурию (089,148).</w:t>
      </w:r>
    </w:p>
    <w:p w14:paraId="0ED03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21325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2963FA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0E744B" w14:textId="77777777" w:rsidR="003159CA" w:rsidRPr="007122AB" w:rsidRDefault="003159C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1931 состоялся первый полет </w:t>
      </w:r>
      <w:proofErr w:type="spellStart"/>
      <w:r w:rsidRPr="007122AB">
        <w:rPr>
          <w:rFonts w:ascii="Times New Roman" w:hAnsi="Times New Roman"/>
          <w:color w:val="000000" w:themeColor="text1"/>
          <w:sz w:val="16"/>
          <w:szCs w:val="16"/>
        </w:rPr>
        <w:t>Macchi</w:t>
      </w:r>
      <w:proofErr w:type="spellEnd"/>
      <w:r w:rsidRPr="007122AB">
        <w:rPr>
          <w:rFonts w:ascii="Times New Roman" w:hAnsi="Times New Roman"/>
          <w:color w:val="000000" w:themeColor="text1"/>
          <w:sz w:val="16"/>
          <w:szCs w:val="16"/>
        </w:rPr>
        <w:t xml:space="preserve"> MC72 (20804).</w:t>
      </w:r>
    </w:p>
    <w:p w14:paraId="34903E88" w14:textId="77777777" w:rsidR="003159CA" w:rsidRPr="007122AB" w:rsidRDefault="003159CA" w:rsidP="007122AB">
      <w:pPr>
        <w:spacing w:after="0" w:line="240" w:lineRule="auto"/>
        <w:jc w:val="both"/>
        <w:rPr>
          <w:rFonts w:ascii="Times New Roman" w:hAnsi="Times New Roman"/>
          <w:color w:val="000000" w:themeColor="text1"/>
          <w:sz w:val="16"/>
          <w:szCs w:val="16"/>
        </w:rPr>
      </w:pPr>
    </w:p>
    <w:p w14:paraId="7915A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 и сентябре 1931 г. в ходе переговоров с германским канцлером Х. </w:t>
      </w:r>
      <w:proofErr w:type="spellStart"/>
      <w:r w:rsidRPr="007122AB">
        <w:rPr>
          <w:rFonts w:ascii="Times New Roman" w:hAnsi="Times New Roman"/>
          <w:color w:val="000000" w:themeColor="text1"/>
          <w:sz w:val="16"/>
          <w:szCs w:val="16"/>
        </w:rPr>
        <w:t>Брюнингрм</w:t>
      </w:r>
      <w:proofErr w:type="spellEnd"/>
      <w:r w:rsidRPr="007122AB">
        <w:rPr>
          <w:rFonts w:ascii="Times New Roman" w:hAnsi="Times New Roman"/>
          <w:color w:val="000000" w:themeColor="text1"/>
          <w:sz w:val="16"/>
          <w:szCs w:val="16"/>
        </w:rPr>
        <w:t xml:space="preserve"> в Париже и Берлине в обмен на крупную финансовую помощь Франция потребовала от Германии «политического перемирия» и </w:t>
      </w:r>
      <w:proofErr w:type="spellStart"/>
      <w:r w:rsidRPr="007122AB">
        <w:rPr>
          <w:rFonts w:ascii="Times New Roman" w:hAnsi="Times New Roman"/>
          <w:color w:val="000000" w:themeColor="text1"/>
          <w:sz w:val="16"/>
          <w:szCs w:val="16"/>
        </w:rPr>
        <w:t>неувеличения</w:t>
      </w:r>
      <w:proofErr w:type="spellEnd"/>
      <w:r w:rsidRPr="007122AB">
        <w:rPr>
          <w:rFonts w:ascii="Times New Roman" w:hAnsi="Times New Roman"/>
          <w:color w:val="000000" w:themeColor="text1"/>
          <w:sz w:val="16"/>
          <w:szCs w:val="16"/>
        </w:rPr>
        <w:t xml:space="preserve"> Берлином своих военных расходов. 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w:t>
      </w:r>
      <w:proofErr w:type="spellStart"/>
      <w:r w:rsidRPr="007122AB">
        <w:rPr>
          <w:rFonts w:ascii="Times New Roman" w:hAnsi="Times New Roman"/>
          <w:color w:val="000000" w:themeColor="text1"/>
          <w:sz w:val="16"/>
          <w:szCs w:val="16"/>
        </w:rPr>
        <w:t>Брианом</w:t>
      </w:r>
      <w:proofErr w:type="spellEnd"/>
      <w:r w:rsidRPr="007122AB">
        <w:rPr>
          <w:rFonts w:ascii="Times New Roman" w:hAnsi="Times New Roman"/>
          <w:color w:val="000000" w:themeColor="text1"/>
          <w:sz w:val="16"/>
          <w:szCs w:val="16"/>
        </w:rPr>
        <w:t xml:space="preserve"> министр иностранных дел Германии Ю. </w:t>
      </w:r>
      <w:proofErr w:type="spellStart"/>
      <w:r w:rsidRPr="007122AB">
        <w:rPr>
          <w:rFonts w:ascii="Times New Roman" w:hAnsi="Times New Roman"/>
          <w:color w:val="000000" w:themeColor="text1"/>
          <w:sz w:val="16"/>
          <w:szCs w:val="16"/>
        </w:rPr>
        <w:t>Курциус</w:t>
      </w:r>
      <w:proofErr w:type="spellEnd"/>
      <w:r w:rsidRPr="007122AB">
        <w:rPr>
          <w:rFonts w:ascii="Times New Roman" w:hAnsi="Times New Roman"/>
          <w:color w:val="000000" w:themeColor="text1"/>
          <w:sz w:val="16"/>
          <w:szCs w:val="16"/>
        </w:rPr>
        <w:t xml:space="preserve"> сделал вывод: «У меня сложилось впечатление, что для французов прежде всего важно оттеснить нас от России»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соч., с. 278.). Встречное движение было и со стороны Германии. Так, Ф. фон </w:t>
      </w:r>
      <w:proofErr w:type="spellStart"/>
      <w:r w:rsidRPr="007122AB">
        <w:rPr>
          <w:rFonts w:ascii="Times New Roman" w:hAnsi="Times New Roman"/>
          <w:color w:val="000000" w:themeColor="text1"/>
          <w:sz w:val="16"/>
          <w:szCs w:val="16"/>
        </w:rPr>
        <w:t>Папен</w:t>
      </w:r>
      <w:proofErr w:type="spellEnd"/>
      <w:r w:rsidRPr="007122AB">
        <w:rPr>
          <w:rFonts w:ascii="Times New Roman" w:hAnsi="Times New Roman"/>
          <w:color w:val="000000" w:themeColor="text1"/>
          <w:sz w:val="16"/>
          <w:szCs w:val="16"/>
        </w:rPr>
        <w:t xml:space="preserve">, сменивший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на посту канцлера Германии 4 июля 1932 г., предложил французам «германо-франко-польский союз для захвата Украины»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В дни завершения работы Лозаннской конференции в июле 1932 г. </w:t>
      </w:r>
      <w:proofErr w:type="spellStart"/>
      <w:r w:rsidRPr="007122AB">
        <w:rPr>
          <w:rFonts w:ascii="Times New Roman" w:hAnsi="Times New Roman"/>
          <w:color w:val="000000" w:themeColor="text1"/>
          <w:sz w:val="16"/>
          <w:szCs w:val="16"/>
        </w:rPr>
        <w:t>Папен</w:t>
      </w:r>
      <w:proofErr w:type="spellEnd"/>
      <w:r w:rsidRPr="007122AB">
        <w:rPr>
          <w:rFonts w:ascii="Times New Roman" w:hAnsi="Times New Roman"/>
          <w:color w:val="000000" w:themeColor="text1"/>
          <w:sz w:val="16"/>
          <w:szCs w:val="16"/>
        </w:rPr>
        <w:t xml:space="preserve">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в своих мемуарах по этому поводу писал: «С весны 1931 года французы то и дело безрезультатно пытались отколоть от нас Россию»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Симптоматичны в этой связи следующие слова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w:t>
      </w:r>
      <w:proofErr w:type="spellStart"/>
      <w:r w:rsidRPr="007122AB">
        <w:rPr>
          <w:rFonts w:ascii="Times New Roman" w:hAnsi="Times New Roman"/>
          <w:color w:val="000000" w:themeColor="text1"/>
          <w:sz w:val="16"/>
          <w:szCs w:val="16"/>
        </w:rPr>
        <w:t>соч</w:t>
      </w:r>
      <w:proofErr w:type="spellEnd"/>
      <w:r w:rsidRPr="007122AB">
        <w:rPr>
          <w:rFonts w:ascii="Times New Roman" w:hAnsi="Times New Roman"/>
          <w:color w:val="000000" w:themeColor="text1"/>
          <w:sz w:val="16"/>
          <w:szCs w:val="16"/>
        </w:rPr>
        <w:t>,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4FFBC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E1FB8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7B7BD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4B4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июле-октябре 1932 г. на Копейском озере, а затем в ноябре - в </w:t>
      </w:r>
      <w:proofErr w:type="spellStart"/>
      <w:r w:rsidRPr="007122AB">
        <w:rPr>
          <w:rFonts w:ascii="Times New Roman" w:hAnsi="Times New Roman"/>
          <w:color w:val="000000" w:themeColor="text1"/>
          <w:sz w:val="16"/>
          <w:szCs w:val="16"/>
        </w:rPr>
        <w:t>Копорском</w:t>
      </w:r>
      <w:proofErr w:type="spellEnd"/>
      <w:r w:rsidRPr="007122AB">
        <w:rPr>
          <w:rFonts w:ascii="Times New Roman" w:hAnsi="Times New Roman"/>
          <w:color w:val="000000" w:themeColor="text1"/>
          <w:sz w:val="16"/>
          <w:szCs w:val="16"/>
        </w:rPr>
        <w:t xml:space="preserve"> заливе испытывали мину МАВ-2 (ВОМИЗА-250).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73CFAF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019226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DB18E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657E03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4172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июле-августе 1931 года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проведены стрельбы с целью подбора зарядов к 203-мм гаубице Б-4. Серийное производство гаубиц Б-4 было начато на заводе "Большевик" в 1932 году (3861).</w:t>
      </w:r>
    </w:p>
    <w:p w14:paraId="1DC12E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FFFC5B" w14:textId="77777777" w:rsidR="003159CA" w:rsidRPr="007122AB" w:rsidRDefault="003159C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июле-августе 1931 года на Научно-исследовательский артиллерийский полигон (НИАП), под Ленинградом были проведены стрельбы для подбора зарядов для 203 мм гаубицы Б-4. Испытания продлились целый год, в течение которого в конструкцию орудия и лафета было внесено большое количество изменений и дополнений. Гаубица изо всех сил сопротивлялась испытателям — достаточно сказать, что при стрельбе полным зарядом весной 1932 года у одного из первых образцов разорвало ствол. Тем не менее в том же году на заводе «Большевик» началось серийное производство. Одновременно была проведена модернизация гаубицы, позволившая улучшить баллистику. На тот же лафет наложили более длинный (на три калибра) и прочный ствол. Орудия со старым стволом получили наименование «Б-4 малой </w:t>
      </w:r>
      <w:r w:rsidRPr="007122AB">
        <w:rPr>
          <w:rFonts w:ascii="Times New Roman" w:hAnsi="Times New Roman"/>
          <w:color w:val="000000" w:themeColor="text1"/>
          <w:sz w:val="16"/>
          <w:szCs w:val="16"/>
        </w:rPr>
        <w:lastRenderedPageBreak/>
        <w:t>мощности» (ММ), а с новым стволом — «Б-4 большой мощности» (БМ). Эти гаубицы отличались и по устройству казенника: его бородка у БМ сзади имела вид прямоугольника с острыми краями, а у ММ сужена кверху и скруглена. Иных внешних отличий орудия не имели. Постепенно в ходе заводских ремонтов все гаубицы ММ были переделаны в вариант БМ (22974).</w:t>
      </w:r>
    </w:p>
    <w:p w14:paraId="408118A2" w14:textId="77777777" w:rsidR="003159CA" w:rsidRPr="007122AB" w:rsidRDefault="003159CA" w:rsidP="007122AB">
      <w:pPr>
        <w:spacing w:after="0" w:line="240" w:lineRule="auto"/>
        <w:jc w:val="both"/>
        <w:rPr>
          <w:rFonts w:ascii="Times New Roman" w:hAnsi="Times New Roman"/>
          <w:color w:val="000000" w:themeColor="text1"/>
          <w:sz w:val="16"/>
          <w:szCs w:val="16"/>
        </w:rPr>
      </w:pPr>
    </w:p>
    <w:p w14:paraId="1731D12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D32831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DBD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августу 1931 г. была проведена обкатка и предварительное испытание "полномасштабного" мотора М-34 (9028).</w:t>
      </w:r>
    </w:p>
    <w:p w14:paraId="1DEFF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17F8D0" w14:textId="77777777" w:rsidR="003159CA" w:rsidRPr="007122AB" w:rsidRDefault="003159C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7B14677" w14:textId="77777777" w:rsidR="003159CA" w:rsidRPr="007122AB" w:rsidRDefault="003159C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F1C7F6" w14:textId="77777777" w:rsidR="003159CA" w:rsidRPr="007122AB" w:rsidRDefault="003159CA"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К августу 1931 года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отработал свой комплекс по телеуправлению катеров. Нарком по военным и морским делам К.Е. Ворошилов назначил комиссию для заключительных сравнительных испытаний этого комплекса и комплекса Шорина.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включил в свой комплекс счетно-решающий прибор. В комплексе же Шорина курс рассчитывал по карте оператор.</w:t>
      </w:r>
    </w:p>
    <w:p w14:paraId="2D90FC4A" w14:textId="77777777" w:rsidR="003159CA" w:rsidRPr="007122AB" w:rsidRDefault="003159C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w:t>
      </w:r>
      <w:proofErr w:type="spellStart"/>
      <w:r w:rsidRPr="007122AB">
        <w:rPr>
          <w:rFonts w:ascii="Times New Roman" w:hAnsi="Times New Roman"/>
          <w:color w:val="000000" w:themeColor="text1"/>
          <w:sz w:val="16"/>
          <w:szCs w:val="16"/>
          <w:shd w:val="clear" w:color="auto" w:fill="FFFFFF"/>
        </w:rPr>
        <w:t>Остехбюро</w:t>
      </w:r>
      <w:proofErr w:type="spellEnd"/>
      <w:r w:rsidRPr="007122AB">
        <w:rPr>
          <w:rFonts w:ascii="Times New Roman" w:hAnsi="Times New Roman"/>
          <w:color w:val="000000" w:themeColor="text1"/>
          <w:sz w:val="16"/>
          <w:szCs w:val="16"/>
          <w:shd w:val="clear" w:color="auto" w:fill="FFFFFF"/>
        </w:rPr>
        <w:t xml:space="preserve"> предложили доработать свою аппаратуру» (22290).</w:t>
      </w:r>
    </w:p>
    <w:p w14:paraId="2E2B6725" w14:textId="77777777" w:rsidR="003159CA" w:rsidRPr="007122AB" w:rsidRDefault="003159CA" w:rsidP="007122AB">
      <w:pPr>
        <w:spacing w:after="0" w:line="240" w:lineRule="auto"/>
        <w:jc w:val="both"/>
        <w:rPr>
          <w:rFonts w:ascii="Times New Roman" w:hAnsi="Times New Roman"/>
          <w:color w:val="000000" w:themeColor="text1"/>
          <w:sz w:val="16"/>
          <w:szCs w:val="16"/>
        </w:rPr>
      </w:pPr>
    </w:p>
    <w:p w14:paraId="1A744F9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B1EA05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F9D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13 июля 1931 и в апреле 1932 был рассмотрен макет самолетов МИ3-2М34 опытный и дублер (7415, 16).</w:t>
      </w:r>
    </w:p>
    <w:p w14:paraId="6AE5B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4486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августа 1931 года появился Протокол совещания по рассмотрению плана опытного строительства моторов и самолетов и по внедрению опытных образцов в серию в 1932 и 33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p w14:paraId="24E16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зам. начальника ВВС Меженинов</w:t>
      </w:r>
    </w:p>
    <w:p w14:paraId="76089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Секретарь: Квитко</w:t>
      </w:r>
    </w:p>
    <w:p w14:paraId="42F15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опытного моторостроения:</w:t>
      </w:r>
    </w:p>
    <w:p w14:paraId="40CBF7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Установить для производства в 1932 году два мотора воздушного охлаждения: М11 и М22.</w:t>
      </w:r>
    </w:p>
    <w:p w14:paraId="6BEFA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М26 не выпускать; на самолеты запроектированное под М26 ставить М22.</w:t>
      </w:r>
    </w:p>
    <w:p w14:paraId="63D95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Т.к. М-11 своей мощностью не обеспечивает нужного развития гражданской авиации поставить перед ВАО требование довести его мощность до 160-170 л.с.</w:t>
      </w:r>
    </w:p>
    <w:p w14:paraId="236BC2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Мотор М-15, как мало освоенный в производстве и уступающий своими качествами М-22 (мощность меньше, вес больше) - в производство не пускать.</w:t>
      </w:r>
    </w:p>
    <w:p w14:paraId="781E1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Моторы М22 и М-11 строить на 29 заводе и в Перми (на новом заводе).</w:t>
      </w:r>
    </w:p>
    <w:p w14:paraId="35088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p w14:paraId="22872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моторах водяного охлаждения установить след. типы:</w:t>
      </w:r>
    </w:p>
    <w:p w14:paraId="36B4D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Как основной мотор к строящимся в 1932 году самолетам - производить М-17.</w:t>
      </w:r>
    </w:p>
    <w:p w14:paraId="523D2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 32 году вводить в производстве М-34, с таким расчетом, чтобы к середине 33 года М-17 сошел с производства.</w:t>
      </w:r>
    </w:p>
    <w:p w14:paraId="0FDB36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Оба мотора делать на 26 заводе.</w:t>
      </w:r>
    </w:p>
    <w:p w14:paraId="67BE74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гидроавиации в 32 году на 24 заводе строятся М-27 и опытная серия </w:t>
      </w:r>
      <w:proofErr w:type="spellStart"/>
      <w:r w:rsidRPr="007122AB">
        <w:rPr>
          <w:rFonts w:ascii="Times New Roman" w:hAnsi="Times New Roman"/>
          <w:color w:val="000000" w:themeColor="text1"/>
          <w:sz w:val="16"/>
          <w:szCs w:val="16"/>
        </w:rPr>
        <w:t>ФЭД"ов</w:t>
      </w:r>
      <w:proofErr w:type="spellEnd"/>
      <w:r w:rsidRPr="007122AB">
        <w:rPr>
          <w:rFonts w:ascii="Times New Roman" w:hAnsi="Times New Roman"/>
          <w:color w:val="000000" w:themeColor="text1"/>
          <w:sz w:val="16"/>
          <w:szCs w:val="16"/>
        </w:rPr>
        <w:t>.</w:t>
      </w:r>
    </w:p>
    <w:p w14:paraId="107C8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33 году 24 завод должен перейти на производство М-44.</w:t>
      </w:r>
    </w:p>
    <w:p w14:paraId="1579C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из моторов должны производиться в 1932 и 1933 году М-11, М-22, М-17, М-27, М-34, ФЭД, М-44 (или М-35).</w:t>
      </w:r>
    </w:p>
    <w:p w14:paraId="7B5AA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опытному самолетостроению:</w:t>
      </w:r>
    </w:p>
    <w:p w14:paraId="5F8972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Основным учебным самолетом оставить У2. Для морских школ МУ2 и А-1 (амфибия Шаврова).</w:t>
      </w:r>
    </w:p>
    <w:p w14:paraId="36EB6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делать на 23 и 21 заводах.</w:t>
      </w:r>
    </w:p>
    <w:p w14:paraId="00D371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Армейским разведчиком оставить Р-5. Производить его на 1-м заводе.</w:t>
      </w:r>
    </w:p>
    <w:p w14:paraId="4AB64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Одноместный истребитель на 32 год оставить с воздушным охлаждением И5, с водяным охлаждением И7, строить на 1-м заводе.</w:t>
      </w:r>
    </w:p>
    <w:p w14:paraId="4D762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Легким бомбардировщиком оставить Р-5, крейсером-бомбардировщиком Р-6.</w:t>
      </w:r>
    </w:p>
    <w:p w14:paraId="494AF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с производства в 1932 году снять.</w:t>
      </w:r>
    </w:p>
    <w:p w14:paraId="5D3A6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Основным тяжелым бомбардировщиком для производства 1932 г. оставить ТБ3, резервным, заложенным для гражданского воздушного флота ТБ5.</w:t>
      </w:r>
    </w:p>
    <w:p w14:paraId="251AB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получения тактического опыта иметь одну эскадр. с вооружением ТБ5.</w:t>
      </w:r>
    </w:p>
    <w:p w14:paraId="0CCCB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ТШ построить небольшую серию на 21 заводе.</w:t>
      </w:r>
    </w:p>
    <w:p w14:paraId="247FE6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И12 и МИ3 построить опытные серии на 22 завод (по МИ3 во второй половине года).</w:t>
      </w:r>
    </w:p>
    <w:p w14:paraId="59C6AA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p w14:paraId="358CC0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морской авиации:</w:t>
      </w:r>
    </w:p>
    <w:p w14:paraId="73AE8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Поставить на поплавки Р5, небольшая серия.</w:t>
      </w:r>
    </w:p>
    <w:p w14:paraId="0A84B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Разведчиком иметь S-62.</w:t>
      </w:r>
    </w:p>
    <w:p w14:paraId="1FE5E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Торпедоносцем ТБ1- а на поплавках.</w:t>
      </w:r>
    </w:p>
    <w:p w14:paraId="514ED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 бомбардировщиком МДР3.</w:t>
      </w:r>
    </w:p>
    <w:p w14:paraId="582BA0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Т.о</w:t>
      </w:r>
      <w:proofErr w:type="spellEnd"/>
      <w:r w:rsidRPr="007122AB">
        <w:rPr>
          <w:rFonts w:ascii="Times New Roman" w:hAnsi="Times New Roman"/>
          <w:color w:val="000000" w:themeColor="text1"/>
          <w:sz w:val="16"/>
          <w:szCs w:val="16"/>
        </w:rPr>
        <w:t>. в 32 году в производстве остаются:</w:t>
      </w:r>
    </w:p>
    <w:p w14:paraId="1CCB14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А1, Р5, И5, И7, Р6, ТБ3, ТБ5, ТШ, И12, МИ3, 62, МДР3 и ставятся на поплавки У2 и ТБ1.</w:t>
      </w:r>
    </w:p>
    <w:p w14:paraId="35DB54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w:t>
      </w:r>
    </w:p>
    <w:p w14:paraId="3A3C97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33 года оставить в производстве: У2, Р9, МИ3, И12, И5, ТБ4 и ТБ5 и один </w:t>
      </w:r>
      <w:proofErr w:type="spellStart"/>
      <w:r w:rsidRPr="007122AB">
        <w:rPr>
          <w:rFonts w:ascii="Times New Roman" w:hAnsi="Times New Roman"/>
          <w:color w:val="000000" w:themeColor="text1"/>
          <w:sz w:val="16"/>
          <w:szCs w:val="16"/>
        </w:rPr>
        <w:t>двухместн</w:t>
      </w:r>
      <w:proofErr w:type="spellEnd"/>
      <w:r w:rsidRPr="007122AB">
        <w:rPr>
          <w:rFonts w:ascii="Times New Roman" w:hAnsi="Times New Roman"/>
          <w:color w:val="000000" w:themeColor="text1"/>
          <w:sz w:val="16"/>
          <w:szCs w:val="16"/>
        </w:rPr>
        <w:t>. истребитель. (3029,1-2).</w:t>
      </w:r>
    </w:p>
    <w:p w14:paraId="417FCD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w:t>
      </w:r>
    </w:p>
    <w:p w14:paraId="5EF3A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РВС</w:t>
      </w:r>
    </w:p>
    <w:p w14:paraId="4491A3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сокращении типов моторов и самолетов ВВС и унификации</w:t>
      </w:r>
    </w:p>
    <w:p w14:paraId="223F5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военных и гражданских моторов и самолетов".</w:t>
      </w:r>
    </w:p>
    <w:p w14:paraId="73840D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августа 1931 года</w:t>
      </w:r>
    </w:p>
    <w:p w14:paraId="2C173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Считать необходимым оставление на производстве в 1932 году следующих авиационных моторов:</w:t>
      </w:r>
    </w:p>
    <w:p w14:paraId="116F71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М-11 - для учебных самолетов и спортивной авиации;</w:t>
      </w:r>
    </w:p>
    <w:p w14:paraId="7B73EC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М-22 - (воздушного охлаждения) - обычный, с нагнетателем и редуктором;</w:t>
      </w:r>
    </w:p>
    <w:p w14:paraId="294851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М-17 - с последующей заменой его на М-34 по окончании государственных испытаний последнего;</w:t>
      </w:r>
    </w:p>
    <w:p w14:paraId="5660AE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 - в опытной серии.</w:t>
      </w:r>
    </w:p>
    <w:p w14:paraId="561835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Начальнику ВВС совместно с начальником ВАО уточнить порядок и срок снятия с производства всех остальных типов моторов и замены М-17 производством М-34, а также специализацию заводов по установленным типам моторов.</w:t>
      </w:r>
    </w:p>
    <w:p w14:paraId="79D4A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Ограничить число типов самолетов следующими образцами, оставляемыми в производстве в 1932 году:</w:t>
      </w:r>
    </w:p>
    <w:p w14:paraId="6F40B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 с М-22;</w:t>
      </w:r>
    </w:p>
    <w:p w14:paraId="2066A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И-7 - с М-17 с последующей установкой М-34;</w:t>
      </w:r>
    </w:p>
    <w:p w14:paraId="1DE8B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 с М-17 с последующей установкой М-34 - на колесах и поплавках.</w:t>
      </w:r>
    </w:p>
    <w:p w14:paraId="040F2A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 с 2М-17 с последующей установкой 2М-34 - на колесах и поплавках;</w:t>
      </w:r>
    </w:p>
    <w:p w14:paraId="54E1D6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 - с М-17 с последующей установкой М-34;</w:t>
      </w:r>
    </w:p>
    <w:p w14:paraId="76DC5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с 4М-17 с последующей установкой 4М-34;</w:t>
      </w:r>
    </w:p>
    <w:p w14:paraId="7F26E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МДР3 - с 4М-22.</w:t>
      </w:r>
    </w:p>
    <w:p w14:paraId="1378D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 62 бис с "АССО" с последующей установкой М-34;</w:t>
      </w:r>
    </w:p>
    <w:p w14:paraId="1F2A3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с М-11 на колесах и поплавках.</w:t>
      </w:r>
    </w:p>
    <w:p w14:paraId="3133F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Сверх этих основных типов разрешить заказ в опытной серии для войсковых испытаний: истребитель пушечный (выбор типа произвести после испытаний И-12 и самолета N 7 не позже 1 октября 1931 года), самолет ТБ-5 под мотор ФЭД и амфибию Шаврова (в качестве самолета связи и сопровождения в болотистых местностях).</w:t>
      </w:r>
    </w:p>
    <w:p w14:paraId="32A18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Начальнику ВВС с начальником ВАО установить специализацию заводов по этим типам самолетов и сроки снятия с производства остальных типов самолетов.</w:t>
      </w:r>
    </w:p>
    <w:p w14:paraId="794F0D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Считать необходимым установить максимальный стандарт военных и гражданских моторов и самолетов, в частности:</w:t>
      </w:r>
    </w:p>
    <w:p w14:paraId="68C922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тяжелые пассажирские самолеты должны совпадать по конструкции с тяжелыми бомбардировщиками, почтовые - с разведчиками, легкие пассажирские - с легкими бомбардировщиками в связи с чем воспретить конструирование и постройку не унифицированных образцов для гражданской авиации;</w:t>
      </w:r>
    </w:p>
    <w:p w14:paraId="073623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из унифицированных образцов самолетов считать возможным оставить в производстве 1932 года только К-5 и АНТ-9 с М-26 с последующей установкой на последний М-22.</w:t>
      </w:r>
    </w:p>
    <w:p w14:paraId="42F976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 концу 1933 года прекратить производство моторов для гражданской авиации, не принятых на вооружение в ВВС.</w:t>
      </w:r>
    </w:p>
    <w:p w14:paraId="77520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Просить Президиум ВСНХ:</w:t>
      </w:r>
    </w:p>
    <w:p w14:paraId="212D43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Обязать ВАО в самом срочном порядке приспособить самолет Р-5 под пассажирских самолет легкого типа;</w:t>
      </w:r>
    </w:p>
    <w:p w14:paraId="6087BD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случае получения положительных результатов отказаться от производства в дальнейшем самолета К-5;</w:t>
      </w:r>
    </w:p>
    <w:p w14:paraId="528BD3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Обязать ВАО на одном из готовых самолетов АНТ-9 заменить моторы М-26 моторами М-22 и представить самолет на государственные испытания не позже 1 января 1932 года. (3029,8-9).</w:t>
      </w:r>
    </w:p>
    <w:p w14:paraId="594563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AD49DF" w14:textId="77777777" w:rsidR="002206BB" w:rsidRPr="007122AB" w:rsidRDefault="002206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 на совещании по плану строительства авиации на 1932-1933 гг. в Москве решили: «…из унифицированных образцов самолетов считать возможным оставить в производстве 1932 года только К-5 и АНТ-9…». Более дорогих трехмоторных цельнометаллических самолетов Туполева построили 67, а харьковских К-5 к концу 1934 г. сдали 258, это был первый массовый советский пассажирский самолет (22829).</w:t>
      </w:r>
    </w:p>
    <w:p w14:paraId="78F7C055" w14:textId="77777777" w:rsidR="002206BB" w:rsidRPr="007122AB" w:rsidRDefault="002206BB" w:rsidP="007122AB">
      <w:pPr>
        <w:spacing w:after="0" w:line="240" w:lineRule="auto"/>
        <w:jc w:val="both"/>
        <w:rPr>
          <w:rFonts w:ascii="Times New Roman" w:hAnsi="Times New Roman"/>
          <w:color w:val="000000" w:themeColor="text1"/>
          <w:sz w:val="16"/>
          <w:szCs w:val="16"/>
        </w:rPr>
      </w:pPr>
    </w:p>
    <w:p w14:paraId="2E164C44" w14:textId="77777777" w:rsidR="00A56BD5" w:rsidRPr="00441F34" w:rsidRDefault="00A56BD5" w:rsidP="00A56BD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августа 1931 г. проведено совещание по рассмотрению плана опытного строительства моторов и самолетов и по внедрению опытных образцов в серию в 1932 и 1933 </w:t>
      </w:r>
      <w:proofErr w:type="spellStart"/>
      <w:r w:rsidRPr="00441F34">
        <w:rPr>
          <w:rFonts w:ascii="Times New Roman" w:hAnsi="Times New Roman"/>
          <w:color w:val="0070C0"/>
          <w:sz w:val="16"/>
          <w:szCs w:val="16"/>
        </w:rPr>
        <w:t>г.г</w:t>
      </w:r>
      <w:proofErr w:type="spellEnd"/>
      <w:r w:rsidRPr="00441F34">
        <w:rPr>
          <w:rFonts w:ascii="Times New Roman" w:hAnsi="Times New Roman"/>
          <w:color w:val="0070C0"/>
          <w:sz w:val="16"/>
          <w:szCs w:val="16"/>
        </w:rPr>
        <w:t>. под председательством зам. начальника ВВС Меженинова, на котором было предложено внести в этот план выпуск двигателей М-34 в т.ч. для самолетов И-7, но моторы М-19 и М-27 упомянуты не были и отмечено, что самолет И-7 будет запускаться в производство с двигателем М-17 (24331).</w:t>
      </w:r>
    </w:p>
    <w:p w14:paraId="28789383" w14:textId="77777777" w:rsidR="00A56BD5" w:rsidRPr="00441F34" w:rsidRDefault="00A56BD5" w:rsidP="00A56BD5">
      <w:pPr>
        <w:spacing w:after="0" w:line="240" w:lineRule="auto"/>
        <w:jc w:val="both"/>
        <w:rPr>
          <w:rFonts w:ascii="Times New Roman" w:hAnsi="Times New Roman"/>
          <w:color w:val="0070C0"/>
          <w:sz w:val="16"/>
          <w:szCs w:val="16"/>
        </w:rPr>
      </w:pPr>
    </w:p>
    <w:p w14:paraId="2E8053A8" w14:textId="77777777" w:rsidR="00980FCB" w:rsidRPr="007122AB" w:rsidRDefault="00980F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 на техническом совете Объединенного технического бюро Всесоюзного авиаци</w:t>
      </w:r>
      <w:r w:rsidRPr="007122AB">
        <w:rPr>
          <w:rFonts w:ascii="Times New Roman" w:hAnsi="Times New Roman"/>
          <w:color w:val="000000" w:themeColor="text1"/>
          <w:sz w:val="16"/>
          <w:szCs w:val="16"/>
        </w:rPr>
        <w:softHyphen/>
        <w:t>онного объединения данная тематика значилась в повест</w:t>
      </w:r>
      <w:r w:rsidRPr="007122AB">
        <w:rPr>
          <w:rFonts w:ascii="Times New Roman" w:hAnsi="Times New Roman"/>
          <w:color w:val="000000" w:themeColor="text1"/>
          <w:sz w:val="16"/>
          <w:szCs w:val="16"/>
        </w:rPr>
        <w:softHyphen/>
        <w:t>ке дня. Пункт «о рекордных самолетах» в перечне обсуж</w:t>
      </w:r>
      <w:r w:rsidRPr="007122AB">
        <w:rPr>
          <w:rFonts w:ascii="Times New Roman" w:hAnsi="Times New Roman"/>
          <w:color w:val="000000" w:themeColor="text1"/>
          <w:sz w:val="16"/>
          <w:szCs w:val="16"/>
        </w:rPr>
        <w:softHyphen/>
        <w:t>даемых вопросов шел последним и для большинства уча</w:t>
      </w:r>
      <w:r w:rsidRPr="007122AB">
        <w:rPr>
          <w:rFonts w:ascii="Times New Roman" w:hAnsi="Times New Roman"/>
          <w:color w:val="000000" w:themeColor="text1"/>
          <w:sz w:val="16"/>
          <w:szCs w:val="16"/>
        </w:rPr>
        <w:softHyphen/>
        <w:t>стников оказался неожиданностью. Это не помешало немедленно создать свою комиссию под председательст</w:t>
      </w:r>
      <w:r w:rsidRPr="007122AB">
        <w:rPr>
          <w:rFonts w:ascii="Times New Roman" w:hAnsi="Times New Roman"/>
          <w:color w:val="000000" w:themeColor="text1"/>
          <w:sz w:val="16"/>
          <w:szCs w:val="16"/>
        </w:rPr>
        <w:softHyphen/>
        <w:t xml:space="preserve">вом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которой надлежало разобраться с этой новой заботой. Постановили следующее: «Отметить, что ЦАГИ не ставил себе задачей и не прорабатывал воз</w:t>
      </w:r>
      <w:r w:rsidRPr="007122AB">
        <w:rPr>
          <w:rFonts w:ascii="Times New Roman" w:hAnsi="Times New Roman"/>
          <w:color w:val="000000" w:themeColor="text1"/>
          <w:sz w:val="16"/>
          <w:szCs w:val="16"/>
        </w:rPr>
        <w:softHyphen/>
        <w:t>можностей проектирования и постройки рекордных само</w:t>
      </w:r>
      <w:r w:rsidRPr="007122AB">
        <w:rPr>
          <w:rFonts w:ascii="Times New Roman" w:hAnsi="Times New Roman"/>
          <w:color w:val="000000" w:themeColor="text1"/>
          <w:sz w:val="16"/>
          <w:szCs w:val="16"/>
        </w:rPr>
        <w:softHyphen/>
        <w:t xml:space="preserve">летов по заданию начальника ВАО т. Баранова, а посему в комиссию т.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и под его председательством включить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Туполева, Чернышова, </w:t>
      </w:r>
      <w:proofErr w:type="spellStart"/>
      <w:r w:rsidRPr="007122AB">
        <w:rPr>
          <w:rFonts w:ascii="Times New Roman" w:hAnsi="Times New Roman"/>
          <w:color w:val="000000" w:themeColor="text1"/>
          <w:sz w:val="16"/>
          <w:szCs w:val="16"/>
        </w:rPr>
        <w:t>Мариамова</w:t>
      </w:r>
      <w:proofErr w:type="spellEnd"/>
      <w:r w:rsidRPr="007122AB">
        <w:rPr>
          <w:rFonts w:ascii="Times New Roman" w:hAnsi="Times New Roman"/>
          <w:color w:val="000000" w:themeColor="text1"/>
          <w:sz w:val="16"/>
          <w:szCs w:val="16"/>
        </w:rPr>
        <w:t xml:space="preserve"> и Беляев</w:t>
      </w:r>
      <w:r w:rsidRPr="007122AB">
        <w:rPr>
          <w:rFonts w:ascii="Times New Roman" w:hAnsi="Times New Roman"/>
          <w:color w:val="000000" w:themeColor="text1"/>
          <w:sz w:val="16"/>
          <w:szCs w:val="16"/>
        </w:rPr>
        <w:softHyphen/>
        <w:t xml:space="preserve">ского без права замены. Поручить комиссии к 8 августа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предоставить все соображения с конкретными предложе</w:t>
      </w:r>
      <w:r w:rsidRPr="007122AB">
        <w:rPr>
          <w:rFonts w:ascii="Times New Roman" w:hAnsi="Times New Roman"/>
          <w:color w:val="000000" w:themeColor="text1"/>
          <w:sz w:val="16"/>
          <w:szCs w:val="16"/>
        </w:rPr>
        <w:softHyphen/>
        <w:t>ниями, увязав с ИАМ (Институт авиамоторостроения - М.М.) вопросы получения моторов, а равно дать сообра</w:t>
      </w:r>
      <w:r w:rsidRPr="007122AB">
        <w:rPr>
          <w:rFonts w:ascii="Times New Roman" w:hAnsi="Times New Roman"/>
          <w:color w:val="000000" w:themeColor="text1"/>
          <w:sz w:val="16"/>
          <w:szCs w:val="16"/>
        </w:rPr>
        <w:softHyphen/>
        <w:t>жения, под какие рекорды и где будут рекордные самоле</w:t>
      </w:r>
      <w:r w:rsidRPr="007122AB">
        <w:rPr>
          <w:rFonts w:ascii="Times New Roman" w:hAnsi="Times New Roman"/>
          <w:color w:val="000000" w:themeColor="text1"/>
          <w:sz w:val="16"/>
          <w:szCs w:val="16"/>
        </w:rPr>
        <w:softHyphen/>
        <w:t>ты проектироваться и строиться, а также наметить сроки выхода на испытание. Комиссия также должна дать при</w:t>
      </w:r>
      <w:r w:rsidRPr="007122AB">
        <w:rPr>
          <w:rFonts w:ascii="Times New Roman" w:hAnsi="Times New Roman"/>
          <w:color w:val="000000" w:themeColor="text1"/>
          <w:sz w:val="16"/>
          <w:szCs w:val="16"/>
        </w:rPr>
        <w:softHyphen/>
        <w:t>мерную потребность в материалах, приборах, винтах, а так</w:t>
      </w:r>
      <w:r w:rsidRPr="007122AB">
        <w:rPr>
          <w:rFonts w:ascii="Times New Roman" w:hAnsi="Times New Roman"/>
          <w:color w:val="000000" w:themeColor="text1"/>
          <w:sz w:val="16"/>
          <w:szCs w:val="16"/>
        </w:rPr>
        <w:softHyphen/>
        <w:t>же наметить в скольких экземплярах будут строиться как моторы, так и рекордные самолеты» (20362).</w:t>
      </w:r>
    </w:p>
    <w:p w14:paraId="0C1615D3" w14:textId="77777777" w:rsidR="00980FCB" w:rsidRPr="007122AB" w:rsidRDefault="00980FCB" w:rsidP="007122AB">
      <w:pPr>
        <w:shd w:val="clear" w:color="auto" w:fill="FFFFFF"/>
        <w:spacing w:after="0" w:line="240" w:lineRule="auto"/>
        <w:jc w:val="both"/>
        <w:rPr>
          <w:rFonts w:ascii="Times New Roman" w:hAnsi="Times New Roman"/>
          <w:color w:val="000000" w:themeColor="text1"/>
          <w:sz w:val="16"/>
          <w:szCs w:val="16"/>
        </w:rPr>
      </w:pPr>
    </w:p>
    <w:p w14:paraId="55F3E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августа 1931 в 19 часов 30 минут на аэродроме в </w:t>
      </w:r>
      <w:proofErr w:type="spellStart"/>
      <w:r w:rsidRPr="007122AB">
        <w:rPr>
          <w:rFonts w:ascii="Times New Roman" w:hAnsi="Times New Roman"/>
          <w:color w:val="000000" w:themeColor="text1"/>
          <w:sz w:val="16"/>
          <w:szCs w:val="16"/>
        </w:rPr>
        <w:t>Боково</w:t>
      </w:r>
      <w:proofErr w:type="spellEnd"/>
      <w:r w:rsidRPr="007122AB">
        <w:rPr>
          <w:rFonts w:ascii="Times New Roman" w:hAnsi="Times New Roman"/>
          <w:color w:val="000000" w:themeColor="text1"/>
          <w:sz w:val="16"/>
          <w:szCs w:val="16"/>
        </w:rPr>
        <w:t xml:space="preserve"> в Иркутске совершил посадку самолет, ведомый английской летчицей </w:t>
      </w:r>
      <w:proofErr w:type="spellStart"/>
      <w:r w:rsidRPr="007122AB">
        <w:rPr>
          <w:rFonts w:ascii="Times New Roman" w:hAnsi="Times New Roman"/>
          <w:color w:val="000000" w:themeColor="text1"/>
          <w:sz w:val="16"/>
          <w:szCs w:val="16"/>
        </w:rPr>
        <w:t>Эмс</w:t>
      </w:r>
      <w:proofErr w:type="spellEnd"/>
      <w:r w:rsidRPr="007122AB">
        <w:rPr>
          <w:rFonts w:ascii="Times New Roman" w:hAnsi="Times New Roman"/>
          <w:color w:val="000000" w:themeColor="text1"/>
          <w:sz w:val="16"/>
          <w:szCs w:val="16"/>
        </w:rPr>
        <w:t xml:space="preserve"> Джексон (Эми Джонсон). Гостью встречали представители иностранного отдела крайисполкома и крайсовета Осоавиахима. Джексон сообщила, что ее перелет от Москвы до Иркутска состоялся благополучно. После краткого отдыха летчица 2 августа вылетела в </w:t>
      </w:r>
      <w:proofErr w:type="spellStart"/>
      <w:r w:rsidRPr="007122AB">
        <w:rPr>
          <w:rFonts w:ascii="Times New Roman" w:hAnsi="Times New Roman"/>
          <w:color w:val="000000" w:themeColor="text1"/>
          <w:sz w:val="16"/>
          <w:szCs w:val="16"/>
        </w:rPr>
        <w:t>Цицикар</w:t>
      </w:r>
      <w:proofErr w:type="spellEnd"/>
      <w:r w:rsidRPr="007122AB">
        <w:rPr>
          <w:rFonts w:ascii="Times New Roman" w:hAnsi="Times New Roman"/>
          <w:color w:val="000000" w:themeColor="text1"/>
          <w:sz w:val="16"/>
          <w:szCs w:val="16"/>
        </w:rPr>
        <w:t xml:space="preserve"> (Китай) (11884).</w:t>
      </w:r>
    </w:p>
    <w:p w14:paraId="085FD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3E9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августа 1931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5C560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B66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был подготовлен Отчет по испытанию бомбодержателей "Дер-16" и их установки на самолете ТБ-1.</w:t>
      </w:r>
    </w:p>
    <w:p w14:paraId="50723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8E003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Бомбодержатель "Дер-16" испытание выдержал и допускается на войсковые испытания в частях ВВС (3208).</w:t>
      </w:r>
    </w:p>
    <w:p w14:paraId="54E606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83DA0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84EF65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4D0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по 11 августа 1931 года были проведены испытания 107-мм минометов МС-107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 Дымовые мины снаряжены фосфором весом 7,4 кг. На испытаниях в Гороховце дальность стрельбы миной весом 7,4 кг под углом 45 оказалась 2050 м. В ходе испытаний выяснилось: Осколочного действия мины не имеют совершенно, если не считать отрыва горловины и дробления запаянного стакана, которые, как правило, остаются в воронке. На всех зарядах на углах 45-55 система в основном устойчива. Большое боковое и продольное рассеивания исключается возможность стрельбы по отдельным огневым точкам. Постоянные недолеты почти исключают возможность стрельбы через голову своих войск. Система излишне утяжелена около 90 кг, особенно ствол 47,9 кг. Носка ствола одним человеком невозможна, а двоим неудобна. Ударник дает осечки. Опорная плита дает прогибы. Ноги миномета носят на плече, а плиту за веревку в руках (как портфель). Дымный порох в хвостовом запальном патроне давал большой нагар, а дым демаскировал миномет. У взрывателя нет мгновенного действия. Для определения действия отравляющего вещества при взрыве мин использовано 20 животных. Минометы МС-107 выпускались небольшими сериями (3861).</w:t>
      </w:r>
    </w:p>
    <w:p w14:paraId="4F1AD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9261B4" w14:textId="77777777" w:rsidR="002206BB" w:rsidRPr="007122AB" w:rsidRDefault="002206BB" w:rsidP="007122AB">
      <w:pPr>
        <w:pStyle w:val="Default"/>
        <w:jc w:val="both"/>
        <w:rPr>
          <w:color w:val="000000" w:themeColor="text1"/>
          <w:sz w:val="16"/>
          <w:szCs w:val="16"/>
        </w:rPr>
      </w:pPr>
      <w:r w:rsidRPr="007122AB">
        <w:rPr>
          <w:color w:val="000000" w:themeColor="text1"/>
          <w:sz w:val="16"/>
          <w:szCs w:val="16"/>
        </w:rPr>
        <w:t xml:space="preserve">В период с 1 по 11 августа 1931 г. на минометном полигоне химической группы Гороховецкого лагерного сбора были проведены технические испытания МС-107 обр. 1931 г., результаты которых в целом были неудовлетворительные. Система вызвала серьезные нарекания как к материальной части (материал трубы был из вязкого металла, подставка неустойчива, опорная плита получила деформацию), так и к минам. По окончании испытаний руководством ВОХИМУ было дано указание о срочной доработке чертежей с устранением </w:t>
      </w:r>
    </w:p>
    <w:p w14:paraId="77BB0AE8" w14:textId="77777777" w:rsidR="002206BB" w:rsidRPr="007122AB" w:rsidRDefault="002206BB" w:rsidP="007122AB">
      <w:pPr>
        <w:spacing w:after="0" w:line="240" w:lineRule="auto"/>
        <w:jc w:val="both"/>
        <w:rPr>
          <w:rFonts w:ascii="Times New Roman" w:eastAsia="TimesNewRomanPSMT" w:hAnsi="Times New Roman"/>
          <w:color w:val="000000" w:themeColor="text1"/>
          <w:sz w:val="16"/>
          <w:szCs w:val="16"/>
        </w:rPr>
      </w:pPr>
      <w:r w:rsidRPr="007122AB">
        <w:rPr>
          <w:rFonts w:ascii="Times New Roman" w:hAnsi="Times New Roman"/>
          <w:color w:val="000000" w:themeColor="text1"/>
          <w:sz w:val="16"/>
          <w:szCs w:val="16"/>
        </w:rPr>
        <w:t>выявленных недостатков к 20 сентября.380 Опытные стрельбы, проведенные 23 сентября, показали, что наиболее перспективным для данной системы является использование схемы «мнимого треугольника», которая применялась в минометах Стокса-Брандта, однако для проверки этой гипотезы руководством ВОХИМУ было принято решение о разработке группой «Д» двух проектов 107-мм химических минометов – по схеме реального треугольника (к началу октября 1931 г.) и «мнимого» треугольника (к декабрю 1931 г.)381 (20074)</w:t>
      </w:r>
    </w:p>
    <w:p w14:paraId="5D9E6249" w14:textId="77777777" w:rsidR="002206BB" w:rsidRPr="007122AB" w:rsidRDefault="002206BB" w:rsidP="007122AB">
      <w:pPr>
        <w:spacing w:after="0" w:line="240" w:lineRule="auto"/>
        <w:jc w:val="both"/>
        <w:rPr>
          <w:rFonts w:ascii="Times New Roman" w:eastAsia="TimesNewRomanPSMT" w:hAnsi="Times New Roman"/>
          <w:color w:val="000000" w:themeColor="text1"/>
          <w:sz w:val="16"/>
          <w:szCs w:val="16"/>
        </w:rPr>
      </w:pPr>
    </w:p>
    <w:p w14:paraId="549F849B"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 августа</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СТО СССР № 167сс о пересмотре цен на военные изделия </w:t>
      </w:r>
      <w:proofErr w:type="spellStart"/>
      <w:r w:rsidRPr="007122AB">
        <w:rPr>
          <w:rFonts w:ascii="Times New Roman" w:hAnsi="Times New Roman"/>
          <w:color w:val="000000" w:themeColor="text1"/>
          <w:sz w:val="16"/>
          <w:szCs w:val="16"/>
          <w:u w:color="002060"/>
        </w:rPr>
        <w:t>Патрубвзрывтреста</w:t>
      </w:r>
      <w:proofErr w:type="spellEnd"/>
      <w:r w:rsidRPr="007122AB">
        <w:rPr>
          <w:rFonts w:ascii="Times New Roman" w:hAnsi="Times New Roman"/>
          <w:color w:val="000000" w:themeColor="text1"/>
          <w:sz w:val="16"/>
          <w:szCs w:val="16"/>
          <w:u w:color="002060"/>
        </w:rPr>
        <w:t xml:space="preserve"> (ГА РФ. Ф. Р?8418. Оп. 28. Д. 1а. Л. 53) (12415).</w:t>
      </w:r>
    </w:p>
    <w:p w14:paraId="06AF0754" w14:textId="77777777" w:rsidR="00875C4A" w:rsidRPr="007122AB" w:rsidRDefault="00875C4A" w:rsidP="007122AB">
      <w:pPr>
        <w:spacing w:after="0" w:line="240" w:lineRule="auto"/>
        <w:jc w:val="both"/>
        <w:rPr>
          <w:rFonts w:ascii="Times New Roman" w:hAnsi="Times New Roman"/>
          <w:color w:val="000000" w:themeColor="text1"/>
          <w:sz w:val="16"/>
          <w:szCs w:val="16"/>
          <w:u w:color="002060"/>
        </w:rPr>
      </w:pPr>
    </w:p>
    <w:p w14:paraId="03B8CCE7" w14:textId="77777777" w:rsidR="00024EF9" w:rsidRPr="007122AB" w:rsidRDefault="00024EF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августа 1931 СТО одобрил </w:t>
      </w:r>
      <w:proofErr w:type="spellStart"/>
      <w:r w:rsidRPr="007122AB">
        <w:rPr>
          <w:rFonts w:ascii="Times New Roman" w:hAnsi="Times New Roman"/>
          <w:color w:val="000000" w:themeColor="text1"/>
          <w:sz w:val="16"/>
          <w:szCs w:val="16"/>
        </w:rPr>
        <w:t>предложенния</w:t>
      </w:r>
      <w:proofErr w:type="spellEnd"/>
      <w:r w:rsidRPr="007122AB">
        <w:rPr>
          <w:rFonts w:ascii="Times New Roman" w:hAnsi="Times New Roman"/>
          <w:color w:val="000000" w:themeColor="text1"/>
          <w:sz w:val="16"/>
          <w:szCs w:val="16"/>
        </w:rPr>
        <w:t xml:space="preserve"> РВС по увеличению производства танков - “большую танковую программу” (9089,149).</w:t>
      </w:r>
    </w:p>
    <w:p w14:paraId="639973E9" w14:textId="77777777" w:rsidR="00024EF9" w:rsidRPr="007122AB" w:rsidRDefault="00024EF9" w:rsidP="007122AB">
      <w:pPr>
        <w:autoSpaceDE w:val="0"/>
        <w:autoSpaceDN w:val="0"/>
        <w:adjustRightInd w:val="0"/>
        <w:spacing w:after="0" w:line="240" w:lineRule="auto"/>
        <w:jc w:val="both"/>
        <w:rPr>
          <w:rFonts w:ascii="Times New Roman" w:hAnsi="Times New Roman"/>
          <w:color w:val="000000" w:themeColor="text1"/>
          <w:sz w:val="16"/>
          <w:szCs w:val="16"/>
        </w:rPr>
      </w:pPr>
    </w:p>
    <w:p w14:paraId="1100A21D"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1 августа 1931 г. в принятом постановлении Комиссии обороны по программе танкостроения и по броне, говорилось:</w:t>
      </w:r>
    </w:p>
    <w:p w14:paraId="6057FEA9"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«I. По программе танкостроения: в развитие постановления инстанции от 20 февраля 1931 г. по программе танкостроения в военное время установить к концу 1932 г. реально обеспеченную мощность по годовой подаче танков: по танкам I эшелона: танкеток Т</w:t>
      </w:r>
      <w:r w:rsidRPr="007122AB">
        <w:rPr>
          <w:color w:val="000000" w:themeColor="text1"/>
          <w:sz w:val="16"/>
          <w:szCs w:val="16"/>
        </w:rPr>
        <w:noBreakHyphen/>
        <w:t>27 — 16 тыс., танков малых Т</w:t>
      </w:r>
      <w:r w:rsidRPr="007122AB">
        <w:rPr>
          <w:color w:val="000000" w:themeColor="text1"/>
          <w:sz w:val="16"/>
          <w:szCs w:val="16"/>
        </w:rPr>
        <w:noBreakHyphen/>
        <w:t xml:space="preserve">26 — 13,8 тыс., танков средних (БТ типа «Кристи») — 2 тыс.; по танкам II эшелона: сопровождения пехоты — 8,2 тыс. II. По броне: 1. В соответствии с утвержденной программой танкостроения промышленности обеспечить потребность брони: для танков I эшелона — 46 тыс. т, для танков II эшелона — 16,5 тыс. т, для бронемашин, бронепоездов — 2,5 тыс. т; итого — 65 тыс. т». Для обеспечения потребности в броне планировалось подготовить броневые базы на Ижорском, Кулебакском, Мариупольском заводах и Подольском </w:t>
      </w:r>
      <w:proofErr w:type="spellStart"/>
      <w:r w:rsidRPr="007122AB">
        <w:rPr>
          <w:color w:val="000000" w:themeColor="text1"/>
          <w:sz w:val="16"/>
          <w:szCs w:val="16"/>
        </w:rPr>
        <w:t>крекингзаводе</w:t>
      </w:r>
      <w:proofErr w:type="spellEnd"/>
      <w:r w:rsidRPr="007122AB">
        <w:rPr>
          <w:color w:val="000000" w:themeColor="text1"/>
          <w:sz w:val="16"/>
          <w:szCs w:val="16"/>
        </w:rPr>
        <w:t>. Президиуму ВСНХ СССР было поручено в двухмесячный срок проработать мероприятия о создании броневой базы на Урале, а также организовать на Ижорском заводе бюро по цементации брони. (ГА РФ. Ф. Р</w:t>
      </w:r>
      <w:r w:rsidRPr="007122AB">
        <w:rPr>
          <w:color w:val="000000" w:themeColor="text1"/>
          <w:sz w:val="16"/>
          <w:szCs w:val="16"/>
        </w:rPr>
        <w:noBreakHyphen/>
        <w:t>8418. Оп. 5. Д. 59. Л. 1</w:t>
      </w:r>
      <w:r w:rsidRPr="007122AB">
        <w:rPr>
          <w:color w:val="000000" w:themeColor="text1"/>
          <w:sz w:val="16"/>
          <w:szCs w:val="16"/>
        </w:rPr>
        <w:noBreakHyphen/>
        <w:t>3).</w:t>
      </w:r>
    </w:p>
    <w:p w14:paraId="2AD18837"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РГВА. Ф. 31811. Оп. 2. Д. 54. Л. 65—66 об. Копия. </w:t>
      </w:r>
    </w:p>
    <w:p w14:paraId="43637242"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575-578 (12539).</w:t>
      </w:r>
    </w:p>
    <w:p w14:paraId="5923245E" w14:textId="77777777" w:rsidR="009E3773" w:rsidRPr="007122AB" w:rsidRDefault="009E3773" w:rsidP="007122AB">
      <w:pPr>
        <w:autoSpaceDE w:val="0"/>
        <w:autoSpaceDN w:val="0"/>
        <w:adjustRightInd w:val="0"/>
        <w:spacing w:after="0" w:line="240" w:lineRule="auto"/>
        <w:jc w:val="both"/>
        <w:rPr>
          <w:rFonts w:ascii="Times New Roman" w:hAnsi="Times New Roman"/>
          <w:color w:val="000000" w:themeColor="text1"/>
          <w:sz w:val="16"/>
          <w:szCs w:val="16"/>
        </w:rPr>
      </w:pPr>
    </w:p>
    <w:p w14:paraId="07D051E5" w14:textId="77777777" w:rsidR="00980FCB" w:rsidRPr="007122AB" w:rsidRDefault="00980FCB"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 xml:space="preserve">1 августа 1931 г. Комиссия обороны приняла программу по выпуску к концу 1932 г. 8200 танков сопровождения. Несколькими месяцами позже провал этих планов стал совершенно очевидным, и сектор обороны Госплана доложил КО "о неподготовленности к постановке производства к концу 1932 г. танков сопровождения в количествах, указанных постановлением Комиссии Обороны СНК СССР от 1. VIII. с. г." (Протокол заседания в Секторе Обороны Госплана СССР от 6.11.1931 // РГАЭ. Ф. 4372. Оп. 91- Д 770. Л.4. В документе пояснялось, что образец по танку сопровождения ТМ-1 не испытан НКВМ и не принят им на вооружение, а по модели </w:t>
      </w:r>
      <w:r w:rsidRPr="007122AB">
        <w:rPr>
          <w:rFonts w:ascii="Times New Roman" w:eastAsia="Times New Roman" w:hAnsi="Times New Roman"/>
          <w:color w:val="000000" w:themeColor="text1"/>
          <w:sz w:val="16"/>
          <w:szCs w:val="16"/>
          <w:lang w:eastAsia="ru-RU"/>
        </w:rPr>
        <w:lastRenderedPageBreak/>
        <w:t>ТМ-2 "нет даже опытного образца", "ввиду чего ВАТО не имеет исходных данных для подготовки строительства, обеспечивающего подачу заводами к концу 1932 г. 8200 единиц танков сопровождения" (Там же).) (22725).</w:t>
      </w:r>
    </w:p>
    <w:p w14:paraId="5DE26348" w14:textId="77777777" w:rsidR="00980FCB" w:rsidRPr="007122AB" w:rsidRDefault="00980FCB" w:rsidP="007122AB">
      <w:pPr>
        <w:shd w:val="clear" w:color="auto" w:fill="FFFFFF"/>
        <w:spacing w:after="0" w:line="240" w:lineRule="auto"/>
        <w:jc w:val="both"/>
        <w:rPr>
          <w:rFonts w:ascii="Times New Roman" w:hAnsi="Times New Roman"/>
          <w:color w:val="000000" w:themeColor="text1"/>
          <w:sz w:val="16"/>
          <w:szCs w:val="16"/>
        </w:rPr>
      </w:pPr>
    </w:p>
    <w:p w14:paraId="343714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 ТК АНТ-5 прошел испытания и был принят флотом. За ним последовали девять серий катеров, ПОЛУЧИВШИХ обозначение Г-5 (глиссирующий - пятый) (6002,29).</w:t>
      </w:r>
    </w:p>
    <w:p w14:paraId="401C16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84E15C" w14:textId="77777777" w:rsidR="003F4143" w:rsidRPr="007122AB" w:rsidRDefault="003F41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 августа — 15 сентября 1931 г.</w:t>
      </w:r>
      <w:r w:rsidRPr="007122AB">
        <w:rPr>
          <w:rFonts w:ascii="Times New Roman" w:hAnsi="Times New Roman"/>
          <w:color w:val="000000" w:themeColor="text1"/>
          <w:sz w:val="16"/>
          <w:szCs w:val="16"/>
        </w:rPr>
        <w:t xml:space="preserve"> Тактико-технические испытания средств химической борьбы, выполненные на специализированном полигоне во Фролищах. Прошли проверку многие средства химического нападения перед их постановкой на вооружение. Среди них были такие новые по тем временам средства, как мортира Стокса, боевые химические машины, химические фугасы,. В очередной раз были испытаны шашки ядовитого дыма (17133).</w:t>
      </w:r>
    </w:p>
    <w:p w14:paraId="54C6345A" w14:textId="77777777" w:rsidR="003F4143" w:rsidRPr="007122AB" w:rsidRDefault="003F4143" w:rsidP="007122AB">
      <w:pPr>
        <w:shd w:val="clear" w:color="auto" w:fill="FFFFFF"/>
        <w:spacing w:after="0" w:line="240" w:lineRule="auto"/>
        <w:jc w:val="both"/>
        <w:rPr>
          <w:rFonts w:ascii="Times New Roman" w:hAnsi="Times New Roman"/>
          <w:color w:val="000000" w:themeColor="text1"/>
          <w:sz w:val="16"/>
          <w:szCs w:val="16"/>
        </w:rPr>
      </w:pPr>
    </w:p>
    <w:p w14:paraId="52D347CC" w14:textId="77777777" w:rsidR="003F414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E76348E" w14:textId="77777777" w:rsidR="003F4143" w:rsidRPr="007122AB" w:rsidRDefault="003F414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CADE16" w14:textId="77777777" w:rsidR="003F4143" w:rsidRPr="007122AB" w:rsidRDefault="003F41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августа в 1931 году </w:t>
      </w:r>
      <w:hyperlink r:id="rId161" w:tgtFrame="_blank" w:history="1">
        <w:r w:rsidRPr="007122AB">
          <w:rPr>
            <w:rFonts w:ascii="Times New Roman" w:hAnsi="Times New Roman"/>
            <w:color w:val="000000" w:themeColor="text1"/>
            <w:sz w:val="16"/>
            <w:szCs w:val="16"/>
          </w:rPr>
          <w:t xml:space="preserve">Постановление ЦИК СССР N 12, СНК СССР N 644 от 01.08.1931 "Об улучшении бытовых условий инженерно-технических работников" </w:t>
        </w:r>
      </w:hyperlink>
    </w:p>
    <w:p w14:paraId="6CB6DC2A" w14:textId="77777777" w:rsidR="003F4143" w:rsidRPr="007122AB" w:rsidRDefault="003F4143" w:rsidP="007122AB">
      <w:pPr>
        <w:spacing w:after="0" w:line="240" w:lineRule="auto"/>
        <w:jc w:val="both"/>
        <w:rPr>
          <w:rFonts w:ascii="Times New Roman" w:hAnsi="Times New Roman"/>
          <w:color w:val="000000" w:themeColor="text1"/>
          <w:sz w:val="16"/>
          <w:szCs w:val="16"/>
        </w:rPr>
      </w:pPr>
    </w:p>
    <w:p w14:paraId="3E291FD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AB8044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88E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августа 1931 Великобритания получила франко-американский </w:t>
      </w:r>
      <w:proofErr w:type="spellStart"/>
      <w:r w:rsidRPr="007122AB">
        <w:rPr>
          <w:rFonts w:ascii="Times New Roman" w:hAnsi="Times New Roman"/>
          <w:color w:val="000000" w:themeColor="text1"/>
          <w:sz w:val="16"/>
          <w:szCs w:val="16"/>
        </w:rPr>
        <w:t>займ</w:t>
      </w:r>
      <w:proofErr w:type="spellEnd"/>
      <w:r w:rsidRPr="007122AB">
        <w:rPr>
          <w:rFonts w:ascii="Times New Roman" w:hAnsi="Times New Roman"/>
          <w:color w:val="000000" w:themeColor="text1"/>
          <w:sz w:val="16"/>
          <w:szCs w:val="16"/>
        </w:rPr>
        <w:t xml:space="preserve"> (3907,168).</w:t>
      </w:r>
    </w:p>
    <w:p w14:paraId="6FAAD1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220EC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09EA1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AEE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ночь на 2 августа 1931 АНТ-14 перевезли на аэродром (346,52).</w:t>
      </w:r>
    </w:p>
    <w:p w14:paraId="70255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797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 августа по 7 ноября 1931 двигатель, получивший обозначение М-34, успешно прошел 100-часовые госиспытания (9028).</w:t>
      </w:r>
    </w:p>
    <w:p w14:paraId="2249D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1187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 августа по 7 ноября 1931 М-34 успешно прошел 100-часовые госиспытания и в нача</w:t>
      </w:r>
      <w:r w:rsidRPr="007122AB">
        <w:rPr>
          <w:rFonts w:ascii="Times New Roman" w:hAnsi="Times New Roman"/>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7122AB">
        <w:rPr>
          <w:rFonts w:ascii="Times New Roman" w:hAnsi="Times New Roman"/>
          <w:color w:val="000000" w:themeColor="text1"/>
          <w:sz w:val="16"/>
          <w:szCs w:val="16"/>
        </w:rPr>
        <w:softHyphen/>
        <w:t>ственным серийным, совпала с созданием и становлением Централь</w:t>
      </w:r>
      <w:r w:rsidRPr="007122AB">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7122AB">
        <w:rPr>
          <w:rFonts w:ascii="Times New Roman" w:hAnsi="Times New Roman"/>
          <w:color w:val="000000" w:themeColor="text1"/>
          <w:sz w:val="16"/>
          <w:szCs w:val="16"/>
        </w:rPr>
        <w:softHyphen/>
        <w:t>дающимися для своего времени техническими данными и превосхо</w:t>
      </w:r>
      <w:r w:rsidRPr="007122AB">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7122AB">
        <w:rPr>
          <w:rFonts w:ascii="Times New Roman" w:hAnsi="Times New Roman"/>
          <w:color w:val="000000" w:themeColor="text1"/>
          <w:sz w:val="16"/>
          <w:szCs w:val="16"/>
        </w:rPr>
        <w:softHyphen/>
        <w:t>ша страна получила мощный мотор, являвшийся выдающимся достижени</w:t>
      </w:r>
      <w:r w:rsidRPr="007122AB">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7122AB">
        <w:rPr>
          <w:rFonts w:ascii="Times New Roman" w:hAnsi="Times New Roman"/>
          <w:color w:val="000000" w:themeColor="text1"/>
          <w:sz w:val="16"/>
          <w:szCs w:val="16"/>
        </w:rPr>
        <w:softHyphen/>
        <w:t>лась силовая схема блока, так называе</w:t>
      </w:r>
      <w:r w:rsidRPr="007122AB">
        <w:rPr>
          <w:rFonts w:ascii="Times New Roman" w:hAnsi="Times New Roman"/>
          <w:color w:val="000000" w:themeColor="text1"/>
          <w:sz w:val="16"/>
          <w:szCs w:val="16"/>
        </w:rPr>
        <w:softHyphen/>
        <w:t>мая схема «сжатой рубашки и свободной гильзы&gt;&gt;, которая обеспечи</w:t>
      </w:r>
      <w:r w:rsidRPr="007122AB">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7122AB">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7122AB">
        <w:rPr>
          <w:rFonts w:ascii="Times New Roman" w:hAnsi="Times New Roman"/>
          <w:color w:val="000000" w:themeColor="text1"/>
          <w:sz w:val="16"/>
          <w:szCs w:val="16"/>
        </w:rPr>
        <w:softHyphen/>
        <w:t xml:space="preserve">дельной головки, отдельной рубашки, выполненных из алюминиевого </w:t>
      </w:r>
      <w:proofErr w:type="spellStart"/>
      <w:r w:rsidRPr="007122AB">
        <w:rPr>
          <w:rFonts w:ascii="Times New Roman" w:hAnsi="Times New Roman"/>
          <w:color w:val="000000" w:themeColor="text1"/>
          <w:sz w:val="16"/>
          <w:szCs w:val="16"/>
        </w:rPr>
        <w:t>сплаизготовить</w:t>
      </w:r>
      <w:proofErr w:type="spellEnd"/>
      <w:r w:rsidRPr="007122AB">
        <w:rPr>
          <w:rFonts w:ascii="Times New Roman" w:hAnsi="Times New Roman"/>
          <w:color w:val="000000" w:themeColor="text1"/>
          <w:sz w:val="16"/>
          <w:szCs w:val="16"/>
        </w:rPr>
        <w:t xml:space="preserve"> буквально с «белка») (с кальки) первые двигатели. После 38 часов заводских испытаний моторы предъявили на стендовые го</w:t>
      </w:r>
      <w:r w:rsidRPr="007122AB">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7122AB">
        <w:rPr>
          <w:rFonts w:ascii="Times New Roman" w:hAnsi="Times New Roman"/>
          <w:color w:val="000000" w:themeColor="text1"/>
          <w:sz w:val="16"/>
          <w:szCs w:val="16"/>
        </w:rPr>
        <w:softHyphen/>
        <w:t xml:space="preserve">да № 26. Именно он дал путевку в жизнь уникальному мотору М-34. Первые М-34 проходили испытания с импортным карбюратором, однако в </w:t>
      </w:r>
      <w:proofErr w:type="spellStart"/>
      <w:r w:rsidRPr="007122AB">
        <w:rPr>
          <w:rFonts w:ascii="Times New Roman" w:hAnsi="Times New Roman"/>
          <w:color w:val="000000" w:themeColor="text1"/>
          <w:sz w:val="16"/>
          <w:szCs w:val="16"/>
        </w:rPr>
        <w:t>ЦИАМе</w:t>
      </w:r>
      <w:proofErr w:type="spellEnd"/>
      <w:r w:rsidRPr="007122AB">
        <w:rPr>
          <w:rFonts w:ascii="Times New Roman" w:hAnsi="Times New Roman"/>
          <w:color w:val="000000" w:themeColor="text1"/>
          <w:sz w:val="16"/>
          <w:szCs w:val="16"/>
        </w:rPr>
        <w:t xml:space="preserve"> конструкторы К.А. Стариков и А.М. </w:t>
      </w:r>
      <w:proofErr w:type="spellStart"/>
      <w:r w:rsidRPr="007122AB">
        <w:rPr>
          <w:rFonts w:ascii="Times New Roman" w:hAnsi="Times New Roman"/>
          <w:color w:val="000000" w:themeColor="text1"/>
          <w:sz w:val="16"/>
          <w:szCs w:val="16"/>
        </w:rPr>
        <w:t>Добротвор-ский</w:t>
      </w:r>
      <w:proofErr w:type="spellEnd"/>
      <w:r w:rsidRPr="007122AB">
        <w:rPr>
          <w:rFonts w:ascii="Times New Roman" w:hAnsi="Times New Roman"/>
          <w:color w:val="000000" w:themeColor="text1"/>
          <w:sz w:val="16"/>
          <w:szCs w:val="16"/>
        </w:rPr>
        <w:t xml:space="preserve"> разработали свой, отечественный, с которым в 1932 г. двигатель был предъявлен на повторные государственные испытания. В октя</w:t>
      </w:r>
      <w:r w:rsidRPr="007122AB">
        <w:rPr>
          <w:rFonts w:ascii="Times New Roman" w:hAnsi="Times New Roman"/>
          <w:color w:val="000000" w:themeColor="text1"/>
          <w:sz w:val="16"/>
          <w:szCs w:val="16"/>
        </w:rPr>
        <w:softHyphen/>
        <w:t>бре 1933 г. самолет ТБ-3 с мотором М-34 прошел летные госиспыта</w:t>
      </w:r>
      <w:r w:rsidRPr="007122AB">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7122AB">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7122AB">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7122AB">
        <w:rPr>
          <w:rFonts w:ascii="Times New Roman" w:hAnsi="Times New Roman"/>
          <w:color w:val="000000" w:themeColor="text1"/>
          <w:sz w:val="16"/>
          <w:szCs w:val="16"/>
        </w:rPr>
        <w:softHyphen/>
        <w:t>ти напротив — застава с биржей извозчиков. А дальше за заводом тя</w:t>
      </w:r>
      <w:r w:rsidRPr="007122AB">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7122AB">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7122AB">
        <w:rPr>
          <w:rFonts w:ascii="Times New Roman" w:hAnsi="Times New Roman"/>
          <w:color w:val="000000" w:themeColor="text1"/>
          <w:sz w:val="16"/>
          <w:szCs w:val="16"/>
        </w:rPr>
        <w:softHyphen/>
        <w:t>менно строились три корпуса, в том числе корпус механических це</w:t>
      </w:r>
      <w:r w:rsidRPr="007122AB">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7122AB">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46806A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813A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августа 1931 на гос. испытания был предъявлен М-34 750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и прошел их удовлетворительно (2281,67).</w:t>
      </w:r>
    </w:p>
    <w:p w14:paraId="43B72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67B9E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D53AB1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D822F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 Комитет обороны принимает постанов</w:t>
      </w:r>
      <w:r w:rsidRPr="007122AB">
        <w:rPr>
          <w:rFonts w:ascii="Times New Roman" w:hAnsi="Times New Roman"/>
          <w:color w:val="000000" w:themeColor="text1"/>
          <w:sz w:val="16"/>
          <w:szCs w:val="16"/>
        </w:rPr>
        <w:softHyphen/>
        <w:t>ление о программе танкостроения в условиях военного времени. Согласно постановлению в течение первого года войны отечественная тяжелая промышленность должна была обеспечить наличие в армии в угрожаемый период:</w:t>
      </w:r>
    </w:p>
    <w:p w14:paraId="57C351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танков Т-26 - 13 800 танков, исполнители «Больше</w:t>
      </w:r>
      <w:r w:rsidRPr="007122AB">
        <w:rPr>
          <w:rFonts w:ascii="Times New Roman" w:hAnsi="Times New Roman"/>
          <w:color w:val="000000" w:themeColor="text1"/>
          <w:sz w:val="16"/>
          <w:szCs w:val="16"/>
        </w:rPr>
        <w:softHyphen/>
        <w:t>вик» и СТЗ;</w:t>
      </w:r>
    </w:p>
    <w:p w14:paraId="7B1E46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танков ТММ-1/ТММ-2 - 8 200 танков, исполнители «АМО» и Ярославский завод;</w:t>
      </w:r>
    </w:p>
    <w:p w14:paraId="5393E4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танков БТ - 2 000 танков, исполнитель КПЗ;</w:t>
      </w:r>
    </w:p>
    <w:p w14:paraId="6BC39C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-танкеток 7427— 16000 танков, исполнитель Автоза</w:t>
      </w:r>
      <w:r w:rsidRPr="007122AB">
        <w:rPr>
          <w:rFonts w:ascii="Times New Roman" w:hAnsi="Times New Roman"/>
          <w:color w:val="000000" w:themeColor="text1"/>
          <w:sz w:val="16"/>
          <w:szCs w:val="16"/>
        </w:rPr>
        <w:softHyphen/>
        <w:t xml:space="preserve">вод 2 и </w:t>
      </w:r>
      <w:proofErr w:type="spellStart"/>
      <w:r w:rsidRPr="007122AB">
        <w:rPr>
          <w:rFonts w:ascii="Times New Roman" w:hAnsi="Times New Roman"/>
          <w:color w:val="000000" w:themeColor="text1"/>
          <w:sz w:val="16"/>
          <w:szCs w:val="16"/>
        </w:rPr>
        <w:t>Щижегородский</w:t>
      </w:r>
      <w:proofErr w:type="spellEnd"/>
      <w:r w:rsidRPr="007122AB">
        <w:rPr>
          <w:rFonts w:ascii="Times New Roman" w:hAnsi="Times New Roman"/>
          <w:color w:val="000000" w:themeColor="text1"/>
          <w:sz w:val="16"/>
          <w:szCs w:val="16"/>
        </w:rPr>
        <w:t>] АЗ.</w:t>
      </w:r>
    </w:p>
    <w:p w14:paraId="4A60E3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 40 000 танков...” (10733,178).</w:t>
      </w:r>
    </w:p>
    <w:p w14:paraId="020AC4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30AB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Комитетом обороны принята программа танкостроения в условиях военного времени, согласно ей тяжелая промышленность СССР должна обеспечить наличие в армии:</w:t>
      </w:r>
    </w:p>
    <w:p w14:paraId="502024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танков Т-26 — 13800, исполнители СТЗ и „Большевик?;</w:t>
      </w:r>
    </w:p>
    <w:p w14:paraId="7C1E00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танков БТ — 2000, исполнитель ХПЗ;</w:t>
      </w:r>
    </w:p>
    <w:p w14:paraId="25F9C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танкеток Т-27 — 16000, исполнитель Автозавод 2 и НАЗ;</w:t>
      </w:r>
    </w:p>
    <w:p w14:paraId="7B350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иных танков — 8200, исполнители „АМО? и Ярославский завод.</w:t>
      </w:r>
    </w:p>
    <w:p w14:paraId="3B5B03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 40000 танков.»</w:t>
      </w:r>
    </w:p>
    <w:p w14:paraId="2D9FC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Понятно, что в начале тридцатых о подобной программе можно было говорить только как о деле далекой перспективы. Проанализировав возможности завода «Большевик» Комитет Обороны разрешил (!) КБ «Большевика» вносить любые изменения в конструкцию и методику изготовления танков, не снижающие их боевые качества. Осенью 1931 года начинают делать новую повышенную цилиндрическую башню со смотровым окном, мотор отодвинули на 77 мм ближе к корме, с начала 1932-го года были введены новый бензобак и маслобак (11809).</w:t>
      </w:r>
    </w:p>
    <w:p w14:paraId="65A2AA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715731"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 августа</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168сс об ассигновании ВСНХ СССР на усиление оборотных средств военной промышленности в III квартале 1931 г. (ГА РФ. Ф. Р?8418. Оп. 28. Д. 1а. Л. 54) (12415).</w:t>
      </w:r>
    </w:p>
    <w:p w14:paraId="132AB7BD"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p>
    <w:p w14:paraId="68D7855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F22E62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8E3F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вышло постановление ЦК ВКП(б) о темпах коллективизации и об укреплении колхозов (1348,199).</w:t>
      </w:r>
    </w:p>
    <w:p w14:paraId="0BD0A4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48ED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вышло Постановление ЦК о темпах коллективизации и об укреплении колхозов (3960, 300).</w:t>
      </w:r>
    </w:p>
    <w:p w14:paraId="2EDCD9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41D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вышло Постановление ЦК ВКП(б) "О темпах дальнейшей коллективизации и задачах по укреплению колхозов". В постановлении отмечено о завершении сплошной коллективизации на Северном Кавказе, в Поволжье, на Урале, на Украине, в Крыму и Молдавской АССР (10687).</w:t>
      </w:r>
    </w:p>
    <w:p w14:paraId="0C6565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05C81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DDAE56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9EF3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августа 1931 </w:t>
      </w:r>
      <w:proofErr w:type="spellStart"/>
      <w:r w:rsidRPr="007122AB">
        <w:rPr>
          <w:rFonts w:ascii="Times New Roman" w:hAnsi="Times New Roman"/>
          <w:color w:val="000000" w:themeColor="text1"/>
          <w:sz w:val="16"/>
          <w:szCs w:val="16"/>
        </w:rPr>
        <w:t>В.Пост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П.Гетти</w:t>
      </w:r>
      <w:proofErr w:type="spellEnd"/>
      <w:r w:rsidRPr="007122AB">
        <w:rPr>
          <w:rFonts w:ascii="Times New Roman" w:hAnsi="Times New Roman"/>
          <w:color w:val="000000" w:themeColor="text1"/>
          <w:sz w:val="16"/>
          <w:szCs w:val="16"/>
        </w:rPr>
        <w:t xml:space="preserve"> прибыли в Хабаровск на Веге (542,7).</w:t>
      </w:r>
    </w:p>
    <w:p w14:paraId="39F1B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008D49" w14:textId="77777777" w:rsidR="00024EF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Другие оборонные отрасли:</w:t>
      </w:r>
    </w:p>
    <w:p w14:paraId="1838E251" w14:textId="77777777" w:rsidR="00024EF9" w:rsidRPr="007122AB" w:rsidRDefault="00024EF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4F0B20" w14:textId="77777777" w:rsidR="00024EF9" w:rsidRPr="007122AB" w:rsidRDefault="00024EF9" w:rsidP="007122AB">
      <w:pPr>
        <w:pStyle w:val="rtejustify"/>
        <w:spacing w:before="0" w:after="0"/>
        <w:rPr>
          <w:color w:val="000000" w:themeColor="text1"/>
          <w:sz w:val="16"/>
          <w:szCs w:val="16"/>
        </w:rPr>
      </w:pPr>
      <w:r w:rsidRPr="007122AB">
        <w:rPr>
          <w:rStyle w:val="af0"/>
          <w:i w:val="0"/>
          <w:color w:val="000000" w:themeColor="text1"/>
          <w:sz w:val="16"/>
          <w:szCs w:val="16"/>
        </w:rPr>
        <w:t>3 августа 1931 г. Протокол Реввоенсовета № 27.</w:t>
      </w:r>
      <w:r w:rsidRPr="007122AB">
        <w:rPr>
          <w:color w:val="000000" w:themeColor="text1"/>
          <w:sz w:val="16"/>
          <w:szCs w:val="16"/>
        </w:rPr>
        <w:t xml:space="preserve"> 1. Итоги опытной мобилизации промышленности в 1930 г. и план опытных мобилизаций осени 1931 г. (Егоров, Ефимов). 7. Система бронепоездного вооружения РККА (</w:t>
      </w:r>
      <w:proofErr w:type="spellStart"/>
      <w:r w:rsidRPr="007122AB">
        <w:rPr>
          <w:color w:val="000000" w:themeColor="text1"/>
          <w:sz w:val="16"/>
          <w:szCs w:val="16"/>
        </w:rPr>
        <w:t>Халепский</w:t>
      </w:r>
      <w:proofErr w:type="spellEnd"/>
      <w:r w:rsidRPr="007122AB">
        <w:rPr>
          <w:color w:val="000000" w:themeColor="text1"/>
          <w:sz w:val="16"/>
          <w:szCs w:val="16"/>
        </w:rPr>
        <w:t xml:space="preserve">, Егоров). 8. Полевое водоснабжение (Потапов). 9. О состоянии работ по телемеханике (Ефимов). 14. Состояние работ по опытному </w:t>
      </w:r>
      <w:proofErr w:type="spellStart"/>
      <w:r w:rsidRPr="007122AB">
        <w:rPr>
          <w:color w:val="000000" w:themeColor="text1"/>
          <w:sz w:val="16"/>
          <w:szCs w:val="16"/>
        </w:rPr>
        <w:t>самолето</w:t>
      </w:r>
      <w:proofErr w:type="spellEnd"/>
      <w:r w:rsidRPr="007122AB">
        <w:rPr>
          <w:color w:val="000000" w:themeColor="text1"/>
          <w:sz w:val="16"/>
          <w:szCs w:val="16"/>
        </w:rPr>
        <w:t>- и моторостроению (Меженинов). (РГВА. Ф. 4. Оп. 18. Д. 21. Л. 34, 35, 36) (12342).</w:t>
      </w:r>
    </w:p>
    <w:p w14:paraId="486AB253" w14:textId="77777777" w:rsidR="00024EF9" w:rsidRPr="007122AB" w:rsidRDefault="00024EF9" w:rsidP="007122AB">
      <w:pPr>
        <w:pStyle w:val="rtejustify"/>
        <w:spacing w:before="0" w:after="0"/>
        <w:rPr>
          <w:color w:val="000000" w:themeColor="text1"/>
          <w:sz w:val="16"/>
          <w:szCs w:val="16"/>
        </w:rPr>
      </w:pPr>
    </w:p>
    <w:p w14:paraId="404802F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5A70F1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4FA5F7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августа 1931, на четыре дня раньше намеченного срока, мотоциклы вернулись в Харьков в хорошем, пригодном для дальнейшей эксплуатации состоянии. 3500 километров были пройдены без единой аварии или поломки.</w:t>
      </w:r>
    </w:p>
    <w:p w14:paraId="642C181D"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представлял собой харьковский мотоцикл модели "М"? Двигатель: одноцилиндровый, четырехтактный, рабочим объемом 350 куб. см., типа "Харлей-Дэвидсон", со степенью сжатия 4,1. Число оборотов 4500 (90 км/час). Поршень алюминиевый. Смазка двигателя производилась ручным и механическим насосами. Карбюратор типа "</w:t>
      </w:r>
      <w:proofErr w:type="spellStart"/>
      <w:r w:rsidRPr="007122AB">
        <w:rPr>
          <w:rFonts w:ascii="Times New Roman" w:hAnsi="Times New Roman"/>
          <w:color w:val="000000" w:themeColor="text1"/>
          <w:sz w:val="16"/>
          <w:szCs w:val="16"/>
        </w:rPr>
        <w:t>Шеблер</w:t>
      </w:r>
      <w:proofErr w:type="spellEnd"/>
      <w:r w:rsidRPr="007122AB">
        <w:rPr>
          <w:rFonts w:ascii="Times New Roman" w:hAnsi="Times New Roman"/>
          <w:color w:val="000000" w:themeColor="text1"/>
          <w:sz w:val="16"/>
          <w:szCs w:val="16"/>
        </w:rPr>
        <w:t xml:space="preserve">-де-люкс" производства Конотопского машиностроительного завода. Число скоростей - 3. Передача "цепь-цепь". Передняя вилка имела 3 пружины, из них средняя - противодействующая. Внутри поставлены резиновые ограничители. На руле - 2 фары. Аккумулятор на 6 </w:t>
      </w:r>
      <w:r w:rsidRPr="007122AB">
        <w:rPr>
          <w:rFonts w:ascii="Times New Roman" w:hAnsi="Times New Roman"/>
          <w:color w:val="000000" w:themeColor="text1"/>
          <w:sz w:val="16"/>
          <w:szCs w:val="16"/>
          <w:lang w:val="en-AU"/>
        </w:rPr>
        <w:t>V</w:t>
      </w:r>
      <w:r w:rsidRPr="007122AB">
        <w:rPr>
          <w:rFonts w:ascii="Times New Roman" w:hAnsi="Times New Roman"/>
          <w:color w:val="000000" w:themeColor="text1"/>
          <w:sz w:val="16"/>
          <w:szCs w:val="16"/>
        </w:rPr>
        <w:t>, 12 А/ч. Шины высокого давления 680</w:t>
      </w:r>
      <w:r w:rsidRPr="007122AB">
        <w:rPr>
          <w:rFonts w:ascii="Times New Roman" w:hAnsi="Times New Roman"/>
          <w:color w:val="000000" w:themeColor="text1"/>
          <w:sz w:val="16"/>
          <w:szCs w:val="16"/>
          <w:lang w:val="en-AU"/>
        </w:rPr>
        <w:t>x</w:t>
      </w:r>
      <w:r w:rsidRPr="007122AB">
        <w:rPr>
          <w:rFonts w:ascii="Times New Roman" w:hAnsi="Times New Roman"/>
          <w:color w:val="000000" w:themeColor="text1"/>
          <w:sz w:val="16"/>
          <w:szCs w:val="16"/>
        </w:rPr>
        <w:t xml:space="preserve">90. В колесах по 40 спиц. Спицы, обода и ниппели изготовлены на Харьковском велозаводе. Вес мотоцикла - 135 кг, база - 1400 мм. Бак емкостью 11,5 л горючего и 275 мл масла - из листового железа. Расход топлива - 3,5 л на 100 км. Седло с двумя работающими на растяжение пружинами. Все 6 мотоциклов модели "М" имели идентичную конструкцию и различались лишь окраской, степенью никелировки и формой рам, баков для горючего, рычагов переключения передач и </w:t>
      </w:r>
      <w:proofErr w:type="spellStart"/>
      <w:r w:rsidRPr="007122AB">
        <w:rPr>
          <w:rFonts w:ascii="Times New Roman" w:hAnsi="Times New Roman"/>
          <w:color w:val="000000" w:themeColor="text1"/>
          <w:sz w:val="16"/>
          <w:szCs w:val="16"/>
        </w:rPr>
        <w:t>противогрязевых</w:t>
      </w:r>
      <w:proofErr w:type="spellEnd"/>
      <w:r w:rsidRPr="007122AB">
        <w:rPr>
          <w:rFonts w:ascii="Times New Roman" w:hAnsi="Times New Roman"/>
          <w:color w:val="000000" w:themeColor="text1"/>
          <w:sz w:val="16"/>
          <w:szCs w:val="16"/>
        </w:rPr>
        <w:t xml:space="preserve"> щитков (11602).</w:t>
      </w:r>
    </w:p>
    <w:p w14:paraId="0AA5F4DE"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FA472"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4 августа 1931 </w:t>
      </w:r>
      <w:r w:rsidRPr="007122AB">
        <w:rPr>
          <w:rFonts w:ascii="Times New Roman" w:hAnsi="Times New Roman"/>
          <w:color w:val="000000" w:themeColor="text1"/>
          <w:sz w:val="16"/>
          <w:szCs w:val="16"/>
        </w:rPr>
        <w:t>Политбюро ЦК ВКП (б) приняло решение о строительстве судостроительного завода в Хабаровске (12265).</w:t>
      </w:r>
    </w:p>
    <w:p w14:paraId="3C445AF1"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561ABD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F0B0EB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4106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вышло постановление РВС о проектировании и строительстве МК-1 6М34РН (351).</w:t>
      </w:r>
    </w:p>
    <w:p w14:paraId="17AE0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7298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постановлением РВС срок представления ТБ-4 6М-34 был отсрочен до 1 мая 1932 (3029).</w:t>
      </w:r>
    </w:p>
    <w:p w14:paraId="0C51D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9E98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года Постановлением РВС срок представления самолета ТБ-4 с шестью моторами М-34 на гос. испытания отсрочен до 1 мая 1932 года (6919).</w:t>
      </w:r>
    </w:p>
    <w:p w14:paraId="713E39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04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августа 1931 у И-5 М-15 № 18 </w:t>
      </w:r>
      <w:proofErr w:type="spellStart"/>
      <w:r w:rsidRPr="007122AB">
        <w:rPr>
          <w:rFonts w:ascii="Times New Roman" w:hAnsi="Times New Roman"/>
          <w:color w:val="000000" w:themeColor="text1"/>
          <w:sz w:val="16"/>
          <w:szCs w:val="16"/>
        </w:rPr>
        <w:t>вог</w:t>
      </w:r>
      <w:proofErr w:type="spellEnd"/>
      <w:r w:rsidRPr="007122AB">
        <w:rPr>
          <w:rFonts w:ascii="Times New Roman" w:hAnsi="Times New Roman"/>
          <w:color w:val="000000" w:themeColor="text1"/>
          <w:sz w:val="16"/>
          <w:szCs w:val="16"/>
        </w:rPr>
        <w:t xml:space="preserve"> время испытаний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w:t>
      </w:r>
      <w:proofErr w:type="spellStart"/>
      <w:r w:rsidRPr="007122AB">
        <w:rPr>
          <w:rFonts w:ascii="Times New Roman" w:hAnsi="Times New Roman"/>
          <w:color w:val="000000" w:themeColor="text1"/>
          <w:sz w:val="16"/>
          <w:szCs w:val="16"/>
        </w:rPr>
        <w:t>моторамой</w:t>
      </w:r>
      <w:proofErr w:type="spellEnd"/>
      <w:r w:rsidRPr="007122AB">
        <w:rPr>
          <w:rFonts w:ascii="Times New Roman" w:hAnsi="Times New Roman"/>
          <w:color w:val="000000" w:themeColor="text1"/>
          <w:sz w:val="16"/>
          <w:szCs w:val="16"/>
        </w:rPr>
        <w:t xml:space="preserve"> и изменённым капотом. Этот двигатель работал лучше предыдущего, но расход масла оставался чрезмерно большим.</w:t>
      </w:r>
    </w:p>
    <w:p w14:paraId="2102C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027A2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23AF1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0EF16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w:t>
      </w:r>
      <w:proofErr w:type="spellStart"/>
      <w:r w:rsidRPr="007122AB">
        <w:rPr>
          <w:rFonts w:ascii="Times New Roman" w:hAnsi="Times New Roman"/>
          <w:color w:val="000000" w:themeColor="text1"/>
          <w:sz w:val="16"/>
          <w:szCs w:val="16"/>
        </w:rPr>
        <w:t>Хорнету</w:t>
      </w:r>
      <w:proofErr w:type="spellEnd"/>
      <w:r w:rsidRPr="007122AB">
        <w:rPr>
          <w:rFonts w:ascii="Times New Roman" w:hAnsi="Times New Roman"/>
          <w:color w:val="000000" w:themeColor="text1"/>
          <w:sz w:val="16"/>
          <w:szCs w:val="16"/>
        </w:rPr>
        <w:t>"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5D2FE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w:t>
      </w:r>
      <w:proofErr w:type="spellStart"/>
      <w:r w:rsidRPr="007122AB">
        <w:rPr>
          <w:rFonts w:ascii="Times New Roman" w:hAnsi="Times New Roman"/>
          <w:color w:val="000000" w:themeColor="text1"/>
          <w:sz w:val="16"/>
          <w:szCs w:val="16"/>
        </w:rPr>
        <w:t>невзаимозаменяемы</w:t>
      </w:r>
      <w:proofErr w:type="spellEnd"/>
      <w:r w:rsidRPr="007122AB">
        <w:rPr>
          <w:rFonts w:ascii="Times New Roman" w:hAnsi="Times New Roman"/>
          <w:color w:val="000000" w:themeColor="text1"/>
          <w:sz w:val="16"/>
          <w:szCs w:val="16"/>
        </w:rPr>
        <w:t>. Всю серию "Б" после предъявления военпред отклонил и потребовал довести её до уровня требований технических условий (11997).</w:t>
      </w:r>
    </w:p>
    <w:p w14:paraId="12AB5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7D43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г. Реввоенсовет издал поста</w:t>
      </w:r>
      <w:r w:rsidRPr="007122AB">
        <w:rPr>
          <w:rFonts w:ascii="Times New Roman" w:hAnsi="Times New Roman"/>
          <w:color w:val="000000" w:themeColor="text1"/>
          <w:sz w:val="16"/>
          <w:szCs w:val="16"/>
        </w:rPr>
        <w:softHyphen/>
        <w:t>новление о сокращении типажа самолетов и моторов. В соответствии с ним в планах заводов и институтов оставили только наиболее перспек</w:t>
      </w:r>
      <w:r w:rsidRPr="007122AB">
        <w:rPr>
          <w:rFonts w:ascii="Times New Roman" w:hAnsi="Times New Roman"/>
          <w:color w:val="000000" w:themeColor="text1"/>
          <w:sz w:val="16"/>
          <w:szCs w:val="16"/>
        </w:rPr>
        <w:softHyphen/>
        <w:t>тивные и наилучшим образом проработанные проекты (11852).</w:t>
      </w:r>
    </w:p>
    <w:p w14:paraId="0786A3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D39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г. вышло постановление Реввоен</w:t>
      </w:r>
      <w:r w:rsidRPr="007122AB">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08FEF2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 М-15:</w:t>
      </w:r>
    </w:p>
    <w:p w14:paraId="37AB69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9-цилиндровый,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4603FD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450/660 л.с.;</w:t>
      </w:r>
    </w:p>
    <w:p w14:paraId="221B5E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150/170 мм;</w:t>
      </w:r>
    </w:p>
    <w:p w14:paraId="0F0187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27,02 л;</w:t>
      </w:r>
    </w:p>
    <w:p w14:paraId="48AAFF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5,4 (фактически 5,5-5,7);</w:t>
      </w:r>
    </w:p>
    <w:p w14:paraId="631494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279DE8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 и серии;</w:t>
      </w:r>
    </w:p>
    <w:p w14:paraId="6FF010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имел ПЦН и синхронизатор. Известны варианты:</w:t>
      </w:r>
    </w:p>
    <w:p w14:paraId="67ADCC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М-15, первоначальный вариант. Изготовлен в двух опытных экзем</w:t>
      </w:r>
      <w:r w:rsidRPr="007122AB">
        <w:rPr>
          <w:rFonts w:ascii="Times New Roman" w:hAnsi="Times New Roman"/>
          <w:color w:val="000000" w:themeColor="text1"/>
          <w:sz w:val="16"/>
          <w:szCs w:val="16"/>
        </w:rPr>
        <w:softHyphen/>
        <w:t>плярах. Мощность по проекту 500/600 л.с., вес 420 кг.</w:t>
      </w:r>
    </w:p>
    <w:p w14:paraId="1181F7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2М-15, второй вариант конструкции с усиленными головками цилин</w:t>
      </w:r>
      <w:r w:rsidRPr="007122AB">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122AB">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41EF06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устанавливался на самолетах К-5, И-5 (опытные образцы), пред</w:t>
      </w:r>
      <w:r w:rsidRPr="007122AB">
        <w:rPr>
          <w:rFonts w:ascii="Times New Roman" w:hAnsi="Times New Roman"/>
          <w:color w:val="000000" w:themeColor="text1"/>
          <w:sz w:val="16"/>
          <w:szCs w:val="16"/>
        </w:rPr>
        <w:softHyphen/>
        <w:t>лагался для установки на И-4 (11852).</w:t>
      </w:r>
    </w:p>
    <w:p w14:paraId="09CC30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 разработан под руководством А.А. Бессонова на заводе № 24 для заме</w:t>
      </w:r>
      <w:r w:rsidRPr="007122AB">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7122AB">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7122AB">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7122AB">
        <w:rPr>
          <w:rFonts w:ascii="Times New Roman" w:hAnsi="Times New Roman"/>
          <w:color w:val="000000" w:themeColor="text1"/>
          <w:sz w:val="16"/>
          <w:szCs w:val="16"/>
        </w:rPr>
        <w:softHyphen/>
        <w:t>рийное производство велось на заводе № 24 (Москва) в 1931-1933 гг. Вы</w:t>
      </w:r>
      <w:r w:rsidRPr="007122AB">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7966F3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7DA253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7-цилиндровый,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576005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270/300 л.с. (по проекту 300/350 л.с.);</w:t>
      </w:r>
    </w:p>
    <w:p w14:paraId="19AFB9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150/170 мм;</w:t>
      </w:r>
    </w:p>
    <w:p w14:paraId="057944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21,0 л;</w:t>
      </w:r>
    </w:p>
    <w:p w14:paraId="183EE8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5,4;</w:t>
      </w:r>
    </w:p>
    <w:p w14:paraId="405B70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0EFFB7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вес по проекту 300 кг, фактический — 375 кг (без втулки винта);</w:t>
      </w:r>
    </w:p>
    <w:p w14:paraId="032526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имел ПЦН.</w:t>
      </w:r>
    </w:p>
    <w:p w14:paraId="433D35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1E3350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31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года состоялось совещание по вопросу о колесах и пневматиках для тяжелых самолетов</w:t>
      </w:r>
    </w:p>
    <w:p w14:paraId="5A0D9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Доклад Вахмистрова о постоянных разрывах покрышек и камер 2000х450 "Пальмер" при испытании самолета ТБ3. Покрышки рвутся по борту около обода колеса.</w:t>
      </w:r>
    </w:p>
    <w:p w14:paraId="57BFB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Причина разрыва покрышек неясна.</w:t>
      </w:r>
    </w:p>
    <w:p w14:paraId="6FE81D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Слушали доклады представителей промышленности о строительстве колес и </w:t>
      </w:r>
      <w:proofErr w:type="spellStart"/>
      <w:r w:rsidRPr="007122AB">
        <w:rPr>
          <w:rFonts w:ascii="Times New Roman" w:hAnsi="Times New Roman"/>
          <w:color w:val="000000" w:themeColor="text1"/>
          <w:sz w:val="16"/>
          <w:szCs w:val="16"/>
        </w:rPr>
        <w:t>пневматиков</w:t>
      </w:r>
      <w:proofErr w:type="spellEnd"/>
      <w:r w:rsidRPr="007122AB">
        <w:rPr>
          <w:rFonts w:ascii="Times New Roman" w:hAnsi="Times New Roman"/>
          <w:color w:val="000000" w:themeColor="text1"/>
          <w:sz w:val="16"/>
          <w:szCs w:val="16"/>
        </w:rPr>
        <w:t xml:space="preserve"> больших размеров.</w:t>
      </w:r>
    </w:p>
    <w:p w14:paraId="36B252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Каучук налажено серийное производство </w:t>
      </w:r>
      <w:proofErr w:type="spellStart"/>
      <w:r w:rsidRPr="007122AB">
        <w:rPr>
          <w:rFonts w:ascii="Times New Roman" w:hAnsi="Times New Roman"/>
          <w:color w:val="000000" w:themeColor="text1"/>
          <w:sz w:val="16"/>
          <w:szCs w:val="16"/>
        </w:rPr>
        <w:t>пневматиков</w:t>
      </w:r>
      <w:proofErr w:type="spellEnd"/>
      <w:r w:rsidRPr="007122AB">
        <w:rPr>
          <w:rFonts w:ascii="Times New Roman" w:hAnsi="Times New Roman"/>
          <w:color w:val="000000" w:themeColor="text1"/>
          <w:sz w:val="16"/>
          <w:szCs w:val="16"/>
        </w:rPr>
        <w:t xml:space="preserve"> 900х200.</w:t>
      </w:r>
    </w:p>
    <w:p w14:paraId="7213FE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Изготовлена одна покрышка 1600х350, но на заводе не испытана из-за отсутствия бандажей. Размер 1300х350 может быть пущен в серийное производство по получении заказа от УВВС. Кроме того приступлено к изготовлению покрышки 200х450, каковая будет готова в январе 1932 года.</w:t>
      </w:r>
    </w:p>
    <w:p w14:paraId="041ED8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Имеется заказ на изготовление для Украины </w:t>
      </w:r>
      <w:proofErr w:type="spellStart"/>
      <w:r w:rsidRPr="007122AB">
        <w:rPr>
          <w:rFonts w:ascii="Times New Roman" w:hAnsi="Times New Roman"/>
          <w:color w:val="000000" w:themeColor="text1"/>
          <w:sz w:val="16"/>
          <w:szCs w:val="16"/>
        </w:rPr>
        <w:t>пневматиков</w:t>
      </w:r>
      <w:proofErr w:type="spellEnd"/>
      <w:r w:rsidRPr="007122AB">
        <w:rPr>
          <w:rFonts w:ascii="Times New Roman" w:hAnsi="Times New Roman"/>
          <w:color w:val="000000" w:themeColor="text1"/>
          <w:sz w:val="16"/>
          <w:szCs w:val="16"/>
        </w:rPr>
        <w:t xml:space="preserve"> баллонного типа 2000х900. Вообще переход на пневматики баллонного и </w:t>
      </w:r>
      <w:proofErr w:type="spellStart"/>
      <w:r w:rsidRPr="007122AB">
        <w:rPr>
          <w:rFonts w:ascii="Times New Roman" w:hAnsi="Times New Roman"/>
          <w:color w:val="000000" w:themeColor="text1"/>
          <w:sz w:val="16"/>
          <w:szCs w:val="16"/>
        </w:rPr>
        <w:t>полубалонного</w:t>
      </w:r>
      <w:proofErr w:type="spellEnd"/>
      <w:r w:rsidRPr="007122AB">
        <w:rPr>
          <w:rFonts w:ascii="Times New Roman" w:hAnsi="Times New Roman"/>
          <w:color w:val="000000" w:themeColor="text1"/>
          <w:sz w:val="16"/>
          <w:szCs w:val="16"/>
        </w:rPr>
        <w:t xml:space="preserve"> типа представляет большой интерес, но со стороны УВВС по этой линии нет заказов, однако завод "Каучук" кое-какие работы уже производит.</w:t>
      </w:r>
    </w:p>
    <w:p w14:paraId="2E6CCD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N 1 налажено производство колес 900х200. Колеса больших размеров находятся в стадии разработки. Колесо 1300х300 строится и будет собрано в августе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1F1887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Признать, что размер 2000х450 не является предельным и изготовление колес этого размера считать безусловно необходимым, т.к. при постройке самолетов больших размеров, уже запроектированных ЦАГИ, именно этот размер понадобится для монтировки как сдвоенные.</w:t>
      </w:r>
    </w:p>
    <w:p w14:paraId="0B02E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о переходе на сдвоенные колеса должен быть разрешен в ближайшее время, поэтому предложить ЦАГИ в срочном порядке спроектировать и поставить тележку под сдвоенные колеса для самолета ТБ-1 (3217,183-184).</w:t>
      </w:r>
    </w:p>
    <w:p w14:paraId="0962E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1A4CE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305AFD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375D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августа 1931 г. было сделано заявление главнокомандующему </w:t>
      </w:r>
      <w:proofErr w:type="spellStart"/>
      <w:r w:rsidRPr="007122AB">
        <w:rPr>
          <w:rFonts w:ascii="Times New Roman" w:hAnsi="Times New Roman"/>
          <w:color w:val="000000" w:themeColor="text1"/>
          <w:sz w:val="16"/>
          <w:szCs w:val="16"/>
        </w:rPr>
        <w:t>райхсвером</w:t>
      </w:r>
      <w:proofErr w:type="spellEnd"/>
      <w:r w:rsidRPr="007122AB">
        <w:rPr>
          <w:rFonts w:ascii="Times New Roman" w:hAnsi="Times New Roman"/>
          <w:color w:val="000000" w:themeColor="text1"/>
          <w:sz w:val="16"/>
          <w:szCs w:val="16"/>
        </w:rPr>
        <w:t xml:space="preserve"> по вопросу о связях с Советским Союзом об </w:t>
      </w:r>
      <w:proofErr w:type="spellStart"/>
      <w:r w:rsidRPr="007122AB">
        <w:rPr>
          <w:rFonts w:ascii="Times New Roman" w:hAnsi="Times New Roman"/>
          <w:color w:val="000000" w:themeColor="text1"/>
          <w:sz w:val="16"/>
          <w:szCs w:val="16"/>
        </w:rPr>
        <w:t>окончвательном</w:t>
      </w:r>
      <w:proofErr w:type="spellEnd"/>
      <w:r w:rsidRPr="007122AB">
        <w:rPr>
          <w:rFonts w:ascii="Times New Roman" w:hAnsi="Times New Roman"/>
          <w:color w:val="000000" w:themeColor="text1"/>
          <w:sz w:val="16"/>
          <w:szCs w:val="16"/>
        </w:rPr>
        <w:t xml:space="preserve"> отказе от сотрудничества с СССР. Пытаясь избежать открытого конфликта с командующим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оно указало на важность сохранения для германского флота дружественных отношений с США и Великобританией. К этому примешивалось твердое убеждение в том, что сотрудничество с советским флотом германским ВМС «ничего не дает». Данное утверждение было справедливым. И в Турции, и в Финляндии, и в Испании, и на Балтийском побережье самой Германии германский V флот сумел создать не только базы по обучению личного состава, но и наладить производство морских самолетов, подлодок, военно-морского оборудования. Но это, как говорится, «была только одна сторона медали», поскольку советское судостроение, как губка, впитывало в себя то, что удавалось получить от германских учителей, пусть даже предлагавшийся материал и являло собой, так сказать, «товар второй свежести». Уже в 1927 г. на предприятиях судостроительной промышленности были заложены первые советские подводные лодки типа «Декабрист». В 1930 — 1931 гг. они вошли в состав советского ВМФ. Параллельно разрабатывались проекты подлодок типа «Ленинец» и «Щука», они стали поступать на вооружение с 1933 г. (Горшков С. Г. Указ. соч. С. 222-223.). В годы второй и третьей пятилеток судостроительная промышленность в СССР выпускала также подлодку типа «М», созданную Б. М. Малининым. Было организовано производство подлодок типа «П» и «С», создан проект крейсерской подлодки типа «К» большого водоизмещения с сильным вооружением (Боевой путь Советского Военно-Морского Флота. М., 1967, с. 165.). Исследователь из США А. </w:t>
      </w:r>
      <w:proofErr w:type="spellStart"/>
      <w:r w:rsidRPr="007122AB">
        <w:rPr>
          <w:rFonts w:ascii="Times New Roman" w:hAnsi="Times New Roman"/>
          <w:color w:val="000000" w:themeColor="text1"/>
          <w:sz w:val="16"/>
          <w:szCs w:val="16"/>
        </w:rPr>
        <w:t>Сатгон</w:t>
      </w:r>
      <w:proofErr w:type="spellEnd"/>
      <w:r w:rsidRPr="007122AB">
        <w:rPr>
          <w:rFonts w:ascii="Times New Roman" w:hAnsi="Times New Roman"/>
          <w:color w:val="000000" w:themeColor="text1"/>
          <w:sz w:val="16"/>
          <w:szCs w:val="16"/>
        </w:rPr>
        <w:t xml:space="preserve"> считает, что германская делегация во главе со </w:t>
      </w:r>
      <w:proofErr w:type="spellStart"/>
      <w:r w:rsidRPr="007122AB">
        <w:rPr>
          <w:rFonts w:ascii="Times New Roman" w:hAnsi="Times New Roman"/>
          <w:color w:val="000000" w:themeColor="text1"/>
          <w:sz w:val="16"/>
          <w:szCs w:val="16"/>
        </w:rPr>
        <w:t>Шпиндлером</w:t>
      </w:r>
      <w:proofErr w:type="spellEnd"/>
      <w:r w:rsidRPr="007122AB">
        <w:rPr>
          <w:rFonts w:ascii="Times New Roman" w:hAnsi="Times New Roman"/>
          <w:color w:val="000000" w:themeColor="text1"/>
          <w:sz w:val="16"/>
          <w:szCs w:val="16"/>
        </w:rPr>
        <w:t xml:space="preserve"> в июне 1926г. передала-таки Советскому Союзу «планы наиболее удачных проектов германских подводных лодок». Он полагает, что немецкая подводная лодка типа «B-III» была «наиболее удачной конструкцией из всех, когда-либо выпускавшихся». По его мнению, советская подлодка типа «Щука» основана на немецком проекте «B-III», а подлодка типа «С» — на немецком проекте типа «VII» (</w:t>
      </w:r>
      <w:proofErr w:type="spellStart"/>
      <w:r w:rsidRPr="007122AB">
        <w:rPr>
          <w:rFonts w:ascii="Times New Roman" w:hAnsi="Times New Roman"/>
          <w:color w:val="000000" w:themeColor="text1"/>
          <w:sz w:val="16"/>
          <w:szCs w:val="16"/>
        </w:rPr>
        <w:t>Sutton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Antony</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 xml:space="preserve">National Suicide: </w:t>
      </w:r>
      <w:proofErr w:type="spellStart"/>
      <w:r w:rsidRPr="007122AB">
        <w:rPr>
          <w:rFonts w:ascii="Times New Roman" w:hAnsi="Times New Roman"/>
          <w:color w:val="000000" w:themeColor="text1"/>
          <w:sz w:val="16"/>
          <w:szCs w:val="16"/>
          <w:lang w:val="en-US"/>
        </w:rPr>
        <w:t>Millitary</w:t>
      </w:r>
      <w:proofErr w:type="spellEnd"/>
      <w:r w:rsidRPr="007122AB">
        <w:rPr>
          <w:rFonts w:ascii="Times New Roman" w:hAnsi="Times New Roman"/>
          <w:color w:val="000000" w:themeColor="text1"/>
          <w:sz w:val="16"/>
          <w:szCs w:val="16"/>
          <w:lang w:val="en-US"/>
        </w:rPr>
        <w:t xml:space="preserve"> Aid to the Soviet Union. New Rochell, New York, 1973. </w:t>
      </w:r>
      <w:r w:rsidRPr="007122AB">
        <w:rPr>
          <w:rFonts w:ascii="Times New Roman" w:hAnsi="Times New Roman"/>
          <w:color w:val="000000" w:themeColor="text1"/>
          <w:sz w:val="16"/>
          <w:szCs w:val="16"/>
        </w:rPr>
        <w:t xml:space="preserve">P. 152-153.). Сложно, конечно же, представить себе, что советское судостроение, у которого, по мнению германских профессионалов, «нечему было учиться», «вдруг» - смогло разработать несколько перспективных моделей подводных лодок. Пусть даже конструкторы-судостроители Б. М. Малинин, А. Н. Крылов, В. П. Костенко и др. и являлись талантами-самородками, но пройти мимо готовых проектов, переданных немцами, а также иной конкретной немецкой помощи, они вряд ли могли. 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w:t>
      </w:r>
      <w:proofErr w:type="spellStart"/>
      <w:r w:rsidRPr="007122AB">
        <w:rPr>
          <w:rFonts w:ascii="Times New Roman" w:hAnsi="Times New Roman"/>
          <w:color w:val="000000" w:themeColor="text1"/>
          <w:sz w:val="16"/>
          <w:szCs w:val="16"/>
        </w:rPr>
        <w:t>дизельмоторов</w:t>
      </w:r>
      <w:proofErr w:type="spellEnd"/>
      <w:r w:rsidRPr="007122AB">
        <w:rPr>
          <w:rFonts w:ascii="Times New Roman" w:hAnsi="Times New Roman"/>
          <w:color w:val="000000" w:themeColor="text1"/>
          <w:sz w:val="16"/>
          <w:szCs w:val="16"/>
        </w:rPr>
        <w:t>; с фирмой «Сименс-</w:t>
      </w:r>
      <w:proofErr w:type="spellStart"/>
      <w:r w:rsidRPr="007122AB">
        <w:rPr>
          <w:rFonts w:ascii="Times New Roman" w:hAnsi="Times New Roman"/>
          <w:color w:val="000000" w:themeColor="text1"/>
          <w:sz w:val="16"/>
          <w:szCs w:val="16"/>
        </w:rPr>
        <w:t>Шуккерт</w:t>
      </w:r>
      <w:proofErr w:type="spellEnd"/>
      <w:r w:rsidRPr="007122AB">
        <w:rPr>
          <w:rFonts w:ascii="Times New Roman" w:hAnsi="Times New Roman"/>
          <w:color w:val="000000" w:themeColor="text1"/>
          <w:sz w:val="16"/>
          <w:szCs w:val="16"/>
        </w:rPr>
        <w:t>» — о поставке электрического рулевого аппарата; с фирмой «</w:t>
      </w:r>
      <w:proofErr w:type="spellStart"/>
      <w:r w:rsidRPr="007122AB">
        <w:rPr>
          <w:rFonts w:ascii="Times New Roman" w:hAnsi="Times New Roman"/>
          <w:color w:val="000000" w:themeColor="text1"/>
          <w:sz w:val="16"/>
          <w:szCs w:val="16"/>
        </w:rPr>
        <w:t>Аншютц</w:t>
      </w:r>
      <w:proofErr w:type="spellEnd"/>
      <w:r w:rsidRPr="007122AB">
        <w:rPr>
          <w:rFonts w:ascii="Times New Roman" w:hAnsi="Times New Roman"/>
          <w:color w:val="000000" w:themeColor="text1"/>
          <w:sz w:val="16"/>
          <w:szCs w:val="16"/>
        </w:rPr>
        <w:t>» — о поставке компасов; с фирмой «Браун-</w:t>
      </w:r>
      <w:proofErr w:type="spellStart"/>
      <w:r w:rsidRPr="007122AB">
        <w:rPr>
          <w:rFonts w:ascii="Times New Roman" w:hAnsi="Times New Roman"/>
          <w:color w:val="000000" w:themeColor="text1"/>
          <w:sz w:val="16"/>
          <w:szCs w:val="16"/>
        </w:rPr>
        <w:t>Бовери</w:t>
      </w:r>
      <w:proofErr w:type="spellEnd"/>
      <w:r w:rsidRPr="007122AB">
        <w:rPr>
          <w:rFonts w:ascii="Times New Roman" w:hAnsi="Times New Roman"/>
          <w:color w:val="000000" w:themeColor="text1"/>
          <w:sz w:val="16"/>
          <w:szCs w:val="16"/>
        </w:rPr>
        <w:t>» — о поставке аппаратов для переключения и т. д. Вполне закономерным было заключение в 1933 г. лицензионного договора с фирмой «</w:t>
      </w:r>
      <w:proofErr w:type="spellStart"/>
      <w:r w:rsidRPr="007122AB">
        <w:rPr>
          <w:rFonts w:ascii="Times New Roman" w:hAnsi="Times New Roman"/>
          <w:color w:val="000000" w:themeColor="text1"/>
          <w:sz w:val="16"/>
          <w:szCs w:val="16"/>
        </w:rPr>
        <w:t>Дешимаг</w:t>
      </w:r>
      <w:proofErr w:type="spellEnd"/>
      <w:r w:rsidRPr="007122AB">
        <w:rPr>
          <w:rFonts w:ascii="Times New Roman" w:hAnsi="Times New Roman"/>
          <w:color w:val="000000" w:themeColor="text1"/>
          <w:sz w:val="16"/>
          <w:szCs w:val="16"/>
        </w:rPr>
        <w:t>» о разработке проекта средней подводной лодки (Дмитриев В. И. Советское подводное кораблестроение. М., 1990, с. 134-135.) (11784).</w:t>
      </w:r>
    </w:p>
    <w:p w14:paraId="5314E4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8CC4C0"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августа 1931 г. командование германских ВМС сделало заявление главнокомандующему </w:t>
      </w:r>
      <w:proofErr w:type="spellStart"/>
      <w:r w:rsidRPr="007122AB">
        <w:rPr>
          <w:rFonts w:ascii="Times New Roman" w:hAnsi="Times New Roman"/>
          <w:color w:val="000000" w:themeColor="text1"/>
          <w:sz w:val="16"/>
          <w:szCs w:val="16"/>
        </w:rPr>
        <w:t>райхсвером</w:t>
      </w:r>
      <w:proofErr w:type="spellEnd"/>
      <w:r w:rsidRPr="007122AB">
        <w:rPr>
          <w:rFonts w:ascii="Times New Roman" w:hAnsi="Times New Roman"/>
          <w:color w:val="000000" w:themeColor="text1"/>
          <w:sz w:val="16"/>
          <w:szCs w:val="16"/>
        </w:rPr>
        <w:t xml:space="preserve"> по вопросу о связях с Советским Союзом. Пытаясь избежать открытого конфликта с командующим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оно указало на важность сохранения для германского флота дружественных отношений с США и Великобританией. К этому примешивалось твердое убеждение в том, что сотрудничество с советским флотом германским ВМС «ничего не дает». Данное утверждение было справедливым. И в Турции, и в Финляндии, и в Испании, и на Балтийском побережье самой Германии германский флот сумел создать не только базы по обучению личного состава, но и наладить производство морских самолетов, подлодок, военно-морского оборудования (18265) </w:t>
      </w:r>
    </w:p>
    <w:p w14:paraId="2A64E3B3" w14:textId="77777777" w:rsidR="00A77F55" w:rsidRPr="007122AB" w:rsidRDefault="00A77F55" w:rsidP="007122AB">
      <w:pPr>
        <w:spacing w:after="0" w:line="240" w:lineRule="auto"/>
        <w:jc w:val="both"/>
        <w:rPr>
          <w:rFonts w:ascii="Times New Roman" w:hAnsi="Times New Roman"/>
          <w:color w:val="000000" w:themeColor="text1"/>
          <w:sz w:val="16"/>
          <w:szCs w:val="16"/>
        </w:rPr>
      </w:pPr>
    </w:p>
    <w:p w14:paraId="7B801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августа 1931 г. Политбюро ЦК ВКП(б) принимает постановление о технической пропаганде, ставшее основой для принятия решения о создании в системе Наркомтяжпрома СССР специального Управления, которое должно было координировать и осуществлять работы по строительству Центрального музея техники и Всесоюзной постоянной выставки техники. К концу 1932 г. в составе Управления были созданы 17 секторов. Первые экспонаты поступили в апреле 1932 г. С 1934 г. работы, связанные с организацией и проектированием Дворца техники стали свертываться. Это объяснялось не только трудностями финансирования грандиозного проекта, но и опалой Николая Бухарина. В июне 1935 г. Управление по организации и строительству Дворца техники было расформировано. Его имущество было передано </w:t>
      </w:r>
      <w:proofErr w:type="spellStart"/>
      <w:r w:rsidRPr="007122AB">
        <w:rPr>
          <w:rFonts w:ascii="Times New Roman" w:hAnsi="Times New Roman"/>
          <w:color w:val="000000" w:themeColor="text1"/>
          <w:sz w:val="16"/>
          <w:szCs w:val="16"/>
        </w:rPr>
        <w:t>Главстройпому</w:t>
      </w:r>
      <w:proofErr w:type="spellEnd"/>
      <w:r w:rsidRPr="007122AB">
        <w:rPr>
          <w:rFonts w:ascii="Times New Roman" w:hAnsi="Times New Roman"/>
          <w:color w:val="000000" w:themeColor="text1"/>
          <w:sz w:val="16"/>
          <w:szCs w:val="16"/>
        </w:rPr>
        <w:t xml:space="preserve"> НКТП СССР, а экспонаты - на хранение соответствующим музеям и институтам (9872).</w:t>
      </w:r>
    </w:p>
    <w:p w14:paraId="7D011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DFFB12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53BAE6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9DCC8E" w14:textId="77777777" w:rsidR="003F4143" w:rsidRPr="007122AB" w:rsidRDefault="003F41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в 1931 году ЦК ВКП(б) принял постановление о технической пропаганде, в котором радиовещанию было предложено обеспечить регулярное проведение пропаганды технических знаний. В связи с этим радио начало готовить циклы передач «Техническая пропаганда», «За технику социалистической промышленности», «Технику — массам!» Радио пропагандировало также агрономические и зоотехнические знания (14974).</w:t>
      </w:r>
    </w:p>
    <w:p w14:paraId="49BD2D17" w14:textId="77777777" w:rsidR="003F4143" w:rsidRPr="007122AB" w:rsidRDefault="003F4143" w:rsidP="007122AB">
      <w:pPr>
        <w:spacing w:after="0" w:line="240" w:lineRule="auto"/>
        <w:jc w:val="both"/>
        <w:rPr>
          <w:rFonts w:ascii="Times New Roman" w:hAnsi="Times New Roman"/>
          <w:color w:val="000000" w:themeColor="text1"/>
          <w:sz w:val="16"/>
          <w:szCs w:val="16"/>
        </w:rPr>
      </w:pPr>
    </w:p>
    <w:p w14:paraId="7977A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года принимает согласованное предложение с ОГПУ и НКПС о досрочном освобождении от наказания специалистов, передаваемых ОГПУ для работы на транспорте с оставлением им наказания условным и о применении к освобожденным гласного надзора ОГПУ (11248).</w:t>
      </w:r>
    </w:p>
    <w:p w14:paraId="7F2014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47F250" w14:textId="77777777" w:rsidR="00B23ECB" w:rsidRPr="007122AB" w:rsidRDefault="00B23EC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527C6F8" w14:textId="77777777" w:rsidR="00B23ECB" w:rsidRPr="007122AB" w:rsidRDefault="00B23EC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FC78BC" w14:textId="77777777" w:rsidR="00B23ECB" w:rsidRPr="007122AB" w:rsidRDefault="00B23E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августа 1931 года — первый полёт автожира </w:t>
      </w:r>
      <w:proofErr w:type="spellStart"/>
      <w:r w:rsidRPr="007122AB">
        <w:rPr>
          <w:rFonts w:ascii="Times New Roman" w:hAnsi="Times New Roman"/>
          <w:color w:val="000000" w:themeColor="text1"/>
          <w:sz w:val="16"/>
          <w:szCs w:val="16"/>
        </w:rPr>
        <w:t>Wilford</w:t>
      </w:r>
      <w:proofErr w:type="spellEnd"/>
      <w:r w:rsidRPr="007122AB">
        <w:rPr>
          <w:rFonts w:ascii="Times New Roman" w:hAnsi="Times New Roman"/>
          <w:color w:val="000000" w:themeColor="text1"/>
          <w:sz w:val="16"/>
          <w:szCs w:val="16"/>
        </w:rPr>
        <w:t xml:space="preserve"> WRK </w:t>
      </w:r>
      <w:proofErr w:type="spellStart"/>
      <w:r w:rsidRPr="007122AB">
        <w:rPr>
          <w:rFonts w:ascii="Times New Roman" w:hAnsi="Times New Roman"/>
          <w:color w:val="000000" w:themeColor="text1"/>
          <w:sz w:val="16"/>
          <w:szCs w:val="16"/>
        </w:rPr>
        <w:t>Gyroplane</w:t>
      </w:r>
      <w:proofErr w:type="spellEnd"/>
      <w:r w:rsidRPr="007122AB">
        <w:rPr>
          <w:rFonts w:ascii="Times New Roman" w:hAnsi="Times New Roman"/>
          <w:color w:val="000000" w:themeColor="text1"/>
          <w:sz w:val="16"/>
          <w:szCs w:val="16"/>
        </w:rPr>
        <w:t>. /США/</w:t>
      </w:r>
    </w:p>
    <w:p w14:paraId="54B0A255" w14:textId="77777777" w:rsidR="00B23ECB" w:rsidRPr="007122AB" w:rsidRDefault="00B23E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1928 году инженер Эдвард </w:t>
      </w:r>
      <w:proofErr w:type="spellStart"/>
      <w:r w:rsidRPr="007122AB">
        <w:rPr>
          <w:rFonts w:ascii="Times New Roman" w:hAnsi="Times New Roman"/>
          <w:color w:val="000000" w:themeColor="text1"/>
          <w:sz w:val="16"/>
          <w:szCs w:val="16"/>
        </w:rPr>
        <w:t>Вилфорд</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Edward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Wilford</w:t>
      </w:r>
      <w:proofErr w:type="spellEnd"/>
      <w:r w:rsidRPr="007122AB">
        <w:rPr>
          <w:rFonts w:ascii="Times New Roman" w:hAnsi="Times New Roman"/>
          <w:color w:val="000000" w:themeColor="text1"/>
          <w:sz w:val="16"/>
          <w:szCs w:val="16"/>
        </w:rPr>
        <w:t xml:space="preserve">) путешествовал по Европе. Он обратил внимание на автожир немцев Вальтера </w:t>
      </w:r>
      <w:proofErr w:type="spellStart"/>
      <w:r w:rsidRPr="007122AB">
        <w:rPr>
          <w:rFonts w:ascii="Times New Roman" w:hAnsi="Times New Roman"/>
          <w:color w:val="000000" w:themeColor="text1"/>
          <w:sz w:val="16"/>
          <w:szCs w:val="16"/>
        </w:rPr>
        <w:t>Ризелера</w:t>
      </w:r>
      <w:proofErr w:type="spellEnd"/>
      <w:r w:rsidRPr="007122AB">
        <w:rPr>
          <w:rFonts w:ascii="Times New Roman" w:hAnsi="Times New Roman"/>
          <w:color w:val="000000" w:themeColor="text1"/>
          <w:sz w:val="16"/>
          <w:szCs w:val="16"/>
        </w:rPr>
        <w:t> и Вальтера Крейслера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Rieseler</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Walter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Kreisler</w:t>
      </w:r>
      <w:proofErr w:type="spellEnd"/>
      <w:r w:rsidRPr="007122AB">
        <w:rPr>
          <w:rFonts w:ascii="Times New Roman" w:hAnsi="Times New Roman"/>
          <w:color w:val="000000" w:themeColor="text1"/>
          <w:sz w:val="16"/>
          <w:szCs w:val="16"/>
        </w:rPr>
        <w:t xml:space="preserve">). Проект </w:t>
      </w:r>
      <w:proofErr w:type="spellStart"/>
      <w:r w:rsidRPr="007122AB">
        <w:rPr>
          <w:rFonts w:ascii="Times New Roman" w:hAnsi="Times New Roman"/>
          <w:color w:val="000000" w:themeColor="text1"/>
          <w:sz w:val="16"/>
          <w:szCs w:val="16"/>
        </w:rPr>
        <w:t>Вилфорду</w:t>
      </w:r>
      <w:proofErr w:type="spellEnd"/>
      <w:r w:rsidRPr="007122AB">
        <w:rPr>
          <w:rFonts w:ascii="Times New Roman" w:hAnsi="Times New Roman"/>
          <w:color w:val="000000" w:themeColor="text1"/>
          <w:sz w:val="16"/>
          <w:szCs w:val="16"/>
        </w:rPr>
        <w:t xml:space="preserve"> понравился, и он приобрёл патент на него. В 1930 году инженер начинает строить автожир WRK </w:t>
      </w:r>
      <w:proofErr w:type="spellStart"/>
      <w:r w:rsidRPr="007122AB">
        <w:rPr>
          <w:rFonts w:ascii="Times New Roman" w:hAnsi="Times New Roman"/>
          <w:color w:val="000000" w:themeColor="text1"/>
          <w:sz w:val="16"/>
          <w:szCs w:val="16"/>
        </w:rPr>
        <w:t>Gyroplane</w:t>
      </w:r>
      <w:proofErr w:type="spellEnd"/>
      <w:r w:rsidRPr="007122AB">
        <w:rPr>
          <w:rFonts w:ascii="Times New Roman" w:hAnsi="Times New Roman"/>
          <w:color w:val="000000" w:themeColor="text1"/>
          <w:sz w:val="16"/>
          <w:szCs w:val="16"/>
        </w:rPr>
        <w:t xml:space="preserve"> (WRK — по первым буквам фамилий </w:t>
      </w:r>
      <w:proofErr w:type="spellStart"/>
      <w:r w:rsidRPr="007122AB">
        <w:rPr>
          <w:rFonts w:ascii="Times New Roman" w:hAnsi="Times New Roman"/>
          <w:color w:val="000000" w:themeColor="text1"/>
          <w:sz w:val="16"/>
          <w:szCs w:val="16"/>
        </w:rPr>
        <w:t>Wilford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Rieseler</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Kreisler</w:t>
      </w:r>
      <w:proofErr w:type="spellEnd"/>
      <w:r w:rsidRPr="007122AB">
        <w:rPr>
          <w:rFonts w:ascii="Times New Roman" w:hAnsi="Times New Roman"/>
          <w:color w:val="000000" w:themeColor="text1"/>
          <w:sz w:val="16"/>
          <w:szCs w:val="16"/>
        </w:rPr>
        <w:t>).</w:t>
      </w:r>
    </w:p>
    <w:p w14:paraId="17506F26" w14:textId="77777777" w:rsidR="00B23ECB" w:rsidRPr="007122AB" w:rsidRDefault="00B23E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WRK </w:t>
      </w:r>
      <w:proofErr w:type="spellStart"/>
      <w:r w:rsidRPr="007122AB">
        <w:rPr>
          <w:rFonts w:ascii="Times New Roman" w:hAnsi="Times New Roman"/>
          <w:color w:val="000000" w:themeColor="text1"/>
          <w:sz w:val="16"/>
          <w:szCs w:val="16"/>
        </w:rPr>
        <w:t>Gyroplane</w:t>
      </w:r>
      <w:proofErr w:type="spellEnd"/>
      <w:r w:rsidRPr="007122AB">
        <w:rPr>
          <w:rFonts w:ascii="Times New Roman" w:hAnsi="Times New Roman"/>
          <w:color w:val="000000" w:themeColor="text1"/>
          <w:sz w:val="16"/>
          <w:szCs w:val="16"/>
        </w:rPr>
        <w:t xml:space="preserve"> был одноместным автожиром с 4-лопастным несущим винтом и автоматом перекоса оригинальной конструкции. Этим он выгодно отличался от автожиров испанца Хуана де ла </w:t>
      </w:r>
      <w:proofErr w:type="spellStart"/>
      <w:r w:rsidRPr="007122AB">
        <w:rPr>
          <w:rFonts w:ascii="Times New Roman" w:hAnsi="Times New Roman"/>
          <w:color w:val="000000" w:themeColor="text1"/>
          <w:sz w:val="16"/>
          <w:szCs w:val="16"/>
        </w:rPr>
        <w:t>Сьерва</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Juan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Cierva</w:t>
      </w:r>
      <w:proofErr w:type="spellEnd"/>
      <w:r w:rsidRPr="007122AB">
        <w:rPr>
          <w:rFonts w:ascii="Times New Roman" w:hAnsi="Times New Roman"/>
          <w:color w:val="000000" w:themeColor="text1"/>
          <w:sz w:val="16"/>
          <w:szCs w:val="16"/>
        </w:rPr>
        <w:t xml:space="preserve">). Известно, что WRK </w:t>
      </w:r>
      <w:proofErr w:type="spellStart"/>
      <w:r w:rsidRPr="007122AB">
        <w:rPr>
          <w:rFonts w:ascii="Times New Roman" w:hAnsi="Times New Roman"/>
          <w:color w:val="000000" w:themeColor="text1"/>
          <w:sz w:val="16"/>
          <w:szCs w:val="16"/>
        </w:rPr>
        <w:t>Gyroplane</w:t>
      </w:r>
      <w:proofErr w:type="spellEnd"/>
      <w:r w:rsidRPr="007122AB">
        <w:rPr>
          <w:rFonts w:ascii="Times New Roman" w:hAnsi="Times New Roman"/>
          <w:color w:val="000000" w:themeColor="text1"/>
          <w:sz w:val="16"/>
          <w:szCs w:val="16"/>
        </w:rPr>
        <w:t xml:space="preserve"> оснащался 3 различными двигателями. С мотором Cirrus Mark III (85 л.с.) развивал скорость до 150 км/ч.</w:t>
      </w:r>
    </w:p>
    <w:p w14:paraId="03C4B73C" w14:textId="77777777" w:rsidR="00B23ECB" w:rsidRPr="007122AB" w:rsidRDefault="00B23ECB"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Вилдфорд</w:t>
      </w:r>
      <w:proofErr w:type="spellEnd"/>
      <w:r w:rsidRPr="007122AB">
        <w:rPr>
          <w:rFonts w:ascii="Times New Roman" w:hAnsi="Times New Roman"/>
          <w:color w:val="000000" w:themeColor="text1"/>
          <w:sz w:val="16"/>
          <w:szCs w:val="16"/>
        </w:rPr>
        <w:t xml:space="preserve"> испытывал и дорабатывал свой автожир на протяжении 1931-34 годов. Он показывал хорошие лётные характеристики, но в серийное производство не пошёл. Построили лишь 1 экземпляр WRK </w:t>
      </w:r>
      <w:proofErr w:type="spellStart"/>
      <w:r w:rsidRPr="007122AB">
        <w:rPr>
          <w:rFonts w:ascii="Times New Roman" w:hAnsi="Times New Roman"/>
          <w:color w:val="000000" w:themeColor="text1"/>
          <w:sz w:val="16"/>
          <w:szCs w:val="16"/>
        </w:rPr>
        <w:t>Gyroplane</w:t>
      </w:r>
      <w:proofErr w:type="spellEnd"/>
      <w:r w:rsidRPr="007122AB">
        <w:rPr>
          <w:rFonts w:ascii="Times New Roman" w:hAnsi="Times New Roman"/>
          <w:color w:val="000000" w:themeColor="text1"/>
          <w:sz w:val="16"/>
          <w:szCs w:val="16"/>
        </w:rPr>
        <w:t xml:space="preserve"> (22300).</w:t>
      </w:r>
    </w:p>
    <w:p w14:paraId="2CB635A4" w14:textId="77777777" w:rsidR="00B23ECB" w:rsidRPr="007122AB" w:rsidRDefault="00B23ECB" w:rsidP="007122AB">
      <w:pPr>
        <w:shd w:val="clear" w:color="auto" w:fill="FFFFFF"/>
        <w:spacing w:after="0" w:line="240" w:lineRule="auto"/>
        <w:jc w:val="both"/>
        <w:rPr>
          <w:rFonts w:ascii="Times New Roman" w:hAnsi="Times New Roman"/>
          <w:color w:val="000000" w:themeColor="text1"/>
          <w:sz w:val="16"/>
          <w:szCs w:val="16"/>
        </w:rPr>
      </w:pPr>
    </w:p>
    <w:p w14:paraId="0CB74A9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EB5C93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F42F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августа 1931 был утвержден устав Всесоюзного объединения ГВФ (271,126).</w:t>
      </w:r>
    </w:p>
    <w:p w14:paraId="08BEB0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9FB788" w14:textId="5DE04472" w:rsidR="004A207C" w:rsidRPr="007122AB" w:rsidRDefault="004A207C" w:rsidP="007122AB">
      <w:pPr>
        <w:shd w:val="clear" w:color="auto" w:fill="FFFFFF"/>
        <w:spacing w:after="0" w:line="240" w:lineRule="auto"/>
        <w:jc w:val="both"/>
        <w:textAlignment w:val="top"/>
        <w:rPr>
          <w:rFonts w:ascii="Times New Roman" w:hAnsi="Times New Roman"/>
          <w:color w:val="000000" w:themeColor="text1"/>
          <w:sz w:val="16"/>
          <w:szCs w:val="16"/>
        </w:rPr>
      </w:pPr>
      <w:r w:rsidRPr="007122AB">
        <w:rPr>
          <w:rFonts w:ascii="Times New Roman" w:hAnsi="Times New Roman"/>
          <w:color w:val="000000" w:themeColor="text1"/>
          <w:sz w:val="16"/>
          <w:szCs w:val="16"/>
        </w:rPr>
        <w:t>6 августа 1931 года Постановлением СТО от 6 августа 1931 года утвержден Устав ВО ГВФ (20226)</w:t>
      </w:r>
    </w:p>
    <w:p w14:paraId="0E50B161" w14:textId="77777777" w:rsidR="004A207C" w:rsidRPr="007122AB" w:rsidRDefault="004A207C" w:rsidP="007122AB">
      <w:pPr>
        <w:shd w:val="clear" w:color="auto" w:fill="FFFFFF"/>
        <w:spacing w:after="0" w:line="240" w:lineRule="auto"/>
        <w:jc w:val="both"/>
        <w:textAlignment w:val="top"/>
        <w:rPr>
          <w:rFonts w:ascii="Times New Roman" w:hAnsi="Times New Roman"/>
          <w:color w:val="000000" w:themeColor="text1"/>
          <w:sz w:val="16"/>
          <w:szCs w:val="16"/>
        </w:rPr>
      </w:pPr>
    </w:p>
    <w:p w14:paraId="1684806D" w14:textId="77777777" w:rsidR="00024EF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43F9C1A" w14:textId="77777777" w:rsidR="00024EF9" w:rsidRPr="007122AB" w:rsidRDefault="00024EF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548EBA"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6 августа 1931 </w:t>
      </w:r>
      <w:r w:rsidRPr="007122AB">
        <w:rPr>
          <w:rFonts w:ascii="Times New Roman" w:hAnsi="Times New Roman"/>
          <w:color w:val="000000" w:themeColor="text1"/>
          <w:sz w:val="16"/>
          <w:szCs w:val="16"/>
        </w:rPr>
        <w:t xml:space="preserve">Политбюро ЦК ВКП (б) приняло решение об отсрочке призыва в Красную Армию квалифицированных рабочих и инженерно-технического персонала СТЗ, ХТЗ, Нижегородского автозавода, АМО, Магнитостроя, Березников, </w:t>
      </w:r>
      <w:proofErr w:type="spellStart"/>
      <w:r w:rsidRPr="007122AB">
        <w:rPr>
          <w:rFonts w:ascii="Times New Roman" w:hAnsi="Times New Roman"/>
          <w:color w:val="000000" w:themeColor="text1"/>
          <w:sz w:val="16"/>
          <w:szCs w:val="16"/>
        </w:rPr>
        <w:t>Уралмашстроя</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 утвердило проект постановления ЦК ВКП (б) «Об организации технической пропаганды» (12265).</w:t>
      </w:r>
    </w:p>
    <w:p w14:paraId="11F44406"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2E2547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FCF8BF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383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августа 1931 года Политбюро ЦК ВКП(б) принимает решение информировать секретарей нац. ЦК крайкомов, обкомов, об изменениях в составе ОГПУ. Был утвержден предложенный комиссией Политбюро проект письма секретарям нач. ЦК, крайкомов и обкомов, которым поручалось дать разъяснение узкому активу работников ГПУ о причинах последних перемен в руководящем составе ОГПУ: </w:t>
      </w:r>
    </w:p>
    <w:p w14:paraId="1EDC82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Мессинг и Бельский отстранены от работы в ОГПУ, тов. Ольский снят с работы в Особом отделе, а т. Евдокимов снят с должности начальника секретно-оперативного управления с направлением его в Туркестан на должность ПП на том основании, что: </w:t>
      </w:r>
    </w:p>
    <w:p w14:paraId="0C80D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эти товарищи вели внутри ОГПУ совершенно нетерпимую групповую борьбу против руководства ОГПУ;</w:t>
      </w:r>
    </w:p>
    <w:p w14:paraId="4671E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они распространяли среди работников ОГПУ совершенно не соответствующие действительности, разлагающие слухи о том, что дела о вредительстве в военном ведомстве являются «дутыми» делами; </w:t>
      </w:r>
    </w:p>
    <w:p w14:paraId="19F3D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они расшатывали тем самым железную дисциплину среди работников ОГПУ.</w:t>
      </w:r>
    </w:p>
    <w:p w14:paraId="3A562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Тов. Акулов переведен на должность 1-го зам. пред. ОГПУ, т. Балицкий на должность 3-го зам. пред. ОГПУ, а тов. Булатов назначен </w:t>
      </w:r>
      <w:proofErr w:type="spellStart"/>
      <w:r w:rsidRPr="007122AB">
        <w:rPr>
          <w:rFonts w:ascii="Times New Roman" w:hAnsi="Times New Roman"/>
          <w:color w:val="000000" w:themeColor="text1"/>
          <w:sz w:val="16"/>
          <w:szCs w:val="16"/>
        </w:rPr>
        <w:t>завед</w:t>
      </w:r>
      <w:proofErr w:type="spellEnd"/>
      <w:r w:rsidRPr="007122AB">
        <w:rPr>
          <w:rFonts w:ascii="Times New Roman" w:hAnsi="Times New Roman"/>
          <w:color w:val="000000" w:themeColor="text1"/>
          <w:sz w:val="16"/>
          <w:szCs w:val="16"/>
        </w:rPr>
        <w:t xml:space="preserve">. отделом кадров ОГПУ для того, чтобы поднять на должную высоту дело формирования обучения и распределения кадров ОГПУ. </w:t>
      </w:r>
    </w:p>
    <w:p w14:paraId="16F1E2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ЦК отмечает разговоры и шушуканье о «внутренней слабости» органов ОГПУ и «неправильности» лишений их практической работы, как слухи, идущие без сомнения из враждебного лагеря и подхваченные по глупости некоторыми горе-коммунистами». </w:t>
      </w:r>
    </w:p>
    <w:p w14:paraId="5879F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ЦК считает, что ОГПУ есть и остается отлаженным мечом рабочего класса, метко и умело разящим врага, честно и умело выполняющим свой долг перед Советской властью». </w:t>
      </w:r>
    </w:p>
    <w:p w14:paraId="59410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письме подчеркивается наряду с борьбой против руководства ОГПУ, распространения слухов о фальсификации дел о вредительстве только в военном ведомстве, но в данном случае не могло быть полного перечисления сфальсифицированных дел, так как это ставило бы под сомнения всю проведенную компанию по борьбе с вредительством (11248).</w:t>
      </w:r>
    </w:p>
    <w:p w14:paraId="2DBB59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247D47" w14:textId="77777777" w:rsidR="004A207C" w:rsidRPr="007122AB" w:rsidRDefault="004A207C"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3E6C417" w14:textId="77777777" w:rsidR="004A207C" w:rsidRPr="007122AB" w:rsidRDefault="004A207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C5F48F" w14:textId="77777777" w:rsidR="004A207C" w:rsidRPr="007122AB" w:rsidRDefault="004A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августа 1931 </w:t>
      </w:r>
      <w:proofErr w:type="spellStart"/>
      <w:r w:rsidRPr="007122AB">
        <w:rPr>
          <w:rFonts w:ascii="Times New Roman" w:hAnsi="Times New Roman"/>
          <w:color w:val="000000" w:themeColor="text1"/>
          <w:sz w:val="16"/>
          <w:szCs w:val="16"/>
        </w:rPr>
        <w:t>Transcontinental</w:t>
      </w:r>
      <w:proofErr w:type="spellEnd"/>
      <w:r w:rsidRPr="007122AB">
        <w:rPr>
          <w:rFonts w:ascii="Times New Roman" w:hAnsi="Times New Roman"/>
          <w:color w:val="000000" w:themeColor="text1"/>
          <w:sz w:val="16"/>
          <w:szCs w:val="16"/>
        </w:rPr>
        <w:t xml:space="preserve"> и Western Air открывают первую в США услугу грузовых авиаперевозок, отправляя скот из Сент-Луиса, штат Миссури, в Ньюарк, штат Нью-Джерси (20804).</w:t>
      </w:r>
    </w:p>
    <w:p w14:paraId="4843FA19" w14:textId="77777777" w:rsidR="004A207C" w:rsidRPr="007122AB" w:rsidRDefault="004A207C" w:rsidP="007122AB">
      <w:pPr>
        <w:spacing w:after="0" w:line="240" w:lineRule="auto"/>
        <w:jc w:val="both"/>
        <w:rPr>
          <w:rFonts w:ascii="Times New Roman" w:hAnsi="Times New Roman"/>
          <w:color w:val="000000" w:themeColor="text1"/>
          <w:sz w:val="16"/>
          <w:szCs w:val="16"/>
        </w:rPr>
      </w:pPr>
    </w:p>
    <w:p w14:paraId="07628B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A7C82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B99F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августа 1931 вышел приказ начальника УВВС, утвердивший </w:t>
      </w:r>
      <w:proofErr w:type="spellStart"/>
      <w:r w:rsidRPr="007122AB">
        <w:rPr>
          <w:rFonts w:ascii="Times New Roman" w:hAnsi="Times New Roman"/>
          <w:color w:val="000000" w:themeColor="text1"/>
          <w:sz w:val="16"/>
          <w:szCs w:val="16"/>
        </w:rPr>
        <w:t>Л.Минова</w:t>
      </w:r>
      <w:proofErr w:type="spellEnd"/>
      <w:r w:rsidRPr="007122AB">
        <w:rPr>
          <w:rFonts w:ascii="Times New Roman" w:hAnsi="Times New Roman"/>
          <w:color w:val="000000" w:themeColor="text1"/>
          <w:sz w:val="16"/>
          <w:szCs w:val="16"/>
        </w:rPr>
        <w:t xml:space="preserve"> инспектором ВВС РККА по парашютному делу и поручил "руководство и контроль за экспериментальными и изыскательскими работами, наблюдение за производством и испытанием серийных и опытных парашютов, общее руководство подготовкой и проведением специальных учений по высадке парашютных десантов..." - то есть против </w:t>
      </w:r>
      <w:proofErr w:type="spellStart"/>
      <w:r w:rsidRPr="007122AB">
        <w:rPr>
          <w:rFonts w:ascii="Times New Roman" w:hAnsi="Times New Roman"/>
          <w:color w:val="000000" w:themeColor="text1"/>
          <w:sz w:val="16"/>
          <w:szCs w:val="16"/>
        </w:rPr>
        <w:t>П.И.Гроховского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Л.Г.Минов</w:t>
      </w:r>
      <w:proofErr w:type="spellEnd"/>
      <w:r w:rsidRPr="007122AB">
        <w:rPr>
          <w:rFonts w:ascii="Times New Roman" w:hAnsi="Times New Roman"/>
          <w:color w:val="000000" w:themeColor="text1"/>
          <w:sz w:val="16"/>
          <w:szCs w:val="16"/>
        </w:rPr>
        <w:t xml:space="preserve"> не одобрил люльки с принудительным выбрасыванием как психологически некомфортные (1101,97).</w:t>
      </w:r>
    </w:p>
    <w:p w14:paraId="7D1CE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55869B" w14:textId="77777777" w:rsidR="003F414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419D088" w14:textId="77777777" w:rsidR="003F4143" w:rsidRPr="007122AB" w:rsidRDefault="003F414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61E4A5" w14:textId="77777777" w:rsidR="003F4143" w:rsidRPr="007122AB" w:rsidRDefault="003F41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августа 1931 года на Балтике проходили учения, на которых присутствовал только что назначенный начальником Морских Сил Владимир Митрофанович Орлов. По его указанию подготовились к показательной торпедной атаке радиоуправляемым катером системы Шорина с фактическим пуском учебных торпед. Получив сигнал о приближении с запада эскадры, катер вывели на Красногорский рейд. Здесь поднявшийся в воздух самолет ЮГ-1 взял управление катером на себя. На самолете находился Аксель Иванович Берг. Он сам работал на приборах и отлично вывел катер в торпедную атаку: сказался опыт командования подводной лодкой. Торпеды прошли, как и положено при учебных стрельбах, под килем линкора. Понятно, что работа Шорина, продемонстрированная так наглядно, получила высокую оценку начальника Морских Сил. Тогда же, в августе, нарком по военным и морским делам К.Е. Ворошилов назначил комиссию, которая должна была провести заключительные испытания комплексов А.Ф. Шорина и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В состав комиссии вошли представители флота и армии, научных конструкторских институтов и промышленности. Возглавлял ее инспектор Морских Сил Петр Иванович Смирнов-Светловский, всесторонне эрудированный флотский специалист. Испытания проводили в Финском заливе. Катера, управляемые с самолета (с аппаратурой А.Ф. Шорина) или с корабля (аппаратурой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 И вот испытания закончены. Комиссия предложила принять на вооружение комплекс А.Ф. Шорина.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предложили доработать свою аппаратуру, чтобы обеспечить возможность атаки прикрытых </w:t>
      </w:r>
      <w:proofErr w:type="spellStart"/>
      <w:r w:rsidRPr="007122AB">
        <w:rPr>
          <w:rFonts w:ascii="Times New Roman" w:hAnsi="Times New Roman"/>
          <w:color w:val="000000" w:themeColor="text1"/>
          <w:sz w:val="16"/>
          <w:szCs w:val="16"/>
        </w:rPr>
        <w:t>дымзавесами</w:t>
      </w:r>
      <w:proofErr w:type="spellEnd"/>
      <w:r w:rsidRPr="007122AB">
        <w:rPr>
          <w:rFonts w:ascii="Times New Roman" w:hAnsi="Times New Roman"/>
          <w:color w:val="000000" w:themeColor="text1"/>
          <w:sz w:val="16"/>
          <w:szCs w:val="16"/>
        </w:rPr>
        <w:t xml:space="preserve"> кораблей, — предполагалось использовать для этого самолет. Испытания комплекса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решили возобновить в 1932 году (15117).</w:t>
      </w:r>
    </w:p>
    <w:p w14:paraId="3F8D75B8" w14:textId="77777777" w:rsidR="003F4143" w:rsidRPr="007122AB" w:rsidRDefault="003F4143" w:rsidP="007122AB">
      <w:pPr>
        <w:spacing w:after="0" w:line="240" w:lineRule="auto"/>
        <w:jc w:val="both"/>
        <w:rPr>
          <w:rFonts w:ascii="Times New Roman" w:hAnsi="Times New Roman"/>
          <w:color w:val="000000" w:themeColor="text1"/>
          <w:sz w:val="16"/>
          <w:szCs w:val="16"/>
        </w:rPr>
      </w:pPr>
    </w:p>
    <w:p w14:paraId="30E9DD4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6DAA09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4EC838" w14:textId="77777777" w:rsidR="003F4143" w:rsidRPr="007122AB" w:rsidRDefault="003F41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августа в 1931 году </w:t>
      </w:r>
      <w:hyperlink r:id="rId162" w:tgtFrame="_blank" w:history="1">
        <w:r w:rsidRPr="007122AB">
          <w:rPr>
            <w:rFonts w:ascii="Times New Roman" w:hAnsi="Times New Roman"/>
            <w:color w:val="000000" w:themeColor="text1"/>
            <w:sz w:val="16"/>
            <w:szCs w:val="16"/>
          </w:rPr>
          <w:t xml:space="preserve">Постановление СТО СССР от 07.08.1931 N 338 "О цветной металлургии" </w:t>
        </w:r>
      </w:hyperlink>
    </w:p>
    <w:p w14:paraId="5563FB9C" w14:textId="77777777" w:rsidR="003F4143" w:rsidRPr="007122AB" w:rsidRDefault="003F4143" w:rsidP="007122AB">
      <w:pPr>
        <w:spacing w:after="0" w:line="240" w:lineRule="auto"/>
        <w:jc w:val="both"/>
        <w:rPr>
          <w:rFonts w:ascii="Times New Roman" w:hAnsi="Times New Roman"/>
          <w:color w:val="000000" w:themeColor="text1"/>
          <w:sz w:val="16"/>
          <w:szCs w:val="16"/>
        </w:rPr>
      </w:pPr>
    </w:p>
    <w:p w14:paraId="77B885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ав</w:t>
      </w:r>
      <w:r w:rsidRPr="007122AB">
        <w:rPr>
          <w:rFonts w:ascii="Times New Roman" w:hAnsi="Times New Roman"/>
          <w:color w:val="000000" w:themeColor="text1"/>
          <w:sz w:val="16"/>
          <w:szCs w:val="16"/>
        </w:rPr>
        <w:softHyphen/>
        <w:t>густа 1931 г. после всесторонних испытаний L-55 под английским обозначением вошла в состав Морских сил Балтийского моря. Со</w:t>
      </w:r>
      <w:r w:rsidRPr="007122AB">
        <w:rPr>
          <w:rFonts w:ascii="Times New Roman" w:hAnsi="Times New Roman"/>
          <w:color w:val="000000" w:themeColor="text1"/>
          <w:sz w:val="16"/>
          <w:szCs w:val="16"/>
        </w:rPr>
        <w:softHyphen/>
        <w:t xml:space="preserve">хранение обозначения </w:t>
      </w:r>
      <w:proofErr w:type="spellStart"/>
      <w:r w:rsidRPr="007122AB">
        <w:rPr>
          <w:rFonts w:ascii="Times New Roman" w:hAnsi="Times New Roman"/>
          <w:color w:val="000000" w:themeColor="text1"/>
          <w:sz w:val="16"/>
          <w:szCs w:val="16"/>
        </w:rPr>
        <w:t>бьшо</w:t>
      </w:r>
      <w:proofErr w:type="spellEnd"/>
      <w:r w:rsidRPr="007122AB">
        <w:rPr>
          <w:rFonts w:ascii="Times New Roman" w:hAnsi="Times New Roman"/>
          <w:color w:val="000000" w:themeColor="text1"/>
          <w:sz w:val="16"/>
          <w:szCs w:val="16"/>
        </w:rPr>
        <w:t xml:space="preserve"> сделано из престижных соображений согласно прежней российской традиции сохранения старых наиме</w:t>
      </w:r>
      <w:r w:rsidRPr="007122AB">
        <w:rPr>
          <w:rFonts w:ascii="Times New Roman" w:hAnsi="Times New Roman"/>
          <w:color w:val="000000" w:themeColor="text1"/>
          <w:sz w:val="16"/>
          <w:szCs w:val="16"/>
        </w:rPr>
        <w:softHyphen/>
        <w:t>нований кораблей-трофеев. С декабря 1932 г. лодка стала имено</w:t>
      </w:r>
      <w:r w:rsidRPr="007122AB">
        <w:rPr>
          <w:rFonts w:ascii="Times New Roman" w:hAnsi="Times New Roman"/>
          <w:color w:val="000000" w:themeColor="text1"/>
          <w:sz w:val="16"/>
          <w:szCs w:val="16"/>
        </w:rPr>
        <w:softHyphen/>
        <w:t>ваться Л-55 (3898).</w:t>
      </w:r>
    </w:p>
    <w:p w14:paraId="7CF04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F40C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августа 1931 г. над восстановленной английской L-55 взвился военно-морской флаг Страны Советов. Лодка L-55, поднятая со дна моря и отремонтированная в Кронштадте, в июне 1919 г. вторглась в территориальные воды Советской Республики и была потоплена в </w:t>
      </w:r>
      <w:proofErr w:type="spellStart"/>
      <w:r w:rsidRPr="007122AB">
        <w:rPr>
          <w:rFonts w:ascii="Times New Roman" w:hAnsi="Times New Roman"/>
          <w:color w:val="000000" w:themeColor="text1"/>
          <w:sz w:val="16"/>
          <w:szCs w:val="16"/>
        </w:rPr>
        <w:t>Копорском</w:t>
      </w:r>
      <w:proofErr w:type="spellEnd"/>
      <w:r w:rsidRPr="007122AB">
        <w:rPr>
          <w:rFonts w:ascii="Times New Roman" w:hAnsi="Times New Roman"/>
          <w:color w:val="000000" w:themeColor="text1"/>
          <w:sz w:val="16"/>
          <w:szCs w:val="16"/>
        </w:rPr>
        <w:t xml:space="preserve"> заливе эсминцами </w:t>
      </w:r>
      <w:proofErr w:type="spellStart"/>
      <w:r w:rsidRPr="007122AB">
        <w:rPr>
          <w:rFonts w:ascii="Times New Roman" w:hAnsi="Times New Roman"/>
          <w:color w:val="000000" w:themeColor="text1"/>
          <w:sz w:val="16"/>
          <w:szCs w:val="16"/>
        </w:rPr>
        <w:t>Азард</w:t>
      </w:r>
      <w:proofErr w:type="spellEnd"/>
      <w:r w:rsidRPr="007122AB">
        <w:rPr>
          <w:rFonts w:ascii="Times New Roman" w:hAnsi="Times New Roman"/>
          <w:color w:val="000000" w:themeColor="text1"/>
          <w:sz w:val="16"/>
          <w:szCs w:val="16"/>
        </w:rPr>
        <w:t xml:space="preserve"> и Гавриил. Испытаниями руководил уполномоченный Постоянной комиссии Я. К. Зубарев. Командовал лодкой В. С. Воробьев. За три недели программа испытаний была выполнена (10700).</w:t>
      </w:r>
    </w:p>
    <w:p w14:paraId="35939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5C9B8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AC7191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1AE7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7 и 13 августа 1931. Из протокола заседания Политбюро № 55, 1931 г.</w:t>
      </w:r>
    </w:p>
    <w:p w14:paraId="2A3FE4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Северном канале </w:t>
      </w:r>
    </w:p>
    <w:p w14:paraId="70267E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Отклонить предложение тт. Янсона и Прокофьева об отсрочке строительства Беломорского канала. </w:t>
      </w:r>
    </w:p>
    <w:p w14:paraId="0FD17E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Поручить СНК рассмотреть в декадный срок смету расходов по строительству канала и отпустить необходимые до конца года средства. </w:t>
      </w:r>
    </w:p>
    <w:p w14:paraId="72E16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Поручить СТО рассмотреть в декадный срок заявку на стройматериалы и отпустить необходимые стройматериалы строительству (11652).</w:t>
      </w:r>
    </w:p>
    <w:p w14:paraId="4C6451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A38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7 и 13 августа 1931. Из протокола заседания Политбюро № 55, 1931 г.</w:t>
      </w:r>
    </w:p>
    <w:p w14:paraId="00CF7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организации летом 1933 г. Всемирной спартакиады</w:t>
      </w:r>
    </w:p>
    <w:p w14:paraId="324A8F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Разрешить Всесоюзному Совету физической культуры организовать летом 1933 г. Всемирную спартакиаду как праздник окончания пятилетки. </w:t>
      </w:r>
    </w:p>
    <w:p w14:paraId="717EBF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б) Поручить Президиуму ЦИК СССР наметить необходимые мероприятия, обеспечивающие проведение праздника. Одним из мероприятий наметить постройку нового стадиона на 100 000 чел. зрителей с необходимым количеством площадок для физкультурных и спортивных занятий. Отпустить в 1932 г. на постройку стадиона 3 млн рублей. </w:t>
      </w:r>
    </w:p>
    <w:p w14:paraId="2675F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Всю подготовительную работу к Спартакиаде за границей проводить через Красный спортивный интернационал, поставив задачей широкое развертывание массовой работы в виде отборочных соревнований фабрик и заводов (11652).</w:t>
      </w:r>
    </w:p>
    <w:p w14:paraId="170231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5F8513" w14:textId="77777777" w:rsidR="004A207C" w:rsidRPr="007122AB" w:rsidRDefault="004A207C"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8810FA7" w14:textId="77777777" w:rsidR="004A207C" w:rsidRPr="007122AB" w:rsidRDefault="004A207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F7DF49" w14:textId="77777777" w:rsidR="004A207C" w:rsidRPr="007122AB" w:rsidRDefault="004A207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августа 1931 состоялся первый полет RWD-5 (20804).</w:t>
      </w:r>
    </w:p>
    <w:p w14:paraId="4C3DF1D9" w14:textId="77777777" w:rsidR="004A207C" w:rsidRPr="007122AB" w:rsidRDefault="004A207C" w:rsidP="007122AB">
      <w:pPr>
        <w:spacing w:after="0" w:line="240" w:lineRule="auto"/>
        <w:jc w:val="both"/>
        <w:rPr>
          <w:rFonts w:ascii="Times New Roman" w:hAnsi="Times New Roman"/>
          <w:color w:val="000000" w:themeColor="text1"/>
          <w:sz w:val="16"/>
          <w:szCs w:val="16"/>
        </w:rPr>
      </w:pPr>
    </w:p>
    <w:p w14:paraId="4A42EEE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4D2D8A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CF1B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августа 1931 закончились испытания двигателя М-15 450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А.А.Бессонова</w:t>
      </w:r>
      <w:proofErr w:type="spellEnd"/>
      <w:r w:rsidRPr="007122AB">
        <w:rPr>
          <w:rFonts w:ascii="Times New Roman" w:hAnsi="Times New Roman"/>
          <w:color w:val="000000" w:themeColor="text1"/>
          <w:sz w:val="16"/>
          <w:szCs w:val="16"/>
        </w:rPr>
        <w:t>. Сначала прошел 100 час. на станке, а затем - на К-5 (438,626).</w:t>
      </w:r>
    </w:p>
    <w:p w14:paraId="4F5AD4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97E2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августа 1931 л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Hugh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Herndon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Jr</w:t>
      </w:r>
      <w:proofErr w:type="spellEnd"/>
      <w:r w:rsidRPr="007122AB">
        <w:rPr>
          <w:rFonts w:ascii="Times New Roman" w:hAnsi="Times New Roman"/>
          <w:color w:val="000000" w:themeColor="text1"/>
          <w:sz w:val="16"/>
          <w:szCs w:val="16"/>
        </w:rPr>
        <w:t xml:space="preserve"> прилетели из Хабаровска в Токио для того, чтобы совершить первый беспосадочный перелет через Тихий Океан. Немедленно были арестованы и просидели 7 недель (2883).</w:t>
      </w:r>
    </w:p>
    <w:p w14:paraId="5FDB65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D30D9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1BD250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419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августа 1931 года постановление Комиссии обороны определяло создание на СТЗ нескольких цехов </w:t>
      </w:r>
      <w:proofErr w:type="spellStart"/>
      <w:r w:rsidRPr="007122AB">
        <w:rPr>
          <w:rFonts w:ascii="Times New Roman" w:hAnsi="Times New Roman"/>
          <w:color w:val="000000" w:themeColor="text1"/>
          <w:sz w:val="16"/>
          <w:szCs w:val="16"/>
        </w:rPr>
        <w:t>танкосборочного</w:t>
      </w:r>
      <w:proofErr w:type="spellEnd"/>
      <w:r w:rsidRPr="007122AB">
        <w:rPr>
          <w:rFonts w:ascii="Times New Roman" w:hAnsi="Times New Roman"/>
          <w:color w:val="000000" w:themeColor="text1"/>
          <w:sz w:val="16"/>
          <w:szCs w:val="16"/>
        </w:rPr>
        <w:t xml:space="preserve"> производства. Эти цеха в советских документах шли с приставкой "спец". Мощности планировались таким образом, чтобы уже с 1932 года цеха в режиме мирного времени могли выпускать 100 танков в месяц, а в военное время - до 1200 Т-26 и 500 комплектов запчастей. К концу 1931 года здания </w:t>
      </w:r>
      <w:proofErr w:type="spellStart"/>
      <w:r w:rsidRPr="007122AB">
        <w:rPr>
          <w:rFonts w:ascii="Times New Roman" w:hAnsi="Times New Roman"/>
          <w:color w:val="000000" w:themeColor="text1"/>
          <w:sz w:val="16"/>
          <w:szCs w:val="16"/>
        </w:rPr>
        <w:t>спеццехов</w:t>
      </w:r>
      <w:proofErr w:type="spellEnd"/>
      <w:r w:rsidRPr="007122AB">
        <w:rPr>
          <w:rFonts w:ascii="Times New Roman" w:hAnsi="Times New Roman"/>
          <w:color w:val="000000" w:themeColor="text1"/>
          <w:sz w:val="16"/>
          <w:szCs w:val="16"/>
        </w:rPr>
        <w:t xml:space="preserve"> были построены, однако, как докладывал глава НКВМ (наркомат военных и морских дел) М.Н. Тухачевский в записке от 8 декабря 1931 года В.М. Молотову, "к монтажу оборудования еще не приступили, так как последнее не было импортировано, что ставит под угрозу выполнение программы" (11580).</w:t>
      </w:r>
    </w:p>
    <w:p w14:paraId="00745A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Стоимость оборудования для </w:t>
      </w:r>
      <w:proofErr w:type="spellStart"/>
      <w:r w:rsidRPr="007122AB">
        <w:rPr>
          <w:rFonts w:ascii="Times New Roman" w:hAnsi="Times New Roman"/>
          <w:color w:val="000000" w:themeColor="text1"/>
          <w:sz w:val="16"/>
          <w:szCs w:val="16"/>
        </w:rPr>
        <w:t>спеццехов</w:t>
      </w:r>
      <w:proofErr w:type="spellEnd"/>
      <w:r w:rsidRPr="007122AB">
        <w:rPr>
          <w:rFonts w:ascii="Times New Roman" w:hAnsi="Times New Roman"/>
          <w:color w:val="000000" w:themeColor="text1"/>
          <w:sz w:val="16"/>
          <w:szCs w:val="16"/>
        </w:rPr>
        <w:t xml:space="preserve"> была на 1932 год установлена в размере 3 млн. золотых рублей (1,5 млн. долларов США). К июню 1932 года ситуация в цехах была такова:</w:t>
      </w:r>
    </w:p>
    <w:p w14:paraId="0AD167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1E7205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опытный цех (сборочный) достраивался;</w:t>
      </w:r>
    </w:p>
    <w:p w14:paraId="173E2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сталелитейный цех №1 - начаты опыты по цветному и чугунному литью.</w:t>
      </w:r>
    </w:p>
    <w:p w14:paraId="47884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51987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615C8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35BEB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8564B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5751C7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D0E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августа 1931 года в циркуляре ВСНХ прямо указывалось на неправильную политику прокуратуры при ведении следствия в отношении инженерно-технических работников, обвинявшихся во вредительстве. Отныне всякие уголовные преследования были возможны только после соответствующего разрешения дирекции предприятий; категорически запрещалось привлекать к уголовной ответственности за производственный риск. Органы власти впервые пошли дальше простого признания ошибок и перегибов. В циркуляре указывалось, что для исправления допущенных ошибок в неправильном осуждении специалистов и возможности загладить совершенные правонарушения на всех предприятиях и в учреждениях, где работали данные специалисты, должны быть немедленно учреждены комиссии, которые, если осужденный характеризуется положительно, уполномочены ставить вопрос об освобождении его от отбывания принудительных работ со снятием судимости. В циркуляре еще раз подчеркивалось требование об улучшении быта специалистов и членов их семей. Им должны были представляться уже не только коммунальные льготы и отдельное жилье, но и денежные пособия, дома отдыха и т.п. (11025).</w:t>
      </w:r>
    </w:p>
    <w:p w14:paraId="213338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1764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августа 1931 коллегия ОГПУ вынесла решение по делу академиков - историков </w:t>
      </w:r>
      <w:proofErr w:type="spellStart"/>
      <w:r w:rsidRPr="007122AB">
        <w:rPr>
          <w:rFonts w:ascii="Times New Roman" w:hAnsi="Times New Roman"/>
          <w:color w:val="000000" w:themeColor="text1"/>
          <w:sz w:val="16"/>
          <w:szCs w:val="16"/>
        </w:rPr>
        <w:t>С.Платонова</w:t>
      </w:r>
      <w:proofErr w:type="spellEnd"/>
      <w:r w:rsidRPr="007122AB">
        <w:rPr>
          <w:rFonts w:ascii="Times New Roman" w:hAnsi="Times New Roman"/>
          <w:color w:val="000000" w:themeColor="text1"/>
          <w:sz w:val="16"/>
          <w:szCs w:val="16"/>
        </w:rPr>
        <w:t>, Е. Тарле, Н. Лихачева и др., приговорив их как участников монархического заговора к ссылке на различные сроки (3908,336).</w:t>
      </w:r>
    </w:p>
    <w:p w14:paraId="2D753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D5CF79" w14:textId="77777777" w:rsidR="003F4143" w:rsidRPr="007122AB" w:rsidRDefault="003F41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августа в 1931 году коллегия ОГПУ вынесла приговор по «Академическому делу». 29 ученых, в том числе академики Николай Лихачев, Сергей Платонов, Евгений Тарле и другие, были отправлены в ссылку (14977).</w:t>
      </w:r>
    </w:p>
    <w:p w14:paraId="7684F9AB" w14:textId="77777777" w:rsidR="003F4143" w:rsidRPr="007122AB" w:rsidRDefault="003F4143" w:rsidP="007122AB">
      <w:pPr>
        <w:spacing w:after="0" w:line="240" w:lineRule="auto"/>
        <w:jc w:val="both"/>
        <w:rPr>
          <w:rFonts w:ascii="Times New Roman" w:hAnsi="Times New Roman"/>
          <w:color w:val="000000" w:themeColor="text1"/>
          <w:sz w:val="16"/>
          <w:szCs w:val="16"/>
        </w:rPr>
      </w:pPr>
    </w:p>
    <w:p w14:paraId="666B157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523A2A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32345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августа 1931 года президент США Герберт Гувер торжественно окрестил готовый к эксплуатации дирижабль именем «Акрон» — по названию города, вблизи которого строился. Неприятности, начавшиеся еще при наземных испытаниях в ангаре, привели к тому, что ZRS-4 впервые поднялся в воздух только 25 августа со ста тринадцатью человеками на борту. Первый полет прошел нормально, единственным существенным конструктивным недостатком были слишком большие усилия на рулях. Уже во [429] время девятого полета, который длился 48 часов, ZRS-4 пролетел 3200 км, посетив Сент-Луис, Чикаго, Милуоки и везде вызывая огромный энтузиазм у населения и заторы на дорогах. </w:t>
      </w:r>
    </w:p>
    <w:p w14:paraId="6B358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ZRS-4 содержала несколько интересных новинок. Каркас корпуса состоял из 12 основных и 33 вспомогательных жестких переборок, 36 вертикальных профилей и 3 килей. Конструкция в целом была очень прочной и могла выдерживать большие нагрузки. Внутри жесткого корпуса размещались 12 газовых отсеков с максимальным объемом 194 000 куб. м и номинальным — 184 000 куб. м (следует помнить, что объем газового отсека мог меняться в зависимости от высоты подъема дирижабля и атмосферных условий). В боковых килях было установлено 8 рядных двенадцатицилиндровых двигателей «Майбах» VL-II мощностью по 560 л. с. Каждый мотор вращал один двухлопастной винт НАСА диаметром 5 м. Винты были реверсивными, как тянущими, так и толкающим, они могли разворачиваться в горизонтальной плоскости, что давало возможность опускаться или подниматься, лететь вперед или назад. В корпусе размещалось 110 топливных баков с общей емкостью от 50 до 57 т и от 1,1 до 5 т масла. Максимальный вес водяного балласта составлял 102 т, но обычно летали с девятью тоннами. Были установлены 2 электрогенератора «</w:t>
      </w:r>
      <w:proofErr w:type="spellStart"/>
      <w:r w:rsidRPr="007122AB">
        <w:rPr>
          <w:rFonts w:ascii="Times New Roman" w:hAnsi="Times New Roman"/>
          <w:color w:val="000000" w:themeColor="text1"/>
          <w:sz w:val="16"/>
          <w:szCs w:val="16"/>
        </w:rPr>
        <w:t>Вестингауз</w:t>
      </w:r>
      <w:proofErr w:type="spellEnd"/>
      <w:r w:rsidRPr="007122AB">
        <w:rPr>
          <w:rFonts w:ascii="Times New Roman" w:hAnsi="Times New Roman"/>
          <w:color w:val="000000" w:themeColor="text1"/>
          <w:sz w:val="16"/>
          <w:szCs w:val="16"/>
        </w:rPr>
        <w:t xml:space="preserve">» по 8 кВт с напряжением 110 В, приводимых в действие двумя </w:t>
      </w:r>
      <w:proofErr w:type="spellStart"/>
      <w:r w:rsidRPr="007122AB">
        <w:rPr>
          <w:rFonts w:ascii="Times New Roman" w:hAnsi="Times New Roman"/>
          <w:color w:val="000000" w:themeColor="text1"/>
          <w:sz w:val="16"/>
          <w:szCs w:val="16"/>
        </w:rPr>
        <w:t>бензомоторами</w:t>
      </w:r>
      <w:proofErr w:type="spellEnd"/>
      <w:r w:rsidRPr="007122AB">
        <w:rPr>
          <w:rFonts w:ascii="Times New Roman" w:hAnsi="Times New Roman"/>
          <w:color w:val="000000" w:themeColor="text1"/>
          <w:sz w:val="16"/>
          <w:szCs w:val="16"/>
        </w:rPr>
        <w:t xml:space="preserve"> мощностью по 41 л. с. </w:t>
      </w:r>
    </w:p>
    <w:p w14:paraId="7FC31B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Штатный экипаж состоял из 16 офицеров и 75 военнослужащих, но обычно летало не более 50 человек. Основной конструктивной новинкой дирижабля стал внутренний [430] ангар в передней части оболочки снизу, в котором размещались 5 одноместных бипланов. В этом случае экипаж увеличивался на 5 летчиков и 15 человек технического персонала, обслуживающих самолеты, и сопутствующее оборудование. На начальной стадии испытаний самолетное оборудование еще не было установлено. ZSR-4 весил 187 т, из которых 114 т были собственным весом дирижабля и 73 т составляли полезный груз. </w:t>
      </w:r>
    </w:p>
    <w:p w14:paraId="7AFF0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Основная гондола управления «Акрона» располагалась впереди нижней части фюзеляжа, но в случае необходимости можно было управлять дирижаблем из дополнительной кабины, расположенной на набегающей грани нижней части вертикального хвостового оперения. Основные помещения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оконечности хвостовой части корабля. </w:t>
      </w:r>
    </w:p>
    <w:p w14:paraId="245010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процессе испытаний были проверены большие водяные конденсаторы, работающие на выхлопных газах и установленные с обеих сторон оболочки над моторами. В работе они показали себя не с лучшей стороны, часто отказывали и в дальнейшем во время эксплуатации были постоянным источником неприятностей. Однако основной проблемой стало то, что, несмотря на все усилия, не удавалось достигнуть контрактной скорости 128 км/ч. Ситуация изменилась в лучшую сторону только тогда, когда установили воздушные [431] винты «</w:t>
      </w:r>
      <w:proofErr w:type="spellStart"/>
      <w:r w:rsidRPr="007122AB">
        <w:rPr>
          <w:rFonts w:ascii="Times New Roman" w:hAnsi="Times New Roman"/>
          <w:color w:val="000000" w:themeColor="text1"/>
          <w:sz w:val="16"/>
          <w:szCs w:val="16"/>
        </w:rPr>
        <w:t>Хартцелл</w:t>
      </w:r>
      <w:proofErr w:type="spellEnd"/>
      <w:r w:rsidRPr="007122AB">
        <w:rPr>
          <w:rFonts w:ascii="Times New Roman" w:hAnsi="Times New Roman"/>
          <w:color w:val="000000" w:themeColor="text1"/>
          <w:sz w:val="16"/>
          <w:szCs w:val="16"/>
        </w:rPr>
        <w:t>», благодаря чему удалось увеличить горизонтальную скорость до 127 км/ч (11324).</w:t>
      </w:r>
    </w:p>
    <w:p w14:paraId="2E9157F2" w14:textId="77777777" w:rsidR="005C4849" w:rsidRPr="007122AB" w:rsidRDefault="005C4849" w:rsidP="007122AB">
      <w:pPr>
        <w:spacing w:after="0" w:line="240" w:lineRule="auto"/>
        <w:jc w:val="both"/>
        <w:rPr>
          <w:rFonts w:ascii="Times New Roman" w:hAnsi="Times New Roman"/>
          <w:color w:val="000000" w:themeColor="text1"/>
          <w:sz w:val="16"/>
          <w:szCs w:val="16"/>
        </w:rPr>
      </w:pPr>
    </w:p>
    <w:p w14:paraId="353898A8" w14:textId="77777777" w:rsidR="00942BC7" w:rsidRPr="007122AB" w:rsidRDefault="00942BC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августа 1931 г. в городе Акрон штата Огайо состоялось крещение дири</w:t>
      </w:r>
      <w:r w:rsidRPr="007122AB">
        <w:rPr>
          <w:rFonts w:ascii="Times New Roman" w:hAnsi="Times New Roman"/>
          <w:color w:val="000000" w:themeColor="text1"/>
          <w:sz w:val="16"/>
          <w:szCs w:val="16"/>
        </w:rPr>
        <w:softHyphen/>
        <w:t>жабля ZRS-4 «Акрон» - воздушного авианосца. «Крестной» выступала Лу Генри Гувер (</w:t>
      </w:r>
      <w:proofErr w:type="spellStart"/>
      <w:r w:rsidRPr="007122AB">
        <w:rPr>
          <w:rFonts w:ascii="Times New Roman" w:hAnsi="Times New Roman"/>
          <w:color w:val="000000" w:themeColor="text1"/>
          <w:sz w:val="16"/>
          <w:szCs w:val="16"/>
        </w:rPr>
        <w:t>Lou</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Henry</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Hoover</w:t>
      </w:r>
      <w:proofErr w:type="spellEnd"/>
      <w:r w:rsidRPr="007122AB">
        <w:rPr>
          <w:rFonts w:ascii="Times New Roman" w:hAnsi="Times New Roman"/>
          <w:color w:val="000000" w:themeColor="text1"/>
          <w:sz w:val="16"/>
          <w:szCs w:val="16"/>
        </w:rPr>
        <w:t>; 1874-1944), жена президента США Герберта К. Гувера (</w:t>
      </w:r>
      <w:proofErr w:type="spellStart"/>
      <w:r w:rsidRPr="007122AB">
        <w:rPr>
          <w:rFonts w:ascii="Times New Roman" w:hAnsi="Times New Roman"/>
          <w:color w:val="000000" w:themeColor="text1"/>
          <w:sz w:val="16"/>
          <w:szCs w:val="16"/>
        </w:rPr>
        <w:t>Herbert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Clark</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Hoover</w:t>
      </w:r>
      <w:proofErr w:type="spellEnd"/>
      <w:r w:rsidRPr="007122AB">
        <w:rPr>
          <w:rFonts w:ascii="Times New Roman" w:hAnsi="Times New Roman"/>
          <w:color w:val="000000" w:themeColor="text1"/>
          <w:sz w:val="16"/>
          <w:szCs w:val="16"/>
        </w:rPr>
        <w:t>; 1874-1964).</w:t>
      </w:r>
    </w:p>
    <w:p w14:paraId="57452B76" w14:textId="77777777" w:rsidR="00942BC7" w:rsidRPr="007122AB" w:rsidRDefault="00942BC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тем временам дирижабль имел действи</w:t>
      </w:r>
      <w:r w:rsidRPr="007122AB">
        <w:rPr>
          <w:rFonts w:ascii="Times New Roman" w:hAnsi="Times New Roman"/>
          <w:color w:val="000000" w:themeColor="text1"/>
          <w:sz w:val="16"/>
          <w:szCs w:val="16"/>
        </w:rPr>
        <w:softHyphen/>
        <w:t>тельно колоссальные размеры: длину 239 м, диаметр 40 м, номинальный объем (95 % от мак</w:t>
      </w:r>
      <w:r w:rsidRPr="007122AB">
        <w:rPr>
          <w:rFonts w:ascii="Times New Roman" w:hAnsi="Times New Roman"/>
          <w:color w:val="000000" w:themeColor="text1"/>
          <w:sz w:val="16"/>
          <w:szCs w:val="16"/>
        </w:rPr>
        <w:softHyphen/>
        <w:t>симального, ибо следует помнить, что объем газового отсека мог меняться в зависимости от высоты подъема дирижабля и атмосферных условий) 184000 м3 Полезная нагрузка около 75 т. Силовая установка — восемь бензино</w:t>
      </w:r>
      <w:r w:rsidRPr="007122AB">
        <w:rPr>
          <w:rFonts w:ascii="Times New Roman" w:hAnsi="Times New Roman"/>
          <w:color w:val="000000" w:themeColor="text1"/>
          <w:sz w:val="16"/>
          <w:szCs w:val="16"/>
        </w:rPr>
        <w:softHyphen/>
        <w:t>вых двигателей Maybach VL-2 по 560 л. с. каж</w:t>
      </w:r>
      <w:r w:rsidRPr="007122AB">
        <w:rPr>
          <w:rFonts w:ascii="Times New Roman" w:hAnsi="Times New Roman"/>
          <w:color w:val="000000" w:themeColor="text1"/>
          <w:sz w:val="16"/>
          <w:szCs w:val="16"/>
        </w:rPr>
        <w:softHyphen/>
        <w:t>дый, скорость максимальная 128 км/ч, крей</w:t>
      </w:r>
      <w:r w:rsidRPr="007122AB">
        <w:rPr>
          <w:rFonts w:ascii="Times New Roman" w:hAnsi="Times New Roman"/>
          <w:color w:val="000000" w:themeColor="text1"/>
          <w:sz w:val="16"/>
          <w:szCs w:val="16"/>
        </w:rPr>
        <w:softHyphen/>
        <w:t xml:space="preserve">серская — 90 км/ч. Дальность полета 17 000 км (на скорости 90 км/ч). Штатный экипаж состоял из 16 офицеров и 75 матросов и старшин, но обычно летало не более 50 человек. В </w:t>
      </w:r>
      <w:proofErr w:type="spellStart"/>
      <w:r w:rsidRPr="007122AB">
        <w:rPr>
          <w:rFonts w:ascii="Times New Roman" w:hAnsi="Times New Roman"/>
          <w:color w:val="000000" w:themeColor="text1"/>
          <w:sz w:val="16"/>
          <w:szCs w:val="16"/>
        </w:rPr>
        <w:t>слу</w:t>
      </w:r>
      <w:proofErr w:type="spellEnd"/>
      <w:r w:rsidRPr="007122AB">
        <w:rPr>
          <w:rFonts w:ascii="Times New Roman" w:hAnsi="Times New Roman"/>
          <w:color w:val="000000" w:themeColor="text1"/>
          <w:sz w:val="16"/>
          <w:szCs w:val="16"/>
        </w:rPr>
        <w:t xml:space="preserve"> чае наличия на борту самолетов экипаж увеличивался на пять летчи</w:t>
      </w:r>
      <w:r w:rsidRPr="007122AB">
        <w:rPr>
          <w:rFonts w:ascii="Times New Roman" w:hAnsi="Times New Roman"/>
          <w:color w:val="000000" w:themeColor="text1"/>
          <w:sz w:val="16"/>
          <w:szCs w:val="16"/>
        </w:rPr>
        <w:softHyphen/>
        <w:t>ков и 15 человек технического персонала, обслуживающих самолеты, и сопутствующее оборудование. Вооружение — четыре самолета (хотя на практике дело ограничивалось тремя машинами) и пять 12,7-мм пуле</w:t>
      </w:r>
      <w:r w:rsidRPr="007122AB">
        <w:rPr>
          <w:rFonts w:ascii="Times New Roman" w:hAnsi="Times New Roman"/>
          <w:color w:val="000000" w:themeColor="text1"/>
          <w:sz w:val="16"/>
          <w:szCs w:val="16"/>
        </w:rPr>
        <w:softHyphen/>
        <w:t>метов.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w:t>
      </w:r>
    </w:p>
    <w:p w14:paraId="13A1442F" w14:textId="77777777" w:rsidR="00942BC7" w:rsidRPr="007122AB" w:rsidRDefault="00942BC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ZRS-4 содержала несколько интересных новинок. Метал</w:t>
      </w:r>
      <w:r w:rsidRPr="007122AB">
        <w:rPr>
          <w:rFonts w:ascii="Times New Roman" w:hAnsi="Times New Roman"/>
          <w:color w:val="000000" w:themeColor="text1"/>
          <w:sz w:val="16"/>
          <w:szCs w:val="16"/>
        </w:rPr>
        <w:softHyphen/>
        <w:t>лический каркас корпуса состоял из 12 основных и 33 вспомогательных жестких переборок, 36 вертикальных профилей и 3 килей. Конструкция в целом была весьма прочной и могла выдерживать большие нагрузки (увы, прочность все же имела предел). Внутри жесткого корпуса раз</w:t>
      </w:r>
      <w:r w:rsidRPr="007122AB">
        <w:rPr>
          <w:rFonts w:ascii="Times New Roman" w:hAnsi="Times New Roman"/>
          <w:color w:val="000000" w:themeColor="text1"/>
          <w:sz w:val="16"/>
          <w:szCs w:val="16"/>
        </w:rPr>
        <w:softHyphen/>
        <w:t>мещались 12 газовых отсеков, заполненных гелием. Благодаря уста</w:t>
      </w:r>
      <w:r w:rsidRPr="007122AB">
        <w:rPr>
          <w:rFonts w:ascii="Times New Roman" w:hAnsi="Times New Roman"/>
          <w:color w:val="000000" w:themeColor="text1"/>
          <w:sz w:val="16"/>
          <w:szCs w:val="16"/>
        </w:rPr>
        <w:softHyphen/>
        <w:t>новке двигателей внутри каркаса удачно были решены вопросы аэро</w:t>
      </w:r>
      <w:r w:rsidRPr="007122AB">
        <w:rPr>
          <w:rFonts w:ascii="Times New Roman" w:hAnsi="Times New Roman"/>
          <w:color w:val="000000" w:themeColor="text1"/>
          <w:sz w:val="16"/>
          <w:szCs w:val="16"/>
        </w:rPr>
        <w:softHyphen/>
        <w:t>динамики, поэтому у американского дирижабля скорость была выше, чем у английских и немецких при равной с ними мощности двигателей. Каждый мотор вращал один двухлопастной винт диаметром 5 м. Винты были реверсивными, как тянущими, так и толкающим, они могли разво</w:t>
      </w:r>
      <w:r w:rsidRPr="007122AB">
        <w:rPr>
          <w:rFonts w:ascii="Times New Roman" w:hAnsi="Times New Roman"/>
          <w:color w:val="000000" w:themeColor="text1"/>
          <w:sz w:val="16"/>
          <w:szCs w:val="16"/>
        </w:rPr>
        <w:softHyphen/>
        <w:t>рачиваться в горизонтальной плоскости, что давало возможность опу</w:t>
      </w:r>
      <w:r w:rsidRPr="007122AB">
        <w:rPr>
          <w:rFonts w:ascii="Times New Roman" w:hAnsi="Times New Roman"/>
          <w:color w:val="000000" w:themeColor="text1"/>
          <w:sz w:val="16"/>
          <w:szCs w:val="16"/>
        </w:rPr>
        <w:softHyphen/>
        <w:t>скаться или подниматься, лететь вперед или назад. В корпусе размеща</w:t>
      </w:r>
      <w:r w:rsidRPr="007122AB">
        <w:rPr>
          <w:rFonts w:ascii="Times New Roman" w:hAnsi="Times New Roman"/>
          <w:color w:val="000000" w:themeColor="text1"/>
          <w:sz w:val="16"/>
          <w:szCs w:val="16"/>
        </w:rPr>
        <w:softHyphen/>
        <w:t>лось 110 баков, способных сместить 57 т топлива и до 5 т масла. Глав</w:t>
      </w:r>
      <w:r w:rsidRPr="007122AB">
        <w:rPr>
          <w:rFonts w:ascii="Times New Roman" w:hAnsi="Times New Roman"/>
          <w:color w:val="000000" w:themeColor="text1"/>
          <w:sz w:val="16"/>
          <w:szCs w:val="16"/>
        </w:rPr>
        <w:softHyphen/>
        <w:t>ная гондола управления «Акрона» располагалась впереди нижней части фюзеляжа, но в случае необходимости можно было управлять дирижа</w:t>
      </w:r>
      <w:r w:rsidRPr="007122AB">
        <w:rPr>
          <w:rFonts w:ascii="Times New Roman" w:hAnsi="Times New Roman"/>
          <w:color w:val="000000" w:themeColor="text1"/>
          <w:sz w:val="16"/>
          <w:szCs w:val="16"/>
        </w:rPr>
        <w:softHyphen/>
        <w:t>блем из резервной кабины, расположенной в нижней части вертикаль</w:t>
      </w:r>
      <w:r w:rsidRPr="007122AB">
        <w:rPr>
          <w:rFonts w:ascii="Times New Roman" w:hAnsi="Times New Roman"/>
          <w:color w:val="000000" w:themeColor="text1"/>
          <w:sz w:val="16"/>
          <w:szCs w:val="16"/>
        </w:rPr>
        <w:softHyphen/>
        <w:t>ного хвостового оперения. Каюты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в оконечности хвостовой части корабля.</w:t>
      </w:r>
    </w:p>
    <w:p w14:paraId="2CC16B49" w14:textId="77777777" w:rsidR="00942BC7" w:rsidRPr="007122AB" w:rsidRDefault="00942BC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Прием на борт самолетов осуществлялся прямо в полете с помо</w:t>
      </w:r>
      <w:r w:rsidRPr="007122AB">
        <w:rPr>
          <w:rFonts w:ascii="Times New Roman" w:hAnsi="Times New Roman"/>
          <w:color w:val="000000" w:themeColor="text1"/>
          <w:sz w:val="16"/>
          <w:szCs w:val="16"/>
        </w:rPr>
        <w:softHyphen/>
        <w:t>щью специальной выдвижной трапеции. Истребители цеплялись за нее, через специальный проем в днище втягивались внутрь и размещались в просторном отсеке-ангаре, где легко помещались четыре машины типа F9C-2 «</w:t>
      </w:r>
      <w:proofErr w:type="spellStart"/>
      <w:r w:rsidRPr="007122AB">
        <w:rPr>
          <w:rFonts w:ascii="Times New Roman" w:hAnsi="Times New Roman"/>
          <w:color w:val="000000" w:themeColor="text1"/>
          <w:sz w:val="16"/>
          <w:szCs w:val="16"/>
        </w:rPr>
        <w:t>Сперроухоук</w:t>
      </w:r>
      <w:proofErr w:type="spellEnd"/>
      <w:r w:rsidRPr="007122AB">
        <w:rPr>
          <w:rFonts w:ascii="Times New Roman" w:hAnsi="Times New Roman"/>
          <w:color w:val="000000" w:themeColor="text1"/>
          <w:sz w:val="16"/>
          <w:szCs w:val="16"/>
        </w:rPr>
        <w:t>» фирмы «</w:t>
      </w:r>
      <w:proofErr w:type="spellStart"/>
      <w:r w:rsidRPr="007122AB">
        <w:rPr>
          <w:rFonts w:ascii="Times New Roman" w:hAnsi="Times New Roman"/>
          <w:color w:val="000000" w:themeColor="text1"/>
          <w:sz w:val="16"/>
          <w:szCs w:val="16"/>
        </w:rPr>
        <w:t>Кертисс</w:t>
      </w:r>
      <w:proofErr w:type="spellEnd"/>
      <w:r w:rsidRPr="007122AB">
        <w:rPr>
          <w:rFonts w:ascii="Times New Roman" w:hAnsi="Times New Roman"/>
          <w:color w:val="000000" w:themeColor="text1"/>
          <w:sz w:val="16"/>
          <w:szCs w:val="16"/>
        </w:rPr>
        <w:t>», а также находилось оборудова</w:t>
      </w:r>
      <w:r w:rsidRPr="007122AB">
        <w:rPr>
          <w:rFonts w:ascii="Times New Roman" w:hAnsi="Times New Roman"/>
          <w:color w:val="000000" w:themeColor="text1"/>
          <w:sz w:val="16"/>
          <w:szCs w:val="16"/>
        </w:rPr>
        <w:softHyphen/>
        <w:t>ние для их обслуживания. При необходимости, пятый самолет мог оста</w:t>
      </w:r>
      <w:r w:rsidRPr="007122AB">
        <w:rPr>
          <w:rFonts w:ascii="Times New Roman" w:hAnsi="Times New Roman"/>
          <w:color w:val="000000" w:themeColor="text1"/>
          <w:sz w:val="16"/>
          <w:szCs w:val="16"/>
        </w:rPr>
        <w:softHyphen/>
        <w:t>ваться на внешней подвеске. Выпуск крылатых машин осуществлялся в обратном порядке: аэроплан выдвигался из ангара, запускался дви</w:t>
      </w:r>
      <w:r w:rsidRPr="007122AB">
        <w:rPr>
          <w:rFonts w:ascii="Times New Roman" w:hAnsi="Times New Roman"/>
          <w:color w:val="000000" w:themeColor="text1"/>
          <w:sz w:val="16"/>
          <w:szCs w:val="16"/>
        </w:rPr>
        <w:softHyphen/>
        <w:t>гатель, и летчик уходил в свободный полет. Как ни странно, «садиться» на дирижабль было не сложнее, чем на аэродром. Крюк и «трапеция» были небольшими, но и скорость бипланов 1920-х гг. была невелика и легко уравновешивалась скоростью дирижабля. А самое приятное — процедура была куда безопаснее, чем в случае с взлетно-посадочной полосой. Промахнись пилот или попади в сваливание, он просто уходил вниз и повторял попытку, а на обычном аэродроме была бы авария.</w:t>
      </w:r>
    </w:p>
    <w:p w14:paraId="133D8971" w14:textId="77777777" w:rsidR="00942BC7" w:rsidRPr="007122AB" w:rsidRDefault="00942BC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как F9 были самолетами-истребителями, обычно считается, что их единственной задачей была защита дирижабля. Однако это не так: машины применялись и для ведения воздушной разведки, что позво</w:t>
      </w:r>
      <w:r w:rsidRPr="007122AB">
        <w:rPr>
          <w:rFonts w:ascii="Times New Roman" w:hAnsi="Times New Roman"/>
          <w:color w:val="000000" w:themeColor="text1"/>
          <w:sz w:val="16"/>
          <w:szCs w:val="16"/>
        </w:rPr>
        <w:softHyphen/>
        <w:t>ляло значительно расширить зону патрулирования, и для передачи срочных депеш на базу (ведь их скорость была почти в три раза выше, чем у авиаматки). Поэтому «</w:t>
      </w:r>
      <w:proofErr w:type="spellStart"/>
      <w:r w:rsidRPr="007122AB">
        <w:rPr>
          <w:rFonts w:ascii="Times New Roman" w:hAnsi="Times New Roman"/>
          <w:color w:val="000000" w:themeColor="text1"/>
          <w:sz w:val="16"/>
          <w:szCs w:val="16"/>
        </w:rPr>
        <w:t>Сперроухоуки</w:t>
      </w:r>
      <w:proofErr w:type="spellEnd"/>
      <w:r w:rsidRPr="007122AB">
        <w:rPr>
          <w:rFonts w:ascii="Times New Roman" w:hAnsi="Times New Roman"/>
          <w:color w:val="000000" w:themeColor="text1"/>
          <w:sz w:val="16"/>
          <w:szCs w:val="16"/>
        </w:rPr>
        <w:t>» сохранили шасси и были оснащены соответствующей аппаратурой для ведения разведки. Выбор именно этих истребителей, скорее всего, был обусловлен тем, что из-за жестких габаритных ограничений на борту дирижабля решили использовать самые маленькие боевые машины из производи</w:t>
      </w:r>
      <w:r w:rsidRPr="007122AB">
        <w:rPr>
          <w:rFonts w:ascii="Times New Roman" w:hAnsi="Times New Roman"/>
          <w:color w:val="000000" w:themeColor="text1"/>
          <w:sz w:val="16"/>
          <w:szCs w:val="16"/>
        </w:rPr>
        <w:softHyphen/>
        <w:t>мых в Америке. За 1932 г. самолеты выполнили 401 стыковку с «Акро</w:t>
      </w:r>
      <w:r w:rsidRPr="007122AB">
        <w:rPr>
          <w:rFonts w:ascii="Times New Roman" w:hAnsi="Times New Roman"/>
          <w:color w:val="000000" w:themeColor="text1"/>
          <w:sz w:val="16"/>
          <w:szCs w:val="16"/>
        </w:rPr>
        <w:softHyphen/>
        <w:t>ном» без каких-либо происшествий. Американцы сформировали спе</w:t>
      </w:r>
      <w:r w:rsidRPr="007122AB">
        <w:rPr>
          <w:rFonts w:ascii="Times New Roman" w:hAnsi="Times New Roman"/>
          <w:color w:val="000000" w:themeColor="text1"/>
          <w:sz w:val="16"/>
          <w:szCs w:val="16"/>
        </w:rPr>
        <w:softHyphen/>
        <w:t>циальную эскадрилью для этих двух исполинов, ее возглавил лейте</w:t>
      </w:r>
      <w:r w:rsidRPr="007122AB">
        <w:rPr>
          <w:rFonts w:ascii="Times New Roman" w:hAnsi="Times New Roman"/>
          <w:color w:val="000000" w:themeColor="text1"/>
          <w:sz w:val="16"/>
          <w:szCs w:val="16"/>
        </w:rPr>
        <w:softHyphen/>
        <w:t xml:space="preserve">нант Дэниел Уорд </w:t>
      </w:r>
      <w:proofErr w:type="spellStart"/>
      <w:r w:rsidRPr="007122AB">
        <w:rPr>
          <w:rFonts w:ascii="Times New Roman" w:hAnsi="Times New Roman"/>
          <w:color w:val="000000" w:themeColor="text1"/>
          <w:sz w:val="16"/>
          <w:szCs w:val="16"/>
        </w:rPr>
        <w:t>Харриган</w:t>
      </w:r>
      <w:proofErr w:type="spellEnd"/>
      <w:r w:rsidRPr="007122AB">
        <w:rPr>
          <w:rFonts w:ascii="Times New Roman" w:hAnsi="Times New Roman"/>
          <w:color w:val="000000" w:themeColor="text1"/>
          <w:sz w:val="16"/>
          <w:szCs w:val="16"/>
        </w:rPr>
        <w:t xml:space="preserve"> (Daniel Ward </w:t>
      </w:r>
      <w:proofErr w:type="spellStart"/>
      <w:r w:rsidRPr="007122AB">
        <w:rPr>
          <w:rFonts w:ascii="Times New Roman" w:hAnsi="Times New Roman"/>
          <w:color w:val="000000" w:themeColor="text1"/>
          <w:sz w:val="16"/>
          <w:szCs w:val="16"/>
        </w:rPr>
        <w:t>Harrigan</w:t>
      </w:r>
      <w:proofErr w:type="spellEnd"/>
      <w:r w:rsidRPr="007122AB">
        <w:rPr>
          <w:rFonts w:ascii="Times New Roman" w:hAnsi="Times New Roman"/>
          <w:color w:val="000000" w:themeColor="text1"/>
          <w:sz w:val="16"/>
          <w:szCs w:val="16"/>
        </w:rPr>
        <w:t>; 1900-1980), опыт</w:t>
      </w:r>
      <w:r w:rsidRPr="007122AB">
        <w:rPr>
          <w:rFonts w:ascii="Times New Roman" w:hAnsi="Times New Roman"/>
          <w:color w:val="000000" w:themeColor="text1"/>
          <w:sz w:val="16"/>
          <w:szCs w:val="16"/>
        </w:rPr>
        <w:softHyphen/>
        <w:t xml:space="preserve">ный пилот-испытатель. Первая историческая «посадка» на «Акрон» была выполнены лейтенантами Дэниел У. </w:t>
      </w:r>
      <w:proofErr w:type="spellStart"/>
      <w:r w:rsidRPr="007122AB">
        <w:rPr>
          <w:rFonts w:ascii="Times New Roman" w:hAnsi="Times New Roman"/>
          <w:color w:val="000000" w:themeColor="text1"/>
          <w:sz w:val="16"/>
          <w:szCs w:val="16"/>
        </w:rPr>
        <w:t>Харриган</w:t>
      </w:r>
      <w:proofErr w:type="spellEnd"/>
      <w:r w:rsidRPr="007122AB">
        <w:rPr>
          <w:rFonts w:ascii="Times New Roman" w:hAnsi="Times New Roman"/>
          <w:color w:val="000000" w:themeColor="text1"/>
          <w:sz w:val="16"/>
          <w:szCs w:val="16"/>
        </w:rPr>
        <w:t xml:space="preserve"> и Ховард Л. Янг (</w:t>
      </w:r>
      <w:proofErr w:type="spellStart"/>
      <w:r w:rsidRPr="007122AB">
        <w:rPr>
          <w:rFonts w:ascii="Times New Roman" w:hAnsi="Times New Roman"/>
          <w:color w:val="000000" w:themeColor="text1"/>
          <w:sz w:val="16"/>
          <w:szCs w:val="16"/>
        </w:rPr>
        <w:t>Howard</w:t>
      </w:r>
      <w:proofErr w:type="spellEnd"/>
      <w:r w:rsidRPr="007122AB">
        <w:rPr>
          <w:rFonts w:ascii="Times New Roman" w:hAnsi="Times New Roman"/>
          <w:color w:val="000000" w:themeColor="text1"/>
          <w:sz w:val="16"/>
          <w:szCs w:val="16"/>
        </w:rPr>
        <w:t xml:space="preserve"> L. Young; 1906-1989) на учебном двухместном «</w:t>
      </w:r>
      <w:proofErr w:type="spellStart"/>
      <w:r w:rsidRPr="007122AB">
        <w:rPr>
          <w:rFonts w:ascii="Times New Roman" w:hAnsi="Times New Roman"/>
          <w:color w:val="000000" w:themeColor="text1"/>
          <w:sz w:val="16"/>
          <w:szCs w:val="16"/>
        </w:rPr>
        <w:t>Консолидэй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тед</w:t>
      </w:r>
      <w:proofErr w:type="spellEnd"/>
      <w:r w:rsidRPr="007122AB">
        <w:rPr>
          <w:rFonts w:ascii="Times New Roman" w:hAnsi="Times New Roman"/>
          <w:color w:val="000000" w:themeColor="text1"/>
          <w:sz w:val="16"/>
          <w:szCs w:val="16"/>
        </w:rPr>
        <w:t>» N2Y (</w:t>
      </w:r>
      <w:proofErr w:type="spellStart"/>
      <w:r w:rsidRPr="007122AB">
        <w:rPr>
          <w:rFonts w:ascii="Times New Roman" w:hAnsi="Times New Roman"/>
          <w:color w:val="000000" w:themeColor="text1"/>
          <w:sz w:val="16"/>
          <w:szCs w:val="16"/>
        </w:rPr>
        <w:t>Consolidated</w:t>
      </w:r>
      <w:proofErr w:type="spellEnd"/>
      <w:r w:rsidRPr="007122AB">
        <w:rPr>
          <w:rFonts w:ascii="Times New Roman" w:hAnsi="Times New Roman"/>
          <w:color w:val="000000" w:themeColor="text1"/>
          <w:sz w:val="16"/>
          <w:szCs w:val="16"/>
        </w:rPr>
        <w:t xml:space="preserve"> N2Y) (22730).</w:t>
      </w:r>
    </w:p>
    <w:p w14:paraId="3ACE7730" w14:textId="77777777" w:rsidR="00942BC7" w:rsidRPr="007122AB" w:rsidRDefault="00942BC7" w:rsidP="007122AB">
      <w:pPr>
        <w:spacing w:after="0" w:line="240" w:lineRule="auto"/>
        <w:jc w:val="both"/>
        <w:rPr>
          <w:rFonts w:ascii="Times New Roman" w:hAnsi="Times New Roman"/>
          <w:color w:val="000000" w:themeColor="text1"/>
          <w:sz w:val="16"/>
          <w:szCs w:val="16"/>
        </w:rPr>
      </w:pPr>
    </w:p>
    <w:p w14:paraId="18E79850" w14:textId="77777777" w:rsidR="003F4143" w:rsidRPr="007122AB" w:rsidRDefault="003F414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августа в 1931 году в полете над Англией на одном из моторов «Н.Р.42Е», "Ганнибал" (</w:t>
      </w:r>
      <w:proofErr w:type="spellStart"/>
      <w:r w:rsidRPr="007122AB">
        <w:rPr>
          <w:rFonts w:ascii="Times New Roman" w:hAnsi="Times New Roman"/>
          <w:color w:val="000000" w:themeColor="text1"/>
          <w:sz w:val="16"/>
          <w:szCs w:val="16"/>
        </w:rPr>
        <w:t>Hannibal</w:t>
      </w:r>
      <w:proofErr w:type="spellEnd"/>
      <w:r w:rsidRPr="007122AB">
        <w:rPr>
          <w:rFonts w:ascii="Times New Roman" w:hAnsi="Times New Roman"/>
          <w:color w:val="000000" w:themeColor="text1"/>
          <w:sz w:val="16"/>
          <w:szCs w:val="16"/>
        </w:rPr>
        <w:t xml:space="preserve">) отлетела небольшая деталь и разрушила винт, причем разлетевшимися осколками были повреждены еще два пропеллера. Экипажу ничего не оставалось, как садиться на первое попавшееся поле. К счастью, никто не пострадал, но самолет получил серьезные повреждения (полностью было разрушено хвостовое оперение) от столкновения с деревьями. Пострадавший "Ганнибал" доставили в </w:t>
      </w:r>
      <w:proofErr w:type="spellStart"/>
      <w:r w:rsidRPr="007122AB">
        <w:rPr>
          <w:rFonts w:ascii="Times New Roman" w:hAnsi="Times New Roman"/>
          <w:color w:val="000000" w:themeColor="text1"/>
          <w:sz w:val="16"/>
          <w:szCs w:val="16"/>
        </w:rPr>
        <w:t>Кройдон</w:t>
      </w:r>
      <w:proofErr w:type="spellEnd"/>
      <w:r w:rsidRPr="007122AB">
        <w:rPr>
          <w:rFonts w:ascii="Times New Roman" w:hAnsi="Times New Roman"/>
          <w:color w:val="000000" w:themeColor="text1"/>
          <w:sz w:val="16"/>
          <w:szCs w:val="16"/>
        </w:rPr>
        <w:t>, где начали ремонтировать, но к полетам он вернулся лишь через несколько месяцев (14977).</w:t>
      </w:r>
    </w:p>
    <w:p w14:paraId="07CAEDC9" w14:textId="77777777" w:rsidR="003F4143" w:rsidRPr="007122AB" w:rsidRDefault="003F4143" w:rsidP="007122AB">
      <w:pPr>
        <w:spacing w:after="0" w:line="240" w:lineRule="auto"/>
        <w:jc w:val="both"/>
        <w:rPr>
          <w:rFonts w:ascii="Times New Roman" w:hAnsi="Times New Roman"/>
          <w:color w:val="000000" w:themeColor="text1"/>
          <w:sz w:val="16"/>
          <w:szCs w:val="16"/>
        </w:rPr>
      </w:pPr>
    </w:p>
    <w:p w14:paraId="0F10FEC1" w14:textId="77777777" w:rsidR="003F414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A09F793" w14:textId="77777777" w:rsidR="003F4143" w:rsidRPr="007122AB" w:rsidRDefault="003F414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312976" w14:textId="77777777" w:rsidR="00326F0F" w:rsidRPr="007122AB" w:rsidRDefault="00326F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августа 1931, после того, как двигатель Ford 5-AT-B </w:t>
      </w:r>
      <w:proofErr w:type="spellStart"/>
      <w:r w:rsidRPr="007122AB">
        <w:rPr>
          <w:rFonts w:ascii="Times New Roman" w:hAnsi="Times New Roman"/>
          <w:color w:val="000000" w:themeColor="text1"/>
          <w:sz w:val="16"/>
          <w:szCs w:val="16"/>
        </w:rPr>
        <w:t>Trimotor</w:t>
      </w:r>
      <w:proofErr w:type="spellEnd"/>
      <w:r w:rsidRPr="007122AB">
        <w:rPr>
          <w:rFonts w:ascii="Times New Roman" w:hAnsi="Times New Roman"/>
          <w:color w:val="000000" w:themeColor="text1"/>
          <w:sz w:val="16"/>
          <w:szCs w:val="16"/>
        </w:rPr>
        <w:t xml:space="preserve"> NC9662 компании American Airways отделяется вскоре после взлета из муниципального аэропорта Цинциннати в Цинциннати, штат Огайо , для полета в Атланту, штат Джорджия, его пилот пытается вернуться в аэропорт для экстренной посадка . Он не попадает на взлетно-посадочную полосу, а затем пытается приземлиться на берегу реки Литтл-Майами, но самолет ударяется о мягкий песок, убивая всех шести человек на борту (20804).</w:t>
      </w:r>
    </w:p>
    <w:p w14:paraId="15106504" w14:textId="77777777" w:rsidR="00326F0F" w:rsidRPr="007122AB" w:rsidRDefault="00326F0F" w:rsidP="007122AB">
      <w:pPr>
        <w:spacing w:after="0" w:line="240" w:lineRule="auto"/>
        <w:jc w:val="both"/>
        <w:rPr>
          <w:rFonts w:ascii="Times New Roman" w:hAnsi="Times New Roman"/>
          <w:color w:val="000000" w:themeColor="text1"/>
          <w:sz w:val="16"/>
          <w:szCs w:val="16"/>
        </w:rPr>
      </w:pPr>
    </w:p>
    <w:p w14:paraId="0B6B8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августа 1931 коммунисты вместе с фашистами голосовали на референдуме за роспуск социал-демократического Ландтага Пруссии (3240).</w:t>
      </w:r>
    </w:p>
    <w:p w14:paraId="36C69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BCE03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AF2688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A11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10 по 16 августа 1931 проходили испытания самолета И7 БМВ VI. Самолет И7 БМВ VI опытный, постройки завода N 1. На основании произведенных испытаний НИИ посчитал,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403F2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521223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- 24</w:t>
      </w:r>
    </w:p>
    <w:p w14:paraId="1CDE5B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- 11 час. 40 мин. (3269).</w:t>
      </w:r>
    </w:p>
    <w:p w14:paraId="196A6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E7C86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 по 16 августа 1931 года проходили испытания самолета И7 БМВ VI</w:t>
      </w:r>
    </w:p>
    <w:p w14:paraId="3100B2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3 – опытный постройки завода № 1.</w:t>
      </w:r>
    </w:p>
    <w:p w14:paraId="02CC951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7D8177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опытного самолета с полетным весом 1740 кг.</w:t>
      </w:r>
    </w:p>
    <w:p w14:paraId="6ADA7C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 10 августа 1931 года</w:t>
      </w:r>
    </w:p>
    <w:p w14:paraId="5AF397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16 августа 1931 года</w:t>
      </w:r>
    </w:p>
    <w:p w14:paraId="4DFD47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08A0E2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24</w:t>
      </w:r>
    </w:p>
    <w:p w14:paraId="1F17FE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11 час. 40 мин.</w:t>
      </w:r>
    </w:p>
    <w:p w14:paraId="7690CE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C3C53A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21614226"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2B336C8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0CB5A" w14:textId="77777777" w:rsidR="00A56BD5" w:rsidRPr="00441F34" w:rsidRDefault="00A56BD5" w:rsidP="00A56BD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августа 1931 г. самолет И-7 принят на Государственные испытания на базе НОА (НИИ ВВС РККА) с пулеметным вооружением (24331).</w:t>
      </w:r>
    </w:p>
    <w:p w14:paraId="0086438B" w14:textId="77777777" w:rsidR="00A56BD5" w:rsidRPr="00441F34" w:rsidRDefault="00A56BD5" w:rsidP="00A56BD5">
      <w:pPr>
        <w:spacing w:after="0" w:line="240" w:lineRule="auto"/>
        <w:jc w:val="both"/>
        <w:rPr>
          <w:rFonts w:ascii="Times New Roman" w:hAnsi="Times New Roman"/>
          <w:color w:val="0070C0"/>
          <w:sz w:val="16"/>
          <w:szCs w:val="16"/>
        </w:rPr>
      </w:pPr>
    </w:p>
    <w:p w14:paraId="6ED7E7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10 августа 1931 должен был быт готов И-4 с разрезным крылом. Не известно, сделали ли (346,22).</w:t>
      </w:r>
    </w:p>
    <w:p w14:paraId="6BE9B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B9CC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 на И-4 поставили поплавки, но так и не испытали, так как решили, что истребитель на поплавках не нужен (1454,20).</w:t>
      </w:r>
    </w:p>
    <w:p w14:paraId="72D5B8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1800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 года начальник НИИ ВВС С.В.И. писал письмо N 275 с зам. начальника ВВС Меженинову.</w:t>
      </w:r>
    </w:p>
    <w:p w14:paraId="0FE1C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ВОГФ закончило испытания амфибии конструктора Шаврова при чем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1002C3" w:rsidRPr="007122AB" w14:paraId="0B5CEA49" w14:textId="77777777">
        <w:tc>
          <w:tcPr>
            <w:tcW w:w="2818" w:type="dxa"/>
          </w:tcPr>
          <w:p w14:paraId="63AD70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FCA63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Амфибии</w:t>
            </w:r>
          </w:p>
        </w:tc>
        <w:tc>
          <w:tcPr>
            <w:tcW w:w="2818" w:type="dxa"/>
          </w:tcPr>
          <w:p w14:paraId="624EFD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Лодки</w:t>
            </w:r>
          </w:p>
        </w:tc>
      </w:tr>
      <w:tr w:rsidR="001002C3" w:rsidRPr="007122AB" w14:paraId="2F2416D6" w14:textId="77777777">
        <w:tc>
          <w:tcPr>
            <w:tcW w:w="2818" w:type="dxa"/>
          </w:tcPr>
          <w:p w14:paraId="0694A2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 скорость км/час/обороты</w:t>
            </w:r>
          </w:p>
        </w:tc>
        <w:tc>
          <w:tcPr>
            <w:tcW w:w="2818" w:type="dxa"/>
          </w:tcPr>
          <w:p w14:paraId="0F18A0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136,5/1620</w:t>
            </w:r>
          </w:p>
        </w:tc>
        <w:tc>
          <w:tcPr>
            <w:tcW w:w="2818" w:type="dxa"/>
          </w:tcPr>
          <w:p w14:paraId="3EC53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145,7/1650</w:t>
            </w:r>
          </w:p>
        </w:tc>
      </w:tr>
      <w:tr w:rsidR="001002C3" w:rsidRPr="007122AB" w14:paraId="0F9CAF67" w14:textId="77777777">
        <w:tc>
          <w:tcPr>
            <w:tcW w:w="2818" w:type="dxa"/>
          </w:tcPr>
          <w:p w14:paraId="168CD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Средняя скорость</w:t>
            </w:r>
          </w:p>
        </w:tc>
        <w:tc>
          <w:tcPr>
            <w:tcW w:w="2818" w:type="dxa"/>
          </w:tcPr>
          <w:p w14:paraId="34070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123,5/1550</w:t>
            </w:r>
          </w:p>
        </w:tc>
        <w:tc>
          <w:tcPr>
            <w:tcW w:w="2818" w:type="dxa"/>
          </w:tcPr>
          <w:p w14:paraId="0D65A5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120,6/1500</w:t>
            </w:r>
          </w:p>
        </w:tc>
      </w:tr>
      <w:tr w:rsidR="001002C3" w:rsidRPr="007122AB" w14:paraId="7C57B863" w14:textId="77777777">
        <w:tc>
          <w:tcPr>
            <w:tcW w:w="2818" w:type="dxa"/>
          </w:tcPr>
          <w:p w14:paraId="0901B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Миним. скорость</w:t>
            </w:r>
          </w:p>
        </w:tc>
        <w:tc>
          <w:tcPr>
            <w:tcW w:w="2818" w:type="dxa"/>
          </w:tcPr>
          <w:p w14:paraId="22F67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102,5/1250</w:t>
            </w:r>
          </w:p>
        </w:tc>
        <w:tc>
          <w:tcPr>
            <w:tcW w:w="2818" w:type="dxa"/>
          </w:tcPr>
          <w:p w14:paraId="63F300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98,5/1250</w:t>
            </w:r>
          </w:p>
        </w:tc>
      </w:tr>
      <w:tr w:rsidR="001002C3" w:rsidRPr="007122AB" w14:paraId="524D4621" w14:textId="77777777">
        <w:tc>
          <w:tcPr>
            <w:tcW w:w="2818" w:type="dxa"/>
          </w:tcPr>
          <w:p w14:paraId="4C49B1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Потолок </w:t>
            </w:r>
            <w:proofErr w:type="spellStart"/>
            <w:r w:rsidRPr="007122AB">
              <w:rPr>
                <w:rFonts w:ascii="Times New Roman" w:hAnsi="Times New Roman"/>
                <w:color w:val="000000" w:themeColor="text1"/>
                <w:sz w:val="16"/>
                <w:szCs w:val="16"/>
              </w:rPr>
              <w:t>практ</w:t>
            </w:r>
            <w:proofErr w:type="spellEnd"/>
            <w:r w:rsidRPr="007122AB">
              <w:rPr>
                <w:rFonts w:ascii="Times New Roman" w:hAnsi="Times New Roman"/>
                <w:color w:val="000000" w:themeColor="text1"/>
                <w:sz w:val="16"/>
                <w:szCs w:val="16"/>
              </w:rPr>
              <w:t>.</w:t>
            </w:r>
          </w:p>
        </w:tc>
        <w:tc>
          <w:tcPr>
            <w:tcW w:w="2818" w:type="dxa"/>
          </w:tcPr>
          <w:p w14:paraId="421B9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3330</w:t>
            </w:r>
          </w:p>
        </w:tc>
        <w:tc>
          <w:tcPr>
            <w:tcW w:w="2818" w:type="dxa"/>
          </w:tcPr>
          <w:p w14:paraId="3718ED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3650</w:t>
            </w:r>
          </w:p>
        </w:tc>
      </w:tr>
    </w:tbl>
    <w:p w14:paraId="79883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Отзыв летчика Шварца, производившего испытания в основном следующий:</w:t>
      </w:r>
    </w:p>
    <w:p w14:paraId="7A89A6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Обзор у самолета хороший. При разбеге в штиль самолет легко выходит на редан, после чего быстро набирает скорость и в среднем н 9-10-й секунде отрывается.</w:t>
      </w:r>
    </w:p>
    <w:p w14:paraId="0DD4C6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время взлета с земли требуется поднятие хвоста и самолет поставленный в линию полета на 9-10-й секунде отрывается при разбеге в 110-115 метров.</w:t>
      </w:r>
    </w:p>
    <w:p w14:paraId="36CA7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посадку самолет, как лодка очень легок, как сухопутный несколько строже ввиду низкого расположения шасси.</w:t>
      </w:r>
    </w:p>
    <w:p w14:paraId="0FD83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Посадочная скорость по прибору 60-70 км/час. Руление на воде удовлетворительное...</w:t>
      </w:r>
    </w:p>
    <w:p w14:paraId="75639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ВОГФ делает по этому самолету следующее заключение:</w:t>
      </w:r>
    </w:p>
    <w:p w14:paraId="082DDB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 обладает хорошими летными и аэродинамическими качествами, а также удобен в эксплуатации.</w:t>
      </w:r>
    </w:p>
    <w:p w14:paraId="624070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Самолет может быть применяем на различные задания и в основном как учебная лодка.</w:t>
      </w:r>
    </w:p>
    <w:p w14:paraId="5D1E3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этого считает возможным постройку серии.</w:t>
      </w:r>
    </w:p>
    <w:p w14:paraId="6BFD6B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ближайшее время самолет перелетит в Москву на Центральный аэродром, где и можно будет решить вопрос о его использовании для военных целей, т.к. возможно за счет перегрузки в 160 кг поместить военный груз и в частности пулемет для обстрела задней полусферы. (2969,14-16).</w:t>
      </w:r>
    </w:p>
    <w:p w14:paraId="741FA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7F5E00" w14:textId="77777777" w:rsidR="002759FC" w:rsidRPr="007122AB" w:rsidRDefault="002759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августа в 1931 году дата образования ОАО «Казанское </w:t>
      </w:r>
      <w:proofErr w:type="spellStart"/>
      <w:r w:rsidRPr="007122AB">
        <w:rPr>
          <w:rFonts w:ascii="Times New Roman" w:hAnsi="Times New Roman"/>
          <w:color w:val="000000" w:themeColor="text1"/>
          <w:sz w:val="16"/>
          <w:szCs w:val="16"/>
        </w:rPr>
        <w:t>моторостроительно</w:t>
      </w:r>
      <w:proofErr w:type="spellEnd"/>
      <w:r w:rsidRPr="007122AB">
        <w:rPr>
          <w:rFonts w:ascii="Times New Roman" w:hAnsi="Times New Roman"/>
          <w:color w:val="000000" w:themeColor="text1"/>
          <w:sz w:val="16"/>
          <w:szCs w:val="16"/>
        </w:rPr>
        <w:t xml:space="preserve">-производственное объединение» (бывший завод N16). ОАО КМПО осуществляет восстановление и ремонт двигателей «НК-8-2У», «НК-86» для самолетов «Ту-154Б», «Ил-86», осваивает производство турбореактивного двухконтурного двигателя «AИ-22» для самолетов «Ту-324» и «ЯК-48», двигателя «НК-93», деталей и узлов авиационных двигателей «Pratt &amp; Whitney», сборку и испытания двигателей «PW 207» для вертолетов. Освоено производство силовых двигателей «НК-16СТ» и «НК-16-18СТ», двигателя «НК-38СТ», газоперекачивающего агрегата ГПА-16 "Волга" и автоматической газораспределительной станции (АГРС) "Исток" и </w:t>
      </w:r>
      <w:proofErr w:type="spellStart"/>
      <w:r w:rsidRPr="007122AB">
        <w:rPr>
          <w:rFonts w:ascii="Times New Roman" w:hAnsi="Times New Roman"/>
          <w:color w:val="000000" w:themeColor="text1"/>
          <w:sz w:val="16"/>
          <w:szCs w:val="16"/>
        </w:rPr>
        <w:t>др</w:t>
      </w:r>
      <w:proofErr w:type="spellEnd"/>
      <w:r w:rsidRPr="007122AB">
        <w:rPr>
          <w:rFonts w:ascii="Times New Roman" w:hAnsi="Times New Roman"/>
          <w:color w:val="000000" w:themeColor="text1"/>
          <w:sz w:val="16"/>
          <w:szCs w:val="16"/>
        </w:rPr>
        <w:t xml:space="preserve"> (14979).</w:t>
      </w:r>
    </w:p>
    <w:p w14:paraId="77462201" w14:textId="77777777" w:rsidR="002759FC" w:rsidRPr="007122AB" w:rsidRDefault="002759FC" w:rsidP="007122AB">
      <w:pPr>
        <w:spacing w:after="0" w:line="240" w:lineRule="auto"/>
        <w:jc w:val="both"/>
        <w:rPr>
          <w:rFonts w:ascii="Times New Roman" w:hAnsi="Times New Roman"/>
          <w:color w:val="000000" w:themeColor="text1"/>
          <w:sz w:val="16"/>
          <w:szCs w:val="16"/>
        </w:rPr>
      </w:pPr>
    </w:p>
    <w:p w14:paraId="589371E1" w14:textId="77777777" w:rsidR="002759FC" w:rsidRPr="007122AB" w:rsidRDefault="002759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 г.</w:t>
      </w:r>
      <w:r w:rsidRPr="007122AB">
        <w:rPr>
          <w:rFonts w:ascii="Times New Roman" w:hAnsi="Times New Roman"/>
          <w:color w:val="000000" w:themeColor="text1"/>
          <w:sz w:val="16"/>
          <w:szCs w:val="16"/>
          <w:vertAlign w:val="superscript"/>
        </w:rPr>
        <w:t>143</w:t>
      </w:r>
      <w:r w:rsidRPr="007122AB">
        <w:rPr>
          <w:rFonts w:ascii="Times New Roman" w:hAnsi="Times New Roman"/>
          <w:color w:val="000000" w:themeColor="text1"/>
          <w:sz w:val="16"/>
          <w:szCs w:val="16"/>
        </w:rPr>
        <w:t xml:space="preserve"> считается официальным днем рождения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С 1932 г. - в ведении самолетного треста ГУАП НКТП. В 02.1937 г. - в ведении 1ГУ НКОП. По пр. № </w:t>
      </w:r>
      <w:proofErr w:type="spellStart"/>
      <w:r w:rsidRPr="007122AB">
        <w:rPr>
          <w:rFonts w:ascii="Times New Roman" w:hAnsi="Times New Roman"/>
          <w:color w:val="000000" w:themeColor="text1"/>
          <w:sz w:val="16"/>
          <w:szCs w:val="16"/>
        </w:rPr>
        <w:t>ЗЗсс</w:t>
      </w:r>
      <w:proofErr w:type="spellEnd"/>
      <w:r w:rsidRPr="007122AB">
        <w:rPr>
          <w:rFonts w:ascii="Times New Roman" w:hAnsi="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2B84A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1930-34 г. производил ремонт двигателей М-17 и М-22, ремонт самолетов ТБ-1, ТБ-3, Р-6, И-4. В 1934 г. строился ТШ-2 С.А. </w:t>
      </w:r>
      <w:proofErr w:type="spellStart"/>
      <w:r w:rsidRPr="007122AB">
        <w:rPr>
          <w:rFonts w:ascii="Times New Roman" w:hAnsi="Times New Roman"/>
          <w:color w:val="000000" w:themeColor="text1"/>
          <w:sz w:val="16"/>
          <w:szCs w:val="16"/>
        </w:rPr>
        <w:t>Кочёригина</w:t>
      </w:r>
      <w:proofErr w:type="spellEnd"/>
      <w:r w:rsidRPr="007122AB">
        <w:rPr>
          <w:rFonts w:ascii="Times New Roman" w:hAnsi="Times New Roman"/>
          <w:color w:val="000000" w:themeColor="text1"/>
          <w:sz w:val="16"/>
          <w:szCs w:val="16"/>
        </w:rPr>
        <w:t>.</w:t>
      </w:r>
    </w:p>
    <w:p w14:paraId="1AD85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1934 г. перепрофилирован на производство авиадвигателей. Приказом № 0032 от 8.02.1937 г. заводу предписано к 1.04.1937 г. сдать в эксплуатацию* главный корпус и термический цех. Приказом № 0127 от 7.06.1937 г. предписано в 3 квартале 1937 г. внедрить в серию форсированные М-11Д и М-11Е; к 1.10.1937 г. перевести ОКО завода в помещение бывших </w:t>
      </w:r>
      <w:proofErr w:type="spellStart"/>
      <w:r w:rsidRPr="007122AB">
        <w:rPr>
          <w:rFonts w:ascii="Times New Roman" w:hAnsi="Times New Roman"/>
          <w:color w:val="000000" w:themeColor="text1"/>
          <w:sz w:val="16"/>
          <w:szCs w:val="16"/>
        </w:rPr>
        <w:t>авиамастерских</w:t>
      </w:r>
      <w:proofErr w:type="spellEnd"/>
      <w:r w:rsidRPr="007122AB">
        <w:rPr>
          <w:rFonts w:ascii="Times New Roman" w:hAnsi="Times New Roman"/>
          <w:color w:val="000000" w:themeColor="text1"/>
          <w:sz w:val="16"/>
          <w:szCs w:val="16"/>
        </w:rPr>
        <w:t>.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w:t>
      </w:r>
    </w:p>
    <w:p w14:paraId="78DC08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проектная мощность завода составляла: МВ-4, -6,-12-11 тыс. в год, М-11 - 5 тыс. шт. В 01.1940 г. завод переведен на выпуск М-105, на 1941 г. утвержден план по выпуску 2000 М-105, 1100 М-62 и 300 МВ-6.</w:t>
      </w:r>
      <w:r w:rsidRPr="007122AB">
        <w:rPr>
          <w:rFonts w:ascii="Times New Roman" w:hAnsi="Times New Roman"/>
          <w:color w:val="000000" w:themeColor="text1"/>
          <w:sz w:val="16"/>
          <w:szCs w:val="16"/>
          <w:vertAlign w:val="superscript"/>
        </w:rPr>
        <w:t>144</w:t>
      </w:r>
    </w:p>
    <w:p w14:paraId="2C4207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имел филиал в Воронеже - Завод им. Сталина. Руководитель - Д.А. Морозов (затем- директор завода № 154). Зам. гл. конструктора филиала по маломощным моторам (09.1940 г.-)- М.А. </w:t>
      </w:r>
      <w:proofErr w:type="spellStart"/>
      <w:r w:rsidRPr="007122AB">
        <w:rPr>
          <w:rFonts w:ascii="Times New Roman" w:hAnsi="Times New Roman"/>
          <w:color w:val="000000" w:themeColor="text1"/>
          <w:sz w:val="16"/>
          <w:szCs w:val="16"/>
        </w:rPr>
        <w:t>Коссов</w:t>
      </w:r>
      <w:proofErr w:type="spellEnd"/>
      <w:r w:rsidRPr="007122AB">
        <w:rPr>
          <w:rFonts w:ascii="Times New Roman" w:hAnsi="Times New Roman"/>
          <w:color w:val="000000" w:themeColor="text1"/>
          <w:sz w:val="16"/>
          <w:szCs w:val="16"/>
        </w:rPr>
        <w:t>. Сюда в 09.1940 г. передано с завода № 16 производство маломощных моторов (М-11 и МВ-6). В соответствии с пост. СНК от 26.07.1940 г. и приказом НКАП № 193сс от 3.03.1941 г. Завод им. Сталина получил самостоятельность и наименование ГС завод № 154 им. Сталина ЗГУ НКАП.</w:t>
      </w:r>
    </w:p>
    <w:p w14:paraId="7C3814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741с от 8.10.1941 г. и приказом № 1053сс от 9.10.1941 г. завод эвакуирован в  г.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0E888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274AD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7CA773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w:t>
      </w:r>
      <w:proofErr w:type="spellStart"/>
      <w:r w:rsidRPr="007122AB">
        <w:rPr>
          <w:rFonts w:ascii="Times New Roman" w:hAnsi="Times New Roman"/>
          <w:color w:val="000000" w:themeColor="text1"/>
          <w:sz w:val="16"/>
          <w:szCs w:val="16"/>
        </w:rPr>
        <w:t>Басдорф</w:t>
      </w:r>
      <w:proofErr w:type="spellEnd"/>
      <w:r w:rsidRPr="007122AB">
        <w:rPr>
          <w:rFonts w:ascii="Times New Roman" w:hAnsi="Times New Roman"/>
          <w:color w:val="000000" w:themeColor="text1"/>
          <w:sz w:val="16"/>
          <w:szCs w:val="16"/>
        </w:rPr>
        <w:t xml:space="preserve"> (Германия).</w:t>
      </w:r>
    </w:p>
    <w:p w14:paraId="3F165F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5868F1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4CF4C0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1950 г. создан турбовинтовой двигатель для кораблей ТРДВ-1 (5200 л. е.).</w:t>
      </w:r>
    </w:p>
    <w:p w14:paraId="6492E8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72FDC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0C16E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1976 г. - Казанское МПО, с 1993 г. - ОАО «КМПО». В 03.1997 г. вошло в ФПГ «Двигатели НК».</w:t>
      </w:r>
      <w:r w:rsidRPr="007122AB">
        <w:rPr>
          <w:rFonts w:ascii="Times New Roman" w:hAnsi="Times New Roman"/>
          <w:color w:val="000000" w:themeColor="text1"/>
          <w:sz w:val="16"/>
          <w:szCs w:val="16"/>
          <w:vertAlign w:val="superscript"/>
        </w:rPr>
        <w:t>50</w:t>
      </w:r>
      <w:r w:rsidRPr="007122AB">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6500D0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2002 г. велись работы по организации участка сборки и испытаний </w:t>
      </w:r>
      <w:proofErr w:type="spellStart"/>
      <w:r w:rsidRPr="007122AB">
        <w:rPr>
          <w:rFonts w:ascii="Times New Roman" w:hAnsi="Times New Roman"/>
          <w:color w:val="000000" w:themeColor="text1"/>
          <w:sz w:val="16"/>
          <w:szCs w:val="16"/>
        </w:rPr>
        <w:t>ТВлД</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PW</w:t>
      </w:r>
      <w:r w:rsidRPr="007122AB">
        <w:rPr>
          <w:rFonts w:ascii="Times New Roman" w:hAnsi="Times New Roman"/>
          <w:color w:val="000000" w:themeColor="text1"/>
          <w:sz w:val="16"/>
          <w:szCs w:val="16"/>
        </w:rPr>
        <w:t>207 для вертолета «Ансат».</w:t>
      </w:r>
    </w:p>
    <w:p w14:paraId="6B4961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(2003 г.)- около 12. 000 чел.</w:t>
      </w:r>
    </w:p>
    <w:p w14:paraId="7928C5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(-06-29.08.1937 г.)-  Г.С. </w:t>
      </w:r>
      <w:proofErr w:type="spellStart"/>
      <w:r w:rsidRPr="007122AB">
        <w:rPr>
          <w:rFonts w:ascii="Times New Roman" w:hAnsi="Times New Roman"/>
          <w:color w:val="000000" w:themeColor="text1"/>
          <w:sz w:val="16"/>
          <w:szCs w:val="16"/>
        </w:rPr>
        <w:t>Девдариани</w:t>
      </w:r>
      <w:proofErr w:type="spellEnd"/>
      <w:r w:rsidRPr="007122AB">
        <w:rPr>
          <w:rFonts w:ascii="Times New Roman" w:hAnsi="Times New Roman"/>
          <w:color w:val="000000" w:themeColor="text1"/>
          <w:sz w:val="16"/>
          <w:szCs w:val="16"/>
        </w:rPr>
        <w:t xml:space="preserve"> (снят), (29.08.1937 г.-)- М.М. Лукин, (-09.1941 г.-)- В.И. Сухорукое, (-08.1942-04.1945 г.-)- М.М. Лукин, (03.1946 г.)- Тарасов, (1960-е  г.)- Р.Е. Загребельный. Гендиректор (1968-82 г.)- П.А. Витер, (1982-2003 г.-)- А.Ф. Павлов,</w:t>
      </w:r>
      <w:r w:rsidRPr="007122AB">
        <w:rPr>
          <w:rFonts w:ascii="Times New Roman" w:hAnsi="Times New Roman"/>
          <w:color w:val="000000" w:themeColor="text1"/>
          <w:sz w:val="16"/>
          <w:szCs w:val="16"/>
          <w:vertAlign w:val="superscript"/>
        </w:rPr>
        <w:t>49</w:t>
      </w:r>
      <w:r w:rsidRPr="007122AB">
        <w:rPr>
          <w:rFonts w:ascii="Times New Roman" w:hAnsi="Times New Roman"/>
          <w:color w:val="000000" w:themeColor="text1"/>
          <w:sz w:val="16"/>
          <w:szCs w:val="16"/>
        </w:rPr>
        <w:t xml:space="preserve"> (-10.2004-05 г.-&gt; Д.З. Каримуллин.</w:t>
      </w:r>
    </w:p>
    <w:p w14:paraId="2C3C69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(06.1937 г.)- М.П. </w:t>
      </w:r>
      <w:proofErr w:type="spellStart"/>
      <w:r w:rsidRPr="007122AB">
        <w:rPr>
          <w:rFonts w:ascii="Times New Roman" w:hAnsi="Times New Roman"/>
          <w:color w:val="000000" w:themeColor="text1"/>
          <w:sz w:val="16"/>
          <w:szCs w:val="16"/>
        </w:rPr>
        <w:t>Макарук</w:t>
      </w:r>
      <w:proofErr w:type="spellEnd"/>
      <w:r w:rsidRPr="007122AB">
        <w:rPr>
          <w:rFonts w:ascii="Times New Roman" w:hAnsi="Times New Roman"/>
          <w:color w:val="000000" w:themeColor="text1"/>
          <w:sz w:val="16"/>
          <w:szCs w:val="16"/>
        </w:rPr>
        <w:t>;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24AC5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Коммерческий директор (10.2004 г.)- А.В. Березкин.</w:t>
      </w:r>
    </w:p>
    <w:p w14:paraId="03C1F7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4338F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(06.1937 г.)- М.П. </w:t>
      </w:r>
      <w:proofErr w:type="spellStart"/>
      <w:r w:rsidRPr="007122AB">
        <w:rPr>
          <w:rFonts w:ascii="Times New Roman" w:hAnsi="Times New Roman"/>
          <w:color w:val="000000" w:themeColor="text1"/>
          <w:sz w:val="16"/>
          <w:szCs w:val="16"/>
        </w:rPr>
        <w:t>Макарук</w:t>
      </w:r>
      <w:proofErr w:type="spellEnd"/>
      <w:r w:rsidRPr="007122AB">
        <w:rPr>
          <w:rFonts w:ascii="Times New Roman" w:hAnsi="Times New Roman"/>
          <w:color w:val="000000" w:themeColor="text1"/>
          <w:sz w:val="16"/>
          <w:szCs w:val="16"/>
        </w:rPr>
        <w:t>, (2002 г.)- М. Г. Хабибуллин.</w:t>
      </w:r>
      <w:r w:rsidRPr="007122AB">
        <w:rPr>
          <w:rFonts w:ascii="Times New Roman" w:hAnsi="Times New Roman"/>
          <w:color w:val="000000" w:themeColor="text1"/>
          <w:sz w:val="16"/>
          <w:szCs w:val="16"/>
          <w:vertAlign w:val="superscript"/>
        </w:rPr>
        <w:t>69</w:t>
      </w:r>
    </w:p>
    <w:p w14:paraId="7ABFE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Серийного КБ (01.1942-04.1944 г.)- С.Д. Колосов.</w:t>
      </w:r>
    </w:p>
    <w:p w14:paraId="305542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51EC7E1B" w14:textId="77777777" w:rsidR="008C31FB" w:rsidRPr="007122AB" w:rsidRDefault="008C31F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AEAAA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FD672A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F97F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(12107).</w:t>
      </w:r>
    </w:p>
    <w:p w14:paraId="3EA513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D9B550"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Реагируя на письма трудящихся, 28.08.31 г. Серго Орджоникидзе направил Председателю Высшего Совета Народного Хозяйства Л. М. Кагановичу письмо следующего содержания: (АП РФ Ф. 3. Оп. 58. Д. 142). «До сих пор в ряде мест у местных органов ГПУ имеются свои проектные и конструкторские </w:t>
      </w:r>
      <w:r w:rsidRPr="007122AB">
        <w:rPr>
          <w:rFonts w:ascii="Times New Roman" w:hAnsi="Times New Roman"/>
          <w:color w:val="000000" w:themeColor="text1"/>
          <w:sz w:val="16"/>
          <w:szCs w:val="16"/>
        </w:rPr>
        <w:lastRenderedPageBreak/>
        <w:t xml:space="preserve">бюро (в Баку,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(18668).</w:t>
      </w:r>
    </w:p>
    <w:p w14:paraId="040DB01B" w14:textId="77777777" w:rsidR="00A77F55" w:rsidRPr="007122AB" w:rsidRDefault="00A77F55" w:rsidP="007122AB">
      <w:pPr>
        <w:spacing w:after="0" w:line="240" w:lineRule="auto"/>
        <w:jc w:val="both"/>
        <w:rPr>
          <w:rFonts w:ascii="Times New Roman" w:hAnsi="Times New Roman"/>
          <w:color w:val="000000" w:themeColor="text1"/>
          <w:sz w:val="16"/>
          <w:szCs w:val="16"/>
        </w:rPr>
      </w:pPr>
    </w:p>
    <w:p w14:paraId="1C29C0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 г. постановлением Политбюро были изгнаны из ОГПУ 2-й зам. пред ОГПУ С.А. Мессинг, ПП ОГПУ по Московской области Л.Н. Бельский, начальник секретно-оперативного управления и член коллегии ОГПУ Е.Г. Евдокимов и Ольский, которым было предъявлено обвинение в том, что «эти товарищи...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(имелось в виду не только дело «</w:t>
      </w:r>
      <w:proofErr w:type="spellStart"/>
      <w:r w:rsidRPr="007122AB">
        <w:rPr>
          <w:rFonts w:ascii="Times New Roman" w:hAnsi="Times New Roman"/>
          <w:color w:val="000000" w:themeColor="text1"/>
          <w:sz w:val="16"/>
          <w:szCs w:val="16"/>
        </w:rPr>
        <w:t>михайловцев</w:t>
      </w:r>
      <w:proofErr w:type="spellEnd"/>
      <w:r w:rsidRPr="007122AB">
        <w:rPr>
          <w:rFonts w:ascii="Times New Roman" w:hAnsi="Times New Roman"/>
          <w:color w:val="000000" w:themeColor="text1"/>
          <w:sz w:val="16"/>
          <w:szCs w:val="16"/>
        </w:rPr>
        <w:t xml:space="preserve">», но и проведенная тогда же операция «Весна» </w:t>
      </w:r>
      <w:r w:rsidRPr="007122AB">
        <w:rPr>
          <w:rFonts w:ascii="Times New Roman" w:hAnsi="Times New Roman"/>
          <w:color w:val="000000" w:themeColor="text1"/>
          <w:sz w:val="16"/>
          <w:szCs w:val="16"/>
          <w:vertAlign w:val="superscript"/>
        </w:rPr>
        <w:t>6</w:t>
      </w:r>
      <w:r w:rsidRPr="007122AB">
        <w:rPr>
          <w:rFonts w:ascii="Times New Roman" w:hAnsi="Times New Roman"/>
          <w:color w:val="000000" w:themeColor="text1"/>
          <w:sz w:val="16"/>
          <w:szCs w:val="16"/>
        </w:rPr>
        <w:t>) и своими «разговорами и шушуканьями» расшатывали «железную дисциплину среди работников ОГПУ».(11329).</w:t>
      </w:r>
    </w:p>
    <w:p w14:paraId="08D6F6E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CBDC9B"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w:t>
      </w:r>
    </w:p>
    <w:p w14:paraId="5CDAFF79"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 55 заседания Политбюро ЦК ВКП(б) от 10 августа 1931 года</w:t>
      </w:r>
    </w:p>
    <w:p w14:paraId="5887A4A4"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Заседание Политбюро ЦК ВКП(б) от 10</w:t>
      </w:r>
      <w:r w:rsidRPr="007122AB">
        <w:rPr>
          <w:rFonts w:ascii="Times New Roman" w:hAnsi="Times New Roman"/>
          <w:color w:val="000000" w:themeColor="text1"/>
          <w:sz w:val="16"/>
          <w:szCs w:val="16"/>
        </w:rPr>
        <w:noBreakHyphen/>
        <w:t>го августа 1931 года.</w:t>
      </w:r>
    </w:p>
    <w:p w14:paraId="66C3FFB1"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9/22: О результатах использования договоров техпомощи хозяйственным организациям</w:t>
      </w:r>
    </w:p>
    <w:p w14:paraId="08351A8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 от 5.V.31 г., пр. № 36, п. 16, из прил. п. 14).</w:t>
      </w:r>
    </w:p>
    <w:p w14:paraId="78472566"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(Менжинский, Орджоникидзе,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Микоян, </w:t>
      </w:r>
      <w:proofErr w:type="spellStart"/>
      <w:r w:rsidRPr="007122AB">
        <w:rPr>
          <w:rFonts w:ascii="Times New Roman" w:hAnsi="Times New Roman"/>
          <w:color w:val="000000" w:themeColor="text1"/>
          <w:sz w:val="16"/>
          <w:szCs w:val="16"/>
        </w:rPr>
        <w:t>Рухимович</w:t>
      </w:r>
      <w:proofErr w:type="spellEnd"/>
      <w:r w:rsidRPr="007122AB">
        <w:rPr>
          <w:rFonts w:ascii="Times New Roman" w:hAnsi="Times New Roman"/>
          <w:color w:val="000000" w:themeColor="text1"/>
          <w:sz w:val="16"/>
          <w:szCs w:val="16"/>
        </w:rPr>
        <w:t>, Андреев).</w:t>
      </w:r>
    </w:p>
    <w:p w14:paraId="5C72A606"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Утвердить предложения комиссии о пересмотре договоров по технической помощи и о порядке их заключения (</w:t>
      </w:r>
      <w:hyperlink r:id="rId163" w:history="1">
        <w:r w:rsidRPr="007122AB">
          <w:rPr>
            <w:rStyle w:val="a5"/>
            <w:rFonts w:ascii="Times New Roman" w:hAnsi="Times New Roman"/>
            <w:color w:val="000000" w:themeColor="text1"/>
            <w:sz w:val="16"/>
            <w:szCs w:val="16"/>
          </w:rPr>
          <w:t>см. приложение № 2</w:t>
        </w:r>
      </w:hyperlink>
      <w:r w:rsidRPr="007122AB">
        <w:rPr>
          <w:rFonts w:ascii="Times New Roman" w:hAnsi="Times New Roman"/>
          <w:color w:val="000000" w:themeColor="text1"/>
          <w:sz w:val="16"/>
          <w:szCs w:val="16"/>
        </w:rPr>
        <w:t>).</w:t>
      </w:r>
    </w:p>
    <w:p w14:paraId="35582AA4"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Окончательное редактирование проекта постановления поручить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Кагановичу и Орджоникидзе.</w:t>
      </w:r>
    </w:p>
    <w:p w14:paraId="1268B617"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 2</w:t>
      </w:r>
    </w:p>
    <w:p w14:paraId="561E4208"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 9/22 пр. ПБ № 55.</w:t>
      </w:r>
    </w:p>
    <w:p w14:paraId="61D81727"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Окончательная редакция.</w:t>
      </w:r>
    </w:p>
    <w:p w14:paraId="39FD22BD"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 ЦК ВКП(б) от 10.VIII.1931 г.</w:t>
      </w:r>
    </w:p>
    <w:p w14:paraId="3F2A71E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пересмотре договоров по технической помощи и о порядке их заключения.</w:t>
      </w:r>
    </w:p>
    <w:p w14:paraId="5A6031BC"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ЦК констатирует, что несмотря на то, что за истекшие два месяца со стороны ВСНХ и хозяйственных объединений произошли некоторые сдвиги в части исполнения решения ПБ по вопросу технической помощи, привлекаемой из заграницы (приняты меры к расторжению и пересмотру невыгодных и дублирующих договоров, </w:t>
      </w:r>
      <w:proofErr w:type="spellStart"/>
      <w:r w:rsidRPr="007122AB">
        <w:rPr>
          <w:rFonts w:ascii="Times New Roman" w:hAnsi="Times New Roman"/>
          <w:color w:val="000000" w:themeColor="text1"/>
          <w:sz w:val="16"/>
          <w:szCs w:val="16"/>
        </w:rPr>
        <w:t>указаиных</w:t>
      </w:r>
      <w:proofErr w:type="spellEnd"/>
      <w:r w:rsidRPr="007122AB">
        <w:rPr>
          <w:rFonts w:ascii="Times New Roman" w:hAnsi="Times New Roman"/>
          <w:color w:val="000000" w:themeColor="text1"/>
          <w:sz w:val="16"/>
          <w:szCs w:val="16"/>
        </w:rPr>
        <w:t xml:space="preserve"> в постановлении ПБ от 5.V.31 г.; в ВСНХ и объединениях выделены лица, персонально отвечающие за правильное использование договоров на </w:t>
      </w:r>
      <w:proofErr w:type="spellStart"/>
      <w:r w:rsidRPr="007122AB">
        <w:rPr>
          <w:rFonts w:ascii="Times New Roman" w:hAnsi="Times New Roman"/>
          <w:color w:val="000000" w:themeColor="text1"/>
          <w:sz w:val="16"/>
          <w:szCs w:val="16"/>
        </w:rPr>
        <w:t>инотехпомощь</w:t>
      </w:r>
      <w:proofErr w:type="spellEnd"/>
      <w:r w:rsidRPr="007122AB">
        <w:rPr>
          <w:rFonts w:ascii="Times New Roman" w:hAnsi="Times New Roman"/>
          <w:color w:val="000000" w:themeColor="text1"/>
          <w:sz w:val="16"/>
          <w:szCs w:val="16"/>
        </w:rPr>
        <w:t xml:space="preserve">; по некоторым объединениям осуществляется пункт решения ПБ о привлечении к участию по реализации договоров на </w:t>
      </w:r>
      <w:proofErr w:type="spellStart"/>
      <w:r w:rsidRPr="007122AB">
        <w:rPr>
          <w:rFonts w:ascii="Times New Roman" w:hAnsi="Times New Roman"/>
          <w:color w:val="000000" w:themeColor="text1"/>
          <w:sz w:val="16"/>
          <w:szCs w:val="16"/>
        </w:rPr>
        <w:t>инотехпомощь</w:t>
      </w:r>
      <w:proofErr w:type="spellEnd"/>
      <w:r w:rsidRPr="007122AB">
        <w:rPr>
          <w:rFonts w:ascii="Times New Roman" w:hAnsi="Times New Roman"/>
          <w:color w:val="000000" w:themeColor="text1"/>
          <w:sz w:val="16"/>
          <w:szCs w:val="16"/>
        </w:rPr>
        <w:t xml:space="preserve"> научно-исследовательских институтов и инженерно-технических сил).</w:t>
      </w:r>
    </w:p>
    <w:p w14:paraId="3760E771"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большей чести уже заключенных договоров продолжают оставаться основные ненормальности, которые были отмечены в решениях ПБ от 5.V.1931 г.:</w:t>
      </w:r>
    </w:p>
    <w:p w14:paraId="1B9BB458"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существующие договора по целому ряду отраслей промышленности нарушаются, с одной стороны, по вине инофирм (“Форд-Мотор и Кº”, “РИВ”, “Крупп-</w:t>
      </w:r>
      <w:proofErr w:type="spellStart"/>
      <w:r w:rsidRPr="007122AB">
        <w:rPr>
          <w:rFonts w:ascii="Times New Roman" w:hAnsi="Times New Roman"/>
          <w:color w:val="000000" w:themeColor="text1"/>
          <w:sz w:val="16"/>
          <w:szCs w:val="16"/>
        </w:rPr>
        <w:t>Грузенберг</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Бютаст</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xml:space="preserve">) и т. д.), причем со стороны ВСНХ и </w:t>
      </w:r>
      <w:proofErr w:type="spellStart"/>
      <w:r w:rsidRPr="007122AB">
        <w:rPr>
          <w:rFonts w:ascii="Times New Roman" w:hAnsi="Times New Roman"/>
          <w:color w:val="000000" w:themeColor="text1"/>
          <w:sz w:val="16"/>
          <w:szCs w:val="16"/>
        </w:rPr>
        <w:t>хозобъединений</w:t>
      </w:r>
      <w:proofErr w:type="spellEnd"/>
      <w:r w:rsidRPr="007122AB">
        <w:rPr>
          <w:rFonts w:ascii="Times New Roman" w:hAnsi="Times New Roman"/>
          <w:color w:val="000000" w:themeColor="text1"/>
          <w:sz w:val="16"/>
          <w:szCs w:val="16"/>
        </w:rPr>
        <w:t xml:space="preserve"> по этим нарушениям, как правило, настойчивых претензий не предъявляется; с другой стороны — продолжают хоз. объединения выносить целый ряд непродуманных изменений в заключенные договора, что по существу предоставляет право инофирмам, оказывающим техпомощь, извращать смысл заключенных договоров (фирма “</w:t>
      </w:r>
      <w:proofErr w:type="spellStart"/>
      <w:r w:rsidRPr="007122AB">
        <w:rPr>
          <w:rFonts w:ascii="Times New Roman" w:hAnsi="Times New Roman"/>
          <w:color w:val="000000" w:themeColor="text1"/>
          <w:sz w:val="16"/>
          <w:szCs w:val="16"/>
        </w:rPr>
        <w:t>Дац</w:t>
      </w:r>
      <w:proofErr w:type="spellEnd"/>
      <w:r w:rsidRPr="007122AB">
        <w:rPr>
          <w:rFonts w:ascii="Times New Roman" w:hAnsi="Times New Roman"/>
          <w:color w:val="000000" w:themeColor="text1"/>
          <w:sz w:val="16"/>
          <w:szCs w:val="16"/>
        </w:rPr>
        <w:t>”, РИВ и др.).</w:t>
      </w:r>
    </w:p>
    <w:p w14:paraId="3F6242B9"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До сего времени продолжают действовать договора, заключенные несвоевременно и под которые совершенно не обеспечена производственная база, вследствие чего договора по существу не используются (договор с “Крупп-</w:t>
      </w:r>
      <w:proofErr w:type="spellStart"/>
      <w:r w:rsidRPr="007122AB">
        <w:rPr>
          <w:rFonts w:ascii="Times New Roman" w:hAnsi="Times New Roman"/>
          <w:color w:val="000000" w:themeColor="text1"/>
          <w:sz w:val="16"/>
          <w:szCs w:val="16"/>
        </w:rPr>
        <w:t>Грузенберг</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Гумбольд</w:t>
      </w:r>
      <w:proofErr w:type="spellEnd"/>
      <w:r w:rsidRPr="007122AB">
        <w:rPr>
          <w:rFonts w:ascii="Times New Roman" w:hAnsi="Times New Roman"/>
          <w:color w:val="000000" w:themeColor="text1"/>
          <w:sz w:val="16"/>
          <w:szCs w:val="16"/>
        </w:rPr>
        <w:t>” и др.).</w:t>
      </w:r>
    </w:p>
    <w:p w14:paraId="37A69A3C"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То же в отношении фирм, оказывающих техпомощь в части устаревших конструкций, по которым собственными силами достигнуты значительные нововведения против условий, заключенных на </w:t>
      </w:r>
      <w:proofErr w:type="spellStart"/>
      <w:r w:rsidRPr="007122AB">
        <w:rPr>
          <w:rFonts w:ascii="Times New Roman" w:hAnsi="Times New Roman"/>
          <w:color w:val="000000" w:themeColor="text1"/>
          <w:sz w:val="16"/>
          <w:szCs w:val="16"/>
        </w:rPr>
        <w:t>инотехпомощь</w:t>
      </w:r>
      <w:proofErr w:type="spellEnd"/>
      <w:r w:rsidRPr="007122AB">
        <w:rPr>
          <w:rFonts w:ascii="Times New Roman" w:hAnsi="Times New Roman"/>
          <w:color w:val="000000" w:themeColor="text1"/>
          <w:sz w:val="16"/>
          <w:szCs w:val="16"/>
        </w:rPr>
        <w:t xml:space="preserve"> (договор с “МАН”, “</w:t>
      </w:r>
      <w:proofErr w:type="spellStart"/>
      <w:r w:rsidRPr="007122AB">
        <w:rPr>
          <w:rFonts w:ascii="Times New Roman" w:hAnsi="Times New Roman"/>
          <w:color w:val="000000" w:themeColor="text1"/>
          <w:sz w:val="16"/>
          <w:szCs w:val="16"/>
        </w:rPr>
        <w:t>Петролифер</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Борзиг</w:t>
      </w:r>
      <w:proofErr w:type="spellEnd"/>
      <w:r w:rsidRPr="007122AB">
        <w:rPr>
          <w:rFonts w:ascii="Times New Roman" w:hAnsi="Times New Roman"/>
          <w:color w:val="000000" w:themeColor="text1"/>
          <w:sz w:val="16"/>
          <w:szCs w:val="16"/>
        </w:rPr>
        <w:t>” и др.).</w:t>
      </w:r>
    </w:p>
    <w:p w14:paraId="0D77C046"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 целому ряду договоров продолжают поступать чертежи, не соответствующие требованиям нашей промышленности, а зачастую совершенно устаревшие, присылаемые инофирмами из своих архивов (фирма “</w:t>
      </w:r>
      <w:proofErr w:type="spellStart"/>
      <w:r w:rsidRPr="007122AB">
        <w:rPr>
          <w:rFonts w:ascii="Times New Roman" w:hAnsi="Times New Roman"/>
          <w:color w:val="000000" w:themeColor="text1"/>
          <w:sz w:val="16"/>
          <w:szCs w:val="16"/>
        </w:rPr>
        <w:t>Гумбольд</w:t>
      </w:r>
      <w:proofErr w:type="spellEnd"/>
      <w:r w:rsidRPr="007122AB">
        <w:rPr>
          <w:rFonts w:ascii="Times New Roman" w:hAnsi="Times New Roman"/>
          <w:color w:val="000000" w:themeColor="text1"/>
          <w:sz w:val="16"/>
          <w:szCs w:val="16"/>
        </w:rPr>
        <w:t>”).</w:t>
      </w:r>
    </w:p>
    <w:p w14:paraId="4617F40D"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Недостаточно налажен контроль за присылаемым фирмами оборудованием по договорам, почему продолжает поступать дефектное оборудование, а иногда совершенно непригодное (“Форд”).</w:t>
      </w:r>
    </w:p>
    <w:p w14:paraId="1FFA8086"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Значительно часты </w:t>
      </w:r>
      <w:proofErr w:type="spellStart"/>
      <w:r w:rsidRPr="007122AB">
        <w:rPr>
          <w:rFonts w:ascii="Times New Roman" w:hAnsi="Times New Roman"/>
          <w:color w:val="000000" w:themeColor="text1"/>
          <w:sz w:val="16"/>
          <w:szCs w:val="16"/>
        </w:rPr>
        <w:t>случаи,когда</w:t>
      </w:r>
      <w:proofErr w:type="spellEnd"/>
      <w:r w:rsidRPr="007122AB">
        <w:rPr>
          <w:rFonts w:ascii="Times New Roman" w:hAnsi="Times New Roman"/>
          <w:color w:val="000000" w:themeColor="text1"/>
          <w:sz w:val="16"/>
          <w:szCs w:val="16"/>
        </w:rPr>
        <w:t xml:space="preserve"> фирмы, в нарушение договорных обязательств, присылают свои чертежи не на кальках, что вызывает задержку во времени и в затрате излишних средств.</w:t>
      </w:r>
    </w:p>
    <w:p w14:paraId="68215A70"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Отметить недопустимость действий хоз. объединений, когда выполненные фирмами по договорам проекты и чертежи продолжают оставаться в стенах этих объединений длительное время без всякого использования (фирма “Крупп-</w:t>
      </w:r>
      <w:proofErr w:type="spellStart"/>
      <w:r w:rsidRPr="007122AB">
        <w:rPr>
          <w:rFonts w:ascii="Times New Roman" w:hAnsi="Times New Roman"/>
          <w:color w:val="000000" w:themeColor="text1"/>
          <w:sz w:val="16"/>
          <w:szCs w:val="16"/>
        </w:rPr>
        <w:t>Грузенберг</w:t>
      </w:r>
      <w:proofErr w:type="spellEnd"/>
      <w:r w:rsidRPr="007122AB">
        <w:rPr>
          <w:rFonts w:ascii="Times New Roman" w:hAnsi="Times New Roman"/>
          <w:color w:val="000000" w:themeColor="text1"/>
          <w:sz w:val="16"/>
          <w:szCs w:val="16"/>
        </w:rPr>
        <w:t xml:space="preserve">”, договор с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Бурель</w:t>
      </w:r>
      <w:proofErr w:type="spellEnd"/>
      <w:r w:rsidRPr="007122AB">
        <w:rPr>
          <w:rFonts w:ascii="Times New Roman" w:hAnsi="Times New Roman"/>
          <w:color w:val="000000" w:themeColor="text1"/>
          <w:sz w:val="16"/>
          <w:szCs w:val="16"/>
        </w:rPr>
        <w:t xml:space="preserve"> и др.).</w:t>
      </w:r>
    </w:p>
    <w:p w14:paraId="629758A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 Не выполнен пункт (за исключением Сталинградского тракторного завода) по договору с “Фордом” по поверке квалификации специалистов, привлеченных по договорам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w:t>
      </w:r>
    </w:p>
    <w:p w14:paraId="6330A99A"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Как правило, в 1931 г. не выполнены наши права по договорам по посылке наших специалистов на заводы и предприятия фирм, с коими заключены договора.</w:t>
      </w:r>
    </w:p>
    <w:p w14:paraId="5CE755DB"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Несмотря на фактическое выделение лиц, отвечающих за выполнение договоров по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в массе по хозяйственным объединениям это выделение носит еще формальный характер и систематический контроль отсутствует.</w:t>
      </w:r>
    </w:p>
    <w:p w14:paraId="31D59564"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Считая невыполненным постановление ПБ от 5.V.1931 г. </w:t>
      </w:r>
      <w:proofErr w:type="spellStart"/>
      <w:r w:rsidRPr="007122AB">
        <w:rPr>
          <w:rFonts w:ascii="Times New Roman" w:hAnsi="Times New Roman"/>
          <w:color w:val="000000" w:themeColor="text1"/>
          <w:sz w:val="16"/>
          <w:szCs w:val="16"/>
        </w:rPr>
        <w:t>п.п</w:t>
      </w:r>
      <w:proofErr w:type="spellEnd"/>
      <w:r w:rsidRPr="007122AB">
        <w:rPr>
          <w:rFonts w:ascii="Times New Roman" w:hAnsi="Times New Roman"/>
          <w:color w:val="000000" w:themeColor="text1"/>
          <w:sz w:val="16"/>
          <w:szCs w:val="16"/>
        </w:rPr>
        <w:t>. 1, 3, 4, 5, 8, 9, 10, 11 и 13; предложить ВСНХ в месячный срок обеспечить выполнение решении ПБ от 5.V.1931 г.</w:t>
      </w:r>
    </w:p>
    <w:p w14:paraId="69D0E73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(18117).</w:t>
      </w:r>
    </w:p>
    <w:p w14:paraId="0E42B9D8" w14:textId="77777777" w:rsidR="00A77F55" w:rsidRPr="007122AB" w:rsidRDefault="00A77F55" w:rsidP="007122AB">
      <w:pPr>
        <w:spacing w:after="0" w:line="240" w:lineRule="auto"/>
        <w:jc w:val="both"/>
        <w:rPr>
          <w:rFonts w:ascii="Times New Roman" w:hAnsi="Times New Roman"/>
          <w:color w:val="000000" w:themeColor="text1"/>
          <w:sz w:val="16"/>
          <w:szCs w:val="16"/>
        </w:rPr>
      </w:pPr>
    </w:p>
    <w:p w14:paraId="30E04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августа 1931 г. Правительством было принято решение о строительстве судостроительного завода на Дальнем Востоке. 9.04.1932г. утверждена площадка для строительства Амурской верфи в селе Пермском на левом берегу Амура возле </w:t>
      </w:r>
      <w:proofErr w:type="spellStart"/>
      <w:r w:rsidRPr="007122AB">
        <w:rPr>
          <w:rFonts w:ascii="Times New Roman" w:hAnsi="Times New Roman"/>
          <w:color w:val="000000" w:themeColor="text1"/>
          <w:sz w:val="16"/>
          <w:szCs w:val="16"/>
        </w:rPr>
        <w:t>Силинских</w:t>
      </w:r>
      <w:proofErr w:type="spellEnd"/>
      <w:r w:rsidRPr="007122AB">
        <w:rPr>
          <w:rFonts w:ascii="Times New Roman" w:hAnsi="Times New Roman"/>
          <w:color w:val="000000" w:themeColor="text1"/>
          <w:sz w:val="16"/>
          <w:szCs w:val="16"/>
        </w:rPr>
        <w:t xml:space="preserve"> озер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w:t>
      </w:r>
      <w:proofErr w:type="spellStart"/>
      <w:r w:rsidRPr="007122AB">
        <w:rPr>
          <w:rFonts w:ascii="Times New Roman" w:hAnsi="Times New Roman"/>
          <w:color w:val="000000" w:themeColor="text1"/>
          <w:sz w:val="16"/>
          <w:szCs w:val="16"/>
        </w:rPr>
        <w:t>кр</w:t>
      </w:r>
      <w:proofErr w:type="spellEnd"/>
      <w:r w:rsidRPr="007122AB">
        <w:rPr>
          <w:rFonts w:ascii="Times New Roman" w:hAnsi="Times New Roman"/>
          <w:color w:val="000000" w:themeColor="text1"/>
          <w:sz w:val="16"/>
          <w:szCs w:val="16"/>
        </w:rPr>
        <w:t>. Аллея труда, 1 тел. 43-224/). К 08.1932г. был разработан комплексный проект завода. Строительство получило название «</w:t>
      </w:r>
      <w:proofErr w:type="spellStart"/>
      <w:r w:rsidRPr="007122AB">
        <w:rPr>
          <w:rFonts w:ascii="Times New Roman" w:hAnsi="Times New Roman"/>
          <w:color w:val="000000" w:themeColor="text1"/>
          <w:sz w:val="16"/>
          <w:szCs w:val="16"/>
        </w:rPr>
        <w:t>Дальпромстрой</w:t>
      </w:r>
      <w:proofErr w:type="spellEnd"/>
      <w:r w:rsidRPr="007122AB">
        <w:rPr>
          <w:rFonts w:ascii="Times New Roman" w:hAnsi="Times New Roman"/>
          <w:color w:val="000000" w:themeColor="text1"/>
          <w:sz w:val="16"/>
          <w:szCs w:val="16"/>
        </w:rPr>
        <w:t xml:space="preserve">». </w:t>
      </w:r>
    </w:p>
    <w:p w14:paraId="264DE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Днем основания завода считается 1.07.1932 г., 12.06.1933 г. заложен первый камень первого цеха завода. Начальником строительства был сначала Н. Г. </w:t>
      </w:r>
      <w:proofErr w:type="spellStart"/>
      <w:r w:rsidRPr="007122AB">
        <w:rPr>
          <w:rFonts w:ascii="Times New Roman" w:hAnsi="Times New Roman"/>
          <w:color w:val="000000" w:themeColor="text1"/>
          <w:sz w:val="16"/>
          <w:szCs w:val="16"/>
        </w:rPr>
        <w:t>Оксман</w:t>
      </w:r>
      <w:proofErr w:type="spellEnd"/>
      <w:r w:rsidRPr="007122AB">
        <w:rPr>
          <w:rFonts w:ascii="Times New Roman" w:hAnsi="Times New Roman"/>
          <w:color w:val="000000" w:themeColor="text1"/>
          <w:sz w:val="16"/>
          <w:szCs w:val="16"/>
        </w:rPr>
        <w:t>,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166D34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7678B0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0F213A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08CFD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w:t>
      </w:r>
      <w:proofErr w:type="spellStart"/>
      <w:r w:rsidRPr="007122AB">
        <w:rPr>
          <w:rFonts w:ascii="Times New Roman" w:hAnsi="Times New Roman"/>
          <w:color w:val="000000" w:themeColor="text1"/>
          <w:sz w:val="16"/>
          <w:szCs w:val="16"/>
        </w:rPr>
        <w:t>Теплоконтроль</w:t>
      </w:r>
      <w:proofErr w:type="spellEnd"/>
      <w:r w:rsidRPr="007122AB">
        <w:rPr>
          <w:rFonts w:ascii="Times New Roman" w:hAnsi="Times New Roman"/>
          <w:color w:val="000000" w:themeColor="text1"/>
          <w:sz w:val="16"/>
          <w:szCs w:val="16"/>
        </w:rPr>
        <w:t>».</w:t>
      </w:r>
    </w:p>
    <w:p w14:paraId="28AA4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ВОВ сюда эвакуирована часть заводов № 103, № 189, № 194 и № 638 НКСП.</w:t>
      </w:r>
    </w:p>
    <w:p w14:paraId="28206B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7EC56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772024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2737C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2303C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w:t>
      </w:r>
      <w:proofErr w:type="spellStart"/>
      <w:r w:rsidRPr="007122AB">
        <w:rPr>
          <w:rFonts w:ascii="Times New Roman" w:hAnsi="Times New Roman"/>
          <w:color w:val="000000" w:themeColor="text1"/>
          <w:sz w:val="16"/>
          <w:szCs w:val="16"/>
        </w:rPr>
        <w:t>вероято</w:t>
      </w:r>
      <w:proofErr w:type="spellEnd"/>
      <w:r w:rsidRPr="007122AB">
        <w:rPr>
          <w:rFonts w:ascii="Times New Roman" w:hAnsi="Times New Roman"/>
          <w:color w:val="000000" w:themeColor="text1"/>
          <w:sz w:val="16"/>
          <w:szCs w:val="16"/>
        </w:rPr>
        <w:t>, далее это - завод «Восток»).</w:t>
      </w:r>
    </w:p>
    <w:p w14:paraId="6236EF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70934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5CA10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7122AB">
        <w:rPr>
          <w:rFonts w:ascii="Times New Roman" w:hAnsi="Times New Roman"/>
          <w:color w:val="000000" w:themeColor="text1"/>
          <w:sz w:val="16"/>
          <w:szCs w:val="16"/>
          <w:vertAlign w:val="superscript"/>
        </w:rPr>
        <w:t>101</w:t>
      </w:r>
    </w:p>
    <w:p w14:paraId="29B12C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 филиал (2004-08 г.)- завод «Восток» ( г. Большой Камень).</w:t>
      </w:r>
    </w:p>
    <w:p w14:paraId="0CFF4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(1937 г.)- 3664 чел., (1.01.1946 г.)- 7800 чел.</w:t>
      </w:r>
    </w:p>
    <w:p w14:paraId="38D4D1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(1936-3.08.1937 г.)- И.М. Жданов (репрессирован), (3.08.1937-41 г.-)- А.Л. Токарев.</w:t>
      </w:r>
      <w:r w:rsidRPr="007122AB">
        <w:rPr>
          <w:rFonts w:ascii="Times New Roman" w:hAnsi="Times New Roman"/>
          <w:color w:val="000000" w:themeColor="text1"/>
          <w:sz w:val="16"/>
          <w:szCs w:val="16"/>
          <w:vertAlign w:val="superscript"/>
        </w:rPr>
        <w:t>61</w:t>
      </w:r>
      <w:r w:rsidRPr="007122AB">
        <w:rPr>
          <w:rFonts w:ascii="Times New Roman" w:hAnsi="Times New Roman"/>
          <w:color w:val="000000" w:themeColor="text1"/>
          <w:sz w:val="16"/>
          <w:szCs w:val="16"/>
        </w:rPr>
        <w:t xml:space="preserve"> Гендиректор (1990-е-06.2005; 12.02.2009 г.-)- Н. </w:t>
      </w:r>
      <w:proofErr w:type="spellStart"/>
      <w:r w:rsidRPr="007122AB">
        <w:rPr>
          <w:rFonts w:ascii="Times New Roman" w:hAnsi="Times New Roman"/>
          <w:color w:val="000000" w:themeColor="text1"/>
          <w:sz w:val="16"/>
          <w:szCs w:val="16"/>
        </w:rPr>
        <w:t>Повзык</w:t>
      </w:r>
      <w:proofErr w:type="spellEnd"/>
      <w:r w:rsidRPr="007122AB">
        <w:rPr>
          <w:rFonts w:ascii="Times New Roman" w:hAnsi="Times New Roman"/>
          <w:color w:val="000000" w:themeColor="text1"/>
          <w:sz w:val="16"/>
          <w:szCs w:val="16"/>
        </w:rPr>
        <w:t>, (06.2005-12.02.2009 г.)- А.И. Адаменя.</w:t>
      </w:r>
    </w:p>
    <w:p w14:paraId="57776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строительства (1932 г.-)- Н. Г. </w:t>
      </w:r>
      <w:proofErr w:type="spellStart"/>
      <w:r w:rsidRPr="007122AB">
        <w:rPr>
          <w:rFonts w:ascii="Times New Roman" w:hAnsi="Times New Roman"/>
          <w:color w:val="000000" w:themeColor="text1"/>
          <w:sz w:val="16"/>
          <w:szCs w:val="16"/>
        </w:rPr>
        <w:t>Оксман</w:t>
      </w:r>
      <w:proofErr w:type="spellEnd"/>
      <w:r w:rsidRPr="007122AB">
        <w:rPr>
          <w:rFonts w:ascii="Times New Roman" w:hAnsi="Times New Roman"/>
          <w:color w:val="000000" w:themeColor="text1"/>
          <w:sz w:val="16"/>
          <w:szCs w:val="16"/>
        </w:rPr>
        <w:t xml:space="preserve">. Зам. директора (29.03.1936 г.-)- П. Г. </w:t>
      </w:r>
      <w:proofErr w:type="spellStart"/>
      <w:r w:rsidRPr="007122AB">
        <w:rPr>
          <w:rFonts w:ascii="Times New Roman" w:hAnsi="Times New Roman"/>
          <w:color w:val="000000" w:themeColor="text1"/>
          <w:sz w:val="16"/>
          <w:szCs w:val="16"/>
        </w:rPr>
        <w:t>Гойнкис</w:t>
      </w:r>
      <w:proofErr w:type="spellEnd"/>
      <w:r w:rsidRPr="007122AB">
        <w:rPr>
          <w:rFonts w:ascii="Times New Roman" w:hAnsi="Times New Roman"/>
          <w:color w:val="000000" w:themeColor="text1"/>
          <w:sz w:val="16"/>
          <w:szCs w:val="16"/>
        </w:rPr>
        <w:t>. Зам. гендиректора: по производству (2008 г.)-  Г. Васильев; (-06.2005 г.)- А.И. Адаменя.</w:t>
      </w:r>
    </w:p>
    <w:p w14:paraId="1B11B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(29.03.1936-9.05.1938 г.-)- П. Г. </w:t>
      </w:r>
      <w:proofErr w:type="spellStart"/>
      <w:r w:rsidRPr="007122AB">
        <w:rPr>
          <w:rFonts w:ascii="Times New Roman" w:hAnsi="Times New Roman"/>
          <w:color w:val="000000" w:themeColor="text1"/>
          <w:sz w:val="16"/>
          <w:szCs w:val="16"/>
        </w:rPr>
        <w:t>Гойнкис</w:t>
      </w:r>
      <w:proofErr w:type="spellEnd"/>
      <w:r w:rsidRPr="007122AB">
        <w:rPr>
          <w:rFonts w:ascii="Times New Roman" w:hAnsi="Times New Roman"/>
          <w:color w:val="000000" w:themeColor="text1"/>
          <w:sz w:val="16"/>
          <w:szCs w:val="16"/>
        </w:rPr>
        <w:t>; и.о. (-1938 г.)- З. Г. Сгибнев; В.Ф. Ивочкин, (2008 г.)- А. Меринов.</w:t>
      </w:r>
    </w:p>
    <w:p w14:paraId="12201C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 2 (13.12.1935 г.-)- К.Ф. Терлецкий.</w:t>
      </w:r>
    </w:p>
    <w:p w14:paraId="74EB7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цеха: № 19 (2008 г.)- В. Стародубов.</w:t>
      </w:r>
    </w:p>
    <w:p w14:paraId="09289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УКС (02.1937 г.)- Я.П. Варенцов.</w:t>
      </w:r>
    </w:p>
    <w:p w14:paraId="752D9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ППО (02.1938 г.)- З. Г. Сгибнев.</w:t>
      </w:r>
    </w:p>
    <w:p w14:paraId="71546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строители: (1938-42 г.-)- А.З. </w:t>
      </w:r>
      <w:proofErr w:type="spellStart"/>
      <w:r w:rsidRPr="007122AB">
        <w:rPr>
          <w:rFonts w:ascii="Times New Roman" w:hAnsi="Times New Roman"/>
          <w:color w:val="000000" w:themeColor="text1"/>
          <w:sz w:val="16"/>
          <w:szCs w:val="16"/>
        </w:rPr>
        <w:t>Голданд</w:t>
      </w:r>
      <w:proofErr w:type="spellEnd"/>
      <w:r w:rsidRPr="007122AB">
        <w:rPr>
          <w:rFonts w:ascii="Times New Roman" w:hAnsi="Times New Roman"/>
          <w:color w:val="000000" w:themeColor="text1"/>
          <w:sz w:val="16"/>
          <w:szCs w:val="16"/>
        </w:rPr>
        <w:t xml:space="preserve"> (пр. 26бис). Строители кораблей: (12.1935 г.-)- К.Ф. Терлецкий (пр. 38бис), (1930-е)- В.Ф. Ивочкин (пр. 38бис).</w:t>
      </w:r>
    </w:p>
    <w:p w14:paraId="4ED7E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Уполномоченный завода во Владивостоке (1.09.1938 г.-)- З. Г. Сгибнев.</w:t>
      </w:r>
    </w:p>
    <w:p w14:paraId="4C350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ПЛ. сборка лодок завода им. Марта Л-11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284, 05.1935-38), Л-12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xml:space="preserve">.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w:t>
      </w:r>
      <w:proofErr w:type="spellStart"/>
      <w:r w:rsidRPr="007122AB">
        <w:rPr>
          <w:rFonts w:ascii="Times New Roman" w:hAnsi="Times New Roman"/>
          <w:color w:val="000000" w:themeColor="text1"/>
          <w:sz w:val="16"/>
          <w:szCs w:val="16"/>
        </w:rPr>
        <w:t>ЗОбис</w:t>
      </w:r>
      <w:proofErr w:type="spellEnd"/>
      <w:r w:rsidRPr="007122AB">
        <w:rPr>
          <w:rFonts w:ascii="Times New Roman" w:hAnsi="Times New Roman"/>
          <w:color w:val="000000" w:themeColor="text1"/>
          <w:sz w:val="16"/>
          <w:szCs w:val="16"/>
        </w:rPr>
        <w:t xml:space="preserve">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w:t>
      </w:r>
      <w:proofErr w:type="spellStart"/>
      <w:r w:rsidRPr="007122AB">
        <w:rPr>
          <w:rFonts w:ascii="Times New Roman" w:hAnsi="Times New Roman"/>
          <w:color w:val="000000" w:themeColor="text1"/>
          <w:sz w:val="16"/>
          <w:szCs w:val="16"/>
        </w:rPr>
        <w:t>Амгуема</w:t>
      </w:r>
      <w:proofErr w:type="spellEnd"/>
      <w:r w:rsidRPr="007122AB">
        <w:rPr>
          <w:rFonts w:ascii="Times New Roman" w:hAnsi="Times New Roman"/>
          <w:color w:val="000000" w:themeColor="text1"/>
          <w:sz w:val="16"/>
          <w:szCs w:val="16"/>
        </w:rPr>
        <w:t xml:space="preserve">»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7122AB">
        <w:rPr>
          <w:rFonts w:ascii="Times New Roman" w:hAnsi="Times New Roman"/>
          <w:color w:val="000000" w:themeColor="text1"/>
          <w:sz w:val="16"/>
          <w:szCs w:val="16"/>
          <w:lang w:val="en-US"/>
        </w:rPr>
        <w:t>UT</w:t>
      </w:r>
      <w:r w:rsidRPr="007122AB">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w:t>
      </w:r>
      <w:proofErr w:type="spellStart"/>
      <w:r w:rsidRPr="007122AB">
        <w:rPr>
          <w:rFonts w:ascii="Times New Roman" w:hAnsi="Times New Roman"/>
          <w:color w:val="000000" w:themeColor="text1"/>
          <w:sz w:val="16"/>
          <w:szCs w:val="16"/>
        </w:rPr>
        <w:t>Сагар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Самикша</w:t>
      </w:r>
      <w:proofErr w:type="spellEnd"/>
      <w:r w:rsidRPr="007122AB">
        <w:rPr>
          <w:rFonts w:ascii="Times New Roman" w:hAnsi="Times New Roman"/>
          <w:color w:val="000000" w:themeColor="text1"/>
          <w:sz w:val="16"/>
          <w:szCs w:val="16"/>
        </w:rPr>
        <w:t>» для Индии (2006); буксир-кантовщик пр. 01710 «</w:t>
      </w:r>
      <w:proofErr w:type="spellStart"/>
      <w:r w:rsidRPr="007122AB">
        <w:rPr>
          <w:rFonts w:ascii="Times New Roman" w:hAnsi="Times New Roman"/>
          <w:color w:val="000000" w:themeColor="text1"/>
          <w:sz w:val="16"/>
          <w:szCs w:val="16"/>
        </w:rPr>
        <w:t>Вагис</w:t>
      </w:r>
      <w:proofErr w:type="spellEnd"/>
      <w:r w:rsidRPr="007122AB">
        <w:rPr>
          <w:rFonts w:ascii="Times New Roman" w:hAnsi="Times New Roman"/>
          <w:color w:val="000000" w:themeColor="text1"/>
          <w:sz w:val="16"/>
          <w:szCs w:val="16"/>
        </w:rPr>
        <w:t>»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29D430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капремонт: ПЛ: типа «Щ» (-1944)- 9, типа «М» (-1944)- 4</w:t>
      </w:r>
      <w:r w:rsidRPr="007122AB">
        <w:rPr>
          <w:rFonts w:ascii="Times New Roman" w:hAnsi="Times New Roman"/>
          <w:color w:val="000000" w:themeColor="text1"/>
          <w:sz w:val="16"/>
          <w:szCs w:val="16"/>
          <w:vertAlign w:val="superscript"/>
        </w:rPr>
        <w:t>90</w:t>
      </w:r>
      <w:r w:rsidRPr="007122AB">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4C4AC6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«Восток», ОАО «Завод судового оборудования «Восток»</w:t>
      </w:r>
    </w:p>
    <w:p w14:paraId="6BA6A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/692804  г. Большой Камень Приморского </w:t>
      </w:r>
      <w:proofErr w:type="spellStart"/>
      <w:r w:rsidRPr="007122AB">
        <w:rPr>
          <w:rFonts w:ascii="Times New Roman" w:hAnsi="Times New Roman"/>
          <w:color w:val="000000" w:themeColor="text1"/>
          <w:sz w:val="16"/>
          <w:szCs w:val="16"/>
        </w:rPr>
        <w:t>кр</w:t>
      </w:r>
      <w:proofErr w:type="spellEnd"/>
      <w:r w:rsidRPr="007122AB">
        <w:rPr>
          <w:rFonts w:ascii="Times New Roman" w:hAnsi="Times New Roman"/>
          <w:color w:val="000000" w:themeColor="text1"/>
          <w:sz w:val="16"/>
          <w:szCs w:val="16"/>
        </w:rPr>
        <w:t>. ул. Колхозная, 1Б/</w:t>
      </w:r>
    </w:p>
    <w:p w14:paraId="73B233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6713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Филиал АСЗ, достроечная база (2004-08 г.).</w:t>
      </w:r>
    </w:p>
    <w:p w14:paraId="11133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Переоборудование АПЛ К-55, К-178 пр. 658 в пр. 658Т (торпедная) (1970-е).</w:t>
      </w:r>
    </w:p>
    <w:p w14:paraId="28452C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(-2008-09 г.-)-  Г. Вагин.</w:t>
      </w:r>
    </w:p>
    <w:p w14:paraId="00BBA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сдаточно-монтажного (1975 г.-)- Л. Г. Мещеряков (11982).</w:t>
      </w:r>
    </w:p>
    <w:p w14:paraId="39F5A1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311D2A"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10 августа 1931 </w:t>
      </w:r>
      <w:r w:rsidRPr="007122AB">
        <w:rPr>
          <w:rFonts w:ascii="Times New Roman" w:hAnsi="Times New Roman"/>
          <w:color w:val="000000" w:themeColor="text1"/>
          <w:sz w:val="16"/>
          <w:szCs w:val="16"/>
        </w:rPr>
        <w:t>Политбюро ЦК ВКП (б) приняло постановление о пересмотре договоров о техническом содействии и порядке их заключения (12265).</w:t>
      </w:r>
    </w:p>
    <w:p w14:paraId="3A38893C"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57B5025B"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10 августа 1931 г. за рекордно короткий срок в 100 рабочих дней несмотря на высокую сложность технических задач, рабочий проект паровоза 1-5-1 был завершен.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56283ACB"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60646080"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05D6F7C7"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года новый паровоз ФД был представлен общественности.</w:t>
      </w:r>
    </w:p>
    <w:p w14:paraId="22EC48A3"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5DAB69A8"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14014712"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10104CBE"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Служебный вес паровоза: 134,4 т</w:t>
      </w:r>
    </w:p>
    <w:p w14:paraId="5C5CC846"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до 3100 л. с.</w:t>
      </w:r>
    </w:p>
    <w:p w14:paraId="6E7C088F"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Конструкционная скорость: 85 км/ч</w:t>
      </w:r>
    </w:p>
    <w:p w14:paraId="27613BB4" w14:textId="77777777" w:rsidR="00623D4C" w:rsidRPr="007122AB" w:rsidRDefault="00623D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  (21166).</w:t>
      </w:r>
    </w:p>
    <w:p w14:paraId="583C35A4" w14:textId="77777777" w:rsidR="00623D4C" w:rsidRPr="007122AB" w:rsidRDefault="00623D4C" w:rsidP="007122AB">
      <w:pPr>
        <w:spacing w:after="0" w:line="240" w:lineRule="auto"/>
        <w:jc w:val="both"/>
        <w:rPr>
          <w:rFonts w:ascii="Times New Roman" w:hAnsi="Times New Roman"/>
          <w:color w:val="000000" w:themeColor="text1"/>
          <w:sz w:val="16"/>
          <w:szCs w:val="16"/>
        </w:rPr>
      </w:pPr>
    </w:p>
    <w:p w14:paraId="25F58662" w14:textId="77777777" w:rsidR="008C31F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731314C" w14:textId="77777777" w:rsidR="008C31FB" w:rsidRPr="007122AB" w:rsidRDefault="008C31F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3D0655"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августа в 1931 году Институт экономики Комакадемии объединён с экономическим институтом красной профессуры (директор экономического института Комакадемии в 1932—1936 </w:t>
      </w:r>
      <w:proofErr w:type="spellStart"/>
      <w:r w:rsidRPr="007122AB">
        <w:rPr>
          <w:rFonts w:ascii="Times New Roman" w:hAnsi="Times New Roman"/>
          <w:color w:val="000000" w:themeColor="text1"/>
          <w:sz w:val="16"/>
          <w:szCs w:val="16"/>
        </w:rPr>
        <w:t>Квиринг</w:t>
      </w:r>
      <w:proofErr w:type="spellEnd"/>
      <w:r w:rsidRPr="007122AB">
        <w:rPr>
          <w:rFonts w:ascii="Times New Roman" w:hAnsi="Times New Roman"/>
          <w:color w:val="000000" w:themeColor="text1"/>
          <w:sz w:val="16"/>
          <w:szCs w:val="16"/>
        </w:rPr>
        <w:t xml:space="preserve">). В 1930 году в Москве основан Институт экономики Академии Наук СССР; теперь Институт Экономики Российской Академии Наук. Институт Экономики Российской Академии наук — научно-исследовательское учреждение (Москва). Был создан на базе экономической и кооперативной секций и присоединенного к ней Института экономики Российской ассоциации научно-исследовательских институтов общественных наук (РАНИОН) в Коммунистической академии. Награжден орденом Трудового Красного Знамени (1980). С 1922 года в Социалистической академии действовал кабинет экономики, предшественник Института экономики Комакадемии. 8 июля 1930 г. Институт экономики Комакадемии объединён с Институтом экономики РАНИОН. 15 февраля 1936 г. реорганизация Экономического и Аграрного институтов Комакадемии в единый Институт экономики с включением его в систему Академии Наук СССР. В 1941—1943 гг. институт находился в эвакуации в Алма-Ате. 4 октября 1947 г. Институт мирового хозяйства и мировой политики и Институт экономики были объединены в единый Институт экономики в системе Академии Наук СССР. В структуру института входят: Центр политико-экономических исследований; Центр инвестиций и инноваций; Центр макроэкономической стратегии; Центр исследований рынка труда и социальных процессов; Центр социально-экономических проблем федерализма; Центр институциональных и микроэкономических исследований; Центр финансово-банковских исследований; Центр информации. В 2005 г. было осуществлено объединение Института экономики и Института международных экономических и политических исследований (ИМЭПИ РАН, бывший Институт </w:t>
      </w:r>
      <w:r w:rsidRPr="007122AB">
        <w:rPr>
          <w:rFonts w:ascii="Times New Roman" w:hAnsi="Times New Roman"/>
          <w:color w:val="000000" w:themeColor="text1"/>
          <w:sz w:val="16"/>
          <w:szCs w:val="16"/>
        </w:rPr>
        <w:lastRenderedPageBreak/>
        <w:t>экономики мировой социалистической системы Академии наук СССР) — последний вошел в структуру Института экономики в качестве филиала под названием Отделение международных экономических и политических исследований (ОМЭПИ). В структуру отделения входит Центр внешнеэкономических исследований. Институт осуществляет подготовку аспирантов по специальностям: 08.00.01 — экономическая теория;08.00.05 — экономика и управление народным хозяйством; 08.00.10 — финансы, денежное обращение и кредит; 08.00.14 — мировая экономика и др. Институт является одним из учредителей журнала «Вопросы экономики» (14979).</w:t>
      </w:r>
    </w:p>
    <w:p w14:paraId="6128968F" w14:textId="77777777" w:rsidR="008C31FB" w:rsidRPr="007122AB" w:rsidRDefault="008C31FB" w:rsidP="007122AB">
      <w:pPr>
        <w:spacing w:after="0" w:line="240" w:lineRule="auto"/>
        <w:jc w:val="both"/>
        <w:rPr>
          <w:rFonts w:ascii="Times New Roman" w:hAnsi="Times New Roman"/>
          <w:color w:val="000000" w:themeColor="text1"/>
          <w:sz w:val="16"/>
          <w:szCs w:val="16"/>
        </w:rPr>
      </w:pPr>
    </w:p>
    <w:p w14:paraId="6D24E82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3BEC0C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AFD6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августа 1931 г. когда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в своих мемуарах по этому поводу писал: «С весны 1931 года французы то и дело безрезультатно пытались отколоть от нас Россию»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Симптоматичны в этой связи следующие слова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w:t>
      </w:r>
      <w:proofErr w:type="spellStart"/>
      <w:r w:rsidRPr="007122AB">
        <w:rPr>
          <w:rFonts w:ascii="Times New Roman" w:hAnsi="Times New Roman"/>
          <w:color w:val="000000" w:themeColor="text1"/>
          <w:sz w:val="16"/>
          <w:szCs w:val="16"/>
        </w:rPr>
        <w:t>соч</w:t>
      </w:r>
      <w:proofErr w:type="spellEnd"/>
      <w:r w:rsidRPr="007122AB">
        <w:rPr>
          <w:rFonts w:ascii="Times New Roman" w:hAnsi="Times New Roman"/>
          <w:color w:val="000000" w:themeColor="text1"/>
          <w:sz w:val="16"/>
          <w:szCs w:val="16"/>
        </w:rPr>
        <w:t>,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19BF9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D69EDF"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августа 1931 г. когда </w:t>
      </w:r>
      <w:proofErr w:type="spellStart"/>
      <w:r w:rsidRPr="007122AB">
        <w:rPr>
          <w:rFonts w:ascii="Times New Roman" w:hAnsi="Times New Roman"/>
          <w:color w:val="000000" w:themeColor="text1"/>
          <w:sz w:val="16"/>
          <w:szCs w:val="16"/>
        </w:rPr>
        <w:t>Бриан</w:t>
      </w:r>
      <w:proofErr w:type="spellEnd"/>
      <w:r w:rsidRPr="007122AB">
        <w:rPr>
          <w:rFonts w:ascii="Times New Roman" w:hAnsi="Times New Roman"/>
          <w:color w:val="000000" w:themeColor="text1"/>
          <w:sz w:val="16"/>
          <w:szCs w:val="16"/>
        </w:rPr>
        <w:t xml:space="preserve">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7599AF45" w14:textId="77777777" w:rsidR="00A77F55" w:rsidRPr="007122AB" w:rsidRDefault="00A77F5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3E5D73D" w14:textId="77777777" w:rsidR="00A77F55" w:rsidRPr="007122AB" w:rsidRDefault="00A77F55" w:rsidP="007122AB">
      <w:pPr>
        <w:spacing w:after="0" w:line="240" w:lineRule="auto"/>
        <w:jc w:val="both"/>
        <w:rPr>
          <w:rFonts w:ascii="Times New Roman" w:hAnsi="Times New Roman"/>
          <w:color w:val="000000" w:themeColor="text1"/>
          <w:sz w:val="16"/>
          <w:szCs w:val="16"/>
        </w:rPr>
      </w:pPr>
    </w:p>
    <w:p w14:paraId="6700871B" w14:textId="77777777" w:rsidR="00CE289C" w:rsidRPr="007122AB" w:rsidRDefault="00CE289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10 августа 1931 г. был парафирован договор о ненападении между СССР и Францией (Подробный анализ см.: </w:t>
      </w:r>
      <w:proofErr w:type="spellStart"/>
      <w:r w:rsidRPr="007122AB">
        <w:rPr>
          <w:rFonts w:ascii="Times New Roman" w:eastAsia="Times New Roman" w:hAnsi="Times New Roman"/>
          <w:color w:val="000000" w:themeColor="text1"/>
          <w:sz w:val="16"/>
          <w:szCs w:val="16"/>
          <w:lang w:eastAsia="ru-RU"/>
        </w:rPr>
        <w:t>Wo</w:t>
      </w:r>
      <w:proofErr w:type="spellEnd"/>
      <w:r w:rsidRPr="007122AB">
        <w:rPr>
          <w:rFonts w:ascii="Times New Roman" w:eastAsia="Times New Roman" w:hAnsi="Times New Roman"/>
          <w:color w:val="000000" w:themeColor="text1"/>
          <w:sz w:val="16"/>
          <w:szCs w:val="16"/>
          <w:lang w:val="en-US" w:eastAsia="ru-RU"/>
        </w:rPr>
        <w:t>l</w:t>
      </w:r>
      <w:proofErr w:type="spellStart"/>
      <w:r w:rsidRPr="007122AB">
        <w:rPr>
          <w:rFonts w:ascii="Times New Roman" w:eastAsia="Times New Roman" w:hAnsi="Times New Roman"/>
          <w:color w:val="000000" w:themeColor="text1"/>
          <w:sz w:val="16"/>
          <w:szCs w:val="16"/>
          <w:lang w:eastAsia="ru-RU"/>
        </w:rPr>
        <w:t>os</w:t>
      </w:r>
      <w:proofErr w:type="spellEnd"/>
      <w:r w:rsidRPr="007122AB">
        <w:rPr>
          <w:rFonts w:ascii="Times New Roman" w:eastAsia="Times New Roman" w:hAnsi="Times New Roman"/>
          <w:color w:val="000000" w:themeColor="text1"/>
          <w:sz w:val="16"/>
          <w:szCs w:val="16"/>
          <w:lang w:eastAsia="ru-RU"/>
        </w:rPr>
        <w:t xml:space="preserve"> М. </w:t>
      </w:r>
      <w:proofErr w:type="spellStart"/>
      <w:r w:rsidRPr="007122AB">
        <w:rPr>
          <w:rFonts w:ascii="Times New Roman" w:eastAsia="Times New Roman" w:hAnsi="Times New Roman"/>
          <w:color w:val="000000" w:themeColor="text1"/>
          <w:sz w:val="16"/>
          <w:szCs w:val="16"/>
          <w:lang w:eastAsia="ru-RU"/>
        </w:rPr>
        <w:t>Francja</w:t>
      </w:r>
      <w:proofErr w:type="spellEnd"/>
      <w:r w:rsidRPr="007122AB">
        <w:rPr>
          <w:rFonts w:ascii="Times New Roman" w:eastAsia="Times New Roman" w:hAnsi="Times New Roman"/>
          <w:color w:val="000000" w:themeColor="text1"/>
          <w:sz w:val="16"/>
          <w:szCs w:val="16"/>
          <w:lang w:eastAsia="ru-RU"/>
        </w:rPr>
        <w:t xml:space="preserve"> - ZSSR- </w:t>
      </w:r>
      <w:proofErr w:type="spellStart"/>
      <w:r w:rsidRPr="007122AB">
        <w:rPr>
          <w:rFonts w:ascii="Times New Roman" w:eastAsia="Times New Roman" w:hAnsi="Times New Roman"/>
          <w:color w:val="000000" w:themeColor="text1"/>
          <w:sz w:val="16"/>
          <w:szCs w:val="16"/>
          <w:lang w:eastAsia="ru-RU"/>
        </w:rPr>
        <w:t>Stosunki</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polityczne</w:t>
      </w:r>
      <w:proofErr w:type="spellEnd"/>
      <w:r w:rsidRPr="007122AB">
        <w:rPr>
          <w:rFonts w:ascii="Times New Roman" w:eastAsia="Times New Roman" w:hAnsi="Times New Roman"/>
          <w:color w:val="000000" w:themeColor="text1"/>
          <w:sz w:val="16"/>
          <w:szCs w:val="16"/>
          <w:lang w:eastAsia="ru-RU"/>
        </w:rPr>
        <w:t xml:space="preserve"> w </w:t>
      </w:r>
      <w:proofErr w:type="spellStart"/>
      <w:r w:rsidRPr="007122AB">
        <w:rPr>
          <w:rFonts w:ascii="Times New Roman" w:eastAsia="Times New Roman" w:hAnsi="Times New Roman"/>
          <w:color w:val="000000" w:themeColor="text1"/>
          <w:sz w:val="16"/>
          <w:szCs w:val="16"/>
          <w:lang w:eastAsia="ru-RU"/>
        </w:rPr>
        <w:t>latach</w:t>
      </w:r>
      <w:proofErr w:type="spellEnd"/>
      <w:r w:rsidRPr="007122AB">
        <w:rPr>
          <w:rFonts w:ascii="Times New Roman" w:eastAsia="Times New Roman" w:hAnsi="Times New Roman"/>
          <w:color w:val="000000" w:themeColor="text1"/>
          <w:sz w:val="16"/>
          <w:szCs w:val="16"/>
          <w:lang w:eastAsia="ru-RU"/>
        </w:rPr>
        <w:t xml:space="preserve"> 1924-1932. </w:t>
      </w:r>
      <w:proofErr w:type="spellStart"/>
      <w:r w:rsidRPr="007122AB">
        <w:rPr>
          <w:rFonts w:ascii="Times New Roman" w:eastAsia="Times New Roman" w:hAnsi="Times New Roman"/>
          <w:color w:val="000000" w:themeColor="text1"/>
          <w:sz w:val="16"/>
          <w:szCs w:val="16"/>
          <w:lang w:eastAsia="ru-RU"/>
        </w:rPr>
        <w:t>Torun</w:t>
      </w:r>
      <w:proofErr w:type="spellEnd"/>
      <w:r w:rsidRPr="007122AB">
        <w:rPr>
          <w:rFonts w:ascii="Times New Roman" w:eastAsia="Times New Roman" w:hAnsi="Times New Roman"/>
          <w:color w:val="000000" w:themeColor="text1"/>
          <w:sz w:val="16"/>
          <w:szCs w:val="16"/>
          <w:lang w:eastAsia="ru-RU"/>
        </w:rPr>
        <w:t xml:space="preserve">, 2004. S. 474-523) (22725). </w:t>
      </w:r>
    </w:p>
    <w:p w14:paraId="1A4BF42C" w14:textId="77777777" w:rsidR="00CE289C" w:rsidRPr="007122AB" w:rsidRDefault="00CE289C" w:rsidP="007122AB">
      <w:pPr>
        <w:spacing w:after="0" w:line="240" w:lineRule="auto"/>
        <w:jc w:val="both"/>
        <w:rPr>
          <w:rFonts w:ascii="Times New Roman" w:eastAsia="Times New Roman" w:hAnsi="Times New Roman"/>
          <w:color w:val="000000" w:themeColor="text1"/>
          <w:sz w:val="16"/>
          <w:szCs w:val="16"/>
          <w:lang w:eastAsia="ru-RU"/>
        </w:rPr>
      </w:pPr>
    </w:p>
    <w:p w14:paraId="437F0BA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BEF3DB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1E8D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августа 1931 г. первый в мире самолёт подобной схемы - моно</w:t>
      </w:r>
      <w:r w:rsidRPr="007122AB">
        <w:rPr>
          <w:rFonts w:ascii="Times New Roman" w:hAnsi="Times New Roman"/>
          <w:color w:val="000000" w:themeColor="text1"/>
          <w:sz w:val="16"/>
          <w:szCs w:val="16"/>
        </w:rPr>
        <w:softHyphen/>
        <w:t>план Мак. 10 с двигателем 1оггате Ю.12Ь — поднялся в воздух. В 1921 г. Махонин вместе с се</w:t>
      </w:r>
      <w:r w:rsidRPr="007122AB">
        <w:rPr>
          <w:rFonts w:ascii="Times New Roman" w:hAnsi="Times New Roman"/>
          <w:color w:val="000000" w:themeColor="text1"/>
          <w:sz w:val="16"/>
          <w:szCs w:val="16"/>
        </w:rPr>
        <w:softHyphen/>
        <w:t>мьёй эмигрировал во Францию и сумел создать успешную авиастро</w:t>
      </w:r>
      <w:r w:rsidRPr="007122AB">
        <w:rPr>
          <w:rFonts w:ascii="Times New Roman" w:hAnsi="Times New Roman"/>
          <w:color w:val="000000" w:themeColor="text1"/>
          <w:sz w:val="16"/>
          <w:szCs w:val="16"/>
        </w:rPr>
        <w:softHyphen/>
        <w:t>ительную фирму. Завод Махонина серийно выпускал бесхвостые пла</w:t>
      </w:r>
      <w:r w:rsidRPr="007122AB">
        <w:rPr>
          <w:rFonts w:ascii="Times New Roman" w:hAnsi="Times New Roman"/>
          <w:color w:val="000000" w:themeColor="text1"/>
          <w:sz w:val="16"/>
          <w:szCs w:val="16"/>
        </w:rPr>
        <w:softHyphen/>
        <w:t xml:space="preserve">неры </w:t>
      </w:r>
      <w:proofErr w:type="spellStart"/>
      <w:r w:rsidRPr="007122AB">
        <w:rPr>
          <w:rFonts w:ascii="Times New Roman" w:hAnsi="Times New Roman"/>
          <w:color w:val="000000" w:themeColor="text1"/>
          <w:sz w:val="16"/>
          <w:szCs w:val="16"/>
        </w:rPr>
        <w:t>Фовеля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Раиуе</w:t>
      </w:r>
      <w:proofErr w:type="spellEnd"/>
      <w:r w:rsidRPr="007122AB">
        <w:rPr>
          <w:rFonts w:ascii="Times New Roman" w:hAnsi="Times New Roman"/>
          <w:color w:val="000000" w:themeColor="text1"/>
          <w:sz w:val="16"/>
          <w:szCs w:val="16"/>
        </w:rPr>
        <w:t>!). Сам же вла</w:t>
      </w:r>
      <w:r w:rsidRPr="007122AB">
        <w:rPr>
          <w:rFonts w:ascii="Times New Roman" w:hAnsi="Times New Roman"/>
          <w:color w:val="000000" w:themeColor="text1"/>
          <w:sz w:val="16"/>
          <w:szCs w:val="16"/>
        </w:rPr>
        <w:softHyphen/>
        <w:t xml:space="preserve">делец в 1929 г. получил патент на самолёт с раздвижным крылом. Если </w:t>
      </w:r>
      <w:proofErr w:type="spellStart"/>
      <w:r w:rsidRPr="007122AB">
        <w:rPr>
          <w:rFonts w:ascii="Times New Roman" w:hAnsi="Times New Roman"/>
          <w:color w:val="000000" w:themeColor="text1"/>
          <w:sz w:val="16"/>
          <w:szCs w:val="16"/>
        </w:rPr>
        <w:t>Бакшаев</w:t>
      </w:r>
      <w:proofErr w:type="spellEnd"/>
      <w:r w:rsidRPr="007122AB">
        <w:rPr>
          <w:rFonts w:ascii="Times New Roman" w:hAnsi="Times New Roman"/>
          <w:color w:val="000000" w:themeColor="text1"/>
          <w:sz w:val="16"/>
          <w:szCs w:val="16"/>
        </w:rPr>
        <w:t xml:space="preserve"> надвигал на кры</w:t>
      </w:r>
      <w:r w:rsidRPr="007122AB">
        <w:rPr>
          <w:rFonts w:ascii="Times New Roman" w:hAnsi="Times New Roman"/>
          <w:color w:val="000000" w:themeColor="text1"/>
          <w:sz w:val="16"/>
          <w:szCs w:val="16"/>
        </w:rPr>
        <w:softHyphen/>
        <w:t>ло дополнительные секции от бор</w:t>
      </w:r>
      <w:r w:rsidRPr="007122AB">
        <w:rPr>
          <w:rFonts w:ascii="Times New Roman" w:hAnsi="Times New Roman"/>
          <w:color w:val="000000" w:themeColor="text1"/>
          <w:sz w:val="16"/>
          <w:szCs w:val="16"/>
        </w:rPr>
        <w:softHyphen/>
        <w:t>тов фюзеляжа, то у Махонина уд</w:t>
      </w:r>
      <w:r w:rsidRPr="007122AB">
        <w:rPr>
          <w:rFonts w:ascii="Times New Roman" w:hAnsi="Times New Roman"/>
          <w:color w:val="000000" w:themeColor="text1"/>
          <w:sz w:val="16"/>
          <w:szCs w:val="16"/>
        </w:rPr>
        <w:softHyphen/>
        <w:t xml:space="preserve">линённые консоли выдвигались из </w:t>
      </w:r>
      <w:proofErr w:type="spellStart"/>
      <w:r w:rsidRPr="007122AB">
        <w:rPr>
          <w:rFonts w:ascii="Times New Roman" w:hAnsi="Times New Roman"/>
          <w:color w:val="000000" w:themeColor="text1"/>
          <w:sz w:val="16"/>
          <w:szCs w:val="16"/>
        </w:rPr>
        <w:t>законцовок</w:t>
      </w:r>
      <w:proofErr w:type="spellEnd"/>
      <w:r w:rsidRPr="007122AB">
        <w:rPr>
          <w:rFonts w:ascii="Times New Roman" w:hAnsi="Times New Roman"/>
          <w:color w:val="000000" w:themeColor="text1"/>
          <w:sz w:val="16"/>
          <w:szCs w:val="16"/>
        </w:rPr>
        <w:t xml:space="preserve"> крыла. В результате росла не только площадь, но и уд</w:t>
      </w:r>
      <w:r w:rsidRPr="007122AB">
        <w:rPr>
          <w:rFonts w:ascii="Times New Roman" w:hAnsi="Times New Roman"/>
          <w:color w:val="000000" w:themeColor="text1"/>
          <w:sz w:val="16"/>
          <w:szCs w:val="16"/>
        </w:rPr>
        <w:softHyphen/>
        <w:t>линение крыла (что сказывалось на уменьшении индуктивного сопро</w:t>
      </w:r>
      <w:r w:rsidRPr="007122AB">
        <w:rPr>
          <w:rFonts w:ascii="Times New Roman" w:hAnsi="Times New Roman"/>
          <w:color w:val="000000" w:themeColor="text1"/>
          <w:sz w:val="16"/>
          <w:szCs w:val="16"/>
        </w:rPr>
        <w:softHyphen/>
        <w:t>тивления). В 1935 г. появился еще один «раздвижной» самолёт Мак.101 с мощным мотором Споте-</w:t>
      </w:r>
      <w:proofErr w:type="spellStart"/>
      <w:r w:rsidRPr="007122AB">
        <w:rPr>
          <w:rFonts w:ascii="Times New Roman" w:hAnsi="Times New Roman"/>
          <w:color w:val="000000" w:themeColor="text1"/>
          <w:sz w:val="16"/>
          <w:szCs w:val="16"/>
        </w:rPr>
        <w:t>КЬопе</w:t>
      </w:r>
      <w:proofErr w:type="spellEnd"/>
      <w:r w:rsidRPr="007122AB">
        <w:rPr>
          <w:rFonts w:ascii="Times New Roman" w:hAnsi="Times New Roman"/>
          <w:color w:val="000000" w:themeColor="text1"/>
          <w:sz w:val="16"/>
          <w:szCs w:val="16"/>
        </w:rPr>
        <w:t xml:space="preserve"> К14 и убирающимися шасси - явная заявка на прототип истребителя. Но, как и </w:t>
      </w:r>
      <w:proofErr w:type="spellStart"/>
      <w:r w:rsidRPr="007122AB">
        <w:rPr>
          <w:rFonts w:ascii="Times New Roman" w:hAnsi="Times New Roman"/>
          <w:color w:val="000000" w:themeColor="text1"/>
          <w:sz w:val="16"/>
          <w:szCs w:val="16"/>
        </w:rPr>
        <w:t>Бакшаев</w:t>
      </w:r>
      <w:proofErr w:type="spellEnd"/>
      <w:r w:rsidRPr="007122AB">
        <w:rPr>
          <w:rFonts w:ascii="Times New Roman" w:hAnsi="Times New Roman"/>
          <w:color w:val="000000" w:themeColor="text1"/>
          <w:sz w:val="16"/>
          <w:szCs w:val="16"/>
        </w:rPr>
        <w:t>, заинтересо</w:t>
      </w:r>
      <w:r w:rsidRPr="007122AB">
        <w:rPr>
          <w:rFonts w:ascii="Times New Roman" w:hAnsi="Times New Roman"/>
          <w:color w:val="000000" w:themeColor="text1"/>
          <w:sz w:val="16"/>
          <w:szCs w:val="16"/>
        </w:rPr>
        <w:softHyphen/>
        <w:t>вать в те годы своими идеями пра</w:t>
      </w:r>
      <w:r w:rsidRPr="007122AB">
        <w:rPr>
          <w:rFonts w:ascii="Times New Roman" w:hAnsi="Times New Roman"/>
          <w:color w:val="000000" w:themeColor="text1"/>
          <w:sz w:val="16"/>
          <w:szCs w:val="16"/>
        </w:rPr>
        <w:softHyphen/>
        <w:t>вительство или военных Махонин не смог. И хотя в 1947 г. он постро</w:t>
      </w:r>
      <w:r w:rsidRPr="007122AB">
        <w:rPr>
          <w:rFonts w:ascii="Times New Roman" w:hAnsi="Times New Roman"/>
          <w:color w:val="000000" w:themeColor="text1"/>
          <w:sz w:val="16"/>
          <w:szCs w:val="16"/>
        </w:rPr>
        <w:softHyphen/>
        <w:t>ил ещё один самолет подобной схе</w:t>
      </w:r>
      <w:r w:rsidRPr="007122AB">
        <w:rPr>
          <w:rFonts w:ascii="Times New Roman" w:hAnsi="Times New Roman"/>
          <w:color w:val="000000" w:themeColor="text1"/>
          <w:sz w:val="16"/>
          <w:szCs w:val="16"/>
        </w:rPr>
        <w:softHyphen/>
        <w:t>мы (Мак.123 с трофейным двигате</w:t>
      </w:r>
      <w:r w:rsidRPr="007122AB">
        <w:rPr>
          <w:rFonts w:ascii="Times New Roman" w:hAnsi="Times New Roman"/>
          <w:color w:val="000000" w:themeColor="text1"/>
          <w:sz w:val="16"/>
          <w:szCs w:val="16"/>
        </w:rPr>
        <w:softHyphen/>
        <w:t>лем ВМ\А/-80Ш), все его летатель</w:t>
      </w:r>
      <w:r w:rsidRPr="007122AB">
        <w:rPr>
          <w:rFonts w:ascii="Times New Roman" w:hAnsi="Times New Roman"/>
          <w:color w:val="000000" w:themeColor="text1"/>
          <w:sz w:val="16"/>
          <w:szCs w:val="16"/>
        </w:rPr>
        <w:softHyphen/>
        <w:t>ные аппараты так и остались опыт</w:t>
      </w:r>
      <w:r w:rsidRPr="007122AB">
        <w:rPr>
          <w:rFonts w:ascii="Times New Roman" w:hAnsi="Times New Roman"/>
          <w:color w:val="000000" w:themeColor="text1"/>
          <w:sz w:val="16"/>
          <w:szCs w:val="16"/>
        </w:rPr>
        <w:softHyphen/>
        <w:t>ными конструкциями. Идея изменения площади и даже формы крыла вновь оказалась вос</w:t>
      </w:r>
      <w:r w:rsidRPr="007122AB">
        <w:rPr>
          <w:rFonts w:ascii="Times New Roman" w:hAnsi="Times New Roman"/>
          <w:color w:val="000000" w:themeColor="text1"/>
          <w:sz w:val="16"/>
          <w:szCs w:val="16"/>
        </w:rPr>
        <w:softHyphen/>
        <w:t>требованной позднее, в 1960-е годы, когда во многих странах по</w:t>
      </w:r>
      <w:r w:rsidRPr="007122AB">
        <w:rPr>
          <w:rFonts w:ascii="Times New Roman" w:hAnsi="Times New Roman"/>
          <w:color w:val="000000" w:themeColor="text1"/>
          <w:sz w:val="16"/>
          <w:szCs w:val="16"/>
        </w:rPr>
        <w:softHyphen/>
        <w:t>явились сверхзвуковые самолёты с большой скоростью полета (11846).</w:t>
      </w:r>
    </w:p>
    <w:p w14:paraId="4320F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53D7E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58DFE8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6B2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августа 1931 г. закончились испытания самолета И5 N 5 с ЮVI с утоненными консолями, которые проходили с 31 июля 1931.</w:t>
      </w:r>
    </w:p>
    <w:p w14:paraId="71CED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26DFF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на штопор.</w:t>
      </w:r>
    </w:p>
    <w:p w14:paraId="7948FD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вывод</w:t>
      </w:r>
    </w:p>
    <w:p w14:paraId="00249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180505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13C0E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- 9</w:t>
      </w:r>
    </w:p>
    <w:p w14:paraId="69C730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- 4 час. 10 мин. (3289,84-95).</w:t>
      </w:r>
    </w:p>
    <w:p w14:paraId="19A61B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02E630" w14:textId="77777777" w:rsidR="008B2BB8" w:rsidRPr="00441F34" w:rsidRDefault="008B2BB8" w:rsidP="008B2B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августа 1931 г., когда Государственные испытания И-7 только начались, на совещание по типам самолетов у начальника ВВС Баранова постановили оставить в плане заказов 1932 г. истребитель И-7 наряду с отечественным И-5, при этом в дополнение к выпуску самолета И-7 на заводе №1 в Москве, развернуть его серийное производство и на заводе №135 в Харькове.</w:t>
      </w:r>
    </w:p>
    <w:p w14:paraId="1645ADBC" w14:textId="77777777" w:rsidR="008B2BB8" w:rsidRPr="00441F34" w:rsidRDefault="008B2BB8" w:rsidP="008B2B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Приводимые в ряде источников сведения о выпуске самолетов И-7 на заводе №292 в г. Саратов (перепрофилирован из завода сельхозтехники «</w:t>
      </w:r>
      <w:proofErr w:type="spellStart"/>
      <w:r w:rsidRPr="00441F34">
        <w:rPr>
          <w:rFonts w:ascii="Times New Roman" w:hAnsi="Times New Roman"/>
          <w:color w:val="0070C0"/>
          <w:sz w:val="16"/>
          <w:szCs w:val="16"/>
        </w:rPr>
        <w:t>Стройкомбайн</w:t>
      </w:r>
      <w:proofErr w:type="spellEnd"/>
      <w:r w:rsidRPr="00441F34">
        <w:rPr>
          <w:rFonts w:ascii="Times New Roman" w:hAnsi="Times New Roman"/>
          <w:color w:val="0070C0"/>
          <w:sz w:val="16"/>
          <w:szCs w:val="16"/>
        </w:rPr>
        <w:t>» или «</w:t>
      </w:r>
      <w:proofErr w:type="spellStart"/>
      <w:r w:rsidRPr="00441F34">
        <w:rPr>
          <w:rFonts w:ascii="Times New Roman" w:hAnsi="Times New Roman"/>
          <w:color w:val="0070C0"/>
          <w:sz w:val="16"/>
          <w:szCs w:val="16"/>
        </w:rPr>
        <w:t>Саркомбайн</w:t>
      </w:r>
      <w:proofErr w:type="spellEnd"/>
      <w:r w:rsidRPr="00441F34">
        <w:rPr>
          <w:rFonts w:ascii="Times New Roman" w:hAnsi="Times New Roman"/>
          <w:color w:val="0070C0"/>
          <w:sz w:val="16"/>
          <w:szCs w:val="16"/>
        </w:rPr>
        <w:t>», передан ВАО решением от 31.12.31 г.) ничем не подтверждены и сомнительны, т.к. завод удалось укомплектовать оборудованием I очереди и ввести в строй только в 1937-1938 г. и тогда он приступив к выпуску самолетов Р-10 (24331).</w:t>
      </w:r>
    </w:p>
    <w:p w14:paraId="0A26C72A" w14:textId="77777777" w:rsidR="008B2BB8" w:rsidRPr="00441F34" w:rsidRDefault="008B2BB8" w:rsidP="008B2BB8">
      <w:pPr>
        <w:spacing w:after="0" w:line="240" w:lineRule="auto"/>
        <w:jc w:val="both"/>
        <w:rPr>
          <w:rFonts w:ascii="Times New Roman" w:hAnsi="Times New Roman"/>
          <w:color w:val="0070C0"/>
          <w:sz w:val="16"/>
          <w:szCs w:val="16"/>
        </w:rPr>
      </w:pPr>
    </w:p>
    <w:p w14:paraId="3111FCFF" w14:textId="77777777" w:rsidR="008B2BB8" w:rsidRPr="00441F34" w:rsidRDefault="008B2BB8" w:rsidP="008B2B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11 по 16 августа 1931 г. на Государственных испытаниях самолета И-7 за пять летных дней сделано 24 полета общей продолжительностью 11 час. 40 мин. (24331).</w:t>
      </w:r>
    </w:p>
    <w:p w14:paraId="1A23991B" w14:textId="77777777" w:rsidR="008B2BB8" w:rsidRPr="00441F34" w:rsidRDefault="008B2BB8" w:rsidP="008B2BB8">
      <w:pPr>
        <w:spacing w:after="0" w:line="240" w:lineRule="auto"/>
        <w:jc w:val="both"/>
        <w:rPr>
          <w:rFonts w:ascii="Times New Roman" w:hAnsi="Times New Roman"/>
          <w:color w:val="0070C0"/>
          <w:sz w:val="16"/>
          <w:szCs w:val="16"/>
        </w:rPr>
      </w:pPr>
    </w:p>
    <w:p w14:paraId="1481D8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августа 1931 г. в кабинете начальника ЦАГИ </w:t>
      </w:r>
      <w:proofErr w:type="spellStart"/>
      <w:r w:rsidRPr="007122AB">
        <w:rPr>
          <w:rFonts w:ascii="Times New Roman" w:hAnsi="Times New Roman"/>
          <w:color w:val="000000" w:themeColor="text1"/>
          <w:sz w:val="16"/>
          <w:szCs w:val="16"/>
        </w:rPr>
        <w:t>Н.М.Харламова</w:t>
      </w:r>
      <w:proofErr w:type="spellEnd"/>
      <w:r w:rsidRPr="007122AB">
        <w:rPr>
          <w:rFonts w:ascii="Times New Roman" w:hAnsi="Times New Roman"/>
          <w:color w:val="000000" w:themeColor="text1"/>
          <w:sz w:val="16"/>
          <w:szCs w:val="16"/>
        </w:rPr>
        <w:t xml:space="preserve"> состоялось специальное совещание о мероприятиях по переводу серийного производства Р-5 на разрезные крылья. На нем присутствовал начальник 3-й бригады ЦКБ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По ряду причин в дальнейшем в этих работах Николай Николаевич непо</w:t>
      </w:r>
      <w:r w:rsidRPr="007122AB">
        <w:rPr>
          <w:rFonts w:ascii="Times New Roman" w:hAnsi="Times New Roman"/>
          <w:color w:val="000000" w:themeColor="text1"/>
          <w:sz w:val="16"/>
          <w:szCs w:val="16"/>
        </w:rPr>
        <w:softHyphen/>
        <w:t>средственного участия не принимал, хотя и консульти</w:t>
      </w:r>
      <w:r w:rsidRPr="007122AB">
        <w:rPr>
          <w:rFonts w:ascii="Times New Roman" w:hAnsi="Times New Roman"/>
          <w:color w:val="000000" w:themeColor="text1"/>
          <w:sz w:val="16"/>
          <w:szCs w:val="16"/>
        </w:rPr>
        <w:softHyphen/>
        <w:t xml:space="preserve">ровал проектирование. Верхнее крыло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коробки Р-5 было почти прямоугольной формы. На нем установили автомати</w:t>
      </w:r>
      <w:r w:rsidRPr="007122AB">
        <w:rPr>
          <w:rFonts w:ascii="Times New Roman" w:hAnsi="Times New Roman"/>
          <w:color w:val="000000" w:themeColor="text1"/>
          <w:sz w:val="16"/>
          <w:szCs w:val="16"/>
        </w:rPr>
        <w:softHyphen/>
        <w:t>ческие предкрылки. Кроме того, на верхнем и нижнем крыльях имелись щитки-закрылки (10667).</w:t>
      </w:r>
    </w:p>
    <w:p w14:paraId="5460653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E15E7" w14:textId="77777777" w:rsidR="00C6668D" w:rsidRPr="007122AB" w:rsidRDefault="00C666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августа 1931 г. на совещании в УВВС было решено заказать войсковую серию до 12 самолетов И-12 (АНТ-23) в случае удовлетворительных результатов от испытания этой машины.   Результаты испытаний были неудовлетворительными, и заказ дан не был (23136).</w:t>
      </w:r>
    </w:p>
    <w:p w14:paraId="4EEB3946" w14:textId="77777777" w:rsidR="00C6668D" w:rsidRPr="007122AB" w:rsidRDefault="00C6668D" w:rsidP="007122AB">
      <w:pPr>
        <w:spacing w:after="0" w:line="240" w:lineRule="auto"/>
        <w:jc w:val="both"/>
        <w:rPr>
          <w:rFonts w:ascii="Times New Roman" w:hAnsi="Times New Roman"/>
          <w:color w:val="000000" w:themeColor="text1"/>
          <w:sz w:val="16"/>
          <w:szCs w:val="16"/>
        </w:rPr>
      </w:pPr>
    </w:p>
    <w:p w14:paraId="1117C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августа 1931 года состоялось совещание по типам самолетов у начальника ВВС.</w:t>
      </w:r>
    </w:p>
    <w:p w14:paraId="587FF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Сухопутные самолеты:</w:t>
      </w:r>
    </w:p>
    <w:p w14:paraId="3F7243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Истребители:</w:t>
      </w:r>
    </w:p>
    <w:p w14:paraId="1D9E37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Оставить в плане заказов 1932 года И5 и И7.</w:t>
      </w:r>
    </w:p>
    <w:p w14:paraId="59CBC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Штурмовики:</w:t>
      </w:r>
    </w:p>
    <w:p w14:paraId="789717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Принимая во внимание, что ТШ под М-27 даст, по-видимому, небольшое улучшение по сравнению с ТШ под М17 (большой вес, габариты, обороты, расход горючего) и, так как ТШ под М-17 имеет преимущество в виде простого и быстрого перевооружения под мотор м-34, несомненно лучший, чем М-27, производить ТШ под М-17 с последующим переходом самолетов под М-34.</w:t>
      </w:r>
    </w:p>
    <w:p w14:paraId="576A44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Разведчики:</w:t>
      </w:r>
    </w:p>
    <w:p w14:paraId="22DC74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Иметь в плане один тип Р-5, он же легкий бомбардировщик.</w:t>
      </w:r>
    </w:p>
    <w:p w14:paraId="7E762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Тяжелые самолеты:</w:t>
      </w:r>
    </w:p>
    <w:p w14:paraId="14C47D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Иметь в плане заказов ТБ-3 и Р-6.</w:t>
      </w:r>
    </w:p>
    <w:p w14:paraId="51004F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Учебные самолеты:</w:t>
      </w:r>
    </w:p>
    <w:p w14:paraId="13ED0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Иметь У-2.</w:t>
      </w:r>
    </w:p>
    <w:p w14:paraId="07302A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 в том в каком он предъявлен на гос. испытания, в производство не внедрять, по получении нового более современного типа 2 местного истребителя, поставить вопрос о его внедрении в серию.</w:t>
      </w:r>
    </w:p>
    <w:p w14:paraId="5DD4F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с производства по плану 1932 года снять, заменив Р-6.</w:t>
      </w:r>
    </w:p>
    <w:p w14:paraId="4E000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Заказать в опытных сериях следующие типы самолетов:</w:t>
      </w:r>
    </w:p>
    <w:p w14:paraId="726CC3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 примерно на 1 эскадрилью, в количестве 12 шт.</w:t>
      </w:r>
    </w:p>
    <w:p w14:paraId="51A59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Перехватчик (N 7) - на 2 </w:t>
      </w:r>
      <w:proofErr w:type="spellStart"/>
      <w:r w:rsidRPr="007122AB">
        <w:rPr>
          <w:rFonts w:ascii="Times New Roman" w:hAnsi="Times New Roman"/>
          <w:color w:val="000000" w:themeColor="text1"/>
          <w:sz w:val="16"/>
          <w:szCs w:val="16"/>
        </w:rPr>
        <w:t>эск</w:t>
      </w:r>
      <w:proofErr w:type="spellEnd"/>
      <w:r w:rsidRPr="007122AB">
        <w:rPr>
          <w:rFonts w:ascii="Times New Roman" w:hAnsi="Times New Roman"/>
          <w:color w:val="000000" w:themeColor="text1"/>
          <w:sz w:val="16"/>
          <w:szCs w:val="16"/>
        </w:rPr>
        <w:t>. в количестве 75 шт.</w:t>
      </w:r>
    </w:p>
    <w:p w14:paraId="58B942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 в небольшой опытной серии (до 12 шт.) в случае получения более или менее удовлетворит. результатов от испытания этой машины.</w:t>
      </w:r>
    </w:p>
    <w:p w14:paraId="56385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Морские:</w:t>
      </w:r>
    </w:p>
    <w:p w14:paraId="4ABE19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Савойя 62 бис, как основной, под АССО с последующим переходом на М-34, отказавшись от М-27.</w:t>
      </w:r>
    </w:p>
    <w:p w14:paraId="79E23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 в качестве основного типа дальнего морского разведчика, отказавшись от МДР-2.</w:t>
      </w:r>
    </w:p>
    <w:p w14:paraId="766B8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Тяжелую морскую авиацию вооружать ТБ3 или Р6 в зависимости от назначения, или на колесах или на поплавках.</w:t>
      </w:r>
    </w:p>
    <w:p w14:paraId="15E3C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Поставить в план в качестве учебного самолета М-У2. Допустить опытную серию Шаврова в качестве самолета связи и сопровождения в болотистых районах.</w:t>
      </w:r>
    </w:p>
    <w:p w14:paraId="5D9F7D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на поплавках в качестве опытной серии.</w:t>
      </w:r>
    </w:p>
    <w:p w14:paraId="4AAB9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А1 - в качестве опытной серии.</w:t>
      </w:r>
    </w:p>
    <w:p w14:paraId="351608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Поплавки и шасси к Р-6 (</w:t>
      </w:r>
      <w:proofErr w:type="spellStart"/>
      <w:r w:rsidRPr="007122AB">
        <w:rPr>
          <w:rFonts w:ascii="Times New Roman" w:hAnsi="Times New Roman"/>
          <w:color w:val="000000" w:themeColor="text1"/>
          <w:sz w:val="16"/>
          <w:szCs w:val="16"/>
        </w:rPr>
        <w:t>опытн</w:t>
      </w:r>
      <w:proofErr w:type="spellEnd"/>
      <w:r w:rsidRPr="007122AB">
        <w:rPr>
          <w:rFonts w:ascii="Times New Roman" w:hAnsi="Times New Roman"/>
          <w:color w:val="000000" w:themeColor="text1"/>
          <w:sz w:val="16"/>
          <w:szCs w:val="16"/>
        </w:rPr>
        <w:t>. экз.).</w:t>
      </w:r>
    </w:p>
    <w:p w14:paraId="294B03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заводам:</w:t>
      </w:r>
    </w:p>
    <w:p w14:paraId="3DCEE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Поставить производство: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002C3" w:rsidRPr="007122AB" w14:paraId="1CD3B569" w14:textId="77777777">
        <w:tc>
          <w:tcPr>
            <w:tcW w:w="3757" w:type="dxa"/>
          </w:tcPr>
          <w:p w14:paraId="45466F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w:t>
            </w:r>
          </w:p>
        </w:tc>
        <w:tc>
          <w:tcPr>
            <w:tcW w:w="3757" w:type="dxa"/>
          </w:tcPr>
          <w:p w14:paraId="3A384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398A151" w14:textId="77777777">
        <w:tc>
          <w:tcPr>
            <w:tcW w:w="3757" w:type="dxa"/>
          </w:tcPr>
          <w:p w14:paraId="00E34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1</w:t>
            </w:r>
          </w:p>
        </w:tc>
        <w:tc>
          <w:tcPr>
            <w:tcW w:w="3757" w:type="dxa"/>
          </w:tcPr>
          <w:p w14:paraId="293439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и ТШ</w:t>
            </w:r>
          </w:p>
        </w:tc>
      </w:tr>
      <w:tr w:rsidR="001002C3" w:rsidRPr="007122AB" w14:paraId="1729B877" w14:textId="77777777">
        <w:tc>
          <w:tcPr>
            <w:tcW w:w="3757" w:type="dxa"/>
          </w:tcPr>
          <w:p w14:paraId="21717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21</w:t>
            </w:r>
          </w:p>
        </w:tc>
        <w:tc>
          <w:tcPr>
            <w:tcW w:w="3757" w:type="dxa"/>
          </w:tcPr>
          <w:p w14:paraId="19EC3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 учебных</w:t>
            </w:r>
          </w:p>
        </w:tc>
      </w:tr>
      <w:tr w:rsidR="001002C3" w:rsidRPr="007122AB" w14:paraId="19E24B9D" w14:textId="77777777">
        <w:tc>
          <w:tcPr>
            <w:tcW w:w="3757" w:type="dxa"/>
          </w:tcPr>
          <w:p w14:paraId="36967B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22</w:t>
            </w:r>
          </w:p>
        </w:tc>
        <w:tc>
          <w:tcPr>
            <w:tcW w:w="3757" w:type="dxa"/>
          </w:tcPr>
          <w:p w14:paraId="45F9C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ТБ3, АНТ-9</w:t>
            </w:r>
          </w:p>
        </w:tc>
      </w:tr>
      <w:tr w:rsidR="001002C3" w:rsidRPr="007122AB" w14:paraId="49D424BB" w14:textId="77777777">
        <w:tc>
          <w:tcPr>
            <w:tcW w:w="3757" w:type="dxa"/>
          </w:tcPr>
          <w:p w14:paraId="197B7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N 23 </w:t>
            </w:r>
          </w:p>
        </w:tc>
        <w:tc>
          <w:tcPr>
            <w:tcW w:w="3757" w:type="dxa"/>
          </w:tcPr>
          <w:p w14:paraId="31A95F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МУ2</w:t>
            </w:r>
          </w:p>
        </w:tc>
      </w:tr>
      <w:tr w:rsidR="001002C3" w:rsidRPr="007122AB" w14:paraId="1582614C" w14:textId="77777777">
        <w:tc>
          <w:tcPr>
            <w:tcW w:w="3757" w:type="dxa"/>
          </w:tcPr>
          <w:p w14:paraId="6A9200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31</w:t>
            </w:r>
          </w:p>
        </w:tc>
        <w:tc>
          <w:tcPr>
            <w:tcW w:w="3757" w:type="dxa"/>
          </w:tcPr>
          <w:p w14:paraId="7E1C0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 Савойя, поплавки ХАЗ К5, И7.</w:t>
            </w:r>
          </w:p>
        </w:tc>
      </w:tr>
    </w:tbl>
    <w:p w14:paraId="45DB6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Гражданские самолеты:</w:t>
      </w:r>
    </w:p>
    <w:p w14:paraId="0C018C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Допустить в качестве гражданских самолетов следующие типы:</w:t>
      </w:r>
    </w:p>
    <w:p w14:paraId="3289FE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 под М-26, с постановкой производства опытных экз. под М-22.</w:t>
      </w:r>
    </w:p>
    <w:p w14:paraId="72FB30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К5 - под М-15.</w:t>
      </w:r>
    </w:p>
    <w:p w14:paraId="297F6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в качестве пассажирской машины.</w:t>
      </w:r>
    </w:p>
    <w:p w14:paraId="1806C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морского пассажирского самолета иметь МДР-3.</w:t>
      </w:r>
    </w:p>
    <w:p w14:paraId="56F91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202"/>
      </w:tblGrid>
      <w:tr w:rsidR="001002C3" w:rsidRPr="007122AB" w14:paraId="079616DB" w14:textId="77777777">
        <w:tc>
          <w:tcPr>
            <w:tcW w:w="2254" w:type="dxa"/>
          </w:tcPr>
          <w:p w14:paraId="2CF35A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w:t>
            </w:r>
          </w:p>
        </w:tc>
        <w:tc>
          <w:tcPr>
            <w:tcW w:w="8202" w:type="dxa"/>
          </w:tcPr>
          <w:p w14:paraId="0EEF2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F43A4E" w14:textId="77777777">
        <w:tc>
          <w:tcPr>
            <w:tcW w:w="2254" w:type="dxa"/>
          </w:tcPr>
          <w:p w14:paraId="23F78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26</w:t>
            </w:r>
          </w:p>
        </w:tc>
        <w:tc>
          <w:tcPr>
            <w:tcW w:w="8202" w:type="dxa"/>
          </w:tcPr>
          <w:p w14:paraId="6B05CF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 каковой считать на 1932 год основным для этого завода.</w:t>
            </w:r>
          </w:p>
        </w:tc>
      </w:tr>
      <w:tr w:rsidR="001002C3" w:rsidRPr="007122AB" w14:paraId="37F83FF5" w14:textId="77777777">
        <w:tc>
          <w:tcPr>
            <w:tcW w:w="2254" w:type="dxa"/>
          </w:tcPr>
          <w:p w14:paraId="2C6D9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24</w:t>
            </w:r>
          </w:p>
        </w:tc>
        <w:tc>
          <w:tcPr>
            <w:tcW w:w="8202" w:type="dxa"/>
          </w:tcPr>
          <w:p w14:paraId="04973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Основным для этого завода считать М-34, затем ФЭД в виде </w:t>
            </w:r>
            <w:proofErr w:type="spellStart"/>
            <w:r w:rsidRPr="007122AB">
              <w:rPr>
                <w:rFonts w:ascii="Times New Roman" w:hAnsi="Times New Roman"/>
                <w:color w:val="000000" w:themeColor="text1"/>
                <w:sz w:val="16"/>
                <w:szCs w:val="16"/>
              </w:rPr>
              <w:t>опытн</w:t>
            </w:r>
            <w:proofErr w:type="spellEnd"/>
            <w:r w:rsidRPr="007122AB">
              <w:rPr>
                <w:rFonts w:ascii="Times New Roman" w:hAnsi="Times New Roman"/>
                <w:color w:val="000000" w:themeColor="text1"/>
                <w:sz w:val="16"/>
                <w:szCs w:val="16"/>
              </w:rPr>
              <w:t>. серии. Допустить М15 и М26 на первое полугодие 1932 года</w:t>
            </w:r>
          </w:p>
        </w:tc>
      </w:tr>
      <w:tr w:rsidR="001002C3" w:rsidRPr="007122AB" w14:paraId="2449222D" w14:textId="77777777">
        <w:tc>
          <w:tcPr>
            <w:tcW w:w="2254" w:type="dxa"/>
          </w:tcPr>
          <w:p w14:paraId="49BA7A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29</w:t>
            </w:r>
          </w:p>
        </w:tc>
        <w:tc>
          <w:tcPr>
            <w:tcW w:w="8202" w:type="dxa"/>
          </w:tcPr>
          <w:p w14:paraId="11EF4C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М-11 и М-22 с переносом М-22 с середины 1932 года на Пермский завод N 19, имея в виду развитие М-22-Н. </w:t>
            </w:r>
          </w:p>
        </w:tc>
      </w:tr>
      <w:tr w:rsidR="001002C3" w:rsidRPr="007122AB" w14:paraId="2AD00B06" w14:textId="77777777">
        <w:tc>
          <w:tcPr>
            <w:tcW w:w="2254" w:type="dxa"/>
          </w:tcPr>
          <w:p w14:paraId="24B0E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202" w:type="dxa"/>
          </w:tcPr>
          <w:p w14:paraId="30904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М-11 - модифицировать на 165 л.с.</w:t>
            </w:r>
          </w:p>
        </w:tc>
      </w:tr>
    </w:tbl>
    <w:p w14:paraId="0A43A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Исходя из вышеуказанного, считать абсолютно необходимым всемерно форсировать производство М-34 и немедленно начать подготовку его к серийному производству на заводе N 24 (3217,275-277).</w:t>
      </w:r>
    </w:p>
    <w:p w14:paraId="602FC0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FC2C1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F34098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FDEF49" w14:textId="77777777" w:rsidR="00CE289C" w:rsidRPr="007122AB" w:rsidRDefault="00CE289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августа 1931 - Первый полет прототипа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5190, дальней летающей лодки, разработанной французской фирмой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5190 </w:t>
      </w:r>
      <w:proofErr w:type="spellStart"/>
      <w:r w:rsidRPr="007122AB">
        <w:rPr>
          <w:rFonts w:ascii="Times New Roman" w:hAnsi="Times New Roman"/>
          <w:color w:val="000000" w:themeColor="text1"/>
          <w:sz w:val="16"/>
          <w:szCs w:val="16"/>
        </w:rPr>
        <w:t>Santos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Dumont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5190 была оборудована четырьмя двигателями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12Nbr мощностью 650 л.с. Летающая лодка получившая наименование </w:t>
      </w:r>
      <w:proofErr w:type="spellStart"/>
      <w:r w:rsidRPr="007122AB">
        <w:rPr>
          <w:rFonts w:ascii="Times New Roman" w:hAnsi="Times New Roman"/>
          <w:color w:val="000000" w:themeColor="text1"/>
          <w:sz w:val="16"/>
          <w:szCs w:val="16"/>
        </w:rPr>
        <w:t>Santos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Dumont</w:t>
      </w:r>
      <w:proofErr w:type="spellEnd"/>
      <w:r w:rsidRPr="007122AB">
        <w:rPr>
          <w:rFonts w:ascii="Times New Roman" w:hAnsi="Times New Roman"/>
          <w:color w:val="000000" w:themeColor="text1"/>
          <w:sz w:val="16"/>
          <w:szCs w:val="16"/>
        </w:rPr>
        <w:t xml:space="preserve"> была предназначена для трансатлантических полетов. Авиационное Министерство Франции в 1935 году заказало фирме еще три экземпляра </w:t>
      </w:r>
      <w:proofErr w:type="spellStart"/>
      <w:r w:rsidRPr="007122AB">
        <w:rPr>
          <w:rFonts w:ascii="Times New Roman" w:hAnsi="Times New Roman"/>
          <w:color w:val="000000" w:themeColor="text1"/>
          <w:sz w:val="16"/>
          <w:szCs w:val="16"/>
        </w:rPr>
        <w:t>Bleriot</w:t>
      </w:r>
      <w:proofErr w:type="spellEnd"/>
      <w:r w:rsidRPr="007122AB">
        <w:rPr>
          <w:rFonts w:ascii="Times New Roman" w:hAnsi="Times New Roman"/>
          <w:color w:val="000000" w:themeColor="text1"/>
          <w:sz w:val="16"/>
          <w:szCs w:val="16"/>
        </w:rPr>
        <w:t xml:space="preserve"> 5190. Большинство средств фирмы было инвестировано в этот проект и когда на следующий год заказ без каких-то объяснений был отменен фирма потерпела крах, а Луи Блерио умер от сердечного приступа (22402).</w:t>
      </w:r>
    </w:p>
    <w:p w14:paraId="57D1AFB7" w14:textId="77777777" w:rsidR="00CE289C" w:rsidRPr="007122AB" w:rsidRDefault="00CE289C" w:rsidP="007122AB">
      <w:pPr>
        <w:spacing w:after="0" w:line="240" w:lineRule="auto"/>
        <w:jc w:val="both"/>
        <w:rPr>
          <w:rFonts w:ascii="Times New Roman" w:hAnsi="Times New Roman"/>
          <w:color w:val="000000" w:themeColor="text1"/>
          <w:sz w:val="16"/>
          <w:szCs w:val="16"/>
        </w:rPr>
      </w:pPr>
    </w:p>
    <w:p w14:paraId="224EE469" w14:textId="77777777" w:rsidR="00CE289C" w:rsidRPr="007122AB" w:rsidRDefault="00CE289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августа 1931 - Первый полет первого образца французского экспериментального самолета конструкции русского эмигранта И.И. Махонина Mak.10 оснащенного двигателем </w:t>
      </w:r>
      <w:proofErr w:type="spellStart"/>
      <w:r w:rsidRPr="007122AB">
        <w:rPr>
          <w:rFonts w:ascii="Times New Roman" w:hAnsi="Times New Roman"/>
          <w:color w:val="000000" w:themeColor="text1"/>
          <w:sz w:val="16"/>
          <w:szCs w:val="16"/>
        </w:rPr>
        <w:t>Lorraine</w:t>
      </w:r>
      <w:proofErr w:type="spellEnd"/>
      <w:r w:rsidRPr="007122AB">
        <w:rPr>
          <w:rFonts w:ascii="Times New Roman" w:hAnsi="Times New Roman"/>
          <w:color w:val="000000" w:themeColor="text1"/>
          <w:sz w:val="16"/>
          <w:szCs w:val="16"/>
        </w:rPr>
        <w:t xml:space="preserve"> 12Eb мощностью 480 л.с. Особенностью самолета было  крыло с изменяемым размахом (длина крыла изменялась от 13 до 21 м, а площадь от 19 до 33 м2). Внешние части консолей могли телескопически втягиваться внутрь корневых частей крыла (22402).</w:t>
      </w:r>
    </w:p>
    <w:p w14:paraId="479D5D52" w14:textId="77777777" w:rsidR="00CE289C" w:rsidRPr="007122AB" w:rsidRDefault="00CE289C" w:rsidP="007122AB">
      <w:pPr>
        <w:spacing w:after="0" w:line="240" w:lineRule="auto"/>
        <w:jc w:val="both"/>
        <w:rPr>
          <w:rFonts w:ascii="Times New Roman" w:hAnsi="Times New Roman"/>
          <w:color w:val="000000" w:themeColor="text1"/>
          <w:sz w:val="16"/>
          <w:szCs w:val="16"/>
        </w:rPr>
      </w:pPr>
    </w:p>
    <w:p w14:paraId="4A5F63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августа 1931 Великобритания присоединилась к меморандуму Гувера об отсрочке на год выплат Германией по репарациям (3186).</w:t>
      </w:r>
    </w:p>
    <w:p w14:paraId="488A5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99CB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D100D0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D105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на И-8 (АНТ-13) заменили мотор, ГО и шасси и продолжили испытания (140,34). 12 августа состоялся первый вылет после доработок и испытания продолжались до апреля 1932. На гос. испытания не передавали (346,51).</w:t>
      </w:r>
    </w:p>
    <w:p w14:paraId="3CD01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9A1D8F"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августа 1931 года улучшенный И-8 совершил очередной полет. О дальней</w:t>
      </w:r>
      <w:r w:rsidRPr="007122AB">
        <w:rPr>
          <w:rFonts w:ascii="Times New Roman" w:hAnsi="Times New Roman"/>
          <w:color w:val="000000" w:themeColor="text1"/>
          <w:sz w:val="16"/>
          <w:szCs w:val="16"/>
        </w:rPr>
        <w:softHyphen/>
        <w:t>шей судьбе машины известно только, что ее доводки и усовершенствования продолжа</w:t>
      </w:r>
      <w:r w:rsidRPr="007122AB">
        <w:rPr>
          <w:rFonts w:ascii="Times New Roman" w:hAnsi="Times New Roman"/>
          <w:color w:val="000000" w:themeColor="text1"/>
          <w:sz w:val="16"/>
          <w:szCs w:val="16"/>
        </w:rPr>
        <w:softHyphen/>
        <w:t>лись до 1932 года включительно. Результаты испытаний самолета после переделок пока неизвестны (12295).</w:t>
      </w:r>
    </w:p>
    <w:p w14:paraId="546CA6FA" w14:textId="77777777" w:rsidR="00024EF9" w:rsidRPr="007122AB" w:rsidRDefault="00024EF9" w:rsidP="007122AB">
      <w:pPr>
        <w:spacing w:after="0" w:line="240" w:lineRule="auto"/>
        <w:jc w:val="both"/>
        <w:rPr>
          <w:rFonts w:ascii="Times New Roman" w:hAnsi="Times New Roman"/>
          <w:color w:val="000000" w:themeColor="text1"/>
          <w:sz w:val="16"/>
          <w:szCs w:val="16"/>
        </w:rPr>
      </w:pPr>
    </w:p>
    <w:p w14:paraId="1FA7E1A0"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августа 1931 г. состоялся первый вылет И-8 (АНТ-13) после доработок. Испытания и попытки довести самолет продолжались до апреля 1932 г., но безуспешно. На госу</w:t>
      </w:r>
      <w:r w:rsidRPr="00441F34">
        <w:rPr>
          <w:rFonts w:ascii="Times New Roman" w:hAnsi="Times New Roman"/>
          <w:color w:val="0070C0"/>
          <w:sz w:val="16"/>
          <w:szCs w:val="16"/>
        </w:rPr>
        <w:softHyphen/>
        <w:t>дарственные испытания И—8 не передали, тема была закрыта. Главной причиной, определившей такую судьбу самолета, - было отсутствие мощных высотных оте</w:t>
      </w:r>
      <w:r w:rsidRPr="00441F34">
        <w:rPr>
          <w:rFonts w:ascii="Times New Roman" w:hAnsi="Times New Roman"/>
          <w:color w:val="0070C0"/>
          <w:sz w:val="16"/>
          <w:szCs w:val="16"/>
        </w:rPr>
        <w:softHyphen/>
        <w:t>чественных двигателей.</w:t>
      </w:r>
    </w:p>
    <w:p w14:paraId="06877EFC"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Его не передавали на государственные испытания, поскольку тема была закрыта из-за отсутствия подходящих двигателей. Серийно самолет не строился (23474).</w:t>
      </w:r>
    </w:p>
    <w:p w14:paraId="171F4471" w14:textId="77777777" w:rsidR="00D210DB" w:rsidRPr="00441F34" w:rsidRDefault="00D210DB" w:rsidP="00D210DB">
      <w:pPr>
        <w:spacing w:after="0" w:line="240" w:lineRule="auto"/>
        <w:jc w:val="both"/>
        <w:rPr>
          <w:rFonts w:ascii="Times New Roman" w:hAnsi="Times New Roman"/>
          <w:color w:val="0070C0"/>
          <w:sz w:val="16"/>
          <w:szCs w:val="16"/>
        </w:rPr>
      </w:pPr>
    </w:p>
    <w:p w14:paraId="674EA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августа 1931 года на Центральном аэродроме состоялась демонстрации </w:t>
      </w:r>
      <w:proofErr w:type="spellStart"/>
      <w:r w:rsidRPr="007122AB">
        <w:rPr>
          <w:rFonts w:ascii="Times New Roman" w:hAnsi="Times New Roman"/>
          <w:color w:val="000000" w:themeColor="text1"/>
          <w:sz w:val="16"/>
          <w:szCs w:val="16"/>
        </w:rPr>
        <w:t>агитсредств</w:t>
      </w:r>
      <w:proofErr w:type="spellEnd"/>
      <w:r w:rsidRPr="007122AB">
        <w:rPr>
          <w:rFonts w:ascii="Times New Roman" w:hAnsi="Times New Roman"/>
          <w:color w:val="000000" w:themeColor="text1"/>
          <w:sz w:val="16"/>
          <w:szCs w:val="16"/>
        </w:rPr>
        <w:t xml:space="preserve"> Гроховского проработанных конструкторским отделом НИИ - испытание </w:t>
      </w:r>
      <w:proofErr w:type="spellStart"/>
      <w:r w:rsidRPr="007122AB">
        <w:rPr>
          <w:rFonts w:ascii="Times New Roman" w:hAnsi="Times New Roman"/>
          <w:color w:val="000000" w:themeColor="text1"/>
          <w:sz w:val="16"/>
          <w:szCs w:val="16"/>
        </w:rPr>
        <w:t>агитшаров</w:t>
      </w:r>
      <w:proofErr w:type="spellEnd"/>
      <w:r w:rsidRPr="007122AB">
        <w:rPr>
          <w:rFonts w:ascii="Times New Roman" w:hAnsi="Times New Roman"/>
          <w:color w:val="000000" w:themeColor="text1"/>
          <w:sz w:val="16"/>
          <w:szCs w:val="16"/>
        </w:rPr>
        <w:t xml:space="preserve"> Федорова и прибора Кольцова</w:t>
      </w:r>
    </w:p>
    <w:p w14:paraId="50A4CE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Программа демонстрации </w:t>
      </w:r>
      <w:proofErr w:type="spellStart"/>
      <w:r w:rsidRPr="007122AB">
        <w:rPr>
          <w:rFonts w:ascii="Times New Roman" w:hAnsi="Times New Roman"/>
          <w:color w:val="000000" w:themeColor="text1"/>
          <w:sz w:val="16"/>
          <w:szCs w:val="16"/>
        </w:rPr>
        <w:t>агитсредств</w:t>
      </w:r>
      <w:proofErr w:type="spellEnd"/>
      <w:r w:rsidRPr="007122AB">
        <w:rPr>
          <w:rFonts w:ascii="Times New Roman" w:hAnsi="Times New Roman"/>
          <w:color w:val="000000" w:themeColor="text1"/>
          <w:sz w:val="16"/>
          <w:szCs w:val="16"/>
        </w:rPr>
        <w:t xml:space="preserve"> Гроховского проработанных конструкторским отделом НИИ - испытание </w:t>
      </w:r>
      <w:proofErr w:type="spellStart"/>
      <w:r w:rsidRPr="007122AB">
        <w:rPr>
          <w:rFonts w:ascii="Times New Roman" w:hAnsi="Times New Roman"/>
          <w:color w:val="000000" w:themeColor="text1"/>
          <w:sz w:val="16"/>
          <w:szCs w:val="16"/>
        </w:rPr>
        <w:t>агитшаров</w:t>
      </w:r>
      <w:proofErr w:type="spellEnd"/>
      <w:r w:rsidRPr="007122AB">
        <w:rPr>
          <w:rFonts w:ascii="Times New Roman" w:hAnsi="Times New Roman"/>
          <w:color w:val="000000" w:themeColor="text1"/>
          <w:sz w:val="16"/>
          <w:szCs w:val="16"/>
        </w:rPr>
        <w:t xml:space="preserve"> Федорова и прибора Кольцова:</w:t>
      </w:r>
    </w:p>
    <w:p w14:paraId="5D924E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Парашютная дистанционная </w:t>
      </w:r>
      <w:proofErr w:type="spellStart"/>
      <w:r w:rsidRPr="007122AB">
        <w:rPr>
          <w:rFonts w:ascii="Times New Roman" w:hAnsi="Times New Roman"/>
          <w:color w:val="000000" w:themeColor="text1"/>
          <w:sz w:val="16"/>
          <w:szCs w:val="16"/>
        </w:rPr>
        <w:t>агитбомба</w:t>
      </w:r>
      <w:proofErr w:type="spellEnd"/>
      <w:r w:rsidRPr="007122AB">
        <w:rPr>
          <w:rFonts w:ascii="Times New Roman" w:hAnsi="Times New Roman"/>
          <w:color w:val="000000" w:themeColor="text1"/>
          <w:sz w:val="16"/>
          <w:szCs w:val="16"/>
        </w:rPr>
        <w:t>.</w:t>
      </w:r>
    </w:p>
    <w:p w14:paraId="50D69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с самолета Р-1.</w:t>
      </w:r>
    </w:p>
    <w:p w14:paraId="53D3C2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 может сбрасываться с любых высот, не требующая установок дистанций в воздухе.</w:t>
      </w:r>
    </w:p>
    <w:p w14:paraId="7DCEB5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Ударная </w:t>
      </w:r>
      <w:proofErr w:type="spellStart"/>
      <w:r w:rsidRPr="007122AB">
        <w:rPr>
          <w:rFonts w:ascii="Times New Roman" w:hAnsi="Times New Roman"/>
          <w:color w:val="000000" w:themeColor="text1"/>
          <w:sz w:val="16"/>
          <w:szCs w:val="16"/>
        </w:rPr>
        <w:t>агитбомба</w:t>
      </w:r>
      <w:proofErr w:type="spellEnd"/>
      <w:r w:rsidRPr="007122AB">
        <w:rPr>
          <w:rFonts w:ascii="Times New Roman" w:hAnsi="Times New Roman"/>
          <w:color w:val="000000" w:themeColor="text1"/>
          <w:sz w:val="16"/>
          <w:szCs w:val="16"/>
        </w:rPr>
        <w:t>.</w:t>
      </w:r>
    </w:p>
    <w:p w14:paraId="7E20B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с самолета Р-1.</w:t>
      </w:r>
    </w:p>
    <w:p w14:paraId="4861A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с любых высот без установок на дистанцию.</w:t>
      </w:r>
    </w:p>
    <w:p w14:paraId="645445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3. Транспортный парашют Г-2.</w:t>
      </w:r>
    </w:p>
    <w:p w14:paraId="10085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с самолета Р-1.</w:t>
      </w:r>
    </w:p>
    <w:p w14:paraId="2C07A9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Снабжение газетами разбросанных частей.</w:t>
      </w:r>
    </w:p>
    <w:p w14:paraId="3D0A2E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Транспортные мешки Г-3.</w:t>
      </w:r>
    </w:p>
    <w:p w14:paraId="4AB389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с самолета Р-1.</w:t>
      </w:r>
    </w:p>
    <w:p w14:paraId="64BE4B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радиоаппаратуры.</w:t>
      </w:r>
    </w:p>
    <w:p w14:paraId="7369B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Прибор Кольцова.</w:t>
      </w:r>
    </w:p>
    <w:p w14:paraId="3987C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Залистовывание</w:t>
      </w:r>
      <w:proofErr w:type="spellEnd"/>
      <w:r w:rsidRPr="007122AB">
        <w:rPr>
          <w:rFonts w:ascii="Times New Roman" w:hAnsi="Times New Roman"/>
          <w:color w:val="000000" w:themeColor="text1"/>
          <w:sz w:val="16"/>
          <w:szCs w:val="16"/>
        </w:rPr>
        <w:t xml:space="preserve"> местности литературой.</w:t>
      </w:r>
    </w:p>
    <w:p w14:paraId="29945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Сбрасывание с самолета Р-1.</w:t>
      </w:r>
    </w:p>
    <w:p w14:paraId="3A5D61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Летающий парашют.</w:t>
      </w:r>
    </w:p>
    <w:p w14:paraId="2B72A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Залистовывание</w:t>
      </w:r>
      <w:proofErr w:type="spellEnd"/>
      <w:r w:rsidRPr="007122AB">
        <w:rPr>
          <w:rFonts w:ascii="Times New Roman" w:hAnsi="Times New Roman"/>
          <w:color w:val="000000" w:themeColor="text1"/>
          <w:sz w:val="16"/>
          <w:szCs w:val="16"/>
        </w:rPr>
        <w:t xml:space="preserve"> местности у неприятеля.</w:t>
      </w:r>
    </w:p>
    <w:p w14:paraId="69AFF5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Летающая громкоговорящая установка.</w:t>
      </w:r>
    </w:p>
    <w:p w14:paraId="1E7A7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Запуск производится на территории неприятеля.</w:t>
      </w:r>
    </w:p>
    <w:p w14:paraId="5A9B4C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w:t>
      </w:r>
      <w:proofErr w:type="spellStart"/>
      <w:r w:rsidRPr="007122AB">
        <w:rPr>
          <w:rFonts w:ascii="Times New Roman" w:hAnsi="Times New Roman"/>
          <w:color w:val="000000" w:themeColor="text1"/>
          <w:sz w:val="16"/>
          <w:szCs w:val="16"/>
        </w:rPr>
        <w:t>Агитшары</w:t>
      </w:r>
      <w:proofErr w:type="spellEnd"/>
      <w:r w:rsidRPr="007122AB">
        <w:rPr>
          <w:rFonts w:ascii="Times New Roman" w:hAnsi="Times New Roman"/>
          <w:color w:val="000000" w:themeColor="text1"/>
          <w:sz w:val="16"/>
          <w:szCs w:val="16"/>
        </w:rPr>
        <w:t xml:space="preserve"> Федорова.</w:t>
      </w:r>
    </w:p>
    <w:p w14:paraId="12C722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Выпуск </w:t>
      </w:r>
      <w:proofErr w:type="spellStart"/>
      <w:r w:rsidRPr="007122AB">
        <w:rPr>
          <w:rFonts w:ascii="Times New Roman" w:hAnsi="Times New Roman"/>
          <w:color w:val="000000" w:themeColor="text1"/>
          <w:sz w:val="16"/>
          <w:szCs w:val="16"/>
        </w:rPr>
        <w:t>агитшаров</w:t>
      </w:r>
      <w:proofErr w:type="spellEnd"/>
      <w:r w:rsidRPr="007122AB">
        <w:rPr>
          <w:rFonts w:ascii="Times New Roman" w:hAnsi="Times New Roman"/>
          <w:color w:val="000000" w:themeColor="text1"/>
          <w:sz w:val="16"/>
          <w:szCs w:val="16"/>
        </w:rPr>
        <w:t xml:space="preserve"> для </w:t>
      </w:r>
      <w:proofErr w:type="spellStart"/>
      <w:r w:rsidRPr="007122AB">
        <w:rPr>
          <w:rFonts w:ascii="Times New Roman" w:hAnsi="Times New Roman"/>
          <w:color w:val="000000" w:themeColor="text1"/>
          <w:sz w:val="16"/>
          <w:szCs w:val="16"/>
        </w:rPr>
        <w:t>залистовывания</w:t>
      </w:r>
      <w:proofErr w:type="spellEnd"/>
      <w:r w:rsidRPr="007122AB">
        <w:rPr>
          <w:rFonts w:ascii="Times New Roman" w:hAnsi="Times New Roman"/>
          <w:color w:val="000000" w:themeColor="text1"/>
          <w:sz w:val="16"/>
          <w:szCs w:val="16"/>
        </w:rPr>
        <w:t xml:space="preserve"> местности литературой (3505,57).</w:t>
      </w:r>
    </w:p>
    <w:p w14:paraId="7C708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CFD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августа 1931 года начальник 1-го сектора Управления ВВС Вольников писал письмо N 316/00190 начальнику 8-го сектора 5 Упр. штаба РККА.</w:t>
      </w:r>
    </w:p>
    <w:p w14:paraId="348C24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препровождаю справку о наличии самолетов на 1-е июля 1931 года и предполагаемом наличии их на 1-е января 1932 года.</w:t>
      </w:r>
    </w:p>
    <w:p w14:paraId="7F555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 о наличии самолетов на 1-е июля 1931 года и предполагаемом наличии их на 1-е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1002C3" w:rsidRPr="007122AB" w14:paraId="33DFE5B8" w14:textId="77777777">
        <w:tc>
          <w:tcPr>
            <w:tcW w:w="2254" w:type="dxa"/>
          </w:tcPr>
          <w:p w14:paraId="07F578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самолетов</w:t>
            </w:r>
          </w:p>
        </w:tc>
        <w:tc>
          <w:tcPr>
            <w:tcW w:w="2254" w:type="dxa"/>
          </w:tcPr>
          <w:p w14:paraId="6F17D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Наличие на 1 июля1931 г.</w:t>
            </w:r>
          </w:p>
        </w:tc>
        <w:tc>
          <w:tcPr>
            <w:tcW w:w="2254" w:type="dxa"/>
          </w:tcPr>
          <w:p w14:paraId="014AF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Предполагаем. наличие на1 января 1932 г.</w:t>
            </w:r>
          </w:p>
        </w:tc>
      </w:tr>
      <w:tr w:rsidR="001002C3" w:rsidRPr="007122AB" w14:paraId="1D928A33" w14:textId="77777777">
        <w:tc>
          <w:tcPr>
            <w:tcW w:w="2254" w:type="dxa"/>
          </w:tcPr>
          <w:p w14:paraId="2F7C8D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М-22</w:t>
            </w:r>
          </w:p>
        </w:tc>
        <w:tc>
          <w:tcPr>
            <w:tcW w:w="2254" w:type="dxa"/>
          </w:tcPr>
          <w:p w14:paraId="584A5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21/4</w:t>
            </w:r>
          </w:p>
        </w:tc>
        <w:tc>
          <w:tcPr>
            <w:tcW w:w="2254" w:type="dxa"/>
          </w:tcPr>
          <w:p w14:paraId="37B108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182</w:t>
            </w:r>
          </w:p>
        </w:tc>
      </w:tr>
      <w:tr w:rsidR="001002C3" w:rsidRPr="007122AB" w14:paraId="3BA95579" w14:textId="77777777">
        <w:tc>
          <w:tcPr>
            <w:tcW w:w="2254" w:type="dxa"/>
          </w:tcPr>
          <w:p w14:paraId="19CC8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 М-22</w:t>
            </w:r>
          </w:p>
        </w:tc>
        <w:tc>
          <w:tcPr>
            <w:tcW w:w="2254" w:type="dxa"/>
          </w:tcPr>
          <w:p w14:paraId="5717A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137/16</w:t>
            </w:r>
          </w:p>
        </w:tc>
        <w:tc>
          <w:tcPr>
            <w:tcW w:w="2254" w:type="dxa"/>
          </w:tcPr>
          <w:p w14:paraId="421BB2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r>
      <w:tr w:rsidR="001002C3" w:rsidRPr="007122AB" w14:paraId="6D4FE856" w14:textId="77777777">
        <w:tc>
          <w:tcPr>
            <w:tcW w:w="2254" w:type="dxa"/>
          </w:tcPr>
          <w:p w14:paraId="6A40D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 М-17</w:t>
            </w:r>
          </w:p>
        </w:tc>
        <w:tc>
          <w:tcPr>
            <w:tcW w:w="2254" w:type="dxa"/>
          </w:tcPr>
          <w:p w14:paraId="55355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297/15</w:t>
            </w:r>
          </w:p>
        </w:tc>
        <w:tc>
          <w:tcPr>
            <w:tcW w:w="2254" w:type="dxa"/>
          </w:tcPr>
          <w:p w14:paraId="7991E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w:t>
            </w:r>
          </w:p>
        </w:tc>
      </w:tr>
      <w:tr w:rsidR="001002C3" w:rsidRPr="007122AB" w14:paraId="64B0D942" w14:textId="77777777">
        <w:tc>
          <w:tcPr>
            <w:tcW w:w="2254" w:type="dxa"/>
          </w:tcPr>
          <w:p w14:paraId="2D912F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 М-17</w:t>
            </w:r>
          </w:p>
        </w:tc>
        <w:tc>
          <w:tcPr>
            <w:tcW w:w="2254" w:type="dxa"/>
          </w:tcPr>
          <w:p w14:paraId="35D1FF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254" w:type="dxa"/>
          </w:tcPr>
          <w:p w14:paraId="54413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r>
      <w:tr w:rsidR="001002C3" w:rsidRPr="007122AB" w14:paraId="1887ABC9" w14:textId="77777777">
        <w:tc>
          <w:tcPr>
            <w:tcW w:w="2254" w:type="dxa"/>
          </w:tcPr>
          <w:p w14:paraId="6F8BB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И-2 и И-2бис</w:t>
            </w:r>
          </w:p>
        </w:tc>
        <w:tc>
          <w:tcPr>
            <w:tcW w:w="2254" w:type="dxa"/>
          </w:tcPr>
          <w:p w14:paraId="5D8B5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74/19</w:t>
            </w:r>
          </w:p>
        </w:tc>
        <w:tc>
          <w:tcPr>
            <w:tcW w:w="2254" w:type="dxa"/>
          </w:tcPr>
          <w:p w14:paraId="45243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w:t>
            </w:r>
          </w:p>
        </w:tc>
      </w:tr>
      <w:tr w:rsidR="001002C3" w:rsidRPr="007122AB" w14:paraId="36D7913D" w14:textId="77777777">
        <w:tc>
          <w:tcPr>
            <w:tcW w:w="2254" w:type="dxa"/>
          </w:tcPr>
          <w:p w14:paraId="27D60B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М-17</w:t>
            </w:r>
          </w:p>
        </w:tc>
        <w:tc>
          <w:tcPr>
            <w:tcW w:w="2254" w:type="dxa"/>
          </w:tcPr>
          <w:p w14:paraId="5980FA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254" w:type="dxa"/>
          </w:tcPr>
          <w:p w14:paraId="44060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r>
      <w:tr w:rsidR="001002C3" w:rsidRPr="007122AB" w14:paraId="2DB2E538" w14:textId="77777777">
        <w:tc>
          <w:tcPr>
            <w:tcW w:w="2254" w:type="dxa"/>
          </w:tcPr>
          <w:p w14:paraId="06EBA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М-17</w:t>
            </w:r>
          </w:p>
        </w:tc>
        <w:tc>
          <w:tcPr>
            <w:tcW w:w="2254" w:type="dxa"/>
          </w:tcPr>
          <w:p w14:paraId="194E39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114/2</w:t>
            </w:r>
          </w:p>
        </w:tc>
        <w:tc>
          <w:tcPr>
            <w:tcW w:w="2254" w:type="dxa"/>
          </w:tcPr>
          <w:p w14:paraId="68F58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605</w:t>
            </w:r>
          </w:p>
        </w:tc>
      </w:tr>
      <w:tr w:rsidR="001002C3" w:rsidRPr="007122AB" w14:paraId="4AFF9F7B" w14:textId="77777777">
        <w:tc>
          <w:tcPr>
            <w:tcW w:w="2254" w:type="dxa"/>
          </w:tcPr>
          <w:p w14:paraId="431063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МР-5 М-17</w:t>
            </w:r>
          </w:p>
        </w:tc>
        <w:tc>
          <w:tcPr>
            <w:tcW w:w="2254" w:type="dxa"/>
          </w:tcPr>
          <w:p w14:paraId="66C00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254" w:type="dxa"/>
          </w:tcPr>
          <w:p w14:paraId="6F6D31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3E04B3D1" w14:textId="77777777">
        <w:tc>
          <w:tcPr>
            <w:tcW w:w="2254" w:type="dxa"/>
          </w:tcPr>
          <w:p w14:paraId="4B9610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М-5</w:t>
            </w:r>
          </w:p>
        </w:tc>
        <w:tc>
          <w:tcPr>
            <w:tcW w:w="2254" w:type="dxa"/>
          </w:tcPr>
          <w:p w14:paraId="5713D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1223/284</w:t>
            </w:r>
          </w:p>
        </w:tc>
        <w:tc>
          <w:tcPr>
            <w:tcW w:w="2254" w:type="dxa"/>
          </w:tcPr>
          <w:p w14:paraId="2FED4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1443</w:t>
            </w:r>
          </w:p>
        </w:tc>
      </w:tr>
      <w:tr w:rsidR="001002C3" w:rsidRPr="007122AB" w14:paraId="30361BDD" w14:textId="77777777">
        <w:tc>
          <w:tcPr>
            <w:tcW w:w="2254" w:type="dxa"/>
          </w:tcPr>
          <w:p w14:paraId="557333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МР-М-5</w:t>
            </w:r>
          </w:p>
        </w:tc>
        <w:tc>
          <w:tcPr>
            <w:tcW w:w="2254" w:type="dxa"/>
          </w:tcPr>
          <w:p w14:paraId="3F91D9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58/12</w:t>
            </w:r>
          </w:p>
        </w:tc>
        <w:tc>
          <w:tcPr>
            <w:tcW w:w="2254" w:type="dxa"/>
          </w:tcPr>
          <w:p w14:paraId="594B1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r>
      <w:tr w:rsidR="001002C3" w:rsidRPr="007122AB" w14:paraId="33C9EE90" w14:textId="77777777">
        <w:tc>
          <w:tcPr>
            <w:tcW w:w="2254" w:type="dxa"/>
          </w:tcPr>
          <w:p w14:paraId="26D7B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ТШ-2-х </w:t>
            </w:r>
            <w:proofErr w:type="spellStart"/>
            <w:r w:rsidRPr="007122AB">
              <w:rPr>
                <w:rFonts w:ascii="Times New Roman" w:hAnsi="Times New Roman"/>
                <w:color w:val="000000" w:themeColor="text1"/>
                <w:sz w:val="16"/>
                <w:szCs w:val="16"/>
              </w:rPr>
              <w:t>моторн</w:t>
            </w:r>
            <w:proofErr w:type="spellEnd"/>
            <w:r w:rsidRPr="007122AB">
              <w:rPr>
                <w:rFonts w:ascii="Times New Roman" w:hAnsi="Times New Roman"/>
                <w:color w:val="000000" w:themeColor="text1"/>
                <w:sz w:val="16"/>
                <w:szCs w:val="16"/>
              </w:rPr>
              <w:t>.</w:t>
            </w:r>
          </w:p>
        </w:tc>
        <w:tc>
          <w:tcPr>
            <w:tcW w:w="2254" w:type="dxa"/>
          </w:tcPr>
          <w:p w14:paraId="3C4D07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254" w:type="dxa"/>
          </w:tcPr>
          <w:p w14:paraId="721F3F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r>
      <w:tr w:rsidR="001002C3" w:rsidRPr="007122AB" w14:paraId="7164457C" w14:textId="77777777">
        <w:tc>
          <w:tcPr>
            <w:tcW w:w="2254" w:type="dxa"/>
          </w:tcPr>
          <w:p w14:paraId="64D1D7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ТБ-1 на </w:t>
            </w:r>
            <w:proofErr w:type="spellStart"/>
            <w:r w:rsidRPr="007122AB">
              <w:rPr>
                <w:rFonts w:ascii="Times New Roman" w:hAnsi="Times New Roman"/>
                <w:color w:val="000000" w:themeColor="text1"/>
                <w:sz w:val="16"/>
                <w:szCs w:val="16"/>
              </w:rPr>
              <w:t>поплавк</w:t>
            </w:r>
            <w:proofErr w:type="spellEnd"/>
            <w:r w:rsidRPr="007122AB">
              <w:rPr>
                <w:rFonts w:ascii="Times New Roman" w:hAnsi="Times New Roman"/>
                <w:color w:val="000000" w:themeColor="text1"/>
                <w:sz w:val="16"/>
                <w:szCs w:val="16"/>
              </w:rPr>
              <w:t>.</w:t>
            </w:r>
          </w:p>
        </w:tc>
        <w:tc>
          <w:tcPr>
            <w:tcW w:w="2254" w:type="dxa"/>
          </w:tcPr>
          <w:p w14:paraId="613C1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254" w:type="dxa"/>
          </w:tcPr>
          <w:p w14:paraId="58DB5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r>
      <w:tr w:rsidR="001002C3" w:rsidRPr="007122AB" w14:paraId="36CE28B9" w14:textId="77777777">
        <w:tc>
          <w:tcPr>
            <w:tcW w:w="2254" w:type="dxa"/>
          </w:tcPr>
          <w:p w14:paraId="2ECA9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2254" w:type="dxa"/>
          </w:tcPr>
          <w:p w14:paraId="2C05D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806C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1EAFC6" w14:textId="77777777">
        <w:tc>
          <w:tcPr>
            <w:tcW w:w="2254" w:type="dxa"/>
          </w:tcPr>
          <w:p w14:paraId="1DFD1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САВ.62бис</w:t>
            </w:r>
          </w:p>
        </w:tc>
        <w:tc>
          <w:tcPr>
            <w:tcW w:w="2254" w:type="dxa"/>
          </w:tcPr>
          <w:p w14:paraId="10F53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254" w:type="dxa"/>
          </w:tcPr>
          <w:p w14:paraId="2A9FC3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w:t>
            </w:r>
          </w:p>
        </w:tc>
      </w:tr>
      <w:tr w:rsidR="001002C3" w:rsidRPr="007122AB" w14:paraId="4D4A9A9E" w14:textId="77777777">
        <w:tc>
          <w:tcPr>
            <w:tcW w:w="2254" w:type="dxa"/>
          </w:tcPr>
          <w:p w14:paraId="0A4A2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Д-ВАЛЬ</w:t>
            </w:r>
          </w:p>
        </w:tc>
        <w:tc>
          <w:tcPr>
            <w:tcW w:w="2254" w:type="dxa"/>
          </w:tcPr>
          <w:p w14:paraId="59263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15/4</w:t>
            </w:r>
          </w:p>
        </w:tc>
        <w:tc>
          <w:tcPr>
            <w:tcW w:w="2254" w:type="dxa"/>
          </w:tcPr>
          <w:p w14:paraId="2B21D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r>
      <w:tr w:rsidR="001002C3" w:rsidRPr="007122AB" w14:paraId="495D8443" w14:textId="77777777">
        <w:tc>
          <w:tcPr>
            <w:tcW w:w="2254" w:type="dxa"/>
          </w:tcPr>
          <w:p w14:paraId="421A8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НД-55</w:t>
            </w:r>
          </w:p>
        </w:tc>
        <w:tc>
          <w:tcPr>
            <w:tcW w:w="2254" w:type="dxa"/>
          </w:tcPr>
          <w:p w14:paraId="0E9294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18/2</w:t>
            </w:r>
          </w:p>
        </w:tc>
        <w:tc>
          <w:tcPr>
            <w:tcW w:w="2254" w:type="dxa"/>
          </w:tcPr>
          <w:p w14:paraId="28651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r>
      <w:tr w:rsidR="001002C3" w:rsidRPr="007122AB" w14:paraId="2D6EC76A" w14:textId="77777777">
        <w:tc>
          <w:tcPr>
            <w:tcW w:w="2254" w:type="dxa"/>
          </w:tcPr>
          <w:p w14:paraId="23A7D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w:t>
            </w:r>
          </w:p>
        </w:tc>
        <w:tc>
          <w:tcPr>
            <w:tcW w:w="2254" w:type="dxa"/>
          </w:tcPr>
          <w:p w14:paraId="79456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271/54</w:t>
            </w:r>
          </w:p>
        </w:tc>
        <w:tc>
          <w:tcPr>
            <w:tcW w:w="2254" w:type="dxa"/>
          </w:tcPr>
          <w:p w14:paraId="77630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r>
      <w:tr w:rsidR="001002C3" w:rsidRPr="007122AB" w14:paraId="2C33B7AD" w14:textId="77777777">
        <w:tc>
          <w:tcPr>
            <w:tcW w:w="2254" w:type="dxa"/>
          </w:tcPr>
          <w:p w14:paraId="0DE4F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2254" w:type="dxa"/>
          </w:tcPr>
          <w:p w14:paraId="23A5D2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70/8</w:t>
            </w:r>
          </w:p>
        </w:tc>
        <w:tc>
          <w:tcPr>
            <w:tcW w:w="2254" w:type="dxa"/>
          </w:tcPr>
          <w:p w14:paraId="2B77C0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r>
      <w:tr w:rsidR="001002C3" w:rsidRPr="007122AB" w14:paraId="39CC212A" w14:textId="77777777">
        <w:tc>
          <w:tcPr>
            <w:tcW w:w="2254" w:type="dxa"/>
          </w:tcPr>
          <w:p w14:paraId="571A3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МУ-1</w:t>
            </w:r>
          </w:p>
        </w:tc>
        <w:tc>
          <w:tcPr>
            <w:tcW w:w="2254" w:type="dxa"/>
          </w:tcPr>
          <w:p w14:paraId="23686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25/12</w:t>
            </w:r>
          </w:p>
        </w:tc>
        <w:tc>
          <w:tcPr>
            <w:tcW w:w="2254" w:type="dxa"/>
          </w:tcPr>
          <w:p w14:paraId="76F1EA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r>
      <w:tr w:rsidR="001002C3" w:rsidRPr="007122AB" w14:paraId="32D4B225" w14:textId="77777777">
        <w:tc>
          <w:tcPr>
            <w:tcW w:w="2254" w:type="dxa"/>
          </w:tcPr>
          <w:p w14:paraId="67210B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2254" w:type="dxa"/>
          </w:tcPr>
          <w:p w14:paraId="79D311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2254" w:type="dxa"/>
          </w:tcPr>
          <w:p w14:paraId="314157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r>
      <w:tr w:rsidR="001002C3" w:rsidRPr="007122AB" w14:paraId="532E9696" w14:textId="77777777">
        <w:tc>
          <w:tcPr>
            <w:tcW w:w="2254" w:type="dxa"/>
          </w:tcPr>
          <w:p w14:paraId="24C30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Р-3 М-5</w:t>
            </w:r>
          </w:p>
        </w:tc>
        <w:tc>
          <w:tcPr>
            <w:tcW w:w="2254" w:type="dxa"/>
          </w:tcPr>
          <w:p w14:paraId="6A19EF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w:t>
            </w:r>
          </w:p>
        </w:tc>
        <w:tc>
          <w:tcPr>
            <w:tcW w:w="2254" w:type="dxa"/>
          </w:tcPr>
          <w:p w14:paraId="000ECF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1002C3" w:rsidRPr="007122AB" w14:paraId="144933F4" w14:textId="77777777">
        <w:tc>
          <w:tcPr>
            <w:tcW w:w="2254" w:type="dxa"/>
          </w:tcPr>
          <w:p w14:paraId="3D53DC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Р3-ЛД</w:t>
            </w:r>
          </w:p>
        </w:tc>
        <w:tc>
          <w:tcPr>
            <w:tcW w:w="2254" w:type="dxa"/>
          </w:tcPr>
          <w:p w14:paraId="554E33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53/29</w:t>
            </w:r>
          </w:p>
        </w:tc>
        <w:tc>
          <w:tcPr>
            <w:tcW w:w="2254" w:type="dxa"/>
          </w:tcPr>
          <w:p w14:paraId="342BE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w:t>
            </w:r>
          </w:p>
        </w:tc>
      </w:tr>
      <w:tr w:rsidR="001002C3" w:rsidRPr="007122AB" w14:paraId="5F9B83A5" w14:textId="77777777">
        <w:tc>
          <w:tcPr>
            <w:tcW w:w="2254" w:type="dxa"/>
          </w:tcPr>
          <w:p w14:paraId="575AD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2254" w:type="dxa"/>
          </w:tcPr>
          <w:p w14:paraId="53DE1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2464/478</w:t>
            </w:r>
          </w:p>
        </w:tc>
        <w:tc>
          <w:tcPr>
            <w:tcW w:w="2254" w:type="dxa"/>
          </w:tcPr>
          <w:p w14:paraId="09320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3814</w:t>
            </w:r>
          </w:p>
        </w:tc>
      </w:tr>
    </w:tbl>
    <w:p w14:paraId="6C164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Знаменателем показаны самолеты, находящиеся в ремонте. (2992,106-107).</w:t>
      </w:r>
    </w:p>
    <w:p w14:paraId="2D707E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AEA32A" w14:textId="77777777" w:rsidR="00B152B2" w:rsidRPr="007122AB" w:rsidRDefault="00B152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августа 1931. На лугу возле деревни Щукино прошли финальные соревнования летающих авиамоделей (18724).</w:t>
      </w:r>
    </w:p>
    <w:p w14:paraId="79B6695B" w14:textId="77777777" w:rsidR="00B152B2" w:rsidRPr="007122AB" w:rsidRDefault="00B152B2" w:rsidP="007122AB">
      <w:pPr>
        <w:spacing w:after="0" w:line="240" w:lineRule="auto"/>
        <w:jc w:val="both"/>
        <w:rPr>
          <w:rFonts w:ascii="Times New Roman" w:hAnsi="Times New Roman"/>
          <w:color w:val="000000" w:themeColor="text1"/>
          <w:sz w:val="16"/>
          <w:szCs w:val="16"/>
        </w:rPr>
      </w:pPr>
    </w:p>
    <w:p w14:paraId="2F818DD1" w14:textId="2C447555" w:rsidR="008B2BB8" w:rsidRDefault="008B2BB8"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2B773B40" w14:textId="77777777" w:rsidR="008B2BB8" w:rsidRDefault="008B2BB8"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828CFAF" w14:textId="77777777" w:rsidR="008B2BB8" w:rsidRPr="00441F34" w:rsidRDefault="008B2BB8" w:rsidP="008B2B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августа 1931 г. начальник 1-го сектора Управления ВВС Вольников письмом № 316/00190 начальнику 8-го сектора 5-го Управления штаба РККА направил о наличии самолетов на 1 июля 1931 года и предполагаемом наличии их на 1 января 1932 г. в которой указано, что на эту дату самолет И-3 по-прежнему остается основным истребителем и их имеется 279 (264 исправных и 15 в ремонте), а на 1 января 1932 г. их предполагается иметь 270, начав замену новым истребителем И-5. Число самолетов И-2 и И-2бис уменьшено до 74 (55 исправных) и к 1 января 1932 г. должно быть сокращено до 54, И-4 остается 137 (121 исправный), а будет 150, самолетов И-5 в строю 21 (17 исправных), а будет 182, также к 1 января 1932 г. ожидается иметь 40 истребителей И-7. Самолет И-3 считается устаревшим.</w:t>
      </w:r>
    </w:p>
    <w:p w14:paraId="70B42059" w14:textId="77777777" w:rsidR="008B2BB8" w:rsidRPr="00441F34" w:rsidRDefault="008B2BB8" w:rsidP="008B2BB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этом долгое время не было официальной инструкции по технике пилотирования самолета И-3 – она была составлена только в 1932 г. после проведения специальных испытаний на пикирование (24887).</w:t>
      </w:r>
    </w:p>
    <w:p w14:paraId="4949E3E1" w14:textId="77777777" w:rsidR="008B2BB8" w:rsidRPr="00441F34" w:rsidRDefault="008B2BB8" w:rsidP="008B2BB8">
      <w:pPr>
        <w:spacing w:after="0" w:line="240" w:lineRule="auto"/>
        <w:jc w:val="both"/>
        <w:rPr>
          <w:rFonts w:ascii="Times New Roman" w:hAnsi="Times New Roman"/>
          <w:color w:val="0070C0"/>
          <w:sz w:val="16"/>
          <w:szCs w:val="16"/>
        </w:rPr>
      </w:pPr>
    </w:p>
    <w:p w14:paraId="65FE8377"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августа 1931 г. в СССР в Москве начальник 1-го сектора Управления ВВС Вольников письмом № 316/00190 начальнику 8-го сектора 5 Упр. штаба РККА направил справку о наличии самолетов на 1 июля 1931 г. и предполагаемом наличии их на 1 января 1932 г. Согласно этому документу самыми устаревшими истребителями в советской авиации были 74 самолета И-2 и И-2бис конструкции Д.П. Григоровича – их в ремонте было 19 из указанного числа, а оставить на плановую дату следовало 40.</w:t>
      </w:r>
    </w:p>
    <w:p w14:paraId="700668E9"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Эксплуатация самолета И-2 конструкции Д.П. Григоровича в военной авиации СССР продолжалась до 1933 г. (23560).</w:t>
      </w:r>
    </w:p>
    <w:p w14:paraId="40F39613" w14:textId="77777777" w:rsidR="00D210DB" w:rsidRPr="00441F34" w:rsidRDefault="00D210DB" w:rsidP="00D210DB">
      <w:pPr>
        <w:spacing w:after="0" w:line="240" w:lineRule="auto"/>
        <w:jc w:val="both"/>
        <w:rPr>
          <w:rFonts w:ascii="Times New Roman" w:hAnsi="Times New Roman"/>
          <w:color w:val="0070C0"/>
          <w:sz w:val="16"/>
          <w:szCs w:val="16"/>
        </w:rPr>
      </w:pPr>
    </w:p>
    <w:p w14:paraId="65F4C5DC" w14:textId="182A57CE" w:rsidR="008C31F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A578839" w14:textId="77777777" w:rsidR="008C31FB" w:rsidRPr="007122AB" w:rsidRDefault="008C31F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11E3DA"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августа в 1931 году на польском самолете </w:t>
      </w:r>
      <w:hyperlink r:id="rId164" w:tgtFrame="_blank" w:history="1">
        <w:r w:rsidRPr="007122AB">
          <w:rPr>
            <w:rFonts w:ascii="Times New Roman" w:hAnsi="Times New Roman"/>
            <w:color w:val="000000" w:themeColor="text1"/>
            <w:sz w:val="16"/>
            <w:szCs w:val="16"/>
          </w:rPr>
          <w:t xml:space="preserve">«RWD-7» </w:t>
        </w:r>
      </w:hyperlink>
      <w:r w:rsidRPr="007122AB">
        <w:rPr>
          <w:rFonts w:ascii="Times New Roman" w:hAnsi="Times New Roman"/>
          <w:color w:val="000000" w:themeColor="text1"/>
          <w:sz w:val="16"/>
          <w:szCs w:val="16"/>
        </w:rPr>
        <w:t xml:space="preserve">был установлен мировой рекорд скорости для легких спортивных самолетов - 178 км/ч. Уже в конце сентября самолет покорил еще один мировой рекорд в этом классе – «RWD-7» поднялся на высоту 6023 метра. «RWD-7» был разработан как рекордный самолет. Его конструкторами были три молодых инженера - Станислав </w:t>
      </w:r>
      <w:proofErr w:type="spellStart"/>
      <w:r w:rsidRPr="007122AB">
        <w:rPr>
          <w:rFonts w:ascii="Times New Roman" w:hAnsi="Times New Roman"/>
          <w:color w:val="000000" w:themeColor="text1"/>
          <w:sz w:val="16"/>
          <w:szCs w:val="16"/>
        </w:rPr>
        <w:t>Рогальский</w:t>
      </w:r>
      <w:proofErr w:type="spellEnd"/>
      <w:r w:rsidRPr="007122AB">
        <w:rPr>
          <w:rFonts w:ascii="Times New Roman" w:hAnsi="Times New Roman"/>
          <w:color w:val="000000" w:themeColor="text1"/>
          <w:sz w:val="16"/>
          <w:szCs w:val="16"/>
        </w:rPr>
        <w:t xml:space="preserve">, Станислав </w:t>
      </w:r>
      <w:proofErr w:type="spellStart"/>
      <w:r w:rsidRPr="007122AB">
        <w:rPr>
          <w:rFonts w:ascii="Times New Roman" w:hAnsi="Times New Roman"/>
          <w:color w:val="000000" w:themeColor="text1"/>
          <w:sz w:val="16"/>
          <w:szCs w:val="16"/>
        </w:rPr>
        <w:t>Вигура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Йержи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Дрзвеций</w:t>
      </w:r>
      <w:proofErr w:type="spellEnd"/>
      <w:r w:rsidRPr="007122AB">
        <w:rPr>
          <w:rFonts w:ascii="Times New Roman" w:hAnsi="Times New Roman"/>
          <w:color w:val="000000" w:themeColor="text1"/>
          <w:sz w:val="16"/>
          <w:szCs w:val="16"/>
        </w:rPr>
        <w:t xml:space="preserve">. Они использовали в конструкции самолета ряд решений опробованных ими в ранних моделях – «RWD-2» и «RWD-4». Единственный построенный экземпляр «RWD-7» взлетел в июле 1931 года, пилотируемый </w:t>
      </w:r>
      <w:proofErr w:type="spellStart"/>
      <w:r w:rsidRPr="007122AB">
        <w:rPr>
          <w:rFonts w:ascii="Times New Roman" w:hAnsi="Times New Roman"/>
          <w:color w:val="000000" w:themeColor="text1"/>
          <w:sz w:val="16"/>
          <w:szCs w:val="16"/>
        </w:rPr>
        <w:t>Йержи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Дрзвецием</w:t>
      </w:r>
      <w:proofErr w:type="spellEnd"/>
      <w:r w:rsidRPr="007122AB">
        <w:rPr>
          <w:rFonts w:ascii="Times New Roman" w:hAnsi="Times New Roman"/>
          <w:color w:val="000000" w:themeColor="text1"/>
          <w:sz w:val="16"/>
          <w:szCs w:val="16"/>
        </w:rPr>
        <w:t xml:space="preserve"> (14981).</w:t>
      </w:r>
    </w:p>
    <w:p w14:paraId="485EE076" w14:textId="77777777" w:rsidR="008C31FB" w:rsidRPr="007122AB" w:rsidRDefault="008C31FB" w:rsidP="007122AB">
      <w:pPr>
        <w:spacing w:after="0" w:line="240" w:lineRule="auto"/>
        <w:jc w:val="both"/>
        <w:rPr>
          <w:rFonts w:ascii="Times New Roman" w:hAnsi="Times New Roman"/>
          <w:color w:val="000000" w:themeColor="text1"/>
          <w:sz w:val="16"/>
          <w:szCs w:val="16"/>
        </w:rPr>
      </w:pPr>
    </w:p>
    <w:p w14:paraId="7AD5E68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AF9DD2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A6E5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августа 1931 закончились гос. испытания второго экземпляра И-5, которые шли с 13 июля 1931 и по результатам решили принять на вооружение (222,6).</w:t>
      </w:r>
    </w:p>
    <w:p w14:paraId="43B4F9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C901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августа 1931 закончились гос. испытания самолета И5 - М22 N 21117 эталона на 1933 год, которые проходили с 13 июля 1931.</w:t>
      </w:r>
    </w:p>
    <w:p w14:paraId="0A4C76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испытания:</w:t>
      </w:r>
    </w:p>
    <w:p w14:paraId="32663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160CA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w:t>
      </w:r>
      <w:proofErr w:type="spellStart"/>
      <w:r w:rsidRPr="007122AB">
        <w:rPr>
          <w:rFonts w:ascii="Times New Roman" w:hAnsi="Times New Roman"/>
          <w:color w:val="000000" w:themeColor="text1"/>
          <w:sz w:val="16"/>
          <w:szCs w:val="16"/>
        </w:rPr>
        <w:t>электровооружением</w:t>
      </w:r>
      <w:proofErr w:type="spellEnd"/>
      <w:r w:rsidRPr="007122AB">
        <w:rPr>
          <w:rFonts w:ascii="Times New Roman" w:hAnsi="Times New Roman"/>
          <w:color w:val="000000" w:themeColor="text1"/>
          <w:sz w:val="16"/>
          <w:szCs w:val="16"/>
        </w:rPr>
        <w:t xml:space="preserve">, новым подогревателем и заменой помпы АМ на помпу типа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w:t>
      </w:r>
    </w:p>
    <w:p w14:paraId="7DCCD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3581B0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4B570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И5 ЮVI</w:t>
      </w:r>
    </w:p>
    <w:p w14:paraId="651BB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N2 постройки ЦКБ - мотор Гном Рон _Юпитер_ VI 480 НР N 42071</w:t>
      </w:r>
    </w:p>
    <w:p w14:paraId="724D34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4AB6A5CE" w14:textId="77777777">
        <w:tc>
          <w:tcPr>
            <w:tcW w:w="5636" w:type="dxa"/>
          </w:tcPr>
          <w:p w14:paraId="16D93F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w:t>
            </w:r>
          </w:p>
        </w:tc>
        <w:tc>
          <w:tcPr>
            <w:tcW w:w="5636" w:type="dxa"/>
          </w:tcPr>
          <w:p w14:paraId="276AE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июля 1931 года</w:t>
            </w:r>
          </w:p>
        </w:tc>
      </w:tr>
      <w:tr w:rsidR="001002C3" w:rsidRPr="007122AB" w14:paraId="4969D4BF" w14:textId="77777777">
        <w:tc>
          <w:tcPr>
            <w:tcW w:w="5636" w:type="dxa"/>
          </w:tcPr>
          <w:p w14:paraId="5C03B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w:t>
            </w:r>
          </w:p>
        </w:tc>
        <w:tc>
          <w:tcPr>
            <w:tcW w:w="5636" w:type="dxa"/>
          </w:tcPr>
          <w:p w14:paraId="16A4C0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августа 1931 года</w:t>
            </w:r>
          </w:p>
        </w:tc>
      </w:tr>
      <w:tr w:rsidR="001002C3" w:rsidRPr="007122AB" w14:paraId="7B64B29A" w14:textId="77777777">
        <w:tc>
          <w:tcPr>
            <w:tcW w:w="5636" w:type="dxa"/>
          </w:tcPr>
          <w:p w14:paraId="7C138B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Летных дней </w:t>
            </w:r>
          </w:p>
        </w:tc>
        <w:tc>
          <w:tcPr>
            <w:tcW w:w="5636" w:type="dxa"/>
          </w:tcPr>
          <w:p w14:paraId="14DCF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r>
    </w:tbl>
    <w:p w14:paraId="6124B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самолет находился на испытаниях 31 день.</w:t>
      </w:r>
    </w:p>
    <w:p w14:paraId="5826F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A61B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произведенных испытаний НИИ считает:</w:t>
      </w:r>
    </w:p>
    <w:p w14:paraId="41B797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самолет И-5 ЮVI, обладая хорошими летными и эксплуатационными данными может быть признан современным истребителем.</w:t>
      </w:r>
    </w:p>
    <w:p w14:paraId="3B46A0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1F83A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082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августа 1931 г. И-5 прошел государственные испытания с положительной оценкой, которые проходили с 13 июля. Был сделан вывод о целесообразности принятия самоле</w:t>
      </w:r>
      <w:r w:rsidRPr="007122AB">
        <w:rPr>
          <w:rFonts w:ascii="Times New Roman" w:hAnsi="Times New Roman"/>
          <w:color w:val="000000" w:themeColor="text1"/>
          <w:sz w:val="16"/>
          <w:szCs w:val="16"/>
        </w:rPr>
        <w:softHyphen/>
        <w:t>та на вооружение ВВС РККА. Эта рекомендация «зад</w:t>
      </w:r>
      <w:r w:rsidRPr="007122AB">
        <w:rPr>
          <w:rFonts w:ascii="Times New Roman" w:hAnsi="Times New Roman"/>
          <w:color w:val="000000" w:themeColor="text1"/>
          <w:sz w:val="16"/>
          <w:szCs w:val="16"/>
        </w:rPr>
        <w:softHyphen/>
        <w:t>ним числом» официально утверждала уже принятое решение (10667).</w:t>
      </w:r>
    </w:p>
    <w:p w14:paraId="689C0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42D2CF" w14:textId="77777777" w:rsidR="00024EF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29E1AF3" w14:textId="77777777" w:rsidR="00024EF9" w:rsidRPr="007122AB" w:rsidRDefault="00024EF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7CCE9F" w14:textId="77777777" w:rsidR="00024EF9" w:rsidRPr="007122AB" w:rsidRDefault="00024EF9" w:rsidP="007122AB">
      <w:pPr>
        <w:pStyle w:val="rtejustify"/>
        <w:spacing w:before="0" w:after="0"/>
        <w:rPr>
          <w:color w:val="000000" w:themeColor="text1"/>
          <w:sz w:val="16"/>
          <w:szCs w:val="16"/>
        </w:rPr>
      </w:pPr>
      <w:r w:rsidRPr="007122AB">
        <w:rPr>
          <w:rStyle w:val="af0"/>
          <w:i w:val="0"/>
          <w:color w:val="000000" w:themeColor="text1"/>
          <w:sz w:val="16"/>
          <w:szCs w:val="16"/>
        </w:rPr>
        <w:t xml:space="preserve">13 августа 1931 г. Протокол Реввоенсовета № 29. </w:t>
      </w:r>
      <w:r w:rsidRPr="007122AB">
        <w:rPr>
          <w:color w:val="000000" w:themeColor="text1"/>
          <w:sz w:val="16"/>
          <w:szCs w:val="16"/>
        </w:rPr>
        <w:t>2. Итоги опытной мобилизации промышленности в 1930 г. и план опытных мобилизаций осени 1931 г. (в частности доклад Смилги о ходе выполнения МПС постановления Президиума ВСНХ по докладу Ефимова) (Кузнецов). 10. О состоянии работ по матчасти воздухоплавания (Алкснис). 16. О расширении функций Научно-авто-тракторного института соответственно потребностям РККА (</w:t>
      </w:r>
      <w:proofErr w:type="spellStart"/>
      <w:r w:rsidRPr="007122AB">
        <w:rPr>
          <w:color w:val="000000" w:themeColor="text1"/>
          <w:sz w:val="16"/>
          <w:szCs w:val="16"/>
        </w:rPr>
        <w:t>Халепский</w:t>
      </w:r>
      <w:proofErr w:type="spellEnd"/>
      <w:r w:rsidRPr="007122AB">
        <w:rPr>
          <w:color w:val="000000" w:themeColor="text1"/>
          <w:sz w:val="16"/>
          <w:szCs w:val="16"/>
        </w:rPr>
        <w:t>). 24. Импортный план на 1932 г. (Гиттис). (РГВА. Ф. 4. Оп. 18. Д. 21. Л. 81, 84, 85, 87) (12342).</w:t>
      </w:r>
    </w:p>
    <w:p w14:paraId="4D0F6448" w14:textId="77777777" w:rsidR="00024EF9" w:rsidRPr="007122AB" w:rsidRDefault="00024EF9" w:rsidP="007122AB">
      <w:pPr>
        <w:pStyle w:val="rtejustify"/>
        <w:spacing w:before="0" w:after="0"/>
        <w:rPr>
          <w:color w:val="000000" w:themeColor="text1"/>
          <w:sz w:val="16"/>
          <w:szCs w:val="16"/>
        </w:rPr>
      </w:pPr>
    </w:p>
    <w:p w14:paraId="6286F2AC"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13 августа 1931 </w:t>
      </w:r>
      <w:r w:rsidRPr="007122AB">
        <w:rPr>
          <w:rFonts w:ascii="Times New Roman" w:hAnsi="Times New Roman"/>
          <w:color w:val="000000" w:themeColor="text1"/>
          <w:sz w:val="16"/>
          <w:szCs w:val="16"/>
        </w:rPr>
        <w:t xml:space="preserve">ЦИК и СНК приняли постановление «О введении в действие положения о фондах премирования за достижения по выполнению и перевыполнению </w:t>
      </w:r>
      <w:proofErr w:type="spellStart"/>
      <w:r w:rsidRPr="007122AB">
        <w:rPr>
          <w:rFonts w:ascii="Times New Roman" w:hAnsi="Times New Roman"/>
          <w:color w:val="000000" w:themeColor="text1"/>
          <w:sz w:val="16"/>
          <w:szCs w:val="16"/>
        </w:rPr>
        <w:t>промфинплана</w:t>
      </w:r>
      <w:proofErr w:type="spellEnd"/>
      <w:r w:rsidRPr="007122AB">
        <w:rPr>
          <w:rFonts w:ascii="Times New Roman" w:hAnsi="Times New Roman"/>
          <w:color w:val="000000" w:themeColor="text1"/>
          <w:sz w:val="16"/>
          <w:szCs w:val="16"/>
        </w:rPr>
        <w:t>, а также за изобретения, технические усовершенствования и рационализаторские предложения» (12265).</w:t>
      </w:r>
    </w:p>
    <w:p w14:paraId="6E18AC7D"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39E28DA" w14:textId="77777777" w:rsidR="008C31F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5920D56" w14:textId="77777777" w:rsidR="008C31FB" w:rsidRPr="007122AB" w:rsidRDefault="008C31F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16636C"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августа в 1931 году в небо поднялся первый четырехмоторный </w:t>
      </w:r>
      <w:hyperlink r:id="rId165" w:tgtFrame="_blank" w:history="1">
        <w:r w:rsidRPr="007122AB">
          <w:rPr>
            <w:rFonts w:ascii="Times New Roman" w:hAnsi="Times New Roman"/>
            <w:color w:val="000000" w:themeColor="text1"/>
            <w:sz w:val="16"/>
            <w:szCs w:val="16"/>
          </w:rPr>
          <w:t>«H.P.42W» "Геракл" ("</w:t>
        </w:r>
        <w:proofErr w:type="spellStart"/>
        <w:r w:rsidRPr="007122AB">
          <w:rPr>
            <w:rFonts w:ascii="Times New Roman" w:hAnsi="Times New Roman"/>
            <w:color w:val="000000" w:themeColor="text1"/>
            <w:sz w:val="16"/>
            <w:szCs w:val="16"/>
          </w:rPr>
          <w:t>Неracle</w:t>
        </w:r>
        <w:proofErr w:type="spellEnd"/>
        <w:r w:rsidRPr="007122AB">
          <w:rPr>
            <w:rFonts w:ascii="Times New Roman" w:hAnsi="Times New Roman"/>
            <w:color w:val="000000" w:themeColor="text1"/>
            <w:sz w:val="16"/>
            <w:szCs w:val="16"/>
          </w:rPr>
          <w:t xml:space="preserve">" ) «G-AAXC». </w:t>
        </w:r>
      </w:hyperlink>
      <w:r w:rsidRPr="007122AB">
        <w:rPr>
          <w:rFonts w:ascii="Times New Roman" w:hAnsi="Times New Roman"/>
          <w:color w:val="000000" w:themeColor="text1"/>
          <w:sz w:val="16"/>
          <w:szCs w:val="16"/>
        </w:rPr>
        <w:t xml:space="preserve">После устранения неполадок с выхлопными трубами на верхних двигателях "Геракл" перелетел на основную базу "Империал </w:t>
      </w:r>
      <w:proofErr w:type="spellStart"/>
      <w:r w:rsidRPr="007122AB">
        <w:rPr>
          <w:rFonts w:ascii="Times New Roman" w:hAnsi="Times New Roman"/>
          <w:color w:val="000000" w:themeColor="text1"/>
          <w:sz w:val="16"/>
          <w:szCs w:val="16"/>
        </w:rPr>
        <w:t>Эйруэйз</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Кройдоне</w:t>
      </w:r>
      <w:proofErr w:type="spellEnd"/>
      <w:r w:rsidRPr="007122AB">
        <w:rPr>
          <w:rFonts w:ascii="Times New Roman" w:hAnsi="Times New Roman"/>
          <w:color w:val="000000" w:themeColor="text1"/>
          <w:sz w:val="16"/>
          <w:szCs w:val="16"/>
        </w:rPr>
        <w:t xml:space="preserve"> (14982).</w:t>
      </w:r>
    </w:p>
    <w:p w14:paraId="48F11581" w14:textId="77777777" w:rsidR="008C31FB" w:rsidRPr="007122AB" w:rsidRDefault="008C31FB" w:rsidP="007122AB">
      <w:pPr>
        <w:spacing w:after="0" w:line="240" w:lineRule="auto"/>
        <w:jc w:val="both"/>
        <w:rPr>
          <w:rFonts w:ascii="Times New Roman" w:hAnsi="Times New Roman"/>
          <w:color w:val="000000" w:themeColor="text1"/>
          <w:sz w:val="16"/>
          <w:szCs w:val="16"/>
        </w:rPr>
      </w:pPr>
    </w:p>
    <w:p w14:paraId="63D2C5A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7F5CF6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C2217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августа 1931 г. был выполнен первый полет цельнометаллического пассажирского самолета АНТ-14 "Правда" (6395).</w:t>
      </w:r>
    </w:p>
    <w:p w14:paraId="62F9EE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09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(13 - 274) (15 - 438,626) августа 1931 состоялся первый полет АНТ-14 в Москве (71,183), а 15 августа - второй (92,437). Летал </w:t>
      </w:r>
      <w:proofErr w:type="spellStart"/>
      <w:r w:rsidRPr="007122AB">
        <w:rPr>
          <w:rFonts w:ascii="Times New Roman" w:hAnsi="Times New Roman"/>
          <w:color w:val="000000" w:themeColor="text1"/>
          <w:sz w:val="16"/>
          <w:szCs w:val="16"/>
        </w:rPr>
        <w:t>М.М.Громов</w:t>
      </w:r>
      <w:proofErr w:type="spellEnd"/>
      <w:r w:rsidRPr="007122AB">
        <w:rPr>
          <w:rFonts w:ascii="Times New Roman" w:hAnsi="Times New Roman"/>
          <w:color w:val="000000" w:themeColor="text1"/>
          <w:sz w:val="16"/>
          <w:szCs w:val="16"/>
        </w:rPr>
        <w:t xml:space="preserve"> (346,52) и </w:t>
      </w:r>
      <w:proofErr w:type="spellStart"/>
      <w:r w:rsidRPr="007122AB">
        <w:rPr>
          <w:rFonts w:ascii="Times New Roman" w:hAnsi="Times New Roman"/>
          <w:color w:val="000000" w:themeColor="text1"/>
          <w:sz w:val="16"/>
          <w:szCs w:val="16"/>
        </w:rPr>
        <w:t>И.Ф.Козлов</w:t>
      </w:r>
      <w:proofErr w:type="spellEnd"/>
      <w:r w:rsidRPr="007122AB">
        <w:rPr>
          <w:rFonts w:ascii="Times New Roman" w:hAnsi="Times New Roman"/>
          <w:color w:val="000000" w:themeColor="text1"/>
          <w:sz w:val="16"/>
          <w:szCs w:val="16"/>
        </w:rPr>
        <w:t xml:space="preserve"> (438,626). В авиаэскадрилье МГ использовался для платных полетов над Москвой почти 10 лет. 1000 полетов, 40 тыс. пассажиров без проблем. Два раза летал в Харьков и один раз в Ленинград (92,437). Затем в 1942 его перевезли в Парк Горького и он стал первым в стране авиа кинотеатром для детей (77,106).</w:t>
      </w:r>
    </w:p>
    <w:p w14:paraId="12DF69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D2F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августа 1931 года был выпущен пассажирский самолет АНТ-14 на 2,5 месяца раньше срока. После упомянутой даты самолет АНТ-14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7C1F3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этого самолет АНТ-14 полетов не производил, в эксплуатацию не вступил и не был сдан до середины сентября. Причиной этого стало то, что самолет был недоделан: в нем отсутствует телефонное сообщение между пилотами и командиром корабля, электропроводка для освещения, испорчен центральный мотор и т.д. (7753, 190).</w:t>
      </w:r>
    </w:p>
    <w:p w14:paraId="55D2F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878B18" w14:textId="77777777" w:rsidR="005F6ACD" w:rsidRPr="007122AB" w:rsidRDefault="005F6ACD" w:rsidP="007122AB">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14 августа 1931 года летчик-испытатель М.М. Громов впервые поднял в воздух </w:t>
      </w:r>
      <w:proofErr w:type="spellStart"/>
      <w:r w:rsidRPr="007122AB">
        <w:rPr>
          <w:rFonts w:ascii="Times New Roman" w:eastAsia="Times New Roman" w:hAnsi="Times New Roman"/>
          <w:color w:val="000000" w:themeColor="text1"/>
          <w:sz w:val="16"/>
          <w:szCs w:val="16"/>
          <w:lang w:eastAsia="ru-RU"/>
        </w:rPr>
        <w:t>пятимоторный</w:t>
      </w:r>
      <w:proofErr w:type="spellEnd"/>
      <w:r w:rsidRPr="007122AB">
        <w:rPr>
          <w:rFonts w:ascii="Times New Roman" w:eastAsia="Times New Roman" w:hAnsi="Times New Roman"/>
          <w:color w:val="000000" w:themeColor="text1"/>
          <w:sz w:val="16"/>
          <w:szCs w:val="16"/>
          <w:lang w:eastAsia="ru-RU"/>
        </w:rPr>
        <w:t xml:space="preserve"> самолет-гигант АНТ-14, способный перевозить до 36 пассажиров. Однако потребность в столь большом самолете на авиалиниях пока не возникла, и АНТ-14 остался в единственном экземпляре, став в 1933 году флагманом эскадрильи имени Максима Горького, получив собственное наименование – «Правда» (21249).</w:t>
      </w:r>
    </w:p>
    <w:p w14:paraId="73EFE318" w14:textId="77777777" w:rsidR="005F6ACD" w:rsidRPr="007122AB" w:rsidRDefault="005F6ACD" w:rsidP="007122AB">
      <w:pPr>
        <w:spacing w:after="0" w:line="240" w:lineRule="auto"/>
        <w:jc w:val="both"/>
        <w:rPr>
          <w:rFonts w:ascii="Times New Roman" w:hAnsi="Times New Roman"/>
          <w:color w:val="000000" w:themeColor="text1"/>
          <w:sz w:val="16"/>
          <w:szCs w:val="16"/>
          <w:lang w:eastAsia="ru-RU" w:bidi="ru-RU"/>
        </w:rPr>
      </w:pPr>
    </w:p>
    <w:p w14:paraId="1A0F97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августа 1931 г. состоялся первый полет опытного образца АНТ-14, второй имел место на следующий день. Машину в обоих случаях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6344A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5AD64D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6A715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ABC11F"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августа в 1931 году первый полет цельнометаллического пассажирского самолета </w:t>
      </w:r>
      <w:hyperlink r:id="rId166" w:tgtFrame="_blank" w:history="1">
        <w:r w:rsidRPr="007122AB">
          <w:rPr>
            <w:rFonts w:ascii="Times New Roman" w:hAnsi="Times New Roman"/>
            <w:color w:val="000000" w:themeColor="text1"/>
            <w:sz w:val="16"/>
            <w:szCs w:val="16"/>
          </w:rPr>
          <w:t xml:space="preserve">«АНТ-14» «Правда», </w:t>
        </w:r>
      </w:hyperlink>
      <w:proofErr w:type="spellStart"/>
      <w:r w:rsidRPr="007122AB">
        <w:rPr>
          <w:rFonts w:ascii="Times New Roman" w:hAnsi="Times New Roman"/>
          <w:color w:val="000000" w:themeColor="text1"/>
          <w:sz w:val="16"/>
          <w:szCs w:val="16"/>
        </w:rPr>
        <w:t>М.М.Громов</w:t>
      </w:r>
      <w:proofErr w:type="spellEnd"/>
      <w:r w:rsidRPr="007122AB">
        <w:rPr>
          <w:rFonts w:ascii="Times New Roman" w:hAnsi="Times New Roman"/>
          <w:color w:val="000000" w:themeColor="text1"/>
          <w:sz w:val="16"/>
          <w:szCs w:val="16"/>
        </w:rPr>
        <w:t xml:space="preserve">. Этот пассажирский самолет на 35 мест с 5-ю моторами строился для предполагавшейся трансконтинентальной линии Москва-Владивосток. Серия не строилась, поскольку из-за малого пассажиропотока использование самолета было нерентабельным. Самолет «АНТ-14» </w:t>
      </w:r>
      <w:proofErr w:type="spellStart"/>
      <w:r w:rsidRPr="007122AB">
        <w:rPr>
          <w:rFonts w:ascii="Times New Roman" w:hAnsi="Times New Roman"/>
          <w:color w:val="000000" w:themeColor="text1"/>
          <w:sz w:val="16"/>
          <w:szCs w:val="16"/>
        </w:rPr>
        <w:t>быд</w:t>
      </w:r>
      <w:proofErr w:type="spellEnd"/>
      <w:r w:rsidRPr="007122AB">
        <w:rPr>
          <w:rFonts w:ascii="Times New Roman" w:hAnsi="Times New Roman"/>
          <w:color w:val="000000" w:themeColor="text1"/>
          <w:sz w:val="16"/>
          <w:szCs w:val="16"/>
        </w:rPr>
        <w:t xml:space="preserve"> флагманом </w:t>
      </w:r>
      <w:proofErr w:type="spellStart"/>
      <w:r w:rsidRPr="007122AB">
        <w:rPr>
          <w:rFonts w:ascii="Times New Roman" w:hAnsi="Times New Roman"/>
          <w:color w:val="000000" w:themeColor="text1"/>
          <w:sz w:val="16"/>
          <w:szCs w:val="16"/>
        </w:rPr>
        <w:t>агитэскадрильи</w:t>
      </w:r>
      <w:proofErr w:type="spellEnd"/>
      <w:r w:rsidRPr="007122AB">
        <w:rPr>
          <w:rFonts w:ascii="Times New Roman" w:hAnsi="Times New Roman"/>
          <w:color w:val="000000" w:themeColor="text1"/>
          <w:sz w:val="16"/>
          <w:szCs w:val="16"/>
        </w:rPr>
        <w:t xml:space="preserve"> имени </w:t>
      </w:r>
      <w:proofErr w:type="spellStart"/>
      <w:r w:rsidRPr="007122AB">
        <w:rPr>
          <w:rFonts w:ascii="Times New Roman" w:hAnsi="Times New Roman"/>
          <w:color w:val="000000" w:themeColor="text1"/>
          <w:sz w:val="16"/>
          <w:szCs w:val="16"/>
        </w:rPr>
        <w:t>М.Горького</w:t>
      </w:r>
      <w:proofErr w:type="spellEnd"/>
      <w:r w:rsidRPr="007122AB">
        <w:rPr>
          <w:rFonts w:ascii="Times New Roman" w:hAnsi="Times New Roman"/>
          <w:color w:val="000000" w:themeColor="text1"/>
          <w:sz w:val="16"/>
          <w:szCs w:val="16"/>
        </w:rPr>
        <w:t xml:space="preserve"> (14983).</w:t>
      </w:r>
    </w:p>
    <w:p w14:paraId="101C88B3" w14:textId="77777777" w:rsidR="008C31FB" w:rsidRPr="007122AB" w:rsidRDefault="008C31FB" w:rsidP="007122AB">
      <w:pPr>
        <w:spacing w:after="0" w:line="240" w:lineRule="auto"/>
        <w:jc w:val="both"/>
        <w:rPr>
          <w:rFonts w:ascii="Times New Roman" w:hAnsi="Times New Roman"/>
          <w:color w:val="000000" w:themeColor="text1"/>
          <w:sz w:val="16"/>
          <w:szCs w:val="16"/>
        </w:rPr>
      </w:pPr>
    </w:p>
    <w:p w14:paraId="57F627E2"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августа 1931г. М.М. Громов впер</w:t>
      </w:r>
      <w:r w:rsidRPr="00441F34">
        <w:rPr>
          <w:rFonts w:ascii="Times New Roman" w:hAnsi="Times New Roman"/>
          <w:color w:val="0070C0"/>
          <w:sz w:val="16"/>
          <w:szCs w:val="16"/>
        </w:rPr>
        <w:softHyphen/>
        <w:t xml:space="preserve">вые поднял АНТ—14 в воздух. На следующий день состоялся второй полет. По оценке Громова, «самолет в воздухе вел АНТ-14. У колеса стоит себя прекрасно, легко управлялся и мало реагировал на воздушные течения». </w:t>
      </w:r>
      <w:proofErr w:type="spellStart"/>
      <w:r w:rsidRPr="00441F34">
        <w:rPr>
          <w:rFonts w:ascii="Times New Roman" w:hAnsi="Times New Roman"/>
          <w:color w:val="0070C0"/>
          <w:sz w:val="16"/>
          <w:szCs w:val="16"/>
        </w:rPr>
        <w:t>Ипытания</w:t>
      </w:r>
      <w:proofErr w:type="spellEnd"/>
      <w:r w:rsidRPr="00441F34">
        <w:rPr>
          <w:rFonts w:ascii="Times New Roman" w:hAnsi="Times New Roman"/>
          <w:color w:val="0070C0"/>
          <w:sz w:val="16"/>
          <w:szCs w:val="16"/>
        </w:rPr>
        <w:t xml:space="preserve"> прошли без всяких осложнений.</w:t>
      </w:r>
    </w:p>
    <w:p w14:paraId="1965009D"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Оказалось, что количество кресел можно АНТ-14 на Центральном увеличить еще на четыре, тогда машина сможет брать 36 пассажиров (23474).</w:t>
      </w:r>
    </w:p>
    <w:p w14:paraId="52D55602" w14:textId="77777777" w:rsidR="00D210DB" w:rsidRPr="00441F34" w:rsidRDefault="00D210DB" w:rsidP="00D210DB">
      <w:pPr>
        <w:spacing w:after="0" w:line="240" w:lineRule="auto"/>
        <w:jc w:val="both"/>
        <w:rPr>
          <w:rFonts w:ascii="Times New Roman" w:hAnsi="Times New Roman"/>
          <w:color w:val="0070C0"/>
          <w:sz w:val="16"/>
          <w:szCs w:val="16"/>
        </w:rPr>
      </w:pPr>
    </w:p>
    <w:p w14:paraId="31B4E49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3B32D9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E97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14 по 22 августа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из ЛМК было сделано 102 выстрела. 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160451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3EB1E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 8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вместо предполагаемых 10–12; при дальности 1400 м рассеивание 150 м.</w:t>
      </w:r>
    </w:p>
    <w:p w14:paraId="48F6F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вооружение ЛМК принята не была и больше не заказывалась.</w:t>
      </w:r>
    </w:p>
    <w:p w14:paraId="46990E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8CC63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Данные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w:t>
      </w:r>
    </w:p>
    <w:p w14:paraId="54041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3D08F2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без воронки,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605/8</w:t>
      </w:r>
    </w:p>
    <w:p w14:paraId="1B5E8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(сопла), мм — 550</w:t>
      </w:r>
    </w:p>
    <w:p w14:paraId="15264B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Угол ВН, град — ?10°; +60°</w:t>
      </w:r>
    </w:p>
    <w:p w14:paraId="79185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4°30?</w:t>
      </w:r>
    </w:p>
    <w:p w14:paraId="35FAB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боевом и походном (на руках) положении, мм — 750</w:t>
      </w:r>
    </w:p>
    <w:p w14:paraId="6DEB4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станин (длина станка от оси до края), мм — 900</w:t>
      </w:r>
    </w:p>
    <w:p w14:paraId="772A4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хода, мм — 510</w:t>
      </w:r>
    </w:p>
    <w:p w14:paraId="2C8C6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колеса, мм — 300</w:t>
      </w:r>
    </w:p>
    <w:p w14:paraId="20E7C0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сложенном положении, мм — 490</w:t>
      </w:r>
    </w:p>
    <w:p w14:paraId="75BDF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с воронкой, кг — 21,2</w:t>
      </w:r>
    </w:p>
    <w:p w14:paraId="1317A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воронки (сопло), кг — 4,20</w:t>
      </w:r>
    </w:p>
    <w:p w14:paraId="0D2C0D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прицела, кг — 1,5</w:t>
      </w:r>
    </w:p>
    <w:p w14:paraId="6E20F5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14,15</w:t>
      </w:r>
    </w:p>
    <w:p w14:paraId="01716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системы, кг — 38</w:t>
      </w:r>
    </w:p>
    <w:p w14:paraId="7773C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расчетная — 10–12</w:t>
      </w:r>
    </w:p>
    <w:p w14:paraId="30E36C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практическая — 8</w:t>
      </w:r>
    </w:p>
    <w:p w14:paraId="1FD2A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боевого положения в походное, с — 20–30</w:t>
      </w:r>
    </w:p>
    <w:p w14:paraId="6FAE2B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Собственно, ЛМК и мортирой назвать нельзя. Видимо,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7B86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стрельбе из мортиры использовались опытные легкие снаряды весом от 3,2 до 4 кг. Выстрел унитарный. Заряд 320 г пороха ВЛ помещался в сгорающую гильзу из </w:t>
      </w:r>
      <w:proofErr w:type="spellStart"/>
      <w:r w:rsidRPr="007122AB">
        <w:rPr>
          <w:rFonts w:ascii="Times New Roman" w:hAnsi="Times New Roman"/>
          <w:color w:val="000000" w:themeColor="text1"/>
          <w:sz w:val="16"/>
          <w:szCs w:val="16"/>
        </w:rPr>
        <w:t>нитроткани</w:t>
      </w:r>
      <w:proofErr w:type="spellEnd"/>
      <w:r w:rsidRPr="007122AB">
        <w:rPr>
          <w:rFonts w:ascii="Times New Roman" w:hAnsi="Times New Roman"/>
          <w:color w:val="000000" w:themeColor="text1"/>
          <w:sz w:val="16"/>
          <w:szCs w:val="16"/>
        </w:rPr>
        <w:t xml:space="preserve"> с деревянным поддоном. Длина гильзы 112 мм.</w:t>
      </w:r>
    </w:p>
    <w:p w14:paraId="48D79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Максимальное давление в канале составляло 1800 кг/см2.</w:t>
      </w:r>
    </w:p>
    <w:p w14:paraId="113B5B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образец 76-мм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2D2C45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7D4147"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14 по 22 августа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из ЛМК было сделано 102 выстрела. В начале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5E3E08CC"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0CE4694E" w14:textId="77777777" w:rsidR="008C31FB" w:rsidRPr="007122AB" w:rsidRDefault="008C31F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 xml:space="preserve">Данные легкой мортиры </w:t>
      </w:r>
      <w:proofErr w:type="spellStart"/>
      <w:r w:rsidRPr="007122AB">
        <w:rPr>
          <w:rFonts w:ascii="Times New Roman" w:hAnsi="Times New Roman"/>
          <w:bCs/>
          <w:color w:val="000000" w:themeColor="text1"/>
          <w:sz w:val="16"/>
          <w:szCs w:val="16"/>
        </w:rPr>
        <w:t>Курчевского</w:t>
      </w:r>
      <w:proofErr w:type="spellEnd"/>
    </w:p>
    <w:p w14:paraId="31A89E18"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2CC5C082"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без воронки,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605/8</w:t>
      </w:r>
    </w:p>
    <w:p w14:paraId="39770123"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(сопла), мм …… 550</w:t>
      </w:r>
    </w:p>
    <w:p w14:paraId="25736140"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ВН, град …… -10°; +60°</w:t>
      </w:r>
    </w:p>
    <w:p w14:paraId="56669D4E"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±4°30'</w:t>
      </w:r>
    </w:p>
    <w:p w14:paraId="39AD96FF"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боевом и походном (на руках) положении, мм …… 750</w:t>
      </w:r>
    </w:p>
    <w:p w14:paraId="5386906C"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станин (длина станка от оси до края), мм …… 900</w:t>
      </w:r>
    </w:p>
    <w:p w14:paraId="6C5F6CA1"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хода, мм …… 510</w:t>
      </w:r>
    </w:p>
    <w:p w14:paraId="23D73DD2"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колеса, мм …… 300</w:t>
      </w:r>
    </w:p>
    <w:p w14:paraId="136B7955"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сложенном положении, мм …… 490</w:t>
      </w:r>
    </w:p>
    <w:p w14:paraId="1D1A75C4"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с воронкой, кг …… 21,2</w:t>
      </w:r>
    </w:p>
    <w:p w14:paraId="1B24A969"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воронки (сопло), кг …… 4,20</w:t>
      </w:r>
    </w:p>
    <w:p w14:paraId="6883E660"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прицела, кг …… 1,5</w:t>
      </w:r>
    </w:p>
    <w:p w14:paraId="2729EAC9"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14,15</w:t>
      </w:r>
    </w:p>
    <w:p w14:paraId="0E20E8CE"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системы, кг …… 38</w:t>
      </w:r>
    </w:p>
    <w:p w14:paraId="1F8FDAC3"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w:t>
      </w:r>
    </w:p>
    <w:p w14:paraId="6CC83FF5"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расчетная …… 10—12</w:t>
      </w:r>
    </w:p>
    <w:p w14:paraId="594A8107"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практическая …… 8</w:t>
      </w:r>
    </w:p>
    <w:p w14:paraId="1A44E075"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боевого положения в походное, с …… 20—30</w:t>
      </w:r>
    </w:p>
    <w:p w14:paraId="5F63A618"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Собственно ЛМК и мортирой назвать нельзя. Видимо,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CE7CC66"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стрельбе из мортиры использовались опытные легкие снаряды весом от 3,2 до 4 кг. Выстрел унитарный. Заряд 320 г пороха ВЛ помещался в сгорающую гильзу из </w:t>
      </w:r>
      <w:proofErr w:type="spellStart"/>
      <w:r w:rsidRPr="007122AB">
        <w:rPr>
          <w:rFonts w:ascii="Times New Roman" w:hAnsi="Times New Roman"/>
          <w:color w:val="000000" w:themeColor="text1"/>
          <w:sz w:val="16"/>
          <w:szCs w:val="16"/>
        </w:rPr>
        <w:t>нитроткани</w:t>
      </w:r>
      <w:proofErr w:type="spellEnd"/>
      <w:r w:rsidRPr="007122AB">
        <w:rPr>
          <w:rFonts w:ascii="Times New Roman" w:hAnsi="Times New Roman"/>
          <w:color w:val="000000" w:themeColor="text1"/>
          <w:sz w:val="16"/>
          <w:szCs w:val="16"/>
        </w:rPr>
        <w:t xml:space="preserve"> с деревянным поддоном. Длина гильзы 112 мм.</w:t>
      </w:r>
    </w:p>
    <w:p w14:paraId="33992B30" w14:textId="77777777" w:rsidR="008C31FB" w:rsidRPr="007122AB" w:rsidRDefault="008C31F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Баллистические данные, полученные на испытаниях</w:t>
      </w:r>
    </w:p>
    <w:p w14:paraId="161AAAE1" w14:textId="77777777" w:rsidR="008C31FB" w:rsidRPr="007122AB" w:rsidRDefault="008C31F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181A366F"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3,9 …… 173,6 — 1200 — 15° </w:t>
      </w:r>
    </w:p>
    <w:p w14:paraId="40A6F8BF"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3,2 …… 205,2 — 3000 — 35° </w:t>
      </w:r>
    </w:p>
    <w:p w14:paraId="60A1889B"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 170 — 2200 — 41º — 1600</w:t>
      </w:r>
    </w:p>
    <w:p w14:paraId="30029E9E"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Максимальное давление в канале составляло 1800 кг/см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6F8BD3FC"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образец 76-мм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был изготовлен на заводе № 8. После заводских испытаний в объеме 100 выстрелов его отправили на полигонные испытания. На НИАП мортира прибыла 12 августа 1931 г.</w:t>
      </w:r>
    </w:p>
    <w:p w14:paraId="62505A6A"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3FA975B1"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вместо предполагаемых 10-12; при дальности 1400 м рассеивание 150 м.</w:t>
      </w:r>
    </w:p>
    <w:p w14:paraId="6314D154" w14:textId="77777777" w:rsidR="008C31FB" w:rsidRPr="007122AB" w:rsidRDefault="008C31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вооружение ЛМК принята не была и больше не заказывалась (15117).</w:t>
      </w:r>
    </w:p>
    <w:p w14:paraId="30AF6F0A" w14:textId="77777777" w:rsidR="008C31FB" w:rsidRPr="007122AB" w:rsidRDefault="008C31FB" w:rsidP="007122AB">
      <w:pPr>
        <w:spacing w:after="0" w:line="240" w:lineRule="auto"/>
        <w:jc w:val="both"/>
        <w:rPr>
          <w:rFonts w:ascii="Times New Roman" w:hAnsi="Times New Roman"/>
          <w:color w:val="000000" w:themeColor="text1"/>
          <w:sz w:val="16"/>
          <w:szCs w:val="16"/>
        </w:rPr>
      </w:pPr>
    </w:p>
    <w:p w14:paraId="55439F35"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14 августа</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169сс о милитаризации рабочих и служащих полевых органов НКПС (ГА РФ. Ф. Р?8418. Оп. 28. Д. 14а. Л. 54) (12415).</w:t>
      </w:r>
    </w:p>
    <w:p w14:paraId="1E3FA686"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СНК СССР № 170сс об утверждении Положения об обсервационных пунктах (карантинах) на военное время (ГА РФ. Ф. Р?8418. Оп. 28. Д. 14а. Л. 55?59) (12415).</w:t>
      </w:r>
    </w:p>
    <w:p w14:paraId="0AE4163C"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СНК СССР № 171с об отсрочках по призыву па действительную военную службу в 1931 г. для промышленности (ГА РФ. Ф. Р?8418. Оп. 28. Д. 14а. Л. 60) (12415).</w:t>
      </w:r>
    </w:p>
    <w:p w14:paraId="6B35AE12"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СТО СССР № 174сс об обеспечении оборонительного и казарменного строительства НКВМ (ГА РФ. Ф. Р?8418. Оп. 28. Д. 1а. Л. 55?57) (12415).</w:t>
      </w:r>
    </w:p>
    <w:p w14:paraId="0563E42D" w14:textId="77777777" w:rsidR="00024EF9" w:rsidRPr="007122AB" w:rsidRDefault="00024EF9" w:rsidP="007122AB">
      <w:pPr>
        <w:spacing w:after="0" w:line="240" w:lineRule="auto"/>
        <w:jc w:val="both"/>
        <w:rPr>
          <w:rFonts w:ascii="Times New Roman" w:hAnsi="Times New Roman"/>
          <w:color w:val="000000" w:themeColor="text1"/>
          <w:sz w:val="16"/>
          <w:szCs w:val="16"/>
          <w:u w:color="002060"/>
        </w:rPr>
      </w:pPr>
    </w:p>
    <w:p w14:paraId="64353ABB"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14 августа 1931 </w:t>
      </w:r>
      <w:r w:rsidRPr="007122AB">
        <w:rPr>
          <w:rFonts w:ascii="Times New Roman" w:hAnsi="Times New Roman"/>
          <w:color w:val="000000" w:themeColor="text1"/>
          <w:sz w:val="16"/>
          <w:szCs w:val="16"/>
        </w:rPr>
        <w:t>Политбюро ЦК В(КП(б) одобрило директивы по контрольным цифрам на 1932 г., указав на необходимость при составлении встречных планов исходить из утвержденного правительством народнохозяйственного плана (12265).</w:t>
      </w:r>
    </w:p>
    <w:p w14:paraId="691B1476"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EECEEB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28F12B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5CDB2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14 и 20 августа 1931. Из протокола заседания Политбюро № 56, 1931 г.</w:t>
      </w:r>
    </w:p>
    <w:p w14:paraId="6F3FD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создании Комиссии по разгрузке Москвы </w:t>
      </w:r>
    </w:p>
    <w:p w14:paraId="006512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Принять предложение Секретариата ЦК об организации Комиссии Политбюро (с последующим оформлением ее как комиссии СНК РСФСР) по разгрузке Москвы от различных учреждений и учебных заведений, которые могут быть переведены в другие города СССР (11652).</w:t>
      </w:r>
    </w:p>
    <w:p w14:paraId="409455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B176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14 и 20 августа 1931. Из протокола заседания Политбюро № 56, 1931 г.</w:t>
      </w:r>
    </w:p>
    <w:p w14:paraId="54091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положении с топливом</w:t>
      </w:r>
    </w:p>
    <w:p w14:paraId="7CD81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выработки проекта создать Комиссию... Комиссии исходить из следующих директив: </w:t>
      </w:r>
    </w:p>
    <w:p w14:paraId="0888A6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конкретно установить, какие железные дороги могут быть переведены на нефть, какие — на дрова и какие должны оставаться на угле; </w:t>
      </w:r>
    </w:p>
    <w:p w14:paraId="7D61B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установить, какие район и предприятия могут быть освобождены от снабжения донецким топливом и переведены на местное... </w:t>
      </w:r>
    </w:p>
    <w:p w14:paraId="2A09F8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разработать меры максимального увеличения добычи топлива: угля, дров, торфа,— в особенности обеспечение выбора торфа (11652).</w:t>
      </w:r>
    </w:p>
    <w:p w14:paraId="5B8177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CA0F2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2B4FB2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13DD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августа 1931 бывший президент Литвы профессор </w:t>
      </w:r>
      <w:proofErr w:type="spellStart"/>
      <w:r w:rsidRPr="007122AB">
        <w:rPr>
          <w:rFonts w:ascii="Times New Roman" w:hAnsi="Times New Roman"/>
          <w:color w:val="000000" w:themeColor="text1"/>
          <w:sz w:val="16"/>
          <w:szCs w:val="16"/>
        </w:rPr>
        <w:t>Вольдемарс</w:t>
      </w:r>
      <w:proofErr w:type="spellEnd"/>
      <w:r w:rsidRPr="007122AB">
        <w:rPr>
          <w:rFonts w:ascii="Times New Roman" w:hAnsi="Times New Roman"/>
          <w:color w:val="000000" w:themeColor="text1"/>
          <w:sz w:val="16"/>
          <w:szCs w:val="16"/>
        </w:rPr>
        <w:t xml:space="preserve"> и 23 его сторонника обвинены литовским судом в заговоре с целью захвата власти (4962).</w:t>
      </w:r>
    </w:p>
    <w:p w14:paraId="693040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38E82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12EB7E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52A2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в НИИ ВВС закончился первый этап испытаний (образца для серии) самолета И5 № 18 с мотором М15, которые проходили с 30 июля 1931.</w:t>
      </w:r>
    </w:p>
    <w:p w14:paraId="65325E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 (образца для серии) самолета И5 № 18 с мотором М15</w:t>
      </w:r>
    </w:p>
    <w:p w14:paraId="5869C4B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6CAB85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0B1D34B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7A7D4D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сообщению завода № 39 данный самолет в сравнении с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xml:space="preserve"> VI усилен ………….</w:t>
      </w:r>
    </w:p>
    <w:p w14:paraId="340727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11800C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787852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3AFBB8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 испытания</w:t>
      </w:r>
    </w:p>
    <w:p w14:paraId="65D1EDC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первого испытания самолет И5 № 18 произвел следующие полеты:</w:t>
      </w:r>
    </w:p>
    <w:p w14:paraId="419C81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2C29958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52598D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09133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второго испытания произведены следующие полеты:</w:t>
      </w:r>
    </w:p>
    <w:p w14:paraId="6D7671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3E240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9E42D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1AEE6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w:t>
      </w:r>
      <w:proofErr w:type="spellStart"/>
      <w:r w:rsidRPr="007122AB">
        <w:rPr>
          <w:rFonts w:ascii="Times New Roman" w:hAnsi="Times New Roman"/>
          <w:color w:val="000000" w:themeColor="text1"/>
          <w:sz w:val="16"/>
          <w:szCs w:val="16"/>
        </w:rPr>
        <w:t>ЮпVI</w:t>
      </w:r>
      <w:proofErr w:type="spellEnd"/>
      <w:r w:rsidRPr="007122AB">
        <w:rPr>
          <w:rFonts w:ascii="Times New Roman" w:hAnsi="Times New Roman"/>
          <w:color w:val="000000" w:themeColor="text1"/>
          <w:sz w:val="16"/>
          <w:szCs w:val="16"/>
        </w:rPr>
        <w:t xml:space="preserve"> (6964, 32-40).</w:t>
      </w:r>
    </w:p>
    <w:p w14:paraId="3DD119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3E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разоруженному гражданскому варианту Р-5 присвоили обозначение П-5. В мастерских ВВС эти машины проходили необходимую доработку. Под полом задней кабины и за ней оборудовались грузовые отсеки. Всего можно было взять 400 кг: два пассажира и их багаж или только груз - 250 кг в задней кабине, 70 кг под полом и 80 кг сзади. В перегрузку можно было подвесить под крыльями цилиндрические грузовые контейнеры, называвшиеся "баллонами" или "сигарами" (12034).</w:t>
      </w:r>
    </w:p>
    <w:p w14:paraId="719DA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6E9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по причине по</w:t>
      </w:r>
      <w:r w:rsidRPr="007122AB">
        <w:rPr>
          <w:rFonts w:ascii="Times New Roman" w:hAnsi="Times New Roman"/>
          <w:color w:val="000000" w:themeColor="text1"/>
          <w:sz w:val="16"/>
          <w:szCs w:val="16"/>
        </w:rPr>
        <w:softHyphen/>
        <w:t xml:space="preserve">ломки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были прерваны испытания в НИИ ВВС И-5 № 18 с двигателем М-15 № 6, которые начались 30 июля 1931. После ремонта самолет предъявили к тестированию с новым двигате</w:t>
      </w:r>
      <w:r w:rsidRPr="007122AB">
        <w:rPr>
          <w:rFonts w:ascii="Times New Roman" w:hAnsi="Times New Roman"/>
          <w:color w:val="000000" w:themeColor="text1"/>
          <w:sz w:val="16"/>
          <w:szCs w:val="16"/>
        </w:rPr>
        <w:softHyphen/>
        <w:t>лем - М-15 № 24109. Полеты начались 10 ок</w:t>
      </w:r>
      <w:r w:rsidRPr="007122AB">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7122AB">
        <w:rPr>
          <w:rFonts w:ascii="Times New Roman" w:hAnsi="Times New Roman"/>
          <w:color w:val="000000" w:themeColor="text1"/>
          <w:sz w:val="16"/>
          <w:szCs w:val="16"/>
        </w:rPr>
        <w:softHyphen/>
        <w:t xml:space="preserve">садки. Дальнейшая судьба машины не </w:t>
      </w:r>
      <w:proofErr w:type="spellStart"/>
      <w:r w:rsidRPr="007122AB">
        <w:rPr>
          <w:rFonts w:ascii="Times New Roman" w:hAnsi="Times New Roman"/>
          <w:color w:val="000000" w:themeColor="text1"/>
          <w:sz w:val="16"/>
          <w:szCs w:val="16"/>
        </w:rPr>
        <w:t>просле</w:t>
      </w:r>
      <w:proofErr w:type="spellEnd"/>
      <w:r w:rsidRPr="007122AB">
        <w:rPr>
          <w:rFonts w:ascii="Times New Roman" w:hAnsi="Times New Roman"/>
          <w:color w:val="000000" w:themeColor="text1"/>
          <w:sz w:val="16"/>
          <w:szCs w:val="16"/>
        </w:rPr>
        <w:t xml:space="preserve"> живется, однако из переписки завода №39 известно, что какой-то И-5 с М-15 потерпел аварию и не восстанавливался (вероятно это был И-5 №18).</w:t>
      </w:r>
    </w:p>
    <w:p w14:paraId="325AF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смотря на аварию, основные выводы в отношении </w:t>
      </w:r>
      <w:proofErr w:type="spellStart"/>
      <w:r w:rsidRPr="007122AB">
        <w:rPr>
          <w:rFonts w:ascii="Times New Roman" w:hAnsi="Times New Roman"/>
          <w:color w:val="000000" w:themeColor="text1"/>
          <w:sz w:val="16"/>
          <w:szCs w:val="16"/>
        </w:rPr>
        <w:t>испытывавшегося</w:t>
      </w:r>
      <w:proofErr w:type="spellEnd"/>
      <w:r w:rsidRPr="007122AB">
        <w:rPr>
          <w:rFonts w:ascii="Times New Roman" w:hAnsi="Times New Roman"/>
          <w:color w:val="000000" w:themeColor="text1"/>
          <w:sz w:val="16"/>
          <w:szCs w:val="16"/>
        </w:rPr>
        <w:t xml:space="preserve"> самолета были, получены. В частности, указывалось, что се</w:t>
      </w:r>
      <w:r w:rsidRPr="007122AB">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7122AB">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7122AB">
        <w:rPr>
          <w:rFonts w:ascii="Times New Roman" w:hAnsi="Times New Roman"/>
          <w:color w:val="000000" w:themeColor="text1"/>
          <w:sz w:val="16"/>
          <w:szCs w:val="16"/>
        </w:rPr>
        <w:softHyphen/>
        <w:t>ность чуть ниже, чем у второго опытного эк</w:t>
      </w:r>
      <w:r w:rsidRPr="007122AB">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7122AB" w14:paraId="62BA07D8" w14:textId="77777777">
        <w:tc>
          <w:tcPr>
            <w:tcW w:w="3736" w:type="dxa"/>
            <w:tcBorders>
              <w:top w:val="single" w:sz="12" w:space="0" w:color="auto"/>
            </w:tcBorders>
          </w:tcPr>
          <w:p w14:paraId="67EFED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A744E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М-15</w:t>
            </w:r>
          </w:p>
        </w:tc>
        <w:tc>
          <w:tcPr>
            <w:tcW w:w="3736" w:type="dxa"/>
            <w:tcBorders>
              <w:top w:val="single" w:sz="12" w:space="0" w:color="auto"/>
            </w:tcBorders>
          </w:tcPr>
          <w:p w14:paraId="5AF777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w:t>
            </w:r>
            <w:r w:rsidRPr="007122AB">
              <w:rPr>
                <w:rFonts w:ascii="Times New Roman" w:hAnsi="Times New Roman"/>
                <w:color w:val="000000" w:themeColor="text1"/>
                <w:sz w:val="16"/>
                <w:szCs w:val="16"/>
                <w:lang w:val="en-US"/>
              </w:rPr>
              <w:t>-VI</w:t>
            </w:r>
          </w:p>
        </w:tc>
      </w:tr>
      <w:tr w:rsidR="001002C3" w:rsidRPr="007122AB" w14:paraId="6ADEA7D9" w14:textId="77777777">
        <w:tc>
          <w:tcPr>
            <w:tcW w:w="3736" w:type="dxa"/>
          </w:tcPr>
          <w:p w14:paraId="15CBD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1000 м (км/ч)</w:t>
            </w:r>
          </w:p>
        </w:tc>
        <w:tc>
          <w:tcPr>
            <w:tcW w:w="3736" w:type="dxa"/>
          </w:tcPr>
          <w:p w14:paraId="47ED7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3736" w:type="dxa"/>
          </w:tcPr>
          <w:p w14:paraId="7D16B3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r>
      <w:tr w:rsidR="001002C3" w:rsidRPr="007122AB" w14:paraId="099F6D3F" w14:textId="77777777">
        <w:tc>
          <w:tcPr>
            <w:tcW w:w="3736" w:type="dxa"/>
            <w:tcBorders>
              <w:bottom w:val="single" w:sz="12" w:space="0" w:color="auto"/>
            </w:tcBorders>
          </w:tcPr>
          <w:p w14:paraId="7ADA12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1AFF4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3736" w:type="dxa"/>
            <w:tcBorders>
              <w:bottom w:val="single" w:sz="12" w:space="0" w:color="auto"/>
            </w:tcBorders>
          </w:tcPr>
          <w:p w14:paraId="4F68FC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w:t>
            </w:r>
          </w:p>
        </w:tc>
      </w:tr>
    </w:tbl>
    <w:p w14:paraId="442EB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значительные усилия, потра</w:t>
      </w:r>
      <w:r w:rsidRPr="007122AB">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7122AB">
        <w:rPr>
          <w:rFonts w:ascii="Times New Roman" w:hAnsi="Times New Roman"/>
          <w:color w:val="000000" w:themeColor="text1"/>
          <w:sz w:val="16"/>
          <w:szCs w:val="16"/>
        </w:rPr>
        <w:softHyphen/>
        <w:t>должение работ по его внедрению. Было ре</w:t>
      </w:r>
      <w:r w:rsidRPr="007122AB">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7122AB">
        <w:rPr>
          <w:rFonts w:ascii="Times New Roman" w:hAnsi="Times New Roman"/>
          <w:color w:val="000000" w:themeColor="text1"/>
          <w:sz w:val="16"/>
          <w:szCs w:val="16"/>
        </w:rPr>
        <w:softHyphen/>
        <w:t xml:space="preserve">ября 1931 г.,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4F7CB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C3E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Комиссией НИИ ВВС и ЦАГИ был осмотрен АНТ-9 переданный ВОГВФ в ЦАГИ ВАО в мае 1931 и найден ряд недоделок, срок устранения которых был установлен 20.08.31 г. Впоследствии по плану ВАО срок переоборудования указанного самолета был установлен 1.10.31 г. (3045,19).</w:t>
      </w:r>
    </w:p>
    <w:p w14:paraId="5F646A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5C87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августа 1931 г. состоялся второй полет опытного образца АНТ-14. Машину как и </w:t>
      </w:r>
      <w:proofErr w:type="spellStart"/>
      <w:r w:rsidRPr="007122AB">
        <w:rPr>
          <w:rFonts w:ascii="Times New Roman" w:hAnsi="Times New Roman"/>
          <w:color w:val="000000" w:themeColor="text1"/>
          <w:sz w:val="16"/>
          <w:szCs w:val="16"/>
        </w:rPr>
        <w:t>впервый</w:t>
      </w:r>
      <w:proofErr w:type="spellEnd"/>
      <w:r w:rsidRPr="007122AB">
        <w:rPr>
          <w:rFonts w:ascii="Times New Roman" w:hAnsi="Times New Roman"/>
          <w:color w:val="000000" w:themeColor="text1"/>
          <w:sz w:val="16"/>
          <w:szCs w:val="16"/>
        </w:rPr>
        <w:t xml:space="preserve"> раз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3AC22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45696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76C0DB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5B275D" w14:textId="77777777" w:rsidR="00C0063F" w:rsidRPr="009F5089" w:rsidRDefault="00C0063F" w:rsidP="00C0063F">
      <w:pPr>
        <w:spacing w:after="0" w:line="240" w:lineRule="auto"/>
        <w:jc w:val="both"/>
        <w:rPr>
          <w:rFonts w:ascii="Times New Roman" w:hAnsi="Times New Roman"/>
          <w:color w:val="0070C0"/>
          <w:sz w:val="16"/>
          <w:szCs w:val="16"/>
        </w:rPr>
      </w:pPr>
      <w:r>
        <w:rPr>
          <w:rFonts w:ascii="Times New Roman" w:hAnsi="Times New Roman"/>
          <w:color w:val="0070C0"/>
          <w:sz w:val="16"/>
          <w:szCs w:val="16"/>
        </w:rPr>
        <w:t>15 августа 1931 г. состоялся</w:t>
      </w:r>
      <w:r w:rsidRPr="009F5089">
        <w:rPr>
          <w:rFonts w:ascii="Times New Roman" w:hAnsi="Times New Roman"/>
          <w:color w:val="0070C0"/>
          <w:sz w:val="16"/>
          <w:szCs w:val="16"/>
        </w:rPr>
        <w:t xml:space="preserve"> первый испытательный полет </w:t>
      </w:r>
      <w:proofErr w:type="spellStart"/>
      <w:r w:rsidRPr="009F5089">
        <w:rPr>
          <w:rFonts w:ascii="Times New Roman" w:hAnsi="Times New Roman"/>
          <w:color w:val="0070C0"/>
          <w:sz w:val="16"/>
          <w:szCs w:val="16"/>
        </w:rPr>
        <w:t>пятимоторного</w:t>
      </w:r>
      <w:proofErr w:type="spellEnd"/>
      <w:r>
        <w:rPr>
          <w:rFonts w:ascii="Times New Roman" w:hAnsi="Times New Roman"/>
          <w:color w:val="0070C0"/>
          <w:sz w:val="16"/>
          <w:szCs w:val="16"/>
        </w:rPr>
        <w:t xml:space="preserve"> самолета </w:t>
      </w:r>
      <w:r w:rsidRPr="009F5089">
        <w:rPr>
          <w:rFonts w:ascii="Times New Roman" w:hAnsi="Times New Roman"/>
          <w:color w:val="0070C0"/>
          <w:sz w:val="16"/>
          <w:szCs w:val="16"/>
        </w:rPr>
        <w:t>А</w:t>
      </w:r>
      <w:r>
        <w:rPr>
          <w:rFonts w:ascii="Times New Roman" w:hAnsi="Times New Roman"/>
          <w:color w:val="0070C0"/>
          <w:sz w:val="16"/>
          <w:szCs w:val="16"/>
        </w:rPr>
        <w:t>Н</w:t>
      </w:r>
      <w:r w:rsidRPr="009F5089">
        <w:rPr>
          <w:rFonts w:ascii="Times New Roman" w:hAnsi="Times New Roman"/>
          <w:color w:val="0070C0"/>
          <w:sz w:val="16"/>
          <w:szCs w:val="16"/>
        </w:rPr>
        <w:t xml:space="preserve">Т-14 "Правда" конструкции ОКБ </w:t>
      </w:r>
      <w:proofErr w:type="spellStart"/>
      <w:r w:rsidRPr="009F5089">
        <w:rPr>
          <w:rFonts w:ascii="Times New Roman" w:hAnsi="Times New Roman"/>
          <w:color w:val="0070C0"/>
          <w:sz w:val="16"/>
          <w:szCs w:val="16"/>
        </w:rPr>
        <w:t>А.Н.Туполева</w:t>
      </w:r>
      <w:proofErr w:type="spellEnd"/>
      <w:r w:rsidRPr="009F5089">
        <w:rPr>
          <w:rFonts w:ascii="Times New Roman" w:hAnsi="Times New Roman"/>
          <w:color w:val="0070C0"/>
          <w:sz w:val="16"/>
          <w:szCs w:val="16"/>
        </w:rPr>
        <w:t>. Испытывали</w:t>
      </w:r>
      <w:r>
        <w:rPr>
          <w:rFonts w:ascii="Times New Roman" w:hAnsi="Times New Roman"/>
          <w:color w:val="0070C0"/>
          <w:sz w:val="16"/>
          <w:szCs w:val="16"/>
        </w:rPr>
        <w:t xml:space="preserve"> </w:t>
      </w:r>
      <w:proofErr w:type="spellStart"/>
      <w:r>
        <w:rPr>
          <w:rFonts w:ascii="Times New Roman" w:hAnsi="Times New Roman"/>
          <w:color w:val="0070C0"/>
          <w:sz w:val="16"/>
          <w:szCs w:val="16"/>
        </w:rPr>
        <w:t>М.М.</w:t>
      </w:r>
      <w:r w:rsidRPr="009F5089">
        <w:rPr>
          <w:rFonts w:ascii="Times New Roman" w:hAnsi="Times New Roman"/>
          <w:color w:val="0070C0"/>
          <w:sz w:val="16"/>
          <w:szCs w:val="16"/>
        </w:rPr>
        <w:t>Гроиов</w:t>
      </w:r>
      <w:proofErr w:type="spellEnd"/>
      <w:r w:rsidRPr="009F5089">
        <w:rPr>
          <w:rFonts w:ascii="Times New Roman" w:hAnsi="Times New Roman"/>
          <w:color w:val="0070C0"/>
          <w:sz w:val="16"/>
          <w:szCs w:val="16"/>
        </w:rPr>
        <w:t xml:space="preserve"> и </w:t>
      </w:r>
      <w:proofErr w:type="spellStart"/>
      <w:r w:rsidRPr="009F5089">
        <w:rPr>
          <w:rFonts w:ascii="Times New Roman" w:hAnsi="Times New Roman"/>
          <w:color w:val="0070C0"/>
          <w:sz w:val="16"/>
          <w:szCs w:val="16"/>
        </w:rPr>
        <w:t>И.Ф.Козлов</w:t>
      </w:r>
      <w:proofErr w:type="spellEnd"/>
      <w:r w:rsidRPr="009F5089">
        <w:rPr>
          <w:rFonts w:ascii="Times New Roman" w:hAnsi="Times New Roman"/>
          <w:color w:val="0070C0"/>
          <w:sz w:val="16"/>
          <w:szCs w:val="16"/>
        </w:rPr>
        <w:t>. АНТ-14 был построен заводом опытных ко</w:t>
      </w:r>
      <w:r>
        <w:rPr>
          <w:rFonts w:ascii="Times New Roman" w:hAnsi="Times New Roman"/>
          <w:color w:val="0070C0"/>
          <w:sz w:val="16"/>
          <w:szCs w:val="16"/>
        </w:rPr>
        <w:t>нструкций Ц</w:t>
      </w:r>
      <w:r w:rsidRPr="009F5089">
        <w:rPr>
          <w:rFonts w:ascii="Times New Roman" w:hAnsi="Times New Roman"/>
          <w:color w:val="0070C0"/>
          <w:sz w:val="16"/>
          <w:szCs w:val="16"/>
        </w:rPr>
        <w:t xml:space="preserve">АГИ в одном экземпляре </w:t>
      </w:r>
      <w:r>
        <w:rPr>
          <w:rFonts w:ascii="Times New Roman" w:hAnsi="Times New Roman"/>
          <w:color w:val="0070C0"/>
          <w:sz w:val="16"/>
          <w:szCs w:val="16"/>
        </w:rPr>
        <w:t>и</w:t>
      </w:r>
      <w:r w:rsidRPr="009F5089">
        <w:rPr>
          <w:rFonts w:ascii="Times New Roman" w:hAnsi="Times New Roman"/>
          <w:color w:val="0070C0"/>
          <w:sz w:val="16"/>
          <w:szCs w:val="16"/>
        </w:rPr>
        <w:t xml:space="preserve"> являлся в свое время одним из </w:t>
      </w:r>
      <w:r>
        <w:rPr>
          <w:rFonts w:ascii="Times New Roman" w:hAnsi="Times New Roman"/>
          <w:color w:val="0070C0"/>
          <w:sz w:val="16"/>
          <w:szCs w:val="16"/>
        </w:rPr>
        <w:t>к</w:t>
      </w:r>
      <w:r w:rsidRPr="009F5089">
        <w:rPr>
          <w:rFonts w:ascii="Times New Roman" w:hAnsi="Times New Roman"/>
          <w:color w:val="0070C0"/>
          <w:sz w:val="16"/>
          <w:szCs w:val="16"/>
        </w:rPr>
        <w:t>ру</w:t>
      </w:r>
      <w:r>
        <w:rPr>
          <w:rFonts w:ascii="Times New Roman" w:hAnsi="Times New Roman"/>
          <w:color w:val="0070C0"/>
          <w:sz w:val="16"/>
          <w:szCs w:val="16"/>
        </w:rPr>
        <w:t>пне</w:t>
      </w:r>
      <w:r w:rsidRPr="009F5089">
        <w:rPr>
          <w:rFonts w:ascii="Times New Roman" w:hAnsi="Times New Roman"/>
          <w:color w:val="0070C0"/>
          <w:sz w:val="16"/>
          <w:szCs w:val="16"/>
        </w:rPr>
        <w:t>й</w:t>
      </w:r>
      <w:r>
        <w:rPr>
          <w:rFonts w:ascii="Times New Roman" w:hAnsi="Times New Roman"/>
          <w:color w:val="0070C0"/>
          <w:sz w:val="16"/>
          <w:szCs w:val="16"/>
        </w:rPr>
        <w:t>ш</w:t>
      </w:r>
      <w:r w:rsidRPr="009F5089">
        <w:rPr>
          <w:rFonts w:ascii="Times New Roman" w:hAnsi="Times New Roman"/>
          <w:color w:val="0070C0"/>
          <w:sz w:val="16"/>
          <w:szCs w:val="16"/>
        </w:rPr>
        <w:t xml:space="preserve">их в мире и первым </w:t>
      </w:r>
      <w:proofErr w:type="spellStart"/>
      <w:r w:rsidRPr="009F5089">
        <w:rPr>
          <w:rFonts w:ascii="Times New Roman" w:hAnsi="Times New Roman"/>
          <w:color w:val="0070C0"/>
          <w:sz w:val="16"/>
          <w:szCs w:val="16"/>
        </w:rPr>
        <w:t>пятимоторным</w:t>
      </w:r>
      <w:proofErr w:type="spellEnd"/>
      <w:r w:rsidRPr="009F5089">
        <w:rPr>
          <w:rFonts w:ascii="Times New Roman" w:hAnsi="Times New Roman"/>
          <w:color w:val="0070C0"/>
          <w:sz w:val="16"/>
          <w:szCs w:val="16"/>
        </w:rPr>
        <w:t xml:space="preserve"> в СССР.</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АНТ-14 </w:t>
      </w:r>
      <w:r>
        <w:rPr>
          <w:rFonts w:ascii="Times New Roman" w:hAnsi="Times New Roman"/>
          <w:color w:val="0070C0"/>
          <w:sz w:val="16"/>
          <w:szCs w:val="16"/>
        </w:rPr>
        <w:t>-</w:t>
      </w:r>
      <w:r w:rsidRPr="009F5089">
        <w:rPr>
          <w:rFonts w:ascii="Times New Roman" w:hAnsi="Times New Roman"/>
          <w:color w:val="0070C0"/>
          <w:sz w:val="16"/>
          <w:szCs w:val="16"/>
        </w:rPr>
        <w:t xml:space="preserve"> </w:t>
      </w:r>
      <w:r>
        <w:rPr>
          <w:rFonts w:ascii="Times New Roman" w:hAnsi="Times New Roman"/>
          <w:color w:val="0070C0"/>
          <w:sz w:val="16"/>
          <w:szCs w:val="16"/>
        </w:rPr>
        <w:t>36</w:t>
      </w:r>
      <w:r w:rsidRPr="009F5089">
        <w:rPr>
          <w:rFonts w:ascii="Times New Roman" w:hAnsi="Times New Roman"/>
          <w:color w:val="0070C0"/>
          <w:sz w:val="16"/>
          <w:szCs w:val="16"/>
        </w:rPr>
        <w:t xml:space="preserve">-местный </w:t>
      </w:r>
      <w:r>
        <w:rPr>
          <w:rFonts w:ascii="Times New Roman" w:hAnsi="Times New Roman"/>
          <w:color w:val="0070C0"/>
          <w:sz w:val="16"/>
          <w:szCs w:val="16"/>
        </w:rPr>
        <w:t>пассажирский</w:t>
      </w:r>
      <w:r w:rsidRPr="009F5089">
        <w:rPr>
          <w:rFonts w:ascii="Times New Roman" w:hAnsi="Times New Roman"/>
          <w:color w:val="0070C0"/>
          <w:sz w:val="16"/>
          <w:szCs w:val="16"/>
        </w:rPr>
        <w:t xml:space="preserve"> высокоплан </w:t>
      </w:r>
      <w:r>
        <w:rPr>
          <w:rFonts w:ascii="Times New Roman" w:hAnsi="Times New Roman"/>
          <w:color w:val="0070C0"/>
          <w:sz w:val="16"/>
          <w:szCs w:val="16"/>
        </w:rPr>
        <w:t>с</w:t>
      </w:r>
      <w:r w:rsidRPr="009F5089">
        <w:rPr>
          <w:rFonts w:ascii="Times New Roman" w:hAnsi="Times New Roman"/>
          <w:color w:val="0070C0"/>
          <w:sz w:val="16"/>
          <w:szCs w:val="16"/>
        </w:rPr>
        <w:t xml:space="preserve"> моторами Бристоль</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”Юпитер” </w:t>
      </w:r>
      <w:r>
        <w:rPr>
          <w:rFonts w:ascii="Times New Roman" w:hAnsi="Times New Roman"/>
          <w:color w:val="0070C0"/>
          <w:sz w:val="16"/>
          <w:szCs w:val="16"/>
        </w:rPr>
        <w:t>п</w:t>
      </w:r>
      <w:r w:rsidRPr="009F5089">
        <w:rPr>
          <w:rFonts w:ascii="Times New Roman" w:hAnsi="Times New Roman"/>
          <w:color w:val="0070C0"/>
          <w:sz w:val="16"/>
          <w:szCs w:val="16"/>
        </w:rPr>
        <w:t xml:space="preserve">о 480 л.с., </w:t>
      </w:r>
      <w:r>
        <w:rPr>
          <w:rFonts w:ascii="Times New Roman" w:hAnsi="Times New Roman"/>
          <w:color w:val="0070C0"/>
          <w:sz w:val="16"/>
          <w:szCs w:val="16"/>
        </w:rPr>
        <w:t xml:space="preserve">дальнейшее </w:t>
      </w:r>
      <w:r w:rsidRPr="009F5089">
        <w:rPr>
          <w:rFonts w:ascii="Times New Roman" w:hAnsi="Times New Roman"/>
          <w:color w:val="0070C0"/>
          <w:sz w:val="16"/>
          <w:szCs w:val="16"/>
        </w:rPr>
        <w:t xml:space="preserve">развитие пассажирского АНТ-9. Его </w:t>
      </w:r>
      <w:r w:rsidRPr="009F5089">
        <w:rPr>
          <w:rFonts w:ascii="Times New Roman" w:hAnsi="Times New Roman"/>
          <w:color w:val="0070C0"/>
          <w:sz w:val="16"/>
          <w:szCs w:val="16"/>
        </w:rPr>
        <w:lastRenderedPageBreak/>
        <w:t>данные:</w:t>
      </w:r>
      <w:r>
        <w:rPr>
          <w:rFonts w:ascii="Times New Roman" w:hAnsi="Times New Roman"/>
          <w:color w:val="0070C0"/>
          <w:sz w:val="16"/>
          <w:szCs w:val="16"/>
        </w:rPr>
        <w:t xml:space="preserve"> </w:t>
      </w:r>
      <w:r w:rsidRPr="009F5089">
        <w:rPr>
          <w:rFonts w:ascii="Times New Roman" w:hAnsi="Times New Roman"/>
          <w:color w:val="0070C0"/>
          <w:sz w:val="16"/>
          <w:szCs w:val="16"/>
        </w:rPr>
        <w:t>размах - |41м;</w:t>
      </w:r>
      <w:r>
        <w:rPr>
          <w:rFonts w:ascii="Times New Roman" w:hAnsi="Times New Roman"/>
          <w:color w:val="0070C0"/>
          <w:sz w:val="16"/>
          <w:szCs w:val="16"/>
        </w:rPr>
        <w:t xml:space="preserve"> </w:t>
      </w:r>
      <w:r w:rsidRPr="009F5089">
        <w:rPr>
          <w:rFonts w:ascii="Times New Roman" w:hAnsi="Times New Roman"/>
          <w:color w:val="0070C0"/>
          <w:sz w:val="16"/>
          <w:szCs w:val="16"/>
        </w:rPr>
        <w:t>дл</w:t>
      </w:r>
      <w:r>
        <w:rPr>
          <w:rFonts w:ascii="Times New Roman" w:hAnsi="Times New Roman"/>
          <w:color w:val="0070C0"/>
          <w:sz w:val="16"/>
          <w:szCs w:val="16"/>
        </w:rPr>
        <w:t>ин</w:t>
      </w:r>
      <w:r w:rsidRPr="009F5089">
        <w:rPr>
          <w:rFonts w:ascii="Times New Roman" w:hAnsi="Times New Roman"/>
          <w:color w:val="0070C0"/>
          <w:sz w:val="16"/>
          <w:szCs w:val="16"/>
        </w:rPr>
        <w:t>а - 26 м;</w:t>
      </w:r>
      <w:r>
        <w:rPr>
          <w:rFonts w:ascii="Times New Roman" w:hAnsi="Times New Roman"/>
          <w:color w:val="0070C0"/>
          <w:sz w:val="16"/>
          <w:szCs w:val="16"/>
        </w:rPr>
        <w:t xml:space="preserve"> </w:t>
      </w:r>
      <w:r w:rsidRPr="009F5089">
        <w:rPr>
          <w:rFonts w:ascii="Times New Roman" w:hAnsi="Times New Roman"/>
          <w:color w:val="0070C0"/>
          <w:sz w:val="16"/>
          <w:szCs w:val="16"/>
        </w:rPr>
        <w:t>высота - 5,4 м;</w:t>
      </w:r>
      <w:r>
        <w:rPr>
          <w:rFonts w:ascii="Times New Roman" w:hAnsi="Times New Roman"/>
          <w:color w:val="0070C0"/>
          <w:sz w:val="16"/>
          <w:szCs w:val="16"/>
        </w:rPr>
        <w:t xml:space="preserve"> </w:t>
      </w:r>
      <w:r w:rsidRPr="009F5089">
        <w:rPr>
          <w:rFonts w:ascii="Times New Roman" w:hAnsi="Times New Roman"/>
          <w:color w:val="0070C0"/>
          <w:sz w:val="16"/>
          <w:szCs w:val="16"/>
        </w:rPr>
        <w:t>площад</w:t>
      </w:r>
      <w:r>
        <w:rPr>
          <w:rFonts w:ascii="Times New Roman" w:hAnsi="Times New Roman"/>
          <w:color w:val="0070C0"/>
          <w:sz w:val="16"/>
          <w:szCs w:val="16"/>
        </w:rPr>
        <w:t>ь</w:t>
      </w:r>
      <w:r w:rsidRPr="009F5089">
        <w:rPr>
          <w:rFonts w:ascii="Times New Roman" w:hAnsi="Times New Roman"/>
          <w:color w:val="0070C0"/>
          <w:sz w:val="16"/>
          <w:szCs w:val="16"/>
        </w:rPr>
        <w:t xml:space="preserve"> крыльев - 240 м</w:t>
      </w:r>
      <w:r>
        <w:rPr>
          <w:rFonts w:ascii="Times New Roman" w:hAnsi="Times New Roman"/>
          <w:color w:val="0070C0"/>
          <w:sz w:val="16"/>
          <w:szCs w:val="16"/>
        </w:rPr>
        <w:t>2</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вес </w:t>
      </w:r>
      <w:r>
        <w:rPr>
          <w:rFonts w:ascii="Times New Roman" w:hAnsi="Times New Roman"/>
          <w:color w:val="0070C0"/>
          <w:sz w:val="16"/>
          <w:szCs w:val="16"/>
        </w:rPr>
        <w:t xml:space="preserve">пустого </w:t>
      </w:r>
      <w:r w:rsidRPr="009F5089">
        <w:rPr>
          <w:rFonts w:ascii="Times New Roman" w:hAnsi="Times New Roman"/>
          <w:color w:val="0070C0"/>
          <w:sz w:val="16"/>
          <w:szCs w:val="16"/>
        </w:rPr>
        <w:t xml:space="preserve">- 11 </w:t>
      </w:r>
      <w:proofErr w:type="spellStart"/>
      <w:r w:rsidRPr="009F5089">
        <w:rPr>
          <w:rFonts w:ascii="Times New Roman" w:hAnsi="Times New Roman"/>
          <w:color w:val="0070C0"/>
          <w:sz w:val="16"/>
          <w:szCs w:val="16"/>
        </w:rPr>
        <w:t>тн</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полетный вес - 17,5 </w:t>
      </w:r>
      <w:proofErr w:type="spellStart"/>
      <w:r w:rsidRPr="009F5089">
        <w:rPr>
          <w:rFonts w:ascii="Times New Roman" w:hAnsi="Times New Roman"/>
          <w:color w:val="0070C0"/>
          <w:sz w:val="16"/>
          <w:szCs w:val="16"/>
        </w:rPr>
        <w:t>тн</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скорость максимальная -</w:t>
      </w:r>
      <w:r>
        <w:rPr>
          <w:rFonts w:ascii="Times New Roman" w:hAnsi="Times New Roman"/>
          <w:color w:val="0070C0"/>
          <w:sz w:val="16"/>
          <w:szCs w:val="16"/>
        </w:rPr>
        <w:t xml:space="preserve"> 2</w:t>
      </w:r>
      <w:r w:rsidRPr="009F5089">
        <w:rPr>
          <w:rFonts w:ascii="Times New Roman" w:hAnsi="Times New Roman"/>
          <w:color w:val="0070C0"/>
          <w:sz w:val="16"/>
          <w:szCs w:val="16"/>
        </w:rPr>
        <w:t>35 км/ч;</w:t>
      </w:r>
      <w:r>
        <w:rPr>
          <w:rFonts w:ascii="Times New Roman" w:hAnsi="Times New Roman"/>
          <w:color w:val="0070C0"/>
          <w:sz w:val="16"/>
          <w:szCs w:val="16"/>
        </w:rPr>
        <w:t xml:space="preserve"> </w:t>
      </w:r>
      <w:r w:rsidRPr="009F5089">
        <w:rPr>
          <w:rFonts w:ascii="Times New Roman" w:hAnsi="Times New Roman"/>
          <w:color w:val="0070C0"/>
          <w:sz w:val="16"/>
          <w:szCs w:val="16"/>
        </w:rPr>
        <w:t>посадочная - 90 км/ч;</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потолох</w:t>
      </w:r>
      <w:proofErr w:type="spellEnd"/>
      <w:r w:rsidRPr="009F5089">
        <w:rPr>
          <w:rFonts w:ascii="Times New Roman" w:hAnsi="Times New Roman"/>
          <w:color w:val="0070C0"/>
          <w:sz w:val="16"/>
          <w:szCs w:val="16"/>
        </w:rPr>
        <w:t xml:space="preserve"> - 4500 м.</w:t>
      </w:r>
      <w:r>
        <w:rPr>
          <w:rFonts w:ascii="Times New Roman" w:hAnsi="Times New Roman"/>
          <w:color w:val="0070C0"/>
          <w:sz w:val="16"/>
          <w:szCs w:val="16"/>
        </w:rPr>
        <w:t xml:space="preserve">; </w:t>
      </w:r>
      <w:r w:rsidRPr="009F5089">
        <w:rPr>
          <w:rFonts w:ascii="Times New Roman" w:hAnsi="Times New Roman"/>
          <w:color w:val="0070C0"/>
          <w:sz w:val="16"/>
          <w:szCs w:val="16"/>
        </w:rPr>
        <w:t>экипаж - 5 человек.</w:t>
      </w:r>
    </w:p>
    <w:p w14:paraId="1A01F227" w14:textId="77777777" w:rsidR="00C0063F" w:rsidRPr="009F5089" w:rsidRDefault="00C0063F" w:rsidP="00C0063F">
      <w:pPr>
        <w:spacing w:after="0" w:line="240" w:lineRule="auto"/>
        <w:jc w:val="both"/>
        <w:rPr>
          <w:rFonts w:ascii="Times New Roman" w:hAnsi="Times New Roman"/>
          <w:color w:val="0070C0"/>
          <w:sz w:val="16"/>
          <w:szCs w:val="16"/>
        </w:rPr>
      </w:pPr>
      <w:r>
        <w:rPr>
          <w:rFonts w:ascii="Times New Roman" w:hAnsi="Times New Roman"/>
          <w:color w:val="0070C0"/>
          <w:sz w:val="16"/>
          <w:szCs w:val="16"/>
        </w:rPr>
        <w:t>Экс</w:t>
      </w:r>
      <w:r w:rsidRPr="009F5089">
        <w:rPr>
          <w:rFonts w:ascii="Times New Roman" w:hAnsi="Times New Roman"/>
          <w:color w:val="0070C0"/>
          <w:sz w:val="16"/>
          <w:szCs w:val="16"/>
        </w:rPr>
        <w:t>плуат</w:t>
      </w:r>
      <w:r>
        <w:rPr>
          <w:rFonts w:ascii="Times New Roman" w:hAnsi="Times New Roman"/>
          <w:color w:val="0070C0"/>
          <w:sz w:val="16"/>
          <w:szCs w:val="16"/>
        </w:rPr>
        <w:t>и</w:t>
      </w:r>
      <w:r w:rsidRPr="009F5089">
        <w:rPr>
          <w:rFonts w:ascii="Times New Roman" w:hAnsi="Times New Roman"/>
          <w:color w:val="0070C0"/>
          <w:sz w:val="16"/>
          <w:szCs w:val="16"/>
        </w:rPr>
        <w:t xml:space="preserve">ровался как флагманский самолет в </w:t>
      </w:r>
      <w:proofErr w:type="spellStart"/>
      <w:r w:rsidRPr="009F5089">
        <w:rPr>
          <w:rFonts w:ascii="Times New Roman" w:hAnsi="Times New Roman"/>
          <w:color w:val="0070C0"/>
          <w:sz w:val="16"/>
          <w:szCs w:val="16"/>
        </w:rPr>
        <w:t>агитэскадрили</w:t>
      </w:r>
      <w:r>
        <w:rPr>
          <w:rFonts w:ascii="Times New Roman" w:hAnsi="Times New Roman"/>
          <w:color w:val="0070C0"/>
          <w:sz w:val="16"/>
          <w:szCs w:val="16"/>
        </w:rPr>
        <w:t>и</w:t>
      </w:r>
      <w:proofErr w:type="spellEnd"/>
      <w:r w:rsidRPr="009F5089">
        <w:rPr>
          <w:rFonts w:ascii="Times New Roman" w:hAnsi="Times New Roman"/>
          <w:color w:val="0070C0"/>
          <w:sz w:val="16"/>
          <w:szCs w:val="16"/>
        </w:rPr>
        <w:t xml:space="preserve"> имени</w:t>
      </w:r>
      <w:r>
        <w:rPr>
          <w:rFonts w:ascii="Times New Roman" w:hAnsi="Times New Roman"/>
          <w:color w:val="0070C0"/>
          <w:sz w:val="16"/>
          <w:szCs w:val="16"/>
        </w:rPr>
        <w:t xml:space="preserve"> </w:t>
      </w:r>
      <w:proofErr w:type="spellStart"/>
      <w:r>
        <w:rPr>
          <w:rFonts w:ascii="Times New Roman" w:hAnsi="Times New Roman"/>
          <w:color w:val="0070C0"/>
          <w:sz w:val="16"/>
          <w:szCs w:val="16"/>
        </w:rPr>
        <w:t>М.</w:t>
      </w:r>
      <w:r w:rsidRPr="009F5089">
        <w:rPr>
          <w:rFonts w:ascii="Times New Roman" w:hAnsi="Times New Roman"/>
          <w:color w:val="0070C0"/>
          <w:sz w:val="16"/>
          <w:szCs w:val="16"/>
        </w:rPr>
        <w:t>Горького</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где совершил более тысячи </w:t>
      </w:r>
      <w:proofErr w:type="spellStart"/>
      <w:r w:rsidRPr="009F5089">
        <w:rPr>
          <w:rFonts w:ascii="Times New Roman" w:hAnsi="Times New Roman"/>
          <w:color w:val="0070C0"/>
          <w:sz w:val="16"/>
          <w:szCs w:val="16"/>
        </w:rPr>
        <w:t>агитполетов</w:t>
      </w:r>
      <w:proofErr w:type="spellEnd"/>
      <w:r w:rsidRPr="009F5089">
        <w:rPr>
          <w:rFonts w:ascii="Times New Roman" w:hAnsi="Times New Roman"/>
          <w:color w:val="0070C0"/>
          <w:sz w:val="16"/>
          <w:szCs w:val="16"/>
        </w:rPr>
        <w:t xml:space="preserve"> с пассажирами.</w:t>
      </w:r>
    </w:p>
    <w:p w14:paraId="57B39410" w14:textId="77777777" w:rsidR="00C0063F" w:rsidRDefault="00C0063F" w:rsidP="00C0063F">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w:t>
      </w:r>
      <w:r w:rsidRPr="009F5089">
        <w:rPr>
          <w:rFonts w:ascii="Times New Roman" w:hAnsi="Times New Roman"/>
          <w:color w:val="0070C0"/>
          <w:sz w:val="16"/>
          <w:szCs w:val="16"/>
        </w:rPr>
        <w:t>Красная звезда» за 17 августа 1931;</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материалы </w:t>
      </w:r>
      <w:proofErr w:type="spellStart"/>
      <w:r w:rsidRPr="009F5089">
        <w:rPr>
          <w:rFonts w:ascii="Times New Roman" w:hAnsi="Times New Roman"/>
          <w:color w:val="0070C0"/>
          <w:sz w:val="16"/>
          <w:szCs w:val="16"/>
        </w:rPr>
        <w:t>В.Б.Шаврова</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1F44181C" w14:textId="77777777" w:rsidR="00C0063F" w:rsidRPr="009F5089" w:rsidRDefault="00C0063F" w:rsidP="00C0063F">
      <w:pPr>
        <w:spacing w:after="0" w:line="240" w:lineRule="auto"/>
        <w:jc w:val="both"/>
        <w:rPr>
          <w:rFonts w:ascii="Times New Roman" w:hAnsi="Times New Roman"/>
          <w:color w:val="0070C0"/>
          <w:sz w:val="16"/>
          <w:szCs w:val="16"/>
        </w:rPr>
      </w:pPr>
    </w:p>
    <w:p w14:paraId="5FC0F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были закончены проект и чертежи мотора М-38 (2310,130).</w:t>
      </w:r>
    </w:p>
    <w:p w14:paraId="081F3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507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на базе авиаремонтных мастерских был создан АРЗ, позднее- Завод № 21 ГА (Завод № 21 ГВФ, ГА, ОАО «Санкт-Петербургская авиаремонтная компания» (СПАРК) /196210  г. Ленинград, Санкт-Петербург ул. Пилотов, 12 тел. 104-16-06/).</w:t>
      </w:r>
    </w:p>
    <w:p w14:paraId="19512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10.1993 г. завод № 21 ГА преобразован в АО «СПАРК».</w:t>
      </w:r>
    </w:p>
    <w:p w14:paraId="584A5C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Имелся (2006 г.) центр технического обслуживания вертолетов в </w:t>
      </w:r>
      <w:proofErr w:type="spellStart"/>
      <w:r w:rsidRPr="007122AB">
        <w:rPr>
          <w:rFonts w:ascii="Times New Roman" w:hAnsi="Times New Roman"/>
          <w:color w:val="000000" w:themeColor="text1"/>
          <w:sz w:val="16"/>
          <w:szCs w:val="16"/>
        </w:rPr>
        <w:t>Веракрузе</w:t>
      </w:r>
      <w:proofErr w:type="spellEnd"/>
      <w:r w:rsidRPr="007122AB">
        <w:rPr>
          <w:rFonts w:ascii="Times New Roman" w:hAnsi="Times New Roman"/>
          <w:color w:val="000000" w:themeColor="text1"/>
          <w:sz w:val="16"/>
          <w:szCs w:val="16"/>
        </w:rPr>
        <w:t xml:space="preserve"> (Мексика). В 07.2007 г. из состава ОАО выделено НПО «</w:t>
      </w:r>
      <w:proofErr w:type="spellStart"/>
      <w:r w:rsidRPr="007122AB">
        <w:rPr>
          <w:rFonts w:ascii="Times New Roman" w:hAnsi="Times New Roman"/>
          <w:color w:val="000000" w:themeColor="text1"/>
          <w:sz w:val="16"/>
          <w:szCs w:val="16"/>
        </w:rPr>
        <w:t>Спарк</w:t>
      </w:r>
      <w:proofErr w:type="spellEnd"/>
      <w:r w:rsidRPr="007122AB">
        <w:rPr>
          <w:rFonts w:ascii="Times New Roman" w:hAnsi="Times New Roman"/>
          <w:color w:val="000000" w:themeColor="text1"/>
          <w:sz w:val="16"/>
          <w:szCs w:val="16"/>
        </w:rPr>
        <w:t>».</w:t>
      </w:r>
    </w:p>
    <w:p w14:paraId="37DB6F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(2002 г.)- 650 чел.</w:t>
      </w:r>
    </w:p>
    <w:p w14:paraId="784E6A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(1996 г.)- Б.А. Дмитриев. Гендиректор (-1998-2002 г.-)- Ю.Т. Морозов, (2006 г.)- Ю. Борисов.</w:t>
      </w:r>
    </w:p>
    <w:p w14:paraId="73489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Коммерческий директор (2002 г.)- О.А. Забава. Технический директор (2002 г.)- С.В. </w:t>
      </w:r>
      <w:proofErr w:type="spellStart"/>
      <w:r w:rsidRPr="007122AB">
        <w:rPr>
          <w:rFonts w:ascii="Times New Roman" w:hAnsi="Times New Roman"/>
          <w:color w:val="000000" w:themeColor="text1"/>
          <w:sz w:val="16"/>
          <w:szCs w:val="16"/>
        </w:rPr>
        <w:t>Одинокин</w:t>
      </w:r>
      <w:proofErr w:type="spellEnd"/>
      <w:r w:rsidRPr="007122AB">
        <w:rPr>
          <w:rFonts w:ascii="Times New Roman" w:hAnsi="Times New Roman"/>
          <w:color w:val="000000" w:themeColor="text1"/>
          <w:sz w:val="16"/>
          <w:szCs w:val="16"/>
        </w:rPr>
        <w:t>.</w:t>
      </w:r>
    </w:p>
    <w:p w14:paraId="43F138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самолеты АК-1, Ф-2, Ш-2 (1930-е), Ж-1, Ж-4, СХ-1.</w:t>
      </w:r>
    </w:p>
    <w:p w14:paraId="180E5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Ремонт: самолеты У-2, Ш-2, Р-5, П-5, МП-1, Ф-1, СХ-1, АНТ-9, ТБ-1, Ли-2, Як-12Р, Ан-2, Ил-14, Ми-4, Ка-15, Ка-18, Ми-8 (1967-2004-), Ми-14, Ми-17 (-1999-2004-), Ка-32 (-1999-2004-), Ми-26;</w:t>
      </w:r>
      <w:r w:rsidRPr="007122AB">
        <w:rPr>
          <w:rFonts w:ascii="Times New Roman" w:hAnsi="Times New Roman"/>
          <w:color w:val="000000" w:themeColor="text1"/>
          <w:sz w:val="16"/>
          <w:szCs w:val="16"/>
          <w:vertAlign w:val="superscript"/>
        </w:rPr>
        <w:t>69</w:t>
      </w:r>
      <w:r w:rsidRPr="007122AB">
        <w:rPr>
          <w:rFonts w:ascii="Times New Roman" w:hAnsi="Times New Roman"/>
          <w:color w:val="000000" w:themeColor="text1"/>
          <w:sz w:val="16"/>
          <w:szCs w:val="16"/>
        </w:rPr>
        <w:t xml:space="preserve"> двигатели: М-5, М-11, М-17 (11982).</w:t>
      </w:r>
    </w:p>
    <w:p w14:paraId="78FFBAF8" w14:textId="77777777" w:rsidR="008344B7" w:rsidRPr="007122AB" w:rsidRDefault="008344B7"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4C0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своим приказом от Тухачевский выделил газодина</w:t>
      </w:r>
      <w:r w:rsidRPr="007122AB">
        <w:rPr>
          <w:rFonts w:ascii="Times New Roman" w:hAnsi="Times New Roman"/>
          <w:color w:val="000000" w:themeColor="text1"/>
          <w:sz w:val="16"/>
          <w:szCs w:val="16"/>
        </w:rPr>
        <w:softHyphen/>
        <w:t>мическую лабораторию из состава АНИИ и через Управление военных изобретений подчинил себе, чтобы сотрудников не отвлекали на науч</w:t>
      </w:r>
      <w:r w:rsidRPr="007122AB">
        <w:rPr>
          <w:rFonts w:ascii="Times New Roman" w:hAnsi="Times New Roman"/>
          <w:color w:val="000000" w:themeColor="text1"/>
          <w:sz w:val="16"/>
          <w:szCs w:val="16"/>
        </w:rPr>
        <w:softHyphen/>
        <w:t>ные работы, не связанные с ракетной техникой. Не ограничиваясь об</w:t>
      </w:r>
      <w:r w:rsidRPr="007122AB">
        <w:rPr>
          <w:rFonts w:ascii="Times New Roman" w:hAnsi="Times New Roman"/>
          <w:color w:val="000000" w:themeColor="text1"/>
          <w:sz w:val="16"/>
          <w:szCs w:val="16"/>
        </w:rPr>
        <w:softHyphen/>
        <w:t>щим руководством, он вникал в суть исследований, неоднократно посе</w:t>
      </w:r>
      <w:r w:rsidRPr="007122AB">
        <w:rPr>
          <w:rFonts w:ascii="Times New Roman" w:hAnsi="Times New Roman"/>
          <w:color w:val="000000" w:themeColor="text1"/>
          <w:sz w:val="16"/>
          <w:szCs w:val="16"/>
        </w:rPr>
        <w:softHyphen/>
        <w:t>щал ГДЛ и присутствовал на стендовых и полигонных испытаниях ра</w:t>
      </w:r>
      <w:r w:rsidRPr="007122AB">
        <w:rPr>
          <w:rFonts w:ascii="Times New Roman" w:hAnsi="Times New Roman"/>
          <w:color w:val="000000" w:themeColor="text1"/>
          <w:sz w:val="16"/>
          <w:szCs w:val="16"/>
        </w:rPr>
        <w:softHyphen/>
        <w:t xml:space="preserve">кетных двигателей и </w:t>
      </w:r>
      <w:proofErr w:type="spellStart"/>
      <w:r w:rsidRPr="007122AB">
        <w:rPr>
          <w:rFonts w:ascii="Times New Roman" w:hAnsi="Times New Roman"/>
          <w:color w:val="000000" w:themeColor="text1"/>
          <w:sz w:val="16"/>
          <w:szCs w:val="16"/>
        </w:rPr>
        <w:t>динамореактивных</w:t>
      </w:r>
      <w:proofErr w:type="spellEnd"/>
      <w:r w:rsidRPr="007122AB">
        <w:rPr>
          <w:rFonts w:ascii="Times New Roman" w:hAnsi="Times New Roman"/>
          <w:color w:val="000000" w:themeColor="text1"/>
          <w:sz w:val="16"/>
          <w:szCs w:val="16"/>
        </w:rPr>
        <w:t xml:space="preserve"> пушек, подолгу беседовал с уче</w:t>
      </w:r>
      <w:r w:rsidRPr="007122AB">
        <w:rPr>
          <w:rFonts w:ascii="Times New Roman" w:hAnsi="Times New Roman"/>
          <w:color w:val="000000" w:themeColor="text1"/>
          <w:sz w:val="16"/>
          <w:szCs w:val="16"/>
        </w:rPr>
        <w:softHyphen/>
        <w:t>ными и конструкторами. Именно при содействии начальника вооружений РККА в ГДЛ созда</w:t>
      </w:r>
      <w:r w:rsidRPr="007122AB">
        <w:rPr>
          <w:rFonts w:ascii="Times New Roman" w:hAnsi="Times New Roman"/>
          <w:color w:val="000000" w:themeColor="text1"/>
          <w:sz w:val="16"/>
          <w:szCs w:val="16"/>
        </w:rPr>
        <w:softHyphen/>
        <w:t xml:space="preserve">ли очень приличную по тем временам научно-экспериментальную базу и серьезно расширили исследовательские и конструкторские работы над твердотопливными и жидкостными ракетными двигателями. В первые посещения ГДЛ молодой ученый </w:t>
      </w:r>
      <w:proofErr w:type="spellStart"/>
      <w:r w:rsidRPr="007122AB">
        <w:rPr>
          <w:rFonts w:ascii="Times New Roman" w:hAnsi="Times New Roman"/>
          <w:color w:val="000000" w:themeColor="text1"/>
          <w:sz w:val="16"/>
          <w:szCs w:val="16"/>
        </w:rPr>
        <w:t>С.П.Королев</w:t>
      </w:r>
      <w:proofErr w:type="spellEnd"/>
      <w:r w:rsidRPr="007122AB">
        <w:rPr>
          <w:rFonts w:ascii="Times New Roman" w:hAnsi="Times New Roman"/>
          <w:color w:val="000000" w:themeColor="text1"/>
          <w:sz w:val="16"/>
          <w:szCs w:val="16"/>
        </w:rPr>
        <w:t xml:space="preserve"> постоянно изумлялся уровню их технического оснащения: «Меня поразила научно-экспери</w:t>
      </w:r>
      <w:r w:rsidRPr="007122AB">
        <w:rPr>
          <w:rFonts w:ascii="Times New Roman" w:hAnsi="Times New Roman"/>
          <w:color w:val="000000" w:themeColor="text1"/>
          <w:sz w:val="16"/>
          <w:szCs w:val="16"/>
        </w:rPr>
        <w:softHyphen/>
        <w:t>ментальная база, которой располагали ленинградцы. Она была несрав</w:t>
      </w:r>
      <w:r w:rsidRPr="007122AB">
        <w:rPr>
          <w:rFonts w:ascii="Times New Roman" w:hAnsi="Times New Roman"/>
          <w:color w:val="000000" w:themeColor="text1"/>
          <w:sz w:val="16"/>
          <w:szCs w:val="16"/>
        </w:rPr>
        <w:softHyphen/>
        <w:t>нимо лучше нашей. Мы стали свидетелями большого размаха работ, ог</w:t>
      </w:r>
      <w:r w:rsidRPr="007122AB">
        <w:rPr>
          <w:rFonts w:ascii="Times New Roman" w:hAnsi="Times New Roman"/>
          <w:color w:val="000000" w:themeColor="text1"/>
          <w:sz w:val="16"/>
          <w:szCs w:val="16"/>
        </w:rPr>
        <w:softHyphen/>
        <w:t>ромного энтузиазма, с которым здесь велись эксперименты» (11402).</w:t>
      </w:r>
    </w:p>
    <w:p w14:paraId="023DFA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C4E2BC"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августа в 1931 году два АНТ-9 выбросили в районе Красного Села под Ленинградом 19 парашютистов с целью захвата площадки для посадочного десанта. С парашютами приземлились также тяжелое вооружение, включавшее пулеметы, две </w:t>
      </w:r>
      <w:proofErr w:type="spellStart"/>
      <w:r w:rsidRPr="007122AB">
        <w:rPr>
          <w:rFonts w:ascii="Times New Roman" w:hAnsi="Times New Roman"/>
          <w:color w:val="000000" w:themeColor="text1"/>
          <w:sz w:val="16"/>
          <w:szCs w:val="16"/>
        </w:rPr>
        <w:t>динамореактивные</w:t>
      </w:r>
      <w:proofErr w:type="spellEnd"/>
      <w:r w:rsidRPr="007122AB">
        <w:rPr>
          <w:rFonts w:ascii="Times New Roman" w:hAnsi="Times New Roman"/>
          <w:color w:val="000000" w:themeColor="text1"/>
          <w:sz w:val="16"/>
          <w:szCs w:val="16"/>
        </w:rPr>
        <w:t xml:space="preserve"> (безоткатные) пушки, и боеприпасы. После того, как парашютисты заняли оборону, на площадку села эскадрилья бомбардировщиков «ТБ-1» (14984).</w:t>
      </w:r>
    </w:p>
    <w:p w14:paraId="023AFD87"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2C1CC324"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676FE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E018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1931-го из ворот ХТЗ выехал первый трактор. Недостатки качества восполнялись валом: 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1C199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42ED6D"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15 августа 1931 </w:t>
      </w:r>
      <w:r w:rsidRPr="007122AB">
        <w:rPr>
          <w:rFonts w:ascii="Times New Roman" w:hAnsi="Times New Roman"/>
          <w:color w:val="000000" w:themeColor="text1"/>
          <w:sz w:val="16"/>
          <w:szCs w:val="16"/>
        </w:rPr>
        <w:t>Политбюро ЦК ВКП (б) одобрило работу комиссий по зарплате в угольной промышленности и черной металлургии; приняло постановления: о производстве землечерпалок, об обеспечении угольной промышленности и жилищного строительства в Донбассе рабочей силой, о перспективах развития цветной металлургии на вторую пятилетку и о капитальных работах на 1932 г.; утвердило проект постановления ЦК ВКП (б) «О мероприятиях по улучшению баланса угля в СССР», поручив ВСНХ совместно с Московским обкомом ВКП (б) рассмотреть вопрос об увеличении строительства шахт в Подмосковном бассейне (12265).</w:t>
      </w:r>
    </w:p>
    <w:p w14:paraId="2B9B1EB4"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8F5AA6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396B7B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12A4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состоялась первая учебная комбинированная воздуш</w:t>
      </w:r>
      <w:r w:rsidRPr="007122AB">
        <w:rPr>
          <w:rFonts w:ascii="Times New Roman" w:hAnsi="Times New Roman"/>
          <w:color w:val="000000" w:themeColor="text1"/>
          <w:sz w:val="16"/>
          <w:szCs w:val="16"/>
        </w:rPr>
        <w:softHyphen/>
        <w:t>но-десантная операция с участием ТБ-1. В тот день сначала из двух АНТ-9 в районе Красного села под Ленинградом десантировались 19 бойцов парашютно-десантного отряда. После захвата обозначенной площадки и обеспечения круговой обороны здесь при</w:t>
      </w:r>
      <w:r w:rsidRPr="007122AB">
        <w:rPr>
          <w:rFonts w:ascii="Times New Roman" w:hAnsi="Times New Roman"/>
          <w:color w:val="000000" w:themeColor="text1"/>
          <w:sz w:val="16"/>
          <w:szCs w:val="16"/>
        </w:rPr>
        <w:softHyphen/>
        <w:t>землилась эскадрилья ТБ-1, доставившая отряд Е.Д. Лукина с оружием, боеприпаса</w:t>
      </w:r>
      <w:r w:rsidRPr="007122AB">
        <w:rPr>
          <w:rFonts w:ascii="Times New Roman" w:hAnsi="Times New Roman"/>
          <w:color w:val="000000" w:themeColor="text1"/>
          <w:sz w:val="16"/>
          <w:szCs w:val="16"/>
        </w:rPr>
        <w:softHyphen/>
        <w:t>ми и автомашинами. Тщательно отрепети</w:t>
      </w:r>
      <w:r w:rsidRPr="007122AB">
        <w:rPr>
          <w:rFonts w:ascii="Times New Roman" w:hAnsi="Times New Roman"/>
          <w:color w:val="000000" w:themeColor="text1"/>
          <w:sz w:val="16"/>
          <w:szCs w:val="16"/>
        </w:rPr>
        <w:softHyphen/>
        <w:t>рованная операция прошла за считанные минуты. Операцию повторили на аэродро</w:t>
      </w:r>
      <w:r w:rsidRPr="007122AB">
        <w:rPr>
          <w:rFonts w:ascii="Times New Roman" w:hAnsi="Times New Roman"/>
          <w:color w:val="000000" w:themeColor="text1"/>
          <w:sz w:val="16"/>
          <w:szCs w:val="16"/>
        </w:rPr>
        <w:softHyphen/>
        <w:t>ме в Гатчине. Затем по просьбе командую</w:t>
      </w:r>
      <w:r w:rsidRPr="007122AB">
        <w:rPr>
          <w:rFonts w:ascii="Times New Roman" w:hAnsi="Times New Roman"/>
          <w:color w:val="000000" w:themeColor="text1"/>
          <w:sz w:val="16"/>
          <w:szCs w:val="16"/>
        </w:rPr>
        <w:softHyphen/>
        <w:t xml:space="preserve">щего войсками Киевского военного округа отряд по воздуху перебазировали в Киев. Здесь при проведении войсковых маневров в районе </w:t>
      </w:r>
      <w:proofErr w:type="spellStart"/>
      <w:r w:rsidRPr="007122AB">
        <w:rPr>
          <w:rFonts w:ascii="Times New Roman" w:hAnsi="Times New Roman"/>
          <w:color w:val="000000" w:themeColor="text1"/>
          <w:sz w:val="16"/>
          <w:szCs w:val="16"/>
        </w:rPr>
        <w:t>Могилевки</w:t>
      </w:r>
      <w:proofErr w:type="spellEnd"/>
      <w:r w:rsidRPr="007122AB">
        <w:rPr>
          <w:rFonts w:ascii="Times New Roman" w:hAnsi="Times New Roman"/>
          <w:color w:val="000000" w:themeColor="text1"/>
          <w:sz w:val="16"/>
          <w:szCs w:val="16"/>
        </w:rPr>
        <w:t xml:space="preserve"> осуществили две ком</w:t>
      </w:r>
      <w:r w:rsidRPr="007122AB">
        <w:rPr>
          <w:rFonts w:ascii="Times New Roman" w:hAnsi="Times New Roman"/>
          <w:color w:val="000000" w:themeColor="text1"/>
          <w:sz w:val="16"/>
          <w:szCs w:val="16"/>
        </w:rPr>
        <w:softHyphen/>
        <w:t>бинированные операции 10 и 14 сентября.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7122AB">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7122AB">
        <w:rPr>
          <w:rFonts w:ascii="Times New Roman" w:hAnsi="Times New Roman"/>
          <w:color w:val="000000" w:themeColor="text1"/>
          <w:sz w:val="16"/>
          <w:szCs w:val="16"/>
        </w:rPr>
        <w:softHyphen/>
        <w:t>мировали отдельные стрелковые батальо</w:t>
      </w:r>
      <w:r w:rsidRPr="007122AB">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7122AB">
        <w:rPr>
          <w:rFonts w:ascii="Times New Roman" w:hAnsi="Times New Roman"/>
          <w:color w:val="000000" w:themeColor="text1"/>
          <w:sz w:val="16"/>
          <w:szCs w:val="16"/>
        </w:rPr>
        <w:softHyphen/>
        <w:t>чения в Детском Селе сначала предполага</w:t>
      </w:r>
      <w:r w:rsidRPr="007122AB">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7122AB">
        <w:rPr>
          <w:rFonts w:ascii="Times New Roman" w:hAnsi="Times New Roman"/>
          <w:color w:val="000000" w:themeColor="text1"/>
          <w:sz w:val="16"/>
          <w:szCs w:val="16"/>
        </w:rPr>
        <w:softHyphen/>
        <w:t>ных отделений стрелковых дивизий в Мо</w:t>
      </w:r>
      <w:r w:rsidRPr="007122AB">
        <w:rPr>
          <w:rFonts w:ascii="Times New Roman" w:hAnsi="Times New Roman"/>
          <w:color w:val="000000" w:themeColor="text1"/>
          <w:sz w:val="16"/>
          <w:szCs w:val="16"/>
        </w:rPr>
        <w:softHyphen/>
        <w:t>нино под Москвой и в Гатчине под Ленин</w:t>
      </w:r>
      <w:r w:rsidRPr="007122AB">
        <w:rPr>
          <w:rFonts w:ascii="Times New Roman" w:hAnsi="Times New Roman"/>
          <w:color w:val="000000" w:themeColor="text1"/>
          <w:sz w:val="16"/>
          <w:szCs w:val="16"/>
        </w:rPr>
        <w:softHyphen/>
        <w:t>градом. Парашютные прыжки осуществля</w:t>
      </w:r>
      <w:r w:rsidRPr="007122AB">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7122AB">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7122AB">
        <w:rPr>
          <w:rFonts w:ascii="Times New Roman" w:hAnsi="Times New Roman"/>
          <w:color w:val="000000" w:themeColor="text1"/>
          <w:sz w:val="16"/>
          <w:szCs w:val="16"/>
        </w:rPr>
        <w:softHyphen/>
        <w:t>ли для тренировок (11286).</w:t>
      </w:r>
    </w:p>
    <w:p w14:paraId="0E4AE9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0B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августа 1931 г. на маневрах Ленинградского округа в районе Красного Села после захвата аэродрома парашютистами эскадрилья ТБ-1 доставила туда посадочный десант. В сентябре отряд принимал участие в маневрах на Украине. Применяли </w:t>
      </w:r>
      <w:proofErr w:type="spellStart"/>
      <w:r w:rsidRPr="007122AB">
        <w:rPr>
          <w:rFonts w:ascii="Times New Roman" w:hAnsi="Times New Roman"/>
          <w:color w:val="000000" w:themeColor="text1"/>
          <w:sz w:val="16"/>
          <w:szCs w:val="16"/>
        </w:rPr>
        <w:t>подфюзеляжные</w:t>
      </w:r>
      <w:proofErr w:type="spellEnd"/>
      <w:r w:rsidRPr="007122AB">
        <w:rPr>
          <w:rFonts w:ascii="Times New Roman" w:hAnsi="Times New Roman"/>
          <w:color w:val="000000" w:themeColor="text1"/>
          <w:sz w:val="16"/>
          <w:szCs w:val="16"/>
        </w:rPr>
        <w:t xml:space="preserve"> кабины, грузовые мешки и контейнеры, а также подвеску ПД-А. Два десанта были выброшены 10 и 14 сентября. Успех учений был омрачен катастрофой самолета, перевозившего пикап. Возвращаясь с маневров, он со всеми находившимися на борту людьми разбился из-за отказа одного двигателя (12001).</w:t>
      </w:r>
    </w:p>
    <w:p w14:paraId="2EE205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EC7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1CA1D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874E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десантники впервые участвовали в крупных маневрах Красной армии на Украине. Из специальной техники применяли </w:t>
      </w:r>
      <w:proofErr w:type="spellStart"/>
      <w:r w:rsidRPr="007122AB">
        <w:rPr>
          <w:rFonts w:ascii="Times New Roman" w:hAnsi="Times New Roman"/>
          <w:color w:val="000000" w:themeColor="text1"/>
          <w:sz w:val="16"/>
          <w:szCs w:val="16"/>
        </w:rPr>
        <w:t>подфюзеляжные</w:t>
      </w:r>
      <w:proofErr w:type="spellEnd"/>
      <w:r w:rsidRPr="007122AB">
        <w:rPr>
          <w:rFonts w:ascii="Times New Roman" w:hAnsi="Times New Roman"/>
          <w:color w:val="000000" w:themeColor="text1"/>
          <w:sz w:val="16"/>
          <w:szCs w:val="16"/>
        </w:rPr>
        <w:t xml:space="preserve"> кабины, грузовые мешки и контейнеры. 15 августа группа парашютистов захватила аэродром условного противника, на который села эскадрилья ТБ-1 (12036).</w:t>
      </w:r>
    </w:p>
    <w:p w14:paraId="6CDDA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906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с двух АНТ-9 в районе Красного Села вбрасывали десант - 19 парашютистов и ДРП (522,5).</w:t>
      </w:r>
    </w:p>
    <w:p w14:paraId="55D1E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776217" w14:textId="77777777" w:rsidR="00C6668D" w:rsidRPr="007122AB" w:rsidRDefault="00C666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августа 1931 г. в районе Красного Села во время первой показательной операции из двух самолетов АНТ-9 одновременно высадились на парашютах 19 бойцов ПДО. 20 августа была выполнена повторная высадка парашютного десанта в составе 20 бойцов ПДО с двух самолетов АНТ-9. ПДО в итоге совершил 237 прыжков (Архив ЦДА и К. Ф. 50. Оп. 1. Д. 2. Л. 22). 1 Одновременно производилась съемка учебного кинофильма, который должен был ознакомить командиров РККА с порядком формирования, подготовкой и проведением операций ПДО. Фильм из 4-х частей (1.300 метров) был заснят за 8 с половиной съемочных дней и после просмотра получил отличную оценку. Картину снимал оператор Сидоров, работавший с </w:t>
      </w:r>
      <w:proofErr w:type="spellStart"/>
      <w:r w:rsidRPr="007122AB">
        <w:rPr>
          <w:rFonts w:ascii="Times New Roman" w:hAnsi="Times New Roman"/>
          <w:color w:val="000000" w:themeColor="text1"/>
          <w:sz w:val="16"/>
          <w:szCs w:val="16"/>
        </w:rPr>
        <w:t>Миновым</w:t>
      </w:r>
      <w:proofErr w:type="spellEnd"/>
      <w:r w:rsidRPr="007122AB">
        <w:rPr>
          <w:rFonts w:ascii="Times New Roman" w:hAnsi="Times New Roman"/>
          <w:color w:val="000000" w:themeColor="text1"/>
          <w:sz w:val="16"/>
          <w:szCs w:val="16"/>
        </w:rPr>
        <w:t xml:space="preserve"> в 1930 г. в Воронеже над учебным фильмом «Парашют», премированным Политуправлением РККА и Правлением </w:t>
      </w:r>
      <w:proofErr w:type="spellStart"/>
      <w:r w:rsidRPr="007122AB">
        <w:rPr>
          <w:rFonts w:ascii="Times New Roman" w:hAnsi="Times New Roman"/>
          <w:color w:val="000000" w:themeColor="text1"/>
          <w:sz w:val="16"/>
          <w:szCs w:val="16"/>
        </w:rPr>
        <w:t>Союзкино</w:t>
      </w:r>
      <w:proofErr w:type="spellEnd"/>
      <w:r w:rsidRPr="007122AB">
        <w:rPr>
          <w:rFonts w:ascii="Times New Roman" w:hAnsi="Times New Roman"/>
          <w:color w:val="000000" w:themeColor="text1"/>
          <w:sz w:val="16"/>
          <w:szCs w:val="16"/>
        </w:rPr>
        <w:t xml:space="preserve"> (Архив ЦДА и К. Ф. 50. Оп. 1. Д. 2. Л. 25). (21402).</w:t>
      </w:r>
    </w:p>
    <w:p w14:paraId="78FAEB36" w14:textId="77777777" w:rsidR="00C6668D" w:rsidRPr="007122AB" w:rsidRDefault="00C6668D" w:rsidP="007122AB">
      <w:pPr>
        <w:spacing w:after="0" w:line="240" w:lineRule="auto"/>
        <w:jc w:val="both"/>
        <w:rPr>
          <w:rFonts w:ascii="Times New Roman" w:hAnsi="Times New Roman"/>
          <w:color w:val="000000" w:themeColor="text1"/>
          <w:sz w:val="16"/>
          <w:szCs w:val="16"/>
        </w:rPr>
      </w:pPr>
    </w:p>
    <w:p w14:paraId="49953334"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августа 1931 десант парашютистов «захватил» аэродром «противника», на который перебазировалась одна из эскадрилий ТБ-1.10 и 14 сентяб</w:t>
      </w:r>
      <w:r w:rsidRPr="00441F34">
        <w:rPr>
          <w:rFonts w:ascii="Times New Roman" w:hAnsi="Times New Roman"/>
          <w:color w:val="0070C0"/>
          <w:sz w:val="16"/>
          <w:szCs w:val="16"/>
        </w:rPr>
        <w:softHyphen/>
        <w:t>ря последние сами использовались для перевозки десантников. После захвата площадок выброшенными с трёхмоторных АНТ-9 парашютис</w:t>
      </w:r>
      <w:r w:rsidRPr="00441F34">
        <w:rPr>
          <w:rFonts w:ascii="Times New Roman" w:hAnsi="Times New Roman"/>
          <w:color w:val="0070C0"/>
          <w:sz w:val="16"/>
          <w:szCs w:val="16"/>
        </w:rPr>
        <w:softHyphen/>
        <w:t>тами тяжёлые бомбардировщики начали приземляться там с пехотой на борту (23469).</w:t>
      </w:r>
    </w:p>
    <w:p w14:paraId="7BDA1D57" w14:textId="77777777" w:rsidR="00D210DB" w:rsidRPr="00441F34" w:rsidRDefault="00D210DB" w:rsidP="00D210DB">
      <w:pPr>
        <w:spacing w:after="0" w:line="240" w:lineRule="auto"/>
        <w:jc w:val="both"/>
        <w:rPr>
          <w:rFonts w:ascii="Times New Roman" w:hAnsi="Times New Roman"/>
          <w:color w:val="0070C0"/>
          <w:sz w:val="16"/>
          <w:szCs w:val="16"/>
        </w:rPr>
      </w:pPr>
    </w:p>
    <w:p w14:paraId="70502D01" w14:textId="77777777" w:rsidR="00B152B2" w:rsidRPr="007122AB" w:rsidRDefault="00B152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августа 1931 г. новый начальник Штаба РККА А. И. Егоров, сменивший в июне 1931 г. Б. М. Шапошникова, информировал Реввоенсовет СССР — план работы Военной Академии на 1930/31 год «по всем признакам построен на учете опыта и позаимствован у Германской Военной Академии» (18265).</w:t>
      </w:r>
    </w:p>
    <w:p w14:paraId="4EDB6F88" w14:textId="77777777" w:rsidR="00B152B2" w:rsidRPr="007122AB" w:rsidRDefault="00B152B2" w:rsidP="007122AB">
      <w:pPr>
        <w:spacing w:after="0" w:line="240" w:lineRule="auto"/>
        <w:jc w:val="both"/>
        <w:rPr>
          <w:rFonts w:ascii="Times New Roman" w:hAnsi="Times New Roman"/>
          <w:color w:val="000000" w:themeColor="text1"/>
          <w:sz w:val="16"/>
          <w:szCs w:val="16"/>
        </w:rPr>
      </w:pPr>
    </w:p>
    <w:p w14:paraId="53528B19" w14:textId="77777777" w:rsidR="00B152B2" w:rsidRPr="007122AB" w:rsidRDefault="00B152B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0AF1DFE" w14:textId="77777777" w:rsidR="00B152B2" w:rsidRPr="007122AB" w:rsidRDefault="00B152B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1E5FED" w14:textId="77777777" w:rsidR="00B152B2" w:rsidRPr="007122AB" w:rsidRDefault="00B152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августа 1931 года Постановление ЦК ВКП(б) «Об издательской работе» отметило рост изданий технической книги с 11 млн. экземпляров в 1929 году до 40 млн. экземпляров в 1930 году. Однако «ввиду важности на данном этапе задач овладения техникой и распространения технических знаний этот вид литературы должен быть поставлен в особое положение…». Из системы </w:t>
      </w:r>
      <w:proofErr w:type="spellStart"/>
      <w:r w:rsidRPr="007122AB">
        <w:rPr>
          <w:rFonts w:ascii="Times New Roman" w:hAnsi="Times New Roman"/>
          <w:color w:val="000000" w:themeColor="text1"/>
          <w:sz w:val="16"/>
          <w:szCs w:val="16"/>
        </w:rPr>
        <w:t>ОГИЗа</w:t>
      </w:r>
      <w:proofErr w:type="spellEnd"/>
      <w:r w:rsidRPr="007122AB">
        <w:rPr>
          <w:rFonts w:ascii="Times New Roman" w:hAnsi="Times New Roman"/>
          <w:color w:val="000000" w:themeColor="text1"/>
          <w:sz w:val="16"/>
          <w:szCs w:val="16"/>
        </w:rPr>
        <w:t xml:space="preserve"> было выделено и передано в ведение ВСНХ государственное техническое издательство (</w:t>
      </w:r>
      <w:proofErr w:type="spellStart"/>
      <w:r w:rsidRPr="007122AB">
        <w:rPr>
          <w:rFonts w:ascii="Times New Roman" w:hAnsi="Times New Roman"/>
          <w:color w:val="000000" w:themeColor="text1"/>
          <w:sz w:val="16"/>
          <w:szCs w:val="16"/>
        </w:rPr>
        <w:t>Гостехиздат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Гостехиздат</w:t>
      </w:r>
      <w:proofErr w:type="spellEnd"/>
      <w:r w:rsidRPr="007122AB">
        <w:rPr>
          <w:rFonts w:ascii="Times New Roman" w:hAnsi="Times New Roman"/>
          <w:color w:val="000000" w:themeColor="text1"/>
          <w:sz w:val="16"/>
          <w:szCs w:val="16"/>
        </w:rPr>
        <w:t xml:space="preserve"> должен был организовать издание переводной технической литературы и справочников по различным отраслям производства и техники, вести свою работу в тесной связи с научно-исследовательскими институтами. «Вся издательская работа должна вестись под углом всесторонней помощи социалистическому строительству, подъёма теории на высшую ступень и сочетания её с практикой…» (19546).</w:t>
      </w:r>
    </w:p>
    <w:p w14:paraId="1D531251" w14:textId="77777777" w:rsidR="00B152B2" w:rsidRPr="007122AB" w:rsidRDefault="00B152B2" w:rsidP="007122AB">
      <w:pPr>
        <w:spacing w:after="0" w:line="240" w:lineRule="auto"/>
        <w:jc w:val="both"/>
        <w:rPr>
          <w:rFonts w:ascii="Times New Roman" w:hAnsi="Times New Roman"/>
          <w:color w:val="000000" w:themeColor="text1"/>
          <w:sz w:val="16"/>
          <w:szCs w:val="16"/>
        </w:rPr>
      </w:pPr>
    </w:p>
    <w:p w14:paraId="30B4AA38" w14:textId="77777777" w:rsidR="00CE289C" w:rsidRPr="007122AB" w:rsidRDefault="00CE289C"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DF2E117" w14:textId="77777777" w:rsidR="00CE289C" w:rsidRPr="007122AB" w:rsidRDefault="00CE289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672322" w14:textId="77777777" w:rsidR="00C6668D" w:rsidRPr="007122AB" w:rsidRDefault="00C6668D"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15 августа 1931 Чарльз (Charles </w:t>
      </w:r>
      <w:proofErr w:type="spellStart"/>
      <w:r w:rsidRPr="007122AB">
        <w:rPr>
          <w:rFonts w:ascii="Times New Roman" w:hAnsi="Times New Roman"/>
          <w:color w:val="000000" w:themeColor="text1"/>
          <w:sz w:val="16"/>
          <w:szCs w:val="16"/>
          <w:shd w:val="clear" w:color="auto" w:fill="FFFFFF"/>
        </w:rPr>
        <w:t>Augustus</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Lindbergh</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Jr</w:t>
      </w:r>
      <w:proofErr w:type="spellEnd"/>
      <w:r w:rsidRPr="007122AB">
        <w:rPr>
          <w:rFonts w:ascii="Times New Roman" w:hAnsi="Times New Roman"/>
          <w:color w:val="000000" w:themeColor="text1"/>
          <w:sz w:val="16"/>
          <w:szCs w:val="16"/>
          <w:shd w:val="clear" w:color="auto" w:fill="FFFFFF"/>
        </w:rPr>
        <w:t>.) и Энн Линдберги (</w:t>
      </w:r>
      <w:proofErr w:type="spellStart"/>
      <w:r w:rsidRPr="007122AB">
        <w:rPr>
          <w:rFonts w:ascii="Times New Roman" w:hAnsi="Times New Roman"/>
          <w:color w:val="000000" w:themeColor="text1"/>
          <w:sz w:val="16"/>
          <w:szCs w:val="16"/>
          <w:shd w:val="clear" w:color="auto" w:fill="FFFFFF"/>
        </w:rPr>
        <w:t>Anne</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Morrow</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Lindbergh</w:t>
      </w:r>
      <w:proofErr w:type="spellEnd"/>
      <w:r w:rsidRPr="007122AB">
        <w:rPr>
          <w:rFonts w:ascii="Times New Roman" w:hAnsi="Times New Roman"/>
          <w:color w:val="000000" w:themeColor="text1"/>
          <w:sz w:val="16"/>
          <w:szCs w:val="16"/>
          <w:shd w:val="clear" w:color="auto" w:fill="FFFFFF"/>
        </w:rPr>
        <w:t xml:space="preserve">), заправив полные баки, вылетели ранним утром из Нома, пересекли </w:t>
      </w:r>
      <w:proofErr w:type="spellStart"/>
      <w:r w:rsidRPr="007122AB">
        <w:rPr>
          <w:rFonts w:ascii="Times New Roman" w:hAnsi="Times New Roman"/>
          <w:color w:val="000000" w:themeColor="text1"/>
          <w:sz w:val="16"/>
          <w:szCs w:val="16"/>
          <w:shd w:val="clear" w:color="auto" w:fill="FFFFFF"/>
        </w:rPr>
        <w:t>Беренгов</w:t>
      </w:r>
      <w:proofErr w:type="spellEnd"/>
      <w:r w:rsidRPr="007122AB">
        <w:rPr>
          <w:rFonts w:ascii="Times New Roman" w:hAnsi="Times New Roman"/>
          <w:color w:val="000000" w:themeColor="text1"/>
          <w:sz w:val="16"/>
          <w:szCs w:val="16"/>
          <w:shd w:val="clear" w:color="auto" w:fill="FFFFFF"/>
        </w:rPr>
        <w:t xml:space="preserve"> пролив и совершили посадку у острова Карагинского. Американцев встретили гостеприимные местные жители, которые угостили их земляникой с молоком и оставили самые теплые воспоминания. Еще четыре часа полета – и посадка в Авачинской бухте Петропавловск-Камчатского.</w:t>
      </w:r>
    </w:p>
    <w:p w14:paraId="3CBB9C3B" w14:textId="77777777" w:rsidR="00C6668D" w:rsidRPr="007122AB" w:rsidRDefault="00C666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19 августа начался новый этап перелета, который для Линдбергов оказался самым сложным. Они должны были преодолеть около полутора тысяч километров и произвести посадку в японском Немуро, но вскоре после взлета из Петропавловска-Камчатского попали в такой туман, что вынуждены были произвести посадку у острова Кетой. Приводнение оказалось жестким и вызвало повреждение конструкции самолета. Ночь супруги провели в самолете в открытом море. Утро принесло облегчение, неподалеку они увидели японское судно, которое отбуксировало самолет в уютную бухту </w:t>
      </w:r>
      <w:proofErr w:type="spellStart"/>
      <w:r w:rsidRPr="007122AB">
        <w:rPr>
          <w:rFonts w:ascii="Times New Roman" w:hAnsi="Times New Roman"/>
          <w:color w:val="000000" w:themeColor="text1"/>
          <w:sz w:val="16"/>
          <w:szCs w:val="16"/>
          <w:shd w:val="clear" w:color="auto" w:fill="FFFFFF"/>
        </w:rPr>
        <w:t>Броутон</w:t>
      </w:r>
      <w:proofErr w:type="spellEnd"/>
      <w:r w:rsidRPr="007122AB">
        <w:rPr>
          <w:rFonts w:ascii="Times New Roman" w:hAnsi="Times New Roman"/>
          <w:color w:val="000000" w:themeColor="text1"/>
          <w:sz w:val="16"/>
          <w:szCs w:val="16"/>
          <w:shd w:val="clear" w:color="auto" w:fill="FFFFFF"/>
        </w:rPr>
        <w:t xml:space="preserve"> на острове </w:t>
      </w:r>
      <w:proofErr w:type="spellStart"/>
      <w:r w:rsidRPr="007122AB">
        <w:rPr>
          <w:rFonts w:ascii="Times New Roman" w:hAnsi="Times New Roman"/>
          <w:color w:val="000000" w:themeColor="text1"/>
          <w:sz w:val="16"/>
          <w:szCs w:val="16"/>
          <w:shd w:val="clear" w:color="auto" w:fill="FFFFFF"/>
        </w:rPr>
        <w:t>Симушир</w:t>
      </w:r>
      <w:proofErr w:type="spellEnd"/>
      <w:r w:rsidRPr="007122AB">
        <w:rPr>
          <w:rFonts w:ascii="Times New Roman" w:hAnsi="Times New Roman"/>
          <w:color w:val="000000" w:themeColor="text1"/>
          <w:sz w:val="16"/>
          <w:szCs w:val="16"/>
          <w:shd w:val="clear" w:color="auto" w:fill="FFFFFF"/>
        </w:rPr>
        <w:t>, где Линдбергу удалось починить самолет. 22 августа авиаторы продолжили путь, но туман вновь заставил произвести посадку, на этот раз на Итурупе. Немуро был, наконец, достигнут 23 августа (21438).</w:t>
      </w:r>
    </w:p>
    <w:p w14:paraId="046544DA" w14:textId="77777777" w:rsidR="00C6668D" w:rsidRPr="007122AB" w:rsidRDefault="00C6668D" w:rsidP="007122AB">
      <w:pPr>
        <w:spacing w:after="0" w:line="240" w:lineRule="auto"/>
        <w:jc w:val="both"/>
        <w:rPr>
          <w:rFonts w:ascii="Times New Roman" w:hAnsi="Times New Roman"/>
          <w:color w:val="000000" w:themeColor="text1"/>
          <w:sz w:val="16"/>
          <w:szCs w:val="16"/>
        </w:rPr>
      </w:pPr>
    </w:p>
    <w:p w14:paraId="16F273C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E50AEF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566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августа 1931 начались работы по переоборудованию К-5 N 185 в трехместный бомбардировщик. Бомб - 450-500 кг. Также должны были поставить пулемет ПВ-1 для стрельбы через винт с 250 патронами и двух ДА с 630 патронами. Плюс рация и фотоаппарат. Исследования возможности велись с 1 апреля 1929 (70,175).</w:t>
      </w:r>
    </w:p>
    <w:p w14:paraId="16218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E93D2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1DB952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F6A5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августа 1931 года закончились испытания самолета И7 БМВ VI, которые проходили с 10 16 августа 1931 года (6771).</w:t>
      </w:r>
    </w:p>
    <w:p w14:paraId="644879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3 – опытный постройки завода № 1.</w:t>
      </w:r>
    </w:p>
    <w:p w14:paraId="4B6415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59A2B54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опытного самолета с полетным весом 1740 кг.</w:t>
      </w:r>
    </w:p>
    <w:p w14:paraId="521202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 10 августа 1931 года</w:t>
      </w:r>
    </w:p>
    <w:p w14:paraId="1807CB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16 августа 1931 года</w:t>
      </w:r>
    </w:p>
    <w:p w14:paraId="7E1E0D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61FCD8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24</w:t>
      </w:r>
    </w:p>
    <w:p w14:paraId="3BF7C9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11 час. 40 мин.</w:t>
      </w:r>
    </w:p>
    <w:p w14:paraId="2C02A7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7CEE5ABD"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5F1C1139"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52CDAE9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B0C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августа 1931 закончились испытания самолета И7 БМВ VI, которые проходили с 10 августа 1931. Самолет И7 БМВ VI опытный, постройки завода N 1. На основании произведенных испытаний НИИ посчитал,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13DCAD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13F402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- 24</w:t>
      </w:r>
    </w:p>
    <w:p w14:paraId="12FDE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- 11 час. 40 мин. (3269).</w:t>
      </w:r>
    </w:p>
    <w:p w14:paraId="30B3E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536661"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августа 1931 г. Государственные испытания самолета И-7 завершены и оформлен отчет по их результатам, где сказано (цитата):</w:t>
      </w:r>
    </w:p>
    <w:p w14:paraId="2E8B6F0E"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 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 (24331).</w:t>
      </w:r>
    </w:p>
    <w:p w14:paraId="3630416E" w14:textId="77777777" w:rsidR="00D210DB" w:rsidRPr="00441F34" w:rsidRDefault="00D210DB" w:rsidP="00D210DB">
      <w:pPr>
        <w:spacing w:after="0" w:line="240" w:lineRule="auto"/>
        <w:jc w:val="both"/>
        <w:rPr>
          <w:rFonts w:ascii="Times New Roman" w:hAnsi="Times New Roman"/>
          <w:color w:val="0070C0"/>
          <w:sz w:val="16"/>
          <w:szCs w:val="16"/>
        </w:rPr>
      </w:pPr>
    </w:p>
    <w:p w14:paraId="01573A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августа 1931 года ЦАГИ рапортом на имя Сталина, Кагановича, Орджоникидзе, Ворошилова, Баранова и начальника ВОГВФ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xml:space="preserve"> сообщило о том, что ЦАГИ выпущен 14 августа 1931 года пассажирский самолет АНТ-14 на 2,5 месяца раньше срока. После упомянутой даты самолет АНТ-14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0A7968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этого самолет АНТ-14 полетов не производил, в эксплуатацию не вступил и не был сдан до середины сентября. Причиной этого стало то, что самолет был недоделан: в нем отсутствует телефонное сообщение между пилотами и командиром корабля, электропроводка для освещения, испорчен центральный мотор и т.д. (7753, 190).</w:t>
      </w:r>
    </w:p>
    <w:p w14:paraId="6E99B7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0F7A0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EC803D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47ADD7"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августа в 1931 году СНК СССР принял постановление «О развитии приемно-передающей радиовещательной сети». В нем указывалось на необходимость форсировать развитие технической базы радиовещания, обеспечить радиовещательными станциями все союзные и автономные республики, края и области (Собрание законов и распоряжений Рабоче-Крестьянского правительства СССР. Москва, Политиздат, 1931, страница 654) (14985).</w:t>
      </w:r>
    </w:p>
    <w:p w14:paraId="6AE4D211"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675BC2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августа 1931 г. Приказом ВОМТ контора "</w:t>
      </w:r>
      <w:proofErr w:type="spellStart"/>
      <w:r w:rsidRPr="007122AB">
        <w:rPr>
          <w:rFonts w:ascii="Times New Roman" w:hAnsi="Times New Roman"/>
          <w:color w:val="000000" w:themeColor="text1"/>
          <w:sz w:val="16"/>
          <w:szCs w:val="16"/>
        </w:rPr>
        <w:t>Азотмашстрой"получает</w:t>
      </w:r>
      <w:proofErr w:type="spellEnd"/>
      <w:r w:rsidRPr="007122AB">
        <w:rPr>
          <w:rFonts w:ascii="Times New Roman" w:hAnsi="Times New Roman"/>
          <w:color w:val="000000" w:themeColor="text1"/>
          <w:sz w:val="16"/>
          <w:szCs w:val="16"/>
        </w:rPr>
        <w:t xml:space="preserve"> сокращенное название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В начале 30-х годов контора была преобразована в институт, который, начиная с 1931 г., назывался: Государственный институт проектирования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Государственный научно-исследовательский институт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Государственный экспериментально-конструкторский институт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Государственный институт азотного машиностроения "</w:t>
      </w:r>
      <w:proofErr w:type="spellStart"/>
      <w:r w:rsidRPr="007122AB">
        <w:rPr>
          <w:rFonts w:ascii="Times New Roman" w:hAnsi="Times New Roman"/>
          <w:color w:val="000000" w:themeColor="text1"/>
          <w:sz w:val="16"/>
          <w:szCs w:val="16"/>
        </w:rPr>
        <w:t>Гипроазотмаш</w:t>
      </w:r>
      <w:proofErr w:type="spellEnd"/>
      <w:r w:rsidRPr="007122AB">
        <w:rPr>
          <w:rFonts w:ascii="Times New Roman" w:hAnsi="Times New Roman"/>
          <w:color w:val="000000" w:themeColor="text1"/>
          <w:sz w:val="16"/>
          <w:szCs w:val="16"/>
        </w:rPr>
        <w:t>". В 1941 г. институт переименован в Государственный институт химического и бумажного машиностроения "</w:t>
      </w:r>
      <w:proofErr w:type="spellStart"/>
      <w:r w:rsidRPr="007122AB">
        <w:rPr>
          <w:rFonts w:ascii="Times New Roman" w:hAnsi="Times New Roman"/>
          <w:color w:val="000000" w:themeColor="text1"/>
          <w:sz w:val="16"/>
          <w:szCs w:val="16"/>
        </w:rPr>
        <w:t>Гипрохимбуммаш</w:t>
      </w:r>
      <w:proofErr w:type="spellEnd"/>
      <w:r w:rsidRPr="007122AB">
        <w:rPr>
          <w:rFonts w:ascii="Times New Roman" w:hAnsi="Times New Roman"/>
          <w:color w:val="000000" w:themeColor="text1"/>
          <w:sz w:val="16"/>
          <w:szCs w:val="16"/>
        </w:rPr>
        <w:t xml:space="preserve">" и эвакуирован в г. Свердловск. Приказом Наркомата минометного вооружения СССР от 18 августа 1942 г. на базе </w:t>
      </w:r>
      <w:proofErr w:type="spellStart"/>
      <w:r w:rsidRPr="007122AB">
        <w:rPr>
          <w:rFonts w:ascii="Times New Roman" w:hAnsi="Times New Roman"/>
          <w:color w:val="000000" w:themeColor="text1"/>
          <w:sz w:val="16"/>
          <w:szCs w:val="16"/>
        </w:rPr>
        <w:t>Гипрохимбуммаша</w:t>
      </w:r>
      <w:proofErr w:type="spellEnd"/>
      <w:r w:rsidRPr="007122AB">
        <w:rPr>
          <w:rFonts w:ascii="Times New Roman" w:hAnsi="Times New Roman"/>
          <w:color w:val="000000" w:themeColor="text1"/>
          <w:sz w:val="16"/>
          <w:szCs w:val="16"/>
        </w:rPr>
        <w:t>, Экспериментально-конструкторского института химического машиностроения "</w:t>
      </w:r>
      <w:proofErr w:type="spellStart"/>
      <w:r w:rsidRPr="007122AB">
        <w:rPr>
          <w:rFonts w:ascii="Times New Roman" w:hAnsi="Times New Roman"/>
          <w:color w:val="000000" w:themeColor="text1"/>
          <w:sz w:val="16"/>
          <w:szCs w:val="16"/>
        </w:rPr>
        <w:t>ЭКИхиммаш</w:t>
      </w:r>
      <w:proofErr w:type="spellEnd"/>
      <w:r w:rsidRPr="007122AB">
        <w:rPr>
          <w:rFonts w:ascii="Times New Roman" w:hAnsi="Times New Roman"/>
          <w:color w:val="000000" w:themeColor="text1"/>
          <w:sz w:val="16"/>
          <w:szCs w:val="16"/>
        </w:rPr>
        <w:t>" и Конструкторского бюро Киевского завода "Большевик" организован Научно-исследовательский институт химического машиностроения "</w:t>
      </w:r>
      <w:proofErr w:type="spellStart"/>
      <w:r w:rsidRPr="007122AB">
        <w:rPr>
          <w:rFonts w:ascii="Times New Roman" w:hAnsi="Times New Roman"/>
          <w:color w:val="000000" w:themeColor="text1"/>
          <w:sz w:val="16"/>
          <w:szCs w:val="16"/>
        </w:rPr>
        <w:t>НИИхиммаш</w:t>
      </w:r>
      <w:proofErr w:type="spellEnd"/>
      <w:r w:rsidRPr="007122AB">
        <w:rPr>
          <w:rFonts w:ascii="Times New Roman" w:hAnsi="Times New Roman"/>
          <w:color w:val="000000" w:themeColor="text1"/>
          <w:sz w:val="16"/>
          <w:szCs w:val="16"/>
        </w:rPr>
        <w:t>" (12102).</w:t>
      </w:r>
    </w:p>
    <w:p w14:paraId="46425B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B69EB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AF5018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490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16 августа 1931 вышло постановление СНК N 174с о создании специальных (трудовых) поселений ГУЛАГ для высланного кулачества, а потом на эту же тему были постановления N 775.146с от 20 апреля 1933 и N 1796.393с от 21 августа 1933 (4081).</w:t>
      </w:r>
    </w:p>
    <w:p w14:paraId="7127F5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F6CE7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B5C825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00A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августа 1931 г. зав. контрольно-испытательным отделом зав. N 22 </w:t>
      </w:r>
      <w:proofErr w:type="spellStart"/>
      <w:r w:rsidRPr="007122AB">
        <w:rPr>
          <w:rFonts w:ascii="Times New Roman" w:hAnsi="Times New Roman"/>
          <w:color w:val="000000" w:themeColor="text1"/>
          <w:sz w:val="16"/>
          <w:szCs w:val="16"/>
        </w:rPr>
        <w:t>Егутко</w:t>
      </w:r>
      <w:proofErr w:type="spellEnd"/>
      <w:r w:rsidRPr="007122AB">
        <w:rPr>
          <w:rFonts w:ascii="Times New Roman" w:hAnsi="Times New Roman"/>
          <w:color w:val="000000" w:themeColor="text1"/>
          <w:sz w:val="16"/>
          <w:szCs w:val="16"/>
        </w:rPr>
        <w:t xml:space="preserve"> писал письмо N 44/825с в УВВС.</w:t>
      </w:r>
    </w:p>
    <w:p w14:paraId="0E0A6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препровождаются результаты серийного испытания самолета ТБ1 N 704.</w:t>
      </w:r>
    </w:p>
    <w:p w14:paraId="4055D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Акт</w:t>
      </w:r>
    </w:p>
    <w:p w14:paraId="3771BB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Специального испытания типа ТБ1, серии N 1 построенного на зав. N 22 с 2 моторами типа М-17 НР 616-646 NN 26261-26255.</w:t>
      </w:r>
    </w:p>
    <w:p w14:paraId="2136BE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предъявлен заводом для производства испытаний 26 июня 1931 г.</w:t>
      </w:r>
    </w:p>
    <w:p w14:paraId="4C34B1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24 июня 1931 г.</w:t>
      </w:r>
    </w:p>
    <w:p w14:paraId="1C79C5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окончено 3 июля 1931 г.</w:t>
      </w:r>
    </w:p>
    <w:p w14:paraId="06ACB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сего материала и акта по серийному испытанию комиссия считает возможным данную серию самолетов признать кондиционной (3263).</w:t>
      </w:r>
    </w:p>
    <w:p w14:paraId="2A1EB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201D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августа 1931 года начальник ЦАГИ С. </w:t>
      </w:r>
      <w:proofErr w:type="spellStart"/>
      <w:r w:rsidRPr="007122AB">
        <w:rPr>
          <w:rFonts w:ascii="Times New Roman" w:hAnsi="Times New Roman"/>
          <w:color w:val="000000" w:themeColor="text1"/>
          <w:sz w:val="16"/>
          <w:szCs w:val="16"/>
        </w:rPr>
        <w:t>Друян</w:t>
      </w:r>
      <w:proofErr w:type="spellEnd"/>
      <w:r w:rsidRPr="007122AB">
        <w:rPr>
          <w:rFonts w:ascii="Times New Roman" w:hAnsi="Times New Roman"/>
          <w:color w:val="000000" w:themeColor="text1"/>
          <w:sz w:val="16"/>
          <w:szCs w:val="16"/>
        </w:rPr>
        <w:t xml:space="preserve">, начальник Отдела авиации, гидроавиации и опытного самолетостроения Туполев и начальник части пассажирского самолетостроения Архангельский писали письмо Сталину, Кагановичу, Орджоникидзе, Ворошилову, Баранову, </w:t>
      </w:r>
      <w:proofErr w:type="spellStart"/>
      <w:r w:rsidRPr="007122AB">
        <w:rPr>
          <w:rFonts w:ascii="Times New Roman" w:hAnsi="Times New Roman"/>
          <w:color w:val="000000" w:themeColor="text1"/>
          <w:sz w:val="16"/>
          <w:szCs w:val="16"/>
        </w:rPr>
        <w:t>Гольцману</w:t>
      </w:r>
      <w:proofErr w:type="spellEnd"/>
    </w:p>
    <w:p w14:paraId="262AE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Рапорт</w:t>
      </w:r>
    </w:p>
    <w:p w14:paraId="5745BF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14 августа 1931 года выпущен в воздух пассажирский самолет АНТ-14.</w:t>
      </w:r>
    </w:p>
    <w:p w14:paraId="29BEA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Цельнометаллический 41-местный гигант, снабженный 5 моторами, общей мощностью 2400 л.с. является крупнейшей ступенью в осуществлении лозунга партии "Догнать и перегнать" капиталистические страны.</w:t>
      </w:r>
    </w:p>
    <w:p w14:paraId="12A7F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Выпуском самолета АНТ-14 в области сухопутной пассажирской авиации обогнал Америку, Англию, Францию и Японию, не имеющих ни одной машины такого тоннажа и вместе с Германией и Италией, имеющих всего лишь по одной опытной военной машине такого типа, становится на первое место в мире.</w:t>
      </w:r>
    </w:p>
    <w:p w14:paraId="51D2D4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Свой подарок 14-й Годовщине Октября в виде этой опытной машины, ЦАГИ передает Союзу на 2,5 месяца раньше срока и заверяет, что им будут приложены все силы к срочному внедрению самолета в серийное производство (7753, 191).</w:t>
      </w:r>
    </w:p>
    <w:p w14:paraId="203A3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CD191F" w14:textId="77777777" w:rsidR="005F6ACD" w:rsidRPr="007122AB" w:rsidRDefault="005F6AC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 17 августа 1931 г. на таганрогском заводе № 31 изготовили лодку первого са</w:t>
      </w:r>
      <w:r w:rsidRPr="007122AB">
        <w:rPr>
          <w:rFonts w:ascii="Times New Roman" w:hAnsi="Times New Roman"/>
          <w:color w:val="000000" w:themeColor="text1"/>
          <w:sz w:val="16"/>
          <w:szCs w:val="16"/>
          <w:lang w:eastAsia="ru-RU" w:bidi="ru-RU"/>
        </w:rPr>
        <w:softHyphen/>
        <w:t xml:space="preserve">молета </w:t>
      </w:r>
      <w:r w:rsidRPr="007122AB">
        <w:rPr>
          <w:rFonts w:ascii="Times New Roman" w:hAnsi="Times New Roman"/>
          <w:color w:val="000000" w:themeColor="text1"/>
          <w:sz w:val="16"/>
          <w:szCs w:val="16"/>
          <w:lang w:val="en-US" w:bidi="en-US"/>
        </w:rPr>
        <w:t>S</w:t>
      </w:r>
      <w:r w:rsidRPr="007122AB">
        <w:rPr>
          <w:rFonts w:ascii="Times New Roman" w:hAnsi="Times New Roman"/>
          <w:color w:val="000000" w:themeColor="text1"/>
          <w:sz w:val="16"/>
          <w:szCs w:val="16"/>
          <w:lang w:bidi="en-US"/>
        </w:rPr>
        <w:t>-62</w:t>
      </w:r>
      <w:r w:rsidRPr="007122AB">
        <w:rPr>
          <w:rFonts w:ascii="Times New Roman" w:hAnsi="Times New Roman"/>
          <w:color w:val="000000" w:themeColor="text1"/>
          <w:sz w:val="16"/>
          <w:szCs w:val="16"/>
          <w:lang w:val="en-US" w:bidi="en-US"/>
        </w:rPr>
        <w:t>bis</w:t>
      </w:r>
      <w:r w:rsidRPr="007122AB">
        <w:rPr>
          <w:rFonts w:ascii="Times New Roman" w:hAnsi="Times New Roman"/>
          <w:color w:val="000000" w:themeColor="text1"/>
          <w:sz w:val="16"/>
          <w:szCs w:val="16"/>
          <w:lang w:eastAsia="ru-RU" w:bidi="ru-RU"/>
        </w:rPr>
        <w:t>. 28 ноября заводчане отрапортовали «наверх», что машина почти готова, не успели только обтянуть плоскости полотном и смонтировать оборудование. Но уже на следующий день кто-то из рабочих по ошибке оставил на ночь открытым паровой вентиль в цехе (гнутые деревян</w:t>
      </w:r>
      <w:r w:rsidRPr="007122AB">
        <w:rPr>
          <w:rFonts w:ascii="Times New Roman" w:hAnsi="Times New Roman"/>
          <w:color w:val="000000" w:themeColor="text1"/>
          <w:sz w:val="16"/>
          <w:szCs w:val="16"/>
          <w:lang w:eastAsia="ru-RU" w:bidi="ru-RU"/>
        </w:rPr>
        <w:softHyphen/>
        <w:t xml:space="preserve">ные детали предварительно распаривали). К утру все </w:t>
      </w:r>
      <w:proofErr w:type="spellStart"/>
      <w:r w:rsidRPr="007122AB">
        <w:rPr>
          <w:rFonts w:ascii="Times New Roman" w:hAnsi="Times New Roman"/>
          <w:color w:val="000000" w:themeColor="text1"/>
          <w:sz w:val="16"/>
          <w:szCs w:val="16"/>
          <w:lang w:eastAsia="ru-RU" w:bidi="ru-RU"/>
        </w:rPr>
        <w:t>межкрыльевые</w:t>
      </w:r>
      <w:proofErr w:type="spellEnd"/>
      <w:r w:rsidRPr="007122AB">
        <w:rPr>
          <w:rFonts w:ascii="Times New Roman" w:hAnsi="Times New Roman"/>
          <w:color w:val="000000" w:themeColor="text1"/>
          <w:sz w:val="16"/>
          <w:szCs w:val="16"/>
          <w:lang w:eastAsia="ru-RU" w:bidi="ru-RU"/>
        </w:rPr>
        <w:t xml:space="preserve"> стойки и </w:t>
      </w:r>
      <w:proofErr w:type="spellStart"/>
      <w:r w:rsidRPr="007122AB">
        <w:rPr>
          <w:rFonts w:ascii="Times New Roman" w:hAnsi="Times New Roman"/>
          <w:color w:val="000000" w:themeColor="text1"/>
          <w:sz w:val="16"/>
          <w:szCs w:val="16"/>
          <w:lang w:eastAsia="ru-RU" w:bidi="ru-RU"/>
        </w:rPr>
        <w:t>подмоторные</w:t>
      </w:r>
      <w:proofErr w:type="spellEnd"/>
      <w:r w:rsidRPr="007122AB">
        <w:rPr>
          <w:rFonts w:ascii="Times New Roman" w:hAnsi="Times New Roman"/>
          <w:color w:val="000000" w:themeColor="text1"/>
          <w:sz w:val="16"/>
          <w:szCs w:val="16"/>
          <w:lang w:eastAsia="ru-RU" w:bidi="ru-RU"/>
        </w:rPr>
        <w:t xml:space="preserve"> брусья перекосились и растрескались.</w:t>
      </w:r>
    </w:p>
    <w:p w14:paraId="544979A6" w14:textId="77777777" w:rsidR="005F6ACD" w:rsidRPr="007122AB" w:rsidRDefault="005F6ACD"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попытке спасти ситуацию завод обратился в ВАО с просьбой уменьшить план до 30 самолетов, а пять первых считать опытными. Эта маленькая хитрость позволяла су</w:t>
      </w:r>
      <w:r w:rsidRPr="007122AB">
        <w:rPr>
          <w:rFonts w:ascii="Times New Roman" w:hAnsi="Times New Roman"/>
          <w:color w:val="000000" w:themeColor="text1"/>
          <w:sz w:val="16"/>
          <w:szCs w:val="16"/>
          <w:lang w:eastAsia="ru-RU" w:bidi="ru-RU"/>
        </w:rPr>
        <w:softHyphen/>
        <w:t>щественно отклоняться от требований к серийным ма</w:t>
      </w:r>
      <w:r w:rsidRPr="007122AB">
        <w:rPr>
          <w:rFonts w:ascii="Times New Roman" w:hAnsi="Times New Roman"/>
          <w:color w:val="000000" w:themeColor="text1"/>
          <w:sz w:val="16"/>
          <w:szCs w:val="16"/>
          <w:lang w:eastAsia="ru-RU" w:bidi="ru-RU"/>
        </w:rPr>
        <w:softHyphen/>
        <w:t>шинам. ВАО с предложением завода согласился, но зато на следующий, 1932 г., от предприятия потребовали вы</w:t>
      </w:r>
      <w:r w:rsidRPr="007122AB">
        <w:rPr>
          <w:rFonts w:ascii="Times New Roman" w:hAnsi="Times New Roman"/>
          <w:color w:val="000000" w:themeColor="text1"/>
          <w:sz w:val="16"/>
          <w:szCs w:val="16"/>
          <w:lang w:eastAsia="ru-RU" w:bidi="ru-RU"/>
        </w:rPr>
        <w:softHyphen/>
        <w:t>пустить уже 110 лодок. При этом первые 50 машин долж</w:t>
      </w:r>
      <w:r w:rsidRPr="007122AB">
        <w:rPr>
          <w:rFonts w:ascii="Times New Roman" w:hAnsi="Times New Roman"/>
          <w:color w:val="000000" w:themeColor="text1"/>
          <w:sz w:val="16"/>
          <w:szCs w:val="16"/>
          <w:lang w:eastAsia="ru-RU" w:bidi="ru-RU"/>
        </w:rPr>
        <w:softHyphen/>
        <w:t>ны были оснащаться двигателями «Ассо», 10-20 следую</w:t>
      </w:r>
      <w:r w:rsidRPr="007122AB">
        <w:rPr>
          <w:rFonts w:ascii="Times New Roman" w:hAnsi="Times New Roman"/>
          <w:color w:val="000000" w:themeColor="text1"/>
          <w:sz w:val="16"/>
          <w:szCs w:val="16"/>
          <w:lang w:eastAsia="ru-RU" w:bidi="ru-RU"/>
        </w:rPr>
        <w:softHyphen/>
        <w:t>щих — новыми отечественными моторами М-27 (тоже 18-ци</w:t>
      </w:r>
      <w:r w:rsidRPr="007122AB">
        <w:rPr>
          <w:rFonts w:ascii="Times New Roman" w:hAnsi="Times New Roman"/>
          <w:color w:val="000000" w:themeColor="text1"/>
          <w:sz w:val="16"/>
          <w:szCs w:val="16"/>
          <w:lang w:eastAsia="ru-RU" w:bidi="ru-RU"/>
        </w:rPr>
        <w:softHyphen/>
        <w:t xml:space="preserve">линдровыми, </w:t>
      </w:r>
      <w:r w:rsidRPr="007122AB">
        <w:rPr>
          <w:rFonts w:ascii="Times New Roman" w:hAnsi="Times New Roman"/>
          <w:color w:val="000000" w:themeColor="text1"/>
          <w:sz w:val="16"/>
          <w:szCs w:val="16"/>
          <w:lang w:val="en-US" w:bidi="en-US"/>
        </w:rPr>
        <w:t>W</w:t>
      </w:r>
      <w:r w:rsidRPr="007122AB">
        <w:rPr>
          <w:rFonts w:ascii="Times New Roman" w:hAnsi="Times New Roman"/>
          <w:color w:val="000000" w:themeColor="text1"/>
          <w:sz w:val="16"/>
          <w:szCs w:val="16"/>
          <w:lang w:eastAsia="ru-RU" w:bidi="ru-RU"/>
        </w:rPr>
        <w:t>-образными, как «Ассо»), а все остальные — двигателями М-34. Машины с М-27 предназначались для гражданской авиации, с М-34 — для ВВС. Проектирование вариантов с М-27 и М-34 начали на заводе №31, но с кон</w:t>
      </w:r>
      <w:r w:rsidRPr="007122AB">
        <w:rPr>
          <w:rFonts w:ascii="Times New Roman" w:hAnsi="Times New Roman"/>
          <w:color w:val="000000" w:themeColor="text1"/>
          <w:sz w:val="16"/>
          <w:szCs w:val="16"/>
          <w:lang w:eastAsia="ru-RU" w:bidi="ru-RU"/>
        </w:rPr>
        <w:softHyphen/>
        <w:t>ца года все материалы передали в ЦАГИ (20325).</w:t>
      </w:r>
    </w:p>
    <w:p w14:paraId="21CCC8C5" w14:textId="77777777" w:rsidR="005F6ACD" w:rsidRPr="007122AB" w:rsidRDefault="005F6ACD" w:rsidP="007122AB">
      <w:pPr>
        <w:spacing w:after="0" w:line="240" w:lineRule="auto"/>
        <w:jc w:val="both"/>
        <w:rPr>
          <w:rFonts w:ascii="Times New Roman" w:hAnsi="Times New Roman"/>
          <w:color w:val="000000" w:themeColor="text1"/>
          <w:sz w:val="16"/>
          <w:szCs w:val="16"/>
        </w:rPr>
      </w:pPr>
    </w:p>
    <w:p w14:paraId="73997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августа 1931 у П.И.Б. состоялось совещание по вопросам разработки планов опытного моторо- и самолетостроения на 1931-1934 гг. (351).</w:t>
      </w:r>
    </w:p>
    <w:p w14:paraId="61EB5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3CDB88" w14:textId="77777777" w:rsidR="00AE4CBE"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2BEC36D" w14:textId="77777777" w:rsidR="00AE4CBE" w:rsidRPr="007122AB" w:rsidRDefault="00AE4CB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5C1054" w14:textId="77777777" w:rsidR="009E2993" w:rsidRPr="007122AB" w:rsidRDefault="009E2993"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17 августа 1931 г. губернатор Техаса Стерлинг силой остановил нефтедобычу (</w:t>
      </w:r>
      <w:proofErr w:type="spellStart"/>
      <w:r w:rsidRPr="007122AB">
        <w:rPr>
          <w:rFonts w:ascii="Times New Roman" w:eastAsia="Times New Roman" w:hAnsi="Times New Roman"/>
          <w:bCs/>
          <w:iCs/>
          <w:color w:val="000000" w:themeColor="text1"/>
          <w:sz w:val="16"/>
          <w:szCs w:val="16"/>
          <w:lang w:eastAsia="ru-RU"/>
        </w:rPr>
        <w:t>Д.Ергин</w:t>
      </w:r>
      <w:proofErr w:type="spellEnd"/>
      <w:r w:rsidRPr="007122AB">
        <w:rPr>
          <w:rFonts w:ascii="Times New Roman" w:eastAsia="Times New Roman" w:hAnsi="Times New Roman"/>
          <w:bCs/>
          <w:iCs/>
          <w:color w:val="000000" w:themeColor="text1"/>
          <w:sz w:val="16"/>
          <w:szCs w:val="16"/>
          <w:lang w:eastAsia="ru-RU"/>
        </w:rPr>
        <w:t xml:space="preserve"> «Добыча», М., </w:t>
      </w:r>
      <w:proofErr w:type="spellStart"/>
      <w:r w:rsidRPr="007122AB">
        <w:rPr>
          <w:rFonts w:ascii="Times New Roman" w:eastAsia="Times New Roman" w:hAnsi="Times New Roman"/>
          <w:bCs/>
          <w:iCs/>
          <w:color w:val="000000" w:themeColor="text1"/>
          <w:sz w:val="16"/>
          <w:szCs w:val="16"/>
          <w:lang w:eastAsia="ru-RU"/>
        </w:rPr>
        <w:t>ДеНово</w:t>
      </w:r>
      <w:proofErr w:type="spellEnd"/>
      <w:r w:rsidRPr="007122AB">
        <w:rPr>
          <w:rFonts w:ascii="Times New Roman" w:eastAsia="Times New Roman" w:hAnsi="Times New Roman"/>
          <w:bCs/>
          <w:iCs/>
          <w:color w:val="000000" w:themeColor="text1"/>
          <w:sz w:val="16"/>
          <w:szCs w:val="16"/>
          <w:lang w:eastAsia="ru-RU"/>
        </w:rPr>
        <w:t>, 1999):</w:t>
      </w:r>
    </w:p>
    <w:p w14:paraId="05EB374B" w14:textId="77777777" w:rsidR="009E2993" w:rsidRPr="007122AB" w:rsidRDefault="009E2993"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«К августу 1931 года и Восточный Техас, и весь нефтяной рынок США находились в состоянии полной анархии. В Восточном Техасе добывалось уже более миллиона баррелей в день, что составляло почти половину всех потребностей Америки, и цена сырой нефти рухнула до тринадцати центов за баррель. Нефть из Техаса стоила в Европе даже дешевле российской. Цены на нефть на выходе с буровой в Техасе и повсюду в США были настолько ниже себестоимости, составлявшей в среднем восемьдесят центов за баррель, что грозило крахом большинству нефтедобывающих компаний, как в Техасе, так и по всей стране. На следующий день после того, как нефтедобытчики Восточного Техаса призвали добровольно прекратить добычу, чтобы содействовать подъему цен, уровень добычи еще вырос. Воздух наполнялся ожесточением, говорили, что завозят динамит, чтобы взорвать скважины и трубопроводы. Экономика Техаса, а также, вероятно, закон и порядок, были на грани краха. Губернатор Техаса Росс Стерлинг, основатель и </w:t>
      </w:r>
      <w:proofErr w:type="spellStart"/>
      <w:r w:rsidRPr="007122AB">
        <w:rPr>
          <w:rFonts w:ascii="Times New Roman" w:eastAsia="Times New Roman" w:hAnsi="Times New Roman"/>
          <w:bCs/>
          <w:color w:val="000000" w:themeColor="text1"/>
          <w:sz w:val="16"/>
          <w:szCs w:val="16"/>
          <w:lang w:eastAsia="ru-RU"/>
        </w:rPr>
        <w:t>экспредседатель</w:t>
      </w:r>
      <w:proofErr w:type="spellEnd"/>
      <w:r w:rsidRPr="007122AB">
        <w:rPr>
          <w:rFonts w:ascii="Times New Roman" w:eastAsia="Times New Roman" w:hAnsi="Times New Roman"/>
          <w:bCs/>
          <w:color w:val="000000" w:themeColor="text1"/>
          <w:sz w:val="16"/>
          <w:szCs w:val="16"/>
          <w:lang w:eastAsia="ru-RU"/>
        </w:rPr>
        <w:t xml:space="preserve"> «</w:t>
      </w:r>
      <w:proofErr w:type="spellStart"/>
      <w:r w:rsidRPr="007122AB">
        <w:rPr>
          <w:rFonts w:ascii="Times New Roman" w:eastAsia="Times New Roman" w:hAnsi="Times New Roman"/>
          <w:bCs/>
          <w:color w:val="000000" w:themeColor="text1"/>
          <w:sz w:val="16"/>
          <w:szCs w:val="16"/>
          <w:lang w:eastAsia="ru-RU"/>
        </w:rPr>
        <w:t>Хамбл</w:t>
      </w:r>
      <w:proofErr w:type="spellEnd"/>
      <w:r w:rsidRPr="007122AB">
        <w:rPr>
          <w:rFonts w:ascii="Times New Roman" w:eastAsia="Times New Roman" w:hAnsi="Times New Roman"/>
          <w:bCs/>
          <w:color w:val="000000" w:themeColor="text1"/>
          <w:sz w:val="16"/>
          <w:szCs w:val="16"/>
          <w:lang w:eastAsia="ru-RU"/>
        </w:rPr>
        <w:t xml:space="preserve"> ойл», колебался. Однако выхода не было, приходилось действовать. Он объявил войну за Восточный Техас. </w:t>
      </w:r>
      <w:r w:rsidRPr="007122AB">
        <w:rPr>
          <w:rFonts w:ascii="Times New Roman" w:eastAsia="Times New Roman" w:hAnsi="Times New Roman"/>
          <w:color w:val="000000" w:themeColor="text1"/>
          <w:sz w:val="16"/>
          <w:szCs w:val="16"/>
          <w:lang w:eastAsia="ru-RU"/>
        </w:rPr>
        <w:t xml:space="preserve">17 августа 1931 года </w:t>
      </w:r>
      <w:r w:rsidRPr="007122AB">
        <w:rPr>
          <w:rFonts w:ascii="Times New Roman" w:eastAsia="Times New Roman" w:hAnsi="Times New Roman"/>
          <w:bCs/>
          <w:color w:val="000000" w:themeColor="text1"/>
          <w:sz w:val="16"/>
          <w:szCs w:val="16"/>
          <w:lang w:eastAsia="ru-RU"/>
        </w:rPr>
        <w:t>губернатор заявил, что Восточный Техас находится «в состоянии мятежа» и «открытого бунта», и послал к скважинам несколько тысяч национальных гвардейцев и техасских рейнджеров. Они отправились в путь на лошадях, поскольку недавние дожди размыли дороги, сделав их непроходимыми для автомобилей. Лагерь разбили на месте, которое впоследствии окрестили «Холм борьбы за рационирование», и в течение нескольких дней «армия губернатора» остановила добычу. Непривычная тишина повисла над всем Восточным Техасом. Работа на месторождениях замерла. Даже курам, растолстевшим на насекомых, слетавшихся на свет горящих газовых факелов, пришлось «вернуться к прозаической „до-нефтяной“ практике копания червей». Вспомогательные работы тоже встали. Генерал, командовавший Национальной гвардией, запретил ношение «пляжных пижам» — «спецодежды» проституток, и их бизнес тоже начал хиреть. Мораторий на добычу работал — цены в отрасли повышались.» (17325).</w:t>
      </w:r>
    </w:p>
    <w:p w14:paraId="2BB4E461" w14:textId="77777777" w:rsidR="009E2993" w:rsidRPr="007122AB" w:rsidRDefault="009E2993" w:rsidP="007122AB">
      <w:pPr>
        <w:autoSpaceDE w:val="0"/>
        <w:autoSpaceDN w:val="0"/>
        <w:adjustRightInd w:val="0"/>
        <w:spacing w:after="0" w:line="240" w:lineRule="auto"/>
        <w:jc w:val="both"/>
        <w:rPr>
          <w:rFonts w:ascii="Times New Roman" w:hAnsi="Times New Roman"/>
          <w:color w:val="000000" w:themeColor="text1"/>
          <w:sz w:val="16"/>
          <w:szCs w:val="16"/>
        </w:rPr>
      </w:pPr>
    </w:p>
    <w:p w14:paraId="55AA368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DFBACD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22AA58"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августа 1931 г. Приказом № 354 Всесоюзного объединения Гражданского воздушного флота (ВОГВФ) была организована База опытного строительства и эксплуатации дирижаблей (БОСЭД), которая 7 декабря 1931 г. Приказом № 462 ВОГВФ была переименована в производственно-эксплуатационное предприятие строительства и эксплуатации дирижаблей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(15797).</w:t>
      </w:r>
    </w:p>
    <w:p w14:paraId="3BEDBDB9"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2A942E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августа 1931 был создан ГИРД, но это не совсем точно, так как правильнее - 1-20 сентября 1931 (388,56).</w:t>
      </w:r>
    </w:p>
    <w:p w14:paraId="11BCA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9E0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18-21 августа 1931 Н-2 </w:t>
      </w:r>
      <w:proofErr w:type="spellStart"/>
      <w:r w:rsidRPr="007122AB">
        <w:rPr>
          <w:rFonts w:ascii="Times New Roman" w:hAnsi="Times New Roman"/>
          <w:color w:val="000000" w:themeColor="text1"/>
          <w:sz w:val="16"/>
          <w:szCs w:val="16"/>
        </w:rPr>
        <w:t>Комсеверопути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Липп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Страубе</w:t>
      </w:r>
      <w:proofErr w:type="spellEnd"/>
      <w:r w:rsidRPr="007122AB">
        <w:rPr>
          <w:rFonts w:ascii="Times New Roman" w:hAnsi="Times New Roman"/>
          <w:color w:val="000000" w:themeColor="text1"/>
          <w:sz w:val="16"/>
          <w:szCs w:val="16"/>
        </w:rPr>
        <w:t xml:space="preserve">, Петров - 438,627) летал на ликвидацию эпизоотии Сибирской язвы среди оленей (442,67) из Игарки в Дудинку и за 5 дней облетел п/о в поисках стад, садясь на озера в тундре, перевозя </w:t>
      </w:r>
      <w:proofErr w:type="spellStart"/>
      <w:r w:rsidRPr="007122AB">
        <w:rPr>
          <w:rFonts w:ascii="Times New Roman" w:hAnsi="Times New Roman"/>
          <w:color w:val="000000" w:themeColor="text1"/>
          <w:sz w:val="16"/>
          <w:szCs w:val="16"/>
        </w:rPr>
        <w:t>ветработников</w:t>
      </w:r>
      <w:proofErr w:type="spellEnd"/>
      <w:r w:rsidRPr="007122AB">
        <w:rPr>
          <w:rFonts w:ascii="Times New Roman" w:hAnsi="Times New Roman"/>
          <w:color w:val="000000" w:themeColor="text1"/>
          <w:sz w:val="16"/>
          <w:szCs w:val="16"/>
        </w:rPr>
        <w:t xml:space="preserve"> (438,627).</w:t>
      </w:r>
    </w:p>
    <w:p w14:paraId="25B9D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EEBBD8" w14:textId="77777777" w:rsidR="00190C71" w:rsidRPr="009F5089" w:rsidRDefault="00190C71" w:rsidP="00190C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18-22 а</w:t>
      </w:r>
      <w:r>
        <w:rPr>
          <w:rFonts w:ascii="Times New Roman" w:hAnsi="Times New Roman"/>
          <w:color w:val="0070C0"/>
          <w:sz w:val="16"/>
          <w:szCs w:val="16"/>
        </w:rPr>
        <w:t>в</w:t>
      </w:r>
      <w:r w:rsidRPr="009F5089">
        <w:rPr>
          <w:rFonts w:ascii="Times New Roman" w:hAnsi="Times New Roman"/>
          <w:color w:val="0070C0"/>
          <w:sz w:val="16"/>
          <w:szCs w:val="16"/>
        </w:rPr>
        <w:t>густа</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н</w:t>
      </w:r>
      <w:r w:rsidRPr="009F5089">
        <w:rPr>
          <w:rFonts w:ascii="Times New Roman" w:hAnsi="Times New Roman"/>
          <w:color w:val="0070C0"/>
          <w:sz w:val="16"/>
          <w:szCs w:val="16"/>
        </w:rPr>
        <w:t xml:space="preserve">а Таймырском полуострове среди оленьих стад </w:t>
      </w:r>
      <w:r>
        <w:rPr>
          <w:rFonts w:ascii="Times New Roman" w:hAnsi="Times New Roman"/>
          <w:color w:val="0070C0"/>
          <w:sz w:val="16"/>
          <w:szCs w:val="16"/>
        </w:rPr>
        <w:t>поя</w:t>
      </w:r>
      <w:r w:rsidRPr="009F5089">
        <w:rPr>
          <w:rFonts w:ascii="Times New Roman" w:hAnsi="Times New Roman"/>
          <w:color w:val="0070C0"/>
          <w:sz w:val="16"/>
          <w:szCs w:val="16"/>
        </w:rPr>
        <w:t>ви</w:t>
      </w:r>
      <w:r>
        <w:rPr>
          <w:rFonts w:ascii="Times New Roman" w:hAnsi="Times New Roman"/>
          <w:color w:val="0070C0"/>
          <w:sz w:val="16"/>
          <w:szCs w:val="16"/>
        </w:rPr>
        <w:t>л</w:t>
      </w:r>
      <w:r w:rsidRPr="009F5089">
        <w:rPr>
          <w:rFonts w:ascii="Times New Roman" w:hAnsi="Times New Roman"/>
          <w:color w:val="0070C0"/>
          <w:sz w:val="16"/>
          <w:szCs w:val="16"/>
        </w:rPr>
        <w:t>ась эпизоотия сибирской язвы,</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угрожавшая гибелью поголовья </w:t>
      </w:r>
      <w:r>
        <w:rPr>
          <w:rFonts w:ascii="Times New Roman" w:hAnsi="Times New Roman"/>
          <w:color w:val="0070C0"/>
          <w:sz w:val="16"/>
          <w:szCs w:val="16"/>
        </w:rPr>
        <w:t>оле</w:t>
      </w:r>
      <w:r w:rsidRPr="009F5089">
        <w:rPr>
          <w:rFonts w:ascii="Times New Roman" w:hAnsi="Times New Roman"/>
          <w:color w:val="0070C0"/>
          <w:sz w:val="16"/>
          <w:szCs w:val="16"/>
        </w:rPr>
        <w:t>ней.</w:t>
      </w:r>
      <w:r>
        <w:rPr>
          <w:rFonts w:ascii="Times New Roman" w:hAnsi="Times New Roman"/>
          <w:color w:val="0070C0"/>
          <w:sz w:val="16"/>
          <w:szCs w:val="16"/>
        </w:rPr>
        <w:t xml:space="preserve"> </w:t>
      </w:r>
      <w:proofErr w:type="spellStart"/>
      <w:r>
        <w:rPr>
          <w:rFonts w:ascii="Times New Roman" w:hAnsi="Times New Roman"/>
          <w:color w:val="0070C0"/>
          <w:sz w:val="16"/>
          <w:szCs w:val="16"/>
        </w:rPr>
        <w:t>Ну</w:t>
      </w:r>
      <w:r w:rsidRPr="009F5089">
        <w:rPr>
          <w:rFonts w:ascii="Times New Roman" w:hAnsi="Times New Roman"/>
          <w:color w:val="0070C0"/>
          <w:sz w:val="16"/>
          <w:szCs w:val="16"/>
        </w:rPr>
        <w:t>но</w:t>
      </w:r>
      <w:proofErr w:type="spellEnd"/>
      <w:r w:rsidRPr="009F5089">
        <w:rPr>
          <w:rFonts w:ascii="Times New Roman" w:hAnsi="Times New Roman"/>
          <w:color w:val="0070C0"/>
          <w:sz w:val="16"/>
          <w:szCs w:val="16"/>
        </w:rPr>
        <w:t xml:space="preserve"> было срочно доставить к оленьим стадам ветеринарную </w:t>
      </w:r>
      <w:r>
        <w:rPr>
          <w:rFonts w:ascii="Times New Roman" w:hAnsi="Times New Roman"/>
          <w:color w:val="0070C0"/>
          <w:sz w:val="16"/>
          <w:szCs w:val="16"/>
        </w:rPr>
        <w:t>помощь</w:t>
      </w:r>
      <w:r w:rsidRPr="009F5089">
        <w:rPr>
          <w:rFonts w:ascii="Times New Roman" w:hAnsi="Times New Roman"/>
          <w:color w:val="0070C0"/>
          <w:sz w:val="16"/>
          <w:szCs w:val="16"/>
        </w:rPr>
        <w:t xml:space="preserve"> с медикаментами.</w:t>
      </w:r>
      <w:r>
        <w:rPr>
          <w:rFonts w:ascii="Times New Roman" w:hAnsi="Times New Roman"/>
          <w:color w:val="0070C0"/>
          <w:sz w:val="16"/>
          <w:szCs w:val="16"/>
        </w:rPr>
        <w:t xml:space="preserve"> </w:t>
      </w:r>
      <w:r w:rsidRPr="009F5089">
        <w:rPr>
          <w:rFonts w:ascii="Times New Roman" w:hAnsi="Times New Roman"/>
          <w:color w:val="0070C0"/>
          <w:sz w:val="16"/>
          <w:szCs w:val="16"/>
        </w:rPr>
        <w:t>Никаким иным путем это не могло быть выпол</w:t>
      </w:r>
      <w:r>
        <w:rPr>
          <w:rFonts w:ascii="Times New Roman" w:hAnsi="Times New Roman"/>
          <w:color w:val="0070C0"/>
          <w:sz w:val="16"/>
          <w:szCs w:val="16"/>
        </w:rPr>
        <w:t>нено</w:t>
      </w:r>
      <w:r w:rsidRPr="009F5089">
        <w:rPr>
          <w:rFonts w:ascii="Times New Roman" w:hAnsi="Times New Roman"/>
          <w:color w:val="0070C0"/>
          <w:sz w:val="16"/>
          <w:szCs w:val="16"/>
        </w:rPr>
        <w:t xml:space="preserve"> в срок</w:t>
      </w:r>
      <w:r>
        <w:rPr>
          <w:rFonts w:ascii="Times New Roman" w:hAnsi="Times New Roman"/>
          <w:color w:val="0070C0"/>
          <w:sz w:val="16"/>
          <w:szCs w:val="16"/>
        </w:rPr>
        <w:t>.</w:t>
      </w:r>
      <w:r w:rsidRPr="009F5089">
        <w:rPr>
          <w:rFonts w:ascii="Times New Roman" w:hAnsi="Times New Roman"/>
          <w:color w:val="0070C0"/>
          <w:sz w:val="16"/>
          <w:szCs w:val="16"/>
        </w:rPr>
        <w:t xml:space="preserve"> Положение было спасено экипажем самолета "</w:t>
      </w:r>
      <w:proofErr w:type="spellStart"/>
      <w:r w:rsidRPr="009F5089">
        <w:rPr>
          <w:rFonts w:ascii="Times New Roman" w:hAnsi="Times New Roman"/>
          <w:color w:val="0070C0"/>
          <w:sz w:val="16"/>
          <w:szCs w:val="16"/>
        </w:rPr>
        <w:t>Комсеверо</w:t>
      </w:r>
      <w:r>
        <w:rPr>
          <w:rFonts w:ascii="Times New Roman" w:hAnsi="Times New Roman"/>
          <w:color w:val="0070C0"/>
          <w:sz w:val="16"/>
          <w:szCs w:val="16"/>
        </w:rPr>
        <w:t>путь</w:t>
      </w:r>
      <w:proofErr w:type="spellEnd"/>
      <w:r w:rsidRPr="009F5089">
        <w:rPr>
          <w:rFonts w:ascii="Times New Roman" w:hAnsi="Times New Roman"/>
          <w:color w:val="0070C0"/>
          <w:sz w:val="16"/>
          <w:szCs w:val="16"/>
        </w:rPr>
        <w:t>" /</w:t>
      </w:r>
      <w:proofErr w:type="spellStart"/>
      <w:r w:rsidRPr="009F5089">
        <w:rPr>
          <w:rFonts w:ascii="Times New Roman" w:hAnsi="Times New Roman"/>
          <w:color w:val="0070C0"/>
          <w:sz w:val="16"/>
          <w:szCs w:val="16"/>
        </w:rPr>
        <w:t>Э.М.Лип</w:t>
      </w:r>
      <w:r>
        <w:rPr>
          <w:rFonts w:ascii="Times New Roman" w:hAnsi="Times New Roman"/>
          <w:color w:val="0070C0"/>
          <w:sz w:val="16"/>
          <w:szCs w:val="16"/>
        </w:rPr>
        <w:t>п</w:t>
      </w:r>
      <w:proofErr w:type="spellEnd"/>
      <w:r w:rsidRPr="009F5089">
        <w:rPr>
          <w:rFonts w:ascii="Times New Roman" w:hAnsi="Times New Roman"/>
          <w:color w:val="0070C0"/>
          <w:sz w:val="16"/>
          <w:szCs w:val="16"/>
        </w:rPr>
        <w:t xml:space="preserve">, Г. </w:t>
      </w:r>
      <w:proofErr w:type="spellStart"/>
      <w:r w:rsidRPr="009F5089">
        <w:rPr>
          <w:rFonts w:ascii="Times New Roman" w:hAnsi="Times New Roman"/>
          <w:color w:val="0070C0"/>
          <w:sz w:val="16"/>
          <w:szCs w:val="16"/>
        </w:rPr>
        <w:t>А.Страубе</w:t>
      </w:r>
      <w:proofErr w:type="spellEnd"/>
      <w:r w:rsidRPr="009F5089">
        <w:rPr>
          <w:rFonts w:ascii="Times New Roman" w:hAnsi="Times New Roman"/>
          <w:color w:val="0070C0"/>
          <w:sz w:val="16"/>
          <w:szCs w:val="16"/>
        </w:rPr>
        <w:t xml:space="preserve">/, немедленно прилетевшим из Игарки на </w:t>
      </w:r>
      <w:proofErr w:type="spellStart"/>
      <w:r>
        <w:rPr>
          <w:rFonts w:ascii="Times New Roman" w:hAnsi="Times New Roman"/>
          <w:color w:val="0070C0"/>
          <w:sz w:val="16"/>
          <w:szCs w:val="16"/>
        </w:rPr>
        <w:t>Таймыо</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течение пятя дней летчики облетали полуостров в поисках </w:t>
      </w:r>
      <w:r>
        <w:rPr>
          <w:rFonts w:ascii="Times New Roman" w:hAnsi="Times New Roman"/>
          <w:color w:val="0070C0"/>
          <w:sz w:val="16"/>
          <w:szCs w:val="16"/>
        </w:rPr>
        <w:t>оленьих</w:t>
      </w:r>
      <w:r w:rsidRPr="009F5089">
        <w:rPr>
          <w:rFonts w:ascii="Times New Roman" w:hAnsi="Times New Roman"/>
          <w:color w:val="0070C0"/>
          <w:sz w:val="16"/>
          <w:szCs w:val="16"/>
        </w:rPr>
        <w:t xml:space="preserve"> стад,</w:t>
      </w:r>
      <w:r>
        <w:rPr>
          <w:rFonts w:ascii="Times New Roman" w:hAnsi="Times New Roman"/>
          <w:color w:val="0070C0"/>
          <w:sz w:val="16"/>
          <w:szCs w:val="16"/>
        </w:rPr>
        <w:t xml:space="preserve"> </w:t>
      </w:r>
      <w:r w:rsidRPr="009F5089">
        <w:rPr>
          <w:rFonts w:ascii="Times New Roman" w:hAnsi="Times New Roman"/>
          <w:color w:val="0070C0"/>
          <w:sz w:val="16"/>
          <w:szCs w:val="16"/>
        </w:rPr>
        <w:t>садясь на озера среди тундры,</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перевозя ветеринаров </w:t>
      </w:r>
      <w:r>
        <w:rPr>
          <w:rFonts w:ascii="Times New Roman" w:hAnsi="Times New Roman"/>
          <w:color w:val="0070C0"/>
          <w:sz w:val="16"/>
          <w:szCs w:val="16"/>
        </w:rPr>
        <w:t xml:space="preserve">от </w:t>
      </w:r>
      <w:r w:rsidRPr="009F5089">
        <w:rPr>
          <w:rFonts w:ascii="Times New Roman" w:hAnsi="Times New Roman"/>
          <w:color w:val="0070C0"/>
          <w:sz w:val="16"/>
          <w:szCs w:val="16"/>
        </w:rPr>
        <w:t>одного пункта к другому.</w:t>
      </w:r>
      <w:r>
        <w:rPr>
          <w:rFonts w:ascii="Times New Roman" w:hAnsi="Times New Roman"/>
          <w:color w:val="0070C0"/>
          <w:sz w:val="16"/>
          <w:szCs w:val="16"/>
        </w:rPr>
        <w:t xml:space="preserve"> </w:t>
      </w:r>
      <w:r w:rsidRPr="009F5089">
        <w:rPr>
          <w:rFonts w:ascii="Times New Roman" w:hAnsi="Times New Roman"/>
          <w:color w:val="0070C0"/>
          <w:sz w:val="16"/>
          <w:szCs w:val="16"/>
        </w:rPr>
        <w:t>Героическая работа летчиков была оце</w:t>
      </w:r>
      <w:r>
        <w:rPr>
          <w:rFonts w:ascii="Times New Roman" w:hAnsi="Times New Roman"/>
          <w:color w:val="0070C0"/>
          <w:sz w:val="16"/>
          <w:szCs w:val="16"/>
        </w:rPr>
        <w:t xml:space="preserve">нена </w:t>
      </w:r>
      <w:r w:rsidRPr="009F5089">
        <w:rPr>
          <w:rFonts w:ascii="Times New Roman" w:hAnsi="Times New Roman"/>
          <w:color w:val="0070C0"/>
          <w:sz w:val="16"/>
          <w:szCs w:val="16"/>
        </w:rPr>
        <w:t>Таймырским окружным исполкомом.</w:t>
      </w:r>
    </w:p>
    <w:p w14:paraId="75A90A88" w14:textId="77777777" w:rsidR="00190C71" w:rsidRDefault="00190C71" w:rsidP="00190C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proofErr w:type="spellStart"/>
      <w:r w:rsidRPr="009F5089">
        <w:rPr>
          <w:rFonts w:ascii="Times New Roman" w:hAnsi="Times New Roman"/>
          <w:color w:val="0070C0"/>
          <w:sz w:val="16"/>
          <w:szCs w:val="16"/>
        </w:rPr>
        <w:t>А.Голь</w:t>
      </w:r>
      <w:r>
        <w:rPr>
          <w:rFonts w:ascii="Times New Roman" w:hAnsi="Times New Roman"/>
          <w:color w:val="0070C0"/>
          <w:sz w:val="16"/>
          <w:szCs w:val="16"/>
        </w:rPr>
        <w:t>ц</w:t>
      </w:r>
      <w:r w:rsidRPr="009F5089">
        <w:rPr>
          <w:rFonts w:ascii="Times New Roman" w:hAnsi="Times New Roman"/>
          <w:color w:val="0070C0"/>
          <w:sz w:val="16"/>
          <w:szCs w:val="16"/>
        </w:rPr>
        <w:t>ман</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Гражданская </w:t>
      </w:r>
      <w:proofErr w:type="spellStart"/>
      <w:r w:rsidRPr="009F5089">
        <w:rPr>
          <w:rFonts w:ascii="Times New Roman" w:hAnsi="Times New Roman"/>
          <w:color w:val="0070C0"/>
          <w:sz w:val="16"/>
          <w:szCs w:val="16"/>
        </w:rPr>
        <w:t>авнация</w:t>
      </w:r>
      <w:proofErr w:type="spellEnd"/>
      <w:r w:rsidRPr="009F5089">
        <w:rPr>
          <w:rFonts w:ascii="Times New Roman" w:hAnsi="Times New Roman"/>
          <w:color w:val="0070C0"/>
          <w:sz w:val="16"/>
          <w:szCs w:val="16"/>
        </w:rPr>
        <w:t>, 1932,</w:t>
      </w:r>
      <w:r>
        <w:rPr>
          <w:rFonts w:ascii="Times New Roman" w:hAnsi="Times New Roman"/>
          <w:color w:val="0070C0"/>
          <w:sz w:val="16"/>
          <w:szCs w:val="16"/>
        </w:rPr>
        <w:t xml:space="preserve"> </w:t>
      </w:r>
      <w:r w:rsidRPr="009F5089">
        <w:rPr>
          <w:rFonts w:ascii="Times New Roman" w:hAnsi="Times New Roman"/>
          <w:color w:val="0070C0"/>
          <w:sz w:val="16"/>
          <w:szCs w:val="16"/>
        </w:rPr>
        <w:t>стр. 100-101/</w:t>
      </w:r>
      <w:r>
        <w:rPr>
          <w:rFonts w:ascii="Times New Roman" w:hAnsi="Times New Roman"/>
          <w:color w:val="0070C0"/>
          <w:sz w:val="16"/>
          <w:szCs w:val="16"/>
        </w:rPr>
        <w:t xml:space="preserve"> (23370).</w:t>
      </w:r>
    </w:p>
    <w:p w14:paraId="71060508" w14:textId="77777777" w:rsidR="00190C71" w:rsidRPr="009F5089" w:rsidRDefault="00190C71" w:rsidP="00190C71">
      <w:pPr>
        <w:spacing w:after="0" w:line="240" w:lineRule="auto"/>
        <w:jc w:val="both"/>
        <w:rPr>
          <w:rFonts w:ascii="Times New Roman" w:hAnsi="Times New Roman"/>
          <w:color w:val="0070C0"/>
          <w:sz w:val="16"/>
          <w:szCs w:val="16"/>
        </w:rPr>
      </w:pPr>
    </w:p>
    <w:p w14:paraId="64C6853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EF2026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53C8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августа 1931 г.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разъяснил деловым кругам из сталелитейного объединения Германии, что, отклоняя «русские заказы», на сохранении которых настаивали промышленники, он руководствовался тем, что во всем мире полагали, что эти заказы используются для военных целей. Именно в это время в Германии появились слухи, из которых следовало, что германское правительство договорилось с министром иностранных дел Франции </w:t>
      </w:r>
      <w:proofErr w:type="spellStart"/>
      <w:r w:rsidRPr="007122AB">
        <w:rPr>
          <w:rFonts w:ascii="Times New Roman" w:hAnsi="Times New Roman"/>
          <w:color w:val="000000" w:themeColor="text1"/>
          <w:sz w:val="16"/>
          <w:szCs w:val="16"/>
        </w:rPr>
        <w:t>Брианом</w:t>
      </w:r>
      <w:proofErr w:type="spellEnd"/>
      <w:r w:rsidRPr="007122AB">
        <w:rPr>
          <w:rFonts w:ascii="Times New Roman" w:hAnsi="Times New Roman"/>
          <w:color w:val="000000" w:themeColor="text1"/>
          <w:sz w:val="16"/>
          <w:szCs w:val="16"/>
        </w:rPr>
        <w:t xml:space="preserve"> о том, что в случае учета германских интересов на Женевской конференции по разоружению Германия прекратит сотрудничество с Красной Армией. Их распространение было напрямую связано с планами </w:t>
      </w:r>
      <w:proofErr w:type="spellStart"/>
      <w:r w:rsidRPr="007122AB">
        <w:rPr>
          <w:rFonts w:ascii="Times New Roman" w:hAnsi="Times New Roman"/>
          <w:color w:val="000000" w:themeColor="text1"/>
          <w:sz w:val="16"/>
          <w:szCs w:val="16"/>
        </w:rPr>
        <w:t>Папена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Рёхберга</w:t>
      </w:r>
      <w:proofErr w:type="spellEnd"/>
      <w:r w:rsidRPr="007122AB">
        <w:rPr>
          <w:rFonts w:ascii="Times New Roman" w:hAnsi="Times New Roman"/>
          <w:color w:val="000000" w:themeColor="text1"/>
          <w:sz w:val="16"/>
          <w:szCs w:val="16"/>
        </w:rPr>
        <w:t xml:space="preserve"> заключить союз с Францией за счет СССР (</w:t>
      </w:r>
      <w:proofErr w:type="spellStart"/>
      <w:r w:rsidRPr="007122AB">
        <w:rPr>
          <w:rFonts w:ascii="Times New Roman" w:hAnsi="Times New Roman"/>
          <w:color w:val="000000" w:themeColor="text1"/>
          <w:sz w:val="16"/>
          <w:szCs w:val="16"/>
        </w:rPr>
        <w:t>Rolf-Dieter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Muller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S. 220-221.) (11784).</w:t>
      </w:r>
    </w:p>
    <w:p w14:paraId="4A4CD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F89761"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августа 1931 г.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разъяснил деловым кругам из сталелитейного объединения Германии, что, отклоняя «русские заказы», на сохранении которых настаивали промышленники, он руководствовался тем, что во всем мире полагали, что эти заказы используются для военных целей. Именно в это время в Германии появились слухи, из которых следовало, что германское правительство договорилось с министром иностранных дел Франции </w:t>
      </w:r>
      <w:proofErr w:type="spellStart"/>
      <w:r w:rsidRPr="007122AB">
        <w:rPr>
          <w:rFonts w:ascii="Times New Roman" w:hAnsi="Times New Roman"/>
          <w:color w:val="000000" w:themeColor="text1"/>
          <w:sz w:val="16"/>
          <w:szCs w:val="16"/>
        </w:rPr>
        <w:t>Брианом</w:t>
      </w:r>
      <w:proofErr w:type="spellEnd"/>
      <w:r w:rsidRPr="007122AB">
        <w:rPr>
          <w:rFonts w:ascii="Times New Roman" w:hAnsi="Times New Roman"/>
          <w:color w:val="000000" w:themeColor="text1"/>
          <w:sz w:val="16"/>
          <w:szCs w:val="16"/>
        </w:rPr>
        <w:t xml:space="preserve"> о том, что в случае учета германских </w:t>
      </w:r>
      <w:r w:rsidRPr="007122AB">
        <w:rPr>
          <w:rFonts w:ascii="Times New Roman" w:hAnsi="Times New Roman"/>
          <w:color w:val="000000" w:themeColor="text1"/>
          <w:sz w:val="16"/>
          <w:szCs w:val="16"/>
        </w:rPr>
        <w:lastRenderedPageBreak/>
        <w:t xml:space="preserve">интересов на Женевской конференции по разоружению Германия прекратит сотрудничество с Красной Армией. Их распространение было напрямую связано с планами </w:t>
      </w:r>
      <w:proofErr w:type="spellStart"/>
      <w:r w:rsidRPr="007122AB">
        <w:rPr>
          <w:rFonts w:ascii="Times New Roman" w:hAnsi="Times New Roman"/>
          <w:color w:val="000000" w:themeColor="text1"/>
          <w:sz w:val="16"/>
          <w:szCs w:val="16"/>
        </w:rPr>
        <w:t>Папена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Рёхберга</w:t>
      </w:r>
      <w:proofErr w:type="spellEnd"/>
      <w:r w:rsidRPr="007122AB">
        <w:rPr>
          <w:rFonts w:ascii="Times New Roman" w:hAnsi="Times New Roman"/>
          <w:color w:val="000000" w:themeColor="text1"/>
          <w:sz w:val="16"/>
          <w:szCs w:val="16"/>
        </w:rPr>
        <w:t xml:space="preserve"> заключить союз с Францией за счет СССР (19269).</w:t>
      </w:r>
    </w:p>
    <w:p w14:paraId="5BD40295" w14:textId="77777777" w:rsidR="00006DDF" w:rsidRPr="007122AB" w:rsidRDefault="00006DDF" w:rsidP="007122AB">
      <w:pPr>
        <w:spacing w:after="0" w:line="240" w:lineRule="auto"/>
        <w:jc w:val="both"/>
        <w:rPr>
          <w:rFonts w:ascii="Times New Roman" w:hAnsi="Times New Roman"/>
          <w:color w:val="000000" w:themeColor="text1"/>
          <w:sz w:val="16"/>
          <w:szCs w:val="16"/>
        </w:rPr>
      </w:pPr>
    </w:p>
    <w:p w14:paraId="6F73FD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FD5ACD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E6E71A" w14:textId="77777777" w:rsidR="005F6ACD" w:rsidRPr="007122AB" w:rsidRDefault="005F6ACD"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18 августа 1931 на самолете «Юнкерс» A.50 «Юниор» (Junior) немецкая летчица </w:t>
      </w:r>
      <w:proofErr w:type="spellStart"/>
      <w:r w:rsidRPr="007122AB">
        <w:rPr>
          <w:rFonts w:ascii="Times New Roman" w:hAnsi="Times New Roman"/>
          <w:color w:val="000000" w:themeColor="text1"/>
          <w:sz w:val="16"/>
          <w:szCs w:val="16"/>
          <w:shd w:val="clear" w:color="auto" w:fill="FFFFFF"/>
        </w:rPr>
        <w:t>Марга</w:t>
      </w:r>
      <w:proofErr w:type="spellEnd"/>
      <w:r w:rsidRPr="007122AB">
        <w:rPr>
          <w:rFonts w:ascii="Times New Roman" w:hAnsi="Times New Roman"/>
          <w:color w:val="000000" w:themeColor="text1"/>
          <w:sz w:val="16"/>
          <w:szCs w:val="16"/>
          <w:shd w:val="clear" w:color="auto" w:fill="FFFFFF"/>
        </w:rPr>
        <w:t xml:space="preserve"> фон </w:t>
      </w:r>
      <w:proofErr w:type="spellStart"/>
      <w:r w:rsidRPr="007122AB">
        <w:rPr>
          <w:rFonts w:ascii="Times New Roman" w:hAnsi="Times New Roman"/>
          <w:color w:val="000000" w:themeColor="text1"/>
          <w:sz w:val="16"/>
          <w:szCs w:val="16"/>
          <w:shd w:val="clear" w:color="auto" w:fill="FFFFFF"/>
        </w:rPr>
        <w:t>Эцдорф</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Marga</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Wolff</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gen</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von</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Etzdorf</w:t>
      </w:r>
      <w:proofErr w:type="spellEnd"/>
      <w:r w:rsidRPr="007122AB">
        <w:rPr>
          <w:rFonts w:ascii="Times New Roman" w:hAnsi="Times New Roman"/>
          <w:color w:val="000000" w:themeColor="text1"/>
          <w:sz w:val="16"/>
          <w:szCs w:val="16"/>
          <w:shd w:val="clear" w:color="auto" w:fill="FFFFFF"/>
        </w:rPr>
        <w:t xml:space="preserve">) вылетела из Берлина. Из-за плохой погоды через три часа ей пришлось приземлиться в Кенигсберге. Несмотря на это, через одиннадцать часов она добралась до Москвы. Оттуда она полетела через Нижний Новгород и Казань. На третий день своего путешествия она пересекла Уральские горы, а затем, по Транссибирской магистрали вышла к Новосибирску. На следующий день она добралась до озера Байкал, совершив посадку в Иркутске. В </w:t>
      </w:r>
      <w:proofErr w:type="spellStart"/>
      <w:r w:rsidRPr="007122AB">
        <w:rPr>
          <w:rFonts w:ascii="Times New Roman" w:hAnsi="Times New Roman"/>
          <w:color w:val="000000" w:themeColor="text1"/>
          <w:sz w:val="16"/>
          <w:szCs w:val="16"/>
          <w:shd w:val="clear" w:color="auto" w:fill="FFFFFF"/>
        </w:rPr>
        <w:t>Мукдене</w:t>
      </w:r>
      <w:proofErr w:type="spellEnd"/>
      <w:r w:rsidRPr="007122AB">
        <w:rPr>
          <w:rFonts w:ascii="Times New Roman" w:hAnsi="Times New Roman"/>
          <w:color w:val="000000" w:themeColor="text1"/>
          <w:sz w:val="16"/>
          <w:szCs w:val="16"/>
          <w:shd w:val="clear" w:color="auto" w:fill="FFFFFF"/>
        </w:rPr>
        <w:t xml:space="preserve"> она сделала остановку на сутки, из-за задержки с оформлением визы. Для дозаправки, перед пересечением Японского моря, </w:t>
      </w:r>
      <w:proofErr w:type="spellStart"/>
      <w:r w:rsidRPr="007122AB">
        <w:rPr>
          <w:rFonts w:ascii="Times New Roman" w:hAnsi="Times New Roman"/>
          <w:color w:val="000000" w:themeColor="text1"/>
          <w:sz w:val="16"/>
          <w:szCs w:val="16"/>
          <w:shd w:val="clear" w:color="auto" w:fill="FFFFFF"/>
        </w:rPr>
        <w:t>Марга</w:t>
      </w:r>
      <w:proofErr w:type="spellEnd"/>
      <w:r w:rsidRPr="007122AB">
        <w:rPr>
          <w:rFonts w:ascii="Times New Roman" w:hAnsi="Times New Roman"/>
          <w:color w:val="000000" w:themeColor="text1"/>
          <w:sz w:val="16"/>
          <w:szCs w:val="16"/>
          <w:shd w:val="clear" w:color="auto" w:fill="FFFFFF"/>
        </w:rPr>
        <w:t xml:space="preserve"> совершила посадку в Корее. Вечером того же дня она приземлилась в Хиросиме. На следующий день была Осака, и, наконец, после облета многочисленных военных запретных зон – Токио.</w:t>
      </w:r>
    </w:p>
    <w:p w14:paraId="213CA843" w14:textId="77777777" w:rsidR="005F6ACD" w:rsidRPr="007122AB" w:rsidRDefault="005F6AC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столицу Японии </w:t>
      </w:r>
      <w:proofErr w:type="spellStart"/>
      <w:r w:rsidRPr="007122AB">
        <w:rPr>
          <w:rFonts w:ascii="Times New Roman" w:hAnsi="Times New Roman"/>
          <w:color w:val="000000" w:themeColor="text1"/>
          <w:sz w:val="16"/>
          <w:szCs w:val="16"/>
          <w:shd w:val="clear" w:color="auto" w:fill="FFFFFF"/>
        </w:rPr>
        <w:t>Марга</w:t>
      </w:r>
      <w:proofErr w:type="spellEnd"/>
      <w:r w:rsidRPr="007122AB">
        <w:rPr>
          <w:rFonts w:ascii="Times New Roman" w:hAnsi="Times New Roman"/>
          <w:color w:val="000000" w:themeColor="text1"/>
          <w:sz w:val="16"/>
          <w:szCs w:val="16"/>
          <w:shd w:val="clear" w:color="auto" w:fill="FFFFFF"/>
        </w:rPr>
        <w:t xml:space="preserve"> фон </w:t>
      </w:r>
      <w:proofErr w:type="spellStart"/>
      <w:r w:rsidRPr="007122AB">
        <w:rPr>
          <w:rFonts w:ascii="Times New Roman" w:hAnsi="Times New Roman"/>
          <w:color w:val="000000" w:themeColor="text1"/>
          <w:sz w:val="16"/>
          <w:szCs w:val="16"/>
          <w:shd w:val="clear" w:color="auto" w:fill="FFFFFF"/>
        </w:rPr>
        <w:t>Эцдорф</w:t>
      </w:r>
      <w:proofErr w:type="spellEnd"/>
      <w:r w:rsidRPr="007122AB">
        <w:rPr>
          <w:rFonts w:ascii="Times New Roman" w:hAnsi="Times New Roman"/>
          <w:color w:val="000000" w:themeColor="text1"/>
          <w:sz w:val="16"/>
          <w:szCs w:val="16"/>
          <w:shd w:val="clear" w:color="auto" w:fill="FFFFFF"/>
        </w:rPr>
        <w:t xml:space="preserve"> прибыла 29 августа. Тысячи людей приветствовали рекордсмену в аэропорту Токио. Поскольку Эми Джонсон летела вместе с бортмехаником, имя </w:t>
      </w:r>
      <w:proofErr w:type="spellStart"/>
      <w:r w:rsidRPr="007122AB">
        <w:rPr>
          <w:rFonts w:ascii="Times New Roman" w:hAnsi="Times New Roman"/>
          <w:color w:val="000000" w:themeColor="text1"/>
          <w:sz w:val="16"/>
          <w:szCs w:val="16"/>
          <w:shd w:val="clear" w:color="auto" w:fill="FFFFFF"/>
        </w:rPr>
        <w:t>Марги</w:t>
      </w:r>
      <w:proofErr w:type="spellEnd"/>
      <w:r w:rsidRPr="007122AB">
        <w:rPr>
          <w:rFonts w:ascii="Times New Roman" w:hAnsi="Times New Roman"/>
          <w:color w:val="000000" w:themeColor="text1"/>
          <w:sz w:val="16"/>
          <w:szCs w:val="16"/>
          <w:shd w:val="clear" w:color="auto" w:fill="FFFFFF"/>
        </w:rPr>
        <w:t xml:space="preserve"> фон </w:t>
      </w:r>
      <w:proofErr w:type="spellStart"/>
      <w:r w:rsidRPr="007122AB">
        <w:rPr>
          <w:rFonts w:ascii="Times New Roman" w:hAnsi="Times New Roman"/>
          <w:color w:val="000000" w:themeColor="text1"/>
          <w:sz w:val="16"/>
          <w:szCs w:val="16"/>
          <w:shd w:val="clear" w:color="auto" w:fill="FFFFFF"/>
        </w:rPr>
        <w:t>Эцдорф</w:t>
      </w:r>
      <w:proofErr w:type="spellEnd"/>
      <w:r w:rsidRPr="007122AB">
        <w:rPr>
          <w:rFonts w:ascii="Times New Roman" w:hAnsi="Times New Roman"/>
          <w:color w:val="000000" w:themeColor="text1"/>
          <w:sz w:val="16"/>
          <w:szCs w:val="16"/>
          <w:shd w:val="clear" w:color="auto" w:fill="FFFFFF"/>
        </w:rPr>
        <w:t xml:space="preserve"> осталось в истории как имя первой женщины, совершивший одиночный полет в Японию (21438).</w:t>
      </w:r>
    </w:p>
    <w:p w14:paraId="2F0FE7AF" w14:textId="77777777" w:rsidR="005F6ACD" w:rsidRPr="007122AB" w:rsidRDefault="005F6ACD" w:rsidP="007122AB">
      <w:pPr>
        <w:spacing w:after="0" w:line="240" w:lineRule="auto"/>
        <w:jc w:val="both"/>
        <w:rPr>
          <w:rFonts w:ascii="Times New Roman" w:hAnsi="Times New Roman"/>
          <w:color w:val="000000" w:themeColor="text1"/>
          <w:sz w:val="16"/>
          <w:szCs w:val="16"/>
        </w:rPr>
      </w:pPr>
    </w:p>
    <w:p w14:paraId="53551D35" w14:textId="77777777" w:rsidR="00AE4CBE" w:rsidRPr="007122AB" w:rsidRDefault="00AE4CB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18 августа 1931 г. из поселка </w:t>
      </w:r>
      <w:proofErr w:type="spellStart"/>
      <w:r w:rsidRPr="007122AB">
        <w:rPr>
          <w:rFonts w:ascii="Times New Roman" w:eastAsia="Times New Roman" w:hAnsi="Times New Roman"/>
          <w:color w:val="000000" w:themeColor="text1"/>
          <w:sz w:val="16"/>
          <w:szCs w:val="16"/>
          <w:lang w:eastAsia="ru-RU"/>
        </w:rPr>
        <w:t>Лонгиир</w:t>
      </w:r>
      <w:proofErr w:type="spellEnd"/>
      <w:r w:rsidRPr="007122AB">
        <w:rPr>
          <w:rFonts w:ascii="Times New Roman" w:eastAsia="Times New Roman" w:hAnsi="Times New Roman"/>
          <w:color w:val="000000" w:themeColor="text1"/>
          <w:sz w:val="16"/>
          <w:szCs w:val="16"/>
          <w:lang w:eastAsia="ru-RU"/>
        </w:rPr>
        <w:t xml:space="preserve"> на Шпицбергене подлодка «Наутилус» с американскими исследователями поплыла к Северному полюсу. Руководил научной экспедицией Харальд </w:t>
      </w:r>
      <w:proofErr w:type="spellStart"/>
      <w:r w:rsidRPr="007122AB">
        <w:rPr>
          <w:rFonts w:ascii="Times New Roman" w:eastAsia="Times New Roman" w:hAnsi="Times New Roman"/>
          <w:color w:val="000000" w:themeColor="text1"/>
          <w:sz w:val="16"/>
          <w:szCs w:val="16"/>
          <w:lang w:eastAsia="ru-RU"/>
        </w:rPr>
        <w:t>Свердруп</w:t>
      </w:r>
      <w:proofErr w:type="spellEnd"/>
      <w:r w:rsidRPr="007122AB">
        <w:rPr>
          <w:rFonts w:ascii="Times New Roman" w:eastAsia="Times New Roman" w:hAnsi="Times New Roman"/>
          <w:color w:val="000000" w:themeColor="text1"/>
          <w:sz w:val="16"/>
          <w:szCs w:val="16"/>
          <w:lang w:eastAsia="ru-RU"/>
        </w:rPr>
        <w:t xml:space="preserve"> – член команды Руаля Амундсена, всей американской экспедицией командовал Уилкинс. 19 августа лодка подошла ко льдам, 22 августа сломался руль глубины, лодка потеряла возможность погружения. После ряда попыток «поднырнуть под лед» экспедиция повернула к Шпицбергену. Лодка на одну минуту по широте не дошла до 82º (17325).</w:t>
      </w:r>
    </w:p>
    <w:p w14:paraId="034E5752" w14:textId="77777777" w:rsidR="00AE4CBE" w:rsidRPr="007122AB" w:rsidRDefault="00AE4CB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7888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августа 1931 Япония начала войну против Китая (3263,451).</w:t>
      </w:r>
    </w:p>
    <w:p w14:paraId="7E261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012FDE"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августа в 1931 году Япония начинает войну против Китая. Первая из серий "больших" войн после окончания ПМВ (14987).</w:t>
      </w:r>
    </w:p>
    <w:p w14:paraId="46962367"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08D8F26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5D7ED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C1F4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19 ав</w:t>
      </w:r>
      <w:r w:rsidRPr="007122AB">
        <w:rPr>
          <w:rFonts w:ascii="Times New Roman" w:hAnsi="Times New Roman"/>
          <w:color w:val="000000" w:themeColor="text1"/>
          <w:sz w:val="16"/>
          <w:szCs w:val="16"/>
        </w:rPr>
        <w:softHyphen/>
        <w:t>густа 1931 г. проект М-22Р, выполненный на деньги ГВФ, был готов. В плане опытно-конструкторских работ, утвержденном Реввоенсоветом, обозначили два основных направления совершенствования М-22 — его хо</w:t>
      </w:r>
      <w:r w:rsidRPr="007122AB">
        <w:rPr>
          <w:rFonts w:ascii="Times New Roman" w:hAnsi="Times New Roman"/>
          <w:color w:val="000000" w:themeColor="text1"/>
          <w:sz w:val="16"/>
          <w:szCs w:val="16"/>
        </w:rPr>
        <w:softHyphen/>
        <w:t>тели оснастить редуктором и нагнетателем. Эти варианты получили обозна</w:t>
      </w:r>
      <w:r w:rsidRPr="007122AB">
        <w:rPr>
          <w:rFonts w:ascii="Times New Roman" w:hAnsi="Times New Roman"/>
          <w:color w:val="000000" w:themeColor="text1"/>
          <w:sz w:val="16"/>
          <w:szCs w:val="16"/>
        </w:rPr>
        <w:softHyphen/>
        <w:t>чения соответственно М-22Р и М-22Н. Чертежи редуктора типа «Фарман» от модификации 9Акх были получены из Франции. Редукторному варианту придавали большое значение, его собирались устанавливать на бомбардиров</w:t>
      </w:r>
      <w:r w:rsidRPr="007122AB">
        <w:rPr>
          <w:rFonts w:ascii="Times New Roman" w:hAnsi="Times New Roman"/>
          <w:color w:val="000000" w:themeColor="text1"/>
          <w:sz w:val="16"/>
          <w:szCs w:val="16"/>
        </w:rPr>
        <w:softHyphen/>
        <w:t xml:space="preserve">щиках и пассажирских самолетах. Его разработка шла согласно планам как ВВС, так и ГВФ. Государственные испытания М-22Р и М-22Н планировали на октябрь — ноябрь 1931 г. Гражданский воздушный флот пытался добиться создания специального «арктического» М-22 для эксплуатации в северных районах страны, но завод отказался от работ по этой </w:t>
      </w:r>
      <w:proofErr w:type="spellStart"/>
      <w:r w:rsidRPr="007122AB">
        <w:rPr>
          <w:rFonts w:ascii="Times New Roman" w:hAnsi="Times New Roman"/>
          <w:color w:val="000000" w:themeColor="text1"/>
          <w:sz w:val="16"/>
          <w:szCs w:val="16"/>
        </w:rPr>
        <w:t>модификации.Разработку</w:t>
      </w:r>
      <w:proofErr w:type="spellEnd"/>
      <w:r w:rsidRPr="007122AB">
        <w:rPr>
          <w:rFonts w:ascii="Times New Roman" w:hAnsi="Times New Roman"/>
          <w:color w:val="000000" w:themeColor="text1"/>
          <w:sz w:val="16"/>
          <w:szCs w:val="16"/>
        </w:rPr>
        <w:t xml:space="preserve"> новых вариантов М-22 вел Технико-конструкторский отдел завода № 29, который возглавил А.С. Назаров (1899-1997). Од</w:t>
      </w:r>
      <w:r w:rsidRPr="007122AB">
        <w:rPr>
          <w:rFonts w:ascii="Times New Roman" w:hAnsi="Times New Roman"/>
          <w:color w:val="000000" w:themeColor="text1"/>
          <w:sz w:val="16"/>
          <w:szCs w:val="16"/>
        </w:rPr>
        <w:softHyphen/>
        <w:t>нако никаких данных о постройке опытного образца нет. Проектировался и М-22Н, также не дошедший до стадии изготовления. Возможно, это объясняется тем, что во внеплановом порядке, за счет заво</w:t>
      </w:r>
      <w:r w:rsidRPr="007122AB">
        <w:rPr>
          <w:rFonts w:ascii="Times New Roman" w:hAnsi="Times New Roman"/>
          <w:color w:val="000000" w:themeColor="text1"/>
          <w:sz w:val="16"/>
          <w:szCs w:val="16"/>
        </w:rPr>
        <w:softHyphen/>
        <w:t>да, Назаров работал над более глубокой модернизацией М-22. Проект М-22У, созданный в апреле — мае 1932 г., объединил ПЦН по типу М-22Н с новы</w:t>
      </w:r>
      <w:r w:rsidRPr="007122AB">
        <w:rPr>
          <w:rFonts w:ascii="Times New Roman" w:hAnsi="Times New Roman"/>
          <w:color w:val="000000" w:themeColor="text1"/>
          <w:sz w:val="16"/>
          <w:szCs w:val="16"/>
        </w:rPr>
        <w:softHyphen/>
        <w:t>ми головками цилиндров (сделанными по типу американского мотора Пратт-Уитни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 большей площадью оребрения цилиндров и шлицевым но</w:t>
      </w:r>
      <w:r w:rsidRPr="007122AB">
        <w:rPr>
          <w:rFonts w:ascii="Times New Roman" w:hAnsi="Times New Roman"/>
          <w:color w:val="000000" w:themeColor="text1"/>
          <w:sz w:val="16"/>
          <w:szCs w:val="16"/>
        </w:rPr>
        <w:softHyphen/>
        <w:t>ском коленвала (под ВИШ). Назаров внес в М-22У еще целый ряд изменений. Предназначался новый двигатель в первую очередь для истребителей. Проект был представлен в УВВС и внесен в план 1933 г. уже как М-58. М-58 изготовили в нескольких экземплярах и испытали на стенде. В ходе доводки мощность мотора постепенно подняли до 800 л.с. «Ахил</w:t>
      </w:r>
      <w:r w:rsidRPr="007122AB">
        <w:rPr>
          <w:rFonts w:ascii="Times New Roman" w:hAnsi="Times New Roman"/>
          <w:color w:val="000000" w:themeColor="text1"/>
          <w:sz w:val="16"/>
          <w:szCs w:val="16"/>
        </w:rPr>
        <w:softHyphen/>
        <w:t>лесовой пятой» его являлся нагнетатель, надежность которого была невы</w:t>
      </w:r>
      <w:r w:rsidRPr="007122AB">
        <w:rPr>
          <w:rFonts w:ascii="Times New Roman" w:hAnsi="Times New Roman"/>
          <w:color w:val="000000" w:themeColor="text1"/>
          <w:sz w:val="16"/>
          <w:szCs w:val="16"/>
        </w:rPr>
        <w:softHyphen/>
        <w:t>сокой. Это вынудило перейти к промежуточной модификации М-58МН с уменьшенным наддувом. Такой двигатель удовлетворительно прошел за</w:t>
      </w:r>
      <w:r w:rsidRPr="007122AB">
        <w:rPr>
          <w:rFonts w:ascii="Times New Roman" w:hAnsi="Times New Roman"/>
          <w:color w:val="000000" w:themeColor="text1"/>
          <w:sz w:val="16"/>
          <w:szCs w:val="16"/>
        </w:rPr>
        <w:softHyphen/>
        <w:t>водские, а в сентябре 1934 г. — государственные испытания.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7122AB">
        <w:rPr>
          <w:rFonts w:ascii="Times New Roman" w:hAnsi="Times New Roman"/>
          <w:color w:val="000000" w:themeColor="text1"/>
          <w:sz w:val="16"/>
          <w:szCs w:val="16"/>
        </w:rPr>
        <w:softHyphen/>
        <w:t>ной авиации. Кроме того, выпуск базового М-22 к моменту завершения ис</w:t>
      </w:r>
      <w:r w:rsidRPr="007122AB">
        <w:rPr>
          <w:rFonts w:ascii="Times New Roman" w:hAnsi="Times New Roman"/>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7122AB">
        <w:rPr>
          <w:rFonts w:ascii="Times New Roman" w:hAnsi="Times New Roman"/>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76DDD7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C6F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августа 1931 женщины (</w:t>
      </w:r>
      <w:proofErr w:type="spellStart"/>
      <w:r w:rsidRPr="007122AB">
        <w:rPr>
          <w:rFonts w:ascii="Times New Roman" w:hAnsi="Times New Roman"/>
          <w:color w:val="000000" w:themeColor="text1"/>
          <w:sz w:val="16"/>
          <w:szCs w:val="16"/>
        </w:rPr>
        <w:t>В.Федорова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А.Чиркова</w:t>
      </w:r>
      <w:proofErr w:type="spellEnd"/>
      <w:r w:rsidRPr="007122AB">
        <w:rPr>
          <w:rFonts w:ascii="Times New Roman" w:hAnsi="Times New Roman"/>
          <w:color w:val="000000" w:themeColor="text1"/>
          <w:sz w:val="16"/>
          <w:szCs w:val="16"/>
        </w:rPr>
        <w:t xml:space="preserve">) в Гатчине впервые спрыгнули с самолета на парашюте свободного падения, а первой было </w:t>
      </w:r>
      <w:proofErr w:type="spellStart"/>
      <w:r w:rsidRPr="007122AB">
        <w:rPr>
          <w:rFonts w:ascii="Times New Roman" w:hAnsi="Times New Roman"/>
          <w:color w:val="000000" w:themeColor="text1"/>
          <w:sz w:val="16"/>
          <w:szCs w:val="16"/>
        </w:rPr>
        <w:t>Л.Кулешова</w:t>
      </w:r>
      <w:proofErr w:type="spellEnd"/>
      <w:r w:rsidRPr="007122AB">
        <w:rPr>
          <w:rFonts w:ascii="Times New Roman" w:hAnsi="Times New Roman"/>
          <w:color w:val="000000" w:themeColor="text1"/>
          <w:sz w:val="16"/>
          <w:szCs w:val="16"/>
        </w:rPr>
        <w:t>, которую сбросили из кассеты 9 июля 1931 (438,625).</w:t>
      </w:r>
    </w:p>
    <w:p w14:paraId="07675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DB2705" w14:textId="77777777" w:rsidR="00190C71" w:rsidRDefault="00190C71" w:rsidP="00190C71">
      <w:pPr>
        <w:spacing w:after="0" w:line="240" w:lineRule="auto"/>
        <w:jc w:val="both"/>
        <w:rPr>
          <w:rFonts w:ascii="Times New Roman" w:hAnsi="Times New Roman"/>
          <w:color w:val="0070C0"/>
          <w:sz w:val="16"/>
          <w:szCs w:val="16"/>
        </w:rPr>
      </w:pPr>
      <w:r>
        <w:rPr>
          <w:rFonts w:ascii="Times New Roman" w:hAnsi="Times New Roman"/>
          <w:color w:val="0070C0"/>
          <w:sz w:val="16"/>
          <w:szCs w:val="16"/>
        </w:rPr>
        <w:t>19</w:t>
      </w:r>
      <w:r w:rsidRPr="009F5089">
        <w:rPr>
          <w:rFonts w:ascii="Times New Roman" w:hAnsi="Times New Roman"/>
          <w:color w:val="0070C0"/>
          <w:sz w:val="16"/>
          <w:szCs w:val="16"/>
        </w:rPr>
        <w:t xml:space="preserve"> августа</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в Гатчине жены авиаработников местного гарнизона </w:t>
      </w:r>
      <w:r>
        <w:rPr>
          <w:rFonts w:ascii="Times New Roman" w:hAnsi="Times New Roman"/>
          <w:color w:val="0070C0"/>
          <w:sz w:val="16"/>
          <w:szCs w:val="16"/>
        </w:rPr>
        <w:t>Ве</w:t>
      </w:r>
      <w:r w:rsidRPr="009F5089">
        <w:rPr>
          <w:rFonts w:ascii="Times New Roman" w:hAnsi="Times New Roman"/>
          <w:color w:val="0070C0"/>
          <w:sz w:val="16"/>
          <w:szCs w:val="16"/>
        </w:rPr>
        <w:t>ра Федорова к Анастасия Чиркова первыми из советских женщин со</w:t>
      </w:r>
      <w:r>
        <w:rPr>
          <w:rFonts w:ascii="Times New Roman" w:hAnsi="Times New Roman"/>
          <w:color w:val="0070C0"/>
          <w:sz w:val="16"/>
          <w:szCs w:val="16"/>
        </w:rPr>
        <w:t xml:space="preserve">вершили </w:t>
      </w:r>
      <w:r w:rsidRPr="009F5089">
        <w:rPr>
          <w:rFonts w:ascii="Times New Roman" w:hAnsi="Times New Roman"/>
          <w:color w:val="0070C0"/>
          <w:sz w:val="16"/>
          <w:szCs w:val="16"/>
        </w:rPr>
        <w:t>прыжок с самолета на парашюте свободного действия системы</w:t>
      </w:r>
      <w:r>
        <w:rPr>
          <w:rFonts w:ascii="Times New Roman" w:hAnsi="Times New Roman"/>
          <w:color w:val="0070C0"/>
          <w:sz w:val="16"/>
          <w:szCs w:val="16"/>
        </w:rPr>
        <w:t xml:space="preserve"> Ирвинг. </w:t>
      </w:r>
      <w:r w:rsidRPr="009F5089">
        <w:rPr>
          <w:rFonts w:ascii="Times New Roman" w:hAnsi="Times New Roman"/>
          <w:color w:val="0070C0"/>
          <w:sz w:val="16"/>
          <w:szCs w:val="16"/>
        </w:rPr>
        <w:t>Прыжок оказался заразительным примером для других женщин,</w:t>
      </w:r>
      <w:r>
        <w:rPr>
          <w:rFonts w:ascii="Times New Roman" w:hAnsi="Times New Roman"/>
          <w:color w:val="0070C0"/>
          <w:sz w:val="16"/>
          <w:szCs w:val="16"/>
        </w:rPr>
        <w:t xml:space="preserve"> среди </w:t>
      </w:r>
      <w:r w:rsidRPr="009F5089">
        <w:rPr>
          <w:rFonts w:ascii="Times New Roman" w:hAnsi="Times New Roman"/>
          <w:color w:val="0070C0"/>
          <w:sz w:val="16"/>
          <w:szCs w:val="16"/>
        </w:rPr>
        <w:t>которых не замедлили появиться и парашютистки-рекордсменки.</w:t>
      </w:r>
    </w:p>
    <w:p w14:paraId="3C74D3B7" w14:textId="77777777" w:rsidR="00190C71" w:rsidRDefault="00190C71" w:rsidP="00190C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/ВВ</w:t>
      </w:r>
      <w:r>
        <w:rPr>
          <w:rFonts w:ascii="Times New Roman" w:hAnsi="Times New Roman"/>
          <w:color w:val="0070C0"/>
          <w:sz w:val="16"/>
          <w:szCs w:val="16"/>
        </w:rPr>
        <w:t>Ф</w:t>
      </w:r>
      <w:r w:rsidRPr="009F5089">
        <w:rPr>
          <w:rFonts w:ascii="Times New Roman" w:hAnsi="Times New Roman"/>
          <w:color w:val="0070C0"/>
          <w:sz w:val="16"/>
          <w:szCs w:val="16"/>
        </w:rPr>
        <w:t>,1934</w:t>
      </w:r>
      <w:r>
        <w:rPr>
          <w:rFonts w:ascii="Times New Roman" w:hAnsi="Times New Roman"/>
          <w:color w:val="0070C0"/>
          <w:sz w:val="16"/>
          <w:szCs w:val="16"/>
        </w:rPr>
        <w:t>, №</w:t>
      </w:r>
      <w:r w:rsidRPr="009F5089">
        <w:rPr>
          <w:rFonts w:ascii="Times New Roman" w:hAnsi="Times New Roman"/>
          <w:color w:val="0070C0"/>
          <w:sz w:val="16"/>
          <w:szCs w:val="16"/>
        </w:rPr>
        <w:t xml:space="preserve"> 8/</w:t>
      </w:r>
      <w:r>
        <w:rPr>
          <w:rFonts w:ascii="Times New Roman" w:hAnsi="Times New Roman"/>
          <w:color w:val="0070C0"/>
          <w:sz w:val="16"/>
          <w:szCs w:val="16"/>
        </w:rPr>
        <w:t xml:space="preserve"> (23370).</w:t>
      </w:r>
    </w:p>
    <w:p w14:paraId="21959BB3" w14:textId="77777777" w:rsidR="00190C71" w:rsidRDefault="00190C71"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218A91DC" w14:textId="405BECBB"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C0A6DD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242DBE" w14:textId="77777777" w:rsidR="008344B7" w:rsidRPr="007122AB" w:rsidRDefault="008344B7"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19 августа 1931 г. — Докладная записка заместителя наркома по военным и морским делам СССР М. Н. Тухачевского председателю Комиссии обороны В. М. Молотову о состоянии работ по реализации программы артиллерийского вооружения РККА</w:t>
      </w:r>
    </w:p>
    <w:p w14:paraId="61FB8FB0"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0AC43F96"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Выполнение правительственного постановления по артиллерийскому вооружению от 19 апреля 1931 г. в ряде важнейших пунктов находится под угрозой срыва. Не останавливаясь на работах менее важного значения и на работах, по коим выявилось сравнительно небольшое опоздание против установленных правительственной директивой сроков, докладываю:</w:t>
      </w:r>
    </w:p>
    <w:p w14:paraId="25C81F82"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1. 122</w:t>
      </w:r>
      <w:r w:rsidRPr="007122AB">
        <w:rPr>
          <w:color w:val="000000" w:themeColor="text1"/>
          <w:sz w:val="16"/>
          <w:szCs w:val="16"/>
        </w:rPr>
        <w:noBreakHyphen/>
        <w:t>мм дивизионная гаубица. Задание: испытание двух образцов провести в 1931 г. До сих пор не закончены даже рабочие чертежи. Сроки изготовления образцов заводом им. Молотова даются — март 1932 г., вследствие чего окончание испытаний можно ожидать к середине 1932 г.</w:t>
      </w:r>
    </w:p>
    <w:p w14:paraId="096D72AE"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2. 203</w:t>
      </w:r>
      <w:r w:rsidRPr="007122AB">
        <w:rPr>
          <w:color w:val="000000" w:themeColor="text1"/>
          <w:sz w:val="16"/>
          <w:szCs w:val="16"/>
        </w:rPr>
        <w:noBreakHyphen/>
        <w:t>мм мортира. Задание: испытать два опытных образца в 1931 г. В сентябре с. г. будет готов только один образец — завода «Красный Путиловец». По второму образцу — системы конструкторского бюро № 2 Орудийно-арсенального объединения (немецкого) — только в октябре будут закончены рабочие чертежи, и при этих условиях изготовление образца нельзя ожидать ранее II квартала 1932 г.</w:t>
      </w:r>
    </w:p>
    <w:p w14:paraId="46D53662"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3. 152</w:t>
      </w:r>
      <w:r w:rsidRPr="007122AB">
        <w:rPr>
          <w:color w:val="000000" w:themeColor="text1"/>
          <w:sz w:val="16"/>
          <w:szCs w:val="16"/>
        </w:rPr>
        <w:noBreakHyphen/>
        <w:t>мм дальнобойная пушка с дальностью 32 км. Задание: к 1931 г. закончить все испытания. До сих пор не закончены чертежи, срок окончания коих завод «Большевик» устанавливает 1 декабря 1931 г. При этом условии завод определяет срок сдачи всей системы — август 1932 г.</w:t>
      </w:r>
    </w:p>
    <w:p w14:paraId="7C9417C7"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4. 305</w:t>
      </w:r>
      <w:r w:rsidRPr="007122AB">
        <w:rPr>
          <w:color w:val="000000" w:themeColor="text1"/>
          <w:sz w:val="16"/>
          <w:szCs w:val="16"/>
        </w:rPr>
        <w:noBreakHyphen/>
        <w:t>мм гаубица. Задание: к весне 1932 г. изготовить 3 орудия. Задание поручено конструкторскому бюро № 2 Орудийно-арсенального объединения (немецкому). К разработке проекта не приступлено. В последнее время дано задание на проектирование гаубицы быв. вредителю инженеру Чернявскому, при котором организуется конструкторская группа. Задание правительства по этой системе приходится считать сорванным.</w:t>
      </w:r>
    </w:p>
    <w:p w14:paraId="586126C0"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5. 305</w:t>
      </w:r>
      <w:r w:rsidRPr="007122AB">
        <w:rPr>
          <w:color w:val="000000" w:themeColor="text1"/>
          <w:sz w:val="16"/>
          <w:szCs w:val="16"/>
        </w:rPr>
        <w:noBreakHyphen/>
        <w:t>мм мортира. Задание: к началу 1932 г. изготовить опытный образец. Сделаны только эскизные проекты заводом «Красный Путиловец» и конструкторским бюро № 2 Орудийно-арсенального объединения. Сроки изготовления обоих образцов промышленностью указываются — конец 1932 г. — начало 1933 г.</w:t>
      </w:r>
    </w:p>
    <w:p w14:paraId="22187E86"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Строительство тяжелой артиллерии находится под угрозой и со стороны обеспечения снарядами. Изготовляемые по программе 1931 и 1932 гг. тяжелые гаубицы и мортиры предусматривается обеспечить в размере всего 100</w:t>
      </w:r>
      <w:r w:rsidRPr="007122AB">
        <w:rPr>
          <w:color w:val="000000" w:themeColor="text1"/>
          <w:sz w:val="16"/>
          <w:szCs w:val="16"/>
        </w:rPr>
        <w:noBreakHyphen/>
        <w:t>150 выстрелами на орудие. Однако размещение в промышленности и этой минимальной программы встречает значительные затруднения.</w:t>
      </w:r>
    </w:p>
    <w:p w14:paraId="20BAAE4D"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Выявившийся в настоящее время несомненный срыв правительственной директивы в ряде важнейших ее пунктов является следствием того, что промышленность не приняла необходимых практических мероприятий по обеспечению ее выполнения. Ни по укомплектованию артиллерийских конструкторских бюро и производственных мастерских техническим составом за счет внутрипромышленной мобилизации технических сил, ни по расширению опытных производственных единиц заводов никаких реальных мероприятий проведено не было. Не приступлено до сих пор и к. реальному строительству опытного завода.</w:t>
      </w:r>
    </w:p>
    <w:p w14:paraId="34BD8EB9" w14:textId="77777777" w:rsidR="00024EF9" w:rsidRPr="007122AB" w:rsidRDefault="00024EF9" w:rsidP="007122AB">
      <w:pPr>
        <w:pStyle w:val="rtejustify"/>
        <w:spacing w:before="0" w:after="0"/>
        <w:rPr>
          <w:color w:val="000000" w:themeColor="text1"/>
          <w:sz w:val="16"/>
          <w:szCs w:val="16"/>
        </w:rPr>
      </w:pPr>
      <w:r w:rsidRPr="007122AB">
        <w:rPr>
          <w:color w:val="000000" w:themeColor="text1"/>
          <w:sz w:val="16"/>
          <w:szCs w:val="16"/>
        </w:rPr>
        <w:t>Докладывая о вышеизложенном, прошу обязать ВСНХ в декадный срок разработать и доложить программу практических мероприятий по обеспечению выполнения директивы правительства от 19 апреля.</w:t>
      </w:r>
    </w:p>
    <w:p w14:paraId="6719255F" w14:textId="77777777" w:rsidR="00024EF9" w:rsidRPr="007122AB" w:rsidRDefault="00024EF9"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Зам. наркома по военным и морским делам и зам. председателя РВС СССР </w:t>
      </w:r>
      <w:hyperlink r:id="rId167" w:history="1">
        <w:r w:rsidRPr="007122AB">
          <w:rPr>
            <w:rStyle w:val="af0"/>
            <w:i w:val="0"/>
            <w:color w:val="000000" w:themeColor="text1"/>
            <w:sz w:val="16"/>
            <w:szCs w:val="16"/>
          </w:rPr>
          <w:t>Тухачевский</w:t>
        </w:r>
      </w:hyperlink>
    </w:p>
    <w:p w14:paraId="4ABBA95E" w14:textId="77777777" w:rsidR="00024EF9" w:rsidRPr="007122AB" w:rsidRDefault="00024EF9" w:rsidP="007122AB">
      <w:pPr>
        <w:pStyle w:val="ae"/>
        <w:spacing w:before="0" w:after="0"/>
        <w:jc w:val="both"/>
        <w:rPr>
          <w:color w:val="000000" w:themeColor="text1"/>
          <w:sz w:val="16"/>
          <w:szCs w:val="16"/>
        </w:rPr>
      </w:pPr>
      <w:r w:rsidRPr="007122AB">
        <w:rPr>
          <w:color w:val="000000" w:themeColor="text1"/>
          <w:sz w:val="16"/>
          <w:szCs w:val="16"/>
        </w:rPr>
        <w:lastRenderedPageBreak/>
        <w:t>ГАРФ, Ф, Р-8418. Оп, 5, Д. 89. Л. 12—13. Подлинник.</w:t>
      </w:r>
    </w:p>
    <w:p w14:paraId="1C5D5EA8"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ГАРФ, Ф, Р-8418. Оп, 5, Д. 89. Л. 12—13. Подлинник. </w:t>
      </w:r>
    </w:p>
    <w:p w14:paraId="45050EE6"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560-561 (12532).</w:t>
      </w:r>
    </w:p>
    <w:p w14:paraId="6E196C69" w14:textId="77777777" w:rsidR="00024EF9" w:rsidRPr="007122AB" w:rsidRDefault="00024EF9" w:rsidP="007122AB">
      <w:pPr>
        <w:spacing w:after="0" w:line="240" w:lineRule="auto"/>
        <w:jc w:val="both"/>
        <w:rPr>
          <w:rFonts w:ascii="Times New Roman" w:hAnsi="Times New Roman"/>
          <w:color w:val="000000" w:themeColor="text1"/>
          <w:sz w:val="16"/>
          <w:szCs w:val="16"/>
        </w:rPr>
      </w:pPr>
    </w:p>
    <w:p w14:paraId="6060F6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августа 1931 третий </w:t>
      </w:r>
      <w:proofErr w:type="spellStart"/>
      <w:r w:rsidRPr="007122AB">
        <w:rPr>
          <w:rFonts w:ascii="Times New Roman" w:hAnsi="Times New Roman"/>
          <w:color w:val="000000" w:themeColor="text1"/>
          <w:sz w:val="16"/>
          <w:szCs w:val="16"/>
        </w:rPr>
        <w:t>всосоюзный</w:t>
      </w:r>
      <w:proofErr w:type="spellEnd"/>
      <w:r w:rsidRPr="007122AB">
        <w:rPr>
          <w:rFonts w:ascii="Times New Roman" w:hAnsi="Times New Roman"/>
          <w:color w:val="000000" w:themeColor="text1"/>
          <w:sz w:val="16"/>
          <w:szCs w:val="16"/>
        </w:rPr>
        <w:t xml:space="preserve"> мотопробег прибыл в Москву. Технический финиш состоялся на 11-м километре Серпуховского шоссе, где пробег официально завершился. После трёхдневного отдыха, 23 августа шесть мото</w:t>
      </w:r>
      <w:r w:rsidRPr="007122AB">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7122AB">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7122AB">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7122AB">
        <w:rPr>
          <w:rFonts w:ascii="Times New Roman" w:hAnsi="Times New Roman"/>
          <w:color w:val="000000" w:themeColor="text1"/>
          <w:sz w:val="16"/>
          <w:szCs w:val="16"/>
        </w:rPr>
        <w:softHyphen/>
        <w:t>новках и дневках, в городах и даже небольших населённых пунк</w:t>
      </w:r>
      <w:r w:rsidRPr="007122AB">
        <w:rPr>
          <w:rFonts w:ascii="Times New Roman" w:hAnsi="Times New Roman"/>
          <w:color w:val="000000" w:themeColor="text1"/>
          <w:sz w:val="16"/>
          <w:szCs w:val="16"/>
        </w:rPr>
        <w:softHyphen/>
        <w:t>тах проходили митинги [4.42].</w:t>
      </w:r>
    </w:p>
    <w:p w14:paraId="02E502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Руководители заинтересованных организаций, техническая комиссия, </w:t>
      </w:r>
      <w:proofErr w:type="spellStart"/>
      <w:r w:rsidRPr="007122AB">
        <w:rPr>
          <w:rFonts w:ascii="Times New Roman" w:hAnsi="Times New Roman"/>
          <w:color w:val="000000" w:themeColor="text1"/>
          <w:sz w:val="16"/>
          <w:szCs w:val="16"/>
        </w:rPr>
        <w:t>автодоровская</w:t>
      </w:r>
      <w:proofErr w:type="spellEnd"/>
      <w:r w:rsidRPr="007122AB">
        <w:rPr>
          <w:rFonts w:ascii="Times New Roman" w:hAnsi="Times New Roman"/>
          <w:color w:val="000000" w:themeColor="text1"/>
          <w:sz w:val="16"/>
          <w:szCs w:val="16"/>
        </w:rPr>
        <w:t xml:space="preserve">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7122AB">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7122AB">
        <w:rPr>
          <w:rFonts w:ascii="Times New Roman" w:hAnsi="Times New Roman"/>
          <w:color w:val="000000" w:themeColor="text1"/>
          <w:sz w:val="16"/>
          <w:szCs w:val="16"/>
        </w:rPr>
        <w:softHyphen/>
        <w:t>ность освоения в серийном производстве нового Л-300 [4.40].</w:t>
      </w:r>
    </w:p>
    <w:p w14:paraId="26AE06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Заместитель председателя ВСНХ СССР А.П. Медведев за</w:t>
      </w:r>
      <w:r w:rsidRPr="007122AB">
        <w:rPr>
          <w:rFonts w:ascii="Times New Roman" w:hAnsi="Times New Roman"/>
          <w:color w:val="000000" w:themeColor="text1"/>
          <w:sz w:val="16"/>
          <w:szCs w:val="16"/>
        </w:rPr>
        <w:softHyphen/>
        <w:t>явил в прессе, что к концу первой пятилетки выпустят 25 тыс. мо</w:t>
      </w:r>
      <w:r w:rsidRPr="007122AB">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7122AB">
        <w:rPr>
          <w:rFonts w:ascii="Times New Roman" w:hAnsi="Times New Roman"/>
          <w:color w:val="000000" w:themeColor="text1"/>
          <w:sz w:val="16"/>
          <w:szCs w:val="16"/>
        </w:rPr>
        <w:softHyphen/>
        <w:t xml:space="preserve">водством ВСНХ, ВАТО и заинтересованных в </w:t>
      </w:r>
      <w:proofErr w:type="spellStart"/>
      <w:r w:rsidRPr="007122AB">
        <w:rPr>
          <w:rFonts w:ascii="Times New Roman" w:hAnsi="Times New Roman"/>
          <w:color w:val="000000" w:themeColor="text1"/>
          <w:sz w:val="16"/>
          <w:szCs w:val="16"/>
        </w:rPr>
        <w:t>мотоциклострое-нии</w:t>
      </w:r>
      <w:proofErr w:type="spellEnd"/>
      <w:r w:rsidRPr="007122AB">
        <w:rPr>
          <w:rFonts w:ascii="Times New Roman" w:hAnsi="Times New Roman"/>
          <w:color w:val="000000" w:themeColor="text1"/>
          <w:sz w:val="16"/>
          <w:szCs w:val="16"/>
        </w:rPr>
        <w:t xml:space="preserve"> трестов и прояснить положение дел. Выявили настораживаю</w:t>
      </w:r>
      <w:r w:rsidRPr="007122AB">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7122AB">
        <w:rPr>
          <w:rFonts w:ascii="Times New Roman" w:hAnsi="Times New Roman"/>
          <w:color w:val="000000" w:themeColor="text1"/>
          <w:sz w:val="16"/>
          <w:szCs w:val="16"/>
        </w:rPr>
        <w:softHyphen/>
        <w:t xml:space="preserve">ски отказал продолжить выпуск мотоциклов Л-300 на заводе «Красный Октябрь»; на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мотоциклы изготовили не по рас</w:t>
      </w:r>
      <w:r w:rsidRPr="007122AB">
        <w:rPr>
          <w:rFonts w:ascii="Times New Roman" w:hAnsi="Times New Roman"/>
          <w:color w:val="000000" w:themeColor="text1"/>
          <w:sz w:val="16"/>
          <w:szCs w:val="16"/>
        </w:rPr>
        <w:softHyphen/>
        <w:t>поряжению ВСНХ СССР, а благодаря увлечённости мотоцикла</w:t>
      </w:r>
      <w:r w:rsidRPr="007122AB">
        <w:rPr>
          <w:rFonts w:ascii="Times New Roman" w:hAnsi="Times New Roman"/>
          <w:color w:val="000000" w:themeColor="text1"/>
          <w:sz w:val="16"/>
          <w:szCs w:val="16"/>
        </w:rPr>
        <w:softHyphen/>
        <w:t>ми работников завода и председателя ВСНХ Украинской совет</w:t>
      </w:r>
      <w:r w:rsidRPr="007122AB">
        <w:rPr>
          <w:rFonts w:ascii="Times New Roman" w:hAnsi="Times New Roman"/>
          <w:color w:val="000000" w:themeColor="text1"/>
          <w:sz w:val="16"/>
          <w:szCs w:val="16"/>
        </w:rPr>
        <w:softHyphen/>
        <w:t>ской социалистической республики (УССР) Сухомлинова [4.44] (11429).</w:t>
      </w:r>
    </w:p>
    <w:p w14:paraId="7D2A22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4C37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44ACB3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623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августа 1931 Франция предоставила </w:t>
      </w:r>
      <w:proofErr w:type="spellStart"/>
      <w:r w:rsidRPr="007122AB">
        <w:rPr>
          <w:rFonts w:ascii="Times New Roman" w:hAnsi="Times New Roman"/>
          <w:color w:val="000000" w:themeColor="text1"/>
          <w:sz w:val="16"/>
          <w:szCs w:val="16"/>
        </w:rPr>
        <w:t>займ</w:t>
      </w:r>
      <w:proofErr w:type="spellEnd"/>
      <w:r w:rsidRPr="007122AB">
        <w:rPr>
          <w:rFonts w:ascii="Times New Roman" w:hAnsi="Times New Roman"/>
          <w:color w:val="000000" w:themeColor="text1"/>
          <w:sz w:val="16"/>
          <w:szCs w:val="16"/>
        </w:rPr>
        <w:t xml:space="preserve"> Венгрии (3907,168).</w:t>
      </w:r>
    </w:p>
    <w:p w14:paraId="068E7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C590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августа 1931 в докладе Лейтона - </w:t>
      </w:r>
      <w:proofErr w:type="spellStart"/>
      <w:r w:rsidRPr="007122AB">
        <w:rPr>
          <w:rFonts w:ascii="Times New Roman" w:hAnsi="Times New Roman"/>
          <w:color w:val="000000" w:themeColor="text1"/>
          <w:sz w:val="16"/>
          <w:szCs w:val="16"/>
        </w:rPr>
        <w:t>Уиггина</w:t>
      </w:r>
      <w:proofErr w:type="spellEnd"/>
      <w:r w:rsidRPr="007122AB">
        <w:rPr>
          <w:rFonts w:ascii="Times New Roman" w:hAnsi="Times New Roman"/>
          <w:color w:val="000000" w:themeColor="text1"/>
          <w:sz w:val="16"/>
          <w:szCs w:val="16"/>
        </w:rPr>
        <w:t xml:space="preserve"> было рекомендовано продлить на шесть месяцев иностранную финансовую помощь Германии (3907,168).</w:t>
      </w:r>
    </w:p>
    <w:p w14:paraId="6D3BD7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B87B0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F53BEC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CB1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августа 1931 г. на заседании мобилизационного отдела Управления ГВФ рассматривалось задание на "транспорт-грузовоз" ТБ-8. Назначением его считались перевозки грузов, высадка десантов и ночное бомбометание. Самолет должен был перевозить различные грузы, включая тяжелую военную технику, с весом до 15 т. Как бомбардировщик, он нес столько же бомб калибром от 250 до 2000 кг, либо баки для отравляющих веществ. Последнее было записано следующим образом: "должен допускать переоборудование под </w:t>
      </w:r>
      <w:proofErr w:type="spellStart"/>
      <w:r w:rsidRPr="007122AB">
        <w:rPr>
          <w:rFonts w:ascii="Times New Roman" w:hAnsi="Times New Roman"/>
          <w:color w:val="000000" w:themeColor="text1"/>
          <w:sz w:val="16"/>
          <w:szCs w:val="16"/>
        </w:rPr>
        <w:t>химсамолет</w:t>
      </w:r>
      <w:proofErr w:type="spellEnd"/>
      <w:r w:rsidRPr="007122AB">
        <w:rPr>
          <w:rFonts w:ascii="Times New Roman" w:hAnsi="Times New Roman"/>
          <w:color w:val="000000" w:themeColor="text1"/>
          <w:sz w:val="16"/>
          <w:szCs w:val="16"/>
        </w:rPr>
        <w:t>". Летные данные были типичны для поколения гигантов: максимальная скорость 250 км/ч при посадочной всего 75 - 80 км/ч (что вряд ли удалось бы выполнить при отсутствии механизации крыла), нормальная дальность 1500 км (максимальная - 2000 км). Оборонительное вооружение складывалось из четырех крупнокалиберных (12,7-мм) пулеметов (двух спереди и двух сзади) и одного 7,62-мм пулемета, стреляющего вниз-назад. Боезапас состоял из 1600 крупнокалиберных патронов и 250 обычных. ТБ-8 планировали вывести на государственные испытания 1 октября 1933 г. (12024).</w:t>
      </w:r>
    </w:p>
    <w:p w14:paraId="4BE48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8D71CB" w14:textId="77777777" w:rsidR="00511EE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25340E6" w14:textId="77777777" w:rsidR="00511EE8" w:rsidRPr="007122AB" w:rsidRDefault="00511EE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EDB4B0" w14:textId="77777777" w:rsidR="00511EE8" w:rsidRPr="007122AB" w:rsidRDefault="00511EE8"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августа 1931 г. ПБ утвердило цифру заказов в Америке на оборудование для заводов АМО, Харьковского тракторного,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xml:space="preserve"> в 3,9 млн руб. до конца 1931 г. По вопросу о заказах в Америке для Магнитогорска,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 xml:space="preserve"> и других предприятий было решено запросить мнение Сталина (РГАСПИ. Ф. 17. Оп. 162. Д. 10. Л. 165). Как сообщал Каганович, по этому вопросу возник острый конфликт (см. документ № 17). 25 августа ПБ приняло предложения Сталина, изложенные в его телеграмме (см. документ № 24). Валютной комиссии было поручено срочно разработать конкретные мероприятия по реализации предложений Сталина и внести их на утверждение ПБ. Наркому внешней торговли </w:t>
      </w:r>
      <w:proofErr w:type="spellStart"/>
      <w:r w:rsidRPr="007122AB">
        <w:rPr>
          <w:rFonts w:ascii="Times New Roman" w:hAnsi="Times New Roman"/>
          <w:color w:val="000000" w:themeColor="text1"/>
          <w:sz w:val="16"/>
          <w:szCs w:val="16"/>
        </w:rPr>
        <w:t>Розенгольцу</w:t>
      </w:r>
      <w:proofErr w:type="spellEnd"/>
      <w:r w:rsidRPr="007122AB">
        <w:rPr>
          <w:rFonts w:ascii="Times New Roman" w:hAnsi="Times New Roman"/>
          <w:color w:val="000000" w:themeColor="text1"/>
          <w:sz w:val="16"/>
          <w:szCs w:val="16"/>
        </w:rPr>
        <w:t xml:space="preserve"> поручалось приостановить размещение заказов в Америке (Там же. Л. 170). 30 августа ПБ утвердило постановление валютной комиссии, в котором содержалось поручение ВСНХ к 5 сентября представить в ПБ доклад о переносе заказов из Америки в Европу и СССР. </w:t>
      </w:r>
      <w:proofErr w:type="spellStart"/>
      <w:r w:rsidRPr="007122AB">
        <w:rPr>
          <w:rFonts w:ascii="Times New Roman" w:hAnsi="Times New Roman"/>
          <w:color w:val="000000" w:themeColor="text1"/>
          <w:sz w:val="16"/>
          <w:szCs w:val="16"/>
        </w:rPr>
        <w:t>Наркомвнешторг</w:t>
      </w:r>
      <w:proofErr w:type="spellEnd"/>
      <w:r w:rsidRPr="007122AB">
        <w:rPr>
          <w:rFonts w:ascii="Times New Roman" w:hAnsi="Times New Roman"/>
          <w:color w:val="000000" w:themeColor="text1"/>
          <w:sz w:val="16"/>
          <w:szCs w:val="16"/>
        </w:rPr>
        <w:t xml:space="preserve"> в четырехдневный срок должен был сообщить ВСНХ, какие американские заказы приостановлены, представить список договоров, которые можно расторгнуть. Предусматривалось, что расторжение договоров будет производиться только с разрешения ПБ (Там же. Л. 179) (17281).</w:t>
      </w:r>
    </w:p>
    <w:p w14:paraId="70398473" w14:textId="77777777" w:rsidR="00511EE8" w:rsidRPr="007122AB" w:rsidRDefault="00511EE8" w:rsidP="007122AB">
      <w:pPr>
        <w:autoSpaceDE w:val="0"/>
        <w:autoSpaceDN w:val="0"/>
        <w:adjustRightInd w:val="0"/>
        <w:spacing w:after="0" w:line="240" w:lineRule="auto"/>
        <w:jc w:val="both"/>
        <w:rPr>
          <w:rFonts w:ascii="Times New Roman" w:hAnsi="Times New Roman"/>
          <w:color w:val="000000" w:themeColor="text1"/>
          <w:sz w:val="16"/>
          <w:szCs w:val="16"/>
        </w:rPr>
      </w:pPr>
    </w:p>
    <w:p w14:paraId="699B18AD" w14:textId="77777777" w:rsidR="008344B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E0E8A13" w14:textId="77777777" w:rsidR="008344B7" w:rsidRPr="007122AB" w:rsidRDefault="008344B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D3E3F5"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августа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закончились испытания ЛМК, которые шли с 14 августа. Было сделано 102 выстрела. В начале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1DCD497"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3FD4939A" w14:textId="77777777" w:rsidR="008344B7" w:rsidRPr="007122AB" w:rsidRDefault="008344B7"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 xml:space="preserve">Данные легкой мортиры </w:t>
      </w:r>
      <w:proofErr w:type="spellStart"/>
      <w:r w:rsidRPr="007122AB">
        <w:rPr>
          <w:rFonts w:ascii="Times New Roman" w:hAnsi="Times New Roman"/>
          <w:bCs/>
          <w:color w:val="000000" w:themeColor="text1"/>
          <w:sz w:val="16"/>
          <w:szCs w:val="16"/>
        </w:rPr>
        <w:t>Курчевского</w:t>
      </w:r>
      <w:proofErr w:type="spellEnd"/>
    </w:p>
    <w:p w14:paraId="592F4067"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04C697DF"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без воронки,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605/8</w:t>
      </w:r>
    </w:p>
    <w:p w14:paraId="51BD016E"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(сопла), мм …… 550</w:t>
      </w:r>
    </w:p>
    <w:p w14:paraId="5AECB45F"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ВН, град …… -10°; +60°</w:t>
      </w:r>
    </w:p>
    <w:p w14:paraId="45D0916E"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±4°30'</w:t>
      </w:r>
    </w:p>
    <w:p w14:paraId="6D67F888"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боевом и походном (на руках) положении, мм …… 750</w:t>
      </w:r>
    </w:p>
    <w:p w14:paraId="48B675DD"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станин (длина станка от оси до края), мм …… 900</w:t>
      </w:r>
    </w:p>
    <w:p w14:paraId="1AD46DE3"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хода, мм …… 510</w:t>
      </w:r>
    </w:p>
    <w:p w14:paraId="628865B2"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колеса, мм …… 300</w:t>
      </w:r>
    </w:p>
    <w:p w14:paraId="25B23B67"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системы в сложенном положении, мм …… 490</w:t>
      </w:r>
    </w:p>
    <w:p w14:paraId="419D9ACF"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с воронкой, кг …… 21,2</w:t>
      </w:r>
    </w:p>
    <w:p w14:paraId="5648E07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воронки (сопло), кг …… 4,20</w:t>
      </w:r>
    </w:p>
    <w:p w14:paraId="44D863AA"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прицела, кг …… 1,5</w:t>
      </w:r>
    </w:p>
    <w:p w14:paraId="3C744534"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станка, кг …… 14,15</w:t>
      </w:r>
    </w:p>
    <w:p w14:paraId="538FAA91"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системы, кг …… 38</w:t>
      </w:r>
    </w:p>
    <w:p w14:paraId="498F4BE0"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w:t>
      </w:r>
    </w:p>
    <w:p w14:paraId="195EA9FE"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расчетная …… 10—12</w:t>
      </w:r>
    </w:p>
    <w:p w14:paraId="5FAC320A"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практическая …… 8</w:t>
      </w:r>
    </w:p>
    <w:p w14:paraId="6C088F62"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боевого положения в походное, с …… 20—30</w:t>
      </w:r>
    </w:p>
    <w:p w14:paraId="1F719612"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Собственно ЛМК и мортирой назвать нельзя. Видимо,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6396E091"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стрельбе из мортиры использовались опытные легкие снаряды весом от 3,2 до 4 кг. Выстрел унитарный. Заряд 320 г пороха ВЛ помещался в сгорающую гильзу из </w:t>
      </w:r>
      <w:proofErr w:type="spellStart"/>
      <w:r w:rsidRPr="007122AB">
        <w:rPr>
          <w:rFonts w:ascii="Times New Roman" w:hAnsi="Times New Roman"/>
          <w:color w:val="000000" w:themeColor="text1"/>
          <w:sz w:val="16"/>
          <w:szCs w:val="16"/>
        </w:rPr>
        <w:t>нитроткани</w:t>
      </w:r>
      <w:proofErr w:type="spellEnd"/>
      <w:r w:rsidRPr="007122AB">
        <w:rPr>
          <w:rFonts w:ascii="Times New Roman" w:hAnsi="Times New Roman"/>
          <w:color w:val="000000" w:themeColor="text1"/>
          <w:sz w:val="16"/>
          <w:szCs w:val="16"/>
        </w:rPr>
        <w:t xml:space="preserve"> с деревянным поддоном. Длина гильзы 112 мм.</w:t>
      </w:r>
    </w:p>
    <w:p w14:paraId="2E320513" w14:textId="77777777" w:rsidR="008344B7" w:rsidRPr="007122AB" w:rsidRDefault="008344B7"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Баллистические данные, полученные на испытаниях</w:t>
      </w:r>
    </w:p>
    <w:p w14:paraId="4FF9810B" w14:textId="77777777" w:rsidR="008344B7" w:rsidRPr="007122AB" w:rsidRDefault="008344B7"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31D8665A"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3,9 …… 173,6 — 1200 — 15° </w:t>
      </w:r>
    </w:p>
    <w:p w14:paraId="55DB5EFD"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3,2 …… 205,2 — 3000 — 35° </w:t>
      </w:r>
    </w:p>
    <w:p w14:paraId="5BD7F703"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 170 — 2200 — 41º — 1600</w:t>
      </w:r>
    </w:p>
    <w:p w14:paraId="072C058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Максимальное давление в канале составляло 1800 кг/см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3EDD0B46"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образец 76-мм легкой мортиры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был изготовлен на заводе № 8. После заводских испытаний в объеме 100 выстрелов его отправили на полигонные испытания. На НИАП мортира прибыла 12 августа 1931 г.</w:t>
      </w:r>
    </w:p>
    <w:p w14:paraId="4106403D"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27DB4CC3"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вместо предполагаемых 10-12; при дальности 1400 м рассеивание 150 м.</w:t>
      </w:r>
    </w:p>
    <w:p w14:paraId="231C9E32"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вооружение ЛМК принята не была и больше не заказывалась (15117).</w:t>
      </w:r>
    </w:p>
    <w:p w14:paraId="1BEDB756"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099F298C"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августа 1931 года по просьбе военных командир </w:t>
      </w:r>
      <w:proofErr w:type="spellStart"/>
      <w:r w:rsidRPr="007122AB">
        <w:rPr>
          <w:rFonts w:ascii="Times New Roman" w:hAnsi="Times New Roman"/>
          <w:color w:val="000000" w:themeColor="text1"/>
          <w:sz w:val="16"/>
          <w:szCs w:val="16"/>
        </w:rPr>
        <w:t>бронедивизиоиа</w:t>
      </w:r>
      <w:proofErr w:type="spellEnd"/>
      <w:r w:rsidRPr="007122AB">
        <w:rPr>
          <w:rFonts w:ascii="Times New Roman" w:hAnsi="Times New Roman"/>
          <w:color w:val="000000" w:themeColor="text1"/>
          <w:sz w:val="16"/>
          <w:szCs w:val="16"/>
        </w:rPr>
        <w:t xml:space="preserve"> ОПТУ </w:t>
      </w:r>
      <w:proofErr w:type="spellStart"/>
      <w:r w:rsidRPr="007122AB">
        <w:rPr>
          <w:rFonts w:ascii="Times New Roman" w:hAnsi="Times New Roman"/>
          <w:color w:val="000000" w:themeColor="text1"/>
          <w:sz w:val="16"/>
          <w:szCs w:val="16"/>
        </w:rPr>
        <w:t>Шустинский</w:t>
      </w:r>
      <w:proofErr w:type="spellEnd"/>
      <w:r w:rsidRPr="007122AB">
        <w:rPr>
          <w:rFonts w:ascii="Times New Roman" w:hAnsi="Times New Roman"/>
          <w:color w:val="000000" w:themeColor="text1"/>
          <w:sz w:val="16"/>
          <w:szCs w:val="16"/>
        </w:rPr>
        <w:t xml:space="preserve"> направил в УММ РККА «Доклад о результатах изучения и испытания опытных тяжелых бронедрезин системы тов.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проведенных в период обучения команды с 25 июля по 14 августа 1931 года». В целом, результаты по </w:t>
      </w:r>
      <w:proofErr w:type="spellStart"/>
      <w:r w:rsidRPr="007122AB">
        <w:rPr>
          <w:rFonts w:ascii="Times New Roman" w:hAnsi="Times New Roman"/>
          <w:color w:val="000000" w:themeColor="text1"/>
          <w:sz w:val="16"/>
          <w:szCs w:val="16"/>
        </w:rPr>
        <w:t>мотоброневагонам</w:t>
      </w:r>
      <w:proofErr w:type="spellEnd"/>
      <w:r w:rsidRPr="007122AB">
        <w:rPr>
          <w:rFonts w:ascii="Times New Roman" w:hAnsi="Times New Roman"/>
          <w:color w:val="000000" w:themeColor="text1"/>
          <w:sz w:val="16"/>
          <w:szCs w:val="16"/>
        </w:rPr>
        <w:t xml:space="preserve"> Д-2 и Д-3 были следующими:</w:t>
      </w:r>
    </w:p>
    <w:p w14:paraId="3A09A864"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Испытание движением.</w:t>
      </w:r>
    </w:p>
    <w:p w14:paraId="1F8DD793" w14:textId="77777777" w:rsidR="008344B7" w:rsidRPr="007122AB" w:rsidRDefault="008344B7"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Мотоброневагон</w:t>
      </w:r>
      <w:proofErr w:type="spellEnd"/>
      <w:r w:rsidRPr="007122AB">
        <w:rPr>
          <w:rFonts w:ascii="Times New Roman" w:hAnsi="Times New Roman"/>
          <w:color w:val="000000" w:themeColor="text1"/>
          <w:sz w:val="16"/>
          <w:szCs w:val="16"/>
        </w:rPr>
        <w:t xml:space="preserve"> Д-3 прошел своим ходом 1464 км со средней скоростью 50 км/ч и предельной 70 км/ч.</w:t>
      </w:r>
    </w:p>
    <w:p w14:paraId="1F93F4AD" w14:textId="77777777" w:rsidR="008344B7" w:rsidRPr="007122AB" w:rsidRDefault="008344B7"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Мотоброневагон</w:t>
      </w:r>
      <w:proofErr w:type="spellEnd"/>
      <w:r w:rsidRPr="007122AB">
        <w:rPr>
          <w:rFonts w:ascii="Times New Roman" w:hAnsi="Times New Roman"/>
          <w:color w:val="000000" w:themeColor="text1"/>
          <w:sz w:val="16"/>
          <w:szCs w:val="16"/>
        </w:rPr>
        <w:t xml:space="preserve">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w:t>
      </w:r>
      <w:proofErr w:type="spellStart"/>
      <w:r w:rsidRPr="007122AB">
        <w:rPr>
          <w:rFonts w:ascii="Times New Roman" w:hAnsi="Times New Roman"/>
          <w:color w:val="000000" w:themeColor="text1"/>
          <w:sz w:val="16"/>
          <w:szCs w:val="16"/>
        </w:rPr>
        <w:t>мотовагона</w:t>
      </w:r>
      <w:proofErr w:type="spellEnd"/>
      <w:r w:rsidRPr="007122AB">
        <w:rPr>
          <w:rFonts w:ascii="Times New Roman" w:hAnsi="Times New Roman"/>
          <w:color w:val="000000" w:themeColor="text1"/>
          <w:sz w:val="16"/>
          <w:szCs w:val="16"/>
        </w:rPr>
        <w:t xml:space="preserve"> не было. Средняя скорость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45 - 50 км/ч.</w:t>
      </w:r>
    </w:p>
    <w:p w14:paraId="0A1E5543"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Испытания стрельбой.</w:t>
      </w:r>
    </w:p>
    <w:p w14:paraId="48B9989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сделано по 39 выстрелов из каждой пушки, повреждения систем не было. Как вывод необходимо отметить исключительную устойчивость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w:t>
      </w:r>
    </w:p>
    <w:p w14:paraId="131FF456"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III. Вооружение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и Д-3.</w:t>
      </w:r>
    </w:p>
    <w:p w14:paraId="4BED370C"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МБВ Д-2 расположение пулеметов Максима у водителя весьма неудачно. В остальном все огневые точки расположены целесообразно.</w:t>
      </w:r>
    </w:p>
    <w:p w14:paraId="66659CDA"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7б-мм короткими </w:t>
      </w:r>
      <w:proofErr w:type="spellStart"/>
      <w:r w:rsidRPr="007122AB">
        <w:rPr>
          <w:rFonts w:ascii="Times New Roman" w:hAnsi="Times New Roman"/>
          <w:color w:val="000000" w:themeColor="text1"/>
          <w:sz w:val="16"/>
          <w:szCs w:val="16"/>
        </w:rPr>
        <w:t>противо</w:t>
      </w:r>
      <w:proofErr w:type="spellEnd"/>
      <w:r w:rsidRPr="007122AB">
        <w:rPr>
          <w:rFonts w:ascii="Times New Roman" w:hAnsi="Times New Roman"/>
          <w:color w:val="000000" w:themeColor="text1"/>
          <w:sz w:val="16"/>
          <w:szCs w:val="16"/>
        </w:rPr>
        <w:t>-штурмовыми пушками обр. 1913 г. слабое.</w:t>
      </w:r>
    </w:p>
    <w:p w14:paraId="633F3AB3"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w:t>
      </w:r>
    </w:p>
    <w:p w14:paraId="0BBBC743"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Общие замечания.</w:t>
      </w:r>
    </w:p>
    <w:p w14:paraId="3DD80DD6"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МБВ Д-2 и Д-3 поступили не вполне законченном виде:</w:t>
      </w:r>
    </w:p>
    <w:p w14:paraId="2497A2EF"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Полное отсутствие средств управления огнем;</w:t>
      </w:r>
    </w:p>
    <w:p w14:paraId="68527CA5"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Укладка для запасных частей и патронов отсутствует;</w:t>
      </w:r>
    </w:p>
    <w:p w14:paraId="3F84AD45"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Командирские рубки частично не имеют стекол.</w:t>
      </w:r>
    </w:p>
    <w:p w14:paraId="5FF7F60C"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и замечания.</w:t>
      </w:r>
    </w:p>
    <w:p w14:paraId="46A71D3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w:t>
      </w:r>
    </w:p>
    <w:p w14:paraId="1418FF02"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w:t>
      </w:r>
    </w:p>
    <w:p w14:paraId="1DFBA767"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наличием положительных сторон имеется и ряд недоделок конструктивного характера, которые сводятся:</w:t>
      </w:r>
    </w:p>
    <w:p w14:paraId="5A51CC52"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Усовершенствовать систему охлаждения Д-2, Д-3, которая весьма ненадежна.</w:t>
      </w:r>
    </w:p>
    <w:p w14:paraId="0F183E95"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Усовершенствовать переключение скоростей и, по возможности, упростить управление МБВ (разбросанность рычагов управления).</w:t>
      </w:r>
    </w:p>
    <w:p w14:paraId="302596F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Отрегулировать клапана воздушных тормозов.</w:t>
      </w:r>
    </w:p>
    <w:p w14:paraId="2D1D94D1"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 Д-3 понизить крышки колес, тем самым увеличить углы обстрела четырех пулеметов.</w:t>
      </w:r>
    </w:p>
    <w:p w14:paraId="62E2DEE7"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Командирскую рубку (стробоскоп) усовершенствовать. Оборудовать ее средствами управления огнем, внутренней связью и радиостанцией.</w:t>
      </w:r>
    </w:p>
    <w:p w14:paraId="348E40F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Оборудовать МБВ соответствующей вентиляцией.</w:t>
      </w:r>
    </w:p>
    <w:p w14:paraId="505F705D"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Оборудовать соответствующие стеллажи для снарядов, патронов и ЗИП.</w:t>
      </w:r>
    </w:p>
    <w:p w14:paraId="78668CCD"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вооружению.</w:t>
      </w:r>
    </w:p>
    <w:p w14:paraId="11349FB1"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МБВ Д-2: заменить противоштурмовые пушки обр. 1913 г. на более совершенные обр. 1903/30 или 1915 г.</w:t>
      </w:r>
    </w:p>
    <w:p w14:paraId="2ADF0FA9"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w:t>
      </w:r>
    </w:p>
    <w:p w14:paraId="4A688F60"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Нормальным вооружением МБВ Д-3 необходимо считать 1 37-мм пушку, 4 пулемета Максима и 1 - 3 ДТ.</w:t>
      </w:r>
    </w:p>
    <w:p w14:paraId="28512C92" w14:textId="77777777" w:rsidR="008344B7" w:rsidRPr="007122AB" w:rsidRDefault="008344B7"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Мотоброневагоны</w:t>
      </w:r>
      <w:proofErr w:type="spellEnd"/>
      <w:r w:rsidRPr="007122AB">
        <w:rPr>
          <w:rFonts w:ascii="Times New Roman" w:hAnsi="Times New Roman"/>
          <w:color w:val="000000" w:themeColor="text1"/>
          <w:sz w:val="16"/>
          <w:szCs w:val="16"/>
        </w:rPr>
        <w:t xml:space="preserve"> испытывались в незаконченном виде и не имели никаких подсобных материалов кроме моего наблюдения при постройке, а потому все детали боевых качеств полностью не выявлены.</w:t>
      </w:r>
    </w:p>
    <w:p w14:paraId="4D279695"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устранении отмеченных недостатков и при окончательном оборудовании </w:t>
      </w:r>
      <w:proofErr w:type="spellStart"/>
      <w:r w:rsidRPr="007122AB">
        <w:rPr>
          <w:rFonts w:ascii="Times New Roman" w:hAnsi="Times New Roman"/>
          <w:color w:val="000000" w:themeColor="text1"/>
          <w:sz w:val="16"/>
          <w:szCs w:val="16"/>
        </w:rPr>
        <w:t>мотоброневагоны</w:t>
      </w:r>
      <w:proofErr w:type="spellEnd"/>
      <w:r w:rsidRPr="007122AB">
        <w:rPr>
          <w:rFonts w:ascii="Times New Roman" w:hAnsi="Times New Roman"/>
          <w:color w:val="000000" w:themeColor="text1"/>
          <w:sz w:val="16"/>
          <w:szCs w:val="16"/>
        </w:rPr>
        <w:t xml:space="preserve">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w:t>
      </w:r>
      <w:proofErr w:type="spellStart"/>
      <w:r w:rsidRPr="007122AB">
        <w:rPr>
          <w:rFonts w:ascii="Times New Roman" w:hAnsi="Times New Roman"/>
          <w:color w:val="000000" w:themeColor="text1"/>
          <w:sz w:val="16"/>
          <w:szCs w:val="16"/>
        </w:rPr>
        <w:t>мотоброневагон</w:t>
      </w:r>
      <w:proofErr w:type="spellEnd"/>
      <w:r w:rsidRPr="007122AB">
        <w:rPr>
          <w:rFonts w:ascii="Times New Roman" w:hAnsi="Times New Roman"/>
          <w:color w:val="000000" w:themeColor="text1"/>
          <w:sz w:val="16"/>
          <w:szCs w:val="16"/>
        </w:rPr>
        <w:t xml:space="preserve"> Д-2 «Менжинский» (15624).</w:t>
      </w:r>
    </w:p>
    <w:p w14:paraId="02C8BF27"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6A59F9A8"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августа 1931 года по просьбе военных командир бронедивизиона ОПТУ Шустин-</w:t>
      </w:r>
      <w:proofErr w:type="spellStart"/>
      <w:r w:rsidRPr="007122AB">
        <w:rPr>
          <w:rFonts w:ascii="Times New Roman" w:hAnsi="Times New Roman"/>
          <w:color w:val="000000" w:themeColor="text1"/>
          <w:sz w:val="16"/>
          <w:szCs w:val="16"/>
        </w:rPr>
        <w:t>ский</w:t>
      </w:r>
      <w:proofErr w:type="spellEnd"/>
      <w:r w:rsidRPr="007122AB">
        <w:rPr>
          <w:rFonts w:ascii="Times New Roman" w:hAnsi="Times New Roman"/>
          <w:color w:val="000000" w:themeColor="text1"/>
          <w:sz w:val="16"/>
          <w:szCs w:val="16"/>
        </w:rPr>
        <w:t xml:space="preserve"> направил в УММ РККА «Доклад о результатах изучения и испытания опытных тяжелых бронедрезин системы тов.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проведенных в период обучения команды с 25 июля по 14 августа 1931 года». В целом, результаты по </w:t>
      </w:r>
      <w:proofErr w:type="spellStart"/>
      <w:r w:rsidRPr="007122AB">
        <w:rPr>
          <w:rFonts w:ascii="Times New Roman" w:hAnsi="Times New Roman"/>
          <w:color w:val="000000" w:themeColor="text1"/>
          <w:sz w:val="16"/>
          <w:szCs w:val="16"/>
        </w:rPr>
        <w:t>мотоброневагонам</w:t>
      </w:r>
      <w:proofErr w:type="spellEnd"/>
      <w:r w:rsidRPr="007122AB">
        <w:rPr>
          <w:rFonts w:ascii="Times New Roman" w:hAnsi="Times New Roman"/>
          <w:color w:val="000000" w:themeColor="text1"/>
          <w:sz w:val="16"/>
          <w:szCs w:val="16"/>
        </w:rPr>
        <w:t xml:space="preserve"> Д-2 и Д-3 были следующими: </w:t>
      </w:r>
    </w:p>
    <w:p w14:paraId="18CB8E9B"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«L Испытание движением. </w:t>
      </w:r>
    </w:p>
    <w:p w14:paraId="542AA25B"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Мотоброневагон</w:t>
      </w:r>
      <w:proofErr w:type="spellEnd"/>
      <w:r w:rsidRPr="007122AB">
        <w:rPr>
          <w:rFonts w:ascii="Times New Roman" w:hAnsi="Times New Roman"/>
          <w:color w:val="000000" w:themeColor="text1"/>
          <w:sz w:val="16"/>
          <w:szCs w:val="16"/>
        </w:rPr>
        <w:t xml:space="preserve"> Д-3 прошел своим ходом 14б4 км со средней скоростью 50 км/ч и предельной 70 км/ч. </w:t>
      </w:r>
    </w:p>
    <w:p w14:paraId="02A352EE"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Мотоброневагон</w:t>
      </w:r>
      <w:proofErr w:type="spellEnd"/>
      <w:r w:rsidRPr="007122AB">
        <w:rPr>
          <w:rFonts w:ascii="Times New Roman" w:hAnsi="Times New Roman"/>
          <w:color w:val="000000" w:themeColor="text1"/>
          <w:sz w:val="16"/>
          <w:szCs w:val="16"/>
        </w:rPr>
        <w:t xml:space="preserve">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w:t>
      </w:r>
      <w:proofErr w:type="spellStart"/>
      <w:r w:rsidRPr="007122AB">
        <w:rPr>
          <w:rFonts w:ascii="Times New Roman" w:hAnsi="Times New Roman"/>
          <w:color w:val="000000" w:themeColor="text1"/>
          <w:sz w:val="16"/>
          <w:szCs w:val="16"/>
        </w:rPr>
        <w:t>мотовагона</w:t>
      </w:r>
      <w:proofErr w:type="spellEnd"/>
      <w:r w:rsidRPr="007122AB">
        <w:rPr>
          <w:rFonts w:ascii="Times New Roman" w:hAnsi="Times New Roman"/>
          <w:color w:val="000000" w:themeColor="text1"/>
          <w:sz w:val="16"/>
          <w:szCs w:val="16"/>
        </w:rPr>
        <w:t xml:space="preserve"> не было. Средняя скорость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-броневагона 45 - 50 км/ч. </w:t>
      </w:r>
    </w:p>
    <w:p w14:paraId="4EB12E15"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Испытания стрельбой. </w:t>
      </w:r>
    </w:p>
    <w:p w14:paraId="7E41A941"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сделано по 39 выстрелов из каждой пушки, повреждения систем не было. Как вывод необходимо отметить исключительную устойчивость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 </w:t>
      </w:r>
    </w:p>
    <w:p w14:paraId="38071A59"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III. Вооружение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и Д-3. </w:t>
      </w:r>
    </w:p>
    <w:p w14:paraId="038AAC5E"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 МБВ Д-2 расположение пулеметов Максима у водителя весьма неудачно. В остальном все огневые точки расположены целесообразно. </w:t>
      </w:r>
    </w:p>
    <w:p w14:paraId="7A033211"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Вооружение 76-мм короткими </w:t>
      </w:r>
      <w:proofErr w:type="spellStart"/>
      <w:r w:rsidRPr="007122AB">
        <w:rPr>
          <w:rFonts w:ascii="Times New Roman" w:hAnsi="Times New Roman"/>
          <w:color w:val="000000" w:themeColor="text1"/>
          <w:sz w:val="16"/>
          <w:szCs w:val="16"/>
        </w:rPr>
        <w:t>противо</w:t>
      </w:r>
      <w:proofErr w:type="spellEnd"/>
      <w:r w:rsidRPr="007122AB">
        <w:rPr>
          <w:rFonts w:ascii="Times New Roman" w:hAnsi="Times New Roman"/>
          <w:color w:val="000000" w:themeColor="text1"/>
          <w:sz w:val="16"/>
          <w:szCs w:val="16"/>
        </w:rPr>
        <w:t>-штурмовыми пушками обр. 1913 г. слабое. </w:t>
      </w:r>
    </w:p>
    <w:p w14:paraId="67A49E8C"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 </w:t>
      </w:r>
    </w:p>
    <w:p w14:paraId="3163621D"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Общие замечания. </w:t>
      </w:r>
    </w:p>
    <w:p w14:paraId="4CB7B2AC"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МБВ Д-2 и Д-3 поступили не вполне законченном виде: </w:t>
      </w:r>
    </w:p>
    <w:p w14:paraId="3E4E5CE8"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Полное отсутствие средств управления огнем; </w:t>
      </w:r>
    </w:p>
    <w:p w14:paraId="5F4F03C0"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Укладка для запасных частей и патронов отсутствует; </w:t>
      </w:r>
    </w:p>
    <w:p w14:paraId="754FC3EC"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Командирские рубки частично не имеют стекол. </w:t>
      </w:r>
    </w:p>
    <w:p w14:paraId="101C3983"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и замечания. </w:t>
      </w:r>
    </w:p>
    <w:p w14:paraId="25D704F9"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 </w:t>
      </w:r>
    </w:p>
    <w:p w14:paraId="44E688A4"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 </w:t>
      </w:r>
    </w:p>
    <w:p w14:paraId="5B14E0A8"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 наличием положительных сторон имеется и ряд недоделок конструктивного характера, которые сводятся: </w:t>
      </w:r>
    </w:p>
    <w:p w14:paraId="4AFB6825"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Усовершенствовать систему охлаждения Д-2, Д-3, которая весьма ненадежна. </w:t>
      </w:r>
    </w:p>
    <w:p w14:paraId="29D7287D"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Усовершенствовать переключение скоростей и, по возможности, упростить управление МБВ (разбросанность рычагов управления). </w:t>
      </w:r>
    </w:p>
    <w:p w14:paraId="3E38FD1B"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Отрегулировать клапана воздушных тормозов. </w:t>
      </w:r>
    </w:p>
    <w:p w14:paraId="2B52C967"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 Д-3 понизить крышки колес, тем самым увеличить углы обстрела четырех пулеметов. </w:t>
      </w:r>
    </w:p>
    <w:p w14:paraId="22055108"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Командирскую рубку (стробоскоп) усовершенствовать. Оборудовать ее средствами управления огнем, внутренней связью и радиостанцией. </w:t>
      </w:r>
    </w:p>
    <w:p w14:paraId="410266DD"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Оборудовать МБВ соответствующей вентиляцией. </w:t>
      </w:r>
    </w:p>
    <w:p w14:paraId="143106A7"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Оборудовать соответствующие стеллажи для снарядов, патронов и ЗИП. </w:t>
      </w:r>
    </w:p>
    <w:p w14:paraId="37D8EA64"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вооружению. </w:t>
      </w:r>
    </w:p>
    <w:p w14:paraId="17A4E13C"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МБВ Д-2: заменить противоштурмовые пушки обр. 1913 г. на более совершенные обр. 1903/30 или 1915 г. </w:t>
      </w:r>
    </w:p>
    <w:p w14:paraId="2B618BA5"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 </w:t>
      </w:r>
    </w:p>
    <w:p w14:paraId="58371268"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Нормальным вооружением МБВ Д-3 необходимо считать 1 37-мм пушку , 4 пулемета Максима и 1-3 ДТ. </w:t>
      </w:r>
    </w:p>
    <w:p w14:paraId="53C9F4F9" w14:textId="77777777" w:rsidR="00006DDF" w:rsidRPr="007122AB" w:rsidRDefault="00006DDF"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Мотоброневагоны</w:t>
      </w:r>
      <w:proofErr w:type="spellEnd"/>
      <w:r w:rsidRPr="007122AB">
        <w:rPr>
          <w:rFonts w:ascii="Times New Roman" w:hAnsi="Times New Roman"/>
          <w:color w:val="000000" w:themeColor="text1"/>
          <w:sz w:val="16"/>
          <w:szCs w:val="16"/>
        </w:rPr>
        <w:t xml:space="preserve"> испытывались в незаконченном виде и не имели никаких подсобных материалов кроме моего наблюдения </w:t>
      </w:r>
    </w:p>
    <w:p w14:paraId="05C7E275"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постройке, а потому все детали боевых качеств полностью не выявлены. </w:t>
      </w:r>
    </w:p>
    <w:p w14:paraId="6047487E" w14:textId="77777777" w:rsidR="00006DDF" w:rsidRPr="007122AB" w:rsidRDefault="00006D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устранении отмеченных недостатков и при окончательном оборудовании </w:t>
      </w:r>
      <w:proofErr w:type="spellStart"/>
      <w:r w:rsidRPr="007122AB">
        <w:rPr>
          <w:rFonts w:ascii="Times New Roman" w:hAnsi="Times New Roman"/>
          <w:color w:val="000000" w:themeColor="text1"/>
          <w:sz w:val="16"/>
          <w:szCs w:val="16"/>
        </w:rPr>
        <w:t>мотобро-невагоны</w:t>
      </w:r>
      <w:proofErr w:type="spellEnd"/>
      <w:r w:rsidRPr="007122AB">
        <w:rPr>
          <w:rFonts w:ascii="Times New Roman" w:hAnsi="Times New Roman"/>
          <w:color w:val="000000" w:themeColor="text1"/>
          <w:sz w:val="16"/>
          <w:szCs w:val="16"/>
        </w:rPr>
        <w:t xml:space="preserve">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w:t>
      </w:r>
      <w:proofErr w:type="spellStart"/>
      <w:r w:rsidRPr="007122AB">
        <w:rPr>
          <w:rFonts w:ascii="Times New Roman" w:hAnsi="Times New Roman"/>
          <w:color w:val="000000" w:themeColor="text1"/>
          <w:sz w:val="16"/>
          <w:szCs w:val="16"/>
        </w:rPr>
        <w:t>мотоброневагон</w:t>
      </w:r>
      <w:proofErr w:type="spellEnd"/>
      <w:r w:rsidRPr="007122AB">
        <w:rPr>
          <w:rFonts w:ascii="Times New Roman" w:hAnsi="Times New Roman"/>
          <w:color w:val="000000" w:themeColor="text1"/>
          <w:sz w:val="16"/>
          <w:szCs w:val="16"/>
        </w:rPr>
        <w:t xml:space="preserve"> Д-2 «Менжинский» (18626).</w:t>
      </w:r>
    </w:p>
    <w:p w14:paraId="29B4E723" w14:textId="77777777" w:rsidR="00006DDF" w:rsidRPr="007122AB" w:rsidRDefault="00006DDF" w:rsidP="007122AB">
      <w:pPr>
        <w:spacing w:after="0" w:line="240" w:lineRule="auto"/>
        <w:jc w:val="both"/>
        <w:rPr>
          <w:rFonts w:ascii="Times New Roman" w:hAnsi="Times New Roman"/>
          <w:color w:val="000000" w:themeColor="text1"/>
          <w:sz w:val="16"/>
          <w:szCs w:val="16"/>
        </w:rPr>
      </w:pPr>
    </w:p>
    <w:p w14:paraId="1C13E9A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2F69D0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F20F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августа 1931 Михаил Булгаков завершил пьесу «Адам и Ева» (4962).</w:t>
      </w:r>
    </w:p>
    <w:p w14:paraId="263DD7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641F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CCD19D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650B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года Начальник НИИ ВВС Дубенский утвердил результаты Испытания самолета И7 БМВ VI</w:t>
      </w:r>
    </w:p>
    <w:p w14:paraId="667D92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3 – опытный постройки завода № 1.</w:t>
      </w:r>
    </w:p>
    <w:p w14:paraId="7A703A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3E8804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опытного самолета с полетным весом 1740 кг.</w:t>
      </w:r>
    </w:p>
    <w:p w14:paraId="03223D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 10августа 1931 года</w:t>
      </w:r>
    </w:p>
    <w:p w14:paraId="53AF991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16 августа 1931 года</w:t>
      </w:r>
    </w:p>
    <w:p w14:paraId="12913D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68F744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24</w:t>
      </w:r>
    </w:p>
    <w:p w14:paraId="71022C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11 час. 40 мин.</w:t>
      </w:r>
    </w:p>
    <w:p w14:paraId="7B7248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6A499A2E"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24ACD11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14DD6AC5"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1F45C"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августа 1931 г. Начальник НИИ ВВС Дубенский утвердил результаты Испытания самолета И-7 БМВ VI (24331).</w:t>
      </w:r>
    </w:p>
    <w:p w14:paraId="74684130" w14:textId="77777777" w:rsidR="00D210DB" w:rsidRPr="00441F34" w:rsidRDefault="00D210DB" w:rsidP="00D210DB">
      <w:pPr>
        <w:spacing w:after="0" w:line="240" w:lineRule="auto"/>
        <w:jc w:val="both"/>
        <w:rPr>
          <w:rFonts w:ascii="Times New Roman" w:hAnsi="Times New Roman"/>
          <w:color w:val="0070C0"/>
          <w:sz w:val="16"/>
          <w:szCs w:val="16"/>
        </w:rPr>
      </w:pPr>
    </w:p>
    <w:p w14:paraId="0D55C9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закончились гос. испытания АНТ-6 (ТБ-3) с БМВ-6, которые проходили с 29 апреля 1931 (1017,169). Закончить испытания не успели, так как износились покрышки Пальмер и решили поставить тандемные тележки с отечественными покрышками (1854,7)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2D1660F0" w14:textId="77777777">
        <w:tc>
          <w:tcPr>
            <w:tcW w:w="5636" w:type="dxa"/>
          </w:tcPr>
          <w:p w14:paraId="2F11CE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произведено</w:t>
            </w:r>
          </w:p>
        </w:tc>
        <w:tc>
          <w:tcPr>
            <w:tcW w:w="5636" w:type="dxa"/>
          </w:tcPr>
          <w:p w14:paraId="59264A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полетов</w:t>
            </w:r>
          </w:p>
        </w:tc>
      </w:tr>
      <w:tr w:rsidR="001002C3" w:rsidRPr="007122AB" w14:paraId="751F595B" w14:textId="77777777">
        <w:tc>
          <w:tcPr>
            <w:tcW w:w="5636" w:type="dxa"/>
          </w:tcPr>
          <w:p w14:paraId="4E919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Общей продолжительностью</w:t>
            </w:r>
          </w:p>
        </w:tc>
        <w:tc>
          <w:tcPr>
            <w:tcW w:w="5636" w:type="dxa"/>
          </w:tcPr>
          <w:p w14:paraId="42A954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час. 49 мин.</w:t>
            </w:r>
          </w:p>
        </w:tc>
      </w:tr>
    </w:tbl>
    <w:p w14:paraId="4EB3E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августа 1931 года полеты ТБ3 с 4-мя моторами БМВ VI Е-7,3. 500/730 НР были прекращены вследствие </w:t>
      </w:r>
      <w:proofErr w:type="spellStart"/>
      <w:r w:rsidRPr="007122AB">
        <w:rPr>
          <w:rFonts w:ascii="Times New Roman" w:hAnsi="Times New Roman"/>
          <w:color w:val="000000" w:themeColor="text1"/>
          <w:sz w:val="16"/>
          <w:szCs w:val="16"/>
        </w:rPr>
        <w:t>непригдности</w:t>
      </w:r>
      <w:proofErr w:type="spellEnd"/>
      <w:r w:rsidRPr="007122AB">
        <w:rPr>
          <w:rFonts w:ascii="Times New Roman" w:hAnsi="Times New Roman"/>
          <w:color w:val="000000" w:themeColor="text1"/>
          <w:sz w:val="16"/>
          <w:szCs w:val="16"/>
        </w:rPr>
        <w:t xml:space="preserve"> колес. Полеты начались 29 апреля 1931 года самолет был выпущен в воздух после перестановки моторов и переделок.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6A95D080" w14:textId="77777777">
        <w:tc>
          <w:tcPr>
            <w:tcW w:w="5636" w:type="dxa"/>
          </w:tcPr>
          <w:p w14:paraId="66D270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произведено</w:t>
            </w:r>
          </w:p>
        </w:tc>
        <w:tc>
          <w:tcPr>
            <w:tcW w:w="5636" w:type="dxa"/>
          </w:tcPr>
          <w:p w14:paraId="322C5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полетов</w:t>
            </w:r>
          </w:p>
        </w:tc>
      </w:tr>
      <w:tr w:rsidR="001002C3" w:rsidRPr="007122AB" w14:paraId="292B54F7" w14:textId="77777777">
        <w:tc>
          <w:tcPr>
            <w:tcW w:w="5636" w:type="dxa"/>
          </w:tcPr>
          <w:p w14:paraId="106CB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Общей продолжительностью</w:t>
            </w:r>
          </w:p>
        </w:tc>
        <w:tc>
          <w:tcPr>
            <w:tcW w:w="5636" w:type="dxa"/>
          </w:tcPr>
          <w:p w14:paraId="3558C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час. 49 мин. (3214)</w:t>
            </w:r>
          </w:p>
        </w:tc>
      </w:tr>
    </w:tbl>
    <w:p w14:paraId="7E674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B84D8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ТБ3-4М17 при условии доделки его вооружения (установка подкрыльных башен, бомбодержателей и др.) может быть рекомендован на вооружения ВВС в качестве тяжелого бомбардировщика.</w:t>
      </w:r>
    </w:p>
    <w:p w14:paraId="127F6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Полеты на самолете ТБ3-4М17 на колесах с покрышками "Пальмер" 2000х450 - прекратить (3214).</w:t>
      </w:r>
    </w:p>
    <w:p w14:paraId="3CF692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712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23 августа 1931 покрышки ТБ-3 (АНТ-6) изодрали совсем и полеты пришлось прекратить. Резины на огромные колеса ТБ-3 в СССР не нашлось - купили в Англии, у фирмы «Палмер". «</w:t>
      </w:r>
      <w:proofErr w:type="spellStart"/>
      <w:r w:rsidRPr="007122AB">
        <w:rPr>
          <w:rFonts w:ascii="Times New Roman" w:hAnsi="Times New Roman"/>
          <w:color w:val="000000" w:themeColor="text1"/>
          <w:sz w:val="16"/>
          <w:szCs w:val="16"/>
        </w:rPr>
        <w:t>Палмеровские</w:t>
      </w:r>
      <w:proofErr w:type="spellEnd"/>
      <w:r w:rsidRPr="007122AB">
        <w:rPr>
          <w:rFonts w:ascii="Times New Roman" w:hAnsi="Times New Roman"/>
          <w:color w:val="000000" w:themeColor="text1"/>
          <w:sz w:val="16"/>
          <w:szCs w:val="16"/>
        </w:rPr>
        <w:t xml:space="preserve">» покрышки по нынешним временам выглядели совершенно необычно: каждая из них состояла из трех частей - середины и боковин, стягивавшихся металлическими крючками, а сверху на все это натягивалось прорезиненное полотно. Тем не менее, в целом испытатели опять дали высокую оценку работе </w:t>
      </w:r>
      <w:proofErr w:type="spellStart"/>
      <w:r w:rsidRPr="007122AB">
        <w:rPr>
          <w:rFonts w:ascii="Times New Roman" w:hAnsi="Times New Roman"/>
          <w:color w:val="000000" w:themeColor="text1"/>
          <w:sz w:val="16"/>
          <w:szCs w:val="16"/>
        </w:rPr>
        <w:t>туполевцев</w:t>
      </w:r>
      <w:proofErr w:type="spellEnd"/>
      <w:r w:rsidRPr="007122AB">
        <w:rPr>
          <w:rFonts w:ascii="Times New Roman" w:hAnsi="Times New Roman"/>
          <w:color w:val="000000" w:themeColor="text1"/>
          <w:sz w:val="16"/>
          <w:szCs w:val="16"/>
        </w:rPr>
        <w:t>: "На разбеге самолет прост, устойчив, тенденций к заворотам и прыжкам нет... Посадка проста и никаких особенностей не имеет». «Вообще управление самолета ненормально тяжело, в особенности управление элеронами», "Анализ полученных летных данных и грузоподъемности ТБЗ-4БМВVIЕ=7.3 позволяет отнести его к лучшим мировым самолётам". Машину рекомендовали принять на вооружение ВВС РККА. Но добавили и «ложку дегтя»: "Приходится констатировать, что самолёт... обладает совершенно недоделанным вооружением и по существу s таком виде тяжелым бомбовозом не является" (8887).</w:t>
      </w:r>
    </w:p>
    <w:p w14:paraId="42ED6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D332D0"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23 августа 1931 г. второй этап госиспытаний АНТ-6 пришлось прекратить из-за плохого качества покрышек колес фирмы </w:t>
      </w:r>
      <w:proofErr w:type="spellStart"/>
      <w:r w:rsidRPr="00441F34">
        <w:rPr>
          <w:rFonts w:ascii="Times New Roman" w:hAnsi="Times New Roman"/>
          <w:color w:val="0070C0"/>
          <w:sz w:val="16"/>
          <w:szCs w:val="16"/>
        </w:rPr>
        <w:t>Palmer</w:t>
      </w:r>
      <w:proofErr w:type="spellEnd"/>
      <w:r w:rsidRPr="00441F34">
        <w:rPr>
          <w:rFonts w:ascii="Times New Roman" w:hAnsi="Times New Roman"/>
          <w:color w:val="0070C0"/>
          <w:sz w:val="16"/>
          <w:szCs w:val="16"/>
        </w:rPr>
        <w:t>. Испытания не были доведены до кон</w:t>
      </w:r>
      <w:r w:rsidRPr="00441F34">
        <w:rPr>
          <w:rFonts w:ascii="Times New Roman" w:hAnsi="Times New Roman"/>
          <w:color w:val="0070C0"/>
          <w:sz w:val="16"/>
          <w:szCs w:val="16"/>
        </w:rPr>
        <w:softHyphen/>
        <w:t>ца. НИИ ВВС обратился в ЦАГИ с просьбой разработать новую конструкцию шасси под сдвоенные оте</w:t>
      </w:r>
      <w:r w:rsidRPr="00441F34">
        <w:rPr>
          <w:rFonts w:ascii="Times New Roman" w:hAnsi="Times New Roman"/>
          <w:color w:val="0070C0"/>
          <w:sz w:val="16"/>
          <w:szCs w:val="16"/>
        </w:rPr>
        <w:softHyphen/>
        <w:t>чественные колеса меньшего диаметра. В выводах по результатам испытаний от</w:t>
      </w:r>
      <w:r w:rsidRPr="00441F34">
        <w:rPr>
          <w:rFonts w:ascii="Times New Roman" w:hAnsi="Times New Roman"/>
          <w:color w:val="0070C0"/>
          <w:sz w:val="16"/>
          <w:szCs w:val="16"/>
        </w:rPr>
        <w:softHyphen/>
        <w:t>мечалось, что «при установке нового шасси, моторов М—17 и полного ком</w:t>
      </w:r>
      <w:r w:rsidRPr="00441F34">
        <w:rPr>
          <w:rFonts w:ascii="Times New Roman" w:hAnsi="Times New Roman"/>
          <w:color w:val="0070C0"/>
          <w:sz w:val="16"/>
          <w:szCs w:val="16"/>
        </w:rPr>
        <w:softHyphen/>
        <w:t>плекта вооружения ТБ—3 может быть ре</w:t>
      </w:r>
      <w:r w:rsidRPr="00441F34">
        <w:rPr>
          <w:rFonts w:ascii="Times New Roman" w:hAnsi="Times New Roman"/>
          <w:color w:val="0070C0"/>
          <w:sz w:val="16"/>
          <w:szCs w:val="16"/>
        </w:rPr>
        <w:softHyphen/>
        <w:t>комендован ВВС в качестве тяжелого бомбардировщика». После выполнения требуемых доработок государственные испытания головного АНТ—6 с моторами BMW VI были продолжены (23474).</w:t>
      </w:r>
    </w:p>
    <w:p w14:paraId="0C51255D" w14:textId="77777777" w:rsidR="00D210DB" w:rsidRPr="00441F34" w:rsidRDefault="00D210DB" w:rsidP="00D210DB">
      <w:pPr>
        <w:spacing w:after="0" w:line="240" w:lineRule="auto"/>
        <w:jc w:val="both"/>
        <w:rPr>
          <w:rFonts w:ascii="Times New Roman" w:hAnsi="Times New Roman"/>
          <w:color w:val="0070C0"/>
          <w:sz w:val="16"/>
          <w:szCs w:val="16"/>
        </w:rPr>
      </w:pPr>
    </w:p>
    <w:p w14:paraId="28457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года в НИИ ГВФ поступил другой (второй) экземпляр К-5 с частично устраненными дефектами. Самолет был испытан и условно утвержден для производства (7738, 12-10).</w:t>
      </w:r>
    </w:p>
    <w:p w14:paraId="0D0E6E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BED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года начальник ВВС Алкснис писал письмо N 248 зам. пред. СНК Куйбышеву.</w:t>
      </w:r>
    </w:p>
    <w:p w14:paraId="1E45A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выработанному МПС проекту плана развертывания авиапромышленности.</w:t>
      </w:r>
    </w:p>
    <w:p w14:paraId="718F55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При составлении проекта развертывания авиапромышленности МПС сократил намеченную директивными инстанциями программу авиапромышленности на 1934 г. (22600 самолетов и 62000 авиамоторов), задав на этот год программу в 18800 самолетов и 47000 авиамоторов (не считая маломощных).</w:t>
      </w:r>
    </w:p>
    <w:p w14:paraId="22DA2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Программу в 22600 самолетов и 62000 авиамоторов МПС предлагает отодвинуть на 1935 год.</w:t>
      </w:r>
    </w:p>
    <w:p w14:paraId="251FFE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Изучение всех материалов по развитию сырьевых баз авиапромышленности убеждает в том, что к 1934 году все основные заводы поставщики ВАО будут иметь достаточные мощности для подачи авиапромышленности нужных количеств сырья и полуфабрикатов.</w:t>
      </w:r>
    </w:p>
    <w:p w14:paraId="5775D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изложенного, прихожу к выводу о необоснованности предлагаемого МПС отодвигания намеченной программы 1934 года на 1935 год.</w:t>
      </w:r>
    </w:p>
    <w:p w14:paraId="5F556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Предлагаемое МПС производство танковых двигателей на авиамоторных заводах нельзя признать целесообразным.</w:t>
      </w:r>
    </w:p>
    <w:p w14:paraId="6AFFD0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Практикуемая до сих пор установка на танках авиамоторов с незначительными изменениями, является мерой временной.</w:t>
      </w:r>
    </w:p>
    <w:p w14:paraId="72E290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поставить вопрос о постройке специального завода для производства танковых моторов. (3047,67-68).</w:t>
      </w:r>
    </w:p>
    <w:p w14:paraId="78D956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DDD9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23 августа 1931 подготовлена таблица:</w:t>
      </w:r>
    </w:p>
    <w:p w14:paraId="0DFC2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Потребность в моторах по типам</w:t>
      </w:r>
    </w:p>
    <w:p w14:paraId="1DCE7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1-й: на самолеты ставятся моторы, написанные под чертой в графе “количество”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747B1C6C" w14:textId="77777777">
        <w:tc>
          <w:tcPr>
            <w:tcW w:w="5604" w:type="dxa"/>
            <w:gridSpan w:val="3"/>
            <w:tcBorders>
              <w:top w:val="single" w:sz="12" w:space="0" w:color="auto"/>
            </w:tcBorders>
          </w:tcPr>
          <w:p w14:paraId="14B6D4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1933</w:t>
            </w:r>
          </w:p>
        </w:tc>
        <w:tc>
          <w:tcPr>
            <w:tcW w:w="5604" w:type="dxa"/>
            <w:gridSpan w:val="3"/>
            <w:tcBorders>
              <w:top w:val="single" w:sz="12" w:space="0" w:color="auto"/>
            </w:tcBorders>
          </w:tcPr>
          <w:p w14:paraId="44FB37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1934</w:t>
            </w:r>
          </w:p>
        </w:tc>
      </w:tr>
      <w:tr w:rsidR="001002C3" w:rsidRPr="007122AB" w14:paraId="539EB5AA" w14:textId="77777777">
        <w:tc>
          <w:tcPr>
            <w:tcW w:w="1868" w:type="dxa"/>
          </w:tcPr>
          <w:p w14:paraId="31FE58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Наименование</w:t>
            </w:r>
          </w:p>
        </w:tc>
        <w:tc>
          <w:tcPr>
            <w:tcW w:w="1868" w:type="dxa"/>
          </w:tcPr>
          <w:p w14:paraId="0590C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Количество норм. вариантов</w:t>
            </w:r>
          </w:p>
        </w:tc>
        <w:tc>
          <w:tcPr>
            <w:tcW w:w="1868" w:type="dxa"/>
          </w:tcPr>
          <w:p w14:paraId="1F5AD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Примечание</w:t>
            </w:r>
          </w:p>
        </w:tc>
        <w:tc>
          <w:tcPr>
            <w:tcW w:w="1868" w:type="dxa"/>
          </w:tcPr>
          <w:p w14:paraId="7A3880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Наименование</w:t>
            </w:r>
          </w:p>
        </w:tc>
        <w:tc>
          <w:tcPr>
            <w:tcW w:w="1868" w:type="dxa"/>
          </w:tcPr>
          <w:p w14:paraId="649D27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Количество норм. вариантов</w:t>
            </w:r>
          </w:p>
        </w:tc>
        <w:tc>
          <w:tcPr>
            <w:tcW w:w="1868" w:type="dxa"/>
          </w:tcPr>
          <w:p w14:paraId="7BFDD3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Примечание</w:t>
            </w:r>
          </w:p>
        </w:tc>
      </w:tr>
      <w:tr w:rsidR="001002C3" w:rsidRPr="007122AB" w14:paraId="4DC649E3" w14:textId="77777777">
        <w:tc>
          <w:tcPr>
            <w:tcW w:w="1868" w:type="dxa"/>
          </w:tcPr>
          <w:p w14:paraId="0AAC0C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М11 - Ж6</w:t>
            </w:r>
          </w:p>
        </w:tc>
        <w:tc>
          <w:tcPr>
            <w:tcW w:w="1868" w:type="dxa"/>
          </w:tcPr>
          <w:p w14:paraId="055D1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2400</w:t>
            </w:r>
          </w:p>
        </w:tc>
        <w:tc>
          <w:tcPr>
            <w:tcW w:w="1868" w:type="dxa"/>
          </w:tcPr>
          <w:p w14:paraId="5E7E5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0591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45C75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2400</w:t>
            </w:r>
          </w:p>
        </w:tc>
        <w:tc>
          <w:tcPr>
            <w:tcW w:w="1868" w:type="dxa"/>
          </w:tcPr>
          <w:p w14:paraId="4A0C1D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E71F005" w14:textId="77777777">
        <w:tc>
          <w:tcPr>
            <w:tcW w:w="1868" w:type="dxa"/>
          </w:tcPr>
          <w:p w14:paraId="4B0D6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М12, 22, РЦ</w:t>
            </w:r>
          </w:p>
        </w:tc>
        <w:tc>
          <w:tcPr>
            <w:tcW w:w="1868" w:type="dxa"/>
          </w:tcPr>
          <w:p w14:paraId="5D3147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3600</w:t>
            </w:r>
          </w:p>
        </w:tc>
        <w:tc>
          <w:tcPr>
            <w:tcW w:w="1868" w:type="dxa"/>
          </w:tcPr>
          <w:p w14:paraId="4688C6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82607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0A04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5070</w:t>
            </w:r>
          </w:p>
        </w:tc>
        <w:tc>
          <w:tcPr>
            <w:tcW w:w="1868" w:type="dxa"/>
          </w:tcPr>
          <w:p w14:paraId="396BFA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6B471AB" w14:textId="77777777">
        <w:tc>
          <w:tcPr>
            <w:tcW w:w="1868" w:type="dxa"/>
          </w:tcPr>
          <w:p w14:paraId="7411E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М26</w:t>
            </w:r>
          </w:p>
        </w:tc>
        <w:tc>
          <w:tcPr>
            <w:tcW w:w="1868" w:type="dxa"/>
          </w:tcPr>
          <w:p w14:paraId="6F1502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1800</w:t>
            </w:r>
          </w:p>
        </w:tc>
        <w:tc>
          <w:tcPr>
            <w:tcW w:w="1868" w:type="dxa"/>
          </w:tcPr>
          <w:p w14:paraId="141B6E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77F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4F876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2250</w:t>
            </w:r>
          </w:p>
        </w:tc>
        <w:tc>
          <w:tcPr>
            <w:tcW w:w="1868" w:type="dxa"/>
          </w:tcPr>
          <w:p w14:paraId="0AD5CA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ACD8C13" w14:textId="77777777">
        <w:tc>
          <w:tcPr>
            <w:tcW w:w="1868" w:type="dxa"/>
          </w:tcPr>
          <w:p w14:paraId="13798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М38</w:t>
            </w:r>
          </w:p>
        </w:tc>
        <w:tc>
          <w:tcPr>
            <w:tcW w:w="1868" w:type="dxa"/>
          </w:tcPr>
          <w:p w14:paraId="377DA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6A45D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1261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020F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3000</w:t>
            </w:r>
          </w:p>
        </w:tc>
        <w:tc>
          <w:tcPr>
            <w:tcW w:w="1868" w:type="dxa"/>
          </w:tcPr>
          <w:p w14:paraId="2AD14E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заменяется на М22</w:t>
            </w:r>
          </w:p>
        </w:tc>
      </w:tr>
      <w:tr w:rsidR="001002C3" w:rsidRPr="007122AB" w14:paraId="19647C60" w14:textId="77777777">
        <w:tc>
          <w:tcPr>
            <w:tcW w:w="1868" w:type="dxa"/>
          </w:tcPr>
          <w:p w14:paraId="7A8394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Моторов воздушного охлаждения</w:t>
            </w:r>
          </w:p>
        </w:tc>
        <w:tc>
          <w:tcPr>
            <w:tcW w:w="1868" w:type="dxa"/>
          </w:tcPr>
          <w:p w14:paraId="24EAF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7800</w:t>
            </w:r>
          </w:p>
        </w:tc>
        <w:tc>
          <w:tcPr>
            <w:tcW w:w="1868" w:type="dxa"/>
          </w:tcPr>
          <w:p w14:paraId="64FE93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6D15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D329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12720</w:t>
            </w:r>
          </w:p>
        </w:tc>
        <w:tc>
          <w:tcPr>
            <w:tcW w:w="1868" w:type="dxa"/>
          </w:tcPr>
          <w:p w14:paraId="03F998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BD8B207" w14:textId="77777777">
        <w:tc>
          <w:tcPr>
            <w:tcW w:w="1868" w:type="dxa"/>
          </w:tcPr>
          <w:p w14:paraId="3F0424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М17</w:t>
            </w:r>
          </w:p>
        </w:tc>
        <w:tc>
          <w:tcPr>
            <w:tcW w:w="1868" w:type="dxa"/>
          </w:tcPr>
          <w:p w14:paraId="1D0584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3000</w:t>
            </w:r>
          </w:p>
        </w:tc>
        <w:tc>
          <w:tcPr>
            <w:tcW w:w="1868" w:type="dxa"/>
          </w:tcPr>
          <w:p w14:paraId="77A99D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 может быть частично заменен М17 на самолетах Р5</w:t>
            </w:r>
          </w:p>
        </w:tc>
        <w:tc>
          <w:tcPr>
            <w:tcW w:w="1868" w:type="dxa"/>
          </w:tcPr>
          <w:p w14:paraId="411C8E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F825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3600</w:t>
            </w:r>
          </w:p>
        </w:tc>
        <w:tc>
          <w:tcPr>
            <w:tcW w:w="1868" w:type="dxa"/>
          </w:tcPr>
          <w:p w14:paraId="45C75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80E9CF5" w14:textId="77777777">
        <w:tc>
          <w:tcPr>
            <w:tcW w:w="1868" w:type="dxa"/>
          </w:tcPr>
          <w:p w14:paraId="13325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М32</w:t>
            </w:r>
          </w:p>
        </w:tc>
        <w:tc>
          <w:tcPr>
            <w:tcW w:w="1868" w:type="dxa"/>
          </w:tcPr>
          <w:p w14:paraId="0E84C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16A229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6140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AE4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1CF6E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534DA7E" w14:textId="77777777">
        <w:tc>
          <w:tcPr>
            <w:tcW w:w="1868" w:type="dxa"/>
          </w:tcPr>
          <w:p w14:paraId="73A82C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М34</w:t>
            </w:r>
          </w:p>
        </w:tc>
        <w:tc>
          <w:tcPr>
            <w:tcW w:w="1868" w:type="dxa"/>
          </w:tcPr>
          <w:p w14:paraId="15C61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4175</w:t>
            </w:r>
          </w:p>
        </w:tc>
        <w:tc>
          <w:tcPr>
            <w:tcW w:w="1868" w:type="dxa"/>
          </w:tcPr>
          <w:p w14:paraId="6B967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5A93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8FFFF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9690</w:t>
            </w:r>
          </w:p>
        </w:tc>
        <w:tc>
          <w:tcPr>
            <w:tcW w:w="1868" w:type="dxa"/>
          </w:tcPr>
          <w:p w14:paraId="1FF0D5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9D8D77D" w14:textId="77777777">
        <w:tc>
          <w:tcPr>
            <w:tcW w:w="1868" w:type="dxa"/>
          </w:tcPr>
          <w:p w14:paraId="07AF1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М36</w:t>
            </w:r>
          </w:p>
        </w:tc>
        <w:tc>
          <w:tcPr>
            <w:tcW w:w="1868" w:type="dxa"/>
          </w:tcPr>
          <w:p w14:paraId="625092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4823A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A357A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0967C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390</w:t>
            </w:r>
          </w:p>
        </w:tc>
        <w:tc>
          <w:tcPr>
            <w:tcW w:w="1868" w:type="dxa"/>
          </w:tcPr>
          <w:p w14:paraId="783FFC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54252E2" w14:textId="77777777">
        <w:tc>
          <w:tcPr>
            <w:tcW w:w="1868" w:type="dxa"/>
          </w:tcPr>
          <w:p w14:paraId="1ECFB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 водяного охлаждения</w:t>
            </w:r>
          </w:p>
        </w:tc>
        <w:tc>
          <w:tcPr>
            <w:tcW w:w="1868" w:type="dxa"/>
          </w:tcPr>
          <w:p w14:paraId="2224C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7175</w:t>
            </w:r>
          </w:p>
        </w:tc>
        <w:tc>
          <w:tcPr>
            <w:tcW w:w="1868" w:type="dxa"/>
          </w:tcPr>
          <w:p w14:paraId="7813C8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A070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ABBF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13680</w:t>
            </w:r>
          </w:p>
        </w:tc>
        <w:tc>
          <w:tcPr>
            <w:tcW w:w="1868" w:type="dxa"/>
          </w:tcPr>
          <w:p w14:paraId="494B9F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5385E8F" w14:textId="77777777">
        <w:tc>
          <w:tcPr>
            <w:tcW w:w="1868" w:type="dxa"/>
            <w:tcBorders>
              <w:bottom w:val="single" w:sz="12" w:space="0" w:color="auto"/>
            </w:tcBorders>
          </w:tcPr>
          <w:p w14:paraId="0C728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1868" w:type="dxa"/>
            <w:tcBorders>
              <w:bottom w:val="single" w:sz="12" w:space="0" w:color="auto"/>
            </w:tcBorders>
          </w:tcPr>
          <w:p w14:paraId="21851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14975</w:t>
            </w:r>
          </w:p>
        </w:tc>
        <w:tc>
          <w:tcPr>
            <w:tcW w:w="1868" w:type="dxa"/>
            <w:tcBorders>
              <w:bottom w:val="single" w:sz="12" w:space="0" w:color="auto"/>
            </w:tcBorders>
          </w:tcPr>
          <w:p w14:paraId="0A42D2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0993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14EF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26400</w:t>
            </w:r>
          </w:p>
        </w:tc>
        <w:tc>
          <w:tcPr>
            <w:tcW w:w="1868" w:type="dxa"/>
            <w:tcBorders>
              <w:bottom w:val="single" w:sz="12" w:space="0" w:color="auto"/>
            </w:tcBorders>
          </w:tcPr>
          <w:p w14:paraId="5DEC1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1E9073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2-й: истребители строятся под М32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5F328149" w14:textId="77777777">
        <w:tc>
          <w:tcPr>
            <w:tcW w:w="1868" w:type="dxa"/>
            <w:tcBorders>
              <w:top w:val="single" w:sz="12" w:space="0" w:color="auto"/>
            </w:tcBorders>
          </w:tcPr>
          <w:p w14:paraId="26A566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2597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E525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92877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 15, РЦ</w:t>
            </w:r>
          </w:p>
        </w:tc>
        <w:tc>
          <w:tcPr>
            <w:tcW w:w="1868" w:type="dxa"/>
            <w:tcBorders>
              <w:top w:val="single" w:sz="12" w:space="0" w:color="auto"/>
            </w:tcBorders>
          </w:tcPr>
          <w:p w14:paraId="108D48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2370</w:t>
            </w:r>
          </w:p>
        </w:tc>
        <w:tc>
          <w:tcPr>
            <w:tcW w:w="1868" w:type="dxa"/>
            <w:tcBorders>
              <w:top w:val="single" w:sz="12" w:space="0" w:color="auto"/>
            </w:tcBorders>
          </w:tcPr>
          <w:p w14:paraId="17136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68F5ACE5" w14:textId="77777777">
        <w:tc>
          <w:tcPr>
            <w:tcW w:w="1868" w:type="dxa"/>
          </w:tcPr>
          <w:p w14:paraId="2F96A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28AF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8DEC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62411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М38</w:t>
            </w:r>
          </w:p>
        </w:tc>
        <w:tc>
          <w:tcPr>
            <w:tcW w:w="1868" w:type="dxa"/>
          </w:tcPr>
          <w:p w14:paraId="70ADF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5C05E3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181A29CB" w14:textId="77777777">
        <w:tc>
          <w:tcPr>
            <w:tcW w:w="1868" w:type="dxa"/>
          </w:tcPr>
          <w:p w14:paraId="33F6AF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9BD40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C682B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35CC6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М32</w:t>
            </w:r>
          </w:p>
        </w:tc>
        <w:tc>
          <w:tcPr>
            <w:tcW w:w="1868" w:type="dxa"/>
          </w:tcPr>
          <w:p w14:paraId="6927A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5700</w:t>
            </w:r>
          </w:p>
        </w:tc>
        <w:tc>
          <w:tcPr>
            <w:tcW w:w="1868" w:type="dxa"/>
          </w:tcPr>
          <w:p w14:paraId="30BE8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90EC824" w14:textId="77777777">
        <w:tc>
          <w:tcPr>
            <w:tcW w:w="1868" w:type="dxa"/>
            <w:tcBorders>
              <w:bottom w:val="single" w:sz="12" w:space="0" w:color="auto"/>
            </w:tcBorders>
          </w:tcPr>
          <w:p w14:paraId="3EC207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прочие моторы по варианту 1</w:t>
            </w:r>
          </w:p>
        </w:tc>
        <w:tc>
          <w:tcPr>
            <w:tcW w:w="1868" w:type="dxa"/>
            <w:tcBorders>
              <w:bottom w:val="single" w:sz="12" w:space="0" w:color="auto"/>
            </w:tcBorders>
          </w:tcPr>
          <w:p w14:paraId="349BCB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7CF7E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E2B60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12E5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19CC2E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5720E1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3-й: вместо ТБ3 принят к постройке ТБ5 на заводу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042C07FE" w14:textId="77777777">
        <w:tc>
          <w:tcPr>
            <w:tcW w:w="1868" w:type="dxa"/>
            <w:tcBorders>
              <w:top w:val="single" w:sz="12" w:space="0" w:color="auto"/>
            </w:tcBorders>
          </w:tcPr>
          <w:p w14:paraId="23813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М17</w:t>
            </w:r>
          </w:p>
        </w:tc>
        <w:tc>
          <w:tcPr>
            <w:tcW w:w="1868" w:type="dxa"/>
            <w:tcBorders>
              <w:top w:val="single" w:sz="12" w:space="0" w:color="auto"/>
            </w:tcBorders>
          </w:tcPr>
          <w:p w14:paraId="307FCF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1800</w:t>
            </w:r>
          </w:p>
        </w:tc>
        <w:tc>
          <w:tcPr>
            <w:tcW w:w="1868" w:type="dxa"/>
            <w:tcBorders>
              <w:top w:val="single" w:sz="12" w:space="0" w:color="auto"/>
            </w:tcBorders>
          </w:tcPr>
          <w:p w14:paraId="3258B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top w:val="single" w:sz="12" w:space="0" w:color="auto"/>
            </w:tcBorders>
          </w:tcPr>
          <w:p w14:paraId="109F5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М17</w:t>
            </w:r>
          </w:p>
        </w:tc>
        <w:tc>
          <w:tcPr>
            <w:tcW w:w="1868" w:type="dxa"/>
            <w:tcBorders>
              <w:top w:val="single" w:sz="12" w:space="0" w:color="auto"/>
            </w:tcBorders>
          </w:tcPr>
          <w:p w14:paraId="4B9048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Borders>
              <w:top w:val="single" w:sz="12" w:space="0" w:color="auto"/>
            </w:tcBorders>
          </w:tcPr>
          <w:p w14:paraId="7927BA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774C871" w14:textId="77777777">
        <w:tc>
          <w:tcPr>
            <w:tcW w:w="1868" w:type="dxa"/>
            <w:tcBorders>
              <w:bottom w:val="single" w:sz="12" w:space="0" w:color="auto"/>
            </w:tcBorders>
          </w:tcPr>
          <w:p w14:paraId="283B5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 15</w:t>
            </w:r>
          </w:p>
        </w:tc>
        <w:tc>
          <w:tcPr>
            <w:tcW w:w="1868" w:type="dxa"/>
            <w:tcBorders>
              <w:bottom w:val="single" w:sz="12" w:space="0" w:color="auto"/>
            </w:tcBorders>
          </w:tcPr>
          <w:p w14:paraId="076860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4800</w:t>
            </w:r>
          </w:p>
        </w:tc>
        <w:tc>
          <w:tcPr>
            <w:tcW w:w="1868" w:type="dxa"/>
            <w:tcBorders>
              <w:bottom w:val="single" w:sz="12" w:space="0" w:color="auto"/>
            </w:tcBorders>
          </w:tcPr>
          <w:p w14:paraId="4A4A7E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26EB19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 15</w:t>
            </w:r>
          </w:p>
        </w:tc>
        <w:tc>
          <w:tcPr>
            <w:tcW w:w="1868" w:type="dxa"/>
            <w:tcBorders>
              <w:bottom w:val="single" w:sz="12" w:space="0" w:color="auto"/>
            </w:tcBorders>
          </w:tcPr>
          <w:p w14:paraId="2442FA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8670</w:t>
            </w:r>
          </w:p>
        </w:tc>
        <w:tc>
          <w:tcPr>
            <w:tcW w:w="1868" w:type="dxa"/>
            <w:tcBorders>
              <w:bottom w:val="single" w:sz="12" w:space="0" w:color="auto"/>
            </w:tcBorders>
          </w:tcPr>
          <w:p w14:paraId="388AFF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663A6F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6AD30E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подготовлена таблица:</w:t>
      </w:r>
    </w:p>
    <w:p w14:paraId="3DF1A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Снабжение моторами серийной постройки самолетов</w:t>
      </w:r>
    </w:p>
    <w:p w14:paraId="7AC59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не вошедшие в таблицу, сохраняют количества постройки/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13367918" w14:textId="77777777">
        <w:tc>
          <w:tcPr>
            <w:tcW w:w="1868" w:type="dxa"/>
            <w:tcBorders>
              <w:top w:val="single" w:sz="12" w:space="0" w:color="auto"/>
            </w:tcBorders>
          </w:tcPr>
          <w:p w14:paraId="0A0BF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04" w:type="dxa"/>
            <w:gridSpan w:val="3"/>
            <w:tcBorders>
              <w:top w:val="single" w:sz="12" w:space="0" w:color="auto"/>
            </w:tcBorders>
          </w:tcPr>
          <w:p w14:paraId="084BC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1933</w:t>
            </w:r>
          </w:p>
        </w:tc>
        <w:tc>
          <w:tcPr>
            <w:tcW w:w="3736" w:type="dxa"/>
            <w:gridSpan w:val="2"/>
            <w:tcBorders>
              <w:top w:val="single" w:sz="12" w:space="0" w:color="auto"/>
            </w:tcBorders>
          </w:tcPr>
          <w:p w14:paraId="5DC96B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1934</w:t>
            </w:r>
          </w:p>
        </w:tc>
      </w:tr>
      <w:tr w:rsidR="001002C3" w:rsidRPr="007122AB" w14:paraId="42F35B91" w14:textId="77777777">
        <w:tc>
          <w:tcPr>
            <w:tcW w:w="1868" w:type="dxa"/>
          </w:tcPr>
          <w:p w14:paraId="2BD03B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Вариант 2-й</w:t>
            </w:r>
          </w:p>
        </w:tc>
        <w:tc>
          <w:tcPr>
            <w:tcW w:w="1868" w:type="dxa"/>
          </w:tcPr>
          <w:p w14:paraId="6E95D6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Марка</w:t>
            </w:r>
          </w:p>
        </w:tc>
        <w:tc>
          <w:tcPr>
            <w:tcW w:w="1868" w:type="dxa"/>
          </w:tcPr>
          <w:p w14:paraId="054048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Подача</w:t>
            </w:r>
          </w:p>
        </w:tc>
        <w:tc>
          <w:tcPr>
            <w:tcW w:w="1868" w:type="dxa"/>
          </w:tcPr>
          <w:p w14:paraId="0E395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Потребность</w:t>
            </w:r>
          </w:p>
        </w:tc>
        <w:tc>
          <w:tcPr>
            <w:tcW w:w="1868" w:type="dxa"/>
          </w:tcPr>
          <w:p w14:paraId="483EAB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Марка</w:t>
            </w:r>
          </w:p>
        </w:tc>
        <w:tc>
          <w:tcPr>
            <w:tcW w:w="1868" w:type="dxa"/>
          </w:tcPr>
          <w:p w14:paraId="27354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Подача</w:t>
            </w:r>
          </w:p>
        </w:tc>
      </w:tr>
      <w:tr w:rsidR="001002C3" w:rsidRPr="007122AB" w14:paraId="3D84554B" w14:textId="77777777">
        <w:tc>
          <w:tcPr>
            <w:tcW w:w="1868" w:type="dxa"/>
          </w:tcPr>
          <w:p w14:paraId="0D0CA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Истребители строятся под мотор водяного охлаждения вместо воздушного: под М32 вместо РЦ, М22, М15, М38</w:t>
            </w:r>
          </w:p>
        </w:tc>
        <w:tc>
          <w:tcPr>
            <w:tcW w:w="1868" w:type="dxa"/>
          </w:tcPr>
          <w:p w14:paraId="3A70BF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5DA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8228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6253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w:t>
            </w:r>
          </w:p>
        </w:tc>
        <w:tc>
          <w:tcPr>
            <w:tcW w:w="1868" w:type="dxa"/>
          </w:tcPr>
          <w:p w14:paraId="582FD1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D4352CB" w14:textId="77777777">
        <w:tc>
          <w:tcPr>
            <w:tcW w:w="1868" w:type="dxa"/>
          </w:tcPr>
          <w:p w14:paraId="18C8F0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FBFE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F69C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8F19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882BA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М15</w:t>
            </w:r>
          </w:p>
        </w:tc>
        <w:tc>
          <w:tcPr>
            <w:tcW w:w="1868" w:type="dxa"/>
          </w:tcPr>
          <w:p w14:paraId="0A3563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506C7F31" w14:textId="77777777">
        <w:tc>
          <w:tcPr>
            <w:tcW w:w="1868" w:type="dxa"/>
          </w:tcPr>
          <w:p w14:paraId="5ACC17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2C0B0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46D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A5BD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F509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РЦ</w:t>
            </w:r>
          </w:p>
        </w:tc>
        <w:tc>
          <w:tcPr>
            <w:tcW w:w="1868" w:type="dxa"/>
          </w:tcPr>
          <w:p w14:paraId="2269D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57425790" w14:textId="77777777">
        <w:tc>
          <w:tcPr>
            <w:tcW w:w="1868" w:type="dxa"/>
          </w:tcPr>
          <w:p w14:paraId="6D5866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351A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F1E7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EAAE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CACB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М38</w:t>
            </w:r>
          </w:p>
        </w:tc>
        <w:tc>
          <w:tcPr>
            <w:tcW w:w="1868" w:type="dxa"/>
          </w:tcPr>
          <w:p w14:paraId="786860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680D5D53" w14:textId="77777777">
        <w:tc>
          <w:tcPr>
            <w:tcW w:w="1868" w:type="dxa"/>
          </w:tcPr>
          <w:p w14:paraId="27260C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ACE9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8D1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4236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94FF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w:t>
            </w:r>
          </w:p>
        </w:tc>
        <w:tc>
          <w:tcPr>
            <w:tcW w:w="1868" w:type="dxa"/>
          </w:tcPr>
          <w:p w14:paraId="6810D0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D98A442" w14:textId="77777777">
        <w:tc>
          <w:tcPr>
            <w:tcW w:w="1868" w:type="dxa"/>
          </w:tcPr>
          <w:p w14:paraId="63C223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излишек воздушного охлаждения</w:t>
            </w:r>
          </w:p>
        </w:tc>
        <w:tc>
          <w:tcPr>
            <w:tcW w:w="1868" w:type="dxa"/>
          </w:tcPr>
          <w:p w14:paraId="29C97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FDFE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3F66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73EE2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2804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5870E3DD" w14:textId="77777777">
        <w:tc>
          <w:tcPr>
            <w:tcW w:w="1868" w:type="dxa"/>
          </w:tcPr>
          <w:p w14:paraId="23E25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недостаток водяного охлаждения</w:t>
            </w:r>
          </w:p>
        </w:tc>
        <w:tc>
          <w:tcPr>
            <w:tcW w:w="1868" w:type="dxa"/>
          </w:tcPr>
          <w:p w14:paraId="3D720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A2B24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433EF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7719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C53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6C98A4AA" w14:textId="77777777">
        <w:tc>
          <w:tcPr>
            <w:tcW w:w="1868" w:type="dxa"/>
          </w:tcPr>
          <w:p w14:paraId="7DE287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3-й</w:t>
            </w:r>
          </w:p>
        </w:tc>
        <w:tc>
          <w:tcPr>
            <w:tcW w:w="1868" w:type="dxa"/>
          </w:tcPr>
          <w:p w14:paraId="76770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F334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CF88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5BC0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D7F3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DB02304" w14:textId="77777777">
        <w:tc>
          <w:tcPr>
            <w:tcW w:w="1868" w:type="dxa"/>
          </w:tcPr>
          <w:p w14:paraId="36F20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 строится под мотор воздушного охлаждения (строится ТБ5-4М22, М15, РЦ, М38 вместо ТБ3-4М17, М34)</w:t>
            </w:r>
          </w:p>
        </w:tc>
        <w:tc>
          <w:tcPr>
            <w:tcW w:w="1868" w:type="dxa"/>
          </w:tcPr>
          <w:p w14:paraId="7EA6EC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868" w:type="dxa"/>
          </w:tcPr>
          <w:p w14:paraId="64D61C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51CD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E037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868" w:type="dxa"/>
          </w:tcPr>
          <w:p w14:paraId="25B3C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E4DBF55" w14:textId="77777777">
        <w:tc>
          <w:tcPr>
            <w:tcW w:w="1868" w:type="dxa"/>
          </w:tcPr>
          <w:p w14:paraId="693C5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B5EFE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868" w:type="dxa"/>
          </w:tcPr>
          <w:p w14:paraId="164BB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2500</w:t>
            </w:r>
          </w:p>
        </w:tc>
        <w:tc>
          <w:tcPr>
            <w:tcW w:w="1868" w:type="dxa"/>
          </w:tcPr>
          <w:p w14:paraId="72449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4800</w:t>
            </w:r>
          </w:p>
        </w:tc>
        <w:tc>
          <w:tcPr>
            <w:tcW w:w="1868" w:type="dxa"/>
          </w:tcPr>
          <w:p w14:paraId="4BBDB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868" w:type="dxa"/>
          </w:tcPr>
          <w:p w14:paraId="49604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6D7372B" w14:textId="77777777">
        <w:tc>
          <w:tcPr>
            <w:tcW w:w="1868" w:type="dxa"/>
          </w:tcPr>
          <w:p w14:paraId="57B1D9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F1D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w:t>
            </w:r>
          </w:p>
        </w:tc>
        <w:tc>
          <w:tcPr>
            <w:tcW w:w="1868" w:type="dxa"/>
          </w:tcPr>
          <w:p w14:paraId="43F09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03825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4F075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w:t>
            </w:r>
          </w:p>
        </w:tc>
        <w:tc>
          <w:tcPr>
            <w:tcW w:w="1868" w:type="dxa"/>
          </w:tcPr>
          <w:p w14:paraId="17CEE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1DEC75E7" w14:textId="77777777">
        <w:tc>
          <w:tcPr>
            <w:tcW w:w="1868" w:type="dxa"/>
          </w:tcPr>
          <w:p w14:paraId="396C59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BC1D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1868" w:type="dxa"/>
          </w:tcPr>
          <w:p w14:paraId="27BED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6000</w:t>
            </w:r>
          </w:p>
        </w:tc>
        <w:tc>
          <w:tcPr>
            <w:tcW w:w="1868" w:type="dxa"/>
          </w:tcPr>
          <w:p w14:paraId="5E4516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1800</w:t>
            </w:r>
          </w:p>
        </w:tc>
        <w:tc>
          <w:tcPr>
            <w:tcW w:w="1868" w:type="dxa"/>
          </w:tcPr>
          <w:p w14:paraId="1B8E68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1868" w:type="dxa"/>
          </w:tcPr>
          <w:p w14:paraId="41596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0845F1D" w14:textId="77777777">
        <w:tc>
          <w:tcPr>
            <w:tcW w:w="1868" w:type="dxa"/>
          </w:tcPr>
          <w:p w14:paraId="1373EF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излишек воздушного охлаждения</w:t>
            </w:r>
          </w:p>
        </w:tc>
        <w:tc>
          <w:tcPr>
            <w:tcW w:w="1868" w:type="dxa"/>
          </w:tcPr>
          <w:p w14:paraId="61A54C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865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EDE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4200</w:t>
            </w:r>
          </w:p>
        </w:tc>
        <w:tc>
          <w:tcPr>
            <w:tcW w:w="1868" w:type="dxa"/>
          </w:tcPr>
          <w:p w14:paraId="76AB1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55BE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1AF2D966" w14:textId="77777777">
        <w:tc>
          <w:tcPr>
            <w:tcW w:w="1868" w:type="dxa"/>
          </w:tcPr>
          <w:p w14:paraId="1141A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недостаток водяного охлаждения</w:t>
            </w:r>
          </w:p>
        </w:tc>
        <w:tc>
          <w:tcPr>
            <w:tcW w:w="1868" w:type="dxa"/>
          </w:tcPr>
          <w:p w14:paraId="1E233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AA25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714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w:t>
            </w:r>
          </w:p>
        </w:tc>
        <w:tc>
          <w:tcPr>
            <w:tcW w:w="1868" w:type="dxa"/>
          </w:tcPr>
          <w:p w14:paraId="45884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5E62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89D2328" w14:textId="77777777">
        <w:tc>
          <w:tcPr>
            <w:tcW w:w="1868" w:type="dxa"/>
          </w:tcPr>
          <w:p w14:paraId="718AE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случае совмещения 2 и 3 вариантов</w:t>
            </w:r>
          </w:p>
        </w:tc>
        <w:tc>
          <w:tcPr>
            <w:tcW w:w="1868" w:type="dxa"/>
          </w:tcPr>
          <w:p w14:paraId="785280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1966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96FC4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FD410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869F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31210B" w14:textId="77777777">
        <w:tc>
          <w:tcPr>
            <w:tcW w:w="1868" w:type="dxa"/>
          </w:tcPr>
          <w:p w14:paraId="2F5A8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излишек воздушного охлаждения</w:t>
            </w:r>
          </w:p>
        </w:tc>
        <w:tc>
          <w:tcPr>
            <w:tcW w:w="1868" w:type="dxa"/>
          </w:tcPr>
          <w:p w14:paraId="3E8614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DA62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F1A1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868" w:type="dxa"/>
          </w:tcPr>
          <w:p w14:paraId="4CD2B4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56B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57BD9FE8" w14:textId="77777777">
        <w:tc>
          <w:tcPr>
            <w:tcW w:w="1868" w:type="dxa"/>
          </w:tcPr>
          <w:p w14:paraId="03CD94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недостаток водяного охлаждения</w:t>
            </w:r>
          </w:p>
        </w:tc>
        <w:tc>
          <w:tcPr>
            <w:tcW w:w="1868" w:type="dxa"/>
          </w:tcPr>
          <w:p w14:paraId="00D5A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4A55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CA6C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4200</w:t>
            </w:r>
          </w:p>
        </w:tc>
        <w:tc>
          <w:tcPr>
            <w:tcW w:w="1868" w:type="dxa"/>
          </w:tcPr>
          <w:p w14:paraId="4DBF6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ACD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1EF423E7" w14:textId="77777777">
        <w:tc>
          <w:tcPr>
            <w:tcW w:w="1868" w:type="dxa"/>
          </w:tcPr>
          <w:p w14:paraId="20AC6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недостаток воздушного охлаждения</w:t>
            </w:r>
          </w:p>
        </w:tc>
        <w:tc>
          <w:tcPr>
            <w:tcW w:w="1868" w:type="dxa"/>
          </w:tcPr>
          <w:p w14:paraId="113BE6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0FE2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604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868" w:type="dxa"/>
          </w:tcPr>
          <w:p w14:paraId="6798E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154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948E52B" w14:textId="77777777">
        <w:tc>
          <w:tcPr>
            <w:tcW w:w="1868" w:type="dxa"/>
          </w:tcPr>
          <w:p w14:paraId="171206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излишек водяного охлаждения</w:t>
            </w:r>
          </w:p>
        </w:tc>
        <w:tc>
          <w:tcPr>
            <w:tcW w:w="1868" w:type="dxa"/>
          </w:tcPr>
          <w:p w14:paraId="297CE0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BD78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CB47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w:t>
            </w:r>
          </w:p>
        </w:tc>
        <w:tc>
          <w:tcPr>
            <w:tcW w:w="1868" w:type="dxa"/>
          </w:tcPr>
          <w:p w14:paraId="1A72E0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158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98D7B11" w14:textId="77777777">
        <w:tc>
          <w:tcPr>
            <w:tcW w:w="1868" w:type="dxa"/>
            <w:tcBorders>
              <w:bottom w:val="single" w:sz="12" w:space="0" w:color="auto"/>
            </w:tcBorders>
          </w:tcPr>
          <w:p w14:paraId="4C8C6B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tc>
        <w:tc>
          <w:tcPr>
            <w:tcW w:w="5604" w:type="dxa"/>
            <w:gridSpan w:val="3"/>
            <w:tcBorders>
              <w:bottom w:val="single" w:sz="12" w:space="0" w:color="auto"/>
            </w:tcBorders>
          </w:tcPr>
          <w:p w14:paraId="41F78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Бомбардировщики необходимо строить под водяное охлаждение (по варианту 1)</w:t>
            </w:r>
          </w:p>
        </w:tc>
        <w:tc>
          <w:tcPr>
            <w:tcW w:w="3736" w:type="dxa"/>
            <w:gridSpan w:val="2"/>
            <w:tcBorders>
              <w:bottom w:val="single" w:sz="12" w:space="0" w:color="auto"/>
            </w:tcBorders>
          </w:tcPr>
          <w:p w14:paraId="5085D6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Часть истребителей необходимо строить под воздушное и часть под водяное охлаждение</w:t>
            </w:r>
          </w:p>
        </w:tc>
      </w:tr>
    </w:tbl>
    <w:p w14:paraId="03B70E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20BF76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23 августа 1931 подготовлена таблица:</w:t>
      </w:r>
    </w:p>
    <w:p w14:paraId="6C3FAC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Снабжение моторами серийной постройки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708"/>
        <w:gridCol w:w="939"/>
        <w:gridCol w:w="939"/>
        <w:gridCol w:w="939"/>
        <w:gridCol w:w="939"/>
        <w:gridCol w:w="939"/>
        <w:gridCol w:w="939"/>
        <w:gridCol w:w="939"/>
        <w:gridCol w:w="939"/>
        <w:gridCol w:w="939"/>
        <w:gridCol w:w="939"/>
      </w:tblGrid>
      <w:tr w:rsidR="001002C3" w:rsidRPr="007122AB" w14:paraId="6952AEE4" w14:textId="77777777">
        <w:tc>
          <w:tcPr>
            <w:tcW w:w="534" w:type="dxa"/>
            <w:tcBorders>
              <w:top w:val="single" w:sz="12" w:space="0" w:color="auto"/>
            </w:tcBorders>
          </w:tcPr>
          <w:p w14:paraId="61B9C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567" w:type="dxa"/>
            <w:tcBorders>
              <w:top w:val="single" w:sz="12" w:space="0" w:color="auto"/>
            </w:tcBorders>
          </w:tcPr>
          <w:p w14:paraId="2E9B3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заводов</w:t>
            </w:r>
          </w:p>
        </w:tc>
        <w:tc>
          <w:tcPr>
            <w:tcW w:w="708" w:type="dxa"/>
            <w:tcBorders>
              <w:top w:val="single" w:sz="12" w:space="0" w:color="auto"/>
            </w:tcBorders>
          </w:tcPr>
          <w:p w14:paraId="14DC88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Род мотора</w:t>
            </w:r>
          </w:p>
        </w:tc>
        <w:tc>
          <w:tcPr>
            <w:tcW w:w="3756" w:type="dxa"/>
            <w:gridSpan w:val="4"/>
            <w:tcBorders>
              <w:top w:val="single" w:sz="12" w:space="0" w:color="auto"/>
            </w:tcBorders>
          </w:tcPr>
          <w:p w14:paraId="6B6772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756" w:type="dxa"/>
            <w:gridSpan w:val="4"/>
            <w:tcBorders>
              <w:top w:val="single" w:sz="12" w:space="0" w:color="auto"/>
            </w:tcBorders>
          </w:tcPr>
          <w:p w14:paraId="7AA86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1878" w:type="dxa"/>
            <w:gridSpan w:val="2"/>
            <w:tcBorders>
              <w:top w:val="single" w:sz="12" w:space="0" w:color="auto"/>
            </w:tcBorders>
          </w:tcPr>
          <w:p w14:paraId="28D0B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r>
      <w:tr w:rsidR="001002C3" w:rsidRPr="007122AB" w14:paraId="7D7396E8" w14:textId="77777777">
        <w:tc>
          <w:tcPr>
            <w:tcW w:w="534" w:type="dxa"/>
          </w:tcPr>
          <w:p w14:paraId="240C4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108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F775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4DC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w:t>
            </w:r>
          </w:p>
        </w:tc>
        <w:tc>
          <w:tcPr>
            <w:tcW w:w="939" w:type="dxa"/>
          </w:tcPr>
          <w:p w14:paraId="47018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Подача</w:t>
            </w:r>
          </w:p>
        </w:tc>
        <w:tc>
          <w:tcPr>
            <w:tcW w:w="939" w:type="dxa"/>
          </w:tcPr>
          <w:p w14:paraId="20DA7E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Потребн</w:t>
            </w:r>
            <w:proofErr w:type="spellEnd"/>
            <w:r w:rsidRPr="007122AB">
              <w:rPr>
                <w:rFonts w:ascii="Times New Roman" w:hAnsi="Times New Roman"/>
                <w:color w:val="000000" w:themeColor="text1"/>
                <w:sz w:val="16"/>
                <w:szCs w:val="16"/>
              </w:rPr>
              <w:t>.</w:t>
            </w:r>
          </w:p>
        </w:tc>
        <w:tc>
          <w:tcPr>
            <w:tcW w:w="939" w:type="dxa"/>
          </w:tcPr>
          <w:p w14:paraId="79321A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c>
          <w:tcPr>
            <w:tcW w:w="939" w:type="dxa"/>
          </w:tcPr>
          <w:p w14:paraId="12290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w:t>
            </w:r>
          </w:p>
        </w:tc>
        <w:tc>
          <w:tcPr>
            <w:tcW w:w="939" w:type="dxa"/>
          </w:tcPr>
          <w:p w14:paraId="4A37D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Подача</w:t>
            </w:r>
          </w:p>
        </w:tc>
        <w:tc>
          <w:tcPr>
            <w:tcW w:w="939" w:type="dxa"/>
          </w:tcPr>
          <w:p w14:paraId="5B790F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Потребн</w:t>
            </w:r>
            <w:proofErr w:type="spellEnd"/>
            <w:r w:rsidRPr="007122AB">
              <w:rPr>
                <w:rFonts w:ascii="Times New Roman" w:hAnsi="Times New Roman"/>
                <w:color w:val="000000" w:themeColor="text1"/>
                <w:sz w:val="16"/>
                <w:szCs w:val="16"/>
              </w:rPr>
              <w:t>.</w:t>
            </w:r>
          </w:p>
        </w:tc>
        <w:tc>
          <w:tcPr>
            <w:tcW w:w="939" w:type="dxa"/>
          </w:tcPr>
          <w:p w14:paraId="4E4BBE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c>
          <w:tcPr>
            <w:tcW w:w="939" w:type="dxa"/>
          </w:tcPr>
          <w:p w14:paraId="4AD55F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w:t>
            </w:r>
          </w:p>
        </w:tc>
        <w:tc>
          <w:tcPr>
            <w:tcW w:w="939" w:type="dxa"/>
          </w:tcPr>
          <w:p w14:paraId="76B0F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Подача</w:t>
            </w:r>
          </w:p>
        </w:tc>
      </w:tr>
      <w:tr w:rsidR="001002C3" w:rsidRPr="007122AB" w14:paraId="76AADD77" w14:textId="77777777">
        <w:tc>
          <w:tcPr>
            <w:tcW w:w="534" w:type="dxa"/>
          </w:tcPr>
          <w:p w14:paraId="567147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567" w:type="dxa"/>
          </w:tcPr>
          <w:p w14:paraId="52DF5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w:t>
            </w:r>
          </w:p>
        </w:tc>
        <w:tc>
          <w:tcPr>
            <w:tcW w:w="708" w:type="dxa"/>
          </w:tcPr>
          <w:p w14:paraId="5D2BF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7A4560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939" w:type="dxa"/>
          </w:tcPr>
          <w:p w14:paraId="52945C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w:t>
            </w:r>
          </w:p>
        </w:tc>
        <w:tc>
          <w:tcPr>
            <w:tcW w:w="939" w:type="dxa"/>
          </w:tcPr>
          <w:p w14:paraId="20B53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8F94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C4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939" w:type="dxa"/>
          </w:tcPr>
          <w:p w14:paraId="21AA8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939" w:type="dxa"/>
          </w:tcPr>
          <w:p w14:paraId="2567D3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939" w:type="dxa"/>
          </w:tcPr>
          <w:p w14:paraId="1B201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Запас в </w:t>
            </w: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100%</w:t>
            </w:r>
          </w:p>
        </w:tc>
        <w:tc>
          <w:tcPr>
            <w:tcW w:w="939" w:type="dxa"/>
          </w:tcPr>
          <w:p w14:paraId="395D1B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9" w:type="dxa"/>
          </w:tcPr>
          <w:p w14:paraId="43E657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7654FDE" w14:textId="77777777">
        <w:tc>
          <w:tcPr>
            <w:tcW w:w="534" w:type="dxa"/>
          </w:tcPr>
          <w:p w14:paraId="13FF1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D30F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121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7BCE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939" w:type="dxa"/>
          </w:tcPr>
          <w:p w14:paraId="6BAF3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1720</w:t>
            </w:r>
          </w:p>
        </w:tc>
        <w:tc>
          <w:tcPr>
            <w:tcW w:w="939" w:type="dxa"/>
          </w:tcPr>
          <w:p w14:paraId="3C9905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6F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9FED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939" w:type="dxa"/>
          </w:tcPr>
          <w:p w14:paraId="5356D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939" w:type="dxa"/>
          </w:tcPr>
          <w:p w14:paraId="458236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2900</w:t>
            </w:r>
          </w:p>
        </w:tc>
        <w:tc>
          <w:tcPr>
            <w:tcW w:w="939" w:type="dxa"/>
          </w:tcPr>
          <w:p w14:paraId="2F69D6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хватает</w:t>
            </w:r>
          </w:p>
        </w:tc>
        <w:tc>
          <w:tcPr>
            <w:tcW w:w="939" w:type="dxa"/>
          </w:tcPr>
          <w:p w14:paraId="0A5CA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939" w:type="dxa"/>
          </w:tcPr>
          <w:p w14:paraId="1F2848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6A097196" w14:textId="77777777">
        <w:tc>
          <w:tcPr>
            <w:tcW w:w="534" w:type="dxa"/>
          </w:tcPr>
          <w:p w14:paraId="34B5E4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1DD8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05D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C6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85C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58A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E3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EB8F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35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A28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6E4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2827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М33</w:t>
            </w:r>
          </w:p>
        </w:tc>
        <w:tc>
          <w:tcPr>
            <w:tcW w:w="939" w:type="dxa"/>
          </w:tcPr>
          <w:p w14:paraId="2A8FC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1BEFB9DE" w14:textId="77777777">
        <w:tc>
          <w:tcPr>
            <w:tcW w:w="534" w:type="dxa"/>
          </w:tcPr>
          <w:p w14:paraId="075770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08271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464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2D3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4EDDE8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2360</w:t>
            </w:r>
          </w:p>
        </w:tc>
        <w:tc>
          <w:tcPr>
            <w:tcW w:w="939" w:type="dxa"/>
          </w:tcPr>
          <w:p w14:paraId="323247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F938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2D6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F90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939" w:type="dxa"/>
          </w:tcPr>
          <w:p w14:paraId="0C69A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DD00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74F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4C29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r>
      <w:tr w:rsidR="001002C3" w:rsidRPr="007122AB" w14:paraId="2AD5E1F2" w14:textId="77777777">
        <w:tc>
          <w:tcPr>
            <w:tcW w:w="534" w:type="dxa"/>
          </w:tcPr>
          <w:p w14:paraId="56BA2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567" w:type="dxa"/>
          </w:tcPr>
          <w:p w14:paraId="3ECF73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708" w:type="dxa"/>
          </w:tcPr>
          <w:p w14:paraId="379DF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42AE1F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F44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1E2D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CB64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E5BD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939" w:type="dxa"/>
          </w:tcPr>
          <w:p w14:paraId="489EB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939" w:type="dxa"/>
          </w:tcPr>
          <w:p w14:paraId="0CCF3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939" w:type="dxa"/>
          </w:tcPr>
          <w:p w14:paraId="0430A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A82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939" w:type="dxa"/>
          </w:tcPr>
          <w:p w14:paraId="17942E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2250</w:t>
            </w:r>
          </w:p>
        </w:tc>
      </w:tr>
      <w:tr w:rsidR="001002C3" w:rsidRPr="007122AB" w14:paraId="12D545C4" w14:textId="77777777">
        <w:tc>
          <w:tcPr>
            <w:tcW w:w="534" w:type="dxa"/>
          </w:tcPr>
          <w:p w14:paraId="6A49D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4BB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D75E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2D6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47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02A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6CA6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F2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939" w:type="dxa"/>
          </w:tcPr>
          <w:p w14:paraId="110CCE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939" w:type="dxa"/>
          </w:tcPr>
          <w:p w14:paraId="3366A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c>
          <w:tcPr>
            <w:tcW w:w="939" w:type="dxa"/>
          </w:tcPr>
          <w:p w14:paraId="045088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8E5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939" w:type="dxa"/>
          </w:tcPr>
          <w:p w14:paraId="0FE30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2250</w:t>
            </w:r>
          </w:p>
        </w:tc>
      </w:tr>
      <w:tr w:rsidR="001002C3" w:rsidRPr="007122AB" w14:paraId="4EAF8A30" w14:textId="77777777">
        <w:tc>
          <w:tcPr>
            <w:tcW w:w="534" w:type="dxa"/>
          </w:tcPr>
          <w:p w14:paraId="1AE23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487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EC29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CF9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17E1F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85F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B25A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502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40E5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939" w:type="dxa"/>
          </w:tcPr>
          <w:p w14:paraId="54B8C6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A667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DF10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B7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r>
      <w:tr w:rsidR="001002C3" w:rsidRPr="007122AB" w14:paraId="5583BEC3" w14:textId="77777777">
        <w:tc>
          <w:tcPr>
            <w:tcW w:w="534" w:type="dxa"/>
          </w:tcPr>
          <w:p w14:paraId="3F5542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567" w:type="dxa"/>
          </w:tcPr>
          <w:p w14:paraId="44E729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708" w:type="dxa"/>
          </w:tcPr>
          <w:p w14:paraId="7338F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6C648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E4C3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2B3D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D92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00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A6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5C4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242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9240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CFA1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2200</w:t>
            </w:r>
          </w:p>
        </w:tc>
      </w:tr>
      <w:tr w:rsidR="001002C3" w:rsidRPr="007122AB" w14:paraId="35F61939" w14:textId="77777777">
        <w:tc>
          <w:tcPr>
            <w:tcW w:w="534" w:type="dxa"/>
          </w:tcPr>
          <w:p w14:paraId="3A3A2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A31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863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D44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3A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CC2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4B38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071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FA6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9F2C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8CD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63E9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39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50E6D27F" w14:textId="77777777">
        <w:tc>
          <w:tcPr>
            <w:tcW w:w="534" w:type="dxa"/>
          </w:tcPr>
          <w:p w14:paraId="3D326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6299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B970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41F6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4697C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DBA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7E0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16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7F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AF6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5C2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05B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9101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r>
      <w:tr w:rsidR="001002C3" w:rsidRPr="007122AB" w14:paraId="175EF9BA" w14:textId="77777777">
        <w:tc>
          <w:tcPr>
            <w:tcW w:w="534" w:type="dxa"/>
          </w:tcPr>
          <w:p w14:paraId="42261F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A5FC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C877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347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Итого моторов воздушного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44E930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007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25A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D7D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01B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39" w:type="dxa"/>
          </w:tcPr>
          <w:p w14:paraId="44BC71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78000</w:t>
            </w:r>
          </w:p>
        </w:tc>
        <w:tc>
          <w:tcPr>
            <w:tcW w:w="939" w:type="dxa"/>
          </w:tcPr>
          <w:p w14:paraId="0C6201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DC49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050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12700</w:t>
            </w:r>
          </w:p>
        </w:tc>
      </w:tr>
      <w:tr w:rsidR="001002C3" w:rsidRPr="007122AB" w14:paraId="7CAFFE8B" w14:textId="77777777">
        <w:tc>
          <w:tcPr>
            <w:tcW w:w="534" w:type="dxa"/>
          </w:tcPr>
          <w:p w14:paraId="319F2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567" w:type="dxa"/>
          </w:tcPr>
          <w:p w14:paraId="40B35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tc>
        <w:tc>
          <w:tcPr>
            <w:tcW w:w="708" w:type="dxa"/>
          </w:tcPr>
          <w:p w14:paraId="3BCE6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Водяного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783C8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939" w:type="dxa"/>
          </w:tcPr>
          <w:p w14:paraId="44FAA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939" w:type="dxa"/>
          </w:tcPr>
          <w:p w14:paraId="5EACF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B9A3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D38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939" w:type="dxa"/>
          </w:tcPr>
          <w:p w14:paraId="4C57B1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39" w:type="dxa"/>
          </w:tcPr>
          <w:p w14:paraId="5B4F3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939" w:type="dxa"/>
          </w:tcPr>
          <w:p w14:paraId="08D14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Резерв и запчасти</w:t>
            </w:r>
          </w:p>
        </w:tc>
        <w:tc>
          <w:tcPr>
            <w:tcW w:w="939" w:type="dxa"/>
          </w:tcPr>
          <w:p w14:paraId="5FDE1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939" w:type="dxa"/>
          </w:tcPr>
          <w:p w14:paraId="654AA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5CE549A5" w14:textId="77777777">
        <w:tc>
          <w:tcPr>
            <w:tcW w:w="534" w:type="dxa"/>
          </w:tcPr>
          <w:p w14:paraId="06C522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D1A9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4DA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DDF2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AFC4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AC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BEA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F6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5FD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FF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7023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FEBF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C7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5F94D63C" w14:textId="77777777">
        <w:tc>
          <w:tcPr>
            <w:tcW w:w="534" w:type="dxa"/>
          </w:tcPr>
          <w:p w14:paraId="634714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F909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4DD27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44AC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2CAC4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939" w:type="dxa"/>
          </w:tcPr>
          <w:p w14:paraId="678B2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9AC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8237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9FBC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39" w:type="dxa"/>
          </w:tcPr>
          <w:p w14:paraId="4B1F7C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0A7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2EFB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831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r>
      <w:tr w:rsidR="001002C3" w:rsidRPr="007122AB" w14:paraId="1288CE5B" w14:textId="77777777">
        <w:tc>
          <w:tcPr>
            <w:tcW w:w="534" w:type="dxa"/>
          </w:tcPr>
          <w:p w14:paraId="6BEBB8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567" w:type="dxa"/>
          </w:tcPr>
          <w:p w14:paraId="4D0B4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w:t>
            </w:r>
          </w:p>
        </w:tc>
        <w:tc>
          <w:tcPr>
            <w:tcW w:w="708" w:type="dxa"/>
          </w:tcPr>
          <w:p w14:paraId="443CE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Водяного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6F0F6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939" w:type="dxa"/>
          </w:tcPr>
          <w:p w14:paraId="3DE9F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6282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435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F72C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851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778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B68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48BB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4B7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7301F07" w14:textId="77777777">
        <w:tc>
          <w:tcPr>
            <w:tcW w:w="534" w:type="dxa"/>
          </w:tcPr>
          <w:p w14:paraId="256121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4A0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3D0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5E7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939" w:type="dxa"/>
          </w:tcPr>
          <w:p w14:paraId="0F976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FD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8DA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776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4A9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BA4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831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EB03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043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CAE148E" w14:textId="77777777">
        <w:tc>
          <w:tcPr>
            <w:tcW w:w="534" w:type="dxa"/>
          </w:tcPr>
          <w:p w14:paraId="0C234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F9AF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8C267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1AD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w:t>
            </w:r>
          </w:p>
        </w:tc>
        <w:tc>
          <w:tcPr>
            <w:tcW w:w="939" w:type="dxa"/>
          </w:tcPr>
          <w:p w14:paraId="720C5A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07A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429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6E05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D367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26A9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354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58F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882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CE908F4" w14:textId="77777777">
        <w:tc>
          <w:tcPr>
            <w:tcW w:w="534" w:type="dxa"/>
          </w:tcPr>
          <w:p w14:paraId="3D577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F72D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36F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5F9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939" w:type="dxa"/>
          </w:tcPr>
          <w:p w14:paraId="7C57EE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5EF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B6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398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939" w:type="dxa"/>
          </w:tcPr>
          <w:p w14:paraId="35B3A5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939" w:type="dxa"/>
          </w:tcPr>
          <w:p w14:paraId="47CE3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4175</w:t>
            </w:r>
          </w:p>
        </w:tc>
        <w:tc>
          <w:tcPr>
            <w:tcW w:w="939" w:type="dxa"/>
          </w:tcPr>
          <w:p w14:paraId="4C281C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недостаток замещается М17</w:t>
            </w:r>
          </w:p>
        </w:tc>
        <w:tc>
          <w:tcPr>
            <w:tcW w:w="939" w:type="dxa"/>
          </w:tcPr>
          <w:p w14:paraId="39D1D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644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9000</w:t>
            </w:r>
          </w:p>
        </w:tc>
      </w:tr>
      <w:tr w:rsidR="001002C3" w:rsidRPr="007122AB" w14:paraId="00636C4D" w14:textId="77777777">
        <w:tc>
          <w:tcPr>
            <w:tcW w:w="534" w:type="dxa"/>
          </w:tcPr>
          <w:p w14:paraId="33094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567" w:type="dxa"/>
          </w:tcPr>
          <w:p w14:paraId="066C1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708" w:type="dxa"/>
          </w:tcPr>
          <w:p w14:paraId="7C01CA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Водяного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6BC9D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A1E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6C5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5D4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12A8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EA3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A504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B832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765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0FC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9CBE52D" w14:textId="77777777">
        <w:tc>
          <w:tcPr>
            <w:tcW w:w="534" w:type="dxa"/>
          </w:tcPr>
          <w:p w14:paraId="013E82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1093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FA6E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FE2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Итого моторов водяного </w:t>
            </w: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w:t>
            </w:r>
          </w:p>
        </w:tc>
        <w:tc>
          <w:tcPr>
            <w:tcW w:w="939" w:type="dxa"/>
          </w:tcPr>
          <w:p w14:paraId="132EB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6ED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C56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3B6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CB5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939" w:type="dxa"/>
          </w:tcPr>
          <w:p w14:paraId="219871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7175</w:t>
            </w:r>
          </w:p>
        </w:tc>
        <w:tc>
          <w:tcPr>
            <w:tcW w:w="939" w:type="dxa"/>
          </w:tcPr>
          <w:p w14:paraId="703462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E0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5AAD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r>
      <w:tr w:rsidR="001002C3" w:rsidRPr="007122AB" w14:paraId="63DDA80C" w14:textId="77777777">
        <w:tc>
          <w:tcPr>
            <w:tcW w:w="534" w:type="dxa"/>
            <w:tcBorders>
              <w:bottom w:val="single" w:sz="12" w:space="0" w:color="auto"/>
            </w:tcBorders>
          </w:tcPr>
          <w:p w14:paraId="5E23C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CC4D5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4637C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435B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всех моторов</w:t>
            </w:r>
          </w:p>
        </w:tc>
        <w:tc>
          <w:tcPr>
            <w:tcW w:w="939" w:type="dxa"/>
            <w:tcBorders>
              <w:bottom w:val="single" w:sz="12" w:space="0" w:color="auto"/>
            </w:tcBorders>
          </w:tcPr>
          <w:p w14:paraId="7B680F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21DC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2C741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DB69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0F93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16000</w:t>
            </w:r>
          </w:p>
        </w:tc>
        <w:tc>
          <w:tcPr>
            <w:tcW w:w="939" w:type="dxa"/>
            <w:tcBorders>
              <w:bottom w:val="single" w:sz="12" w:space="0" w:color="auto"/>
            </w:tcBorders>
          </w:tcPr>
          <w:p w14:paraId="548898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14975</w:t>
            </w:r>
          </w:p>
        </w:tc>
        <w:tc>
          <w:tcPr>
            <w:tcW w:w="939" w:type="dxa"/>
            <w:tcBorders>
              <w:bottom w:val="single" w:sz="12" w:space="0" w:color="auto"/>
            </w:tcBorders>
          </w:tcPr>
          <w:p w14:paraId="1756C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760F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5E830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27700</w:t>
            </w:r>
          </w:p>
        </w:tc>
      </w:tr>
    </w:tbl>
    <w:p w14:paraId="4984B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1/ в графе потребность принят запас по учебным из числа выпускаемых</w:t>
      </w:r>
    </w:p>
    <w:p w14:paraId="0485B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Таблица </w:t>
      </w:r>
      <w:proofErr w:type="spellStart"/>
      <w:r w:rsidRPr="007122AB">
        <w:rPr>
          <w:rFonts w:ascii="Times New Roman" w:hAnsi="Times New Roman"/>
          <w:color w:val="000000" w:themeColor="text1"/>
          <w:sz w:val="16"/>
          <w:szCs w:val="16"/>
        </w:rPr>
        <w:t>расчитана</w:t>
      </w:r>
      <w:proofErr w:type="spellEnd"/>
      <w:r w:rsidRPr="007122AB">
        <w:rPr>
          <w:rFonts w:ascii="Times New Roman" w:hAnsi="Times New Roman"/>
          <w:color w:val="000000" w:themeColor="text1"/>
          <w:sz w:val="16"/>
          <w:szCs w:val="16"/>
        </w:rPr>
        <w:t xml:space="preserve"> на 1-й вариант строительства</w:t>
      </w:r>
    </w:p>
    <w:p w14:paraId="17CCE8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Программа получения моторов, необходимых ОКБ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19"/>
        <w:gridCol w:w="466"/>
        <w:gridCol w:w="466"/>
        <w:gridCol w:w="466"/>
        <w:gridCol w:w="466"/>
        <w:gridCol w:w="466"/>
        <w:gridCol w:w="466"/>
        <w:gridCol w:w="466"/>
        <w:gridCol w:w="466"/>
        <w:gridCol w:w="466"/>
        <w:gridCol w:w="466"/>
        <w:gridCol w:w="466"/>
        <w:gridCol w:w="466"/>
        <w:gridCol w:w="466"/>
        <w:gridCol w:w="466"/>
        <w:gridCol w:w="466"/>
        <w:gridCol w:w="466"/>
        <w:gridCol w:w="466"/>
        <w:gridCol w:w="466"/>
        <w:gridCol w:w="466"/>
      </w:tblGrid>
      <w:tr w:rsidR="001002C3" w:rsidRPr="007122AB" w14:paraId="223E6F0F" w14:textId="77777777">
        <w:tc>
          <w:tcPr>
            <w:tcW w:w="534" w:type="dxa"/>
            <w:tcBorders>
              <w:top w:val="single" w:sz="12" w:space="0" w:color="auto"/>
            </w:tcBorders>
          </w:tcPr>
          <w:p w14:paraId="2AFCD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1819" w:type="dxa"/>
            <w:tcBorders>
              <w:top w:val="single" w:sz="12" w:space="0" w:color="auto"/>
            </w:tcBorders>
          </w:tcPr>
          <w:p w14:paraId="40B1EB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мотора</w:t>
            </w:r>
          </w:p>
        </w:tc>
        <w:tc>
          <w:tcPr>
            <w:tcW w:w="2796" w:type="dxa"/>
            <w:gridSpan w:val="6"/>
            <w:tcBorders>
              <w:top w:val="single" w:sz="12" w:space="0" w:color="auto"/>
            </w:tcBorders>
          </w:tcPr>
          <w:p w14:paraId="04AAD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6058" w:type="dxa"/>
            <w:gridSpan w:val="13"/>
            <w:tcBorders>
              <w:top w:val="single" w:sz="12" w:space="0" w:color="auto"/>
            </w:tcBorders>
          </w:tcPr>
          <w:p w14:paraId="2A3DDC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r>
      <w:tr w:rsidR="001002C3" w:rsidRPr="007122AB" w14:paraId="203DD405" w14:textId="77777777">
        <w:tc>
          <w:tcPr>
            <w:tcW w:w="534" w:type="dxa"/>
          </w:tcPr>
          <w:p w14:paraId="50375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Pr>
          <w:p w14:paraId="765F65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D0E7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1D3DA4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466" w:type="dxa"/>
          </w:tcPr>
          <w:p w14:paraId="60ED4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466" w:type="dxa"/>
          </w:tcPr>
          <w:p w14:paraId="09D462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466" w:type="dxa"/>
          </w:tcPr>
          <w:p w14:paraId="33D5D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2D2A4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66" w:type="dxa"/>
          </w:tcPr>
          <w:p w14:paraId="4ABB9C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1A7FDE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368C9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4AC775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466" w:type="dxa"/>
          </w:tcPr>
          <w:p w14:paraId="60F3D8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66" w:type="dxa"/>
          </w:tcPr>
          <w:p w14:paraId="05B5B8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276E5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466" w:type="dxa"/>
          </w:tcPr>
          <w:p w14:paraId="4F3D27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781DA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466" w:type="dxa"/>
          </w:tcPr>
          <w:p w14:paraId="23A4A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466" w:type="dxa"/>
          </w:tcPr>
          <w:p w14:paraId="7F960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466" w:type="dxa"/>
          </w:tcPr>
          <w:p w14:paraId="392A1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1EFE6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r>
      <w:tr w:rsidR="001002C3" w:rsidRPr="007122AB" w14:paraId="08F59A7B" w14:textId="77777777">
        <w:tc>
          <w:tcPr>
            <w:tcW w:w="534" w:type="dxa"/>
          </w:tcPr>
          <w:p w14:paraId="7EFB7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819" w:type="dxa"/>
          </w:tcPr>
          <w:p w14:paraId="0FD18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 без ред.</w:t>
            </w:r>
          </w:p>
        </w:tc>
        <w:tc>
          <w:tcPr>
            <w:tcW w:w="466" w:type="dxa"/>
          </w:tcPr>
          <w:p w14:paraId="7525D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5A0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632A00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616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7DB6EE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6DE22B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18BD6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AED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80B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43F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67E827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419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0056F0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4F15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4F0B8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AE1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2A3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2212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25B7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1002C3" w:rsidRPr="007122AB" w14:paraId="166F5627" w14:textId="77777777">
        <w:tc>
          <w:tcPr>
            <w:tcW w:w="534" w:type="dxa"/>
          </w:tcPr>
          <w:p w14:paraId="513419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819" w:type="dxa"/>
          </w:tcPr>
          <w:p w14:paraId="56B9B1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 без ред.</w:t>
            </w:r>
          </w:p>
        </w:tc>
        <w:tc>
          <w:tcPr>
            <w:tcW w:w="466" w:type="dxa"/>
          </w:tcPr>
          <w:p w14:paraId="2CE5C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01F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4E78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6880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1A5A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186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BC14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69D5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4B1E1F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9AD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7169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EEA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06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8367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18A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DC85E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E63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257B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04DB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0272B9B7" w14:textId="77777777">
        <w:tc>
          <w:tcPr>
            <w:tcW w:w="534" w:type="dxa"/>
          </w:tcPr>
          <w:p w14:paraId="4848E4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819" w:type="dxa"/>
          </w:tcPr>
          <w:p w14:paraId="2F6902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 с ред.</w:t>
            </w:r>
          </w:p>
        </w:tc>
        <w:tc>
          <w:tcPr>
            <w:tcW w:w="466" w:type="dxa"/>
          </w:tcPr>
          <w:p w14:paraId="6A9987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F44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0CF9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C89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440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5F6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2477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064F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23120B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576A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AA2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66" w:type="dxa"/>
          </w:tcPr>
          <w:p w14:paraId="34705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6316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3B4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E63E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01AA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9047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640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C1C3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r>
      <w:tr w:rsidR="001002C3" w:rsidRPr="007122AB" w14:paraId="14D66E37" w14:textId="77777777">
        <w:tc>
          <w:tcPr>
            <w:tcW w:w="534" w:type="dxa"/>
          </w:tcPr>
          <w:p w14:paraId="064B4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1819" w:type="dxa"/>
          </w:tcPr>
          <w:p w14:paraId="11D09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М34 без ред. и </w:t>
            </w:r>
            <w:proofErr w:type="spellStart"/>
            <w:r w:rsidRPr="007122AB">
              <w:rPr>
                <w:rFonts w:ascii="Times New Roman" w:hAnsi="Times New Roman"/>
                <w:color w:val="000000" w:themeColor="text1"/>
                <w:sz w:val="16"/>
                <w:szCs w:val="16"/>
              </w:rPr>
              <w:t>нагн</w:t>
            </w:r>
            <w:proofErr w:type="spellEnd"/>
            <w:r w:rsidRPr="007122AB">
              <w:rPr>
                <w:rFonts w:ascii="Times New Roman" w:hAnsi="Times New Roman"/>
                <w:color w:val="000000" w:themeColor="text1"/>
                <w:sz w:val="16"/>
                <w:szCs w:val="16"/>
              </w:rPr>
              <w:t>.</w:t>
            </w:r>
          </w:p>
        </w:tc>
        <w:tc>
          <w:tcPr>
            <w:tcW w:w="466" w:type="dxa"/>
          </w:tcPr>
          <w:p w14:paraId="0AC98D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349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0E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C2BF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395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0BF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9510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A34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785376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032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A94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0982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E29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62D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6E0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B1B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D57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5C1D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D83E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4DDCD3C4" w14:textId="77777777">
        <w:tc>
          <w:tcPr>
            <w:tcW w:w="534" w:type="dxa"/>
          </w:tcPr>
          <w:p w14:paraId="014ED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1819" w:type="dxa"/>
          </w:tcPr>
          <w:p w14:paraId="49CD73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 с нагнет.</w:t>
            </w:r>
          </w:p>
        </w:tc>
        <w:tc>
          <w:tcPr>
            <w:tcW w:w="466" w:type="dxa"/>
          </w:tcPr>
          <w:p w14:paraId="69DFEB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4ACD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B81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D9E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D2D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8BA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C17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81D0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2CA8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424E8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EF2E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C83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D6CF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F4A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301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68E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E5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66794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211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r>
      <w:tr w:rsidR="001002C3" w:rsidRPr="007122AB" w14:paraId="3E4A2097" w14:textId="77777777">
        <w:tc>
          <w:tcPr>
            <w:tcW w:w="534" w:type="dxa"/>
          </w:tcPr>
          <w:p w14:paraId="2BB4E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1819" w:type="dxa"/>
          </w:tcPr>
          <w:p w14:paraId="55A4D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 с ред. и нагнет.</w:t>
            </w:r>
          </w:p>
        </w:tc>
        <w:tc>
          <w:tcPr>
            <w:tcW w:w="466" w:type="dxa"/>
          </w:tcPr>
          <w:p w14:paraId="2EDCBE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80B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32C1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3015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C6E1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D7C7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FA3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43FC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43F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A389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E291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0693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4F2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618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C6A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2E9C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260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0D6302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66A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r>
      <w:tr w:rsidR="001002C3" w:rsidRPr="007122AB" w14:paraId="7BCAEF3B" w14:textId="77777777">
        <w:tc>
          <w:tcPr>
            <w:tcW w:w="534" w:type="dxa"/>
          </w:tcPr>
          <w:p w14:paraId="3CD12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1819" w:type="dxa"/>
          </w:tcPr>
          <w:p w14:paraId="3E026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 без ред.</w:t>
            </w:r>
          </w:p>
        </w:tc>
        <w:tc>
          <w:tcPr>
            <w:tcW w:w="466" w:type="dxa"/>
          </w:tcPr>
          <w:p w14:paraId="7CD3F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40A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D61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486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E13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3CD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A3A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D94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8ED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C90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42D7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5ED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D28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CB5F4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6C1B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56B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29EB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4F20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9615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AF302AC" w14:textId="77777777">
        <w:tc>
          <w:tcPr>
            <w:tcW w:w="534" w:type="dxa"/>
          </w:tcPr>
          <w:p w14:paraId="334892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819" w:type="dxa"/>
          </w:tcPr>
          <w:p w14:paraId="022F2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 с ред.</w:t>
            </w:r>
          </w:p>
        </w:tc>
        <w:tc>
          <w:tcPr>
            <w:tcW w:w="466" w:type="dxa"/>
          </w:tcPr>
          <w:p w14:paraId="66786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3231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6E6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FB4F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263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0F40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355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6AF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C0F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B7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03574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BECA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7767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B85B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8C9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819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E21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7A8B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52F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5F2A8151" w14:textId="77777777">
        <w:tc>
          <w:tcPr>
            <w:tcW w:w="534" w:type="dxa"/>
          </w:tcPr>
          <w:p w14:paraId="57BA8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1819" w:type="dxa"/>
          </w:tcPr>
          <w:p w14:paraId="2A210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 с ред.</w:t>
            </w:r>
          </w:p>
        </w:tc>
        <w:tc>
          <w:tcPr>
            <w:tcW w:w="466" w:type="dxa"/>
          </w:tcPr>
          <w:p w14:paraId="4F909D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E96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D9E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B0D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DE6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9FAC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A80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BDBA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A60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A85C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EC7B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577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FB6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9A1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AC3D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BC6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645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8076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5F11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6FA2C4D" w14:textId="77777777">
        <w:tc>
          <w:tcPr>
            <w:tcW w:w="534" w:type="dxa"/>
          </w:tcPr>
          <w:p w14:paraId="7CAFDA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819" w:type="dxa"/>
          </w:tcPr>
          <w:p w14:paraId="015AF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 без ред.</w:t>
            </w:r>
          </w:p>
        </w:tc>
        <w:tc>
          <w:tcPr>
            <w:tcW w:w="466" w:type="dxa"/>
          </w:tcPr>
          <w:p w14:paraId="1953F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C63F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789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30B7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0E0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CB6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4180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D96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DD67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E7DD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2CA7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124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09B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C670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DB52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4CE80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BB8E9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E28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DF70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16FC8BDE" w14:textId="77777777">
        <w:tc>
          <w:tcPr>
            <w:tcW w:w="534" w:type="dxa"/>
          </w:tcPr>
          <w:p w14:paraId="468241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1819" w:type="dxa"/>
          </w:tcPr>
          <w:p w14:paraId="0E0AD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М32 с ред. и </w:t>
            </w:r>
            <w:proofErr w:type="spellStart"/>
            <w:r w:rsidRPr="007122AB">
              <w:rPr>
                <w:rFonts w:ascii="Times New Roman" w:hAnsi="Times New Roman"/>
                <w:color w:val="000000" w:themeColor="text1"/>
                <w:sz w:val="16"/>
                <w:szCs w:val="16"/>
              </w:rPr>
              <w:t>нагн</w:t>
            </w:r>
            <w:proofErr w:type="spellEnd"/>
            <w:r w:rsidRPr="007122AB">
              <w:rPr>
                <w:rFonts w:ascii="Times New Roman" w:hAnsi="Times New Roman"/>
                <w:color w:val="000000" w:themeColor="text1"/>
                <w:sz w:val="16"/>
                <w:szCs w:val="16"/>
              </w:rPr>
              <w:t>.</w:t>
            </w:r>
          </w:p>
        </w:tc>
        <w:tc>
          <w:tcPr>
            <w:tcW w:w="466" w:type="dxa"/>
          </w:tcPr>
          <w:p w14:paraId="509F29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177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92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6A8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5064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2AD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0BC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BD3F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26AB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7B34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9C1A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B96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03939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677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F6B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00339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E86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FEF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BAA9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51CD5270" w14:textId="77777777">
        <w:tc>
          <w:tcPr>
            <w:tcW w:w="534" w:type="dxa"/>
          </w:tcPr>
          <w:p w14:paraId="718E88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819" w:type="dxa"/>
          </w:tcPr>
          <w:p w14:paraId="040F1A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 без ред.</w:t>
            </w:r>
          </w:p>
        </w:tc>
        <w:tc>
          <w:tcPr>
            <w:tcW w:w="466" w:type="dxa"/>
          </w:tcPr>
          <w:p w14:paraId="527F6E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AD2D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B88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41E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075A4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466" w:type="dxa"/>
          </w:tcPr>
          <w:p w14:paraId="2D180F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466" w:type="dxa"/>
          </w:tcPr>
          <w:p w14:paraId="0F0A9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466" w:type="dxa"/>
          </w:tcPr>
          <w:p w14:paraId="24AAA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41C475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E20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7AD7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A59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CCDF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48DA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E5C6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0504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5E9C5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E3C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5751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r>
      <w:tr w:rsidR="001002C3" w:rsidRPr="007122AB" w14:paraId="54ED5286" w14:textId="77777777">
        <w:tc>
          <w:tcPr>
            <w:tcW w:w="534" w:type="dxa"/>
          </w:tcPr>
          <w:p w14:paraId="4CE07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1819" w:type="dxa"/>
          </w:tcPr>
          <w:p w14:paraId="593762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 с ред.</w:t>
            </w:r>
          </w:p>
        </w:tc>
        <w:tc>
          <w:tcPr>
            <w:tcW w:w="466" w:type="dxa"/>
          </w:tcPr>
          <w:p w14:paraId="3CCFD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A08B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1EC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5BD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DD9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377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BE1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8B0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494A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BC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9F1C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0A10EB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28E4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CD14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9E4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384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499D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1B7F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02A1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0BEA6FF4" w14:textId="77777777">
        <w:tc>
          <w:tcPr>
            <w:tcW w:w="534" w:type="dxa"/>
          </w:tcPr>
          <w:p w14:paraId="2F83B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1819" w:type="dxa"/>
          </w:tcPr>
          <w:p w14:paraId="6AA0FF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466" w:type="dxa"/>
          </w:tcPr>
          <w:p w14:paraId="3D7B3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F04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2E29D3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A408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ECD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28928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66" w:type="dxa"/>
          </w:tcPr>
          <w:p w14:paraId="17661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CD4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F2B5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178F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F69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BD51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DA1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408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FCA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FE93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65A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9BF3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D3A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6D46BD6F" w14:textId="77777777">
        <w:tc>
          <w:tcPr>
            <w:tcW w:w="534" w:type="dxa"/>
          </w:tcPr>
          <w:p w14:paraId="3BD588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1819" w:type="dxa"/>
          </w:tcPr>
          <w:p w14:paraId="09EE24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466" w:type="dxa"/>
          </w:tcPr>
          <w:p w14:paraId="0FF25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32C8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411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6D2AF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91C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65D0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45046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C33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C8F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ED4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E95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F10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2493B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083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8F72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389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50F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258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DC52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3DFF29D7" w14:textId="77777777">
        <w:tc>
          <w:tcPr>
            <w:tcW w:w="534" w:type="dxa"/>
          </w:tcPr>
          <w:p w14:paraId="4DDE2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1819" w:type="dxa"/>
          </w:tcPr>
          <w:p w14:paraId="5F782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466" w:type="dxa"/>
          </w:tcPr>
          <w:p w14:paraId="1E79BE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9D1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730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DAD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0E019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57F6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1CA8F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198DAC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253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3C1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8CB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DFBB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290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D5F1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A354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DD4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ABE4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6E3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092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48353EDD" w14:textId="77777777">
        <w:tc>
          <w:tcPr>
            <w:tcW w:w="534" w:type="dxa"/>
          </w:tcPr>
          <w:p w14:paraId="00F4F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1819" w:type="dxa"/>
          </w:tcPr>
          <w:p w14:paraId="50819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w:t>
            </w:r>
          </w:p>
        </w:tc>
        <w:tc>
          <w:tcPr>
            <w:tcW w:w="466" w:type="dxa"/>
          </w:tcPr>
          <w:p w14:paraId="165C1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47D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F6C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4522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58F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535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8AFC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0EDC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29B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DA0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E7C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CDD2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1E4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224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160A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ABD6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4E8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A52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487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45B578" w14:textId="77777777">
        <w:tc>
          <w:tcPr>
            <w:tcW w:w="534" w:type="dxa"/>
          </w:tcPr>
          <w:p w14:paraId="3DB98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1819" w:type="dxa"/>
          </w:tcPr>
          <w:p w14:paraId="11AF51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 Ж6</w:t>
            </w:r>
          </w:p>
        </w:tc>
        <w:tc>
          <w:tcPr>
            <w:tcW w:w="466" w:type="dxa"/>
          </w:tcPr>
          <w:p w14:paraId="0DDE7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404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F591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C8C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106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6D0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24FE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512B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F95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8626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909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8AE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117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FF0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D79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400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307DF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E7F4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9F4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0E8EF563" w14:textId="77777777">
        <w:tc>
          <w:tcPr>
            <w:tcW w:w="534" w:type="dxa"/>
          </w:tcPr>
          <w:p w14:paraId="7B4F8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819" w:type="dxa"/>
          </w:tcPr>
          <w:p w14:paraId="35AA2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466" w:type="dxa"/>
          </w:tcPr>
          <w:p w14:paraId="5B50A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885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613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68562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5DE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EED6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6AA07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7B2D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8486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15E1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7F9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38E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597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4069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21F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2EF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8A9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09E2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38FE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770EFAC" w14:textId="77777777">
        <w:tc>
          <w:tcPr>
            <w:tcW w:w="534" w:type="dxa"/>
          </w:tcPr>
          <w:p w14:paraId="1D6895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1819" w:type="dxa"/>
          </w:tcPr>
          <w:p w14:paraId="5048C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 спец.</w:t>
            </w:r>
          </w:p>
        </w:tc>
        <w:tc>
          <w:tcPr>
            <w:tcW w:w="466" w:type="dxa"/>
          </w:tcPr>
          <w:p w14:paraId="143C8B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2D6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80A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354D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8E5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517D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56E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1A4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E872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6E1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8C7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E06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DE4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4EF7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74D8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B56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508F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49999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471E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48911DF2" w14:textId="77777777">
        <w:tc>
          <w:tcPr>
            <w:tcW w:w="534" w:type="dxa"/>
            <w:tcBorders>
              <w:bottom w:val="single" w:sz="12" w:space="0" w:color="auto"/>
            </w:tcBorders>
          </w:tcPr>
          <w:p w14:paraId="22A77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bottom w:val="single" w:sz="12" w:space="0" w:color="auto"/>
            </w:tcBorders>
          </w:tcPr>
          <w:p w14:paraId="0DFFD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66" w:type="dxa"/>
            <w:tcBorders>
              <w:bottom w:val="single" w:sz="12" w:space="0" w:color="auto"/>
            </w:tcBorders>
          </w:tcPr>
          <w:p w14:paraId="2BDA30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C7C3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43AB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C09EF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4368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B393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466" w:type="dxa"/>
            <w:tcBorders>
              <w:bottom w:val="single" w:sz="12" w:space="0" w:color="auto"/>
            </w:tcBorders>
          </w:tcPr>
          <w:p w14:paraId="0E15A1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EE812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81BDD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00B4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C204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945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E450C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A05E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08273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7867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2B4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FCCD5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02AE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0236A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1/ В настоящую таблицу включены моторы для программных заданий</w:t>
      </w:r>
    </w:p>
    <w:p w14:paraId="06D5D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Некоторые цифры </w:t>
      </w:r>
      <w:proofErr w:type="spellStart"/>
      <w:r w:rsidRPr="007122AB">
        <w:rPr>
          <w:rFonts w:ascii="Times New Roman" w:hAnsi="Times New Roman"/>
          <w:color w:val="000000" w:themeColor="text1"/>
          <w:sz w:val="16"/>
          <w:szCs w:val="16"/>
        </w:rPr>
        <w:t>даети</w:t>
      </w:r>
      <w:proofErr w:type="spellEnd"/>
      <w:r w:rsidRPr="007122AB">
        <w:rPr>
          <w:rFonts w:ascii="Times New Roman" w:hAnsi="Times New Roman"/>
          <w:color w:val="000000" w:themeColor="text1"/>
          <w:sz w:val="16"/>
          <w:szCs w:val="16"/>
        </w:rPr>
        <w:t xml:space="preserve"> ЦИАМ (351).</w:t>
      </w:r>
    </w:p>
    <w:p w14:paraId="55BA65E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E54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в систему ВАО были переданы ЦАГИ и ЦИАМ (80,417).</w:t>
      </w:r>
    </w:p>
    <w:p w14:paraId="78148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DBD73A" w14:textId="77777777" w:rsidR="00190C71" w:rsidRPr="009F5089" w:rsidRDefault="00190C71" w:rsidP="00190C71">
      <w:pPr>
        <w:spacing w:after="0" w:line="240" w:lineRule="auto"/>
        <w:jc w:val="both"/>
        <w:rPr>
          <w:rFonts w:ascii="Times New Roman" w:hAnsi="Times New Roman"/>
          <w:color w:val="0070C0"/>
          <w:sz w:val="16"/>
          <w:szCs w:val="16"/>
        </w:rPr>
      </w:pPr>
      <w:r>
        <w:rPr>
          <w:rFonts w:ascii="Times New Roman" w:hAnsi="Times New Roman"/>
          <w:color w:val="0070C0"/>
          <w:sz w:val="16"/>
          <w:szCs w:val="16"/>
        </w:rPr>
        <w:t>23 августа 1931 г. в</w:t>
      </w:r>
      <w:r w:rsidRPr="009F5089">
        <w:rPr>
          <w:rFonts w:ascii="Times New Roman" w:hAnsi="Times New Roman"/>
          <w:color w:val="0070C0"/>
          <w:sz w:val="16"/>
          <w:szCs w:val="16"/>
        </w:rPr>
        <w:t xml:space="preserve"> Ленинграде, </w:t>
      </w:r>
      <w:r>
        <w:rPr>
          <w:rFonts w:ascii="Times New Roman" w:hAnsi="Times New Roman"/>
          <w:color w:val="0070C0"/>
          <w:sz w:val="16"/>
          <w:szCs w:val="16"/>
        </w:rPr>
        <w:t>н</w:t>
      </w:r>
      <w:r w:rsidRPr="009F5089">
        <w:rPr>
          <w:rFonts w:ascii="Times New Roman" w:hAnsi="Times New Roman"/>
          <w:color w:val="0070C0"/>
          <w:sz w:val="16"/>
          <w:szCs w:val="16"/>
        </w:rPr>
        <w:t xml:space="preserve">а заводе имени </w:t>
      </w:r>
      <w:proofErr w:type="spellStart"/>
      <w:r w:rsidRPr="009F5089">
        <w:rPr>
          <w:rFonts w:ascii="Times New Roman" w:hAnsi="Times New Roman"/>
          <w:color w:val="0070C0"/>
          <w:sz w:val="16"/>
          <w:szCs w:val="16"/>
        </w:rPr>
        <w:t>К.Е.Воро</w:t>
      </w:r>
      <w:r>
        <w:rPr>
          <w:rFonts w:ascii="Times New Roman" w:hAnsi="Times New Roman"/>
          <w:color w:val="0070C0"/>
          <w:sz w:val="16"/>
          <w:szCs w:val="16"/>
        </w:rPr>
        <w:t>ши</w:t>
      </w:r>
      <w:r w:rsidRPr="009F5089">
        <w:rPr>
          <w:rFonts w:ascii="Times New Roman" w:hAnsi="Times New Roman"/>
          <w:color w:val="0070C0"/>
          <w:sz w:val="16"/>
          <w:szCs w:val="16"/>
        </w:rPr>
        <w:t>лова</w:t>
      </w:r>
      <w:proofErr w:type="spellEnd"/>
      <w:r w:rsidRPr="009F5089">
        <w:rPr>
          <w:rFonts w:ascii="Times New Roman" w:hAnsi="Times New Roman"/>
          <w:color w:val="0070C0"/>
          <w:sz w:val="16"/>
          <w:szCs w:val="16"/>
        </w:rPr>
        <w:t xml:space="preserve"> получен </w:t>
      </w:r>
      <w:r>
        <w:rPr>
          <w:rFonts w:ascii="Times New Roman" w:hAnsi="Times New Roman"/>
          <w:color w:val="0070C0"/>
          <w:sz w:val="16"/>
          <w:szCs w:val="16"/>
        </w:rPr>
        <w:t>сплав</w:t>
      </w:r>
      <w:r w:rsidRPr="009F5089">
        <w:rPr>
          <w:rFonts w:ascii="Times New Roman" w:hAnsi="Times New Roman"/>
          <w:color w:val="0070C0"/>
          <w:sz w:val="16"/>
          <w:szCs w:val="16"/>
        </w:rPr>
        <w:t xml:space="preserve"> для самолетостроения - "</w:t>
      </w:r>
      <w:proofErr w:type="spellStart"/>
      <w:r w:rsidRPr="009F5089">
        <w:rPr>
          <w:rFonts w:ascii="Times New Roman" w:hAnsi="Times New Roman"/>
          <w:color w:val="0070C0"/>
          <w:sz w:val="16"/>
          <w:szCs w:val="16"/>
        </w:rPr>
        <w:t>альплата</w:t>
      </w:r>
      <w:proofErr w:type="spellEnd"/>
      <w:r w:rsidRPr="009F5089">
        <w:rPr>
          <w:rFonts w:ascii="Times New Roman" w:hAnsi="Times New Roman"/>
          <w:color w:val="0070C0"/>
          <w:sz w:val="16"/>
          <w:szCs w:val="16"/>
        </w:rPr>
        <w:t>-</w:t>
      </w:r>
      <w:r>
        <w:rPr>
          <w:rFonts w:ascii="Times New Roman" w:hAnsi="Times New Roman"/>
          <w:color w:val="0070C0"/>
          <w:sz w:val="16"/>
          <w:szCs w:val="16"/>
        </w:rPr>
        <w:t>Ц</w:t>
      </w:r>
      <w:r w:rsidRPr="009F5089">
        <w:rPr>
          <w:rFonts w:ascii="Times New Roman" w:hAnsi="Times New Roman"/>
          <w:color w:val="0070C0"/>
          <w:sz w:val="16"/>
          <w:szCs w:val="16"/>
        </w:rPr>
        <w:t xml:space="preserve">АГИ", представляющий </w:t>
      </w:r>
      <w:r>
        <w:rPr>
          <w:rFonts w:ascii="Times New Roman" w:hAnsi="Times New Roman"/>
          <w:color w:val="0070C0"/>
          <w:sz w:val="16"/>
          <w:szCs w:val="16"/>
        </w:rPr>
        <w:t>собой</w:t>
      </w:r>
      <w:r w:rsidRPr="009F5089">
        <w:rPr>
          <w:rFonts w:ascii="Times New Roman" w:hAnsi="Times New Roman"/>
          <w:color w:val="0070C0"/>
          <w:sz w:val="16"/>
          <w:szCs w:val="16"/>
        </w:rPr>
        <w:t xml:space="preserve"> </w:t>
      </w:r>
      <w:r>
        <w:rPr>
          <w:rFonts w:ascii="Times New Roman" w:hAnsi="Times New Roman"/>
          <w:color w:val="0070C0"/>
          <w:sz w:val="16"/>
          <w:szCs w:val="16"/>
        </w:rPr>
        <w:t>с</w:t>
      </w:r>
      <w:r w:rsidRPr="009F5089">
        <w:rPr>
          <w:rFonts w:ascii="Times New Roman" w:hAnsi="Times New Roman"/>
          <w:color w:val="0070C0"/>
          <w:sz w:val="16"/>
          <w:szCs w:val="16"/>
        </w:rPr>
        <w:t>плав алюминия высокой прочности,</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защищенный снаружи чистым </w:t>
      </w:r>
      <w:r>
        <w:rPr>
          <w:rFonts w:ascii="Times New Roman" w:hAnsi="Times New Roman"/>
          <w:color w:val="0070C0"/>
          <w:sz w:val="16"/>
          <w:szCs w:val="16"/>
        </w:rPr>
        <w:t>алюминием</w:t>
      </w:r>
      <w:r w:rsidRPr="009F5089">
        <w:rPr>
          <w:rFonts w:ascii="Times New Roman" w:hAnsi="Times New Roman"/>
          <w:color w:val="0070C0"/>
          <w:sz w:val="16"/>
          <w:szCs w:val="16"/>
        </w:rPr>
        <w:t>. По</w:t>
      </w:r>
      <w:r>
        <w:rPr>
          <w:rFonts w:ascii="Times New Roman" w:hAnsi="Times New Roman"/>
          <w:color w:val="0070C0"/>
          <w:sz w:val="16"/>
          <w:szCs w:val="16"/>
        </w:rPr>
        <w:t>л</w:t>
      </w:r>
      <w:r w:rsidRPr="009F5089">
        <w:rPr>
          <w:rFonts w:ascii="Times New Roman" w:hAnsi="Times New Roman"/>
          <w:color w:val="0070C0"/>
          <w:sz w:val="16"/>
          <w:szCs w:val="16"/>
        </w:rPr>
        <w:t>у</w:t>
      </w:r>
      <w:r>
        <w:rPr>
          <w:rFonts w:ascii="Times New Roman" w:hAnsi="Times New Roman"/>
          <w:color w:val="0070C0"/>
          <w:sz w:val="16"/>
          <w:szCs w:val="16"/>
        </w:rPr>
        <w:t xml:space="preserve">чены </w:t>
      </w:r>
      <w:r w:rsidRPr="009F5089">
        <w:rPr>
          <w:rFonts w:ascii="Times New Roman" w:hAnsi="Times New Roman"/>
          <w:color w:val="0070C0"/>
          <w:sz w:val="16"/>
          <w:szCs w:val="16"/>
        </w:rPr>
        <w:t xml:space="preserve">также и полуфабрикаты из </w:t>
      </w:r>
      <w:r>
        <w:rPr>
          <w:rFonts w:ascii="Times New Roman" w:hAnsi="Times New Roman"/>
          <w:color w:val="0070C0"/>
          <w:sz w:val="16"/>
          <w:szCs w:val="16"/>
        </w:rPr>
        <w:t>н</w:t>
      </w:r>
      <w:r w:rsidRPr="009F5089">
        <w:rPr>
          <w:rFonts w:ascii="Times New Roman" w:hAnsi="Times New Roman"/>
          <w:color w:val="0070C0"/>
          <w:sz w:val="16"/>
          <w:szCs w:val="16"/>
        </w:rPr>
        <w:t>е</w:t>
      </w:r>
      <w:r>
        <w:rPr>
          <w:rFonts w:ascii="Times New Roman" w:hAnsi="Times New Roman"/>
          <w:color w:val="0070C0"/>
          <w:sz w:val="16"/>
          <w:szCs w:val="16"/>
        </w:rPr>
        <w:t>г</w:t>
      </w:r>
      <w:r w:rsidRPr="009F5089">
        <w:rPr>
          <w:rFonts w:ascii="Times New Roman" w:hAnsi="Times New Roman"/>
          <w:color w:val="0070C0"/>
          <w:sz w:val="16"/>
          <w:szCs w:val="16"/>
        </w:rPr>
        <w:t>о: листы,</w:t>
      </w:r>
      <w:r>
        <w:rPr>
          <w:rFonts w:ascii="Times New Roman" w:hAnsi="Times New Roman"/>
          <w:color w:val="0070C0"/>
          <w:sz w:val="16"/>
          <w:szCs w:val="16"/>
        </w:rPr>
        <w:t xml:space="preserve"> </w:t>
      </w:r>
      <w:r w:rsidRPr="009F5089">
        <w:rPr>
          <w:rFonts w:ascii="Times New Roman" w:hAnsi="Times New Roman"/>
          <w:color w:val="0070C0"/>
          <w:sz w:val="16"/>
          <w:szCs w:val="16"/>
        </w:rPr>
        <w:t>гофр, про</w:t>
      </w:r>
      <w:r>
        <w:rPr>
          <w:rFonts w:ascii="Times New Roman" w:hAnsi="Times New Roman"/>
          <w:color w:val="0070C0"/>
          <w:sz w:val="16"/>
          <w:szCs w:val="16"/>
        </w:rPr>
        <w:t>кат. ЦАГИ</w:t>
      </w:r>
      <w:r w:rsidRPr="009F5089">
        <w:rPr>
          <w:rFonts w:ascii="Times New Roman" w:hAnsi="Times New Roman"/>
          <w:color w:val="0070C0"/>
          <w:sz w:val="16"/>
          <w:szCs w:val="16"/>
        </w:rPr>
        <w:t xml:space="preserve"> счел необходимым прекратить производство дюралюминия </w:t>
      </w:r>
      <w:r>
        <w:rPr>
          <w:rFonts w:ascii="Times New Roman" w:hAnsi="Times New Roman"/>
          <w:color w:val="0070C0"/>
          <w:sz w:val="16"/>
          <w:szCs w:val="16"/>
        </w:rPr>
        <w:t>и перевести</w:t>
      </w:r>
      <w:r w:rsidRPr="009F5089">
        <w:rPr>
          <w:rFonts w:ascii="Times New Roman" w:hAnsi="Times New Roman"/>
          <w:color w:val="0070C0"/>
          <w:sz w:val="16"/>
          <w:szCs w:val="16"/>
        </w:rPr>
        <w:t xml:space="preserve"> все завод</w:t>
      </w:r>
      <w:r>
        <w:rPr>
          <w:rFonts w:ascii="Times New Roman" w:hAnsi="Times New Roman"/>
          <w:color w:val="0070C0"/>
          <w:sz w:val="16"/>
          <w:szCs w:val="16"/>
        </w:rPr>
        <w:t>ы</w:t>
      </w:r>
      <w:r w:rsidRPr="009F5089">
        <w:rPr>
          <w:rFonts w:ascii="Times New Roman" w:hAnsi="Times New Roman"/>
          <w:color w:val="0070C0"/>
          <w:sz w:val="16"/>
          <w:szCs w:val="16"/>
        </w:rPr>
        <w:t xml:space="preserve"> на производство "</w:t>
      </w:r>
      <w:proofErr w:type="spellStart"/>
      <w:r w:rsidRPr="009F5089">
        <w:rPr>
          <w:rFonts w:ascii="Times New Roman" w:hAnsi="Times New Roman"/>
          <w:color w:val="0070C0"/>
          <w:sz w:val="16"/>
          <w:szCs w:val="16"/>
        </w:rPr>
        <w:t>альплата</w:t>
      </w:r>
      <w:proofErr w:type="spellEnd"/>
      <w:r w:rsidRPr="009F5089">
        <w:rPr>
          <w:rFonts w:ascii="Times New Roman" w:hAnsi="Times New Roman"/>
          <w:color w:val="0070C0"/>
          <w:sz w:val="16"/>
          <w:szCs w:val="16"/>
        </w:rPr>
        <w:t>-</w:t>
      </w:r>
      <w:r>
        <w:rPr>
          <w:rFonts w:ascii="Times New Roman" w:hAnsi="Times New Roman"/>
          <w:color w:val="0070C0"/>
          <w:sz w:val="16"/>
          <w:szCs w:val="16"/>
        </w:rPr>
        <w:t>ЦАГИ</w:t>
      </w:r>
      <w:r w:rsidRPr="009F5089">
        <w:rPr>
          <w:rFonts w:ascii="Times New Roman" w:hAnsi="Times New Roman"/>
          <w:color w:val="0070C0"/>
          <w:sz w:val="16"/>
          <w:szCs w:val="16"/>
        </w:rPr>
        <w:t>".</w:t>
      </w:r>
    </w:p>
    <w:p w14:paraId="6CDCAB14" w14:textId="77777777" w:rsidR="00190C71" w:rsidRDefault="00190C71" w:rsidP="00190C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/«Известия ЦИК СССР</w:t>
      </w:r>
      <w:r>
        <w:rPr>
          <w:rFonts w:ascii="Times New Roman" w:hAnsi="Times New Roman"/>
          <w:color w:val="0070C0"/>
          <w:sz w:val="16"/>
          <w:szCs w:val="16"/>
        </w:rPr>
        <w:t>»</w:t>
      </w:r>
      <w:r w:rsidRPr="009F5089">
        <w:rPr>
          <w:rFonts w:ascii="Times New Roman" w:hAnsi="Times New Roman"/>
          <w:color w:val="0070C0"/>
          <w:sz w:val="16"/>
          <w:szCs w:val="16"/>
        </w:rPr>
        <w:t xml:space="preserve"> за 22 августа 1931;</w:t>
      </w:r>
      <w:r>
        <w:rPr>
          <w:rFonts w:ascii="Times New Roman" w:hAnsi="Times New Roman"/>
          <w:color w:val="0070C0"/>
          <w:sz w:val="16"/>
          <w:szCs w:val="16"/>
        </w:rPr>
        <w:t xml:space="preserve"> </w:t>
      </w:r>
      <w:r w:rsidRPr="009F5089">
        <w:rPr>
          <w:rFonts w:ascii="Times New Roman" w:hAnsi="Times New Roman"/>
          <w:color w:val="0070C0"/>
          <w:sz w:val="16"/>
          <w:szCs w:val="16"/>
        </w:rPr>
        <w:t>рапорт начальника ЦАГИ/</w:t>
      </w:r>
      <w:r>
        <w:rPr>
          <w:rFonts w:ascii="Times New Roman" w:hAnsi="Times New Roman"/>
          <w:color w:val="0070C0"/>
          <w:sz w:val="16"/>
          <w:szCs w:val="16"/>
        </w:rPr>
        <w:t xml:space="preserve"> (23370).</w:t>
      </w:r>
    </w:p>
    <w:p w14:paraId="689C0464" w14:textId="77777777" w:rsidR="00190C71" w:rsidRPr="009F5089" w:rsidRDefault="00190C71" w:rsidP="00190C71">
      <w:pPr>
        <w:spacing w:after="0" w:line="240" w:lineRule="auto"/>
        <w:jc w:val="both"/>
        <w:rPr>
          <w:rFonts w:ascii="Times New Roman" w:hAnsi="Times New Roman"/>
          <w:color w:val="0070C0"/>
          <w:sz w:val="16"/>
          <w:szCs w:val="16"/>
        </w:rPr>
      </w:pPr>
    </w:p>
    <w:p w14:paraId="47309E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августа 1931 в 20 часов на Боковском аэродроме в Иркутске приземлился самолет, ведомый немецкой летчицей </w:t>
      </w:r>
      <w:proofErr w:type="spellStart"/>
      <w:r w:rsidRPr="007122AB">
        <w:rPr>
          <w:rFonts w:ascii="Times New Roman" w:hAnsi="Times New Roman"/>
          <w:color w:val="000000" w:themeColor="text1"/>
          <w:sz w:val="16"/>
          <w:szCs w:val="16"/>
        </w:rPr>
        <w:t>Эрцдорф</w:t>
      </w:r>
      <w:proofErr w:type="spellEnd"/>
      <w:r w:rsidRPr="007122AB">
        <w:rPr>
          <w:rFonts w:ascii="Times New Roman" w:hAnsi="Times New Roman"/>
          <w:color w:val="000000" w:themeColor="text1"/>
          <w:sz w:val="16"/>
          <w:szCs w:val="16"/>
        </w:rPr>
        <w:t>, совершающей перелет по линии Берлин-Токио. Вылетела на восток 24 августа (11884).</w:t>
      </w:r>
    </w:p>
    <w:p w14:paraId="2F310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EA2E3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DFB99D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48DCB6" w14:textId="77777777" w:rsidR="00024EF9" w:rsidRPr="007122AB" w:rsidRDefault="00024EF9" w:rsidP="007122AB">
      <w:pPr>
        <w:pStyle w:val="rtejustify"/>
        <w:spacing w:before="0" w:after="0"/>
        <w:rPr>
          <w:color w:val="000000" w:themeColor="text1"/>
          <w:sz w:val="16"/>
          <w:szCs w:val="16"/>
        </w:rPr>
      </w:pPr>
      <w:r w:rsidRPr="007122AB">
        <w:rPr>
          <w:rStyle w:val="af0"/>
          <w:i w:val="0"/>
          <w:color w:val="000000" w:themeColor="text1"/>
          <w:sz w:val="16"/>
          <w:szCs w:val="16"/>
        </w:rPr>
        <w:t xml:space="preserve">23 августа 1931 г. Протокол Реввоенсовета № 30. </w:t>
      </w:r>
      <w:r w:rsidRPr="007122AB">
        <w:rPr>
          <w:color w:val="000000" w:themeColor="text1"/>
          <w:sz w:val="16"/>
          <w:szCs w:val="16"/>
        </w:rPr>
        <w:t xml:space="preserve">1. О строительстве ВМС в связи с постановлением правительства от 11 июля с. г. (Орлов, Егоров). 3. Сообщение Смилги и Тухачевского о ходе выполнения решения ВСНХ по докладу Ефимова о системе мобилизации промышленности (Тухачевский, Смилга). 8. О сокращении типов самолетов и моторов в производстве и унификации типов самолетов и моторов гражданской авиацией с военными (Тухачевский). 14. О расчетах НКВМ с промышленностью по заказам 1931 г. (Хрулев). 15. Об отпуске 250 тыс. руб. на работы по конструированию и постройке </w:t>
      </w:r>
      <w:proofErr w:type="spellStart"/>
      <w:r w:rsidRPr="007122AB">
        <w:rPr>
          <w:color w:val="000000" w:themeColor="text1"/>
          <w:sz w:val="16"/>
          <w:szCs w:val="16"/>
        </w:rPr>
        <w:t>спецустановок</w:t>
      </w:r>
      <w:proofErr w:type="spellEnd"/>
      <w:r w:rsidRPr="007122AB">
        <w:rPr>
          <w:color w:val="000000" w:themeColor="text1"/>
          <w:sz w:val="16"/>
          <w:szCs w:val="16"/>
        </w:rPr>
        <w:t xml:space="preserve"> и приборов для обучения летчиков из резерва по § 10 ст. 14 (Хрулев). 16. Об оплате заказов Военно-технической академии РККА на сумму 1052 тыс. руб. (Хрулев). (РГВА. Ф. 4. Оп. 18. Д. 21. Л. 97, 98, 99</w:t>
      </w:r>
      <w:r w:rsidRPr="007122AB">
        <w:rPr>
          <w:color w:val="000000" w:themeColor="text1"/>
          <w:sz w:val="16"/>
          <w:szCs w:val="16"/>
        </w:rPr>
        <w:noBreakHyphen/>
        <w:t>100, 101</w:t>
      </w:r>
      <w:r w:rsidRPr="007122AB">
        <w:rPr>
          <w:color w:val="000000" w:themeColor="text1"/>
          <w:sz w:val="16"/>
          <w:szCs w:val="16"/>
        </w:rPr>
        <w:noBreakHyphen/>
        <w:t>103) (12342).</w:t>
      </w:r>
    </w:p>
    <w:p w14:paraId="1E4820A4" w14:textId="77777777" w:rsidR="00024EF9" w:rsidRPr="007122AB" w:rsidRDefault="00024EF9" w:rsidP="007122AB">
      <w:pPr>
        <w:pStyle w:val="rtejustify"/>
        <w:spacing w:before="0" w:after="0"/>
        <w:rPr>
          <w:color w:val="000000" w:themeColor="text1"/>
          <w:sz w:val="16"/>
          <w:szCs w:val="16"/>
        </w:rPr>
      </w:pPr>
    </w:p>
    <w:p w14:paraId="7B354E24" w14:textId="77777777" w:rsidR="00D210DB" w:rsidRPr="00441F34" w:rsidRDefault="00D210DB" w:rsidP="00D210D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августа 1931 г., еще до окончания работ по проектированию дизеля, исполняющий обязанности директора НАТИ Е.Л. Зелинский проинформировал начальника Мобилизационно-плановой секции ВСНХ СССР И.Т. Смилге о необходимости скорейшего выбора завода, подходящего для изготовления опытного образца дизеля Д-300. Руководство ВАТО поддержало институт в этом вопросе и со своей стороны 7 сентября 1931 г. отправило И.Т. Смилге письмо № 2112сс.</w:t>
      </w:r>
    </w:p>
    <w:p w14:paraId="4703A926" w14:textId="77777777" w:rsidR="00D210DB" w:rsidRPr="00441F34" w:rsidRDefault="00D210DB" w:rsidP="00D210DB">
      <w:pPr>
        <w:spacing w:after="0" w:line="240" w:lineRule="auto"/>
        <w:jc w:val="both"/>
        <w:rPr>
          <w:rFonts w:ascii="Times New Roman" w:hAnsi="Times New Roman"/>
          <w:color w:val="0070C0"/>
          <w:sz w:val="16"/>
          <w:szCs w:val="16"/>
        </w:rPr>
      </w:pPr>
    </w:p>
    <w:p w14:paraId="5018E4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шесть мото</w:t>
      </w:r>
      <w:r w:rsidRPr="007122AB">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7122AB">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7122AB">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7122AB">
        <w:rPr>
          <w:rFonts w:ascii="Times New Roman" w:hAnsi="Times New Roman"/>
          <w:color w:val="000000" w:themeColor="text1"/>
          <w:sz w:val="16"/>
          <w:szCs w:val="16"/>
        </w:rPr>
        <w:softHyphen/>
        <w:t>новках и дневках, в городах и даже небольших населённых пунк</w:t>
      </w:r>
      <w:r w:rsidRPr="007122AB">
        <w:rPr>
          <w:rFonts w:ascii="Times New Roman" w:hAnsi="Times New Roman"/>
          <w:color w:val="000000" w:themeColor="text1"/>
          <w:sz w:val="16"/>
          <w:szCs w:val="16"/>
        </w:rPr>
        <w:softHyphen/>
        <w:t xml:space="preserve">тах проходили митинги [4.42]. Руководители заинтересованных организаций, техническая комиссия, </w:t>
      </w:r>
      <w:proofErr w:type="spellStart"/>
      <w:r w:rsidRPr="007122AB">
        <w:rPr>
          <w:rFonts w:ascii="Times New Roman" w:hAnsi="Times New Roman"/>
          <w:color w:val="000000" w:themeColor="text1"/>
          <w:sz w:val="16"/>
          <w:szCs w:val="16"/>
        </w:rPr>
        <w:t>автодоровская</w:t>
      </w:r>
      <w:proofErr w:type="spellEnd"/>
      <w:r w:rsidRPr="007122AB">
        <w:rPr>
          <w:rFonts w:ascii="Times New Roman" w:hAnsi="Times New Roman"/>
          <w:color w:val="000000" w:themeColor="text1"/>
          <w:sz w:val="16"/>
          <w:szCs w:val="16"/>
        </w:rPr>
        <w:t xml:space="preserve">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7122AB">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7122AB">
        <w:rPr>
          <w:rFonts w:ascii="Times New Roman" w:hAnsi="Times New Roman"/>
          <w:color w:val="000000" w:themeColor="text1"/>
          <w:sz w:val="16"/>
          <w:szCs w:val="16"/>
        </w:rPr>
        <w:softHyphen/>
        <w:t>ность освоения в серийном производстве нового Л-300 [4.40]. Заместитель председателя ВСНХ СССР А.П. Медведев за</w:t>
      </w:r>
      <w:r w:rsidRPr="007122AB">
        <w:rPr>
          <w:rFonts w:ascii="Times New Roman" w:hAnsi="Times New Roman"/>
          <w:color w:val="000000" w:themeColor="text1"/>
          <w:sz w:val="16"/>
          <w:szCs w:val="16"/>
        </w:rPr>
        <w:softHyphen/>
        <w:t>явил в прессе, что к концу первой пятилетки выпустят 25 тыс. мо</w:t>
      </w:r>
      <w:r w:rsidRPr="007122AB">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7122AB">
        <w:rPr>
          <w:rFonts w:ascii="Times New Roman" w:hAnsi="Times New Roman"/>
          <w:color w:val="000000" w:themeColor="text1"/>
          <w:sz w:val="16"/>
          <w:szCs w:val="16"/>
        </w:rPr>
        <w:softHyphen/>
        <w:t xml:space="preserve">водством ВСНХ, ВАТО и заинтересованных в </w:t>
      </w:r>
      <w:proofErr w:type="spellStart"/>
      <w:r w:rsidRPr="007122AB">
        <w:rPr>
          <w:rFonts w:ascii="Times New Roman" w:hAnsi="Times New Roman"/>
          <w:color w:val="000000" w:themeColor="text1"/>
          <w:sz w:val="16"/>
          <w:szCs w:val="16"/>
        </w:rPr>
        <w:t>мотоциклострое-нии</w:t>
      </w:r>
      <w:proofErr w:type="spellEnd"/>
      <w:r w:rsidRPr="007122AB">
        <w:rPr>
          <w:rFonts w:ascii="Times New Roman" w:hAnsi="Times New Roman"/>
          <w:color w:val="000000" w:themeColor="text1"/>
          <w:sz w:val="16"/>
          <w:szCs w:val="16"/>
        </w:rPr>
        <w:t xml:space="preserve"> трестов и прояснить положение дел. Выявили настораживаю</w:t>
      </w:r>
      <w:r w:rsidRPr="007122AB">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7122AB">
        <w:rPr>
          <w:rFonts w:ascii="Times New Roman" w:hAnsi="Times New Roman"/>
          <w:color w:val="000000" w:themeColor="text1"/>
          <w:sz w:val="16"/>
          <w:szCs w:val="16"/>
        </w:rPr>
        <w:softHyphen/>
        <w:t xml:space="preserve">ски отказал продолжить выпуск мотоциклов Л-300 на заводе «Красный Октябрь»; на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мотоциклы изготовили не по рас</w:t>
      </w:r>
      <w:r w:rsidRPr="007122AB">
        <w:rPr>
          <w:rFonts w:ascii="Times New Roman" w:hAnsi="Times New Roman"/>
          <w:color w:val="000000" w:themeColor="text1"/>
          <w:sz w:val="16"/>
          <w:szCs w:val="16"/>
        </w:rPr>
        <w:softHyphen/>
        <w:t>поряжению ВСНХ СССР, а благодаря увлечённости мотоцикла</w:t>
      </w:r>
      <w:r w:rsidRPr="007122AB">
        <w:rPr>
          <w:rFonts w:ascii="Times New Roman" w:hAnsi="Times New Roman"/>
          <w:color w:val="000000" w:themeColor="text1"/>
          <w:sz w:val="16"/>
          <w:szCs w:val="16"/>
        </w:rPr>
        <w:softHyphen/>
        <w:t>ми работников завода и председателя ВСНХ Украинской совет</w:t>
      </w:r>
      <w:r w:rsidRPr="007122AB">
        <w:rPr>
          <w:rFonts w:ascii="Times New Roman" w:hAnsi="Times New Roman"/>
          <w:color w:val="000000" w:themeColor="text1"/>
          <w:sz w:val="16"/>
          <w:szCs w:val="16"/>
        </w:rPr>
        <w:softHyphen/>
        <w:t>ской социалистической республики (УССР) Сухомлинова [4.44] (11429).</w:t>
      </w:r>
    </w:p>
    <w:p w14:paraId="65F1DA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8C13E" w14:textId="77777777" w:rsidR="00B40CB2" w:rsidRPr="007122AB" w:rsidRDefault="00B40CB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FCA26C3" w14:textId="77777777" w:rsidR="00B40CB2" w:rsidRPr="007122AB" w:rsidRDefault="00B40CB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3DEC5E" w14:textId="77777777" w:rsidR="00B40CB2" w:rsidRPr="007122AB" w:rsidRDefault="00B40C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августа 1931 г. Совнарком СССР назначил </w:t>
      </w:r>
      <w:proofErr w:type="spellStart"/>
      <w:r w:rsidRPr="007122AB">
        <w:rPr>
          <w:rFonts w:ascii="Times New Roman" w:hAnsi="Times New Roman"/>
          <w:color w:val="000000" w:themeColor="text1"/>
          <w:sz w:val="16"/>
          <w:szCs w:val="16"/>
        </w:rPr>
        <w:t>Ротерта</w:t>
      </w:r>
      <w:proofErr w:type="spellEnd"/>
      <w:r w:rsidRPr="007122AB">
        <w:rPr>
          <w:rFonts w:ascii="Times New Roman" w:hAnsi="Times New Roman"/>
          <w:color w:val="000000" w:themeColor="text1"/>
          <w:sz w:val="16"/>
          <w:szCs w:val="16"/>
        </w:rPr>
        <w:t xml:space="preserve"> начальником строительства московского метро, а его заместителем инженера К. С. </w:t>
      </w:r>
      <w:proofErr w:type="spellStart"/>
      <w:r w:rsidRPr="007122AB">
        <w:rPr>
          <w:rFonts w:ascii="Times New Roman" w:hAnsi="Times New Roman"/>
          <w:color w:val="000000" w:themeColor="text1"/>
          <w:sz w:val="16"/>
          <w:szCs w:val="16"/>
        </w:rPr>
        <w:t>Финкеля</w:t>
      </w:r>
      <w:proofErr w:type="spellEnd"/>
      <w:r w:rsidRPr="007122AB">
        <w:rPr>
          <w:rFonts w:ascii="Times New Roman" w:hAnsi="Times New Roman"/>
          <w:color w:val="000000" w:themeColor="text1"/>
          <w:sz w:val="16"/>
          <w:szCs w:val="16"/>
        </w:rPr>
        <w:t>{359}.</w:t>
      </w:r>
    </w:p>
    <w:p w14:paraId="17A1B0C9" w14:textId="77777777" w:rsidR="00B40CB2" w:rsidRPr="007122AB" w:rsidRDefault="00B40C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Булганин поручил </w:t>
      </w:r>
      <w:proofErr w:type="spellStart"/>
      <w:r w:rsidRPr="007122AB">
        <w:rPr>
          <w:rFonts w:ascii="Times New Roman" w:hAnsi="Times New Roman"/>
          <w:color w:val="000000" w:themeColor="text1"/>
          <w:sz w:val="16"/>
          <w:szCs w:val="16"/>
        </w:rPr>
        <w:t>Ротерту</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Финкелю</w:t>
      </w:r>
      <w:proofErr w:type="spellEnd"/>
      <w:r w:rsidRPr="007122AB">
        <w:rPr>
          <w:rFonts w:ascii="Times New Roman" w:hAnsi="Times New Roman"/>
          <w:color w:val="000000" w:themeColor="text1"/>
          <w:sz w:val="16"/>
          <w:szCs w:val="16"/>
        </w:rPr>
        <w:t xml:space="preserve"> заняться подготовкой структуры и положения об организации, ведающей строительством метро, которую предстояло основать при Моссовете под названием Метрострой. В распоряжение инженеров Булганиным было выделено 50 тыс. руб. и 4 комнаты в доме по ул. Ильинка, 3, в непосредственной близости от Кремля{362}.За два дня </w:t>
      </w:r>
      <w:proofErr w:type="spellStart"/>
      <w:r w:rsidRPr="007122AB">
        <w:rPr>
          <w:rFonts w:ascii="Times New Roman" w:hAnsi="Times New Roman"/>
          <w:color w:val="000000" w:themeColor="text1"/>
          <w:sz w:val="16"/>
          <w:szCs w:val="16"/>
        </w:rPr>
        <w:t>Ротерт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Финкель</w:t>
      </w:r>
      <w:proofErr w:type="spellEnd"/>
      <w:r w:rsidRPr="007122AB">
        <w:rPr>
          <w:rFonts w:ascii="Times New Roman" w:hAnsi="Times New Roman"/>
          <w:color w:val="000000" w:themeColor="text1"/>
          <w:sz w:val="16"/>
          <w:szCs w:val="16"/>
        </w:rPr>
        <w:t xml:space="preserve"> набросали проект Положения о Метрострое и предложили его вниманию Моссовета{363}.В документе прямо говорилось о строительстве «городской скоростной дороги на собственном (подземном) полотне», т. е. о метрополитене{364}.</w:t>
      </w:r>
    </w:p>
    <w:p w14:paraId="3107D24E" w14:textId="77777777" w:rsidR="00B40CB2" w:rsidRPr="007122AB" w:rsidRDefault="00B40C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Совнарком РСФСР утвердил Положение о Метрострое и присвоил объекту ранг «ударной стройки», т. е. особо срочной, что давало преимущества при </w:t>
      </w:r>
      <w:proofErr w:type="spellStart"/>
      <w:r w:rsidRPr="007122AB">
        <w:rPr>
          <w:rFonts w:ascii="Times New Roman" w:hAnsi="Times New Roman"/>
          <w:color w:val="000000" w:themeColor="text1"/>
          <w:sz w:val="16"/>
          <w:szCs w:val="16"/>
        </w:rPr>
        <w:t>распределенииресурсов</w:t>
      </w:r>
      <w:proofErr w:type="spellEnd"/>
      <w:r w:rsidRPr="007122AB">
        <w:rPr>
          <w:rFonts w:ascii="Times New Roman" w:hAnsi="Times New Roman"/>
          <w:color w:val="000000" w:themeColor="text1"/>
          <w:sz w:val="16"/>
          <w:szCs w:val="16"/>
        </w:rPr>
        <w:t>{365}. 2октября 1931 г. документ был принят Совнаркомом СССР, причем ранее он прошел экспертизу в ВСНХ и Наркомате финансов{366}и по просьбе Булганина{367}дополнен двумя пунктами: рабочие и финансовые планы Метростроя должны утверждаться Советом Труда и Обороны, руководитель Метростроя и его заместитель назначаются Совнаркомом СССР{368}.Измененную версию Положения Совнарком РСФСР утвердил еще раз 13 октября 1931 г.{369}Совет Труда и Обороны 13 ноября 1931 г. включил Метрострой в список ударных строек{370}.Тем самым была завершена фаза институционализации и обеспечен приоритетный статус строительства (18299).</w:t>
      </w:r>
    </w:p>
    <w:p w14:paraId="141BD886" w14:textId="77777777" w:rsidR="00B40CB2" w:rsidRPr="007122AB" w:rsidRDefault="00B40CB2" w:rsidP="007122AB">
      <w:pPr>
        <w:spacing w:after="0" w:line="240" w:lineRule="auto"/>
        <w:jc w:val="both"/>
        <w:rPr>
          <w:rFonts w:ascii="Times New Roman" w:hAnsi="Times New Roman"/>
          <w:color w:val="000000" w:themeColor="text1"/>
          <w:sz w:val="16"/>
          <w:szCs w:val="16"/>
        </w:rPr>
      </w:pPr>
    </w:p>
    <w:p w14:paraId="0B4E4C86" w14:textId="77777777" w:rsidR="00B40CB2" w:rsidRPr="007122AB" w:rsidRDefault="00B40CB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23 августа 1931 г.</w:t>
      </w:r>
    </w:p>
    <w:p w14:paraId="55DA5ADD" w14:textId="77777777" w:rsidR="00B40CB2" w:rsidRPr="007122AB" w:rsidRDefault="00B40CB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Распоряжение о «постоянном допуске» к Л. К. Рамзину сотрудников ОКБ № 11. 23 августа 1931 г.</w:t>
      </w:r>
    </w:p>
    <w:p w14:paraId="34DCB43E" w14:textId="77777777" w:rsidR="00B40CB2" w:rsidRPr="007122AB" w:rsidRDefault="00B40CB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1FB6DD7" w14:textId="77777777" w:rsidR="00B40CB2" w:rsidRPr="007122AB" w:rsidRDefault="00B40C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1973C" w14:textId="77777777" w:rsidR="00B40CB2" w:rsidRPr="007122AB" w:rsidRDefault="00B40CB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3903D999" w14:textId="77777777" w:rsidR="00B40CB2" w:rsidRPr="007122AB" w:rsidRDefault="00B40CB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Д.2. Л.66</w:t>
      </w:r>
    </w:p>
    <w:p w14:paraId="63BFA5B6" w14:textId="77777777" w:rsidR="00B40CB2" w:rsidRPr="007122AB" w:rsidRDefault="00B40CB2" w:rsidP="007122AB">
      <w:pPr>
        <w:pStyle w:val="rteright"/>
        <w:spacing w:before="0" w:after="0"/>
        <w:jc w:val="both"/>
        <w:rPr>
          <w:color w:val="000000" w:themeColor="text1"/>
          <w:sz w:val="16"/>
          <w:szCs w:val="16"/>
        </w:rPr>
      </w:pPr>
      <w:r w:rsidRPr="007122AB">
        <w:rPr>
          <w:color w:val="000000" w:themeColor="text1"/>
          <w:sz w:val="16"/>
          <w:szCs w:val="16"/>
        </w:rPr>
        <w:t>[23] августа 1931 г.</w:t>
      </w:r>
    </w:p>
    <w:p w14:paraId="4A451CDF" w14:textId="77777777" w:rsidR="00B40CB2" w:rsidRPr="007122AB" w:rsidRDefault="00B40CB2" w:rsidP="007122AB">
      <w:pPr>
        <w:pStyle w:val="rtecenter"/>
        <w:spacing w:before="0" w:after="0"/>
        <w:jc w:val="both"/>
        <w:rPr>
          <w:color w:val="000000" w:themeColor="text1"/>
          <w:sz w:val="16"/>
          <w:szCs w:val="16"/>
        </w:rPr>
      </w:pPr>
      <w:r w:rsidRPr="007122AB">
        <w:rPr>
          <w:color w:val="000000" w:themeColor="text1"/>
          <w:sz w:val="16"/>
          <w:szCs w:val="16"/>
        </w:rPr>
        <w:t>НАЧАЛЬНИКУ ТЮРЕМНОГО ОТДЕЛА</w:t>
      </w:r>
    </w:p>
    <w:p w14:paraId="5871641D" w14:textId="77777777" w:rsidR="00B40CB2" w:rsidRPr="007122AB" w:rsidRDefault="00B40CB2" w:rsidP="007122AB">
      <w:pPr>
        <w:pStyle w:val="rtecenter"/>
        <w:spacing w:before="0" w:after="0"/>
        <w:jc w:val="both"/>
        <w:rPr>
          <w:color w:val="000000" w:themeColor="text1"/>
          <w:sz w:val="16"/>
          <w:szCs w:val="16"/>
        </w:rPr>
      </w:pPr>
      <w:r w:rsidRPr="007122AB">
        <w:rPr>
          <w:color w:val="000000" w:themeColor="text1"/>
          <w:sz w:val="16"/>
          <w:szCs w:val="16"/>
        </w:rPr>
        <w:t>тов. ПОПОВУ</w:t>
      </w:r>
    </w:p>
    <w:p w14:paraId="111A82DB" w14:textId="77777777" w:rsidR="00B40CB2" w:rsidRPr="007122AB" w:rsidRDefault="00B40CB2" w:rsidP="007122AB">
      <w:pPr>
        <w:pStyle w:val="rtejustify"/>
        <w:spacing w:before="0" w:after="0"/>
        <w:rPr>
          <w:color w:val="000000" w:themeColor="text1"/>
          <w:sz w:val="16"/>
          <w:szCs w:val="16"/>
        </w:rPr>
      </w:pPr>
      <w:r w:rsidRPr="007122AB">
        <w:rPr>
          <w:color w:val="000000" w:themeColor="text1"/>
          <w:sz w:val="16"/>
          <w:szCs w:val="16"/>
        </w:rPr>
        <w:t>ЭКУ ОГПУ просит сделать соответствующее распоряжение Коменданту Бутырского изолятора о постоянном допуске к осужденному Л. К. РАМЗИНУ в сопровождении нашего Уполномоченного тов. НАУМИНА следующих лиц: НОВИ, РЕВОКАТОВА, БУЛАШЕВИЧА, БРАЦЛОВА, КУБЫНИНА, САЛМЕНКОВА, ФЮНЕР и ПУГОВКИНА.</w:t>
      </w:r>
    </w:p>
    <w:p w14:paraId="411AC8A0" w14:textId="77777777" w:rsidR="00B40CB2" w:rsidRPr="007122AB" w:rsidRDefault="00B40CB2" w:rsidP="007122AB">
      <w:pPr>
        <w:pStyle w:val="rtejustify"/>
        <w:spacing w:before="0" w:after="0"/>
        <w:rPr>
          <w:color w:val="000000" w:themeColor="text1"/>
          <w:sz w:val="16"/>
          <w:szCs w:val="16"/>
        </w:rPr>
      </w:pPr>
      <w:r w:rsidRPr="007122AB">
        <w:rPr>
          <w:color w:val="000000" w:themeColor="text1"/>
          <w:sz w:val="16"/>
          <w:szCs w:val="16"/>
        </w:rPr>
        <w:t>Начальник ЭКУ ОГПУ (Миронов)</w:t>
      </w:r>
    </w:p>
    <w:p w14:paraId="3B8F7D63" w14:textId="77777777" w:rsidR="00B40CB2" w:rsidRPr="007122AB" w:rsidRDefault="00B40CB2" w:rsidP="007122AB">
      <w:pPr>
        <w:pStyle w:val="rtejustify"/>
        <w:spacing w:before="0" w:after="0"/>
        <w:rPr>
          <w:color w:val="000000" w:themeColor="text1"/>
          <w:sz w:val="16"/>
          <w:szCs w:val="16"/>
        </w:rPr>
      </w:pPr>
      <w:r w:rsidRPr="007122AB">
        <w:rPr>
          <w:color w:val="000000" w:themeColor="text1"/>
          <w:sz w:val="16"/>
          <w:szCs w:val="16"/>
        </w:rPr>
        <w:t>Начальник Тех. Отд. ЭКУ ОГПУ (</w:t>
      </w:r>
      <w:proofErr w:type="spellStart"/>
      <w:r w:rsidRPr="007122AB">
        <w:rPr>
          <w:color w:val="000000" w:themeColor="text1"/>
          <w:sz w:val="16"/>
          <w:szCs w:val="16"/>
        </w:rPr>
        <w:t>Горянов</w:t>
      </w:r>
      <w:proofErr w:type="spellEnd"/>
      <w:r w:rsidRPr="007122AB">
        <w:rPr>
          <w:color w:val="000000" w:themeColor="text1"/>
          <w:sz w:val="16"/>
          <w:szCs w:val="16"/>
        </w:rPr>
        <w:t>)</w:t>
      </w:r>
    </w:p>
    <w:p w14:paraId="0ACA21F3" w14:textId="77777777" w:rsidR="00B40CB2" w:rsidRPr="007122AB" w:rsidRDefault="00B40CB2"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1.Д.2.Л.66. Машинописная копия того времени. Вверху листа слева напечатано «августа 1931 года» (число отсутствует), вверху по центру штампом — дата «23 АВГ 1931» и номер документа (датируется по дате штампа). Внизу слева напечатано «НАУМИН» (19068).</w:t>
      </w:r>
    </w:p>
    <w:p w14:paraId="078518BC" w14:textId="77777777" w:rsidR="00B40CB2" w:rsidRPr="007122AB" w:rsidRDefault="00B40CB2" w:rsidP="007122AB">
      <w:pPr>
        <w:spacing w:after="0" w:line="240" w:lineRule="auto"/>
        <w:jc w:val="both"/>
        <w:rPr>
          <w:rFonts w:ascii="Times New Roman" w:hAnsi="Times New Roman"/>
          <w:color w:val="000000" w:themeColor="text1"/>
          <w:sz w:val="16"/>
          <w:szCs w:val="16"/>
        </w:rPr>
      </w:pPr>
    </w:p>
    <w:p w14:paraId="1812934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BA8E05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B413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августа 1931 СССР и Франция подписали пакт о ненападении (4962).</w:t>
      </w:r>
    </w:p>
    <w:p w14:paraId="6F6C164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160AB0" w14:textId="77777777" w:rsidR="00075367" w:rsidRPr="007122AB" w:rsidRDefault="0007536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24 августа 1931 Польша предложила возобновить начатое в 1926-1927 гг. обсуждение проблемы советско-польского пакта о ненападении. В сентябре советское руководство после некоторых колебаний решило вступить в переговоры с Польшей о заключении такого пакта, отдавая себе отчет в том, что они неизбежно повлекут за собой аналогичные переговоры со всеми другими западными соседствующими государствами (См.: КЕН О. H., РУПАСОВ А. И. Политбюро ЦК ВКП(б) и отношения с западными соседними государствами (конец 1920-1930-х гг.): Проблемы - Документы - Опыт комментария. Часть 1: Декабрь 1928 - июнь 1934 г, СПб., 2000. С. 95-96, 253-255,258-265) (22725).</w:t>
      </w:r>
    </w:p>
    <w:p w14:paraId="34A4D748" w14:textId="77777777" w:rsidR="00075367" w:rsidRPr="007122AB" w:rsidRDefault="00075367" w:rsidP="007122AB">
      <w:pPr>
        <w:spacing w:after="0" w:line="240" w:lineRule="auto"/>
        <w:jc w:val="both"/>
        <w:rPr>
          <w:rFonts w:ascii="Times New Roman" w:hAnsi="Times New Roman"/>
          <w:color w:val="000000" w:themeColor="text1"/>
          <w:sz w:val="16"/>
          <w:szCs w:val="16"/>
        </w:rPr>
      </w:pPr>
    </w:p>
    <w:p w14:paraId="20A06735" w14:textId="77777777" w:rsidR="008344B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4A430FF" w14:textId="77777777" w:rsidR="008344B7" w:rsidRPr="007122AB" w:rsidRDefault="008344B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F8912F"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августа в 1931 году состоялся первый полет самолета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xml:space="preserve"> D.H.81» «</w:t>
      </w:r>
      <w:proofErr w:type="spellStart"/>
      <w:r w:rsidRPr="007122AB">
        <w:rPr>
          <w:rFonts w:ascii="Times New Roman" w:hAnsi="Times New Roman"/>
          <w:color w:val="000000" w:themeColor="text1"/>
          <w:sz w:val="16"/>
          <w:szCs w:val="16"/>
        </w:rPr>
        <w:t>Swallow</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(14992).</w:t>
      </w:r>
    </w:p>
    <w:p w14:paraId="7FE69D26"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4D27BC48"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24 августа в 1931 году состоялся первый полет самолета </w:t>
      </w:r>
      <w:hyperlink r:id="rId168" w:tgtFrame="_blank" w:history="1">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«D.H.81» «</w:t>
        </w:r>
        <w:proofErr w:type="spellStart"/>
        <w:r w:rsidRPr="007122AB">
          <w:rPr>
            <w:rFonts w:ascii="Times New Roman" w:hAnsi="Times New Roman"/>
            <w:color w:val="000000" w:themeColor="text1"/>
            <w:sz w:val="16"/>
            <w:szCs w:val="16"/>
          </w:rPr>
          <w:t>Swallow</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w:t>
        </w:r>
      </w:hyperlink>
      <w:r w:rsidRPr="007122AB">
        <w:rPr>
          <w:rFonts w:ascii="Times New Roman" w:hAnsi="Times New Roman"/>
          <w:color w:val="000000" w:themeColor="text1"/>
          <w:sz w:val="16"/>
          <w:szCs w:val="16"/>
        </w:rPr>
        <w:t>который представлял собой двухместный низкоплан с открытой кабиной, оборудованный двигателем «</w:t>
      </w:r>
      <w:proofErr w:type="spellStart"/>
      <w:r w:rsidRPr="007122AB">
        <w:rPr>
          <w:rFonts w:ascii="Times New Roman" w:hAnsi="Times New Roman"/>
          <w:color w:val="000000" w:themeColor="text1"/>
          <w:sz w:val="16"/>
          <w:szCs w:val="16"/>
        </w:rPr>
        <w:t>Gipsy</w:t>
      </w:r>
      <w:proofErr w:type="spellEnd"/>
      <w:r w:rsidRPr="007122AB">
        <w:rPr>
          <w:rFonts w:ascii="Times New Roman" w:hAnsi="Times New Roman"/>
          <w:color w:val="000000" w:themeColor="text1"/>
          <w:sz w:val="16"/>
          <w:szCs w:val="16"/>
        </w:rPr>
        <w:t xml:space="preserve"> IV» мощностью 80 л.с. Поскольку производственные мощности были загружены, проект был прерван и лишь через несколько лет возобновлен. Цельнодеревянный опытный самолет «D.H.94»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Minor</w:t>
      </w:r>
      <w:proofErr w:type="spellEnd"/>
      <w:r w:rsidRPr="007122AB">
        <w:rPr>
          <w:rFonts w:ascii="Times New Roman" w:hAnsi="Times New Roman"/>
          <w:color w:val="000000" w:themeColor="text1"/>
          <w:sz w:val="16"/>
          <w:szCs w:val="16"/>
        </w:rPr>
        <w:t xml:space="preserve">» впервые поднялся в воздух 22 июня 1937г., пилотируемый капитаном Джеффри де </w:t>
      </w:r>
      <w:proofErr w:type="spellStart"/>
      <w:r w:rsidRPr="007122AB">
        <w:rPr>
          <w:rFonts w:ascii="Times New Roman" w:hAnsi="Times New Roman"/>
          <w:color w:val="000000" w:themeColor="text1"/>
          <w:sz w:val="16"/>
          <w:szCs w:val="16"/>
        </w:rPr>
        <w:t>Хэвиллендом</w:t>
      </w:r>
      <w:proofErr w:type="spellEnd"/>
      <w:r w:rsidRPr="007122AB">
        <w:rPr>
          <w:rFonts w:ascii="Times New Roman" w:hAnsi="Times New Roman"/>
          <w:color w:val="000000" w:themeColor="text1"/>
          <w:sz w:val="16"/>
          <w:szCs w:val="16"/>
        </w:rPr>
        <w:t>. К началу Второй мировой войны было собрано около 70 экземпляров, включая 9 самолетов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Minor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Coupе</w:t>
      </w:r>
      <w:proofErr w:type="spellEnd"/>
      <w:r w:rsidRPr="007122AB">
        <w:rPr>
          <w:rFonts w:ascii="Times New Roman" w:hAnsi="Times New Roman"/>
          <w:color w:val="000000" w:themeColor="text1"/>
          <w:sz w:val="16"/>
          <w:szCs w:val="16"/>
        </w:rPr>
        <w:t>» с более просторной задней частью фюзеляжа и откидывающимся на петлях фонарем кабины. В начале 1940 г. чертежи, шаблоны, агрегаты и законченные, но не поставленные планеры были отправлены в компанию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Нavilland</w:t>
      </w:r>
      <w:proofErr w:type="spellEnd"/>
      <w:r w:rsidRPr="007122AB">
        <w:rPr>
          <w:rFonts w:ascii="Times New Roman" w:hAnsi="Times New Roman"/>
          <w:color w:val="000000" w:themeColor="text1"/>
          <w:sz w:val="16"/>
          <w:szCs w:val="16"/>
        </w:rPr>
        <w:t xml:space="preserve"> Aircraft </w:t>
      </w:r>
      <w:proofErr w:type="spellStart"/>
      <w:r w:rsidRPr="007122AB">
        <w:rPr>
          <w:rFonts w:ascii="Times New Roman" w:hAnsi="Times New Roman"/>
          <w:color w:val="000000" w:themeColor="text1"/>
          <w:sz w:val="16"/>
          <w:szCs w:val="16"/>
        </w:rPr>
        <w:t>Pty</w:t>
      </w:r>
      <w:proofErr w:type="spellEnd"/>
      <w:r w:rsidRPr="007122AB">
        <w:rPr>
          <w:rFonts w:ascii="Times New Roman" w:hAnsi="Times New Roman"/>
          <w:color w:val="000000" w:themeColor="text1"/>
          <w:sz w:val="16"/>
          <w:szCs w:val="16"/>
        </w:rPr>
        <w:t xml:space="preserve"> Ltd» в Сиднее. Более 40 произведенных ею самолетов было поставлено в австралийские ВВС (14992).</w:t>
      </w:r>
    </w:p>
    <w:p w14:paraId="086EEB34"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2241E396" w14:textId="77777777" w:rsidR="008344B7" w:rsidRPr="007122AB" w:rsidRDefault="008344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августа в 1931 году первый прототип аргентинского самолёта, получившего обозначение </w:t>
      </w:r>
      <w:hyperlink r:id="rId169" w:tgtFrame="_blank" w:history="1">
        <w:r w:rsidRPr="007122AB">
          <w:rPr>
            <w:rFonts w:ascii="Times New Roman" w:hAnsi="Times New Roman"/>
            <w:color w:val="000000" w:themeColor="text1"/>
            <w:sz w:val="16"/>
            <w:szCs w:val="16"/>
          </w:rPr>
          <w:t xml:space="preserve">«Ае.С.1» </w:t>
        </w:r>
      </w:hyperlink>
      <w:r w:rsidRPr="007122AB">
        <w:rPr>
          <w:rFonts w:ascii="Times New Roman" w:hAnsi="Times New Roman"/>
          <w:color w:val="000000" w:themeColor="text1"/>
          <w:sz w:val="16"/>
          <w:szCs w:val="16"/>
        </w:rPr>
        <w:t>(Гражданский самолёт тип 1), был представлен на официальные испытания. «Ае.С.1» стал первым самолётом чисто аргентинской постройки. Государственное предприятие «</w:t>
      </w:r>
      <w:proofErr w:type="spellStart"/>
      <w:r w:rsidRPr="007122AB">
        <w:rPr>
          <w:rFonts w:ascii="Times New Roman" w:hAnsi="Times New Roman"/>
          <w:color w:val="000000" w:themeColor="text1"/>
          <w:sz w:val="16"/>
          <w:szCs w:val="16"/>
        </w:rPr>
        <w:t>la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Fabrica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Militar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Aviones</w:t>
      </w:r>
      <w:proofErr w:type="spellEnd"/>
      <w:r w:rsidRPr="007122AB">
        <w:rPr>
          <w:rFonts w:ascii="Times New Roman" w:hAnsi="Times New Roman"/>
          <w:color w:val="000000" w:themeColor="text1"/>
          <w:sz w:val="16"/>
          <w:szCs w:val="16"/>
        </w:rPr>
        <w:t>» («FMA» - «Авиационная Военная Фабрика») была основана в 1926 г. и первое время выпускала по лицензии учебные самолёты «</w:t>
      </w:r>
      <w:proofErr w:type="spellStart"/>
      <w:r w:rsidRPr="007122AB">
        <w:rPr>
          <w:rFonts w:ascii="Times New Roman" w:hAnsi="Times New Roman"/>
          <w:color w:val="000000" w:themeColor="text1"/>
          <w:sz w:val="16"/>
          <w:szCs w:val="16"/>
        </w:rPr>
        <w:t>Avro</w:t>
      </w:r>
      <w:proofErr w:type="spellEnd"/>
      <w:r w:rsidRPr="007122AB">
        <w:rPr>
          <w:rFonts w:ascii="Times New Roman" w:hAnsi="Times New Roman"/>
          <w:color w:val="000000" w:themeColor="text1"/>
          <w:sz w:val="16"/>
          <w:szCs w:val="16"/>
        </w:rPr>
        <w:t xml:space="preserve"> 504R» "</w:t>
      </w:r>
      <w:proofErr w:type="spellStart"/>
      <w:r w:rsidRPr="007122AB">
        <w:rPr>
          <w:rFonts w:ascii="Times New Roman" w:hAnsi="Times New Roman"/>
          <w:color w:val="000000" w:themeColor="text1"/>
          <w:sz w:val="16"/>
          <w:szCs w:val="16"/>
        </w:rPr>
        <w:t>Gosport</w:t>
      </w:r>
      <w:proofErr w:type="spellEnd"/>
      <w:r w:rsidRPr="007122AB">
        <w:rPr>
          <w:rFonts w:ascii="Times New Roman" w:hAnsi="Times New Roman"/>
          <w:color w:val="000000" w:themeColor="text1"/>
          <w:sz w:val="16"/>
          <w:szCs w:val="16"/>
        </w:rPr>
        <w:t>" и истребители «Bristol» «F.2B» и «</w:t>
      </w:r>
      <w:proofErr w:type="spellStart"/>
      <w:r w:rsidRPr="007122AB">
        <w:rPr>
          <w:rFonts w:ascii="Times New Roman" w:hAnsi="Times New Roman"/>
          <w:color w:val="000000" w:themeColor="text1"/>
          <w:sz w:val="16"/>
          <w:szCs w:val="16"/>
        </w:rPr>
        <w:t>Devoitine</w:t>
      </w:r>
      <w:proofErr w:type="spellEnd"/>
      <w:r w:rsidRPr="007122AB">
        <w:rPr>
          <w:rFonts w:ascii="Times New Roman" w:hAnsi="Times New Roman"/>
          <w:color w:val="000000" w:themeColor="text1"/>
          <w:sz w:val="16"/>
          <w:szCs w:val="16"/>
        </w:rPr>
        <w:t xml:space="preserve">» «D.21». Со временем, приобретя необходимый опыт в авиастроении, аргентинские инженеры получили заказ на проектирование и постройку машины собственной конструкции. Самолёт строился по классической в те годы схеме - крыло выполнялось из дерева, а фюзеляж и некоторые другие элементы конструкции собирались из стали. Шасси было </w:t>
      </w:r>
      <w:proofErr w:type="spellStart"/>
      <w:r w:rsidRPr="007122AB">
        <w:rPr>
          <w:rFonts w:ascii="Times New Roman" w:hAnsi="Times New Roman"/>
          <w:color w:val="000000" w:themeColor="text1"/>
          <w:sz w:val="16"/>
          <w:szCs w:val="16"/>
        </w:rPr>
        <w:t>трехопорным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с хвостовым костылем. Закрытая кабина, в зависимости от варианта использования, могла вмещать 1-2 пассажиров. На самолёте установили 5-цилндровый радиальный мотор «</w:t>
      </w:r>
      <w:proofErr w:type="spellStart"/>
      <w:r w:rsidRPr="007122AB">
        <w:rPr>
          <w:rFonts w:ascii="Times New Roman" w:hAnsi="Times New Roman"/>
          <w:color w:val="000000" w:themeColor="text1"/>
          <w:sz w:val="16"/>
          <w:szCs w:val="16"/>
        </w:rPr>
        <w:t>Armstrong-Siddley</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Mongoose</w:t>
      </w:r>
      <w:proofErr w:type="spellEnd"/>
      <w:r w:rsidRPr="007122AB">
        <w:rPr>
          <w:rFonts w:ascii="Times New Roman" w:hAnsi="Times New Roman"/>
          <w:color w:val="000000" w:themeColor="text1"/>
          <w:sz w:val="16"/>
          <w:szCs w:val="16"/>
        </w:rPr>
        <w:t xml:space="preserve">" (150 л.с.) с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Имеется также упоминание о попытке опробования двигателя «</w:t>
      </w:r>
      <w:proofErr w:type="spellStart"/>
      <w:r w:rsidRPr="007122AB">
        <w:rPr>
          <w:rFonts w:ascii="Times New Roman" w:hAnsi="Times New Roman"/>
          <w:color w:val="000000" w:themeColor="text1"/>
          <w:sz w:val="16"/>
          <w:szCs w:val="16"/>
        </w:rPr>
        <w:t>Gnome-Rhone</w:t>
      </w:r>
      <w:proofErr w:type="spellEnd"/>
      <w:r w:rsidRPr="007122AB">
        <w:rPr>
          <w:rFonts w:ascii="Times New Roman" w:hAnsi="Times New Roman"/>
          <w:color w:val="000000" w:themeColor="text1"/>
          <w:sz w:val="16"/>
          <w:szCs w:val="16"/>
        </w:rPr>
        <w:t>» (110 л.с.), но эти данные не находят официального подтверждения (14992).</w:t>
      </w:r>
    </w:p>
    <w:p w14:paraId="54C4C616" w14:textId="77777777" w:rsidR="008344B7" w:rsidRPr="007122AB" w:rsidRDefault="008344B7" w:rsidP="007122AB">
      <w:pPr>
        <w:spacing w:after="0" w:line="240" w:lineRule="auto"/>
        <w:jc w:val="both"/>
        <w:rPr>
          <w:rFonts w:ascii="Times New Roman" w:hAnsi="Times New Roman"/>
          <w:color w:val="000000" w:themeColor="text1"/>
          <w:sz w:val="16"/>
          <w:szCs w:val="16"/>
        </w:rPr>
      </w:pPr>
    </w:p>
    <w:p w14:paraId="1BF0169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49FFF4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10AE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августа 1931 состоялся первый полет самолета с раздвижными крыльями француза </w:t>
      </w:r>
      <w:proofErr w:type="spellStart"/>
      <w:r w:rsidRPr="007122AB">
        <w:rPr>
          <w:rFonts w:ascii="Times New Roman" w:hAnsi="Times New Roman"/>
          <w:color w:val="000000" w:themeColor="text1"/>
          <w:sz w:val="16"/>
          <w:szCs w:val="16"/>
        </w:rPr>
        <w:t>И.Махонина</w:t>
      </w:r>
      <w:proofErr w:type="spellEnd"/>
      <w:r w:rsidRPr="007122AB">
        <w:rPr>
          <w:rFonts w:ascii="Times New Roman" w:hAnsi="Times New Roman"/>
          <w:color w:val="000000" w:themeColor="text1"/>
          <w:sz w:val="16"/>
          <w:szCs w:val="16"/>
        </w:rPr>
        <w:t xml:space="preserve"> (237,162).</w:t>
      </w:r>
    </w:p>
    <w:p w14:paraId="3FF29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1BFF5D" w14:textId="77777777" w:rsidR="001B6E91" w:rsidRPr="007122AB" w:rsidRDefault="001B6E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25 августа 1931 в пояснительной записке на имя начальника ВАО Баранова к варианту проекта плана стро</w:t>
      </w:r>
      <w:r w:rsidRPr="007122AB">
        <w:rPr>
          <w:rFonts w:ascii="Times New Roman" w:hAnsi="Times New Roman"/>
          <w:color w:val="000000" w:themeColor="text1"/>
          <w:sz w:val="16"/>
          <w:szCs w:val="16"/>
          <w:lang w:eastAsia="ru-RU" w:bidi="ru-RU"/>
        </w:rPr>
        <w:softHyphen/>
        <w:t>ительства опытных самолетов до 1934 г., разработанного ЦКБ, отмеча</w:t>
      </w:r>
      <w:r w:rsidRPr="007122AB">
        <w:rPr>
          <w:rFonts w:ascii="Times New Roman" w:hAnsi="Times New Roman"/>
          <w:color w:val="000000" w:themeColor="text1"/>
          <w:sz w:val="16"/>
          <w:szCs w:val="16"/>
          <w:lang w:eastAsia="ru-RU" w:bidi="ru-RU"/>
        </w:rPr>
        <w:softHyphen/>
        <w:t>лось, что всего в программе опытных ра</w:t>
      </w:r>
      <w:r w:rsidRPr="007122AB">
        <w:rPr>
          <w:rFonts w:ascii="Times New Roman" w:hAnsi="Times New Roman"/>
          <w:color w:val="000000" w:themeColor="text1"/>
          <w:sz w:val="16"/>
          <w:szCs w:val="16"/>
          <w:lang w:eastAsia="ru-RU" w:bidi="ru-RU"/>
        </w:rPr>
        <w:softHyphen/>
        <w:t>бот предполагается построить четыре са</w:t>
      </w:r>
      <w:r w:rsidRPr="007122AB">
        <w:rPr>
          <w:rFonts w:ascii="Times New Roman" w:hAnsi="Times New Roman"/>
          <w:color w:val="000000" w:themeColor="text1"/>
          <w:sz w:val="16"/>
          <w:szCs w:val="16"/>
          <w:lang w:eastAsia="ru-RU" w:bidi="ru-RU"/>
        </w:rPr>
        <w:softHyphen/>
        <w:t>молета штурмового назначения: ТШ-2 М-27 и ЛШ-4 М-22 с передачей в серий</w:t>
      </w:r>
      <w:r w:rsidRPr="007122AB">
        <w:rPr>
          <w:rFonts w:ascii="Times New Roman" w:hAnsi="Times New Roman"/>
          <w:color w:val="000000" w:themeColor="text1"/>
          <w:sz w:val="16"/>
          <w:szCs w:val="16"/>
          <w:lang w:eastAsia="ru-RU" w:bidi="ru-RU"/>
        </w:rPr>
        <w:softHyphen/>
        <w:t>ное производство в 1932 г., а также ТШ-3 М-34 и ЛШ-5 (на базе перспективных ис</w:t>
      </w:r>
      <w:r w:rsidRPr="007122AB">
        <w:rPr>
          <w:rFonts w:ascii="Times New Roman" w:hAnsi="Times New Roman"/>
          <w:color w:val="000000" w:themeColor="text1"/>
          <w:sz w:val="16"/>
          <w:szCs w:val="16"/>
          <w:lang w:eastAsia="ru-RU" w:bidi="ru-RU"/>
        </w:rPr>
        <w:softHyphen/>
        <w:t>требителей И-9, И-10, И-11) с передачей в серийное производство в 1934 г.</w:t>
      </w:r>
    </w:p>
    <w:p w14:paraId="3D20607C" w14:textId="77777777" w:rsidR="001B6E91" w:rsidRPr="007122AB" w:rsidRDefault="001B6E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Появление в плане тяжелого штур</w:t>
      </w:r>
      <w:r w:rsidRPr="007122AB">
        <w:rPr>
          <w:rFonts w:ascii="Times New Roman" w:hAnsi="Times New Roman"/>
          <w:color w:val="000000" w:themeColor="text1"/>
          <w:sz w:val="16"/>
          <w:szCs w:val="16"/>
          <w:lang w:eastAsia="ru-RU" w:bidi="ru-RU"/>
        </w:rPr>
        <w:softHyphen/>
        <w:t>мовика ТШ-3 с мотором М-34 вполне за</w:t>
      </w:r>
      <w:r w:rsidRPr="007122AB">
        <w:rPr>
          <w:rFonts w:ascii="Times New Roman" w:hAnsi="Times New Roman"/>
          <w:color w:val="000000" w:themeColor="text1"/>
          <w:sz w:val="16"/>
          <w:szCs w:val="16"/>
          <w:lang w:eastAsia="ru-RU" w:bidi="ru-RU"/>
        </w:rPr>
        <w:softHyphen/>
        <w:t>кономерно, так как в ЦКБ понимали, что «простая» замена на самолете ТШ-2 мо</w:t>
      </w:r>
      <w:r w:rsidRPr="007122AB">
        <w:rPr>
          <w:rFonts w:ascii="Times New Roman" w:hAnsi="Times New Roman"/>
          <w:color w:val="000000" w:themeColor="text1"/>
          <w:sz w:val="16"/>
          <w:szCs w:val="16"/>
          <w:lang w:eastAsia="ru-RU" w:bidi="ru-RU"/>
        </w:rPr>
        <w:softHyphen/>
        <w:t>тора М-17 на мотор М-34 потребует пере</w:t>
      </w:r>
      <w:r w:rsidRPr="007122AB">
        <w:rPr>
          <w:rFonts w:ascii="Times New Roman" w:hAnsi="Times New Roman"/>
          <w:color w:val="000000" w:themeColor="text1"/>
          <w:sz w:val="16"/>
          <w:szCs w:val="16"/>
          <w:lang w:eastAsia="ru-RU" w:bidi="ru-RU"/>
        </w:rPr>
        <w:softHyphen/>
        <w:t>делок винтомоторной группы, да и самой машины. На это может уйти много вре</w:t>
      </w:r>
      <w:r w:rsidRPr="007122AB">
        <w:rPr>
          <w:rFonts w:ascii="Times New Roman" w:hAnsi="Times New Roman"/>
          <w:color w:val="000000" w:themeColor="text1"/>
          <w:sz w:val="16"/>
          <w:szCs w:val="16"/>
          <w:lang w:eastAsia="ru-RU" w:bidi="ru-RU"/>
        </w:rPr>
        <w:softHyphen/>
        <w:t>мени. Между тем ТШ-2 самолет уже да</w:t>
      </w:r>
      <w:r w:rsidRPr="007122AB">
        <w:rPr>
          <w:rFonts w:ascii="Times New Roman" w:hAnsi="Times New Roman"/>
          <w:color w:val="000000" w:themeColor="text1"/>
          <w:sz w:val="16"/>
          <w:szCs w:val="16"/>
          <w:lang w:eastAsia="ru-RU" w:bidi="ru-RU"/>
        </w:rPr>
        <w:softHyphen/>
        <w:t>леко не современный и за время дора</w:t>
      </w:r>
      <w:r w:rsidRPr="007122AB">
        <w:rPr>
          <w:rFonts w:ascii="Times New Roman" w:hAnsi="Times New Roman"/>
          <w:color w:val="000000" w:themeColor="text1"/>
          <w:sz w:val="16"/>
          <w:szCs w:val="16"/>
          <w:lang w:eastAsia="ru-RU" w:bidi="ru-RU"/>
        </w:rPr>
        <w:softHyphen/>
        <w:t>ботки устареет еще более. По этой при</w:t>
      </w:r>
      <w:r w:rsidRPr="007122AB">
        <w:rPr>
          <w:rFonts w:ascii="Times New Roman" w:hAnsi="Times New Roman"/>
          <w:color w:val="000000" w:themeColor="text1"/>
          <w:sz w:val="16"/>
          <w:szCs w:val="16"/>
          <w:lang w:eastAsia="ru-RU" w:bidi="ru-RU"/>
        </w:rPr>
        <w:softHyphen/>
        <w:t>чине и было принято решение строить новый вариант штурмовика специально под мотор М-34.</w:t>
      </w:r>
    </w:p>
    <w:p w14:paraId="1E225CC0" w14:textId="77777777" w:rsidR="001B6E91" w:rsidRPr="007122AB" w:rsidRDefault="001B6E91"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Отметим, что в плане четко прослежи</w:t>
      </w:r>
      <w:r w:rsidRPr="007122AB">
        <w:rPr>
          <w:rFonts w:ascii="Times New Roman" w:hAnsi="Times New Roman"/>
          <w:color w:val="000000" w:themeColor="text1"/>
          <w:sz w:val="16"/>
          <w:szCs w:val="16"/>
          <w:lang w:eastAsia="ru-RU" w:bidi="ru-RU"/>
        </w:rPr>
        <w:softHyphen/>
        <w:t>вается система: легкий штурмовик - штур</w:t>
      </w:r>
      <w:r w:rsidRPr="007122AB">
        <w:rPr>
          <w:rFonts w:ascii="Times New Roman" w:hAnsi="Times New Roman"/>
          <w:color w:val="000000" w:themeColor="text1"/>
          <w:sz w:val="16"/>
          <w:szCs w:val="16"/>
          <w:lang w:eastAsia="ru-RU" w:bidi="ru-RU"/>
        </w:rPr>
        <w:softHyphen/>
        <w:t>мовая модернизация серийного истреби</w:t>
      </w:r>
      <w:r w:rsidRPr="007122AB">
        <w:rPr>
          <w:rFonts w:ascii="Times New Roman" w:hAnsi="Times New Roman"/>
          <w:color w:val="000000" w:themeColor="text1"/>
          <w:sz w:val="16"/>
          <w:szCs w:val="16"/>
          <w:lang w:eastAsia="ru-RU" w:bidi="ru-RU"/>
        </w:rPr>
        <w:softHyphen/>
        <w:t>теля, тяжелый бронированный штурмо</w:t>
      </w:r>
      <w:r w:rsidRPr="007122AB">
        <w:rPr>
          <w:rFonts w:ascii="Times New Roman" w:hAnsi="Times New Roman"/>
          <w:color w:val="000000" w:themeColor="text1"/>
          <w:sz w:val="16"/>
          <w:szCs w:val="16"/>
          <w:lang w:eastAsia="ru-RU" w:bidi="ru-RU"/>
        </w:rPr>
        <w:softHyphen/>
        <w:t>вик- специальная разработка или глубо</w:t>
      </w:r>
      <w:r w:rsidRPr="007122AB">
        <w:rPr>
          <w:rFonts w:ascii="Times New Roman" w:hAnsi="Times New Roman"/>
          <w:color w:val="000000" w:themeColor="text1"/>
          <w:sz w:val="16"/>
          <w:szCs w:val="16"/>
          <w:lang w:eastAsia="ru-RU" w:bidi="ru-RU"/>
        </w:rPr>
        <w:softHyphen/>
        <w:t>кая модификация серийного разведчика или легкого бомбардировщика (21062).</w:t>
      </w:r>
    </w:p>
    <w:p w14:paraId="71B66DDE" w14:textId="77777777" w:rsidR="006E79F2" w:rsidRDefault="006E79F2" w:rsidP="007122AB">
      <w:pPr>
        <w:autoSpaceDE w:val="0"/>
        <w:autoSpaceDN w:val="0"/>
        <w:adjustRightInd w:val="0"/>
        <w:spacing w:after="0" w:line="240" w:lineRule="auto"/>
        <w:jc w:val="both"/>
        <w:rPr>
          <w:rFonts w:ascii="Times New Roman" w:hAnsi="Times New Roman"/>
          <w:color w:val="000000" w:themeColor="text1"/>
          <w:sz w:val="16"/>
          <w:szCs w:val="16"/>
        </w:rPr>
      </w:pPr>
    </w:p>
    <w:p w14:paraId="59AE533E" w14:textId="3B02B3BF"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пояснительной записке к плану опытного строительства, отпечатанной 25 августа 1931, п. 5. "Уменьшение количества типов, находящихся в постройке и на снабжении достигается путем применения модификаций, например: штурмовик должен быть модификацией разведчика или истребителя, пассажирские самолеты - бомбардировщиков (351).</w:t>
      </w:r>
    </w:p>
    <w:p w14:paraId="0FBC6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Интересно, кто решил и почему вновь вставили ТШ-2 и ТШ-3.</w:t>
      </w:r>
    </w:p>
    <w:p w14:paraId="4A0ACD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Судя по материалу "Обеспечение серийного строительства заводами" ЛШ должен был быть модификацией истребителя (351).</w:t>
      </w:r>
    </w:p>
    <w:p w14:paraId="1B8487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была подготовлена:</w:t>
      </w:r>
    </w:p>
    <w:p w14:paraId="463D2B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smallCaps/>
          <w:color w:val="000000" w:themeColor="text1"/>
          <w:sz w:val="16"/>
          <w:szCs w:val="16"/>
        </w:rPr>
        <w:t>пояснительная записка.</w:t>
      </w:r>
    </w:p>
    <w:p w14:paraId="33CA09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плану опытного строительства.</w:t>
      </w:r>
    </w:p>
    <w:p w14:paraId="68D279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6D8930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составлении плана в основу положено разрешение следующих вопросов:</w:t>
      </w:r>
    </w:p>
    <w:p w14:paraId="4324D8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77A182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Обеспечить смену самолетами более </w:t>
      </w:r>
      <w:proofErr w:type="spellStart"/>
      <w:r w:rsidRPr="007122AB">
        <w:rPr>
          <w:rFonts w:ascii="Times New Roman" w:hAnsi="Times New Roman"/>
          <w:color w:val="000000" w:themeColor="text1"/>
          <w:sz w:val="16"/>
          <w:szCs w:val="16"/>
        </w:rPr>
        <w:t>высоакого</w:t>
      </w:r>
      <w:proofErr w:type="spellEnd"/>
      <w:r w:rsidRPr="007122AB">
        <w:rPr>
          <w:rFonts w:ascii="Times New Roman" w:hAnsi="Times New Roman"/>
          <w:color w:val="000000" w:themeColor="text1"/>
          <w:sz w:val="16"/>
          <w:szCs w:val="16"/>
        </w:rPr>
        <w:t xml:space="preserve"> качества.</w:t>
      </w:r>
    </w:p>
    <w:p w14:paraId="0A1E73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4D3FC5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Обеспечить введение на снабжение новых видов вооруженных самолетов.</w:t>
      </w:r>
    </w:p>
    <w:p w14:paraId="228A12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Свести количество типов, </w:t>
      </w:r>
      <w:proofErr w:type="spellStart"/>
      <w:r w:rsidRPr="007122AB">
        <w:rPr>
          <w:rFonts w:ascii="Times New Roman" w:hAnsi="Times New Roman"/>
          <w:color w:val="000000" w:themeColor="text1"/>
          <w:sz w:val="16"/>
          <w:szCs w:val="16"/>
        </w:rPr>
        <w:t>ваходящихся</w:t>
      </w:r>
      <w:proofErr w:type="spellEnd"/>
      <w:r w:rsidRPr="007122AB">
        <w:rPr>
          <w:rFonts w:ascii="Times New Roman" w:hAnsi="Times New Roman"/>
          <w:color w:val="000000" w:themeColor="text1"/>
          <w:sz w:val="16"/>
          <w:szCs w:val="16"/>
        </w:rPr>
        <w:t xml:space="preserve"> на снабжении к наимень</w:t>
      </w:r>
      <w:r w:rsidRPr="007122AB">
        <w:rPr>
          <w:rFonts w:ascii="Times New Roman" w:hAnsi="Times New Roman"/>
          <w:color w:val="000000" w:themeColor="text1"/>
          <w:sz w:val="16"/>
          <w:szCs w:val="16"/>
        </w:rPr>
        <w:softHyphen/>
        <w:t>шему.</w:t>
      </w:r>
    </w:p>
    <w:p w14:paraId="260404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03317C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Разрешение перечисленных вопросов выразилось в следующем:</w:t>
      </w:r>
    </w:p>
    <w:p w14:paraId="1C77E0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Смена типов</w:t>
      </w:r>
    </w:p>
    <w:p w14:paraId="3DDABC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7122AB">
        <w:rPr>
          <w:rFonts w:ascii="Times New Roman" w:hAnsi="Times New Roman"/>
          <w:color w:val="000000" w:themeColor="text1"/>
          <w:sz w:val="16"/>
          <w:szCs w:val="16"/>
        </w:rPr>
        <w:softHyphen/>
        <w:t>бителя возможен в 33-м году.</w:t>
      </w:r>
    </w:p>
    <w:p w14:paraId="0B6EDB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Разведчик сменяется в 34-м году по тем же причинам.</w:t>
      </w:r>
    </w:p>
    <w:p w14:paraId="36D874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28F456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40A709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выпускаются И5-бис, И9, И10 и И11, Р8 и Р9 и т.д.</w:t>
      </w:r>
    </w:p>
    <w:p w14:paraId="6329F2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7122AB">
        <w:rPr>
          <w:rFonts w:ascii="Times New Roman" w:hAnsi="Times New Roman"/>
          <w:color w:val="000000" w:themeColor="text1"/>
          <w:sz w:val="16"/>
          <w:szCs w:val="16"/>
        </w:rPr>
        <w:softHyphen/>
        <w:t xml:space="preserve">го летного и </w:t>
      </w:r>
      <w:proofErr w:type="spellStart"/>
      <w:r w:rsidRPr="007122AB">
        <w:rPr>
          <w:rFonts w:ascii="Times New Roman" w:hAnsi="Times New Roman"/>
          <w:color w:val="000000" w:themeColor="text1"/>
          <w:sz w:val="16"/>
          <w:szCs w:val="16"/>
        </w:rPr>
        <w:t>эксплоатационного</w:t>
      </w:r>
      <w:proofErr w:type="spellEnd"/>
      <w:r w:rsidRPr="007122AB">
        <w:rPr>
          <w:rFonts w:ascii="Times New Roman" w:hAnsi="Times New Roman"/>
          <w:color w:val="000000" w:themeColor="text1"/>
          <w:sz w:val="16"/>
          <w:szCs w:val="16"/>
        </w:rPr>
        <w:t xml:space="preserve"> испытания. По выходе ново</w:t>
      </w:r>
      <w:r w:rsidRPr="007122AB">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5B36F6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7122AB">
        <w:rPr>
          <w:rFonts w:ascii="Times New Roman" w:hAnsi="Times New Roman"/>
          <w:color w:val="000000" w:themeColor="text1"/>
          <w:sz w:val="16"/>
          <w:szCs w:val="16"/>
        </w:rPr>
        <w:softHyphen/>
        <w:t>вать М34 в 34-м году.</w:t>
      </w:r>
    </w:p>
    <w:p w14:paraId="66A4CF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w:t>
      </w:r>
      <w:proofErr w:type="spellStart"/>
      <w:r w:rsidRPr="007122AB">
        <w:rPr>
          <w:rFonts w:ascii="Times New Roman" w:hAnsi="Times New Roman"/>
          <w:color w:val="000000" w:themeColor="text1"/>
          <w:sz w:val="16"/>
          <w:szCs w:val="16"/>
        </w:rPr>
        <w:t>линейн</w:t>
      </w:r>
      <w:proofErr w:type="spellEnd"/>
      <w:r w:rsidRPr="007122AB">
        <w:rPr>
          <w:rFonts w:ascii="Times New Roman" w:hAnsi="Times New Roman"/>
          <w:color w:val="000000" w:themeColor="text1"/>
          <w:sz w:val="16"/>
          <w:szCs w:val="16"/>
        </w:rPr>
        <w:t>., МДР, МК, КОР, СПЛ и т.д.</w:t>
      </w:r>
    </w:p>
    <w:p w14:paraId="5BA84B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627245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 должен </w:t>
      </w:r>
      <w:proofErr w:type="spellStart"/>
      <w:r w:rsidRPr="007122AB">
        <w:rPr>
          <w:rFonts w:ascii="Times New Roman" w:hAnsi="Times New Roman"/>
          <w:color w:val="000000" w:themeColor="text1"/>
          <w:sz w:val="16"/>
          <w:szCs w:val="16"/>
        </w:rPr>
        <w:t>бнть</w:t>
      </w:r>
      <w:proofErr w:type="spellEnd"/>
      <w:r w:rsidRPr="007122AB">
        <w:rPr>
          <w:rFonts w:ascii="Times New Roman" w:hAnsi="Times New Roman"/>
          <w:color w:val="000000" w:themeColor="text1"/>
          <w:sz w:val="16"/>
          <w:szCs w:val="16"/>
        </w:rPr>
        <w:t xml:space="preserve"> модификацией разведчика или истре</w:t>
      </w:r>
      <w:r w:rsidRPr="007122AB">
        <w:rPr>
          <w:rFonts w:ascii="Times New Roman" w:hAnsi="Times New Roman"/>
          <w:color w:val="000000" w:themeColor="text1"/>
          <w:sz w:val="16"/>
          <w:szCs w:val="16"/>
        </w:rPr>
        <w:softHyphen/>
        <w:t>бителя, пассажирские самолеты - бомбардировщиков.</w:t>
      </w:r>
    </w:p>
    <w:p w14:paraId="54DA99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Экспериментальные работы введены у виде рекордных самолетов и параболы.</w:t>
      </w:r>
    </w:p>
    <w:p w14:paraId="6144A7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Таблица “загрузка серийных самолетостроительных заводов в 1931-1935 г.”</w:t>
      </w:r>
    </w:p>
    <w:p w14:paraId="21E750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42175C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Начало серийного производства самолетов вытекает из сро</w:t>
      </w:r>
      <w:r w:rsidRPr="007122AB">
        <w:rPr>
          <w:rFonts w:ascii="Times New Roman" w:hAnsi="Times New Roman"/>
          <w:color w:val="000000" w:themeColor="text1"/>
          <w:sz w:val="16"/>
          <w:szCs w:val="16"/>
        </w:rPr>
        <w:softHyphen/>
        <w:t xml:space="preserve">ков </w:t>
      </w:r>
      <w:proofErr w:type="spellStart"/>
      <w:r w:rsidRPr="007122AB">
        <w:rPr>
          <w:rFonts w:ascii="Times New Roman" w:hAnsi="Times New Roman"/>
          <w:color w:val="000000" w:themeColor="text1"/>
          <w:sz w:val="16"/>
          <w:szCs w:val="16"/>
        </w:rPr>
        <w:t>внпуска</w:t>
      </w:r>
      <w:proofErr w:type="spellEnd"/>
      <w:r w:rsidRPr="007122AB">
        <w:rPr>
          <w:rFonts w:ascii="Times New Roman" w:hAnsi="Times New Roman"/>
          <w:color w:val="000000" w:themeColor="text1"/>
          <w:sz w:val="16"/>
          <w:szCs w:val="16"/>
        </w:rPr>
        <w:t xml:space="preserve"> опытного образца /см. табл. </w:t>
      </w: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w:t>
      </w:r>
    </w:p>
    <w:p w14:paraId="15341A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7122AB">
        <w:rPr>
          <w:rFonts w:ascii="Times New Roman" w:hAnsi="Times New Roman"/>
          <w:color w:val="000000" w:themeColor="text1"/>
          <w:sz w:val="16"/>
          <w:szCs w:val="16"/>
        </w:rPr>
        <w:softHyphen/>
        <w:t>пускаемых самолетов.</w:t>
      </w:r>
    </w:p>
    <w:p w14:paraId="0AEB37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 Таблица “Потребность в моторах по типам" является выбор</w:t>
      </w:r>
      <w:r w:rsidRPr="007122AB">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7CCDCC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7E1EB9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7BD0BD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11F550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была подготовлена справка:</w:t>
      </w:r>
    </w:p>
    <w:p w14:paraId="0B1340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ОБЕСПЕЧЕНИЕ СЕРИЙНОГО СТРОИТЕЛЬСТВА ЗАВОДАМИ.</w:t>
      </w:r>
    </w:p>
    <w:p w14:paraId="7C8ECB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Для выполнения программного </w:t>
      </w:r>
      <w:proofErr w:type="spellStart"/>
      <w:r w:rsidRPr="007122AB">
        <w:rPr>
          <w:rFonts w:ascii="Times New Roman" w:hAnsi="Times New Roman"/>
          <w:color w:val="000000" w:themeColor="text1"/>
          <w:sz w:val="16"/>
          <w:szCs w:val="16"/>
        </w:rPr>
        <w:t>заданяя</w:t>
      </w:r>
      <w:proofErr w:type="spellEnd"/>
      <w:r w:rsidRPr="007122AB">
        <w:rPr>
          <w:rFonts w:ascii="Times New Roman" w:hAnsi="Times New Roman"/>
          <w:color w:val="000000" w:themeColor="text1"/>
          <w:sz w:val="16"/>
          <w:szCs w:val="16"/>
        </w:rPr>
        <w:t xml:space="preserve"> Штаба УВВС РККА по выпуску самолетов, ОКБ считает необходимым постройку и окончание постройки следующих заводов:</w:t>
      </w:r>
    </w:p>
    <w:p w14:paraId="0D10DF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5B5494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 18 предназначается для массовой постройки металлических /</w:t>
      </w:r>
      <w:proofErr w:type="spellStart"/>
      <w:r w:rsidRPr="007122AB">
        <w:rPr>
          <w:rFonts w:ascii="Times New Roman" w:hAnsi="Times New Roman"/>
          <w:color w:val="000000" w:themeColor="text1"/>
          <w:sz w:val="16"/>
          <w:szCs w:val="16"/>
        </w:rPr>
        <w:t>колъчуг</w:t>
      </w:r>
      <w:proofErr w:type="spellEnd"/>
      <w:r w:rsidRPr="007122AB">
        <w:rPr>
          <w:rFonts w:ascii="Times New Roman" w:hAnsi="Times New Roman"/>
          <w:color w:val="000000" w:themeColor="text1"/>
          <w:sz w:val="16"/>
          <w:szCs w:val="16"/>
        </w:rPr>
        <w:t>-алюминиевых/ бомбардировщиков большого тоннажа; завод должен быть расширен до мощности в 1500 единиц в год и в 32 году начат задел первых серий.</w:t>
      </w:r>
    </w:p>
    <w:p w14:paraId="56D0C2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7122AB">
        <w:rPr>
          <w:rFonts w:ascii="Times New Roman" w:hAnsi="Times New Roman"/>
          <w:smallCaps/>
          <w:color w:val="000000" w:themeColor="text1"/>
          <w:sz w:val="16"/>
          <w:szCs w:val="16"/>
        </w:rPr>
        <w:t xml:space="preserve">. </w:t>
      </w:r>
      <w:r w:rsidRPr="007122AB">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21C522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4/ Новый завод в гор. Ейске для серийного выпуска </w:t>
      </w:r>
      <w:proofErr w:type="spellStart"/>
      <w:r w:rsidRPr="007122AB">
        <w:rPr>
          <w:rFonts w:ascii="Times New Roman" w:hAnsi="Times New Roman"/>
          <w:color w:val="000000" w:themeColor="text1"/>
          <w:sz w:val="16"/>
          <w:szCs w:val="16"/>
        </w:rPr>
        <w:t>желых</w:t>
      </w:r>
      <w:proofErr w:type="spellEnd"/>
      <w:r w:rsidRPr="007122AB">
        <w:rPr>
          <w:rFonts w:ascii="Times New Roman" w:hAnsi="Times New Roman"/>
          <w:color w:val="000000" w:themeColor="text1"/>
          <w:sz w:val="16"/>
          <w:szCs w:val="16"/>
        </w:rPr>
        <w:t xml:space="preserve"> морских самолетов; мощность завода - 300 единиц в год</w:t>
      </w:r>
      <w:r w:rsidRPr="007122AB">
        <w:rPr>
          <w:rFonts w:ascii="Times New Roman" w:hAnsi="Times New Roman"/>
          <w:smallCaps/>
          <w:color w:val="000000" w:themeColor="text1"/>
          <w:sz w:val="16"/>
          <w:szCs w:val="16"/>
        </w:rPr>
        <w:t>; з</w:t>
      </w:r>
      <w:r w:rsidRPr="007122AB">
        <w:rPr>
          <w:rFonts w:ascii="Times New Roman" w:hAnsi="Times New Roman"/>
          <w:color w:val="000000" w:themeColor="text1"/>
          <w:sz w:val="16"/>
          <w:szCs w:val="16"/>
        </w:rPr>
        <w:t>авод должен начать задел первых серий в 1933 г.</w:t>
      </w:r>
    </w:p>
    <w:p w14:paraId="22B60E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Новый завод массового выпуска легких спортивных самолетов; мощность - 3000 единиц в год; </w:t>
      </w:r>
      <w:proofErr w:type="spellStart"/>
      <w:r w:rsidRPr="007122AB">
        <w:rPr>
          <w:rFonts w:ascii="Times New Roman" w:hAnsi="Times New Roman"/>
          <w:color w:val="000000" w:themeColor="text1"/>
          <w:sz w:val="16"/>
          <w:szCs w:val="16"/>
        </w:rPr>
        <w:t>заводдолжен</w:t>
      </w:r>
      <w:proofErr w:type="spellEnd"/>
      <w:r w:rsidRPr="007122AB">
        <w:rPr>
          <w:rFonts w:ascii="Times New Roman" w:hAnsi="Times New Roman"/>
          <w:color w:val="000000" w:themeColor="text1"/>
          <w:sz w:val="16"/>
          <w:szCs w:val="16"/>
        </w:rPr>
        <w:t xml:space="preserve"> дать выпуск первых серий в 1934 г.</w:t>
      </w:r>
    </w:p>
    <w:p w14:paraId="3D43F2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72AB18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28E700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410748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w:t>
      </w:r>
      <w:proofErr w:type="spellStart"/>
      <w:r w:rsidRPr="007122AB">
        <w:rPr>
          <w:rFonts w:ascii="Times New Roman" w:hAnsi="Times New Roman"/>
          <w:color w:val="000000" w:themeColor="text1"/>
          <w:sz w:val="16"/>
          <w:szCs w:val="16"/>
        </w:rPr>
        <w:t>Ддя</w:t>
      </w:r>
      <w:proofErr w:type="spellEnd"/>
      <w:r w:rsidRPr="007122AB">
        <w:rPr>
          <w:rFonts w:ascii="Times New Roman" w:hAnsi="Times New Roman"/>
          <w:color w:val="000000" w:themeColor="text1"/>
          <w:sz w:val="16"/>
          <w:szCs w:val="16"/>
        </w:rPr>
        <w:t xml:space="preserve"> обеспечения моторами выпускаемых самолетов должны быть построены в окончены </w:t>
      </w:r>
      <w:proofErr w:type="spellStart"/>
      <w:r w:rsidRPr="007122AB">
        <w:rPr>
          <w:rFonts w:ascii="Times New Roman" w:hAnsi="Times New Roman"/>
          <w:color w:val="000000" w:themeColor="text1"/>
          <w:sz w:val="16"/>
          <w:szCs w:val="16"/>
        </w:rPr>
        <w:t>оледующие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моторостроятельные</w:t>
      </w:r>
      <w:proofErr w:type="spellEnd"/>
      <w:r w:rsidRPr="007122AB">
        <w:rPr>
          <w:rFonts w:ascii="Times New Roman" w:hAnsi="Times New Roman"/>
          <w:color w:val="000000" w:themeColor="text1"/>
          <w:sz w:val="16"/>
          <w:szCs w:val="16"/>
        </w:rPr>
        <w:t xml:space="preserve"> заводы:.</w:t>
      </w:r>
    </w:p>
    <w:p w14:paraId="4F86BB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Завод № 19 предназначается для массового выпуска моторов воздушного охлаждения и должен иметь </w:t>
      </w:r>
      <w:proofErr w:type="spellStart"/>
      <w:r w:rsidRPr="007122AB">
        <w:rPr>
          <w:rFonts w:ascii="Times New Roman" w:hAnsi="Times New Roman"/>
          <w:color w:val="000000" w:themeColor="text1"/>
          <w:sz w:val="16"/>
          <w:szCs w:val="16"/>
        </w:rPr>
        <w:t>мощнность</w:t>
      </w:r>
      <w:proofErr w:type="spellEnd"/>
      <w:r w:rsidRPr="007122AB">
        <w:rPr>
          <w:rFonts w:ascii="Times New Roman" w:hAnsi="Times New Roman"/>
          <w:color w:val="000000" w:themeColor="text1"/>
          <w:sz w:val="16"/>
          <w:szCs w:val="16"/>
        </w:rPr>
        <w:t xml:space="preserve"> 5600 единиц в год. Первые серии моторов должны быть выпущены в 1933 г.</w:t>
      </w:r>
    </w:p>
    <w:p w14:paraId="7EC724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Новый завод моторов </w:t>
      </w:r>
      <w:proofErr w:type="spellStart"/>
      <w:r w:rsidRPr="007122AB">
        <w:rPr>
          <w:rFonts w:ascii="Times New Roman" w:hAnsi="Times New Roman"/>
          <w:color w:val="000000" w:themeColor="text1"/>
          <w:sz w:val="16"/>
          <w:szCs w:val="16"/>
        </w:rPr>
        <w:t>воздушногоохлаждения</w:t>
      </w:r>
      <w:proofErr w:type="spellEnd"/>
      <w:r w:rsidRPr="007122AB">
        <w:rPr>
          <w:rFonts w:ascii="Times New Roman" w:hAnsi="Times New Roman"/>
          <w:color w:val="000000" w:themeColor="text1"/>
          <w:sz w:val="16"/>
          <w:szCs w:val="16"/>
        </w:rPr>
        <w:t>; мощность 15000 единиц в год; выпуск первой сери должна быть в 1934 г.</w:t>
      </w:r>
    </w:p>
    <w:p w14:paraId="38C1F9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Новый завод моторов водяного охлаждения /предназначается для постройки лицензионных моторов/. </w:t>
      </w:r>
      <w:proofErr w:type="spellStart"/>
      <w:r w:rsidRPr="007122AB">
        <w:rPr>
          <w:rFonts w:ascii="Times New Roman" w:hAnsi="Times New Roman"/>
          <w:color w:val="000000" w:themeColor="text1"/>
          <w:sz w:val="16"/>
          <w:szCs w:val="16"/>
        </w:rPr>
        <w:t>Первыа</w:t>
      </w:r>
      <w:proofErr w:type="spellEnd"/>
      <w:r w:rsidRPr="007122AB">
        <w:rPr>
          <w:rFonts w:ascii="Times New Roman" w:hAnsi="Times New Roman"/>
          <w:color w:val="000000" w:themeColor="text1"/>
          <w:sz w:val="16"/>
          <w:szCs w:val="16"/>
        </w:rPr>
        <w:t xml:space="preserve"> серии должны быть выпущены в 1935 году.</w:t>
      </w:r>
    </w:p>
    <w:p w14:paraId="047D4E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для моторостроения требуется:</w:t>
      </w:r>
    </w:p>
    <w:p w14:paraId="562A33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2C05CF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того, что на 1935 год </w:t>
      </w:r>
      <w:proofErr w:type="spellStart"/>
      <w:r w:rsidRPr="007122AB">
        <w:rPr>
          <w:rFonts w:ascii="Times New Roman" w:hAnsi="Times New Roman"/>
          <w:color w:val="000000" w:themeColor="text1"/>
          <w:sz w:val="16"/>
          <w:szCs w:val="16"/>
        </w:rPr>
        <w:t>назнчена</w:t>
      </w:r>
      <w:proofErr w:type="spellEnd"/>
      <w:r w:rsidRPr="007122AB">
        <w:rPr>
          <w:rFonts w:ascii="Times New Roman" w:hAnsi="Times New Roman"/>
          <w:color w:val="000000" w:themeColor="text1"/>
          <w:sz w:val="16"/>
          <w:szCs w:val="16"/>
        </w:rPr>
        <w:t xml:space="preserve">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75E5DA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EDEF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1931 был подписан Отчет по испытанию авиационных патронов калибра 7,62 мм Подольского завода N 17 стрельбой с самолета Р-1 М-5 в НИИ ВВС.</w:t>
      </w:r>
    </w:p>
    <w:p w14:paraId="7C1318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Стрельба производилась из пулемета ПВ-1 (3208,224-237).</w:t>
      </w:r>
    </w:p>
    <w:p w14:paraId="038F78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1854A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A74BB5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442B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августа 1931 г. Сталин писал Кагановичу: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w:t>
      </w:r>
      <w:proofErr w:type="spellStart"/>
      <w:r w:rsidRPr="007122AB">
        <w:rPr>
          <w:rFonts w:ascii="Times New Roman" w:hAnsi="Times New Roman"/>
          <w:color w:val="000000" w:themeColor="text1"/>
          <w:sz w:val="16"/>
          <w:szCs w:val="16"/>
        </w:rPr>
        <w:t>Кузнецстроя</w:t>
      </w:r>
      <w:proofErr w:type="spellEnd"/>
      <w:r w:rsidRPr="007122AB">
        <w:rPr>
          <w:rFonts w:ascii="Times New Roman" w:hAnsi="Times New Roman"/>
          <w:color w:val="000000" w:themeColor="text1"/>
          <w:sz w:val="16"/>
          <w:szCs w:val="16"/>
        </w:rPr>
        <w:t xml:space="preserve">, ни для </w:t>
      </w:r>
      <w:proofErr w:type="spellStart"/>
      <w:r w:rsidRPr="007122AB">
        <w:rPr>
          <w:rFonts w:ascii="Times New Roman" w:hAnsi="Times New Roman"/>
          <w:color w:val="000000" w:themeColor="text1"/>
          <w:sz w:val="16"/>
          <w:szCs w:val="16"/>
        </w:rPr>
        <w:t>Харьковстроя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xml:space="preserve">, АМО и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Здесь перечислены практически только объекты Кана (за исключением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(11598).</w:t>
      </w:r>
    </w:p>
    <w:p w14:paraId="2132D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9DDD25"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25 августа 1931 </w:t>
      </w:r>
      <w:r w:rsidRPr="007122AB">
        <w:rPr>
          <w:rFonts w:ascii="Times New Roman" w:hAnsi="Times New Roman"/>
          <w:color w:val="000000" w:themeColor="text1"/>
          <w:sz w:val="16"/>
          <w:szCs w:val="16"/>
        </w:rPr>
        <w:t>Политбюро ЦК ВКП (б) предложило ВСНХ провести вербовку демобилизованных красноармейцев для Донбасса; приняло решения: об освобождении от призыва в Красную Армию 10 тыс. квалифицированных рабочих и инженерно-технических работников заводов «Стали», «</w:t>
      </w:r>
      <w:proofErr w:type="spellStart"/>
      <w:r w:rsidRPr="007122AB">
        <w:rPr>
          <w:rFonts w:ascii="Times New Roman" w:hAnsi="Times New Roman"/>
          <w:color w:val="000000" w:themeColor="text1"/>
          <w:sz w:val="16"/>
          <w:szCs w:val="16"/>
        </w:rPr>
        <w:t>Востокстали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Авиатреста</w:t>
      </w:r>
      <w:proofErr w:type="spellEnd"/>
      <w:r w:rsidRPr="007122AB">
        <w:rPr>
          <w:rFonts w:ascii="Times New Roman" w:hAnsi="Times New Roman"/>
          <w:color w:val="000000" w:themeColor="text1"/>
          <w:sz w:val="16"/>
          <w:szCs w:val="16"/>
        </w:rPr>
        <w:t xml:space="preserve"> и тяжелого машиностроения; об освобождении от сбора на военную подготовку в территориальные войска рабочих, угольной промышленности Донбасса; приняло предложение комиссии о развитии шахтного строительства, постройке заводов горного оборудования и создании третьей угольной базы - Карагандинского бассейна (12265).</w:t>
      </w:r>
    </w:p>
    <w:p w14:paraId="6139B77F"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E4161E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D566BF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A7CA3A"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августа 1931 - Состоялся первый полёт самолёта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xml:space="preserve"> D.H.81 </w:t>
      </w:r>
      <w:proofErr w:type="spellStart"/>
      <w:r w:rsidRPr="007122AB">
        <w:rPr>
          <w:rFonts w:ascii="Times New Roman" w:hAnsi="Times New Roman"/>
          <w:color w:val="000000" w:themeColor="text1"/>
          <w:sz w:val="16"/>
          <w:szCs w:val="16"/>
        </w:rPr>
        <w:t>Swallow</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который представлял собой двухместный низкоплан с открытой кабиной, оборудованный двигателем </w:t>
      </w:r>
      <w:proofErr w:type="spellStart"/>
      <w:r w:rsidRPr="007122AB">
        <w:rPr>
          <w:rFonts w:ascii="Times New Roman" w:hAnsi="Times New Roman"/>
          <w:color w:val="000000" w:themeColor="text1"/>
          <w:sz w:val="16"/>
          <w:szCs w:val="16"/>
        </w:rPr>
        <w:t>Gipsy</w:t>
      </w:r>
      <w:proofErr w:type="spellEnd"/>
      <w:r w:rsidRPr="007122AB">
        <w:rPr>
          <w:rFonts w:ascii="Times New Roman" w:hAnsi="Times New Roman"/>
          <w:color w:val="000000" w:themeColor="text1"/>
          <w:sz w:val="16"/>
          <w:szCs w:val="16"/>
        </w:rPr>
        <w:t xml:space="preserve"> IV мощностью 80 л.с. Поскольку производственные мощности были загружены, проект был прерван и лишь через несколько лет возобновлён. Цельнодеревянный опытный самолёт D.H.94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Minor</w:t>
      </w:r>
      <w:proofErr w:type="spellEnd"/>
      <w:r w:rsidRPr="007122AB">
        <w:rPr>
          <w:rFonts w:ascii="Times New Roman" w:hAnsi="Times New Roman"/>
          <w:color w:val="000000" w:themeColor="text1"/>
          <w:sz w:val="16"/>
          <w:szCs w:val="16"/>
        </w:rPr>
        <w:t xml:space="preserve"> впервые поднялся в воздух 22 июня 1937г., пилотируемый капитаном Джеффри де </w:t>
      </w:r>
      <w:proofErr w:type="spellStart"/>
      <w:r w:rsidRPr="007122AB">
        <w:rPr>
          <w:rFonts w:ascii="Times New Roman" w:hAnsi="Times New Roman"/>
          <w:color w:val="000000" w:themeColor="text1"/>
          <w:sz w:val="16"/>
          <w:szCs w:val="16"/>
        </w:rPr>
        <w:t>Хэвиллендом</w:t>
      </w:r>
      <w:proofErr w:type="spellEnd"/>
      <w:r w:rsidRPr="007122AB">
        <w:rPr>
          <w:rFonts w:ascii="Times New Roman" w:hAnsi="Times New Roman"/>
          <w:color w:val="000000" w:themeColor="text1"/>
          <w:sz w:val="16"/>
          <w:szCs w:val="16"/>
        </w:rPr>
        <w:t xml:space="preserve">. К началу Второй мировой войны было собрано около 70 экземпляров, включая 9 самолётов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Minor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Coupе</w:t>
      </w:r>
      <w:proofErr w:type="spellEnd"/>
      <w:r w:rsidRPr="007122AB">
        <w:rPr>
          <w:rFonts w:ascii="Times New Roman" w:hAnsi="Times New Roman"/>
          <w:color w:val="000000" w:themeColor="text1"/>
          <w:sz w:val="16"/>
          <w:szCs w:val="16"/>
        </w:rPr>
        <w:t xml:space="preserve"> с более просторной задней частью фюзеляжа и откидывающимся на петлях фонарём кабины. В начале 1940г. чертежи, шаблоны, агрегаты и законченные, но не поставленные планеры были отправлены в компанию </w:t>
      </w:r>
      <w:proofErr w:type="spellStart"/>
      <w:r w:rsidRPr="007122AB">
        <w:rPr>
          <w:rFonts w:ascii="Times New Roman" w:hAnsi="Times New Roman"/>
          <w:color w:val="000000" w:themeColor="text1"/>
          <w:sz w:val="16"/>
          <w:szCs w:val="16"/>
        </w:rPr>
        <w:t>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Нavilland</w:t>
      </w:r>
      <w:proofErr w:type="spellEnd"/>
      <w:r w:rsidRPr="007122AB">
        <w:rPr>
          <w:rFonts w:ascii="Times New Roman" w:hAnsi="Times New Roman"/>
          <w:color w:val="000000" w:themeColor="text1"/>
          <w:sz w:val="16"/>
          <w:szCs w:val="16"/>
        </w:rPr>
        <w:t xml:space="preserve"> Aircraft </w:t>
      </w:r>
      <w:proofErr w:type="spellStart"/>
      <w:r w:rsidRPr="007122AB">
        <w:rPr>
          <w:rFonts w:ascii="Times New Roman" w:hAnsi="Times New Roman"/>
          <w:color w:val="000000" w:themeColor="text1"/>
          <w:sz w:val="16"/>
          <w:szCs w:val="16"/>
        </w:rPr>
        <w:t>Pty</w:t>
      </w:r>
      <w:proofErr w:type="spellEnd"/>
      <w:r w:rsidRPr="007122AB">
        <w:rPr>
          <w:rFonts w:ascii="Times New Roman" w:hAnsi="Times New Roman"/>
          <w:color w:val="000000" w:themeColor="text1"/>
          <w:sz w:val="16"/>
          <w:szCs w:val="16"/>
        </w:rPr>
        <w:t xml:space="preserve"> Ltd в Сиднее. Более 40 произведённых ею самолётов было поставлено в австралийские ВВС (22388).</w:t>
      </w:r>
    </w:p>
    <w:p w14:paraId="2D05F2E8" w14:textId="77777777" w:rsidR="002E083D" w:rsidRPr="007122AB" w:rsidRDefault="002E083D" w:rsidP="007122AB">
      <w:pPr>
        <w:spacing w:after="0" w:line="240" w:lineRule="auto"/>
        <w:jc w:val="both"/>
        <w:rPr>
          <w:rFonts w:ascii="Times New Roman" w:hAnsi="Times New Roman"/>
          <w:color w:val="000000" w:themeColor="text1"/>
          <w:sz w:val="16"/>
          <w:szCs w:val="16"/>
        </w:rPr>
      </w:pPr>
    </w:p>
    <w:p w14:paraId="67786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августа 1931 ZRS-4 Акрон впервые поднялся в воздух только со ста тринадцатью человеками на борту. Первый полет прошел нормально, единственным существенным конструктивным недостатком были слишком большие усилия на рулях. Уже во [429] время девятого полета, который длился 48 часов, ZRS-4 пролетел 3200 км, посетив Сент-Луис, Чикаго, Милуоки и везде вызывая огромный энтузиазм у населения и заторы на дорогах. </w:t>
      </w:r>
    </w:p>
    <w:p w14:paraId="11D20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ZRS-4 содержала несколько интересных новинок. Каркас корпуса состоял из 12 основных и 33 вспомогательных жестких переборок, 36 вертикальных профилей и 3 килей. Конструкция в целом была очень прочной и могла выдерживать большие нагрузки. Внутри жесткого корпуса размещались 12 газовых отсеков с максимальным объемом 194 000 куб. м и номинальным — 184 000 куб. м (следует помнить, что объем газового отсека мог меняться в зависимости от высоты подъема дирижабля и атмосферных условий). В боковых килях было установлено 8 рядных двенадцатицилиндровых двигателей «Майбах» VL-II мощностью по 560 л. с. Каждый мотор вращал один двухлопастной винт НАСА диаметром 5 м. Винты были реверсивными, как тянущими, так и толкающим, они могли разворачиваться в горизонтальной плоскости, что давало возможность опускаться или подниматься, лететь вперед или назад. В корпусе размещалось 110 топливных баков с общей емкостью от 50 до 57 т и от 1,1 до 5 т масла. Максимальный вес водяного балласта составлял 102 т, но обычно летали с девятью тоннами. Были установлены 2 электрогенератора «</w:t>
      </w:r>
      <w:proofErr w:type="spellStart"/>
      <w:r w:rsidRPr="007122AB">
        <w:rPr>
          <w:rFonts w:ascii="Times New Roman" w:hAnsi="Times New Roman"/>
          <w:color w:val="000000" w:themeColor="text1"/>
          <w:sz w:val="16"/>
          <w:szCs w:val="16"/>
        </w:rPr>
        <w:t>Вестингауз</w:t>
      </w:r>
      <w:proofErr w:type="spellEnd"/>
      <w:r w:rsidRPr="007122AB">
        <w:rPr>
          <w:rFonts w:ascii="Times New Roman" w:hAnsi="Times New Roman"/>
          <w:color w:val="000000" w:themeColor="text1"/>
          <w:sz w:val="16"/>
          <w:szCs w:val="16"/>
        </w:rPr>
        <w:t xml:space="preserve">» по 8 кВт с напряжением 110 В, приводимых в действие двумя </w:t>
      </w:r>
      <w:proofErr w:type="spellStart"/>
      <w:r w:rsidRPr="007122AB">
        <w:rPr>
          <w:rFonts w:ascii="Times New Roman" w:hAnsi="Times New Roman"/>
          <w:color w:val="000000" w:themeColor="text1"/>
          <w:sz w:val="16"/>
          <w:szCs w:val="16"/>
        </w:rPr>
        <w:t>бензомоторами</w:t>
      </w:r>
      <w:proofErr w:type="spellEnd"/>
      <w:r w:rsidRPr="007122AB">
        <w:rPr>
          <w:rFonts w:ascii="Times New Roman" w:hAnsi="Times New Roman"/>
          <w:color w:val="000000" w:themeColor="text1"/>
          <w:sz w:val="16"/>
          <w:szCs w:val="16"/>
        </w:rPr>
        <w:t xml:space="preserve"> мощностью по 41 л. с. </w:t>
      </w:r>
    </w:p>
    <w:p w14:paraId="41D153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Штатный экипаж состоял из 16 офицеров и 75 военнослужащих, но обычно летало не более 50 человек. Основной конструктивной новинкой дирижабля стал внутренний [430] ангар в передней части оболочки снизу, в котором размещались 5 одноместных бипланов. В этом случае экипаж увеличивался на 5 летчиков и 15 человек технического персонала, обслуживающих самолеты, и сопутствующее оборудование. На начальной стадии испытаний самолетное оборудование еще не было установлено. ZSR-4 весил 187 т, из которых 114 т были собственным весом дирижабля и 73 т составляли полезный груз. </w:t>
      </w:r>
    </w:p>
    <w:p w14:paraId="166FE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Основная гондола управления «Акрона» располагалась впереди нижней части фюзеляжа, но в случае необходимости можно было управлять дирижаблем из дополнительной кабины, расположенной на набегающей грани нижней части вертикального хвостового оперения. Основные помещения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оконечности хвостовой части корабля. </w:t>
      </w:r>
    </w:p>
    <w:p w14:paraId="5CFBC6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процессе испытаний были проверены большие водяные конденсаторы, работающие на выхлопных газах и установленные с обеих сторон оболочки над моторами. В работе они показали себя не с лучшей стороны, часто отказывали и в дальнейшем во время эксплуатации были постоянным источником неприятностей. Однако основной проблемой стало то, что, несмотря на все усилия, не удавалось достигнуть контрактной скорости 128 км/ч. Ситуация изменилась в лучшую сторону только тогда, когда установили воздушные [431] винты «</w:t>
      </w:r>
      <w:proofErr w:type="spellStart"/>
      <w:r w:rsidRPr="007122AB">
        <w:rPr>
          <w:rFonts w:ascii="Times New Roman" w:hAnsi="Times New Roman"/>
          <w:color w:val="000000" w:themeColor="text1"/>
          <w:sz w:val="16"/>
          <w:szCs w:val="16"/>
        </w:rPr>
        <w:t>Хартцелл</w:t>
      </w:r>
      <w:proofErr w:type="spellEnd"/>
      <w:r w:rsidRPr="007122AB">
        <w:rPr>
          <w:rFonts w:ascii="Times New Roman" w:hAnsi="Times New Roman"/>
          <w:color w:val="000000" w:themeColor="text1"/>
          <w:sz w:val="16"/>
          <w:szCs w:val="16"/>
        </w:rPr>
        <w:t>», благодаря чему удалось увеличить горизонтальную скорость до 127 км/ч (11324).</w:t>
      </w:r>
    </w:p>
    <w:p w14:paraId="420888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766C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25 августа 1931 по 7 июня 1935 в Англии было Национальное правительство </w:t>
      </w:r>
      <w:proofErr w:type="spellStart"/>
      <w:r w:rsidRPr="007122AB">
        <w:rPr>
          <w:rFonts w:ascii="Times New Roman" w:hAnsi="Times New Roman"/>
          <w:color w:val="000000" w:themeColor="text1"/>
          <w:sz w:val="16"/>
          <w:szCs w:val="16"/>
        </w:rPr>
        <w:t>Р.Макдональда</w:t>
      </w:r>
      <w:proofErr w:type="spellEnd"/>
      <w:r w:rsidRPr="007122AB">
        <w:rPr>
          <w:rFonts w:ascii="Times New Roman" w:hAnsi="Times New Roman"/>
          <w:color w:val="000000" w:themeColor="text1"/>
          <w:sz w:val="16"/>
          <w:szCs w:val="16"/>
        </w:rPr>
        <w:t xml:space="preserve"> (2443,406).</w:t>
      </w:r>
    </w:p>
    <w:p w14:paraId="4625E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60ADC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5F7A86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051E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августа 1931 был напечатан рапорт Зам. нач. ОКБ и директора завода им. Менжинского Нач. ВАО П.И.Б. в исполнение протокола от 17 августа 1931, при котором был представлен план опытного и серийного самолетостроения и моторостроения (351).</w:t>
      </w:r>
    </w:p>
    <w:p w14:paraId="546101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Пожалуй 17 - ошибка, так как ЦАГИ в то время еще не имело отношения к ВАО.</w:t>
      </w:r>
    </w:p>
    <w:p w14:paraId="2872F4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пояснительной записке к плану опытного строительства, отпечатанной 25 августа, п. 5. "Уменьшение количества типов, находящихся в постройке и на снабжении достигается путем применения модификаций, например: штурмовик должен быть модификацией разведчика или истребителя, пассажирские самолеты - бомбардировщиков (351).</w:t>
      </w:r>
    </w:p>
    <w:p w14:paraId="5D24EC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Интересно, кто решил и почему вновь вставили ТШ-2 и ТШ-3.</w:t>
      </w:r>
    </w:p>
    <w:p w14:paraId="6C8846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Начальнику ВАО т. </w:t>
      </w:r>
      <w:proofErr w:type="spellStart"/>
      <w:r w:rsidRPr="007122AB">
        <w:rPr>
          <w:rFonts w:ascii="Times New Roman" w:hAnsi="Times New Roman"/>
          <w:color w:val="000000" w:themeColor="text1"/>
          <w:sz w:val="16"/>
          <w:szCs w:val="16"/>
        </w:rPr>
        <w:t>П.И.Баранову</w:t>
      </w:r>
      <w:proofErr w:type="spellEnd"/>
      <w:r w:rsidRPr="007122AB">
        <w:rPr>
          <w:rFonts w:ascii="Times New Roman" w:hAnsi="Times New Roman"/>
          <w:color w:val="000000" w:themeColor="text1"/>
          <w:sz w:val="16"/>
          <w:szCs w:val="16"/>
        </w:rPr>
        <w:t>.</w:t>
      </w:r>
    </w:p>
    <w:p w14:paraId="430231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 ОКБ и Директора Заводы им. Менжинского т. </w:t>
      </w:r>
      <w:proofErr w:type="spellStart"/>
      <w:r w:rsidRPr="007122AB">
        <w:rPr>
          <w:rFonts w:ascii="Times New Roman" w:hAnsi="Times New Roman"/>
          <w:color w:val="000000" w:themeColor="text1"/>
          <w:sz w:val="16"/>
          <w:szCs w:val="16"/>
        </w:rPr>
        <w:t>Н.Е.Пауфлера</w:t>
      </w:r>
      <w:proofErr w:type="spellEnd"/>
    </w:p>
    <w:p w14:paraId="462ABD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РАПОРТ.</w:t>
      </w:r>
    </w:p>
    <w:p w14:paraId="70C6F9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исполнение протокола от 17 августа </w:t>
      </w:r>
      <w:proofErr w:type="spellStart"/>
      <w:r w:rsidRPr="007122AB">
        <w:rPr>
          <w:rFonts w:ascii="Times New Roman" w:hAnsi="Times New Roman"/>
          <w:color w:val="000000" w:themeColor="text1"/>
          <w:sz w:val="16"/>
          <w:szCs w:val="16"/>
        </w:rPr>
        <w:t>а.г.при</w:t>
      </w:r>
      <w:proofErr w:type="spellEnd"/>
      <w:r w:rsidRPr="007122AB">
        <w:rPr>
          <w:rFonts w:ascii="Times New Roman" w:hAnsi="Times New Roman"/>
          <w:color w:val="000000" w:themeColor="text1"/>
          <w:sz w:val="16"/>
          <w:szCs w:val="16"/>
        </w:rPr>
        <w:t xml:space="preserve"> представляю план опытного и </w:t>
      </w:r>
      <w:proofErr w:type="spellStart"/>
      <w:r w:rsidRPr="007122AB">
        <w:rPr>
          <w:rFonts w:ascii="Times New Roman" w:hAnsi="Times New Roman"/>
          <w:color w:val="000000" w:themeColor="text1"/>
          <w:sz w:val="16"/>
          <w:szCs w:val="16"/>
        </w:rPr>
        <w:t>серярного</w:t>
      </w:r>
      <w:proofErr w:type="spellEnd"/>
      <w:r w:rsidRPr="007122AB">
        <w:rPr>
          <w:rFonts w:ascii="Times New Roman" w:hAnsi="Times New Roman"/>
          <w:color w:val="000000" w:themeColor="text1"/>
          <w:sz w:val="16"/>
          <w:szCs w:val="16"/>
        </w:rPr>
        <w:t xml:space="preserve"> самолетостроения г моторостроения.</w:t>
      </w:r>
    </w:p>
    <w:p w14:paraId="1C61BA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составлений плана принято в основу следующее:</w:t>
      </w:r>
    </w:p>
    <w:p w14:paraId="6C30ED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Разбивка типов самолетов по системе вооружения.</w:t>
      </w:r>
    </w:p>
    <w:p w14:paraId="2C1DB3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Сведение количества типов самолетов до минимума</w:t>
      </w:r>
    </w:p>
    <w:p w14:paraId="0A7EB3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Полное совмещение гражданских самолетов с военными</w:t>
      </w:r>
    </w:p>
    <w:p w14:paraId="39AD3F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4. Периодическая сменность типов самолетов </w:t>
      </w:r>
      <w:proofErr w:type="spellStart"/>
      <w:r w:rsidRPr="007122AB">
        <w:rPr>
          <w:rFonts w:ascii="Times New Roman" w:hAnsi="Times New Roman"/>
          <w:color w:val="000000" w:themeColor="text1"/>
          <w:sz w:val="16"/>
          <w:szCs w:val="16"/>
        </w:rPr>
        <w:t>новьши</w:t>
      </w:r>
      <w:proofErr w:type="spellEnd"/>
      <w:r w:rsidRPr="007122AB">
        <w:rPr>
          <w:rFonts w:ascii="Times New Roman" w:hAnsi="Times New Roman"/>
          <w:color w:val="000000" w:themeColor="text1"/>
          <w:sz w:val="16"/>
          <w:szCs w:val="16"/>
        </w:rPr>
        <w:t xml:space="preserve"> более высокого качества.</w:t>
      </w:r>
    </w:p>
    <w:p w14:paraId="4673D0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Увязка выпуска опытных и серийных самолетов с выпуском моторов.</w:t>
      </w:r>
    </w:p>
    <w:p w14:paraId="642465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Использование лицензионных </w:t>
      </w:r>
      <w:proofErr w:type="spellStart"/>
      <w:r w:rsidRPr="007122AB">
        <w:rPr>
          <w:rFonts w:ascii="Times New Roman" w:hAnsi="Times New Roman"/>
          <w:color w:val="000000" w:themeColor="text1"/>
          <w:sz w:val="16"/>
          <w:szCs w:val="16"/>
        </w:rPr>
        <w:t>нотогов</w:t>
      </w:r>
      <w:proofErr w:type="spellEnd"/>
      <w:r w:rsidRPr="007122AB">
        <w:rPr>
          <w:rFonts w:ascii="Times New Roman" w:hAnsi="Times New Roman"/>
          <w:color w:val="000000" w:themeColor="text1"/>
          <w:sz w:val="16"/>
          <w:szCs w:val="16"/>
        </w:rPr>
        <w:t xml:space="preserve"> “Райт-Цикл” и "Райт Ж6”.</w:t>
      </w:r>
    </w:p>
    <w:p w14:paraId="634D3A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Внедрение опытных образцов в серию исходя из реальных возможностей серийного производства.</w:t>
      </w:r>
    </w:p>
    <w:p w14:paraId="24B974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Производство экспериментальных работ и выпуск нескольких опытных образцов для выбора одного идущего в серию.</w:t>
      </w:r>
    </w:p>
    <w:p w14:paraId="79BCA8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Учет необходимости постройки новых заводов.</w:t>
      </w:r>
    </w:p>
    <w:p w14:paraId="55AA1E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Считаю необходимым </w:t>
      </w:r>
      <w:proofErr w:type="spellStart"/>
      <w:r w:rsidRPr="007122AB">
        <w:rPr>
          <w:rFonts w:ascii="Times New Roman" w:hAnsi="Times New Roman"/>
          <w:color w:val="000000" w:themeColor="text1"/>
          <w:sz w:val="16"/>
          <w:szCs w:val="16"/>
        </w:rPr>
        <w:t>отметить,что</w:t>
      </w:r>
      <w:proofErr w:type="spellEnd"/>
      <w:r w:rsidRPr="007122AB">
        <w:rPr>
          <w:rFonts w:ascii="Times New Roman" w:hAnsi="Times New Roman"/>
          <w:color w:val="000000" w:themeColor="text1"/>
          <w:sz w:val="16"/>
          <w:szCs w:val="16"/>
        </w:rPr>
        <w:t xml:space="preserve"> мотор "</w:t>
      </w:r>
      <w:proofErr w:type="spellStart"/>
      <w:r w:rsidRPr="007122AB">
        <w:rPr>
          <w:rFonts w:ascii="Times New Roman" w:hAnsi="Times New Roman"/>
          <w:color w:val="000000" w:themeColor="text1"/>
          <w:sz w:val="16"/>
          <w:szCs w:val="16"/>
        </w:rPr>
        <w:t>Кертисс-Конкверрор</w:t>
      </w:r>
      <w:proofErr w:type="spellEnd"/>
      <w:r w:rsidRPr="007122AB">
        <w:rPr>
          <w:rFonts w:ascii="Times New Roman" w:hAnsi="Times New Roman"/>
          <w:color w:val="000000" w:themeColor="text1"/>
          <w:sz w:val="16"/>
          <w:szCs w:val="16"/>
        </w:rPr>
        <w:t xml:space="preserve">" в существующей виде к использованию не </w:t>
      </w:r>
      <w:proofErr w:type="spellStart"/>
      <w:r w:rsidRPr="007122AB">
        <w:rPr>
          <w:rFonts w:ascii="Times New Roman" w:hAnsi="Times New Roman"/>
          <w:color w:val="000000" w:themeColor="text1"/>
          <w:sz w:val="16"/>
          <w:szCs w:val="16"/>
        </w:rPr>
        <w:t>иамечен</w:t>
      </w:r>
      <w:proofErr w:type="spellEnd"/>
      <w:r w:rsidRPr="007122AB">
        <w:rPr>
          <w:rFonts w:ascii="Times New Roman" w:hAnsi="Times New Roman"/>
          <w:color w:val="000000" w:themeColor="text1"/>
          <w:sz w:val="16"/>
          <w:szCs w:val="16"/>
        </w:rPr>
        <w:t>, вследствие малой мощности и отсутствия высотности, т.к. к намеченному сроку его серийного выпуска в 1933 он устареет.</w:t>
      </w:r>
    </w:p>
    <w:p w14:paraId="7A719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Поэтому предлагаю поставить в производство такой лицензионный мотор </w:t>
      </w:r>
      <w:proofErr w:type="spellStart"/>
      <w:r w:rsidRPr="007122AB">
        <w:rPr>
          <w:rFonts w:ascii="Times New Roman" w:hAnsi="Times New Roman"/>
          <w:color w:val="000000" w:themeColor="text1"/>
          <w:sz w:val="16"/>
          <w:szCs w:val="16"/>
        </w:rPr>
        <w:t>Кертисса</w:t>
      </w:r>
      <w:proofErr w:type="spellEnd"/>
      <w:r w:rsidRPr="007122AB">
        <w:rPr>
          <w:rFonts w:ascii="Times New Roman" w:hAnsi="Times New Roman"/>
          <w:color w:val="000000" w:themeColor="text1"/>
          <w:sz w:val="16"/>
          <w:szCs w:val="16"/>
        </w:rPr>
        <w:t>, качества которого будут явно выше наших моторов выпуска 1933-34 г. не только по удельной мощности, но и по высотности.</w:t>
      </w:r>
    </w:p>
    <w:p w14:paraId="73430A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данным Планового Сектора ВАО мощность Завода № 1 недостаточна для выпуска намеченного планом количества разведчиков, вследствие чего выпуск этих самолетов разбит на 2 завода: № 1 - 5000 шт. и № 31 - 1800 шт. в 1935году.</w:t>
      </w:r>
    </w:p>
    <w:p w14:paraId="6DF13E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того, что взаимозаменяемость частей самолетов, выпускаемых с 2-х заводов будет затруднена, считаю необхо</w:t>
      </w:r>
      <w:r w:rsidRPr="007122AB">
        <w:rPr>
          <w:rFonts w:ascii="Times New Roman" w:hAnsi="Times New Roman"/>
          <w:color w:val="000000" w:themeColor="text1"/>
          <w:sz w:val="16"/>
          <w:szCs w:val="16"/>
        </w:rPr>
        <w:softHyphen/>
        <w:t>димым создание особой Комиссии для обследования возможно</w:t>
      </w:r>
      <w:r w:rsidRPr="007122AB">
        <w:rPr>
          <w:rFonts w:ascii="Times New Roman" w:hAnsi="Times New Roman"/>
          <w:color w:val="000000" w:themeColor="text1"/>
          <w:sz w:val="16"/>
          <w:szCs w:val="16"/>
        </w:rPr>
        <w:softHyphen/>
        <w:t>стей выпуска всего количества разведчиков с Завода № 1 путем превращения его в комбинат /</w:t>
      </w:r>
      <w:proofErr w:type="spellStart"/>
      <w:r w:rsidRPr="007122AB">
        <w:rPr>
          <w:rFonts w:ascii="Times New Roman" w:hAnsi="Times New Roman"/>
          <w:color w:val="000000" w:themeColor="text1"/>
          <w:sz w:val="16"/>
          <w:szCs w:val="16"/>
        </w:rPr>
        <w:t>т.е.постройка</w:t>
      </w:r>
      <w:proofErr w:type="spellEnd"/>
      <w:r w:rsidRPr="007122AB">
        <w:rPr>
          <w:rFonts w:ascii="Times New Roman" w:hAnsi="Times New Roman"/>
          <w:color w:val="000000" w:themeColor="text1"/>
          <w:sz w:val="16"/>
          <w:szCs w:val="16"/>
        </w:rPr>
        <w:t xml:space="preserve"> одного - двух маленьких специальных заводов, </w:t>
      </w:r>
      <w:proofErr w:type="spellStart"/>
      <w:r w:rsidRPr="007122AB">
        <w:rPr>
          <w:rFonts w:ascii="Times New Roman" w:hAnsi="Times New Roman"/>
          <w:color w:val="000000" w:themeColor="text1"/>
          <w:sz w:val="16"/>
          <w:szCs w:val="16"/>
        </w:rPr>
        <w:t>напр</w:t>
      </w:r>
      <w:proofErr w:type="spellEnd"/>
      <w:r w:rsidRPr="007122AB">
        <w:rPr>
          <w:rFonts w:ascii="Times New Roman" w:hAnsi="Times New Roman"/>
          <w:color w:val="000000" w:themeColor="text1"/>
          <w:sz w:val="16"/>
          <w:szCs w:val="16"/>
        </w:rPr>
        <w:t>, завод под крылья; завод под шасси/.</w:t>
      </w:r>
    </w:p>
    <w:p w14:paraId="5AE6F9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заводом при О.К.Б. мыслится постройка завода, мощностью от 500 до 1000 шт. в год, находящегося также как и зав. № 39 в ведении ОКБ, в целях освобождения крупных се</w:t>
      </w:r>
      <w:r w:rsidRPr="007122AB">
        <w:rPr>
          <w:rFonts w:ascii="Times New Roman" w:hAnsi="Times New Roman"/>
          <w:color w:val="000000" w:themeColor="text1"/>
          <w:sz w:val="16"/>
          <w:szCs w:val="16"/>
        </w:rPr>
        <w:softHyphen/>
        <w:t>рийных заводов от множества типов и мелких партий.</w:t>
      </w:r>
    </w:p>
    <w:p w14:paraId="69FE8F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того, что на 1935 г. число моторных заводов превышает число выпускаемых типов моторов, вероятно необходима будет кооперация моторных заводов во избежание </w:t>
      </w:r>
      <w:proofErr w:type="spellStart"/>
      <w:r w:rsidRPr="007122AB">
        <w:rPr>
          <w:rFonts w:ascii="Times New Roman" w:hAnsi="Times New Roman"/>
          <w:color w:val="000000" w:themeColor="text1"/>
          <w:sz w:val="16"/>
          <w:szCs w:val="16"/>
        </w:rPr>
        <w:t>построрки</w:t>
      </w:r>
      <w:proofErr w:type="spellEnd"/>
      <w:r w:rsidRPr="007122AB">
        <w:rPr>
          <w:rFonts w:ascii="Times New Roman" w:hAnsi="Times New Roman"/>
          <w:color w:val="000000" w:themeColor="text1"/>
          <w:sz w:val="16"/>
          <w:szCs w:val="16"/>
        </w:rPr>
        <w:t xml:space="preserve"> одних и тех же деталей моторов на нескольких заводах.</w:t>
      </w:r>
    </w:p>
    <w:p w14:paraId="65E424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Цифры плановых заданий ВВС и мощности заводов, ОКБ получило от Планового сектора ВАО.</w:t>
      </w:r>
    </w:p>
    <w:p w14:paraId="7C4DC6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экз. плана при сем прилагается.</w:t>
      </w:r>
    </w:p>
    <w:p w14:paraId="4EB458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Отп</w:t>
      </w:r>
      <w:proofErr w:type="spellEnd"/>
      <w:r w:rsidRPr="007122AB">
        <w:rPr>
          <w:rFonts w:ascii="Times New Roman" w:hAnsi="Times New Roman"/>
          <w:color w:val="000000" w:themeColor="text1"/>
          <w:sz w:val="16"/>
          <w:szCs w:val="16"/>
        </w:rPr>
        <w:t>. 3 экз. ?б/УИ-31гТ</w:t>
      </w:r>
    </w:p>
    <w:p w14:paraId="77B747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 ОКБ</w:t>
      </w:r>
    </w:p>
    <w:p w14:paraId="4D34B3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w:t>
      </w:r>
    </w:p>
    <w:p w14:paraId="79D11C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была подготовлена:</w:t>
      </w:r>
    </w:p>
    <w:p w14:paraId="663393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smallCaps/>
          <w:color w:val="000000" w:themeColor="text1"/>
          <w:sz w:val="16"/>
          <w:szCs w:val="16"/>
        </w:rPr>
        <w:t>пояснительная записка.</w:t>
      </w:r>
    </w:p>
    <w:p w14:paraId="63A371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плану опытного строительства.</w:t>
      </w:r>
    </w:p>
    <w:p w14:paraId="1056A6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673304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составлении плана в основу положено разрешение следующих вопросов:</w:t>
      </w:r>
    </w:p>
    <w:p w14:paraId="2B42E2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4004A2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Обеспечить смену самолетами более </w:t>
      </w:r>
      <w:proofErr w:type="spellStart"/>
      <w:r w:rsidRPr="007122AB">
        <w:rPr>
          <w:rFonts w:ascii="Times New Roman" w:hAnsi="Times New Roman"/>
          <w:color w:val="000000" w:themeColor="text1"/>
          <w:sz w:val="16"/>
          <w:szCs w:val="16"/>
        </w:rPr>
        <w:t>высоакого</w:t>
      </w:r>
      <w:proofErr w:type="spellEnd"/>
      <w:r w:rsidRPr="007122AB">
        <w:rPr>
          <w:rFonts w:ascii="Times New Roman" w:hAnsi="Times New Roman"/>
          <w:color w:val="000000" w:themeColor="text1"/>
          <w:sz w:val="16"/>
          <w:szCs w:val="16"/>
        </w:rPr>
        <w:t xml:space="preserve"> качества.</w:t>
      </w:r>
    </w:p>
    <w:p w14:paraId="0CE1A1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46FDF0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Обеспечить введение на снабжение новых видов вооруженных самолетов.</w:t>
      </w:r>
    </w:p>
    <w:p w14:paraId="16F433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Свести количество типов, </w:t>
      </w:r>
      <w:proofErr w:type="spellStart"/>
      <w:r w:rsidRPr="007122AB">
        <w:rPr>
          <w:rFonts w:ascii="Times New Roman" w:hAnsi="Times New Roman"/>
          <w:color w:val="000000" w:themeColor="text1"/>
          <w:sz w:val="16"/>
          <w:szCs w:val="16"/>
        </w:rPr>
        <w:t>ваходящихся</w:t>
      </w:r>
      <w:proofErr w:type="spellEnd"/>
      <w:r w:rsidRPr="007122AB">
        <w:rPr>
          <w:rFonts w:ascii="Times New Roman" w:hAnsi="Times New Roman"/>
          <w:color w:val="000000" w:themeColor="text1"/>
          <w:sz w:val="16"/>
          <w:szCs w:val="16"/>
        </w:rPr>
        <w:t xml:space="preserve"> на снабжении к наимень</w:t>
      </w:r>
      <w:r w:rsidRPr="007122AB">
        <w:rPr>
          <w:rFonts w:ascii="Times New Roman" w:hAnsi="Times New Roman"/>
          <w:color w:val="000000" w:themeColor="text1"/>
          <w:sz w:val="16"/>
          <w:szCs w:val="16"/>
        </w:rPr>
        <w:softHyphen/>
        <w:t>шему.</w:t>
      </w:r>
    </w:p>
    <w:p w14:paraId="317651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23188F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Разрешение перечисленных вопросов выразилось в следующем:</w:t>
      </w:r>
    </w:p>
    <w:p w14:paraId="0043D7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Смена типов</w:t>
      </w:r>
    </w:p>
    <w:p w14:paraId="45BEFB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7122AB">
        <w:rPr>
          <w:rFonts w:ascii="Times New Roman" w:hAnsi="Times New Roman"/>
          <w:color w:val="000000" w:themeColor="text1"/>
          <w:sz w:val="16"/>
          <w:szCs w:val="16"/>
        </w:rPr>
        <w:softHyphen/>
        <w:t>бителя возможен в 33-м году.</w:t>
      </w:r>
    </w:p>
    <w:p w14:paraId="4AB51A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Разведчик сменяется в 34-м году по тем же причинам.</w:t>
      </w:r>
    </w:p>
    <w:p w14:paraId="20B341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17DBFB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6D3981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выпускаются И5-бис, И9, И10 и И11, Р8 и Р9 и т.д.</w:t>
      </w:r>
    </w:p>
    <w:p w14:paraId="521A82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7122AB">
        <w:rPr>
          <w:rFonts w:ascii="Times New Roman" w:hAnsi="Times New Roman"/>
          <w:color w:val="000000" w:themeColor="text1"/>
          <w:sz w:val="16"/>
          <w:szCs w:val="16"/>
        </w:rPr>
        <w:softHyphen/>
        <w:t xml:space="preserve">го летного и </w:t>
      </w:r>
      <w:proofErr w:type="spellStart"/>
      <w:r w:rsidRPr="007122AB">
        <w:rPr>
          <w:rFonts w:ascii="Times New Roman" w:hAnsi="Times New Roman"/>
          <w:color w:val="000000" w:themeColor="text1"/>
          <w:sz w:val="16"/>
          <w:szCs w:val="16"/>
        </w:rPr>
        <w:t>эксплоатационного</w:t>
      </w:r>
      <w:proofErr w:type="spellEnd"/>
      <w:r w:rsidRPr="007122AB">
        <w:rPr>
          <w:rFonts w:ascii="Times New Roman" w:hAnsi="Times New Roman"/>
          <w:color w:val="000000" w:themeColor="text1"/>
          <w:sz w:val="16"/>
          <w:szCs w:val="16"/>
        </w:rPr>
        <w:t xml:space="preserve"> испытания. По выходе ново</w:t>
      </w:r>
      <w:r w:rsidRPr="007122AB">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5E021B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7122AB">
        <w:rPr>
          <w:rFonts w:ascii="Times New Roman" w:hAnsi="Times New Roman"/>
          <w:color w:val="000000" w:themeColor="text1"/>
          <w:sz w:val="16"/>
          <w:szCs w:val="16"/>
        </w:rPr>
        <w:softHyphen/>
        <w:t>вать М34 в 34-м году.</w:t>
      </w:r>
    </w:p>
    <w:p w14:paraId="11DD15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w:t>
      </w:r>
      <w:proofErr w:type="spellStart"/>
      <w:r w:rsidRPr="007122AB">
        <w:rPr>
          <w:rFonts w:ascii="Times New Roman" w:hAnsi="Times New Roman"/>
          <w:color w:val="000000" w:themeColor="text1"/>
          <w:sz w:val="16"/>
          <w:szCs w:val="16"/>
        </w:rPr>
        <w:t>линейн</w:t>
      </w:r>
      <w:proofErr w:type="spellEnd"/>
      <w:r w:rsidRPr="007122AB">
        <w:rPr>
          <w:rFonts w:ascii="Times New Roman" w:hAnsi="Times New Roman"/>
          <w:color w:val="000000" w:themeColor="text1"/>
          <w:sz w:val="16"/>
          <w:szCs w:val="16"/>
        </w:rPr>
        <w:t>., МДР, МК, КОР, СПЛ и т.д.</w:t>
      </w:r>
    </w:p>
    <w:p w14:paraId="697FB4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6336D1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 должен </w:t>
      </w:r>
      <w:proofErr w:type="spellStart"/>
      <w:r w:rsidRPr="007122AB">
        <w:rPr>
          <w:rFonts w:ascii="Times New Roman" w:hAnsi="Times New Roman"/>
          <w:color w:val="000000" w:themeColor="text1"/>
          <w:sz w:val="16"/>
          <w:szCs w:val="16"/>
        </w:rPr>
        <w:t>бнть</w:t>
      </w:r>
      <w:proofErr w:type="spellEnd"/>
      <w:r w:rsidRPr="007122AB">
        <w:rPr>
          <w:rFonts w:ascii="Times New Roman" w:hAnsi="Times New Roman"/>
          <w:color w:val="000000" w:themeColor="text1"/>
          <w:sz w:val="16"/>
          <w:szCs w:val="16"/>
        </w:rPr>
        <w:t xml:space="preserve"> модификацией разведчика или истре</w:t>
      </w:r>
      <w:r w:rsidRPr="007122AB">
        <w:rPr>
          <w:rFonts w:ascii="Times New Roman" w:hAnsi="Times New Roman"/>
          <w:color w:val="000000" w:themeColor="text1"/>
          <w:sz w:val="16"/>
          <w:szCs w:val="16"/>
        </w:rPr>
        <w:softHyphen/>
        <w:t>бителя, пассажирские самолеты - бомбардировщиков.</w:t>
      </w:r>
    </w:p>
    <w:p w14:paraId="490024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Экспериментальные работы введены у виде рекордных самолетов и параболы.</w:t>
      </w:r>
    </w:p>
    <w:p w14:paraId="2585A8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Таблица “загрузка серийных самолетостроительных заводов в 1931-1935 г.”</w:t>
      </w:r>
    </w:p>
    <w:p w14:paraId="139F35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5DCCF1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Начало серийного производства самолетов вытекает из сро</w:t>
      </w:r>
      <w:r w:rsidRPr="007122AB">
        <w:rPr>
          <w:rFonts w:ascii="Times New Roman" w:hAnsi="Times New Roman"/>
          <w:color w:val="000000" w:themeColor="text1"/>
          <w:sz w:val="16"/>
          <w:szCs w:val="16"/>
        </w:rPr>
        <w:softHyphen/>
        <w:t xml:space="preserve">ков </w:t>
      </w:r>
      <w:proofErr w:type="spellStart"/>
      <w:r w:rsidRPr="007122AB">
        <w:rPr>
          <w:rFonts w:ascii="Times New Roman" w:hAnsi="Times New Roman"/>
          <w:color w:val="000000" w:themeColor="text1"/>
          <w:sz w:val="16"/>
          <w:szCs w:val="16"/>
        </w:rPr>
        <w:t>внпуска</w:t>
      </w:r>
      <w:proofErr w:type="spellEnd"/>
      <w:r w:rsidRPr="007122AB">
        <w:rPr>
          <w:rFonts w:ascii="Times New Roman" w:hAnsi="Times New Roman"/>
          <w:color w:val="000000" w:themeColor="text1"/>
          <w:sz w:val="16"/>
          <w:szCs w:val="16"/>
        </w:rPr>
        <w:t xml:space="preserve"> опытного образца /см. табл. </w:t>
      </w: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w:t>
      </w:r>
    </w:p>
    <w:p w14:paraId="1A5DEC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7122AB">
        <w:rPr>
          <w:rFonts w:ascii="Times New Roman" w:hAnsi="Times New Roman"/>
          <w:color w:val="000000" w:themeColor="text1"/>
          <w:sz w:val="16"/>
          <w:szCs w:val="16"/>
        </w:rPr>
        <w:softHyphen/>
        <w:t>пускаемых самолетов.</w:t>
      </w:r>
    </w:p>
    <w:p w14:paraId="204D7E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 Таблица “Потребность в моторах по типам" является выбор</w:t>
      </w:r>
      <w:r w:rsidRPr="007122AB">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57EC1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16B4DD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33AB2C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48DD7EE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была подготовлена справка:</w:t>
      </w:r>
    </w:p>
    <w:p w14:paraId="745940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ОБЕСПЕЧЕНИЕ СЕРИЙНОГО СТРОИТЕЛЬСТВА ЗАВОДАМИ.</w:t>
      </w:r>
    </w:p>
    <w:p w14:paraId="1F1202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Для выполнения программного </w:t>
      </w:r>
      <w:proofErr w:type="spellStart"/>
      <w:r w:rsidRPr="007122AB">
        <w:rPr>
          <w:rFonts w:ascii="Times New Roman" w:hAnsi="Times New Roman"/>
          <w:color w:val="000000" w:themeColor="text1"/>
          <w:sz w:val="16"/>
          <w:szCs w:val="16"/>
        </w:rPr>
        <w:t>заданяя</w:t>
      </w:r>
      <w:proofErr w:type="spellEnd"/>
      <w:r w:rsidRPr="007122AB">
        <w:rPr>
          <w:rFonts w:ascii="Times New Roman" w:hAnsi="Times New Roman"/>
          <w:color w:val="000000" w:themeColor="text1"/>
          <w:sz w:val="16"/>
          <w:szCs w:val="16"/>
        </w:rPr>
        <w:t xml:space="preserve"> Штаба УВВС РККА по выпуску самолетов, ОКБ считает необходимым постройку и окончание постройки следующих заводов:</w:t>
      </w:r>
    </w:p>
    <w:p w14:paraId="10E401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161BB3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 18 предназначается для массовой постройки металлических /</w:t>
      </w:r>
      <w:proofErr w:type="spellStart"/>
      <w:r w:rsidRPr="007122AB">
        <w:rPr>
          <w:rFonts w:ascii="Times New Roman" w:hAnsi="Times New Roman"/>
          <w:color w:val="000000" w:themeColor="text1"/>
          <w:sz w:val="16"/>
          <w:szCs w:val="16"/>
        </w:rPr>
        <w:t>колъчуг</w:t>
      </w:r>
      <w:proofErr w:type="spellEnd"/>
      <w:r w:rsidRPr="007122AB">
        <w:rPr>
          <w:rFonts w:ascii="Times New Roman" w:hAnsi="Times New Roman"/>
          <w:color w:val="000000" w:themeColor="text1"/>
          <w:sz w:val="16"/>
          <w:szCs w:val="16"/>
        </w:rPr>
        <w:t>-алюминиевых/ бомбардировщиков большого тоннажа; завод должен быть расширен до мощности в 1500 единиц в год и в 32 году начат задел первых серий.</w:t>
      </w:r>
    </w:p>
    <w:p w14:paraId="3FBFEB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7122AB">
        <w:rPr>
          <w:rFonts w:ascii="Times New Roman" w:hAnsi="Times New Roman"/>
          <w:smallCaps/>
          <w:color w:val="000000" w:themeColor="text1"/>
          <w:sz w:val="16"/>
          <w:szCs w:val="16"/>
        </w:rPr>
        <w:t xml:space="preserve">. </w:t>
      </w:r>
      <w:r w:rsidRPr="007122AB">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40BEBF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Новый завод в гор. Ейске для серийного выпуска </w:t>
      </w:r>
      <w:proofErr w:type="spellStart"/>
      <w:r w:rsidRPr="007122AB">
        <w:rPr>
          <w:rFonts w:ascii="Times New Roman" w:hAnsi="Times New Roman"/>
          <w:color w:val="000000" w:themeColor="text1"/>
          <w:sz w:val="16"/>
          <w:szCs w:val="16"/>
        </w:rPr>
        <w:t>желых</w:t>
      </w:r>
      <w:proofErr w:type="spellEnd"/>
      <w:r w:rsidRPr="007122AB">
        <w:rPr>
          <w:rFonts w:ascii="Times New Roman" w:hAnsi="Times New Roman"/>
          <w:color w:val="000000" w:themeColor="text1"/>
          <w:sz w:val="16"/>
          <w:szCs w:val="16"/>
        </w:rPr>
        <w:t xml:space="preserve"> морских самолетов; мощность завода - 300 единиц в год</w:t>
      </w:r>
      <w:r w:rsidRPr="007122AB">
        <w:rPr>
          <w:rFonts w:ascii="Times New Roman" w:hAnsi="Times New Roman"/>
          <w:smallCaps/>
          <w:color w:val="000000" w:themeColor="text1"/>
          <w:sz w:val="16"/>
          <w:szCs w:val="16"/>
        </w:rPr>
        <w:t>; з</w:t>
      </w:r>
      <w:r w:rsidRPr="007122AB">
        <w:rPr>
          <w:rFonts w:ascii="Times New Roman" w:hAnsi="Times New Roman"/>
          <w:color w:val="000000" w:themeColor="text1"/>
          <w:sz w:val="16"/>
          <w:szCs w:val="16"/>
        </w:rPr>
        <w:t>авод должен начать задел первых серий в 1933 г.</w:t>
      </w:r>
    </w:p>
    <w:p w14:paraId="70CB26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Новый завод массового выпуска легких спортивных самолетов; мощность - 3000 единиц в год; </w:t>
      </w:r>
      <w:proofErr w:type="spellStart"/>
      <w:r w:rsidRPr="007122AB">
        <w:rPr>
          <w:rFonts w:ascii="Times New Roman" w:hAnsi="Times New Roman"/>
          <w:color w:val="000000" w:themeColor="text1"/>
          <w:sz w:val="16"/>
          <w:szCs w:val="16"/>
        </w:rPr>
        <w:t>заводдолжен</w:t>
      </w:r>
      <w:proofErr w:type="spellEnd"/>
      <w:r w:rsidRPr="007122AB">
        <w:rPr>
          <w:rFonts w:ascii="Times New Roman" w:hAnsi="Times New Roman"/>
          <w:color w:val="000000" w:themeColor="text1"/>
          <w:sz w:val="16"/>
          <w:szCs w:val="16"/>
        </w:rPr>
        <w:t xml:space="preserve"> дать выпуск первых серий в 1934 г.</w:t>
      </w:r>
    </w:p>
    <w:p w14:paraId="3C8E56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3B890A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13654E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307622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w:t>
      </w:r>
      <w:proofErr w:type="spellStart"/>
      <w:r w:rsidRPr="007122AB">
        <w:rPr>
          <w:rFonts w:ascii="Times New Roman" w:hAnsi="Times New Roman"/>
          <w:color w:val="000000" w:themeColor="text1"/>
          <w:sz w:val="16"/>
          <w:szCs w:val="16"/>
        </w:rPr>
        <w:t>Ддя</w:t>
      </w:r>
      <w:proofErr w:type="spellEnd"/>
      <w:r w:rsidRPr="007122AB">
        <w:rPr>
          <w:rFonts w:ascii="Times New Roman" w:hAnsi="Times New Roman"/>
          <w:color w:val="000000" w:themeColor="text1"/>
          <w:sz w:val="16"/>
          <w:szCs w:val="16"/>
        </w:rPr>
        <w:t xml:space="preserve"> обеспечения моторами выпускаемых самолетов должны быть построены в окончены </w:t>
      </w:r>
      <w:proofErr w:type="spellStart"/>
      <w:r w:rsidRPr="007122AB">
        <w:rPr>
          <w:rFonts w:ascii="Times New Roman" w:hAnsi="Times New Roman"/>
          <w:color w:val="000000" w:themeColor="text1"/>
          <w:sz w:val="16"/>
          <w:szCs w:val="16"/>
        </w:rPr>
        <w:t>оледующие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моторостроятельные</w:t>
      </w:r>
      <w:proofErr w:type="spellEnd"/>
      <w:r w:rsidRPr="007122AB">
        <w:rPr>
          <w:rFonts w:ascii="Times New Roman" w:hAnsi="Times New Roman"/>
          <w:color w:val="000000" w:themeColor="text1"/>
          <w:sz w:val="16"/>
          <w:szCs w:val="16"/>
        </w:rPr>
        <w:t xml:space="preserve"> заводы:.</w:t>
      </w:r>
    </w:p>
    <w:p w14:paraId="3F1425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Завод № 19 предназначается для массового выпуска моторов воздушного охлаждения и должен иметь </w:t>
      </w:r>
      <w:proofErr w:type="spellStart"/>
      <w:r w:rsidRPr="007122AB">
        <w:rPr>
          <w:rFonts w:ascii="Times New Roman" w:hAnsi="Times New Roman"/>
          <w:color w:val="000000" w:themeColor="text1"/>
          <w:sz w:val="16"/>
          <w:szCs w:val="16"/>
        </w:rPr>
        <w:t>мощнность</w:t>
      </w:r>
      <w:proofErr w:type="spellEnd"/>
      <w:r w:rsidRPr="007122AB">
        <w:rPr>
          <w:rFonts w:ascii="Times New Roman" w:hAnsi="Times New Roman"/>
          <w:color w:val="000000" w:themeColor="text1"/>
          <w:sz w:val="16"/>
          <w:szCs w:val="16"/>
        </w:rPr>
        <w:t xml:space="preserve"> 5600 единиц в год. Первые серии моторов должны быть выпущены в 1933 г.</w:t>
      </w:r>
    </w:p>
    <w:p w14:paraId="02DEB2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2/ Новый завод моторов </w:t>
      </w:r>
      <w:proofErr w:type="spellStart"/>
      <w:r w:rsidRPr="007122AB">
        <w:rPr>
          <w:rFonts w:ascii="Times New Roman" w:hAnsi="Times New Roman"/>
          <w:color w:val="000000" w:themeColor="text1"/>
          <w:sz w:val="16"/>
          <w:szCs w:val="16"/>
        </w:rPr>
        <w:t>воздушногоохлаждения</w:t>
      </w:r>
      <w:proofErr w:type="spellEnd"/>
      <w:r w:rsidRPr="007122AB">
        <w:rPr>
          <w:rFonts w:ascii="Times New Roman" w:hAnsi="Times New Roman"/>
          <w:color w:val="000000" w:themeColor="text1"/>
          <w:sz w:val="16"/>
          <w:szCs w:val="16"/>
        </w:rPr>
        <w:t>; мощность 15000 единиц в год; выпуск первой сери должна быть в 1934 г.</w:t>
      </w:r>
    </w:p>
    <w:p w14:paraId="347C44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Новый завод моторов водяного охлаждения /предназначается для постройки лицензионных моторов/. </w:t>
      </w:r>
      <w:proofErr w:type="spellStart"/>
      <w:r w:rsidRPr="007122AB">
        <w:rPr>
          <w:rFonts w:ascii="Times New Roman" w:hAnsi="Times New Roman"/>
          <w:color w:val="000000" w:themeColor="text1"/>
          <w:sz w:val="16"/>
          <w:szCs w:val="16"/>
        </w:rPr>
        <w:t>Первыа</w:t>
      </w:r>
      <w:proofErr w:type="spellEnd"/>
      <w:r w:rsidRPr="007122AB">
        <w:rPr>
          <w:rFonts w:ascii="Times New Roman" w:hAnsi="Times New Roman"/>
          <w:color w:val="000000" w:themeColor="text1"/>
          <w:sz w:val="16"/>
          <w:szCs w:val="16"/>
        </w:rPr>
        <w:t xml:space="preserve"> серии должны быть выпущены в 1935 году.</w:t>
      </w:r>
    </w:p>
    <w:p w14:paraId="1E651F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для моторостроения требуется:</w:t>
      </w:r>
    </w:p>
    <w:p w14:paraId="288703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5E9FBE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того, что на 1935 год </w:t>
      </w:r>
      <w:proofErr w:type="spellStart"/>
      <w:r w:rsidRPr="007122AB">
        <w:rPr>
          <w:rFonts w:ascii="Times New Roman" w:hAnsi="Times New Roman"/>
          <w:color w:val="000000" w:themeColor="text1"/>
          <w:sz w:val="16"/>
          <w:szCs w:val="16"/>
        </w:rPr>
        <w:t>назнчена</w:t>
      </w:r>
      <w:proofErr w:type="spellEnd"/>
      <w:r w:rsidRPr="007122AB">
        <w:rPr>
          <w:rFonts w:ascii="Times New Roman" w:hAnsi="Times New Roman"/>
          <w:color w:val="000000" w:themeColor="text1"/>
          <w:sz w:val="16"/>
          <w:szCs w:val="16"/>
        </w:rPr>
        <w:t xml:space="preserve">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316271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9AFA94" w14:textId="0BAB7B48" w:rsidR="00EB3E6D" w:rsidRDefault="00EB3E6D" w:rsidP="00EB3E6D">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26 </w:t>
      </w:r>
      <w:r w:rsidRPr="009F5089">
        <w:rPr>
          <w:rFonts w:ascii="Times New Roman" w:hAnsi="Times New Roman"/>
          <w:color w:val="0070C0"/>
          <w:sz w:val="16"/>
          <w:szCs w:val="16"/>
        </w:rPr>
        <w:t>августа</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п</w:t>
      </w:r>
      <w:r w:rsidRPr="009F5089">
        <w:rPr>
          <w:rFonts w:ascii="Times New Roman" w:hAnsi="Times New Roman"/>
          <w:color w:val="0070C0"/>
          <w:sz w:val="16"/>
          <w:szCs w:val="16"/>
        </w:rPr>
        <w:t>ри Наркомземе СССР созданы Управление сельскохо</w:t>
      </w:r>
      <w:r>
        <w:rPr>
          <w:rFonts w:ascii="Times New Roman" w:hAnsi="Times New Roman"/>
          <w:color w:val="0070C0"/>
          <w:sz w:val="16"/>
          <w:szCs w:val="16"/>
        </w:rPr>
        <w:t xml:space="preserve">зяйственной авиации (СХА) </w:t>
      </w:r>
      <w:r w:rsidRPr="009F5089">
        <w:rPr>
          <w:rFonts w:ascii="Times New Roman" w:hAnsi="Times New Roman"/>
          <w:color w:val="0070C0"/>
          <w:sz w:val="16"/>
          <w:szCs w:val="16"/>
        </w:rPr>
        <w:t>и Научно-исследовательский институт СХА</w:t>
      </w:r>
      <w:r>
        <w:rPr>
          <w:rFonts w:ascii="Times New Roman" w:hAnsi="Times New Roman"/>
          <w:color w:val="0070C0"/>
          <w:sz w:val="16"/>
          <w:szCs w:val="16"/>
        </w:rPr>
        <w:t xml:space="preserve">. </w:t>
      </w:r>
      <w:r w:rsidRPr="009F5089">
        <w:rPr>
          <w:rFonts w:ascii="Times New Roman" w:hAnsi="Times New Roman"/>
          <w:color w:val="0070C0"/>
          <w:sz w:val="16"/>
          <w:szCs w:val="16"/>
        </w:rPr>
        <w:t>Управление СХА об</w:t>
      </w:r>
      <w:r>
        <w:rPr>
          <w:rFonts w:ascii="Times New Roman" w:hAnsi="Times New Roman"/>
          <w:color w:val="0070C0"/>
          <w:sz w:val="16"/>
          <w:szCs w:val="16"/>
        </w:rPr>
        <w:t>ъ</w:t>
      </w:r>
      <w:r w:rsidRPr="009F5089">
        <w:rPr>
          <w:rFonts w:ascii="Times New Roman" w:hAnsi="Times New Roman"/>
          <w:color w:val="0070C0"/>
          <w:sz w:val="16"/>
          <w:szCs w:val="16"/>
        </w:rPr>
        <w:t>единило и возглавило всю работу авиа</w:t>
      </w:r>
      <w:r>
        <w:rPr>
          <w:rFonts w:ascii="Times New Roman" w:hAnsi="Times New Roman"/>
          <w:color w:val="0070C0"/>
          <w:sz w:val="16"/>
          <w:szCs w:val="16"/>
        </w:rPr>
        <w:t xml:space="preserve">ции в </w:t>
      </w:r>
      <w:r w:rsidRPr="009F5089">
        <w:rPr>
          <w:rFonts w:ascii="Times New Roman" w:hAnsi="Times New Roman"/>
          <w:color w:val="0070C0"/>
          <w:sz w:val="16"/>
          <w:szCs w:val="16"/>
        </w:rPr>
        <w:t>сельском и лесном хозяйстве,</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осуществляя свое руководство </w:t>
      </w:r>
      <w:r>
        <w:rPr>
          <w:rFonts w:ascii="Times New Roman" w:hAnsi="Times New Roman"/>
          <w:color w:val="0070C0"/>
          <w:sz w:val="16"/>
          <w:szCs w:val="16"/>
        </w:rPr>
        <w:t xml:space="preserve">через </w:t>
      </w:r>
      <w:r w:rsidRPr="009F5089">
        <w:rPr>
          <w:rFonts w:ascii="Times New Roman" w:hAnsi="Times New Roman"/>
          <w:color w:val="0070C0"/>
          <w:sz w:val="16"/>
          <w:szCs w:val="16"/>
        </w:rPr>
        <w:t>сеть республиканских и областных /краевых/ авиабаз СХА.</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w:t>
      </w:r>
      <w:r>
        <w:rPr>
          <w:rFonts w:ascii="Times New Roman" w:hAnsi="Times New Roman"/>
          <w:color w:val="0070C0"/>
          <w:sz w:val="16"/>
          <w:szCs w:val="16"/>
        </w:rPr>
        <w:t>1932</w:t>
      </w:r>
      <w:r w:rsidRPr="009F5089">
        <w:rPr>
          <w:rFonts w:ascii="Times New Roman" w:hAnsi="Times New Roman"/>
          <w:color w:val="0070C0"/>
          <w:sz w:val="16"/>
          <w:szCs w:val="16"/>
        </w:rPr>
        <w:t xml:space="preserve"> году Управление СХА было реорганизовано в трест сельско-</w:t>
      </w:r>
      <w:proofErr w:type="spellStart"/>
      <w:r w:rsidRPr="009F5089">
        <w:rPr>
          <w:rFonts w:ascii="Times New Roman" w:hAnsi="Times New Roman"/>
          <w:color w:val="0070C0"/>
          <w:sz w:val="16"/>
          <w:szCs w:val="16"/>
        </w:rPr>
        <w:t>хо</w:t>
      </w:r>
      <w:r>
        <w:rPr>
          <w:rFonts w:ascii="Times New Roman" w:hAnsi="Times New Roman"/>
          <w:color w:val="0070C0"/>
          <w:sz w:val="16"/>
          <w:szCs w:val="16"/>
        </w:rPr>
        <w:t>зяйственнеой</w:t>
      </w:r>
      <w:proofErr w:type="spellEnd"/>
      <w:r w:rsidRPr="009F5089">
        <w:rPr>
          <w:rFonts w:ascii="Times New Roman" w:hAnsi="Times New Roman"/>
          <w:color w:val="0070C0"/>
          <w:sz w:val="16"/>
          <w:szCs w:val="16"/>
        </w:rPr>
        <w:t xml:space="preserve"> авиации ГВ</w:t>
      </w:r>
      <w:r>
        <w:rPr>
          <w:rFonts w:ascii="Times New Roman" w:hAnsi="Times New Roman"/>
          <w:color w:val="0070C0"/>
          <w:sz w:val="16"/>
          <w:szCs w:val="16"/>
        </w:rPr>
        <w:t>Ф</w:t>
      </w:r>
      <w:r w:rsidRPr="009F5089">
        <w:rPr>
          <w:rFonts w:ascii="Times New Roman" w:hAnsi="Times New Roman"/>
          <w:color w:val="0070C0"/>
          <w:sz w:val="16"/>
          <w:szCs w:val="16"/>
        </w:rPr>
        <w:t>,</w:t>
      </w:r>
      <w:r>
        <w:rPr>
          <w:rFonts w:ascii="Times New Roman" w:hAnsi="Times New Roman"/>
          <w:color w:val="0070C0"/>
          <w:sz w:val="16"/>
          <w:szCs w:val="16"/>
        </w:rPr>
        <w:t xml:space="preserve"> НИИ С</w:t>
      </w:r>
      <w:r w:rsidRPr="009F5089">
        <w:rPr>
          <w:rFonts w:ascii="Times New Roman" w:hAnsi="Times New Roman"/>
          <w:color w:val="0070C0"/>
          <w:sz w:val="16"/>
          <w:szCs w:val="16"/>
        </w:rPr>
        <w:t>XA был об</w:t>
      </w:r>
      <w:r>
        <w:rPr>
          <w:rFonts w:ascii="Times New Roman" w:hAnsi="Times New Roman"/>
          <w:color w:val="0070C0"/>
          <w:sz w:val="16"/>
          <w:szCs w:val="16"/>
        </w:rPr>
        <w:t>ъ</w:t>
      </w:r>
      <w:r w:rsidRPr="009F5089">
        <w:rPr>
          <w:rFonts w:ascii="Times New Roman" w:hAnsi="Times New Roman"/>
          <w:color w:val="0070C0"/>
          <w:sz w:val="16"/>
          <w:szCs w:val="16"/>
        </w:rPr>
        <w:t xml:space="preserve">единен </w:t>
      </w:r>
      <w:r>
        <w:rPr>
          <w:rFonts w:ascii="Times New Roman" w:hAnsi="Times New Roman"/>
          <w:color w:val="0070C0"/>
          <w:sz w:val="16"/>
          <w:szCs w:val="16"/>
        </w:rPr>
        <w:t>с</w:t>
      </w:r>
      <w:r w:rsidRPr="009F5089">
        <w:rPr>
          <w:rFonts w:ascii="Times New Roman" w:hAnsi="Times New Roman"/>
          <w:color w:val="0070C0"/>
          <w:sz w:val="16"/>
          <w:szCs w:val="16"/>
        </w:rPr>
        <w:t xml:space="preserve"> НИИ ГВ</w:t>
      </w:r>
      <w:r>
        <w:rPr>
          <w:rFonts w:ascii="Times New Roman" w:hAnsi="Times New Roman"/>
          <w:color w:val="0070C0"/>
          <w:sz w:val="16"/>
          <w:szCs w:val="16"/>
        </w:rPr>
        <w:t>В (23370)</w:t>
      </w:r>
      <w:r w:rsidRPr="009F5089">
        <w:rPr>
          <w:rFonts w:ascii="Times New Roman" w:hAnsi="Times New Roman"/>
          <w:color w:val="0070C0"/>
          <w:sz w:val="16"/>
          <w:szCs w:val="16"/>
        </w:rPr>
        <w:t>.</w:t>
      </w:r>
    </w:p>
    <w:p w14:paraId="128BE17A" w14:textId="77777777" w:rsidR="00EB3E6D" w:rsidRPr="009F5089" w:rsidRDefault="00EB3E6D" w:rsidP="00EB3E6D">
      <w:pPr>
        <w:spacing w:after="0" w:line="240" w:lineRule="auto"/>
        <w:jc w:val="both"/>
        <w:rPr>
          <w:rFonts w:ascii="Times New Roman" w:hAnsi="Times New Roman"/>
          <w:color w:val="0070C0"/>
          <w:sz w:val="16"/>
          <w:szCs w:val="16"/>
        </w:rPr>
      </w:pPr>
    </w:p>
    <w:p w14:paraId="28A62B2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9D1643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FF2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августа 1931 состоялся первый полет АНТ-23 (И-12, Бауманский комсомолец). Летал </w:t>
      </w:r>
      <w:proofErr w:type="spellStart"/>
      <w:r w:rsidRPr="007122AB">
        <w:rPr>
          <w:rFonts w:ascii="Times New Roman" w:hAnsi="Times New Roman"/>
          <w:color w:val="000000" w:themeColor="text1"/>
          <w:sz w:val="16"/>
          <w:szCs w:val="16"/>
        </w:rPr>
        <w:t>И.Ф.Козлов</w:t>
      </w:r>
      <w:proofErr w:type="spellEnd"/>
      <w:r w:rsidRPr="007122AB">
        <w:rPr>
          <w:rFonts w:ascii="Times New Roman" w:hAnsi="Times New Roman"/>
          <w:color w:val="000000" w:themeColor="text1"/>
          <w:sz w:val="16"/>
          <w:szCs w:val="16"/>
        </w:rPr>
        <w:t xml:space="preserve"> (2072,70).</w:t>
      </w:r>
    </w:p>
    <w:p w14:paraId="17178A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- 29 августа 1931.</w:t>
      </w:r>
    </w:p>
    <w:p w14:paraId="7D3A5F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7DC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августа 1931 (61,127) (17 августа - 71,184) приказом начальника Всесоюзного авиационного объединения (ВАО)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xml:space="preserve"> (62,649) N 265 было принято решение о сосредоточении всего опытного авиастроения в едином Центральном конструкторском бюро (ЦКБ) ЦАГИ (24,52).</w:t>
      </w:r>
    </w:p>
    <w:p w14:paraId="4BA08B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ЦКБ ВАО было подчинено ЦАГИ только в октябре 1931, когда начальником ЦКБ и, одновременно, зам. начальника ЦАГИ - стал С.В.И. (80,417).</w:t>
      </w:r>
    </w:p>
    <w:p w14:paraId="69178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разумно, так как соответствующий приказ по ЦАГИ вышел только 27 сентября (61,127).</w:t>
      </w:r>
    </w:p>
    <w:p w14:paraId="46F85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Начальником ЦКБ в ЦАГИ стал директор завода 39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xml:space="preserve"> (71,185). Есть мнение </w:t>
      </w:r>
      <w:proofErr w:type="spellStart"/>
      <w:r w:rsidRPr="007122AB">
        <w:rPr>
          <w:rFonts w:ascii="Times New Roman" w:hAnsi="Times New Roman"/>
          <w:color w:val="000000" w:themeColor="text1"/>
          <w:sz w:val="16"/>
          <w:szCs w:val="16"/>
        </w:rPr>
        <w:t>Незваля</w:t>
      </w:r>
      <w:proofErr w:type="spellEnd"/>
      <w:r w:rsidRPr="007122AB">
        <w:rPr>
          <w:rFonts w:ascii="Times New Roman" w:hAnsi="Times New Roman"/>
          <w:color w:val="000000" w:themeColor="text1"/>
          <w:sz w:val="16"/>
          <w:szCs w:val="16"/>
        </w:rPr>
        <w:t xml:space="preserve">, что именно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гепеуст</w:t>
      </w:r>
      <w:proofErr w:type="spellEnd"/>
      <w:r w:rsidRPr="007122AB">
        <w:rPr>
          <w:rFonts w:ascii="Times New Roman" w:hAnsi="Times New Roman"/>
          <w:color w:val="000000" w:themeColor="text1"/>
          <w:sz w:val="16"/>
          <w:szCs w:val="16"/>
        </w:rPr>
        <w:t xml:space="preserve">, начальник ЦКБ (109,137), а не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был инициатором объединения ЦКБ и ЦАГИ.</w:t>
      </w:r>
    </w:p>
    <w:p w14:paraId="3FF325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Якобы А.Н.Т. в это время был за границей и приехав пошел жаловаться </w:t>
      </w:r>
      <w:proofErr w:type="spellStart"/>
      <w:r w:rsidRPr="007122AB">
        <w:rPr>
          <w:rFonts w:ascii="Times New Roman" w:hAnsi="Times New Roman"/>
          <w:color w:val="000000" w:themeColor="text1"/>
          <w:sz w:val="16"/>
          <w:szCs w:val="16"/>
        </w:rPr>
        <w:t>К.Е.Ворошилову</w:t>
      </w:r>
      <w:proofErr w:type="spellEnd"/>
      <w:r w:rsidRPr="007122AB">
        <w:rPr>
          <w:rFonts w:ascii="Times New Roman" w:hAnsi="Times New Roman"/>
          <w:color w:val="000000" w:themeColor="text1"/>
          <w:sz w:val="16"/>
          <w:szCs w:val="16"/>
        </w:rPr>
        <w:t xml:space="preserve"> и нормального слияния (на 900 чел.) - не получилось (79,126).</w:t>
      </w:r>
    </w:p>
    <w:p w14:paraId="6DFBEB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Существует несколько мнений по поводу вхождения в ЦКБ АГОС от полного (62, 649) до невхождения.</w:t>
      </w:r>
    </w:p>
    <w:p w14:paraId="748F0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второму мнению, АГОС под руководством </w:t>
      </w:r>
      <w:proofErr w:type="spellStart"/>
      <w:r w:rsidRPr="007122AB">
        <w:rPr>
          <w:rFonts w:ascii="Times New Roman" w:hAnsi="Times New Roman"/>
          <w:color w:val="000000" w:themeColor="text1"/>
          <w:sz w:val="16"/>
          <w:szCs w:val="16"/>
        </w:rPr>
        <w:t>А.Н.Туполева</w:t>
      </w:r>
      <w:proofErr w:type="spellEnd"/>
      <w:r w:rsidRPr="007122AB">
        <w:rPr>
          <w:rFonts w:ascii="Times New Roman" w:hAnsi="Times New Roman"/>
          <w:color w:val="000000" w:themeColor="text1"/>
          <w:sz w:val="16"/>
          <w:szCs w:val="16"/>
        </w:rPr>
        <w:t>, выделенный из ЦАГИ, и ГРОС не вошли в ЦКБ и продолжали работать самостоятельно (92,408).</w:t>
      </w:r>
    </w:p>
    <w:p w14:paraId="2D528C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Идея была в том, чтобы объединить опытное самолетостроение под единым техническим и административным руководством (что звучит странно, так как далее мы узнаем, что такого руководства по существу не было). ЦКБ ВАО было создано НКВД в противовес КБ </w:t>
      </w:r>
      <w:proofErr w:type="spellStart"/>
      <w:r w:rsidRPr="007122AB">
        <w:rPr>
          <w:rFonts w:ascii="Times New Roman" w:hAnsi="Times New Roman"/>
          <w:color w:val="000000" w:themeColor="text1"/>
          <w:sz w:val="16"/>
          <w:szCs w:val="16"/>
        </w:rPr>
        <w:t>А.Н.Туполева</w:t>
      </w:r>
      <w:proofErr w:type="spellEnd"/>
      <w:r w:rsidRPr="007122AB">
        <w:rPr>
          <w:rFonts w:ascii="Times New Roman" w:hAnsi="Times New Roman"/>
          <w:color w:val="000000" w:themeColor="text1"/>
          <w:sz w:val="16"/>
          <w:szCs w:val="16"/>
        </w:rPr>
        <w:t xml:space="preserve"> чтобы доказать, что самолеты можно делать намного быстрее, так сказать стахановскими методами. Действительно, в ЦКБ получилось быстро, но дело в том, что туда были собраны хорошие конструкторы с заделами, которые явились результатом длительной работы на старых местах.</w:t>
      </w:r>
    </w:p>
    <w:p w14:paraId="52E02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Сауке считает, что решение о создании ЦКБ выло выражением аппаратных игр. АГОС ЦАГИ заканчивал подготовку к серийному производству ТБ-3 (АНТ-6) и был лучшим в авиапромышленности. ВАО же хотел выделится через свое ЦКБ слив с ним АГОС. Вторым фактором, согласно Сауке, было обострение классовой борьбы с приближающейся победой социализма. Работники-вредители перевоспитались в рамках ЦКБ-39 НКВД и </w:t>
      </w:r>
      <w:proofErr w:type="spellStart"/>
      <w:r w:rsidRPr="007122AB">
        <w:rPr>
          <w:rFonts w:ascii="Times New Roman" w:hAnsi="Times New Roman"/>
          <w:color w:val="000000" w:themeColor="text1"/>
          <w:sz w:val="16"/>
          <w:szCs w:val="16"/>
        </w:rPr>
        <w:t>А.Н.Туполев</w:t>
      </w:r>
      <w:proofErr w:type="spellEnd"/>
      <w:r w:rsidRPr="007122AB">
        <w:rPr>
          <w:rFonts w:ascii="Times New Roman" w:hAnsi="Times New Roman"/>
          <w:color w:val="000000" w:themeColor="text1"/>
          <w:sz w:val="16"/>
          <w:szCs w:val="16"/>
        </w:rPr>
        <w:t xml:space="preserve"> - бедный, но дворянин и брат попа - должен был быть заменен партийным товарищем (61,128).</w:t>
      </w:r>
    </w:p>
    <w:p w14:paraId="7B9C65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DEA920"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27 августа 1931 года</w:t>
      </w:r>
      <w:r w:rsidRPr="007122AB">
        <w:rPr>
          <w:rFonts w:ascii="Times New Roman" w:hAnsi="Times New Roman"/>
          <w:color w:val="000000" w:themeColor="text1"/>
          <w:sz w:val="16"/>
          <w:szCs w:val="16"/>
        </w:rPr>
        <w:t xml:space="preserve"> Приказом по Всесоюзному авиационному объединению (ВАО) №265 ЦКБ и ЦАГИ объединили в единую организацию - ЦКБ-ЦАГИ. Старшим поставили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Очевидно, руководство ОГПУ сумело доказать, что строительство советской авиации в обозримом будущем невозможно без твердой чекистской руки. В результате и произошло событие, получившее в народе известность как "свадьба"</w:t>
      </w:r>
      <w:r w:rsidRPr="007122AB">
        <w:rPr>
          <w:rStyle w:val="ucoz-forum-post"/>
          <w:rFonts w:ascii="Times New Roman" w:eastAsia="Times New Roman" w:hAnsi="Times New Roman"/>
          <w:color w:val="000000" w:themeColor="text1"/>
          <w:sz w:val="16"/>
          <w:szCs w:val="16"/>
        </w:rPr>
        <w:t xml:space="preserve"> (14751)</w:t>
      </w:r>
      <w:r w:rsidRPr="007122AB">
        <w:rPr>
          <w:rFonts w:ascii="Times New Roman" w:hAnsi="Times New Roman"/>
          <w:color w:val="000000" w:themeColor="text1"/>
          <w:sz w:val="16"/>
          <w:szCs w:val="16"/>
        </w:rPr>
        <w:t>.</w:t>
      </w:r>
    </w:p>
    <w:p w14:paraId="2E0B0A04" w14:textId="77777777" w:rsidR="00B24706" w:rsidRPr="007122AB" w:rsidRDefault="00B24706" w:rsidP="007122AB">
      <w:pPr>
        <w:spacing w:after="0" w:line="240" w:lineRule="auto"/>
        <w:jc w:val="both"/>
        <w:rPr>
          <w:rFonts w:ascii="Times New Roman" w:hAnsi="Times New Roman"/>
          <w:bCs/>
          <w:color w:val="000000" w:themeColor="text1"/>
          <w:sz w:val="16"/>
          <w:szCs w:val="16"/>
        </w:rPr>
      </w:pPr>
    </w:p>
    <w:p w14:paraId="788C09AD" w14:textId="77777777" w:rsidR="00024EF9" w:rsidRPr="007122AB" w:rsidRDefault="00024EF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августа 1931 г. при</w:t>
      </w:r>
      <w:r w:rsidRPr="007122AB">
        <w:rPr>
          <w:rFonts w:ascii="Times New Roman" w:hAnsi="Times New Roman"/>
          <w:color w:val="000000" w:themeColor="text1"/>
          <w:sz w:val="16"/>
          <w:szCs w:val="16"/>
        </w:rPr>
        <w:softHyphen/>
        <w:t>казом по Всесоюзному авиационному объ</w:t>
      </w:r>
      <w:r w:rsidRPr="007122AB">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7122AB">
        <w:rPr>
          <w:rFonts w:ascii="Times New Roman" w:hAnsi="Times New Roman"/>
          <w:color w:val="000000" w:themeColor="text1"/>
          <w:sz w:val="16"/>
          <w:szCs w:val="16"/>
        </w:rPr>
        <w:softHyphen/>
        <w:t>ектную организацию — ЦКБ-ЦАГИ. Остро</w:t>
      </w:r>
      <w:r w:rsidRPr="007122AB">
        <w:rPr>
          <w:rFonts w:ascii="Times New Roman" w:hAnsi="Times New Roman"/>
          <w:color w:val="000000" w:themeColor="text1"/>
          <w:sz w:val="16"/>
          <w:szCs w:val="16"/>
        </w:rPr>
        <w:softHyphen/>
        <w:t>словы окрестили соединение двух организа</w:t>
      </w:r>
      <w:r w:rsidRPr="007122AB">
        <w:rPr>
          <w:rFonts w:ascii="Times New Roman" w:hAnsi="Times New Roman"/>
          <w:color w:val="000000" w:themeColor="text1"/>
          <w:sz w:val="16"/>
          <w:szCs w:val="16"/>
        </w:rPr>
        <w:softHyphen/>
        <w:t xml:space="preserve">ций «свадьбой». От ОГПУ командовать новой структурой назначили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по тех</w:t>
      </w:r>
      <w:r w:rsidRPr="007122AB">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2F5C23F7" w14:textId="77777777" w:rsidR="00024EF9" w:rsidRPr="007122AB" w:rsidRDefault="00024EF9" w:rsidP="007122AB">
      <w:pPr>
        <w:spacing w:after="0" w:line="240" w:lineRule="auto"/>
        <w:jc w:val="both"/>
        <w:rPr>
          <w:rFonts w:ascii="Times New Roman" w:hAnsi="Times New Roman"/>
          <w:color w:val="000000" w:themeColor="text1"/>
          <w:sz w:val="16"/>
          <w:szCs w:val="16"/>
        </w:rPr>
      </w:pPr>
    </w:p>
    <w:p w14:paraId="7CDC86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августа 1931 г. Приказом ВАО Центральное конструкторское бюро завода № 39 сливалось с ЦАГИ и объединялось с отделом авиации, гидроавиации и опытного строительства (АГОС) ЦАГИ. Новое структурное подразделение ЦАГИ получило название ЦКБ ЦАГИ по самолетостроению. Начальником ЦАГИ был назначен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xml:space="preserve">, а его заместителем и начальником ЦКБ ЦАГИ -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Заместителем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по ЦКБ ЦАГИ стал </w:t>
      </w:r>
      <w:proofErr w:type="spellStart"/>
      <w:r w:rsidRPr="007122AB">
        <w:rPr>
          <w:rFonts w:ascii="Times New Roman" w:hAnsi="Times New Roman"/>
          <w:color w:val="000000" w:themeColor="text1"/>
          <w:sz w:val="16"/>
          <w:szCs w:val="16"/>
        </w:rPr>
        <w:t>А.Н.Туполев</w:t>
      </w:r>
      <w:proofErr w:type="spellEnd"/>
      <w:r w:rsidRPr="007122AB">
        <w:rPr>
          <w:rFonts w:ascii="Times New Roman" w:hAnsi="Times New Roman"/>
          <w:color w:val="000000" w:themeColor="text1"/>
          <w:sz w:val="16"/>
          <w:szCs w:val="16"/>
        </w:rPr>
        <w:t xml:space="preserve"> (9528).</w:t>
      </w:r>
    </w:p>
    <w:p w14:paraId="332B8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06E1C7" w14:textId="77777777" w:rsidR="005E0521" w:rsidRPr="007122AB" w:rsidRDefault="005E0521" w:rsidP="007122AB">
      <w:pPr>
        <w:pStyle w:val="rtejustify"/>
        <w:shd w:val="clear" w:color="auto" w:fill="FFFFFF"/>
        <w:spacing w:before="0" w:after="0"/>
        <w:rPr>
          <w:color w:val="000000" w:themeColor="text1"/>
          <w:sz w:val="16"/>
          <w:szCs w:val="16"/>
        </w:rPr>
      </w:pPr>
      <w:r w:rsidRPr="007122AB">
        <w:rPr>
          <w:color w:val="000000" w:themeColor="text1"/>
          <w:sz w:val="16"/>
          <w:szCs w:val="16"/>
        </w:rPr>
        <w:t>27 августа 1931 года произошло слияние Центрального конструкторского бюро (ЦКБ) Всесоюзного авиационно-промышленного объединения (ВАО) с ЦАГИ, в связи с чем, ЦКБ ВАО и АГОС ЦАГИ объединили в ЦКБ ЦАГИ по самолетостроению (19171).</w:t>
      </w:r>
    </w:p>
    <w:p w14:paraId="08104CE3" w14:textId="77777777" w:rsidR="005E0521" w:rsidRPr="007122AB" w:rsidRDefault="005E0521" w:rsidP="007122AB">
      <w:pPr>
        <w:pStyle w:val="rtejustify"/>
        <w:shd w:val="clear" w:color="auto" w:fill="FFFFFF"/>
        <w:spacing w:before="0" w:after="0"/>
        <w:rPr>
          <w:color w:val="000000" w:themeColor="text1"/>
          <w:sz w:val="16"/>
          <w:szCs w:val="16"/>
        </w:rPr>
      </w:pPr>
    </w:p>
    <w:p w14:paraId="74625FC7" w14:textId="77777777" w:rsidR="005E0521" w:rsidRPr="007122AB" w:rsidRDefault="005E052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августа 1931 г. Приказом начальника ВАО №265 предписывалось объединить в единое целое ЦАГИ и Центральное конструкторское бюро (ЦКБ) с заводом №39 им. Менжинского (19727).</w:t>
      </w:r>
    </w:p>
    <w:p w14:paraId="7D0141C9" w14:textId="77777777" w:rsidR="005E0521" w:rsidRPr="007122AB" w:rsidRDefault="005E0521" w:rsidP="007122AB">
      <w:pPr>
        <w:spacing w:after="0" w:line="240" w:lineRule="auto"/>
        <w:jc w:val="both"/>
        <w:rPr>
          <w:rFonts w:ascii="Times New Roman" w:hAnsi="Times New Roman"/>
          <w:color w:val="000000" w:themeColor="text1"/>
          <w:sz w:val="16"/>
          <w:szCs w:val="16"/>
        </w:rPr>
      </w:pPr>
    </w:p>
    <w:p w14:paraId="3445BC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августа 1931 г. приказом по ВАО за номером 265 ЦКБ было вве</w:t>
      </w:r>
      <w:r w:rsidRPr="007122AB">
        <w:rPr>
          <w:rFonts w:ascii="Times New Roman" w:hAnsi="Times New Roman"/>
          <w:color w:val="000000" w:themeColor="text1"/>
          <w:sz w:val="16"/>
          <w:szCs w:val="16"/>
        </w:rPr>
        <w:softHyphen/>
        <w:t xml:space="preserve">дено в состав ЦАГИ, а начальником ЦАГИ назначен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В ЦКБ включили конструкторские бригады ЦАГИ, ранее подчинявшиеся главному инже</w:t>
      </w:r>
      <w:r w:rsidRPr="007122AB">
        <w:rPr>
          <w:rFonts w:ascii="Times New Roman" w:hAnsi="Times New Roman"/>
          <w:color w:val="000000" w:themeColor="text1"/>
          <w:sz w:val="16"/>
          <w:szCs w:val="16"/>
        </w:rPr>
        <w:softHyphen/>
        <w:t xml:space="preserve">неру </w:t>
      </w:r>
      <w:proofErr w:type="spellStart"/>
      <w:r w:rsidRPr="007122AB">
        <w:rPr>
          <w:rFonts w:ascii="Times New Roman" w:hAnsi="Times New Roman"/>
          <w:color w:val="000000" w:themeColor="text1"/>
          <w:sz w:val="16"/>
          <w:szCs w:val="16"/>
        </w:rPr>
        <w:t>А.Н.Туполеву</w:t>
      </w:r>
      <w:proofErr w:type="spellEnd"/>
      <w:r w:rsidRPr="007122AB">
        <w:rPr>
          <w:rFonts w:ascii="Times New Roman" w:hAnsi="Times New Roman"/>
          <w:color w:val="000000" w:themeColor="text1"/>
          <w:sz w:val="16"/>
          <w:szCs w:val="16"/>
        </w:rPr>
        <w:t>.</w:t>
      </w:r>
    </w:p>
    <w:p w14:paraId="7269A7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Новое задание бригады № 3 предусматривало разра</w:t>
      </w:r>
      <w:r w:rsidRPr="007122AB">
        <w:rPr>
          <w:rFonts w:ascii="Times New Roman" w:hAnsi="Times New Roman"/>
          <w:color w:val="000000" w:themeColor="text1"/>
          <w:sz w:val="16"/>
          <w:szCs w:val="16"/>
        </w:rPr>
        <w:softHyphen/>
        <w:t>ботку пассажирского самолета, разведчика Р-11, истре</w:t>
      </w:r>
      <w:r w:rsidRPr="007122AB">
        <w:rPr>
          <w:rFonts w:ascii="Times New Roman" w:hAnsi="Times New Roman"/>
          <w:color w:val="000000" w:themeColor="text1"/>
          <w:sz w:val="16"/>
          <w:szCs w:val="16"/>
        </w:rPr>
        <w:softHyphen/>
        <w:t>бителя И-13. В рабочем дневнике, который Поликарпов вел с сентября по октябрь 1931 г., по часам расписан ход работ над проектами. Несколько записей:</w:t>
      </w:r>
    </w:p>
    <w:p w14:paraId="5A4899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«21-ое сентября 1931 г.</w:t>
      </w:r>
    </w:p>
    <w:p w14:paraId="2E3A5C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8,5-12. Обработка результатов </w:t>
      </w:r>
      <w:proofErr w:type="spellStart"/>
      <w:r w:rsidRPr="007122AB">
        <w:rPr>
          <w:rFonts w:ascii="Times New Roman" w:hAnsi="Times New Roman"/>
          <w:color w:val="000000" w:themeColor="text1"/>
          <w:sz w:val="16"/>
          <w:szCs w:val="16"/>
        </w:rPr>
        <w:t>статиспытаний</w:t>
      </w:r>
      <w:proofErr w:type="spellEnd"/>
      <w:r w:rsidRPr="007122AB">
        <w:rPr>
          <w:rFonts w:ascii="Times New Roman" w:hAnsi="Times New Roman"/>
          <w:color w:val="000000" w:themeColor="text1"/>
          <w:sz w:val="16"/>
          <w:szCs w:val="16"/>
        </w:rPr>
        <w:t xml:space="preserve"> лонж. № 12</w:t>
      </w:r>
    </w:p>
    <w:p w14:paraId="0FF6B3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12-14,5. Расчет крепежа радиатора сам. № 11</w:t>
      </w:r>
    </w:p>
    <w:p w14:paraId="0642D4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14,5-15. Обработка результатов </w:t>
      </w:r>
      <w:proofErr w:type="spellStart"/>
      <w:r w:rsidRPr="007122AB">
        <w:rPr>
          <w:rFonts w:ascii="Times New Roman" w:hAnsi="Times New Roman"/>
          <w:color w:val="000000" w:themeColor="text1"/>
          <w:sz w:val="16"/>
          <w:szCs w:val="16"/>
        </w:rPr>
        <w:t>статиспытаний</w:t>
      </w:r>
      <w:proofErr w:type="spellEnd"/>
      <w:r w:rsidRPr="007122AB">
        <w:rPr>
          <w:rFonts w:ascii="Times New Roman" w:hAnsi="Times New Roman"/>
          <w:color w:val="000000" w:themeColor="text1"/>
          <w:sz w:val="16"/>
          <w:szCs w:val="16"/>
        </w:rPr>
        <w:t xml:space="preserve"> лонж. № 12</w:t>
      </w:r>
    </w:p>
    <w:p w14:paraId="4CD29E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15-17,5. Заседание в ЗАО ЦАГИ (дорога)</w:t>
      </w:r>
    </w:p>
    <w:p w14:paraId="47120B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17,5-22. Доклад в ЗАО ЦАГИ...</w:t>
      </w:r>
    </w:p>
    <w:p w14:paraId="1A4A9D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9-ое октября 1931 г.</w:t>
      </w:r>
    </w:p>
    <w:p w14:paraId="3B84DE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8-9,5. Совещание с т. Фоминым по </w:t>
      </w:r>
      <w:proofErr w:type="spellStart"/>
      <w:r w:rsidRPr="007122AB">
        <w:rPr>
          <w:rFonts w:ascii="Times New Roman" w:hAnsi="Times New Roman"/>
          <w:color w:val="000000" w:themeColor="text1"/>
          <w:sz w:val="16"/>
          <w:szCs w:val="16"/>
        </w:rPr>
        <w:t>ИЗбис</w:t>
      </w:r>
      <w:proofErr w:type="spellEnd"/>
    </w:p>
    <w:p w14:paraId="735587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9,5-11. Осмотр </w:t>
      </w:r>
      <w:proofErr w:type="spellStart"/>
      <w:r w:rsidRPr="007122AB">
        <w:rPr>
          <w:rFonts w:ascii="Times New Roman" w:hAnsi="Times New Roman"/>
          <w:color w:val="000000" w:themeColor="text1"/>
          <w:sz w:val="16"/>
          <w:szCs w:val="16"/>
        </w:rPr>
        <w:t>вспомог</w:t>
      </w:r>
      <w:proofErr w:type="spellEnd"/>
      <w:r w:rsidRPr="007122AB">
        <w:rPr>
          <w:rFonts w:ascii="Times New Roman" w:hAnsi="Times New Roman"/>
          <w:color w:val="000000" w:themeColor="text1"/>
          <w:sz w:val="16"/>
          <w:szCs w:val="16"/>
        </w:rPr>
        <w:t>. матер, по пассажирскому и Р11 с летчиком т. Козловым</w:t>
      </w:r>
    </w:p>
    <w:p w14:paraId="333F61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11-4. Работы по </w:t>
      </w:r>
      <w:proofErr w:type="spellStart"/>
      <w:r w:rsidRPr="007122AB">
        <w:rPr>
          <w:rFonts w:ascii="Times New Roman" w:hAnsi="Times New Roman"/>
          <w:color w:val="000000" w:themeColor="text1"/>
          <w:sz w:val="16"/>
          <w:szCs w:val="16"/>
        </w:rPr>
        <w:t>пассажирск</w:t>
      </w:r>
      <w:proofErr w:type="spellEnd"/>
      <w:r w:rsidRPr="007122AB">
        <w:rPr>
          <w:rFonts w:ascii="Times New Roman" w:hAnsi="Times New Roman"/>
          <w:color w:val="000000" w:themeColor="text1"/>
          <w:sz w:val="16"/>
          <w:szCs w:val="16"/>
        </w:rPr>
        <w:t>. и по И-13</w:t>
      </w:r>
    </w:p>
    <w:p w14:paraId="21950D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4-7. Обсуждение </w:t>
      </w:r>
      <w:proofErr w:type="spellStart"/>
      <w:r w:rsidRPr="007122AB">
        <w:rPr>
          <w:rFonts w:ascii="Times New Roman" w:hAnsi="Times New Roman"/>
          <w:color w:val="000000" w:themeColor="text1"/>
          <w:sz w:val="16"/>
          <w:szCs w:val="16"/>
        </w:rPr>
        <w:t>технич</w:t>
      </w:r>
      <w:proofErr w:type="spellEnd"/>
      <w:r w:rsidRPr="007122AB">
        <w:rPr>
          <w:rFonts w:ascii="Times New Roman" w:hAnsi="Times New Roman"/>
          <w:color w:val="000000" w:themeColor="text1"/>
          <w:sz w:val="16"/>
          <w:szCs w:val="16"/>
        </w:rPr>
        <w:t xml:space="preserve">. требований по И-13 и </w:t>
      </w:r>
      <w:proofErr w:type="spellStart"/>
      <w:r w:rsidRPr="007122AB">
        <w:rPr>
          <w:rFonts w:ascii="Times New Roman" w:hAnsi="Times New Roman"/>
          <w:color w:val="000000" w:themeColor="text1"/>
          <w:sz w:val="16"/>
          <w:szCs w:val="16"/>
        </w:rPr>
        <w:t>пассажирск</w:t>
      </w:r>
      <w:proofErr w:type="spellEnd"/>
      <w:r w:rsidRPr="007122AB">
        <w:rPr>
          <w:rFonts w:ascii="Times New Roman" w:hAnsi="Times New Roman"/>
          <w:color w:val="000000" w:themeColor="text1"/>
          <w:sz w:val="16"/>
          <w:szCs w:val="16"/>
        </w:rPr>
        <w:t>.» (10667).</w:t>
      </w:r>
    </w:p>
    <w:p w14:paraId="6E3343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C3F0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августа 1931 г. приказом по Всесоюзному авиационному объединению (ВАО) №265 ЦКБ и ЦАГИ объединялись в единую про</w:t>
      </w:r>
      <w:r w:rsidRPr="007122AB">
        <w:rPr>
          <w:rFonts w:ascii="Times New Roman" w:hAnsi="Times New Roman"/>
          <w:color w:val="000000" w:themeColor="text1"/>
          <w:sz w:val="16"/>
          <w:szCs w:val="16"/>
        </w:rPr>
        <w:softHyphen/>
        <w:t>ектную организацию - ЦКБ-ЦАГИ. Остро</w:t>
      </w:r>
      <w:r w:rsidRPr="007122AB">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7122AB">
        <w:rPr>
          <w:rFonts w:ascii="Times New Roman" w:hAnsi="Times New Roman"/>
          <w:color w:val="000000" w:themeColor="text1"/>
          <w:sz w:val="16"/>
          <w:szCs w:val="16"/>
        </w:rPr>
        <w:softHyphen/>
        <w:t xml:space="preserve">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по технической части начальником объединенной организации стал С.В. Ильюшин (11974).</w:t>
      </w:r>
    </w:p>
    <w:p w14:paraId="5AF392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3BB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августа 1931 г. по приказу ВАО № 265 от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w:t>
      </w:r>
      <w:proofErr w:type="spellStart"/>
      <w:r w:rsidRPr="007122AB">
        <w:rPr>
          <w:rFonts w:ascii="Times New Roman" w:hAnsi="Times New Roman"/>
          <w:color w:val="000000" w:themeColor="text1"/>
          <w:sz w:val="16"/>
          <w:szCs w:val="16"/>
        </w:rPr>
        <w:t>Стоман</w:t>
      </w:r>
      <w:proofErr w:type="spellEnd"/>
      <w:r w:rsidRPr="007122AB">
        <w:rPr>
          <w:rFonts w:ascii="Times New Roman" w:hAnsi="Times New Roman"/>
          <w:color w:val="000000" w:themeColor="text1"/>
          <w:sz w:val="16"/>
          <w:szCs w:val="16"/>
        </w:rPr>
        <w:t>); ЗОК.</w:t>
      </w:r>
    </w:p>
    <w:p w14:paraId="06E61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4464E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6E2FAE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(1931 г.)- около 500 чел.</w:t>
      </w:r>
    </w:p>
    <w:p w14:paraId="364E11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(1926-28 г.-)- Б.Ф. Гончаров (арестован), (27.08.1931-ЗЗ г.)- С.В. Ильюшин.</w:t>
      </w:r>
    </w:p>
    <w:p w14:paraId="6BF2C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Зам. начальника (1931 г.-)- А.Н. Туполев, (1933 г.-)- С.А.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w:t>
      </w:r>
    </w:p>
    <w:p w14:paraId="5AD0C9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(06.1931 г.-)- Д.П. Григорович, (1933 г.-)- С.В. Ильюшин.</w:t>
      </w:r>
    </w:p>
    <w:p w14:paraId="16D76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бригад (1934 г.)- А.А. Дубровин, В.К. Таиров, В.П. Яценко.</w:t>
      </w:r>
    </w:p>
    <w:p w14:paraId="609EA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бригады (1935 г.-)- А.А. Сеньков.</w:t>
      </w:r>
    </w:p>
    <w:p w14:paraId="41FA19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Летчики-испытатели: (1935 г.)- В.К. Коккинаки (11092).</w:t>
      </w:r>
    </w:p>
    <w:p w14:paraId="32B44F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069509"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ав</w:t>
      </w:r>
      <w:r w:rsidRPr="007122AB">
        <w:rPr>
          <w:rFonts w:ascii="Times New Roman" w:hAnsi="Times New Roman"/>
          <w:color w:val="000000" w:themeColor="text1"/>
          <w:sz w:val="16"/>
          <w:szCs w:val="16"/>
        </w:rPr>
        <w:softHyphen/>
        <w:t>густа 1931 г. Центральное конструкторское бюро и Цент</w:t>
      </w:r>
      <w:r w:rsidRPr="007122AB">
        <w:rPr>
          <w:rFonts w:ascii="Times New Roman" w:hAnsi="Times New Roman"/>
          <w:color w:val="000000" w:themeColor="text1"/>
          <w:sz w:val="16"/>
          <w:szCs w:val="16"/>
        </w:rPr>
        <w:softHyphen/>
        <w:t>ральный аэрогидродинамический институт превратили в Объединенное техническое бюро (ОТБ) - ЦКБ-ЦАГИ. Ру</w:t>
      </w:r>
      <w:r w:rsidRPr="007122AB">
        <w:rPr>
          <w:rFonts w:ascii="Times New Roman" w:hAnsi="Times New Roman"/>
          <w:color w:val="000000" w:themeColor="text1"/>
          <w:sz w:val="16"/>
          <w:szCs w:val="16"/>
        </w:rPr>
        <w:softHyphen/>
        <w:t xml:space="preserve">ководителем этой организации назначили представителя ОГПУ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Сергей Александрович в новой ор</w:t>
      </w:r>
      <w:r w:rsidRPr="007122AB">
        <w:rPr>
          <w:rFonts w:ascii="Times New Roman" w:hAnsi="Times New Roman"/>
          <w:color w:val="000000" w:themeColor="text1"/>
          <w:sz w:val="16"/>
          <w:szCs w:val="16"/>
        </w:rPr>
        <w:softHyphen/>
        <w:t>ганизации значится как начальник конструкторского бюро ЦАГИ, в другом документе он указан как начальник отде</w:t>
      </w:r>
      <w:r w:rsidRPr="007122AB">
        <w:rPr>
          <w:rFonts w:ascii="Times New Roman" w:hAnsi="Times New Roman"/>
          <w:color w:val="000000" w:themeColor="text1"/>
          <w:sz w:val="16"/>
          <w:szCs w:val="16"/>
        </w:rPr>
        <w:softHyphen/>
        <w:t>ла новых проектов, а далее значится начальником отдела КОСОС (Конструкторский отдел сектора опытного самоле</w:t>
      </w:r>
      <w:r w:rsidRPr="007122AB">
        <w:rPr>
          <w:rFonts w:ascii="Times New Roman" w:hAnsi="Times New Roman"/>
          <w:color w:val="000000" w:themeColor="text1"/>
          <w:sz w:val="16"/>
          <w:szCs w:val="16"/>
        </w:rPr>
        <w:softHyphen/>
        <w:t>тостроения) ЦАГИ (20362).</w:t>
      </w:r>
    </w:p>
    <w:p w14:paraId="04905922" w14:textId="77777777" w:rsidR="002E083D" w:rsidRPr="007122AB" w:rsidRDefault="002E083D" w:rsidP="007122AB">
      <w:pPr>
        <w:shd w:val="clear" w:color="auto" w:fill="FFFFFF"/>
        <w:spacing w:after="0" w:line="240" w:lineRule="auto"/>
        <w:jc w:val="both"/>
        <w:rPr>
          <w:rFonts w:ascii="Times New Roman" w:hAnsi="Times New Roman"/>
          <w:color w:val="000000" w:themeColor="text1"/>
          <w:sz w:val="16"/>
          <w:szCs w:val="16"/>
        </w:rPr>
      </w:pPr>
    </w:p>
    <w:p w14:paraId="30B81F2E"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августа 1931 г. Центральное конструктор</w:t>
      </w:r>
      <w:r w:rsidRPr="007122AB">
        <w:rPr>
          <w:rFonts w:ascii="Times New Roman" w:hAnsi="Times New Roman"/>
          <w:color w:val="000000" w:themeColor="text1"/>
          <w:sz w:val="16"/>
          <w:szCs w:val="16"/>
        </w:rPr>
        <w:softHyphen/>
        <w:t>ское бюро (ЦКБ) и ЦАГИ объединили в единую организа</w:t>
      </w:r>
      <w:r w:rsidRPr="007122AB">
        <w:rPr>
          <w:rFonts w:ascii="Times New Roman" w:hAnsi="Times New Roman"/>
          <w:color w:val="000000" w:themeColor="text1"/>
          <w:sz w:val="16"/>
          <w:szCs w:val="16"/>
        </w:rPr>
        <w:softHyphen/>
        <w:t xml:space="preserve">цию — ЦКБ-ЦАГИ, деятельность которой осуществлялась под патронажем ОГПУ. От органов ГПУ руководить новой организацией назначили Е.С.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а технической частью стал заведовать С.В. Ильюшин. Для БОК указанные изменения выразились в том, что производственные во</w:t>
      </w:r>
      <w:r w:rsidRPr="007122AB">
        <w:rPr>
          <w:rFonts w:ascii="Times New Roman" w:hAnsi="Times New Roman"/>
          <w:color w:val="000000" w:themeColor="text1"/>
          <w:sz w:val="16"/>
          <w:szCs w:val="16"/>
        </w:rPr>
        <w:softHyphen/>
        <w:t>просы решались на двух территориях, размещенных в разных районах Москвы. В частности, изготовление гон</w:t>
      </w:r>
      <w:r w:rsidRPr="007122AB">
        <w:rPr>
          <w:rFonts w:ascii="Times New Roman" w:hAnsi="Times New Roman"/>
          <w:color w:val="000000" w:themeColor="text1"/>
          <w:sz w:val="16"/>
          <w:szCs w:val="16"/>
        </w:rPr>
        <w:softHyphen/>
        <w:t>долы стратостата «СССР» велось с октября 1931 г. на за</w:t>
      </w:r>
      <w:r w:rsidRPr="007122AB">
        <w:rPr>
          <w:rFonts w:ascii="Times New Roman" w:hAnsi="Times New Roman"/>
          <w:color w:val="000000" w:themeColor="text1"/>
          <w:sz w:val="16"/>
          <w:szCs w:val="16"/>
        </w:rPr>
        <w:softHyphen/>
        <w:t>воде №39, а стратосферный самолет строился на заводе опытных конструкций (ЗОК) ЦАГИ, вступившем в строй 1 января 1932 г. При этом наиболее важным делом счи</w:t>
      </w:r>
      <w:r w:rsidRPr="007122AB">
        <w:rPr>
          <w:rFonts w:ascii="Times New Roman" w:hAnsi="Times New Roman"/>
          <w:color w:val="000000" w:themeColor="text1"/>
          <w:sz w:val="16"/>
          <w:szCs w:val="16"/>
        </w:rPr>
        <w:softHyphen/>
        <w:t>талось разрешение проблемы самолета, способного осуществлять длительные полеты на больших высотах. Полеты таких самолетов (стратопланов) предполагались на высотах 10—12 км, где разряженная атмосфера позволя</w:t>
      </w:r>
      <w:r w:rsidRPr="007122AB">
        <w:rPr>
          <w:rFonts w:ascii="Times New Roman" w:hAnsi="Times New Roman"/>
          <w:color w:val="000000" w:themeColor="text1"/>
          <w:sz w:val="16"/>
          <w:szCs w:val="16"/>
        </w:rPr>
        <w:softHyphen/>
        <w:t>ла развивать большие полетные скорости и не зависеть от капризов погоды, поэтому особенно заманчивыми они представлялись для военного применения.</w:t>
      </w:r>
    </w:p>
    <w:p w14:paraId="2290F989"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создании стратоплана предстояло решить следую</w:t>
      </w:r>
      <w:r w:rsidRPr="007122AB">
        <w:rPr>
          <w:rFonts w:ascii="Times New Roman" w:hAnsi="Times New Roman"/>
          <w:color w:val="000000" w:themeColor="text1"/>
          <w:sz w:val="16"/>
          <w:szCs w:val="16"/>
        </w:rPr>
        <w:softHyphen/>
        <w:t>щие задачи:</w:t>
      </w:r>
    </w:p>
    <w:p w14:paraId="2EC1BDBC"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исследование аэродинамики высотных аппаратов;</w:t>
      </w:r>
    </w:p>
    <w:p w14:paraId="59989B47"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 герметичной кабины экипажа;</w:t>
      </w:r>
    </w:p>
    <w:p w14:paraId="4E89E5A8"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осуществление проводки органов управления из гер</w:t>
      </w:r>
      <w:r w:rsidRPr="007122AB">
        <w:rPr>
          <w:rFonts w:ascii="Times New Roman" w:hAnsi="Times New Roman"/>
          <w:color w:val="000000" w:themeColor="text1"/>
          <w:sz w:val="16"/>
          <w:szCs w:val="16"/>
        </w:rPr>
        <w:softHyphen/>
        <w:t>мокабины;</w:t>
      </w:r>
    </w:p>
    <w:p w14:paraId="1B3C4955"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обеспечение работы приборного оборудования в гер</w:t>
      </w:r>
      <w:r w:rsidRPr="007122AB">
        <w:rPr>
          <w:rFonts w:ascii="Times New Roman" w:hAnsi="Times New Roman"/>
          <w:color w:val="000000" w:themeColor="text1"/>
          <w:sz w:val="16"/>
          <w:szCs w:val="16"/>
        </w:rPr>
        <w:softHyphen/>
        <w:t>мокабине;</w:t>
      </w:r>
    </w:p>
    <w:p w14:paraId="72D5F98C"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 комфортных условий работы экипажа;</w:t>
      </w:r>
    </w:p>
    <w:p w14:paraId="15D36E7E" w14:textId="77777777" w:rsidR="002E083D" w:rsidRPr="007122AB" w:rsidRDefault="002E083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 специальной моторной установки, надежно работающей в условиях разреженного воздуха и низких температур (-55°...-70° С) (20363).</w:t>
      </w:r>
    </w:p>
    <w:p w14:paraId="6B428A59" w14:textId="77777777" w:rsidR="002E083D" w:rsidRPr="007122AB" w:rsidRDefault="002E083D" w:rsidP="007122AB">
      <w:pPr>
        <w:spacing w:after="0" w:line="240" w:lineRule="auto"/>
        <w:jc w:val="both"/>
        <w:rPr>
          <w:rFonts w:ascii="Times New Roman" w:hAnsi="Times New Roman"/>
          <w:color w:val="000000" w:themeColor="text1"/>
          <w:sz w:val="16"/>
          <w:szCs w:val="16"/>
        </w:rPr>
      </w:pPr>
    </w:p>
    <w:p w14:paraId="4A1F0129"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27 августа 1931 года приказом по ВАО за номером 265 ЦКБ было введено в состав ЦАГИ, а начальником ЦАГИ был назначен Н.Е. </w:t>
      </w:r>
      <w:proofErr w:type="spellStart"/>
      <w:r w:rsidRPr="00441F34">
        <w:rPr>
          <w:rFonts w:ascii="Times New Roman" w:hAnsi="Times New Roman"/>
          <w:color w:val="0070C0"/>
          <w:sz w:val="16"/>
          <w:szCs w:val="16"/>
        </w:rPr>
        <w:t>Пауфлер</w:t>
      </w:r>
      <w:proofErr w:type="spellEnd"/>
      <w:r w:rsidRPr="00441F34">
        <w:rPr>
          <w:rFonts w:ascii="Times New Roman" w:hAnsi="Times New Roman"/>
          <w:color w:val="0070C0"/>
          <w:sz w:val="16"/>
          <w:szCs w:val="16"/>
        </w:rPr>
        <w:t>. В ЦКБ включили конструкторские бригады ЦАГИ, ранее подчинявшиеся главному инженеру А.Н. Туполеву.</w:t>
      </w:r>
    </w:p>
    <w:p w14:paraId="227C5631"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Новое задание бригады №3 пред</w:t>
      </w:r>
      <w:r w:rsidRPr="00441F34">
        <w:rPr>
          <w:rFonts w:ascii="Times New Roman" w:hAnsi="Times New Roman"/>
          <w:color w:val="0070C0"/>
          <w:sz w:val="16"/>
          <w:szCs w:val="16"/>
        </w:rPr>
        <w:softHyphen/>
        <w:t>усматривало разработку пассажирского самолета, разведчика Р 11, истребителя И-13 с мотором М 32 (его еще только предстояло создать). В кратком рабочем дневнике, который Поликарпов вел с сентября по октябрь 1931 г., по часам расписан ход работ над проектами.</w:t>
      </w:r>
    </w:p>
    <w:p w14:paraId="1703568B"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Пока не назначили начальника ЦКБ, общим руководством деятельности занимался главный инженер ЦАГИ А.Н. Туполев. Он придерживался мне</w:t>
      </w:r>
      <w:r w:rsidRPr="00441F34">
        <w:rPr>
          <w:rFonts w:ascii="Times New Roman" w:hAnsi="Times New Roman"/>
          <w:color w:val="0070C0"/>
          <w:sz w:val="16"/>
          <w:szCs w:val="16"/>
        </w:rPr>
        <w:softHyphen/>
        <w:t>ния, что конструкция опытных самоле</w:t>
      </w:r>
      <w:r w:rsidRPr="00441F34">
        <w:rPr>
          <w:rFonts w:ascii="Times New Roman" w:hAnsi="Times New Roman"/>
          <w:color w:val="0070C0"/>
          <w:sz w:val="16"/>
          <w:szCs w:val="16"/>
        </w:rPr>
        <w:softHyphen/>
        <w:t>тов бригады №3 должна быть цельно</w:t>
      </w:r>
      <w:r w:rsidRPr="00441F34">
        <w:rPr>
          <w:rFonts w:ascii="Times New Roman" w:hAnsi="Times New Roman"/>
          <w:color w:val="0070C0"/>
          <w:sz w:val="16"/>
          <w:szCs w:val="16"/>
        </w:rPr>
        <w:softHyphen/>
        <w:t>металлической. Николай Николаевич же считал необходимым вести разработку самолетов смешанной конструкции. Кроме того, он протестовал против мелочной опеки со стороны Туполева в вопросах проектирования. Проте</w:t>
      </w:r>
      <w:r w:rsidRPr="00441F34">
        <w:rPr>
          <w:rFonts w:ascii="Times New Roman" w:hAnsi="Times New Roman"/>
          <w:color w:val="0070C0"/>
          <w:sz w:val="16"/>
          <w:szCs w:val="16"/>
        </w:rPr>
        <w:softHyphen/>
        <w:t>стовал против требований Туполева «проштемпелевать» по «традиции» (как это делалось в других бригадах ЦАГИ) проект своими инициалами АНТ (Анд</w:t>
      </w:r>
      <w:r w:rsidRPr="00441F34">
        <w:rPr>
          <w:rFonts w:ascii="Times New Roman" w:hAnsi="Times New Roman"/>
          <w:color w:val="0070C0"/>
          <w:sz w:val="16"/>
          <w:szCs w:val="16"/>
        </w:rPr>
        <w:softHyphen/>
        <w:t>рей Николаевич Туполев) с номером 32. Сказывался и груз их прошлых взаимо</w:t>
      </w:r>
      <w:r w:rsidRPr="00441F34">
        <w:rPr>
          <w:rFonts w:ascii="Times New Roman" w:hAnsi="Times New Roman"/>
          <w:color w:val="0070C0"/>
          <w:sz w:val="16"/>
          <w:szCs w:val="16"/>
        </w:rPr>
        <w:softHyphen/>
        <w:t>отношений. Назревал конфликт.</w:t>
      </w:r>
    </w:p>
    <w:p w14:paraId="761BC392"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Однажды в ноябре 1931 г. на совещании в кабинете Туполева на</w:t>
      </w:r>
      <w:r w:rsidRPr="00441F34">
        <w:rPr>
          <w:rFonts w:ascii="Times New Roman" w:hAnsi="Times New Roman"/>
          <w:color w:val="0070C0"/>
          <w:sz w:val="16"/>
          <w:szCs w:val="16"/>
        </w:rPr>
        <w:softHyphen/>
        <w:t>чавшийся было спокойным разговор по работам бригады №3, дошел до высшей точки кипения. Туполев вы</w:t>
      </w:r>
      <w:r w:rsidRPr="00441F34">
        <w:rPr>
          <w:rFonts w:ascii="Times New Roman" w:hAnsi="Times New Roman"/>
          <w:color w:val="0070C0"/>
          <w:sz w:val="16"/>
          <w:szCs w:val="16"/>
        </w:rPr>
        <w:softHyphen/>
        <w:t>разил свое мнение, что задание на истребитель И-13 бригада №3 смогла бы быстро выполнить, взяв за основу спроектированный ранее П.О. Сухим истребитель И-8 (АНТ-13), который проходил в то время испытания. Он считал, что требовалось лишь немного усилить его конструкцию и улучшить аэродинамику самолета, а потому дал указания о немедленном проведении этой работы.</w:t>
      </w:r>
    </w:p>
    <w:p w14:paraId="222AB745"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w:t>
      </w:r>
    </w:p>
    <w:p w14:paraId="5BC59606"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Самолюбивый Андрей Нико</w:t>
      </w:r>
      <w:r w:rsidRPr="00441F34">
        <w:rPr>
          <w:rFonts w:ascii="Times New Roman" w:hAnsi="Times New Roman"/>
          <w:color w:val="0070C0"/>
          <w:sz w:val="16"/>
          <w:szCs w:val="16"/>
        </w:rPr>
        <w:softHyphen/>
        <w:t>лаевич был буквально взбешен отказом Н.Н. Поликарпова. По воспоминаниям инженера Тара</w:t>
      </w:r>
      <w:r w:rsidRPr="00441F34">
        <w:rPr>
          <w:rFonts w:ascii="Times New Roman" w:hAnsi="Times New Roman"/>
          <w:color w:val="0070C0"/>
          <w:sz w:val="16"/>
          <w:szCs w:val="16"/>
        </w:rPr>
        <w:softHyphen/>
        <w:t>сова, Туполев вскочил, опрокинув стулья. «Я этого (мат) сукина сына навек в рядовых инженерах сгною, он у меня забудет, как самолеты проектируются», - в ярости кричал Андрей Николаевич. Немедленно последовал приказ о смещении Н.Н. Поликарпова с должности начальника бригады №3. Его перевели в рядовые инженеры и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Нес</w:t>
      </w:r>
      <w:r w:rsidRPr="00441F34">
        <w:rPr>
          <w:rFonts w:ascii="Times New Roman" w:hAnsi="Times New Roman"/>
          <w:color w:val="0070C0"/>
          <w:sz w:val="16"/>
          <w:szCs w:val="16"/>
        </w:rPr>
        <w:softHyphen/>
        <w:t>праведливо. Обидно...</w:t>
      </w:r>
    </w:p>
    <w:p w14:paraId="46195AB7"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написанных Поликарповым заметках несколькими скупыми словами дана его оценка произо</w:t>
      </w:r>
      <w:r w:rsidRPr="00441F34">
        <w:rPr>
          <w:rFonts w:ascii="Times New Roman" w:hAnsi="Times New Roman"/>
          <w:color w:val="0070C0"/>
          <w:sz w:val="16"/>
          <w:szCs w:val="16"/>
        </w:rPr>
        <w:softHyphen/>
        <w:t>шедшим событиям: «Мои разногла</w:t>
      </w:r>
      <w:r w:rsidRPr="00441F34">
        <w:rPr>
          <w:rFonts w:ascii="Times New Roman" w:hAnsi="Times New Roman"/>
          <w:color w:val="0070C0"/>
          <w:sz w:val="16"/>
          <w:szCs w:val="16"/>
        </w:rPr>
        <w:softHyphen/>
        <w:t xml:space="preserve">сия с Туполевым принципиальные, захват ЦАГИ, проверка проектов, проверка </w:t>
      </w:r>
      <w:proofErr w:type="spellStart"/>
      <w:r w:rsidRPr="00441F34">
        <w:rPr>
          <w:rFonts w:ascii="Times New Roman" w:hAnsi="Times New Roman"/>
          <w:color w:val="0070C0"/>
          <w:sz w:val="16"/>
          <w:szCs w:val="16"/>
        </w:rPr>
        <w:t>статиспытаний</w:t>
      </w:r>
      <w:proofErr w:type="spellEnd"/>
      <w:r w:rsidRPr="00441F34">
        <w:rPr>
          <w:rFonts w:ascii="Times New Roman" w:hAnsi="Times New Roman"/>
          <w:color w:val="0070C0"/>
          <w:sz w:val="16"/>
          <w:szCs w:val="16"/>
        </w:rPr>
        <w:t>, жесткий контроль и безответственность. Наше переселение в ЦАГИ «для оздо</w:t>
      </w:r>
      <w:r w:rsidRPr="00441F34">
        <w:rPr>
          <w:rFonts w:ascii="Times New Roman" w:hAnsi="Times New Roman"/>
          <w:color w:val="0070C0"/>
          <w:sz w:val="16"/>
          <w:szCs w:val="16"/>
        </w:rPr>
        <w:softHyphen/>
        <w:t>ровления». Перелом и гонения.</w:t>
      </w:r>
    </w:p>
    <w:p w14:paraId="55BA05F5"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Зажим в ЦАГИ: смещение в ноябре 1931 года, снятие программы (раз</w:t>
      </w:r>
      <w:r w:rsidRPr="00441F34">
        <w:rPr>
          <w:rFonts w:ascii="Times New Roman" w:hAnsi="Times New Roman"/>
          <w:color w:val="0070C0"/>
          <w:sz w:val="16"/>
          <w:szCs w:val="16"/>
        </w:rPr>
        <w:softHyphen/>
        <w:t>ведчики и истребители), вынужден</w:t>
      </w:r>
      <w:r w:rsidRPr="00441F34">
        <w:rPr>
          <w:rFonts w:ascii="Times New Roman" w:hAnsi="Times New Roman"/>
          <w:color w:val="0070C0"/>
          <w:sz w:val="16"/>
          <w:szCs w:val="16"/>
        </w:rPr>
        <w:softHyphen/>
        <w:t>ное безделье до июля 1932 года...».</w:t>
      </w:r>
    </w:p>
    <w:p w14:paraId="5C835BEC"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Конечно же, Николай Николае</w:t>
      </w:r>
      <w:r w:rsidRPr="00441F34">
        <w:rPr>
          <w:rFonts w:ascii="Times New Roman" w:hAnsi="Times New Roman"/>
          <w:color w:val="0070C0"/>
          <w:sz w:val="16"/>
          <w:szCs w:val="16"/>
        </w:rPr>
        <w:softHyphen/>
        <w:t>вич не сидел, сложа руки, однако отрыв от любимого дела он воспри</w:t>
      </w:r>
      <w:r w:rsidRPr="00441F34">
        <w:rPr>
          <w:rFonts w:ascii="Times New Roman" w:hAnsi="Times New Roman"/>
          <w:color w:val="0070C0"/>
          <w:sz w:val="16"/>
          <w:szCs w:val="16"/>
        </w:rPr>
        <w:softHyphen/>
        <w:t>нимал очень тяжело.</w:t>
      </w:r>
    </w:p>
    <w:p w14:paraId="366A575C"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Вместо него бригаду возглавил инженер </w:t>
      </w:r>
      <w:proofErr w:type="spellStart"/>
      <w:r w:rsidRPr="00441F34">
        <w:rPr>
          <w:rFonts w:ascii="Times New Roman" w:hAnsi="Times New Roman"/>
          <w:color w:val="0070C0"/>
          <w:sz w:val="16"/>
          <w:szCs w:val="16"/>
        </w:rPr>
        <w:t>Бертош</w:t>
      </w:r>
      <w:proofErr w:type="spellEnd"/>
      <w:r w:rsidRPr="00441F34">
        <w:rPr>
          <w:rFonts w:ascii="Times New Roman" w:hAnsi="Times New Roman"/>
          <w:color w:val="0070C0"/>
          <w:sz w:val="16"/>
          <w:szCs w:val="16"/>
        </w:rPr>
        <w:t>, один из участни</w:t>
      </w:r>
      <w:r w:rsidRPr="00441F34">
        <w:rPr>
          <w:rFonts w:ascii="Times New Roman" w:hAnsi="Times New Roman"/>
          <w:color w:val="0070C0"/>
          <w:sz w:val="16"/>
          <w:szCs w:val="16"/>
        </w:rPr>
        <w:softHyphen/>
        <w:t>ков проектирования И-8, который взялся за разработку конструкции истребителя И-13 в соответствии с указаниями А.Н. Туполева (23406).</w:t>
      </w:r>
    </w:p>
    <w:p w14:paraId="28A62A1B" w14:textId="77777777" w:rsidR="005D140D" w:rsidRPr="00441F34" w:rsidRDefault="005D140D" w:rsidP="005D140D">
      <w:pPr>
        <w:spacing w:after="0" w:line="240" w:lineRule="auto"/>
        <w:jc w:val="both"/>
        <w:rPr>
          <w:rFonts w:ascii="Times New Roman" w:hAnsi="Times New Roman"/>
          <w:color w:val="0070C0"/>
          <w:sz w:val="16"/>
          <w:szCs w:val="16"/>
        </w:rPr>
      </w:pPr>
    </w:p>
    <w:p w14:paraId="09AA24CE"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27 августа 1931 г. (согласно книге [Сауке М.Б. Неизвестный Туполев. М.: КЦНТИ «Оригинал», - 1995 г.] 17 августа) приказом №265 начальника Всесоюзного авиационного объединения (ВАО) П.И. Баранова принято решение о сосредоточении всего опытного авиастроения в едином Центральном конструкторском бюро (ЦКБ) ЦАГИ. Руководство общей организацией возложено на Е. </w:t>
      </w:r>
      <w:proofErr w:type="spellStart"/>
      <w:r w:rsidRPr="00441F34">
        <w:rPr>
          <w:rFonts w:ascii="Times New Roman" w:hAnsi="Times New Roman"/>
          <w:color w:val="0070C0"/>
          <w:sz w:val="16"/>
          <w:szCs w:val="16"/>
        </w:rPr>
        <w:t>Пауфлера</w:t>
      </w:r>
      <w:proofErr w:type="spellEnd"/>
      <w:r w:rsidRPr="00441F34">
        <w:rPr>
          <w:rFonts w:ascii="Times New Roman" w:hAnsi="Times New Roman"/>
          <w:color w:val="0070C0"/>
          <w:sz w:val="16"/>
          <w:szCs w:val="16"/>
        </w:rPr>
        <w:t>.</w:t>
      </w:r>
    </w:p>
    <w:p w14:paraId="5F52A1E4"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Руководство конструкторской части ЦАГИ в лице начальника конструкторской его части АГОС (Авиация и гидроавиация – опытное строительство) А.Н. Туполева было против объединения, тем не менее, соответствующий приказ по ЦАГИ вышел в сентябре 1931 г.</w:t>
      </w:r>
    </w:p>
    <w:p w14:paraId="0019845E"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то же время не найдено никаких указаний на то, что были какие-то решения о присвоении самолетам разработки АГОС и далее КОСОС А.Н. Туполева внутренних обозначений ЦБ-номер – они продолжали обозначаться АНТ-номер вплоть до 1937 г., когда обозначения АНТ были отменены.</w:t>
      </w:r>
    </w:p>
    <w:p w14:paraId="6DF7CA22"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Летом 1931 г. начались испытания истребителя И-Зет конструкции Д.П. Григоровича. Несмотря на недостатки его вооружения (динамо-реактивные пушки </w:t>
      </w:r>
      <w:proofErr w:type="spellStart"/>
      <w:r w:rsidRPr="00441F34">
        <w:rPr>
          <w:rFonts w:ascii="Times New Roman" w:hAnsi="Times New Roman"/>
          <w:color w:val="0070C0"/>
          <w:sz w:val="16"/>
          <w:szCs w:val="16"/>
        </w:rPr>
        <w:t>Курчевского</w:t>
      </w:r>
      <w:proofErr w:type="spellEnd"/>
      <w:r w:rsidRPr="00441F34">
        <w:rPr>
          <w:rFonts w:ascii="Times New Roman" w:hAnsi="Times New Roman"/>
          <w:color w:val="0070C0"/>
          <w:sz w:val="16"/>
          <w:szCs w:val="16"/>
        </w:rPr>
        <w:t xml:space="preserve">, активным сторонником которых был маршал Тухачевский), они закончились сравнительным успехом – самолет под нажимом Тухачевского приняли на вооружение. Григорович и </w:t>
      </w:r>
      <w:proofErr w:type="spellStart"/>
      <w:r w:rsidRPr="00441F34">
        <w:rPr>
          <w:rFonts w:ascii="Times New Roman" w:hAnsi="Times New Roman"/>
          <w:color w:val="0070C0"/>
          <w:sz w:val="16"/>
          <w:szCs w:val="16"/>
        </w:rPr>
        <w:t>Курчевский</w:t>
      </w:r>
      <w:proofErr w:type="spellEnd"/>
      <w:r w:rsidRPr="00441F34">
        <w:rPr>
          <w:rFonts w:ascii="Times New Roman" w:hAnsi="Times New Roman"/>
          <w:color w:val="0070C0"/>
          <w:sz w:val="16"/>
          <w:szCs w:val="16"/>
        </w:rPr>
        <w:t xml:space="preserve"> создавали вокруг него (как и вокруг других объектов с ДРПК) атмосферу чрезмерной секретности, которая замедляла работы, а целью имела обособление КБ Григоровича и </w:t>
      </w:r>
      <w:proofErr w:type="spellStart"/>
      <w:r w:rsidRPr="00441F34">
        <w:rPr>
          <w:rFonts w:ascii="Times New Roman" w:hAnsi="Times New Roman"/>
          <w:color w:val="0070C0"/>
          <w:sz w:val="16"/>
          <w:szCs w:val="16"/>
        </w:rPr>
        <w:t>Курчевского</w:t>
      </w:r>
      <w:proofErr w:type="spellEnd"/>
      <w:r w:rsidRPr="00441F34">
        <w:rPr>
          <w:rFonts w:ascii="Times New Roman" w:hAnsi="Times New Roman"/>
          <w:color w:val="0070C0"/>
          <w:sz w:val="16"/>
          <w:szCs w:val="16"/>
        </w:rPr>
        <w:t>. Григорович начал добиваться выхода своей группы из ЦКБ и перевода его с завода №39 на другое предприятие, где, как он надеялся, за ним не будет контроля со стороны ОГПУ. Это было возможно при условии передачи производства самолета И-Зет на другой серийный завод.</w:t>
      </w:r>
    </w:p>
    <w:p w14:paraId="56127F33"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1931 г. выпущен опытный образец двухместного истребителя ДИ-3 разработки ЦКБ-39. Его Государственные испытания закончились 12 июля того же года – как и предыдущий Д-2, на вооружение он не принят. Была предпринята попытка переделать его в административный самолет с размещением курьера в задней кабине, но и она оказалась безуспешной.</w:t>
      </w:r>
    </w:p>
    <w:p w14:paraId="1EA6B0F4"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Поскольку нужда в двухместном истребителе сохранялась, Ильюшин добился выделения в составе ЦКБ особой группы для разработки таких самолетов, которую возглавил В.П. Яценко. Хотя в некоторых источниках утверждается, что Ильюшин даже противился этому, есть документы, доказывающие, что в силу отставания в этом направлении он сам подготовил приказ и утвердил перевод этих конструкторов, ранее входивших в бригаду штурмовиков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 В конечном итоге группа Яценко все же разработала тип, принятый на вооружение – ДИ-6, но к тому времени интерес к таким самолетам во всем мире уже ослаб (23559).</w:t>
      </w:r>
    </w:p>
    <w:p w14:paraId="7BDF49EB" w14:textId="77777777" w:rsidR="005D140D" w:rsidRPr="00441F34" w:rsidRDefault="005D140D" w:rsidP="005D140D">
      <w:pPr>
        <w:spacing w:after="0" w:line="240" w:lineRule="auto"/>
        <w:jc w:val="both"/>
        <w:rPr>
          <w:rFonts w:ascii="Times New Roman" w:hAnsi="Times New Roman"/>
          <w:color w:val="0070C0"/>
          <w:sz w:val="16"/>
          <w:szCs w:val="16"/>
        </w:rPr>
      </w:pPr>
    </w:p>
    <w:p w14:paraId="4023AEF0"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27 августа 1931 г. приказом №265 начальника ВАО П.И. Баранова принято решение о сосредоточении всего опытного авиастроения СССР в едином Центральном конструкторском бюро (ЦКБ) ЦАГИ, куда вливались существующие ранее как самостоятельные организации – ЦКБ авиационной промышленности на авиазаводе №39 (ЦКБ ОГПУ, ЦКБ-39) и Центральный аэрогидродинамический институт с его конструкторской частью АГОС (Авиация и гидроавиация – опытное строительство).</w:t>
      </w:r>
    </w:p>
    <w:p w14:paraId="33FAFCB0" w14:textId="77777777" w:rsidR="005D140D" w:rsidRPr="00441F34" w:rsidRDefault="005D140D" w:rsidP="005D140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Общее административное руководство общей организацией возложено на Е. </w:t>
      </w:r>
      <w:proofErr w:type="spellStart"/>
      <w:r w:rsidRPr="00441F34">
        <w:rPr>
          <w:rFonts w:ascii="Times New Roman" w:hAnsi="Times New Roman"/>
          <w:color w:val="0070C0"/>
          <w:sz w:val="16"/>
          <w:szCs w:val="16"/>
        </w:rPr>
        <w:t>Пауфлера</w:t>
      </w:r>
      <w:proofErr w:type="spellEnd"/>
      <w:r w:rsidRPr="00441F34">
        <w:rPr>
          <w:rFonts w:ascii="Times New Roman" w:hAnsi="Times New Roman"/>
          <w:color w:val="0070C0"/>
          <w:sz w:val="16"/>
          <w:szCs w:val="16"/>
        </w:rPr>
        <w:t>, но научные и конструкторские вопросы решались ЦКБ и ЦАГИ по-прежнему раздельно (24115).</w:t>
      </w:r>
    </w:p>
    <w:p w14:paraId="3EBCBB10" w14:textId="77777777" w:rsidR="005D140D" w:rsidRPr="00441F34" w:rsidRDefault="005D140D" w:rsidP="005D140D">
      <w:pPr>
        <w:spacing w:after="0" w:line="240" w:lineRule="auto"/>
        <w:jc w:val="both"/>
        <w:rPr>
          <w:rFonts w:ascii="Times New Roman" w:hAnsi="Times New Roman"/>
          <w:color w:val="0070C0"/>
          <w:sz w:val="16"/>
          <w:szCs w:val="16"/>
        </w:rPr>
      </w:pPr>
    </w:p>
    <w:p w14:paraId="4A5FBFE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652211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CD3C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1931 Начальник ЦАГИ издал приказ N 158 о реорганизации "опытного завода АГОС" в ЗОК, начальником которого стал </w:t>
      </w:r>
      <w:proofErr w:type="spellStart"/>
      <w:r w:rsidRPr="007122AB">
        <w:rPr>
          <w:rFonts w:ascii="Times New Roman" w:hAnsi="Times New Roman"/>
          <w:color w:val="000000" w:themeColor="text1"/>
          <w:sz w:val="16"/>
          <w:szCs w:val="16"/>
        </w:rPr>
        <w:t>А.А.Осипов</w:t>
      </w:r>
      <w:proofErr w:type="spellEnd"/>
      <w:r w:rsidRPr="007122AB">
        <w:rPr>
          <w:rFonts w:ascii="Times New Roman" w:hAnsi="Times New Roman"/>
          <w:color w:val="000000" w:themeColor="text1"/>
          <w:sz w:val="16"/>
          <w:szCs w:val="16"/>
        </w:rPr>
        <w:t xml:space="preserve"> (1018,7).</w:t>
      </w:r>
    </w:p>
    <w:p w14:paraId="079EF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7E3F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1931 </w:t>
      </w:r>
      <w:proofErr w:type="spellStart"/>
      <w:r w:rsidRPr="007122AB">
        <w:rPr>
          <w:rFonts w:ascii="Times New Roman" w:hAnsi="Times New Roman"/>
          <w:color w:val="000000" w:themeColor="text1"/>
          <w:sz w:val="16"/>
          <w:szCs w:val="16"/>
        </w:rPr>
        <w:t>У.Нобиле</w:t>
      </w:r>
      <w:proofErr w:type="spellEnd"/>
      <w:r w:rsidRPr="007122AB">
        <w:rPr>
          <w:rFonts w:ascii="Times New Roman" w:hAnsi="Times New Roman"/>
          <w:color w:val="000000" w:themeColor="text1"/>
          <w:sz w:val="16"/>
          <w:szCs w:val="16"/>
        </w:rPr>
        <w:t xml:space="preserve"> посетил ЦАГИ (273,294).</w:t>
      </w:r>
    </w:p>
    <w:p w14:paraId="4161EC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BD5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августа 1931 при Наркомземе создали Управление сельскохозяйственной авиации и специальный НИИ - НИИСХА (438,627).</w:t>
      </w:r>
    </w:p>
    <w:p w14:paraId="4F7B95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0F9BC3" w14:textId="77777777" w:rsidR="00750CB4" w:rsidRPr="007122AB" w:rsidRDefault="00750CB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28 августа 1931 г. постановлением Наркомзема СССР создали </w:t>
      </w:r>
      <w:proofErr w:type="spellStart"/>
      <w:r w:rsidRPr="007122AB">
        <w:rPr>
          <w:rFonts w:ascii="Times New Roman" w:hAnsi="Times New Roman"/>
          <w:color w:val="000000" w:themeColor="text1"/>
          <w:sz w:val="16"/>
          <w:szCs w:val="16"/>
          <w:lang w:eastAsia="ru-RU" w:bidi="ru-RU"/>
        </w:rPr>
        <w:t>сельхозавиабазу</w:t>
      </w:r>
      <w:proofErr w:type="spellEnd"/>
      <w:r w:rsidRPr="007122AB">
        <w:rPr>
          <w:rFonts w:ascii="Times New Roman" w:hAnsi="Times New Roman"/>
          <w:color w:val="000000" w:themeColor="text1"/>
          <w:sz w:val="16"/>
          <w:szCs w:val="16"/>
          <w:lang w:eastAsia="ru-RU" w:bidi="ru-RU"/>
        </w:rPr>
        <w:t xml:space="preserve"> в Полтаве (21698)</w:t>
      </w:r>
    </w:p>
    <w:p w14:paraId="4BD75551" w14:textId="77777777" w:rsidR="00750CB4" w:rsidRPr="007122AB" w:rsidRDefault="00750CB4" w:rsidP="007122AB">
      <w:pPr>
        <w:spacing w:after="0" w:line="240" w:lineRule="auto"/>
        <w:jc w:val="both"/>
        <w:rPr>
          <w:rFonts w:ascii="Times New Roman" w:hAnsi="Times New Roman"/>
          <w:color w:val="000000" w:themeColor="text1"/>
          <w:sz w:val="16"/>
          <w:szCs w:val="16"/>
        </w:rPr>
      </w:pPr>
    </w:p>
    <w:p w14:paraId="533517E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6E28D0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48068D"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1931 г., </w:t>
      </w:r>
      <w:proofErr w:type="spellStart"/>
      <w:r w:rsidRPr="007122AB">
        <w:rPr>
          <w:rFonts w:ascii="Times New Roman" w:hAnsi="Times New Roman"/>
          <w:color w:val="000000" w:themeColor="text1"/>
          <w:sz w:val="16"/>
          <w:szCs w:val="16"/>
        </w:rPr>
        <w:t>рагируя</w:t>
      </w:r>
      <w:proofErr w:type="spellEnd"/>
      <w:r w:rsidRPr="007122AB">
        <w:rPr>
          <w:rFonts w:ascii="Times New Roman" w:hAnsi="Times New Roman"/>
          <w:color w:val="000000" w:themeColor="text1"/>
          <w:sz w:val="16"/>
          <w:szCs w:val="16"/>
        </w:rPr>
        <w:t xml:space="preserve"> на письма «трудящихся», Серго Орджоникидзе направил Председателю Высшего Совета Народного Хозяйства Л.М. Кагановичу письмо следующего содержания: (АП РФ Ф.3. Оп.58. Д.142).</w:t>
      </w:r>
    </w:p>
    <w:p w14:paraId="623028FC"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w:t>
      </w:r>
    </w:p>
    <w:p w14:paraId="6CA13C9C"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(15719).</w:t>
      </w:r>
    </w:p>
    <w:p w14:paraId="009F308D" w14:textId="77777777" w:rsidR="00B24706" w:rsidRPr="007122AB" w:rsidRDefault="00B24706" w:rsidP="007122AB">
      <w:pPr>
        <w:spacing w:after="0" w:line="240" w:lineRule="auto"/>
        <w:jc w:val="both"/>
        <w:rPr>
          <w:rFonts w:ascii="Times New Roman" w:hAnsi="Times New Roman"/>
          <w:color w:val="000000" w:themeColor="text1"/>
          <w:sz w:val="16"/>
          <w:szCs w:val="16"/>
        </w:rPr>
      </w:pPr>
    </w:p>
    <w:p w14:paraId="761638B5"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28 августа 1931 г. — Служебная записка председателя ВСНХ СССР С. Орджоникидзе секретарю ЦК ВКП(б) Л. М. Кагановичу о передаче промышленности проектных и конструкторских бюро при ОГПУ СССР</w:t>
      </w:r>
    </w:p>
    <w:p w14:paraId="4D8A6D64"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52938173" w14:textId="77777777" w:rsidR="003E28CB" w:rsidRPr="007122AB" w:rsidRDefault="003E28CB" w:rsidP="007122AB">
      <w:pPr>
        <w:pStyle w:val="rtejustify"/>
        <w:spacing w:before="0" w:after="0"/>
        <w:rPr>
          <w:color w:val="000000" w:themeColor="text1"/>
          <w:sz w:val="16"/>
          <w:szCs w:val="16"/>
        </w:rPr>
      </w:pPr>
      <w:r w:rsidRPr="007122AB">
        <w:rPr>
          <w:color w:val="000000" w:themeColor="text1"/>
          <w:sz w:val="16"/>
          <w:szCs w:val="16"/>
        </w:rPr>
        <w:t xml:space="preserve">До сих пор в ряде мест у местных органов ГПУ имеются свои проектные и конструкторские бюро (в Баку, </w:t>
      </w:r>
      <w:proofErr w:type="spellStart"/>
      <w:r w:rsidRPr="007122AB">
        <w:rPr>
          <w:color w:val="000000" w:themeColor="text1"/>
          <w:sz w:val="16"/>
          <w:szCs w:val="16"/>
        </w:rPr>
        <w:t>Ростове</w:t>
      </w:r>
      <w:proofErr w:type="spellEnd"/>
      <w:r w:rsidRPr="007122AB">
        <w:rPr>
          <w:color w:val="000000" w:themeColor="text1"/>
          <w:sz w:val="16"/>
          <w:szCs w:val="16"/>
        </w:rPr>
        <w:t>,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7FD9F6BC" w14:textId="77777777" w:rsidR="003E28CB" w:rsidRPr="007122AB" w:rsidRDefault="00000000" w:rsidP="007122AB">
      <w:pPr>
        <w:pStyle w:val="ae"/>
        <w:spacing w:before="0" w:after="0"/>
        <w:jc w:val="both"/>
        <w:rPr>
          <w:color w:val="000000" w:themeColor="text1"/>
          <w:sz w:val="16"/>
          <w:szCs w:val="16"/>
        </w:rPr>
      </w:pPr>
      <w:hyperlink r:id="rId170" w:history="1">
        <w:r w:rsidR="003E28CB" w:rsidRPr="007122AB">
          <w:rPr>
            <w:rStyle w:val="af0"/>
            <w:i w:val="0"/>
            <w:color w:val="000000" w:themeColor="text1"/>
            <w:sz w:val="16"/>
            <w:szCs w:val="16"/>
          </w:rPr>
          <w:t>С. Орджоникидзе</w:t>
        </w:r>
      </w:hyperlink>
    </w:p>
    <w:p w14:paraId="67DB81F5" w14:textId="77777777" w:rsidR="003E28CB" w:rsidRPr="007122AB" w:rsidRDefault="003E28CB" w:rsidP="007122AB">
      <w:pPr>
        <w:pStyle w:val="ae"/>
        <w:spacing w:before="0" w:after="0"/>
        <w:jc w:val="both"/>
        <w:rPr>
          <w:color w:val="000000" w:themeColor="text1"/>
          <w:sz w:val="16"/>
          <w:szCs w:val="16"/>
        </w:rPr>
      </w:pPr>
      <w:r w:rsidRPr="007122AB">
        <w:rPr>
          <w:color w:val="000000" w:themeColor="text1"/>
          <w:sz w:val="16"/>
          <w:szCs w:val="16"/>
        </w:rPr>
        <w:t>АП РФ. Ф. 3. Оп. 58. Д. 142. Л. 23. Подлинник.</w:t>
      </w:r>
    </w:p>
    <w:p w14:paraId="6B1570FD"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АП РФ. Ф. 3. Оп. 58. Д. 142. Л. 23. Подлинник. </w:t>
      </w:r>
    </w:p>
    <w:p w14:paraId="309C83B6"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561 (12533).</w:t>
      </w:r>
    </w:p>
    <w:p w14:paraId="7F75A2DF"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5EF64955" w14:textId="77777777" w:rsidR="00EA3943" w:rsidRPr="007122AB" w:rsidRDefault="00EA3943" w:rsidP="007122AB">
      <w:pPr>
        <w:pStyle w:val="312"/>
        <w:overflowPunct/>
        <w:autoSpaceDE/>
        <w:autoSpaceDN/>
        <w:adjustRightInd/>
        <w:spacing w:line="240" w:lineRule="auto"/>
        <w:ind w:firstLine="0"/>
        <w:textAlignment w:val="auto"/>
        <w:rPr>
          <w:color w:val="000000" w:themeColor="text1"/>
          <w:sz w:val="16"/>
          <w:szCs w:val="16"/>
        </w:rPr>
      </w:pPr>
      <w:r w:rsidRPr="007122AB">
        <w:rPr>
          <w:color w:val="000000" w:themeColor="text1"/>
          <w:sz w:val="16"/>
          <w:szCs w:val="16"/>
        </w:rPr>
        <w:t xml:space="preserve">28 августа </w:t>
      </w:r>
      <w:smartTag w:uri="urn:schemas-microsoft-com:office:smarttags" w:element="metricconverter">
        <w:smartTagPr>
          <w:attr w:name="ProductID" w:val="1931 г"/>
        </w:smartTagPr>
        <w:r w:rsidRPr="007122AB">
          <w:rPr>
            <w:color w:val="000000" w:themeColor="text1"/>
            <w:sz w:val="16"/>
            <w:szCs w:val="16"/>
          </w:rPr>
          <w:t xml:space="preserve">1931 </w:t>
        </w:r>
        <w:proofErr w:type="spellStart"/>
        <w:r w:rsidRPr="007122AB">
          <w:rPr>
            <w:color w:val="000000" w:themeColor="text1"/>
            <w:sz w:val="16"/>
            <w:szCs w:val="16"/>
          </w:rPr>
          <w:t>г</w:t>
        </w:r>
      </w:smartTag>
      <w:r w:rsidRPr="007122AB">
        <w:rPr>
          <w:color w:val="000000" w:themeColor="text1"/>
          <w:sz w:val="16"/>
          <w:szCs w:val="16"/>
        </w:rPr>
        <w:t>.Письмо</w:t>
      </w:r>
      <w:proofErr w:type="spellEnd"/>
      <w:r w:rsidRPr="007122AB">
        <w:rPr>
          <w:color w:val="000000" w:themeColor="text1"/>
          <w:sz w:val="16"/>
          <w:szCs w:val="16"/>
        </w:rPr>
        <w:t xml:space="preserve"> С. Орджоникидзе Л.М. Кагановичу о конструкторских бюро при ОГПУ СССР</w:t>
      </w:r>
    </w:p>
    <w:p w14:paraId="296839B1"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секретно</w:t>
      </w:r>
    </w:p>
    <w:p w14:paraId="1E79FFCA"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Высшего Совета Народного Хозяйства</w:t>
      </w:r>
    </w:p>
    <w:p w14:paraId="49569C9C"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vertAlign w:val="subscript"/>
        </w:rPr>
      </w:pPr>
      <w:r w:rsidRPr="007122AB">
        <w:rPr>
          <w:rFonts w:ascii="Times New Roman" w:hAnsi="Times New Roman"/>
          <w:color w:val="000000" w:themeColor="text1"/>
          <w:sz w:val="16"/>
          <w:szCs w:val="16"/>
        </w:rPr>
        <w:t xml:space="preserve">В ЦК ВКП(б)   </w:t>
      </w:r>
    </w:p>
    <w:p w14:paraId="1AC2D74E"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КАГАНОВИЧУ</w:t>
      </w:r>
    </w:p>
    <w:p w14:paraId="3FCA7B84"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vertAlign w:val="subscript"/>
        </w:rPr>
      </w:pPr>
      <w:r w:rsidRPr="007122AB">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r w:rsidRPr="007122AB">
        <w:rPr>
          <w:rFonts w:ascii="Times New Roman" w:hAnsi="Times New Roman"/>
          <w:color w:val="000000" w:themeColor="text1"/>
          <w:sz w:val="16"/>
          <w:szCs w:val="16"/>
          <w:vertAlign w:val="subscript"/>
        </w:rPr>
        <w:t>.</w:t>
      </w:r>
    </w:p>
    <w:p w14:paraId="55F148EC"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ОРДЖОНИКИДЗЕ</w:t>
      </w:r>
    </w:p>
    <w:p w14:paraId="24877B00"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Ф.3., Оп.58., Д.142., л. 23 (17486)</w:t>
      </w:r>
    </w:p>
    <w:p w14:paraId="7C866CBD" w14:textId="77777777" w:rsidR="00EA3943" w:rsidRPr="007122AB" w:rsidRDefault="00EA3943" w:rsidP="007122AB">
      <w:pPr>
        <w:spacing w:after="0" w:line="240" w:lineRule="auto"/>
        <w:jc w:val="both"/>
        <w:rPr>
          <w:rFonts w:ascii="Times New Roman" w:hAnsi="Times New Roman"/>
          <w:color w:val="000000" w:themeColor="text1"/>
          <w:sz w:val="16"/>
          <w:szCs w:val="16"/>
        </w:rPr>
      </w:pPr>
    </w:p>
    <w:p w14:paraId="4C068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1931 г. реагируя на письма трудящихся Серго Орджоникидзе направил Председателю Высшего Совета Народного Хозяйства Л. М. Кагановичу письмо следующего содержания: (АП РФ Ф. 3. Оп. 58. Д. 142). </w:t>
      </w:r>
    </w:p>
    <w:p w14:paraId="30C09BC3"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w:t>
      </w:r>
    </w:p>
    <w:p w14:paraId="682443A1"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524375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свою очередь, Секретариат коллегии ОГПУ 7.09.31 г.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-на-Дону и других городах. </w:t>
      </w:r>
    </w:p>
    <w:p w14:paraId="0108D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w:t>
      </w:r>
      <w:proofErr w:type="spellStart"/>
      <w:r w:rsidRPr="007122AB">
        <w:rPr>
          <w:rFonts w:ascii="Times New Roman" w:hAnsi="Times New Roman"/>
          <w:color w:val="000000" w:themeColor="text1"/>
          <w:sz w:val="16"/>
          <w:szCs w:val="16"/>
        </w:rPr>
        <w:t>промпартий</w:t>
      </w:r>
      <w:proofErr w:type="spellEnd"/>
      <w:r w:rsidRPr="007122AB">
        <w:rPr>
          <w:rFonts w:ascii="Times New Roman" w:hAnsi="Times New Roman"/>
          <w:color w:val="000000" w:themeColor="text1"/>
          <w:sz w:val="16"/>
          <w:szCs w:val="16"/>
        </w:rPr>
        <w:t xml:space="preserve"> 14 Активных к/революционеров 184 Подследственных 160 </w:t>
      </w:r>
    </w:p>
    <w:p w14:paraId="4B1372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Разве можно их использовать без присмотра служб ОГПУ… </w:t>
      </w:r>
    </w:p>
    <w:p w14:paraId="4423B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w:t>
      </w:r>
    </w:p>
    <w:p w14:paraId="28DB6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Аналогичная судьба постигла столь же фанатичного его первого заместителя </w:t>
      </w:r>
      <w:proofErr w:type="spellStart"/>
      <w:r w:rsidRPr="007122AB">
        <w:rPr>
          <w:rFonts w:ascii="Times New Roman" w:hAnsi="Times New Roman"/>
          <w:color w:val="000000" w:themeColor="text1"/>
          <w:sz w:val="16"/>
          <w:szCs w:val="16"/>
        </w:rPr>
        <w:t>Горянова</w:t>
      </w:r>
      <w:proofErr w:type="spellEnd"/>
      <w:r w:rsidRPr="007122AB">
        <w:rPr>
          <w:rFonts w:ascii="Times New Roman" w:hAnsi="Times New Roman"/>
          <w:color w:val="000000" w:themeColor="text1"/>
          <w:sz w:val="16"/>
          <w:szCs w:val="16"/>
        </w:rPr>
        <w:t>-Горного (</w:t>
      </w:r>
      <w:proofErr w:type="spellStart"/>
      <w:r w:rsidRPr="007122AB">
        <w:rPr>
          <w:rFonts w:ascii="Times New Roman" w:hAnsi="Times New Roman"/>
          <w:color w:val="000000" w:themeColor="text1"/>
          <w:sz w:val="16"/>
          <w:szCs w:val="16"/>
        </w:rPr>
        <w:t>Бенковича</w:t>
      </w:r>
      <w:proofErr w:type="spellEnd"/>
      <w:r w:rsidRPr="007122AB">
        <w:rPr>
          <w:rFonts w:ascii="Times New Roman" w:hAnsi="Times New Roman"/>
          <w:color w:val="000000" w:themeColor="text1"/>
          <w:sz w:val="16"/>
          <w:szCs w:val="16"/>
        </w:rPr>
        <w:t xml:space="preserve">)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w:t>
      </w:r>
    </w:p>
    <w:p w14:paraId="045AC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w:t>
      </w:r>
    </w:p>
    <w:p w14:paraId="28984D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Анатолий </w:t>
      </w:r>
      <w:proofErr w:type="spellStart"/>
      <w:r w:rsidRPr="007122AB">
        <w:rPr>
          <w:rFonts w:ascii="Times New Roman" w:hAnsi="Times New Roman"/>
          <w:color w:val="000000" w:themeColor="text1"/>
          <w:sz w:val="16"/>
          <w:szCs w:val="16"/>
        </w:rPr>
        <w:t>Горянов</w:t>
      </w:r>
      <w:proofErr w:type="spellEnd"/>
      <w:r w:rsidRPr="007122AB">
        <w:rPr>
          <w:rFonts w:ascii="Times New Roman" w:hAnsi="Times New Roman"/>
          <w:color w:val="000000" w:themeColor="text1"/>
          <w:sz w:val="16"/>
          <w:szCs w:val="16"/>
        </w:rPr>
        <w:t xml:space="preserve"> был признан "врагом народа" следом за Львом Мироновым 23.07.37 г. и расстрелян 27.10.37 г. по приговору ВК ВС СССР с лишением всех наград и почестей (12107).</w:t>
      </w:r>
    </w:p>
    <w:p w14:paraId="75ECFC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B0C375"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28 августа 1931 г., реагируя на письма «трудящихся» Серго Орджоникидзе направил Председателю Высшего Совета Народного Хозяйства Л.М. Кагановичу письмо следующего содержания: (АП РФ Ф.3. Оп.58. Д.142).</w:t>
      </w:r>
    </w:p>
    <w:p w14:paraId="5B471693"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«До сих пор в ряде мест у местных органов ГПУ имеются свои проектные и конструкторские бюро (в Баку, </w:t>
      </w:r>
      <w:proofErr w:type="spellStart"/>
      <w:r w:rsidRPr="007122AB">
        <w:rPr>
          <w:color w:val="000000" w:themeColor="text1"/>
          <w:sz w:val="16"/>
          <w:szCs w:val="16"/>
        </w:rPr>
        <w:t>Ростове</w:t>
      </w:r>
      <w:proofErr w:type="spellEnd"/>
      <w:r w:rsidRPr="007122AB">
        <w:rPr>
          <w:color w:val="000000" w:themeColor="text1"/>
          <w:sz w:val="16"/>
          <w:szCs w:val="16"/>
        </w:rPr>
        <w:t>,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w:t>
      </w:r>
    </w:p>
    <w:p w14:paraId="5139F2A6"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371E9DB3"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7 сентября 1931 г., </w:t>
      </w:r>
      <w:proofErr w:type="spellStart"/>
      <w:r w:rsidRPr="007122AB">
        <w:rPr>
          <w:color w:val="000000" w:themeColor="text1"/>
          <w:sz w:val="16"/>
          <w:szCs w:val="16"/>
        </w:rPr>
        <w:t>вВ</w:t>
      </w:r>
      <w:proofErr w:type="spellEnd"/>
      <w:r w:rsidRPr="007122AB">
        <w:rPr>
          <w:color w:val="000000" w:themeColor="text1"/>
          <w:sz w:val="16"/>
          <w:szCs w:val="16"/>
        </w:rPr>
        <w:t xml:space="preserve"> свою очередь, Секретариат коллегии ОГПУ направил Кагановичу Письмо. (АП РФ Ф.3. Оп.58. Д.142),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w:t>
      </w:r>
      <w:proofErr w:type="spellStart"/>
      <w:r w:rsidRPr="007122AB">
        <w:rPr>
          <w:color w:val="000000" w:themeColor="text1"/>
          <w:sz w:val="16"/>
          <w:szCs w:val="16"/>
        </w:rPr>
        <w:t>Ростове</w:t>
      </w:r>
      <w:proofErr w:type="spellEnd"/>
      <w:r w:rsidRPr="007122AB">
        <w:rPr>
          <w:color w:val="000000" w:themeColor="text1"/>
          <w:sz w:val="16"/>
          <w:szCs w:val="16"/>
        </w:rPr>
        <w:t xml:space="preserve"> на Дону и других городах.</w:t>
      </w:r>
    </w:p>
    <w:p w14:paraId="2C94BC3D"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w:t>
      </w:r>
    </w:p>
    <w:p w14:paraId="61062C53"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Шпионов.......................................</w:t>
      </w:r>
    </w:p>
    <w:p w14:paraId="44DF66E3"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Террористов..................................</w:t>
      </w:r>
    </w:p>
    <w:p w14:paraId="497ADA2C"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Руководит. вред. организаций...</w:t>
      </w:r>
    </w:p>
    <w:p w14:paraId="09109D4F"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Диверсантов..................................</w:t>
      </w:r>
    </w:p>
    <w:p w14:paraId="5D6F9293"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Членов </w:t>
      </w:r>
      <w:proofErr w:type="spellStart"/>
      <w:r w:rsidRPr="007122AB">
        <w:rPr>
          <w:color w:val="000000" w:themeColor="text1"/>
          <w:sz w:val="16"/>
          <w:szCs w:val="16"/>
        </w:rPr>
        <w:t>промпартий</w:t>
      </w:r>
      <w:proofErr w:type="spellEnd"/>
      <w:r w:rsidRPr="007122AB">
        <w:rPr>
          <w:color w:val="000000" w:themeColor="text1"/>
          <w:sz w:val="16"/>
          <w:szCs w:val="16"/>
        </w:rPr>
        <w:t>.....................</w:t>
      </w:r>
    </w:p>
    <w:p w14:paraId="1C56F80E"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Активных к/революционеров....</w:t>
      </w:r>
    </w:p>
    <w:p w14:paraId="4F770514"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 Подследственных…………160.</w:t>
      </w:r>
    </w:p>
    <w:p w14:paraId="240AC1DC"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Как можно таких врагов народа оставлять без присмотра?</w:t>
      </w:r>
    </w:p>
    <w:p w14:paraId="4BBBD67C"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Несомненно, Орджоникидзе прекрасно понимал, какими средствами добыты у ученых и специалистов признания в шпионской и террористической деятельности, но ставить под сомнение деятельность ОГПУ в тот период не было возможности.</w:t>
      </w:r>
    </w:p>
    <w:p w14:paraId="00202A6B"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Тем более что это было лучшее из худшего, поскольку их признания на допросах тянули на ВМН.</w:t>
      </w:r>
    </w:p>
    <w:p w14:paraId="6D07F667" w14:textId="77777777" w:rsidR="00845B8A" w:rsidRPr="007122AB" w:rsidRDefault="00845B8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Возможно, что в работе начальника ЭКУ Миронова Л.Г. по созданию тюрем-шарашек были определенные перегибы, поскольку, в связи очередным поворотом в </w:t>
      </w:r>
      <w:r w:rsidRPr="007122AB">
        <w:rPr>
          <w:color w:val="000000" w:themeColor="text1"/>
          <w:sz w:val="16"/>
          <w:szCs w:val="16"/>
        </w:rPr>
        <w:lastRenderedPageBreak/>
        <w:t xml:space="preserve">Сталинской политике, Миронов (Коган </w:t>
      </w:r>
      <w:proofErr w:type="spellStart"/>
      <w:r w:rsidRPr="007122AB">
        <w:rPr>
          <w:color w:val="000000" w:themeColor="text1"/>
          <w:sz w:val="16"/>
          <w:szCs w:val="16"/>
        </w:rPr>
        <w:t>Лейба</w:t>
      </w:r>
      <w:proofErr w:type="spellEnd"/>
      <w:r w:rsidRPr="007122AB">
        <w:rPr>
          <w:color w:val="000000" w:themeColor="text1"/>
          <w:sz w:val="16"/>
          <w:szCs w:val="16"/>
        </w:rPr>
        <w:t xml:space="preserve"> </w:t>
      </w:r>
      <w:proofErr w:type="spellStart"/>
      <w:r w:rsidRPr="007122AB">
        <w:rPr>
          <w:color w:val="000000" w:themeColor="text1"/>
          <w:sz w:val="16"/>
          <w:szCs w:val="16"/>
        </w:rPr>
        <w:t>Гиршевич</w:t>
      </w:r>
      <w:proofErr w:type="spellEnd"/>
      <w:r w:rsidRPr="007122AB">
        <w:rPr>
          <w:color w:val="000000" w:themeColor="text1"/>
          <w:sz w:val="16"/>
          <w:szCs w:val="16"/>
        </w:rPr>
        <w:t>) за чрезмерное рвение в работе по организации шарашек, 1.07.37г. был осужден к ВМН и расстрелян 29.08.38 г. (19585).</w:t>
      </w:r>
    </w:p>
    <w:p w14:paraId="6584BBB6" w14:textId="77777777" w:rsidR="00845B8A" w:rsidRPr="007122AB" w:rsidRDefault="00845B8A" w:rsidP="007122AB">
      <w:pPr>
        <w:spacing w:after="0" w:line="240" w:lineRule="auto"/>
        <w:jc w:val="both"/>
        <w:rPr>
          <w:rFonts w:ascii="Times New Roman" w:hAnsi="Times New Roman"/>
          <w:color w:val="000000" w:themeColor="text1"/>
          <w:sz w:val="16"/>
          <w:szCs w:val="16"/>
        </w:rPr>
      </w:pPr>
    </w:p>
    <w:p w14:paraId="30222BBB" w14:textId="77777777" w:rsidR="00845B8A" w:rsidRPr="007122AB" w:rsidRDefault="00845B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августа 1931 г. Председатель ВСНХ Орджоникидзе напра</w:t>
      </w:r>
      <w:r w:rsidRPr="007122AB">
        <w:rPr>
          <w:rFonts w:ascii="Times New Roman" w:hAnsi="Times New Roman"/>
          <w:color w:val="000000" w:themeColor="text1"/>
          <w:sz w:val="16"/>
          <w:szCs w:val="16"/>
        </w:rPr>
        <w:softHyphen/>
        <w:t xml:space="preserve">вил в ЦК ВКП(б) служебную записку следующего содержания: “В проектных и конструкторских бюро местных органов ГПУ (Баку,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Ленинград, Харьков, Новосибирск, Москва и т.д.)  работают арестованные инженеры. Такое их использование не</w:t>
      </w:r>
      <w:r w:rsidRPr="007122AB">
        <w:rPr>
          <w:rFonts w:ascii="Times New Roman" w:hAnsi="Times New Roman"/>
          <w:color w:val="000000" w:themeColor="text1"/>
          <w:sz w:val="16"/>
          <w:szCs w:val="16"/>
        </w:rPr>
        <w:softHyphen/>
        <w:t>целесообразно. Значительное их количество надо освободить, за исключением наиболее злостных вредителей, а конструкторские бюро передать промышленности”.</w:t>
      </w:r>
    </w:p>
    <w:p w14:paraId="29F46D04" w14:textId="77777777" w:rsidR="00845B8A" w:rsidRPr="007122AB" w:rsidRDefault="00845B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Ответ ОГПУ был крайне примечательным. В справке, подпи</w:t>
      </w:r>
      <w:r w:rsidRPr="007122AB">
        <w:rPr>
          <w:rFonts w:ascii="Times New Roman" w:hAnsi="Times New Roman"/>
          <w:color w:val="000000" w:themeColor="text1"/>
          <w:sz w:val="16"/>
          <w:szCs w:val="16"/>
        </w:rPr>
        <w:softHyphen/>
        <w:t>санной зампредом ОГПУ Акуловым и начальником ЭКУ ОГПУ Мироновым, давалась подробная характеристика состава и дея</w:t>
      </w:r>
      <w:r w:rsidRPr="007122AB">
        <w:rPr>
          <w:rFonts w:ascii="Times New Roman" w:hAnsi="Times New Roman"/>
          <w:color w:val="000000" w:themeColor="text1"/>
          <w:sz w:val="16"/>
          <w:szCs w:val="16"/>
        </w:rPr>
        <w:softHyphen/>
        <w:t>тельности ОКБ и ОТБ в области авиации, танкостроения, артил</w:t>
      </w:r>
      <w:r w:rsidRPr="007122AB">
        <w:rPr>
          <w:rFonts w:ascii="Times New Roman" w:hAnsi="Times New Roman"/>
          <w:color w:val="000000" w:themeColor="text1"/>
          <w:sz w:val="16"/>
          <w:szCs w:val="16"/>
        </w:rPr>
        <w:softHyphen/>
        <w:t>лерии, военной химии, судостроения и т.д. Например, в авиацион</w:t>
      </w:r>
      <w:r w:rsidRPr="007122AB">
        <w:rPr>
          <w:rFonts w:ascii="Times New Roman" w:hAnsi="Times New Roman"/>
          <w:color w:val="000000" w:themeColor="text1"/>
          <w:sz w:val="16"/>
          <w:szCs w:val="16"/>
        </w:rPr>
        <w:softHyphen/>
        <w:t>ном ОКБ работало 26 инженеров: 9 из них были представлены как руководители вредительских организаций, 8 - как шпионы иностранных разведок, остальные определены как “активисты вредительских организаций”. За короткий период своего сущест</w:t>
      </w:r>
      <w:r w:rsidRPr="007122AB">
        <w:rPr>
          <w:rFonts w:ascii="Times New Roman" w:hAnsi="Times New Roman"/>
          <w:color w:val="000000" w:themeColor="text1"/>
          <w:sz w:val="16"/>
          <w:szCs w:val="16"/>
        </w:rPr>
        <w:softHyphen/>
        <w:t>вования ОКБ был построен и сдан истребитель И-5, бронирован</w:t>
      </w:r>
      <w:r w:rsidRPr="007122AB">
        <w:rPr>
          <w:rFonts w:ascii="Times New Roman" w:hAnsi="Times New Roman"/>
          <w:color w:val="000000" w:themeColor="text1"/>
          <w:sz w:val="16"/>
          <w:szCs w:val="16"/>
        </w:rPr>
        <w:softHyphen/>
        <w:t>ный штурмовик, бомбовоз ТБ-5, в постройке находился морской дальний разведчик. “Группа не может быть раскассирована, - за</w:t>
      </w:r>
      <w:r w:rsidRPr="007122AB">
        <w:rPr>
          <w:rFonts w:ascii="Times New Roman" w:hAnsi="Times New Roman"/>
          <w:color w:val="000000" w:themeColor="text1"/>
          <w:sz w:val="16"/>
          <w:szCs w:val="16"/>
        </w:rPr>
        <w:softHyphen/>
        <w:t>ключало ОГПУ, - так как это сказалось бы на опытном самоле</w:t>
      </w:r>
      <w:r w:rsidRPr="007122AB">
        <w:rPr>
          <w:rFonts w:ascii="Times New Roman" w:hAnsi="Times New Roman"/>
          <w:color w:val="000000" w:themeColor="text1"/>
          <w:sz w:val="16"/>
          <w:szCs w:val="16"/>
        </w:rPr>
        <w:softHyphen/>
        <w:t>тостроении... Сложность момента опытного строительства тре</w:t>
      </w:r>
      <w:r w:rsidRPr="007122AB">
        <w:rPr>
          <w:rFonts w:ascii="Times New Roman" w:hAnsi="Times New Roman"/>
          <w:color w:val="000000" w:themeColor="text1"/>
          <w:sz w:val="16"/>
          <w:szCs w:val="16"/>
        </w:rPr>
        <w:softHyphen/>
        <w:t xml:space="preserve">бует специального режима, который может быть обеспечен только в ОКБ”. То же соображение касалось танкового </w:t>
      </w:r>
      <w:proofErr w:type="spellStart"/>
      <w:r w:rsidRPr="007122AB">
        <w:rPr>
          <w:rFonts w:ascii="Times New Roman" w:hAnsi="Times New Roman"/>
          <w:color w:val="000000" w:themeColor="text1"/>
          <w:sz w:val="16"/>
          <w:szCs w:val="16"/>
        </w:rPr>
        <w:t>Остех</w:t>
      </w:r>
      <w:proofErr w:type="spellEnd"/>
      <w:r w:rsidRPr="007122AB">
        <w:rPr>
          <w:rFonts w:ascii="Times New Roman" w:hAnsi="Times New Roman"/>
          <w:color w:val="000000" w:themeColor="text1"/>
          <w:sz w:val="16"/>
          <w:szCs w:val="16"/>
        </w:rPr>
        <w:t>- бюро, где работал 31 арестованный специалист. Промышленно</w:t>
      </w:r>
      <w:r w:rsidRPr="007122AB">
        <w:rPr>
          <w:rFonts w:ascii="Times New Roman" w:hAnsi="Times New Roman"/>
          <w:color w:val="000000" w:themeColor="text1"/>
          <w:sz w:val="16"/>
          <w:szCs w:val="16"/>
        </w:rPr>
        <w:softHyphen/>
        <w:t>сти их передать нельзя, заключало ОГПУ, так как передача заня</w:t>
      </w:r>
      <w:r w:rsidRPr="007122AB">
        <w:rPr>
          <w:rFonts w:ascii="Times New Roman" w:hAnsi="Times New Roman"/>
          <w:color w:val="000000" w:themeColor="text1"/>
          <w:sz w:val="16"/>
          <w:szCs w:val="16"/>
        </w:rPr>
        <w:softHyphen/>
        <w:t>ла бы такое количество времени, которое потребовалось бы для завершения работ, и отрицательно сказалось бы на результатах развития бронетехники.</w:t>
      </w:r>
    </w:p>
    <w:p w14:paraId="21070241" w14:textId="77777777" w:rsidR="00845B8A" w:rsidRPr="007122AB" w:rsidRDefault="00845B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согласно справке, в различных ОТБ и ОКБ работало около 400 специалистов, подавляющее большинство из них было связано с военными разработками. Необходимость сохранения особых бюро чаще всего оправдывалась первоочередностью оборонных задач, угрозой их срыва. Очень хитро ОГПУ исполь</w:t>
      </w:r>
      <w:r w:rsidRPr="007122AB">
        <w:rPr>
          <w:rFonts w:ascii="Times New Roman" w:hAnsi="Times New Roman"/>
          <w:color w:val="000000" w:themeColor="text1"/>
          <w:sz w:val="16"/>
          <w:szCs w:val="16"/>
        </w:rPr>
        <w:softHyphen/>
        <w:t>зовало оговорку о “злостных вредителях”. Если специалисты проходили по так называемым открытым процессам, например, Промпартии, то в этом случае, по мнению ОГПУ, нельзя было и “заикаться” об их освобождении. Разумеется, особые бюро рабо</w:t>
      </w:r>
      <w:r w:rsidRPr="007122AB">
        <w:rPr>
          <w:rFonts w:ascii="Times New Roman" w:hAnsi="Times New Roman"/>
          <w:color w:val="000000" w:themeColor="text1"/>
          <w:sz w:val="16"/>
          <w:szCs w:val="16"/>
        </w:rPr>
        <w:softHyphen/>
        <w:t>тали не только в военной области, но и в гражданских отраслях, где их сохранение оправдывалось особой важностью и срочно</w:t>
      </w:r>
      <w:r w:rsidRPr="007122AB">
        <w:rPr>
          <w:rFonts w:ascii="Times New Roman" w:hAnsi="Times New Roman"/>
          <w:color w:val="000000" w:themeColor="text1"/>
          <w:sz w:val="16"/>
          <w:szCs w:val="16"/>
        </w:rPr>
        <w:softHyphen/>
        <w:t>стью задач, а в случае группы, работающей над котлом высоко</w:t>
      </w:r>
      <w:r w:rsidRPr="007122AB">
        <w:rPr>
          <w:rFonts w:ascii="Times New Roman" w:hAnsi="Times New Roman"/>
          <w:color w:val="000000" w:themeColor="text1"/>
          <w:sz w:val="16"/>
          <w:szCs w:val="16"/>
        </w:rPr>
        <w:softHyphen/>
        <w:t>го давления, указывалось, что ее нельзя передавать в промыш</w:t>
      </w:r>
      <w:r w:rsidRPr="007122AB">
        <w:rPr>
          <w:rFonts w:ascii="Times New Roman" w:hAnsi="Times New Roman"/>
          <w:color w:val="000000" w:themeColor="text1"/>
          <w:sz w:val="16"/>
          <w:szCs w:val="16"/>
        </w:rPr>
        <w:softHyphen/>
        <w:t>ленность, так как ею руководит Рамзин, а остальные участники - активные члены Промпартии.</w:t>
      </w:r>
    </w:p>
    <w:p w14:paraId="24EE3C40" w14:textId="77777777" w:rsidR="00845B8A" w:rsidRPr="007122AB" w:rsidRDefault="00845B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Особенно поражает лицемерие чекистов в случае обосно</w:t>
      </w:r>
      <w:r w:rsidRPr="007122AB">
        <w:rPr>
          <w:rFonts w:ascii="Times New Roman" w:hAnsi="Times New Roman"/>
          <w:color w:val="000000" w:themeColor="text1"/>
          <w:sz w:val="16"/>
          <w:szCs w:val="16"/>
        </w:rPr>
        <w:softHyphen/>
        <w:t>вания необходимости особого бюро по составлению плана электрификации СССР, отдельных районов и отраслей. Оказывается, решение столь важной государственной задачи мож</w:t>
      </w:r>
      <w:r w:rsidRPr="007122AB">
        <w:rPr>
          <w:rFonts w:ascii="Times New Roman" w:hAnsi="Times New Roman"/>
          <w:color w:val="000000" w:themeColor="text1"/>
          <w:sz w:val="16"/>
          <w:szCs w:val="16"/>
        </w:rPr>
        <w:softHyphen/>
        <w:t>но было доверить “вредителям”, “шпионам”, “диверсантам”, “террористам”. То же самое касалось текстильной промыш</w:t>
      </w:r>
      <w:r w:rsidRPr="007122AB">
        <w:rPr>
          <w:rFonts w:ascii="Times New Roman" w:hAnsi="Times New Roman"/>
          <w:color w:val="000000" w:themeColor="text1"/>
          <w:sz w:val="16"/>
          <w:szCs w:val="16"/>
        </w:rPr>
        <w:softHyphen/>
        <w:t>ленности, где последним было поручено составить план ее ре</w:t>
      </w:r>
      <w:r w:rsidRPr="007122AB">
        <w:rPr>
          <w:rFonts w:ascii="Times New Roman" w:hAnsi="Times New Roman"/>
          <w:color w:val="000000" w:themeColor="text1"/>
          <w:sz w:val="16"/>
          <w:szCs w:val="16"/>
        </w:rPr>
        <w:softHyphen/>
        <w:t>конструкции. Передать означенное бюро в промышленность “означало бы разбросать коллектив по отдельным фабри</w:t>
      </w:r>
      <w:r w:rsidRPr="007122AB">
        <w:rPr>
          <w:rFonts w:ascii="Times New Roman" w:hAnsi="Times New Roman"/>
          <w:color w:val="000000" w:themeColor="text1"/>
          <w:sz w:val="16"/>
          <w:szCs w:val="16"/>
        </w:rPr>
        <w:softHyphen/>
        <w:t>кам” - заключало ОГПУ</w:t>
      </w:r>
      <w:bookmarkStart w:id="21" w:name="_ednref68"/>
      <w:r w:rsidRPr="007122AB">
        <w:rPr>
          <w:rFonts w:ascii="Times New Roman" w:hAnsi="Times New Roman"/>
          <w:color w:val="000000" w:themeColor="text1"/>
          <w:sz w:val="16"/>
          <w:szCs w:val="16"/>
        </w:rPr>
        <w:t xml:space="preserve"> (18393)</w:t>
      </w:r>
      <w:bookmarkEnd w:id="21"/>
      <w:r w:rsidRPr="007122AB">
        <w:rPr>
          <w:rFonts w:ascii="Times New Roman" w:hAnsi="Times New Roman"/>
          <w:color w:val="000000" w:themeColor="text1"/>
          <w:sz w:val="16"/>
          <w:szCs w:val="16"/>
        </w:rPr>
        <w:t>.</w:t>
      </w:r>
    </w:p>
    <w:p w14:paraId="628A2569" w14:textId="77777777" w:rsidR="00845B8A" w:rsidRPr="007122AB" w:rsidRDefault="00845B8A" w:rsidP="007122AB">
      <w:pPr>
        <w:spacing w:after="0" w:line="240" w:lineRule="auto"/>
        <w:jc w:val="both"/>
        <w:rPr>
          <w:rFonts w:ascii="Times New Roman" w:hAnsi="Times New Roman"/>
          <w:color w:val="000000" w:themeColor="text1"/>
          <w:sz w:val="16"/>
          <w:szCs w:val="16"/>
        </w:rPr>
      </w:pPr>
    </w:p>
    <w:p w14:paraId="68CA15E4" w14:textId="77777777" w:rsidR="00845B8A" w:rsidRPr="007122AB" w:rsidRDefault="00845B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1931 г. Серго Орджоникидзе направил Председателю Высшего Совета Народного Хозяйства Л. М. Кагановичу письмо следующего содержания: (АП РФ Ф. 3. Оп. 58. Д. 142). «До сих пор в ряде мест у местных органов ГПУ имеются свои проектные и конструкторские бюро (в Баку,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(18668).</w:t>
      </w:r>
    </w:p>
    <w:p w14:paraId="2BB6C97C" w14:textId="77777777" w:rsidR="00845B8A" w:rsidRPr="007122AB" w:rsidRDefault="00845B8A" w:rsidP="007122AB">
      <w:pPr>
        <w:spacing w:after="0" w:line="240" w:lineRule="auto"/>
        <w:jc w:val="both"/>
        <w:rPr>
          <w:rFonts w:ascii="Times New Roman" w:hAnsi="Times New Roman"/>
          <w:color w:val="000000" w:themeColor="text1"/>
          <w:sz w:val="16"/>
          <w:szCs w:val="16"/>
        </w:rPr>
      </w:pPr>
    </w:p>
    <w:p w14:paraId="1E5C6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августа 1931 вышел приказ Нач. вооружения РККА “О системе химического вооружения” (9527,179).</w:t>
      </w:r>
    </w:p>
    <w:p w14:paraId="599A96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9AD0DD"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августа 1931 г. вышел приказ начальника вооружений РККА «О системе химического вооружения» В соответствии с этим документом УММ и ВОХИМУ следовало приступить к разработке «танка-распылителя» и других образцов для химического оснащения мотомеханизированных частей. Однако фактически проектирование бронированных военных химических машин началось раньше (12253).</w:t>
      </w:r>
    </w:p>
    <w:p w14:paraId="404B7EAF"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2B47D5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августа 1931 г. </w:t>
      </w:r>
    </w:p>
    <w:p w14:paraId="7DD9E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Высшего Совета Народного Хозяйства писал письмо</w:t>
      </w:r>
    </w:p>
    <w:p w14:paraId="2CD06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ЦК ВКП(б) </w:t>
      </w:r>
    </w:p>
    <w:p w14:paraId="52995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Тов. КАГАНОВИЧУ </w:t>
      </w:r>
    </w:p>
    <w:p w14:paraId="5EB14C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 секретно </w:t>
      </w:r>
    </w:p>
    <w:p w14:paraId="52C39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w:t>
      </w:r>
    </w:p>
    <w:p w14:paraId="3405B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ОРДЖОНИКИДЗЕ </w:t>
      </w:r>
    </w:p>
    <w:p w14:paraId="5B0EF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Ф.3., Оп.58., Д.142., л. 23 (11462).</w:t>
      </w:r>
    </w:p>
    <w:p w14:paraId="67D0A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B8317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44FB3D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B35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августа 1931 постоянная палата Международного суда в Гааге вынесла решение о том, что намечаемый таможенный союз между Германией и Австрией противоречит Женевским протоколам от 24 октября 1922 (3481).</w:t>
      </w:r>
    </w:p>
    <w:p w14:paraId="6AFA64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E0338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E25D7D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D597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августа 1931 г. был выполнен первый полет двухбалочного истребителя АНТ-23 (И-12) (6395).</w:t>
      </w:r>
    </w:p>
    <w:p w14:paraId="091AB3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27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августа 1931 состоялся первый полет АНТ-23 (И-12, Бауманский комсомолец) (109,237). Летал </w:t>
      </w:r>
      <w:proofErr w:type="spellStart"/>
      <w:r w:rsidRPr="007122AB">
        <w:rPr>
          <w:rFonts w:ascii="Times New Roman" w:hAnsi="Times New Roman"/>
          <w:color w:val="000000" w:themeColor="text1"/>
          <w:sz w:val="16"/>
          <w:szCs w:val="16"/>
        </w:rPr>
        <w:t>И.Ф.Козлов</w:t>
      </w:r>
      <w:proofErr w:type="spellEnd"/>
      <w:r w:rsidRPr="007122AB">
        <w:rPr>
          <w:rFonts w:ascii="Times New Roman" w:hAnsi="Times New Roman"/>
          <w:color w:val="000000" w:themeColor="text1"/>
          <w:sz w:val="16"/>
          <w:szCs w:val="16"/>
        </w:rPr>
        <w:t xml:space="preserve"> (109,237).</w:t>
      </w:r>
    </w:p>
    <w:p w14:paraId="22A18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D45263" w14:textId="77777777" w:rsidR="00731A41" w:rsidRPr="007122AB" w:rsidRDefault="00731A41" w:rsidP="007122AB">
      <w:pPr>
        <w:pStyle w:val="rtecenter"/>
        <w:shd w:val="clear" w:color="auto" w:fill="FFFFFF"/>
        <w:spacing w:before="0" w:after="0"/>
        <w:jc w:val="both"/>
        <w:textAlignment w:val="baseline"/>
        <w:rPr>
          <w:color w:val="000000" w:themeColor="text1"/>
          <w:sz w:val="16"/>
          <w:szCs w:val="16"/>
        </w:rPr>
      </w:pPr>
      <w:r w:rsidRPr="007122AB">
        <w:rPr>
          <w:color w:val="000000" w:themeColor="text1"/>
          <w:sz w:val="16"/>
          <w:szCs w:val="16"/>
        </w:rPr>
        <w:t>29 августа 1931 года начальник летной части ОЭЛИД И.Ф. Козлов совершил на И-12 первый полет. Начавшиеся заводские летные испытания выявили необходимость переделки вертикального оперения, костылей и замены заднего воздушного винта (19172).</w:t>
      </w:r>
    </w:p>
    <w:p w14:paraId="51695CE1" w14:textId="77777777" w:rsidR="00731A41" w:rsidRPr="007122AB" w:rsidRDefault="00731A41" w:rsidP="007122AB">
      <w:pPr>
        <w:pStyle w:val="rtecenter"/>
        <w:shd w:val="clear" w:color="auto" w:fill="FFFFFF"/>
        <w:spacing w:before="0" w:after="0"/>
        <w:jc w:val="both"/>
        <w:textAlignment w:val="baseline"/>
        <w:rPr>
          <w:color w:val="000000" w:themeColor="text1"/>
          <w:sz w:val="16"/>
          <w:szCs w:val="16"/>
        </w:rPr>
      </w:pPr>
    </w:p>
    <w:p w14:paraId="521D17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29 августа 1931 начались гос. испытания И-12 (АНТ-23) (80,151).</w:t>
      </w:r>
    </w:p>
    <w:p w14:paraId="41189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третьим данным -27 августа 1931 (2072,70).</w:t>
      </w:r>
    </w:p>
    <w:p w14:paraId="681E9E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Пришлось доделывать и переделывать до осени. </w:t>
      </w:r>
      <w:proofErr w:type="spellStart"/>
      <w:r w:rsidRPr="007122AB">
        <w:rPr>
          <w:rFonts w:ascii="Times New Roman" w:hAnsi="Times New Roman"/>
          <w:color w:val="000000" w:themeColor="text1"/>
          <w:sz w:val="16"/>
          <w:szCs w:val="16"/>
        </w:rPr>
        <w:t>Двухкилевое</w:t>
      </w:r>
      <w:proofErr w:type="spellEnd"/>
      <w:r w:rsidRPr="007122AB">
        <w:rPr>
          <w:rFonts w:ascii="Times New Roman" w:hAnsi="Times New Roman"/>
          <w:color w:val="000000" w:themeColor="text1"/>
          <w:sz w:val="16"/>
          <w:szCs w:val="16"/>
        </w:rPr>
        <w:t xml:space="preserve"> оперение заменили на однокилевое. Меняли капотирование переднего двигателя (2693,14).</w:t>
      </w:r>
    </w:p>
    <w:p w14:paraId="79ADE5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481ED5"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августа</w:t>
      </w:r>
      <w:r w:rsidRPr="007122AB">
        <w:rPr>
          <w:rStyle w:val="ucoz-forum-post"/>
          <w:rFonts w:ascii="Times New Roman" w:eastAsia="Times New Roman" w:hAnsi="Times New Roman"/>
          <w:color w:val="000000" w:themeColor="text1"/>
          <w:sz w:val="16"/>
          <w:szCs w:val="16"/>
        </w:rPr>
        <w:t xml:space="preserve"> 1931. Первый полет двухбалочного истребителя И-12 «Бауманский комсомолец» (АНТ-23), </w:t>
      </w:r>
      <w:proofErr w:type="spellStart"/>
      <w:r w:rsidRPr="007122AB">
        <w:rPr>
          <w:rStyle w:val="ucoz-forum-post"/>
          <w:rFonts w:ascii="Times New Roman" w:eastAsia="Times New Roman" w:hAnsi="Times New Roman"/>
          <w:color w:val="000000" w:themeColor="text1"/>
          <w:sz w:val="16"/>
          <w:szCs w:val="16"/>
        </w:rPr>
        <w:t>И.Ф.Козлов</w:t>
      </w:r>
      <w:proofErr w:type="spellEnd"/>
      <w:r w:rsidRPr="007122AB">
        <w:rPr>
          <w:rStyle w:val="ucoz-forum-post"/>
          <w:rFonts w:ascii="Times New Roman" w:eastAsia="Times New Roman" w:hAnsi="Times New Roman"/>
          <w:color w:val="000000" w:themeColor="text1"/>
          <w:sz w:val="16"/>
          <w:szCs w:val="16"/>
        </w:rPr>
        <w:t xml:space="preserve"> </w:t>
      </w:r>
    </w:p>
    <w:p w14:paraId="2CD391BE" w14:textId="77777777" w:rsidR="00B24706" w:rsidRPr="007122AB" w:rsidRDefault="00B24706" w:rsidP="007122AB">
      <w:pPr>
        <w:spacing w:after="0" w:line="240" w:lineRule="auto"/>
        <w:jc w:val="both"/>
        <w:rPr>
          <w:rFonts w:ascii="Times New Roman" w:hAnsi="Times New Roman"/>
          <w:color w:val="000000" w:themeColor="text1"/>
          <w:sz w:val="16"/>
          <w:szCs w:val="16"/>
        </w:rPr>
      </w:pPr>
    </w:p>
    <w:p w14:paraId="7FBE24ED" w14:textId="77777777" w:rsidR="00EC4A8C" w:rsidRPr="007122AB" w:rsidRDefault="00EC4A8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августа 1931 г. И.Ф. Козлов выполнил на самолете И-12 (АНТ-23, без б/№) первый полет. Вероятно, первая попытка взлета была предпринята 27.08.31 г. и она была неудачной. 21.07.31 г. была выполнена первая рулежка. Результат был неудовлетворительный – самолет на малых скоростях управлялся плохо (23136).</w:t>
      </w:r>
    </w:p>
    <w:p w14:paraId="3C9B91EE" w14:textId="77777777" w:rsidR="00EC4A8C" w:rsidRPr="007122AB" w:rsidRDefault="00EC4A8C" w:rsidP="007122AB">
      <w:pPr>
        <w:spacing w:after="0" w:line="240" w:lineRule="auto"/>
        <w:jc w:val="both"/>
        <w:rPr>
          <w:rFonts w:ascii="Times New Roman" w:hAnsi="Times New Roman"/>
          <w:color w:val="000000" w:themeColor="text1"/>
          <w:sz w:val="16"/>
          <w:szCs w:val="16"/>
        </w:rPr>
      </w:pPr>
    </w:p>
    <w:p w14:paraId="4B8B00FC" w14:textId="77777777" w:rsidR="00B24706" w:rsidRPr="007122AB" w:rsidRDefault="00B2470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29 августа 1931 г. по 28 сентября 1932 г. И-12 находился на испытаниях, выполнил 21 полёт, общей продолжительностью 8 час 59 мин. В процессе испытаний проведено множество доработок и переделок самолёта. При последних полётах выявилась необходимость усиле</w:t>
      </w:r>
      <w:r w:rsidRPr="007122AB">
        <w:rPr>
          <w:rFonts w:ascii="Times New Roman" w:hAnsi="Times New Roman"/>
          <w:color w:val="000000" w:themeColor="text1"/>
          <w:sz w:val="16"/>
          <w:szCs w:val="16"/>
        </w:rPr>
        <w:softHyphen/>
        <w:t>ния крепления стыков газоотводящих труб, с последую</w:t>
      </w:r>
      <w:r w:rsidRPr="007122AB">
        <w:rPr>
          <w:rFonts w:ascii="Times New Roman" w:hAnsi="Times New Roman"/>
          <w:color w:val="000000" w:themeColor="text1"/>
          <w:sz w:val="16"/>
          <w:szCs w:val="16"/>
        </w:rPr>
        <w:softHyphen/>
        <w:t>щим проведением полных испытаний пушек. Самолёт разобрали — двигатели и консоли крыла сдали на склад, а центроплан с кабиной, пушками и хвостовым оперением отправили на завод № 8 для доводки (АПК-4) (15823).</w:t>
      </w:r>
    </w:p>
    <w:p w14:paraId="2EB1B105" w14:textId="77777777" w:rsidR="00B24706" w:rsidRPr="007122AB" w:rsidRDefault="00B24706" w:rsidP="007122AB">
      <w:pPr>
        <w:spacing w:after="0" w:line="240" w:lineRule="auto"/>
        <w:jc w:val="both"/>
        <w:rPr>
          <w:rFonts w:ascii="Times New Roman" w:hAnsi="Times New Roman"/>
          <w:color w:val="000000" w:themeColor="text1"/>
          <w:sz w:val="16"/>
          <w:szCs w:val="16"/>
        </w:rPr>
      </w:pPr>
    </w:p>
    <w:p w14:paraId="71E0CE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августа 1935 состоялся первый полет И-12 (АНТ-23),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w:t>
      </w:r>
      <w:proofErr w:type="spellStart"/>
      <w:r w:rsidRPr="007122AB">
        <w:rPr>
          <w:rFonts w:ascii="Times New Roman" w:hAnsi="Times New Roman"/>
          <w:color w:val="000000" w:themeColor="text1"/>
          <w:sz w:val="16"/>
          <w:szCs w:val="16"/>
        </w:rPr>
        <w:t>перекомпенсации</w:t>
      </w:r>
      <w:proofErr w:type="spellEnd"/>
      <w:r w:rsidRPr="007122AB">
        <w:rPr>
          <w:rFonts w:ascii="Times New Roman" w:hAnsi="Times New Roman"/>
          <w:color w:val="000000" w:themeColor="text1"/>
          <w:sz w:val="16"/>
          <w:szCs w:val="16"/>
        </w:rPr>
        <w:t>). После этой доработки задняя кромка элеронов стала выступать за контур крыла.</w:t>
      </w:r>
    </w:p>
    <w:p w14:paraId="58689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Начальная скорость оказалась 397 м/с. Первые наземные стрельбы И-12 с АПК-5 состоялись 11 ноября 1931 г. на аэродроме НИИ ВВС.</w:t>
      </w:r>
    </w:p>
    <w:p w14:paraId="3F4DBB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2427E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3FFB13"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августа 1931 г. летчик И.Ф. Козлов совершил первый полет на АНТ—23 Затем начались испытания. После каждо</w:t>
      </w:r>
      <w:r w:rsidRPr="00441F34">
        <w:rPr>
          <w:rFonts w:ascii="Times New Roman" w:hAnsi="Times New Roman"/>
          <w:color w:val="0070C0"/>
          <w:sz w:val="16"/>
          <w:szCs w:val="16"/>
        </w:rPr>
        <w:softHyphen/>
        <w:t xml:space="preserve">го полета выявлялись те или иные недостатки, устранение которых отнимало много времени. Только 11 ноября 1931 г. на </w:t>
      </w:r>
      <w:proofErr w:type="spellStart"/>
      <w:r w:rsidRPr="00441F34">
        <w:rPr>
          <w:rFonts w:ascii="Times New Roman" w:hAnsi="Times New Roman"/>
          <w:color w:val="0070C0"/>
          <w:sz w:val="16"/>
          <w:szCs w:val="16"/>
        </w:rPr>
        <w:t>монинском</w:t>
      </w:r>
      <w:proofErr w:type="spellEnd"/>
      <w:r w:rsidRPr="00441F34">
        <w:rPr>
          <w:rFonts w:ascii="Times New Roman" w:hAnsi="Times New Roman"/>
          <w:color w:val="0070C0"/>
          <w:sz w:val="16"/>
          <w:szCs w:val="16"/>
        </w:rPr>
        <w:t xml:space="preserve"> полигоне на земле опробо</w:t>
      </w:r>
      <w:r w:rsidRPr="00441F34">
        <w:rPr>
          <w:rFonts w:ascii="Times New Roman" w:hAnsi="Times New Roman"/>
          <w:color w:val="0070C0"/>
          <w:sz w:val="16"/>
          <w:szCs w:val="16"/>
        </w:rPr>
        <w:softHyphen/>
        <w:t>вали установленные на машине пушки АПК—4 калибра 76 мм. После восьми вы</w:t>
      </w:r>
      <w:r w:rsidRPr="00441F34">
        <w:rPr>
          <w:rFonts w:ascii="Times New Roman" w:hAnsi="Times New Roman"/>
          <w:color w:val="0070C0"/>
          <w:sz w:val="16"/>
          <w:szCs w:val="16"/>
        </w:rPr>
        <w:softHyphen/>
        <w:t>стрелов никаких повреждений конструк</w:t>
      </w:r>
      <w:r w:rsidRPr="00441F34">
        <w:rPr>
          <w:rFonts w:ascii="Times New Roman" w:hAnsi="Times New Roman"/>
          <w:color w:val="0070C0"/>
          <w:sz w:val="16"/>
          <w:szCs w:val="16"/>
        </w:rPr>
        <w:softHyphen/>
        <w:t>ции не обнаружили. В феврале 1932 г. провели повторные испытания, выпустив 26 снарядов. Они выявили необходи</w:t>
      </w:r>
      <w:r w:rsidRPr="00441F34">
        <w:rPr>
          <w:rFonts w:ascii="Times New Roman" w:hAnsi="Times New Roman"/>
          <w:color w:val="0070C0"/>
          <w:sz w:val="16"/>
          <w:szCs w:val="16"/>
        </w:rPr>
        <w:softHyphen/>
        <w:t>мость переделки хвостового оперения, требовалась и регулировка механизма ле</w:t>
      </w:r>
      <w:r w:rsidRPr="00441F34">
        <w:rPr>
          <w:rFonts w:ascii="Times New Roman" w:hAnsi="Times New Roman"/>
          <w:color w:val="0070C0"/>
          <w:sz w:val="16"/>
          <w:szCs w:val="16"/>
        </w:rPr>
        <w:softHyphen/>
        <w:t>вой пушки.</w:t>
      </w:r>
    </w:p>
    <w:p w14:paraId="458FE0B1"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доработок, 21 марта 1932 г., И—12 поднялся в воздух для проведения боевых стрельб. Каждую пушку зарядили двумя снарядами массой по 0,56 кг. На заводские испытания, высоте 1000 м И.Ф. Козлов выстрелил из левой пушки. В последующие минуты ему пришлось применить все свое мастерство, чтобы посадить поврежденную машину. При осмотре обнаружили, что разорвало диффузор, сорваны обтекатели, оборва</w:t>
      </w:r>
      <w:r w:rsidRPr="00441F34">
        <w:rPr>
          <w:rFonts w:ascii="Times New Roman" w:hAnsi="Times New Roman"/>
          <w:color w:val="0070C0"/>
          <w:sz w:val="16"/>
          <w:szCs w:val="16"/>
        </w:rPr>
        <w:softHyphen/>
        <w:t>лись тросы управления стабилизатором. За спасение опытного самолета летчика наградили орденом Красной Звезды.</w:t>
      </w:r>
    </w:p>
    <w:p w14:paraId="3BABC982"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отремонтировали, и испы</w:t>
      </w:r>
      <w:r w:rsidRPr="00441F34">
        <w:rPr>
          <w:rFonts w:ascii="Times New Roman" w:hAnsi="Times New Roman"/>
          <w:color w:val="0070C0"/>
          <w:sz w:val="16"/>
          <w:szCs w:val="16"/>
        </w:rPr>
        <w:softHyphen/>
        <w:t>тания продолжились до 28 сентября 1932 г. Затем И—12 разобрали и перевез</w:t>
      </w:r>
      <w:r w:rsidRPr="00441F34">
        <w:rPr>
          <w:rFonts w:ascii="Times New Roman" w:hAnsi="Times New Roman"/>
          <w:color w:val="0070C0"/>
          <w:sz w:val="16"/>
          <w:szCs w:val="16"/>
        </w:rPr>
        <w:softHyphen/>
        <w:t>ли на завод для укрепления стыков в тру</w:t>
      </w:r>
      <w:r w:rsidRPr="00441F34">
        <w:rPr>
          <w:rFonts w:ascii="Times New Roman" w:hAnsi="Times New Roman"/>
          <w:color w:val="0070C0"/>
          <w:sz w:val="16"/>
          <w:szCs w:val="16"/>
        </w:rPr>
        <w:softHyphen/>
        <w:t>бах-балках и доводки АПК. Больше на испытания самолет не передавался.</w:t>
      </w:r>
    </w:p>
    <w:p w14:paraId="485E4696"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 (23474).</w:t>
      </w:r>
    </w:p>
    <w:p w14:paraId="63C6B178" w14:textId="77777777" w:rsidR="008A27D1" w:rsidRPr="00441F34" w:rsidRDefault="008A27D1" w:rsidP="008A27D1">
      <w:pPr>
        <w:spacing w:after="0" w:line="240" w:lineRule="auto"/>
        <w:jc w:val="both"/>
        <w:rPr>
          <w:rFonts w:ascii="Times New Roman" w:hAnsi="Times New Roman"/>
          <w:color w:val="0070C0"/>
          <w:sz w:val="16"/>
          <w:szCs w:val="16"/>
        </w:rPr>
      </w:pPr>
    </w:p>
    <w:p w14:paraId="31B4621E"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августа 1931 г. начались испытания И-12. Самолёт долго дово</w:t>
      </w:r>
      <w:r w:rsidRPr="00441F34">
        <w:rPr>
          <w:rFonts w:ascii="Times New Roman" w:hAnsi="Times New Roman"/>
          <w:color w:val="0070C0"/>
          <w:sz w:val="16"/>
          <w:szCs w:val="16"/>
        </w:rPr>
        <w:softHyphen/>
        <w:t>дился. 12 марта 1933 г. случилось ЧП. При стрельбе из левой пушки произошёл взрыв, был разорван диффузор, сорваны обтекатели, по</w:t>
      </w:r>
      <w:r w:rsidRPr="00441F34">
        <w:rPr>
          <w:rFonts w:ascii="Times New Roman" w:hAnsi="Times New Roman"/>
          <w:color w:val="0070C0"/>
          <w:sz w:val="16"/>
          <w:szCs w:val="16"/>
        </w:rPr>
        <w:softHyphen/>
        <w:t>вреждены тросы управления... Лётчик-испытатель И. Ф. Козлов с большим трудом довёл и посадил И-12 на аэродроме. Какое-то время самолёт доводился, но на лётные испытания больше не передавался (23595).</w:t>
      </w:r>
    </w:p>
    <w:p w14:paraId="7024E878" w14:textId="77777777" w:rsidR="008A27D1" w:rsidRPr="00441F34" w:rsidRDefault="008A27D1" w:rsidP="008A27D1">
      <w:pPr>
        <w:spacing w:after="0" w:line="240" w:lineRule="auto"/>
        <w:jc w:val="both"/>
        <w:rPr>
          <w:rFonts w:ascii="Times New Roman" w:hAnsi="Times New Roman"/>
          <w:color w:val="0070C0"/>
          <w:sz w:val="16"/>
          <w:szCs w:val="16"/>
        </w:rPr>
      </w:pPr>
    </w:p>
    <w:p w14:paraId="2A9841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августа 1931 Зам. Нач. ОКБ и Директора Завода им. Менжинского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xml:space="preserve"> направил рапорт (сопроводительное письмо) за № 433/7 и 433/8 Начальнику ВАО </w:t>
      </w:r>
      <w:proofErr w:type="spellStart"/>
      <w:r w:rsidRPr="007122AB">
        <w:rPr>
          <w:rFonts w:ascii="Times New Roman" w:hAnsi="Times New Roman"/>
          <w:color w:val="000000" w:themeColor="text1"/>
          <w:sz w:val="16"/>
          <w:szCs w:val="16"/>
        </w:rPr>
        <w:t>П.И.Баранову</w:t>
      </w:r>
      <w:proofErr w:type="spellEnd"/>
      <w:r w:rsidRPr="007122AB">
        <w:rPr>
          <w:rFonts w:ascii="Times New Roman" w:hAnsi="Times New Roman"/>
          <w:color w:val="000000" w:themeColor="text1"/>
          <w:sz w:val="16"/>
          <w:szCs w:val="16"/>
        </w:rPr>
        <w:t xml:space="preserve"> с прилагаемыми (351):</w:t>
      </w:r>
    </w:p>
    <w:p w14:paraId="2E03C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Пояснительной записка к плану опытного строительства</w:t>
      </w:r>
    </w:p>
    <w:p w14:paraId="633F74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была подготовлена:</w:t>
      </w:r>
    </w:p>
    <w:p w14:paraId="146EB9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smallCaps/>
          <w:color w:val="000000" w:themeColor="text1"/>
          <w:sz w:val="16"/>
          <w:szCs w:val="16"/>
        </w:rPr>
        <w:t>пояснительная записка.</w:t>
      </w:r>
    </w:p>
    <w:p w14:paraId="76D3FA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плану опытного строительства.</w:t>
      </w:r>
    </w:p>
    <w:p w14:paraId="3D4695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57F45A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составлении плана в основу положено разрешение следующих вопросов:</w:t>
      </w:r>
    </w:p>
    <w:p w14:paraId="5443D9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4A0B29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Обеспечить смену самолетами более </w:t>
      </w:r>
      <w:proofErr w:type="spellStart"/>
      <w:r w:rsidRPr="007122AB">
        <w:rPr>
          <w:rFonts w:ascii="Times New Roman" w:hAnsi="Times New Roman"/>
          <w:color w:val="000000" w:themeColor="text1"/>
          <w:sz w:val="16"/>
          <w:szCs w:val="16"/>
        </w:rPr>
        <w:t>высоакого</w:t>
      </w:r>
      <w:proofErr w:type="spellEnd"/>
      <w:r w:rsidRPr="007122AB">
        <w:rPr>
          <w:rFonts w:ascii="Times New Roman" w:hAnsi="Times New Roman"/>
          <w:color w:val="000000" w:themeColor="text1"/>
          <w:sz w:val="16"/>
          <w:szCs w:val="16"/>
        </w:rPr>
        <w:t xml:space="preserve"> качества.</w:t>
      </w:r>
    </w:p>
    <w:p w14:paraId="2939FD7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30BCFB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Обеспечить введение на снабжение новых видов вооруженных самолетов.</w:t>
      </w:r>
    </w:p>
    <w:p w14:paraId="5CF6CB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Свести количество типов, </w:t>
      </w:r>
      <w:proofErr w:type="spellStart"/>
      <w:r w:rsidRPr="007122AB">
        <w:rPr>
          <w:rFonts w:ascii="Times New Roman" w:hAnsi="Times New Roman"/>
          <w:color w:val="000000" w:themeColor="text1"/>
          <w:sz w:val="16"/>
          <w:szCs w:val="16"/>
        </w:rPr>
        <w:t>ваходящихся</w:t>
      </w:r>
      <w:proofErr w:type="spellEnd"/>
      <w:r w:rsidRPr="007122AB">
        <w:rPr>
          <w:rFonts w:ascii="Times New Roman" w:hAnsi="Times New Roman"/>
          <w:color w:val="000000" w:themeColor="text1"/>
          <w:sz w:val="16"/>
          <w:szCs w:val="16"/>
        </w:rPr>
        <w:t xml:space="preserve"> на снабжении к наимень</w:t>
      </w:r>
      <w:r w:rsidRPr="007122AB">
        <w:rPr>
          <w:rFonts w:ascii="Times New Roman" w:hAnsi="Times New Roman"/>
          <w:color w:val="000000" w:themeColor="text1"/>
          <w:sz w:val="16"/>
          <w:szCs w:val="16"/>
        </w:rPr>
        <w:softHyphen/>
        <w:t>шему.</w:t>
      </w:r>
    </w:p>
    <w:p w14:paraId="02E142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16B49A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Разрешение перечисленных вопросов выразилось в следующем:</w:t>
      </w:r>
    </w:p>
    <w:p w14:paraId="29A95D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Смена типов</w:t>
      </w:r>
    </w:p>
    <w:p w14:paraId="618740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7122AB">
        <w:rPr>
          <w:rFonts w:ascii="Times New Roman" w:hAnsi="Times New Roman"/>
          <w:color w:val="000000" w:themeColor="text1"/>
          <w:sz w:val="16"/>
          <w:szCs w:val="16"/>
        </w:rPr>
        <w:softHyphen/>
        <w:t>бителя возможен в 33-м году.</w:t>
      </w:r>
    </w:p>
    <w:p w14:paraId="1CCCB6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Разведчик сменяется в 34-м году по тем же причинам.</w:t>
      </w:r>
    </w:p>
    <w:p w14:paraId="748462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15C34D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008A67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выпускаются И5-бис, И9, И10 и И11, Р8 и Р9 и т.д.</w:t>
      </w:r>
    </w:p>
    <w:p w14:paraId="58AEFF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7122AB">
        <w:rPr>
          <w:rFonts w:ascii="Times New Roman" w:hAnsi="Times New Roman"/>
          <w:color w:val="000000" w:themeColor="text1"/>
          <w:sz w:val="16"/>
          <w:szCs w:val="16"/>
        </w:rPr>
        <w:softHyphen/>
        <w:t xml:space="preserve">го летного и </w:t>
      </w:r>
      <w:proofErr w:type="spellStart"/>
      <w:r w:rsidRPr="007122AB">
        <w:rPr>
          <w:rFonts w:ascii="Times New Roman" w:hAnsi="Times New Roman"/>
          <w:color w:val="000000" w:themeColor="text1"/>
          <w:sz w:val="16"/>
          <w:szCs w:val="16"/>
        </w:rPr>
        <w:t>эксплоатационного</w:t>
      </w:r>
      <w:proofErr w:type="spellEnd"/>
      <w:r w:rsidRPr="007122AB">
        <w:rPr>
          <w:rFonts w:ascii="Times New Roman" w:hAnsi="Times New Roman"/>
          <w:color w:val="000000" w:themeColor="text1"/>
          <w:sz w:val="16"/>
          <w:szCs w:val="16"/>
        </w:rPr>
        <w:t xml:space="preserve"> испытания. По выходе ново</w:t>
      </w:r>
      <w:r w:rsidRPr="007122AB">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4C877E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7122AB">
        <w:rPr>
          <w:rFonts w:ascii="Times New Roman" w:hAnsi="Times New Roman"/>
          <w:color w:val="000000" w:themeColor="text1"/>
          <w:sz w:val="16"/>
          <w:szCs w:val="16"/>
        </w:rPr>
        <w:softHyphen/>
        <w:t>вать М34 в 34-м году.</w:t>
      </w:r>
    </w:p>
    <w:p w14:paraId="04FFB5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w:t>
      </w:r>
      <w:proofErr w:type="spellStart"/>
      <w:r w:rsidRPr="007122AB">
        <w:rPr>
          <w:rFonts w:ascii="Times New Roman" w:hAnsi="Times New Roman"/>
          <w:color w:val="000000" w:themeColor="text1"/>
          <w:sz w:val="16"/>
          <w:szCs w:val="16"/>
        </w:rPr>
        <w:t>линейн</w:t>
      </w:r>
      <w:proofErr w:type="spellEnd"/>
      <w:r w:rsidRPr="007122AB">
        <w:rPr>
          <w:rFonts w:ascii="Times New Roman" w:hAnsi="Times New Roman"/>
          <w:color w:val="000000" w:themeColor="text1"/>
          <w:sz w:val="16"/>
          <w:szCs w:val="16"/>
        </w:rPr>
        <w:t>., МДР, МК, КОР, СПЛ и т.д.</w:t>
      </w:r>
    </w:p>
    <w:p w14:paraId="60CF8D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1565F3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 должен </w:t>
      </w:r>
      <w:proofErr w:type="spellStart"/>
      <w:r w:rsidRPr="007122AB">
        <w:rPr>
          <w:rFonts w:ascii="Times New Roman" w:hAnsi="Times New Roman"/>
          <w:color w:val="000000" w:themeColor="text1"/>
          <w:sz w:val="16"/>
          <w:szCs w:val="16"/>
        </w:rPr>
        <w:t>бнть</w:t>
      </w:r>
      <w:proofErr w:type="spellEnd"/>
      <w:r w:rsidRPr="007122AB">
        <w:rPr>
          <w:rFonts w:ascii="Times New Roman" w:hAnsi="Times New Roman"/>
          <w:color w:val="000000" w:themeColor="text1"/>
          <w:sz w:val="16"/>
          <w:szCs w:val="16"/>
        </w:rPr>
        <w:t xml:space="preserve"> модификацией разведчика или истре</w:t>
      </w:r>
      <w:r w:rsidRPr="007122AB">
        <w:rPr>
          <w:rFonts w:ascii="Times New Roman" w:hAnsi="Times New Roman"/>
          <w:color w:val="000000" w:themeColor="text1"/>
          <w:sz w:val="16"/>
          <w:szCs w:val="16"/>
        </w:rPr>
        <w:softHyphen/>
        <w:t>бителя, пассажирские самолеты - бомбардировщиков.</w:t>
      </w:r>
    </w:p>
    <w:p w14:paraId="033928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Экспериментальные работы введены у виде рекордных самолетов и параболы.</w:t>
      </w:r>
    </w:p>
    <w:p w14:paraId="42DAE4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Таблица “загрузка серийных самолетостроительных заводов в 1931-1935 г.”</w:t>
      </w:r>
    </w:p>
    <w:p w14:paraId="628444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074C75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Начало серийного производства самолетов вытекает из сро</w:t>
      </w:r>
      <w:r w:rsidRPr="007122AB">
        <w:rPr>
          <w:rFonts w:ascii="Times New Roman" w:hAnsi="Times New Roman"/>
          <w:color w:val="000000" w:themeColor="text1"/>
          <w:sz w:val="16"/>
          <w:szCs w:val="16"/>
        </w:rPr>
        <w:softHyphen/>
        <w:t xml:space="preserve">ков </w:t>
      </w:r>
      <w:proofErr w:type="spellStart"/>
      <w:r w:rsidRPr="007122AB">
        <w:rPr>
          <w:rFonts w:ascii="Times New Roman" w:hAnsi="Times New Roman"/>
          <w:color w:val="000000" w:themeColor="text1"/>
          <w:sz w:val="16"/>
          <w:szCs w:val="16"/>
        </w:rPr>
        <w:t>внпуска</w:t>
      </w:r>
      <w:proofErr w:type="spellEnd"/>
      <w:r w:rsidRPr="007122AB">
        <w:rPr>
          <w:rFonts w:ascii="Times New Roman" w:hAnsi="Times New Roman"/>
          <w:color w:val="000000" w:themeColor="text1"/>
          <w:sz w:val="16"/>
          <w:szCs w:val="16"/>
        </w:rPr>
        <w:t xml:space="preserve"> опытного образца /см. табл. </w:t>
      </w: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w:t>
      </w:r>
    </w:p>
    <w:p w14:paraId="1B37F3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7122AB">
        <w:rPr>
          <w:rFonts w:ascii="Times New Roman" w:hAnsi="Times New Roman"/>
          <w:color w:val="000000" w:themeColor="text1"/>
          <w:sz w:val="16"/>
          <w:szCs w:val="16"/>
        </w:rPr>
        <w:softHyphen/>
        <w:t>пускаемых самолетов.</w:t>
      </w:r>
    </w:p>
    <w:p w14:paraId="4C7C99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 Таблица “Потребность в моторах по типам" является выбор</w:t>
      </w:r>
      <w:r w:rsidRPr="007122AB">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631B76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2FACB2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0F597E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774A47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Обеспечение серийного строительства заводами</w:t>
      </w:r>
    </w:p>
    <w:p w14:paraId="77B0AF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августа была подготовлена справка:</w:t>
      </w:r>
    </w:p>
    <w:p w14:paraId="505443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ОБЕСПЕЧЕНИЕ СЕРИЙНОГО СТРОИТЕЛЬСТВА ЗАВОДАМИ.</w:t>
      </w:r>
    </w:p>
    <w:p w14:paraId="4BA7C5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Для выполнения программного </w:t>
      </w:r>
      <w:proofErr w:type="spellStart"/>
      <w:r w:rsidRPr="007122AB">
        <w:rPr>
          <w:rFonts w:ascii="Times New Roman" w:hAnsi="Times New Roman"/>
          <w:color w:val="000000" w:themeColor="text1"/>
          <w:sz w:val="16"/>
          <w:szCs w:val="16"/>
        </w:rPr>
        <w:t>заданяя</w:t>
      </w:r>
      <w:proofErr w:type="spellEnd"/>
      <w:r w:rsidRPr="007122AB">
        <w:rPr>
          <w:rFonts w:ascii="Times New Roman" w:hAnsi="Times New Roman"/>
          <w:color w:val="000000" w:themeColor="text1"/>
          <w:sz w:val="16"/>
          <w:szCs w:val="16"/>
        </w:rPr>
        <w:t xml:space="preserve"> Штаба УВВС РККА по выпуску самолетов, ОКБ считает необходимым постройку и окончание постройки следующих заводов:</w:t>
      </w:r>
    </w:p>
    <w:p w14:paraId="7E5E42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0122FC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 18 предназначается для массовой постройки металлических /</w:t>
      </w:r>
      <w:proofErr w:type="spellStart"/>
      <w:r w:rsidRPr="007122AB">
        <w:rPr>
          <w:rFonts w:ascii="Times New Roman" w:hAnsi="Times New Roman"/>
          <w:color w:val="000000" w:themeColor="text1"/>
          <w:sz w:val="16"/>
          <w:szCs w:val="16"/>
        </w:rPr>
        <w:t>колъчуг</w:t>
      </w:r>
      <w:proofErr w:type="spellEnd"/>
      <w:r w:rsidRPr="007122AB">
        <w:rPr>
          <w:rFonts w:ascii="Times New Roman" w:hAnsi="Times New Roman"/>
          <w:color w:val="000000" w:themeColor="text1"/>
          <w:sz w:val="16"/>
          <w:szCs w:val="16"/>
        </w:rPr>
        <w:t>-алюминиевых/ бомбардировщиков большого тоннажа; завод должен быть расширен до мощности в 1500 единиц в год и в 32 году начат задел первых серий.</w:t>
      </w:r>
    </w:p>
    <w:p w14:paraId="363DF4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7122AB">
        <w:rPr>
          <w:rFonts w:ascii="Times New Roman" w:hAnsi="Times New Roman"/>
          <w:smallCaps/>
          <w:color w:val="000000" w:themeColor="text1"/>
          <w:sz w:val="16"/>
          <w:szCs w:val="16"/>
        </w:rPr>
        <w:t xml:space="preserve">. </w:t>
      </w:r>
      <w:r w:rsidRPr="007122AB">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01D5B9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Новый завод в гор. Ейске для серийного выпуска </w:t>
      </w:r>
      <w:proofErr w:type="spellStart"/>
      <w:r w:rsidRPr="007122AB">
        <w:rPr>
          <w:rFonts w:ascii="Times New Roman" w:hAnsi="Times New Roman"/>
          <w:color w:val="000000" w:themeColor="text1"/>
          <w:sz w:val="16"/>
          <w:szCs w:val="16"/>
        </w:rPr>
        <w:t>желых</w:t>
      </w:r>
      <w:proofErr w:type="spellEnd"/>
      <w:r w:rsidRPr="007122AB">
        <w:rPr>
          <w:rFonts w:ascii="Times New Roman" w:hAnsi="Times New Roman"/>
          <w:color w:val="000000" w:themeColor="text1"/>
          <w:sz w:val="16"/>
          <w:szCs w:val="16"/>
        </w:rPr>
        <w:t xml:space="preserve"> морских самолетов; мощность завода - 300 единиц в год</w:t>
      </w:r>
      <w:r w:rsidRPr="007122AB">
        <w:rPr>
          <w:rFonts w:ascii="Times New Roman" w:hAnsi="Times New Roman"/>
          <w:smallCaps/>
          <w:color w:val="000000" w:themeColor="text1"/>
          <w:sz w:val="16"/>
          <w:szCs w:val="16"/>
        </w:rPr>
        <w:t>; з</w:t>
      </w:r>
      <w:r w:rsidRPr="007122AB">
        <w:rPr>
          <w:rFonts w:ascii="Times New Roman" w:hAnsi="Times New Roman"/>
          <w:color w:val="000000" w:themeColor="text1"/>
          <w:sz w:val="16"/>
          <w:szCs w:val="16"/>
        </w:rPr>
        <w:t>авод должен начать задел первых серий в 1933 г.</w:t>
      </w:r>
    </w:p>
    <w:p w14:paraId="7F3993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Новый завод массового выпуска легких спортивных самолетов; мощность - 3000 единиц в год; </w:t>
      </w:r>
      <w:proofErr w:type="spellStart"/>
      <w:r w:rsidRPr="007122AB">
        <w:rPr>
          <w:rFonts w:ascii="Times New Roman" w:hAnsi="Times New Roman"/>
          <w:color w:val="000000" w:themeColor="text1"/>
          <w:sz w:val="16"/>
          <w:szCs w:val="16"/>
        </w:rPr>
        <w:t>заводдолжен</w:t>
      </w:r>
      <w:proofErr w:type="spellEnd"/>
      <w:r w:rsidRPr="007122AB">
        <w:rPr>
          <w:rFonts w:ascii="Times New Roman" w:hAnsi="Times New Roman"/>
          <w:color w:val="000000" w:themeColor="text1"/>
          <w:sz w:val="16"/>
          <w:szCs w:val="16"/>
        </w:rPr>
        <w:t xml:space="preserve"> дать выпуск первых серий в 1934 г.</w:t>
      </w:r>
    </w:p>
    <w:p w14:paraId="5EDB89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273552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4399A2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780C2E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w:t>
      </w:r>
      <w:proofErr w:type="spellStart"/>
      <w:r w:rsidRPr="007122AB">
        <w:rPr>
          <w:rFonts w:ascii="Times New Roman" w:hAnsi="Times New Roman"/>
          <w:color w:val="000000" w:themeColor="text1"/>
          <w:sz w:val="16"/>
          <w:szCs w:val="16"/>
        </w:rPr>
        <w:t>Ддя</w:t>
      </w:r>
      <w:proofErr w:type="spellEnd"/>
      <w:r w:rsidRPr="007122AB">
        <w:rPr>
          <w:rFonts w:ascii="Times New Roman" w:hAnsi="Times New Roman"/>
          <w:color w:val="000000" w:themeColor="text1"/>
          <w:sz w:val="16"/>
          <w:szCs w:val="16"/>
        </w:rPr>
        <w:t xml:space="preserve"> обеспечения моторами выпускаемых самолетов должны быть построены в окончены </w:t>
      </w:r>
      <w:proofErr w:type="spellStart"/>
      <w:r w:rsidRPr="007122AB">
        <w:rPr>
          <w:rFonts w:ascii="Times New Roman" w:hAnsi="Times New Roman"/>
          <w:color w:val="000000" w:themeColor="text1"/>
          <w:sz w:val="16"/>
          <w:szCs w:val="16"/>
        </w:rPr>
        <w:t>оледующие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моторостроятельные</w:t>
      </w:r>
      <w:proofErr w:type="spellEnd"/>
      <w:r w:rsidRPr="007122AB">
        <w:rPr>
          <w:rFonts w:ascii="Times New Roman" w:hAnsi="Times New Roman"/>
          <w:color w:val="000000" w:themeColor="text1"/>
          <w:sz w:val="16"/>
          <w:szCs w:val="16"/>
        </w:rPr>
        <w:t xml:space="preserve"> заводы:.</w:t>
      </w:r>
    </w:p>
    <w:p w14:paraId="066653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 Завод № 19 предназначается для массового выпуска моторов воздушного охлаждения и должен иметь </w:t>
      </w:r>
      <w:proofErr w:type="spellStart"/>
      <w:r w:rsidRPr="007122AB">
        <w:rPr>
          <w:rFonts w:ascii="Times New Roman" w:hAnsi="Times New Roman"/>
          <w:color w:val="000000" w:themeColor="text1"/>
          <w:sz w:val="16"/>
          <w:szCs w:val="16"/>
        </w:rPr>
        <w:t>мощнность</w:t>
      </w:r>
      <w:proofErr w:type="spellEnd"/>
      <w:r w:rsidRPr="007122AB">
        <w:rPr>
          <w:rFonts w:ascii="Times New Roman" w:hAnsi="Times New Roman"/>
          <w:color w:val="000000" w:themeColor="text1"/>
          <w:sz w:val="16"/>
          <w:szCs w:val="16"/>
        </w:rPr>
        <w:t xml:space="preserve"> 5600 единиц в год. Первые серии моторов должны быть выпущены в 1933 г.</w:t>
      </w:r>
    </w:p>
    <w:p w14:paraId="1EAD5E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Новый завод моторов </w:t>
      </w:r>
      <w:proofErr w:type="spellStart"/>
      <w:r w:rsidRPr="007122AB">
        <w:rPr>
          <w:rFonts w:ascii="Times New Roman" w:hAnsi="Times New Roman"/>
          <w:color w:val="000000" w:themeColor="text1"/>
          <w:sz w:val="16"/>
          <w:szCs w:val="16"/>
        </w:rPr>
        <w:t>воздушногоохлаждения</w:t>
      </w:r>
      <w:proofErr w:type="spellEnd"/>
      <w:r w:rsidRPr="007122AB">
        <w:rPr>
          <w:rFonts w:ascii="Times New Roman" w:hAnsi="Times New Roman"/>
          <w:color w:val="000000" w:themeColor="text1"/>
          <w:sz w:val="16"/>
          <w:szCs w:val="16"/>
        </w:rPr>
        <w:t>; мощность 15000 единиц в год; выпуск первой сери должна быть в 1934 г.</w:t>
      </w:r>
    </w:p>
    <w:p w14:paraId="7BFCB9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Новый завод моторов водяного охлаждения /предназначается для постройки лицензионных моторов/. </w:t>
      </w:r>
      <w:proofErr w:type="spellStart"/>
      <w:r w:rsidRPr="007122AB">
        <w:rPr>
          <w:rFonts w:ascii="Times New Roman" w:hAnsi="Times New Roman"/>
          <w:color w:val="000000" w:themeColor="text1"/>
          <w:sz w:val="16"/>
          <w:szCs w:val="16"/>
        </w:rPr>
        <w:t>Первыа</w:t>
      </w:r>
      <w:proofErr w:type="spellEnd"/>
      <w:r w:rsidRPr="007122AB">
        <w:rPr>
          <w:rFonts w:ascii="Times New Roman" w:hAnsi="Times New Roman"/>
          <w:color w:val="000000" w:themeColor="text1"/>
          <w:sz w:val="16"/>
          <w:szCs w:val="16"/>
        </w:rPr>
        <w:t xml:space="preserve"> серии должны быть выпущены в 1935 году.</w:t>
      </w:r>
    </w:p>
    <w:p w14:paraId="29740B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для моторостроения требуется:</w:t>
      </w:r>
    </w:p>
    <w:p w14:paraId="63F036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115EFA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того, что на 1935 год </w:t>
      </w:r>
      <w:proofErr w:type="spellStart"/>
      <w:r w:rsidRPr="007122AB">
        <w:rPr>
          <w:rFonts w:ascii="Times New Roman" w:hAnsi="Times New Roman"/>
          <w:color w:val="000000" w:themeColor="text1"/>
          <w:sz w:val="16"/>
          <w:szCs w:val="16"/>
        </w:rPr>
        <w:t>назнчена</w:t>
      </w:r>
      <w:proofErr w:type="spellEnd"/>
      <w:r w:rsidRPr="007122AB">
        <w:rPr>
          <w:rFonts w:ascii="Times New Roman" w:hAnsi="Times New Roman"/>
          <w:color w:val="000000" w:themeColor="text1"/>
          <w:sz w:val="16"/>
          <w:szCs w:val="16"/>
        </w:rPr>
        <w:t xml:space="preserve">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03AF01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Сравнение унифицированной программы, намеченной УВВС и ОКБ на 1931-1934 гг.</w:t>
      </w:r>
    </w:p>
    <w:p w14:paraId="6BD2F3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Самолеты опытного самолетостроения ОКБ на 1931-1934 (по </w:t>
      </w:r>
      <w:proofErr w:type="spellStart"/>
      <w:r w:rsidRPr="007122AB">
        <w:rPr>
          <w:rFonts w:ascii="Times New Roman" w:hAnsi="Times New Roman"/>
          <w:color w:val="000000" w:themeColor="text1"/>
          <w:sz w:val="16"/>
          <w:szCs w:val="16"/>
        </w:rPr>
        <w:t>униф</w:t>
      </w:r>
      <w:proofErr w:type="spellEnd"/>
      <w:r w:rsidRPr="007122AB">
        <w:rPr>
          <w:rFonts w:ascii="Times New Roman" w:hAnsi="Times New Roman"/>
          <w:color w:val="000000" w:themeColor="text1"/>
          <w:sz w:val="16"/>
          <w:szCs w:val="16"/>
        </w:rPr>
        <w:t>.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19"/>
        <w:gridCol w:w="1520"/>
        <w:gridCol w:w="1750"/>
        <w:gridCol w:w="3799"/>
      </w:tblGrid>
      <w:tr w:rsidR="001002C3" w:rsidRPr="007122AB" w14:paraId="4FE96D0C" w14:textId="77777777">
        <w:tc>
          <w:tcPr>
            <w:tcW w:w="1668" w:type="dxa"/>
          </w:tcPr>
          <w:p w14:paraId="16E54B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1719" w:type="dxa"/>
          </w:tcPr>
          <w:p w14:paraId="757FFE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Намечено ВВС</w:t>
            </w:r>
          </w:p>
        </w:tc>
        <w:tc>
          <w:tcPr>
            <w:tcW w:w="1520" w:type="dxa"/>
          </w:tcPr>
          <w:p w14:paraId="4A438E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Добавлено ОКБ</w:t>
            </w:r>
          </w:p>
        </w:tc>
        <w:tc>
          <w:tcPr>
            <w:tcW w:w="1750" w:type="dxa"/>
          </w:tcPr>
          <w:p w14:paraId="1CC53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 программе</w:t>
            </w:r>
          </w:p>
        </w:tc>
        <w:tc>
          <w:tcPr>
            <w:tcW w:w="3799" w:type="dxa"/>
          </w:tcPr>
          <w:p w14:paraId="5631CF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в серии</w:t>
            </w:r>
          </w:p>
        </w:tc>
      </w:tr>
      <w:tr w:rsidR="001002C3" w:rsidRPr="007122AB" w14:paraId="0DA7F912" w14:textId="77777777">
        <w:tc>
          <w:tcPr>
            <w:tcW w:w="1668" w:type="dxa"/>
          </w:tcPr>
          <w:p w14:paraId="49093D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719" w:type="dxa"/>
          </w:tcPr>
          <w:p w14:paraId="027CBC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65FA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1750" w:type="dxa"/>
          </w:tcPr>
          <w:p w14:paraId="1EB7DA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3799" w:type="dxa"/>
          </w:tcPr>
          <w:p w14:paraId="0E37CC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A5BA00" w14:textId="77777777">
        <w:tc>
          <w:tcPr>
            <w:tcW w:w="1668" w:type="dxa"/>
          </w:tcPr>
          <w:p w14:paraId="000AEB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1719" w:type="dxa"/>
          </w:tcPr>
          <w:p w14:paraId="3DEF4E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09504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w:t>
            </w:r>
          </w:p>
        </w:tc>
        <w:tc>
          <w:tcPr>
            <w:tcW w:w="1750" w:type="dxa"/>
          </w:tcPr>
          <w:p w14:paraId="0FD48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w:t>
            </w:r>
          </w:p>
        </w:tc>
        <w:tc>
          <w:tcPr>
            <w:tcW w:w="3799" w:type="dxa"/>
          </w:tcPr>
          <w:p w14:paraId="66E27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A039E18" w14:textId="77777777">
        <w:tc>
          <w:tcPr>
            <w:tcW w:w="1668" w:type="dxa"/>
          </w:tcPr>
          <w:p w14:paraId="28DD5A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пулеметный</w:t>
            </w:r>
          </w:p>
        </w:tc>
        <w:tc>
          <w:tcPr>
            <w:tcW w:w="1719" w:type="dxa"/>
          </w:tcPr>
          <w:p w14:paraId="4ED5A7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7584E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И10-РП</w:t>
            </w:r>
          </w:p>
        </w:tc>
        <w:tc>
          <w:tcPr>
            <w:tcW w:w="1750" w:type="dxa"/>
          </w:tcPr>
          <w:p w14:paraId="074F0E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И10-РП</w:t>
            </w:r>
          </w:p>
        </w:tc>
        <w:tc>
          <w:tcPr>
            <w:tcW w:w="3799" w:type="dxa"/>
          </w:tcPr>
          <w:p w14:paraId="7EF57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пул.</w:t>
            </w:r>
          </w:p>
        </w:tc>
      </w:tr>
      <w:tr w:rsidR="001002C3" w:rsidRPr="007122AB" w14:paraId="07F998F9" w14:textId="77777777">
        <w:tc>
          <w:tcPr>
            <w:tcW w:w="1668" w:type="dxa"/>
          </w:tcPr>
          <w:p w14:paraId="67D4C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8B05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034E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ИП-М32</w:t>
            </w:r>
          </w:p>
        </w:tc>
        <w:tc>
          <w:tcPr>
            <w:tcW w:w="1750" w:type="dxa"/>
          </w:tcPr>
          <w:p w14:paraId="19433B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ИП-М32</w:t>
            </w:r>
          </w:p>
        </w:tc>
        <w:tc>
          <w:tcPr>
            <w:tcW w:w="3799" w:type="dxa"/>
          </w:tcPr>
          <w:p w14:paraId="4346A3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32080CF" w14:textId="77777777">
        <w:tc>
          <w:tcPr>
            <w:tcW w:w="1668" w:type="dxa"/>
          </w:tcPr>
          <w:p w14:paraId="0D6E37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719" w:type="dxa"/>
          </w:tcPr>
          <w:p w14:paraId="584BD9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c>
          <w:tcPr>
            <w:tcW w:w="1520" w:type="dxa"/>
          </w:tcPr>
          <w:p w14:paraId="70E46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5A8B2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c>
          <w:tcPr>
            <w:tcW w:w="3799" w:type="dxa"/>
          </w:tcPr>
          <w:p w14:paraId="33DC3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9C17212" w14:textId="77777777">
        <w:tc>
          <w:tcPr>
            <w:tcW w:w="1668" w:type="dxa"/>
          </w:tcPr>
          <w:p w14:paraId="30FA5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1719" w:type="dxa"/>
          </w:tcPr>
          <w:p w14:paraId="0FC69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c>
          <w:tcPr>
            <w:tcW w:w="1520" w:type="dxa"/>
          </w:tcPr>
          <w:p w14:paraId="50C925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F9D8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c>
          <w:tcPr>
            <w:tcW w:w="3799" w:type="dxa"/>
          </w:tcPr>
          <w:p w14:paraId="685FAE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0B102C" w14:textId="77777777">
        <w:tc>
          <w:tcPr>
            <w:tcW w:w="1668" w:type="dxa"/>
          </w:tcPr>
          <w:p w14:paraId="4D41E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пушечный</w:t>
            </w:r>
          </w:p>
        </w:tc>
        <w:tc>
          <w:tcPr>
            <w:tcW w:w="1719" w:type="dxa"/>
          </w:tcPr>
          <w:p w14:paraId="74F7C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1480B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c>
          <w:tcPr>
            <w:tcW w:w="1750" w:type="dxa"/>
          </w:tcPr>
          <w:p w14:paraId="23F8B6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c>
          <w:tcPr>
            <w:tcW w:w="3799" w:type="dxa"/>
          </w:tcPr>
          <w:p w14:paraId="177935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лин</w:t>
            </w:r>
            <w:proofErr w:type="spellEnd"/>
            <w:r w:rsidRPr="007122AB">
              <w:rPr>
                <w:rFonts w:ascii="Times New Roman" w:hAnsi="Times New Roman"/>
                <w:color w:val="000000" w:themeColor="text1"/>
                <w:sz w:val="16"/>
                <w:szCs w:val="16"/>
              </w:rPr>
              <w:t>.</w:t>
            </w:r>
          </w:p>
        </w:tc>
      </w:tr>
      <w:tr w:rsidR="001002C3" w:rsidRPr="007122AB" w14:paraId="4113BA7B" w14:textId="77777777">
        <w:tc>
          <w:tcPr>
            <w:tcW w:w="1668" w:type="dxa"/>
          </w:tcPr>
          <w:p w14:paraId="637821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2B0E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7468F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c>
          <w:tcPr>
            <w:tcW w:w="1750" w:type="dxa"/>
          </w:tcPr>
          <w:p w14:paraId="58F9F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c>
          <w:tcPr>
            <w:tcW w:w="3799" w:type="dxa"/>
          </w:tcPr>
          <w:p w14:paraId="085507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00B4ABE" w14:textId="77777777">
        <w:tc>
          <w:tcPr>
            <w:tcW w:w="1668" w:type="dxa"/>
          </w:tcPr>
          <w:p w14:paraId="2CE5E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719" w:type="dxa"/>
          </w:tcPr>
          <w:p w14:paraId="0A58E8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ДИ4-Керт.</w:t>
            </w:r>
          </w:p>
        </w:tc>
        <w:tc>
          <w:tcPr>
            <w:tcW w:w="1520" w:type="dxa"/>
          </w:tcPr>
          <w:p w14:paraId="0FE41A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CE718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8AD6B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069AF03" w14:textId="77777777">
        <w:tc>
          <w:tcPr>
            <w:tcW w:w="1668" w:type="dxa"/>
          </w:tcPr>
          <w:p w14:paraId="4C3F1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w:t>
            </w:r>
          </w:p>
        </w:tc>
        <w:tc>
          <w:tcPr>
            <w:tcW w:w="1719" w:type="dxa"/>
          </w:tcPr>
          <w:p w14:paraId="2AA330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178E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ДИ7-М34</w:t>
            </w:r>
          </w:p>
        </w:tc>
        <w:tc>
          <w:tcPr>
            <w:tcW w:w="1750" w:type="dxa"/>
          </w:tcPr>
          <w:p w14:paraId="274A66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ДИ7-М34</w:t>
            </w:r>
          </w:p>
        </w:tc>
        <w:tc>
          <w:tcPr>
            <w:tcW w:w="3799" w:type="dxa"/>
          </w:tcPr>
          <w:p w14:paraId="6C3B77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A1ABB32" w14:textId="77777777">
        <w:tc>
          <w:tcPr>
            <w:tcW w:w="1668" w:type="dxa"/>
          </w:tcPr>
          <w:p w14:paraId="316BD7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12D0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1520" w:type="dxa"/>
          </w:tcPr>
          <w:p w14:paraId="088419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ED033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3799" w:type="dxa"/>
          </w:tcPr>
          <w:p w14:paraId="245D4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r>
      <w:tr w:rsidR="001002C3" w:rsidRPr="007122AB" w14:paraId="5AC821F2" w14:textId="77777777">
        <w:tc>
          <w:tcPr>
            <w:tcW w:w="1668" w:type="dxa"/>
          </w:tcPr>
          <w:p w14:paraId="5E8C34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1719" w:type="dxa"/>
          </w:tcPr>
          <w:p w14:paraId="43C9A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w:t>
            </w:r>
          </w:p>
        </w:tc>
        <w:tc>
          <w:tcPr>
            <w:tcW w:w="1520" w:type="dxa"/>
          </w:tcPr>
          <w:p w14:paraId="29794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CE15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w:t>
            </w:r>
          </w:p>
        </w:tc>
        <w:tc>
          <w:tcPr>
            <w:tcW w:w="3799" w:type="dxa"/>
          </w:tcPr>
          <w:p w14:paraId="5B7CB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r>
      <w:tr w:rsidR="001002C3" w:rsidRPr="007122AB" w14:paraId="44A4DF57" w14:textId="77777777">
        <w:tc>
          <w:tcPr>
            <w:tcW w:w="1668" w:type="dxa"/>
          </w:tcPr>
          <w:p w14:paraId="4ACB2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DCB2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Р8-М27/34</w:t>
            </w:r>
          </w:p>
        </w:tc>
        <w:tc>
          <w:tcPr>
            <w:tcW w:w="1520" w:type="dxa"/>
          </w:tcPr>
          <w:p w14:paraId="25407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45A1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c>
          <w:tcPr>
            <w:tcW w:w="3799" w:type="dxa"/>
          </w:tcPr>
          <w:p w14:paraId="7FD5B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D4510DE" w14:textId="77777777">
        <w:tc>
          <w:tcPr>
            <w:tcW w:w="1668" w:type="dxa"/>
          </w:tcPr>
          <w:p w14:paraId="0418D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76216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c>
          <w:tcPr>
            <w:tcW w:w="1520" w:type="dxa"/>
          </w:tcPr>
          <w:p w14:paraId="190E1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D275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94593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F713E85" w14:textId="77777777">
        <w:tc>
          <w:tcPr>
            <w:tcW w:w="1668" w:type="dxa"/>
          </w:tcPr>
          <w:p w14:paraId="5DA50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E3262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DFC3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Р11-М27/34</w:t>
            </w:r>
          </w:p>
        </w:tc>
        <w:tc>
          <w:tcPr>
            <w:tcW w:w="1750" w:type="dxa"/>
          </w:tcPr>
          <w:p w14:paraId="1F23E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Р11-М27/34</w:t>
            </w:r>
          </w:p>
        </w:tc>
        <w:tc>
          <w:tcPr>
            <w:tcW w:w="3799" w:type="dxa"/>
          </w:tcPr>
          <w:p w14:paraId="3FAF9E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r>
      <w:tr w:rsidR="001002C3" w:rsidRPr="007122AB" w14:paraId="29552760" w14:textId="77777777">
        <w:tc>
          <w:tcPr>
            <w:tcW w:w="1668" w:type="dxa"/>
          </w:tcPr>
          <w:p w14:paraId="46784C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1719" w:type="dxa"/>
          </w:tcPr>
          <w:p w14:paraId="10134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1520" w:type="dxa"/>
          </w:tcPr>
          <w:p w14:paraId="4EF51B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C1A2D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3799" w:type="dxa"/>
          </w:tcPr>
          <w:p w14:paraId="03492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1936</w:t>
            </w:r>
          </w:p>
        </w:tc>
      </w:tr>
      <w:tr w:rsidR="001002C3" w:rsidRPr="007122AB" w14:paraId="40D7AC7B" w14:textId="77777777">
        <w:tc>
          <w:tcPr>
            <w:tcW w:w="1668" w:type="dxa"/>
          </w:tcPr>
          <w:p w14:paraId="42D46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9652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c>
          <w:tcPr>
            <w:tcW w:w="1520" w:type="dxa"/>
          </w:tcPr>
          <w:p w14:paraId="67EDB2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4F642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c>
          <w:tcPr>
            <w:tcW w:w="3799" w:type="dxa"/>
          </w:tcPr>
          <w:p w14:paraId="166BC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1936</w:t>
            </w:r>
          </w:p>
        </w:tc>
      </w:tr>
      <w:tr w:rsidR="001002C3" w:rsidRPr="007122AB" w14:paraId="4AC4E9BB" w14:textId="77777777">
        <w:tc>
          <w:tcPr>
            <w:tcW w:w="1668" w:type="dxa"/>
          </w:tcPr>
          <w:p w14:paraId="2D00D2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Штурмовые</w:t>
            </w:r>
          </w:p>
        </w:tc>
        <w:tc>
          <w:tcPr>
            <w:tcW w:w="1719" w:type="dxa"/>
          </w:tcPr>
          <w:p w14:paraId="1396C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520" w:type="dxa"/>
          </w:tcPr>
          <w:p w14:paraId="19A8B7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789E07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ТШ3-М34</w:t>
            </w:r>
          </w:p>
        </w:tc>
        <w:tc>
          <w:tcPr>
            <w:tcW w:w="3799" w:type="dxa"/>
          </w:tcPr>
          <w:p w14:paraId="61A324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B3DBFA" w14:textId="77777777">
        <w:tc>
          <w:tcPr>
            <w:tcW w:w="1668" w:type="dxa"/>
          </w:tcPr>
          <w:p w14:paraId="7F4795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84FB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1520" w:type="dxa"/>
          </w:tcPr>
          <w:p w14:paraId="24B8B3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CC62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3799" w:type="dxa"/>
          </w:tcPr>
          <w:p w14:paraId="380D4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 (мод. И)</w:t>
            </w:r>
          </w:p>
        </w:tc>
      </w:tr>
      <w:tr w:rsidR="001002C3" w:rsidRPr="007122AB" w14:paraId="3F7705E5" w14:textId="77777777">
        <w:tc>
          <w:tcPr>
            <w:tcW w:w="1668" w:type="dxa"/>
          </w:tcPr>
          <w:p w14:paraId="1C0AEA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9D3F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376E7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ТШ3-М34</w:t>
            </w:r>
          </w:p>
        </w:tc>
        <w:tc>
          <w:tcPr>
            <w:tcW w:w="1750" w:type="dxa"/>
          </w:tcPr>
          <w:p w14:paraId="03A40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ТШ3-М34</w:t>
            </w:r>
          </w:p>
        </w:tc>
        <w:tc>
          <w:tcPr>
            <w:tcW w:w="3799" w:type="dxa"/>
          </w:tcPr>
          <w:p w14:paraId="47EBE3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 (мод. Р)</w:t>
            </w:r>
          </w:p>
        </w:tc>
      </w:tr>
      <w:tr w:rsidR="001002C3" w:rsidRPr="007122AB" w14:paraId="20AD70C8" w14:textId="77777777">
        <w:tc>
          <w:tcPr>
            <w:tcW w:w="1668" w:type="dxa"/>
          </w:tcPr>
          <w:p w14:paraId="542A0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B3A9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42F72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c>
          <w:tcPr>
            <w:tcW w:w="1750" w:type="dxa"/>
          </w:tcPr>
          <w:p w14:paraId="1FBBB3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c>
          <w:tcPr>
            <w:tcW w:w="3799" w:type="dxa"/>
          </w:tcPr>
          <w:p w14:paraId="7ED3D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64E3D3E" w14:textId="77777777">
        <w:tc>
          <w:tcPr>
            <w:tcW w:w="1668" w:type="dxa"/>
          </w:tcPr>
          <w:p w14:paraId="38CC7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1719" w:type="dxa"/>
          </w:tcPr>
          <w:p w14:paraId="176F62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7249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c>
          <w:tcPr>
            <w:tcW w:w="1750" w:type="dxa"/>
          </w:tcPr>
          <w:p w14:paraId="42D048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c>
          <w:tcPr>
            <w:tcW w:w="3799" w:type="dxa"/>
          </w:tcPr>
          <w:p w14:paraId="4B8C0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34768A" w14:textId="77777777">
        <w:tc>
          <w:tcPr>
            <w:tcW w:w="1668" w:type="dxa"/>
          </w:tcPr>
          <w:p w14:paraId="129065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8811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1520" w:type="dxa"/>
          </w:tcPr>
          <w:p w14:paraId="1A8CA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1496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3799" w:type="dxa"/>
          </w:tcPr>
          <w:p w14:paraId="17EDB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r>
      <w:tr w:rsidR="001002C3" w:rsidRPr="007122AB" w14:paraId="5967790C" w14:textId="77777777">
        <w:tc>
          <w:tcPr>
            <w:tcW w:w="1668" w:type="dxa"/>
          </w:tcPr>
          <w:p w14:paraId="75B45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27FA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17128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АНТ14-5М22</w:t>
            </w:r>
          </w:p>
        </w:tc>
        <w:tc>
          <w:tcPr>
            <w:tcW w:w="1750" w:type="dxa"/>
          </w:tcPr>
          <w:p w14:paraId="3D92B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АНТ14-5М22</w:t>
            </w:r>
          </w:p>
        </w:tc>
        <w:tc>
          <w:tcPr>
            <w:tcW w:w="3799" w:type="dxa"/>
          </w:tcPr>
          <w:p w14:paraId="40DC2A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E6500AF" w14:textId="77777777">
        <w:tc>
          <w:tcPr>
            <w:tcW w:w="1668" w:type="dxa"/>
          </w:tcPr>
          <w:p w14:paraId="719BAE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C94A3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1520" w:type="dxa"/>
          </w:tcPr>
          <w:p w14:paraId="6D404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5389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3799" w:type="dxa"/>
          </w:tcPr>
          <w:p w14:paraId="761D55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7F4D1DB" w14:textId="77777777">
        <w:tc>
          <w:tcPr>
            <w:tcW w:w="1668" w:type="dxa"/>
          </w:tcPr>
          <w:p w14:paraId="63D83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8026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w:t>
            </w:r>
          </w:p>
        </w:tc>
        <w:tc>
          <w:tcPr>
            <w:tcW w:w="1520" w:type="dxa"/>
          </w:tcPr>
          <w:p w14:paraId="0F1FD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28E3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w:t>
            </w:r>
          </w:p>
        </w:tc>
        <w:tc>
          <w:tcPr>
            <w:tcW w:w="3799" w:type="dxa"/>
          </w:tcPr>
          <w:p w14:paraId="3625E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 гигант</w:t>
            </w:r>
          </w:p>
        </w:tc>
      </w:tr>
      <w:tr w:rsidR="001002C3" w:rsidRPr="007122AB" w14:paraId="4B205EEA" w14:textId="77777777">
        <w:tc>
          <w:tcPr>
            <w:tcW w:w="1668" w:type="dxa"/>
          </w:tcPr>
          <w:p w14:paraId="36239C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F43E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520" w:type="dxa"/>
          </w:tcPr>
          <w:p w14:paraId="3B9EEA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A976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3799" w:type="dxa"/>
          </w:tcPr>
          <w:p w14:paraId="7C866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CBCCB9" w14:textId="77777777">
        <w:tc>
          <w:tcPr>
            <w:tcW w:w="1668" w:type="dxa"/>
          </w:tcPr>
          <w:p w14:paraId="33E613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C82E2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c>
          <w:tcPr>
            <w:tcW w:w="1520" w:type="dxa"/>
          </w:tcPr>
          <w:p w14:paraId="64290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5D2B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c>
          <w:tcPr>
            <w:tcW w:w="3799" w:type="dxa"/>
          </w:tcPr>
          <w:p w14:paraId="50EBF9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r>
      <w:tr w:rsidR="001002C3" w:rsidRPr="007122AB" w14:paraId="343D1A81" w14:textId="77777777">
        <w:tc>
          <w:tcPr>
            <w:tcW w:w="1668" w:type="dxa"/>
          </w:tcPr>
          <w:p w14:paraId="307982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0977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c>
          <w:tcPr>
            <w:tcW w:w="1520" w:type="dxa"/>
          </w:tcPr>
          <w:p w14:paraId="0EB9F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FB98E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c>
          <w:tcPr>
            <w:tcW w:w="3799" w:type="dxa"/>
          </w:tcPr>
          <w:p w14:paraId="5CA801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r>
      <w:tr w:rsidR="001002C3" w:rsidRPr="007122AB" w14:paraId="2C163844" w14:textId="77777777">
        <w:tc>
          <w:tcPr>
            <w:tcW w:w="1668" w:type="dxa"/>
          </w:tcPr>
          <w:p w14:paraId="272E8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EB05A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ТБ7</w:t>
            </w:r>
          </w:p>
        </w:tc>
        <w:tc>
          <w:tcPr>
            <w:tcW w:w="1520" w:type="dxa"/>
          </w:tcPr>
          <w:p w14:paraId="0E9C92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7B31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СТБ7</w:t>
            </w:r>
          </w:p>
        </w:tc>
        <w:tc>
          <w:tcPr>
            <w:tcW w:w="3799" w:type="dxa"/>
          </w:tcPr>
          <w:p w14:paraId="1C16A7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w:t>
            </w:r>
          </w:p>
        </w:tc>
      </w:tr>
      <w:tr w:rsidR="001002C3" w:rsidRPr="007122AB" w14:paraId="789EC261" w14:textId="77777777">
        <w:tc>
          <w:tcPr>
            <w:tcW w:w="1668" w:type="dxa"/>
          </w:tcPr>
          <w:p w14:paraId="6B794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5B2FA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ТБ8</w:t>
            </w:r>
          </w:p>
        </w:tc>
        <w:tc>
          <w:tcPr>
            <w:tcW w:w="1520" w:type="dxa"/>
          </w:tcPr>
          <w:p w14:paraId="5E4594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E61E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C8440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5499F4D" w14:textId="77777777">
        <w:tc>
          <w:tcPr>
            <w:tcW w:w="1668" w:type="dxa"/>
          </w:tcPr>
          <w:p w14:paraId="7D9400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1ED5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ТБ9</w:t>
            </w:r>
          </w:p>
        </w:tc>
        <w:tc>
          <w:tcPr>
            <w:tcW w:w="1520" w:type="dxa"/>
          </w:tcPr>
          <w:p w14:paraId="7A00A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67297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52205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F4E3B67" w14:textId="77777777">
        <w:tc>
          <w:tcPr>
            <w:tcW w:w="1668" w:type="dxa"/>
          </w:tcPr>
          <w:p w14:paraId="64711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1719" w:type="dxa"/>
          </w:tcPr>
          <w:p w14:paraId="61896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520" w:type="dxa"/>
          </w:tcPr>
          <w:p w14:paraId="6F33E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4F312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3799" w:type="dxa"/>
          </w:tcPr>
          <w:p w14:paraId="6C2054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r>
      <w:tr w:rsidR="001002C3" w:rsidRPr="007122AB" w14:paraId="5D3A0DF7" w14:textId="77777777">
        <w:tc>
          <w:tcPr>
            <w:tcW w:w="1668" w:type="dxa"/>
          </w:tcPr>
          <w:p w14:paraId="6749B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1719" w:type="dxa"/>
          </w:tcPr>
          <w:p w14:paraId="113D1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1520" w:type="dxa"/>
          </w:tcPr>
          <w:p w14:paraId="6FE23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3ED1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3799" w:type="dxa"/>
          </w:tcPr>
          <w:p w14:paraId="491F9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r>
      <w:tr w:rsidR="001002C3" w:rsidRPr="007122AB" w14:paraId="3B7B8C51" w14:textId="77777777">
        <w:tc>
          <w:tcPr>
            <w:tcW w:w="1668" w:type="dxa"/>
          </w:tcPr>
          <w:p w14:paraId="173699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4B3E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1520" w:type="dxa"/>
          </w:tcPr>
          <w:p w14:paraId="2555E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6CBB64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3799" w:type="dxa"/>
          </w:tcPr>
          <w:p w14:paraId="6C1D4F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r>
      <w:tr w:rsidR="001002C3" w:rsidRPr="007122AB" w14:paraId="5B7B26D6" w14:textId="77777777">
        <w:tc>
          <w:tcPr>
            <w:tcW w:w="1668" w:type="dxa"/>
          </w:tcPr>
          <w:p w14:paraId="0DC2C2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1719" w:type="dxa"/>
          </w:tcPr>
          <w:p w14:paraId="03BD3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DFD1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c>
          <w:tcPr>
            <w:tcW w:w="1750" w:type="dxa"/>
          </w:tcPr>
          <w:p w14:paraId="40EF3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c>
          <w:tcPr>
            <w:tcW w:w="3799" w:type="dxa"/>
          </w:tcPr>
          <w:p w14:paraId="35175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r>
      <w:tr w:rsidR="001002C3" w:rsidRPr="007122AB" w14:paraId="548CDDA2" w14:textId="77777777">
        <w:tc>
          <w:tcPr>
            <w:tcW w:w="1668" w:type="dxa"/>
          </w:tcPr>
          <w:p w14:paraId="1E8DD1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1719" w:type="dxa"/>
          </w:tcPr>
          <w:p w14:paraId="41B8B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5674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652C5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0645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F5D592" w14:textId="77777777">
        <w:tc>
          <w:tcPr>
            <w:tcW w:w="1668" w:type="dxa"/>
          </w:tcPr>
          <w:p w14:paraId="3B1F6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Специальные</w:t>
            </w:r>
          </w:p>
        </w:tc>
        <w:tc>
          <w:tcPr>
            <w:tcW w:w="1719" w:type="dxa"/>
          </w:tcPr>
          <w:p w14:paraId="3F31FC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7BAEDD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1750" w:type="dxa"/>
          </w:tcPr>
          <w:p w14:paraId="7E70D4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3799" w:type="dxa"/>
          </w:tcPr>
          <w:p w14:paraId="49A32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ADF325B" w14:textId="77777777">
        <w:tc>
          <w:tcPr>
            <w:tcW w:w="1668" w:type="dxa"/>
          </w:tcPr>
          <w:p w14:paraId="590F0B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12695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30427C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1750" w:type="dxa"/>
          </w:tcPr>
          <w:p w14:paraId="01A111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3799" w:type="dxa"/>
          </w:tcPr>
          <w:p w14:paraId="1B244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BB377F0" w14:textId="77777777">
        <w:tc>
          <w:tcPr>
            <w:tcW w:w="1668" w:type="dxa"/>
          </w:tcPr>
          <w:p w14:paraId="3F9BB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43A2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5DB3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1750" w:type="dxa"/>
          </w:tcPr>
          <w:p w14:paraId="5667B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3799" w:type="dxa"/>
          </w:tcPr>
          <w:p w14:paraId="638E0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28BAF14" w14:textId="77777777">
        <w:tc>
          <w:tcPr>
            <w:tcW w:w="1668" w:type="dxa"/>
          </w:tcPr>
          <w:p w14:paraId="0F0D1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4C0E1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Х1-2М34</w:t>
            </w:r>
          </w:p>
        </w:tc>
        <w:tc>
          <w:tcPr>
            <w:tcW w:w="1520" w:type="dxa"/>
          </w:tcPr>
          <w:p w14:paraId="768968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06DB7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5C1527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06CDE7F" w14:textId="77777777">
        <w:tc>
          <w:tcPr>
            <w:tcW w:w="1668" w:type="dxa"/>
          </w:tcPr>
          <w:p w14:paraId="33C85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7B1FE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ЛХ1-2М26</w:t>
            </w:r>
          </w:p>
        </w:tc>
        <w:tc>
          <w:tcPr>
            <w:tcW w:w="1520" w:type="dxa"/>
          </w:tcPr>
          <w:p w14:paraId="727C1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C8BD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3BA2D2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EB49CBB" w14:textId="77777777">
        <w:tc>
          <w:tcPr>
            <w:tcW w:w="1668" w:type="dxa"/>
          </w:tcPr>
          <w:p w14:paraId="1BA0AE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E52D1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ЛС1-М48</w:t>
            </w:r>
          </w:p>
        </w:tc>
        <w:tc>
          <w:tcPr>
            <w:tcW w:w="1520" w:type="dxa"/>
          </w:tcPr>
          <w:p w14:paraId="4A2C5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318A5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395A3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32B9D92" w14:textId="77777777">
        <w:tc>
          <w:tcPr>
            <w:tcW w:w="1668" w:type="dxa"/>
          </w:tcPr>
          <w:p w14:paraId="11ED8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F9F6D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СС1-М26</w:t>
            </w:r>
          </w:p>
        </w:tc>
        <w:tc>
          <w:tcPr>
            <w:tcW w:w="1520" w:type="dxa"/>
          </w:tcPr>
          <w:p w14:paraId="023A4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1289B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5DF1E0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A06BE7" w14:textId="77777777">
        <w:tc>
          <w:tcPr>
            <w:tcW w:w="1668" w:type="dxa"/>
          </w:tcPr>
          <w:p w14:paraId="5B48B2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EFA3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ВС2-2М26</w:t>
            </w:r>
          </w:p>
        </w:tc>
        <w:tc>
          <w:tcPr>
            <w:tcW w:w="1520" w:type="dxa"/>
          </w:tcPr>
          <w:p w14:paraId="312F52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7F83C8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DAA41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82739F6" w14:textId="77777777">
        <w:tc>
          <w:tcPr>
            <w:tcW w:w="1668" w:type="dxa"/>
          </w:tcPr>
          <w:p w14:paraId="305835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30E9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ПБ1</w:t>
            </w:r>
          </w:p>
        </w:tc>
        <w:tc>
          <w:tcPr>
            <w:tcW w:w="1520" w:type="dxa"/>
          </w:tcPr>
          <w:p w14:paraId="226911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3D203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1AE757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BE406EB" w14:textId="77777777">
        <w:tc>
          <w:tcPr>
            <w:tcW w:w="1668" w:type="dxa"/>
          </w:tcPr>
          <w:p w14:paraId="53E75C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DE49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Э-1</w:t>
            </w:r>
          </w:p>
        </w:tc>
        <w:tc>
          <w:tcPr>
            <w:tcW w:w="1520" w:type="dxa"/>
          </w:tcPr>
          <w:p w14:paraId="75DA4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11AD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DC43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2F45E7" w14:textId="77777777">
        <w:tc>
          <w:tcPr>
            <w:tcW w:w="1668" w:type="dxa"/>
          </w:tcPr>
          <w:p w14:paraId="35EA4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73FC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Э-2</w:t>
            </w:r>
          </w:p>
        </w:tc>
        <w:tc>
          <w:tcPr>
            <w:tcW w:w="1520" w:type="dxa"/>
          </w:tcPr>
          <w:p w14:paraId="644F8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9B8B4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1DF95B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E50082" w14:textId="77777777">
        <w:tc>
          <w:tcPr>
            <w:tcW w:w="1668" w:type="dxa"/>
          </w:tcPr>
          <w:p w14:paraId="6A996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B351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Г-2</w:t>
            </w:r>
          </w:p>
        </w:tc>
        <w:tc>
          <w:tcPr>
            <w:tcW w:w="1520" w:type="dxa"/>
          </w:tcPr>
          <w:p w14:paraId="5F17E2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2539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4C1E6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FA4160" w14:textId="77777777">
        <w:tc>
          <w:tcPr>
            <w:tcW w:w="1668" w:type="dxa"/>
          </w:tcPr>
          <w:p w14:paraId="20515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AFFC1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А-2</w:t>
            </w:r>
          </w:p>
        </w:tc>
        <w:tc>
          <w:tcPr>
            <w:tcW w:w="1520" w:type="dxa"/>
          </w:tcPr>
          <w:p w14:paraId="70AC9E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945E8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A06A5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717B1C2" w14:textId="77777777">
        <w:tc>
          <w:tcPr>
            <w:tcW w:w="1668" w:type="dxa"/>
          </w:tcPr>
          <w:p w14:paraId="7AAAD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8100B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520" w:type="dxa"/>
          </w:tcPr>
          <w:p w14:paraId="6AA8A2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626A4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228A84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FC4C8F1" w14:textId="77777777">
        <w:tc>
          <w:tcPr>
            <w:tcW w:w="1668" w:type="dxa"/>
          </w:tcPr>
          <w:p w14:paraId="230B1E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C8C5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F45C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1</w:t>
            </w:r>
          </w:p>
        </w:tc>
        <w:tc>
          <w:tcPr>
            <w:tcW w:w="1750" w:type="dxa"/>
          </w:tcPr>
          <w:p w14:paraId="236D9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1</w:t>
            </w:r>
          </w:p>
        </w:tc>
        <w:tc>
          <w:tcPr>
            <w:tcW w:w="3799" w:type="dxa"/>
          </w:tcPr>
          <w:p w14:paraId="3E7E56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6A5585" w14:textId="77777777">
        <w:tc>
          <w:tcPr>
            <w:tcW w:w="1668" w:type="dxa"/>
          </w:tcPr>
          <w:p w14:paraId="0B5D8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E62D7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0EEA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2</w:t>
            </w:r>
          </w:p>
        </w:tc>
        <w:tc>
          <w:tcPr>
            <w:tcW w:w="1750" w:type="dxa"/>
          </w:tcPr>
          <w:p w14:paraId="6F6A6C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2</w:t>
            </w:r>
          </w:p>
        </w:tc>
        <w:tc>
          <w:tcPr>
            <w:tcW w:w="3799" w:type="dxa"/>
          </w:tcPr>
          <w:p w14:paraId="60CACE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84F209" w14:textId="77777777">
        <w:tc>
          <w:tcPr>
            <w:tcW w:w="1668" w:type="dxa"/>
          </w:tcPr>
          <w:p w14:paraId="0D5FA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A2B5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AFE6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3</w:t>
            </w:r>
          </w:p>
        </w:tc>
        <w:tc>
          <w:tcPr>
            <w:tcW w:w="1750" w:type="dxa"/>
          </w:tcPr>
          <w:p w14:paraId="6D05FE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3</w:t>
            </w:r>
          </w:p>
        </w:tc>
        <w:tc>
          <w:tcPr>
            <w:tcW w:w="3799" w:type="dxa"/>
          </w:tcPr>
          <w:p w14:paraId="19EFD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92E2C9B" w14:textId="77777777">
        <w:tc>
          <w:tcPr>
            <w:tcW w:w="1668" w:type="dxa"/>
          </w:tcPr>
          <w:p w14:paraId="044610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EF1C2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BC72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Парабола</w:t>
            </w:r>
          </w:p>
        </w:tc>
        <w:tc>
          <w:tcPr>
            <w:tcW w:w="1750" w:type="dxa"/>
          </w:tcPr>
          <w:p w14:paraId="52FCBA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Парабола</w:t>
            </w:r>
          </w:p>
        </w:tc>
        <w:tc>
          <w:tcPr>
            <w:tcW w:w="3799" w:type="dxa"/>
          </w:tcPr>
          <w:p w14:paraId="449A2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371AB4" w14:textId="77777777">
        <w:tc>
          <w:tcPr>
            <w:tcW w:w="1668" w:type="dxa"/>
          </w:tcPr>
          <w:p w14:paraId="2B722F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719" w:type="dxa"/>
          </w:tcPr>
          <w:p w14:paraId="569F5C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3ABBD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У3-РЖ6</w:t>
            </w:r>
          </w:p>
        </w:tc>
        <w:tc>
          <w:tcPr>
            <w:tcW w:w="1750" w:type="dxa"/>
          </w:tcPr>
          <w:p w14:paraId="53237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w:t>
            </w:r>
          </w:p>
        </w:tc>
        <w:tc>
          <w:tcPr>
            <w:tcW w:w="3799" w:type="dxa"/>
          </w:tcPr>
          <w:p w14:paraId="11D5C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4439F2E" w14:textId="77777777">
        <w:tc>
          <w:tcPr>
            <w:tcW w:w="1668" w:type="dxa"/>
          </w:tcPr>
          <w:p w14:paraId="27083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21E4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EBFC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У4-РЖ6</w:t>
            </w:r>
          </w:p>
        </w:tc>
        <w:tc>
          <w:tcPr>
            <w:tcW w:w="1750" w:type="dxa"/>
          </w:tcPr>
          <w:p w14:paraId="7EDBD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w:t>
            </w:r>
          </w:p>
        </w:tc>
        <w:tc>
          <w:tcPr>
            <w:tcW w:w="3799" w:type="dxa"/>
          </w:tcPr>
          <w:p w14:paraId="52F4CC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1460AA" w14:textId="77777777">
        <w:tc>
          <w:tcPr>
            <w:tcW w:w="1668" w:type="dxa"/>
          </w:tcPr>
          <w:p w14:paraId="013E66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1EF1E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D750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С1-РЖ6</w:t>
            </w:r>
          </w:p>
        </w:tc>
        <w:tc>
          <w:tcPr>
            <w:tcW w:w="1750" w:type="dxa"/>
          </w:tcPr>
          <w:p w14:paraId="6E35D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w:t>
            </w:r>
          </w:p>
        </w:tc>
        <w:tc>
          <w:tcPr>
            <w:tcW w:w="3799" w:type="dxa"/>
          </w:tcPr>
          <w:p w14:paraId="2383E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26CD16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Сравнение наметки строительства типов самолетов в серии в 1931-1935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92"/>
        <w:gridCol w:w="851"/>
        <w:gridCol w:w="850"/>
        <w:gridCol w:w="851"/>
        <w:gridCol w:w="850"/>
        <w:gridCol w:w="851"/>
        <w:gridCol w:w="708"/>
        <w:gridCol w:w="709"/>
        <w:gridCol w:w="851"/>
        <w:gridCol w:w="848"/>
      </w:tblGrid>
      <w:tr w:rsidR="001002C3" w:rsidRPr="007122AB" w14:paraId="21ECCC8F" w14:textId="77777777">
        <w:tc>
          <w:tcPr>
            <w:tcW w:w="2093" w:type="dxa"/>
          </w:tcPr>
          <w:p w14:paraId="24D79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самолета</w:t>
            </w:r>
          </w:p>
        </w:tc>
        <w:tc>
          <w:tcPr>
            <w:tcW w:w="992" w:type="dxa"/>
          </w:tcPr>
          <w:p w14:paraId="7E1875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Намечено планом ОКБ</w:t>
            </w:r>
          </w:p>
        </w:tc>
        <w:tc>
          <w:tcPr>
            <w:tcW w:w="851" w:type="dxa"/>
          </w:tcPr>
          <w:p w14:paraId="0B72A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535D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3D3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B1C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D79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Намечено планом УВВС</w:t>
            </w:r>
          </w:p>
        </w:tc>
        <w:tc>
          <w:tcPr>
            <w:tcW w:w="708" w:type="dxa"/>
          </w:tcPr>
          <w:p w14:paraId="0FD66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3FB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3AC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025214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E0CBFC0" w14:textId="77777777">
        <w:tc>
          <w:tcPr>
            <w:tcW w:w="2093" w:type="dxa"/>
          </w:tcPr>
          <w:p w14:paraId="14704C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304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851" w:type="dxa"/>
          </w:tcPr>
          <w:p w14:paraId="5F1672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850" w:type="dxa"/>
          </w:tcPr>
          <w:p w14:paraId="7B423B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851" w:type="dxa"/>
          </w:tcPr>
          <w:p w14:paraId="36F9B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850" w:type="dxa"/>
          </w:tcPr>
          <w:p w14:paraId="263D6A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1935</w:t>
            </w:r>
          </w:p>
        </w:tc>
        <w:tc>
          <w:tcPr>
            <w:tcW w:w="851" w:type="dxa"/>
          </w:tcPr>
          <w:p w14:paraId="1D30B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708" w:type="dxa"/>
          </w:tcPr>
          <w:p w14:paraId="704836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709" w:type="dxa"/>
          </w:tcPr>
          <w:p w14:paraId="1D52E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851" w:type="dxa"/>
          </w:tcPr>
          <w:p w14:paraId="10350C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848" w:type="dxa"/>
          </w:tcPr>
          <w:p w14:paraId="5E333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1935</w:t>
            </w:r>
          </w:p>
        </w:tc>
      </w:tr>
      <w:tr w:rsidR="001002C3" w:rsidRPr="007122AB" w14:paraId="2B880915" w14:textId="77777777">
        <w:tc>
          <w:tcPr>
            <w:tcW w:w="2093" w:type="dxa"/>
          </w:tcPr>
          <w:p w14:paraId="7A251C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одном. пул.</w:t>
            </w:r>
          </w:p>
        </w:tc>
        <w:tc>
          <w:tcPr>
            <w:tcW w:w="992" w:type="dxa"/>
          </w:tcPr>
          <w:p w14:paraId="7CCC5F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И5,И7</w:t>
            </w:r>
          </w:p>
        </w:tc>
        <w:tc>
          <w:tcPr>
            <w:tcW w:w="851" w:type="dxa"/>
          </w:tcPr>
          <w:p w14:paraId="47746C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850" w:type="dxa"/>
          </w:tcPr>
          <w:p w14:paraId="586D77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851" w:type="dxa"/>
          </w:tcPr>
          <w:p w14:paraId="7A8512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Ипул</w:t>
            </w:r>
            <w:proofErr w:type="spellEnd"/>
            <w:r w:rsidRPr="007122AB">
              <w:rPr>
                <w:rFonts w:ascii="Times New Roman" w:hAnsi="Times New Roman"/>
                <w:color w:val="000000" w:themeColor="text1"/>
                <w:sz w:val="16"/>
                <w:szCs w:val="16"/>
              </w:rPr>
              <w:t>.</w:t>
            </w:r>
          </w:p>
        </w:tc>
        <w:tc>
          <w:tcPr>
            <w:tcW w:w="850" w:type="dxa"/>
          </w:tcPr>
          <w:p w14:paraId="5E242F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Ипул</w:t>
            </w:r>
            <w:proofErr w:type="spellEnd"/>
            <w:r w:rsidRPr="007122AB">
              <w:rPr>
                <w:rFonts w:ascii="Times New Roman" w:hAnsi="Times New Roman"/>
                <w:color w:val="000000" w:themeColor="text1"/>
                <w:sz w:val="16"/>
                <w:szCs w:val="16"/>
              </w:rPr>
              <w:t>.</w:t>
            </w:r>
          </w:p>
        </w:tc>
        <w:tc>
          <w:tcPr>
            <w:tcW w:w="851" w:type="dxa"/>
          </w:tcPr>
          <w:p w14:paraId="2D351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И7</w:t>
            </w:r>
          </w:p>
        </w:tc>
        <w:tc>
          <w:tcPr>
            <w:tcW w:w="708" w:type="dxa"/>
          </w:tcPr>
          <w:p w14:paraId="68AEB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И7</w:t>
            </w:r>
          </w:p>
        </w:tc>
        <w:tc>
          <w:tcPr>
            <w:tcW w:w="709" w:type="dxa"/>
          </w:tcPr>
          <w:p w14:paraId="116681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248DB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6CFC71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EF417C6" w14:textId="77777777">
        <w:tc>
          <w:tcPr>
            <w:tcW w:w="2093" w:type="dxa"/>
          </w:tcPr>
          <w:p w14:paraId="1CD13C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Истребитель одном.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992" w:type="dxa"/>
          </w:tcPr>
          <w:p w14:paraId="22118E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69CE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1BA8B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w:t>
            </w:r>
          </w:p>
        </w:tc>
        <w:tc>
          <w:tcPr>
            <w:tcW w:w="851" w:type="dxa"/>
          </w:tcPr>
          <w:p w14:paraId="3361FE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w:t>
            </w:r>
          </w:p>
        </w:tc>
        <w:tc>
          <w:tcPr>
            <w:tcW w:w="850" w:type="dxa"/>
          </w:tcPr>
          <w:p w14:paraId="516549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w:t>
            </w:r>
          </w:p>
        </w:tc>
        <w:tc>
          <w:tcPr>
            <w:tcW w:w="851" w:type="dxa"/>
          </w:tcPr>
          <w:p w14:paraId="35CE27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40DD9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0F66B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Ипуш</w:t>
            </w:r>
            <w:proofErr w:type="spellEnd"/>
            <w:r w:rsidRPr="007122AB">
              <w:rPr>
                <w:rFonts w:ascii="Times New Roman" w:hAnsi="Times New Roman"/>
                <w:color w:val="000000" w:themeColor="text1"/>
                <w:sz w:val="16"/>
                <w:szCs w:val="16"/>
              </w:rPr>
              <w:t>.</w:t>
            </w:r>
          </w:p>
        </w:tc>
        <w:tc>
          <w:tcPr>
            <w:tcW w:w="851" w:type="dxa"/>
          </w:tcPr>
          <w:p w14:paraId="72D0F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Ипуш</w:t>
            </w:r>
            <w:proofErr w:type="spellEnd"/>
            <w:r w:rsidRPr="007122AB">
              <w:rPr>
                <w:rFonts w:ascii="Times New Roman" w:hAnsi="Times New Roman"/>
                <w:color w:val="000000" w:themeColor="text1"/>
                <w:sz w:val="16"/>
                <w:szCs w:val="16"/>
              </w:rPr>
              <w:t>.</w:t>
            </w:r>
          </w:p>
        </w:tc>
        <w:tc>
          <w:tcPr>
            <w:tcW w:w="848" w:type="dxa"/>
          </w:tcPr>
          <w:p w14:paraId="54DA1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75F2A5C" w14:textId="77777777">
        <w:tc>
          <w:tcPr>
            <w:tcW w:w="2093" w:type="dxa"/>
          </w:tcPr>
          <w:p w14:paraId="0540E0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Истребитель </w:t>
            </w:r>
            <w:proofErr w:type="spellStart"/>
            <w:r w:rsidRPr="007122AB">
              <w:rPr>
                <w:rFonts w:ascii="Times New Roman" w:hAnsi="Times New Roman"/>
                <w:color w:val="000000" w:themeColor="text1"/>
                <w:sz w:val="16"/>
                <w:szCs w:val="16"/>
              </w:rPr>
              <w:t>двухместн</w:t>
            </w:r>
            <w:proofErr w:type="spellEnd"/>
            <w:r w:rsidRPr="007122AB">
              <w:rPr>
                <w:rFonts w:ascii="Times New Roman" w:hAnsi="Times New Roman"/>
                <w:color w:val="000000" w:themeColor="text1"/>
                <w:sz w:val="16"/>
                <w:szCs w:val="16"/>
              </w:rPr>
              <w:t>.</w:t>
            </w:r>
          </w:p>
        </w:tc>
        <w:tc>
          <w:tcPr>
            <w:tcW w:w="992" w:type="dxa"/>
          </w:tcPr>
          <w:p w14:paraId="24FE97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55F7E2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21B6D7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7E7BE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850" w:type="dxa"/>
          </w:tcPr>
          <w:p w14:paraId="72C8FA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851" w:type="dxa"/>
          </w:tcPr>
          <w:p w14:paraId="2336C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0831F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7FA18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851" w:type="dxa"/>
          </w:tcPr>
          <w:p w14:paraId="72E69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848" w:type="dxa"/>
          </w:tcPr>
          <w:p w14:paraId="12B2F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3DD993E" w14:textId="77777777">
        <w:tc>
          <w:tcPr>
            <w:tcW w:w="2093" w:type="dxa"/>
          </w:tcPr>
          <w:p w14:paraId="18E8FB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992" w:type="dxa"/>
          </w:tcPr>
          <w:p w14:paraId="3D05C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Р5</w:t>
            </w:r>
          </w:p>
        </w:tc>
        <w:tc>
          <w:tcPr>
            <w:tcW w:w="851" w:type="dxa"/>
          </w:tcPr>
          <w:p w14:paraId="21A0DF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850" w:type="dxa"/>
          </w:tcPr>
          <w:p w14:paraId="33981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851" w:type="dxa"/>
          </w:tcPr>
          <w:p w14:paraId="6D2F4B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w:t>
            </w:r>
          </w:p>
        </w:tc>
        <w:tc>
          <w:tcPr>
            <w:tcW w:w="850" w:type="dxa"/>
          </w:tcPr>
          <w:p w14:paraId="4A830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w:t>
            </w:r>
          </w:p>
        </w:tc>
        <w:tc>
          <w:tcPr>
            <w:tcW w:w="851" w:type="dxa"/>
          </w:tcPr>
          <w:p w14:paraId="1FB9C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 Р5</w:t>
            </w:r>
          </w:p>
        </w:tc>
        <w:tc>
          <w:tcPr>
            <w:tcW w:w="708" w:type="dxa"/>
          </w:tcPr>
          <w:p w14:paraId="357D26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709" w:type="dxa"/>
          </w:tcPr>
          <w:p w14:paraId="1D4B7F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w:t>
            </w:r>
          </w:p>
        </w:tc>
        <w:tc>
          <w:tcPr>
            <w:tcW w:w="851" w:type="dxa"/>
          </w:tcPr>
          <w:p w14:paraId="74639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w:t>
            </w:r>
          </w:p>
        </w:tc>
        <w:tc>
          <w:tcPr>
            <w:tcW w:w="848" w:type="dxa"/>
          </w:tcPr>
          <w:p w14:paraId="2BC30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850366B" w14:textId="77777777">
        <w:tc>
          <w:tcPr>
            <w:tcW w:w="2093" w:type="dxa"/>
          </w:tcPr>
          <w:p w14:paraId="174CCE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 скор.</w:t>
            </w:r>
          </w:p>
        </w:tc>
        <w:tc>
          <w:tcPr>
            <w:tcW w:w="992" w:type="dxa"/>
          </w:tcPr>
          <w:p w14:paraId="789D72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4B2B8E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610DFF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711884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850" w:type="dxa"/>
          </w:tcPr>
          <w:p w14:paraId="54945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851" w:type="dxa"/>
          </w:tcPr>
          <w:p w14:paraId="59934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01B14D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09EB22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w:t>
            </w:r>
          </w:p>
        </w:tc>
        <w:tc>
          <w:tcPr>
            <w:tcW w:w="851" w:type="dxa"/>
          </w:tcPr>
          <w:p w14:paraId="1C8DB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848" w:type="dxa"/>
          </w:tcPr>
          <w:p w14:paraId="0381DE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D7FF63C" w14:textId="77777777">
        <w:tc>
          <w:tcPr>
            <w:tcW w:w="2093" w:type="dxa"/>
          </w:tcPr>
          <w:p w14:paraId="28446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Крейсер</w:t>
            </w:r>
          </w:p>
        </w:tc>
        <w:tc>
          <w:tcPr>
            <w:tcW w:w="992" w:type="dxa"/>
          </w:tcPr>
          <w:p w14:paraId="64010A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851" w:type="dxa"/>
          </w:tcPr>
          <w:p w14:paraId="170716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850" w:type="dxa"/>
          </w:tcPr>
          <w:p w14:paraId="05F130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851" w:type="dxa"/>
          </w:tcPr>
          <w:p w14:paraId="10D87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850" w:type="dxa"/>
          </w:tcPr>
          <w:p w14:paraId="5C1648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851" w:type="dxa"/>
          </w:tcPr>
          <w:p w14:paraId="5DDE98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708" w:type="dxa"/>
          </w:tcPr>
          <w:p w14:paraId="3F871A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709" w:type="dxa"/>
          </w:tcPr>
          <w:p w14:paraId="3D099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851" w:type="dxa"/>
          </w:tcPr>
          <w:p w14:paraId="341A0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w:t>
            </w:r>
          </w:p>
        </w:tc>
        <w:tc>
          <w:tcPr>
            <w:tcW w:w="848" w:type="dxa"/>
          </w:tcPr>
          <w:p w14:paraId="66BF2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616F80BA" w14:textId="77777777">
        <w:tc>
          <w:tcPr>
            <w:tcW w:w="2093" w:type="dxa"/>
          </w:tcPr>
          <w:p w14:paraId="41162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w:t>
            </w:r>
          </w:p>
        </w:tc>
        <w:tc>
          <w:tcPr>
            <w:tcW w:w="992" w:type="dxa"/>
          </w:tcPr>
          <w:p w14:paraId="0A541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569279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850" w:type="dxa"/>
          </w:tcPr>
          <w:p w14:paraId="4C5BC0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76E77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w:t>
            </w:r>
          </w:p>
        </w:tc>
        <w:tc>
          <w:tcPr>
            <w:tcW w:w="850" w:type="dxa"/>
          </w:tcPr>
          <w:p w14:paraId="27C88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w:t>
            </w:r>
          </w:p>
        </w:tc>
        <w:tc>
          <w:tcPr>
            <w:tcW w:w="851" w:type="dxa"/>
          </w:tcPr>
          <w:p w14:paraId="539C9D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3A484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709" w:type="dxa"/>
          </w:tcPr>
          <w:p w14:paraId="00DFD3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851" w:type="dxa"/>
          </w:tcPr>
          <w:p w14:paraId="25B85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848" w:type="dxa"/>
          </w:tcPr>
          <w:p w14:paraId="2B6875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9CCA1A0" w14:textId="77777777">
        <w:tc>
          <w:tcPr>
            <w:tcW w:w="2093" w:type="dxa"/>
          </w:tcPr>
          <w:p w14:paraId="0DAA58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B24DC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3025EE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850" w:type="dxa"/>
          </w:tcPr>
          <w:p w14:paraId="3A2EA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2A7F2E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c>
          <w:tcPr>
            <w:tcW w:w="850" w:type="dxa"/>
          </w:tcPr>
          <w:p w14:paraId="6C29CB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c>
          <w:tcPr>
            <w:tcW w:w="851" w:type="dxa"/>
          </w:tcPr>
          <w:p w14:paraId="1A827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19F7E1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558989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86FB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1190C4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7759142" w14:textId="77777777">
        <w:tc>
          <w:tcPr>
            <w:tcW w:w="2093" w:type="dxa"/>
          </w:tcPr>
          <w:p w14:paraId="3A6166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Бомбардировщики</w:t>
            </w:r>
          </w:p>
        </w:tc>
        <w:tc>
          <w:tcPr>
            <w:tcW w:w="992" w:type="dxa"/>
          </w:tcPr>
          <w:p w14:paraId="4593A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851" w:type="dxa"/>
          </w:tcPr>
          <w:p w14:paraId="4B96B5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6FADD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7A473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180AB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F368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708" w:type="dxa"/>
          </w:tcPr>
          <w:p w14:paraId="1A9FB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7CACB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0A2806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3C9A53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90F3531" w14:textId="77777777">
        <w:tc>
          <w:tcPr>
            <w:tcW w:w="2093" w:type="dxa"/>
          </w:tcPr>
          <w:p w14:paraId="445255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A28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851" w:type="dxa"/>
          </w:tcPr>
          <w:p w14:paraId="67AB6B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850" w:type="dxa"/>
          </w:tcPr>
          <w:p w14:paraId="363DF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851" w:type="dxa"/>
          </w:tcPr>
          <w:p w14:paraId="0386FE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850" w:type="dxa"/>
          </w:tcPr>
          <w:p w14:paraId="6CE995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851" w:type="dxa"/>
          </w:tcPr>
          <w:p w14:paraId="580F9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708" w:type="dxa"/>
          </w:tcPr>
          <w:p w14:paraId="69A63F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709" w:type="dxa"/>
          </w:tcPr>
          <w:p w14:paraId="29E36F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851" w:type="dxa"/>
          </w:tcPr>
          <w:p w14:paraId="153B8E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848" w:type="dxa"/>
          </w:tcPr>
          <w:p w14:paraId="28DC5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8E1B0A0" w14:textId="77777777">
        <w:tc>
          <w:tcPr>
            <w:tcW w:w="2093" w:type="dxa"/>
          </w:tcPr>
          <w:p w14:paraId="477850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DBCA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851" w:type="dxa"/>
          </w:tcPr>
          <w:p w14:paraId="79CC43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850" w:type="dxa"/>
          </w:tcPr>
          <w:p w14:paraId="2C39A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851" w:type="dxa"/>
          </w:tcPr>
          <w:p w14:paraId="3BACC8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850" w:type="dxa"/>
          </w:tcPr>
          <w:p w14:paraId="6E9502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851" w:type="dxa"/>
          </w:tcPr>
          <w:p w14:paraId="657DD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28C182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22CA5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46C788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6FC08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0444B61" w14:textId="77777777">
        <w:tc>
          <w:tcPr>
            <w:tcW w:w="2093" w:type="dxa"/>
          </w:tcPr>
          <w:p w14:paraId="1541B3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4950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851" w:type="dxa"/>
          </w:tcPr>
          <w:p w14:paraId="34779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850" w:type="dxa"/>
          </w:tcPr>
          <w:p w14:paraId="6B27B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851" w:type="dxa"/>
          </w:tcPr>
          <w:p w14:paraId="6E464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850" w:type="dxa"/>
          </w:tcPr>
          <w:p w14:paraId="18F4C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851" w:type="dxa"/>
          </w:tcPr>
          <w:p w14:paraId="022219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713E82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061574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0033CB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5E07E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5AAEF63" w14:textId="77777777">
        <w:tc>
          <w:tcPr>
            <w:tcW w:w="2093" w:type="dxa"/>
          </w:tcPr>
          <w:p w14:paraId="070CB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47A1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D184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572CC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C5FA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ТБгиг</w:t>
            </w:r>
            <w:proofErr w:type="spellEnd"/>
            <w:r w:rsidRPr="007122AB">
              <w:rPr>
                <w:rFonts w:ascii="Times New Roman" w:hAnsi="Times New Roman"/>
                <w:color w:val="000000" w:themeColor="text1"/>
                <w:sz w:val="16"/>
                <w:szCs w:val="16"/>
              </w:rPr>
              <w:t>.</w:t>
            </w:r>
          </w:p>
        </w:tc>
        <w:tc>
          <w:tcPr>
            <w:tcW w:w="850" w:type="dxa"/>
          </w:tcPr>
          <w:p w14:paraId="2D5E9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ТБгиг</w:t>
            </w:r>
            <w:proofErr w:type="spellEnd"/>
            <w:r w:rsidRPr="007122AB">
              <w:rPr>
                <w:rFonts w:ascii="Times New Roman" w:hAnsi="Times New Roman"/>
                <w:color w:val="000000" w:themeColor="text1"/>
                <w:sz w:val="16"/>
                <w:szCs w:val="16"/>
              </w:rPr>
              <w:t>.</w:t>
            </w:r>
          </w:p>
        </w:tc>
        <w:tc>
          <w:tcPr>
            <w:tcW w:w="851" w:type="dxa"/>
          </w:tcPr>
          <w:p w14:paraId="22117D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13FBF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43341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ТБгиг</w:t>
            </w:r>
            <w:proofErr w:type="spellEnd"/>
            <w:r w:rsidRPr="007122AB">
              <w:rPr>
                <w:rFonts w:ascii="Times New Roman" w:hAnsi="Times New Roman"/>
                <w:color w:val="000000" w:themeColor="text1"/>
                <w:sz w:val="16"/>
                <w:szCs w:val="16"/>
              </w:rPr>
              <w:t>.</w:t>
            </w:r>
          </w:p>
        </w:tc>
        <w:tc>
          <w:tcPr>
            <w:tcW w:w="851" w:type="dxa"/>
          </w:tcPr>
          <w:p w14:paraId="41653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ТБгиг</w:t>
            </w:r>
            <w:proofErr w:type="spellEnd"/>
            <w:r w:rsidRPr="007122AB">
              <w:rPr>
                <w:rFonts w:ascii="Times New Roman" w:hAnsi="Times New Roman"/>
                <w:color w:val="000000" w:themeColor="text1"/>
                <w:sz w:val="16"/>
                <w:szCs w:val="16"/>
              </w:rPr>
              <w:t>.</w:t>
            </w:r>
          </w:p>
        </w:tc>
        <w:tc>
          <w:tcPr>
            <w:tcW w:w="848" w:type="dxa"/>
          </w:tcPr>
          <w:p w14:paraId="625303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DC2FA02" w14:textId="77777777">
        <w:tc>
          <w:tcPr>
            <w:tcW w:w="2093" w:type="dxa"/>
          </w:tcPr>
          <w:p w14:paraId="29AE7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4C642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4F466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0F1E7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E518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37B1B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w:t>
            </w:r>
          </w:p>
        </w:tc>
        <w:tc>
          <w:tcPr>
            <w:tcW w:w="851" w:type="dxa"/>
          </w:tcPr>
          <w:p w14:paraId="381791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7B3AD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1B47E1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2FA5F2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w:t>
            </w:r>
          </w:p>
        </w:tc>
        <w:tc>
          <w:tcPr>
            <w:tcW w:w="848" w:type="dxa"/>
          </w:tcPr>
          <w:p w14:paraId="0C64B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B8F0316" w14:textId="77777777">
        <w:tc>
          <w:tcPr>
            <w:tcW w:w="2093" w:type="dxa"/>
          </w:tcPr>
          <w:p w14:paraId="0BFDC7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Морск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w:t>
            </w:r>
          </w:p>
        </w:tc>
        <w:tc>
          <w:tcPr>
            <w:tcW w:w="992" w:type="dxa"/>
          </w:tcPr>
          <w:p w14:paraId="21EC18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851" w:type="dxa"/>
          </w:tcPr>
          <w:p w14:paraId="796C5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850" w:type="dxa"/>
          </w:tcPr>
          <w:p w14:paraId="4B600A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851" w:type="dxa"/>
          </w:tcPr>
          <w:p w14:paraId="3E8C9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850" w:type="dxa"/>
          </w:tcPr>
          <w:p w14:paraId="3256D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851" w:type="dxa"/>
          </w:tcPr>
          <w:p w14:paraId="47966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708" w:type="dxa"/>
          </w:tcPr>
          <w:p w14:paraId="6F893D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709" w:type="dxa"/>
          </w:tcPr>
          <w:p w14:paraId="7F05B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w:t>
            </w:r>
          </w:p>
        </w:tc>
        <w:tc>
          <w:tcPr>
            <w:tcW w:w="851" w:type="dxa"/>
          </w:tcPr>
          <w:p w14:paraId="18DEA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w:t>
            </w:r>
          </w:p>
        </w:tc>
        <w:tc>
          <w:tcPr>
            <w:tcW w:w="848" w:type="dxa"/>
          </w:tcPr>
          <w:p w14:paraId="31C2DC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B695751" w14:textId="77777777">
        <w:tc>
          <w:tcPr>
            <w:tcW w:w="2093" w:type="dxa"/>
          </w:tcPr>
          <w:p w14:paraId="587633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9E5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5AD672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850" w:type="dxa"/>
          </w:tcPr>
          <w:p w14:paraId="70025A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851" w:type="dxa"/>
          </w:tcPr>
          <w:p w14:paraId="254BAB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850" w:type="dxa"/>
          </w:tcPr>
          <w:p w14:paraId="62EFC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851" w:type="dxa"/>
          </w:tcPr>
          <w:p w14:paraId="23415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1C783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709" w:type="dxa"/>
          </w:tcPr>
          <w:p w14:paraId="4A5AF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851" w:type="dxa"/>
          </w:tcPr>
          <w:p w14:paraId="1E51B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3F78E1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647B712" w14:textId="77777777">
        <w:tc>
          <w:tcPr>
            <w:tcW w:w="2093" w:type="dxa"/>
          </w:tcPr>
          <w:p w14:paraId="33478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D1FB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79AA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33291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49962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850" w:type="dxa"/>
          </w:tcPr>
          <w:p w14:paraId="1F9DBC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851" w:type="dxa"/>
          </w:tcPr>
          <w:p w14:paraId="015A3F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7E4EC1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2E5FCC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2C2F05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848" w:type="dxa"/>
          </w:tcPr>
          <w:p w14:paraId="22E500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2D03BFC2" w14:textId="77777777">
        <w:tc>
          <w:tcPr>
            <w:tcW w:w="2093" w:type="dxa"/>
          </w:tcPr>
          <w:p w14:paraId="484718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Морск</w:t>
            </w:r>
            <w:proofErr w:type="spellEnd"/>
            <w:r w:rsidRPr="007122AB">
              <w:rPr>
                <w:rFonts w:ascii="Times New Roman" w:hAnsi="Times New Roman"/>
                <w:color w:val="000000" w:themeColor="text1"/>
                <w:sz w:val="16"/>
                <w:szCs w:val="16"/>
              </w:rPr>
              <w:t>. Бомбард.</w:t>
            </w:r>
          </w:p>
        </w:tc>
        <w:tc>
          <w:tcPr>
            <w:tcW w:w="992" w:type="dxa"/>
          </w:tcPr>
          <w:p w14:paraId="6A79A8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584E0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4459A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3E46A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3757D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c>
          <w:tcPr>
            <w:tcW w:w="851" w:type="dxa"/>
          </w:tcPr>
          <w:p w14:paraId="3F637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6551B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0A4F38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C483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1A7F9F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C4A0DE3" w14:textId="77777777">
        <w:tc>
          <w:tcPr>
            <w:tcW w:w="2093" w:type="dxa"/>
          </w:tcPr>
          <w:p w14:paraId="03E039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Специальн</w:t>
            </w:r>
            <w:proofErr w:type="spellEnd"/>
            <w:r w:rsidRPr="007122AB">
              <w:rPr>
                <w:rFonts w:ascii="Times New Roman" w:hAnsi="Times New Roman"/>
                <w:color w:val="000000" w:themeColor="text1"/>
                <w:sz w:val="16"/>
                <w:szCs w:val="16"/>
              </w:rPr>
              <w:t>.</w:t>
            </w:r>
          </w:p>
        </w:tc>
        <w:tc>
          <w:tcPr>
            <w:tcW w:w="992" w:type="dxa"/>
          </w:tcPr>
          <w:p w14:paraId="4C0B2D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3E642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1389E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2C29D6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850" w:type="dxa"/>
          </w:tcPr>
          <w:p w14:paraId="5C14D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851" w:type="dxa"/>
          </w:tcPr>
          <w:p w14:paraId="25AB2A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327F1D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5198C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D1EB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4EA789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4EC6DE9" w14:textId="77777777">
        <w:tc>
          <w:tcPr>
            <w:tcW w:w="2093" w:type="dxa"/>
          </w:tcPr>
          <w:p w14:paraId="10036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8F4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09588A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24B39F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9EE9E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850" w:type="dxa"/>
          </w:tcPr>
          <w:p w14:paraId="7250BD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851" w:type="dxa"/>
          </w:tcPr>
          <w:p w14:paraId="1E7C18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19D16A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11F4B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7553A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2452BB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40FDA0F" w14:textId="77777777">
        <w:tc>
          <w:tcPr>
            <w:tcW w:w="2093" w:type="dxa"/>
          </w:tcPr>
          <w:p w14:paraId="4D413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039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7A9436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22EB2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323BA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850" w:type="dxa"/>
          </w:tcPr>
          <w:p w14:paraId="34F075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851" w:type="dxa"/>
          </w:tcPr>
          <w:p w14:paraId="07CB37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1A22DD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4693B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2C203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6AF2E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B4D1E1B" w14:textId="77777777">
        <w:tc>
          <w:tcPr>
            <w:tcW w:w="2093" w:type="dxa"/>
          </w:tcPr>
          <w:p w14:paraId="6F2D2D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992" w:type="dxa"/>
          </w:tcPr>
          <w:p w14:paraId="3324D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851" w:type="dxa"/>
          </w:tcPr>
          <w:p w14:paraId="28113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850" w:type="dxa"/>
          </w:tcPr>
          <w:p w14:paraId="3676B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851" w:type="dxa"/>
          </w:tcPr>
          <w:p w14:paraId="02927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850" w:type="dxa"/>
          </w:tcPr>
          <w:p w14:paraId="49180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w:t>
            </w:r>
          </w:p>
        </w:tc>
        <w:tc>
          <w:tcPr>
            <w:tcW w:w="851" w:type="dxa"/>
          </w:tcPr>
          <w:p w14:paraId="3A5FF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708" w:type="dxa"/>
          </w:tcPr>
          <w:p w14:paraId="0DF2E8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709" w:type="dxa"/>
          </w:tcPr>
          <w:p w14:paraId="3AC8E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МУ3</w:t>
            </w:r>
          </w:p>
        </w:tc>
        <w:tc>
          <w:tcPr>
            <w:tcW w:w="851" w:type="dxa"/>
          </w:tcPr>
          <w:p w14:paraId="474FAE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 МУ3</w:t>
            </w:r>
          </w:p>
        </w:tc>
        <w:tc>
          <w:tcPr>
            <w:tcW w:w="848" w:type="dxa"/>
          </w:tcPr>
          <w:p w14:paraId="56D3E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E914E72" w14:textId="77777777">
        <w:tc>
          <w:tcPr>
            <w:tcW w:w="2093" w:type="dxa"/>
          </w:tcPr>
          <w:p w14:paraId="7888A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DF48A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197D1B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0" w:type="dxa"/>
          </w:tcPr>
          <w:p w14:paraId="6F87B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4520B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w:t>
            </w:r>
          </w:p>
        </w:tc>
        <w:tc>
          <w:tcPr>
            <w:tcW w:w="850" w:type="dxa"/>
          </w:tcPr>
          <w:p w14:paraId="131FE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w:t>
            </w:r>
          </w:p>
        </w:tc>
        <w:tc>
          <w:tcPr>
            <w:tcW w:w="851" w:type="dxa"/>
          </w:tcPr>
          <w:p w14:paraId="494BFD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8" w:type="dxa"/>
          </w:tcPr>
          <w:p w14:paraId="034ED8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09" w:type="dxa"/>
          </w:tcPr>
          <w:p w14:paraId="02C8B8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51" w:type="dxa"/>
          </w:tcPr>
          <w:p w14:paraId="695CD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48" w:type="dxa"/>
          </w:tcPr>
          <w:p w14:paraId="28B83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677B3F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7E4DA9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типов самолетов, намеченных УВВС и ОКБ в серии в 1931-1934 гг. (сравнительная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002C3" w:rsidRPr="007122AB" w14:paraId="560866CE" w14:textId="77777777">
        <w:tc>
          <w:tcPr>
            <w:tcW w:w="3757" w:type="dxa"/>
          </w:tcPr>
          <w:p w14:paraId="047021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3757" w:type="dxa"/>
          </w:tcPr>
          <w:p w14:paraId="5CCCCF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УВВС</w:t>
            </w:r>
          </w:p>
        </w:tc>
        <w:tc>
          <w:tcPr>
            <w:tcW w:w="3757" w:type="dxa"/>
          </w:tcPr>
          <w:p w14:paraId="383B4D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И7, Р1, Р5, Р6, ТБ1, У2</w:t>
            </w:r>
          </w:p>
        </w:tc>
      </w:tr>
      <w:tr w:rsidR="001002C3" w:rsidRPr="007122AB" w14:paraId="2F3BFB57" w14:textId="77777777">
        <w:tc>
          <w:tcPr>
            <w:tcW w:w="3757" w:type="dxa"/>
          </w:tcPr>
          <w:p w14:paraId="1B5CE0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5241F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ОКБ</w:t>
            </w:r>
          </w:p>
        </w:tc>
        <w:tc>
          <w:tcPr>
            <w:tcW w:w="3757" w:type="dxa"/>
          </w:tcPr>
          <w:p w14:paraId="65DEC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И7, Р1, Р5, Р6, ТБ1, У2, АНТ9, К5</w:t>
            </w:r>
          </w:p>
        </w:tc>
      </w:tr>
      <w:tr w:rsidR="001002C3" w:rsidRPr="007122AB" w14:paraId="039B40EB" w14:textId="77777777">
        <w:tc>
          <w:tcPr>
            <w:tcW w:w="3757" w:type="dxa"/>
          </w:tcPr>
          <w:p w14:paraId="2B2609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757" w:type="dxa"/>
          </w:tcPr>
          <w:p w14:paraId="6D599F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УВВС</w:t>
            </w:r>
          </w:p>
        </w:tc>
        <w:tc>
          <w:tcPr>
            <w:tcW w:w="3757" w:type="dxa"/>
          </w:tcPr>
          <w:p w14:paraId="225074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И7, ДИ3, ТШ2, Р5, Р6, ТБ, -, -, С62, У2</w:t>
            </w:r>
          </w:p>
        </w:tc>
      </w:tr>
      <w:tr w:rsidR="001002C3" w:rsidRPr="007122AB" w14:paraId="7CD86A50" w14:textId="77777777">
        <w:tc>
          <w:tcPr>
            <w:tcW w:w="3757" w:type="dxa"/>
          </w:tcPr>
          <w:p w14:paraId="76162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B7F38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ОКБ</w:t>
            </w:r>
          </w:p>
        </w:tc>
        <w:tc>
          <w:tcPr>
            <w:tcW w:w="3757" w:type="dxa"/>
          </w:tcPr>
          <w:p w14:paraId="6A98A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 -, ТШ2, Р5, Р6, ТБ3, АНТ9, К5, С62, МДР, У2</w:t>
            </w:r>
          </w:p>
        </w:tc>
      </w:tr>
      <w:tr w:rsidR="001002C3" w:rsidRPr="007122AB" w14:paraId="26565BC6" w14:textId="77777777">
        <w:tc>
          <w:tcPr>
            <w:tcW w:w="3757" w:type="dxa"/>
          </w:tcPr>
          <w:p w14:paraId="15738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3757" w:type="dxa"/>
          </w:tcPr>
          <w:p w14:paraId="0C5614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УВВС</w:t>
            </w:r>
          </w:p>
        </w:tc>
        <w:tc>
          <w:tcPr>
            <w:tcW w:w="3757" w:type="dxa"/>
          </w:tcPr>
          <w:p w14:paraId="5D6C7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ИП1, ДИП1, МИ3, Р8, Р9, ЛБШ3, ТБ3, ТБ4, МДР3, У2, МУ3</w:t>
            </w:r>
          </w:p>
        </w:tc>
      </w:tr>
      <w:tr w:rsidR="001002C3" w:rsidRPr="007122AB" w14:paraId="499AD04C" w14:textId="77777777">
        <w:tc>
          <w:tcPr>
            <w:tcW w:w="3757" w:type="dxa"/>
          </w:tcPr>
          <w:p w14:paraId="5A0B90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8B902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ОКБ</w:t>
            </w:r>
          </w:p>
        </w:tc>
        <w:tc>
          <w:tcPr>
            <w:tcW w:w="3757" w:type="dxa"/>
          </w:tcPr>
          <w:p w14:paraId="3C9C0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И5, </w:t>
            </w: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 -, Р5, -, -, ТБ, -, МДР, ИБР3, У2, -, Р6, АНТ9, К5</w:t>
            </w:r>
          </w:p>
        </w:tc>
      </w:tr>
      <w:tr w:rsidR="001002C3" w:rsidRPr="007122AB" w14:paraId="1EEE05CC" w14:textId="77777777">
        <w:tc>
          <w:tcPr>
            <w:tcW w:w="3757" w:type="dxa"/>
          </w:tcPr>
          <w:p w14:paraId="5335C1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3757" w:type="dxa"/>
          </w:tcPr>
          <w:p w14:paraId="5042FB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УВВС</w:t>
            </w:r>
          </w:p>
        </w:tc>
        <w:tc>
          <w:tcPr>
            <w:tcW w:w="3757" w:type="dxa"/>
          </w:tcPr>
          <w:p w14:paraId="34B85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ИП1, ДИП, К1, -, Р10, -, ВС2, ПБ1, Х1, ЛБШ3, ТБ3, ТБ4, МК, МБР3, -, У2, - МУ3, -, -, -, -, -</w:t>
            </w:r>
          </w:p>
        </w:tc>
      </w:tr>
      <w:tr w:rsidR="001002C3" w:rsidRPr="007122AB" w14:paraId="21456A60" w14:textId="77777777">
        <w:tc>
          <w:tcPr>
            <w:tcW w:w="3757" w:type="dxa"/>
          </w:tcPr>
          <w:p w14:paraId="2C612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7190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Намеч</w:t>
            </w:r>
            <w:proofErr w:type="spellEnd"/>
            <w:r w:rsidRPr="007122AB">
              <w:rPr>
                <w:rFonts w:ascii="Times New Roman" w:hAnsi="Times New Roman"/>
                <w:color w:val="000000" w:themeColor="text1"/>
                <w:sz w:val="16"/>
                <w:szCs w:val="16"/>
              </w:rPr>
              <w:t>. ОКБ</w:t>
            </w:r>
          </w:p>
        </w:tc>
        <w:tc>
          <w:tcPr>
            <w:tcW w:w="3757" w:type="dxa"/>
          </w:tcPr>
          <w:p w14:paraId="058A2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 xml:space="preserve">., ДИ, -, МИ3, Р10, Р, -, -, -, -, ТБ, </w:t>
            </w:r>
            <w:proofErr w:type="spellStart"/>
            <w:r w:rsidRPr="007122AB">
              <w:rPr>
                <w:rFonts w:ascii="Times New Roman" w:hAnsi="Times New Roman"/>
                <w:color w:val="000000" w:themeColor="text1"/>
                <w:sz w:val="16"/>
                <w:szCs w:val="16"/>
              </w:rPr>
              <w:t>ТБгиг</w:t>
            </w:r>
            <w:proofErr w:type="spellEnd"/>
            <w:r w:rsidRPr="007122AB">
              <w:rPr>
                <w:rFonts w:ascii="Times New Roman" w:hAnsi="Times New Roman"/>
                <w:color w:val="000000" w:themeColor="text1"/>
                <w:sz w:val="16"/>
                <w:szCs w:val="16"/>
              </w:rPr>
              <w:t>., МК, МБР3, МДР, У2, С1, -, АНТ9, К5, КОР, СПЛ, МФС</w:t>
            </w:r>
          </w:p>
        </w:tc>
      </w:tr>
    </w:tbl>
    <w:p w14:paraId="7F0EB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719DB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подготовлена таблица:</w:t>
      </w:r>
    </w:p>
    <w:p w14:paraId="4B4F0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Потребность в моторах по типам</w:t>
      </w:r>
    </w:p>
    <w:p w14:paraId="328F3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1-й: на самолеты ставятся моторы, написанные под чертой в графе “количество”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1A1022CF" w14:textId="77777777">
        <w:tc>
          <w:tcPr>
            <w:tcW w:w="5604" w:type="dxa"/>
            <w:gridSpan w:val="3"/>
            <w:tcBorders>
              <w:top w:val="single" w:sz="12" w:space="0" w:color="auto"/>
            </w:tcBorders>
          </w:tcPr>
          <w:p w14:paraId="3B459A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1933</w:t>
            </w:r>
          </w:p>
        </w:tc>
        <w:tc>
          <w:tcPr>
            <w:tcW w:w="5604" w:type="dxa"/>
            <w:gridSpan w:val="3"/>
            <w:tcBorders>
              <w:top w:val="single" w:sz="12" w:space="0" w:color="auto"/>
            </w:tcBorders>
          </w:tcPr>
          <w:p w14:paraId="7852C3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1934</w:t>
            </w:r>
          </w:p>
        </w:tc>
      </w:tr>
      <w:tr w:rsidR="001002C3" w:rsidRPr="007122AB" w14:paraId="34B01ED2" w14:textId="77777777">
        <w:tc>
          <w:tcPr>
            <w:tcW w:w="1868" w:type="dxa"/>
          </w:tcPr>
          <w:p w14:paraId="781415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Наименование</w:t>
            </w:r>
          </w:p>
        </w:tc>
        <w:tc>
          <w:tcPr>
            <w:tcW w:w="1868" w:type="dxa"/>
          </w:tcPr>
          <w:p w14:paraId="35794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Количество норм. вариантов</w:t>
            </w:r>
          </w:p>
        </w:tc>
        <w:tc>
          <w:tcPr>
            <w:tcW w:w="1868" w:type="dxa"/>
          </w:tcPr>
          <w:p w14:paraId="08412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Примечание</w:t>
            </w:r>
          </w:p>
        </w:tc>
        <w:tc>
          <w:tcPr>
            <w:tcW w:w="1868" w:type="dxa"/>
          </w:tcPr>
          <w:p w14:paraId="474F8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Наименование</w:t>
            </w:r>
          </w:p>
        </w:tc>
        <w:tc>
          <w:tcPr>
            <w:tcW w:w="1868" w:type="dxa"/>
          </w:tcPr>
          <w:p w14:paraId="5102E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Количество норм. вариантов</w:t>
            </w:r>
          </w:p>
        </w:tc>
        <w:tc>
          <w:tcPr>
            <w:tcW w:w="1868" w:type="dxa"/>
          </w:tcPr>
          <w:p w14:paraId="779F4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Примечание</w:t>
            </w:r>
          </w:p>
        </w:tc>
      </w:tr>
      <w:tr w:rsidR="001002C3" w:rsidRPr="007122AB" w14:paraId="78F25BA6" w14:textId="77777777">
        <w:tc>
          <w:tcPr>
            <w:tcW w:w="1868" w:type="dxa"/>
          </w:tcPr>
          <w:p w14:paraId="639B3C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М11 - Ж6</w:t>
            </w:r>
          </w:p>
        </w:tc>
        <w:tc>
          <w:tcPr>
            <w:tcW w:w="1868" w:type="dxa"/>
          </w:tcPr>
          <w:p w14:paraId="555A94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2400</w:t>
            </w:r>
          </w:p>
        </w:tc>
        <w:tc>
          <w:tcPr>
            <w:tcW w:w="1868" w:type="dxa"/>
          </w:tcPr>
          <w:p w14:paraId="0F107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6C26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AEE2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2400</w:t>
            </w:r>
          </w:p>
        </w:tc>
        <w:tc>
          <w:tcPr>
            <w:tcW w:w="1868" w:type="dxa"/>
          </w:tcPr>
          <w:p w14:paraId="4D7ABE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6D919EEF" w14:textId="77777777">
        <w:tc>
          <w:tcPr>
            <w:tcW w:w="1868" w:type="dxa"/>
          </w:tcPr>
          <w:p w14:paraId="04B2D6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М12, 22, РЦ</w:t>
            </w:r>
          </w:p>
        </w:tc>
        <w:tc>
          <w:tcPr>
            <w:tcW w:w="1868" w:type="dxa"/>
          </w:tcPr>
          <w:p w14:paraId="5BE96A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3600</w:t>
            </w:r>
          </w:p>
        </w:tc>
        <w:tc>
          <w:tcPr>
            <w:tcW w:w="1868" w:type="dxa"/>
          </w:tcPr>
          <w:p w14:paraId="24AB3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8693A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7EAF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5070</w:t>
            </w:r>
          </w:p>
        </w:tc>
        <w:tc>
          <w:tcPr>
            <w:tcW w:w="1868" w:type="dxa"/>
          </w:tcPr>
          <w:p w14:paraId="6D18D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DDE585E" w14:textId="77777777">
        <w:tc>
          <w:tcPr>
            <w:tcW w:w="1868" w:type="dxa"/>
          </w:tcPr>
          <w:p w14:paraId="068B35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М26</w:t>
            </w:r>
          </w:p>
        </w:tc>
        <w:tc>
          <w:tcPr>
            <w:tcW w:w="1868" w:type="dxa"/>
          </w:tcPr>
          <w:p w14:paraId="259CD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1800</w:t>
            </w:r>
          </w:p>
        </w:tc>
        <w:tc>
          <w:tcPr>
            <w:tcW w:w="1868" w:type="dxa"/>
          </w:tcPr>
          <w:p w14:paraId="0D982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2292D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0BEE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2250</w:t>
            </w:r>
          </w:p>
        </w:tc>
        <w:tc>
          <w:tcPr>
            <w:tcW w:w="1868" w:type="dxa"/>
          </w:tcPr>
          <w:p w14:paraId="56A5B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65184F3" w14:textId="77777777">
        <w:tc>
          <w:tcPr>
            <w:tcW w:w="1868" w:type="dxa"/>
          </w:tcPr>
          <w:p w14:paraId="45F0CB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М38</w:t>
            </w:r>
          </w:p>
        </w:tc>
        <w:tc>
          <w:tcPr>
            <w:tcW w:w="1868" w:type="dxa"/>
          </w:tcPr>
          <w:p w14:paraId="41B697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14F17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EC6B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772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3000</w:t>
            </w:r>
          </w:p>
        </w:tc>
        <w:tc>
          <w:tcPr>
            <w:tcW w:w="1868" w:type="dxa"/>
          </w:tcPr>
          <w:p w14:paraId="6A1EAF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заменяется на М22</w:t>
            </w:r>
          </w:p>
        </w:tc>
      </w:tr>
      <w:tr w:rsidR="001002C3" w:rsidRPr="007122AB" w14:paraId="62A409D5" w14:textId="77777777">
        <w:tc>
          <w:tcPr>
            <w:tcW w:w="1868" w:type="dxa"/>
          </w:tcPr>
          <w:p w14:paraId="70663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Моторов воздушного охлаждения</w:t>
            </w:r>
          </w:p>
        </w:tc>
        <w:tc>
          <w:tcPr>
            <w:tcW w:w="1868" w:type="dxa"/>
          </w:tcPr>
          <w:p w14:paraId="1DA03B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7800</w:t>
            </w:r>
          </w:p>
        </w:tc>
        <w:tc>
          <w:tcPr>
            <w:tcW w:w="1868" w:type="dxa"/>
          </w:tcPr>
          <w:p w14:paraId="2721B5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343A8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595E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12720</w:t>
            </w:r>
          </w:p>
        </w:tc>
        <w:tc>
          <w:tcPr>
            <w:tcW w:w="1868" w:type="dxa"/>
          </w:tcPr>
          <w:p w14:paraId="42702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B7BA4B0" w14:textId="77777777">
        <w:tc>
          <w:tcPr>
            <w:tcW w:w="1868" w:type="dxa"/>
          </w:tcPr>
          <w:p w14:paraId="4A1A2C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М17</w:t>
            </w:r>
          </w:p>
        </w:tc>
        <w:tc>
          <w:tcPr>
            <w:tcW w:w="1868" w:type="dxa"/>
          </w:tcPr>
          <w:p w14:paraId="691CFD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3000</w:t>
            </w:r>
          </w:p>
        </w:tc>
        <w:tc>
          <w:tcPr>
            <w:tcW w:w="1868" w:type="dxa"/>
          </w:tcPr>
          <w:p w14:paraId="18334B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 может быть частично заменен М17 на самолетах Р5</w:t>
            </w:r>
          </w:p>
        </w:tc>
        <w:tc>
          <w:tcPr>
            <w:tcW w:w="1868" w:type="dxa"/>
          </w:tcPr>
          <w:p w14:paraId="02DD1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5048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3600</w:t>
            </w:r>
          </w:p>
        </w:tc>
        <w:tc>
          <w:tcPr>
            <w:tcW w:w="1868" w:type="dxa"/>
          </w:tcPr>
          <w:p w14:paraId="5DFCE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97F795C" w14:textId="77777777">
        <w:tc>
          <w:tcPr>
            <w:tcW w:w="1868" w:type="dxa"/>
          </w:tcPr>
          <w:p w14:paraId="6169C2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М32</w:t>
            </w:r>
          </w:p>
        </w:tc>
        <w:tc>
          <w:tcPr>
            <w:tcW w:w="1868" w:type="dxa"/>
          </w:tcPr>
          <w:p w14:paraId="31561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4DC39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3036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015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6F5E23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C91C409" w14:textId="77777777">
        <w:tc>
          <w:tcPr>
            <w:tcW w:w="1868" w:type="dxa"/>
          </w:tcPr>
          <w:p w14:paraId="7A5F7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М34</w:t>
            </w:r>
          </w:p>
        </w:tc>
        <w:tc>
          <w:tcPr>
            <w:tcW w:w="1868" w:type="dxa"/>
          </w:tcPr>
          <w:p w14:paraId="3B9E4A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4175</w:t>
            </w:r>
          </w:p>
        </w:tc>
        <w:tc>
          <w:tcPr>
            <w:tcW w:w="1868" w:type="dxa"/>
          </w:tcPr>
          <w:p w14:paraId="42AA2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D976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2AAB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9690</w:t>
            </w:r>
          </w:p>
        </w:tc>
        <w:tc>
          <w:tcPr>
            <w:tcW w:w="1868" w:type="dxa"/>
          </w:tcPr>
          <w:p w14:paraId="7970EF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AD6E78C" w14:textId="77777777">
        <w:tc>
          <w:tcPr>
            <w:tcW w:w="1868" w:type="dxa"/>
          </w:tcPr>
          <w:p w14:paraId="7F1A76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М36</w:t>
            </w:r>
          </w:p>
        </w:tc>
        <w:tc>
          <w:tcPr>
            <w:tcW w:w="1868" w:type="dxa"/>
          </w:tcPr>
          <w:p w14:paraId="353CD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79B26F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6C5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F9D1A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390</w:t>
            </w:r>
          </w:p>
        </w:tc>
        <w:tc>
          <w:tcPr>
            <w:tcW w:w="1868" w:type="dxa"/>
          </w:tcPr>
          <w:p w14:paraId="58FE3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1429479F" w14:textId="77777777">
        <w:tc>
          <w:tcPr>
            <w:tcW w:w="1868" w:type="dxa"/>
          </w:tcPr>
          <w:p w14:paraId="117DB6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 водяного охлаждения</w:t>
            </w:r>
          </w:p>
        </w:tc>
        <w:tc>
          <w:tcPr>
            <w:tcW w:w="1868" w:type="dxa"/>
          </w:tcPr>
          <w:p w14:paraId="1ECE77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7175</w:t>
            </w:r>
          </w:p>
        </w:tc>
        <w:tc>
          <w:tcPr>
            <w:tcW w:w="1868" w:type="dxa"/>
          </w:tcPr>
          <w:p w14:paraId="71CF5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A4449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8B75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13680</w:t>
            </w:r>
          </w:p>
        </w:tc>
        <w:tc>
          <w:tcPr>
            <w:tcW w:w="1868" w:type="dxa"/>
          </w:tcPr>
          <w:p w14:paraId="5D189C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DCBFA00" w14:textId="77777777">
        <w:tc>
          <w:tcPr>
            <w:tcW w:w="1868" w:type="dxa"/>
            <w:tcBorders>
              <w:bottom w:val="single" w:sz="12" w:space="0" w:color="auto"/>
            </w:tcBorders>
          </w:tcPr>
          <w:p w14:paraId="0EAD5E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1868" w:type="dxa"/>
            <w:tcBorders>
              <w:bottom w:val="single" w:sz="12" w:space="0" w:color="auto"/>
            </w:tcBorders>
          </w:tcPr>
          <w:p w14:paraId="2C18C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14975</w:t>
            </w:r>
          </w:p>
        </w:tc>
        <w:tc>
          <w:tcPr>
            <w:tcW w:w="1868" w:type="dxa"/>
            <w:tcBorders>
              <w:bottom w:val="single" w:sz="12" w:space="0" w:color="auto"/>
            </w:tcBorders>
          </w:tcPr>
          <w:p w14:paraId="4E133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2DED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8F77C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26400</w:t>
            </w:r>
          </w:p>
        </w:tc>
        <w:tc>
          <w:tcPr>
            <w:tcW w:w="1868" w:type="dxa"/>
            <w:tcBorders>
              <w:bottom w:val="single" w:sz="12" w:space="0" w:color="auto"/>
            </w:tcBorders>
          </w:tcPr>
          <w:p w14:paraId="59618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65428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2-й: истребители строятся под М32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2132BA1C" w14:textId="77777777">
        <w:tc>
          <w:tcPr>
            <w:tcW w:w="1868" w:type="dxa"/>
            <w:tcBorders>
              <w:top w:val="single" w:sz="12" w:space="0" w:color="auto"/>
            </w:tcBorders>
          </w:tcPr>
          <w:p w14:paraId="453DD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15517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880FC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7723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 15, РЦ</w:t>
            </w:r>
          </w:p>
        </w:tc>
        <w:tc>
          <w:tcPr>
            <w:tcW w:w="1868" w:type="dxa"/>
            <w:tcBorders>
              <w:top w:val="single" w:sz="12" w:space="0" w:color="auto"/>
            </w:tcBorders>
          </w:tcPr>
          <w:p w14:paraId="340758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2370</w:t>
            </w:r>
          </w:p>
        </w:tc>
        <w:tc>
          <w:tcPr>
            <w:tcW w:w="1868" w:type="dxa"/>
            <w:tcBorders>
              <w:top w:val="single" w:sz="12" w:space="0" w:color="auto"/>
            </w:tcBorders>
          </w:tcPr>
          <w:p w14:paraId="18E84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234F1CE" w14:textId="77777777">
        <w:tc>
          <w:tcPr>
            <w:tcW w:w="1868" w:type="dxa"/>
          </w:tcPr>
          <w:p w14:paraId="321A9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1523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9B86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1F5D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М38</w:t>
            </w:r>
          </w:p>
        </w:tc>
        <w:tc>
          <w:tcPr>
            <w:tcW w:w="1868" w:type="dxa"/>
          </w:tcPr>
          <w:p w14:paraId="4FC294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Pr>
          <w:p w14:paraId="76B894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3521F17" w14:textId="77777777">
        <w:tc>
          <w:tcPr>
            <w:tcW w:w="1868" w:type="dxa"/>
          </w:tcPr>
          <w:p w14:paraId="642D3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50270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993BE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3F6CC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М32</w:t>
            </w:r>
          </w:p>
        </w:tc>
        <w:tc>
          <w:tcPr>
            <w:tcW w:w="1868" w:type="dxa"/>
          </w:tcPr>
          <w:p w14:paraId="5E1EC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5700</w:t>
            </w:r>
          </w:p>
        </w:tc>
        <w:tc>
          <w:tcPr>
            <w:tcW w:w="1868" w:type="dxa"/>
          </w:tcPr>
          <w:p w14:paraId="5E5CA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FFFCA08" w14:textId="77777777">
        <w:tc>
          <w:tcPr>
            <w:tcW w:w="1868" w:type="dxa"/>
            <w:tcBorders>
              <w:bottom w:val="single" w:sz="12" w:space="0" w:color="auto"/>
            </w:tcBorders>
          </w:tcPr>
          <w:p w14:paraId="207F7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прочие моторы по варианту 1</w:t>
            </w:r>
          </w:p>
        </w:tc>
        <w:tc>
          <w:tcPr>
            <w:tcW w:w="1868" w:type="dxa"/>
            <w:tcBorders>
              <w:bottom w:val="single" w:sz="12" w:space="0" w:color="auto"/>
            </w:tcBorders>
          </w:tcPr>
          <w:p w14:paraId="554CA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90AA1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27EABB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31AA0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F941B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22F66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3-й: вместо ТБ3 принят к постройке ТБ5 на заводу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510D7602" w14:textId="77777777">
        <w:tc>
          <w:tcPr>
            <w:tcW w:w="1868" w:type="dxa"/>
            <w:tcBorders>
              <w:top w:val="single" w:sz="12" w:space="0" w:color="auto"/>
            </w:tcBorders>
          </w:tcPr>
          <w:p w14:paraId="63230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М17</w:t>
            </w:r>
          </w:p>
        </w:tc>
        <w:tc>
          <w:tcPr>
            <w:tcW w:w="1868" w:type="dxa"/>
            <w:tcBorders>
              <w:top w:val="single" w:sz="12" w:space="0" w:color="auto"/>
            </w:tcBorders>
          </w:tcPr>
          <w:p w14:paraId="519C10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1800</w:t>
            </w:r>
          </w:p>
        </w:tc>
        <w:tc>
          <w:tcPr>
            <w:tcW w:w="1868" w:type="dxa"/>
            <w:tcBorders>
              <w:top w:val="single" w:sz="12" w:space="0" w:color="auto"/>
            </w:tcBorders>
          </w:tcPr>
          <w:p w14:paraId="6B370F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top w:val="single" w:sz="12" w:space="0" w:color="auto"/>
            </w:tcBorders>
          </w:tcPr>
          <w:p w14:paraId="3A5CD2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М17</w:t>
            </w:r>
          </w:p>
        </w:tc>
        <w:tc>
          <w:tcPr>
            <w:tcW w:w="1868" w:type="dxa"/>
            <w:tcBorders>
              <w:top w:val="single" w:sz="12" w:space="0" w:color="auto"/>
            </w:tcBorders>
          </w:tcPr>
          <w:p w14:paraId="160B9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w:t>
            </w:r>
          </w:p>
        </w:tc>
        <w:tc>
          <w:tcPr>
            <w:tcW w:w="1868" w:type="dxa"/>
            <w:tcBorders>
              <w:top w:val="single" w:sz="12" w:space="0" w:color="auto"/>
            </w:tcBorders>
          </w:tcPr>
          <w:p w14:paraId="57040A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F1103E6" w14:textId="77777777">
        <w:tc>
          <w:tcPr>
            <w:tcW w:w="1868" w:type="dxa"/>
            <w:tcBorders>
              <w:bottom w:val="single" w:sz="12" w:space="0" w:color="auto"/>
            </w:tcBorders>
          </w:tcPr>
          <w:p w14:paraId="0C751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 15</w:t>
            </w:r>
          </w:p>
        </w:tc>
        <w:tc>
          <w:tcPr>
            <w:tcW w:w="1868" w:type="dxa"/>
            <w:tcBorders>
              <w:bottom w:val="single" w:sz="12" w:space="0" w:color="auto"/>
            </w:tcBorders>
          </w:tcPr>
          <w:p w14:paraId="025C47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4800</w:t>
            </w:r>
          </w:p>
        </w:tc>
        <w:tc>
          <w:tcPr>
            <w:tcW w:w="1868" w:type="dxa"/>
            <w:tcBorders>
              <w:bottom w:val="single" w:sz="12" w:space="0" w:color="auto"/>
            </w:tcBorders>
          </w:tcPr>
          <w:p w14:paraId="293F5D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EE1D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 15</w:t>
            </w:r>
          </w:p>
        </w:tc>
        <w:tc>
          <w:tcPr>
            <w:tcW w:w="1868" w:type="dxa"/>
            <w:tcBorders>
              <w:bottom w:val="single" w:sz="12" w:space="0" w:color="auto"/>
            </w:tcBorders>
          </w:tcPr>
          <w:p w14:paraId="38127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8670</w:t>
            </w:r>
          </w:p>
        </w:tc>
        <w:tc>
          <w:tcPr>
            <w:tcW w:w="1868" w:type="dxa"/>
            <w:tcBorders>
              <w:bottom w:val="single" w:sz="12" w:space="0" w:color="auto"/>
            </w:tcBorders>
          </w:tcPr>
          <w:p w14:paraId="378B8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4ACF8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17AA3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подготовлена таблица:</w:t>
      </w:r>
    </w:p>
    <w:p w14:paraId="787E90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Снабжение моторами серийной постройки самолетов</w:t>
      </w:r>
    </w:p>
    <w:p w14:paraId="2A879F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не вошедшие в таблицу, сохраняют количества постройки/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7122AB" w14:paraId="11852B9A" w14:textId="77777777">
        <w:tc>
          <w:tcPr>
            <w:tcW w:w="1868" w:type="dxa"/>
            <w:tcBorders>
              <w:top w:val="single" w:sz="12" w:space="0" w:color="auto"/>
            </w:tcBorders>
          </w:tcPr>
          <w:p w14:paraId="3005E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04" w:type="dxa"/>
            <w:gridSpan w:val="3"/>
            <w:tcBorders>
              <w:top w:val="single" w:sz="12" w:space="0" w:color="auto"/>
            </w:tcBorders>
          </w:tcPr>
          <w:p w14:paraId="6DA5D3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1933</w:t>
            </w:r>
          </w:p>
        </w:tc>
        <w:tc>
          <w:tcPr>
            <w:tcW w:w="3736" w:type="dxa"/>
            <w:gridSpan w:val="2"/>
            <w:tcBorders>
              <w:top w:val="single" w:sz="12" w:space="0" w:color="auto"/>
            </w:tcBorders>
          </w:tcPr>
          <w:p w14:paraId="0DB5C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1934</w:t>
            </w:r>
          </w:p>
        </w:tc>
      </w:tr>
      <w:tr w:rsidR="001002C3" w:rsidRPr="007122AB" w14:paraId="11C67EDB" w14:textId="77777777">
        <w:tc>
          <w:tcPr>
            <w:tcW w:w="1868" w:type="dxa"/>
          </w:tcPr>
          <w:p w14:paraId="3CE66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Вариант 2-й</w:t>
            </w:r>
          </w:p>
        </w:tc>
        <w:tc>
          <w:tcPr>
            <w:tcW w:w="1868" w:type="dxa"/>
          </w:tcPr>
          <w:p w14:paraId="6ED164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Марка</w:t>
            </w:r>
          </w:p>
        </w:tc>
        <w:tc>
          <w:tcPr>
            <w:tcW w:w="1868" w:type="dxa"/>
          </w:tcPr>
          <w:p w14:paraId="721A8D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Подача</w:t>
            </w:r>
          </w:p>
        </w:tc>
        <w:tc>
          <w:tcPr>
            <w:tcW w:w="1868" w:type="dxa"/>
          </w:tcPr>
          <w:p w14:paraId="7FA9BB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Потребность</w:t>
            </w:r>
          </w:p>
        </w:tc>
        <w:tc>
          <w:tcPr>
            <w:tcW w:w="1868" w:type="dxa"/>
          </w:tcPr>
          <w:p w14:paraId="2D89E8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Марка</w:t>
            </w:r>
          </w:p>
        </w:tc>
        <w:tc>
          <w:tcPr>
            <w:tcW w:w="1868" w:type="dxa"/>
          </w:tcPr>
          <w:p w14:paraId="1E99E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Подача</w:t>
            </w:r>
          </w:p>
        </w:tc>
      </w:tr>
      <w:tr w:rsidR="001002C3" w:rsidRPr="007122AB" w14:paraId="77173EF7" w14:textId="77777777">
        <w:tc>
          <w:tcPr>
            <w:tcW w:w="1868" w:type="dxa"/>
          </w:tcPr>
          <w:p w14:paraId="06FD5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Истребители строятся под мотор водяного охлаждения вместо воздушного: под М32 вместо РЦ, М22, М15, М38</w:t>
            </w:r>
          </w:p>
        </w:tc>
        <w:tc>
          <w:tcPr>
            <w:tcW w:w="1868" w:type="dxa"/>
          </w:tcPr>
          <w:p w14:paraId="3F931A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95F9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87F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95D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w:t>
            </w:r>
          </w:p>
        </w:tc>
        <w:tc>
          <w:tcPr>
            <w:tcW w:w="1868" w:type="dxa"/>
          </w:tcPr>
          <w:p w14:paraId="22CEE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B516BBE" w14:textId="77777777">
        <w:tc>
          <w:tcPr>
            <w:tcW w:w="1868" w:type="dxa"/>
          </w:tcPr>
          <w:p w14:paraId="51D784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40D10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4181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01DD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469A7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М15</w:t>
            </w:r>
          </w:p>
        </w:tc>
        <w:tc>
          <w:tcPr>
            <w:tcW w:w="1868" w:type="dxa"/>
          </w:tcPr>
          <w:p w14:paraId="6455D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34FB95B" w14:textId="77777777">
        <w:tc>
          <w:tcPr>
            <w:tcW w:w="1868" w:type="dxa"/>
          </w:tcPr>
          <w:p w14:paraId="0D9F2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D2695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434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C156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31C1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РЦ</w:t>
            </w:r>
          </w:p>
        </w:tc>
        <w:tc>
          <w:tcPr>
            <w:tcW w:w="1868" w:type="dxa"/>
          </w:tcPr>
          <w:p w14:paraId="27ABC2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1138B41E" w14:textId="77777777">
        <w:tc>
          <w:tcPr>
            <w:tcW w:w="1868" w:type="dxa"/>
          </w:tcPr>
          <w:p w14:paraId="24868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86A5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33311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93831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BD08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М38</w:t>
            </w:r>
          </w:p>
        </w:tc>
        <w:tc>
          <w:tcPr>
            <w:tcW w:w="1868" w:type="dxa"/>
          </w:tcPr>
          <w:p w14:paraId="6908C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28F050F" w14:textId="77777777">
        <w:tc>
          <w:tcPr>
            <w:tcW w:w="1868" w:type="dxa"/>
          </w:tcPr>
          <w:p w14:paraId="47629C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D29C7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CF7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0A46D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EFAE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М22</w:t>
            </w:r>
          </w:p>
        </w:tc>
        <w:tc>
          <w:tcPr>
            <w:tcW w:w="1868" w:type="dxa"/>
          </w:tcPr>
          <w:p w14:paraId="0A106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9A8E3C9" w14:textId="77777777">
        <w:tc>
          <w:tcPr>
            <w:tcW w:w="1868" w:type="dxa"/>
          </w:tcPr>
          <w:p w14:paraId="33C1E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излишек воздушного охлаждения</w:t>
            </w:r>
          </w:p>
        </w:tc>
        <w:tc>
          <w:tcPr>
            <w:tcW w:w="1868" w:type="dxa"/>
          </w:tcPr>
          <w:p w14:paraId="30DE6F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05D3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44357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68A1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9DACA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C70DB73" w14:textId="77777777">
        <w:tc>
          <w:tcPr>
            <w:tcW w:w="1868" w:type="dxa"/>
          </w:tcPr>
          <w:p w14:paraId="4F375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недостаток водяного охлаждения</w:t>
            </w:r>
          </w:p>
        </w:tc>
        <w:tc>
          <w:tcPr>
            <w:tcW w:w="1868" w:type="dxa"/>
          </w:tcPr>
          <w:p w14:paraId="18A38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54FC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FAE5F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FA0D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8F6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7A4EC4E" w14:textId="77777777">
        <w:tc>
          <w:tcPr>
            <w:tcW w:w="1868" w:type="dxa"/>
          </w:tcPr>
          <w:p w14:paraId="109FB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Вариант 3-й</w:t>
            </w:r>
          </w:p>
        </w:tc>
        <w:tc>
          <w:tcPr>
            <w:tcW w:w="1868" w:type="dxa"/>
          </w:tcPr>
          <w:p w14:paraId="5ACDE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04C2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A40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EA9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4D96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2D4A793" w14:textId="77777777">
        <w:tc>
          <w:tcPr>
            <w:tcW w:w="1868" w:type="dxa"/>
          </w:tcPr>
          <w:p w14:paraId="5D0A21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 строится под мотор воздушного охлаждения (строится ТБ5-4М22, М15, РЦ, М38 вместо ТБ3-4М17, М34)</w:t>
            </w:r>
          </w:p>
        </w:tc>
        <w:tc>
          <w:tcPr>
            <w:tcW w:w="1868" w:type="dxa"/>
          </w:tcPr>
          <w:p w14:paraId="68BDF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868" w:type="dxa"/>
          </w:tcPr>
          <w:p w14:paraId="5B9AD8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E6A7F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BAD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868" w:type="dxa"/>
          </w:tcPr>
          <w:p w14:paraId="38DAF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6E0F2C1A" w14:textId="77777777">
        <w:tc>
          <w:tcPr>
            <w:tcW w:w="1868" w:type="dxa"/>
          </w:tcPr>
          <w:p w14:paraId="732D89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4FF9C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868" w:type="dxa"/>
          </w:tcPr>
          <w:p w14:paraId="4D362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2500</w:t>
            </w:r>
          </w:p>
        </w:tc>
        <w:tc>
          <w:tcPr>
            <w:tcW w:w="1868" w:type="dxa"/>
          </w:tcPr>
          <w:p w14:paraId="30B6B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4800</w:t>
            </w:r>
          </w:p>
        </w:tc>
        <w:tc>
          <w:tcPr>
            <w:tcW w:w="1868" w:type="dxa"/>
          </w:tcPr>
          <w:p w14:paraId="6BB80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868" w:type="dxa"/>
          </w:tcPr>
          <w:p w14:paraId="0E2CF7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83A9D2B" w14:textId="77777777">
        <w:tc>
          <w:tcPr>
            <w:tcW w:w="1868" w:type="dxa"/>
          </w:tcPr>
          <w:p w14:paraId="571BD4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1C6A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w:t>
            </w:r>
          </w:p>
        </w:tc>
        <w:tc>
          <w:tcPr>
            <w:tcW w:w="1868" w:type="dxa"/>
          </w:tcPr>
          <w:p w14:paraId="1CB41E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5003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40BC4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w:t>
            </w:r>
          </w:p>
        </w:tc>
        <w:tc>
          <w:tcPr>
            <w:tcW w:w="1868" w:type="dxa"/>
          </w:tcPr>
          <w:p w14:paraId="42754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43F78264" w14:textId="77777777">
        <w:tc>
          <w:tcPr>
            <w:tcW w:w="1868" w:type="dxa"/>
          </w:tcPr>
          <w:p w14:paraId="6BAC4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796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1868" w:type="dxa"/>
          </w:tcPr>
          <w:p w14:paraId="2DF7E1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6000</w:t>
            </w:r>
          </w:p>
        </w:tc>
        <w:tc>
          <w:tcPr>
            <w:tcW w:w="1868" w:type="dxa"/>
          </w:tcPr>
          <w:p w14:paraId="19A540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1800</w:t>
            </w:r>
          </w:p>
        </w:tc>
        <w:tc>
          <w:tcPr>
            <w:tcW w:w="1868" w:type="dxa"/>
          </w:tcPr>
          <w:p w14:paraId="73B52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1868" w:type="dxa"/>
          </w:tcPr>
          <w:p w14:paraId="07758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7CEA313C" w14:textId="77777777">
        <w:tc>
          <w:tcPr>
            <w:tcW w:w="1868" w:type="dxa"/>
          </w:tcPr>
          <w:p w14:paraId="09520D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излишек воздушного охлаждения</w:t>
            </w:r>
          </w:p>
        </w:tc>
        <w:tc>
          <w:tcPr>
            <w:tcW w:w="1868" w:type="dxa"/>
          </w:tcPr>
          <w:p w14:paraId="2BE43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3457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03C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4200</w:t>
            </w:r>
          </w:p>
        </w:tc>
        <w:tc>
          <w:tcPr>
            <w:tcW w:w="1868" w:type="dxa"/>
          </w:tcPr>
          <w:p w14:paraId="08F90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42C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0DB14F0" w14:textId="77777777">
        <w:tc>
          <w:tcPr>
            <w:tcW w:w="1868" w:type="dxa"/>
          </w:tcPr>
          <w:p w14:paraId="3F6FCB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недостаток водяного охлаждения</w:t>
            </w:r>
          </w:p>
        </w:tc>
        <w:tc>
          <w:tcPr>
            <w:tcW w:w="1868" w:type="dxa"/>
          </w:tcPr>
          <w:p w14:paraId="3EE56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F3A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A304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w:t>
            </w:r>
          </w:p>
        </w:tc>
        <w:tc>
          <w:tcPr>
            <w:tcW w:w="1868" w:type="dxa"/>
          </w:tcPr>
          <w:p w14:paraId="00ED9C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875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2A9189B1" w14:textId="77777777">
        <w:tc>
          <w:tcPr>
            <w:tcW w:w="1868" w:type="dxa"/>
          </w:tcPr>
          <w:p w14:paraId="6FBEF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случае совмещения 2 и 3 вариантов</w:t>
            </w:r>
          </w:p>
        </w:tc>
        <w:tc>
          <w:tcPr>
            <w:tcW w:w="1868" w:type="dxa"/>
          </w:tcPr>
          <w:p w14:paraId="0B217E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EE3F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4F586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2D20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3AC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C7BE2D0" w14:textId="77777777">
        <w:tc>
          <w:tcPr>
            <w:tcW w:w="1868" w:type="dxa"/>
          </w:tcPr>
          <w:p w14:paraId="2C5C0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излишек воздушного охлаждения</w:t>
            </w:r>
          </w:p>
        </w:tc>
        <w:tc>
          <w:tcPr>
            <w:tcW w:w="1868" w:type="dxa"/>
          </w:tcPr>
          <w:p w14:paraId="61833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9C9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87D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868" w:type="dxa"/>
          </w:tcPr>
          <w:p w14:paraId="11CD13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6D8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277DDDF" w14:textId="77777777">
        <w:tc>
          <w:tcPr>
            <w:tcW w:w="1868" w:type="dxa"/>
          </w:tcPr>
          <w:p w14:paraId="57B919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Итого недостаток водяного охлаждения</w:t>
            </w:r>
          </w:p>
        </w:tc>
        <w:tc>
          <w:tcPr>
            <w:tcW w:w="1868" w:type="dxa"/>
          </w:tcPr>
          <w:p w14:paraId="731EED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953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DCD1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4200</w:t>
            </w:r>
          </w:p>
        </w:tc>
        <w:tc>
          <w:tcPr>
            <w:tcW w:w="1868" w:type="dxa"/>
          </w:tcPr>
          <w:p w14:paraId="116009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66E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004170C8" w14:textId="77777777">
        <w:tc>
          <w:tcPr>
            <w:tcW w:w="1868" w:type="dxa"/>
          </w:tcPr>
          <w:p w14:paraId="4B8763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недостаток воздушного охлаждения</w:t>
            </w:r>
          </w:p>
        </w:tc>
        <w:tc>
          <w:tcPr>
            <w:tcW w:w="1868" w:type="dxa"/>
          </w:tcPr>
          <w:p w14:paraId="23F33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DB3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DB3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868" w:type="dxa"/>
          </w:tcPr>
          <w:p w14:paraId="68A34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059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3D0D8DFA" w14:textId="77777777">
        <w:tc>
          <w:tcPr>
            <w:tcW w:w="1868" w:type="dxa"/>
          </w:tcPr>
          <w:p w14:paraId="69904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излишек водяного охлаждения</w:t>
            </w:r>
          </w:p>
        </w:tc>
        <w:tc>
          <w:tcPr>
            <w:tcW w:w="1868" w:type="dxa"/>
          </w:tcPr>
          <w:p w14:paraId="5FCFB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CD2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8DB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w:t>
            </w:r>
          </w:p>
        </w:tc>
        <w:tc>
          <w:tcPr>
            <w:tcW w:w="1868" w:type="dxa"/>
          </w:tcPr>
          <w:p w14:paraId="6E5FF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1F7D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7122AB" w14:paraId="535700E1" w14:textId="77777777">
        <w:tc>
          <w:tcPr>
            <w:tcW w:w="1868" w:type="dxa"/>
            <w:tcBorders>
              <w:bottom w:val="single" w:sz="12" w:space="0" w:color="auto"/>
            </w:tcBorders>
          </w:tcPr>
          <w:p w14:paraId="4C0C8E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tc>
        <w:tc>
          <w:tcPr>
            <w:tcW w:w="5604" w:type="dxa"/>
            <w:gridSpan w:val="3"/>
            <w:tcBorders>
              <w:bottom w:val="single" w:sz="12" w:space="0" w:color="auto"/>
            </w:tcBorders>
          </w:tcPr>
          <w:p w14:paraId="18C1E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Бомбардировщики необходимо строить под водяное охлаждение (по варианту 1)</w:t>
            </w:r>
          </w:p>
        </w:tc>
        <w:tc>
          <w:tcPr>
            <w:tcW w:w="3736" w:type="dxa"/>
            <w:gridSpan w:val="2"/>
            <w:tcBorders>
              <w:bottom w:val="single" w:sz="12" w:space="0" w:color="auto"/>
            </w:tcBorders>
          </w:tcPr>
          <w:p w14:paraId="60FFE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Часть истребителей необходимо строить под воздушное и часть под водяное охлаждение</w:t>
            </w:r>
          </w:p>
        </w:tc>
      </w:tr>
    </w:tbl>
    <w:p w14:paraId="4BC98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w:t>
      </w:r>
    </w:p>
    <w:p w14:paraId="0D7E3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подготовлена таблица:</w:t>
      </w:r>
    </w:p>
    <w:p w14:paraId="3EE2D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Снабжение моторами серийной постройки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708"/>
        <w:gridCol w:w="939"/>
        <w:gridCol w:w="939"/>
        <w:gridCol w:w="939"/>
        <w:gridCol w:w="939"/>
        <w:gridCol w:w="939"/>
        <w:gridCol w:w="939"/>
        <w:gridCol w:w="939"/>
        <w:gridCol w:w="939"/>
        <w:gridCol w:w="939"/>
        <w:gridCol w:w="939"/>
      </w:tblGrid>
      <w:tr w:rsidR="001002C3" w:rsidRPr="007122AB" w14:paraId="6751B749" w14:textId="77777777">
        <w:tc>
          <w:tcPr>
            <w:tcW w:w="534" w:type="dxa"/>
            <w:tcBorders>
              <w:top w:val="single" w:sz="12" w:space="0" w:color="auto"/>
            </w:tcBorders>
          </w:tcPr>
          <w:p w14:paraId="1EDDD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567" w:type="dxa"/>
            <w:tcBorders>
              <w:top w:val="single" w:sz="12" w:space="0" w:color="auto"/>
            </w:tcBorders>
          </w:tcPr>
          <w:p w14:paraId="400E62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заводов</w:t>
            </w:r>
          </w:p>
        </w:tc>
        <w:tc>
          <w:tcPr>
            <w:tcW w:w="708" w:type="dxa"/>
            <w:tcBorders>
              <w:top w:val="single" w:sz="12" w:space="0" w:color="auto"/>
            </w:tcBorders>
          </w:tcPr>
          <w:p w14:paraId="02F00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Род мотора</w:t>
            </w:r>
          </w:p>
        </w:tc>
        <w:tc>
          <w:tcPr>
            <w:tcW w:w="3756" w:type="dxa"/>
            <w:gridSpan w:val="4"/>
            <w:tcBorders>
              <w:top w:val="single" w:sz="12" w:space="0" w:color="auto"/>
            </w:tcBorders>
          </w:tcPr>
          <w:p w14:paraId="4CA16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3756" w:type="dxa"/>
            <w:gridSpan w:val="4"/>
            <w:tcBorders>
              <w:top w:val="single" w:sz="12" w:space="0" w:color="auto"/>
            </w:tcBorders>
          </w:tcPr>
          <w:p w14:paraId="67CE08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1878" w:type="dxa"/>
            <w:gridSpan w:val="2"/>
            <w:tcBorders>
              <w:top w:val="single" w:sz="12" w:space="0" w:color="auto"/>
            </w:tcBorders>
          </w:tcPr>
          <w:p w14:paraId="6618FA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r>
      <w:tr w:rsidR="001002C3" w:rsidRPr="007122AB" w14:paraId="1DDB8A1B" w14:textId="77777777">
        <w:tc>
          <w:tcPr>
            <w:tcW w:w="534" w:type="dxa"/>
          </w:tcPr>
          <w:p w14:paraId="44F15C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A6B64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011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30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w:t>
            </w:r>
          </w:p>
        </w:tc>
        <w:tc>
          <w:tcPr>
            <w:tcW w:w="939" w:type="dxa"/>
          </w:tcPr>
          <w:p w14:paraId="5B5C4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Подача</w:t>
            </w:r>
          </w:p>
        </w:tc>
        <w:tc>
          <w:tcPr>
            <w:tcW w:w="939" w:type="dxa"/>
          </w:tcPr>
          <w:p w14:paraId="7E9345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Потребн</w:t>
            </w:r>
            <w:proofErr w:type="spellEnd"/>
            <w:r w:rsidRPr="007122AB">
              <w:rPr>
                <w:rFonts w:ascii="Times New Roman" w:hAnsi="Times New Roman"/>
                <w:color w:val="000000" w:themeColor="text1"/>
                <w:sz w:val="16"/>
                <w:szCs w:val="16"/>
              </w:rPr>
              <w:t>.</w:t>
            </w:r>
          </w:p>
        </w:tc>
        <w:tc>
          <w:tcPr>
            <w:tcW w:w="939" w:type="dxa"/>
          </w:tcPr>
          <w:p w14:paraId="72DB1D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c>
          <w:tcPr>
            <w:tcW w:w="939" w:type="dxa"/>
          </w:tcPr>
          <w:p w14:paraId="5B10F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w:t>
            </w:r>
          </w:p>
        </w:tc>
        <w:tc>
          <w:tcPr>
            <w:tcW w:w="939" w:type="dxa"/>
          </w:tcPr>
          <w:p w14:paraId="34C351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Подача</w:t>
            </w:r>
          </w:p>
        </w:tc>
        <w:tc>
          <w:tcPr>
            <w:tcW w:w="939" w:type="dxa"/>
          </w:tcPr>
          <w:p w14:paraId="441AC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Потребн</w:t>
            </w:r>
            <w:proofErr w:type="spellEnd"/>
            <w:r w:rsidRPr="007122AB">
              <w:rPr>
                <w:rFonts w:ascii="Times New Roman" w:hAnsi="Times New Roman"/>
                <w:color w:val="000000" w:themeColor="text1"/>
                <w:sz w:val="16"/>
                <w:szCs w:val="16"/>
              </w:rPr>
              <w:t>.</w:t>
            </w:r>
          </w:p>
        </w:tc>
        <w:tc>
          <w:tcPr>
            <w:tcW w:w="939" w:type="dxa"/>
          </w:tcPr>
          <w:p w14:paraId="53A1E0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w:t>
            </w:r>
          </w:p>
        </w:tc>
        <w:tc>
          <w:tcPr>
            <w:tcW w:w="939" w:type="dxa"/>
          </w:tcPr>
          <w:p w14:paraId="04222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w:t>
            </w:r>
          </w:p>
        </w:tc>
        <w:tc>
          <w:tcPr>
            <w:tcW w:w="939" w:type="dxa"/>
          </w:tcPr>
          <w:p w14:paraId="2DE0A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Подача</w:t>
            </w:r>
          </w:p>
        </w:tc>
      </w:tr>
      <w:tr w:rsidR="001002C3" w:rsidRPr="007122AB" w14:paraId="5A6D878D" w14:textId="77777777">
        <w:tc>
          <w:tcPr>
            <w:tcW w:w="534" w:type="dxa"/>
          </w:tcPr>
          <w:p w14:paraId="0A4DE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567" w:type="dxa"/>
          </w:tcPr>
          <w:p w14:paraId="6AC828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w:t>
            </w:r>
          </w:p>
        </w:tc>
        <w:tc>
          <w:tcPr>
            <w:tcW w:w="708" w:type="dxa"/>
          </w:tcPr>
          <w:p w14:paraId="1BB9F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47EE6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939" w:type="dxa"/>
          </w:tcPr>
          <w:p w14:paraId="210639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w:t>
            </w:r>
          </w:p>
        </w:tc>
        <w:tc>
          <w:tcPr>
            <w:tcW w:w="939" w:type="dxa"/>
          </w:tcPr>
          <w:p w14:paraId="06E610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04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E04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939" w:type="dxa"/>
          </w:tcPr>
          <w:p w14:paraId="017A1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939" w:type="dxa"/>
          </w:tcPr>
          <w:p w14:paraId="43B49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939" w:type="dxa"/>
          </w:tcPr>
          <w:p w14:paraId="02888C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Запас в </w:t>
            </w:r>
            <w:proofErr w:type="spellStart"/>
            <w:r w:rsidRPr="007122AB">
              <w:rPr>
                <w:rFonts w:ascii="Times New Roman" w:hAnsi="Times New Roman"/>
                <w:color w:val="000000" w:themeColor="text1"/>
                <w:sz w:val="16"/>
                <w:szCs w:val="16"/>
              </w:rPr>
              <w:t>потр</w:t>
            </w:r>
            <w:proofErr w:type="spellEnd"/>
            <w:r w:rsidRPr="007122AB">
              <w:rPr>
                <w:rFonts w:ascii="Times New Roman" w:hAnsi="Times New Roman"/>
                <w:color w:val="000000" w:themeColor="text1"/>
                <w:sz w:val="16"/>
                <w:szCs w:val="16"/>
              </w:rPr>
              <w:t>. 100%</w:t>
            </w:r>
          </w:p>
        </w:tc>
        <w:tc>
          <w:tcPr>
            <w:tcW w:w="939" w:type="dxa"/>
          </w:tcPr>
          <w:p w14:paraId="4B8E39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39" w:type="dxa"/>
          </w:tcPr>
          <w:p w14:paraId="2A45F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D73F53B" w14:textId="77777777">
        <w:tc>
          <w:tcPr>
            <w:tcW w:w="534" w:type="dxa"/>
          </w:tcPr>
          <w:p w14:paraId="36F61C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C01E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4D48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D367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939" w:type="dxa"/>
          </w:tcPr>
          <w:p w14:paraId="2B404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1720</w:t>
            </w:r>
          </w:p>
        </w:tc>
        <w:tc>
          <w:tcPr>
            <w:tcW w:w="939" w:type="dxa"/>
          </w:tcPr>
          <w:p w14:paraId="5C4908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CF8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AAA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939" w:type="dxa"/>
          </w:tcPr>
          <w:p w14:paraId="261FD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939" w:type="dxa"/>
          </w:tcPr>
          <w:p w14:paraId="2F6A4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2900</w:t>
            </w:r>
          </w:p>
        </w:tc>
        <w:tc>
          <w:tcPr>
            <w:tcW w:w="939" w:type="dxa"/>
          </w:tcPr>
          <w:p w14:paraId="1B406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хватает</w:t>
            </w:r>
          </w:p>
        </w:tc>
        <w:tc>
          <w:tcPr>
            <w:tcW w:w="939" w:type="dxa"/>
          </w:tcPr>
          <w:p w14:paraId="118255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939" w:type="dxa"/>
          </w:tcPr>
          <w:p w14:paraId="501C01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5E748452" w14:textId="77777777">
        <w:tc>
          <w:tcPr>
            <w:tcW w:w="534" w:type="dxa"/>
          </w:tcPr>
          <w:p w14:paraId="4493B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55E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53E3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08F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BD6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68FF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0B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107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D29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7C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EBB1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F65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М33</w:t>
            </w:r>
          </w:p>
        </w:tc>
        <w:tc>
          <w:tcPr>
            <w:tcW w:w="939" w:type="dxa"/>
          </w:tcPr>
          <w:p w14:paraId="5BA4DB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1EC4DDCF" w14:textId="77777777">
        <w:tc>
          <w:tcPr>
            <w:tcW w:w="534" w:type="dxa"/>
          </w:tcPr>
          <w:p w14:paraId="37052E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DAC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D5F3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F3A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6780A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2360</w:t>
            </w:r>
          </w:p>
        </w:tc>
        <w:tc>
          <w:tcPr>
            <w:tcW w:w="939" w:type="dxa"/>
          </w:tcPr>
          <w:p w14:paraId="4D7D4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0C96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F22C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F0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939" w:type="dxa"/>
          </w:tcPr>
          <w:p w14:paraId="27E3AC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538B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2565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15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r>
      <w:tr w:rsidR="001002C3" w:rsidRPr="007122AB" w14:paraId="303FEA57" w14:textId="77777777">
        <w:tc>
          <w:tcPr>
            <w:tcW w:w="534" w:type="dxa"/>
          </w:tcPr>
          <w:p w14:paraId="017E0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567" w:type="dxa"/>
          </w:tcPr>
          <w:p w14:paraId="5B74A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708" w:type="dxa"/>
          </w:tcPr>
          <w:p w14:paraId="25E877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623400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F8E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0BF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F304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94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939" w:type="dxa"/>
          </w:tcPr>
          <w:p w14:paraId="0E2603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939" w:type="dxa"/>
          </w:tcPr>
          <w:p w14:paraId="636D9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939" w:type="dxa"/>
          </w:tcPr>
          <w:p w14:paraId="7DEFD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0D31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939" w:type="dxa"/>
          </w:tcPr>
          <w:p w14:paraId="73236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2250</w:t>
            </w:r>
          </w:p>
        </w:tc>
      </w:tr>
      <w:tr w:rsidR="001002C3" w:rsidRPr="007122AB" w14:paraId="20621637" w14:textId="77777777">
        <w:tc>
          <w:tcPr>
            <w:tcW w:w="534" w:type="dxa"/>
          </w:tcPr>
          <w:p w14:paraId="1F0DE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D490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CB1A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C93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F2D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32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FE69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2F8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939" w:type="dxa"/>
          </w:tcPr>
          <w:p w14:paraId="402E5F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939" w:type="dxa"/>
          </w:tcPr>
          <w:p w14:paraId="4E21BA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c>
          <w:tcPr>
            <w:tcW w:w="939" w:type="dxa"/>
          </w:tcPr>
          <w:p w14:paraId="7EEA25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C47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939" w:type="dxa"/>
          </w:tcPr>
          <w:p w14:paraId="0D160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2250</w:t>
            </w:r>
          </w:p>
        </w:tc>
      </w:tr>
      <w:tr w:rsidR="001002C3" w:rsidRPr="007122AB" w14:paraId="46331315" w14:textId="77777777">
        <w:tc>
          <w:tcPr>
            <w:tcW w:w="534" w:type="dxa"/>
          </w:tcPr>
          <w:p w14:paraId="6DFB0D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365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212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F19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375E4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EDA2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7E2F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6C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048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939" w:type="dxa"/>
          </w:tcPr>
          <w:p w14:paraId="3C265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7C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72B5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711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r>
      <w:tr w:rsidR="001002C3" w:rsidRPr="007122AB" w14:paraId="319D1EB6" w14:textId="77777777">
        <w:tc>
          <w:tcPr>
            <w:tcW w:w="534" w:type="dxa"/>
          </w:tcPr>
          <w:p w14:paraId="306FE1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567" w:type="dxa"/>
          </w:tcPr>
          <w:p w14:paraId="4F2024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708" w:type="dxa"/>
          </w:tcPr>
          <w:p w14:paraId="1F1E2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62748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ED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CE2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D7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F3D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312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A733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8263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34CE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E53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2200</w:t>
            </w:r>
          </w:p>
        </w:tc>
      </w:tr>
      <w:tr w:rsidR="001002C3" w:rsidRPr="007122AB" w14:paraId="4C045B8F" w14:textId="77777777">
        <w:tc>
          <w:tcPr>
            <w:tcW w:w="534" w:type="dxa"/>
          </w:tcPr>
          <w:p w14:paraId="73AFF3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02C9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F06B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5F20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6A6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3EB8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3B9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5BBD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92A6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05E3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FE4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E6D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A63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478716CE" w14:textId="77777777">
        <w:tc>
          <w:tcPr>
            <w:tcW w:w="534" w:type="dxa"/>
          </w:tcPr>
          <w:p w14:paraId="5E396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781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EC8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6F3E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0ABA2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BEA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6B8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2E6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031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F23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06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D28A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0547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r>
      <w:tr w:rsidR="001002C3" w:rsidRPr="007122AB" w14:paraId="11BBE8E5" w14:textId="77777777">
        <w:tc>
          <w:tcPr>
            <w:tcW w:w="534" w:type="dxa"/>
          </w:tcPr>
          <w:p w14:paraId="2482B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D1FA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86E8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81A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Итого моторов воздушного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4E17AB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1A0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1BB1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73A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F816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39" w:type="dxa"/>
          </w:tcPr>
          <w:p w14:paraId="187B1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78000</w:t>
            </w:r>
          </w:p>
        </w:tc>
        <w:tc>
          <w:tcPr>
            <w:tcW w:w="939" w:type="dxa"/>
          </w:tcPr>
          <w:p w14:paraId="45A70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1515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DF9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12700</w:t>
            </w:r>
          </w:p>
        </w:tc>
      </w:tr>
      <w:tr w:rsidR="001002C3" w:rsidRPr="007122AB" w14:paraId="277B47D6" w14:textId="77777777">
        <w:tc>
          <w:tcPr>
            <w:tcW w:w="534" w:type="dxa"/>
          </w:tcPr>
          <w:p w14:paraId="70E25C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567" w:type="dxa"/>
          </w:tcPr>
          <w:p w14:paraId="370B3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tc>
        <w:tc>
          <w:tcPr>
            <w:tcW w:w="708" w:type="dxa"/>
          </w:tcPr>
          <w:p w14:paraId="438E8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Водяного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4D3A5E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939" w:type="dxa"/>
          </w:tcPr>
          <w:p w14:paraId="5341B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939" w:type="dxa"/>
          </w:tcPr>
          <w:p w14:paraId="1BE071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716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C3C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939" w:type="dxa"/>
          </w:tcPr>
          <w:p w14:paraId="17285C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39" w:type="dxa"/>
          </w:tcPr>
          <w:p w14:paraId="02793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939" w:type="dxa"/>
          </w:tcPr>
          <w:p w14:paraId="7FAF7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Резерв и запчасти</w:t>
            </w:r>
          </w:p>
        </w:tc>
        <w:tc>
          <w:tcPr>
            <w:tcW w:w="939" w:type="dxa"/>
          </w:tcPr>
          <w:p w14:paraId="09336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939" w:type="dxa"/>
          </w:tcPr>
          <w:p w14:paraId="136868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5CE9B6AB" w14:textId="77777777">
        <w:tc>
          <w:tcPr>
            <w:tcW w:w="534" w:type="dxa"/>
          </w:tcPr>
          <w:p w14:paraId="3F7FAA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C05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0FBA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D1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A7B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0997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5D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760E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7B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AA2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4FB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332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D74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4021E741" w14:textId="77777777">
        <w:tc>
          <w:tcPr>
            <w:tcW w:w="534" w:type="dxa"/>
          </w:tcPr>
          <w:p w14:paraId="0D11B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B3F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9ECB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6A8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939" w:type="dxa"/>
          </w:tcPr>
          <w:p w14:paraId="42D5D8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939" w:type="dxa"/>
          </w:tcPr>
          <w:p w14:paraId="20D1C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C73F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E9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E50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39" w:type="dxa"/>
          </w:tcPr>
          <w:p w14:paraId="78C142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3C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8163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DDF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r>
      <w:tr w:rsidR="001002C3" w:rsidRPr="007122AB" w14:paraId="77836FE5" w14:textId="77777777">
        <w:tc>
          <w:tcPr>
            <w:tcW w:w="534" w:type="dxa"/>
          </w:tcPr>
          <w:p w14:paraId="6FB18C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567" w:type="dxa"/>
          </w:tcPr>
          <w:p w14:paraId="096A7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w:t>
            </w:r>
          </w:p>
        </w:tc>
        <w:tc>
          <w:tcPr>
            <w:tcW w:w="708" w:type="dxa"/>
          </w:tcPr>
          <w:p w14:paraId="553175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Водяного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656C9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939" w:type="dxa"/>
          </w:tcPr>
          <w:p w14:paraId="115478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082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FD3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6C20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287E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7DB2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2C58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90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3D16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BD87EC3" w14:textId="77777777">
        <w:tc>
          <w:tcPr>
            <w:tcW w:w="534" w:type="dxa"/>
          </w:tcPr>
          <w:p w14:paraId="0868A4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17A68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FD9B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2A9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939" w:type="dxa"/>
          </w:tcPr>
          <w:p w14:paraId="55A7F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0295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2AE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08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94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55E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C5F0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236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3B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3D1E098" w14:textId="77777777">
        <w:tc>
          <w:tcPr>
            <w:tcW w:w="534" w:type="dxa"/>
          </w:tcPr>
          <w:p w14:paraId="0B83BA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79E9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91EAF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51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w:t>
            </w:r>
          </w:p>
        </w:tc>
        <w:tc>
          <w:tcPr>
            <w:tcW w:w="939" w:type="dxa"/>
          </w:tcPr>
          <w:p w14:paraId="7495B3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06CB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BA53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263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AC9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99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AF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A8A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DE5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0A3733" w14:textId="77777777">
        <w:tc>
          <w:tcPr>
            <w:tcW w:w="534" w:type="dxa"/>
          </w:tcPr>
          <w:p w14:paraId="15A1EF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748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2307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5F4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939" w:type="dxa"/>
          </w:tcPr>
          <w:p w14:paraId="07A11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5C8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B81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3E7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939" w:type="dxa"/>
          </w:tcPr>
          <w:p w14:paraId="0FF021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939" w:type="dxa"/>
          </w:tcPr>
          <w:p w14:paraId="0A2EFC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4175</w:t>
            </w:r>
          </w:p>
        </w:tc>
        <w:tc>
          <w:tcPr>
            <w:tcW w:w="939" w:type="dxa"/>
          </w:tcPr>
          <w:p w14:paraId="479D86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недостаток замещается М17</w:t>
            </w:r>
          </w:p>
        </w:tc>
        <w:tc>
          <w:tcPr>
            <w:tcW w:w="939" w:type="dxa"/>
          </w:tcPr>
          <w:p w14:paraId="01416F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624B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9000</w:t>
            </w:r>
          </w:p>
        </w:tc>
      </w:tr>
      <w:tr w:rsidR="001002C3" w:rsidRPr="007122AB" w14:paraId="20EFEAEF" w14:textId="77777777">
        <w:tc>
          <w:tcPr>
            <w:tcW w:w="534" w:type="dxa"/>
          </w:tcPr>
          <w:p w14:paraId="56F482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567" w:type="dxa"/>
          </w:tcPr>
          <w:p w14:paraId="7D39CD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708" w:type="dxa"/>
          </w:tcPr>
          <w:p w14:paraId="2D85E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Водяного </w:t>
            </w:r>
            <w:proofErr w:type="spellStart"/>
            <w:r w:rsidRPr="007122AB">
              <w:rPr>
                <w:rFonts w:ascii="Times New Roman" w:hAnsi="Times New Roman"/>
                <w:color w:val="000000" w:themeColor="text1"/>
                <w:sz w:val="16"/>
                <w:szCs w:val="16"/>
              </w:rPr>
              <w:t>охл</w:t>
            </w:r>
            <w:proofErr w:type="spellEnd"/>
            <w:r w:rsidRPr="007122AB">
              <w:rPr>
                <w:rFonts w:ascii="Times New Roman" w:hAnsi="Times New Roman"/>
                <w:color w:val="000000" w:themeColor="text1"/>
                <w:sz w:val="16"/>
                <w:szCs w:val="16"/>
              </w:rPr>
              <w:t>.</w:t>
            </w:r>
          </w:p>
        </w:tc>
        <w:tc>
          <w:tcPr>
            <w:tcW w:w="939" w:type="dxa"/>
          </w:tcPr>
          <w:p w14:paraId="0404A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E80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EB1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2BA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6C0A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D263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6E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551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1DCC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285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2EDB2E" w14:textId="77777777">
        <w:tc>
          <w:tcPr>
            <w:tcW w:w="534" w:type="dxa"/>
          </w:tcPr>
          <w:p w14:paraId="2F148E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AD3B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CD58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C17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Итого моторов </w:t>
            </w:r>
            <w:r w:rsidRPr="007122AB">
              <w:rPr>
                <w:rFonts w:ascii="Times New Roman" w:hAnsi="Times New Roman"/>
                <w:color w:val="000000" w:themeColor="text1"/>
                <w:sz w:val="16"/>
                <w:szCs w:val="16"/>
              </w:rPr>
              <w:lastRenderedPageBreak/>
              <w:t xml:space="preserve">водяного </w:t>
            </w: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w:t>
            </w:r>
          </w:p>
        </w:tc>
        <w:tc>
          <w:tcPr>
            <w:tcW w:w="939" w:type="dxa"/>
          </w:tcPr>
          <w:p w14:paraId="535B79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4395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DE5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BFBA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AA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939" w:type="dxa"/>
          </w:tcPr>
          <w:p w14:paraId="38765E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7175</w:t>
            </w:r>
          </w:p>
        </w:tc>
        <w:tc>
          <w:tcPr>
            <w:tcW w:w="939" w:type="dxa"/>
          </w:tcPr>
          <w:p w14:paraId="301306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3C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FF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r>
      <w:tr w:rsidR="001002C3" w:rsidRPr="007122AB" w14:paraId="7FAF9AD0" w14:textId="77777777">
        <w:tc>
          <w:tcPr>
            <w:tcW w:w="534" w:type="dxa"/>
            <w:tcBorders>
              <w:bottom w:val="single" w:sz="12" w:space="0" w:color="auto"/>
            </w:tcBorders>
          </w:tcPr>
          <w:p w14:paraId="729B6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FF732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95B1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15A74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всех моторов</w:t>
            </w:r>
          </w:p>
        </w:tc>
        <w:tc>
          <w:tcPr>
            <w:tcW w:w="939" w:type="dxa"/>
            <w:tcBorders>
              <w:bottom w:val="single" w:sz="12" w:space="0" w:color="auto"/>
            </w:tcBorders>
          </w:tcPr>
          <w:p w14:paraId="4DFA9B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22357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9458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BC6F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1B6D7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16000</w:t>
            </w:r>
          </w:p>
        </w:tc>
        <w:tc>
          <w:tcPr>
            <w:tcW w:w="939" w:type="dxa"/>
            <w:tcBorders>
              <w:bottom w:val="single" w:sz="12" w:space="0" w:color="auto"/>
            </w:tcBorders>
          </w:tcPr>
          <w:p w14:paraId="5276E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14975</w:t>
            </w:r>
          </w:p>
        </w:tc>
        <w:tc>
          <w:tcPr>
            <w:tcW w:w="939" w:type="dxa"/>
            <w:tcBorders>
              <w:bottom w:val="single" w:sz="12" w:space="0" w:color="auto"/>
            </w:tcBorders>
          </w:tcPr>
          <w:p w14:paraId="3581B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4C15E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F807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27700</w:t>
            </w:r>
          </w:p>
        </w:tc>
      </w:tr>
    </w:tbl>
    <w:p w14:paraId="0ED324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1/ в графе потребность принят запас по учебным из числа выпускаемых</w:t>
      </w:r>
    </w:p>
    <w:p w14:paraId="553DA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Таблица </w:t>
      </w:r>
      <w:proofErr w:type="spellStart"/>
      <w:r w:rsidRPr="007122AB">
        <w:rPr>
          <w:rFonts w:ascii="Times New Roman" w:hAnsi="Times New Roman"/>
          <w:color w:val="000000" w:themeColor="text1"/>
          <w:sz w:val="16"/>
          <w:szCs w:val="16"/>
        </w:rPr>
        <w:t>расчитана</w:t>
      </w:r>
      <w:proofErr w:type="spellEnd"/>
      <w:r w:rsidRPr="007122AB">
        <w:rPr>
          <w:rFonts w:ascii="Times New Roman" w:hAnsi="Times New Roman"/>
          <w:color w:val="000000" w:themeColor="text1"/>
          <w:sz w:val="16"/>
          <w:szCs w:val="16"/>
        </w:rPr>
        <w:t xml:space="preserve"> на 1-й вариант строительства</w:t>
      </w:r>
    </w:p>
    <w:p w14:paraId="3A3735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Программа получения моторов, необходимых ОКБ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19"/>
        <w:gridCol w:w="466"/>
        <w:gridCol w:w="466"/>
        <w:gridCol w:w="466"/>
        <w:gridCol w:w="466"/>
        <w:gridCol w:w="466"/>
        <w:gridCol w:w="466"/>
        <w:gridCol w:w="466"/>
        <w:gridCol w:w="466"/>
        <w:gridCol w:w="466"/>
        <w:gridCol w:w="466"/>
        <w:gridCol w:w="466"/>
        <w:gridCol w:w="466"/>
        <w:gridCol w:w="466"/>
        <w:gridCol w:w="466"/>
        <w:gridCol w:w="466"/>
        <w:gridCol w:w="466"/>
        <w:gridCol w:w="466"/>
        <w:gridCol w:w="466"/>
        <w:gridCol w:w="466"/>
      </w:tblGrid>
      <w:tr w:rsidR="001002C3" w:rsidRPr="007122AB" w14:paraId="1E66B342" w14:textId="77777777">
        <w:tc>
          <w:tcPr>
            <w:tcW w:w="534" w:type="dxa"/>
            <w:tcBorders>
              <w:top w:val="single" w:sz="12" w:space="0" w:color="auto"/>
            </w:tcBorders>
          </w:tcPr>
          <w:p w14:paraId="72FE6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1819" w:type="dxa"/>
            <w:tcBorders>
              <w:top w:val="single" w:sz="12" w:space="0" w:color="auto"/>
            </w:tcBorders>
          </w:tcPr>
          <w:p w14:paraId="25C68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мотора</w:t>
            </w:r>
          </w:p>
        </w:tc>
        <w:tc>
          <w:tcPr>
            <w:tcW w:w="2796" w:type="dxa"/>
            <w:gridSpan w:val="6"/>
            <w:tcBorders>
              <w:top w:val="single" w:sz="12" w:space="0" w:color="auto"/>
            </w:tcBorders>
          </w:tcPr>
          <w:p w14:paraId="4CDC6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6058" w:type="dxa"/>
            <w:gridSpan w:val="13"/>
            <w:tcBorders>
              <w:top w:val="single" w:sz="12" w:space="0" w:color="auto"/>
            </w:tcBorders>
          </w:tcPr>
          <w:p w14:paraId="3DA282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r>
      <w:tr w:rsidR="001002C3" w:rsidRPr="007122AB" w14:paraId="0F88F683" w14:textId="77777777">
        <w:tc>
          <w:tcPr>
            <w:tcW w:w="534" w:type="dxa"/>
          </w:tcPr>
          <w:p w14:paraId="64F7B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Pr>
          <w:p w14:paraId="0E15D0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F8B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61E944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466" w:type="dxa"/>
          </w:tcPr>
          <w:p w14:paraId="4CE80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466" w:type="dxa"/>
          </w:tcPr>
          <w:p w14:paraId="7C728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466" w:type="dxa"/>
          </w:tcPr>
          <w:p w14:paraId="51FC1C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4FDB69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66" w:type="dxa"/>
          </w:tcPr>
          <w:p w14:paraId="2F779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18F07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5B71A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32D58B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466" w:type="dxa"/>
          </w:tcPr>
          <w:p w14:paraId="456809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66" w:type="dxa"/>
          </w:tcPr>
          <w:p w14:paraId="434A13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0BE7EE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466" w:type="dxa"/>
          </w:tcPr>
          <w:p w14:paraId="5BC21F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412DD5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466" w:type="dxa"/>
          </w:tcPr>
          <w:p w14:paraId="1669DC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466" w:type="dxa"/>
          </w:tcPr>
          <w:p w14:paraId="764E57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466" w:type="dxa"/>
          </w:tcPr>
          <w:p w14:paraId="367DD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1587A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r>
      <w:tr w:rsidR="001002C3" w:rsidRPr="007122AB" w14:paraId="6E5F554C" w14:textId="77777777">
        <w:tc>
          <w:tcPr>
            <w:tcW w:w="534" w:type="dxa"/>
          </w:tcPr>
          <w:p w14:paraId="1465B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819" w:type="dxa"/>
          </w:tcPr>
          <w:p w14:paraId="1E7C0E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 без ред.</w:t>
            </w:r>
          </w:p>
        </w:tc>
        <w:tc>
          <w:tcPr>
            <w:tcW w:w="466" w:type="dxa"/>
          </w:tcPr>
          <w:p w14:paraId="18530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BF4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1BD65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79A5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1ADBE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0272F1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0EB053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89A4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841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9ADE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3E78C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3EF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1C1C1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28D3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466" w:type="dxa"/>
          </w:tcPr>
          <w:p w14:paraId="224ADB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E29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C394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6F7B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30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1002C3" w:rsidRPr="007122AB" w14:paraId="21732460" w14:textId="77777777">
        <w:tc>
          <w:tcPr>
            <w:tcW w:w="534" w:type="dxa"/>
          </w:tcPr>
          <w:p w14:paraId="5A583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819" w:type="dxa"/>
          </w:tcPr>
          <w:p w14:paraId="049471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 без ред.</w:t>
            </w:r>
          </w:p>
        </w:tc>
        <w:tc>
          <w:tcPr>
            <w:tcW w:w="466" w:type="dxa"/>
          </w:tcPr>
          <w:p w14:paraId="4DC28C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9D25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BEAF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601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5B6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930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24F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656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7182C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5224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613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43B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135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D8C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2DD2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30214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6B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4A0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512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2A81C1CE" w14:textId="77777777">
        <w:tc>
          <w:tcPr>
            <w:tcW w:w="534" w:type="dxa"/>
          </w:tcPr>
          <w:p w14:paraId="59474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819" w:type="dxa"/>
          </w:tcPr>
          <w:p w14:paraId="1F665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 с ред.</w:t>
            </w:r>
          </w:p>
        </w:tc>
        <w:tc>
          <w:tcPr>
            <w:tcW w:w="466" w:type="dxa"/>
          </w:tcPr>
          <w:p w14:paraId="33BF2C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26B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3E73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3DD86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8D92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41D9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32D9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C40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10886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C6E6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EEB8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66" w:type="dxa"/>
          </w:tcPr>
          <w:p w14:paraId="0E334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BE61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AE4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327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A5E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035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00B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9176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r>
      <w:tr w:rsidR="001002C3" w:rsidRPr="007122AB" w14:paraId="23CD406D" w14:textId="77777777">
        <w:tc>
          <w:tcPr>
            <w:tcW w:w="534" w:type="dxa"/>
          </w:tcPr>
          <w:p w14:paraId="4EF4C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1819" w:type="dxa"/>
          </w:tcPr>
          <w:p w14:paraId="20714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М34 без ред. и </w:t>
            </w:r>
            <w:proofErr w:type="spellStart"/>
            <w:r w:rsidRPr="007122AB">
              <w:rPr>
                <w:rFonts w:ascii="Times New Roman" w:hAnsi="Times New Roman"/>
                <w:color w:val="000000" w:themeColor="text1"/>
                <w:sz w:val="16"/>
                <w:szCs w:val="16"/>
              </w:rPr>
              <w:t>нагн</w:t>
            </w:r>
            <w:proofErr w:type="spellEnd"/>
            <w:r w:rsidRPr="007122AB">
              <w:rPr>
                <w:rFonts w:ascii="Times New Roman" w:hAnsi="Times New Roman"/>
                <w:color w:val="000000" w:themeColor="text1"/>
                <w:sz w:val="16"/>
                <w:szCs w:val="16"/>
              </w:rPr>
              <w:t>.</w:t>
            </w:r>
          </w:p>
        </w:tc>
        <w:tc>
          <w:tcPr>
            <w:tcW w:w="466" w:type="dxa"/>
          </w:tcPr>
          <w:p w14:paraId="35CF4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CC2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504B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634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1664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1A7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5499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8789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7CA98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0C32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EA60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7DD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2B7C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431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1A2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D632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5C5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64E7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0B6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2528C9AF" w14:textId="77777777">
        <w:tc>
          <w:tcPr>
            <w:tcW w:w="534" w:type="dxa"/>
          </w:tcPr>
          <w:p w14:paraId="142D62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1819" w:type="dxa"/>
          </w:tcPr>
          <w:p w14:paraId="2C2A83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 с нагнет.</w:t>
            </w:r>
          </w:p>
        </w:tc>
        <w:tc>
          <w:tcPr>
            <w:tcW w:w="466" w:type="dxa"/>
          </w:tcPr>
          <w:p w14:paraId="760796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2A0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31A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AD6B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CC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85B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2CD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E15D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CC4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6E6E6F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C2BC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D57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8631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163D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51E5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DCED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924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439E39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0A1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r>
      <w:tr w:rsidR="001002C3" w:rsidRPr="007122AB" w14:paraId="1A435659" w14:textId="77777777">
        <w:tc>
          <w:tcPr>
            <w:tcW w:w="534" w:type="dxa"/>
          </w:tcPr>
          <w:p w14:paraId="28CE12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1819" w:type="dxa"/>
          </w:tcPr>
          <w:p w14:paraId="04B0F6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 с ред. и нагнет.</w:t>
            </w:r>
          </w:p>
        </w:tc>
        <w:tc>
          <w:tcPr>
            <w:tcW w:w="466" w:type="dxa"/>
          </w:tcPr>
          <w:p w14:paraId="13DA8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FCB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E8F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C68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B27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B98D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876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7EF4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7A7C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FEA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B8B2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943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5BBF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DD85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682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E84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DD6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466" w:type="dxa"/>
          </w:tcPr>
          <w:p w14:paraId="0A7F9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121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r>
      <w:tr w:rsidR="001002C3" w:rsidRPr="007122AB" w14:paraId="3D5C18C4" w14:textId="77777777">
        <w:tc>
          <w:tcPr>
            <w:tcW w:w="534" w:type="dxa"/>
          </w:tcPr>
          <w:p w14:paraId="245458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1819" w:type="dxa"/>
          </w:tcPr>
          <w:p w14:paraId="52CEE5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 без ред.</w:t>
            </w:r>
          </w:p>
        </w:tc>
        <w:tc>
          <w:tcPr>
            <w:tcW w:w="466" w:type="dxa"/>
          </w:tcPr>
          <w:p w14:paraId="663F2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6A9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4124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1835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DB1D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0B3A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CBF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CCD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9A1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FB7F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252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1FA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BAA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E6AA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16E8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EA00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1E66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4B68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EEB3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8934C63" w14:textId="77777777">
        <w:tc>
          <w:tcPr>
            <w:tcW w:w="534" w:type="dxa"/>
          </w:tcPr>
          <w:p w14:paraId="112EEE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819" w:type="dxa"/>
          </w:tcPr>
          <w:p w14:paraId="507200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 с ред.</w:t>
            </w:r>
          </w:p>
        </w:tc>
        <w:tc>
          <w:tcPr>
            <w:tcW w:w="466" w:type="dxa"/>
          </w:tcPr>
          <w:p w14:paraId="40924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4A4D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85E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D4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7178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2B6F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6A0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CCFC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FD4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8F64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80D8A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7EEB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2478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2C1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1B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7D5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A1A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20B8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58D9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047DF92" w14:textId="77777777">
        <w:tc>
          <w:tcPr>
            <w:tcW w:w="534" w:type="dxa"/>
          </w:tcPr>
          <w:p w14:paraId="65E627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1819" w:type="dxa"/>
          </w:tcPr>
          <w:p w14:paraId="49794E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 с ред.</w:t>
            </w:r>
          </w:p>
        </w:tc>
        <w:tc>
          <w:tcPr>
            <w:tcW w:w="466" w:type="dxa"/>
          </w:tcPr>
          <w:p w14:paraId="4DCEE3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EA7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5CB0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E99D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4AC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7B3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B91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295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E3D7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C95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DF7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E2B9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F0FF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8262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197E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1E9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B25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DFA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B81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CCA3BF4" w14:textId="77777777">
        <w:tc>
          <w:tcPr>
            <w:tcW w:w="534" w:type="dxa"/>
          </w:tcPr>
          <w:p w14:paraId="1058C4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819" w:type="dxa"/>
          </w:tcPr>
          <w:p w14:paraId="3881A6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 без ред.</w:t>
            </w:r>
          </w:p>
        </w:tc>
        <w:tc>
          <w:tcPr>
            <w:tcW w:w="466" w:type="dxa"/>
          </w:tcPr>
          <w:p w14:paraId="60E0AD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66F5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E690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43DD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84B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714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BB4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F60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2D9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3FF2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448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F85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7E88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36F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164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4DD198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C125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D5BF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2886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110F1067" w14:textId="77777777">
        <w:tc>
          <w:tcPr>
            <w:tcW w:w="534" w:type="dxa"/>
          </w:tcPr>
          <w:p w14:paraId="356AC2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1819" w:type="dxa"/>
          </w:tcPr>
          <w:p w14:paraId="5BB67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М32 с ред. и </w:t>
            </w:r>
            <w:proofErr w:type="spellStart"/>
            <w:r w:rsidRPr="007122AB">
              <w:rPr>
                <w:rFonts w:ascii="Times New Roman" w:hAnsi="Times New Roman"/>
                <w:color w:val="000000" w:themeColor="text1"/>
                <w:sz w:val="16"/>
                <w:szCs w:val="16"/>
              </w:rPr>
              <w:t>нагн</w:t>
            </w:r>
            <w:proofErr w:type="spellEnd"/>
            <w:r w:rsidRPr="007122AB">
              <w:rPr>
                <w:rFonts w:ascii="Times New Roman" w:hAnsi="Times New Roman"/>
                <w:color w:val="000000" w:themeColor="text1"/>
                <w:sz w:val="16"/>
                <w:szCs w:val="16"/>
              </w:rPr>
              <w:t>.</w:t>
            </w:r>
          </w:p>
        </w:tc>
        <w:tc>
          <w:tcPr>
            <w:tcW w:w="466" w:type="dxa"/>
          </w:tcPr>
          <w:p w14:paraId="02E38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54B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AEE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5BB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981FE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054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F9D2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1C6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3017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096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05E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B04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2996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7FE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D0A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39A97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A467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113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5B5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1EB20AF0" w14:textId="77777777">
        <w:tc>
          <w:tcPr>
            <w:tcW w:w="534" w:type="dxa"/>
          </w:tcPr>
          <w:p w14:paraId="09F4F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819" w:type="dxa"/>
          </w:tcPr>
          <w:p w14:paraId="1605A2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 без ред.</w:t>
            </w:r>
          </w:p>
        </w:tc>
        <w:tc>
          <w:tcPr>
            <w:tcW w:w="466" w:type="dxa"/>
          </w:tcPr>
          <w:p w14:paraId="7129A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5E2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4E92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5190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2D128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466" w:type="dxa"/>
          </w:tcPr>
          <w:p w14:paraId="3ADE26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466" w:type="dxa"/>
          </w:tcPr>
          <w:p w14:paraId="77651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466" w:type="dxa"/>
          </w:tcPr>
          <w:p w14:paraId="7C317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105CE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E02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90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9A1E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910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CBF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0F0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0EA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466" w:type="dxa"/>
          </w:tcPr>
          <w:p w14:paraId="78F77C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5DB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71A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r>
      <w:tr w:rsidR="001002C3" w:rsidRPr="007122AB" w14:paraId="002AFA8A" w14:textId="77777777">
        <w:tc>
          <w:tcPr>
            <w:tcW w:w="534" w:type="dxa"/>
          </w:tcPr>
          <w:p w14:paraId="2F5A4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1819" w:type="dxa"/>
          </w:tcPr>
          <w:p w14:paraId="362AA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 с ред.</w:t>
            </w:r>
          </w:p>
        </w:tc>
        <w:tc>
          <w:tcPr>
            <w:tcW w:w="466" w:type="dxa"/>
          </w:tcPr>
          <w:p w14:paraId="1D83C5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29A9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603F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683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C42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A2D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7108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61E8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2E04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707E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9F4A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72FAE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5D0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6D00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C3A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F79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DA44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710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0D6D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2BBD422B" w14:textId="77777777">
        <w:tc>
          <w:tcPr>
            <w:tcW w:w="534" w:type="dxa"/>
          </w:tcPr>
          <w:p w14:paraId="0BDA2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1819" w:type="dxa"/>
          </w:tcPr>
          <w:p w14:paraId="4AE6F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466" w:type="dxa"/>
          </w:tcPr>
          <w:p w14:paraId="18C2C6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57B3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56861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E27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AEC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3598A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466" w:type="dxa"/>
          </w:tcPr>
          <w:p w14:paraId="3CF1F5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6637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657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807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1378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FAFC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BAC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0360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88F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BC3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B50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83B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4EB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4104A3BD" w14:textId="77777777">
        <w:tc>
          <w:tcPr>
            <w:tcW w:w="534" w:type="dxa"/>
          </w:tcPr>
          <w:p w14:paraId="16A03F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1819" w:type="dxa"/>
          </w:tcPr>
          <w:p w14:paraId="1CACBC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466" w:type="dxa"/>
          </w:tcPr>
          <w:p w14:paraId="29B5B3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AF6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FB5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4697B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A6E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9273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0C59B7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F0EC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C078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CC8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7B6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95C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466" w:type="dxa"/>
          </w:tcPr>
          <w:p w14:paraId="71CD0A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2491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E6F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E80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A18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A33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657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6AD357FB" w14:textId="77777777">
        <w:tc>
          <w:tcPr>
            <w:tcW w:w="534" w:type="dxa"/>
          </w:tcPr>
          <w:p w14:paraId="6A0A6D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1819" w:type="dxa"/>
          </w:tcPr>
          <w:p w14:paraId="2D1925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466" w:type="dxa"/>
          </w:tcPr>
          <w:p w14:paraId="38CD99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8F2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08C5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931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160B54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B35A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3AA7A0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466" w:type="dxa"/>
          </w:tcPr>
          <w:p w14:paraId="4BD1F1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3931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1FC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E367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1826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947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5AC4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3D6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3EF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A8F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E81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802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r>
      <w:tr w:rsidR="001002C3" w:rsidRPr="007122AB" w14:paraId="75C424B6" w14:textId="77777777">
        <w:tc>
          <w:tcPr>
            <w:tcW w:w="534" w:type="dxa"/>
          </w:tcPr>
          <w:p w14:paraId="48E32D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1819" w:type="dxa"/>
          </w:tcPr>
          <w:p w14:paraId="4E44F3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w:t>
            </w:r>
          </w:p>
        </w:tc>
        <w:tc>
          <w:tcPr>
            <w:tcW w:w="466" w:type="dxa"/>
          </w:tcPr>
          <w:p w14:paraId="46317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405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862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1865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05A2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3B5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29F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F6B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B8E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AE6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3FE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713E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693F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B1E3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718F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9062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2D74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C81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CB9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4DBEDE9" w14:textId="77777777">
        <w:tc>
          <w:tcPr>
            <w:tcW w:w="534" w:type="dxa"/>
          </w:tcPr>
          <w:p w14:paraId="00C148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1819" w:type="dxa"/>
          </w:tcPr>
          <w:p w14:paraId="1206AC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РЦ Ж6</w:t>
            </w:r>
          </w:p>
        </w:tc>
        <w:tc>
          <w:tcPr>
            <w:tcW w:w="466" w:type="dxa"/>
          </w:tcPr>
          <w:p w14:paraId="250D6F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6DF4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435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33EC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0F2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9F0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5EE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242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626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6E3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465D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85DB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330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DDD0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933A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466E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2F0832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77F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FBE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2A684601" w14:textId="77777777">
        <w:tc>
          <w:tcPr>
            <w:tcW w:w="534" w:type="dxa"/>
          </w:tcPr>
          <w:p w14:paraId="2442C8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819" w:type="dxa"/>
          </w:tcPr>
          <w:p w14:paraId="310D1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466" w:type="dxa"/>
          </w:tcPr>
          <w:p w14:paraId="5DCC5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A815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5AC6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4F8C5D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DFBD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8120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54BF8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7ADC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5CC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E33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BA4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EFDB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BCE1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2C84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FEC7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090B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086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E5E8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249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474186D" w14:textId="77777777">
        <w:tc>
          <w:tcPr>
            <w:tcW w:w="534" w:type="dxa"/>
          </w:tcPr>
          <w:p w14:paraId="7D524F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1819" w:type="dxa"/>
          </w:tcPr>
          <w:p w14:paraId="59BA4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 спец.</w:t>
            </w:r>
          </w:p>
        </w:tc>
        <w:tc>
          <w:tcPr>
            <w:tcW w:w="466" w:type="dxa"/>
          </w:tcPr>
          <w:p w14:paraId="5A630C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F2A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296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71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4A7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477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999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6B4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0467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F917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F82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8AE3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41D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7A8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C561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2C4A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2BC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466" w:type="dxa"/>
          </w:tcPr>
          <w:p w14:paraId="7C7D8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34D8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3B017ACC" w14:textId="77777777">
        <w:tc>
          <w:tcPr>
            <w:tcW w:w="534" w:type="dxa"/>
            <w:tcBorders>
              <w:bottom w:val="single" w:sz="12" w:space="0" w:color="auto"/>
            </w:tcBorders>
          </w:tcPr>
          <w:p w14:paraId="54D9F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bottom w:val="single" w:sz="12" w:space="0" w:color="auto"/>
            </w:tcBorders>
          </w:tcPr>
          <w:p w14:paraId="49D7DF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466" w:type="dxa"/>
            <w:tcBorders>
              <w:bottom w:val="single" w:sz="12" w:space="0" w:color="auto"/>
            </w:tcBorders>
          </w:tcPr>
          <w:p w14:paraId="79A9BB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F99BB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7CDF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3D1C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203AF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26361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466" w:type="dxa"/>
            <w:tcBorders>
              <w:bottom w:val="single" w:sz="12" w:space="0" w:color="auto"/>
            </w:tcBorders>
          </w:tcPr>
          <w:p w14:paraId="798E3F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114E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A2A50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460F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6F878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5432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74C0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31B76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F995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9EBB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33F8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6EDB2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7F55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42D0C1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1/ В настоящую таблицу включены моторы для программных заданий</w:t>
      </w:r>
    </w:p>
    <w:p w14:paraId="5D9AF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Некоторые цифры </w:t>
      </w:r>
      <w:proofErr w:type="spellStart"/>
      <w:r w:rsidRPr="007122AB">
        <w:rPr>
          <w:rFonts w:ascii="Times New Roman" w:hAnsi="Times New Roman"/>
          <w:color w:val="000000" w:themeColor="text1"/>
          <w:sz w:val="16"/>
          <w:szCs w:val="16"/>
        </w:rPr>
        <w:t>даети</w:t>
      </w:r>
      <w:proofErr w:type="spellEnd"/>
      <w:r w:rsidRPr="007122AB">
        <w:rPr>
          <w:rFonts w:ascii="Times New Roman" w:hAnsi="Times New Roman"/>
          <w:color w:val="000000" w:themeColor="text1"/>
          <w:sz w:val="16"/>
          <w:szCs w:val="16"/>
        </w:rPr>
        <w:t xml:space="preserve"> ЦИАМ (351).</w:t>
      </w:r>
    </w:p>
    <w:p w14:paraId="1E30888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F282E0" w14:textId="77777777" w:rsidR="008153C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093B16D" w14:textId="77777777" w:rsidR="008153C6" w:rsidRPr="007122AB" w:rsidRDefault="008153C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0A8B93" w14:textId="77777777" w:rsidR="00DC65A1" w:rsidRPr="007122AB" w:rsidRDefault="00DC65A1"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29 августа </w:t>
      </w:r>
      <w:r w:rsidRPr="007122AB">
        <w:rPr>
          <w:rFonts w:ascii="Times New Roman" w:hAnsi="Times New Roman"/>
          <w:color w:val="000000" w:themeColor="text1"/>
          <w:sz w:val="16"/>
          <w:szCs w:val="16"/>
        </w:rPr>
        <w:t>в 1931 году Иван Булгаков пишет из Парижа своему старшему брату Михаилу Булгакову: "Работаю сейчас музыкантом на балалайке, в качестве оркестранта и солиста. Я… женат, у меня дочка Ира. Ей сейчас скоро 7 лет. О тебе все мои хорошо осведомлены и любят тебя, радуются твоими радостями, болеют твоею болью" (14753).</w:t>
      </w:r>
    </w:p>
    <w:p w14:paraId="38994C3C" w14:textId="5E9FA1A9" w:rsidR="00DC65A1" w:rsidRPr="007122AB" w:rsidRDefault="00DC65A1" w:rsidP="007122AB">
      <w:pPr>
        <w:spacing w:after="0" w:line="240" w:lineRule="auto"/>
        <w:jc w:val="both"/>
        <w:rPr>
          <w:rFonts w:ascii="Times New Roman" w:hAnsi="Times New Roman"/>
          <w:color w:val="000000" w:themeColor="text1"/>
          <w:sz w:val="16"/>
          <w:szCs w:val="16"/>
        </w:rPr>
      </w:pPr>
    </w:p>
    <w:p w14:paraId="2D09BC38" w14:textId="680484DD" w:rsidR="00E331AC" w:rsidRPr="007122AB" w:rsidRDefault="00E331AC"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65E0C7BE" w14:textId="77777777" w:rsidR="00E331AC" w:rsidRPr="007122AB" w:rsidRDefault="00E331AC" w:rsidP="007122AB">
      <w:pPr>
        <w:spacing w:after="0" w:line="240" w:lineRule="auto"/>
        <w:jc w:val="both"/>
        <w:rPr>
          <w:rFonts w:ascii="Times New Roman" w:hAnsi="Times New Roman"/>
          <w:i/>
          <w:iCs/>
          <w:color w:val="000000" w:themeColor="text1"/>
          <w:sz w:val="16"/>
          <w:szCs w:val="16"/>
        </w:rPr>
      </w:pPr>
    </w:p>
    <w:p w14:paraId="5C2B6470" w14:textId="77777777" w:rsidR="00E331AC" w:rsidRPr="007122AB" w:rsidRDefault="00E331A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августа 1931 немецкий дирижабль </w:t>
      </w:r>
      <w:proofErr w:type="spellStart"/>
      <w:r w:rsidRPr="007122AB">
        <w:rPr>
          <w:rFonts w:ascii="Times New Roman" w:hAnsi="Times New Roman"/>
          <w:color w:val="000000" w:themeColor="text1"/>
          <w:sz w:val="16"/>
          <w:szCs w:val="16"/>
        </w:rPr>
        <w:t>Graf</w:t>
      </w:r>
      <w:proofErr w:type="spellEnd"/>
      <w:r w:rsidRPr="007122AB">
        <w:rPr>
          <w:rFonts w:ascii="Times New Roman" w:hAnsi="Times New Roman"/>
          <w:color w:val="000000" w:themeColor="text1"/>
          <w:sz w:val="16"/>
          <w:szCs w:val="16"/>
        </w:rPr>
        <w:t xml:space="preserve"> Zeppelin открывает воздушное сообщение между Германией и Бразилией (20804).</w:t>
      </w:r>
    </w:p>
    <w:p w14:paraId="07B8FBC6" w14:textId="77777777" w:rsidR="00E331AC" w:rsidRPr="007122AB" w:rsidRDefault="00E331AC" w:rsidP="007122AB">
      <w:pPr>
        <w:spacing w:after="0" w:line="240" w:lineRule="auto"/>
        <w:jc w:val="both"/>
        <w:rPr>
          <w:rFonts w:ascii="Times New Roman" w:hAnsi="Times New Roman"/>
          <w:color w:val="000000" w:themeColor="text1"/>
          <w:sz w:val="16"/>
          <w:szCs w:val="16"/>
        </w:rPr>
      </w:pPr>
    </w:p>
    <w:p w14:paraId="6C0E7EB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32072C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DEE6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августа 1931 состоялось Заседание у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xml:space="preserve"> по вопросам Программы моторных заводов на 1932 и Программа самолетных заводов на 1932 (черновая рукопись) (351).</w:t>
      </w:r>
    </w:p>
    <w:p w14:paraId="1849F3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10B92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49C7DC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918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августа 1931 г. за № П59/12-РС </w:t>
      </w:r>
    </w:p>
    <w:p w14:paraId="03AFA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Т.т.Орджоникидзе,Акулову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бфла</w:t>
      </w:r>
      <w:proofErr w:type="spellEnd"/>
      <w:r w:rsidRPr="007122AB">
        <w:rPr>
          <w:rFonts w:ascii="Times New Roman" w:hAnsi="Times New Roman"/>
          <w:color w:val="000000" w:themeColor="text1"/>
          <w:sz w:val="16"/>
          <w:szCs w:val="16"/>
        </w:rPr>
        <w:t xml:space="preserve"> подготовлена:</w:t>
      </w:r>
    </w:p>
    <w:p w14:paraId="041EA6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Выписка из протокола № 59 заседания Политбюро ЦК от 30 августа 1931 г. </w:t>
      </w:r>
    </w:p>
    <w:p w14:paraId="26EA5F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Решение Политбюро от 30.УШ.31Г </w:t>
      </w:r>
    </w:p>
    <w:p w14:paraId="086821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просьбе </w:t>
      </w:r>
      <w:proofErr w:type="spellStart"/>
      <w:r w:rsidRPr="007122AB">
        <w:rPr>
          <w:rFonts w:ascii="Times New Roman" w:hAnsi="Times New Roman"/>
          <w:color w:val="000000" w:themeColor="text1"/>
          <w:sz w:val="16"/>
          <w:szCs w:val="16"/>
        </w:rPr>
        <w:t>т.Акулова</w:t>
      </w:r>
      <w:proofErr w:type="spellEnd"/>
      <w:r w:rsidRPr="007122AB">
        <w:rPr>
          <w:rFonts w:ascii="Times New Roman" w:hAnsi="Times New Roman"/>
          <w:color w:val="000000" w:themeColor="text1"/>
          <w:sz w:val="16"/>
          <w:szCs w:val="16"/>
        </w:rPr>
        <w:t xml:space="preserve"> отложить вопрос о конструкторских бюро при ГПУ до следующего заседания Политбюро, поручив </w:t>
      </w:r>
      <w:proofErr w:type="spellStart"/>
      <w:r w:rsidRPr="007122AB">
        <w:rPr>
          <w:rFonts w:ascii="Times New Roman" w:hAnsi="Times New Roman"/>
          <w:color w:val="000000" w:themeColor="text1"/>
          <w:sz w:val="16"/>
          <w:szCs w:val="16"/>
        </w:rPr>
        <w:t>т.т.Орджоникидзе</w:t>
      </w:r>
      <w:proofErr w:type="spellEnd"/>
      <w:r w:rsidRPr="007122AB">
        <w:rPr>
          <w:rFonts w:ascii="Times New Roman" w:hAnsi="Times New Roman"/>
          <w:color w:val="000000" w:themeColor="text1"/>
          <w:sz w:val="16"/>
          <w:szCs w:val="16"/>
        </w:rPr>
        <w:t xml:space="preserve"> и Акулову внести согласованное предложение.</w:t>
      </w:r>
    </w:p>
    <w:p w14:paraId="1DDE6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СЕКРЕТАРЬ ЦК</w:t>
      </w:r>
    </w:p>
    <w:p w14:paraId="7936C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Ф.3., Оп.58., Д.142., л. 1 (11462).</w:t>
      </w:r>
    </w:p>
    <w:p w14:paraId="46D0C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785D41"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30 августа</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№59. 3/12. О конструкторских бюро. (Орджоникидзе, Акулов). Постановили: по просьбе т. Акулова отложить вопрос о конструкторских бюро при ГПУ до следующего заседания Политбюро, поручив т. Орджоникидзе и Акулову внести согласованное предложение. (РГАСПИ. Ф. 17. Оп. 162. Д. 10. Л. 175) (12416).</w:t>
      </w:r>
    </w:p>
    <w:p w14:paraId="4B9E58E2"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14C4C0E1"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30 августа 1931 г. ПБ рассмотрело по предложению Орджоникидзе и Акулова вопрос «О конструкторских бюро». Решение было отложено, ПБ поручило Орджоникидзе и Акулову внести согласованное предложение (РГАСПИ. Ф. 17. Оп. 162. Д. 10. Л. 175). После телеграммы Сталина 20 сентября 1931 г. ПБ постановило (Оставить конструкторские бюро при ОПТУ (Там же. Оп. 3. Д. 849. Л. 3). При этом ПБ приняло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(Там же. Оп. 162. Д. П. Л. 10).</w:t>
      </w:r>
    </w:p>
    <w:p w14:paraId="5B2824FE"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14 сентября 1931 г. Сталин — Кагановичу, Ягоде</w:t>
      </w:r>
    </w:p>
    <w:p w14:paraId="2E201963"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Кагановичу, копия Ягоде. Считаю преждевременной передачу конструкторских бюро ОПТУ в ведение ВСНХ</w:t>
      </w:r>
      <w:r w:rsidRPr="007122AB">
        <w:rPr>
          <w:rFonts w:ascii="Times New Roman" w:eastAsia="Times New Roman" w:hAnsi="Times New Roman"/>
          <w:color w:val="000000" w:themeColor="text1"/>
          <w:sz w:val="16"/>
          <w:szCs w:val="16"/>
          <w:vertAlign w:val="superscript"/>
          <w:lang w:eastAsia="ru-RU"/>
        </w:rPr>
        <w:t>1</w:t>
      </w:r>
      <w:r w:rsidRPr="007122AB">
        <w:rPr>
          <w:rFonts w:ascii="Times New Roman" w:eastAsia="Times New Roman" w:hAnsi="Times New Roman"/>
          <w:color w:val="000000" w:themeColor="text1"/>
          <w:sz w:val="16"/>
          <w:szCs w:val="16"/>
          <w:lang w:eastAsia="ru-RU"/>
        </w:rPr>
        <w:t>. Сталин. №38 10.45 14/IX — 31 г.2</w:t>
      </w:r>
    </w:p>
    <w:p w14:paraId="207AC122"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Ф. </w:t>
      </w:r>
      <w:r w:rsidRPr="007122AB">
        <w:rPr>
          <w:rFonts w:ascii="Times New Roman" w:eastAsia="Times New Roman" w:hAnsi="Times New Roman"/>
          <w:iCs/>
          <w:color w:val="000000" w:themeColor="text1"/>
          <w:sz w:val="16"/>
          <w:szCs w:val="16"/>
          <w:lang w:eastAsia="ru-RU"/>
        </w:rPr>
        <w:t>558. Оп. 11. Д. 76. Л. 64. Автограф</w:t>
      </w:r>
      <w:r w:rsidRPr="007122AB">
        <w:rPr>
          <w:rFonts w:ascii="Times New Roman" w:eastAsia="Times New Roman" w:hAnsi="Times New Roman"/>
          <w:color w:val="000000" w:themeColor="text1"/>
          <w:sz w:val="16"/>
          <w:szCs w:val="16"/>
          <w:lang w:eastAsia="ru-RU"/>
        </w:rPr>
        <w:t xml:space="preserve"> (17281).</w:t>
      </w:r>
    </w:p>
    <w:p w14:paraId="20500AD9" w14:textId="77777777" w:rsidR="00EF159B" w:rsidRPr="007122AB" w:rsidRDefault="00EF159B" w:rsidP="007122AB">
      <w:pPr>
        <w:spacing w:after="0" w:line="240" w:lineRule="auto"/>
        <w:jc w:val="both"/>
        <w:rPr>
          <w:rFonts w:ascii="Times New Roman" w:hAnsi="Times New Roman"/>
          <w:color w:val="000000" w:themeColor="text1"/>
          <w:sz w:val="16"/>
          <w:szCs w:val="16"/>
          <w:u w:color="002060"/>
        </w:rPr>
      </w:pPr>
    </w:p>
    <w:p w14:paraId="39BCE3F9" w14:textId="77777777" w:rsidR="004D6C70" w:rsidRPr="007122AB" w:rsidRDefault="004D6C70"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30 августа Политбюро утвердило постановления валютной комиссии о размещении в Германии заказов на вагонные оси и колеса и об импорте качественных сталей на 5 млн руб. На заседаниях Политбюро, проходивших незадолго до отъезда Сталина в отпуск, 28 и 30 июля 1931 г., по предложению Сталина была установлена окончательная цифра импортных контингентов черного металла: завоз в 1931 г. для ВСНХ 1.300 тыс. тонн проката плюс 100 тыс. тонн уже завезенного. чугуна. Оба решения принимались по предложению руководства ВСНХ, Орджоникидзе. Получив это известие, Сталин и Молотов послали в Москву телеграмму, осуждавшую эти меры. 5 сентября в ответ на протест Сталина и Молотова Политбюро поручило Рудзутаку, Кагановичу и Орджоникидзе составить телеграмму Сталину и Молотову, а до получения ответа от них задержать выдачу заказа. Руководителям ВСНХ и Наркомата внешней торговли поручалось также «дать сегодня же точный подсчет остатков от контингентов ВСНХ». Сообщая об этом решении, Рудзутак, Каганович и Орджоникидзе ссылались на образование у ВСНХ экономии по импорту, за счет которой и предлагалось произвести закупки стали, вагонных колес и осей. Причем, как сообщал Каганович, на заседании Политбюро Орджоникидзе фактически </w:t>
      </w:r>
      <w:r w:rsidRPr="007122AB">
        <w:rPr>
          <w:rFonts w:ascii="Times New Roman" w:eastAsia="Times New Roman" w:hAnsi="Times New Roman"/>
          <w:color w:val="000000" w:themeColor="text1"/>
          <w:sz w:val="16"/>
          <w:szCs w:val="16"/>
          <w:lang w:eastAsia="ru-RU"/>
        </w:rPr>
        <w:lastRenderedPageBreak/>
        <w:t xml:space="preserve">требовал проигнорировать претензии Сталина. Реакция Сталина была резкой. Почувствовав некоторое сопротивление, он вместе с Молотовым 6 сентября послал в Москву ультиматум: «В случае вашего несогласия предлагаем специальное заседание Политбюро с вызовом нас обоих». Под таким нажимом, хотя и не сразу, а только 8 сентября, Политбюро отменило свое решение от 30 августа об импорте качественной стали, вагонных колес и осей, предложив </w:t>
      </w:r>
      <w:proofErr w:type="spellStart"/>
      <w:r w:rsidRPr="007122AB">
        <w:rPr>
          <w:rFonts w:ascii="Times New Roman" w:eastAsia="Times New Roman" w:hAnsi="Times New Roman"/>
          <w:color w:val="000000" w:themeColor="text1"/>
          <w:sz w:val="16"/>
          <w:szCs w:val="16"/>
          <w:lang w:eastAsia="ru-RU"/>
        </w:rPr>
        <w:t>Наркомвнешторгу</w:t>
      </w:r>
      <w:proofErr w:type="spellEnd"/>
      <w:r w:rsidRPr="007122AB">
        <w:rPr>
          <w:rFonts w:ascii="Times New Roman" w:eastAsia="Times New Roman" w:hAnsi="Times New Roman"/>
          <w:color w:val="000000" w:themeColor="text1"/>
          <w:sz w:val="16"/>
          <w:szCs w:val="16"/>
          <w:lang w:eastAsia="ru-RU"/>
        </w:rPr>
        <w:t xml:space="preserve"> приостановить всякие переговоры о даче этих заказов. На следующий день, 9 сентября, проявляя характерную для этого периода осторожность, Сталин послал дружески-внушающие письма Орджоникидзе и Кагановичу (17281).</w:t>
      </w:r>
    </w:p>
    <w:p w14:paraId="1E82A9B1" w14:textId="77777777" w:rsidR="004D6C70" w:rsidRPr="007122AB" w:rsidRDefault="004D6C70" w:rsidP="007122AB">
      <w:pPr>
        <w:spacing w:after="0" w:line="240" w:lineRule="auto"/>
        <w:jc w:val="both"/>
        <w:rPr>
          <w:rFonts w:ascii="Times New Roman" w:hAnsi="Times New Roman"/>
          <w:color w:val="000000" w:themeColor="text1"/>
          <w:sz w:val="16"/>
          <w:szCs w:val="16"/>
          <w:u w:color="002060"/>
        </w:rPr>
      </w:pPr>
    </w:p>
    <w:p w14:paraId="145CA3F2" w14:textId="77777777" w:rsidR="005A4219" w:rsidRPr="007122AB" w:rsidRDefault="005A421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30 августа 1931 Комиссия Куйбышева на своем первом заседании в присутствии Гамарника, Левичева, </w:t>
      </w:r>
      <w:proofErr w:type="spellStart"/>
      <w:r w:rsidRPr="007122AB">
        <w:rPr>
          <w:rFonts w:ascii="Times New Roman" w:eastAsia="Times New Roman" w:hAnsi="Times New Roman"/>
          <w:color w:val="000000" w:themeColor="text1"/>
          <w:sz w:val="16"/>
          <w:szCs w:val="16"/>
          <w:lang w:eastAsia="ru-RU"/>
        </w:rPr>
        <w:t>Ботнера</w:t>
      </w:r>
      <w:proofErr w:type="spellEnd"/>
      <w:r w:rsidRPr="007122AB">
        <w:rPr>
          <w:rFonts w:ascii="Times New Roman" w:eastAsia="Times New Roman" w:hAnsi="Times New Roman"/>
          <w:color w:val="000000" w:themeColor="text1"/>
          <w:sz w:val="16"/>
          <w:szCs w:val="16"/>
          <w:lang w:eastAsia="ru-RU"/>
        </w:rPr>
        <w:t xml:space="preserve"> и </w:t>
      </w:r>
      <w:proofErr w:type="spellStart"/>
      <w:r w:rsidRPr="007122AB">
        <w:rPr>
          <w:rFonts w:ascii="Times New Roman" w:eastAsia="Times New Roman" w:hAnsi="Times New Roman"/>
          <w:color w:val="000000" w:themeColor="text1"/>
          <w:sz w:val="16"/>
          <w:szCs w:val="16"/>
          <w:lang w:eastAsia="ru-RU"/>
        </w:rPr>
        <w:t>Лудри</w:t>
      </w:r>
      <w:proofErr w:type="spellEnd"/>
      <w:r w:rsidRPr="007122AB">
        <w:rPr>
          <w:rFonts w:ascii="Times New Roman" w:eastAsia="Times New Roman" w:hAnsi="Times New Roman"/>
          <w:color w:val="000000" w:themeColor="text1"/>
          <w:sz w:val="16"/>
          <w:szCs w:val="16"/>
          <w:lang w:eastAsia="ru-RU"/>
        </w:rPr>
        <w:t xml:space="preserve"> заслушала доклад заместителя начальника МПС ВСНХ Смилги и признала принятую программу судостроения на 1932-1935 гг. непосильной для промышленности. </w:t>
      </w:r>
    </w:p>
    <w:p w14:paraId="410A4565" w14:textId="77777777" w:rsidR="005A4219" w:rsidRPr="007122AB" w:rsidRDefault="005A421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подготовительной стадии деятельности комиссии Куйбышева в установки КО были внесены изменения, и мобилизационно-плановый сектор ВСНХ получил задание рассчитать ресурсы исходя из необходимости постройки 4 крейсеров, 46 эсминцев, 142 (подругам данным - 178) подводных лодок, 244 торпедных катеров (включая лидеры), а всего 436 единиц общим водоизмещением 248 тыс. т (с учетом вспомогательных судов - около 300 тыс. т). По оценке начальника МПС ВСНХ Мартиновича, такая определенная программа 1932-1935 гг. "при крайнем напряжении производственных сил и соответствующей помощи извне может быть выполнена в заданном УВМС объеме и сроки" (Упоминание о "помощи извне" диктовалось тем фактом, что в годы первой пятилетки "пополнение тоннажа морского транспортного флота за счет отечественного судостроения обеспечивалось менее чем на 50%" (ГРИБОВСКИЙ В. Ю. И ДР. Указ. СОЧ. С. 10)). Дополнительные инвестиции в промышленность должны были составить 473 млн руб., а ассигнования на постройку по основной программе УВМС - "ориентировочно" 1700 млн руб.; требовалась также дополнительная подготовка кадров и иностранная техническая помощь (Докладная записка Начальника МПС и Члена Президиума ВСНХ СССР Мартиновича "О результатах проработки промышленностью в первом приближении возможное выполнения заданий УВМС по судостроительной программе 1932-1935 гг.-&gt; [не позднее 30.08.1931] (неподписанный экземпляр)// РГА ВМФ. Ф. Р-1483. Он. 1.Д 128. Л. 53-71).</w:t>
      </w:r>
    </w:p>
    <w:p w14:paraId="4214FC4C" w14:textId="77777777" w:rsidR="005A4219" w:rsidRPr="007122AB" w:rsidRDefault="005A421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Соломоново решение включало в себя, во-первых, поручение "Госплану и ВСНХ с участием НКВМ еще раз представить расчеты по варианту, представленному промышленностью, и разработать ориентировочный вариант с оттяжкой срока выполнения всей программы до конца 1936 г.". Во-вторых, комиссия постановила "считать необходимой разработку НКВМ второго варианта программы морского судостроения в 1932-1935 гг., исходя из 1) исключения постройки крейсеров; 2) пересмотра соотношения между подлодками малого и большого тоннажа; 3) постройки 40 миноносцев (вместо 48); 4) максимального сокращения размера ассигнований, в особенности на 1932 г.", и т. д. (Протокол № 1 заседания комиссии т. Куйбышева по строительству морского флота от 30.08.1931 // РГВА Ф. 4. Оп. 14. Д. 417. Л. 30). Для заказов ВМС на ближайший год было выделено 210 млн. руб., т. е. около половины намечавшихся ассигнований в среднегодовом исчислении (План заказов Наркомвоенмора на 1932 г. Приложение № 3 к протоколу Комиссии т. Куйбышева от 6.09.1931 // Там же. Л. 16. По времени и по существу эта акция совпала с попыткой возглавлявшегося Куйбышевым Госплана пересмотреть ввиду растущих экономических затруднений планы развития тяжелой промышленности, утвержденные ранее политическим руководством (см.: DAVIES RW, KULEVNIUK О. </w:t>
      </w:r>
      <w:proofErr w:type="spellStart"/>
      <w:r w:rsidRPr="007122AB">
        <w:rPr>
          <w:rFonts w:ascii="Times New Roman" w:eastAsia="Times New Roman" w:hAnsi="Times New Roman"/>
          <w:color w:val="000000" w:themeColor="text1"/>
          <w:sz w:val="16"/>
          <w:szCs w:val="16"/>
          <w:lang w:eastAsia="ru-RU"/>
        </w:rPr>
        <w:t>Gosplan</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Decision-making</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in</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the</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Stalinist</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command</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economy</w:t>
      </w:r>
      <w:proofErr w:type="spellEnd"/>
      <w:r w:rsidRPr="007122AB">
        <w:rPr>
          <w:rFonts w:ascii="Times New Roman" w:eastAsia="Times New Roman" w:hAnsi="Times New Roman"/>
          <w:color w:val="000000" w:themeColor="text1"/>
          <w:sz w:val="16"/>
          <w:szCs w:val="16"/>
          <w:lang w:eastAsia="ru-RU"/>
        </w:rPr>
        <w:t xml:space="preserve">, 1932-1937 / </w:t>
      </w:r>
      <w:proofErr w:type="spellStart"/>
      <w:r w:rsidRPr="007122AB">
        <w:rPr>
          <w:rFonts w:ascii="Times New Roman" w:eastAsia="Times New Roman" w:hAnsi="Times New Roman"/>
          <w:color w:val="000000" w:themeColor="text1"/>
          <w:sz w:val="16"/>
          <w:szCs w:val="16"/>
          <w:lang w:eastAsia="ru-RU"/>
        </w:rPr>
        <w:t>Ed</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by</w:t>
      </w:r>
      <w:proofErr w:type="spellEnd"/>
      <w:r w:rsidRPr="007122AB">
        <w:rPr>
          <w:rFonts w:ascii="Times New Roman" w:eastAsia="Times New Roman" w:hAnsi="Times New Roman"/>
          <w:color w:val="000000" w:themeColor="text1"/>
          <w:sz w:val="16"/>
          <w:szCs w:val="16"/>
          <w:lang w:eastAsia="ru-RU"/>
        </w:rPr>
        <w:t xml:space="preserve"> E. A </w:t>
      </w:r>
      <w:proofErr w:type="spellStart"/>
      <w:r w:rsidRPr="007122AB">
        <w:rPr>
          <w:rFonts w:ascii="Times New Roman" w:eastAsia="Times New Roman" w:hAnsi="Times New Roman"/>
          <w:color w:val="000000" w:themeColor="text1"/>
          <w:sz w:val="16"/>
          <w:szCs w:val="16"/>
          <w:lang w:eastAsia="ru-RU"/>
        </w:rPr>
        <w:t>Rees</w:t>
      </w:r>
      <w:proofErr w:type="spellEnd"/>
      <w:r w:rsidRPr="007122AB">
        <w:rPr>
          <w:rFonts w:ascii="Times New Roman" w:eastAsia="Times New Roman" w:hAnsi="Times New Roman"/>
          <w:color w:val="000000" w:themeColor="text1"/>
          <w:sz w:val="16"/>
          <w:szCs w:val="16"/>
          <w:lang w:eastAsia="ru-RU"/>
        </w:rPr>
        <w:t xml:space="preserve">. N. Y, 1997. P. 39-40)). Однако вскоре установленные комиссией лимиты морского строительства были изменены; в начале ноября ей были представлены результаты наработки нового варианта программы (200 подводных лодок, 45 эсминцев, 250 торпедных катеров) (Сопроводительная записка Начальника МПС и Члена Президиума ВСНХ СССР Мартиновича Председателю комиссии по строительству морского флота Куйбышеву, Заместителю Председателя ВСНХ </w:t>
      </w:r>
      <w:proofErr w:type="spellStart"/>
      <w:r w:rsidRPr="007122AB">
        <w:rPr>
          <w:rFonts w:ascii="Times New Roman" w:eastAsia="Times New Roman" w:hAnsi="Times New Roman"/>
          <w:color w:val="000000" w:themeColor="text1"/>
          <w:sz w:val="16"/>
          <w:szCs w:val="16"/>
          <w:lang w:eastAsia="ru-RU"/>
        </w:rPr>
        <w:t>Павлуновскому</w:t>
      </w:r>
      <w:proofErr w:type="spellEnd"/>
      <w:r w:rsidRPr="007122AB">
        <w:rPr>
          <w:rFonts w:ascii="Times New Roman" w:eastAsia="Times New Roman" w:hAnsi="Times New Roman"/>
          <w:color w:val="000000" w:themeColor="text1"/>
          <w:sz w:val="16"/>
          <w:szCs w:val="16"/>
          <w:lang w:eastAsia="ru-RU"/>
        </w:rPr>
        <w:t xml:space="preserve">, Секретарю ЦК ВКП(б) Каганович)^, Заместителю Наркома по Военным и Морским Делам Тухачевскому, Начальнику ВМС РККА Орлову, Начальнику II (технического) Управления </w:t>
      </w:r>
      <w:proofErr w:type="spellStart"/>
      <w:r w:rsidRPr="007122AB">
        <w:rPr>
          <w:rFonts w:ascii="Times New Roman" w:eastAsia="Times New Roman" w:hAnsi="Times New Roman"/>
          <w:color w:val="000000" w:themeColor="text1"/>
          <w:sz w:val="16"/>
          <w:szCs w:val="16"/>
          <w:lang w:eastAsia="ru-RU"/>
        </w:rPr>
        <w:t>УВхМС</w:t>
      </w:r>
      <w:proofErr w:type="spellEnd"/>
      <w:r w:rsidRPr="007122AB">
        <w:rPr>
          <w:rFonts w:ascii="Times New Roman" w:eastAsia="Times New Roman" w:hAnsi="Times New Roman"/>
          <w:color w:val="000000" w:themeColor="text1"/>
          <w:sz w:val="16"/>
          <w:szCs w:val="16"/>
          <w:lang w:eastAsia="ru-RU"/>
        </w:rPr>
        <w:t xml:space="preserve"> РККА Сивкову, в СО Госплана СССР "По вопросу военной морской пятилетки", 04.11.1931 // РГА ВМФ. Ф. Р-1483-Оп. 1.Д. 128. Л. 16.) (22725).</w:t>
      </w:r>
    </w:p>
    <w:p w14:paraId="708E71CD" w14:textId="77777777" w:rsidR="005A4219" w:rsidRPr="007122AB" w:rsidRDefault="005A4219"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5B4A3CD" w14:textId="3A1FC9D3" w:rsidR="0047409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DFCA14D" w14:textId="77777777" w:rsidR="0047409F" w:rsidRPr="007122AB" w:rsidRDefault="0047409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C4D8CB" w14:textId="77777777" w:rsidR="0047409F" w:rsidRPr="007122AB" w:rsidRDefault="0047409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августа 1931 г. Протокол ПБ № 59 п.7/16: Об Интуристе (ПБ от 20-8-1931, протокол № 57, п. 14/40; Енукидзе, Гринько,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Антипов, Курц). Решено принять с поправками внесенный комиссией проект постановления о развитии туризма в СССР. Для развития иностранного туризма в СССР постановление определяло ряд направлений деятельности: I. По заграничной работе. 1. «Интуристу» развернуть сеть заграничных представительств. 2. Поручить </w:t>
      </w:r>
      <w:proofErr w:type="spellStart"/>
      <w:r w:rsidRPr="007122AB">
        <w:rPr>
          <w:rFonts w:ascii="Times New Roman" w:hAnsi="Times New Roman"/>
          <w:color w:val="000000" w:themeColor="text1"/>
          <w:sz w:val="16"/>
          <w:szCs w:val="16"/>
        </w:rPr>
        <w:t>Орграспреду</w:t>
      </w:r>
      <w:proofErr w:type="spellEnd"/>
      <w:r w:rsidRPr="007122AB">
        <w:rPr>
          <w:rFonts w:ascii="Times New Roman" w:hAnsi="Times New Roman"/>
          <w:color w:val="000000" w:themeColor="text1"/>
          <w:sz w:val="16"/>
          <w:szCs w:val="16"/>
        </w:rPr>
        <w:t xml:space="preserve"> ЦК мобилизовать 20 ответственных товарищей для руководящей работы заграницей и 50 человек – для аппарата «Интуриста» в СССР. II. По капитальному строительству и гостиничному фонду. 4. Передать «Интуристу» на арендных началах ряд гостиниц в Москве, Ленинграде, Одессе, Киеве, Ялте и Владивостоке. 5. Наметить строительство ряда новых гостиниц. 6. Предложить «Интуристу» для обслуживания туристов из трудящихся и менее обеспеченных слоев населения установить в гостиницах удешевленные цены. 9. Приравнять строительство «Интуриста» по линии финансирования и снабжения стройматериалами и оборудованием к разрядам ударных. III. Торговля. 12. Поручить НКВТ и </w:t>
      </w:r>
      <w:proofErr w:type="spellStart"/>
      <w:r w:rsidRPr="007122AB">
        <w:rPr>
          <w:rFonts w:ascii="Times New Roman" w:hAnsi="Times New Roman"/>
          <w:color w:val="000000" w:themeColor="text1"/>
          <w:sz w:val="16"/>
          <w:szCs w:val="16"/>
        </w:rPr>
        <w:t>НКСнабу</w:t>
      </w:r>
      <w:proofErr w:type="spellEnd"/>
      <w:r w:rsidRPr="007122AB">
        <w:rPr>
          <w:rFonts w:ascii="Times New Roman" w:hAnsi="Times New Roman"/>
          <w:color w:val="000000" w:themeColor="text1"/>
          <w:sz w:val="16"/>
          <w:szCs w:val="16"/>
        </w:rPr>
        <w:t xml:space="preserve"> разработать план развертывания лавочной сети, как на местах наибольшего скопления интуристов, так и по пути следования интуристов и транзитных пассажиров. IV. По обмену инвалюты. 13. Поручить НКФ СССР, совместно с Госбанком и «Интуристом» разработать мероприятия, упрощающие и облегчающие иностранцам обмен валюты на советские деньги. V. По железнодорожному и водному транспорту. 14. Предоставить «Интуристу» право первоочередного получения билетов по заявленной броне во всех вагонах бывшего Международного общества спальных вагонов как в СССР, так и за границей. 15. Обязать НКПС выполнить постановление СТО от 2-12-1930 об изготовлении 30 спальных вагонов в шестимесячный срок. 16. Принять решительные меры к искоренению антисанитарного состояния вагонов. 17. Изъять из ведения </w:t>
      </w:r>
      <w:proofErr w:type="spellStart"/>
      <w:r w:rsidRPr="007122AB">
        <w:rPr>
          <w:rFonts w:ascii="Times New Roman" w:hAnsi="Times New Roman"/>
          <w:color w:val="000000" w:themeColor="text1"/>
          <w:sz w:val="16"/>
          <w:szCs w:val="16"/>
        </w:rPr>
        <w:t>Совторгфлота</w:t>
      </w:r>
      <w:proofErr w:type="spellEnd"/>
      <w:r w:rsidRPr="007122AB">
        <w:rPr>
          <w:rFonts w:ascii="Times New Roman" w:hAnsi="Times New Roman"/>
          <w:color w:val="000000" w:themeColor="text1"/>
          <w:sz w:val="16"/>
          <w:szCs w:val="16"/>
        </w:rPr>
        <w:t xml:space="preserve"> и передать в ведение «Интуриста» продажу билетов иностранных пароходных линий и продажу билетов на пароходы заграничных рейсов </w:t>
      </w:r>
      <w:proofErr w:type="spellStart"/>
      <w:r w:rsidRPr="007122AB">
        <w:rPr>
          <w:rFonts w:ascii="Times New Roman" w:hAnsi="Times New Roman"/>
          <w:color w:val="000000" w:themeColor="text1"/>
          <w:sz w:val="16"/>
          <w:szCs w:val="16"/>
        </w:rPr>
        <w:t>Совторгфлота</w:t>
      </w:r>
      <w:proofErr w:type="spellEnd"/>
      <w:r w:rsidRPr="007122AB">
        <w:rPr>
          <w:rFonts w:ascii="Times New Roman" w:hAnsi="Times New Roman"/>
          <w:color w:val="000000" w:themeColor="text1"/>
          <w:sz w:val="16"/>
          <w:szCs w:val="16"/>
        </w:rPr>
        <w:t xml:space="preserve">. 18. Предоставить «Интуристу» исключительное право заключения договоров с иностранными пароходными компаниями на трансатлантические перевозки пассажиров. Все договора, заключенные «Интуристом» с иностранными пароходными компаниями, должны иметь последующее утверждение </w:t>
      </w:r>
      <w:proofErr w:type="spellStart"/>
      <w:r w:rsidRPr="007122AB">
        <w:rPr>
          <w:rFonts w:ascii="Times New Roman" w:hAnsi="Times New Roman"/>
          <w:color w:val="000000" w:themeColor="text1"/>
          <w:sz w:val="16"/>
          <w:szCs w:val="16"/>
        </w:rPr>
        <w:t>Наркомвода</w:t>
      </w:r>
      <w:proofErr w:type="spellEnd"/>
      <w:r w:rsidRPr="007122AB">
        <w:rPr>
          <w:rFonts w:ascii="Times New Roman" w:hAnsi="Times New Roman"/>
          <w:color w:val="000000" w:themeColor="text1"/>
          <w:sz w:val="16"/>
          <w:szCs w:val="16"/>
        </w:rPr>
        <w:t xml:space="preserve">. 21. Обязать </w:t>
      </w:r>
      <w:proofErr w:type="spellStart"/>
      <w:r w:rsidRPr="007122AB">
        <w:rPr>
          <w:rFonts w:ascii="Times New Roman" w:hAnsi="Times New Roman"/>
          <w:color w:val="000000" w:themeColor="text1"/>
          <w:sz w:val="16"/>
          <w:szCs w:val="16"/>
        </w:rPr>
        <w:t>Наркомснаб</w:t>
      </w:r>
      <w:proofErr w:type="spellEnd"/>
      <w:r w:rsidRPr="007122AB">
        <w:rPr>
          <w:rFonts w:ascii="Times New Roman" w:hAnsi="Times New Roman"/>
          <w:color w:val="000000" w:themeColor="text1"/>
          <w:sz w:val="16"/>
          <w:szCs w:val="16"/>
        </w:rPr>
        <w:t xml:space="preserve"> и ВСНХ удовлетворять заявки «Интуриста» на снабжение его гостиниц, пароходов и поездов, в первую очередь. VI. По воздушным путям. 23. Обязать Управление ГВФ обеспечить усиленное движение пассажирских самолетов на ряде линий. VII. По автотранспорту. 25. Предложить СТО обеспечить «Интурист» к 1-4-1932 автомашинами внутреннего производства. VIII. По питанию 26. Предложить </w:t>
      </w:r>
      <w:proofErr w:type="spellStart"/>
      <w:r w:rsidRPr="007122AB">
        <w:rPr>
          <w:rFonts w:ascii="Times New Roman" w:hAnsi="Times New Roman"/>
          <w:color w:val="000000" w:themeColor="text1"/>
          <w:sz w:val="16"/>
          <w:szCs w:val="16"/>
        </w:rPr>
        <w:t>НКСнабу</w:t>
      </w:r>
      <w:proofErr w:type="spellEnd"/>
      <w:r w:rsidRPr="007122AB">
        <w:rPr>
          <w:rFonts w:ascii="Times New Roman" w:hAnsi="Times New Roman"/>
          <w:color w:val="000000" w:themeColor="text1"/>
          <w:sz w:val="16"/>
          <w:szCs w:val="16"/>
        </w:rPr>
        <w:t xml:space="preserve">, НКПС и </w:t>
      </w:r>
      <w:proofErr w:type="spellStart"/>
      <w:r w:rsidRPr="007122AB">
        <w:rPr>
          <w:rFonts w:ascii="Times New Roman" w:hAnsi="Times New Roman"/>
          <w:color w:val="000000" w:themeColor="text1"/>
          <w:sz w:val="16"/>
          <w:szCs w:val="16"/>
        </w:rPr>
        <w:t>НКВоду</w:t>
      </w:r>
      <w:proofErr w:type="spellEnd"/>
      <w:r w:rsidRPr="007122AB">
        <w:rPr>
          <w:rFonts w:ascii="Times New Roman" w:hAnsi="Times New Roman"/>
          <w:color w:val="000000" w:themeColor="text1"/>
          <w:sz w:val="16"/>
          <w:szCs w:val="16"/>
        </w:rPr>
        <w:t xml:space="preserve"> организовать специальное снабжение интуристов продуктами питания. IX. Политика цен. Общую ответственность за выполнение программы по </w:t>
      </w:r>
      <w:proofErr w:type="spellStart"/>
      <w:r w:rsidRPr="007122AB">
        <w:rPr>
          <w:rFonts w:ascii="Times New Roman" w:hAnsi="Times New Roman"/>
          <w:color w:val="000000" w:themeColor="text1"/>
          <w:sz w:val="16"/>
          <w:szCs w:val="16"/>
        </w:rPr>
        <w:t>интуризму</w:t>
      </w:r>
      <w:proofErr w:type="spellEnd"/>
      <w:r w:rsidRPr="007122AB">
        <w:rPr>
          <w:rFonts w:ascii="Times New Roman" w:hAnsi="Times New Roman"/>
          <w:color w:val="000000" w:themeColor="text1"/>
          <w:sz w:val="16"/>
          <w:szCs w:val="16"/>
        </w:rPr>
        <w:t xml:space="preserve"> на 1932 год возложить на председателя правления «Интуриста» Курц (15896).</w:t>
      </w:r>
    </w:p>
    <w:p w14:paraId="6DBDCB12" w14:textId="77777777" w:rsidR="0047409F" w:rsidRPr="007122AB" w:rsidRDefault="0047409F" w:rsidP="007122AB">
      <w:pPr>
        <w:spacing w:after="0" w:line="240" w:lineRule="auto"/>
        <w:jc w:val="both"/>
        <w:rPr>
          <w:rFonts w:ascii="Times New Roman" w:hAnsi="Times New Roman"/>
          <w:color w:val="000000" w:themeColor="text1"/>
          <w:sz w:val="16"/>
          <w:szCs w:val="16"/>
        </w:rPr>
      </w:pPr>
    </w:p>
    <w:p w14:paraId="25245D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F3579E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92CD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августа 1931 в Афинах обнаружена древняя статуя римского императора Адриана (4962).</w:t>
      </w:r>
    </w:p>
    <w:p w14:paraId="37ED98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0C93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A7D75C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1B3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августа 1931 г. начальник 2 отдела НИИ ВВС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489с начальнику УВВС.</w:t>
      </w:r>
    </w:p>
    <w:p w14:paraId="12333F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представляется сводка "Испытание самолета И7 БМВ VI".</w:t>
      </w:r>
    </w:p>
    <w:p w14:paraId="530BD5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 БМВ VI опытный, постройки завода N 1.</w:t>
      </w:r>
    </w:p>
    <w:p w14:paraId="07F83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произведенных испытаний НИИ считает,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5864A8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10.08.1931 г.</w:t>
      </w:r>
    </w:p>
    <w:p w14:paraId="289FC6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16.08.1931 г.</w:t>
      </w:r>
    </w:p>
    <w:p w14:paraId="1494E4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2F079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- 24</w:t>
      </w:r>
    </w:p>
    <w:p w14:paraId="522909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- 11 час. 40 мин. (3269).</w:t>
      </w:r>
    </w:p>
    <w:p w14:paraId="0B4FF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01E3BA"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31 августа 1931 г. начальник 2-го отдела НИИ ВВС </w:t>
      </w:r>
      <w:proofErr w:type="spellStart"/>
      <w:r w:rsidRPr="00441F34">
        <w:rPr>
          <w:rFonts w:ascii="Times New Roman" w:hAnsi="Times New Roman"/>
          <w:color w:val="0070C0"/>
          <w:sz w:val="16"/>
          <w:szCs w:val="16"/>
        </w:rPr>
        <w:t>Горощенко</w:t>
      </w:r>
      <w:proofErr w:type="spellEnd"/>
      <w:r w:rsidRPr="00441F34">
        <w:rPr>
          <w:rFonts w:ascii="Times New Roman" w:hAnsi="Times New Roman"/>
          <w:color w:val="0070C0"/>
          <w:sz w:val="16"/>
          <w:szCs w:val="16"/>
        </w:rPr>
        <w:t xml:space="preserve"> письмом № 489с направил результаты испытаний самолета И-7 начальнику УВВС.</w:t>
      </w:r>
    </w:p>
    <w:p w14:paraId="6B8A1C67" w14:textId="77777777" w:rsidR="008A27D1" w:rsidRPr="00441F34" w:rsidRDefault="008A27D1" w:rsidP="008A27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завершения летной программы Государственных испытаний самолет передан на отстрел вооружения на полигон в Кунцево под Москвой (24331).</w:t>
      </w:r>
    </w:p>
    <w:p w14:paraId="2C708059" w14:textId="77777777" w:rsidR="008A27D1" w:rsidRPr="00441F34" w:rsidRDefault="008A27D1" w:rsidP="008A27D1">
      <w:pPr>
        <w:spacing w:after="0" w:line="240" w:lineRule="auto"/>
        <w:jc w:val="both"/>
        <w:rPr>
          <w:rFonts w:ascii="Times New Roman" w:hAnsi="Times New Roman"/>
          <w:color w:val="0070C0"/>
          <w:sz w:val="16"/>
          <w:szCs w:val="16"/>
        </w:rPr>
      </w:pPr>
    </w:p>
    <w:p w14:paraId="16FC05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августа 1931 ВАО запросил с заводов и КБ фотоснимки производимых и разрабатываемых самолетов (2375,8).</w:t>
      </w:r>
    </w:p>
    <w:p w14:paraId="5D60A9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453FE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BB0CCB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A98B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августа 1931 морской отдел НИИ ВВС в Севастополе закончил госиспытания ТБ-1 на поплавках, начатые 15 июня. Поплавковый вариант в АГОС назвали ТБ-1 а ("а" - от "</w:t>
      </w:r>
      <w:proofErr w:type="spellStart"/>
      <w:r w:rsidRPr="007122AB">
        <w:rPr>
          <w:rFonts w:ascii="Times New Roman" w:hAnsi="Times New Roman"/>
          <w:color w:val="000000" w:themeColor="text1"/>
          <w:sz w:val="16"/>
          <w:szCs w:val="16"/>
        </w:rPr>
        <w:t>аква</w:t>
      </w:r>
      <w:proofErr w:type="spellEnd"/>
      <w:r w:rsidRPr="007122AB">
        <w:rPr>
          <w:rFonts w:ascii="Times New Roman" w:hAnsi="Times New Roman"/>
          <w:color w:val="000000" w:themeColor="text1"/>
          <w:sz w:val="16"/>
          <w:szCs w:val="16"/>
        </w:rPr>
        <w:t>" - "вода").</w:t>
      </w:r>
    </w:p>
    <w:p w14:paraId="0B53C8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283F90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29A86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3BAFEB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66FD6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72EC28" w14:textId="77777777" w:rsidR="005E6A6F" w:rsidRPr="007122AB" w:rsidRDefault="005E6A6F"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До конца августа 1931 в Севастополе испытывали поплавковый вариант ТБ-1, сделанный в Таганроге, который в АГОС назвали ТБ-1а («а» — от «</w:t>
      </w:r>
      <w:proofErr w:type="spellStart"/>
      <w:r w:rsidRPr="007122AB">
        <w:rPr>
          <w:rFonts w:ascii="Times New Roman" w:hAnsi="Times New Roman"/>
          <w:color w:val="000000" w:themeColor="text1"/>
          <w:sz w:val="16"/>
          <w:szCs w:val="16"/>
          <w:lang w:eastAsia="ru-RU" w:bidi="ru-RU"/>
        </w:rPr>
        <w:t>аква</w:t>
      </w:r>
      <w:proofErr w:type="spellEnd"/>
      <w:r w:rsidRPr="007122AB">
        <w:rPr>
          <w:rFonts w:ascii="Times New Roman" w:hAnsi="Times New Roman"/>
          <w:color w:val="000000" w:themeColor="text1"/>
          <w:sz w:val="16"/>
          <w:szCs w:val="16"/>
          <w:lang w:eastAsia="ru-RU" w:bidi="ru-RU"/>
        </w:rPr>
        <w:t>», «вода»).</w:t>
      </w:r>
    </w:p>
    <w:p w14:paraId="15DA7C05" w14:textId="77777777" w:rsidR="005E6A6F" w:rsidRPr="007122AB" w:rsidRDefault="005E6A6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Увеличение веса пустого самолета и дополнительное аэ</w:t>
      </w:r>
      <w:r w:rsidRPr="007122AB">
        <w:rPr>
          <w:rFonts w:ascii="Times New Roman" w:hAnsi="Times New Roman"/>
          <w:color w:val="000000" w:themeColor="text1"/>
          <w:sz w:val="16"/>
          <w:szCs w:val="16"/>
          <w:lang w:eastAsia="ru-RU" w:bidi="ru-RU"/>
        </w:rPr>
        <w:softHyphen/>
        <w:t>родинамическое сопротивление от поплавков, разумеет</w:t>
      </w:r>
      <w:r w:rsidRPr="007122AB">
        <w:rPr>
          <w:rFonts w:ascii="Times New Roman" w:hAnsi="Times New Roman"/>
          <w:color w:val="000000" w:themeColor="text1"/>
          <w:sz w:val="16"/>
          <w:szCs w:val="16"/>
          <w:lang w:eastAsia="ru-RU" w:bidi="ru-RU"/>
        </w:rPr>
        <w:softHyphen/>
        <w:t>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w:t>
      </w:r>
      <w:r w:rsidRPr="007122AB">
        <w:rPr>
          <w:rFonts w:ascii="Times New Roman" w:hAnsi="Times New Roman"/>
          <w:color w:val="000000" w:themeColor="text1"/>
          <w:sz w:val="16"/>
          <w:szCs w:val="16"/>
          <w:lang w:eastAsia="ru-RU" w:bidi="ru-RU"/>
        </w:rPr>
        <w:softHyphen/>
        <w:t>ковыми ЮГ-1 и летающими лодками «Валь», ТБ-1а выгод</w:t>
      </w:r>
      <w:r w:rsidRPr="007122AB">
        <w:rPr>
          <w:rFonts w:ascii="Times New Roman" w:hAnsi="Times New Roman"/>
          <w:color w:val="000000" w:themeColor="text1"/>
          <w:sz w:val="16"/>
          <w:szCs w:val="16"/>
          <w:lang w:eastAsia="ru-RU" w:bidi="ru-RU"/>
        </w:rPr>
        <w:softHyphen/>
        <w:t>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79D49C36" w14:textId="77777777" w:rsidR="005E6A6F" w:rsidRPr="007122AB" w:rsidRDefault="005E6A6F"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Начали готовиться к серийному производству поплавков. Английский образец обмерили и выполнили чертежи. Се</w:t>
      </w:r>
      <w:r w:rsidRPr="007122AB">
        <w:rPr>
          <w:rFonts w:ascii="Times New Roman" w:hAnsi="Times New Roman"/>
          <w:color w:val="000000" w:themeColor="text1"/>
          <w:sz w:val="16"/>
          <w:szCs w:val="16"/>
          <w:lang w:eastAsia="ru-RU" w:bidi="ru-RU"/>
        </w:rPr>
        <w:softHyphen/>
        <w:t>рию хотели поручить заводу №22 в Филях, но он был пе</w:t>
      </w:r>
      <w:r w:rsidRPr="007122AB">
        <w:rPr>
          <w:rFonts w:ascii="Times New Roman" w:hAnsi="Times New Roman"/>
          <w:color w:val="000000" w:themeColor="text1"/>
          <w:sz w:val="16"/>
          <w:szCs w:val="16"/>
          <w:lang w:eastAsia="ru-RU" w:bidi="ru-RU"/>
        </w:rPr>
        <w:softHyphen/>
        <w:t>регружен другими заказами. В результате документацию и поплавок-образец перевезли на завод №31 в Таганрог. Там их стали производить под обозначением тип «Ж» и ус</w:t>
      </w:r>
      <w:r w:rsidRPr="007122AB">
        <w:rPr>
          <w:rFonts w:ascii="Times New Roman" w:hAnsi="Times New Roman"/>
          <w:color w:val="000000" w:themeColor="text1"/>
          <w:sz w:val="16"/>
          <w:szCs w:val="16"/>
          <w:lang w:eastAsia="ru-RU" w:bidi="ru-RU"/>
        </w:rPr>
        <w:softHyphen/>
        <w:t>танавливать на самолеты, прибывавшие из Москвы. Мон</w:t>
      </w:r>
      <w:r w:rsidRPr="007122AB">
        <w:rPr>
          <w:rFonts w:ascii="Times New Roman" w:hAnsi="Times New Roman"/>
          <w:color w:val="000000" w:themeColor="text1"/>
          <w:sz w:val="16"/>
          <w:szCs w:val="16"/>
          <w:lang w:eastAsia="ru-RU" w:bidi="ru-RU"/>
        </w:rPr>
        <w:softHyphen/>
        <w:t>таж поплавков велся уже после прекращения собственно производства ТБ-1. Всего доработке подверглись 66 са</w:t>
      </w:r>
      <w:r w:rsidRPr="007122AB">
        <w:rPr>
          <w:rFonts w:ascii="Times New Roman" w:hAnsi="Times New Roman"/>
          <w:color w:val="000000" w:themeColor="text1"/>
          <w:sz w:val="16"/>
          <w:szCs w:val="16"/>
          <w:lang w:eastAsia="ru-RU" w:bidi="ru-RU"/>
        </w:rPr>
        <w:softHyphen/>
        <w:t>молетов. Серийные поплавковые бомбардировщики име</w:t>
      </w:r>
      <w:r w:rsidRPr="007122AB">
        <w:rPr>
          <w:rFonts w:ascii="Times New Roman" w:hAnsi="Times New Roman"/>
          <w:color w:val="000000" w:themeColor="text1"/>
          <w:sz w:val="16"/>
          <w:szCs w:val="16"/>
          <w:lang w:eastAsia="ru-RU" w:bidi="ru-RU"/>
        </w:rPr>
        <w:softHyphen/>
        <w:t>новали ТБ-1П или иногда МТБ-1.</w:t>
      </w:r>
    </w:p>
    <w:p w14:paraId="6C79BFFF" w14:textId="77777777" w:rsidR="005E6A6F" w:rsidRPr="007122AB" w:rsidRDefault="005E6A6F"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Всего на авиазаводе №31 в Таганроге было выпущено более сотни комплектов поплавков «Ж». По сравнению с прототипом были изменены обводы поплавка и увеличе</w:t>
      </w:r>
      <w:r w:rsidRPr="007122AB">
        <w:rPr>
          <w:rFonts w:ascii="Times New Roman" w:hAnsi="Times New Roman"/>
          <w:color w:val="000000" w:themeColor="text1"/>
          <w:sz w:val="16"/>
          <w:szCs w:val="16"/>
          <w:lang w:eastAsia="ru-RU" w:bidi="ru-RU"/>
        </w:rPr>
        <w:softHyphen/>
        <w:t>на его длина. Отмечалось, что качество поплавков, за ис</w:t>
      </w:r>
      <w:r w:rsidRPr="007122AB">
        <w:rPr>
          <w:rFonts w:ascii="Times New Roman" w:hAnsi="Times New Roman"/>
          <w:color w:val="000000" w:themeColor="text1"/>
          <w:sz w:val="16"/>
          <w:szCs w:val="16"/>
          <w:lang w:eastAsia="ru-RU" w:bidi="ru-RU"/>
        </w:rPr>
        <w:softHyphen/>
        <w:t>ключением массы, ничем не уступало английским. При из</w:t>
      </w:r>
      <w:r w:rsidRPr="007122AB">
        <w:rPr>
          <w:rFonts w:ascii="Times New Roman" w:hAnsi="Times New Roman"/>
          <w:color w:val="000000" w:themeColor="text1"/>
          <w:sz w:val="16"/>
          <w:szCs w:val="16"/>
          <w:lang w:eastAsia="ru-RU" w:bidi="ru-RU"/>
        </w:rPr>
        <w:softHyphen/>
        <w:t>готовлении поплавков завод успешно освоил герметичную клепку, что было большим достижением. Примечательно, что при сравнительных испытаниях на водонепроницае</w:t>
      </w:r>
      <w:r w:rsidRPr="007122AB">
        <w:rPr>
          <w:rFonts w:ascii="Times New Roman" w:hAnsi="Times New Roman"/>
          <w:color w:val="000000" w:themeColor="text1"/>
          <w:sz w:val="16"/>
          <w:szCs w:val="16"/>
          <w:lang w:eastAsia="ru-RU" w:bidi="ru-RU"/>
        </w:rPr>
        <w:softHyphen/>
        <w:t>мость английский прототип оказался в этом отношении значительно хуже отечественных изделий (20325).</w:t>
      </w:r>
    </w:p>
    <w:p w14:paraId="15C7878F" w14:textId="77777777" w:rsidR="005E6A6F" w:rsidRPr="007122AB" w:rsidRDefault="005E6A6F" w:rsidP="007122AB">
      <w:pPr>
        <w:spacing w:after="0" w:line="240" w:lineRule="auto"/>
        <w:jc w:val="both"/>
        <w:rPr>
          <w:rFonts w:ascii="Times New Roman" w:hAnsi="Times New Roman"/>
          <w:color w:val="000000" w:themeColor="text1"/>
          <w:sz w:val="16"/>
          <w:szCs w:val="16"/>
          <w:lang w:eastAsia="ru-RU" w:bidi="ru-RU"/>
        </w:rPr>
      </w:pPr>
    </w:p>
    <w:p w14:paraId="2165C71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89497B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8E7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августа 1931 было в основном закончено изготовление Т-19, которое началось в июне 1931. Оказался перетяжеленным и сложным в производстве и дорогим - 96 тыс. руб. Работы - свернули, решив, что Виккерс - лучше (4243,16).</w:t>
      </w:r>
    </w:p>
    <w:p w14:paraId="0E6C7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14F5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августа 1931 г. </w:t>
      </w:r>
      <w:proofErr w:type="spellStart"/>
      <w:r w:rsidRPr="007122AB">
        <w:rPr>
          <w:rFonts w:ascii="Times New Roman" w:hAnsi="Times New Roman"/>
          <w:color w:val="000000" w:themeColor="text1"/>
          <w:sz w:val="16"/>
          <w:szCs w:val="16"/>
        </w:rPr>
        <w:t>Таубин</w:t>
      </w:r>
      <w:proofErr w:type="spellEnd"/>
      <w:r w:rsidRPr="007122AB">
        <w:rPr>
          <w:rFonts w:ascii="Times New Roman" w:hAnsi="Times New Roman"/>
          <w:color w:val="000000" w:themeColor="text1"/>
          <w:sz w:val="16"/>
          <w:szCs w:val="16"/>
        </w:rPr>
        <w:t xml:space="preserve"> направляет в Артиллерийское управление РККА свои чертежи автоматического гранатомёта, выполненные с помощью студента-сокурсника Е. </w:t>
      </w:r>
      <w:proofErr w:type="spellStart"/>
      <w:r w:rsidRPr="007122AB">
        <w:rPr>
          <w:rFonts w:ascii="Times New Roman" w:hAnsi="Times New Roman"/>
          <w:color w:val="000000" w:themeColor="text1"/>
          <w:sz w:val="16"/>
          <w:szCs w:val="16"/>
        </w:rPr>
        <w:t>Бергольцева</w:t>
      </w:r>
      <w:proofErr w:type="spellEnd"/>
      <w:r w:rsidRPr="007122AB">
        <w:rPr>
          <w:rFonts w:ascii="Times New Roman" w:hAnsi="Times New Roman"/>
          <w:color w:val="000000" w:themeColor="text1"/>
          <w:sz w:val="16"/>
          <w:szCs w:val="16"/>
        </w:rPr>
        <w:t xml:space="preserve">. В течение двух лет решается судьба этой разработки, и, наконец, в 1933 г. Главное военно-мобилизационное управление посылает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xml:space="preserve"> в г. Ковров, на инструментальный завод №2, где вместе с группой специалистов он создаёт опытный образец автоматического гранатомёта. Весной 1934 г. группу Якова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xml:space="preserve"> переводят в Москву. Здесь создаётся ОКБ-16 Наркомата тяжёлой промышленности. В период с 1935 по 1938 гг. ОКБ-16, возглавляемое </w:t>
      </w:r>
      <w:proofErr w:type="spellStart"/>
      <w:r w:rsidRPr="007122AB">
        <w:rPr>
          <w:rFonts w:ascii="Times New Roman" w:hAnsi="Times New Roman"/>
          <w:color w:val="000000" w:themeColor="text1"/>
          <w:sz w:val="16"/>
          <w:szCs w:val="16"/>
        </w:rPr>
        <w:t>Таубиным</w:t>
      </w:r>
      <w:proofErr w:type="spellEnd"/>
      <w:r w:rsidRPr="007122AB">
        <w:rPr>
          <w:rFonts w:ascii="Times New Roman" w:hAnsi="Times New Roman"/>
          <w:color w:val="000000" w:themeColor="text1"/>
          <w:sz w:val="16"/>
          <w:szCs w:val="16"/>
        </w:rPr>
        <w:t xml:space="preserve">, разрабатывает и совершенствует пехотный автоматический гранатомёт. Новое оружие имело калибр 40,8 мм и вначале использовало боеприпасы, созданные на базе штатной винтовочной гранаты системы Дьяконова (затем, в 1938 г., в ОКБ-16 разработали боеприпас новой конструкции; калибр при этом остался прежним). Гранатомёт позволял вести стрельбу как одиночными выстрелами, так и очередями, мог стрелять настильным огнём и по навесной траектории. Треножный станок, на который он устанавливался в первых модификациях конструкции, позднее был заменён колёсным станком. Модернизация позволила снизить общий вес установки почти в два раза — с 73 до 38 кг. В 1938 г., когда работа над гранатомётом подходила к концу, </w:t>
      </w:r>
      <w:proofErr w:type="spellStart"/>
      <w:r w:rsidRPr="007122AB">
        <w:rPr>
          <w:rFonts w:ascii="Times New Roman" w:hAnsi="Times New Roman"/>
          <w:color w:val="000000" w:themeColor="text1"/>
          <w:sz w:val="16"/>
          <w:szCs w:val="16"/>
        </w:rPr>
        <w:t>Таубин</w:t>
      </w:r>
      <w:proofErr w:type="spellEnd"/>
      <w:r w:rsidRPr="007122AB">
        <w:rPr>
          <w:rFonts w:ascii="Times New Roman" w:hAnsi="Times New Roman"/>
          <w:color w:val="000000" w:themeColor="text1"/>
          <w:sz w:val="16"/>
          <w:szCs w:val="16"/>
        </w:rPr>
        <w:t xml:space="preserve"> получил дачный участок в Старых Горках (дом построен в 1939 г.). Гостями здесь нередко были К.Е. Ворошилов и С.М. Будённый. Работа по созданию автоматического гранатомёта велась при поддержке заместителя наркома обороны М.Н. Тухачевского (с 1936 г. — 1-го заместителя наркома обороны и начальника Управления боевой подготовки). В 1937 г. Тухачевский был расстрелян, и это повлияло на судьбу как нового оружия, так и его разработчика. В 1939 г. на должность начальника Артиллерийского управления назначили Г.И. Кулика, с которым </w:t>
      </w:r>
      <w:proofErr w:type="spellStart"/>
      <w:r w:rsidRPr="007122AB">
        <w:rPr>
          <w:rFonts w:ascii="Times New Roman" w:hAnsi="Times New Roman"/>
          <w:color w:val="000000" w:themeColor="text1"/>
          <w:sz w:val="16"/>
          <w:szCs w:val="16"/>
        </w:rPr>
        <w:t>Таубин</w:t>
      </w:r>
      <w:proofErr w:type="spellEnd"/>
      <w:r w:rsidRPr="007122AB">
        <w:rPr>
          <w:rFonts w:ascii="Times New Roman" w:hAnsi="Times New Roman"/>
          <w:color w:val="000000" w:themeColor="text1"/>
          <w:sz w:val="16"/>
          <w:szCs w:val="16"/>
        </w:rPr>
        <w:t xml:space="preserve"> вступил в открытую конфронтацию, борясь за своё изобретение (11867).</w:t>
      </w:r>
    </w:p>
    <w:p w14:paraId="29286B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C2860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79C5CD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A34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второй половине августа 1931 г. руководящие органы промышленности выдвинули очередную идею, способную, как казалось, улучшить процесс создания авиатехники. В результате, последовало объединение ЦКБ и ЦАГИ в единую проектную организацию под общим контролем органов ГПУ. В </w:t>
      </w:r>
      <w:proofErr w:type="spellStart"/>
      <w:r w:rsidRPr="007122AB">
        <w:rPr>
          <w:rFonts w:ascii="Times New Roman" w:hAnsi="Times New Roman"/>
          <w:color w:val="000000" w:themeColor="text1"/>
          <w:sz w:val="16"/>
          <w:szCs w:val="16"/>
        </w:rPr>
        <w:t>авианароде</w:t>
      </w:r>
      <w:proofErr w:type="spellEnd"/>
      <w:r w:rsidRPr="007122AB">
        <w:rPr>
          <w:rFonts w:ascii="Times New Roman" w:hAnsi="Times New Roman"/>
          <w:color w:val="000000" w:themeColor="text1"/>
          <w:sz w:val="16"/>
          <w:szCs w:val="16"/>
        </w:rPr>
        <w:t xml:space="preserve"> это событие получило название «свадьбы» (6593).</w:t>
      </w:r>
    </w:p>
    <w:p w14:paraId="269EE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0A8B4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48D7C4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E5A2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к ЦКБ присоединили и конструкторские коллективы ЦАГИ. Образовалось единственное в стране авиационное конструкторское бюро - громоздкая и плохо управляемая организация. Его начальником назначили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w:t>
      </w:r>
    </w:p>
    <w:p w14:paraId="5E86F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Внутренние склоки и противоречия раздирали коллектив ЦКБ. Напряженные отношения в руководстве ЦКБ и ЦАГИ не способствовали успешному завершению работ (9536,4).</w:t>
      </w:r>
    </w:p>
    <w:p w14:paraId="7A330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B7A9F7"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1931 г., в самый разгар работ по подготовке к летным испытаниям АНТ—14 и запуску в серию гиганта АНТ—6, появляется необъяснимый при</w:t>
      </w:r>
      <w:r w:rsidRPr="00441F34">
        <w:rPr>
          <w:rFonts w:ascii="Times New Roman" w:hAnsi="Times New Roman"/>
          <w:color w:val="0070C0"/>
          <w:sz w:val="16"/>
          <w:szCs w:val="16"/>
        </w:rPr>
        <w:softHyphen/>
        <w:t>каз Всесоюзного авиационного объедине</w:t>
      </w:r>
      <w:r w:rsidRPr="00441F34">
        <w:rPr>
          <w:rFonts w:ascii="Times New Roman" w:hAnsi="Times New Roman"/>
          <w:color w:val="0070C0"/>
          <w:sz w:val="16"/>
          <w:szCs w:val="16"/>
        </w:rPr>
        <w:softHyphen/>
        <w:t xml:space="preserve">ния (преемника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Согласно этому распоряжению, Центральное кон</w:t>
      </w:r>
      <w:r w:rsidRPr="00441F34">
        <w:rPr>
          <w:rFonts w:ascii="Times New Roman" w:hAnsi="Times New Roman"/>
          <w:color w:val="0070C0"/>
          <w:sz w:val="16"/>
          <w:szCs w:val="16"/>
        </w:rPr>
        <w:softHyphen/>
        <w:t>структорское бюро (ЦКБ) завода №39 им. Менжинского объединялось с АГОС ЦАГИ в единое конструкторское бюро самолетостроения (ЦКБ ЦАГИ). Его на</w:t>
      </w:r>
      <w:r w:rsidRPr="00441F34">
        <w:rPr>
          <w:rFonts w:ascii="Times New Roman" w:hAnsi="Times New Roman"/>
          <w:color w:val="0070C0"/>
          <w:sz w:val="16"/>
          <w:szCs w:val="16"/>
        </w:rPr>
        <w:softHyphen/>
        <w:t xml:space="preserve">чальником назначили Н.Е. </w:t>
      </w:r>
      <w:proofErr w:type="spellStart"/>
      <w:r w:rsidRPr="00441F34">
        <w:rPr>
          <w:rFonts w:ascii="Times New Roman" w:hAnsi="Times New Roman"/>
          <w:color w:val="0070C0"/>
          <w:sz w:val="16"/>
          <w:szCs w:val="16"/>
        </w:rPr>
        <w:t>Пауфлера</w:t>
      </w:r>
      <w:proofErr w:type="spellEnd"/>
      <w:r w:rsidRPr="00441F34">
        <w:rPr>
          <w:rFonts w:ascii="Times New Roman" w:hAnsi="Times New Roman"/>
          <w:color w:val="0070C0"/>
          <w:sz w:val="16"/>
          <w:szCs w:val="16"/>
        </w:rPr>
        <w:t>, а руководителем конструкторского отде</w:t>
      </w:r>
      <w:r w:rsidRPr="00441F34">
        <w:rPr>
          <w:rFonts w:ascii="Times New Roman" w:hAnsi="Times New Roman"/>
          <w:color w:val="0070C0"/>
          <w:sz w:val="16"/>
          <w:szCs w:val="16"/>
        </w:rPr>
        <w:softHyphen/>
        <w:t>ла — С.В. Ильюшина.</w:t>
      </w:r>
    </w:p>
    <w:p w14:paraId="34003A2E"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Новообразованная структура просуще</w:t>
      </w:r>
      <w:r w:rsidRPr="00441F34">
        <w:rPr>
          <w:rFonts w:ascii="Times New Roman" w:hAnsi="Times New Roman"/>
          <w:color w:val="0070C0"/>
          <w:sz w:val="16"/>
          <w:szCs w:val="16"/>
        </w:rPr>
        <w:softHyphen/>
        <w:t>ствовала недолго. Следующее изменение последовало в мае 1932 г.: ЦКБ преобра</w:t>
      </w:r>
      <w:r w:rsidRPr="00441F34">
        <w:rPr>
          <w:rFonts w:ascii="Times New Roman" w:hAnsi="Times New Roman"/>
          <w:color w:val="0070C0"/>
          <w:sz w:val="16"/>
          <w:szCs w:val="16"/>
        </w:rPr>
        <w:softHyphen/>
        <w:t>зовали в СОС — Сектор опытного строи</w:t>
      </w:r>
      <w:r w:rsidRPr="00441F34">
        <w:rPr>
          <w:rFonts w:ascii="Times New Roman" w:hAnsi="Times New Roman"/>
          <w:color w:val="0070C0"/>
          <w:sz w:val="16"/>
          <w:szCs w:val="16"/>
        </w:rPr>
        <w:softHyphen/>
        <w:t>тельства, начальником которого стал С.В. Ильюшин. СОС делился на ряд под</w:t>
      </w:r>
      <w:r w:rsidRPr="00441F34">
        <w:rPr>
          <w:rFonts w:ascii="Times New Roman" w:hAnsi="Times New Roman"/>
          <w:color w:val="0070C0"/>
          <w:sz w:val="16"/>
          <w:szCs w:val="16"/>
        </w:rPr>
        <w:softHyphen/>
        <w:t>разделений на правах самостоятельных отделов. Одним из них был и конструк</w:t>
      </w:r>
      <w:r w:rsidRPr="00441F34">
        <w:rPr>
          <w:rFonts w:ascii="Times New Roman" w:hAnsi="Times New Roman"/>
          <w:color w:val="0070C0"/>
          <w:sz w:val="16"/>
          <w:szCs w:val="16"/>
        </w:rPr>
        <w:softHyphen/>
        <w:t>торский отдел (КО), который оставили Туполеву. Сложилась парадоксальная си</w:t>
      </w:r>
      <w:r w:rsidRPr="00441F34">
        <w:rPr>
          <w:rFonts w:ascii="Times New Roman" w:hAnsi="Times New Roman"/>
          <w:color w:val="0070C0"/>
          <w:sz w:val="16"/>
          <w:szCs w:val="16"/>
        </w:rPr>
        <w:softHyphen/>
        <w:t>туация. Конструктор, обогативший миро</w:t>
      </w:r>
      <w:r w:rsidRPr="00441F34">
        <w:rPr>
          <w:rFonts w:ascii="Times New Roman" w:hAnsi="Times New Roman"/>
          <w:color w:val="0070C0"/>
          <w:sz w:val="16"/>
          <w:szCs w:val="16"/>
        </w:rPr>
        <w:softHyphen/>
        <w:t>вую авиацию новыми идеями, успешно воплотивший их в жизнь, оказался в под</w:t>
      </w:r>
      <w:r w:rsidRPr="00441F34">
        <w:rPr>
          <w:rFonts w:ascii="Times New Roman" w:hAnsi="Times New Roman"/>
          <w:color w:val="0070C0"/>
          <w:sz w:val="16"/>
          <w:szCs w:val="16"/>
        </w:rPr>
        <w:softHyphen/>
        <w:t>чинении у людей, еще ничем серьезным в этой области себя не проявивших. Была создана гигантская чиновничья, надуман</w:t>
      </w:r>
      <w:r w:rsidRPr="00441F34">
        <w:rPr>
          <w:rFonts w:ascii="Times New Roman" w:hAnsi="Times New Roman"/>
          <w:color w:val="0070C0"/>
          <w:sz w:val="16"/>
          <w:szCs w:val="16"/>
        </w:rPr>
        <w:softHyphen/>
        <w:t>ная, нежизнеспособная организация, своего рода авиационная Вавилонская башня. Естественно, КБ не могло с этим согласиться. Борьба за восстановление здравого смысла, сопровождавшаяся письмами в ВСНХ, СНК, ЦК ВКП(б), длилась полтора года. 13 января 1933 г. гордиев узел был разрублен прика</w:t>
      </w:r>
      <w:r w:rsidRPr="00441F34">
        <w:rPr>
          <w:rFonts w:ascii="Times New Roman" w:hAnsi="Times New Roman"/>
          <w:color w:val="0070C0"/>
          <w:sz w:val="16"/>
          <w:szCs w:val="16"/>
        </w:rPr>
        <w:softHyphen/>
        <w:t>зом начальника ГУАП П.И. Баранова (23474).</w:t>
      </w:r>
    </w:p>
    <w:p w14:paraId="07C4BB33" w14:textId="77777777" w:rsidR="005504A8" w:rsidRPr="00441F34" w:rsidRDefault="005504A8" w:rsidP="005504A8">
      <w:pPr>
        <w:spacing w:after="0" w:line="240" w:lineRule="auto"/>
        <w:jc w:val="both"/>
        <w:rPr>
          <w:rFonts w:ascii="Times New Roman" w:hAnsi="Times New Roman"/>
          <w:color w:val="0070C0"/>
          <w:sz w:val="16"/>
          <w:szCs w:val="16"/>
        </w:rPr>
      </w:pPr>
    </w:p>
    <w:p w14:paraId="13E39D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зачислили в резерв РККА и откомандировывается на работу в авиационную промышленность (9528).</w:t>
      </w:r>
    </w:p>
    <w:p w14:paraId="1E2C1C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4A4B3A"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года самолет И-12 с двумя пушками ДРП был выпущен на заводские испытания. После первых полетов в самом самолете пришлось изменить костыли и хвостовое оперение (7416, 58-59).</w:t>
      </w:r>
    </w:p>
    <w:p w14:paraId="46349F33"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BCC4B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началась постройка АНТ-23бис (И-12бис) (514). Именно эту машину - дублер - называли Бауманский комсомолец (2072,70).</w:t>
      </w:r>
    </w:p>
    <w:p w14:paraId="176754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13A1A5" w14:textId="77777777" w:rsidR="00A522A1" w:rsidRPr="007122AB" w:rsidRDefault="00A522A1" w:rsidP="007122AB">
      <w:pPr>
        <w:tabs>
          <w:tab w:val="left" w:pos="24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по инициативе Бауманской комсомольской организации, взявшей на себя сбор средств, и комсомольской организации ЦАГИ, принявшей на себя обяза</w:t>
      </w:r>
      <w:r w:rsidRPr="007122AB">
        <w:rPr>
          <w:rFonts w:ascii="Times New Roman" w:hAnsi="Times New Roman"/>
          <w:color w:val="000000" w:themeColor="text1"/>
          <w:sz w:val="16"/>
          <w:szCs w:val="16"/>
        </w:rPr>
        <w:softHyphen/>
        <w:t>тельство отработать на производстве по 60 часов начали строить второй экземпляр И-12бис «Бауманский комсомолец» («заказ 7077»).</w:t>
      </w:r>
    </w:p>
    <w:p w14:paraId="762D3C76" w14:textId="77777777" w:rsidR="00A522A1" w:rsidRPr="007122AB" w:rsidRDefault="00A522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тем, что И-12бис рассматривался как модификация первого экземпляра И-12, работа по дублёру шла медленно из-за постоянных изменений в конструкции. Кроме того, конструкторский коллектив часто менялся, а временами вообще отсутст</w:t>
      </w:r>
      <w:r w:rsidRPr="007122AB">
        <w:rPr>
          <w:rFonts w:ascii="Times New Roman" w:hAnsi="Times New Roman"/>
          <w:color w:val="000000" w:themeColor="text1"/>
          <w:sz w:val="16"/>
          <w:szCs w:val="16"/>
        </w:rPr>
        <w:softHyphen/>
        <w:t>вовал. Со стороны шефов машине также уделялось мало внимания. В результате на 1 января 1934 г. готовность самолёта составила 84,9% (15823).</w:t>
      </w:r>
    </w:p>
    <w:p w14:paraId="40756F15" w14:textId="77777777" w:rsidR="00A522A1" w:rsidRPr="007122AB" w:rsidRDefault="00A522A1" w:rsidP="007122AB">
      <w:pPr>
        <w:spacing w:after="0" w:line="240" w:lineRule="auto"/>
        <w:jc w:val="both"/>
        <w:rPr>
          <w:rFonts w:ascii="Times New Roman" w:hAnsi="Times New Roman"/>
          <w:color w:val="000000" w:themeColor="text1"/>
          <w:sz w:val="16"/>
          <w:szCs w:val="16"/>
        </w:rPr>
      </w:pPr>
    </w:p>
    <w:p w14:paraId="743347FA" w14:textId="77777777" w:rsidR="00C15EF0" w:rsidRPr="007122AB" w:rsidRDefault="00C15EF0" w:rsidP="007122AB">
      <w:pPr>
        <w:pStyle w:val="rtejustify"/>
        <w:shd w:val="clear" w:color="auto" w:fill="FFFFFF"/>
        <w:spacing w:before="0" w:after="0"/>
        <w:rPr>
          <w:color w:val="000000" w:themeColor="text1"/>
          <w:sz w:val="16"/>
          <w:szCs w:val="16"/>
        </w:rPr>
      </w:pPr>
      <w:r w:rsidRPr="007122AB">
        <w:rPr>
          <w:color w:val="000000" w:themeColor="text1"/>
          <w:sz w:val="16"/>
          <w:szCs w:val="16"/>
        </w:rPr>
        <w:lastRenderedPageBreak/>
        <w:t>В августе 1931 года по инициативе Бауманской комсомольской организации, взявшей на себя сбор средств, и комсомольской организации ЦАГИ, принявшей на себя обязательство отработать на производстве по 60 часов, начали строить второй экземпляр самолета И-12бис «Бауманский комсомолец» (заказ 7077).</w:t>
      </w:r>
    </w:p>
    <w:p w14:paraId="6E5D295E" w14:textId="77777777" w:rsidR="00C15EF0" w:rsidRPr="007122AB" w:rsidRDefault="00C15EF0" w:rsidP="007122AB">
      <w:pPr>
        <w:pStyle w:val="rtejustify"/>
        <w:shd w:val="clear" w:color="auto" w:fill="FFFFFF"/>
        <w:spacing w:before="0" w:after="0"/>
        <w:rPr>
          <w:color w:val="000000" w:themeColor="text1"/>
          <w:sz w:val="16"/>
          <w:szCs w:val="16"/>
        </w:rPr>
      </w:pPr>
      <w:r w:rsidRPr="007122AB">
        <w:rPr>
          <w:color w:val="000000" w:themeColor="text1"/>
          <w:sz w:val="16"/>
          <w:szCs w:val="16"/>
        </w:rPr>
        <w:t>В связи с тем, что самолет И-12бис рассматривался как модификация первого экземпляра И-12, работа по дублеру шла медленно из-за постоянных изменений в конструкции. Кроме того, конструкторский коллектив часто менялся, а временами вообще отсутствовал. Со стороны шефов машине также уделялось мало внимания. В результате на 1 января 1934 года готовность самолета составила – 84,9% (19172).</w:t>
      </w:r>
    </w:p>
    <w:p w14:paraId="0708FC8E" w14:textId="77777777" w:rsidR="00C15EF0" w:rsidRPr="007122AB" w:rsidRDefault="00C15EF0" w:rsidP="007122AB">
      <w:pPr>
        <w:pStyle w:val="rtejustify"/>
        <w:shd w:val="clear" w:color="auto" w:fill="FFFFFF"/>
        <w:spacing w:before="0" w:after="0"/>
        <w:rPr>
          <w:color w:val="000000" w:themeColor="text1"/>
          <w:sz w:val="16"/>
          <w:szCs w:val="16"/>
        </w:rPr>
      </w:pPr>
    </w:p>
    <w:p w14:paraId="44DEFDA7"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1931 г. КБ приступило к по</w:t>
      </w:r>
      <w:r w:rsidRPr="00441F34">
        <w:rPr>
          <w:rFonts w:ascii="Times New Roman" w:hAnsi="Times New Roman"/>
          <w:color w:val="0070C0"/>
          <w:sz w:val="16"/>
          <w:szCs w:val="16"/>
        </w:rPr>
        <w:softHyphen/>
        <w:t>стройке дублера - И —12 бис. Работа проводилась по инициативе Бауманской комсомольской организации, взявшей шефство над этой машиной. Поэтому у нее появилось второе название — «Бау</w:t>
      </w:r>
      <w:r w:rsidRPr="00441F34">
        <w:rPr>
          <w:rFonts w:ascii="Times New Roman" w:hAnsi="Times New Roman"/>
          <w:color w:val="0070C0"/>
          <w:sz w:val="16"/>
          <w:szCs w:val="16"/>
        </w:rPr>
        <w:softHyphen/>
        <w:t>манский комсомолец». Необходимо бы</w:t>
      </w:r>
      <w:r w:rsidRPr="00441F34">
        <w:rPr>
          <w:rFonts w:ascii="Times New Roman" w:hAnsi="Times New Roman"/>
          <w:color w:val="0070C0"/>
          <w:sz w:val="16"/>
          <w:szCs w:val="16"/>
        </w:rPr>
        <w:softHyphen/>
        <w:t>ло учесть все недостатки, выявленные на первой машине. Испытания И—12 требовали все новых доработок, что очень сказывалось на нормальной рабо</w:t>
      </w:r>
      <w:r w:rsidRPr="00441F34">
        <w:rPr>
          <w:rFonts w:ascii="Times New Roman" w:hAnsi="Times New Roman"/>
          <w:color w:val="0070C0"/>
          <w:sz w:val="16"/>
          <w:szCs w:val="16"/>
        </w:rPr>
        <w:softHyphen/>
        <w:t>те по И—12 бис. В начале июня 1934 г. работы по дублеру прекратили (23474).</w:t>
      </w:r>
    </w:p>
    <w:p w14:paraId="39B5CC21" w14:textId="77777777" w:rsidR="005504A8" w:rsidRPr="00441F34" w:rsidRDefault="005504A8" w:rsidP="005504A8">
      <w:pPr>
        <w:spacing w:after="0" w:line="240" w:lineRule="auto"/>
        <w:jc w:val="both"/>
        <w:rPr>
          <w:rFonts w:ascii="Times New Roman" w:hAnsi="Times New Roman"/>
          <w:color w:val="0070C0"/>
          <w:sz w:val="16"/>
          <w:szCs w:val="16"/>
        </w:rPr>
      </w:pPr>
    </w:p>
    <w:p w14:paraId="7ECD7B5F"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года был выпущен самолет И4-ЮVI с разрезным крылом. Самолет был испытан, дано заключение (6780).</w:t>
      </w:r>
    </w:p>
    <w:p w14:paraId="2C02D6A9"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F1E1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в ЦАГИ изготовили поплавки для И-4, но НИИ ВВС признал мореходность излишне низкой. Разрабатывали и разрезное крыло (1060,53).</w:t>
      </w:r>
    </w:p>
    <w:p w14:paraId="716A3F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009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на И-8 (АНТ-13) заменили двигатель, горизонтальное оперение и шасси (1454,22).</w:t>
      </w:r>
    </w:p>
    <w:p w14:paraId="75F999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A392E5" w14:textId="77777777" w:rsidR="0001378D" w:rsidRPr="007122AB" w:rsidRDefault="000137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августе 1931 г. была го</w:t>
      </w:r>
      <w:r w:rsidRPr="007122AB">
        <w:rPr>
          <w:rFonts w:ascii="Times New Roman" w:hAnsi="Times New Roman"/>
          <w:color w:val="000000" w:themeColor="text1"/>
          <w:sz w:val="16"/>
          <w:szCs w:val="16"/>
          <w:lang w:eastAsia="ru-RU" w:bidi="ru-RU"/>
        </w:rPr>
        <w:softHyphen/>
        <w:t>това первая таганрогская пятерка Р-5. На всех машинах военная при</w:t>
      </w:r>
      <w:r w:rsidRPr="007122AB">
        <w:rPr>
          <w:rFonts w:ascii="Times New Roman" w:hAnsi="Times New Roman"/>
          <w:color w:val="000000" w:themeColor="text1"/>
          <w:sz w:val="16"/>
          <w:szCs w:val="16"/>
          <w:lang w:eastAsia="ru-RU" w:bidi="ru-RU"/>
        </w:rPr>
        <w:softHyphen/>
        <w:t>емка обнаружила несоответствие чертежам, некомплект оборудования, а вооружения вообще не было. Однако УВВС все-таки согласилось их принять. В свою очередь, руководство ВАО поняло бесперспективность распыле</w:t>
      </w:r>
      <w:r w:rsidRPr="007122AB">
        <w:rPr>
          <w:rFonts w:ascii="Times New Roman" w:hAnsi="Times New Roman"/>
          <w:color w:val="000000" w:themeColor="text1"/>
          <w:sz w:val="16"/>
          <w:szCs w:val="16"/>
          <w:lang w:eastAsia="ru-RU" w:bidi="ru-RU"/>
        </w:rPr>
        <w:softHyphen/>
        <w:t xml:space="preserve">ния сил и, чтобы как-то помочь </w:t>
      </w:r>
      <w:proofErr w:type="spellStart"/>
      <w:r w:rsidRPr="007122AB">
        <w:rPr>
          <w:rFonts w:ascii="Times New Roman" w:hAnsi="Times New Roman"/>
          <w:color w:val="000000" w:themeColor="text1"/>
          <w:sz w:val="16"/>
          <w:szCs w:val="16"/>
          <w:lang w:eastAsia="ru-RU" w:bidi="ru-RU"/>
        </w:rPr>
        <w:t>таганрожцам</w:t>
      </w:r>
      <w:proofErr w:type="spellEnd"/>
      <w:r w:rsidRPr="007122AB">
        <w:rPr>
          <w:rFonts w:ascii="Times New Roman" w:hAnsi="Times New Roman"/>
          <w:color w:val="000000" w:themeColor="text1"/>
          <w:sz w:val="16"/>
          <w:szCs w:val="16"/>
          <w:lang w:eastAsia="ru-RU" w:bidi="ru-RU"/>
        </w:rPr>
        <w:t>, сняло с за</w:t>
      </w:r>
      <w:r w:rsidRPr="007122AB">
        <w:rPr>
          <w:rFonts w:ascii="Times New Roman" w:hAnsi="Times New Roman"/>
          <w:color w:val="000000" w:themeColor="text1"/>
          <w:sz w:val="16"/>
          <w:szCs w:val="16"/>
          <w:lang w:eastAsia="ru-RU" w:bidi="ru-RU"/>
        </w:rPr>
        <w:softHyphen/>
        <w:t>вода №31 задание по строительству самолетов Р-5.</w:t>
      </w:r>
    </w:p>
    <w:p w14:paraId="1B471C75" w14:textId="77777777" w:rsidR="0001378D" w:rsidRPr="007122AB" w:rsidRDefault="0001378D"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Тем не менее, в производственную программу 1932 г. был включен, кроме уже находящихся в производстве са</w:t>
      </w:r>
      <w:r w:rsidRPr="007122AB">
        <w:rPr>
          <w:rFonts w:ascii="Times New Roman" w:hAnsi="Times New Roman"/>
          <w:color w:val="000000" w:themeColor="text1"/>
          <w:sz w:val="16"/>
          <w:szCs w:val="16"/>
          <w:lang w:eastAsia="ru-RU" w:bidi="ru-RU"/>
        </w:rPr>
        <w:softHyphen/>
        <w:t>молетов, еще один тип — амфибия Ш-2, а в конце перво</w:t>
      </w:r>
      <w:r w:rsidRPr="007122AB">
        <w:rPr>
          <w:rFonts w:ascii="Times New Roman" w:hAnsi="Times New Roman"/>
          <w:color w:val="000000" w:themeColor="text1"/>
          <w:sz w:val="16"/>
          <w:szCs w:val="16"/>
          <w:lang w:eastAsia="ru-RU" w:bidi="ru-RU"/>
        </w:rPr>
        <w:softHyphen/>
        <w:t>го квартала пришла директива об освоении еще двух — Р-6 и АНТ-9 (20325).</w:t>
      </w:r>
    </w:p>
    <w:p w14:paraId="121B7000" w14:textId="77777777" w:rsidR="0001378D" w:rsidRPr="007122AB" w:rsidRDefault="0001378D" w:rsidP="007122AB">
      <w:pPr>
        <w:spacing w:after="0" w:line="240" w:lineRule="auto"/>
        <w:jc w:val="both"/>
        <w:rPr>
          <w:rFonts w:ascii="Times New Roman" w:hAnsi="Times New Roman"/>
          <w:color w:val="000000" w:themeColor="text1"/>
          <w:sz w:val="16"/>
          <w:szCs w:val="16"/>
        </w:rPr>
      </w:pPr>
    </w:p>
    <w:p w14:paraId="0391A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на </w:t>
      </w:r>
      <w:proofErr w:type="spellStart"/>
      <w:r w:rsidRPr="007122AB">
        <w:rPr>
          <w:rFonts w:ascii="Times New Roman" w:hAnsi="Times New Roman"/>
          <w:color w:val="000000" w:themeColor="text1"/>
          <w:sz w:val="16"/>
          <w:szCs w:val="16"/>
        </w:rPr>
        <w:t>гидробазе</w:t>
      </w:r>
      <w:proofErr w:type="spellEnd"/>
      <w:r w:rsidRPr="007122AB">
        <w:rPr>
          <w:rFonts w:ascii="Times New Roman" w:hAnsi="Times New Roman"/>
          <w:color w:val="000000" w:themeColor="text1"/>
          <w:sz w:val="16"/>
          <w:szCs w:val="16"/>
        </w:rPr>
        <w:t xml:space="preserve"> в Таганроге закончились гос. испытания ТБ-1 с поплавками от ЮГ-1, которые проходили с 15 июня 1931 (346,17).</w:t>
      </w:r>
    </w:p>
    <w:p w14:paraId="06FFC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ABFD8A" w14:textId="77777777" w:rsidR="003E28CB" w:rsidRPr="007122AB" w:rsidRDefault="003E28CB"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в Севастополе завершили испытания ТОМ-1 Ришара, но отказались от него в пользу ТБ-1а на поплавках, так как был сложнее (561,5). Испытания велись с начала года и ими руководили </w:t>
      </w:r>
      <w:proofErr w:type="spellStart"/>
      <w:r w:rsidRPr="007122AB">
        <w:rPr>
          <w:rFonts w:ascii="Times New Roman" w:hAnsi="Times New Roman"/>
          <w:color w:val="000000" w:themeColor="text1"/>
          <w:sz w:val="16"/>
          <w:szCs w:val="16"/>
        </w:rPr>
        <w:t>Н.И.Камов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Н.А.Камкин</w:t>
      </w:r>
      <w:proofErr w:type="spellEnd"/>
      <w:r w:rsidRPr="007122AB">
        <w:rPr>
          <w:rFonts w:ascii="Times New Roman" w:hAnsi="Times New Roman"/>
          <w:color w:val="000000" w:themeColor="text1"/>
          <w:sz w:val="16"/>
          <w:szCs w:val="16"/>
        </w:rPr>
        <w:t>. Машина была не плохой, но уже был ТБ-1 (553,164).</w:t>
      </w:r>
    </w:p>
    <w:p w14:paraId="0D2A5E8B" w14:textId="77777777" w:rsidR="003E28CB" w:rsidRPr="007122AB" w:rsidRDefault="003E28CB" w:rsidP="007122AB">
      <w:pPr>
        <w:autoSpaceDE w:val="0"/>
        <w:autoSpaceDN w:val="0"/>
        <w:adjustRightInd w:val="0"/>
        <w:spacing w:after="0" w:line="240" w:lineRule="auto"/>
        <w:jc w:val="both"/>
        <w:rPr>
          <w:rFonts w:ascii="Times New Roman" w:hAnsi="Times New Roman"/>
          <w:color w:val="000000" w:themeColor="text1"/>
          <w:sz w:val="16"/>
          <w:szCs w:val="16"/>
        </w:rPr>
      </w:pPr>
    </w:p>
    <w:p w14:paraId="2D79B1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уже почти готовый Р-6 стоял на заводе № 22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w:t>
      </w:r>
      <w:proofErr w:type="spellStart"/>
      <w:r w:rsidRPr="007122AB">
        <w:rPr>
          <w:rFonts w:ascii="Times New Roman" w:hAnsi="Times New Roman"/>
          <w:color w:val="000000" w:themeColor="text1"/>
          <w:sz w:val="16"/>
          <w:szCs w:val="16"/>
        </w:rPr>
        <w:t>перекомпоновать</w:t>
      </w:r>
      <w:proofErr w:type="spellEnd"/>
      <w:r w:rsidRPr="007122AB">
        <w:rPr>
          <w:rFonts w:ascii="Times New Roman" w:hAnsi="Times New Roman"/>
          <w:color w:val="000000" w:themeColor="text1"/>
          <w:sz w:val="16"/>
          <w:szCs w:val="16"/>
        </w:rPr>
        <w:t xml:space="preserve">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30AC54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29E695"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на опытном образце Р-6 провели испытания вооружения. В течение двух дней с Р-6 осуществляли бомбометание. Самолет нёс шесть укороченных балок Дер-7 под центропланом, механический сбрасыватель Сбр-8 и немецкий бомбовый прицел Герц П 110. Оборудование в основном работало удовлетворительно, но отметили, что крепление бомбодержателей недостаточно прочно (гофр прогибался), установка прицела недоработана, а сбрасывать более чем по две бомбы одновременно очень тяжело. Последнее было характерно вообще </w:t>
      </w:r>
      <w:proofErr w:type="spellStart"/>
      <w:r w:rsidRPr="007122AB">
        <w:rPr>
          <w:rFonts w:ascii="Times New Roman" w:hAnsi="Times New Roman"/>
          <w:color w:val="000000" w:themeColor="text1"/>
          <w:sz w:val="16"/>
          <w:szCs w:val="16"/>
        </w:rPr>
        <w:t>длявсех</w:t>
      </w:r>
      <w:proofErr w:type="spellEnd"/>
      <w:r w:rsidRPr="007122AB">
        <w:rPr>
          <w:rFonts w:ascii="Times New Roman" w:hAnsi="Times New Roman"/>
          <w:color w:val="000000" w:themeColor="text1"/>
          <w:sz w:val="16"/>
          <w:szCs w:val="16"/>
        </w:rPr>
        <w:t xml:space="preserve"> механических сбрасывателей. Вывод испытателей: «В целом принять».</w:t>
      </w:r>
    </w:p>
    <w:p w14:paraId="087FC437"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настала очередь стрелкового вооружения. Опытный образец Р-6, как позже и серийные машины, нёс две турели Тур-5: переднюю и заднюю. Последняя могла перекатываться поперёк фюзеляжа, что увеличивало углы обстрела вбок и позволяло стрелять вниз. На каждой из Тур-5 стояли два пулемёта ДА. В нижней выпускающейся башне размещалась установка конструкции ЦКБ-39 с ещё одним ДА. После испытаний в воздухе последовал вердикт: «Вооружение испытания выдержало». В качестве замечаний отметили тесноту носовой кабины и указали ещё 15 мелких дефектов. К требованию дополнительно установить два неподвижных пулемёта ПВ-1, выдвинутому в октябре 1930 г., уже не возвращались (12264).</w:t>
      </w:r>
    </w:p>
    <w:p w14:paraId="28971C8B"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482EBA91"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августа 1931 г. ЦКБ и ЦАГИ действовали как единая орга</w:t>
      </w:r>
      <w:r w:rsidRPr="007122AB">
        <w:rPr>
          <w:rFonts w:ascii="Times New Roman" w:hAnsi="Times New Roman"/>
          <w:color w:val="000000" w:themeColor="text1"/>
          <w:sz w:val="16"/>
          <w:szCs w:val="16"/>
        </w:rPr>
        <w:softHyphen/>
        <w:t>низация, в доводках ТБ-5 принимали участие и «</w:t>
      </w:r>
      <w:proofErr w:type="spellStart"/>
      <w:r w:rsidRPr="007122AB">
        <w:rPr>
          <w:rFonts w:ascii="Times New Roman" w:hAnsi="Times New Roman"/>
          <w:color w:val="000000" w:themeColor="text1"/>
          <w:sz w:val="16"/>
          <w:szCs w:val="16"/>
        </w:rPr>
        <w:t>цаговские</w:t>
      </w:r>
      <w:proofErr w:type="spellEnd"/>
      <w:r w:rsidRPr="007122AB">
        <w:rPr>
          <w:rFonts w:ascii="Times New Roman" w:hAnsi="Times New Roman"/>
          <w:color w:val="000000" w:themeColor="text1"/>
          <w:sz w:val="16"/>
          <w:szCs w:val="16"/>
        </w:rPr>
        <w:t>» сотрудники. Летчик- испытатель М.М. Громов в 1930 г. перешел работать в ЦАГИ, где успешно провел испытания опытного бомбар</w:t>
      </w:r>
      <w:r w:rsidRPr="007122AB">
        <w:rPr>
          <w:rFonts w:ascii="Times New Roman" w:hAnsi="Times New Roman"/>
          <w:color w:val="000000" w:themeColor="text1"/>
          <w:sz w:val="16"/>
          <w:szCs w:val="16"/>
        </w:rPr>
        <w:softHyphen/>
        <w:t>дировщика ТБ-3. В 1932 г. ему довелось полетать на ТБ-5 и один из таких полетов отме</w:t>
      </w:r>
      <w:r w:rsidRPr="007122AB">
        <w:rPr>
          <w:rFonts w:ascii="Times New Roman" w:hAnsi="Times New Roman"/>
          <w:color w:val="000000" w:themeColor="text1"/>
          <w:sz w:val="16"/>
          <w:szCs w:val="16"/>
        </w:rPr>
        <w:softHyphen/>
        <w:t xml:space="preserve">тился аварийной ситуацией: </w:t>
      </w:r>
      <w:r w:rsidRPr="007122AB">
        <w:rPr>
          <w:rStyle w:val="81"/>
          <w:rFonts w:ascii="Times New Roman" w:hAnsi="Times New Roman" w:cs="Times New Roman"/>
          <w:color w:val="000000" w:themeColor="text1"/>
        </w:rPr>
        <w:t>«Перед тем как перейти на работу летчиком-испытателем из НОА в ЦАГИ в 1930 г., мне пришлось выполнить послед</w:t>
      </w:r>
      <w:r w:rsidRPr="007122AB">
        <w:rPr>
          <w:rStyle w:val="81"/>
          <w:rFonts w:ascii="Times New Roman" w:hAnsi="Times New Roman" w:cs="Times New Roman"/>
          <w:color w:val="000000" w:themeColor="text1"/>
        </w:rPr>
        <w:softHyphen/>
        <w:t>ний испытательный полет в НОА, решивший судьбу четы</w:t>
      </w:r>
      <w:r w:rsidRPr="007122AB">
        <w:rPr>
          <w:rStyle w:val="81"/>
          <w:rFonts w:ascii="Times New Roman" w:hAnsi="Times New Roman" w:cs="Times New Roman"/>
          <w:color w:val="000000" w:themeColor="text1"/>
        </w:rPr>
        <w:softHyphen/>
        <w:t>рехмоторного бомбардиров</w:t>
      </w:r>
      <w:r w:rsidRPr="007122AB">
        <w:rPr>
          <w:rStyle w:val="81"/>
          <w:rFonts w:ascii="Times New Roman" w:hAnsi="Times New Roman" w:cs="Times New Roman"/>
          <w:color w:val="000000" w:themeColor="text1"/>
        </w:rPr>
        <w:softHyphen/>
        <w:t>щика Григоровича. Самолет был оснащен множеством приборов и представлял собой моноплан с высоким расположением крыльев. С каждой стороны под крылом находилось по два мотора, расположенных тандемом (один за другим — один спе</w:t>
      </w:r>
      <w:r w:rsidRPr="007122AB">
        <w:rPr>
          <w:rStyle w:val="81"/>
          <w:rFonts w:ascii="Times New Roman" w:hAnsi="Times New Roman" w:cs="Times New Roman"/>
          <w:color w:val="000000" w:themeColor="text1"/>
        </w:rPr>
        <w:softHyphen/>
        <w:t>реди крыла, другой - сзади). Моторы - воздушного охлаж</w:t>
      </w:r>
      <w:r w:rsidRPr="007122AB">
        <w:rPr>
          <w:rStyle w:val="81"/>
          <w:rFonts w:ascii="Times New Roman" w:hAnsi="Times New Roman" w:cs="Times New Roman"/>
          <w:color w:val="000000" w:themeColor="text1"/>
        </w:rPr>
        <w:softHyphen/>
        <w:t>дения. Перегородка отделяла переднюю кабину от хвостовой части. Два пилотских места. На одном разместился я, на другом - штурман, записы</w:t>
      </w:r>
      <w:r w:rsidRPr="007122AB">
        <w:rPr>
          <w:rStyle w:val="81"/>
          <w:rFonts w:ascii="Times New Roman" w:hAnsi="Times New Roman" w:cs="Times New Roman"/>
          <w:color w:val="000000" w:themeColor="text1"/>
        </w:rPr>
        <w:softHyphen/>
        <w:t>вавший показания приборов. В хвостовой части были двое — Макс Аркадьевич Тайц и Александр Васильевич Чеса</w:t>
      </w:r>
      <w:r w:rsidRPr="007122AB">
        <w:rPr>
          <w:rStyle w:val="81"/>
          <w:rFonts w:ascii="Times New Roman" w:hAnsi="Times New Roman" w:cs="Times New Roman"/>
          <w:color w:val="000000" w:themeColor="text1"/>
        </w:rPr>
        <w:softHyphen/>
        <w:t>лов, ставшие впоследствии крупными учеными. В турели на хвосте находился инженер Даниил Степанович Зосим. Сообщения, связи между передней и задней кабинами не было. Более того, нас разделяла сплошная стенка</w:t>
      </w:r>
      <w:r w:rsidRPr="007122AB">
        <w:rPr>
          <w:rStyle w:val="8"/>
          <w:rFonts w:ascii="Times New Roman" w:hAnsi="Times New Roman" w:cs="Times New Roman"/>
          <w:i w:val="0"/>
          <w:color w:val="000000" w:themeColor="text1"/>
        </w:rPr>
        <w:t xml:space="preserve"> (как видим, воспоминания Михаила Громова не согла</w:t>
      </w:r>
      <w:r w:rsidRPr="007122AB">
        <w:rPr>
          <w:rStyle w:val="8"/>
          <w:rFonts w:ascii="Times New Roman" w:hAnsi="Times New Roman" w:cs="Times New Roman"/>
          <w:i w:val="0"/>
          <w:color w:val="000000" w:themeColor="text1"/>
        </w:rPr>
        <w:softHyphen/>
        <w:t>суются с заявленной в описании самолета способностью экипажа передвигаться по нему от носа до хвоста).</w:t>
      </w:r>
    </w:p>
    <w:p w14:paraId="43B81DC0"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Мы взлетели с Центрального аэро</w:t>
      </w:r>
      <w:r w:rsidRPr="007122AB">
        <w:rPr>
          <w:rFonts w:ascii="Times New Roman" w:hAnsi="Times New Roman" w:cs="Times New Roman"/>
          <w:color w:val="000000" w:themeColor="text1"/>
        </w:rPr>
        <w:softHyphen/>
        <w:t>дрома и, постепенно набирая высоту, облетели Москву с юга, дойдя до ее юго- западных окраин. Определив потолок, начали спуск, снова обходя Москву с юга, то есть, оставляя ее справа от нашего самолета. Когда полет совершался уже над южной окраиной Москвы на высоте примерно пятисот метров, я вдруг услышал душераздирающий крик механика:</w:t>
      </w:r>
    </w:p>
    <w:p w14:paraId="095A16C2" w14:textId="77777777" w:rsidR="003E28CB" w:rsidRPr="007122AB" w:rsidRDefault="003E28CB" w:rsidP="007122AB">
      <w:pPr>
        <w:pStyle w:val="80"/>
        <w:numPr>
          <w:ilvl w:val="0"/>
          <w:numId w:val="2"/>
        </w:numPr>
        <w:shd w:val="clear" w:color="auto" w:fill="auto"/>
        <w:tabs>
          <w:tab w:val="left" w:pos="463"/>
        </w:tabs>
        <w:autoSpaceDE/>
        <w:autoSpaceDN/>
        <w:adjustRightInd/>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Михал Михалыч, пожар! Горим!</w:t>
      </w:r>
    </w:p>
    <w:p w14:paraId="6027D94E"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Оглянулся влево назад и увидел,</w:t>
      </w:r>
    </w:p>
    <w:p w14:paraId="73C87474"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что задний мотор нашего ТБ-5 объят пламенем.</w:t>
      </w:r>
    </w:p>
    <w:p w14:paraId="6C286E4A" w14:textId="77777777" w:rsidR="003E28CB" w:rsidRPr="007122AB" w:rsidRDefault="003E28CB" w:rsidP="007122AB">
      <w:pPr>
        <w:pStyle w:val="80"/>
        <w:numPr>
          <w:ilvl w:val="0"/>
          <w:numId w:val="2"/>
        </w:numPr>
        <w:shd w:val="clear" w:color="auto" w:fill="auto"/>
        <w:tabs>
          <w:tab w:val="left" w:pos="458"/>
        </w:tabs>
        <w:autoSpaceDE/>
        <w:autoSpaceDN/>
        <w:adjustRightInd/>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Закрой бензин!</w:t>
      </w:r>
    </w:p>
    <w:p w14:paraId="661BF94D"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Механик молниеносно юркнул к себе в кабину, но в момент закрытия доступа бен</w:t>
      </w:r>
      <w:r w:rsidRPr="007122AB">
        <w:rPr>
          <w:rFonts w:ascii="Times New Roman" w:hAnsi="Times New Roman" w:cs="Times New Roman"/>
          <w:color w:val="000000" w:themeColor="text1"/>
        </w:rPr>
        <w:softHyphen/>
        <w:t>зина в моторы я почувствовал какой-то удар. Винты продолжали вращаться. Мгновенно перевел самолете правое скольжение, чтобы пламя не зажгло фюзеляж. Через несколько секунд посмотрел еще раз. Пожара не было, но и заднего мотора я не увидел. «Неужели мотор оторвался и убил кого-нибудь на земле?» — пронеслось в мозгу.</w:t>
      </w:r>
    </w:p>
    <w:p w14:paraId="5A37F8E1"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Штурман, сидевший рядом, влез с ногами на сиденье и приготовился выпрыг</w:t>
      </w:r>
      <w:r w:rsidRPr="007122AB">
        <w:rPr>
          <w:rFonts w:ascii="Times New Roman" w:hAnsi="Times New Roman" w:cs="Times New Roman"/>
          <w:color w:val="000000" w:themeColor="text1"/>
        </w:rPr>
        <w:softHyphen/>
        <w:t>нуть с парашютом. Я ему пригрозил кула</w:t>
      </w:r>
      <w:r w:rsidRPr="007122AB">
        <w:rPr>
          <w:rFonts w:ascii="Times New Roman" w:hAnsi="Times New Roman" w:cs="Times New Roman"/>
          <w:color w:val="000000" w:themeColor="text1"/>
        </w:rPr>
        <w:softHyphen/>
        <w:t>ком: сидеть! Планирую и вижу, что дотянуть до Московского аэродрома не могу, так как на скольжении потерял высоту. Иду на аэродром в Филях. Остается сто метров высоты. Под нами провода с током высокого напряжения, пасется скот. Вижу, что и до аэродрома в Филях немного недотягиваю. Кричу механику:</w:t>
      </w:r>
    </w:p>
    <w:p w14:paraId="3053BDE2" w14:textId="77777777" w:rsidR="003E28CB" w:rsidRPr="007122AB" w:rsidRDefault="003E28CB" w:rsidP="007122AB">
      <w:pPr>
        <w:pStyle w:val="80"/>
        <w:numPr>
          <w:ilvl w:val="0"/>
          <w:numId w:val="2"/>
        </w:numPr>
        <w:shd w:val="clear" w:color="auto" w:fill="auto"/>
        <w:tabs>
          <w:tab w:val="left" w:pos="463"/>
        </w:tabs>
        <w:autoSpaceDE/>
        <w:autoSpaceDN/>
        <w:adjustRightInd/>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Включай бензин!</w:t>
      </w:r>
    </w:p>
    <w:p w14:paraId="17A86165"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Мы над границей аэродрома. Выклю</w:t>
      </w:r>
      <w:r w:rsidRPr="007122AB">
        <w:rPr>
          <w:rFonts w:ascii="Times New Roman" w:hAnsi="Times New Roman" w:cs="Times New Roman"/>
          <w:color w:val="000000" w:themeColor="text1"/>
        </w:rPr>
        <w:softHyphen/>
        <w:t>чаю моторы. Приземляемся. Схожу на землю, и, о чудо, — мотор застрял на шасси и не зажал колеса. Никто не убит! Какая радость! Но бледный Макс Аркадьевич Тайц мне сообщает, что, когда отвалился мотор, Александр Васильевич Чесалов выпрыгнул с парашютом.</w:t>
      </w:r>
    </w:p>
    <w:p w14:paraId="31AD0E73" w14:textId="77777777" w:rsidR="003E28CB" w:rsidRPr="007122AB" w:rsidRDefault="003E28CB" w:rsidP="007122AB">
      <w:pPr>
        <w:pStyle w:val="80"/>
        <w:numPr>
          <w:ilvl w:val="0"/>
          <w:numId w:val="2"/>
        </w:numPr>
        <w:shd w:val="clear" w:color="auto" w:fill="auto"/>
        <w:tabs>
          <w:tab w:val="left" w:pos="457"/>
        </w:tabs>
        <w:autoSpaceDE/>
        <w:autoSpaceDN/>
        <w:adjustRightInd/>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Мы видели, что парашют раскрылся. Чесалов приземлился благополучно.</w:t>
      </w:r>
    </w:p>
    <w:p w14:paraId="57101270" w14:textId="77777777" w:rsidR="003E28CB" w:rsidRPr="007122AB" w:rsidRDefault="003E28CB" w:rsidP="007122AB">
      <w:pPr>
        <w:pStyle w:val="80"/>
        <w:shd w:val="clear" w:color="auto" w:fill="auto"/>
        <w:spacing w:line="240" w:lineRule="auto"/>
        <w:jc w:val="both"/>
        <w:rPr>
          <w:rFonts w:ascii="Times New Roman" w:hAnsi="Times New Roman" w:cs="Times New Roman"/>
          <w:color w:val="000000" w:themeColor="text1"/>
        </w:rPr>
      </w:pPr>
      <w:r w:rsidRPr="007122AB">
        <w:rPr>
          <w:rFonts w:ascii="Times New Roman" w:hAnsi="Times New Roman" w:cs="Times New Roman"/>
          <w:color w:val="000000" w:themeColor="text1"/>
        </w:rPr>
        <w:t>От ангара в это время к нам бежали почти все механики, работавшие около самолетов. Они наблюдали весь наш «спектакль» в воздухе: громадное пламя, затем прыжок с парашютом человека, и вот посадка с мотором на шасси. Меня подхватили на руки и начали качать...</w:t>
      </w:r>
    </w:p>
    <w:p w14:paraId="1EA04987"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Мне и на этот раз - и не в последний! — конечно, повезло»</w:t>
      </w:r>
    </w:p>
    <w:p w14:paraId="063176AB"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описанной аварийной посадки ТБ-5 вплоть до декабря 1932 г. находился на аэродроме 22-го завода (12611).</w:t>
      </w:r>
    </w:p>
    <w:p w14:paraId="32A2418F"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15B9D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появилась первая таганрогская пятерка Р-5.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 Руководство ВАО поняло бесперспективность распыления сил и сняло с завода N° 31 план по Р-5. Весь </w:t>
      </w:r>
      <w:proofErr w:type="spellStart"/>
      <w:r w:rsidRPr="007122AB">
        <w:rPr>
          <w:rFonts w:ascii="Times New Roman" w:hAnsi="Times New Roman"/>
          <w:color w:val="000000" w:themeColor="text1"/>
          <w:sz w:val="16"/>
          <w:szCs w:val="16"/>
        </w:rPr>
        <w:t>обьем</w:t>
      </w:r>
      <w:proofErr w:type="spellEnd"/>
      <w:r w:rsidRPr="007122AB">
        <w:rPr>
          <w:rFonts w:ascii="Times New Roman" w:hAnsi="Times New Roman"/>
          <w:color w:val="000000" w:themeColor="text1"/>
          <w:sz w:val="16"/>
          <w:szCs w:val="16"/>
        </w:rPr>
        <w:t xml:space="preserve">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 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w:t>
      </w:r>
      <w:proofErr w:type="spellStart"/>
      <w:r w:rsidRPr="007122AB">
        <w:rPr>
          <w:rFonts w:ascii="Times New Roman" w:hAnsi="Times New Roman"/>
          <w:color w:val="000000" w:themeColor="text1"/>
          <w:sz w:val="16"/>
          <w:szCs w:val="16"/>
        </w:rPr>
        <w:t>подфюзеляжные</w:t>
      </w:r>
      <w:proofErr w:type="spellEnd"/>
      <w:r w:rsidRPr="007122AB">
        <w:rPr>
          <w:rFonts w:ascii="Times New Roman" w:hAnsi="Times New Roman"/>
          <w:color w:val="000000" w:themeColor="text1"/>
          <w:sz w:val="16"/>
          <w:szCs w:val="16"/>
        </w:rPr>
        <w:t xml:space="preserve">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14888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B176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августе 1931 г. первая пятерка Р-5 завода № 31 была готова. Во всех машинах военная приемка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Руководство ВАО поняло бесперспективность распыления сил и сняло с завода № 31 план по Р-5.</w:t>
      </w:r>
    </w:p>
    <w:p w14:paraId="14268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Весь объем производства в итоге лег на плечи завода № 1, неустанно совершенствовавшего машину. Массовое производство начали двумя сериями: в первой из них было 50 машин, во второй - 80.</w:t>
      </w:r>
    </w:p>
    <w:p w14:paraId="2603E6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этим часть запланированных на них нововведений опробовали на специально построенной машине № 4316. На ней установили изготовленный в Рыбинске мотор М-17 (советскую копию BMW VI) и усиленное (из груб большего диаметра) шасси. В ноябре 1930 г. и то, и другое было одобрено для внедрения в производство.</w:t>
      </w:r>
    </w:p>
    <w:p w14:paraId="7EB711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3-я серия (она же 1-я серия 1930/31 гг.) начиналась с самолета № 4534. На ней увеличили окно в полу (по типу изготовленного в НИИ ВВС на четвертой опытной машине), поставили пилоту зеркальце для обзора назад. Затем внедрили увеличенные радиаторы (их досылали в части и к машинам более раннего выпуска), стойки и подкосы шасси из труб увеличенного диаметра, более прочное сиденье для летнаба. С 16-го Р-5 этой серии появились </w:t>
      </w:r>
      <w:proofErr w:type="spellStart"/>
      <w:r w:rsidRPr="007122AB">
        <w:rPr>
          <w:rFonts w:ascii="Times New Roman" w:hAnsi="Times New Roman"/>
          <w:color w:val="000000" w:themeColor="text1"/>
          <w:sz w:val="16"/>
          <w:szCs w:val="16"/>
        </w:rPr>
        <w:t>подфюзеляжные</w:t>
      </w:r>
      <w:proofErr w:type="spellEnd"/>
      <w:r w:rsidRPr="007122AB">
        <w:rPr>
          <w:rFonts w:ascii="Times New Roman" w:hAnsi="Times New Roman"/>
          <w:color w:val="000000" w:themeColor="text1"/>
          <w:sz w:val="16"/>
          <w:szCs w:val="16"/>
        </w:rPr>
        <w:t xml:space="preserve"> бомбодержатели Дер-13. Некоторые самолеты с конца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выпущенных ранее, "</w:t>
      </w:r>
      <w:proofErr w:type="spellStart"/>
      <w:r w:rsidRPr="007122AB">
        <w:rPr>
          <w:rFonts w:ascii="Times New Roman" w:hAnsi="Times New Roman"/>
          <w:color w:val="000000" w:themeColor="text1"/>
          <w:sz w:val="16"/>
          <w:szCs w:val="16"/>
        </w:rPr>
        <w:t>Лыоисы</w:t>
      </w:r>
      <w:proofErr w:type="spellEnd"/>
      <w:r w:rsidRPr="007122AB">
        <w:rPr>
          <w:rFonts w:ascii="Times New Roman" w:hAnsi="Times New Roman"/>
          <w:color w:val="000000" w:themeColor="text1"/>
          <w:sz w:val="16"/>
          <w:szCs w:val="16"/>
        </w:rPr>
        <w:t xml:space="preserve">" меняли на ДА уже непосредственно в строевых частях ВВС; первоначально </w:t>
      </w:r>
      <w:proofErr w:type="spellStart"/>
      <w:r w:rsidRPr="007122AB">
        <w:rPr>
          <w:rFonts w:ascii="Times New Roman" w:hAnsi="Times New Roman"/>
          <w:color w:val="000000" w:themeColor="text1"/>
          <w:sz w:val="16"/>
          <w:szCs w:val="16"/>
        </w:rPr>
        <w:t>устанавливаш</w:t>
      </w:r>
      <w:proofErr w:type="spellEnd"/>
      <w:r w:rsidRPr="007122AB">
        <w:rPr>
          <w:rFonts w:ascii="Times New Roman" w:hAnsi="Times New Roman"/>
          <w:color w:val="000000" w:themeColor="text1"/>
          <w:sz w:val="16"/>
          <w:szCs w:val="16"/>
        </w:rPr>
        <w:t xml:space="preserve"> только по одному пулемету. Улучшили дренаж и сделали водонепроницаемые, на резиновых прокладках, люки в центроплане. Всего за 1931 г. в конструкцию самолета внесли более 150 изменений (12034).</w:t>
      </w:r>
    </w:p>
    <w:p w14:paraId="50175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614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Д.П.Г. передал на испытания ДИ-3 (346,55).</w:t>
      </w:r>
    </w:p>
    <w:p w14:paraId="6FFA65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1555C9" w14:textId="77777777" w:rsidR="00A522A1" w:rsidRPr="007122AB" w:rsidRDefault="00A522A1"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года истребитель ДИ-3 вышел на испытания. Его отличительной особенностью было разнесенное вертикальное оперение, кстати, впервые в отечественных конструкциях самолетов для удобства ведения огня с задней точки. ДИ-3 на испытаниях показал неплохие летные качества, близкие к И-5, но в ходе испытаний из-за многих доводок оказался перетяжеленным, и его первоначальные характеристики снизились. На Государственных испытаниях он показал скорость у земли 256 км/ч, а потолок 6300 м. Военных такие показатели уже не удовлетворяли, и на вооружение ДИ-3 принят не был (15223).</w:t>
      </w:r>
    </w:p>
    <w:p w14:paraId="71890251" w14:textId="77777777" w:rsidR="00A522A1" w:rsidRPr="007122AB" w:rsidRDefault="00A522A1" w:rsidP="007122AB">
      <w:pPr>
        <w:shd w:val="clear" w:color="auto" w:fill="FFFFFF"/>
        <w:spacing w:after="0" w:line="240" w:lineRule="auto"/>
        <w:jc w:val="both"/>
        <w:rPr>
          <w:rFonts w:ascii="Times New Roman" w:hAnsi="Times New Roman"/>
          <w:color w:val="000000" w:themeColor="text1"/>
          <w:sz w:val="16"/>
          <w:szCs w:val="16"/>
        </w:rPr>
      </w:pPr>
    </w:p>
    <w:p w14:paraId="302AD8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после успешного завершения работ по И-5 большую группу специалистов ВТ, включая Н.Н.П. перевели в АГОС ЦАГИ и эту-то группу и возглавлял </w:t>
      </w:r>
      <w:proofErr w:type="spellStart"/>
      <w:r w:rsidRPr="007122AB">
        <w:rPr>
          <w:rFonts w:ascii="Times New Roman" w:hAnsi="Times New Roman"/>
          <w:color w:val="000000" w:themeColor="text1"/>
          <w:sz w:val="16"/>
          <w:szCs w:val="16"/>
        </w:rPr>
        <w:t>Е.Н.Пауфлер</w:t>
      </w:r>
      <w:proofErr w:type="spellEnd"/>
      <w:r w:rsidRPr="007122AB">
        <w:rPr>
          <w:rFonts w:ascii="Times New Roman" w:hAnsi="Times New Roman"/>
          <w:color w:val="000000" w:themeColor="text1"/>
          <w:sz w:val="16"/>
          <w:szCs w:val="16"/>
        </w:rPr>
        <w:t>. Тут-то АГОС и стал КОСОС и были созданы новые бригады (222,25).</w:t>
      </w:r>
    </w:p>
    <w:p w14:paraId="76CD4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A3D4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в течение двух дней испытывали вооружение АНТ-7 (Р-6). На машине было 7 укороченных балок Дер-7 под центропланом, механический Сбр-8 и немецкий бомбардировочный прицел Герц F1110. испытали и Тур-5 с ДА (2671,14).</w:t>
      </w:r>
    </w:p>
    <w:p w14:paraId="170EB4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3B3E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начали постройку опытного образца Р-5а. Поплавки изготовил московский завод № 28. Отставая от графика более, чем на 5 месяцев, машину смогли выпустить только к зиме. Москва- река уже замерзла, и самолет отправили в Севастополь. Там 31 декабря состоялся первый полет. Заводские испытания длились меньше месяца, а Государственные проходили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3DD850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w:t>
      </w:r>
      <w:proofErr w:type="spellStart"/>
      <w:r w:rsidRPr="007122AB">
        <w:rPr>
          <w:rFonts w:ascii="Times New Roman" w:hAnsi="Times New Roman"/>
          <w:color w:val="000000" w:themeColor="text1"/>
          <w:sz w:val="16"/>
          <w:szCs w:val="16"/>
        </w:rPr>
        <w:t>комплекси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ровал</w:t>
      </w:r>
      <w:proofErr w:type="spellEnd"/>
      <w:r w:rsidRPr="007122AB">
        <w:rPr>
          <w:rFonts w:ascii="Times New Roman" w:hAnsi="Times New Roman"/>
          <w:color w:val="000000" w:themeColor="text1"/>
          <w:sz w:val="16"/>
          <w:szCs w:val="16"/>
        </w:rPr>
        <w:t xml:space="preserve">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2E8956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65C43E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Серийные машины имели усиленный каркас передней части фюзеляжа и измененную </w:t>
      </w: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349BBE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55E26B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54E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на заводе № 39 начали постройку опытного образца морского Р-5а. Поплавки изготовил московский завод № 28, специализировавшийся на воздушных винтах и лыжах. Р-5а хотели сначала опробовать на Москве-реке, а затем отвезти на Черное море для государственных испытаний. Но, отставая от графика более чем на пять месяцев, машину смогли выпустить только к зиме, когда Москва-река уже покрылась льдом.</w:t>
      </w:r>
    </w:p>
    <w:p w14:paraId="56C08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отправили в Севастополь. Там 31 декабря 1931 г. состоялся первый полет. Заводские испытания длились меньше месяца. Государственные испытания шли там же, в Севастополе, где располагался Особый морской отдел (ОМО)НИИ ВВС.Онивелисьс27январяпо 17апреля 1932г.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34379C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546A4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0C4812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FD0171" w14:textId="77777777" w:rsidR="00A522A1" w:rsidRPr="007122AB" w:rsidRDefault="00A522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на базе </w:t>
      </w:r>
      <w:proofErr w:type="spellStart"/>
      <w:r w:rsidRPr="007122AB">
        <w:rPr>
          <w:rFonts w:ascii="Times New Roman" w:hAnsi="Times New Roman"/>
          <w:color w:val="000000" w:themeColor="text1"/>
          <w:sz w:val="16"/>
          <w:szCs w:val="16"/>
        </w:rPr>
        <w:t>авиамотодесантного</w:t>
      </w:r>
      <w:proofErr w:type="spellEnd"/>
      <w:r w:rsidRPr="007122AB">
        <w:rPr>
          <w:rFonts w:ascii="Times New Roman" w:hAnsi="Times New Roman"/>
          <w:color w:val="000000" w:themeColor="text1"/>
          <w:sz w:val="16"/>
          <w:szCs w:val="16"/>
        </w:rPr>
        <w:t xml:space="preserve"> отряда Ленинградского военного округа проводились первые войсковые испытания экспериментальной партии подкрыльных опрокидывающихся люлек, предназначенных для автоматической выброски с этого же самолета людей, снабженных десантными парашютами системы Гроховского. Однако итоги испытаний показали, что предлагаемый способ выброски не мог быть принят на вооружение ввиду крайней сложности. Предельно напряженное состояние десантников, в полном одиночестве лежащих в люльках в течение всего полета, неожиданность момента сброса и полная беспомощность совершающего прыжок в случае каких-либо неполадок отрицательно действовали на психологическое состояние воинов (15506).</w:t>
      </w:r>
    </w:p>
    <w:p w14:paraId="5C2D31CD" w14:textId="77777777" w:rsidR="00A522A1" w:rsidRPr="007122AB" w:rsidRDefault="00A522A1" w:rsidP="007122AB">
      <w:pPr>
        <w:spacing w:after="0" w:line="240" w:lineRule="auto"/>
        <w:jc w:val="both"/>
        <w:rPr>
          <w:rFonts w:ascii="Times New Roman" w:hAnsi="Times New Roman"/>
          <w:color w:val="000000" w:themeColor="text1"/>
          <w:sz w:val="16"/>
          <w:szCs w:val="16"/>
        </w:rPr>
      </w:pPr>
    </w:p>
    <w:p w14:paraId="3E504BB8"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1931 г. Реввоенсовет принял ре</w:t>
      </w:r>
      <w:r w:rsidRPr="00441F34">
        <w:rPr>
          <w:rFonts w:ascii="Times New Roman" w:hAnsi="Times New Roman"/>
          <w:color w:val="0070C0"/>
          <w:sz w:val="16"/>
          <w:szCs w:val="16"/>
        </w:rPr>
        <w:softHyphen/>
        <w:t>шение прекратить покупку за рубежом двигателей для опытных самолетов. Все новые машины должны были создаваться под отечественные образцы (23513).</w:t>
      </w:r>
    </w:p>
    <w:p w14:paraId="2975B979" w14:textId="77777777" w:rsidR="005504A8" w:rsidRPr="00441F34" w:rsidRDefault="005504A8" w:rsidP="005504A8">
      <w:pPr>
        <w:spacing w:after="0" w:line="240" w:lineRule="auto"/>
        <w:jc w:val="both"/>
        <w:rPr>
          <w:rFonts w:ascii="Times New Roman" w:hAnsi="Times New Roman"/>
          <w:color w:val="0070C0"/>
          <w:sz w:val="16"/>
          <w:szCs w:val="16"/>
        </w:rPr>
      </w:pPr>
    </w:p>
    <w:p w14:paraId="4CDC78F0" w14:textId="77777777" w:rsidR="00A522A1" w:rsidRPr="007122AB" w:rsidRDefault="00A522A1" w:rsidP="007122AB">
      <w:pPr>
        <w:pStyle w:val="a3"/>
        <w:rPr>
          <w:color w:val="000000" w:themeColor="text1"/>
          <w:lang w:val="ru-RU"/>
        </w:rPr>
      </w:pPr>
      <w:r w:rsidRPr="007122AB">
        <w:rPr>
          <w:color w:val="000000" w:themeColor="text1"/>
          <w:lang w:val="ru-RU"/>
        </w:rPr>
        <w:t>В августе 1931 г. при обсуж</w:t>
      </w:r>
      <w:r w:rsidRPr="007122AB">
        <w:rPr>
          <w:color w:val="000000" w:themeColor="text1"/>
          <w:lang w:val="ru-RU"/>
        </w:rPr>
        <w:softHyphen/>
        <w:t>дении планов строительства рекордных самолетов денежные средства добро</w:t>
      </w:r>
      <w:r w:rsidRPr="007122AB">
        <w:rPr>
          <w:color w:val="000000" w:themeColor="text1"/>
          <w:lang w:val="ru-RU"/>
        </w:rPr>
        <w:softHyphen/>
        <w:t>вольной оборонной организации еще упоминались, в частности назывались 600 тыс. руб., собранные у трудящихся на развитие авиации. Начальник Все</w:t>
      </w:r>
      <w:r w:rsidRPr="007122AB">
        <w:rPr>
          <w:color w:val="000000" w:themeColor="text1"/>
          <w:lang w:val="ru-RU"/>
        </w:rPr>
        <w:softHyphen/>
        <w:t>союзного авиационного объединения, а в недавнем прошлом начальник ВВС РККА (до июня 1931 г.) П.И. Баранов прямо предложил руководителю ЦАГИ Н.М. Харламову (официально назначен начальником ЦАГИ в январе 1932 г.) направить эти достаточно немалые деньги Осоавиахима в ЦАГИ на по</w:t>
      </w:r>
      <w:r w:rsidRPr="007122AB">
        <w:rPr>
          <w:color w:val="000000" w:themeColor="text1"/>
          <w:lang w:val="ru-RU"/>
        </w:rPr>
        <w:softHyphen/>
        <w:t>стройку самолета РД (АНТ-25). Однако передать общественные средства на</w:t>
      </w:r>
      <w:r w:rsidRPr="007122AB">
        <w:rPr>
          <w:color w:val="000000" w:themeColor="text1"/>
          <w:lang w:val="ru-RU"/>
        </w:rPr>
        <w:softHyphen/>
        <w:t>прямую в промышленность оказалось непросто, согласия в этом вопросе у руководства не наблюдалось, поэто</w:t>
      </w:r>
      <w:r w:rsidRPr="007122AB">
        <w:rPr>
          <w:color w:val="000000" w:themeColor="text1"/>
          <w:lang w:val="ru-RU"/>
        </w:rPr>
        <w:softHyphen/>
        <w:t>му решили изыскать другой вариант. В конечном счете деньги перечислили в МАИ, где решили с участием молодых сотрудников и студентов спроектиро</w:t>
      </w:r>
      <w:r w:rsidRPr="007122AB">
        <w:rPr>
          <w:color w:val="000000" w:themeColor="text1"/>
          <w:lang w:val="ru-RU"/>
        </w:rPr>
        <w:softHyphen/>
        <w:t>вать и построить еще один рекордный самолет. Если ЦАГИ поручили создать самолет с дальностью полета 13000 км, то учебному институту выдали задание на подобный летательный аппарат, также с двигателем М-34, способный пролететь без посадки 5000 км.</w:t>
      </w:r>
    </w:p>
    <w:p w14:paraId="41186581" w14:textId="77777777" w:rsidR="00A522A1" w:rsidRPr="007122AB" w:rsidRDefault="00A522A1" w:rsidP="007122AB">
      <w:pPr>
        <w:pStyle w:val="a3"/>
        <w:rPr>
          <w:color w:val="000000" w:themeColor="text1"/>
          <w:lang w:val="ru-RU"/>
        </w:rPr>
      </w:pPr>
      <w:r w:rsidRPr="007122AB">
        <w:rPr>
          <w:color w:val="000000" w:themeColor="text1"/>
          <w:lang w:val="ru-RU"/>
        </w:rPr>
        <w:t>Странная идея с заранее ограничен</w:t>
      </w:r>
      <w:r w:rsidRPr="007122AB">
        <w:rPr>
          <w:color w:val="000000" w:themeColor="text1"/>
          <w:lang w:val="ru-RU"/>
        </w:rPr>
        <w:softHyphen/>
        <w:t>ной дальностью полета, скорее всего, объяснялась сомнением, что в учебном институте, существующем с 1930 г. и не имеющем ни конструкторов, ни производственников, ни оборудова</w:t>
      </w:r>
      <w:r w:rsidRPr="007122AB">
        <w:rPr>
          <w:color w:val="000000" w:themeColor="text1"/>
          <w:lang w:val="ru-RU"/>
        </w:rPr>
        <w:softHyphen/>
        <w:t>ния, действительно смогут создать дальний самолет (15746).</w:t>
      </w:r>
    </w:p>
    <w:p w14:paraId="5FFAE94B" w14:textId="77777777" w:rsidR="00A522A1" w:rsidRPr="007122AB" w:rsidRDefault="00A522A1" w:rsidP="007122AB">
      <w:pPr>
        <w:pStyle w:val="a3"/>
        <w:rPr>
          <w:color w:val="000000" w:themeColor="text1"/>
          <w:lang w:val="ru-RU"/>
        </w:rPr>
      </w:pPr>
    </w:p>
    <w:p w14:paraId="37D4B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при Реввоенсовете создали спецкомиссию по постройке рекордного самолета (92,484).</w:t>
      </w:r>
    </w:p>
    <w:p w14:paraId="77770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5C5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в ЦАГИ приступили к подготовке эскизных проектов дальнего и высотного самолетов. Причем ос </w:t>
      </w:r>
      <w:proofErr w:type="spellStart"/>
      <w:r w:rsidRPr="007122AB">
        <w:rPr>
          <w:rFonts w:ascii="Times New Roman" w:hAnsi="Times New Roman"/>
          <w:color w:val="000000" w:themeColor="text1"/>
          <w:sz w:val="16"/>
          <w:szCs w:val="16"/>
        </w:rPr>
        <w:t>новным</w:t>
      </w:r>
      <w:proofErr w:type="spellEnd"/>
      <w:r w:rsidRPr="007122AB">
        <w:rPr>
          <w:rFonts w:ascii="Times New Roman" w:hAnsi="Times New Roman"/>
          <w:color w:val="000000" w:themeColor="text1"/>
          <w:sz w:val="16"/>
          <w:szCs w:val="16"/>
        </w:rPr>
        <w:t xml:space="preserve"> направлением указанной деятельности считалось создание аппарата для достижения рекорда дальности полета. Дополнительным стимулом к созданию такой машины стали события, связанные с неудачными попытками перелетов в августе-сентябре 1931 г. двух французских монопланов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D.33. Неизвестно, на каких условиях, но останки, по крайней </w:t>
      </w:r>
      <w:r w:rsidRPr="007122AB">
        <w:rPr>
          <w:rFonts w:ascii="Times New Roman" w:hAnsi="Times New Roman"/>
          <w:color w:val="000000" w:themeColor="text1"/>
          <w:sz w:val="16"/>
          <w:szCs w:val="16"/>
        </w:rPr>
        <w:lastRenderedPageBreak/>
        <w:t>мере, одного разбившегося француза остались на территории СССР. Вне всякого сомнения, D.33 обстоятельно изучили, а полученную информацию использовали при создании своего сверхдальнего самолета. Однако главным обстоятельством, способствующим развитию событий, стали успешные испытания нового авиационного двигателя М-34, закончившиеся глубокой осенью 1931 года (11941).</w:t>
      </w:r>
    </w:p>
    <w:p w14:paraId="6D120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5EB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начальник УВВС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и зам. начальника ЦАГИ А.Н.Т. представили в Реввоенсовет совместную докладную записку с приложенным эскизным проектом самолета для побития рекорда дальности в простых условиях погоды, который </w:t>
      </w:r>
      <w:proofErr w:type="spellStart"/>
      <w:r w:rsidRPr="007122AB">
        <w:rPr>
          <w:rFonts w:ascii="Times New Roman" w:hAnsi="Times New Roman"/>
          <w:color w:val="000000" w:themeColor="text1"/>
          <w:sz w:val="16"/>
          <w:szCs w:val="16"/>
        </w:rPr>
        <w:t>м.б.</w:t>
      </w:r>
      <w:proofErr w:type="spellEnd"/>
      <w:r w:rsidRPr="007122AB">
        <w:rPr>
          <w:rFonts w:ascii="Times New Roman" w:hAnsi="Times New Roman"/>
          <w:color w:val="000000" w:themeColor="text1"/>
          <w:sz w:val="16"/>
          <w:szCs w:val="16"/>
        </w:rPr>
        <w:t xml:space="preserve"> и ДБ. Плюс план мероприятий, включая постройку спец. ВПП (80,332).</w:t>
      </w:r>
    </w:p>
    <w:p w14:paraId="13F93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Видно таким образом А.Н.Т. добивался независимости.</w:t>
      </w:r>
    </w:p>
    <w:p w14:paraId="5A694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комиссия была создана 7 декабря 1931. Нет, 7 декабря вышло постановление Правительства (2072,71).</w:t>
      </w:r>
    </w:p>
    <w:p w14:paraId="14250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15FD0F" w14:textId="77777777" w:rsidR="0001378D" w:rsidRPr="007122AB" w:rsidRDefault="0001378D" w:rsidP="007122AB">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августе 1931 года, когда начальник ВВС РККА Я.И. Алкснис и конструктор ЦАГИ А.Н. Туполев представили в Реввоенсовет СССР совместную докладную записку с эскизным проектом самолета для установления мирового рекорда дальности полета. 4 декабря 1931 года, рассмотрев и всесторонне обсудив предложение Алксниса и Туполева, председатель РВС СССР К.Е. Ворошилов обратился в правительство с докладом о постройке рекордного самолета и об организации дальнего перелета. 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 (21249).</w:t>
      </w:r>
    </w:p>
    <w:p w14:paraId="4199F28E" w14:textId="77777777" w:rsidR="0001378D" w:rsidRPr="007122AB" w:rsidRDefault="0001378D" w:rsidP="007122AB">
      <w:pPr>
        <w:shd w:val="clear" w:color="auto" w:fill="FFFFFF"/>
        <w:spacing w:after="0" w:line="240" w:lineRule="auto"/>
        <w:jc w:val="both"/>
        <w:rPr>
          <w:rFonts w:ascii="Times New Roman" w:hAnsi="Times New Roman"/>
          <w:color w:val="000000" w:themeColor="text1"/>
          <w:sz w:val="16"/>
          <w:szCs w:val="16"/>
          <w:shd w:val="clear" w:color="auto" w:fill="FFFFFF"/>
        </w:rPr>
      </w:pPr>
    </w:p>
    <w:p w14:paraId="010D2F1A"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августе 1931 года при Реввоенсовете была создана специальная комиссия под председательством К. Е. Ворошилова по организации и содействию в постройке советского сверхдальнего самолета, идея которого родилась в ЦАГИ. В эту комиссию также вошли нарком тяжелой промышленности Г. К. Орджоникидзе, начальник </w:t>
      </w:r>
      <w:proofErr w:type="spellStart"/>
      <w:r w:rsidRPr="00441F34">
        <w:rPr>
          <w:rFonts w:ascii="Times New Roman" w:hAnsi="Times New Roman"/>
          <w:color w:val="0070C0"/>
          <w:sz w:val="16"/>
          <w:szCs w:val="16"/>
        </w:rPr>
        <w:t>Главкоавиа</w:t>
      </w:r>
      <w:proofErr w:type="spellEnd"/>
      <w:r w:rsidRPr="00441F34">
        <w:rPr>
          <w:rFonts w:ascii="Times New Roman" w:hAnsi="Times New Roman"/>
          <w:color w:val="0070C0"/>
          <w:sz w:val="16"/>
          <w:szCs w:val="16"/>
        </w:rPr>
        <w:t xml:space="preserve"> наркомата М. А. </w:t>
      </w:r>
      <w:proofErr w:type="spellStart"/>
      <w:r w:rsidRPr="00441F34">
        <w:rPr>
          <w:rFonts w:ascii="Times New Roman" w:hAnsi="Times New Roman"/>
          <w:color w:val="0070C0"/>
          <w:sz w:val="16"/>
          <w:szCs w:val="16"/>
        </w:rPr>
        <w:t>Рухимович</w:t>
      </w:r>
      <w:proofErr w:type="spellEnd"/>
      <w:r w:rsidRPr="00441F34">
        <w:rPr>
          <w:rFonts w:ascii="Times New Roman" w:hAnsi="Times New Roman"/>
          <w:color w:val="0070C0"/>
          <w:sz w:val="16"/>
          <w:szCs w:val="16"/>
        </w:rPr>
        <w:t>, академик О. Ю. Шмидт, командующий ВВС Я. И. Алкснис и А. Н. Туполев.</w:t>
      </w:r>
    </w:p>
    <w:p w14:paraId="71D4AFF7"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Результатом их работы стало правительственное решение от 7 декабря 1931 года о строительстве самолета РД, способного выполнить беспосадочный полет на дальность до 13 000 км. Одновременно началось рассмотрение и возможных трасс для будущих сверхдальних перелетов, поскольку для получения рекордного результата не хватало даже огромных размеров СССР. Не хватало и опыта организации и проведения столь дальних перелетов, в связи с чем этой комиссией был поставлен вопрос о необходимости создания меньшего по размерам самолета с дальностью беспосадочного полета до 5000 км. За такой «промежуточный» самолет и взялся известный авиаконструктор Дмитрий Павлович Григорович, возглавлявший тогда кафедру конструкции и проектирования самолетов МАИ (24213).</w:t>
      </w:r>
    </w:p>
    <w:p w14:paraId="076F876D" w14:textId="77777777" w:rsidR="005504A8" w:rsidRPr="00441F34" w:rsidRDefault="005504A8" w:rsidP="005504A8">
      <w:pPr>
        <w:spacing w:after="0" w:line="240" w:lineRule="auto"/>
        <w:jc w:val="both"/>
        <w:rPr>
          <w:rFonts w:ascii="Times New Roman" w:hAnsi="Times New Roman"/>
          <w:color w:val="0070C0"/>
          <w:sz w:val="16"/>
          <w:szCs w:val="16"/>
        </w:rPr>
      </w:pPr>
    </w:p>
    <w:p w14:paraId="5CAB26CE"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1931 г. начальник ВВС РККА Я.И. Алкснис и заместитель началь</w:t>
      </w:r>
      <w:r w:rsidRPr="00441F34">
        <w:rPr>
          <w:rFonts w:ascii="Times New Roman" w:hAnsi="Times New Roman"/>
          <w:color w:val="0070C0"/>
          <w:sz w:val="16"/>
          <w:szCs w:val="16"/>
        </w:rPr>
        <w:softHyphen/>
        <w:t xml:space="preserve">ника Центрального конструкторского бюро (ЦКБ) Центрального </w:t>
      </w:r>
      <w:proofErr w:type="spellStart"/>
      <w:r w:rsidRPr="00441F34">
        <w:rPr>
          <w:rFonts w:ascii="Times New Roman" w:hAnsi="Times New Roman"/>
          <w:color w:val="0070C0"/>
          <w:sz w:val="16"/>
          <w:szCs w:val="16"/>
        </w:rPr>
        <w:t>Аэрогидроди</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намического</w:t>
      </w:r>
      <w:proofErr w:type="spellEnd"/>
      <w:r w:rsidRPr="00441F34">
        <w:rPr>
          <w:rFonts w:ascii="Times New Roman" w:hAnsi="Times New Roman"/>
          <w:color w:val="0070C0"/>
          <w:sz w:val="16"/>
          <w:szCs w:val="16"/>
        </w:rPr>
        <w:t xml:space="preserve"> института (ЦАГИ) А.Н. Тупо</w:t>
      </w:r>
      <w:r w:rsidRPr="00441F34">
        <w:rPr>
          <w:rFonts w:ascii="Times New Roman" w:hAnsi="Times New Roman"/>
          <w:color w:val="0070C0"/>
          <w:sz w:val="16"/>
          <w:szCs w:val="16"/>
        </w:rPr>
        <w:softHyphen/>
        <w:t>лев представили в РВС СССР докладную записку с приложенным к ней эскизным проектом самолёта для побития рекор</w:t>
      </w:r>
      <w:r w:rsidRPr="00441F34">
        <w:rPr>
          <w:rFonts w:ascii="Times New Roman" w:hAnsi="Times New Roman"/>
          <w:color w:val="0070C0"/>
          <w:sz w:val="16"/>
          <w:szCs w:val="16"/>
        </w:rPr>
        <w:softHyphen/>
        <w:t>да дальности. Эта машина, по их мнению, могла быть использована и в варианте дальнего бомбардировщика, и разведчи</w:t>
      </w:r>
      <w:r w:rsidRPr="00441F34">
        <w:rPr>
          <w:rFonts w:ascii="Times New Roman" w:hAnsi="Times New Roman"/>
          <w:color w:val="0070C0"/>
          <w:sz w:val="16"/>
          <w:szCs w:val="16"/>
        </w:rPr>
        <w:softHyphen/>
        <w:t>ка, имеющего большой радиус действия и несущего относительно небольшую бом</w:t>
      </w:r>
      <w:r w:rsidRPr="00441F34">
        <w:rPr>
          <w:rFonts w:ascii="Times New Roman" w:hAnsi="Times New Roman"/>
          <w:color w:val="0070C0"/>
          <w:sz w:val="16"/>
          <w:szCs w:val="16"/>
        </w:rPr>
        <w:softHyphen/>
        <w:t>бовую или иную нагрузки.</w:t>
      </w:r>
    </w:p>
    <w:p w14:paraId="2CFC8E3F"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Имея на руках доклад Я.И. Алксниса и расчёты А.Н. Туполева, председатель РВС СССР К.Е. Ворошилов 4 декабря 1931 г. обратился в правительство с докладом об организации дальнего перелёта и о постройке специального одномоторного рекордного самолёта в двух экземплярах по проекту А.Н. Туполева под модернизи</w:t>
      </w:r>
      <w:r w:rsidRPr="00441F34">
        <w:rPr>
          <w:rFonts w:ascii="Times New Roman" w:hAnsi="Times New Roman"/>
          <w:color w:val="0070C0"/>
          <w:sz w:val="16"/>
          <w:szCs w:val="16"/>
        </w:rPr>
        <w:softHyphen/>
        <w:t>рованный двигатель М-34Р (24309).</w:t>
      </w:r>
    </w:p>
    <w:p w14:paraId="6FE9BF74" w14:textId="77777777" w:rsidR="005504A8" w:rsidRPr="00441F34" w:rsidRDefault="005504A8" w:rsidP="005504A8">
      <w:pPr>
        <w:spacing w:after="0" w:line="240" w:lineRule="auto"/>
        <w:jc w:val="both"/>
        <w:rPr>
          <w:rFonts w:ascii="Times New Roman" w:hAnsi="Times New Roman"/>
          <w:color w:val="0070C0"/>
          <w:sz w:val="16"/>
          <w:szCs w:val="16"/>
        </w:rPr>
      </w:pPr>
    </w:p>
    <w:p w14:paraId="6CAB4C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при обсуждении планов строительства рекордных самолетов денежные средства добровольной оборонной организации еще упоминались, в частности назывались 600 тысяч рублей, собранных у трудящихся на развитие авиации. Начальник Всесоюзного авиационного объединения, а в недавнем прошлом начальник ВВС РККА (до июня 1931 г.)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прямо предложил руководителю ЦАГИ </w:t>
      </w:r>
      <w:proofErr w:type="spellStart"/>
      <w:r w:rsidRPr="007122AB">
        <w:rPr>
          <w:rFonts w:ascii="Times New Roman" w:hAnsi="Times New Roman"/>
          <w:color w:val="000000" w:themeColor="text1"/>
          <w:sz w:val="16"/>
          <w:szCs w:val="16"/>
        </w:rPr>
        <w:t>Н.М.Харламову</w:t>
      </w:r>
      <w:proofErr w:type="spellEnd"/>
      <w:r w:rsidRPr="007122AB">
        <w:rPr>
          <w:rFonts w:ascii="Times New Roman" w:hAnsi="Times New Roman"/>
          <w:color w:val="000000" w:themeColor="text1"/>
          <w:sz w:val="16"/>
          <w:szCs w:val="16"/>
        </w:rPr>
        <w:t xml:space="preserve"> (официально назначен начальником ЦАГИ в январе 1932 г.) направить эти достаточно немалые деньги Осоавиахима в ЦАГИ на постройку самолета РД. Однако согласия в руководстве по распределению финансов не наблюдалось, поэтому в конечном итоге деньги перечислили в МАИ, где решили с участием молодых сотрудников и студентов спроектировать и построить еще один рекордный самолет. Если ЦАГИ поручили создать самолет с дальностью 13000 км, то учебному институту выдали задание на подобный летательный аппарат (также с двигателем М-34), обладающий дальностью 5000 км.</w:t>
      </w:r>
    </w:p>
    <w:p w14:paraId="02AF1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Странная идея с заранее ограниченной дальностью полета объяснялась, скорее всего, сомнением, что в учебном институте, существующем с 1930 г. и не имеющем ни конструкторов, ни производственников, ни оборудованного производства действительно смогут создать такой летательный аппарат. В декабре 1931 г. по вышеупомянутым причинам руководство института пыталось отказаться от порученного задания. 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 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w:t>
      </w:r>
      <w:proofErr w:type="spellStart"/>
      <w:r w:rsidRPr="007122AB">
        <w:rPr>
          <w:rFonts w:ascii="Times New Roman" w:hAnsi="Times New Roman"/>
          <w:color w:val="000000" w:themeColor="text1"/>
          <w:sz w:val="16"/>
          <w:szCs w:val="16"/>
        </w:rPr>
        <w:t>П.Д.Грушин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М.М.Пашинин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Л.П.Курбала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В.А.Федулов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А.П.Щекин</w:t>
      </w:r>
      <w:proofErr w:type="spellEnd"/>
      <w:r w:rsidRPr="007122AB">
        <w:rPr>
          <w:rFonts w:ascii="Times New Roman" w:hAnsi="Times New Roman"/>
          <w:color w:val="000000" w:themeColor="text1"/>
          <w:sz w:val="16"/>
          <w:szCs w:val="16"/>
        </w:rPr>
        <w:t xml:space="preserve"> и другие. Расчеты на прочность выполнил </w:t>
      </w:r>
      <w:proofErr w:type="spellStart"/>
      <w:r w:rsidRPr="007122AB">
        <w:rPr>
          <w:rFonts w:ascii="Times New Roman" w:hAnsi="Times New Roman"/>
          <w:color w:val="000000" w:themeColor="text1"/>
          <w:sz w:val="16"/>
          <w:szCs w:val="16"/>
        </w:rPr>
        <w:t>В.Д.Яровицкий</w:t>
      </w:r>
      <w:proofErr w:type="spellEnd"/>
      <w:r w:rsidRPr="007122AB">
        <w:rPr>
          <w:rFonts w:ascii="Times New Roman" w:hAnsi="Times New Roman"/>
          <w:color w:val="000000" w:themeColor="text1"/>
          <w:sz w:val="16"/>
          <w:szCs w:val="16"/>
        </w:rPr>
        <w:t xml:space="preserve">. С оформлением учебно-производственных мастерских изготовлением самолета руководил </w:t>
      </w:r>
      <w:proofErr w:type="spellStart"/>
      <w:r w:rsidRPr="007122AB">
        <w:rPr>
          <w:rFonts w:ascii="Times New Roman" w:hAnsi="Times New Roman"/>
          <w:color w:val="000000" w:themeColor="text1"/>
          <w:sz w:val="16"/>
          <w:szCs w:val="16"/>
        </w:rPr>
        <w:t>С.М.Беляйкин</w:t>
      </w:r>
      <w:proofErr w:type="spellEnd"/>
      <w:r w:rsidRPr="007122AB">
        <w:rPr>
          <w:rFonts w:ascii="Times New Roman" w:hAnsi="Times New Roman"/>
          <w:color w:val="000000" w:themeColor="text1"/>
          <w:sz w:val="16"/>
          <w:szCs w:val="16"/>
        </w:rPr>
        <w:t>.</w:t>
      </w:r>
    </w:p>
    <w:p w14:paraId="121972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Основным конструкционным материалом для новой машины избрали сталь, в основном - коррозионно-стойкую Энерж-6 - поэтому скоро в отношении самолета начали использовать определение Сталь-МАИ.</w:t>
      </w:r>
    </w:p>
    <w:p w14:paraId="75586D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был одномоторный низкоплан с трапециевидным крылом и веретенообразным фюзеляжем, двухместной кабиной, закрытой общим фонарем. Посадка в самолет осуществлялась при помощи дверей и открывающейся части фонаря. Предусматривался третий член экипажа - для него оборудовали небольшой отсек с иллюминаторами за основной кабиной.</w:t>
      </w:r>
    </w:p>
    <w:p w14:paraId="5C76D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Практически вся конструкция фюзеляжа, крыла и оперения была выполнена точечной и роликовой электросваркой из катаных листовых профилей, обшивка крыла и фюзеляжа из тонкого листа толщиной 0,3-0,5 мм с частыми </w:t>
      </w:r>
      <w:proofErr w:type="spellStart"/>
      <w:r w:rsidRPr="007122AB">
        <w:rPr>
          <w:rFonts w:ascii="Times New Roman" w:hAnsi="Times New Roman"/>
          <w:color w:val="000000" w:themeColor="text1"/>
          <w:sz w:val="16"/>
          <w:szCs w:val="16"/>
        </w:rPr>
        <w:t>отбортовками</w:t>
      </w:r>
      <w:proofErr w:type="spellEnd"/>
      <w:r w:rsidRPr="007122AB">
        <w:rPr>
          <w:rFonts w:ascii="Times New Roman" w:hAnsi="Times New Roman"/>
          <w:color w:val="000000" w:themeColor="text1"/>
          <w:sz w:val="16"/>
          <w:szCs w:val="16"/>
        </w:rPr>
        <w:t xml:space="preserve"> (рифтами или зигами) с шагом 80 мм.</w:t>
      </w:r>
    </w:p>
    <w:p w14:paraId="569FC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Силовая установка включала двигатель М-34Р мощностью 830 </w:t>
      </w:r>
      <w:proofErr w:type="spellStart"/>
      <w:r w:rsidRPr="007122AB">
        <w:rPr>
          <w:rFonts w:ascii="Times New Roman" w:hAnsi="Times New Roman"/>
          <w:color w:val="000000" w:themeColor="text1"/>
          <w:sz w:val="16"/>
          <w:szCs w:val="16"/>
        </w:rPr>
        <w:t>л.е</w:t>
      </w:r>
      <w:proofErr w:type="spellEnd"/>
      <w:r w:rsidRPr="007122AB">
        <w:rPr>
          <w:rFonts w:ascii="Times New Roman" w:hAnsi="Times New Roman"/>
          <w:color w:val="000000" w:themeColor="text1"/>
          <w:sz w:val="16"/>
          <w:szCs w:val="16"/>
        </w:rPr>
        <w:t xml:space="preserve">., в отношении которого указывалось, что он ранее экспонировался на выставке, поэтому отличался особой тщательностью отделки (возможно, это был макетный вариант, полученный для проведения </w:t>
      </w:r>
      <w:proofErr w:type="spellStart"/>
      <w:r w:rsidRPr="007122AB">
        <w:rPr>
          <w:rFonts w:ascii="Times New Roman" w:hAnsi="Times New Roman"/>
          <w:color w:val="000000" w:themeColor="text1"/>
          <w:sz w:val="16"/>
          <w:szCs w:val="16"/>
        </w:rPr>
        <w:t>увя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зочных</w:t>
      </w:r>
      <w:proofErr w:type="spellEnd"/>
      <w:r w:rsidRPr="007122AB">
        <w:rPr>
          <w:rFonts w:ascii="Times New Roman" w:hAnsi="Times New Roman"/>
          <w:color w:val="000000" w:themeColor="text1"/>
          <w:sz w:val="16"/>
          <w:szCs w:val="16"/>
        </w:rPr>
        <w:t xml:space="preserve"> работ по винтомоторной группе).</w:t>
      </w:r>
    </w:p>
    <w:p w14:paraId="4B95B2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Шасси самолета состояло из двух под- крыльевых опор с пневматической амортизацией и хвостового колеса. Основные стойки по замыслу убирались в крыло при помощи ручного привода. В 1934 г. по планам ГУАП такое шасси построили (использовалось обозначение Сталь-МАИ-2), однако на практике самолет оборудовали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w:t>
      </w:r>
    </w:p>
    <w:p w14:paraId="48DDD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принятыми правилами 16 июля 1933 г. НИИ ВВС подготовило ИТ для военной модификации. Такой вариант разрабатывался и был утвержден 15 октября 1933 г. Главным конструктором Григоровичем и инженером </w:t>
      </w:r>
      <w:proofErr w:type="spellStart"/>
      <w:r w:rsidRPr="007122AB">
        <w:rPr>
          <w:rFonts w:ascii="Times New Roman" w:hAnsi="Times New Roman"/>
          <w:color w:val="000000" w:themeColor="text1"/>
          <w:sz w:val="16"/>
          <w:szCs w:val="16"/>
        </w:rPr>
        <w:t>П.М.Крейсоном</w:t>
      </w:r>
      <w:proofErr w:type="spellEnd"/>
      <w:r w:rsidRPr="007122AB">
        <w:rPr>
          <w:rFonts w:ascii="Times New Roman" w:hAnsi="Times New Roman"/>
          <w:color w:val="000000" w:themeColor="text1"/>
          <w:sz w:val="16"/>
          <w:szCs w:val="16"/>
        </w:rPr>
        <w:t xml:space="preserve"> (являлся начальником бригады №6 ЦКБ, которая осуществляла весовые расчеты, взвешивание, статические испытания).</w:t>
      </w:r>
    </w:p>
    <w:p w14:paraId="02CB1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002C3" w:rsidRPr="007122AB" w14:paraId="0E97139D" w14:textId="77777777">
        <w:tc>
          <w:tcPr>
            <w:tcW w:w="5156" w:type="dxa"/>
            <w:tcBorders>
              <w:top w:val="single" w:sz="12" w:space="0" w:color="auto"/>
            </w:tcBorders>
          </w:tcPr>
          <w:p w14:paraId="44013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крыла (м)</w:t>
            </w:r>
          </w:p>
        </w:tc>
        <w:tc>
          <w:tcPr>
            <w:tcW w:w="5156" w:type="dxa"/>
            <w:tcBorders>
              <w:top w:val="single" w:sz="12" w:space="0" w:color="auto"/>
            </w:tcBorders>
          </w:tcPr>
          <w:p w14:paraId="7CD83C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tc>
      </w:tr>
      <w:tr w:rsidR="001002C3" w:rsidRPr="007122AB" w14:paraId="29E6494A" w14:textId="77777777">
        <w:tc>
          <w:tcPr>
            <w:tcW w:w="5156" w:type="dxa"/>
          </w:tcPr>
          <w:p w14:paraId="54D81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(м2)</w:t>
            </w:r>
          </w:p>
        </w:tc>
        <w:tc>
          <w:tcPr>
            <w:tcW w:w="5156" w:type="dxa"/>
          </w:tcPr>
          <w:p w14:paraId="01260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40,5</w:t>
            </w:r>
          </w:p>
        </w:tc>
      </w:tr>
      <w:tr w:rsidR="001002C3" w:rsidRPr="007122AB" w14:paraId="1C4A0309" w14:textId="77777777">
        <w:tc>
          <w:tcPr>
            <w:tcW w:w="5156" w:type="dxa"/>
          </w:tcPr>
          <w:p w14:paraId="029662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самолета (м)</w:t>
            </w:r>
          </w:p>
        </w:tc>
        <w:tc>
          <w:tcPr>
            <w:tcW w:w="5156" w:type="dxa"/>
          </w:tcPr>
          <w:p w14:paraId="5E3B19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w:t>
            </w:r>
          </w:p>
        </w:tc>
      </w:tr>
      <w:tr w:rsidR="001002C3" w:rsidRPr="007122AB" w14:paraId="5D88FB82" w14:textId="77777777">
        <w:tc>
          <w:tcPr>
            <w:tcW w:w="5156" w:type="dxa"/>
          </w:tcPr>
          <w:p w14:paraId="5E6340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в линии полета (м)</w:t>
            </w:r>
          </w:p>
        </w:tc>
        <w:tc>
          <w:tcPr>
            <w:tcW w:w="5156" w:type="dxa"/>
          </w:tcPr>
          <w:p w14:paraId="209DB7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4,03</w:t>
            </w:r>
          </w:p>
        </w:tc>
      </w:tr>
      <w:tr w:rsidR="001002C3" w:rsidRPr="007122AB" w14:paraId="3F351B8A" w14:textId="77777777">
        <w:tc>
          <w:tcPr>
            <w:tcW w:w="5156" w:type="dxa"/>
          </w:tcPr>
          <w:p w14:paraId="6B2592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5156" w:type="dxa"/>
          </w:tcPr>
          <w:p w14:paraId="1B8458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2410</w:t>
            </w:r>
          </w:p>
        </w:tc>
      </w:tr>
      <w:tr w:rsidR="001002C3" w:rsidRPr="007122AB" w14:paraId="7B6C0766" w14:textId="77777777">
        <w:tc>
          <w:tcPr>
            <w:tcW w:w="5156" w:type="dxa"/>
          </w:tcPr>
          <w:p w14:paraId="736E50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5156" w:type="dxa"/>
          </w:tcPr>
          <w:p w14:paraId="6A05CB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3850-4600</w:t>
            </w:r>
          </w:p>
        </w:tc>
      </w:tr>
      <w:tr w:rsidR="001002C3" w:rsidRPr="007122AB" w14:paraId="5F979D0E" w14:textId="77777777">
        <w:tc>
          <w:tcPr>
            <w:tcW w:w="5156" w:type="dxa"/>
          </w:tcPr>
          <w:p w14:paraId="7A64D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Горючее (кг)</w:t>
            </w:r>
          </w:p>
        </w:tc>
        <w:tc>
          <w:tcPr>
            <w:tcW w:w="5156" w:type="dxa"/>
          </w:tcPr>
          <w:p w14:paraId="09215A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1000-1800</w:t>
            </w:r>
          </w:p>
        </w:tc>
      </w:tr>
      <w:tr w:rsidR="001002C3" w:rsidRPr="007122AB" w14:paraId="65FF9E83" w14:textId="77777777">
        <w:tc>
          <w:tcPr>
            <w:tcW w:w="5156" w:type="dxa"/>
          </w:tcPr>
          <w:p w14:paraId="56711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(км/ч) ....</w:t>
            </w:r>
          </w:p>
        </w:tc>
        <w:tc>
          <w:tcPr>
            <w:tcW w:w="5156" w:type="dxa"/>
          </w:tcPr>
          <w:p w14:paraId="4B06FC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330-350</w:t>
            </w:r>
          </w:p>
        </w:tc>
      </w:tr>
      <w:tr w:rsidR="001002C3" w:rsidRPr="007122AB" w14:paraId="5AE18EF1" w14:textId="77777777">
        <w:tc>
          <w:tcPr>
            <w:tcW w:w="5156" w:type="dxa"/>
          </w:tcPr>
          <w:p w14:paraId="1A70FF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Крейсерская скорость (км/ч)</w:t>
            </w:r>
          </w:p>
        </w:tc>
        <w:tc>
          <w:tcPr>
            <w:tcW w:w="5156" w:type="dxa"/>
          </w:tcPr>
          <w:p w14:paraId="7BF757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290-300</w:t>
            </w:r>
          </w:p>
        </w:tc>
      </w:tr>
      <w:tr w:rsidR="001002C3" w:rsidRPr="007122AB" w14:paraId="50A358AE" w14:textId="77777777">
        <w:tc>
          <w:tcPr>
            <w:tcW w:w="5156" w:type="dxa"/>
          </w:tcPr>
          <w:p w14:paraId="1A35A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Потолок(м) </w:t>
            </w:r>
          </w:p>
        </w:tc>
        <w:tc>
          <w:tcPr>
            <w:tcW w:w="5156" w:type="dxa"/>
          </w:tcPr>
          <w:p w14:paraId="16BFA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6000</w:t>
            </w:r>
          </w:p>
        </w:tc>
      </w:tr>
      <w:tr w:rsidR="001002C3" w:rsidRPr="007122AB" w14:paraId="76951573" w14:textId="77777777">
        <w:tc>
          <w:tcPr>
            <w:tcW w:w="5156" w:type="dxa"/>
            <w:tcBorders>
              <w:bottom w:val="single" w:sz="12" w:space="0" w:color="auto"/>
            </w:tcBorders>
          </w:tcPr>
          <w:p w14:paraId="258DF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52A3F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3250-6000</w:t>
            </w:r>
          </w:p>
        </w:tc>
      </w:tr>
    </w:tbl>
    <w:p w14:paraId="5064C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44B886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Постепенно </w:t>
      </w:r>
      <w:proofErr w:type="spellStart"/>
      <w:r w:rsidRPr="007122AB">
        <w:rPr>
          <w:rFonts w:ascii="Times New Roman" w:hAnsi="Times New Roman"/>
          <w:color w:val="000000" w:themeColor="text1"/>
          <w:sz w:val="16"/>
          <w:szCs w:val="16"/>
        </w:rPr>
        <w:t>Д.П.Григорович</w:t>
      </w:r>
      <w:proofErr w:type="spellEnd"/>
      <w:r w:rsidRPr="007122AB">
        <w:rPr>
          <w:rFonts w:ascii="Times New Roman" w:hAnsi="Times New Roman"/>
          <w:color w:val="000000" w:themeColor="text1"/>
          <w:sz w:val="16"/>
          <w:szCs w:val="16"/>
        </w:rPr>
        <w:t xml:space="preserve">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w:t>
      </w:r>
      <w:proofErr w:type="spellStart"/>
      <w:r w:rsidRPr="007122AB">
        <w:rPr>
          <w:rFonts w:ascii="Times New Roman" w:hAnsi="Times New Roman"/>
          <w:color w:val="000000" w:themeColor="text1"/>
          <w:sz w:val="16"/>
          <w:szCs w:val="16"/>
        </w:rPr>
        <w:t>П.Д.Грушину</w:t>
      </w:r>
      <w:proofErr w:type="spellEnd"/>
      <w:r w:rsidRPr="007122AB">
        <w:rPr>
          <w:rFonts w:ascii="Times New Roman" w:hAnsi="Times New Roman"/>
          <w:color w:val="000000" w:themeColor="text1"/>
          <w:sz w:val="16"/>
          <w:szCs w:val="16"/>
        </w:rPr>
        <w:t>.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76084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C7CA44" w14:textId="77777777" w:rsidR="00DD21BF" w:rsidRPr="007122AB" w:rsidRDefault="00DD21B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августе 1931 г. при обсуждении планов строительства рекордных самолётов денежные средства добровольной оборонной организации ещё упоминались. В частности, начальник Всесоюзного авиационного объединения, а в недавнем прошлом начальник ВВС РККА, П.И. Баранов предложил направить более полумиллиона </w:t>
      </w:r>
      <w:proofErr w:type="spellStart"/>
      <w:r w:rsidRPr="007122AB">
        <w:rPr>
          <w:rFonts w:ascii="Times New Roman" w:eastAsia="Times New Roman" w:hAnsi="Times New Roman"/>
          <w:color w:val="000000" w:themeColor="text1"/>
          <w:sz w:val="16"/>
          <w:szCs w:val="16"/>
          <w:lang w:eastAsia="ru-RU"/>
        </w:rPr>
        <w:t>осоавиахимовских</w:t>
      </w:r>
      <w:proofErr w:type="spellEnd"/>
      <w:r w:rsidRPr="007122AB">
        <w:rPr>
          <w:rFonts w:ascii="Times New Roman" w:eastAsia="Times New Roman" w:hAnsi="Times New Roman"/>
          <w:color w:val="000000" w:themeColor="text1"/>
          <w:sz w:val="16"/>
          <w:szCs w:val="16"/>
          <w:lang w:eastAsia="ru-RU"/>
        </w:rPr>
        <w:t xml:space="preserve"> рублей в ЦАГИ на постройку самолёта РД (АНТ-25). Однако передать общественные средства напрямую в промышленность оказалось непросто, согласия в этом вопросе у руководства не наблюдалось. Тогда решили передать деньги для постройки дальних стальных самолётов в Московский авиационный институт (17489).</w:t>
      </w:r>
    </w:p>
    <w:p w14:paraId="4CA758E9" w14:textId="77777777" w:rsidR="00DD21BF" w:rsidRPr="007122AB" w:rsidRDefault="00DD21BF" w:rsidP="007122AB">
      <w:pPr>
        <w:spacing w:after="0" w:line="240" w:lineRule="auto"/>
        <w:jc w:val="both"/>
        <w:rPr>
          <w:rFonts w:ascii="Times New Roman" w:eastAsia="Times New Roman" w:hAnsi="Times New Roman"/>
          <w:color w:val="000000" w:themeColor="text1"/>
          <w:sz w:val="16"/>
          <w:szCs w:val="16"/>
          <w:lang w:eastAsia="ru-RU"/>
        </w:rPr>
      </w:pPr>
    </w:p>
    <w:p w14:paraId="4B0AC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проходили испытания ДИ-3 Д.П.Г. Оказался близким к И-5 (92,416).</w:t>
      </w:r>
    </w:p>
    <w:p w14:paraId="77100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B5D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на ХАЗ приступили к переделке К-5 N 185 в бомбардировщик (70,175).</w:t>
      </w:r>
    </w:p>
    <w:p w14:paraId="27F36E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E8C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началось серийное производство Ка-5 (446,366).</w:t>
      </w:r>
    </w:p>
    <w:p w14:paraId="3DE4B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38A05D" w14:textId="77777777" w:rsidR="00DD21BF" w:rsidRPr="007122AB" w:rsidRDefault="00DD21B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августе 1931 в мастерских Военно-воздушной академии была изготовлена модель ТБ-1 с двумя истребителями на крыле. Её продувки в аэродинамической трубе показали, что устойчивость и управляемость «звена» в полёте будет нормальной даже при взлёте только одного истребителя, запаса рулей достаточно. Помощь в работе оказали сотрудники ЦАГИ: расчётом на прочность руководил В.Н. Беляев, аэродинамическими исследованиями — </w:t>
      </w:r>
      <w:proofErr w:type="spellStart"/>
      <w:r w:rsidRPr="007122AB">
        <w:rPr>
          <w:rFonts w:ascii="Times New Roman" w:eastAsia="Times New Roman" w:hAnsi="Times New Roman"/>
          <w:color w:val="000000" w:themeColor="text1"/>
          <w:sz w:val="16"/>
          <w:szCs w:val="16"/>
          <w:lang w:eastAsia="ru-RU"/>
        </w:rPr>
        <w:t>Белостоцкий</w:t>
      </w:r>
      <w:proofErr w:type="spellEnd"/>
      <w:r w:rsidRPr="007122AB">
        <w:rPr>
          <w:rFonts w:ascii="Times New Roman" w:eastAsia="Times New Roman" w:hAnsi="Times New Roman"/>
          <w:color w:val="000000" w:themeColor="text1"/>
          <w:sz w:val="16"/>
          <w:szCs w:val="16"/>
          <w:lang w:eastAsia="ru-RU"/>
        </w:rPr>
        <w:t xml:space="preserve">, разработкой конструкторской документации — инженеры Д.Л. </w:t>
      </w:r>
      <w:proofErr w:type="spellStart"/>
      <w:r w:rsidRPr="007122AB">
        <w:rPr>
          <w:rFonts w:ascii="Times New Roman" w:eastAsia="Times New Roman" w:hAnsi="Times New Roman"/>
          <w:color w:val="000000" w:themeColor="text1"/>
          <w:sz w:val="16"/>
          <w:szCs w:val="16"/>
          <w:lang w:eastAsia="ru-RU"/>
        </w:rPr>
        <w:t>Привен</w:t>
      </w:r>
      <w:proofErr w:type="spellEnd"/>
      <w:r w:rsidRPr="007122AB">
        <w:rPr>
          <w:rFonts w:ascii="Times New Roman" w:eastAsia="Times New Roman" w:hAnsi="Times New Roman"/>
          <w:color w:val="000000" w:themeColor="text1"/>
          <w:sz w:val="16"/>
          <w:szCs w:val="16"/>
          <w:lang w:eastAsia="ru-RU"/>
        </w:rPr>
        <w:t xml:space="preserve"> и И.И. Никитенко.</w:t>
      </w:r>
    </w:p>
    <w:p w14:paraId="166CCF8D" w14:textId="77777777" w:rsidR="00DD21BF" w:rsidRPr="007122AB" w:rsidRDefault="00DD21B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Для крепления истребителей на бомбардировщике на каждой плоскости последнего установили по три фермы из стальных труб. Две короткие передние, оснащенные замками от бомбодержателей, предназначались для фиксации оси шасси И-4, третья, более длинная — для удержания хвоста в горизонтальном положении; она крепилась к нижней части шпангоута истребителя за сидением лётчика. Самолёты закатывали на крыло по установленным на козла деревянным помостам с направляющими для колёс (17489).</w:t>
      </w:r>
    </w:p>
    <w:p w14:paraId="67631DCD" w14:textId="77777777" w:rsidR="00DD21BF" w:rsidRPr="007122AB" w:rsidRDefault="00DD21BF" w:rsidP="007122AB">
      <w:pPr>
        <w:spacing w:after="0" w:line="240" w:lineRule="auto"/>
        <w:jc w:val="both"/>
        <w:rPr>
          <w:rFonts w:ascii="Times New Roman" w:eastAsia="Times New Roman" w:hAnsi="Times New Roman"/>
          <w:color w:val="000000" w:themeColor="text1"/>
          <w:sz w:val="16"/>
          <w:szCs w:val="16"/>
          <w:lang w:eastAsia="ru-RU"/>
        </w:rPr>
      </w:pPr>
    </w:p>
    <w:p w14:paraId="607B2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ДВ СССР-Н2 участвовал в борьбе с оленьей эпизоотией (ее также называли сибирской язвой) на Таймыре. Экипаж </w:t>
      </w:r>
      <w:proofErr w:type="spellStart"/>
      <w:r w:rsidRPr="007122AB">
        <w:rPr>
          <w:rFonts w:ascii="Times New Roman" w:hAnsi="Times New Roman"/>
          <w:color w:val="000000" w:themeColor="text1"/>
          <w:sz w:val="16"/>
          <w:szCs w:val="16"/>
        </w:rPr>
        <w:t>Я.С.Липпа</w:t>
      </w:r>
      <w:proofErr w:type="spellEnd"/>
      <w:r w:rsidRPr="007122AB">
        <w:rPr>
          <w:rFonts w:ascii="Times New Roman" w:hAnsi="Times New Roman"/>
          <w:color w:val="000000" w:themeColor="text1"/>
          <w:sz w:val="16"/>
          <w:szCs w:val="16"/>
        </w:rPr>
        <w:t>, взяв на борт ветеринаров и вакцину, ежедневно вылетал на поиски оленьих стойбищ. За время борьбы с эпизоотией налет СССР-Н2 составил 32 часа и 5,5 тыс. км (11970).</w:t>
      </w:r>
    </w:p>
    <w:p w14:paraId="6FF5C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99A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Есть мнение, что в августе 1931 под председательством К.Е.В. было проведено "большое совещание", на котором решили, что в дополнение к тяжелому нужен и дальний бомбардировщик (554,4).</w:t>
      </w:r>
    </w:p>
    <w:p w14:paraId="1B7ECA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CB75E7" w14:textId="77777777" w:rsidR="0001378D" w:rsidRPr="007122AB" w:rsidRDefault="0001378D" w:rsidP="007122AB">
      <w:pPr>
        <w:pStyle w:val="ae"/>
        <w:spacing w:before="0" w:after="0"/>
        <w:jc w:val="both"/>
        <w:textAlignment w:val="baseline"/>
        <w:rPr>
          <w:color w:val="000000" w:themeColor="text1"/>
          <w:sz w:val="16"/>
          <w:szCs w:val="16"/>
        </w:rPr>
      </w:pPr>
      <w:r w:rsidRPr="007122AB">
        <w:rPr>
          <w:color w:val="000000" w:themeColor="text1"/>
          <w:sz w:val="16"/>
          <w:szCs w:val="16"/>
          <w:bdr w:val="none" w:sz="0" w:space="0" w:color="auto" w:frame="1"/>
        </w:rPr>
        <w:t>В августе 1931 г. Реввоенсовет принял решение прекратить покупку за рубежом двигателей для опытных самолетов. Все новые машины должны были создаваться под отечественные образцы.</w:t>
      </w:r>
    </w:p>
    <w:p w14:paraId="2E76D16C" w14:textId="77777777" w:rsidR="0001378D" w:rsidRPr="007122AB" w:rsidRDefault="0001378D" w:rsidP="007122AB">
      <w:pPr>
        <w:pStyle w:val="ae"/>
        <w:spacing w:before="0" w:after="0"/>
        <w:jc w:val="both"/>
        <w:textAlignment w:val="baseline"/>
        <w:rPr>
          <w:color w:val="000000" w:themeColor="text1"/>
          <w:sz w:val="16"/>
          <w:szCs w:val="16"/>
          <w:bdr w:val="none" w:sz="0" w:space="0" w:color="auto" w:frame="1"/>
        </w:rPr>
      </w:pPr>
      <w:r w:rsidRPr="007122AB">
        <w:rPr>
          <w:color w:val="000000" w:themeColor="text1"/>
          <w:sz w:val="16"/>
          <w:szCs w:val="16"/>
          <w:bdr w:val="none" w:sz="0" w:space="0" w:color="auto" w:frame="1"/>
        </w:rPr>
        <w:t>Но это не исключало ввоз иностранных моторов с целью их изучения. Постановлением СТО об опытном строительстве в 1929-33 годах предусматривалось покупать для этих целей по 10 двигателей в год. Так, осенью 1932 г. в Москву доставили мотор Роллс-Ройс «Кестрел», вызвавший большой интерес у наших специалистов (20442).</w:t>
      </w:r>
    </w:p>
    <w:p w14:paraId="1F4CE00C" w14:textId="77777777" w:rsidR="0001378D" w:rsidRPr="007122AB" w:rsidRDefault="0001378D" w:rsidP="007122AB">
      <w:pPr>
        <w:pStyle w:val="ae"/>
        <w:spacing w:before="0" w:after="0"/>
        <w:jc w:val="both"/>
        <w:textAlignment w:val="baseline"/>
        <w:rPr>
          <w:color w:val="000000" w:themeColor="text1"/>
          <w:sz w:val="16"/>
          <w:szCs w:val="16"/>
          <w:bdr w:val="none" w:sz="0" w:space="0" w:color="auto" w:frame="1"/>
        </w:rPr>
      </w:pPr>
    </w:p>
    <w:p w14:paraId="6A3582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закончилось проектирование М-34Р (2281,67).</w:t>
      </w:r>
    </w:p>
    <w:p w14:paraId="21EF10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4CA0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было закончено проектирование варианта мотора с редукто</w:t>
      </w:r>
      <w:r w:rsidRPr="007122AB">
        <w:rPr>
          <w:rFonts w:ascii="Times New Roman" w:hAnsi="Times New Roman"/>
          <w:color w:val="000000" w:themeColor="text1"/>
          <w:sz w:val="16"/>
          <w:szCs w:val="16"/>
        </w:rPr>
        <w:softHyphen/>
        <w:t>ром (М-34Р), модификация М-34РБ (Б — для бомбардировщика). Редуктор для мотора был необходим, потому что его применение резко повышало коэффициент полезного действия винта и, как ре</w:t>
      </w:r>
      <w:r w:rsidRPr="007122AB">
        <w:rPr>
          <w:rFonts w:ascii="Times New Roman" w:hAnsi="Times New Roman"/>
          <w:color w:val="000000" w:themeColor="text1"/>
          <w:sz w:val="16"/>
          <w:szCs w:val="16"/>
        </w:rPr>
        <w:softHyphen/>
        <w:t>зультат, сразу же возрастала скорость самолета. Проектировал ре</w:t>
      </w:r>
      <w:r w:rsidRPr="007122AB">
        <w:rPr>
          <w:rFonts w:ascii="Times New Roman" w:hAnsi="Times New Roman"/>
          <w:color w:val="000000" w:themeColor="text1"/>
          <w:sz w:val="16"/>
          <w:szCs w:val="16"/>
        </w:rPr>
        <w:softHyphen/>
        <w:t xml:space="preserve">дуктор старый приятель Микулина, Владимир Антонович Доллежаль. Применение редуктора на М-34, стоявшего на </w:t>
      </w:r>
      <w:proofErr w:type="spellStart"/>
      <w:r w:rsidRPr="007122AB">
        <w:rPr>
          <w:rFonts w:ascii="Times New Roman" w:hAnsi="Times New Roman"/>
          <w:color w:val="000000" w:themeColor="text1"/>
          <w:sz w:val="16"/>
          <w:szCs w:val="16"/>
        </w:rPr>
        <w:t>туполев-ском</w:t>
      </w:r>
      <w:proofErr w:type="spellEnd"/>
      <w:r w:rsidRPr="007122AB">
        <w:rPr>
          <w:rFonts w:ascii="Times New Roman" w:hAnsi="Times New Roman"/>
          <w:color w:val="000000" w:themeColor="text1"/>
          <w:sz w:val="16"/>
          <w:szCs w:val="16"/>
        </w:rPr>
        <w:t xml:space="preserve"> бомбардировщике ТБ-3, позволило увеличить скорость само</w:t>
      </w:r>
      <w:r w:rsidRPr="007122AB">
        <w:rPr>
          <w:rFonts w:ascii="Times New Roman" w:hAnsi="Times New Roman"/>
          <w:color w:val="000000" w:themeColor="text1"/>
          <w:sz w:val="16"/>
          <w:szCs w:val="16"/>
        </w:rPr>
        <w:softHyphen/>
        <w:t>лета более чем на 70 км/ч (10781).</w:t>
      </w:r>
    </w:p>
    <w:p w14:paraId="75BA49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AB42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начали испытывать первый образец М-34. Еще с 1928 г. началась проработка конструк</w:t>
      </w:r>
      <w:r w:rsidRPr="007122AB">
        <w:rPr>
          <w:rFonts w:ascii="Times New Roman" w:hAnsi="Times New Roman"/>
          <w:color w:val="000000" w:themeColor="text1"/>
          <w:sz w:val="16"/>
          <w:szCs w:val="16"/>
        </w:rPr>
        <w:softHyphen/>
        <w:t>ции мощного 12-цилиндрового У-образного мотора М-34. С 1930 г. ЭТИ работы перенесли в только что созданный Институт авиационного моторостроения (ИАМ, позднее ЦИАМ), куда перешел и Микулин. Верный себе, Микулин внес в этот двига</w:t>
      </w:r>
      <w:r w:rsidRPr="007122AB">
        <w:rPr>
          <w:rFonts w:ascii="Times New Roman" w:hAnsi="Times New Roman"/>
          <w:color w:val="000000" w:themeColor="text1"/>
          <w:sz w:val="16"/>
          <w:szCs w:val="16"/>
        </w:rPr>
        <w:softHyphen/>
        <w:t>тель много оригинальных идей. В частности, в нем впервые применили новую силовую схему блока со свободной гильзой и стяжкой длинными сквозными шпильками. Эту схему в разных вариантах потом неоднократно применяли различные советские и иностранные конструкторы. М-34 стал одним из немногих по-настоящему удачных отечественных авиамоторов начала 30-х годов. Его запустили в массовое производство на заводе № 24 в Москве и делали в тысячах экземпляров. Эти двигатели стояли на та</w:t>
      </w:r>
      <w:r w:rsidRPr="007122AB">
        <w:rPr>
          <w:rFonts w:ascii="Times New Roman" w:hAnsi="Times New Roman"/>
          <w:color w:val="000000" w:themeColor="text1"/>
          <w:sz w:val="16"/>
          <w:szCs w:val="16"/>
        </w:rPr>
        <w:softHyphen/>
        <w:t>ких известных самолетах, как боевые ТБ-3 и МБР-2, рекордные АНТ-25 (РД), на которых экипажи Чкалова и Громова совершили беспосадочные перелеты в США, и огромный «Максим Горький» (МГ). Удачный М-34 должен был стать основой для целого семейства моторов разной мощности и различных компоновочных схем. Готовили одноряд</w:t>
      </w:r>
      <w:r w:rsidRPr="007122AB">
        <w:rPr>
          <w:rFonts w:ascii="Times New Roman" w:hAnsi="Times New Roman"/>
          <w:color w:val="000000" w:themeColor="text1"/>
          <w:sz w:val="16"/>
          <w:szCs w:val="16"/>
        </w:rPr>
        <w:softHyphen/>
        <w:t>ный, двухзальный, перевернутый двигатели с использованием узлов М-34. Экспериментировали с этиленгликолевым и комбинированным (гликолево-воздушным) охлаждением. Работали над установкой пушки в развале ци</w:t>
      </w:r>
      <w:r w:rsidRPr="007122AB">
        <w:rPr>
          <w:rFonts w:ascii="Times New Roman" w:hAnsi="Times New Roman"/>
          <w:color w:val="000000" w:themeColor="text1"/>
          <w:sz w:val="16"/>
          <w:szCs w:val="16"/>
        </w:rPr>
        <w:softHyphen/>
        <w:t>линдров и тандемной установкой из двух М-34, работающих через коак</w:t>
      </w:r>
      <w:r w:rsidRPr="007122AB">
        <w:rPr>
          <w:rFonts w:ascii="Times New Roman" w:hAnsi="Times New Roman"/>
          <w:color w:val="000000" w:themeColor="text1"/>
          <w:sz w:val="16"/>
          <w:szCs w:val="16"/>
        </w:rPr>
        <w:softHyphen/>
        <w:t xml:space="preserve">сиальные валы на винты </w:t>
      </w:r>
      <w:proofErr w:type="spellStart"/>
      <w:r w:rsidRPr="007122AB">
        <w:rPr>
          <w:rFonts w:ascii="Times New Roman" w:hAnsi="Times New Roman"/>
          <w:color w:val="000000" w:themeColor="text1"/>
          <w:sz w:val="16"/>
          <w:szCs w:val="16"/>
        </w:rPr>
        <w:t>противовращения</w:t>
      </w:r>
      <w:proofErr w:type="spellEnd"/>
      <w:r w:rsidRPr="007122AB">
        <w:rPr>
          <w:rFonts w:ascii="Times New Roman" w:hAnsi="Times New Roman"/>
          <w:color w:val="000000" w:themeColor="text1"/>
          <w:sz w:val="16"/>
          <w:szCs w:val="16"/>
        </w:rPr>
        <w:t>. Но все эти конструкции остались лишь в проектах или опытных об</w:t>
      </w:r>
      <w:r w:rsidRPr="007122AB">
        <w:rPr>
          <w:rFonts w:ascii="Times New Roman" w:hAnsi="Times New Roman"/>
          <w:color w:val="000000" w:themeColor="text1"/>
          <w:sz w:val="16"/>
          <w:szCs w:val="16"/>
        </w:rPr>
        <w:softHyphen/>
        <w:t>разцах. Зато сам М-34 многократно модифицировался. Появились его ва</w:t>
      </w:r>
      <w:r w:rsidRPr="007122AB">
        <w:rPr>
          <w:rFonts w:ascii="Times New Roman" w:hAnsi="Times New Roman"/>
          <w:color w:val="000000" w:themeColor="text1"/>
          <w:sz w:val="16"/>
          <w:szCs w:val="16"/>
        </w:rPr>
        <w:softHyphen/>
        <w:t>рианты с редуктором и нагнетателем, с непосредственным впрыском и турбонаддувом. Специальные модификации М-34 выпускались для танков, самоходных орудий, торпедных катеров и речных бронекатеров. Вместе с Микулиным над этими модификациями работали В.М. Яковлев, разрабо</w:t>
      </w:r>
      <w:r w:rsidRPr="007122AB">
        <w:rPr>
          <w:rFonts w:ascii="Times New Roman" w:hAnsi="Times New Roman"/>
          <w:color w:val="000000" w:themeColor="text1"/>
          <w:sz w:val="16"/>
          <w:szCs w:val="16"/>
        </w:rPr>
        <w:softHyphen/>
        <w:t>тавший реверс-муфту для катерного ГАМ-34, и В.А. Добрынин, с декабря 1934 г. являвшийся главным конструктором завода № 24, на котором де</w:t>
      </w:r>
      <w:r w:rsidRPr="007122AB">
        <w:rPr>
          <w:rFonts w:ascii="Times New Roman" w:hAnsi="Times New Roman"/>
          <w:color w:val="000000" w:themeColor="text1"/>
          <w:sz w:val="16"/>
          <w:szCs w:val="16"/>
        </w:rPr>
        <w:softHyphen/>
        <w:t xml:space="preserve">лались все </w:t>
      </w:r>
      <w:proofErr w:type="spellStart"/>
      <w:r w:rsidRPr="007122AB">
        <w:rPr>
          <w:rFonts w:ascii="Times New Roman" w:hAnsi="Times New Roman"/>
          <w:color w:val="000000" w:themeColor="text1"/>
          <w:sz w:val="16"/>
          <w:szCs w:val="16"/>
        </w:rPr>
        <w:t>микулинские</w:t>
      </w:r>
      <w:proofErr w:type="spellEnd"/>
      <w:r w:rsidRPr="007122AB">
        <w:rPr>
          <w:rFonts w:ascii="Times New Roman" w:hAnsi="Times New Roman"/>
          <w:color w:val="000000" w:themeColor="text1"/>
          <w:sz w:val="16"/>
          <w:szCs w:val="16"/>
        </w:rPr>
        <w:t xml:space="preserve"> моторы. Для мотора М-34Н Микулин спроектировал первый в России двухскоростной приводной нагнетатель. Правда, в серию этот двигатель запу</w:t>
      </w:r>
      <w:r w:rsidRPr="007122AB">
        <w:rPr>
          <w:rFonts w:ascii="Times New Roman" w:hAnsi="Times New Roman"/>
          <w:color w:val="000000" w:themeColor="text1"/>
          <w:sz w:val="16"/>
          <w:szCs w:val="16"/>
        </w:rPr>
        <w:softHyphen/>
        <w:t>стили с более простым и надежным односкоростным ПЦН конструкции Данилевского. В ознаменование заслуг Микулина Комитет обороны СССР 9 августа 1936 г. переименовал двигатель в АМ-34 по его инициалам. Самого Микулина назначили главным конструктором завода № 24. Микулин продолжал совершенствовать удачный мотор, форсируя его по наддуву и оборотам. Но затянувшаяся доводка модификации АМ-34ФРН привела к недовольству со стороны руководства авиапромышленности. Микулина сняли с должности главного конструктора, оставив за ним толь</w:t>
      </w:r>
      <w:r w:rsidRPr="007122AB">
        <w:rPr>
          <w:rFonts w:ascii="Times New Roman" w:hAnsi="Times New Roman"/>
          <w:color w:val="000000" w:themeColor="text1"/>
          <w:sz w:val="16"/>
          <w:szCs w:val="16"/>
        </w:rPr>
        <w:softHyphen/>
        <w:t>ко работы по развитию АМ-34. В годы сталинских репрессий неудачи могли дорого обойтись беспартийному инженеру, но от участи «врага на</w:t>
      </w:r>
      <w:r w:rsidRPr="007122AB">
        <w:rPr>
          <w:rFonts w:ascii="Times New Roman" w:hAnsi="Times New Roman"/>
          <w:color w:val="000000" w:themeColor="text1"/>
          <w:sz w:val="16"/>
          <w:szCs w:val="16"/>
        </w:rPr>
        <w:softHyphen/>
        <w:t>рода» его, видимо, избавили нашумевшие перелеты в Америку. Двигатель М-34РД вместе с самолетом РД успешно выставлялся за рубежом. А затем последовали новые успе</w:t>
      </w:r>
      <w:r w:rsidRPr="007122AB">
        <w:rPr>
          <w:rFonts w:ascii="Times New Roman" w:hAnsi="Times New Roman"/>
          <w:color w:val="000000" w:themeColor="text1"/>
          <w:sz w:val="16"/>
          <w:szCs w:val="16"/>
        </w:rPr>
        <w:softHyphen/>
        <w:t>хи. Они были связаны с мотором АМ-35, являвшимся развитием АМ-34ФРНВ. Его модификация АМ-35А была выпущена более чем в 4000 эк</w:t>
      </w:r>
      <w:r w:rsidRPr="007122AB">
        <w:rPr>
          <w:rFonts w:ascii="Times New Roman" w:hAnsi="Times New Roman"/>
          <w:color w:val="000000" w:themeColor="text1"/>
          <w:sz w:val="16"/>
          <w:szCs w:val="16"/>
        </w:rPr>
        <w:softHyphen/>
        <w:t>земпляров и устанавливалась на ис</w:t>
      </w:r>
      <w:r w:rsidRPr="007122AB">
        <w:rPr>
          <w:rFonts w:ascii="Times New Roman" w:hAnsi="Times New Roman"/>
          <w:color w:val="000000" w:themeColor="text1"/>
          <w:sz w:val="16"/>
          <w:szCs w:val="16"/>
        </w:rPr>
        <w:softHyphen/>
        <w:t>требителях МиГ-1 и МиГ-3, актив</w:t>
      </w:r>
      <w:r w:rsidRPr="007122AB">
        <w:rPr>
          <w:rFonts w:ascii="Times New Roman" w:hAnsi="Times New Roman"/>
          <w:color w:val="000000" w:themeColor="text1"/>
          <w:sz w:val="16"/>
          <w:szCs w:val="16"/>
        </w:rPr>
        <w:softHyphen/>
        <w:t>но применявшихся в начале Великой Отечественной войны. Его монти</w:t>
      </w:r>
      <w:r w:rsidRPr="007122AB">
        <w:rPr>
          <w:rFonts w:ascii="Times New Roman" w:hAnsi="Times New Roman"/>
          <w:color w:val="000000" w:themeColor="text1"/>
          <w:sz w:val="16"/>
          <w:szCs w:val="16"/>
        </w:rPr>
        <w:softHyphen/>
        <w:t>ровали также на тяжелых бомбар</w:t>
      </w:r>
      <w:r w:rsidRPr="007122AB">
        <w:rPr>
          <w:rFonts w:ascii="Times New Roman" w:hAnsi="Times New Roman"/>
          <w:color w:val="000000" w:themeColor="text1"/>
          <w:sz w:val="16"/>
          <w:szCs w:val="16"/>
        </w:rPr>
        <w:softHyphen/>
        <w:t>дировщиках ТБ-7 (Пе-8). Этим же двигателем был оснащен опытный образец штурмовика ЦКБ-55 (БШ-2). Но в серию этот самолет, выпускав</w:t>
      </w:r>
      <w:r w:rsidRPr="007122AB">
        <w:rPr>
          <w:rFonts w:ascii="Times New Roman" w:hAnsi="Times New Roman"/>
          <w:color w:val="000000" w:themeColor="text1"/>
          <w:sz w:val="16"/>
          <w:szCs w:val="16"/>
        </w:rPr>
        <w:softHyphen/>
        <w:t>шийся в огромных количествах под обозначением Ил-2, пошел со спе</w:t>
      </w:r>
      <w:r w:rsidRPr="007122AB">
        <w:rPr>
          <w:rFonts w:ascii="Times New Roman" w:hAnsi="Times New Roman"/>
          <w:color w:val="000000" w:themeColor="text1"/>
          <w:sz w:val="16"/>
          <w:szCs w:val="16"/>
        </w:rPr>
        <w:softHyphen/>
        <w:t xml:space="preserve">циальным </w:t>
      </w:r>
      <w:proofErr w:type="spellStart"/>
      <w:r w:rsidRPr="007122AB">
        <w:rPr>
          <w:rFonts w:ascii="Times New Roman" w:hAnsi="Times New Roman"/>
          <w:color w:val="000000" w:themeColor="text1"/>
          <w:sz w:val="16"/>
          <w:szCs w:val="16"/>
        </w:rPr>
        <w:t>низковысотным</w:t>
      </w:r>
      <w:proofErr w:type="spellEnd"/>
      <w:r w:rsidRPr="007122AB">
        <w:rPr>
          <w:rFonts w:ascii="Times New Roman" w:hAnsi="Times New Roman"/>
          <w:color w:val="000000" w:themeColor="text1"/>
          <w:sz w:val="16"/>
          <w:szCs w:val="16"/>
        </w:rPr>
        <w:t xml:space="preserve"> мотором АМ-38, сделанным на базе того же АМ-35А. В работе и над АМ-35, и над АМ-38 большую роль сыграл за</w:t>
      </w:r>
      <w:r w:rsidRPr="007122AB">
        <w:rPr>
          <w:rFonts w:ascii="Times New Roman" w:hAnsi="Times New Roman"/>
          <w:color w:val="000000" w:themeColor="text1"/>
          <w:sz w:val="16"/>
          <w:szCs w:val="16"/>
        </w:rPr>
        <w:softHyphen/>
        <w:t xml:space="preserve">меститель Микулина М.Р. </w:t>
      </w:r>
      <w:proofErr w:type="spellStart"/>
      <w:r w:rsidRPr="007122AB">
        <w:rPr>
          <w:rFonts w:ascii="Times New Roman" w:hAnsi="Times New Roman"/>
          <w:color w:val="000000" w:themeColor="text1"/>
          <w:sz w:val="16"/>
          <w:szCs w:val="16"/>
        </w:rPr>
        <w:t>Флисский</w:t>
      </w:r>
      <w:proofErr w:type="spellEnd"/>
      <w:r w:rsidRPr="007122AB">
        <w:rPr>
          <w:rFonts w:ascii="Times New Roman" w:hAnsi="Times New Roman"/>
          <w:color w:val="000000" w:themeColor="text1"/>
          <w:sz w:val="16"/>
          <w:szCs w:val="16"/>
        </w:rPr>
        <w:t>. 1940 г. был удачным для Микулина. Завод № 24 наращивал производство его моторов, самого его удостоили звания Героя Социалистическою Труда. После этого развитие двигателей, непрерывной цепочкой шедших от М-34, разветвилось на два направления. Но при этом оба они были тесно взаимосвязаны, и зачастую удачные решения, полученные для одной вет</w:t>
      </w:r>
      <w:r w:rsidRPr="007122AB">
        <w:rPr>
          <w:rFonts w:ascii="Times New Roman" w:hAnsi="Times New Roman"/>
          <w:color w:val="000000" w:themeColor="text1"/>
          <w:sz w:val="16"/>
          <w:szCs w:val="16"/>
        </w:rPr>
        <w:softHyphen/>
        <w:t>ви, заимствовались для другой. Кроме этого, многие узлы и агрегаты яв</w:t>
      </w:r>
      <w:r w:rsidRPr="007122AB">
        <w:rPr>
          <w:rFonts w:ascii="Times New Roman" w:hAnsi="Times New Roman"/>
          <w:color w:val="000000" w:themeColor="text1"/>
          <w:sz w:val="16"/>
          <w:szCs w:val="16"/>
        </w:rPr>
        <w:softHyphen/>
        <w:t>лялись унифицированными и использовались во всех моторах семейства. Первое направление — двигатели для штурмовиков: оптимизированные для малых высот, неприхотливые к качеству бензина и масла. Эта ветвь была начата АМ-38. Развитием ее стали АМ-38Ф (серия с октября 1942 г.) и АМ-42 (прошел госиспытания в апреле 1944 г.). Они выпускались круп</w:t>
      </w:r>
      <w:r w:rsidRPr="007122AB">
        <w:rPr>
          <w:rFonts w:ascii="Times New Roman" w:hAnsi="Times New Roman"/>
          <w:color w:val="000000" w:themeColor="text1"/>
          <w:sz w:val="16"/>
          <w:szCs w:val="16"/>
        </w:rPr>
        <w:softHyphen/>
        <w:t>ными сериями заводом № 24, в войну эвакуированным в Куйбышев (ныне Самару) и там оставшимся, и заводом № 45, организованным в 1942 г. в старых цехах этого предприятия в Москве. «Летающие танки» Ил-2 с двигателями АМ-38 и АМ-38Ф действовали на всех фронтах и флотах, в конце войны к ним присоединились и более современные Ил-10 с АМ-42. Ил-10 позднее приняли участие и в боевых действиях в Корее и состояли на вооружении советских ВВС до середины 50-х годов. Двигатели для штурмовиков создавались в конструкторском бюро за</w:t>
      </w:r>
      <w:r w:rsidRPr="007122AB">
        <w:rPr>
          <w:rFonts w:ascii="Times New Roman" w:hAnsi="Times New Roman"/>
          <w:color w:val="000000" w:themeColor="text1"/>
          <w:sz w:val="16"/>
          <w:szCs w:val="16"/>
        </w:rPr>
        <w:softHyphen/>
        <w:t xml:space="preserve">вода № 24 в Куйбышеве. Микулин некоторое время являлся главным конструктором сразу трех предприятий — заводов № 24 в Куйбышеве, № 45 в Москве и нового опытного завода № 300 тоже в Москве. Затем обязанности разделили: Микулин остался руководить двумя коллективами в Москве, а в Куйбышеве главным конструктором назначили </w:t>
      </w:r>
      <w:proofErr w:type="spellStart"/>
      <w:r w:rsidRPr="007122AB">
        <w:rPr>
          <w:rFonts w:ascii="Times New Roman" w:hAnsi="Times New Roman"/>
          <w:color w:val="000000" w:themeColor="text1"/>
          <w:sz w:val="16"/>
          <w:szCs w:val="16"/>
        </w:rPr>
        <w:t>Флисско</w:t>
      </w:r>
      <w:proofErr w:type="spellEnd"/>
      <w:r w:rsidRPr="007122AB">
        <w:rPr>
          <w:rFonts w:ascii="Times New Roman" w:hAnsi="Times New Roman"/>
          <w:color w:val="000000" w:themeColor="text1"/>
          <w:sz w:val="16"/>
          <w:szCs w:val="16"/>
        </w:rPr>
        <w:t>-го. Поэтому последующие моторы для штурмовиков создавались уже без прямого участия Микулина и обозначались в документах без букв «АМ». Тем не менее между Москвой и Куйбышевом шел постоянный обмен до</w:t>
      </w:r>
      <w:r w:rsidRPr="007122AB">
        <w:rPr>
          <w:rFonts w:ascii="Times New Roman" w:hAnsi="Times New Roman"/>
          <w:color w:val="000000" w:themeColor="text1"/>
          <w:sz w:val="16"/>
          <w:szCs w:val="16"/>
        </w:rPr>
        <w:softHyphen/>
        <w:t>кументацией и образцами узлов. Дальнейшим развитием АМ-42 стали М-43, М-44, М-45, М-46 и М-47. Последний из них, мощностью 3000 л.с., в 1948 г. испытывался на опыт</w:t>
      </w:r>
      <w:r w:rsidRPr="007122AB">
        <w:rPr>
          <w:rFonts w:ascii="Times New Roman" w:hAnsi="Times New Roman"/>
          <w:color w:val="000000" w:themeColor="text1"/>
          <w:sz w:val="16"/>
          <w:szCs w:val="16"/>
        </w:rPr>
        <w:softHyphen/>
        <w:t>ном штурмовике Ил-20. После этого завод перешел на выпуск ТРД, а работы по поршневой технике свернули. Правда, в 1951 г. восстановили выпуск АМ-42, но более никаких крупных конструкторских работ по его модернизации не вели. Вторым направлением развития «потомков» М-34 являлись мощные вы</w:t>
      </w:r>
      <w:r w:rsidRPr="007122AB">
        <w:rPr>
          <w:rFonts w:ascii="Times New Roman" w:hAnsi="Times New Roman"/>
          <w:color w:val="000000" w:themeColor="text1"/>
          <w:sz w:val="16"/>
          <w:szCs w:val="16"/>
        </w:rPr>
        <w:softHyphen/>
        <w:t>сотные двигатели для истребителей и скоростных бомбардировщиков. Эта линия происходила от АМ-35А. С 1939 г. Микулин разрабатывал его усо</w:t>
      </w:r>
      <w:r w:rsidRPr="007122AB">
        <w:rPr>
          <w:rFonts w:ascii="Times New Roman" w:hAnsi="Times New Roman"/>
          <w:color w:val="000000" w:themeColor="text1"/>
          <w:sz w:val="16"/>
          <w:szCs w:val="16"/>
        </w:rPr>
        <w:softHyphen/>
        <w:t>вершенствованный вариант с интеркулером, названный АМ-37. В апреле 1941 г. этот мотор прошел госиспытания, и его приняли к серийному производству. Но АМ-37 был достаточно «сырым», и осенью того же года после выпуска небольшой серии его с производства сняли. Микулин не успокоился и создал АМ-39 с двухскоростным ПЦН, мощность которого в 1944-1945 гг. довел до 2130 л.с. Работы по нему велись на опытном заводе № 300 в Лужниках, в Москве, специально выделенном для кон</w:t>
      </w:r>
      <w:r w:rsidRPr="007122AB">
        <w:rPr>
          <w:rFonts w:ascii="Times New Roman" w:hAnsi="Times New Roman"/>
          <w:color w:val="000000" w:themeColor="text1"/>
          <w:sz w:val="16"/>
          <w:szCs w:val="16"/>
        </w:rPr>
        <w:softHyphen/>
        <w:t>структорского бюро Микулина. АМ-39 во многом унифицировался сначала с АМ-38Ф, а затем с АМ-42, поэтому к изготовлению узлов опытных об</w:t>
      </w:r>
      <w:r w:rsidRPr="007122AB">
        <w:rPr>
          <w:rFonts w:ascii="Times New Roman" w:hAnsi="Times New Roman"/>
          <w:color w:val="000000" w:themeColor="text1"/>
          <w:sz w:val="16"/>
          <w:szCs w:val="16"/>
        </w:rPr>
        <w:softHyphen/>
        <w:t>разцов привлекли серийные заводы № 24 и № 45. Новый мотор проходил стендовые и летные испытания. Варианты с турбонаддувом испытывались на опытных истребителях-перехватчиках МиГ-7 (И-224) Микояна, а мо</w:t>
      </w:r>
      <w:r w:rsidRPr="007122AB">
        <w:rPr>
          <w:rFonts w:ascii="Times New Roman" w:hAnsi="Times New Roman"/>
          <w:color w:val="000000" w:themeColor="text1"/>
          <w:sz w:val="16"/>
          <w:szCs w:val="16"/>
        </w:rPr>
        <w:softHyphen/>
        <w:t>дификации с меньшей высотностью — на опытных бомбардировщиках Туполева, в т.ч. на самолетах малой серии Ту-10 («68»). В апреле 1944 г. АМ-39 прошел государственные испытания, но в серийное производство не запускался. Совершенствование этого мотора продолжалось до 1946 г. Вообще эта ветвь развития «потомков» М-34 получилась менее удачной, ни один из ее двигателей не стал столь массовым, как моторы для штур</w:t>
      </w:r>
      <w:r w:rsidRPr="007122AB">
        <w:rPr>
          <w:rFonts w:ascii="Times New Roman" w:hAnsi="Times New Roman"/>
          <w:color w:val="000000" w:themeColor="text1"/>
          <w:sz w:val="16"/>
          <w:szCs w:val="16"/>
        </w:rPr>
        <w:softHyphen/>
        <w:t>мовиков. В целом все поршневые двигатели Микулина представляли собой непре</w:t>
      </w:r>
      <w:r w:rsidRPr="007122AB">
        <w:rPr>
          <w:rFonts w:ascii="Times New Roman" w:hAnsi="Times New Roman"/>
          <w:color w:val="000000" w:themeColor="text1"/>
          <w:sz w:val="16"/>
          <w:szCs w:val="16"/>
        </w:rPr>
        <w:softHyphen/>
        <w:t xml:space="preserve">рывную цепочку развития одной базовой конструкции, сохранявшей как общую компоновку и силовую схему, так и </w:t>
      </w:r>
      <w:proofErr w:type="spellStart"/>
      <w:r w:rsidRPr="007122AB">
        <w:rPr>
          <w:rFonts w:ascii="Times New Roman" w:hAnsi="Times New Roman"/>
          <w:color w:val="000000" w:themeColor="text1"/>
          <w:sz w:val="16"/>
          <w:szCs w:val="16"/>
        </w:rPr>
        <w:t>размерения</w:t>
      </w:r>
      <w:proofErr w:type="spellEnd"/>
      <w:r w:rsidRPr="007122AB">
        <w:rPr>
          <w:rFonts w:ascii="Times New Roman" w:hAnsi="Times New Roman"/>
          <w:color w:val="000000" w:themeColor="text1"/>
          <w:sz w:val="16"/>
          <w:szCs w:val="16"/>
        </w:rPr>
        <w:t xml:space="preserve"> цилиндров. При этом при неизменном объеме максимальная мощность от ранних М-34 до М-47 выросла более чем в три раза. Следует отметить также, что в то время, </w:t>
      </w:r>
      <w:r w:rsidRPr="007122AB">
        <w:rPr>
          <w:rFonts w:ascii="Times New Roman" w:hAnsi="Times New Roman"/>
          <w:color w:val="000000" w:themeColor="text1"/>
          <w:sz w:val="16"/>
          <w:szCs w:val="16"/>
        </w:rPr>
        <w:lastRenderedPageBreak/>
        <w:t>когда многие советские конструкторы авиамоторов исходно оттал</w:t>
      </w:r>
      <w:r w:rsidRPr="007122AB">
        <w:rPr>
          <w:rFonts w:ascii="Times New Roman" w:hAnsi="Times New Roman"/>
          <w:color w:val="000000" w:themeColor="text1"/>
          <w:sz w:val="16"/>
          <w:szCs w:val="16"/>
        </w:rPr>
        <w:softHyphen/>
        <w:t>кивались от иностранных образцов или узлов других отечественных дви</w:t>
      </w:r>
      <w:r w:rsidRPr="007122AB">
        <w:rPr>
          <w:rFonts w:ascii="Times New Roman" w:hAnsi="Times New Roman"/>
          <w:color w:val="000000" w:themeColor="text1"/>
          <w:sz w:val="16"/>
          <w:szCs w:val="16"/>
        </w:rPr>
        <w:softHyphen/>
        <w:t xml:space="preserve">гателей, Микулин упорно шел своим оригинальным путем, лишь изредка заимствуя удачные элементы у других. Правда, зачастую это приводило к длительной доводке, за время которой двигатель начинал отставать от конструкций конкурентов. Зато другие конструкторы в ряде проектов использовали не только идеи Микулина, но и целые узлы его двигателей. Так, в целом ряде проектов А.П. Ро и Е.В. </w:t>
      </w:r>
      <w:proofErr w:type="spellStart"/>
      <w:r w:rsidRPr="007122AB">
        <w:rPr>
          <w:rFonts w:ascii="Times New Roman" w:hAnsi="Times New Roman"/>
          <w:color w:val="000000" w:themeColor="text1"/>
          <w:sz w:val="16"/>
          <w:szCs w:val="16"/>
        </w:rPr>
        <w:t>Урмина</w:t>
      </w:r>
      <w:proofErr w:type="spellEnd"/>
      <w:r w:rsidRPr="007122AB">
        <w:rPr>
          <w:rFonts w:ascii="Times New Roman" w:hAnsi="Times New Roman"/>
          <w:color w:val="000000" w:themeColor="text1"/>
          <w:sz w:val="16"/>
          <w:szCs w:val="16"/>
        </w:rPr>
        <w:t xml:space="preserve"> применены блоки мотора М-34. Нагнетатели от АМ-38 устанавливались на дизеле АЧ-ЗОБ А.Д. </w:t>
      </w:r>
      <w:proofErr w:type="spellStart"/>
      <w:r w:rsidRPr="007122AB">
        <w:rPr>
          <w:rFonts w:ascii="Times New Roman" w:hAnsi="Times New Roman"/>
          <w:color w:val="000000" w:themeColor="text1"/>
          <w:sz w:val="16"/>
          <w:szCs w:val="16"/>
        </w:rPr>
        <w:t>Чаромского</w:t>
      </w:r>
      <w:proofErr w:type="spellEnd"/>
      <w:r w:rsidRPr="007122AB">
        <w:rPr>
          <w:rFonts w:ascii="Times New Roman" w:hAnsi="Times New Roman"/>
          <w:color w:val="000000" w:themeColor="text1"/>
          <w:sz w:val="16"/>
          <w:szCs w:val="16"/>
        </w:rPr>
        <w:t xml:space="preserve"> и ряде по</w:t>
      </w:r>
      <w:r w:rsidRPr="007122AB">
        <w:rPr>
          <w:rFonts w:ascii="Times New Roman" w:hAnsi="Times New Roman"/>
          <w:color w:val="000000" w:themeColor="text1"/>
          <w:sz w:val="16"/>
          <w:szCs w:val="16"/>
        </w:rPr>
        <w:softHyphen/>
        <w:t>слевоенных танковых двигателей. Заслуги Микулина в развитии отечественного авиамоторостроения в годы войны четырежды принесли ему Сталинские премии (в 1941, 1942, 1943, 1946 гг.). В 1943 г. его избрали действительным членом Академии наук, хотя конструктор формально так и не получил высшего образова</w:t>
      </w:r>
      <w:r w:rsidRPr="007122AB">
        <w:rPr>
          <w:rFonts w:ascii="Times New Roman" w:hAnsi="Times New Roman"/>
          <w:color w:val="000000" w:themeColor="text1"/>
          <w:sz w:val="16"/>
          <w:szCs w:val="16"/>
        </w:rPr>
        <w:softHyphen/>
        <w:t>ния (11852).</w:t>
      </w:r>
    </w:p>
    <w:p w14:paraId="731B8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037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был завершен проект М-48. В марте — мае 1931 г. двигатель М-48 разрабатывался в КБ завода № 29 (Запорожье) под руководством А.С. Назарова. Использовал часть узлов и агрегатов двигателя М-11 и унифицировался с моторами М-49 и М-51, входившими в то же семейство. Изготовлены и испытаны опытные образцы (с июня 1932 г., 3 экз.). В 1934 г. демон</w:t>
      </w:r>
      <w:r w:rsidRPr="007122AB">
        <w:rPr>
          <w:rFonts w:ascii="Times New Roman" w:hAnsi="Times New Roman"/>
          <w:color w:val="000000" w:themeColor="text1"/>
          <w:sz w:val="16"/>
          <w:szCs w:val="16"/>
        </w:rPr>
        <w:softHyphen/>
        <w:t>стрировался на выставке в Париже как достижение советской авиапромышленности. В 1935 г. проходил летные испытания на самолете У-3. В серийное производство М-48 не запускался. Послужил основой для разработки мотора МГ-21. Характеристики:</w:t>
      </w:r>
    </w:p>
    <w:p w14:paraId="369930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7-цилиндровый, звездообразный, четырехтактный, воздушного охлаждения, с ПЦН;</w:t>
      </w:r>
    </w:p>
    <w:p w14:paraId="2DDC50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165/210 л.с.;</w:t>
      </w:r>
    </w:p>
    <w:p w14:paraId="780B31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125/140 мм;</w:t>
      </w:r>
    </w:p>
    <w:p w14:paraId="6076D4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5,0;</w:t>
      </w:r>
    </w:p>
    <w:p w14:paraId="49B53E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12,0 л;</w:t>
      </w:r>
    </w:p>
    <w:p w14:paraId="49288A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194 кг.</w:t>
      </w:r>
    </w:p>
    <w:p w14:paraId="3361C4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Использование М-48 предусма</w:t>
      </w:r>
      <w:r w:rsidRPr="007122AB">
        <w:rPr>
          <w:rFonts w:ascii="Times New Roman" w:hAnsi="Times New Roman"/>
          <w:color w:val="000000" w:themeColor="text1"/>
          <w:sz w:val="16"/>
          <w:szCs w:val="16"/>
        </w:rPr>
        <w:softHyphen/>
        <w:t>тривалось в проекте легкого само</w:t>
      </w:r>
      <w:r w:rsidRPr="007122AB">
        <w:rPr>
          <w:rFonts w:ascii="Times New Roman" w:hAnsi="Times New Roman"/>
          <w:color w:val="000000" w:themeColor="text1"/>
          <w:sz w:val="16"/>
          <w:szCs w:val="16"/>
        </w:rPr>
        <w:softHyphen/>
        <w:t>лета связи ЦКБ-9 (11852).</w:t>
      </w:r>
    </w:p>
    <w:p w14:paraId="48CD56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A03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на заводе № 29 завершили проект семицилиндрового М-48 с мощностью до 210 л.с., </w:t>
      </w:r>
      <w:proofErr w:type="spellStart"/>
      <w:r w:rsidRPr="007122AB">
        <w:rPr>
          <w:rFonts w:ascii="Times New Roman" w:hAnsi="Times New Roman"/>
          <w:color w:val="000000" w:themeColor="text1"/>
          <w:sz w:val="16"/>
          <w:szCs w:val="16"/>
        </w:rPr>
        <w:t>которыйотставал</w:t>
      </w:r>
      <w:proofErr w:type="spellEnd"/>
      <w:r w:rsidRPr="007122AB">
        <w:rPr>
          <w:rFonts w:ascii="Times New Roman" w:hAnsi="Times New Roman"/>
          <w:color w:val="000000" w:themeColor="text1"/>
          <w:sz w:val="16"/>
          <w:szCs w:val="16"/>
        </w:rPr>
        <w:t xml:space="preserve"> от М-51 примерно на полгода. С июня 1932 г.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 (11478).</w:t>
      </w:r>
    </w:p>
    <w:p w14:paraId="6611CE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1F77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на заводе № 29 завершили серию «В» М-22, а сдавали в сентябре. Только на третьей серии (серии «В») из 40 двигателей удалось достичь ресурса 100 часов. На этой серии ввели фиксированные вкладыши глав</w:t>
      </w:r>
      <w:r w:rsidRPr="007122AB">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7122AB">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7122AB">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7122AB">
        <w:rPr>
          <w:rFonts w:ascii="Times New Roman" w:hAnsi="Times New Roman"/>
          <w:color w:val="000000" w:themeColor="text1"/>
          <w:sz w:val="16"/>
          <w:szCs w:val="16"/>
        </w:rPr>
        <w:softHyphen/>
        <w:t>ловине 30-х годов (11852).</w:t>
      </w:r>
    </w:p>
    <w:p w14:paraId="5648A8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6D46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некий </w:t>
      </w:r>
      <w:proofErr w:type="spellStart"/>
      <w:r w:rsidRPr="007122AB">
        <w:rPr>
          <w:rFonts w:ascii="Times New Roman" w:hAnsi="Times New Roman"/>
          <w:color w:val="000000" w:themeColor="text1"/>
          <w:sz w:val="16"/>
          <w:szCs w:val="16"/>
        </w:rPr>
        <w:t>Гантман</w:t>
      </w:r>
      <w:proofErr w:type="spellEnd"/>
      <w:r w:rsidRPr="007122AB">
        <w:rPr>
          <w:rFonts w:ascii="Times New Roman" w:hAnsi="Times New Roman"/>
          <w:color w:val="000000" w:themeColor="text1"/>
          <w:sz w:val="16"/>
          <w:szCs w:val="16"/>
        </w:rPr>
        <w:t xml:space="preserve"> с завода БНК предложил свою ком</w:t>
      </w:r>
      <w:r w:rsidRPr="007122AB">
        <w:rPr>
          <w:rFonts w:ascii="Times New Roman" w:hAnsi="Times New Roman"/>
          <w:color w:val="000000" w:themeColor="text1"/>
          <w:sz w:val="16"/>
          <w:szCs w:val="16"/>
        </w:rPr>
        <w:softHyphen/>
        <w:t>поновку четырехтактного бензинового двигателя. У него фактически два перевернутых 6-цилиндровых мотора стояли параллельно, каждый со сво</w:t>
      </w:r>
      <w:r w:rsidRPr="007122AB">
        <w:rPr>
          <w:rFonts w:ascii="Times New Roman" w:hAnsi="Times New Roman"/>
          <w:color w:val="000000" w:themeColor="text1"/>
          <w:sz w:val="16"/>
          <w:szCs w:val="16"/>
        </w:rPr>
        <w:softHyphen/>
        <w:t>им ПЦН, и работали на общий редуктор. Между двигателями устанавли</w:t>
      </w:r>
      <w:r w:rsidRPr="007122AB">
        <w:rPr>
          <w:rFonts w:ascii="Times New Roman" w:hAnsi="Times New Roman"/>
          <w:color w:val="000000" w:themeColor="text1"/>
          <w:sz w:val="16"/>
          <w:szCs w:val="16"/>
        </w:rPr>
        <w:softHyphen/>
        <w:t>валась пушка, ствол которой проходил через полый выходной вал редук</w:t>
      </w:r>
      <w:r w:rsidRPr="007122AB">
        <w:rPr>
          <w:rFonts w:ascii="Times New Roman" w:hAnsi="Times New Roman"/>
          <w:color w:val="000000" w:themeColor="text1"/>
          <w:sz w:val="16"/>
          <w:szCs w:val="16"/>
        </w:rPr>
        <w:softHyphen/>
        <w:t xml:space="preserve">тора. Проект </w:t>
      </w:r>
      <w:proofErr w:type="spellStart"/>
      <w:r w:rsidRPr="007122AB">
        <w:rPr>
          <w:rFonts w:ascii="Times New Roman" w:hAnsi="Times New Roman"/>
          <w:color w:val="000000" w:themeColor="text1"/>
          <w:sz w:val="16"/>
          <w:szCs w:val="16"/>
        </w:rPr>
        <w:t>Гантмана</w:t>
      </w:r>
      <w:proofErr w:type="spellEnd"/>
      <w:r w:rsidRPr="007122AB">
        <w:rPr>
          <w:rFonts w:ascii="Times New Roman" w:hAnsi="Times New Roman"/>
          <w:color w:val="000000" w:themeColor="text1"/>
          <w:sz w:val="16"/>
          <w:szCs w:val="16"/>
        </w:rPr>
        <w:t xml:space="preserve"> рассмотрели, но не нашли в нем преимуществ по сравнению с более традиционной схемой У-образного двигателя. Проект, выполненный инженером </w:t>
      </w:r>
      <w:proofErr w:type="spellStart"/>
      <w:r w:rsidRPr="007122AB">
        <w:rPr>
          <w:rFonts w:ascii="Times New Roman" w:hAnsi="Times New Roman"/>
          <w:color w:val="000000" w:themeColor="text1"/>
          <w:sz w:val="16"/>
          <w:szCs w:val="16"/>
        </w:rPr>
        <w:t>Гантманом</w:t>
      </w:r>
      <w:proofErr w:type="spellEnd"/>
      <w:r w:rsidRPr="007122AB">
        <w:rPr>
          <w:rFonts w:ascii="Times New Roman" w:hAnsi="Times New Roman"/>
          <w:color w:val="000000" w:themeColor="text1"/>
          <w:sz w:val="16"/>
          <w:szCs w:val="16"/>
        </w:rPr>
        <w:t xml:space="preserve"> на заводе БНК в 1931 г.</w:t>
      </w:r>
    </w:p>
    <w:p w14:paraId="47309C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2EFFF1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двухрядный, перевернутый, с двумя коленвалами и двумя ПЦН;</w:t>
      </w:r>
    </w:p>
    <w:p w14:paraId="2BEE31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редукторный;</w:t>
      </w:r>
    </w:p>
    <w:p w14:paraId="6BE55F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14,25 л;</w:t>
      </w:r>
    </w:p>
    <w:p w14:paraId="597AD7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360 л.с.;</w:t>
      </w:r>
    </w:p>
    <w:p w14:paraId="58A442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340 кг;</w:t>
      </w:r>
    </w:p>
    <w:p w14:paraId="309737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предусмотрена установка пушки (11852).</w:t>
      </w:r>
    </w:p>
    <w:p w14:paraId="343F13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CCB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в Москве создали ГИРД при ЦС Осоавиахима и в октябре - аналогичная группа образовалась в Ленинграде (177,156).</w:t>
      </w:r>
    </w:p>
    <w:p w14:paraId="3352CA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3B8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при Осоавиахиме сформировалась ГИРД (группа по изучению реактивного движения), называвшаяся вначале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затем- Центральная ГИРД (ЦГИРД). В 04.1932 г. было принято решение о создании Опытного ракетного завода </w:t>
      </w:r>
      <w:proofErr w:type="spellStart"/>
      <w:r w:rsidRPr="007122AB">
        <w:rPr>
          <w:rFonts w:ascii="Times New Roman" w:hAnsi="Times New Roman"/>
          <w:color w:val="000000" w:themeColor="text1"/>
          <w:sz w:val="16"/>
          <w:szCs w:val="16"/>
        </w:rPr>
        <w:t>ЦГИРДа</w:t>
      </w:r>
      <w:proofErr w:type="spellEnd"/>
      <w:r w:rsidRPr="007122AB">
        <w:rPr>
          <w:rFonts w:ascii="Times New Roman" w:hAnsi="Times New Roman"/>
          <w:color w:val="000000" w:themeColor="text1"/>
          <w:sz w:val="16"/>
          <w:szCs w:val="16"/>
        </w:rPr>
        <w:t xml:space="preserve">. Вначале (в 1933 г. была там) группа располагалась в Москве, в подвале дома № 19 по ул. Садово-Спасской, вместе с ЦКБ по планерам Осоавиахима, которое возглавлял Антонов. В 1932 г. в ГИРД организовано 4 бригады, занимавшиеся разработкой: 1) жидкостных двигателей для ракетоплана; 2) жидкостных баллистических ракет; 3) ПВРД, газодинамических испытательных установок; 4) ракетопланов и крылатых ракет. Начальником </w:t>
      </w:r>
      <w:proofErr w:type="spellStart"/>
      <w:r w:rsidRPr="007122AB">
        <w:rPr>
          <w:rFonts w:ascii="Times New Roman" w:hAnsi="Times New Roman"/>
          <w:color w:val="000000" w:themeColor="text1"/>
          <w:sz w:val="16"/>
          <w:szCs w:val="16"/>
        </w:rPr>
        <w:t>ЦГИРДа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Оытного</w:t>
      </w:r>
      <w:proofErr w:type="spellEnd"/>
      <w:r w:rsidRPr="007122AB">
        <w:rPr>
          <w:rFonts w:ascii="Times New Roman" w:hAnsi="Times New Roman"/>
          <w:color w:val="000000" w:themeColor="text1"/>
          <w:sz w:val="16"/>
          <w:szCs w:val="16"/>
        </w:rPr>
        <w:t xml:space="preserve"> завода был С.П. Королев. Здесь также работали Б.И. </w:t>
      </w:r>
      <w:proofErr w:type="spellStart"/>
      <w:r w:rsidRPr="007122AB">
        <w:rPr>
          <w:rFonts w:ascii="Times New Roman" w:hAnsi="Times New Roman"/>
          <w:color w:val="000000" w:themeColor="text1"/>
          <w:sz w:val="16"/>
          <w:szCs w:val="16"/>
        </w:rPr>
        <w:t>Черановский</w:t>
      </w:r>
      <w:proofErr w:type="spellEnd"/>
      <w:r w:rsidRPr="007122AB">
        <w:rPr>
          <w:rFonts w:ascii="Times New Roman" w:hAnsi="Times New Roman"/>
          <w:color w:val="000000" w:themeColor="text1"/>
          <w:sz w:val="16"/>
          <w:szCs w:val="16"/>
        </w:rPr>
        <w:t xml:space="preserve">, В.П. Ветчинкин, Н.К. Федоренков, И.П. </w:t>
      </w:r>
      <w:proofErr w:type="spellStart"/>
      <w:r w:rsidRPr="007122AB">
        <w:rPr>
          <w:rFonts w:ascii="Times New Roman" w:hAnsi="Times New Roman"/>
          <w:color w:val="000000" w:themeColor="text1"/>
          <w:sz w:val="16"/>
          <w:szCs w:val="16"/>
        </w:rPr>
        <w:t>Фортиков</w:t>
      </w:r>
      <w:proofErr w:type="spellEnd"/>
      <w:r w:rsidRPr="007122AB">
        <w:rPr>
          <w:rFonts w:ascii="Times New Roman" w:hAnsi="Times New Roman"/>
          <w:color w:val="000000" w:themeColor="text1"/>
          <w:sz w:val="16"/>
          <w:szCs w:val="16"/>
        </w:rPr>
        <w:t xml:space="preserve">. </w:t>
      </w:r>
    </w:p>
    <w:p w14:paraId="2969ED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Бригада № 1 по ЖРД создана из группы, перешедшей из ИАМ. Руководитель (-28.03.1933 г.)- Ф.А. Цандер (умер), (1933 г.-)- Л.К. Корнеев. Работали: А.И. Полярный, Л.С. Душкин, Э.П. Шептицкий. Созданы двигатели: ОР-2; ракеты: ГИРД-Х (1933 г.), КПД-1 (1934 г.). Затем на базе бригады создано КБ-7 РНИИ.</w:t>
      </w:r>
    </w:p>
    <w:p w14:paraId="5FC8F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Бригада № 2 жидкостных баллистических ракет. Руководитель- М.К. Тихонравов. Работали: В.А. Андреев, В.Н. Галковский, Н.И. Ефремов, В.С. Зуев, З.И. Круглова, О.К. </w:t>
      </w:r>
      <w:proofErr w:type="spellStart"/>
      <w:r w:rsidRPr="007122AB">
        <w:rPr>
          <w:rFonts w:ascii="Times New Roman" w:hAnsi="Times New Roman"/>
          <w:color w:val="000000" w:themeColor="text1"/>
          <w:sz w:val="16"/>
          <w:szCs w:val="16"/>
        </w:rPr>
        <w:t>Паровина</w:t>
      </w:r>
      <w:proofErr w:type="spellEnd"/>
      <w:r w:rsidRPr="007122AB">
        <w:rPr>
          <w:rFonts w:ascii="Times New Roman" w:hAnsi="Times New Roman"/>
          <w:color w:val="000000" w:themeColor="text1"/>
          <w:sz w:val="16"/>
          <w:szCs w:val="16"/>
        </w:rPr>
        <w:t xml:space="preserve">, Е.И. Снегирева, Н.И. Шульгина, Ф.Л. </w:t>
      </w:r>
      <w:proofErr w:type="spellStart"/>
      <w:r w:rsidRPr="007122AB">
        <w:rPr>
          <w:rFonts w:ascii="Times New Roman" w:hAnsi="Times New Roman"/>
          <w:color w:val="000000" w:themeColor="text1"/>
          <w:sz w:val="16"/>
          <w:szCs w:val="16"/>
        </w:rPr>
        <w:t>Якайтис.Разработаы</w:t>
      </w:r>
      <w:proofErr w:type="spellEnd"/>
      <w:r w:rsidRPr="007122AB">
        <w:rPr>
          <w:rFonts w:ascii="Times New Roman" w:hAnsi="Times New Roman"/>
          <w:color w:val="000000" w:themeColor="text1"/>
          <w:sz w:val="16"/>
          <w:szCs w:val="16"/>
        </w:rPr>
        <w:t>: двигатель РДА-1; ракеты: «05» с ОРМ-50 (1933 г.), «07», «09» (запущена 17.08.1933 г.).</w:t>
      </w:r>
    </w:p>
    <w:p w14:paraId="3C4B5A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Бригада № 3 по ПВРД. Руководитель- Ю.А. Победоносцев. Работали: Л. Э. </w:t>
      </w:r>
      <w:proofErr w:type="spellStart"/>
      <w:r w:rsidRPr="007122AB">
        <w:rPr>
          <w:rFonts w:ascii="Times New Roman" w:hAnsi="Times New Roman"/>
          <w:color w:val="000000" w:themeColor="text1"/>
          <w:sz w:val="16"/>
          <w:szCs w:val="16"/>
        </w:rPr>
        <w:t>Брюкер</w:t>
      </w:r>
      <w:proofErr w:type="spellEnd"/>
      <w:r w:rsidRPr="007122AB">
        <w:rPr>
          <w:rFonts w:ascii="Times New Roman" w:hAnsi="Times New Roman"/>
          <w:color w:val="000000" w:themeColor="text1"/>
          <w:sz w:val="16"/>
          <w:szCs w:val="16"/>
        </w:rPr>
        <w:t xml:space="preserve">, М.С. </w:t>
      </w:r>
      <w:proofErr w:type="spellStart"/>
      <w:r w:rsidRPr="007122AB">
        <w:rPr>
          <w:rFonts w:ascii="Times New Roman" w:hAnsi="Times New Roman"/>
          <w:color w:val="000000" w:themeColor="text1"/>
          <w:sz w:val="16"/>
          <w:szCs w:val="16"/>
        </w:rPr>
        <w:t>Кисенко</w:t>
      </w:r>
      <w:proofErr w:type="spellEnd"/>
      <w:r w:rsidRPr="007122AB">
        <w:rPr>
          <w:rFonts w:ascii="Times New Roman" w:hAnsi="Times New Roman"/>
          <w:color w:val="000000" w:themeColor="text1"/>
          <w:sz w:val="16"/>
          <w:szCs w:val="16"/>
        </w:rPr>
        <w:t xml:space="preserve">, И.А. Меркулов, О.С. Оганесов, А.Б. </w:t>
      </w:r>
      <w:proofErr w:type="spellStart"/>
      <w:r w:rsidRPr="007122AB">
        <w:rPr>
          <w:rFonts w:ascii="Times New Roman" w:hAnsi="Times New Roman"/>
          <w:color w:val="000000" w:themeColor="text1"/>
          <w:sz w:val="16"/>
          <w:szCs w:val="16"/>
        </w:rPr>
        <w:t>Рязанкин</w:t>
      </w:r>
      <w:proofErr w:type="spellEnd"/>
      <w:r w:rsidRPr="007122AB">
        <w:rPr>
          <w:rFonts w:ascii="Times New Roman" w:hAnsi="Times New Roman"/>
          <w:color w:val="000000" w:themeColor="text1"/>
          <w:sz w:val="16"/>
          <w:szCs w:val="16"/>
        </w:rPr>
        <w:t>, Г.В. Шибалов. Созданы: установка ИУ-1, экспериментальная камера сгорания ЭК-3 для испытаний ПВРД (1933 г.).</w:t>
      </w:r>
    </w:p>
    <w:p w14:paraId="31E55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Бригада № 4 по КР. Руководитель (1932 г.-)- С.П. Королев, Н.А. Железняков, А.В. Чесалов, Е.С. Щетинков. Создан ракетоплан РП-1 (планер БИЧ-11 с двигателем ОР-2). </w:t>
      </w:r>
    </w:p>
    <w:p w14:paraId="46A2D2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Существовала также Ленинградская группа-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xml:space="preserve">, созданная 13.11.1931 г., одним из организаторов которой был Н.А. Рынин.84 </w:t>
      </w:r>
    </w:p>
    <w:p w14:paraId="6F621C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РВС № 113 от 21.09.1933 г. на базе ГИРД ОСОАВИАХИМ основан РНИИ РККА. Также на базе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было организовано КБ-7, занимавшееся жидкостными баллистическими ракетами.</w:t>
      </w:r>
    </w:p>
    <w:p w14:paraId="21DB60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78172A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ЖРД, РДТТ, ПВРД, ракетам, газогенераторам торпед, порохам.</w:t>
      </w:r>
    </w:p>
    <w:p w14:paraId="2BC09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составе РНИИ организован сектор (отдел) КР, которым руководили: А.И. </w:t>
      </w:r>
      <w:proofErr w:type="spellStart"/>
      <w:r w:rsidRPr="007122AB">
        <w:rPr>
          <w:rFonts w:ascii="Times New Roman" w:hAnsi="Times New Roman"/>
          <w:color w:val="000000" w:themeColor="text1"/>
          <w:sz w:val="16"/>
          <w:szCs w:val="16"/>
        </w:rPr>
        <w:t>Стеняев</w:t>
      </w:r>
      <w:proofErr w:type="spellEnd"/>
      <w:r w:rsidRPr="007122AB">
        <w:rPr>
          <w:rFonts w:ascii="Times New Roman" w:hAnsi="Times New Roman"/>
          <w:color w:val="000000" w:themeColor="text1"/>
          <w:sz w:val="16"/>
          <w:szCs w:val="16"/>
        </w:rPr>
        <w:t xml:space="preserve">, С.П. Королев, В.И. Дудаков. Позже, в 1935-36 г. создана отдельная бригада КР с РДТТ. </w:t>
      </w:r>
    </w:p>
    <w:p w14:paraId="1563C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Велись работы под руководством В.И. </w:t>
      </w:r>
      <w:proofErr w:type="spellStart"/>
      <w:r w:rsidRPr="007122AB">
        <w:rPr>
          <w:rFonts w:ascii="Times New Roman" w:hAnsi="Times New Roman"/>
          <w:color w:val="000000" w:themeColor="text1"/>
          <w:sz w:val="16"/>
          <w:szCs w:val="16"/>
        </w:rPr>
        <w:t>Дудакова</w:t>
      </w:r>
      <w:proofErr w:type="spellEnd"/>
      <w:r w:rsidRPr="007122AB">
        <w:rPr>
          <w:rFonts w:ascii="Times New Roman" w:hAnsi="Times New Roman"/>
          <w:color w:val="000000" w:themeColor="text1"/>
          <w:sz w:val="16"/>
          <w:szCs w:val="16"/>
        </w:rPr>
        <w:t xml:space="preserve">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2ED17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1933-40 г. под руководством Б.С. Петропавловского создан ряд пороховых РС.</w:t>
      </w:r>
    </w:p>
    <w:p w14:paraId="34E3A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1936 г. на базе ракеты «05» создана ракета «</w:t>
      </w:r>
      <w:proofErr w:type="spellStart"/>
      <w:r w:rsidRPr="007122AB">
        <w:rPr>
          <w:rFonts w:ascii="Times New Roman" w:hAnsi="Times New Roman"/>
          <w:color w:val="000000" w:themeColor="text1"/>
          <w:sz w:val="16"/>
          <w:szCs w:val="16"/>
        </w:rPr>
        <w:t>Авиавнито</w:t>
      </w:r>
      <w:proofErr w:type="spellEnd"/>
      <w:r w:rsidRPr="007122AB">
        <w:rPr>
          <w:rFonts w:ascii="Times New Roman" w:hAnsi="Times New Roman"/>
          <w:color w:val="000000" w:themeColor="text1"/>
          <w:sz w:val="16"/>
          <w:szCs w:val="16"/>
        </w:rPr>
        <w:t xml:space="preserve">» с двигателем 12К (запущена 6.04.1936 г.). </w:t>
      </w:r>
    </w:p>
    <w:p w14:paraId="1D298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Созданы и испытаны КР: «06/I» (Щетинков, 1934 г.), «06/III» («216») (1936 г.), «212» (Королев, 1939 г.).</w:t>
      </w:r>
    </w:p>
    <w:p w14:paraId="5CE9E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руководством М.П. </w:t>
      </w:r>
      <w:proofErr w:type="spellStart"/>
      <w:r w:rsidRPr="007122AB">
        <w:rPr>
          <w:rFonts w:ascii="Times New Roman" w:hAnsi="Times New Roman"/>
          <w:color w:val="000000" w:themeColor="text1"/>
          <w:sz w:val="16"/>
          <w:szCs w:val="16"/>
        </w:rPr>
        <w:t>Дрязгова</w:t>
      </w:r>
      <w:proofErr w:type="spellEnd"/>
      <w:r w:rsidRPr="007122AB">
        <w:rPr>
          <w:rFonts w:ascii="Times New Roman" w:hAnsi="Times New Roman"/>
          <w:color w:val="000000" w:themeColor="text1"/>
          <w:sz w:val="16"/>
          <w:szCs w:val="16"/>
        </w:rPr>
        <w:t xml:space="preserve"> созданы КР с РДТТ: «48» (1935 г.), экспериментальная зенитная «217» (1936 г.).</w:t>
      </w:r>
    </w:p>
    <w:p w14:paraId="1561F1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698D2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669D3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19.05.1939 г.. испытана ракета Р-3 с ПВРД И.А. Меркулова.59 </w:t>
      </w:r>
    </w:p>
    <w:p w14:paraId="3811B1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19D135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w:t>
      </w:r>
      <w:proofErr w:type="spellStart"/>
      <w:r w:rsidRPr="007122AB">
        <w:rPr>
          <w:rFonts w:ascii="Times New Roman" w:hAnsi="Times New Roman"/>
          <w:color w:val="000000" w:themeColor="text1"/>
          <w:sz w:val="16"/>
          <w:szCs w:val="16"/>
        </w:rPr>
        <w:t>Палло</w:t>
      </w:r>
      <w:proofErr w:type="spellEnd"/>
      <w:r w:rsidRPr="007122AB">
        <w:rPr>
          <w:rFonts w:ascii="Times New Roman" w:hAnsi="Times New Roman"/>
          <w:color w:val="000000" w:themeColor="text1"/>
          <w:sz w:val="16"/>
          <w:szCs w:val="16"/>
        </w:rPr>
        <w:t xml:space="preserve">).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09F607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20-х числах октября 1941 г. институт эвакуирован в Свердловск.</w:t>
      </w:r>
    </w:p>
    <w:p w14:paraId="3E8361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51300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3B9669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w:t>
      </w:r>
      <w:proofErr w:type="spellStart"/>
      <w:r w:rsidRPr="007122AB">
        <w:rPr>
          <w:rFonts w:ascii="Times New Roman" w:hAnsi="Times New Roman"/>
          <w:color w:val="000000" w:themeColor="text1"/>
          <w:sz w:val="16"/>
          <w:szCs w:val="16"/>
        </w:rPr>
        <w:t>Поликовский</w:t>
      </w:r>
      <w:proofErr w:type="spellEnd"/>
      <w:r w:rsidRPr="007122AB">
        <w:rPr>
          <w:rFonts w:ascii="Times New Roman" w:hAnsi="Times New Roman"/>
          <w:color w:val="000000" w:themeColor="text1"/>
          <w:sz w:val="16"/>
          <w:szCs w:val="16"/>
        </w:rPr>
        <w:t>. По приказу № 149сс от 28.02.1944 г. НИРА объединен с заводом № 293 (вместе с ОКБ-293) и преобразован в НИИ-1, в ведении 7ГУ НКАП.</w:t>
      </w:r>
    </w:p>
    <w:p w14:paraId="14582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Началось сосредоточение в институте основных кадров по реактивной технике. Сюда переведены: из ОКБ-293 - ЭКБ-3 М.М. </w:t>
      </w:r>
      <w:proofErr w:type="spellStart"/>
      <w:r w:rsidRPr="007122AB">
        <w:rPr>
          <w:rFonts w:ascii="Times New Roman" w:hAnsi="Times New Roman"/>
          <w:color w:val="000000" w:themeColor="text1"/>
          <w:sz w:val="16"/>
          <w:szCs w:val="16"/>
        </w:rPr>
        <w:t>Бондарюка</w:t>
      </w:r>
      <w:proofErr w:type="spellEnd"/>
      <w:r w:rsidRPr="007122AB">
        <w:rPr>
          <w:rFonts w:ascii="Times New Roman" w:hAnsi="Times New Roman"/>
          <w:color w:val="000000" w:themeColor="text1"/>
          <w:sz w:val="16"/>
          <w:szCs w:val="16"/>
        </w:rPr>
        <w:t xml:space="preserve">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571E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4E805B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D520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3EC110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1947 г. Келдышем разработан проект ракетного самолета с 2-мя ПВРД и ЖРД.</w:t>
      </w:r>
    </w:p>
    <w:p w14:paraId="0F975E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3D218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НИИ-88 в институт переведена лаборатория по автоматической </w:t>
      </w:r>
      <w:proofErr w:type="spellStart"/>
      <w:r w:rsidRPr="007122AB">
        <w:rPr>
          <w:rFonts w:ascii="Times New Roman" w:hAnsi="Times New Roman"/>
          <w:color w:val="000000" w:themeColor="text1"/>
          <w:sz w:val="16"/>
          <w:szCs w:val="16"/>
        </w:rPr>
        <w:t>астрокоррекции</w:t>
      </w:r>
      <w:proofErr w:type="spellEnd"/>
      <w:r w:rsidRPr="007122AB">
        <w:rPr>
          <w:rFonts w:ascii="Times New Roman" w:hAnsi="Times New Roman"/>
          <w:color w:val="000000" w:themeColor="text1"/>
          <w:sz w:val="16"/>
          <w:szCs w:val="16"/>
        </w:rPr>
        <w:t xml:space="preserve"> под руководством И.М. </w:t>
      </w:r>
      <w:proofErr w:type="spellStart"/>
      <w:r w:rsidRPr="007122AB">
        <w:rPr>
          <w:rFonts w:ascii="Times New Roman" w:hAnsi="Times New Roman"/>
          <w:color w:val="000000" w:themeColor="text1"/>
          <w:sz w:val="16"/>
          <w:szCs w:val="16"/>
        </w:rPr>
        <w:t>Лисовича</w:t>
      </w:r>
      <w:proofErr w:type="spellEnd"/>
      <w:r w:rsidRPr="007122AB">
        <w:rPr>
          <w:rFonts w:ascii="Times New Roman" w:hAnsi="Times New Roman"/>
          <w:color w:val="000000" w:themeColor="text1"/>
          <w:sz w:val="16"/>
          <w:szCs w:val="16"/>
        </w:rPr>
        <w:t>.</w:t>
      </w:r>
    </w:p>
    <w:p w14:paraId="4967E4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31B67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1954 г. создана лаборатория № 6 (руководитель- К.П. Осминин) по динамике КР.</w:t>
      </w:r>
    </w:p>
    <w:p w14:paraId="3EFD07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1950-е г. построена стендовая испытательная база в Тураево.</w:t>
      </w:r>
    </w:p>
    <w:p w14:paraId="0C284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0105F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1955 г. образован филиал по системам управления КР (начальник- Р.Г. </w:t>
      </w:r>
      <w:proofErr w:type="spellStart"/>
      <w:r w:rsidRPr="007122AB">
        <w:rPr>
          <w:rFonts w:ascii="Times New Roman" w:hAnsi="Times New Roman"/>
          <w:color w:val="000000" w:themeColor="text1"/>
          <w:sz w:val="16"/>
          <w:szCs w:val="16"/>
        </w:rPr>
        <w:t>Чачикян</w:t>
      </w:r>
      <w:proofErr w:type="spellEnd"/>
      <w:r w:rsidRPr="007122AB">
        <w:rPr>
          <w:rFonts w:ascii="Times New Roman" w:hAnsi="Times New Roman"/>
          <w:color w:val="000000" w:themeColor="text1"/>
          <w:sz w:val="16"/>
          <w:szCs w:val="16"/>
        </w:rPr>
        <w:t xml:space="preserve">; гл. конструкторы: по астронавигации- И.М. </w:t>
      </w:r>
      <w:proofErr w:type="spellStart"/>
      <w:r w:rsidRPr="007122AB">
        <w:rPr>
          <w:rFonts w:ascii="Times New Roman" w:hAnsi="Times New Roman"/>
          <w:color w:val="000000" w:themeColor="text1"/>
          <w:sz w:val="16"/>
          <w:szCs w:val="16"/>
        </w:rPr>
        <w:t>Лисович</w:t>
      </w:r>
      <w:proofErr w:type="spellEnd"/>
      <w:r w:rsidRPr="007122AB">
        <w:rPr>
          <w:rFonts w:ascii="Times New Roman" w:hAnsi="Times New Roman"/>
          <w:color w:val="000000" w:themeColor="text1"/>
          <w:sz w:val="16"/>
          <w:szCs w:val="16"/>
        </w:rPr>
        <w:t xml:space="preserve">, по автопилоту- Г.Н. Толстоусов).59 </w:t>
      </w:r>
    </w:p>
    <w:p w14:paraId="5C10E5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0F32BE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28D0F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73F14B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w:t>
      </w:r>
      <w:proofErr w:type="spellStart"/>
      <w:r w:rsidRPr="007122AB">
        <w:rPr>
          <w:rFonts w:ascii="Times New Roman" w:hAnsi="Times New Roman"/>
          <w:color w:val="000000" w:themeColor="text1"/>
          <w:sz w:val="16"/>
          <w:szCs w:val="16"/>
        </w:rPr>
        <w:t>Поротников</w:t>
      </w:r>
      <w:proofErr w:type="spellEnd"/>
      <w:r w:rsidRPr="007122AB">
        <w:rPr>
          <w:rFonts w:ascii="Times New Roman" w:hAnsi="Times New Roman"/>
          <w:color w:val="000000" w:themeColor="text1"/>
          <w:sz w:val="16"/>
          <w:szCs w:val="16"/>
        </w:rPr>
        <w:t xml:space="preserve">). </w:t>
      </w:r>
    </w:p>
    <w:p w14:paraId="0AFBF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003234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Принимал участие в программе создания ОК «Буран». </w:t>
      </w:r>
    </w:p>
    <w:p w14:paraId="21200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1970-80-е г.- научное обеспечение создания РДТТ для БРК.</w:t>
      </w:r>
    </w:p>
    <w:p w14:paraId="650009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1980-х г. создан </w:t>
      </w:r>
      <w:proofErr w:type="spellStart"/>
      <w:r w:rsidRPr="007122AB">
        <w:rPr>
          <w:rFonts w:ascii="Times New Roman" w:hAnsi="Times New Roman"/>
          <w:color w:val="000000" w:themeColor="text1"/>
          <w:sz w:val="16"/>
          <w:szCs w:val="16"/>
        </w:rPr>
        <w:t>плазмогенератор</w:t>
      </w:r>
      <w:proofErr w:type="spellEnd"/>
      <w:r w:rsidRPr="007122AB">
        <w:rPr>
          <w:rFonts w:ascii="Times New Roman" w:hAnsi="Times New Roman"/>
          <w:color w:val="000000" w:themeColor="text1"/>
          <w:sz w:val="16"/>
          <w:szCs w:val="16"/>
        </w:rPr>
        <w:t xml:space="preserve"> «Марабу», создающих вокруг движущегося объекта плазменную оболочку, снижающую радиолокационную заметность объекта.63 </w:t>
      </w:r>
    </w:p>
    <w:p w14:paraId="4D803D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BD03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0E5162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634C8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0AE47B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w:t>
      </w:r>
      <w:proofErr w:type="spellStart"/>
      <w:r w:rsidRPr="007122AB">
        <w:rPr>
          <w:rFonts w:ascii="Times New Roman" w:hAnsi="Times New Roman"/>
          <w:color w:val="000000" w:themeColor="text1"/>
          <w:sz w:val="16"/>
          <w:szCs w:val="16"/>
        </w:rPr>
        <w:t>Поликовский</w:t>
      </w:r>
      <w:proofErr w:type="spellEnd"/>
      <w:r w:rsidRPr="007122AB">
        <w:rPr>
          <w:rFonts w:ascii="Times New Roman" w:hAnsi="Times New Roman"/>
          <w:color w:val="000000" w:themeColor="text1"/>
          <w:sz w:val="16"/>
          <w:szCs w:val="16"/>
        </w:rPr>
        <w:t xml:space="preserve">, (05.1944 г.-)- П.И. Федоров, (1945-46 г.)- Я.Л. Бибиков, генерал-майор ИАС, (11.1946 г.-)- М.В. Келдыш, (1948-49 г.)- В.В. Владимиров, (1949-51 г.)- В.А. Окулов, (1951-55 г.)- А.Т. Туманов, (1955-88 г.)- В.Я. </w:t>
      </w:r>
      <w:proofErr w:type="spellStart"/>
      <w:r w:rsidRPr="007122AB">
        <w:rPr>
          <w:rFonts w:ascii="Times New Roman" w:hAnsi="Times New Roman"/>
          <w:color w:val="000000" w:themeColor="text1"/>
          <w:sz w:val="16"/>
          <w:szCs w:val="16"/>
        </w:rPr>
        <w:t>Лихушин</w:t>
      </w:r>
      <w:proofErr w:type="spellEnd"/>
      <w:r w:rsidRPr="007122AB">
        <w:rPr>
          <w:rFonts w:ascii="Times New Roman" w:hAnsi="Times New Roman"/>
          <w:color w:val="000000" w:themeColor="text1"/>
          <w:sz w:val="16"/>
          <w:szCs w:val="16"/>
        </w:rPr>
        <w:t>. Директор (1988-2005 г.-)- академик А.С. Коротеев.</w:t>
      </w:r>
    </w:p>
    <w:p w14:paraId="7A58DF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Научный руководитель (1948-61 г.)- академик М.В. Келдыш.</w:t>
      </w:r>
    </w:p>
    <w:p w14:paraId="3E7D53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(1933 г.-)- С.П. Королев; по научной части - В.Ф. Болховитинов (05.1944-46 г.). Зам. директора (2003 г.)- А.М. Губертов; по ВЭС (2005 г.)- А.А. </w:t>
      </w:r>
      <w:proofErr w:type="spellStart"/>
      <w:r w:rsidRPr="007122AB">
        <w:rPr>
          <w:rFonts w:ascii="Times New Roman" w:hAnsi="Times New Roman"/>
          <w:color w:val="000000" w:themeColor="text1"/>
          <w:sz w:val="16"/>
          <w:szCs w:val="16"/>
        </w:rPr>
        <w:t>Кленчев</w:t>
      </w:r>
      <w:proofErr w:type="spellEnd"/>
      <w:r w:rsidRPr="007122AB">
        <w:rPr>
          <w:rFonts w:ascii="Times New Roman" w:hAnsi="Times New Roman"/>
          <w:color w:val="000000" w:themeColor="text1"/>
          <w:sz w:val="16"/>
          <w:szCs w:val="16"/>
        </w:rPr>
        <w:t>.</w:t>
      </w:r>
    </w:p>
    <w:p w14:paraId="69035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(1940-41 г.)- А.Г. Костиков. Начальник КБ (1943 г.-)- А.Я. Березняк.</w:t>
      </w:r>
    </w:p>
    <w:p w14:paraId="4068E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(03.1938; 1944 г.) - А.П. Артемьев (РС), А.П. Ваничев, Л.А. Воскресенский, И.И. </w:t>
      </w:r>
      <w:proofErr w:type="spellStart"/>
      <w:r w:rsidRPr="007122AB">
        <w:rPr>
          <w:rFonts w:ascii="Times New Roman" w:hAnsi="Times New Roman"/>
          <w:color w:val="000000" w:themeColor="text1"/>
          <w:sz w:val="16"/>
          <w:szCs w:val="16"/>
        </w:rPr>
        <w:t>Гвай</w:t>
      </w:r>
      <w:proofErr w:type="spellEnd"/>
      <w:r w:rsidRPr="007122AB">
        <w:rPr>
          <w:rFonts w:ascii="Times New Roman" w:hAnsi="Times New Roman"/>
          <w:color w:val="000000" w:themeColor="text1"/>
          <w:sz w:val="16"/>
          <w:szCs w:val="16"/>
        </w:rPr>
        <w:t xml:space="preserve"> (РС), (-1937 г.)-В.П. Глушко (репрессирован, работал в ОТБ НКВД на заводе № 8), (1933- 44 г.-)- Л.С. Душкин, (1941 г.)- В.С. Зуев (ПВРД), (1930-е; 1944-)- А.М. Исаев, (-04.1938 г.)- С.П. Королев (репрессирован), (-1937 г.)- Г.Э. </w:t>
      </w:r>
      <w:proofErr w:type="spellStart"/>
      <w:r w:rsidRPr="007122AB">
        <w:rPr>
          <w:rFonts w:ascii="Times New Roman" w:hAnsi="Times New Roman"/>
          <w:color w:val="000000" w:themeColor="text1"/>
          <w:sz w:val="16"/>
          <w:szCs w:val="16"/>
        </w:rPr>
        <w:t>Лангемак</w:t>
      </w:r>
      <w:proofErr w:type="spellEnd"/>
      <w:r w:rsidRPr="007122AB">
        <w:rPr>
          <w:rFonts w:ascii="Times New Roman" w:hAnsi="Times New Roman"/>
          <w:color w:val="000000" w:themeColor="text1"/>
          <w:sz w:val="16"/>
          <w:szCs w:val="16"/>
        </w:rPr>
        <w:t xml:space="preserve"> (репрессирован), А.М. Люлька, В.П. Мишин, (1936-45; 1958-96 г.)- А.В. </w:t>
      </w:r>
      <w:proofErr w:type="spellStart"/>
      <w:r w:rsidRPr="007122AB">
        <w:rPr>
          <w:rFonts w:ascii="Times New Roman" w:hAnsi="Times New Roman"/>
          <w:color w:val="000000" w:themeColor="text1"/>
          <w:sz w:val="16"/>
          <w:szCs w:val="16"/>
        </w:rPr>
        <w:t>Палло</w:t>
      </w:r>
      <w:proofErr w:type="spellEnd"/>
      <w:r w:rsidRPr="007122AB">
        <w:rPr>
          <w:rFonts w:ascii="Times New Roman" w:hAnsi="Times New Roman"/>
          <w:color w:val="000000" w:themeColor="text1"/>
          <w:sz w:val="16"/>
          <w:szCs w:val="16"/>
        </w:rPr>
        <w:t xml:space="preserve">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1316B7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РС: РС-82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1937 г.), РС-132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1938 г.); М-13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1941 г.), М-13УК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1943 г.), М-13ДД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1944 г.), М-20 (1941 г.) для БМ-13 «Катюша» ; М-8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1941 г.) для БМ-8 «Катюша»; М-30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1942 г.), М-31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1943 г.), М-31УК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1944 г.) для БМ-31;58 самолеты с ЖРД: «302» (1943), «4302» (1946), «4303» (1947); СЭДУ- солнечная </w:t>
      </w:r>
      <w:proofErr w:type="spellStart"/>
      <w:r w:rsidRPr="007122AB">
        <w:rPr>
          <w:rFonts w:ascii="Times New Roman" w:hAnsi="Times New Roman"/>
          <w:color w:val="000000" w:themeColor="text1"/>
          <w:sz w:val="16"/>
          <w:szCs w:val="16"/>
        </w:rPr>
        <w:t>энергодвигательная</w:t>
      </w:r>
      <w:proofErr w:type="spellEnd"/>
      <w:r w:rsidRPr="007122AB">
        <w:rPr>
          <w:rFonts w:ascii="Times New Roman" w:hAnsi="Times New Roman"/>
          <w:color w:val="000000" w:themeColor="text1"/>
          <w:sz w:val="16"/>
          <w:szCs w:val="16"/>
        </w:rPr>
        <w:t xml:space="preserve"> установка с СТРД- солнечным тепловым ракетным двигателем.</w:t>
      </w:r>
    </w:p>
    <w:p w14:paraId="69885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2FC603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125438 г. Москва, ул. Онежская, 8/10 тел. 456-46-08, 456-87-56 www.kerc.msk.ru (10776).</w:t>
      </w:r>
    </w:p>
    <w:p w14:paraId="5A8BD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КБ-7 РНИИ</w:t>
      </w:r>
    </w:p>
    <w:p w14:paraId="40CC4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в 1935 г. на базе бригады ЖРД </w:t>
      </w:r>
      <w:proofErr w:type="spellStart"/>
      <w:r w:rsidRPr="007122AB">
        <w:rPr>
          <w:rFonts w:ascii="Times New Roman" w:hAnsi="Times New Roman"/>
          <w:color w:val="000000" w:themeColor="text1"/>
          <w:sz w:val="16"/>
          <w:szCs w:val="16"/>
        </w:rPr>
        <w:t>ГИРДа</w:t>
      </w:r>
      <w:proofErr w:type="spellEnd"/>
      <w:r w:rsidRPr="007122AB">
        <w:rPr>
          <w:rFonts w:ascii="Times New Roman" w:hAnsi="Times New Roman"/>
          <w:color w:val="000000" w:themeColor="text1"/>
          <w:sz w:val="16"/>
          <w:szCs w:val="16"/>
        </w:rPr>
        <w:t>. Работы по жидкостным ракетам.</w:t>
      </w:r>
    </w:p>
    <w:p w14:paraId="783AE6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6BCA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(1935 г.)- Л.К. Корнеев.</w:t>
      </w:r>
    </w:p>
    <w:p w14:paraId="0FA7E2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(08.1935 г.)- А.И. Полярный.</w:t>
      </w:r>
    </w:p>
    <w:p w14:paraId="36AC3B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(1935 г.-)- М.Г. Воробьев, П.И. Иванов (нач. группы аэродинамики), Е.М. Курило (электротехника), А.С. </w:t>
      </w:r>
      <w:proofErr w:type="spellStart"/>
      <w:r w:rsidRPr="007122AB">
        <w:rPr>
          <w:rFonts w:ascii="Times New Roman" w:hAnsi="Times New Roman"/>
          <w:color w:val="000000" w:themeColor="text1"/>
          <w:sz w:val="16"/>
          <w:szCs w:val="16"/>
        </w:rPr>
        <w:t>Раецкий</w:t>
      </w:r>
      <w:proofErr w:type="spellEnd"/>
      <w:r w:rsidRPr="007122AB">
        <w:rPr>
          <w:rFonts w:ascii="Times New Roman" w:hAnsi="Times New Roman"/>
          <w:color w:val="000000" w:themeColor="text1"/>
          <w:sz w:val="16"/>
          <w:szCs w:val="16"/>
        </w:rPr>
        <w:t xml:space="preserve">, Э.П. Шептицкий (нач. конструкторской группы); (1937 г.)- М.Ю. </w:t>
      </w:r>
      <w:proofErr w:type="spellStart"/>
      <w:r w:rsidRPr="007122AB">
        <w:rPr>
          <w:rFonts w:ascii="Times New Roman" w:hAnsi="Times New Roman"/>
          <w:color w:val="000000" w:themeColor="text1"/>
          <w:sz w:val="16"/>
          <w:szCs w:val="16"/>
        </w:rPr>
        <w:t>Голлендер</w:t>
      </w:r>
      <w:proofErr w:type="spellEnd"/>
      <w:r w:rsidRPr="007122AB">
        <w:rPr>
          <w:rFonts w:ascii="Times New Roman" w:hAnsi="Times New Roman"/>
          <w:color w:val="000000" w:themeColor="text1"/>
          <w:sz w:val="16"/>
          <w:szCs w:val="16"/>
        </w:rPr>
        <w:t xml:space="preserve"> (нач. керамической лаборатории), Ф.Л. </w:t>
      </w:r>
      <w:proofErr w:type="spellStart"/>
      <w:r w:rsidRPr="007122AB">
        <w:rPr>
          <w:rFonts w:ascii="Times New Roman" w:hAnsi="Times New Roman"/>
          <w:color w:val="000000" w:themeColor="text1"/>
          <w:sz w:val="16"/>
          <w:szCs w:val="16"/>
        </w:rPr>
        <w:t>Якайтис</w:t>
      </w:r>
      <w:proofErr w:type="spellEnd"/>
      <w:r w:rsidRPr="007122AB">
        <w:rPr>
          <w:rFonts w:ascii="Times New Roman" w:hAnsi="Times New Roman"/>
          <w:color w:val="000000" w:themeColor="text1"/>
          <w:sz w:val="16"/>
          <w:szCs w:val="16"/>
        </w:rPr>
        <w:t>, В.С. Зуев, А.Б. Ионов.</w:t>
      </w:r>
    </w:p>
    <w:p w14:paraId="08777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ракеты: Р-03, Р-06 (1936 г.), АНИР-5, Р-07, ЭНИР-7, Р-05, Р-10 (1939 г.); </w:t>
      </w:r>
      <w:proofErr w:type="spellStart"/>
      <w:r w:rsidRPr="007122AB">
        <w:rPr>
          <w:rFonts w:ascii="Times New Roman" w:hAnsi="Times New Roman"/>
          <w:color w:val="000000" w:themeColor="text1"/>
          <w:sz w:val="16"/>
          <w:szCs w:val="16"/>
        </w:rPr>
        <w:t>порохо</w:t>
      </w:r>
      <w:proofErr w:type="spellEnd"/>
      <w:r w:rsidRPr="007122AB">
        <w:rPr>
          <w:rFonts w:ascii="Times New Roman" w:hAnsi="Times New Roman"/>
          <w:color w:val="000000" w:themeColor="text1"/>
          <w:sz w:val="16"/>
          <w:szCs w:val="16"/>
        </w:rPr>
        <w:t>-жидкостный двигатель М-17, М-29е для Р-05.</w:t>
      </w:r>
    </w:p>
    <w:p w14:paraId="6AE0E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Филиал № 1 НИИ-1</w:t>
      </w:r>
    </w:p>
    <w:p w14:paraId="50FCB1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Химки Московской обл./</w:t>
      </w:r>
    </w:p>
    <w:p w14:paraId="094508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385E7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w:t>
      </w:r>
      <w:proofErr w:type="spellStart"/>
      <w:r w:rsidRPr="007122AB">
        <w:rPr>
          <w:rFonts w:ascii="Times New Roman" w:hAnsi="Times New Roman"/>
          <w:color w:val="000000" w:themeColor="text1"/>
          <w:sz w:val="16"/>
          <w:szCs w:val="16"/>
        </w:rPr>
        <w:t>Бисновату</w:t>
      </w:r>
      <w:proofErr w:type="spellEnd"/>
      <w:r w:rsidRPr="007122AB">
        <w:rPr>
          <w:rFonts w:ascii="Times New Roman" w:hAnsi="Times New Roman"/>
          <w:color w:val="000000" w:themeColor="text1"/>
          <w:sz w:val="16"/>
          <w:szCs w:val="16"/>
        </w:rPr>
        <w:t>. Группа А.М. Исаева переведена на основную территорию НИИ-1. Березняк в 12.1946 г. назначен зам. гл. конструктора ОКБ-2 завода № 1 МАП.</w:t>
      </w:r>
    </w:p>
    <w:p w14:paraId="1ADE1F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филиала (01.1946 г.)- Нейман.</w:t>
      </w:r>
    </w:p>
    <w:p w14:paraId="567978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Начальник КБ филиала (06.1946 г.)- А.Я. Березняк.</w:t>
      </w:r>
    </w:p>
    <w:p w14:paraId="0D160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Филиал № 2 НИИ-1</w:t>
      </w:r>
    </w:p>
    <w:p w14:paraId="205C31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 Ново-Владыкино/</w:t>
      </w:r>
    </w:p>
    <w:p w14:paraId="0BD99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35EA25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2B7C3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0EE00D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44667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филиала (1944-46 г.)- Ю.А. Победоносцев.</w:t>
      </w:r>
    </w:p>
    <w:p w14:paraId="2A3EA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гл. инженер (1944 г.)- Н.В. </w:t>
      </w:r>
      <w:proofErr w:type="spellStart"/>
      <w:r w:rsidRPr="007122AB">
        <w:rPr>
          <w:rFonts w:ascii="Times New Roman" w:hAnsi="Times New Roman"/>
          <w:color w:val="000000" w:themeColor="text1"/>
          <w:sz w:val="16"/>
          <w:szCs w:val="16"/>
        </w:rPr>
        <w:t>Климовицкий</w:t>
      </w:r>
      <w:proofErr w:type="spellEnd"/>
      <w:r w:rsidRPr="007122AB">
        <w:rPr>
          <w:rFonts w:ascii="Times New Roman" w:hAnsi="Times New Roman"/>
          <w:color w:val="000000" w:themeColor="text1"/>
          <w:sz w:val="16"/>
          <w:szCs w:val="16"/>
        </w:rPr>
        <w:t>.</w:t>
      </w:r>
    </w:p>
    <w:p w14:paraId="413EC9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КБ-1, ОКБ-1 при НИИ-1 МАП гл. конструктора Л.С. Душкина</w:t>
      </w:r>
    </w:p>
    <w:p w14:paraId="20C0F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Л.С. Душкин работал в </w:t>
      </w:r>
      <w:proofErr w:type="spellStart"/>
      <w:r w:rsidRPr="007122AB">
        <w:rPr>
          <w:rFonts w:ascii="Times New Roman" w:hAnsi="Times New Roman"/>
          <w:color w:val="000000" w:themeColor="text1"/>
          <w:sz w:val="16"/>
          <w:szCs w:val="16"/>
        </w:rPr>
        <w:t>ГИРДе</w:t>
      </w:r>
      <w:proofErr w:type="spellEnd"/>
      <w:r w:rsidRPr="007122AB">
        <w:rPr>
          <w:rFonts w:ascii="Times New Roman" w:hAnsi="Times New Roman"/>
          <w:color w:val="000000" w:themeColor="text1"/>
          <w:sz w:val="16"/>
          <w:szCs w:val="16"/>
        </w:rPr>
        <w:t xml:space="preserve">, с 1933 г.- в РНИИ, в моторной лаборатории. С 01.1938 г. возглавлял в НИИ-3 НКБ отдел по ЖРД. </w:t>
      </w:r>
    </w:p>
    <w:p w14:paraId="26C67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приказом НКАП № 433сс/</w:t>
      </w:r>
      <w:proofErr w:type="spellStart"/>
      <w:r w:rsidRPr="007122AB">
        <w:rPr>
          <w:rFonts w:ascii="Times New Roman" w:hAnsi="Times New Roman"/>
          <w:color w:val="000000" w:themeColor="text1"/>
          <w:sz w:val="16"/>
          <w:szCs w:val="16"/>
        </w:rPr>
        <w:t>ов</w:t>
      </w:r>
      <w:proofErr w:type="spellEnd"/>
      <w:r w:rsidRPr="007122AB">
        <w:rPr>
          <w:rFonts w:ascii="Times New Roman" w:hAnsi="Times New Roman"/>
          <w:color w:val="000000" w:themeColor="text1"/>
          <w:sz w:val="16"/>
          <w:szCs w:val="16"/>
        </w:rPr>
        <w:t xml:space="preserve"> от 11.06.1942 г. для ускорения работ по реактивным двигателям планировалось перевести группу Душкина (В.А. Штоколов, А.В. </w:t>
      </w:r>
      <w:proofErr w:type="spellStart"/>
      <w:r w:rsidRPr="007122AB">
        <w:rPr>
          <w:rFonts w:ascii="Times New Roman" w:hAnsi="Times New Roman"/>
          <w:color w:val="000000" w:themeColor="text1"/>
          <w:sz w:val="16"/>
          <w:szCs w:val="16"/>
        </w:rPr>
        <w:t>Палло</w:t>
      </w:r>
      <w:proofErr w:type="spellEnd"/>
      <w:r w:rsidRPr="007122AB">
        <w:rPr>
          <w:rFonts w:ascii="Times New Roman" w:hAnsi="Times New Roman"/>
          <w:color w:val="000000" w:themeColor="text1"/>
          <w:sz w:val="16"/>
          <w:szCs w:val="16"/>
        </w:rPr>
        <w:t xml:space="preserve"> и др.) из НИИ-3 на завод № 293. Однако, по имеющейся информации, группа Душкина не была переведена и продолжала работать в НИИ-3 и затем в НИИ-1.</w:t>
      </w:r>
    </w:p>
    <w:p w14:paraId="26D76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Проводились работы по ускорителю самолета С-155 и ускорителю для Е-50.</w:t>
      </w:r>
    </w:p>
    <w:p w14:paraId="30D74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Душкин до 04.1946 г.- начальник отдела № 13 НИИ-1. В 04.1946 г.- гл. конструктор КБ-1 при НИИ-1.</w:t>
      </w:r>
    </w:p>
    <w:p w14:paraId="4DF601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1949 г. ОКБ-1 входило в состав ЦИАМ (вместе с НИИ-1).</w:t>
      </w:r>
    </w:p>
    <w:p w14:paraId="71A1E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A1D66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(1949 г.)- Преображенский, </w:t>
      </w:r>
      <w:proofErr w:type="spellStart"/>
      <w:r w:rsidRPr="007122AB">
        <w:rPr>
          <w:rFonts w:ascii="Times New Roman" w:hAnsi="Times New Roman"/>
          <w:color w:val="000000" w:themeColor="text1"/>
          <w:sz w:val="16"/>
          <w:szCs w:val="16"/>
        </w:rPr>
        <w:t>Чурков</w:t>
      </w:r>
      <w:proofErr w:type="spellEnd"/>
      <w:r w:rsidRPr="007122AB">
        <w:rPr>
          <w:rFonts w:ascii="Times New Roman" w:hAnsi="Times New Roman"/>
          <w:color w:val="000000" w:themeColor="text1"/>
          <w:sz w:val="16"/>
          <w:szCs w:val="16"/>
        </w:rPr>
        <w:t>.</w:t>
      </w:r>
    </w:p>
    <w:p w14:paraId="04E01E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250FDB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КБ-2 при НИИ-1 МАП гл. конструктора М.М. </w:t>
      </w:r>
      <w:proofErr w:type="spellStart"/>
      <w:r w:rsidRPr="007122AB">
        <w:rPr>
          <w:rFonts w:ascii="Times New Roman" w:hAnsi="Times New Roman"/>
          <w:color w:val="000000" w:themeColor="text1"/>
          <w:sz w:val="16"/>
          <w:szCs w:val="16"/>
        </w:rPr>
        <w:t>Бондарюка</w:t>
      </w:r>
      <w:proofErr w:type="spellEnd"/>
    </w:p>
    <w:p w14:paraId="6C70B9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149сс от 28.02.1944 г. ЭКБ-3 НИИ ГВФ М.М. </w:t>
      </w:r>
      <w:proofErr w:type="spellStart"/>
      <w:r w:rsidRPr="007122AB">
        <w:rPr>
          <w:rFonts w:ascii="Times New Roman" w:hAnsi="Times New Roman"/>
          <w:color w:val="000000" w:themeColor="text1"/>
          <w:sz w:val="16"/>
          <w:szCs w:val="16"/>
        </w:rPr>
        <w:t>Бондарюка</w:t>
      </w:r>
      <w:proofErr w:type="spellEnd"/>
      <w:r w:rsidRPr="007122AB">
        <w:rPr>
          <w:rFonts w:ascii="Times New Roman" w:hAnsi="Times New Roman"/>
          <w:color w:val="000000" w:themeColor="text1"/>
          <w:sz w:val="16"/>
          <w:szCs w:val="16"/>
        </w:rPr>
        <w:t xml:space="preserve"> вместе с ОКБ-293 влили в состав НИИ-1. Далее оно преобразовано в отдел прямоточных двигателей, а вскоре- и в КБ-2. Сначала </w:t>
      </w:r>
      <w:proofErr w:type="spellStart"/>
      <w:r w:rsidRPr="007122AB">
        <w:rPr>
          <w:rFonts w:ascii="Times New Roman" w:hAnsi="Times New Roman"/>
          <w:color w:val="000000" w:themeColor="text1"/>
          <w:sz w:val="16"/>
          <w:szCs w:val="16"/>
        </w:rPr>
        <w:t>Бондарюк</w:t>
      </w:r>
      <w:proofErr w:type="spellEnd"/>
      <w:r w:rsidRPr="007122AB">
        <w:rPr>
          <w:rFonts w:ascii="Times New Roman" w:hAnsi="Times New Roman"/>
          <w:color w:val="000000" w:themeColor="text1"/>
          <w:sz w:val="16"/>
          <w:szCs w:val="16"/>
        </w:rPr>
        <w:t>- руководитель и конструктор КБ, а с 08.1947 г.- гл. конструктор КБ-2 (в 1949 г. по совместительству работал в отделе № 5 НИИ-88).</w:t>
      </w:r>
    </w:p>
    <w:p w14:paraId="3B918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w:t>
      </w:r>
      <w:proofErr w:type="spellStart"/>
      <w:r w:rsidRPr="007122AB">
        <w:rPr>
          <w:rFonts w:ascii="Times New Roman" w:hAnsi="Times New Roman"/>
          <w:color w:val="000000" w:themeColor="text1"/>
          <w:sz w:val="16"/>
          <w:szCs w:val="16"/>
        </w:rPr>
        <w:t>Бондарюк</w:t>
      </w:r>
      <w:proofErr w:type="spellEnd"/>
      <w:r w:rsidRPr="007122AB">
        <w:rPr>
          <w:rFonts w:ascii="Times New Roman" w:hAnsi="Times New Roman"/>
          <w:color w:val="000000" w:themeColor="text1"/>
          <w:sz w:val="16"/>
          <w:szCs w:val="16"/>
        </w:rPr>
        <w:t>.</w:t>
      </w:r>
    </w:p>
    <w:p w14:paraId="589C1A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(08.1947-10.1950 г.)- М.М. </w:t>
      </w:r>
      <w:proofErr w:type="spellStart"/>
      <w:r w:rsidRPr="007122AB">
        <w:rPr>
          <w:rFonts w:ascii="Times New Roman" w:hAnsi="Times New Roman"/>
          <w:color w:val="000000" w:themeColor="text1"/>
          <w:sz w:val="16"/>
          <w:szCs w:val="16"/>
        </w:rPr>
        <w:t>Бондарюк</w:t>
      </w:r>
      <w:proofErr w:type="spellEnd"/>
      <w:r w:rsidRPr="007122AB">
        <w:rPr>
          <w:rFonts w:ascii="Times New Roman" w:hAnsi="Times New Roman"/>
          <w:color w:val="000000" w:themeColor="text1"/>
          <w:sz w:val="16"/>
          <w:szCs w:val="16"/>
        </w:rPr>
        <w:t>.</w:t>
      </w:r>
    </w:p>
    <w:p w14:paraId="77A99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 Г.А. Варшавский.</w:t>
      </w:r>
    </w:p>
    <w:p w14:paraId="4135D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И.М. </w:t>
      </w:r>
      <w:proofErr w:type="spellStart"/>
      <w:r w:rsidRPr="007122AB">
        <w:rPr>
          <w:rFonts w:ascii="Times New Roman" w:hAnsi="Times New Roman"/>
          <w:color w:val="000000" w:themeColor="text1"/>
          <w:sz w:val="16"/>
          <w:szCs w:val="16"/>
        </w:rPr>
        <w:t>Вишнепольский</w:t>
      </w:r>
      <w:proofErr w:type="spellEnd"/>
      <w:r w:rsidRPr="007122AB">
        <w:rPr>
          <w:rFonts w:ascii="Times New Roman" w:hAnsi="Times New Roman"/>
          <w:color w:val="000000" w:themeColor="text1"/>
          <w:sz w:val="16"/>
          <w:szCs w:val="16"/>
        </w:rPr>
        <w:t xml:space="preserve">, Ю.Н. Глазунов, Е.Я. </w:t>
      </w:r>
      <w:proofErr w:type="spellStart"/>
      <w:r w:rsidRPr="007122AB">
        <w:rPr>
          <w:rFonts w:ascii="Times New Roman" w:hAnsi="Times New Roman"/>
          <w:color w:val="000000" w:themeColor="text1"/>
          <w:sz w:val="16"/>
          <w:szCs w:val="16"/>
        </w:rPr>
        <w:t>Губер</w:t>
      </w:r>
      <w:proofErr w:type="spellEnd"/>
      <w:r w:rsidRPr="007122AB">
        <w:rPr>
          <w:rFonts w:ascii="Times New Roman" w:hAnsi="Times New Roman"/>
          <w:color w:val="000000" w:themeColor="text1"/>
          <w:sz w:val="16"/>
          <w:szCs w:val="16"/>
        </w:rPr>
        <w:t xml:space="preserve">, Н.Д. </w:t>
      </w:r>
      <w:proofErr w:type="spellStart"/>
      <w:r w:rsidRPr="007122AB">
        <w:rPr>
          <w:rFonts w:ascii="Times New Roman" w:hAnsi="Times New Roman"/>
          <w:color w:val="000000" w:themeColor="text1"/>
          <w:sz w:val="16"/>
          <w:szCs w:val="16"/>
        </w:rPr>
        <w:t>Домарев</w:t>
      </w:r>
      <w:proofErr w:type="spellEnd"/>
      <w:r w:rsidRPr="007122AB">
        <w:rPr>
          <w:rFonts w:ascii="Times New Roman" w:hAnsi="Times New Roman"/>
          <w:color w:val="000000" w:themeColor="text1"/>
          <w:sz w:val="16"/>
          <w:szCs w:val="16"/>
        </w:rPr>
        <w:t xml:space="preserve">, Ю.К. Ефимов, И.А. </w:t>
      </w:r>
      <w:proofErr w:type="spellStart"/>
      <w:r w:rsidRPr="007122AB">
        <w:rPr>
          <w:rFonts w:ascii="Times New Roman" w:hAnsi="Times New Roman"/>
          <w:color w:val="000000" w:themeColor="text1"/>
          <w:sz w:val="16"/>
          <w:szCs w:val="16"/>
        </w:rPr>
        <w:t>Куратов</w:t>
      </w:r>
      <w:proofErr w:type="spellEnd"/>
      <w:r w:rsidRPr="007122AB">
        <w:rPr>
          <w:rFonts w:ascii="Times New Roman" w:hAnsi="Times New Roman"/>
          <w:color w:val="000000" w:themeColor="text1"/>
          <w:sz w:val="16"/>
          <w:szCs w:val="16"/>
        </w:rPr>
        <w:t>, И.Б. Леванов, А.Ф. Макеев, С.И. Платонов, С.М. Родин.</w:t>
      </w:r>
    </w:p>
    <w:p w14:paraId="4A812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748E3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КБ-3 при НИИ-1 МАП гл. конструктора Г.Я. Диллона</w:t>
      </w:r>
    </w:p>
    <w:p w14:paraId="223CF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Также- это отдел вооружения № 52 НИИ-1.</w:t>
      </w:r>
    </w:p>
    <w:p w14:paraId="16E158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1942 г. под руководством Г.Я. Диллона и его зама В.П. Голикова начаты исследования и разработка реактивной авиационной торпеды РАТ (работали Ю.Б. </w:t>
      </w:r>
      <w:proofErr w:type="spellStart"/>
      <w:r w:rsidRPr="007122AB">
        <w:rPr>
          <w:rFonts w:ascii="Times New Roman" w:hAnsi="Times New Roman"/>
          <w:color w:val="000000" w:themeColor="text1"/>
          <w:sz w:val="16"/>
          <w:szCs w:val="16"/>
        </w:rPr>
        <w:t>Гермейер</w:t>
      </w:r>
      <w:proofErr w:type="spellEnd"/>
      <w:r w:rsidRPr="007122AB">
        <w:rPr>
          <w:rFonts w:ascii="Times New Roman" w:hAnsi="Times New Roman"/>
          <w:color w:val="000000" w:themeColor="text1"/>
          <w:sz w:val="16"/>
          <w:szCs w:val="16"/>
        </w:rPr>
        <w:t>, В.А. Андреев, О.Т. Сазонова, Я.Л. Рудницкий). Закладывалась серия на заводе № 500.</w:t>
      </w:r>
    </w:p>
    <w:p w14:paraId="5E158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1944 г. Диллон работал в филиале № 2 НИИ-1 по РС.</w:t>
      </w:r>
    </w:p>
    <w:p w14:paraId="7C1F56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5934E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5E373D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СКБ НИИ-1 МАП гл. конструктора А.М. Люльки</w:t>
      </w:r>
    </w:p>
    <w:p w14:paraId="084CF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 Лихоборы/</w:t>
      </w:r>
    </w:p>
    <w:p w14:paraId="0B6B0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23D034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058C9A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(03.1944-03.1946 г.)- А.М. Люлька.</w:t>
      </w:r>
    </w:p>
    <w:p w14:paraId="7E1412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ОКО при НИИ-1 МАП </w:t>
      </w:r>
    </w:p>
    <w:p w14:paraId="63283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Химки, г. Москва/</w:t>
      </w:r>
    </w:p>
    <w:p w14:paraId="197A2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7EAD7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609CE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7DD88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780493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629F9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Филиал НИИ-1 МАП</w:t>
      </w:r>
    </w:p>
    <w:p w14:paraId="1F7D0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19BFB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Создана астронавигационная система «Земля» для МКР «Буран» и аналогичная система для МКР «Буря». Гл. конструкторы систем- И.М. </w:t>
      </w:r>
      <w:proofErr w:type="spellStart"/>
      <w:r w:rsidRPr="007122AB">
        <w:rPr>
          <w:rFonts w:ascii="Times New Roman" w:hAnsi="Times New Roman"/>
          <w:color w:val="000000" w:themeColor="text1"/>
          <w:sz w:val="16"/>
          <w:szCs w:val="16"/>
        </w:rPr>
        <w:t>Лисович</w:t>
      </w:r>
      <w:proofErr w:type="spellEnd"/>
      <w:r w:rsidRPr="007122AB">
        <w:rPr>
          <w:rFonts w:ascii="Times New Roman" w:hAnsi="Times New Roman"/>
          <w:color w:val="000000" w:themeColor="text1"/>
          <w:sz w:val="16"/>
          <w:szCs w:val="16"/>
        </w:rPr>
        <w:t>, Г.И. Толстоусов. В связи с прекращением работ по МКР остановлены работы и по астронавигации.</w:t>
      </w:r>
    </w:p>
    <w:p w14:paraId="6A2E8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Руководитель (1955-59 г.)- Р.Г. </w:t>
      </w:r>
      <w:proofErr w:type="spellStart"/>
      <w:r w:rsidRPr="007122AB">
        <w:rPr>
          <w:rFonts w:ascii="Times New Roman" w:hAnsi="Times New Roman"/>
          <w:color w:val="000000" w:themeColor="text1"/>
          <w:sz w:val="16"/>
          <w:szCs w:val="16"/>
        </w:rPr>
        <w:t>Чачикян</w:t>
      </w:r>
      <w:proofErr w:type="spellEnd"/>
      <w:r w:rsidRPr="007122AB">
        <w:rPr>
          <w:rFonts w:ascii="Times New Roman" w:hAnsi="Times New Roman"/>
          <w:color w:val="000000" w:themeColor="text1"/>
          <w:sz w:val="16"/>
          <w:szCs w:val="16"/>
        </w:rPr>
        <w:t xml:space="preserve"> (в 1942-51 г. работал на заводах № 122 НКАП, № 224 НКАП; с 1959 г.- гл. конструктор ОКБ-133 МАП).</w:t>
      </w:r>
    </w:p>
    <w:p w14:paraId="165CC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1962 г. в 4ГУ ГКАТ действовал филиал НИИ-1 (начальник- А.В. Ежов).</w:t>
      </w:r>
    </w:p>
    <w:p w14:paraId="0017F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33136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/624790 г. Нижняя Салда Свердловской обл., ул. Строителей, 72 тел. (34345) 217-03/</w:t>
      </w:r>
    </w:p>
    <w:p w14:paraId="0B20BC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w:t>
      </w:r>
      <w:proofErr w:type="spellStart"/>
      <w:r w:rsidRPr="007122AB">
        <w:rPr>
          <w:rFonts w:ascii="Times New Roman" w:hAnsi="Times New Roman"/>
          <w:color w:val="000000" w:themeColor="text1"/>
          <w:sz w:val="16"/>
          <w:szCs w:val="16"/>
        </w:rPr>
        <w:t>гидролаборатория</w:t>
      </w:r>
      <w:proofErr w:type="spellEnd"/>
      <w:r w:rsidRPr="007122AB">
        <w:rPr>
          <w:rFonts w:ascii="Times New Roman" w:hAnsi="Times New Roman"/>
          <w:color w:val="000000" w:themeColor="text1"/>
          <w:sz w:val="16"/>
          <w:szCs w:val="16"/>
        </w:rPr>
        <w:t>,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01F68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697A67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17D7A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846F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филиала (1957-66 г.)- М.Г. Миронов.</w:t>
      </w:r>
    </w:p>
    <w:p w14:paraId="655A1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(1981 г.)- В.И. </w:t>
      </w:r>
      <w:proofErr w:type="spellStart"/>
      <w:r w:rsidRPr="007122AB">
        <w:rPr>
          <w:rFonts w:ascii="Times New Roman" w:hAnsi="Times New Roman"/>
          <w:color w:val="000000" w:themeColor="text1"/>
          <w:sz w:val="16"/>
          <w:szCs w:val="16"/>
        </w:rPr>
        <w:t>Чепак</w:t>
      </w:r>
      <w:proofErr w:type="spellEnd"/>
      <w:r w:rsidRPr="007122AB">
        <w:rPr>
          <w:rFonts w:ascii="Times New Roman" w:hAnsi="Times New Roman"/>
          <w:color w:val="000000" w:themeColor="text1"/>
          <w:sz w:val="16"/>
          <w:szCs w:val="16"/>
        </w:rPr>
        <w:t>, (-2000-02 г.-)- Б.А. Некрасов.</w:t>
      </w:r>
    </w:p>
    <w:p w14:paraId="4B9910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(2002 г.)- Е.Г. Ларин.</w:t>
      </w:r>
    </w:p>
    <w:p w14:paraId="4A1E66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по НИР (2002 г.)- Е.Г. Ларин.69 </w:t>
      </w:r>
    </w:p>
    <w:p w14:paraId="0B463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1EC8D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«Пламя» при НИИТП МОМ, НПВО «Пламя» МОМ, ЗАО «ОКБ «Пламя»</w:t>
      </w:r>
    </w:p>
    <w:p w14:paraId="19890B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КБ «Пламя» образовано при НИИТП в 1978 г. из группы конструкторов ОКБ-670 во главе с И.Б. </w:t>
      </w:r>
      <w:proofErr w:type="spellStart"/>
      <w:r w:rsidRPr="007122AB">
        <w:rPr>
          <w:rFonts w:ascii="Times New Roman" w:hAnsi="Times New Roman"/>
          <w:color w:val="000000" w:themeColor="text1"/>
          <w:sz w:val="16"/>
          <w:szCs w:val="16"/>
        </w:rPr>
        <w:t>Левановым</w:t>
      </w:r>
      <w:proofErr w:type="spellEnd"/>
      <w:r w:rsidRPr="007122AB">
        <w:rPr>
          <w:rFonts w:ascii="Times New Roman" w:hAnsi="Times New Roman"/>
          <w:color w:val="000000" w:themeColor="text1"/>
          <w:sz w:val="16"/>
          <w:szCs w:val="16"/>
        </w:rPr>
        <w:t>, переведенных в 1972 г. в ОКБ-4-300 для продолжения работ по ПВРД.</w:t>
      </w:r>
    </w:p>
    <w:p w14:paraId="39927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443E01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19C72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(1978-99 г.-)- И.Б. Леванов.</w:t>
      </w:r>
    </w:p>
    <w:p w14:paraId="0901CF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(1978-99 г.-)- И.Б. Леванов (10776).</w:t>
      </w:r>
    </w:p>
    <w:p w14:paraId="258A4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5E6C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C августа 1931 специальный отряд "Правда" стал доставлять матрицы в Ленинград, Харьков, Грозный, Одессу, Казань,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-на-Дону, Тифлис, Свердловск (442,60).</w:t>
      </w:r>
    </w:p>
    <w:p w14:paraId="7576D6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0099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был основан завод № 384</w:t>
      </w:r>
    </w:p>
    <w:p w14:paraId="111A59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Год ввода в эксплуатацию:</w:t>
      </w:r>
    </w:p>
    <w:p w14:paraId="3AF86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частичного – ноябрь-декабрь 1940 года</w:t>
      </w:r>
    </w:p>
    <w:p w14:paraId="66D1F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Реконструированный с влившимися в него заводами №№ 234, 451, 338</w:t>
      </w:r>
    </w:p>
    <w:p w14:paraId="1F69E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 производства –крупносерийное</w:t>
      </w:r>
    </w:p>
    <w:p w14:paraId="3CED7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производства –моторостроение</w:t>
      </w:r>
    </w:p>
    <w:p w14:paraId="7C1A6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Адрес: Баш. АССР, Уфа, ст. </w:t>
      </w:r>
      <w:proofErr w:type="spellStart"/>
      <w:r w:rsidRPr="007122AB">
        <w:rPr>
          <w:rFonts w:ascii="Times New Roman" w:hAnsi="Times New Roman"/>
          <w:color w:val="000000" w:themeColor="text1"/>
          <w:sz w:val="16"/>
          <w:szCs w:val="16"/>
        </w:rPr>
        <w:t>Черниковка</w:t>
      </w:r>
      <w:proofErr w:type="spellEnd"/>
      <w:r w:rsidRPr="007122AB">
        <w:rPr>
          <w:rFonts w:ascii="Times New Roman" w:hAnsi="Times New Roman"/>
          <w:color w:val="000000" w:themeColor="text1"/>
          <w:sz w:val="16"/>
          <w:szCs w:val="16"/>
        </w:rPr>
        <w:t>, п/я 20</w:t>
      </w:r>
    </w:p>
    <w:p w14:paraId="1BDE9A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моторы М-105Р, М-105П и гр. комплекты.</w:t>
      </w:r>
    </w:p>
    <w:p w14:paraId="45C6E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384 – реконструированное предприятие на базе Уфимского моторного завода НКСМ. В августе 1941 года по решению Правительства в завод влились эвакуированные заводы №№ 234, 451 и передан строившийся в Уфе завод № 338. Завод № 384 размещается на двух площадках, расстояние между ними 5 км. В связи со слиянием указанных выше заводов, проект завода № 384 разрабатывается заново (9339).</w:t>
      </w:r>
    </w:p>
    <w:p w14:paraId="7AD6971D" w14:textId="2C9D1416"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10F855" w14:textId="77777777" w:rsidR="003B2F50" w:rsidRPr="007122AB" w:rsidRDefault="003B2F50" w:rsidP="007122AB">
      <w:pPr>
        <w:pStyle w:val="5b"/>
        <w:spacing w:line="240" w:lineRule="auto"/>
        <w:jc w:val="both"/>
        <w:rPr>
          <w:color w:val="000000" w:themeColor="text1"/>
          <w:sz w:val="16"/>
          <w:szCs w:val="16"/>
          <w:lang w:bidi="ru-RU"/>
        </w:rPr>
      </w:pPr>
      <w:r w:rsidRPr="007122AB">
        <w:rPr>
          <w:color w:val="000000" w:themeColor="text1"/>
          <w:sz w:val="16"/>
          <w:szCs w:val="16"/>
          <w:lang w:bidi="ru-RU"/>
        </w:rPr>
        <w:t xml:space="preserve">В августе 1931 </w:t>
      </w:r>
      <w:proofErr w:type="spellStart"/>
      <w:r w:rsidRPr="007122AB">
        <w:rPr>
          <w:color w:val="000000" w:themeColor="text1"/>
          <w:sz w:val="16"/>
          <w:szCs w:val="16"/>
          <w:lang w:bidi="ru-RU"/>
        </w:rPr>
        <w:t>Гольцман</w:t>
      </w:r>
      <w:proofErr w:type="spellEnd"/>
      <w:r w:rsidRPr="007122AB">
        <w:rPr>
          <w:color w:val="000000" w:themeColor="text1"/>
          <w:sz w:val="16"/>
          <w:szCs w:val="16"/>
          <w:lang w:bidi="ru-RU"/>
        </w:rPr>
        <w:t xml:space="preserve"> снова отправился в Берлин, где к переговорам подключился советский торгпред в Германии Исидор Любимов.</w:t>
      </w:r>
    </w:p>
    <w:p w14:paraId="4EC1BC66" w14:textId="77777777" w:rsidR="003B2F50" w:rsidRPr="007122AB" w:rsidRDefault="003B2F50" w:rsidP="007122AB">
      <w:pPr>
        <w:pStyle w:val="5b"/>
        <w:spacing w:line="240" w:lineRule="auto"/>
        <w:jc w:val="both"/>
        <w:rPr>
          <w:color w:val="000000" w:themeColor="text1"/>
          <w:sz w:val="16"/>
          <w:szCs w:val="16"/>
        </w:rPr>
      </w:pPr>
      <w:r w:rsidRPr="007122AB">
        <w:rPr>
          <w:color w:val="000000" w:themeColor="text1"/>
          <w:sz w:val="16"/>
          <w:szCs w:val="16"/>
          <w:lang w:bidi="ru-RU"/>
        </w:rPr>
        <w:t>Наркомфин считал каждый цент, каждую марку. Любая трата от нескольких сотен долларов и выше требовала специального постановления Политбюро. На дирижаблях можно было сэкономить: задача не первоочередная. Политбюро решило поторговаться с немцами:</w:t>
      </w:r>
    </w:p>
    <w:p w14:paraId="7965703D" w14:textId="76A1913C" w:rsidR="003B2F50" w:rsidRPr="007122AB" w:rsidRDefault="00665549" w:rsidP="007122AB">
      <w:pPr>
        <w:pStyle w:val="5b"/>
        <w:tabs>
          <w:tab w:val="left" w:pos="250"/>
        </w:tabs>
        <w:spacing w:line="240" w:lineRule="auto"/>
        <w:jc w:val="both"/>
        <w:rPr>
          <w:color w:val="000000" w:themeColor="text1"/>
          <w:sz w:val="16"/>
          <w:szCs w:val="16"/>
        </w:rPr>
      </w:pPr>
      <w:r w:rsidRPr="007122AB">
        <w:rPr>
          <w:color w:val="000000" w:themeColor="text1"/>
          <w:sz w:val="16"/>
          <w:szCs w:val="16"/>
          <w:lang w:bidi="ru-RU"/>
        </w:rPr>
        <w:t xml:space="preserve">1. </w:t>
      </w:r>
      <w:r w:rsidR="003B2F50" w:rsidRPr="007122AB">
        <w:rPr>
          <w:color w:val="000000" w:themeColor="text1"/>
          <w:sz w:val="16"/>
          <w:szCs w:val="16"/>
          <w:lang w:bidi="ru-RU"/>
        </w:rPr>
        <w:t xml:space="preserve">Согласиться на дальнейшее ведение переговоров с фирмой «Цеппелин» на базе предварительного договора, подписанного тов. </w:t>
      </w:r>
      <w:proofErr w:type="spellStart"/>
      <w:r w:rsidR="003B2F50" w:rsidRPr="007122AB">
        <w:rPr>
          <w:color w:val="000000" w:themeColor="text1"/>
          <w:sz w:val="16"/>
          <w:szCs w:val="16"/>
          <w:lang w:bidi="ru-RU"/>
        </w:rPr>
        <w:t>Гольцманом</w:t>
      </w:r>
      <w:proofErr w:type="spellEnd"/>
      <w:r w:rsidR="003B2F50" w:rsidRPr="007122AB">
        <w:rPr>
          <w:color w:val="000000" w:themeColor="text1"/>
          <w:sz w:val="16"/>
          <w:szCs w:val="16"/>
          <w:lang w:bidi="ru-RU"/>
        </w:rPr>
        <w:t xml:space="preserve"> и г. </w:t>
      </w:r>
      <w:proofErr w:type="spellStart"/>
      <w:r w:rsidR="003B2F50" w:rsidRPr="007122AB">
        <w:rPr>
          <w:color w:val="000000" w:themeColor="text1"/>
          <w:sz w:val="16"/>
          <w:szCs w:val="16"/>
          <w:lang w:bidi="ru-RU"/>
        </w:rPr>
        <w:t>Экенером</w:t>
      </w:r>
      <w:proofErr w:type="spellEnd"/>
      <w:r w:rsidR="003B2F50" w:rsidRPr="007122AB">
        <w:rPr>
          <w:color w:val="000000" w:themeColor="text1"/>
          <w:sz w:val="16"/>
          <w:szCs w:val="16"/>
          <w:lang w:bidi="ru-RU"/>
        </w:rPr>
        <w:t xml:space="preserve">. Предложить тов. </w:t>
      </w:r>
      <w:proofErr w:type="spellStart"/>
      <w:r w:rsidR="003B2F50" w:rsidRPr="007122AB">
        <w:rPr>
          <w:color w:val="000000" w:themeColor="text1"/>
          <w:sz w:val="16"/>
          <w:szCs w:val="16"/>
          <w:lang w:bidi="ru-RU"/>
        </w:rPr>
        <w:t>Гольцману</w:t>
      </w:r>
      <w:proofErr w:type="spellEnd"/>
      <w:r w:rsidR="003B2F50" w:rsidRPr="007122AB">
        <w:rPr>
          <w:color w:val="000000" w:themeColor="text1"/>
          <w:sz w:val="16"/>
          <w:szCs w:val="16"/>
          <w:lang w:bidi="ru-RU"/>
        </w:rPr>
        <w:t xml:space="preserve"> выехать для продолжения переговоров в Германию.</w:t>
      </w:r>
    </w:p>
    <w:p w14:paraId="438FD689" w14:textId="48CFA425" w:rsidR="003B2F50" w:rsidRPr="007122AB" w:rsidRDefault="00665549" w:rsidP="007122AB">
      <w:pPr>
        <w:pStyle w:val="5b"/>
        <w:tabs>
          <w:tab w:val="left" w:pos="255"/>
        </w:tabs>
        <w:spacing w:line="240" w:lineRule="auto"/>
        <w:jc w:val="both"/>
        <w:rPr>
          <w:color w:val="000000" w:themeColor="text1"/>
          <w:sz w:val="16"/>
          <w:szCs w:val="16"/>
        </w:rPr>
      </w:pPr>
      <w:r w:rsidRPr="007122AB">
        <w:rPr>
          <w:color w:val="000000" w:themeColor="text1"/>
          <w:sz w:val="16"/>
          <w:szCs w:val="16"/>
          <w:lang w:bidi="ru-RU"/>
        </w:rPr>
        <w:t xml:space="preserve">2. </w:t>
      </w:r>
      <w:r w:rsidR="003B2F50" w:rsidRPr="007122AB">
        <w:rPr>
          <w:color w:val="000000" w:themeColor="text1"/>
          <w:sz w:val="16"/>
          <w:szCs w:val="16"/>
          <w:lang w:bidi="ru-RU"/>
        </w:rPr>
        <w:t xml:space="preserve">Дать т. </w:t>
      </w:r>
      <w:proofErr w:type="spellStart"/>
      <w:r w:rsidR="003B2F50" w:rsidRPr="007122AB">
        <w:rPr>
          <w:color w:val="000000" w:themeColor="text1"/>
          <w:sz w:val="16"/>
          <w:szCs w:val="16"/>
          <w:lang w:bidi="ru-RU"/>
        </w:rPr>
        <w:t>Гольцману</w:t>
      </w:r>
      <w:proofErr w:type="spellEnd"/>
      <w:r w:rsidR="003B2F50" w:rsidRPr="007122AB">
        <w:rPr>
          <w:color w:val="000000" w:themeColor="text1"/>
          <w:sz w:val="16"/>
          <w:szCs w:val="16"/>
          <w:lang w:bidi="ru-RU"/>
        </w:rPr>
        <w:t xml:space="preserve"> следующие директивы:</w:t>
      </w:r>
    </w:p>
    <w:p w14:paraId="002621B6" w14:textId="1C329455" w:rsidR="003B2F50" w:rsidRPr="007122AB" w:rsidRDefault="00665549" w:rsidP="007122AB">
      <w:pPr>
        <w:pStyle w:val="5b"/>
        <w:tabs>
          <w:tab w:val="left" w:pos="260"/>
        </w:tabs>
        <w:spacing w:line="240" w:lineRule="auto"/>
        <w:jc w:val="both"/>
        <w:rPr>
          <w:color w:val="000000" w:themeColor="text1"/>
          <w:sz w:val="16"/>
          <w:szCs w:val="16"/>
        </w:rPr>
      </w:pPr>
      <w:r w:rsidRPr="007122AB">
        <w:rPr>
          <w:color w:val="000000" w:themeColor="text1"/>
          <w:sz w:val="16"/>
          <w:szCs w:val="16"/>
          <w:lang w:bidi="ru-RU"/>
        </w:rPr>
        <w:t xml:space="preserve">а) </w:t>
      </w:r>
      <w:r w:rsidR="003B2F50" w:rsidRPr="007122AB">
        <w:rPr>
          <w:color w:val="000000" w:themeColor="text1"/>
          <w:sz w:val="16"/>
          <w:szCs w:val="16"/>
          <w:lang w:bidi="ru-RU"/>
        </w:rPr>
        <w:t>Общую сумму наших платежей фирме «Цеппелин» снизить с 5.000.000 марок до 4.000.000 марок.</w:t>
      </w:r>
    </w:p>
    <w:p w14:paraId="51E7F1B9" w14:textId="14709888" w:rsidR="003B2F50" w:rsidRPr="007122AB" w:rsidRDefault="00632CC3" w:rsidP="007122AB">
      <w:pPr>
        <w:pStyle w:val="5b"/>
        <w:tabs>
          <w:tab w:val="left" w:pos="260"/>
        </w:tabs>
        <w:spacing w:line="240" w:lineRule="auto"/>
        <w:jc w:val="both"/>
        <w:rPr>
          <w:color w:val="000000" w:themeColor="text1"/>
          <w:sz w:val="16"/>
          <w:szCs w:val="16"/>
        </w:rPr>
      </w:pPr>
      <w:r w:rsidRPr="007122AB">
        <w:rPr>
          <w:color w:val="000000" w:themeColor="text1"/>
          <w:sz w:val="16"/>
          <w:szCs w:val="16"/>
          <w:lang w:bidi="ru-RU"/>
        </w:rPr>
        <w:t xml:space="preserve">б) </w:t>
      </w:r>
      <w:r w:rsidR="003B2F50" w:rsidRPr="007122AB">
        <w:rPr>
          <w:color w:val="000000" w:themeColor="text1"/>
          <w:sz w:val="16"/>
          <w:szCs w:val="16"/>
          <w:lang w:bidi="ru-RU"/>
        </w:rPr>
        <w:t>Валютные платежи текущего года ограничить 150.000 марок.</w:t>
      </w:r>
    </w:p>
    <w:p w14:paraId="4A311F4C" w14:textId="73191BEA" w:rsidR="003B2F50" w:rsidRPr="007122AB" w:rsidRDefault="00632CC3" w:rsidP="007122AB">
      <w:pPr>
        <w:pStyle w:val="5b"/>
        <w:tabs>
          <w:tab w:val="left" w:pos="255"/>
        </w:tabs>
        <w:spacing w:line="240" w:lineRule="auto"/>
        <w:jc w:val="both"/>
        <w:rPr>
          <w:color w:val="000000" w:themeColor="text1"/>
          <w:sz w:val="16"/>
          <w:szCs w:val="16"/>
        </w:rPr>
      </w:pPr>
      <w:r w:rsidRPr="007122AB">
        <w:rPr>
          <w:color w:val="000000" w:themeColor="text1"/>
          <w:sz w:val="16"/>
          <w:szCs w:val="16"/>
          <w:lang w:bidi="ru-RU"/>
        </w:rPr>
        <w:t xml:space="preserve">в) </w:t>
      </w:r>
      <w:r w:rsidR="003B2F50" w:rsidRPr="007122AB">
        <w:rPr>
          <w:color w:val="000000" w:themeColor="text1"/>
          <w:sz w:val="16"/>
          <w:szCs w:val="16"/>
          <w:lang w:bidi="ru-RU"/>
        </w:rPr>
        <w:t xml:space="preserve">Срок остальных платежей построить по согласованию с т. </w:t>
      </w:r>
      <w:proofErr w:type="spellStart"/>
      <w:r w:rsidR="003B2F50" w:rsidRPr="007122AB">
        <w:rPr>
          <w:color w:val="000000" w:themeColor="text1"/>
          <w:sz w:val="16"/>
          <w:szCs w:val="16"/>
          <w:lang w:bidi="ru-RU"/>
        </w:rPr>
        <w:t>Розенгольцем</w:t>
      </w:r>
      <w:proofErr w:type="spellEnd"/>
      <w:r w:rsidR="003B2F50" w:rsidRPr="007122AB">
        <w:rPr>
          <w:color w:val="000000" w:themeColor="text1"/>
          <w:sz w:val="16"/>
          <w:szCs w:val="16"/>
          <w:lang w:bidi="ru-RU"/>
        </w:rPr>
        <w:t xml:space="preserve"> таким образом, чтобы большая часть (не менее 50 %) была нами выплачена после выполнения фирмой основных своих обязательств и, в частности, после постройки в СССР первого большого дирижабля.</w:t>
      </w:r>
    </w:p>
    <w:p w14:paraId="71F8A1D7" w14:textId="30222181" w:rsidR="003B2F50" w:rsidRPr="007122AB" w:rsidRDefault="003B2F50" w:rsidP="007122AB">
      <w:pPr>
        <w:pStyle w:val="5b"/>
        <w:spacing w:line="240" w:lineRule="auto"/>
        <w:jc w:val="both"/>
        <w:rPr>
          <w:color w:val="000000" w:themeColor="text1"/>
          <w:sz w:val="16"/>
          <w:szCs w:val="16"/>
        </w:rPr>
      </w:pPr>
      <w:r w:rsidRPr="007122AB">
        <w:rPr>
          <w:color w:val="000000" w:themeColor="text1"/>
          <w:sz w:val="16"/>
          <w:szCs w:val="16"/>
          <w:lang w:bidi="ru-RU"/>
        </w:rPr>
        <w:t xml:space="preserve">Немцы соглашались уменьшить общую сумму договора до 4,5 млн марок, но уступить ещё больше отказались. Выполнить указание Политбюро </w:t>
      </w:r>
      <w:proofErr w:type="spellStart"/>
      <w:r w:rsidRPr="007122AB">
        <w:rPr>
          <w:color w:val="000000" w:themeColor="text1"/>
          <w:sz w:val="16"/>
          <w:szCs w:val="16"/>
          <w:lang w:bidi="ru-RU"/>
        </w:rPr>
        <w:t>Гольцману</w:t>
      </w:r>
      <w:proofErr w:type="spellEnd"/>
      <w:r w:rsidRPr="007122AB">
        <w:rPr>
          <w:color w:val="000000" w:themeColor="text1"/>
          <w:sz w:val="16"/>
          <w:szCs w:val="16"/>
          <w:lang w:bidi="ru-RU"/>
        </w:rPr>
        <w:t xml:space="preserve"> так и не удалось, и переговоры постепенно заглохли (23192).</w:t>
      </w:r>
    </w:p>
    <w:p w14:paraId="1C66F666" w14:textId="77777777" w:rsidR="003B2F50" w:rsidRPr="007122AB" w:rsidRDefault="003B2F50" w:rsidP="007122AB">
      <w:pPr>
        <w:autoSpaceDE w:val="0"/>
        <w:autoSpaceDN w:val="0"/>
        <w:adjustRightInd w:val="0"/>
        <w:spacing w:after="0" w:line="240" w:lineRule="auto"/>
        <w:jc w:val="both"/>
        <w:rPr>
          <w:rFonts w:ascii="Times New Roman" w:hAnsi="Times New Roman"/>
          <w:color w:val="000000" w:themeColor="text1"/>
          <w:sz w:val="16"/>
          <w:szCs w:val="16"/>
        </w:rPr>
      </w:pPr>
    </w:p>
    <w:p w14:paraId="34ADB92D" w14:textId="77777777" w:rsidR="007A00EA" w:rsidRPr="009F5089" w:rsidRDefault="007A00EA" w:rsidP="007A00EA">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ав</w:t>
      </w:r>
      <w:r w:rsidRPr="009F5089">
        <w:rPr>
          <w:rFonts w:ascii="Times New Roman" w:hAnsi="Times New Roman"/>
          <w:color w:val="0070C0"/>
          <w:sz w:val="16"/>
          <w:szCs w:val="16"/>
        </w:rPr>
        <w:t>густ</w:t>
      </w:r>
      <w:r>
        <w:rPr>
          <w:rFonts w:ascii="Times New Roman" w:hAnsi="Times New Roman"/>
          <w:color w:val="0070C0"/>
          <w:sz w:val="16"/>
          <w:szCs w:val="16"/>
        </w:rPr>
        <w:t>е 1931 г</w:t>
      </w:r>
      <w:r w:rsidRPr="009F5089">
        <w:rPr>
          <w:rFonts w:ascii="Times New Roman" w:hAnsi="Times New Roman"/>
          <w:color w:val="0070C0"/>
          <w:sz w:val="16"/>
          <w:szCs w:val="16"/>
        </w:rPr>
        <w:t>.</w:t>
      </w:r>
      <w:r>
        <w:rPr>
          <w:rFonts w:ascii="Times New Roman" w:hAnsi="Times New Roman"/>
          <w:color w:val="0070C0"/>
          <w:sz w:val="16"/>
          <w:szCs w:val="16"/>
        </w:rPr>
        <w:t xml:space="preserve"> н</w:t>
      </w:r>
      <w:r w:rsidRPr="009F5089">
        <w:rPr>
          <w:rFonts w:ascii="Times New Roman" w:hAnsi="Times New Roman"/>
          <w:color w:val="0070C0"/>
          <w:sz w:val="16"/>
          <w:szCs w:val="16"/>
        </w:rPr>
        <w:t>а ст.</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Долгопрудная</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в 18 км от Москвы начато строите</w:t>
      </w:r>
      <w:r>
        <w:rPr>
          <w:rFonts w:ascii="Times New Roman" w:hAnsi="Times New Roman"/>
          <w:color w:val="0070C0"/>
          <w:sz w:val="16"/>
          <w:szCs w:val="16"/>
        </w:rPr>
        <w:t>льство</w:t>
      </w:r>
      <w:r w:rsidRPr="009F5089">
        <w:rPr>
          <w:rFonts w:ascii="Times New Roman" w:hAnsi="Times New Roman"/>
          <w:color w:val="0070C0"/>
          <w:sz w:val="16"/>
          <w:szCs w:val="16"/>
        </w:rPr>
        <w:t xml:space="preserve"> д</w:t>
      </w:r>
      <w:r>
        <w:rPr>
          <w:rFonts w:ascii="Times New Roman" w:hAnsi="Times New Roman"/>
          <w:color w:val="0070C0"/>
          <w:sz w:val="16"/>
          <w:szCs w:val="16"/>
        </w:rPr>
        <w:t>и</w:t>
      </w:r>
      <w:r w:rsidRPr="009F5089">
        <w:rPr>
          <w:rFonts w:ascii="Times New Roman" w:hAnsi="Times New Roman"/>
          <w:color w:val="0070C0"/>
          <w:sz w:val="16"/>
          <w:szCs w:val="16"/>
        </w:rPr>
        <w:t>р</w:t>
      </w:r>
      <w:r>
        <w:rPr>
          <w:rFonts w:ascii="Times New Roman" w:hAnsi="Times New Roman"/>
          <w:color w:val="0070C0"/>
          <w:sz w:val="16"/>
          <w:szCs w:val="16"/>
        </w:rPr>
        <w:t>иж</w:t>
      </w:r>
      <w:r w:rsidRPr="009F5089">
        <w:rPr>
          <w:rFonts w:ascii="Times New Roman" w:hAnsi="Times New Roman"/>
          <w:color w:val="0070C0"/>
          <w:sz w:val="16"/>
          <w:szCs w:val="16"/>
        </w:rPr>
        <w:t>абл</w:t>
      </w:r>
      <w:r>
        <w:rPr>
          <w:rFonts w:ascii="Times New Roman" w:hAnsi="Times New Roman"/>
          <w:color w:val="0070C0"/>
          <w:sz w:val="16"/>
          <w:szCs w:val="16"/>
        </w:rPr>
        <w:t>ес</w:t>
      </w:r>
      <w:r w:rsidRPr="009F5089">
        <w:rPr>
          <w:rFonts w:ascii="Times New Roman" w:hAnsi="Times New Roman"/>
          <w:color w:val="0070C0"/>
          <w:sz w:val="16"/>
          <w:szCs w:val="16"/>
        </w:rPr>
        <w:t>тро</w:t>
      </w:r>
      <w:r>
        <w:rPr>
          <w:rFonts w:ascii="Times New Roman" w:hAnsi="Times New Roman"/>
          <w:color w:val="0070C0"/>
          <w:sz w:val="16"/>
          <w:szCs w:val="16"/>
        </w:rPr>
        <w:t>ите</w:t>
      </w:r>
      <w:r w:rsidRPr="009F5089">
        <w:rPr>
          <w:rFonts w:ascii="Times New Roman" w:hAnsi="Times New Roman"/>
          <w:color w:val="0070C0"/>
          <w:sz w:val="16"/>
          <w:szCs w:val="16"/>
        </w:rPr>
        <w:t>льной базы - двух эллингов,</w:t>
      </w:r>
      <w:r>
        <w:rPr>
          <w:rFonts w:ascii="Times New Roman" w:hAnsi="Times New Roman"/>
          <w:color w:val="0070C0"/>
          <w:sz w:val="16"/>
          <w:szCs w:val="16"/>
        </w:rPr>
        <w:t xml:space="preserve"> </w:t>
      </w:r>
      <w:r w:rsidRPr="009F5089">
        <w:rPr>
          <w:rFonts w:ascii="Times New Roman" w:hAnsi="Times New Roman"/>
          <w:color w:val="0070C0"/>
          <w:sz w:val="16"/>
          <w:szCs w:val="16"/>
        </w:rPr>
        <w:t>причальной мач</w:t>
      </w:r>
      <w:r>
        <w:rPr>
          <w:rFonts w:ascii="Times New Roman" w:hAnsi="Times New Roman"/>
          <w:color w:val="0070C0"/>
          <w:sz w:val="16"/>
          <w:szCs w:val="16"/>
        </w:rPr>
        <w:t>т, мастерских и ш</w:t>
      </w:r>
      <w:r w:rsidRPr="009F5089">
        <w:rPr>
          <w:rFonts w:ascii="Times New Roman" w:hAnsi="Times New Roman"/>
          <w:color w:val="0070C0"/>
          <w:sz w:val="16"/>
          <w:szCs w:val="16"/>
        </w:rPr>
        <w:t>колы для подготовки пилотов-</w:t>
      </w:r>
      <w:proofErr w:type="spellStart"/>
      <w:r w:rsidRPr="009F5089">
        <w:rPr>
          <w:rFonts w:ascii="Times New Roman" w:hAnsi="Times New Roman"/>
          <w:color w:val="0070C0"/>
          <w:sz w:val="16"/>
          <w:szCs w:val="16"/>
        </w:rPr>
        <w:t>дири</w:t>
      </w:r>
      <w:r>
        <w:rPr>
          <w:rFonts w:ascii="Times New Roman" w:hAnsi="Times New Roman"/>
          <w:color w:val="0070C0"/>
          <w:sz w:val="16"/>
          <w:szCs w:val="16"/>
        </w:rPr>
        <w:t>ж</w:t>
      </w:r>
      <w:r w:rsidRPr="009F5089">
        <w:rPr>
          <w:rFonts w:ascii="Times New Roman" w:hAnsi="Times New Roman"/>
          <w:color w:val="0070C0"/>
          <w:sz w:val="16"/>
          <w:szCs w:val="16"/>
        </w:rPr>
        <w:t>аблистов</w:t>
      </w:r>
      <w:proofErr w:type="spellEnd"/>
      <w:r w:rsidRPr="009F5089">
        <w:rPr>
          <w:rFonts w:ascii="Times New Roman" w:hAnsi="Times New Roman"/>
          <w:color w:val="0070C0"/>
          <w:sz w:val="16"/>
          <w:szCs w:val="16"/>
        </w:rPr>
        <w:t>. Началь</w:t>
      </w:r>
      <w:r>
        <w:rPr>
          <w:rFonts w:ascii="Times New Roman" w:hAnsi="Times New Roman"/>
          <w:color w:val="0070C0"/>
          <w:sz w:val="16"/>
          <w:szCs w:val="16"/>
        </w:rPr>
        <w:t>ником</w:t>
      </w:r>
      <w:r w:rsidRPr="009F5089">
        <w:rPr>
          <w:rFonts w:ascii="Times New Roman" w:hAnsi="Times New Roman"/>
          <w:color w:val="0070C0"/>
          <w:sz w:val="16"/>
          <w:szCs w:val="16"/>
        </w:rPr>
        <w:t xml:space="preserve"> базы был назначен инженер </w:t>
      </w:r>
      <w:proofErr w:type="spellStart"/>
      <w:r>
        <w:rPr>
          <w:rFonts w:ascii="Times New Roman" w:hAnsi="Times New Roman"/>
          <w:color w:val="0070C0"/>
          <w:sz w:val="16"/>
          <w:szCs w:val="16"/>
        </w:rPr>
        <w:t>Ф</w:t>
      </w:r>
      <w:r w:rsidRPr="009F5089">
        <w:rPr>
          <w:rFonts w:ascii="Times New Roman" w:hAnsi="Times New Roman"/>
          <w:color w:val="0070C0"/>
          <w:sz w:val="16"/>
          <w:szCs w:val="16"/>
        </w:rPr>
        <w:t>.Ф.Ассберг</w:t>
      </w:r>
      <w:proofErr w:type="spellEnd"/>
      <w:r w:rsidRPr="009F5089">
        <w:rPr>
          <w:rFonts w:ascii="Times New Roman" w:hAnsi="Times New Roman"/>
          <w:color w:val="0070C0"/>
          <w:sz w:val="16"/>
          <w:szCs w:val="16"/>
        </w:rPr>
        <w:t>.</w:t>
      </w:r>
    </w:p>
    <w:p w14:paraId="07A5B19E" w14:textId="77777777" w:rsidR="007A00EA" w:rsidRDefault="007A00EA" w:rsidP="007A00EA">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/«Вечерняя Москва</w:t>
      </w:r>
      <w:r>
        <w:rPr>
          <w:rFonts w:ascii="Times New Roman" w:hAnsi="Times New Roman"/>
          <w:color w:val="0070C0"/>
          <w:sz w:val="16"/>
          <w:szCs w:val="16"/>
        </w:rPr>
        <w:t>»</w:t>
      </w:r>
      <w:r w:rsidRPr="009F5089">
        <w:rPr>
          <w:rFonts w:ascii="Times New Roman" w:hAnsi="Times New Roman"/>
          <w:color w:val="0070C0"/>
          <w:sz w:val="16"/>
          <w:szCs w:val="16"/>
        </w:rPr>
        <w:t xml:space="preserve"> за 28 августа 1931 </w:t>
      </w:r>
      <w:r>
        <w:rPr>
          <w:rFonts w:ascii="Times New Roman" w:hAnsi="Times New Roman"/>
          <w:color w:val="0070C0"/>
          <w:sz w:val="16"/>
          <w:szCs w:val="16"/>
        </w:rPr>
        <w:t>г.</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7A9BB733" w14:textId="77777777" w:rsidR="007A00EA" w:rsidRPr="009F5089" w:rsidRDefault="007A00EA" w:rsidP="007A00EA">
      <w:pPr>
        <w:spacing w:after="0" w:line="240" w:lineRule="auto"/>
        <w:jc w:val="both"/>
        <w:rPr>
          <w:rFonts w:ascii="Times New Roman" w:hAnsi="Times New Roman"/>
          <w:color w:val="0070C0"/>
          <w:sz w:val="16"/>
          <w:szCs w:val="16"/>
        </w:rPr>
      </w:pPr>
    </w:p>
    <w:p w14:paraId="157029B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AFC7CB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4A27CB"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августа 1931 г. ВОООП было преобразовано в ВОАО – Всесоюзное орудийно-арсенальное объединение (начальник-Д.Ф. </w:t>
      </w:r>
      <w:proofErr w:type="spellStart"/>
      <w:r w:rsidRPr="007122AB">
        <w:rPr>
          <w:rFonts w:ascii="Times New Roman" w:hAnsi="Times New Roman"/>
          <w:color w:val="000000" w:themeColor="text1"/>
          <w:sz w:val="16"/>
          <w:szCs w:val="16"/>
        </w:rPr>
        <w:t>Будняк</w:t>
      </w:r>
      <w:proofErr w:type="spellEnd"/>
      <w:r w:rsidRPr="007122AB">
        <w:rPr>
          <w:rFonts w:ascii="Times New Roman" w:hAnsi="Times New Roman"/>
          <w:color w:val="000000" w:themeColor="text1"/>
          <w:sz w:val="16"/>
          <w:szCs w:val="16"/>
        </w:rPr>
        <w:t xml:space="preserve">), в составе которого в октябре 1932 г. был создан Всесоюзный трест специального машиностроения – </w:t>
      </w:r>
      <w:proofErr w:type="spellStart"/>
      <w:r w:rsidRPr="007122AB">
        <w:rPr>
          <w:rFonts w:ascii="Times New Roman" w:hAnsi="Times New Roman"/>
          <w:color w:val="000000" w:themeColor="text1"/>
          <w:sz w:val="16"/>
          <w:szCs w:val="16"/>
        </w:rPr>
        <w:t>Спецмаштрест</w:t>
      </w:r>
      <w:proofErr w:type="spellEnd"/>
      <w:r w:rsidRPr="007122AB">
        <w:rPr>
          <w:rFonts w:ascii="Times New Roman" w:hAnsi="Times New Roman"/>
          <w:color w:val="000000" w:themeColor="text1"/>
          <w:sz w:val="16"/>
          <w:szCs w:val="16"/>
        </w:rPr>
        <w:t xml:space="preserve"> (начальник – К.А. Нейман), функционировавший до января 1937 г. В состав этого первого всесоюзного органа управления танковым производством вошли следующие заводы: Машиностроительный им. Ворошилова (№174) и «Красный Октябрь» (№234) – в Ленинграде; завод №2 ВАТО (впоследствии – завод N937) – в Москве; Харьковский паровозостроительный завод им. Коминтерна (№183), а также Танковое бюро №3 – в Москве и Государственный проектный институт – </w:t>
      </w:r>
      <w:proofErr w:type="spellStart"/>
      <w:r w:rsidRPr="007122AB">
        <w:rPr>
          <w:rFonts w:ascii="Times New Roman" w:hAnsi="Times New Roman"/>
          <w:color w:val="000000" w:themeColor="text1"/>
          <w:sz w:val="16"/>
          <w:szCs w:val="16"/>
        </w:rPr>
        <w:t>Спецмашпроект</w:t>
      </w:r>
      <w:proofErr w:type="spellEnd"/>
      <w:r w:rsidRPr="007122AB">
        <w:rPr>
          <w:rFonts w:ascii="Times New Roman" w:hAnsi="Times New Roman"/>
          <w:color w:val="000000" w:themeColor="text1"/>
          <w:sz w:val="16"/>
          <w:szCs w:val="16"/>
        </w:rPr>
        <w:t>. С 1935 г. большинство танковых заводов стали номерными.</w:t>
      </w:r>
    </w:p>
    <w:p w14:paraId="1EE55504"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5EFB2BC1"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64CA78E2"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468C5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опытный цех завода Большевик совместно с военным складом 60 в Брянске (основная база по постройке и модернизации бронепоездов РККА) спроектировал и изготовил установку 76-мм полевой пушки обр. 1902 на шасси трактора Коммунар 9ГУ, получившего обозначение СУ-2 (4306).</w:t>
      </w:r>
    </w:p>
    <w:p w14:paraId="107BF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672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совместными усилиями завода Большевик и военного склада № 60 (Брянск) была разработана САУ СУ-2 на основе трактора Коммунар 9ГУ. Изготовили и опытный образец (9527,270).</w:t>
      </w:r>
    </w:p>
    <w:p w14:paraId="33CEA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F820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по указанию </w:t>
      </w:r>
      <w:proofErr w:type="spellStart"/>
      <w:r w:rsidRPr="007122AB">
        <w:rPr>
          <w:rFonts w:ascii="Times New Roman" w:hAnsi="Times New Roman"/>
          <w:color w:val="000000" w:themeColor="text1"/>
          <w:sz w:val="16"/>
          <w:szCs w:val="16"/>
        </w:rPr>
        <w:t>М.Н.Тухачевского</w:t>
      </w:r>
      <w:proofErr w:type="spellEnd"/>
      <w:r w:rsidRPr="007122AB">
        <w:rPr>
          <w:rFonts w:ascii="Times New Roman" w:hAnsi="Times New Roman"/>
          <w:color w:val="000000" w:themeColor="text1"/>
          <w:sz w:val="16"/>
          <w:szCs w:val="16"/>
        </w:rPr>
        <w:t xml:space="preserve"> КБ ВОАО была поручена окончательная доработка проекта танка прототип 2, впоследствии ставшего Т-28 (9527,119).</w:t>
      </w:r>
    </w:p>
    <w:p w14:paraId="3BF3A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4B47A0" w14:textId="77777777" w:rsidR="0001378D" w:rsidRPr="007122AB" w:rsidRDefault="0001378D" w:rsidP="007122AB">
      <w:pPr>
        <w:shd w:val="clear" w:color="auto" w:fill="FFFFFF"/>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 августе 1931 года </w:t>
      </w:r>
      <w:proofErr w:type="spellStart"/>
      <w:r w:rsidRPr="007122AB">
        <w:rPr>
          <w:rFonts w:ascii="Times New Roman" w:hAnsi="Times New Roman"/>
          <w:color w:val="000000" w:themeColor="text1"/>
          <w:sz w:val="16"/>
          <w:szCs w:val="16"/>
          <w:shd w:val="clear" w:color="auto" w:fill="FFFFFF"/>
        </w:rPr>
        <w:t>Халепский</w:t>
      </w:r>
      <w:proofErr w:type="spellEnd"/>
      <w:r w:rsidRPr="007122AB">
        <w:rPr>
          <w:rFonts w:ascii="Times New Roman" w:hAnsi="Times New Roman"/>
          <w:color w:val="000000" w:themeColor="text1"/>
          <w:sz w:val="16"/>
          <w:szCs w:val="16"/>
          <w:shd w:val="clear" w:color="auto" w:fill="FFFFFF"/>
        </w:rPr>
        <w:t xml:space="preserve"> впервые доложил о Т-28, а год спустя построили опытный образец.</w:t>
      </w:r>
    </w:p>
    <w:p w14:paraId="27078929" w14:textId="77777777" w:rsidR="0001378D" w:rsidRPr="007122AB" w:rsidRDefault="0001378D"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Постановка в серию Б-Т (позже БТ-2) не означала, что от средних танков отказались. Дело в том, что от </w:t>
      </w:r>
      <w:proofErr w:type="spellStart"/>
      <w:r w:rsidRPr="007122AB">
        <w:rPr>
          <w:rFonts w:ascii="Times New Roman" w:hAnsi="Times New Roman"/>
          <w:color w:val="000000" w:themeColor="text1"/>
          <w:sz w:val="16"/>
          <w:szCs w:val="16"/>
          <w:shd w:val="clear" w:color="auto" w:fill="FFFFFF"/>
        </w:rPr>
        <w:t>Vickers</w:t>
      </w:r>
      <w:proofErr w:type="spellEnd"/>
      <w:r w:rsidRPr="007122AB">
        <w:rPr>
          <w:rFonts w:ascii="Times New Roman" w:hAnsi="Times New Roman"/>
          <w:color w:val="000000" w:themeColor="text1"/>
          <w:sz w:val="16"/>
          <w:szCs w:val="16"/>
          <w:shd w:val="clear" w:color="auto" w:fill="FFFFFF"/>
        </w:rPr>
        <w:t xml:space="preserve"> просочилась кое-какая информация по среднему танку A6. Так сложилось, что данная машина имела ту же самую массу, как и советские маневренные танки - 16 тонн. Также заинтересовало 3-башенное расположение вооружения. В результате, по указанию </w:t>
      </w:r>
      <w:proofErr w:type="spellStart"/>
      <w:r w:rsidRPr="007122AB">
        <w:rPr>
          <w:rFonts w:ascii="Times New Roman" w:hAnsi="Times New Roman"/>
          <w:color w:val="000000" w:themeColor="text1"/>
          <w:sz w:val="16"/>
          <w:szCs w:val="16"/>
          <w:shd w:val="clear" w:color="auto" w:fill="FFFFFF"/>
        </w:rPr>
        <w:t>Халепского</w:t>
      </w:r>
      <w:proofErr w:type="spellEnd"/>
      <w:r w:rsidRPr="007122AB">
        <w:rPr>
          <w:rFonts w:ascii="Times New Roman" w:hAnsi="Times New Roman"/>
          <w:color w:val="000000" w:themeColor="text1"/>
          <w:sz w:val="16"/>
          <w:szCs w:val="16"/>
          <w:shd w:val="clear" w:color="auto" w:fill="FFFFFF"/>
        </w:rPr>
        <w:t xml:space="preserve">, была начата работа по похожему танку, получившему обозначение Т-28. В этой истории есть некоторые заблуждения. Во-первых, ни на каком "Виккерсе" Гинзбург не был. Во-вторых, от A6 была взята только общая концепция. А вот немецких наработок в танке имелось гораздо больше. Это ходовая часть </w:t>
      </w:r>
      <w:proofErr w:type="spellStart"/>
      <w:r w:rsidRPr="007122AB">
        <w:rPr>
          <w:rFonts w:ascii="Times New Roman" w:hAnsi="Times New Roman"/>
          <w:color w:val="000000" w:themeColor="text1"/>
          <w:sz w:val="16"/>
          <w:szCs w:val="16"/>
          <w:shd w:val="clear" w:color="auto" w:fill="FFFFFF"/>
        </w:rPr>
        <w:t>Großtraktor</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Krupp</w:t>
      </w:r>
      <w:proofErr w:type="spellEnd"/>
      <w:r w:rsidRPr="007122AB">
        <w:rPr>
          <w:rFonts w:ascii="Times New Roman" w:hAnsi="Times New Roman"/>
          <w:color w:val="000000" w:themeColor="text1"/>
          <w:sz w:val="16"/>
          <w:szCs w:val="16"/>
          <w:shd w:val="clear" w:color="auto" w:fill="FFFFFF"/>
        </w:rPr>
        <w:t xml:space="preserve">, спаренная установка вооружения, да и мотор М-17 также был немецким (BMW VI). Ведущим инженером проекта являлся О.И. Иванов, главным конструктором Гинзбург, имел к данной конструкции отношение и Заславский. Также на КБ-3 ВОАО свалилось задание на разработку разведывательного танка-амфибии по аналогии с английским танком A4E1. Так появился проект Т-33 (ведущий инженер М.П. Зигель). Машину сделали, что называется, по фотографиям, поскольку документации не имелось, зато имелся похожий по конструкции тягач </w:t>
      </w:r>
      <w:proofErr w:type="spellStart"/>
      <w:r w:rsidRPr="007122AB">
        <w:rPr>
          <w:rFonts w:ascii="Times New Roman" w:hAnsi="Times New Roman"/>
          <w:color w:val="000000" w:themeColor="text1"/>
          <w:sz w:val="16"/>
          <w:szCs w:val="16"/>
          <w:shd w:val="clear" w:color="auto" w:fill="FFFFFF"/>
        </w:rPr>
        <w:t>Vickers</w:t>
      </w:r>
      <w:proofErr w:type="spellEnd"/>
      <w:r w:rsidRPr="007122AB">
        <w:rPr>
          <w:rFonts w:ascii="Times New Roman" w:hAnsi="Times New Roman"/>
          <w:color w:val="000000" w:themeColor="text1"/>
          <w:sz w:val="16"/>
          <w:szCs w:val="16"/>
          <w:shd w:val="clear" w:color="auto" w:fill="FFFFFF"/>
        </w:rPr>
        <w:t xml:space="preserve"> (20375).</w:t>
      </w:r>
    </w:p>
    <w:p w14:paraId="6725C109" w14:textId="77777777" w:rsidR="0001378D" w:rsidRPr="007122AB" w:rsidRDefault="0001378D" w:rsidP="007122AB">
      <w:pPr>
        <w:shd w:val="clear" w:color="auto" w:fill="FFFFFF"/>
        <w:spacing w:after="0" w:line="240" w:lineRule="auto"/>
        <w:jc w:val="both"/>
        <w:rPr>
          <w:rFonts w:ascii="Times New Roman" w:hAnsi="Times New Roman"/>
          <w:color w:val="000000" w:themeColor="text1"/>
          <w:sz w:val="16"/>
          <w:szCs w:val="16"/>
        </w:rPr>
      </w:pPr>
    </w:p>
    <w:p w14:paraId="0E41D8DC" w14:textId="77777777" w:rsidR="00A522A1" w:rsidRPr="007122AB" w:rsidRDefault="00A522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началось серийное производство Т-26. Танки, в отличие от предсерийных машин, получили новые башни увеличенной высоты со смотровыми окнами. Серийное производство сразу выявило много различных проблем. Броневые листы, поставляемые Ижорским заводом, имели большое количество дефектов, двигатели более сложной конструкции, чем у танка Т-19, постоянно выходили из строя, были и другие проблемы. Тем не менее, до конца года завод изготовил 120 Т-26, из которых военная приемка приняла 100 машин. Несмотря на невыполнение программы 1931 г., заводу задали в план 1932 г. выпуск 3000(!) Т 26. Выпуск такого количества танков на площадях завода, расположенных вдоль Невы, был невозможен, поэтому было принято решение о выделении машиностроительного отдела завода в самостоятельное производство с размещением его на «новых местах» (15132).</w:t>
      </w:r>
    </w:p>
    <w:p w14:paraId="0F29384E" w14:textId="77777777" w:rsidR="00A522A1" w:rsidRPr="007122AB" w:rsidRDefault="00A522A1" w:rsidP="007122AB">
      <w:pPr>
        <w:spacing w:after="0" w:line="240" w:lineRule="auto"/>
        <w:jc w:val="both"/>
        <w:rPr>
          <w:rFonts w:ascii="Times New Roman" w:hAnsi="Times New Roman"/>
          <w:color w:val="000000" w:themeColor="text1"/>
          <w:sz w:val="16"/>
          <w:szCs w:val="16"/>
        </w:rPr>
      </w:pPr>
    </w:p>
    <w:p w14:paraId="3B61CD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проходил, но не выдержал ходовые испытания из-за перегруза шасси, низкой скорости, плохой проходимости химический гусеничный БТР, разработанный летом 1931 ОКИБ УММ РККА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на шасси трактора Коммунар (9527,179).</w:t>
      </w:r>
    </w:p>
    <w:p w14:paraId="321B0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E005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в ходе работ по сборке первых Т-26, корпус одного из «</w:t>
      </w:r>
      <w:proofErr w:type="spellStart"/>
      <w:r w:rsidRPr="007122AB">
        <w:rPr>
          <w:rFonts w:ascii="Times New Roman" w:hAnsi="Times New Roman"/>
          <w:color w:val="000000" w:themeColor="text1"/>
          <w:sz w:val="16"/>
          <w:szCs w:val="16"/>
        </w:rPr>
        <w:t>Виккерсов</w:t>
      </w:r>
      <w:proofErr w:type="spellEnd"/>
      <w:r w:rsidRPr="007122AB">
        <w:rPr>
          <w:rFonts w:ascii="Times New Roman" w:hAnsi="Times New Roman"/>
          <w:color w:val="000000" w:themeColor="text1"/>
          <w:sz w:val="16"/>
          <w:szCs w:val="16"/>
        </w:rPr>
        <w:t>», после испытания на нем башни отечественного производства, был доставлен на за</w:t>
      </w:r>
      <w:r w:rsidRPr="007122AB">
        <w:rPr>
          <w:rFonts w:ascii="Times New Roman" w:hAnsi="Times New Roman"/>
          <w:color w:val="000000" w:themeColor="text1"/>
          <w:sz w:val="16"/>
          <w:szCs w:val="16"/>
        </w:rPr>
        <w:softHyphen/>
        <w:t>вод им. Орджоникидзе для изучения его брони. В ходе ис</w:t>
      </w:r>
      <w:r w:rsidRPr="007122AB">
        <w:rPr>
          <w:rFonts w:ascii="Times New Roman" w:hAnsi="Times New Roman"/>
          <w:color w:val="000000" w:themeColor="text1"/>
          <w:sz w:val="16"/>
          <w:szCs w:val="16"/>
        </w:rPr>
        <w:softHyphen/>
        <w:t>следований отдельные детали корпуса подвергались обстре</w:t>
      </w:r>
      <w:r w:rsidRPr="007122AB">
        <w:rPr>
          <w:rFonts w:ascii="Times New Roman" w:hAnsi="Times New Roman"/>
          <w:color w:val="000000" w:themeColor="text1"/>
          <w:sz w:val="16"/>
          <w:szCs w:val="16"/>
        </w:rPr>
        <w:softHyphen/>
        <w:t xml:space="preserve">лу простой остроконечной пулей и бронебойной пулей типа АУ-30 из винтовки и пулемета «максим» с дистанции около -50 метров. Простой же остроконечной пулей обстрел велся в основном по заклепочным соединениям. Всего из винтовки было выпущено 85 простых и 30 бронебойных пуль, а из пулемета - 250 простых и 130 бронебойных. При обстреле простыми пулями </w:t>
      </w:r>
      <w:r w:rsidRPr="007122AB">
        <w:rPr>
          <w:rFonts w:ascii="Times New Roman" w:hAnsi="Times New Roman"/>
          <w:color w:val="000000" w:themeColor="text1"/>
          <w:sz w:val="16"/>
          <w:szCs w:val="16"/>
        </w:rPr>
        <w:lastRenderedPageBreak/>
        <w:t>в швах было выбито 3 заклепки, а также 9 заклепок оказались со срезанными и 10 — с поврежденными головками. Кроме того, 6 заклепок были расшатаны, но на боеспособность танка все это никак не повлияло. Некоторые листы корпуса после их снятия с каркаса танка были подвергнуты дополнительному усиленному обстрелу и исследованию химического состава и микрострук</w:t>
      </w:r>
      <w:r w:rsidRPr="007122AB">
        <w:rPr>
          <w:rFonts w:ascii="Times New Roman" w:hAnsi="Times New Roman"/>
          <w:color w:val="000000" w:themeColor="text1"/>
          <w:sz w:val="16"/>
          <w:szCs w:val="16"/>
        </w:rPr>
        <w:softHyphen/>
        <w:t>туры по сравнению с такими же листами Ижорского завода. В частности, отмечалось, что 13 (12,7)-мм и 10 (9,8)-мм бро</w:t>
      </w:r>
      <w:r w:rsidRPr="007122AB">
        <w:rPr>
          <w:rFonts w:ascii="Times New Roman" w:hAnsi="Times New Roman"/>
          <w:color w:val="000000" w:themeColor="text1"/>
          <w:sz w:val="16"/>
          <w:szCs w:val="16"/>
        </w:rPr>
        <w:softHyphen/>
        <w:t>невые листы, из которых изготавливались башни и перед</w:t>
      </w:r>
      <w:r w:rsidRPr="007122AB">
        <w:rPr>
          <w:rFonts w:ascii="Times New Roman" w:hAnsi="Times New Roman"/>
          <w:color w:val="000000" w:themeColor="text1"/>
          <w:sz w:val="16"/>
          <w:szCs w:val="16"/>
        </w:rPr>
        <w:softHyphen/>
        <w:t>ний лист подбашенной коробки «Виккерса», были изготов</w:t>
      </w:r>
      <w:r w:rsidRPr="007122AB">
        <w:rPr>
          <w:rFonts w:ascii="Times New Roman" w:hAnsi="Times New Roman"/>
          <w:color w:val="000000" w:themeColor="text1"/>
          <w:sz w:val="16"/>
          <w:szCs w:val="16"/>
        </w:rPr>
        <w:softHyphen/>
        <w:t>лены из «</w:t>
      </w:r>
      <w:proofErr w:type="spellStart"/>
      <w:r w:rsidRPr="007122AB">
        <w:rPr>
          <w:rFonts w:ascii="Times New Roman" w:hAnsi="Times New Roman"/>
          <w:color w:val="000000" w:themeColor="text1"/>
          <w:sz w:val="16"/>
          <w:szCs w:val="16"/>
        </w:rPr>
        <w:t>цементованной</w:t>
      </w:r>
      <w:proofErr w:type="spellEnd"/>
      <w:r w:rsidRPr="007122AB">
        <w:rPr>
          <w:rFonts w:ascii="Times New Roman" w:hAnsi="Times New Roman"/>
          <w:color w:val="000000" w:themeColor="text1"/>
          <w:sz w:val="16"/>
          <w:szCs w:val="16"/>
        </w:rPr>
        <w:t xml:space="preserve"> брони очень хорошего качества» (по спецификации фирмы «Виккерс» - </w:t>
      </w:r>
      <w:proofErr w:type="spellStart"/>
      <w:r w:rsidRPr="007122AB">
        <w:rPr>
          <w:rFonts w:ascii="Times New Roman" w:hAnsi="Times New Roman"/>
          <w:color w:val="000000" w:themeColor="text1"/>
          <w:sz w:val="16"/>
          <w:szCs w:val="16"/>
        </w:rPr>
        <w:t>S.t.a</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Plat</w:t>
      </w:r>
      <w:proofErr w:type="spellEnd"/>
      <w:r w:rsidRPr="007122AB">
        <w:rPr>
          <w:rFonts w:ascii="Times New Roman" w:hAnsi="Times New Roman"/>
          <w:color w:val="000000" w:themeColor="text1"/>
          <w:sz w:val="16"/>
          <w:szCs w:val="16"/>
        </w:rPr>
        <w:t>), 5-мм листы крыши и дна были выполнены, напротив, из гомоген</w:t>
      </w:r>
      <w:r w:rsidRPr="007122AB">
        <w:rPr>
          <w:rFonts w:ascii="Times New Roman" w:hAnsi="Times New Roman"/>
          <w:color w:val="000000" w:themeColor="text1"/>
          <w:sz w:val="16"/>
          <w:szCs w:val="16"/>
        </w:rPr>
        <w:softHyphen/>
        <w:t>ной брони «весьма посредственного качества выделки». Сравнение английской брони с поданными образцами брони Ижорского завода оказалось не в пользу последней, но связано это было главным образом с недостатком в СССР современного металлургического оборудования. Ввиду неготовности Ижорского завода к выпуску бро</w:t>
      </w:r>
      <w:r w:rsidRPr="007122AB">
        <w:rPr>
          <w:rFonts w:ascii="Times New Roman" w:hAnsi="Times New Roman"/>
          <w:color w:val="000000" w:themeColor="text1"/>
          <w:sz w:val="16"/>
          <w:szCs w:val="16"/>
        </w:rPr>
        <w:softHyphen/>
        <w:t>невых листов требуемого качества первый заказ на 15 тан</w:t>
      </w:r>
      <w:r w:rsidRPr="007122AB">
        <w:rPr>
          <w:rFonts w:ascii="Times New Roman" w:hAnsi="Times New Roman"/>
          <w:color w:val="000000" w:themeColor="text1"/>
          <w:sz w:val="16"/>
          <w:szCs w:val="16"/>
        </w:rPr>
        <w:softHyphen/>
        <w:t>ков предписывалось выполнить с корпусами из простой или броневой незакаленной стали (10733,175).</w:t>
      </w:r>
    </w:p>
    <w:p w14:paraId="7732F6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78D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года КБ АВО-5 был разработан и построен танк ТГ-1, После его испытаний, от дальнейших услуг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и немецких инженеров по ряду причин отказались. АВО-5 было реорганизовано, и его возглавил молодой и энергичный инженер Н. В. Барыков, работавший ранее заместителем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В состав КБ вошли также конструкторы </w:t>
      </w:r>
      <w:proofErr w:type="spellStart"/>
      <w:r w:rsidRPr="007122AB">
        <w:rPr>
          <w:rFonts w:ascii="Times New Roman" w:hAnsi="Times New Roman"/>
          <w:color w:val="000000" w:themeColor="text1"/>
          <w:sz w:val="16"/>
          <w:szCs w:val="16"/>
        </w:rPr>
        <w:t>М.П.Зигель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Б.А.Андрыхевич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А.Б.Гаккель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Я.В.Обухов</w:t>
      </w:r>
      <w:proofErr w:type="spellEnd"/>
      <w:r w:rsidRPr="007122AB">
        <w:rPr>
          <w:rFonts w:ascii="Times New Roman" w:hAnsi="Times New Roman"/>
          <w:color w:val="000000" w:themeColor="text1"/>
          <w:sz w:val="16"/>
          <w:szCs w:val="16"/>
        </w:rPr>
        <w:t xml:space="preserve"> и другие. Новое КБ получило от УММ РККА задание "К 1 августа 1932 года разработать и построить новый 35-тонный танк прорыва типа ТГ". Этой машине присвоили индекс Т-35 (3862).</w:t>
      </w:r>
    </w:p>
    <w:p w14:paraId="6335C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54E4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когда от услуг «бюро </w:t>
      </w:r>
      <w:proofErr w:type="spellStart"/>
      <w:r w:rsidRPr="007122AB">
        <w:rPr>
          <w:rFonts w:ascii="Times New Roman" w:hAnsi="Times New Roman"/>
          <w:color w:val="000000" w:themeColor="text1"/>
          <w:sz w:val="16"/>
          <w:szCs w:val="16"/>
        </w:rPr>
        <w:t>Гротто</w:t>
      </w:r>
      <w:proofErr w:type="spellEnd"/>
      <w:r w:rsidRPr="007122AB">
        <w:rPr>
          <w:rFonts w:ascii="Times New Roman" w:hAnsi="Times New Roman"/>
          <w:color w:val="000000" w:themeColor="text1"/>
          <w:sz w:val="16"/>
          <w:szCs w:val="16"/>
        </w:rPr>
        <w:t>» решено было отказаться, АВО-5 возглавил Н. Барыков, работав</w:t>
      </w:r>
      <w:r w:rsidRPr="007122AB">
        <w:rPr>
          <w:rFonts w:ascii="Times New Roman" w:hAnsi="Times New Roman"/>
          <w:color w:val="000000" w:themeColor="text1"/>
          <w:sz w:val="16"/>
          <w:szCs w:val="16"/>
        </w:rPr>
        <w:softHyphen/>
        <w:t>ший у Э. Гроте заместителем по общим вопросам. Главным заданием для бюро было в срок не позднее 1 августа 1932 г. спроектировать тяжелый танк нового типа под индексом Т-35. Так как конструкция ходовой части ТГ позволяла без изменений увеличить массу танка до 40 т, предписывалось использовать для Т-35 ходовую танка Гроте, а компоновку по типу Т-32 третьего варианта. Проектирование танка Т-32 велось по скорректирован</w:t>
      </w:r>
      <w:r w:rsidRPr="007122AB">
        <w:rPr>
          <w:rFonts w:ascii="Times New Roman" w:hAnsi="Times New Roman"/>
          <w:color w:val="000000" w:themeColor="text1"/>
          <w:sz w:val="16"/>
          <w:szCs w:val="16"/>
        </w:rPr>
        <w:softHyphen/>
        <w:t>ным ТТТ танка Т-30 с 1931 г. под руководством Н. Барыко</w:t>
      </w:r>
      <w:r w:rsidRPr="007122AB">
        <w:rPr>
          <w:rFonts w:ascii="Times New Roman" w:hAnsi="Times New Roman"/>
          <w:color w:val="000000" w:themeColor="text1"/>
          <w:sz w:val="16"/>
          <w:szCs w:val="16"/>
        </w:rPr>
        <w:softHyphen/>
        <w:t xml:space="preserve">ва и М. Зигеля. Его боевой вес должен был составлять 50 т, вооружение из одной 76-мм пушки и двух 37-мм пушек большой мощности при трех- или </w:t>
      </w:r>
      <w:proofErr w:type="spellStart"/>
      <w:r w:rsidRPr="007122AB">
        <w:rPr>
          <w:rFonts w:ascii="Times New Roman" w:hAnsi="Times New Roman"/>
          <w:color w:val="000000" w:themeColor="text1"/>
          <w:sz w:val="16"/>
          <w:szCs w:val="16"/>
        </w:rPr>
        <w:t>пятибашенной</w:t>
      </w:r>
      <w:proofErr w:type="spellEnd"/>
      <w:r w:rsidRPr="007122AB">
        <w:rPr>
          <w:rFonts w:ascii="Times New Roman" w:hAnsi="Times New Roman"/>
          <w:color w:val="000000" w:themeColor="text1"/>
          <w:sz w:val="16"/>
          <w:szCs w:val="16"/>
        </w:rPr>
        <w:t xml:space="preserve"> схеме. Толщина брони должна была составить 30-40 мм. На танк планировалось установить авиамотор АМБ мощностью 750 л.с. Но работы затянулись, ведь занимались проектом лишь двое указанных конструкторов, которых и без того посто</w:t>
      </w:r>
      <w:r w:rsidRPr="007122AB">
        <w:rPr>
          <w:rFonts w:ascii="Times New Roman" w:hAnsi="Times New Roman"/>
          <w:color w:val="000000" w:themeColor="text1"/>
          <w:sz w:val="16"/>
          <w:szCs w:val="16"/>
        </w:rPr>
        <w:softHyphen/>
        <w:t>янно отвлекали на проведение более неотложных работ. Кроме того, опыта проектирования трансмиссий для ма</w:t>
      </w:r>
      <w:r w:rsidRPr="007122AB">
        <w:rPr>
          <w:rFonts w:ascii="Times New Roman" w:hAnsi="Times New Roman"/>
          <w:color w:val="000000" w:themeColor="text1"/>
          <w:sz w:val="16"/>
          <w:szCs w:val="16"/>
        </w:rPr>
        <w:softHyphen/>
        <w:t>шин такой массы и такой мощности в СССР тогда не было, и потому эскизный проект Т-32 с середины 1931 г. практи</w:t>
      </w:r>
      <w:r w:rsidRPr="007122AB">
        <w:rPr>
          <w:rFonts w:ascii="Times New Roman" w:hAnsi="Times New Roman"/>
          <w:color w:val="000000" w:themeColor="text1"/>
          <w:sz w:val="16"/>
          <w:szCs w:val="16"/>
        </w:rPr>
        <w:softHyphen/>
        <w:t>чески был заморожен (10733,260).</w:t>
      </w:r>
    </w:p>
    <w:p w14:paraId="50C5D2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4B2C0" w14:textId="77777777" w:rsidR="00CA6452" w:rsidRPr="007122AB" w:rsidRDefault="00CA6452"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августа 1931 года под руководством Н. И.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lang w:val="en-US"/>
        </w:rPr>
        <w:t>f</w:t>
      </w:r>
      <w:r w:rsidRPr="007122AB">
        <w:rPr>
          <w:rFonts w:ascii="Times New Roman" w:hAnsi="Times New Roman"/>
          <w:color w:val="000000" w:themeColor="text1"/>
          <w:sz w:val="16"/>
          <w:szCs w:val="16"/>
        </w:rPr>
        <w:t xml:space="preserve"> разрабатывалась бронедрезина Д-37. «На колеса» она встала только в марте 1932 года, и первые же прогоны выявили множество технических недоработок в ее конструкции. В своем первоначальном виде Д-37 имела несущий сварной корпус, состоящий из двух частей (верхней и нижней) соединяющихся на болтах. К нижней части крепились ходовая часть и силовая установка. В качестве последней использовался 40-сильный двигатель автомобиля Форд-АА (ГАЗ-АА), соединенный с реверсивной коробкой передач (четыре скорости вперед и назад). При массе около 8 тонн силовая установка обеспечивала Д-37 скорость до 75 км/час. На крыше верхней части корпуса монтировалась вращающаяся башня от бронеавтомобиля Д-13 с 37-мм пушкой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xml:space="preserve"> и пулеметом ДТ. Еще два пулемета ДТ размещались в шаровых установках по бортам корпуса. Кроме этого, Д-37 оснащалась зенитной установкой, размещенной в задней части бронедрезины. При стрельбе спаренная зенитная установка пулеметов Максим поднималась наружу через большой двустворчатый люк. Экипаж Д-37 состоял из шести человек. В ходе дальнейших длительных доработок на Д-37 сначала попытались установить башню оригинальной конструкции, вооруженную 76-мм пушкой образца 1927 года, но при испытаниях выявилось, что конструкция орудийной установки в целом неудачна, а работа орудийного расчета существенно затруднена. К тому же с такой орудийной установкой масса дрезины превысила допустимые пределы. В результате Д-37 продолжали модернизировать дальше, установив вместо неудачной башни, несколько доработанную башню танка Т-26, вооруженную 45-мм пушкой (отказались от кормовой ниши, где в танке хранилась часть боекомплекта или устанавливалась радиостанция, сделав в задней стенке башни двустворчатый люк). С установкой новой башни изменился и индекс опытной бронедрезины — вместо Д-37 она теперь стала называться ДТ-45 (дрезина тяжелая с 45-мм пушкой). Дополнительно дрезину оборудовали приспособлением для самостоятельного перемещения на параллельный железнодорожный путь (механизм выключения рессор, два домкрата и две пары разъемных балок). При необходимости перевода дрезины на соседнее полотно сначала отключались рессоры, чтобы при подъеме корпуса на домкратах колеса поднимались вместе с ним, не выбирая прогиба рессор. Затем при помощи двух домкратов дрезину подымали, чтобы реборды колес оказались над рельсами. На рельсы укладывались балки, по которым могли двигаться две пары специально для этого предназначенных роликов, закрепленных внизу на передней и задней частях корпуса. После этого по балкам дрезину перекатывали на соседний путь. Такое техническое решение позволяло переходить на соседнее полотно для объезда разбитых участков путей или же пропускать другие поезда. Масса дрезины достигла 8,4 тонны, а экипаж увеличился до семи человек (22743).</w:t>
      </w:r>
    </w:p>
    <w:p w14:paraId="45DA4265" w14:textId="77777777" w:rsidR="00CA6452" w:rsidRPr="007122AB" w:rsidRDefault="00CA6452" w:rsidP="007122AB">
      <w:pPr>
        <w:shd w:val="clear" w:color="auto" w:fill="FFFFFF"/>
        <w:spacing w:after="0" w:line="240" w:lineRule="auto"/>
        <w:jc w:val="both"/>
        <w:rPr>
          <w:rFonts w:ascii="Times New Roman" w:hAnsi="Times New Roman"/>
          <w:color w:val="000000" w:themeColor="text1"/>
          <w:sz w:val="16"/>
          <w:szCs w:val="16"/>
        </w:rPr>
      </w:pPr>
    </w:p>
    <w:p w14:paraId="5039C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происходит разукрупнение ВЭО, в ре </w:t>
      </w:r>
      <w:proofErr w:type="spellStart"/>
      <w:r w:rsidRPr="007122AB">
        <w:rPr>
          <w:rFonts w:ascii="Times New Roman" w:hAnsi="Times New Roman"/>
          <w:color w:val="000000" w:themeColor="text1"/>
          <w:sz w:val="16"/>
          <w:szCs w:val="16"/>
        </w:rPr>
        <w:t>зультате</w:t>
      </w:r>
      <w:proofErr w:type="spellEnd"/>
      <w:r w:rsidRPr="007122AB">
        <w:rPr>
          <w:rFonts w:ascii="Times New Roman" w:hAnsi="Times New Roman"/>
          <w:color w:val="000000" w:themeColor="text1"/>
          <w:sz w:val="16"/>
          <w:szCs w:val="16"/>
        </w:rPr>
        <w:t xml:space="preserve"> чего создается Всесоюзное электрослаботочное объединение (ВЭСО). В его состав вошли 9 заводов и 3 центральные лаборатории, из которых 6 заводов и 2 лаборатории находились в Ленинграде. Правление ВЭСО располагалось в Ле </w:t>
      </w:r>
      <w:proofErr w:type="spellStart"/>
      <w:r w:rsidRPr="007122AB">
        <w:rPr>
          <w:rFonts w:ascii="Times New Roman" w:hAnsi="Times New Roman"/>
          <w:color w:val="000000" w:themeColor="text1"/>
          <w:sz w:val="16"/>
          <w:szCs w:val="16"/>
        </w:rPr>
        <w:t>нинграде</w:t>
      </w:r>
      <w:proofErr w:type="spellEnd"/>
      <w:r w:rsidRPr="007122AB">
        <w:rPr>
          <w:rFonts w:ascii="Times New Roman" w:hAnsi="Times New Roman"/>
          <w:color w:val="000000" w:themeColor="text1"/>
          <w:sz w:val="16"/>
          <w:szCs w:val="16"/>
        </w:rPr>
        <w:t xml:space="preserve"> на ул. Гоголя, 14. ВЭСО просуществовало два года, сделав за этот непродолжительный пе </w:t>
      </w:r>
      <w:proofErr w:type="spellStart"/>
      <w:r w:rsidRPr="007122AB">
        <w:rPr>
          <w:rFonts w:ascii="Times New Roman" w:hAnsi="Times New Roman"/>
          <w:color w:val="000000" w:themeColor="text1"/>
          <w:sz w:val="16"/>
          <w:szCs w:val="16"/>
        </w:rPr>
        <w:t>риод</w:t>
      </w:r>
      <w:proofErr w:type="spellEnd"/>
      <w:r w:rsidRPr="007122AB">
        <w:rPr>
          <w:rFonts w:ascii="Times New Roman" w:hAnsi="Times New Roman"/>
          <w:color w:val="000000" w:themeColor="text1"/>
          <w:sz w:val="16"/>
          <w:szCs w:val="16"/>
        </w:rPr>
        <w:t xml:space="preserve"> очень многое для развития техники связи. 1 сентября 1933 г. его функции по управлению слаботочной промышленностью были переданы вновь </w:t>
      </w:r>
      <w:proofErr w:type="spellStart"/>
      <w:r w:rsidRPr="007122AB">
        <w:rPr>
          <w:rFonts w:ascii="Times New Roman" w:hAnsi="Times New Roman"/>
          <w:color w:val="000000" w:themeColor="text1"/>
          <w:sz w:val="16"/>
          <w:szCs w:val="16"/>
        </w:rPr>
        <w:t>созданно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му</w:t>
      </w:r>
      <w:proofErr w:type="spellEnd"/>
      <w:r w:rsidRPr="007122AB">
        <w:rPr>
          <w:rFonts w:ascii="Times New Roman" w:hAnsi="Times New Roman"/>
          <w:color w:val="000000" w:themeColor="text1"/>
          <w:sz w:val="16"/>
          <w:szCs w:val="16"/>
        </w:rPr>
        <w:t xml:space="preserve"> Главному управлению электрослаботочной промышленности (</w:t>
      </w:r>
      <w:proofErr w:type="spellStart"/>
      <w:r w:rsidRPr="007122AB">
        <w:rPr>
          <w:rFonts w:ascii="Times New Roman" w:hAnsi="Times New Roman"/>
          <w:color w:val="000000" w:themeColor="text1"/>
          <w:sz w:val="16"/>
          <w:szCs w:val="16"/>
        </w:rPr>
        <w:t>Главэспрому</w:t>
      </w:r>
      <w:proofErr w:type="spellEnd"/>
      <w:r w:rsidRPr="007122AB">
        <w:rPr>
          <w:rFonts w:ascii="Times New Roman" w:hAnsi="Times New Roman"/>
          <w:color w:val="000000" w:themeColor="text1"/>
          <w:sz w:val="16"/>
          <w:szCs w:val="16"/>
        </w:rPr>
        <w:t>), действовавшему в составе Народного комиссариата тяжелой промышленности (НКТП) (11870).</w:t>
      </w:r>
    </w:p>
    <w:p w14:paraId="528FC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439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августу 1931 года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отработал свой комплекс радиоуправления. Нарком по военным и морским делам К. Е. Ворошилов назначил комиссию для заключительных испытаний. "</w:t>
      </w:r>
      <w:proofErr w:type="spellStart"/>
      <w:r w:rsidRPr="007122AB">
        <w:rPr>
          <w:rFonts w:ascii="Times New Roman" w:hAnsi="Times New Roman"/>
          <w:color w:val="000000" w:themeColor="text1"/>
          <w:sz w:val="16"/>
          <w:szCs w:val="16"/>
        </w:rPr>
        <w:t>Испытани</w:t>
      </w:r>
      <w:proofErr w:type="spellEnd"/>
      <w:r w:rsidRPr="007122AB">
        <w:rPr>
          <w:rFonts w:ascii="Times New Roman" w:hAnsi="Times New Roman"/>
          <w:color w:val="000000" w:themeColor="text1"/>
          <w:sz w:val="16"/>
          <w:szCs w:val="16"/>
        </w:rPr>
        <w:t xml:space="preserve"> проводили в Финском заливе. Катера, управляемые с самолета (аппаратурой А. Ф. Шорина) или с корабля (аппаратурой В. 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Оператор на самолете </w:t>
      </w:r>
      <w:proofErr w:type="spellStart"/>
      <w:r w:rsidRPr="007122AB">
        <w:rPr>
          <w:rFonts w:ascii="Times New Roman" w:hAnsi="Times New Roman"/>
          <w:color w:val="000000" w:themeColor="text1"/>
          <w:sz w:val="16"/>
          <w:szCs w:val="16"/>
        </w:rPr>
        <w:t>оказалс</w:t>
      </w:r>
      <w:proofErr w:type="spellEnd"/>
      <w:r w:rsidRPr="007122AB">
        <w:rPr>
          <w:rFonts w:ascii="Times New Roman" w:hAnsi="Times New Roman"/>
          <w:color w:val="000000" w:themeColor="text1"/>
          <w:sz w:val="16"/>
          <w:szCs w:val="16"/>
        </w:rPr>
        <w:t xml:space="preserve">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 Ф. Шорина.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предложили доработать свою аппаратуру". После этого радиоуправляемые торпедные катера (их тогда называли катерами волнового управления) запустили в серию, а на флотах началось формирование специальных отрядов и дивизионов, продемонстрировавших возможности нового оружия на зачетном флотском учении осенью 1937 года. Отрабатывался бой с эскадрой "противника" на минно-артиллерийской позиции. Когда соединение, изображающее вражескую эскадру, появилось в западной части залива, более полусотни радиоуправляемых катеров, прорыва дымовые завесы, устремились с трех сторон на корабли "противника" и атаковали их торпедами. После учения дивизион радиоуправляемых катеров получил высокую оценку командования, отметившего, что во время операции отказов техники не было (10261).</w:t>
      </w:r>
    </w:p>
    <w:p w14:paraId="49E684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888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авгу</w:t>
      </w:r>
      <w:r w:rsidRPr="007122AB">
        <w:rPr>
          <w:rFonts w:ascii="Times New Roman" w:hAnsi="Times New Roman"/>
          <w:color w:val="000000" w:themeColor="text1"/>
          <w:sz w:val="16"/>
          <w:szCs w:val="16"/>
        </w:rPr>
        <w:softHyphen/>
        <w:t xml:space="preserve">сту 1931 г.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представил комплекс радиоуправления катером. Нарком по военным и морским делам К.Б. Ворошилов назначил комис</w:t>
      </w:r>
      <w:r w:rsidRPr="007122AB">
        <w:rPr>
          <w:rFonts w:ascii="Times New Roman" w:hAnsi="Times New Roman"/>
          <w:color w:val="000000" w:themeColor="text1"/>
          <w:sz w:val="16"/>
          <w:szCs w:val="16"/>
        </w:rPr>
        <w:softHyphen/>
        <w:t>сию для заключительных испытаний. «Испытания проводи</w:t>
      </w:r>
      <w:r w:rsidRPr="007122AB">
        <w:rPr>
          <w:rFonts w:ascii="Times New Roman" w:hAnsi="Times New Roman"/>
          <w:color w:val="000000" w:themeColor="text1"/>
          <w:sz w:val="16"/>
          <w:szCs w:val="16"/>
        </w:rPr>
        <w:softHyphen/>
        <w:t>ли в Финском заливе, — вспоминает контр-адмирал Б.В. Ни</w:t>
      </w:r>
      <w:r w:rsidRPr="007122AB">
        <w:rPr>
          <w:rFonts w:ascii="Times New Roman" w:hAnsi="Times New Roman"/>
          <w:color w:val="000000" w:themeColor="text1"/>
          <w:sz w:val="16"/>
          <w:szCs w:val="16"/>
        </w:rPr>
        <w:softHyphen/>
        <w:t>китин, в годы войны служивший на катерах. — Катера, уп</w:t>
      </w:r>
      <w:r w:rsidRPr="007122AB">
        <w:rPr>
          <w:rFonts w:ascii="Times New Roman" w:hAnsi="Times New Roman"/>
          <w:color w:val="000000" w:themeColor="text1"/>
          <w:sz w:val="16"/>
          <w:szCs w:val="16"/>
        </w:rPr>
        <w:softHyphen/>
        <w:t>равляемые с самолета (аппаратурой А.Ф. Шорина) или с ко</w:t>
      </w:r>
      <w:r w:rsidRPr="007122AB">
        <w:rPr>
          <w:rFonts w:ascii="Times New Roman" w:hAnsi="Times New Roman"/>
          <w:color w:val="000000" w:themeColor="text1"/>
          <w:sz w:val="16"/>
          <w:szCs w:val="16"/>
        </w:rPr>
        <w:softHyphen/>
        <w:t xml:space="preserve">рабля (аппаратурой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по радиокомандам отхо</w:t>
      </w:r>
      <w:r w:rsidRPr="007122AB">
        <w:rPr>
          <w:rFonts w:ascii="Times New Roman" w:hAnsi="Times New Roman"/>
          <w:color w:val="000000" w:themeColor="text1"/>
          <w:sz w:val="16"/>
          <w:szCs w:val="16"/>
        </w:rPr>
        <w:softHyphen/>
        <w:t>дили от причала, выходили в море, маневрировали, устрем</w:t>
      </w:r>
      <w:r w:rsidRPr="007122AB">
        <w:rPr>
          <w:rFonts w:ascii="Times New Roman" w:hAnsi="Times New Roman"/>
          <w:color w:val="000000" w:themeColor="text1"/>
          <w:sz w:val="16"/>
          <w:szCs w:val="16"/>
        </w:rPr>
        <w:softHyphen/>
        <w:t xml:space="preserve">лялись в атаку и производили пуск торпед. Проводились </w:t>
      </w:r>
      <w:proofErr w:type="spellStart"/>
      <w:r w:rsidRPr="007122AB">
        <w:rPr>
          <w:rFonts w:ascii="Times New Roman" w:hAnsi="Times New Roman"/>
          <w:color w:val="000000" w:themeColor="text1"/>
          <w:sz w:val="16"/>
          <w:szCs w:val="16"/>
        </w:rPr>
        <w:t>атат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ки</w:t>
      </w:r>
      <w:proofErr w:type="spellEnd"/>
      <w:r w:rsidRPr="007122AB">
        <w:rPr>
          <w:rFonts w:ascii="Times New Roman" w:hAnsi="Times New Roman"/>
          <w:color w:val="000000" w:themeColor="text1"/>
          <w:sz w:val="16"/>
          <w:szCs w:val="16"/>
        </w:rPr>
        <w:t xml:space="preserve"> и по прикрытому дымовой завесой кораблю-цели... Опера</w:t>
      </w:r>
      <w:r w:rsidRPr="007122AB">
        <w:rPr>
          <w:rFonts w:ascii="Times New Roman" w:hAnsi="Times New Roman"/>
          <w:color w:val="000000" w:themeColor="text1"/>
          <w:sz w:val="16"/>
          <w:szCs w:val="16"/>
        </w:rPr>
        <w:softHyphen/>
        <w:t>тор на самолете оказался в лучшем положении, чем тот, что находился на корабле управления: наблюдению с корабля ме</w:t>
      </w:r>
      <w:r w:rsidRPr="007122AB">
        <w:rPr>
          <w:rFonts w:ascii="Times New Roman" w:hAnsi="Times New Roman"/>
          <w:color w:val="000000" w:themeColor="text1"/>
          <w:sz w:val="16"/>
          <w:szCs w:val="16"/>
        </w:rPr>
        <w:softHyphen/>
        <w:t>шала дымовая завеса... Комиссия предложила принять на во</w:t>
      </w:r>
      <w:r w:rsidRPr="007122AB">
        <w:rPr>
          <w:rFonts w:ascii="Times New Roman" w:hAnsi="Times New Roman"/>
          <w:color w:val="000000" w:themeColor="text1"/>
          <w:sz w:val="16"/>
          <w:szCs w:val="16"/>
        </w:rPr>
        <w:softHyphen/>
        <w:t xml:space="preserve">оружение комплекс А.Ф. Шорина.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предложили до</w:t>
      </w:r>
      <w:r w:rsidRPr="007122AB">
        <w:rPr>
          <w:rFonts w:ascii="Times New Roman" w:hAnsi="Times New Roman"/>
          <w:color w:val="000000" w:themeColor="text1"/>
          <w:sz w:val="16"/>
          <w:szCs w:val="16"/>
        </w:rPr>
        <w:softHyphen/>
        <w:t>работать свою аппаратуру» (10675).</w:t>
      </w:r>
    </w:p>
    <w:p w14:paraId="309D5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DAA0BB" w14:textId="77777777" w:rsidR="00A522A1" w:rsidRPr="007122AB" w:rsidRDefault="00A522A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нарком по военным и морским делам К.Е. Ворошилов назначил комиссию, которая должна была провести заключительные испытания комплексов телеуправления судов А.Ф. Шорина и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В состав комиссии вошли представители флота и армии, научных конструкторских институтов и промышленности. Возглавлял ее инспектор Морских Сил Петр Иванович Смирнов-Светловский, всесторонне эрудированный флотский специалист. Испытания проводили в Финском заливе. Катера, управляемые с самолета (с аппаратурой А.Ф. Шорина) или с корабля (аппаратурой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 И вот испытания закончены. Комиссия предложила принять на вооружение комплекс А.Ф. Шорина.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предложили доработать свою аппаратуру, чтобы обеспечить возможность атаки прикрытых </w:t>
      </w:r>
      <w:proofErr w:type="spellStart"/>
      <w:r w:rsidRPr="007122AB">
        <w:rPr>
          <w:rFonts w:ascii="Times New Roman" w:hAnsi="Times New Roman"/>
          <w:color w:val="000000" w:themeColor="text1"/>
          <w:sz w:val="16"/>
          <w:szCs w:val="16"/>
        </w:rPr>
        <w:t>дымзавесами</w:t>
      </w:r>
      <w:proofErr w:type="spellEnd"/>
      <w:r w:rsidRPr="007122AB">
        <w:rPr>
          <w:rFonts w:ascii="Times New Roman" w:hAnsi="Times New Roman"/>
          <w:color w:val="000000" w:themeColor="text1"/>
          <w:sz w:val="16"/>
          <w:szCs w:val="16"/>
        </w:rPr>
        <w:t xml:space="preserve"> кораблей, — предполагалось использовать для этого самолет. Испытания комплекса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решили возобновить в 1932 году (15117).</w:t>
      </w:r>
    </w:p>
    <w:p w14:paraId="2154DF2E" w14:textId="77777777" w:rsidR="00A522A1" w:rsidRPr="007122AB" w:rsidRDefault="00A522A1" w:rsidP="007122AB">
      <w:pPr>
        <w:spacing w:after="0" w:line="240" w:lineRule="auto"/>
        <w:jc w:val="both"/>
        <w:rPr>
          <w:rFonts w:ascii="Times New Roman" w:hAnsi="Times New Roman"/>
          <w:color w:val="000000" w:themeColor="text1"/>
          <w:sz w:val="16"/>
          <w:szCs w:val="16"/>
        </w:rPr>
      </w:pPr>
    </w:p>
    <w:p w14:paraId="5002B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года </w:t>
      </w:r>
      <w:proofErr w:type="spellStart"/>
      <w:r w:rsidRPr="007122AB">
        <w:rPr>
          <w:rFonts w:ascii="Times New Roman" w:hAnsi="Times New Roman"/>
          <w:color w:val="000000" w:themeColor="text1"/>
          <w:sz w:val="16"/>
          <w:szCs w:val="16"/>
        </w:rPr>
        <w:t>Таубин</w:t>
      </w:r>
      <w:proofErr w:type="spellEnd"/>
      <w:r w:rsidRPr="007122AB">
        <w:rPr>
          <w:rFonts w:ascii="Times New Roman" w:hAnsi="Times New Roman"/>
          <w:color w:val="000000" w:themeColor="text1"/>
          <w:sz w:val="16"/>
          <w:szCs w:val="16"/>
        </w:rPr>
        <w:t xml:space="preserve"> разработал первый вариант проекта автоматического гранатомета под ружейную гранату Дьяконова. Отсюда и появился калибр его системы в 40,8-мм. Вскоре после оформления проект был направлен в Артиллерийское управление РККА. После рассмотрения его в АУ был выдан заказ на изготовление опытных образцов оружия. На Ковровском инструментальном заводе № 2 было изготовлено два первых опытных образца гранатомёта, получившего обозначение «АГ-ТБ» (автоматический гранатомёт –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Бергольца</w:t>
      </w:r>
      <w:proofErr w:type="spellEnd"/>
      <w:r w:rsidRPr="007122AB">
        <w:rPr>
          <w:rFonts w:ascii="Times New Roman" w:hAnsi="Times New Roman"/>
          <w:color w:val="000000" w:themeColor="text1"/>
          <w:sz w:val="16"/>
          <w:szCs w:val="16"/>
        </w:rPr>
        <w:t xml:space="preserve">). Испытания гранатомёта были проведены в 1933 году. В 1934 году для продолжения работ по гранатомётам на основе конструкторской группы было создано специальное КБТ (конструкторское бюро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xml:space="preserve">) под руководством Я. Г.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xml:space="preserve">. В 1930-е годы КБТ работало над автоматическими гранатомётами других калибров. В 1934 году на базе конструкции 40,8-мм автоматического гранатомёта АГ-ТБ был разработан </w:t>
      </w:r>
      <w:r w:rsidRPr="007122AB">
        <w:rPr>
          <w:rFonts w:ascii="Times New Roman" w:hAnsi="Times New Roman"/>
          <w:color w:val="000000" w:themeColor="text1"/>
          <w:sz w:val="16"/>
          <w:szCs w:val="16"/>
        </w:rPr>
        <w:lastRenderedPageBreak/>
        <w:t xml:space="preserve">проект 76,2-мм гранатомёта для батальонного звена. Вскоре его направили в ГАУ. С 1937 года оно получило наименование ОКБ-16 Наркомата оборонной промышленности. На первых образцах автоматика работала за счёт отвода газов из канала ствола. В 1936 году был создан вариант системы с новой схемой автоматики, основанной на энергии отката ствола при его длинном ходе. За время отработки конструкции путём последовательных модернизаций и улучшения его конструкции масса гранатомёта была снижена почти в два раза. Первоначально для гранатомёта конструкции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xml:space="preserve"> был создан треножный станок, но в последствии его заменили лёгким колесным станком по типу станка пулемёта «Максим». 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w:t>
      </w:r>
      <w:proofErr w:type="spellStart"/>
      <w:r w:rsidRPr="007122AB">
        <w:rPr>
          <w:rFonts w:ascii="Times New Roman" w:hAnsi="Times New Roman"/>
          <w:color w:val="000000" w:themeColor="text1"/>
          <w:sz w:val="16"/>
          <w:szCs w:val="16"/>
        </w:rPr>
        <w:t>Таубина</w:t>
      </w:r>
      <w:proofErr w:type="spellEnd"/>
      <w:r w:rsidRPr="007122AB">
        <w:rPr>
          <w:rFonts w:ascii="Times New Roman" w:hAnsi="Times New Roman"/>
          <w:color w:val="000000" w:themeColor="text1"/>
          <w:sz w:val="16"/>
          <w:szCs w:val="16"/>
        </w:rPr>
        <w:t>.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137A9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2EA2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переименован в Радиозавод им. Коминтерна. С 1930 г. - в ведении ВЭО, с 1931 г. - ВЭСО ВСНХ, с 1932 г. - ВЭСО НКТП, с конца 1933 г.- в ведении «</w:t>
      </w:r>
      <w:proofErr w:type="spellStart"/>
      <w:r w:rsidRPr="007122AB">
        <w:rPr>
          <w:rFonts w:ascii="Times New Roman" w:hAnsi="Times New Roman"/>
          <w:color w:val="000000" w:themeColor="text1"/>
          <w:sz w:val="16"/>
          <w:szCs w:val="16"/>
        </w:rPr>
        <w:t>Главэспрома</w:t>
      </w:r>
      <w:proofErr w:type="spellEnd"/>
      <w:r w:rsidRPr="007122AB">
        <w:rPr>
          <w:rFonts w:ascii="Times New Roman" w:hAnsi="Times New Roman"/>
          <w:color w:val="000000" w:themeColor="text1"/>
          <w:sz w:val="16"/>
          <w:szCs w:val="16"/>
        </w:rPr>
        <w:t>»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7122AB">
        <w:rPr>
          <w:rFonts w:ascii="Times New Roman" w:hAnsi="Times New Roman"/>
          <w:color w:val="000000" w:themeColor="text1"/>
          <w:sz w:val="16"/>
          <w:szCs w:val="16"/>
          <w:vertAlign w:val="superscript"/>
        </w:rPr>
        <w:t>101</w:t>
      </w:r>
      <w:r w:rsidRPr="007122AB">
        <w:rPr>
          <w:rFonts w:ascii="Times New Roman" w:hAnsi="Times New Roman"/>
          <w:color w:val="000000" w:themeColor="text1"/>
          <w:sz w:val="16"/>
          <w:szCs w:val="16"/>
        </w:rPr>
        <w:t xml:space="preserve"> 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КМРС им. Коминтерна переименован в завод № 208 им. Коминтерна 5ГУ НКОП, приказом № 116 от 31.03.1937 г. утвержден Устав ГС завода № 208 им. Коминтерна.'</w:t>
      </w:r>
      <w:r w:rsidRPr="007122AB">
        <w:rPr>
          <w:rFonts w:ascii="Times New Roman" w:hAnsi="Times New Roman"/>
          <w:color w:val="000000" w:themeColor="text1"/>
          <w:sz w:val="16"/>
          <w:szCs w:val="16"/>
          <w:vertAlign w:val="superscript"/>
        </w:rPr>
        <w:t>39</w:t>
      </w:r>
      <w:r w:rsidRPr="007122AB">
        <w:rPr>
          <w:rFonts w:ascii="Times New Roman" w:hAnsi="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213D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кварцевой лаборатории разработаны техпроцессы и аппаратура для изготовления высокоточных </w:t>
      </w:r>
      <w:proofErr w:type="spellStart"/>
      <w:r w:rsidRPr="007122AB">
        <w:rPr>
          <w:rFonts w:ascii="Times New Roman" w:hAnsi="Times New Roman"/>
          <w:color w:val="000000" w:themeColor="text1"/>
          <w:sz w:val="16"/>
          <w:szCs w:val="16"/>
        </w:rPr>
        <w:t>пьезо</w:t>
      </w:r>
      <w:proofErr w:type="spellEnd"/>
      <w:r w:rsidRPr="007122AB">
        <w:rPr>
          <w:rFonts w:ascii="Times New Roman" w:hAnsi="Times New Roman"/>
          <w:color w:val="000000" w:themeColor="text1"/>
          <w:sz w:val="16"/>
          <w:szCs w:val="16"/>
        </w:rPr>
        <w:t>- кварцевых эталонов частоты. Разработаны все антенные мачты-башни для мощных радиостанций (Ю.А. Савицкий).</w:t>
      </w:r>
    </w:p>
    <w:p w14:paraId="3DB27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028C5F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5E346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w:t>
      </w:r>
      <w:proofErr w:type="spellStart"/>
      <w:r w:rsidRPr="007122AB">
        <w:rPr>
          <w:rFonts w:ascii="Times New Roman" w:hAnsi="Times New Roman"/>
          <w:color w:val="000000" w:themeColor="text1"/>
          <w:sz w:val="16"/>
          <w:szCs w:val="16"/>
        </w:rPr>
        <w:t>субстандарты</w:t>
      </w:r>
      <w:proofErr w:type="spellEnd"/>
      <w:r w:rsidRPr="007122AB">
        <w:rPr>
          <w:rFonts w:ascii="Times New Roman" w:hAnsi="Times New Roman"/>
          <w:color w:val="000000" w:themeColor="text1"/>
          <w:sz w:val="16"/>
          <w:szCs w:val="16"/>
        </w:rPr>
        <w:t xml:space="preserve"> частоты, отдельные мультивибраторы, </w:t>
      </w:r>
      <w:r w:rsidRPr="007122AB">
        <w:rPr>
          <w:rFonts w:ascii="Times New Roman" w:hAnsi="Times New Roman"/>
          <w:color w:val="000000" w:themeColor="text1"/>
          <w:sz w:val="16"/>
          <w:szCs w:val="16"/>
          <w:lang w:val="en-US"/>
        </w:rPr>
        <w:t>KB</w:t>
      </w:r>
      <w:r w:rsidRPr="007122AB">
        <w:rPr>
          <w:rFonts w:ascii="Times New Roman" w:hAnsi="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1C4A35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66026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060B5F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7D622C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A4DC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7122AB">
        <w:rPr>
          <w:rFonts w:ascii="Times New Roman" w:hAnsi="Times New Roman"/>
          <w:color w:val="000000" w:themeColor="text1"/>
          <w:sz w:val="16"/>
          <w:szCs w:val="16"/>
          <w:vertAlign w:val="superscript"/>
        </w:rPr>
        <w:t>149</w:t>
      </w:r>
    </w:p>
    <w:p w14:paraId="552B9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052E8C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Ленинграде на базе оставшегося оборудования по пр. № 325с от 27.10.1941 г. организован новый завод</w:t>
      </w:r>
    </w:p>
    <w:p w14:paraId="65D5BF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№615.</w:t>
      </w:r>
    </w:p>
    <w:p w14:paraId="54338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ГКО № 3686сс от 4.07.1943 г. завод № 208 передан в ведение созданного ГУ </w:t>
      </w:r>
      <w:r w:rsidRPr="007122AB">
        <w:rPr>
          <w:rFonts w:ascii="Times New Roman" w:hAnsi="Times New Roman"/>
          <w:color w:val="000000" w:themeColor="text1"/>
          <w:sz w:val="16"/>
          <w:szCs w:val="16"/>
          <w:lang w:val="en-US"/>
        </w:rPr>
        <w:t>PJI</w:t>
      </w:r>
      <w:r w:rsidRPr="007122AB">
        <w:rPr>
          <w:rFonts w:ascii="Times New Roman" w:hAnsi="Times New Roman"/>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58AA9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1960-е  г. выпускал станции обнаружения и целеуказания.</w:t>
      </w:r>
      <w:r w:rsidRPr="007122AB">
        <w:rPr>
          <w:rFonts w:ascii="Times New Roman" w:hAnsi="Times New Roman"/>
          <w:color w:val="000000" w:themeColor="text1"/>
          <w:sz w:val="16"/>
          <w:szCs w:val="16"/>
          <w:vertAlign w:val="superscript"/>
        </w:rPr>
        <w:t>80</w:t>
      </w:r>
    </w:p>
    <w:p w14:paraId="2332A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1979 г. создан Тувинский филиал завода (с 1980-х  г. - Тувинский машиностроительный завод).</w:t>
      </w:r>
    </w:p>
    <w:p w14:paraId="6A696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7C72E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(1915 г.)- около 300 чел.</w:t>
      </w:r>
    </w:p>
    <w:p w14:paraId="5F5588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(-01-14.07.1937 г.)- М.А. Гущин, (14.07.1937-17.12.1938 г.)- А.И. Васильев, (17.12.1938 г.-)- В.П. Виноградов. И.О. Гендиректора (2007 г.)-  Г.Н. Голубев.</w:t>
      </w:r>
    </w:p>
    <w:p w14:paraId="6F5F63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(01.1937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JI</w:t>
      </w:r>
      <w:r w:rsidRPr="007122AB">
        <w:rPr>
          <w:rFonts w:ascii="Times New Roman" w:hAnsi="Times New Roman"/>
          <w:color w:val="000000" w:themeColor="text1"/>
          <w:sz w:val="16"/>
          <w:szCs w:val="16"/>
        </w:rPr>
        <w:t xml:space="preserve">. Минц, (-27.03.1937; 16.05.1937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Курков. Помощник директора по найму и увольнению (28.09.1938 г.-)- А.Е. Фомичев.</w:t>
      </w:r>
    </w:p>
    <w:p w14:paraId="396DEF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(-01-27.03.1937 г.)- А.Л. Минц, (27.03-05.1937 г.-)- А.И. Васильев, (02.1938 г.)- Н.А. Романов, (1948-50 г.)- ЯЛ. Беликов.</w:t>
      </w:r>
    </w:p>
    <w:p w14:paraId="4989D6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гл. инженера (1928 г.-)- А.Л. Минц, В.Е. </w:t>
      </w:r>
      <w:proofErr w:type="spellStart"/>
      <w:r w:rsidRPr="007122AB">
        <w:rPr>
          <w:rFonts w:ascii="Times New Roman" w:hAnsi="Times New Roman"/>
          <w:color w:val="000000" w:themeColor="text1"/>
          <w:sz w:val="16"/>
          <w:szCs w:val="16"/>
        </w:rPr>
        <w:t>Гайслер</w:t>
      </w:r>
      <w:proofErr w:type="spellEnd"/>
      <w:r w:rsidRPr="007122AB">
        <w:rPr>
          <w:rFonts w:ascii="Times New Roman" w:hAnsi="Times New Roman"/>
          <w:color w:val="000000" w:themeColor="text1"/>
          <w:sz w:val="16"/>
          <w:szCs w:val="16"/>
        </w:rPr>
        <w:t>.</w:t>
      </w:r>
    </w:p>
    <w:p w14:paraId="47E73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Заведующий производством (1930-е)- А. Г. Громов.</w:t>
      </w:r>
    </w:p>
    <w:p w14:paraId="0BA90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Научный руководитель (1936 г.-)- А.Л. Минц.</w:t>
      </w:r>
    </w:p>
    <w:p w14:paraId="6F118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Заведующий мастерскими- А. Г. Громов. Начальники цехов: выпускного (-1947 г.)- А.К. Володин; (-1948 г.)- Я.П. Беликов, (-1953 г.)- В.В. </w:t>
      </w:r>
      <w:proofErr w:type="spellStart"/>
      <w:r w:rsidRPr="007122AB">
        <w:rPr>
          <w:rFonts w:ascii="Times New Roman" w:hAnsi="Times New Roman"/>
          <w:color w:val="000000" w:themeColor="text1"/>
          <w:sz w:val="16"/>
          <w:szCs w:val="16"/>
        </w:rPr>
        <w:t>Райзберг</w:t>
      </w:r>
      <w:proofErr w:type="spellEnd"/>
      <w:r w:rsidRPr="007122AB">
        <w:rPr>
          <w:rFonts w:ascii="Times New Roman" w:hAnsi="Times New Roman"/>
          <w:color w:val="000000" w:themeColor="text1"/>
          <w:sz w:val="16"/>
          <w:szCs w:val="16"/>
        </w:rPr>
        <w:t xml:space="preserve">, (1930-е)- А.А. </w:t>
      </w:r>
      <w:proofErr w:type="spellStart"/>
      <w:r w:rsidRPr="007122AB">
        <w:rPr>
          <w:rFonts w:ascii="Times New Roman" w:hAnsi="Times New Roman"/>
          <w:color w:val="000000" w:themeColor="text1"/>
          <w:sz w:val="16"/>
          <w:szCs w:val="16"/>
        </w:rPr>
        <w:t>Форштер</w:t>
      </w:r>
      <w:proofErr w:type="spellEnd"/>
      <w:r w:rsidRPr="007122AB">
        <w:rPr>
          <w:rFonts w:ascii="Times New Roman" w:hAnsi="Times New Roman"/>
          <w:color w:val="000000" w:themeColor="text1"/>
          <w:sz w:val="16"/>
          <w:szCs w:val="16"/>
        </w:rPr>
        <w:t>.</w:t>
      </w:r>
    </w:p>
    <w:p w14:paraId="0F857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цеха: (-1945 г.)- А.В. Загорянский.</w:t>
      </w:r>
    </w:p>
    <w:p w14:paraId="0F3B9D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радиовещательных передатчиков (1937 г.)- З.И. Модель; (1925-26 г.)- А.Ф. Шорин, (-1935 г.)- А.А. </w:t>
      </w:r>
      <w:proofErr w:type="spellStart"/>
      <w:r w:rsidRPr="007122AB">
        <w:rPr>
          <w:rFonts w:ascii="Times New Roman" w:hAnsi="Times New Roman"/>
          <w:color w:val="000000" w:themeColor="text1"/>
          <w:sz w:val="16"/>
          <w:szCs w:val="16"/>
        </w:rPr>
        <w:t>Форштер</w:t>
      </w:r>
      <w:proofErr w:type="spellEnd"/>
      <w:r w:rsidRPr="007122AB">
        <w:rPr>
          <w:rFonts w:ascii="Times New Roman" w:hAnsi="Times New Roman"/>
          <w:color w:val="000000" w:themeColor="text1"/>
          <w:sz w:val="16"/>
          <w:szCs w:val="16"/>
        </w:rPr>
        <w:t xml:space="preserve">, А.А. </w:t>
      </w:r>
      <w:proofErr w:type="spellStart"/>
      <w:r w:rsidRPr="007122AB">
        <w:rPr>
          <w:rFonts w:ascii="Times New Roman" w:hAnsi="Times New Roman"/>
          <w:color w:val="000000" w:themeColor="text1"/>
          <w:sz w:val="16"/>
          <w:szCs w:val="16"/>
        </w:rPr>
        <w:t>Пистолькорс</w:t>
      </w:r>
      <w:proofErr w:type="spellEnd"/>
      <w:r w:rsidRPr="007122AB">
        <w:rPr>
          <w:rFonts w:ascii="Times New Roman" w:hAnsi="Times New Roman"/>
          <w:color w:val="000000" w:themeColor="text1"/>
          <w:sz w:val="16"/>
          <w:szCs w:val="16"/>
        </w:rPr>
        <w:t>.</w:t>
      </w:r>
    </w:p>
    <w:p w14:paraId="7D097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Заведующие лабораторией: А.А. </w:t>
      </w:r>
      <w:proofErr w:type="spellStart"/>
      <w:r w:rsidRPr="007122AB">
        <w:rPr>
          <w:rFonts w:ascii="Times New Roman" w:hAnsi="Times New Roman"/>
          <w:color w:val="000000" w:themeColor="text1"/>
          <w:sz w:val="16"/>
          <w:szCs w:val="16"/>
        </w:rPr>
        <w:t>Пистолькорс</w:t>
      </w:r>
      <w:proofErr w:type="spellEnd"/>
      <w:r w:rsidRPr="007122AB">
        <w:rPr>
          <w:rFonts w:ascii="Times New Roman" w:hAnsi="Times New Roman"/>
          <w:color w:val="000000" w:themeColor="text1"/>
          <w:sz w:val="16"/>
          <w:szCs w:val="16"/>
        </w:rPr>
        <w:t xml:space="preserve">. Начальники лабораторий: кварцевой- П.П. </w:t>
      </w:r>
      <w:proofErr w:type="spellStart"/>
      <w:r w:rsidRPr="007122AB">
        <w:rPr>
          <w:rFonts w:ascii="Times New Roman" w:hAnsi="Times New Roman"/>
          <w:color w:val="000000" w:themeColor="text1"/>
          <w:sz w:val="16"/>
          <w:szCs w:val="16"/>
        </w:rPr>
        <w:t>Куровский</w:t>
      </w:r>
      <w:proofErr w:type="spellEnd"/>
      <w:r w:rsidRPr="007122AB">
        <w:rPr>
          <w:rFonts w:ascii="Times New Roman" w:hAnsi="Times New Roman"/>
          <w:color w:val="000000" w:themeColor="text1"/>
          <w:sz w:val="16"/>
          <w:szCs w:val="16"/>
        </w:rPr>
        <w:t xml:space="preserve">; ЦЗТЛ- В.Е. </w:t>
      </w:r>
      <w:proofErr w:type="spellStart"/>
      <w:r w:rsidRPr="007122AB">
        <w:rPr>
          <w:rFonts w:ascii="Times New Roman" w:hAnsi="Times New Roman"/>
          <w:color w:val="000000" w:themeColor="text1"/>
          <w:sz w:val="16"/>
          <w:szCs w:val="16"/>
        </w:rPr>
        <w:t>Гайслер</w:t>
      </w:r>
      <w:proofErr w:type="spellEnd"/>
      <w:r w:rsidRPr="007122AB">
        <w:rPr>
          <w:rFonts w:ascii="Times New Roman" w:hAnsi="Times New Roman"/>
          <w:color w:val="000000" w:themeColor="text1"/>
          <w:sz w:val="16"/>
          <w:szCs w:val="16"/>
        </w:rPr>
        <w:t xml:space="preserve">; отраслевой радиолаборатории измерительных устройств- П.П. </w:t>
      </w:r>
      <w:proofErr w:type="spellStart"/>
      <w:r w:rsidRPr="007122AB">
        <w:rPr>
          <w:rFonts w:ascii="Times New Roman" w:hAnsi="Times New Roman"/>
          <w:color w:val="000000" w:themeColor="text1"/>
          <w:sz w:val="16"/>
          <w:szCs w:val="16"/>
        </w:rPr>
        <w:t>Куровский</w:t>
      </w:r>
      <w:proofErr w:type="spellEnd"/>
      <w:r w:rsidRPr="007122AB">
        <w:rPr>
          <w:rFonts w:ascii="Times New Roman" w:hAnsi="Times New Roman"/>
          <w:color w:val="000000" w:themeColor="text1"/>
          <w:sz w:val="16"/>
          <w:szCs w:val="16"/>
        </w:rPr>
        <w:t xml:space="preserve">; (1946 г.-)- В.Е. </w:t>
      </w:r>
      <w:proofErr w:type="spellStart"/>
      <w:r w:rsidRPr="007122AB">
        <w:rPr>
          <w:rFonts w:ascii="Times New Roman" w:hAnsi="Times New Roman"/>
          <w:color w:val="000000" w:themeColor="text1"/>
          <w:sz w:val="16"/>
          <w:szCs w:val="16"/>
        </w:rPr>
        <w:t>Гайслер</w:t>
      </w:r>
      <w:proofErr w:type="spellEnd"/>
      <w:r w:rsidRPr="007122AB">
        <w:rPr>
          <w:rFonts w:ascii="Times New Roman" w:hAnsi="Times New Roman"/>
          <w:color w:val="000000" w:themeColor="text1"/>
          <w:sz w:val="16"/>
          <w:szCs w:val="16"/>
        </w:rPr>
        <w:t>, (</w:t>
      </w:r>
      <w:r w:rsidRPr="007122AB">
        <w:rPr>
          <w:rFonts w:ascii="Times New Roman" w:hAnsi="Times New Roman"/>
          <w:color w:val="000000" w:themeColor="text1"/>
          <w:sz w:val="16"/>
          <w:szCs w:val="16"/>
          <w:lang w:val="en-US"/>
        </w:rPr>
        <w:t>BOB</w:t>
      </w:r>
      <w:r w:rsidRPr="007122AB">
        <w:rPr>
          <w:rFonts w:ascii="Times New Roman" w:hAnsi="Times New Roman"/>
          <w:color w:val="000000" w:themeColor="text1"/>
          <w:sz w:val="16"/>
          <w:szCs w:val="16"/>
        </w:rPr>
        <w:t xml:space="preserve">)- А.В. Загорянский, (1950-е; 1981-92 г.)- В.В. </w:t>
      </w:r>
      <w:proofErr w:type="spellStart"/>
      <w:r w:rsidRPr="007122AB">
        <w:rPr>
          <w:rFonts w:ascii="Times New Roman" w:hAnsi="Times New Roman"/>
          <w:color w:val="000000" w:themeColor="text1"/>
          <w:sz w:val="16"/>
          <w:szCs w:val="16"/>
        </w:rPr>
        <w:t>Райзберг</w:t>
      </w:r>
      <w:proofErr w:type="spellEnd"/>
      <w:r w:rsidRPr="007122AB">
        <w:rPr>
          <w:rFonts w:ascii="Times New Roman" w:hAnsi="Times New Roman"/>
          <w:color w:val="000000" w:themeColor="text1"/>
          <w:sz w:val="16"/>
          <w:szCs w:val="16"/>
        </w:rPr>
        <w:t>, (-1941 г.)- И.Л. Эристов.</w:t>
      </w:r>
    </w:p>
    <w:p w14:paraId="6F6C25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бюро: проектно-монтажного (-1936 г.)- А.А. </w:t>
      </w:r>
      <w:proofErr w:type="spellStart"/>
      <w:r w:rsidRPr="007122AB">
        <w:rPr>
          <w:rFonts w:ascii="Times New Roman" w:hAnsi="Times New Roman"/>
          <w:color w:val="000000" w:themeColor="text1"/>
          <w:sz w:val="16"/>
          <w:szCs w:val="16"/>
        </w:rPr>
        <w:t>Пистолькорс</w:t>
      </w:r>
      <w:proofErr w:type="spellEnd"/>
      <w:r w:rsidRPr="007122AB">
        <w:rPr>
          <w:rFonts w:ascii="Times New Roman" w:hAnsi="Times New Roman"/>
          <w:color w:val="000000" w:themeColor="text1"/>
          <w:sz w:val="16"/>
          <w:szCs w:val="16"/>
        </w:rPr>
        <w:t>.</w:t>
      </w:r>
    </w:p>
    <w:p w14:paraId="22F398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Руководители групп: по проектированию радиостанции им. Косиора (1937 г.)- В.Д. </w:t>
      </w:r>
      <w:proofErr w:type="spellStart"/>
      <w:r w:rsidRPr="007122AB">
        <w:rPr>
          <w:rFonts w:ascii="Times New Roman" w:hAnsi="Times New Roman"/>
          <w:color w:val="000000" w:themeColor="text1"/>
          <w:sz w:val="16"/>
          <w:szCs w:val="16"/>
        </w:rPr>
        <w:t>Селивохин</w:t>
      </w:r>
      <w:proofErr w:type="spellEnd"/>
      <w:r w:rsidRPr="007122AB">
        <w:rPr>
          <w:rFonts w:ascii="Times New Roman" w:hAnsi="Times New Roman"/>
          <w:color w:val="000000" w:themeColor="text1"/>
          <w:sz w:val="16"/>
          <w:szCs w:val="16"/>
        </w:rPr>
        <w:t>.</w:t>
      </w:r>
    </w:p>
    <w:p w14:paraId="7630E4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строительства радиостанции им. Косиора (1937 г.)- В.Д. </w:t>
      </w:r>
      <w:proofErr w:type="spellStart"/>
      <w:r w:rsidRPr="007122AB">
        <w:rPr>
          <w:rFonts w:ascii="Times New Roman" w:hAnsi="Times New Roman"/>
          <w:color w:val="000000" w:themeColor="text1"/>
          <w:sz w:val="16"/>
          <w:szCs w:val="16"/>
        </w:rPr>
        <w:t>Селивохин</w:t>
      </w:r>
      <w:proofErr w:type="spellEnd"/>
      <w:r w:rsidRPr="007122AB">
        <w:rPr>
          <w:rFonts w:ascii="Times New Roman" w:hAnsi="Times New Roman"/>
          <w:color w:val="000000" w:themeColor="text1"/>
          <w:sz w:val="16"/>
          <w:szCs w:val="16"/>
        </w:rPr>
        <w:t>.</w:t>
      </w:r>
    </w:p>
    <w:p w14:paraId="4CAF0C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строительства по </w:t>
      </w:r>
      <w:proofErr w:type="spellStart"/>
      <w:r w:rsidRPr="007122AB">
        <w:rPr>
          <w:rFonts w:ascii="Times New Roman" w:hAnsi="Times New Roman"/>
          <w:color w:val="000000" w:themeColor="text1"/>
          <w:sz w:val="16"/>
          <w:szCs w:val="16"/>
        </w:rPr>
        <w:t>техчасти</w:t>
      </w:r>
      <w:proofErr w:type="spellEnd"/>
      <w:r w:rsidRPr="007122AB">
        <w:rPr>
          <w:rFonts w:ascii="Times New Roman" w:hAnsi="Times New Roman"/>
          <w:color w:val="000000" w:themeColor="text1"/>
          <w:sz w:val="16"/>
          <w:szCs w:val="16"/>
        </w:rPr>
        <w:t xml:space="preserve"> радиостанции им. Косиора (1937 г.)- В.А. Енютин.</w:t>
      </w:r>
    </w:p>
    <w:p w14:paraId="72894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радиолокатор наведения луча прожектора на самолеты РАП-150 (1948).</w:t>
      </w:r>
    </w:p>
    <w:p w14:paraId="17ED19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первый отечественный триод ЛЭ-1 (1922-);</w:t>
      </w:r>
      <w:r w:rsidRPr="007122AB">
        <w:rPr>
          <w:rFonts w:ascii="Times New Roman" w:hAnsi="Times New Roman"/>
          <w:color w:val="000000" w:themeColor="text1"/>
          <w:sz w:val="16"/>
          <w:szCs w:val="16"/>
          <w:vertAlign w:val="superscript"/>
        </w:rPr>
        <w:t>103</w:t>
      </w:r>
      <w:r w:rsidRPr="007122AB">
        <w:rPr>
          <w:rFonts w:ascii="Times New Roman" w:hAnsi="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7122AB">
        <w:rPr>
          <w:rFonts w:ascii="Times New Roman" w:hAnsi="Times New Roman"/>
          <w:color w:val="000000" w:themeColor="text1"/>
          <w:sz w:val="16"/>
          <w:szCs w:val="16"/>
          <w:vertAlign w:val="superscript"/>
        </w:rPr>
        <w:t xml:space="preserve">130 </w:t>
      </w:r>
      <w:r w:rsidRPr="007122AB">
        <w:rPr>
          <w:rFonts w:ascii="Times New Roman" w:hAnsi="Times New Roman"/>
          <w:color w:val="000000" w:themeColor="text1"/>
          <w:sz w:val="16"/>
          <w:szCs w:val="16"/>
        </w:rPr>
        <w:t>радиодальномер 1РЛ111Д; изделия 1Л23-6, 1Л24, 76Е6 системы опознавания «Пароль»; радиоприемник ФЭБ (11982).</w:t>
      </w:r>
    </w:p>
    <w:p w14:paraId="7E0B0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4B3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Сталин счел более выгодным заказы на оборудование для всех строящихся промышленных предприятий по возможности переместить из Америки в Европу. В 1932 г. контракт с фирмой Кана был разорван, точнее не продлен. Попытка Альберта Кана лично добиться продления контракта успеха в Москве не имела и его сотрудники покинули Москву.</w:t>
      </w:r>
    </w:p>
    <w:p w14:paraId="24C1F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Сталин писал Кагановичу 25 августа 1931 г.: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w:t>
      </w:r>
      <w:proofErr w:type="spellStart"/>
      <w:r w:rsidRPr="007122AB">
        <w:rPr>
          <w:rFonts w:ascii="Times New Roman" w:hAnsi="Times New Roman"/>
          <w:color w:val="000000" w:themeColor="text1"/>
          <w:sz w:val="16"/>
          <w:szCs w:val="16"/>
        </w:rPr>
        <w:t>Кузнецстроя</w:t>
      </w:r>
      <w:proofErr w:type="spellEnd"/>
      <w:r w:rsidRPr="007122AB">
        <w:rPr>
          <w:rFonts w:ascii="Times New Roman" w:hAnsi="Times New Roman"/>
          <w:color w:val="000000" w:themeColor="text1"/>
          <w:sz w:val="16"/>
          <w:szCs w:val="16"/>
        </w:rPr>
        <w:t xml:space="preserve">, ни для </w:t>
      </w:r>
      <w:proofErr w:type="spellStart"/>
      <w:r w:rsidRPr="007122AB">
        <w:rPr>
          <w:rFonts w:ascii="Times New Roman" w:hAnsi="Times New Roman"/>
          <w:color w:val="000000" w:themeColor="text1"/>
          <w:sz w:val="16"/>
          <w:szCs w:val="16"/>
        </w:rPr>
        <w:t>Харьковстроя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xml:space="preserve">, АМО и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Здесь перечислены практически только объекты Кана (за исключением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(11598).</w:t>
      </w:r>
    </w:p>
    <w:p w14:paraId="3FD20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D26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года в Халилово приехала комиссия ВСНХ СССР, которая детально изучила результаты разведывательных работ. По итогам ее работы было признано, что Халиловский железорудный район может стать крупной сырьевой базой для всего проекта Урало-Кузнецкого комбината. Но еще до этого, в июне 1931 года ВСНХ принимает решение о начале строительства на базе халиловских руд и карагандинских углей крупного металлургического комбината. Сроки при этом ставятся достаточно ограниченные – полный запуск комбината запланирован на 1936 год. </w:t>
      </w:r>
    </w:p>
    <w:p w14:paraId="5EE177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том, как в следующие 5 лет шло строительство, известно мало. Геологи продолжали проводить исследования, однако реального возведения промышленного объекта черной металлургии не происходило. Одной из причин стали проволочки с проектированием. Только в 1933 году «Гипромез» и «Гипроруда» разработали проектное задание на строительство Халиловского металлургического завода. Предлагалось построить рудник, сортировочную фабрику, доменный, мартеновский и прокатный цехи. </w:t>
      </w:r>
    </w:p>
    <w:p w14:paraId="0AAF5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всей видимости, в силу нехватки финансовых средств и рабочей силы, строительство было заморожено. На тот момент это не было случаем уникальным – точно также были заморожены проекты Бакальского (Челябинского) и Нижнетагильского меткомбинатов. Объективно страна не могла одновременно тянуть строительство полудюжины крупных металлургических производств (вместе с КМК, Магниткой, Азовсталью и т.п.) (11540).</w:t>
      </w:r>
    </w:p>
    <w:p w14:paraId="02D8C7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627B1C" w14:textId="77777777" w:rsidR="00C15EF0" w:rsidRPr="007122AB" w:rsidRDefault="00C15E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года в </w:t>
      </w:r>
      <w:proofErr w:type="spellStart"/>
      <w:r w:rsidRPr="007122AB">
        <w:rPr>
          <w:rFonts w:ascii="Times New Roman" w:hAnsi="Times New Roman"/>
          <w:color w:val="000000" w:themeColor="text1"/>
          <w:sz w:val="16"/>
          <w:szCs w:val="16"/>
        </w:rPr>
        <w:t>опытноконструкторском</w:t>
      </w:r>
      <w:proofErr w:type="spellEnd"/>
      <w:r w:rsidRPr="007122AB">
        <w:rPr>
          <w:rFonts w:ascii="Times New Roman" w:hAnsi="Times New Roman"/>
          <w:color w:val="000000" w:themeColor="text1"/>
          <w:sz w:val="16"/>
          <w:szCs w:val="16"/>
        </w:rPr>
        <w:t xml:space="preserve"> и испытательном бюро началась разработка бронедрезины Д-37 (18626).</w:t>
      </w:r>
    </w:p>
    <w:p w14:paraId="4A19CC79" w14:textId="77777777" w:rsidR="00C15EF0" w:rsidRPr="007122AB" w:rsidRDefault="00C15EF0" w:rsidP="007122AB">
      <w:pPr>
        <w:spacing w:after="0" w:line="240" w:lineRule="auto"/>
        <w:jc w:val="both"/>
        <w:rPr>
          <w:rFonts w:ascii="Times New Roman" w:hAnsi="Times New Roman"/>
          <w:color w:val="000000" w:themeColor="text1"/>
          <w:sz w:val="16"/>
          <w:szCs w:val="16"/>
        </w:rPr>
      </w:pPr>
    </w:p>
    <w:p w14:paraId="5AC60CA1" w14:textId="77777777" w:rsidR="00C15EF0" w:rsidRPr="007122AB" w:rsidRDefault="00C15E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происходит разукрупнение ВЭО, в ре</w:t>
      </w:r>
      <w:r w:rsidRPr="007122AB">
        <w:rPr>
          <w:rFonts w:ascii="Times New Roman" w:hAnsi="Times New Roman"/>
          <w:color w:val="000000" w:themeColor="text1"/>
          <w:sz w:val="16"/>
          <w:szCs w:val="16"/>
        </w:rPr>
        <w:softHyphen/>
        <w:t>зультате чего создается Всесоюзное электрослаботочное объединение (ВЭСО). В его состав вошли 9 заводов и 3 центральные лаборатории, из которых 6 заводов и 2 лаборатории находились в Ленинграде. Правление ВЭСО располагалось в Ле</w:t>
      </w:r>
      <w:r w:rsidRPr="007122AB">
        <w:rPr>
          <w:rFonts w:ascii="Times New Roman" w:hAnsi="Times New Roman"/>
          <w:color w:val="000000" w:themeColor="text1"/>
          <w:sz w:val="16"/>
          <w:szCs w:val="16"/>
        </w:rPr>
        <w:softHyphen/>
        <w:t>нинграде на ул. Гоголя, 14.</w:t>
      </w:r>
    </w:p>
    <w:p w14:paraId="7ADF720C" w14:textId="77777777" w:rsidR="00C15EF0" w:rsidRPr="007122AB" w:rsidRDefault="00C15E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ВЭСО просуществовало два года, сделав за этот непродолжительный пе</w:t>
      </w:r>
      <w:r w:rsidRPr="007122AB">
        <w:rPr>
          <w:rFonts w:ascii="Times New Roman" w:hAnsi="Times New Roman"/>
          <w:color w:val="000000" w:themeColor="text1"/>
          <w:sz w:val="16"/>
          <w:szCs w:val="16"/>
        </w:rPr>
        <w:softHyphen/>
        <w:t>риод очень многое для развития техники связи. 1 сентября 1933 г. его функции по управлению слаботочной промышленностью были переданы вновь созданно</w:t>
      </w:r>
      <w:r w:rsidRPr="007122AB">
        <w:rPr>
          <w:rFonts w:ascii="Times New Roman" w:hAnsi="Times New Roman"/>
          <w:color w:val="000000" w:themeColor="text1"/>
          <w:sz w:val="16"/>
          <w:szCs w:val="16"/>
        </w:rPr>
        <w:softHyphen/>
        <w:t>му Главному управлению электрослаботочной промышленности (</w:t>
      </w:r>
      <w:proofErr w:type="spellStart"/>
      <w:r w:rsidRPr="007122AB">
        <w:rPr>
          <w:rFonts w:ascii="Times New Roman" w:hAnsi="Times New Roman"/>
          <w:color w:val="000000" w:themeColor="text1"/>
          <w:sz w:val="16"/>
          <w:szCs w:val="16"/>
        </w:rPr>
        <w:t>Главэспрому</w:t>
      </w:r>
      <w:proofErr w:type="spellEnd"/>
      <w:r w:rsidRPr="007122AB">
        <w:rPr>
          <w:rFonts w:ascii="Times New Roman" w:hAnsi="Times New Roman"/>
          <w:color w:val="000000" w:themeColor="text1"/>
          <w:sz w:val="16"/>
          <w:szCs w:val="16"/>
        </w:rPr>
        <w:t>), действовавшему в составе Народного комиссариата тяжелой промышленности (НКТП) (19098).</w:t>
      </w:r>
    </w:p>
    <w:p w14:paraId="69273656" w14:textId="77777777" w:rsidR="00C15EF0" w:rsidRPr="007122AB" w:rsidRDefault="00C15EF0" w:rsidP="007122AB">
      <w:pPr>
        <w:spacing w:after="0" w:line="240" w:lineRule="auto"/>
        <w:jc w:val="both"/>
        <w:rPr>
          <w:rFonts w:ascii="Times New Roman" w:hAnsi="Times New Roman"/>
          <w:color w:val="000000" w:themeColor="text1"/>
          <w:sz w:val="16"/>
          <w:szCs w:val="16"/>
        </w:rPr>
      </w:pPr>
    </w:p>
    <w:p w14:paraId="205C6460" w14:textId="77777777" w:rsidR="00C15EF0" w:rsidRPr="007122AB" w:rsidRDefault="00C15E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г., в ходе очередного этапа реформы системы управления промышленностью, происходит разукрупнение ВЭО, и создается Всесоюзное электрослаботочное объединение (ВЭСО). В его состав вошли девять электрослаботочных заводов и три центральные лаборатории, из которых шесть заводов и две лаборатории находились в Ленинграде. Правление ВЭСО во главе с В.И. Романовским разместилось в Ленинграде на ул. Гоголя, 14. В начале 1932 г., после упразднения ВСНХ, объединение вошло в состав Наркомата тяжелой промышленности (НКТП). Именно ВЭСО довелось решать сложнейшие задачи организации массового производства средств связи в условиях не виданного до тех пор форсирования военных заказов в 1931 г. и «большого скачка» 1932 г. (18297)</w:t>
      </w:r>
    </w:p>
    <w:p w14:paraId="13837644" w14:textId="77777777" w:rsidR="00C15EF0" w:rsidRPr="007122AB" w:rsidRDefault="00C15EF0" w:rsidP="007122AB">
      <w:pPr>
        <w:spacing w:after="0" w:line="240" w:lineRule="auto"/>
        <w:jc w:val="both"/>
        <w:rPr>
          <w:rFonts w:ascii="Times New Roman" w:hAnsi="Times New Roman"/>
          <w:color w:val="000000" w:themeColor="text1"/>
          <w:sz w:val="16"/>
          <w:szCs w:val="16"/>
        </w:rPr>
      </w:pPr>
    </w:p>
    <w:p w14:paraId="355CD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года "бывшая подданная Великобритании" L-55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 Следует заметить, что подъем лодки L-55 привел к максимальному развертыванию работ подводной экспедиции. Говорили, что сам Сталин заинтересовался работой </w:t>
      </w:r>
      <w:proofErr w:type="spellStart"/>
      <w:r w:rsidRPr="007122AB">
        <w:rPr>
          <w:rFonts w:ascii="Times New Roman" w:hAnsi="Times New Roman"/>
          <w:color w:val="000000" w:themeColor="text1"/>
          <w:sz w:val="16"/>
          <w:szCs w:val="16"/>
        </w:rPr>
        <w:t>ЭПРОНа</w:t>
      </w:r>
      <w:proofErr w:type="spellEnd"/>
      <w:r w:rsidRPr="007122AB">
        <w:rPr>
          <w:rFonts w:ascii="Times New Roman" w:hAnsi="Times New Roman"/>
          <w:color w:val="000000" w:themeColor="text1"/>
          <w:sz w:val="16"/>
          <w:szCs w:val="16"/>
        </w:rPr>
        <w:t xml:space="preserve"> и возможностью поднять затопленный в 1918 году под Новороссийском линкор "Свободная Россия" - для усиления Черноморского флота. В сентябре 28-го </w:t>
      </w:r>
      <w:proofErr w:type="spellStart"/>
      <w:r w:rsidRPr="007122AB">
        <w:rPr>
          <w:rFonts w:ascii="Times New Roman" w:hAnsi="Times New Roman"/>
          <w:color w:val="000000" w:themeColor="text1"/>
          <w:sz w:val="16"/>
          <w:szCs w:val="16"/>
        </w:rPr>
        <w:t>эпроновскую</w:t>
      </w:r>
      <w:proofErr w:type="spellEnd"/>
      <w:r w:rsidRPr="007122AB">
        <w:rPr>
          <w:rFonts w:ascii="Times New Roman" w:hAnsi="Times New Roman"/>
          <w:color w:val="000000" w:themeColor="text1"/>
          <w:sz w:val="16"/>
          <w:szCs w:val="16"/>
        </w:rPr>
        <w:t xml:space="preserve">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466944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686F9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48E1BD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CF1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десантники впервые участвовали в крупных маневрах Красной армии на Украине. Из специальной техники применяли </w:t>
      </w:r>
      <w:proofErr w:type="spellStart"/>
      <w:r w:rsidRPr="007122AB">
        <w:rPr>
          <w:rFonts w:ascii="Times New Roman" w:hAnsi="Times New Roman"/>
          <w:color w:val="000000" w:themeColor="text1"/>
          <w:sz w:val="16"/>
          <w:szCs w:val="16"/>
        </w:rPr>
        <w:t>подфюзеляжные</w:t>
      </w:r>
      <w:proofErr w:type="spellEnd"/>
      <w:r w:rsidRPr="007122AB">
        <w:rPr>
          <w:rFonts w:ascii="Times New Roman" w:hAnsi="Times New Roman"/>
          <w:color w:val="000000" w:themeColor="text1"/>
          <w:sz w:val="16"/>
          <w:szCs w:val="16"/>
        </w:rPr>
        <w:t xml:space="preserve"> кабины, грузовые мешки и контейнеры. 15 августа группа парашютистов захватила аэродром условного противника, на который села эскадрилья ТБ-1 (12036).</w:t>
      </w:r>
    </w:p>
    <w:p w14:paraId="44B6E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48F36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4AFBAC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9D02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с Р-5 познакомили немцев, считавшихся тогда потенциальными союзниками. В летной школе в Липецке, где готовили кадры для военной авиации Германии, прошли совместные учения. С нашей стороны в них участвовало звено Р-5, с немецкой - отряд истребителей Фоккер D.XI 11. </w:t>
      </w:r>
      <w:proofErr w:type="spellStart"/>
      <w:r w:rsidRPr="007122AB">
        <w:rPr>
          <w:rFonts w:ascii="Times New Roman" w:hAnsi="Times New Roman"/>
          <w:color w:val="000000" w:themeColor="text1"/>
          <w:sz w:val="16"/>
          <w:szCs w:val="16"/>
        </w:rPr>
        <w:t>Огряд</w:t>
      </w:r>
      <w:proofErr w:type="spellEnd"/>
      <w:r w:rsidRPr="007122AB">
        <w:rPr>
          <w:rFonts w:ascii="Times New Roman" w:hAnsi="Times New Roman"/>
          <w:color w:val="000000" w:themeColor="text1"/>
          <w:sz w:val="16"/>
          <w:szCs w:val="16"/>
        </w:rPr>
        <w:t xml:space="preserve"> был разбит на три звена с пилотами разной степени подготовленности. Наши разведчики совершали налет на условную цель, немцы одним звеном атаковали их. "Фоккеры" были оснащены </w:t>
      </w:r>
      <w:proofErr w:type="spellStart"/>
      <w:r w:rsidRPr="007122AB">
        <w:rPr>
          <w:rFonts w:ascii="Times New Roman" w:hAnsi="Times New Roman"/>
          <w:color w:val="000000" w:themeColor="text1"/>
          <w:sz w:val="16"/>
          <w:szCs w:val="16"/>
        </w:rPr>
        <w:t>фотокинопулеметами</w:t>
      </w:r>
      <w:proofErr w:type="spellEnd"/>
      <w:r w:rsidRPr="007122AB">
        <w:rPr>
          <w:rFonts w:ascii="Times New Roman" w:hAnsi="Times New Roman"/>
          <w:color w:val="000000" w:themeColor="text1"/>
          <w:sz w:val="16"/>
          <w:szCs w:val="16"/>
        </w:rPr>
        <w:t>, что позволяло контролировать результаты боя. Для пущей объективности на одном из Р-5 в заднюю кабину посадили стрелка-немца.</w:t>
      </w:r>
    </w:p>
    <w:p w14:paraId="76727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атаке разведчики смыкались, поддерживая друг друга огнем, и быстро уходили вперед. Поскольку "фоккер" уступал в скорости Р-5, успешно нападать удавалось только при наличия преимущества в высоте, сверху-сзади, разгоняясь в крутом пикировании.</w:t>
      </w:r>
    </w:p>
    <w:p w14:paraId="204FC4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Через два месяца Р-5 среди других самолетов также показали немецкой военной делегации на Центральном аэродроме в Москве (12034).</w:t>
      </w:r>
    </w:p>
    <w:p w14:paraId="2F3A50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353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1931 началась разработка проекта договора о ненападении между СССР и Францией (1348,242).</w:t>
      </w:r>
    </w:p>
    <w:p w14:paraId="734D2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B97E8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438486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B63DC4" w14:textId="77777777" w:rsidR="00C52535" w:rsidRPr="007122AB" w:rsidRDefault="00C5253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состоялся первый полет Бернар 81 GR Антуан </w:t>
      </w:r>
      <w:proofErr w:type="spellStart"/>
      <w:r w:rsidRPr="007122AB">
        <w:rPr>
          <w:rFonts w:ascii="Times New Roman" w:hAnsi="Times New Roman"/>
          <w:color w:val="000000" w:themeColor="text1"/>
          <w:sz w:val="16"/>
          <w:szCs w:val="16"/>
        </w:rPr>
        <w:t>Пайяр</w:t>
      </w:r>
      <w:proofErr w:type="spellEnd"/>
      <w:r w:rsidRPr="007122AB">
        <w:rPr>
          <w:rFonts w:ascii="Times New Roman" w:hAnsi="Times New Roman"/>
          <w:color w:val="000000" w:themeColor="text1"/>
          <w:sz w:val="16"/>
          <w:szCs w:val="16"/>
        </w:rPr>
        <w:t xml:space="preserve"> (20804). </w:t>
      </w:r>
    </w:p>
    <w:p w14:paraId="266C6E2F" w14:textId="77777777" w:rsidR="00C52535" w:rsidRPr="007122AB" w:rsidRDefault="00C52535" w:rsidP="007122AB">
      <w:pPr>
        <w:spacing w:after="0" w:line="240" w:lineRule="auto"/>
        <w:jc w:val="both"/>
        <w:rPr>
          <w:rFonts w:ascii="Times New Roman" w:hAnsi="Times New Roman"/>
          <w:color w:val="000000" w:themeColor="text1"/>
          <w:sz w:val="16"/>
          <w:szCs w:val="16"/>
        </w:rPr>
      </w:pPr>
    </w:p>
    <w:p w14:paraId="28CBBCCB" w14:textId="77777777" w:rsidR="00C52535" w:rsidRPr="007122AB" w:rsidRDefault="00C5253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 ракета </w:t>
      </w:r>
      <w:proofErr w:type="spellStart"/>
      <w:r w:rsidRPr="007122AB">
        <w:rPr>
          <w:rFonts w:ascii="Times New Roman" w:hAnsi="Times New Roman"/>
          <w:color w:val="000000" w:themeColor="text1"/>
          <w:sz w:val="16"/>
          <w:szCs w:val="16"/>
        </w:rPr>
        <w:t>Небеля</w:t>
      </w:r>
      <w:proofErr w:type="spellEnd"/>
      <w:r w:rsidRPr="007122AB">
        <w:rPr>
          <w:rFonts w:ascii="Times New Roman" w:hAnsi="Times New Roman"/>
          <w:color w:val="000000" w:themeColor="text1"/>
          <w:sz w:val="16"/>
          <w:szCs w:val="16"/>
        </w:rPr>
        <w:t xml:space="preserve"> «Репульсор-4» на жидком кислороде, спирте и бензине во время испытаний поднялась на высоту 1600 м. Не смотря на неплохие результаты, попытка </w:t>
      </w:r>
      <w:proofErr w:type="spellStart"/>
      <w:r w:rsidRPr="007122AB">
        <w:rPr>
          <w:rFonts w:ascii="Times New Roman" w:hAnsi="Times New Roman"/>
          <w:color w:val="000000" w:themeColor="text1"/>
          <w:sz w:val="16"/>
          <w:szCs w:val="16"/>
        </w:rPr>
        <w:t>Небеля</w:t>
      </w:r>
      <w:proofErr w:type="spellEnd"/>
      <w:r w:rsidRPr="007122AB">
        <w:rPr>
          <w:rFonts w:ascii="Times New Roman" w:hAnsi="Times New Roman"/>
          <w:color w:val="000000" w:themeColor="text1"/>
          <w:sz w:val="16"/>
          <w:szCs w:val="16"/>
        </w:rPr>
        <w:t xml:space="preserve"> в 1933 г. получить государственный заказ на свои ракеты потерпела неудачу. Вместо него Военно-техническое управление вермахта пригласило Вернера фон Брауна, который в это же время в </w:t>
      </w:r>
      <w:proofErr w:type="spellStart"/>
      <w:r w:rsidRPr="007122AB">
        <w:rPr>
          <w:rFonts w:ascii="Times New Roman" w:hAnsi="Times New Roman"/>
          <w:color w:val="000000" w:themeColor="text1"/>
          <w:sz w:val="16"/>
          <w:szCs w:val="16"/>
        </w:rPr>
        <w:t>Куммерсдорфе</w:t>
      </w:r>
      <w:proofErr w:type="spellEnd"/>
      <w:r w:rsidRPr="007122AB">
        <w:rPr>
          <w:rFonts w:ascii="Times New Roman" w:hAnsi="Times New Roman"/>
          <w:color w:val="000000" w:themeColor="text1"/>
          <w:sz w:val="16"/>
          <w:szCs w:val="16"/>
        </w:rPr>
        <w:t xml:space="preserve"> (близ Берлина) начал работу над проектом с условным индексом А-1 (22685).</w:t>
      </w:r>
    </w:p>
    <w:p w14:paraId="2B1688AC" w14:textId="77777777" w:rsidR="00C52535" w:rsidRPr="007122AB" w:rsidRDefault="00C52535" w:rsidP="007122AB">
      <w:pPr>
        <w:spacing w:after="0" w:line="240" w:lineRule="auto"/>
        <w:jc w:val="both"/>
        <w:rPr>
          <w:rFonts w:ascii="Times New Roman" w:hAnsi="Times New Roman"/>
          <w:color w:val="000000" w:themeColor="text1"/>
          <w:sz w:val="16"/>
          <w:szCs w:val="16"/>
        </w:rPr>
      </w:pPr>
    </w:p>
    <w:p w14:paraId="2E3F64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августе 1931 года в Германии был испытан </w:t>
      </w:r>
      <w:proofErr w:type="spellStart"/>
      <w:r w:rsidRPr="007122AB">
        <w:rPr>
          <w:rFonts w:ascii="Times New Roman" w:hAnsi="Times New Roman"/>
          <w:color w:val="000000" w:themeColor="text1"/>
          <w:sz w:val="16"/>
          <w:szCs w:val="16"/>
        </w:rPr>
        <w:t>одноручечный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Repulsor</w:t>
      </w:r>
      <w:proofErr w:type="spellEnd"/>
      <w:r w:rsidRPr="007122AB">
        <w:rPr>
          <w:rFonts w:ascii="Times New Roman" w:hAnsi="Times New Roman"/>
          <w:color w:val="000000" w:themeColor="text1"/>
          <w:sz w:val="16"/>
          <w:szCs w:val="16"/>
        </w:rPr>
        <w:t xml:space="preserve">», достиг высоты около 2 км и благополучно опустился на землю с помощью парашюта. После этого было построено еще несколько таких ракет, две из которых имели большие размеры при том же двигателе. «Repulsor-4» более удачной моделью. Фактически эта ракета ничем не отличалась от предыдущей, но была собран по несколько другой схеме: здесь была сознательно применена такая же направляющая ручка, что и у последних ракет англичанина </w:t>
      </w:r>
      <w:proofErr w:type="spellStart"/>
      <w:r w:rsidRPr="007122AB">
        <w:rPr>
          <w:rFonts w:ascii="Times New Roman" w:hAnsi="Times New Roman"/>
          <w:color w:val="000000" w:themeColor="text1"/>
          <w:sz w:val="16"/>
          <w:szCs w:val="16"/>
        </w:rPr>
        <w:t>Конгрева</w:t>
      </w:r>
      <w:proofErr w:type="spellEnd"/>
      <w:r w:rsidRPr="007122AB">
        <w:rPr>
          <w:rFonts w:ascii="Times New Roman" w:hAnsi="Times New Roman"/>
          <w:color w:val="000000" w:themeColor="text1"/>
          <w:sz w:val="16"/>
          <w:szCs w:val="16"/>
        </w:rPr>
        <w:t>. Она устанавливалась вдоль оси ракетного двигателя. Двигатель, заключенный в небольшой кожух водяного охлаждения, помещался в верхней части ракеты. Две стойки и два топливных трубопровода служили станком, на котором устанавливалась ракета. На опорах крепился бак с кислородом. Бензиновый бак помещался ниже бака с кислородом, а парашютный контейнер с лопастями стабилизаторов – ниже бака с бензином. Эта модель получила название «</w:t>
      </w:r>
      <w:proofErr w:type="spellStart"/>
      <w:r w:rsidRPr="007122AB">
        <w:rPr>
          <w:rFonts w:ascii="Times New Roman" w:hAnsi="Times New Roman"/>
          <w:color w:val="000000" w:themeColor="text1"/>
          <w:sz w:val="16"/>
          <w:szCs w:val="16"/>
        </w:rPr>
        <w:t>одноручечный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репульсор</w:t>
      </w:r>
      <w:proofErr w:type="spellEnd"/>
      <w:r w:rsidRPr="007122AB">
        <w:rPr>
          <w:rFonts w:ascii="Times New Roman" w:hAnsi="Times New Roman"/>
          <w:color w:val="000000" w:themeColor="text1"/>
          <w:sz w:val="16"/>
          <w:szCs w:val="16"/>
        </w:rPr>
        <w:t>», а последующие типы именовались «</w:t>
      </w:r>
      <w:proofErr w:type="spellStart"/>
      <w:r w:rsidRPr="007122AB">
        <w:rPr>
          <w:rFonts w:ascii="Times New Roman" w:hAnsi="Times New Roman"/>
          <w:color w:val="000000" w:themeColor="text1"/>
          <w:sz w:val="16"/>
          <w:szCs w:val="16"/>
        </w:rPr>
        <w:t>двухручечными</w:t>
      </w:r>
      <w:proofErr w:type="spellEnd"/>
      <w:r w:rsidRPr="007122AB">
        <w:rPr>
          <w:rFonts w:ascii="Times New Roman" w:hAnsi="Times New Roman"/>
          <w:color w:val="000000" w:themeColor="text1"/>
          <w:sz w:val="16"/>
          <w:szCs w:val="16"/>
        </w:rPr>
        <w:t>».</w:t>
      </w:r>
    </w:p>
    <w:p w14:paraId="5109DE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Одноручечные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репульсоры</w:t>
      </w:r>
      <w:proofErr w:type="spellEnd"/>
      <w:r w:rsidRPr="007122AB">
        <w:rPr>
          <w:rFonts w:ascii="Times New Roman" w:hAnsi="Times New Roman"/>
          <w:color w:val="000000" w:themeColor="text1"/>
          <w:sz w:val="16"/>
          <w:szCs w:val="16"/>
        </w:rPr>
        <w:t>», в целях безопасности не полностью заправленные топливом, поднимались на высоту до 1,6 км. Одна из этих ракет, случайно взлетев под углом, покрыла расстояние свыше 4,8 км (11688).</w:t>
      </w:r>
    </w:p>
    <w:p w14:paraId="02A66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5F9EC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35AD10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119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 сентябре 1931 г.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(12001).</w:t>
      </w:r>
    </w:p>
    <w:p w14:paraId="3483E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89E2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1BC5C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2048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(12036).</w:t>
      </w:r>
    </w:p>
    <w:p w14:paraId="2A9BB3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1C0EE0"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августе-сентябре 1931 г. новые самолёты ТБ-1 приняли участие в манёв</w:t>
      </w:r>
      <w:r w:rsidRPr="00441F34">
        <w:rPr>
          <w:rFonts w:ascii="Times New Roman" w:hAnsi="Times New Roman"/>
          <w:color w:val="0070C0"/>
          <w:sz w:val="16"/>
          <w:szCs w:val="16"/>
        </w:rPr>
        <w:softHyphen/>
        <w:t>рах Красной армии на Украине. При этом они применялись в каче</w:t>
      </w:r>
      <w:r w:rsidRPr="00441F34">
        <w:rPr>
          <w:rFonts w:ascii="Times New Roman" w:hAnsi="Times New Roman"/>
          <w:color w:val="0070C0"/>
          <w:sz w:val="16"/>
          <w:szCs w:val="16"/>
        </w:rPr>
        <w:softHyphen/>
        <w:t>стве дневных и ночных бомбарди</w:t>
      </w:r>
      <w:r w:rsidRPr="00441F34">
        <w:rPr>
          <w:rFonts w:ascii="Times New Roman" w:hAnsi="Times New Roman"/>
          <w:color w:val="0070C0"/>
          <w:sz w:val="16"/>
          <w:szCs w:val="16"/>
        </w:rPr>
        <w:softHyphen/>
        <w:t>ровщиков, дальних разведчиков и военно-транспортных самолётов. 15 августа десант парашютистов «захватил» аэродром «противника», на который перебазировалась одна из эскадрилий ТБ-1.10 и 14 сентяб</w:t>
      </w:r>
      <w:r w:rsidRPr="00441F34">
        <w:rPr>
          <w:rFonts w:ascii="Times New Roman" w:hAnsi="Times New Roman"/>
          <w:color w:val="0070C0"/>
          <w:sz w:val="16"/>
          <w:szCs w:val="16"/>
        </w:rPr>
        <w:softHyphen/>
        <w:t>ря последние сами использовались для перевозки десантников. После захвата площадок выброшенными с трёхмоторных АНТ-9 парашютис</w:t>
      </w:r>
      <w:r w:rsidRPr="00441F34">
        <w:rPr>
          <w:rFonts w:ascii="Times New Roman" w:hAnsi="Times New Roman"/>
          <w:color w:val="0070C0"/>
          <w:sz w:val="16"/>
          <w:szCs w:val="16"/>
        </w:rPr>
        <w:softHyphen/>
        <w:t>тами тяжёлые бомбардировщики начали приземляться там с пехотой на борту (23469).</w:t>
      </w:r>
    </w:p>
    <w:p w14:paraId="4D90F68E" w14:textId="77777777" w:rsidR="005504A8" w:rsidRPr="00441F34" w:rsidRDefault="005504A8" w:rsidP="005504A8">
      <w:pPr>
        <w:spacing w:after="0" w:line="240" w:lineRule="auto"/>
        <w:jc w:val="both"/>
        <w:rPr>
          <w:rFonts w:ascii="Times New Roman" w:hAnsi="Times New Roman"/>
          <w:color w:val="0070C0"/>
          <w:sz w:val="16"/>
          <w:szCs w:val="16"/>
        </w:rPr>
      </w:pPr>
    </w:p>
    <w:p w14:paraId="324E70CE" w14:textId="2E2E7526"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64A6FC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AF9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лета 1931 И.В.С. якобы встретился с А.Г. в районе Поти на яхте А.Г. (3797).</w:t>
      </w:r>
    </w:p>
    <w:p w14:paraId="258A23F0" w14:textId="77777777" w:rsidR="005504A8" w:rsidRPr="00441F34" w:rsidRDefault="005504A8" w:rsidP="005504A8">
      <w:pPr>
        <w:spacing w:after="0" w:line="240" w:lineRule="auto"/>
        <w:jc w:val="both"/>
        <w:rPr>
          <w:rFonts w:ascii="Times New Roman" w:hAnsi="Times New Roman"/>
          <w:color w:val="0070C0"/>
          <w:sz w:val="16"/>
          <w:szCs w:val="16"/>
        </w:rPr>
      </w:pPr>
    </w:p>
    <w:p w14:paraId="3F9166FC" w14:textId="1FAAC9E6" w:rsidR="005504A8" w:rsidRDefault="005504A8" w:rsidP="005504A8">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 xml:space="preserve">За </w:t>
      </w:r>
      <w:proofErr w:type="spellStart"/>
      <w:r>
        <w:rPr>
          <w:rFonts w:ascii="Times New Roman" w:hAnsi="Times New Roman"/>
          <w:i/>
          <w:iCs/>
          <w:color w:val="000000" w:themeColor="text1"/>
          <w:sz w:val="16"/>
          <w:szCs w:val="16"/>
        </w:rPr>
        <w:t>рубежлм</w:t>
      </w:r>
      <w:proofErr w:type="spellEnd"/>
      <w:r>
        <w:rPr>
          <w:rFonts w:ascii="Times New Roman" w:hAnsi="Times New Roman"/>
          <w:i/>
          <w:iCs/>
          <w:color w:val="000000" w:themeColor="text1"/>
          <w:sz w:val="16"/>
          <w:szCs w:val="16"/>
        </w:rPr>
        <w:t>:</w:t>
      </w:r>
    </w:p>
    <w:p w14:paraId="48289F3F" w14:textId="77777777" w:rsidR="005504A8" w:rsidRDefault="005504A8" w:rsidP="005504A8">
      <w:pPr>
        <w:autoSpaceDE w:val="0"/>
        <w:autoSpaceDN w:val="0"/>
        <w:adjustRightInd w:val="0"/>
        <w:spacing w:after="0" w:line="240" w:lineRule="auto"/>
        <w:jc w:val="both"/>
        <w:rPr>
          <w:rFonts w:ascii="Times New Roman" w:hAnsi="Times New Roman"/>
          <w:i/>
          <w:iCs/>
          <w:color w:val="000000" w:themeColor="text1"/>
          <w:sz w:val="16"/>
          <w:szCs w:val="16"/>
        </w:rPr>
      </w:pPr>
    </w:p>
    <w:p w14:paraId="59721B96"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В конце лета 1931 г. прототип Ju-52 принимал участие в перелете </w:t>
      </w:r>
      <w:proofErr w:type="spellStart"/>
      <w:r w:rsidRPr="00441F34">
        <w:rPr>
          <w:rFonts w:ascii="Times New Roman" w:hAnsi="Times New Roman"/>
          <w:color w:val="0070C0"/>
          <w:sz w:val="16"/>
          <w:szCs w:val="16"/>
        </w:rPr>
        <w:t>Balkan</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Vorfurflug</w:t>
      </w:r>
      <w:proofErr w:type="spellEnd"/>
      <w:r w:rsidRPr="00441F34">
        <w:rPr>
          <w:rFonts w:ascii="Times New Roman" w:hAnsi="Times New Roman"/>
          <w:color w:val="0070C0"/>
          <w:sz w:val="16"/>
          <w:szCs w:val="16"/>
        </w:rPr>
        <w:t xml:space="preserve"> (демонстрационный перелет по Балканам). Перед перелетом машины несколько модернизировали, к примеру, два первых круглых иллюминатора заменили прямоугольными окнами. Капот двигателя был окрашен черной цвет, а на борту фюзеляжа ниже кабины черной краской сделана надпись «JUNKERS». Сам самолет не окрашивался и имел цвет натурального дюралюминия. Маршрут протяженностью 6000 км пролегал по Венгрии, Румынии, Болгарии, Югославии, Австрии и Чехословакии. Местные средства массовой информации хвалили чудо немецкой техники, но из-за поразившего Европу экономического спада заказов на Ju-52 не последовало, не смотря на весь этот PR (24200).</w:t>
      </w:r>
    </w:p>
    <w:p w14:paraId="6AA15FF1" w14:textId="77777777" w:rsidR="005504A8" w:rsidRDefault="005504A8"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3351323E" w14:textId="76104E86"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D014AF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A6B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осени 1931 г. изготовление первого образца МБР-2 подходило к концу, и тут Бериев узнал, что двигатель М-27 не будет строиться серийно. Судьба его детища мгновенно повисла на волоске, поскольку директор завода №39 дал распоряжение о немедленном прекращении работ по "машине № 25".</w:t>
      </w:r>
    </w:p>
    <w:p w14:paraId="28B81F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Разработка рабочих чертежей "машины №25" (в обиходе "четвертак") и передача их на завод прошли довольно быстро. Проблемы начались, как только чертежи опытного гидросамолёта спустили в производство. Цеха завода № 39 были плотно загружены плановыми заказами, поэтому детали для "машины №25", которая фактически находилась на положении инициативной разработки, изготавливались в последнюю очередь.</w:t>
      </w:r>
    </w:p>
    <w:p w14:paraId="3AA95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Чтобы как-то выйти из этого положения и не дать своему самолёту превратиться</w:t>
      </w:r>
    </w:p>
    <w:p w14:paraId="0CC6D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"долгострой", Бериев, что было в духе времени, обратился за помощью в комитет комсомола завода. Его просьба нашла отклик, и комсомольцы взяли шефство над машиной и приняли активное участие в её строительстве.</w:t>
      </w:r>
    </w:p>
    <w:p w14:paraId="435A0A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поисках выхода Бериев решает установить на МБР-2 выпускавшийся серийно двигатель М-17 (советскую копию немецкого BMW VI). Это тоже был 12-цилиндровый мотор водяного охлаждения, но V-образной схемы. Однако по сравнению с М-27 он имел меньшую мощность, что не позволяло получить заявленные в проекте лётно-технические характеристики, но другого варианта не было. Обратившись к директору предприятия с предложением об установке мотора М-17 на свой самолёт, Георгий Михайлович получил решительный отказ, мотивированный тем, что в плане опытных работ завода, утвержденном правительством, "машины № 25" нет.</w:t>
      </w:r>
    </w:p>
    <w:p w14:paraId="704A7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Бериева оставался последний шанс: напрямую обратиться к одному из руководителей ВАО Н.М. Харламову. Внимательно выслушав конструктора, Харламов тут же связался по телефону с директором завода и дал распоряжение о завершении постройки опытного образца МБР-2 с мотором М-17.</w:t>
      </w:r>
    </w:p>
    <w:p w14:paraId="73F8E8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МБР-2 возобновилась. Переделка его под новый двигатель не требовала больших затрат, и к концу года машина была собрана. Первый образец получил импортный мотор BMW VIE7.3 с толкающим четырёхлопастным деревянным винтом (12003).</w:t>
      </w:r>
    </w:p>
    <w:p w14:paraId="2EFC20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DB8E4D"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осени 1931 г. штат ЦКБ-39 достиг 500 человек (в нем уже не осталось заключенных), и были планы по его дальнейшему расширению (23559).</w:t>
      </w:r>
    </w:p>
    <w:p w14:paraId="58EEFB9C" w14:textId="77777777" w:rsidR="005504A8" w:rsidRPr="00441F34" w:rsidRDefault="005504A8" w:rsidP="005504A8">
      <w:pPr>
        <w:spacing w:after="0" w:line="240" w:lineRule="auto"/>
        <w:jc w:val="both"/>
        <w:rPr>
          <w:rFonts w:ascii="Times New Roman" w:hAnsi="Times New Roman"/>
          <w:color w:val="0070C0"/>
          <w:sz w:val="16"/>
          <w:szCs w:val="16"/>
        </w:rPr>
      </w:pPr>
    </w:p>
    <w:p w14:paraId="1967BEA4" w14:textId="77EB373C" w:rsidR="005C4849" w:rsidRPr="007122AB" w:rsidRDefault="005504A8" w:rsidP="007122A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Другое оборонные отрасли:</w:t>
      </w:r>
    </w:p>
    <w:p w14:paraId="3C095A7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E09242"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сентябрю 1931 заводская газета завода № 15 сообщала:</w:t>
      </w:r>
    </w:p>
    <w:p w14:paraId="7457C1D2"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«План строительства должен быть выполнен. Для решения этой задачи администрация, общественно-партийные организации постройки № 16 должны мобилизовать все силы.</w:t>
      </w:r>
    </w:p>
    <w:p w14:paraId="65B378F1"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Всякие ссылки на планы, материалы, нехватки рабочей силы и подобные причины надо прекратить. Уже давно пора уточнить процент осуществления </w:t>
      </w:r>
      <w:proofErr w:type="spellStart"/>
      <w:r w:rsidRPr="00441F34">
        <w:rPr>
          <w:rFonts w:ascii="Times New Roman" w:hAnsi="Times New Roman"/>
          <w:color w:val="0070C0"/>
          <w:sz w:val="16"/>
          <w:szCs w:val="16"/>
        </w:rPr>
        <w:t>стройфинплана</w:t>
      </w:r>
      <w:proofErr w:type="spellEnd"/>
      <w:r w:rsidRPr="00441F34">
        <w:rPr>
          <w:rFonts w:ascii="Times New Roman" w:hAnsi="Times New Roman"/>
          <w:color w:val="0070C0"/>
          <w:sz w:val="16"/>
          <w:szCs w:val="16"/>
        </w:rPr>
        <w:t xml:space="preserve"> с заказчиком, так как имеющиеся разногласия тормозят дело.</w:t>
      </w:r>
    </w:p>
    <w:p w14:paraId="3133A5DF"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1 августа по сведению начальника работ </w:t>
      </w:r>
      <w:proofErr w:type="spellStart"/>
      <w:r w:rsidRPr="00441F34">
        <w:rPr>
          <w:rFonts w:ascii="Times New Roman" w:hAnsi="Times New Roman"/>
          <w:color w:val="0070C0"/>
          <w:sz w:val="16"/>
          <w:szCs w:val="16"/>
        </w:rPr>
        <w:t>стройфинплан</w:t>
      </w:r>
      <w:proofErr w:type="spellEnd"/>
      <w:r w:rsidRPr="00441F34">
        <w:rPr>
          <w:rFonts w:ascii="Times New Roman" w:hAnsi="Times New Roman"/>
          <w:color w:val="0070C0"/>
          <w:sz w:val="16"/>
          <w:szCs w:val="16"/>
        </w:rPr>
        <w:t xml:space="preserve"> выполнен на 22 проц., а по указаниям заказчика – на 19 проц. Ни у того, ни у другого нет точных данных. Однако общее состояние завода явно неудовлетворительно. Стройка затрудняется отсутствием чертежей, недостатком пиломатериалов и других принадлежностей: болтов, шайб и т. д.</w:t>
      </w:r>
    </w:p>
    <w:p w14:paraId="256F1A34"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 серьезном отношении инженерно-технического персонала, партийно-комсомольской массы и рабочего актива можно ускорить срок и увеличить процент реализации </w:t>
      </w:r>
      <w:proofErr w:type="spellStart"/>
      <w:r w:rsidRPr="00441F34">
        <w:rPr>
          <w:rFonts w:ascii="Times New Roman" w:hAnsi="Times New Roman"/>
          <w:color w:val="0070C0"/>
          <w:sz w:val="16"/>
          <w:szCs w:val="16"/>
        </w:rPr>
        <w:t>стройфинплана</w:t>
      </w:r>
      <w:proofErr w:type="spellEnd"/>
      <w:r w:rsidRPr="00441F34">
        <w:rPr>
          <w:rFonts w:ascii="Times New Roman" w:hAnsi="Times New Roman"/>
          <w:color w:val="0070C0"/>
          <w:sz w:val="16"/>
          <w:szCs w:val="16"/>
        </w:rPr>
        <w:t>. Соцсоревнование и ударничество развернуто недостаточно. Не связаны договором ведущие профессии: каменщики и плотники.</w:t>
      </w:r>
    </w:p>
    <w:p w14:paraId="324D0D97" w14:textId="77777777" w:rsidR="005504A8" w:rsidRPr="00441F34" w:rsidRDefault="005504A8" w:rsidP="005504A8">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Партколлектив</w:t>
      </w:r>
      <w:proofErr w:type="spellEnd"/>
      <w:r w:rsidRPr="00441F34">
        <w:rPr>
          <w:rFonts w:ascii="Times New Roman" w:hAnsi="Times New Roman"/>
          <w:color w:val="0070C0"/>
          <w:sz w:val="16"/>
          <w:szCs w:val="16"/>
        </w:rPr>
        <w:t xml:space="preserve"> и постройком должны в ближайший день провести эту работу.</w:t>
      </w:r>
    </w:p>
    <w:p w14:paraId="510F2562"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Обязанность </w:t>
      </w:r>
      <w:proofErr w:type="spellStart"/>
      <w:r w:rsidRPr="00441F34">
        <w:rPr>
          <w:rFonts w:ascii="Times New Roman" w:hAnsi="Times New Roman"/>
          <w:color w:val="0070C0"/>
          <w:sz w:val="16"/>
          <w:szCs w:val="16"/>
        </w:rPr>
        <w:t>адмтехперсонала</w:t>
      </w:r>
      <w:proofErr w:type="spellEnd"/>
      <w:r w:rsidRPr="00441F34">
        <w:rPr>
          <w:rFonts w:ascii="Times New Roman" w:hAnsi="Times New Roman"/>
          <w:color w:val="0070C0"/>
          <w:sz w:val="16"/>
          <w:szCs w:val="16"/>
        </w:rPr>
        <w:t xml:space="preserve"> – заставить по-боевому справляться не только себя, но и низовые звенья.</w:t>
      </w:r>
    </w:p>
    <w:p w14:paraId="4D19FE09"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Надо спешить. Нельзя барак № 1 засыпать целые 2 недели, нельзя начинать каменную кладку без бута и трепела для промзоны и теплых растворов на мастерские. Болты для фермы засыпаются слишком долго.</w:t>
      </w:r>
    </w:p>
    <w:p w14:paraId="79338C83" w14:textId="77777777" w:rsidR="005504A8" w:rsidRPr="00441F34" w:rsidRDefault="005504A8" w:rsidP="005504A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Учтя все недостатки производства, мы пообещаемся в последующее время наладить руководство и исполнение так, чтобы до наступления холодов каменная кладка и железобетон были закончены, а также деревянные оборудования помещений. Темпы нам помогут»[21]. (24153).</w:t>
      </w:r>
    </w:p>
    <w:p w14:paraId="49A27759" w14:textId="77777777" w:rsidR="005504A8" w:rsidRPr="00441F34" w:rsidRDefault="005504A8" w:rsidP="005504A8">
      <w:pPr>
        <w:spacing w:after="0" w:line="240" w:lineRule="auto"/>
        <w:jc w:val="both"/>
        <w:rPr>
          <w:rFonts w:ascii="Times New Roman" w:hAnsi="Times New Roman"/>
          <w:color w:val="0070C0"/>
          <w:sz w:val="16"/>
          <w:szCs w:val="16"/>
        </w:rPr>
      </w:pPr>
    </w:p>
    <w:p w14:paraId="78D6BFEC" w14:textId="77777777" w:rsidR="005504A8" w:rsidRPr="007122AB" w:rsidRDefault="005504A8" w:rsidP="005504A8">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18DBE63" w14:textId="77777777" w:rsidR="005504A8" w:rsidRPr="007122AB" w:rsidRDefault="005504A8" w:rsidP="005504A8">
      <w:pPr>
        <w:autoSpaceDE w:val="0"/>
        <w:autoSpaceDN w:val="0"/>
        <w:adjustRightInd w:val="0"/>
        <w:spacing w:after="0" w:line="240" w:lineRule="auto"/>
        <w:jc w:val="both"/>
        <w:rPr>
          <w:rFonts w:ascii="Times New Roman" w:hAnsi="Times New Roman"/>
          <w:iCs/>
          <w:color w:val="000000" w:themeColor="text1"/>
          <w:sz w:val="16"/>
          <w:szCs w:val="16"/>
        </w:rPr>
      </w:pPr>
    </w:p>
    <w:p w14:paraId="4DE06C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сентября 1931 года начальник 2-го отдела НИИ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498с начальнику ВВС.</w:t>
      </w:r>
    </w:p>
    <w:p w14:paraId="35B36D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сводка результатов полетных испытаний самолета ТБ3 с 4-мя моторами БМВ VI Е-7,3. 500/730 НР.</w:t>
      </w:r>
    </w:p>
    <w:p w14:paraId="3F74C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выпущен в воздух после перестановки моторов и переделок 29 апреля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571F4A56" w14:textId="77777777">
        <w:tc>
          <w:tcPr>
            <w:tcW w:w="5636" w:type="dxa"/>
          </w:tcPr>
          <w:p w14:paraId="7D237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произведено</w:t>
            </w:r>
          </w:p>
        </w:tc>
        <w:tc>
          <w:tcPr>
            <w:tcW w:w="5636" w:type="dxa"/>
          </w:tcPr>
          <w:p w14:paraId="53935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полетов</w:t>
            </w:r>
          </w:p>
        </w:tc>
      </w:tr>
      <w:tr w:rsidR="001002C3" w:rsidRPr="007122AB" w14:paraId="527F8DD0" w14:textId="77777777">
        <w:tc>
          <w:tcPr>
            <w:tcW w:w="5636" w:type="dxa"/>
          </w:tcPr>
          <w:p w14:paraId="66739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Общей продолжительностью</w:t>
            </w:r>
          </w:p>
        </w:tc>
        <w:tc>
          <w:tcPr>
            <w:tcW w:w="5636" w:type="dxa"/>
          </w:tcPr>
          <w:p w14:paraId="7C012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час. 49 мин.</w:t>
            </w:r>
          </w:p>
        </w:tc>
      </w:tr>
    </w:tbl>
    <w:p w14:paraId="027043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Полеты прекращены 23 августа 1931 года вследствие непригодности колес.</w:t>
      </w:r>
    </w:p>
    <w:p w14:paraId="27CEB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17B0F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ТБ3-4М17 при условии доделки его вооружения (установка подкрыльных башен, бомбодержателей и др.) может быть рекомендован на вооружения ВВС в качестве тяжелого бомбардировщика.</w:t>
      </w:r>
    </w:p>
    <w:p w14:paraId="29180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Полеты на самолете ТБ3-4М17 на колесах с покрышками "Пальмер" 2000х450 - прекратить (3214).</w:t>
      </w:r>
    </w:p>
    <w:p w14:paraId="1B1B0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1D1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сентября 1931 года начальник 2 отдела НИИ ВВС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497с начальнику ВВС.</w:t>
      </w:r>
    </w:p>
    <w:p w14:paraId="54B408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сем препровождаются результаты испытания самолета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VII.</w:t>
      </w:r>
    </w:p>
    <w:p w14:paraId="19B496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Испытывался самолет И5 за N 31 постройки ЦКБ с мотором Юпитер VII за N 6026. Самолет ничем не отличается от принятого на вооружение самолета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VI за исключением мотора.</w:t>
      </w:r>
    </w:p>
    <w:p w14:paraId="3FF39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7F7C82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испытывался с целью определить летные данные самолета И5 при установке на него высотного мотора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VII.</w:t>
      </w:r>
    </w:p>
    <w:p w14:paraId="66B347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06D8F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 И5 ЮVII имеет бесспорные преимущества по сравнению с самолетом И5 ЮVI, как в горизонтальных скоростях и маневренности на боевых высотах, так и в потолке.</w:t>
      </w:r>
    </w:p>
    <w:p w14:paraId="4C4E1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Считать целесообразным замену мотора М22 на самолете И5 мотором М22 Н. (3290,66-83).</w:t>
      </w:r>
    </w:p>
    <w:p w14:paraId="6BCA5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8C9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по 29 (c 11 по 23 - 1017,162) сентября 1931 в НИИ ВВС проходил испытания моноплан типа парасоль, переделанный КБ А.Н.Т. из серийного И-4 N 1514. Улучшения ЛТХ было незначительным (346,22).</w:t>
      </w:r>
    </w:p>
    <w:p w14:paraId="4802D3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357F63"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 по 29 сентября 1931 г. переделанный в моноплан парасоль с управляемыми предкрылками серийная машина АНТ-5 №1514 испытывалась в НИИ ВВС. Улучшение летных характеристик было столь незначительным, что даль</w:t>
      </w:r>
      <w:r w:rsidRPr="00441F34">
        <w:rPr>
          <w:rFonts w:ascii="Times New Roman" w:hAnsi="Times New Roman"/>
          <w:color w:val="0070C0"/>
          <w:sz w:val="16"/>
          <w:szCs w:val="16"/>
        </w:rPr>
        <w:softHyphen/>
        <w:t>нейшие работы признали нецелесооб</w:t>
      </w:r>
      <w:r w:rsidRPr="00441F34">
        <w:rPr>
          <w:rFonts w:ascii="Times New Roman" w:hAnsi="Times New Roman"/>
          <w:color w:val="0070C0"/>
          <w:sz w:val="16"/>
          <w:szCs w:val="16"/>
        </w:rPr>
        <w:softHyphen/>
        <w:t>разными (23474).</w:t>
      </w:r>
    </w:p>
    <w:p w14:paraId="7D64E828" w14:textId="77777777" w:rsidR="007F1987" w:rsidRPr="00441F34" w:rsidRDefault="007F1987" w:rsidP="007F1987">
      <w:pPr>
        <w:spacing w:after="0" w:line="240" w:lineRule="auto"/>
        <w:jc w:val="both"/>
        <w:rPr>
          <w:rFonts w:ascii="Times New Roman" w:hAnsi="Times New Roman"/>
          <w:color w:val="0070C0"/>
          <w:sz w:val="16"/>
          <w:szCs w:val="16"/>
        </w:rPr>
      </w:pPr>
    </w:p>
    <w:p w14:paraId="2F83B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 был закончен проект и чертежи мотора М-48, а работа велась с 13 марта 1931 (2310,130).</w:t>
      </w:r>
    </w:p>
    <w:p w14:paraId="6BA07E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14F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 состоялся первый полет дирижабля Комсомольская Правда и прошли 50 км (1040,15).</w:t>
      </w:r>
    </w:p>
    <w:p w14:paraId="4AFBB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295AC7"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сентября 1931 г. дирижабль «СССР В-4»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w:t>
      </w:r>
      <w:proofErr w:type="spellStart"/>
      <w:r w:rsidRPr="007122AB">
        <w:rPr>
          <w:rFonts w:ascii="Times New Roman" w:hAnsi="Times New Roman"/>
          <w:color w:val="000000" w:themeColor="text1"/>
          <w:sz w:val="16"/>
          <w:szCs w:val="16"/>
        </w:rPr>
        <w:t>маевский</w:t>
      </w:r>
      <w:proofErr w:type="spellEnd"/>
      <w:r w:rsidRPr="007122AB">
        <w:rPr>
          <w:rFonts w:ascii="Times New Roman" w:hAnsi="Times New Roman"/>
          <w:color w:val="000000" w:themeColor="text1"/>
          <w:sz w:val="16"/>
          <w:szCs w:val="16"/>
        </w:rPr>
        <w:t xml:space="preserve"> дирижабль мягкого типа, объемом 2500 </w:t>
      </w:r>
      <w:proofErr w:type="spellStart"/>
      <w:r w:rsidRPr="007122AB">
        <w:rPr>
          <w:rFonts w:ascii="Times New Roman" w:hAnsi="Times New Roman"/>
          <w:color w:val="000000" w:themeColor="text1"/>
          <w:sz w:val="16"/>
          <w:szCs w:val="16"/>
        </w:rPr>
        <w:t>куб.м</w:t>
      </w:r>
      <w:proofErr w:type="spellEnd"/>
      <w:r w:rsidRPr="007122AB">
        <w:rPr>
          <w:rFonts w:ascii="Times New Roman" w:hAnsi="Times New Roman"/>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0E8C5718"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466E06DC" w14:textId="77777777" w:rsidR="00952B99" w:rsidRPr="007122AB" w:rsidRDefault="00952B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 г. дирижабль Комсомольская правда наполнили га</w:t>
      </w:r>
      <w:r w:rsidRPr="007122AB">
        <w:rPr>
          <w:rFonts w:ascii="Times New Roman" w:hAnsi="Times New Roman"/>
          <w:color w:val="000000" w:themeColor="text1"/>
          <w:sz w:val="16"/>
          <w:szCs w:val="16"/>
        </w:rPr>
        <w:softHyphen/>
        <w:t xml:space="preserve">зом. 10 сентября состоялся его первый полёт с экипажем в составе командира Е.М. </w:t>
      </w:r>
      <w:proofErr w:type="spellStart"/>
      <w:r w:rsidRPr="007122AB">
        <w:rPr>
          <w:rFonts w:ascii="Times New Roman" w:hAnsi="Times New Roman"/>
          <w:color w:val="000000" w:themeColor="text1"/>
          <w:sz w:val="16"/>
          <w:szCs w:val="16"/>
        </w:rPr>
        <w:t>Оппма</w:t>
      </w:r>
      <w:proofErr w:type="spellEnd"/>
      <w:r w:rsidRPr="007122AB">
        <w:rPr>
          <w:rFonts w:ascii="Times New Roman" w:hAnsi="Times New Roman"/>
          <w:color w:val="000000" w:themeColor="text1"/>
          <w:sz w:val="16"/>
          <w:szCs w:val="16"/>
        </w:rPr>
        <w:t xml:space="preserve">- на, механика Козлова и Ф.Ф. </w:t>
      </w:r>
      <w:proofErr w:type="spellStart"/>
      <w:r w:rsidRPr="007122AB">
        <w:rPr>
          <w:rFonts w:ascii="Times New Roman" w:hAnsi="Times New Roman"/>
          <w:color w:val="000000" w:themeColor="text1"/>
          <w:sz w:val="16"/>
          <w:szCs w:val="16"/>
        </w:rPr>
        <w:t>Ассберга</w:t>
      </w:r>
      <w:proofErr w:type="spellEnd"/>
      <w:r w:rsidRPr="007122AB">
        <w:rPr>
          <w:rFonts w:ascii="Times New Roman" w:hAnsi="Times New Roman"/>
          <w:color w:val="000000" w:themeColor="text1"/>
          <w:sz w:val="16"/>
          <w:szCs w:val="16"/>
        </w:rPr>
        <w:t>. «Комсо</w:t>
      </w:r>
      <w:r w:rsidRPr="007122AB">
        <w:rPr>
          <w:rFonts w:ascii="Times New Roman" w:hAnsi="Times New Roman"/>
          <w:color w:val="000000" w:themeColor="text1"/>
          <w:sz w:val="16"/>
          <w:szCs w:val="16"/>
        </w:rPr>
        <w:softHyphen/>
        <w:t xml:space="preserve">мольская правда» выполнила круг над </w:t>
      </w:r>
      <w:proofErr w:type="spellStart"/>
      <w:r w:rsidRPr="007122AB">
        <w:rPr>
          <w:rFonts w:ascii="Times New Roman" w:hAnsi="Times New Roman"/>
          <w:color w:val="000000" w:themeColor="text1"/>
          <w:sz w:val="16"/>
          <w:szCs w:val="16"/>
        </w:rPr>
        <w:t>Кунцевым</w:t>
      </w:r>
      <w:proofErr w:type="spellEnd"/>
      <w:r w:rsidRPr="007122AB">
        <w:rPr>
          <w:rFonts w:ascii="Times New Roman" w:hAnsi="Times New Roman"/>
          <w:color w:val="000000" w:themeColor="text1"/>
          <w:sz w:val="16"/>
          <w:szCs w:val="16"/>
        </w:rPr>
        <w:t xml:space="preserve"> на высоте 200 м, пробыв в полёте 56 минут. За</w:t>
      </w:r>
      <w:r w:rsidRPr="007122AB">
        <w:rPr>
          <w:rFonts w:ascii="Times New Roman" w:hAnsi="Times New Roman"/>
          <w:color w:val="000000" w:themeColor="text1"/>
          <w:sz w:val="16"/>
          <w:szCs w:val="16"/>
        </w:rPr>
        <w:softHyphen/>
        <w:t>тем на дирижабле приступили к учебным полё</w:t>
      </w:r>
      <w:r w:rsidRPr="007122AB">
        <w:rPr>
          <w:rFonts w:ascii="Times New Roman" w:hAnsi="Times New Roman"/>
          <w:color w:val="000000" w:themeColor="text1"/>
          <w:sz w:val="16"/>
          <w:szCs w:val="16"/>
        </w:rPr>
        <w:softHyphen/>
        <w:t>там. На эффективности учебной работы сказыва</w:t>
      </w:r>
      <w:r w:rsidRPr="007122AB">
        <w:rPr>
          <w:rFonts w:ascii="Times New Roman" w:hAnsi="Times New Roman"/>
          <w:color w:val="000000" w:themeColor="text1"/>
          <w:sz w:val="16"/>
          <w:szCs w:val="16"/>
        </w:rPr>
        <w:softHyphen/>
        <w:t>лись трудности со снабжением газом и подвозом необходимых материалов. Полёты были сопря</w:t>
      </w:r>
      <w:r w:rsidRPr="007122AB">
        <w:rPr>
          <w:rFonts w:ascii="Times New Roman" w:hAnsi="Times New Roman"/>
          <w:color w:val="000000" w:themeColor="text1"/>
          <w:sz w:val="16"/>
          <w:szCs w:val="16"/>
        </w:rPr>
        <w:softHyphen/>
        <w:t>жены с известным риском, вызванным неудоб</w:t>
      </w:r>
      <w:r w:rsidRPr="007122AB">
        <w:rPr>
          <w:rFonts w:ascii="Times New Roman" w:hAnsi="Times New Roman"/>
          <w:color w:val="000000" w:themeColor="text1"/>
          <w:sz w:val="16"/>
          <w:szCs w:val="16"/>
        </w:rPr>
        <w:softHyphen/>
        <w:t>ными подходами к посадочной площадке. При</w:t>
      </w:r>
      <w:r w:rsidRPr="007122AB">
        <w:rPr>
          <w:rFonts w:ascii="Times New Roman" w:hAnsi="Times New Roman"/>
          <w:color w:val="000000" w:themeColor="text1"/>
          <w:sz w:val="16"/>
          <w:szCs w:val="16"/>
        </w:rPr>
        <w:softHyphen/>
        <w:t>знавалась неудовлетворительной и сама площад</w:t>
      </w:r>
      <w:r w:rsidRPr="007122AB">
        <w:rPr>
          <w:rFonts w:ascii="Times New Roman" w:hAnsi="Times New Roman"/>
          <w:color w:val="000000" w:themeColor="text1"/>
          <w:sz w:val="16"/>
          <w:szCs w:val="16"/>
        </w:rPr>
        <w:softHyphen/>
        <w:t>ка, усеянная пнями и частично мелким кустар</w:t>
      </w:r>
      <w:r w:rsidRPr="007122AB">
        <w:rPr>
          <w:rFonts w:ascii="Times New Roman" w:hAnsi="Times New Roman"/>
          <w:color w:val="000000" w:themeColor="text1"/>
          <w:sz w:val="16"/>
          <w:szCs w:val="16"/>
        </w:rPr>
        <w:softHyphen/>
        <w:t>ником. 19 сентября посадку произвели неудачно, и дирижабль, попав на дерево, прорвал оболочку. Полёты возобновились только через месяц как учебно-агитационные. В каждом из них прини</w:t>
      </w:r>
      <w:r w:rsidRPr="007122AB">
        <w:rPr>
          <w:rFonts w:ascii="Times New Roman" w:hAnsi="Times New Roman"/>
          <w:color w:val="000000" w:themeColor="text1"/>
          <w:sz w:val="16"/>
          <w:szCs w:val="16"/>
        </w:rPr>
        <w:softHyphen/>
        <w:t>мали участие 7-10 человек. Сами полёты выпол</w:t>
      </w:r>
      <w:r w:rsidRPr="007122AB">
        <w:rPr>
          <w:rFonts w:ascii="Times New Roman" w:hAnsi="Times New Roman"/>
          <w:color w:val="000000" w:themeColor="text1"/>
          <w:sz w:val="16"/>
          <w:szCs w:val="16"/>
        </w:rPr>
        <w:softHyphen/>
        <w:t>нялись над рабочими кварталами столицы, над АМО, заводом «Каучук», ЦАГИ и т. д. (20120)</w:t>
      </w:r>
    </w:p>
    <w:p w14:paraId="060A11D3" w14:textId="77777777" w:rsidR="00952B99" w:rsidRPr="007122AB" w:rsidRDefault="00952B99" w:rsidP="007122AB">
      <w:pPr>
        <w:spacing w:after="0" w:line="240" w:lineRule="auto"/>
        <w:jc w:val="both"/>
        <w:rPr>
          <w:rFonts w:ascii="Times New Roman" w:hAnsi="Times New Roman"/>
          <w:color w:val="000000" w:themeColor="text1"/>
          <w:sz w:val="16"/>
          <w:szCs w:val="16"/>
        </w:rPr>
      </w:pPr>
    </w:p>
    <w:p w14:paraId="38F5DC2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B0CADD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762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сентября 1931 г. по данным РКИ СССР коэффициент использования импортного оборудования на многих заводах и стройках составлял 20 — 30%. Причины тому — слабый контроль за его своевременной установкой и комплектностью, неумение обращаться с машинами, отсутствие инвентаризации и учёта использования, «беспризорность» оборудования, за которое уплачена валюта.</w:t>
      </w:r>
    </w:p>
    <w:p w14:paraId="10FDC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переломном, критически важном этапе появления первенцев советской индустрии техническая помощь играла решающую роль, но именно тогда она и встречала наибольшее сопротивление. Имели место не только сотрудничество, но и ожесточённая борьба нового и старого, западной и молодой советской деловых культур. В последней перемешивались бесхозяйственность и энтузиазм, «закрепощение» и текучка кадров, в том числе руководящих, стремление учиться у Запада и оковы устаревшего опыта. Мелочная экономия уживалась с колоссальными потерями, вера в волшебную силу решений партии и правительства — с технической необеспеченностью «великих строек», головотяпство — с уверенностью в преимуществах советской системы.</w:t>
      </w:r>
    </w:p>
    <w:p w14:paraId="71FF8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Американские проектные и строительные компании внедрили в своей стране принципиально новую организацию работ, невиданно быструю и экономичную, которую не знала ни Европа, ни Россия. Стальные и железобетонные конструкции не рассчитывались, а выпускались промышленным способом по определённым стандартам. Их оставалось только подобрать по каталогам. Весь объём проектных и строительных работ фирма делала сами и сдавала объекты «под ключ», не привлекая подрядчиков со стороны, что давало большой выигрыш времени. Не требовались и подробные рабочие чертежи. Их быстро выполняли в карандаше, а размножали на светокопировальных машинах. Чертежи готовились и утверждались одновременно с рытьём котлована, строительные конструкции заказывали по телефону и доставляли прямо к началу строительства. Американцы экономили не на стали и бетоне, а на снижении трудоёмкости работ и ускорении монтажа.</w:t>
      </w:r>
    </w:p>
    <w:p w14:paraId="720F4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Советские проектировщики, особенно с дореволюционным стажем, всё делали наоборот. Они добивались снижения веса несущих конструкций, скрупулёзно рассчитывали каждую ферму и балку, чтобы сэкономить дефицитные сталь и бетон. Чертежи переносили с ватмана на кальку, что отнимало массу времени, не гарантировало от ошибок и увеличивало себестоимость проекта. Из-за дешевизны рабочей силы трудоёмкость строительных работ не имела принципиального значения (11520).</w:t>
      </w:r>
    </w:p>
    <w:p w14:paraId="4FBEE5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7726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 г. была подготовлена Справка Наркомата РКИ СССР в СНК СССР об использовании импортного оборудования промышленностью ВСНХ СССР</w:t>
      </w:r>
    </w:p>
    <w:p w14:paraId="1B16B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Произведенное НК РКИ СССР обследование использования импортного оборудования (охвачено 235 предприятий) выявило неблагополучие на этом участке работы:</w:t>
      </w:r>
    </w:p>
    <w:p w14:paraId="50783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Большое количество импортного оборудования бездействует в течение долгого времени. Из прилагаемых сводок видно, что только по 183 предприятиям имеется на 9900 тыс. руб. оборудования, неиспользованного свыше года, по 184 предприятиям совершенно не нужного им оборудования на 4200 тыс. руб. Основная часть бездействующего (по 183 предприятиям) оборудования падает на </w:t>
      </w:r>
      <w:proofErr w:type="spellStart"/>
      <w:r w:rsidRPr="007122AB">
        <w:rPr>
          <w:rFonts w:ascii="Times New Roman" w:hAnsi="Times New Roman"/>
          <w:color w:val="000000" w:themeColor="text1"/>
          <w:sz w:val="16"/>
          <w:szCs w:val="16"/>
        </w:rPr>
        <w:t>электростроительство</w:t>
      </w:r>
      <w:proofErr w:type="spellEnd"/>
      <w:r w:rsidRPr="007122AB">
        <w:rPr>
          <w:rFonts w:ascii="Times New Roman" w:hAnsi="Times New Roman"/>
          <w:color w:val="000000" w:themeColor="text1"/>
          <w:sz w:val="16"/>
          <w:szCs w:val="16"/>
        </w:rPr>
        <w:t xml:space="preserve"> 37%, цементную промышленность 9%, металлургическую 9%, металлообрабатывающую 11%, химическую 5%. </w:t>
      </w:r>
    </w:p>
    <w:p w14:paraId="2F14A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Основными причинами неиспользования импортного оборудования являются - отпуск предприятиям средств на приобретение импортного оборудования без контроля и проверки степени использования уже имеющегося на предприятиях оборудования, некомплектное поступление оборудования, разрыв между сроками прибытия импортного оборудования и сопряженного с ним внутреннего оборудования и сроками строительства, отсутствие твердых сроков производства монтажа для разных видов оборудования (в связи с чем монтаж затягивается на 8-12 мес. и больше).</w:t>
      </w:r>
    </w:p>
    <w:p w14:paraId="454B7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Низок коэффициент использования действующего импортного оборудования. Слабая постановка инвентаризации и паспортизации не дала возможности получить достаточный материал о степени использования имеющегося на предприятиях импортного оборудования. Но и неполные данные, полученные обследованием, указывают на весьма низкий коэффициент использования оборудования. Так, по данным НК РКИ Украины на Николаевском заводе им. Марти из 55 станков только три загружены на 100%, 12 - на 75%, остальные 40 в большинстве на 30-35, некоторые на 20%; по </w:t>
      </w:r>
      <w:proofErr w:type="spellStart"/>
      <w:r w:rsidRPr="007122AB">
        <w:rPr>
          <w:rFonts w:ascii="Times New Roman" w:hAnsi="Times New Roman"/>
          <w:color w:val="000000" w:themeColor="text1"/>
          <w:sz w:val="16"/>
          <w:szCs w:val="16"/>
        </w:rPr>
        <w:t>ХЭМЗу</w:t>
      </w:r>
      <w:proofErr w:type="spellEnd"/>
      <w:r w:rsidRPr="007122AB">
        <w:rPr>
          <w:rFonts w:ascii="Times New Roman" w:hAnsi="Times New Roman"/>
          <w:color w:val="000000" w:themeColor="text1"/>
          <w:sz w:val="16"/>
          <w:szCs w:val="16"/>
        </w:rPr>
        <w:t xml:space="preserve"> из 446 станков только 255 работают в 3 смены, причем ряд станков, загруженных в одну смену, используются лишь на 14-19; по Амвросиевским цементным заводам загруженность печей в особом квартале составляла 72%, мельниц 64%, прессов 68%. </w:t>
      </w:r>
    </w:p>
    <w:p w14:paraId="7BE91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Аналогичные результаты дают материалы остальных НК РКИ. Особенно плохо обстоит дело с использованием строительных механизмов. Так, на Магнитострое процент полезной работы экскаваторов за 8 месяцев (октябрь 30 г. - май 31 г.) составлял 22,9%. Основными причинами такого слабого использования импортного оборудования являются обезличка, отсутствие периодического осмотра оборудования и планово-предупредительного его ремонта, </w:t>
      </w:r>
      <w:proofErr w:type="spellStart"/>
      <w:r w:rsidRPr="007122AB">
        <w:rPr>
          <w:rFonts w:ascii="Times New Roman" w:hAnsi="Times New Roman"/>
          <w:color w:val="000000" w:themeColor="text1"/>
          <w:sz w:val="16"/>
          <w:szCs w:val="16"/>
        </w:rPr>
        <w:t>необспеченность</w:t>
      </w:r>
      <w:proofErr w:type="spellEnd"/>
      <w:r w:rsidRPr="007122AB">
        <w:rPr>
          <w:rFonts w:ascii="Times New Roman" w:hAnsi="Times New Roman"/>
          <w:color w:val="000000" w:themeColor="text1"/>
          <w:sz w:val="16"/>
          <w:szCs w:val="16"/>
        </w:rPr>
        <w:t xml:space="preserve"> предприятий необходимыми инструкциями по уходу за оборудованием.</w:t>
      </w:r>
    </w:p>
    <w:p w14:paraId="39272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Отсутствует хозрасчет в деле использования импортного оборудования и недостаточно наблюдение со стороны ведомств-заказчиков и их объединений за его правильным и своевременным использованием.</w:t>
      </w:r>
    </w:p>
    <w:p w14:paraId="2EBA35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Благодаря неправильно построенной системе отпускных цен на импорт, превращающей получаемые из-за границы машины и станки в самый дешевый вид оборудования (в несколько раз дешевле союзного), многие предприятия стремятся к импорту даже в тех случаях, когда аналогичное оборудование может быть изготовлено на советских заводах. В связи с этим ряд предприятий, вследствие ограниченности импортных контингентов лишается возможности получить крайне необходимое им заграничное оборудование.</w:t>
      </w:r>
    </w:p>
    <w:p w14:paraId="38AA7E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области наблюдения за использованием оборудования необходимо подчеркнуть прежде всего отсутствие инвентаризации и паспортизации оборудования. Так, по заводу им. Ворошилова </w:t>
      </w:r>
      <w:proofErr w:type="spellStart"/>
      <w:r w:rsidRPr="007122AB">
        <w:rPr>
          <w:rFonts w:ascii="Times New Roman" w:hAnsi="Times New Roman"/>
          <w:color w:val="000000" w:themeColor="text1"/>
          <w:sz w:val="16"/>
          <w:szCs w:val="16"/>
        </w:rPr>
        <w:t>со¬вершенно</w:t>
      </w:r>
      <w:proofErr w:type="spellEnd"/>
      <w:r w:rsidRPr="007122AB">
        <w:rPr>
          <w:rFonts w:ascii="Times New Roman" w:hAnsi="Times New Roman"/>
          <w:color w:val="000000" w:themeColor="text1"/>
          <w:sz w:val="16"/>
          <w:szCs w:val="16"/>
        </w:rPr>
        <w:t xml:space="preserve"> отсутствует паспортизация, вследствие чего невозможно установить, сколько продукции должен дать каждый агрегат, процент его загруженности и соответствие его требованиям производственного процесса.</w:t>
      </w:r>
    </w:p>
    <w:p w14:paraId="7FB65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w:t>
      </w:r>
      <w:proofErr w:type="spellStart"/>
      <w:r w:rsidRPr="007122AB">
        <w:rPr>
          <w:rFonts w:ascii="Times New Roman" w:hAnsi="Times New Roman"/>
          <w:color w:val="000000" w:themeColor="text1"/>
          <w:sz w:val="16"/>
          <w:szCs w:val="16"/>
        </w:rPr>
        <w:t>ХЭМЗе</w:t>
      </w:r>
      <w:proofErr w:type="spellEnd"/>
      <w:r w:rsidRPr="007122AB">
        <w:rPr>
          <w:rFonts w:ascii="Times New Roman" w:hAnsi="Times New Roman"/>
          <w:color w:val="000000" w:themeColor="text1"/>
          <w:sz w:val="16"/>
          <w:szCs w:val="16"/>
        </w:rPr>
        <w:t xml:space="preserve"> из 250 обследованных станков паспорта имеются лишь у 78. Кроме того, почти общим для всех предприятий является отсутствие лиц, ответственных за состояние импортного </w:t>
      </w:r>
      <w:proofErr w:type="spellStart"/>
      <w:r w:rsidRPr="007122AB">
        <w:rPr>
          <w:rFonts w:ascii="Times New Roman" w:hAnsi="Times New Roman"/>
          <w:color w:val="000000" w:themeColor="text1"/>
          <w:sz w:val="16"/>
          <w:szCs w:val="16"/>
        </w:rPr>
        <w:t>оборудоания</w:t>
      </w:r>
      <w:proofErr w:type="spellEnd"/>
      <w:r w:rsidRPr="007122AB">
        <w:rPr>
          <w:rFonts w:ascii="Times New Roman" w:hAnsi="Times New Roman"/>
          <w:color w:val="000000" w:themeColor="text1"/>
          <w:sz w:val="16"/>
          <w:szCs w:val="16"/>
        </w:rPr>
        <w:t>, слабо поставленная работа по учету рекламаций и отсутствие жестких сроков приемки оборудования. Представляя на утверждение СНК СССР свое постановление, НК РКИ СССР указывает, что предлагаемые мероприятия не могут устранить всех недочетов в деле использования импортного оборудования, так как всякая неувязка в плане реконструкции или капитального строительства, всякая задержка в плановом развертывании проектных земляных и прочих строительных работ неизбежно вызывает частичное омертвление капитала, затраченного на приобретение заграничного оборудования.</w:t>
      </w:r>
    </w:p>
    <w:p w14:paraId="102D7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НК РКИ СССР считает необходимым в первую очередь обеспечить использование всего выявленного оборудования, ненужного заводам, а также устранить ту беспризорность, которая наблюдалась в этом деле, уничтожить «кампанейский» характер работы по наблюдению за использованием (импортного) оборудования и превратить эту работу в предмет постоянной и повседневной работы наших промышленных и импортных объединений, а также органов НК РКИ.</w:t>
      </w:r>
    </w:p>
    <w:p w14:paraId="3BDC3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Замнаркома РКИ СССР - Антипов</w:t>
      </w:r>
    </w:p>
    <w:p w14:paraId="099437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группы внешней торговли - Гришин</w:t>
      </w:r>
    </w:p>
    <w:p w14:paraId="162259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ГАРФ. Ф. Р-5446. Оп. 7. Д. 89. Л. 4-5 (11534).</w:t>
      </w:r>
    </w:p>
    <w:p w14:paraId="3EDC1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52BD03" w14:textId="77777777" w:rsidR="000E62C2" w:rsidRPr="007122AB" w:rsidRDefault="000E62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сентября 1931 года ЦРЛ стала самостоятельным предприятием» (18297).</w:t>
      </w:r>
    </w:p>
    <w:p w14:paraId="0A29CE4C" w14:textId="77777777" w:rsidR="000E62C2" w:rsidRPr="007122AB" w:rsidRDefault="000E62C2" w:rsidP="007122AB">
      <w:pPr>
        <w:spacing w:after="0" w:line="240" w:lineRule="auto"/>
        <w:jc w:val="both"/>
        <w:rPr>
          <w:rFonts w:ascii="Times New Roman" w:hAnsi="Times New Roman"/>
          <w:color w:val="000000" w:themeColor="text1"/>
          <w:sz w:val="16"/>
          <w:szCs w:val="16"/>
        </w:rPr>
      </w:pPr>
    </w:p>
    <w:p w14:paraId="00DBE18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E688A9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993D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 сентября по 20 октября 1931 года один бронедивизион поддерживал части отдельной узбекской сводной бригады, проводившей операцию по уничтожению банды </w:t>
      </w:r>
      <w:proofErr w:type="spellStart"/>
      <w:r w:rsidRPr="007122AB">
        <w:rPr>
          <w:rFonts w:ascii="Times New Roman" w:hAnsi="Times New Roman"/>
          <w:color w:val="000000" w:themeColor="text1"/>
          <w:sz w:val="16"/>
          <w:szCs w:val="16"/>
        </w:rPr>
        <w:t>Бекджан</w:t>
      </w:r>
      <w:proofErr w:type="spellEnd"/>
      <w:r w:rsidRPr="007122AB">
        <w:rPr>
          <w:rFonts w:ascii="Times New Roman" w:hAnsi="Times New Roman"/>
          <w:color w:val="000000" w:themeColor="text1"/>
          <w:sz w:val="16"/>
          <w:szCs w:val="16"/>
        </w:rPr>
        <w:t xml:space="preserve">-Хана в Хорезмском оазисе. Несмотря на тяжелые условия местности, БА-27 оказали существенную помощь своим войскам. Например, 26 сентября </w:t>
      </w:r>
      <w:proofErr w:type="spellStart"/>
      <w:r w:rsidRPr="007122AB">
        <w:rPr>
          <w:rFonts w:ascii="Times New Roman" w:hAnsi="Times New Roman"/>
          <w:color w:val="000000" w:themeColor="text1"/>
          <w:sz w:val="16"/>
          <w:szCs w:val="16"/>
        </w:rPr>
        <w:t>мотоотряд</w:t>
      </w:r>
      <w:proofErr w:type="spellEnd"/>
      <w:r w:rsidRPr="007122AB">
        <w:rPr>
          <w:rFonts w:ascii="Times New Roman" w:hAnsi="Times New Roman"/>
          <w:color w:val="000000" w:themeColor="text1"/>
          <w:sz w:val="16"/>
          <w:szCs w:val="16"/>
        </w:rPr>
        <w:t xml:space="preserve"> (3 БА-27 и 5 грузовиков с пулеметами) настиг у колодца </w:t>
      </w:r>
      <w:proofErr w:type="spellStart"/>
      <w:r w:rsidRPr="007122AB">
        <w:rPr>
          <w:rFonts w:ascii="Times New Roman" w:hAnsi="Times New Roman"/>
          <w:color w:val="000000" w:themeColor="text1"/>
          <w:sz w:val="16"/>
          <w:szCs w:val="16"/>
        </w:rPr>
        <w:t>Шорджа</w:t>
      </w:r>
      <w:proofErr w:type="spellEnd"/>
      <w:r w:rsidRPr="007122AB">
        <w:rPr>
          <w:rFonts w:ascii="Times New Roman" w:hAnsi="Times New Roman"/>
          <w:color w:val="000000" w:themeColor="text1"/>
          <w:sz w:val="16"/>
          <w:szCs w:val="16"/>
        </w:rPr>
        <w:t xml:space="preserve"> часть банды и в результате короткого боя разгромил ее. Бан</w:t>
      </w:r>
      <w:r w:rsidRPr="007122AB">
        <w:rPr>
          <w:rFonts w:ascii="Times New Roman" w:hAnsi="Times New Roman"/>
          <w:color w:val="000000" w:themeColor="text1"/>
          <w:sz w:val="16"/>
          <w:szCs w:val="16"/>
        </w:rPr>
        <w:softHyphen/>
        <w:t>да потеряла весь обоз и большое количество пленных (11284).</w:t>
      </w:r>
    </w:p>
    <w:p w14:paraId="20EBD9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C64F3" w14:textId="77777777" w:rsidR="000F3BE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7B9690F" w14:textId="77777777" w:rsidR="000F3BEF" w:rsidRPr="007122AB" w:rsidRDefault="000F3BE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0059CA" w14:textId="77777777" w:rsidR="000F3BEF" w:rsidRPr="007122AB" w:rsidRDefault="000F3BEF" w:rsidP="007122AB">
      <w:pPr>
        <w:spacing w:after="0" w:line="240" w:lineRule="auto"/>
        <w:jc w:val="both"/>
        <w:rPr>
          <w:rStyle w:val="ucoz-forum-post"/>
          <w:rFonts w:ascii="Times New Roman" w:eastAsia="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1 сентября 1931 года</w:t>
      </w:r>
      <w:r w:rsidRPr="007122AB">
        <w:rPr>
          <w:rStyle w:val="ucoz-forum-post"/>
          <w:rFonts w:ascii="Times New Roman" w:eastAsia="Times New Roman" w:hAnsi="Times New Roman"/>
          <w:color w:val="000000" w:themeColor="text1"/>
          <w:sz w:val="16"/>
          <w:szCs w:val="16"/>
        </w:rPr>
        <w:t xml:space="preserve"> Польский PWS-52 </w:t>
      </w:r>
      <w:proofErr w:type="spellStart"/>
      <w:r w:rsidRPr="007122AB">
        <w:rPr>
          <w:rStyle w:val="ucoz-forum-post"/>
          <w:rFonts w:ascii="Times New Roman" w:eastAsia="Times New Roman" w:hAnsi="Times New Roman"/>
          <w:color w:val="000000" w:themeColor="text1"/>
          <w:sz w:val="16"/>
          <w:szCs w:val="16"/>
        </w:rPr>
        <w:t>rajdowy</w:t>
      </w:r>
      <w:proofErr w:type="spellEnd"/>
      <w:r w:rsidRPr="007122AB">
        <w:rPr>
          <w:rStyle w:val="ucoz-forum-post"/>
          <w:rFonts w:ascii="Times New Roman" w:eastAsia="Times New Roman" w:hAnsi="Times New Roman"/>
          <w:color w:val="000000" w:themeColor="text1"/>
          <w:sz w:val="16"/>
          <w:szCs w:val="16"/>
        </w:rPr>
        <w:t xml:space="preserve"> (дальний), выполнил дальний рейд Варшава - Салоники - Варшава, налетав 2700 км (с двумя посадками). Эти полеты показали, что идея полет вокруг света невыполнима и от нее отказались. Ещё осенью 1930 года капитан Йозеф Левоневский решил выполнить полет вокруг света по маршруту Северная Африка - Южная Африка - Аляска - Камчатка - Азия. При этом он планировал перелететь Атлантику. В 1931 году ему передали PWS-52, который </w:t>
      </w:r>
      <w:r w:rsidRPr="007122AB">
        <w:rPr>
          <w:rStyle w:val="ucoz-forum-post"/>
          <w:rFonts w:ascii="Times New Roman" w:eastAsia="Times New Roman" w:hAnsi="Times New Roman"/>
          <w:color w:val="000000" w:themeColor="text1"/>
          <w:sz w:val="16"/>
          <w:szCs w:val="16"/>
        </w:rPr>
        <w:lastRenderedPageBreak/>
        <w:t>он начали модифицировать. Прежде всего он установил в багажном отделении дополнительный бак на 368 литров топлива, за двигателем - еще на 55 и на месте второго пилота - бак на 168 литров. Кроме того, была усилена конструкция и поставлен более мощный движок. В конце апреля самолет, получивший обозначение облетали. А в августе 1931 года летчик выполнил на нем пробный полет вокруг Польши дальностью 1755 км (14756).</w:t>
      </w:r>
    </w:p>
    <w:p w14:paraId="6B815F3D" w14:textId="77777777" w:rsidR="000F3BEF" w:rsidRPr="007122AB" w:rsidRDefault="000F3BEF" w:rsidP="007122AB">
      <w:pPr>
        <w:spacing w:after="0" w:line="240" w:lineRule="auto"/>
        <w:jc w:val="both"/>
        <w:rPr>
          <w:rStyle w:val="ucoz-forum-post"/>
          <w:rFonts w:ascii="Times New Roman" w:eastAsia="Times New Roman" w:hAnsi="Times New Roman"/>
          <w:color w:val="000000" w:themeColor="text1"/>
          <w:sz w:val="16"/>
          <w:szCs w:val="16"/>
        </w:rPr>
      </w:pPr>
    </w:p>
    <w:p w14:paraId="5D2FA49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7CA116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0A0F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сентября 1931 года пом. начальника ЦКБ завода N 39 писал письмо N 1381с в УВВС.</w:t>
      </w:r>
    </w:p>
    <w:p w14:paraId="13086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Ваш N 038317.</w:t>
      </w:r>
    </w:p>
    <w:p w14:paraId="440BD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Настоящим сообщаем, что конкурс на тормозные колеса не дал никаких положительных результатов.</w:t>
      </w:r>
    </w:p>
    <w:p w14:paraId="16151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текущего года ЦКБ завода N 39 приступило к проектированию тормозного колеса 900х200 и механизма управления ими.</w:t>
      </w:r>
    </w:p>
    <w:p w14:paraId="41DA1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данное время изготовление опытного образца закончено, произведены все статические испытания его, испытания дали положительные результаты и завод приступил к постройке первой серии этих колес в количестве 10 штук.</w:t>
      </w:r>
    </w:p>
    <w:p w14:paraId="67306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Хвостовые колеса до сих пор нами не применялись. В данное же время запроектировано хвостовое колесо, которое и будет монтировано на одном из очередных опытных самолетов в процессе его постройки (3217,194).</w:t>
      </w:r>
    </w:p>
    <w:p w14:paraId="47E17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DCC6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сентября 1931 состоялось заседание у Зам. пред. РВС СССР т. Тухачевского с участием Нач. ВВС Алксниса и Нач. ВАО П.И.Б. и т.д. по вопросу "О пересмотре развития мощностей заводов ВАО". Определяли нарастающим до 1 января 1935 (2329,286).</w:t>
      </w:r>
    </w:p>
    <w:p w14:paraId="43A4B2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р о т о к о л</w:t>
      </w:r>
    </w:p>
    <w:p w14:paraId="206E78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Заседания у Зам. Пред. РВС СССР тов. Тухачевского</w:t>
      </w:r>
    </w:p>
    <w:p w14:paraId="49245E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tblGrid>
      <w:tr w:rsidR="001002C3" w:rsidRPr="007122AB" w14:paraId="3AF3AD3F" w14:textId="77777777">
        <w:tc>
          <w:tcPr>
            <w:tcW w:w="2093" w:type="dxa"/>
            <w:tcBorders>
              <w:top w:val="single" w:sz="12" w:space="0" w:color="auto"/>
            </w:tcBorders>
          </w:tcPr>
          <w:p w14:paraId="134262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Пред. РВС СССР</w:t>
            </w:r>
          </w:p>
        </w:tc>
        <w:tc>
          <w:tcPr>
            <w:tcW w:w="2093" w:type="dxa"/>
            <w:tcBorders>
              <w:top w:val="single" w:sz="12" w:space="0" w:color="auto"/>
            </w:tcBorders>
          </w:tcPr>
          <w:p w14:paraId="74B766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Тухачевский</w:t>
            </w:r>
          </w:p>
        </w:tc>
      </w:tr>
      <w:tr w:rsidR="001002C3" w:rsidRPr="007122AB" w14:paraId="3AFA5707" w14:textId="77777777">
        <w:tc>
          <w:tcPr>
            <w:tcW w:w="2093" w:type="dxa"/>
          </w:tcPr>
          <w:p w14:paraId="314A11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Нач.ВВС</w:t>
            </w:r>
            <w:proofErr w:type="spellEnd"/>
          </w:p>
        </w:tc>
        <w:tc>
          <w:tcPr>
            <w:tcW w:w="2093" w:type="dxa"/>
          </w:tcPr>
          <w:p w14:paraId="018088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Алкснис</w:t>
            </w:r>
          </w:p>
        </w:tc>
      </w:tr>
      <w:tr w:rsidR="001002C3" w:rsidRPr="007122AB" w14:paraId="524E9B9D" w14:textId="77777777">
        <w:tc>
          <w:tcPr>
            <w:tcW w:w="2093" w:type="dxa"/>
          </w:tcPr>
          <w:p w14:paraId="30E98B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 ВАО</w:t>
            </w:r>
          </w:p>
        </w:tc>
        <w:tc>
          <w:tcPr>
            <w:tcW w:w="2093" w:type="dxa"/>
          </w:tcPr>
          <w:p w14:paraId="0AAAB7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Баранов </w:t>
            </w:r>
          </w:p>
        </w:tc>
      </w:tr>
      <w:tr w:rsidR="001002C3" w:rsidRPr="007122AB" w14:paraId="499C45FF" w14:textId="77777777">
        <w:tc>
          <w:tcPr>
            <w:tcW w:w="2093" w:type="dxa"/>
          </w:tcPr>
          <w:p w14:paraId="2CB4C8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 ВАО</w:t>
            </w:r>
          </w:p>
        </w:tc>
        <w:tc>
          <w:tcPr>
            <w:tcW w:w="2093" w:type="dxa"/>
          </w:tcPr>
          <w:p w14:paraId="2E77EB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Побережский</w:t>
            </w:r>
            <w:proofErr w:type="spellEnd"/>
            <w:r w:rsidRPr="007122AB">
              <w:rPr>
                <w:rFonts w:ascii="Times New Roman" w:hAnsi="Times New Roman"/>
                <w:color w:val="000000" w:themeColor="text1"/>
                <w:sz w:val="16"/>
                <w:szCs w:val="16"/>
              </w:rPr>
              <w:t xml:space="preserve"> </w:t>
            </w:r>
          </w:p>
        </w:tc>
      </w:tr>
      <w:tr w:rsidR="001002C3" w:rsidRPr="007122AB" w14:paraId="56AABDC9" w14:textId="77777777">
        <w:tc>
          <w:tcPr>
            <w:tcW w:w="2093" w:type="dxa"/>
          </w:tcPr>
          <w:p w14:paraId="0B361D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 ИАМ</w:t>
            </w:r>
          </w:p>
        </w:tc>
        <w:tc>
          <w:tcPr>
            <w:tcW w:w="2093" w:type="dxa"/>
          </w:tcPr>
          <w:p w14:paraId="360E1E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Марьямов</w:t>
            </w:r>
          </w:p>
        </w:tc>
      </w:tr>
      <w:tr w:rsidR="001002C3" w:rsidRPr="007122AB" w14:paraId="639BE843" w14:textId="77777777">
        <w:tc>
          <w:tcPr>
            <w:tcW w:w="2093" w:type="dxa"/>
          </w:tcPr>
          <w:p w14:paraId="6F3FA7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Зав. 24</w:t>
            </w:r>
          </w:p>
        </w:tc>
        <w:tc>
          <w:tcPr>
            <w:tcW w:w="2093" w:type="dxa"/>
          </w:tcPr>
          <w:p w14:paraId="780E9C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Огарченко</w:t>
            </w:r>
            <w:proofErr w:type="spellEnd"/>
          </w:p>
        </w:tc>
      </w:tr>
      <w:tr w:rsidR="001002C3" w:rsidRPr="007122AB" w14:paraId="2DFF37B8" w14:textId="77777777">
        <w:tc>
          <w:tcPr>
            <w:tcW w:w="2093" w:type="dxa"/>
          </w:tcPr>
          <w:p w14:paraId="6F2A44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439108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Швецов</w:t>
            </w:r>
          </w:p>
        </w:tc>
      </w:tr>
      <w:tr w:rsidR="001002C3" w:rsidRPr="007122AB" w14:paraId="1D21F1AF" w14:textId="77777777">
        <w:tc>
          <w:tcPr>
            <w:tcW w:w="2093" w:type="dxa"/>
          </w:tcPr>
          <w:p w14:paraId="330949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2093" w:type="dxa"/>
          </w:tcPr>
          <w:p w14:paraId="066649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Брелис</w:t>
            </w:r>
            <w:proofErr w:type="spellEnd"/>
          </w:p>
        </w:tc>
      </w:tr>
      <w:tr w:rsidR="001002C3" w:rsidRPr="007122AB" w14:paraId="2691B429" w14:textId="77777777">
        <w:tc>
          <w:tcPr>
            <w:tcW w:w="2093" w:type="dxa"/>
          </w:tcPr>
          <w:p w14:paraId="3A4199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ВВС</w:t>
            </w:r>
          </w:p>
        </w:tc>
        <w:tc>
          <w:tcPr>
            <w:tcW w:w="2093" w:type="dxa"/>
          </w:tcPr>
          <w:p w14:paraId="01AB60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Аузам</w:t>
            </w:r>
            <w:proofErr w:type="spellEnd"/>
          </w:p>
        </w:tc>
      </w:tr>
      <w:tr w:rsidR="001002C3" w:rsidRPr="007122AB" w14:paraId="6EA9BC0A" w14:textId="77777777">
        <w:tc>
          <w:tcPr>
            <w:tcW w:w="2093" w:type="dxa"/>
          </w:tcPr>
          <w:p w14:paraId="3EB95B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67E59C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Ганулич</w:t>
            </w:r>
            <w:proofErr w:type="spellEnd"/>
          </w:p>
        </w:tc>
      </w:tr>
      <w:tr w:rsidR="001002C3" w:rsidRPr="007122AB" w14:paraId="3D03C7F9" w14:textId="77777777">
        <w:tc>
          <w:tcPr>
            <w:tcW w:w="2093" w:type="dxa"/>
          </w:tcPr>
          <w:p w14:paraId="009FC0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0BB515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Рогов</w:t>
            </w:r>
          </w:p>
        </w:tc>
      </w:tr>
      <w:tr w:rsidR="001002C3" w:rsidRPr="007122AB" w14:paraId="38F25507" w14:textId="77777777">
        <w:tc>
          <w:tcPr>
            <w:tcW w:w="2093" w:type="dxa"/>
          </w:tcPr>
          <w:p w14:paraId="551B64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16EA63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Дутенский</w:t>
            </w:r>
            <w:proofErr w:type="spellEnd"/>
          </w:p>
        </w:tc>
      </w:tr>
      <w:tr w:rsidR="001002C3" w:rsidRPr="007122AB" w14:paraId="5D361B8D" w14:textId="77777777">
        <w:tc>
          <w:tcPr>
            <w:tcW w:w="2093" w:type="dxa"/>
            <w:tcBorders>
              <w:bottom w:val="single" w:sz="12" w:space="0" w:color="auto"/>
            </w:tcBorders>
          </w:tcPr>
          <w:p w14:paraId="43B4C5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ВОГФ</w:t>
            </w:r>
          </w:p>
        </w:tc>
        <w:tc>
          <w:tcPr>
            <w:tcW w:w="2093" w:type="dxa"/>
            <w:tcBorders>
              <w:bottom w:val="single" w:sz="12" w:space="0" w:color="auto"/>
            </w:tcBorders>
          </w:tcPr>
          <w:p w14:paraId="0909EF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Анвельт</w:t>
            </w:r>
            <w:proofErr w:type="spellEnd"/>
          </w:p>
        </w:tc>
      </w:tr>
    </w:tbl>
    <w:p w14:paraId="7FCBDB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 О пересмотре развития мощностей заводов ВАО.</w:t>
      </w:r>
    </w:p>
    <w:p w14:paraId="4AAE7B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О С Т.А Н О В И Л И:</w:t>
      </w:r>
    </w:p>
    <w:p w14:paraId="22C3FA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Протокол совещания Нач. ВАО тов. Баранова и Нач. ВВС т. Алксниса, определяющий специализацию; </w:t>
      </w:r>
      <w:proofErr w:type="spellStart"/>
      <w:r w:rsidRPr="007122AB">
        <w:rPr>
          <w:rFonts w:ascii="Times New Roman" w:hAnsi="Times New Roman"/>
          <w:color w:val="000000" w:themeColor="text1"/>
          <w:sz w:val="16"/>
          <w:szCs w:val="16"/>
        </w:rPr>
        <w:t>об"ем</w:t>
      </w:r>
      <w:proofErr w:type="spellEnd"/>
      <w:r w:rsidRPr="007122AB">
        <w:rPr>
          <w:rFonts w:ascii="Times New Roman" w:hAnsi="Times New Roman"/>
          <w:color w:val="000000" w:themeColor="text1"/>
          <w:sz w:val="16"/>
          <w:szCs w:val="16"/>
        </w:rPr>
        <w:t xml:space="preserve">, задачи и темпы </w:t>
      </w:r>
      <w:proofErr w:type="spellStart"/>
      <w:r w:rsidRPr="007122AB">
        <w:rPr>
          <w:rFonts w:ascii="Times New Roman" w:hAnsi="Times New Roman"/>
          <w:color w:val="000000" w:themeColor="text1"/>
          <w:sz w:val="16"/>
          <w:szCs w:val="16"/>
        </w:rPr>
        <w:t>наростания</w:t>
      </w:r>
      <w:proofErr w:type="spellEnd"/>
      <w:r w:rsidRPr="007122AB">
        <w:rPr>
          <w:rFonts w:ascii="Times New Roman" w:hAnsi="Times New Roman"/>
          <w:color w:val="000000" w:themeColor="text1"/>
          <w:sz w:val="16"/>
          <w:szCs w:val="16"/>
        </w:rPr>
        <w:t xml:space="preserve"> до 1/1-35 г. мощностей заводов ВАО утвердить.</w:t>
      </w:r>
    </w:p>
    <w:p w14:paraId="53631C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 течение 1932 года построить самолетный завод специальных конструкций и начать постройку завода морского самолетостроения </w:t>
      </w:r>
      <w:proofErr w:type="spellStart"/>
      <w:r w:rsidRPr="007122AB">
        <w:rPr>
          <w:rFonts w:ascii="Times New Roman" w:hAnsi="Times New Roman"/>
          <w:color w:val="000000" w:themeColor="text1"/>
          <w:sz w:val="16"/>
          <w:szCs w:val="16"/>
        </w:rPr>
        <w:t>сокончанием</w:t>
      </w:r>
      <w:proofErr w:type="spellEnd"/>
      <w:r w:rsidRPr="007122AB">
        <w:rPr>
          <w:rFonts w:ascii="Times New Roman" w:hAnsi="Times New Roman"/>
          <w:color w:val="000000" w:themeColor="text1"/>
          <w:sz w:val="16"/>
          <w:szCs w:val="16"/>
        </w:rPr>
        <w:t xml:space="preserve"> его в 1933 году.</w:t>
      </w:r>
    </w:p>
    <w:p w14:paraId="1C50B7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Считать целесообразным в 1932 году начать постройку нового завода моторов водяного охлаждения. Достройку этого завода произвести при условии получения ассигнований сверх 400.000 </w:t>
      </w:r>
      <w:proofErr w:type="spellStart"/>
      <w:r w:rsidRPr="007122AB">
        <w:rPr>
          <w:rFonts w:ascii="Times New Roman" w:hAnsi="Times New Roman"/>
          <w:color w:val="000000" w:themeColor="text1"/>
          <w:sz w:val="16"/>
          <w:szCs w:val="16"/>
        </w:rPr>
        <w:t>т.р</w:t>
      </w:r>
      <w:proofErr w:type="spellEnd"/>
      <w:r w:rsidRPr="007122AB">
        <w:rPr>
          <w:rFonts w:ascii="Times New Roman" w:hAnsi="Times New Roman"/>
          <w:color w:val="000000" w:themeColor="text1"/>
          <w:sz w:val="16"/>
          <w:szCs w:val="16"/>
        </w:rPr>
        <w:t>.</w:t>
      </w:r>
    </w:p>
    <w:p w14:paraId="5F8F08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Завод маломощных моторов строить для производства моторов 3-х, 5-ти и 7-ми цилиндровых на мощность 15.000 шт. </w:t>
      </w:r>
      <w:proofErr w:type="spellStart"/>
      <w:r w:rsidRPr="007122AB">
        <w:rPr>
          <w:rFonts w:ascii="Times New Roman" w:hAnsi="Times New Roman"/>
          <w:color w:val="000000" w:themeColor="text1"/>
          <w:sz w:val="16"/>
          <w:szCs w:val="16"/>
        </w:rPr>
        <w:t>рассчетных</w:t>
      </w:r>
      <w:proofErr w:type="spellEnd"/>
      <w:r w:rsidRPr="007122AB">
        <w:rPr>
          <w:rFonts w:ascii="Times New Roman" w:hAnsi="Times New Roman"/>
          <w:color w:val="000000" w:themeColor="text1"/>
          <w:sz w:val="16"/>
          <w:szCs w:val="16"/>
        </w:rPr>
        <w:t xml:space="preserve"> З-х цилиндровых-моторов.</w:t>
      </w:r>
    </w:p>
    <w:p w14:paraId="0D4696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Моторный завод для танков включить в план развития Авиапромышленности по особой специальной смете, сверх ассигнований </w:t>
      </w:r>
      <w:proofErr w:type="spellStart"/>
      <w:r w:rsidRPr="007122AB">
        <w:rPr>
          <w:rFonts w:ascii="Times New Roman" w:hAnsi="Times New Roman"/>
          <w:color w:val="000000" w:themeColor="text1"/>
          <w:sz w:val="16"/>
          <w:szCs w:val="16"/>
        </w:rPr>
        <w:t>опрделенных</w:t>
      </w:r>
      <w:proofErr w:type="spellEnd"/>
      <w:r w:rsidRPr="007122AB">
        <w:rPr>
          <w:rFonts w:ascii="Times New Roman" w:hAnsi="Times New Roman"/>
          <w:color w:val="000000" w:themeColor="text1"/>
          <w:sz w:val="16"/>
          <w:szCs w:val="16"/>
        </w:rPr>
        <w:t xml:space="preserve"> для развития </w:t>
      </w:r>
      <w:proofErr w:type="spellStart"/>
      <w:r w:rsidRPr="007122AB">
        <w:rPr>
          <w:rFonts w:ascii="Times New Roman" w:hAnsi="Times New Roman"/>
          <w:color w:val="000000" w:themeColor="text1"/>
          <w:sz w:val="16"/>
          <w:szCs w:val="16"/>
        </w:rPr>
        <w:t>Авипромышленности</w:t>
      </w:r>
      <w:proofErr w:type="spellEnd"/>
      <w:r w:rsidRPr="007122AB">
        <w:rPr>
          <w:rFonts w:ascii="Times New Roman" w:hAnsi="Times New Roman"/>
          <w:color w:val="000000" w:themeColor="text1"/>
          <w:sz w:val="16"/>
          <w:szCs w:val="16"/>
        </w:rPr>
        <w:t xml:space="preserve">. Тип мотора установить </w:t>
      </w:r>
      <w:proofErr w:type="spellStart"/>
      <w:r w:rsidRPr="007122AB">
        <w:rPr>
          <w:rFonts w:ascii="Times New Roman" w:hAnsi="Times New Roman"/>
          <w:color w:val="000000" w:themeColor="text1"/>
          <w:sz w:val="16"/>
          <w:szCs w:val="16"/>
        </w:rPr>
        <w:t>Кертиес-Конкверор</w:t>
      </w:r>
      <w:proofErr w:type="spellEnd"/>
      <w:r w:rsidRPr="007122AB">
        <w:rPr>
          <w:rFonts w:ascii="Times New Roman" w:hAnsi="Times New Roman"/>
          <w:color w:val="000000" w:themeColor="text1"/>
          <w:sz w:val="16"/>
          <w:szCs w:val="16"/>
        </w:rPr>
        <w:t>.</w:t>
      </w:r>
    </w:p>
    <w:p w14:paraId="6803EC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Посттройку</w:t>
      </w:r>
      <w:proofErr w:type="spellEnd"/>
      <w:r w:rsidRPr="007122AB">
        <w:rPr>
          <w:rFonts w:ascii="Times New Roman" w:hAnsi="Times New Roman"/>
          <w:color w:val="000000" w:themeColor="text1"/>
          <w:sz w:val="16"/>
          <w:szCs w:val="16"/>
        </w:rPr>
        <w:t xml:space="preserve"> и организацию производства на этом заводе произвести с привлечением техпомощи от фирмы </w:t>
      </w:r>
      <w:proofErr w:type="spellStart"/>
      <w:r w:rsidRPr="007122AB">
        <w:rPr>
          <w:rFonts w:ascii="Times New Roman" w:hAnsi="Times New Roman"/>
          <w:color w:val="000000" w:themeColor="text1"/>
          <w:sz w:val="16"/>
          <w:szCs w:val="16"/>
        </w:rPr>
        <w:t>Кертесс</w:t>
      </w:r>
      <w:proofErr w:type="spellEnd"/>
      <w:r w:rsidRPr="007122AB">
        <w:rPr>
          <w:rFonts w:ascii="Times New Roman" w:hAnsi="Times New Roman"/>
          <w:color w:val="000000" w:themeColor="text1"/>
          <w:sz w:val="16"/>
          <w:szCs w:val="16"/>
        </w:rPr>
        <w:t>, заключив о ней соответствующий договор.</w:t>
      </w:r>
    </w:p>
    <w:p w14:paraId="799C19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Безусловно в 1933 году начать постройку завода моторов воздушного охлаждения для производства 5.000 моторов Райт-Циклон и 5000 моторов Райт-Ж 6 со всеми его модификациями.</w:t>
      </w:r>
    </w:p>
    <w:p w14:paraId="749A26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Пстройку</w:t>
      </w:r>
      <w:proofErr w:type="spellEnd"/>
      <w:r w:rsidRPr="007122AB">
        <w:rPr>
          <w:rFonts w:ascii="Times New Roman" w:hAnsi="Times New Roman"/>
          <w:color w:val="000000" w:themeColor="text1"/>
          <w:sz w:val="16"/>
          <w:szCs w:val="16"/>
        </w:rPr>
        <w:t xml:space="preserve"> и организацию производства на этом заводе произвести с привлечением техпомощи от Фирмы Райт, заключив с ней соответствующий договор.</w:t>
      </w:r>
    </w:p>
    <w:p w14:paraId="58C8D0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Считать необходимым поставить перед ВСНХ СССР вопрос об организации </w:t>
      </w:r>
      <w:proofErr w:type="spellStart"/>
      <w:r w:rsidRPr="007122AB">
        <w:rPr>
          <w:rFonts w:ascii="Times New Roman" w:hAnsi="Times New Roman"/>
          <w:color w:val="000000" w:themeColor="text1"/>
          <w:sz w:val="16"/>
          <w:szCs w:val="16"/>
        </w:rPr>
        <w:t>специальньх</w:t>
      </w:r>
      <w:proofErr w:type="spellEnd"/>
      <w:r w:rsidRPr="007122AB">
        <w:rPr>
          <w:rFonts w:ascii="Times New Roman" w:hAnsi="Times New Roman"/>
          <w:color w:val="000000" w:themeColor="text1"/>
          <w:sz w:val="16"/>
          <w:szCs w:val="16"/>
        </w:rPr>
        <w:t xml:space="preserve"> заводов по станкостроению, могущих частично начиная с 1932 года удовлетворять потребность </w:t>
      </w:r>
      <w:proofErr w:type="spellStart"/>
      <w:r w:rsidRPr="007122AB">
        <w:rPr>
          <w:rFonts w:ascii="Times New Roman" w:hAnsi="Times New Roman"/>
          <w:color w:val="000000" w:themeColor="text1"/>
          <w:sz w:val="16"/>
          <w:szCs w:val="16"/>
        </w:rPr>
        <w:t>Авиапромшленности</w:t>
      </w:r>
      <w:proofErr w:type="spellEnd"/>
      <w:r w:rsidRPr="007122AB">
        <w:rPr>
          <w:rFonts w:ascii="Times New Roman" w:hAnsi="Times New Roman"/>
          <w:color w:val="000000" w:themeColor="text1"/>
          <w:sz w:val="16"/>
          <w:szCs w:val="16"/>
        </w:rPr>
        <w:t xml:space="preserve"> в станках как качественно, так и количественно (2329,286).</w:t>
      </w:r>
    </w:p>
    <w:p w14:paraId="2AF082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Сравнительная таблица данных характеристик самолетов серийного производства начала и конца первой пятилетки и опытных самолетов, намеченных к внедрению в серийное производство в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8"/>
        <w:gridCol w:w="682"/>
        <w:gridCol w:w="567"/>
        <w:gridCol w:w="1134"/>
        <w:gridCol w:w="1085"/>
        <w:gridCol w:w="885"/>
        <w:gridCol w:w="885"/>
        <w:gridCol w:w="885"/>
        <w:gridCol w:w="698"/>
        <w:gridCol w:w="1109"/>
        <w:gridCol w:w="459"/>
        <w:gridCol w:w="1271"/>
      </w:tblGrid>
      <w:tr w:rsidR="001002C3" w:rsidRPr="007122AB" w14:paraId="59343601" w14:textId="77777777">
        <w:tc>
          <w:tcPr>
            <w:tcW w:w="675" w:type="dxa"/>
            <w:tcBorders>
              <w:top w:val="single" w:sz="12" w:space="0" w:color="auto"/>
            </w:tcBorders>
          </w:tcPr>
          <w:p w14:paraId="67C36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Год производства</w:t>
            </w:r>
          </w:p>
        </w:tc>
        <w:tc>
          <w:tcPr>
            <w:tcW w:w="878" w:type="dxa"/>
            <w:tcBorders>
              <w:top w:val="single" w:sz="12" w:space="0" w:color="auto"/>
            </w:tcBorders>
          </w:tcPr>
          <w:p w14:paraId="4E4F05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 (тип)</w:t>
            </w:r>
          </w:p>
        </w:tc>
        <w:tc>
          <w:tcPr>
            <w:tcW w:w="682" w:type="dxa"/>
            <w:tcBorders>
              <w:top w:val="single" w:sz="12" w:space="0" w:color="auto"/>
            </w:tcBorders>
          </w:tcPr>
          <w:p w14:paraId="4880D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и мощность моторов</w:t>
            </w:r>
          </w:p>
        </w:tc>
        <w:tc>
          <w:tcPr>
            <w:tcW w:w="567" w:type="dxa"/>
            <w:tcBorders>
              <w:top w:val="single" w:sz="12" w:space="0" w:color="auto"/>
            </w:tcBorders>
          </w:tcPr>
          <w:p w14:paraId="11382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w:t>
            </w:r>
          </w:p>
        </w:tc>
        <w:tc>
          <w:tcPr>
            <w:tcW w:w="1134" w:type="dxa"/>
            <w:tcBorders>
              <w:top w:val="single" w:sz="12" w:space="0" w:color="auto"/>
            </w:tcBorders>
          </w:tcPr>
          <w:p w14:paraId="32FE2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5BEC3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подъема на 5000 м</w:t>
            </w:r>
          </w:p>
        </w:tc>
        <w:tc>
          <w:tcPr>
            <w:tcW w:w="885" w:type="dxa"/>
            <w:tcBorders>
              <w:top w:val="single" w:sz="12" w:space="0" w:color="auto"/>
            </w:tcBorders>
          </w:tcPr>
          <w:p w14:paraId="10CC40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 к м</w:t>
            </w:r>
          </w:p>
        </w:tc>
        <w:tc>
          <w:tcPr>
            <w:tcW w:w="885" w:type="dxa"/>
            <w:tcBorders>
              <w:top w:val="single" w:sz="12" w:space="0" w:color="auto"/>
            </w:tcBorders>
          </w:tcPr>
          <w:p w14:paraId="06CD2E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Полный полезный вес в кг</w:t>
            </w:r>
          </w:p>
        </w:tc>
        <w:tc>
          <w:tcPr>
            <w:tcW w:w="885" w:type="dxa"/>
            <w:tcBorders>
              <w:top w:val="single" w:sz="12" w:space="0" w:color="auto"/>
            </w:tcBorders>
          </w:tcPr>
          <w:p w14:paraId="088A8A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Полная нагрузка в кг</w:t>
            </w:r>
          </w:p>
        </w:tc>
        <w:tc>
          <w:tcPr>
            <w:tcW w:w="698" w:type="dxa"/>
            <w:tcBorders>
              <w:top w:val="single" w:sz="12" w:space="0" w:color="auto"/>
            </w:tcBorders>
          </w:tcPr>
          <w:p w14:paraId="45ED6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(час) или дальность (км)</w:t>
            </w:r>
          </w:p>
        </w:tc>
        <w:tc>
          <w:tcPr>
            <w:tcW w:w="1109" w:type="dxa"/>
            <w:tcBorders>
              <w:top w:val="single" w:sz="12" w:space="0" w:color="auto"/>
            </w:tcBorders>
          </w:tcPr>
          <w:p w14:paraId="40259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(пушек и пулеметов, бомб)</w:t>
            </w:r>
          </w:p>
        </w:tc>
        <w:tc>
          <w:tcPr>
            <w:tcW w:w="459" w:type="dxa"/>
            <w:tcBorders>
              <w:top w:val="single" w:sz="12" w:space="0" w:color="auto"/>
            </w:tcBorders>
          </w:tcPr>
          <w:p w14:paraId="7DD0FC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1271" w:type="dxa"/>
            <w:tcBorders>
              <w:top w:val="single" w:sz="12" w:space="0" w:color="auto"/>
            </w:tcBorders>
          </w:tcPr>
          <w:p w14:paraId="55813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 конструкции</w:t>
            </w:r>
          </w:p>
        </w:tc>
      </w:tr>
      <w:tr w:rsidR="001002C3" w:rsidRPr="007122AB" w14:paraId="5BB3A749" w14:textId="77777777">
        <w:tc>
          <w:tcPr>
            <w:tcW w:w="675" w:type="dxa"/>
          </w:tcPr>
          <w:p w14:paraId="4308AF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3F4D8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BD45C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CDA9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земли</w:t>
            </w:r>
          </w:p>
        </w:tc>
        <w:tc>
          <w:tcPr>
            <w:tcW w:w="1134" w:type="dxa"/>
          </w:tcPr>
          <w:p w14:paraId="282A16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5000 м</w:t>
            </w:r>
          </w:p>
        </w:tc>
        <w:tc>
          <w:tcPr>
            <w:tcW w:w="1085" w:type="dxa"/>
          </w:tcPr>
          <w:p w14:paraId="71BC06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5451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7DAF0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054D1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794327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205A3E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4120B2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1E69CB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00067B" w14:textId="77777777">
        <w:tc>
          <w:tcPr>
            <w:tcW w:w="675" w:type="dxa"/>
          </w:tcPr>
          <w:p w14:paraId="16257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Разведчики (легкие бомбардировщики)</w:t>
            </w:r>
          </w:p>
        </w:tc>
        <w:tc>
          <w:tcPr>
            <w:tcW w:w="878" w:type="dxa"/>
          </w:tcPr>
          <w:p w14:paraId="354805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26FF3F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4228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0567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C649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AE0F3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2E13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5DD3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32A54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08A81C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34578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1E1830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F4A6CAA" w14:textId="77777777">
        <w:tc>
          <w:tcPr>
            <w:tcW w:w="675" w:type="dxa"/>
          </w:tcPr>
          <w:p w14:paraId="19056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1928</w:t>
            </w:r>
          </w:p>
        </w:tc>
        <w:tc>
          <w:tcPr>
            <w:tcW w:w="878" w:type="dxa"/>
          </w:tcPr>
          <w:p w14:paraId="7E53A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Р1-М5</w:t>
            </w:r>
          </w:p>
        </w:tc>
        <w:tc>
          <w:tcPr>
            <w:tcW w:w="682" w:type="dxa"/>
          </w:tcPr>
          <w:p w14:paraId="6ABBE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1х400</w:t>
            </w:r>
          </w:p>
        </w:tc>
        <w:tc>
          <w:tcPr>
            <w:tcW w:w="567" w:type="dxa"/>
          </w:tcPr>
          <w:p w14:paraId="46AF2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185</w:t>
            </w:r>
          </w:p>
        </w:tc>
        <w:tc>
          <w:tcPr>
            <w:tcW w:w="1134" w:type="dxa"/>
          </w:tcPr>
          <w:p w14:paraId="47858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 (2000 м)</w:t>
            </w:r>
          </w:p>
        </w:tc>
        <w:tc>
          <w:tcPr>
            <w:tcW w:w="1085" w:type="dxa"/>
          </w:tcPr>
          <w:p w14:paraId="685EA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на 3000</w:t>
            </w:r>
          </w:p>
        </w:tc>
        <w:tc>
          <w:tcPr>
            <w:tcW w:w="885" w:type="dxa"/>
          </w:tcPr>
          <w:p w14:paraId="12BE1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5250</w:t>
            </w:r>
          </w:p>
        </w:tc>
        <w:tc>
          <w:tcPr>
            <w:tcW w:w="885" w:type="dxa"/>
          </w:tcPr>
          <w:p w14:paraId="229680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2196</w:t>
            </w:r>
          </w:p>
        </w:tc>
        <w:tc>
          <w:tcPr>
            <w:tcW w:w="885" w:type="dxa"/>
          </w:tcPr>
          <w:p w14:paraId="02C7B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698" w:type="dxa"/>
          </w:tcPr>
          <w:p w14:paraId="4312B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w:t>
            </w:r>
          </w:p>
        </w:tc>
        <w:tc>
          <w:tcPr>
            <w:tcW w:w="1109" w:type="dxa"/>
          </w:tcPr>
          <w:p w14:paraId="3F098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3хпул</w:t>
            </w:r>
          </w:p>
          <w:p w14:paraId="6CBCA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 кг</w:t>
            </w:r>
          </w:p>
        </w:tc>
        <w:tc>
          <w:tcPr>
            <w:tcW w:w="459" w:type="dxa"/>
          </w:tcPr>
          <w:p w14:paraId="1B5C40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271" w:type="dxa"/>
          </w:tcPr>
          <w:p w14:paraId="3D1C3C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r>
      <w:tr w:rsidR="001002C3" w:rsidRPr="007122AB" w14:paraId="2673B584" w14:textId="77777777">
        <w:tc>
          <w:tcPr>
            <w:tcW w:w="675" w:type="dxa"/>
          </w:tcPr>
          <w:p w14:paraId="6537B8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878" w:type="dxa"/>
          </w:tcPr>
          <w:p w14:paraId="25A86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682" w:type="dxa"/>
          </w:tcPr>
          <w:p w14:paraId="494325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1х500</w:t>
            </w:r>
          </w:p>
        </w:tc>
        <w:tc>
          <w:tcPr>
            <w:tcW w:w="567" w:type="dxa"/>
          </w:tcPr>
          <w:p w14:paraId="2FFE6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218</w:t>
            </w:r>
          </w:p>
        </w:tc>
        <w:tc>
          <w:tcPr>
            <w:tcW w:w="1134" w:type="dxa"/>
          </w:tcPr>
          <w:p w14:paraId="4E2D1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160</w:t>
            </w:r>
          </w:p>
        </w:tc>
        <w:tc>
          <w:tcPr>
            <w:tcW w:w="1085" w:type="dxa"/>
          </w:tcPr>
          <w:p w14:paraId="322D4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w:t>
            </w:r>
          </w:p>
        </w:tc>
        <w:tc>
          <w:tcPr>
            <w:tcW w:w="885" w:type="dxa"/>
          </w:tcPr>
          <w:p w14:paraId="0DE7F5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5250</w:t>
            </w:r>
          </w:p>
        </w:tc>
        <w:tc>
          <w:tcPr>
            <w:tcW w:w="885" w:type="dxa"/>
          </w:tcPr>
          <w:p w14:paraId="16B36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2955</w:t>
            </w:r>
          </w:p>
        </w:tc>
        <w:tc>
          <w:tcPr>
            <w:tcW w:w="885" w:type="dxa"/>
          </w:tcPr>
          <w:p w14:paraId="7ACE2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787</w:t>
            </w:r>
          </w:p>
        </w:tc>
        <w:tc>
          <w:tcPr>
            <w:tcW w:w="698" w:type="dxa"/>
          </w:tcPr>
          <w:p w14:paraId="5244B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ч</w:t>
            </w:r>
          </w:p>
        </w:tc>
        <w:tc>
          <w:tcPr>
            <w:tcW w:w="1109" w:type="dxa"/>
          </w:tcPr>
          <w:p w14:paraId="308C5B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3хпул</w:t>
            </w:r>
          </w:p>
          <w:p w14:paraId="139E64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 кг</w:t>
            </w:r>
          </w:p>
        </w:tc>
        <w:tc>
          <w:tcPr>
            <w:tcW w:w="459" w:type="dxa"/>
          </w:tcPr>
          <w:p w14:paraId="3E930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271" w:type="dxa"/>
          </w:tcPr>
          <w:p w14:paraId="29FB3D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r>
      <w:tr w:rsidR="001002C3" w:rsidRPr="007122AB" w14:paraId="14993092" w14:textId="77777777">
        <w:tc>
          <w:tcPr>
            <w:tcW w:w="675" w:type="dxa"/>
          </w:tcPr>
          <w:p w14:paraId="40074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Истребители (одноместные)</w:t>
            </w:r>
          </w:p>
        </w:tc>
        <w:tc>
          <w:tcPr>
            <w:tcW w:w="878" w:type="dxa"/>
          </w:tcPr>
          <w:p w14:paraId="71CE2C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0D86CF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E59E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038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6589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0209E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E7CA7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F330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14316B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46F04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0BE030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32BCE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535702A" w14:textId="77777777">
        <w:tc>
          <w:tcPr>
            <w:tcW w:w="675" w:type="dxa"/>
          </w:tcPr>
          <w:p w14:paraId="53E90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1929</w:t>
            </w:r>
          </w:p>
        </w:tc>
        <w:tc>
          <w:tcPr>
            <w:tcW w:w="878" w:type="dxa"/>
          </w:tcPr>
          <w:p w14:paraId="2DCC4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И3-БМВ4</w:t>
            </w:r>
          </w:p>
        </w:tc>
        <w:tc>
          <w:tcPr>
            <w:tcW w:w="682" w:type="dxa"/>
          </w:tcPr>
          <w:p w14:paraId="110E4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1х500</w:t>
            </w:r>
          </w:p>
        </w:tc>
        <w:tc>
          <w:tcPr>
            <w:tcW w:w="567" w:type="dxa"/>
          </w:tcPr>
          <w:p w14:paraId="6B615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278</w:t>
            </w:r>
          </w:p>
        </w:tc>
        <w:tc>
          <w:tcPr>
            <w:tcW w:w="1134" w:type="dxa"/>
          </w:tcPr>
          <w:p w14:paraId="10C212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252</w:t>
            </w:r>
          </w:p>
        </w:tc>
        <w:tc>
          <w:tcPr>
            <w:tcW w:w="1085" w:type="dxa"/>
          </w:tcPr>
          <w:p w14:paraId="004C01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885" w:type="dxa"/>
          </w:tcPr>
          <w:p w14:paraId="7EEB1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885" w:type="dxa"/>
          </w:tcPr>
          <w:p w14:paraId="1D0C5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1850</w:t>
            </w:r>
          </w:p>
        </w:tc>
        <w:tc>
          <w:tcPr>
            <w:tcW w:w="885" w:type="dxa"/>
          </w:tcPr>
          <w:p w14:paraId="7E607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440</w:t>
            </w:r>
          </w:p>
        </w:tc>
        <w:tc>
          <w:tcPr>
            <w:tcW w:w="698" w:type="dxa"/>
          </w:tcPr>
          <w:p w14:paraId="55ABE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575 км</w:t>
            </w:r>
          </w:p>
        </w:tc>
        <w:tc>
          <w:tcPr>
            <w:tcW w:w="1109" w:type="dxa"/>
          </w:tcPr>
          <w:p w14:paraId="3DFABF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2хпул</w:t>
            </w:r>
          </w:p>
          <w:p w14:paraId="57848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820 </w:t>
            </w:r>
            <w:proofErr w:type="spellStart"/>
            <w:r w:rsidRPr="007122AB">
              <w:rPr>
                <w:rFonts w:ascii="Times New Roman" w:hAnsi="Times New Roman"/>
                <w:color w:val="000000" w:themeColor="text1"/>
                <w:sz w:val="16"/>
                <w:szCs w:val="16"/>
              </w:rPr>
              <w:t>патр</w:t>
            </w:r>
            <w:proofErr w:type="spellEnd"/>
            <w:r w:rsidRPr="007122AB">
              <w:rPr>
                <w:rFonts w:ascii="Times New Roman" w:hAnsi="Times New Roman"/>
                <w:color w:val="000000" w:themeColor="text1"/>
                <w:sz w:val="16"/>
                <w:szCs w:val="16"/>
              </w:rPr>
              <w:t>.</w:t>
            </w:r>
          </w:p>
        </w:tc>
        <w:tc>
          <w:tcPr>
            <w:tcW w:w="459" w:type="dxa"/>
          </w:tcPr>
          <w:p w14:paraId="13828B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71" w:type="dxa"/>
          </w:tcPr>
          <w:p w14:paraId="123FD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r>
      <w:tr w:rsidR="001002C3" w:rsidRPr="007122AB" w14:paraId="4A282D76" w14:textId="77777777">
        <w:tc>
          <w:tcPr>
            <w:tcW w:w="675" w:type="dxa"/>
          </w:tcPr>
          <w:p w14:paraId="5E1CC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878" w:type="dxa"/>
          </w:tcPr>
          <w:p w14:paraId="108A2F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w:t>
            </w:r>
          </w:p>
        </w:tc>
        <w:tc>
          <w:tcPr>
            <w:tcW w:w="682" w:type="dxa"/>
          </w:tcPr>
          <w:p w14:paraId="205BF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1х480</w:t>
            </w:r>
          </w:p>
        </w:tc>
        <w:tc>
          <w:tcPr>
            <w:tcW w:w="567" w:type="dxa"/>
          </w:tcPr>
          <w:p w14:paraId="025EE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278</w:t>
            </w:r>
          </w:p>
        </w:tc>
        <w:tc>
          <w:tcPr>
            <w:tcW w:w="1134" w:type="dxa"/>
          </w:tcPr>
          <w:p w14:paraId="0ED752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252</w:t>
            </w:r>
          </w:p>
        </w:tc>
        <w:tc>
          <w:tcPr>
            <w:tcW w:w="1085" w:type="dxa"/>
          </w:tcPr>
          <w:p w14:paraId="7576B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10:24</w:t>
            </w:r>
          </w:p>
        </w:tc>
        <w:tc>
          <w:tcPr>
            <w:tcW w:w="885" w:type="dxa"/>
          </w:tcPr>
          <w:p w14:paraId="65E25A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w:t>
            </w:r>
          </w:p>
        </w:tc>
        <w:tc>
          <w:tcPr>
            <w:tcW w:w="885" w:type="dxa"/>
          </w:tcPr>
          <w:p w14:paraId="37BE7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1350-1415</w:t>
            </w:r>
          </w:p>
        </w:tc>
        <w:tc>
          <w:tcPr>
            <w:tcW w:w="885" w:type="dxa"/>
          </w:tcPr>
          <w:p w14:paraId="20919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412-475</w:t>
            </w:r>
          </w:p>
        </w:tc>
        <w:tc>
          <w:tcPr>
            <w:tcW w:w="698" w:type="dxa"/>
          </w:tcPr>
          <w:p w14:paraId="0C49B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655</w:t>
            </w:r>
          </w:p>
        </w:tc>
        <w:tc>
          <w:tcPr>
            <w:tcW w:w="1109" w:type="dxa"/>
          </w:tcPr>
          <w:p w14:paraId="030801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2-4хпул</w:t>
            </w:r>
          </w:p>
          <w:p w14:paraId="6520BB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1200-2200 </w:t>
            </w:r>
            <w:proofErr w:type="spellStart"/>
            <w:r w:rsidRPr="007122AB">
              <w:rPr>
                <w:rFonts w:ascii="Times New Roman" w:hAnsi="Times New Roman"/>
                <w:color w:val="000000" w:themeColor="text1"/>
                <w:sz w:val="16"/>
                <w:szCs w:val="16"/>
              </w:rPr>
              <w:t>патр</w:t>
            </w:r>
            <w:proofErr w:type="spellEnd"/>
            <w:r w:rsidRPr="007122AB">
              <w:rPr>
                <w:rFonts w:ascii="Times New Roman" w:hAnsi="Times New Roman"/>
                <w:color w:val="000000" w:themeColor="text1"/>
                <w:sz w:val="16"/>
                <w:szCs w:val="16"/>
              </w:rPr>
              <w:t>.</w:t>
            </w:r>
          </w:p>
        </w:tc>
        <w:tc>
          <w:tcPr>
            <w:tcW w:w="459" w:type="dxa"/>
          </w:tcPr>
          <w:p w14:paraId="33CD2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71" w:type="dxa"/>
          </w:tcPr>
          <w:p w14:paraId="5F7FF0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смешанная</w:t>
            </w:r>
          </w:p>
        </w:tc>
      </w:tr>
      <w:tr w:rsidR="001002C3" w:rsidRPr="007122AB" w14:paraId="7977337F" w14:textId="77777777">
        <w:tc>
          <w:tcPr>
            <w:tcW w:w="675" w:type="dxa"/>
          </w:tcPr>
          <w:p w14:paraId="0264D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878" w:type="dxa"/>
          </w:tcPr>
          <w:p w14:paraId="71A9E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И7-М17</w:t>
            </w:r>
          </w:p>
        </w:tc>
        <w:tc>
          <w:tcPr>
            <w:tcW w:w="682" w:type="dxa"/>
          </w:tcPr>
          <w:p w14:paraId="1D08B9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1х500</w:t>
            </w:r>
          </w:p>
        </w:tc>
        <w:tc>
          <w:tcPr>
            <w:tcW w:w="567" w:type="dxa"/>
          </w:tcPr>
          <w:p w14:paraId="72D33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w:t>
            </w:r>
          </w:p>
        </w:tc>
        <w:tc>
          <w:tcPr>
            <w:tcW w:w="1134" w:type="dxa"/>
          </w:tcPr>
          <w:p w14:paraId="2C027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w:t>
            </w:r>
          </w:p>
        </w:tc>
        <w:tc>
          <w:tcPr>
            <w:tcW w:w="1085" w:type="dxa"/>
          </w:tcPr>
          <w:p w14:paraId="76856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11:28</w:t>
            </w:r>
          </w:p>
        </w:tc>
        <w:tc>
          <w:tcPr>
            <w:tcW w:w="885" w:type="dxa"/>
          </w:tcPr>
          <w:p w14:paraId="77D48B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7200</w:t>
            </w:r>
          </w:p>
        </w:tc>
        <w:tc>
          <w:tcPr>
            <w:tcW w:w="885" w:type="dxa"/>
          </w:tcPr>
          <w:p w14:paraId="3009F3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1790</w:t>
            </w:r>
          </w:p>
        </w:tc>
        <w:tc>
          <w:tcPr>
            <w:tcW w:w="885" w:type="dxa"/>
          </w:tcPr>
          <w:p w14:paraId="08CA5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433</w:t>
            </w:r>
          </w:p>
        </w:tc>
        <w:tc>
          <w:tcPr>
            <w:tcW w:w="698" w:type="dxa"/>
          </w:tcPr>
          <w:p w14:paraId="55132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109" w:type="dxa"/>
          </w:tcPr>
          <w:p w14:paraId="5AC7A7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2хпул</w:t>
            </w:r>
          </w:p>
          <w:p w14:paraId="3877C6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1200 </w:t>
            </w:r>
            <w:proofErr w:type="spellStart"/>
            <w:r w:rsidRPr="007122AB">
              <w:rPr>
                <w:rFonts w:ascii="Times New Roman" w:hAnsi="Times New Roman"/>
                <w:color w:val="000000" w:themeColor="text1"/>
                <w:sz w:val="16"/>
                <w:szCs w:val="16"/>
              </w:rPr>
              <w:t>патр</w:t>
            </w:r>
            <w:proofErr w:type="spellEnd"/>
            <w:r w:rsidRPr="007122AB">
              <w:rPr>
                <w:rFonts w:ascii="Times New Roman" w:hAnsi="Times New Roman"/>
                <w:color w:val="000000" w:themeColor="text1"/>
                <w:sz w:val="16"/>
                <w:szCs w:val="16"/>
              </w:rPr>
              <w:t>.</w:t>
            </w:r>
          </w:p>
        </w:tc>
        <w:tc>
          <w:tcPr>
            <w:tcW w:w="459" w:type="dxa"/>
          </w:tcPr>
          <w:p w14:paraId="65F4C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71" w:type="dxa"/>
          </w:tcPr>
          <w:p w14:paraId="7A7F1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смешанная</w:t>
            </w:r>
          </w:p>
        </w:tc>
      </w:tr>
      <w:tr w:rsidR="001002C3" w:rsidRPr="007122AB" w14:paraId="606A60A1" w14:textId="77777777">
        <w:tc>
          <w:tcPr>
            <w:tcW w:w="675" w:type="dxa"/>
          </w:tcPr>
          <w:p w14:paraId="6CFF8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В.Бомбардировщики</w:t>
            </w:r>
            <w:proofErr w:type="spellEnd"/>
          </w:p>
        </w:tc>
        <w:tc>
          <w:tcPr>
            <w:tcW w:w="878" w:type="dxa"/>
          </w:tcPr>
          <w:p w14:paraId="22D49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4FFAC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333E3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BDD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54AD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40A4D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3A4787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535D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5CAA96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1760E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7CAEA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5451C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1FB5556" w14:textId="77777777">
        <w:tc>
          <w:tcPr>
            <w:tcW w:w="675" w:type="dxa"/>
          </w:tcPr>
          <w:p w14:paraId="6C09EE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w:t>
            </w:r>
          </w:p>
        </w:tc>
        <w:tc>
          <w:tcPr>
            <w:tcW w:w="878" w:type="dxa"/>
          </w:tcPr>
          <w:p w14:paraId="542016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682" w:type="dxa"/>
          </w:tcPr>
          <w:p w14:paraId="6E10BC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2х500</w:t>
            </w:r>
          </w:p>
        </w:tc>
        <w:tc>
          <w:tcPr>
            <w:tcW w:w="567" w:type="dxa"/>
          </w:tcPr>
          <w:p w14:paraId="132926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180-204</w:t>
            </w:r>
          </w:p>
        </w:tc>
        <w:tc>
          <w:tcPr>
            <w:tcW w:w="1134" w:type="dxa"/>
          </w:tcPr>
          <w:p w14:paraId="2CC51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185 (3000)</w:t>
            </w:r>
          </w:p>
        </w:tc>
        <w:tc>
          <w:tcPr>
            <w:tcW w:w="1085" w:type="dxa"/>
          </w:tcPr>
          <w:p w14:paraId="210EF4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на 3000</w:t>
            </w:r>
          </w:p>
        </w:tc>
        <w:tc>
          <w:tcPr>
            <w:tcW w:w="885" w:type="dxa"/>
          </w:tcPr>
          <w:p w14:paraId="55BCD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4800</w:t>
            </w:r>
          </w:p>
        </w:tc>
        <w:tc>
          <w:tcPr>
            <w:tcW w:w="885" w:type="dxa"/>
          </w:tcPr>
          <w:p w14:paraId="495C07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6800</w:t>
            </w:r>
          </w:p>
        </w:tc>
        <w:tc>
          <w:tcPr>
            <w:tcW w:w="885" w:type="dxa"/>
          </w:tcPr>
          <w:p w14:paraId="6A878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2285</w:t>
            </w:r>
          </w:p>
        </w:tc>
        <w:tc>
          <w:tcPr>
            <w:tcW w:w="698" w:type="dxa"/>
          </w:tcPr>
          <w:p w14:paraId="6D582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840</w:t>
            </w:r>
          </w:p>
        </w:tc>
        <w:tc>
          <w:tcPr>
            <w:tcW w:w="1109" w:type="dxa"/>
          </w:tcPr>
          <w:p w14:paraId="69511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6хпул</w:t>
            </w:r>
          </w:p>
          <w:p w14:paraId="66BD44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730-1500 кг бомб</w:t>
            </w:r>
          </w:p>
        </w:tc>
        <w:tc>
          <w:tcPr>
            <w:tcW w:w="459" w:type="dxa"/>
          </w:tcPr>
          <w:p w14:paraId="05F1B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1271" w:type="dxa"/>
          </w:tcPr>
          <w:p w14:paraId="245167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r>
      <w:tr w:rsidR="001002C3" w:rsidRPr="007122AB" w14:paraId="2EAD8299" w14:textId="77777777">
        <w:tc>
          <w:tcPr>
            <w:tcW w:w="675" w:type="dxa"/>
          </w:tcPr>
          <w:p w14:paraId="0205A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878" w:type="dxa"/>
          </w:tcPr>
          <w:p w14:paraId="2F3A7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c>
          <w:tcPr>
            <w:tcW w:w="682" w:type="dxa"/>
          </w:tcPr>
          <w:p w14:paraId="72149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4х500</w:t>
            </w:r>
          </w:p>
        </w:tc>
        <w:tc>
          <w:tcPr>
            <w:tcW w:w="567" w:type="dxa"/>
          </w:tcPr>
          <w:p w14:paraId="1C0B6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213</w:t>
            </w:r>
          </w:p>
        </w:tc>
        <w:tc>
          <w:tcPr>
            <w:tcW w:w="1134" w:type="dxa"/>
          </w:tcPr>
          <w:p w14:paraId="7B9F8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172C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 на 3000</w:t>
            </w:r>
          </w:p>
        </w:tc>
        <w:tc>
          <w:tcPr>
            <w:tcW w:w="885" w:type="dxa"/>
          </w:tcPr>
          <w:p w14:paraId="1BCEC5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3700</w:t>
            </w:r>
          </w:p>
        </w:tc>
        <w:tc>
          <w:tcPr>
            <w:tcW w:w="885" w:type="dxa"/>
          </w:tcPr>
          <w:p w14:paraId="666FFA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17200</w:t>
            </w:r>
          </w:p>
        </w:tc>
        <w:tc>
          <w:tcPr>
            <w:tcW w:w="885" w:type="dxa"/>
          </w:tcPr>
          <w:p w14:paraId="70E29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6020-6250</w:t>
            </w:r>
          </w:p>
        </w:tc>
        <w:tc>
          <w:tcPr>
            <w:tcW w:w="698" w:type="dxa"/>
          </w:tcPr>
          <w:p w14:paraId="4100C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09" w:type="dxa"/>
          </w:tcPr>
          <w:p w14:paraId="5614E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6хпул</w:t>
            </w:r>
          </w:p>
          <w:p w14:paraId="7C334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 кг бомб</w:t>
            </w:r>
          </w:p>
        </w:tc>
        <w:tc>
          <w:tcPr>
            <w:tcW w:w="459" w:type="dxa"/>
          </w:tcPr>
          <w:p w14:paraId="5607C6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271" w:type="dxa"/>
          </w:tcPr>
          <w:p w14:paraId="034FF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r>
      <w:tr w:rsidR="001002C3" w:rsidRPr="007122AB" w14:paraId="2E93DED8" w14:textId="77777777">
        <w:tc>
          <w:tcPr>
            <w:tcW w:w="675" w:type="dxa"/>
          </w:tcPr>
          <w:p w14:paraId="5177EB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Учебные самолеты</w:t>
            </w:r>
          </w:p>
        </w:tc>
        <w:tc>
          <w:tcPr>
            <w:tcW w:w="878" w:type="dxa"/>
          </w:tcPr>
          <w:p w14:paraId="00889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3B66F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D9E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9EB2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C46B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10AA0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619F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0E706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0A7700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124AC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59AED2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22D05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4B63A37" w14:textId="77777777">
        <w:tc>
          <w:tcPr>
            <w:tcW w:w="675" w:type="dxa"/>
          </w:tcPr>
          <w:p w14:paraId="79D8C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1928</w:t>
            </w:r>
          </w:p>
        </w:tc>
        <w:tc>
          <w:tcPr>
            <w:tcW w:w="878" w:type="dxa"/>
          </w:tcPr>
          <w:p w14:paraId="0C5FF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У2-М2</w:t>
            </w:r>
          </w:p>
        </w:tc>
        <w:tc>
          <w:tcPr>
            <w:tcW w:w="682" w:type="dxa"/>
          </w:tcPr>
          <w:p w14:paraId="58750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1х120</w:t>
            </w:r>
          </w:p>
        </w:tc>
        <w:tc>
          <w:tcPr>
            <w:tcW w:w="567" w:type="dxa"/>
          </w:tcPr>
          <w:p w14:paraId="1C698C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w:t>
            </w:r>
          </w:p>
        </w:tc>
        <w:tc>
          <w:tcPr>
            <w:tcW w:w="1134" w:type="dxa"/>
          </w:tcPr>
          <w:p w14:paraId="183D4C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122 (2000)</w:t>
            </w:r>
          </w:p>
        </w:tc>
        <w:tc>
          <w:tcPr>
            <w:tcW w:w="1085" w:type="dxa"/>
          </w:tcPr>
          <w:p w14:paraId="02A5E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на 3000</w:t>
            </w:r>
          </w:p>
        </w:tc>
        <w:tc>
          <w:tcPr>
            <w:tcW w:w="885" w:type="dxa"/>
          </w:tcPr>
          <w:p w14:paraId="31F66D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885" w:type="dxa"/>
          </w:tcPr>
          <w:p w14:paraId="55C54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840</w:t>
            </w:r>
          </w:p>
        </w:tc>
        <w:tc>
          <w:tcPr>
            <w:tcW w:w="885" w:type="dxa"/>
          </w:tcPr>
          <w:p w14:paraId="0BDD5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c>
          <w:tcPr>
            <w:tcW w:w="698" w:type="dxa"/>
          </w:tcPr>
          <w:p w14:paraId="45C698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09" w:type="dxa"/>
          </w:tcPr>
          <w:p w14:paraId="6EE72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59" w:type="dxa"/>
          </w:tcPr>
          <w:p w14:paraId="3504D3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271" w:type="dxa"/>
          </w:tcPr>
          <w:p w14:paraId="15291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r>
      <w:tr w:rsidR="001002C3" w:rsidRPr="007122AB" w14:paraId="6FF86DED" w14:textId="77777777">
        <w:tc>
          <w:tcPr>
            <w:tcW w:w="675" w:type="dxa"/>
          </w:tcPr>
          <w:p w14:paraId="3DE43C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878" w:type="dxa"/>
          </w:tcPr>
          <w:p w14:paraId="77EE0E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У2-М11</w:t>
            </w:r>
          </w:p>
        </w:tc>
        <w:tc>
          <w:tcPr>
            <w:tcW w:w="682" w:type="dxa"/>
          </w:tcPr>
          <w:p w14:paraId="02BE01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1х100</w:t>
            </w:r>
          </w:p>
        </w:tc>
        <w:tc>
          <w:tcPr>
            <w:tcW w:w="567" w:type="dxa"/>
          </w:tcPr>
          <w:p w14:paraId="4E51C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134" w:type="dxa"/>
          </w:tcPr>
          <w:p w14:paraId="338174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 (3000)</w:t>
            </w:r>
          </w:p>
        </w:tc>
        <w:tc>
          <w:tcPr>
            <w:tcW w:w="1085" w:type="dxa"/>
          </w:tcPr>
          <w:p w14:paraId="086036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на 3000</w:t>
            </w:r>
          </w:p>
        </w:tc>
        <w:tc>
          <w:tcPr>
            <w:tcW w:w="885" w:type="dxa"/>
          </w:tcPr>
          <w:p w14:paraId="6E08A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3820</w:t>
            </w:r>
          </w:p>
        </w:tc>
        <w:tc>
          <w:tcPr>
            <w:tcW w:w="885" w:type="dxa"/>
          </w:tcPr>
          <w:p w14:paraId="5DD0C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890</w:t>
            </w:r>
          </w:p>
        </w:tc>
        <w:tc>
          <w:tcPr>
            <w:tcW w:w="885" w:type="dxa"/>
          </w:tcPr>
          <w:p w14:paraId="2CBD50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255</w:t>
            </w:r>
          </w:p>
        </w:tc>
        <w:tc>
          <w:tcPr>
            <w:tcW w:w="698" w:type="dxa"/>
          </w:tcPr>
          <w:p w14:paraId="75C68C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w:t>
            </w:r>
          </w:p>
        </w:tc>
        <w:tc>
          <w:tcPr>
            <w:tcW w:w="1109" w:type="dxa"/>
          </w:tcPr>
          <w:p w14:paraId="5D0AEA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59" w:type="dxa"/>
          </w:tcPr>
          <w:p w14:paraId="06DA7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271" w:type="dxa"/>
          </w:tcPr>
          <w:p w14:paraId="052177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r>
      <w:tr w:rsidR="001002C3" w:rsidRPr="007122AB" w14:paraId="17F691D4" w14:textId="77777777">
        <w:tc>
          <w:tcPr>
            <w:tcW w:w="675" w:type="dxa"/>
          </w:tcPr>
          <w:p w14:paraId="289E0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 намеченные к серии в 1933</w:t>
            </w:r>
          </w:p>
        </w:tc>
        <w:tc>
          <w:tcPr>
            <w:tcW w:w="878" w:type="dxa"/>
          </w:tcPr>
          <w:p w14:paraId="527E1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4B97B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DE4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C9D01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E5CB0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4EF1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3D0A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1746A7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0C9C0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5969F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50FBB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63323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A0C9A2F" w14:textId="77777777">
        <w:tc>
          <w:tcPr>
            <w:tcW w:w="675" w:type="dxa"/>
          </w:tcPr>
          <w:p w14:paraId="69453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одноместный</w:t>
            </w:r>
          </w:p>
        </w:tc>
        <w:tc>
          <w:tcPr>
            <w:tcW w:w="878" w:type="dxa"/>
          </w:tcPr>
          <w:p w14:paraId="1FFADF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И13-М32</w:t>
            </w:r>
          </w:p>
        </w:tc>
        <w:tc>
          <w:tcPr>
            <w:tcW w:w="682" w:type="dxa"/>
          </w:tcPr>
          <w:p w14:paraId="764C8D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1х800</w:t>
            </w:r>
          </w:p>
        </w:tc>
        <w:tc>
          <w:tcPr>
            <w:tcW w:w="567" w:type="dxa"/>
          </w:tcPr>
          <w:p w14:paraId="71D1F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1E30B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350-400</w:t>
            </w:r>
          </w:p>
        </w:tc>
        <w:tc>
          <w:tcPr>
            <w:tcW w:w="1085" w:type="dxa"/>
          </w:tcPr>
          <w:p w14:paraId="4F009A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w:t>
            </w:r>
          </w:p>
        </w:tc>
        <w:tc>
          <w:tcPr>
            <w:tcW w:w="885" w:type="dxa"/>
          </w:tcPr>
          <w:p w14:paraId="653647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8-9000</w:t>
            </w:r>
          </w:p>
        </w:tc>
        <w:tc>
          <w:tcPr>
            <w:tcW w:w="885" w:type="dxa"/>
          </w:tcPr>
          <w:p w14:paraId="6E7313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5" w:type="dxa"/>
          </w:tcPr>
          <w:p w14:paraId="4FC43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8" w:type="dxa"/>
          </w:tcPr>
          <w:p w14:paraId="36376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109" w:type="dxa"/>
          </w:tcPr>
          <w:p w14:paraId="05DE83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2-4хпул</w:t>
            </w:r>
          </w:p>
        </w:tc>
        <w:tc>
          <w:tcPr>
            <w:tcW w:w="459" w:type="dxa"/>
          </w:tcPr>
          <w:p w14:paraId="445806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71" w:type="dxa"/>
          </w:tcPr>
          <w:p w14:paraId="7FEF4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 сталь</w:t>
            </w:r>
          </w:p>
        </w:tc>
      </w:tr>
      <w:tr w:rsidR="001002C3" w:rsidRPr="007122AB" w14:paraId="01C7DDFD" w14:textId="77777777">
        <w:tc>
          <w:tcPr>
            <w:tcW w:w="675" w:type="dxa"/>
          </w:tcPr>
          <w:p w14:paraId="7083BA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0888D2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И14-М38</w:t>
            </w:r>
          </w:p>
        </w:tc>
        <w:tc>
          <w:tcPr>
            <w:tcW w:w="682" w:type="dxa"/>
          </w:tcPr>
          <w:p w14:paraId="03FA3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1х550</w:t>
            </w:r>
          </w:p>
        </w:tc>
        <w:tc>
          <w:tcPr>
            <w:tcW w:w="567" w:type="dxa"/>
          </w:tcPr>
          <w:p w14:paraId="3112B0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34F8A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340-400</w:t>
            </w:r>
          </w:p>
        </w:tc>
        <w:tc>
          <w:tcPr>
            <w:tcW w:w="1085" w:type="dxa"/>
          </w:tcPr>
          <w:p w14:paraId="437E0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w:t>
            </w:r>
          </w:p>
        </w:tc>
        <w:tc>
          <w:tcPr>
            <w:tcW w:w="885" w:type="dxa"/>
          </w:tcPr>
          <w:p w14:paraId="55049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9-10000</w:t>
            </w:r>
          </w:p>
        </w:tc>
        <w:tc>
          <w:tcPr>
            <w:tcW w:w="885" w:type="dxa"/>
          </w:tcPr>
          <w:p w14:paraId="2C5C2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5" w:type="dxa"/>
          </w:tcPr>
          <w:p w14:paraId="66752B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8" w:type="dxa"/>
          </w:tcPr>
          <w:p w14:paraId="3813D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109" w:type="dxa"/>
          </w:tcPr>
          <w:p w14:paraId="6C5AD8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59" w:type="dxa"/>
          </w:tcPr>
          <w:p w14:paraId="741F4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271" w:type="dxa"/>
          </w:tcPr>
          <w:p w14:paraId="6DF24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 сталь</w:t>
            </w:r>
          </w:p>
        </w:tc>
      </w:tr>
      <w:tr w:rsidR="001002C3" w:rsidRPr="007122AB" w14:paraId="56833E5C" w14:textId="77777777">
        <w:tc>
          <w:tcPr>
            <w:tcW w:w="675" w:type="dxa"/>
          </w:tcPr>
          <w:p w14:paraId="6B9BEA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многоместный</w:t>
            </w:r>
          </w:p>
        </w:tc>
        <w:tc>
          <w:tcPr>
            <w:tcW w:w="878" w:type="dxa"/>
          </w:tcPr>
          <w:p w14:paraId="57832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682" w:type="dxa"/>
          </w:tcPr>
          <w:p w14:paraId="5E97C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2х750</w:t>
            </w:r>
          </w:p>
        </w:tc>
        <w:tc>
          <w:tcPr>
            <w:tcW w:w="567" w:type="dxa"/>
          </w:tcPr>
          <w:p w14:paraId="7FF5F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1A13B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85" w:type="dxa"/>
          </w:tcPr>
          <w:p w14:paraId="025A1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15-18</w:t>
            </w:r>
          </w:p>
        </w:tc>
        <w:tc>
          <w:tcPr>
            <w:tcW w:w="885" w:type="dxa"/>
          </w:tcPr>
          <w:p w14:paraId="54BBF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7-8000</w:t>
            </w:r>
          </w:p>
        </w:tc>
        <w:tc>
          <w:tcPr>
            <w:tcW w:w="885" w:type="dxa"/>
          </w:tcPr>
          <w:p w14:paraId="4B0F5D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5" w:type="dxa"/>
          </w:tcPr>
          <w:p w14:paraId="277B0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8" w:type="dxa"/>
          </w:tcPr>
          <w:p w14:paraId="368DB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109" w:type="dxa"/>
          </w:tcPr>
          <w:p w14:paraId="74E3F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7хпул</w:t>
            </w:r>
          </w:p>
        </w:tc>
        <w:tc>
          <w:tcPr>
            <w:tcW w:w="459" w:type="dxa"/>
          </w:tcPr>
          <w:p w14:paraId="680F03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271" w:type="dxa"/>
          </w:tcPr>
          <w:p w14:paraId="22FCC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r>
      <w:tr w:rsidR="001002C3" w:rsidRPr="007122AB" w14:paraId="55A61300" w14:textId="77777777">
        <w:tc>
          <w:tcPr>
            <w:tcW w:w="675" w:type="dxa"/>
          </w:tcPr>
          <w:p w14:paraId="03FC25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Тяжелый бомбардировщик</w:t>
            </w:r>
          </w:p>
        </w:tc>
        <w:tc>
          <w:tcPr>
            <w:tcW w:w="878" w:type="dxa"/>
          </w:tcPr>
          <w:p w14:paraId="7B2C8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ТБ4-6М34</w:t>
            </w:r>
          </w:p>
        </w:tc>
        <w:tc>
          <w:tcPr>
            <w:tcW w:w="682" w:type="dxa"/>
          </w:tcPr>
          <w:p w14:paraId="766A13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6х750</w:t>
            </w:r>
          </w:p>
        </w:tc>
        <w:tc>
          <w:tcPr>
            <w:tcW w:w="567" w:type="dxa"/>
          </w:tcPr>
          <w:p w14:paraId="5E767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w:t>
            </w:r>
          </w:p>
        </w:tc>
        <w:tc>
          <w:tcPr>
            <w:tcW w:w="1134" w:type="dxa"/>
          </w:tcPr>
          <w:p w14:paraId="01C16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 (3000)</w:t>
            </w:r>
          </w:p>
        </w:tc>
        <w:tc>
          <w:tcPr>
            <w:tcW w:w="1085" w:type="dxa"/>
          </w:tcPr>
          <w:p w14:paraId="735C8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на 3000</w:t>
            </w:r>
          </w:p>
        </w:tc>
        <w:tc>
          <w:tcPr>
            <w:tcW w:w="885" w:type="dxa"/>
          </w:tcPr>
          <w:p w14:paraId="3FFAB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885" w:type="dxa"/>
          </w:tcPr>
          <w:p w14:paraId="0F7A01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31000</w:t>
            </w:r>
          </w:p>
        </w:tc>
        <w:tc>
          <w:tcPr>
            <w:tcW w:w="885" w:type="dxa"/>
          </w:tcPr>
          <w:p w14:paraId="569D5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10600</w:t>
            </w:r>
          </w:p>
        </w:tc>
        <w:tc>
          <w:tcPr>
            <w:tcW w:w="698" w:type="dxa"/>
          </w:tcPr>
          <w:p w14:paraId="6D6E2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09" w:type="dxa"/>
          </w:tcPr>
          <w:p w14:paraId="34D6A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12хпул</w:t>
            </w:r>
          </w:p>
          <w:p w14:paraId="2990C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 бомб</w:t>
            </w:r>
          </w:p>
        </w:tc>
        <w:tc>
          <w:tcPr>
            <w:tcW w:w="459" w:type="dxa"/>
          </w:tcPr>
          <w:p w14:paraId="31DEB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496F80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r>
      <w:tr w:rsidR="007122AB" w:rsidRPr="007122AB" w14:paraId="5B93ECD6" w14:textId="77777777">
        <w:tc>
          <w:tcPr>
            <w:tcW w:w="675" w:type="dxa"/>
            <w:tcBorders>
              <w:bottom w:val="single" w:sz="12" w:space="0" w:color="auto"/>
            </w:tcBorders>
          </w:tcPr>
          <w:p w14:paraId="5F33CC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Borders>
              <w:bottom w:val="single" w:sz="12" w:space="0" w:color="auto"/>
            </w:tcBorders>
          </w:tcPr>
          <w:p w14:paraId="613A3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К7-7М34</w:t>
            </w:r>
          </w:p>
        </w:tc>
        <w:tc>
          <w:tcPr>
            <w:tcW w:w="682" w:type="dxa"/>
            <w:tcBorders>
              <w:bottom w:val="single" w:sz="12" w:space="0" w:color="auto"/>
            </w:tcBorders>
          </w:tcPr>
          <w:p w14:paraId="11273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67" w:type="dxa"/>
            <w:tcBorders>
              <w:bottom w:val="single" w:sz="12" w:space="0" w:color="auto"/>
            </w:tcBorders>
          </w:tcPr>
          <w:p w14:paraId="288DD7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648E7C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213 (2000)</w:t>
            </w:r>
          </w:p>
        </w:tc>
        <w:tc>
          <w:tcPr>
            <w:tcW w:w="1085" w:type="dxa"/>
            <w:tcBorders>
              <w:bottom w:val="single" w:sz="12" w:space="0" w:color="auto"/>
            </w:tcBorders>
          </w:tcPr>
          <w:p w14:paraId="49562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85" w:type="dxa"/>
            <w:tcBorders>
              <w:bottom w:val="single" w:sz="12" w:space="0" w:color="auto"/>
            </w:tcBorders>
          </w:tcPr>
          <w:p w14:paraId="08E7A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3650</w:t>
            </w:r>
          </w:p>
        </w:tc>
        <w:tc>
          <w:tcPr>
            <w:tcW w:w="885" w:type="dxa"/>
            <w:tcBorders>
              <w:bottom w:val="single" w:sz="12" w:space="0" w:color="auto"/>
            </w:tcBorders>
          </w:tcPr>
          <w:p w14:paraId="39BEB8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35000</w:t>
            </w:r>
          </w:p>
        </w:tc>
        <w:tc>
          <w:tcPr>
            <w:tcW w:w="885" w:type="dxa"/>
            <w:tcBorders>
              <w:bottom w:val="single" w:sz="12" w:space="0" w:color="auto"/>
            </w:tcBorders>
          </w:tcPr>
          <w:p w14:paraId="64A77C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698" w:type="dxa"/>
            <w:tcBorders>
              <w:bottom w:val="single" w:sz="12" w:space="0" w:color="auto"/>
            </w:tcBorders>
          </w:tcPr>
          <w:p w14:paraId="0850B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 км</w:t>
            </w:r>
          </w:p>
        </w:tc>
        <w:tc>
          <w:tcPr>
            <w:tcW w:w="1109" w:type="dxa"/>
            <w:tcBorders>
              <w:bottom w:val="single" w:sz="12" w:space="0" w:color="auto"/>
            </w:tcBorders>
          </w:tcPr>
          <w:p w14:paraId="1CDBB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459" w:type="dxa"/>
            <w:tcBorders>
              <w:bottom w:val="single" w:sz="12" w:space="0" w:color="auto"/>
            </w:tcBorders>
          </w:tcPr>
          <w:p w14:paraId="33BAC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bottom w:val="single" w:sz="12" w:space="0" w:color="auto"/>
            </w:tcBorders>
          </w:tcPr>
          <w:p w14:paraId="1F214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r>
    </w:tbl>
    <w:p w14:paraId="54F1C6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685AB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06E082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3BD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сентября 1931 г. начинаются совместные войсковые испытания торпедных катеров волнового управления с системами ОТБ и ЦЛПС (центральная лаборатория проводной связи, руководитель А. </w:t>
      </w:r>
      <w:proofErr w:type="spellStart"/>
      <w:r w:rsidRPr="007122AB">
        <w:rPr>
          <w:rFonts w:ascii="Times New Roman" w:hAnsi="Times New Roman"/>
          <w:color w:val="000000" w:themeColor="text1"/>
          <w:sz w:val="16"/>
          <w:szCs w:val="16"/>
        </w:rPr>
        <w:t>Ф.Шорин</w:t>
      </w:r>
      <w:proofErr w:type="spellEnd"/>
      <w:r w:rsidRPr="007122AB">
        <w:rPr>
          <w:rFonts w:ascii="Times New Roman" w:hAnsi="Times New Roman"/>
          <w:color w:val="000000" w:themeColor="text1"/>
          <w:sz w:val="16"/>
          <w:szCs w:val="16"/>
        </w:rPr>
        <w:t xml:space="preserve">), закончившиеся победой последней. Аппаратура ЦЛПС в 1932 г. была установлена на 30 катерах типа Ш-4 на Балтийском и Черном морях, где они составляли костяк «москитных сил» (переоборудовали все находившиеся в строю единицы). Главным преимуществом аппаратуры ЦЛПС была возможность управления катером с самолета. На испытаниях использовался поплавковый ТБ-1, а серийную аппаратуру устанавливали на летающих лодках «Савойя С-62 бис» (МБР-4). Их, в свою очередь, сменили МБР-2 </w:t>
      </w:r>
      <w:proofErr w:type="spellStart"/>
      <w:r w:rsidRPr="007122AB">
        <w:rPr>
          <w:rFonts w:ascii="Times New Roman" w:hAnsi="Times New Roman"/>
          <w:color w:val="000000" w:themeColor="text1"/>
          <w:sz w:val="16"/>
          <w:szCs w:val="16"/>
        </w:rPr>
        <w:t>спецсерии</w:t>
      </w:r>
      <w:proofErr w:type="spellEnd"/>
      <w:r w:rsidRPr="007122AB">
        <w:rPr>
          <w:rFonts w:ascii="Times New Roman" w:hAnsi="Times New Roman"/>
          <w:color w:val="000000" w:themeColor="text1"/>
          <w:sz w:val="16"/>
          <w:szCs w:val="16"/>
        </w:rPr>
        <w:t xml:space="preserve"> В-4, оказавшиеся к 1941 г. единственным типом самолетов-водителей радиоуправляемых катеров. Обе системы управления поставлялись на флоты параллельно. Преимуществом детища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было наличие счетно-решающего прибора, позволявшего упростить расчет курса выхода в торпедную атаку. Полагалось по одному самолету-водителю на два катера с аппаратурой ЦЛПС или на один - с ОТБ. Оснащение катеров той или другой системой определялось на стадии строительства корпуса, переделать что-либо впоследствии было невозможно, равно как и установить волновое управление на катере, не предназначавшемся к тому первоначально. В состав экипажа вводился седьмой человек - электрик по спецоборудованию. Тактическое использование катеров совершенствовалось: предполагалось каждый второй оснастить увеличенным в два раза комплектом дымаппаратуры, или системой МТК-б с повышенной производительностью. Прорабатывались варианты увеличения числа катеров, управляемых с одной станции, до четырех. Системе управления катерами усовершенствованного образца присвоили наименование «Вольт-Р», а аппаратуре самолета - «Кварц» (6002).</w:t>
      </w:r>
    </w:p>
    <w:p w14:paraId="3BCABA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7E23E7" w14:textId="77777777" w:rsidR="00BF73AF" w:rsidRPr="007122AB" w:rsidRDefault="00BF73AF"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2 сентября 1931 года начало совместных войсковых испытаний торпедных катеров волнового управления систем </w:t>
      </w:r>
      <w:proofErr w:type="spellStart"/>
      <w:r w:rsidRPr="007122AB">
        <w:rPr>
          <w:rFonts w:ascii="Times New Roman" w:hAnsi="Times New Roman"/>
          <w:color w:val="000000" w:themeColor="text1"/>
          <w:sz w:val="16"/>
          <w:szCs w:val="16"/>
          <w:shd w:val="clear" w:color="auto" w:fill="FFFFFF"/>
        </w:rPr>
        <w:t>Остехбюро</w:t>
      </w:r>
      <w:proofErr w:type="spellEnd"/>
      <w:r w:rsidRPr="007122AB">
        <w:rPr>
          <w:rFonts w:ascii="Times New Roman" w:hAnsi="Times New Roman"/>
          <w:color w:val="000000" w:themeColor="text1"/>
          <w:sz w:val="16"/>
          <w:szCs w:val="16"/>
          <w:shd w:val="clear" w:color="auto" w:fill="FFFFFF"/>
        </w:rPr>
        <w:t xml:space="preserve"> и ЦЛПС (Центральная лаборатория проводной связи).</w:t>
      </w:r>
    </w:p>
    <w:p w14:paraId="37342F36" w14:textId="77777777" w:rsidR="00BF73AF" w:rsidRPr="007122AB" w:rsidRDefault="00BF73AF"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Нарком по военным и морским делам К.Е. Ворошилов назначил комиссию для заключительных испытаний.</w:t>
      </w:r>
    </w:p>
    <w:p w14:paraId="6803F060" w14:textId="77777777" w:rsidR="00BF73AF" w:rsidRPr="007122AB" w:rsidRDefault="00BF73AF"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Отдел специальной аппаратуры (ОСА) ЦРЛ А.Ф. Шорина.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включил в свой комплекс счетно-решающий прибор. В комплексе же Шорина курс рассчитывал по карте оператор. </w:t>
      </w:r>
    </w:p>
    <w:p w14:paraId="7A2970D5" w14:textId="77777777" w:rsidR="00BF73AF" w:rsidRPr="007122AB" w:rsidRDefault="00BF73AF"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w:t>
      </w:r>
      <w:proofErr w:type="spellStart"/>
      <w:r w:rsidRPr="007122AB">
        <w:rPr>
          <w:rFonts w:ascii="Times New Roman" w:hAnsi="Times New Roman"/>
          <w:color w:val="000000" w:themeColor="text1"/>
          <w:sz w:val="16"/>
          <w:szCs w:val="16"/>
          <w:shd w:val="clear" w:color="auto" w:fill="FFFFFF"/>
        </w:rPr>
        <w:t>Остехбюро</w:t>
      </w:r>
      <w:proofErr w:type="spellEnd"/>
      <w:r w:rsidRPr="007122AB">
        <w:rPr>
          <w:rFonts w:ascii="Times New Roman" w:hAnsi="Times New Roman"/>
          <w:color w:val="000000" w:themeColor="text1"/>
          <w:sz w:val="16"/>
          <w:szCs w:val="16"/>
          <w:shd w:val="clear" w:color="auto" w:fill="FFFFFF"/>
        </w:rPr>
        <w:t xml:space="preserve"> предложили доработать свою аппаратуру».</w:t>
      </w:r>
    </w:p>
    <w:p w14:paraId="22DA930B" w14:textId="77777777" w:rsidR="00BF73AF" w:rsidRPr="007122AB" w:rsidRDefault="00BF73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23 ноября 1931 года успешно завершены войсковые испытания катеров волнового управления системы ЦЛПС образца 1930 – 1931 годов (22290).</w:t>
      </w:r>
    </w:p>
    <w:p w14:paraId="3647C39F" w14:textId="77777777" w:rsidR="00BF73AF" w:rsidRPr="007122AB" w:rsidRDefault="00BF73AF" w:rsidP="007122AB">
      <w:pPr>
        <w:spacing w:after="0" w:line="240" w:lineRule="auto"/>
        <w:jc w:val="both"/>
        <w:rPr>
          <w:rFonts w:ascii="Times New Roman" w:hAnsi="Times New Roman"/>
          <w:color w:val="000000" w:themeColor="text1"/>
          <w:sz w:val="16"/>
          <w:szCs w:val="16"/>
        </w:rPr>
      </w:pPr>
    </w:p>
    <w:p w14:paraId="2DE58CCD" w14:textId="77777777" w:rsidR="00346741" w:rsidRPr="007122AB" w:rsidRDefault="0034674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сентября 1931 г. начало совместных войсковых испытаний торпедных катеров волнового управления систем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и ЦЛПС (Центральная лаборатория проводной связи) (22288).</w:t>
      </w:r>
    </w:p>
    <w:p w14:paraId="5A575835" w14:textId="77777777" w:rsidR="00346741" w:rsidRPr="007122AB" w:rsidRDefault="00346741" w:rsidP="007122AB">
      <w:pPr>
        <w:spacing w:after="0" w:line="240" w:lineRule="auto"/>
        <w:jc w:val="both"/>
        <w:rPr>
          <w:rFonts w:ascii="Times New Roman" w:hAnsi="Times New Roman"/>
          <w:color w:val="000000" w:themeColor="text1"/>
          <w:sz w:val="16"/>
          <w:szCs w:val="16"/>
        </w:rPr>
      </w:pPr>
    </w:p>
    <w:p w14:paraId="64B6B191" w14:textId="14B90F64" w:rsidR="00150954" w:rsidRDefault="00150954"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1BC096E3" w14:textId="77777777" w:rsidR="00150954" w:rsidRDefault="00150954" w:rsidP="00150954">
      <w:pPr>
        <w:autoSpaceDE w:val="0"/>
        <w:autoSpaceDN w:val="0"/>
        <w:adjustRightInd w:val="0"/>
        <w:spacing w:after="0" w:line="240" w:lineRule="auto"/>
        <w:jc w:val="both"/>
        <w:rPr>
          <w:rFonts w:ascii="Times New Roman" w:hAnsi="Times New Roman"/>
          <w:i/>
          <w:iCs/>
          <w:color w:val="000000" w:themeColor="text1"/>
          <w:sz w:val="16"/>
          <w:szCs w:val="16"/>
        </w:rPr>
      </w:pPr>
    </w:p>
    <w:p w14:paraId="1A903863" w14:textId="77777777" w:rsidR="00150954" w:rsidRPr="009F5089" w:rsidRDefault="00150954" w:rsidP="00150954">
      <w:pPr>
        <w:spacing w:after="0" w:line="240" w:lineRule="auto"/>
        <w:jc w:val="both"/>
        <w:rPr>
          <w:rFonts w:ascii="Times New Roman" w:hAnsi="Times New Roman"/>
          <w:color w:val="0070C0"/>
          <w:sz w:val="16"/>
          <w:szCs w:val="16"/>
        </w:rPr>
      </w:pPr>
      <w:r>
        <w:rPr>
          <w:rFonts w:ascii="Times New Roman" w:hAnsi="Times New Roman"/>
          <w:color w:val="0070C0"/>
          <w:sz w:val="16"/>
          <w:szCs w:val="16"/>
        </w:rPr>
        <w:lastRenderedPageBreak/>
        <w:t xml:space="preserve">2 </w:t>
      </w:r>
      <w:r w:rsidRPr="009F5089">
        <w:rPr>
          <w:rFonts w:ascii="Times New Roman" w:hAnsi="Times New Roman"/>
          <w:color w:val="0070C0"/>
          <w:sz w:val="16"/>
          <w:szCs w:val="16"/>
        </w:rPr>
        <w:t>сентября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в районе Брянска при полете в тумане на самолете</w:t>
      </w:r>
      <w:r>
        <w:rPr>
          <w:rFonts w:ascii="Times New Roman" w:hAnsi="Times New Roman"/>
          <w:color w:val="0070C0"/>
          <w:sz w:val="16"/>
          <w:szCs w:val="16"/>
        </w:rPr>
        <w:t xml:space="preserve"> Р-5 погибли</w:t>
      </w:r>
      <w:r w:rsidRPr="009F5089">
        <w:rPr>
          <w:rFonts w:ascii="Times New Roman" w:hAnsi="Times New Roman"/>
          <w:color w:val="0070C0"/>
          <w:sz w:val="16"/>
          <w:szCs w:val="16"/>
        </w:rPr>
        <w:t xml:space="preserve"> известные военные летчики:</w:t>
      </w:r>
      <w:r>
        <w:rPr>
          <w:rFonts w:ascii="Times New Roman" w:hAnsi="Times New Roman"/>
          <w:color w:val="0070C0"/>
          <w:sz w:val="16"/>
          <w:szCs w:val="16"/>
        </w:rPr>
        <w:t xml:space="preserve"> </w:t>
      </w:r>
      <w:r w:rsidRPr="009F5089">
        <w:rPr>
          <w:rFonts w:ascii="Times New Roman" w:hAnsi="Times New Roman"/>
          <w:color w:val="0070C0"/>
          <w:sz w:val="16"/>
          <w:szCs w:val="16"/>
        </w:rPr>
        <w:t>начальник главной ин</w:t>
      </w:r>
      <w:r>
        <w:rPr>
          <w:rFonts w:ascii="Times New Roman" w:hAnsi="Times New Roman"/>
          <w:color w:val="0070C0"/>
          <w:sz w:val="16"/>
          <w:szCs w:val="16"/>
        </w:rPr>
        <w:t>с</w:t>
      </w:r>
      <w:r w:rsidRPr="009F5089">
        <w:rPr>
          <w:rFonts w:ascii="Times New Roman" w:hAnsi="Times New Roman"/>
          <w:color w:val="0070C0"/>
          <w:sz w:val="16"/>
          <w:szCs w:val="16"/>
        </w:rPr>
        <w:t>пек</w:t>
      </w:r>
      <w:r>
        <w:rPr>
          <w:rFonts w:ascii="Times New Roman" w:hAnsi="Times New Roman"/>
          <w:color w:val="0070C0"/>
          <w:sz w:val="16"/>
          <w:szCs w:val="16"/>
        </w:rPr>
        <w:t>ции</w:t>
      </w:r>
      <w:r w:rsidRPr="009F5089">
        <w:rPr>
          <w:rFonts w:ascii="Times New Roman" w:hAnsi="Times New Roman"/>
          <w:color w:val="0070C0"/>
          <w:sz w:val="16"/>
          <w:szCs w:val="16"/>
        </w:rPr>
        <w:t xml:space="preserve"> ВВС Петр Христофорович </w:t>
      </w:r>
      <w:proofErr w:type="spellStart"/>
      <w:r>
        <w:rPr>
          <w:rFonts w:ascii="Times New Roman" w:hAnsi="Times New Roman"/>
          <w:color w:val="0070C0"/>
          <w:sz w:val="16"/>
          <w:szCs w:val="16"/>
        </w:rPr>
        <w:t>М</w:t>
      </w:r>
      <w:r w:rsidRPr="009F5089">
        <w:rPr>
          <w:rFonts w:ascii="Times New Roman" w:hAnsi="Times New Roman"/>
          <w:color w:val="0070C0"/>
          <w:sz w:val="16"/>
          <w:szCs w:val="16"/>
        </w:rPr>
        <w:t>ежерауп</w:t>
      </w:r>
      <w:proofErr w:type="spellEnd"/>
      <w:r w:rsidRPr="009F5089">
        <w:rPr>
          <w:rFonts w:ascii="Times New Roman" w:hAnsi="Times New Roman"/>
          <w:color w:val="0070C0"/>
          <w:sz w:val="16"/>
          <w:szCs w:val="16"/>
        </w:rPr>
        <w:t xml:space="preserve"> и его помощник - Виктор Ос</w:t>
      </w:r>
      <w:r>
        <w:rPr>
          <w:rFonts w:ascii="Times New Roman" w:hAnsi="Times New Roman"/>
          <w:color w:val="0070C0"/>
          <w:sz w:val="16"/>
          <w:szCs w:val="16"/>
        </w:rPr>
        <w:t>ипович Пи</w:t>
      </w:r>
      <w:r w:rsidRPr="009F5089">
        <w:rPr>
          <w:rFonts w:ascii="Times New Roman" w:hAnsi="Times New Roman"/>
          <w:color w:val="0070C0"/>
          <w:sz w:val="16"/>
          <w:szCs w:val="16"/>
        </w:rPr>
        <w:t>саренко.</w:t>
      </w:r>
    </w:p>
    <w:p w14:paraId="29CFE543" w14:textId="77777777" w:rsidR="00150954" w:rsidRPr="009F5089" w:rsidRDefault="00150954" w:rsidP="00150954">
      <w:pPr>
        <w:spacing w:after="0" w:line="240" w:lineRule="auto"/>
        <w:jc w:val="both"/>
        <w:rPr>
          <w:rFonts w:ascii="Times New Roman" w:hAnsi="Times New Roman"/>
          <w:color w:val="0070C0"/>
          <w:sz w:val="16"/>
          <w:szCs w:val="16"/>
        </w:rPr>
      </w:pPr>
      <w:proofErr w:type="spellStart"/>
      <w:r>
        <w:rPr>
          <w:rFonts w:ascii="Times New Roman" w:hAnsi="Times New Roman"/>
          <w:color w:val="0070C0"/>
          <w:sz w:val="16"/>
          <w:szCs w:val="16"/>
        </w:rPr>
        <w:t>П.</w:t>
      </w:r>
      <w:r w:rsidRPr="009F5089">
        <w:rPr>
          <w:rFonts w:ascii="Times New Roman" w:hAnsi="Times New Roman"/>
          <w:color w:val="0070C0"/>
          <w:sz w:val="16"/>
          <w:szCs w:val="16"/>
        </w:rPr>
        <w:t>Х.</w:t>
      </w:r>
      <w:r>
        <w:rPr>
          <w:rFonts w:ascii="Times New Roman" w:hAnsi="Times New Roman"/>
          <w:color w:val="0070C0"/>
          <w:sz w:val="16"/>
          <w:szCs w:val="16"/>
        </w:rPr>
        <w:t>М</w:t>
      </w:r>
      <w:r w:rsidRPr="009F5089">
        <w:rPr>
          <w:rFonts w:ascii="Times New Roman" w:hAnsi="Times New Roman"/>
          <w:color w:val="0070C0"/>
          <w:sz w:val="16"/>
          <w:szCs w:val="16"/>
        </w:rPr>
        <w:t>е</w:t>
      </w:r>
      <w:r>
        <w:rPr>
          <w:rFonts w:ascii="Times New Roman" w:hAnsi="Times New Roman"/>
          <w:color w:val="0070C0"/>
          <w:sz w:val="16"/>
          <w:szCs w:val="16"/>
        </w:rPr>
        <w:t>ж</w:t>
      </w:r>
      <w:r w:rsidRPr="009F5089">
        <w:rPr>
          <w:rFonts w:ascii="Times New Roman" w:hAnsi="Times New Roman"/>
          <w:color w:val="0070C0"/>
          <w:sz w:val="16"/>
          <w:szCs w:val="16"/>
        </w:rPr>
        <w:t>ерауп</w:t>
      </w:r>
      <w:proofErr w:type="spellEnd"/>
      <w:r w:rsidRPr="009F5089">
        <w:rPr>
          <w:rFonts w:ascii="Times New Roman" w:hAnsi="Times New Roman"/>
          <w:color w:val="0070C0"/>
          <w:sz w:val="16"/>
          <w:szCs w:val="16"/>
        </w:rPr>
        <w:t xml:space="preserve"> /род.1895/ начал службу в авиации в 1916 году </w:t>
      </w:r>
      <w:r>
        <w:rPr>
          <w:rFonts w:ascii="Times New Roman" w:hAnsi="Times New Roman"/>
          <w:color w:val="0070C0"/>
          <w:sz w:val="16"/>
          <w:szCs w:val="16"/>
        </w:rPr>
        <w:t>мотористом, а</w:t>
      </w:r>
      <w:r w:rsidRPr="009F5089">
        <w:rPr>
          <w:rFonts w:ascii="Times New Roman" w:hAnsi="Times New Roman"/>
          <w:color w:val="0070C0"/>
          <w:sz w:val="16"/>
          <w:szCs w:val="16"/>
        </w:rPr>
        <w:t xml:space="preserve"> в 1919 году стал летчиком.</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гражданскую войну был </w:t>
      </w:r>
      <w:r>
        <w:rPr>
          <w:rFonts w:ascii="Times New Roman" w:hAnsi="Times New Roman"/>
          <w:color w:val="0070C0"/>
          <w:sz w:val="16"/>
          <w:szCs w:val="16"/>
        </w:rPr>
        <w:t>комиссаром</w:t>
      </w:r>
      <w:r w:rsidRPr="009F5089">
        <w:rPr>
          <w:rFonts w:ascii="Times New Roman" w:hAnsi="Times New Roman"/>
          <w:color w:val="0070C0"/>
          <w:sz w:val="16"/>
          <w:szCs w:val="16"/>
        </w:rPr>
        <w:t xml:space="preserve"> авиации 8-й армии,</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командиром Казанского авиаотряда, </w:t>
      </w:r>
      <w:r>
        <w:rPr>
          <w:rFonts w:ascii="Times New Roman" w:hAnsi="Times New Roman"/>
          <w:color w:val="0070C0"/>
          <w:sz w:val="16"/>
          <w:szCs w:val="16"/>
        </w:rPr>
        <w:t>начальником</w:t>
      </w:r>
      <w:r w:rsidRPr="009F5089">
        <w:rPr>
          <w:rFonts w:ascii="Times New Roman" w:hAnsi="Times New Roman"/>
          <w:color w:val="0070C0"/>
          <w:sz w:val="16"/>
          <w:szCs w:val="16"/>
        </w:rPr>
        <w:t xml:space="preserve"> воздушного флота Туркфронта.</w:t>
      </w:r>
      <w:r>
        <w:rPr>
          <w:rFonts w:ascii="Times New Roman" w:hAnsi="Times New Roman"/>
          <w:color w:val="0070C0"/>
          <w:sz w:val="16"/>
          <w:szCs w:val="16"/>
        </w:rPr>
        <w:t xml:space="preserve"> </w:t>
      </w:r>
      <w:r w:rsidRPr="009F5089">
        <w:rPr>
          <w:rFonts w:ascii="Times New Roman" w:hAnsi="Times New Roman"/>
          <w:color w:val="0070C0"/>
          <w:sz w:val="16"/>
          <w:szCs w:val="16"/>
        </w:rPr>
        <w:t>В 1924 году во главе от</w:t>
      </w:r>
      <w:r>
        <w:rPr>
          <w:rFonts w:ascii="Times New Roman" w:hAnsi="Times New Roman"/>
          <w:color w:val="0070C0"/>
          <w:sz w:val="16"/>
          <w:szCs w:val="16"/>
        </w:rPr>
        <w:t xml:space="preserve">ряда совершил </w:t>
      </w:r>
      <w:r w:rsidRPr="009F5089">
        <w:rPr>
          <w:rFonts w:ascii="Times New Roman" w:hAnsi="Times New Roman"/>
          <w:color w:val="0070C0"/>
          <w:sz w:val="16"/>
          <w:szCs w:val="16"/>
        </w:rPr>
        <w:t xml:space="preserve">выдающийся по тому времени перелет Ташкент-Кабул, </w:t>
      </w:r>
      <w:r>
        <w:rPr>
          <w:rFonts w:ascii="Times New Roman" w:hAnsi="Times New Roman"/>
          <w:color w:val="0070C0"/>
          <w:sz w:val="16"/>
          <w:szCs w:val="16"/>
        </w:rPr>
        <w:t xml:space="preserve">а в </w:t>
      </w:r>
      <w:r w:rsidRPr="009F5089">
        <w:rPr>
          <w:rFonts w:ascii="Times New Roman" w:hAnsi="Times New Roman"/>
          <w:color w:val="0070C0"/>
          <w:sz w:val="16"/>
          <w:szCs w:val="16"/>
        </w:rPr>
        <w:t>1</w:t>
      </w:r>
      <w:r>
        <w:rPr>
          <w:rFonts w:ascii="Times New Roman" w:hAnsi="Times New Roman"/>
          <w:color w:val="0070C0"/>
          <w:sz w:val="16"/>
          <w:szCs w:val="16"/>
        </w:rPr>
        <w:t xml:space="preserve">926 </w:t>
      </w:r>
      <w:r w:rsidRPr="009F5089">
        <w:rPr>
          <w:rFonts w:ascii="Times New Roman" w:hAnsi="Times New Roman"/>
          <w:color w:val="0070C0"/>
          <w:sz w:val="16"/>
          <w:szCs w:val="16"/>
        </w:rPr>
        <w:t>году - не менее важный перелет Москва-Анкара.</w:t>
      </w:r>
      <w:r>
        <w:rPr>
          <w:rFonts w:ascii="Times New Roman" w:hAnsi="Times New Roman"/>
          <w:color w:val="0070C0"/>
          <w:sz w:val="16"/>
          <w:szCs w:val="16"/>
        </w:rPr>
        <w:t xml:space="preserve"> В</w:t>
      </w:r>
      <w:r w:rsidRPr="009F5089">
        <w:rPr>
          <w:rFonts w:ascii="Times New Roman" w:hAnsi="Times New Roman"/>
          <w:color w:val="0070C0"/>
          <w:sz w:val="16"/>
          <w:szCs w:val="16"/>
        </w:rPr>
        <w:t xml:space="preserve"> 1927-30 </w:t>
      </w:r>
      <w:r>
        <w:rPr>
          <w:rFonts w:ascii="Times New Roman" w:hAnsi="Times New Roman"/>
          <w:color w:val="0070C0"/>
          <w:sz w:val="16"/>
          <w:szCs w:val="16"/>
        </w:rPr>
        <w:t xml:space="preserve">гг. командовал </w:t>
      </w:r>
      <w:r w:rsidRPr="009F5089">
        <w:rPr>
          <w:rFonts w:ascii="Times New Roman" w:hAnsi="Times New Roman"/>
          <w:color w:val="0070C0"/>
          <w:sz w:val="16"/>
          <w:szCs w:val="16"/>
        </w:rPr>
        <w:t>ВВС Ленинградского военного округа,</w:t>
      </w:r>
      <w:r>
        <w:rPr>
          <w:rFonts w:ascii="Times New Roman" w:hAnsi="Times New Roman"/>
          <w:color w:val="0070C0"/>
          <w:sz w:val="16"/>
          <w:szCs w:val="16"/>
        </w:rPr>
        <w:t xml:space="preserve"> </w:t>
      </w:r>
      <w:r w:rsidRPr="009F5089">
        <w:rPr>
          <w:rFonts w:ascii="Times New Roman" w:hAnsi="Times New Roman"/>
          <w:color w:val="0070C0"/>
          <w:sz w:val="16"/>
          <w:szCs w:val="16"/>
        </w:rPr>
        <w:t>после чего занимал</w:t>
      </w:r>
      <w:r>
        <w:rPr>
          <w:rFonts w:ascii="Times New Roman" w:hAnsi="Times New Roman"/>
          <w:color w:val="0070C0"/>
          <w:sz w:val="16"/>
          <w:szCs w:val="16"/>
        </w:rPr>
        <w:t xml:space="preserve"> пост </w:t>
      </w:r>
      <w:r w:rsidRPr="009F5089">
        <w:rPr>
          <w:rFonts w:ascii="Times New Roman" w:hAnsi="Times New Roman"/>
          <w:color w:val="0070C0"/>
          <w:sz w:val="16"/>
          <w:szCs w:val="16"/>
        </w:rPr>
        <w:t>начальника гл</w:t>
      </w:r>
      <w:r>
        <w:rPr>
          <w:rFonts w:ascii="Times New Roman" w:hAnsi="Times New Roman"/>
          <w:color w:val="0070C0"/>
          <w:sz w:val="16"/>
          <w:szCs w:val="16"/>
        </w:rPr>
        <w:t>авно</w:t>
      </w:r>
      <w:r w:rsidRPr="009F5089">
        <w:rPr>
          <w:rFonts w:ascii="Times New Roman" w:hAnsi="Times New Roman"/>
          <w:color w:val="0070C0"/>
          <w:sz w:val="16"/>
          <w:szCs w:val="16"/>
        </w:rPr>
        <w:t>й инспекции ВВС.</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Межераун</w:t>
      </w:r>
      <w:proofErr w:type="spellEnd"/>
      <w:r w:rsidRPr="009F5089">
        <w:rPr>
          <w:rFonts w:ascii="Times New Roman" w:hAnsi="Times New Roman"/>
          <w:color w:val="0070C0"/>
          <w:sz w:val="16"/>
          <w:szCs w:val="16"/>
        </w:rPr>
        <w:t xml:space="preserve"> был награжден </w:t>
      </w:r>
      <w:r>
        <w:rPr>
          <w:rFonts w:ascii="Times New Roman" w:hAnsi="Times New Roman"/>
          <w:color w:val="0070C0"/>
          <w:sz w:val="16"/>
          <w:szCs w:val="16"/>
        </w:rPr>
        <w:t>орденами Красного знамени, бухарским, хорезмским и афганским.</w:t>
      </w:r>
    </w:p>
    <w:p w14:paraId="279B1721" w14:textId="77777777" w:rsidR="00150954" w:rsidRPr="009F5089" w:rsidRDefault="00150954" w:rsidP="00150954">
      <w:pPr>
        <w:spacing w:after="0" w:line="240" w:lineRule="auto"/>
        <w:jc w:val="both"/>
        <w:rPr>
          <w:rFonts w:ascii="Times New Roman" w:hAnsi="Times New Roman"/>
          <w:color w:val="0070C0"/>
          <w:sz w:val="16"/>
          <w:szCs w:val="16"/>
        </w:rPr>
      </w:pPr>
      <w:proofErr w:type="spellStart"/>
      <w:r>
        <w:rPr>
          <w:rFonts w:ascii="Times New Roman" w:hAnsi="Times New Roman"/>
          <w:color w:val="0070C0"/>
          <w:sz w:val="16"/>
          <w:szCs w:val="16"/>
        </w:rPr>
        <w:t>В.О.</w:t>
      </w:r>
      <w:r w:rsidRPr="009F5089">
        <w:rPr>
          <w:rFonts w:ascii="Times New Roman" w:hAnsi="Times New Roman"/>
          <w:color w:val="0070C0"/>
          <w:sz w:val="16"/>
          <w:szCs w:val="16"/>
        </w:rPr>
        <w:t>Писаренко</w:t>
      </w:r>
      <w:proofErr w:type="spellEnd"/>
      <w:r w:rsidRPr="009F5089">
        <w:rPr>
          <w:rFonts w:ascii="Times New Roman" w:hAnsi="Times New Roman"/>
          <w:color w:val="0070C0"/>
          <w:sz w:val="16"/>
          <w:szCs w:val="16"/>
        </w:rPr>
        <w:t xml:space="preserve"> /род. 1897/ начал службу в авиации в</w:t>
      </w:r>
      <w:r>
        <w:rPr>
          <w:rFonts w:ascii="Times New Roman" w:hAnsi="Times New Roman"/>
          <w:color w:val="0070C0"/>
          <w:sz w:val="16"/>
          <w:szCs w:val="16"/>
        </w:rPr>
        <w:t xml:space="preserve"> 1</w:t>
      </w:r>
      <w:r w:rsidRPr="009F5089">
        <w:rPr>
          <w:rFonts w:ascii="Times New Roman" w:hAnsi="Times New Roman"/>
          <w:color w:val="0070C0"/>
          <w:sz w:val="16"/>
          <w:szCs w:val="16"/>
        </w:rPr>
        <w:t xml:space="preserve">918 году </w:t>
      </w:r>
      <w:r>
        <w:rPr>
          <w:rFonts w:ascii="Times New Roman" w:hAnsi="Times New Roman"/>
          <w:color w:val="0070C0"/>
          <w:sz w:val="16"/>
          <w:szCs w:val="16"/>
        </w:rPr>
        <w:t>мотористом</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потом был летнабом.</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1923 году окончил летную </w:t>
      </w:r>
      <w:r>
        <w:rPr>
          <w:rFonts w:ascii="Times New Roman" w:hAnsi="Times New Roman"/>
          <w:color w:val="0070C0"/>
          <w:sz w:val="16"/>
          <w:szCs w:val="16"/>
        </w:rPr>
        <w:t>ш</w:t>
      </w:r>
      <w:r w:rsidRPr="009F5089">
        <w:rPr>
          <w:rFonts w:ascii="Times New Roman" w:hAnsi="Times New Roman"/>
          <w:color w:val="0070C0"/>
          <w:sz w:val="16"/>
          <w:szCs w:val="16"/>
        </w:rPr>
        <w:t>ко</w:t>
      </w:r>
      <w:r>
        <w:rPr>
          <w:rFonts w:ascii="Times New Roman" w:hAnsi="Times New Roman"/>
          <w:color w:val="0070C0"/>
          <w:sz w:val="16"/>
          <w:szCs w:val="16"/>
        </w:rPr>
        <w:t>лу, пос</w:t>
      </w:r>
      <w:r w:rsidRPr="009F5089">
        <w:rPr>
          <w:rFonts w:ascii="Times New Roman" w:hAnsi="Times New Roman"/>
          <w:color w:val="0070C0"/>
          <w:sz w:val="16"/>
          <w:szCs w:val="16"/>
        </w:rPr>
        <w:t>л</w:t>
      </w:r>
      <w:r>
        <w:rPr>
          <w:rFonts w:ascii="Times New Roman" w:hAnsi="Times New Roman"/>
          <w:color w:val="0070C0"/>
          <w:sz w:val="16"/>
          <w:szCs w:val="16"/>
        </w:rPr>
        <w:t>е</w:t>
      </w:r>
      <w:r w:rsidRPr="009F5089">
        <w:rPr>
          <w:rFonts w:ascii="Times New Roman" w:hAnsi="Times New Roman"/>
          <w:color w:val="0070C0"/>
          <w:sz w:val="16"/>
          <w:szCs w:val="16"/>
        </w:rPr>
        <w:t xml:space="preserve"> чего был инструктором в севастопольской </w:t>
      </w:r>
      <w:r>
        <w:rPr>
          <w:rFonts w:ascii="Times New Roman" w:hAnsi="Times New Roman"/>
          <w:color w:val="0070C0"/>
          <w:sz w:val="16"/>
          <w:szCs w:val="16"/>
        </w:rPr>
        <w:t>ш</w:t>
      </w:r>
      <w:r w:rsidRPr="009F5089">
        <w:rPr>
          <w:rFonts w:ascii="Times New Roman" w:hAnsi="Times New Roman"/>
          <w:color w:val="0070C0"/>
          <w:sz w:val="16"/>
          <w:szCs w:val="16"/>
        </w:rPr>
        <w:t>коле,</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где лично </w:t>
      </w:r>
      <w:r>
        <w:rPr>
          <w:rFonts w:ascii="Times New Roman" w:hAnsi="Times New Roman"/>
          <w:color w:val="0070C0"/>
          <w:sz w:val="16"/>
          <w:szCs w:val="16"/>
        </w:rPr>
        <w:t>построил</w:t>
      </w:r>
      <w:r w:rsidRPr="009F5089">
        <w:rPr>
          <w:rFonts w:ascii="Times New Roman" w:hAnsi="Times New Roman"/>
          <w:color w:val="0070C0"/>
          <w:sz w:val="16"/>
          <w:szCs w:val="16"/>
        </w:rPr>
        <w:t xml:space="preserve"> одну из первых в СССР </w:t>
      </w:r>
      <w:proofErr w:type="spellStart"/>
      <w:r w:rsidRPr="009F5089">
        <w:rPr>
          <w:rFonts w:ascii="Times New Roman" w:hAnsi="Times New Roman"/>
          <w:color w:val="0070C0"/>
          <w:sz w:val="16"/>
          <w:szCs w:val="16"/>
        </w:rPr>
        <w:t>ав</w:t>
      </w:r>
      <w:r>
        <w:rPr>
          <w:rFonts w:ascii="Times New Roman" w:hAnsi="Times New Roman"/>
          <w:color w:val="0070C0"/>
          <w:sz w:val="16"/>
          <w:szCs w:val="16"/>
        </w:rPr>
        <w:t>и</w:t>
      </w:r>
      <w:r w:rsidRPr="009F5089">
        <w:rPr>
          <w:rFonts w:ascii="Times New Roman" w:hAnsi="Times New Roman"/>
          <w:color w:val="0070C0"/>
          <w:sz w:val="16"/>
          <w:szCs w:val="16"/>
        </w:rPr>
        <w:t>эток</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С 1926 года Писаренко слу</w:t>
      </w:r>
      <w:r>
        <w:rPr>
          <w:rFonts w:ascii="Times New Roman" w:hAnsi="Times New Roman"/>
          <w:color w:val="0070C0"/>
          <w:sz w:val="16"/>
          <w:szCs w:val="16"/>
        </w:rPr>
        <w:t xml:space="preserve">жил в НИИ </w:t>
      </w:r>
      <w:r w:rsidRPr="009F5089">
        <w:rPr>
          <w:rFonts w:ascii="Times New Roman" w:hAnsi="Times New Roman"/>
          <w:color w:val="0070C0"/>
          <w:sz w:val="16"/>
          <w:szCs w:val="16"/>
        </w:rPr>
        <w:t>ВВС, где построил вторую авиетку и одним из первых на</w:t>
      </w:r>
      <w:r>
        <w:rPr>
          <w:rFonts w:ascii="Times New Roman" w:hAnsi="Times New Roman"/>
          <w:color w:val="0070C0"/>
          <w:sz w:val="16"/>
          <w:szCs w:val="16"/>
        </w:rPr>
        <w:t>чал практиковать</w:t>
      </w:r>
      <w:r w:rsidRPr="009F5089">
        <w:rPr>
          <w:rFonts w:ascii="Times New Roman" w:hAnsi="Times New Roman"/>
          <w:color w:val="0070C0"/>
          <w:sz w:val="16"/>
          <w:szCs w:val="16"/>
        </w:rPr>
        <w:t xml:space="preserve"> полет</w:t>
      </w:r>
      <w:r>
        <w:rPr>
          <w:rFonts w:ascii="Times New Roman" w:hAnsi="Times New Roman"/>
          <w:color w:val="0070C0"/>
          <w:sz w:val="16"/>
          <w:szCs w:val="16"/>
        </w:rPr>
        <w:t>ы</w:t>
      </w:r>
      <w:r w:rsidRPr="009F5089">
        <w:rPr>
          <w:rFonts w:ascii="Times New Roman" w:hAnsi="Times New Roman"/>
          <w:color w:val="0070C0"/>
          <w:sz w:val="16"/>
          <w:szCs w:val="16"/>
        </w:rPr>
        <w:t xml:space="preserve"> по приборам.</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С 1930 года был помощником </w:t>
      </w:r>
      <w:r>
        <w:rPr>
          <w:rFonts w:ascii="Times New Roman" w:hAnsi="Times New Roman"/>
          <w:color w:val="0070C0"/>
          <w:sz w:val="16"/>
          <w:szCs w:val="16"/>
        </w:rPr>
        <w:t>начальника</w:t>
      </w:r>
      <w:r w:rsidRPr="009F5089">
        <w:rPr>
          <w:rFonts w:ascii="Times New Roman" w:hAnsi="Times New Roman"/>
          <w:color w:val="0070C0"/>
          <w:sz w:val="16"/>
          <w:szCs w:val="16"/>
        </w:rPr>
        <w:t xml:space="preserve"> главной инспекции ВВС.</w:t>
      </w:r>
    </w:p>
    <w:p w14:paraId="03D31406" w14:textId="77777777" w:rsidR="00150954" w:rsidRDefault="00150954" w:rsidP="00150954">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Кр</w:t>
      </w:r>
      <w:r w:rsidRPr="009F5089">
        <w:rPr>
          <w:rFonts w:ascii="Times New Roman" w:hAnsi="Times New Roman"/>
          <w:color w:val="0070C0"/>
          <w:sz w:val="16"/>
          <w:szCs w:val="16"/>
        </w:rPr>
        <w:t>асная звезда</w:t>
      </w:r>
      <w:r>
        <w:rPr>
          <w:rFonts w:ascii="Times New Roman" w:hAnsi="Times New Roman"/>
          <w:color w:val="0070C0"/>
          <w:sz w:val="16"/>
          <w:szCs w:val="16"/>
        </w:rPr>
        <w:t>»</w:t>
      </w:r>
      <w:r w:rsidRPr="009F5089">
        <w:rPr>
          <w:rFonts w:ascii="Times New Roman" w:hAnsi="Times New Roman"/>
          <w:color w:val="0070C0"/>
          <w:sz w:val="16"/>
          <w:szCs w:val="16"/>
        </w:rPr>
        <w:t xml:space="preserve"> за 13 сентября 1931;</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ВВВ, 1931 </w:t>
      </w:r>
      <w:r>
        <w:rPr>
          <w:rFonts w:ascii="Times New Roman" w:hAnsi="Times New Roman"/>
          <w:color w:val="0070C0"/>
          <w:sz w:val="16"/>
          <w:szCs w:val="16"/>
        </w:rPr>
        <w:t>№</w:t>
      </w:r>
      <w:r w:rsidRPr="009F5089">
        <w:rPr>
          <w:rFonts w:ascii="Times New Roman" w:hAnsi="Times New Roman"/>
          <w:color w:val="0070C0"/>
          <w:sz w:val="16"/>
          <w:szCs w:val="16"/>
        </w:rPr>
        <w:t xml:space="preserve"> 9/</w:t>
      </w:r>
      <w:r>
        <w:rPr>
          <w:rFonts w:ascii="Times New Roman" w:hAnsi="Times New Roman"/>
          <w:color w:val="0070C0"/>
          <w:sz w:val="16"/>
          <w:szCs w:val="16"/>
        </w:rPr>
        <w:t xml:space="preserve"> (23370).</w:t>
      </w:r>
    </w:p>
    <w:p w14:paraId="53B3E526" w14:textId="77777777" w:rsidR="00150954" w:rsidRDefault="00150954" w:rsidP="00150954">
      <w:pPr>
        <w:spacing w:after="0" w:line="240" w:lineRule="auto"/>
        <w:jc w:val="both"/>
        <w:rPr>
          <w:rFonts w:ascii="Times New Roman" w:hAnsi="Times New Roman"/>
          <w:color w:val="0070C0"/>
          <w:sz w:val="16"/>
          <w:szCs w:val="16"/>
        </w:rPr>
      </w:pPr>
    </w:p>
    <w:p w14:paraId="6B6A8494" w14:textId="4FC6E15D"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06D0A2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66488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го сентября 1931 года состоялось окончательное принятие макета АНТ-21, МИ-3 в ЦАГИ (23345).</w:t>
      </w:r>
    </w:p>
    <w:p w14:paraId="0DF9B1D9" w14:textId="77777777" w:rsidR="007F1987" w:rsidRPr="00441F34" w:rsidRDefault="007F1987" w:rsidP="007F1987">
      <w:pPr>
        <w:spacing w:after="0" w:line="240" w:lineRule="auto"/>
        <w:jc w:val="both"/>
        <w:rPr>
          <w:rFonts w:ascii="Times New Roman" w:hAnsi="Times New Roman"/>
          <w:color w:val="0070C0"/>
          <w:sz w:val="16"/>
          <w:szCs w:val="16"/>
        </w:rPr>
      </w:pPr>
    </w:p>
    <w:p w14:paraId="3F2891E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сентября 1931 г. маке</w:t>
      </w:r>
      <w:r>
        <w:rPr>
          <w:rFonts w:ascii="Times New Roman" w:hAnsi="Times New Roman"/>
          <w:color w:val="0070C0"/>
          <w:sz w:val="16"/>
          <w:szCs w:val="16"/>
        </w:rPr>
        <w:t>т</w:t>
      </w:r>
      <w:r w:rsidRPr="00441F34">
        <w:rPr>
          <w:rFonts w:ascii="Times New Roman" w:hAnsi="Times New Roman"/>
          <w:color w:val="0070C0"/>
          <w:sz w:val="16"/>
          <w:szCs w:val="16"/>
        </w:rPr>
        <w:t xml:space="preserve"> М-3 был принят после доработок по замечаниям макетной комиссии. Он имел </w:t>
      </w:r>
      <w:proofErr w:type="spellStart"/>
      <w:r w:rsidRPr="00441F34">
        <w:rPr>
          <w:rFonts w:ascii="Times New Roman" w:hAnsi="Times New Roman"/>
          <w:color w:val="0070C0"/>
          <w:sz w:val="16"/>
          <w:szCs w:val="16"/>
        </w:rPr>
        <w:t>двухкилевое</w:t>
      </w:r>
      <w:proofErr w:type="spellEnd"/>
      <w:r w:rsidRPr="00441F34">
        <w:rPr>
          <w:rFonts w:ascii="Times New Roman" w:hAnsi="Times New Roman"/>
          <w:color w:val="0070C0"/>
          <w:sz w:val="16"/>
          <w:szCs w:val="16"/>
        </w:rPr>
        <w:t xml:space="preserve"> вертикальное опере</w:t>
      </w:r>
      <w:r w:rsidRPr="00441F34">
        <w:rPr>
          <w:rFonts w:ascii="Times New Roman" w:hAnsi="Times New Roman"/>
          <w:color w:val="0070C0"/>
          <w:sz w:val="16"/>
          <w:szCs w:val="16"/>
        </w:rPr>
        <w:softHyphen/>
        <w:t>ние с большими рулями направления и низкорасположенный стабилизатор. Обшивка фюзеляжа была гладкой, а крыла и оперения — гофрированной. Машина имела значительно меньшие размеры, более мощные двигатели и улучшенную аэродинамику. Шасси стало убираю</w:t>
      </w:r>
      <w:r w:rsidRPr="00441F34">
        <w:rPr>
          <w:rFonts w:ascii="Times New Roman" w:hAnsi="Times New Roman"/>
          <w:color w:val="0070C0"/>
          <w:sz w:val="16"/>
          <w:szCs w:val="16"/>
        </w:rPr>
        <w:softHyphen/>
        <w:t>щимся, кабины экипажа — полузакры</w:t>
      </w:r>
      <w:r w:rsidRPr="00441F34">
        <w:rPr>
          <w:rFonts w:ascii="Times New Roman" w:hAnsi="Times New Roman"/>
          <w:color w:val="0070C0"/>
          <w:sz w:val="16"/>
          <w:szCs w:val="16"/>
        </w:rPr>
        <w:softHyphen/>
        <w:t>тыми.</w:t>
      </w:r>
    </w:p>
    <w:p w14:paraId="1271E3A6"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Первый опытный самолет планиро</w:t>
      </w:r>
      <w:r w:rsidRPr="00441F34">
        <w:rPr>
          <w:rFonts w:ascii="Times New Roman" w:hAnsi="Times New Roman"/>
          <w:color w:val="0070C0"/>
          <w:sz w:val="16"/>
          <w:szCs w:val="16"/>
        </w:rPr>
        <w:softHyphen/>
        <w:t>валось вооружить шестью пулеметами калибра 7,62 мм: два ПВ—1 — в носовой установке, два неподвижных ПВ—1 — в корневых частях крыла, по одному пу</w:t>
      </w:r>
      <w:r w:rsidRPr="00441F34">
        <w:rPr>
          <w:rFonts w:ascii="Times New Roman" w:hAnsi="Times New Roman"/>
          <w:color w:val="0070C0"/>
          <w:sz w:val="16"/>
          <w:szCs w:val="16"/>
        </w:rPr>
        <w:softHyphen/>
        <w:t>лемету ПВ—1 или ДА — на средней и нижней подвижных установках.</w:t>
      </w:r>
    </w:p>
    <w:p w14:paraId="3637088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Постройка самолета потребовала проведения большого объема экспери</w:t>
      </w:r>
      <w:r w:rsidRPr="00441F34">
        <w:rPr>
          <w:rFonts w:ascii="Times New Roman" w:hAnsi="Times New Roman"/>
          <w:color w:val="0070C0"/>
          <w:sz w:val="16"/>
          <w:szCs w:val="16"/>
        </w:rPr>
        <w:softHyphen/>
        <w:t>ментальных работ по шасси и моторному оборудованию. Поэтому машина была готова только к 26 апреля 1933 г. Воору</w:t>
      </w:r>
      <w:r w:rsidRPr="00441F34">
        <w:rPr>
          <w:rFonts w:ascii="Times New Roman" w:hAnsi="Times New Roman"/>
          <w:color w:val="0070C0"/>
          <w:sz w:val="16"/>
          <w:szCs w:val="16"/>
        </w:rPr>
        <w:softHyphen/>
        <w:t>жение на ней не устанавливалось (23474).</w:t>
      </w:r>
    </w:p>
    <w:p w14:paraId="784F3034" w14:textId="77777777" w:rsidR="007F1987" w:rsidRPr="00441F34" w:rsidRDefault="007F1987" w:rsidP="007F1987">
      <w:pPr>
        <w:spacing w:after="0" w:line="240" w:lineRule="auto"/>
        <w:jc w:val="both"/>
        <w:rPr>
          <w:rFonts w:ascii="Times New Roman" w:hAnsi="Times New Roman"/>
          <w:color w:val="0070C0"/>
          <w:sz w:val="16"/>
          <w:szCs w:val="16"/>
        </w:rPr>
      </w:pPr>
    </w:p>
    <w:p w14:paraId="10F9433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го сентября 1931 года в связи с рядом переделок предложенных макетной комиссией, состоялось окончательное принятие макета МИ-3 (АНТ-21) (24197).</w:t>
      </w:r>
    </w:p>
    <w:p w14:paraId="45934B80" w14:textId="77777777" w:rsidR="007F1987" w:rsidRPr="00441F34" w:rsidRDefault="007F1987" w:rsidP="007F1987">
      <w:pPr>
        <w:spacing w:after="0" w:line="240" w:lineRule="auto"/>
        <w:jc w:val="both"/>
        <w:rPr>
          <w:rFonts w:ascii="Times New Roman" w:hAnsi="Times New Roman"/>
          <w:color w:val="0070C0"/>
          <w:sz w:val="16"/>
          <w:szCs w:val="16"/>
        </w:rPr>
      </w:pPr>
    </w:p>
    <w:p w14:paraId="222AE1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сентября 1931 года вышел Приказ по НИИ ВВС № 23/с:</w:t>
      </w:r>
    </w:p>
    <w:p w14:paraId="622BA74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сентября 1931 года в 17 часов на Кузнецовском полигоне в присутствии членов РВС были назначены к демонстрации опытные работы Конструкторского отдела.</w:t>
      </w:r>
    </w:p>
    <w:p w14:paraId="3FBE4E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(Плохая организация демонстрации, опоздание начала демонстрации).</w:t>
      </w:r>
    </w:p>
    <w:p w14:paraId="02DF04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0CC92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Образцы </w:t>
      </w:r>
      <w:proofErr w:type="spellStart"/>
      <w:r w:rsidRPr="007122AB">
        <w:rPr>
          <w:rFonts w:ascii="Times New Roman" w:hAnsi="Times New Roman"/>
          <w:color w:val="000000" w:themeColor="text1"/>
          <w:sz w:val="16"/>
          <w:szCs w:val="16"/>
        </w:rPr>
        <w:t>агитбомб</w:t>
      </w:r>
      <w:proofErr w:type="spellEnd"/>
      <w:r w:rsidRPr="007122AB">
        <w:rPr>
          <w:rFonts w:ascii="Times New Roman" w:hAnsi="Times New Roman"/>
          <w:color w:val="000000" w:themeColor="text1"/>
          <w:sz w:val="16"/>
          <w:szCs w:val="16"/>
        </w:rPr>
        <w:t xml:space="preserve"> сбрасывались не сразу, а после 3-х – 4-х заходов.</w:t>
      </w:r>
    </w:p>
    <w:p w14:paraId="032D42A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Некоторые пункты программы испытаний вовсе показаны не были из-за неготовности материальной части.</w:t>
      </w:r>
    </w:p>
    <w:p w14:paraId="7A61CB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демонстрация опытных работ оказалась сорванной.</w:t>
      </w:r>
    </w:p>
    <w:p w14:paraId="14BFD3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Приказываю:</w:t>
      </w:r>
    </w:p>
    <w:p w14:paraId="1E10D1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64E4A4C"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наложении строгого дисциплинарного взыскания на начальника Конструкторского отдела Гроховского за халатное и безответственное отношение его к своим обязанностям по обеспечению программы испытаний и организации таковых – выхожу с представлением перед начальником ВВС (6770, 201-203).</w:t>
      </w:r>
    </w:p>
    <w:p w14:paraId="0484F3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[Гроховский Павел Игнатьевич]</w:t>
      </w:r>
    </w:p>
    <w:p w14:paraId="7B7A1C7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A3ED7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9D979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1E737D" w14:textId="77777777" w:rsidR="003E28CB" w:rsidRPr="007122AB" w:rsidRDefault="003E28CB" w:rsidP="007122AB">
      <w:pPr>
        <w:pStyle w:val="rtejustify"/>
        <w:spacing w:before="0" w:after="0"/>
        <w:rPr>
          <w:color w:val="000000" w:themeColor="text1"/>
          <w:sz w:val="16"/>
          <w:szCs w:val="16"/>
        </w:rPr>
      </w:pPr>
      <w:r w:rsidRPr="007122AB">
        <w:rPr>
          <w:rStyle w:val="af0"/>
          <w:i w:val="0"/>
          <w:color w:val="000000" w:themeColor="text1"/>
          <w:sz w:val="16"/>
          <w:szCs w:val="16"/>
        </w:rPr>
        <w:t xml:space="preserve">3 сентября 1931 г. Протокол Реввоенсовета №31. </w:t>
      </w:r>
      <w:r w:rsidRPr="007122AB">
        <w:rPr>
          <w:color w:val="000000" w:themeColor="text1"/>
          <w:sz w:val="16"/>
          <w:szCs w:val="16"/>
        </w:rPr>
        <w:t>6. Изменения и дополнения системы бронетанкового вооружения РККА в части самоходной артиллерии (</w:t>
      </w:r>
      <w:proofErr w:type="spellStart"/>
      <w:r w:rsidRPr="007122AB">
        <w:rPr>
          <w:color w:val="000000" w:themeColor="text1"/>
          <w:sz w:val="16"/>
          <w:szCs w:val="16"/>
        </w:rPr>
        <w:t>Халепский</w:t>
      </w:r>
      <w:proofErr w:type="spellEnd"/>
      <w:r w:rsidRPr="007122AB">
        <w:rPr>
          <w:color w:val="000000" w:themeColor="text1"/>
          <w:sz w:val="16"/>
          <w:szCs w:val="16"/>
        </w:rPr>
        <w:t>). 7. Состояние работ по бронетанковой системе (</w:t>
      </w:r>
      <w:proofErr w:type="spellStart"/>
      <w:r w:rsidRPr="007122AB">
        <w:rPr>
          <w:color w:val="000000" w:themeColor="text1"/>
          <w:sz w:val="16"/>
          <w:szCs w:val="16"/>
        </w:rPr>
        <w:t>Халепский</w:t>
      </w:r>
      <w:proofErr w:type="spellEnd"/>
      <w:r w:rsidRPr="007122AB">
        <w:rPr>
          <w:color w:val="000000" w:themeColor="text1"/>
          <w:sz w:val="16"/>
          <w:szCs w:val="16"/>
        </w:rPr>
        <w:t xml:space="preserve">). 8. Об универсальном гусеничном шасси инженера </w:t>
      </w:r>
      <w:proofErr w:type="spellStart"/>
      <w:r w:rsidRPr="007122AB">
        <w:rPr>
          <w:color w:val="000000" w:themeColor="text1"/>
          <w:sz w:val="16"/>
          <w:szCs w:val="16"/>
        </w:rPr>
        <w:t>Дыренкова</w:t>
      </w:r>
      <w:proofErr w:type="spellEnd"/>
      <w:r w:rsidRPr="007122AB">
        <w:rPr>
          <w:color w:val="000000" w:themeColor="text1"/>
          <w:sz w:val="16"/>
          <w:szCs w:val="16"/>
        </w:rPr>
        <w:t xml:space="preserve"> (Тухачевский). 9. Результаты параллельного испытания «Интернационала», «</w:t>
      </w:r>
      <w:proofErr w:type="spellStart"/>
      <w:r w:rsidRPr="007122AB">
        <w:rPr>
          <w:color w:val="000000" w:themeColor="text1"/>
          <w:sz w:val="16"/>
          <w:szCs w:val="16"/>
        </w:rPr>
        <w:t>Павези</w:t>
      </w:r>
      <w:proofErr w:type="spellEnd"/>
      <w:r w:rsidRPr="007122AB">
        <w:rPr>
          <w:color w:val="000000" w:themeColor="text1"/>
          <w:sz w:val="16"/>
          <w:szCs w:val="16"/>
        </w:rPr>
        <w:t>», «Линке-Гофман» и «</w:t>
      </w:r>
      <w:proofErr w:type="spellStart"/>
      <w:r w:rsidRPr="007122AB">
        <w:rPr>
          <w:color w:val="000000" w:themeColor="text1"/>
          <w:sz w:val="16"/>
          <w:szCs w:val="16"/>
        </w:rPr>
        <w:t>Самуа</w:t>
      </w:r>
      <w:proofErr w:type="spellEnd"/>
      <w:r w:rsidRPr="007122AB">
        <w:rPr>
          <w:color w:val="000000" w:themeColor="text1"/>
          <w:sz w:val="16"/>
          <w:szCs w:val="16"/>
        </w:rPr>
        <w:t>» (</w:t>
      </w:r>
      <w:proofErr w:type="spellStart"/>
      <w:r w:rsidRPr="007122AB">
        <w:rPr>
          <w:color w:val="000000" w:themeColor="text1"/>
          <w:sz w:val="16"/>
          <w:szCs w:val="16"/>
        </w:rPr>
        <w:t>Халепский</w:t>
      </w:r>
      <w:proofErr w:type="spellEnd"/>
      <w:r w:rsidRPr="007122AB">
        <w:rPr>
          <w:color w:val="000000" w:themeColor="text1"/>
          <w:sz w:val="16"/>
          <w:szCs w:val="16"/>
        </w:rPr>
        <w:t>). 10. О зенитных средствах ПВО (Роговский). 11. О проектировании сверхмощного орудия (Тухачевский). (Д. 21. Л. 117) (12342).</w:t>
      </w:r>
    </w:p>
    <w:p w14:paraId="06414360" w14:textId="77777777" w:rsidR="003E28CB" w:rsidRPr="007122AB" w:rsidRDefault="003E28CB" w:rsidP="007122AB">
      <w:pPr>
        <w:pStyle w:val="rtejustify"/>
        <w:spacing w:before="0" w:after="0"/>
        <w:rPr>
          <w:color w:val="000000" w:themeColor="text1"/>
          <w:sz w:val="16"/>
          <w:szCs w:val="16"/>
        </w:rPr>
      </w:pPr>
    </w:p>
    <w:p w14:paraId="10C27FDC" w14:textId="77777777" w:rsidR="003E28CB" w:rsidRPr="007122AB" w:rsidRDefault="003E28CB"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сентября 1931 при НАТИ ВАТО был организован специальный отдел, ведающий НИОКР по вопросам механизации и моторизации РККА. Нач. </w:t>
      </w:r>
      <w:proofErr w:type="spellStart"/>
      <w:r w:rsidRPr="007122AB">
        <w:rPr>
          <w:rFonts w:ascii="Times New Roman" w:hAnsi="Times New Roman"/>
          <w:color w:val="000000" w:themeColor="text1"/>
          <w:sz w:val="16"/>
          <w:szCs w:val="16"/>
        </w:rPr>
        <w:t>станл</w:t>
      </w:r>
      <w:proofErr w:type="spellEnd"/>
      <w:r w:rsidRPr="007122AB">
        <w:rPr>
          <w:rFonts w:ascii="Times New Roman" w:hAnsi="Times New Roman"/>
          <w:color w:val="000000" w:themeColor="text1"/>
          <w:sz w:val="16"/>
          <w:szCs w:val="16"/>
        </w:rPr>
        <w:t xml:space="preserve"> зам. Дир. НАТИ </w:t>
      </w:r>
      <w:proofErr w:type="spellStart"/>
      <w:r w:rsidRPr="007122AB">
        <w:rPr>
          <w:rFonts w:ascii="Times New Roman" w:hAnsi="Times New Roman"/>
          <w:color w:val="000000" w:themeColor="text1"/>
          <w:sz w:val="16"/>
          <w:szCs w:val="16"/>
        </w:rPr>
        <w:t>Н.И.Дыренков</w:t>
      </w:r>
      <w:proofErr w:type="spellEnd"/>
      <w:r w:rsidRPr="007122AB">
        <w:rPr>
          <w:rFonts w:ascii="Times New Roman" w:hAnsi="Times New Roman"/>
          <w:color w:val="000000" w:themeColor="text1"/>
          <w:sz w:val="16"/>
          <w:szCs w:val="16"/>
        </w:rPr>
        <w:t xml:space="preserve"> (9527,13).</w:t>
      </w:r>
    </w:p>
    <w:p w14:paraId="10AFE76D" w14:textId="77777777" w:rsidR="003E28CB" w:rsidRPr="007122AB" w:rsidRDefault="003E28CB"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4E0588" w14:textId="77777777" w:rsidR="000F3BE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7371072" w14:textId="77777777" w:rsidR="000F3BEF" w:rsidRPr="007122AB" w:rsidRDefault="000F3BE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7E9751" w14:textId="77777777" w:rsidR="000F3BEF" w:rsidRPr="007122AB" w:rsidRDefault="000F3BEF" w:rsidP="007122AB">
      <w:pPr>
        <w:spacing w:after="0" w:line="240" w:lineRule="auto"/>
        <w:jc w:val="both"/>
        <w:rPr>
          <w:rStyle w:val="ucoz-forum-post"/>
          <w:rFonts w:ascii="Times New Roman" w:eastAsia="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3 сентября 1931 года</w:t>
      </w:r>
      <w:r w:rsidRPr="007122AB">
        <w:rPr>
          <w:rStyle w:val="ucoz-forum-post"/>
          <w:rFonts w:ascii="Times New Roman" w:eastAsia="Times New Roman" w:hAnsi="Times New Roman"/>
          <w:color w:val="000000" w:themeColor="text1"/>
          <w:sz w:val="16"/>
          <w:szCs w:val="16"/>
        </w:rPr>
        <w:t xml:space="preserve"> Знаменитый пилот гоночных самолётов Джеймс Дулитл (</w:t>
      </w:r>
      <w:proofErr w:type="spellStart"/>
      <w:r w:rsidRPr="007122AB">
        <w:rPr>
          <w:rStyle w:val="ucoz-forum-post"/>
          <w:rFonts w:ascii="Times New Roman" w:eastAsia="Times New Roman" w:hAnsi="Times New Roman"/>
          <w:color w:val="000000" w:themeColor="text1"/>
          <w:sz w:val="16"/>
          <w:szCs w:val="16"/>
        </w:rPr>
        <w:t>Jimmy</w:t>
      </w:r>
      <w:proofErr w:type="spellEnd"/>
      <w:r w:rsidRPr="007122AB">
        <w:rPr>
          <w:rStyle w:val="ucoz-forum-post"/>
          <w:rFonts w:ascii="Times New Roman" w:eastAsia="Times New Roman" w:hAnsi="Times New Roman"/>
          <w:color w:val="000000" w:themeColor="text1"/>
          <w:sz w:val="16"/>
          <w:szCs w:val="16"/>
        </w:rPr>
        <w:t xml:space="preserve"> </w:t>
      </w:r>
      <w:proofErr w:type="spellStart"/>
      <w:r w:rsidRPr="007122AB">
        <w:rPr>
          <w:rStyle w:val="ucoz-forum-post"/>
          <w:rFonts w:ascii="Times New Roman" w:eastAsia="Times New Roman" w:hAnsi="Times New Roman"/>
          <w:color w:val="000000" w:themeColor="text1"/>
          <w:sz w:val="16"/>
          <w:szCs w:val="16"/>
        </w:rPr>
        <w:t>Doolittle</w:t>
      </w:r>
      <w:proofErr w:type="spellEnd"/>
      <w:r w:rsidRPr="007122AB">
        <w:rPr>
          <w:rStyle w:val="ucoz-forum-post"/>
          <w:rFonts w:ascii="Times New Roman" w:eastAsia="Times New Roman" w:hAnsi="Times New Roman"/>
          <w:color w:val="000000" w:themeColor="text1"/>
          <w:sz w:val="16"/>
          <w:szCs w:val="16"/>
        </w:rPr>
        <w:t xml:space="preserve">), победитель гонок на приз Шнайдера (Schneider </w:t>
      </w:r>
      <w:proofErr w:type="spellStart"/>
      <w:r w:rsidRPr="007122AB">
        <w:rPr>
          <w:rStyle w:val="ucoz-forum-post"/>
          <w:rFonts w:ascii="Times New Roman" w:eastAsia="Times New Roman" w:hAnsi="Times New Roman"/>
          <w:color w:val="000000" w:themeColor="text1"/>
          <w:sz w:val="16"/>
          <w:szCs w:val="16"/>
        </w:rPr>
        <w:t>Trophy</w:t>
      </w:r>
      <w:proofErr w:type="spellEnd"/>
      <w:r w:rsidRPr="007122AB">
        <w:rPr>
          <w:rStyle w:val="ucoz-forum-post"/>
          <w:rFonts w:ascii="Times New Roman" w:eastAsia="Times New Roman" w:hAnsi="Times New Roman"/>
          <w:color w:val="000000" w:themeColor="text1"/>
          <w:sz w:val="16"/>
          <w:szCs w:val="16"/>
        </w:rPr>
        <w:t xml:space="preserve">) 1925 года, гонок на приз </w:t>
      </w:r>
      <w:proofErr w:type="spellStart"/>
      <w:r w:rsidRPr="007122AB">
        <w:rPr>
          <w:rStyle w:val="ucoz-forum-post"/>
          <w:rFonts w:ascii="Times New Roman" w:eastAsia="Times New Roman" w:hAnsi="Times New Roman"/>
          <w:color w:val="000000" w:themeColor="text1"/>
          <w:sz w:val="16"/>
          <w:szCs w:val="16"/>
        </w:rPr>
        <w:t>Бендикса</w:t>
      </w:r>
      <w:proofErr w:type="spellEnd"/>
      <w:r w:rsidRPr="007122AB">
        <w:rPr>
          <w:rStyle w:val="ucoz-forum-post"/>
          <w:rFonts w:ascii="Times New Roman" w:eastAsia="Times New Roman" w:hAnsi="Times New Roman"/>
          <w:color w:val="000000" w:themeColor="text1"/>
          <w:sz w:val="16"/>
          <w:szCs w:val="16"/>
        </w:rPr>
        <w:t xml:space="preserve"> 1931 года, и позднее возглавивший рейд на Токио в 1942 году, на </w:t>
      </w:r>
      <w:proofErr w:type="spellStart"/>
      <w:r w:rsidRPr="007122AB">
        <w:rPr>
          <w:rStyle w:val="ucoz-forum-post"/>
          <w:rFonts w:ascii="Times New Roman" w:eastAsia="Times New Roman" w:hAnsi="Times New Roman"/>
          <w:color w:val="000000" w:themeColor="text1"/>
          <w:sz w:val="16"/>
          <w:szCs w:val="16"/>
        </w:rPr>
        <w:t>Gee</w:t>
      </w:r>
      <w:proofErr w:type="spellEnd"/>
      <w:r w:rsidRPr="007122AB">
        <w:rPr>
          <w:rStyle w:val="ucoz-forum-post"/>
          <w:rFonts w:ascii="Times New Roman" w:eastAsia="Times New Roman" w:hAnsi="Times New Roman"/>
          <w:color w:val="000000" w:themeColor="text1"/>
          <w:sz w:val="16"/>
          <w:szCs w:val="16"/>
        </w:rPr>
        <w:t xml:space="preserve"> </w:t>
      </w:r>
      <w:proofErr w:type="spellStart"/>
      <w:r w:rsidRPr="007122AB">
        <w:rPr>
          <w:rStyle w:val="ucoz-forum-post"/>
          <w:rFonts w:ascii="Times New Roman" w:eastAsia="Times New Roman" w:hAnsi="Times New Roman"/>
          <w:color w:val="000000" w:themeColor="text1"/>
          <w:sz w:val="16"/>
          <w:szCs w:val="16"/>
        </w:rPr>
        <w:t>Bee</w:t>
      </w:r>
      <w:proofErr w:type="spellEnd"/>
      <w:r w:rsidRPr="007122AB">
        <w:rPr>
          <w:rStyle w:val="ucoz-forum-post"/>
          <w:rFonts w:ascii="Times New Roman" w:eastAsia="Times New Roman" w:hAnsi="Times New Roman"/>
          <w:color w:val="000000" w:themeColor="text1"/>
          <w:sz w:val="16"/>
          <w:szCs w:val="16"/>
        </w:rPr>
        <w:t xml:space="preserve"> Model R-1 Super </w:t>
      </w:r>
      <w:proofErr w:type="spellStart"/>
      <w:r w:rsidRPr="007122AB">
        <w:rPr>
          <w:rStyle w:val="ucoz-forum-post"/>
          <w:rFonts w:ascii="Times New Roman" w:eastAsia="Times New Roman" w:hAnsi="Times New Roman"/>
          <w:color w:val="000000" w:themeColor="text1"/>
          <w:sz w:val="16"/>
          <w:szCs w:val="16"/>
        </w:rPr>
        <w:t>Sportster</w:t>
      </w:r>
      <w:proofErr w:type="spellEnd"/>
      <w:r w:rsidRPr="007122AB">
        <w:rPr>
          <w:rStyle w:val="ucoz-forum-post"/>
          <w:rFonts w:ascii="Times New Roman" w:eastAsia="Times New Roman" w:hAnsi="Times New Roman"/>
          <w:color w:val="000000" w:themeColor="text1"/>
          <w:sz w:val="16"/>
          <w:szCs w:val="16"/>
        </w:rPr>
        <w:t xml:space="preserve"> на 3-километровой базе установил новый рекорд скорости для сухопутных самолётов, равный 296,298 миль/час (14758).</w:t>
      </w:r>
    </w:p>
    <w:p w14:paraId="317FD738" w14:textId="77777777" w:rsidR="000F3BEF" w:rsidRPr="007122AB" w:rsidRDefault="000F3BEF" w:rsidP="007122AB">
      <w:pPr>
        <w:spacing w:after="0" w:line="240" w:lineRule="auto"/>
        <w:jc w:val="both"/>
        <w:rPr>
          <w:rStyle w:val="ucoz-forum-post"/>
          <w:rFonts w:ascii="Times New Roman" w:eastAsia="Times New Roman" w:hAnsi="Times New Roman"/>
          <w:color w:val="000000" w:themeColor="text1"/>
          <w:sz w:val="16"/>
          <w:szCs w:val="16"/>
        </w:rPr>
      </w:pPr>
    </w:p>
    <w:p w14:paraId="590939B3" w14:textId="77777777" w:rsidR="0032095F" w:rsidRPr="007122AB" w:rsidRDefault="0032095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сентября 1931 итальянцы и французы обратились к Аэроклубу Великобритании с просьбой перенести гонку ха Кубок Шнейдера на следующий год. Однако англичане не были бы англичанами, если бы пошли навстречу. Устав турнира говорил, что устроитель гонки обязан ее перенести на более поздний срок, если тому будет мешать погода, а все прочее — на его добрую волю (22725).</w:t>
      </w:r>
    </w:p>
    <w:p w14:paraId="51F777AB" w14:textId="77777777" w:rsidR="0032095F" w:rsidRPr="007122AB" w:rsidRDefault="0032095F" w:rsidP="007122AB">
      <w:pPr>
        <w:spacing w:after="0" w:line="240" w:lineRule="auto"/>
        <w:jc w:val="both"/>
        <w:rPr>
          <w:rFonts w:ascii="Times New Roman" w:hAnsi="Times New Roman"/>
          <w:color w:val="000000" w:themeColor="text1"/>
          <w:sz w:val="16"/>
          <w:szCs w:val="16"/>
        </w:rPr>
      </w:pPr>
    </w:p>
    <w:p w14:paraId="10703C3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CC1C3C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813216" w14:textId="77777777" w:rsidR="00935E1C" w:rsidRPr="007122AB" w:rsidRDefault="00935E1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СЕНТЯБРЯ 1931 ГОДА ЗАПИСКА М.И. КАЛМАНОВИЧА «ОБ ОЦЕНКЕ ЭМИССИИ»</w:t>
      </w:r>
    </w:p>
    <w:p w14:paraId="276B730D" w14:textId="77777777" w:rsidR="00935E1C" w:rsidRPr="007122AB" w:rsidRDefault="00935E1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МОЛОТОВУ В.М.</w:t>
      </w:r>
    </w:p>
    <w:p w14:paraId="60297357" w14:textId="77777777" w:rsidR="00935E1C" w:rsidRPr="007122AB" w:rsidRDefault="00935E1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 сообщил Вам телеграммой об эмиссии. В этой записке даю некоторую оценку. Эмиссию надо считать немалой, ибо проектированная в плане эмиссия в один миллиард восемьсот миллионов рублей должна была бы быть допущена при условии полного выполнения народно-хозяйственного плана в третьем квартале. Вы знаете уровень выполнения плана. В кассовом плане отмечается слабая реализация товаров, объясняемая, с одной стороны, неповоротливостью кооперации, а с другой – </w:t>
      </w:r>
      <w:proofErr w:type="spellStart"/>
      <w:r w:rsidRPr="007122AB">
        <w:rPr>
          <w:rFonts w:ascii="Times New Roman" w:hAnsi="Times New Roman"/>
          <w:color w:val="000000" w:themeColor="text1"/>
          <w:sz w:val="16"/>
          <w:szCs w:val="16"/>
        </w:rPr>
        <w:t>неотгрузкой</w:t>
      </w:r>
      <w:proofErr w:type="spellEnd"/>
      <w:r w:rsidRPr="007122AB">
        <w:rPr>
          <w:rFonts w:ascii="Times New Roman" w:hAnsi="Times New Roman"/>
          <w:color w:val="000000" w:themeColor="text1"/>
          <w:sz w:val="16"/>
          <w:szCs w:val="16"/>
        </w:rPr>
        <w:t xml:space="preserve"> товаров промышленностью, якобы по причине неподачи вагонов и недостатка местного транспорта. Месячный фонд зарплаты вырос в [третьем] квартале до одного миллиарда восьмисот сорока трех миллионов рублей против месячного в один миллиард пятьсот пятьдесят миллионов во втором квартале. В июле и две декады августа выручка от всех товаров и по всем организациям наличными была в два миллиарда восемьсот восемьдесят восемь миллионов рублей, а выплата Госбанком зарплаты наличными была три миллиарда пятьдесят семь миллионов рублей. Таким образом, выручка от товаров и водки даже не покрывала фонда зарплаты. Это положение нетерпимо. Причины увеличенного фонда зарплаты объясняются, с одной стороны, развернувшимся капитальным строительством, а с другой стороны – повышением зарплаты хозяйственниками, которые не учитывают, что повышение зарплаты должно обязательно повлечь поднятие производительности труда. С коммерческими ценами неблагополучно. На местах часть товаров лежит. В ресторанах выручка ничтожна, потому что перегиб в ценах.</w:t>
      </w:r>
    </w:p>
    <w:p w14:paraId="313AC498" w14:textId="77777777" w:rsidR="00935E1C" w:rsidRPr="007122AB" w:rsidRDefault="00935E1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сентября 1931 года    Калманович</w:t>
      </w:r>
    </w:p>
    <w:p w14:paraId="3694DBF4" w14:textId="77777777" w:rsidR="00935E1C" w:rsidRPr="007122AB" w:rsidRDefault="00935E1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РГАЭ, ф. 2324, оп. 30, д. 25, л. 43–43 об. (17249).</w:t>
      </w:r>
    </w:p>
    <w:p w14:paraId="07C6E63A" w14:textId="77777777" w:rsidR="00935E1C" w:rsidRPr="007122AB" w:rsidRDefault="00935E1C" w:rsidP="007122AB">
      <w:pPr>
        <w:autoSpaceDE w:val="0"/>
        <w:autoSpaceDN w:val="0"/>
        <w:adjustRightInd w:val="0"/>
        <w:spacing w:after="0" w:line="240" w:lineRule="auto"/>
        <w:jc w:val="both"/>
        <w:rPr>
          <w:rFonts w:ascii="Times New Roman" w:hAnsi="Times New Roman"/>
          <w:color w:val="000000" w:themeColor="text1"/>
          <w:sz w:val="16"/>
          <w:szCs w:val="16"/>
        </w:rPr>
      </w:pPr>
    </w:p>
    <w:p w14:paraId="4E2A7318"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сентября 1931 г.</w:t>
      </w:r>
    </w:p>
    <w:p w14:paraId="4D8E44F2"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Записка ВСНХ СССР в Политбюро ЦК ВКП(б) о размещении заказов в США</w:t>
      </w:r>
    </w:p>
    <w:p w14:paraId="65F7E0F6"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позднее 5 сентября 1931 г.</w:t>
      </w:r>
    </w:p>
    <w:p w14:paraId="717E3087"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решением приостановить всякую выдачу наших заказов в Америке ниже приводится краткое описание состояния портфеля нереализованных поручений и крупнейших промобъединений ВСНХ СССР, а также новых поручений, подлежащих размещению в Америке по самому характеру заказываемых объектов оборудования.</w:t>
      </w:r>
    </w:p>
    <w:p w14:paraId="1118B237"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объединению ВАТО</w:t>
      </w:r>
    </w:p>
    <w:p w14:paraId="7B79B587"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Автострой</w:t>
      </w:r>
      <w:proofErr w:type="spellEnd"/>
      <w:r w:rsidRPr="007122AB">
        <w:rPr>
          <w:rFonts w:ascii="Times New Roman" w:hAnsi="Times New Roman"/>
          <w:color w:val="000000" w:themeColor="text1"/>
          <w:sz w:val="16"/>
          <w:szCs w:val="16"/>
        </w:rPr>
        <w:t xml:space="preserve">: из общей суммы 4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руб. около половины (т. е. 2,1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руб.) падает на запасные части к заказанным уже американским станкам; помимо того около 300 </w:t>
      </w:r>
      <w:proofErr w:type="spellStart"/>
      <w:r w:rsidRPr="007122AB">
        <w:rPr>
          <w:rFonts w:ascii="Times New Roman" w:hAnsi="Times New Roman"/>
          <w:color w:val="000000" w:themeColor="text1"/>
          <w:sz w:val="16"/>
          <w:szCs w:val="16"/>
        </w:rPr>
        <w:t>тыс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руб</w:t>
      </w:r>
      <w:proofErr w:type="spellEnd"/>
      <w:r w:rsidRPr="007122AB">
        <w:rPr>
          <w:rFonts w:ascii="Times New Roman" w:hAnsi="Times New Roman"/>
          <w:color w:val="000000" w:themeColor="text1"/>
          <w:sz w:val="16"/>
          <w:szCs w:val="16"/>
        </w:rPr>
        <w:t xml:space="preserve">, составляет инструмент к специальным станкам, который вместе с запчастями должен прибыть на завод одновременно с основным оборудованием. Пресса в количестве 156 шт. стоимостью около 325 тыс. руб. хотя и изготовляются в Германии, но сроки поставки их из Германии приходятся на 5—6 месяцев после </w:t>
      </w:r>
      <w:r w:rsidRPr="007122AB">
        <w:rPr>
          <w:rFonts w:ascii="Times New Roman" w:hAnsi="Times New Roman"/>
          <w:color w:val="000000" w:themeColor="text1"/>
          <w:sz w:val="16"/>
          <w:szCs w:val="16"/>
        </w:rPr>
        <w:lastRenderedPageBreak/>
        <w:t>пуска завода (май—июнь 1932 г.). Последнее в равной степени относится и к оборудования автозавода (станков на 40 тыс. руб. и оборудованию колесного и кузовного цехов - на 790 тыс. руб.), получить</w:t>
      </w:r>
    </w:p>
    <w:p w14:paraId="0735FC2D"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Харьковский тракторный завод нуждается в заказе специального инструмента на 350 тыс. руб. и 2-го комплекта </w:t>
      </w:r>
      <w:proofErr w:type="spellStart"/>
      <w:r w:rsidRPr="007122AB">
        <w:rPr>
          <w:rFonts w:ascii="Times New Roman" w:hAnsi="Times New Roman"/>
          <w:color w:val="000000" w:themeColor="text1"/>
          <w:sz w:val="16"/>
          <w:szCs w:val="16"/>
        </w:rPr>
        <w:t>металломоделей</w:t>
      </w:r>
      <w:proofErr w:type="spellEnd"/>
      <w:r w:rsidRPr="007122AB">
        <w:rPr>
          <w:rFonts w:ascii="Times New Roman" w:hAnsi="Times New Roman"/>
          <w:color w:val="000000" w:themeColor="text1"/>
          <w:sz w:val="16"/>
          <w:szCs w:val="16"/>
        </w:rPr>
        <w:t xml:space="preserve"> на 400 тыс. руб., ибо при порче моделей 1-го комплекта нарушится немедленно все производство; заказать 2-й комплект в других странах нельзя.</w:t>
      </w:r>
    </w:p>
    <w:p w14:paraId="3D17EED7"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Сталинградский тракторный завод ожидает получения запчастей и инструмента к специальным американским станкам на сумму около 400 тыс. руб.</w:t>
      </w:r>
    </w:p>
    <w:p w14:paraId="5A327330"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Господшипникстрой</w:t>
      </w:r>
      <w:proofErr w:type="spellEnd"/>
      <w:r w:rsidRPr="007122AB">
        <w:rPr>
          <w:rFonts w:ascii="Times New Roman" w:hAnsi="Times New Roman"/>
          <w:color w:val="000000" w:themeColor="text1"/>
          <w:sz w:val="16"/>
          <w:szCs w:val="16"/>
        </w:rPr>
        <w:t xml:space="preserve"> требует заказа в Америке на 2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руб. ковочных машин для кузнечного цеха, ибо попытка разместить заказы в Англии и Италии не дала положительного результата.</w:t>
      </w:r>
    </w:p>
    <w:p w14:paraId="5C79E468"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случае неполучения ковочных машин в установленный срок, кузнечный цех, являющийся основным цехом завода, задержит пуск всего завода. Шлифовальные станки типа «</w:t>
      </w:r>
      <w:proofErr w:type="spellStart"/>
      <w:r w:rsidRPr="007122AB">
        <w:rPr>
          <w:rFonts w:ascii="Times New Roman" w:hAnsi="Times New Roman"/>
          <w:color w:val="000000" w:themeColor="text1"/>
          <w:sz w:val="16"/>
          <w:szCs w:val="16"/>
        </w:rPr>
        <w:t>Хилд</w:t>
      </w:r>
      <w:proofErr w:type="spellEnd"/>
      <w:r w:rsidRPr="007122AB">
        <w:rPr>
          <w:rFonts w:ascii="Times New Roman" w:hAnsi="Times New Roman"/>
          <w:color w:val="000000" w:themeColor="text1"/>
          <w:sz w:val="16"/>
          <w:szCs w:val="16"/>
        </w:rPr>
        <w:t>» на 700 тыс. руб. хотя и могут быть заказаны в Германии на американских условиях кредита и цен, однако качество оборудования будет ниже.</w:t>
      </w:r>
    </w:p>
    <w:p w14:paraId="4B3C602B"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Завод «Красная Этна»1, который должен изготовлять </w:t>
      </w:r>
      <w:proofErr w:type="spellStart"/>
      <w:r w:rsidRPr="007122AB">
        <w:rPr>
          <w:rFonts w:ascii="Times New Roman" w:hAnsi="Times New Roman"/>
          <w:color w:val="000000" w:themeColor="text1"/>
          <w:sz w:val="16"/>
          <w:szCs w:val="16"/>
        </w:rPr>
        <w:t>болто</w:t>
      </w:r>
      <w:proofErr w:type="spellEnd"/>
      <w:r w:rsidRPr="007122AB">
        <w:rPr>
          <w:rFonts w:ascii="Times New Roman" w:hAnsi="Times New Roman"/>
          <w:color w:val="000000" w:themeColor="text1"/>
          <w:sz w:val="16"/>
          <w:szCs w:val="16"/>
        </w:rPr>
        <w:t>-заклепочные изделия для Нижегородского автозавода, нуждается в получении из Америки специальных станков на сумму около 150 тыс. руб.; без них снабжение автозавода будет невозможно.</w:t>
      </w:r>
    </w:p>
    <w:p w14:paraId="66422B29"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Ярославский автозавод ожидает получения из Америки 700 комплектов агрегатов (моторов) стоимостью примерно на 1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руб. для грузовых машин. В Германии можно было бы найти подходящий тип мотора, но цена его будет вдвое дороже американской фирмы «Геркулес», предоставляющей к тому кредит в среднем 12-14 мес.</w:t>
      </w:r>
    </w:p>
    <w:p w14:paraId="137EA00F"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общем, по ВАТО поручений, не могущих быть переброшенными на Европу, из вышеперечисленных 9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руб. будет на сумму около 3.7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xml:space="preserve">. руб.: остальное оборудование на сумму около 7,1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руб. хотя и может быть передано для реализации на Европе, но эта передача связана с вышеуказанными последствиями.</w:t>
      </w:r>
    </w:p>
    <w:p w14:paraId="7BCF22F5"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объединению </w:t>
      </w:r>
      <w:proofErr w:type="spellStart"/>
      <w:r w:rsidRPr="007122AB">
        <w:rPr>
          <w:rFonts w:ascii="Times New Roman" w:hAnsi="Times New Roman"/>
          <w:color w:val="000000" w:themeColor="text1"/>
          <w:sz w:val="16"/>
          <w:szCs w:val="16"/>
        </w:rPr>
        <w:t>Востокосталь</w:t>
      </w:r>
      <w:proofErr w:type="spellEnd"/>
    </w:p>
    <w:p w14:paraId="547D0418"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Магнитострой: для пуска первой и второй печей первой очереди требуется целый ряд объектов оборудования, как-то: клапана, фильтры, регуляторы, сигнализационное устройство, фибры, трубы, тормоза к кранам, сцепки, рукава к </w:t>
      </w:r>
      <w:proofErr w:type="spellStart"/>
      <w:r w:rsidRPr="007122AB">
        <w:rPr>
          <w:rFonts w:ascii="Times New Roman" w:hAnsi="Times New Roman"/>
          <w:color w:val="000000" w:themeColor="text1"/>
          <w:sz w:val="16"/>
          <w:szCs w:val="16"/>
        </w:rPr>
        <w:t>фурнам</w:t>
      </w:r>
      <w:proofErr w:type="spellEnd"/>
      <w:r w:rsidRPr="007122AB">
        <w:rPr>
          <w:rFonts w:ascii="Times New Roman" w:hAnsi="Times New Roman"/>
          <w:color w:val="000000" w:themeColor="text1"/>
          <w:sz w:val="16"/>
          <w:szCs w:val="16"/>
        </w:rPr>
        <w:t xml:space="preserve"> и т.п. на общую сумму около 325 тыс. руб., каковое оборудование по своему характеру является чисто американским и в Европе не изготовляется.</w:t>
      </w:r>
    </w:p>
    <w:p w14:paraId="5B12E68E"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3-й и 4-й печей (пускаемых в ход 1.02.32 г.) потребно специальное засыпное устройство (лебедки «</w:t>
      </w:r>
      <w:proofErr w:type="spellStart"/>
      <w:r w:rsidRPr="007122AB">
        <w:rPr>
          <w:rFonts w:ascii="Times New Roman" w:hAnsi="Times New Roman"/>
          <w:color w:val="000000" w:themeColor="text1"/>
          <w:sz w:val="16"/>
          <w:szCs w:val="16"/>
        </w:rPr>
        <w:t>Отисса</w:t>
      </w:r>
      <w:proofErr w:type="spellEnd"/>
      <w:r w:rsidRPr="007122AB">
        <w:rPr>
          <w:rFonts w:ascii="Times New Roman" w:hAnsi="Times New Roman"/>
          <w:color w:val="000000" w:themeColor="text1"/>
          <w:sz w:val="16"/>
          <w:szCs w:val="16"/>
        </w:rPr>
        <w:t>», вращающиеся распределители системы «Макки» и прочее) стоимостью около 370 тыс. руб., а также клапана «Клинга» и шнеки-</w:t>
      </w:r>
      <w:proofErr w:type="spellStart"/>
      <w:r w:rsidRPr="007122AB">
        <w:rPr>
          <w:rFonts w:ascii="Times New Roman" w:hAnsi="Times New Roman"/>
          <w:color w:val="000000" w:themeColor="text1"/>
          <w:sz w:val="16"/>
          <w:szCs w:val="16"/>
        </w:rPr>
        <w:t>сменители</w:t>
      </w:r>
      <w:proofErr w:type="spellEnd"/>
      <w:r w:rsidRPr="007122AB">
        <w:rPr>
          <w:rFonts w:ascii="Times New Roman" w:hAnsi="Times New Roman"/>
          <w:color w:val="000000" w:themeColor="text1"/>
          <w:sz w:val="16"/>
          <w:szCs w:val="16"/>
        </w:rPr>
        <w:t xml:space="preserve"> на сумму около 200 тыс. руб., которых в Европе получить нельзя.</w:t>
      </w:r>
    </w:p>
    <w:p w14:paraId="7F23CD9E"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Кузнецкстрой</w:t>
      </w:r>
      <w:proofErr w:type="spellEnd"/>
      <w:r w:rsidRPr="007122AB">
        <w:rPr>
          <w:rFonts w:ascii="Times New Roman" w:hAnsi="Times New Roman"/>
          <w:color w:val="000000" w:themeColor="text1"/>
          <w:sz w:val="16"/>
          <w:szCs w:val="16"/>
        </w:rPr>
        <w:t>: для 1-й и 2-й печей необходимо чисто американское оборудование, которое не удалось разместить в Европе, а именно: оборудование бассейнов «</w:t>
      </w:r>
      <w:proofErr w:type="spellStart"/>
      <w:r w:rsidRPr="007122AB">
        <w:rPr>
          <w:rFonts w:ascii="Times New Roman" w:hAnsi="Times New Roman"/>
          <w:color w:val="000000" w:themeColor="text1"/>
          <w:sz w:val="16"/>
          <w:szCs w:val="16"/>
        </w:rPr>
        <w:t>Дорра</w:t>
      </w:r>
      <w:proofErr w:type="spellEnd"/>
      <w:r w:rsidRPr="007122AB">
        <w:rPr>
          <w:rFonts w:ascii="Times New Roman" w:hAnsi="Times New Roman"/>
          <w:color w:val="000000" w:themeColor="text1"/>
          <w:sz w:val="16"/>
          <w:szCs w:val="16"/>
        </w:rPr>
        <w:t>» (отстойники), запчасти к американским экскаваторам, тормоза к кранам и сцепки - на сумму 250 тыс. руб.</w:t>
      </w:r>
    </w:p>
    <w:p w14:paraId="1B942627"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Востокоруде</w:t>
      </w:r>
      <w:proofErr w:type="spellEnd"/>
      <w:r w:rsidRPr="007122AB">
        <w:rPr>
          <w:rFonts w:ascii="Times New Roman" w:hAnsi="Times New Roman"/>
          <w:color w:val="000000" w:themeColor="text1"/>
          <w:sz w:val="16"/>
          <w:szCs w:val="16"/>
        </w:rPr>
        <w:t xml:space="preserve"> необходим гусеничный ход к американским экскаваторам, без чего последние не смогут работать (на сумму 33 тыс. руб.).</w:t>
      </w:r>
    </w:p>
    <w:p w14:paraId="1D887478"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по </w:t>
      </w:r>
      <w:proofErr w:type="spellStart"/>
      <w:r w:rsidRPr="007122AB">
        <w:rPr>
          <w:rFonts w:ascii="Times New Roman" w:hAnsi="Times New Roman"/>
          <w:color w:val="000000" w:themeColor="text1"/>
          <w:sz w:val="16"/>
          <w:szCs w:val="16"/>
        </w:rPr>
        <w:t>Востокостали</w:t>
      </w:r>
      <w:proofErr w:type="spellEnd"/>
      <w:r w:rsidRPr="007122AB">
        <w:rPr>
          <w:rFonts w:ascii="Times New Roman" w:hAnsi="Times New Roman"/>
          <w:color w:val="000000" w:themeColor="text1"/>
          <w:sz w:val="16"/>
          <w:szCs w:val="16"/>
        </w:rPr>
        <w:t>, безусловно, необходимо выдать срочных заказов на сумму около 1175 тыс. руб.; остальное оборудование примерно на сумму около 1775 тыс. руб. предстоит попытаться разместить в Европе.</w:t>
      </w:r>
    </w:p>
    <w:p w14:paraId="16E8F251"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объединению ВЭО</w:t>
      </w:r>
    </w:p>
    <w:p w14:paraId="01A4D549"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Из задержанных реализацией поручений, находящихся в Амторге на общую сумму около 900 тыс. руб., часть в размере 315 тыс. руб. составляет специальное оборудование, предназначенное для изготовления электрического оборудования для автотракторной промышленности (фирмы «Авто-Лайт»), Неполучение этого оборудования повлечет срыв удовлетворения Нижегородского автозавода, АМО и тракторных заводов электрооборудованием, поставляемым ВЭО.</w:t>
      </w:r>
    </w:p>
    <w:p w14:paraId="2B970C6A"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 около 200 тыс. руб. составляют отдельные детали, как-то: переключатели и выводы для высоковольтных трансформаторов, получение которых в Европе невозможно (по сведениям комиссии т. Жукова).</w:t>
      </w:r>
    </w:p>
    <w:p w14:paraId="5CC40F81"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Остальное </w:t>
      </w:r>
      <w:proofErr w:type="spellStart"/>
      <w:r w:rsidRPr="007122AB">
        <w:rPr>
          <w:rFonts w:ascii="Times New Roman" w:hAnsi="Times New Roman"/>
          <w:color w:val="000000" w:themeColor="text1"/>
          <w:sz w:val="16"/>
          <w:szCs w:val="16"/>
        </w:rPr>
        <w:t>техснабжение</w:t>
      </w:r>
      <w:proofErr w:type="spellEnd"/>
      <w:r w:rsidRPr="007122AB">
        <w:rPr>
          <w:rFonts w:ascii="Times New Roman" w:hAnsi="Times New Roman"/>
          <w:color w:val="000000" w:themeColor="text1"/>
          <w:sz w:val="16"/>
          <w:szCs w:val="16"/>
        </w:rPr>
        <w:t xml:space="preserve"> (на сумму около 385 тыс. руб.), представляющее из себя также специальные предметы и материалы, быть может, удастся разместить в Европе.</w:t>
      </w:r>
    </w:p>
    <w:p w14:paraId="6893BAC3"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Из задержанных реализацией поручений, находящихся в им[портном] объединении] в Москве на общую сумму около 580 тыс. руб., составляют части генераторов </w:t>
      </w:r>
      <w:proofErr w:type="spellStart"/>
      <w:r w:rsidRPr="007122AB">
        <w:rPr>
          <w:rFonts w:ascii="Times New Roman" w:hAnsi="Times New Roman"/>
          <w:color w:val="000000" w:themeColor="text1"/>
          <w:sz w:val="16"/>
          <w:szCs w:val="16"/>
        </w:rPr>
        <w:t>Днепростроя</w:t>
      </w:r>
      <w:proofErr w:type="spellEnd"/>
      <w:r w:rsidRPr="007122AB">
        <w:rPr>
          <w:rFonts w:ascii="Times New Roman" w:hAnsi="Times New Roman"/>
          <w:color w:val="000000" w:themeColor="text1"/>
          <w:sz w:val="16"/>
          <w:szCs w:val="16"/>
        </w:rPr>
        <w:t xml:space="preserve"> 2-й очереди (200 тыс. руб.), заказать которые в Европе невозможно, ибо их изготовляет только Америка, фирма «Джин», по чертежам которой изготовляются эти генераторы.</w:t>
      </w:r>
    </w:p>
    <w:p w14:paraId="0670CCC5"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того, на 100 тыс. руб. имеется специальное оборудование, изготовляемое только фирмами, с коими заключены договора на техническую помощь (автоматы - 5 тыс. руб.; 12-ти ходовая машина для изготовления </w:t>
      </w:r>
      <w:proofErr w:type="spellStart"/>
      <w:r w:rsidRPr="007122AB">
        <w:rPr>
          <w:rFonts w:ascii="Times New Roman" w:hAnsi="Times New Roman"/>
          <w:color w:val="000000" w:themeColor="text1"/>
          <w:sz w:val="16"/>
          <w:szCs w:val="16"/>
        </w:rPr>
        <w:t>кабр</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ированного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каб</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еля</w:t>
      </w:r>
      <w:proofErr w:type="spellEnd"/>
      <w:r w:rsidRPr="007122AB">
        <w:rPr>
          <w:rFonts w:ascii="Times New Roman" w:hAnsi="Times New Roman"/>
          <w:color w:val="000000" w:themeColor="text1"/>
          <w:sz w:val="16"/>
          <w:szCs w:val="16"/>
        </w:rPr>
        <w:t>] - 17 тыс. руб.; обмоточная машина - 18 тыс. руб.; пресса - 25 тыс. руб. и т.д.) и без получения каковых предметов освоение технической помощи, стоящей нам больших денег, будет невозможно.</w:t>
      </w:r>
    </w:p>
    <w:p w14:paraId="306C53B2"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 счет дополнительного контингента, испрашиваемого ВЭО в сумме 2140 тыс.” руб., требуются специальные приборы и полуфабрикаты (фирмы «Авто-Лайт») на сумму около 90 тыс. руб. и специальное оборудование для производства электрооборудования для автотракторной промышленности на 200 тыс. руб.; для изготовления обмоток на крупные генераторы и гидрогенераторы 315 тыс. руб. и для изоляционного и лампового производства - 120 тыс. руб. Все эти станки являются патентами фирмы «Авто-Лайт» и «Джин» и могут быть заказаны только у них.</w:t>
      </w:r>
    </w:p>
    <w:p w14:paraId="46D39AFF"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 ВЭО потребно на Америку и не может быть перенесено на Европу заказов на сумму около 1550 тыс. руб. из общей потребности в 3620 тыс. руб.</w:t>
      </w:r>
    </w:p>
    <w:p w14:paraId="3EEDFF7B"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объединению </w:t>
      </w:r>
      <w:proofErr w:type="spellStart"/>
      <w:r w:rsidRPr="007122AB">
        <w:rPr>
          <w:rFonts w:ascii="Times New Roman" w:hAnsi="Times New Roman"/>
          <w:color w:val="000000" w:themeColor="text1"/>
          <w:sz w:val="16"/>
          <w:szCs w:val="16"/>
        </w:rPr>
        <w:t>Союзнефть</w:t>
      </w:r>
      <w:proofErr w:type="spellEnd"/>
    </w:p>
    <w:p w14:paraId="4B6ED92A"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Большая часть оборудования уже заказана и частично получена, однако некоторые предметы подлежат дозаказу, ибо без них не сможет быть использована та часть, которая была уже заказана. Так, например:</w:t>
      </w:r>
    </w:p>
    <w:p w14:paraId="768E0509"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трубчатки масляные: из общей суммы 2,5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руб. заказано приблизительно на 1800 тыс. руб.; если остальные 700 тыс. руб. не будут дозаказаны, то предыдущая часть не сможет быть использована;</w:t>
      </w:r>
    </w:p>
    <w:p w14:paraId="41640FDF"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части советских крекингов: из общей суммы 900 тыс. руб. заказано до сего времени около 300 тыс. руб.; остальные 600 тыс. руб. подлежат дозаказу, иначе советские крекинги без наличия этих частей, изготовляемых только Америкой, не смогут быть пущены в дело;</w:t>
      </w:r>
    </w:p>
    <w:p w14:paraId="36C1C38A"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трубчатки для глубокого отбора: положение с ними аналогичное; заказано пока приблизительно на 700 тыс. руб., требуется дозаказать на 200 тыс. руб.</w:t>
      </w:r>
    </w:p>
    <w:p w14:paraId="427763B1"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Таким образом, по </w:t>
      </w:r>
      <w:proofErr w:type="spellStart"/>
      <w:r w:rsidRPr="007122AB">
        <w:rPr>
          <w:rFonts w:ascii="Times New Roman" w:hAnsi="Times New Roman"/>
          <w:color w:val="000000" w:themeColor="text1"/>
          <w:sz w:val="16"/>
          <w:szCs w:val="16"/>
        </w:rPr>
        <w:t>Союзнефти</w:t>
      </w:r>
      <w:proofErr w:type="spellEnd"/>
      <w:r w:rsidRPr="007122AB">
        <w:rPr>
          <w:rFonts w:ascii="Times New Roman" w:hAnsi="Times New Roman"/>
          <w:color w:val="000000" w:themeColor="text1"/>
          <w:sz w:val="16"/>
          <w:szCs w:val="16"/>
        </w:rPr>
        <w:t xml:space="preserve"> необходимо дозаказать оборудования на сумму 1500 тыс. руб.</w:t>
      </w:r>
    </w:p>
    <w:p w14:paraId="79385FFA"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объединению </w:t>
      </w:r>
      <w:proofErr w:type="spellStart"/>
      <w:r w:rsidRPr="007122AB">
        <w:rPr>
          <w:rFonts w:ascii="Times New Roman" w:hAnsi="Times New Roman"/>
          <w:color w:val="000000" w:themeColor="text1"/>
          <w:sz w:val="16"/>
          <w:szCs w:val="16"/>
        </w:rPr>
        <w:t>Союзлеспром</w:t>
      </w:r>
      <w:proofErr w:type="spellEnd"/>
    </w:p>
    <w:p w14:paraId="02C7027E"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Требуется заказать запчасти к тракторам, каковые не смогут быть использованы в должной мере, что в свою очередь повлияет на экспорт леса. Необходимая сумма для этой цели равна 265 тыс. руб.</w:t>
      </w:r>
    </w:p>
    <w:p w14:paraId="27B75B3D"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объединению </w:t>
      </w:r>
      <w:proofErr w:type="spellStart"/>
      <w:r w:rsidRPr="007122AB">
        <w:rPr>
          <w:rFonts w:ascii="Times New Roman" w:hAnsi="Times New Roman"/>
          <w:color w:val="000000" w:themeColor="text1"/>
          <w:sz w:val="16"/>
          <w:szCs w:val="16"/>
        </w:rPr>
        <w:t>Союзсельмаш</w:t>
      </w:r>
      <w:proofErr w:type="spellEnd"/>
    </w:p>
    <w:p w14:paraId="4034073B"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остающихся к реализации на Америку 286 тыс. руб. 200 тыс. руб. предназначаются для приобретения специального оборудования колесного цеха завода «Коммунар» и цеха комбайнов завода «</w:t>
      </w:r>
      <w:proofErr w:type="spellStart"/>
      <w:r w:rsidRPr="007122AB">
        <w:rPr>
          <w:rFonts w:ascii="Times New Roman" w:hAnsi="Times New Roman"/>
          <w:color w:val="000000" w:themeColor="text1"/>
          <w:sz w:val="16"/>
          <w:szCs w:val="16"/>
        </w:rPr>
        <w:t>Россельмаш</w:t>
      </w:r>
      <w:proofErr w:type="spellEnd"/>
      <w:r w:rsidRPr="007122AB">
        <w:rPr>
          <w:rFonts w:ascii="Times New Roman" w:hAnsi="Times New Roman"/>
          <w:color w:val="000000" w:themeColor="text1"/>
          <w:sz w:val="16"/>
          <w:szCs w:val="16"/>
        </w:rPr>
        <w:t>»; без получения этих частей означенные цеха не могут быть пущены в ход.</w:t>
      </w:r>
    </w:p>
    <w:p w14:paraId="27064BA2"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вышеперечисленных наиболее крупных заявок на Америку, исчисляемых суммой 8390 тыс. руб., имеется целый ряд мелких заявок по многим промобъединениям, которые можно ориентировочно определить суммою около 3610 тыс. руб.</w:t>
      </w:r>
    </w:p>
    <w:p w14:paraId="37906097"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неудовлетворении этих заявок будут иметь место последствия, аналогичные тем, о которых сказано выше.</w:t>
      </w:r>
    </w:p>
    <w:p w14:paraId="38D6596C"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Общая потребность на неотложные заказы для размещения их в Америке выражается, следовательно, суммой в 10.5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руб.</w:t>
      </w:r>
    </w:p>
    <w:p w14:paraId="1231528A"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общего американского контингента на 1931 г. в сумме 88 622 тыс. руб. было выдано Амторгом заказов фирмам до 10.08.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на 62 178 тыс. руб. (по данным </w:t>
      </w:r>
      <w:proofErr w:type="spellStart"/>
      <w:r w:rsidRPr="007122AB">
        <w:rPr>
          <w:rFonts w:ascii="Times New Roman" w:hAnsi="Times New Roman"/>
          <w:color w:val="000000" w:themeColor="text1"/>
          <w:sz w:val="16"/>
          <w:szCs w:val="16"/>
        </w:rPr>
        <w:t>Наркомвнешторга</w:t>
      </w:r>
      <w:proofErr w:type="spellEnd"/>
      <w:r w:rsidRPr="007122AB">
        <w:rPr>
          <w:rFonts w:ascii="Times New Roman" w:hAnsi="Times New Roman"/>
          <w:color w:val="000000" w:themeColor="text1"/>
          <w:sz w:val="16"/>
          <w:szCs w:val="16"/>
        </w:rPr>
        <w:t xml:space="preserve">), выдача заказов на остальную сумму 26 444 тыс. руб. была задержана. </w:t>
      </w:r>
    </w:p>
    <w:p w14:paraId="0938247E"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рассмотрении заявок на Америку 21.08. у т.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при участии т. Сорокина было снято с контингентов некоторых промобъединений 12 196 тыс. руб. и произведено </w:t>
      </w:r>
      <w:proofErr w:type="spellStart"/>
      <w:r w:rsidRPr="007122AB">
        <w:rPr>
          <w:rFonts w:ascii="Times New Roman" w:hAnsi="Times New Roman"/>
          <w:color w:val="000000" w:themeColor="text1"/>
          <w:sz w:val="16"/>
          <w:szCs w:val="16"/>
        </w:rPr>
        <w:t>доассигнование</w:t>
      </w:r>
      <w:proofErr w:type="spellEnd"/>
      <w:r w:rsidRPr="007122AB">
        <w:rPr>
          <w:rFonts w:ascii="Times New Roman" w:hAnsi="Times New Roman"/>
          <w:color w:val="000000" w:themeColor="text1"/>
          <w:sz w:val="16"/>
          <w:szCs w:val="16"/>
        </w:rPr>
        <w:t xml:space="preserve"> некоторым другим (5940 тыс. руб.), а также резервированы суммы для новых строек, как-то: моторный завод, трехосный АМО, ярославский (12 700 тыс. руб.). Таким образом, вместо остатка контингента на 10.08. - 26 444 тыс. руб. потребность выразится в сумме 32 888 тыс. руб. (26 444 - 12 196 + 5940 + 12 700). Из этой последней суммы после вторичного пересмотра заявок по некоторым крупным объединениям выяснилось, что сумма в 10,5 </w:t>
      </w:r>
      <w:proofErr w:type="spellStart"/>
      <w:r w:rsidRPr="007122AB">
        <w:rPr>
          <w:rFonts w:ascii="Times New Roman" w:hAnsi="Times New Roman"/>
          <w:color w:val="000000" w:themeColor="text1"/>
          <w:sz w:val="16"/>
          <w:szCs w:val="16"/>
        </w:rPr>
        <w:t>милл</w:t>
      </w:r>
      <w:proofErr w:type="spellEnd"/>
      <w:r w:rsidRPr="007122AB">
        <w:rPr>
          <w:rFonts w:ascii="Times New Roman" w:hAnsi="Times New Roman"/>
          <w:color w:val="000000" w:themeColor="text1"/>
          <w:sz w:val="16"/>
          <w:szCs w:val="16"/>
        </w:rPr>
        <w:t>. руб. (см. выше) необходима для покрытия экстренных и самых неотложных потребностей, без чего будет стоять без использования американское оборудование, частично уже завезенное, частично отгруженное и частично заказанное, что вызовет, в свою очередь, омертвление капитала на десятки миллионов рублей.</w:t>
      </w:r>
    </w:p>
    <w:p w14:paraId="49DCBDA1"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 стоит вопрос о Челябинском тракторном заводе. В настоящее время тов. Ильичев с инженерами находится в Англии и пытается разместить оборудование для ЧТЗ.</w:t>
      </w:r>
    </w:p>
    <w:p w14:paraId="3463AABF"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л. 42 сверху приписка Г.К. Орджоникидзе: Эта записка предназначена для ПБ, но прежде чем послать ее в ПБ, посылаю тебе. Серго. 5.09.31 г.</w:t>
      </w:r>
    </w:p>
    <w:p w14:paraId="6E9A3262" w14:textId="77777777" w:rsidR="00301740" w:rsidRPr="007122AB" w:rsidRDefault="003017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 3. On. 66. Д. 290. Л. 42-48. Подлинник (20759).</w:t>
      </w:r>
    </w:p>
    <w:p w14:paraId="2C8BC101" w14:textId="77777777" w:rsidR="00301740" w:rsidRPr="007122AB" w:rsidRDefault="00301740" w:rsidP="007122AB">
      <w:pPr>
        <w:spacing w:after="0" w:line="240" w:lineRule="auto"/>
        <w:jc w:val="both"/>
        <w:rPr>
          <w:rFonts w:ascii="Times New Roman" w:hAnsi="Times New Roman"/>
          <w:color w:val="000000" w:themeColor="text1"/>
          <w:sz w:val="16"/>
          <w:szCs w:val="16"/>
        </w:rPr>
      </w:pPr>
    </w:p>
    <w:p w14:paraId="747AF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4 и 10 сентября 1931. Из протокола заседания Политбюро № 59, 1931 г.</w:t>
      </w:r>
    </w:p>
    <w:p w14:paraId="2C52E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Сахалине </w:t>
      </w:r>
    </w:p>
    <w:p w14:paraId="04BCAE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серьезного положения со снабжением продовольствием Сахалина назначить тов. Ягоду (нарком внутренних дел СССР) специальным уполномоченным по обеспечению снабжения Сахалина, возложив на него обязанность принять все необходимые меры, чтобы обеспечить </w:t>
      </w:r>
      <w:proofErr w:type="spellStart"/>
      <w:r w:rsidRPr="007122AB">
        <w:rPr>
          <w:rFonts w:ascii="Times New Roman" w:hAnsi="Times New Roman"/>
          <w:color w:val="000000" w:themeColor="text1"/>
          <w:sz w:val="16"/>
          <w:szCs w:val="16"/>
        </w:rPr>
        <w:t>продснабжение</w:t>
      </w:r>
      <w:proofErr w:type="spellEnd"/>
      <w:r w:rsidRPr="007122AB">
        <w:rPr>
          <w:rFonts w:ascii="Times New Roman" w:hAnsi="Times New Roman"/>
          <w:color w:val="000000" w:themeColor="text1"/>
          <w:sz w:val="16"/>
          <w:szCs w:val="16"/>
        </w:rPr>
        <w:t xml:space="preserve"> Сахалина как на ближайшие месяцы, так и на зиму, и проверить, по чьей вине создалось существующее нетерпимое положение с продовольствием на Сахалине (11652).</w:t>
      </w:r>
    </w:p>
    <w:p w14:paraId="558E4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B814E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A076D9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0300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сентября 1931 было восстание чилийских военных моряков (2443,406).</w:t>
      </w:r>
    </w:p>
    <w:p w14:paraId="602DC0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47E7B4"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4 сентября </w:t>
      </w:r>
      <w:r w:rsidRPr="007122AB">
        <w:rPr>
          <w:rFonts w:ascii="Times New Roman" w:hAnsi="Times New Roman"/>
          <w:color w:val="000000" w:themeColor="text1"/>
          <w:sz w:val="16"/>
          <w:szCs w:val="16"/>
        </w:rPr>
        <w:t xml:space="preserve">в 1931 году в городе Карсон-Сити, штата Невада, впервые был применен опыт "гуманной", - как называют ее в один голос американские буржуазные газеты, - казни при помощи удушливых газов взамен электрического стула. Казни подвергся молодой мексиканец Луи </w:t>
      </w:r>
      <w:proofErr w:type="spellStart"/>
      <w:r w:rsidRPr="007122AB">
        <w:rPr>
          <w:rFonts w:ascii="Times New Roman" w:hAnsi="Times New Roman"/>
          <w:color w:val="000000" w:themeColor="text1"/>
          <w:sz w:val="16"/>
          <w:szCs w:val="16"/>
        </w:rPr>
        <w:t>Чехасья</w:t>
      </w:r>
      <w:proofErr w:type="spellEnd"/>
      <w:r w:rsidRPr="007122AB">
        <w:rPr>
          <w:rFonts w:ascii="Times New Roman" w:hAnsi="Times New Roman"/>
          <w:color w:val="000000" w:themeColor="text1"/>
          <w:sz w:val="16"/>
          <w:szCs w:val="16"/>
        </w:rPr>
        <w:t xml:space="preserve">, приговоренный к смерти за убийство. На зрелище присутствовало 80 лиц по особым приглашениям властей штата. Они наблюдали за действием газа с того момента, когда за осужденным захлопнулась дверь комнаты смерти и тюремный надзиратель повернул рычажок. Процесс казни продолжался несколько минут. Судя по составу приглашенной публики, над </w:t>
      </w:r>
      <w:proofErr w:type="spellStart"/>
      <w:r w:rsidRPr="007122AB">
        <w:rPr>
          <w:rFonts w:ascii="Times New Roman" w:hAnsi="Times New Roman"/>
          <w:color w:val="000000" w:themeColor="text1"/>
          <w:sz w:val="16"/>
          <w:szCs w:val="16"/>
        </w:rPr>
        <w:t>Чехасья</w:t>
      </w:r>
      <w:proofErr w:type="spellEnd"/>
      <w:r w:rsidRPr="007122AB">
        <w:rPr>
          <w:rFonts w:ascii="Times New Roman" w:hAnsi="Times New Roman"/>
          <w:color w:val="000000" w:themeColor="text1"/>
          <w:sz w:val="16"/>
          <w:szCs w:val="16"/>
        </w:rPr>
        <w:t>, по-видимому, применялись новые газы и казнь, таким образом, явилась "лабораторным опытом", в котором заинтересовано было военное ведомство (14759).</w:t>
      </w:r>
    </w:p>
    <w:p w14:paraId="1F90C473"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0FCD446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0C4CD1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FE0B9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сентября 1931 года постановления РВСР самолет ТШ1-2М34 был снят из действующего плана ЦАГИ, но должен был быть предусмотрен в новом плане опытного строительства, в связи с чем ЦАГИ продолжил НИР и расчеты по МТБ3 для последующей проектировки и реализации в новом плане (6919).</w:t>
      </w:r>
    </w:p>
    <w:p w14:paraId="350F2D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5116DD"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5 сентября </w:t>
      </w:r>
      <w:r w:rsidRPr="007122AB">
        <w:rPr>
          <w:rFonts w:ascii="Times New Roman" w:hAnsi="Times New Roman"/>
          <w:color w:val="000000" w:themeColor="text1"/>
          <w:sz w:val="16"/>
          <w:szCs w:val="16"/>
        </w:rPr>
        <w:t>в 1931 году в Запорожье в составе 18-ой авиабригады Украинского военного округа сформированы авиационные мастерские – сейчас Конотопский авиаремонтный завод “Авиакон” (14760).</w:t>
      </w:r>
    </w:p>
    <w:p w14:paraId="1BE6D8D4"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02190DD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635B0C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CA8AF3"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5 сентября </w:t>
      </w:r>
      <w:r w:rsidRPr="007122AB">
        <w:rPr>
          <w:rFonts w:ascii="Times New Roman" w:hAnsi="Times New Roman"/>
          <w:color w:val="000000" w:themeColor="text1"/>
          <w:sz w:val="16"/>
          <w:szCs w:val="16"/>
        </w:rPr>
        <w:t>в 1931 году принимается постановление ЦК ВКП(б) "О начальной и средней школе", которое ознаменует собой прекращение послереволюционных экспериментов в сфере образования. Вновь вводится единый стандарт обучения, а основной формой становится урок (14760).</w:t>
      </w:r>
    </w:p>
    <w:p w14:paraId="0941448D"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27EF9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сентября 1931 года ОГПУ и НКПС в совместной записке (№ 40686) сообщили в ЦК ВКП(б) Кагановичу, что ОГПУ и НКПС наметили еще один дополнительный список инженеров и техников железнодорожного транспорта, отбывающих наказание по приговорам коллегии ОГПУ за вредительство, но могущих быть использованными на транспорте. В представляемый список на 142 человек вошли инженеры и техники различных специальностей железнодорожного транспорта. ОГПУ и НКПС просили санкционировать досрочное освобождение от наказания перечисленным в списке лиц, с оставлением наказания условным и применением к освобожденным гласного надзора ОГПУ (11248).</w:t>
      </w:r>
    </w:p>
    <w:p w14:paraId="2DBA91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694F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815D9E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5470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сентября 1931 г. состоялось заседание в ВАО и определили срок предъявления самолета Р6 серийного для испытаний в НИИ к 7.09.1931 г., однако, самолет был предъявлен лишь 3.10.1931 г. (3273).</w:t>
      </w:r>
    </w:p>
    <w:p w14:paraId="47741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623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сентября 1931 И-4бис был направлен в НИИ ВВС (1454,19).</w:t>
      </w:r>
    </w:p>
    <w:p w14:paraId="6E3127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D32C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6 по 23 сентября 1931 проходили испытания самолета И4 N 1514 ЮVI -480 л.с.</w:t>
      </w:r>
    </w:p>
    <w:p w14:paraId="3658E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0B4461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59582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предъявлен на испытание в НИИ 6 сентября 1931 г.</w:t>
      </w:r>
    </w:p>
    <w:p w14:paraId="25FC60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23 сентября 1931 г.</w:t>
      </w:r>
    </w:p>
    <w:p w14:paraId="5E0F1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- 40</w:t>
      </w:r>
    </w:p>
    <w:p w14:paraId="050126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- 20 час. 14 мин.</w:t>
      </w:r>
    </w:p>
    <w:p w14:paraId="1830C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26D5E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8D63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525E53" w14:textId="77777777" w:rsidR="002E21EC" w:rsidRPr="007122AB" w:rsidRDefault="002E21E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сентября 1931 года еще до начала лет</w:t>
      </w:r>
      <w:r w:rsidRPr="007122AB">
        <w:rPr>
          <w:rFonts w:ascii="Times New Roman" w:hAnsi="Times New Roman"/>
          <w:color w:val="000000" w:themeColor="text1"/>
          <w:sz w:val="16"/>
          <w:szCs w:val="16"/>
        </w:rPr>
        <w:softHyphen/>
        <w:t>ных испытаний первый опытный экземпляр Сталь-2 зарегистрирова</w:t>
      </w:r>
      <w:r w:rsidRPr="007122AB">
        <w:rPr>
          <w:rFonts w:ascii="Times New Roman" w:hAnsi="Times New Roman"/>
          <w:color w:val="000000" w:themeColor="text1"/>
          <w:sz w:val="16"/>
          <w:szCs w:val="16"/>
        </w:rPr>
        <w:softHyphen/>
        <w:t>ли как СССР-Э7. Именно с таким обозначением он числил</w:t>
      </w:r>
      <w:r w:rsidRPr="007122AB">
        <w:rPr>
          <w:rFonts w:ascii="Times New Roman" w:hAnsi="Times New Roman"/>
          <w:color w:val="000000" w:themeColor="text1"/>
          <w:sz w:val="16"/>
          <w:szCs w:val="16"/>
        </w:rPr>
        <w:softHyphen/>
        <w:t>ся в НИИ ГВФ, где велись доводки и летные тестирования самолета (29365).</w:t>
      </w:r>
    </w:p>
    <w:p w14:paraId="3DF9649A" w14:textId="77777777" w:rsidR="002E21EC" w:rsidRPr="007122AB" w:rsidRDefault="002E21EC" w:rsidP="007122AB">
      <w:pPr>
        <w:spacing w:after="0" w:line="240" w:lineRule="auto"/>
        <w:jc w:val="both"/>
        <w:rPr>
          <w:rFonts w:ascii="Times New Roman" w:hAnsi="Times New Roman"/>
          <w:color w:val="000000" w:themeColor="text1"/>
          <w:sz w:val="16"/>
          <w:szCs w:val="16"/>
        </w:rPr>
      </w:pPr>
    </w:p>
    <w:p w14:paraId="3093B30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сентября 1931 года, по воспоминаниям современников на Ходынском аэро</w:t>
      </w:r>
      <w:r w:rsidRPr="00441F34">
        <w:rPr>
          <w:rFonts w:ascii="Times New Roman" w:hAnsi="Times New Roman"/>
          <w:color w:val="0070C0"/>
          <w:sz w:val="16"/>
          <w:szCs w:val="16"/>
        </w:rPr>
        <w:softHyphen/>
        <w:t>дроме Осоавиахима, произошла встреча старшего инженера завода Сергея Павловича Коро</w:t>
      </w:r>
      <w:r w:rsidRPr="00441F34">
        <w:rPr>
          <w:rFonts w:ascii="Times New Roman" w:hAnsi="Times New Roman"/>
          <w:color w:val="0070C0"/>
          <w:sz w:val="16"/>
          <w:szCs w:val="16"/>
        </w:rPr>
        <w:softHyphen/>
        <w:t>лева и старшего инженера Института авиационных моторов Фридриха Артуровича Цандера. Королев построил и испыты</w:t>
      </w:r>
      <w:r w:rsidRPr="00441F34">
        <w:rPr>
          <w:rFonts w:ascii="Times New Roman" w:hAnsi="Times New Roman"/>
          <w:color w:val="0070C0"/>
          <w:sz w:val="16"/>
          <w:szCs w:val="16"/>
        </w:rPr>
        <w:softHyphen/>
        <w:t>вал планер собственной конструкции. Цандер спроектировал реактивный двигатель. Возможно, здесь, на Ходынке, и роди</w:t>
      </w:r>
      <w:r w:rsidRPr="00441F34">
        <w:rPr>
          <w:rFonts w:ascii="Times New Roman" w:hAnsi="Times New Roman"/>
          <w:color w:val="0070C0"/>
          <w:sz w:val="16"/>
          <w:szCs w:val="16"/>
        </w:rPr>
        <w:softHyphen/>
        <w:t>лась идея ракетного планера - летательного аппарата Королева с двигателем Цандера (23510).</w:t>
      </w:r>
    </w:p>
    <w:p w14:paraId="2D47D88E" w14:textId="77777777" w:rsidR="007F1987" w:rsidRPr="00441F34" w:rsidRDefault="007F1987" w:rsidP="007F1987">
      <w:pPr>
        <w:spacing w:after="0" w:line="240" w:lineRule="auto"/>
        <w:jc w:val="both"/>
        <w:rPr>
          <w:rFonts w:ascii="Times New Roman" w:hAnsi="Times New Roman"/>
          <w:color w:val="0070C0"/>
          <w:sz w:val="16"/>
          <w:szCs w:val="16"/>
        </w:rPr>
      </w:pPr>
    </w:p>
    <w:p w14:paraId="2C54557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A5F977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4367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сентября 1931 г. пост. Президиума ВСНХ был создан Государственный институт редких и малых металлов (Государственный институт редких и малых металлов ВСНХ, НКТП, Государственный НИИ редких металлов «Гиредмет» НКТП, Государственный НИИ редких и малых металлов «Гиредмет» НКТП, Государственный научно-исследовательский и проектный институт редкометаллической промышленности («Гиредмет») МЦМ, ГНЦ ФГУП «Гиредмет» /г. Москва </w:t>
      </w:r>
      <w:proofErr w:type="spellStart"/>
      <w:r w:rsidRPr="007122AB">
        <w:rPr>
          <w:rFonts w:ascii="Times New Roman" w:hAnsi="Times New Roman"/>
          <w:color w:val="000000" w:themeColor="text1"/>
          <w:sz w:val="16"/>
          <w:szCs w:val="16"/>
        </w:rPr>
        <w:t>Пыжевский</w:t>
      </w:r>
      <w:proofErr w:type="spellEnd"/>
      <w:r w:rsidRPr="007122AB">
        <w:rPr>
          <w:rFonts w:ascii="Times New Roman" w:hAnsi="Times New Roman"/>
          <w:color w:val="000000" w:themeColor="text1"/>
          <w:sz w:val="16"/>
          <w:szCs w:val="16"/>
        </w:rPr>
        <w:t xml:space="preserve"> пер. (1931 г.)/ /119017 г. Москва Б. Толмачевский пер., 5 тел. 234-28-54/). Организатором института была В.И. Глебова. В 1936г. переименован в Государственный НИИ редких металлов «Гиредмет», в 1937г. -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w:t>
      </w:r>
      <w:proofErr w:type="spellStart"/>
      <w:r w:rsidRPr="007122AB">
        <w:rPr>
          <w:rFonts w:ascii="Times New Roman" w:hAnsi="Times New Roman"/>
          <w:color w:val="000000" w:themeColor="text1"/>
          <w:sz w:val="16"/>
          <w:szCs w:val="16"/>
        </w:rPr>
        <w:t>Минметаллургпрома</w:t>
      </w:r>
      <w:proofErr w:type="spellEnd"/>
      <w:r w:rsidRPr="007122AB">
        <w:rPr>
          <w:rFonts w:ascii="Times New Roman" w:hAnsi="Times New Roman"/>
          <w:color w:val="000000" w:themeColor="text1"/>
          <w:sz w:val="16"/>
          <w:szCs w:val="16"/>
        </w:rPr>
        <w:t xml:space="preserve"> (1948-59; 1953-54г.), </w:t>
      </w:r>
      <w:proofErr w:type="spellStart"/>
      <w:r w:rsidRPr="007122AB">
        <w:rPr>
          <w:rFonts w:ascii="Times New Roman" w:hAnsi="Times New Roman"/>
          <w:color w:val="000000" w:themeColor="text1"/>
          <w:sz w:val="16"/>
          <w:szCs w:val="16"/>
        </w:rPr>
        <w:t>ГлавНИИпроекта</w:t>
      </w:r>
      <w:proofErr w:type="spellEnd"/>
      <w:r w:rsidRPr="007122AB">
        <w:rPr>
          <w:rFonts w:ascii="Times New Roman" w:hAnsi="Times New Roman"/>
          <w:color w:val="000000" w:themeColor="text1"/>
          <w:sz w:val="16"/>
          <w:szCs w:val="16"/>
        </w:rPr>
        <w:t xml:space="preserve"> при Госплане (1957-60 г.), </w:t>
      </w:r>
      <w:proofErr w:type="spellStart"/>
      <w:r w:rsidRPr="007122AB">
        <w:rPr>
          <w:rFonts w:ascii="Times New Roman" w:hAnsi="Times New Roman"/>
          <w:color w:val="000000" w:themeColor="text1"/>
          <w:sz w:val="16"/>
          <w:szCs w:val="16"/>
        </w:rPr>
        <w:t>ГлавНИИ</w:t>
      </w:r>
      <w:proofErr w:type="spellEnd"/>
      <w:r w:rsidRPr="007122AB">
        <w:rPr>
          <w:rFonts w:ascii="Times New Roman" w:hAnsi="Times New Roman"/>
          <w:color w:val="000000" w:themeColor="text1"/>
          <w:sz w:val="16"/>
          <w:szCs w:val="16"/>
        </w:rPr>
        <w:t xml:space="preserve"> при </w:t>
      </w:r>
      <w:proofErr w:type="spellStart"/>
      <w:r w:rsidRPr="007122AB">
        <w:rPr>
          <w:rFonts w:ascii="Times New Roman" w:hAnsi="Times New Roman"/>
          <w:color w:val="000000" w:themeColor="text1"/>
          <w:sz w:val="16"/>
          <w:szCs w:val="16"/>
        </w:rPr>
        <w:t>Госэкономсовете</w:t>
      </w:r>
      <w:proofErr w:type="spellEnd"/>
      <w:r w:rsidRPr="007122AB">
        <w:rPr>
          <w:rFonts w:ascii="Times New Roman" w:hAnsi="Times New Roman"/>
          <w:color w:val="000000" w:themeColor="text1"/>
          <w:sz w:val="16"/>
          <w:szCs w:val="16"/>
        </w:rPr>
        <w:t xml:space="preserve"> СССР (1960-61 г.), ГК по черной и цветной металлургии (1962-63 г.), ГК по черной и цветной металлургии при Госплане (1963-65г.).</w:t>
      </w:r>
    </w:p>
    <w:p w14:paraId="34E2E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7FF22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1938-41 г. введены в эксплуатацию первые цеха по производству редких металлов. 27.11.1941 г. ГКО поручил </w:t>
      </w:r>
      <w:proofErr w:type="spellStart"/>
      <w:r w:rsidRPr="007122AB">
        <w:rPr>
          <w:rFonts w:ascii="Times New Roman" w:hAnsi="Times New Roman"/>
          <w:color w:val="000000" w:themeColor="text1"/>
          <w:sz w:val="16"/>
          <w:szCs w:val="16"/>
        </w:rPr>
        <w:t>НКЦветмету</w:t>
      </w:r>
      <w:proofErr w:type="spellEnd"/>
      <w:r w:rsidRPr="007122AB">
        <w:rPr>
          <w:rFonts w:ascii="Times New Roman" w:hAnsi="Times New Roman"/>
          <w:color w:val="000000" w:themeColor="text1"/>
          <w:sz w:val="16"/>
          <w:szCs w:val="16"/>
        </w:rPr>
        <w:t xml:space="preserve">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06C38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Направления работ: поиски и изучение сырья, содержащего редкие и малые металлы; разработка и изучение методов </w:t>
      </w:r>
      <w:proofErr w:type="spellStart"/>
      <w:r w:rsidRPr="007122AB">
        <w:rPr>
          <w:rFonts w:ascii="Times New Roman" w:hAnsi="Times New Roman"/>
          <w:color w:val="000000" w:themeColor="text1"/>
          <w:sz w:val="16"/>
          <w:szCs w:val="16"/>
        </w:rPr>
        <w:t>методов</w:t>
      </w:r>
      <w:proofErr w:type="spellEnd"/>
      <w:r w:rsidRPr="007122AB">
        <w:rPr>
          <w:rFonts w:ascii="Times New Roman" w:hAnsi="Times New Roman"/>
          <w:color w:val="000000" w:themeColor="text1"/>
          <w:sz w:val="16"/>
          <w:szCs w:val="16"/>
        </w:rPr>
        <w:t xml:space="preserve">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15915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1935г. в состав института вошел опытный </w:t>
      </w:r>
      <w:proofErr w:type="spellStart"/>
      <w:r w:rsidRPr="007122AB">
        <w:rPr>
          <w:rFonts w:ascii="Times New Roman" w:hAnsi="Times New Roman"/>
          <w:color w:val="000000" w:themeColor="text1"/>
          <w:sz w:val="16"/>
          <w:szCs w:val="16"/>
        </w:rPr>
        <w:t>завод.В</w:t>
      </w:r>
      <w:proofErr w:type="spellEnd"/>
      <w:r w:rsidRPr="007122AB">
        <w:rPr>
          <w:rFonts w:ascii="Times New Roman" w:hAnsi="Times New Roman"/>
          <w:color w:val="000000" w:themeColor="text1"/>
          <w:sz w:val="16"/>
          <w:szCs w:val="16"/>
        </w:rPr>
        <w:t xml:space="preserve">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w:t>
      </w:r>
      <w:proofErr w:type="spellStart"/>
      <w:r w:rsidRPr="007122AB">
        <w:rPr>
          <w:rFonts w:ascii="Times New Roman" w:hAnsi="Times New Roman"/>
          <w:color w:val="000000" w:themeColor="text1"/>
          <w:sz w:val="16"/>
          <w:szCs w:val="16"/>
        </w:rPr>
        <w:t>Геоприборцветмет</w:t>
      </w:r>
      <w:proofErr w:type="spellEnd"/>
      <w:r w:rsidRPr="007122AB">
        <w:rPr>
          <w:rFonts w:ascii="Times New Roman" w:hAnsi="Times New Roman"/>
          <w:color w:val="000000" w:themeColor="text1"/>
          <w:sz w:val="16"/>
          <w:szCs w:val="16"/>
        </w:rPr>
        <w:t>».</w:t>
      </w:r>
    </w:p>
    <w:p w14:paraId="036C3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Институт имел филиалы: Березниковский (создан 26.09.1955г., с 3.09.1956г. передан ВАМИ), Украинский.</w:t>
      </w:r>
    </w:p>
    <w:p w14:paraId="69156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proofErr w:type="spellStart"/>
      <w:r w:rsidRPr="007122AB">
        <w:rPr>
          <w:rFonts w:ascii="Times New Roman" w:hAnsi="Times New Roman"/>
          <w:color w:val="000000" w:themeColor="text1"/>
          <w:sz w:val="16"/>
          <w:szCs w:val="16"/>
          <w:lang w:val="en-US"/>
        </w:rPr>
        <w:t>SiC</w:t>
      </w:r>
      <w:proofErr w:type="spellEnd"/>
      <w:r w:rsidRPr="007122AB">
        <w:rPr>
          <w:rFonts w:ascii="Times New Roman" w:hAnsi="Times New Roman"/>
          <w:color w:val="000000" w:themeColor="text1"/>
          <w:sz w:val="16"/>
          <w:szCs w:val="16"/>
        </w:rPr>
        <w:t>.</w:t>
      </w:r>
    </w:p>
    <w:p w14:paraId="751C9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Разработана технология извлечения золота из отходов фосфатной глины на </w:t>
      </w:r>
      <w:proofErr w:type="spellStart"/>
      <w:r w:rsidRPr="007122AB">
        <w:rPr>
          <w:rFonts w:ascii="Times New Roman" w:hAnsi="Times New Roman"/>
          <w:color w:val="000000" w:themeColor="text1"/>
          <w:sz w:val="16"/>
          <w:szCs w:val="16"/>
        </w:rPr>
        <w:t>Березняковском</w:t>
      </w:r>
      <w:proofErr w:type="spellEnd"/>
      <w:r w:rsidRPr="007122AB">
        <w:rPr>
          <w:rFonts w:ascii="Times New Roman" w:hAnsi="Times New Roman"/>
          <w:color w:val="000000" w:themeColor="text1"/>
          <w:sz w:val="16"/>
          <w:szCs w:val="16"/>
        </w:rPr>
        <w:t xml:space="preserve"> титановом месторождении.</w:t>
      </w:r>
    </w:p>
    <w:p w14:paraId="648C4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Институт принимал участие в проектировании заводов, по его проектам построено более 65 объектов (из них около 50 химкомбинатов), в т.ч.: Запорожский </w:t>
      </w:r>
      <w:proofErr w:type="spellStart"/>
      <w:r w:rsidRPr="007122AB">
        <w:rPr>
          <w:rFonts w:ascii="Times New Roman" w:hAnsi="Times New Roman"/>
          <w:color w:val="000000" w:themeColor="text1"/>
          <w:sz w:val="16"/>
          <w:szCs w:val="16"/>
        </w:rPr>
        <w:t>титано</w:t>
      </w:r>
      <w:proofErr w:type="spellEnd"/>
      <w:r w:rsidRPr="007122AB">
        <w:rPr>
          <w:rFonts w:ascii="Times New Roman" w:hAnsi="Times New Roman"/>
          <w:color w:val="000000" w:themeColor="text1"/>
          <w:sz w:val="16"/>
          <w:szCs w:val="16"/>
        </w:rPr>
        <w:t xml:space="preserve">-магниевый, Донецкий ГХК, </w:t>
      </w:r>
      <w:proofErr w:type="spellStart"/>
      <w:r w:rsidRPr="007122AB">
        <w:rPr>
          <w:rFonts w:ascii="Times New Roman" w:hAnsi="Times New Roman"/>
          <w:color w:val="000000" w:themeColor="text1"/>
          <w:sz w:val="16"/>
          <w:szCs w:val="16"/>
        </w:rPr>
        <w:t>Усть-Каменогорский</w:t>
      </w:r>
      <w:proofErr w:type="spellEnd"/>
      <w:r w:rsidRPr="007122AB">
        <w:rPr>
          <w:rFonts w:ascii="Times New Roman" w:hAnsi="Times New Roman"/>
          <w:color w:val="000000" w:themeColor="text1"/>
          <w:sz w:val="16"/>
          <w:szCs w:val="16"/>
        </w:rPr>
        <w:t xml:space="preserve"> ГХК, Западно-Сибирский полупроводников, Красноярский цветных металлов, Подольский оловянный, ПХМЗ, ОХМЗ, Узбекский твердых сплавов, Ловозерский ГОК, </w:t>
      </w:r>
      <w:proofErr w:type="spellStart"/>
      <w:r w:rsidRPr="007122AB">
        <w:rPr>
          <w:rFonts w:ascii="Times New Roman" w:hAnsi="Times New Roman"/>
          <w:color w:val="000000" w:themeColor="text1"/>
          <w:sz w:val="16"/>
          <w:szCs w:val="16"/>
        </w:rPr>
        <w:t>Ташкумырский</w:t>
      </w:r>
      <w:proofErr w:type="spellEnd"/>
      <w:r w:rsidRPr="007122AB">
        <w:rPr>
          <w:rFonts w:ascii="Times New Roman" w:hAnsi="Times New Roman"/>
          <w:color w:val="000000" w:themeColor="text1"/>
          <w:sz w:val="16"/>
          <w:szCs w:val="16"/>
        </w:rPr>
        <w:t xml:space="preserve"> ГОК, Соликамский магниевый, Иртышский химико-металлургический; обогатительная фабрика </w:t>
      </w:r>
      <w:proofErr w:type="spellStart"/>
      <w:r w:rsidRPr="007122AB">
        <w:rPr>
          <w:rFonts w:ascii="Times New Roman" w:hAnsi="Times New Roman"/>
          <w:color w:val="000000" w:themeColor="text1"/>
          <w:sz w:val="16"/>
          <w:szCs w:val="16"/>
        </w:rPr>
        <w:t>Вишневогорского</w:t>
      </w:r>
      <w:proofErr w:type="spellEnd"/>
      <w:r w:rsidRPr="007122AB">
        <w:rPr>
          <w:rFonts w:ascii="Times New Roman" w:hAnsi="Times New Roman"/>
          <w:color w:val="000000" w:themeColor="text1"/>
          <w:sz w:val="16"/>
          <w:szCs w:val="16"/>
        </w:rPr>
        <w:t xml:space="preserve"> рудоуправления, опытные установки </w:t>
      </w:r>
      <w:proofErr w:type="spellStart"/>
      <w:r w:rsidRPr="007122AB">
        <w:rPr>
          <w:rFonts w:ascii="Times New Roman" w:hAnsi="Times New Roman"/>
          <w:color w:val="000000" w:themeColor="text1"/>
          <w:sz w:val="16"/>
          <w:szCs w:val="16"/>
        </w:rPr>
        <w:t>Жилевской</w:t>
      </w:r>
      <w:proofErr w:type="spellEnd"/>
      <w:r w:rsidRPr="007122AB">
        <w:rPr>
          <w:rFonts w:ascii="Times New Roman" w:hAnsi="Times New Roman"/>
          <w:color w:val="000000" w:themeColor="text1"/>
          <w:sz w:val="16"/>
          <w:szCs w:val="16"/>
        </w:rPr>
        <w:t xml:space="preserve"> обогатительной фабрики; </w:t>
      </w:r>
      <w:proofErr w:type="spellStart"/>
      <w:r w:rsidRPr="007122AB">
        <w:rPr>
          <w:rFonts w:ascii="Times New Roman" w:hAnsi="Times New Roman"/>
          <w:color w:val="000000" w:themeColor="text1"/>
          <w:sz w:val="16"/>
          <w:szCs w:val="16"/>
        </w:rPr>
        <w:t>Калгутинский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молибдено</w:t>
      </w:r>
      <w:proofErr w:type="spellEnd"/>
      <w:r w:rsidRPr="007122AB">
        <w:rPr>
          <w:rFonts w:ascii="Times New Roman" w:hAnsi="Times New Roman"/>
          <w:color w:val="000000" w:themeColor="text1"/>
          <w:sz w:val="16"/>
          <w:szCs w:val="16"/>
        </w:rPr>
        <w:t xml:space="preserve">-вольфрамовый ГОКа; предприятия в Болгарии: заводы: </w:t>
      </w:r>
      <w:proofErr w:type="spellStart"/>
      <w:r w:rsidRPr="007122AB">
        <w:rPr>
          <w:rFonts w:ascii="Times New Roman" w:hAnsi="Times New Roman"/>
          <w:color w:val="000000" w:themeColor="text1"/>
          <w:sz w:val="16"/>
          <w:szCs w:val="16"/>
        </w:rPr>
        <w:t>азтнотуковый</w:t>
      </w:r>
      <w:proofErr w:type="spellEnd"/>
      <w:r w:rsidRPr="007122AB">
        <w:rPr>
          <w:rFonts w:ascii="Times New Roman" w:hAnsi="Times New Roman"/>
          <w:color w:val="000000" w:themeColor="text1"/>
          <w:sz w:val="16"/>
          <w:szCs w:val="16"/>
        </w:rPr>
        <w:t>, полупроводников, силовых кремниевых вентилей, силовых преобразователей тока; комбинаты: цветных металлов, свинцово-</w:t>
      </w:r>
      <w:r w:rsidRPr="007122AB">
        <w:rPr>
          <w:rFonts w:ascii="Times New Roman" w:hAnsi="Times New Roman"/>
          <w:color w:val="000000" w:themeColor="text1"/>
          <w:sz w:val="16"/>
          <w:szCs w:val="16"/>
        </w:rPr>
        <w:lastRenderedPageBreak/>
        <w:t>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7122AB">
        <w:rPr>
          <w:rFonts w:ascii="Times New Roman" w:hAnsi="Times New Roman"/>
          <w:color w:val="000000" w:themeColor="text1"/>
          <w:sz w:val="16"/>
          <w:szCs w:val="16"/>
          <w:vertAlign w:val="superscript"/>
        </w:rPr>
        <w:t>137</w:t>
      </w:r>
    </w:p>
    <w:p w14:paraId="757E8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Выполнены работы: «Использование высокодисперсных </w:t>
      </w:r>
      <w:proofErr w:type="spellStart"/>
      <w:r w:rsidRPr="007122AB">
        <w:rPr>
          <w:rFonts w:ascii="Times New Roman" w:hAnsi="Times New Roman"/>
          <w:color w:val="000000" w:themeColor="text1"/>
          <w:sz w:val="16"/>
          <w:szCs w:val="16"/>
        </w:rPr>
        <w:t>кольматантов</w:t>
      </w:r>
      <w:proofErr w:type="spellEnd"/>
      <w:r w:rsidRPr="007122AB">
        <w:rPr>
          <w:rFonts w:ascii="Times New Roman" w:hAnsi="Times New Roman"/>
          <w:color w:val="000000" w:themeColor="text1"/>
          <w:sz w:val="16"/>
          <w:szCs w:val="16"/>
        </w:rPr>
        <w:t xml:space="preserve">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w:t>
      </w:r>
      <w:proofErr w:type="spellStart"/>
      <w:r w:rsidRPr="007122AB">
        <w:rPr>
          <w:rFonts w:ascii="Times New Roman" w:hAnsi="Times New Roman"/>
          <w:color w:val="000000" w:themeColor="text1"/>
          <w:sz w:val="16"/>
          <w:szCs w:val="16"/>
        </w:rPr>
        <w:t>эвдиалитовых</w:t>
      </w:r>
      <w:proofErr w:type="spellEnd"/>
      <w:r w:rsidRPr="007122AB">
        <w:rPr>
          <w:rFonts w:ascii="Times New Roman" w:hAnsi="Times New Roman"/>
          <w:color w:val="000000" w:themeColor="text1"/>
          <w:sz w:val="16"/>
          <w:szCs w:val="16"/>
        </w:rPr>
        <w:t xml:space="preserve"> руд - цирконий- и </w:t>
      </w:r>
      <w:proofErr w:type="spellStart"/>
      <w:r w:rsidRPr="007122AB">
        <w:rPr>
          <w:rFonts w:ascii="Times New Roman" w:hAnsi="Times New Roman"/>
          <w:color w:val="000000" w:themeColor="text1"/>
          <w:sz w:val="16"/>
          <w:szCs w:val="16"/>
        </w:rPr>
        <w:t>иттрийсодержащего</w:t>
      </w:r>
      <w:proofErr w:type="spellEnd"/>
      <w:r w:rsidRPr="007122AB">
        <w:rPr>
          <w:rFonts w:ascii="Times New Roman" w:hAnsi="Times New Roman"/>
          <w:color w:val="000000" w:themeColor="text1"/>
          <w:sz w:val="16"/>
          <w:szCs w:val="16"/>
        </w:rPr>
        <w:t xml:space="preserve">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w:t>
      </w:r>
      <w:proofErr w:type="spellStart"/>
      <w:r w:rsidRPr="007122AB">
        <w:rPr>
          <w:rFonts w:ascii="Times New Roman" w:hAnsi="Times New Roman"/>
          <w:color w:val="000000" w:themeColor="text1"/>
          <w:sz w:val="16"/>
          <w:szCs w:val="16"/>
        </w:rPr>
        <w:t>карбидо</w:t>
      </w:r>
      <w:proofErr w:type="spellEnd"/>
      <w:r w:rsidRPr="007122AB">
        <w:rPr>
          <w:rFonts w:ascii="Times New Roman" w:hAnsi="Times New Roman"/>
          <w:color w:val="000000" w:themeColor="text1"/>
          <w:sz w:val="16"/>
          <w:szCs w:val="16"/>
        </w:rPr>
        <w:t>-кремниевых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w:t>
      </w:r>
      <w:proofErr w:type="spellStart"/>
      <w:r w:rsidRPr="007122AB">
        <w:rPr>
          <w:rFonts w:ascii="Times New Roman" w:hAnsi="Times New Roman"/>
          <w:color w:val="000000" w:themeColor="text1"/>
          <w:sz w:val="16"/>
          <w:szCs w:val="16"/>
        </w:rPr>
        <w:t>телпур</w:t>
      </w:r>
      <w:proofErr w:type="spellEnd"/>
      <w:r w:rsidRPr="007122AB">
        <w:rPr>
          <w:rFonts w:ascii="Times New Roman" w:hAnsi="Times New Roman"/>
          <w:color w:val="000000" w:themeColor="text1"/>
          <w:sz w:val="16"/>
          <w:szCs w:val="16"/>
        </w:rPr>
        <w:t xml:space="preserve">»,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7122AB">
        <w:rPr>
          <w:rFonts w:ascii="Times New Roman" w:hAnsi="Times New Roman"/>
          <w:color w:val="000000" w:themeColor="text1"/>
          <w:sz w:val="16"/>
          <w:szCs w:val="16"/>
          <w:lang w:val="en-US"/>
        </w:rPr>
        <w:t>Hg</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Cd</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lang w:val="en-US"/>
        </w:rPr>
        <w:t>Te</w:t>
      </w:r>
      <w:proofErr w:type="spellEnd"/>
      <w:r w:rsidRPr="007122AB">
        <w:rPr>
          <w:rFonts w:ascii="Times New Roman" w:hAnsi="Times New Roman"/>
          <w:color w:val="000000" w:themeColor="text1"/>
          <w:sz w:val="16"/>
          <w:szCs w:val="16"/>
        </w:rPr>
        <w:t xml:space="preserve"> / </w:t>
      </w:r>
      <w:r w:rsidRPr="007122AB">
        <w:rPr>
          <w:rFonts w:ascii="Times New Roman" w:hAnsi="Times New Roman"/>
          <w:color w:val="000000" w:themeColor="text1"/>
          <w:sz w:val="16"/>
          <w:szCs w:val="16"/>
          <w:lang w:val="en-US"/>
        </w:rPr>
        <w:t>Cd</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Zn</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lang w:val="en-US"/>
        </w:rPr>
        <w:t>Te</w:t>
      </w:r>
      <w:proofErr w:type="spellEnd"/>
      <w:r w:rsidRPr="007122AB">
        <w:rPr>
          <w:rFonts w:ascii="Times New Roman" w:hAnsi="Times New Roman"/>
          <w:color w:val="000000" w:themeColor="text1"/>
          <w:sz w:val="16"/>
          <w:szCs w:val="16"/>
        </w:rPr>
        <w:t>», «Мелкодисперсный порошок оксида иттрия» (2001 г.).</w:t>
      </w:r>
    </w:p>
    <w:p w14:paraId="121C1F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5BFBE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6AEF3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774071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w:t>
      </w:r>
      <w:proofErr w:type="spellStart"/>
      <w:r w:rsidRPr="007122AB">
        <w:rPr>
          <w:rFonts w:ascii="Times New Roman" w:hAnsi="Times New Roman"/>
          <w:color w:val="000000" w:themeColor="text1"/>
          <w:sz w:val="16"/>
          <w:szCs w:val="16"/>
        </w:rPr>
        <w:t>экоаналитических</w:t>
      </w:r>
      <w:proofErr w:type="spellEnd"/>
      <w:r w:rsidRPr="007122AB">
        <w:rPr>
          <w:rFonts w:ascii="Times New Roman" w:hAnsi="Times New Roman"/>
          <w:color w:val="000000" w:themeColor="text1"/>
          <w:sz w:val="16"/>
          <w:szCs w:val="16"/>
        </w:rPr>
        <w:t xml:space="preserve"> работ.</w:t>
      </w:r>
    </w:p>
    <w:p w14:paraId="7E5DB4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6BF1FE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(1931 г.-)- В.И. Глебова, (2000 г.)- Э.П. Бочкарев, (2000-е)- академик А.В. Елютин, (2006г.)- Ю.Н. Пархоменко.</w:t>
      </w:r>
    </w:p>
    <w:p w14:paraId="3DCF76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по общим вопросам (2000-е)- Д.Б. Аронов; (2007г.)- Ю. Рыбкин.</w:t>
      </w:r>
    </w:p>
    <w:p w14:paraId="5AFF9A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ИАСЦ (2000-е)- Ю.А. Карпов.</w:t>
      </w:r>
    </w:p>
    <w:p w14:paraId="1AE09F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руководителя ИАСЦ (2000-е)- В.Г. </w:t>
      </w:r>
      <w:proofErr w:type="spellStart"/>
      <w:r w:rsidRPr="007122AB">
        <w:rPr>
          <w:rFonts w:ascii="Times New Roman" w:hAnsi="Times New Roman"/>
          <w:color w:val="000000" w:themeColor="text1"/>
          <w:sz w:val="16"/>
          <w:szCs w:val="16"/>
        </w:rPr>
        <w:t>Мискарьянц</w:t>
      </w:r>
      <w:proofErr w:type="spellEnd"/>
      <w:r w:rsidRPr="007122AB">
        <w:rPr>
          <w:rFonts w:ascii="Times New Roman" w:hAnsi="Times New Roman"/>
          <w:color w:val="000000" w:themeColor="text1"/>
          <w:sz w:val="16"/>
          <w:szCs w:val="16"/>
        </w:rPr>
        <w:t>.</w:t>
      </w:r>
    </w:p>
    <w:p w14:paraId="3651E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Заведующие отделами: физических исследований (2000-е)- А.Ф. Орлов; химии и химической технологии редких элементов (2000-е)- А.А. Титов; коммерческим (2000-е)- В.И. </w:t>
      </w:r>
      <w:proofErr w:type="spellStart"/>
      <w:r w:rsidRPr="007122AB">
        <w:rPr>
          <w:rFonts w:ascii="Times New Roman" w:hAnsi="Times New Roman"/>
          <w:color w:val="000000" w:themeColor="text1"/>
          <w:sz w:val="16"/>
          <w:szCs w:val="16"/>
        </w:rPr>
        <w:t>Райхштейн</w:t>
      </w:r>
      <w:proofErr w:type="spellEnd"/>
      <w:r w:rsidRPr="007122AB">
        <w:rPr>
          <w:rFonts w:ascii="Times New Roman" w:hAnsi="Times New Roman"/>
          <w:color w:val="000000" w:themeColor="text1"/>
          <w:sz w:val="16"/>
          <w:szCs w:val="16"/>
        </w:rPr>
        <w:t>.</w:t>
      </w:r>
    </w:p>
    <w:p w14:paraId="7F2EDD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w:t>
      </w:r>
      <w:proofErr w:type="spellStart"/>
      <w:r w:rsidRPr="007122AB">
        <w:rPr>
          <w:rFonts w:ascii="Times New Roman" w:hAnsi="Times New Roman"/>
          <w:color w:val="000000" w:themeColor="text1"/>
          <w:sz w:val="16"/>
          <w:szCs w:val="16"/>
        </w:rPr>
        <w:t>Нисельсон</w:t>
      </w:r>
      <w:proofErr w:type="spellEnd"/>
      <w:r w:rsidRPr="007122AB">
        <w:rPr>
          <w:rFonts w:ascii="Times New Roman" w:hAnsi="Times New Roman"/>
          <w:color w:val="000000" w:themeColor="text1"/>
          <w:sz w:val="16"/>
          <w:szCs w:val="16"/>
        </w:rPr>
        <w:t>.</w:t>
      </w:r>
    </w:p>
    <w:p w14:paraId="43E90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Руководители подразделений: проектного (2000-е)- Ю.М. Рыбкин; конструкторского (2000-е)- В.Ю. </w:t>
      </w:r>
      <w:proofErr w:type="spellStart"/>
      <w:r w:rsidRPr="007122AB">
        <w:rPr>
          <w:rFonts w:ascii="Times New Roman" w:hAnsi="Times New Roman"/>
          <w:color w:val="000000" w:themeColor="text1"/>
          <w:sz w:val="16"/>
          <w:szCs w:val="16"/>
        </w:rPr>
        <w:t>Жвирблянский</w:t>
      </w:r>
      <w:proofErr w:type="spellEnd"/>
      <w:r w:rsidRPr="007122AB">
        <w:rPr>
          <w:rFonts w:ascii="Times New Roman" w:hAnsi="Times New Roman"/>
          <w:color w:val="000000" w:themeColor="text1"/>
          <w:sz w:val="16"/>
          <w:szCs w:val="16"/>
        </w:rPr>
        <w:t xml:space="preserve"> (11982).</w:t>
      </w:r>
    </w:p>
    <w:p w14:paraId="5CDA8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B8DB5C"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сентября в 1931 году постановлением Президиума ВСНХ СССР в Москве создан Государственный институт редких металлов. Ныне ФГУП ГНЦ Российской Федерации «Государственный научно-исследовательский и проектный институт редкометаллической промышленности «Гиредмет» – головная организация в Российской Федерации, решающая проблемы разработки и организации на базе современной технологии производства редкометаллической и полупроводниковой продукции, включая фундаментальные исследования, разработку технологических схем и аппаратуры, проектирование сырьевых, металлургических опытных и промышленных предприятий, а также стандартизацию и сертификацию материалов на основе редких металлов и полупроводников (14761).</w:t>
      </w:r>
    </w:p>
    <w:p w14:paraId="19C43676"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1769FEC6" w14:textId="77777777" w:rsidR="00B35C0B" w:rsidRPr="007122AB" w:rsidRDefault="00B35C0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6 сентября 1931 г.</w:t>
      </w:r>
    </w:p>
    <w:p w14:paraId="585FA45B" w14:textId="77777777" w:rsidR="00B35C0B" w:rsidRPr="007122AB" w:rsidRDefault="00B35C0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Протокол совещания сотрудников Теплотехнического института и представителей ОКБ № 11 об организации работы по проектированию прямоточного котла. 6 сентября 1931 г.</w:t>
      </w:r>
    </w:p>
    <w:p w14:paraId="68311A43" w14:textId="77777777" w:rsidR="00B35C0B" w:rsidRPr="007122AB" w:rsidRDefault="00B35C0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3EC96910" w14:textId="77777777" w:rsidR="00B35C0B" w:rsidRPr="007122AB" w:rsidRDefault="00B35C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D053CB" w14:textId="77777777" w:rsidR="00B35C0B" w:rsidRPr="007122AB" w:rsidRDefault="00B35C0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62B6971" w14:textId="77777777" w:rsidR="00B35C0B" w:rsidRPr="007122AB" w:rsidRDefault="00B35C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1. Л. 33-32</w:t>
      </w:r>
    </w:p>
    <w:p w14:paraId="4A78CD98" w14:textId="77777777" w:rsidR="00B35C0B" w:rsidRPr="007122AB" w:rsidRDefault="00B35C0B" w:rsidP="007122AB">
      <w:pPr>
        <w:pStyle w:val="rteright"/>
        <w:spacing w:before="0" w:after="0"/>
        <w:jc w:val="both"/>
        <w:rPr>
          <w:color w:val="000000" w:themeColor="text1"/>
          <w:sz w:val="16"/>
          <w:szCs w:val="16"/>
        </w:rPr>
      </w:pPr>
      <w:r w:rsidRPr="007122AB">
        <w:rPr>
          <w:color w:val="000000" w:themeColor="text1"/>
          <w:sz w:val="16"/>
          <w:szCs w:val="16"/>
        </w:rPr>
        <w:t>6 сентября 1931 г.</w:t>
      </w:r>
    </w:p>
    <w:p w14:paraId="17742D3E" w14:textId="77777777" w:rsidR="00B35C0B" w:rsidRPr="007122AB" w:rsidRDefault="00B35C0B" w:rsidP="007122AB">
      <w:pPr>
        <w:pStyle w:val="rtecenter"/>
        <w:spacing w:before="0" w:after="0"/>
        <w:jc w:val="both"/>
        <w:rPr>
          <w:color w:val="000000" w:themeColor="text1"/>
          <w:sz w:val="16"/>
          <w:szCs w:val="16"/>
        </w:rPr>
      </w:pPr>
      <w:r w:rsidRPr="007122AB">
        <w:rPr>
          <w:color w:val="000000" w:themeColor="text1"/>
          <w:sz w:val="16"/>
          <w:szCs w:val="16"/>
        </w:rPr>
        <w:t>ПРОТОКОЛ № 13</w:t>
      </w:r>
    </w:p>
    <w:p w14:paraId="5EF86203" w14:textId="77777777" w:rsidR="00B35C0B" w:rsidRPr="007122AB" w:rsidRDefault="00B35C0B" w:rsidP="007122AB">
      <w:pPr>
        <w:pStyle w:val="rtecenter"/>
        <w:spacing w:before="0" w:after="0"/>
        <w:jc w:val="both"/>
        <w:rPr>
          <w:color w:val="000000" w:themeColor="text1"/>
          <w:sz w:val="16"/>
          <w:szCs w:val="16"/>
        </w:rPr>
      </w:pPr>
      <w:r w:rsidRPr="007122AB">
        <w:rPr>
          <w:color w:val="000000" w:themeColor="text1"/>
          <w:sz w:val="16"/>
          <w:szCs w:val="16"/>
        </w:rPr>
        <w:t>Посещения Всесоюзного Теплотехнического Института</w:t>
      </w:r>
    </w:p>
    <w:p w14:paraId="79D4F9A8" w14:textId="77777777" w:rsidR="00B35C0B" w:rsidRPr="007122AB" w:rsidRDefault="00B35C0B" w:rsidP="007122AB">
      <w:pPr>
        <w:pStyle w:val="rtecenter"/>
        <w:spacing w:before="0" w:after="0"/>
        <w:jc w:val="both"/>
        <w:rPr>
          <w:color w:val="000000" w:themeColor="text1"/>
          <w:sz w:val="16"/>
          <w:szCs w:val="16"/>
        </w:rPr>
      </w:pPr>
      <w:r w:rsidRPr="007122AB">
        <w:rPr>
          <w:color w:val="000000" w:themeColor="text1"/>
          <w:sz w:val="16"/>
          <w:szCs w:val="16"/>
        </w:rPr>
        <w:t>от 6/IX-31 г.</w:t>
      </w:r>
    </w:p>
    <w:p w14:paraId="7A7AA9CC"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Присутствовали:</w:t>
      </w:r>
    </w:p>
    <w:p w14:paraId="4ED0FC68"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от ВТИ — директор ВТИ — инженер БРАИЛО Г. П.</w:t>
      </w:r>
    </w:p>
    <w:p w14:paraId="42700104"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Инженер — Власов О. Е.</w:t>
      </w:r>
    </w:p>
    <w:p w14:paraId="5DE3CB1F"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 xml:space="preserve">Зав. </w:t>
      </w:r>
      <w:proofErr w:type="spellStart"/>
      <w:r w:rsidRPr="007122AB">
        <w:rPr>
          <w:color w:val="000000" w:themeColor="text1"/>
          <w:sz w:val="16"/>
          <w:szCs w:val="16"/>
        </w:rPr>
        <w:t>секр</w:t>
      </w:r>
      <w:proofErr w:type="spellEnd"/>
      <w:r w:rsidRPr="007122AB">
        <w:rPr>
          <w:color w:val="000000" w:themeColor="text1"/>
          <w:sz w:val="16"/>
          <w:szCs w:val="16"/>
        </w:rPr>
        <w:t>[</w:t>
      </w:r>
      <w:proofErr w:type="spellStart"/>
      <w:r w:rsidRPr="007122AB">
        <w:rPr>
          <w:color w:val="000000" w:themeColor="text1"/>
          <w:sz w:val="16"/>
          <w:szCs w:val="16"/>
        </w:rPr>
        <w:t>етной</w:t>
      </w:r>
      <w:proofErr w:type="spellEnd"/>
      <w:r w:rsidRPr="007122AB">
        <w:rPr>
          <w:color w:val="000000" w:themeColor="text1"/>
          <w:sz w:val="16"/>
          <w:szCs w:val="16"/>
        </w:rPr>
        <w:t>] частью ВТИ — Архипенко.</w:t>
      </w:r>
    </w:p>
    <w:p w14:paraId="06F447D8"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 xml:space="preserve">Нач. ОКБ № 11 — </w:t>
      </w:r>
      <w:proofErr w:type="spellStart"/>
      <w:r w:rsidRPr="007122AB">
        <w:rPr>
          <w:color w:val="000000" w:themeColor="text1"/>
          <w:sz w:val="16"/>
          <w:szCs w:val="16"/>
        </w:rPr>
        <w:t>Наумин</w:t>
      </w:r>
      <w:proofErr w:type="spellEnd"/>
      <w:r w:rsidRPr="007122AB">
        <w:rPr>
          <w:color w:val="000000" w:themeColor="text1"/>
          <w:sz w:val="16"/>
          <w:szCs w:val="16"/>
        </w:rPr>
        <w:t>.</w:t>
      </w:r>
    </w:p>
    <w:p w14:paraId="6474EC4E"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 xml:space="preserve">От ОКБ № 11 — Инженер ОКБ № 11 — </w:t>
      </w:r>
      <w:proofErr w:type="spellStart"/>
      <w:r w:rsidRPr="007122AB">
        <w:rPr>
          <w:color w:val="000000" w:themeColor="text1"/>
          <w:sz w:val="16"/>
          <w:szCs w:val="16"/>
        </w:rPr>
        <w:t>Салменков</w:t>
      </w:r>
      <w:proofErr w:type="spellEnd"/>
      <w:r w:rsidRPr="007122AB">
        <w:rPr>
          <w:color w:val="000000" w:themeColor="text1"/>
          <w:sz w:val="16"/>
          <w:szCs w:val="16"/>
        </w:rPr>
        <w:t xml:space="preserve"> А. И.</w:t>
      </w:r>
    </w:p>
    <w:p w14:paraId="749A4712"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Инженер — Нови Ю. О.</w:t>
      </w:r>
    </w:p>
    <w:p w14:paraId="5DA57C77"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Комендант ОКБ № 11 — тов. Пуговкин.</w:t>
      </w:r>
    </w:p>
    <w:p w14:paraId="30A4D60C" w14:textId="77777777" w:rsidR="00B35C0B" w:rsidRPr="007122AB" w:rsidRDefault="00B35C0B" w:rsidP="007122AB">
      <w:pPr>
        <w:pStyle w:val="rtecenter"/>
        <w:spacing w:before="0" w:after="0"/>
        <w:jc w:val="both"/>
        <w:rPr>
          <w:color w:val="000000" w:themeColor="text1"/>
          <w:sz w:val="16"/>
          <w:szCs w:val="16"/>
        </w:rPr>
      </w:pPr>
      <w:r w:rsidRPr="007122AB">
        <w:rPr>
          <w:color w:val="000000" w:themeColor="text1"/>
          <w:sz w:val="16"/>
          <w:szCs w:val="16"/>
        </w:rPr>
        <w:t xml:space="preserve">Беседа с </w:t>
      </w:r>
      <w:proofErr w:type="spellStart"/>
      <w:r w:rsidRPr="007122AB">
        <w:rPr>
          <w:color w:val="000000" w:themeColor="text1"/>
          <w:sz w:val="16"/>
          <w:szCs w:val="16"/>
        </w:rPr>
        <w:t>Браило</w:t>
      </w:r>
      <w:proofErr w:type="spellEnd"/>
      <w:r w:rsidRPr="007122AB">
        <w:rPr>
          <w:color w:val="000000" w:themeColor="text1"/>
          <w:sz w:val="16"/>
          <w:szCs w:val="16"/>
        </w:rPr>
        <w:t xml:space="preserve"> Г. П.</w:t>
      </w:r>
    </w:p>
    <w:p w14:paraId="3EB444A7" w14:textId="77777777" w:rsidR="00B35C0B" w:rsidRPr="007122AB" w:rsidRDefault="00B35C0B" w:rsidP="007122AB">
      <w:pPr>
        <w:numPr>
          <w:ilvl w:val="0"/>
          <w:numId w:val="22"/>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просьбу тов. </w:t>
      </w:r>
      <w:proofErr w:type="spellStart"/>
      <w:r w:rsidRPr="007122AB">
        <w:rPr>
          <w:rFonts w:ascii="Times New Roman" w:hAnsi="Times New Roman"/>
          <w:color w:val="000000" w:themeColor="text1"/>
          <w:sz w:val="16"/>
          <w:szCs w:val="16"/>
        </w:rPr>
        <w:t>Браило</w:t>
      </w:r>
      <w:proofErr w:type="spellEnd"/>
      <w:r w:rsidRPr="007122AB">
        <w:rPr>
          <w:rFonts w:ascii="Times New Roman" w:hAnsi="Times New Roman"/>
          <w:color w:val="000000" w:themeColor="text1"/>
          <w:sz w:val="16"/>
          <w:szCs w:val="16"/>
        </w:rPr>
        <w:t xml:space="preserve"> об информации его о принципах работы проектируемого котла, состоянии и календарной программы работ, инженер Нови и инженер </w:t>
      </w:r>
      <w:proofErr w:type="spellStart"/>
      <w:r w:rsidRPr="007122AB">
        <w:rPr>
          <w:rFonts w:ascii="Times New Roman" w:hAnsi="Times New Roman"/>
          <w:color w:val="000000" w:themeColor="text1"/>
          <w:sz w:val="16"/>
          <w:szCs w:val="16"/>
        </w:rPr>
        <w:t>Салменков</w:t>
      </w:r>
      <w:proofErr w:type="spellEnd"/>
      <w:r w:rsidRPr="007122AB">
        <w:rPr>
          <w:rFonts w:ascii="Times New Roman" w:hAnsi="Times New Roman"/>
          <w:color w:val="000000" w:themeColor="text1"/>
          <w:sz w:val="16"/>
          <w:szCs w:val="16"/>
        </w:rPr>
        <w:t xml:space="preserve"> указали, что не имея на подобную информацию разрешения от начальника ОКБ тов. </w:t>
      </w:r>
      <w:proofErr w:type="spellStart"/>
      <w:r w:rsidRPr="007122AB">
        <w:rPr>
          <w:rFonts w:ascii="Times New Roman" w:hAnsi="Times New Roman"/>
          <w:color w:val="000000" w:themeColor="text1"/>
          <w:sz w:val="16"/>
          <w:szCs w:val="16"/>
        </w:rPr>
        <w:t>Наумина</w:t>
      </w:r>
      <w:proofErr w:type="spellEnd"/>
      <w:r w:rsidRPr="007122AB">
        <w:rPr>
          <w:rFonts w:ascii="Times New Roman" w:hAnsi="Times New Roman"/>
          <w:color w:val="000000" w:themeColor="text1"/>
          <w:sz w:val="16"/>
          <w:szCs w:val="16"/>
        </w:rPr>
        <w:t xml:space="preserve"> Н. И., они вынуждены отказаться от исполнения его просьбы.</w:t>
      </w:r>
    </w:p>
    <w:p w14:paraId="24BAA0A6" w14:textId="77777777" w:rsidR="00B35C0B" w:rsidRPr="007122AB" w:rsidRDefault="00B35C0B" w:rsidP="007122AB">
      <w:pPr>
        <w:numPr>
          <w:ilvl w:val="0"/>
          <w:numId w:val="23"/>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Затем перед тов. </w:t>
      </w:r>
      <w:proofErr w:type="spellStart"/>
      <w:r w:rsidRPr="007122AB">
        <w:rPr>
          <w:rFonts w:ascii="Times New Roman" w:hAnsi="Times New Roman"/>
          <w:color w:val="000000" w:themeColor="text1"/>
          <w:sz w:val="16"/>
          <w:szCs w:val="16"/>
        </w:rPr>
        <w:t>Браило</w:t>
      </w:r>
      <w:proofErr w:type="spellEnd"/>
      <w:r w:rsidRPr="007122AB">
        <w:rPr>
          <w:rFonts w:ascii="Times New Roman" w:hAnsi="Times New Roman"/>
          <w:color w:val="000000" w:themeColor="text1"/>
          <w:sz w:val="16"/>
          <w:szCs w:val="16"/>
        </w:rPr>
        <w:t xml:space="preserve"> инженер Нови и инженер </w:t>
      </w:r>
      <w:proofErr w:type="spellStart"/>
      <w:r w:rsidRPr="007122AB">
        <w:rPr>
          <w:rFonts w:ascii="Times New Roman" w:hAnsi="Times New Roman"/>
          <w:color w:val="000000" w:themeColor="text1"/>
          <w:sz w:val="16"/>
          <w:szCs w:val="16"/>
        </w:rPr>
        <w:t>Салменков</w:t>
      </w:r>
      <w:proofErr w:type="spellEnd"/>
      <w:r w:rsidRPr="007122AB">
        <w:rPr>
          <w:rFonts w:ascii="Times New Roman" w:hAnsi="Times New Roman"/>
          <w:color w:val="000000" w:themeColor="text1"/>
          <w:sz w:val="16"/>
          <w:szCs w:val="16"/>
        </w:rPr>
        <w:t xml:space="preserve"> поставили вопрос о том, в какую линию ВТИ может принять пар от опытного агрегата ОКБ при D = 3,5-5,0 т/ч и t = 275-365°Ц. Давление же отдаваемого пара может быть осуществлено, как 25 атм., так и 8-9 атм.</w:t>
      </w:r>
    </w:p>
    <w:p w14:paraId="26B1BBF3"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При этом было указано, что в случае отдачи в 25 атмосферную линию, соответствующую арматуру паропровода, начиная от редуктора опытного агрегата — примерно десяток вентилей, нужно будет взять на себя ВТИ-у.</w:t>
      </w:r>
    </w:p>
    <w:p w14:paraId="0B84233C"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 xml:space="preserve">Тов. </w:t>
      </w:r>
      <w:proofErr w:type="spellStart"/>
      <w:r w:rsidRPr="007122AB">
        <w:rPr>
          <w:color w:val="000000" w:themeColor="text1"/>
          <w:sz w:val="16"/>
          <w:szCs w:val="16"/>
        </w:rPr>
        <w:t>Браило</w:t>
      </w:r>
      <w:proofErr w:type="spellEnd"/>
      <w:r w:rsidRPr="007122AB">
        <w:rPr>
          <w:color w:val="000000" w:themeColor="text1"/>
          <w:sz w:val="16"/>
          <w:szCs w:val="16"/>
        </w:rPr>
        <w:t xml:space="preserve"> обещал ответ сообщить 7/IX-31 г. в принципе, не отказываясь дать арматуру в случае приема пара в линию р = 25 атм.</w:t>
      </w:r>
    </w:p>
    <w:p w14:paraId="674872FC" w14:textId="77777777" w:rsidR="00B35C0B" w:rsidRPr="007122AB" w:rsidRDefault="00B35C0B" w:rsidP="007122AB">
      <w:pPr>
        <w:pStyle w:val="rtecenter"/>
        <w:spacing w:before="0" w:after="0"/>
        <w:jc w:val="both"/>
        <w:rPr>
          <w:color w:val="000000" w:themeColor="text1"/>
          <w:sz w:val="16"/>
          <w:szCs w:val="16"/>
        </w:rPr>
      </w:pPr>
      <w:r w:rsidRPr="007122AB">
        <w:rPr>
          <w:color w:val="000000" w:themeColor="text1"/>
          <w:sz w:val="16"/>
          <w:szCs w:val="16"/>
        </w:rPr>
        <w:t>Консультация с инженер[ом] Власовым О. Е.</w:t>
      </w:r>
    </w:p>
    <w:p w14:paraId="6170249B" w14:textId="77777777" w:rsidR="00B35C0B" w:rsidRPr="007122AB" w:rsidRDefault="00B35C0B" w:rsidP="007122AB">
      <w:pPr>
        <w:numPr>
          <w:ilvl w:val="0"/>
          <w:numId w:val="24"/>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дачи консультации по вопросу о соединении приборов и термопар [</w:t>
      </w:r>
      <w:proofErr w:type="spellStart"/>
      <w:r w:rsidRPr="007122AB">
        <w:rPr>
          <w:rFonts w:ascii="Times New Roman" w:hAnsi="Times New Roman"/>
          <w:color w:val="000000" w:themeColor="text1"/>
          <w:sz w:val="16"/>
          <w:szCs w:val="16"/>
        </w:rPr>
        <w:t>t</w:t>
      </w:r>
      <w:r w:rsidRPr="007122AB">
        <w:rPr>
          <w:rFonts w:ascii="Times New Roman" w:hAnsi="Times New Roman"/>
          <w:color w:val="000000" w:themeColor="text1"/>
          <w:sz w:val="16"/>
          <w:szCs w:val="16"/>
          <w:vertAlign w:val="subscript"/>
        </w:rPr>
        <w:t>cp</w:t>
      </w:r>
      <w:proofErr w:type="spellEnd"/>
      <w:r w:rsidRPr="007122AB">
        <w:rPr>
          <w:rFonts w:ascii="Times New Roman" w:hAnsi="Times New Roman"/>
          <w:color w:val="000000" w:themeColor="text1"/>
          <w:sz w:val="16"/>
          <w:szCs w:val="16"/>
        </w:rPr>
        <w:t>], а также для получения конкретного задания, необходимого для проработки вопроса, инженер Власов О. Е. получил вторичную информацию (первая информация — смотри протокол № 4 от 9/VIII-31 г.).</w:t>
      </w:r>
    </w:p>
    <w:p w14:paraId="26394034"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Для этой цели ему было дано для прочтения технические положения о приборе — «основные положения и принцип работы прибора для опытного определения коэффициента] перехода тепла из протекающей среды на стенку внутри трубки». При этом было указано, что секретной частью в предлагаемой работе являются только</w:t>
      </w:r>
    </w:p>
    <w:p w14:paraId="7D60C1F6"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а) заказчики</w:t>
      </w:r>
    </w:p>
    <w:p w14:paraId="03FDE79E"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б) назначение прибора в смысле применения его на предстоящих опытах ОКБ №11.</w:t>
      </w:r>
    </w:p>
    <w:p w14:paraId="3EAB4595"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По вопросу о схеме соединения приборов а</w:t>
      </w:r>
      <w:r w:rsidRPr="007122AB">
        <w:rPr>
          <w:color w:val="000000" w:themeColor="text1"/>
          <w:sz w:val="16"/>
          <w:szCs w:val="16"/>
          <w:vertAlign w:val="subscript"/>
        </w:rPr>
        <w:t>1</w:t>
      </w:r>
      <w:r w:rsidRPr="007122AB">
        <w:rPr>
          <w:color w:val="000000" w:themeColor="text1"/>
          <w:sz w:val="16"/>
          <w:szCs w:val="16"/>
        </w:rPr>
        <w:t>, и термопар t[-]среды тов. Власов находит, что дифференциальное соединение t</w:t>
      </w:r>
      <w:r w:rsidRPr="007122AB">
        <w:rPr>
          <w:color w:val="000000" w:themeColor="text1"/>
          <w:sz w:val="16"/>
          <w:szCs w:val="16"/>
          <w:vertAlign w:val="subscript"/>
        </w:rPr>
        <w:t>2</w:t>
      </w:r>
      <w:r w:rsidRPr="007122AB">
        <w:rPr>
          <w:color w:val="000000" w:themeColor="text1"/>
          <w:sz w:val="16"/>
          <w:szCs w:val="16"/>
        </w:rPr>
        <w:t> и t[-]среды менее удобно, так как лишает возможности следить непосредственно за постоянством температур и быть уведенным в достижении установившегося состояния.</w:t>
      </w:r>
    </w:p>
    <w:p w14:paraId="4B992CE9" w14:textId="77777777" w:rsidR="00B35C0B" w:rsidRPr="007122AB" w:rsidRDefault="00B35C0B" w:rsidP="007122AB">
      <w:pPr>
        <w:numPr>
          <w:ilvl w:val="0"/>
          <w:numId w:val="2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 о последовательном соединении 4-х термопар, припаянных к трубе[,] тов. Власов считает, что при таком соединении мы не получим правильных показаний, так как ток пойдет также и по трубе.</w:t>
      </w:r>
    </w:p>
    <w:p w14:paraId="4E5CC0EF"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В этом случае показание гальванометра будет давать средние значения между электродвижущей силой одной и четырех термопар.</w:t>
      </w:r>
    </w:p>
    <w:p w14:paraId="576265F1" w14:textId="77777777" w:rsidR="00B35C0B" w:rsidRPr="007122AB" w:rsidRDefault="00B35C0B" w:rsidP="007122AB">
      <w:pPr>
        <w:numPr>
          <w:ilvl w:val="0"/>
          <w:numId w:val="2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 о схемах присоединения параллельно включенных термопар к гальванометру тов. Власов находит наиболее удобной схему непосредственного присоединения, т. е. без промежуточных переключателей.</w:t>
      </w:r>
    </w:p>
    <w:p w14:paraId="74EDB593"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t xml:space="preserve">Начальник ОКБ №11: </w:t>
      </w:r>
      <w:proofErr w:type="spellStart"/>
      <w:r w:rsidRPr="007122AB">
        <w:rPr>
          <w:color w:val="000000" w:themeColor="text1"/>
          <w:sz w:val="16"/>
          <w:szCs w:val="16"/>
        </w:rPr>
        <w:t>Наумин</w:t>
      </w:r>
      <w:proofErr w:type="spellEnd"/>
    </w:p>
    <w:p w14:paraId="5E5BBF3D" w14:textId="77777777" w:rsidR="00B35C0B" w:rsidRPr="007122AB" w:rsidRDefault="00B35C0B" w:rsidP="007122AB">
      <w:pPr>
        <w:pStyle w:val="rtejustify"/>
        <w:spacing w:before="0" w:after="0"/>
        <w:rPr>
          <w:color w:val="000000" w:themeColor="text1"/>
          <w:sz w:val="16"/>
          <w:szCs w:val="16"/>
        </w:rPr>
      </w:pPr>
      <w:r w:rsidRPr="007122AB">
        <w:rPr>
          <w:color w:val="000000" w:themeColor="text1"/>
          <w:sz w:val="16"/>
          <w:szCs w:val="16"/>
        </w:rPr>
        <w:lastRenderedPageBreak/>
        <w:t xml:space="preserve">Инженер ОКБ № 11: А. </w:t>
      </w:r>
      <w:proofErr w:type="spellStart"/>
      <w:r w:rsidRPr="007122AB">
        <w:rPr>
          <w:color w:val="000000" w:themeColor="text1"/>
          <w:sz w:val="16"/>
          <w:szCs w:val="16"/>
        </w:rPr>
        <w:t>Салменков</w:t>
      </w:r>
      <w:proofErr w:type="spellEnd"/>
    </w:p>
    <w:p w14:paraId="00C4644D" w14:textId="77777777" w:rsidR="00B35C0B" w:rsidRPr="007122AB" w:rsidRDefault="00B35C0B"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1. Л. 33-32. Машинописный подлинник, подписи — автографы. Буквенные символы (латиница) в формулах вписаны от руки (19069).</w:t>
      </w:r>
    </w:p>
    <w:p w14:paraId="094888FC" w14:textId="77777777" w:rsidR="00B35C0B" w:rsidRPr="007122AB" w:rsidRDefault="00B35C0B" w:rsidP="007122AB">
      <w:pPr>
        <w:spacing w:after="0" w:line="240" w:lineRule="auto"/>
        <w:jc w:val="both"/>
        <w:rPr>
          <w:rFonts w:ascii="Times New Roman" w:hAnsi="Times New Roman"/>
          <w:color w:val="000000" w:themeColor="text1"/>
          <w:sz w:val="16"/>
          <w:szCs w:val="16"/>
        </w:rPr>
      </w:pPr>
    </w:p>
    <w:p w14:paraId="3EBBE911" w14:textId="77777777" w:rsidR="005900BC" w:rsidRPr="007122AB" w:rsidRDefault="005900BC"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9E8F506" w14:textId="77777777" w:rsidR="005900BC" w:rsidRPr="007122AB" w:rsidRDefault="005900B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0CC00C" w14:textId="77777777" w:rsidR="005900BC" w:rsidRPr="007122AB" w:rsidRDefault="005900B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Начало сентября 1931. Памятник Минину и Пожарскому от здания ГУМа перенесен к храму Василия Блаженного (18724).</w:t>
      </w:r>
    </w:p>
    <w:p w14:paraId="4930502B" w14:textId="77777777" w:rsidR="005900BC" w:rsidRPr="007122AB" w:rsidRDefault="005900BC" w:rsidP="007122AB">
      <w:pPr>
        <w:spacing w:after="0" w:line="240" w:lineRule="auto"/>
        <w:jc w:val="both"/>
        <w:rPr>
          <w:rFonts w:ascii="Times New Roman" w:hAnsi="Times New Roman"/>
          <w:color w:val="000000" w:themeColor="text1"/>
          <w:sz w:val="16"/>
          <w:szCs w:val="16"/>
        </w:rPr>
      </w:pPr>
    </w:p>
    <w:p w14:paraId="5D806A3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277D61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FFDDBB"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сентября 1931 г. руководство ВАТО поддержало институт и со своей стороны отправило И.Т. Смилге письмо 2112с следующего содержания:</w:t>
      </w:r>
    </w:p>
    <w:p w14:paraId="4CEA1CC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«Директор Института НАТИ т. Зелинский своим письмом от 27/VIII за № 310 сообщил Вам об угрожающем неизбежным срывом положении дела с производством опытного образца мощного дизель-мотора специального назначения.</w:t>
      </w:r>
    </w:p>
    <w:p w14:paraId="4C5F1A4B"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Целиком разделяя все высказанное т. Зелинским со своей стороны считаю необходимым добавить следующее:</w:t>
      </w:r>
    </w:p>
    <w:p w14:paraId="77808FD3"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Все работы, связанные с легким дизелестроением, являются в настоящее время исключительно актуальными и с точки зрения оборонной имеют огромную ценность. Перевод боевых машин на </w:t>
      </w:r>
      <w:proofErr w:type="spellStart"/>
      <w:r w:rsidRPr="00441F34">
        <w:rPr>
          <w:rFonts w:ascii="Times New Roman" w:hAnsi="Times New Roman"/>
          <w:color w:val="0070C0"/>
          <w:sz w:val="16"/>
          <w:szCs w:val="16"/>
        </w:rPr>
        <w:t>дизельмоторы</w:t>
      </w:r>
      <w:proofErr w:type="spellEnd"/>
      <w:r w:rsidRPr="00441F34">
        <w:rPr>
          <w:rFonts w:ascii="Times New Roman" w:hAnsi="Times New Roman"/>
          <w:color w:val="0070C0"/>
          <w:sz w:val="16"/>
          <w:szCs w:val="16"/>
        </w:rPr>
        <w:t xml:space="preserve"> ознаменует в деле моторизации РККА полный переворот. Нам необходимо добиться здесь кратчайших сроков с целью возможно опередить в этом наших вероятных противников.</w:t>
      </w:r>
    </w:p>
    <w:p w14:paraId="1A1A970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Проектирование и постройка легкого мощного </w:t>
      </w:r>
      <w:proofErr w:type="spellStart"/>
      <w:r w:rsidRPr="00441F34">
        <w:rPr>
          <w:rFonts w:ascii="Times New Roman" w:hAnsi="Times New Roman"/>
          <w:color w:val="0070C0"/>
          <w:sz w:val="16"/>
          <w:szCs w:val="16"/>
        </w:rPr>
        <w:t>дизельмотора</w:t>
      </w:r>
      <w:proofErr w:type="spellEnd"/>
      <w:r w:rsidRPr="00441F34">
        <w:rPr>
          <w:rFonts w:ascii="Times New Roman" w:hAnsi="Times New Roman"/>
          <w:color w:val="0070C0"/>
          <w:sz w:val="16"/>
          <w:szCs w:val="16"/>
        </w:rPr>
        <w:t xml:space="preserve"> ведется у нас впервые. От успеха этой работы в значительной мере будет зависеть весь дальнейший ход легкого дизелестроения и с ним перевод автотранспорта на дизеля. Поэтому, более чем где либо, здесь необходимо исключить все возможные случайные ошибки и неполадки, которые могут затянуть дело и в конечном итоге даже полностью компрометировать его.</w:t>
      </w:r>
    </w:p>
    <w:p w14:paraId="0920A75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Это возможно только при безукоризненном выполнении опытных образцов, чтобы без всяких колебаний возможную неудачу с ними можно было отнести к недостаткам проекта и вносить в конструкцию мотора необходимые изменения и переделки, а не за счет случайных погрешностей производства (материал, небрежная сборка и т.д.).</w:t>
      </w:r>
    </w:p>
    <w:p w14:paraId="44BF4B4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Все это возможно лишь при постройке опытного мощного </w:t>
      </w:r>
      <w:proofErr w:type="spellStart"/>
      <w:r w:rsidRPr="00441F34">
        <w:rPr>
          <w:rFonts w:ascii="Times New Roman" w:hAnsi="Times New Roman"/>
          <w:color w:val="0070C0"/>
          <w:sz w:val="16"/>
          <w:szCs w:val="16"/>
        </w:rPr>
        <w:t>дизельмотора</w:t>
      </w:r>
      <w:proofErr w:type="spellEnd"/>
      <w:r w:rsidRPr="00441F34">
        <w:rPr>
          <w:rFonts w:ascii="Times New Roman" w:hAnsi="Times New Roman"/>
          <w:color w:val="0070C0"/>
          <w:sz w:val="16"/>
          <w:szCs w:val="16"/>
        </w:rPr>
        <w:t xml:space="preserve"> на первоклассном мощном машиностроительном заводе. В виду того, что конструкция </w:t>
      </w:r>
      <w:proofErr w:type="spellStart"/>
      <w:r w:rsidRPr="00441F34">
        <w:rPr>
          <w:rFonts w:ascii="Times New Roman" w:hAnsi="Times New Roman"/>
          <w:color w:val="0070C0"/>
          <w:sz w:val="16"/>
          <w:szCs w:val="16"/>
        </w:rPr>
        <w:t>дизельмотора</w:t>
      </w:r>
      <w:proofErr w:type="spellEnd"/>
      <w:r w:rsidRPr="00441F34">
        <w:rPr>
          <w:rFonts w:ascii="Times New Roman" w:hAnsi="Times New Roman"/>
          <w:color w:val="0070C0"/>
          <w:sz w:val="16"/>
          <w:szCs w:val="16"/>
        </w:rPr>
        <w:t xml:space="preserve"> Д-300 по проекту НАТИ более приблизится к моторам авиационным, чем автомобильным и требует крупных и сложных алюминиевых (или, еще лучше, </w:t>
      </w:r>
      <w:proofErr w:type="spellStart"/>
      <w:r w:rsidRPr="00441F34">
        <w:rPr>
          <w:rFonts w:ascii="Times New Roman" w:hAnsi="Times New Roman"/>
          <w:color w:val="0070C0"/>
          <w:sz w:val="16"/>
          <w:szCs w:val="16"/>
        </w:rPr>
        <w:t>силюминовых</w:t>
      </w:r>
      <w:proofErr w:type="spellEnd"/>
      <w:r w:rsidRPr="00441F34">
        <w:rPr>
          <w:rFonts w:ascii="Times New Roman" w:hAnsi="Times New Roman"/>
          <w:color w:val="0070C0"/>
          <w:sz w:val="16"/>
          <w:szCs w:val="16"/>
        </w:rPr>
        <w:t>) отливок, постройка его на заводах ВАТО не даст гарантии высококачественного исполнения.</w:t>
      </w:r>
    </w:p>
    <w:p w14:paraId="79B7CAD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Поэтому со своей стороны считаю необходимым поручить постройку опытных образцов этого мотора одному из авиамоторных заводов ВАО или же заводу Большевик в Ленинграде».</w:t>
      </w:r>
    </w:p>
    <w:p w14:paraId="1AEE8BF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3429. Оп. 16. Д. 187. Л. 218] (24856).</w:t>
      </w:r>
    </w:p>
    <w:p w14:paraId="4C7BD94B" w14:textId="77777777" w:rsidR="007F1987" w:rsidRPr="00441F34" w:rsidRDefault="007F1987" w:rsidP="007F1987">
      <w:pPr>
        <w:spacing w:after="0" w:line="240" w:lineRule="auto"/>
        <w:jc w:val="both"/>
        <w:rPr>
          <w:rFonts w:ascii="Times New Roman" w:hAnsi="Times New Roman"/>
          <w:color w:val="0070C0"/>
          <w:sz w:val="16"/>
          <w:szCs w:val="16"/>
        </w:rPr>
      </w:pPr>
    </w:p>
    <w:p w14:paraId="464C014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сентября 1931 г.</w:t>
      </w:r>
    </w:p>
    <w:p w14:paraId="6CDA551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РГАЭ Фонд 3429 Опись 16 Дело 187 лист 218 </w:t>
      </w:r>
    </w:p>
    <w:p w14:paraId="0EFE373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Секретно. </w:t>
      </w:r>
    </w:p>
    <w:p w14:paraId="4998B16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7/IX-1931 г. </w:t>
      </w:r>
    </w:p>
    <w:p w14:paraId="01DAFC1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2112с</w:t>
      </w:r>
    </w:p>
    <w:p w14:paraId="4905A3E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НАЧАЛЬНИКУ МПС ВСНХ т. СМИЛГЕ </w:t>
      </w:r>
    </w:p>
    <w:p w14:paraId="786D621B"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Копия: Начальнику УММ т. ХАЛЕПСКОМУ </w:t>
      </w:r>
    </w:p>
    <w:p w14:paraId="1759957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Директору НАТИ т. Зелинскому</w:t>
      </w:r>
    </w:p>
    <w:p w14:paraId="62C74F7E"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вопросу:</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о производственной базе для мощного дизельного мотора. </w:t>
      </w:r>
    </w:p>
    <w:p w14:paraId="13417223"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Директор Института НАТИ т. Зелинский своим письмом от 27/VIII за № 310 сообщил Вам об угрожающем неизбежным срывом положении дела с производством опытного образца мощного дизель-мотора специального назначения. </w:t>
      </w:r>
    </w:p>
    <w:p w14:paraId="50C468A1"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Целиком разделяя все высказанное т. Зелинским со своей стороны считаю необходимым добавить следующее: </w:t>
      </w:r>
    </w:p>
    <w:p w14:paraId="19EEC00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Все работы, связанные с легким дизелестроением, являются в настоящее время исключительно актуальными и с точки зрения оборонной имеют огромную ценность. Перевод боевых машин на </w:t>
      </w:r>
      <w:proofErr w:type="spellStart"/>
      <w:r w:rsidRPr="00441F34">
        <w:rPr>
          <w:rFonts w:ascii="Times New Roman" w:hAnsi="Times New Roman"/>
          <w:color w:val="0070C0"/>
          <w:sz w:val="16"/>
          <w:szCs w:val="16"/>
        </w:rPr>
        <w:t>дизельмоторы</w:t>
      </w:r>
      <w:proofErr w:type="spellEnd"/>
      <w:r w:rsidRPr="00441F34">
        <w:rPr>
          <w:rFonts w:ascii="Times New Roman" w:hAnsi="Times New Roman"/>
          <w:color w:val="0070C0"/>
          <w:sz w:val="16"/>
          <w:szCs w:val="16"/>
        </w:rPr>
        <w:t xml:space="preserve"> ознаменует в деле моторизации РККА полный переворот. Нам необходимо добиться здесь кратчайших сроков с целью возможно опередить в этом наших вероятных противников. </w:t>
      </w:r>
    </w:p>
    <w:p w14:paraId="7748C63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Проектирование и постройка легкого мощного </w:t>
      </w:r>
      <w:proofErr w:type="spellStart"/>
      <w:r w:rsidRPr="00441F34">
        <w:rPr>
          <w:rFonts w:ascii="Times New Roman" w:hAnsi="Times New Roman"/>
          <w:color w:val="0070C0"/>
          <w:sz w:val="16"/>
          <w:szCs w:val="16"/>
        </w:rPr>
        <w:t>дизельмотора</w:t>
      </w:r>
      <w:proofErr w:type="spellEnd"/>
      <w:r w:rsidRPr="00441F34">
        <w:rPr>
          <w:rFonts w:ascii="Times New Roman" w:hAnsi="Times New Roman"/>
          <w:color w:val="0070C0"/>
          <w:sz w:val="16"/>
          <w:szCs w:val="16"/>
        </w:rPr>
        <w:t xml:space="preserve"> ведется у нас впервые. От успеха этой работы в значительной мере будет зависеть весь дальнейший ход легкого дизелестроения и с ним перевод автотранспорта на дизеля. Поэтому, более чем где либо, здесь необходимо исключить все возможные случайные ошибки и неполадки, которые могут затянуть дело и в конечном итоге даже полностью компрометировать его. </w:t>
      </w:r>
    </w:p>
    <w:p w14:paraId="3DE8523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Это возможно только при безукоризненном выполнении опытных образцов, чтобы без всяких колебаний возможную неудачу с ними можно было отнести к недостаткам проекта и вносить в конструкцию мотора необходимые изменения и переделки, а не за счет случайных погрешностей производства (материал, небрежная сборка и т.д.). </w:t>
      </w:r>
    </w:p>
    <w:p w14:paraId="14A6F11C"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Все это возможно лишь при постройке опытного мощного </w:t>
      </w:r>
      <w:proofErr w:type="spellStart"/>
      <w:r w:rsidRPr="00441F34">
        <w:rPr>
          <w:rFonts w:ascii="Times New Roman" w:hAnsi="Times New Roman"/>
          <w:color w:val="0070C0"/>
          <w:sz w:val="16"/>
          <w:szCs w:val="16"/>
        </w:rPr>
        <w:t>дизельмотора</w:t>
      </w:r>
      <w:proofErr w:type="spellEnd"/>
      <w:r w:rsidRPr="00441F34">
        <w:rPr>
          <w:rFonts w:ascii="Times New Roman" w:hAnsi="Times New Roman"/>
          <w:color w:val="0070C0"/>
          <w:sz w:val="16"/>
          <w:szCs w:val="16"/>
        </w:rPr>
        <w:t xml:space="preserve"> на первоклассном мощном машиностроительном заводе. В виду того, что конструкция </w:t>
      </w:r>
      <w:proofErr w:type="spellStart"/>
      <w:r w:rsidRPr="00441F34">
        <w:rPr>
          <w:rFonts w:ascii="Times New Roman" w:hAnsi="Times New Roman"/>
          <w:color w:val="0070C0"/>
          <w:sz w:val="16"/>
          <w:szCs w:val="16"/>
        </w:rPr>
        <w:t>дизельмотора</w:t>
      </w:r>
      <w:proofErr w:type="spellEnd"/>
      <w:r w:rsidRPr="00441F34">
        <w:rPr>
          <w:rFonts w:ascii="Times New Roman" w:hAnsi="Times New Roman"/>
          <w:color w:val="0070C0"/>
          <w:sz w:val="16"/>
          <w:szCs w:val="16"/>
        </w:rPr>
        <w:t xml:space="preserve"> Д-300 по проекту НАТИ более приблизится к моторам авиационным, чем автомобильным и требует крупных и сложных алюминиевых (или, еще лучше, </w:t>
      </w:r>
      <w:proofErr w:type="spellStart"/>
      <w:r w:rsidRPr="00441F34">
        <w:rPr>
          <w:rFonts w:ascii="Times New Roman" w:hAnsi="Times New Roman"/>
          <w:color w:val="0070C0"/>
          <w:sz w:val="16"/>
          <w:szCs w:val="16"/>
        </w:rPr>
        <w:t>силюминовых</w:t>
      </w:r>
      <w:proofErr w:type="spellEnd"/>
      <w:r w:rsidRPr="00441F34">
        <w:rPr>
          <w:rFonts w:ascii="Times New Roman" w:hAnsi="Times New Roman"/>
          <w:color w:val="0070C0"/>
          <w:sz w:val="16"/>
          <w:szCs w:val="16"/>
        </w:rPr>
        <w:t xml:space="preserve">) отливок, постройка его на заводах ВАТО не даст гарантии высококачественного исполнения. </w:t>
      </w:r>
    </w:p>
    <w:p w14:paraId="637C6C9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Поэтому со своей стороны считаю необходимым поручить постройку опытных образцов этого мотора одному из авиамоторных заводов ВАО или же заводу Большевик в Ленинграде.</w:t>
      </w:r>
    </w:p>
    <w:p w14:paraId="375E467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Зам. Управляющего ВАТО: подпись </w:t>
      </w:r>
    </w:p>
    <w:p w14:paraId="36C19E11"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Зам. Начальника </w:t>
      </w:r>
      <w:proofErr w:type="spellStart"/>
      <w:r w:rsidRPr="00441F34">
        <w:rPr>
          <w:rFonts w:ascii="Times New Roman" w:hAnsi="Times New Roman"/>
          <w:color w:val="0070C0"/>
          <w:sz w:val="16"/>
          <w:szCs w:val="16"/>
        </w:rPr>
        <w:t>Спецсектора</w:t>
      </w:r>
      <w:proofErr w:type="spellEnd"/>
      <w:r w:rsidRPr="00441F34">
        <w:rPr>
          <w:rFonts w:ascii="Times New Roman" w:hAnsi="Times New Roman"/>
          <w:color w:val="0070C0"/>
          <w:sz w:val="16"/>
          <w:szCs w:val="16"/>
        </w:rPr>
        <w:t xml:space="preserve"> подпись</w:t>
      </w:r>
    </w:p>
    <w:p w14:paraId="3CD9C86B" w14:textId="77777777" w:rsidR="007F1987" w:rsidRPr="00441F34" w:rsidRDefault="007F1987" w:rsidP="007F1987">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w:t>
      </w:r>
      <w:proofErr w:type="spellEnd"/>
      <w:r w:rsidRPr="00441F34">
        <w:rPr>
          <w:rFonts w:ascii="Times New Roman" w:hAnsi="Times New Roman"/>
          <w:color w:val="0070C0"/>
          <w:sz w:val="16"/>
          <w:szCs w:val="16"/>
        </w:rPr>
        <w:t xml:space="preserve">. 4 экз. </w:t>
      </w:r>
    </w:p>
    <w:p w14:paraId="09EA8D56"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2015/Е </w:t>
      </w:r>
    </w:p>
    <w:p w14:paraId="063CD54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Исп. </w:t>
      </w:r>
      <w:proofErr w:type="spellStart"/>
      <w:r w:rsidRPr="00441F34">
        <w:rPr>
          <w:rFonts w:ascii="Times New Roman" w:hAnsi="Times New Roman"/>
          <w:color w:val="0070C0"/>
          <w:sz w:val="16"/>
          <w:szCs w:val="16"/>
        </w:rPr>
        <w:t>Фаусек</w:t>
      </w:r>
      <w:proofErr w:type="spellEnd"/>
      <w:r w:rsidRPr="00441F34">
        <w:rPr>
          <w:rFonts w:ascii="Times New Roman" w:hAnsi="Times New Roman"/>
          <w:color w:val="0070C0"/>
          <w:sz w:val="16"/>
          <w:szCs w:val="16"/>
        </w:rPr>
        <w:t xml:space="preserve"> (24864).</w:t>
      </w:r>
    </w:p>
    <w:p w14:paraId="66CE4DF2" w14:textId="77777777" w:rsidR="007F1987" w:rsidRPr="00441F34" w:rsidRDefault="007F1987" w:rsidP="007F1987">
      <w:pPr>
        <w:spacing w:after="0" w:line="240" w:lineRule="auto"/>
        <w:jc w:val="both"/>
        <w:rPr>
          <w:rFonts w:ascii="Times New Roman" w:hAnsi="Times New Roman"/>
          <w:color w:val="0070C0"/>
          <w:sz w:val="16"/>
          <w:szCs w:val="16"/>
        </w:rPr>
      </w:pPr>
    </w:p>
    <w:p w14:paraId="6A5BF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w:t>
      </w:r>
      <w:proofErr w:type="spellStart"/>
      <w:r w:rsidRPr="007122AB">
        <w:rPr>
          <w:rFonts w:ascii="Times New Roman" w:hAnsi="Times New Roman"/>
          <w:color w:val="000000" w:themeColor="text1"/>
          <w:sz w:val="16"/>
          <w:szCs w:val="16"/>
        </w:rPr>
        <w:t>cентября</w:t>
      </w:r>
      <w:proofErr w:type="spellEnd"/>
      <w:r w:rsidRPr="007122AB">
        <w:rPr>
          <w:rFonts w:ascii="Times New Roman" w:hAnsi="Times New Roman"/>
          <w:color w:val="000000" w:themeColor="text1"/>
          <w:sz w:val="16"/>
          <w:szCs w:val="16"/>
        </w:rPr>
        <w:t xml:space="preserve"> 1931 года Кагановичу было доложено, что конструкторские бюро при ОГПУ созданы и работают в Москве, Ленинграде, Зап. Сибири,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-на-Дону. </w:t>
      </w:r>
    </w:p>
    <w:p w14:paraId="651EEC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записке было указано, что в конструкторских бюро работают: 74 шпиона; 9 террористов; 98 руководителей организаций; 44 диверсанта; 14 членов </w:t>
      </w:r>
      <w:proofErr w:type="spellStart"/>
      <w:r w:rsidRPr="007122AB">
        <w:rPr>
          <w:rFonts w:ascii="Times New Roman" w:hAnsi="Times New Roman"/>
          <w:color w:val="000000" w:themeColor="text1"/>
          <w:sz w:val="16"/>
          <w:szCs w:val="16"/>
        </w:rPr>
        <w:t>промпартий</w:t>
      </w:r>
      <w:proofErr w:type="spellEnd"/>
      <w:r w:rsidRPr="007122AB">
        <w:rPr>
          <w:rFonts w:ascii="Times New Roman" w:hAnsi="Times New Roman"/>
          <w:color w:val="000000" w:themeColor="text1"/>
          <w:sz w:val="16"/>
          <w:szCs w:val="16"/>
        </w:rPr>
        <w:t xml:space="preserve">; 184 контрреволюционера. </w:t>
      </w:r>
    </w:p>
    <w:p w14:paraId="6E712F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общего числа 423, под следствием находилось 160 (11248).</w:t>
      </w:r>
    </w:p>
    <w:p w14:paraId="0740C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F1B545"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г. Секретариат коллегии ОГПУ направил Кагановичу Письмо. (АП РФ Ф.3. Оп.58. Д.142).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 на Дону и других городах (15719).</w:t>
      </w:r>
    </w:p>
    <w:p w14:paraId="05C409D0"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4CB91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г. ОГПУ Секретариат коллегии писал за № 40689 </w:t>
      </w:r>
    </w:p>
    <w:p w14:paraId="741BB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 ВКП(б) тов. КАГАНОВИЧУ</w:t>
      </w:r>
    </w:p>
    <w:p w14:paraId="664E25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Конструкторские Бюро при ОГПУ созданы и работают в Москве, Ленинграде, </w:t>
      </w:r>
      <w:proofErr w:type="spellStart"/>
      <w:r w:rsidRPr="007122AB">
        <w:rPr>
          <w:rFonts w:ascii="Times New Roman" w:hAnsi="Times New Roman"/>
          <w:color w:val="000000" w:themeColor="text1"/>
          <w:sz w:val="16"/>
          <w:szCs w:val="16"/>
        </w:rPr>
        <w:t>Зап.Сибири</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 на Дону. </w:t>
      </w:r>
    </w:p>
    <w:p w14:paraId="5F0D83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Направляя Вам для ознакомления справку о </w:t>
      </w:r>
      <w:proofErr w:type="spellStart"/>
      <w:r w:rsidRPr="007122AB">
        <w:rPr>
          <w:rFonts w:ascii="Times New Roman" w:hAnsi="Times New Roman"/>
          <w:color w:val="000000" w:themeColor="text1"/>
          <w:sz w:val="16"/>
          <w:szCs w:val="16"/>
        </w:rPr>
        <w:t>проделы¬ваемой</w:t>
      </w:r>
      <w:proofErr w:type="spellEnd"/>
      <w:r w:rsidRPr="007122AB">
        <w:rPr>
          <w:rFonts w:ascii="Times New Roman" w:hAnsi="Times New Roman"/>
          <w:color w:val="000000" w:themeColor="text1"/>
          <w:sz w:val="16"/>
          <w:szCs w:val="16"/>
        </w:rPr>
        <w:t xml:space="preserve"> в этих Бюро работах, считаю необходимым подчеркнуть, что В составе Конструкторских Бюро находится: </w:t>
      </w:r>
    </w:p>
    <w:p w14:paraId="24898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74 чел. </w:t>
      </w:r>
    </w:p>
    <w:p w14:paraId="4B2C0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Террористов .............................. 9 " </w:t>
      </w:r>
    </w:p>
    <w:p w14:paraId="727E6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 </w:t>
      </w:r>
      <w:proofErr w:type="spellStart"/>
      <w:r w:rsidRPr="007122AB">
        <w:rPr>
          <w:rFonts w:ascii="Times New Roman" w:hAnsi="Times New Roman"/>
          <w:color w:val="000000" w:themeColor="text1"/>
          <w:sz w:val="16"/>
          <w:szCs w:val="16"/>
        </w:rPr>
        <w:t>организ</w:t>
      </w:r>
      <w:proofErr w:type="spellEnd"/>
      <w:r w:rsidRPr="007122AB">
        <w:rPr>
          <w:rFonts w:ascii="Times New Roman" w:hAnsi="Times New Roman"/>
          <w:color w:val="000000" w:themeColor="text1"/>
          <w:sz w:val="16"/>
          <w:szCs w:val="16"/>
        </w:rPr>
        <w:t xml:space="preserve">...................... 98 " </w:t>
      </w:r>
    </w:p>
    <w:p w14:paraId="766CD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44 " </w:t>
      </w:r>
    </w:p>
    <w:p w14:paraId="48AF4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Членов </w:t>
      </w:r>
      <w:proofErr w:type="spellStart"/>
      <w:r w:rsidRPr="007122AB">
        <w:rPr>
          <w:rFonts w:ascii="Times New Roman" w:hAnsi="Times New Roman"/>
          <w:color w:val="000000" w:themeColor="text1"/>
          <w:sz w:val="16"/>
          <w:szCs w:val="16"/>
        </w:rPr>
        <w:t>промпартий</w:t>
      </w:r>
      <w:proofErr w:type="spellEnd"/>
      <w:r w:rsidRPr="007122AB">
        <w:rPr>
          <w:rFonts w:ascii="Times New Roman" w:hAnsi="Times New Roman"/>
          <w:color w:val="000000" w:themeColor="text1"/>
          <w:sz w:val="16"/>
          <w:szCs w:val="16"/>
        </w:rPr>
        <w:t xml:space="preserve">........................ 14 “ </w:t>
      </w:r>
    </w:p>
    <w:p w14:paraId="06744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Активных к/</w:t>
      </w:r>
      <w:proofErr w:type="spellStart"/>
      <w:r w:rsidRPr="007122AB">
        <w:rPr>
          <w:rFonts w:ascii="Times New Roman" w:hAnsi="Times New Roman"/>
          <w:color w:val="000000" w:themeColor="text1"/>
          <w:sz w:val="16"/>
          <w:szCs w:val="16"/>
        </w:rPr>
        <w:t>революцион</w:t>
      </w:r>
      <w:proofErr w:type="spellEnd"/>
      <w:r w:rsidRPr="007122AB">
        <w:rPr>
          <w:rFonts w:ascii="Times New Roman" w:hAnsi="Times New Roman"/>
          <w:color w:val="000000" w:themeColor="text1"/>
          <w:sz w:val="16"/>
          <w:szCs w:val="16"/>
        </w:rPr>
        <w:t xml:space="preserve">............... 184 " </w:t>
      </w:r>
    </w:p>
    <w:p w14:paraId="35638C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общего числа /423/-</w:t>
      </w:r>
      <w:proofErr w:type="spellStart"/>
      <w:r w:rsidRPr="007122AB">
        <w:rPr>
          <w:rFonts w:ascii="Times New Roman" w:hAnsi="Times New Roman"/>
          <w:color w:val="000000" w:themeColor="text1"/>
          <w:sz w:val="16"/>
          <w:szCs w:val="16"/>
        </w:rPr>
        <w:t>подследств</w:t>
      </w:r>
      <w:proofErr w:type="spellEnd"/>
      <w:r w:rsidRPr="007122AB">
        <w:rPr>
          <w:rFonts w:ascii="Times New Roman" w:hAnsi="Times New Roman"/>
          <w:color w:val="000000" w:themeColor="text1"/>
          <w:sz w:val="16"/>
          <w:szCs w:val="16"/>
        </w:rPr>
        <w:t xml:space="preserve"> 160 " </w:t>
      </w:r>
    </w:p>
    <w:p w14:paraId="471C7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Вполне естественно, что освобождение руководителе к/р организаций, шпионов, диверсантов и террористов не представляется возможным. </w:t>
      </w:r>
    </w:p>
    <w:p w14:paraId="29243A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равной степени не могут быть до окончания </w:t>
      </w:r>
      <w:proofErr w:type="spellStart"/>
      <w:r w:rsidRPr="007122AB">
        <w:rPr>
          <w:rFonts w:ascii="Times New Roman" w:hAnsi="Times New Roman"/>
          <w:color w:val="000000" w:themeColor="text1"/>
          <w:sz w:val="16"/>
          <w:szCs w:val="16"/>
        </w:rPr>
        <w:t>след¬ствия</w:t>
      </w:r>
      <w:proofErr w:type="spellEnd"/>
      <w:r w:rsidRPr="007122AB">
        <w:rPr>
          <w:rFonts w:ascii="Times New Roman" w:hAnsi="Times New Roman"/>
          <w:color w:val="000000" w:themeColor="text1"/>
          <w:sz w:val="16"/>
          <w:szCs w:val="16"/>
        </w:rPr>
        <w:t xml:space="preserve"> освобождены 160 человек по коим дела еще не закончены. </w:t>
      </w:r>
    </w:p>
    <w:p w14:paraId="6DD64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Кроме того, подавляющее большинство работ будут закончены В первой половине 1932 года, почему </w:t>
      </w:r>
      <w:proofErr w:type="spellStart"/>
      <w:r w:rsidRPr="007122AB">
        <w:rPr>
          <w:rFonts w:ascii="Times New Roman" w:hAnsi="Times New Roman"/>
          <w:color w:val="000000" w:themeColor="text1"/>
          <w:sz w:val="16"/>
          <w:szCs w:val="16"/>
        </w:rPr>
        <w:t>освобожде¬ние</w:t>
      </w:r>
      <w:proofErr w:type="spellEnd"/>
      <w:r w:rsidRPr="007122AB">
        <w:rPr>
          <w:rFonts w:ascii="Times New Roman" w:hAnsi="Times New Roman"/>
          <w:color w:val="000000" w:themeColor="text1"/>
          <w:sz w:val="16"/>
          <w:szCs w:val="16"/>
        </w:rPr>
        <w:t xml:space="preserve"> специалистов в данный момент особенно не </w:t>
      </w:r>
      <w:proofErr w:type="spellStart"/>
      <w:r w:rsidRPr="007122AB">
        <w:rPr>
          <w:rFonts w:ascii="Times New Roman" w:hAnsi="Times New Roman"/>
          <w:color w:val="000000" w:themeColor="text1"/>
          <w:sz w:val="16"/>
          <w:szCs w:val="16"/>
        </w:rPr>
        <w:t>целесооб¬разно</w:t>
      </w:r>
      <w:proofErr w:type="spellEnd"/>
      <w:r w:rsidRPr="007122AB">
        <w:rPr>
          <w:rFonts w:ascii="Times New Roman" w:hAnsi="Times New Roman"/>
          <w:color w:val="000000" w:themeColor="text1"/>
          <w:sz w:val="16"/>
          <w:szCs w:val="16"/>
        </w:rPr>
        <w:t xml:space="preserve">, тем более если учесть, что подавляющий процент работ носят оборонный характер. В Ростовском же ОКБ значительная часть специалистов-ирригаторы и для BСHX ценности не представляют. </w:t>
      </w:r>
    </w:p>
    <w:p w14:paraId="51B35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Справку посылаю Вам до совещания с тов. ОРДЖОНИ¬КИДЗЕ в порядке личной информации. </w:t>
      </w:r>
    </w:p>
    <w:p w14:paraId="67E054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ПРЕД. ОГПУ: АКУЛОВ</w:t>
      </w:r>
    </w:p>
    <w:p w14:paraId="240BAF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w:t>
      </w:r>
    </w:p>
    <w:p w14:paraId="6F4E17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 xml:space="preserve">о работах заключенных специалистов, работающих в Техническом Отделении ЭКУ ОГПУ. </w:t>
      </w:r>
    </w:p>
    <w:p w14:paraId="21E710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Особые Конструкторские и Технические Бюро /ОКБ, ОТБ/ сконцентрированы в Москве, Ленинграде и Западной Сибири. </w:t>
      </w:r>
    </w:p>
    <w:p w14:paraId="386E7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исполняемая заключениями специалистами, делится на проектные, производственные и литературные.</w:t>
      </w:r>
    </w:p>
    <w:p w14:paraId="0179E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А В И А Ц ИЯ.</w:t>
      </w:r>
    </w:p>
    <w:p w14:paraId="3CBB1F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руководством заключенных специалистов проделаны следующие работы: </w:t>
      </w:r>
    </w:p>
    <w:p w14:paraId="71A847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Построен и сдан на </w:t>
      </w:r>
      <w:proofErr w:type="spellStart"/>
      <w:r w:rsidRPr="007122AB">
        <w:rPr>
          <w:rFonts w:ascii="Times New Roman" w:hAnsi="Times New Roman"/>
          <w:color w:val="000000" w:themeColor="text1"/>
          <w:sz w:val="16"/>
          <w:szCs w:val="16"/>
        </w:rPr>
        <w:t>вoopyжeние</w:t>
      </w:r>
      <w:proofErr w:type="spellEnd"/>
      <w:r w:rsidRPr="007122AB">
        <w:rPr>
          <w:rFonts w:ascii="Times New Roman" w:hAnsi="Times New Roman"/>
          <w:color w:val="000000" w:themeColor="text1"/>
          <w:sz w:val="16"/>
          <w:szCs w:val="16"/>
        </w:rPr>
        <w:t xml:space="preserve"> армии "Истребитель" И-5 </w:t>
      </w:r>
    </w:p>
    <w:p w14:paraId="5FD5C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Истребитель стоит на уровне лучших заграничных образцов. </w:t>
      </w:r>
    </w:p>
    <w:p w14:paraId="26873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Построен и сдан на вооружение бронированный штурмовик, для поражения земных целей. </w:t>
      </w:r>
    </w:p>
    <w:p w14:paraId="2D494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 вооружен 12-ми пулеметами и имеет возможность заменить 8-ь пулеметов 400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-ми бомб. </w:t>
      </w:r>
    </w:p>
    <w:p w14:paraId="6E8D8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 Построен и испытывается тяжелый Бомбовоз/ТБ-5/. </w:t>
      </w:r>
      <w:proofErr w:type="spellStart"/>
      <w:r w:rsidRPr="007122AB">
        <w:rPr>
          <w:rFonts w:ascii="Times New Roman" w:hAnsi="Times New Roman"/>
          <w:color w:val="000000" w:themeColor="text1"/>
          <w:sz w:val="16"/>
          <w:szCs w:val="16"/>
        </w:rPr>
        <w:t>Бомбо¬воз</w:t>
      </w:r>
      <w:proofErr w:type="spellEnd"/>
      <w:r w:rsidRPr="007122AB">
        <w:rPr>
          <w:rFonts w:ascii="Times New Roman" w:hAnsi="Times New Roman"/>
          <w:color w:val="000000" w:themeColor="text1"/>
          <w:sz w:val="16"/>
          <w:szCs w:val="16"/>
        </w:rPr>
        <w:t xml:space="preserve"> поднимает до 4000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бомб. </w:t>
      </w:r>
    </w:p>
    <w:p w14:paraId="464A8B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Находятся в постройке. </w:t>
      </w:r>
    </w:p>
    <w:p w14:paraId="34D00C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Морской дальний разведчик. Самолет имеет общие крылья с самолетом ТБ-5. Срок готовности в половине октября 1931 г. </w:t>
      </w:r>
    </w:p>
    <w:p w14:paraId="2C799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Запроектированы и частично запущены в производство </w:t>
      </w:r>
      <w:proofErr w:type="spellStart"/>
      <w:r w:rsidRPr="007122AB">
        <w:rPr>
          <w:rFonts w:ascii="Times New Roman" w:hAnsi="Times New Roman"/>
          <w:color w:val="000000" w:themeColor="text1"/>
          <w:sz w:val="16"/>
          <w:szCs w:val="16"/>
        </w:rPr>
        <w:t>са¬молеты</w:t>
      </w:r>
      <w:proofErr w:type="spellEnd"/>
      <w:r w:rsidRPr="007122AB">
        <w:rPr>
          <w:rFonts w:ascii="Times New Roman" w:hAnsi="Times New Roman"/>
          <w:color w:val="000000" w:themeColor="text1"/>
          <w:sz w:val="16"/>
          <w:szCs w:val="16"/>
        </w:rPr>
        <w:t xml:space="preserve"> по программе преподанной УВВС. </w:t>
      </w:r>
    </w:p>
    <w:p w14:paraId="4F6B27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26 инженеров, из н и х : </w:t>
      </w:r>
    </w:p>
    <w:p w14:paraId="5CE68F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организаций - 9 чел* </w:t>
      </w:r>
    </w:p>
    <w:p w14:paraId="140AC0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- 8 чел. </w:t>
      </w:r>
    </w:p>
    <w:p w14:paraId="7B7AC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- 9 чел </w:t>
      </w:r>
    </w:p>
    <w:p w14:paraId="30559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 в Бюро в связи с большими задачами по </w:t>
      </w:r>
      <w:proofErr w:type="spellStart"/>
      <w:r w:rsidRPr="007122AB">
        <w:rPr>
          <w:rFonts w:ascii="Times New Roman" w:hAnsi="Times New Roman"/>
          <w:color w:val="000000" w:themeColor="text1"/>
          <w:sz w:val="16"/>
          <w:szCs w:val="16"/>
        </w:rPr>
        <w:t>самолето¬строению</w:t>
      </w:r>
      <w:proofErr w:type="spellEnd"/>
      <w:r w:rsidRPr="007122AB">
        <w:rPr>
          <w:rFonts w:ascii="Times New Roman" w:hAnsi="Times New Roman"/>
          <w:color w:val="000000" w:themeColor="text1"/>
          <w:sz w:val="16"/>
          <w:szCs w:val="16"/>
        </w:rPr>
        <w:t xml:space="preserve"> носит помимо проектных работ, также все работы </w:t>
      </w:r>
      <w:proofErr w:type="spellStart"/>
      <w:r w:rsidRPr="007122AB">
        <w:rPr>
          <w:rFonts w:ascii="Times New Roman" w:hAnsi="Times New Roman"/>
          <w:color w:val="000000" w:themeColor="text1"/>
          <w:sz w:val="16"/>
          <w:szCs w:val="16"/>
        </w:rPr>
        <w:t>при¬сущие</w:t>
      </w:r>
      <w:proofErr w:type="spellEnd"/>
      <w:r w:rsidRPr="007122AB">
        <w:rPr>
          <w:rFonts w:ascii="Times New Roman" w:hAnsi="Times New Roman"/>
          <w:color w:val="000000" w:themeColor="text1"/>
          <w:sz w:val="16"/>
          <w:szCs w:val="16"/>
        </w:rPr>
        <w:t xml:space="preserve"> заводу и учитывается готовностью самолетов. </w:t>
      </w:r>
    </w:p>
    <w:p w14:paraId="5E1DF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мотет быть передана вследствие: </w:t>
      </w:r>
      <w:proofErr w:type="spellStart"/>
      <w:r w:rsidRPr="007122AB">
        <w:rPr>
          <w:rFonts w:ascii="Times New Roman" w:hAnsi="Times New Roman"/>
          <w:color w:val="000000" w:themeColor="text1"/>
          <w:sz w:val="16"/>
          <w:szCs w:val="16"/>
        </w:rPr>
        <w:t>I.передача</w:t>
      </w:r>
      <w:proofErr w:type="spellEnd"/>
      <w:r w:rsidRPr="007122AB">
        <w:rPr>
          <w:rFonts w:ascii="Times New Roman" w:hAnsi="Times New Roman"/>
          <w:color w:val="000000" w:themeColor="text1"/>
          <w:sz w:val="16"/>
          <w:szCs w:val="16"/>
        </w:rPr>
        <w:t xml:space="preserve"> группы разношерстной по специальностям повлечет за собой раскассирование специалистов и неминуемо отразиться на опытном самолетостроении; 2. начатые работы естественно будут </w:t>
      </w:r>
      <w:proofErr w:type="spellStart"/>
      <w:r w:rsidRPr="007122AB">
        <w:rPr>
          <w:rFonts w:ascii="Times New Roman" w:hAnsi="Times New Roman"/>
          <w:color w:val="000000" w:themeColor="text1"/>
          <w:sz w:val="16"/>
          <w:szCs w:val="16"/>
        </w:rPr>
        <w:t>затор¬можены</w:t>
      </w:r>
      <w:proofErr w:type="spellEnd"/>
      <w:r w:rsidRPr="007122AB">
        <w:rPr>
          <w:rFonts w:ascii="Times New Roman" w:hAnsi="Times New Roman"/>
          <w:color w:val="000000" w:themeColor="text1"/>
          <w:sz w:val="16"/>
          <w:szCs w:val="16"/>
        </w:rPr>
        <w:t xml:space="preserve">, что повлечет срыв программы опытного строительства; 3. сложность момента опытного строительства, в связи с физиономией группы, требует специального режима, какой может быть только в ОКБ. </w:t>
      </w:r>
    </w:p>
    <w:p w14:paraId="3F373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Т А Н К И.</w:t>
      </w:r>
    </w:p>
    <w:p w14:paraId="45558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Закончен проект плавающего быстроходного танка приводимого в движение легким быстроходным типом авиационным Дизель мотором /работающим на тяжелом топливе/, имеющего большое вооружение, скорость на гусенице 65 километров и на колесах 74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xml:space="preserve">. выйдет из монтажа в конце апреля 1932 г. Производится бронирование трактора КАТЕРПИЛЛЕР и установка на него вместо бензинового двигателя, дизеля на нефти. Данные работы будут </w:t>
      </w:r>
      <w:proofErr w:type="spellStart"/>
      <w:r w:rsidRPr="007122AB">
        <w:rPr>
          <w:rFonts w:ascii="Times New Roman" w:hAnsi="Times New Roman"/>
          <w:color w:val="000000" w:themeColor="text1"/>
          <w:sz w:val="16"/>
          <w:szCs w:val="16"/>
        </w:rPr>
        <w:t>за¬кончены</w:t>
      </w:r>
      <w:proofErr w:type="spellEnd"/>
      <w:r w:rsidRPr="007122AB">
        <w:rPr>
          <w:rFonts w:ascii="Times New Roman" w:hAnsi="Times New Roman"/>
          <w:color w:val="000000" w:themeColor="text1"/>
          <w:sz w:val="16"/>
          <w:szCs w:val="16"/>
        </w:rPr>
        <w:t xml:space="preserve"> в январе 1932 г. Переделка легковой машины "ФОРД" и грузовой полуторатонной машины под легкие брони машины разведочного типа. Все работы вышли из стадии проектирования и запущены в производство. Окончание работ предположено в апреле месяце 1932 г. </w:t>
      </w:r>
    </w:p>
    <w:p w14:paraId="7E470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31 чел, из них: </w:t>
      </w:r>
    </w:p>
    <w:p w14:paraId="070D9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- 6 человек </w:t>
      </w:r>
    </w:p>
    <w:p w14:paraId="2ECC2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- 3 чел. </w:t>
      </w:r>
    </w:p>
    <w:p w14:paraId="6A4161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- 3 " </w:t>
      </w:r>
    </w:p>
    <w:p w14:paraId="69526B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Террористов - 3 “ </w:t>
      </w:r>
    </w:p>
    <w:p w14:paraId="19FCF3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Членов Промпартии - I " </w:t>
      </w:r>
    </w:p>
    <w:p w14:paraId="181E0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-15 " </w:t>
      </w:r>
    </w:p>
    <w:p w14:paraId="541AE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хотя бы потому, что </w:t>
      </w:r>
      <w:proofErr w:type="spellStart"/>
      <w:r w:rsidRPr="007122AB">
        <w:rPr>
          <w:rFonts w:ascii="Times New Roman" w:hAnsi="Times New Roman"/>
          <w:color w:val="000000" w:themeColor="text1"/>
          <w:sz w:val="16"/>
          <w:szCs w:val="16"/>
        </w:rPr>
        <w:t>переда¬ча</w:t>
      </w:r>
      <w:proofErr w:type="spellEnd"/>
      <w:r w:rsidRPr="007122AB">
        <w:rPr>
          <w:rFonts w:ascii="Times New Roman" w:hAnsi="Times New Roman"/>
          <w:color w:val="000000" w:themeColor="text1"/>
          <w:sz w:val="16"/>
          <w:szCs w:val="16"/>
        </w:rPr>
        <w:t xml:space="preserve"> начатых работ заняла бы такое количество времени, которое потребовалось бы для окончания указанных работ, а самый факт передачи отрицательно отразился бы на работах. </w:t>
      </w:r>
    </w:p>
    <w:p w14:paraId="28645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АРТИЛЛЕРИЯ.</w:t>
      </w:r>
    </w:p>
    <w:p w14:paraId="2CC95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Разработаны и находятся в изготовлении: опытные экземпляры снарядов, дистанционных трубок, гранат, взрывателей; часть коих проходит испытание на НЕАПЕ. </w:t>
      </w:r>
    </w:p>
    <w:p w14:paraId="431089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2.Изготовлен и находится в сборке автоматический станок для отбраковки патронных гильз. Будет закончен к 1/Х-31 г. </w:t>
      </w:r>
    </w:p>
    <w:p w14:paraId="6C7A46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Перечисленные конструкции являются нововведением в </w:t>
      </w:r>
      <w:proofErr w:type="spellStart"/>
      <w:r w:rsidRPr="007122AB">
        <w:rPr>
          <w:rFonts w:ascii="Times New Roman" w:hAnsi="Times New Roman"/>
          <w:color w:val="000000" w:themeColor="text1"/>
          <w:sz w:val="16"/>
          <w:szCs w:val="16"/>
        </w:rPr>
        <w:t>артил-лерийское</w:t>
      </w:r>
      <w:proofErr w:type="spellEnd"/>
      <w:r w:rsidRPr="007122AB">
        <w:rPr>
          <w:rFonts w:ascii="Times New Roman" w:hAnsi="Times New Roman"/>
          <w:color w:val="000000" w:themeColor="text1"/>
          <w:sz w:val="16"/>
          <w:szCs w:val="16"/>
        </w:rPr>
        <w:t xml:space="preserve"> дело и принятие их на вооружение имеет целью </w:t>
      </w:r>
      <w:proofErr w:type="spellStart"/>
      <w:r w:rsidRPr="007122AB">
        <w:rPr>
          <w:rFonts w:ascii="Times New Roman" w:hAnsi="Times New Roman"/>
          <w:color w:val="000000" w:themeColor="text1"/>
          <w:sz w:val="16"/>
          <w:szCs w:val="16"/>
        </w:rPr>
        <w:t>по¬вышение</w:t>
      </w:r>
      <w:proofErr w:type="spellEnd"/>
      <w:r w:rsidRPr="007122AB">
        <w:rPr>
          <w:rFonts w:ascii="Times New Roman" w:hAnsi="Times New Roman"/>
          <w:color w:val="000000" w:themeColor="text1"/>
          <w:sz w:val="16"/>
          <w:szCs w:val="16"/>
        </w:rPr>
        <w:t xml:space="preserve"> боеспособности Красной Армии. Работают 10 человек из них: </w:t>
      </w:r>
    </w:p>
    <w:p w14:paraId="29EBE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организаций - 3 человека </w:t>
      </w:r>
    </w:p>
    <w:p w14:paraId="5B53C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- 2 " </w:t>
      </w:r>
    </w:p>
    <w:p w14:paraId="394B1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- 5 ” </w:t>
      </w:r>
    </w:p>
    <w:p w14:paraId="10CB62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не может быть передана, так как передача группы с производимой ею работой займет время, потребное для окончания намеченных работ по плану первой очереди.</w:t>
      </w:r>
    </w:p>
    <w:p w14:paraId="65856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ДИЗЕЛЯ И МОТОРЫ </w:t>
      </w:r>
    </w:p>
    <w:p w14:paraId="4B0A7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Исправлены, построены и прошли Госиспытания следующие моторы: </w:t>
      </w:r>
    </w:p>
    <w:p w14:paraId="6B624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М-19 - 550 сил 12 цилиндровый, водяного охлаждения, </w:t>
      </w:r>
    </w:p>
    <w:p w14:paraId="33F44A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II. M-I5 - 450-600 сил звездообразный, воздушного охлаждения. Мотор запущен в серию. </w:t>
      </w:r>
    </w:p>
    <w:p w14:paraId="3DCD6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III. М-27 - 850 сил. </w:t>
      </w:r>
      <w:proofErr w:type="spellStart"/>
      <w:r w:rsidRPr="007122AB">
        <w:rPr>
          <w:rFonts w:ascii="Times New Roman" w:hAnsi="Times New Roman"/>
          <w:color w:val="000000" w:themeColor="text1"/>
          <w:sz w:val="16"/>
          <w:szCs w:val="16"/>
        </w:rPr>
        <w:t>Дубльвеобразный</w:t>
      </w:r>
      <w:proofErr w:type="spellEnd"/>
      <w:r w:rsidRPr="007122AB">
        <w:rPr>
          <w:rFonts w:ascii="Times New Roman" w:hAnsi="Times New Roman"/>
          <w:color w:val="000000" w:themeColor="text1"/>
          <w:sz w:val="16"/>
          <w:szCs w:val="16"/>
        </w:rPr>
        <w:t xml:space="preserve"> 18 цилиндровый, водяного охлаждения. Мотор запущен в серию. </w:t>
      </w:r>
    </w:p>
    <w:p w14:paraId="0C646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1У. ФЭД -1100 - 1200 сил 24 цилиндра, водяного охлаждения. Мотор запущен в серию. </w:t>
      </w:r>
    </w:p>
    <w:p w14:paraId="036CC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V. изготовляется Дизель мотор мощностью 400 сил с весом 2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на силу. Мотор предназначен для установки на </w:t>
      </w:r>
      <w:proofErr w:type="spellStart"/>
      <w:r w:rsidRPr="007122AB">
        <w:rPr>
          <w:rFonts w:ascii="Times New Roman" w:hAnsi="Times New Roman"/>
          <w:color w:val="000000" w:themeColor="text1"/>
          <w:sz w:val="16"/>
          <w:szCs w:val="16"/>
        </w:rPr>
        <w:t>строющемся</w:t>
      </w:r>
      <w:proofErr w:type="spellEnd"/>
      <w:r w:rsidRPr="007122AB">
        <w:rPr>
          <w:rFonts w:ascii="Times New Roman" w:hAnsi="Times New Roman"/>
          <w:color w:val="000000" w:themeColor="text1"/>
          <w:sz w:val="16"/>
          <w:szCs w:val="16"/>
        </w:rPr>
        <w:t xml:space="preserve"> танке. Будет закончен в январе 1931 г. </w:t>
      </w:r>
    </w:p>
    <w:p w14:paraId="7EF09D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VI. Приступлено к постройке на Коломенском заводе Дизеля мощностью 3200 сил, предназначенного для установки на </w:t>
      </w:r>
      <w:proofErr w:type="spellStart"/>
      <w:r w:rsidRPr="007122AB">
        <w:rPr>
          <w:rFonts w:ascii="Times New Roman" w:hAnsi="Times New Roman"/>
          <w:color w:val="000000" w:themeColor="text1"/>
          <w:sz w:val="16"/>
          <w:szCs w:val="16"/>
        </w:rPr>
        <w:t>строющейся</w:t>
      </w:r>
      <w:proofErr w:type="spellEnd"/>
      <w:r w:rsidRPr="007122AB">
        <w:rPr>
          <w:rFonts w:ascii="Times New Roman" w:hAnsi="Times New Roman"/>
          <w:color w:val="000000" w:themeColor="text1"/>
          <w:sz w:val="16"/>
          <w:szCs w:val="16"/>
        </w:rPr>
        <w:t xml:space="preserve"> подводной лодке. Срок производства займет 11 месяцев. </w:t>
      </w:r>
    </w:p>
    <w:p w14:paraId="6FDE2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УП. Заканчивается проект Дизель мотора мощностью в 2000 сил 24 цилиндров , с весом I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на силу; Дизель </w:t>
      </w:r>
      <w:proofErr w:type="spellStart"/>
      <w:r w:rsidRPr="007122AB">
        <w:rPr>
          <w:rFonts w:ascii="Times New Roman" w:hAnsi="Times New Roman"/>
          <w:color w:val="000000" w:themeColor="text1"/>
          <w:sz w:val="16"/>
          <w:szCs w:val="16"/>
        </w:rPr>
        <w:t>предназ¬начен</w:t>
      </w:r>
      <w:proofErr w:type="spellEnd"/>
      <w:r w:rsidRPr="007122AB">
        <w:rPr>
          <w:rFonts w:ascii="Times New Roman" w:hAnsi="Times New Roman"/>
          <w:color w:val="000000" w:themeColor="text1"/>
          <w:sz w:val="16"/>
          <w:szCs w:val="16"/>
        </w:rPr>
        <w:t xml:space="preserve"> для установки на самолете. Потребуется время на производство 7 месяцев. Приступлено к постройке Дизель мотора для трактора Катерпиллер мощностью в 60 - 80 сил, постройка ведется кооперированным путем. Будет закончена в конце декабря 1931 г. </w:t>
      </w:r>
    </w:p>
    <w:p w14:paraId="383C91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б человек, из них: </w:t>
      </w:r>
    </w:p>
    <w:p w14:paraId="06A725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организаций - 2 человека </w:t>
      </w:r>
    </w:p>
    <w:p w14:paraId="55599A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- 3 " </w:t>
      </w:r>
    </w:p>
    <w:p w14:paraId="698AC9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I “ </w:t>
      </w:r>
    </w:p>
    <w:p w14:paraId="0C5D0E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1/ передача группы </w:t>
      </w:r>
      <w:proofErr w:type="spellStart"/>
      <w:r w:rsidRPr="007122AB">
        <w:rPr>
          <w:rFonts w:ascii="Times New Roman" w:hAnsi="Times New Roman"/>
          <w:color w:val="000000" w:themeColor="text1"/>
          <w:sz w:val="16"/>
          <w:szCs w:val="16"/>
        </w:rPr>
        <w:t>сор¬вет</w:t>
      </w:r>
      <w:proofErr w:type="spellEnd"/>
      <w:r w:rsidRPr="007122AB">
        <w:rPr>
          <w:rFonts w:ascii="Times New Roman" w:hAnsi="Times New Roman"/>
          <w:color w:val="000000" w:themeColor="text1"/>
          <w:sz w:val="16"/>
          <w:szCs w:val="16"/>
        </w:rPr>
        <w:t xml:space="preserve"> всю начатую работу, т.к. будут распылены технические силы и 2/ передача группы заняла бы такое время, потребное для окончания производимых работ.</w:t>
      </w:r>
    </w:p>
    <w:p w14:paraId="68F09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ПОДВОДНЫЕ ЛОДКИ</w:t>
      </w:r>
    </w:p>
    <w:p w14:paraId="71633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Балтийской заводе предположена к постройке серия </w:t>
      </w:r>
      <w:proofErr w:type="spellStart"/>
      <w:r w:rsidRPr="007122AB">
        <w:rPr>
          <w:rFonts w:ascii="Times New Roman" w:hAnsi="Times New Roman"/>
          <w:color w:val="000000" w:themeColor="text1"/>
          <w:sz w:val="16"/>
          <w:szCs w:val="16"/>
        </w:rPr>
        <w:t>под¬водных</w:t>
      </w:r>
      <w:proofErr w:type="spellEnd"/>
      <w:r w:rsidRPr="007122AB">
        <w:rPr>
          <w:rFonts w:ascii="Times New Roman" w:hAnsi="Times New Roman"/>
          <w:color w:val="000000" w:themeColor="text1"/>
          <w:sz w:val="16"/>
          <w:szCs w:val="16"/>
        </w:rPr>
        <w:t xml:space="preserve"> лодок новейшей конструкции: </w:t>
      </w:r>
    </w:p>
    <w:p w14:paraId="0710D5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надводная скорость ....... 24 1/2 узла </w:t>
      </w:r>
    </w:p>
    <w:p w14:paraId="2BCCC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подводная ........................ II “ </w:t>
      </w:r>
    </w:p>
    <w:p w14:paraId="69BEC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погружение ....... .........40 секунд </w:t>
      </w:r>
    </w:p>
    <w:p w14:paraId="569E7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всплытие .................... 9 минут </w:t>
      </w:r>
    </w:p>
    <w:p w14:paraId="17906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тоннаж .................... 920 тонн. </w:t>
      </w:r>
    </w:p>
    <w:p w14:paraId="19563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ВООРУЖЕНИЕ ЛОДКИ: </w:t>
      </w:r>
    </w:p>
    <w:p w14:paraId="1C117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пушки - 130 мм </w:t>
      </w:r>
    </w:p>
    <w:p w14:paraId="6590D3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пушка зенитная – 37 мм </w:t>
      </w:r>
    </w:p>
    <w:p w14:paraId="001A1C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торпедных аппаратов. </w:t>
      </w:r>
    </w:p>
    <w:p w14:paraId="04D414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Первая лодка спущена на производство; готовность около 30%. Окончание производства быстроходных лодок с Советскими мощными дизелями ноябрь-декабрь 1932 г. </w:t>
      </w:r>
    </w:p>
    <w:p w14:paraId="572CD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54 человека, из них: </w:t>
      </w:r>
    </w:p>
    <w:p w14:paraId="6E6C2B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Руководителей организации . . . 13 человек </w:t>
      </w:r>
    </w:p>
    <w:p w14:paraId="46D4CD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 . . . . 8 “ </w:t>
      </w:r>
    </w:p>
    <w:p w14:paraId="6CD82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3 “ </w:t>
      </w:r>
    </w:p>
    <w:p w14:paraId="3CAAAC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 30 “ </w:t>
      </w:r>
    </w:p>
    <w:p w14:paraId="7AACB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не может быть передана хотя бы из-за того, что передача такой большой по общему работы займет несравненно большее время потребное для окончания намеченной работы.</w:t>
      </w:r>
    </w:p>
    <w:p w14:paraId="4F838A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ТРАНСПОРТЕР.</w:t>
      </w:r>
    </w:p>
    <w:p w14:paraId="0452B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металлическом заводе имени СТАЛИНА строится железно-дорожный транспортере с установкой на нем 14 дюймового морского орудия. Транспортер будет иметь возможность самостоятельно передвигаться по </w:t>
      </w:r>
      <w:proofErr w:type="spellStart"/>
      <w:r w:rsidRPr="007122AB">
        <w:rPr>
          <w:rFonts w:ascii="Times New Roman" w:hAnsi="Times New Roman"/>
          <w:color w:val="000000" w:themeColor="text1"/>
          <w:sz w:val="16"/>
          <w:szCs w:val="16"/>
        </w:rPr>
        <w:t>жел.дор</w:t>
      </w:r>
      <w:proofErr w:type="spellEnd"/>
      <w:r w:rsidRPr="007122AB">
        <w:rPr>
          <w:rFonts w:ascii="Times New Roman" w:hAnsi="Times New Roman"/>
          <w:color w:val="000000" w:themeColor="text1"/>
          <w:sz w:val="16"/>
          <w:szCs w:val="16"/>
        </w:rPr>
        <w:t xml:space="preserve">. путям. Срок постройки май 1932 г. </w:t>
      </w:r>
    </w:p>
    <w:p w14:paraId="74D36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62 человека, из них: </w:t>
      </w:r>
    </w:p>
    <w:p w14:paraId="6E5FF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-10 человек </w:t>
      </w:r>
    </w:p>
    <w:p w14:paraId="724A63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- 8 “ </w:t>
      </w:r>
    </w:p>
    <w:p w14:paraId="2AD8E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- 3 “ </w:t>
      </w:r>
    </w:p>
    <w:p w14:paraId="5D713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организации-30 “ </w:t>
      </w:r>
    </w:p>
    <w:p w14:paraId="5B447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Бюро распадается на 2 специальных задания: I/ по вооружения, 2/ по транспортеру. </w:t>
      </w:r>
    </w:p>
    <w:p w14:paraId="6C19E0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не может быть передана по той причине, что передача всей работы займет несравненно больше времени нежели для окончания транспортера.</w:t>
      </w:r>
    </w:p>
    <w:p w14:paraId="37C92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АРТПРИБОРЫ</w:t>
      </w:r>
    </w:p>
    <w:p w14:paraId="3BF5F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Спроектированы, и </w:t>
      </w:r>
      <w:proofErr w:type="spellStart"/>
      <w:r w:rsidRPr="007122AB">
        <w:rPr>
          <w:rFonts w:ascii="Times New Roman" w:hAnsi="Times New Roman"/>
          <w:color w:val="000000" w:themeColor="text1"/>
          <w:sz w:val="16"/>
          <w:szCs w:val="16"/>
        </w:rPr>
        <w:t>строются</w:t>
      </w:r>
      <w:proofErr w:type="spellEnd"/>
      <w:r w:rsidRPr="007122AB">
        <w:rPr>
          <w:rFonts w:ascii="Times New Roman" w:hAnsi="Times New Roman"/>
          <w:color w:val="000000" w:themeColor="text1"/>
          <w:sz w:val="16"/>
          <w:szCs w:val="16"/>
        </w:rPr>
        <w:t xml:space="preserve"> приборы управления артиллерийским огнем морской и полевой артиллерии. Применение приборов дает большую точность в стрельбе и упрощает механику </w:t>
      </w:r>
      <w:proofErr w:type="spellStart"/>
      <w:r w:rsidRPr="007122AB">
        <w:rPr>
          <w:rFonts w:ascii="Times New Roman" w:hAnsi="Times New Roman"/>
          <w:color w:val="000000" w:themeColor="text1"/>
          <w:sz w:val="16"/>
          <w:szCs w:val="16"/>
        </w:rPr>
        <w:t>навод¬ки</w:t>
      </w:r>
      <w:proofErr w:type="spellEnd"/>
      <w:r w:rsidRPr="007122AB">
        <w:rPr>
          <w:rFonts w:ascii="Times New Roman" w:hAnsi="Times New Roman"/>
          <w:color w:val="000000" w:themeColor="text1"/>
          <w:sz w:val="16"/>
          <w:szCs w:val="16"/>
        </w:rPr>
        <w:t xml:space="preserve"> орудия. Частично строятся и ряд на испытании. Работы будут закончены в мае 1932 г. </w:t>
      </w:r>
    </w:p>
    <w:p w14:paraId="669AFE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13 человек, из них: </w:t>
      </w:r>
    </w:p>
    <w:p w14:paraId="631E4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организаций -2 чел. </w:t>
      </w:r>
    </w:p>
    <w:p w14:paraId="1AC2E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- 1 “ </w:t>
      </w:r>
    </w:p>
    <w:p w14:paraId="435367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- 1 “ </w:t>
      </w:r>
    </w:p>
    <w:p w14:paraId="71AA6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Активных членов организации - 9 “</w:t>
      </w:r>
    </w:p>
    <w:p w14:paraId="31019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не может быть передана, так как иначе будет сорвано изготовление нужнейших для артиллерии приборов, а сама передача группы займет время равное тому, которое требуется для окончания всей работы.</w:t>
      </w:r>
    </w:p>
    <w:p w14:paraId="2413C4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ХИМИЯ.</w:t>
      </w:r>
    </w:p>
    <w:p w14:paraId="255E6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Лабораторным путем получен гальванический элемент. </w:t>
      </w:r>
    </w:p>
    <w:p w14:paraId="315E8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Элемент основан на принципе диффузии атомов водорода через тонкую пластинку металла. Количество полученной энергии </w:t>
      </w:r>
      <w:proofErr w:type="spellStart"/>
      <w:r w:rsidRPr="007122AB">
        <w:rPr>
          <w:rFonts w:ascii="Times New Roman" w:hAnsi="Times New Roman"/>
          <w:color w:val="000000" w:themeColor="text1"/>
          <w:sz w:val="16"/>
          <w:szCs w:val="16"/>
        </w:rPr>
        <w:t>рав¬но</w:t>
      </w:r>
      <w:proofErr w:type="spellEnd"/>
      <w:r w:rsidRPr="007122AB">
        <w:rPr>
          <w:rFonts w:ascii="Times New Roman" w:hAnsi="Times New Roman"/>
          <w:color w:val="000000" w:themeColor="text1"/>
          <w:sz w:val="16"/>
          <w:szCs w:val="16"/>
        </w:rPr>
        <w:t xml:space="preserve"> 5 миллиампер на I кв. </w:t>
      </w:r>
      <w:proofErr w:type="spellStart"/>
      <w:r w:rsidRPr="007122AB">
        <w:rPr>
          <w:rFonts w:ascii="Times New Roman" w:hAnsi="Times New Roman"/>
          <w:color w:val="000000" w:themeColor="text1"/>
          <w:sz w:val="16"/>
          <w:szCs w:val="16"/>
        </w:rPr>
        <w:t>сант</w:t>
      </w:r>
      <w:proofErr w:type="spellEnd"/>
      <w:r w:rsidRPr="007122AB">
        <w:rPr>
          <w:rFonts w:ascii="Times New Roman" w:hAnsi="Times New Roman"/>
          <w:color w:val="000000" w:themeColor="text1"/>
          <w:sz w:val="16"/>
          <w:szCs w:val="16"/>
        </w:rPr>
        <w:t xml:space="preserve">. Ведутся работы по увеличению количества энергии в 2 раза. Этим элемент коренным образом разнится от существующих элементов. Практическое применение элемента: 1. установка на подводной лодке, 2. на электровозах и 3. всевозможные стационарные установки. Производственный элемент будет готов в декабре 1931 г. </w:t>
      </w:r>
    </w:p>
    <w:p w14:paraId="13B51A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Сконструирован я изготовлен опытный аппарат для взрыва на расстояние по радио, аппарат может дать требуемый взрывной эффект только от тех волн, на которые он настроен, при посылке их в строго определенные промежутки. В настоящее время аппарат проходит испытание и будет изготовляться опытная серия. </w:t>
      </w:r>
    </w:p>
    <w:p w14:paraId="25D93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Сконструирован и изготовлен опытный срочный взрыватель, дающий взрывной эффект через любой промежуток времени в зависимости от установки его. Практически может быть применен для взрыва минированных полей и других </w:t>
      </w:r>
      <w:proofErr w:type="spellStart"/>
      <w:r w:rsidRPr="007122AB">
        <w:rPr>
          <w:rFonts w:ascii="Times New Roman" w:hAnsi="Times New Roman"/>
          <w:color w:val="000000" w:themeColor="text1"/>
          <w:sz w:val="16"/>
          <w:szCs w:val="16"/>
        </w:rPr>
        <w:t>специаль¬ных</w:t>
      </w:r>
      <w:proofErr w:type="spellEnd"/>
      <w:r w:rsidRPr="007122AB">
        <w:rPr>
          <w:rFonts w:ascii="Times New Roman" w:hAnsi="Times New Roman"/>
          <w:color w:val="000000" w:themeColor="text1"/>
          <w:sz w:val="16"/>
          <w:szCs w:val="16"/>
        </w:rPr>
        <w:t xml:space="preserve"> целей. Находится на испытании. </w:t>
      </w:r>
    </w:p>
    <w:p w14:paraId="198B11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Разработан проект реконструкции порохового производства. По всем процессам производства пироксилина и пороха разработана оригинальная аппаратура и машины целиком и полностью механизирующая все производства по принципу </w:t>
      </w:r>
      <w:proofErr w:type="spellStart"/>
      <w:r w:rsidRPr="007122AB">
        <w:rPr>
          <w:rFonts w:ascii="Times New Roman" w:hAnsi="Times New Roman"/>
          <w:color w:val="000000" w:themeColor="text1"/>
          <w:sz w:val="16"/>
          <w:szCs w:val="16"/>
        </w:rPr>
        <w:t>по¬точной</w:t>
      </w:r>
      <w:proofErr w:type="spellEnd"/>
      <w:r w:rsidRPr="007122AB">
        <w:rPr>
          <w:rFonts w:ascii="Times New Roman" w:hAnsi="Times New Roman"/>
          <w:color w:val="000000" w:themeColor="text1"/>
          <w:sz w:val="16"/>
          <w:szCs w:val="16"/>
        </w:rPr>
        <w:t xml:space="preserve"> системы. Реконструкция дает возможность значительно сократить рабочую силу и увеличить мощность существующих пороховых заводов. Проект проводится в жизнь, займет 5 месяцев. </w:t>
      </w:r>
    </w:p>
    <w:p w14:paraId="0728D6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Ведутся лабораторные работы по получению новых отравляющих веществ. </w:t>
      </w:r>
    </w:p>
    <w:p w14:paraId="44C233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Разработан новый химико-энергетический метод получения из низко-сортного топлива торф, бурые угли и т.д., </w:t>
      </w:r>
      <w:proofErr w:type="spellStart"/>
      <w:r w:rsidRPr="007122AB">
        <w:rPr>
          <w:rFonts w:ascii="Times New Roman" w:hAnsi="Times New Roman"/>
          <w:color w:val="000000" w:themeColor="text1"/>
          <w:sz w:val="16"/>
          <w:szCs w:val="16"/>
        </w:rPr>
        <w:t>синтетичес¬кий</w:t>
      </w:r>
      <w:proofErr w:type="spellEnd"/>
      <w:r w:rsidRPr="007122AB">
        <w:rPr>
          <w:rFonts w:ascii="Times New Roman" w:hAnsi="Times New Roman"/>
          <w:color w:val="000000" w:themeColor="text1"/>
          <w:sz w:val="16"/>
          <w:szCs w:val="16"/>
        </w:rPr>
        <w:t xml:space="preserve"> аммиак, для промышленных и азотистых соединений и высоко-</w:t>
      </w:r>
      <w:proofErr w:type="spellStart"/>
      <w:r w:rsidRPr="007122AB">
        <w:rPr>
          <w:rFonts w:ascii="Times New Roman" w:hAnsi="Times New Roman"/>
          <w:color w:val="000000" w:themeColor="text1"/>
          <w:sz w:val="16"/>
          <w:szCs w:val="16"/>
        </w:rPr>
        <w:t>каллорийный</w:t>
      </w:r>
      <w:proofErr w:type="spellEnd"/>
      <w:r w:rsidRPr="007122AB">
        <w:rPr>
          <w:rFonts w:ascii="Times New Roman" w:hAnsi="Times New Roman"/>
          <w:color w:val="000000" w:themeColor="text1"/>
          <w:sz w:val="16"/>
          <w:szCs w:val="16"/>
        </w:rPr>
        <w:t xml:space="preserve"> газ, обеспечивающий снабжение силовых установок. В осуществление данного метода строится газогенератор и </w:t>
      </w:r>
      <w:proofErr w:type="spellStart"/>
      <w:r w:rsidRPr="007122AB">
        <w:rPr>
          <w:rFonts w:ascii="Times New Roman" w:hAnsi="Times New Roman"/>
          <w:color w:val="000000" w:themeColor="text1"/>
          <w:sz w:val="16"/>
          <w:szCs w:val="16"/>
        </w:rPr>
        <w:t>раз¬работана</w:t>
      </w:r>
      <w:proofErr w:type="spellEnd"/>
      <w:r w:rsidRPr="007122AB">
        <w:rPr>
          <w:rFonts w:ascii="Times New Roman" w:hAnsi="Times New Roman"/>
          <w:color w:val="000000" w:themeColor="text1"/>
          <w:sz w:val="16"/>
          <w:szCs w:val="16"/>
        </w:rPr>
        <w:t xml:space="preserve"> конструкция установки глубокого охлаждения, которая позволит разгонять газ, как водяной, так и коксовый на </w:t>
      </w:r>
      <w:proofErr w:type="spellStart"/>
      <w:r w:rsidRPr="007122AB">
        <w:rPr>
          <w:rFonts w:ascii="Times New Roman" w:hAnsi="Times New Roman"/>
          <w:color w:val="000000" w:themeColor="text1"/>
          <w:sz w:val="16"/>
          <w:szCs w:val="16"/>
        </w:rPr>
        <w:t>хими¬чески</w:t>
      </w:r>
      <w:proofErr w:type="spellEnd"/>
      <w:r w:rsidRPr="007122AB">
        <w:rPr>
          <w:rFonts w:ascii="Times New Roman" w:hAnsi="Times New Roman"/>
          <w:color w:val="000000" w:themeColor="text1"/>
          <w:sz w:val="16"/>
          <w:szCs w:val="16"/>
        </w:rPr>
        <w:t xml:space="preserve"> чистые фракции. Закончены полузаводские опыты по </w:t>
      </w:r>
      <w:proofErr w:type="spellStart"/>
      <w:r w:rsidRPr="007122AB">
        <w:rPr>
          <w:rFonts w:ascii="Times New Roman" w:hAnsi="Times New Roman"/>
          <w:color w:val="000000" w:themeColor="text1"/>
          <w:sz w:val="16"/>
          <w:szCs w:val="16"/>
        </w:rPr>
        <w:t>про¬верки</w:t>
      </w:r>
      <w:proofErr w:type="spellEnd"/>
      <w:r w:rsidRPr="007122AB">
        <w:rPr>
          <w:rFonts w:ascii="Times New Roman" w:hAnsi="Times New Roman"/>
          <w:color w:val="000000" w:themeColor="text1"/>
          <w:sz w:val="16"/>
          <w:szCs w:val="16"/>
        </w:rPr>
        <w:t xml:space="preserve"> метода. Разрабатывается проект постройки опытного завода стоимостью 250000 руб. производительностью 50.000 тонн </w:t>
      </w:r>
      <w:proofErr w:type="spellStart"/>
      <w:r w:rsidRPr="007122AB">
        <w:rPr>
          <w:rFonts w:ascii="Times New Roman" w:hAnsi="Times New Roman"/>
          <w:color w:val="000000" w:themeColor="text1"/>
          <w:sz w:val="16"/>
          <w:szCs w:val="16"/>
        </w:rPr>
        <w:t>ам¬миака</w:t>
      </w:r>
      <w:proofErr w:type="spellEnd"/>
      <w:r w:rsidRPr="007122AB">
        <w:rPr>
          <w:rFonts w:ascii="Times New Roman" w:hAnsi="Times New Roman"/>
          <w:color w:val="000000" w:themeColor="text1"/>
          <w:sz w:val="16"/>
          <w:szCs w:val="16"/>
        </w:rPr>
        <w:t xml:space="preserve"> в сутки. Срок окончания разработки 4 месяца. </w:t>
      </w:r>
    </w:p>
    <w:p w14:paraId="6936D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Разработан способ </w:t>
      </w:r>
      <w:proofErr w:type="spellStart"/>
      <w:r w:rsidRPr="007122AB">
        <w:rPr>
          <w:rFonts w:ascii="Times New Roman" w:hAnsi="Times New Roman"/>
          <w:color w:val="000000" w:themeColor="text1"/>
          <w:sz w:val="16"/>
          <w:szCs w:val="16"/>
        </w:rPr>
        <w:t>фракционировки</w:t>
      </w:r>
      <w:proofErr w:type="spellEnd"/>
      <w:r w:rsidRPr="007122AB">
        <w:rPr>
          <w:rFonts w:ascii="Times New Roman" w:hAnsi="Times New Roman"/>
          <w:color w:val="000000" w:themeColor="text1"/>
          <w:sz w:val="16"/>
          <w:szCs w:val="16"/>
        </w:rPr>
        <w:t xml:space="preserve"> коксового газа. </w:t>
      </w:r>
      <w:proofErr w:type="spellStart"/>
      <w:r w:rsidRPr="007122AB">
        <w:rPr>
          <w:rFonts w:ascii="Times New Roman" w:hAnsi="Times New Roman"/>
          <w:color w:val="000000" w:themeColor="text1"/>
          <w:sz w:val="16"/>
          <w:szCs w:val="16"/>
        </w:rPr>
        <w:t>Тех¬нические</w:t>
      </w:r>
      <w:proofErr w:type="spellEnd"/>
      <w:r w:rsidRPr="007122AB">
        <w:rPr>
          <w:rFonts w:ascii="Times New Roman" w:hAnsi="Times New Roman"/>
          <w:color w:val="000000" w:themeColor="text1"/>
          <w:sz w:val="16"/>
          <w:szCs w:val="16"/>
        </w:rPr>
        <w:t xml:space="preserve"> показатели способа: портативность установки, </w:t>
      </w:r>
      <w:proofErr w:type="spellStart"/>
      <w:r w:rsidRPr="007122AB">
        <w:rPr>
          <w:rFonts w:ascii="Times New Roman" w:hAnsi="Times New Roman"/>
          <w:color w:val="000000" w:themeColor="text1"/>
          <w:sz w:val="16"/>
          <w:szCs w:val="16"/>
        </w:rPr>
        <w:t>макси¬мальная</w:t>
      </w:r>
      <w:proofErr w:type="spellEnd"/>
      <w:r w:rsidRPr="007122AB">
        <w:rPr>
          <w:rFonts w:ascii="Times New Roman" w:hAnsi="Times New Roman"/>
          <w:color w:val="000000" w:themeColor="text1"/>
          <w:sz w:val="16"/>
          <w:szCs w:val="16"/>
        </w:rPr>
        <w:t xml:space="preserve"> экономия в металле, увеличение ассортимента полезных продуктов и выхода их, полное использование </w:t>
      </w:r>
      <w:proofErr w:type="spellStart"/>
      <w:r w:rsidRPr="007122AB">
        <w:rPr>
          <w:rFonts w:ascii="Times New Roman" w:hAnsi="Times New Roman"/>
          <w:color w:val="000000" w:themeColor="text1"/>
          <w:sz w:val="16"/>
          <w:szCs w:val="16"/>
        </w:rPr>
        <w:t>коксика</w:t>
      </w:r>
      <w:proofErr w:type="spellEnd"/>
      <w:r w:rsidRPr="007122AB">
        <w:rPr>
          <w:rFonts w:ascii="Times New Roman" w:hAnsi="Times New Roman"/>
          <w:color w:val="000000" w:themeColor="text1"/>
          <w:sz w:val="16"/>
          <w:szCs w:val="16"/>
        </w:rPr>
        <w:t xml:space="preserve">, сжиганием в генераторах и получение таким образом водорода, для </w:t>
      </w:r>
      <w:proofErr w:type="spellStart"/>
      <w:r w:rsidRPr="007122AB">
        <w:rPr>
          <w:rFonts w:ascii="Times New Roman" w:hAnsi="Times New Roman"/>
          <w:color w:val="000000" w:themeColor="text1"/>
          <w:sz w:val="16"/>
          <w:szCs w:val="16"/>
        </w:rPr>
        <w:t>син¬теза</w:t>
      </w:r>
      <w:proofErr w:type="spellEnd"/>
      <w:r w:rsidRPr="007122AB">
        <w:rPr>
          <w:rFonts w:ascii="Times New Roman" w:hAnsi="Times New Roman"/>
          <w:color w:val="000000" w:themeColor="text1"/>
          <w:sz w:val="16"/>
          <w:szCs w:val="16"/>
        </w:rPr>
        <w:t xml:space="preserve"> аммиака. Разработана конструкция аппаратуры и машин. Разрабатывается проект опытного завода по описанному способу стоимость 6.000.000 </w:t>
      </w:r>
      <w:proofErr w:type="spellStart"/>
      <w:r w:rsidRPr="007122AB">
        <w:rPr>
          <w:rFonts w:ascii="Times New Roman" w:hAnsi="Times New Roman"/>
          <w:color w:val="000000" w:themeColor="text1"/>
          <w:sz w:val="16"/>
          <w:szCs w:val="16"/>
        </w:rPr>
        <w:t>руб.Срок</w:t>
      </w:r>
      <w:proofErr w:type="spellEnd"/>
      <w:r w:rsidRPr="007122AB">
        <w:rPr>
          <w:rFonts w:ascii="Times New Roman" w:hAnsi="Times New Roman"/>
          <w:color w:val="000000" w:themeColor="text1"/>
          <w:sz w:val="16"/>
          <w:szCs w:val="16"/>
        </w:rPr>
        <w:t xml:space="preserve"> - 6 месяцев. </w:t>
      </w:r>
    </w:p>
    <w:p w14:paraId="78FDD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Построен на 75% опытный обогревательный элемент для коксовых печей Советских конструкций. Элемент предназначается для мощных </w:t>
      </w:r>
      <w:proofErr w:type="spellStart"/>
      <w:r w:rsidRPr="007122AB">
        <w:rPr>
          <w:rFonts w:ascii="Times New Roman" w:hAnsi="Times New Roman"/>
          <w:color w:val="000000" w:themeColor="text1"/>
          <w:sz w:val="16"/>
          <w:szCs w:val="16"/>
        </w:rPr>
        <w:t>коксо</w:t>
      </w:r>
      <w:proofErr w:type="spellEnd"/>
      <w:r w:rsidRPr="007122AB">
        <w:rPr>
          <w:rFonts w:ascii="Times New Roman" w:hAnsi="Times New Roman"/>
          <w:color w:val="000000" w:themeColor="text1"/>
          <w:sz w:val="16"/>
          <w:szCs w:val="16"/>
        </w:rPr>
        <w:t xml:space="preserve">-бензольных заводов в </w:t>
      </w:r>
      <w:proofErr w:type="spellStart"/>
      <w:r w:rsidRPr="007122AB">
        <w:rPr>
          <w:rFonts w:ascii="Times New Roman" w:hAnsi="Times New Roman"/>
          <w:color w:val="000000" w:themeColor="text1"/>
          <w:sz w:val="16"/>
          <w:szCs w:val="16"/>
        </w:rPr>
        <w:t>Кеммерово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Кубахе</w:t>
      </w:r>
      <w:proofErr w:type="spellEnd"/>
      <w:r w:rsidRPr="007122AB">
        <w:rPr>
          <w:rFonts w:ascii="Times New Roman" w:hAnsi="Times New Roman"/>
          <w:color w:val="000000" w:themeColor="text1"/>
          <w:sz w:val="16"/>
          <w:szCs w:val="16"/>
        </w:rPr>
        <w:t xml:space="preserve">. Все работы по этой группе будут закончены в конце 1932 г. </w:t>
      </w:r>
    </w:p>
    <w:p w14:paraId="3CD5D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43 человека, из них: </w:t>
      </w:r>
    </w:p>
    <w:p w14:paraId="71A65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организаций -13 человек </w:t>
      </w:r>
    </w:p>
    <w:p w14:paraId="145AEB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- 21 “ </w:t>
      </w:r>
    </w:p>
    <w:p w14:paraId="7EFB1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- 7 “ </w:t>
      </w:r>
    </w:p>
    <w:p w14:paraId="02E66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-2 “ </w:t>
      </w:r>
    </w:p>
    <w:p w14:paraId="5CEB2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виду важности и сложности начатой работы передача группы заняла бы такое время, которое оттянуло бы окончание </w:t>
      </w:r>
      <w:proofErr w:type="spellStart"/>
      <w:r w:rsidRPr="007122AB">
        <w:rPr>
          <w:rFonts w:ascii="Times New Roman" w:hAnsi="Times New Roman"/>
          <w:color w:val="000000" w:themeColor="text1"/>
          <w:sz w:val="16"/>
          <w:szCs w:val="16"/>
        </w:rPr>
        <w:t>на¬чатых</w:t>
      </w:r>
      <w:proofErr w:type="spellEnd"/>
      <w:r w:rsidRPr="007122AB">
        <w:rPr>
          <w:rFonts w:ascii="Times New Roman" w:hAnsi="Times New Roman"/>
          <w:color w:val="000000" w:themeColor="text1"/>
          <w:sz w:val="16"/>
          <w:szCs w:val="16"/>
        </w:rPr>
        <w:t xml:space="preserve"> работ на продолжительное время. Этим были бы сорваны большой важности работы оборонного значения. </w:t>
      </w:r>
    </w:p>
    <w:p w14:paraId="44CB91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того группа подобрана из разнородных специалистов, распыление которых в промышленности сделало бы невозможным продолжение начатых работ. </w:t>
      </w:r>
    </w:p>
    <w:p w14:paraId="50A73E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ЗАЩИТА ПРОТИВ ИПРИТА.</w:t>
      </w:r>
    </w:p>
    <w:p w14:paraId="3B289E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Лабораторным путем добыта резиновая масса, для маски против газа. При толщине резины в 2,4 мм, маска показала устойчивость на иприт около б часов. Полученные результаты проверяются на разные толщины резины от 0,8 мм до 2,4 мм. По сравнению с итальянской маской толщиною в 2,2 мм при устойчивости ее на иприт I час 20 мин. Полученные образцы резины, как видно имеют большие преимущества. Проводится аналитическая работа над военными заграничными масками: итальянской, германской, чехословацкой и американской, по выяснению их устойчивости на иприт. </w:t>
      </w:r>
    </w:p>
    <w:p w14:paraId="20580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Изготовляется резиновая масса для пропитки ткани с целью получить </w:t>
      </w:r>
      <w:proofErr w:type="spellStart"/>
      <w:r w:rsidRPr="007122AB">
        <w:rPr>
          <w:rFonts w:ascii="Times New Roman" w:hAnsi="Times New Roman"/>
          <w:color w:val="000000" w:themeColor="text1"/>
          <w:sz w:val="16"/>
          <w:szCs w:val="16"/>
        </w:rPr>
        <w:t>иприто</w:t>
      </w:r>
      <w:proofErr w:type="spellEnd"/>
      <w:r w:rsidRPr="007122AB">
        <w:rPr>
          <w:rFonts w:ascii="Times New Roman" w:hAnsi="Times New Roman"/>
          <w:color w:val="000000" w:themeColor="text1"/>
          <w:sz w:val="16"/>
          <w:szCs w:val="16"/>
        </w:rPr>
        <w:t xml:space="preserve">-устойчивую одежду с большими показателями, чем имеющиеся на вооружении армии. Срок окончания испытаний механической и ипритовой устойчивости 1/ХП-31 г. </w:t>
      </w:r>
    </w:p>
    <w:p w14:paraId="6C857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Приступлено к разработке новой конструкции </w:t>
      </w:r>
      <w:proofErr w:type="spellStart"/>
      <w:r w:rsidRPr="007122AB">
        <w:rPr>
          <w:rFonts w:ascii="Times New Roman" w:hAnsi="Times New Roman"/>
          <w:color w:val="000000" w:themeColor="text1"/>
          <w:sz w:val="16"/>
          <w:szCs w:val="16"/>
        </w:rPr>
        <w:t>противоипритовых</w:t>
      </w:r>
      <w:proofErr w:type="spellEnd"/>
      <w:r w:rsidRPr="007122AB">
        <w:rPr>
          <w:rFonts w:ascii="Times New Roman" w:hAnsi="Times New Roman"/>
          <w:color w:val="000000" w:themeColor="text1"/>
          <w:sz w:val="16"/>
          <w:szCs w:val="16"/>
        </w:rPr>
        <w:t xml:space="preserve"> сапог для чего выработан специальный рецепт резиновой массы, над которой в ближайшем будущем будут произведены необходимые опыты. Цель данной работы получить наиболее </w:t>
      </w:r>
      <w:proofErr w:type="spellStart"/>
      <w:r w:rsidRPr="007122AB">
        <w:rPr>
          <w:rFonts w:ascii="Times New Roman" w:hAnsi="Times New Roman"/>
          <w:color w:val="000000" w:themeColor="text1"/>
          <w:sz w:val="16"/>
          <w:szCs w:val="16"/>
        </w:rPr>
        <w:t>иприто</w:t>
      </w:r>
      <w:proofErr w:type="spellEnd"/>
      <w:r w:rsidRPr="007122AB">
        <w:rPr>
          <w:rFonts w:ascii="Times New Roman" w:hAnsi="Times New Roman"/>
          <w:color w:val="000000" w:themeColor="text1"/>
          <w:sz w:val="16"/>
          <w:szCs w:val="16"/>
        </w:rPr>
        <w:t xml:space="preserve">-устойчивые сапоги и наиболее легкие для изготовления. Срок изготовления пробного сапога I/XI-3I г. </w:t>
      </w:r>
    </w:p>
    <w:p w14:paraId="564751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 связи с переходом от резинового шлема противогаза к полумаске - проводятся работа по конструированию </w:t>
      </w:r>
      <w:proofErr w:type="spellStart"/>
      <w:r w:rsidRPr="007122AB">
        <w:rPr>
          <w:rFonts w:ascii="Times New Roman" w:hAnsi="Times New Roman"/>
          <w:color w:val="000000" w:themeColor="text1"/>
          <w:sz w:val="16"/>
          <w:szCs w:val="16"/>
        </w:rPr>
        <w:t>наибо¬лее</w:t>
      </w:r>
      <w:proofErr w:type="spellEnd"/>
      <w:r w:rsidRPr="007122AB">
        <w:rPr>
          <w:rFonts w:ascii="Times New Roman" w:hAnsi="Times New Roman"/>
          <w:color w:val="000000" w:themeColor="text1"/>
          <w:sz w:val="16"/>
          <w:szCs w:val="16"/>
        </w:rPr>
        <w:t xml:space="preserve"> совершенной полумаски. Срок изготовления пробной </w:t>
      </w:r>
      <w:proofErr w:type="spellStart"/>
      <w:r w:rsidRPr="007122AB">
        <w:rPr>
          <w:rFonts w:ascii="Times New Roman" w:hAnsi="Times New Roman"/>
          <w:color w:val="000000" w:themeColor="text1"/>
          <w:sz w:val="16"/>
          <w:szCs w:val="16"/>
        </w:rPr>
        <w:t>полу¬маски</w:t>
      </w:r>
      <w:proofErr w:type="spellEnd"/>
      <w:r w:rsidRPr="007122AB">
        <w:rPr>
          <w:rFonts w:ascii="Times New Roman" w:hAnsi="Times New Roman"/>
          <w:color w:val="000000" w:themeColor="text1"/>
          <w:sz w:val="16"/>
          <w:szCs w:val="16"/>
        </w:rPr>
        <w:t xml:space="preserve"> I/I-32 г*. </w:t>
      </w:r>
    </w:p>
    <w:p w14:paraId="091D1A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Лабораторным путем получен лак для галош, дающий воз-</w:t>
      </w:r>
      <w:proofErr w:type="spellStart"/>
      <w:r w:rsidRPr="007122AB">
        <w:rPr>
          <w:rFonts w:ascii="Times New Roman" w:hAnsi="Times New Roman"/>
          <w:color w:val="000000" w:themeColor="text1"/>
          <w:sz w:val="16"/>
          <w:szCs w:val="16"/>
        </w:rPr>
        <w:t>можность</w:t>
      </w:r>
      <w:proofErr w:type="spellEnd"/>
      <w:r w:rsidRPr="007122AB">
        <w:rPr>
          <w:rFonts w:ascii="Times New Roman" w:hAnsi="Times New Roman"/>
          <w:color w:val="000000" w:themeColor="text1"/>
          <w:sz w:val="16"/>
          <w:szCs w:val="16"/>
        </w:rPr>
        <w:t xml:space="preserve"> вести паровой процесс вулканизации, что сокращает время на 30%., чем понижается себестоимость галош и увеличивается прочность их. Кроме того введением этого лака в резиновую массу отпадает необходимость вводить в нее импортный продукт «глет». Пробная партия галош выпускается к 10 </w:t>
      </w:r>
      <w:proofErr w:type="spellStart"/>
      <w:r w:rsidRPr="007122AB">
        <w:rPr>
          <w:rFonts w:ascii="Times New Roman" w:hAnsi="Times New Roman"/>
          <w:color w:val="000000" w:themeColor="text1"/>
          <w:sz w:val="16"/>
          <w:szCs w:val="16"/>
        </w:rPr>
        <w:t>декаб¬ря</w:t>
      </w:r>
      <w:proofErr w:type="spellEnd"/>
      <w:r w:rsidRPr="007122AB">
        <w:rPr>
          <w:rFonts w:ascii="Times New Roman" w:hAnsi="Times New Roman"/>
          <w:color w:val="000000" w:themeColor="text1"/>
          <w:sz w:val="16"/>
          <w:szCs w:val="16"/>
        </w:rPr>
        <w:t xml:space="preserve"> 1931 г. </w:t>
      </w:r>
    </w:p>
    <w:p w14:paraId="3C8115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18 человек, из них : </w:t>
      </w:r>
    </w:p>
    <w:p w14:paraId="3F2FE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-4 человека </w:t>
      </w:r>
    </w:p>
    <w:p w14:paraId="2C511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-12 “ </w:t>
      </w:r>
    </w:p>
    <w:p w14:paraId="3F234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- 2 " </w:t>
      </w:r>
    </w:p>
    <w:p w14:paraId="47C08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так как с передачей может быть ликвидирована начатая работа, имеющая большое </w:t>
      </w:r>
      <w:proofErr w:type="spellStart"/>
      <w:r w:rsidRPr="007122AB">
        <w:rPr>
          <w:rFonts w:ascii="Times New Roman" w:hAnsi="Times New Roman"/>
          <w:color w:val="000000" w:themeColor="text1"/>
          <w:sz w:val="16"/>
          <w:szCs w:val="16"/>
        </w:rPr>
        <w:t>значе¬ние</w:t>
      </w:r>
      <w:proofErr w:type="spellEnd"/>
      <w:r w:rsidRPr="007122AB">
        <w:rPr>
          <w:rFonts w:ascii="Times New Roman" w:hAnsi="Times New Roman"/>
          <w:color w:val="000000" w:themeColor="text1"/>
          <w:sz w:val="16"/>
          <w:szCs w:val="16"/>
        </w:rPr>
        <w:t xml:space="preserve"> в области обороны страны. Помимо этого вопрос передачи связан с большими сроками, почему более целесообразно закончить начатую работу. </w:t>
      </w:r>
    </w:p>
    <w:p w14:paraId="3F385D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ХИМИКО-ЭНЕРГЕТИЧЕСКОЕ МАШИНОСТРОЕНИЕ.</w:t>
      </w:r>
    </w:p>
    <w:p w14:paraId="70694F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Спроектирован и находится в изготовлении газогенератор непрерывного действия для газификации торфа и </w:t>
      </w:r>
      <w:proofErr w:type="spellStart"/>
      <w:r w:rsidRPr="007122AB">
        <w:rPr>
          <w:rFonts w:ascii="Times New Roman" w:hAnsi="Times New Roman"/>
          <w:color w:val="000000" w:themeColor="text1"/>
          <w:sz w:val="16"/>
          <w:szCs w:val="16"/>
        </w:rPr>
        <w:t>низко¬сортных</w:t>
      </w:r>
      <w:proofErr w:type="spellEnd"/>
      <w:r w:rsidRPr="007122AB">
        <w:rPr>
          <w:rFonts w:ascii="Times New Roman" w:hAnsi="Times New Roman"/>
          <w:color w:val="000000" w:themeColor="text1"/>
          <w:sz w:val="16"/>
          <w:szCs w:val="16"/>
        </w:rPr>
        <w:t xml:space="preserve"> углей. Детали генератора изготовлены на 70%, окончание работ к I ноября 1931 г. </w:t>
      </w:r>
    </w:p>
    <w:p w14:paraId="13121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Спроектировал газогенератор легкого типа для </w:t>
      </w:r>
      <w:proofErr w:type="spellStart"/>
      <w:r w:rsidRPr="007122AB">
        <w:rPr>
          <w:rFonts w:ascii="Times New Roman" w:hAnsi="Times New Roman"/>
          <w:color w:val="000000" w:themeColor="text1"/>
          <w:sz w:val="16"/>
          <w:szCs w:val="16"/>
        </w:rPr>
        <w:t>тяже¬лого</w:t>
      </w:r>
      <w:proofErr w:type="spellEnd"/>
      <w:r w:rsidRPr="007122AB">
        <w:rPr>
          <w:rFonts w:ascii="Times New Roman" w:hAnsi="Times New Roman"/>
          <w:color w:val="000000" w:themeColor="text1"/>
          <w:sz w:val="16"/>
          <w:szCs w:val="16"/>
        </w:rPr>
        <w:t xml:space="preserve"> авто-транспорта и тракторов в целях перевода их на ¬твердое топливо. Проект сдан в завод на изготовление. Окончание 1/ХП-31 г. </w:t>
      </w:r>
    </w:p>
    <w:p w14:paraId="37C071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Закончена проектированием и сдается на изготовление азотно-кислородная установка советской конструкции, производительностью 250 </w:t>
      </w:r>
      <w:proofErr w:type="spellStart"/>
      <w:r w:rsidRPr="007122AB">
        <w:rPr>
          <w:rFonts w:ascii="Times New Roman" w:hAnsi="Times New Roman"/>
          <w:color w:val="000000" w:themeColor="text1"/>
          <w:sz w:val="16"/>
          <w:szCs w:val="16"/>
        </w:rPr>
        <w:t>куб.метр</w:t>
      </w:r>
      <w:proofErr w:type="spellEnd"/>
      <w:r w:rsidRPr="007122AB">
        <w:rPr>
          <w:rFonts w:ascii="Times New Roman" w:hAnsi="Times New Roman"/>
          <w:color w:val="000000" w:themeColor="text1"/>
          <w:sz w:val="16"/>
          <w:szCs w:val="16"/>
        </w:rPr>
        <w:t xml:space="preserve"> кислорода в час. Изготовление установки позволит отказаться от импорта и заграницы. Срок изготовления б месяцев. </w:t>
      </w:r>
    </w:p>
    <w:p w14:paraId="6CE10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4. Приступлено к проектированию установки глубокого охлаждения для </w:t>
      </w:r>
      <w:proofErr w:type="spellStart"/>
      <w:r w:rsidRPr="007122AB">
        <w:rPr>
          <w:rFonts w:ascii="Times New Roman" w:hAnsi="Times New Roman"/>
          <w:color w:val="000000" w:themeColor="text1"/>
          <w:sz w:val="16"/>
          <w:szCs w:val="16"/>
        </w:rPr>
        <w:t>фракционировки</w:t>
      </w:r>
      <w:proofErr w:type="spellEnd"/>
      <w:r w:rsidRPr="007122AB">
        <w:rPr>
          <w:rFonts w:ascii="Times New Roman" w:hAnsi="Times New Roman"/>
          <w:color w:val="000000" w:themeColor="text1"/>
          <w:sz w:val="16"/>
          <w:szCs w:val="16"/>
        </w:rPr>
        <w:t xml:space="preserve"> водяного и коксовых газов. </w:t>
      </w:r>
      <w:proofErr w:type="spellStart"/>
      <w:r w:rsidRPr="007122AB">
        <w:rPr>
          <w:rFonts w:ascii="Times New Roman" w:hAnsi="Times New Roman"/>
          <w:color w:val="000000" w:themeColor="text1"/>
          <w:sz w:val="16"/>
          <w:szCs w:val="16"/>
        </w:rPr>
        <w:t>Конструк¬ция</w:t>
      </w:r>
      <w:proofErr w:type="spellEnd"/>
      <w:r w:rsidRPr="007122AB">
        <w:rPr>
          <w:rFonts w:ascii="Times New Roman" w:hAnsi="Times New Roman"/>
          <w:color w:val="000000" w:themeColor="text1"/>
          <w:sz w:val="16"/>
          <w:szCs w:val="16"/>
        </w:rPr>
        <w:t xml:space="preserve"> установки отличается от заграничных тем, что она не замерзает, как например </w:t>
      </w:r>
      <w:proofErr w:type="spellStart"/>
      <w:r w:rsidRPr="007122AB">
        <w:rPr>
          <w:rFonts w:ascii="Times New Roman" w:hAnsi="Times New Roman"/>
          <w:color w:val="000000" w:themeColor="text1"/>
          <w:sz w:val="16"/>
          <w:szCs w:val="16"/>
        </w:rPr>
        <w:t>Кледовские</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Линдовские</w:t>
      </w:r>
      <w:proofErr w:type="spellEnd"/>
      <w:r w:rsidRPr="007122AB">
        <w:rPr>
          <w:rFonts w:ascii="Times New Roman" w:hAnsi="Times New Roman"/>
          <w:color w:val="000000" w:themeColor="text1"/>
          <w:sz w:val="16"/>
          <w:szCs w:val="16"/>
        </w:rPr>
        <w:t xml:space="preserve">, и т.п., </w:t>
      </w:r>
      <w:proofErr w:type="spellStart"/>
      <w:r w:rsidRPr="007122AB">
        <w:rPr>
          <w:rFonts w:ascii="Times New Roman" w:hAnsi="Times New Roman"/>
          <w:color w:val="000000" w:themeColor="text1"/>
          <w:sz w:val="16"/>
          <w:szCs w:val="16"/>
        </w:rPr>
        <w:t>вследствии</w:t>
      </w:r>
      <w:proofErr w:type="spellEnd"/>
      <w:r w:rsidRPr="007122AB">
        <w:rPr>
          <w:rFonts w:ascii="Times New Roman" w:hAnsi="Times New Roman"/>
          <w:color w:val="000000" w:themeColor="text1"/>
          <w:sz w:val="16"/>
          <w:szCs w:val="16"/>
        </w:rPr>
        <w:t xml:space="preserve"> чего производительность ее несравненно выше. </w:t>
      </w:r>
    </w:p>
    <w:p w14:paraId="0F56A9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29 человек, из них: </w:t>
      </w:r>
    </w:p>
    <w:p w14:paraId="0AAD1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-3 человека </w:t>
      </w:r>
    </w:p>
    <w:p w14:paraId="2D09B4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- 5 “ </w:t>
      </w:r>
    </w:p>
    <w:p w14:paraId="6854C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- 1 “ </w:t>
      </w:r>
    </w:p>
    <w:p w14:paraId="18323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Членов Промпартии .......... - 10 “ </w:t>
      </w:r>
    </w:p>
    <w:p w14:paraId="5902D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-10 " </w:t>
      </w:r>
    </w:p>
    <w:p w14:paraId="5DB005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в виду того, что большинство -специалистов, является членами Промпартии, членами террористической организации. Кроме того вся начатая и проводимая </w:t>
      </w:r>
      <w:proofErr w:type="spellStart"/>
      <w:r w:rsidRPr="007122AB">
        <w:rPr>
          <w:rFonts w:ascii="Times New Roman" w:hAnsi="Times New Roman"/>
          <w:color w:val="000000" w:themeColor="text1"/>
          <w:sz w:val="16"/>
          <w:szCs w:val="16"/>
        </w:rPr>
        <w:t>ра¬бота</w:t>
      </w:r>
      <w:proofErr w:type="spellEnd"/>
      <w:r w:rsidRPr="007122AB">
        <w:rPr>
          <w:rFonts w:ascii="Times New Roman" w:hAnsi="Times New Roman"/>
          <w:color w:val="000000" w:themeColor="text1"/>
          <w:sz w:val="16"/>
          <w:szCs w:val="16"/>
        </w:rPr>
        <w:t xml:space="preserve"> с точки зрения химического машиностроения является настолько оригинальной, что распыление специалистов, которое неизбежно произойдет при передачи группы, не даст </w:t>
      </w:r>
      <w:proofErr w:type="spellStart"/>
      <w:r w:rsidRPr="007122AB">
        <w:rPr>
          <w:rFonts w:ascii="Times New Roman" w:hAnsi="Times New Roman"/>
          <w:color w:val="000000" w:themeColor="text1"/>
          <w:sz w:val="16"/>
          <w:szCs w:val="16"/>
        </w:rPr>
        <w:t>возможно¬сти</w:t>
      </w:r>
      <w:proofErr w:type="spellEnd"/>
      <w:r w:rsidRPr="007122AB">
        <w:rPr>
          <w:rFonts w:ascii="Times New Roman" w:hAnsi="Times New Roman"/>
          <w:color w:val="000000" w:themeColor="text1"/>
          <w:sz w:val="16"/>
          <w:szCs w:val="16"/>
        </w:rPr>
        <w:t xml:space="preserve"> продолжать эту работу. </w:t>
      </w:r>
    </w:p>
    <w:p w14:paraId="44D0F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того, время, которое уйдет на передачу группы является достаточным для окончания начатых работ. </w:t>
      </w:r>
    </w:p>
    <w:p w14:paraId="1EADCE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КОТЕЛ ВЫСОКОГО ДАВЛЕНИЯ</w:t>
      </w:r>
    </w:p>
    <w:p w14:paraId="0CCA7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Подготовлен к изготовлению /розданы заказы на изготовление деталей/ без барабанный котел высокого давления от 140 до 299 атм., съем пара 1000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в час, вес котла 40 тонн. </w:t>
      </w:r>
    </w:p>
    <w:p w14:paraId="4E0D66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сравнении с мировыми котлами </w:t>
      </w:r>
      <w:proofErr w:type="spellStart"/>
      <w:r w:rsidRPr="007122AB">
        <w:rPr>
          <w:rFonts w:ascii="Times New Roman" w:hAnsi="Times New Roman"/>
          <w:color w:val="000000" w:themeColor="text1"/>
          <w:sz w:val="16"/>
          <w:szCs w:val="16"/>
        </w:rPr>
        <w:t>Деффлера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Бабкок-Вилькокс</w:t>
      </w:r>
      <w:proofErr w:type="spellEnd"/>
      <w:r w:rsidRPr="007122AB">
        <w:rPr>
          <w:rFonts w:ascii="Times New Roman" w:hAnsi="Times New Roman"/>
          <w:color w:val="000000" w:themeColor="text1"/>
          <w:sz w:val="16"/>
          <w:szCs w:val="16"/>
        </w:rPr>
        <w:t xml:space="preserve"> сконструированный котел имеет следующие сравнительные данные при одинаковой производительности 100 </w:t>
      </w:r>
      <w:proofErr w:type="spellStart"/>
      <w:r w:rsidRPr="007122AB">
        <w:rPr>
          <w:rFonts w:ascii="Times New Roman" w:hAnsi="Times New Roman"/>
          <w:color w:val="000000" w:themeColor="text1"/>
          <w:sz w:val="16"/>
          <w:szCs w:val="16"/>
        </w:rPr>
        <w:t>тн</w:t>
      </w:r>
      <w:proofErr w:type="spellEnd"/>
      <w:r w:rsidRPr="007122AB">
        <w:rPr>
          <w:rFonts w:ascii="Times New Roman" w:hAnsi="Times New Roman"/>
          <w:color w:val="000000" w:themeColor="text1"/>
          <w:sz w:val="16"/>
          <w:szCs w:val="16"/>
        </w:rPr>
        <w:t xml:space="preserve">/час пара при 140 атм. </w:t>
      </w:r>
    </w:p>
    <w:p w14:paraId="73170F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ab/>
        <w:t>Котел ОГПУ</w:t>
      </w:r>
      <w:r w:rsidRPr="007122AB">
        <w:rPr>
          <w:rFonts w:ascii="Times New Roman" w:hAnsi="Times New Roman"/>
          <w:color w:val="000000" w:themeColor="text1"/>
          <w:sz w:val="16"/>
          <w:szCs w:val="16"/>
        </w:rPr>
        <w:tab/>
      </w:r>
      <w:proofErr w:type="spellStart"/>
      <w:r w:rsidRPr="007122AB">
        <w:rPr>
          <w:rFonts w:ascii="Times New Roman" w:hAnsi="Times New Roman"/>
          <w:color w:val="000000" w:themeColor="text1"/>
          <w:sz w:val="16"/>
          <w:szCs w:val="16"/>
        </w:rPr>
        <w:t>Деффлер</w:t>
      </w:r>
      <w:proofErr w:type="spellEnd"/>
      <w:r w:rsidRPr="007122AB">
        <w:rPr>
          <w:rFonts w:ascii="Times New Roman" w:hAnsi="Times New Roman"/>
          <w:color w:val="000000" w:themeColor="text1"/>
          <w:sz w:val="16"/>
          <w:szCs w:val="16"/>
        </w:rPr>
        <w:tab/>
      </w:r>
      <w:proofErr w:type="spellStart"/>
      <w:r w:rsidRPr="007122AB">
        <w:rPr>
          <w:rFonts w:ascii="Times New Roman" w:hAnsi="Times New Roman"/>
          <w:color w:val="000000" w:themeColor="text1"/>
          <w:sz w:val="16"/>
          <w:szCs w:val="16"/>
        </w:rPr>
        <w:t>Бабкок</w:t>
      </w:r>
      <w:proofErr w:type="spellEnd"/>
      <w:r w:rsidRPr="007122AB">
        <w:rPr>
          <w:rFonts w:ascii="Times New Roman" w:hAnsi="Times New Roman"/>
          <w:color w:val="000000" w:themeColor="text1"/>
          <w:sz w:val="16"/>
          <w:szCs w:val="16"/>
        </w:rPr>
        <w:t xml:space="preserve"> </w:t>
      </w:r>
    </w:p>
    <w:p w14:paraId="56B461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w:t>
      </w:r>
      <w:r w:rsidRPr="007122AB">
        <w:rPr>
          <w:rFonts w:ascii="Times New Roman" w:hAnsi="Times New Roman"/>
          <w:color w:val="000000" w:themeColor="text1"/>
          <w:sz w:val="16"/>
          <w:szCs w:val="16"/>
        </w:rPr>
        <w:tab/>
        <w:t>40 тонн</w:t>
      </w:r>
      <w:r w:rsidRPr="007122AB">
        <w:rPr>
          <w:rFonts w:ascii="Times New Roman" w:hAnsi="Times New Roman"/>
          <w:color w:val="000000" w:themeColor="text1"/>
          <w:sz w:val="16"/>
          <w:szCs w:val="16"/>
        </w:rPr>
        <w:tab/>
        <w:t>240 тонн</w:t>
      </w:r>
      <w:r w:rsidRPr="007122AB">
        <w:rPr>
          <w:rFonts w:ascii="Times New Roman" w:hAnsi="Times New Roman"/>
          <w:color w:val="000000" w:themeColor="text1"/>
          <w:sz w:val="16"/>
          <w:szCs w:val="16"/>
        </w:rPr>
        <w:tab/>
        <w:t xml:space="preserve">220 тонн </w:t>
      </w:r>
    </w:p>
    <w:p w14:paraId="61173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Поверхн.нагр</w:t>
      </w:r>
      <w:proofErr w:type="spellEnd"/>
      <w:r w:rsidRPr="007122AB">
        <w:rPr>
          <w:rFonts w:ascii="Times New Roman" w:hAnsi="Times New Roman"/>
          <w:color w:val="000000" w:themeColor="text1"/>
          <w:sz w:val="16"/>
          <w:szCs w:val="16"/>
        </w:rPr>
        <w:t>. кв. м.</w:t>
      </w:r>
      <w:r w:rsidRPr="007122AB">
        <w:rPr>
          <w:rFonts w:ascii="Times New Roman" w:hAnsi="Times New Roman"/>
          <w:color w:val="000000" w:themeColor="text1"/>
          <w:sz w:val="16"/>
          <w:szCs w:val="16"/>
        </w:rPr>
        <w:tab/>
        <w:t>800</w:t>
      </w:r>
      <w:r w:rsidRPr="007122AB">
        <w:rPr>
          <w:rFonts w:ascii="Times New Roman" w:hAnsi="Times New Roman"/>
          <w:color w:val="000000" w:themeColor="text1"/>
          <w:sz w:val="16"/>
          <w:szCs w:val="16"/>
        </w:rPr>
        <w:tab/>
        <w:t>2800</w:t>
      </w:r>
      <w:r w:rsidRPr="007122AB">
        <w:rPr>
          <w:rFonts w:ascii="Times New Roman" w:hAnsi="Times New Roman"/>
          <w:color w:val="000000" w:themeColor="text1"/>
          <w:sz w:val="16"/>
          <w:szCs w:val="16"/>
        </w:rPr>
        <w:tab/>
        <w:t xml:space="preserve">2800 </w:t>
      </w:r>
    </w:p>
    <w:p w14:paraId="51DAC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Стоимость ....</w:t>
      </w:r>
      <w:r w:rsidRPr="007122AB">
        <w:rPr>
          <w:rFonts w:ascii="Times New Roman" w:hAnsi="Times New Roman"/>
          <w:color w:val="000000" w:themeColor="text1"/>
          <w:sz w:val="16"/>
          <w:szCs w:val="16"/>
        </w:rPr>
        <w:tab/>
        <w:t>8000 р.</w:t>
      </w:r>
      <w:r w:rsidRPr="007122AB">
        <w:rPr>
          <w:rFonts w:ascii="Times New Roman" w:hAnsi="Times New Roman"/>
          <w:color w:val="000000" w:themeColor="text1"/>
          <w:sz w:val="16"/>
          <w:szCs w:val="16"/>
        </w:rPr>
        <w:tab/>
        <w:t>40000 р.</w:t>
      </w:r>
      <w:r w:rsidRPr="007122AB">
        <w:rPr>
          <w:rFonts w:ascii="Times New Roman" w:hAnsi="Times New Roman"/>
          <w:color w:val="000000" w:themeColor="text1"/>
          <w:sz w:val="16"/>
          <w:szCs w:val="16"/>
        </w:rPr>
        <w:tab/>
        <w:t xml:space="preserve">400000 р. </w:t>
      </w:r>
    </w:p>
    <w:p w14:paraId="51C21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Паропроизв</w:t>
      </w:r>
      <w:proofErr w:type="spellEnd"/>
      <w:r w:rsidRPr="007122AB">
        <w:rPr>
          <w:rFonts w:ascii="Times New Roman" w:hAnsi="Times New Roman"/>
          <w:color w:val="000000" w:themeColor="text1"/>
          <w:sz w:val="16"/>
          <w:szCs w:val="16"/>
        </w:rPr>
        <w:t xml:space="preserve">. … </w:t>
      </w:r>
      <w:r w:rsidRPr="007122AB">
        <w:rPr>
          <w:rFonts w:ascii="Times New Roman" w:hAnsi="Times New Roman"/>
          <w:color w:val="000000" w:themeColor="text1"/>
          <w:sz w:val="16"/>
          <w:szCs w:val="16"/>
        </w:rPr>
        <w:tab/>
        <w:t xml:space="preserve">100 </w:t>
      </w:r>
      <w:proofErr w:type="spellStart"/>
      <w:r w:rsidRPr="007122AB">
        <w:rPr>
          <w:rFonts w:ascii="Times New Roman" w:hAnsi="Times New Roman"/>
          <w:color w:val="000000" w:themeColor="text1"/>
          <w:sz w:val="16"/>
          <w:szCs w:val="16"/>
        </w:rPr>
        <w:t>тн</w:t>
      </w:r>
      <w:proofErr w:type="spellEnd"/>
      <w:r w:rsidRPr="007122AB">
        <w:rPr>
          <w:rFonts w:ascii="Times New Roman" w:hAnsi="Times New Roman"/>
          <w:color w:val="000000" w:themeColor="text1"/>
          <w:sz w:val="16"/>
          <w:szCs w:val="16"/>
        </w:rPr>
        <w:t>/ч</w:t>
      </w:r>
      <w:r w:rsidRPr="007122AB">
        <w:rPr>
          <w:rFonts w:ascii="Times New Roman" w:hAnsi="Times New Roman"/>
          <w:color w:val="000000" w:themeColor="text1"/>
          <w:sz w:val="16"/>
          <w:szCs w:val="16"/>
        </w:rPr>
        <w:tab/>
        <w:t>100тн/ч</w:t>
      </w:r>
      <w:r w:rsidRPr="007122AB">
        <w:rPr>
          <w:rFonts w:ascii="Times New Roman" w:hAnsi="Times New Roman"/>
          <w:color w:val="000000" w:themeColor="text1"/>
          <w:sz w:val="16"/>
          <w:szCs w:val="16"/>
        </w:rPr>
        <w:tab/>
        <w:t xml:space="preserve">100тн/ч </w:t>
      </w:r>
    </w:p>
    <w:p w14:paraId="1F0E6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Давление ....</w:t>
      </w:r>
      <w:r w:rsidRPr="007122AB">
        <w:rPr>
          <w:rFonts w:ascii="Times New Roman" w:hAnsi="Times New Roman"/>
          <w:color w:val="000000" w:themeColor="text1"/>
          <w:sz w:val="16"/>
          <w:szCs w:val="16"/>
        </w:rPr>
        <w:tab/>
        <w:t>140 атм.</w:t>
      </w:r>
      <w:r w:rsidRPr="007122AB">
        <w:rPr>
          <w:rFonts w:ascii="Times New Roman" w:hAnsi="Times New Roman"/>
          <w:color w:val="000000" w:themeColor="text1"/>
          <w:sz w:val="16"/>
          <w:szCs w:val="16"/>
        </w:rPr>
        <w:tab/>
        <w:t>140 атм.</w:t>
      </w:r>
      <w:r w:rsidRPr="007122AB">
        <w:rPr>
          <w:rFonts w:ascii="Times New Roman" w:hAnsi="Times New Roman"/>
          <w:color w:val="000000" w:themeColor="text1"/>
          <w:sz w:val="16"/>
          <w:szCs w:val="16"/>
        </w:rPr>
        <w:tab/>
        <w:t xml:space="preserve">140 атм. </w:t>
      </w:r>
    </w:p>
    <w:p w14:paraId="06DADA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Котел дает против существующих: </w:t>
      </w:r>
    </w:p>
    <w:p w14:paraId="14EFF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Сокращение металла в 13-20 раз </w:t>
      </w:r>
    </w:p>
    <w:p w14:paraId="54D0F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себестоимости 11-16 </w:t>
      </w:r>
    </w:p>
    <w:p w14:paraId="6EF237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Полностью освобождает от импорта. Котел целиком разрешает ПРОБЛЕМУ ВЫСОКОГО ДАВЛЕНИЯ. Срок готовности апрель-май 32 г. </w:t>
      </w:r>
    </w:p>
    <w:p w14:paraId="5D45A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5 человек, из них: </w:t>
      </w:r>
    </w:p>
    <w:p w14:paraId="535A0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 I человек </w:t>
      </w:r>
    </w:p>
    <w:p w14:paraId="40ECF0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Террористов ............... - 4 " </w:t>
      </w:r>
    </w:p>
    <w:p w14:paraId="5CD7BC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по одному тому, что разработка конструкции котла и руководство производством ведется руководителем Промпартии РАМЗИНЫМ, а участники проекта котла являются членами Промпартии и террористической группы ее. </w:t>
      </w:r>
    </w:p>
    <w:p w14:paraId="5B66A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БЛЮМИНГ.</w:t>
      </w:r>
    </w:p>
    <w:p w14:paraId="0C3F6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Подготовка монтажа построенного блюминга. </w:t>
      </w:r>
    </w:p>
    <w:p w14:paraId="77B06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Производство ВТОРОГО СОВЕТСКОГО БЛЮМИНГА на Ижорском заводе. </w:t>
      </w:r>
    </w:p>
    <w:p w14:paraId="45455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18 человек, из них: </w:t>
      </w:r>
    </w:p>
    <w:p w14:paraId="100DB0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 8 чел. </w:t>
      </w:r>
    </w:p>
    <w:p w14:paraId="7825E7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10 " </w:t>
      </w:r>
    </w:p>
    <w:p w14:paraId="613DBA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 Бюро находится в следующем состоянии: </w:t>
      </w:r>
    </w:p>
    <w:p w14:paraId="18389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w:t>
      </w:r>
      <w:proofErr w:type="spellStart"/>
      <w:r w:rsidRPr="007122AB">
        <w:rPr>
          <w:rFonts w:ascii="Times New Roman" w:hAnsi="Times New Roman"/>
          <w:color w:val="000000" w:themeColor="text1"/>
          <w:sz w:val="16"/>
          <w:szCs w:val="16"/>
        </w:rPr>
        <w:t>Мокеевском</w:t>
      </w:r>
      <w:proofErr w:type="spellEnd"/>
      <w:r w:rsidRPr="007122AB">
        <w:rPr>
          <w:rFonts w:ascii="Times New Roman" w:hAnsi="Times New Roman"/>
          <w:color w:val="000000" w:themeColor="text1"/>
          <w:sz w:val="16"/>
          <w:szCs w:val="16"/>
        </w:rPr>
        <w:t xml:space="preserve"> заводе подготовляется фундамент издание для монтажа ПЕРВОГО СОВЕТСКОГО БЛЮМИНГА; попутно с этим ведется работа по разборке всех деталей и подготовка к монтажу. </w:t>
      </w:r>
    </w:p>
    <w:p w14:paraId="4F5BA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Процент готовности ВТОРОГО СОВЕТСКОГО БЛЮМИНГА на </w:t>
      </w:r>
      <w:proofErr w:type="spellStart"/>
      <w:r w:rsidRPr="007122AB">
        <w:rPr>
          <w:rFonts w:ascii="Times New Roman" w:hAnsi="Times New Roman"/>
          <w:color w:val="000000" w:themeColor="text1"/>
          <w:sz w:val="16"/>
          <w:szCs w:val="16"/>
        </w:rPr>
        <w:t>Ижор¬ском</w:t>
      </w:r>
      <w:proofErr w:type="spellEnd"/>
      <w:r w:rsidRPr="007122AB">
        <w:rPr>
          <w:rFonts w:ascii="Times New Roman" w:hAnsi="Times New Roman"/>
          <w:color w:val="000000" w:themeColor="text1"/>
          <w:sz w:val="16"/>
          <w:szCs w:val="16"/>
        </w:rPr>
        <w:t xml:space="preserve"> заводе около 60. Из указанного видно, что группа в данное время ни в коем случае передана быть не может, ибо передача ее и всех работ во-первых заняло бы слишком </w:t>
      </w:r>
      <w:proofErr w:type="spellStart"/>
      <w:r w:rsidRPr="007122AB">
        <w:rPr>
          <w:rFonts w:ascii="Times New Roman" w:hAnsi="Times New Roman"/>
          <w:color w:val="000000" w:themeColor="text1"/>
          <w:sz w:val="16"/>
          <w:szCs w:val="16"/>
        </w:rPr>
        <w:t>боль¬шое</w:t>
      </w:r>
      <w:proofErr w:type="spellEnd"/>
      <w:r w:rsidRPr="007122AB">
        <w:rPr>
          <w:rFonts w:ascii="Times New Roman" w:hAnsi="Times New Roman"/>
          <w:color w:val="000000" w:themeColor="text1"/>
          <w:sz w:val="16"/>
          <w:szCs w:val="16"/>
        </w:rPr>
        <w:t xml:space="preserve"> время, во-вторых - принимавшему </w:t>
      </w:r>
      <w:proofErr w:type="spellStart"/>
      <w:r w:rsidRPr="007122AB">
        <w:rPr>
          <w:rFonts w:ascii="Times New Roman" w:hAnsi="Times New Roman"/>
          <w:color w:val="000000" w:themeColor="text1"/>
          <w:sz w:val="16"/>
          <w:szCs w:val="16"/>
        </w:rPr>
        <w:t>об"единение</w:t>
      </w:r>
      <w:proofErr w:type="spellEnd"/>
      <w:r w:rsidRPr="007122AB">
        <w:rPr>
          <w:rFonts w:ascii="Times New Roman" w:hAnsi="Times New Roman"/>
          <w:color w:val="000000" w:themeColor="text1"/>
          <w:sz w:val="16"/>
          <w:szCs w:val="16"/>
        </w:rPr>
        <w:t xml:space="preserve"> трудно было бы приспособится к тем формам и темпу работы, какие приняты в ОКБ. </w:t>
      </w:r>
      <w:proofErr w:type="spellStart"/>
      <w:r w:rsidRPr="007122AB">
        <w:rPr>
          <w:rFonts w:ascii="Times New Roman" w:hAnsi="Times New Roman"/>
          <w:color w:val="000000" w:themeColor="text1"/>
          <w:sz w:val="16"/>
          <w:szCs w:val="16"/>
        </w:rPr>
        <w:t>Вследствии</w:t>
      </w:r>
      <w:proofErr w:type="spellEnd"/>
      <w:r w:rsidRPr="007122AB">
        <w:rPr>
          <w:rFonts w:ascii="Times New Roman" w:hAnsi="Times New Roman"/>
          <w:color w:val="000000" w:themeColor="text1"/>
          <w:sz w:val="16"/>
          <w:szCs w:val="16"/>
        </w:rPr>
        <w:t xml:space="preserve"> этого результат передачи отразился бы на сроках как монтажа ПЕРВОГО БЛЮМИНГА, так и на постройки ВТОРОГО БЛЮМИНГА. </w:t>
      </w:r>
    </w:p>
    <w:p w14:paraId="09FB5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ЭЛЕКТРОМОТОРЫ</w:t>
      </w:r>
    </w:p>
    <w:p w14:paraId="0B2ED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Разработана конструкция, спроектирован и находится в постройке электро-мотор мощностью в 7000 </w:t>
      </w:r>
      <w:proofErr w:type="spellStart"/>
      <w:r w:rsidRPr="007122AB">
        <w:rPr>
          <w:rFonts w:ascii="Times New Roman" w:hAnsi="Times New Roman"/>
          <w:color w:val="000000" w:themeColor="text1"/>
          <w:sz w:val="16"/>
          <w:szCs w:val="16"/>
        </w:rPr>
        <w:t>лош</w:t>
      </w:r>
      <w:proofErr w:type="spellEnd"/>
      <w:r w:rsidRPr="007122AB">
        <w:rPr>
          <w:rFonts w:ascii="Times New Roman" w:hAnsi="Times New Roman"/>
          <w:color w:val="000000" w:themeColor="text1"/>
          <w:sz w:val="16"/>
          <w:szCs w:val="16"/>
        </w:rPr>
        <w:t xml:space="preserve">. Сил, для блюминга. Постройка мотора на сегодняшний день закончена на 90%. Срок середина ноября 1931 г. </w:t>
      </w:r>
    </w:p>
    <w:p w14:paraId="1E574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Работает 6 человек, из них: </w:t>
      </w:r>
    </w:p>
    <w:p w14:paraId="14C73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 I человек </w:t>
      </w:r>
    </w:p>
    <w:p w14:paraId="3973D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- 3 “ </w:t>
      </w:r>
    </w:p>
    <w:p w14:paraId="2B4182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организации- 2 “ </w:t>
      </w:r>
    </w:p>
    <w:p w14:paraId="0B2D7A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т.к. передача </w:t>
      </w:r>
      <w:proofErr w:type="spellStart"/>
      <w:r w:rsidRPr="007122AB">
        <w:rPr>
          <w:rFonts w:ascii="Times New Roman" w:hAnsi="Times New Roman"/>
          <w:color w:val="000000" w:themeColor="text1"/>
          <w:sz w:val="16"/>
          <w:szCs w:val="16"/>
        </w:rPr>
        <w:t>производи¬мой</w:t>
      </w:r>
      <w:proofErr w:type="spellEnd"/>
      <w:r w:rsidRPr="007122AB">
        <w:rPr>
          <w:rFonts w:ascii="Times New Roman" w:hAnsi="Times New Roman"/>
          <w:color w:val="000000" w:themeColor="text1"/>
          <w:sz w:val="16"/>
          <w:szCs w:val="16"/>
        </w:rPr>
        <w:t xml:space="preserve"> работы несомненно заняла бы больше времени, чем окончание постройки указанных моторов. </w:t>
      </w:r>
    </w:p>
    <w:p w14:paraId="6AB8F1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ЭЛЕКТРОЭНЕРГЕТИКА.</w:t>
      </w:r>
    </w:p>
    <w:p w14:paraId="54073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Разрабатывается план электрификации СССР. Срок май 32 г. </w:t>
      </w:r>
    </w:p>
    <w:p w14:paraId="330B12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Разработан конкретный план электрификации отдельных районов СССP / московского Промышленного района, Нижегородского, </w:t>
      </w:r>
      <w:proofErr w:type="spellStart"/>
      <w:r w:rsidRPr="007122AB">
        <w:rPr>
          <w:rFonts w:ascii="Times New Roman" w:hAnsi="Times New Roman"/>
          <w:color w:val="000000" w:themeColor="text1"/>
          <w:sz w:val="16"/>
          <w:szCs w:val="16"/>
        </w:rPr>
        <w:t>Ср.Волжского</w:t>
      </w:r>
      <w:proofErr w:type="spellEnd"/>
      <w:r w:rsidRPr="007122AB">
        <w:rPr>
          <w:rFonts w:ascii="Times New Roman" w:hAnsi="Times New Roman"/>
          <w:color w:val="000000" w:themeColor="text1"/>
          <w:sz w:val="16"/>
          <w:szCs w:val="16"/>
        </w:rPr>
        <w:t xml:space="preserve">, Урала, Кузбасса, </w:t>
      </w:r>
      <w:proofErr w:type="spellStart"/>
      <w:r w:rsidRPr="007122AB">
        <w:rPr>
          <w:rFonts w:ascii="Times New Roman" w:hAnsi="Times New Roman"/>
          <w:color w:val="000000" w:themeColor="text1"/>
          <w:sz w:val="16"/>
          <w:szCs w:val="16"/>
        </w:rPr>
        <w:t>Ср.Азии</w:t>
      </w:r>
      <w:proofErr w:type="spellEnd"/>
      <w:r w:rsidRPr="007122AB">
        <w:rPr>
          <w:rFonts w:ascii="Times New Roman" w:hAnsi="Times New Roman"/>
          <w:color w:val="000000" w:themeColor="text1"/>
          <w:sz w:val="16"/>
          <w:szCs w:val="16"/>
        </w:rPr>
        <w:t xml:space="preserve">, Закавказья и т.д. Передается на обсуждение в Энергоцентр. </w:t>
      </w:r>
    </w:p>
    <w:p w14:paraId="4AC5E4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Разработаны типы и стандарты, как самих районных станций, предназначенных к строительству, так и их силовых установок и агрегатов. Передается в Энергоцентр. </w:t>
      </w:r>
    </w:p>
    <w:p w14:paraId="24D80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Закончен проект и сдан на изготовление в заводы трансформатор большой мощности. Срок 8 месяцев. </w:t>
      </w:r>
    </w:p>
    <w:p w14:paraId="0F99F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Закончен проект и приступлено к изготовлению </w:t>
      </w:r>
      <w:proofErr w:type="spellStart"/>
      <w:r w:rsidRPr="007122AB">
        <w:rPr>
          <w:rFonts w:ascii="Times New Roman" w:hAnsi="Times New Roman"/>
          <w:color w:val="000000" w:themeColor="text1"/>
          <w:sz w:val="16"/>
          <w:szCs w:val="16"/>
        </w:rPr>
        <w:t>передвиной</w:t>
      </w:r>
      <w:proofErr w:type="spellEnd"/>
      <w:r w:rsidRPr="007122AB">
        <w:rPr>
          <w:rFonts w:ascii="Times New Roman" w:hAnsi="Times New Roman"/>
          <w:color w:val="000000" w:themeColor="text1"/>
          <w:sz w:val="16"/>
          <w:szCs w:val="16"/>
        </w:rPr>
        <w:t xml:space="preserve"> электростанции, размещающейся на грузовиках. Станция может быть использована на разнообразных сельско-хозяйственных работах для электросварки и для военных целей, как </w:t>
      </w:r>
      <w:proofErr w:type="spellStart"/>
      <w:r w:rsidRPr="007122AB">
        <w:rPr>
          <w:rFonts w:ascii="Times New Roman" w:hAnsi="Times New Roman"/>
          <w:color w:val="000000" w:themeColor="text1"/>
          <w:sz w:val="16"/>
          <w:szCs w:val="16"/>
        </w:rPr>
        <w:t>напр</w:t>
      </w:r>
      <w:proofErr w:type="spellEnd"/>
      <w:r w:rsidRPr="007122AB">
        <w:rPr>
          <w:rFonts w:ascii="Times New Roman" w:hAnsi="Times New Roman"/>
          <w:color w:val="000000" w:themeColor="text1"/>
          <w:sz w:val="16"/>
          <w:szCs w:val="16"/>
        </w:rPr>
        <w:t xml:space="preserve">: питание электроэнергией военных прожекторов и пуск тока в проволочное заграждение. Срок март 1932 г. </w:t>
      </w:r>
    </w:p>
    <w:p w14:paraId="20F874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28 человек, из них: </w:t>
      </w:r>
    </w:p>
    <w:p w14:paraId="768B24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- 9 человек </w:t>
      </w:r>
    </w:p>
    <w:p w14:paraId="52FD48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- 3 " </w:t>
      </w:r>
    </w:p>
    <w:p w14:paraId="59E3E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Террористов .................. - I " </w:t>
      </w:r>
    </w:p>
    <w:p w14:paraId="18656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Членов Промпартии ....... - 3 “ </w:t>
      </w:r>
    </w:p>
    <w:p w14:paraId="04B14C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-12 “ </w:t>
      </w:r>
    </w:p>
    <w:p w14:paraId="20CB7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по двум причинам: I/ </w:t>
      </w:r>
      <w:proofErr w:type="spellStart"/>
      <w:r w:rsidRPr="007122AB">
        <w:rPr>
          <w:rFonts w:ascii="Times New Roman" w:hAnsi="Times New Roman"/>
          <w:color w:val="000000" w:themeColor="text1"/>
          <w:sz w:val="16"/>
          <w:szCs w:val="16"/>
        </w:rPr>
        <w:t>боль¬шинство</w:t>
      </w:r>
      <w:proofErr w:type="spellEnd"/>
      <w:r w:rsidRPr="007122AB">
        <w:rPr>
          <w:rFonts w:ascii="Times New Roman" w:hAnsi="Times New Roman"/>
          <w:color w:val="000000" w:themeColor="text1"/>
          <w:sz w:val="16"/>
          <w:szCs w:val="16"/>
        </w:rPr>
        <w:t xml:space="preserve"> специалистов работающих в группе еще не осуждены; 2/ масштаб и сложность проводимой работы займет такое </w:t>
      </w:r>
      <w:proofErr w:type="spellStart"/>
      <w:r w:rsidRPr="007122AB">
        <w:rPr>
          <w:rFonts w:ascii="Times New Roman" w:hAnsi="Times New Roman"/>
          <w:color w:val="000000" w:themeColor="text1"/>
          <w:sz w:val="16"/>
          <w:szCs w:val="16"/>
        </w:rPr>
        <w:t>коли¬чество</w:t>
      </w:r>
      <w:proofErr w:type="spellEnd"/>
      <w:r w:rsidRPr="007122AB">
        <w:rPr>
          <w:rFonts w:ascii="Times New Roman" w:hAnsi="Times New Roman"/>
          <w:color w:val="000000" w:themeColor="text1"/>
          <w:sz w:val="16"/>
          <w:szCs w:val="16"/>
        </w:rPr>
        <w:t xml:space="preserve"> времени, при передачи ее, что будет целесообразнее </w:t>
      </w:r>
      <w:proofErr w:type="spellStart"/>
      <w:r w:rsidRPr="007122AB">
        <w:rPr>
          <w:rFonts w:ascii="Times New Roman" w:hAnsi="Times New Roman"/>
          <w:color w:val="000000" w:themeColor="text1"/>
          <w:sz w:val="16"/>
          <w:szCs w:val="16"/>
        </w:rPr>
        <w:t>за¬кончить</w:t>
      </w:r>
      <w:proofErr w:type="spellEnd"/>
      <w:r w:rsidRPr="007122AB">
        <w:rPr>
          <w:rFonts w:ascii="Times New Roman" w:hAnsi="Times New Roman"/>
          <w:color w:val="000000" w:themeColor="text1"/>
          <w:sz w:val="16"/>
          <w:szCs w:val="16"/>
        </w:rPr>
        <w:t xml:space="preserve"> работу. </w:t>
      </w:r>
    </w:p>
    <w:p w14:paraId="3898BF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t>ТЕКСТИЛЬ</w:t>
      </w:r>
      <w:r w:rsidRPr="007122AB">
        <w:rPr>
          <w:rFonts w:ascii="Times New Roman" w:hAnsi="Times New Roman"/>
          <w:color w:val="000000" w:themeColor="text1"/>
          <w:sz w:val="16"/>
          <w:szCs w:val="16"/>
        </w:rPr>
        <w:t>.</w:t>
      </w:r>
    </w:p>
    <w:p w14:paraId="56EB3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I. Ведется исследование отечественного сырья в целях изыскание </w:t>
      </w:r>
      <w:proofErr w:type="spellStart"/>
      <w:r w:rsidRPr="007122AB">
        <w:rPr>
          <w:rFonts w:ascii="Times New Roman" w:hAnsi="Times New Roman"/>
          <w:color w:val="000000" w:themeColor="text1"/>
          <w:sz w:val="16"/>
          <w:szCs w:val="16"/>
        </w:rPr>
        <w:t>наивыгоднейшего</w:t>
      </w:r>
      <w:proofErr w:type="spellEnd"/>
      <w:r w:rsidRPr="007122AB">
        <w:rPr>
          <w:rFonts w:ascii="Times New Roman" w:hAnsi="Times New Roman"/>
          <w:color w:val="000000" w:themeColor="text1"/>
          <w:sz w:val="16"/>
          <w:szCs w:val="16"/>
        </w:rPr>
        <w:t xml:space="preserve"> способа получения </w:t>
      </w:r>
      <w:proofErr w:type="spellStart"/>
      <w:r w:rsidRPr="007122AB">
        <w:rPr>
          <w:rFonts w:ascii="Times New Roman" w:hAnsi="Times New Roman"/>
          <w:color w:val="000000" w:themeColor="text1"/>
          <w:sz w:val="16"/>
          <w:szCs w:val="16"/>
        </w:rPr>
        <w:t>катонина</w:t>
      </w:r>
      <w:proofErr w:type="spellEnd"/>
      <w:r w:rsidRPr="007122AB">
        <w:rPr>
          <w:rFonts w:ascii="Times New Roman" w:hAnsi="Times New Roman"/>
          <w:color w:val="000000" w:themeColor="text1"/>
          <w:sz w:val="16"/>
          <w:szCs w:val="16"/>
        </w:rPr>
        <w:t xml:space="preserve">, который заменит собою хлопок по ряду производств. Намечен срок 4 месяца. </w:t>
      </w:r>
    </w:p>
    <w:p w14:paraId="17AEF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.Разрабатывается разрешение проблемы кенафа. Предоставлено время 2 месяца. </w:t>
      </w:r>
    </w:p>
    <w:p w14:paraId="2E264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Ведется разработка ассортимента и определение </w:t>
      </w:r>
      <w:proofErr w:type="spellStart"/>
      <w:r w:rsidRPr="007122AB">
        <w:rPr>
          <w:rFonts w:ascii="Times New Roman" w:hAnsi="Times New Roman"/>
          <w:color w:val="000000" w:themeColor="text1"/>
          <w:sz w:val="16"/>
          <w:szCs w:val="16"/>
        </w:rPr>
        <w:t>стандар¬тов</w:t>
      </w:r>
      <w:proofErr w:type="spellEnd"/>
      <w:r w:rsidRPr="007122AB">
        <w:rPr>
          <w:rFonts w:ascii="Times New Roman" w:hAnsi="Times New Roman"/>
          <w:color w:val="000000" w:themeColor="text1"/>
          <w:sz w:val="16"/>
          <w:szCs w:val="16"/>
        </w:rPr>
        <w:t xml:space="preserve"> текстильных изделий для всей текстильной промышленности СССР. Предоставлено 3 месяца. </w:t>
      </w:r>
    </w:p>
    <w:p w14:paraId="0E846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Разрабатывается план реконструкции текстильной промышленности с установкой на специализацию фабрик. Срок март месяц 1932 г. </w:t>
      </w:r>
    </w:p>
    <w:p w14:paraId="07F1D8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Работают 38 человек, из них: </w:t>
      </w:r>
    </w:p>
    <w:p w14:paraId="640192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организаций - 15 человек </w:t>
      </w:r>
    </w:p>
    <w:p w14:paraId="2B6E3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- 4 " </w:t>
      </w:r>
    </w:p>
    <w:p w14:paraId="3F43D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 - 6 “ </w:t>
      </w:r>
    </w:p>
    <w:p w14:paraId="29757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Террористов ................... - I “ </w:t>
      </w:r>
    </w:p>
    <w:p w14:paraId="1A8461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организации - 12 “ </w:t>
      </w:r>
    </w:p>
    <w:p w14:paraId="638F14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потому, что передача специалистов промышленности создала бы такое положение, что </w:t>
      </w:r>
      <w:proofErr w:type="spellStart"/>
      <w:r w:rsidRPr="007122AB">
        <w:rPr>
          <w:rFonts w:ascii="Times New Roman" w:hAnsi="Times New Roman"/>
          <w:color w:val="000000" w:themeColor="text1"/>
          <w:sz w:val="16"/>
          <w:szCs w:val="16"/>
        </w:rPr>
        <w:t>намечен¬ные</w:t>
      </w:r>
      <w:proofErr w:type="spellEnd"/>
      <w:r w:rsidRPr="007122AB">
        <w:rPr>
          <w:rFonts w:ascii="Times New Roman" w:hAnsi="Times New Roman"/>
          <w:color w:val="000000" w:themeColor="text1"/>
          <w:sz w:val="16"/>
          <w:szCs w:val="16"/>
        </w:rPr>
        <w:t xml:space="preserve"> работы ни в коем случае не удалось бы довести до конца, т.к. несомненно все специалисты были бы разбросаны по </w:t>
      </w:r>
      <w:proofErr w:type="spellStart"/>
      <w:r w:rsidRPr="007122AB">
        <w:rPr>
          <w:rFonts w:ascii="Times New Roman" w:hAnsi="Times New Roman"/>
          <w:color w:val="000000" w:themeColor="text1"/>
          <w:sz w:val="16"/>
          <w:szCs w:val="16"/>
        </w:rPr>
        <w:t>отдель¬ным</w:t>
      </w:r>
      <w:proofErr w:type="spellEnd"/>
      <w:r w:rsidRPr="007122AB">
        <w:rPr>
          <w:rFonts w:ascii="Times New Roman" w:hAnsi="Times New Roman"/>
          <w:color w:val="000000" w:themeColor="text1"/>
          <w:sz w:val="16"/>
          <w:szCs w:val="16"/>
        </w:rPr>
        <w:t xml:space="preserve"> фабрикам и заняты исключительно текущей работой по той или другой фабрике. </w:t>
      </w:r>
    </w:p>
    <w:p w14:paraId="032149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u w:val="single"/>
        </w:rPr>
        <w:lastRenderedPageBreak/>
        <w:t>УГОЛЬ</w:t>
      </w:r>
    </w:p>
    <w:p w14:paraId="2F1B97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 и проводится в жизнь проект эксплуатации </w:t>
      </w:r>
      <w:proofErr w:type="spellStart"/>
      <w:r w:rsidRPr="007122AB">
        <w:rPr>
          <w:rFonts w:ascii="Times New Roman" w:hAnsi="Times New Roman"/>
          <w:color w:val="000000" w:themeColor="text1"/>
          <w:sz w:val="16"/>
          <w:szCs w:val="16"/>
        </w:rPr>
        <w:t>Араличесвского</w:t>
      </w:r>
      <w:proofErr w:type="spellEnd"/>
      <w:r w:rsidRPr="007122AB">
        <w:rPr>
          <w:rFonts w:ascii="Times New Roman" w:hAnsi="Times New Roman"/>
          <w:color w:val="000000" w:themeColor="text1"/>
          <w:sz w:val="16"/>
          <w:szCs w:val="16"/>
        </w:rPr>
        <w:t xml:space="preserve"> угольного месторождения /</w:t>
      </w:r>
      <w:proofErr w:type="spellStart"/>
      <w:r w:rsidRPr="007122AB">
        <w:rPr>
          <w:rFonts w:ascii="Times New Roman" w:hAnsi="Times New Roman"/>
          <w:color w:val="000000" w:themeColor="text1"/>
          <w:sz w:val="16"/>
          <w:szCs w:val="16"/>
        </w:rPr>
        <w:t>Зап.Сибирь</w:t>
      </w:r>
      <w:proofErr w:type="spellEnd"/>
      <w:r w:rsidRPr="007122AB">
        <w:rPr>
          <w:rFonts w:ascii="Times New Roman" w:hAnsi="Times New Roman"/>
          <w:color w:val="000000" w:themeColor="text1"/>
          <w:sz w:val="16"/>
          <w:szCs w:val="16"/>
        </w:rPr>
        <w:t xml:space="preserve">/. Работают 21 человек из них: </w:t>
      </w:r>
    </w:p>
    <w:p w14:paraId="509878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организацией - 7 человек </w:t>
      </w:r>
    </w:p>
    <w:p w14:paraId="044F5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 - I " </w:t>
      </w:r>
    </w:p>
    <w:p w14:paraId="731D5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Членов Промпартии .... - I " </w:t>
      </w:r>
    </w:p>
    <w:p w14:paraId="4898FA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организаций- 12 “ </w:t>
      </w:r>
    </w:p>
    <w:p w14:paraId="2FC54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не может быть передана </w:t>
      </w:r>
      <w:proofErr w:type="spellStart"/>
      <w:r w:rsidRPr="007122AB">
        <w:rPr>
          <w:rFonts w:ascii="Times New Roman" w:hAnsi="Times New Roman"/>
          <w:color w:val="000000" w:themeColor="text1"/>
          <w:sz w:val="16"/>
          <w:szCs w:val="16"/>
        </w:rPr>
        <w:t>вследствии</w:t>
      </w:r>
      <w:proofErr w:type="spellEnd"/>
      <w:r w:rsidRPr="007122AB">
        <w:rPr>
          <w:rFonts w:ascii="Times New Roman" w:hAnsi="Times New Roman"/>
          <w:color w:val="000000" w:themeColor="text1"/>
          <w:sz w:val="16"/>
          <w:szCs w:val="16"/>
        </w:rPr>
        <w:t xml:space="preserve"> того, что </w:t>
      </w:r>
      <w:proofErr w:type="spellStart"/>
      <w:r w:rsidRPr="007122AB">
        <w:rPr>
          <w:rFonts w:ascii="Times New Roman" w:hAnsi="Times New Roman"/>
          <w:color w:val="000000" w:themeColor="text1"/>
          <w:sz w:val="16"/>
          <w:szCs w:val="16"/>
        </w:rPr>
        <w:t>ру¬ководит</w:t>
      </w:r>
      <w:proofErr w:type="spellEnd"/>
      <w:r w:rsidRPr="007122AB">
        <w:rPr>
          <w:rFonts w:ascii="Times New Roman" w:hAnsi="Times New Roman"/>
          <w:color w:val="000000" w:themeColor="text1"/>
          <w:sz w:val="16"/>
          <w:szCs w:val="16"/>
        </w:rPr>
        <w:t xml:space="preserve"> рабочими на шахтах, состоящими из ссыльных и </w:t>
      </w:r>
      <w:proofErr w:type="spellStart"/>
      <w:r w:rsidRPr="007122AB">
        <w:rPr>
          <w:rFonts w:ascii="Times New Roman" w:hAnsi="Times New Roman"/>
          <w:color w:val="000000" w:themeColor="text1"/>
          <w:sz w:val="16"/>
          <w:szCs w:val="16"/>
        </w:rPr>
        <w:t>заклю¬ченных</w:t>
      </w:r>
      <w:proofErr w:type="spellEnd"/>
      <w:r w:rsidRPr="007122AB">
        <w:rPr>
          <w:rFonts w:ascii="Times New Roman" w:hAnsi="Times New Roman"/>
          <w:color w:val="000000" w:themeColor="text1"/>
          <w:sz w:val="16"/>
          <w:szCs w:val="16"/>
        </w:rPr>
        <w:t xml:space="preserve"> в лагеря. </w:t>
      </w:r>
    </w:p>
    <w:p w14:paraId="3D77D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ПРЕД. ОГПУ / АКУЛОВ / </w:t>
      </w:r>
    </w:p>
    <w:p w14:paraId="3A73C2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 ЭКУ ОГПУ /МИРОНОВ /</w:t>
      </w:r>
    </w:p>
    <w:p w14:paraId="0608DF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СПРАВКА.</w:t>
      </w:r>
    </w:p>
    <w:p w14:paraId="1D6F3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Заключенные специалисты, работающие в Техническом Отделении ЭКУ ОГПУ. </w:t>
      </w:r>
    </w:p>
    <w:p w14:paraId="4DB14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Руководителей организации и групп .... 98 чел. </w:t>
      </w:r>
    </w:p>
    <w:p w14:paraId="2416C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Шпионов................................................. 74 " </w:t>
      </w:r>
    </w:p>
    <w:p w14:paraId="18389E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Диверсантов............................................ 44 " </w:t>
      </w:r>
    </w:p>
    <w:p w14:paraId="4F2C35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Террористов.......................................... 9 " </w:t>
      </w:r>
    </w:p>
    <w:p w14:paraId="6E0E5E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Членов Промпартии ........ .............. .... 14 “ </w:t>
      </w:r>
    </w:p>
    <w:p w14:paraId="384662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Активных членов организаций .......... 184“ </w:t>
      </w:r>
    </w:p>
    <w:p w14:paraId="7F309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общего числа /423/ -подследственных.. 160 “</w:t>
      </w:r>
    </w:p>
    <w:p w14:paraId="0585BF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ТЕХ. ОТД. ЭКУ ОГПУ </w:t>
      </w:r>
    </w:p>
    <w:p w14:paraId="771BD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г. </w:t>
      </w:r>
    </w:p>
    <w:p w14:paraId="01C507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Ф.3., Оп.58., Д.142., л. 2-19 (11462).</w:t>
      </w:r>
    </w:p>
    <w:p w14:paraId="7EC188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8DEE4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сентября 1931 г. — Из справки ОГПУ СССР «О работах заключенных специалистов, работающих в техническом отделении ЭКУ ОГПУ»</w:t>
      </w:r>
    </w:p>
    <w:p w14:paraId="1CFC407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1441E11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Особые конструкторские и технические бюро (ОКБ, ОТБ) сконцентрированы в Москве, Ленинграде и Западной Сибири. Работы, исполняемые заключенными специалистами, делятся на проектные, производственные и литературные.</w:t>
      </w:r>
    </w:p>
    <w:p w14:paraId="3E63CF6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Авиация</w:t>
      </w:r>
    </w:p>
    <w:p w14:paraId="1618327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руководством заключенных специалистов проделаны следующие работы:</w:t>
      </w:r>
    </w:p>
    <w:p w14:paraId="3954610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Построен и сдан на вооружение армии истребитель М</w:t>
      </w:r>
      <w:r w:rsidRPr="007122AB">
        <w:rPr>
          <w:rFonts w:ascii="Times New Roman" w:hAnsi="Times New Roman"/>
          <w:color w:val="000000" w:themeColor="text1"/>
          <w:sz w:val="16"/>
          <w:szCs w:val="16"/>
        </w:rPr>
        <w:noBreakHyphen/>
        <w:t>5 (ВТ</w:t>
      </w:r>
      <w:r w:rsidRPr="007122AB">
        <w:rPr>
          <w:rFonts w:ascii="Times New Roman" w:hAnsi="Times New Roman"/>
          <w:color w:val="000000" w:themeColor="text1"/>
          <w:sz w:val="16"/>
          <w:szCs w:val="16"/>
        </w:rPr>
        <w:noBreakHyphen/>
        <w:t>-ХI). Истребитель стоит на уровне лучших заграничных образцов. II. Построен и сдан на вооружение бронированный штурмовик для поражения земных целей. Штурмовик вооружен 12 пулеметами и имеется возможность заменить 8 пулеметов 400 кг бомб. III. Построен и испытывается тяжелый бомбовоз (ТБ</w:t>
      </w:r>
      <w:r w:rsidRPr="007122AB">
        <w:rPr>
          <w:rFonts w:ascii="Times New Roman" w:hAnsi="Times New Roman"/>
          <w:color w:val="000000" w:themeColor="text1"/>
          <w:sz w:val="16"/>
          <w:szCs w:val="16"/>
        </w:rPr>
        <w:noBreakHyphen/>
        <w:t>5). Бомбовоз поднимает до 4 тыс. кг бомб.</w:t>
      </w:r>
    </w:p>
    <w:p w14:paraId="751B686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Находятся в постройке.</w:t>
      </w:r>
    </w:p>
    <w:p w14:paraId="3780A12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Морской дальний разведчик. Самолет имеет общие крылья с самолетом ТБ-5. Срок готовности в половине октября 1931 г.</w:t>
      </w:r>
    </w:p>
    <w:p w14:paraId="5CB3A43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Запроектированы и частично запущены в производство самолеты по программе, преподанной УВВС.</w:t>
      </w:r>
    </w:p>
    <w:p w14:paraId="72AEE72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26 инженеров, из них: руководителей организаций — 9 чел., шпионов — 8 чел., активных членов организации — 9 чел. Работа в бюро в связи с большими задачами по самолетостроению носит, помимо проектных работ, также все работы, присущие заводу, и учитывается готовностью самолетов²*.</w:t>
      </w:r>
    </w:p>
    <w:p w14:paraId="3AE5DC7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не может быть передана вследствие: 1) передача группы, разношерстной по специальностям, повлечет за собой раскассирование специалистов и неминуемо отразится на опытном самолетостроении; 2) начатые работы, естественно, будут заторможены, что повлечет срыв программы опытного строительства; 3) сложность момента опытного строительства в связи с физиономией группы требует специального режима, какой может быть только в ОКБ.</w:t>
      </w:r>
    </w:p>
    <w:p w14:paraId="1F46B3D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Танки</w:t>
      </w:r>
    </w:p>
    <w:p w14:paraId="766E224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Закончен проект плавающего быстроходного танка, приводимого в движение легким быстроходным типом авиационным дизель мотором2* (работающим на тяжелом топливе), имеющего большое вооружение, скорость на гусенице 65 км и на колесах 74 км выйдет из монтажа в конце апреля 1932 г. Производится бронирование трактора «Катерпиллер» и установка на него вместо бензинового двигателя дизеля на нефти. Данные работы будут закончены в январе 1932 г. Переделка легковой машины «Форд» и грузовой полуторатонной машины под легкие брони машины разведочного типа. Все работы вышли из стадии проектирования и запущены в производство. Окончание работ предположено в апреле месяце 1932 г.</w:t>
      </w:r>
    </w:p>
    <w:p w14:paraId="7A271D6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31 чел., из них: руководителей организаций — 6 чел., шпионов — 3 чел., диверсантов — 3 чел., террористов — 3 чел., членов Промпартии³* — 1 чел., активных членов организации — 15 чел. Группа не может быть передана, хотя бы потому, что передача начатых работ заняла бы такое количество времени, которое потребовалось бы для окончания указанных работ, а самый факт передачи отрицательно отразился бы на работах.</w:t>
      </w:r>
    </w:p>
    <w:p w14:paraId="49A0814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Артиллерия</w:t>
      </w:r>
    </w:p>
    <w:p w14:paraId="2D8CD19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Разработаны и находятся в изготовлении: опытные экземпляры снарядов, дистанционных трубок, гранат, взрывателей; часть коих проходит испытание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w:t>
      </w:r>
    </w:p>
    <w:p w14:paraId="0E527D2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Изготовлен и находится в сборке автоматический станок для отбраковки патронных гильз. Будет закончен к 1 октября 1931 г.</w:t>
      </w:r>
    </w:p>
    <w:p w14:paraId="0D982A7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Перечисленные конструкции являются нововведением в артиллерийское дело, и принятие их на вооружение имеет целью повышение боеспособности Красной армии.</w:t>
      </w:r>
    </w:p>
    <w:p w14:paraId="21A112C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10 чел., из них: руководителей организаций — 3 чел., диверсантов — 2 чел., активных членов организации — 5 чел. Группа не может быть передана, так как передача группы с производимой ею работой займет время, потребное для окончания намеченных работ по плану первой очереди.</w:t>
      </w:r>
    </w:p>
    <w:p w14:paraId="3B5970E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Дизели и моторы</w:t>
      </w:r>
    </w:p>
    <w:p w14:paraId="714DDC6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Исправлены, построены и прошли госиспытания следующие моторы:</w:t>
      </w:r>
    </w:p>
    <w:p w14:paraId="530D775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М</w:t>
      </w:r>
      <w:r w:rsidRPr="007122AB">
        <w:rPr>
          <w:rFonts w:ascii="Times New Roman" w:hAnsi="Times New Roman"/>
          <w:color w:val="000000" w:themeColor="text1"/>
          <w:sz w:val="16"/>
          <w:szCs w:val="16"/>
        </w:rPr>
        <w:noBreakHyphen/>
        <w:t>19 — 550 сил, 12</w:t>
      </w:r>
      <w:r w:rsidRPr="007122AB">
        <w:rPr>
          <w:rFonts w:ascii="Times New Roman" w:hAnsi="Times New Roman"/>
          <w:color w:val="000000" w:themeColor="text1"/>
          <w:sz w:val="16"/>
          <w:szCs w:val="16"/>
        </w:rPr>
        <w:noBreakHyphen/>
        <w:t>цилиндровый, водяного охлаждения.</w:t>
      </w:r>
    </w:p>
    <w:p w14:paraId="46A844A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 М</w:t>
      </w:r>
      <w:r w:rsidRPr="007122AB">
        <w:rPr>
          <w:rFonts w:ascii="Times New Roman" w:hAnsi="Times New Roman"/>
          <w:color w:val="000000" w:themeColor="text1"/>
          <w:sz w:val="16"/>
          <w:szCs w:val="16"/>
        </w:rPr>
        <w:noBreakHyphen/>
        <w:t>15 — 450</w:t>
      </w:r>
      <w:r w:rsidRPr="007122AB">
        <w:rPr>
          <w:rFonts w:ascii="Times New Roman" w:hAnsi="Times New Roman"/>
          <w:color w:val="000000" w:themeColor="text1"/>
          <w:sz w:val="16"/>
          <w:szCs w:val="16"/>
        </w:rPr>
        <w:noBreakHyphen/>
        <w:t>600 сил, звездообразный, воздушного охлаждения. Мотор запущен в серию.</w:t>
      </w:r>
    </w:p>
    <w:p w14:paraId="405ECB2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 М</w:t>
      </w:r>
      <w:r w:rsidRPr="007122AB">
        <w:rPr>
          <w:rFonts w:ascii="Times New Roman" w:hAnsi="Times New Roman"/>
          <w:color w:val="000000" w:themeColor="text1"/>
          <w:sz w:val="16"/>
          <w:szCs w:val="16"/>
        </w:rPr>
        <w:noBreakHyphen/>
        <w:t>27 — 850 сил, W</w:t>
      </w:r>
      <w:r w:rsidRPr="007122AB">
        <w:rPr>
          <w:rFonts w:ascii="Times New Roman" w:hAnsi="Times New Roman"/>
          <w:color w:val="000000" w:themeColor="text1"/>
          <w:sz w:val="16"/>
          <w:szCs w:val="16"/>
        </w:rPr>
        <w:noBreakHyphen/>
        <w:t>образный, 18</w:t>
      </w:r>
      <w:r w:rsidRPr="007122AB">
        <w:rPr>
          <w:rFonts w:ascii="Times New Roman" w:hAnsi="Times New Roman"/>
          <w:color w:val="000000" w:themeColor="text1"/>
          <w:sz w:val="16"/>
          <w:szCs w:val="16"/>
        </w:rPr>
        <w:noBreakHyphen/>
        <w:t>цилиндровый, водяного охлаждения. Мотор запущен в серию.</w:t>
      </w:r>
    </w:p>
    <w:p w14:paraId="0FA392A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IV. ФЭД</w:t>
      </w:r>
      <w:r w:rsidRPr="007122AB">
        <w:rPr>
          <w:rFonts w:ascii="Times New Roman" w:hAnsi="Times New Roman"/>
          <w:color w:val="000000" w:themeColor="text1"/>
          <w:sz w:val="16"/>
          <w:szCs w:val="16"/>
        </w:rPr>
        <w:noBreakHyphen/>
        <w:t>1100 — 1,2 тыс. сил, 24 цилиндра, водяного охлаждения. Мотор запущен в серию.</w:t>
      </w:r>
    </w:p>
    <w:p w14:paraId="113CAB3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Изготовляется дизель мотор мощностью 400 сил с весом 2 кг на силу. Мотор предназначен для установки на строящемся танке. Будет закончен в январе 1931 г.</w:t>
      </w:r>
    </w:p>
    <w:p w14:paraId="5F8215F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 Приступлено к постройке на Коломенском заводе дизеля мощностью 3,2 тыс. сил, предназначенного для установки на строящейся подводной лодке. Срок производства займет 11 месяцев.</w:t>
      </w:r>
    </w:p>
    <w:p w14:paraId="1C9126D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VII. Заканчивается проект дизель мотора мощностью в 2 тыс. сил, 24 цилиндра, с весом 1 кг на силу. Дизель предназначен для установки на самолете. Потребуется время на производство 7 месяцев. Приступлено к постройке дизель мотора для трактора «Катерпиллер» мощностью в 60</w:t>
      </w:r>
      <w:r w:rsidRPr="007122AB">
        <w:rPr>
          <w:rFonts w:ascii="Times New Roman" w:hAnsi="Times New Roman"/>
          <w:color w:val="000000" w:themeColor="text1"/>
          <w:sz w:val="16"/>
          <w:szCs w:val="16"/>
        </w:rPr>
        <w:noBreakHyphen/>
        <w:t>80 сил, постройка ведется кооперированным путем. Будет закончена в конце декабря 1931 г.</w:t>
      </w:r>
    </w:p>
    <w:p w14:paraId="078B702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6 чел., из них: руководителей организаций — 2 чел., шпионов — 3 чел., активных членов организации — 1 чел. Группа не может быть передана: 1) передача группы сорвет всю начатую работу, так как будут распылены технические силы и 2) передача группы заняла бы такое время, потребное для окончания производимых работ.</w:t>
      </w:r>
    </w:p>
    <w:p w14:paraId="0B5A598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Подводные лодки</w:t>
      </w:r>
    </w:p>
    <w:p w14:paraId="2429E70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Балтийском заводе предположена к постройке серия подводных лодок новейшей конструкции: надводная скорость — 24,5 узла, подводная — 11 узлов, погружение — 40 с, всплытие — 9 мин, тоннаж — 920 т. Вооружение лодки: 2 пушки — 130 мм, 1 пушка зенитная — 37 мм, 6 торпедных аппаратов.</w:t>
      </w:r>
    </w:p>
    <w:p w14:paraId="76903CC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Первая лодка спущена на производство⁴*; готовность — около 30%. Окончание производства быстроходных лодок с советскими мощными дизелями — ноябрь — декабрь 1932 г.</w:t>
      </w:r>
    </w:p>
    <w:p w14:paraId="16794EB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54 чел., из них: руководителей организаций — 13 чел., шпионов — 8 чел., диверсантов — 3 чел., активных членов организации — 30 чел. Группа не может быть передана хотя бы из-за того, что передача такой большой по общему работы займет несравненно большее время, потребное для окончания намеченной работы.</w:t>
      </w:r>
    </w:p>
    <w:p w14:paraId="46CE0FB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Транспортер</w:t>
      </w:r>
    </w:p>
    <w:p w14:paraId="6A3D804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металлическом заводе им. Сталина строится железнодорожный транспортер с установкой на нем 14</w:t>
      </w:r>
      <w:r w:rsidRPr="007122AB">
        <w:rPr>
          <w:rFonts w:ascii="Times New Roman" w:hAnsi="Times New Roman"/>
          <w:color w:val="000000" w:themeColor="text1"/>
          <w:sz w:val="16"/>
          <w:szCs w:val="16"/>
        </w:rPr>
        <w:noBreakHyphen/>
        <w:t>дюймового морского орудия. Транспортер будет иметь возможность самостоятельно передвигаться по железнодорожным путям. Срок постройки — май 1932 г.</w:t>
      </w:r>
    </w:p>
    <w:p w14:paraId="546FD2E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62 чел., из них: руководителей организаций — 10 чел., шпионов — 8 чел., диверсантов — 3 чел., активных членов организации — 30 чел. Работы по бюро распадаются на 2 специальных задания. 1) по вооружению, 2) по транспортеру. Группа не может быть передана по той причине, что передача всей работы займет несравненно больше времени, нежели для окончания транспортера.</w:t>
      </w:r>
    </w:p>
    <w:p w14:paraId="60F9D176" w14:textId="77777777" w:rsidR="003371BD" w:rsidRPr="007122AB" w:rsidRDefault="003371B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Артприборы</w:t>
      </w:r>
      <w:proofErr w:type="spellEnd"/>
    </w:p>
    <w:p w14:paraId="6AE57FE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Спроектированы и строятся приборы управления артиллерийским огнем морской и полевой артиллерии. Применение приборов дает большую точность в стрельбе и упрощает механику наводки орудия. Частично [приборы] строятся, и ряд на испытании. Работы будут закончены в мае 1932 г.</w:t>
      </w:r>
    </w:p>
    <w:p w14:paraId="016860D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Работают 13 чел., из них руководителей организаций — 2 чел., шпионов — 1 чел., диверсантов — 1 чел., активных членов организации — 9 чел. Группа не может быть передана, так как иначе будет сорвано изготовление нужнейших для артиллерии приборов, а сама передача группы займет время, равное тому, которое требуется для окончания всей работы.</w:t>
      </w:r>
    </w:p>
    <w:p w14:paraId="1C57DA4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Химия</w:t>
      </w:r>
    </w:p>
    <w:p w14:paraId="715D4B7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Лабораторным путем получен гальванический элемент. Элемент основан на принципе диффузии атомов водорода через тонкую пластинку металла. Количество полученной энергии равно 5 миллиампер на 1 см². Ведутся работы по увеличению количества энергии в 2 раза. Этим элемент коренным образом разнится от существующих элементов. Практическое применение элемента: 1) установка на подводной лодке, 2) на электровозах и 3) всевозможные стационарные установки. Производственный элемент будет готов в декабре 1931 г.</w:t>
      </w:r>
    </w:p>
    <w:p w14:paraId="232483F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Сконструирован и изготовлен опытный аппарат для взрыва на расстоянии по радио, аппарат может дать требуемый взрывной эффект только от тех волн, на которые он настроен, при посылке их в строго определенные промежутки. В настоящее время аппарат проходит испытание и будет изготовляться опытная серия.</w:t>
      </w:r>
    </w:p>
    <w:p w14:paraId="4AE6418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Сконструирован и изготовлен опытный срочный взрыватель, дающий взрывной эффект через любой промежуток времени в зависимости от установки его. Практически может быть применен для взрыва минированных полей и других специальных целей. Находится на испытании.</w:t>
      </w:r>
    </w:p>
    <w:p w14:paraId="7E6C28A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Разработан проект реконструкции порохового производства. По всем процессам производства пироксилина и пороха разработаны оригинальная аппаратура и машины, целиком и полностью механизирующие все производства по принципу поточной системы. Реконструкция дает возможность значительно сократить рабочую силу и увеличить мощность существующих пороховых заводов. Проект проводится в жизнь, займет 5 месяцев.</w:t>
      </w:r>
    </w:p>
    <w:p w14:paraId="1661C99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Ведутся лабораторные работы по получению новых отравляющих веществ.</w:t>
      </w:r>
    </w:p>
    <w:p w14:paraId="407EB39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Разработан новый химико-энергетический метод получения из низкосортного топлива (торф, бурые угли и т. д.) синтетического аммиака для промышленных и азотистых соединений и высококалорийного газа, обеспечивающего снабжение силовых установок. В осуществление данного метода строится газогенератор и разработана конструкция установки глубокого охлаждения, которая позволит разгонять газ, как водяной, гак и коксовый на химически чистые фракции. Закончены полузаводские опыты по проверке метода. Разрабатывается проект постройки опытного завода стоимостью 2,5 млн. руб. производительностью 50 тыс. т аммиака в сутки. Срок окончания разработки 4 месяца.</w:t>
      </w:r>
    </w:p>
    <w:p w14:paraId="57BC819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Разработан способ </w:t>
      </w:r>
      <w:proofErr w:type="spellStart"/>
      <w:r w:rsidRPr="007122AB">
        <w:rPr>
          <w:rFonts w:ascii="Times New Roman" w:hAnsi="Times New Roman"/>
          <w:color w:val="000000" w:themeColor="text1"/>
          <w:sz w:val="16"/>
          <w:szCs w:val="16"/>
        </w:rPr>
        <w:t>фракционировки</w:t>
      </w:r>
      <w:proofErr w:type="spellEnd"/>
      <w:r w:rsidRPr="007122AB">
        <w:rPr>
          <w:rFonts w:ascii="Times New Roman" w:hAnsi="Times New Roman"/>
          <w:color w:val="000000" w:themeColor="text1"/>
          <w:sz w:val="16"/>
          <w:szCs w:val="16"/>
        </w:rPr>
        <w:t xml:space="preserve">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w:t>
      </w:r>
      <w:proofErr w:type="spellStart"/>
      <w:r w:rsidRPr="007122AB">
        <w:rPr>
          <w:rFonts w:ascii="Times New Roman" w:hAnsi="Times New Roman"/>
          <w:color w:val="000000" w:themeColor="text1"/>
          <w:sz w:val="16"/>
          <w:szCs w:val="16"/>
        </w:rPr>
        <w:t>коксика</w:t>
      </w:r>
      <w:proofErr w:type="spellEnd"/>
      <w:r w:rsidRPr="007122AB">
        <w:rPr>
          <w:rFonts w:ascii="Times New Roman" w:hAnsi="Times New Roman"/>
          <w:color w:val="000000" w:themeColor="text1"/>
          <w:sz w:val="16"/>
          <w:szCs w:val="16"/>
        </w:rPr>
        <w:t>, сжиганием в генераторах и получение таким образом водорода для синтеза аммиака. Разработаны конструкции аппаратуры и машин. Разрабатывается проект опытного завода по описанному способу, стоимость 6 млн. руб. Срок — 6 месяцев.</w:t>
      </w:r>
    </w:p>
    <w:p w14:paraId="75C57B7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Построен на 75% опытный обогревательный элемент для коксовых печей советских конструкций. Элемент предназначается для мощных коксобензольных заводов в Кемерово и </w:t>
      </w:r>
      <w:proofErr w:type="spellStart"/>
      <w:r w:rsidRPr="007122AB">
        <w:rPr>
          <w:rFonts w:ascii="Times New Roman" w:hAnsi="Times New Roman"/>
          <w:color w:val="000000" w:themeColor="text1"/>
          <w:sz w:val="16"/>
          <w:szCs w:val="16"/>
        </w:rPr>
        <w:t>Кубахе</w:t>
      </w:r>
      <w:proofErr w:type="spellEnd"/>
      <w:r w:rsidRPr="007122AB">
        <w:rPr>
          <w:rFonts w:ascii="Times New Roman" w:hAnsi="Times New Roman"/>
          <w:color w:val="000000" w:themeColor="text1"/>
          <w:sz w:val="16"/>
          <w:szCs w:val="16"/>
        </w:rPr>
        <w:t>. Все работы по этой группе будут закончены в конце 1932 г.</w:t>
      </w:r>
    </w:p>
    <w:p w14:paraId="341E61B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Работают 43 чел., из них: руководителей организаций — 13 чел., шпионов — 21 чел., диверсантов — 7 чел., активных членов организации — 2 чел. Ввиду важности и сложности начатой работы передача группы заняла бы такое время, которое оттянуло бы окончание начатых работ на продолжительное время. Этим были бы сорваны большой важности работы оборонного значения. Кроме того, группа подобрана из разнородных специалистов, распыление которых в промышленности сделало бы невозможным продолжение начатых работ.</w:t>
      </w:r>
    </w:p>
    <w:p w14:paraId="0C9883E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Защита против иприта</w:t>
      </w:r>
    </w:p>
    <w:p w14:paraId="5207F7A6"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Лабораторным путем добыта резиновая масса для маски противогаза. При толщине резины в 2,4 мм, маска показала устойчивость на иприт около 6 часов. Полученные результаты проверяются на разные толщины резины от 0,8 мм до 2,4 мм. По сравнению с итальянской маской толщиною в 2,2 мм при устойчивости ее на иприт 1 ч 20 мин. Полученные образцы резины, как видно, имеют большие преимущества. Проводится аналитическая работа над военными заграничными масками: итальянской, германской, чехословацкой и американской, по выяснению их устойчивости на иприт.</w:t>
      </w:r>
    </w:p>
    <w:p w14:paraId="16B47BE4"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2. Изготовляется резиновая масса для пропитки ткани с целью получить </w:t>
      </w:r>
      <w:proofErr w:type="spellStart"/>
      <w:r w:rsidRPr="007122AB">
        <w:rPr>
          <w:color w:val="000000" w:themeColor="text1"/>
          <w:sz w:val="16"/>
          <w:szCs w:val="16"/>
        </w:rPr>
        <w:t>ипритоустойчивую</w:t>
      </w:r>
      <w:proofErr w:type="spellEnd"/>
      <w:r w:rsidRPr="007122AB">
        <w:rPr>
          <w:color w:val="000000" w:themeColor="text1"/>
          <w:sz w:val="16"/>
          <w:szCs w:val="16"/>
        </w:rPr>
        <w:t xml:space="preserve"> одежду с большими показателями, чем имеющиеся на вооружении армии. Срок окончания испытаний механической и ипритовой устойчивости 1 декабря 1931 г.</w:t>
      </w:r>
    </w:p>
    <w:p w14:paraId="2501927A"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3. Приступлено к разработке новой конструкции </w:t>
      </w:r>
      <w:proofErr w:type="spellStart"/>
      <w:r w:rsidRPr="007122AB">
        <w:rPr>
          <w:color w:val="000000" w:themeColor="text1"/>
          <w:sz w:val="16"/>
          <w:szCs w:val="16"/>
        </w:rPr>
        <w:t>противоипритовых</w:t>
      </w:r>
      <w:proofErr w:type="spellEnd"/>
      <w:r w:rsidRPr="007122AB">
        <w:rPr>
          <w:color w:val="000000" w:themeColor="text1"/>
          <w:sz w:val="16"/>
          <w:szCs w:val="16"/>
        </w:rPr>
        <w:t xml:space="preserve"> сапог, для чего выработан специальный рецепт резиновой массы, над которой в ближайшем будущем будут произведены необходимые опыты. Цель данной работы — получить наиболее </w:t>
      </w:r>
      <w:proofErr w:type="spellStart"/>
      <w:r w:rsidRPr="007122AB">
        <w:rPr>
          <w:color w:val="000000" w:themeColor="text1"/>
          <w:sz w:val="16"/>
          <w:szCs w:val="16"/>
        </w:rPr>
        <w:t>ипритоустойчивые</w:t>
      </w:r>
      <w:proofErr w:type="spellEnd"/>
      <w:r w:rsidRPr="007122AB">
        <w:rPr>
          <w:color w:val="000000" w:themeColor="text1"/>
          <w:sz w:val="16"/>
          <w:szCs w:val="16"/>
        </w:rPr>
        <w:t xml:space="preserve"> сапоги и наиболее легкие для изготовления. Срок изготовления пробного сапога 1 декабря 1931 г.</w:t>
      </w:r>
    </w:p>
    <w:p w14:paraId="485D1216"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4. В связи с переходом от резинового шлема противогаза к полумаске проводится работа по конструированию наиболее совершенной полумаски. Срок изготовления пробной полумаски 1 января 1932 г.</w:t>
      </w:r>
    </w:p>
    <w:p w14:paraId="358B9F93"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5. Лабораторным путем получен лак для галош, дающий возможность вести паровой процесс вулканизации, что сокращает время на 30%, чем понижается себестоимость галош и увеличивается прочность их. Кроме того, введением этого лака в резиновую массу отпадает необходимость вводить в нее импортный продукт «глет». Пробная партия галош выпускается к 10 декабря 1931 г.</w:t>
      </w:r>
    </w:p>
    <w:p w14:paraId="48758C1D"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Работают 18 чел., из них: руководителей организации — 4 чел., диверсантов — 12 чел., активных членов организации — 2 чел. Группа не может быть передана, так как с передачей может быть ликвидирована начатая работа, имеющая большое значение в области обороны страны. Помимо этого, вопрос передачи связан с большими сроками, почему более целесообразно закончить начатую работу⁵*.</w:t>
      </w:r>
    </w:p>
    <w:p w14:paraId="608D19D6" w14:textId="77777777" w:rsidR="003371BD" w:rsidRPr="007122AB" w:rsidRDefault="003371BD"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Зам. председателя ОГПУ </w:t>
      </w:r>
      <w:hyperlink r:id="rId171" w:history="1">
        <w:r w:rsidRPr="007122AB">
          <w:rPr>
            <w:rStyle w:val="af0"/>
            <w:i w:val="0"/>
            <w:color w:val="000000" w:themeColor="text1"/>
            <w:sz w:val="16"/>
            <w:szCs w:val="16"/>
          </w:rPr>
          <w:t>Акулов</w:t>
        </w:r>
      </w:hyperlink>
      <w:r w:rsidRPr="007122AB">
        <w:rPr>
          <w:rStyle w:val="af0"/>
          <w:i w:val="0"/>
          <w:color w:val="000000" w:themeColor="text1"/>
          <w:sz w:val="16"/>
          <w:szCs w:val="16"/>
        </w:rPr>
        <w:t>⁶*</w:t>
      </w:r>
    </w:p>
    <w:p w14:paraId="202516C3" w14:textId="77777777" w:rsidR="003371BD" w:rsidRPr="007122AB" w:rsidRDefault="003371BD"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Начальник ЭКУ ОГПУ </w:t>
      </w:r>
      <w:hyperlink r:id="rId172" w:history="1">
        <w:r w:rsidRPr="007122AB">
          <w:rPr>
            <w:rStyle w:val="af0"/>
            <w:i w:val="0"/>
            <w:color w:val="000000" w:themeColor="text1"/>
            <w:sz w:val="16"/>
            <w:szCs w:val="16"/>
          </w:rPr>
          <w:t>Миронов</w:t>
        </w:r>
      </w:hyperlink>
    </w:p>
    <w:p w14:paraId="49E6FF85" w14:textId="77777777" w:rsidR="003371BD" w:rsidRPr="007122AB" w:rsidRDefault="003371BD"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3DE57280"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Датируется по сопроводительному письму.</w:t>
      </w:r>
    </w:p>
    <w:p w14:paraId="26666288"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Так в тексте.</w:t>
      </w:r>
    </w:p>
    <w:p w14:paraId="40DEC091"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w:t>
      </w:r>
      <w:r w:rsidRPr="007122AB">
        <w:rPr>
          <w:rStyle w:val="af0"/>
          <w:i w:val="0"/>
          <w:color w:val="000000" w:themeColor="text1"/>
          <w:sz w:val="16"/>
          <w:szCs w:val="16"/>
        </w:rPr>
        <w:t>Промпартия —</w:t>
      </w:r>
      <w:r w:rsidRPr="007122AB">
        <w:rPr>
          <w:color w:val="000000" w:themeColor="text1"/>
          <w:sz w:val="16"/>
          <w:szCs w:val="16"/>
        </w:rPr>
        <w:t xml:space="preserve"> процесс над «Промышленной партией» стал первым в серии крупных публичных процессов 1930</w:t>
      </w:r>
      <w:r w:rsidRPr="007122AB">
        <w:rPr>
          <w:color w:val="000000" w:themeColor="text1"/>
          <w:sz w:val="16"/>
          <w:szCs w:val="16"/>
        </w:rPr>
        <w:noBreakHyphen/>
        <w:t>1931 гг. Сфабрикованные обвинения в связях с белогвардейской эмиграцией, вредительстве, подготовке свержения советской власти были предъявлены восьми обвиняемым, пять из которых (Л. К. Рамзин, И. А. Калинников, В. А. Ларичев, Н. Ф. </w:t>
      </w:r>
      <w:proofErr w:type="spellStart"/>
      <w:r w:rsidRPr="007122AB">
        <w:rPr>
          <w:color w:val="000000" w:themeColor="text1"/>
          <w:sz w:val="16"/>
          <w:szCs w:val="16"/>
        </w:rPr>
        <w:t>Чарновский</w:t>
      </w:r>
      <w:proofErr w:type="spellEnd"/>
      <w:r w:rsidRPr="007122AB">
        <w:rPr>
          <w:color w:val="000000" w:themeColor="text1"/>
          <w:sz w:val="16"/>
          <w:szCs w:val="16"/>
        </w:rPr>
        <w:t>, А. А. Федотов) в декабре 1930 г. были приговорены к расстрелу, остальные — к 10 годам лишения свободы. Впоследствии расстрел был заменен 10</w:t>
      </w:r>
      <w:r w:rsidRPr="007122AB">
        <w:rPr>
          <w:color w:val="000000" w:themeColor="text1"/>
          <w:sz w:val="16"/>
          <w:szCs w:val="16"/>
        </w:rPr>
        <w:noBreakHyphen/>
        <w:t>летним сроком заключения, наказания другим обвиняемым также были снижены. Обвинение опиралось в основном на собственные признания подсудимых, которые выбивались с помощью пыток или запугивания. Когда же дело доходило до доказательств, то, как правило, выяснялось, что речь главным образом шла об отстаивании умеренных темпов развития страны. Кроме основного дела были сфабрикованы так называемые отраслевые дела Промпартии о «вредительстве»: в угольной, нефтяной, текстильной, лесной, цементной, электротехнической, энергетической и металлопромышленности, в химической секции Госплана, в области топливоснабжения, в Наркомате путей сообщения; а также дела «ленинградской группы», «профсоюза инженерно-технических работников», экономической группы в ВСНХ, «отраслевой контрреволюционной организации Промпартии в Госплане» и др. (См.: Процесс Промпартии (25 ноября — 7 декабря 1930 г.): Стенограмма судебного процесса и материалы, приобщенные к делу. М., 1931; СЗ СССР. 1936. № 11. Ст. 92).</w:t>
      </w:r>
    </w:p>
    <w:p w14:paraId="3C8E4741"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4</w:t>
      </w:r>
      <w:r w:rsidRPr="007122AB">
        <w:rPr>
          <w:color w:val="000000" w:themeColor="text1"/>
          <w:sz w:val="16"/>
          <w:szCs w:val="16"/>
        </w:rPr>
        <w:t>* Так в тексте.</w:t>
      </w:r>
    </w:p>
    <w:p w14:paraId="39505484"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5</w:t>
      </w:r>
      <w:r w:rsidRPr="007122AB">
        <w:rPr>
          <w:color w:val="000000" w:themeColor="text1"/>
          <w:sz w:val="16"/>
          <w:szCs w:val="16"/>
        </w:rPr>
        <w:t>* Опущены разделы: «Химико-энергетическое машиностроение», «Котел высокого давления», «Блюминг», «Электромоторы», «Электроэнергетика», «Текстиль», «Уголь».</w:t>
      </w:r>
    </w:p>
    <w:p w14:paraId="59C725DE"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6</w:t>
      </w:r>
      <w:r w:rsidRPr="007122AB">
        <w:rPr>
          <w:color w:val="000000" w:themeColor="text1"/>
          <w:sz w:val="16"/>
          <w:szCs w:val="16"/>
        </w:rPr>
        <w:t>* Подпись И. А. Акулова отсутствует.</w:t>
      </w:r>
    </w:p>
    <w:p w14:paraId="48048E4A" w14:textId="77777777" w:rsidR="003371BD" w:rsidRPr="007122AB" w:rsidRDefault="003371BD" w:rsidP="007122AB">
      <w:pPr>
        <w:pStyle w:val="ae"/>
        <w:spacing w:before="0" w:after="0"/>
        <w:jc w:val="both"/>
        <w:rPr>
          <w:color w:val="000000" w:themeColor="text1"/>
          <w:sz w:val="16"/>
          <w:szCs w:val="16"/>
        </w:rPr>
      </w:pPr>
      <w:r w:rsidRPr="007122AB">
        <w:rPr>
          <w:color w:val="000000" w:themeColor="text1"/>
          <w:sz w:val="16"/>
          <w:szCs w:val="16"/>
        </w:rPr>
        <w:t>АП РФ. Ф. 3. Оп. 58. Д. 142. Л. 3—12. Подлинник.</w:t>
      </w:r>
    </w:p>
    <w:p w14:paraId="71D3822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АП РФ. Ф. 3. Оп. 58. Д. 142. Л. 3—12. Подлинник. </w:t>
      </w:r>
    </w:p>
    <w:p w14:paraId="5A34E0C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561-566 (12534).</w:t>
      </w:r>
    </w:p>
    <w:p w14:paraId="399FADDF"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3DDE2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г. Секретариат коллегии ОГПУ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-на-Дону и других городах. </w:t>
      </w:r>
    </w:p>
    <w:p w14:paraId="0ECCD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w:t>
      </w:r>
      <w:proofErr w:type="spellStart"/>
      <w:r w:rsidRPr="007122AB">
        <w:rPr>
          <w:rFonts w:ascii="Times New Roman" w:hAnsi="Times New Roman"/>
          <w:color w:val="000000" w:themeColor="text1"/>
          <w:sz w:val="16"/>
          <w:szCs w:val="16"/>
        </w:rPr>
        <w:t>промпартий</w:t>
      </w:r>
      <w:proofErr w:type="spellEnd"/>
      <w:r w:rsidRPr="007122AB">
        <w:rPr>
          <w:rFonts w:ascii="Times New Roman" w:hAnsi="Times New Roman"/>
          <w:color w:val="000000" w:themeColor="text1"/>
          <w:sz w:val="16"/>
          <w:szCs w:val="16"/>
        </w:rPr>
        <w:t xml:space="preserve"> 14 Активных к/революционеров 184 Подследственных 160 </w:t>
      </w:r>
    </w:p>
    <w:p w14:paraId="62CBE9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Разве можно их использовать без присмотра служб ОГПУ… </w:t>
      </w:r>
    </w:p>
    <w:p w14:paraId="43BD8E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w:t>
      </w:r>
    </w:p>
    <w:p w14:paraId="5A076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Аналогичная судьба постигла столь же фанатичного его первого заместителя </w:t>
      </w:r>
      <w:proofErr w:type="spellStart"/>
      <w:r w:rsidRPr="007122AB">
        <w:rPr>
          <w:rFonts w:ascii="Times New Roman" w:hAnsi="Times New Roman"/>
          <w:color w:val="000000" w:themeColor="text1"/>
          <w:sz w:val="16"/>
          <w:szCs w:val="16"/>
        </w:rPr>
        <w:t>Горянова</w:t>
      </w:r>
      <w:proofErr w:type="spellEnd"/>
      <w:r w:rsidRPr="007122AB">
        <w:rPr>
          <w:rFonts w:ascii="Times New Roman" w:hAnsi="Times New Roman"/>
          <w:color w:val="000000" w:themeColor="text1"/>
          <w:sz w:val="16"/>
          <w:szCs w:val="16"/>
        </w:rPr>
        <w:t>-Горного (</w:t>
      </w:r>
      <w:proofErr w:type="spellStart"/>
      <w:r w:rsidRPr="007122AB">
        <w:rPr>
          <w:rFonts w:ascii="Times New Roman" w:hAnsi="Times New Roman"/>
          <w:color w:val="000000" w:themeColor="text1"/>
          <w:sz w:val="16"/>
          <w:szCs w:val="16"/>
        </w:rPr>
        <w:t>Бенковича</w:t>
      </w:r>
      <w:proofErr w:type="spellEnd"/>
      <w:r w:rsidRPr="007122AB">
        <w:rPr>
          <w:rFonts w:ascii="Times New Roman" w:hAnsi="Times New Roman"/>
          <w:color w:val="000000" w:themeColor="text1"/>
          <w:sz w:val="16"/>
          <w:szCs w:val="16"/>
        </w:rPr>
        <w:t xml:space="preserve">)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w:t>
      </w:r>
    </w:p>
    <w:p w14:paraId="68019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w:t>
      </w:r>
    </w:p>
    <w:p w14:paraId="1FC7E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Анатолий </w:t>
      </w:r>
      <w:proofErr w:type="spellStart"/>
      <w:r w:rsidRPr="007122AB">
        <w:rPr>
          <w:rFonts w:ascii="Times New Roman" w:hAnsi="Times New Roman"/>
          <w:color w:val="000000" w:themeColor="text1"/>
          <w:sz w:val="16"/>
          <w:szCs w:val="16"/>
        </w:rPr>
        <w:t>Горянов</w:t>
      </w:r>
      <w:proofErr w:type="spellEnd"/>
      <w:r w:rsidRPr="007122AB">
        <w:rPr>
          <w:rFonts w:ascii="Times New Roman" w:hAnsi="Times New Roman"/>
          <w:color w:val="000000" w:themeColor="text1"/>
          <w:sz w:val="16"/>
          <w:szCs w:val="16"/>
        </w:rPr>
        <w:t xml:space="preserve"> был признан "врагом народа" следом за Львом Мироновым 23.07.37 г. и расстрелян 27.10.37 г. по приговору ВК ВС СССР с лишением всех наград и почестей (12107).</w:t>
      </w:r>
    </w:p>
    <w:p w14:paraId="533FD8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53A336" w14:textId="77777777" w:rsidR="00CE3511" w:rsidRPr="007122AB" w:rsidRDefault="00CE35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сентября 1931 Заместитель председателя ОГПУ тов. Акулов в своей справке о работе ОКБ при этом ведомстве, адресованной секретарю ЦК ВКП(б) тов. Кагановичу (справка №40689 от 07.09.1931 г.), отмечал, что заключенными специалистами (по совместительству, разумеется, — «шпионами», «диверсантами» и «активными членами контрреволюционных организаций») проделаны следующие работы (орфография сохранена):</w:t>
      </w:r>
    </w:p>
    <w:p w14:paraId="4AA9290E" w14:textId="77777777" w:rsidR="00CE3511" w:rsidRPr="007122AB" w:rsidRDefault="00CE35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 Разработан новый химико-энергетический метод получения из низкосортного топлива типа торф, бурые угли и т.д., синтетический аммиак, для промышленных и азотистых соединений и высококалорийный газ, обеспечивающий снабжение силовых установок. В осуществление данного метода строится газогенератор (19606).</w:t>
      </w:r>
    </w:p>
    <w:p w14:paraId="5698E124" w14:textId="77777777" w:rsidR="00CE3511" w:rsidRPr="007122AB" w:rsidRDefault="00CE35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Разработан способ </w:t>
      </w:r>
      <w:proofErr w:type="spellStart"/>
      <w:r w:rsidRPr="007122AB">
        <w:rPr>
          <w:rFonts w:ascii="Times New Roman" w:hAnsi="Times New Roman"/>
          <w:color w:val="000000" w:themeColor="text1"/>
          <w:sz w:val="16"/>
          <w:szCs w:val="16"/>
        </w:rPr>
        <w:t>фракционировки</w:t>
      </w:r>
      <w:proofErr w:type="spellEnd"/>
      <w:r w:rsidRPr="007122AB">
        <w:rPr>
          <w:rFonts w:ascii="Times New Roman" w:hAnsi="Times New Roman"/>
          <w:color w:val="000000" w:themeColor="text1"/>
          <w:sz w:val="16"/>
          <w:szCs w:val="16"/>
        </w:rPr>
        <w:t xml:space="preserve">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коксита, сжиганием в генераторах и получение, таким образом, водорода, для синтеза аммиака.</w:t>
      </w:r>
    </w:p>
    <w:p w14:paraId="420200DD" w14:textId="77777777" w:rsidR="00CE3511" w:rsidRPr="007122AB" w:rsidRDefault="00CE35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Спроектирован и находится в изготовлении газогенератор непрерывного действия для газификации торфа и низкосортных углей. Детали генератора изготовлены на 70 %, окончание работ к 1-му ноября 1931 г.</w:t>
      </w:r>
    </w:p>
    <w:p w14:paraId="61E7EF81" w14:textId="77777777" w:rsidR="00CE3511" w:rsidRPr="007122AB" w:rsidRDefault="00CE35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Спроектирован газогенератор легкого типа для тяжелого автотранспорта, тракторов и </w:t>
      </w:r>
      <w:proofErr w:type="spellStart"/>
      <w:r w:rsidRPr="007122AB">
        <w:rPr>
          <w:rFonts w:ascii="Times New Roman" w:hAnsi="Times New Roman"/>
          <w:color w:val="000000" w:themeColor="text1"/>
          <w:sz w:val="16"/>
          <w:szCs w:val="16"/>
        </w:rPr>
        <w:t>ж.д</w:t>
      </w:r>
      <w:proofErr w:type="spellEnd"/>
      <w:r w:rsidRPr="007122AB">
        <w:rPr>
          <w:rFonts w:ascii="Times New Roman" w:hAnsi="Times New Roman"/>
          <w:color w:val="000000" w:themeColor="text1"/>
          <w:sz w:val="16"/>
          <w:szCs w:val="16"/>
        </w:rPr>
        <w:t>. мотовозов в целях перевода их на твёрдое топливо. Проект сдан в завод на изготовление. Окончание 1-е декабря 1931 г.» (19606).</w:t>
      </w:r>
    </w:p>
    <w:p w14:paraId="19DC242C" w14:textId="77777777" w:rsidR="00CE3511" w:rsidRPr="007122AB" w:rsidRDefault="00CE3511" w:rsidP="007122AB">
      <w:pPr>
        <w:spacing w:after="0" w:line="240" w:lineRule="auto"/>
        <w:jc w:val="both"/>
        <w:rPr>
          <w:rFonts w:ascii="Times New Roman" w:hAnsi="Times New Roman"/>
          <w:color w:val="000000" w:themeColor="text1"/>
          <w:sz w:val="16"/>
          <w:szCs w:val="16"/>
        </w:rPr>
      </w:pPr>
    </w:p>
    <w:p w14:paraId="2D646C93" w14:textId="77777777" w:rsidR="00CE3511" w:rsidRPr="007122AB" w:rsidRDefault="00CE35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г. Секретариат коллегии ОГПУ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w:t>
      </w:r>
      <w:proofErr w:type="spellStart"/>
      <w:r w:rsidRPr="007122AB">
        <w:rPr>
          <w:rFonts w:ascii="Times New Roman" w:hAnsi="Times New Roman"/>
          <w:color w:val="000000" w:themeColor="text1"/>
          <w:sz w:val="16"/>
          <w:szCs w:val="16"/>
        </w:rPr>
        <w:t>Ростове</w:t>
      </w:r>
      <w:proofErr w:type="spellEnd"/>
      <w:r w:rsidRPr="007122AB">
        <w:rPr>
          <w:rFonts w:ascii="Times New Roman" w:hAnsi="Times New Roman"/>
          <w:color w:val="000000" w:themeColor="text1"/>
          <w:sz w:val="16"/>
          <w:szCs w:val="16"/>
        </w:rPr>
        <w:t xml:space="preserve">-на-Дону и других городах. 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w:t>
      </w:r>
      <w:proofErr w:type="spellStart"/>
      <w:r w:rsidRPr="007122AB">
        <w:rPr>
          <w:rFonts w:ascii="Times New Roman" w:hAnsi="Times New Roman"/>
          <w:color w:val="000000" w:themeColor="text1"/>
          <w:sz w:val="16"/>
          <w:szCs w:val="16"/>
        </w:rPr>
        <w:t>промпартий</w:t>
      </w:r>
      <w:proofErr w:type="spellEnd"/>
      <w:r w:rsidRPr="007122AB">
        <w:rPr>
          <w:rFonts w:ascii="Times New Roman" w:hAnsi="Times New Roman"/>
          <w:color w:val="000000" w:themeColor="text1"/>
          <w:sz w:val="16"/>
          <w:szCs w:val="16"/>
        </w:rPr>
        <w:t xml:space="preserve"> 14 Активных к/революционеров 184 Подследственных 160 Разве можно их использовать без присмотра служб ОГПУ… 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Аналогичная судьба постигла столь же фанатичного его первого заместителя </w:t>
      </w:r>
      <w:proofErr w:type="spellStart"/>
      <w:r w:rsidRPr="007122AB">
        <w:rPr>
          <w:rFonts w:ascii="Times New Roman" w:hAnsi="Times New Roman"/>
          <w:color w:val="000000" w:themeColor="text1"/>
          <w:sz w:val="16"/>
          <w:szCs w:val="16"/>
        </w:rPr>
        <w:t>Горянова</w:t>
      </w:r>
      <w:proofErr w:type="spellEnd"/>
      <w:r w:rsidRPr="007122AB">
        <w:rPr>
          <w:rFonts w:ascii="Times New Roman" w:hAnsi="Times New Roman"/>
          <w:color w:val="000000" w:themeColor="text1"/>
          <w:sz w:val="16"/>
          <w:szCs w:val="16"/>
        </w:rPr>
        <w:t>-Горного (</w:t>
      </w:r>
      <w:proofErr w:type="spellStart"/>
      <w:r w:rsidRPr="007122AB">
        <w:rPr>
          <w:rFonts w:ascii="Times New Roman" w:hAnsi="Times New Roman"/>
          <w:color w:val="000000" w:themeColor="text1"/>
          <w:sz w:val="16"/>
          <w:szCs w:val="16"/>
        </w:rPr>
        <w:t>Бенковича</w:t>
      </w:r>
      <w:proofErr w:type="spellEnd"/>
      <w:r w:rsidRPr="007122AB">
        <w:rPr>
          <w:rFonts w:ascii="Times New Roman" w:hAnsi="Times New Roman"/>
          <w:color w:val="000000" w:themeColor="text1"/>
          <w:sz w:val="16"/>
          <w:szCs w:val="16"/>
        </w:rPr>
        <w:t xml:space="preserve">)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Анатолий </w:t>
      </w:r>
      <w:proofErr w:type="spellStart"/>
      <w:r w:rsidRPr="007122AB">
        <w:rPr>
          <w:rFonts w:ascii="Times New Roman" w:hAnsi="Times New Roman"/>
          <w:color w:val="000000" w:themeColor="text1"/>
          <w:sz w:val="16"/>
          <w:szCs w:val="16"/>
        </w:rPr>
        <w:t>Горянов</w:t>
      </w:r>
      <w:proofErr w:type="spellEnd"/>
      <w:r w:rsidRPr="007122AB">
        <w:rPr>
          <w:rFonts w:ascii="Times New Roman" w:hAnsi="Times New Roman"/>
          <w:color w:val="000000" w:themeColor="text1"/>
          <w:sz w:val="16"/>
          <w:szCs w:val="16"/>
        </w:rPr>
        <w:t xml:space="preserve"> был признан «врагом народа» следом за Львом Мироновым 23.07.37 г. и расстрелян 27.10.37 г. по приговору ВК ВС СССР с лишением всех наград и почестей (18668).</w:t>
      </w:r>
    </w:p>
    <w:p w14:paraId="00A60CE9" w14:textId="77777777" w:rsidR="00CE3511" w:rsidRPr="007122AB" w:rsidRDefault="00CE3511" w:rsidP="007122AB">
      <w:pPr>
        <w:spacing w:after="0" w:line="240" w:lineRule="auto"/>
        <w:jc w:val="both"/>
        <w:rPr>
          <w:rFonts w:ascii="Times New Roman" w:hAnsi="Times New Roman"/>
          <w:color w:val="000000" w:themeColor="text1"/>
          <w:sz w:val="16"/>
          <w:szCs w:val="16"/>
        </w:rPr>
      </w:pPr>
    </w:p>
    <w:p w14:paraId="7D4A0163"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7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193с об улучшении рабочего снабжения на предприятиях и новостройках ВАО (ГА РФ. Ф. Р?8418. Оп. 28. Д. 14а. Л. 61?62) (12415).</w:t>
      </w:r>
    </w:p>
    <w:p w14:paraId="1B241C65"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38C1B7BE" w14:textId="7A3D2D73"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354ECE76" w14:textId="77777777"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2B53641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сентября 1931 г. постоянные трения с госдепартаментом привели к значительному падению товаро</w:t>
      </w:r>
      <w:r w:rsidRPr="00441F34">
        <w:rPr>
          <w:rFonts w:ascii="Times New Roman" w:hAnsi="Times New Roman"/>
          <w:color w:val="0070C0"/>
          <w:sz w:val="16"/>
          <w:szCs w:val="16"/>
        </w:rPr>
        <w:softHyphen/>
        <w:t>оборота между Советским Союзом и США советское правительство издало постанов</w:t>
      </w:r>
      <w:r w:rsidRPr="00441F34">
        <w:rPr>
          <w:rFonts w:ascii="Times New Roman" w:hAnsi="Times New Roman"/>
          <w:color w:val="0070C0"/>
          <w:sz w:val="16"/>
          <w:szCs w:val="16"/>
        </w:rPr>
        <w:softHyphen/>
        <w:t>ление о прекращении размещения зака</w:t>
      </w:r>
      <w:r w:rsidRPr="00441F34">
        <w:rPr>
          <w:rFonts w:ascii="Times New Roman" w:hAnsi="Times New Roman"/>
          <w:color w:val="0070C0"/>
          <w:sz w:val="16"/>
          <w:szCs w:val="16"/>
        </w:rPr>
        <w:softHyphen/>
        <w:t>зов в Америке. Реально действовало оно, похоже, недолго, но, безусловно, оказало свое влияние на контакты во всех областях, в том числе и в отношении авиации (23513).</w:t>
      </w:r>
    </w:p>
    <w:p w14:paraId="39340E1D" w14:textId="77777777" w:rsidR="007F1987" w:rsidRPr="00441F34" w:rsidRDefault="007F1987" w:rsidP="007F1987">
      <w:pPr>
        <w:spacing w:after="0" w:line="240" w:lineRule="auto"/>
        <w:jc w:val="both"/>
        <w:rPr>
          <w:rFonts w:ascii="Times New Roman" w:hAnsi="Times New Roman"/>
          <w:color w:val="0070C0"/>
          <w:sz w:val="16"/>
          <w:szCs w:val="16"/>
        </w:rPr>
      </w:pPr>
    </w:p>
    <w:p w14:paraId="5361FD39" w14:textId="7AB2B821"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13C45D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B23AA6" w14:textId="77777777" w:rsidR="00947447" w:rsidRPr="007122AB" w:rsidRDefault="009474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Герберт Клейтон Уэллс погибает во время воздушных состязаний в </w:t>
      </w:r>
      <w:proofErr w:type="spellStart"/>
      <w:r w:rsidRPr="007122AB">
        <w:rPr>
          <w:rFonts w:ascii="Times New Roman" w:hAnsi="Times New Roman"/>
          <w:color w:val="000000" w:themeColor="text1"/>
          <w:sz w:val="16"/>
          <w:szCs w:val="16"/>
        </w:rPr>
        <w:t>Оттумве</w:t>
      </w:r>
      <w:proofErr w:type="spellEnd"/>
      <w:r w:rsidRPr="007122AB">
        <w:rPr>
          <w:rFonts w:ascii="Times New Roman" w:hAnsi="Times New Roman"/>
          <w:color w:val="000000" w:themeColor="text1"/>
          <w:sz w:val="16"/>
          <w:szCs w:val="16"/>
        </w:rPr>
        <w:t xml:space="preserve"> (20804).</w:t>
      </w:r>
    </w:p>
    <w:p w14:paraId="3080D895" w14:textId="77777777" w:rsidR="00947447" w:rsidRPr="007122AB" w:rsidRDefault="00947447" w:rsidP="007122AB">
      <w:pPr>
        <w:spacing w:after="0" w:line="240" w:lineRule="auto"/>
        <w:jc w:val="both"/>
        <w:rPr>
          <w:rFonts w:ascii="Times New Roman" w:hAnsi="Times New Roman"/>
          <w:color w:val="000000" w:themeColor="text1"/>
          <w:sz w:val="16"/>
          <w:szCs w:val="16"/>
        </w:rPr>
      </w:pPr>
    </w:p>
    <w:p w14:paraId="5A01A3A5" w14:textId="77777777" w:rsidR="00947447" w:rsidRPr="007122AB" w:rsidRDefault="009474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Лоуэлл </w:t>
      </w:r>
      <w:proofErr w:type="spellStart"/>
      <w:r w:rsidRPr="007122AB">
        <w:rPr>
          <w:rFonts w:ascii="Times New Roman" w:hAnsi="Times New Roman"/>
          <w:color w:val="000000" w:themeColor="text1"/>
          <w:sz w:val="16"/>
          <w:szCs w:val="16"/>
        </w:rPr>
        <w:t>Бейлс</w:t>
      </w:r>
      <w:proofErr w:type="spellEnd"/>
      <w:r w:rsidRPr="007122AB">
        <w:rPr>
          <w:rFonts w:ascii="Times New Roman" w:hAnsi="Times New Roman"/>
          <w:color w:val="000000" w:themeColor="text1"/>
          <w:sz w:val="16"/>
          <w:szCs w:val="16"/>
        </w:rPr>
        <w:t xml:space="preserve"> выигрывает кубок Томпсона 1931 года на гоночном самолете </w:t>
      </w:r>
      <w:proofErr w:type="spellStart"/>
      <w:r w:rsidRPr="007122AB">
        <w:rPr>
          <w:rFonts w:ascii="Times New Roman" w:hAnsi="Times New Roman"/>
          <w:color w:val="000000" w:themeColor="text1"/>
          <w:sz w:val="16"/>
          <w:szCs w:val="16"/>
        </w:rPr>
        <w:t>Gee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Bee</w:t>
      </w:r>
      <w:proofErr w:type="spellEnd"/>
      <w:r w:rsidRPr="007122AB">
        <w:rPr>
          <w:rFonts w:ascii="Times New Roman" w:hAnsi="Times New Roman"/>
          <w:color w:val="000000" w:themeColor="text1"/>
          <w:sz w:val="16"/>
          <w:szCs w:val="16"/>
        </w:rPr>
        <w:t xml:space="preserve"> Model Z на Национальных воздушных гонках в Кливленде, штат Огайо , на скорости 236,24 миль в час (380,42 км / час) (20804).</w:t>
      </w:r>
    </w:p>
    <w:p w14:paraId="0BEFD0C7" w14:textId="77777777" w:rsidR="00947447" w:rsidRPr="007122AB" w:rsidRDefault="00947447" w:rsidP="007122AB">
      <w:pPr>
        <w:spacing w:after="0" w:line="240" w:lineRule="auto"/>
        <w:jc w:val="both"/>
        <w:rPr>
          <w:rFonts w:ascii="Times New Roman" w:hAnsi="Times New Roman"/>
          <w:color w:val="000000" w:themeColor="text1"/>
          <w:sz w:val="16"/>
          <w:szCs w:val="16"/>
        </w:rPr>
      </w:pPr>
    </w:p>
    <w:p w14:paraId="0A2921FC" w14:textId="77777777" w:rsidR="00947447" w:rsidRPr="007122AB" w:rsidRDefault="009474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сентября 1931 - Совершил первый полёт прототип амфибии </w:t>
      </w:r>
      <w:proofErr w:type="spellStart"/>
      <w:r w:rsidRPr="007122AB">
        <w:rPr>
          <w:rFonts w:ascii="Times New Roman" w:hAnsi="Times New Roman"/>
          <w:color w:val="000000" w:themeColor="text1"/>
          <w:sz w:val="16"/>
          <w:szCs w:val="16"/>
        </w:rPr>
        <w:t>Loire</w:t>
      </w:r>
      <w:proofErr w:type="spellEnd"/>
      <w:r w:rsidRPr="007122AB">
        <w:rPr>
          <w:rFonts w:ascii="Times New Roman" w:hAnsi="Times New Roman"/>
          <w:color w:val="000000" w:themeColor="text1"/>
          <w:sz w:val="16"/>
          <w:szCs w:val="16"/>
        </w:rPr>
        <w:t xml:space="preserve"> 50.01. Затем последовал длительный период доработок и только летом 1933 года, после замены двигателя, самолёт был подготовлен к серийному выпуску. Самолёт был построен из лёгких сплавов. Консоли крыла, обтянутые полотном, могли складываться. </w:t>
      </w:r>
      <w:proofErr w:type="spellStart"/>
      <w:r w:rsidRPr="007122AB">
        <w:rPr>
          <w:rFonts w:ascii="Times New Roman" w:hAnsi="Times New Roman"/>
          <w:color w:val="000000" w:themeColor="text1"/>
          <w:sz w:val="16"/>
          <w:szCs w:val="16"/>
        </w:rPr>
        <w:t>Предусмаривалось</w:t>
      </w:r>
      <w:proofErr w:type="spellEnd"/>
      <w:r w:rsidRPr="007122AB">
        <w:rPr>
          <w:rFonts w:ascii="Times New Roman" w:hAnsi="Times New Roman"/>
          <w:color w:val="000000" w:themeColor="text1"/>
          <w:sz w:val="16"/>
          <w:szCs w:val="16"/>
        </w:rPr>
        <w:t xml:space="preserve"> двойное управление (22372).</w:t>
      </w:r>
    </w:p>
    <w:p w14:paraId="67098328" w14:textId="77777777" w:rsidR="00947447" w:rsidRPr="007122AB" w:rsidRDefault="00947447" w:rsidP="007122AB">
      <w:pPr>
        <w:spacing w:after="0" w:line="240" w:lineRule="auto"/>
        <w:jc w:val="both"/>
        <w:rPr>
          <w:rFonts w:ascii="Times New Roman" w:hAnsi="Times New Roman"/>
          <w:color w:val="000000" w:themeColor="text1"/>
          <w:sz w:val="16"/>
          <w:szCs w:val="16"/>
        </w:rPr>
      </w:pPr>
    </w:p>
    <w:p w14:paraId="304FB2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сентября 1931 Ганди в Лондоне не смог договориться с представителями религиозных меньшинств (3481).</w:t>
      </w:r>
    </w:p>
    <w:p w14:paraId="7C8D31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A2BA5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0D2B50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77B4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сентября 1931 И-4бис в НИИ ВВС выполнил первый полет (1454,19).</w:t>
      </w:r>
    </w:p>
    <w:p w14:paraId="7148B6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810E2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B07A33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0C3F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сентября 1931 года председатель НТК УММ </w:t>
      </w:r>
      <w:proofErr w:type="spellStart"/>
      <w:r w:rsidRPr="007122AB">
        <w:rPr>
          <w:rFonts w:ascii="Times New Roman" w:hAnsi="Times New Roman"/>
          <w:color w:val="000000" w:themeColor="text1"/>
          <w:sz w:val="16"/>
          <w:szCs w:val="16"/>
        </w:rPr>
        <w:t>Г.Бокис</w:t>
      </w:r>
      <w:proofErr w:type="spellEnd"/>
      <w:r w:rsidRPr="007122AB">
        <w:rPr>
          <w:rFonts w:ascii="Times New Roman" w:hAnsi="Times New Roman"/>
          <w:color w:val="000000" w:themeColor="text1"/>
          <w:sz w:val="16"/>
          <w:szCs w:val="16"/>
        </w:rPr>
        <w:t xml:space="preserve">, незадолго до этого посетивший завод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и ознакомившись с ходом работ, докладывал </w:t>
      </w:r>
      <w:proofErr w:type="spellStart"/>
      <w:r w:rsidRPr="007122AB">
        <w:rPr>
          <w:rFonts w:ascii="Times New Roman" w:hAnsi="Times New Roman"/>
          <w:color w:val="000000" w:themeColor="text1"/>
          <w:sz w:val="16"/>
          <w:szCs w:val="16"/>
        </w:rPr>
        <w:t>И.Халепскому</w:t>
      </w:r>
      <w:proofErr w:type="spellEnd"/>
      <w:r w:rsidRPr="007122AB">
        <w:rPr>
          <w:rFonts w:ascii="Times New Roman" w:hAnsi="Times New Roman"/>
          <w:color w:val="000000" w:themeColor="text1"/>
          <w:sz w:val="16"/>
          <w:szCs w:val="16"/>
        </w:rPr>
        <w:t xml:space="preserve">: "Вам уже известен печальный опыт по изготовлению опытного образца танка Д-4, в результате чего мы не получили машины, а лишь израсходовали около миллиона рублей народных денег. Сам конструктор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как видно решил, что из этой машины ничего не выйдет и поэтому конструкцию Д-4 бросил и приступил к </w:t>
      </w:r>
      <w:proofErr w:type="spellStart"/>
      <w:r w:rsidRPr="007122AB">
        <w:rPr>
          <w:rFonts w:ascii="Times New Roman" w:hAnsi="Times New Roman"/>
          <w:color w:val="000000" w:themeColor="text1"/>
          <w:sz w:val="16"/>
          <w:szCs w:val="16"/>
        </w:rPr>
        <w:t>переконструированию</w:t>
      </w:r>
      <w:proofErr w:type="spellEnd"/>
      <w:r w:rsidRPr="007122AB">
        <w:rPr>
          <w:rFonts w:ascii="Times New Roman" w:hAnsi="Times New Roman"/>
          <w:color w:val="000000" w:themeColor="text1"/>
          <w:sz w:val="16"/>
          <w:szCs w:val="16"/>
        </w:rPr>
        <w:t xml:space="preserve"> танка по типу Д-5. У меня большие сомнения, что из этой машины что-нибудь выйдет и не будут ли опять потрачены миллионы рублей и в результате опять получим коробку с разными не действующими механизмами. В этом меня убеждает то обстоятельство, что машина Д-5 сохраняет основные механизмы Д-4. При рассмотрении проекта Д-4 в НТК УММ конструктор не представил никаких расчетов к своему проекту, и все объяснения сводились к авторитетным заявлениям, что "обязательно все механизмы будут действовать, что называется на большой палец. Я считаю совершенно излишними проведенные т. </w:t>
      </w:r>
      <w:proofErr w:type="spellStart"/>
      <w:r w:rsidRPr="007122AB">
        <w:rPr>
          <w:rFonts w:ascii="Times New Roman" w:hAnsi="Times New Roman"/>
          <w:color w:val="000000" w:themeColor="text1"/>
          <w:sz w:val="16"/>
          <w:szCs w:val="16"/>
        </w:rPr>
        <w:t>Дыренковым</w:t>
      </w:r>
      <w:proofErr w:type="spellEnd"/>
      <w:r w:rsidRPr="007122AB">
        <w:rPr>
          <w:rFonts w:ascii="Times New Roman" w:hAnsi="Times New Roman"/>
          <w:color w:val="000000" w:themeColor="text1"/>
          <w:sz w:val="16"/>
          <w:szCs w:val="16"/>
        </w:rPr>
        <w:t xml:space="preserve"> затраты на изготовление стальных коробок для определения давления воды на танк. Все это можно было бы сделать теоретически, путем привлечения специалистов, знакомых с расчетами подводных </w:t>
      </w:r>
      <w:proofErr w:type="spellStart"/>
      <w:r w:rsidRPr="007122AB">
        <w:rPr>
          <w:rFonts w:ascii="Times New Roman" w:hAnsi="Times New Roman"/>
          <w:color w:val="000000" w:themeColor="text1"/>
          <w:sz w:val="16"/>
          <w:szCs w:val="16"/>
        </w:rPr>
        <w:t>лодок.Все</w:t>
      </w:r>
      <w:proofErr w:type="spellEnd"/>
      <w:r w:rsidRPr="007122AB">
        <w:rPr>
          <w:rFonts w:ascii="Times New Roman" w:hAnsi="Times New Roman"/>
          <w:color w:val="000000" w:themeColor="text1"/>
          <w:sz w:val="16"/>
          <w:szCs w:val="16"/>
        </w:rPr>
        <w:t xml:space="preserve"> это заставляет меня просить Вас: </w:t>
      </w:r>
    </w:p>
    <w:p w14:paraId="73F89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Поручить т.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представить в НТК все основные чертежи Д-5 с необходимыми расчетами.</w:t>
      </w:r>
    </w:p>
    <w:p w14:paraId="22485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До рассмотрения в НТК проекта и расчетов по танку Д-5 </w:t>
      </w:r>
      <w:proofErr w:type="spellStart"/>
      <w:r w:rsidRPr="007122AB">
        <w:rPr>
          <w:rFonts w:ascii="Times New Roman" w:hAnsi="Times New Roman"/>
          <w:color w:val="000000" w:themeColor="text1"/>
          <w:sz w:val="16"/>
          <w:szCs w:val="16"/>
        </w:rPr>
        <w:t>пректатить</w:t>
      </w:r>
      <w:proofErr w:type="spellEnd"/>
      <w:r w:rsidRPr="007122AB">
        <w:rPr>
          <w:rFonts w:ascii="Times New Roman" w:hAnsi="Times New Roman"/>
          <w:color w:val="000000" w:themeColor="text1"/>
          <w:sz w:val="16"/>
          <w:szCs w:val="16"/>
        </w:rPr>
        <w:t xml:space="preserve"> изготовление отдельных агрегатов по танку этого типа" (10291).</w:t>
      </w:r>
    </w:p>
    <w:p w14:paraId="4CE0A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A53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8 сентября 1931 года первая очередь </w:t>
      </w:r>
      <w:proofErr w:type="spellStart"/>
      <w:r w:rsidRPr="007122AB">
        <w:rPr>
          <w:rFonts w:ascii="Times New Roman" w:hAnsi="Times New Roman"/>
          <w:color w:val="000000" w:themeColor="text1"/>
          <w:sz w:val="16"/>
          <w:szCs w:val="16"/>
        </w:rPr>
        <w:t>апатито</w:t>
      </w:r>
      <w:proofErr w:type="spellEnd"/>
      <w:r w:rsidRPr="007122AB">
        <w:rPr>
          <w:rFonts w:ascii="Times New Roman" w:hAnsi="Times New Roman"/>
          <w:color w:val="000000" w:themeColor="text1"/>
          <w:sz w:val="16"/>
          <w:szCs w:val="16"/>
        </w:rPr>
        <w:t xml:space="preserve">-нефелиновой фабрики в Кировске была введена в строй.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w:t>
      </w:r>
      <w:proofErr w:type="spellStart"/>
      <w:r w:rsidRPr="007122AB">
        <w:rPr>
          <w:rFonts w:ascii="Times New Roman" w:hAnsi="Times New Roman"/>
          <w:color w:val="000000" w:themeColor="text1"/>
          <w:sz w:val="16"/>
          <w:szCs w:val="16"/>
        </w:rPr>
        <w:t>минералогам,а</w:t>
      </w:r>
      <w:proofErr w:type="spellEnd"/>
      <w:r w:rsidRPr="007122AB">
        <w:rPr>
          <w:rFonts w:ascii="Times New Roman" w:hAnsi="Times New Roman"/>
          <w:color w:val="000000" w:themeColor="text1"/>
          <w:sz w:val="16"/>
          <w:szCs w:val="16"/>
        </w:rPr>
        <w:t xml:space="preserve"> сегодня оно волнует тысячи людей. Ради апатита вырастает в Хибинской тундре город..." писал </w:t>
      </w:r>
      <w:proofErr w:type="spellStart"/>
      <w:r w:rsidRPr="007122AB">
        <w:rPr>
          <w:rFonts w:ascii="Times New Roman" w:hAnsi="Times New Roman"/>
          <w:color w:val="000000" w:themeColor="text1"/>
          <w:sz w:val="16"/>
          <w:szCs w:val="16"/>
        </w:rPr>
        <w:t>А.Е.Ферсман</w:t>
      </w:r>
      <w:proofErr w:type="spellEnd"/>
      <w:r w:rsidRPr="007122AB">
        <w:rPr>
          <w:rFonts w:ascii="Times New Roman" w:hAnsi="Times New Roman"/>
          <w:color w:val="000000" w:themeColor="text1"/>
          <w:sz w:val="16"/>
          <w:szCs w:val="16"/>
        </w:rPr>
        <w:t xml:space="preserve"> После начала войны производство приостановилось, оборудование было демонтировано и отправлено в глубь страны. Кировск оказался в прифронтовой полосе и подвергался воздушным бомбардировкам. Комбинат "Апатит" и отдельные организации были переоснащены для выпуска военной продукции. В Кировске на опытном заводе развернулось производство фосфора для зажигательных авиабомб и </w:t>
      </w:r>
      <w:proofErr w:type="spellStart"/>
      <w:r w:rsidRPr="007122AB">
        <w:rPr>
          <w:rFonts w:ascii="Times New Roman" w:hAnsi="Times New Roman"/>
          <w:color w:val="000000" w:themeColor="text1"/>
          <w:sz w:val="16"/>
          <w:szCs w:val="16"/>
        </w:rPr>
        <w:t>самовоспломеняющейся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смеси"КС</w:t>
      </w:r>
      <w:proofErr w:type="spellEnd"/>
      <w:r w:rsidRPr="007122AB">
        <w:rPr>
          <w:rFonts w:ascii="Times New Roman" w:hAnsi="Times New Roman"/>
          <w:color w:val="000000" w:themeColor="text1"/>
          <w:sz w:val="16"/>
          <w:szCs w:val="16"/>
        </w:rPr>
        <w:t>" , применяющейся против танков. (9702).</w:t>
      </w:r>
    </w:p>
    <w:p w14:paraId="1A74D4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156C1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3E03BC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61BB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сентября 1931 состоялось техническое совещание ЦКБ по ТБ-3 (АНТ-6) и В.М.П. доложил. Решили выпустить серию из 3 машин с БМВ-6, а Вахмистрову, В.М.П. и </w:t>
      </w:r>
      <w:proofErr w:type="spellStart"/>
      <w:r w:rsidRPr="007122AB">
        <w:rPr>
          <w:rFonts w:ascii="Times New Roman" w:hAnsi="Times New Roman"/>
          <w:color w:val="000000" w:themeColor="text1"/>
          <w:sz w:val="16"/>
          <w:szCs w:val="16"/>
        </w:rPr>
        <w:t>С.Н.Шишкину</w:t>
      </w:r>
      <w:proofErr w:type="spellEnd"/>
      <w:r w:rsidRPr="007122AB">
        <w:rPr>
          <w:rFonts w:ascii="Times New Roman" w:hAnsi="Times New Roman"/>
          <w:color w:val="000000" w:themeColor="text1"/>
          <w:sz w:val="16"/>
          <w:szCs w:val="16"/>
        </w:rPr>
        <w:t xml:space="preserve"> поручили рассчитать прочность (1077,123).</w:t>
      </w:r>
    </w:p>
    <w:p w14:paraId="1C6C7D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1D65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сентября 1931 г. в ЦКБ состоялось сове</w:t>
      </w:r>
      <w:r w:rsidRPr="007122AB">
        <w:rPr>
          <w:rFonts w:ascii="Times New Roman" w:hAnsi="Times New Roman"/>
          <w:color w:val="000000" w:themeColor="text1"/>
          <w:sz w:val="16"/>
          <w:szCs w:val="16"/>
        </w:rPr>
        <w:softHyphen/>
        <w:t>щание, посвященное проблемам серии, тре</w:t>
      </w:r>
      <w:r w:rsidRPr="007122AB">
        <w:rPr>
          <w:rFonts w:ascii="Times New Roman" w:hAnsi="Times New Roman"/>
          <w:color w:val="000000" w:themeColor="text1"/>
          <w:sz w:val="16"/>
          <w:szCs w:val="16"/>
        </w:rPr>
        <w:softHyphen/>
        <w:t>буемым доработкам и недостаткам И-5. В ос</w:t>
      </w:r>
      <w:r w:rsidRPr="007122AB">
        <w:rPr>
          <w:rFonts w:ascii="Times New Roman" w:hAnsi="Times New Roman"/>
          <w:color w:val="000000" w:themeColor="text1"/>
          <w:sz w:val="16"/>
          <w:szCs w:val="16"/>
        </w:rPr>
        <w:softHyphen/>
        <w:t xml:space="preserve">новном нарекания имелись к вооружению. Также предлагалось: смонтировать коллектор на верхние цилиндры двигателя, </w:t>
      </w:r>
      <w:proofErr w:type="spellStart"/>
      <w:r w:rsidRPr="007122AB">
        <w:rPr>
          <w:rFonts w:ascii="Times New Roman" w:hAnsi="Times New Roman"/>
          <w:color w:val="000000" w:themeColor="text1"/>
          <w:sz w:val="16"/>
          <w:szCs w:val="16"/>
        </w:rPr>
        <w:t>чтооы</w:t>
      </w:r>
      <w:proofErr w:type="spellEnd"/>
      <w:r w:rsidRPr="007122AB">
        <w:rPr>
          <w:rFonts w:ascii="Times New Roman" w:hAnsi="Times New Roman"/>
          <w:color w:val="000000" w:themeColor="text1"/>
          <w:sz w:val="16"/>
          <w:szCs w:val="16"/>
        </w:rPr>
        <w:t xml:space="preserve"> вы</w:t>
      </w:r>
      <w:r w:rsidRPr="007122AB">
        <w:rPr>
          <w:rFonts w:ascii="Times New Roman" w:hAnsi="Times New Roman"/>
          <w:color w:val="000000" w:themeColor="text1"/>
          <w:sz w:val="16"/>
          <w:szCs w:val="16"/>
        </w:rPr>
        <w:softHyphen/>
        <w:t>хлопные газы не попадали в кабину, устано</w:t>
      </w:r>
      <w:r w:rsidRPr="007122AB">
        <w:rPr>
          <w:rFonts w:ascii="Times New Roman" w:hAnsi="Times New Roman"/>
          <w:color w:val="000000" w:themeColor="text1"/>
          <w:sz w:val="16"/>
          <w:szCs w:val="16"/>
        </w:rPr>
        <w:softHyphen/>
        <w:t xml:space="preserve">вить более жесткий пол в кабине, отодвинусь назад обтекатель за головой пилота, а </w:t>
      </w:r>
      <w:proofErr w:type="spellStart"/>
      <w:r w:rsidRPr="007122AB">
        <w:rPr>
          <w:rFonts w:ascii="Times New Roman" w:hAnsi="Times New Roman"/>
          <w:color w:val="000000" w:themeColor="text1"/>
          <w:sz w:val="16"/>
          <w:szCs w:val="16"/>
        </w:rPr>
        <w:t>снинсу</w:t>
      </w:r>
      <w:proofErr w:type="spellEnd"/>
      <w:r w:rsidRPr="007122AB">
        <w:rPr>
          <w:rFonts w:ascii="Times New Roman" w:hAnsi="Times New Roman"/>
          <w:color w:val="000000" w:themeColor="text1"/>
          <w:sz w:val="16"/>
          <w:szCs w:val="16"/>
        </w:rPr>
        <w:t xml:space="preserve"> кресла наклонить назад. Отмечалось, что се</w:t>
      </w:r>
      <w:r w:rsidRPr="007122AB">
        <w:rPr>
          <w:rFonts w:ascii="Times New Roman" w:hAnsi="Times New Roman"/>
          <w:color w:val="000000" w:themeColor="text1"/>
          <w:sz w:val="16"/>
          <w:szCs w:val="16"/>
        </w:rPr>
        <w:softHyphen/>
        <w:t>рийные самолеты стали тяжелее на 70-75 кг. Кроме того, столкнулись с некачественной окраской металлических элементов (краска слезала), поэтому надеялись на опыт авиаза</w:t>
      </w:r>
      <w:r w:rsidRPr="007122AB">
        <w:rPr>
          <w:rFonts w:ascii="Times New Roman" w:hAnsi="Times New Roman"/>
          <w:color w:val="000000" w:themeColor="text1"/>
          <w:sz w:val="16"/>
          <w:szCs w:val="16"/>
        </w:rPr>
        <w:softHyphen/>
        <w:t>вода №22. Эксплуатационники еще жалова</w:t>
      </w:r>
      <w:r w:rsidRPr="007122AB">
        <w:rPr>
          <w:rFonts w:ascii="Times New Roman" w:hAnsi="Times New Roman"/>
          <w:color w:val="000000" w:themeColor="text1"/>
          <w:sz w:val="16"/>
          <w:szCs w:val="16"/>
        </w:rPr>
        <w:softHyphen/>
        <w:t>лись на то, что карбюратор, расположений снизу, в летнее время забивался пылью. Между тем, проблема пыли на полевых аэро</w:t>
      </w:r>
      <w:r w:rsidRPr="007122AB">
        <w:rPr>
          <w:rFonts w:ascii="Times New Roman" w:hAnsi="Times New Roman"/>
          <w:color w:val="000000" w:themeColor="text1"/>
          <w:sz w:val="16"/>
          <w:szCs w:val="16"/>
        </w:rPr>
        <w:softHyphen/>
        <w:t xml:space="preserve">дромах находилась где-то в </w:t>
      </w:r>
      <w:r w:rsidRPr="007122AB">
        <w:rPr>
          <w:rFonts w:ascii="Times New Roman" w:hAnsi="Times New Roman"/>
          <w:color w:val="000000" w:themeColor="text1"/>
          <w:sz w:val="16"/>
          <w:szCs w:val="16"/>
        </w:rPr>
        <w:lastRenderedPageBreak/>
        <w:t>стороне от техни</w:t>
      </w:r>
      <w:r w:rsidRPr="007122AB">
        <w:rPr>
          <w:rFonts w:ascii="Times New Roman" w:hAnsi="Times New Roman"/>
          <w:color w:val="000000" w:themeColor="text1"/>
          <w:sz w:val="16"/>
          <w:szCs w:val="16"/>
        </w:rPr>
        <w:softHyphen/>
        <w:t>ческих вопросов, ибо возникла она ранее, существовала много лет позднее, а разрешилась большей частью лишь с появлением бетонных взлетно-посадочных полос. Поднимаемые вопросы призваны были для определения самолета-эталона на следующий год серийного строительства. ВВС, например, требовали оборудовать подогрев карбюрато</w:t>
      </w:r>
      <w:r w:rsidRPr="007122AB">
        <w:rPr>
          <w:rFonts w:ascii="Times New Roman" w:hAnsi="Times New Roman"/>
          <w:color w:val="000000" w:themeColor="text1"/>
          <w:sz w:val="16"/>
          <w:szCs w:val="16"/>
        </w:rPr>
        <w:softHyphen/>
        <w:t>ра и установить обтекатели колес шасси. С учетом всех пожеланий, отмеченных недостат</w:t>
      </w:r>
      <w:r w:rsidRPr="007122AB">
        <w:rPr>
          <w:rFonts w:ascii="Times New Roman" w:hAnsi="Times New Roman"/>
          <w:color w:val="000000" w:themeColor="text1"/>
          <w:sz w:val="16"/>
          <w:szCs w:val="16"/>
        </w:rPr>
        <w:softHyphen/>
        <w:t>ков и внесенных усовершенствований опреде</w:t>
      </w:r>
      <w:r w:rsidRPr="007122AB">
        <w:rPr>
          <w:rFonts w:ascii="Times New Roman" w:hAnsi="Times New Roman"/>
          <w:color w:val="000000" w:themeColor="text1"/>
          <w:sz w:val="16"/>
          <w:szCs w:val="16"/>
        </w:rPr>
        <w:softHyphen/>
        <w:t>лили самолет-эталон на 1932 г. Им стал серий</w:t>
      </w:r>
      <w:r w:rsidRPr="007122AB">
        <w:rPr>
          <w:rFonts w:ascii="Times New Roman" w:hAnsi="Times New Roman"/>
          <w:color w:val="000000" w:themeColor="text1"/>
          <w:sz w:val="16"/>
          <w:szCs w:val="16"/>
        </w:rPr>
        <w:softHyphen/>
        <w:t>ный И-5 №4298 с М-22 №9019 с деревянным воздушным винтом диаметром 2,8 метра, по</w:t>
      </w:r>
      <w:r w:rsidRPr="007122AB">
        <w:rPr>
          <w:rFonts w:ascii="Times New Roman" w:hAnsi="Times New Roman"/>
          <w:color w:val="000000" w:themeColor="text1"/>
          <w:sz w:val="16"/>
          <w:szCs w:val="16"/>
        </w:rPr>
        <w:softHyphen/>
        <w:t xml:space="preserve">строенный на авиазаводе №1. Он отличался, прежде всего, моторной установкой с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разработку которой произвели в ЦАГИ (позднее говорилось, что теперь в кон</w:t>
      </w:r>
      <w:r w:rsidRPr="007122AB">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7122AB">
        <w:rPr>
          <w:rFonts w:ascii="Times New Roman" w:hAnsi="Times New Roman"/>
          <w:color w:val="000000" w:themeColor="text1"/>
          <w:sz w:val="16"/>
          <w:szCs w:val="16"/>
        </w:rPr>
        <w:softHyphen/>
        <w:t xml:space="preserve">ных двигателей). Кроме того, И-5 №4298 отличался выносом шасси, креплением пулеметов, педалями ножного управления, на нем </w:t>
      </w:r>
      <w:proofErr w:type="spellStart"/>
      <w:r w:rsidRPr="007122AB">
        <w:rPr>
          <w:rFonts w:ascii="Times New Roman" w:hAnsi="Times New Roman"/>
          <w:color w:val="000000" w:themeColor="text1"/>
          <w:sz w:val="16"/>
          <w:szCs w:val="16"/>
        </w:rPr>
        <w:t>смон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тмровали</w:t>
      </w:r>
      <w:proofErr w:type="spellEnd"/>
      <w:r w:rsidRPr="007122AB">
        <w:rPr>
          <w:rFonts w:ascii="Times New Roman" w:hAnsi="Times New Roman"/>
          <w:color w:val="000000" w:themeColor="text1"/>
          <w:sz w:val="16"/>
          <w:szCs w:val="16"/>
        </w:rPr>
        <w:t xml:space="preserve"> управляемый костыль и открывае</w:t>
      </w:r>
      <w:r w:rsidRPr="007122AB">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ДЕ'-б, а за сидением пилота установили фотоаппарат «Лотте». После произведенных доработок самолет в очередной раз потяжелел: вес пустого соста</w:t>
      </w:r>
      <w:r w:rsidRPr="007122AB">
        <w:rPr>
          <w:rFonts w:ascii="Times New Roman" w:hAnsi="Times New Roman"/>
          <w:color w:val="000000" w:themeColor="text1"/>
          <w:sz w:val="16"/>
          <w:szCs w:val="16"/>
        </w:rPr>
        <w:softHyphen/>
        <w:t>вит 943,5 кг, полетный вес -1355 кг (11974).</w:t>
      </w:r>
    </w:p>
    <w:p w14:paraId="47D581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C82E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сентября 1931 </w:t>
      </w:r>
      <w:proofErr w:type="spellStart"/>
      <w:r w:rsidRPr="007122AB">
        <w:rPr>
          <w:rFonts w:ascii="Times New Roman" w:hAnsi="Times New Roman"/>
          <w:color w:val="000000" w:themeColor="text1"/>
          <w:sz w:val="16"/>
          <w:szCs w:val="16"/>
        </w:rPr>
        <w:t>П.Х.Межерауп</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В.О.Писаренко</w:t>
      </w:r>
      <w:proofErr w:type="spellEnd"/>
      <w:r w:rsidRPr="007122AB">
        <w:rPr>
          <w:rFonts w:ascii="Times New Roman" w:hAnsi="Times New Roman"/>
          <w:color w:val="000000" w:themeColor="text1"/>
          <w:sz w:val="16"/>
          <w:szCs w:val="16"/>
        </w:rPr>
        <w:t>, которые с сентября 1930 работали в Летной инспекции, разбились в тяжелых метеорологических условиях (172,14) на Р-5 в районе Брянска. Пилотировал В.О.П. (438,629).</w:t>
      </w:r>
    </w:p>
    <w:p w14:paraId="6EB55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EDC9F1" w14:textId="77777777" w:rsidR="000F3BEF"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6690215" w14:textId="77777777" w:rsidR="000F3BEF" w:rsidRPr="007122AB" w:rsidRDefault="000F3BE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581D02B" w14:textId="77777777" w:rsidR="000F3BEF" w:rsidRPr="007122AB" w:rsidRDefault="000F3BEF" w:rsidP="007122AB">
      <w:pPr>
        <w:pStyle w:val="a3"/>
        <w:rPr>
          <w:color w:val="000000" w:themeColor="text1"/>
          <w:lang w:val="ru-RU"/>
        </w:rPr>
      </w:pPr>
      <w:r w:rsidRPr="007122AB">
        <w:rPr>
          <w:color w:val="000000" w:themeColor="text1"/>
          <w:lang w:val="ru-RU"/>
        </w:rPr>
        <w:t>9 сентября 1931 г. на пароход «Кооперация» был погружен танк № 11, а 19 сентября на паро</w:t>
      </w:r>
      <w:r w:rsidRPr="007122AB">
        <w:rPr>
          <w:color w:val="000000" w:themeColor="text1"/>
          <w:lang w:val="ru-RU"/>
        </w:rPr>
        <w:softHyphen/>
        <w:t>ход «Сучан» - танк №12. 13-й танк покинул Лон</w:t>
      </w:r>
      <w:r w:rsidRPr="007122AB">
        <w:rPr>
          <w:color w:val="000000" w:themeColor="text1"/>
          <w:lang w:val="ru-RU"/>
        </w:rPr>
        <w:softHyphen/>
        <w:t xml:space="preserve">дона в конце сентября, 14-й танк - 9 октября. Во второй половине октября прошел испытания последний танк №15, однако его сдача задержалась из-за дефектов в </w:t>
      </w:r>
      <w:proofErr w:type="spellStart"/>
      <w:r w:rsidRPr="007122AB">
        <w:rPr>
          <w:color w:val="000000" w:themeColor="text1"/>
          <w:lang w:val="ru-RU"/>
        </w:rPr>
        <w:t>бронелистах</w:t>
      </w:r>
      <w:proofErr w:type="spellEnd"/>
      <w:r w:rsidRPr="007122AB">
        <w:rPr>
          <w:color w:val="000000" w:themeColor="text1"/>
          <w:lang w:val="ru-RU"/>
        </w:rPr>
        <w:t xml:space="preserve"> башни. Только 10 ноября 1931 г. его погрузили в Лондоне на пароход «Рыков». Таким образом, договор с фирмой «Виккерс-</w:t>
      </w:r>
      <w:proofErr w:type="spellStart"/>
      <w:r w:rsidRPr="007122AB">
        <w:rPr>
          <w:color w:val="000000" w:themeColor="text1"/>
          <w:lang w:val="ru-RU"/>
        </w:rPr>
        <w:t>Армс</w:t>
      </w:r>
      <w:proofErr w:type="spellEnd"/>
      <w:r w:rsidRPr="007122AB">
        <w:rPr>
          <w:color w:val="000000" w:themeColor="text1"/>
          <w:lang w:val="ru-RU"/>
        </w:rPr>
        <w:t xml:space="preserve">- </w:t>
      </w:r>
      <w:proofErr w:type="spellStart"/>
      <w:r w:rsidRPr="007122AB">
        <w:rPr>
          <w:color w:val="000000" w:themeColor="text1"/>
          <w:lang w:val="ru-RU"/>
        </w:rPr>
        <w:t>тронг</w:t>
      </w:r>
      <w:proofErr w:type="spellEnd"/>
      <w:r w:rsidRPr="007122AB">
        <w:rPr>
          <w:color w:val="000000" w:themeColor="text1"/>
          <w:lang w:val="ru-RU"/>
        </w:rPr>
        <w:t>» был полностью выполнен (15745).</w:t>
      </w:r>
    </w:p>
    <w:p w14:paraId="401BFB15" w14:textId="77777777" w:rsidR="000F3BEF" w:rsidRPr="007122AB" w:rsidRDefault="000F3BEF" w:rsidP="007122AB">
      <w:pPr>
        <w:pStyle w:val="a3"/>
        <w:rPr>
          <w:color w:val="000000" w:themeColor="text1"/>
          <w:lang w:val="ru-RU"/>
        </w:rPr>
      </w:pPr>
    </w:p>
    <w:p w14:paraId="0C7C18F8" w14:textId="77777777" w:rsidR="000F3BEF" w:rsidRPr="007122AB" w:rsidRDefault="000F3BEF"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сентября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объявляется мобилизация комсомольской организации края на помощь </w:t>
      </w:r>
      <w:proofErr w:type="spellStart"/>
      <w:r w:rsidRPr="007122AB">
        <w:rPr>
          <w:rFonts w:ascii="Times New Roman" w:hAnsi="Times New Roman"/>
          <w:color w:val="000000" w:themeColor="text1"/>
          <w:sz w:val="16"/>
          <w:szCs w:val="16"/>
        </w:rPr>
        <w:t>Автострою</w:t>
      </w:r>
      <w:proofErr w:type="spellEnd"/>
      <w:r w:rsidRPr="007122AB">
        <w:rPr>
          <w:rFonts w:ascii="Times New Roman" w:hAnsi="Times New Roman"/>
          <w:color w:val="000000" w:themeColor="text1"/>
          <w:sz w:val="16"/>
          <w:szCs w:val="16"/>
        </w:rPr>
        <w:t xml:space="preserve">. Из числа мобилизованных комсомольцев создалась ударная дивизия с соответствующими подразделениями: полками, батальонами, ротами, взводами и отделениями. К концу сентября на площадку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прибыли около 3 тыс. комсомольцев. На земляных работах в системе </w:t>
      </w:r>
      <w:proofErr w:type="spellStart"/>
      <w:r w:rsidRPr="007122AB">
        <w:rPr>
          <w:rFonts w:ascii="Times New Roman" w:hAnsi="Times New Roman"/>
          <w:color w:val="000000" w:themeColor="text1"/>
          <w:sz w:val="16"/>
          <w:szCs w:val="16"/>
        </w:rPr>
        <w:t>Водоканалстроя</w:t>
      </w:r>
      <w:proofErr w:type="spellEnd"/>
      <w:r w:rsidRPr="007122AB">
        <w:rPr>
          <w:rFonts w:ascii="Times New Roman" w:hAnsi="Times New Roman"/>
          <w:color w:val="000000" w:themeColor="text1"/>
          <w:sz w:val="16"/>
          <w:szCs w:val="16"/>
        </w:rPr>
        <w:t xml:space="preserve"> и на других участках строительства бойцы комсомольской дивизии работали каждый за двоих, по 12-14 и более часов в сутки. С участка </w:t>
      </w:r>
      <w:proofErr w:type="spellStart"/>
      <w:r w:rsidRPr="007122AB">
        <w:rPr>
          <w:rFonts w:ascii="Times New Roman" w:hAnsi="Times New Roman"/>
          <w:color w:val="000000" w:themeColor="text1"/>
          <w:sz w:val="16"/>
          <w:szCs w:val="16"/>
        </w:rPr>
        <w:t>Водоканалстроя</w:t>
      </w:r>
      <w:proofErr w:type="spellEnd"/>
      <w:r w:rsidRPr="007122AB">
        <w:rPr>
          <w:rFonts w:ascii="Times New Roman" w:hAnsi="Times New Roman"/>
          <w:color w:val="000000" w:themeColor="text1"/>
          <w:sz w:val="16"/>
          <w:szCs w:val="16"/>
        </w:rPr>
        <w:t xml:space="preserve"> комсомольцы перешли на строительство соцгорода, сборку щитовых домов, прокладку внутризаводской железной дороги. Везде они показывали образцы героического труда. Автозаводский райком (Автозаводский райком образован в августе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партии объявил октябрь месяцем штурма. Все коммунисты, комсомольцы, члены профсоюзов, рабочие и служащие </w:t>
      </w:r>
      <w:proofErr w:type="spellStart"/>
      <w:r w:rsidRPr="007122AB">
        <w:rPr>
          <w:rFonts w:ascii="Times New Roman" w:hAnsi="Times New Roman"/>
          <w:color w:val="000000" w:themeColor="text1"/>
          <w:sz w:val="16"/>
          <w:szCs w:val="16"/>
        </w:rPr>
        <w:t>Автостроя</w:t>
      </w:r>
      <w:proofErr w:type="spellEnd"/>
      <w:r w:rsidRPr="007122AB">
        <w:rPr>
          <w:rFonts w:ascii="Times New Roman" w:hAnsi="Times New Roman"/>
          <w:color w:val="000000" w:themeColor="text1"/>
          <w:sz w:val="16"/>
          <w:szCs w:val="16"/>
        </w:rPr>
        <w:t xml:space="preserve"> днем выполняли свои основные обязанности, а вечером с 18 до 23 часов работали на строительной площадке. В октябрьских субботниках по завершению строительства автозавода участвовало 194 046 рабочих и служащих нижегородских предприятий и учреждений, из них 114 тыс. коммунистов и комсомольцев. Они выполнили в октябре работ на сумму 548 187 рублей. В подготовке к пуску завода сложной задачей был монтаж оборудования. В более чем 30 огромных корпусах предстояло смонтировать 4500 станков и агрегатов, 8 тыс. электромоторов. Таких масштабов машиностроительные заводы СССР еще не знали. Монтажных работ на Нижегородском автозаводе было на 20 млн. руб. больше, чем на Сталинградском и Харьковском тракторных заводах, вместе взятых.</w:t>
      </w:r>
    </w:p>
    <w:p w14:paraId="0FD68863" w14:textId="77777777" w:rsidR="000F3BEF" w:rsidRPr="007122AB" w:rsidRDefault="000F3BEF"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Монтажные работы велись в сложных условиях. Не хватало мостовых кранов, такелажных приспособлений. Но рабочие смело преодолевали эти трудности. Уже в июне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Автострое</w:t>
      </w:r>
      <w:proofErr w:type="spellEnd"/>
      <w:r w:rsidRPr="007122AB">
        <w:rPr>
          <w:rFonts w:ascii="Times New Roman" w:hAnsi="Times New Roman"/>
          <w:color w:val="000000" w:themeColor="text1"/>
          <w:sz w:val="16"/>
          <w:szCs w:val="16"/>
        </w:rPr>
        <w:t xml:space="preserve"> был проведен монтаж самой крупной в СССР электроподстанции. Эта победа радовала еще и потому, что электроподстанция была смонтирована полностью на отечественном оборудовании, не уступавшем по качеству первоклассному заграничному. В поставке импортного оборудования в Нижний Новгород большую помощь оказывали ленинградцы. Оборудование с пароходов на платформы грузили </w:t>
      </w:r>
      <w:proofErr w:type="spellStart"/>
      <w:r w:rsidRPr="007122AB">
        <w:rPr>
          <w:rFonts w:ascii="Times New Roman" w:hAnsi="Times New Roman"/>
          <w:color w:val="000000" w:themeColor="text1"/>
          <w:sz w:val="16"/>
          <w:szCs w:val="16"/>
        </w:rPr>
        <w:t>сверхударными</w:t>
      </w:r>
      <w:proofErr w:type="spellEnd"/>
      <w:r w:rsidRPr="007122AB">
        <w:rPr>
          <w:rFonts w:ascii="Times New Roman" w:hAnsi="Times New Roman"/>
          <w:color w:val="000000" w:themeColor="text1"/>
          <w:sz w:val="16"/>
          <w:szCs w:val="16"/>
        </w:rPr>
        <w:t xml:space="preserve"> темпами. Первый эшелон, украшенный плакатами и лозунгами «В срок оборудование </w:t>
      </w:r>
      <w:proofErr w:type="spellStart"/>
      <w:r w:rsidRPr="007122AB">
        <w:rPr>
          <w:rFonts w:ascii="Times New Roman" w:hAnsi="Times New Roman"/>
          <w:color w:val="000000" w:themeColor="text1"/>
          <w:sz w:val="16"/>
          <w:szCs w:val="16"/>
        </w:rPr>
        <w:t>Автострою</w:t>
      </w:r>
      <w:proofErr w:type="spellEnd"/>
      <w:r w:rsidRPr="007122AB">
        <w:rPr>
          <w:rFonts w:ascii="Times New Roman" w:hAnsi="Times New Roman"/>
          <w:color w:val="000000" w:themeColor="text1"/>
          <w:sz w:val="16"/>
          <w:szCs w:val="16"/>
        </w:rPr>
        <w:t xml:space="preserve">!», вышел в Нижний Новгород 26 сентября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 xml:space="preserve">1931 </w:t>
        </w:r>
        <w:proofErr w:type="spellStart"/>
        <w:r w:rsidRPr="007122AB">
          <w:rPr>
            <w:rFonts w:ascii="Times New Roman" w:hAnsi="Times New Roman"/>
            <w:color w:val="000000" w:themeColor="text1"/>
            <w:sz w:val="16"/>
            <w:szCs w:val="16"/>
          </w:rPr>
          <w:t>г</w:t>
        </w:r>
      </w:smartTag>
      <w:r w:rsidRPr="007122AB">
        <w:rPr>
          <w:rFonts w:ascii="Times New Roman" w:hAnsi="Times New Roman"/>
          <w:color w:val="000000" w:themeColor="text1"/>
          <w:sz w:val="16"/>
          <w:szCs w:val="16"/>
        </w:rPr>
        <w:t>.В</w:t>
      </w:r>
      <w:proofErr w:type="spellEnd"/>
      <w:r w:rsidRPr="007122AB">
        <w:rPr>
          <w:rFonts w:ascii="Times New Roman" w:hAnsi="Times New Roman"/>
          <w:color w:val="000000" w:themeColor="text1"/>
          <w:sz w:val="16"/>
          <w:szCs w:val="16"/>
        </w:rPr>
        <w:t xml:space="preserve"> проведении монтажа </w:t>
      </w:r>
      <w:proofErr w:type="spellStart"/>
      <w:r w:rsidRPr="007122AB">
        <w:rPr>
          <w:rFonts w:ascii="Times New Roman" w:hAnsi="Times New Roman"/>
          <w:color w:val="000000" w:themeColor="text1"/>
          <w:sz w:val="16"/>
          <w:szCs w:val="16"/>
        </w:rPr>
        <w:t>автостроевцам</w:t>
      </w:r>
      <w:proofErr w:type="spellEnd"/>
      <w:r w:rsidRPr="007122AB">
        <w:rPr>
          <w:rFonts w:ascii="Times New Roman" w:hAnsi="Times New Roman"/>
          <w:color w:val="000000" w:themeColor="text1"/>
          <w:sz w:val="16"/>
          <w:szCs w:val="16"/>
        </w:rPr>
        <w:t xml:space="preserve"> помогали рабочие предприятий ряда городов. Монтировать кузницу №2, например, пришла рабочая бригада </w:t>
      </w:r>
      <w:proofErr w:type="spellStart"/>
      <w:r w:rsidRPr="007122AB">
        <w:rPr>
          <w:rFonts w:ascii="Times New Roman" w:hAnsi="Times New Roman"/>
          <w:color w:val="000000" w:themeColor="text1"/>
          <w:sz w:val="16"/>
          <w:szCs w:val="16"/>
        </w:rPr>
        <w:t>сормовичей</w:t>
      </w:r>
      <w:proofErr w:type="spellEnd"/>
      <w:r w:rsidRPr="007122AB">
        <w:rPr>
          <w:rFonts w:ascii="Times New Roman" w:hAnsi="Times New Roman"/>
          <w:color w:val="000000" w:themeColor="text1"/>
          <w:sz w:val="16"/>
          <w:szCs w:val="16"/>
        </w:rPr>
        <w:t xml:space="preserve">. С 6 человек она быстро выросла до 60, в нее влились монтажники, прибывшие из Одессы, Ташкента, Саратова и других городов. Особенно трудоемким оказался монтаж пресса «Гамильтон». Его нижняя станина, весившая 400 пудов, была доставлена в цех в перевернутом виде. И эту громадину нужно было вернуть в рабочее состояние, не касаясь пола, а подъемные краны еще не были установлены. На выручку пришла смекалка 53-летнего такелажника, старого сормовского рабочего Василия Ивановича </w:t>
      </w:r>
      <w:proofErr w:type="spellStart"/>
      <w:r w:rsidRPr="007122AB">
        <w:rPr>
          <w:rFonts w:ascii="Times New Roman" w:hAnsi="Times New Roman"/>
          <w:color w:val="000000" w:themeColor="text1"/>
          <w:sz w:val="16"/>
          <w:szCs w:val="16"/>
        </w:rPr>
        <w:t>Маресова</w:t>
      </w:r>
      <w:proofErr w:type="spellEnd"/>
      <w:r w:rsidRPr="007122AB">
        <w:rPr>
          <w:rFonts w:ascii="Times New Roman" w:hAnsi="Times New Roman"/>
          <w:color w:val="000000" w:themeColor="text1"/>
          <w:sz w:val="16"/>
          <w:szCs w:val="16"/>
        </w:rPr>
        <w:t xml:space="preserve">. Он рассказывал, что за полдня при помощи балансировки талей станина была перевернута. Монтажники бригады В.И. </w:t>
      </w:r>
      <w:proofErr w:type="spellStart"/>
      <w:r w:rsidRPr="007122AB">
        <w:rPr>
          <w:rFonts w:ascii="Times New Roman" w:hAnsi="Times New Roman"/>
          <w:color w:val="000000" w:themeColor="text1"/>
          <w:sz w:val="16"/>
          <w:szCs w:val="16"/>
        </w:rPr>
        <w:t>Маресова</w:t>
      </w:r>
      <w:proofErr w:type="spellEnd"/>
      <w:r w:rsidRPr="007122AB">
        <w:rPr>
          <w:rFonts w:ascii="Times New Roman" w:hAnsi="Times New Roman"/>
          <w:color w:val="000000" w:themeColor="text1"/>
          <w:sz w:val="16"/>
          <w:szCs w:val="16"/>
        </w:rPr>
        <w:t xml:space="preserve"> работали по 16-20 часов в сутки, иногда уходили в 4 часа утра, чтобы, отдохнув несколько часов, снова идти на работу. И пресс «Гамильтон» был смонтирован не к 20 декабря, как планировалось, а к 13 декабря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Почти круглосуточно проводился монтаж ТЭЦ – крупнейшего и сложнейшего сооружения автозавода. Достаточно сказать, что оборудование для нее весом в 4500 т было доставлено на 320 платформах (15218).</w:t>
      </w:r>
    </w:p>
    <w:p w14:paraId="343AEA79" w14:textId="514F42AA" w:rsidR="000F3BEF" w:rsidRPr="007122AB" w:rsidRDefault="000F3BEF" w:rsidP="007122AB">
      <w:pPr>
        <w:widowControl w:val="0"/>
        <w:spacing w:after="0" w:line="240" w:lineRule="auto"/>
        <w:jc w:val="both"/>
        <w:rPr>
          <w:rFonts w:ascii="Times New Roman" w:hAnsi="Times New Roman"/>
          <w:color w:val="000000" w:themeColor="text1"/>
          <w:sz w:val="16"/>
          <w:szCs w:val="16"/>
        </w:rPr>
      </w:pPr>
    </w:p>
    <w:p w14:paraId="68BD55E9" w14:textId="180A4D35" w:rsidR="00295B66" w:rsidRPr="007122AB" w:rsidRDefault="00295B66" w:rsidP="007122AB">
      <w:pPr>
        <w:widowControl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076F58DF" w14:textId="77777777" w:rsidR="00295B66" w:rsidRPr="007122AB" w:rsidRDefault="00295B66" w:rsidP="007122AB">
      <w:pPr>
        <w:widowControl w:val="0"/>
        <w:spacing w:after="0" w:line="240" w:lineRule="auto"/>
        <w:jc w:val="both"/>
        <w:rPr>
          <w:rFonts w:ascii="Times New Roman" w:hAnsi="Times New Roman"/>
          <w:i/>
          <w:iCs/>
          <w:color w:val="000000" w:themeColor="text1"/>
          <w:sz w:val="16"/>
          <w:szCs w:val="16"/>
        </w:rPr>
      </w:pPr>
    </w:p>
    <w:p w14:paraId="508B2154" w14:textId="77777777" w:rsidR="00295B66" w:rsidRPr="007122AB" w:rsidRDefault="00295B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сентября 1931 г. началась операция в приграничных районах Туркмении и быв</w:t>
      </w:r>
      <w:r w:rsidRPr="007122AB">
        <w:rPr>
          <w:rFonts w:ascii="Times New Roman" w:hAnsi="Times New Roman"/>
          <w:color w:val="000000" w:themeColor="text1"/>
          <w:sz w:val="16"/>
          <w:szCs w:val="16"/>
        </w:rPr>
        <w:softHyphen/>
        <w:t>шем Хорезмском округе Узбекистана, которая поддерживалась крупными силами авиации. При ее проведении были задействованы 40-й и 35-й авиаот</w:t>
      </w:r>
      <w:r w:rsidRPr="007122AB">
        <w:rPr>
          <w:rFonts w:ascii="Times New Roman" w:hAnsi="Times New Roman"/>
          <w:color w:val="000000" w:themeColor="text1"/>
          <w:sz w:val="16"/>
          <w:szCs w:val="16"/>
        </w:rPr>
        <w:softHyphen/>
        <w:t>ряды, а также 37-я авиаэскадрилья ВВС — всего более 40 самолетов различ</w:t>
      </w:r>
      <w:r w:rsidRPr="007122AB">
        <w:rPr>
          <w:rFonts w:ascii="Times New Roman" w:hAnsi="Times New Roman"/>
          <w:color w:val="000000" w:themeColor="text1"/>
          <w:sz w:val="16"/>
          <w:szCs w:val="16"/>
        </w:rPr>
        <w:softHyphen/>
        <w:t>ных типов (Ветеран границы. 2002. № 3. С. 19) (20402).</w:t>
      </w:r>
    </w:p>
    <w:p w14:paraId="048A864F" w14:textId="77777777" w:rsidR="00295B66" w:rsidRPr="007122AB" w:rsidRDefault="00295B66" w:rsidP="007122AB">
      <w:pPr>
        <w:spacing w:after="0" w:line="240" w:lineRule="auto"/>
        <w:jc w:val="both"/>
        <w:rPr>
          <w:rFonts w:ascii="Times New Roman" w:hAnsi="Times New Roman"/>
          <w:color w:val="000000" w:themeColor="text1"/>
          <w:sz w:val="16"/>
          <w:szCs w:val="16"/>
        </w:rPr>
      </w:pPr>
    </w:p>
    <w:p w14:paraId="5341F9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51713C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5E17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сентября 1931 года начальник ВОГВФ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писал письмо № 10-01-14 начальнику ЦАГИ и начальнику ВАО</w:t>
      </w:r>
    </w:p>
    <w:p w14:paraId="11C9A5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августа 1931 года Вы сообщили рапортом на имя Сталина, Кагановича, Орджоникидзе, Ворошилова, Баранова и мое о том, что Вами выпущен 14 августа 1931 года пассажирский самолет АНТ-14 на 2,5 месяца раньше срока. Самолет АНТ-14 действительно после упомянутого рапорта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7FE42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сожалению, после этого самолет АНТ-14 полетов не производил, в эксплуатацию не вступил и Вами не сдан до настоящего момента. Причиной этого является то обстоятельство, что самолет недоделан: в нем отсутствует телефонное сообщение между пилотами и командиром корабля, электропроводка для освещения, испорчен центральный мотор и т.д. К сожалению, ЦАГИ ничего не предпринимает для того, чтобы в самом срочном порядке исправить все указанные недостатки и выпустить этот воздушный корабль не только на словах, но и на деле.</w:t>
      </w:r>
    </w:p>
    <w:p w14:paraId="6EEBA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Считаю, что ЦК партии не нуждается в рапортах, вводящих его в заблуждение ………………….(7753, 190).</w:t>
      </w:r>
    </w:p>
    <w:p w14:paraId="61CF45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976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 14 сентября 1931 на маневрах Украинского ВО под Могилевом с трех АНТ-9 высаживались комбинированные парашютно-посадочные десанты (10542,28).</w:t>
      </w:r>
    </w:p>
    <w:p w14:paraId="366B34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CCF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сентября 1931 года за N 55/8сс Постановление комиссии Куйбышева В.В. по вопросу о развитии авиапромышленности на период 1932-35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w:t>
      </w:r>
    </w:p>
    <w:p w14:paraId="56D61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6EDE6F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Утвердить следующий объем задания и номенклатуру изделий, для выполнения которых должны развиваться заводы ВАО.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552"/>
        <w:gridCol w:w="1552"/>
        <w:gridCol w:w="1552"/>
        <w:gridCol w:w="2432"/>
      </w:tblGrid>
      <w:tr w:rsidR="001002C3" w:rsidRPr="007122AB" w14:paraId="161FEAFB" w14:textId="77777777">
        <w:tc>
          <w:tcPr>
            <w:tcW w:w="3369" w:type="dxa"/>
          </w:tcPr>
          <w:p w14:paraId="665E26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Самолеты:</w:t>
            </w:r>
          </w:p>
        </w:tc>
        <w:tc>
          <w:tcPr>
            <w:tcW w:w="1552" w:type="dxa"/>
          </w:tcPr>
          <w:p w14:paraId="44F2A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C3389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03B61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11055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E011CB6" w14:textId="77777777">
        <w:tc>
          <w:tcPr>
            <w:tcW w:w="3369" w:type="dxa"/>
          </w:tcPr>
          <w:p w14:paraId="61865F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Истребителей</w:t>
            </w:r>
          </w:p>
        </w:tc>
        <w:tc>
          <w:tcPr>
            <w:tcW w:w="1552" w:type="dxa"/>
          </w:tcPr>
          <w:p w14:paraId="7AFDF9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C584C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2743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1ECC4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 шт.</w:t>
            </w:r>
          </w:p>
        </w:tc>
      </w:tr>
      <w:tr w:rsidR="001002C3" w:rsidRPr="007122AB" w14:paraId="59F839AF" w14:textId="77777777">
        <w:tc>
          <w:tcPr>
            <w:tcW w:w="3369" w:type="dxa"/>
          </w:tcPr>
          <w:p w14:paraId="2BB72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Разведчиков и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бомбар</w:t>
            </w:r>
            <w:proofErr w:type="spellEnd"/>
            <w:r w:rsidRPr="007122AB">
              <w:rPr>
                <w:rFonts w:ascii="Times New Roman" w:hAnsi="Times New Roman"/>
                <w:color w:val="000000" w:themeColor="text1"/>
                <w:sz w:val="16"/>
                <w:szCs w:val="16"/>
              </w:rPr>
              <w:t>.</w:t>
            </w:r>
          </w:p>
        </w:tc>
        <w:tc>
          <w:tcPr>
            <w:tcW w:w="1552" w:type="dxa"/>
          </w:tcPr>
          <w:p w14:paraId="2D7D3A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83F1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794AF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E1D6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 шт.</w:t>
            </w:r>
          </w:p>
        </w:tc>
      </w:tr>
      <w:tr w:rsidR="001002C3" w:rsidRPr="007122AB" w14:paraId="783505D4" w14:textId="77777777">
        <w:tc>
          <w:tcPr>
            <w:tcW w:w="3369" w:type="dxa"/>
          </w:tcPr>
          <w:p w14:paraId="22C9C6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Штурмовиков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и тяж.</w:t>
            </w:r>
          </w:p>
        </w:tc>
        <w:tc>
          <w:tcPr>
            <w:tcW w:w="1552" w:type="dxa"/>
          </w:tcPr>
          <w:p w14:paraId="31C9DF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89B9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3B62F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F5C0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 шт.</w:t>
            </w:r>
          </w:p>
        </w:tc>
      </w:tr>
      <w:tr w:rsidR="001002C3" w:rsidRPr="007122AB" w14:paraId="59CF72A0" w14:textId="77777777">
        <w:tc>
          <w:tcPr>
            <w:tcW w:w="3369" w:type="dxa"/>
          </w:tcPr>
          <w:p w14:paraId="252D9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Учебных</w:t>
            </w:r>
          </w:p>
        </w:tc>
        <w:tc>
          <w:tcPr>
            <w:tcW w:w="1552" w:type="dxa"/>
          </w:tcPr>
          <w:p w14:paraId="60E5D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C0E2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6D56E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4F443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 шт.</w:t>
            </w:r>
          </w:p>
        </w:tc>
      </w:tr>
      <w:tr w:rsidR="001002C3" w:rsidRPr="007122AB" w14:paraId="2AD80220" w14:textId="77777777">
        <w:tc>
          <w:tcPr>
            <w:tcW w:w="3369" w:type="dxa"/>
          </w:tcPr>
          <w:p w14:paraId="066D43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Морских ближних</w:t>
            </w:r>
          </w:p>
        </w:tc>
        <w:tc>
          <w:tcPr>
            <w:tcW w:w="1552" w:type="dxa"/>
          </w:tcPr>
          <w:p w14:paraId="28B835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DE383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2B5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05CD2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 шт.</w:t>
            </w:r>
          </w:p>
        </w:tc>
      </w:tr>
      <w:tr w:rsidR="001002C3" w:rsidRPr="007122AB" w14:paraId="19526943" w14:textId="77777777">
        <w:tc>
          <w:tcPr>
            <w:tcW w:w="3369" w:type="dxa"/>
          </w:tcPr>
          <w:p w14:paraId="3BD650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Морских </w:t>
            </w: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 т. МДР3</w:t>
            </w:r>
          </w:p>
        </w:tc>
        <w:tc>
          <w:tcPr>
            <w:tcW w:w="1552" w:type="dxa"/>
          </w:tcPr>
          <w:p w14:paraId="27CEC4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24CF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E372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4F580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2C337D3" w14:textId="77777777">
        <w:tc>
          <w:tcPr>
            <w:tcW w:w="3369" w:type="dxa"/>
          </w:tcPr>
          <w:p w14:paraId="099CE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расчетн</w:t>
            </w:r>
            <w:proofErr w:type="spellEnd"/>
            <w:r w:rsidRPr="007122AB">
              <w:rPr>
                <w:rFonts w:ascii="Times New Roman" w:hAnsi="Times New Roman"/>
                <w:color w:val="000000" w:themeColor="text1"/>
                <w:sz w:val="16"/>
                <w:szCs w:val="16"/>
              </w:rPr>
              <w:t>.)</w:t>
            </w:r>
          </w:p>
        </w:tc>
        <w:tc>
          <w:tcPr>
            <w:tcW w:w="1552" w:type="dxa"/>
          </w:tcPr>
          <w:p w14:paraId="63FDEE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FC117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DAFA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6EB7A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 шт.</w:t>
            </w:r>
          </w:p>
        </w:tc>
      </w:tr>
      <w:tr w:rsidR="001002C3" w:rsidRPr="007122AB" w14:paraId="166D9C19" w14:textId="77777777">
        <w:tc>
          <w:tcPr>
            <w:tcW w:w="3369" w:type="dxa"/>
          </w:tcPr>
          <w:p w14:paraId="464190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Морских </w:t>
            </w: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 т. МТБ3</w:t>
            </w:r>
          </w:p>
        </w:tc>
        <w:tc>
          <w:tcPr>
            <w:tcW w:w="1552" w:type="dxa"/>
          </w:tcPr>
          <w:p w14:paraId="5C484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1FF6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147A4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48AA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0745166" w14:textId="77777777">
        <w:tc>
          <w:tcPr>
            <w:tcW w:w="3369" w:type="dxa"/>
          </w:tcPr>
          <w:p w14:paraId="060A2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расчетн</w:t>
            </w:r>
            <w:proofErr w:type="spellEnd"/>
            <w:r w:rsidRPr="007122AB">
              <w:rPr>
                <w:rFonts w:ascii="Times New Roman" w:hAnsi="Times New Roman"/>
                <w:color w:val="000000" w:themeColor="text1"/>
                <w:sz w:val="16"/>
                <w:szCs w:val="16"/>
              </w:rPr>
              <w:t>.)</w:t>
            </w:r>
          </w:p>
        </w:tc>
        <w:tc>
          <w:tcPr>
            <w:tcW w:w="1552" w:type="dxa"/>
          </w:tcPr>
          <w:p w14:paraId="4F8AAB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5DD1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A02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3CD9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 шт.</w:t>
            </w:r>
          </w:p>
        </w:tc>
      </w:tr>
      <w:tr w:rsidR="001002C3" w:rsidRPr="007122AB" w14:paraId="5A6D266C" w14:textId="77777777">
        <w:tc>
          <w:tcPr>
            <w:tcW w:w="3369" w:type="dxa"/>
          </w:tcPr>
          <w:p w14:paraId="69639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Сухопутн</w:t>
            </w:r>
            <w:proofErr w:type="spellEnd"/>
            <w:r w:rsidRPr="007122AB">
              <w:rPr>
                <w:rFonts w:ascii="Times New Roman" w:hAnsi="Times New Roman"/>
                <w:color w:val="000000" w:themeColor="text1"/>
                <w:sz w:val="16"/>
                <w:szCs w:val="16"/>
              </w:rPr>
              <w:t xml:space="preserve">. тяж. </w:t>
            </w:r>
          </w:p>
        </w:tc>
        <w:tc>
          <w:tcPr>
            <w:tcW w:w="1552" w:type="dxa"/>
          </w:tcPr>
          <w:p w14:paraId="2C20E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1552" w:type="dxa"/>
          </w:tcPr>
          <w:p w14:paraId="0691DD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1500 шт. </w:t>
            </w:r>
          </w:p>
        </w:tc>
        <w:tc>
          <w:tcPr>
            <w:tcW w:w="1552" w:type="dxa"/>
          </w:tcPr>
          <w:p w14:paraId="24E44D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экв. к </w:t>
            </w:r>
          </w:p>
        </w:tc>
        <w:tc>
          <w:tcPr>
            <w:tcW w:w="2432" w:type="dxa"/>
          </w:tcPr>
          <w:p w14:paraId="656B2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ТБ-3 - 1500 шт.</w:t>
            </w:r>
          </w:p>
        </w:tc>
      </w:tr>
      <w:tr w:rsidR="001002C3" w:rsidRPr="007122AB" w14:paraId="77311EFE" w14:textId="77777777">
        <w:tc>
          <w:tcPr>
            <w:tcW w:w="3369" w:type="dxa"/>
          </w:tcPr>
          <w:p w14:paraId="2867E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602BF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552" w:type="dxa"/>
          </w:tcPr>
          <w:p w14:paraId="22767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1500 шт. </w:t>
            </w:r>
          </w:p>
        </w:tc>
        <w:tc>
          <w:tcPr>
            <w:tcW w:w="1552" w:type="dxa"/>
          </w:tcPr>
          <w:p w14:paraId="35D4B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432" w:type="dxa"/>
          </w:tcPr>
          <w:p w14:paraId="3BDBB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ТБ-3 - 600</w:t>
            </w:r>
          </w:p>
        </w:tc>
      </w:tr>
      <w:tr w:rsidR="001002C3" w:rsidRPr="007122AB" w14:paraId="2E8A96B1" w14:textId="77777777">
        <w:tc>
          <w:tcPr>
            <w:tcW w:w="3369" w:type="dxa"/>
          </w:tcPr>
          <w:p w14:paraId="327EE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963F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1552" w:type="dxa"/>
          </w:tcPr>
          <w:p w14:paraId="1A78D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 шт.</w:t>
            </w:r>
          </w:p>
        </w:tc>
        <w:tc>
          <w:tcPr>
            <w:tcW w:w="1552" w:type="dxa"/>
          </w:tcPr>
          <w:p w14:paraId="29DF41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432" w:type="dxa"/>
          </w:tcPr>
          <w:p w14:paraId="74D51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ТБ-3 - 1600</w:t>
            </w:r>
          </w:p>
        </w:tc>
      </w:tr>
      <w:tr w:rsidR="001002C3" w:rsidRPr="007122AB" w14:paraId="03535DF3" w14:textId="77777777">
        <w:tc>
          <w:tcPr>
            <w:tcW w:w="3369" w:type="dxa"/>
          </w:tcPr>
          <w:p w14:paraId="15C3D9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5816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К-14</w:t>
            </w:r>
          </w:p>
        </w:tc>
        <w:tc>
          <w:tcPr>
            <w:tcW w:w="1552" w:type="dxa"/>
          </w:tcPr>
          <w:p w14:paraId="1FF9B9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 шт.</w:t>
            </w:r>
          </w:p>
        </w:tc>
        <w:tc>
          <w:tcPr>
            <w:tcW w:w="1552" w:type="dxa"/>
          </w:tcPr>
          <w:p w14:paraId="4A55E6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432" w:type="dxa"/>
          </w:tcPr>
          <w:p w14:paraId="5C6AAB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ТБ-3 - 800</w:t>
            </w:r>
          </w:p>
        </w:tc>
      </w:tr>
      <w:tr w:rsidR="001002C3" w:rsidRPr="007122AB" w14:paraId="6E0279C4" w14:textId="77777777">
        <w:tc>
          <w:tcPr>
            <w:tcW w:w="3369" w:type="dxa"/>
          </w:tcPr>
          <w:p w14:paraId="3047F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2E1FA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552" w:type="dxa"/>
          </w:tcPr>
          <w:p w14:paraId="426614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3800 шт.</w:t>
            </w:r>
          </w:p>
        </w:tc>
        <w:tc>
          <w:tcPr>
            <w:tcW w:w="1552" w:type="dxa"/>
          </w:tcPr>
          <w:p w14:paraId="6121B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59DB3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3800 шт.</w:t>
            </w:r>
          </w:p>
        </w:tc>
      </w:tr>
      <w:tr w:rsidR="001002C3" w:rsidRPr="007122AB" w14:paraId="636D7074" w14:textId="77777777">
        <w:tc>
          <w:tcPr>
            <w:tcW w:w="3369" w:type="dxa"/>
          </w:tcPr>
          <w:p w14:paraId="70063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Специальных</w:t>
            </w:r>
          </w:p>
        </w:tc>
        <w:tc>
          <w:tcPr>
            <w:tcW w:w="1552" w:type="dxa"/>
          </w:tcPr>
          <w:p w14:paraId="3A23B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7239C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C4181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81BF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шт.</w:t>
            </w:r>
          </w:p>
        </w:tc>
      </w:tr>
      <w:tr w:rsidR="001002C3" w:rsidRPr="007122AB" w14:paraId="4D3F7905" w14:textId="77777777">
        <w:tc>
          <w:tcPr>
            <w:tcW w:w="3369" w:type="dxa"/>
          </w:tcPr>
          <w:p w14:paraId="78801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lastRenderedPageBreak/>
              <w:t>Авиэток</w:t>
            </w:r>
            <w:proofErr w:type="spellEnd"/>
          </w:p>
        </w:tc>
        <w:tc>
          <w:tcPr>
            <w:tcW w:w="1552" w:type="dxa"/>
          </w:tcPr>
          <w:p w14:paraId="63F64F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B558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A98F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86B73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12000 шт.</w:t>
            </w:r>
          </w:p>
        </w:tc>
      </w:tr>
      <w:tr w:rsidR="001002C3" w:rsidRPr="007122AB" w14:paraId="00595A37" w14:textId="77777777">
        <w:tc>
          <w:tcPr>
            <w:tcW w:w="3369" w:type="dxa"/>
          </w:tcPr>
          <w:p w14:paraId="1712A2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0E2F3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9422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6F6B9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2432" w:type="dxa"/>
          </w:tcPr>
          <w:p w14:paraId="123B1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34300 шт.</w:t>
            </w:r>
          </w:p>
        </w:tc>
      </w:tr>
      <w:tr w:rsidR="001002C3" w:rsidRPr="007122AB" w14:paraId="662F9117" w14:textId="77777777">
        <w:tc>
          <w:tcPr>
            <w:tcW w:w="3369" w:type="dxa"/>
          </w:tcPr>
          <w:p w14:paraId="7EE69E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Моторы.</w:t>
            </w:r>
          </w:p>
        </w:tc>
        <w:tc>
          <w:tcPr>
            <w:tcW w:w="1552" w:type="dxa"/>
          </w:tcPr>
          <w:p w14:paraId="70675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7D5AD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B7D4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161F6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5CB61FA" w14:textId="77777777">
        <w:tc>
          <w:tcPr>
            <w:tcW w:w="3369" w:type="dxa"/>
          </w:tcPr>
          <w:p w14:paraId="49DE1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 типа М-34- М-35</w:t>
            </w:r>
          </w:p>
        </w:tc>
        <w:tc>
          <w:tcPr>
            <w:tcW w:w="1552" w:type="dxa"/>
          </w:tcPr>
          <w:p w14:paraId="68E0A8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DBEA2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56D3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9F56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25000 шт.</w:t>
            </w:r>
          </w:p>
        </w:tc>
      </w:tr>
      <w:tr w:rsidR="001002C3" w:rsidRPr="007122AB" w14:paraId="6BFC1F57" w14:textId="77777777">
        <w:tc>
          <w:tcPr>
            <w:tcW w:w="3369" w:type="dxa"/>
          </w:tcPr>
          <w:p w14:paraId="267A85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52" w:type="dxa"/>
          </w:tcPr>
          <w:p w14:paraId="4565C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52" w:type="dxa"/>
          </w:tcPr>
          <w:p w14:paraId="6D4C49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Кертис М-32</w:t>
            </w:r>
          </w:p>
        </w:tc>
        <w:tc>
          <w:tcPr>
            <w:tcW w:w="1552" w:type="dxa"/>
          </w:tcPr>
          <w:p w14:paraId="22A38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5C6F0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 шт.</w:t>
            </w:r>
          </w:p>
        </w:tc>
      </w:tr>
      <w:tr w:rsidR="001002C3" w:rsidRPr="007122AB" w14:paraId="55710F1F" w14:textId="77777777">
        <w:tc>
          <w:tcPr>
            <w:tcW w:w="3369" w:type="dxa"/>
          </w:tcPr>
          <w:p w14:paraId="424B4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F3FC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7351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BE30E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2432" w:type="dxa"/>
          </w:tcPr>
          <w:p w14:paraId="00A1A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35000 шт.</w:t>
            </w:r>
          </w:p>
        </w:tc>
      </w:tr>
      <w:tr w:rsidR="001002C3" w:rsidRPr="007122AB" w14:paraId="6A5CA6C3" w14:textId="77777777">
        <w:tc>
          <w:tcPr>
            <w:tcW w:w="3369" w:type="dxa"/>
          </w:tcPr>
          <w:p w14:paraId="6D5DE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Воздушн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 типа М-11</w:t>
            </w:r>
          </w:p>
        </w:tc>
        <w:tc>
          <w:tcPr>
            <w:tcW w:w="1552" w:type="dxa"/>
          </w:tcPr>
          <w:p w14:paraId="47BED0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E5EF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CD9F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11C6B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 шт.</w:t>
            </w:r>
          </w:p>
        </w:tc>
      </w:tr>
      <w:tr w:rsidR="001002C3" w:rsidRPr="007122AB" w14:paraId="060D7AD0" w14:textId="77777777">
        <w:tc>
          <w:tcPr>
            <w:tcW w:w="3369" w:type="dxa"/>
          </w:tcPr>
          <w:p w14:paraId="7F7687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52" w:type="dxa"/>
          </w:tcPr>
          <w:p w14:paraId="012782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52" w:type="dxa"/>
          </w:tcPr>
          <w:p w14:paraId="63CCB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552" w:type="dxa"/>
          </w:tcPr>
          <w:p w14:paraId="3F153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BDAD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 шт.</w:t>
            </w:r>
          </w:p>
        </w:tc>
      </w:tr>
      <w:tr w:rsidR="001002C3" w:rsidRPr="007122AB" w14:paraId="3AED6B20" w14:textId="77777777">
        <w:tc>
          <w:tcPr>
            <w:tcW w:w="3369" w:type="dxa"/>
          </w:tcPr>
          <w:p w14:paraId="4E2D2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52" w:type="dxa"/>
          </w:tcPr>
          <w:p w14:paraId="343E1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52" w:type="dxa"/>
          </w:tcPr>
          <w:p w14:paraId="4DA432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Райт</w:t>
            </w:r>
          </w:p>
        </w:tc>
        <w:tc>
          <w:tcPr>
            <w:tcW w:w="1552" w:type="dxa"/>
          </w:tcPr>
          <w:p w14:paraId="2F2323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218C2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 шт.</w:t>
            </w:r>
          </w:p>
        </w:tc>
      </w:tr>
      <w:tr w:rsidR="001002C3" w:rsidRPr="007122AB" w14:paraId="3A351ED8" w14:textId="77777777">
        <w:tc>
          <w:tcPr>
            <w:tcW w:w="3369" w:type="dxa"/>
          </w:tcPr>
          <w:p w14:paraId="41338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них </w:t>
            </w: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 по типу</w:t>
            </w:r>
          </w:p>
        </w:tc>
        <w:tc>
          <w:tcPr>
            <w:tcW w:w="1552" w:type="dxa"/>
          </w:tcPr>
          <w:p w14:paraId="722287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1AB48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3106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7921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DD0385E" w14:textId="77777777">
        <w:tc>
          <w:tcPr>
            <w:tcW w:w="3369" w:type="dxa"/>
          </w:tcPr>
          <w:p w14:paraId="22ED0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Райт-Циклон - 5000 шт.)</w:t>
            </w:r>
          </w:p>
        </w:tc>
        <w:tc>
          <w:tcPr>
            <w:tcW w:w="1552" w:type="dxa"/>
          </w:tcPr>
          <w:p w14:paraId="7B7D27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B6999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D2C2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2432" w:type="dxa"/>
          </w:tcPr>
          <w:p w14:paraId="5159D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22000 шт.</w:t>
            </w:r>
          </w:p>
        </w:tc>
      </w:tr>
      <w:tr w:rsidR="001002C3" w:rsidRPr="007122AB" w14:paraId="6C04741E" w14:textId="77777777">
        <w:tc>
          <w:tcPr>
            <w:tcW w:w="3369" w:type="dxa"/>
          </w:tcPr>
          <w:p w14:paraId="380F5F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Маломощных моторов</w:t>
            </w:r>
          </w:p>
        </w:tc>
        <w:tc>
          <w:tcPr>
            <w:tcW w:w="1552" w:type="dxa"/>
          </w:tcPr>
          <w:p w14:paraId="40DE7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2808E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8E310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09E9D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 шт.</w:t>
            </w:r>
          </w:p>
        </w:tc>
      </w:tr>
      <w:tr w:rsidR="001002C3" w:rsidRPr="007122AB" w14:paraId="75A3A34E" w14:textId="77777777">
        <w:tc>
          <w:tcPr>
            <w:tcW w:w="3369" w:type="dxa"/>
          </w:tcPr>
          <w:p w14:paraId="01E797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Нефтяных-"-</w:t>
            </w:r>
          </w:p>
        </w:tc>
        <w:tc>
          <w:tcPr>
            <w:tcW w:w="1552" w:type="dxa"/>
          </w:tcPr>
          <w:p w14:paraId="2C9A2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040F5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71C3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03393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шт.</w:t>
            </w:r>
          </w:p>
        </w:tc>
      </w:tr>
      <w:tr w:rsidR="001002C3" w:rsidRPr="007122AB" w14:paraId="6609846B" w14:textId="77777777">
        <w:tc>
          <w:tcPr>
            <w:tcW w:w="3369" w:type="dxa"/>
          </w:tcPr>
          <w:p w14:paraId="21BCF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8759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2B838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0557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2432" w:type="dxa"/>
          </w:tcPr>
          <w:p w14:paraId="196C2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73500 шт.</w:t>
            </w:r>
          </w:p>
        </w:tc>
      </w:tr>
      <w:tr w:rsidR="001002C3" w:rsidRPr="007122AB" w14:paraId="01ADD6BA" w14:textId="77777777">
        <w:tc>
          <w:tcPr>
            <w:tcW w:w="3369" w:type="dxa"/>
          </w:tcPr>
          <w:p w14:paraId="1629F3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моторов типа Кертис</w:t>
            </w:r>
          </w:p>
        </w:tc>
        <w:tc>
          <w:tcPr>
            <w:tcW w:w="1552" w:type="dxa"/>
          </w:tcPr>
          <w:p w14:paraId="626604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EC818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51F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D005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B282CF8" w14:textId="77777777">
        <w:tc>
          <w:tcPr>
            <w:tcW w:w="3369" w:type="dxa"/>
          </w:tcPr>
          <w:p w14:paraId="051344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танков, глиссеров и т.д.</w:t>
            </w:r>
          </w:p>
        </w:tc>
        <w:tc>
          <w:tcPr>
            <w:tcW w:w="1552" w:type="dxa"/>
          </w:tcPr>
          <w:p w14:paraId="4F41A0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3AD4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A51E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3D270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 шт. (2329)</w:t>
            </w:r>
          </w:p>
        </w:tc>
      </w:tr>
    </w:tbl>
    <w:p w14:paraId="4F5226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Утвердить следующие темпы развития мощностей авиазаводов по годам.</w:t>
      </w:r>
    </w:p>
    <w:p w14:paraId="1D96E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7122AB" w14:paraId="18027D04" w14:textId="77777777">
        <w:tc>
          <w:tcPr>
            <w:tcW w:w="534" w:type="dxa"/>
            <w:tcBorders>
              <w:top w:val="single" w:sz="12" w:space="0" w:color="auto"/>
            </w:tcBorders>
          </w:tcPr>
          <w:p w14:paraId="40952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850" w:type="dxa"/>
            <w:tcBorders>
              <w:top w:val="single" w:sz="12" w:space="0" w:color="auto"/>
            </w:tcBorders>
          </w:tcPr>
          <w:p w14:paraId="34A3A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5EEFE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w:t>
            </w:r>
          </w:p>
        </w:tc>
        <w:tc>
          <w:tcPr>
            <w:tcW w:w="1977" w:type="dxa"/>
            <w:tcBorders>
              <w:top w:val="single" w:sz="12" w:space="0" w:color="auto"/>
            </w:tcBorders>
          </w:tcPr>
          <w:p w14:paraId="3C977C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1A874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1/1-32</w:t>
            </w:r>
          </w:p>
        </w:tc>
        <w:tc>
          <w:tcPr>
            <w:tcW w:w="1977" w:type="dxa"/>
            <w:tcBorders>
              <w:top w:val="single" w:sz="12" w:space="0" w:color="auto"/>
            </w:tcBorders>
          </w:tcPr>
          <w:p w14:paraId="528E72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1/1-33</w:t>
            </w:r>
          </w:p>
        </w:tc>
        <w:tc>
          <w:tcPr>
            <w:tcW w:w="1977" w:type="dxa"/>
            <w:tcBorders>
              <w:top w:val="single" w:sz="12" w:space="0" w:color="auto"/>
            </w:tcBorders>
          </w:tcPr>
          <w:p w14:paraId="3DCDE0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1/1-34</w:t>
            </w:r>
          </w:p>
        </w:tc>
        <w:tc>
          <w:tcPr>
            <w:tcW w:w="1977" w:type="dxa"/>
            <w:tcBorders>
              <w:top w:val="single" w:sz="12" w:space="0" w:color="auto"/>
            </w:tcBorders>
          </w:tcPr>
          <w:p w14:paraId="1E17F4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1/1\-35</w:t>
            </w:r>
          </w:p>
        </w:tc>
      </w:tr>
      <w:tr w:rsidR="001002C3" w:rsidRPr="007122AB" w14:paraId="6675797A" w14:textId="77777777">
        <w:tc>
          <w:tcPr>
            <w:tcW w:w="534" w:type="dxa"/>
          </w:tcPr>
          <w:p w14:paraId="3282D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850" w:type="dxa"/>
          </w:tcPr>
          <w:p w14:paraId="5FB1C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1977" w:type="dxa"/>
          </w:tcPr>
          <w:p w14:paraId="431D26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Истребители</w:t>
            </w:r>
          </w:p>
        </w:tc>
        <w:tc>
          <w:tcPr>
            <w:tcW w:w="1977" w:type="dxa"/>
          </w:tcPr>
          <w:p w14:paraId="5052A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977" w:type="dxa"/>
          </w:tcPr>
          <w:p w14:paraId="0D74D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5789DD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5F0BE5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r>
      <w:tr w:rsidR="001002C3" w:rsidRPr="007122AB" w14:paraId="3F92C3CB" w14:textId="77777777">
        <w:tc>
          <w:tcPr>
            <w:tcW w:w="534" w:type="dxa"/>
          </w:tcPr>
          <w:p w14:paraId="43C22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850" w:type="dxa"/>
          </w:tcPr>
          <w:p w14:paraId="095E0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977" w:type="dxa"/>
          </w:tcPr>
          <w:p w14:paraId="767777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977" w:type="dxa"/>
          </w:tcPr>
          <w:p w14:paraId="6038F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977" w:type="dxa"/>
          </w:tcPr>
          <w:p w14:paraId="03615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977" w:type="dxa"/>
          </w:tcPr>
          <w:p w14:paraId="48AD24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977" w:type="dxa"/>
          </w:tcPr>
          <w:p w14:paraId="35560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r>
      <w:tr w:rsidR="001002C3" w:rsidRPr="007122AB" w14:paraId="79CBA6C0" w14:textId="77777777">
        <w:tc>
          <w:tcPr>
            <w:tcW w:w="534" w:type="dxa"/>
          </w:tcPr>
          <w:p w14:paraId="7C6E1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850" w:type="dxa"/>
          </w:tcPr>
          <w:p w14:paraId="27B2F3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c>
          <w:tcPr>
            <w:tcW w:w="1977" w:type="dxa"/>
          </w:tcPr>
          <w:p w14:paraId="1734A0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977" w:type="dxa"/>
          </w:tcPr>
          <w:p w14:paraId="590C01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1150</w:t>
            </w:r>
          </w:p>
        </w:tc>
        <w:tc>
          <w:tcPr>
            <w:tcW w:w="1977" w:type="dxa"/>
          </w:tcPr>
          <w:p w14:paraId="3CA51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25389C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07E86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r>
      <w:tr w:rsidR="001002C3" w:rsidRPr="007122AB" w14:paraId="6CDCC4AD" w14:textId="77777777">
        <w:tc>
          <w:tcPr>
            <w:tcW w:w="534" w:type="dxa"/>
          </w:tcPr>
          <w:p w14:paraId="14C91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850" w:type="dxa"/>
          </w:tcPr>
          <w:p w14:paraId="02D57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ХАЗ</w:t>
            </w:r>
          </w:p>
        </w:tc>
        <w:tc>
          <w:tcPr>
            <w:tcW w:w="1977" w:type="dxa"/>
          </w:tcPr>
          <w:p w14:paraId="51F49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977" w:type="dxa"/>
          </w:tcPr>
          <w:p w14:paraId="2F2D29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72961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03333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5F1612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4E649020" w14:textId="77777777">
        <w:tc>
          <w:tcPr>
            <w:tcW w:w="534" w:type="dxa"/>
          </w:tcPr>
          <w:p w14:paraId="6C720F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850" w:type="dxa"/>
          </w:tcPr>
          <w:p w14:paraId="6EBBC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w:t>
            </w:r>
          </w:p>
        </w:tc>
        <w:tc>
          <w:tcPr>
            <w:tcW w:w="1977" w:type="dxa"/>
          </w:tcPr>
          <w:p w14:paraId="33CD3D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Штурмовики</w:t>
            </w:r>
          </w:p>
        </w:tc>
        <w:tc>
          <w:tcPr>
            <w:tcW w:w="1977" w:type="dxa"/>
          </w:tcPr>
          <w:p w14:paraId="63B508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30DBD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13A5D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272195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r>
      <w:tr w:rsidR="001002C3" w:rsidRPr="007122AB" w14:paraId="355A18AF" w14:textId="77777777">
        <w:tc>
          <w:tcPr>
            <w:tcW w:w="534" w:type="dxa"/>
          </w:tcPr>
          <w:p w14:paraId="02F9FE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850" w:type="dxa"/>
          </w:tcPr>
          <w:p w14:paraId="4BB7B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c>
          <w:tcPr>
            <w:tcW w:w="1977" w:type="dxa"/>
          </w:tcPr>
          <w:p w14:paraId="6206A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977" w:type="dxa"/>
          </w:tcPr>
          <w:p w14:paraId="34C4DF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7FC5E6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6615C5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6C4F3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5A15F590" w14:textId="77777777">
        <w:tc>
          <w:tcPr>
            <w:tcW w:w="534" w:type="dxa"/>
          </w:tcPr>
          <w:p w14:paraId="5C71C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397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7BA34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Авиетки</w:t>
            </w:r>
          </w:p>
        </w:tc>
        <w:tc>
          <w:tcPr>
            <w:tcW w:w="1977" w:type="dxa"/>
          </w:tcPr>
          <w:p w14:paraId="4224FE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0381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35AC1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BB00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r>
      <w:tr w:rsidR="001002C3" w:rsidRPr="007122AB" w14:paraId="1464E360" w14:textId="77777777">
        <w:tc>
          <w:tcPr>
            <w:tcW w:w="534" w:type="dxa"/>
          </w:tcPr>
          <w:p w14:paraId="177A68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850" w:type="dxa"/>
          </w:tcPr>
          <w:p w14:paraId="4E0A0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02</w:t>
            </w:r>
          </w:p>
        </w:tc>
        <w:tc>
          <w:tcPr>
            <w:tcW w:w="1977" w:type="dxa"/>
          </w:tcPr>
          <w:p w14:paraId="71EA3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977" w:type="dxa"/>
          </w:tcPr>
          <w:p w14:paraId="41514D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717B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3B080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977" w:type="dxa"/>
          </w:tcPr>
          <w:p w14:paraId="75388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4BB1B910" w14:textId="77777777">
        <w:tc>
          <w:tcPr>
            <w:tcW w:w="534" w:type="dxa"/>
          </w:tcPr>
          <w:p w14:paraId="7D739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447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1BDE4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Авиетки</w:t>
            </w:r>
          </w:p>
        </w:tc>
        <w:tc>
          <w:tcPr>
            <w:tcW w:w="1977" w:type="dxa"/>
          </w:tcPr>
          <w:p w14:paraId="3A742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4B4F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7DA5CF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977" w:type="dxa"/>
          </w:tcPr>
          <w:p w14:paraId="5D0CB6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5AC7F6C8" w14:textId="77777777">
        <w:tc>
          <w:tcPr>
            <w:tcW w:w="534" w:type="dxa"/>
          </w:tcPr>
          <w:p w14:paraId="7C1583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850" w:type="dxa"/>
          </w:tcPr>
          <w:p w14:paraId="60650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03</w:t>
            </w:r>
          </w:p>
        </w:tc>
        <w:tc>
          <w:tcPr>
            <w:tcW w:w="1977" w:type="dxa"/>
          </w:tcPr>
          <w:p w14:paraId="1E21B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Морские</w:t>
            </w:r>
          </w:p>
        </w:tc>
        <w:tc>
          <w:tcPr>
            <w:tcW w:w="1977" w:type="dxa"/>
          </w:tcPr>
          <w:p w14:paraId="0FB53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5759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7A2FE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977" w:type="dxa"/>
          </w:tcPr>
          <w:p w14:paraId="1B3852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r>
      <w:tr w:rsidR="001002C3" w:rsidRPr="007122AB" w14:paraId="64167E5F" w14:textId="77777777">
        <w:tc>
          <w:tcPr>
            <w:tcW w:w="534" w:type="dxa"/>
          </w:tcPr>
          <w:p w14:paraId="44534B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850" w:type="dxa"/>
          </w:tcPr>
          <w:p w14:paraId="4A7A7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977" w:type="dxa"/>
          </w:tcPr>
          <w:p w14:paraId="57E60E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Тяжелые</w:t>
            </w:r>
          </w:p>
        </w:tc>
        <w:tc>
          <w:tcPr>
            <w:tcW w:w="1977" w:type="dxa"/>
          </w:tcPr>
          <w:p w14:paraId="2FC93E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w:t>
            </w:r>
          </w:p>
        </w:tc>
        <w:tc>
          <w:tcPr>
            <w:tcW w:w="1977" w:type="dxa"/>
          </w:tcPr>
          <w:p w14:paraId="566E56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61EA6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7944EB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1F4AB6DE" w14:textId="77777777">
        <w:tc>
          <w:tcPr>
            <w:tcW w:w="534" w:type="dxa"/>
          </w:tcPr>
          <w:p w14:paraId="4DFAE2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850" w:type="dxa"/>
          </w:tcPr>
          <w:p w14:paraId="2CC470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1977" w:type="dxa"/>
          </w:tcPr>
          <w:p w14:paraId="071445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Тяжелые</w:t>
            </w:r>
          </w:p>
        </w:tc>
        <w:tc>
          <w:tcPr>
            <w:tcW w:w="1977" w:type="dxa"/>
          </w:tcPr>
          <w:p w14:paraId="2FA84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60C08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76C06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4F703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75A03D6C" w14:textId="77777777">
        <w:tc>
          <w:tcPr>
            <w:tcW w:w="534" w:type="dxa"/>
          </w:tcPr>
          <w:p w14:paraId="10562D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850" w:type="dxa"/>
          </w:tcPr>
          <w:p w14:paraId="550E1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w:t>
            </w:r>
          </w:p>
        </w:tc>
        <w:tc>
          <w:tcPr>
            <w:tcW w:w="1977" w:type="dxa"/>
          </w:tcPr>
          <w:p w14:paraId="18128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Тяжелые</w:t>
            </w:r>
          </w:p>
        </w:tc>
        <w:tc>
          <w:tcPr>
            <w:tcW w:w="1977" w:type="dxa"/>
          </w:tcPr>
          <w:p w14:paraId="1A08D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0658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1B02C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977" w:type="dxa"/>
          </w:tcPr>
          <w:p w14:paraId="4EB7A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r>
      <w:tr w:rsidR="001002C3" w:rsidRPr="007122AB" w14:paraId="39B1432C" w14:textId="77777777">
        <w:tc>
          <w:tcPr>
            <w:tcW w:w="534" w:type="dxa"/>
          </w:tcPr>
          <w:p w14:paraId="1F6142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850" w:type="dxa"/>
          </w:tcPr>
          <w:p w14:paraId="71405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05</w:t>
            </w:r>
          </w:p>
        </w:tc>
        <w:tc>
          <w:tcPr>
            <w:tcW w:w="1977" w:type="dxa"/>
          </w:tcPr>
          <w:p w14:paraId="4C8C3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Специальные</w:t>
            </w:r>
          </w:p>
        </w:tc>
        <w:tc>
          <w:tcPr>
            <w:tcW w:w="1977" w:type="dxa"/>
          </w:tcPr>
          <w:p w14:paraId="3AB07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FEA73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977" w:type="dxa"/>
          </w:tcPr>
          <w:p w14:paraId="00510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3F04E4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19146CE9" w14:textId="77777777">
        <w:tc>
          <w:tcPr>
            <w:tcW w:w="534" w:type="dxa"/>
          </w:tcPr>
          <w:p w14:paraId="606AC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850" w:type="dxa"/>
          </w:tcPr>
          <w:p w14:paraId="7C732F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рем. заводах</w:t>
            </w:r>
          </w:p>
        </w:tc>
        <w:tc>
          <w:tcPr>
            <w:tcW w:w="1977" w:type="dxa"/>
          </w:tcPr>
          <w:p w14:paraId="69E45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Авиетки</w:t>
            </w:r>
          </w:p>
        </w:tc>
        <w:tc>
          <w:tcPr>
            <w:tcW w:w="1977" w:type="dxa"/>
          </w:tcPr>
          <w:p w14:paraId="793B3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70CAE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27962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75D21F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4A4591B8" w14:textId="77777777">
        <w:tc>
          <w:tcPr>
            <w:tcW w:w="534" w:type="dxa"/>
            <w:tcBorders>
              <w:bottom w:val="single" w:sz="12" w:space="0" w:color="auto"/>
            </w:tcBorders>
          </w:tcPr>
          <w:p w14:paraId="3FA2D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665A2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2A8FD2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977" w:type="dxa"/>
            <w:tcBorders>
              <w:bottom w:val="single" w:sz="12" w:space="0" w:color="auto"/>
            </w:tcBorders>
          </w:tcPr>
          <w:p w14:paraId="6A9603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7490</w:t>
            </w:r>
          </w:p>
        </w:tc>
        <w:tc>
          <w:tcPr>
            <w:tcW w:w="1977" w:type="dxa"/>
            <w:tcBorders>
              <w:bottom w:val="single" w:sz="12" w:space="0" w:color="auto"/>
            </w:tcBorders>
          </w:tcPr>
          <w:p w14:paraId="182410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12500</w:t>
            </w:r>
          </w:p>
        </w:tc>
        <w:tc>
          <w:tcPr>
            <w:tcW w:w="1977" w:type="dxa"/>
            <w:tcBorders>
              <w:bottom w:val="single" w:sz="12" w:space="0" w:color="auto"/>
            </w:tcBorders>
          </w:tcPr>
          <w:p w14:paraId="3A8A6D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23800</w:t>
            </w:r>
          </w:p>
        </w:tc>
        <w:tc>
          <w:tcPr>
            <w:tcW w:w="1977" w:type="dxa"/>
            <w:tcBorders>
              <w:bottom w:val="single" w:sz="12" w:space="0" w:color="auto"/>
            </w:tcBorders>
          </w:tcPr>
          <w:p w14:paraId="6B918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34300</w:t>
            </w:r>
          </w:p>
        </w:tc>
      </w:tr>
    </w:tbl>
    <w:p w14:paraId="69F42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7122AB" w14:paraId="5125F9D4" w14:textId="77777777">
        <w:tc>
          <w:tcPr>
            <w:tcW w:w="534" w:type="dxa"/>
            <w:tcBorders>
              <w:top w:val="single" w:sz="12" w:space="0" w:color="auto"/>
            </w:tcBorders>
          </w:tcPr>
          <w:p w14:paraId="561C8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850" w:type="dxa"/>
            <w:tcBorders>
              <w:top w:val="single" w:sz="12" w:space="0" w:color="auto"/>
            </w:tcBorders>
          </w:tcPr>
          <w:p w14:paraId="2085D2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8FB50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w:t>
            </w:r>
          </w:p>
        </w:tc>
        <w:tc>
          <w:tcPr>
            <w:tcW w:w="1977" w:type="dxa"/>
            <w:tcBorders>
              <w:top w:val="single" w:sz="12" w:space="0" w:color="auto"/>
            </w:tcBorders>
          </w:tcPr>
          <w:p w14:paraId="6C487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3312D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1/1-32</w:t>
            </w:r>
          </w:p>
        </w:tc>
        <w:tc>
          <w:tcPr>
            <w:tcW w:w="1977" w:type="dxa"/>
            <w:tcBorders>
              <w:top w:val="single" w:sz="12" w:space="0" w:color="auto"/>
            </w:tcBorders>
          </w:tcPr>
          <w:p w14:paraId="74CBD0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1/1-33</w:t>
            </w:r>
          </w:p>
        </w:tc>
        <w:tc>
          <w:tcPr>
            <w:tcW w:w="1977" w:type="dxa"/>
            <w:tcBorders>
              <w:top w:val="single" w:sz="12" w:space="0" w:color="auto"/>
            </w:tcBorders>
          </w:tcPr>
          <w:p w14:paraId="49FB9A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1/1-34</w:t>
            </w:r>
          </w:p>
        </w:tc>
        <w:tc>
          <w:tcPr>
            <w:tcW w:w="1977" w:type="dxa"/>
            <w:tcBorders>
              <w:top w:val="single" w:sz="12" w:space="0" w:color="auto"/>
            </w:tcBorders>
          </w:tcPr>
          <w:p w14:paraId="546C1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1/1\-35</w:t>
            </w:r>
          </w:p>
        </w:tc>
      </w:tr>
      <w:tr w:rsidR="001002C3" w:rsidRPr="007122AB" w14:paraId="7E03D0E9" w14:textId="77777777">
        <w:tc>
          <w:tcPr>
            <w:tcW w:w="534" w:type="dxa"/>
          </w:tcPr>
          <w:p w14:paraId="38EE1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850" w:type="dxa"/>
          </w:tcPr>
          <w:p w14:paraId="224E35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w:t>
            </w:r>
          </w:p>
        </w:tc>
        <w:tc>
          <w:tcPr>
            <w:tcW w:w="1977" w:type="dxa"/>
          </w:tcPr>
          <w:p w14:paraId="2D5ED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Водяного охлаждения</w:t>
            </w:r>
          </w:p>
        </w:tc>
        <w:tc>
          <w:tcPr>
            <w:tcW w:w="1977" w:type="dxa"/>
          </w:tcPr>
          <w:p w14:paraId="2A2277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c>
          <w:tcPr>
            <w:tcW w:w="1977" w:type="dxa"/>
          </w:tcPr>
          <w:p w14:paraId="0757EB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52E98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c>
          <w:tcPr>
            <w:tcW w:w="1977" w:type="dxa"/>
          </w:tcPr>
          <w:p w14:paraId="631D8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r>
      <w:tr w:rsidR="001002C3" w:rsidRPr="007122AB" w14:paraId="5FF423E1" w14:textId="77777777">
        <w:tc>
          <w:tcPr>
            <w:tcW w:w="534" w:type="dxa"/>
          </w:tcPr>
          <w:p w14:paraId="73727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850" w:type="dxa"/>
          </w:tcPr>
          <w:p w14:paraId="08E873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tc>
        <w:tc>
          <w:tcPr>
            <w:tcW w:w="1977" w:type="dxa"/>
          </w:tcPr>
          <w:p w14:paraId="58AB83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Водяного охлаждения</w:t>
            </w:r>
          </w:p>
        </w:tc>
        <w:tc>
          <w:tcPr>
            <w:tcW w:w="1977" w:type="dxa"/>
          </w:tcPr>
          <w:p w14:paraId="46E482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977" w:type="dxa"/>
          </w:tcPr>
          <w:p w14:paraId="476249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209FB9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2A9CE4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5EE918C1" w14:textId="77777777">
        <w:tc>
          <w:tcPr>
            <w:tcW w:w="534" w:type="dxa"/>
          </w:tcPr>
          <w:p w14:paraId="341159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850" w:type="dxa"/>
          </w:tcPr>
          <w:p w14:paraId="189E0A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w:t>
            </w:r>
          </w:p>
        </w:tc>
        <w:tc>
          <w:tcPr>
            <w:tcW w:w="1977" w:type="dxa"/>
          </w:tcPr>
          <w:p w14:paraId="02047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Водяного охлаждения</w:t>
            </w:r>
          </w:p>
        </w:tc>
        <w:tc>
          <w:tcPr>
            <w:tcW w:w="1977" w:type="dxa"/>
          </w:tcPr>
          <w:p w14:paraId="7FF97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FE08E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04BB7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977" w:type="dxa"/>
          </w:tcPr>
          <w:p w14:paraId="26F9F9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32859C95" w14:textId="77777777">
        <w:tc>
          <w:tcPr>
            <w:tcW w:w="534" w:type="dxa"/>
          </w:tcPr>
          <w:p w14:paraId="2F678A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850" w:type="dxa"/>
          </w:tcPr>
          <w:p w14:paraId="3237D5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w:t>
            </w:r>
          </w:p>
        </w:tc>
        <w:tc>
          <w:tcPr>
            <w:tcW w:w="1977" w:type="dxa"/>
          </w:tcPr>
          <w:p w14:paraId="230EA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Воздушного охлаждения</w:t>
            </w:r>
          </w:p>
        </w:tc>
        <w:tc>
          <w:tcPr>
            <w:tcW w:w="1977" w:type="dxa"/>
          </w:tcPr>
          <w:p w14:paraId="047DA3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977" w:type="dxa"/>
          </w:tcPr>
          <w:p w14:paraId="62EBCD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977" w:type="dxa"/>
          </w:tcPr>
          <w:p w14:paraId="0B386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977" w:type="dxa"/>
          </w:tcPr>
          <w:p w14:paraId="0D91E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r>
      <w:tr w:rsidR="001002C3" w:rsidRPr="007122AB" w14:paraId="4F8C44DB" w14:textId="77777777">
        <w:tc>
          <w:tcPr>
            <w:tcW w:w="534" w:type="dxa"/>
          </w:tcPr>
          <w:p w14:paraId="4AD4C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850" w:type="dxa"/>
          </w:tcPr>
          <w:p w14:paraId="5F4E1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977" w:type="dxa"/>
          </w:tcPr>
          <w:p w14:paraId="52039F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Воздушного охлаждения</w:t>
            </w:r>
          </w:p>
        </w:tc>
        <w:tc>
          <w:tcPr>
            <w:tcW w:w="1977" w:type="dxa"/>
          </w:tcPr>
          <w:p w14:paraId="701BAF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712C7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977" w:type="dxa"/>
          </w:tcPr>
          <w:p w14:paraId="513629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977" w:type="dxa"/>
          </w:tcPr>
          <w:p w14:paraId="25DAA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r>
      <w:tr w:rsidR="001002C3" w:rsidRPr="007122AB" w14:paraId="56414CFF" w14:textId="77777777">
        <w:tc>
          <w:tcPr>
            <w:tcW w:w="534" w:type="dxa"/>
          </w:tcPr>
          <w:p w14:paraId="533A5B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850" w:type="dxa"/>
          </w:tcPr>
          <w:p w14:paraId="00CF6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030</w:t>
            </w:r>
          </w:p>
        </w:tc>
        <w:tc>
          <w:tcPr>
            <w:tcW w:w="1977" w:type="dxa"/>
          </w:tcPr>
          <w:p w14:paraId="2F576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Воздушного охлаждения</w:t>
            </w:r>
          </w:p>
        </w:tc>
        <w:tc>
          <w:tcPr>
            <w:tcW w:w="1977" w:type="dxa"/>
          </w:tcPr>
          <w:p w14:paraId="47D1DD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5930D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977" w:type="dxa"/>
          </w:tcPr>
          <w:p w14:paraId="41F04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3AE09F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7DE42E55" w14:textId="77777777">
        <w:tc>
          <w:tcPr>
            <w:tcW w:w="534" w:type="dxa"/>
          </w:tcPr>
          <w:p w14:paraId="2233A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850" w:type="dxa"/>
          </w:tcPr>
          <w:p w14:paraId="3269E1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040</w:t>
            </w:r>
          </w:p>
        </w:tc>
        <w:tc>
          <w:tcPr>
            <w:tcW w:w="1977" w:type="dxa"/>
          </w:tcPr>
          <w:p w14:paraId="2301D0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Маломощные</w:t>
            </w:r>
          </w:p>
        </w:tc>
        <w:tc>
          <w:tcPr>
            <w:tcW w:w="1977" w:type="dxa"/>
          </w:tcPr>
          <w:p w14:paraId="17A8B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E9D7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AD4B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977" w:type="dxa"/>
          </w:tcPr>
          <w:p w14:paraId="0D1872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056FFF6F" w14:textId="77777777">
        <w:tc>
          <w:tcPr>
            <w:tcW w:w="534" w:type="dxa"/>
          </w:tcPr>
          <w:p w14:paraId="35D26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850" w:type="dxa"/>
          </w:tcPr>
          <w:p w14:paraId="633A1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ФЗУ и др.</w:t>
            </w:r>
          </w:p>
        </w:tc>
        <w:tc>
          <w:tcPr>
            <w:tcW w:w="1977" w:type="dxa"/>
          </w:tcPr>
          <w:p w14:paraId="46F26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Маломощные</w:t>
            </w:r>
          </w:p>
        </w:tc>
        <w:tc>
          <w:tcPr>
            <w:tcW w:w="1977" w:type="dxa"/>
          </w:tcPr>
          <w:p w14:paraId="5D2D82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5ED5A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6DB7E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977" w:type="dxa"/>
          </w:tcPr>
          <w:p w14:paraId="422AF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7357F89C" w14:textId="77777777">
        <w:tc>
          <w:tcPr>
            <w:tcW w:w="534" w:type="dxa"/>
          </w:tcPr>
          <w:p w14:paraId="34A708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850" w:type="dxa"/>
          </w:tcPr>
          <w:p w14:paraId="06EB2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050</w:t>
            </w:r>
          </w:p>
        </w:tc>
        <w:tc>
          <w:tcPr>
            <w:tcW w:w="1977" w:type="dxa"/>
          </w:tcPr>
          <w:p w14:paraId="066636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Нефтяные</w:t>
            </w:r>
          </w:p>
        </w:tc>
        <w:tc>
          <w:tcPr>
            <w:tcW w:w="1977" w:type="dxa"/>
          </w:tcPr>
          <w:p w14:paraId="1A4AD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446AB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4C13E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323D4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37EB79EF" w14:textId="77777777">
        <w:tc>
          <w:tcPr>
            <w:tcW w:w="534" w:type="dxa"/>
          </w:tcPr>
          <w:p w14:paraId="10E96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639AD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4DBF41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977" w:type="dxa"/>
          </w:tcPr>
          <w:p w14:paraId="3D503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11200</w:t>
            </w:r>
          </w:p>
        </w:tc>
        <w:tc>
          <w:tcPr>
            <w:tcW w:w="1977" w:type="dxa"/>
          </w:tcPr>
          <w:p w14:paraId="4A941E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35000</w:t>
            </w:r>
          </w:p>
        </w:tc>
        <w:tc>
          <w:tcPr>
            <w:tcW w:w="1977" w:type="dxa"/>
          </w:tcPr>
          <w:p w14:paraId="2F743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62000</w:t>
            </w:r>
          </w:p>
        </w:tc>
        <w:tc>
          <w:tcPr>
            <w:tcW w:w="1977" w:type="dxa"/>
          </w:tcPr>
          <w:p w14:paraId="179486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73500</w:t>
            </w:r>
          </w:p>
        </w:tc>
      </w:tr>
      <w:tr w:rsidR="001002C3" w:rsidRPr="007122AB" w14:paraId="41A0BBEF" w14:textId="77777777">
        <w:tc>
          <w:tcPr>
            <w:tcW w:w="534" w:type="dxa"/>
            <w:tcBorders>
              <w:bottom w:val="single" w:sz="12" w:space="0" w:color="auto"/>
            </w:tcBorders>
          </w:tcPr>
          <w:p w14:paraId="5FB191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850" w:type="dxa"/>
            <w:tcBorders>
              <w:bottom w:val="single" w:sz="12" w:space="0" w:color="auto"/>
            </w:tcBorders>
          </w:tcPr>
          <w:p w14:paraId="3A2D86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7F921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Кертис танковых</w:t>
            </w:r>
          </w:p>
        </w:tc>
        <w:tc>
          <w:tcPr>
            <w:tcW w:w="1977" w:type="dxa"/>
            <w:tcBorders>
              <w:bottom w:val="single" w:sz="12" w:space="0" w:color="auto"/>
            </w:tcBorders>
          </w:tcPr>
          <w:p w14:paraId="21C19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Borders>
              <w:bottom w:val="single" w:sz="12" w:space="0" w:color="auto"/>
            </w:tcBorders>
          </w:tcPr>
          <w:p w14:paraId="1A57B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977" w:type="dxa"/>
            <w:tcBorders>
              <w:bottom w:val="single" w:sz="12" w:space="0" w:color="auto"/>
            </w:tcBorders>
          </w:tcPr>
          <w:p w14:paraId="32E99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977" w:type="dxa"/>
            <w:tcBorders>
              <w:bottom w:val="single" w:sz="12" w:space="0" w:color="auto"/>
            </w:tcBorders>
          </w:tcPr>
          <w:p w14:paraId="4755C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bl>
    <w:p w14:paraId="4E5699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Определить ориентировочную стоимость этой программы в 1000-1200 млн. руб., в т.ч. около 100 млн. руб. по импортному оборудованию.</w:t>
      </w:r>
    </w:p>
    <w:p w14:paraId="6B4C20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Поручить Госплану контрольные цифры по капитальному строительству и импортному </w:t>
      </w:r>
      <w:proofErr w:type="spellStart"/>
      <w:r w:rsidRPr="007122AB">
        <w:rPr>
          <w:rFonts w:ascii="Times New Roman" w:hAnsi="Times New Roman"/>
          <w:color w:val="000000" w:themeColor="text1"/>
          <w:sz w:val="16"/>
          <w:szCs w:val="16"/>
        </w:rPr>
        <w:t>оборудовангию</w:t>
      </w:r>
      <w:proofErr w:type="spellEnd"/>
      <w:r w:rsidRPr="007122AB">
        <w:rPr>
          <w:rFonts w:ascii="Times New Roman" w:hAnsi="Times New Roman"/>
          <w:color w:val="000000" w:themeColor="text1"/>
          <w:sz w:val="16"/>
          <w:szCs w:val="16"/>
        </w:rPr>
        <w:t xml:space="preserve"> на 1932 г. разработать и доложить Правительству не позднее 1/Х1-33 (2329).</w:t>
      </w:r>
    </w:p>
    <w:p w14:paraId="628EE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706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сентября 1931 ОХ А объявил конкурс проектов легкомоторных самолетов (журн. "Осоавиахим". 1931. № 26) (10676).</w:t>
      </w:r>
    </w:p>
    <w:p w14:paraId="59DC5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33D7AF" w14:textId="77777777" w:rsidR="00295B66" w:rsidRPr="007122AB" w:rsidRDefault="00295B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сентября 1931 состоялся первый полёт Комсомольской правды с экипажем в составе командира Е.М. </w:t>
      </w:r>
      <w:proofErr w:type="spellStart"/>
      <w:r w:rsidRPr="007122AB">
        <w:rPr>
          <w:rFonts w:ascii="Times New Roman" w:hAnsi="Times New Roman"/>
          <w:color w:val="000000" w:themeColor="text1"/>
          <w:sz w:val="16"/>
          <w:szCs w:val="16"/>
        </w:rPr>
        <w:t>Оппма</w:t>
      </w:r>
      <w:proofErr w:type="spellEnd"/>
      <w:r w:rsidRPr="007122AB">
        <w:rPr>
          <w:rFonts w:ascii="Times New Roman" w:hAnsi="Times New Roman"/>
          <w:color w:val="000000" w:themeColor="text1"/>
          <w:sz w:val="16"/>
          <w:szCs w:val="16"/>
        </w:rPr>
        <w:t xml:space="preserve">- на, механика Козлова и Ф.Ф. </w:t>
      </w:r>
      <w:proofErr w:type="spellStart"/>
      <w:r w:rsidRPr="007122AB">
        <w:rPr>
          <w:rFonts w:ascii="Times New Roman" w:hAnsi="Times New Roman"/>
          <w:color w:val="000000" w:themeColor="text1"/>
          <w:sz w:val="16"/>
          <w:szCs w:val="16"/>
        </w:rPr>
        <w:t>Ассберга</w:t>
      </w:r>
      <w:proofErr w:type="spellEnd"/>
      <w:r w:rsidRPr="007122AB">
        <w:rPr>
          <w:rFonts w:ascii="Times New Roman" w:hAnsi="Times New Roman"/>
          <w:color w:val="000000" w:themeColor="text1"/>
          <w:sz w:val="16"/>
          <w:szCs w:val="16"/>
        </w:rPr>
        <w:t>. «Комсо</w:t>
      </w:r>
      <w:r w:rsidRPr="007122AB">
        <w:rPr>
          <w:rFonts w:ascii="Times New Roman" w:hAnsi="Times New Roman"/>
          <w:color w:val="000000" w:themeColor="text1"/>
          <w:sz w:val="16"/>
          <w:szCs w:val="16"/>
        </w:rPr>
        <w:softHyphen/>
        <w:t xml:space="preserve">мольская правда» выполнила круг над </w:t>
      </w:r>
      <w:proofErr w:type="spellStart"/>
      <w:r w:rsidRPr="007122AB">
        <w:rPr>
          <w:rFonts w:ascii="Times New Roman" w:hAnsi="Times New Roman"/>
          <w:color w:val="000000" w:themeColor="text1"/>
          <w:sz w:val="16"/>
          <w:szCs w:val="16"/>
        </w:rPr>
        <w:t>Кунцевым</w:t>
      </w:r>
      <w:proofErr w:type="spellEnd"/>
      <w:r w:rsidRPr="007122AB">
        <w:rPr>
          <w:rFonts w:ascii="Times New Roman" w:hAnsi="Times New Roman"/>
          <w:color w:val="000000" w:themeColor="text1"/>
          <w:sz w:val="16"/>
          <w:szCs w:val="16"/>
        </w:rPr>
        <w:t xml:space="preserve"> на высоте 200 м, пробыв в полёте 56 минут. За</w:t>
      </w:r>
      <w:r w:rsidRPr="007122AB">
        <w:rPr>
          <w:rFonts w:ascii="Times New Roman" w:hAnsi="Times New Roman"/>
          <w:color w:val="000000" w:themeColor="text1"/>
          <w:sz w:val="16"/>
          <w:szCs w:val="16"/>
        </w:rPr>
        <w:softHyphen/>
        <w:t>тем на дирижабле приступили к учебным полё</w:t>
      </w:r>
      <w:r w:rsidRPr="007122AB">
        <w:rPr>
          <w:rFonts w:ascii="Times New Roman" w:hAnsi="Times New Roman"/>
          <w:color w:val="000000" w:themeColor="text1"/>
          <w:sz w:val="16"/>
          <w:szCs w:val="16"/>
        </w:rPr>
        <w:softHyphen/>
        <w:t>там. На эффективности учебной работы сказыва</w:t>
      </w:r>
      <w:r w:rsidRPr="007122AB">
        <w:rPr>
          <w:rFonts w:ascii="Times New Roman" w:hAnsi="Times New Roman"/>
          <w:color w:val="000000" w:themeColor="text1"/>
          <w:sz w:val="16"/>
          <w:szCs w:val="16"/>
        </w:rPr>
        <w:softHyphen/>
        <w:t>лись трудности со снабжением газом и подвозом необходимых материалов. Полёты были сопря</w:t>
      </w:r>
      <w:r w:rsidRPr="007122AB">
        <w:rPr>
          <w:rFonts w:ascii="Times New Roman" w:hAnsi="Times New Roman"/>
          <w:color w:val="000000" w:themeColor="text1"/>
          <w:sz w:val="16"/>
          <w:szCs w:val="16"/>
        </w:rPr>
        <w:softHyphen/>
        <w:t>жены с известным риском, вызванным неудоб</w:t>
      </w:r>
      <w:r w:rsidRPr="007122AB">
        <w:rPr>
          <w:rFonts w:ascii="Times New Roman" w:hAnsi="Times New Roman"/>
          <w:color w:val="000000" w:themeColor="text1"/>
          <w:sz w:val="16"/>
          <w:szCs w:val="16"/>
        </w:rPr>
        <w:softHyphen/>
        <w:t>ными подходами к посадочной площадке. При</w:t>
      </w:r>
      <w:r w:rsidRPr="007122AB">
        <w:rPr>
          <w:rFonts w:ascii="Times New Roman" w:hAnsi="Times New Roman"/>
          <w:color w:val="000000" w:themeColor="text1"/>
          <w:sz w:val="16"/>
          <w:szCs w:val="16"/>
        </w:rPr>
        <w:softHyphen/>
        <w:t>знавалась неудовлетворительной и сама площад</w:t>
      </w:r>
      <w:r w:rsidRPr="007122AB">
        <w:rPr>
          <w:rFonts w:ascii="Times New Roman" w:hAnsi="Times New Roman"/>
          <w:color w:val="000000" w:themeColor="text1"/>
          <w:sz w:val="16"/>
          <w:szCs w:val="16"/>
        </w:rPr>
        <w:softHyphen/>
        <w:t>ка, усеянная пнями и частично мелким кустар</w:t>
      </w:r>
      <w:r w:rsidRPr="007122AB">
        <w:rPr>
          <w:rFonts w:ascii="Times New Roman" w:hAnsi="Times New Roman"/>
          <w:color w:val="000000" w:themeColor="text1"/>
          <w:sz w:val="16"/>
          <w:szCs w:val="16"/>
        </w:rPr>
        <w:softHyphen/>
        <w:t>ником. 19 сентября посадку произвели неудачно, и дирижабль, попав на дерево, прорвал оболочку. Полёты возобновились только через месяц как учебно-агитационные. В каждом из них прини</w:t>
      </w:r>
      <w:r w:rsidRPr="007122AB">
        <w:rPr>
          <w:rFonts w:ascii="Times New Roman" w:hAnsi="Times New Roman"/>
          <w:color w:val="000000" w:themeColor="text1"/>
          <w:sz w:val="16"/>
          <w:szCs w:val="16"/>
        </w:rPr>
        <w:softHyphen/>
        <w:t>мали участие 7-10 человек. Сами полёты выпол</w:t>
      </w:r>
      <w:r w:rsidRPr="007122AB">
        <w:rPr>
          <w:rFonts w:ascii="Times New Roman" w:hAnsi="Times New Roman"/>
          <w:color w:val="000000" w:themeColor="text1"/>
          <w:sz w:val="16"/>
          <w:szCs w:val="16"/>
        </w:rPr>
        <w:softHyphen/>
        <w:t>нялись над рабочими кварталами столицы, над АМО, заводом «Каучук», ЦАГИ и т. д. (20120)</w:t>
      </w:r>
    </w:p>
    <w:p w14:paraId="24E6128B" w14:textId="77777777" w:rsidR="00295B66" w:rsidRPr="007122AB" w:rsidRDefault="00295B66" w:rsidP="007122AB">
      <w:pPr>
        <w:spacing w:after="0" w:line="240" w:lineRule="auto"/>
        <w:jc w:val="both"/>
        <w:rPr>
          <w:rFonts w:ascii="Times New Roman" w:hAnsi="Times New Roman"/>
          <w:color w:val="000000" w:themeColor="text1"/>
          <w:sz w:val="16"/>
          <w:szCs w:val="16"/>
        </w:rPr>
      </w:pPr>
    </w:p>
    <w:p w14:paraId="7566F37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996F9B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FF7BB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сентября 1931 г. было начато строительство завода «Красный сигналист» по производству аппаратуры для железнодорожной сигнализации и блокировки. В 1932 г. завод выпустил первую продукцию- железнодорожные клеммы СЦБ, поршни и поршневые кольца для автомобилей.</w:t>
      </w:r>
    </w:p>
    <w:p w14:paraId="5DEF4F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 СТО от 28.08.1932 г. переориентирован на выпуск радиотехники и переименован в завод радио</w:t>
      </w:r>
      <w:r w:rsidRPr="007122AB">
        <w:rPr>
          <w:rFonts w:ascii="Times New Roman" w:hAnsi="Times New Roman"/>
          <w:color w:val="000000" w:themeColor="text1"/>
          <w:sz w:val="16"/>
          <w:szCs w:val="16"/>
        </w:rPr>
        <w:softHyphen/>
        <w:t>приемной аппаратуры «Электросигнал». Освоен выпуск детекторных приемников. С конца 1933 г. завод- в ведении «</w:t>
      </w:r>
      <w:proofErr w:type="spellStart"/>
      <w:r w:rsidRPr="007122AB">
        <w:rPr>
          <w:rFonts w:ascii="Times New Roman" w:hAnsi="Times New Roman"/>
          <w:color w:val="000000" w:themeColor="text1"/>
          <w:sz w:val="16"/>
          <w:szCs w:val="16"/>
        </w:rPr>
        <w:t>Главэспрома</w:t>
      </w:r>
      <w:proofErr w:type="spellEnd"/>
      <w:r w:rsidRPr="007122AB">
        <w:rPr>
          <w:rFonts w:ascii="Times New Roman" w:hAnsi="Times New Roman"/>
          <w:color w:val="000000" w:themeColor="text1"/>
          <w:sz w:val="16"/>
          <w:szCs w:val="16"/>
        </w:rPr>
        <w:t>» НКТП. В 1937 г. - в ведении НКОП, приказом № 116 от 31.03.1937 г. утвержден Устав завода (назывался также Воронежский завод радиоприемников «Электросигнал»), в 08-12.1938 г. - в ведении 5ГУ. По Указу Президиума ВС СССР от 17.04.1940 г. передан из 7ГУ НКАП в НКЭП.</w:t>
      </w:r>
    </w:p>
    <w:p w14:paraId="40CF74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 0101 от 7.05.1937 г. предписано к 1.01.1938 г. ввести завод в эксплуатацию. Приказом № 0063 от 27.03.1937 г. для реализации договора об </w:t>
      </w:r>
      <w:proofErr w:type="spellStart"/>
      <w:r w:rsidRPr="007122AB">
        <w:rPr>
          <w:rFonts w:ascii="Times New Roman" w:hAnsi="Times New Roman"/>
          <w:color w:val="000000" w:themeColor="text1"/>
          <w:sz w:val="16"/>
          <w:szCs w:val="16"/>
        </w:rPr>
        <w:t>инотехпомощи</w:t>
      </w:r>
      <w:proofErr w:type="spellEnd"/>
      <w:r w:rsidRPr="007122AB">
        <w:rPr>
          <w:rFonts w:ascii="Times New Roman" w:hAnsi="Times New Roman"/>
          <w:color w:val="000000" w:themeColor="text1"/>
          <w:sz w:val="16"/>
          <w:szCs w:val="16"/>
        </w:rPr>
        <w:t xml:space="preserve">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w:t>
      </w:r>
      <w:r w:rsidRPr="007122AB">
        <w:rPr>
          <w:rFonts w:ascii="Times New Roman" w:hAnsi="Times New Roman"/>
          <w:color w:val="000000" w:themeColor="text1"/>
          <w:sz w:val="16"/>
          <w:szCs w:val="16"/>
        </w:rPr>
        <w:lastRenderedPageBreak/>
        <w:t>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71A36A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7122AB">
        <w:rPr>
          <w:rFonts w:ascii="Times New Roman" w:hAnsi="Times New Roman"/>
          <w:color w:val="000000" w:themeColor="text1"/>
          <w:sz w:val="16"/>
          <w:szCs w:val="16"/>
          <w:vertAlign w:val="superscript"/>
        </w:rPr>
        <w:t>130</w:t>
      </w:r>
      <w:r w:rsidRPr="007122AB">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252E9D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728 НКС, МПСС , Завод «Красный сигналист», ГС Воронежский завод радио</w:t>
      </w:r>
      <w:r w:rsidRPr="007122AB">
        <w:rPr>
          <w:rFonts w:ascii="Times New Roman" w:hAnsi="Times New Roman"/>
          <w:color w:val="000000" w:themeColor="text1"/>
          <w:sz w:val="16"/>
          <w:szCs w:val="16"/>
        </w:rPr>
        <w:softHyphen/>
        <w:t xml:space="preserve">приемной аппаратуры «Электросигнал» НКТП, НКОП, НКАП, НКЭП, В-8865, ПО «Электросигнал» МПСС, АООТ, ОАО «Электросигнал» /г. Воронеж Задонское ш. а/я 5/ /394026  г. Воронеж ул. </w:t>
      </w:r>
      <w:proofErr w:type="spellStart"/>
      <w:r w:rsidRPr="007122AB">
        <w:rPr>
          <w:rFonts w:ascii="Times New Roman" w:hAnsi="Times New Roman"/>
          <w:color w:val="000000" w:themeColor="text1"/>
          <w:sz w:val="16"/>
          <w:szCs w:val="16"/>
        </w:rPr>
        <w:t>Электросигнальная</w:t>
      </w:r>
      <w:proofErr w:type="spellEnd"/>
      <w:r w:rsidRPr="007122AB">
        <w:rPr>
          <w:rFonts w:ascii="Times New Roman" w:hAnsi="Times New Roman"/>
          <w:color w:val="000000" w:themeColor="text1"/>
          <w:sz w:val="16"/>
          <w:szCs w:val="16"/>
        </w:rPr>
        <w:t>, 1 тел. 16-04-94, -24-87/</w:t>
      </w:r>
    </w:p>
    <w:p w14:paraId="086B1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0F8692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38B7A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77BD1F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2D658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2B3B79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(1932 г.-)-  Г.М. </w:t>
      </w:r>
      <w:proofErr w:type="spellStart"/>
      <w:r w:rsidRPr="007122AB">
        <w:rPr>
          <w:rFonts w:ascii="Times New Roman" w:hAnsi="Times New Roman"/>
          <w:color w:val="000000" w:themeColor="text1"/>
          <w:sz w:val="16"/>
          <w:szCs w:val="16"/>
        </w:rPr>
        <w:t>Гройсер</w:t>
      </w:r>
      <w:proofErr w:type="spellEnd"/>
      <w:r w:rsidRPr="007122AB">
        <w:rPr>
          <w:rFonts w:ascii="Times New Roman" w:hAnsi="Times New Roman"/>
          <w:color w:val="000000" w:themeColor="text1"/>
          <w:sz w:val="16"/>
          <w:szCs w:val="16"/>
        </w:rPr>
        <w:t xml:space="preserve">-Де-Маре, (-11.02.1937 г.)- А.А. </w:t>
      </w:r>
      <w:proofErr w:type="spellStart"/>
      <w:r w:rsidRPr="007122AB">
        <w:rPr>
          <w:rFonts w:ascii="Times New Roman" w:hAnsi="Times New Roman"/>
          <w:color w:val="000000" w:themeColor="text1"/>
          <w:sz w:val="16"/>
          <w:szCs w:val="16"/>
        </w:rPr>
        <w:t>Нудэ</w:t>
      </w:r>
      <w:proofErr w:type="spellEnd"/>
      <w:r w:rsidRPr="007122AB">
        <w:rPr>
          <w:rFonts w:ascii="Times New Roman" w:hAnsi="Times New Roman"/>
          <w:color w:val="000000" w:themeColor="text1"/>
          <w:sz w:val="16"/>
          <w:szCs w:val="16"/>
        </w:rPr>
        <w:t>, (11.02.1937-5.03.1938 г.)- А(Н).И. Щеголь (снят); и.о. (29.04-05.1938 г.)- В.М. Карпов; (14.05-11.1938 г.-)- В.М. Карпов, (1949-68 г.)-  Г.П. Фурсов, (1968-87 г.)- Н.А. Потапов. Гендиректор (1996 г.-&gt; Б.В. Харченко, (2004 г.-)-  Г.Н. Потапов.</w:t>
      </w:r>
    </w:p>
    <w:p w14:paraId="23A0B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(-27.05.1937 г.)- И.К. </w:t>
      </w:r>
      <w:proofErr w:type="spellStart"/>
      <w:r w:rsidRPr="007122AB">
        <w:rPr>
          <w:rFonts w:ascii="Times New Roman" w:hAnsi="Times New Roman"/>
          <w:color w:val="000000" w:themeColor="text1"/>
          <w:sz w:val="16"/>
          <w:szCs w:val="16"/>
        </w:rPr>
        <w:t>Вирзин</w:t>
      </w:r>
      <w:proofErr w:type="spellEnd"/>
      <w:r w:rsidRPr="007122AB">
        <w:rPr>
          <w:rFonts w:ascii="Times New Roman" w:hAnsi="Times New Roman"/>
          <w:color w:val="000000" w:themeColor="text1"/>
          <w:sz w:val="16"/>
          <w:szCs w:val="16"/>
        </w:rPr>
        <w:t>, (27.05.1937 г.-&gt; В.И. Нефедов, (14.10.1937 г.-)- И.Т. Козенко.</w:t>
      </w:r>
    </w:p>
    <w:p w14:paraId="67134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директор (03.1937 г.)- Л.А. Раков.</w:t>
      </w:r>
    </w:p>
    <w:p w14:paraId="68C07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(16.02.1937 г.-)- Л.А. Раков, (14.10.1937-19.07.1938 г.)- И.Т. Козенко, (9.05-11.1938 г.-)-  Г.К. Марисов.</w:t>
      </w:r>
    </w:p>
    <w:p w14:paraId="3AC42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инженера (16.02.1937 г.-)- В.Н. Котельников.</w:t>
      </w:r>
    </w:p>
    <w:p w14:paraId="115EC7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производства (16.02.1937 г.-)- В.Н. Котельников.</w:t>
      </w:r>
    </w:p>
    <w:p w14:paraId="7C21D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конденсаторного (03.1937 г.-)- И. Г. Козенок.</w:t>
      </w:r>
      <w:r w:rsidRPr="007122AB">
        <w:rPr>
          <w:rFonts w:ascii="Times New Roman" w:hAnsi="Times New Roman"/>
          <w:color w:val="000000" w:themeColor="text1"/>
          <w:sz w:val="16"/>
          <w:szCs w:val="16"/>
          <w:vertAlign w:val="superscript"/>
        </w:rPr>
        <w:t>Ь9</w:t>
      </w:r>
    </w:p>
    <w:p w14:paraId="383DA2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 радиоприемники:</w:t>
      </w:r>
      <w:r w:rsidRPr="007122AB">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7122AB">
        <w:rPr>
          <w:rFonts w:ascii="Times New Roman" w:hAnsi="Times New Roman"/>
          <w:iCs/>
          <w:color w:val="000000" w:themeColor="text1"/>
          <w:sz w:val="16"/>
          <w:szCs w:val="16"/>
        </w:rPr>
        <w:t>радиостанции:</w:t>
      </w:r>
      <w:r w:rsidRPr="007122AB">
        <w:rPr>
          <w:rFonts w:ascii="Times New Roman" w:hAnsi="Times New Roman"/>
          <w:color w:val="000000" w:themeColor="text1"/>
          <w:sz w:val="16"/>
          <w:szCs w:val="16"/>
        </w:rPr>
        <w:t xml:space="preserve"> АРС (1949-), ЦРС (1949-), «Марс» (1949-), «</w:t>
      </w:r>
      <w:proofErr w:type="spellStart"/>
      <w:r w:rsidRPr="007122AB">
        <w:rPr>
          <w:rFonts w:ascii="Times New Roman" w:hAnsi="Times New Roman"/>
          <w:color w:val="000000" w:themeColor="text1"/>
          <w:sz w:val="16"/>
          <w:szCs w:val="16"/>
        </w:rPr>
        <w:t>Плахпет</w:t>
      </w:r>
      <w:proofErr w:type="spellEnd"/>
      <w:r w:rsidRPr="007122AB">
        <w:rPr>
          <w:rFonts w:ascii="Times New Roman" w:hAnsi="Times New Roman"/>
          <w:color w:val="000000" w:themeColor="text1"/>
          <w:sz w:val="16"/>
          <w:szCs w:val="16"/>
        </w:rPr>
        <w:t>»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w:t>
      </w:r>
      <w:r w:rsidRPr="007122AB">
        <w:rPr>
          <w:rFonts w:ascii="Times New Roman" w:hAnsi="Times New Roman"/>
          <w:iCs/>
          <w:color w:val="000000" w:themeColor="text1"/>
          <w:sz w:val="16"/>
          <w:szCs w:val="16"/>
        </w:rPr>
        <w:t xml:space="preserve"> телевизоры:</w:t>
      </w:r>
      <w:r w:rsidRPr="007122AB">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7122AB">
        <w:rPr>
          <w:rFonts w:ascii="Times New Roman" w:hAnsi="Times New Roman"/>
          <w:color w:val="000000" w:themeColor="text1"/>
          <w:sz w:val="16"/>
          <w:szCs w:val="16"/>
          <w:vertAlign w:val="superscript"/>
        </w:rPr>
        <w:t>101</w:t>
      </w:r>
      <w:r w:rsidRPr="007122AB">
        <w:rPr>
          <w:rFonts w:ascii="Times New Roman" w:hAnsi="Times New Roman"/>
          <w:color w:val="000000" w:themeColor="text1"/>
          <w:sz w:val="16"/>
          <w:szCs w:val="16"/>
        </w:rPr>
        <w:t>'</w:t>
      </w:r>
    </w:p>
    <w:p w14:paraId="2F7E9F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«Сигнал», В-8955 /Украина  г. Коммунарск Луганской обл./</w:t>
      </w:r>
    </w:p>
    <w:p w14:paraId="27A940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232C46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радиостанция «Гранит-М».</w:t>
      </w:r>
    </w:p>
    <w:p w14:paraId="74A7A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ПО «Орион», ОАО «Тернопольский радиозавод (ТРЗ) «Орион» /Украина  г. Тернополь ул. 15-го </w:t>
      </w:r>
      <w:proofErr w:type="spellStart"/>
      <w:r w:rsidRPr="007122AB">
        <w:rPr>
          <w:rFonts w:ascii="Times New Roman" w:hAnsi="Times New Roman"/>
          <w:color w:val="000000" w:themeColor="text1"/>
          <w:sz w:val="16"/>
          <w:szCs w:val="16"/>
        </w:rPr>
        <w:t>Квитня</w:t>
      </w:r>
      <w:proofErr w:type="spellEnd"/>
      <w:r w:rsidRPr="007122AB">
        <w:rPr>
          <w:rFonts w:ascii="Times New Roman" w:hAnsi="Times New Roman"/>
          <w:color w:val="000000" w:themeColor="text1"/>
          <w:sz w:val="16"/>
          <w:szCs w:val="16"/>
        </w:rPr>
        <w:t>, 6/</w:t>
      </w:r>
    </w:p>
    <w:p w14:paraId="5EEA1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55DBC5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электропроигрыватели: «Орбита-001С, ЭП-001С»; магнитолы: «Селена», «</w:t>
      </w:r>
      <w:proofErr w:type="spellStart"/>
      <w:r w:rsidRPr="007122AB">
        <w:rPr>
          <w:rFonts w:ascii="Times New Roman" w:hAnsi="Times New Roman"/>
          <w:color w:val="000000" w:themeColor="text1"/>
          <w:sz w:val="16"/>
          <w:szCs w:val="16"/>
        </w:rPr>
        <w:t>Топильче</w:t>
      </w:r>
      <w:proofErr w:type="spellEnd"/>
      <w:r w:rsidRPr="007122AB">
        <w:rPr>
          <w:rFonts w:ascii="Times New Roman" w:hAnsi="Times New Roman"/>
          <w:color w:val="000000" w:themeColor="text1"/>
          <w:sz w:val="16"/>
          <w:szCs w:val="16"/>
        </w:rPr>
        <w:t xml:space="preserve"> РМ- 201С»; радиоприемники: «Орион РП-201, РП-206».</w:t>
      </w:r>
    </w:p>
    <w:p w14:paraId="6B3E1C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48E12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в 1948 г. на базе завода «Электросигнал». Имел наименование «п/я А-7058».</w:t>
      </w:r>
    </w:p>
    <w:p w14:paraId="004D91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AD300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транзистор П-216.</w:t>
      </w:r>
    </w:p>
    <w:p w14:paraId="4BCE3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40B0F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5F214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1B8470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Р-389, Р-391; блоки для Р-359;</w:t>
      </w:r>
      <w:r w:rsidRPr="007122AB">
        <w:rPr>
          <w:rFonts w:ascii="Times New Roman" w:hAnsi="Times New Roman"/>
          <w:iCs/>
          <w:color w:val="000000" w:themeColor="text1"/>
          <w:sz w:val="16"/>
          <w:szCs w:val="16"/>
        </w:rPr>
        <w:t xml:space="preserve"> радиоприемники:</w:t>
      </w:r>
      <w:r w:rsidRPr="007122AB">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7122AB">
        <w:rPr>
          <w:rFonts w:ascii="Times New Roman" w:hAnsi="Times New Roman"/>
          <w:color w:val="000000" w:themeColor="text1"/>
          <w:sz w:val="16"/>
          <w:szCs w:val="16"/>
          <w:vertAlign w:val="superscript"/>
        </w:rPr>
        <w:t>108</w:t>
      </w:r>
    </w:p>
    <w:p w14:paraId="42CCC2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ФГУП «Воронежский НИИ «Вега» /г. Воронеж/</w:t>
      </w:r>
    </w:p>
    <w:p w14:paraId="443D40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в 1956 г. на базе завода «Электросигнал».</w:t>
      </w:r>
    </w:p>
    <w:p w14:paraId="7CD47E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F181B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5AD97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64575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w:t>
      </w:r>
      <w:proofErr w:type="spellStart"/>
      <w:r w:rsidRPr="007122AB">
        <w:rPr>
          <w:rFonts w:ascii="Times New Roman" w:hAnsi="Times New Roman"/>
          <w:color w:val="000000" w:themeColor="text1"/>
          <w:sz w:val="16"/>
          <w:szCs w:val="16"/>
        </w:rPr>
        <w:t>радиоподавления</w:t>
      </w:r>
      <w:proofErr w:type="spellEnd"/>
      <w:r w:rsidRPr="007122AB">
        <w:rPr>
          <w:rFonts w:ascii="Times New Roman" w:hAnsi="Times New Roman"/>
          <w:color w:val="000000" w:themeColor="text1"/>
          <w:sz w:val="16"/>
          <w:szCs w:val="16"/>
        </w:rPr>
        <w:t xml:space="preserve">; (2005 г.): технологические средства для </w:t>
      </w:r>
      <w:r w:rsidRPr="007122AB">
        <w:rPr>
          <w:rFonts w:ascii="Times New Roman" w:hAnsi="Times New Roman"/>
          <w:color w:val="000000" w:themeColor="text1"/>
          <w:sz w:val="16"/>
          <w:szCs w:val="16"/>
          <w:lang w:val="en-US"/>
        </w:rPr>
        <w:t>CDMA</w:t>
      </w:r>
      <w:r w:rsidRPr="007122AB">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5D6B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7122AB">
        <w:rPr>
          <w:rFonts w:ascii="Times New Roman" w:hAnsi="Times New Roman"/>
          <w:color w:val="000000" w:themeColor="text1"/>
          <w:sz w:val="16"/>
          <w:szCs w:val="16"/>
          <w:lang w:val="en-US"/>
        </w:rPr>
        <w:t>KB</w:t>
      </w:r>
      <w:r w:rsidRPr="007122AB">
        <w:rPr>
          <w:rFonts w:ascii="Times New Roman" w:hAnsi="Times New Roman"/>
          <w:color w:val="000000" w:themeColor="text1"/>
          <w:sz w:val="16"/>
          <w:szCs w:val="16"/>
        </w:rPr>
        <w:t xml:space="preserve"> радиостанций.</w:t>
      </w:r>
    </w:p>
    <w:p w14:paraId="18568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4AD54C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73F62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468AA7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0481E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(2005 г.)- около 5000 чел.</w:t>
      </w:r>
      <w:r w:rsidRPr="007122AB">
        <w:rPr>
          <w:rFonts w:ascii="Times New Roman" w:hAnsi="Times New Roman"/>
          <w:color w:val="000000" w:themeColor="text1"/>
          <w:sz w:val="16"/>
          <w:szCs w:val="16"/>
          <w:vertAlign w:val="superscript"/>
        </w:rPr>
        <w:t>101</w:t>
      </w:r>
    </w:p>
    <w:p w14:paraId="79CDE2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(1958-86 г.)- К.Я. Петров, Б.Я. Осипов,</w:t>
      </w:r>
      <w:r w:rsidRPr="007122AB">
        <w:rPr>
          <w:rFonts w:ascii="Times New Roman" w:hAnsi="Times New Roman"/>
          <w:color w:val="000000" w:themeColor="text1"/>
          <w:sz w:val="16"/>
          <w:szCs w:val="16"/>
          <w:vertAlign w:val="superscript"/>
        </w:rPr>
        <w:t>122</w:t>
      </w:r>
      <w:r w:rsidRPr="007122AB">
        <w:rPr>
          <w:rFonts w:ascii="Times New Roman" w:hAnsi="Times New Roman"/>
          <w:color w:val="000000" w:themeColor="text1"/>
          <w:sz w:val="16"/>
          <w:szCs w:val="16"/>
        </w:rPr>
        <w:t xml:space="preserve"> А.П. Биленко,</w:t>
      </w:r>
      <w:r w:rsidRPr="007122AB">
        <w:rPr>
          <w:rFonts w:ascii="Times New Roman" w:hAnsi="Times New Roman"/>
          <w:color w:val="000000" w:themeColor="text1"/>
          <w:sz w:val="16"/>
          <w:szCs w:val="16"/>
          <w:vertAlign w:val="superscript"/>
        </w:rPr>
        <w:t>122</w:t>
      </w:r>
      <w:r w:rsidRPr="007122AB">
        <w:rPr>
          <w:rFonts w:ascii="Times New Roman" w:hAnsi="Times New Roman"/>
          <w:color w:val="000000" w:themeColor="text1"/>
          <w:sz w:val="16"/>
          <w:szCs w:val="16"/>
        </w:rPr>
        <w:t xml:space="preserve"> (1986-2003 г.-)- В.И. Борисов. Гендиректор (-2005-06 Г.-)- В.И. Борисов.</w:t>
      </w:r>
    </w:p>
    <w:p w14:paraId="6A84F0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по науке (2001 г.)- И.И. Малышев.</w:t>
      </w:r>
    </w:p>
    <w:p w14:paraId="08FC22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Ген. конструктор (-2003-06 г.-)- В. Борисов.</w:t>
      </w:r>
    </w:p>
    <w:p w14:paraId="4BB47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И.И. Малышев.</w:t>
      </w:r>
    </w:p>
    <w:p w14:paraId="663FC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А.П. Биленко, Н.А. Рудиков, В.И. Николаев, Э.А. </w:t>
      </w:r>
      <w:proofErr w:type="spellStart"/>
      <w:r w:rsidRPr="007122AB">
        <w:rPr>
          <w:rFonts w:ascii="Times New Roman" w:hAnsi="Times New Roman"/>
          <w:color w:val="000000" w:themeColor="text1"/>
          <w:sz w:val="16"/>
          <w:szCs w:val="16"/>
        </w:rPr>
        <w:t>Янутан</w:t>
      </w:r>
      <w:proofErr w:type="spellEnd"/>
      <w:r w:rsidRPr="007122AB">
        <w:rPr>
          <w:rFonts w:ascii="Times New Roman" w:hAnsi="Times New Roman"/>
          <w:color w:val="000000" w:themeColor="text1"/>
          <w:sz w:val="16"/>
          <w:szCs w:val="16"/>
        </w:rPr>
        <w:t>.</w:t>
      </w:r>
    </w:p>
    <w:p w14:paraId="37515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технолог- В.З. Курцев.</w:t>
      </w:r>
    </w:p>
    <w:p w14:paraId="46E36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конструкторы: Б.Я. Осипов, А.П. Биленко (аппаратура 15Э), </w:t>
      </w:r>
      <w:r w:rsidRPr="007122AB">
        <w:rPr>
          <w:rFonts w:ascii="Times New Roman" w:hAnsi="Times New Roman"/>
          <w:color w:val="000000" w:themeColor="text1"/>
          <w:sz w:val="16"/>
          <w:szCs w:val="16"/>
          <w:lang w:val="en-US"/>
        </w:rPr>
        <w:t>JI</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T</w:t>
      </w:r>
      <w:r w:rsidRPr="007122AB">
        <w:rPr>
          <w:rFonts w:ascii="Times New Roman" w:hAnsi="Times New Roman"/>
          <w:color w:val="000000" w:themeColor="text1"/>
          <w:sz w:val="16"/>
          <w:szCs w:val="16"/>
        </w:rPr>
        <w:t>. Болотин («Выстрел», «Выстрел-М»),</w:t>
      </w:r>
    </w:p>
    <w:p w14:paraId="1DC54A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микроэлектроники-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Цымбалюк</w:t>
      </w:r>
      <w:proofErr w:type="spellEnd"/>
      <w:r w:rsidRPr="007122AB">
        <w:rPr>
          <w:rFonts w:ascii="Times New Roman" w:hAnsi="Times New Roman"/>
          <w:color w:val="000000" w:themeColor="text1"/>
          <w:sz w:val="16"/>
          <w:szCs w:val="16"/>
        </w:rPr>
        <w:t>.</w:t>
      </w:r>
    </w:p>
    <w:p w14:paraId="34BA9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Создано: радиостанции:</w:t>
      </w:r>
      <w:r w:rsidRPr="007122AB">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w:t>
      </w:r>
      <w:proofErr w:type="spellStart"/>
      <w:r w:rsidRPr="007122AB">
        <w:rPr>
          <w:rFonts w:ascii="Times New Roman" w:hAnsi="Times New Roman"/>
          <w:color w:val="000000" w:themeColor="text1"/>
          <w:sz w:val="16"/>
          <w:szCs w:val="16"/>
        </w:rPr>
        <w:t>Визиви</w:t>
      </w:r>
      <w:proofErr w:type="spellEnd"/>
      <w:r w:rsidRPr="007122AB">
        <w:rPr>
          <w:rFonts w:ascii="Times New Roman" w:hAnsi="Times New Roman"/>
          <w:color w:val="000000" w:themeColor="text1"/>
          <w:sz w:val="16"/>
          <w:szCs w:val="16"/>
        </w:rPr>
        <w:t xml:space="preserve">»,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proofErr w:type="spellStart"/>
      <w:r w:rsidRPr="007122AB">
        <w:rPr>
          <w:rFonts w:ascii="Times New Roman" w:hAnsi="Times New Roman"/>
          <w:color w:val="000000" w:themeColor="text1"/>
          <w:sz w:val="16"/>
          <w:szCs w:val="16"/>
          <w:lang w:val="en-US"/>
        </w:rPr>
        <w:t>nqHopriMB</w:t>
      </w:r>
      <w:proofErr w:type="spellEnd"/>
      <w:r w:rsidRPr="007122AB">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w:t>
      </w:r>
      <w:r w:rsidRPr="007122AB">
        <w:rPr>
          <w:rFonts w:ascii="Times New Roman" w:hAnsi="Times New Roman"/>
          <w:color w:val="000000" w:themeColor="text1"/>
          <w:sz w:val="16"/>
          <w:szCs w:val="16"/>
        </w:rPr>
        <w:lastRenderedPageBreak/>
        <w:t>«Порт», «Кама-С, -П», «Беркут», «Глет-Н, -3», «Лес», «</w:t>
      </w:r>
      <w:proofErr w:type="spellStart"/>
      <w:r w:rsidRPr="007122AB">
        <w:rPr>
          <w:rFonts w:ascii="Times New Roman" w:hAnsi="Times New Roman"/>
          <w:color w:val="000000" w:themeColor="text1"/>
          <w:sz w:val="16"/>
          <w:szCs w:val="16"/>
        </w:rPr>
        <w:t>Волемот</w:t>
      </w:r>
      <w:proofErr w:type="spellEnd"/>
      <w:r w:rsidRPr="007122AB">
        <w:rPr>
          <w:rFonts w:ascii="Times New Roman" w:hAnsi="Times New Roman"/>
          <w:color w:val="000000" w:themeColor="text1"/>
          <w:sz w:val="16"/>
          <w:szCs w:val="16"/>
        </w:rPr>
        <w:t xml:space="preserve">», «Лен», «Акватория»; </w:t>
      </w:r>
      <w:proofErr w:type="spellStart"/>
      <w:r w:rsidRPr="007122AB">
        <w:rPr>
          <w:rFonts w:ascii="Times New Roman" w:hAnsi="Times New Roman"/>
          <w:color w:val="000000" w:themeColor="text1"/>
          <w:sz w:val="16"/>
          <w:szCs w:val="16"/>
        </w:rPr>
        <w:t>навигацпан</w:t>
      </w:r>
      <w:proofErr w:type="spellEnd"/>
      <w:r w:rsidRPr="007122AB">
        <w:rPr>
          <w:rFonts w:ascii="Times New Roman" w:hAnsi="Times New Roman"/>
          <w:color w:val="000000" w:themeColor="text1"/>
          <w:sz w:val="16"/>
          <w:szCs w:val="16"/>
        </w:rPr>
        <w:t xml:space="preserve"> аппаратура «Азимут» (2000-е); релейная станция «Луч МТ» (2000-е); система связи для МПС «Транспорт»; транкинговая система общего пользования «Алтай» (1970-е).</w:t>
      </w:r>
    </w:p>
    <w:p w14:paraId="76764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 опытных работ (КБОР) МПСС, ФГУП «КБОР» ФАП /115093  г. Москва 1-й </w:t>
      </w:r>
      <w:proofErr w:type="spellStart"/>
      <w:r w:rsidRPr="007122AB">
        <w:rPr>
          <w:rFonts w:ascii="Times New Roman" w:hAnsi="Times New Roman"/>
          <w:color w:val="000000" w:themeColor="text1"/>
          <w:sz w:val="16"/>
          <w:szCs w:val="16"/>
        </w:rPr>
        <w:t>Щипковский</w:t>
      </w:r>
      <w:proofErr w:type="spellEnd"/>
      <w:r w:rsidRPr="007122AB">
        <w:rPr>
          <w:rFonts w:ascii="Times New Roman" w:hAnsi="Times New Roman"/>
          <w:color w:val="000000" w:themeColor="text1"/>
          <w:sz w:val="16"/>
          <w:szCs w:val="16"/>
        </w:rPr>
        <w:t xml:space="preserve"> пер., 3 тел. 235-83-27/</w:t>
      </w:r>
    </w:p>
    <w:p w14:paraId="33CB74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1F380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w:t>
      </w:r>
      <w:proofErr w:type="spellStart"/>
      <w:r w:rsidRPr="007122AB">
        <w:rPr>
          <w:rFonts w:ascii="Times New Roman" w:hAnsi="Times New Roman"/>
          <w:color w:val="000000" w:themeColor="text1"/>
          <w:sz w:val="16"/>
          <w:szCs w:val="16"/>
        </w:rPr>
        <w:t>тропикоустойчивости</w:t>
      </w:r>
      <w:proofErr w:type="spellEnd"/>
      <w:r w:rsidRPr="007122AB">
        <w:rPr>
          <w:rFonts w:ascii="Times New Roman" w:hAnsi="Times New Roman"/>
          <w:color w:val="000000" w:themeColor="text1"/>
          <w:sz w:val="16"/>
          <w:szCs w:val="16"/>
        </w:rPr>
        <w:t>, утилизации многокомпонентного металлолома.</w:t>
      </w:r>
    </w:p>
    <w:p w14:paraId="447354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Имело Боровский филиал (1975-79 г.).</w:t>
      </w:r>
    </w:p>
    <w:p w14:paraId="17898A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12A28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F9BB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Входил в состав Концерна «Созвездие» (2006 г.).</w:t>
      </w:r>
    </w:p>
    <w:p w14:paraId="1510A6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3AD6C0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А.И. </w:t>
      </w:r>
      <w:proofErr w:type="spellStart"/>
      <w:r w:rsidRPr="007122AB">
        <w:rPr>
          <w:rFonts w:ascii="Times New Roman" w:hAnsi="Times New Roman"/>
          <w:color w:val="000000" w:themeColor="text1"/>
          <w:sz w:val="16"/>
          <w:szCs w:val="16"/>
        </w:rPr>
        <w:t>Студеницын</w:t>
      </w:r>
      <w:proofErr w:type="spellEnd"/>
      <w:r w:rsidRPr="007122AB">
        <w:rPr>
          <w:rFonts w:ascii="Times New Roman" w:hAnsi="Times New Roman"/>
          <w:color w:val="000000" w:themeColor="text1"/>
          <w:sz w:val="16"/>
          <w:szCs w:val="16"/>
        </w:rPr>
        <w:t>, В.А. Латышев, (1980-е-2000 г.-)- З.П. Баскаев. Гендиректор (-2005-06 г.-)- В.В. Симаков (11982).</w:t>
      </w:r>
    </w:p>
    <w:p w14:paraId="5B9707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072665"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10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№61. 13/25. О закупке сторожевых судов. (Ягода, </w:t>
      </w:r>
      <w:proofErr w:type="spellStart"/>
      <w:r w:rsidRPr="007122AB">
        <w:rPr>
          <w:rFonts w:ascii="Times New Roman" w:hAnsi="Times New Roman"/>
          <w:color w:val="000000" w:themeColor="text1"/>
          <w:sz w:val="16"/>
          <w:szCs w:val="16"/>
          <w:u w:color="002060"/>
        </w:rPr>
        <w:t>Розенгольц</w:t>
      </w:r>
      <w:proofErr w:type="spellEnd"/>
      <w:r w:rsidRPr="007122AB">
        <w:rPr>
          <w:rFonts w:ascii="Times New Roman" w:hAnsi="Times New Roman"/>
          <w:color w:val="000000" w:themeColor="text1"/>
          <w:sz w:val="16"/>
          <w:szCs w:val="16"/>
          <w:u w:color="002060"/>
        </w:rPr>
        <w:t>). (РГАСПИ. Ф. 17. Оп. 162. Д. 11. Л. 2) (12416).</w:t>
      </w:r>
    </w:p>
    <w:p w14:paraId="4958BE51"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6C8A0A2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6B48D7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A45F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и 14 сентября 1931 при проведении войсковых маневров в районе </w:t>
      </w:r>
      <w:proofErr w:type="spellStart"/>
      <w:r w:rsidRPr="007122AB">
        <w:rPr>
          <w:rFonts w:ascii="Times New Roman" w:hAnsi="Times New Roman"/>
          <w:color w:val="000000" w:themeColor="text1"/>
          <w:sz w:val="16"/>
          <w:szCs w:val="16"/>
        </w:rPr>
        <w:t>Могилевки</w:t>
      </w:r>
      <w:proofErr w:type="spellEnd"/>
      <w:r w:rsidRPr="007122AB">
        <w:rPr>
          <w:rFonts w:ascii="Times New Roman" w:hAnsi="Times New Roman"/>
          <w:color w:val="000000" w:themeColor="text1"/>
          <w:sz w:val="16"/>
          <w:szCs w:val="16"/>
        </w:rPr>
        <w:t xml:space="preserve"> осуществили две ком</w:t>
      </w:r>
      <w:r w:rsidRPr="007122AB">
        <w:rPr>
          <w:rFonts w:ascii="Times New Roman" w:hAnsi="Times New Roman"/>
          <w:color w:val="000000" w:themeColor="text1"/>
          <w:sz w:val="16"/>
          <w:szCs w:val="16"/>
        </w:rPr>
        <w:softHyphen/>
        <w:t>бинированные операции.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7122AB">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7122AB">
        <w:rPr>
          <w:rFonts w:ascii="Times New Roman" w:hAnsi="Times New Roman"/>
          <w:color w:val="000000" w:themeColor="text1"/>
          <w:sz w:val="16"/>
          <w:szCs w:val="16"/>
        </w:rPr>
        <w:softHyphen/>
        <w:t>мировали отдельные стрелковые батальо</w:t>
      </w:r>
      <w:r w:rsidRPr="007122AB">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7122AB">
        <w:rPr>
          <w:rFonts w:ascii="Times New Roman" w:hAnsi="Times New Roman"/>
          <w:color w:val="000000" w:themeColor="text1"/>
          <w:sz w:val="16"/>
          <w:szCs w:val="16"/>
        </w:rPr>
        <w:softHyphen/>
        <w:t>чения в Детском Селе сначала предполага</w:t>
      </w:r>
      <w:r w:rsidRPr="007122AB">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7122AB">
        <w:rPr>
          <w:rFonts w:ascii="Times New Roman" w:hAnsi="Times New Roman"/>
          <w:color w:val="000000" w:themeColor="text1"/>
          <w:sz w:val="16"/>
          <w:szCs w:val="16"/>
        </w:rPr>
        <w:softHyphen/>
        <w:t>ных отделений стрелковых дивизий в Мо</w:t>
      </w:r>
      <w:r w:rsidRPr="007122AB">
        <w:rPr>
          <w:rFonts w:ascii="Times New Roman" w:hAnsi="Times New Roman"/>
          <w:color w:val="000000" w:themeColor="text1"/>
          <w:sz w:val="16"/>
          <w:szCs w:val="16"/>
        </w:rPr>
        <w:softHyphen/>
        <w:t>нино под Москвой и в Гатчине под Ленин</w:t>
      </w:r>
      <w:r w:rsidRPr="007122AB">
        <w:rPr>
          <w:rFonts w:ascii="Times New Roman" w:hAnsi="Times New Roman"/>
          <w:color w:val="000000" w:themeColor="text1"/>
          <w:sz w:val="16"/>
          <w:szCs w:val="16"/>
        </w:rPr>
        <w:softHyphen/>
        <w:t>градом. Парашютные прыжки осуществля</w:t>
      </w:r>
      <w:r w:rsidRPr="007122AB">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7122AB">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7122AB">
        <w:rPr>
          <w:rFonts w:ascii="Times New Roman" w:hAnsi="Times New Roman"/>
          <w:color w:val="000000" w:themeColor="text1"/>
          <w:sz w:val="16"/>
          <w:szCs w:val="16"/>
        </w:rPr>
        <w:softHyphen/>
        <w:t>ли для тренировок (11286).</w:t>
      </w:r>
    </w:p>
    <w:p w14:paraId="57EAFE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8683E" w14:textId="77777777" w:rsidR="00295B66" w:rsidRPr="007122AB" w:rsidRDefault="00295B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сентября 1931 в ходе маневров Украинского военного округа (УВО) десант в составе 29 бойцов высадился из трех самолетов АНТ-9. Одновременно с людьми на грузовых парашютах были сброшены две пушки, пулеметы и боеприпасы. Такую же операцию 14 сентября повторили для начальствующего состава, участвовавшего в маневрах (Архив ЦДА и К. Ф. 50. Оп. 1. Д. 2. Л. 26). С маневров в УВО ПДО был снова переброшен в Красногвардейск (ныне Гатчина), где 29.09.1931 г. принял участие в маневрах ЛВО. Всего из 550 прыжков, выполненных в 1931 г., на десантные прыжки во время маневров приходится 110, то есть 20% от общего количества. В то же время бойцы ПДО выполнили в 1931 г. 311 прыжков (56.5% от общего количества) (Архив ЦДА и К. Ф. 50. Оп. 1. Д. 2. Л. 25) (21402).</w:t>
      </w:r>
    </w:p>
    <w:p w14:paraId="2D73E3F9" w14:textId="77777777" w:rsidR="00295B66" w:rsidRPr="007122AB" w:rsidRDefault="00295B66" w:rsidP="007122AB">
      <w:pPr>
        <w:spacing w:after="0" w:line="240" w:lineRule="auto"/>
        <w:jc w:val="both"/>
        <w:rPr>
          <w:rFonts w:ascii="Times New Roman" w:hAnsi="Times New Roman"/>
          <w:color w:val="000000" w:themeColor="text1"/>
          <w:sz w:val="16"/>
          <w:szCs w:val="16"/>
        </w:rPr>
      </w:pPr>
    </w:p>
    <w:p w14:paraId="6D2B8E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 14 сентября 1931 ТБ-1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3B1796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FF56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 14 сентября 1931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68B318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39C847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собравшихся на учения начальников организовали демонстрационный сброс с ТБ-1 трехместного </w:t>
      </w:r>
      <w:proofErr w:type="spellStart"/>
      <w:r w:rsidRPr="007122AB">
        <w:rPr>
          <w:rFonts w:ascii="Times New Roman" w:hAnsi="Times New Roman"/>
          <w:color w:val="000000" w:themeColor="text1"/>
          <w:sz w:val="16"/>
          <w:szCs w:val="16"/>
        </w:rPr>
        <w:t>авиабуса</w:t>
      </w:r>
      <w:proofErr w:type="spellEnd"/>
      <w:r w:rsidRPr="007122AB">
        <w:rPr>
          <w:rFonts w:ascii="Times New Roman" w:hAnsi="Times New Roman"/>
          <w:color w:val="000000" w:themeColor="text1"/>
          <w:sz w:val="16"/>
          <w:szCs w:val="16"/>
        </w:rPr>
        <w:t>.</w:t>
      </w:r>
    </w:p>
    <w:p w14:paraId="537B22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35E5F5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16EA5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42811F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4745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сентября 1931 г. ВЦИК и СНК РСФСР утверждает Устав службы в ИТУ РСФСР (10303).</w:t>
      </w:r>
    </w:p>
    <w:p w14:paraId="693095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F4AAA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042637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EE8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сентября 1931 из-за мер британского правительства по сокращению бюджетных ассигнований начались волнения в Лондоне и Глазго (3481).</w:t>
      </w:r>
    </w:p>
    <w:p w14:paraId="63B9DC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4CF8C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FF017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8C807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11 по 23 (c 1 по 29 - 346,22) сентября 1931 в НИИ ВВС проходили испытания моноплана типа парасоль, переделанного КБ А.Н.Т. из серийного И-4 N 1514. Улучшения ЛТХ было незначительным ( 1017,162).</w:t>
      </w:r>
    </w:p>
    <w:p w14:paraId="4CE05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2ED76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109C93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79B5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сентября 1931 г. начальник ВВС РККА командарм Я.И. Алкснис, выступая в НИИ ВВС, сказал: "История с испытанием самолета ТБ-3 достойна того. чтобы попасть на страницы "Крокодила" и самым беспощадным образом быть высмеянной: опытный образец этой машины еще в 13-ю годовщину (Алкснис ошибся - это был Первомай) летал над Красной площадью, скоро год, а машина до сих пор еще не испытана..." (8887).</w:t>
      </w:r>
    </w:p>
    <w:p w14:paraId="2B2A2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5698E8" w14:textId="77777777" w:rsidR="00293871" w:rsidRPr="007122AB" w:rsidRDefault="00293871"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11 - 23 сентября 1931 г. И-4бис испытывался в НИИ ВВС. Констатировали небольшое улучшение поперечной устойчивости. Скорость, по сравнению с обычным И-4, увеличилась незначительно (примерно на 10 км/ч), скороподъемность практически не изменилась, а маневренность ухудшилась. Кроме того, в новом капоте мотор перегревался. Выводом стала фраза - «считать переделку нерациональной» (19100).</w:t>
      </w:r>
    </w:p>
    <w:p w14:paraId="7134C436" w14:textId="77777777" w:rsidR="00293871" w:rsidRPr="007122AB" w:rsidRDefault="00293871" w:rsidP="007122AB">
      <w:pPr>
        <w:pStyle w:val="a8"/>
        <w:jc w:val="both"/>
        <w:rPr>
          <w:rFonts w:ascii="Times New Roman" w:hAnsi="Times New Roman" w:cs="Times New Roman"/>
          <w:color w:val="000000" w:themeColor="text1"/>
        </w:rPr>
      </w:pPr>
    </w:p>
    <w:p w14:paraId="10583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сентября 1931 г. Алкснис на собрании руководства НИИ ВВС сказал: "Самолёт И-5 прошёл и государственные, и серийные, и войсковые испытания, а сейчас, что ни день, то выясняются всё новые да новые недочёты, не вскрытые испытаниями НИИ: и конструктивные, и производственные, и </w:t>
      </w:r>
      <w:proofErr w:type="spellStart"/>
      <w:r w:rsidRPr="007122AB">
        <w:rPr>
          <w:rFonts w:ascii="Times New Roman" w:hAnsi="Times New Roman"/>
          <w:color w:val="000000" w:themeColor="text1"/>
          <w:sz w:val="16"/>
          <w:szCs w:val="16"/>
        </w:rPr>
        <w:t>эксплоатационные</w:t>
      </w:r>
      <w:proofErr w:type="spellEnd"/>
      <w:r w:rsidRPr="007122AB">
        <w:rPr>
          <w:rFonts w:ascii="Times New Roman" w:hAnsi="Times New Roman"/>
          <w:color w:val="000000" w:themeColor="text1"/>
          <w:sz w:val="16"/>
          <w:szCs w:val="16"/>
        </w:rPr>
        <w:t>, и всякие другие, какие хотите!" В результате уже готовые машины неоднократно возвращали в цеха для доработок и переделок.</w:t>
      </w:r>
    </w:p>
    <w:p w14:paraId="22C9B2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проводились эксперименты по усилению вооружения И-5. В частности, на одном самолёте смонтировали опытный 12,7-мм пулемёт конструкции Дегтярёва. Данных об испытании этой машины нет. Предлагалось вооружить И-5 45-мм полуавтоматической пушкой, но, по-видимому, даже проекта такого варианта не существовало (11997).</w:t>
      </w:r>
    </w:p>
    <w:p w14:paraId="2ECEA1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1AEF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сентября 1931 в Чувашии не вышел из штопора ПЗЛ 19, пилотируемый </w:t>
      </w:r>
      <w:proofErr w:type="spellStart"/>
      <w:r w:rsidRPr="007122AB">
        <w:rPr>
          <w:rFonts w:ascii="Times New Roman" w:hAnsi="Times New Roman"/>
          <w:color w:val="000000" w:themeColor="text1"/>
          <w:sz w:val="16"/>
          <w:szCs w:val="16"/>
        </w:rPr>
        <w:t>Ю.Левонецким</w:t>
      </w:r>
      <w:proofErr w:type="spellEnd"/>
      <w:r w:rsidRPr="007122AB">
        <w:rPr>
          <w:rFonts w:ascii="Times New Roman" w:hAnsi="Times New Roman"/>
          <w:color w:val="000000" w:themeColor="text1"/>
          <w:sz w:val="16"/>
          <w:szCs w:val="16"/>
        </w:rPr>
        <w:t xml:space="preserve"> (542,4).</w:t>
      </w:r>
    </w:p>
    <w:p w14:paraId="4C6AC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5193B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C9D213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10CC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сентября 1931 г. в письме Каганович информирует Сталина: «Выяснилось, что 80-90% заказов для </w:t>
      </w:r>
      <w:proofErr w:type="spellStart"/>
      <w:r w:rsidRPr="007122AB">
        <w:rPr>
          <w:rFonts w:ascii="Times New Roman" w:hAnsi="Times New Roman"/>
          <w:color w:val="000000" w:themeColor="text1"/>
          <w:sz w:val="16"/>
          <w:szCs w:val="16"/>
        </w:rPr>
        <w:t>Челябстроя</w:t>
      </w:r>
      <w:proofErr w:type="spellEnd"/>
      <w:r w:rsidRPr="007122AB">
        <w:rPr>
          <w:rFonts w:ascii="Times New Roman" w:hAnsi="Times New Roman"/>
          <w:color w:val="000000" w:themeColor="text1"/>
          <w:sz w:val="16"/>
          <w:szCs w:val="16"/>
        </w:rPr>
        <w:t xml:space="preserve"> можно разместить в Англии» (11598).</w:t>
      </w:r>
    </w:p>
    <w:p w14:paraId="567E11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6357E2"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11 сентября 1931 г. Постановлением Президиума ВСНХ (№ 640) «родился» «</w:t>
      </w:r>
      <w:proofErr w:type="spellStart"/>
      <w:r w:rsidRPr="007122AB">
        <w:rPr>
          <w:rFonts w:ascii="Times New Roman" w:hAnsi="Times New Roman"/>
          <w:color w:val="000000" w:themeColor="text1"/>
          <w:sz w:val="16"/>
          <w:szCs w:val="16"/>
        </w:rPr>
        <w:t>Союзалюминий</w:t>
      </w:r>
      <w:proofErr w:type="spellEnd"/>
      <w:r w:rsidRPr="007122AB">
        <w:rPr>
          <w:rFonts w:ascii="Times New Roman" w:hAnsi="Times New Roman"/>
          <w:color w:val="000000" w:themeColor="text1"/>
          <w:sz w:val="16"/>
          <w:szCs w:val="16"/>
        </w:rPr>
        <w:t>». В 1932 году «на свет» появился институт «</w:t>
      </w:r>
      <w:proofErr w:type="spellStart"/>
      <w:r w:rsidRPr="007122AB">
        <w:rPr>
          <w:rFonts w:ascii="Times New Roman" w:hAnsi="Times New Roman"/>
          <w:color w:val="000000" w:themeColor="text1"/>
          <w:sz w:val="16"/>
          <w:szCs w:val="16"/>
        </w:rPr>
        <w:t>Гипроалюминий</w:t>
      </w:r>
      <w:proofErr w:type="spellEnd"/>
      <w:r w:rsidRPr="007122AB">
        <w:rPr>
          <w:rFonts w:ascii="Times New Roman" w:hAnsi="Times New Roman"/>
          <w:color w:val="000000" w:themeColor="text1"/>
          <w:sz w:val="16"/>
          <w:szCs w:val="16"/>
        </w:rPr>
        <w:t xml:space="preserve">» - предок всемирно известного Всесоюзного алюминиево-магниевого института (ВАМИ). </w:t>
      </w:r>
    </w:p>
    <w:p w14:paraId="272F447B"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5B62F22E"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7DF1C432"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3F00AB2C"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w:t>
      </w:r>
      <w:proofErr w:type="spellStart"/>
      <w:r w:rsidRPr="007122AB">
        <w:rPr>
          <w:rFonts w:ascii="Times New Roman" w:hAnsi="Times New Roman"/>
          <w:color w:val="000000" w:themeColor="text1"/>
          <w:sz w:val="16"/>
          <w:szCs w:val="16"/>
        </w:rPr>
        <w:t>А.Н.Косыгин</w:t>
      </w:r>
      <w:proofErr w:type="spellEnd"/>
      <w:r w:rsidRPr="007122AB">
        <w:rPr>
          <w:rFonts w:ascii="Times New Roman" w:hAnsi="Times New Roman"/>
          <w:color w:val="000000" w:themeColor="text1"/>
          <w:sz w:val="16"/>
          <w:szCs w:val="16"/>
        </w:rPr>
        <w:t xml:space="preserve">. Именно тогда алюминиевая промышленность стала развиваться в Сибири на базе крупнейших в мире гидростанций. </w:t>
      </w:r>
    </w:p>
    <w:p w14:paraId="17B39E50"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60CD290B"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9AC7DDD"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военные годы было произведено 350 </w:t>
      </w:r>
      <w:proofErr w:type="spellStart"/>
      <w:r w:rsidRPr="007122AB">
        <w:rPr>
          <w:rFonts w:ascii="Times New Roman" w:hAnsi="Times New Roman"/>
          <w:color w:val="000000" w:themeColor="text1"/>
          <w:sz w:val="16"/>
          <w:szCs w:val="16"/>
        </w:rPr>
        <w:t>тыс.т</w:t>
      </w:r>
      <w:proofErr w:type="spellEnd"/>
      <w:r w:rsidRPr="007122AB">
        <w:rPr>
          <w:rFonts w:ascii="Times New Roman" w:hAnsi="Times New Roman"/>
          <w:color w:val="000000" w:themeColor="text1"/>
          <w:sz w:val="16"/>
          <w:szCs w:val="16"/>
        </w:rPr>
        <w:t xml:space="preserve"> алюминия и 755 </w:t>
      </w:r>
      <w:proofErr w:type="spellStart"/>
      <w:r w:rsidRPr="007122AB">
        <w:rPr>
          <w:rFonts w:ascii="Times New Roman" w:hAnsi="Times New Roman"/>
          <w:color w:val="000000" w:themeColor="text1"/>
          <w:sz w:val="16"/>
          <w:szCs w:val="16"/>
        </w:rPr>
        <w:t>тыс.т</w:t>
      </w:r>
      <w:proofErr w:type="spellEnd"/>
      <w:r w:rsidRPr="007122AB">
        <w:rPr>
          <w:rFonts w:ascii="Times New Roman" w:hAnsi="Times New Roman"/>
          <w:color w:val="000000" w:themeColor="text1"/>
          <w:sz w:val="16"/>
          <w:szCs w:val="16"/>
        </w:rPr>
        <w:t xml:space="preserve">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9654C39"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2E29D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сентября 1931 г. было выдано оперативно-тактическое задание на морской охотник, который в мирное время должен был бороться с нарушителями морских границ страны, а в военное — с подводными лодками, не допуская их в прилегающие к военно-морским базам районы. Предполагалось, что 80-тонные 24-узловые деревянные "еди</w:t>
      </w:r>
      <w:r w:rsidRPr="007122AB">
        <w:rPr>
          <w:rFonts w:ascii="Times New Roman" w:hAnsi="Times New Roman"/>
          <w:color w:val="000000" w:themeColor="text1"/>
          <w:sz w:val="16"/>
          <w:szCs w:val="16"/>
        </w:rPr>
        <w:softHyphen/>
        <w:t>ные" катера будут строиться на судостроительных мощностях ОГПУ для обоих заказчиков. Их вооружение в военное время долж</w:t>
      </w:r>
      <w:r w:rsidRPr="007122AB">
        <w:rPr>
          <w:rFonts w:ascii="Times New Roman" w:hAnsi="Times New Roman"/>
          <w:color w:val="000000" w:themeColor="text1"/>
          <w:sz w:val="16"/>
          <w:szCs w:val="16"/>
        </w:rPr>
        <w:softHyphen/>
        <w:t>но было состоять из 76- и 45-мм пушек, двух пулеметов, 16 глу</w:t>
      </w:r>
      <w:r w:rsidRPr="007122AB">
        <w:rPr>
          <w:rFonts w:ascii="Times New Roman" w:hAnsi="Times New Roman"/>
          <w:color w:val="000000" w:themeColor="text1"/>
          <w:sz w:val="16"/>
          <w:szCs w:val="16"/>
        </w:rPr>
        <w:softHyphen/>
        <w:t>бинных бомб и буксируемого гидрофона (3898).</w:t>
      </w:r>
    </w:p>
    <w:p w14:paraId="174507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3DB8A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0E1C1E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D77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сентября 1931 АНТ-9 вместе с тремя Р-3 бомбил басмачей у озера Джамала. На </w:t>
      </w:r>
      <w:proofErr w:type="spellStart"/>
      <w:r w:rsidRPr="007122AB">
        <w:rPr>
          <w:rFonts w:ascii="Times New Roman" w:hAnsi="Times New Roman"/>
          <w:color w:val="000000" w:themeColor="text1"/>
          <w:sz w:val="16"/>
          <w:szCs w:val="16"/>
        </w:rPr>
        <w:t>подфюзеляжных</w:t>
      </w:r>
      <w:proofErr w:type="spellEnd"/>
      <w:r w:rsidRPr="007122AB">
        <w:rPr>
          <w:rFonts w:ascii="Times New Roman" w:hAnsi="Times New Roman"/>
          <w:color w:val="000000" w:themeColor="text1"/>
          <w:sz w:val="16"/>
          <w:szCs w:val="16"/>
        </w:rPr>
        <w:t xml:space="preserve"> балках нес 10 8 кг бомб (10542,28).</w:t>
      </w:r>
    </w:p>
    <w:p w14:paraId="67A61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248F7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r w:rsidR="005C4849" w:rsidRPr="007122AB">
        <w:rPr>
          <w:rFonts w:ascii="Times New Roman" w:hAnsi="Times New Roman"/>
          <w:iCs/>
          <w:color w:val="000000" w:themeColor="text1"/>
          <w:sz w:val="16"/>
          <w:szCs w:val="16"/>
        </w:rPr>
        <w:t>:</w:t>
      </w:r>
    </w:p>
    <w:p w14:paraId="17A167F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1DE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11 и 18 сентября 1931. Из протокола заседания Политбюро № 58, 1931 г.</w:t>
      </w:r>
    </w:p>
    <w:p w14:paraId="64738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Директива тов. </w:t>
      </w:r>
      <w:proofErr w:type="spellStart"/>
      <w:r w:rsidRPr="007122AB">
        <w:rPr>
          <w:rFonts w:ascii="Times New Roman" w:hAnsi="Times New Roman"/>
          <w:color w:val="000000" w:themeColor="text1"/>
          <w:sz w:val="16"/>
          <w:szCs w:val="16"/>
        </w:rPr>
        <w:t>Левенсону</w:t>
      </w:r>
      <w:proofErr w:type="spellEnd"/>
      <w:r w:rsidRPr="007122AB">
        <w:rPr>
          <w:rFonts w:ascii="Times New Roman" w:hAnsi="Times New Roman"/>
          <w:color w:val="000000" w:themeColor="text1"/>
          <w:sz w:val="16"/>
          <w:szCs w:val="16"/>
        </w:rPr>
        <w:t xml:space="preserve"> </w:t>
      </w:r>
    </w:p>
    <w:p w14:paraId="3E0BD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Согласиться с предложенным тов. </w:t>
      </w:r>
      <w:proofErr w:type="spellStart"/>
      <w:r w:rsidRPr="007122AB">
        <w:rPr>
          <w:rFonts w:ascii="Times New Roman" w:hAnsi="Times New Roman"/>
          <w:color w:val="000000" w:themeColor="text1"/>
          <w:sz w:val="16"/>
          <w:szCs w:val="16"/>
        </w:rPr>
        <w:t>Розенгольцем</w:t>
      </w:r>
      <w:proofErr w:type="spellEnd"/>
      <w:r w:rsidRPr="007122AB">
        <w:rPr>
          <w:rFonts w:ascii="Times New Roman" w:hAnsi="Times New Roman"/>
          <w:color w:val="000000" w:themeColor="text1"/>
          <w:sz w:val="16"/>
          <w:szCs w:val="16"/>
        </w:rPr>
        <w:t xml:space="preserve"> проектом директивы тов. </w:t>
      </w:r>
      <w:proofErr w:type="spellStart"/>
      <w:r w:rsidRPr="007122AB">
        <w:rPr>
          <w:rFonts w:ascii="Times New Roman" w:hAnsi="Times New Roman"/>
          <w:color w:val="000000" w:themeColor="text1"/>
          <w:sz w:val="16"/>
          <w:szCs w:val="16"/>
        </w:rPr>
        <w:t>Левенсону</w:t>
      </w:r>
      <w:proofErr w:type="spellEnd"/>
      <w:r w:rsidRPr="007122AB">
        <w:rPr>
          <w:rFonts w:ascii="Times New Roman" w:hAnsi="Times New Roman"/>
          <w:color w:val="000000" w:themeColor="text1"/>
          <w:sz w:val="16"/>
          <w:szCs w:val="16"/>
        </w:rPr>
        <w:t xml:space="preserve">: </w:t>
      </w:r>
    </w:p>
    <w:p w14:paraId="683BB2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беседе с Муссолини подчеркните: </w:t>
      </w:r>
    </w:p>
    <w:p w14:paraId="554B73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Мы успешно развиваем наши закупки Италии и являемся единственной страной, куда Италия в текущем году увеличила свой экспорт по сравнению прошлым годом, хотя ее экспорт в другие страны значительно сократился. Намекните на возможность дальнейшего расширения закупок в Италии при установлении благоприятного отношения к нашему экспорту. </w:t>
      </w:r>
    </w:p>
    <w:p w14:paraId="4A9DD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Вопреки заявлениям </w:t>
      </w:r>
      <w:proofErr w:type="spellStart"/>
      <w:r w:rsidRPr="007122AB">
        <w:rPr>
          <w:rFonts w:ascii="Times New Roman" w:hAnsi="Times New Roman"/>
          <w:color w:val="000000" w:themeColor="text1"/>
          <w:sz w:val="16"/>
          <w:szCs w:val="16"/>
        </w:rPr>
        <w:t>Италпра</w:t>
      </w:r>
      <w:proofErr w:type="spellEnd"/>
      <w:r w:rsidRPr="007122AB">
        <w:rPr>
          <w:rFonts w:ascii="Times New Roman" w:hAnsi="Times New Roman"/>
          <w:color w:val="000000" w:themeColor="text1"/>
          <w:sz w:val="16"/>
          <w:szCs w:val="16"/>
        </w:rPr>
        <w:t xml:space="preserve"> о благожелательном отношении к нашему экспорту итальянский рынок фактически закрыт для нашей пшеницы, повышены пошлины на мясопродукты, поднимается кампания против нашего леса, хотя мы не конкурируем с местной промышленностью. </w:t>
      </w:r>
    </w:p>
    <w:p w14:paraId="23D7F8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Необходимо для дальнейшего выгодного обеим странам расширения торговых отношений предоставить нам генеральное наибольшее благоприятствование, создать условия, обеспечивающие сбыт Италии нашей пшеницы, ликвидировать препятствия на пути развития нашего нефтяного экспорта, в частности утвердить договор с "Аджипом" с учетом поправок, сообщенных Нефтеэкспортом, прекратить кампанию против нашего леса" (11652).</w:t>
      </w:r>
    </w:p>
    <w:p w14:paraId="2F7091D0" w14:textId="2ABACD95"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6D9C2D" w14:textId="4A6B165D" w:rsidR="00295B66" w:rsidRPr="007122AB" w:rsidRDefault="00295B66"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769E2D56" w14:textId="77777777" w:rsidR="00295B66" w:rsidRPr="007122AB" w:rsidRDefault="00295B66"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55D6AB6" w14:textId="77777777" w:rsidR="00295B66" w:rsidRPr="007122AB" w:rsidRDefault="00295B66"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11 сентября 1931 новый «</w:t>
      </w:r>
      <w:proofErr w:type="spellStart"/>
      <w:r w:rsidRPr="007122AB">
        <w:rPr>
          <w:rFonts w:ascii="Times New Roman" w:hAnsi="Times New Roman"/>
          <w:color w:val="000000" w:themeColor="text1"/>
          <w:sz w:val="16"/>
          <w:szCs w:val="16"/>
          <w:shd w:val="clear" w:color="auto" w:fill="FFFFFF"/>
        </w:rPr>
        <w:t>Девуатин</w:t>
      </w:r>
      <w:proofErr w:type="spellEnd"/>
      <w:r w:rsidRPr="007122AB">
        <w:rPr>
          <w:rFonts w:ascii="Times New Roman" w:hAnsi="Times New Roman"/>
          <w:color w:val="000000" w:themeColor="text1"/>
          <w:sz w:val="16"/>
          <w:szCs w:val="16"/>
          <w:shd w:val="clear" w:color="auto" w:fill="FFFFFF"/>
        </w:rPr>
        <w:t>» D.33 «</w:t>
      </w:r>
      <w:proofErr w:type="spellStart"/>
      <w:r w:rsidRPr="007122AB">
        <w:rPr>
          <w:rFonts w:ascii="Times New Roman" w:hAnsi="Times New Roman"/>
          <w:color w:val="000000" w:themeColor="text1"/>
          <w:sz w:val="16"/>
          <w:szCs w:val="16"/>
          <w:shd w:val="clear" w:color="auto" w:fill="FFFFFF"/>
        </w:rPr>
        <w:t>Trait</w:t>
      </w:r>
      <w:proofErr w:type="spellEnd"/>
      <w:r w:rsidRPr="007122AB">
        <w:rPr>
          <w:rFonts w:ascii="Times New Roman" w:hAnsi="Times New Roman"/>
          <w:color w:val="000000" w:themeColor="text1"/>
          <w:sz w:val="16"/>
          <w:szCs w:val="16"/>
          <w:shd w:val="clear" w:color="auto" w:fill="FFFFFF"/>
        </w:rPr>
        <w:t xml:space="preserve"> </w:t>
      </w:r>
      <w:proofErr w:type="spellStart"/>
      <w:r w:rsidRPr="007122AB">
        <w:rPr>
          <w:rFonts w:ascii="Times New Roman" w:hAnsi="Times New Roman"/>
          <w:color w:val="000000" w:themeColor="text1"/>
          <w:sz w:val="16"/>
          <w:szCs w:val="16"/>
          <w:shd w:val="clear" w:color="auto" w:fill="FFFFFF"/>
        </w:rPr>
        <w:t>d'Union</w:t>
      </w:r>
      <w:proofErr w:type="spellEnd"/>
      <w:r w:rsidRPr="007122AB">
        <w:rPr>
          <w:rFonts w:ascii="Times New Roman" w:hAnsi="Times New Roman"/>
          <w:color w:val="000000" w:themeColor="text1"/>
          <w:sz w:val="16"/>
          <w:szCs w:val="16"/>
          <w:shd w:val="clear" w:color="auto" w:fill="FFFFFF"/>
        </w:rPr>
        <w:t xml:space="preserve"> II» вылетел из Ле-Бурже в восточном направлении. Около 4000 км полет проходил нормально, но над Уральскими горами погода испортилась, появились плотная облачность, а двигатель самолета стал вибрировать и терять мощность. Вскоре вибрация опасно увеличилась. Можно предположить, что в результате вибрации произошло разрушение конструкции. Самолет стал неуправляемым и Доре приказал экипажу покинуть самолет, затем выпрыгнул сам. Марсель Доре приземлился в нескольких метрах от обломков самолета. Ле Бри же и </w:t>
      </w:r>
      <w:proofErr w:type="spellStart"/>
      <w:r w:rsidRPr="007122AB">
        <w:rPr>
          <w:rFonts w:ascii="Times New Roman" w:hAnsi="Times New Roman"/>
          <w:color w:val="000000" w:themeColor="text1"/>
          <w:sz w:val="16"/>
          <w:szCs w:val="16"/>
          <w:shd w:val="clear" w:color="auto" w:fill="FFFFFF"/>
        </w:rPr>
        <w:t>Месмин</w:t>
      </w:r>
      <w:proofErr w:type="spellEnd"/>
      <w:r w:rsidRPr="007122AB">
        <w:rPr>
          <w:rFonts w:ascii="Times New Roman" w:hAnsi="Times New Roman"/>
          <w:color w:val="000000" w:themeColor="text1"/>
          <w:sz w:val="16"/>
          <w:szCs w:val="16"/>
          <w:shd w:val="clear" w:color="auto" w:fill="FFFFFF"/>
        </w:rPr>
        <w:t>, по какой-то причине, остались на борту и погибли (21438).</w:t>
      </w:r>
    </w:p>
    <w:p w14:paraId="6BD3784B" w14:textId="77777777" w:rsidR="00295B66" w:rsidRPr="007122AB" w:rsidRDefault="00295B66" w:rsidP="007122AB">
      <w:pPr>
        <w:spacing w:after="0" w:line="240" w:lineRule="auto"/>
        <w:jc w:val="both"/>
        <w:rPr>
          <w:rFonts w:ascii="Times New Roman" w:hAnsi="Times New Roman"/>
          <w:color w:val="000000" w:themeColor="text1"/>
          <w:sz w:val="16"/>
          <w:szCs w:val="16"/>
          <w:shd w:val="clear" w:color="auto" w:fill="FFFFFF"/>
        </w:rPr>
      </w:pPr>
    </w:p>
    <w:p w14:paraId="0C969B0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8C6137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E49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сентября 1931 года и.о. начальника ВАО Баранов писал письмо N 1с/5522с председателю СТО.</w:t>
      </w:r>
    </w:p>
    <w:p w14:paraId="2A627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постановления СТО от 25 июля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на завод N 39 возложена постройка серии тяжелых бомбардировщиков ТБ-5.</w:t>
      </w:r>
    </w:p>
    <w:p w14:paraId="1D7CEA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(Письмо о невозможности постройки этих самолетов на заводе N 39 в 1931 году и перенесении на 1932 год) (3217,268).</w:t>
      </w:r>
    </w:p>
    <w:p w14:paraId="5C4337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B6F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сентября 1931 второй рекордный </w:t>
      </w:r>
      <w:proofErr w:type="spellStart"/>
      <w:r w:rsidRPr="007122AB">
        <w:rPr>
          <w:rFonts w:ascii="Times New Roman" w:hAnsi="Times New Roman"/>
          <w:color w:val="000000" w:themeColor="text1"/>
          <w:sz w:val="16"/>
          <w:szCs w:val="16"/>
        </w:rPr>
        <w:t>Девуатин</w:t>
      </w:r>
      <w:proofErr w:type="spellEnd"/>
      <w:r w:rsidRPr="007122AB">
        <w:rPr>
          <w:rFonts w:ascii="Times New Roman" w:hAnsi="Times New Roman"/>
          <w:color w:val="000000" w:themeColor="text1"/>
          <w:sz w:val="16"/>
          <w:szCs w:val="16"/>
        </w:rPr>
        <w:t xml:space="preserve"> Д-33 "Le </w:t>
      </w:r>
      <w:proofErr w:type="spellStart"/>
      <w:r w:rsidRPr="007122AB">
        <w:rPr>
          <w:rFonts w:ascii="Times New Roman" w:hAnsi="Times New Roman"/>
          <w:color w:val="000000" w:themeColor="text1"/>
          <w:sz w:val="16"/>
          <w:szCs w:val="16"/>
        </w:rPr>
        <w:t>Trait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d'Union</w:t>
      </w:r>
      <w:proofErr w:type="spellEnd"/>
      <w:r w:rsidRPr="007122AB">
        <w:rPr>
          <w:rFonts w:ascii="Times New Roman" w:hAnsi="Times New Roman"/>
          <w:color w:val="000000" w:themeColor="text1"/>
          <w:sz w:val="16"/>
          <w:szCs w:val="16"/>
        </w:rPr>
        <w:t>" вылетел из Парижа и 12 разбился недалеко от Уфы. Погибли все (542,4).</w:t>
      </w:r>
    </w:p>
    <w:p w14:paraId="1ABFD8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E43A38" w14:textId="77777777" w:rsidR="003740E0" w:rsidRDefault="003740E0" w:rsidP="003740E0">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12 </w:t>
      </w:r>
      <w:r w:rsidRPr="009F5089">
        <w:rPr>
          <w:rFonts w:ascii="Times New Roman" w:hAnsi="Times New Roman"/>
          <w:color w:val="0070C0"/>
          <w:sz w:val="16"/>
          <w:szCs w:val="16"/>
        </w:rPr>
        <w:t xml:space="preserve">сентября </w:t>
      </w:r>
      <w:r>
        <w:rPr>
          <w:rFonts w:ascii="Times New Roman" w:hAnsi="Times New Roman"/>
          <w:color w:val="0070C0"/>
          <w:sz w:val="16"/>
          <w:szCs w:val="16"/>
        </w:rPr>
        <w:t>1931 г</w:t>
      </w:r>
      <w:r w:rsidRPr="009F5089">
        <w:rPr>
          <w:rFonts w:ascii="Times New Roman" w:hAnsi="Times New Roman"/>
          <w:color w:val="0070C0"/>
          <w:sz w:val="16"/>
          <w:szCs w:val="16"/>
        </w:rPr>
        <w:t>.</w:t>
      </w:r>
      <w:r>
        <w:rPr>
          <w:rFonts w:ascii="Times New Roman" w:hAnsi="Times New Roman"/>
          <w:color w:val="0070C0"/>
          <w:sz w:val="16"/>
          <w:szCs w:val="16"/>
        </w:rPr>
        <w:t xml:space="preserve"> б</w:t>
      </w:r>
      <w:r w:rsidRPr="009F5089">
        <w:rPr>
          <w:rFonts w:ascii="Times New Roman" w:hAnsi="Times New Roman"/>
          <w:color w:val="0070C0"/>
          <w:sz w:val="16"/>
          <w:szCs w:val="16"/>
        </w:rPr>
        <w:t xml:space="preserve">лиз Уфы потерпел катастрофу французский самолет </w:t>
      </w:r>
      <w:proofErr w:type="spellStart"/>
      <w:r>
        <w:rPr>
          <w:rFonts w:ascii="Times New Roman" w:hAnsi="Times New Roman"/>
          <w:color w:val="0070C0"/>
          <w:sz w:val="16"/>
          <w:szCs w:val="16"/>
        </w:rPr>
        <w:t>Девуатин</w:t>
      </w:r>
      <w:proofErr w:type="spellEnd"/>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Тредюнион</w:t>
      </w:r>
      <w:proofErr w:type="spellEnd"/>
      <w:r w:rsidRPr="009F5089">
        <w:rPr>
          <w:rFonts w:ascii="Times New Roman" w:hAnsi="Times New Roman"/>
          <w:color w:val="0070C0"/>
          <w:sz w:val="16"/>
          <w:szCs w:val="16"/>
        </w:rPr>
        <w:t>", совершавший беспосадочный перелет и</w:t>
      </w:r>
      <w:r>
        <w:rPr>
          <w:rFonts w:ascii="Times New Roman" w:hAnsi="Times New Roman"/>
          <w:color w:val="0070C0"/>
          <w:sz w:val="16"/>
          <w:szCs w:val="16"/>
        </w:rPr>
        <w:t>з</w:t>
      </w:r>
      <w:r w:rsidRPr="009F5089">
        <w:rPr>
          <w:rFonts w:ascii="Times New Roman" w:hAnsi="Times New Roman"/>
          <w:color w:val="0070C0"/>
          <w:sz w:val="16"/>
          <w:szCs w:val="16"/>
        </w:rPr>
        <w:t xml:space="preserve"> </w:t>
      </w:r>
      <w:r>
        <w:rPr>
          <w:rFonts w:ascii="Times New Roman" w:hAnsi="Times New Roman"/>
          <w:color w:val="0070C0"/>
          <w:sz w:val="16"/>
          <w:szCs w:val="16"/>
        </w:rPr>
        <w:t>П</w:t>
      </w:r>
      <w:r w:rsidRPr="009F5089">
        <w:rPr>
          <w:rFonts w:ascii="Times New Roman" w:hAnsi="Times New Roman"/>
          <w:color w:val="0070C0"/>
          <w:sz w:val="16"/>
          <w:szCs w:val="16"/>
        </w:rPr>
        <w:t>а</w:t>
      </w:r>
      <w:r>
        <w:rPr>
          <w:rFonts w:ascii="Times New Roman" w:hAnsi="Times New Roman"/>
          <w:color w:val="0070C0"/>
          <w:sz w:val="16"/>
          <w:szCs w:val="16"/>
        </w:rPr>
        <w:t>рижа в Токио</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Самолетом управляли известные летчики-спортсмены </w:t>
      </w:r>
      <w:r>
        <w:rPr>
          <w:rFonts w:ascii="Times New Roman" w:hAnsi="Times New Roman"/>
          <w:color w:val="0070C0"/>
          <w:sz w:val="16"/>
          <w:szCs w:val="16"/>
        </w:rPr>
        <w:t>Мар</w:t>
      </w:r>
      <w:r w:rsidRPr="009F5089">
        <w:rPr>
          <w:rFonts w:ascii="Times New Roman" w:hAnsi="Times New Roman"/>
          <w:color w:val="0070C0"/>
          <w:sz w:val="16"/>
          <w:szCs w:val="16"/>
        </w:rPr>
        <w:t>сель</w:t>
      </w:r>
      <w:r>
        <w:rPr>
          <w:rFonts w:ascii="Times New Roman" w:hAnsi="Times New Roman"/>
          <w:color w:val="0070C0"/>
          <w:sz w:val="16"/>
          <w:szCs w:val="16"/>
        </w:rPr>
        <w:t xml:space="preserve"> Д</w:t>
      </w:r>
      <w:r w:rsidRPr="009F5089">
        <w:rPr>
          <w:rFonts w:ascii="Times New Roman" w:hAnsi="Times New Roman"/>
          <w:color w:val="0070C0"/>
          <w:sz w:val="16"/>
          <w:szCs w:val="16"/>
        </w:rPr>
        <w:t xml:space="preserve">оре и Жозеф </w:t>
      </w:r>
      <w:proofErr w:type="spellStart"/>
      <w:r w:rsidRPr="009F5089">
        <w:rPr>
          <w:rFonts w:ascii="Times New Roman" w:hAnsi="Times New Roman"/>
          <w:color w:val="0070C0"/>
          <w:sz w:val="16"/>
          <w:szCs w:val="16"/>
        </w:rPr>
        <w:t>ле</w:t>
      </w:r>
      <w:proofErr w:type="spellEnd"/>
      <w:r w:rsidRPr="009F5089">
        <w:rPr>
          <w:rFonts w:ascii="Times New Roman" w:hAnsi="Times New Roman"/>
          <w:color w:val="0070C0"/>
          <w:sz w:val="16"/>
          <w:szCs w:val="16"/>
        </w:rPr>
        <w:t>-Бри, пытавшиеся совершить такой же пере</w:t>
      </w:r>
      <w:r>
        <w:rPr>
          <w:rFonts w:ascii="Times New Roman" w:hAnsi="Times New Roman"/>
          <w:color w:val="0070C0"/>
          <w:sz w:val="16"/>
          <w:szCs w:val="16"/>
        </w:rPr>
        <w:t>лет два</w:t>
      </w:r>
      <w:r w:rsidRPr="009F5089">
        <w:rPr>
          <w:rFonts w:ascii="Times New Roman" w:hAnsi="Times New Roman"/>
          <w:color w:val="0070C0"/>
          <w:sz w:val="16"/>
          <w:szCs w:val="16"/>
        </w:rPr>
        <w:t xml:space="preserve"> месяца назад.</w:t>
      </w:r>
      <w:r>
        <w:rPr>
          <w:rFonts w:ascii="Times New Roman" w:hAnsi="Times New Roman"/>
          <w:color w:val="0070C0"/>
          <w:sz w:val="16"/>
          <w:szCs w:val="16"/>
        </w:rPr>
        <w:t xml:space="preserve"> </w:t>
      </w:r>
      <w:r w:rsidRPr="009F5089">
        <w:rPr>
          <w:rFonts w:ascii="Times New Roman" w:hAnsi="Times New Roman"/>
          <w:color w:val="0070C0"/>
          <w:sz w:val="16"/>
          <w:szCs w:val="16"/>
        </w:rPr>
        <w:t>Катастрофа произошла на 23-м</w:t>
      </w:r>
      <w:r>
        <w:rPr>
          <w:rFonts w:ascii="Times New Roman" w:hAnsi="Times New Roman"/>
          <w:color w:val="0070C0"/>
          <w:sz w:val="16"/>
          <w:szCs w:val="16"/>
        </w:rPr>
        <w:t xml:space="preserve"> часу</w:t>
      </w:r>
      <w:r w:rsidRPr="009F5089">
        <w:rPr>
          <w:rFonts w:ascii="Times New Roman" w:hAnsi="Times New Roman"/>
          <w:color w:val="0070C0"/>
          <w:sz w:val="16"/>
          <w:szCs w:val="16"/>
        </w:rPr>
        <w:t xml:space="preserve"> полета вследствие поломки мотора и вынужденной посадки в</w:t>
      </w:r>
      <w:r>
        <w:rPr>
          <w:rFonts w:ascii="Times New Roman" w:hAnsi="Times New Roman"/>
          <w:color w:val="0070C0"/>
          <w:sz w:val="16"/>
          <w:szCs w:val="16"/>
        </w:rPr>
        <w:t xml:space="preserve"> тумане и </w:t>
      </w:r>
      <w:r w:rsidRPr="009F5089">
        <w:rPr>
          <w:rFonts w:ascii="Times New Roman" w:hAnsi="Times New Roman"/>
          <w:color w:val="0070C0"/>
          <w:sz w:val="16"/>
          <w:szCs w:val="16"/>
        </w:rPr>
        <w:t>до</w:t>
      </w:r>
      <w:r>
        <w:rPr>
          <w:rFonts w:ascii="Times New Roman" w:hAnsi="Times New Roman"/>
          <w:color w:val="0070C0"/>
          <w:sz w:val="16"/>
          <w:szCs w:val="16"/>
        </w:rPr>
        <w:t>ж</w:t>
      </w:r>
      <w:r w:rsidRPr="009F5089">
        <w:rPr>
          <w:rFonts w:ascii="Times New Roman" w:hAnsi="Times New Roman"/>
          <w:color w:val="0070C0"/>
          <w:sz w:val="16"/>
          <w:szCs w:val="16"/>
        </w:rPr>
        <w:t>де.</w:t>
      </w:r>
      <w:r>
        <w:rPr>
          <w:rFonts w:ascii="Times New Roman" w:hAnsi="Times New Roman"/>
          <w:color w:val="0070C0"/>
          <w:sz w:val="16"/>
          <w:szCs w:val="16"/>
        </w:rPr>
        <w:t xml:space="preserve"> Д</w:t>
      </w:r>
      <w:r w:rsidRPr="009F5089">
        <w:rPr>
          <w:rFonts w:ascii="Times New Roman" w:hAnsi="Times New Roman"/>
          <w:color w:val="0070C0"/>
          <w:sz w:val="16"/>
          <w:szCs w:val="16"/>
        </w:rPr>
        <w:t xml:space="preserve">оре спасся на парашюте, а </w:t>
      </w:r>
      <w:proofErr w:type="spellStart"/>
      <w:r w:rsidRPr="009F5089">
        <w:rPr>
          <w:rFonts w:ascii="Times New Roman" w:hAnsi="Times New Roman"/>
          <w:color w:val="0070C0"/>
          <w:sz w:val="16"/>
          <w:szCs w:val="16"/>
        </w:rPr>
        <w:t>ле</w:t>
      </w:r>
      <w:proofErr w:type="spellEnd"/>
      <w:r w:rsidRPr="009F5089">
        <w:rPr>
          <w:rFonts w:ascii="Times New Roman" w:hAnsi="Times New Roman"/>
          <w:color w:val="0070C0"/>
          <w:sz w:val="16"/>
          <w:szCs w:val="16"/>
        </w:rPr>
        <w:t xml:space="preserve">-Бри и механик Рене </w:t>
      </w:r>
      <w:proofErr w:type="spellStart"/>
      <w:r>
        <w:rPr>
          <w:rFonts w:ascii="Times New Roman" w:hAnsi="Times New Roman"/>
          <w:color w:val="0070C0"/>
          <w:sz w:val="16"/>
          <w:szCs w:val="16"/>
        </w:rPr>
        <w:t>Мисмон</w:t>
      </w:r>
      <w:proofErr w:type="spellEnd"/>
      <w:r w:rsidRPr="009F5089">
        <w:rPr>
          <w:rFonts w:ascii="Times New Roman" w:hAnsi="Times New Roman"/>
          <w:color w:val="0070C0"/>
          <w:sz w:val="16"/>
          <w:szCs w:val="16"/>
        </w:rPr>
        <w:t xml:space="preserve"> не успели выброситься и погибли</w:t>
      </w:r>
      <w:r>
        <w:rPr>
          <w:rFonts w:ascii="Times New Roman" w:hAnsi="Times New Roman"/>
          <w:color w:val="0070C0"/>
          <w:sz w:val="16"/>
          <w:szCs w:val="16"/>
        </w:rPr>
        <w:t>.</w:t>
      </w:r>
      <w:r w:rsidRPr="009F5089">
        <w:rPr>
          <w:rFonts w:ascii="Times New Roman" w:hAnsi="Times New Roman"/>
          <w:color w:val="0070C0"/>
          <w:sz w:val="16"/>
          <w:szCs w:val="16"/>
        </w:rPr>
        <w:t xml:space="preserve"> Местные власти немедлен</w:t>
      </w:r>
      <w:r>
        <w:rPr>
          <w:rFonts w:ascii="Times New Roman" w:hAnsi="Times New Roman"/>
          <w:color w:val="0070C0"/>
          <w:sz w:val="16"/>
          <w:szCs w:val="16"/>
        </w:rPr>
        <w:t xml:space="preserve">но прибыли </w:t>
      </w:r>
      <w:r w:rsidRPr="009F5089">
        <w:rPr>
          <w:rFonts w:ascii="Times New Roman" w:hAnsi="Times New Roman"/>
          <w:color w:val="0070C0"/>
          <w:sz w:val="16"/>
          <w:szCs w:val="16"/>
        </w:rPr>
        <w:t xml:space="preserve">на место катастрофы </w:t>
      </w:r>
      <w:r>
        <w:rPr>
          <w:rFonts w:ascii="Times New Roman" w:hAnsi="Times New Roman"/>
          <w:color w:val="0070C0"/>
          <w:sz w:val="16"/>
          <w:szCs w:val="16"/>
        </w:rPr>
        <w:t>и</w:t>
      </w:r>
      <w:r w:rsidRPr="009F5089">
        <w:rPr>
          <w:rFonts w:ascii="Times New Roman" w:hAnsi="Times New Roman"/>
          <w:color w:val="0070C0"/>
          <w:sz w:val="16"/>
          <w:szCs w:val="16"/>
        </w:rPr>
        <w:t xml:space="preserve"> оказали необходимую помощь остав</w:t>
      </w:r>
      <w:r>
        <w:rPr>
          <w:rFonts w:ascii="Times New Roman" w:hAnsi="Times New Roman"/>
          <w:color w:val="0070C0"/>
          <w:sz w:val="16"/>
          <w:szCs w:val="16"/>
        </w:rPr>
        <w:t>шемуся в живых.</w:t>
      </w:r>
    </w:p>
    <w:p w14:paraId="4A9A30F0" w14:textId="77777777" w:rsidR="003740E0" w:rsidRPr="009F5089" w:rsidRDefault="003740E0" w:rsidP="003740E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Так печально закончилась вторая попытка отва</w:t>
      </w:r>
      <w:r>
        <w:rPr>
          <w:rFonts w:ascii="Times New Roman" w:hAnsi="Times New Roman"/>
          <w:color w:val="0070C0"/>
          <w:sz w:val="16"/>
          <w:szCs w:val="16"/>
        </w:rPr>
        <w:t xml:space="preserve">жных летчиков </w:t>
      </w:r>
      <w:r w:rsidRPr="009F5089">
        <w:rPr>
          <w:rFonts w:ascii="Times New Roman" w:hAnsi="Times New Roman"/>
          <w:color w:val="0070C0"/>
          <w:sz w:val="16"/>
          <w:szCs w:val="16"/>
        </w:rPr>
        <w:t>перелететь из Парижа в Токио.</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Перелет был организован </w:t>
      </w:r>
      <w:r>
        <w:rPr>
          <w:rFonts w:ascii="Times New Roman" w:hAnsi="Times New Roman"/>
          <w:color w:val="0070C0"/>
          <w:sz w:val="16"/>
          <w:szCs w:val="16"/>
        </w:rPr>
        <w:t>парфюмерных</w:t>
      </w:r>
      <w:r w:rsidRPr="009F5089">
        <w:rPr>
          <w:rFonts w:ascii="Times New Roman" w:hAnsi="Times New Roman"/>
          <w:color w:val="0070C0"/>
          <w:sz w:val="16"/>
          <w:szCs w:val="16"/>
        </w:rPr>
        <w:t xml:space="preserve"> фабрикантом Франсуа Коти.</w:t>
      </w:r>
    </w:p>
    <w:p w14:paraId="185442AD" w14:textId="77777777" w:rsidR="003740E0" w:rsidRDefault="003740E0" w:rsidP="003740E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«Известия ЦИК</w:t>
      </w:r>
      <w:r w:rsidRPr="009F5089">
        <w:rPr>
          <w:rFonts w:ascii="Times New Roman" w:hAnsi="Times New Roman"/>
          <w:color w:val="0070C0"/>
          <w:sz w:val="16"/>
          <w:szCs w:val="16"/>
        </w:rPr>
        <w:t xml:space="preserve"> СССР</w:t>
      </w:r>
      <w:r>
        <w:rPr>
          <w:rFonts w:ascii="Times New Roman" w:hAnsi="Times New Roman"/>
          <w:color w:val="0070C0"/>
          <w:sz w:val="16"/>
          <w:szCs w:val="16"/>
        </w:rPr>
        <w:t>»</w:t>
      </w:r>
      <w:r w:rsidRPr="009F5089">
        <w:rPr>
          <w:rFonts w:ascii="Times New Roman" w:hAnsi="Times New Roman"/>
          <w:color w:val="0070C0"/>
          <w:sz w:val="16"/>
          <w:szCs w:val="16"/>
        </w:rPr>
        <w:t xml:space="preserve"> за 13 сентября </w:t>
      </w:r>
      <w:r>
        <w:rPr>
          <w:rFonts w:ascii="Times New Roman" w:hAnsi="Times New Roman"/>
          <w:color w:val="0070C0"/>
          <w:sz w:val="16"/>
          <w:szCs w:val="16"/>
        </w:rPr>
        <w:t>и</w:t>
      </w:r>
      <w:r w:rsidRPr="009F5089">
        <w:rPr>
          <w:rFonts w:ascii="Times New Roman" w:hAnsi="Times New Roman"/>
          <w:color w:val="0070C0"/>
          <w:sz w:val="16"/>
          <w:szCs w:val="16"/>
        </w:rPr>
        <w:t xml:space="preserve"> др. 1</w:t>
      </w:r>
      <w:r>
        <w:rPr>
          <w:rFonts w:ascii="Times New Roman" w:hAnsi="Times New Roman"/>
          <w:color w:val="0070C0"/>
          <w:sz w:val="16"/>
          <w:szCs w:val="16"/>
        </w:rPr>
        <w:t>9</w:t>
      </w:r>
      <w:r w:rsidRPr="009F5089">
        <w:rPr>
          <w:rFonts w:ascii="Times New Roman" w:hAnsi="Times New Roman"/>
          <w:color w:val="0070C0"/>
          <w:sz w:val="16"/>
          <w:szCs w:val="16"/>
        </w:rPr>
        <w:t>31 г./</w:t>
      </w:r>
      <w:r>
        <w:rPr>
          <w:rFonts w:ascii="Times New Roman" w:hAnsi="Times New Roman"/>
          <w:color w:val="0070C0"/>
          <w:sz w:val="16"/>
          <w:szCs w:val="16"/>
        </w:rPr>
        <w:t xml:space="preserve"> (23370).</w:t>
      </w:r>
    </w:p>
    <w:p w14:paraId="738EB85E" w14:textId="77777777" w:rsidR="003740E0" w:rsidRDefault="003740E0" w:rsidP="003740E0">
      <w:pPr>
        <w:spacing w:after="0" w:line="240" w:lineRule="auto"/>
        <w:jc w:val="both"/>
        <w:rPr>
          <w:rFonts w:ascii="Times New Roman" w:hAnsi="Times New Roman"/>
          <w:color w:val="0070C0"/>
          <w:sz w:val="16"/>
          <w:szCs w:val="16"/>
        </w:rPr>
      </w:pPr>
    </w:p>
    <w:p w14:paraId="4CEECE4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06C64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5DC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12 сентября 1931 г. по 15 декабря 1931 г. первая 76-мм система МПК, которая прибыла на НИАП без мотоцикла, была испытана 109 выстрелами зарядом 0,95 кг ленточного пороха ПКО. Снаряды: бронебойный весом 3,5 кг и осколочный весом 4,575 кг с 22-секундной трубкой.</w:t>
      </w:r>
    </w:p>
    <w:p w14:paraId="7CEEB6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ходе испытаний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6CD29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660188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вооружение система не принята ввиду малой проходимости мотоцикла. («Харлей </w:t>
      </w:r>
      <w:proofErr w:type="spellStart"/>
      <w:r w:rsidRPr="007122AB">
        <w:rPr>
          <w:rFonts w:ascii="Times New Roman" w:hAnsi="Times New Roman"/>
          <w:color w:val="000000" w:themeColor="text1"/>
          <w:sz w:val="16"/>
          <w:szCs w:val="16"/>
        </w:rPr>
        <w:t>Давидсон</w:t>
      </w:r>
      <w:proofErr w:type="spellEnd"/>
      <w:r w:rsidRPr="007122AB">
        <w:rPr>
          <w:rFonts w:ascii="Times New Roman" w:hAnsi="Times New Roman"/>
          <w:color w:val="000000" w:themeColor="text1"/>
          <w:sz w:val="16"/>
          <w:szCs w:val="16"/>
        </w:rPr>
        <w:t>» проектировался как полицейский мотоцикл с мощным двигателем, но обладал малой проходимостью.)</w:t>
      </w:r>
    </w:p>
    <w:p w14:paraId="63EEF7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618A05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EF7E97"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w:t>
      </w:r>
      <w:proofErr w:type="spellStart"/>
      <w:r w:rsidRPr="007122AB">
        <w:rPr>
          <w:rFonts w:ascii="Times New Roman" w:hAnsi="Times New Roman"/>
          <w:color w:val="000000" w:themeColor="text1"/>
          <w:sz w:val="16"/>
          <w:szCs w:val="16"/>
        </w:rPr>
        <w:t>сентябряв</w:t>
      </w:r>
      <w:proofErr w:type="spellEnd"/>
      <w:r w:rsidRPr="007122AB">
        <w:rPr>
          <w:rFonts w:ascii="Times New Roman" w:hAnsi="Times New Roman"/>
          <w:color w:val="000000" w:themeColor="text1"/>
          <w:sz w:val="16"/>
          <w:szCs w:val="16"/>
        </w:rPr>
        <w:t xml:space="preserve"> 1931 году на основании постановления Высшего Совета народного хозяйства СССР 10 сентября начато строительство завода «Красный сигналист» (ныне ОАО "Электросигнал" город Воронеж). В 1932 г. выпущена первая продукция –железнодорожные клеммы СЦБ, поршни и поршневые кольца для автомобильной промышленности. В 1933 г. завод переименован в «Электросигнал». Получено задание на выпуск первых детекторных приёмников «П – 8», батарейных «БИ-234», сетевых «СИ-234». В 1940 г. Выпущено 100000 радиоприёмников «СР-1», 20000 радиоприёмников «4ДН-6» и 4000 радиоприёмников «СПБ». В 1941 - 1944 гг. Завод эвакуирован в город Новосибирск. За выпуск продукции для нужд фронта: радиостанций РБМ, РСИ – 6МУ, УС – 3С завод награждён орденом </w:t>
      </w:r>
      <w:r w:rsidRPr="007122AB">
        <w:rPr>
          <w:rFonts w:ascii="Times New Roman" w:hAnsi="Times New Roman"/>
          <w:color w:val="000000" w:themeColor="text1"/>
          <w:sz w:val="16"/>
          <w:szCs w:val="16"/>
        </w:rPr>
        <w:lastRenderedPageBreak/>
        <w:t>Ленина. В 1943 г. Начато восстановление завода «Электросигнал» в Воронеже. Начато освоение и производство радиоприёмников «Родина» и «ЭЛС». В 1949 г. Разработана и освоена в производстве радиостанция «</w:t>
      </w:r>
      <w:proofErr w:type="spellStart"/>
      <w:r w:rsidRPr="007122AB">
        <w:rPr>
          <w:rFonts w:ascii="Times New Roman" w:hAnsi="Times New Roman"/>
          <w:color w:val="000000" w:themeColor="text1"/>
          <w:sz w:val="16"/>
          <w:szCs w:val="16"/>
        </w:rPr>
        <w:t>Плахпет</w:t>
      </w:r>
      <w:proofErr w:type="spellEnd"/>
      <w:r w:rsidRPr="007122AB">
        <w:rPr>
          <w:rFonts w:ascii="Times New Roman" w:hAnsi="Times New Roman"/>
          <w:color w:val="000000" w:themeColor="text1"/>
          <w:sz w:val="16"/>
          <w:szCs w:val="16"/>
        </w:rPr>
        <w:t xml:space="preserve">». В 1953 г. Освоен выпуск первых в стране телевизоров «КВН – 49» и комплексов народнохозяйственных радиостанций «АРС» и «ЦРС». В 1962 - 1980 </w:t>
      </w:r>
      <w:proofErr w:type="spellStart"/>
      <w:r w:rsidRPr="007122AB">
        <w:rPr>
          <w:rFonts w:ascii="Times New Roman" w:hAnsi="Times New Roman"/>
          <w:color w:val="000000" w:themeColor="text1"/>
          <w:sz w:val="16"/>
          <w:szCs w:val="16"/>
        </w:rPr>
        <w:t>гг.Освоен</w:t>
      </w:r>
      <w:proofErr w:type="spellEnd"/>
      <w:r w:rsidRPr="007122AB">
        <w:rPr>
          <w:rFonts w:ascii="Times New Roman" w:hAnsi="Times New Roman"/>
          <w:color w:val="000000" w:themeColor="text1"/>
          <w:sz w:val="16"/>
          <w:szCs w:val="16"/>
        </w:rPr>
        <w:t xml:space="preserve"> выпуск радиостанций сухопутного звена управления Вооружённых Сил Р-105, Р-107, Р-159, Р-111, Р-171 и другие. В 1966 г. Начато производство чёрно – белых телевизоров «Рекорд». В 1966 г. Завод награжден орденом Ленина. В 1970 - 1980 </w:t>
      </w:r>
      <w:proofErr w:type="spellStart"/>
      <w:r w:rsidRPr="007122AB">
        <w:rPr>
          <w:rFonts w:ascii="Times New Roman" w:hAnsi="Times New Roman"/>
          <w:color w:val="000000" w:themeColor="text1"/>
          <w:sz w:val="16"/>
          <w:szCs w:val="16"/>
        </w:rPr>
        <w:t>гг.Начато</w:t>
      </w:r>
      <w:proofErr w:type="spellEnd"/>
      <w:r w:rsidRPr="007122AB">
        <w:rPr>
          <w:rFonts w:ascii="Times New Roman" w:hAnsi="Times New Roman"/>
          <w:color w:val="000000" w:themeColor="text1"/>
          <w:sz w:val="16"/>
          <w:szCs w:val="16"/>
        </w:rPr>
        <w:t xml:space="preserve"> производство комплексов правительственных средств связи и радиостанций «Роща», «Вулкан», «Вьюн» и другие. В 1972 - 1979 </w:t>
      </w:r>
      <w:proofErr w:type="spellStart"/>
      <w:r w:rsidRPr="007122AB">
        <w:rPr>
          <w:rFonts w:ascii="Times New Roman" w:hAnsi="Times New Roman"/>
          <w:color w:val="000000" w:themeColor="text1"/>
          <w:sz w:val="16"/>
          <w:szCs w:val="16"/>
        </w:rPr>
        <w:t>гг.Освоено</w:t>
      </w:r>
      <w:proofErr w:type="spellEnd"/>
      <w:r w:rsidRPr="007122AB">
        <w:rPr>
          <w:rFonts w:ascii="Times New Roman" w:hAnsi="Times New Roman"/>
          <w:color w:val="000000" w:themeColor="text1"/>
          <w:sz w:val="16"/>
          <w:szCs w:val="16"/>
        </w:rPr>
        <w:t xml:space="preserve"> производство комплексов радиосвязи народно-хозяйственного назначения в составе изделий «Алтай», «Эстакада», «Лён», «Маяк». В 1977 г. Создано производственное объединение «Электросигнал». В 1983 г. Освоен выпуск цветных телевизоров «Рекорд – ВЦ- 311». Начато производство комплекса средств связи «Арбалет». В 1993 г. Предприятие преобразуется в акционерное общество. Собрана первая партия радиотелефонной системы «</w:t>
      </w:r>
      <w:proofErr w:type="spellStart"/>
      <w:r w:rsidRPr="007122AB">
        <w:rPr>
          <w:rFonts w:ascii="Times New Roman" w:hAnsi="Times New Roman"/>
          <w:color w:val="000000" w:themeColor="text1"/>
          <w:sz w:val="16"/>
          <w:szCs w:val="16"/>
        </w:rPr>
        <w:t>Волемот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транкового</w:t>
      </w:r>
      <w:proofErr w:type="spellEnd"/>
      <w:r w:rsidRPr="007122AB">
        <w:rPr>
          <w:rFonts w:ascii="Times New Roman" w:hAnsi="Times New Roman"/>
          <w:color w:val="000000" w:themeColor="text1"/>
          <w:sz w:val="16"/>
          <w:szCs w:val="16"/>
        </w:rPr>
        <w:t xml:space="preserve"> комплекса «Акватория». В 1998 г. Освоен выпуск локомотивных двух диапазонных радиостанций «Транспорт РВ-1.1М» для нужд МПС. Начат выпуск КШМ и КМ для войск связи МО Российской Федерации. В 1999 г. Освоен выпуск носимых средств связи КВ диапазона комплекса связи «Арбалет» и устройств </w:t>
      </w:r>
      <w:proofErr w:type="spellStart"/>
      <w:r w:rsidRPr="007122AB">
        <w:rPr>
          <w:rFonts w:ascii="Times New Roman" w:hAnsi="Times New Roman"/>
          <w:color w:val="000000" w:themeColor="text1"/>
          <w:sz w:val="16"/>
          <w:szCs w:val="16"/>
        </w:rPr>
        <w:t>речепреобразования</w:t>
      </w:r>
      <w:proofErr w:type="spellEnd"/>
      <w:r w:rsidRPr="007122AB">
        <w:rPr>
          <w:rFonts w:ascii="Times New Roman" w:hAnsi="Times New Roman"/>
          <w:color w:val="000000" w:themeColor="text1"/>
          <w:sz w:val="16"/>
          <w:szCs w:val="16"/>
        </w:rPr>
        <w:t>. В 2002 г. Освоен выпуск комплекса радиостанций «ВЭЛС» промышленно – технического назначения. В 2003 г. Начато производство комплекса связи «Акведук» КВ и УКВ диапазонов в составе- стационарных, возимых и носимых радиостанций.</w:t>
      </w:r>
    </w:p>
    <w:p w14:paraId="2CD81E4E" w14:textId="77777777" w:rsidR="000F3BEF" w:rsidRPr="007122AB" w:rsidRDefault="000F3BE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w:t>
      </w:r>
      <w:proofErr w:type="spellStart"/>
      <w:r w:rsidRPr="007122AB">
        <w:rPr>
          <w:rFonts w:ascii="Times New Roman" w:hAnsi="Times New Roman"/>
          <w:color w:val="000000" w:themeColor="text1"/>
          <w:sz w:val="16"/>
          <w:szCs w:val="16"/>
        </w:rPr>
        <w:t>сентябряв</w:t>
      </w:r>
      <w:proofErr w:type="spellEnd"/>
      <w:r w:rsidRPr="007122AB">
        <w:rPr>
          <w:rFonts w:ascii="Times New Roman" w:hAnsi="Times New Roman"/>
          <w:color w:val="000000" w:themeColor="text1"/>
          <w:sz w:val="16"/>
          <w:szCs w:val="16"/>
        </w:rPr>
        <w:t xml:space="preserve"> 1934 году Латвия, Литва и Эстония образовали политический союз. Подписанный в Женеве договор вошел в историю под именем Балтийской Антанты (14767).</w:t>
      </w:r>
    </w:p>
    <w:p w14:paraId="7A0F59B1" w14:textId="77777777" w:rsidR="000F3BEF" w:rsidRPr="007122AB" w:rsidRDefault="000F3BEF" w:rsidP="007122AB">
      <w:pPr>
        <w:spacing w:after="0" w:line="240" w:lineRule="auto"/>
        <w:jc w:val="both"/>
        <w:rPr>
          <w:rFonts w:ascii="Times New Roman" w:hAnsi="Times New Roman"/>
          <w:color w:val="000000" w:themeColor="text1"/>
          <w:sz w:val="16"/>
          <w:szCs w:val="16"/>
        </w:rPr>
      </w:pPr>
    </w:p>
    <w:p w14:paraId="39F0E6D1" w14:textId="77777777" w:rsidR="004C3F6D" w:rsidRPr="007122AB" w:rsidRDefault="004C3F6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сентября 1931 г.</w:t>
      </w:r>
    </w:p>
    <w:p w14:paraId="69D3C228" w14:textId="77777777" w:rsidR="004C3F6D" w:rsidRPr="007122AB" w:rsidRDefault="004C3F6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Докладная записка Л. К. Рамзина начальнику Технического отделения ЭКУ ОГПУ А. Г. </w:t>
      </w:r>
      <w:proofErr w:type="spellStart"/>
      <w:r w:rsidRPr="007122AB">
        <w:rPr>
          <w:rFonts w:ascii="Times New Roman" w:hAnsi="Times New Roman"/>
          <w:color w:val="000000" w:themeColor="text1"/>
          <w:sz w:val="16"/>
          <w:szCs w:val="16"/>
        </w:rPr>
        <w:t>Горянову</w:t>
      </w:r>
      <w:proofErr w:type="spellEnd"/>
      <w:r w:rsidRPr="007122AB">
        <w:rPr>
          <w:rFonts w:ascii="Times New Roman" w:hAnsi="Times New Roman"/>
          <w:color w:val="000000" w:themeColor="text1"/>
          <w:sz w:val="16"/>
          <w:szCs w:val="16"/>
        </w:rPr>
        <w:t xml:space="preserve"> о мерах по организации работы ОКБ № 11. 12 сентября 1931 г.</w:t>
      </w:r>
    </w:p>
    <w:p w14:paraId="7BCC5763" w14:textId="77777777" w:rsidR="004C3F6D" w:rsidRPr="007122AB" w:rsidRDefault="004C3F6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9416F84" w14:textId="77777777" w:rsidR="004C3F6D" w:rsidRPr="007122AB" w:rsidRDefault="004C3F6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601337" w14:textId="77777777" w:rsidR="004C3F6D" w:rsidRPr="007122AB" w:rsidRDefault="004C3F6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6CDECEA" w14:textId="77777777" w:rsidR="004C3F6D" w:rsidRPr="007122AB" w:rsidRDefault="004C3F6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69. Л. 1-3</w:t>
      </w:r>
    </w:p>
    <w:p w14:paraId="75068EDE" w14:textId="77777777" w:rsidR="004C3F6D" w:rsidRPr="007122AB" w:rsidRDefault="004C3F6D" w:rsidP="007122AB">
      <w:pPr>
        <w:pStyle w:val="rteright"/>
        <w:spacing w:before="0" w:after="0"/>
        <w:jc w:val="both"/>
        <w:rPr>
          <w:color w:val="000000" w:themeColor="text1"/>
          <w:sz w:val="16"/>
          <w:szCs w:val="16"/>
        </w:rPr>
      </w:pPr>
      <w:r w:rsidRPr="007122AB">
        <w:rPr>
          <w:color w:val="000000" w:themeColor="text1"/>
          <w:sz w:val="16"/>
          <w:szCs w:val="16"/>
        </w:rPr>
        <w:t>12 сентября 1931 г.</w:t>
      </w:r>
    </w:p>
    <w:p w14:paraId="17A3CDE4" w14:textId="77777777" w:rsidR="004C3F6D" w:rsidRPr="007122AB" w:rsidRDefault="004C3F6D" w:rsidP="007122AB">
      <w:pPr>
        <w:pStyle w:val="rtecenter"/>
        <w:spacing w:before="0" w:after="0"/>
        <w:jc w:val="both"/>
        <w:rPr>
          <w:color w:val="000000" w:themeColor="text1"/>
          <w:sz w:val="16"/>
          <w:szCs w:val="16"/>
        </w:rPr>
      </w:pPr>
      <w:r w:rsidRPr="007122AB">
        <w:rPr>
          <w:color w:val="000000" w:themeColor="text1"/>
          <w:sz w:val="16"/>
          <w:szCs w:val="16"/>
        </w:rPr>
        <w:t>Начальнику Технического Отделения ЭКУ ОГПУ</w:t>
      </w:r>
    </w:p>
    <w:p w14:paraId="021E6565" w14:textId="77777777" w:rsidR="004C3F6D" w:rsidRPr="007122AB" w:rsidRDefault="004C3F6D" w:rsidP="007122AB">
      <w:pPr>
        <w:pStyle w:val="rtecenter"/>
        <w:spacing w:before="0" w:after="0"/>
        <w:jc w:val="both"/>
        <w:rPr>
          <w:color w:val="000000" w:themeColor="text1"/>
          <w:sz w:val="16"/>
          <w:szCs w:val="16"/>
        </w:rPr>
      </w:pPr>
      <w:r w:rsidRPr="007122AB">
        <w:rPr>
          <w:color w:val="000000" w:themeColor="text1"/>
          <w:sz w:val="16"/>
          <w:szCs w:val="16"/>
        </w:rPr>
        <w:t>тов. А. Г. </w:t>
      </w:r>
      <w:proofErr w:type="spellStart"/>
      <w:r w:rsidRPr="007122AB">
        <w:rPr>
          <w:color w:val="000000" w:themeColor="text1"/>
          <w:sz w:val="16"/>
          <w:szCs w:val="16"/>
        </w:rPr>
        <w:t>Горянову</w:t>
      </w:r>
      <w:proofErr w:type="spellEnd"/>
    </w:p>
    <w:p w14:paraId="632484B1" w14:textId="77777777" w:rsidR="004C3F6D" w:rsidRPr="007122AB" w:rsidRDefault="004C3F6D" w:rsidP="007122AB">
      <w:pPr>
        <w:pStyle w:val="ae"/>
        <w:spacing w:before="0" w:after="0"/>
        <w:jc w:val="both"/>
        <w:rPr>
          <w:color w:val="000000" w:themeColor="text1"/>
          <w:sz w:val="16"/>
          <w:szCs w:val="16"/>
        </w:rPr>
      </w:pPr>
      <w:r w:rsidRPr="007122AB">
        <w:rPr>
          <w:color w:val="000000" w:themeColor="text1"/>
          <w:sz w:val="16"/>
          <w:szCs w:val="16"/>
        </w:rPr>
        <w:t>от Л. К. Рамзина</w:t>
      </w:r>
    </w:p>
    <w:p w14:paraId="0B037291"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Согласно утвержденного Вами плана работ нашего ОКБ №11, а также ввиду обращения Всесоюзного Теплотехнического Института, мы должны немедленно приступить к проектированию, а затем и к постройке промышленного прямоточного (</w:t>
      </w:r>
      <w:proofErr w:type="spellStart"/>
      <w:r w:rsidRPr="007122AB">
        <w:rPr>
          <w:color w:val="000000" w:themeColor="text1"/>
          <w:sz w:val="16"/>
          <w:szCs w:val="16"/>
        </w:rPr>
        <w:t>безбарабанного</w:t>
      </w:r>
      <w:proofErr w:type="spellEnd"/>
      <w:r w:rsidRPr="007122AB">
        <w:rPr>
          <w:color w:val="000000" w:themeColor="text1"/>
          <w:sz w:val="16"/>
          <w:szCs w:val="16"/>
        </w:rPr>
        <w:t>) котла сверхвысокого давления, моей системы.</w:t>
      </w:r>
    </w:p>
    <w:p w14:paraId="1E4EDD40"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Эта работа является крайне сложной и ответственной, благодаря[:]</w:t>
      </w:r>
    </w:p>
    <w:p w14:paraId="528A990B" w14:textId="77777777" w:rsidR="004C3F6D" w:rsidRPr="007122AB" w:rsidRDefault="004C3F6D" w:rsidP="007122AB">
      <w:pPr>
        <w:numPr>
          <w:ilvl w:val="0"/>
          <w:numId w:val="2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полной новизне конструкции, ибо нигде в мире нет еще ни одного стационарного котла подобного типа;</w:t>
      </w:r>
    </w:p>
    <w:p w14:paraId="2A1E2F10" w14:textId="77777777" w:rsidR="004C3F6D" w:rsidRPr="007122AB" w:rsidRDefault="004C3F6D" w:rsidP="007122AB">
      <w:pPr>
        <w:numPr>
          <w:ilvl w:val="0"/>
          <w:numId w:val="2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очень высокой мощности котла </w:t>
      </w:r>
      <w:proofErr w:type="spellStart"/>
      <w:r w:rsidRPr="007122AB">
        <w:rPr>
          <w:rFonts w:ascii="Times New Roman" w:hAnsi="Times New Roman"/>
          <w:color w:val="000000" w:themeColor="text1"/>
          <w:sz w:val="16"/>
          <w:szCs w:val="16"/>
        </w:rPr>
        <w:t>ок</w:t>
      </w:r>
      <w:proofErr w:type="spellEnd"/>
      <w:r w:rsidRPr="007122AB">
        <w:rPr>
          <w:rFonts w:ascii="Times New Roman" w:hAnsi="Times New Roman"/>
          <w:color w:val="000000" w:themeColor="text1"/>
          <w:sz w:val="16"/>
          <w:szCs w:val="16"/>
        </w:rPr>
        <w:t xml:space="preserve">. 150 </w:t>
      </w:r>
      <w:proofErr w:type="spellStart"/>
      <w:r w:rsidRPr="007122AB">
        <w:rPr>
          <w:rFonts w:ascii="Times New Roman" w:hAnsi="Times New Roman"/>
          <w:color w:val="000000" w:themeColor="text1"/>
          <w:sz w:val="16"/>
          <w:szCs w:val="16"/>
        </w:rPr>
        <w:t>тн</w:t>
      </w:r>
      <w:proofErr w:type="spellEnd"/>
      <w:r w:rsidRPr="007122AB">
        <w:rPr>
          <w:rFonts w:ascii="Times New Roman" w:hAnsi="Times New Roman"/>
          <w:color w:val="000000" w:themeColor="text1"/>
          <w:sz w:val="16"/>
          <w:szCs w:val="16"/>
        </w:rPr>
        <w:t xml:space="preserve">/час при давлении </w:t>
      </w:r>
      <w:proofErr w:type="spellStart"/>
      <w:r w:rsidRPr="007122AB">
        <w:rPr>
          <w:rFonts w:ascii="Times New Roman" w:hAnsi="Times New Roman"/>
          <w:color w:val="000000" w:themeColor="text1"/>
          <w:sz w:val="16"/>
          <w:szCs w:val="16"/>
        </w:rPr>
        <w:t>ок</w:t>
      </w:r>
      <w:proofErr w:type="spellEnd"/>
      <w:r w:rsidRPr="007122AB">
        <w:rPr>
          <w:rFonts w:ascii="Times New Roman" w:hAnsi="Times New Roman"/>
          <w:color w:val="000000" w:themeColor="text1"/>
          <w:sz w:val="16"/>
          <w:szCs w:val="16"/>
        </w:rPr>
        <w:t xml:space="preserve">. 150 </w:t>
      </w:r>
      <w:proofErr w:type="spellStart"/>
      <w:r w:rsidRPr="007122AB">
        <w:rPr>
          <w:rFonts w:ascii="Times New Roman" w:hAnsi="Times New Roman"/>
          <w:color w:val="000000" w:themeColor="text1"/>
          <w:sz w:val="16"/>
          <w:szCs w:val="16"/>
        </w:rPr>
        <w:t>ат</w:t>
      </w:r>
      <w:proofErr w:type="spellEnd"/>
      <w:r w:rsidRPr="007122AB">
        <w:rPr>
          <w:rFonts w:ascii="Times New Roman" w:hAnsi="Times New Roman"/>
          <w:color w:val="000000" w:themeColor="text1"/>
          <w:sz w:val="16"/>
          <w:szCs w:val="16"/>
        </w:rPr>
        <w:t xml:space="preserve">., так что проектируемый котел будет первым в мире по производительности, ибо для давлений в пределах 140-200 </w:t>
      </w:r>
      <w:proofErr w:type="spellStart"/>
      <w:r w:rsidRPr="007122AB">
        <w:rPr>
          <w:rFonts w:ascii="Times New Roman" w:hAnsi="Times New Roman"/>
          <w:color w:val="000000" w:themeColor="text1"/>
          <w:sz w:val="16"/>
          <w:szCs w:val="16"/>
        </w:rPr>
        <w:t>ат</w:t>
      </w:r>
      <w:proofErr w:type="spellEnd"/>
      <w:r w:rsidRPr="007122AB">
        <w:rPr>
          <w:rFonts w:ascii="Times New Roman" w:hAnsi="Times New Roman"/>
          <w:color w:val="000000" w:themeColor="text1"/>
          <w:sz w:val="16"/>
          <w:szCs w:val="16"/>
        </w:rPr>
        <w:t>. нет еще ни одного котла столь высокой мощности;</w:t>
      </w:r>
    </w:p>
    <w:p w14:paraId="63003A26" w14:textId="77777777" w:rsidR="004C3F6D" w:rsidRPr="007122AB" w:rsidRDefault="004C3F6D" w:rsidP="007122AB">
      <w:pPr>
        <w:numPr>
          <w:ilvl w:val="0"/>
          <w:numId w:val="2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необычной высоте перегрева пара;</w:t>
      </w:r>
    </w:p>
    <w:p w14:paraId="1AC3ACA2" w14:textId="77777777" w:rsidR="004C3F6D" w:rsidRPr="007122AB" w:rsidRDefault="004C3F6D" w:rsidP="007122AB">
      <w:pPr>
        <w:numPr>
          <w:ilvl w:val="0"/>
          <w:numId w:val="2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полному отсутствию опыта у советских заводов, которые до сих пор еще не строили котлов на давление выше 35 </w:t>
      </w:r>
      <w:proofErr w:type="spellStart"/>
      <w:r w:rsidRPr="007122AB">
        <w:rPr>
          <w:rFonts w:ascii="Times New Roman" w:hAnsi="Times New Roman"/>
          <w:color w:val="000000" w:themeColor="text1"/>
          <w:sz w:val="16"/>
          <w:szCs w:val="16"/>
        </w:rPr>
        <w:t>ат</w:t>
      </w:r>
      <w:proofErr w:type="spellEnd"/>
      <w:r w:rsidRPr="007122AB">
        <w:rPr>
          <w:rFonts w:ascii="Times New Roman" w:hAnsi="Times New Roman"/>
          <w:color w:val="000000" w:themeColor="text1"/>
          <w:sz w:val="16"/>
          <w:szCs w:val="16"/>
        </w:rPr>
        <w:t>.</w:t>
      </w:r>
    </w:p>
    <w:p w14:paraId="5FC27ABF" w14:textId="77777777" w:rsidR="004C3F6D" w:rsidRPr="007122AB" w:rsidRDefault="004C3F6D" w:rsidP="007122AB">
      <w:pPr>
        <w:numPr>
          <w:ilvl w:val="0"/>
          <w:numId w:val="2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большой ответственностью работы, ибо котел предназначается для теплоцентрали </w:t>
      </w:r>
      <w:proofErr w:type="spellStart"/>
      <w:r w:rsidRPr="007122AB">
        <w:rPr>
          <w:rFonts w:ascii="Times New Roman" w:hAnsi="Times New Roman"/>
          <w:color w:val="000000" w:themeColor="text1"/>
          <w:sz w:val="16"/>
          <w:szCs w:val="16"/>
        </w:rPr>
        <w:t>Тепл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отехнического</w:t>
      </w:r>
      <w:proofErr w:type="spellEnd"/>
      <w:r w:rsidRPr="007122AB">
        <w:rPr>
          <w:rFonts w:ascii="Times New Roman" w:hAnsi="Times New Roman"/>
          <w:color w:val="000000" w:themeColor="text1"/>
          <w:sz w:val="16"/>
          <w:szCs w:val="16"/>
        </w:rPr>
        <w:t>] Института, отнесенной Правительством к числу ударных строек:</w:t>
      </w:r>
    </w:p>
    <w:p w14:paraId="42EBDE8F" w14:textId="77777777" w:rsidR="004C3F6D" w:rsidRPr="007122AB" w:rsidRDefault="004C3F6D" w:rsidP="007122AB">
      <w:pPr>
        <w:numPr>
          <w:ilvl w:val="0"/>
          <w:numId w:val="2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краткости и жесткости сроков для проектирования, постройки, установки и пуска котла, ибо </w:t>
      </w:r>
      <w:proofErr w:type="spellStart"/>
      <w:r w:rsidRPr="007122AB">
        <w:rPr>
          <w:rFonts w:ascii="Times New Roman" w:hAnsi="Times New Roman"/>
          <w:color w:val="000000" w:themeColor="text1"/>
          <w:sz w:val="16"/>
          <w:szCs w:val="16"/>
        </w:rPr>
        <w:t>Теплоинститут</w:t>
      </w:r>
      <w:proofErr w:type="spellEnd"/>
      <w:r w:rsidRPr="007122AB">
        <w:rPr>
          <w:rFonts w:ascii="Times New Roman" w:hAnsi="Times New Roman"/>
          <w:color w:val="000000" w:themeColor="text1"/>
          <w:sz w:val="16"/>
          <w:szCs w:val="16"/>
        </w:rPr>
        <w:t xml:space="preserve"> ставит требование пустить котел в работу 1.ХII.1932 года.</w:t>
      </w:r>
    </w:p>
    <w:p w14:paraId="6DC5E060"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При отмеченных обстоятельствах мы имеем моральное право взяться за эту работу только при полной уверенности в том, что мы сможем выполнить принимаемые на себя обязательства. В свою очередь, возможность успешного и своевременного выполнения этой работы целиком зависит от ее организации и от тех условий, в которых она будет производиться.</w:t>
      </w:r>
    </w:p>
    <w:p w14:paraId="5B3DA734"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Во избежание недоразумений и неприятностей для Технического Отделения ЭКУ ОГПУ я считаю своим долгом самым настойчивым образом указать, что при теперешних условиях работы нашего ОКБ № 11 выполнить эту работу совершенно невозможно, ибо истекший опыт работы по проектированию неизмеримо более простого опытного прямоточного котла моей системы показал, что несмотря на всю энергию Начальника ОКБ № 11 тов. Н. И. </w:t>
      </w:r>
      <w:proofErr w:type="spellStart"/>
      <w:r w:rsidRPr="007122AB">
        <w:rPr>
          <w:color w:val="000000" w:themeColor="text1"/>
          <w:sz w:val="16"/>
          <w:szCs w:val="16"/>
        </w:rPr>
        <w:t>Наумина</w:t>
      </w:r>
      <w:proofErr w:type="spellEnd"/>
      <w:r w:rsidRPr="007122AB">
        <w:rPr>
          <w:color w:val="000000" w:themeColor="text1"/>
          <w:sz w:val="16"/>
          <w:szCs w:val="16"/>
        </w:rPr>
        <w:t>, на энергичную помощь тов. В. А. Беднякова и исключительное усердие сотрудников ОКБ № 11 работа подвигается крайне медленно, при чем и качество работы заметно страдает.</w:t>
      </w:r>
    </w:p>
    <w:p w14:paraId="6744581F"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Поэтому, если условия нашей работы не могут быть изменены в благоприятную сторону, от проектирования и постройки промышленного котла придется отказаться, дабы не вводить Теплотехнический Институт в заблуждение и не сорвать постройки его ударной теплоцентрали, ибо ответственность за этот срыв Институт с полным правом возложит тогда на </w:t>
      </w:r>
      <w:proofErr w:type="spellStart"/>
      <w:r w:rsidRPr="007122AB">
        <w:rPr>
          <w:color w:val="000000" w:themeColor="text1"/>
          <w:sz w:val="16"/>
          <w:szCs w:val="16"/>
        </w:rPr>
        <w:t>Техническ</w:t>
      </w:r>
      <w:proofErr w:type="spellEnd"/>
      <w:r w:rsidRPr="007122AB">
        <w:rPr>
          <w:color w:val="000000" w:themeColor="text1"/>
          <w:sz w:val="16"/>
          <w:szCs w:val="16"/>
        </w:rPr>
        <w:t>[</w:t>
      </w:r>
      <w:proofErr w:type="spellStart"/>
      <w:r w:rsidRPr="007122AB">
        <w:rPr>
          <w:color w:val="000000" w:themeColor="text1"/>
          <w:sz w:val="16"/>
          <w:szCs w:val="16"/>
        </w:rPr>
        <w:t>ое</w:t>
      </w:r>
      <w:proofErr w:type="spellEnd"/>
      <w:r w:rsidRPr="007122AB">
        <w:rPr>
          <w:color w:val="000000" w:themeColor="text1"/>
          <w:sz w:val="16"/>
          <w:szCs w:val="16"/>
        </w:rPr>
        <w:t>] Отделение ЭКУ ОГПУ.</w:t>
      </w:r>
    </w:p>
    <w:p w14:paraId="43F57C1F"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Наоборот, при благоприятной обстановке эту работу можно с успехом выполнить, при чем сроки ее окончания будут целиком зависеть от ее организации.</w:t>
      </w:r>
    </w:p>
    <w:p w14:paraId="3BA78974"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В числе основных условий, необходимых для успешного проектирования и постройки промышленного котла[,] надо указать на следующие:</w:t>
      </w:r>
    </w:p>
    <w:p w14:paraId="2550F8F7"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1. Надо точно установить </w:t>
      </w:r>
      <w:proofErr w:type="spellStart"/>
      <w:r w:rsidRPr="007122AB">
        <w:rPr>
          <w:color w:val="000000" w:themeColor="text1"/>
          <w:sz w:val="16"/>
          <w:szCs w:val="16"/>
        </w:rPr>
        <w:t>обцсм</w:t>
      </w:r>
      <w:proofErr w:type="spellEnd"/>
      <w:r w:rsidRPr="007122AB">
        <w:rPr>
          <w:color w:val="000000" w:themeColor="text1"/>
          <w:sz w:val="16"/>
          <w:szCs w:val="16"/>
        </w:rPr>
        <w:t xml:space="preserve"> наших работ и обязательств по отношению к </w:t>
      </w:r>
      <w:proofErr w:type="spellStart"/>
      <w:r w:rsidRPr="007122AB">
        <w:rPr>
          <w:color w:val="000000" w:themeColor="text1"/>
          <w:sz w:val="16"/>
          <w:szCs w:val="16"/>
        </w:rPr>
        <w:t>Теплоинституту</w:t>
      </w:r>
      <w:proofErr w:type="spellEnd"/>
      <w:r w:rsidRPr="007122AB">
        <w:rPr>
          <w:color w:val="000000" w:themeColor="text1"/>
          <w:sz w:val="16"/>
          <w:szCs w:val="16"/>
        </w:rPr>
        <w:t>.</w:t>
      </w:r>
    </w:p>
    <w:p w14:paraId="2E6BDCB2"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2. Необходимо расширить состав нашего ОКБ №11 минимум на 5-6 человек высокой квалификации и немедленно приступить к их подбору из имеющихся у Вас кадров. При этом 4-5 сотрудников ОКБ № 11 должны обладать свободой передвижения для быстрых сношений с внешним миром.</w:t>
      </w:r>
    </w:p>
    <w:p w14:paraId="7AFE5EA5"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3. Необходимо иметь на заводе </w:t>
      </w:r>
      <w:proofErr w:type="spellStart"/>
      <w:r w:rsidRPr="007122AB">
        <w:rPr>
          <w:color w:val="000000" w:themeColor="text1"/>
          <w:sz w:val="16"/>
          <w:szCs w:val="16"/>
        </w:rPr>
        <w:t>Парострой</w:t>
      </w:r>
      <w:proofErr w:type="spellEnd"/>
      <w:r w:rsidRPr="007122AB">
        <w:rPr>
          <w:color w:val="000000" w:themeColor="text1"/>
          <w:sz w:val="16"/>
          <w:szCs w:val="16"/>
        </w:rPr>
        <w:t xml:space="preserve"> достаточное помещение для размещения всей рабочей группы и обеспечить мне возможность непосредственного и непрерывного руководства всей работой, переведя меня на завод </w:t>
      </w:r>
      <w:proofErr w:type="spellStart"/>
      <w:r w:rsidRPr="007122AB">
        <w:rPr>
          <w:color w:val="000000" w:themeColor="text1"/>
          <w:sz w:val="16"/>
          <w:szCs w:val="16"/>
        </w:rPr>
        <w:t>Парострой</w:t>
      </w:r>
      <w:proofErr w:type="spellEnd"/>
      <w:r w:rsidRPr="007122AB">
        <w:rPr>
          <w:color w:val="000000" w:themeColor="text1"/>
          <w:sz w:val="16"/>
          <w:szCs w:val="16"/>
        </w:rPr>
        <w:t xml:space="preserve"> для совместной работы со всей группой.</w:t>
      </w:r>
    </w:p>
    <w:p w14:paraId="0B81D2CF"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Ввиду крайней краткости сроков необходимо теперь же сконструировать группу и немедленно приступить к работе, ибо здесь дорог каждый день.</w:t>
      </w:r>
    </w:p>
    <w:p w14:paraId="0E811436"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4. Необходимо внести полную ясность в вопросы организации проектирования (выполнение рабочих чертежей, согласование и т. д.) и постройки котла, установив распределение и объем работы для отдельных учреждений и организаций, и в частности четкие взаимоотношения с </w:t>
      </w:r>
      <w:proofErr w:type="spellStart"/>
      <w:r w:rsidRPr="007122AB">
        <w:rPr>
          <w:color w:val="000000" w:themeColor="text1"/>
          <w:sz w:val="16"/>
          <w:szCs w:val="16"/>
        </w:rPr>
        <w:t>Котлотурбиной</w:t>
      </w:r>
      <w:proofErr w:type="spellEnd"/>
      <w:r w:rsidRPr="007122AB">
        <w:rPr>
          <w:color w:val="000000" w:themeColor="text1"/>
          <w:sz w:val="16"/>
          <w:szCs w:val="16"/>
        </w:rPr>
        <w:t>, наметив жесткий план постройки и монтажа со сроками выполнения.</w:t>
      </w:r>
    </w:p>
    <w:p w14:paraId="08F11A43"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5. Необходимо обеспечить постоянную энергичную помощь со стороны ОГПУ в лице Вас и тов. ПРОКОФЬЕВА, в продвижении советских и заграничных заказов и других вопросах.</w:t>
      </w:r>
    </w:p>
    <w:p w14:paraId="24892A1F"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Одновременно прошу Вас внести облегчение и определенность в мой режим, и обеспечить мне хотя бы минимум спокойствия, необходимого для продуктивной работы, ибо при исключительной суровости моего режима, полной неопределенности и мучительной неизвестности моего положения я совершенно не могу составить плана своей работы и внести в нее нужную систему и порядок. Кроме того, совершенно измученный одиночным заключением, длящимся уже 2-й год, лишенный возможности продуктивно работать (ибо в теперешних условиях моя работоспособность используется лишь на 10-20 %), я с каждым днем утрачиваю свою квалификацию, все более теряю здоровье, энергию и душевное равновесие. Я держался до сих пор из последних моих сил, надеждой на облегчение моего положения и перевод на завод для работы; истерзанный многомесячным </w:t>
      </w:r>
      <w:proofErr w:type="spellStart"/>
      <w:r w:rsidRPr="007122AB">
        <w:rPr>
          <w:color w:val="000000" w:themeColor="text1"/>
          <w:sz w:val="16"/>
          <w:szCs w:val="16"/>
        </w:rPr>
        <w:t>безплодным</w:t>
      </w:r>
      <w:proofErr w:type="spellEnd"/>
      <w:r w:rsidRPr="007122AB">
        <w:rPr>
          <w:color w:val="000000" w:themeColor="text1"/>
          <w:sz w:val="16"/>
          <w:szCs w:val="16"/>
        </w:rPr>
        <w:t xml:space="preserve"> ожиданием, я доведен уже до полного отчаяния и скоро уже буду не в силах больше владеть собою. При таком душевном состоянии невозможно вести даже небольшую трафаретную работу, а тем более невозможно браться за столь ответственную работу, которая требует полного напряжения всех моих сил, знаний и способностей.</w:t>
      </w:r>
    </w:p>
    <w:p w14:paraId="3D21C06D"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Долгом своим считаю заявить Вам, что при настоящих условиях у меня нет уверенности довести до конца даже опытный котел, ибо лишенный возможности должными образом руководить работой, я не могу нести ответственность за задержки, ошибки и промахи в работе.</w:t>
      </w:r>
    </w:p>
    <w:p w14:paraId="52DFF548"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Скоро истекает последний срок моего перевода на завод, назначенный тов. ПРОКОФЬЕВЫМ. Очень прошу Вас поскорее перевести меня на завод для настоящей работы, по которой я так изголодался, и дать мне возможность довести до конца успешно начатое дело, которое принесет Советскому Союзу большую пользу.</w:t>
      </w:r>
    </w:p>
    <w:p w14:paraId="74D1A345"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 xml:space="preserve">Ввиду необходимости срочно дать ответ </w:t>
      </w:r>
      <w:proofErr w:type="spellStart"/>
      <w:r w:rsidRPr="007122AB">
        <w:rPr>
          <w:color w:val="000000" w:themeColor="text1"/>
          <w:sz w:val="16"/>
          <w:szCs w:val="16"/>
        </w:rPr>
        <w:t>Теплоинституту</w:t>
      </w:r>
      <w:proofErr w:type="spellEnd"/>
      <w:r w:rsidRPr="007122AB">
        <w:rPr>
          <w:color w:val="000000" w:themeColor="text1"/>
          <w:sz w:val="16"/>
          <w:szCs w:val="16"/>
        </w:rPr>
        <w:t xml:space="preserve"> о принятии нами задания на промышленный котел, и не имея возможности сделать это без Ваших руководящих указаний, очень прошу Вас вызвать меня для личного доклада Вам и тов. ПРОКОФЬЕВУ.</w:t>
      </w:r>
    </w:p>
    <w:p w14:paraId="29717F49"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О вышеизложенном прошу Вас доложить тов. ПРОКОФЬЕВУ.</w:t>
      </w:r>
    </w:p>
    <w:p w14:paraId="022CD8AF"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12.IX.1931 г.</w:t>
      </w:r>
    </w:p>
    <w:p w14:paraId="0D8157CB" w14:textId="77777777" w:rsidR="004C3F6D" w:rsidRPr="007122AB" w:rsidRDefault="004C3F6D" w:rsidP="007122AB">
      <w:pPr>
        <w:pStyle w:val="ae"/>
        <w:spacing w:before="0" w:after="0"/>
        <w:jc w:val="both"/>
        <w:rPr>
          <w:color w:val="000000" w:themeColor="text1"/>
          <w:sz w:val="16"/>
          <w:szCs w:val="16"/>
        </w:rPr>
      </w:pPr>
      <w:r w:rsidRPr="007122AB">
        <w:rPr>
          <w:color w:val="000000" w:themeColor="text1"/>
          <w:sz w:val="16"/>
          <w:szCs w:val="16"/>
        </w:rPr>
        <w:t>Л. Рамзин</w:t>
      </w:r>
    </w:p>
    <w:p w14:paraId="3611AC4A" w14:textId="77777777" w:rsidR="004C3F6D" w:rsidRPr="007122AB" w:rsidRDefault="004C3F6D"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69. Л. 1-3. (А) Рукописный подлинник, автограф Л. К. Рамзина (написано карандашом). На «титульном» листе (б/н) написано «Начальнику V отд. ЭКУ ОГПУ тов. А. Г. </w:t>
      </w:r>
      <w:proofErr w:type="spellStart"/>
      <w:r w:rsidRPr="007122AB">
        <w:rPr>
          <w:rStyle w:val="af0"/>
          <w:i w:val="0"/>
          <w:color w:val="000000" w:themeColor="text1"/>
          <w:sz w:val="16"/>
          <w:szCs w:val="16"/>
        </w:rPr>
        <w:t>Горянову</w:t>
      </w:r>
      <w:proofErr w:type="spellEnd"/>
      <w:r w:rsidRPr="007122AB">
        <w:rPr>
          <w:rStyle w:val="af0"/>
          <w:i w:val="0"/>
          <w:color w:val="000000" w:themeColor="text1"/>
          <w:sz w:val="16"/>
          <w:szCs w:val="16"/>
        </w:rPr>
        <w:t>». На Л. 4-8 — машинописная копия (экземпляр закладки, аналогичный Б).</w:t>
      </w:r>
    </w:p>
    <w:p w14:paraId="5F0B5D6F" w14:textId="77777777" w:rsidR="004C3F6D" w:rsidRPr="007122AB" w:rsidRDefault="004C3F6D"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Там же. Д. 2. Л. 71-67. (Б) Машинописная копия того времени (обратная нумерация листов). На Л. 71 вверху слева рукописная помета «т. Нау- </w:t>
      </w:r>
      <w:proofErr w:type="spellStart"/>
      <w:r w:rsidRPr="007122AB">
        <w:rPr>
          <w:rStyle w:val="af0"/>
          <w:i w:val="0"/>
          <w:color w:val="000000" w:themeColor="text1"/>
          <w:sz w:val="16"/>
          <w:szCs w:val="16"/>
        </w:rPr>
        <w:t>минувдело</w:t>
      </w:r>
      <w:proofErr w:type="spellEnd"/>
      <w:r w:rsidRPr="007122AB">
        <w:rPr>
          <w:rStyle w:val="af0"/>
          <w:i w:val="0"/>
          <w:color w:val="000000" w:themeColor="text1"/>
          <w:sz w:val="16"/>
          <w:szCs w:val="16"/>
        </w:rPr>
        <w:t>. 12/IХ» (подпись-росчерк, неразборчиво). Разночтения, кроме отмеченных в подстрочнике: в машинописном экземпляре отсутствуют все подчеркивания, сделанные Рамзиным в рукописи; все фамилии напечатаны прописными буквами; иначе написаны даты (через косую черту) (19070).</w:t>
      </w:r>
    </w:p>
    <w:p w14:paraId="520C6143" w14:textId="77777777" w:rsidR="004C3F6D" w:rsidRPr="007122AB" w:rsidRDefault="004C3F6D" w:rsidP="007122AB">
      <w:pPr>
        <w:spacing w:after="0" w:line="240" w:lineRule="auto"/>
        <w:jc w:val="both"/>
        <w:rPr>
          <w:rFonts w:ascii="Times New Roman" w:hAnsi="Times New Roman"/>
          <w:color w:val="000000" w:themeColor="text1"/>
          <w:sz w:val="16"/>
          <w:szCs w:val="16"/>
        </w:rPr>
      </w:pPr>
    </w:p>
    <w:p w14:paraId="3FFC1D6F" w14:textId="77777777" w:rsidR="004C3F6D" w:rsidRPr="007122AB" w:rsidRDefault="004C3F6D"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сентября 1931 в строй вступил первый сторожевик советской постройки - Ураган (3848,107).</w:t>
      </w:r>
    </w:p>
    <w:p w14:paraId="4601F9D9" w14:textId="77777777" w:rsidR="004C3F6D" w:rsidRPr="007122AB" w:rsidRDefault="004C3F6D" w:rsidP="007122AB">
      <w:pPr>
        <w:autoSpaceDE w:val="0"/>
        <w:autoSpaceDN w:val="0"/>
        <w:adjustRightInd w:val="0"/>
        <w:spacing w:after="0" w:line="240" w:lineRule="auto"/>
        <w:jc w:val="both"/>
        <w:rPr>
          <w:rFonts w:ascii="Times New Roman" w:hAnsi="Times New Roman"/>
          <w:color w:val="000000" w:themeColor="text1"/>
          <w:sz w:val="16"/>
          <w:szCs w:val="16"/>
        </w:rPr>
      </w:pPr>
    </w:p>
    <w:p w14:paraId="54DAE175" w14:textId="77777777" w:rsidR="004C3F6D" w:rsidRPr="007122AB" w:rsidRDefault="004C3F6D"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сентября 1931 г. вступил в строй сторожевик Ураган Морских сил Балтийского моря (3898).</w:t>
      </w:r>
    </w:p>
    <w:p w14:paraId="6C08275C" w14:textId="77777777" w:rsidR="004C3F6D" w:rsidRPr="007122AB" w:rsidRDefault="004C3F6D" w:rsidP="007122AB">
      <w:pPr>
        <w:autoSpaceDE w:val="0"/>
        <w:autoSpaceDN w:val="0"/>
        <w:adjustRightInd w:val="0"/>
        <w:spacing w:after="0" w:line="240" w:lineRule="auto"/>
        <w:jc w:val="both"/>
        <w:rPr>
          <w:rFonts w:ascii="Times New Roman" w:hAnsi="Times New Roman"/>
          <w:color w:val="000000" w:themeColor="text1"/>
          <w:sz w:val="16"/>
          <w:szCs w:val="16"/>
        </w:rPr>
      </w:pPr>
    </w:p>
    <w:p w14:paraId="0FDAD6C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96F635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42F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сентября 1931 Мексика вступила в Лигу наций (3481).</w:t>
      </w:r>
    </w:p>
    <w:p w14:paraId="2212BB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BFE0AA" w14:textId="77777777" w:rsidR="003562F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31ABFBD" w14:textId="77777777" w:rsidR="003562F3" w:rsidRPr="007122AB" w:rsidRDefault="003562F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2A2D1E" w14:textId="77777777" w:rsidR="00295B66" w:rsidRPr="007122AB" w:rsidRDefault="00295B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сентября 1931 г. приемная комиссия Управления ВВС Черного моря изучила первые самолеты С-62, прибывшие в 41 ящике из Италии на пароходе «</w:t>
      </w:r>
      <w:proofErr w:type="spellStart"/>
      <w:r w:rsidRPr="007122AB">
        <w:rPr>
          <w:rFonts w:ascii="Times New Roman" w:hAnsi="Times New Roman"/>
          <w:color w:val="000000" w:themeColor="text1"/>
          <w:sz w:val="16"/>
          <w:szCs w:val="16"/>
        </w:rPr>
        <w:t>Пальола</w:t>
      </w:r>
      <w:proofErr w:type="spellEnd"/>
      <w:r w:rsidRPr="007122AB">
        <w:rPr>
          <w:rFonts w:ascii="Times New Roman" w:hAnsi="Times New Roman"/>
          <w:color w:val="000000" w:themeColor="text1"/>
          <w:sz w:val="16"/>
          <w:szCs w:val="16"/>
        </w:rPr>
        <w:t>».</w:t>
      </w:r>
    </w:p>
    <w:p w14:paraId="1411B14A" w14:textId="77777777" w:rsidR="00295B66" w:rsidRPr="007122AB" w:rsidRDefault="00295B6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Приемка продолжилась 23 сентября (15 ящиков) и 20 октября (23 ящика).</w:t>
      </w:r>
    </w:p>
    <w:p w14:paraId="05CB321D" w14:textId="77777777" w:rsidR="00295B66" w:rsidRPr="007122AB" w:rsidRDefault="00295B66" w:rsidP="007122AB">
      <w:pPr>
        <w:spacing w:after="0" w:line="240" w:lineRule="auto"/>
        <w:jc w:val="both"/>
        <w:rPr>
          <w:rFonts w:ascii="Times New Roman" w:hAnsi="Times New Roman"/>
          <w:color w:val="000000" w:themeColor="text1"/>
          <w:sz w:val="16"/>
          <w:szCs w:val="16"/>
        </w:rPr>
      </w:pPr>
    </w:p>
    <w:p w14:paraId="243A714E" w14:textId="77777777" w:rsidR="003562F3" w:rsidRPr="007122AB" w:rsidRDefault="003562F3" w:rsidP="007122AB">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Style w:val="114"/>
          <w:rFonts w:eastAsia="Calibri"/>
          <w:b w:val="0"/>
          <w:i w:val="0"/>
          <w:color w:val="000000" w:themeColor="text1"/>
          <w:sz w:val="16"/>
          <w:szCs w:val="16"/>
        </w:rPr>
        <w:t>13 сентября 1931 года Газе</w:t>
      </w:r>
      <w:r w:rsidRPr="007122AB">
        <w:rPr>
          <w:rStyle w:val="114"/>
          <w:rFonts w:eastAsia="Calibri"/>
          <w:b w:val="0"/>
          <w:i w:val="0"/>
          <w:color w:val="000000" w:themeColor="text1"/>
          <w:sz w:val="16"/>
          <w:szCs w:val="16"/>
        </w:rPr>
        <w:softHyphen/>
        <w:t>та «Известия» со</w:t>
      </w:r>
      <w:r w:rsidRPr="007122AB">
        <w:rPr>
          <w:rStyle w:val="114"/>
          <w:rFonts w:eastAsia="Calibri"/>
          <w:b w:val="0"/>
          <w:i w:val="0"/>
          <w:color w:val="000000" w:themeColor="text1"/>
          <w:sz w:val="16"/>
          <w:szCs w:val="16"/>
        </w:rPr>
        <w:softHyphen/>
        <w:t>общала: «</w:t>
      </w:r>
      <w:r w:rsidRPr="007122AB">
        <w:rPr>
          <w:rFonts w:ascii="Times New Roman" w:hAnsi="Times New Roman" w:cs="Times New Roman"/>
          <w:b w:val="0"/>
          <w:color w:val="000000" w:themeColor="text1"/>
          <w:sz w:val="16"/>
          <w:szCs w:val="16"/>
        </w:rPr>
        <w:t>12 сентября &lt;... &gt; близ Уфы потер</w:t>
      </w:r>
      <w:r w:rsidRPr="007122AB">
        <w:rPr>
          <w:rFonts w:ascii="Times New Roman" w:hAnsi="Times New Roman" w:cs="Times New Roman"/>
          <w:b w:val="0"/>
          <w:color w:val="000000" w:themeColor="text1"/>
          <w:sz w:val="16"/>
          <w:szCs w:val="16"/>
        </w:rPr>
        <w:softHyphen/>
        <w:t xml:space="preserve">пел катастрофу французский самолет </w:t>
      </w:r>
      <w:proofErr w:type="spellStart"/>
      <w:r w:rsidRPr="007122AB">
        <w:rPr>
          <w:rFonts w:ascii="Times New Roman" w:hAnsi="Times New Roman" w:cs="Times New Roman"/>
          <w:b w:val="0"/>
          <w:color w:val="000000" w:themeColor="text1"/>
          <w:sz w:val="16"/>
          <w:szCs w:val="16"/>
        </w:rPr>
        <w:t>Де</w:t>
      </w:r>
      <w:r w:rsidRPr="007122AB">
        <w:rPr>
          <w:rFonts w:ascii="Times New Roman" w:hAnsi="Times New Roman" w:cs="Times New Roman"/>
          <w:b w:val="0"/>
          <w:color w:val="000000" w:themeColor="text1"/>
          <w:sz w:val="16"/>
          <w:szCs w:val="16"/>
        </w:rPr>
        <w:softHyphen/>
        <w:t>вуатин</w:t>
      </w:r>
      <w:proofErr w:type="spellEnd"/>
      <w:r w:rsidRPr="007122AB">
        <w:rPr>
          <w:rFonts w:ascii="Times New Roman" w:hAnsi="Times New Roman" w:cs="Times New Roman"/>
          <w:b w:val="0"/>
          <w:color w:val="000000" w:themeColor="text1"/>
          <w:sz w:val="16"/>
          <w:szCs w:val="16"/>
        </w:rPr>
        <w:t xml:space="preserve"> «Тред Юнион», совершавший беспо</w:t>
      </w:r>
      <w:r w:rsidRPr="007122AB">
        <w:rPr>
          <w:rFonts w:ascii="Times New Roman" w:hAnsi="Times New Roman" w:cs="Times New Roman"/>
          <w:b w:val="0"/>
          <w:color w:val="000000" w:themeColor="text1"/>
          <w:sz w:val="16"/>
          <w:szCs w:val="16"/>
        </w:rPr>
        <w:softHyphen/>
        <w:t>садочный перелет из Парижа в Токио. Са</w:t>
      </w:r>
      <w:r w:rsidRPr="007122AB">
        <w:rPr>
          <w:rFonts w:ascii="Times New Roman" w:hAnsi="Times New Roman" w:cs="Times New Roman"/>
          <w:b w:val="0"/>
          <w:color w:val="000000" w:themeColor="text1"/>
          <w:sz w:val="16"/>
          <w:szCs w:val="16"/>
        </w:rPr>
        <w:softHyphen/>
        <w:t xml:space="preserve">молетом управляли известные летчики- спортсмены Марсель Доре и </w:t>
      </w:r>
      <w:proofErr w:type="spellStart"/>
      <w:r w:rsidRPr="007122AB">
        <w:rPr>
          <w:rFonts w:ascii="Times New Roman" w:hAnsi="Times New Roman" w:cs="Times New Roman"/>
          <w:b w:val="0"/>
          <w:color w:val="000000" w:themeColor="text1"/>
          <w:sz w:val="16"/>
          <w:szCs w:val="16"/>
        </w:rPr>
        <w:t>ЖозефДе</w:t>
      </w:r>
      <w:proofErr w:type="spellEnd"/>
      <w:r w:rsidRPr="007122AB">
        <w:rPr>
          <w:rFonts w:ascii="Times New Roman" w:hAnsi="Times New Roman" w:cs="Times New Roman"/>
          <w:b w:val="0"/>
          <w:color w:val="000000" w:themeColor="text1"/>
          <w:sz w:val="16"/>
          <w:szCs w:val="16"/>
        </w:rPr>
        <w:t xml:space="preserve"> Бри... Катастрофа произошла на 23 часу полета вследствие поломки мотора и вынужден</w:t>
      </w:r>
      <w:r w:rsidRPr="007122AB">
        <w:rPr>
          <w:rFonts w:ascii="Times New Roman" w:hAnsi="Times New Roman" w:cs="Times New Roman"/>
          <w:b w:val="0"/>
          <w:color w:val="000000" w:themeColor="text1"/>
          <w:sz w:val="16"/>
          <w:szCs w:val="16"/>
        </w:rPr>
        <w:softHyphen/>
        <w:t xml:space="preserve">ной посадки в тумане и дожде. Доре спасся на парашюте, а Ле Бри и механик Ре не </w:t>
      </w:r>
      <w:proofErr w:type="spellStart"/>
      <w:r w:rsidRPr="007122AB">
        <w:rPr>
          <w:rFonts w:ascii="Times New Roman" w:hAnsi="Times New Roman" w:cs="Times New Roman"/>
          <w:b w:val="0"/>
          <w:color w:val="000000" w:themeColor="text1"/>
          <w:sz w:val="16"/>
          <w:szCs w:val="16"/>
        </w:rPr>
        <w:t>Мисмон</w:t>
      </w:r>
      <w:proofErr w:type="spellEnd"/>
      <w:r w:rsidRPr="007122AB">
        <w:rPr>
          <w:rFonts w:ascii="Times New Roman" w:hAnsi="Times New Roman" w:cs="Times New Roman"/>
          <w:b w:val="0"/>
          <w:color w:val="000000" w:themeColor="text1"/>
          <w:sz w:val="16"/>
          <w:szCs w:val="16"/>
        </w:rPr>
        <w:t xml:space="preserve"> (</w:t>
      </w:r>
      <w:proofErr w:type="spellStart"/>
      <w:r w:rsidRPr="007122AB">
        <w:rPr>
          <w:rFonts w:ascii="Times New Roman" w:hAnsi="Times New Roman" w:cs="Times New Roman"/>
          <w:b w:val="0"/>
          <w:color w:val="000000" w:themeColor="text1"/>
          <w:sz w:val="16"/>
          <w:szCs w:val="16"/>
        </w:rPr>
        <w:t>Месмен</w:t>
      </w:r>
      <w:proofErr w:type="spellEnd"/>
      <w:r w:rsidRPr="007122AB">
        <w:rPr>
          <w:rStyle w:val="119pt"/>
          <w:rFonts w:eastAsia="Calibri"/>
          <w:color w:val="000000" w:themeColor="text1"/>
          <w:sz w:val="16"/>
          <w:szCs w:val="16"/>
        </w:rPr>
        <w:t>)</w:t>
      </w:r>
      <w:r w:rsidRPr="007122AB">
        <w:rPr>
          <w:rFonts w:ascii="Times New Roman" w:hAnsi="Times New Roman" w:cs="Times New Roman"/>
          <w:b w:val="0"/>
          <w:color w:val="000000" w:themeColor="text1"/>
          <w:sz w:val="16"/>
          <w:szCs w:val="16"/>
        </w:rPr>
        <w:t xml:space="preserve"> не успели вы</w:t>
      </w:r>
      <w:r w:rsidRPr="007122AB">
        <w:rPr>
          <w:rFonts w:ascii="Times New Roman" w:hAnsi="Times New Roman" w:cs="Times New Roman"/>
          <w:b w:val="0"/>
          <w:color w:val="000000" w:themeColor="text1"/>
          <w:sz w:val="16"/>
          <w:szCs w:val="16"/>
        </w:rPr>
        <w:softHyphen/>
        <w:t>броситься и погибли. Местные власти не</w:t>
      </w:r>
      <w:r w:rsidRPr="007122AB">
        <w:rPr>
          <w:rFonts w:ascii="Times New Roman" w:hAnsi="Times New Roman" w:cs="Times New Roman"/>
          <w:b w:val="0"/>
          <w:color w:val="000000" w:themeColor="text1"/>
          <w:sz w:val="16"/>
          <w:szCs w:val="16"/>
        </w:rPr>
        <w:softHyphen/>
        <w:t>медленно прибыли на место катастрофы и оказали необходимую помощь, оставшему</w:t>
      </w:r>
      <w:r w:rsidRPr="007122AB">
        <w:rPr>
          <w:rFonts w:ascii="Times New Roman" w:hAnsi="Times New Roman" w:cs="Times New Roman"/>
          <w:b w:val="0"/>
          <w:color w:val="000000" w:themeColor="text1"/>
          <w:sz w:val="16"/>
          <w:szCs w:val="16"/>
        </w:rPr>
        <w:softHyphen/>
        <w:t>ся в живых Доре. Так печально закончилась вторая попытка отважных летчиков пе</w:t>
      </w:r>
      <w:r w:rsidRPr="007122AB">
        <w:rPr>
          <w:rFonts w:ascii="Times New Roman" w:hAnsi="Times New Roman" w:cs="Times New Roman"/>
          <w:b w:val="0"/>
          <w:color w:val="000000" w:themeColor="text1"/>
          <w:sz w:val="16"/>
          <w:szCs w:val="16"/>
        </w:rPr>
        <w:softHyphen/>
        <w:t>релететь из Парижа в Токио. Перелет был организован парфюмерным фабрикантом Франсуа Коти» (12725).</w:t>
      </w:r>
    </w:p>
    <w:p w14:paraId="7119874A" w14:textId="77777777" w:rsidR="003562F3" w:rsidRPr="007122AB" w:rsidRDefault="003562F3" w:rsidP="007122AB">
      <w:pPr>
        <w:spacing w:after="0" w:line="240" w:lineRule="auto"/>
        <w:jc w:val="both"/>
        <w:rPr>
          <w:rFonts w:ascii="Times New Roman" w:hAnsi="Times New Roman"/>
          <w:color w:val="000000" w:themeColor="text1"/>
          <w:sz w:val="16"/>
          <w:szCs w:val="16"/>
        </w:rPr>
      </w:pPr>
    </w:p>
    <w:p w14:paraId="7B68066F" w14:textId="77777777" w:rsidR="003E28C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0CBC789" w14:textId="77777777" w:rsidR="003E28CB" w:rsidRPr="007122AB" w:rsidRDefault="003E28C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B2AC50"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г. Постановление Президиума ВСНХ СССР о технической помощи </w:t>
      </w:r>
      <w:proofErr w:type="spellStart"/>
      <w:r w:rsidRPr="007122AB">
        <w:rPr>
          <w:rFonts w:ascii="Times New Roman" w:hAnsi="Times New Roman"/>
          <w:color w:val="000000" w:themeColor="text1"/>
          <w:sz w:val="16"/>
          <w:szCs w:val="16"/>
        </w:rPr>
        <w:t>ВОИВу</w:t>
      </w:r>
      <w:proofErr w:type="spellEnd"/>
      <w:r w:rsidRPr="007122AB">
        <w:rPr>
          <w:rFonts w:ascii="Times New Roman" w:hAnsi="Times New Roman"/>
          <w:color w:val="000000" w:themeColor="text1"/>
          <w:sz w:val="16"/>
          <w:szCs w:val="16"/>
        </w:rPr>
        <w:t xml:space="preserve"> (РГАЭ. Ф. 3429. Оп. 6. Д. 189. Л. 70) (12417).</w:t>
      </w:r>
    </w:p>
    <w:p w14:paraId="55892EDC"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0AD797CD"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октября 1931 г. Постановление Президиума ВСНХ СССР о быстроходных дизелях (РГАЭ. Ф. 3429. Оп. 1. Д. 5248. Л. 35?37) (12417).</w:t>
      </w:r>
    </w:p>
    <w:p w14:paraId="0BE739D7" w14:textId="77777777" w:rsidR="003E28CB" w:rsidRPr="007122AB" w:rsidRDefault="003E28CB" w:rsidP="007122AB">
      <w:pPr>
        <w:spacing w:after="0" w:line="240" w:lineRule="auto"/>
        <w:jc w:val="both"/>
        <w:rPr>
          <w:rFonts w:ascii="Times New Roman" w:hAnsi="Times New Roman"/>
          <w:color w:val="000000" w:themeColor="text1"/>
          <w:sz w:val="16"/>
          <w:szCs w:val="16"/>
        </w:rPr>
      </w:pPr>
    </w:p>
    <w:p w14:paraId="40A2A095" w14:textId="77777777" w:rsidR="00EA015A" w:rsidRPr="007122AB" w:rsidRDefault="00EA015A" w:rsidP="007122AB">
      <w:pPr>
        <w:pStyle w:val="rtejustify"/>
        <w:spacing w:before="0" w:after="0"/>
        <w:rPr>
          <w:color w:val="000000" w:themeColor="text1"/>
          <w:sz w:val="16"/>
          <w:szCs w:val="16"/>
        </w:rPr>
      </w:pPr>
      <w:r w:rsidRPr="007122AB">
        <w:rPr>
          <w:color w:val="000000" w:themeColor="text1"/>
          <w:sz w:val="16"/>
          <w:szCs w:val="16"/>
        </w:rPr>
        <w:t xml:space="preserve">13 сентября 1931 г. в целях усиления хозяйственного и технического руководства машиностроением и металлообработкой в составе ВСНХ Постановлением Президиума ВСНХ СССР № 649 было учреждено </w:t>
      </w:r>
      <w:r w:rsidRPr="007122AB">
        <w:rPr>
          <w:rStyle w:val="af0"/>
          <w:bCs/>
          <w:i w:val="0"/>
          <w:color w:val="000000" w:themeColor="text1"/>
          <w:sz w:val="16"/>
          <w:szCs w:val="16"/>
        </w:rPr>
        <w:t>Главное управление машиностроения и металлообработки (</w:t>
      </w:r>
      <w:proofErr w:type="spellStart"/>
      <w:r w:rsidRPr="007122AB">
        <w:rPr>
          <w:rStyle w:val="af0"/>
          <w:bCs/>
          <w:i w:val="0"/>
          <w:color w:val="000000" w:themeColor="text1"/>
          <w:sz w:val="16"/>
          <w:szCs w:val="16"/>
        </w:rPr>
        <w:t>Главмашпром</w:t>
      </w:r>
      <w:proofErr w:type="spellEnd"/>
      <w:r w:rsidRPr="007122AB">
        <w:rPr>
          <w:rStyle w:val="af0"/>
          <w:bCs/>
          <w:i w:val="0"/>
          <w:color w:val="000000" w:themeColor="text1"/>
          <w:sz w:val="16"/>
          <w:szCs w:val="16"/>
        </w:rPr>
        <w:t>)</w:t>
      </w:r>
      <w:r w:rsidRPr="007122AB">
        <w:rPr>
          <w:color w:val="000000" w:themeColor="text1"/>
          <w:sz w:val="16"/>
          <w:szCs w:val="16"/>
        </w:rPr>
        <w:t xml:space="preserve">. Одновременно было утверждено положение о </w:t>
      </w:r>
      <w:proofErr w:type="spellStart"/>
      <w:r w:rsidRPr="007122AB">
        <w:rPr>
          <w:color w:val="000000" w:themeColor="text1"/>
          <w:sz w:val="16"/>
          <w:szCs w:val="16"/>
        </w:rPr>
        <w:t>Главмашпроме</w:t>
      </w:r>
      <w:proofErr w:type="spellEnd"/>
      <w:r w:rsidRPr="007122AB">
        <w:rPr>
          <w:color w:val="000000" w:themeColor="text1"/>
          <w:sz w:val="16"/>
          <w:szCs w:val="16"/>
        </w:rPr>
        <w:t xml:space="preserve"> и список объединений, трестов и учреждений ему подчиненных. 5 января 1932 г. с созданием Наркомата тяжелой промышленности </w:t>
      </w:r>
      <w:proofErr w:type="spellStart"/>
      <w:r w:rsidRPr="007122AB">
        <w:rPr>
          <w:color w:val="000000" w:themeColor="text1"/>
          <w:sz w:val="16"/>
          <w:szCs w:val="16"/>
        </w:rPr>
        <w:t>Главмашпром</w:t>
      </w:r>
      <w:proofErr w:type="spellEnd"/>
      <w:r w:rsidRPr="007122AB">
        <w:rPr>
          <w:color w:val="000000" w:themeColor="text1"/>
          <w:sz w:val="16"/>
          <w:szCs w:val="16"/>
        </w:rPr>
        <w:t xml:space="preserve"> был передан в его ведение и стал называться Главным управлением машиностроительной промышленности НКТП СССР. В ведении </w:t>
      </w:r>
      <w:proofErr w:type="spellStart"/>
      <w:r w:rsidRPr="007122AB">
        <w:rPr>
          <w:color w:val="000000" w:themeColor="text1"/>
          <w:sz w:val="16"/>
          <w:szCs w:val="16"/>
        </w:rPr>
        <w:t>Главмашпрома</w:t>
      </w:r>
      <w:proofErr w:type="spellEnd"/>
      <w:r w:rsidRPr="007122AB">
        <w:rPr>
          <w:color w:val="000000" w:themeColor="text1"/>
          <w:sz w:val="16"/>
          <w:szCs w:val="16"/>
        </w:rPr>
        <w:t xml:space="preserve"> находились объединения и тресты общесоюзного значения машиностроительной и металлообрабатывающей промышленности, а также проектирующие, монтажные и научно-исследовательские учреждения. В момент создания в 1931 г. таких организаций насчитывалось 32. Затем сеть подведомственных учреждений менялась. Некоторые объединения реорганизовывались в главки. </w:t>
      </w:r>
      <w:proofErr w:type="spellStart"/>
      <w:r w:rsidRPr="007122AB">
        <w:rPr>
          <w:color w:val="000000" w:themeColor="text1"/>
          <w:sz w:val="16"/>
          <w:szCs w:val="16"/>
        </w:rPr>
        <w:t>Главмашпром</w:t>
      </w:r>
      <w:proofErr w:type="spellEnd"/>
      <w:r w:rsidRPr="007122AB">
        <w:rPr>
          <w:color w:val="000000" w:themeColor="text1"/>
          <w:sz w:val="16"/>
          <w:szCs w:val="16"/>
        </w:rPr>
        <w:t xml:space="preserve"> был создан для планирования, регулирования и технического руководства машиностроением. В его функции входили: разработка перспективных планов развития машиностроительной промышленности, подготовка контрольных цифр по специальным отраслям машиностроения, наблюдение за их выполнением, распределением денежных средств и кредитов, наблюдение за количеством и качеством выполнения планов, руководство работой по улучшению качества продукции и организация контроля качества, организация снабжения и сбыта продукции, рассмотрение отчетов и балансов подведомственных учреждений. Структура </w:t>
      </w:r>
      <w:proofErr w:type="spellStart"/>
      <w:r w:rsidRPr="007122AB">
        <w:rPr>
          <w:color w:val="000000" w:themeColor="text1"/>
          <w:sz w:val="16"/>
          <w:szCs w:val="16"/>
        </w:rPr>
        <w:t>Главмашпрома</w:t>
      </w:r>
      <w:proofErr w:type="spellEnd"/>
      <w:r w:rsidRPr="007122AB">
        <w:rPr>
          <w:color w:val="000000" w:themeColor="text1"/>
          <w:sz w:val="16"/>
          <w:szCs w:val="16"/>
        </w:rPr>
        <w:t xml:space="preserve"> не была постоянной и часто подвергалась реорганизациям. В 1933 г. из </w:t>
      </w:r>
      <w:proofErr w:type="spellStart"/>
      <w:r w:rsidRPr="007122AB">
        <w:rPr>
          <w:color w:val="000000" w:themeColor="text1"/>
          <w:sz w:val="16"/>
          <w:szCs w:val="16"/>
        </w:rPr>
        <w:t>Главмашпрома</w:t>
      </w:r>
      <w:proofErr w:type="spellEnd"/>
      <w:r w:rsidRPr="007122AB">
        <w:rPr>
          <w:color w:val="000000" w:themeColor="text1"/>
          <w:sz w:val="16"/>
          <w:szCs w:val="16"/>
        </w:rPr>
        <w:t xml:space="preserve"> выделились </w:t>
      </w:r>
      <w:proofErr w:type="spellStart"/>
      <w:r w:rsidRPr="007122AB">
        <w:rPr>
          <w:color w:val="000000" w:themeColor="text1"/>
          <w:sz w:val="16"/>
          <w:szCs w:val="16"/>
        </w:rPr>
        <w:t>Главметиз</w:t>
      </w:r>
      <w:proofErr w:type="spellEnd"/>
      <w:r w:rsidRPr="007122AB">
        <w:rPr>
          <w:color w:val="000000" w:themeColor="text1"/>
          <w:sz w:val="16"/>
          <w:szCs w:val="16"/>
        </w:rPr>
        <w:t xml:space="preserve">, </w:t>
      </w:r>
      <w:proofErr w:type="spellStart"/>
      <w:r w:rsidRPr="007122AB">
        <w:rPr>
          <w:color w:val="000000" w:themeColor="text1"/>
          <w:sz w:val="16"/>
          <w:szCs w:val="16"/>
        </w:rPr>
        <w:t>Главстанкоинструмент</w:t>
      </w:r>
      <w:proofErr w:type="spellEnd"/>
      <w:r w:rsidRPr="007122AB">
        <w:rPr>
          <w:color w:val="000000" w:themeColor="text1"/>
          <w:sz w:val="16"/>
          <w:szCs w:val="16"/>
        </w:rPr>
        <w:t xml:space="preserve">, </w:t>
      </w:r>
      <w:proofErr w:type="spellStart"/>
      <w:r w:rsidRPr="007122AB">
        <w:rPr>
          <w:color w:val="000000" w:themeColor="text1"/>
          <w:sz w:val="16"/>
          <w:szCs w:val="16"/>
        </w:rPr>
        <w:t>Главсельмаш</w:t>
      </w:r>
      <w:proofErr w:type="spellEnd"/>
      <w:r w:rsidRPr="007122AB">
        <w:rPr>
          <w:color w:val="000000" w:themeColor="text1"/>
          <w:sz w:val="16"/>
          <w:szCs w:val="16"/>
        </w:rPr>
        <w:t xml:space="preserve"> и </w:t>
      </w:r>
      <w:proofErr w:type="spellStart"/>
      <w:r w:rsidRPr="007122AB">
        <w:rPr>
          <w:color w:val="000000" w:themeColor="text1"/>
          <w:sz w:val="16"/>
          <w:szCs w:val="16"/>
        </w:rPr>
        <w:t>Главтопмаш</w:t>
      </w:r>
      <w:proofErr w:type="spellEnd"/>
      <w:r w:rsidRPr="007122AB">
        <w:rPr>
          <w:color w:val="000000" w:themeColor="text1"/>
          <w:sz w:val="16"/>
          <w:szCs w:val="16"/>
        </w:rPr>
        <w:t xml:space="preserve">. Ранее существовавшие секторы преобразовались в отделы. Образовались отраслевые и функциональные отделы. Отраслевые — горного оборудования, непосредственного подчинения заводов, тяжелого и общего машиностроения, оборудования для легкой промышленности, коммунально-бытового оборудования, массового производства. Функциональные — снабжения, технико-организационный, планово-экономический, спецотдел, группы баланса, литья и поковок, оборудования и главного инженера. Приказом НКТП СССР № 42 от 9 января 1935 г. во исполнение постановления СНК СССР № 37 от того же числа </w:t>
      </w:r>
      <w:proofErr w:type="spellStart"/>
      <w:r w:rsidRPr="007122AB">
        <w:rPr>
          <w:color w:val="000000" w:themeColor="text1"/>
          <w:sz w:val="16"/>
          <w:szCs w:val="16"/>
        </w:rPr>
        <w:t>Главмашпром</w:t>
      </w:r>
      <w:proofErr w:type="spellEnd"/>
      <w:r w:rsidRPr="007122AB">
        <w:rPr>
          <w:color w:val="000000" w:themeColor="text1"/>
          <w:sz w:val="16"/>
          <w:szCs w:val="16"/>
        </w:rPr>
        <w:t xml:space="preserve"> был разукрупнен на 4 главка: </w:t>
      </w:r>
      <w:proofErr w:type="spellStart"/>
      <w:r w:rsidRPr="007122AB">
        <w:rPr>
          <w:color w:val="000000" w:themeColor="text1"/>
          <w:sz w:val="16"/>
          <w:szCs w:val="16"/>
        </w:rPr>
        <w:t>Главгормаш</w:t>
      </w:r>
      <w:proofErr w:type="spellEnd"/>
      <w:r w:rsidRPr="007122AB">
        <w:rPr>
          <w:color w:val="000000" w:themeColor="text1"/>
          <w:sz w:val="16"/>
          <w:szCs w:val="16"/>
        </w:rPr>
        <w:t xml:space="preserve">, </w:t>
      </w:r>
      <w:proofErr w:type="spellStart"/>
      <w:r w:rsidRPr="007122AB">
        <w:rPr>
          <w:color w:val="000000" w:themeColor="text1"/>
          <w:sz w:val="16"/>
          <w:szCs w:val="16"/>
        </w:rPr>
        <w:t>Главлегмаш</w:t>
      </w:r>
      <w:proofErr w:type="spellEnd"/>
      <w:r w:rsidRPr="007122AB">
        <w:rPr>
          <w:color w:val="000000" w:themeColor="text1"/>
          <w:sz w:val="16"/>
          <w:szCs w:val="16"/>
        </w:rPr>
        <w:t xml:space="preserve">, </w:t>
      </w:r>
      <w:proofErr w:type="spellStart"/>
      <w:r w:rsidRPr="007122AB">
        <w:rPr>
          <w:color w:val="000000" w:themeColor="text1"/>
          <w:sz w:val="16"/>
          <w:szCs w:val="16"/>
        </w:rPr>
        <w:t>Главсредмаш</w:t>
      </w:r>
      <w:proofErr w:type="spellEnd"/>
      <w:r w:rsidRPr="007122AB">
        <w:rPr>
          <w:color w:val="000000" w:themeColor="text1"/>
          <w:sz w:val="16"/>
          <w:szCs w:val="16"/>
        </w:rPr>
        <w:t xml:space="preserve"> и </w:t>
      </w:r>
      <w:proofErr w:type="spellStart"/>
      <w:r w:rsidRPr="007122AB">
        <w:rPr>
          <w:color w:val="000000" w:themeColor="text1"/>
          <w:sz w:val="16"/>
          <w:szCs w:val="16"/>
        </w:rPr>
        <w:t>Главармалит</w:t>
      </w:r>
      <w:proofErr w:type="spellEnd"/>
      <w:r w:rsidRPr="007122AB">
        <w:rPr>
          <w:color w:val="000000" w:themeColor="text1"/>
          <w:sz w:val="16"/>
          <w:szCs w:val="16"/>
        </w:rPr>
        <w:t>. (РГАЭ. Ф. 3429. Оп. 57. Д. 327. Л. 131; Ф. 3429. Оп. 57. Д. 327. Л. 131; Ф. 8081. Оп. 1. Д. 43. Л. 11</w:t>
      </w:r>
      <w:r w:rsidRPr="007122AB">
        <w:rPr>
          <w:color w:val="000000" w:themeColor="text1"/>
          <w:sz w:val="16"/>
          <w:szCs w:val="16"/>
        </w:rPr>
        <w:noBreakHyphen/>
        <w:t>12; Ф. 2765. Оп. 1. Д. 67. Л. 13; Ф. 8081. Оп. 1) (15273).</w:t>
      </w:r>
    </w:p>
    <w:p w14:paraId="39F745CD" w14:textId="77777777" w:rsidR="00EA015A" w:rsidRPr="007122AB" w:rsidRDefault="00EA015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3DA2DC" w14:textId="77777777" w:rsidR="004C3F6D" w:rsidRPr="007122AB" w:rsidRDefault="004C3F6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13 сентября 1931 г.</w:t>
      </w:r>
    </w:p>
    <w:p w14:paraId="7D9DC682" w14:textId="77777777" w:rsidR="004C3F6D" w:rsidRPr="007122AB" w:rsidRDefault="004C3F6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Приказ по Техническому отделению ЭКУ ОГПУ о составлении «плана расходов» по ОКБ на 1932 г. от 13 сентября 1931 г.</w:t>
      </w:r>
    </w:p>
    <w:p w14:paraId="28D55B58" w14:textId="77777777" w:rsidR="004C3F6D" w:rsidRPr="007122AB" w:rsidRDefault="004C3F6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C1E0B06" w14:textId="77777777" w:rsidR="004C3F6D" w:rsidRPr="007122AB" w:rsidRDefault="004C3F6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99A6AB" w14:textId="77777777" w:rsidR="004C3F6D" w:rsidRPr="007122AB" w:rsidRDefault="004C3F6D"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C9BBE84" w14:textId="77777777" w:rsidR="004C3F6D" w:rsidRPr="007122AB" w:rsidRDefault="004C3F6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72</w:t>
      </w:r>
    </w:p>
    <w:p w14:paraId="2DE8CA56" w14:textId="77777777" w:rsidR="004C3F6D" w:rsidRPr="007122AB" w:rsidRDefault="004C3F6D" w:rsidP="007122AB">
      <w:pPr>
        <w:pStyle w:val="rteright"/>
        <w:spacing w:before="0" w:after="0"/>
        <w:jc w:val="both"/>
        <w:rPr>
          <w:color w:val="000000" w:themeColor="text1"/>
          <w:sz w:val="16"/>
          <w:szCs w:val="16"/>
        </w:rPr>
      </w:pPr>
      <w:r w:rsidRPr="007122AB">
        <w:rPr>
          <w:color w:val="000000" w:themeColor="text1"/>
          <w:sz w:val="16"/>
          <w:szCs w:val="16"/>
        </w:rPr>
        <w:t>от 13 сентября 1931 г.</w:t>
      </w:r>
    </w:p>
    <w:p w14:paraId="56A70CCC" w14:textId="77777777" w:rsidR="004C3F6D" w:rsidRPr="007122AB" w:rsidRDefault="004C3F6D" w:rsidP="007122AB">
      <w:pPr>
        <w:pStyle w:val="rtecenter"/>
        <w:spacing w:before="0" w:after="0"/>
        <w:jc w:val="both"/>
        <w:rPr>
          <w:color w:val="000000" w:themeColor="text1"/>
          <w:sz w:val="16"/>
          <w:szCs w:val="16"/>
        </w:rPr>
      </w:pPr>
      <w:r w:rsidRPr="007122AB">
        <w:rPr>
          <w:color w:val="000000" w:themeColor="text1"/>
          <w:sz w:val="16"/>
          <w:szCs w:val="16"/>
        </w:rPr>
        <w:t>ПРИКАЗАНИЕ</w:t>
      </w:r>
    </w:p>
    <w:p w14:paraId="61A2D9DB" w14:textId="77777777" w:rsidR="004C3F6D" w:rsidRPr="007122AB" w:rsidRDefault="004C3F6D" w:rsidP="007122AB">
      <w:pPr>
        <w:pStyle w:val="rtecenter"/>
        <w:spacing w:before="0" w:after="0"/>
        <w:jc w:val="both"/>
        <w:rPr>
          <w:color w:val="000000" w:themeColor="text1"/>
          <w:sz w:val="16"/>
          <w:szCs w:val="16"/>
        </w:rPr>
      </w:pPr>
      <w:r w:rsidRPr="007122AB">
        <w:rPr>
          <w:color w:val="000000" w:themeColor="text1"/>
          <w:sz w:val="16"/>
          <w:szCs w:val="16"/>
        </w:rPr>
        <w:t>По Техническому отделению Э.К.У. О.Г.П.У</w:t>
      </w:r>
    </w:p>
    <w:p w14:paraId="3F8C880A" w14:textId="77777777" w:rsidR="004C3F6D" w:rsidRPr="007122AB" w:rsidRDefault="004C3F6D" w:rsidP="007122AB">
      <w:pPr>
        <w:pStyle w:val="ae"/>
        <w:spacing w:before="0" w:after="0"/>
        <w:jc w:val="both"/>
        <w:rPr>
          <w:color w:val="000000" w:themeColor="text1"/>
          <w:sz w:val="16"/>
          <w:szCs w:val="16"/>
        </w:rPr>
      </w:pPr>
      <w:r w:rsidRPr="007122AB">
        <w:rPr>
          <w:color w:val="000000" w:themeColor="text1"/>
          <w:sz w:val="16"/>
          <w:szCs w:val="16"/>
        </w:rPr>
        <w:t>«13» сентября 1931 г.</w:t>
      </w:r>
    </w:p>
    <w:p w14:paraId="0D4BCD8A"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Для составления плана операционных расходов на 1932 год, предлагаю всем Нач. ОКБ представить план расходов не позднее «30» сентября с/г по прилагаемым ниже статьям.</w:t>
      </w:r>
    </w:p>
    <w:p w14:paraId="3018DBCF"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1.     ЗАРПЛАТА СОТРУДНИКАМ (список персонально).</w:t>
      </w:r>
    </w:p>
    <w:p w14:paraId="44B56246"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2.     ОПЛАТА ВРЕДИТЕЛЕЙ] ЗА ПРАКТИЧЕСКУЮ РАБОТУ.</w:t>
      </w:r>
    </w:p>
    <w:p w14:paraId="7D87FB9B"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3.     ПОСОБИЕ (им же).</w:t>
      </w:r>
    </w:p>
    <w:p w14:paraId="64CC63E4"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4.     ОБОРУДОВАНИЕ ПОМЕЩЕНИЕ (покупка инвентаря и др.).</w:t>
      </w:r>
    </w:p>
    <w:p w14:paraId="102101F7"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5.     КОМАНДИРОВКИ НА ПЕРИФЕРИЮ.</w:t>
      </w:r>
    </w:p>
    <w:p w14:paraId="5D5515EE"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6.     РАЗЪЕЗДЫ ПО ГОРОДУ.</w:t>
      </w:r>
    </w:p>
    <w:p w14:paraId="243723F4"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7.     ОПЕРАТИВНЫЕ РАСХОДЫ ВКЛЮЧАЯ: (отопление, освещение, чертежные, канцелярские, почтовые и др. мелкие расходы).</w:t>
      </w:r>
    </w:p>
    <w:p w14:paraId="726B0EF8"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8.     СОДЕРЖАНИЕ ОХРАНЫ:</w:t>
      </w:r>
    </w:p>
    <w:p w14:paraId="102A3D4D"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1) (список персонально).</w:t>
      </w:r>
    </w:p>
    <w:p w14:paraId="3F7E7A88"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2) включая годовую потребность (зарплата, обмундирование и довольствие столом).</w:t>
      </w:r>
    </w:p>
    <w:p w14:paraId="722F78CA"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9.     РАСХОДЫ ПО СОДЕРЖАНИЮ ВРЕДИТЕЛЕЙ.</w:t>
      </w:r>
    </w:p>
    <w:p w14:paraId="2239BEDE" w14:textId="77777777" w:rsidR="004C3F6D" w:rsidRPr="007122AB" w:rsidRDefault="004C3F6D" w:rsidP="007122AB">
      <w:pPr>
        <w:pStyle w:val="rtejustify"/>
        <w:spacing w:before="0" w:after="0"/>
        <w:rPr>
          <w:color w:val="000000" w:themeColor="text1"/>
          <w:sz w:val="16"/>
          <w:szCs w:val="16"/>
        </w:rPr>
      </w:pPr>
      <w:r w:rsidRPr="007122AB">
        <w:rPr>
          <w:color w:val="000000" w:themeColor="text1"/>
          <w:sz w:val="16"/>
          <w:szCs w:val="16"/>
        </w:rPr>
        <w:t>Приказание вручить под расписку. (ГОРЯНОВ)</w:t>
      </w:r>
    </w:p>
    <w:p w14:paraId="1C5C0A44" w14:textId="77777777" w:rsidR="004C3F6D" w:rsidRPr="007122AB" w:rsidRDefault="004C3F6D"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2. Л. 72. Заверенная машинописная копия того времени. Числа в датах проставлены от руки. Вверху справа написано от руки «тов. </w:t>
      </w:r>
      <w:proofErr w:type="spellStart"/>
      <w:r w:rsidRPr="007122AB">
        <w:rPr>
          <w:rStyle w:val="af0"/>
          <w:i w:val="0"/>
          <w:color w:val="000000" w:themeColor="text1"/>
          <w:sz w:val="16"/>
          <w:szCs w:val="16"/>
        </w:rPr>
        <w:t>Наумину</w:t>
      </w:r>
      <w:proofErr w:type="spellEnd"/>
      <w:r w:rsidRPr="007122AB">
        <w:rPr>
          <w:rStyle w:val="af0"/>
          <w:i w:val="0"/>
          <w:color w:val="000000" w:themeColor="text1"/>
          <w:sz w:val="16"/>
          <w:szCs w:val="16"/>
        </w:rPr>
        <w:t>» (19071).</w:t>
      </w:r>
    </w:p>
    <w:p w14:paraId="12028E59" w14:textId="77777777" w:rsidR="004C3F6D" w:rsidRPr="007122AB" w:rsidRDefault="004C3F6D" w:rsidP="007122AB">
      <w:pPr>
        <w:spacing w:after="0" w:line="240" w:lineRule="auto"/>
        <w:jc w:val="both"/>
        <w:rPr>
          <w:rFonts w:ascii="Times New Roman" w:hAnsi="Times New Roman"/>
          <w:color w:val="000000" w:themeColor="text1"/>
          <w:sz w:val="16"/>
          <w:szCs w:val="16"/>
        </w:rPr>
      </w:pPr>
    </w:p>
    <w:p w14:paraId="071BB64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D2CF31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9F8252" w14:textId="77777777" w:rsidR="00A30954" w:rsidRPr="007122AB" w:rsidRDefault="00A309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пилоты Соединенного Королевства полностью получают Schneider </w:t>
      </w:r>
      <w:proofErr w:type="spellStart"/>
      <w:r w:rsidRPr="007122AB">
        <w:rPr>
          <w:rFonts w:ascii="Times New Roman" w:hAnsi="Times New Roman"/>
          <w:color w:val="000000" w:themeColor="text1"/>
          <w:sz w:val="16"/>
          <w:szCs w:val="16"/>
        </w:rPr>
        <w:t>Trophy</w:t>
      </w:r>
      <w:proofErr w:type="spellEnd"/>
      <w:r w:rsidRPr="007122AB">
        <w:rPr>
          <w:rFonts w:ascii="Times New Roman" w:hAnsi="Times New Roman"/>
          <w:color w:val="000000" w:themeColor="text1"/>
          <w:sz w:val="16"/>
          <w:szCs w:val="16"/>
        </w:rPr>
        <w:t xml:space="preserve">, выиграв свою третью подряд гонку. Royal Air Force </w:t>
      </w:r>
      <w:proofErr w:type="spellStart"/>
      <w:r w:rsidRPr="007122AB">
        <w:rPr>
          <w:rFonts w:ascii="Times New Roman" w:hAnsi="Times New Roman"/>
          <w:color w:val="000000" w:themeColor="text1"/>
          <w:sz w:val="16"/>
          <w:szCs w:val="16"/>
        </w:rPr>
        <w:t>Flight</w:t>
      </w:r>
      <w:proofErr w:type="spellEnd"/>
      <w:r w:rsidRPr="007122AB">
        <w:rPr>
          <w:rFonts w:ascii="Times New Roman" w:hAnsi="Times New Roman"/>
          <w:color w:val="000000" w:themeColor="text1"/>
          <w:sz w:val="16"/>
          <w:szCs w:val="16"/>
        </w:rPr>
        <w:t xml:space="preserve"> лейтенант Джон Бутман из RAF High-Speed </w:t>
      </w:r>
      <w:proofErr w:type="spellStart"/>
      <w:r w:rsidRPr="007122AB">
        <w:rPr>
          <w:rFonts w:ascii="Times New Roman" w:hAnsi="Times New Roman"/>
          <w:color w:val="000000" w:themeColor="text1"/>
          <w:sz w:val="16"/>
          <w:szCs w:val="16"/>
        </w:rPr>
        <w:t>Flight</w:t>
      </w:r>
      <w:proofErr w:type="spellEnd"/>
      <w:r w:rsidRPr="007122AB">
        <w:rPr>
          <w:rFonts w:ascii="Times New Roman" w:hAnsi="Times New Roman"/>
          <w:color w:val="000000" w:themeColor="text1"/>
          <w:sz w:val="16"/>
          <w:szCs w:val="16"/>
        </w:rPr>
        <w:t xml:space="preserve"> завершает полет на косе </w:t>
      </w:r>
      <w:proofErr w:type="spellStart"/>
      <w:r w:rsidRPr="007122AB">
        <w:rPr>
          <w:rFonts w:ascii="Times New Roman" w:hAnsi="Times New Roman"/>
          <w:color w:val="000000" w:themeColor="text1"/>
          <w:sz w:val="16"/>
          <w:szCs w:val="16"/>
        </w:rPr>
        <w:t>Calshot</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Супермарин</w:t>
      </w:r>
      <w:proofErr w:type="spellEnd"/>
      <w:r w:rsidRPr="007122AB">
        <w:rPr>
          <w:rFonts w:ascii="Times New Roman" w:hAnsi="Times New Roman"/>
          <w:color w:val="000000" w:themeColor="text1"/>
          <w:sz w:val="16"/>
          <w:szCs w:val="16"/>
        </w:rPr>
        <w:t xml:space="preserve"> S.6B </w:t>
      </w:r>
      <w:proofErr w:type="spellStart"/>
      <w:r w:rsidRPr="007122AB">
        <w:rPr>
          <w:rFonts w:ascii="Times New Roman" w:hAnsi="Times New Roman"/>
          <w:color w:val="000000" w:themeColor="text1"/>
          <w:sz w:val="16"/>
          <w:szCs w:val="16"/>
        </w:rPr>
        <w:t>ссерийным</w:t>
      </w:r>
      <w:proofErr w:type="spellEnd"/>
      <w:r w:rsidRPr="007122AB">
        <w:rPr>
          <w:rFonts w:ascii="Times New Roman" w:hAnsi="Times New Roman"/>
          <w:color w:val="000000" w:themeColor="text1"/>
          <w:sz w:val="16"/>
          <w:szCs w:val="16"/>
        </w:rPr>
        <w:t xml:space="preserve"> номером S1595, показав скорость 547,297 км / ч (340,1 миль в час). После выигрыша кубка гонки Schneider </w:t>
      </w:r>
      <w:proofErr w:type="spellStart"/>
      <w:r w:rsidRPr="007122AB">
        <w:rPr>
          <w:rFonts w:ascii="Times New Roman" w:hAnsi="Times New Roman"/>
          <w:color w:val="000000" w:themeColor="text1"/>
          <w:sz w:val="16"/>
          <w:szCs w:val="16"/>
        </w:rPr>
        <w:t>Trophy</w:t>
      </w:r>
      <w:proofErr w:type="spellEnd"/>
      <w:r w:rsidRPr="007122AB">
        <w:rPr>
          <w:rFonts w:ascii="Times New Roman" w:hAnsi="Times New Roman"/>
          <w:color w:val="000000" w:themeColor="text1"/>
          <w:sz w:val="16"/>
          <w:szCs w:val="16"/>
        </w:rPr>
        <w:t>, начатые в 1913 году, подошли к концу (20804).</w:t>
      </w:r>
    </w:p>
    <w:p w14:paraId="515752C3" w14:textId="77777777" w:rsidR="00A30954" w:rsidRPr="007122AB" w:rsidRDefault="00A30954" w:rsidP="007122AB">
      <w:pPr>
        <w:spacing w:after="0" w:line="240" w:lineRule="auto"/>
        <w:jc w:val="both"/>
        <w:rPr>
          <w:rFonts w:ascii="Times New Roman" w:hAnsi="Times New Roman"/>
          <w:color w:val="000000" w:themeColor="text1"/>
          <w:sz w:val="16"/>
          <w:szCs w:val="16"/>
        </w:rPr>
      </w:pPr>
    </w:p>
    <w:p w14:paraId="1E0EEDEA" w14:textId="77777777" w:rsidR="00A30954" w:rsidRPr="007122AB" w:rsidRDefault="00A3095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г. на остров Уайт у Саутгемптона стала съезжаться почтенная публика, прибыл даже сам британский премьер Макдональд. Английские пилоты устроили сами для себя парад, а потом летчик Высокоскоростного звена Королевских ВВС Джон </w:t>
      </w:r>
      <w:proofErr w:type="spellStart"/>
      <w:r w:rsidRPr="007122AB">
        <w:rPr>
          <w:rFonts w:ascii="Times New Roman" w:hAnsi="Times New Roman"/>
          <w:color w:val="000000" w:themeColor="text1"/>
          <w:sz w:val="16"/>
          <w:szCs w:val="16"/>
        </w:rPr>
        <w:t>Бутмен</w:t>
      </w:r>
      <w:proofErr w:type="spellEnd"/>
      <w:r w:rsidRPr="007122AB">
        <w:rPr>
          <w:rFonts w:ascii="Times New Roman" w:hAnsi="Times New Roman"/>
          <w:color w:val="000000" w:themeColor="text1"/>
          <w:sz w:val="16"/>
          <w:szCs w:val="16"/>
        </w:rPr>
        <w:t xml:space="preserve"> сделал один единственный зачетный полет: на самолете S.6B борт S1595 он прошел семь кругов по 50 км за 38 минут и 17 секунд, улучшив предыдущее достижение лишь на 34,2 секунды. Его средняя скорость составила 548,542 км/ч, прирост был 3,7 % — самый слабый за всю историю гонок! Согласно протоколу, судьи ждали некоторое время, не появится ли на старте еще какой-либо участник, как будто это было вообще возможно (ведь никто не приехал!), а затем объявили о закрытии соревнований. И хотя Королевский аэроклуб получил вожделенный Кубок Шнейдера навсегда и устроил по этому поводу пышную церемонию, разочарованы были буквально все — и публика, и пресса, и товарищи </w:t>
      </w:r>
      <w:proofErr w:type="spellStart"/>
      <w:r w:rsidRPr="007122AB">
        <w:rPr>
          <w:rFonts w:ascii="Times New Roman" w:hAnsi="Times New Roman"/>
          <w:color w:val="000000" w:themeColor="text1"/>
          <w:sz w:val="16"/>
          <w:szCs w:val="16"/>
        </w:rPr>
        <w:t>Бутмена</w:t>
      </w:r>
      <w:proofErr w:type="spellEnd"/>
      <w:r w:rsidRPr="007122AB">
        <w:rPr>
          <w:rFonts w:ascii="Times New Roman" w:hAnsi="Times New Roman"/>
          <w:color w:val="000000" w:themeColor="text1"/>
          <w:sz w:val="16"/>
          <w:szCs w:val="16"/>
        </w:rPr>
        <w:t xml:space="preserve"> по команде. Интересно было отношение к происходящему правительства Его Величества. Как оказалось, гонка для приезда премьера в Саутгемптон и на остров Уайт была лишь поводом, а сам он провел все время на митингах в базе ВМС </w:t>
      </w:r>
      <w:proofErr w:type="spellStart"/>
      <w:r w:rsidRPr="007122AB">
        <w:rPr>
          <w:rFonts w:ascii="Times New Roman" w:hAnsi="Times New Roman"/>
          <w:color w:val="000000" w:themeColor="text1"/>
          <w:sz w:val="16"/>
          <w:szCs w:val="16"/>
        </w:rPr>
        <w:t>Спитхед</w:t>
      </w:r>
      <w:proofErr w:type="spellEnd"/>
      <w:r w:rsidRPr="007122AB">
        <w:rPr>
          <w:rFonts w:ascii="Times New Roman" w:hAnsi="Times New Roman"/>
          <w:color w:val="000000" w:themeColor="text1"/>
          <w:sz w:val="16"/>
          <w:szCs w:val="16"/>
        </w:rPr>
        <w:t xml:space="preserve">. Макдональд пытался спасти репутацию своего бездарного кабинета и </w:t>
      </w:r>
      <w:r w:rsidRPr="007122AB">
        <w:rPr>
          <w:rFonts w:ascii="Times New Roman" w:hAnsi="Times New Roman"/>
          <w:color w:val="000000" w:themeColor="text1"/>
          <w:sz w:val="16"/>
          <w:szCs w:val="16"/>
        </w:rPr>
        <w:lastRenderedPageBreak/>
        <w:t>погасить «брожение» среди матросов и офицеров Королевского флота, вызванное стремительным переносом кризиса из США в Англию и полной неспособностью премьера как-либо этому помешать (22764).</w:t>
      </w:r>
    </w:p>
    <w:p w14:paraId="3DC9F323" w14:textId="77777777" w:rsidR="00A30954" w:rsidRPr="007122AB" w:rsidRDefault="00A30954" w:rsidP="007122AB">
      <w:pPr>
        <w:spacing w:after="0" w:line="240" w:lineRule="auto"/>
        <w:jc w:val="both"/>
        <w:rPr>
          <w:rFonts w:ascii="Times New Roman" w:hAnsi="Times New Roman"/>
          <w:color w:val="000000" w:themeColor="text1"/>
          <w:sz w:val="16"/>
          <w:szCs w:val="16"/>
        </w:rPr>
      </w:pPr>
    </w:p>
    <w:p w14:paraId="5075F0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в Австрии была неудавшаяся попытка фашистского переворота во главе с </w:t>
      </w:r>
      <w:proofErr w:type="spellStart"/>
      <w:r w:rsidRPr="007122AB">
        <w:rPr>
          <w:rFonts w:ascii="Times New Roman" w:hAnsi="Times New Roman"/>
          <w:color w:val="000000" w:themeColor="text1"/>
          <w:sz w:val="16"/>
          <w:szCs w:val="16"/>
        </w:rPr>
        <w:t>Пфримером</w:t>
      </w:r>
      <w:proofErr w:type="spellEnd"/>
      <w:r w:rsidRPr="007122AB">
        <w:rPr>
          <w:rFonts w:ascii="Times New Roman" w:hAnsi="Times New Roman"/>
          <w:color w:val="000000" w:themeColor="text1"/>
          <w:sz w:val="16"/>
          <w:szCs w:val="16"/>
        </w:rPr>
        <w:t xml:space="preserve"> (3481).</w:t>
      </w:r>
    </w:p>
    <w:p w14:paraId="579C0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0A72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в Австрии предпринята неудачная попытка государственного военного переворота во главе с фашистским лидером </w:t>
      </w:r>
      <w:proofErr w:type="spellStart"/>
      <w:r w:rsidRPr="007122AB">
        <w:rPr>
          <w:rFonts w:ascii="Times New Roman" w:hAnsi="Times New Roman"/>
          <w:color w:val="000000" w:themeColor="text1"/>
          <w:sz w:val="16"/>
          <w:szCs w:val="16"/>
        </w:rPr>
        <w:t>Пфимером</w:t>
      </w:r>
      <w:proofErr w:type="spellEnd"/>
      <w:r w:rsidRPr="007122AB">
        <w:rPr>
          <w:rFonts w:ascii="Times New Roman" w:hAnsi="Times New Roman"/>
          <w:color w:val="000000" w:themeColor="text1"/>
          <w:sz w:val="16"/>
          <w:szCs w:val="16"/>
        </w:rPr>
        <w:t xml:space="preserve"> (7444).</w:t>
      </w:r>
    </w:p>
    <w:p w14:paraId="40D353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3A0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сентября 1931 англичанин </w:t>
      </w:r>
      <w:proofErr w:type="spellStart"/>
      <w:r w:rsidRPr="007122AB">
        <w:rPr>
          <w:rFonts w:ascii="Times New Roman" w:hAnsi="Times New Roman"/>
          <w:color w:val="000000" w:themeColor="text1"/>
          <w:sz w:val="16"/>
          <w:szCs w:val="16"/>
        </w:rPr>
        <w:t>Стейфорт</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Супермарине</w:t>
      </w:r>
      <w:proofErr w:type="spellEnd"/>
      <w:r w:rsidRPr="007122AB">
        <w:rPr>
          <w:rFonts w:ascii="Times New Roman" w:hAnsi="Times New Roman"/>
          <w:color w:val="000000" w:themeColor="text1"/>
          <w:sz w:val="16"/>
          <w:szCs w:val="16"/>
        </w:rPr>
        <w:t xml:space="preserve"> S.6 уже после победы в Кубке Шнайдера установил мировой рекорд скорости в 610 км/час (4207, 72).</w:t>
      </w:r>
    </w:p>
    <w:p w14:paraId="7A63C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1538F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336E37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BC081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и 10 сентября 1931 на маневрах Украинского ВО под Могилевом с трех АНТ-9 высаживались комбинированные парашютно-посадочные десанты (10542,28).</w:t>
      </w:r>
    </w:p>
    <w:p w14:paraId="33330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B9F938"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14 сентября 1931 г. Сталин — Кагановичу, Ягоде</w:t>
      </w:r>
    </w:p>
    <w:p w14:paraId="219ABC7A"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Кагановичу, копия Ягоде. Считаю преждевременной передачу конструкторских бюро ОПТУ в ведение ВСНХ</w:t>
      </w:r>
      <w:r w:rsidRPr="007122AB">
        <w:rPr>
          <w:rFonts w:ascii="Times New Roman" w:eastAsia="Times New Roman" w:hAnsi="Times New Roman"/>
          <w:color w:val="000000" w:themeColor="text1"/>
          <w:sz w:val="16"/>
          <w:szCs w:val="16"/>
          <w:vertAlign w:val="superscript"/>
          <w:lang w:eastAsia="ru-RU"/>
        </w:rPr>
        <w:t>1</w:t>
      </w:r>
      <w:r w:rsidRPr="007122AB">
        <w:rPr>
          <w:rFonts w:ascii="Times New Roman" w:eastAsia="Times New Roman" w:hAnsi="Times New Roman"/>
          <w:color w:val="000000" w:themeColor="text1"/>
          <w:sz w:val="16"/>
          <w:szCs w:val="16"/>
          <w:lang w:eastAsia="ru-RU"/>
        </w:rPr>
        <w:t>. Сталин. №38 10.45 14/IX — 31 г.2</w:t>
      </w:r>
    </w:p>
    <w:p w14:paraId="483D53B6"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Ф. </w:t>
      </w:r>
      <w:r w:rsidRPr="007122AB">
        <w:rPr>
          <w:rFonts w:ascii="Times New Roman" w:eastAsia="Times New Roman" w:hAnsi="Times New Roman"/>
          <w:iCs/>
          <w:color w:val="000000" w:themeColor="text1"/>
          <w:sz w:val="16"/>
          <w:szCs w:val="16"/>
          <w:lang w:eastAsia="ru-RU"/>
        </w:rPr>
        <w:t>558. Оп. 11. Д. 76. Л. 64. Автограф.</w:t>
      </w:r>
    </w:p>
    <w:p w14:paraId="73C13A37" w14:textId="77777777" w:rsidR="00EF159B" w:rsidRPr="007122AB" w:rsidRDefault="00EF159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vertAlign w:val="superscript"/>
          <w:lang w:eastAsia="ru-RU"/>
        </w:rPr>
        <w:t>1</w:t>
      </w:r>
      <w:r w:rsidRPr="007122AB">
        <w:rPr>
          <w:rFonts w:ascii="Times New Roman" w:eastAsia="Times New Roman" w:hAnsi="Times New Roman"/>
          <w:color w:val="000000" w:themeColor="text1"/>
          <w:sz w:val="16"/>
          <w:szCs w:val="16"/>
          <w:lang w:eastAsia="ru-RU"/>
        </w:rPr>
        <w:t xml:space="preserve"> 30 августа 1931 г. ПБ рассмотрело по предложению Орджоникидзе и Акулова вопрос «О конструкторских бюро». Решение было отложено, ПБ поручило Орджоникидзе и Акулову внести согласованное предложение (РГАСПИ. Ф. 17. Оп. 162. Д. 10. Л. 175). После телеграммы Сталина 20 сентября 1931 г. ПБ постановило (Оставить конструкторские бюро при ОПТУ (Там же. Оп.. 3. Д. 849. Л. 3). При этом ПБ приняло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(Там же. Оп. 162. Д. П. Л. 10) (17281).</w:t>
      </w:r>
    </w:p>
    <w:p w14:paraId="56E34CA9" w14:textId="77777777" w:rsidR="00EF159B" w:rsidRPr="007122AB" w:rsidRDefault="00EF159B" w:rsidP="007122AB">
      <w:pPr>
        <w:autoSpaceDE w:val="0"/>
        <w:autoSpaceDN w:val="0"/>
        <w:adjustRightInd w:val="0"/>
        <w:spacing w:after="0" w:line="240" w:lineRule="auto"/>
        <w:jc w:val="both"/>
        <w:rPr>
          <w:rFonts w:ascii="Times New Roman" w:hAnsi="Times New Roman"/>
          <w:color w:val="000000" w:themeColor="text1"/>
          <w:sz w:val="16"/>
          <w:szCs w:val="16"/>
        </w:rPr>
      </w:pPr>
    </w:p>
    <w:p w14:paraId="6900D2D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FA4C3E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FCCA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и 14 сентября 1931 при проведении войсковых маневров в районе </w:t>
      </w:r>
      <w:proofErr w:type="spellStart"/>
      <w:r w:rsidRPr="007122AB">
        <w:rPr>
          <w:rFonts w:ascii="Times New Roman" w:hAnsi="Times New Roman"/>
          <w:color w:val="000000" w:themeColor="text1"/>
          <w:sz w:val="16"/>
          <w:szCs w:val="16"/>
        </w:rPr>
        <w:t>Могилевки</w:t>
      </w:r>
      <w:proofErr w:type="spellEnd"/>
      <w:r w:rsidRPr="007122AB">
        <w:rPr>
          <w:rFonts w:ascii="Times New Roman" w:hAnsi="Times New Roman"/>
          <w:color w:val="000000" w:themeColor="text1"/>
          <w:sz w:val="16"/>
          <w:szCs w:val="16"/>
        </w:rPr>
        <w:t xml:space="preserve"> осуществили две ком</w:t>
      </w:r>
      <w:r w:rsidRPr="007122AB">
        <w:rPr>
          <w:rFonts w:ascii="Times New Roman" w:hAnsi="Times New Roman"/>
          <w:color w:val="000000" w:themeColor="text1"/>
          <w:sz w:val="16"/>
          <w:szCs w:val="16"/>
        </w:rPr>
        <w:softHyphen/>
        <w:t>бинированные операции.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7122AB">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7122AB">
        <w:rPr>
          <w:rFonts w:ascii="Times New Roman" w:hAnsi="Times New Roman"/>
          <w:color w:val="000000" w:themeColor="text1"/>
          <w:sz w:val="16"/>
          <w:szCs w:val="16"/>
        </w:rPr>
        <w:softHyphen/>
        <w:t>мировали отдельные стрелковые батальо</w:t>
      </w:r>
      <w:r w:rsidRPr="007122AB">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7122AB">
        <w:rPr>
          <w:rFonts w:ascii="Times New Roman" w:hAnsi="Times New Roman"/>
          <w:color w:val="000000" w:themeColor="text1"/>
          <w:sz w:val="16"/>
          <w:szCs w:val="16"/>
        </w:rPr>
        <w:softHyphen/>
        <w:t>чения в Детском Селе сначала предполага</w:t>
      </w:r>
      <w:r w:rsidRPr="007122AB">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7122AB">
        <w:rPr>
          <w:rFonts w:ascii="Times New Roman" w:hAnsi="Times New Roman"/>
          <w:color w:val="000000" w:themeColor="text1"/>
          <w:sz w:val="16"/>
          <w:szCs w:val="16"/>
        </w:rPr>
        <w:softHyphen/>
        <w:t>ных отделений стрелковых дивизий в Мо</w:t>
      </w:r>
      <w:r w:rsidRPr="007122AB">
        <w:rPr>
          <w:rFonts w:ascii="Times New Roman" w:hAnsi="Times New Roman"/>
          <w:color w:val="000000" w:themeColor="text1"/>
          <w:sz w:val="16"/>
          <w:szCs w:val="16"/>
        </w:rPr>
        <w:softHyphen/>
        <w:t>нино под Москвой и в Гатчине под Ленин</w:t>
      </w:r>
      <w:r w:rsidRPr="007122AB">
        <w:rPr>
          <w:rFonts w:ascii="Times New Roman" w:hAnsi="Times New Roman"/>
          <w:color w:val="000000" w:themeColor="text1"/>
          <w:sz w:val="16"/>
          <w:szCs w:val="16"/>
        </w:rPr>
        <w:softHyphen/>
        <w:t>градом. Парашютные прыжки осуществля</w:t>
      </w:r>
      <w:r w:rsidRPr="007122AB">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7122AB">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7122AB">
        <w:rPr>
          <w:rFonts w:ascii="Times New Roman" w:hAnsi="Times New Roman"/>
          <w:color w:val="000000" w:themeColor="text1"/>
          <w:sz w:val="16"/>
          <w:szCs w:val="16"/>
        </w:rPr>
        <w:softHyphen/>
        <w:t>ли для тренировок (11286).</w:t>
      </w:r>
    </w:p>
    <w:p w14:paraId="530423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DB6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 14 сентября 1931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5CC7C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76F38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собравшихся на учения начальников организовали демонстрационный сброс с ТБ-1 трехместного </w:t>
      </w:r>
      <w:proofErr w:type="spellStart"/>
      <w:r w:rsidRPr="007122AB">
        <w:rPr>
          <w:rFonts w:ascii="Times New Roman" w:hAnsi="Times New Roman"/>
          <w:color w:val="000000" w:themeColor="text1"/>
          <w:sz w:val="16"/>
          <w:szCs w:val="16"/>
        </w:rPr>
        <w:t>авиабуса</w:t>
      </w:r>
      <w:proofErr w:type="spellEnd"/>
      <w:r w:rsidRPr="007122AB">
        <w:rPr>
          <w:rFonts w:ascii="Times New Roman" w:hAnsi="Times New Roman"/>
          <w:color w:val="000000" w:themeColor="text1"/>
          <w:sz w:val="16"/>
          <w:szCs w:val="16"/>
        </w:rPr>
        <w:t>.</w:t>
      </w:r>
    </w:p>
    <w:p w14:paraId="76F0A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09A2D9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438F43"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сентяб</w:t>
      </w:r>
      <w:r w:rsidRPr="00441F34">
        <w:rPr>
          <w:rFonts w:ascii="Times New Roman" w:hAnsi="Times New Roman"/>
          <w:color w:val="0070C0"/>
          <w:sz w:val="16"/>
          <w:szCs w:val="16"/>
        </w:rPr>
        <w:softHyphen/>
        <w:t>ря 1931 ТБ-1 использовались для перевозки десантников. После захвата площадок выброшенными с трёхмоторных АНТ-9 парашютис</w:t>
      </w:r>
      <w:r w:rsidRPr="00441F34">
        <w:rPr>
          <w:rFonts w:ascii="Times New Roman" w:hAnsi="Times New Roman"/>
          <w:color w:val="0070C0"/>
          <w:sz w:val="16"/>
          <w:szCs w:val="16"/>
        </w:rPr>
        <w:softHyphen/>
        <w:t>тами тяжёлые бомбардировщики начали приземляться там с пехотой на борту (23469).</w:t>
      </w:r>
    </w:p>
    <w:p w14:paraId="22DBB743" w14:textId="77777777" w:rsidR="007F1987" w:rsidRPr="00441F34" w:rsidRDefault="007F1987" w:rsidP="007F1987">
      <w:pPr>
        <w:spacing w:after="0" w:line="240" w:lineRule="auto"/>
        <w:jc w:val="both"/>
        <w:rPr>
          <w:rFonts w:ascii="Times New Roman" w:hAnsi="Times New Roman"/>
          <w:color w:val="0070C0"/>
          <w:sz w:val="16"/>
          <w:szCs w:val="16"/>
        </w:rPr>
      </w:pPr>
    </w:p>
    <w:p w14:paraId="47767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сентября 1931 командир 37-й эскадрильи И.А. Назарчук повел группу самолетов Р-5 на бомбежку банды, отступавшей от колодца </w:t>
      </w:r>
      <w:proofErr w:type="spellStart"/>
      <w:r w:rsidRPr="007122AB">
        <w:rPr>
          <w:rFonts w:ascii="Times New Roman" w:hAnsi="Times New Roman"/>
          <w:color w:val="000000" w:themeColor="text1"/>
          <w:sz w:val="16"/>
          <w:szCs w:val="16"/>
        </w:rPr>
        <w:t>Чагыл</w:t>
      </w:r>
      <w:proofErr w:type="spellEnd"/>
      <w:r w:rsidRPr="007122AB">
        <w:rPr>
          <w:rFonts w:ascii="Times New Roman" w:hAnsi="Times New Roman"/>
          <w:color w:val="000000" w:themeColor="text1"/>
          <w:sz w:val="16"/>
          <w:szCs w:val="16"/>
        </w:rPr>
        <w:t>. Летчики сбросили на врага 150 бомб по 8 кг (12034).</w:t>
      </w:r>
    </w:p>
    <w:p w14:paraId="26492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BAAF86" w14:textId="77777777" w:rsidR="006741BB" w:rsidRPr="007122AB" w:rsidRDefault="006741B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7EC82CC" w14:textId="77777777" w:rsidR="006741BB" w:rsidRPr="007122AB" w:rsidRDefault="006741B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627ACA" w14:textId="77777777" w:rsidR="006741BB" w:rsidRPr="007122AB" w:rsidRDefault="006741B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15 сентября 1931 г.</w:t>
      </w:r>
    </w:p>
    <w:p w14:paraId="480D7771" w14:textId="77777777" w:rsidR="006741BB" w:rsidRPr="007122AB" w:rsidRDefault="006741B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Докладная записка Л. К. Рамзина начальнику ОКБ № 11 Н. И. </w:t>
      </w:r>
      <w:proofErr w:type="spellStart"/>
      <w:r w:rsidRPr="007122AB">
        <w:rPr>
          <w:rFonts w:ascii="Times New Roman" w:hAnsi="Times New Roman"/>
          <w:color w:val="000000" w:themeColor="text1"/>
          <w:sz w:val="16"/>
          <w:szCs w:val="16"/>
        </w:rPr>
        <w:t>Наумину</w:t>
      </w:r>
      <w:proofErr w:type="spellEnd"/>
      <w:r w:rsidRPr="007122AB">
        <w:rPr>
          <w:rFonts w:ascii="Times New Roman" w:hAnsi="Times New Roman"/>
          <w:color w:val="000000" w:themeColor="text1"/>
          <w:sz w:val="16"/>
          <w:szCs w:val="16"/>
        </w:rPr>
        <w:t xml:space="preserve"> о ходе работ «по проектированию и постройке прямоточного котла». 15 сентября 1931 г.</w:t>
      </w:r>
    </w:p>
    <w:p w14:paraId="47ABFEA5" w14:textId="77777777" w:rsidR="006741BB" w:rsidRPr="007122AB" w:rsidRDefault="006741B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C54DC8E" w14:textId="77777777" w:rsidR="006741BB" w:rsidRPr="007122AB" w:rsidRDefault="006741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9DFA8B" w14:textId="77777777" w:rsidR="006741BB" w:rsidRPr="007122AB" w:rsidRDefault="006741BB"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DA180DD" w14:textId="77777777" w:rsidR="006741BB" w:rsidRPr="007122AB" w:rsidRDefault="006741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1.Д. 69. Л. 10-12</w:t>
      </w:r>
    </w:p>
    <w:p w14:paraId="57D95402" w14:textId="77777777" w:rsidR="006741BB" w:rsidRPr="007122AB" w:rsidRDefault="006741BB" w:rsidP="007122AB">
      <w:pPr>
        <w:pStyle w:val="rteright"/>
        <w:spacing w:before="0" w:after="0"/>
        <w:jc w:val="both"/>
        <w:rPr>
          <w:color w:val="000000" w:themeColor="text1"/>
          <w:sz w:val="16"/>
          <w:szCs w:val="16"/>
        </w:rPr>
      </w:pPr>
      <w:r w:rsidRPr="007122AB">
        <w:rPr>
          <w:color w:val="000000" w:themeColor="text1"/>
          <w:sz w:val="16"/>
          <w:szCs w:val="16"/>
        </w:rPr>
        <w:t>15 сентября 1931 г.</w:t>
      </w:r>
    </w:p>
    <w:p w14:paraId="4778B3A2" w14:textId="77777777" w:rsidR="006741BB" w:rsidRPr="007122AB" w:rsidRDefault="006741BB" w:rsidP="007122AB">
      <w:pPr>
        <w:pStyle w:val="rtecenter"/>
        <w:spacing w:before="0" w:after="0"/>
        <w:jc w:val="both"/>
        <w:rPr>
          <w:color w:val="000000" w:themeColor="text1"/>
          <w:sz w:val="16"/>
          <w:szCs w:val="16"/>
        </w:rPr>
      </w:pPr>
      <w:r w:rsidRPr="007122AB">
        <w:rPr>
          <w:color w:val="000000" w:themeColor="text1"/>
          <w:sz w:val="16"/>
          <w:szCs w:val="16"/>
        </w:rPr>
        <w:t>Начальнику ОКБ № 11</w:t>
      </w:r>
    </w:p>
    <w:p w14:paraId="7C901EB2" w14:textId="77777777" w:rsidR="006741BB" w:rsidRPr="007122AB" w:rsidRDefault="006741BB" w:rsidP="007122AB">
      <w:pPr>
        <w:pStyle w:val="rtecenter"/>
        <w:spacing w:before="0" w:after="0"/>
        <w:jc w:val="both"/>
        <w:rPr>
          <w:color w:val="000000" w:themeColor="text1"/>
          <w:sz w:val="16"/>
          <w:szCs w:val="16"/>
        </w:rPr>
      </w:pPr>
      <w:r w:rsidRPr="007122AB">
        <w:rPr>
          <w:color w:val="000000" w:themeColor="text1"/>
          <w:sz w:val="16"/>
          <w:szCs w:val="16"/>
        </w:rPr>
        <w:t xml:space="preserve">тов. Н. И. </w:t>
      </w:r>
      <w:proofErr w:type="spellStart"/>
      <w:r w:rsidRPr="007122AB">
        <w:rPr>
          <w:color w:val="000000" w:themeColor="text1"/>
          <w:sz w:val="16"/>
          <w:szCs w:val="16"/>
        </w:rPr>
        <w:t>Наумину</w:t>
      </w:r>
      <w:proofErr w:type="spellEnd"/>
    </w:p>
    <w:p w14:paraId="3FF6927E" w14:textId="77777777" w:rsidR="006741BB" w:rsidRPr="007122AB" w:rsidRDefault="006741BB" w:rsidP="007122AB">
      <w:pPr>
        <w:pStyle w:val="ae"/>
        <w:spacing w:before="0" w:after="0"/>
        <w:jc w:val="both"/>
        <w:rPr>
          <w:color w:val="000000" w:themeColor="text1"/>
          <w:sz w:val="16"/>
          <w:szCs w:val="16"/>
        </w:rPr>
      </w:pPr>
      <w:r w:rsidRPr="007122AB">
        <w:rPr>
          <w:color w:val="000000" w:themeColor="text1"/>
          <w:sz w:val="16"/>
          <w:szCs w:val="16"/>
        </w:rPr>
        <w:t>от Л. К. Рамзина</w:t>
      </w:r>
    </w:p>
    <w:p w14:paraId="715EC11D"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Настоящим считаю своим долгом сообщить Вам мои соображения о ходе работ по проектированию и постройке прямоточного котла моей системы, дабы Вы могли своевременно принять необходимые меры во избежание дальнейшей затяжки сроков и ухудшения работы.</w:t>
      </w:r>
    </w:p>
    <w:p w14:paraId="5B237177"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При теперешней организации работы, когда я до сих пор остаюсь оторванным от всей группы и таким образом лишен возможности непосредственно руководить работой и отвечать за ее темпы и результаты, необходимо прежде всего констатировать полный провал намеченного календарного плана работ, ибо все сроки для окончания отдельных частей работы нарушены с опозданием на 1-2 месяца. Если и дальше работа будет вестись теперешним способом, опоздание несомненно будет постепенно прогрессировать и срок пуска котла и его испытаний очень сильно отодвинется.</w:t>
      </w:r>
    </w:p>
    <w:p w14:paraId="79C4CCDA"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Из особенно затянувшихся работ, грозящих задержать окончание постройки и пуска котла следует особенно подчеркнуть следующие.</w:t>
      </w:r>
    </w:p>
    <w:p w14:paraId="0DF3B33F" w14:textId="77777777" w:rsidR="006741BB" w:rsidRPr="007122AB" w:rsidRDefault="006741BB" w:rsidP="007122AB">
      <w:pPr>
        <w:numPr>
          <w:ilvl w:val="0"/>
          <w:numId w:val="2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Змеевики.</w:t>
      </w:r>
    </w:p>
    <w:p w14:paraId="593028AA"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а) До сих пор еще не прокатана болванка для изготовления труб, ибо уже более месяца мы ждем ответа от Днепропетровского завода им. Ленина. Неполучение ответа задерживает плавку и прокатку стали и ее отправку на завод. Необходимо самым срочным образом добиться ответа от Днепропетровского завода, прокатать и отправить болванку и срочно протянуть трубки, ибо задержка здесь держит всю работу.</w:t>
      </w:r>
    </w:p>
    <w:p w14:paraId="2794E51D"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 xml:space="preserve">б) Не выяснена до сих пор организация и место загибки змеевиков. их отжига и сварки. Надо скорее выпустить чертежи и послать </w:t>
      </w:r>
      <w:proofErr w:type="spellStart"/>
      <w:r w:rsidRPr="007122AB">
        <w:rPr>
          <w:color w:val="000000" w:themeColor="text1"/>
          <w:sz w:val="16"/>
          <w:szCs w:val="16"/>
        </w:rPr>
        <w:t>инж</w:t>
      </w:r>
      <w:proofErr w:type="spellEnd"/>
      <w:r w:rsidRPr="007122AB">
        <w:rPr>
          <w:color w:val="000000" w:themeColor="text1"/>
          <w:sz w:val="16"/>
          <w:szCs w:val="16"/>
        </w:rPr>
        <w:t>. ФЮНЕРА в Днепропетровск, Таганрог и Ленинград для выяснения всех необходимых вопросов и наладки исполнения.</w:t>
      </w:r>
    </w:p>
    <w:p w14:paraId="16265DD5"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в) Сильно задержалась вся работа по сварке: надо ее ускорить, созвать специальное совещание, о котором я давно Вас просил, выделить в помощники ФЮНЕРУ специального человека, Форсировать ответ о сварке от Берлинского Торгпредства и энергично протолкнуть все работу.</w:t>
      </w:r>
    </w:p>
    <w:p w14:paraId="58EA751E"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г) Сильно задержалась работа по исследованию сталей, вследствие задержки изготовления образцов на зав[оде] Электросталь и неполучения четкого ответа от Днепровского Ин-та Металлов. Это задержит окончательный выбор стали. Вообще изготовление и монтаж змеевиков будет одной из самых ответственных и длительных работ, ибо при теперешней продвинутое работ лишь при самом энергичном нажиме и отсутствии неполадок удастся закончить змеевики не ранее 1.II — 1.III.</w:t>
      </w:r>
    </w:p>
    <w:p w14:paraId="359BD757" w14:textId="77777777" w:rsidR="006741BB" w:rsidRPr="007122AB" w:rsidRDefault="006741BB" w:rsidP="007122AB">
      <w:pPr>
        <w:numPr>
          <w:ilvl w:val="0"/>
          <w:numId w:val="2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Вторым самым узким местом являются заграничные заказы, которые надо проталкивать изо всех сил, ибо в самом лучшем случае, если мы получим удовлетворительные предложения фирм к 1-15.X. можно рассчитывать на получение заграничного оборудования к 1 .III, вероятнее же всего, что этот срок еще сдвинется примерно до 1.IV, ибо придется вести переписку по выяснению технических деталей и изменениям предложений, если же учесть еще не менее 1 месяца на монтаж, пробы, наладку, то в лучшем случае мы сможем освоить заграничное оборудование к 15.IV-1.V. если не </w:t>
      </w:r>
      <w:proofErr w:type="spellStart"/>
      <w:r w:rsidRPr="007122AB">
        <w:rPr>
          <w:rFonts w:ascii="Times New Roman" w:hAnsi="Times New Roman"/>
          <w:color w:val="000000" w:themeColor="text1"/>
          <w:sz w:val="16"/>
          <w:szCs w:val="16"/>
        </w:rPr>
        <w:t>буд</w:t>
      </w:r>
      <w:proofErr w:type="spellEnd"/>
      <w:r w:rsidRPr="007122AB">
        <w:rPr>
          <w:rFonts w:ascii="Times New Roman" w:hAnsi="Times New Roman"/>
          <w:color w:val="000000" w:themeColor="text1"/>
          <w:sz w:val="16"/>
          <w:szCs w:val="16"/>
        </w:rPr>
        <w:t xml:space="preserve">[у]т немедленно приняты </w:t>
      </w:r>
      <w:proofErr w:type="spellStart"/>
      <w:r w:rsidRPr="007122AB">
        <w:rPr>
          <w:rFonts w:ascii="Times New Roman" w:hAnsi="Times New Roman"/>
          <w:color w:val="000000" w:themeColor="text1"/>
          <w:sz w:val="16"/>
          <w:szCs w:val="16"/>
        </w:rPr>
        <w:t>сверх-энергичные</w:t>
      </w:r>
      <w:proofErr w:type="spellEnd"/>
      <w:r w:rsidRPr="007122AB">
        <w:rPr>
          <w:rFonts w:ascii="Times New Roman" w:hAnsi="Times New Roman"/>
          <w:color w:val="000000" w:themeColor="text1"/>
          <w:sz w:val="16"/>
          <w:szCs w:val="16"/>
        </w:rPr>
        <w:t xml:space="preserve"> меры для ускорения.</w:t>
      </w:r>
    </w:p>
    <w:p w14:paraId="36A0FD79" w14:textId="77777777" w:rsidR="006741BB" w:rsidRPr="007122AB" w:rsidRDefault="006741BB" w:rsidP="007122AB">
      <w:pPr>
        <w:numPr>
          <w:ilvl w:val="0"/>
          <w:numId w:val="30"/>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 июля месяца тянется заказ дымососа, до сих пор нет подтверждения заказа, неизвестны технические характеристики дымососа, нет нужных данных для заказа мотора, который нельзя уже далее откладывать. Эта, хотя и второстепенная, часть установки тоже может нас задержать.</w:t>
      </w:r>
    </w:p>
    <w:p w14:paraId="5928CEC4" w14:textId="77777777" w:rsidR="006741BB" w:rsidRPr="007122AB" w:rsidRDefault="006741BB" w:rsidP="007122AB">
      <w:pPr>
        <w:numPr>
          <w:ilvl w:val="0"/>
          <w:numId w:val="31"/>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срочно заказать конденсатный насос с мотором.</w:t>
      </w:r>
    </w:p>
    <w:p w14:paraId="0D911DCE" w14:textId="77777777" w:rsidR="006741BB" w:rsidRPr="007122AB" w:rsidRDefault="006741BB" w:rsidP="007122AB">
      <w:pPr>
        <w:numPr>
          <w:ilvl w:val="0"/>
          <w:numId w:val="32"/>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Самым срочным образом надо дать спецификацию на арматуру. трубы, кирпич и т. п. и либо заказать самим, либо передать </w:t>
      </w:r>
      <w:proofErr w:type="spellStart"/>
      <w:r w:rsidRPr="007122AB">
        <w:rPr>
          <w:rFonts w:ascii="Times New Roman" w:hAnsi="Times New Roman"/>
          <w:color w:val="000000" w:themeColor="text1"/>
          <w:sz w:val="16"/>
          <w:szCs w:val="16"/>
        </w:rPr>
        <w:t>Теплоинституту</w:t>
      </w:r>
      <w:proofErr w:type="spellEnd"/>
      <w:r w:rsidRPr="007122AB">
        <w:rPr>
          <w:rFonts w:ascii="Times New Roman" w:hAnsi="Times New Roman"/>
          <w:color w:val="000000" w:themeColor="text1"/>
          <w:sz w:val="16"/>
          <w:szCs w:val="16"/>
        </w:rPr>
        <w:t>, оказав тогда ему помощь в реализации заказа.</w:t>
      </w:r>
    </w:p>
    <w:p w14:paraId="13313132" w14:textId="77777777" w:rsidR="006741BB" w:rsidRPr="007122AB" w:rsidRDefault="006741BB" w:rsidP="007122AB">
      <w:pPr>
        <w:numPr>
          <w:ilvl w:val="0"/>
          <w:numId w:val="33"/>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Надо дать заказ на вентилятор с мотором.</w:t>
      </w:r>
    </w:p>
    <w:p w14:paraId="6138F7F8" w14:textId="77777777" w:rsidR="006741BB" w:rsidRPr="007122AB" w:rsidRDefault="006741BB" w:rsidP="007122AB">
      <w:pPr>
        <w:numPr>
          <w:ilvl w:val="0"/>
          <w:numId w:val="34"/>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всемерно ускорить начало строительных работ, оформив их производство с </w:t>
      </w:r>
      <w:proofErr w:type="spellStart"/>
      <w:r w:rsidRPr="007122AB">
        <w:rPr>
          <w:rFonts w:ascii="Times New Roman" w:hAnsi="Times New Roman"/>
          <w:color w:val="000000" w:themeColor="text1"/>
          <w:sz w:val="16"/>
          <w:szCs w:val="16"/>
        </w:rPr>
        <w:t>Теплоинститутом</w:t>
      </w:r>
      <w:proofErr w:type="spellEnd"/>
      <w:r w:rsidRPr="007122AB">
        <w:rPr>
          <w:rFonts w:ascii="Times New Roman" w:hAnsi="Times New Roman"/>
          <w:color w:val="000000" w:themeColor="text1"/>
          <w:sz w:val="16"/>
          <w:szCs w:val="16"/>
        </w:rPr>
        <w:t xml:space="preserve"> и дав ему описание спецификации и чертежи для работ.</w:t>
      </w:r>
    </w:p>
    <w:p w14:paraId="618DD6C2" w14:textId="77777777" w:rsidR="006741BB" w:rsidRPr="007122AB" w:rsidRDefault="006741BB" w:rsidP="007122AB">
      <w:pPr>
        <w:numPr>
          <w:ilvl w:val="0"/>
          <w:numId w:val="35"/>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Надо внести ясность с </w:t>
      </w:r>
      <w:proofErr w:type="spellStart"/>
      <w:r w:rsidRPr="007122AB">
        <w:rPr>
          <w:rFonts w:ascii="Times New Roman" w:hAnsi="Times New Roman"/>
          <w:color w:val="000000" w:themeColor="text1"/>
          <w:sz w:val="16"/>
          <w:szCs w:val="16"/>
        </w:rPr>
        <w:t>Теплоинститутом</w:t>
      </w:r>
      <w:proofErr w:type="spellEnd"/>
      <w:r w:rsidRPr="007122AB">
        <w:rPr>
          <w:rFonts w:ascii="Times New Roman" w:hAnsi="Times New Roman"/>
          <w:color w:val="000000" w:themeColor="text1"/>
          <w:sz w:val="16"/>
          <w:szCs w:val="16"/>
        </w:rPr>
        <w:t xml:space="preserve"> в заказ и изготовление измерительных приборов.</w:t>
      </w:r>
    </w:p>
    <w:p w14:paraId="1974BF60" w14:textId="77777777" w:rsidR="006741BB" w:rsidRPr="007122AB" w:rsidRDefault="006741BB" w:rsidP="007122AB">
      <w:pPr>
        <w:numPr>
          <w:ilvl w:val="0"/>
          <w:numId w:val="36"/>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Надо устроить выпуск чертежей кованых и литых деталей, выяснить материал для их изготовления и выделить заказы.</w:t>
      </w:r>
    </w:p>
    <w:p w14:paraId="2EDE72C2" w14:textId="77777777" w:rsidR="006741BB" w:rsidRPr="007122AB" w:rsidRDefault="006741BB" w:rsidP="007122AB">
      <w:pPr>
        <w:numPr>
          <w:ilvl w:val="0"/>
          <w:numId w:val="37"/>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сих пор совершенно не продвинулся вопрос о чрезвычайно ответственной и срочной работе по проектированию промышленного котла. Необходимо внести здесь полную ясность. По этому поводу мною подается особая записка.</w:t>
      </w:r>
    </w:p>
    <w:p w14:paraId="26E54EC0"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Основными причинами, замедляющими темп работы и понижающей ее качество являются.</w:t>
      </w:r>
    </w:p>
    <w:p w14:paraId="460AE029" w14:textId="77777777" w:rsidR="006741BB" w:rsidRPr="007122AB" w:rsidRDefault="006741BB" w:rsidP="007122AB">
      <w:pPr>
        <w:numPr>
          <w:ilvl w:val="0"/>
          <w:numId w:val="38"/>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Моя полная оторванность от рабочей группы, совершенно не дающая мне возможности руководить ее работой, своевременно давать нужные указания и выправлять ошибки, промахи и т. п„ ибо эпизодические, редкие и кратковременные мои свидания с отдельными работниками ни в коем случае не могут обеспечить необходимое наблюдение за работой. Я совершенно не имел времени проверять расчеты, часто вынужден оставлять в ущерб качеству работы не вполне удачные конструкции, во избежание дальнейшей задержки работ, отчего несомненно падает качество работы; некоторых из сотрудников я вообще не видел ни разу; я не имею под руками необходимых чертежей и данных, лишен нужных и своевременных справок, лишен возможности посоветоваться и проконсультировать ряд вопросов, не обеспечен необходимой литературой, получение коей затягивается на месяцы и т. п. Фактически я превращен не в руководителя, а в консультанта. Поэтому, несмотря на Ваши указания на мою ответственность за всю работу, я в целях полной ясности считаю своим долгом сообщить Вам, что при теперешних условиях, когда я фактически лишен всякой возможности руководить работой и активно влиять на ее ход, я не могу принять на себя ответственность за ее темпы и результаты. Более того, я считаю себя обязанным предупредить Вас, что при теперешнем положении задержки, ошибки, неполадки и недоразумения совершенно неизбежны, ибо у меня нет никаких возможностей их предотвратить. Я заявляю об этом не из желания избегнуть ответственности, ибо за долголетнюю свою работу я никогда не уклонялся от полной ответственности за руководимое мною дело. В моей более чем 20-летней инженерной деятельности до сих пор не было </w:t>
      </w: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ни одного случая, провала, неудачи или даже крупного промаха. Работа по проектированию и постройке моего прямоточного котла, являющегося первым в мире по типу и качеству, для меня очень близка и дорога, представляя завершение всей моей научной и инженерной работы. Поэтому Вы можете быть уверены, что я принимаю и буду принимать все меры, чтобы провести эту работу наилучшим образом и не скомпрометировать мое научное имя — последнее, что у меня осталось.</w:t>
      </w:r>
    </w:p>
    <w:p w14:paraId="2A465884"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Но при создавшихся условиях, вызывающих серьезное опасение за успех дела, отнимающих у меня последнюю энергию и силы и доводящих меня до полного и безнадежного отчаяния, я боюсь, что у меня не хватит сил довести дело до благополучного конца.</w:t>
      </w:r>
    </w:p>
    <w:p w14:paraId="67BE8EB3"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Дайте же мне наконец возможность работать вплотную, переведите меня поскорее на завод для совместной работы со всей группой, создайте минимум душевного спокойствия, путем установления более определенного и легкого режима, и я целиком и полностью ручаюсь за успех моего котла, если вы конечно окажете и впредь нужную поддержку и помощь. Иначе, громадная энергия и труды, вложенные Вами в это дело, большое усердие и старание наших сотрудников пропадут даром и блестящая идея будет погублена.</w:t>
      </w:r>
    </w:p>
    <w:p w14:paraId="14756590" w14:textId="77777777" w:rsidR="006741BB" w:rsidRPr="007122AB" w:rsidRDefault="006741BB" w:rsidP="007122AB">
      <w:pPr>
        <w:numPr>
          <w:ilvl w:val="0"/>
          <w:numId w:val="39"/>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обеспечения мне возможности непосредственного, непрерывного руководства работой, надо будет дать группе нашей достаточное помещение на з-де </w:t>
      </w:r>
      <w:proofErr w:type="spellStart"/>
      <w:r w:rsidRPr="007122AB">
        <w:rPr>
          <w:rFonts w:ascii="Times New Roman" w:hAnsi="Times New Roman"/>
          <w:color w:val="000000" w:themeColor="text1"/>
          <w:sz w:val="16"/>
          <w:szCs w:val="16"/>
        </w:rPr>
        <w:t>Парострой</w:t>
      </w:r>
      <w:proofErr w:type="spellEnd"/>
      <w:r w:rsidRPr="007122AB">
        <w:rPr>
          <w:rFonts w:ascii="Times New Roman" w:hAnsi="Times New Roman"/>
          <w:color w:val="000000" w:themeColor="text1"/>
          <w:sz w:val="16"/>
          <w:szCs w:val="16"/>
        </w:rPr>
        <w:t>.</w:t>
      </w:r>
    </w:p>
    <w:p w14:paraId="76C5F470" w14:textId="77777777" w:rsidR="006741BB" w:rsidRPr="007122AB" w:rsidRDefault="006741BB" w:rsidP="007122AB">
      <w:pPr>
        <w:numPr>
          <w:ilvl w:val="0"/>
          <w:numId w:val="40"/>
        </w:numPr>
        <w:spacing w:after="0" w:line="240" w:lineRule="auto"/>
        <w:ind w:left="0" w:firstLine="0"/>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надлежащим образом укомплектовать группу, освободив ее от балласта и добавив нужных работников.</w:t>
      </w:r>
    </w:p>
    <w:p w14:paraId="233F768F"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Если Вы дадите мне возможность как следует работать, я обещаю Вам сделать с Вашей помощью чудеса, которые поразят мир и поднимут Советскую науку и технику на небывалую, но заслуженную ею высоту. При теперешнем же положении неизбежен срыв работы и во всяком случае сведение ее результата на гораздо более низкую ступень. Не дайте же испортить столь успешно начатое дело и потерять результаты стольких усилий, энергии и знаний, вложенных в него.</w:t>
      </w:r>
    </w:p>
    <w:p w14:paraId="54B407D1" w14:textId="77777777" w:rsidR="006741BB" w:rsidRPr="007122AB" w:rsidRDefault="006741BB" w:rsidP="007122AB">
      <w:pPr>
        <w:pStyle w:val="rtejustify"/>
        <w:spacing w:before="0" w:after="0"/>
        <w:rPr>
          <w:color w:val="000000" w:themeColor="text1"/>
          <w:sz w:val="16"/>
          <w:szCs w:val="16"/>
        </w:rPr>
      </w:pPr>
      <w:r w:rsidRPr="007122AB">
        <w:rPr>
          <w:color w:val="000000" w:themeColor="text1"/>
          <w:sz w:val="16"/>
          <w:szCs w:val="16"/>
        </w:rPr>
        <w:t>15.IX 1931 [г.]</w:t>
      </w:r>
    </w:p>
    <w:p w14:paraId="199CBBCA" w14:textId="77777777" w:rsidR="006741BB" w:rsidRPr="007122AB" w:rsidRDefault="006741BB" w:rsidP="007122AB">
      <w:pPr>
        <w:pStyle w:val="ae"/>
        <w:spacing w:before="0" w:after="0"/>
        <w:jc w:val="both"/>
        <w:rPr>
          <w:color w:val="000000" w:themeColor="text1"/>
          <w:sz w:val="16"/>
          <w:szCs w:val="16"/>
        </w:rPr>
      </w:pPr>
      <w:r w:rsidRPr="007122AB">
        <w:rPr>
          <w:color w:val="000000" w:themeColor="text1"/>
          <w:sz w:val="16"/>
          <w:szCs w:val="16"/>
        </w:rPr>
        <w:t>Л. Рамзин</w:t>
      </w:r>
    </w:p>
    <w:p w14:paraId="2CDCE636" w14:textId="77777777" w:rsidR="006741BB" w:rsidRPr="007122AB" w:rsidRDefault="006741BB"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1.Д. 69. Л. 10-12 об. (А) Рукописный подлинник, автограф Л. К. Рамзина (написано карандашом). На Л. 11 («титул») написано «Начальнику ОКБ № 11 Н. И. </w:t>
      </w:r>
      <w:proofErr w:type="spellStart"/>
      <w:r w:rsidRPr="007122AB">
        <w:rPr>
          <w:rStyle w:val="af0"/>
          <w:i w:val="0"/>
          <w:color w:val="000000" w:themeColor="text1"/>
          <w:sz w:val="16"/>
          <w:szCs w:val="16"/>
        </w:rPr>
        <w:t>Наумину</w:t>
      </w:r>
      <w:proofErr w:type="spellEnd"/>
      <w:r w:rsidRPr="007122AB">
        <w:rPr>
          <w:rStyle w:val="af0"/>
          <w:i w:val="0"/>
          <w:color w:val="000000" w:themeColor="text1"/>
          <w:sz w:val="16"/>
          <w:szCs w:val="16"/>
        </w:rPr>
        <w:t>». На Л. 13-17 — машинописная копия, экземпляр закладки, аналогичный Б.</w:t>
      </w:r>
    </w:p>
    <w:p w14:paraId="31787771" w14:textId="77777777" w:rsidR="006741BB" w:rsidRPr="007122AB" w:rsidRDefault="006741BB"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Там же.Д.2.Л. 77-73. (Б) Машинописный экземпляр (копия) того времени (нумерация в обратном порядке). Разночтения, кроме отмеченных в подстрочнике: в машинописном экземпляре отсутствуют все подчеркивания, сделанные Рамзиным в рукописи; фамилии и название завода (Электросталь, </w:t>
      </w:r>
      <w:proofErr w:type="spellStart"/>
      <w:r w:rsidRPr="007122AB">
        <w:rPr>
          <w:rStyle w:val="af0"/>
          <w:i w:val="0"/>
          <w:color w:val="000000" w:themeColor="text1"/>
          <w:sz w:val="16"/>
          <w:szCs w:val="16"/>
        </w:rPr>
        <w:t>Парострой</w:t>
      </w:r>
      <w:proofErr w:type="spellEnd"/>
      <w:r w:rsidRPr="007122AB">
        <w:rPr>
          <w:rStyle w:val="af0"/>
          <w:i w:val="0"/>
          <w:color w:val="000000" w:themeColor="text1"/>
          <w:sz w:val="16"/>
          <w:szCs w:val="16"/>
        </w:rPr>
        <w:t xml:space="preserve">) напечатаны прописными буквами. На Л. 77 вверху слева — дата «15/IХ» (от руки). Рукописные пометы по тексту красным карандашом рукой Н. И.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(почти везде есть его подпись-росчерк): на Л. 77 рядом с п. 1, а) «до сих пор еще не прокатана болванка для изготовления труб [...]» — «Ответ получен. Сталь прокатана»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на Л. 76 — п. г) «6) Не выяснена до сих пор организация и место [...]» — «Выясняется»; п. в) «Сильно задержалась вся работа по сварке [...]» — «Все сделано. Выделен </w:t>
      </w:r>
      <w:proofErr w:type="spellStart"/>
      <w:r w:rsidRPr="007122AB">
        <w:rPr>
          <w:rStyle w:val="af0"/>
          <w:i w:val="0"/>
          <w:color w:val="000000" w:themeColor="text1"/>
          <w:sz w:val="16"/>
          <w:szCs w:val="16"/>
        </w:rPr>
        <w:t>Салменков</w:t>
      </w:r>
      <w:proofErr w:type="spellEnd"/>
      <w:r w:rsidRPr="007122AB">
        <w:rPr>
          <w:rStyle w:val="af0"/>
          <w:i w:val="0"/>
          <w:color w:val="000000" w:themeColor="text1"/>
          <w:sz w:val="16"/>
          <w:szCs w:val="16"/>
        </w:rPr>
        <w:t xml:space="preserve"> и &lt;выделят&gt; еще одного человека»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г) «Сильно задержалась работа по исследованиям сталей [...]» — «Стали уже исследуются»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п. 2 «Вторым самым узким местом являются заграничные заказы [...]» — «Выдан уже заказ»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на Л. 75 -</w:t>
      </w:r>
      <w:proofErr w:type="spellStart"/>
      <w:r w:rsidRPr="007122AB">
        <w:rPr>
          <w:rStyle w:val="af0"/>
          <w:i w:val="0"/>
          <w:color w:val="000000" w:themeColor="text1"/>
          <w:sz w:val="16"/>
          <w:szCs w:val="16"/>
        </w:rPr>
        <w:t>п.З</w:t>
      </w:r>
      <w:proofErr w:type="spellEnd"/>
      <w:r w:rsidRPr="007122AB">
        <w:rPr>
          <w:rStyle w:val="af0"/>
          <w:i w:val="0"/>
          <w:color w:val="000000" w:themeColor="text1"/>
          <w:sz w:val="16"/>
          <w:szCs w:val="16"/>
        </w:rPr>
        <w:t xml:space="preserve"> «С июля месяца тянется заказ дымососа [...]» — «&lt;10&gt;/ХI уже будет готов»; п. 4 «Необходимо срочно заказать конденсатный насос с мотором» — «Заказан уже в Теплотехническом] институте»; п. 5 «Самым срочным образом надо дать спецификацию на арматуру [...]» — «Передана уже ведут работу»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п. 7 «Надо всемерно ускорить начало строительных работ, оформив [...]» — «передано уже»; п. 8 «Надо внести ясность с </w:t>
      </w:r>
      <w:proofErr w:type="spellStart"/>
      <w:r w:rsidRPr="007122AB">
        <w:rPr>
          <w:rStyle w:val="af0"/>
          <w:i w:val="0"/>
          <w:color w:val="000000" w:themeColor="text1"/>
          <w:sz w:val="16"/>
          <w:szCs w:val="16"/>
        </w:rPr>
        <w:t>Теплоинститутом</w:t>
      </w:r>
      <w:proofErr w:type="spellEnd"/>
      <w:r w:rsidRPr="007122AB">
        <w:rPr>
          <w:rStyle w:val="af0"/>
          <w:i w:val="0"/>
          <w:color w:val="000000" w:themeColor="text1"/>
          <w:sz w:val="16"/>
          <w:szCs w:val="16"/>
        </w:rPr>
        <w:t xml:space="preserve"> в заказ и изготовление измерительных приборов» — «Сделано уже»; п. 9 «Надо устроить выпуск чертежей [...] и выделить заказы» — «Сделано»; п. 10 «До сих пор совершенно не продвинулся вопрос о [...] проектированию промышленного котла. Необходимо внести здесь полную ясность. [...]» — «Ясность внесена»; последний абзац на Л. 75 «1. Моя полная оторванность от рабочей группы [...]» — «Перевести на завод»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на Л. 73 — второй абзац сверху «Дайте же мне наконец возможность работать вплотную, переведите меня поскорее на завод [...]» — «Переводится»; следующий абзац «2. [...] надо будет дать группе достаточное помещение на з-де ПАРОСТРОЙ» — «Помещение дано другое» (подпись-росчерк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w:t>
      </w:r>
    </w:p>
    <w:p w14:paraId="758AEB03" w14:textId="77777777" w:rsidR="006741BB" w:rsidRPr="007122AB" w:rsidRDefault="006741BB"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Там же. Л. 82- 78. Машинописный экземпляр (копия) того времени (нумерация в обратном порядке), аналогичный Б. На Л. 82 вверху рукописные пометы: «т. </w:t>
      </w:r>
      <w:proofErr w:type="spellStart"/>
      <w:r w:rsidRPr="007122AB">
        <w:rPr>
          <w:rStyle w:val="af0"/>
          <w:i w:val="0"/>
          <w:color w:val="000000" w:themeColor="text1"/>
          <w:sz w:val="16"/>
          <w:szCs w:val="16"/>
        </w:rPr>
        <w:t>Наумину</w:t>
      </w:r>
      <w:proofErr w:type="spellEnd"/>
      <w:r w:rsidRPr="007122AB">
        <w:rPr>
          <w:rStyle w:val="af0"/>
          <w:i w:val="0"/>
          <w:color w:val="000000" w:themeColor="text1"/>
          <w:sz w:val="16"/>
          <w:szCs w:val="16"/>
        </w:rPr>
        <w:t xml:space="preserve"> в дело» (подпись-росчерк, неразборчиво), «Уже есть»; дата «15/IХ» (19072).</w:t>
      </w:r>
    </w:p>
    <w:p w14:paraId="6D66BE6F" w14:textId="77777777" w:rsidR="006741BB" w:rsidRPr="007122AB" w:rsidRDefault="006741BB" w:rsidP="007122AB">
      <w:pPr>
        <w:spacing w:after="0" w:line="240" w:lineRule="auto"/>
        <w:jc w:val="both"/>
        <w:rPr>
          <w:rFonts w:ascii="Times New Roman" w:hAnsi="Times New Roman"/>
          <w:color w:val="000000" w:themeColor="text1"/>
          <w:sz w:val="16"/>
          <w:szCs w:val="16"/>
        </w:rPr>
      </w:pPr>
    </w:p>
    <w:p w14:paraId="19A49B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AE82B8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DB9C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сентября 1931 года Политбюро принимает решение о досрочном освобождении бывших вредителей, инженеров и техников железнодорожного транспорта для использования их на транспорте по списку представленному Постышевым и Акуловым с оставлением наказания условным и применении к освобожденным гласного надзора ОГПУ. </w:t>
      </w:r>
    </w:p>
    <w:p w14:paraId="5F224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справки о специалистах-транспортниках передаваемых ТО ОГПУ в НКПС и его органы на 12 декабря 1931 года было освобождено 277 человек. Из них передано 154 человека, в пути из лагеря находились 124 человека (цифры на 1 человека не совпадают) (11248).</w:t>
      </w:r>
    </w:p>
    <w:p w14:paraId="40A875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A3F5D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21A552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418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15-17 сентября 1931 состоялось </w:t>
      </w:r>
      <w:proofErr w:type="spellStart"/>
      <w:r w:rsidRPr="007122AB">
        <w:rPr>
          <w:rFonts w:ascii="Times New Roman" w:hAnsi="Times New Roman"/>
          <w:color w:val="000000" w:themeColor="text1"/>
          <w:sz w:val="16"/>
          <w:szCs w:val="16"/>
        </w:rPr>
        <w:t>Инвергордонское</w:t>
      </w:r>
      <w:proofErr w:type="spellEnd"/>
      <w:r w:rsidRPr="007122AB">
        <w:rPr>
          <w:rFonts w:ascii="Times New Roman" w:hAnsi="Times New Roman"/>
          <w:color w:val="000000" w:themeColor="text1"/>
          <w:sz w:val="16"/>
          <w:szCs w:val="16"/>
        </w:rPr>
        <w:t xml:space="preserve"> восстание на английском флоте (в Северной Шотландии) из-за снижения жалования. Матросы победили (2438,233).</w:t>
      </w:r>
    </w:p>
    <w:p w14:paraId="77EB59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7D5030" w14:textId="77777777" w:rsidR="007F1987" w:rsidRPr="007122AB" w:rsidRDefault="007F1987" w:rsidP="007F1987">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97A38F3" w14:textId="77777777" w:rsidR="007F1987" w:rsidRPr="007122AB" w:rsidRDefault="007F1987" w:rsidP="007F1987">
      <w:pPr>
        <w:autoSpaceDE w:val="0"/>
        <w:autoSpaceDN w:val="0"/>
        <w:adjustRightInd w:val="0"/>
        <w:spacing w:after="0" w:line="240" w:lineRule="auto"/>
        <w:jc w:val="both"/>
        <w:rPr>
          <w:rFonts w:ascii="Times New Roman" w:hAnsi="Times New Roman"/>
          <w:iCs/>
          <w:color w:val="000000" w:themeColor="text1"/>
          <w:sz w:val="16"/>
          <w:szCs w:val="16"/>
        </w:rPr>
      </w:pPr>
    </w:p>
    <w:p w14:paraId="0547498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середине сентября 1931 г. завод №1 сдал все 55 заказанных самолетов И-3, полностью завершив их выпуск.</w:t>
      </w:r>
    </w:p>
    <w:p w14:paraId="1ADCE4E3"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Всего в 1928…1931 г. завод №1 построил, облетал и сдал в комплектном виде 387 серийных самолетов И-3.</w:t>
      </w:r>
    </w:p>
    <w:p w14:paraId="2745A35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Изменения, внедренные в конструкцию и комплектацию серийных самолетов И-3 по ходу их выпуска:</w:t>
      </w:r>
    </w:p>
    <w:p w14:paraId="359745E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первые 12 серийных самолетов сданы без устранения конструктивных недостатков с оперением (как ГО, так и ВО) по типу 2-й опытной машины, новая конструкция ГО (см. начало этого пункта) введена по ходу выпуска;</w:t>
      </w:r>
    </w:p>
    <w:p w14:paraId="076067F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 13-го по 53-й серийные самолеты имеют ГО с роговыми компенсаторами, конструкция которого описана выше в перечне доработок, которые следовало внести с 1-й серийной машины;</w:t>
      </w:r>
    </w:p>
    <w:p w14:paraId="1881FE93"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 54-го по 79-й серийные самолеты построены с новым РВ несколько увеличенной площади за счет спрямленной задней кромки (</w:t>
      </w:r>
      <w:proofErr w:type="spellStart"/>
      <w:r w:rsidRPr="00441F34">
        <w:rPr>
          <w:rFonts w:ascii="Times New Roman" w:hAnsi="Times New Roman"/>
          <w:color w:val="0070C0"/>
          <w:sz w:val="16"/>
          <w:szCs w:val="16"/>
        </w:rPr>
        <w:t>законцовка</w:t>
      </w:r>
      <w:proofErr w:type="spellEnd"/>
      <w:r w:rsidRPr="00441F34">
        <w:rPr>
          <w:rFonts w:ascii="Times New Roman" w:hAnsi="Times New Roman"/>
          <w:color w:val="0070C0"/>
          <w:sz w:val="16"/>
          <w:szCs w:val="16"/>
        </w:rPr>
        <w:t xml:space="preserve"> образована дугой окружности) по временной документации, такой РВ введен в рабочую КД на постоянной основе с самолета зав. №4027;</w:t>
      </w:r>
    </w:p>
    <w:p w14:paraId="4E10009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первые 75 самолетов укомплектованы при сдаче пулеметами Виккерс Mk.2 английского производства, остальные – отечественными ПВ-1.</w:t>
      </w:r>
    </w:p>
    <w:p w14:paraId="56F309E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для исключения изгиба элеронов по лонжеронам от перегрузок, что вызывало увеличение трения в узлах их навески и кинематике управления, они разделены каждый на две секции, что потребовало изменения конструкции их самих, узлов навески и проводки управления;</w:t>
      </w:r>
    </w:p>
    <w:p w14:paraId="44D0B2F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внедрена новая конструкция вертикального оперения по типу самолета ДИ-2 (см. ниже) с килем увеличенной площади с прямолинейной на основном своем участке передней кромкой и увеличенной высоты с уменьшенной соответственно высотой рогового компенсатора РВ, с новым ВО курсовая устойчивость стала нормальной на всех скоростях;</w:t>
      </w:r>
    </w:p>
    <w:p w14:paraId="156EC73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вместо колес с литыми дисками с размером шин 750х125 мм введены стандартные колеса на спицах с размером шин 850х150 мм, спицы закрывались коническими обтекателями, изготовленными выколоткой из листа дюраля Д1 с концентрическими, а иногда и радиальными рифтами;</w:t>
      </w:r>
    </w:p>
    <w:p w14:paraId="55DC2FE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 76-го серийного экземпляра все самолеты И-3 при сдаче комплектуются пулеметами ПВ-1 советского производства;</w:t>
      </w:r>
    </w:p>
    <w:p w14:paraId="7B26F5A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введен выброс стреляных гильз и звеньев ленты – в установленные между стержнями V-образных стоек ООШ съемные для опорожнения коробки в нижней части фюзеляжа, сделанные сборными из дюраля Д1;</w:t>
      </w:r>
    </w:p>
    <w:p w14:paraId="20ABED9A"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по крайней мере, на части самолетов И-3 серии 9 (всего 38 штук) с двигателем М-17 отечественного производства установлен новый воздушный винт диаметром 2950 мм и шагом 3615 мм (вместо применявшегося ранее винта с диаметром 3000 мм), специальные испытания самолета №4364 (время закладки на заводе №1 – 22 июня 1930 г.) проведены с 19 февраля по 24 марта 1931 г.;</w:t>
      </w:r>
    </w:p>
    <w:p w14:paraId="7EC6FB3E"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части самолетов установлено приспособление для буксировки конуса-мишени для тренировки в воздушной стрельбе, а к январю 1932 г. разработано и испытано ограждение для предохранения оперения и костыля самолета от попадания его троса, которое предполагалось ставить на готовые самолеты в порядке их доработки;</w:t>
      </w:r>
    </w:p>
    <w:p w14:paraId="32A1729C"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первые серийные самолеты И-3 выпуска с 1928 г. и по III квартал 1930 г., а это больше половины всех построенных, комплектовались почти исключительно покупными двигателями BMW VI различных серий немецкого производства, и только 15 августа 1930 г. двигатели М-17 выпуска завода №26 в Рыбинске допущены к строевой эксплуатации в частях ВВС РККА, к концу года предприятие их сдало 165 и их начали ставить на серийные самолеты И-3, но не на все, поскольку М-17 шел и на многие другие типы;</w:t>
      </w:r>
    </w:p>
    <w:p w14:paraId="76B69286"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часть серийных самолетов выпущена с установкой аэронавигационных огней над верхним крылом, двух посадочных факелов под нижним крылом и освещения кабины, для подключения этого оборудования изменена электросистема;</w:t>
      </w:r>
    </w:p>
    <w:p w14:paraId="5520264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в 1930 г. под руководством С.А.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 xml:space="preserve"> разработаны и внедрены меры по снижению веса серийных самолетов И-3 за счет улучшения культуры производства и отказа от неиспользуемого съемного оборудования), благодаря которым не в ущерб прочности вес пустого самолета со всеми доработками уменьшен в сравнении с головным серийным без доработок на 63 кг (на 4%), а взлетный – на 58 кг или на 3%.</w:t>
      </w:r>
    </w:p>
    <w:p w14:paraId="4D6A291F"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1931 г. по меньшей мере один самолет И-3 доработан для оценки применения дымового авиационного прибора ДАП-Д. Испытания, отчет по которым подготовлен 30 июня 1931 г., показали, что</w:t>
      </w:r>
      <w:r>
        <w:rPr>
          <w:rFonts w:ascii="Times New Roman" w:hAnsi="Times New Roman"/>
          <w:color w:val="0070C0"/>
          <w:sz w:val="16"/>
          <w:szCs w:val="16"/>
        </w:rPr>
        <w:t xml:space="preserve"> </w:t>
      </w:r>
      <w:r w:rsidRPr="00441F34">
        <w:rPr>
          <w:rFonts w:ascii="Times New Roman" w:hAnsi="Times New Roman"/>
          <w:color w:val="0070C0"/>
          <w:sz w:val="16"/>
          <w:szCs w:val="16"/>
        </w:rPr>
        <w:t>«Прибор может быть применен для создания вертикальных дымовых завес с истребительных самолетов».</w:t>
      </w:r>
    </w:p>
    <w:p w14:paraId="7CB8593C"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Новая конструкция вертикального оперения:</w:t>
      </w:r>
    </w:p>
    <w:p w14:paraId="47443DDF"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конструктивно-силовая схема и технология производства киля в сравнении с первым опытным самолетом И-3 не поменялась, но он приобрел трапециевидную форму с увеличенной корневой хордой и прямолинейной за исключением радиусного участка перехода к верхнему обводу фюзеляжа, который стал намного меньше исходного;</w:t>
      </w:r>
    </w:p>
    <w:p w14:paraId="20065D3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силовой набор киля состоит из главного лонжерона, крепящегося моментным узлом на последний шпангоут фюзеляжа под прямым углом к СГФ, вспомогательного лонжерона вдоль передней кромки, крепящегося моментным узлом к 7-му шпангоуту фюзеляжа под острым углом к его плоскости и к СГФ, корневой нервюры, идущей вдоль верхнего контура фюзеляжа, четырех нервюр, пущенных по потоку между I и II лонжеронами под прямым углом ко второму л-ну, а также двух раскосов, установленных в виде буквы V между корневой и 2-й нервюрами, обшивка такая же, как на самолете И-3 с отличием только в размерах панелей;</w:t>
      </w:r>
    </w:p>
    <w:p w14:paraId="2F32F29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единственное отличие РВ – уменьшение высоты рогового компенсатора на одну нервюру сообразно увеличению высоты киля.</w:t>
      </w:r>
    </w:p>
    <w:p w14:paraId="5090EB4F"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Строевая эксплуатация выявила недостаточную жесткость киля, и его силовой набор был изменен:</w:t>
      </w:r>
    </w:p>
    <w:p w14:paraId="62A023D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добавлены две стенки, идущие параллельно главному лонжерону от корневой нервюры до стыка передней (существующей наклонной) стенки с концевой нервюрой и также от корневой нервюры до стыка 3-й нервюры с этой же наклонной стенкой;</w:t>
      </w:r>
    </w:p>
    <w:p w14:paraId="348BEFC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изменено положение нервюр между корневой и концевой (всего нервюр осталось 5);</w:t>
      </w:r>
    </w:p>
    <w:p w14:paraId="7779BA9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V-образные раскосы между корневой и 2-й нервюрами не ставятся.</w:t>
      </w:r>
    </w:p>
    <w:p w14:paraId="13F8404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Окраска серийных самолетов:</w:t>
      </w:r>
    </w:p>
    <w:p w14:paraId="35C5817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кок винта и капот – некрашеный дюраль, иногда полированный «под мороз» («чешуйками»);</w:t>
      </w:r>
    </w:p>
    <w:p w14:paraId="7503634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верхние и боковые поверхности кроме капота и кока винта красятся темно-защитным цветом, нижние крыла и оперения – светло-голубым, а на некоторых самолетах – вся деревянная часть фюзеляжа, включая низ и металлические крышки;</w:t>
      </w:r>
    </w:p>
    <w:p w14:paraId="1E04807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 4-го серийного под стабилизатором на дистанции последнего шпангоута наносится красная полоса – место установки козелка, фанерная обшивка нижнего крыла, на которой можно стоять, красится красным, а у поручней в обшивке ХЧФ сделаны надписи БРАТЬ ЗДЕСЬ (24887).</w:t>
      </w:r>
    </w:p>
    <w:p w14:paraId="2DC1682B" w14:textId="77777777" w:rsidR="007F1987" w:rsidRPr="00441F34" w:rsidRDefault="007F1987" w:rsidP="007F1987">
      <w:pPr>
        <w:spacing w:after="0" w:line="240" w:lineRule="auto"/>
        <w:jc w:val="both"/>
        <w:rPr>
          <w:rFonts w:ascii="Times New Roman" w:hAnsi="Times New Roman"/>
          <w:color w:val="0070C0"/>
          <w:sz w:val="16"/>
          <w:szCs w:val="16"/>
        </w:rPr>
      </w:pPr>
    </w:p>
    <w:p w14:paraId="3E2E109F" w14:textId="77777777" w:rsidR="007F1987" w:rsidRPr="007122AB" w:rsidRDefault="007F1987" w:rsidP="007F1987">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8408A0B" w14:textId="77777777" w:rsidR="007F1987" w:rsidRPr="007122AB" w:rsidRDefault="007F1987" w:rsidP="007F1987">
      <w:pPr>
        <w:autoSpaceDE w:val="0"/>
        <w:autoSpaceDN w:val="0"/>
        <w:adjustRightInd w:val="0"/>
        <w:spacing w:after="0" w:line="240" w:lineRule="auto"/>
        <w:jc w:val="both"/>
        <w:rPr>
          <w:rFonts w:ascii="Times New Roman" w:hAnsi="Times New Roman"/>
          <w:iCs/>
          <w:color w:val="000000" w:themeColor="text1"/>
          <w:sz w:val="16"/>
          <w:szCs w:val="16"/>
        </w:rPr>
      </w:pPr>
    </w:p>
    <w:p w14:paraId="62B6B62C"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сентября 1931 г. в НАТИ было завершено проектирование танкового дизеля Д-300, но из-за отсутствия у института производственной базы, вопрос с изготовлением опытного образца затягивался (24856).</w:t>
      </w:r>
    </w:p>
    <w:p w14:paraId="16779AFE" w14:textId="77777777" w:rsidR="007F1987" w:rsidRPr="00441F34" w:rsidRDefault="007F1987" w:rsidP="007F1987">
      <w:pPr>
        <w:spacing w:after="0" w:line="240" w:lineRule="auto"/>
        <w:jc w:val="both"/>
        <w:rPr>
          <w:rFonts w:ascii="Times New Roman" w:hAnsi="Times New Roman"/>
          <w:color w:val="0070C0"/>
          <w:sz w:val="16"/>
          <w:szCs w:val="16"/>
        </w:rPr>
      </w:pPr>
    </w:p>
    <w:p w14:paraId="1AE218B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EDB2AA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0114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сентября 1931 Нач. ЦАГИ и Нач. АГОС писали письмо N 1098с в ВАО на 511/Н-34 от 3 сентября 1931:</w:t>
      </w:r>
    </w:p>
    <w:p w14:paraId="698BA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препровождает Вам имеющиеся у него фотоснимки только с ТБ-3 и то с одной позиции, в развитие этого фото ЦАГИ направляет схематические снимки ТБ-3 с чертежа с указанием на них требуемых Вам габаритов.</w:t>
      </w:r>
    </w:p>
    <w:p w14:paraId="2D397A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же касается снимков с Р-6, то таковых в ЦАГИ не имеется. За получением фото ЦАГИ просит Вас обратиться в НИИ, где указанные снимки имеются. Справка: в ЦАГИ есть отчет по испытаниям и там приложены снимки НИИ. Со своей стороны ЦАГИ прилагает Вам фото со схематических чертежей с 3-х позиций с габаритными размерами." (2375,42).</w:t>
      </w:r>
    </w:p>
    <w:p w14:paraId="112FCB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ACF7EF" w14:textId="77777777" w:rsidR="00C92EF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3B0886F" w14:textId="77777777" w:rsidR="00C92EFC" w:rsidRPr="007122AB" w:rsidRDefault="00C92EF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66EC07F" w14:textId="77777777" w:rsidR="00C92EFC" w:rsidRPr="007122AB" w:rsidRDefault="00C92E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сентября 1931 г. польское правительство подписало соглашение с фирмой «Виккерс» о приобретении 38 танков </w:t>
      </w:r>
      <w:proofErr w:type="spellStart"/>
      <w:r w:rsidRPr="007122AB">
        <w:rPr>
          <w:rFonts w:ascii="Times New Roman" w:hAnsi="Times New Roman"/>
          <w:color w:val="000000" w:themeColor="text1"/>
          <w:sz w:val="16"/>
          <w:szCs w:val="16"/>
        </w:rPr>
        <w:t>Мк.Е</w:t>
      </w:r>
      <w:proofErr w:type="spellEnd"/>
      <w:r w:rsidRPr="007122AB">
        <w:rPr>
          <w:rFonts w:ascii="Times New Roman" w:hAnsi="Times New Roman"/>
          <w:color w:val="000000" w:themeColor="text1"/>
          <w:sz w:val="16"/>
          <w:szCs w:val="16"/>
        </w:rPr>
        <w:t xml:space="preserve">, а также лицензии на их производство. Весной 1935 г. двухбашенный польский танк 7ТР дошел в серию. Со второй половины 1937 г. начался выпуск танков 7ТР с одной башней и 37-мм пушкой </w:t>
      </w:r>
      <w:proofErr w:type="spellStart"/>
      <w:r w:rsidRPr="007122AB">
        <w:rPr>
          <w:rFonts w:ascii="Times New Roman" w:hAnsi="Times New Roman"/>
          <w:color w:val="000000" w:themeColor="text1"/>
          <w:sz w:val="16"/>
          <w:szCs w:val="16"/>
        </w:rPr>
        <w:t>Бофорс</w:t>
      </w:r>
      <w:proofErr w:type="spellEnd"/>
      <w:r w:rsidRPr="007122AB">
        <w:rPr>
          <w:rFonts w:ascii="Times New Roman" w:hAnsi="Times New Roman"/>
          <w:color w:val="000000" w:themeColor="text1"/>
          <w:sz w:val="16"/>
          <w:szCs w:val="16"/>
        </w:rPr>
        <w:t xml:space="preserve"> (15117).</w:t>
      </w:r>
    </w:p>
    <w:p w14:paraId="11DBAE7E" w14:textId="77777777" w:rsidR="00C92EFC" w:rsidRPr="007122AB" w:rsidRDefault="00C92EFC" w:rsidP="007122AB">
      <w:pPr>
        <w:spacing w:after="0" w:line="240" w:lineRule="auto"/>
        <w:jc w:val="both"/>
        <w:rPr>
          <w:rFonts w:ascii="Times New Roman" w:hAnsi="Times New Roman"/>
          <w:color w:val="000000" w:themeColor="text1"/>
          <w:sz w:val="16"/>
          <w:szCs w:val="16"/>
        </w:rPr>
      </w:pPr>
    </w:p>
    <w:p w14:paraId="33C1D00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D571F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65DB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сентября 1931 дирижабль причалил к Эмпайр Стейт билдинг (3481).</w:t>
      </w:r>
    </w:p>
    <w:p w14:paraId="189440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87D59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818F04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C66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сентября 1931 завод 31 направил в Самолетный сектор ВАО письмо N 2294с:</w:t>
      </w:r>
    </w:p>
    <w:p w14:paraId="48EAD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Вашего письма N 274-п13 от 31 августа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и заказа N 318 от 5 августа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при этом препровождаем фотокарточки на самолеты Р-1, Р-5, вид спереди и сбоку, С-62бис - снятие лодки со стапеля и поплавки Шорт, которые намечаем в производстве в одном экз." (2375,8).</w:t>
      </w:r>
    </w:p>
    <w:p w14:paraId="73673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01F7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сентября 1931 авиаторпеду ВВС 12 приняли на гос. испытания на Балтийском флоте (561,5).</w:t>
      </w:r>
    </w:p>
    <w:p w14:paraId="1885E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A89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17 сентября 1931 на Балтике проходили государственные испытания ВВС-12 - торпеды низкого торпедометания. Комиссия во главе с Л.И. Никифоровым отметила ряд недостатков. Так, смазка механизмов в полете иногда загустевала, потребовали также ввести стопорные вертушки взрывателей, чтобы избежать их случайного срабатывания от рывков и ударов. После повторных испытаний в июле-августе 1932 г. (там же и на Черном море) торпеду ВВС-12 приняли на вооружение как ТАН-12. В ноябре на Балтике успешно закончили испытания ВВС-15, снабженной электроподогревателем. 9.7.1933 эту торпеду тоже приняли на вооружение как TAB-15 (12002).</w:t>
      </w:r>
    </w:p>
    <w:p w14:paraId="55BD2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FA014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С 17 сентября 1931 на БФ проходили государственные испытания авиаторпеды ВВС-12. Комиссия во главе с Л.И. Никифоровым отметила ряд недостатков. Так смазка механизмов в полете иногда загустевала, потребовали так</w:t>
      </w:r>
      <w:r w:rsidRPr="00441F34">
        <w:rPr>
          <w:rFonts w:ascii="Times New Roman" w:hAnsi="Times New Roman"/>
          <w:color w:val="0070C0"/>
          <w:sz w:val="16"/>
          <w:szCs w:val="16"/>
        </w:rPr>
        <w:softHyphen/>
        <w:t>же ввести стопорные вертушки взрывателей, чтобы избежать их случайного срабатыва</w:t>
      </w:r>
      <w:r w:rsidRPr="00441F34">
        <w:rPr>
          <w:rFonts w:ascii="Times New Roman" w:hAnsi="Times New Roman"/>
          <w:color w:val="0070C0"/>
          <w:sz w:val="16"/>
          <w:szCs w:val="16"/>
        </w:rPr>
        <w:softHyphen/>
        <w:t xml:space="preserve">ния от рывков и ударов. После повторных испытаний в июле-августе 1932 г. (там же, на </w:t>
      </w:r>
      <w:proofErr w:type="spellStart"/>
      <w:r w:rsidRPr="00441F34">
        <w:rPr>
          <w:rFonts w:ascii="Times New Roman" w:hAnsi="Times New Roman"/>
          <w:color w:val="0070C0"/>
          <w:sz w:val="16"/>
          <w:szCs w:val="16"/>
        </w:rPr>
        <w:t>Черномморе</w:t>
      </w:r>
      <w:proofErr w:type="spellEnd"/>
      <w:r w:rsidRPr="00441F34">
        <w:rPr>
          <w:rFonts w:ascii="Times New Roman" w:hAnsi="Times New Roman"/>
          <w:color w:val="0070C0"/>
          <w:sz w:val="16"/>
          <w:szCs w:val="16"/>
        </w:rPr>
        <w:t>) торпеду ВВС-12 приняли на вооружение как ТАН-12. В ноябре на Балтике успешно закончили испытания ВВС-15, снабженной электроподогревателем. 9.07.1933 эту торпеду тоже приняли на вооружение как ТАВ-15 (23464).</w:t>
      </w:r>
    </w:p>
    <w:p w14:paraId="0C0F76AE" w14:textId="77777777" w:rsidR="007F1987" w:rsidRPr="00441F34" w:rsidRDefault="007F1987" w:rsidP="007F1987">
      <w:pPr>
        <w:spacing w:after="0" w:line="240" w:lineRule="auto"/>
        <w:jc w:val="both"/>
        <w:rPr>
          <w:rFonts w:ascii="Times New Roman" w:hAnsi="Times New Roman"/>
          <w:color w:val="0070C0"/>
          <w:sz w:val="16"/>
          <w:szCs w:val="16"/>
        </w:rPr>
      </w:pPr>
    </w:p>
    <w:p w14:paraId="55AE06C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047843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A836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сентября 1931 г. </w:t>
      </w:r>
      <w:proofErr w:type="spellStart"/>
      <w:r w:rsidRPr="007122AB">
        <w:rPr>
          <w:rFonts w:ascii="Times New Roman" w:hAnsi="Times New Roman"/>
          <w:color w:val="000000" w:themeColor="text1"/>
          <w:sz w:val="16"/>
          <w:szCs w:val="16"/>
        </w:rPr>
        <w:t>Спецмаштрест</w:t>
      </w:r>
      <w:proofErr w:type="spellEnd"/>
      <w:r w:rsidRPr="007122AB">
        <w:rPr>
          <w:rFonts w:ascii="Times New Roman" w:hAnsi="Times New Roman"/>
          <w:color w:val="000000" w:themeColor="text1"/>
          <w:sz w:val="16"/>
          <w:szCs w:val="16"/>
        </w:rPr>
        <w:t xml:space="preserve"> получил задание на разработку средств механизации артиллерии большой и особой мощности. Предлагалось в срок до 1 мая 1932 г. разра</w:t>
      </w:r>
      <w:r w:rsidRPr="007122AB">
        <w:rPr>
          <w:rFonts w:ascii="Times New Roman" w:hAnsi="Times New Roman"/>
          <w:color w:val="000000" w:themeColor="text1"/>
          <w:sz w:val="16"/>
          <w:szCs w:val="16"/>
        </w:rPr>
        <w:softHyphen/>
        <w:t xml:space="preserve">ботать и представить на согласование </w:t>
      </w:r>
      <w:proofErr w:type="spellStart"/>
      <w:r w:rsidRPr="007122AB">
        <w:rPr>
          <w:rFonts w:ascii="Times New Roman" w:hAnsi="Times New Roman"/>
          <w:color w:val="000000" w:themeColor="text1"/>
          <w:sz w:val="16"/>
          <w:szCs w:val="16"/>
        </w:rPr>
        <w:t>Артуправлению</w:t>
      </w:r>
      <w:proofErr w:type="spellEnd"/>
      <w:r w:rsidRPr="007122AB">
        <w:rPr>
          <w:rFonts w:ascii="Times New Roman" w:hAnsi="Times New Roman"/>
          <w:color w:val="000000" w:themeColor="text1"/>
          <w:sz w:val="16"/>
          <w:szCs w:val="16"/>
        </w:rPr>
        <w:t xml:space="preserve"> «само</w:t>
      </w:r>
      <w:r w:rsidRPr="007122AB">
        <w:rPr>
          <w:rFonts w:ascii="Times New Roman" w:hAnsi="Times New Roman"/>
          <w:color w:val="000000" w:themeColor="text1"/>
          <w:sz w:val="16"/>
          <w:szCs w:val="16"/>
        </w:rPr>
        <w:softHyphen/>
        <w:t>ходный корпусной триплекс», содержащий 107-мм пушку обр. 1909/30 гг., 152-мм гаубицу обр. 1909/30 гг. и 203-мм мор</w:t>
      </w:r>
      <w:r w:rsidRPr="007122AB">
        <w:rPr>
          <w:rFonts w:ascii="Times New Roman" w:hAnsi="Times New Roman"/>
          <w:color w:val="000000" w:themeColor="text1"/>
          <w:sz w:val="16"/>
          <w:szCs w:val="16"/>
        </w:rPr>
        <w:softHyphen/>
        <w:t>тиру обр. 1929 г. (мортира «Ж»), а также «триплекс Тяжелой Артиллерии Особого Назначения (ТАОН)», который должен был состоять из 152-мм пушки большой мощности, 203-мм гаубицы обр. 1929/31 гг. и 305-мм мортиры обр. 1931 г. (11417).</w:t>
      </w:r>
    </w:p>
    <w:p w14:paraId="2A3DDF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F3A8C" w14:textId="77777777" w:rsidR="00C92EFC" w:rsidRPr="007122AB" w:rsidRDefault="00C92E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сентября 1931 г. </w:t>
      </w:r>
      <w:proofErr w:type="spellStart"/>
      <w:r w:rsidRPr="007122AB">
        <w:rPr>
          <w:rFonts w:ascii="Times New Roman" w:hAnsi="Times New Roman"/>
          <w:color w:val="000000" w:themeColor="text1"/>
          <w:sz w:val="16"/>
          <w:szCs w:val="16"/>
        </w:rPr>
        <w:t>Спецмаштресту</w:t>
      </w:r>
      <w:proofErr w:type="spellEnd"/>
      <w:r w:rsidRPr="007122AB">
        <w:rPr>
          <w:rFonts w:ascii="Times New Roman" w:hAnsi="Times New Roman"/>
          <w:color w:val="000000" w:themeColor="text1"/>
          <w:sz w:val="16"/>
          <w:szCs w:val="16"/>
        </w:rPr>
        <w:t xml:space="preserve"> было дано задание разработать средства механизации артиллерии большой и особой мощности. В частности, предлагалось до 1 мая 1932 г. представить </w:t>
      </w:r>
      <w:proofErr w:type="spellStart"/>
      <w:r w:rsidRPr="007122AB">
        <w:rPr>
          <w:rFonts w:ascii="Times New Roman" w:hAnsi="Times New Roman"/>
          <w:color w:val="000000" w:themeColor="text1"/>
          <w:sz w:val="16"/>
          <w:szCs w:val="16"/>
        </w:rPr>
        <w:t>Артуправлению</w:t>
      </w:r>
      <w:proofErr w:type="spellEnd"/>
      <w:r w:rsidRPr="007122AB">
        <w:rPr>
          <w:rFonts w:ascii="Times New Roman" w:hAnsi="Times New Roman"/>
          <w:color w:val="000000" w:themeColor="text1"/>
          <w:sz w:val="16"/>
          <w:szCs w:val="16"/>
        </w:rPr>
        <w:t xml:space="preserve"> проекты шасси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 (15647).</w:t>
      </w:r>
    </w:p>
    <w:p w14:paraId="3765CA14" w14:textId="77777777" w:rsidR="00C92EFC" w:rsidRPr="007122AB" w:rsidRDefault="00C92EFC" w:rsidP="007122AB">
      <w:pPr>
        <w:spacing w:after="0" w:line="240" w:lineRule="auto"/>
        <w:jc w:val="both"/>
        <w:rPr>
          <w:rFonts w:ascii="Times New Roman" w:hAnsi="Times New Roman"/>
          <w:color w:val="000000" w:themeColor="text1"/>
          <w:sz w:val="16"/>
          <w:szCs w:val="16"/>
        </w:rPr>
      </w:pPr>
    </w:p>
    <w:p w14:paraId="5706241A" w14:textId="77777777" w:rsidR="00AE4CBE"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1A3D430" w14:textId="77777777" w:rsidR="00AE4CBE" w:rsidRPr="007122AB" w:rsidRDefault="00AE4CB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0FE7A4" w14:textId="77777777" w:rsidR="00AE4CBE" w:rsidRPr="007122AB" w:rsidRDefault="00AE4CB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17 сентября 1931 г. в </w:t>
      </w:r>
      <w:proofErr w:type="spellStart"/>
      <w:r w:rsidRPr="007122AB">
        <w:rPr>
          <w:rFonts w:ascii="Times New Roman" w:eastAsia="Times New Roman" w:hAnsi="Times New Roman"/>
          <w:color w:val="000000" w:themeColor="text1"/>
          <w:sz w:val="16"/>
          <w:szCs w:val="16"/>
          <w:lang w:eastAsia="ru-RU"/>
        </w:rPr>
        <w:t>пескаху</w:t>
      </w:r>
      <w:proofErr w:type="spellEnd"/>
      <w:r w:rsidRPr="007122AB">
        <w:rPr>
          <w:rFonts w:ascii="Times New Roman" w:eastAsia="Times New Roman" w:hAnsi="Times New Roman"/>
          <w:color w:val="000000" w:themeColor="text1"/>
          <w:sz w:val="16"/>
          <w:szCs w:val="16"/>
          <w:lang w:eastAsia="ru-RU"/>
        </w:rPr>
        <w:t xml:space="preserve"> колодца Дахлы на север от Красноводска произошел </w:t>
      </w:r>
      <w:r w:rsidRPr="007122AB">
        <w:rPr>
          <w:rFonts w:ascii="Times New Roman" w:eastAsia="Times New Roman" w:hAnsi="Times New Roman"/>
          <w:bCs/>
          <w:iCs/>
          <w:color w:val="000000" w:themeColor="text1"/>
          <w:sz w:val="16"/>
          <w:szCs w:val="16"/>
          <w:lang w:eastAsia="ru-RU"/>
        </w:rPr>
        <w:t>самый тяжелый и кровопролитный</w:t>
      </w:r>
      <w:r w:rsidRPr="007122AB">
        <w:rPr>
          <w:rFonts w:ascii="Times New Roman" w:eastAsia="Times New Roman" w:hAnsi="Times New Roman"/>
          <w:color w:val="000000" w:themeColor="text1"/>
          <w:sz w:val="16"/>
          <w:szCs w:val="16"/>
          <w:lang w:eastAsia="ru-RU"/>
        </w:rPr>
        <w:t xml:space="preserve"> 10-часовой бой между </w:t>
      </w:r>
      <w:proofErr w:type="spellStart"/>
      <w:r w:rsidRPr="007122AB">
        <w:rPr>
          <w:rFonts w:ascii="Times New Roman" w:eastAsia="Times New Roman" w:hAnsi="Times New Roman"/>
          <w:color w:val="000000" w:themeColor="text1"/>
          <w:sz w:val="16"/>
          <w:szCs w:val="16"/>
          <w:lang w:eastAsia="ru-RU"/>
        </w:rPr>
        <w:t>Иомудо</w:t>
      </w:r>
      <w:proofErr w:type="spellEnd"/>
      <w:r w:rsidRPr="007122AB">
        <w:rPr>
          <w:rFonts w:ascii="Times New Roman" w:eastAsia="Times New Roman" w:hAnsi="Times New Roman"/>
          <w:color w:val="000000" w:themeColor="text1"/>
          <w:sz w:val="16"/>
          <w:szCs w:val="16"/>
          <w:lang w:eastAsia="ru-RU"/>
        </w:rPr>
        <w:t xml:space="preserve">-казахской басмаческой группой (до 500 сабель) и кавалерийским дивизионом Малышева. Чекисты понесли тяжелые потери, но разбили басмачей. 17 сентября 1931 г. произошел бой с </w:t>
      </w:r>
      <w:proofErr w:type="spellStart"/>
      <w:r w:rsidRPr="007122AB">
        <w:rPr>
          <w:rFonts w:ascii="Times New Roman" w:eastAsia="Times New Roman" w:hAnsi="Times New Roman"/>
          <w:color w:val="000000" w:themeColor="text1"/>
          <w:sz w:val="16"/>
          <w:szCs w:val="16"/>
          <w:lang w:eastAsia="ru-RU"/>
        </w:rPr>
        <w:t>Ташаузским</w:t>
      </w:r>
      <w:proofErr w:type="spellEnd"/>
      <w:r w:rsidRPr="007122AB">
        <w:rPr>
          <w:rFonts w:ascii="Times New Roman" w:eastAsia="Times New Roman" w:hAnsi="Times New Roman"/>
          <w:color w:val="000000" w:themeColor="text1"/>
          <w:sz w:val="16"/>
          <w:szCs w:val="16"/>
          <w:lang w:eastAsia="ru-RU"/>
        </w:rPr>
        <w:t xml:space="preserve"> отрядом басмачей (250 сабель). Басмачи были разбиты, потеряв 90 человек. Это были последние крупные операции против басмачей – к концу 1931 г. их основные силы были разбиты, все стоянки, кишлаки, колодцы перешли под контроль чекистов и красноармейцев (17325).</w:t>
      </w:r>
    </w:p>
    <w:p w14:paraId="6E364CE0" w14:textId="77777777" w:rsidR="00AE4CBE" w:rsidRPr="007122AB" w:rsidRDefault="00AE4CBE" w:rsidP="007122AB">
      <w:pPr>
        <w:spacing w:after="0" w:line="240" w:lineRule="auto"/>
        <w:jc w:val="both"/>
        <w:rPr>
          <w:rFonts w:ascii="Times New Roman" w:hAnsi="Times New Roman"/>
          <w:color w:val="000000" w:themeColor="text1"/>
          <w:sz w:val="16"/>
          <w:szCs w:val="16"/>
        </w:rPr>
      </w:pPr>
    </w:p>
    <w:p w14:paraId="34302676" w14:textId="77777777" w:rsidR="00C92EF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64044B9" w14:textId="77777777" w:rsidR="00C92EFC" w:rsidRPr="007122AB" w:rsidRDefault="00C92EF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994E76" w14:textId="77777777" w:rsidR="00C92EFC" w:rsidRPr="007122AB" w:rsidRDefault="00C92EFC"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17 сентября </w:t>
      </w:r>
      <w:r w:rsidRPr="007122AB">
        <w:rPr>
          <w:rFonts w:ascii="Times New Roman" w:hAnsi="Times New Roman"/>
          <w:color w:val="000000" w:themeColor="text1"/>
          <w:sz w:val="16"/>
          <w:szCs w:val="16"/>
        </w:rPr>
        <w:t>В 1931 году в Нью-Йорке в отеле Савой фирма «RCA-</w:t>
      </w:r>
      <w:proofErr w:type="spellStart"/>
      <w:r w:rsidRPr="007122AB">
        <w:rPr>
          <w:rFonts w:ascii="Times New Roman" w:hAnsi="Times New Roman"/>
          <w:color w:val="000000" w:themeColor="text1"/>
          <w:sz w:val="16"/>
          <w:szCs w:val="16"/>
        </w:rPr>
        <w:t>Victor</w:t>
      </w:r>
      <w:proofErr w:type="spellEnd"/>
      <w:r w:rsidRPr="007122AB">
        <w:rPr>
          <w:rFonts w:ascii="Times New Roman" w:hAnsi="Times New Roman"/>
          <w:color w:val="000000" w:themeColor="text1"/>
          <w:sz w:val="16"/>
          <w:szCs w:val="16"/>
        </w:rPr>
        <w:t>», Нью-Йорк, демонстрирует первую долгоиграющую запись (LP) на 33 1/3 оборота в минуту с 5-й симфонией Бетховена, но предприятие терпит неудачу из-за высокой цены проигрывателей (14772).</w:t>
      </w:r>
    </w:p>
    <w:p w14:paraId="4663FC3A" w14:textId="77777777" w:rsidR="00C92EFC" w:rsidRPr="007122AB" w:rsidRDefault="00C92EFC" w:rsidP="007122AB">
      <w:pPr>
        <w:spacing w:after="0" w:line="240" w:lineRule="auto"/>
        <w:jc w:val="both"/>
        <w:rPr>
          <w:rFonts w:ascii="Times New Roman" w:hAnsi="Times New Roman"/>
          <w:color w:val="000000" w:themeColor="text1"/>
          <w:sz w:val="16"/>
          <w:szCs w:val="16"/>
        </w:rPr>
      </w:pPr>
    </w:p>
    <w:p w14:paraId="04D0247A" w14:textId="77777777" w:rsidR="00702AE9" w:rsidRPr="007122AB" w:rsidRDefault="00702AE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17 — 18 сентября 1931 г. инцидент в Мюнхене: убита-застрелилась Гели </w:t>
      </w:r>
      <w:proofErr w:type="spellStart"/>
      <w:r w:rsidRPr="007122AB">
        <w:rPr>
          <w:rFonts w:ascii="Times New Roman" w:eastAsia="Times New Roman" w:hAnsi="Times New Roman"/>
          <w:color w:val="000000" w:themeColor="text1"/>
          <w:sz w:val="16"/>
          <w:szCs w:val="16"/>
          <w:lang w:eastAsia="ru-RU"/>
        </w:rPr>
        <w:t>Раубаль</w:t>
      </w:r>
      <w:proofErr w:type="spellEnd"/>
      <w:r w:rsidRPr="007122AB">
        <w:rPr>
          <w:rFonts w:ascii="Times New Roman" w:eastAsia="Times New Roman" w:hAnsi="Times New Roman"/>
          <w:color w:val="000000" w:themeColor="text1"/>
          <w:sz w:val="16"/>
          <w:szCs w:val="16"/>
          <w:lang w:eastAsia="ru-RU"/>
        </w:rPr>
        <w:t xml:space="preserve"> – </w:t>
      </w:r>
      <w:r w:rsidRPr="007122AB">
        <w:rPr>
          <w:rFonts w:ascii="Times New Roman" w:eastAsia="Times New Roman" w:hAnsi="Times New Roman"/>
          <w:iCs/>
          <w:color w:val="000000" w:themeColor="text1"/>
          <w:sz w:val="16"/>
          <w:szCs w:val="16"/>
          <w:lang w:eastAsia="ru-RU"/>
        </w:rPr>
        <w:t>любовница Гитлера</w:t>
      </w:r>
      <w:r w:rsidR="00DD5670" w:rsidRPr="007122AB">
        <w:rPr>
          <w:rFonts w:ascii="Times New Roman" w:eastAsia="Times New Roman" w:hAnsi="Times New Roman"/>
          <w:iCs/>
          <w:color w:val="000000" w:themeColor="text1"/>
          <w:sz w:val="16"/>
          <w:szCs w:val="16"/>
          <w:lang w:eastAsia="ru-RU"/>
        </w:rPr>
        <w:t xml:space="preserve"> - </w:t>
      </w:r>
      <w:r w:rsidRPr="007122AB">
        <w:rPr>
          <w:rFonts w:ascii="Times New Roman" w:eastAsia="Times New Roman" w:hAnsi="Times New Roman"/>
          <w:color w:val="000000" w:themeColor="text1"/>
          <w:sz w:val="16"/>
          <w:szCs w:val="16"/>
          <w:lang w:eastAsia="ru-RU"/>
        </w:rPr>
        <w:t xml:space="preserve"> племянница (дочь сводной сестры Гитлера фрау Анджелы </w:t>
      </w:r>
      <w:proofErr w:type="spellStart"/>
      <w:r w:rsidRPr="007122AB">
        <w:rPr>
          <w:rFonts w:ascii="Times New Roman" w:eastAsia="Times New Roman" w:hAnsi="Times New Roman"/>
          <w:color w:val="000000" w:themeColor="text1"/>
          <w:sz w:val="16"/>
          <w:szCs w:val="16"/>
          <w:lang w:eastAsia="ru-RU"/>
        </w:rPr>
        <w:t>Раубаль</w:t>
      </w:r>
      <w:proofErr w:type="spellEnd"/>
      <w:r w:rsidRPr="007122AB">
        <w:rPr>
          <w:rFonts w:ascii="Times New Roman" w:eastAsia="Times New Roman" w:hAnsi="Times New Roman"/>
          <w:color w:val="000000" w:themeColor="text1"/>
          <w:sz w:val="16"/>
          <w:szCs w:val="16"/>
          <w:lang w:eastAsia="ru-RU"/>
        </w:rPr>
        <w:t>) и любовница Адольфа Гитлера.</w:t>
      </w:r>
    </w:p>
    <w:p w14:paraId="401402E9" w14:textId="77777777" w:rsidR="00702AE9" w:rsidRPr="007122AB" w:rsidRDefault="00702AE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bCs/>
          <w:iCs/>
          <w:color w:val="000000" w:themeColor="text1"/>
          <w:sz w:val="16"/>
          <w:szCs w:val="16"/>
          <w:lang w:eastAsia="ru-RU"/>
        </w:rPr>
        <w:t>У.Ширер</w:t>
      </w:r>
      <w:proofErr w:type="spellEnd"/>
      <w:r w:rsidRPr="007122AB">
        <w:rPr>
          <w:rFonts w:ascii="Times New Roman" w:eastAsia="Times New Roman" w:hAnsi="Times New Roman"/>
          <w:bCs/>
          <w:iCs/>
          <w:color w:val="000000" w:themeColor="text1"/>
          <w:sz w:val="16"/>
          <w:szCs w:val="16"/>
          <w:lang w:eastAsia="ru-RU"/>
        </w:rPr>
        <w:t xml:space="preserve"> «Взлет и падение третьего рейха»:</w:t>
      </w:r>
    </w:p>
    <w:p w14:paraId="5AC06D06" w14:textId="77777777" w:rsidR="00702AE9" w:rsidRPr="007122AB" w:rsidRDefault="00702AE9" w:rsidP="007122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«Так или иначе, роман дяди с племянницей был чем-то омрачен, Между  ними происходили яростные перепалки. </w:t>
      </w:r>
      <w:r w:rsidRPr="007122AB">
        <w:rPr>
          <w:rFonts w:ascii="Times New Roman" w:eastAsia="Times New Roman" w:hAnsi="Times New Roman"/>
          <w:color w:val="000000" w:themeColor="text1"/>
          <w:sz w:val="16"/>
          <w:szCs w:val="16"/>
          <w:lang w:eastAsia="ru-RU"/>
        </w:rPr>
        <w:t>17 сентября 1931  года</w:t>
      </w:r>
      <w:r w:rsidRPr="007122AB">
        <w:rPr>
          <w:rFonts w:ascii="Times New Roman" w:eastAsia="Times New Roman" w:hAnsi="Times New Roman"/>
          <w:bCs/>
          <w:color w:val="000000" w:themeColor="text1"/>
          <w:sz w:val="16"/>
          <w:szCs w:val="16"/>
          <w:lang w:eastAsia="ru-RU"/>
        </w:rPr>
        <w:t xml:space="preserve">  Гели  объявила,  что возвращается в Вену,  где продолжит  занятия  пением.  Гитлер  был  против. Разразился скандал, свидетелями которого стали  соседи. Они  слышали,  как Гели, высунувшись из окна мюнхенской квартиры, крикнула Гитлеру, садившемуся в автомобиль (он собрался ехать в Гамбург): "Значит, ты запрещаешь мне ехать в Вену?" "Да!" - ответил он.  На следующее утро Гели </w:t>
      </w:r>
      <w:proofErr w:type="spellStart"/>
      <w:r w:rsidRPr="007122AB">
        <w:rPr>
          <w:rFonts w:ascii="Times New Roman" w:eastAsia="Times New Roman" w:hAnsi="Times New Roman"/>
          <w:bCs/>
          <w:color w:val="000000" w:themeColor="text1"/>
          <w:sz w:val="16"/>
          <w:szCs w:val="16"/>
          <w:lang w:eastAsia="ru-RU"/>
        </w:rPr>
        <w:t>Раубал</w:t>
      </w:r>
      <w:proofErr w:type="spellEnd"/>
      <w:r w:rsidRPr="007122AB">
        <w:rPr>
          <w:rFonts w:ascii="Times New Roman" w:eastAsia="Times New Roman" w:hAnsi="Times New Roman"/>
          <w:bCs/>
          <w:color w:val="000000" w:themeColor="text1"/>
          <w:sz w:val="16"/>
          <w:szCs w:val="16"/>
          <w:lang w:eastAsia="ru-RU"/>
        </w:rPr>
        <w:t xml:space="preserve"> обнаружили в ее комнате с простреленной грудью. Следователь после тщательного  дознания  пришел  к  заключению,  что имело место самоубийство.  Пуля  проникла  в  грудь  ниже  левой  ключицы  и поразила сердце. Следователю представлялось очевидным, что выстрел произвела сама Гели.  И все же на протяжении нескольких лет по  Мюнхену  ходили  слухи, будто убил ее либо сам Гитлер в припадке гнева, либо Гиммлер, пожелавший покончить с ситуацией, вредившей авторитету партии.»</w:t>
      </w:r>
    </w:p>
    <w:p w14:paraId="23236ADB" w14:textId="77777777" w:rsidR="00702AE9" w:rsidRPr="007122AB" w:rsidRDefault="00702AE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Александр Кац «Евреи. Христианство. Россия.»:</w:t>
      </w:r>
    </w:p>
    <w:p w14:paraId="20C707B6" w14:textId="77777777" w:rsidR="00702AE9" w:rsidRPr="007122AB" w:rsidRDefault="00702AE9"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color w:val="000000" w:themeColor="text1"/>
          <w:sz w:val="16"/>
          <w:szCs w:val="16"/>
          <w:lang w:eastAsia="ru-RU"/>
        </w:rPr>
        <w:t xml:space="preserve">Бригитта Гитлер, невестка фюрера, утверждала, что Гели </w:t>
      </w:r>
      <w:proofErr w:type="spellStart"/>
      <w:r w:rsidRPr="007122AB">
        <w:rPr>
          <w:rFonts w:ascii="Times New Roman" w:eastAsia="Times New Roman" w:hAnsi="Times New Roman"/>
          <w:bCs/>
          <w:color w:val="000000" w:themeColor="text1"/>
          <w:sz w:val="16"/>
          <w:szCs w:val="16"/>
          <w:lang w:eastAsia="ru-RU"/>
        </w:rPr>
        <w:t>Раубаль</w:t>
      </w:r>
      <w:proofErr w:type="spellEnd"/>
      <w:r w:rsidRPr="007122AB">
        <w:rPr>
          <w:rFonts w:ascii="Times New Roman" w:eastAsia="Times New Roman" w:hAnsi="Times New Roman"/>
          <w:bCs/>
          <w:color w:val="000000" w:themeColor="text1"/>
          <w:sz w:val="16"/>
          <w:szCs w:val="16"/>
          <w:lang w:eastAsia="ru-RU"/>
        </w:rPr>
        <w:t xml:space="preserve"> была в действительности «беременна от одного молодого еврея, профессора рисунка из Линца, которого она знала с 1928 г. и за которого готовилась выйти замуж…»» (17325).</w:t>
      </w:r>
    </w:p>
    <w:p w14:paraId="0E7F94C8" w14:textId="77777777" w:rsidR="00702AE9" w:rsidRPr="007122AB" w:rsidRDefault="00702AE9" w:rsidP="007122AB">
      <w:pPr>
        <w:spacing w:after="0" w:line="240" w:lineRule="auto"/>
        <w:jc w:val="both"/>
        <w:rPr>
          <w:rFonts w:ascii="Times New Roman" w:hAnsi="Times New Roman"/>
          <w:color w:val="000000" w:themeColor="text1"/>
          <w:sz w:val="16"/>
          <w:szCs w:val="16"/>
        </w:rPr>
      </w:pPr>
    </w:p>
    <w:p w14:paraId="4F7B70F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DA9389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ED3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18 сентября 1931 г. на Балтийском море начались государственные испытания торпе</w:t>
      </w:r>
      <w:r w:rsidRPr="007122AB">
        <w:rPr>
          <w:rFonts w:ascii="Times New Roman" w:hAnsi="Times New Roman"/>
          <w:color w:val="000000" w:themeColor="text1"/>
          <w:sz w:val="16"/>
          <w:szCs w:val="16"/>
        </w:rPr>
        <w:softHyphen/>
        <w:t>ды ВВС-12. К авгус</w:t>
      </w:r>
      <w:r w:rsidRPr="007122AB">
        <w:rPr>
          <w:rFonts w:ascii="Times New Roman" w:hAnsi="Times New Roman"/>
          <w:color w:val="000000" w:themeColor="text1"/>
          <w:sz w:val="16"/>
          <w:szCs w:val="16"/>
        </w:rPr>
        <w:softHyphen/>
        <w:t>ту следующего года сбросили 20 тор</w:t>
      </w:r>
      <w:r w:rsidRPr="007122AB">
        <w:rPr>
          <w:rFonts w:ascii="Times New Roman" w:hAnsi="Times New Roman"/>
          <w:color w:val="000000" w:themeColor="text1"/>
          <w:sz w:val="16"/>
          <w:szCs w:val="16"/>
        </w:rPr>
        <w:softHyphen/>
        <w:t>пед двух типов (на базе 45-12 и 45-15). И опять торпеда ВВС-12 оказа</w:t>
      </w:r>
      <w:r w:rsidRPr="007122AB">
        <w:rPr>
          <w:rFonts w:ascii="Times New Roman" w:hAnsi="Times New Roman"/>
          <w:color w:val="000000" w:themeColor="text1"/>
          <w:sz w:val="16"/>
          <w:szCs w:val="16"/>
        </w:rPr>
        <w:softHyphen/>
        <w:t>лась надежнее, и ее приняли на воо</w:t>
      </w:r>
      <w:r w:rsidRPr="007122AB">
        <w:rPr>
          <w:rFonts w:ascii="Times New Roman" w:hAnsi="Times New Roman"/>
          <w:color w:val="000000" w:themeColor="text1"/>
          <w:sz w:val="16"/>
          <w:szCs w:val="16"/>
        </w:rPr>
        <w:softHyphen/>
        <w:t>ружение ВВС РККА (куда входила и морская авиация) под индексом ТАН-12 (4144).</w:t>
      </w:r>
    </w:p>
    <w:p w14:paraId="7B7E6E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61C99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E7F7C6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BD427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сентября 1931 года коллегия ОГПУ при СНК СССР постановила: «... Фирсову А.О. оставшийся срок изоляции заме</w:t>
      </w:r>
      <w:r w:rsidRPr="007122AB">
        <w:rPr>
          <w:rFonts w:ascii="Times New Roman" w:hAnsi="Times New Roman"/>
          <w:color w:val="000000" w:themeColor="text1"/>
          <w:sz w:val="16"/>
          <w:szCs w:val="16"/>
        </w:rPr>
        <w:softHyphen/>
        <w:t xml:space="preserve">нить высылкой в </w:t>
      </w:r>
      <w:proofErr w:type="spellStart"/>
      <w:r w:rsidRPr="007122AB">
        <w:rPr>
          <w:rFonts w:ascii="Times New Roman" w:hAnsi="Times New Roman"/>
          <w:color w:val="000000" w:themeColor="text1"/>
          <w:sz w:val="16"/>
          <w:szCs w:val="16"/>
        </w:rPr>
        <w:t>г.Харьков</w:t>
      </w:r>
      <w:proofErr w:type="spellEnd"/>
      <w:r w:rsidRPr="007122AB">
        <w:rPr>
          <w:rFonts w:ascii="Times New Roman" w:hAnsi="Times New Roman"/>
          <w:color w:val="000000" w:themeColor="text1"/>
          <w:sz w:val="16"/>
          <w:szCs w:val="16"/>
        </w:rPr>
        <w:t xml:space="preserve"> для работы на ХПЗ», а 18 ноября 1931 г. на</w:t>
      </w:r>
      <w:r w:rsidRPr="007122AB">
        <w:rPr>
          <w:rFonts w:ascii="Times New Roman" w:hAnsi="Times New Roman"/>
          <w:color w:val="000000" w:themeColor="text1"/>
          <w:sz w:val="16"/>
          <w:szCs w:val="16"/>
        </w:rPr>
        <w:softHyphen/>
        <w:t xml:space="preserve">чальником ОЦР (отдела центральной регистрации) ОГПУ Фирсову А.О. было выдано удостоверение для следования к месту высылки в </w:t>
      </w:r>
      <w:proofErr w:type="spellStart"/>
      <w:r w:rsidRPr="007122AB">
        <w:rPr>
          <w:rFonts w:ascii="Times New Roman" w:hAnsi="Times New Roman"/>
          <w:color w:val="000000" w:themeColor="text1"/>
          <w:sz w:val="16"/>
          <w:szCs w:val="16"/>
        </w:rPr>
        <w:t>г.Харьков</w:t>
      </w:r>
      <w:proofErr w:type="spellEnd"/>
      <w:r w:rsidRPr="007122AB">
        <w:rPr>
          <w:rFonts w:ascii="Times New Roman" w:hAnsi="Times New Roman"/>
          <w:color w:val="000000" w:themeColor="text1"/>
          <w:sz w:val="16"/>
          <w:szCs w:val="16"/>
        </w:rPr>
        <w:t>, куда он прибыл в январе 1932 года для работы на ХПЗ в должности инже</w:t>
      </w:r>
      <w:r w:rsidRPr="007122AB">
        <w:rPr>
          <w:rFonts w:ascii="Times New Roman" w:hAnsi="Times New Roman"/>
          <w:color w:val="000000" w:themeColor="text1"/>
          <w:sz w:val="16"/>
          <w:szCs w:val="16"/>
        </w:rPr>
        <w:softHyphen/>
        <w:t>нера-конструктора. А в январе следующего года он на этом заводе возглавил танковое конструкторское бюро. В должности начальника этого КБ Афанасий Осипович проработал до марта 1937 года, т.е. до второго арес</w:t>
      </w:r>
      <w:r w:rsidRPr="007122AB">
        <w:rPr>
          <w:rFonts w:ascii="Times New Roman" w:hAnsi="Times New Roman"/>
          <w:color w:val="000000" w:themeColor="text1"/>
          <w:sz w:val="16"/>
          <w:szCs w:val="16"/>
        </w:rPr>
        <w:softHyphen/>
        <w:t>та (11504).</w:t>
      </w:r>
    </w:p>
    <w:p w14:paraId="24EA0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1060128"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сентября 1931 г. на Балтийском море начались государственные испытания торпеды ВВС-12.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1E6728C9"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769464E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5F019D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1BDC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18 и 24 сентября 1931. Из протокола заседания Политбюро № 62, 1931 г.</w:t>
      </w:r>
    </w:p>
    <w:p w14:paraId="62E5A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использовании освобождаемых бывших вредителей </w:t>
      </w:r>
    </w:p>
    <w:p w14:paraId="1ED6A3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возражать против досрочного освобождения бывших вредителей—инженеров и техников ж. д. транспорта для использования их на ж. д. транспорте по списку, представленному Постышевым и Акуловым, с оставлением наказания условным и применением к освобожденным гласного надзора ГПУ (11652).</w:t>
      </w:r>
    </w:p>
    <w:p w14:paraId="2B4DA4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B73B7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C71F20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5F5C59"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18 сентября 1931 года </w:t>
      </w:r>
      <w:proofErr w:type="spellStart"/>
      <w:r w:rsidRPr="007122AB">
        <w:rPr>
          <w:color w:val="000000" w:themeColor="text1"/>
          <w:sz w:val="16"/>
          <w:szCs w:val="16"/>
        </w:rPr>
        <w:t>Книпкамп</w:t>
      </w:r>
      <w:proofErr w:type="spellEnd"/>
      <w:r w:rsidRPr="007122AB">
        <w:rPr>
          <w:color w:val="000000" w:themeColor="text1"/>
          <w:sz w:val="16"/>
          <w:szCs w:val="16"/>
        </w:rPr>
        <w:t xml:space="preserve"> фактически поставил крест на трёхлетней работе </w:t>
      </w:r>
      <w:proofErr w:type="spellStart"/>
      <w:r w:rsidRPr="007122AB">
        <w:rPr>
          <w:color w:val="000000" w:themeColor="text1"/>
          <w:sz w:val="16"/>
          <w:szCs w:val="16"/>
        </w:rPr>
        <w:t>Krupp</w:t>
      </w:r>
      <w:proofErr w:type="spellEnd"/>
      <w:r w:rsidRPr="007122AB">
        <w:rPr>
          <w:color w:val="000000" w:themeColor="text1"/>
          <w:sz w:val="16"/>
          <w:szCs w:val="16"/>
        </w:rPr>
        <w:t xml:space="preserve"> и других фирм над легким танком. В качестве ориентира при разработке новых танков был выбран тягач </w:t>
      </w:r>
      <w:proofErr w:type="spellStart"/>
      <w:r w:rsidRPr="007122AB">
        <w:rPr>
          <w:color w:val="000000" w:themeColor="text1"/>
          <w:sz w:val="16"/>
          <w:szCs w:val="16"/>
        </w:rPr>
        <w:t>Carden-Loyd</w:t>
      </w:r>
      <w:proofErr w:type="spellEnd"/>
      <w:r w:rsidRPr="007122AB">
        <w:rPr>
          <w:color w:val="000000" w:themeColor="text1"/>
          <w:sz w:val="16"/>
          <w:szCs w:val="16"/>
        </w:rPr>
        <w:t xml:space="preserve">, который производитель совместно с фирмой </w:t>
      </w:r>
      <w:proofErr w:type="spellStart"/>
      <w:r w:rsidRPr="007122AB">
        <w:rPr>
          <w:color w:val="000000" w:themeColor="text1"/>
          <w:sz w:val="16"/>
          <w:szCs w:val="16"/>
        </w:rPr>
        <w:t>Vickers</w:t>
      </w:r>
      <w:proofErr w:type="spellEnd"/>
      <w:r w:rsidRPr="007122AB">
        <w:rPr>
          <w:color w:val="000000" w:themeColor="text1"/>
          <w:sz w:val="16"/>
          <w:szCs w:val="16"/>
        </w:rPr>
        <w:t xml:space="preserve"> продвигал на зарубежные рынки с 1929 года. Машина постоянно модифицировалась, причём она существовала как в виде артиллерийского тягача, так и в качестве машины, имевшей грузовую платформу. Позже детище Джона Кардена и </w:t>
      </w:r>
      <w:proofErr w:type="spellStart"/>
      <w:r w:rsidRPr="007122AB">
        <w:rPr>
          <w:color w:val="000000" w:themeColor="text1"/>
          <w:sz w:val="16"/>
          <w:szCs w:val="16"/>
        </w:rPr>
        <w:t>Вивиана</w:t>
      </w:r>
      <w:proofErr w:type="spellEnd"/>
      <w:r w:rsidRPr="007122AB">
        <w:rPr>
          <w:color w:val="000000" w:themeColor="text1"/>
          <w:sz w:val="16"/>
          <w:szCs w:val="16"/>
        </w:rPr>
        <w:t xml:space="preserve"> </w:t>
      </w:r>
      <w:proofErr w:type="spellStart"/>
      <w:r w:rsidRPr="007122AB">
        <w:rPr>
          <w:color w:val="000000" w:themeColor="text1"/>
          <w:sz w:val="16"/>
          <w:szCs w:val="16"/>
        </w:rPr>
        <w:t>Лойда</w:t>
      </w:r>
      <w:proofErr w:type="spellEnd"/>
      <w:r w:rsidRPr="007122AB">
        <w:rPr>
          <w:color w:val="000000" w:themeColor="text1"/>
          <w:sz w:val="16"/>
          <w:szCs w:val="16"/>
        </w:rPr>
        <w:t xml:space="preserve"> превратилось в лёгкий танк, последнее звено в эволюции которого, Light </w:t>
      </w:r>
      <w:proofErr w:type="spellStart"/>
      <w:r w:rsidRPr="007122AB">
        <w:rPr>
          <w:color w:val="000000" w:themeColor="text1"/>
          <w:sz w:val="16"/>
          <w:szCs w:val="16"/>
        </w:rPr>
        <w:t>Tank</w:t>
      </w:r>
      <w:proofErr w:type="spellEnd"/>
      <w:r w:rsidRPr="007122AB">
        <w:rPr>
          <w:color w:val="000000" w:themeColor="text1"/>
          <w:sz w:val="16"/>
          <w:szCs w:val="16"/>
        </w:rPr>
        <w:t xml:space="preserve"> Mk.VI, составляло основу английских бронетанковых сил на начало Второй мировой войны. Продвижение тягачей на экспорт дорого обошлась англичанам. Английские наработки стали базой для создания немцами своих танков второго поколения, да и итальянские танки тоже базировались на английских конструкциях. В итоге через несколько лет англичанам пришлось воевать с тем, к созданию чего они сами приложили руку (17463).</w:t>
      </w:r>
    </w:p>
    <w:p w14:paraId="77669FC4"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70C0F73"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18 сентября 1931 года была утверждена спецификация на новый </w:t>
      </w:r>
      <w:proofErr w:type="spellStart"/>
      <w:r w:rsidRPr="007122AB">
        <w:rPr>
          <w:color w:val="000000" w:themeColor="text1"/>
          <w:sz w:val="16"/>
          <w:szCs w:val="16"/>
        </w:rPr>
        <w:t>Kleinetraktor</w:t>
      </w:r>
      <w:proofErr w:type="spellEnd"/>
      <w:r w:rsidRPr="007122AB">
        <w:rPr>
          <w:color w:val="000000" w:themeColor="text1"/>
          <w:sz w:val="16"/>
          <w:szCs w:val="16"/>
        </w:rPr>
        <w:t xml:space="preserve">. Инициатором её разработки выступил сам концерн </w:t>
      </w:r>
      <w:proofErr w:type="spellStart"/>
      <w:r w:rsidRPr="007122AB">
        <w:rPr>
          <w:color w:val="000000" w:themeColor="text1"/>
          <w:sz w:val="16"/>
          <w:szCs w:val="16"/>
        </w:rPr>
        <w:t>Krupp</w:t>
      </w:r>
      <w:proofErr w:type="spellEnd"/>
      <w:r w:rsidRPr="007122AB">
        <w:rPr>
          <w:color w:val="000000" w:themeColor="text1"/>
          <w:sz w:val="16"/>
          <w:szCs w:val="16"/>
        </w:rPr>
        <w:t xml:space="preserve">. Согласно новым требованиям, ходовая часть состояла из 4 опорных катков диаметром 500 мм, а пятый каток одновременно выполнял роль ленивца. Подвеска на половинчатых рессорах напоминала подвеску </w:t>
      </w:r>
      <w:proofErr w:type="spellStart"/>
      <w:r w:rsidRPr="007122AB">
        <w:rPr>
          <w:color w:val="000000" w:themeColor="text1"/>
          <w:sz w:val="16"/>
          <w:szCs w:val="16"/>
        </w:rPr>
        <w:t>Carden-Loyd</w:t>
      </w:r>
      <w:proofErr w:type="spellEnd"/>
      <w:r w:rsidRPr="007122AB">
        <w:rPr>
          <w:color w:val="000000" w:themeColor="text1"/>
          <w:sz w:val="16"/>
          <w:szCs w:val="16"/>
        </w:rPr>
        <w:t>, но при этом явно не являлась копией английской конструкции. Позже диаметр опорных катков был увеличен до 530 мм, а длина гусеничной ленты – до 7 метров (по 140 траков в ленте).</w:t>
      </w:r>
    </w:p>
    <w:p w14:paraId="64B98252"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21 декабря с концерном </w:t>
      </w:r>
      <w:proofErr w:type="spellStart"/>
      <w:r w:rsidRPr="007122AB">
        <w:rPr>
          <w:color w:val="000000" w:themeColor="text1"/>
          <w:sz w:val="16"/>
          <w:szCs w:val="16"/>
        </w:rPr>
        <w:t>Krupp</w:t>
      </w:r>
      <w:proofErr w:type="spellEnd"/>
      <w:r w:rsidRPr="007122AB">
        <w:rPr>
          <w:color w:val="000000" w:themeColor="text1"/>
          <w:sz w:val="16"/>
          <w:szCs w:val="16"/>
        </w:rPr>
        <w:t xml:space="preserve"> были заключены контракты на изготовление опытного </w:t>
      </w:r>
      <w:proofErr w:type="spellStart"/>
      <w:r w:rsidRPr="007122AB">
        <w:rPr>
          <w:color w:val="000000" w:themeColor="text1"/>
          <w:sz w:val="16"/>
          <w:szCs w:val="16"/>
        </w:rPr>
        <w:t>Kleinetraktor</w:t>
      </w:r>
      <w:proofErr w:type="spellEnd"/>
      <w:r w:rsidRPr="007122AB">
        <w:rPr>
          <w:color w:val="000000" w:themeColor="text1"/>
          <w:sz w:val="16"/>
          <w:szCs w:val="16"/>
        </w:rPr>
        <w:t xml:space="preserve"> (30 700 марок) и разработку ходовой части (13 000 марок). Позже, в мае 1932 года, сумма, выделенная на постройку машины, выросла до 43 700 марок. Постоянные внесения изменений в конструкцию привели к тому, что в изначальные сроки изготовления машины (к 30 июня 1932 года) исполнитель не вложился. Показ </w:t>
      </w:r>
      <w:proofErr w:type="spellStart"/>
      <w:r w:rsidRPr="007122AB">
        <w:rPr>
          <w:color w:val="000000" w:themeColor="text1"/>
          <w:sz w:val="16"/>
          <w:szCs w:val="16"/>
        </w:rPr>
        <w:t>Kleinetraktor</w:t>
      </w:r>
      <w:proofErr w:type="spellEnd"/>
      <w:r w:rsidRPr="007122AB">
        <w:rPr>
          <w:color w:val="000000" w:themeColor="text1"/>
          <w:sz w:val="16"/>
          <w:szCs w:val="16"/>
        </w:rPr>
        <w:t xml:space="preserve"> с серийным номером 8000 состоялся 29 июля 1932 года.</w:t>
      </w:r>
    </w:p>
    <w:p w14:paraId="3BC971EF"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Внешне машина здорово напоминала уменьшенный в размерах L.S.K. с примесью английских технологий. От большого «горба» над мотором конструкторам удалось </w:t>
      </w:r>
      <w:r w:rsidRPr="007122AB">
        <w:rPr>
          <w:color w:val="000000" w:themeColor="text1"/>
          <w:sz w:val="16"/>
          <w:szCs w:val="16"/>
        </w:rPr>
        <w:lastRenderedPageBreak/>
        <w:t xml:space="preserve">избавиться благодаря использованию оппозитного мотора </w:t>
      </w:r>
      <w:proofErr w:type="spellStart"/>
      <w:r w:rsidRPr="007122AB">
        <w:rPr>
          <w:color w:val="000000" w:themeColor="text1"/>
          <w:sz w:val="16"/>
          <w:szCs w:val="16"/>
        </w:rPr>
        <w:t>Krupp</w:t>
      </w:r>
      <w:proofErr w:type="spellEnd"/>
      <w:r w:rsidRPr="007122AB">
        <w:rPr>
          <w:color w:val="000000" w:themeColor="text1"/>
          <w:sz w:val="16"/>
          <w:szCs w:val="16"/>
        </w:rPr>
        <w:t xml:space="preserve"> M 301, который ставился и на лёгкий армейский грузовик и </w:t>
      </w:r>
      <w:hyperlink r:id="rId173" w:history="1">
        <w:r w:rsidRPr="007122AB">
          <w:rPr>
            <w:rStyle w:val="a5"/>
            <w:rFonts w:eastAsia="Times New Roman"/>
            <w:color w:val="000000" w:themeColor="text1"/>
            <w:sz w:val="16"/>
            <w:szCs w:val="16"/>
          </w:rPr>
          <w:t>артиллерийский тягач</w:t>
        </w:r>
      </w:hyperlink>
      <w:r w:rsidRPr="007122AB">
        <w:rPr>
          <w:color w:val="000000" w:themeColor="text1"/>
          <w:sz w:val="16"/>
          <w:szCs w:val="16"/>
        </w:rPr>
        <w:t xml:space="preserve"> L2 H 43 (он же </w:t>
      </w:r>
      <w:proofErr w:type="spellStart"/>
      <w:r w:rsidRPr="007122AB">
        <w:rPr>
          <w:color w:val="000000" w:themeColor="text1"/>
          <w:sz w:val="16"/>
          <w:szCs w:val="16"/>
        </w:rPr>
        <w:t>Krupp</w:t>
      </w:r>
      <w:proofErr w:type="spellEnd"/>
      <w:r w:rsidRPr="007122AB">
        <w:rPr>
          <w:color w:val="000000" w:themeColor="text1"/>
          <w:sz w:val="16"/>
          <w:szCs w:val="16"/>
        </w:rPr>
        <w:t xml:space="preserve"> </w:t>
      </w:r>
      <w:proofErr w:type="spellStart"/>
      <w:r w:rsidRPr="007122AB">
        <w:rPr>
          <w:color w:val="000000" w:themeColor="text1"/>
          <w:sz w:val="16"/>
          <w:szCs w:val="16"/>
        </w:rPr>
        <w:t>Protze</w:t>
      </w:r>
      <w:proofErr w:type="spellEnd"/>
      <w:r w:rsidRPr="007122AB">
        <w:rPr>
          <w:color w:val="000000" w:themeColor="text1"/>
          <w:sz w:val="16"/>
          <w:szCs w:val="16"/>
        </w:rPr>
        <w:t xml:space="preserv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w:t>
      </w:r>
      <w:proofErr w:type="spellStart"/>
      <w:r w:rsidRPr="007122AB">
        <w:rPr>
          <w:color w:val="000000" w:themeColor="text1"/>
          <w:sz w:val="16"/>
          <w:szCs w:val="16"/>
        </w:rPr>
        <w:t>Kleinetraktor</w:t>
      </w:r>
      <w:proofErr w:type="spellEnd"/>
      <w:r w:rsidRPr="007122AB">
        <w:rPr>
          <w:color w:val="000000" w:themeColor="text1"/>
          <w:sz w:val="16"/>
          <w:szCs w:val="16"/>
        </w:rPr>
        <w:t xml:space="preserve"> смог развить скорость 42 км/ч. На испытаниях в </w:t>
      </w:r>
      <w:proofErr w:type="spellStart"/>
      <w:r w:rsidRPr="007122AB">
        <w:rPr>
          <w:color w:val="000000" w:themeColor="text1"/>
          <w:sz w:val="16"/>
          <w:szCs w:val="16"/>
        </w:rPr>
        <w:t>Вюнсдорфе</w:t>
      </w:r>
      <w:proofErr w:type="spellEnd"/>
      <w:r w:rsidRPr="007122AB">
        <w:rPr>
          <w:color w:val="000000" w:themeColor="text1"/>
          <w:sz w:val="16"/>
          <w:szCs w:val="16"/>
        </w:rPr>
        <w:t xml:space="preserve"> немецкий «трактор» показал полное превосходство над тягачом </w:t>
      </w:r>
      <w:proofErr w:type="spellStart"/>
      <w:r w:rsidRPr="007122AB">
        <w:rPr>
          <w:color w:val="000000" w:themeColor="text1"/>
          <w:sz w:val="16"/>
          <w:szCs w:val="16"/>
        </w:rPr>
        <w:t>Carden-Loyd</w:t>
      </w:r>
      <w:proofErr w:type="spellEnd"/>
      <w:r w:rsidRPr="007122AB">
        <w:rPr>
          <w:color w:val="000000" w:themeColor="text1"/>
          <w:sz w:val="16"/>
          <w:szCs w:val="16"/>
        </w:rPr>
        <w:t xml:space="preserve">. Да, конструкция всё ещё требовала доработок, но по сравнению с </w:t>
      </w:r>
      <w:proofErr w:type="spellStart"/>
      <w:r w:rsidRPr="007122AB">
        <w:rPr>
          <w:color w:val="000000" w:themeColor="text1"/>
          <w:sz w:val="16"/>
          <w:szCs w:val="16"/>
        </w:rPr>
        <w:t>Leichttraktor</w:t>
      </w:r>
      <w:proofErr w:type="spellEnd"/>
      <w:r w:rsidRPr="007122AB">
        <w:rPr>
          <w:color w:val="000000" w:themeColor="text1"/>
          <w:sz w:val="16"/>
          <w:szCs w:val="16"/>
        </w:rPr>
        <w:t xml:space="preserve"> это был однозначный успех.</w:t>
      </w:r>
    </w:p>
    <w:p w14:paraId="3A24B81D"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Первоначально </w:t>
      </w:r>
      <w:proofErr w:type="spellStart"/>
      <w:r w:rsidRPr="007122AB">
        <w:rPr>
          <w:color w:val="000000" w:themeColor="text1"/>
          <w:sz w:val="16"/>
          <w:szCs w:val="16"/>
        </w:rPr>
        <w:t>Kleinetraktor</w:t>
      </w:r>
      <w:proofErr w:type="spellEnd"/>
      <w:r w:rsidRPr="007122AB">
        <w:rPr>
          <w:color w:val="000000" w:themeColor="text1"/>
          <w:sz w:val="16"/>
          <w:szCs w:val="16"/>
        </w:rPr>
        <w:t xml:space="preserve">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w:t>
      </w:r>
      <w:proofErr w:type="spellStart"/>
      <w:r w:rsidRPr="007122AB">
        <w:rPr>
          <w:color w:val="000000" w:themeColor="text1"/>
          <w:sz w:val="16"/>
          <w:szCs w:val="16"/>
        </w:rPr>
        <w:t>Kleinetraktor</w:t>
      </w:r>
      <w:proofErr w:type="spellEnd"/>
      <w:r w:rsidRPr="007122AB">
        <w:rPr>
          <w:color w:val="000000" w:themeColor="text1"/>
          <w:sz w:val="16"/>
          <w:szCs w:val="16"/>
        </w:rPr>
        <w:t xml:space="preserve">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2DB805A8"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BDBE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September 18 1931 Japanese begin conquest of Manchuria (1037).</w:t>
      </w:r>
    </w:p>
    <w:p w14:paraId="154983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4038B2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сентября 1931 японцы вторглись в Манчжурию (2443,406) и мы лишились права пользования КВЖД (1285).</w:t>
      </w:r>
    </w:p>
    <w:p w14:paraId="5A2C66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719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сентября 1931 г., на железнодорожном полотне принадлежавшей Японии Южно-</w:t>
      </w:r>
      <w:proofErr w:type="spellStart"/>
      <w:r w:rsidRPr="007122AB">
        <w:rPr>
          <w:rFonts w:ascii="Times New Roman" w:hAnsi="Times New Roman"/>
          <w:color w:val="000000" w:themeColor="text1"/>
          <w:sz w:val="16"/>
          <w:szCs w:val="16"/>
        </w:rPr>
        <w:t>Манчжурской</w:t>
      </w:r>
      <w:proofErr w:type="spellEnd"/>
      <w:r w:rsidRPr="007122AB">
        <w:rPr>
          <w:rFonts w:ascii="Times New Roman" w:hAnsi="Times New Roman"/>
          <w:color w:val="000000" w:themeColor="text1"/>
          <w:sz w:val="16"/>
          <w:szCs w:val="16"/>
        </w:rPr>
        <w:t xml:space="preserve"> железной дороги (ЮМЖД) в районе местечка </w:t>
      </w:r>
      <w:proofErr w:type="spellStart"/>
      <w:r w:rsidRPr="007122AB">
        <w:rPr>
          <w:rFonts w:ascii="Times New Roman" w:hAnsi="Times New Roman"/>
          <w:color w:val="000000" w:themeColor="text1"/>
          <w:sz w:val="16"/>
          <w:szCs w:val="16"/>
        </w:rPr>
        <w:t>Лютяогоу</w:t>
      </w:r>
      <w:proofErr w:type="spellEnd"/>
      <w:r w:rsidRPr="007122AB">
        <w:rPr>
          <w:rFonts w:ascii="Times New Roman" w:hAnsi="Times New Roman"/>
          <w:color w:val="000000" w:themeColor="text1"/>
          <w:sz w:val="16"/>
          <w:szCs w:val="16"/>
        </w:rPr>
        <w:t xml:space="preserve"> недалеко от </w:t>
      </w:r>
      <w:proofErr w:type="spellStart"/>
      <w:r w:rsidRPr="007122AB">
        <w:rPr>
          <w:rFonts w:ascii="Times New Roman" w:hAnsi="Times New Roman"/>
          <w:color w:val="000000" w:themeColor="text1"/>
          <w:sz w:val="16"/>
          <w:szCs w:val="16"/>
        </w:rPr>
        <w:t>Мукдена</w:t>
      </w:r>
      <w:proofErr w:type="spellEnd"/>
      <w:r w:rsidRPr="007122AB">
        <w:rPr>
          <w:rFonts w:ascii="Times New Roman" w:hAnsi="Times New Roman"/>
          <w:color w:val="000000" w:themeColor="text1"/>
          <w:sz w:val="16"/>
          <w:szCs w:val="16"/>
        </w:rPr>
        <w:t>, произошел взрыв поезда. Этот взрыв, организованный, как выяснилось впоследствии, японскими агентами, был объявлен диверсией китайской военной охраны. Под предлогом обеспечения безопасности движения поездов 18 сентября в зону дороги были введены две роты японских солдат, которые были встречены выстрелами китайской дорожной охраны. Японские солдаты открыли ответный огонь, а затем в ходе продолжавшейся перестрелки напали на казармы китайской полиции и регулярных китайских войск (3871).</w:t>
      </w:r>
    </w:p>
    <w:p w14:paraId="44FEC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81F99F" w14:textId="77777777" w:rsidR="00A30954" w:rsidRPr="007122AB" w:rsidRDefault="00A30954"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18-19 сентября 1931 японские войска приступили к оккупации Маньчжурии. К исходу 1931 г. она была завершена. Действия милитаристской группировки, которые было вынуждено постфактум санкционировать правительство Японии, явились новым и в основном непредвиденным фактором для военного и политического руководства. "...Перед началом авантюры не было заметно никакого особенно большого напряжения по подготовке театра военных действий, по созданию особых запасов снарядов, военных материалов и т. и." (Н. КР-в. "</w:t>
      </w:r>
      <w:proofErr w:type="spellStart"/>
      <w:r w:rsidRPr="007122AB">
        <w:rPr>
          <w:rFonts w:ascii="Times New Roman" w:eastAsia="Times New Roman" w:hAnsi="Times New Roman"/>
          <w:color w:val="000000" w:themeColor="text1"/>
          <w:sz w:val="16"/>
          <w:szCs w:val="16"/>
          <w:lang w:eastAsia="ru-RU"/>
        </w:rPr>
        <w:t>Вползание</w:t>
      </w:r>
      <w:proofErr w:type="spellEnd"/>
      <w:r w:rsidRPr="007122AB">
        <w:rPr>
          <w:rFonts w:ascii="Times New Roman" w:eastAsia="Times New Roman" w:hAnsi="Times New Roman"/>
          <w:color w:val="000000" w:themeColor="text1"/>
          <w:sz w:val="16"/>
          <w:szCs w:val="16"/>
          <w:lang w:eastAsia="ru-RU"/>
        </w:rPr>
        <w:t xml:space="preserve"> в войну" // Война и революция. 1934. Март-апр. С 35.). До маньчжурского кризиса советско-японские отношения отличались, как писал Сталину первый заместитель наркома иностранных дел Крестинский, "отсутствием какой бы то ни было напряженности" (Очерки истории Министерства иностранных дел России.- В 3 т. Т. 2: 1917-2002 гг. / Отв. ред. А. В. Торкунов. М., 2002. С. 210. См. также: </w:t>
      </w:r>
      <w:proofErr w:type="spellStart"/>
      <w:r w:rsidRPr="007122AB">
        <w:rPr>
          <w:rFonts w:ascii="Times New Roman" w:eastAsia="Times New Roman" w:hAnsi="Times New Roman"/>
          <w:color w:val="000000" w:themeColor="text1"/>
          <w:sz w:val="16"/>
          <w:szCs w:val="16"/>
          <w:lang w:eastAsia="ru-RU"/>
        </w:rPr>
        <w:t>Молодяков</w:t>
      </w:r>
      <w:proofErr w:type="spellEnd"/>
      <w:r w:rsidRPr="007122AB">
        <w:rPr>
          <w:rFonts w:ascii="Times New Roman" w:eastAsia="Times New Roman" w:hAnsi="Times New Roman"/>
          <w:color w:val="000000" w:themeColor="text1"/>
          <w:sz w:val="16"/>
          <w:szCs w:val="16"/>
          <w:lang w:eastAsia="ru-RU"/>
        </w:rPr>
        <w:t xml:space="preserve"> В. Э. Несостоявшаяся ось: Берлин - Москва - Токио. М., 2004. С. 85-86. В 1929 г. IV Управление Штаба РККА отмечало "</w:t>
      </w:r>
      <w:proofErr w:type="spellStart"/>
      <w:r w:rsidRPr="007122AB">
        <w:rPr>
          <w:rFonts w:ascii="Times New Roman" w:eastAsia="Times New Roman" w:hAnsi="Times New Roman"/>
          <w:color w:val="000000" w:themeColor="text1"/>
          <w:sz w:val="16"/>
          <w:szCs w:val="16"/>
          <w:lang w:eastAsia="ru-RU"/>
        </w:rPr>
        <w:t>сдержашгую</w:t>
      </w:r>
      <w:proofErr w:type="spellEnd"/>
      <w:r w:rsidRPr="007122AB">
        <w:rPr>
          <w:rFonts w:ascii="Times New Roman" w:eastAsia="Times New Roman" w:hAnsi="Times New Roman"/>
          <w:color w:val="000000" w:themeColor="text1"/>
          <w:sz w:val="16"/>
          <w:szCs w:val="16"/>
          <w:lang w:eastAsia="ru-RU"/>
        </w:rPr>
        <w:t>" позицию Токио в отношении советско-китайского конфликта. В документах отдела международных связей (фактически - разведки) Коминтерна до 1931 г. Япония не упоминалась среди вероятных противников СССР (</w:t>
      </w:r>
      <w:r w:rsidRPr="007122AB">
        <w:rPr>
          <w:rFonts w:ascii="Times New Roman" w:eastAsia="Times New Roman" w:hAnsi="Times New Roman"/>
          <w:color w:val="000000" w:themeColor="text1"/>
          <w:sz w:val="16"/>
          <w:szCs w:val="16"/>
          <w:lang w:val="en-US" w:eastAsia="ru-RU"/>
        </w:rPr>
        <w:t>POZNIAKOV</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V</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Enemy</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at</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Gates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Soviet</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Military</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Intelligence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Interwar</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Period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and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its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Forecasts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of</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Future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War</w:t>
      </w:r>
      <w:r w:rsidRPr="007122AB">
        <w:rPr>
          <w:rFonts w:ascii="Times New Roman" w:eastAsia="Times New Roman" w:hAnsi="Times New Roman"/>
          <w:color w:val="000000" w:themeColor="text1"/>
          <w:sz w:val="16"/>
          <w:szCs w:val="16"/>
          <w:lang w:eastAsia="ru-RU"/>
        </w:rPr>
        <w:t>, 1921-1941 //</w:t>
      </w:r>
      <w:r w:rsidRPr="007122AB">
        <w:rPr>
          <w:rFonts w:ascii="Times New Roman" w:eastAsia="Times New Roman" w:hAnsi="Times New Roman"/>
          <w:color w:val="000000" w:themeColor="text1"/>
          <w:sz w:val="16"/>
          <w:szCs w:val="16"/>
          <w:lang w:val="en-US" w:eastAsia="ru-RU"/>
        </w:rPr>
        <w:t>Russia</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Age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of</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Wars</w:t>
      </w:r>
      <w:r w:rsidRPr="007122AB">
        <w:rPr>
          <w:rFonts w:ascii="Times New Roman" w:eastAsia="Times New Roman" w:hAnsi="Times New Roman"/>
          <w:color w:val="000000" w:themeColor="text1"/>
          <w:sz w:val="16"/>
          <w:szCs w:val="16"/>
          <w:lang w:eastAsia="ru-RU"/>
        </w:rPr>
        <w:t xml:space="preserve">, 1914-1945 / </w:t>
      </w:r>
      <w:r w:rsidRPr="007122AB">
        <w:rPr>
          <w:rFonts w:ascii="Times New Roman" w:eastAsia="Times New Roman" w:hAnsi="Times New Roman"/>
          <w:color w:val="000000" w:themeColor="text1"/>
          <w:sz w:val="16"/>
          <w:szCs w:val="16"/>
          <w:lang w:val="en-US" w:eastAsia="ru-RU"/>
        </w:rPr>
        <w:t>Ed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by</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Silvio</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Pons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and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Andrea</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Romano</w:t>
      </w:r>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Milan</w:t>
      </w:r>
      <w:proofErr w:type="spellEnd"/>
      <w:r w:rsidRPr="007122AB">
        <w:rPr>
          <w:rFonts w:ascii="Times New Roman" w:eastAsia="Times New Roman" w:hAnsi="Times New Roman"/>
          <w:color w:val="000000" w:themeColor="text1"/>
          <w:sz w:val="16"/>
          <w:szCs w:val="16"/>
          <w:lang w:eastAsia="ru-RU"/>
        </w:rPr>
        <w:t>, 2000. P. 221).) (22725).</w:t>
      </w:r>
    </w:p>
    <w:p w14:paraId="53522692" w14:textId="77777777" w:rsidR="00A30954" w:rsidRPr="007122AB" w:rsidRDefault="00A30954" w:rsidP="007122AB">
      <w:pPr>
        <w:spacing w:after="0" w:line="240" w:lineRule="auto"/>
        <w:jc w:val="both"/>
        <w:rPr>
          <w:rFonts w:ascii="Times New Roman" w:hAnsi="Times New Roman"/>
          <w:color w:val="000000" w:themeColor="text1"/>
          <w:sz w:val="16"/>
          <w:szCs w:val="16"/>
        </w:rPr>
      </w:pPr>
    </w:p>
    <w:p w14:paraId="7C611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сентября 1931 японская армия при поддержке авиации начала наступление на </w:t>
      </w:r>
      <w:proofErr w:type="spellStart"/>
      <w:r w:rsidRPr="007122AB">
        <w:rPr>
          <w:rFonts w:ascii="Times New Roman" w:hAnsi="Times New Roman"/>
          <w:color w:val="000000" w:themeColor="text1"/>
          <w:sz w:val="16"/>
          <w:szCs w:val="16"/>
        </w:rPr>
        <w:t>Мукден</w:t>
      </w:r>
      <w:proofErr w:type="spellEnd"/>
      <w:r w:rsidRPr="007122AB">
        <w:rPr>
          <w:rFonts w:ascii="Times New Roman" w:hAnsi="Times New Roman"/>
          <w:color w:val="000000" w:themeColor="text1"/>
          <w:sz w:val="16"/>
          <w:szCs w:val="16"/>
        </w:rPr>
        <w:t xml:space="preserve"> и установила </w:t>
      </w:r>
      <w:proofErr w:type="spellStart"/>
      <w:r w:rsidRPr="007122AB">
        <w:rPr>
          <w:rFonts w:ascii="Times New Roman" w:hAnsi="Times New Roman"/>
          <w:color w:val="000000" w:themeColor="text1"/>
          <w:sz w:val="16"/>
          <w:szCs w:val="16"/>
        </w:rPr>
        <w:t>Манчжоу</w:t>
      </w:r>
      <w:proofErr w:type="spellEnd"/>
      <w:r w:rsidRPr="007122AB">
        <w:rPr>
          <w:rFonts w:ascii="Times New Roman" w:hAnsi="Times New Roman"/>
          <w:color w:val="000000" w:themeColor="text1"/>
          <w:sz w:val="16"/>
          <w:szCs w:val="16"/>
        </w:rPr>
        <w:t>-го (3481).</w:t>
      </w:r>
    </w:p>
    <w:p w14:paraId="34137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B9E7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сентября 1931 года, когда японские войска вторглись в Маньчжурию. Уже 1 марта следующего года там было провозглашено марионеточное «государство» Маньчжоу-Го (11703).</w:t>
      </w:r>
    </w:p>
    <w:p w14:paraId="78F424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3B32C2"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18 сентября </w:t>
      </w:r>
      <w:r w:rsidRPr="007122AB">
        <w:rPr>
          <w:rFonts w:ascii="Times New Roman" w:hAnsi="Times New Roman"/>
          <w:color w:val="000000" w:themeColor="text1"/>
          <w:sz w:val="16"/>
          <w:szCs w:val="16"/>
        </w:rPr>
        <w:t>в 1931 году начались агрессивные действия японских милитаристов в северо-восточном Китае, завершившиеся захватом Маньчжурии и образованием марионеточного государства Маньчжоу-Го. Был создан плацдарм для агрессии против СССР, МНР и остальной части Китая, на Дальнем Востоке возник очаг мировой войны. В августе 1945 г. советские войска освободили Маньчжурию от японской оккупации (14773).</w:t>
      </w:r>
    </w:p>
    <w:p w14:paraId="7F170F45"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32B1BF41" w14:textId="77777777" w:rsidR="00B44E92" w:rsidRPr="007122AB" w:rsidRDefault="00B44E9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18 сентября 1931 г. используя «</w:t>
      </w:r>
      <w:r w:rsidRPr="007122AB">
        <w:rPr>
          <w:rFonts w:ascii="Times New Roman" w:eastAsia="Times New Roman" w:hAnsi="Times New Roman"/>
          <w:bCs/>
          <w:iCs/>
          <w:color w:val="000000" w:themeColor="text1"/>
          <w:sz w:val="16"/>
          <w:szCs w:val="16"/>
          <w:lang w:eastAsia="ru-RU"/>
        </w:rPr>
        <w:t xml:space="preserve">инцидент у </w:t>
      </w:r>
      <w:proofErr w:type="spellStart"/>
      <w:r w:rsidRPr="007122AB">
        <w:rPr>
          <w:rFonts w:ascii="Times New Roman" w:eastAsia="Times New Roman" w:hAnsi="Times New Roman"/>
          <w:bCs/>
          <w:iCs/>
          <w:color w:val="000000" w:themeColor="text1"/>
          <w:sz w:val="16"/>
          <w:szCs w:val="16"/>
          <w:lang w:eastAsia="ru-RU"/>
        </w:rPr>
        <w:t>Лютяогоу</w:t>
      </w:r>
      <w:proofErr w:type="spellEnd"/>
      <w:r w:rsidRPr="007122AB">
        <w:rPr>
          <w:rFonts w:ascii="Times New Roman" w:eastAsia="Times New Roman" w:hAnsi="Times New Roman"/>
          <w:color w:val="000000" w:themeColor="text1"/>
          <w:sz w:val="16"/>
          <w:szCs w:val="16"/>
          <w:lang w:eastAsia="ru-RU"/>
        </w:rPr>
        <w:t xml:space="preserve">» — взрыв на железной дороге у </w:t>
      </w:r>
      <w:proofErr w:type="spellStart"/>
      <w:r w:rsidRPr="007122AB">
        <w:rPr>
          <w:rFonts w:ascii="Times New Roman" w:eastAsia="Times New Roman" w:hAnsi="Times New Roman"/>
          <w:color w:val="000000" w:themeColor="text1"/>
          <w:sz w:val="16"/>
          <w:szCs w:val="16"/>
          <w:lang w:eastAsia="ru-RU"/>
        </w:rPr>
        <w:t>Мукдена</w:t>
      </w:r>
      <w:proofErr w:type="spellEnd"/>
      <w:r w:rsidRPr="007122AB">
        <w:rPr>
          <w:rFonts w:ascii="Times New Roman" w:eastAsia="Times New Roman" w:hAnsi="Times New Roman"/>
          <w:color w:val="000000" w:themeColor="text1"/>
          <w:sz w:val="16"/>
          <w:szCs w:val="16"/>
          <w:lang w:eastAsia="ru-RU"/>
        </w:rPr>
        <w:t xml:space="preserve"> и обстрел японских солдат как повод для войны, японская армия с целью обеспечения безопасности начала вторжение в Китай. 19 сентября японцы заняли </w:t>
      </w:r>
      <w:proofErr w:type="spellStart"/>
      <w:r w:rsidRPr="007122AB">
        <w:rPr>
          <w:rFonts w:ascii="Times New Roman" w:eastAsia="Times New Roman" w:hAnsi="Times New Roman"/>
          <w:color w:val="000000" w:themeColor="text1"/>
          <w:sz w:val="16"/>
          <w:szCs w:val="16"/>
          <w:lang w:eastAsia="ru-RU"/>
        </w:rPr>
        <w:t>Мукден</w:t>
      </w:r>
      <w:proofErr w:type="spellEnd"/>
      <w:r w:rsidRPr="007122AB">
        <w:rPr>
          <w:rFonts w:ascii="Times New Roman" w:eastAsia="Times New Roman" w:hAnsi="Times New Roman"/>
          <w:color w:val="000000" w:themeColor="text1"/>
          <w:sz w:val="16"/>
          <w:szCs w:val="16"/>
          <w:lang w:eastAsia="ru-RU"/>
        </w:rPr>
        <w:t xml:space="preserve">, и за 3 месяца оккупировала Маньчжурию. 18 февраля 1932 г. (см.) в Маньчжурии было создано «марионеточное» государство Маньчжоу-Го. Новое государство возглавил император </w:t>
      </w:r>
      <w:proofErr w:type="spellStart"/>
      <w:r w:rsidRPr="007122AB">
        <w:rPr>
          <w:rFonts w:ascii="Times New Roman" w:eastAsia="Times New Roman" w:hAnsi="Times New Roman"/>
          <w:color w:val="000000" w:themeColor="text1"/>
          <w:sz w:val="16"/>
          <w:szCs w:val="16"/>
          <w:lang w:eastAsia="ru-RU"/>
        </w:rPr>
        <w:t>Пу</w:t>
      </w:r>
      <w:proofErr w:type="spellEnd"/>
      <w:r w:rsidRPr="007122AB">
        <w:rPr>
          <w:rFonts w:ascii="Times New Roman" w:eastAsia="Times New Roman" w:hAnsi="Times New Roman"/>
          <w:color w:val="000000" w:themeColor="text1"/>
          <w:sz w:val="16"/>
          <w:szCs w:val="16"/>
          <w:lang w:eastAsia="ru-RU"/>
        </w:rPr>
        <w:t xml:space="preserve"> И (см. 17 октября 1967 г.).</w:t>
      </w:r>
    </w:p>
    <w:p w14:paraId="6802FDBF" w14:textId="77777777" w:rsidR="00B44E92" w:rsidRPr="007122AB" w:rsidRDefault="00B44E9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 xml:space="preserve">«История Китая», под ред. </w:t>
      </w:r>
      <w:proofErr w:type="spellStart"/>
      <w:r w:rsidRPr="007122AB">
        <w:rPr>
          <w:rFonts w:ascii="Times New Roman" w:eastAsia="Times New Roman" w:hAnsi="Times New Roman"/>
          <w:bCs/>
          <w:iCs/>
          <w:color w:val="000000" w:themeColor="text1"/>
          <w:sz w:val="16"/>
          <w:szCs w:val="16"/>
          <w:lang w:eastAsia="ru-RU"/>
        </w:rPr>
        <w:t>Л.Симоновская</w:t>
      </w:r>
      <w:proofErr w:type="spellEnd"/>
      <w:r w:rsidRPr="007122AB">
        <w:rPr>
          <w:rFonts w:ascii="Times New Roman" w:eastAsia="Times New Roman" w:hAnsi="Times New Roman"/>
          <w:bCs/>
          <w:iCs/>
          <w:color w:val="000000" w:themeColor="text1"/>
          <w:sz w:val="16"/>
          <w:szCs w:val="16"/>
          <w:lang w:eastAsia="ru-RU"/>
        </w:rPr>
        <w:t xml:space="preserve">, </w:t>
      </w:r>
      <w:proofErr w:type="spellStart"/>
      <w:r w:rsidRPr="007122AB">
        <w:rPr>
          <w:rFonts w:ascii="Times New Roman" w:eastAsia="Times New Roman" w:hAnsi="Times New Roman"/>
          <w:bCs/>
          <w:iCs/>
          <w:color w:val="000000" w:themeColor="text1"/>
          <w:sz w:val="16"/>
          <w:szCs w:val="16"/>
          <w:lang w:eastAsia="ru-RU"/>
        </w:rPr>
        <w:t>Н.Юрьев</w:t>
      </w:r>
      <w:proofErr w:type="spellEnd"/>
      <w:r w:rsidRPr="007122AB">
        <w:rPr>
          <w:rFonts w:ascii="Times New Roman" w:eastAsia="Times New Roman" w:hAnsi="Times New Roman"/>
          <w:bCs/>
          <w:iCs/>
          <w:color w:val="000000" w:themeColor="text1"/>
          <w:sz w:val="16"/>
          <w:szCs w:val="16"/>
          <w:lang w:eastAsia="ru-RU"/>
        </w:rPr>
        <w:t>, М., «Наука», 1974:</w:t>
      </w:r>
    </w:p>
    <w:p w14:paraId="55CD801F" w14:textId="77777777" w:rsidR="00B44E92" w:rsidRPr="007122AB" w:rsidRDefault="00B44E9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18 сентября 1931 г.</w:t>
      </w:r>
      <w:r w:rsidRPr="007122AB">
        <w:rPr>
          <w:rFonts w:ascii="Times New Roman" w:eastAsia="Times New Roman" w:hAnsi="Times New Roman"/>
          <w:bCs/>
          <w:color w:val="000000" w:themeColor="text1"/>
          <w:sz w:val="16"/>
          <w:szCs w:val="16"/>
          <w:lang w:eastAsia="ru-RU"/>
        </w:rPr>
        <w:t xml:space="preserve"> Квантунская армия захватила Шэньян и начала оккупацию основных городов и районов Северо-Восточного Китая. </w:t>
      </w:r>
      <w:proofErr w:type="spellStart"/>
      <w:r w:rsidRPr="007122AB">
        <w:rPr>
          <w:rFonts w:ascii="Times New Roman" w:eastAsia="Times New Roman" w:hAnsi="Times New Roman"/>
          <w:bCs/>
          <w:color w:val="000000" w:themeColor="text1"/>
          <w:sz w:val="16"/>
          <w:szCs w:val="16"/>
          <w:lang w:eastAsia="ru-RU"/>
        </w:rPr>
        <w:t>Нанкинское</w:t>
      </w:r>
      <w:proofErr w:type="spellEnd"/>
      <w:r w:rsidRPr="007122AB">
        <w:rPr>
          <w:rFonts w:ascii="Times New Roman" w:eastAsia="Times New Roman" w:hAnsi="Times New Roman"/>
          <w:bCs/>
          <w:color w:val="000000" w:themeColor="text1"/>
          <w:sz w:val="16"/>
          <w:szCs w:val="16"/>
          <w:lang w:eastAsia="ru-RU"/>
        </w:rPr>
        <w:t xml:space="preserve"> правительство не решилось оказать сопротивление агрессору. Войскам Чжан </w:t>
      </w:r>
      <w:proofErr w:type="spellStart"/>
      <w:r w:rsidRPr="007122AB">
        <w:rPr>
          <w:rFonts w:ascii="Times New Roman" w:eastAsia="Times New Roman" w:hAnsi="Times New Roman"/>
          <w:bCs/>
          <w:color w:val="000000" w:themeColor="text1"/>
          <w:sz w:val="16"/>
          <w:szCs w:val="16"/>
          <w:lang w:eastAsia="ru-RU"/>
        </w:rPr>
        <w:t>Сюэ</w:t>
      </w:r>
      <w:proofErr w:type="spellEnd"/>
      <w:r w:rsidRPr="007122AB">
        <w:rPr>
          <w:rFonts w:ascii="Times New Roman" w:eastAsia="Times New Roman" w:hAnsi="Times New Roman"/>
          <w:bCs/>
          <w:color w:val="000000" w:themeColor="text1"/>
          <w:sz w:val="16"/>
          <w:szCs w:val="16"/>
          <w:lang w:eastAsia="ru-RU"/>
        </w:rPr>
        <w:t>-ляна было приказано без боя отойти в Северный Китай. Чан Кай-ши обратился за помощью к Лиге Наций. Советский Союз сразу же осудил агрессивные акции японских империалистов. Но правящие круги Англии, Франции и США, определявшие позицию Лиги Наций, рассчитывая, что захваченный японцами Северо-восток Китая станет плацдармом для нападения Японии на Советский Союз, не приняли действенных мер. Созданная Лигой Наций комиссия Литтона «для изучения маньчжурского вопроса» лишь через год, к сентябрю 1932 г., расценила действия Японии как агрессию и предложила вывести из Маньчжурии японские войска. В то же время комиссия предложила признать «особые права» Японии в этом районе Китая (17325).</w:t>
      </w:r>
    </w:p>
    <w:p w14:paraId="47B90924" w14:textId="77777777" w:rsidR="00B44E92" w:rsidRPr="007122AB" w:rsidRDefault="00B44E92" w:rsidP="007122AB">
      <w:pPr>
        <w:spacing w:after="0" w:line="240" w:lineRule="auto"/>
        <w:jc w:val="both"/>
        <w:rPr>
          <w:rFonts w:ascii="Times New Roman" w:hAnsi="Times New Roman"/>
          <w:color w:val="000000" w:themeColor="text1"/>
          <w:sz w:val="16"/>
          <w:szCs w:val="16"/>
        </w:rPr>
      </w:pPr>
    </w:p>
    <w:p w14:paraId="20A088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сентября 1931 при загадочных обстоятельствах застрелилась племянница и любовница Гитлера Гели </w:t>
      </w:r>
      <w:proofErr w:type="spellStart"/>
      <w:r w:rsidRPr="007122AB">
        <w:rPr>
          <w:rFonts w:ascii="Times New Roman" w:hAnsi="Times New Roman"/>
          <w:color w:val="000000" w:themeColor="text1"/>
          <w:sz w:val="16"/>
          <w:szCs w:val="16"/>
        </w:rPr>
        <w:t>Раубаль</w:t>
      </w:r>
      <w:proofErr w:type="spellEnd"/>
      <w:r w:rsidRPr="007122AB">
        <w:rPr>
          <w:rFonts w:ascii="Times New Roman" w:hAnsi="Times New Roman"/>
          <w:color w:val="000000" w:themeColor="text1"/>
          <w:sz w:val="16"/>
          <w:szCs w:val="16"/>
        </w:rPr>
        <w:t xml:space="preserve"> (4962).</w:t>
      </w:r>
    </w:p>
    <w:p w14:paraId="49AC77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768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сентября 1931 самоубийством покончила племянница и возлюбленная А.Г. Гели </w:t>
      </w:r>
      <w:proofErr w:type="spellStart"/>
      <w:r w:rsidRPr="007122AB">
        <w:rPr>
          <w:rFonts w:ascii="Times New Roman" w:hAnsi="Times New Roman"/>
          <w:color w:val="000000" w:themeColor="text1"/>
          <w:sz w:val="16"/>
          <w:szCs w:val="16"/>
        </w:rPr>
        <w:t>Раубаль</w:t>
      </w:r>
      <w:proofErr w:type="spellEnd"/>
      <w:r w:rsidRPr="007122AB">
        <w:rPr>
          <w:rFonts w:ascii="Times New Roman" w:hAnsi="Times New Roman"/>
          <w:color w:val="000000" w:themeColor="text1"/>
          <w:sz w:val="16"/>
          <w:szCs w:val="16"/>
        </w:rPr>
        <w:t xml:space="preserve"> (3240).</w:t>
      </w:r>
    </w:p>
    <w:p w14:paraId="7570C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2A3D9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98A86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53E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сентября 1931 стартовали испытания высокой торпеды 10/15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В июне 1931 после войсковых и сдаточных испытаний комиссия, назначенная нач. УВВС </w:t>
      </w:r>
      <w:proofErr w:type="spellStart"/>
      <w:r w:rsidRPr="007122AB">
        <w:rPr>
          <w:rFonts w:ascii="Times New Roman" w:hAnsi="Times New Roman"/>
          <w:color w:val="000000" w:themeColor="text1"/>
          <w:sz w:val="16"/>
          <w:szCs w:val="16"/>
        </w:rPr>
        <w:t>Я.Алкснис</w:t>
      </w:r>
      <w:proofErr w:type="spellEnd"/>
      <w:r w:rsidRPr="007122AB">
        <w:rPr>
          <w:rFonts w:ascii="Times New Roman" w:hAnsi="Times New Roman"/>
          <w:color w:val="000000" w:themeColor="text1"/>
          <w:sz w:val="16"/>
          <w:szCs w:val="16"/>
        </w:rPr>
        <w:t xml:space="preserve"> во главе с нач. Воздушных сил ЧМ </w:t>
      </w:r>
      <w:proofErr w:type="spellStart"/>
      <w:r w:rsidRPr="007122AB">
        <w:rPr>
          <w:rFonts w:ascii="Times New Roman" w:hAnsi="Times New Roman"/>
          <w:color w:val="000000" w:themeColor="text1"/>
          <w:sz w:val="16"/>
          <w:szCs w:val="16"/>
        </w:rPr>
        <w:t>В.К.Лавровым</w:t>
      </w:r>
      <w:proofErr w:type="spellEnd"/>
      <w:r w:rsidRPr="007122AB">
        <w:rPr>
          <w:rFonts w:ascii="Times New Roman" w:hAnsi="Times New Roman"/>
          <w:color w:val="000000" w:themeColor="text1"/>
          <w:sz w:val="16"/>
          <w:szCs w:val="16"/>
        </w:rPr>
        <w:t xml:space="preserve"> на первом заседании обсудила результаты проведенных сбросов высоких торпед 10/15 и указала на выявленные дефекты и дала 2 месяца на их устранение.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должно было подготовить пять комплектов и на войсковых испытаниях хотели проверить возможность сброса до высоты 800 м. По разным причинам испытания не удалось начать ни в июле, ни в августе. Испытания начали с имитации атаки ТБ-1 на л Парижская Коммуна, торпеду сбросили с 2000 м и она прошла мимо от цели. Следующее испытание было в октябре 1931 (1966,10).</w:t>
      </w:r>
    </w:p>
    <w:p w14:paraId="28DE3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F4F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сентября 1931 фактически начались войсковые испытания торпеды ВВС-15. Проводил их временно сформированный отряд 9-й авиабригады, которым командовал летчик Морозов. Состоял отряд из двух ТБ-1. Испытания проходили в Крыму, в районе Севастополя с марта 1931.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w:t>
      </w:r>
    </w:p>
    <w:p w14:paraId="017248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84241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40E83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28AAD2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3C4AD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w:t>
      </w:r>
      <w:r w:rsidRPr="007122AB">
        <w:rPr>
          <w:rFonts w:ascii="Times New Roman" w:hAnsi="Times New Roman"/>
          <w:color w:val="000000" w:themeColor="text1"/>
          <w:sz w:val="16"/>
          <w:szCs w:val="16"/>
        </w:rPr>
        <w:lastRenderedPageBreak/>
        <w:t>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EC83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01E85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49BBC5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Поскольку в боевых условиях парашютная система безвозвратно терялась, то, как и у </w:t>
      </w:r>
      <w:proofErr w:type="spellStart"/>
      <w:r w:rsidRPr="007122AB">
        <w:rPr>
          <w:rFonts w:ascii="Times New Roman" w:hAnsi="Times New Roman"/>
          <w:color w:val="000000" w:themeColor="text1"/>
          <w:sz w:val="16"/>
          <w:szCs w:val="16"/>
        </w:rPr>
        <w:t>ВОМИЗы</w:t>
      </w:r>
      <w:proofErr w:type="spellEnd"/>
      <w:r w:rsidRPr="007122AB">
        <w:rPr>
          <w:rFonts w:ascii="Times New Roman" w:hAnsi="Times New Roman"/>
          <w:color w:val="000000" w:themeColor="text1"/>
          <w:sz w:val="16"/>
          <w:szCs w:val="16"/>
        </w:rPr>
        <w:t>,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438DD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9B69AB" w14:textId="250951BE"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237EF0A9" w14:textId="77777777"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7E34A6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19 сентября 1931 г. после завершения проектирования дизеля Д-300,, Е.Л. Зелинский повторно поднял вопрос о поиске производственной базы для изготовления опытного образца этого двигателя. В письме № 348, адресованном начальнику </w:t>
      </w:r>
      <w:proofErr w:type="spellStart"/>
      <w:r w:rsidRPr="00441F34">
        <w:rPr>
          <w:rFonts w:ascii="Times New Roman" w:hAnsi="Times New Roman"/>
          <w:color w:val="0070C0"/>
          <w:sz w:val="16"/>
          <w:szCs w:val="16"/>
        </w:rPr>
        <w:t>Оружобьединения</w:t>
      </w:r>
      <w:proofErr w:type="spellEnd"/>
      <w:r w:rsidRPr="00441F34">
        <w:rPr>
          <w:rFonts w:ascii="Times New Roman" w:hAnsi="Times New Roman"/>
          <w:color w:val="0070C0"/>
          <w:sz w:val="16"/>
          <w:szCs w:val="16"/>
        </w:rPr>
        <w:t xml:space="preserve"> Д.Ф. </w:t>
      </w:r>
      <w:proofErr w:type="spellStart"/>
      <w:r w:rsidRPr="00441F34">
        <w:rPr>
          <w:rFonts w:ascii="Times New Roman" w:hAnsi="Times New Roman"/>
          <w:color w:val="0070C0"/>
          <w:sz w:val="16"/>
          <w:szCs w:val="16"/>
        </w:rPr>
        <w:t>Будняку</w:t>
      </w:r>
      <w:proofErr w:type="spellEnd"/>
      <w:r w:rsidRPr="00441F34">
        <w:rPr>
          <w:rFonts w:ascii="Times New Roman" w:hAnsi="Times New Roman"/>
          <w:color w:val="0070C0"/>
          <w:sz w:val="16"/>
          <w:szCs w:val="16"/>
        </w:rPr>
        <w:t xml:space="preserve">, а также заместителю председателя ВСНХ СССР И.П. </w:t>
      </w:r>
      <w:proofErr w:type="spellStart"/>
      <w:r w:rsidRPr="00441F34">
        <w:rPr>
          <w:rFonts w:ascii="Times New Roman" w:hAnsi="Times New Roman"/>
          <w:color w:val="0070C0"/>
          <w:sz w:val="16"/>
          <w:szCs w:val="16"/>
        </w:rPr>
        <w:t>Павлуновскому</w:t>
      </w:r>
      <w:proofErr w:type="spellEnd"/>
      <w:r w:rsidRPr="00441F34">
        <w:rPr>
          <w:rFonts w:ascii="Times New Roman" w:hAnsi="Times New Roman"/>
          <w:color w:val="0070C0"/>
          <w:sz w:val="16"/>
          <w:szCs w:val="16"/>
        </w:rPr>
        <w:t xml:space="preserve"> Е.Л. Зелинский просил рассмотреть возможность срочной постройки опытного образца дизеля Д-300 на ленинградском заводе «Большевик», находившимся в то время в ведении </w:t>
      </w:r>
      <w:proofErr w:type="spellStart"/>
      <w:r w:rsidRPr="00441F34">
        <w:rPr>
          <w:rFonts w:ascii="Times New Roman" w:hAnsi="Times New Roman"/>
          <w:color w:val="0070C0"/>
          <w:sz w:val="16"/>
          <w:szCs w:val="16"/>
        </w:rPr>
        <w:t>Оружобъединения</w:t>
      </w:r>
      <w:proofErr w:type="spellEnd"/>
      <w:r w:rsidRPr="00441F34">
        <w:rPr>
          <w:rFonts w:ascii="Times New Roman" w:hAnsi="Times New Roman"/>
          <w:color w:val="0070C0"/>
          <w:sz w:val="16"/>
          <w:szCs w:val="16"/>
        </w:rPr>
        <w:t xml:space="preserve">. Однако из-за большой загруженности завода «Большевик» различными военными заказами и из-за отсутствия собственных производственных мощностей у НАТИ оперативно решить вопрос об изготовлении опытного образца дизеля Д-300 так и не </w:t>
      </w:r>
      <w:proofErr w:type="spellStart"/>
      <w:r w:rsidRPr="00441F34">
        <w:rPr>
          <w:rFonts w:ascii="Times New Roman" w:hAnsi="Times New Roman"/>
          <w:color w:val="0070C0"/>
          <w:sz w:val="16"/>
          <w:szCs w:val="16"/>
        </w:rPr>
        <w:t>удалос</w:t>
      </w:r>
      <w:proofErr w:type="spellEnd"/>
      <w:r w:rsidRPr="00441F34">
        <w:rPr>
          <w:rFonts w:ascii="Times New Roman" w:hAnsi="Times New Roman"/>
          <w:color w:val="0070C0"/>
          <w:sz w:val="16"/>
          <w:szCs w:val="16"/>
        </w:rPr>
        <w:t xml:space="preserve"> (24856_ь.</w:t>
      </w:r>
    </w:p>
    <w:p w14:paraId="45AB18EE" w14:textId="77777777" w:rsidR="007F1987" w:rsidRPr="00441F34" w:rsidRDefault="007F1987" w:rsidP="007F1987">
      <w:pPr>
        <w:spacing w:after="0" w:line="240" w:lineRule="auto"/>
        <w:jc w:val="both"/>
        <w:rPr>
          <w:rFonts w:ascii="Times New Roman" w:hAnsi="Times New Roman"/>
          <w:color w:val="0070C0"/>
          <w:sz w:val="16"/>
          <w:szCs w:val="16"/>
        </w:rPr>
      </w:pPr>
    </w:p>
    <w:p w14:paraId="4FE83A6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 сентября 1931 г.</w:t>
      </w:r>
    </w:p>
    <w:p w14:paraId="1B164AE1"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РГАЭ Фонд 3429 Опись 16 Дело 187 лист 221 </w:t>
      </w:r>
    </w:p>
    <w:p w14:paraId="41436711" w14:textId="77777777" w:rsidR="007F1987" w:rsidRPr="00441F34" w:rsidRDefault="007F1987" w:rsidP="007F1987">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В.срочно</w:t>
      </w:r>
      <w:proofErr w:type="spellEnd"/>
      <w:r w:rsidRPr="00441F34">
        <w:rPr>
          <w:rFonts w:ascii="Times New Roman" w:hAnsi="Times New Roman"/>
          <w:color w:val="0070C0"/>
          <w:sz w:val="16"/>
          <w:szCs w:val="16"/>
        </w:rPr>
        <w:t xml:space="preserve">. </w:t>
      </w:r>
    </w:p>
    <w:p w14:paraId="51D5BC0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СОВ.СЕКРЕТНО. </w:t>
      </w:r>
    </w:p>
    <w:p w14:paraId="0F9B7C5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19 Сентября 1931 г. </w:t>
      </w:r>
    </w:p>
    <w:p w14:paraId="5AFDCBA1"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348</w:t>
      </w:r>
    </w:p>
    <w:p w14:paraId="5579B7E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 </w:t>
      </w:r>
      <w:proofErr w:type="spellStart"/>
      <w:r w:rsidRPr="00441F34">
        <w:rPr>
          <w:rFonts w:ascii="Times New Roman" w:hAnsi="Times New Roman"/>
          <w:color w:val="0070C0"/>
          <w:sz w:val="16"/>
          <w:szCs w:val="16"/>
        </w:rPr>
        <w:t>Оруж</w:t>
      </w:r>
      <w:proofErr w:type="spellEnd"/>
      <w:r w:rsidRPr="00441F34">
        <w:rPr>
          <w:rFonts w:ascii="Times New Roman" w:hAnsi="Times New Roman"/>
          <w:color w:val="0070C0"/>
          <w:sz w:val="16"/>
          <w:szCs w:val="16"/>
        </w:rPr>
        <w:t xml:space="preserve">-объединения тов. БУДНЯКУ </w:t>
      </w:r>
    </w:p>
    <w:p w14:paraId="3990FFA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Копия: Управляющему ВАТО </w:t>
      </w:r>
    </w:p>
    <w:p w14:paraId="0AAC37E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Зам. Пред. ВСНХ СССР тов. ПАВЛУНОВСКОМУ</w:t>
      </w:r>
    </w:p>
    <w:p w14:paraId="0BE9866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Согласно постановления МПС, Институтом НАТИ разработана конструкция мощного танкового дизеля полу-авиационного типа. Опытный завод НАТИ до настоящего времени не только не оборудован, но еще не закончен даже строительством. Производственной базы для постройки указанного дизеля у НАТИ не имеется, и несмотря на неоднократные сообщения </w:t>
      </w:r>
      <w:proofErr w:type="spellStart"/>
      <w:r w:rsidRPr="00441F34">
        <w:rPr>
          <w:rFonts w:ascii="Times New Roman" w:hAnsi="Times New Roman"/>
          <w:color w:val="0070C0"/>
          <w:sz w:val="16"/>
          <w:szCs w:val="16"/>
        </w:rPr>
        <w:t>МПСу</w:t>
      </w:r>
      <w:proofErr w:type="spellEnd"/>
      <w:r w:rsidRPr="00441F34">
        <w:rPr>
          <w:rFonts w:ascii="Times New Roman" w:hAnsi="Times New Roman"/>
          <w:color w:val="0070C0"/>
          <w:sz w:val="16"/>
          <w:szCs w:val="16"/>
        </w:rPr>
        <w:t xml:space="preserve"> ВСНХ, </w:t>
      </w:r>
      <w:proofErr w:type="spellStart"/>
      <w:r w:rsidRPr="00441F34">
        <w:rPr>
          <w:rFonts w:ascii="Times New Roman" w:hAnsi="Times New Roman"/>
          <w:color w:val="0070C0"/>
          <w:sz w:val="16"/>
          <w:szCs w:val="16"/>
        </w:rPr>
        <w:t>Спецсектору</w:t>
      </w:r>
      <w:proofErr w:type="spellEnd"/>
      <w:r w:rsidRPr="00441F34">
        <w:rPr>
          <w:rFonts w:ascii="Times New Roman" w:hAnsi="Times New Roman"/>
          <w:color w:val="0070C0"/>
          <w:sz w:val="16"/>
          <w:szCs w:val="16"/>
        </w:rPr>
        <w:t xml:space="preserve"> ВАТО и в УММ РККА, вопрос о постройке указанного дизеля с места не сдвигается. Авиационное Объединение на предложение – построить опытную модель указанного дизеля – ответило категорическим отказом. </w:t>
      </w:r>
    </w:p>
    <w:p w14:paraId="18D56C4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случае, если производственная база для данного дизеля Институту не будет предоставлена, Институт будет вынужден почти законченную работу прекратить, тем более, что, в связи с этой работой, на которую брошены лучшие специалисты Института по быстроходным дизелям, Институтом задерживаются актуальнейшие работы по разработке дизель-моторов для моторного завода, Челябинского Тракторного завода, Ярославского завода и завода "АМО". </w:t>
      </w:r>
    </w:p>
    <w:p w14:paraId="4EA7408C"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Настоящим НАТИ просит Вас рассмотреть вопрос о возможности срочной постройки указанного дизель-мотора на заводе "Большевик". НАТИ полагает, что </w:t>
      </w:r>
      <w:proofErr w:type="spellStart"/>
      <w:r w:rsidRPr="00441F34">
        <w:rPr>
          <w:rFonts w:ascii="Times New Roman" w:hAnsi="Times New Roman"/>
          <w:color w:val="0070C0"/>
          <w:sz w:val="16"/>
          <w:szCs w:val="16"/>
        </w:rPr>
        <w:t>Оруж</w:t>
      </w:r>
      <w:proofErr w:type="spellEnd"/>
      <w:r w:rsidRPr="00441F34">
        <w:rPr>
          <w:rFonts w:ascii="Times New Roman" w:hAnsi="Times New Roman"/>
          <w:color w:val="0070C0"/>
          <w:sz w:val="16"/>
          <w:szCs w:val="16"/>
        </w:rPr>
        <w:t xml:space="preserve">-объединение, применительно к его программе производства специальных машин, само непосредственно заинтересовано в получении опытной модели мощного дизеля в 350 сил и с удельным весом около 4 </w:t>
      </w:r>
      <w:proofErr w:type="spellStart"/>
      <w:r w:rsidRPr="00441F34">
        <w:rPr>
          <w:rFonts w:ascii="Times New Roman" w:hAnsi="Times New Roman"/>
          <w:color w:val="0070C0"/>
          <w:sz w:val="16"/>
          <w:szCs w:val="16"/>
        </w:rPr>
        <w:t>кгрм</w:t>
      </w:r>
      <w:proofErr w:type="spellEnd"/>
      <w:r w:rsidRPr="00441F34">
        <w:rPr>
          <w:rFonts w:ascii="Times New Roman" w:hAnsi="Times New Roman"/>
          <w:color w:val="0070C0"/>
          <w:sz w:val="16"/>
          <w:szCs w:val="16"/>
        </w:rPr>
        <w:t xml:space="preserve"> на HP. </w:t>
      </w:r>
    </w:p>
    <w:p w14:paraId="01641E8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 сем препровождаются основные компоновочные чертежи машины. </w:t>
      </w:r>
    </w:p>
    <w:p w14:paraId="78F377C1"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ПРИЛОЖЕНИЕ:</w:t>
      </w:r>
      <w:r>
        <w:rPr>
          <w:rFonts w:ascii="Times New Roman" w:hAnsi="Times New Roman"/>
          <w:color w:val="0070C0"/>
          <w:sz w:val="16"/>
          <w:szCs w:val="16"/>
        </w:rPr>
        <w:t xml:space="preserve"> </w:t>
      </w:r>
      <w:r w:rsidRPr="00441F34">
        <w:rPr>
          <w:rFonts w:ascii="Times New Roman" w:hAnsi="Times New Roman"/>
          <w:color w:val="0070C0"/>
          <w:sz w:val="16"/>
          <w:szCs w:val="16"/>
        </w:rPr>
        <w:t>чертежи.</w:t>
      </w:r>
    </w:p>
    <w:p w14:paraId="2F46241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И.о. Директора НАТИ подпись (Зелинский) (24865).</w:t>
      </w:r>
    </w:p>
    <w:p w14:paraId="30E39133" w14:textId="77777777" w:rsidR="007F1987" w:rsidRPr="00441F34" w:rsidRDefault="007F1987" w:rsidP="007F1987">
      <w:pPr>
        <w:spacing w:after="0" w:line="240" w:lineRule="auto"/>
        <w:jc w:val="both"/>
        <w:rPr>
          <w:rFonts w:ascii="Times New Roman" w:hAnsi="Times New Roman"/>
          <w:color w:val="0070C0"/>
          <w:sz w:val="16"/>
          <w:szCs w:val="16"/>
        </w:rPr>
      </w:pPr>
    </w:p>
    <w:p w14:paraId="34988521" w14:textId="36317C6B"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A3819A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3E0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сентября 1931 был </w:t>
      </w:r>
      <w:proofErr w:type="spellStart"/>
      <w:r w:rsidRPr="007122AB">
        <w:rPr>
          <w:rFonts w:ascii="Times New Roman" w:hAnsi="Times New Roman"/>
          <w:color w:val="000000" w:themeColor="text1"/>
          <w:sz w:val="16"/>
          <w:szCs w:val="16"/>
        </w:rPr>
        <w:t>Манчжурский</w:t>
      </w:r>
      <w:proofErr w:type="spellEnd"/>
      <w:r w:rsidRPr="007122AB">
        <w:rPr>
          <w:rFonts w:ascii="Times New Roman" w:hAnsi="Times New Roman"/>
          <w:color w:val="000000" w:themeColor="text1"/>
          <w:sz w:val="16"/>
          <w:szCs w:val="16"/>
        </w:rPr>
        <w:t xml:space="preserve"> инцидент - провокация японцев на арендованной ими ЮМЖД как повод для захвата Манчжурии к началу 1932 (2438,391).</w:t>
      </w:r>
    </w:p>
    <w:p w14:paraId="27CA5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0243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вечеру 19 сентября 1931 японские силы заняли города </w:t>
      </w:r>
      <w:proofErr w:type="spellStart"/>
      <w:r w:rsidRPr="007122AB">
        <w:rPr>
          <w:rFonts w:ascii="Times New Roman" w:hAnsi="Times New Roman"/>
          <w:color w:val="000000" w:themeColor="text1"/>
          <w:sz w:val="16"/>
          <w:szCs w:val="16"/>
        </w:rPr>
        <w:t>Мукден</w:t>
      </w:r>
      <w:proofErr w:type="spellEnd"/>
      <w:r w:rsidRPr="007122AB">
        <w:rPr>
          <w:rFonts w:ascii="Times New Roman" w:hAnsi="Times New Roman"/>
          <w:color w:val="000000" w:themeColor="text1"/>
          <w:sz w:val="16"/>
          <w:szCs w:val="16"/>
        </w:rPr>
        <w:t xml:space="preserve"> и Чанчунь. Китайские войска стали в беспорядке отступать. Особенностью ситуации было то, что военные действия в Манчжурии были начаты по инициативе самих японских военных - командования Квантунской армией. Японское правительство в Токио не санкционировало действий военных. В период событий в Манчжурии японские войска насчитывали там всего лишь 10 тыс. человек, в то время как численность китайской армии в этом регионе доходила до 300 тыс. Но Чан Кайши заранее отказался от вооруженной борьбы. Он отправил телеграмму маршалу Чжан </w:t>
      </w:r>
      <w:proofErr w:type="spellStart"/>
      <w:r w:rsidRPr="007122AB">
        <w:rPr>
          <w:rFonts w:ascii="Times New Roman" w:hAnsi="Times New Roman"/>
          <w:color w:val="000000" w:themeColor="text1"/>
          <w:sz w:val="16"/>
          <w:szCs w:val="16"/>
        </w:rPr>
        <w:t>Сюэляну</w:t>
      </w:r>
      <w:proofErr w:type="spellEnd"/>
      <w:r w:rsidRPr="007122AB">
        <w:rPr>
          <w:rFonts w:ascii="Times New Roman" w:hAnsi="Times New Roman"/>
          <w:color w:val="000000" w:themeColor="text1"/>
          <w:sz w:val="16"/>
          <w:szCs w:val="16"/>
        </w:rPr>
        <w:t>, в которой охарактеризовал действия японской армии как заурядную провокацию. Во избежание расширения конфликта он предложил воздерживаться от оказания сопротивления японским силам. Учитывая внутреннюю слабость Китая, Чан Кайши считал крупномасштабную войну с Японией гибельной в силу неспособности китайских вооруженных сил противостоять японским на поле боя.</w:t>
      </w:r>
    </w:p>
    <w:p w14:paraId="29D9C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этой же причине правительство Чан Кайши формально не объявляло войну Японии и не разрывало с ней дипломатических отношений. Непосредственных переговоров с японской стороной Чан Кайши тоже избегал, придерживаясь выжидательной тактики и рассчитывая выиграть время для укрепления обороноспособности Китая. Надежды на урегулирование ситуации китайская сторона связывала с посредничеством Лиги Наций и США. Китайское руководство надеялось при этом использовать противоречия между Японией и другими державами (3871).</w:t>
      </w:r>
    </w:p>
    <w:p w14:paraId="23CB5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B76927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EDD98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1E1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сентября 1931 впервые была упомянута ГИРД во главе с Цандером в письме Цандера </w:t>
      </w:r>
      <w:proofErr w:type="spellStart"/>
      <w:r w:rsidRPr="007122AB">
        <w:rPr>
          <w:rFonts w:ascii="Times New Roman" w:hAnsi="Times New Roman"/>
          <w:color w:val="000000" w:themeColor="text1"/>
          <w:sz w:val="16"/>
          <w:szCs w:val="16"/>
        </w:rPr>
        <w:t>К.Э.Циолковскому</w:t>
      </w:r>
      <w:proofErr w:type="spellEnd"/>
      <w:r w:rsidRPr="007122AB">
        <w:rPr>
          <w:rFonts w:ascii="Times New Roman" w:hAnsi="Times New Roman"/>
          <w:color w:val="000000" w:themeColor="text1"/>
          <w:sz w:val="16"/>
          <w:szCs w:val="16"/>
        </w:rPr>
        <w:t xml:space="preserve"> (388,58) и писал, что построит первый советский аэроплан.</w:t>
      </w:r>
    </w:p>
    <w:p w14:paraId="3AAEBC3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77B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сентября 1931 года, когда секретарь группы </w:t>
      </w:r>
      <w:proofErr w:type="spellStart"/>
      <w:r w:rsidRPr="007122AB">
        <w:rPr>
          <w:rFonts w:ascii="Times New Roman" w:hAnsi="Times New Roman"/>
          <w:color w:val="000000" w:themeColor="text1"/>
          <w:sz w:val="16"/>
          <w:szCs w:val="16"/>
        </w:rPr>
        <w:t>Фортиков</w:t>
      </w:r>
      <w:proofErr w:type="spellEnd"/>
      <w:r w:rsidRPr="007122AB">
        <w:rPr>
          <w:rFonts w:ascii="Times New Roman" w:hAnsi="Times New Roman"/>
          <w:color w:val="000000" w:themeColor="text1"/>
          <w:sz w:val="16"/>
          <w:szCs w:val="16"/>
        </w:rPr>
        <w:t xml:space="preserve"> писал о ней в письме к Циолковскому: </w:t>
      </w:r>
    </w:p>
    <w:p w14:paraId="78FBA2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Москве, при бюро воздушной техники при </w:t>
      </w:r>
      <w:proofErr w:type="spellStart"/>
      <w:r w:rsidRPr="007122AB">
        <w:rPr>
          <w:rFonts w:ascii="Times New Roman" w:hAnsi="Times New Roman"/>
          <w:color w:val="000000" w:themeColor="text1"/>
          <w:sz w:val="16"/>
          <w:szCs w:val="16"/>
        </w:rPr>
        <w:t>НИСе</w:t>
      </w:r>
      <w:proofErr w:type="spellEnd"/>
      <w:r w:rsidRPr="007122AB">
        <w:rPr>
          <w:rFonts w:ascii="Times New Roman" w:hAnsi="Times New Roman"/>
          <w:color w:val="000000" w:themeColor="text1"/>
          <w:sz w:val="16"/>
          <w:szCs w:val="16"/>
        </w:rPr>
        <w:t xml:space="preserve"> ЦС Осоавиахима... наконец создана группа по изучению реактивных двигателей и реактивного летания. Я являюсь ответственным секретарем группы, именуемой, кстати, ГИРД" (11143).</w:t>
      </w:r>
    </w:p>
    <w:p w14:paraId="689C40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73B6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сентября 1931 г. общественное бюро изучения реактивного движения, созданное 18 июля 1931, преобразовано в ГИРД, которая называлась вначале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затем- Центральная ГИРД (ЦГИРД). Организаторами ГИРД были С.П. Королев, Ф.А. Цандер, М.К. Тихонравов, Ю.А. Победоносцев. Группа располагалась в подвале дома № 19 по ул. Садово-Черногрязской, вместе с ЦКБ по планерам Осоавиахима, которое возглавлял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 В 1931 г. в ГИРД организовано 4 бригады: № 1 (далее - КБ-7 РНИИ) - разработка жидкостных двигателей для ракетоплана; № 2 - жидкостных баллистических ракет; № 3 - ПВРД, газодинамических испытательных установок; № 4 - ракетопланов и крылатых ракет. В 04.1931 г. было принято решение о создании Опытного ракетного завода ЦГИРД.</w:t>
      </w:r>
    </w:p>
    <w:p w14:paraId="6B3EE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Существовала также Ленинградская группа -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созданная 13.11.1931 г., организаторами которой были Н.А. Рынин</w:t>
      </w:r>
      <w:r w:rsidRPr="007122AB">
        <w:rPr>
          <w:rFonts w:ascii="Times New Roman" w:hAnsi="Times New Roman"/>
          <w:color w:val="000000" w:themeColor="text1"/>
          <w:sz w:val="16"/>
          <w:szCs w:val="16"/>
          <w:vertAlign w:val="superscript"/>
        </w:rPr>
        <w:t>84</w:t>
      </w:r>
      <w:r w:rsidRPr="007122AB">
        <w:rPr>
          <w:rFonts w:ascii="Times New Roman" w:hAnsi="Times New Roman"/>
          <w:color w:val="000000" w:themeColor="text1"/>
          <w:sz w:val="16"/>
          <w:szCs w:val="16"/>
        </w:rPr>
        <w:t xml:space="preserve"> и В.В. Разумов (председатель); располагалась в </w:t>
      </w:r>
      <w:proofErr w:type="spellStart"/>
      <w:r w:rsidRPr="007122AB">
        <w:rPr>
          <w:rFonts w:ascii="Times New Roman" w:hAnsi="Times New Roman"/>
          <w:color w:val="000000" w:themeColor="text1"/>
          <w:sz w:val="16"/>
          <w:szCs w:val="16"/>
        </w:rPr>
        <w:t>Иоанновском</w:t>
      </w:r>
      <w:proofErr w:type="spellEnd"/>
      <w:r w:rsidRPr="007122AB">
        <w:rPr>
          <w:rFonts w:ascii="Times New Roman" w:hAnsi="Times New Roman"/>
          <w:color w:val="000000" w:themeColor="text1"/>
          <w:sz w:val="16"/>
          <w:szCs w:val="16"/>
        </w:rPr>
        <w:t xml:space="preserve"> равелине Петропавловской крепости.</w:t>
      </w:r>
    </w:p>
    <w:p w14:paraId="6723E5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09.1930 г. испытан воздушно-бензиновый ракетный двигатель Цандера ОР-1. 17.08.1933г. запущена первая советская ракета Р-1 («09») с жидкостным двигателем Цандера, 25.11.1933г. запущена ракета ГИРД-Х (11982).</w:t>
      </w:r>
    </w:p>
    <w:p w14:paraId="67337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AFCA4D" w14:textId="77777777" w:rsidR="00420999" w:rsidRPr="007122AB" w:rsidRDefault="004209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сентября 1931 г. ответственный секретарь Группы изучения реактивного движения И.П. </w:t>
      </w:r>
      <w:proofErr w:type="spellStart"/>
      <w:r w:rsidRPr="007122AB">
        <w:rPr>
          <w:rFonts w:ascii="Times New Roman" w:hAnsi="Times New Roman"/>
          <w:color w:val="000000" w:themeColor="text1"/>
          <w:sz w:val="16"/>
          <w:szCs w:val="16"/>
        </w:rPr>
        <w:t>Фортиков</w:t>
      </w:r>
      <w:proofErr w:type="spellEnd"/>
      <w:r w:rsidRPr="007122AB">
        <w:rPr>
          <w:rFonts w:ascii="Times New Roman" w:hAnsi="Times New Roman"/>
          <w:color w:val="000000" w:themeColor="text1"/>
          <w:sz w:val="16"/>
          <w:szCs w:val="16"/>
        </w:rPr>
        <w:t xml:space="preserve"> в письме от уведомляет К.Э. Циолковского о создании ГИРД при Научно-исследовательском секторе (отделе - по другим документам) ЦС ОСОАВИАХИМ.</w:t>
      </w:r>
    </w:p>
    <w:p w14:paraId="24F0D2DA" w14:textId="77777777" w:rsidR="00420999" w:rsidRPr="007122AB" w:rsidRDefault="004209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1930 г. в Московский авиационный институт, где тогда работал Ф.А. Цандер, перевели Авиационный факультет из Ленинграда. Вместе с факультетом переехал в Москву Кружок по изучению реактивного принципа летания и идей К.Э. Циолковского, главным вдохновителем которого был инженер Николай Иванович Ефремов. Он и два его товарища по Кружку - Г.И. Иванов и Ф.А. Федулов - стали помощниками Цандера, а затем и сотрудниками будущей Группы по изучению </w:t>
      </w:r>
      <w:r w:rsidRPr="007122AB">
        <w:rPr>
          <w:rFonts w:ascii="Times New Roman" w:hAnsi="Times New Roman"/>
          <w:color w:val="000000" w:themeColor="text1"/>
          <w:sz w:val="16"/>
          <w:szCs w:val="16"/>
        </w:rPr>
        <w:lastRenderedPageBreak/>
        <w:t>реактивных двигателей (ГИРД). Н.И. Ефремов в своих воспоминаниях относит формирование ГИРД к сентябрю 1931 г., конструктор ракетно-космических систем В.П. Глушко — к осени того же года, Я.К. Голованов к лету 1931 г.'' Нельзя назвать точную дату события, если оно не зафиксировано в официальном юридическом документе (22685).</w:t>
      </w:r>
    </w:p>
    <w:p w14:paraId="45D5B7BB" w14:textId="77777777" w:rsidR="00420999" w:rsidRPr="007122AB" w:rsidRDefault="00420999" w:rsidP="007122AB">
      <w:pPr>
        <w:spacing w:after="0" w:line="240" w:lineRule="auto"/>
        <w:jc w:val="both"/>
        <w:rPr>
          <w:rFonts w:ascii="Times New Roman" w:hAnsi="Times New Roman"/>
          <w:color w:val="000000" w:themeColor="text1"/>
          <w:sz w:val="16"/>
          <w:szCs w:val="16"/>
        </w:rPr>
      </w:pPr>
    </w:p>
    <w:p w14:paraId="687F6BC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 сентября 1931 г. состоялось организационное собрание тех членов московского отделения этого бюро, которые хотели стро</w:t>
      </w:r>
      <w:r w:rsidRPr="00441F34">
        <w:rPr>
          <w:rFonts w:ascii="Times New Roman" w:hAnsi="Times New Roman"/>
          <w:color w:val="0070C0"/>
          <w:sz w:val="16"/>
          <w:szCs w:val="16"/>
        </w:rPr>
        <w:softHyphen/>
        <w:t>ить летательные аппараты с реактивными двигателями — ракето</w:t>
      </w:r>
      <w:r w:rsidRPr="00441F34">
        <w:rPr>
          <w:rFonts w:ascii="Times New Roman" w:hAnsi="Times New Roman"/>
          <w:color w:val="0070C0"/>
          <w:sz w:val="16"/>
          <w:szCs w:val="16"/>
        </w:rPr>
        <w:softHyphen/>
        <w:t>планы и баллистические ракеты.</w:t>
      </w:r>
    </w:p>
    <w:p w14:paraId="7B55D36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Свое объединение они назвали московской Группой изучения реактивного движения, сокращенно — </w:t>
      </w:r>
      <w:proofErr w:type="spellStart"/>
      <w:r w:rsidRPr="00441F34">
        <w:rPr>
          <w:rFonts w:ascii="Times New Roman" w:hAnsi="Times New Roman"/>
          <w:color w:val="0070C0"/>
          <w:sz w:val="16"/>
          <w:szCs w:val="16"/>
        </w:rPr>
        <w:t>МосГИРД</w:t>
      </w:r>
      <w:proofErr w:type="spellEnd"/>
      <w:r w:rsidRPr="00441F34">
        <w:rPr>
          <w:rFonts w:ascii="Times New Roman" w:hAnsi="Times New Roman"/>
          <w:color w:val="0070C0"/>
          <w:sz w:val="16"/>
          <w:szCs w:val="16"/>
        </w:rPr>
        <w:t xml:space="preserve"> при ЦС ОСО- ВИАХИМ.</w:t>
      </w:r>
    </w:p>
    <w:p w14:paraId="269C262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Руководителем группы избрали инженера Фридриха Цан</w:t>
      </w:r>
      <w:r w:rsidRPr="00441F34">
        <w:rPr>
          <w:rFonts w:ascii="Times New Roman" w:hAnsi="Times New Roman"/>
          <w:color w:val="0070C0"/>
          <w:sz w:val="16"/>
          <w:szCs w:val="16"/>
        </w:rPr>
        <w:softHyphen/>
        <w:t>дера, автора двух вариантов проекта ракетопланов для выхода в космос. Они были совершенно фантастическими, но энтузиа</w:t>
      </w:r>
      <w:r w:rsidRPr="00441F34">
        <w:rPr>
          <w:rFonts w:ascii="Times New Roman" w:hAnsi="Times New Roman"/>
          <w:color w:val="0070C0"/>
          <w:sz w:val="16"/>
          <w:szCs w:val="16"/>
        </w:rPr>
        <w:softHyphen/>
        <w:t>стам, мечтавшим о космосе, очень нравились.</w:t>
      </w:r>
    </w:p>
    <w:p w14:paraId="4F6FA8D0"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Члены группы занимались реализацией своих проектов бес</w:t>
      </w:r>
      <w:r w:rsidRPr="00441F34">
        <w:rPr>
          <w:rFonts w:ascii="Times New Roman" w:hAnsi="Times New Roman"/>
          <w:color w:val="0070C0"/>
          <w:sz w:val="16"/>
          <w:szCs w:val="16"/>
        </w:rPr>
        <w:softHyphen/>
        <w:t>платно, по вечерам после основной работы или службы, а так</w:t>
      </w:r>
      <w:r w:rsidRPr="00441F34">
        <w:rPr>
          <w:rFonts w:ascii="Times New Roman" w:hAnsi="Times New Roman"/>
          <w:color w:val="0070C0"/>
          <w:sz w:val="16"/>
          <w:szCs w:val="16"/>
        </w:rPr>
        <w:softHyphen/>
        <w:t>же в выходные и праздничные дни (в СССР тогда существовала пятидневка: каждый пятый день был выходным). Поэтому они шутливо расшифровывали аббревиатуру ГИРД как Группа Инже</w:t>
      </w:r>
      <w:r w:rsidRPr="00441F34">
        <w:rPr>
          <w:rFonts w:ascii="Times New Roman" w:hAnsi="Times New Roman"/>
          <w:color w:val="0070C0"/>
          <w:sz w:val="16"/>
          <w:szCs w:val="16"/>
        </w:rPr>
        <w:softHyphen/>
        <w:t>неров Работающих Даром. Забегая вперед, скажу, что эта шутка оказалась пророческой: слово «даром» имеет и другое значение — «напрасно». Ни одна из разработок ГИРД не нашла практическо</w:t>
      </w:r>
      <w:r w:rsidRPr="00441F34">
        <w:rPr>
          <w:rFonts w:ascii="Times New Roman" w:hAnsi="Times New Roman"/>
          <w:color w:val="0070C0"/>
          <w:sz w:val="16"/>
          <w:szCs w:val="16"/>
        </w:rPr>
        <w:softHyphen/>
        <w:t>го применения (23550).</w:t>
      </w:r>
    </w:p>
    <w:p w14:paraId="09AC11D3" w14:textId="77777777" w:rsidR="007F1987" w:rsidRPr="00441F34" w:rsidRDefault="007F1987" w:rsidP="007F1987">
      <w:pPr>
        <w:spacing w:after="0" w:line="240" w:lineRule="auto"/>
        <w:jc w:val="both"/>
        <w:rPr>
          <w:rFonts w:ascii="Times New Roman" w:hAnsi="Times New Roman"/>
          <w:color w:val="0070C0"/>
          <w:sz w:val="16"/>
          <w:szCs w:val="16"/>
        </w:rPr>
      </w:pPr>
    </w:p>
    <w:p w14:paraId="3C1FAC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63320D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27F7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сентября 1931 УММ РККА выдало ХПЗ заказ N 7090311 согласно которому ХПЗ </w:t>
      </w:r>
      <w:proofErr w:type="spellStart"/>
      <w:r w:rsidRPr="007122AB">
        <w:rPr>
          <w:rFonts w:ascii="Times New Roman" w:hAnsi="Times New Roman"/>
          <w:color w:val="000000" w:themeColor="text1"/>
          <w:sz w:val="16"/>
          <w:szCs w:val="16"/>
        </w:rPr>
        <w:t>д.б</w:t>
      </w:r>
      <w:proofErr w:type="spellEnd"/>
      <w:r w:rsidRPr="007122AB">
        <w:rPr>
          <w:rFonts w:ascii="Times New Roman" w:hAnsi="Times New Roman"/>
          <w:color w:val="000000" w:themeColor="text1"/>
          <w:sz w:val="16"/>
          <w:szCs w:val="16"/>
        </w:rPr>
        <w:t>. к 1 ноября изготовить 6 опытных образцов БТ, но сделали всего три, которые приняли участие в параде 7 ноября в Москве. По КП прошли только два, т.к. у третьего при подходе загорелся двигатель. Два остальных покинули КП с трудом из-за неполадок с КПП (3879,12).</w:t>
      </w:r>
    </w:p>
    <w:p w14:paraId="3F3DA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0DA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сентября 1931 года на Политбюро ЦК ВКП(б) рассматривался вопрос о конструкторских бюро. Было решено оставить их при ОГПУ (11248).</w:t>
      </w:r>
    </w:p>
    <w:p w14:paraId="168279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87AF40"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сентября 1931 г. Протокол ПБ № 63 п.14: О конструкторских бюро (Орджоникидзе, Акулов; ПБ от 30-8-1931, протокол № 59, п.3/12). Приняты решения: а) Оставить конструкторские бюро при ОГПУ. б) Принять согласованное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 ОП (15957).</w:t>
      </w:r>
    </w:p>
    <w:p w14:paraId="3E5AF4CE"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426E5269"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20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63. 14. О конструкторских бюро. (ПБ от 30 августа 1931 г., пр. № 59, п. 3/12). (Орджоникидзе, Акулов). Постановили: б) принять согласованное предложение т. Акулова и Орджоникидзе об освобождении некоторой части инженеров для работы в ВСНХ по списку, согласованному между т. Акуловым и Орджоникидзе. (РГАСПИ. Ф. 17. Оп. 162. Д. 11. Л. 10) (12416).</w:t>
      </w:r>
    </w:p>
    <w:p w14:paraId="1D5C5C3D"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7B4B5EAF"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20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203с об отсрочках призыва в Красную армию в 1931 г. инженеров, техников и мастеров, работающих на предприятиях ВСНХ (ГА РФ. Ф. Р?8418. Оп. 28. Д. 14а. Л. 63) (12415).</w:t>
      </w:r>
    </w:p>
    <w:p w14:paraId="157C4734"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СТО СССР № 201с об образовании комиссии для рассмотрения вопросов, связанных с заключением договоров между ВСНХ и НКВМ (12415).</w:t>
      </w:r>
    </w:p>
    <w:p w14:paraId="5BC45175"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1575DED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5F339D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EFFF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сентября 1931 Великобритания отказалась от золотого обеспечения своей валюты (3481).</w:t>
      </w:r>
    </w:p>
    <w:p w14:paraId="7BB3E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FD22E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031A34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50E7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21-ое сентября 1931 г. из записной книжки Н.Н.П.:</w:t>
      </w:r>
    </w:p>
    <w:p w14:paraId="49CFFE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8,5-12. Обработка результатов </w:t>
      </w:r>
      <w:proofErr w:type="spellStart"/>
      <w:r w:rsidRPr="007122AB">
        <w:rPr>
          <w:rFonts w:ascii="Times New Roman" w:hAnsi="Times New Roman"/>
          <w:color w:val="000000" w:themeColor="text1"/>
          <w:sz w:val="16"/>
          <w:szCs w:val="16"/>
        </w:rPr>
        <w:t>статиспытаний</w:t>
      </w:r>
      <w:proofErr w:type="spellEnd"/>
      <w:r w:rsidRPr="007122AB">
        <w:rPr>
          <w:rFonts w:ascii="Times New Roman" w:hAnsi="Times New Roman"/>
          <w:color w:val="000000" w:themeColor="text1"/>
          <w:sz w:val="16"/>
          <w:szCs w:val="16"/>
        </w:rPr>
        <w:t xml:space="preserve"> лонж. № 12</w:t>
      </w:r>
    </w:p>
    <w:p w14:paraId="4B62DB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12-14,5. Расчет крепежа радиатора сам. № 11</w:t>
      </w:r>
    </w:p>
    <w:p w14:paraId="2A84D7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14,5-15. Обработка результатов </w:t>
      </w:r>
      <w:proofErr w:type="spellStart"/>
      <w:r w:rsidRPr="007122AB">
        <w:rPr>
          <w:rFonts w:ascii="Times New Roman" w:hAnsi="Times New Roman"/>
          <w:color w:val="000000" w:themeColor="text1"/>
          <w:sz w:val="16"/>
          <w:szCs w:val="16"/>
        </w:rPr>
        <w:t>статиспытаний</w:t>
      </w:r>
      <w:proofErr w:type="spellEnd"/>
      <w:r w:rsidRPr="007122AB">
        <w:rPr>
          <w:rFonts w:ascii="Times New Roman" w:hAnsi="Times New Roman"/>
          <w:color w:val="000000" w:themeColor="text1"/>
          <w:sz w:val="16"/>
          <w:szCs w:val="16"/>
        </w:rPr>
        <w:t xml:space="preserve"> лонж. № 12</w:t>
      </w:r>
    </w:p>
    <w:p w14:paraId="45575C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15-17,5. Заседание в ЗАО ЦАГИ (дорога)</w:t>
      </w:r>
    </w:p>
    <w:p w14:paraId="4371D4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17,5-22. Доклад в ЗАО ЦАГИ... (10667).</w:t>
      </w:r>
    </w:p>
    <w:p w14:paraId="00E0E5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A32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сентября 1931 в Штабе Морских Сил Черного моря в Севастополе обсуждали перспективы автожира на флоте. Докладывал </w:t>
      </w:r>
      <w:proofErr w:type="spellStart"/>
      <w:r w:rsidRPr="007122AB">
        <w:rPr>
          <w:rFonts w:ascii="Times New Roman" w:hAnsi="Times New Roman"/>
          <w:color w:val="000000" w:themeColor="text1"/>
          <w:sz w:val="16"/>
          <w:szCs w:val="16"/>
        </w:rPr>
        <w:t>Н.И.Камов</w:t>
      </w:r>
      <w:proofErr w:type="spellEnd"/>
      <w:r w:rsidRPr="007122AB">
        <w:rPr>
          <w:rFonts w:ascii="Times New Roman" w:hAnsi="Times New Roman"/>
          <w:color w:val="000000" w:themeColor="text1"/>
          <w:sz w:val="16"/>
          <w:szCs w:val="16"/>
        </w:rPr>
        <w:t>. Состоялось хорошее обсуждение (79,159).</w:t>
      </w:r>
    </w:p>
    <w:p w14:paraId="3DF33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C4A2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года в Севастополе по инициативе Камова было проведено совещание в штабе Черно</w:t>
      </w:r>
      <w:r w:rsidRPr="007122AB">
        <w:rPr>
          <w:rFonts w:ascii="Times New Roman" w:hAnsi="Times New Roman"/>
          <w:color w:val="000000" w:themeColor="text1"/>
          <w:sz w:val="16"/>
          <w:szCs w:val="16"/>
        </w:rPr>
        <w:softHyphen/>
        <w:t>морского Флота. Камов рассказал об итогах работы над автожирами КАСКР-1 и КАСКР-2 и высказал ряд предложений о дальнейшем разви</w:t>
      </w:r>
      <w:r w:rsidRPr="007122AB">
        <w:rPr>
          <w:rFonts w:ascii="Times New Roman" w:hAnsi="Times New Roman"/>
          <w:color w:val="000000" w:themeColor="text1"/>
          <w:sz w:val="16"/>
          <w:szCs w:val="16"/>
        </w:rPr>
        <w:softHyphen/>
        <w:t>тии винтокрылых аппаратов. Военные специалисты флота восприняли до</w:t>
      </w:r>
      <w:r w:rsidRPr="007122AB">
        <w:rPr>
          <w:rFonts w:ascii="Times New Roman" w:hAnsi="Times New Roman"/>
          <w:color w:val="000000" w:themeColor="text1"/>
          <w:sz w:val="16"/>
          <w:szCs w:val="16"/>
        </w:rPr>
        <w:softHyphen/>
        <w:t>клад с интересом. Было задано много вопросов, прозвучали предложения создать автожир для поиска подводных лодок, несения дозорной службы береговой обороны, десантных операций, обслуживания и корректировки береговых батарей, постановки мин заграждения, несения службы связи в частях, на кораблях и батареях (10224,39).</w:t>
      </w:r>
    </w:p>
    <w:p w14:paraId="538959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278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первый мотор М-34 при</w:t>
      </w:r>
      <w:r w:rsidRPr="007122AB">
        <w:rPr>
          <w:rFonts w:ascii="Times New Roman" w:hAnsi="Times New Roman"/>
          <w:color w:val="000000" w:themeColor="text1"/>
          <w:sz w:val="16"/>
          <w:szCs w:val="16"/>
        </w:rPr>
        <w:softHyphen/>
        <w:t>был из Рыбинска на испытания в ИАМ. После наработки на стенде 38 часов в октябре 1931 г. его выстави</w:t>
      </w:r>
      <w:r w:rsidRPr="007122AB">
        <w:rPr>
          <w:rFonts w:ascii="Times New Roman" w:hAnsi="Times New Roman"/>
          <w:color w:val="000000" w:themeColor="text1"/>
          <w:sz w:val="16"/>
          <w:szCs w:val="16"/>
        </w:rPr>
        <w:softHyphen/>
        <w:t>ли на государственные испытания. К 1 ноября мотор успешно отработал 100 часов, хотя и с некоторыми по</w:t>
      </w:r>
      <w:r w:rsidRPr="007122AB">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7122AB">
        <w:rPr>
          <w:rFonts w:ascii="Times New Roman" w:hAnsi="Times New Roman"/>
          <w:color w:val="000000" w:themeColor="text1"/>
          <w:sz w:val="16"/>
          <w:szCs w:val="16"/>
        </w:rPr>
        <w:softHyphen/>
        <w:t>вить вопрос о внедрении в серий</w:t>
      </w:r>
      <w:r w:rsidRPr="007122AB">
        <w:rPr>
          <w:rFonts w:ascii="Times New Roman" w:hAnsi="Times New Roman"/>
          <w:color w:val="000000" w:themeColor="text1"/>
          <w:sz w:val="16"/>
          <w:szCs w:val="16"/>
        </w:rPr>
        <w:softHyphen/>
        <w:t>ное производство. В документе так</w:t>
      </w:r>
      <w:r w:rsidRPr="007122AB">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7122AB">
        <w:rPr>
          <w:rFonts w:ascii="Times New Roman" w:hAnsi="Times New Roman"/>
          <w:color w:val="000000" w:themeColor="text1"/>
          <w:sz w:val="16"/>
          <w:szCs w:val="16"/>
        </w:rPr>
        <w:softHyphen/>
        <w:t>ленности (ГУАП) поступило распоря</w:t>
      </w:r>
      <w:r w:rsidRPr="007122AB">
        <w:rPr>
          <w:rFonts w:ascii="Times New Roman" w:hAnsi="Times New Roman"/>
          <w:color w:val="000000" w:themeColor="text1"/>
          <w:sz w:val="16"/>
          <w:szCs w:val="16"/>
        </w:rPr>
        <w:softHyphen/>
        <w:t>жение остановиться на сборке двух моторов, сдать все уже готовые де</w:t>
      </w:r>
      <w:r w:rsidRPr="007122AB">
        <w:rPr>
          <w:rFonts w:ascii="Times New Roman" w:hAnsi="Times New Roman"/>
          <w:color w:val="000000" w:themeColor="text1"/>
          <w:sz w:val="16"/>
          <w:szCs w:val="16"/>
        </w:rPr>
        <w:softHyphen/>
        <w:t>тали ИАМ. В мастерских ИАМ к на</w:t>
      </w:r>
      <w:r w:rsidRPr="007122AB">
        <w:rPr>
          <w:rFonts w:ascii="Times New Roman" w:hAnsi="Times New Roman"/>
          <w:color w:val="000000" w:themeColor="text1"/>
          <w:sz w:val="16"/>
          <w:szCs w:val="16"/>
        </w:rPr>
        <w:softHyphen/>
        <w:t>чалу октября 1932 г. сделали пять М-34, из них один - макетный для ЦАГИ (11848).</w:t>
      </w:r>
    </w:p>
    <w:p w14:paraId="2C1C40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48C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первый мотор М-34 прибыл на испытания в ЦИАМ с импортными карбюраторами и магнето. После наработки на стенде 38 ч в ноябре 1931 г. велись государственные испыта</w:t>
      </w:r>
      <w:r w:rsidRPr="007122AB">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7122AB">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7122AB">
        <w:rPr>
          <w:rFonts w:ascii="Times New Roman" w:hAnsi="Times New Roman"/>
          <w:color w:val="000000" w:themeColor="text1"/>
          <w:sz w:val="16"/>
          <w:szCs w:val="16"/>
        </w:rPr>
        <w:softHyphen/>
        <w:t>кратно пытались восстановить вплоть до 1946 г., но этому мешала боль</w:t>
      </w:r>
      <w:r w:rsidRPr="007122AB">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7122AB">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7122AB">
        <w:rPr>
          <w:rFonts w:ascii="Times New Roman" w:hAnsi="Times New Roman"/>
          <w:color w:val="000000" w:themeColor="text1"/>
          <w:sz w:val="16"/>
          <w:szCs w:val="16"/>
        </w:rPr>
        <w:softHyphen/>
        <w:t>катерах.</w:t>
      </w:r>
    </w:p>
    <w:p w14:paraId="3F1A11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6624C24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2B3F2D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w:t>
      </w:r>
    </w:p>
    <w:p w14:paraId="31CE3C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(у всех массовых модификаций);</w:t>
      </w:r>
    </w:p>
    <w:p w14:paraId="4FE508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2080A9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у ранних модификаций 45,82 л, начиная с</w:t>
      </w:r>
    </w:p>
    <w:p w14:paraId="02E893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ФРН — 46,66 л. М-34 выпускался в следующих модификациях:</w:t>
      </w:r>
    </w:p>
    <w:p w14:paraId="2F732E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 первая серийная модификация двигателя, </w:t>
      </w:r>
      <w:proofErr w:type="spellStart"/>
      <w:r w:rsidRPr="007122AB">
        <w:rPr>
          <w:rFonts w:ascii="Times New Roman" w:hAnsi="Times New Roman"/>
          <w:color w:val="000000" w:themeColor="text1"/>
          <w:sz w:val="16"/>
          <w:szCs w:val="16"/>
        </w:rPr>
        <w:t>безредукторная</w:t>
      </w:r>
      <w:proofErr w:type="spellEnd"/>
      <w:r w:rsidRPr="007122AB">
        <w:rPr>
          <w:rFonts w:ascii="Times New Roman" w:hAnsi="Times New Roman"/>
          <w:color w:val="000000" w:themeColor="text1"/>
          <w:sz w:val="16"/>
          <w:szCs w:val="16"/>
        </w:rPr>
        <w:t>, 750/800 л.с., 608 кг. Первые серии комплектовались импортными карбюраторами «Зенит 90Р», далее отечественными К-34. Эта моди</w:t>
      </w:r>
      <w:r w:rsidRPr="007122AB">
        <w:rPr>
          <w:rFonts w:ascii="Times New Roman" w:hAnsi="Times New Roman"/>
          <w:color w:val="000000" w:themeColor="text1"/>
          <w:sz w:val="16"/>
          <w:szCs w:val="16"/>
        </w:rPr>
        <w:softHyphen/>
        <w:t>фикация выпускалась до конца 1939 г.</w:t>
      </w:r>
    </w:p>
    <w:p w14:paraId="70D156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Спаренная установка из двух М-34 с работой на один винт, проект для самолета К-7.</w:t>
      </w:r>
    </w:p>
    <w:p w14:paraId="29F110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 малая серия М-34 с форсированием по оборотам без вне</w:t>
      </w:r>
      <w:r w:rsidRPr="007122AB">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00CE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 редукторный вариант, вес 677 кг, 750/800 л.с. Опытный об</w:t>
      </w:r>
      <w:r w:rsidRPr="007122AB">
        <w:rPr>
          <w:rFonts w:ascii="Times New Roman" w:hAnsi="Times New Roman"/>
          <w:color w:val="000000" w:themeColor="text1"/>
          <w:sz w:val="16"/>
          <w:szCs w:val="16"/>
        </w:rPr>
        <w:softHyphen/>
        <w:t>разец сделали в ноябре 1932 г. Государственные испытания успешно</w:t>
      </w:r>
    </w:p>
    <w:p w14:paraId="2AE10B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167A9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М-34РД (он же М-34РСп), двигатель типа М-34Р специального за</w:t>
      </w:r>
      <w:r w:rsidRPr="007122AB">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7122AB">
        <w:rPr>
          <w:rFonts w:ascii="Times New Roman" w:hAnsi="Times New Roman"/>
          <w:color w:val="000000" w:themeColor="text1"/>
          <w:sz w:val="16"/>
          <w:szCs w:val="16"/>
        </w:rPr>
        <w:softHyphen/>
        <w:t>ляными и водяными насосами, распредвалами, конструкцией хво</w:t>
      </w:r>
      <w:r w:rsidRPr="007122AB">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7122AB">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7122AB">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7122AB">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7122AB">
        <w:rPr>
          <w:rFonts w:ascii="Times New Roman" w:hAnsi="Times New Roman"/>
          <w:color w:val="000000" w:themeColor="text1"/>
          <w:sz w:val="16"/>
          <w:szCs w:val="16"/>
        </w:rPr>
        <w:softHyphen/>
        <w:t>дарств.</w:t>
      </w:r>
    </w:p>
    <w:p w14:paraId="795327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М-34Н,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 xml:space="preserve">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7122AB">
        <w:rPr>
          <w:rFonts w:ascii="Times New Roman" w:hAnsi="Times New Roman"/>
          <w:color w:val="000000" w:themeColor="text1"/>
          <w:sz w:val="16"/>
          <w:szCs w:val="16"/>
        </w:rPr>
        <w:softHyphen/>
        <w:t>рованный П.И. Орловым, А.А. Микулиным и А.Н. Данилевским, ока</w:t>
      </w:r>
      <w:r w:rsidRPr="007122AB">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7122AB">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и «Фарман» о проектировании нового ПЦН для М-34Н. Пытались также приобрести нагнетатели «</w:t>
      </w:r>
      <w:proofErr w:type="spellStart"/>
      <w:r w:rsidRPr="007122AB">
        <w:rPr>
          <w:rFonts w:ascii="Times New Roman" w:hAnsi="Times New Roman"/>
          <w:color w:val="000000" w:themeColor="text1"/>
          <w:sz w:val="16"/>
          <w:szCs w:val="16"/>
        </w:rPr>
        <w:t>Рато</w:t>
      </w:r>
      <w:proofErr w:type="spellEnd"/>
      <w:r w:rsidRPr="007122AB">
        <w:rPr>
          <w:rFonts w:ascii="Times New Roman" w:hAnsi="Times New Roman"/>
          <w:color w:val="000000" w:themeColor="text1"/>
          <w:sz w:val="16"/>
          <w:szCs w:val="16"/>
        </w:rPr>
        <w:t>» (М-34РАТО).</w:t>
      </w:r>
    </w:p>
    <w:p w14:paraId="06286A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 с паротурбинным нагнетателем ПТК; нагнетатель ПТК спро</w:t>
      </w:r>
      <w:r w:rsidRPr="007122AB">
        <w:rPr>
          <w:rFonts w:ascii="Times New Roman" w:hAnsi="Times New Roman"/>
          <w:color w:val="000000" w:themeColor="text1"/>
          <w:sz w:val="16"/>
          <w:szCs w:val="16"/>
        </w:rPr>
        <w:softHyphen/>
        <w:t xml:space="preserve">ектирован в ХАЙ в 1938 г., доводился в Центральном </w:t>
      </w:r>
      <w:proofErr w:type="spellStart"/>
      <w:r w:rsidRPr="007122AB">
        <w:rPr>
          <w:rFonts w:ascii="Times New Roman" w:hAnsi="Times New Roman"/>
          <w:color w:val="000000" w:themeColor="text1"/>
          <w:sz w:val="16"/>
          <w:szCs w:val="16"/>
        </w:rPr>
        <w:t>котлотурбин</w:t>
      </w:r>
      <w:proofErr w:type="spellEnd"/>
      <w:r w:rsidRPr="007122AB">
        <w:rPr>
          <w:rFonts w:ascii="Times New Roman" w:hAnsi="Times New Roman"/>
          <w:color w:val="000000" w:themeColor="text1"/>
          <w:sz w:val="16"/>
          <w:szCs w:val="16"/>
        </w:rPr>
        <w:t>-ном институте с 1939 г., в 1940 г. двигатель проходил стендовые и летные испытания; серийно не выпускался.</w:t>
      </w:r>
    </w:p>
    <w:p w14:paraId="57917A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М-34Н с нагнетателем</w:t>
      </w:r>
    </w:p>
    <w:p w14:paraId="030784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7122AB">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52698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М-34РНА, редукторный с ПЦН, включал все мелкие усовер</w:t>
      </w:r>
      <w:r w:rsidRPr="007122AB">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69BEC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7122AB">
        <w:rPr>
          <w:rFonts w:ascii="Times New Roman" w:hAnsi="Times New Roman"/>
          <w:color w:val="000000" w:themeColor="text1"/>
          <w:sz w:val="16"/>
          <w:szCs w:val="16"/>
        </w:rPr>
        <w:softHyphen/>
        <w:t>танным ПЦН, 750/820 л.с., вес 638 кг.</w:t>
      </w:r>
    </w:p>
    <w:p w14:paraId="16DAC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7122AB">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7122AB">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7122AB">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7122AB">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7122AB">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7122AB">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7122AB">
        <w:rPr>
          <w:rFonts w:ascii="Times New Roman" w:hAnsi="Times New Roman"/>
          <w:color w:val="000000" w:themeColor="text1"/>
          <w:sz w:val="16"/>
          <w:szCs w:val="16"/>
        </w:rPr>
        <w:softHyphen/>
        <w:t xml:space="preserve">шанным охлаждением: гильзы — воздухом, головки — </w:t>
      </w:r>
      <w:proofErr w:type="spellStart"/>
      <w:r w:rsidRPr="007122AB">
        <w:rPr>
          <w:rFonts w:ascii="Times New Roman" w:hAnsi="Times New Roman"/>
          <w:color w:val="000000" w:themeColor="text1"/>
          <w:sz w:val="16"/>
          <w:szCs w:val="16"/>
        </w:rPr>
        <w:t>этиленглико-лем</w:t>
      </w:r>
      <w:proofErr w:type="spellEnd"/>
      <w:r w:rsidRPr="007122AB">
        <w:rPr>
          <w:rFonts w:ascii="Times New Roman" w:hAnsi="Times New Roman"/>
          <w:color w:val="000000" w:themeColor="text1"/>
          <w:sz w:val="16"/>
          <w:szCs w:val="16"/>
        </w:rPr>
        <w:t>. На испытаниях получена мощность 1050 л.с. М-34РСО, проект 1937 г., развитие преды</w:t>
      </w:r>
      <w:r w:rsidRPr="007122AB">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7122AB">
        <w:rPr>
          <w:rFonts w:ascii="Times New Roman" w:hAnsi="Times New Roman"/>
          <w:color w:val="000000" w:themeColor="text1"/>
          <w:sz w:val="16"/>
          <w:szCs w:val="16"/>
        </w:rPr>
        <w:softHyphen/>
        <w:t xml:space="preserve">ска создана С.А. </w:t>
      </w:r>
      <w:proofErr w:type="spellStart"/>
      <w:r w:rsidRPr="007122AB">
        <w:rPr>
          <w:rFonts w:ascii="Times New Roman" w:hAnsi="Times New Roman"/>
          <w:color w:val="000000" w:themeColor="text1"/>
          <w:sz w:val="16"/>
          <w:szCs w:val="16"/>
        </w:rPr>
        <w:t>Косбергом</w:t>
      </w:r>
      <w:proofErr w:type="spellEnd"/>
      <w:r w:rsidRPr="007122AB">
        <w:rPr>
          <w:rFonts w:ascii="Times New Roman" w:hAnsi="Times New Roman"/>
          <w:color w:val="000000" w:themeColor="text1"/>
          <w:sz w:val="16"/>
          <w:szCs w:val="16"/>
        </w:rPr>
        <w:t xml:space="preserve"> и Н.П. Сер-</w:t>
      </w:r>
      <w:proofErr w:type="spellStart"/>
      <w:r w:rsidRPr="007122AB">
        <w:rPr>
          <w:rFonts w:ascii="Times New Roman" w:hAnsi="Times New Roman"/>
          <w:color w:val="000000" w:themeColor="text1"/>
          <w:sz w:val="16"/>
          <w:szCs w:val="16"/>
        </w:rPr>
        <w:t>дюковым</w:t>
      </w:r>
      <w:proofErr w:type="spellEnd"/>
      <w:r w:rsidRPr="007122AB">
        <w:rPr>
          <w:rFonts w:ascii="Times New Roman" w:hAnsi="Times New Roman"/>
          <w:color w:val="000000" w:themeColor="text1"/>
          <w:sz w:val="16"/>
          <w:szCs w:val="16"/>
        </w:rPr>
        <w:t xml:space="preserve">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7122AB">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2F476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 для привода агрегата центрального наддува АЦН-1, сконструи</w:t>
      </w:r>
      <w:r w:rsidRPr="007122AB">
        <w:rPr>
          <w:rFonts w:ascii="Times New Roman" w:hAnsi="Times New Roman"/>
          <w:color w:val="000000" w:themeColor="text1"/>
          <w:sz w:val="16"/>
          <w:szCs w:val="16"/>
        </w:rPr>
        <w:softHyphen/>
        <w:t>рованного под руководством С.А. Трескина в 1935 г. Проходил лет</w:t>
      </w:r>
      <w:r w:rsidRPr="007122AB">
        <w:rPr>
          <w:rFonts w:ascii="Times New Roman" w:hAnsi="Times New Roman"/>
          <w:color w:val="000000" w:themeColor="text1"/>
          <w:sz w:val="16"/>
          <w:szCs w:val="16"/>
        </w:rPr>
        <w:softHyphen/>
        <w:t>ные испытания на ТБ-3.</w:t>
      </w:r>
    </w:p>
    <w:p w14:paraId="577283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7122AB">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7122AB">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5F3773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М-34ФРНУ, проект форсированного до 900 л.с. М-34РН с удлинен</w:t>
      </w:r>
      <w:r w:rsidRPr="007122AB">
        <w:rPr>
          <w:rFonts w:ascii="Times New Roman" w:hAnsi="Times New Roman"/>
          <w:color w:val="000000" w:themeColor="text1"/>
          <w:sz w:val="16"/>
          <w:szCs w:val="16"/>
        </w:rPr>
        <w:softHyphen/>
        <w:t>ным валом, 1933 г.</w:t>
      </w:r>
    </w:p>
    <w:p w14:paraId="6D50B3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М-34ФРНА, массовая серия на базе типа ФРН с четырьмя карбюра</w:t>
      </w:r>
      <w:r w:rsidRPr="007122AB">
        <w:rPr>
          <w:rFonts w:ascii="Times New Roman" w:hAnsi="Times New Roman"/>
          <w:color w:val="000000" w:themeColor="text1"/>
          <w:sz w:val="16"/>
          <w:szCs w:val="16"/>
        </w:rPr>
        <w:softHyphen/>
        <w:t>торами.</w:t>
      </w:r>
    </w:p>
    <w:p w14:paraId="4C14B8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М-34ФРНБ, массовая серия на базе типа ФРН с шестью карбюрато</w:t>
      </w:r>
      <w:r w:rsidRPr="007122AB">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7122AB">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w:t>
      </w:r>
      <w:proofErr w:type="spellStart"/>
      <w:r w:rsidRPr="007122AB">
        <w:rPr>
          <w:rFonts w:ascii="Times New Roman" w:hAnsi="Times New Roman"/>
          <w:color w:val="000000" w:themeColor="text1"/>
          <w:sz w:val="16"/>
          <w:szCs w:val="16"/>
        </w:rPr>
        <w:t>Минк-нера</w:t>
      </w:r>
      <w:proofErr w:type="spellEnd"/>
      <w:r w:rsidRPr="007122AB">
        <w:rPr>
          <w:rFonts w:ascii="Times New Roman" w:hAnsi="Times New Roman"/>
          <w:color w:val="000000" w:themeColor="text1"/>
          <w:sz w:val="16"/>
          <w:szCs w:val="16"/>
        </w:rPr>
        <w:t xml:space="preserve">. АЦН-2 приводился в действие дополнительным мотором М-100 и обеспечивал наддув одновременно четырех М-34ФРНБ; </w:t>
      </w:r>
      <w:proofErr w:type="spellStart"/>
      <w:r w:rsidRPr="007122AB">
        <w:rPr>
          <w:rFonts w:ascii="Times New Roman" w:hAnsi="Times New Roman"/>
          <w:color w:val="000000" w:themeColor="text1"/>
          <w:sz w:val="16"/>
          <w:szCs w:val="16"/>
        </w:rPr>
        <w:t>мотоуста</w:t>
      </w:r>
      <w:r w:rsidRPr="007122AB">
        <w:rPr>
          <w:rFonts w:ascii="Times New Roman" w:hAnsi="Times New Roman"/>
          <w:color w:val="000000" w:themeColor="text1"/>
          <w:sz w:val="16"/>
          <w:szCs w:val="16"/>
        </w:rPr>
        <w:softHyphen/>
        <w:t>новка</w:t>
      </w:r>
      <w:proofErr w:type="spellEnd"/>
      <w:r w:rsidRPr="007122AB">
        <w:rPr>
          <w:rFonts w:ascii="Times New Roman" w:hAnsi="Times New Roman"/>
          <w:color w:val="000000" w:themeColor="text1"/>
          <w:sz w:val="16"/>
          <w:szCs w:val="16"/>
        </w:rPr>
        <w:t xml:space="preserve">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7122AB">
        <w:rPr>
          <w:rFonts w:ascii="Times New Roman" w:hAnsi="Times New Roman"/>
          <w:color w:val="000000" w:themeColor="text1"/>
          <w:sz w:val="16"/>
          <w:szCs w:val="16"/>
        </w:rPr>
        <w:softHyphen/>
        <w:t>тирован с тремя вариантами редуктора и двумя типами ПЦН. Впер</w:t>
      </w:r>
      <w:r w:rsidRPr="007122AB">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51FD12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7122AB">
        <w:rPr>
          <w:rFonts w:ascii="Times New Roman" w:hAnsi="Times New Roman"/>
          <w:color w:val="000000" w:themeColor="text1"/>
          <w:sz w:val="16"/>
          <w:szCs w:val="16"/>
        </w:rPr>
        <w:softHyphen/>
        <w:t>тов, удлиненный носок редуктора, усиленный коленвал с измененной схе</w:t>
      </w:r>
      <w:r w:rsidRPr="007122AB">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74BE49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М-34НФ, опытный вариант с блоками от модификации ФРНВ, допол</w:t>
      </w:r>
      <w:r w:rsidRPr="007122AB">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431495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М-34ФРНВ-ТК, вариант предыдущего типа. Имел два турбонагнетате</w:t>
      </w:r>
      <w:r w:rsidRPr="007122AB">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07B8F9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М-34ФРГН, подробности неизвестны.</w:t>
      </w:r>
    </w:p>
    <w:p w14:paraId="5E5958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М-34РБ, в 1938-1939 гг. переделывались из М-34РНБ путем демон</w:t>
      </w:r>
      <w:r w:rsidRPr="007122AB">
        <w:rPr>
          <w:rFonts w:ascii="Times New Roman" w:hAnsi="Times New Roman"/>
          <w:color w:val="000000" w:themeColor="text1"/>
          <w:sz w:val="16"/>
          <w:szCs w:val="16"/>
        </w:rPr>
        <w:softHyphen/>
        <w:t xml:space="preserve">тажа ПЦН для повышения надежности и увеличения </w:t>
      </w:r>
      <w:proofErr w:type="spellStart"/>
      <w:r w:rsidRPr="007122AB">
        <w:rPr>
          <w:rFonts w:ascii="Times New Roman" w:hAnsi="Times New Roman"/>
          <w:color w:val="000000" w:themeColor="text1"/>
          <w:sz w:val="16"/>
          <w:szCs w:val="16"/>
        </w:rPr>
        <w:t>реечрса</w:t>
      </w:r>
      <w:proofErr w:type="spellEnd"/>
      <w:r w:rsidRPr="007122AB">
        <w:rPr>
          <w:rFonts w:ascii="Times New Roman" w:hAnsi="Times New Roman"/>
          <w:color w:val="000000" w:themeColor="text1"/>
          <w:sz w:val="16"/>
          <w:szCs w:val="16"/>
        </w:rPr>
        <w:t>.</w:t>
      </w:r>
    </w:p>
    <w:p w14:paraId="249ACC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М-34РБ</w:t>
      </w:r>
    </w:p>
    <w:p w14:paraId="61AF36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Катерный мотор ГМ-34 (ГАМ-34)</w:t>
      </w:r>
    </w:p>
    <w:p w14:paraId="19D633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ГМ-34, двигатель для торпедных катеров с реверс-редуктором, муф</w:t>
      </w:r>
      <w:r w:rsidRPr="007122AB">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496FBA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1932 г. пару опытных двигателей установили на торпед</w:t>
      </w:r>
      <w:r w:rsidRPr="007122AB">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E426F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35C5F4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7122AB">
        <w:rPr>
          <w:rFonts w:ascii="Times New Roman" w:hAnsi="Times New Roman"/>
          <w:color w:val="000000" w:themeColor="text1"/>
          <w:sz w:val="16"/>
          <w:szCs w:val="16"/>
        </w:rPr>
        <w:softHyphen/>
        <w:t>ность 1200 л.с., вес 1110 кг. Работал на бензин-спиртовой смеси. Се</w:t>
      </w:r>
      <w:r w:rsidRPr="007122AB">
        <w:rPr>
          <w:rFonts w:ascii="Times New Roman" w:hAnsi="Times New Roman"/>
          <w:color w:val="000000" w:themeColor="text1"/>
          <w:sz w:val="16"/>
          <w:szCs w:val="16"/>
        </w:rPr>
        <w:softHyphen/>
        <w:t>рийно выпускался с августа 1939 г.</w:t>
      </w:r>
    </w:p>
    <w:p w14:paraId="064039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8E2D7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6179C59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ГМ-34БТ. вариант для танков на базе катерного с измененной си</w:t>
      </w:r>
      <w:r w:rsidRPr="007122AB">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79F25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7122AB">
        <w:rPr>
          <w:rFonts w:ascii="Times New Roman" w:hAnsi="Times New Roman"/>
          <w:color w:val="000000" w:themeColor="text1"/>
          <w:sz w:val="16"/>
          <w:szCs w:val="16"/>
        </w:rPr>
        <w:softHyphen/>
        <w:t>строен), К-13, МК-1, «Сталь-МАИ», МИ-3. Их применение также предусма</w:t>
      </w:r>
      <w:r w:rsidRPr="007122AB">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7122AB">
        <w:rPr>
          <w:rFonts w:ascii="Times New Roman" w:hAnsi="Times New Roman"/>
          <w:color w:val="000000" w:themeColor="text1"/>
          <w:sz w:val="16"/>
          <w:szCs w:val="16"/>
        </w:rPr>
        <w:softHyphen/>
        <w:t>ского на гусеничном ходу (на базе ТШ-2), танка-вертолета Камова.</w:t>
      </w:r>
    </w:p>
    <w:p w14:paraId="4F62F7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22BC2C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28118F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92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СНК разрешил ВО ГВФ выпустить долговые обязательства на сумму 50 млн. руб. для открытия новых воздушных линий (442,71).</w:t>
      </w:r>
    </w:p>
    <w:p w14:paraId="75036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C4D0E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F8FD94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8E8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года на заводском полигоне был опробован опытный образец 152-мм пушки завода "Красный Путиловец". Пушка имела заводской литер "Д", кроме того, получила официальное наименование "152-мм осадная пушка обр. 1931 г." На самом же деле по своим данным пушка больше подходила к корпусным орудиям (3861).</w:t>
      </w:r>
    </w:p>
    <w:p w14:paraId="12A664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6FA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за № П63/14с была подготовлена:</w:t>
      </w:r>
    </w:p>
    <w:p w14:paraId="1AB5C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Выписка из протокола № 63 заседания Политбюро ЦК от 20.1Х 1931 г. </w:t>
      </w:r>
    </w:p>
    <w:p w14:paraId="49CFF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конструкторских бюро </w:t>
      </w:r>
    </w:p>
    <w:p w14:paraId="4AC6C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(ПБ от 30. V111. 31 г. пр.№ 59, п.3/12 ). </w:t>
      </w:r>
    </w:p>
    <w:p w14:paraId="4711D9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Орджоникидзе, Акулов) </w:t>
      </w:r>
    </w:p>
    <w:p w14:paraId="12C3A8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Оставить конструкторские бюро при ОГПУ </w:t>
      </w:r>
    </w:p>
    <w:p w14:paraId="7722E9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Решение - особая папка </w:t>
      </w:r>
    </w:p>
    <w:p w14:paraId="11648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СЕКРЕТАРЬ ЦК </w:t>
      </w:r>
    </w:p>
    <w:p w14:paraId="58C8F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Ф.3., Оп.58., Д.142., л. 21 (11462).</w:t>
      </w:r>
    </w:p>
    <w:p w14:paraId="305897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B09B9E"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г.</w:t>
      </w:r>
    </w:p>
    <w:p w14:paraId="7F4EDCE7"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СТРОГО СЕКРЕТНО</w:t>
      </w:r>
    </w:p>
    <w:p w14:paraId="0F7D8853"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П63/14с </w:t>
      </w:r>
    </w:p>
    <w:p w14:paraId="5DE39C1C"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Выписка из протокола № 63 заседания Политбюро ЦК от 20.1Х  </w:t>
      </w:r>
      <w:smartTag w:uri="urn:schemas-microsoft-com:office:smarttags" w:element="metricconverter">
        <w:smartTagPr>
          <w:attr w:name="ProductID" w:val="1931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w:t>
      </w:r>
    </w:p>
    <w:p w14:paraId="7FE8D4B4"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конструкторских бюро</w:t>
      </w:r>
    </w:p>
    <w:p w14:paraId="22350B3B"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(ПБ от 30. </w:t>
      </w:r>
      <w:r w:rsidRPr="007122AB">
        <w:rPr>
          <w:rFonts w:ascii="Times New Roman" w:hAnsi="Times New Roman"/>
          <w:color w:val="000000" w:themeColor="text1"/>
          <w:sz w:val="16"/>
          <w:szCs w:val="16"/>
          <w:lang w:val="en-US"/>
        </w:rPr>
        <w:t>V</w:t>
      </w:r>
      <w:r w:rsidRPr="007122AB">
        <w:rPr>
          <w:rFonts w:ascii="Times New Roman" w:hAnsi="Times New Roman"/>
          <w:color w:val="000000" w:themeColor="text1"/>
          <w:sz w:val="16"/>
          <w:szCs w:val="16"/>
        </w:rPr>
        <w:t xml:space="preserve">111.  </w:t>
      </w:r>
      <w:smartTag w:uri="urn:schemas-microsoft-com:office:smarttags" w:element="metricconverter">
        <w:smartTagPr>
          <w:attr w:name="ProductID" w:val="31 г"/>
        </w:smartTagPr>
        <w:r w:rsidRPr="007122AB">
          <w:rPr>
            <w:rFonts w:ascii="Times New Roman" w:hAnsi="Times New Roman"/>
            <w:color w:val="000000" w:themeColor="text1"/>
            <w:sz w:val="16"/>
            <w:szCs w:val="16"/>
          </w:rPr>
          <w:t>31 г</w:t>
        </w:r>
      </w:smartTag>
      <w:r w:rsidRPr="007122AB">
        <w:rPr>
          <w:rFonts w:ascii="Times New Roman" w:hAnsi="Times New Roman"/>
          <w:color w:val="000000" w:themeColor="text1"/>
          <w:sz w:val="16"/>
          <w:szCs w:val="16"/>
        </w:rPr>
        <w:t>. пр.№ 59, п.3/12 ).</w:t>
      </w:r>
    </w:p>
    <w:p w14:paraId="67FCAA6D"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Орджоникидзе, Акулов)</w:t>
      </w:r>
    </w:p>
    <w:p w14:paraId="63230930"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Оставить конструкторские бюро при ОГПУ</w:t>
      </w:r>
    </w:p>
    <w:p w14:paraId="52245E5D"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Решение - особая папка</w:t>
      </w:r>
    </w:p>
    <w:p w14:paraId="5844ED26"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СЕКРЕТАРЬ ЦК</w:t>
      </w:r>
    </w:p>
    <w:p w14:paraId="674AC310"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АП РФ Ф.3., Оп.58., Д.142., л. 21. Машинопись. Копия (17486). </w:t>
      </w:r>
    </w:p>
    <w:p w14:paraId="3A2A2B1C" w14:textId="77777777" w:rsidR="00EA3943" w:rsidRPr="007122AB" w:rsidRDefault="00EA3943" w:rsidP="007122AB">
      <w:pPr>
        <w:shd w:val="clear" w:color="auto" w:fill="FFFFFF"/>
        <w:spacing w:after="0" w:line="240" w:lineRule="auto"/>
        <w:jc w:val="both"/>
        <w:rPr>
          <w:rFonts w:ascii="Times New Roman" w:hAnsi="Times New Roman"/>
          <w:color w:val="000000" w:themeColor="text1"/>
          <w:sz w:val="16"/>
          <w:szCs w:val="16"/>
        </w:rPr>
      </w:pPr>
    </w:p>
    <w:p w14:paraId="7EC49308" w14:textId="77777777" w:rsidR="00D75AA8" w:rsidRPr="007122AB" w:rsidRDefault="00D75AA8"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6498D25" w14:textId="77777777" w:rsidR="00D75AA8" w:rsidRPr="007122AB" w:rsidRDefault="00D75AA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B8AC5E" w14:textId="77777777" w:rsidR="00D75AA8" w:rsidRPr="007122AB" w:rsidRDefault="00D75AA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Газета "Вечерняя Москва" сообщала: "Светофоры на столбах, при помощи которых регулируется уличное движение, заменяются с сегодняшнего дня Административным отделом Москвы светофорами подвесного типа, что значительно разгрузит уличное движение" (18724).</w:t>
      </w:r>
    </w:p>
    <w:p w14:paraId="6DB96983" w14:textId="77777777" w:rsidR="00D75AA8" w:rsidRPr="007122AB" w:rsidRDefault="00D75AA8" w:rsidP="007122AB">
      <w:pPr>
        <w:spacing w:after="0" w:line="240" w:lineRule="auto"/>
        <w:jc w:val="both"/>
        <w:rPr>
          <w:rFonts w:ascii="Times New Roman" w:hAnsi="Times New Roman"/>
          <w:color w:val="000000" w:themeColor="text1"/>
          <w:sz w:val="16"/>
          <w:szCs w:val="16"/>
        </w:rPr>
      </w:pPr>
    </w:p>
    <w:p w14:paraId="7D11BED9" w14:textId="77777777" w:rsidR="00D75AA8" w:rsidRPr="007122AB" w:rsidRDefault="00D75AA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сентября в 1931 году в Москве организован Всесоюзный НИИ по сложным основаниям и фундаментам (теперь – Проектно-изыскательный и конструкторско-технологический НИИ оснований и подземных сооружений имени </w:t>
      </w:r>
      <w:proofErr w:type="spellStart"/>
      <w:r w:rsidRPr="007122AB">
        <w:rPr>
          <w:rFonts w:ascii="Times New Roman" w:hAnsi="Times New Roman"/>
          <w:color w:val="000000" w:themeColor="text1"/>
          <w:sz w:val="16"/>
          <w:szCs w:val="16"/>
        </w:rPr>
        <w:t>Н.М.Герсеванова</w:t>
      </w:r>
      <w:proofErr w:type="spellEnd"/>
      <w:r w:rsidRPr="007122AB">
        <w:rPr>
          <w:rFonts w:ascii="Times New Roman" w:hAnsi="Times New Roman"/>
          <w:color w:val="000000" w:themeColor="text1"/>
          <w:sz w:val="16"/>
          <w:szCs w:val="16"/>
        </w:rPr>
        <w:t>) (14776).</w:t>
      </w:r>
    </w:p>
    <w:p w14:paraId="2CD37934" w14:textId="77777777" w:rsidR="00D75AA8" w:rsidRPr="007122AB" w:rsidRDefault="00D75AA8" w:rsidP="007122AB">
      <w:pPr>
        <w:spacing w:after="0" w:line="240" w:lineRule="auto"/>
        <w:jc w:val="both"/>
        <w:rPr>
          <w:rFonts w:ascii="Times New Roman" w:hAnsi="Times New Roman"/>
          <w:color w:val="000000" w:themeColor="text1"/>
          <w:sz w:val="16"/>
          <w:szCs w:val="16"/>
        </w:rPr>
      </w:pPr>
    </w:p>
    <w:p w14:paraId="47DD88C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8D5C9D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ACD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сентября 1931 г. китайское правительство передало в Лигу Наций в Женеве послание, в котором, ссылаясь на ст. 11 Устава Лиги, оно призывало обратить внимание на конфликт между Китаем и Японией и принять меры для предупреждения эскалации конфликта и восстановления статус-кво (3871).</w:t>
      </w:r>
    </w:p>
    <w:p w14:paraId="6D5D86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FAEBF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03B8A5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3738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сентября 1931 года начальник ВВС Алкснис писал письмо N 315/00266 председателю Реввоенсовета.</w:t>
      </w:r>
    </w:p>
    <w:p w14:paraId="1C7E4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w:t>
      </w:r>
    </w:p>
    <w:p w14:paraId="326AA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Финансово-плановой комиссией РВС план заказов ВВС на 1931 г. был определен в размере 2541 самолет и 3025 моторов.</w:t>
      </w:r>
    </w:p>
    <w:p w14:paraId="417BA0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прорывом в выполнении программ заводами ВАО, Комиссией обороны на заседании от 25 июля эти цифры были, по ходатайству ВАО, уменьшены до 2024 самолетов и 2089 моторов.</w:t>
      </w:r>
    </w:p>
    <w:p w14:paraId="3ED3F2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даже этого сокращенного плана заказов Авиазаводами к 1 сентября 1931 года происходит совершенно неудовлетворительно и выражается в среднем около 30% по самолетам и 20% по моторам от годовой программы.</w:t>
      </w:r>
    </w:p>
    <w:p w14:paraId="641C0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Весь годовой план будет выполнен в среднем всего лишь на 50%.</w:t>
      </w:r>
    </w:p>
    <w:p w14:paraId="21AD3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Результатом столь большого недовыполнения ВАО плана заказов является следующее:</w:t>
      </w:r>
    </w:p>
    <w:p w14:paraId="0C3B1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Намеченный на 1931 год план перевооружения частей ВВС срывается, так как истребительная авиация почти целиком остается на устаревших типах самолетов (И3 и И4), за исключением 2-х эскадрилий и 1-го отряда, перевооружаемых на И5; легкобомбардировочная, штурмовая, разведывательная и войсковая авиация остаются на Р-1 за исключением 8-ми легкобомбардировочных эскадрилий, перевооружаемых на Р-5.</w:t>
      </w:r>
    </w:p>
    <w:p w14:paraId="51136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Равным образом, потребности ВВС в значительной мере не обеспечиваются и намечаемой на 1932 год программой, которая комиссией Куйбышева определена в размере 2438 самолетов и 3373 моторов.</w:t>
      </w:r>
    </w:p>
    <w:p w14:paraId="71604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программа 1932 года в этом объеме будет окончательно утверждена, то в результате мы вынуждены будем:</w:t>
      </w:r>
    </w:p>
    <w:p w14:paraId="16046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Отказаться от большинства новых формирований 1932 года, ввиду необеспеченности их самолетами.</w:t>
      </w:r>
    </w:p>
    <w:p w14:paraId="42065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Всю истребительную авиацию Черного моря, </w:t>
      </w:r>
      <w:proofErr w:type="spellStart"/>
      <w:r w:rsidRPr="007122AB">
        <w:rPr>
          <w:rFonts w:ascii="Times New Roman" w:hAnsi="Times New Roman"/>
          <w:color w:val="000000" w:themeColor="text1"/>
          <w:sz w:val="16"/>
          <w:szCs w:val="16"/>
        </w:rPr>
        <w:t>Балтморя</w:t>
      </w:r>
      <w:proofErr w:type="spellEnd"/>
      <w:r w:rsidRPr="007122AB">
        <w:rPr>
          <w:rFonts w:ascii="Times New Roman" w:hAnsi="Times New Roman"/>
          <w:color w:val="000000" w:themeColor="text1"/>
          <w:sz w:val="16"/>
          <w:szCs w:val="16"/>
        </w:rPr>
        <w:t>, ККА и почти всю - БВО - оставить на устаревших типах самолетов (и4, И3), а на вооружении войсковой авиации - оставить самолет Р-1.</w:t>
      </w:r>
    </w:p>
    <w:p w14:paraId="0748B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Свернуть план подготовки летного состава, т.к. предназначавшиеся к передаче в школы самолеты Р-1, ввиду недостаточности сам. Р-5, останутся в строю и школы окажутся значительно недоукомплектованными.</w:t>
      </w:r>
    </w:p>
    <w:p w14:paraId="0AB959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того, чтобы избежать указанные последствия, полагал бы необходимым при обсуждении в КО программы ВАО на 1932 год настаивать на следующем увеличении и изменении программы:</w:t>
      </w:r>
    </w:p>
    <w:p w14:paraId="03A8B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моторам М-17 - на 750 шт.</w:t>
      </w:r>
    </w:p>
    <w:p w14:paraId="7A149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самолетам Р-5 - на 500 шт.</w:t>
      </w:r>
    </w:p>
    <w:p w14:paraId="03B0B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 самолетам Р-6 - на 36 шт.</w:t>
      </w:r>
    </w:p>
    <w:p w14:paraId="2D22E3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все самолеты И-5 строить под моторы М-22, как уже находящиеся на вооружении ВВС и качественно стоящие выше М-15, для чего моторы М-15 с программы ВВС снять и число моторов М-22 увеличить на 272 шт. (1376,39-40).</w:t>
      </w:r>
    </w:p>
    <w:p w14:paraId="2E6F2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Ведомость</w:t>
      </w:r>
    </w:p>
    <w:p w14:paraId="78C21F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выполнения плана заказов промышленностью по</w:t>
      </w:r>
    </w:p>
    <w:p w14:paraId="4A4DB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специальному имуществу ВВС за 12 месяцев 1931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002C3" w:rsidRPr="007122AB" w14:paraId="7A4FAA3B" w14:textId="77777777">
        <w:tc>
          <w:tcPr>
            <w:tcW w:w="1610" w:type="dxa"/>
          </w:tcPr>
          <w:p w14:paraId="22E49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610" w:type="dxa"/>
          </w:tcPr>
          <w:p w14:paraId="35A8E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Кол-во по плану заказов на 1931 г.</w:t>
            </w:r>
          </w:p>
        </w:tc>
        <w:tc>
          <w:tcPr>
            <w:tcW w:w="1610" w:type="dxa"/>
          </w:tcPr>
          <w:p w14:paraId="2AEEC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за 12 месяцев</w:t>
            </w:r>
          </w:p>
        </w:tc>
        <w:tc>
          <w:tcPr>
            <w:tcW w:w="1610" w:type="dxa"/>
          </w:tcPr>
          <w:p w14:paraId="25DBB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выполнения плана</w:t>
            </w:r>
          </w:p>
        </w:tc>
      </w:tr>
      <w:tr w:rsidR="001002C3" w:rsidRPr="007122AB" w14:paraId="659C2AC3" w14:textId="77777777">
        <w:tc>
          <w:tcPr>
            <w:tcW w:w="1610" w:type="dxa"/>
          </w:tcPr>
          <w:p w14:paraId="5D429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w:t>
            </w:r>
          </w:p>
        </w:tc>
        <w:tc>
          <w:tcPr>
            <w:tcW w:w="1610" w:type="dxa"/>
          </w:tcPr>
          <w:p w14:paraId="5E2F7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F016B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7347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BA6C41" w14:textId="77777777">
        <w:tc>
          <w:tcPr>
            <w:tcW w:w="1610" w:type="dxa"/>
          </w:tcPr>
          <w:p w14:paraId="33217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w:t>
            </w:r>
          </w:p>
        </w:tc>
        <w:tc>
          <w:tcPr>
            <w:tcW w:w="1610" w:type="dxa"/>
          </w:tcPr>
          <w:p w14:paraId="25663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0/55</w:t>
            </w:r>
          </w:p>
        </w:tc>
        <w:tc>
          <w:tcPr>
            <w:tcW w:w="1610" w:type="dxa"/>
          </w:tcPr>
          <w:p w14:paraId="5CC292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1610" w:type="dxa"/>
          </w:tcPr>
          <w:p w14:paraId="2F6827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18D2436A" w14:textId="77777777">
        <w:tc>
          <w:tcPr>
            <w:tcW w:w="1610" w:type="dxa"/>
          </w:tcPr>
          <w:p w14:paraId="0FD7DB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w:t>
            </w:r>
          </w:p>
        </w:tc>
        <w:tc>
          <w:tcPr>
            <w:tcW w:w="1610" w:type="dxa"/>
          </w:tcPr>
          <w:p w14:paraId="66FFED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w:t>
            </w:r>
          </w:p>
        </w:tc>
        <w:tc>
          <w:tcPr>
            <w:tcW w:w="1610" w:type="dxa"/>
          </w:tcPr>
          <w:p w14:paraId="0346D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1610" w:type="dxa"/>
          </w:tcPr>
          <w:p w14:paraId="4EE74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715AFF90" w14:textId="77777777">
        <w:tc>
          <w:tcPr>
            <w:tcW w:w="1610" w:type="dxa"/>
          </w:tcPr>
          <w:p w14:paraId="5570E9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610" w:type="dxa"/>
          </w:tcPr>
          <w:p w14:paraId="67C4B6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199/51</w:t>
            </w:r>
          </w:p>
        </w:tc>
        <w:tc>
          <w:tcPr>
            <w:tcW w:w="1610" w:type="dxa"/>
          </w:tcPr>
          <w:p w14:paraId="00A4E1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1610" w:type="dxa"/>
          </w:tcPr>
          <w:p w14:paraId="506943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w:t>
            </w:r>
          </w:p>
        </w:tc>
      </w:tr>
      <w:tr w:rsidR="001002C3" w:rsidRPr="007122AB" w14:paraId="6B010ABC" w14:textId="77777777">
        <w:tc>
          <w:tcPr>
            <w:tcW w:w="1610" w:type="dxa"/>
          </w:tcPr>
          <w:p w14:paraId="4B0B3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w:t>
            </w:r>
          </w:p>
        </w:tc>
        <w:tc>
          <w:tcPr>
            <w:tcW w:w="1610" w:type="dxa"/>
          </w:tcPr>
          <w:p w14:paraId="088E72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610" w:type="dxa"/>
          </w:tcPr>
          <w:p w14:paraId="5BC89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3AA1C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4A1FB46A" w14:textId="77777777">
        <w:tc>
          <w:tcPr>
            <w:tcW w:w="1610" w:type="dxa"/>
          </w:tcPr>
          <w:p w14:paraId="2205BB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610" w:type="dxa"/>
          </w:tcPr>
          <w:p w14:paraId="50FB76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610" w:type="dxa"/>
          </w:tcPr>
          <w:p w14:paraId="5A0AD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6C45B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490FC72C" w14:textId="77777777">
        <w:tc>
          <w:tcPr>
            <w:tcW w:w="1610" w:type="dxa"/>
          </w:tcPr>
          <w:p w14:paraId="3D591C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610" w:type="dxa"/>
          </w:tcPr>
          <w:p w14:paraId="1EA54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115/187</w:t>
            </w:r>
          </w:p>
        </w:tc>
        <w:tc>
          <w:tcPr>
            <w:tcW w:w="1610" w:type="dxa"/>
          </w:tcPr>
          <w:p w14:paraId="46CA2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1610" w:type="dxa"/>
          </w:tcPr>
          <w:p w14:paraId="540B1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w:t>
            </w:r>
          </w:p>
        </w:tc>
      </w:tr>
      <w:tr w:rsidR="001002C3" w:rsidRPr="007122AB" w14:paraId="2B0BD94E" w14:textId="77777777">
        <w:tc>
          <w:tcPr>
            <w:tcW w:w="1610" w:type="dxa"/>
          </w:tcPr>
          <w:p w14:paraId="7D58AC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610" w:type="dxa"/>
          </w:tcPr>
          <w:p w14:paraId="4DD578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615/60</w:t>
            </w:r>
          </w:p>
        </w:tc>
        <w:tc>
          <w:tcPr>
            <w:tcW w:w="1610" w:type="dxa"/>
          </w:tcPr>
          <w:p w14:paraId="118C2B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301</w:t>
            </w:r>
          </w:p>
        </w:tc>
        <w:tc>
          <w:tcPr>
            <w:tcW w:w="1610" w:type="dxa"/>
          </w:tcPr>
          <w:p w14:paraId="497866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44,6</w:t>
            </w:r>
          </w:p>
        </w:tc>
      </w:tr>
      <w:tr w:rsidR="001002C3" w:rsidRPr="007122AB" w14:paraId="20EA05B5" w14:textId="77777777">
        <w:tc>
          <w:tcPr>
            <w:tcW w:w="1610" w:type="dxa"/>
          </w:tcPr>
          <w:p w14:paraId="009C4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610" w:type="dxa"/>
          </w:tcPr>
          <w:p w14:paraId="063ED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1610" w:type="dxa"/>
          </w:tcPr>
          <w:p w14:paraId="34DAC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1610" w:type="dxa"/>
          </w:tcPr>
          <w:p w14:paraId="4768F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w:t>
            </w:r>
          </w:p>
        </w:tc>
      </w:tr>
      <w:tr w:rsidR="001002C3" w:rsidRPr="007122AB" w14:paraId="501DDECE" w14:textId="77777777">
        <w:tc>
          <w:tcPr>
            <w:tcW w:w="1610" w:type="dxa"/>
          </w:tcPr>
          <w:p w14:paraId="4CE9A3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610" w:type="dxa"/>
          </w:tcPr>
          <w:p w14:paraId="3A2E9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1610" w:type="dxa"/>
          </w:tcPr>
          <w:p w14:paraId="29848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5B6516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490DC441" w14:textId="77777777">
        <w:tc>
          <w:tcPr>
            <w:tcW w:w="1610" w:type="dxa"/>
          </w:tcPr>
          <w:p w14:paraId="24F973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610" w:type="dxa"/>
          </w:tcPr>
          <w:p w14:paraId="10D6C0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120/26</w:t>
            </w:r>
          </w:p>
        </w:tc>
        <w:tc>
          <w:tcPr>
            <w:tcW w:w="1610" w:type="dxa"/>
          </w:tcPr>
          <w:p w14:paraId="199C6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w:t>
            </w:r>
          </w:p>
        </w:tc>
        <w:tc>
          <w:tcPr>
            <w:tcW w:w="1610" w:type="dxa"/>
          </w:tcPr>
          <w:p w14:paraId="2111F5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1CAEEC57" w14:textId="77777777">
        <w:tc>
          <w:tcPr>
            <w:tcW w:w="1610" w:type="dxa"/>
          </w:tcPr>
          <w:p w14:paraId="302ED4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1610" w:type="dxa"/>
          </w:tcPr>
          <w:p w14:paraId="0FAD0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610" w:type="dxa"/>
          </w:tcPr>
          <w:p w14:paraId="7B4177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19819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2777A97E" w14:textId="77777777">
        <w:tc>
          <w:tcPr>
            <w:tcW w:w="1610" w:type="dxa"/>
          </w:tcPr>
          <w:p w14:paraId="7DAD90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w:t>
            </w:r>
          </w:p>
        </w:tc>
        <w:tc>
          <w:tcPr>
            <w:tcW w:w="1610" w:type="dxa"/>
          </w:tcPr>
          <w:p w14:paraId="0688E4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45/8</w:t>
            </w:r>
          </w:p>
        </w:tc>
        <w:tc>
          <w:tcPr>
            <w:tcW w:w="1610" w:type="dxa"/>
          </w:tcPr>
          <w:p w14:paraId="4CA2C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1610" w:type="dxa"/>
          </w:tcPr>
          <w:p w14:paraId="1B304F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177300B5" w14:textId="77777777">
        <w:tc>
          <w:tcPr>
            <w:tcW w:w="1610" w:type="dxa"/>
          </w:tcPr>
          <w:p w14:paraId="34AE1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610" w:type="dxa"/>
          </w:tcPr>
          <w:p w14:paraId="14E432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364/1</w:t>
            </w:r>
          </w:p>
        </w:tc>
        <w:tc>
          <w:tcPr>
            <w:tcW w:w="1610" w:type="dxa"/>
          </w:tcPr>
          <w:p w14:paraId="1179ED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610" w:type="dxa"/>
          </w:tcPr>
          <w:p w14:paraId="0D8A8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41,1</w:t>
            </w:r>
          </w:p>
        </w:tc>
      </w:tr>
      <w:tr w:rsidR="001002C3" w:rsidRPr="007122AB" w14:paraId="746CEDED" w14:textId="77777777">
        <w:tc>
          <w:tcPr>
            <w:tcW w:w="1610" w:type="dxa"/>
          </w:tcPr>
          <w:p w14:paraId="31EEE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610" w:type="dxa"/>
          </w:tcPr>
          <w:p w14:paraId="3599E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w:t>
            </w:r>
          </w:p>
        </w:tc>
        <w:tc>
          <w:tcPr>
            <w:tcW w:w="1610" w:type="dxa"/>
          </w:tcPr>
          <w:p w14:paraId="6C7A8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1610" w:type="dxa"/>
          </w:tcPr>
          <w:p w14:paraId="33B65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tc>
      </w:tr>
      <w:tr w:rsidR="001002C3" w:rsidRPr="007122AB" w14:paraId="740F1040" w14:textId="77777777">
        <w:tc>
          <w:tcPr>
            <w:tcW w:w="1610" w:type="dxa"/>
          </w:tcPr>
          <w:p w14:paraId="11F08F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610" w:type="dxa"/>
          </w:tcPr>
          <w:p w14:paraId="54C71C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w:t>
            </w:r>
          </w:p>
        </w:tc>
        <w:tc>
          <w:tcPr>
            <w:tcW w:w="1610" w:type="dxa"/>
          </w:tcPr>
          <w:p w14:paraId="7591C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610" w:type="dxa"/>
          </w:tcPr>
          <w:p w14:paraId="74D39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r>
      <w:tr w:rsidR="001002C3" w:rsidRPr="007122AB" w14:paraId="59702B61" w14:textId="77777777">
        <w:tc>
          <w:tcPr>
            <w:tcW w:w="1610" w:type="dxa"/>
          </w:tcPr>
          <w:p w14:paraId="00EF6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самолетов</w:t>
            </w:r>
          </w:p>
        </w:tc>
        <w:tc>
          <w:tcPr>
            <w:tcW w:w="1610" w:type="dxa"/>
          </w:tcPr>
          <w:p w14:paraId="7A8BE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2024</w:t>
            </w:r>
          </w:p>
        </w:tc>
        <w:tc>
          <w:tcPr>
            <w:tcW w:w="1610" w:type="dxa"/>
          </w:tcPr>
          <w:p w14:paraId="6461A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28027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ABC1AB8" w14:textId="77777777">
        <w:tc>
          <w:tcPr>
            <w:tcW w:w="1610" w:type="dxa"/>
          </w:tcPr>
          <w:p w14:paraId="3F3D1E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w:t>
            </w:r>
          </w:p>
        </w:tc>
        <w:tc>
          <w:tcPr>
            <w:tcW w:w="1610" w:type="dxa"/>
          </w:tcPr>
          <w:p w14:paraId="26D55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1CEC8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F23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B2EF00" w14:textId="77777777">
        <w:tc>
          <w:tcPr>
            <w:tcW w:w="1610" w:type="dxa"/>
          </w:tcPr>
          <w:p w14:paraId="4D59E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610" w:type="dxa"/>
          </w:tcPr>
          <w:p w14:paraId="0DFCB7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100/30</w:t>
            </w:r>
          </w:p>
        </w:tc>
        <w:tc>
          <w:tcPr>
            <w:tcW w:w="1610" w:type="dxa"/>
          </w:tcPr>
          <w:p w14:paraId="3318E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610" w:type="dxa"/>
          </w:tcPr>
          <w:p w14:paraId="5D76A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w:t>
            </w:r>
          </w:p>
        </w:tc>
      </w:tr>
      <w:tr w:rsidR="001002C3" w:rsidRPr="007122AB" w14:paraId="3AD8EABB" w14:textId="77777777">
        <w:tc>
          <w:tcPr>
            <w:tcW w:w="1610" w:type="dxa"/>
          </w:tcPr>
          <w:p w14:paraId="0A87A3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1610" w:type="dxa"/>
          </w:tcPr>
          <w:p w14:paraId="109456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706/189</w:t>
            </w:r>
          </w:p>
        </w:tc>
        <w:tc>
          <w:tcPr>
            <w:tcW w:w="1610" w:type="dxa"/>
          </w:tcPr>
          <w:p w14:paraId="25B6D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667</w:t>
            </w:r>
          </w:p>
        </w:tc>
        <w:tc>
          <w:tcPr>
            <w:tcW w:w="1610" w:type="dxa"/>
          </w:tcPr>
          <w:p w14:paraId="73811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74,5</w:t>
            </w:r>
          </w:p>
        </w:tc>
      </w:tr>
      <w:tr w:rsidR="001002C3" w:rsidRPr="007122AB" w14:paraId="2EEF7512" w14:textId="77777777">
        <w:tc>
          <w:tcPr>
            <w:tcW w:w="1610" w:type="dxa"/>
          </w:tcPr>
          <w:p w14:paraId="2EB1E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w:t>
            </w:r>
          </w:p>
        </w:tc>
        <w:tc>
          <w:tcPr>
            <w:tcW w:w="1610" w:type="dxa"/>
          </w:tcPr>
          <w:p w14:paraId="7B00E5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610" w:type="dxa"/>
          </w:tcPr>
          <w:p w14:paraId="6C770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2C861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2B9B8A6F" w14:textId="77777777">
        <w:tc>
          <w:tcPr>
            <w:tcW w:w="1610" w:type="dxa"/>
          </w:tcPr>
          <w:p w14:paraId="336B0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w:t>
            </w:r>
          </w:p>
        </w:tc>
        <w:tc>
          <w:tcPr>
            <w:tcW w:w="1610" w:type="dxa"/>
          </w:tcPr>
          <w:p w14:paraId="2B3547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610" w:type="dxa"/>
          </w:tcPr>
          <w:p w14:paraId="360C61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140F57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1FE34074" w14:textId="77777777">
        <w:tc>
          <w:tcPr>
            <w:tcW w:w="1610" w:type="dxa"/>
          </w:tcPr>
          <w:p w14:paraId="091A97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610" w:type="dxa"/>
          </w:tcPr>
          <w:p w14:paraId="5C244F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255/25</w:t>
            </w:r>
          </w:p>
        </w:tc>
        <w:tc>
          <w:tcPr>
            <w:tcW w:w="1610" w:type="dxa"/>
          </w:tcPr>
          <w:p w14:paraId="77FAD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1610" w:type="dxa"/>
          </w:tcPr>
          <w:p w14:paraId="6DDBAF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20,7</w:t>
            </w:r>
          </w:p>
        </w:tc>
      </w:tr>
      <w:tr w:rsidR="001002C3" w:rsidRPr="007122AB" w14:paraId="7C9C7B53" w14:textId="77777777">
        <w:tc>
          <w:tcPr>
            <w:tcW w:w="1610" w:type="dxa"/>
          </w:tcPr>
          <w:p w14:paraId="6C2C6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1610" w:type="dxa"/>
          </w:tcPr>
          <w:p w14:paraId="7EB1B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1610" w:type="dxa"/>
          </w:tcPr>
          <w:p w14:paraId="040BA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4E4D0A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45C1A4E8" w14:textId="77777777">
        <w:tc>
          <w:tcPr>
            <w:tcW w:w="1610" w:type="dxa"/>
          </w:tcPr>
          <w:p w14:paraId="1A3427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1610" w:type="dxa"/>
          </w:tcPr>
          <w:p w14:paraId="5DC8E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524/66</w:t>
            </w:r>
          </w:p>
        </w:tc>
        <w:tc>
          <w:tcPr>
            <w:tcW w:w="1610" w:type="dxa"/>
          </w:tcPr>
          <w:p w14:paraId="7FDD6B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326</w:t>
            </w:r>
          </w:p>
        </w:tc>
        <w:tc>
          <w:tcPr>
            <w:tcW w:w="1610" w:type="dxa"/>
          </w:tcPr>
          <w:p w14:paraId="6C604E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55,3</w:t>
            </w:r>
          </w:p>
        </w:tc>
      </w:tr>
      <w:tr w:rsidR="001002C3" w:rsidRPr="007122AB" w14:paraId="3D5024AD" w14:textId="77777777">
        <w:tc>
          <w:tcPr>
            <w:tcW w:w="1610" w:type="dxa"/>
          </w:tcPr>
          <w:p w14:paraId="30E03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Юпитер-VII</w:t>
            </w:r>
          </w:p>
        </w:tc>
        <w:tc>
          <w:tcPr>
            <w:tcW w:w="1610" w:type="dxa"/>
          </w:tcPr>
          <w:p w14:paraId="239F24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610" w:type="dxa"/>
          </w:tcPr>
          <w:p w14:paraId="2B4A35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58EAA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62E3D880" w14:textId="77777777">
        <w:tc>
          <w:tcPr>
            <w:tcW w:w="1610" w:type="dxa"/>
          </w:tcPr>
          <w:p w14:paraId="469BC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1610" w:type="dxa"/>
          </w:tcPr>
          <w:p w14:paraId="62471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610" w:type="dxa"/>
          </w:tcPr>
          <w:p w14:paraId="5C94F1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10" w:type="dxa"/>
          </w:tcPr>
          <w:p w14:paraId="58F24F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365C94" w:rsidRPr="007122AB" w14:paraId="2EF5D22C" w14:textId="77777777">
        <w:tc>
          <w:tcPr>
            <w:tcW w:w="1610" w:type="dxa"/>
          </w:tcPr>
          <w:p w14:paraId="59F58A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моторов</w:t>
            </w:r>
          </w:p>
        </w:tc>
        <w:tc>
          <w:tcPr>
            <w:tcW w:w="1610" w:type="dxa"/>
          </w:tcPr>
          <w:p w14:paraId="3BCA8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41AF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9E3B0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278CAF1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140D42"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сентября 1931 г. начальник ВВС Алкснис письмом №315/00266 председателю Реввоенсовета доложил, что цитата</w:t>
      </w:r>
      <w:r>
        <w:rPr>
          <w:rFonts w:ascii="Times New Roman" w:hAnsi="Times New Roman"/>
          <w:color w:val="0070C0"/>
          <w:sz w:val="16"/>
          <w:szCs w:val="16"/>
        </w:rPr>
        <w:t xml:space="preserve"> </w:t>
      </w:r>
      <w:r w:rsidRPr="00441F34">
        <w:rPr>
          <w:rFonts w:ascii="Times New Roman" w:hAnsi="Times New Roman"/>
          <w:color w:val="0070C0"/>
          <w:sz w:val="16"/>
          <w:szCs w:val="16"/>
        </w:rPr>
        <w:t>«…Финансово-плановой комиссией РВС план заказов ВВС на 1931 г. был определен в размере 2541 самолет и 3025 моторов. В связи с прорывом в выполнении программ заводами ВАО, Комиссией обороны на заседании от 25 июля эти цифры были, по ходатайству ВАО, уменьшены до 2024 самолетов и 2089 моторов. Выполнение даже этого сокращенного плана заказов Авиазаводами к 1 сентября 1931 года происходит совершенно неудовлетворительно и выражается в среднем около 30% по самолетам и 20% по моторам от годовой программы... Весь годовой план будет выполнен в среднем всего лишь на 50%».</w:t>
      </w:r>
      <w:r>
        <w:rPr>
          <w:rFonts w:ascii="Times New Roman" w:hAnsi="Times New Roman"/>
          <w:color w:val="0070C0"/>
          <w:sz w:val="16"/>
          <w:szCs w:val="16"/>
        </w:rPr>
        <w:t xml:space="preserve"> </w:t>
      </w:r>
      <w:r w:rsidRPr="00441F34">
        <w:rPr>
          <w:rFonts w:ascii="Times New Roman" w:hAnsi="Times New Roman"/>
          <w:color w:val="0070C0"/>
          <w:sz w:val="16"/>
          <w:szCs w:val="16"/>
        </w:rPr>
        <w:t>Далее он указал на задержки с выполнением плана работ по всем серийным самолетам, и на то, что из заказанных на 1931 г. 60 самолетов И-7 ни один в строевую часть не поставлен. При этом указано, что ВВС РККА остаются вооружены устаревшей техникой, а среди самолетов-истребителей к таковой в докладе Алксниса были отнесены и сравнительно новые машины остававшиеся в этом году в серийном производстве – И-3 Поликарпова и И-4 Туполева (24331).</w:t>
      </w:r>
    </w:p>
    <w:p w14:paraId="5E4D5758" w14:textId="77777777" w:rsidR="007F1987" w:rsidRPr="00441F34" w:rsidRDefault="007F1987" w:rsidP="007F1987">
      <w:pPr>
        <w:spacing w:after="0" w:line="240" w:lineRule="auto"/>
        <w:jc w:val="both"/>
        <w:rPr>
          <w:rFonts w:ascii="Times New Roman" w:hAnsi="Times New Roman"/>
          <w:color w:val="0070C0"/>
          <w:sz w:val="16"/>
          <w:szCs w:val="16"/>
        </w:rPr>
      </w:pPr>
    </w:p>
    <w:p w14:paraId="5B25B54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0A97B2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E57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сентября 1931 г. за № П63/14с была подготовлена</w:t>
      </w:r>
    </w:p>
    <w:p w14:paraId="4EDC86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Выписка из протокола № 63 заседания Политбюро ЦК от 20.1Х 1931 г. </w:t>
      </w:r>
    </w:p>
    <w:p w14:paraId="7D165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конструкторских бюро </w:t>
      </w:r>
    </w:p>
    <w:p w14:paraId="5E0435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(ПБ от 30. V111. 31 г. пр.№ 59, п.3/12 ). </w:t>
      </w:r>
    </w:p>
    <w:p w14:paraId="6288D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Орджоникидзе, Акулов) </w:t>
      </w:r>
    </w:p>
    <w:p w14:paraId="37B43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СТРОГО СЕКРЕТНО</w:t>
      </w:r>
    </w:p>
    <w:p w14:paraId="16FCF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Принять согласованное предложение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Акулова. и Орджоникидзе об освобождении некоторой части инженеров для работы в ВСНХ по списку, согласованному между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Акуловым и Орджоникидзе.</w:t>
      </w:r>
    </w:p>
    <w:p w14:paraId="0120D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СЕКРЕТАРЬ ЦК </w:t>
      </w:r>
    </w:p>
    <w:p w14:paraId="6339C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 РФ Ф.3., Оп.58., Д.142., л. 22 (11462).</w:t>
      </w:r>
    </w:p>
    <w:p w14:paraId="3AEB9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1E4E8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1B7522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D79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сентября 1931 закончились испытания самолета И4 N 1514 ЮVI -480 л.с. моноплан, которые проходили с 6 сентября 1931.</w:t>
      </w:r>
    </w:p>
    <w:p w14:paraId="4A9CB2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786FE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784A2F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- 40</w:t>
      </w:r>
    </w:p>
    <w:p w14:paraId="51127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- 20 час. 14 мин.</w:t>
      </w:r>
    </w:p>
    <w:p w14:paraId="4CAA68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40673B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3542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EF04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(c 1 по 29 - 346,22) сентября 1931 в НИИ ВВС закончились испытания моноплана типа парасоль, переделанного КБ А.Н.Т. из серийного И-4 N 1514, которые проходили с 11 сентября. Улучшения ЛТХ было незначительным ( 1017,162).</w:t>
      </w:r>
    </w:p>
    <w:p w14:paraId="129B1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это было с 11 по 23 сентября.</w:t>
      </w:r>
    </w:p>
    <w:p w14:paraId="6287B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4C3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сентября 1931 на заседании у начальника ВАО был утвержден план опытного самолетостроения ОКБ на 1931-1934 (351).</w:t>
      </w:r>
    </w:p>
    <w:p w14:paraId="068D2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 54</w:t>
      </w:r>
    </w:p>
    <w:p w14:paraId="6F516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Заседания у Нач. ВАО от 23 сентября 1931</w:t>
      </w:r>
    </w:p>
    <w:p w14:paraId="20A72B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Присутствовали: Баранов, </w:t>
      </w:r>
      <w:proofErr w:type="spellStart"/>
      <w:r w:rsidRPr="007122AB">
        <w:rPr>
          <w:rFonts w:ascii="Times New Roman" w:hAnsi="Times New Roman"/>
          <w:color w:val="000000" w:themeColor="text1"/>
          <w:sz w:val="16"/>
          <w:szCs w:val="16"/>
        </w:rPr>
        <w:t>Побережский</w:t>
      </w:r>
      <w:proofErr w:type="spellEnd"/>
      <w:r w:rsidRPr="007122AB">
        <w:rPr>
          <w:rFonts w:ascii="Times New Roman" w:hAnsi="Times New Roman"/>
          <w:color w:val="000000" w:themeColor="text1"/>
          <w:sz w:val="16"/>
          <w:szCs w:val="16"/>
        </w:rPr>
        <w:t xml:space="preserve">, Иванов, Червяков, Соловьев, </w:t>
      </w:r>
      <w:proofErr w:type="spellStart"/>
      <w:r w:rsidRPr="007122AB">
        <w:rPr>
          <w:rFonts w:ascii="Times New Roman" w:hAnsi="Times New Roman"/>
          <w:color w:val="000000" w:themeColor="text1"/>
          <w:sz w:val="16"/>
          <w:szCs w:val="16"/>
        </w:rPr>
        <w:t>Петрожицкий</w:t>
      </w:r>
      <w:proofErr w:type="spellEnd"/>
      <w:r w:rsidRPr="007122AB">
        <w:rPr>
          <w:rFonts w:ascii="Times New Roman" w:hAnsi="Times New Roman"/>
          <w:color w:val="000000" w:themeColor="text1"/>
          <w:sz w:val="16"/>
          <w:szCs w:val="16"/>
        </w:rPr>
        <w:t xml:space="preserve">, Адамс, Чекалин, Молчанов, </w:t>
      </w:r>
      <w:proofErr w:type="spellStart"/>
      <w:r w:rsidRPr="007122AB">
        <w:rPr>
          <w:rFonts w:ascii="Times New Roman" w:hAnsi="Times New Roman"/>
          <w:color w:val="000000" w:themeColor="text1"/>
          <w:sz w:val="16"/>
          <w:szCs w:val="16"/>
        </w:rPr>
        <w:t>Зильберквит</w:t>
      </w:r>
      <w:proofErr w:type="spellEnd"/>
      <w:r w:rsidRPr="007122AB">
        <w:rPr>
          <w:rFonts w:ascii="Times New Roman" w:hAnsi="Times New Roman"/>
          <w:color w:val="000000" w:themeColor="text1"/>
          <w:sz w:val="16"/>
          <w:szCs w:val="16"/>
        </w:rPr>
        <w:t>, Горшков, Инихов</w:t>
      </w:r>
    </w:p>
    <w:p w14:paraId="483EF3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Рафальянс</w:t>
      </w:r>
      <w:proofErr w:type="spellEnd"/>
      <w:r w:rsidRPr="007122AB">
        <w:rPr>
          <w:rFonts w:ascii="Times New Roman" w:hAnsi="Times New Roman"/>
          <w:color w:val="000000" w:themeColor="text1"/>
          <w:sz w:val="16"/>
          <w:szCs w:val="16"/>
        </w:rPr>
        <w:t xml:space="preserve">, Петляков, Инюшин, </w:t>
      </w:r>
      <w:proofErr w:type="spellStart"/>
      <w:r w:rsidRPr="007122AB">
        <w:rPr>
          <w:rFonts w:ascii="Times New Roman" w:hAnsi="Times New Roman"/>
          <w:color w:val="000000" w:themeColor="text1"/>
          <w:sz w:val="16"/>
          <w:szCs w:val="16"/>
        </w:rPr>
        <w:t>Погосский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Кочерыгин</w:t>
      </w:r>
      <w:proofErr w:type="spellEnd"/>
      <w:r w:rsidRPr="007122AB">
        <w:rPr>
          <w:rFonts w:ascii="Times New Roman" w:hAnsi="Times New Roman"/>
          <w:color w:val="000000" w:themeColor="text1"/>
          <w:sz w:val="16"/>
          <w:szCs w:val="16"/>
        </w:rPr>
        <w:t xml:space="preserve">, Четвериков, Рапп, Тисов,  </w:t>
      </w:r>
      <w:proofErr w:type="spellStart"/>
      <w:r w:rsidRPr="007122AB">
        <w:rPr>
          <w:rFonts w:ascii="Times New Roman" w:hAnsi="Times New Roman"/>
          <w:color w:val="000000" w:themeColor="text1"/>
          <w:sz w:val="16"/>
          <w:szCs w:val="16"/>
        </w:rPr>
        <w:t>Пчелицин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Скржинский</w:t>
      </w:r>
      <w:proofErr w:type="spellEnd"/>
      <w:r w:rsidRPr="007122AB">
        <w:rPr>
          <w:rFonts w:ascii="Times New Roman" w:hAnsi="Times New Roman"/>
          <w:color w:val="000000" w:themeColor="text1"/>
          <w:sz w:val="16"/>
          <w:szCs w:val="16"/>
        </w:rPr>
        <w:t xml:space="preserve">, Щербаков, Михайлов, </w:t>
      </w:r>
      <w:proofErr w:type="spellStart"/>
      <w:r w:rsidRPr="007122AB">
        <w:rPr>
          <w:rFonts w:ascii="Times New Roman" w:hAnsi="Times New Roman"/>
          <w:color w:val="000000" w:themeColor="text1"/>
          <w:sz w:val="16"/>
          <w:szCs w:val="16"/>
        </w:rPr>
        <w:t>Надашкечи</w:t>
      </w:r>
      <w:proofErr w:type="spellEnd"/>
      <w:r w:rsidRPr="007122AB">
        <w:rPr>
          <w:rFonts w:ascii="Times New Roman" w:hAnsi="Times New Roman"/>
          <w:color w:val="000000" w:themeColor="text1"/>
          <w:sz w:val="16"/>
          <w:szCs w:val="16"/>
        </w:rPr>
        <w:t>, Калганов</w:t>
      </w:r>
    </w:p>
    <w:p w14:paraId="32228E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План опытного самолетостроения</w:t>
      </w:r>
    </w:p>
    <w:p w14:paraId="72B9B0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58AAB1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План опытного самолетостроения по истребительной авиации, доложенный т.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 принять.</w:t>
      </w:r>
    </w:p>
    <w:p w14:paraId="275E10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Включить в план 32 г. изготовление И-8 под мотор Кертис </w:t>
      </w:r>
      <w:proofErr w:type="spellStart"/>
      <w:r w:rsidRPr="007122AB">
        <w:rPr>
          <w:rFonts w:ascii="Times New Roman" w:hAnsi="Times New Roman"/>
          <w:color w:val="000000" w:themeColor="text1"/>
          <w:sz w:val="16"/>
          <w:szCs w:val="16"/>
        </w:rPr>
        <w:t>Конкверрор</w:t>
      </w:r>
      <w:proofErr w:type="spellEnd"/>
      <w:r w:rsidRPr="007122AB">
        <w:rPr>
          <w:rFonts w:ascii="Times New Roman" w:hAnsi="Times New Roman"/>
          <w:color w:val="000000" w:themeColor="text1"/>
          <w:sz w:val="16"/>
          <w:szCs w:val="16"/>
        </w:rPr>
        <w:t xml:space="preserve"> с наддувом.</w:t>
      </w:r>
    </w:p>
    <w:p w14:paraId="5EADF5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Для серийного производства 33 г. Конструкторское Бюро в 1-м </w:t>
      </w:r>
      <w:proofErr w:type="spellStart"/>
      <w:r w:rsidRPr="007122AB">
        <w:rPr>
          <w:rFonts w:ascii="Times New Roman" w:hAnsi="Times New Roman"/>
          <w:color w:val="000000" w:themeColor="text1"/>
          <w:sz w:val="16"/>
          <w:szCs w:val="16"/>
        </w:rPr>
        <w:t>полугодви</w:t>
      </w:r>
      <w:proofErr w:type="spellEnd"/>
      <w:r w:rsidRPr="007122AB">
        <w:rPr>
          <w:rFonts w:ascii="Times New Roman" w:hAnsi="Times New Roman"/>
          <w:color w:val="000000" w:themeColor="text1"/>
          <w:sz w:val="16"/>
          <w:szCs w:val="16"/>
        </w:rPr>
        <w:t xml:space="preserve"> 32 г. обрабатывает и испытывает самолеты И- 8 и И-5 с моторами М15, М22 и РЦ</w:t>
      </w:r>
    </w:p>
    <w:p w14:paraId="52B1CD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Из общего </w:t>
      </w:r>
      <w:proofErr w:type="spellStart"/>
      <w:r w:rsidRPr="007122AB">
        <w:rPr>
          <w:rFonts w:ascii="Times New Roman" w:hAnsi="Times New Roman"/>
          <w:color w:val="000000" w:themeColor="text1"/>
          <w:sz w:val="16"/>
          <w:szCs w:val="16"/>
        </w:rPr>
        <w:t>колхсчества</w:t>
      </w:r>
      <w:proofErr w:type="spellEnd"/>
      <w:r w:rsidRPr="007122AB">
        <w:rPr>
          <w:rFonts w:ascii="Times New Roman" w:hAnsi="Times New Roman"/>
          <w:color w:val="000000" w:themeColor="text1"/>
          <w:sz w:val="16"/>
          <w:szCs w:val="16"/>
        </w:rPr>
        <w:t xml:space="preserve"> истребителей в 32 г. .по получению </w:t>
      </w:r>
      <w:proofErr w:type="spellStart"/>
      <w:r w:rsidRPr="007122AB">
        <w:rPr>
          <w:rFonts w:ascii="Times New Roman" w:hAnsi="Times New Roman"/>
          <w:color w:val="000000" w:themeColor="text1"/>
          <w:sz w:val="16"/>
          <w:szCs w:val="16"/>
        </w:rPr>
        <w:t>резулътагов</w:t>
      </w:r>
      <w:proofErr w:type="spellEnd"/>
      <w:r w:rsidRPr="007122AB">
        <w:rPr>
          <w:rFonts w:ascii="Times New Roman" w:hAnsi="Times New Roman"/>
          <w:color w:val="000000" w:themeColor="text1"/>
          <w:sz w:val="16"/>
          <w:szCs w:val="16"/>
        </w:rPr>
        <w:t xml:space="preserve"> испытаний отобрать один тип для внедрения его в серийное производство 32 г.</w:t>
      </w:r>
    </w:p>
    <w:p w14:paraId="0A1854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Самолеты И-9, И-10, И-11 входят в серийное производство 34 г. с расчетом их обработки и испытания не позднее 1-й половины 33 г.</w:t>
      </w:r>
    </w:p>
    <w:p w14:paraId="626C55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Специальные машины (линейные истребители) по срокам и типам утвердить как опытные машины.</w:t>
      </w:r>
    </w:p>
    <w:p w14:paraId="712788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Производство их до постройки специального з-да </w:t>
      </w:r>
      <w:proofErr w:type="spellStart"/>
      <w:r w:rsidRPr="007122AB">
        <w:rPr>
          <w:rFonts w:ascii="Times New Roman" w:hAnsi="Times New Roman"/>
          <w:color w:val="000000" w:themeColor="text1"/>
          <w:sz w:val="16"/>
          <w:szCs w:val="16"/>
        </w:rPr>
        <w:t>сосродоточить</w:t>
      </w:r>
      <w:proofErr w:type="spellEnd"/>
      <w:r w:rsidRPr="007122AB">
        <w:rPr>
          <w:rFonts w:ascii="Times New Roman" w:hAnsi="Times New Roman"/>
          <w:color w:val="000000" w:themeColor="text1"/>
          <w:sz w:val="16"/>
          <w:szCs w:val="16"/>
        </w:rPr>
        <w:t xml:space="preserve"> на з-де 39 и ЦАГИ.</w:t>
      </w:r>
    </w:p>
    <w:p w14:paraId="14BEE2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2-х местных истребителей сосредоточить на Харьковском з-де и нормальный истребителей на з-де № 21.</w:t>
      </w:r>
    </w:p>
    <w:p w14:paraId="7A0E74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 отношении плана опытного строительст</w:t>
      </w:r>
      <w:r w:rsidRPr="007122AB">
        <w:rPr>
          <w:rFonts w:ascii="Times New Roman" w:hAnsi="Times New Roman"/>
          <w:color w:val="000000" w:themeColor="text1"/>
          <w:sz w:val="16"/>
          <w:szCs w:val="16"/>
        </w:rPr>
        <w:softHyphen/>
        <w:t>ва по разведывательной авиации принять следующее:</w:t>
      </w:r>
    </w:p>
    <w:p w14:paraId="1796A4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Срок выпуска Р-5 с М- 34 установить 1 Апреля 32 г. с тем, чтобы 32 году машина вошла </w:t>
      </w:r>
      <w:proofErr w:type="spellStart"/>
      <w:r w:rsidRPr="007122AB">
        <w:rPr>
          <w:rFonts w:ascii="Times New Roman" w:hAnsi="Times New Roman"/>
          <w:color w:val="000000" w:themeColor="text1"/>
          <w:sz w:val="16"/>
          <w:szCs w:val="16"/>
        </w:rPr>
        <w:t>всерийное</w:t>
      </w:r>
      <w:proofErr w:type="spellEnd"/>
      <w:r w:rsidRPr="007122AB">
        <w:rPr>
          <w:rFonts w:ascii="Times New Roman" w:hAnsi="Times New Roman"/>
          <w:color w:val="000000" w:themeColor="text1"/>
          <w:sz w:val="16"/>
          <w:szCs w:val="16"/>
        </w:rPr>
        <w:t xml:space="preserve"> производство.</w:t>
      </w:r>
    </w:p>
    <w:p w14:paraId="09445A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Р-5 с разрезными крыльями считать экспериментальной машиной.</w:t>
      </w:r>
    </w:p>
    <w:p w14:paraId="1E5A2D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Р-5 с М-27 из плана </w:t>
      </w:r>
      <w:proofErr w:type="spellStart"/>
      <w:r w:rsidRPr="007122AB">
        <w:rPr>
          <w:rFonts w:ascii="Times New Roman" w:hAnsi="Times New Roman"/>
          <w:color w:val="000000" w:themeColor="text1"/>
          <w:sz w:val="16"/>
          <w:szCs w:val="16"/>
        </w:rPr>
        <w:t>исключть</w:t>
      </w:r>
      <w:proofErr w:type="spellEnd"/>
    </w:p>
    <w:p w14:paraId="0486BE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Р-8 с М-27 из плана </w:t>
      </w:r>
      <w:proofErr w:type="spellStart"/>
      <w:r w:rsidRPr="007122AB">
        <w:rPr>
          <w:rFonts w:ascii="Times New Roman" w:hAnsi="Times New Roman"/>
          <w:color w:val="000000" w:themeColor="text1"/>
          <w:sz w:val="16"/>
          <w:szCs w:val="16"/>
        </w:rPr>
        <w:t>исключть</w:t>
      </w:r>
      <w:proofErr w:type="spellEnd"/>
    </w:p>
    <w:p w14:paraId="403D7A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Срок выпуска Р-8 с М-34 и Кертис </w:t>
      </w:r>
      <w:proofErr w:type="spellStart"/>
      <w:r w:rsidRPr="007122AB">
        <w:rPr>
          <w:rFonts w:ascii="Times New Roman" w:hAnsi="Times New Roman"/>
          <w:color w:val="000000" w:themeColor="text1"/>
          <w:sz w:val="16"/>
          <w:szCs w:val="16"/>
        </w:rPr>
        <w:t>Конкверрор</w:t>
      </w:r>
      <w:proofErr w:type="spellEnd"/>
      <w:r w:rsidRPr="007122AB">
        <w:rPr>
          <w:rFonts w:ascii="Times New Roman" w:hAnsi="Times New Roman"/>
          <w:color w:val="000000" w:themeColor="text1"/>
          <w:sz w:val="16"/>
          <w:szCs w:val="16"/>
        </w:rPr>
        <w:t xml:space="preserve"> установить 1/Ш-33 г.</w:t>
      </w:r>
    </w:p>
    <w:p w14:paraId="118FD9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Р-11 с М-27 из плана </w:t>
      </w:r>
      <w:proofErr w:type="spellStart"/>
      <w:r w:rsidRPr="007122AB">
        <w:rPr>
          <w:rFonts w:ascii="Times New Roman" w:hAnsi="Times New Roman"/>
          <w:color w:val="000000" w:themeColor="text1"/>
          <w:sz w:val="16"/>
          <w:szCs w:val="16"/>
        </w:rPr>
        <w:t>исключть</w:t>
      </w:r>
      <w:proofErr w:type="spellEnd"/>
    </w:p>
    <w:p w14:paraId="568CA6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Постройку Р-11 производить под мотор М-34 и </w:t>
      </w:r>
      <w:proofErr w:type="spellStart"/>
      <w:r w:rsidRPr="007122AB">
        <w:rPr>
          <w:rFonts w:ascii="Times New Roman" w:hAnsi="Times New Roman"/>
          <w:color w:val="000000" w:themeColor="text1"/>
          <w:sz w:val="16"/>
          <w:szCs w:val="16"/>
        </w:rPr>
        <w:t>Кертисс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Конкверрер</w:t>
      </w:r>
      <w:proofErr w:type="spellEnd"/>
      <w:r w:rsidRPr="007122AB">
        <w:rPr>
          <w:rFonts w:ascii="Times New Roman" w:hAnsi="Times New Roman"/>
          <w:color w:val="000000" w:themeColor="text1"/>
          <w:sz w:val="16"/>
          <w:szCs w:val="16"/>
        </w:rPr>
        <w:t>. Срок выпуска 1/Ш-33 г.</w:t>
      </w:r>
    </w:p>
    <w:p w14:paraId="6CC9A0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Срок выпуска Р-Р-11 на поплавках 1/Ш-33 г.</w:t>
      </w:r>
    </w:p>
    <w:p w14:paraId="0E12A5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Р-11 с М-27 из плана </w:t>
      </w:r>
      <w:proofErr w:type="spellStart"/>
      <w:r w:rsidRPr="007122AB">
        <w:rPr>
          <w:rFonts w:ascii="Times New Roman" w:hAnsi="Times New Roman"/>
          <w:color w:val="000000" w:themeColor="text1"/>
          <w:sz w:val="16"/>
          <w:szCs w:val="16"/>
        </w:rPr>
        <w:t>исключть</w:t>
      </w:r>
      <w:proofErr w:type="spellEnd"/>
    </w:p>
    <w:p w14:paraId="7C53DC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Р-12 проектировать под М-34 и </w:t>
      </w:r>
      <w:proofErr w:type="spellStart"/>
      <w:r w:rsidRPr="007122AB">
        <w:rPr>
          <w:rFonts w:ascii="Times New Roman" w:hAnsi="Times New Roman"/>
          <w:color w:val="000000" w:themeColor="text1"/>
          <w:sz w:val="16"/>
          <w:szCs w:val="16"/>
        </w:rPr>
        <w:t>Кертисс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Конкверрер</w:t>
      </w:r>
      <w:proofErr w:type="spellEnd"/>
      <w:r w:rsidRPr="007122AB">
        <w:rPr>
          <w:rFonts w:ascii="Times New Roman" w:hAnsi="Times New Roman"/>
          <w:color w:val="000000" w:themeColor="text1"/>
          <w:sz w:val="16"/>
          <w:szCs w:val="16"/>
        </w:rPr>
        <w:t>. Срок выпуска 1/Ш-33 г.</w:t>
      </w:r>
    </w:p>
    <w:p w14:paraId="382F20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Р-10 с Р-35 в плане оставить со сроком выпуска 1/1Х-33 г.</w:t>
      </w:r>
    </w:p>
    <w:p w14:paraId="02FC70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Срок выпуска Р-6 с М-34 в 1-й половине 32 г. с </w:t>
      </w:r>
      <w:proofErr w:type="spellStart"/>
      <w:r w:rsidRPr="007122AB">
        <w:rPr>
          <w:rFonts w:ascii="Times New Roman" w:hAnsi="Times New Roman"/>
          <w:color w:val="000000" w:themeColor="text1"/>
          <w:sz w:val="16"/>
          <w:szCs w:val="16"/>
        </w:rPr>
        <w:t>рачетом</w:t>
      </w:r>
      <w:proofErr w:type="spellEnd"/>
      <w:r w:rsidRPr="007122AB">
        <w:rPr>
          <w:rFonts w:ascii="Times New Roman" w:hAnsi="Times New Roman"/>
          <w:color w:val="000000" w:themeColor="text1"/>
          <w:sz w:val="16"/>
          <w:szCs w:val="16"/>
        </w:rPr>
        <w:t xml:space="preserve"> пуска в серийное производство в 33 г.</w:t>
      </w:r>
    </w:p>
    <w:p w14:paraId="298736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Остальные типы МИ3 и СК, указанные в плане, принять.</w:t>
      </w:r>
    </w:p>
    <w:p w14:paraId="4343E8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Поставить в план ТШ2 с М-34. Срок выпуска 1/У1-32 г.</w:t>
      </w:r>
    </w:p>
    <w:p w14:paraId="1F2B54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ТШ3 с М34 в плане оставить</w:t>
      </w:r>
    </w:p>
    <w:p w14:paraId="5C6700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Легкий штурмовик в плане оставить</w:t>
      </w:r>
    </w:p>
    <w:p w14:paraId="769DB6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Включить в план ТБ3 с М-34 и Кертис </w:t>
      </w:r>
      <w:proofErr w:type="spellStart"/>
      <w:r w:rsidRPr="007122AB">
        <w:rPr>
          <w:rFonts w:ascii="Times New Roman" w:hAnsi="Times New Roman"/>
          <w:color w:val="000000" w:themeColor="text1"/>
          <w:sz w:val="16"/>
          <w:szCs w:val="16"/>
        </w:rPr>
        <w:t>Конкверрер</w:t>
      </w:r>
      <w:proofErr w:type="spellEnd"/>
      <w:r w:rsidRPr="007122AB">
        <w:rPr>
          <w:rFonts w:ascii="Times New Roman" w:hAnsi="Times New Roman"/>
          <w:color w:val="000000" w:themeColor="text1"/>
          <w:sz w:val="16"/>
          <w:szCs w:val="16"/>
        </w:rPr>
        <w:t xml:space="preserve"> и произвести полный монтаж </w:t>
      </w:r>
      <w:proofErr w:type="spellStart"/>
      <w:r w:rsidRPr="007122AB">
        <w:rPr>
          <w:rFonts w:ascii="Times New Roman" w:hAnsi="Times New Roman"/>
          <w:color w:val="000000" w:themeColor="text1"/>
          <w:sz w:val="16"/>
          <w:szCs w:val="16"/>
        </w:rPr>
        <w:t>воооружения</w:t>
      </w:r>
      <w:proofErr w:type="spellEnd"/>
      <w:r w:rsidRPr="007122AB">
        <w:rPr>
          <w:rFonts w:ascii="Times New Roman" w:hAnsi="Times New Roman"/>
          <w:color w:val="000000" w:themeColor="text1"/>
          <w:sz w:val="16"/>
          <w:szCs w:val="16"/>
        </w:rPr>
        <w:t>. Срок выпуска - начало 33 года.</w:t>
      </w:r>
    </w:p>
    <w:p w14:paraId="1B6BC5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Срок производства постановки 4х М17 на ТБ-5 остановить 1/1-32 г.</w:t>
      </w:r>
    </w:p>
    <w:p w14:paraId="10825E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Производство ТБЗ сосредоточить на 22 з-де и на з-де № 18</w:t>
      </w:r>
    </w:p>
    <w:p w14:paraId="74604A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Срок выпуска ТБ4 с М34 - 1/УП-32 г.</w:t>
      </w:r>
    </w:p>
    <w:p w14:paraId="2D0D9E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Форсировать изготовление ТВ6 с расчетом выпуска в конце 32 года.</w:t>
      </w:r>
    </w:p>
    <w:p w14:paraId="7E90A8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т. Щербакову договориться с УВВС о получении моторов ИЗОТА ФРАСКИНИ для выпуска К-7.</w:t>
      </w:r>
    </w:p>
    <w:p w14:paraId="0E9C6A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морского самолетостроения утвердить</w:t>
      </w:r>
    </w:p>
    <w:p w14:paraId="21A9A9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Вопрос о постановке моторов на МДРЗ оставить открытым и разрешить его одновременно с </w:t>
      </w:r>
      <w:proofErr w:type="spellStart"/>
      <w:r w:rsidRPr="007122AB">
        <w:rPr>
          <w:rFonts w:ascii="Times New Roman" w:hAnsi="Times New Roman"/>
          <w:color w:val="000000" w:themeColor="text1"/>
          <w:sz w:val="16"/>
          <w:szCs w:val="16"/>
        </w:rPr>
        <w:t>разрешениеи</w:t>
      </w:r>
      <w:proofErr w:type="spellEnd"/>
      <w:r w:rsidRPr="007122AB">
        <w:rPr>
          <w:rFonts w:ascii="Times New Roman" w:hAnsi="Times New Roman"/>
          <w:color w:val="000000" w:themeColor="text1"/>
          <w:sz w:val="16"/>
          <w:szCs w:val="16"/>
        </w:rPr>
        <w:t xml:space="preserve"> вопроса о постановке моторов на ТБ5. Предложить ЦАГИ выработать несколько типов </w:t>
      </w:r>
      <w:proofErr w:type="spellStart"/>
      <w:r w:rsidRPr="007122AB">
        <w:rPr>
          <w:rFonts w:ascii="Times New Roman" w:hAnsi="Times New Roman"/>
          <w:color w:val="000000" w:themeColor="text1"/>
          <w:sz w:val="16"/>
          <w:szCs w:val="16"/>
        </w:rPr>
        <w:t>авиэток</w:t>
      </w:r>
      <w:proofErr w:type="spellEnd"/>
      <w:r w:rsidRPr="007122AB">
        <w:rPr>
          <w:rFonts w:ascii="Times New Roman" w:hAnsi="Times New Roman"/>
          <w:color w:val="000000" w:themeColor="text1"/>
          <w:sz w:val="16"/>
          <w:szCs w:val="16"/>
        </w:rPr>
        <w:t xml:space="preserve"> и включить в план опыт</w:t>
      </w:r>
      <w:r w:rsidRPr="007122AB">
        <w:rPr>
          <w:rFonts w:ascii="Times New Roman" w:hAnsi="Times New Roman"/>
          <w:color w:val="000000" w:themeColor="text1"/>
          <w:sz w:val="16"/>
          <w:szCs w:val="16"/>
        </w:rPr>
        <w:softHyphen/>
        <w:t>ного строительства.</w:t>
      </w:r>
    </w:p>
    <w:p w14:paraId="04E168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Поручить т.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совместно с УВВС откорректировать план опытного </w:t>
      </w:r>
      <w:proofErr w:type="spellStart"/>
      <w:r w:rsidRPr="007122AB">
        <w:rPr>
          <w:rFonts w:ascii="Times New Roman" w:hAnsi="Times New Roman"/>
          <w:color w:val="000000" w:themeColor="text1"/>
          <w:sz w:val="16"/>
          <w:szCs w:val="16"/>
        </w:rPr>
        <w:t>самолетоетроения</w:t>
      </w:r>
      <w:proofErr w:type="spellEnd"/>
      <w:r w:rsidRPr="007122AB">
        <w:rPr>
          <w:rFonts w:ascii="Times New Roman" w:hAnsi="Times New Roman"/>
          <w:color w:val="000000" w:themeColor="text1"/>
          <w:sz w:val="16"/>
          <w:szCs w:val="16"/>
        </w:rPr>
        <w:t xml:space="preserve"> для представления УВВС. Срок 5-ти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w:t>
      </w:r>
    </w:p>
    <w:p w14:paraId="566D94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Поручить т.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согласовать с УВВС вопрос в части технических требований н сроков выхода опытных образцов на </w:t>
      </w:r>
      <w:proofErr w:type="spellStart"/>
      <w:r w:rsidRPr="007122AB">
        <w:rPr>
          <w:rFonts w:ascii="Times New Roman" w:hAnsi="Times New Roman"/>
          <w:color w:val="000000" w:themeColor="text1"/>
          <w:sz w:val="16"/>
          <w:szCs w:val="16"/>
        </w:rPr>
        <w:t>вюсударстввнные</w:t>
      </w:r>
      <w:proofErr w:type="spellEnd"/>
      <w:r w:rsidRPr="007122AB">
        <w:rPr>
          <w:rFonts w:ascii="Times New Roman" w:hAnsi="Times New Roman"/>
          <w:color w:val="000000" w:themeColor="text1"/>
          <w:sz w:val="16"/>
          <w:szCs w:val="16"/>
        </w:rPr>
        <w:t xml:space="preserve"> испытания. Срок 10-ти </w:t>
      </w:r>
      <w:proofErr w:type="spellStart"/>
      <w:r w:rsidRPr="007122AB">
        <w:rPr>
          <w:rFonts w:ascii="Times New Roman" w:hAnsi="Times New Roman"/>
          <w:color w:val="000000" w:themeColor="text1"/>
          <w:sz w:val="16"/>
          <w:szCs w:val="16"/>
        </w:rPr>
        <w:t>дневный</w:t>
      </w:r>
      <w:proofErr w:type="spellEnd"/>
    </w:p>
    <w:p w14:paraId="44DA3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согласовании доложить мне (351).</w:t>
      </w:r>
    </w:p>
    <w:p w14:paraId="021913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Приложения:</w:t>
      </w:r>
    </w:p>
    <w:p w14:paraId="1718BA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Опытного самолетостроения Сравнение унифицированной программы, намеченной УВВС и ОКБ на 1931-1934 Самолеты опытного самолетостроения ОКБ на 1931-1934 (по плану, утвержденному 23 сентября 1931)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984"/>
        <w:gridCol w:w="5245"/>
      </w:tblGrid>
      <w:tr w:rsidR="001002C3" w:rsidRPr="007122AB" w14:paraId="6D4D0D6C" w14:textId="77777777">
        <w:tc>
          <w:tcPr>
            <w:tcW w:w="1809" w:type="dxa"/>
          </w:tcPr>
          <w:p w14:paraId="2ABC2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1560" w:type="dxa"/>
          </w:tcPr>
          <w:p w14:paraId="10123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Намечено ВВС</w:t>
            </w:r>
          </w:p>
        </w:tc>
        <w:tc>
          <w:tcPr>
            <w:tcW w:w="1984" w:type="dxa"/>
          </w:tcPr>
          <w:p w14:paraId="272C3E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Добавлено ОКБ</w:t>
            </w:r>
          </w:p>
        </w:tc>
        <w:tc>
          <w:tcPr>
            <w:tcW w:w="5245" w:type="dxa"/>
          </w:tcPr>
          <w:p w14:paraId="67637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 программе</w:t>
            </w:r>
          </w:p>
        </w:tc>
      </w:tr>
      <w:tr w:rsidR="001002C3" w:rsidRPr="007122AB" w14:paraId="40F90828" w14:textId="77777777">
        <w:tc>
          <w:tcPr>
            <w:tcW w:w="1809" w:type="dxa"/>
          </w:tcPr>
          <w:p w14:paraId="4008D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560" w:type="dxa"/>
          </w:tcPr>
          <w:p w14:paraId="2F42F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84" w:type="dxa"/>
          </w:tcPr>
          <w:p w14:paraId="36985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И5-М22улучш</w:t>
            </w:r>
          </w:p>
        </w:tc>
        <w:tc>
          <w:tcPr>
            <w:tcW w:w="5245" w:type="dxa"/>
          </w:tcPr>
          <w:p w14:paraId="0DFD1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И5-М22улучш</w:t>
            </w:r>
          </w:p>
        </w:tc>
      </w:tr>
      <w:tr w:rsidR="001002C3" w:rsidRPr="007122AB" w14:paraId="08E29882" w14:textId="77777777">
        <w:tc>
          <w:tcPr>
            <w:tcW w:w="1809" w:type="dxa"/>
          </w:tcPr>
          <w:p w14:paraId="2CBAB0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1560" w:type="dxa"/>
          </w:tcPr>
          <w:p w14:paraId="111CE9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D26B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И5-М15</w:t>
            </w:r>
          </w:p>
        </w:tc>
        <w:tc>
          <w:tcPr>
            <w:tcW w:w="5245" w:type="dxa"/>
          </w:tcPr>
          <w:p w14:paraId="70690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И5-М15</w:t>
            </w:r>
          </w:p>
        </w:tc>
      </w:tr>
      <w:tr w:rsidR="001002C3" w:rsidRPr="007122AB" w14:paraId="5A761346" w14:textId="77777777">
        <w:tc>
          <w:tcPr>
            <w:tcW w:w="1809" w:type="dxa"/>
          </w:tcPr>
          <w:p w14:paraId="780174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пулеметный</w:t>
            </w:r>
          </w:p>
        </w:tc>
        <w:tc>
          <w:tcPr>
            <w:tcW w:w="1560" w:type="dxa"/>
          </w:tcPr>
          <w:p w14:paraId="6ADEC1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EA93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5245" w:type="dxa"/>
          </w:tcPr>
          <w:p w14:paraId="3BAC4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r>
      <w:tr w:rsidR="001002C3" w:rsidRPr="007122AB" w14:paraId="2E6018D7" w14:textId="77777777">
        <w:tc>
          <w:tcPr>
            <w:tcW w:w="1809" w:type="dxa"/>
          </w:tcPr>
          <w:p w14:paraId="7ECE3A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8AAD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CBD1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 доводка</w:t>
            </w:r>
          </w:p>
        </w:tc>
        <w:tc>
          <w:tcPr>
            <w:tcW w:w="5245" w:type="dxa"/>
          </w:tcPr>
          <w:p w14:paraId="5E20E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 Доводка</w:t>
            </w:r>
          </w:p>
        </w:tc>
      </w:tr>
      <w:tr w:rsidR="001002C3" w:rsidRPr="007122AB" w14:paraId="39803E12" w14:textId="77777777">
        <w:tc>
          <w:tcPr>
            <w:tcW w:w="1809" w:type="dxa"/>
          </w:tcPr>
          <w:p w14:paraId="37A5C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103C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FF8BD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w:t>
            </w:r>
          </w:p>
        </w:tc>
        <w:tc>
          <w:tcPr>
            <w:tcW w:w="5245" w:type="dxa"/>
          </w:tcPr>
          <w:p w14:paraId="0493E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w:t>
            </w:r>
          </w:p>
        </w:tc>
      </w:tr>
      <w:tr w:rsidR="001002C3" w:rsidRPr="007122AB" w14:paraId="35AD4EAA" w14:textId="77777777">
        <w:tc>
          <w:tcPr>
            <w:tcW w:w="1809" w:type="dxa"/>
          </w:tcPr>
          <w:p w14:paraId="07DA10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B808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61D40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И10-РП</w:t>
            </w:r>
          </w:p>
        </w:tc>
        <w:tc>
          <w:tcPr>
            <w:tcW w:w="5245" w:type="dxa"/>
          </w:tcPr>
          <w:p w14:paraId="3B4A8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И10-РП</w:t>
            </w:r>
          </w:p>
        </w:tc>
      </w:tr>
      <w:tr w:rsidR="001002C3" w:rsidRPr="007122AB" w14:paraId="29F9CE07" w14:textId="77777777">
        <w:tc>
          <w:tcPr>
            <w:tcW w:w="1809" w:type="dxa"/>
          </w:tcPr>
          <w:p w14:paraId="54AFA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26BDF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F77B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И11-М32</w:t>
            </w:r>
          </w:p>
        </w:tc>
        <w:tc>
          <w:tcPr>
            <w:tcW w:w="5245" w:type="dxa"/>
          </w:tcPr>
          <w:p w14:paraId="1F58BA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И11-М32</w:t>
            </w:r>
          </w:p>
        </w:tc>
      </w:tr>
      <w:tr w:rsidR="001002C3" w:rsidRPr="007122AB" w14:paraId="202FE4B4" w14:textId="77777777">
        <w:tc>
          <w:tcPr>
            <w:tcW w:w="1809" w:type="dxa"/>
          </w:tcPr>
          <w:p w14:paraId="6F61A0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560" w:type="dxa"/>
          </w:tcPr>
          <w:p w14:paraId="0F51BD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c>
          <w:tcPr>
            <w:tcW w:w="1984" w:type="dxa"/>
          </w:tcPr>
          <w:p w14:paraId="4DE51C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8B4D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r>
      <w:tr w:rsidR="001002C3" w:rsidRPr="007122AB" w14:paraId="694AC6B9" w14:textId="77777777">
        <w:tc>
          <w:tcPr>
            <w:tcW w:w="1809" w:type="dxa"/>
          </w:tcPr>
          <w:p w14:paraId="686594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1560" w:type="dxa"/>
          </w:tcPr>
          <w:p w14:paraId="1C075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c>
          <w:tcPr>
            <w:tcW w:w="1984" w:type="dxa"/>
          </w:tcPr>
          <w:p w14:paraId="60303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F3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r>
      <w:tr w:rsidR="001002C3" w:rsidRPr="007122AB" w14:paraId="054F8EFE" w14:textId="77777777">
        <w:tc>
          <w:tcPr>
            <w:tcW w:w="1809" w:type="dxa"/>
          </w:tcPr>
          <w:p w14:paraId="74B68C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пушечный</w:t>
            </w:r>
          </w:p>
        </w:tc>
        <w:tc>
          <w:tcPr>
            <w:tcW w:w="1560" w:type="dxa"/>
          </w:tcPr>
          <w:p w14:paraId="1A41E6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D4242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c>
          <w:tcPr>
            <w:tcW w:w="5245" w:type="dxa"/>
          </w:tcPr>
          <w:p w14:paraId="21F9C0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r>
      <w:tr w:rsidR="001002C3" w:rsidRPr="007122AB" w14:paraId="093AF15D" w14:textId="77777777">
        <w:tc>
          <w:tcPr>
            <w:tcW w:w="1809" w:type="dxa"/>
          </w:tcPr>
          <w:p w14:paraId="582D62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02EF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5ADF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c>
          <w:tcPr>
            <w:tcW w:w="5245" w:type="dxa"/>
          </w:tcPr>
          <w:p w14:paraId="7EE74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r>
      <w:tr w:rsidR="001002C3" w:rsidRPr="007122AB" w14:paraId="4D3DC2AF" w14:textId="77777777">
        <w:tc>
          <w:tcPr>
            <w:tcW w:w="1809" w:type="dxa"/>
          </w:tcPr>
          <w:p w14:paraId="354A2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560" w:type="dxa"/>
          </w:tcPr>
          <w:p w14:paraId="7897D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ДИ4-Керт.</w:t>
            </w:r>
          </w:p>
        </w:tc>
        <w:tc>
          <w:tcPr>
            <w:tcW w:w="1984" w:type="dxa"/>
          </w:tcPr>
          <w:p w14:paraId="7530FF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D1A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ДИ4-Керт.</w:t>
            </w:r>
          </w:p>
        </w:tc>
      </w:tr>
      <w:tr w:rsidR="001002C3" w:rsidRPr="007122AB" w14:paraId="1E08B544" w14:textId="77777777">
        <w:tc>
          <w:tcPr>
            <w:tcW w:w="1809" w:type="dxa"/>
          </w:tcPr>
          <w:p w14:paraId="556289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w:t>
            </w:r>
          </w:p>
        </w:tc>
        <w:tc>
          <w:tcPr>
            <w:tcW w:w="1560" w:type="dxa"/>
          </w:tcPr>
          <w:p w14:paraId="4053B3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60BD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ДИ7-М34</w:t>
            </w:r>
          </w:p>
        </w:tc>
        <w:tc>
          <w:tcPr>
            <w:tcW w:w="5245" w:type="dxa"/>
          </w:tcPr>
          <w:p w14:paraId="6E3C6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ДИ7-М34</w:t>
            </w:r>
          </w:p>
        </w:tc>
      </w:tr>
      <w:tr w:rsidR="001002C3" w:rsidRPr="007122AB" w14:paraId="35646AEF" w14:textId="77777777">
        <w:tc>
          <w:tcPr>
            <w:tcW w:w="1809" w:type="dxa"/>
          </w:tcPr>
          <w:p w14:paraId="4F1EB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7B35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1984" w:type="dxa"/>
          </w:tcPr>
          <w:p w14:paraId="651ED4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CC29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r>
      <w:tr w:rsidR="001002C3" w:rsidRPr="007122AB" w14:paraId="31175021" w14:textId="77777777">
        <w:tc>
          <w:tcPr>
            <w:tcW w:w="1809" w:type="dxa"/>
          </w:tcPr>
          <w:p w14:paraId="68672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95D0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9992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ДИ5-М34</w:t>
            </w:r>
          </w:p>
        </w:tc>
        <w:tc>
          <w:tcPr>
            <w:tcW w:w="5245" w:type="dxa"/>
          </w:tcPr>
          <w:p w14:paraId="7E918E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ДИ5-М34</w:t>
            </w:r>
          </w:p>
        </w:tc>
      </w:tr>
      <w:tr w:rsidR="001002C3" w:rsidRPr="007122AB" w14:paraId="3BE74B9C" w14:textId="77777777">
        <w:tc>
          <w:tcPr>
            <w:tcW w:w="1809" w:type="dxa"/>
          </w:tcPr>
          <w:p w14:paraId="6669D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1560" w:type="dxa"/>
          </w:tcPr>
          <w:p w14:paraId="05FAE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Р5-М34</w:t>
            </w:r>
          </w:p>
        </w:tc>
        <w:tc>
          <w:tcPr>
            <w:tcW w:w="1984" w:type="dxa"/>
          </w:tcPr>
          <w:p w14:paraId="058FDF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8BC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Р5-М34</w:t>
            </w:r>
          </w:p>
        </w:tc>
      </w:tr>
      <w:tr w:rsidR="001002C3" w:rsidRPr="007122AB" w14:paraId="200C33E8" w14:textId="77777777">
        <w:tc>
          <w:tcPr>
            <w:tcW w:w="1809" w:type="dxa"/>
          </w:tcPr>
          <w:p w14:paraId="334C7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8CA1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пассаж.</w:t>
            </w:r>
          </w:p>
        </w:tc>
        <w:tc>
          <w:tcPr>
            <w:tcW w:w="1984" w:type="dxa"/>
          </w:tcPr>
          <w:p w14:paraId="1CE09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04A3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пассаж.</w:t>
            </w:r>
          </w:p>
        </w:tc>
      </w:tr>
      <w:tr w:rsidR="001002C3" w:rsidRPr="007122AB" w14:paraId="2B84C7FF" w14:textId="77777777">
        <w:tc>
          <w:tcPr>
            <w:tcW w:w="1809" w:type="dxa"/>
          </w:tcPr>
          <w:p w14:paraId="0F3015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2BCC2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Р8-М27/34</w:t>
            </w:r>
          </w:p>
        </w:tc>
        <w:tc>
          <w:tcPr>
            <w:tcW w:w="1984" w:type="dxa"/>
          </w:tcPr>
          <w:p w14:paraId="5E815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42A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r>
      <w:tr w:rsidR="001002C3" w:rsidRPr="007122AB" w14:paraId="2A6152E1" w14:textId="77777777">
        <w:tc>
          <w:tcPr>
            <w:tcW w:w="1809" w:type="dxa"/>
          </w:tcPr>
          <w:p w14:paraId="1FF93F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81838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c>
          <w:tcPr>
            <w:tcW w:w="1984" w:type="dxa"/>
          </w:tcPr>
          <w:p w14:paraId="143AA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AA5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r>
      <w:tr w:rsidR="001002C3" w:rsidRPr="007122AB" w14:paraId="0161208E" w14:textId="77777777">
        <w:tc>
          <w:tcPr>
            <w:tcW w:w="1809" w:type="dxa"/>
          </w:tcPr>
          <w:p w14:paraId="72B552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1229E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8266D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Р11-М34</w:t>
            </w:r>
          </w:p>
        </w:tc>
        <w:tc>
          <w:tcPr>
            <w:tcW w:w="5245" w:type="dxa"/>
          </w:tcPr>
          <w:p w14:paraId="154E8C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Р11-М34</w:t>
            </w:r>
          </w:p>
        </w:tc>
      </w:tr>
      <w:tr w:rsidR="001002C3" w:rsidRPr="007122AB" w14:paraId="4163C892" w14:textId="77777777">
        <w:tc>
          <w:tcPr>
            <w:tcW w:w="1809" w:type="dxa"/>
          </w:tcPr>
          <w:p w14:paraId="062AA5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D09D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D482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Р13-Керт.К.</w:t>
            </w:r>
          </w:p>
        </w:tc>
        <w:tc>
          <w:tcPr>
            <w:tcW w:w="5245" w:type="dxa"/>
          </w:tcPr>
          <w:p w14:paraId="04B57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Р13-Керт.К.</w:t>
            </w:r>
          </w:p>
        </w:tc>
      </w:tr>
      <w:tr w:rsidR="001002C3" w:rsidRPr="007122AB" w14:paraId="1E997BF1" w14:textId="77777777">
        <w:tc>
          <w:tcPr>
            <w:tcW w:w="1809" w:type="dxa"/>
          </w:tcPr>
          <w:p w14:paraId="2C127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E366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ECB6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Р12-М34/</w:t>
            </w:r>
            <w:proofErr w:type="spellStart"/>
            <w:r w:rsidRPr="007122AB">
              <w:rPr>
                <w:rFonts w:ascii="Times New Roman" w:hAnsi="Times New Roman"/>
                <w:color w:val="000000" w:themeColor="text1"/>
                <w:sz w:val="16"/>
                <w:szCs w:val="16"/>
              </w:rPr>
              <w:t>Керт.К</w:t>
            </w:r>
            <w:proofErr w:type="spellEnd"/>
            <w:r w:rsidRPr="007122AB">
              <w:rPr>
                <w:rFonts w:ascii="Times New Roman" w:hAnsi="Times New Roman"/>
                <w:color w:val="000000" w:themeColor="text1"/>
                <w:sz w:val="16"/>
                <w:szCs w:val="16"/>
              </w:rPr>
              <w:t>.</w:t>
            </w:r>
          </w:p>
        </w:tc>
        <w:tc>
          <w:tcPr>
            <w:tcW w:w="5245" w:type="dxa"/>
          </w:tcPr>
          <w:p w14:paraId="741D2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Р12-М34/</w:t>
            </w:r>
            <w:proofErr w:type="spellStart"/>
            <w:r w:rsidRPr="007122AB">
              <w:rPr>
                <w:rFonts w:ascii="Times New Roman" w:hAnsi="Times New Roman"/>
                <w:color w:val="000000" w:themeColor="text1"/>
                <w:sz w:val="16"/>
                <w:szCs w:val="16"/>
              </w:rPr>
              <w:t>Керт.К</w:t>
            </w:r>
            <w:proofErr w:type="spellEnd"/>
            <w:r w:rsidRPr="007122AB">
              <w:rPr>
                <w:rFonts w:ascii="Times New Roman" w:hAnsi="Times New Roman"/>
                <w:color w:val="000000" w:themeColor="text1"/>
                <w:sz w:val="16"/>
                <w:szCs w:val="16"/>
              </w:rPr>
              <w:t>.</w:t>
            </w:r>
          </w:p>
        </w:tc>
      </w:tr>
      <w:tr w:rsidR="001002C3" w:rsidRPr="007122AB" w14:paraId="15B085D2" w14:textId="77777777">
        <w:tc>
          <w:tcPr>
            <w:tcW w:w="1809" w:type="dxa"/>
          </w:tcPr>
          <w:p w14:paraId="01347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1560" w:type="dxa"/>
          </w:tcPr>
          <w:p w14:paraId="55C462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9FE00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Р6-2М34</w:t>
            </w:r>
          </w:p>
        </w:tc>
        <w:tc>
          <w:tcPr>
            <w:tcW w:w="5245" w:type="dxa"/>
          </w:tcPr>
          <w:p w14:paraId="50743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Р6-2М34</w:t>
            </w:r>
          </w:p>
        </w:tc>
      </w:tr>
      <w:tr w:rsidR="001002C3" w:rsidRPr="007122AB" w14:paraId="193F4884" w14:textId="77777777">
        <w:tc>
          <w:tcPr>
            <w:tcW w:w="1809" w:type="dxa"/>
          </w:tcPr>
          <w:p w14:paraId="300A8B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FA02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1984" w:type="dxa"/>
          </w:tcPr>
          <w:p w14:paraId="5D6BF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057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r>
      <w:tr w:rsidR="001002C3" w:rsidRPr="007122AB" w14:paraId="74755F88" w14:textId="77777777">
        <w:tc>
          <w:tcPr>
            <w:tcW w:w="1809" w:type="dxa"/>
          </w:tcPr>
          <w:p w14:paraId="2BCDAB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C429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c>
          <w:tcPr>
            <w:tcW w:w="1984" w:type="dxa"/>
          </w:tcPr>
          <w:p w14:paraId="718BF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A023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r>
      <w:tr w:rsidR="001002C3" w:rsidRPr="007122AB" w14:paraId="1C16FD79" w14:textId="77777777">
        <w:tc>
          <w:tcPr>
            <w:tcW w:w="1809" w:type="dxa"/>
          </w:tcPr>
          <w:p w14:paraId="55DEEC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Штурмовые</w:t>
            </w:r>
          </w:p>
        </w:tc>
        <w:tc>
          <w:tcPr>
            <w:tcW w:w="1560" w:type="dxa"/>
          </w:tcPr>
          <w:p w14:paraId="641D1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B5B91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c>
          <w:tcPr>
            <w:tcW w:w="5245" w:type="dxa"/>
          </w:tcPr>
          <w:p w14:paraId="12F6AB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r>
      <w:tr w:rsidR="001002C3" w:rsidRPr="007122AB" w14:paraId="158DA56A" w14:textId="77777777">
        <w:tc>
          <w:tcPr>
            <w:tcW w:w="1809" w:type="dxa"/>
          </w:tcPr>
          <w:p w14:paraId="3906C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87F1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984" w:type="dxa"/>
          </w:tcPr>
          <w:p w14:paraId="213D25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D7F9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ТШ3-М34</w:t>
            </w:r>
          </w:p>
        </w:tc>
      </w:tr>
      <w:tr w:rsidR="001002C3" w:rsidRPr="007122AB" w14:paraId="3528F318" w14:textId="77777777">
        <w:tc>
          <w:tcPr>
            <w:tcW w:w="1809" w:type="dxa"/>
          </w:tcPr>
          <w:p w14:paraId="760F8B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D63D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1984" w:type="dxa"/>
          </w:tcPr>
          <w:p w14:paraId="0AEBF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3D1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r>
      <w:tr w:rsidR="001002C3" w:rsidRPr="007122AB" w14:paraId="2EAB1496" w14:textId="77777777">
        <w:tc>
          <w:tcPr>
            <w:tcW w:w="1809" w:type="dxa"/>
          </w:tcPr>
          <w:p w14:paraId="7F02B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6591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2E121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c>
          <w:tcPr>
            <w:tcW w:w="5245" w:type="dxa"/>
          </w:tcPr>
          <w:p w14:paraId="51CFDF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r>
      <w:tr w:rsidR="001002C3" w:rsidRPr="007122AB" w14:paraId="14532855" w14:textId="77777777">
        <w:tc>
          <w:tcPr>
            <w:tcW w:w="1809" w:type="dxa"/>
          </w:tcPr>
          <w:p w14:paraId="74419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1560" w:type="dxa"/>
          </w:tcPr>
          <w:p w14:paraId="13136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B099A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c>
          <w:tcPr>
            <w:tcW w:w="5245" w:type="dxa"/>
          </w:tcPr>
          <w:p w14:paraId="6A81E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r>
      <w:tr w:rsidR="001002C3" w:rsidRPr="007122AB" w14:paraId="394A4D83" w14:textId="77777777">
        <w:tc>
          <w:tcPr>
            <w:tcW w:w="1809" w:type="dxa"/>
          </w:tcPr>
          <w:p w14:paraId="553F0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CA0A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1984" w:type="dxa"/>
          </w:tcPr>
          <w:p w14:paraId="57F62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07D3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r>
      <w:tr w:rsidR="001002C3" w:rsidRPr="007122AB" w14:paraId="4ABAE40B" w14:textId="77777777">
        <w:tc>
          <w:tcPr>
            <w:tcW w:w="1809" w:type="dxa"/>
          </w:tcPr>
          <w:p w14:paraId="728C7D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2AEA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097FC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w:t>
            </w:r>
          </w:p>
        </w:tc>
        <w:tc>
          <w:tcPr>
            <w:tcW w:w="5245" w:type="dxa"/>
          </w:tcPr>
          <w:p w14:paraId="71B869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w:t>
            </w:r>
          </w:p>
        </w:tc>
      </w:tr>
      <w:tr w:rsidR="001002C3" w:rsidRPr="007122AB" w14:paraId="60FF9601" w14:textId="77777777">
        <w:tc>
          <w:tcPr>
            <w:tcW w:w="1809" w:type="dxa"/>
          </w:tcPr>
          <w:p w14:paraId="7ECB5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DD3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1984" w:type="dxa"/>
          </w:tcPr>
          <w:p w14:paraId="73E3CB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F90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r>
      <w:tr w:rsidR="001002C3" w:rsidRPr="007122AB" w14:paraId="47B8E1B0" w14:textId="77777777">
        <w:tc>
          <w:tcPr>
            <w:tcW w:w="1809" w:type="dxa"/>
          </w:tcPr>
          <w:p w14:paraId="482A7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1638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w:t>
            </w:r>
          </w:p>
        </w:tc>
        <w:tc>
          <w:tcPr>
            <w:tcW w:w="1984" w:type="dxa"/>
          </w:tcPr>
          <w:p w14:paraId="014A3C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EF0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w:t>
            </w:r>
          </w:p>
        </w:tc>
      </w:tr>
      <w:tr w:rsidR="001002C3" w:rsidRPr="007122AB" w14:paraId="2203FA50" w14:textId="77777777">
        <w:tc>
          <w:tcPr>
            <w:tcW w:w="1809" w:type="dxa"/>
          </w:tcPr>
          <w:p w14:paraId="1AB6F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77819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984" w:type="dxa"/>
          </w:tcPr>
          <w:p w14:paraId="5583A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2AC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r>
      <w:tr w:rsidR="001002C3" w:rsidRPr="007122AB" w14:paraId="28995C23" w14:textId="77777777">
        <w:tc>
          <w:tcPr>
            <w:tcW w:w="1809" w:type="dxa"/>
          </w:tcPr>
          <w:p w14:paraId="0DA694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AADD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c>
          <w:tcPr>
            <w:tcW w:w="1984" w:type="dxa"/>
          </w:tcPr>
          <w:p w14:paraId="0A90AE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B7CAA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r>
      <w:tr w:rsidR="001002C3" w:rsidRPr="007122AB" w14:paraId="6F335660" w14:textId="77777777">
        <w:tc>
          <w:tcPr>
            <w:tcW w:w="1809" w:type="dxa"/>
          </w:tcPr>
          <w:p w14:paraId="1E707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CB6D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c>
          <w:tcPr>
            <w:tcW w:w="1984" w:type="dxa"/>
          </w:tcPr>
          <w:p w14:paraId="49380D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726F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r>
      <w:tr w:rsidR="001002C3" w:rsidRPr="007122AB" w14:paraId="0FB7AF2A" w14:textId="77777777">
        <w:tc>
          <w:tcPr>
            <w:tcW w:w="1809" w:type="dxa"/>
          </w:tcPr>
          <w:p w14:paraId="1F859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405B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ТБ7</w:t>
            </w:r>
          </w:p>
        </w:tc>
        <w:tc>
          <w:tcPr>
            <w:tcW w:w="1984" w:type="dxa"/>
          </w:tcPr>
          <w:p w14:paraId="49C40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4B8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СТБ7</w:t>
            </w:r>
          </w:p>
        </w:tc>
      </w:tr>
      <w:tr w:rsidR="001002C3" w:rsidRPr="007122AB" w14:paraId="12F28300" w14:textId="77777777">
        <w:tc>
          <w:tcPr>
            <w:tcW w:w="1809" w:type="dxa"/>
          </w:tcPr>
          <w:p w14:paraId="14C787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5A7BC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ТБ8</w:t>
            </w:r>
          </w:p>
        </w:tc>
        <w:tc>
          <w:tcPr>
            <w:tcW w:w="1984" w:type="dxa"/>
          </w:tcPr>
          <w:p w14:paraId="4EF98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5758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FB0C695" w14:textId="77777777">
        <w:tc>
          <w:tcPr>
            <w:tcW w:w="1809" w:type="dxa"/>
          </w:tcPr>
          <w:p w14:paraId="7C9864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D5EE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ТБ9</w:t>
            </w:r>
          </w:p>
        </w:tc>
        <w:tc>
          <w:tcPr>
            <w:tcW w:w="1984" w:type="dxa"/>
          </w:tcPr>
          <w:p w14:paraId="3DF448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88D7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9F2EA32" w14:textId="77777777">
        <w:tc>
          <w:tcPr>
            <w:tcW w:w="1809" w:type="dxa"/>
          </w:tcPr>
          <w:p w14:paraId="5BBEF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1560" w:type="dxa"/>
          </w:tcPr>
          <w:p w14:paraId="47F80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1EF2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w:t>
            </w:r>
          </w:p>
        </w:tc>
        <w:tc>
          <w:tcPr>
            <w:tcW w:w="5245" w:type="dxa"/>
          </w:tcPr>
          <w:p w14:paraId="1DECA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w:t>
            </w:r>
          </w:p>
        </w:tc>
      </w:tr>
      <w:tr w:rsidR="001002C3" w:rsidRPr="007122AB" w14:paraId="3FF7AD2A" w14:textId="77777777">
        <w:tc>
          <w:tcPr>
            <w:tcW w:w="1809" w:type="dxa"/>
          </w:tcPr>
          <w:p w14:paraId="170F4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1560" w:type="dxa"/>
          </w:tcPr>
          <w:p w14:paraId="3F33F5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984" w:type="dxa"/>
          </w:tcPr>
          <w:p w14:paraId="47628F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2831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r>
      <w:tr w:rsidR="001002C3" w:rsidRPr="007122AB" w14:paraId="718392D2" w14:textId="77777777">
        <w:tc>
          <w:tcPr>
            <w:tcW w:w="1809" w:type="dxa"/>
          </w:tcPr>
          <w:p w14:paraId="1BBAF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DA7AE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1984" w:type="dxa"/>
          </w:tcPr>
          <w:p w14:paraId="54D63B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B1B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r>
      <w:tr w:rsidR="001002C3" w:rsidRPr="007122AB" w14:paraId="4E3BF0B7" w14:textId="77777777">
        <w:tc>
          <w:tcPr>
            <w:tcW w:w="1809" w:type="dxa"/>
          </w:tcPr>
          <w:p w14:paraId="5FA46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112D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1984" w:type="dxa"/>
          </w:tcPr>
          <w:p w14:paraId="0BAF83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5BF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r>
      <w:tr w:rsidR="001002C3" w:rsidRPr="007122AB" w14:paraId="6AF56BFF" w14:textId="77777777">
        <w:tc>
          <w:tcPr>
            <w:tcW w:w="1809" w:type="dxa"/>
          </w:tcPr>
          <w:p w14:paraId="6C8E7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1560" w:type="dxa"/>
          </w:tcPr>
          <w:p w14:paraId="311BB0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E5F4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c>
          <w:tcPr>
            <w:tcW w:w="5245" w:type="dxa"/>
          </w:tcPr>
          <w:p w14:paraId="78A84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r>
      <w:tr w:rsidR="001002C3" w:rsidRPr="007122AB" w14:paraId="238CA9AA" w14:textId="77777777">
        <w:tc>
          <w:tcPr>
            <w:tcW w:w="1809" w:type="dxa"/>
          </w:tcPr>
          <w:p w14:paraId="643CF6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бомбардировщик</w:t>
            </w:r>
          </w:p>
        </w:tc>
        <w:tc>
          <w:tcPr>
            <w:tcW w:w="1560" w:type="dxa"/>
          </w:tcPr>
          <w:p w14:paraId="11D5A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B770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8056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04EEB19" w14:textId="77777777">
        <w:tc>
          <w:tcPr>
            <w:tcW w:w="1809" w:type="dxa"/>
          </w:tcPr>
          <w:p w14:paraId="6655B5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Специальные</w:t>
            </w:r>
          </w:p>
        </w:tc>
        <w:tc>
          <w:tcPr>
            <w:tcW w:w="1560" w:type="dxa"/>
          </w:tcPr>
          <w:p w14:paraId="01135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w:t>
            </w:r>
          </w:p>
        </w:tc>
        <w:tc>
          <w:tcPr>
            <w:tcW w:w="1984" w:type="dxa"/>
          </w:tcPr>
          <w:p w14:paraId="5EEB6B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75F5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w:t>
            </w:r>
          </w:p>
        </w:tc>
      </w:tr>
      <w:tr w:rsidR="001002C3" w:rsidRPr="007122AB" w14:paraId="51896E25" w14:textId="77777777">
        <w:tc>
          <w:tcPr>
            <w:tcW w:w="1809" w:type="dxa"/>
          </w:tcPr>
          <w:p w14:paraId="5E9DF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062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C3A6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5245" w:type="dxa"/>
          </w:tcPr>
          <w:p w14:paraId="675561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r>
      <w:tr w:rsidR="001002C3" w:rsidRPr="007122AB" w14:paraId="622D6F40" w14:textId="77777777">
        <w:tc>
          <w:tcPr>
            <w:tcW w:w="1809" w:type="dxa"/>
          </w:tcPr>
          <w:p w14:paraId="20535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98B43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E9DC7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5245" w:type="dxa"/>
          </w:tcPr>
          <w:p w14:paraId="760CBF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r>
      <w:tr w:rsidR="001002C3" w:rsidRPr="007122AB" w14:paraId="3006759F" w14:textId="77777777">
        <w:tc>
          <w:tcPr>
            <w:tcW w:w="1809" w:type="dxa"/>
          </w:tcPr>
          <w:p w14:paraId="0411C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8577B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F1B9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5245" w:type="dxa"/>
          </w:tcPr>
          <w:p w14:paraId="2F8583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r>
      <w:tr w:rsidR="001002C3" w:rsidRPr="007122AB" w14:paraId="7B4D08CA" w14:textId="77777777">
        <w:tc>
          <w:tcPr>
            <w:tcW w:w="1809" w:type="dxa"/>
          </w:tcPr>
          <w:p w14:paraId="02DB1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AE2DA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Х1-2М34</w:t>
            </w:r>
          </w:p>
        </w:tc>
        <w:tc>
          <w:tcPr>
            <w:tcW w:w="1984" w:type="dxa"/>
          </w:tcPr>
          <w:p w14:paraId="5BF02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F40A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E476CA" w14:textId="77777777">
        <w:tc>
          <w:tcPr>
            <w:tcW w:w="1809" w:type="dxa"/>
          </w:tcPr>
          <w:p w14:paraId="55573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D14F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ЛХ1-2М26</w:t>
            </w:r>
          </w:p>
        </w:tc>
        <w:tc>
          <w:tcPr>
            <w:tcW w:w="1984" w:type="dxa"/>
          </w:tcPr>
          <w:p w14:paraId="796D0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ECEA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E388C8" w14:textId="77777777">
        <w:tc>
          <w:tcPr>
            <w:tcW w:w="1809" w:type="dxa"/>
          </w:tcPr>
          <w:p w14:paraId="73AE0A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6E08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ЛС1-М48</w:t>
            </w:r>
          </w:p>
        </w:tc>
        <w:tc>
          <w:tcPr>
            <w:tcW w:w="1984" w:type="dxa"/>
          </w:tcPr>
          <w:p w14:paraId="1FB35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A4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2BD0A3" w14:textId="77777777">
        <w:tc>
          <w:tcPr>
            <w:tcW w:w="1809" w:type="dxa"/>
          </w:tcPr>
          <w:p w14:paraId="730346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FC51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СС1-М26</w:t>
            </w:r>
          </w:p>
        </w:tc>
        <w:tc>
          <w:tcPr>
            <w:tcW w:w="1984" w:type="dxa"/>
          </w:tcPr>
          <w:p w14:paraId="26F6E7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199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AEA359" w14:textId="77777777">
        <w:tc>
          <w:tcPr>
            <w:tcW w:w="1809" w:type="dxa"/>
          </w:tcPr>
          <w:p w14:paraId="29EFC3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1A8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ВС2-2М26</w:t>
            </w:r>
          </w:p>
        </w:tc>
        <w:tc>
          <w:tcPr>
            <w:tcW w:w="1984" w:type="dxa"/>
          </w:tcPr>
          <w:p w14:paraId="0AEB4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D1B8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33192A0" w14:textId="77777777">
        <w:tc>
          <w:tcPr>
            <w:tcW w:w="1809" w:type="dxa"/>
          </w:tcPr>
          <w:p w14:paraId="65BD60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D3A5F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ПБ1</w:t>
            </w:r>
          </w:p>
        </w:tc>
        <w:tc>
          <w:tcPr>
            <w:tcW w:w="1984" w:type="dxa"/>
          </w:tcPr>
          <w:p w14:paraId="336F4B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FB44E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8A0BD3A" w14:textId="77777777">
        <w:tc>
          <w:tcPr>
            <w:tcW w:w="1809" w:type="dxa"/>
          </w:tcPr>
          <w:p w14:paraId="2FD2D4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632CE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Э-1</w:t>
            </w:r>
          </w:p>
        </w:tc>
        <w:tc>
          <w:tcPr>
            <w:tcW w:w="1984" w:type="dxa"/>
          </w:tcPr>
          <w:p w14:paraId="262B7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066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8AB3598" w14:textId="77777777">
        <w:tc>
          <w:tcPr>
            <w:tcW w:w="1809" w:type="dxa"/>
          </w:tcPr>
          <w:p w14:paraId="39882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7FA5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Э-2</w:t>
            </w:r>
          </w:p>
        </w:tc>
        <w:tc>
          <w:tcPr>
            <w:tcW w:w="1984" w:type="dxa"/>
          </w:tcPr>
          <w:p w14:paraId="192100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0C30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D51FA16" w14:textId="77777777">
        <w:tc>
          <w:tcPr>
            <w:tcW w:w="1809" w:type="dxa"/>
          </w:tcPr>
          <w:p w14:paraId="6B33D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F4658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Г-2</w:t>
            </w:r>
          </w:p>
        </w:tc>
        <w:tc>
          <w:tcPr>
            <w:tcW w:w="1984" w:type="dxa"/>
          </w:tcPr>
          <w:p w14:paraId="08C5AF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DF5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859774C" w14:textId="77777777">
        <w:tc>
          <w:tcPr>
            <w:tcW w:w="1809" w:type="dxa"/>
          </w:tcPr>
          <w:p w14:paraId="7CF41F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C795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А-2</w:t>
            </w:r>
          </w:p>
        </w:tc>
        <w:tc>
          <w:tcPr>
            <w:tcW w:w="1984" w:type="dxa"/>
          </w:tcPr>
          <w:p w14:paraId="15726F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29C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6D9A8A" w14:textId="77777777">
        <w:tc>
          <w:tcPr>
            <w:tcW w:w="1809" w:type="dxa"/>
          </w:tcPr>
          <w:p w14:paraId="1B42A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6773B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984" w:type="dxa"/>
          </w:tcPr>
          <w:p w14:paraId="07406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FAB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A1E378A" w14:textId="77777777">
        <w:tc>
          <w:tcPr>
            <w:tcW w:w="1809" w:type="dxa"/>
          </w:tcPr>
          <w:p w14:paraId="66CEA1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00C5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3E9C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1</w:t>
            </w:r>
          </w:p>
        </w:tc>
        <w:tc>
          <w:tcPr>
            <w:tcW w:w="5245" w:type="dxa"/>
          </w:tcPr>
          <w:p w14:paraId="0A35B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1</w:t>
            </w:r>
          </w:p>
        </w:tc>
      </w:tr>
      <w:tr w:rsidR="001002C3" w:rsidRPr="007122AB" w14:paraId="21150A1E" w14:textId="77777777">
        <w:tc>
          <w:tcPr>
            <w:tcW w:w="1809" w:type="dxa"/>
          </w:tcPr>
          <w:p w14:paraId="044586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A53D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D2EB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2</w:t>
            </w:r>
          </w:p>
        </w:tc>
        <w:tc>
          <w:tcPr>
            <w:tcW w:w="5245" w:type="dxa"/>
          </w:tcPr>
          <w:p w14:paraId="04969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2</w:t>
            </w:r>
          </w:p>
        </w:tc>
      </w:tr>
      <w:tr w:rsidR="001002C3" w:rsidRPr="007122AB" w14:paraId="626C6BC8" w14:textId="77777777">
        <w:tc>
          <w:tcPr>
            <w:tcW w:w="1809" w:type="dxa"/>
          </w:tcPr>
          <w:p w14:paraId="3F31F2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A2DE4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DAB0A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3</w:t>
            </w:r>
          </w:p>
        </w:tc>
        <w:tc>
          <w:tcPr>
            <w:tcW w:w="5245" w:type="dxa"/>
          </w:tcPr>
          <w:p w14:paraId="35BB0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3</w:t>
            </w:r>
          </w:p>
        </w:tc>
      </w:tr>
      <w:tr w:rsidR="001002C3" w:rsidRPr="007122AB" w14:paraId="0923B260" w14:textId="77777777">
        <w:tc>
          <w:tcPr>
            <w:tcW w:w="1809" w:type="dxa"/>
          </w:tcPr>
          <w:p w14:paraId="746FB3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560" w:type="dxa"/>
          </w:tcPr>
          <w:p w14:paraId="7C3863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A5FC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У3-РЖ6</w:t>
            </w:r>
          </w:p>
        </w:tc>
        <w:tc>
          <w:tcPr>
            <w:tcW w:w="5245" w:type="dxa"/>
          </w:tcPr>
          <w:p w14:paraId="6742CF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w:t>
            </w:r>
          </w:p>
        </w:tc>
      </w:tr>
      <w:tr w:rsidR="001002C3" w:rsidRPr="007122AB" w14:paraId="70B8BA73" w14:textId="77777777">
        <w:tc>
          <w:tcPr>
            <w:tcW w:w="1809" w:type="dxa"/>
          </w:tcPr>
          <w:p w14:paraId="397EB5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D026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F59A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У4-РЖ6</w:t>
            </w:r>
          </w:p>
        </w:tc>
        <w:tc>
          <w:tcPr>
            <w:tcW w:w="5245" w:type="dxa"/>
          </w:tcPr>
          <w:p w14:paraId="5C958F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w:t>
            </w:r>
          </w:p>
        </w:tc>
      </w:tr>
      <w:tr w:rsidR="001002C3" w:rsidRPr="007122AB" w14:paraId="26E6A379" w14:textId="77777777">
        <w:tc>
          <w:tcPr>
            <w:tcW w:w="1809" w:type="dxa"/>
          </w:tcPr>
          <w:p w14:paraId="79D5B7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6F62E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D5F7C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С1-РЖ6</w:t>
            </w:r>
          </w:p>
        </w:tc>
        <w:tc>
          <w:tcPr>
            <w:tcW w:w="5245" w:type="dxa"/>
          </w:tcPr>
          <w:p w14:paraId="532E0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w:t>
            </w:r>
          </w:p>
        </w:tc>
      </w:tr>
      <w:tr w:rsidR="001002C3" w:rsidRPr="007122AB" w14:paraId="37B8FF22" w14:textId="77777777">
        <w:tc>
          <w:tcPr>
            <w:tcW w:w="1809" w:type="dxa"/>
          </w:tcPr>
          <w:p w14:paraId="791A1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95E5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3834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1</w:t>
            </w:r>
          </w:p>
        </w:tc>
        <w:tc>
          <w:tcPr>
            <w:tcW w:w="5245" w:type="dxa"/>
          </w:tcPr>
          <w:p w14:paraId="4F4226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1</w:t>
            </w:r>
          </w:p>
        </w:tc>
      </w:tr>
      <w:tr w:rsidR="001002C3" w:rsidRPr="007122AB" w14:paraId="3311B50D" w14:textId="77777777">
        <w:tc>
          <w:tcPr>
            <w:tcW w:w="1809" w:type="dxa"/>
          </w:tcPr>
          <w:p w14:paraId="4F207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C92F2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C6677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2</w:t>
            </w:r>
          </w:p>
        </w:tc>
        <w:tc>
          <w:tcPr>
            <w:tcW w:w="5245" w:type="dxa"/>
          </w:tcPr>
          <w:p w14:paraId="21F0E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2</w:t>
            </w:r>
          </w:p>
        </w:tc>
      </w:tr>
      <w:tr w:rsidR="001002C3" w:rsidRPr="007122AB" w14:paraId="3C05432D" w14:textId="77777777">
        <w:tc>
          <w:tcPr>
            <w:tcW w:w="1809" w:type="dxa"/>
          </w:tcPr>
          <w:p w14:paraId="495B90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8B73A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84A7D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3</w:t>
            </w:r>
          </w:p>
        </w:tc>
        <w:tc>
          <w:tcPr>
            <w:tcW w:w="5245" w:type="dxa"/>
          </w:tcPr>
          <w:p w14:paraId="2CAE7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3</w:t>
            </w:r>
          </w:p>
        </w:tc>
      </w:tr>
      <w:tr w:rsidR="001002C3" w:rsidRPr="007122AB" w14:paraId="141CE8A1" w14:textId="77777777">
        <w:tc>
          <w:tcPr>
            <w:tcW w:w="1809" w:type="dxa"/>
          </w:tcPr>
          <w:p w14:paraId="30EEE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86F20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A46D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4</w:t>
            </w:r>
          </w:p>
        </w:tc>
        <w:tc>
          <w:tcPr>
            <w:tcW w:w="5245" w:type="dxa"/>
          </w:tcPr>
          <w:p w14:paraId="4BD3B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4</w:t>
            </w:r>
          </w:p>
        </w:tc>
      </w:tr>
    </w:tbl>
    <w:p w14:paraId="341536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типов самолетов, намеченных по плану УВВС и ОКБ к серийному производству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1002C3" w:rsidRPr="007122AB" w14:paraId="1DF0A2BA" w14:textId="77777777">
        <w:tc>
          <w:tcPr>
            <w:tcW w:w="1127" w:type="dxa"/>
          </w:tcPr>
          <w:p w14:paraId="2CC9D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1127" w:type="dxa"/>
          </w:tcPr>
          <w:p w14:paraId="565438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1127" w:type="dxa"/>
          </w:tcPr>
          <w:p w14:paraId="780E1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F762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1127" w:type="dxa"/>
          </w:tcPr>
          <w:p w14:paraId="01BB73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F386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1127" w:type="dxa"/>
          </w:tcPr>
          <w:p w14:paraId="022B6F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6E2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1127" w:type="dxa"/>
          </w:tcPr>
          <w:p w14:paraId="36FCDE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6ECABD2" w14:textId="77777777">
        <w:tc>
          <w:tcPr>
            <w:tcW w:w="1127" w:type="dxa"/>
          </w:tcPr>
          <w:p w14:paraId="339F85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9CA8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3A950B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1127" w:type="dxa"/>
          </w:tcPr>
          <w:p w14:paraId="02F53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156CB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1127" w:type="dxa"/>
          </w:tcPr>
          <w:p w14:paraId="079D66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3C7DB7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1127" w:type="dxa"/>
          </w:tcPr>
          <w:p w14:paraId="3DF426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5A804B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3B1BA383" w14:textId="77777777">
        <w:tc>
          <w:tcPr>
            <w:tcW w:w="1127" w:type="dxa"/>
          </w:tcPr>
          <w:p w14:paraId="408855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127" w:type="dxa"/>
          </w:tcPr>
          <w:p w14:paraId="4932E1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3FF49F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26A2BD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4C417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0662E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BD06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1127" w:type="dxa"/>
          </w:tcPr>
          <w:p w14:paraId="259455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6B223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F8A0714" w14:textId="77777777">
        <w:tc>
          <w:tcPr>
            <w:tcW w:w="1127" w:type="dxa"/>
          </w:tcPr>
          <w:p w14:paraId="2E5CA3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2E8B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4070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127" w:type="dxa"/>
          </w:tcPr>
          <w:p w14:paraId="3DF06E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127" w:type="dxa"/>
          </w:tcPr>
          <w:p w14:paraId="4BBFC5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127" w:type="dxa"/>
          </w:tcPr>
          <w:p w14:paraId="17165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F61F5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0D4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4BDC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45D64A" w14:textId="77777777">
        <w:tc>
          <w:tcPr>
            <w:tcW w:w="1127" w:type="dxa"/>
          </w:tcPr>
          <w:p w14:paraId="0D3E5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линейн</w:t>
            </w:r>
            <w:proofErr w:type="spellEnd"/>
            <w:r w:rsidRPr="007122AB">
              <w:rPr>
                <w:rFonts w:ascii="Times New Roman" w:hAnsi="Times New Roman"/>
                <w:color w:val="000000" w:themeColor="text1"/>
                <w:sz w:val="16"/>
                <w:szCs w:val="16"/>
              </w:rPr>
              <w:t>.</w:t>
            </w:r>
          </w:p>
        </w:tc>
        <w:tc>
          <w:tcPr>
            <w:tcW w:w="1127" w:type="dxa"/>
          </w:tcPr>
          <w:p w14:paraId="2C935C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C634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75366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58005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B6F3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ИП1</w:t>
            </w:r>
          </w:p>
        </w:tc>
        <w:tc>
          <w:tcPr>
            <w:tcW w:w="1127" w:type="dxa"/>
          </w:tcPr>
          <w:p w14:paraId="6416B0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лин</w:t>
            </w:r>
            <w:proofErr w:type="spellEnd"/>
            <w:r w:rsidRPr="007122AB">
              <w:rPr>
                <w:rFonts w:ascii="Times New Roman" w:hAnsi="Times New Roman"/>
                <w:color w:val="000000" w:themeColor="text1"/>
                <w:sz w:val="16"/>
                <w:szCs w:val="16"/>
              </w:rPr>
              <w:t>.</w:t>
            </w:r>
          </w:p>
        </w:tc>
        <w:tc>
          <w:tcPr>
            <w:tcW w:w="1127" w:type="dxa"/>
          </w:tcPr>
          <w:p w14:paraId="558C6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ИП1</w:t>
            </w:r>
          </w:p>
        </w:tc>
        <w:tc>
          <w:tcPr>
            <w:tcW w:w="1127" w:type="dxa"/>
          </w:tcPr>
          <w:p w14:paraId="076E3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D257BC5" w14:textId="77777777">
        <w:tc>
          <w:tcPr>
            <w:tcW w:w="1127" w:type="dxa"/>
          </w:tcPr>
          <w:p w14:paraId="313A8F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1127" w:type="dxa"/>
          </w:tcPr>
          <w:p w14:paraId="2E939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F212D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6CE47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2A73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w:t>
            </w:r>
          </w:p>
        </w:tc>
        <w:tc>
          <w:tcPr>
            <w:tcW w:w="1127" w:type="dxa"/>
          </w:tcPr>
          <w:p w14:paraId="33946A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FC7D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w:t>
            </w:r>
          </w:p>
        </w:tc>
        <w:tc>
          <w:tcPr>
            <w:tcW w:w="1127" w:type="dxa"/>
          </w:tcPr>
          <w:p w14:paraId="0FB08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28AAD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w:t>
            </w:r>
          </w:p>
        </w:tc>
      </w:tr>
      <w:tr w:rsidR="001002C3" w:rsidRPr="007122AB" w14:paraId="624D9A46" w14:textId="77777777">
        <w:tc>
          <w:tcPr>
            <w:tcW w:w="1127" w:type="dxa"/>
          </w:tcPr>
          <w:p w14:paraId="4209F0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127" w:type="dxa"/>
          </w:tcPr>
          <w:p w14:paraId="12540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127" w:type="dxa"/>
          </w:tcPr>
          <w:p w14:paraId="3CD4D4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127" w:type="dxa"/>
          </w:tcPr>
          <w:p w14:paraId="4BF3C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347E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83CE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2976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67A58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E991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DD2467" w14:textId="77777777">
        <w:tc>
          <w:tcPr>
            <w:tcW w:w="1127" w:type="dxa"/>
          </w:tcPr>
          <w:p w14:paraId="56245C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C0FA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103BC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6165F7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1FCC25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75B73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010A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6A212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41C2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38D175" w14:textId="77777777">
        <w:tc>
          <w:tcPr>
            <w:tcW w:w="1127" w:type="dxa"/>
          </w:tcPr>
          <w:p w14:paraId="3CCA47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72F83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4DEC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1D4B3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7FE8C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B67C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w:t>
            </w:r>
          </w:p>
        </w:tc>
        <w:tc>
          <w:tcPr>
            <w:tcW w:w="1127" w:type="dxa"/>
          </w:tcPr>
          <w:p w14:paraId="166257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5BE54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1CB7A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5D6DAAA" w14:textId="77777777">
        <w:tc>
          <w:tcPr>
            <w:tcW w:w="1127" w:type="dxa"/>
          </w:tcPr>
          <w:p w14:paraId="7CC868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5040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4D71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A018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6D6D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BE9F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w:t>
            </w:r>
          </w:p>
        </w:tc>
        <w:tc>
          <w:tcPr>
            <w:tcW w:w="1127" w:type="dxa"/>
          </w:tcPr>
          <w:p w14:paraId="3A1011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57CD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29CD6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7241F5A" w14:textId="77777777">
        <w:tc>
          <w:tcPr>
            <w:tcW w:w="1127" w:type="dxa"/>
          </w:tcPr>
          <w:p w14:paraId="1E8F5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1127" w:type="dxa"/>
          </w:tcPr>
          <w:p w14:paraId="7CAFD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012C1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1454A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0F8953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22500D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42E9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3AC0B6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E35F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F114E80" w14:textId="77777777">
        <w:tc>
          <w:tcPr>
            <w:tcW w:w="1127" w:type="dxa"/>
          </w:tcPr>
          <w:p w14:paraId="4FD3A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5485C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40B2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AE91F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C708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50C4B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1127" w:type="dxa"/>
          </w:tcPr>
          <w:p w14:paraId="23C54C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3060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964E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A692C0C" w14:textId="77777777">
        <w:tc>
          <w:tcPr>
            <w:tcW w:w="1127" w:type="dxa"/>
          </w:tcPr>
          <w:p w14:paraId="45FD3E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F61B7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2CD20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2557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3A1F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8908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AD22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B11EC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w:t>
            </w:r>
          </w:p>
        </w:tc>
        <w:tc>
          <w:tcPr>
            <w:tcW w:w="1127" w:type="dxa"/>
          </w:tcPr>
          <w:p w14:paraId="799D1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03F5485" w14:textId="77777777">
        <w:tc>
          <w:tcPr>
            <w:tcW w:w="1127" w:type="dxa"/>
          </w:tcPr>
          <w:p w14:paraId="4FCB7E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w:t>
            </w:r>
          </w:p>
        </w:tc>
        <w:tc>
          <w:tcPr>
            <w:tcW w:w="1127" w:type="dxa"/>
          </w:tcPr>
          <w:p w14:paraId="4CC20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B96A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E031E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127" w:type="dxa"/>
          </w:tcPr>
          <w:p w14:paraId="08A5CB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127" w:type="dxa"/>
          </w:tcPr>
          <w:p w14:paraId="5B842A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86BE5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127" w:type="dxa"/>
          </w:tcPr>
          <w:p w14:paraId="5E531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542D7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AC82E2C" w14:textId="77777777">
        <w:tc>
          <w:tcPr>
            <w:tcW w:w="1127" w:type="dxa"/>
          </w:tcPr>
          <w:p w14:paraId="789A6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6ACB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B910E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6F4C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73D1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DB5C6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127" w:type="dxa"/>
          </w:tcPr>
          <w:p w14:paraId="019BE1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429F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127" w:type="dxa"/>
          </w:tcPr>
          <w:p w14:paraId="694D0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B602531" w14:textId="77777777">
        <w:tc>
          <w:tcPr>
            <w:tcW w:w="1127" w:type="dxa"/>
          </w:tcPr>
          <w:p w14:paraId="7CA035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292CE3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127" w:type="dxa"/>
          </w:tcPr>
          <w:p w14:paraId="3A3076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127" w:type="dxa"/>
          </w:tcPr>
          <w:p w14:paraId="704B6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8F966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2E365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8C0EF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C9F7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DC86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FC36CCA" w14:textId="77777777">
        <w:tc>
          <w:tcPr>
            <w:tcW w:w="1127" w:type="dxa"/>
          </w:tcPr>
          <w:p w14:paraId="127FBF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9F32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1060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07608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3B2103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7C9E2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5A54A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7C8A3D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5E716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DCD427D" w14:textId="77777777">
        <w:tc>
          <w:tcPr>
            <w:tcW w:w="1127" w:type="dxa"/>
          </w:tcPr>
          <w:p w14:paraId="47315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 гигант</w:t>
            </w:r>
          </w:p>
        </w:tc>
        <w:tc>
          <w:tcPr>
            <w:tcW w:w="1127" w:type="dxa"/>
          </w:tcPr>
          <w:p w14:paraId="4BD30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9E26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E700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9EA6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1953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127" w:type="dxa"/>
          </w:tcPr>
          <w:p w14:paraId="73D9C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5DD37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127" w:type="dxa"/>
          </w:tcPr>
          <w:p w14:paraId="12979F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5806352" w14:textId="77777777">
        <w:tc>
          <w:tcPr>
            <w:tcW w:w="1127" w:type="dxa"/>
          </w:tcPr>
          <w:p w14:paraId="267CA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Морск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w:t>
            </w:r>
          </w:p>
        </w:tc>
        <w:tc>
          <w:tcPr>
            <w:tcW w:w="1127" w:type="dxa"/>
          </w:tcPr>
          <w:p w14:paraId="161FB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AD99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127" w:type="dxa"/>
          </w:tcPr>
          <w:p w14:paraId="683D76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127" w:type="dxa"/>
          </w:tcPr>
          <w:p w14:paraId="18E7D2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127" w:type="dxa"/>
          </w:tcPr>
          <w:p w14:paraId="107329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D1C2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C52B0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B3B8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8D1143E" w14:textId="77777777">
        <w:tc>
          <w:tcPr>
            <w:tcW w:w="1127" w:type="dxa"/>
          </w:tcPr>
          <w:p w14:paraId="196F1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5047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6D6AF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513F0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8FAD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1127" w:type="dxa"/>
          </w:tcPr>
          <w:p w14:paraId="0B447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1127" w:type="dxa"/>
          </w:tcPr>
          <w:p w14:paraId="5D3A5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1127" w:type="dxa"/>
          </w:tcPr>
          <w:p w14:paraId="236BFC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0CFA3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5D3DC6" w14:textId="77777777">
        <w:tc>
          <w:tcPr>
            <w:tcW w:w="1127" w:type="dxa"/>
          </w:tcPr>
          <w:p w14:paraId="480251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BEF7D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D9BB9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A1517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64010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2BC9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127" w:type="dxa"/>
          </w:tcPr>
          <w:p w14:paraId="37291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w:t>
            </w:r>
          </w:p>
        </w:tc>
        <w:tc>
          <w:tcPr>
            <w:tcW w:w="1127" w:type="dxa"/>
          </w:tcPr>
          <w:p w14:paraId="3E42E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127" w:type="dxa"/>
          </w:tcPr>
          <w:p w14:paraId="26D1F2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5C3069" w14:textId="77777777">
        <w:tc>
          <w:tcPr>
            <w:tcW w:w="1127" w:type="dxa"/>
          </w:tcPr>
          <w:p w14:paraId="1717C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7193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DBB14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D162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70C9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9B91A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D439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42A7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1127" w:type="dxa"/>
          </w:tcPr>
          <w:p w14:paraId="3D07B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B5B0EBB" w14:textId="77777777">
        <w:tc>
          <w:tcPr>
            <w:tcW w:w="1127" w:type="dxa"/>
          </w:tcPr>
          <w:p w14:paraId="4ABA2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Специальн</w:t>
            </w:r>
            <w:proofErr w:type="spellEnd"/>
            <w:r w:rsidRPr="007122AB">
              <w:rPr>
                <w:rFonts w:ascii="Times New Roman" w:hAnsi="Times New Roman"/>
                <w:color w:val="000000" w:themeColor="text1"/>
                <w:sz w:val="16"/>
                <w:szCs w:val="16"/>
              </w:rPr>
              <w:t>.</w:t>
            </w:r>
          </w:p>
        </w:tc>
        <w:tc>
          <w:tcPr>
            <w:tcW w:w="1127" w:type="dxa"/>
          </w:tcPr>
          <w:p w14:paraId="620DB2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27447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1E535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13BC6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D42F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DEBF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04F8C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6CF5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21431E7" w14:textId="77777777">
        <w:tc>
          <w:tcPr>
            <w:tcW w:w="1127" w:type="dxa"/>
          </w:tcPr>
          <w:p w14:paraId="3F50CC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9CA45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FD80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D9B0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FC299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779A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1DE93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2DE4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44E7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34FA1C8" w14:textId="77777777">
        <w:tc>
          <w:tcPr>
            <w:tcW w:w="1127" w:type="dxa"/>
          </w:tcPr>
          <w:p w14:paraId="3BCB63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B703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BFAC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E47E6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76B43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9155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3EB48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44B9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1127" w:type="dxa"/>
          </w:tcPr>
          <w:p w14:paraId="141C7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D0C6383" w14:textId="77777777">
        <w:tc>
          <w:tcPr>
            <w:tcW w:w="1127" w:type="dxa"/>
          </w:tcPr>
          <w:p w14:paraId="40FE2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19C6D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9257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E940B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089D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25DE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69EE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A277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w:t>
            </w:r>
          </w:p>
        </w:tc>
        <w:tc>
          <w:tcPr>
            <w:tcW w:w="1127" w:type="dxa"/>
          </w:tcPr>
          <w:p w14:paraId="376732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9A6625" w14:textId="77777777">
        <w:tc>
          <w:tcPr>
            <w:tcW w:w="1127" w:type="dxa"/>
          </w:tcPr>
          <w:p w14:paraId="2F5242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1DB69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974F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68E7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277D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B472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4FACF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4EC2C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ПБ-1</w:t>
            </w:r>
          </w:p>
        </w:tc>
        <w:tc>
          <w:tcPr>
            <w:tcW w:w="1127" w:type="dxa"/>
          </w:tcPr>
          <w:p w14:paraId="637020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672E51D" w14:textId="77777777">
        <w:tc>
          <w:tcPr>
            <w:tcW w:w="1127" w:type="dxa"/>
          </w:tcPr>
          <w:p w14:paraId="414D8F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825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D9D5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7E23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C8CDF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37490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9DB44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BD42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w:t>
            </w:r>
          </w:p>
        </w:tc>
        <w:tc>
          <w:tcPr>
            <w:tcW w:w="1127" w:type="dxa"/>
          </w:tcPr>
          <w:p w14:paraId="5521A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84BAE22" w14:textId="77777777">
        <w:tc>
          <w:tcPr>
            <w:tcW w:w="1127" w:type="dxa"/>
          </w:tcPr>
          <w:p w14:paraId="00CC4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Учебн</w:t>
            </w:r>
            <w:proofErr w:type="spellEnd"/>
            <w:r w:rsidRPr="007122AB">
              <w:rPr>
                <w:rFonts w:ascii="Times New Roman" w:hAnsi="Times New Roman"/>
                <w:color w:val="000000" w:themeColor="text1"/>
                <w:sz w:val="16"/>
                <w:szCs w:val="16"/>
              </w:rPr>
              <w:t>.</w:t>
            </w:r>
          </w:p>
        </w:tc>
        <w:tc>
          <w:tcPr>
            <w:tcW w:w="1127" w:type="dxa"/>
          </w:tcPr>
          <w:p w14:paraId="38A632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5AF51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089B4A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4885F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55DA8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3C733C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2BF200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7DF84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18826C3" w14:textId="77777777">
        <w:tc>
          <w:tcPr>
            <w:tcW w:w="1127" w:type="dxa"/>
          </w:tcPr>
          <w:p w14:paraId="4A642D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035A8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5811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361DB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C2176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AD1DE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w:t>
            </w:r>
          </w:p>
        </w:tc>
        <w:tc>
          <w:tcPr>
            <w:tcW w:w="1127" w:type="dxa"/>
          </w:tcPr>
          <w:p w14:paraId="105D3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3B36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3BF6B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4BB4C42" w14:textId="77777777">
        <w:tc>
          <w:tcPr>
            <w:tcW w:w="1127" w:type="dxa"/>
          </w:tcPr>
          <w:p w14:paraId="2F43C0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Спорт.</w:t>
            </w:r>
          </w:p>
        </w:tc>
        <w:tc>
          <w:tcPr>
            <w:tcW w:w="1127" w:type="dxa"/>
          </w:tcPr>
          <w:p w14:paraId="55357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FFFBA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0AB37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3794F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E5D6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F631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7637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F0819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2A02A0" w14:textId="77777777">
        <w:tc>
          <w:tcPr>
            <w:tcW w:w="1127" w:type="dxa"/>
          </w:tcPr>
          <w:p w14:paraId="50696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708D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A1CEF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3231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49E2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1C4A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0D9A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w:t>
            </w:r>
          </w:p>
        </w:tc>
        <w:tc>
          <w:tcPr>
            <w:tcW w:w="1127" w:type="dxa"/>
          </w:tcPr>
          <w:p w14:paraId="081DAD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5881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5964D63" w14:textId="77777777">
        <w:tc>
          <w:tcPr>
            <w:tcW w:w="1127" w:type="dxa"/>
          </w:tcPr>
          <w:p w14:paraId="43B360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Пассаж.</w:t>
            </w:r>
          </w:p>
        </w:tc>
        <w:tc>
          <w:tcPr>
            <w:tcW w:w="1127" w:type="dxa"/>
          </w:tcPr>
          <w:p w14:paraId="53809D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81F1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127" w:type="dxa"/>
          </w:tcPr>
          <w:p w14:paraId="2C0DA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33DB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127" w:type="dxa"/>
          </w:tcPr>
          <w:p w14:paraId="10AA4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FB66E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127" w:type="dxa"/>
          </w:tcPr>
          <w:p w14:paraId="44BDFD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7A9BB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89BCF6" w14:textId="77777777">
        <w:tc>
          <w:tcPr>
            <w:tcW w:w="1127" w:type="dxa"/>
          </w:tcPr>
          <w:p w14:paraId="0223A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C8B7E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E7F25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127" w:type="dxa"/>
          </w:tcPr>
          <w:p w14:paraId="6ED425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BA7C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127" w:type="dxa"/>
          </w:tcPr>
          <w:p w14:paraId="4E6E5A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A8ED5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127" w:type="dxa"/>
          </w:tcPr>
          <w:p w14:paraId="54988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A61D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3D22D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ТШ3 - однотипен с разведчиком (351).</w:t>
      </w:r>
    </w:p>
    <w:p w14:paraId="7DE69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опытного самолетостроения ОКБ и их внедрение в серию в 1931-1934 (по плану, утвержденному 23 сентября 1931)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711"/>
        <w:gridCol w:w="711"/>
        <w:gridCol w:w="1130"/>
        <w:gridCol w:w="2268"/>
        <w:gridCol w:w="708"/>
        <w:gridCol w:w="709"/>
        <w:gridCol w:w="567"/>
        <w:gridCol w:w="567"/>
        <w:gridCol w:w="709"/>
        <w:gridCol w:w="576"/>
      </w:tblGrid>
      <w:tr w:rsidR="001002C3" w:rsidRPr="007122AB" w14:paraId="77EE6EED" w14:textId="77777777">
        <w:tc>
          <w:tcPr>
            <w:tcW w:w="1951" w:type="dxa"/>
          </w:tcPr>
          <w:p w14:paraId="124E4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711" w:type="dxa"/>
          </w:tcPr>
          <w:p w14:paraId="61279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серии</w:t>
            </w:r>
          </w:p>
        </w:tc>
        <w:tc>
          <w:tcPr>
            <w:tcW w:w="711" w:type="dxa"/>
          </w:tcPr>
          <w:p w14:paraId="4646A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w:t>
            </w:r>
          </w:p>
        </w:tc>
        <w:tc>
          <w:tcPr>
            <w:tcW w:w="1130" w:type="dxa"/>
          </w:tcPr>
          <w:p w14:paraId="2048DB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Разработчик </w:t>
            </w:r>
          </w:p>
        </w:tc>
        <w:tc>
          <w:tcPr>
            <w:tcW w:w="2268" w:type="dxa"/>
          </w:tcPr>
          <w:p w14:paraId="26196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708" w:type="dxa"/>
          </w:tcPr>
          <w:p w14:paraId="38C81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DC7B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889EB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Серия</w:t>
            </w:r>
          </w:p>
        </w:tc>
        <w:tc>
          <w:tcPr>
            <w:tcW w:w="567" w:type="dxa"/>
          </w:tcPr>
          <w:p w14:paraId="5E1918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D37B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33EB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D1F9C9" w14:textId="77777777">
        <w:tc>
          <w:tcPr>
            <w:tcW w:w="1951" w:type="dxa"/>
          </w:tcPr>
          <w:p w14:paraId="112278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6D11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D374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BD05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1DE2B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317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709" w:type="dxa"/>
          </w:tcPr>
          <w:p w14:paraId="4CF8E6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567" w:type="dxa"/>
          </w:tcPr>
          <w:p w14:paraId="039F4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567" w:type="dxa"/>
          </w:tcPr>
          <w:p w14:paraId="10F93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709" w:type="dxa"/>
          </w:tcPr>
          <w:p w14:paraId="442E6D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1935</w:t>
            </w:r>
          </w:p>
        </w:tc>
        <w:tc>
          <w:tcPr>
            <w:tcW w:w="576" w:type="dxa"/>
          </w:tcPr>
          <w:p w14:paraId="4438A9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w:t>
            </w:r>
          </w:p>
        </w:tc>
      </w:tr>
      <w:tr w:rsidR="001002C3" w:rsidRPr="007122AB" w14:paraId="297EA6EA" w14:textId="77777777">
        <w:tc>
          <w:tcPr>
            <w:tcW w:w="1951" w:type="dxa"/>
          </w:tcPr>
          <w:p w14:paraId="2E686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711" w:type="dxa"/>
          </w:tcPr>
          <w:p w14:paraId="763A4E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И5-М22/15</w:t>
            </w:r>
          </w:p>
        </w:tc>
        <w:tc>
          <w:tcPr>
            <w:tcW w:w="711" w:type="dxa"/>
          </w:tcPr>
          <w:p w14:paraId="35F0EE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130" w:type="dxa"/>
          </w:tcPr>
          <w:p w14:paraId="770D7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B9F5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D939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w:t>
            </w:r>
            <w:proofErr w:type="spellStart"/>
            <w:r w:rsidRPr="007122AB">
              <w:rPr>
                <w:rFonts w:ascii="Times New Roman" w:hAnsi="Times New Roman"/>
                <w:color w:val="000000" w:themeColor="text1"/>
                <w:sz w:val="16"/>
                <w:szCs w:val="16"/>
              </w:rPr>
              <w:t>мас</w:t>
            </w:r>
            <w:proofErr w:type="spellEnd"/>
            <w:r w:rsidRPr="007122AB">
              <w:rPr>
                <w:rFonts w:ascii="Times New Roman" w:hAnsi="Times New Roman"/>
                <w:color w:val="000000" w:themeColor="text1"/>
                <w:sz w:val="16"/>
                <w:szCs w:val="16"/>
              </w:rPr>
              <w:t>)</w:t>
            </w:r>
          </w:p>
        </w:tc>
        <w:tc>
          <w:tcPr>
            <w:tcW w:w="709" w:type="dxa"/>
          </w:tcPr>
          <w:p w14:paraId="4A7F94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56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D15B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A4E6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F3E0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0EEEF922" w14:textId="77777777">
        <w:tc>
          <w:tcPr>
            <w:tcW w:w="1951" w:type="dxa"/>
          </w:tcPr>
          <w:p w14:paraId="7AD62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711" w:type="dxa"/>
          </w:tcPr>
          <w:p w14:paraId="03BAB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287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38BC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921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CAE2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714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567" w:type="dxa"/>
          </w:tcPr>
          <w:p w14:paraId="766B9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 (</w:t>
            </w:r>
            <w:proofErr w:type="spellStart"/>
            <w:r w:rsidRPr="007122AB">
              <w:rPr>
                <w:rFonts w:ascii="Times New Roman" w:hAnsi="Times New Roman"/>
                <w:color w:val="000000" w:themeColor="text1"/>
                <w:sz w:val="16"/>
                <w:szCs w:val="16"/>
              </w:rPr>
              <w:t>мас</w:t>
            </w:r>
            <w:proofErr w:type="spellEnd"/>
            <w:r w:rsidRPr="007122AB">
              <w:rPr>
                <w:rFonts w:ascii="Times New Roman" w:hAnsi="Times New Roman"/>
                <w:color w:val="000000" w:themeColor="text1"/>
                <w:sz w:val="16"/>
                <w:szCs w:val="16"/>
              </w:rPr>
              <w:t>)</w:t>
            </w:r>
          </w:p>
        </w:tc>
        <w:tc>
          <w:tcPr>
            <w:tcW w:w="567" w:type="dxa"/>
          </w:tcPr>
          <w:p w14:paraId="1881E3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FE3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901A3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r>
      <w:tr w:rsidR="001002C3" w:rsidRPr="007122AB" w14:paraId="488A6DDF" w14:textId="77777777">
        <w:tc>
          <w:tcPr>
            <w:tcW w:w="1951" w:type="dxa"/>
          </w:tcPr>
          <w:p w14:paraId="00D85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пулеметный</w:t>
            </w:r>
          </w:p>
        </w:tc>
        <w:tc>
          <w:tcPr>
            <w:tcW w:w="711" w:type="dxa"/>
          </w:tcPr>
          <w:p w14:paraId="066F1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И7-М17</w:t>
            </w:r>
          </w:p>
        </w:tc>
        <w:tc>
          <w:tcPr>
            <w:tcW w:w="711" w:type="dxa"/>
          </w:tcPr>
          <w:p w14:paraId="6E0BDA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130" w:type="dxa"/>
          </w:tcPr>
          <w:p w14:paraId="57BD75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3F5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740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54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 (</w:t>
            </w:r>
            <w:proofErr w:type="spellStart"/>
            <w:r w:rsidRPr="007122AB">
              <w:rPr>
                <w:rFonts w:ascii="Times New Roman" w:hAnsi="Times New Roman"/>
                <w:color w:val="000000" w:themeColor="text1"/>
                <w:sz w:val="16"/>
                <w:szCs w:val="16"/>
              </w:rPr>
              <w:t>мас</w:t>
            </w:r>
            <w:proofErr w:type="spellEnd"/>
            <w:r w:rsidRPr="007122AB">
              <w:rPr>
                <w:rFonts w:ascii="Times New Roman" w:hAnsi="Times New Roman"/>
                <w:color w:val="000000" w:themeColor="text1"/>
                <w:sz w:val="16"/>
                <w:szCs w:val="16"/>
              </w:rPr>
              <w:t>)</w:t>
            </w:r>
          </w:p>
        </w:tc>
        <w:tc>
          <w:tcPr>
            <w:tcW w:w="567" w:type="dxa"/>
          </w:tcPr>
          <w:p w14:paraId="6B7DAC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F5C12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48A3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FAC85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27F2C222" w14:textId="77777777">
        <w:tc>
          <w:tcPr>
            <w:tcW w:w="1951" w:type="dxa"/>
          </w:tcPr>
          <w:p w14:paraId="01A5CC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B323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563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0C1E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74FACE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И5бис-М22/15</w:t>
            </w:r>
          </w:p>
        </w:tc>
        <w:tc>
          <w:tcPr>
            <w:tcW w:w="708" w:type="dxa"/>
          </w:tcPr>
          <w:p w14:paraId="54D0A8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D31E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54E94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Ипул</w:t>
            </w:r>
            <w:proofErr w:type="spellEnd"/>
            <w:r w:rsidRPr="007122AB">
              <w:rPr>
                <w:rFonts w:ascii="Times New Roman" w:hAnsi="Times New Roman"/>
                <w:color w:val="000000" w:themeColor="text1"/>
                <w:sz w:val="16"/>
                <w:szCs w:val="16"/>
              </w:rPr>
              <w:t>.</w:t>
            </w:r>
          </w:p>
        </w:tc>
        <w:tc>
          <w:tcPr>
            <w:tcW w:w="567" w:type="dxa"/>
          </w:tcPr>
          <w:p w14:paraId="22B6C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Ипул</w:t>
            </w:r>
            <w:proofErr w:type="spellEnd"/>
            <w:r w:rsidRPr="007122AB">
              <w:rPr>
                <w:rFonts w:ascii="Times New Roman" w:hAnsi="Times New Roman"/>
                <w:color w:val="000000" w:themeColor="text1"/>
                <w:sz w:val="16"/>
                <w:szCs w:val="16"/>
              </w:rPr>
              <w:t>.</w:t>
            </w:r>
          </w:p>
        </w:tc>
        <w:tc>
          <w:tcPr>
            <w:tcW w:w="709" w:type="dxa"/>
          </w:tcPr>
          <w:p w14:paraId="585BB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w:t>
            </w:r>
          </w:p>
        </w:tc>
        <w:tc>
          <w:tcPr>
            <w:tcW w:w="576" w:type="dxa"/>
          </w:tcPr>
          <w:p w14:paraId="525BD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AF9504" w14:textId="77777777">
        <w:tc>
          <w:tcPr>
            <w:tcW w:w="1951" w:type="dxa"/>
          </w:tcPr>
          <w:p w14:paraId="270E5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4E94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91C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30DD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5165C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И5 </w:t>
            </w:r>
            <w:proofErr w:type="spellStart"/>
            <w:r w:rsidRPr="007122AB">
              <w:rPr>
                <w:rFonts w:ascii="Times New Roman" w:hAnsi="Times New Roman"/>
                <w:color w:val="000000" w:themeColor="text1"/>
                <w:sz w:val="16"/>
                <w:szCs w:val="16"/>
              </w:rPr>
              <w:t>улучш</w:t>
            </w:r>
            <w:proofErr w:type="spellEnd"/>
            <w:r w:rsidRPr="007122AB">
              <w:rPr>
                <w:rFonts w:ascii="Times New Roman" w:hAnsi="Times New Roman"/>
                <w:color w:val="000000" w:themeColor="text1"/>
                <w:sz w:val="16"/>
                <w:szCs w:val="16"/>
              </w:rPr>
              <w:t>.</w:t>
            </w:r>
          </w:p>
        </w:tc>
        <w:tc>
          <w:tcPr>
            <w:tcW w:w="708" w:type="dxa"/>
          </w:tcPr>
          <w:p w14:paraId="35F06D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B68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B97D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3242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3E75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132B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ED521F" w14:textId="77777777">
        <w:tc>
          <w:tcPr>
            <w:tcW w:w="1951" w:type="dxa"/>
          </w:tcPr>
          <w:p w14:paraId="3AF483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68D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EB05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E5FCA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0BD53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И5-М15</w:t>
            </w:r>
          </w:p>
        </w:tc>
        <w:tc>
          <w:tcPr>
            <w:tcW w:w="708" w:type="dxa"/>
          </w:tcPr>
          <w:p w14:paraId="0EAD5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B79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C033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892B2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D4C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3FE5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FD2F1F5" w14:textId="77777777">
        <w:tc>
          <w:tcPr>
            <w:tcW w:w="1951" w:type="dxa"/>
          </w:tcPr>
          <w:p w14:paraId="01743F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B82C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919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C213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71DA67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 доводка</w:t>
            </w:r>
          </w:p>
        </w:tc>
        <w:tc>
          <w:tcPr>
            <w:tcW w:w="708" w:type="dxa"/>
          </w:tcPr>
          <w:p w14:paraId="62B8D2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65E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320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4ECAA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47DD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E0E2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71E6F5E" w14:textId="77777777">
        <w:tc>
          <w:tcPr>
            <w:tcW w:w="1951" w:type="dxa"/>
          </w:tcPr>
          <w:p w14:paraId="1A992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B5C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8929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B245D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0D2FE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И10-М38РЦ</w:t>
            </w:r>
          </w:p>
        </w:tc>
        <w:tc>
          <w:tcPr>
            <w:tcW w:w="708" w:type="dxa"/>
          </w:tcPr>
          <w:p w14:paraId="02AE6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EB1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312C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A1F4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3CB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5ED186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18E1BC" w14:textId="77777777">
        <w:tc>
          <w:tcPr>
            <w:tcW w:w="1951" w:type="dxa"/>
          </w:tcPr>
          <w:p w14:paraId="55A34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30E7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2ED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8AB4E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EE228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И11-М32</w:t>
            </w:r>
          </w:p>
        </w:tc>
        <w:tc>
          <w:tcPr>
            <w:tcW w:w="708" w:type="dxa"/>
          </w:tcPr>
          <w:p w14:paraId="05256F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826E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C8BA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9CE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6C6F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30DF2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984AB5" w14:textId="77777777">
        <w:tc>
          <w:tcPr>
            <w:tcW w:w="1951" w:type="dxa"/>
          </w:tcPr>
          <w:p w14:paraId="5A98C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7193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A3A67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DA460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БНК</w:t>
            </w:r>
          </w:p>
        </w:tc>
        <w:tc>
          <w:tcPr>
            <w:tcW w:w="2268" w:type="dxa"/>
          </w:tcPr>
          <w:p w14:paraId="6618B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 с Н</w:t>
            </w:r>
          </w:p>
        </w:tc>
        <w:tc>
          <w:tcPr>
            <w:tcW w:w="708" w:type="dxa"/>
          </w:tcPr>
          <w:p w14:paraId="5CEA4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D60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277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AD8E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FE4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E899E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953308A" w14:textId="77777777">
        <w:tc>
          <w:tcPr>
            <w:tcW w:w="1951" w:type="dxa"/>
          </w:tcPr>
          <w:p w14:paraId="0D76B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711" w:type="dxa"/>
          </w:tcPr>
          <w:p w14:paraId="1DD70C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E13B7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57349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22D756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И13-ФЭД</w:t>
            </w:r>
          </w:p>
        </w:tc>
        <w:tc>
          <w:tcPr>
            <w:tcW w:w="708" w:type="dxa"/>
          </w:tcPr>
          <w:p w14:paraId="3A0F9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9DE7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ED11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580AC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712B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4A1A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5B7856" w14:textId="77777777">
        <w:tc>
          <w:tcPr>
            <w:tcW w:w="1951" w:type="dxa"/>
          </w:tcPr>
          <w:p w14:paraId="3779F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711" w:type="dxa"/>
          </w:tcPr>
          <w:p w14:paraId="5E027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131A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AE01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426C08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c>
          <w:tcPr>
            <w:tcW w:w="708" w:type="dxa"/>
          </w:tcPr>
          <w:p w14:paraId="4594F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A7D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8F0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w:t>
            </w:r>
          </w:p>
        </w:tc>
        <w:tc>
          <w:tcPr>
            <w:tcW w:w="567" w:type="dxa"/>
          </w:tcPr>
          <w:p w14:paraId="3AC22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w:t>
            </w:r>
          </w:p>
        </w:tc>
        <w:tc>
          <w:tcPr>
            <w:tcW w:w="709" w:type="dxa"/>
          </w:tcPr>
          <w:p w14:paraId="44C30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Илин</w:t>
            </w:r>
            <w:proofErr w:type="spellEnd"/>
            <w:r w:rsidRPr="007122AB">
              <w:rPr>
                <w:rFonts w:ascii="Times New Roman" w:hAnsi="Times New Roman"/>
                <w:color w:val="000000" w:themeColor="text1"/>
                <w:sz w:val="16"/>
                <w:szCs w:val="16"/>
              </w:rPr>
              <w:t>.</w:t>
            </w:r>
          </w:p>
        </w:tc>
        <w:tc>
          <w:tcPr>
            <w:tcW w:w="576" w:type="dxa"/>
          </w:tcPr>
          <w:p w14:paraId="0934D8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r>
      <w:tr w:rsidR="001002C3" w:rsidRPr="007122AB" w14:paraId="4C2FDAE7" w14:textId="77777777">
        <w:tc>
          <w:tcPr>
            <w:tcW w:w="1951" w:type="dxa"/>
          </w:tcPr>
          <w:p w14:paraId="0F245E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пушечный</w:t>
            </w:r>
          </w:p>
        </w:tc>
        <w:tc>
          <w:tcPr>
            <w:tcW w:w="711" w:type="dxa"/>
          </w:tcPr>
          <w:p w14:paraId="0139C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D87E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C6FE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5BBE3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 РЦ</w:t>
            </w:r>
          </w:p>
        </w:tc>
        <w:tc>
          <w:tcPr>
            <w:tcW w:w="708" w:type="dxa"/>
          </w:tcPr>
          <w:p w14:paraId="2B68B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5BF8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4659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8D4A4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BD0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EBE0E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776D705" w14:textId="77777777">
        <w:tc>
          <w:tcPr>
            <w:tcW w:w="1951" w:type="dxa"/>
          </w:tcPr>
          <w:p w14:paraId="62EDB9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F1ED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43ED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8F0E6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CD99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c>
          <w:tcPr>
            <w:tcW w:w="708" w:type="dxa"/>
          </w:tcPr>
          <w:p w14:paraId="03CB77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C5DC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4ADD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64B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192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9901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E31C817" w14:textId="77777777">
        <w:tc>
          <w:tcPr>
            <w:tcW w:w="1951" w:type="dxa"/>
          </w:tcPr>
          <w:p w14:paraId="45239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C8D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CF4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F5607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726FDB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c>
          <w:tcPr>
            <w:tcW w:w="708" w:type="dxa"/>
          </w:tcPr>
          <w:p w14:paraId="483D3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1EE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F5366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9D89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A32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0830A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9847706" w14:textId="77777777">
        <w:tc>
          <w:tcPr>
            <w:tcW w:w="1951" w:type="dxa"/>
          </w:tcPr>
          <w:p w14:paraId="76D5CB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711" w:type="dxa"/>
          </w:tcPr>
          <w:p w14:paraId="02E19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3F3F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04B91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БНК</w:t>
            </w:r>
          </w:p>
        </w:tc>
        <w:tc>
          <w:tcPr>
            <w:tcW w:w="2268" w:type="dxa"/>
          </w:tcPr>
          <w:p w14:paraId="4E1B1B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ДИ4-Керт.</w:t>
            </w:r>
          </w:p>
        </w:tc>
        <w:tc>
          <w:tcPr>
            <w:tcW w:w="708" w:type="dxa"/>
          </w:tcPr>
          <w:p w14:paraId="00FD9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D5C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449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37D9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709" w:type="dxa"/>
          </w:tcPr>
          <w:p w14:paraId="03FF7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576" w:type="dxa"/>
          </w:tcPr>
          <w:p w14:paraId="7BA08E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r>
      <w:tr w:rsidR="001002C3" w:rsidRPr="007122AB" w14:paraId="0960594B" w14:textId="77777777">
        <w:tc>
          <w:tcPr>
            <w:tcW w:w="1951" w:type="dxa"/>
          </w:tcPr>
          <w:p w14:paraId="49D70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w:t>
            </w:r>
          </w:p>
        </w:tc>
        <w:tc>
          <w:tcPr>
            <w:tcW w:w="711" w:type="dxa"/>
          </w:tcPr>
          <w:p w14:paraId="5893B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4859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39B9F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744DBF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ДИ7-М34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708" w:type="dxa"/>
          </w:tcPr>
          <w:p w14:paraId="65AB32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CCA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ED4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120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024F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AB8A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FD9FB5" w14:textId="77777777">
        <w:tc>
          <w:tcPr>
            <w:tcW w:w="1951" w:type="dxa"/>
          </w:tcPr>
          <w:p w14:paraId="504E37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C4B3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2DC4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2CE7A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БНК</w:t>
            </w:r>
          </w:p>
        </w:tc>
        <w:tc>
          <w:tcPr>
            <w:tcW w:w="2268" w:type="dxa"/>
          </w:tcPr>
          <w:p w14:paraId="564DD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708" w:type="dxa"/>
          </w:tcPr>
          <w:p w14:paraId="04444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510A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21BB2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A48A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744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0DC8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427B77" w14:textId="77777777">
        <w:tc>
          <w:tcPr>
            <w:tcW w:w="1951" w:type="dxa"/>
          </w:tcPr>
          <w:p w14:paraId="7AE4E9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D51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023F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37A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БНК</w:t>
            </w:r>
          </w:p>
        </w:tc>
        <w:tc>
          <w:tcPr>
            <w:tcW w:w="2268" w:type="dxa"/>
          </w:tcPr>
          <w:p w14:paraId="7BFB90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ДИ5-М34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708" w:type="dxa"/>
          </w:tcPr>
          <w:p w14:paraId="7CEF1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B369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E027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4BE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BE9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70F91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C5A479B" w14:textId="77777777">
        <w:tc>
          <w:tcPr>
            <w:tcW w:w="1951" w:type="dxa"/>
          </w:tcPr>
          <w:p w14:paraId="30875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711" w:type="dxa"/>
          </w:tcPr>
          <w:p w14:paraId="53F72C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711" w:type="dxa"/>
          </w:tcPr>
          <w:p w14:paraId="4C7E6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130" w:type="dxa"/>
          </w:tcPr>
          <w:p w14:paraId="292FDD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C6086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708" w:type="dxa"/>
          </w:tcPr>
          <w:p w14:paraId="0E020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709" w:type="dxa"/>
          </w:tcPr>
          <w:p w14:paraId="7F34D4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567" w:type="dxa"/>
          </w:tcPr>
          <w:p w14:paraId="28D8F0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58C29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2BF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B210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12A4FE27" w14:textId="77777777">
        <w:tc>
          <w:tcPr>
            <w:tcW w:w="1951" w:type="dxa"/>
          </w:tcPr>
          <w:p w14:paraId="5E79E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836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3CC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65656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1942E2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пассаж.</w:t>
            </w:r>
          </w:p>
        </w:tc>
        <w:tc>
          <w:tcPr>
            <w:tcW w:w="708" w:type="dxa"/>
          </w:tcPr>
          <w:p w14:paraId="36074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5D7C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0718F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A3D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FEFA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D969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68664FB" w14:textId="77777777">
        <w:tc>
          <w:tcPr>
            <w:tcW w:w="1951" w:type="dxa"/>
          </w:tcPr>
          <w:p w14:paraId="5EB6DB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2226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360D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AA77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13C2F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Р5-М34</w:t>
            </w:r>
          </w:p>
        </w:tc>
        <w:tc>
          <w:tcPr>
            <w:tcW w:w="708" w:type="dxa"/>
          </w:tcPr>
          <w:p w14:paraId="38D747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EC2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948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58B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2FE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44E1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26F8D0" w14:textId="77777777">
        <w:tc>
          <w:tcPr>
            <w:tcW w:w="1951" w:type="dxa"/>
          </w:tcPr>
          <w:p w14:paraId="4CDCD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B8A7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0231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838DA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828B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Р5-М17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крыл.</w:t>
            </w:r>
          </w:p>
        </w:tc>
        <w:tc>
          <w:tcPr>
            <w:tcW w:w="708" w:type="dxa"/>
          </w:tcPr>
          <w:p w14:paraId="0E132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092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33C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D67B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2C1E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78A8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D15E708" w14:textId="77777777">
        <w:tc>
          <w:tcPr>
            <w:tcW w:w="1951" w:type="dxa"/>
          </w:tcPr>
          <w:p w14:paraId="37240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D71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3F9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3AC3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04FF8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Р5-М17 </w:t>
            </w:r>
            <w:proofErr w:type="spellStart"/>
            <w:r w:rsidRPr="007122AB">
              <w:rPr>
                <w:rFonts w:ascii="Times New Roman" w:hAnsi="Times New Roman"/>
                <w:color w:val="000000" w:themeColor="text1"/>
                <w:sz w:val="16"/>
                <w:szCs w:val="16"/>
              </w:rPr>
              <w:t>поплавк</w:t>
            </w:r>
            <w:proofErr w:type="spellEnd"/>
            <w:r w:rsidRPr="007122AB">
              <w:rPr>
                <w:rFonts w:ascii="Times New Roman" w:hAnsi="Times New Roman"/>
                <w:color w:val="000000" w:themeColor="text1"/>
                <w:sz w:val="16"/>
                <w:szCs w:val="16"/>
              </w:rPr>
              <w:t>.</w:t>
            </w:r>
          </w:p>
        </w:tc>
        <w:tc>
          <w:tcPr>
            <w:tcW w:w="708" w:type="dxa"/>
          </w:tcPr>
          <w:p w14:paraId="06F8D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1B6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E0F7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D9477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AAB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85341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DC86A64" w14:textId="77777777">
        <w:tc>
          <w:tcPr>
            <w:tcW w:w="1951" w:type="dxa"/>
          </w:tcPr>
          <w:p w14:paraId="4C4D2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5220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C3B1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6D0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72E5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Р8-М27/34</w:t>
            </w:r>
          </w:p>
        </w:tc>
        <w:tc>
          <w:tcPr>
            <w:tcW w:w="708" w:type="dxa"/>
          </w:tcPr>
          <w:p w14:paraId="087C87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7086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EC5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C24D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5177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C651A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373492A" w14:textId="77777777">
        <w:tc>
          <w:tcPr>
            <w:tcW w:w="1951" w:type="dxa"/>
          </w:tcPr>
          <w:p w14:paraId="3CA677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3FE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4F02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0E30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007A67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Р8 или Р11-М27/34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708" w:type="dxa"/>
          </w:tcPr>
          <w:p w14:paraId="72E83B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4AB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67B95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E277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04A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9A17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EA8F1BE" w14:textId="77777777">
        <w:tc>
          <w:tcPr>
            <w:tcW w:w="1951" w:type="dxa"/>
          </w:tcPr>
          <w:p w14:paraId="48CA93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8B19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650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4E6C9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74BC0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Р11-М27/34</w:t>
            </w:r>
          </w:p>
        </w:tc>
        <w:tc>
          <w:tcPr>
            <w:tcW w:w="708" w:type="dxa"/>
          </w:tcPr>
          <w:p w14:paraId="6BA71F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690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226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C4EE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w:t>
            </w:r>
          </w:p>
        </w:tc>
        <w:tc>
          <w:tcPr>
            <w:tcW w:w="709" w:type="dxa"/>
          </w:tcPr>
          <w:p w14:paraId="49088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w:t>
            </w:r>
          </w:p>
        </w:tc>
        <w:tc>
          <w:tcPr>
            <w:tcW w:w="576" w:type="dxa"/>
          </w:tcPr>
          <w:p w14:paraId="679E4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1, 31</w:t>
            </w:r>
          </w:p>
        </w:tc>
      </w:tr>
      <w:tr w:rsidR="001002C3" w:rsidRPr="007122AB" w14:paraId="161CFEFA" w14:textId="77777777">
        <w:tc>
          <w:tcPr>
            <w:tcW w:w="1951" w:type="dxa"/>
          </w:tcPr>
          <w:p w14:paraId="724EDA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175C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4A7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86AA3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4E124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Р13-Керт.К.</w:t>
            </w:r>
          </w:p>
        </w:tc>
        <w:tc>
          <w:tcPr>
            <w:tcW w:w="708" w:type="dxa"/>
          </w:tcPr>
          <w:p w14:paraId="2F5436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C80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CC5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3A7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76A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005B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316358" w14:textId="77777777">
        <w:tc>
          <w:tcPr>
            <w:tcW w:w="1951" w:type="dxa"/>
          </w:tcPr>
          <w:p w14:paraId="716E6D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69A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B31C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660E5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2268" w:type="dxa"/>
          </w:tcPr>
          <w:p w14:paraId="7E4C98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Р12-М27/М34</w:t>
            </w:r>
          </w:p>
        </w:tc>
        <w:tc>
          <w:tcPr>
            <w:tcW w:w="708" w:type="dxa"/>
          </w:tcPr>
          <w:p w14:paraId="5B8BCC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4419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9C76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5742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4917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60F62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36EC19" w14:textId="77777777">
        <w:tc>
          <w:tcPr>
            <w:tcW w:w="1951" w:type="dxa"/>
          </w:tcPr>
          <w:p w14:paraId="0CBCD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w:t>
            </w:r>
          </w:p>
        </w:tc>
        <w:tc>
          <w:tcPr>
            <w:tcW w:w="711" w:type="dxa"/>
          </w:tcPr>
          <w:p w14:paraId="43F29A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234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CE8C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6A1C6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 б/р</w:t>
            </w:r>
          </w:p>
        </w:tc>
        <w:tc>
          <w:tcPr>
            <w:tcW w:w="708" w:type="dxa"/>
          </w:tcPr>
          <w:p w14:paraId="5F4EC5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01FB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1B2B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679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211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4BAED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7A9C0E5" w14:textId="77777777">
        <w:tc>
          <w:tcPr>
            <w:tcW w:w="1951" w:type="dxa"/>
          </w:tcPr>
          <w:p w14:paraId="100C3A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711" w:type="dxa"/>
          </w:tcPr>
          <w:p w14:paraId="402641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Р6-М17</w:t>
            </w:r>
          </w:p>
        </w:tc>
        <w:tc>
          <w:tcPr>
            <w:tcW w:w="711" w:type="dxa"/>
          </w:tcPr>
          <w:p w14:paraId="16A4B5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130" w:type="dxa"/>
          </w:tcPr>
          <w:p w14:paraId="47E684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176E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414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BEE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567" w:type="dxa"/>
          </w:tcPr>
          <w:p w14:paraId="77132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567" w:type="dxa"/>
          </w:tcPr>
          <w:p w14:paraId="351EC5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709" w:type="dxa"/>
          </w:tcPr>
          <w:p w14:paraId="7892C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2350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r>
      <w:tr w:rsidR="001002C3" w:rsidRPr="007122AB" w14:paraId="4AC36CA8" w14:textId="77777777">
        <w:tc>
          <w:tcPr>
            <w:tcW w:w="1951" w:type="dxa"/>
          </w:tcPr>
          <w:p w14:paraId="0659E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9A8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702D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79D3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546288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Р6-2М34</w:t>
            </w:r>
          </w:p>
        </w:tc>
        <w:tc>
          <w:tcPr>
            <w:tcW w:w="708" w:type="dxa"/>
          </w:tcPr>
          <w:p w14:paraId="63172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82AE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64C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627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80C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835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52D5FEC" w14:textId="77777777">
        <w:tc>
          <w:tcPr>
            <w:tcW w:w="1951" w:type="dxa"/>
          </w:tcPr>
          <w:p w14:paraId="462C43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19B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46E5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8470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0741F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708" w:type="dxa"/>
          </w:tcPr>
          <w:p w14:paraId="099CAD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A8C0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6F32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479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709" w:type="dxa"/>
          </w:tcPr>
          <w:p w14:paraId="76B39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576" w:type="dxa"/>
          </w:tcPr>
          <w:p w14:paraId="6279C9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r>
      <w:tr w:rsidR="001002C3" w:rsidRPr="007122AB" w14:paraId="2BD0B5A1" w14:textId="77777777">
        <w:tc>
          <w:tcPr>
            <w:tcW w:w="1951" w:type="dxa"/>
          </w:tcPr>
          <w:p w14:paraId="68C5D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649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7F0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DD81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373BAF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c>
          <w:tcPr>
            <w:tcW w:w="708" w:type="dxa"/>
          </w:tcPr>
          <w:p w14:paraId="07B8A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251C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CCF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3A11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BEA1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E3F41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F209B8" w14:textId="77777777">
        <w:tc>
          <w:tcPr>
            <w:tcW w:w="1951" w:type="dxa"/>
          </w:tcPr>
          <w:p w14:paraId="00D4B2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w:t>
            </w:r>
          </w:p>
        </w:tc>
        <w:tc>
          <w:tcPr>
            <w:tcW w:w="711" w:type="dxa"/>
          </w:tcPr>
          <w:p w14:paraId="7AD02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5FD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DBD9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4D7A50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ТШ2-М27/34</w:t>
            </w:r>
          </w:p>
        </w:tc>
        <w:tc>
          <w:tcPr>
            <w:tcW w:w="708" w:type="dxa"/>
          </w:tcPr>
          <w:p w14:paraId="68765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709" w:type="dxa"/>
          </w:tcPr>
          <w:p w14:paraId="1F159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95B28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9300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13C4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8678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r>
      <w:tr w:rsidR="001002C3" w:rsidRPr="007122AB" w14:paraId="6C433E29" w14:textId="77777777">
        <w:tc>
          <w:tcPr>
            <w:tcW w:w="1951" w:type="dxa"/>
          </w:tcPr>
          <w:p w14:paraId="4E6BA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16D4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0E5A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60CC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448589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ЛШ4-М22</w:t>
            </w:r>
          </w:p>
        </w:tc>
        <w:tc>
          <w:tcPr>
            <w:tcW w:w="708" w:type="dxa"/>
          </w:tcPr>
          <w:p w14:paraId="5202B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709" w:type="dxa"/>
          </w:tcPr>
          <w:p w14:paraId="4DE030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567" w:type="dxa"/>
          </w:tcPr>
          <w:p w14:paraId="2CB1D3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D0F95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F11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50732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r>
      <w:tr w:rsidR="001002C3" w:rsidRPr="007122AB" w14:paraId="5A94EEE8" w14:textId="77777777">
        <w:tc>
          <w:tcPr>
            <w:tcW w:w="1951" w:type="dxa"/>
          </w:tcPr>
          <w:p w14:paraId="6AB49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DBB4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B6A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06D3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7F99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 И5)</w:t>
            </w:r>
          </w:p>
        </w:tc>
        <w:tc>
          <w:tcPr>
            <w:tcW w:w="708" w:type="dxa"/>
          </w:tcPr>
          <w:p w14:paraId="4D9DB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35A1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7C1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92D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557B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26D6A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03BCB49" w14:textId="77777777">
        <w:tc>
          <w:tcPr>
            <w:tcW w:w="1951" w:type="dxa"/>
          </w:tcPr>
          <w:p w14:paraId="1E9E24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F1FE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B7A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6A1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6DB521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ТШ3-М34</w:t>
            </w:r>
          </w:p>
        </w:tc>
        <w:tc>
          <w:tcPr>
            <w:tcW w:w="708" w:type="dxa"/>
          </w:tcPr>
          <w:p w14:paraId="58D51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A111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8288C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AF5F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w:t>
            </w:r>
          </w:p>
        </w:tc>
        <w:tc>
          <w:tcPr>
            <w:tcW w:w="709" w:type="dxa"/>
          </w:tcPr>
          <w:p w14:paraId="50E17C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w:t>
            </w:r>
          </w:p>
        </w:tc>
        <w:tc>
          <w:tcPr>
            <w:tcW w:w="576" w:type="dxa"/>
          </w:tcPr>
          <w:p w14:paraId="75621E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24705663" w14:textId="77777777">
        <w:tc>
          <w:tcPr>
            <w:tcW w:w="1951" w:type="dxa"/>
          </w:tcPr>
          <w:p w14:paraId="20F2A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FBF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79E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E45A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015BE5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 (мод. И9, И10, И11)</w:t>
            </w:r>
          </w:p>
        </w:tc>
        <w:tc>
          <w:tcPr>
            <w:tcW w:w="708" w:type="dxa"/>
          </w:tcPr>
          <w:p w14:paraId="3D88A8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B9C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3BF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8391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7E90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7856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B27510" w14:textId="77777777">
        <w:tc>
          <w:tcPr>
            <w:tcW w:w="1951" w:type="dxa"/>
          </w:tcPr>
          <w:p w14:paraId="04AEC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711" w:type="dxa"/>
          </w:tcPr>
          <w:p w14:paraId="40682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711" w:type="dxa"/>
          </w:tcPr>
          <w:p w14:paraId="76F015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130" w:type="dxa"/>
          </w:tcPr>
          <w:p w14:paraId="73659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56F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708" w:type="dxa"/>
          </w:tcPr>
          <w:p w14:paraId="4EA277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CBD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4DAC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CC57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424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AD35D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r>
      <w:tr w:rsidR="001002C3" w:rsidRPr="007122AB" w14:paraId="1FBCD692" w14:textId="77777777">
        <w:tc>
          <w:tcPr>
            <w:tcW w:w="1951" w:type="dxa"/>
          </w:tcPr>
          <w:p w14:paraId="1E418E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16C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c>
          <w:tcPr>
            <w:tcW w:w="711" w:type="dxa"/>
          </w:tcPr>
          <w:p w14:paraId="09ECDD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130" w:type="dxa"/>
          </w:tcPr>
          <w:p w14:paraId="5EF9C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2E5802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c>
          <w:tcPr>
            <w:tcW w:w="708" w:type="dxa"/>
          </w:tcPr>
          <w:p w14:paraId="0160AC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709" w:type="dxa"/>
          </w:tcPr>
          <w:p w14:paraId="74CBE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567" w:type="dxa"/>
          </w:tcPr>
          <w:p w14:paraId="4CAFAC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69BD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888A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2486E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r>
      <w:tr w:rsidR="001002C3" w:rsidRPr="007122AB" w14:paraId="3DB5DFF7" w14:textId="77777777">
        <w:tc>
          <w:tcPr>
            <w:tcW w:w="1951" w:type="dxa"/>
          </w:tcPr>
          <w:p w14:paraId="2A805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2C5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CB1E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F550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4D290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c>
          <w:tcPr>
            <w:tcW w:w="708" w:type="dxa"/>
          </w:tcPr>
          <w:p w14:paraId="39368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0E6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C95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E69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9A74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A6F5F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BD39DF6" w14:textId="77777777">
        <w:tc>
          <w:tcPr>
            <w:tcW w:w="1951" w:type="dxa"/>
          </w:tcPr>
          <w:p w14:paraId="055DC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A91B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C01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F493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173B87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ТБ5-4М22/17</w:t>
            </w:r>
          </w:p>
        </w:tc>
        <w:tc>
          <w:tcPr>
            <w:tcW w:w="708" w:type="dxa"/>
          </w:tcPr>
          <w:p w14:paraId="61D68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87BE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A5DE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567" w:type="dxa"/>
          </w:tcPr>
          <w:p w14:paraId="4E5F0F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709" w:type="dxa"/>
          </w:tcPr>
          <w:p w14:paraId="2FEDA0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576" w:type="dxa"/>
          </w:tcPr>
          <w:p w14:paraId="4A2EAD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r>
      <w:tr w:rsidR="001002C3" w:rsidRPr="007122AB" w14:paraId="556B0130" w14:textId="77777777">
        <w:tc>
          <w:tcPr>
            <w:tcW w:w="1951" w:type="dxa"/>
          </w:tcPr>
          <w:p w14:paraId="005FD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7C9F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EE74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109F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4613A4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 дублер</w:t>
            </w:r>
          </w:p>
        </w:tc>
        <w:tc>
          <w:tcPr>
            <w:tcW w:w="708" w:type="dxa"/>
          </w:tcPr>
          <w:p w14:paraId="7AAAD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7E6A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AC858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306D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CB66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12221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7E4432E" w14:textId="77777777">
        <w:tc>
          <w:tcPr>
            <w:tcW w:w="1951" w:type="dxa"/>
          </w:tcPr>
          <w:p w14:paraId="05196D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82D4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2A8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CA1B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137F5F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АНТ14-5М22</w:t>
            </w:r>
          </w:p>
        </w:tc>
        <w:tc>
          <w:tcPr>
            <w:tcW w:w="708" w:type="dxa"/>
          </w:tcPr>
          <w:p w14:paraId="187B2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5EF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5AB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9905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859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06F46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5FB6AB" w14:textId="77777777">
        <w:tc>
          <w:tcPr>
            <w:tcW w:w="1951" w:type="dxa"/>
          </w:tcPr>
          <w:p w14:paraId="2AF207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238B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711" w:type="dxa"/>
          </w:tcPr>
          <w:p w14:paraId="48ADDF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677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09C9AD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c>
          <w:tcPr>
            <w:tcW w:w="708" w:type="dxa"/>
          </w:tcPr>
          <w:p w14:paraId="1909A0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709" w:type="dxa"/>
          </w:tcPr>
          <w:p w14:paraId="21655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567" w:type="dxa"/>
          </w:tcPr>
          <w:p w14:paraId="47BDD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567" w:type="dxa"/>
          </w:tcPr>
          <w:p w14:paraId="59160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709" w:type="dxa"/>
          </w:tcPr>
          <w:p w14:paraId="3CCE6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576" w:type="dxa"/>
          </w:tcPr>
          <w:p w14:paraId="556658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r>
      <w:tr w:rsidR="001002C3" w:rsidRPr="007122AB" w14:paraId="32033980" w14:textId="77777777">
        <w:tc>
          <w:tcPr>
            <w:tcW w:w="1951" w:type="dxa"/>
          </w:tcPr>
          <w:p w14:paraId="3CEFA6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DBD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BDCF7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70F1B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69991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АНТ9-3М26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708" w:type="dxa"/>
          </w:tcPr>
          <w:p w14:paraId="30A9C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769D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D8CA0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F3BC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8ED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03E8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D5B29D8" w14:textId="77777777">
        <w:tc>
          <w:tcPr>
            <w:tcW w:w="1951" w:type="dxa"/>
          </w:tcPr>
          <w:p w14:paraId="40C1C3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4867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8D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AD278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3757EC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АНТ9-3М22/15 ГБ</w:t>
            </w:r>
          </w:p>
        </w:tc>
        <w:tc>
          <w:tcPr>
            <w:tcW w:w="708" w:type="dxa"/>
          </w:tcPr>
          <w:p w14:paraId="430D2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EA4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25F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D23E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AEB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92221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23464F" w14:textId="77777777">
        <w:tc>
          <w:tcPr>
            <w:tcW w:w="1951" w:type="dxa"/>
          </w:tcPr>
          <w:p w14:paraId="0D612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CDA4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711" w:type="dxa"/>
          </w:tcPr>
          <w:p w14:paraId="062A3F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E4D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2268" w:type="dxa"/>
          </w:tcPr>
          <w:p w14:paraId="6F9C2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 ЛБ</w:t>
            </w:r>
          </w:p>
        </w:tc>
        <w:tc>
          <w:tcPr>
            <w:tcW w:w="708" w:type="dxa"/>
          </w:tcPr>
          <w:p w14:paraId="546E3D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709" w:type="dxa"/>
          </w:tcPr>
          <w:p w14:paraId="244524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567" w:type="dxa"/>
          </w:tcPr>
          <w:p w14:paraId="0B9841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567" w:type="dxa"/>
          </w:tcPr>
          <w:p w14:paraId="6B267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709" w:type="dxa"/>
          </w:tcPr>
          <w:p w14:paraId="3D0A0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576" w:type="dxa"/>
          </w:tcPr>
          <w:p w14:paraId="4582C0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ХАЗ</w:t>
            </w:r>
          </w:p>
        </w:tc>
      </w:tr>
      <w:tr w:rsidR="001002C3" w:rsidRPr="007122AB" w14:paraId="3FF8D3C7" w14:textId="77777777">
        <w:tc>
          <w:tcPr>
            <w:tcW w:w="1951" w:type="dxa"/>
          </w:tcPr>
          <w:p w14:paraId="184D1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4329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8A300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0573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2268" w:type="dxa"/>
          </w:tcPr>
          <w:p w14:paraId="3DFA8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К5-М15/РЦ дублер</w:t>
            </w:r>
          </w:p>
        </w:tc>
        <w:tc>
          <w:tcPr>
            <w:tcW w:w="708" w:type="dxa"/>
          </w:tcPr>
          <w:p w14:paraId="4EFEBB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6E9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DA01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667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943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82D6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C2B8417" w14:textId="77777777">
        <w:tc>
          <w:tcPr>
            <w:tcW w:w="1951" w:type="dxa"/>
          </w:tcPr>
          <w:p w14:paraId="47E15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711" w:type="dxa"/>
          </w:tcPr>
          <w:p w14:paraId="2B1F4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F130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4CCDB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2268" w:type="dxa"/>
          </w:tcPr>
          <w:p w14:paraId="21FD7A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К7-6ФЭД</w:t>
            </w:r>
          </w:p>
        </w:tc>
        <w:tc>
          <w:tcPr>
            <w:tcW w:w="708" w:type="dxa"/>
          </w:tcPr>
          <w:p w14:paraId="14474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5C5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DA2D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204C1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Бгиг</w:t>
            </w:r>
            <w:proofErr w:type="spellEnd"/>
          </w:p>
        </w:tc>
        <w:tc>
          <w:tcPr>
            <w:tcW w:w="709" w:type="dxa"/>
          </w:tcPr>
          <w:p w14:paraId="7B6E6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Бгиг</w:t>
            </w:r>
            <w:proofErr w:type="spellEnd"/>
          </w:p>
        </w:tc>
        <w:tc>
          <w:tcPr>
            <w:tcW w:w="576" w:type="dxa"/>
          </w:tcPr>
          <w:p w14:paraId="55CCC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ХТ</w:t>
            </w:r>
          </w:p>
        </w:tc>
      </w:tr>
      <w:tr w:rsidR="001002C3" w:rsidRPr="007122AB" w14:paraId="41F24485" w14:textId="77777777">
        <w:tc>
          <w:tcPr>
            <w:tcW w:w="1951" w:type="dxa"/>
          </w:tcPr>
          <w:p w14:paraId="1C772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гигант</w:t>
            </w:r>
          </w:p>
        </w:tc>
        <w:tc>
          <w:tcPr>
            <w:tcW w:w="711" w:type="dxa"/>
          </w:tcPr>
          <w:p w14:paraId="2120E6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431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62D6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26BE4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ТБ4-6ФЭД</w:t>
            </w:r>
          </w:p>
        </w:tc>
        <w:tc>
          <w:tcPr>
            <w:tcW w:w="708" w:type="dxa"/>
          </w:tcPr>
          <w:p w14:paraId="6D1E0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27EB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A81CB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5CD3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35E7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2F31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F41D6F" w14:textId="77777777">
        <w:tc>
          <w:tcPr>
            <w:tcW w:w="1951" w:type="dxa"/>
          </w:tcPr>
          <w:p w14:paraId="063B7B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0E5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7A9C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7D9F4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5F7A6B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ТБ6-4ФЭД</w:t>
            </w:r>
          </w:p>
        </w:tc>
        <w:tc>
          <w:tcPr>
            <w:tcW w:w="708" w:type="dxa"/>
          </w:tcPr>
          <w:p w14:paraId="767AC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AEA3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D51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D627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B44C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EBAA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0D77DC5" w14:textId="77777777">
        <w:tc>
          <w:tcPr>
            <w:tcW w:w="1951" w:type="dxa"/>
          </w:tcPr>
          <w:p w14:paraId="061A0F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C33C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CFDA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8FBD0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2F7650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СТБ7-6М44</w:t>
            </w:r>
          </w:p>
        </w:tc>
        <w:tc>
          <w:tcPr>
            <w:tcW w:w="708" w:type="dxa"/>
          </w:tcPr>
          <w:p w14:paraId="68EA57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297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CF66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A0D6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6310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w:t>
            </w:r>
          </w:p>
        </w:tc>
        <w:tc>
          <w:tcPr>
            <w:tcW w:w="576" w:type="dxa"/>
          </w:tcPr>
          <w:p w14:paraId="068CC1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ХТ</w:t>
            </w:r>
          </w:p>
        </w:tc>
      </w:tr>
      <w:tr w:rsidR="001002C3" w:rsidRPr="007122AB" w14:paraId="57935353" w14:textId="77777777">
        <w:tc>
          <w:tcPr>
            <w:tcW w:w="1951" w:type="dxa"/>
          </w:tcPr>
          <w:p w14:paraId="4600C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711" w:type="dxa"/>
          </w:tcPr>
          <w:p w14:paraId="277F6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С62-АССО-М27</w:t>
            </w:r>
          </w:p>
        </w:tc>
        <w:tc>
          <w:tcPr>
            <w:tcW w:w="711" w:type="dxa"/>
          </w:tcPr>
          <w:p w14:paraId="5E2BFC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c>
          <w:tcPr>
            <w:tcW w:w="1130" w:type="dxa"/>
          </w:tcPr>
          <w:p w14:paraId="5881F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D8E4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B98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709" w:type="dxa"/>
          </w:tcPr>
          <w:p w14:paraId="6CC2E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567" w:type="dxa"/>
          </w:tcPr>
          <w:p w14:paraId="0B1CB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735C4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BD5C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A27C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r>
      <w:tr w:rsidR="001002C3" w:rsidRPr="007122AB" w14:paraId="67F12513" w14:textId="77777777">
        <w:tc>
          <w:tcPr>
            <w:tcW w:w="1951" w:type="dxa"/>
          </w:tcPr>
          <w:p w14:paraId="49F06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711" w:type="dxa"/>
          </w:tcPr>
          <w:p w14:paraId="274B5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1686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83F7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24D52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МБР3-2М22 </w:t>
            </w:r>
            <w:proofErr w:type="spellStart"/>
            <w:r w:rsidRPr="007122AB">
              <w:rPr>
                <w:rFonts w:ascii="Times New Roman" w:hAnsi="Times New Roman"/>
                <w:color w:val="000000" w:themeColor="text1"/>
                <w:sz w:val="16"/>
                <w:szCs w:val="16"/>
              </w:rPr>
              <w:t>амф</w:t>
            </w:r>
            <w:proofErr w:type="spellEnd"/>
            <w:r w:rsidRPr="007122AB">
              <w:rPr>
                <w:rFonts w:ascii="Times New Roman" w:hAnsi="Times New Roman"/>
                <w:color w:val="000000" w:themeColor="text1"/>
                <w:sz w:val="16"/>
                <w:szCs w:val="16"/>
              </w:rPr>
              <w:t>.</w:t>
            </w:r>
          </w:p>
        </w:tc>
        <w:tc>
          <w:tcPr>
            <w:tcW w:w="708" w:type="dxa"/>
          </w:tcPr>
          <w:p w14:paraId="1F6AB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BFE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BC12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567" w:type="dxa"/>
          </w:tcPr>
          <w:p w14:paraId="6B981F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709" w:type="dxa"/>
          </w:tcPr>
          <w:p w14:paraId="460E0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576" w:type="dxa"/>
          </w:tcPr>
          <w:p w14:paraId="22B07E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r>
      <w:tr w:rsidR="001002C3" w:rsidRPr="007122AB" w14:paraId="15112EB1" w14:textId="77777777">
        <w:tc>
          <w:tcPr>
            <w:tcW w:w="1951" w:type="dxa"/>
          </w:tcPr>
          <w:p w14:paraId="29283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9663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678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7D64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23817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МБР2-М27</w:t>
            </w:r>
          </w:p>
        </w:tc>
        <w:tc>
          <w:tcPr>
            <w:tcW w:w="708" w:type="dxa"/>
          </w:tcPr>
          <w:p w14:paraId="392E4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A00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B627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32367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3B1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62D5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91F146" w14:textId="77777777">
        <w:tc>
          <w:tcPr>
            <w:tcW w:w="1951" w:type="dxa"/>
          </w:tcPr>
          <w:p w14:paraId="4F38E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8480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39F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52BD3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5D6C8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МДР2-2М17</w:t>
            </w:r>
          </w:p>
        </w:tc>
        <w:tc>
          <w:tcPr>
            <w:tcW w:w="708" w:type="dxa"/>
          </w:tcPr>
          <w:p w14:paraId="28A742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C11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567" w:type="dxa"/>
          </w:tcPr>
          <w:p w14:paraId="11B19F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637D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450E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F4E80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r>
      <w:tr w:rsidR="001002C3" w:rsidRPr="007122AB" w14:paraId="59142F0C" w14:textId="77777777">
        <w:tc>
          <w:tcPr>
            <w:tcW w:w="1951" w:type="dxa"/>
          </w:tcPr>
          <w:p w14:paraId="56E1B9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92C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E2A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7003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2D6B8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МДР3-4М17/34</w:t>
            </w:r>
          </w:p>
        </w:tc>
        <w:tc>
          <w:tcPr>
            <w:tcW w:w="708" w:type="dxa"/>
          </w:tcPr>
          <w:p w14:paraId="10236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F6C2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D80C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567" w:type="dxa"/>
          </w:tcPr>
          <w:p w14:paraId="0187E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709" w:type="dxa"/>
          </w:tcPr>
          <w:p w14:paraId="56EC3B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576" w:type="dxa"/>
          </w:tcPr>
          <w:p w14:paraId="3FB9E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w:t>
            </w:r>
          </w:p>
        </w:tc>
      </w:tr>
      <w:tr w:rsidR="001002C3" w:rsidRPr="007122AB" w14:paraId="5290EE74" w14:textId="77777777">
        <w:tc>
          <w:tcPr>
            <w:tcW w:w="1951" w:type="dxa"/>
          </w:tcPr>
          <w:p w14:paraId="765DC0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BBD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40CD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822A6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51D5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8A8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371D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8860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00B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22E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CE97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Ейск</w:t>
            </w:r>
          </w:p>
        </w:tc>
      </w:tr>
      <w:tr w:rsidR="001002C3" w:rsidRPr="007122AB" w14:paraId="2482114C" w14:textId="77777777">
        <w:tc>
          <w:tcPr>
            <w:tcW w:w="1951" w:type="dxa"/>
          </w:tcPr>
          <w:p w14:paraId="1D18A8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00C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AEA7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26DB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458DE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МК-4М34/35</w:t>
            </w:r>
          </w:p>
        </w:tc>
        <w:tc>
          <w:tcPr>
            <w:tcW w:w="708" w:type="dxa"/>
          </w:tcPr>
          <w:p w14:paraId="70659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DF5C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FF3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FF9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709" w:type="dxa"/>
          </w:tcPr>
          <w:p w14:paraId="18813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576" w:type="dxa"/>
          </w:tcPr>
          <w:p w14:paraId="2FF35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C9F872D" w14:textId="77777777">
        <w:tc>
          <w:tcPr>
            <w:tcW w:w="1951" w:type="dxa"/>
          </w:tcPr>
          <w:p w14:paraId="2CDE57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711" w:type="dxa"/>
          </w:tcPr>
          <w:p w14:paraId="68DACF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5D09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53E2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1C2C00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МТБ-6М35/4М44</w:t>
            </w:r>
          </w:p>
        </w:tc>
        <w:tc>
          <w:tcPr>
            <w:tcW w:w="708" w:type="dxa"/>
          </w:tcPr>
          <w:p w14:paraId="5F23E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98F7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493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C5C3B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5694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c>
          <w:tcPr>
            <w:tcW w:w="576" w:type="dxa"/>
          </w:tcPr>
          <w:p w14:paraId="1984F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4B3A4106" w14:textId="77777777">
        <w:tc>
          <w:tcPr>
            <w:tcW w:w="1951" w:type="dxa"/>
          </w:tcPr>
          <w:p w14:paraId="2F1198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711" w:type="dxa"/>
          </w:tcPr>
          <w:p w14:paraId="511BC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7634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BD70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46D11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3AB1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BCC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7239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6018A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1C8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975F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68837DC" w14:textId="77777777">
        <w:tc>
          <w:tcPr>
            <w:tcW w:w="1951" w:type="dxa"/>
          </w:tcPr>
          <w:p w14:paraId="14DD6D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AD7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E6CB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81600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F0E4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27CA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F6CE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67E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2395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23A5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DA178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26EFDF5" w14:textId="77777777">
        <w:tc>
          <w:tcPr>
            <w:tcW w:w="1951" w:type="dxa"/>
          </w:tcPr>
          <w:p w14:paraId="42D3C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Специальные</w:t>
            </w:r>
          </w:p>
        </w:tc>
        <w:tc>
          <w:tcPr>
            <w:tcW w:w="711" w:type="dxa"/>
          </w:tcPr>
          <w:p w14:paraId="52774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4B62E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C17C4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56E6D2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КОР-М15</w:t>
            </w:r>
          </w:p>
        </w:tc>
        <w:tc>
          <w:tcPr>
            <w:tcW w:w="708" w:type="dxa"/>
          </w:tcPr>
          <w:p w14:paraId="70258D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C0B8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6DE0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1585B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709" w:type="dxa"/>
          </w:tcPr>
          <w:p w14:paraId="55C38F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576" w:type="dxa"/>
          </w:tcPr>
          <w:p w14:paraId="4A553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0604D060" w14:textId="77777777">
        <w:tc>
          <w:tcPr>
            <w:tcW w:w="1951" w:type="dxa"/>
          </w:tcPr>
          <w:p w14:paraId="371182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C99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91A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C51B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05804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СПЛ-РЖ6</w:t>
            </w:r>
          </w:p>
        </w:tc>
        <w:tc>
          <w:tcPr>
            <w:tcW w:w="708" w:type="dxa"/>
          </w:tcPr>
          <w:p w14:paraId="252AB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2680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A132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D06C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709" w:type="dxa"/>
          </w:tcPr>
          <w:p w14:paraId="67DFBA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576" w:type="dxa"/>
          </w:tcPr>
          <w:p w14:paraId="0CFAA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56FBAC41" w14:textId="77777777">
        <w:tc>
          <w:tcPr>
            <w:tcW w:w="1951" w:type="dxa"/>
          </w:tcPr>
          <w:p w14:paraId="01BAB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B483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270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E330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06F853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МФС-2М26 </w:t>
            </w:r>
            <w:proofErr w:type="spellStart"/>
            <w:r w:rsidRPr="007122AB">
              <w:rPr>
                <w:rFonts w:ascii="Times New Roman" w:hAnsi="Times New Roman"/>
                <w:color w:val="000000" w:themeColor="text1"/>
                <w:sz w:val="16"/>
                <w:szCs w:val="16"/>
              </w:rPr>
              <w:t>амф</w:t>
            </w:r>
            <w:proofErr w:type="spellEnd"/>
            <w:r w:rsidRPr="007122AB">
              <w:rPr>
                <w:rFonts w:ascii="Times New Roman" w:hAnsi="Times New Roman"/>
                <w:color w:val="000000" w:themeColor="text1"/>
                <w:sz w:val="16"/>
                <w:szCs w:val="16"/>
              </w:rPr>
              <w:t>.</w:t>
            </w:r>
          </w:p>
        </w:tc>
        <w:tc>
          <w:tcPr>
            <w:tcW w:w="708" w:type="dxa"/>
          </w:tcPr>
          <w:p w14:paraId="7FA138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1272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9C66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004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709" w:type="dxa"/>
          </w:tcPr>
          <w:p w14:paraId="34EF4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576" w:type="dxa"/>
          </w:tcPr>
          <w:p w14:paraId="5B3D3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27B63791" w14:textId="77777777">
        <w:tc>
          <w:tcPr>
            <w:tcW w:w="1951" w:type="dxa"/>
          </w:tcPr>
          <w:p w14:paraId="100C1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F133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593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439D78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0B1221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МФС-2РЖ6 дублер </w:t>
            </w:r>
            <w:proofErr w:type="spellStart"/>
            <w:r w:rsidRPr="007122AB">
              <w:rPr>
                <w:rFonts w:ascii="Times New Roman" w:hAnsi="Times New Roman"/>
                <w:color w:val="000000" w:themeColor="text1"/>
                <w:sz w:val="16"/>
                <w:szCs w:val="16"/>
              </w:rPr>
              <w:t>морск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фотосъемщик</w:t>
            </w:r>
            <w:proofErr w:type="spellEnd"/>
          </w:p>
        </w:tc>
        <w:tc>
          <w:tcPr>
            <w:tcW w:w="708" w:type="dxa"/>
          </w:tcPr>
          <w:p w14:paraId="51A38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8877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4CB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563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C5A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CF680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EBCE6E" w14:textId="77777777">
        <w:tc>
          <w:tcPr>
            <w:tcW w:w="1951" w:type="dxa"/>
          </w:tcPr>
          <w:p w14:paraId="147E8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711" w:type="dxa"/>
          </w:tcPr>
          <w:p w14:paraId="55D332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У-2-М11</w:t>
            </w:r>
          </w:p>
        </w:tc>
        <w:tc>
          <w:tcPr>
            <w:tcW w:w="711" w:type="dxa"/>
          </w:tcPr>
          <w:p w14:paraId="224312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c>
          <w:tcPr>
            <w:tcW w:w="1130" w:type="dxa"/>
          </w:tcPr>
          <w:p w14:paraId="02271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F9FB9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A9F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709" w:type="dxa"/>
          </w:tcPr>
          <w:p w14:paraId="1DB89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567" w:type="dxa"/>
          </w:tcPr>
          <w:p w14:paraId="4E4CC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567" w:type="dxa"/>
          </w:tcPr>
          <w:p w14:paraId="71BAF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709" w:type="dxa"/>
          </w:tcPr>
          <w:p w14:paraId="2DAE04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80214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r>
      <w:tr w:rsidR="001002C3" w:rsidRPr="007122AB" w14:paraId="1546BDB3" w14:textId="77777777">
        <w:tc>
          <w:tcPr>
            <w:tcW w:w="1951" w:type="dxa"/>
          </w:tcPr>
          <w:p w14:paraId="3B5B2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B4F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0BB7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3814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227A3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У3-РЖ6</w:t>
            </w:r>
          </w:p>
        </w:tc>
        <w:tc>
          <w:tcPr>
            <w:tcW w:w="708" w:type="dxa"/>
          </w:tcPr>
          <w:p w14:paraId="44E99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D95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F2AF0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661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5CB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w:t>
            </w:r>
          </w:p>
        </w:tc>
        <w:tc>
          <w:tcPr>
            <w:tcW w:w="576" w:type="dxa"/>
          </w:tcPr>
          <w:p w14:paraId="2113F2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r>
      <w:tr w:rsidR="001002C3" w:rsidRPr="007122AB" w14:paraId="2BF2E000" w14:textId="77777777">
        <w:tc>
          <w:tcPr>
            <w:tcW w:w="1951" w:type="dxa"/>
          </w:tcPr>
          <w:p w14:paraId="55E82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4287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4B3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E8CBB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w:t>
            </w:r>
          </w:p>
        </w:tc>
        <w:tc>
          <w:tcPr>
            <w:tcW w:w="2268" w:type="dxa"/>
          </w:tcPr>
          <w:p w14:paraId="3806D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У4-РЖ6</w:t>
            </w:r>
          </w:p>
        </w:tc>
        <w:tc>
          <w:tcPr>
            <w:tcW w:w="708" w:type="dxa"/>
          </w:tcPr>
          <w:p w14:paraId="788902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3DB7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9BC9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22345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1B2B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3695B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717B5D" w14:textId="77777777">
        <w:tc>
          <w:tcPr>
            <w:tcW w:w="1951" w:type="dxa"/>
          </w:tcPr>
          <w:p w14:paraId="1F881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345F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E1400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073F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4CC59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С1-РЖ6 спорт.</w:t>
            </w:r>
          </w:p>
        </w:tc>
        <w:tc>
          <w:tcPr>
            <w:tcW w:w="708" w:type="dxa"/>
          </w:tcPr>
          <w:p w14:paraId="53847D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CE1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A027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7FC3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w:t>
            </w:r>
          </w:p>
        </w:tc>
        <w:tc>
          <w:tcPr>
            <w:tcW w:w="709" w:type="dxa"/>
          </w:tcPr>
          <w:p w14:paraId="2F8E2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w:t>
            </w:r>
          </w:p>
        </w:tc>
        <w:tc>
          <w:tcPr>
            <w:tcW w:w="576" w:type="dxa"/>
          </w:tcPr>
          <w:p w14:paraId="7C6BE6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r>
      <w:tr w:rsidR="001002C3" w:rsidRPr="007122AB" w14:paraId="772F4A8E" w14:textId="77777777">
        <w:tc>
          <w:tcPr>
            <w:tcW w:w="1951" w:type="dxa"/>
          </w:tcPr>
          <w:p w14:paraId="66968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816C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EA62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6CF83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1EE3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НАМИ 65, 3-4 типа</w:t>
            </w:r>
          </w:p>
        </w:tc>
        <w:tc>
          <w:tcPr>
            <w:tcW w:w="708" w:type="dxa"/>
          </w:tcPr>
          <w:p w14:paraId="2BE0A0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7BF1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4FA2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5B94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6AEF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87F5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40641F" w14:textId="77777777">
        <w:tc>
          <w:tcPr>
            <w:tcW w:w="1951" w:type="dxa"/>
          </w:tcPr>
          <w:p w14:paraId="6C4C1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DAD41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B9B3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1370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6DE9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4F77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29B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FAA49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D77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931E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0231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B40A73" w14:textId="77777777">
        <w:tc>
          <w:tcPr>
            <w:tcW w:w="1951" w:type="dxa"/>
          </w:tcPr>
          <w:p w14:paraId="094DDB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Рекордный или</w:t>
            </w:r>
          </w:p>
        </w:tc>
        <w:tc>
          <w:tcPr>
            <w:tcW w:w="711" w:type="dxa"/>
          </w:tcPr>
          <w:p w14:paraId="0AF8A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5DE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ED52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2268" w:type="dxa"/>
          </w:tcPr>
          <w:p w14:paraId="708F8B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Рек1-М38 </w:t>
            </w:r>
            <w:proofErr w:type="spellStart"/>
            <w:r w:rsidRPr="007122AB">
              <w:rPr>
                <w:rFonts w:ascii="Times New Roman" w:hAnsi="Times New Roman"/>
                <w:color w:val="000000" w:themeColor="text1"/>
                <w:sz w:val="16"/>
                <w:szCs w:val="16"/>
              </w:rPr>
              <w:t>выс</w:t>
            </w:r>
            <w:proofErr w:type="spellEnd"/>
            <w:r w:rsidRPr="007122AB">
              <w:rPr>
                <w:rFonts w:ascii="Times New Roman" w:hAnsi="Times New Roman"/>
                <w:color w:val="000000" w:themeColor="text1"/>
                <w:sz w:val="16"/>
                <w:szCs w:val="16"/>
              </w:rPr>
              <w:t>.</w:t>
            </w:r>
          </w:p>
        </w:tc>
        <w:tc>
          <w:tcPr>
            <w:tcW w:w="708" w:type="dxa"/>
          </w:tcPr>
          <w:p w14:paraId="4DD81B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A8D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DE5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E453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FF1A7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4A771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E98399E" w14:textId="77777777">
        <w:tc>
          <w:tcPr>
            <w:tcW w:w="1951" w:type="dxa"/>
          </w:tcPr>
          <w:p w14:paraId="14018A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Экспериментальный</w:t>
            </w:r>
          </w:p>
        </w:tc>
        <w:tc>
          <w:tcPr>
            <w:tcW w:w="711" w:type="dxa"/>
          </w:tcPr>
          <w:p w14:paraId="1A2008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F0B4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23D66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ГРОСС</w:t>
            </w:r>
          </w:p>
        </w:tc>
        <w:tc>
          <w:tcPr>
            <w:tcW w:w="2268" w:type="dxa"/>
          </w:tcPr>
          <w:p w14:paraId="089DF7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Рек2-М34 </w:t>
            </w: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708" w:type="dxa"/>
          </w:tcPr>
          <w:p w14:paraId="2F1C9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2590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14C4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BB2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DBA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883A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6A22BB" w14:textId="77777777">
        <w:tc>
          <w:tcPr>
            <w:tcW w:w="1951" w:type="dxa"/>
          </w:tcPr>
          <w:p w14:paraId="60E756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E714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19B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4E0B8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2A6A1C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Рек3-М34 скор.</w:t>
            </w:r>
          </w:p>
        </w:tc>
        <w:tc>
          <w:tcPr>
            <w:tcW w:w="708" w:type="dxa"/>
          </w:tcPr>
          <w:p w14:paraId="43C55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A5F2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62C2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D82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50D1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689B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B2199FF" w14:textId="77777777">
        <w:tc>
          <w:tcPr>
            <w:tcW w:w="1951" w:type="dxa"/>
          </w:tcPr>
          <w:p w14:paraId="41C34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Строящиеся как</w:t>
            </w:r>
          </w:p>
        </w:tc>
        <w:tc>
          <w:tcPr>
            <w:tcW w:w="711" w:type="dxa"/>
          </w:tcPr>
          <w:p w14:paraId="7C8030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D4E0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DB87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57F26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И4-М22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крыло метал.</w:t>
            </w:r>
          </w:p>
        </w:tc>
        <w:tc>
          <w:tcPr>
            <w:tcW w:w="708" w:type="dxa"/>
          </w:tcPr>
          <w:p w14:paraId="092895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509B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6F7F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6FD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D4B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1F04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1440252" w14:textId="77777777">
        <w:tc>
          <w:tcPr>
            <w:tcW w:w="1951" w:type="dxa"/>
          </w:tcPr>
          <w:p w14:paraId="131DA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доводки и не</w:t>
            </w:r>
          </w:p>
        </w:tc>
        <w:tc>
          <w:tcPr>
            <w:tcW w:w="711" w:type="dxa"/>
          </w:tcPr>
          <w:p w14:paraId="7353AB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EC7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A1935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2268" w:type="dxa"/>
          </w:tcPr>
          <w:p w14:paraId="64384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И4-М22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крыло дер.</w:t>
            </w:r>
          </w:p>
        </w:tc>
        <w:tc>
          <w:tcPr>
            <w:tcW w:w="708" w:type="dxa"/>
          </w:tcPr>
          <w:p w14:paraId="5E4350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6BF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6D56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892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B1D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562F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D457748" w14:textId="77777777">
        <w:tc>
          <w:tcPr>
            <w:tcW w:w="1951" w:type="dxa"/>
          </w:tcPr>
          <w:p w14:paraId="6919DD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Внедряемые в серию</w:t>
            </w:r>
          </w:p>
        </w:tc>
        <w:tc>
          <w:tcPr>
            <w:tcW w:w="711" w:type="dxa"/>
          </w:tcPr>
          <w:p w14:paraId="20413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AF1E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624D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w:t>
            </w:r>
          </w:p>
        </w:tc>
        <w:tc>
          <w:tcPr>
            <w:tcW w:w="2268" w:type="dxa"/>
          </w:tcPr>
          <w:p w14:paraId="3E374B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МДР1-2М17 доводка РОМ</w:t>
            </w:r>
          </w:p>
        </w:tc>
        <w:tc>
          <w:tcPr>
            <w:tcW w:w="708" w:type="dxa"/>
          </w:tcPr>
          <w:p w14:paraId="6A4C5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DDF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E79F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E4F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060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4438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407C1CB" w14:textId="77777777">
        <w:tc>
          <w:tcPr>
            <w:tcW w:w="1951" w:type="dxa"/>
          </w:tcPr>
          <w:p w14:paraId="7CFDE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1006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D321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6B8CA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ГРОСС</w:t>
            </w:r>
          </w:p>
        </w:tc>
        <w:tc>
          <w:tcPr>
            <w:tcW w:w="2268" w:type="dxa"/>
          </w:tcPr>
          <w:p w14:paraId="1A49B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К5-М15 </w:t>
            </w:r>
            <w:proofErr w:type="spellStart"/>
            <w:r w:rsidRPr="007122AB">
              <w:rPr>
                <w:rFonts w:ascii="Times New Roman" w:hAnsi="Times New Roman"/>
                <w:color w:val="000000" w:themeColor="text1"/>
                <w:sz w:val="16"/>
                <w:szCs w:val="16"/>
              </w:rPr>
              <w:t>попл</w:t>
            </w:r>
            <w:proofErr w:type="spellEnd"/>
            <w:r w:rsidRPr="007122AB">
              <w:rPr>
                <w:rFonts w:ascii="Times New Roman" w:hAnsi="Times New Roman"/>
                <w:color w:val="000000" w:themeColor="text1"/>
                <w:sz w:val="16"/>
                <w:szCs w:val="16"/>
              </w:rPr>
              <w:t>.</w:t>
            </w:r>
          </w:p>
        </w:tc>
        <w:tc>
          <w:tcPr>
            <w:tcW w:w="708" w:type="dxa"/>
          </w:tcPr>
          <w:p w14:paraId="1822E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DA9F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36A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B9AC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200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B73C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F79E34" w14:textId="77777777">
        <w:tc>
          <w:tcPr>
            <w:tcW w:w="1951" w:type="dxa"/>
          </w:tcPr>
          <w:p w14:paraId="18A282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86A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D963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8C7B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ГРОСС</w:t>
            </w:r>
          </w:p>
        </w:tc>
        <w:tc>
          <w:tcPr>
            <w:tcW w:w="2268" w:type="dxa"/>
          </w:tcPr>
          <w:p w14:paraId="6FBC94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К8-М27 почт. скор.</w:t>
            </w:r>
          </w:p>
        </w:tc>
        <w:tc>
          <w:tcPr>
            <w:tcW w:w="708" w:type="dxa"/>
          </w:tcPr>
          <w:p w14:paraId="309C4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BAC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281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CFF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6AF5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E59B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EADE0F" w14:textId="77777777">
        <w:tc>
          <w:tcPr>
            <w:tcW w:w="1951" w:type="dxa"/>
          </w:tcPr>
          <w:p w14:paraId="137CE6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90F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AC7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7827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ГРОСС</w:t>
            </w:r>
          </w:p>
        </w:tc>
        <w:tc>
          <w:tcPr>
            <w:tcW w:w="2268" w:type="dxa"/>
          </w:tcPr>
          <w:p w14:paraId="24300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 ПС4-М26</w:t>
            </w:r>
          </w:p>
        </w:tc>
        <w:tc>
          <w:tcPr>
            <w:tcW w:w="708" w:type="dxa"/>
          </w:tcPr>
          <w:p w14:paraId="62E256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127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A30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8D1E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EB9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74374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6C27FA8" w14:textId="77777777">
        <w:tc>
          <w:tcPr>
            <w:tcW w:w="1951" w:type="dxa"/>
          </w:tcPr>
          <w:p w14:paraId="2A558D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0F82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07EA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7B60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ГРОСС</w:t>
            </w:r>
          </w:p>
        </w:tc>
        <w:tc>
          <w:tcPr>
            <w:tcW w:w="2268" w:type="dxa"/>
          </w:tcPr>
          <w:p w14:paraId="0D68BB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К10-М11 дублер</w:t>
            </w:r>
          </w:p>
        </w:tc>
        <w:tc>
          <w:tcPr>
            <w:tcW w:w="708" w:type="dxa"/>
          </w:tcPr>
          <w:p w14:paraId="05FF4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8B1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C52F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BEB6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5F3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978B4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0EA81E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Интересно, что нет АНТ-20, Р7 (АНТ-10), Ш2, ДИ3, ТОМ, ТШ1, ТБ-7 (ЦАГИ), ШОН, МУ3, ИZ, МБР-2, Сталь-2.</w:t>
      </w:r>
    </w:p>
    <w:p w14:paraId="62A63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есть с ТБ-7, который был задуман якобы в 1931, что то не вяжется.</w:t>
      </w:r>
    </w:p>
    <w:p w14:paraId="1D59309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A9A62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45756A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A4C2AE"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23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209сс о финансировании ОРПО (ГА РФ. Ф. Р?8418. Оп. 28. Д. 14а. Л. 67) (12415).</w:t>
      </w:r>
    </w:p>
    <w:p w14:paraId="1CCD4303"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09908D9B"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сентября 1931 г. АНИМИ передал «Большевику» чертежи переделки серийной 130/55-мм пушки обр. 1913 г. в </w:t>
      </w:r>
      <w:proofErr w:type="spellStart"/>
      <w:r w:rsidRPr="007122AB">
        <w:rPr>
          <w:rFonts w:ascii="Times New Roman" w:hAnsi="Times New Roman"/>
          <w:color w:val="000000" w:themeColor="text1"/>
          <w:sz w:val="16"/>
          <w:szCs w:val="16"/>
        </w:rPr>
        <w:t>полигональнуюю</w:t>
      </w:r>
      <w:proofErr w:type="spellEnd"/>
      <w:r w:rsidRPr="007122AB">
        <w:rPr>
          <w:rFonts w:ascii="Times New Roman" w:hAnsi="Times New Roman"/>
          <w:color w:val="000000" w:themeColor="text1"/>
          <w:sz w:val="16"/>
          <w:szCs w:val="16"/>
        </w:rPr>
        <w:t xml:space="preserve"> Заводу «Большевик» выдали заказ на переделку 130-мм пушки со сроком готовности 1 октября 1932 г.</w:t>
      </w:r>
    </w:p>
    <w:p w14:paraId="099519AD"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Отношением от 10 сентября 1933 г. заводу «Большевик» было предписано нарезать 130/55-мм орудие по чертежу АНИМИ № 338.</w:t>
      </w:r>
    </w:p>
    <w:p w14:paraId="3806B553" w14:textId="77777777" w:rsidR="007908DF" w:rsidRPr="007122AB" w:rsidRDefault="007908D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(12705).</w:t>
      </w:r>
    </w:p>
    <w:p w14:paraId="746702D2" w14:textId="77777777" w:rsidR="007908DF" w:rsidRPr="007122AB" w:rsidRDefault="007908DF" w:rsidP="007122AB">
      <w:pPr>
        <w:spacing w:after="0" w:line="240" w:lineRule="auto"/>
        <w:jc w:val="both"/>
        <w:rPr>
          <w:rFonts w:ascii="Times New Roman" w:hAnsi="Times New Roman"/>
          <w:color w:val="000000" w:themeColor="text1"/>
          <w:sz w:val="16"/>
          <w:szCs w:val="16"/>
        </w:rPr>
      </w:pPr>
    </w:p>
    <w:p w14:paraId="2EE4320B"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23 сентября 1931 г.</w:t>
      </w:r>
    </w:p>
    <w:p w14:paraId="03609E4D"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Распоряжение о переводе ОКБ № 11 в Теплотехнический институт. 23 сентября 1931 г.</w:t>
      </w:r>
    </w:p>
    <w:p w14:paraId="2CA59C55"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86B30BC"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397D8D"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7F928194"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1.Д. 2. Л. 85</w:t>
      </w:r>
    </w:p>
    <w:p w14:paraId="3282189B" w14:textId="77777777" w:rsidR="001D6FA0" w:rsidRPr="007122AB" w:rsidRDefault="001D6FA0" w:rsidP="007122AB">
      <w:pPr>
        <w:pStyle w:val="rteright"/>
        <w:spacing w:before="0" w:after="0"/>
        <w:jc w:val="both"/>
        <w:rPr>
          <w:color w:val="000000" w:themeColor="text1"/>
          <w:sz w:val="16"/>
          <w:szCs w:val="16"/>
        </w:rPr>
      </w:pPr>
      <w:r w:rsidRPr="007122AB">
        <w:rPr>
          <w:color w:val="000000" w:themeColor="text1"/>
          <w:sz w:val="16"/>
          <w:szCs w:val="16"/>
        </w:rPr>
        <w:t>23 сентября 1931 г.</w:t>
      </w:r>
    </w:p>
    <w:p w14:paraId="43F6C64E"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Служебная записка</w:t>
      </w:r>
    </w:p>
    <w:p w14:paraId="6D226990"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 xml:space="preserve">Тов. </w:t>
      </w:r>
      <w:proofErr w:type="spellStart"/>
      <w:r w:rsidRPr="007122AB">
        <w:rPr>
          <w:color w:val="000000" w:themeColor="text1"/>
          <w:sz w:val="16"/>
          <w:szCs w:val="16"/>
        </w:rPr>
        <w:t>Наумину</w:t>
      </w:r>
      <w:proofErr w:type="spellEnd"/>
    </w:p>
    <w:p w14:paraId="5C38A13D" w14:textId="77777777" w:rsidR="001D6FA0" w:rsidRPr="007122AB" w:rsidRDefault="001D6FA0" w:rsidP="007122AB">
      <w:pPr>
        <w:pStyle w:val="rtejustify"/>
        <w:spacing w:before="0" w:after="0"/>
        <w:rPr>
          <w:color w:val="000000" w:themeColor="text1"/>
          <w:sz w:val="16"/>
          <w:szCs w:val="16"/>
        </w:rPr>
      </w:pPr>
      <w:r w:rsidRPr="007122AB">
        <w:rPr>
          <w:color w:val="000000" w:themeColor="text1"/>
          <w:sz w:val="16"/>
          <w:szCs w:val="16"/>
        </w:rPr>
        <w:t xml:space="preserve">Согласно распоряжения нач. ЭКУ тов. Миронова переведите ОКБ № 11 в </w:t>
      </w:r>
      <w:proofErr w:type="spellStart"/>
      <w:r w:rsidRPr="007122AB">
        <w:rPr>
          <w:color w:val="000000" w:themeColor="text1"/>
          <w:sz w:val="16"/>
          <w:szCs w:val="16"/>
        </w:rPr>
        <w:t>Теплоинститут</w:t>
      </w:r>
      <w:proofErr w:type="spellEnd"/>
      <w:r w:rsidRPr="007122AB">
        <w:rPr>
          <w:color w:val="000000" w:themeColor="text1"/>
          <w:sz w:val="16"/>
          <w:szCs w:val="16"/>
        </w:rPr>
        <w:t xml:space="preserve">, о чем договоритесь с тов. </w:t>
      </w:r>
      <w:proofErr w:type="spellStart"/>
      <w:r w:rsidRPr="007122AB">
        <w:rPr>
          <w:color w:val="000000" w:themeColor="text1"/>
          <w:sz w:val="16"/>
          <w:szCs w:val="16"/>
        </w:rPr>
        <w:t>Браило</w:t>
      </w:r>
      <w:proofErr w:type="spellEnd"/>
      <w:r w:rsidRPr="007122AB">
        <w:rPr>
          <w:color w:val="000000" w:themeColor="text1"/>
          <w:sz w:val="16"/>
          <w:szCs w:val="16"/>
        </w:rPr>
        <w:t xml:space="preserve">. Помещение на </w:t>
      </w:r>
      <w:proofErr w:type="spellStart"/>
      <w:r w:rsidRPr="007122AB">
        <w:rPr>
          <w:color w:val="000000" w:themeColor="text1"/>
          <w:sz w:val="16"/>
          <w:szCs w:val="16"/>
        </w:rPr>
        <w:t>парострое</w:t>
      </w:r>
      <w:proofErr w:type="spellEnd"/>
      <w:r w:rsidRPr="007122AB">
        <w:rPr>
          <w:color w:val="000000" w:themeColor="text1"/>
          <w:sz w:val="16"/>
          <w:szCs w:val="16"/>
        </w:rPr>
        <w:t xml:space="preserve"> закрепить за ними.</w:t>
      </w:r>
    </w:p>
    <w:p w14:paraId="038E789B" w14:textId="77777777" w:rsidR="001D6FA0" w:rsidRPr="007122AB" w:rsidRDefault="001D6FA0" w:rsidP="007122AB">
      <w:pPr>
        <w:pStyle w:val="rtejustify"/>
        <w:spacing w:before="0" w:after="0"/>
        <w:rPr>
          <w:color w:val="000000" w:themeColor="text1"/>
          <w:sz w:val="16"/>
          <w:szCs w:val="16"/>
        </w:rPr>
      </w:pPr>
      <w:r w:rsidRPr="007122AB">
        <w:rPr>
          <w:color w:val="000000" w:themeColor="text1"/>
          <w:sz w:val="16"/>
          <w:szCs w:val="16"/>
        </w:rPr>
        <w:t>Бедняков.</w:t>
      </w:r>
    </w:p>
    <w:p w14:paraId="0BB584D0"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23/IX</w:t>
      </w:r>
    </w:p>
    <w:p w14:paraId="4DB4E35F" w14:textId="77777777" w:rsidR="001D6FA0" w:rsidRPr="007122AB" w:rsidRDefault="001D6FA0"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1.Д. 2. Л. 85. Рукописный подлинник, автограф Беднякова. Написано простым карандашом на листке из фирменного блокнота: вверху (типографским способом) «Начальник «...» Отделения Экономического управления ОГПУ при СНК СССР», ниже по центру «Служебная записка», графы для даты, номера, адресата («тов.»). Вверху слева также от руки написано «23/IХ» (19074).</w:t>
      </w:r>
    </w:p>
    <w:p w14:paraId="2F839C1D" w14:textId="77777777" w:rsidR="001D6FA0" w:rsidRPr="007122AB" w:rsidRDefault="001D6FA0" w:rsidP="007122AB">
      <w:pPr>
        <w:spacing w:after="0" w:line="240" w:lineRule="auto"/>
        <w:jc w:val="both"/>
        <w:rPr>
          <w:rFonts w:ascii="Times New Roman" w:hAnsi="Times New Roman"/>
          <w:color w:val="000000" w:themeColor="text1"/>
          <w:sz w:val="16"/>
          <w:szCs w:val="16"/>
        </w:rPr>
      </w:pPr>
    </w:p>
    <w:p w14:paraId="6708CDE3" w14:textId="77777777" w:rsidR="001D6FA0" w:rsidRPr="007122AB" w:rsidRDefault="001D6FA0"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сентября 1931 г. завершились приемо-сдаточные испытания головной подводной лодки С-1, которые проводила государственная комиссия под председательством Н. И. </w:t>
      </w:r>
      <w:proofErr w:type="spellStart"/>
      <w:r w:rsidRPr="007122AB">
        <w:rPr>
          <w:rFonts w:ascii="Times New Roman" w:hAnsi="Times New Roman"/>
          <w:color w:val="000000" w:themeColor="text1"/>
          <w:sz w:val="16"/>
          <w:szCs w:val="16"/>
        </w:rPr>
        <w:t>Кюна</w:t>
      </w:r>
      <w:proofErr w:type="spellEnd"/>
      <w:r w:rsidRPr="007122AB">
        <w:rPr>
          <w:rFonts w:ascii="Times New Roman" w:hAnsi="Times New Roman"/>
          <w:color w:val="000000" w:themeColor="text1"/>
          <w:sz w:val="16"/>
          <w:szCs w:val="16"/>
        </w:rPr>
        <w:t>. По завершении испытаний был подписан приемный акт, в котором комиссия отметила высокие боевые и маневренные качества подводного корабля. Лодка имела хорошую маневренность и мореходность, уверенно слушалась руля. Система погружения была простой в обслуживании (10700).</w:t>
      </w:r>
    </w:p>
    <w:p w14:paraId="57CF76FF" w14:textId="77777777" w:rsidR="001D6FA0" w:rsidRPr="007122AB" w:rsidRDefault="001D6FA0" w:rsidP="007122AB">
      <w:pPr>
        <w:autoSpaceDE w:val="0"/>
        <w:autoSpaceDN w:val="0"/>
        <w:adjustRightInd w:val="0"/>
        <w:spacing w:after="0" w:line="240" w:lineRule="auto"/>
        <w:jc w:val="both"/>
        <w:rPr>
          <w:rFonts w:ascii="Times New Roman" w:hAnsi="Times New Roman"/>
          <w:color w:val="000000" w:themeColor="text1"/>
          <w:sz w:val="16"/>
          <w:szCs w:val="16"/>
        </w:rPr>
      </w:pPr>
    </w:p>
    <w:p w14:paraId="4D15064D" w14:textId="77777777" w:rsidR="005C4849" w:rsidRPr="00911712"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Зарубежом</w:t>
      </w:r>
      <w:r w:rsidRPr="00911712">
        <w:rPr>
          <w:rFonts w:ascii="Times New Roman" w:hAnsi="Times New Roman"/>
          <w:i/>
          <w:iCs/>
          <w:color w:val="000000" w:themeColor="text1"/>
          <w:sz w:val="16"/>
          <w:szCs w:val="16"/>
        </w:rPr>
        <w:t>:</w:t>
      </w:r>
    </w:p>
    <w:p w14:paraId="3A9FA6DE" w14:textId="77777777" w:rsidR="005C4849" w:rsidRPr="00911712"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923C16" w14:textId="77777777" w:rsidR="00D23876" w:rsidRPr="00FE1090" w:rsidRDefault="00D23876" w:rsidP="007122AB">
      <w:pPr>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rPr>
        <w:t xml:space="preserve">23 сентября 1931 автожир </w:t>
      </w:r>
      <w:proofErr w:type="spellStart"/>
      <w:r w:rsidRPr="007122AB">
        <w:rPr>
          <w:rFonts w:ascii="Times New Roman" w:hAnsi="Times New Roman"/>
          <w:color w:val="000000" w:themeColor="text1"/>
          <w:sz w:val="16"/>
          <w:szCs w:val="16"/>
        </w:rPr>
        <w:t>Pitcairn</w:t>
      </w:r>
      <w:proofErr w:type="spellEnd"/>
      <w:r w:rsidRPr="007122AB">
        <w:rPr>
          <w:rFonts w:ascii="Times New Roman" w:hAnsi="Times New Roman"/>
          <w:color w:val="000000" w:themeColor="text1"/>
          <w:sz w:val="16"/>
          <w:szCs w:val="16"/>
        </w:rPr>
        <w:t xml:space="preserve"> XOP-1 проводит посадочные и взлетные испытания на борту авианосца ВМС США USS </w:t>
      </w:r>
      <w:proofErr w:type="spellStart"/>
      <w:r w:rsidRPr="007122AB">
        <w:rPr>
          <w:rFonts w:ascii="Times New Roman" w:hAnsi="Times New Roman"/>
          <w:color w:val="000000" w:themeColor="text1"/>
          <w:sz w:val="16"/>
          <w:szCs w:val="16"/>
        </w:rPr>
        <w:t>Langley</w:t>
      </w:r>
      <w:proofErr w:type="spellEnd"/>
      <w:r w:rsidRPr="007122AB">
        <w:rPr>
          <w:rFonts w:ascii="Times New Roman" w:hAnsi="Times New Roman"/>
          <w:color w:val="000000" w:themeColor="text1"/>
          <w:sz w:val="16"/>
          <w:szCs w:val="16"/>
        </w:rPr>
        <w:t xml:space="preserve"> (CV-1). Это</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первый</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эксперимент</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ВМС</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США</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с</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корабельными</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винтокрылыми</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rPr>
        <w:t>аппаратами</w:t>
      </w:r>
      <w:r w:rsidRPr="00FE1090">
        <w:rPr>
          <w:rFonts w:ascii="Times New Roman" w:hAnsi="Times New Roman"/>
          <w:color w:val="000000" w:themeColor="text1"/>
          <w:sz w:val="16"/>
          <w:szCs w:val="16"/>
          <w:lang w:val="en-US"/>
        </w:rPr>
        <w:t xml:space="preserve"> (20804). </w:t>
      </w:r>
    </w:p>
    <w:p w14:paraId="20180983" w14:textId="77777777" w:rsidR="00D23876" w:rsidRPr="00FE1090" w:rsidRDefault="00D23876" w:rsidP="007122AB">
      <w:pPr>
        <w:spacing w:after="0" w:line="240" w:lineRule="auto"/>
        <w:jc w:val="both"/>
        <w:rPr>
          <w:rFonts w:ascii="Times New Roman" w:hAnsi="Times New Roman"/>
          <w:color w:val="000000" w:themeColor="text1"/>
          <w:sz w:val="16"/>
          <w:szCs w:val="16"/>
          <w:lang w:val="en-US"/>
        </w:rPr>
      </w:pPr>
    </w:p>
    <w:p w14:paraId="19D165E5" w14:textId="77777777" w:rsidR="005C4849" w:rsidRPr="00FE1090"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September</w:t>
      </w:r>
      <w:r w:rsidRPr="00FE1090">
        <w:rPr>
          <w:rFonts w:ascii="Times New Roman" w:hAnsi="Times New Roman"/>
          <w:color w:val="000000" w:themeColor="text1"/>
          <w:sz w:val="16"/>
          <w:szCs w:val="16"/>
          <w:lang w:val="en-US"/>
        </w:rPr>
        <w:t xml:space="preserve"> 23, 1931 </w:t>
      </w:r>
      <w:r w:rsidRPr="007122AB">
        <w:rPr>
          <w:rFonts w:ascii="Times New Roman" w:hAnsi="Times New Roman"/>
          <w:color w:val="000000" w:themeColor="text1"/>
          <w:sz w:val="16"/>
          <w:szCs w:val="16"/>
          <w:lang w:val="en-US"/>
        </w:rPr>
        <w:t>Lieutenant</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A</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M</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Pride</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piloted</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the</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Navy</w:t>
      </w:r>
      <w:r w:rsidRPr="00FE1090">
        <w:rPr>
          <w:rFonts w:ascii="Times New Roman" w:hAnsi="Times New Roman"/>
          <w:color w:val="000000" w:themeColor="text1"/>
          <w:sz w:val="16"/>
          <w:szCs w:val="16"/>
          <w:lang w:val="en-US"/>
        </w:rPr>
        <w:t>'</w:t>
      </w:r>
      <w:r w:rsidRPr="007122AB">
        <w:rPr>
          <w:rFonts w:ascii="Times New Roman" w:hAnsi="Times New Roman"/>
          <w:color w:val="000000" w:themeColor="text1"/>
          <w:sz w:val="16"/>
          <w:szCs w:val="16"/>
          <w:lang w:val="en-US"/>
        </w:rPr>
        <w:t>s</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first</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rotary</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wing</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aircraft</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an</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XOP</w:t>
      </w:r>
      <w:r w:rsidRPr="00FE1090">
        <w:rPr>
          <w:rFonts w:ascii="Times New Roman" w:hAnsi="Times New Roman"/>
          <w:color w:val="000000" w:themeColor="text1"/>
          <w:sz w:val="16"/>
          <w:szCs w:val="16"/>
          <w:lang w:val="en-US"/>
        </w:rPr>
        <w:t xml:space="preserve">-1 </w:t>
      </w:r>
      <w:r w:rsidRPr="007122AB">
        <w:rPr>
          <w:rFonts w:ascii="Times New Roman" w:hAnsi="Times New Roman"/>
          <w:color w:val="000000" w:themeColor="text1"/>
          <w:sz w:val="16"/>
          <w:szCs w:val="16"/>
          <w:lang w:val="en-US"/>
        </w:rPr>
        <w:t>autogiro</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in</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landings</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and</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takeoffs</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aboard</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Langley</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while</w:t>
      </w:r>
      <w:r w:rsidRPr="00FE1090">
        <w:rPr>
          <w:rFonts w:ascii="Times New Roman" w:hAnsi="Times New Roman"/>
          <w:color w:val="000000" w:themeColor="text1"/>
          <w:sz w:val="16"/>
          <w:szCs w:val="16"/>
          <w:lang w:val="en-US"/>
        </w:rPr>
        <w:t xml:space="preserve"> </w:t>
      </w:r>
      <w:r w:rsidRPr="007122AB">
        <w:rPr>
          <w:rFonts w:ascii="Times New Roman" w:hAnsi="Times New Roman"/>
          <w:color w:val="000000" w:themeColor="text1"/>
          <w:sz w:val="16"/>
          <w:szCs w:val="16"/>
          <w:lang w:val="en-US"/>
        </w:rPr>
        <w:t>underway</w:t>
      </w:r>
      <w:r w:rsidRPr="00FE1090">
        <w:rPr>
          <w:rFonts w:ascii="Times New Roman" w:hAnsi="Times New Roman"/>
          <w:color w:val="000000" w:themeColor="text1"/>
          <w:sz w:val="16"/>
          <w:szCs w:val="16"/>
          <w:lang w:val="en-US"/>
        </w:rPr>
        <w:t xml:space="preserve"> (1090).</w:t>
      </w:r>
    </w:p>
    <w:p w14:paraId="113ED477" w14:textId="77777777" w:rsidR="005C4849" w:rsidRPr="00FE1090"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32699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сентября 1931 л </w:t>
      </w:r>
      <w:proofErr w:type="spellStart"/>
      <w:r w:rsidRPr="007122AB">
        <w:rPr>
          <w:rFonts w:ascii="Times New Roman" w:hAnsi="Times New Roman"/>
          <w:color w:val="000000" w:themeColor="text1"/>
          <w:sz w:val="16"/>
          <w:szCs w:val="16"/>
        </w:rPr>
        <w:t>А.М.Прайд</w:t>
      </w:r>
      <w:proofErr w:type="spellEnd"/>
      <w:r w:rsidRPr="007122AB">
        <w:rPr>
          <w:rFonts w:ascii="Times New Roman" w:hAnsi="Times New Roman"/>
          <w:color w:val="000000" w:themeColor="text1"/>
          <w:sz w:val="16"/>
          <w:szCs w:val="16"/>
        </w:rPr>
        <w:t xml:space="preserve"> совершил первый полет на первом флотском автожире США с авианосца Лэнгли (1090).</w:t>
      </w:r>
    </w:p>
    <w:p w14:paraId="18D170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1FD9A1" w14:textId="77777777" w:rsidR="00D23876" w:rsidRPr="007122AB" w:rsidRDefault="00D23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сентября 1931 - Первый полёт дирижабля «Акрон», вокруг города Кливленда. USS </w:t>
      </w:r>
      <w:proofErr w:type="spellStart"/>
      <w:r w:rsidRPr="007122AB">
        <w:rPr>
          <w:rFonts w:ascii="Times New Roman" w:hAnsi="Times New Roman"/>
          <w:color w:val="000000" w:themeColor="text1"/>
          <w:sz w:val="16"/>
          <w:szCs w:val="16"/>
        </w:rPr>
        <w:t>Akron</w:t>
      </w:r>
      <w:proofErr w:type="spellEnd"/>
      <w:r w:rsidRPr="007122AB">
        <w:rPr>
          <w:rFonts w:ascii="Times New Roman" w:hAnsi="Times New Roman"/>
          <w:color w:val="000000" w:themeColor="text1"/>
          <w:sz w:val="16"/>
          <w:szCs w:val="16"/>
        </w:rPr>
        <w:t xml:space="preserve"> (ZRS-4)) — жёсткий дирижабль-авианосец Военно-морских сил США первой трети 1930-х годов, один из крупнейших дирижаблей в мире (по объёму уступал цеппелину «Гинденбург» приблизительно на 3 %). Разрабатывался для ведения дальней морской разведки. Номинально мог нести до 5 небольших самолётов, служивших для выполнения разведывательных полётов и защиты дирижабля (фактически брал на борт не более 3 самолётов) (22357).</w:t>
      </w:r>
    </w:p>
    <w:p w14:paraId="0FECE6DC" w14:textId="77777777" w:rsidR="00D23876" w:rsidRPr="007122AB" w:rsidRDefault="00D23876" w:rsidP="007122AB">
      <w:pPr>
        <w:spacing w:after="0" w:line="240" w:lineRule="auto"/>
        <w:jc w:val="both"/>
        <w:rPr>
          <w:rFonts w:ascii="Times New Roman" w:hAnsi="Times New Roman"/>
          <w:color w:val="000000" w:themeColor="text1"/>
          <w:sz w:val="16"/>
          <w:szCs w:val="16"/>
        </w:rPr>
      </w:pPr>
    </w:p>
    <w:p w14:paraId="35CA23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сентября 1931 жесткий дирижабль Акрон выполнил первый полет (1090).</w:t>
      </w:r>
    </w:p>
    <w:p w14:paraId="26B830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3B22D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EB535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CF78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N 174 по ЦАГИ от 25 сентября, подписанному </w:t>
      </w:r>
      <w:proofErr w:type="spellStart"/>
      <w:r w:rsidRPr="007122AB">
        <w:rPr>
          <w:rFonts w:ascii="Times New Roman" w:hAnsi="Times New Roman"/>
          <w:color w:val="000000" w:themeColor="text1"/>
          <w:sz w:val="16"/>
          <w:szCs w:val="16"/>
        </w:rPr>
        <w:t>Пауфлером</w:t>
      </w:r>
      <w:proofErr w:type="spellEnd"/>
      <w:r w:rsidRPr="007122AB">
        <w:rPr>
          <w:rFonts w:ascii="Times New Roman" w:hAnsi="Times New Roman"/>
          <w:color w:val="000000" w:themeColor="text1"/>
          <w:sz w:val="16"/>
          <w:szCs w:val="16"/>
        </w:rPr>
        <w:t xml:space="preserve"> в качестве начальника ЦАГИ, в связи с новыми задачами ЦАГИ разделяется на два основных сектора (61,127):</w:t>
      </w:r>
    </w:p>
    <w:p w14:paraId="2A5B5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Научно-исследовательский, в который входят все научно-исследовательские отделы - руководимый зам. ЦКБ по научно-исследовательской части </w:t>
      </w:r>
      <w:proofErr w:type="spellStart"/>
      <w:r w:rsidRPr="007122AB">
        <w:rPr>
          <w:rFonts w:ascii="Times New Roman" w:hAnsi="Times New Roman"/>
          <w:color w:val="000000" w:themeColor="text1"/>
          <w:sz w:val="16"/>
          <w:szCs w:val="16"/>
        </w:rPr>
        <w:t>А.Н.Рафаэлянцем</w:t>
      </w:r>
      <w:proofErr w:type="spellEnd"/>
      <w:r w:rsidRPr="007122AB">
        <w:rPr>
          <w:rFonts w:ascii="Times New Roman" w:hAnsi="Times New Roman"/>
          <w:color w:val="000000" w:themeColor="text1"/>
          <w:sz w:val="16"/>
          <w:szCs w:val="16"/>
        </w:rPr>
        <w:t>;</w:t>
      </w:r>
    </w:p>
    <w:p w14:paraId="0C8750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Конструкторско-производственный, который состоит из ЦКБ и завода (61,127).</w:t>
      </w:r>
    </w:p>
    <w:p w14:paraId="3E360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этих секторов в состав ЦАГИ входят Планово-экономический отдел и Управление строительством (61,127).</w:t>
      </w:r>
    </w:p>
    <w:p w14:paraId="38CE91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"считать АГОС с его опытными мастерскими и ЦКБ с заводом N п/я 411 им. тов. Менжинского объединенными в конструкторско-производственный сектор ЦАГИ, который именовать впредь: "Центральное Конструкторское Бюро (ЦКБ) с заводом N п/я 411 им. тов. Менжинского. Основание приказ начальника ВАО N 265 от 27.08.1931 (61,127).</w:t>
      </w:r>
    </w:p>
    <w:p w14:paraId="67B8D8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назначил А.Н.Т., зам. начальника ЦАГИ, не начальником или зам., а </w:t>
      </w:r>
      <w:proofErr w:type="spellStart"/>
      <w:r w:rsidRPr="007122AB">
        <w:rPr>
          <w:rFonts w:ascii="Times New Roman" w:hAnsi="Times New Roman"/>
          <w:color w:val="000000" w:themeColor="text1"/>
          <w:sz w:val="16"/>
          <w:szCs w:val="16"/>
        </w:rPr>
        <w:t>помошником</w:t>
      </w:r>
      <w:proofErr w:type="spellEnd"/>
      <w:r w:rsidRPr="007122AB">
        <w:rPr>
          <w:rFonts w:ascii="Times New Roman" w:hAnsi="Times New Roman"/>
          <w:color w:val="000000" w:themeColor="text1"/>
          <w:sz w:val="16"/>
          <w:szCs w:val="16"/>
        </w:rPr>
        <w:t xml:space="preserve"> по ЦКБ (61,128).</w:t>
      </w:r>
    </w:p>
    <w:p w14:paraId="395650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Разница номеров 39 завода и п/я 411 может быть в том, что 39 - производство, а 411 - опытный, а может быть дело в том, что номер и п/я - могли быть и разными.</w:t>
      </w:r>
    </w:p>
    <w:p w14:paraId="3F650D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ЦКБ в административном отношении входил в ЦАГИ (24,53). Задания на постройку опытных самолетов, финансирование и материально-техническое снабжение ЦКБ осуществлялось через аппарат ЦАГИ.</w:t>
      </w:r>
    </w:p>
    <w:p w14:paraId="22BFE39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8BC48B"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сентября 1931 г. в приказе по ЦАГИ №174 от говорилось:</w:t>
      </w:r>
    </w:p>
    <w:p w14:paraId="2AFFDF6A"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В связи с новыми задачами, поставленными перед ЦАГИ, ЦАГИ разделяется на два основных сектора: Научно-Исследовательский и </w:t>
      </w:r>
      <w:proofErr w:type="spellStart"/>
      <w:r w:rsidRPr="007122AB">
        <w:rPr>
          <w:rFonts w:ascii="Times New Roman" w:hAnsi="Times New Roman"/>
          <w:color w:val="000000" w:themeColor="text1"/>
          <w:sz w:val="16"/>
          <w:szCs w:val="16"/>
        </w:rPr>
        <w:t>КонструкторскоПроизводственный</w:t>
      </w:r>
      <w:proofErr w:type="spellEnd"/>
      <w:r w:rsidRPr="007122AB">
        <w:rPr>
          <w:rFonts w:ascii="Times New Roman" w:hAnsi="Times New Roman"/>
          <w:color w:val="000000" w:themeColor="text1"/>
          <w:sz w:val="16"/>
          <w:szCs w:val="16"/>
        </w:rPr>
        <w:t>. Помимо этих секторов в состав ЦАГИ входят: Планово-Экономический Отдел и Управление строительством. В Научно-</w:t>
      </w:r>
      <w:proofErr w:type="spellStart"/>
      <w:r w:rsidRPr="007122AB">
        <w:rPr>
          <w:rFonts w:ascii="Times New Roman" w:hAnsi="Times New Roman"/>
          <w:color w:val="000000" w:themeColor="text1"/>
          <w:sz w:val="16"/>
          <w:szCs w:val="16"/>
        </w:rPr>
        <w:t>Исследова</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тельский</w:t>
      </w:r>
      <w:proofErr w:type="spellEnd"/>
      <w:r w:rsidRPr="007122AB">
        <w:rPr>
          <w:rFonts w:ascii="Times New Roman" w:hAnsi="Times New Roman"/>
          <w:color w:val="000000" w:themeColor="text1"/>
          <w:sz w:val="16"/>
          <w:szCs w:val="16"/>
        </w:rPr>
        <w:t xml:space="preserve"> сектор входят все научно-исследовательские отделы. Конструкторско-Производственный сектор состоит из центрального конструкторского Бюро (ЦКБ) и завода.</w:t>
      </w:r>
    </w:p>
    <w:p w14:paraId="352AB3F5"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 С сего числа считать АГОС с его опытными мастерскими и ЦКБ с заводом им. тов. Менжинского объединенными в конструкторско-производственный сектор ЦАГИ, который впредь именовать: «Центральное Конструкторское Бюро» (ЦКБ) с заводом им. тов. Менжинского» (19727).</w:t>
      </w:r>
    </w:p>
    <w:p w14:paraId="42469EA9" w14:textId="77777777" w:rsidR="001D6FA0" w:rsidRPr="007122AB" w:rsidRDefault="001D6FA0" w:rsidP="007122AB">
      <w:pPr>
        <w:spacing w:after="0" w:line="240" w:lineRule="auto"/>
        <w:jc w:val="both"/>
        <w:rPr>
          <w:rFonts w:ascii="Times New Roman" w:hAnsi="Times New Roman"/>
          <w:color w:val="000000" w:themeColor="text1"/>
          <w:sz w:val="16"/>
          <w:szCs w:val="16"/>
        </w:rPr>
      </w:pPr>
    </w:p>
    <w:p w14:paraId="785D8364"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25 сентября 1931 г. начальник ЦКБ-ЦАГИ Е. </w:t>
      </w:r>
      <w:proofErr w:type="spellStart"/>
      <w:r w:rsidRPr="00441F34">
        <w:rPr>
          <w:rFonts w:ascii="Times New Roman" w:hAnsi="Times New Roman"/>
          <w:color w:val="0070C0"/>
          <w:sz w:val="16"/>
          <w:szCs w:val="16"/>
        </w:rPr>
        <w:t>Пауфлер</w:t>
      </w:r>
      <w:proofErr w:type="spellEnd"/>
      <w:r w:rsidRPr="00441F34">
        <w:rPr>
          <w:rFonts w:ascii="Times New Roman" w:hAnsi="Times New Roman"/>
          <w:color w:val="0070C0"/>
          <w:sz w:val="16"/>
          <w:szCs w:val="16"/>
        </w:rPr>
        <w:t xml:space="preserve"> на основании приказа по ВАО №265 от 27.08.31 г. выпустил свой приказ №174, по которому:</w:t>
      </w:r>
    </w:p>
    <w:p w14:paraId="36869255"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ЦАГИ разделяется на два основных сектора – Научно-исследовательский, в который входят все научно-исследовательские отделы, начальник А.Н. </w:t>
      </w:r>
      <w:proofErr w:type="spellStart"/>
      <w:r w:rsidRPr="00441F34">
        <w:rPr>
          <w:rFonts w:ascii="Times New Roman" w:hAnsi="Times New Roman"/>
          <w:color w:val="0070C0"/>
          <w:sz w:val="16"/>
          <w:szCs w:val="16"/>
        </w:rPr>
        <w:t>Рафаэлянц</w:t>
      </w:r>
      <w:proofErr w:type="spellEnd"/>
      <w:r w:rsidRPr="00441F34">
        <w:rPr>
          <w:rFonts w:ascii="Times New Roman" w:hAnsi="Times New Roman"/>
          <w:color w:val="0070C0"/>
          <w:sz w:val="16"/>
          <w:szCs w:val="16"/>
        </w:rPr>
        <w:t>, и Конструкторско-производственный, который состоит из ЦКБ и (так в приказе и не ясно какой завод имеется ввиду – №39 или заканчиваемый постройкой ЗОК ЦАГИ), в него передается весь АГОС с его опытным производством, А.Н. Туполев назначается зам начальника ЦАГИ;</w:t>
      </w:r>
    </w:p>
    <w:p w14:paraId="63A89C38"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кроме этих секторов в состав ЦАГИ входят Планово-экономический отдел и Управление строительством;</w:t>
      </w:r>
    </w:p>
    <w:p w14:paraId="567E0C46"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объединенную организацию именовать впредь: «Центральное Конструкторское Бюро (ЦКБ) с заводом N п/я 411 им. тов. Менжинского» (т.е. ЦАГИ входит в ее состав и исключается из наименования организации, становясь просто ее подразделением).</w:t>
      </w:r>
    </w:p>
    <w:p w14:paraId="3CA9C3E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этот приказ руководством ЦАГИ и АГОС в части подчиненности ЦКБ выполнен не был. В то же время выдача заданий на постройку опытных самолетов, финансирование и материально-техническое снабжение ЦКБ-39 начало осуществляться через аппарат ЦАГИ (23559).</w:t>
      </w:r>
    </w:p>
    <w:p w14:paraId="57CD5307" w14:textId="77777777" w:rsidR="007F1987" w:rsidRPr="00441F34" w:rsidRDefault="007F1987" w:rsidP="007F1987">
      <w:pPr>
        <w:spacing w:after="0" w:line="240" w:lineRule="auto"/>
        <w:jc w:val="both"/>
        <w:rPr>
          <w:rFonts w:ascii="Times New Roman" w:hAnsi="Times New Roman"/>
          <w:color w:val="0070C0"/>
          <w:sz w:val="16"/>
          <w:szCs w:val="16"/>
        </w:rPr>
      </w:pPr>
    </w:p>
    <w:p w14:paraId="2A419F60" w14:textId="77777777" w:rsidR="003E28C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28BE185" w14:textId="77777777" w:rsidR="003E28CB" w:rsidRPr="007122AB" w:rsidRDefault="003E28C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577545"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64. 12. О заказах </w:t>
      </w:r>
      <w:proofErr w:type="spellStart"/>
      <w:r w:rsidRPr="007122AB">
        <w:rPr>
          <w:rFonts w:ascii="Times New Roman" w:hAnsi="Times New Roman"/>
          <w:color w:val="000000" w:themeColor="text1"/>
          <w:sz w:val="16"/>
          <w:szCs w:val="16"/>
          <w:u w:color="002060"/>
        </w:rPr>
        <w:t>военведа</w:t>
      </w:r>
      <w:proofErr w:type="spellEnd"/>
      <w:r w:rsidRPr="007122AB">
        <w:rPr>
          <w:rFonts w:ascii="Times New Roman" w:hAnsi="Times New Roman"/>
          <w:color w:val="000000" w:themeColor="text1"/>
          <w:sz w:val="16"/>
          <w:szCs w:val="16"/>
          <w:u w:color="002060"/>
        </w:rPr>
        <w:t xml:space="preserve"> в Италии (Гамарник). — ОП. (Политбюро... Т. 2. С. 221) (12416).</w:t>
      </w:r>
    </w:p>
    <w:p w14:paraId="253ABC9F" w14:textId="77777777" w:rsidR="003E28CB" w:rsidRPr="007122AB" w:rsidRDefault="003E28CB" w:rsidP="007122AB">
      <w:pPr>
        <w:spacing w:after="0" w:line="240" w:lineRule="auto"/>
        <w:jc w:val="both"/>
        <w:rPr>
          <w:rFonts w:ascii="Times New Roman" w:hAnsi="Times New Roman"/>
          <w:color w:val="000000" w:themeColor="text1"/>
          <w:sz w:val="16"/>
          <w:szCs w:val="16"/>
          <w:u w:color="002060"/>
        </w:rPr>
      </w:pPr>
    </w:p>
    <w:p w14:paraId="5962F075"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25 сентября 1931 </w:t>
      </w:r>
      <w:r w:rsidRPr="007122AB">
        <w:rPr>
          <w:rFonts w:ascii="Times New Roman" w:hAnsi="Times New Roman"/>
          <w:color w:val="000000" w:themeColor="text1"/>
          <w:sz w:val="16"/>
          <w:szCs w:val="16"/>
        </w:rPr>
        <w:t>Политбюро ЦК ВКП (б) приняло решение о производстве экскаваторов на Ковровском машиностроительном заводе; одобрило предложение ВСНХ о приступе в 1932 г. к строительству нефтепровода Каспий - Орск (12265).</w:t>
      </w:r>
    </w:p>
    <w:p w14:paraId="43AFAA65" w14:textId="77777777" w:rsidR="003E28CB" w:rsidRPr="007122AB" w:rsidRDefault="003E28C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528C22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7AC32D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286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25 сентября и 1 октября 1931. Из протокола заседания Политбюро № 64, 1931 г.</w:t>
      </w:r>
    </w:p>
    <w:p w14:paraId="0D3A3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снабжении Ленинграда и Москвы </w:t>
      </w:r>
    </w:p>
    <w:p w14:paraId="0E68F5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обеспечить завоз муки для Москвы и Ленинграда с таким расчетом, чтобы не позже 15 октября в этих городах был образован 15-дневный запас муки... </w:t>
      </w:r>
    </w:p>
    <w:p w14:paraId="6B9CC4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до 1 октября отгрузить для Москвы 6 маршрутов сахара и для Ленинграда 3 маршрута, обязав НКПС обеспечить маршруты вагонами. </w:t>
      </w:r>
    </w:p>
    <w:p w14:paraId="78282A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отгрузить до 1 октября 850 тонн масла растительного для Москвы и 450 тонн для Ленинграда. </w:t>
      </w:r>
    </w:p>
    <w:p w14:paraId="380432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Отгрузить из Астрахани до 3 октября 4 тыс. тонн рыбы для Москвы и 2 тыс. тонн для Ленинграда. </w:t>
      </w:r>
    </w:p>
    <w:p w14:paraId="14234E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Обязать </w:t>
      </w:r>
      <w:proofErr w:type="spellStart"/>
      <w:r w:rsidRPr="007122AB">
        <w:rPr>
          <w:rFonts w:ascii="Times New Roman" w:hAnsi="Times New Roman"/>
          <w:color w:val="000000" w:themeColor="text1"/>
          <w:sz w:val="16"/>
          <w:szCs w:val="16"/>
        </w:rPr>
        <w:t>НКСнаб</w:t>
      </w:r>
      <w:proofErr w:type="spellEnd"/>
      <w:r w:rsidRPr="007122AB">
        <w:rPr>
          <w:rFonts w:ascii="Times New Roman" w:hAnsi="Times New Roman"/>
          <w:color w:val="000000" w:themeColor="text1"/>
          <w:sz w:val="16"/>
          <w:szCs w:val="16"/>
        </w:rPr>
        <w:t xml:space="preserve"> до 15 октября выполнить для Москвы и Ленинграда половину октябрьского плана по </w:t>
      </w:r>
      <w:proofErr w:type="spellStart"/>
      <w:r w:rsidRPr="007122AB">
        <w:rPr>
          <w:rFonts w:ascii="Times New Roman" w:hAnsi="Times New Roman"/>
          <w:color w:val="000000" w:themeColor="text1"/>
          <w:sz w:val="16"/>
          <w:szCs w:val="16"/>
        </w:rPr>
        <w:t>мясоснабжению</w:t>
      </w:r>
      <w:proofErr w:type="spellEnd"/>
      <w:r w:rsidRPr="007122AB">
        <w:rPr>
          <w:rFonts w:ascii="Times New Roman" w:hAnsi="Times New Roman"/>
          <w:color w:val="000000" w:themeColor="text1"/>
          <w:sz w:val="16"/>
          <w:szCs w:val="16"/>
        </w:rPr>
        <w:t xml:space="preserve">. </w:t>
      </w:r>
    </w:p>
    <w:p w14:paraId="297BB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Послать телеграмму секретарям обкомов и крайкомов о строжайшей ответственности за выполнение заданий по </w:t>
      </w:r>
      <w:proofErr w:type="spellStart"/>
      <w:r w:rsidRPr="007122AB">
        <w:rPr>
          <w:rFonts w:ascii="Times New Roman" w:hAnsi="Times New Roman"/>
          <w:color w:val="000000" w:themeColor="text1"/>
          <w:sz w:val="16"/>
          <w:szCs w:val="16"/>
        </w:rPr>
        <w:t>мясоснабжению</w:t>
      </w:r>
      <w:proofErr w:type="spellEnd"/>
      <w:r w:rsidRPr="007122AB">
        <w:rPr>
          <w:rFonts w:ascii="Times New Roman" w:hAnsi="Times New Roman"/>
          <w:color w:val="000000" w:themeColor="text1"/>
          <w:sz w:val="16"/>
          <w:szCs w:val="16"/>
        </w:rPr>
        <w:t xml:space="preserve"> Москвы и Ленинграда (11652).</w:t>
      </w:r>
    </w:p>
    <w:p w14:paraId="0B27F3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A25BC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DA8E3F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3F9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сентября 1931 жесткий дирижабль-авиаматка Акрон выполнил первый полет (3481).</w:t>
      </w:r>
    </w:p>
    <w:p w14:paraId="39CF6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BDB6A0"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сентября в 1931 году первый полет совершает воздушное судно "Акрон", первый в мире дирижабль-авиаматка, предназначенный для решения оперативно-тактических задач (14780).</w:t>
      </w:r>
    </w:p>
    <w:p w14:paraId="5D14066B"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64471F1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780CEF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9074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сентября 1931 года начальник 1 отдела НИИ ВВС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ос/125с в ЦКБ.</w:t>
      </w:r>
    </w:p>
    <w:p w14:paraId="17DCE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"Результаты испытания металлического винта на самолете И5-ЮVII".</w:t>
      </w:r>
    </w:p>
    <w:p w14:paraId="1073B4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41D243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И5 М-11 имеет винт по образцу И5 ЮVI - </w:t>
      </w:r>
      <w:proofErr w:type="spellStart"/>
      <w:r w:rsidRPr="007122AB">
        <w:rPr>
          <w:rFonts w:ascii="Times New Roman" w:hAnsi="Times New Roman"/>
          <w:color w:val="000000" w:themeColor="text1"/>
          <w:sz w:val="16"/>
          <w:szCs w:val="16"/>
        </w:rPr>
        <w:t>деревян</w:t>
      </w:r>
      <w:proofErr w:type="spellEnd"/>
      <w:r w:rsidRPr="007122AB">
        <w:rPr>
          <w:rFonts w:ascii="Times New Roman" w:hAnsi="Times New Roman"/>
          <w:color w:val="000000" w:themeColor="text1"/>
          <w:sz w:val="16"/>
          <w:szCs w:val="16"/>
        </w:rPr>
        <w:t>. Деревянные винты на самолете И5 не удовлетворяют части ВВС с точки зрения их прочности, имеется целый ряд случаев поломки винтов в воздухе.</w:t>
      </w:r>
    </w:p>
    <w:p w14:paraId="3A75A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Вследствие недостаточной их жесткости, винты деформируются и вибрируют. Поэтому 1 отдел НИИ решил произвести испытания металлического винта с с-та "АВИО ВНЗЗ" ЮVII типа Рида, фирмы </w:t>
      </w:r>
      <w:proofErr w:type="spellStart"/>
      <w:r w:rsidRPr="007122AB">
        <w:rPr>
          <w:rFonts w:ascii="Times New Roman" w:hAnsi="Times New Roman"/>
          <w:color w:val="000000" w:themeColor="text1"/>
          <w:sz w:val="16"/>
          <w:szCs w:val="16"/>
        </w:rPr>
        <w:t>Левиссер</w:t>
      </w:r>
      <w:proofErr w:type="spellEnd"/>
      <w:r w:rsidRPr="007122AB">
        <w:rPr>
          <w:rFonts w:ascii="Times New Roman" w:hAnsi="Times New Roman"/>
          <w:color w:val="000000" w:themeColor="text1"/>
          <w:sz w:val="16"/>
          <w:szCs w:val="16"/>
        </w:rPr>
        <w:t>.</w:t>
      </w:r>
    </w:p>
    <w:p w14:paraId="4EAE6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3C83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испытания винта типа Рида можно считать, что винт с тонкой металлической лопастью является более выгодным чем деревянный винт (3289).</w:t>
      </w:r>
    </w:p>
    <w:p w14:paraId="01E8E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38A8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сентября 1931 был подготовлен проект письма Зам. Нач. ОКБ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Нач. УВВС РККА т. </w:t>
      </w:r>
      <w:proofErr w:type="spellStart"/>
      <w:r w:rsidRPr="007122AB">
        <w:rPr>
          <w:rFonts w:ascii="Times New Roman" w:hAnsi="Times New Roman"/>
          <w:color w:val="000000" w:themeColor="text1"/>
          <w:sz w:val="16"/>
          <w:szCs w:val="16"/>
        </w:rPr>
        <w:t>Я.И.Алкснису</w:t>
      </w:r>
      <w:proofErr w:type="spellEnd"/>
      <w:r w:rsidRPr="007122AB">
        <w:rPr>
          <w:rFonts w:ascii="Times New Roman" w:hAnsi="Times New Roman"/>
          <w:color w:val="000000" w:themeColor="text1"/>
          <w:sz w:val="16"/>
          <w:szCs w:val="16"/>
        </w:rPr>
        <w:t>:</w:t>
      </w:r>
    </w:p>
    <w:p w14:paraId="1BAB5C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представляю плав опытного самолетостроения ОКБ на 1931-1934 год для вашего рассмотрения и согласования.</w:t>
      </w:r>
    </w:p>
    <w:p w14:paraId="180B439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Представляемый план утвержден на заседании у Нач. ВАО 29/9-31 г. и является результатов проработки унифицированной программы ВВС и суммы заданий, имевшихся в ЦКБ, АГОС ЦАГИ, ГРОСС и БНК.</w:t>
      </w:r>
    </w:p>
    <w:p w14:paraId="032C45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составлении плана в основу </w:t>
      </w:r>
      <w:proofErr w:type="spellStart"/>
      <w:r w:rsidRPr="007122AB">
        <w:rPr>
          <w:rFonts w:ascii="Times New Roman" w:hAnsi="Times New Roman"/>
          <w:color w:val="000000" w:themeColor="text1"/>
          <w:sz w:val="16"/>
          <w:szCs w:val="16"/>
        </w:rPr>
        <w:t>полодекно</w:t>
      </w:r>
      <w:proofErr w:type="spellEnd"/>
      <w:r w:rsidRPr="007122AB">
        <w:rPr>
          <w:rFonts w:ascii="Times New Roman" w:hAnsi="Times New Roman"/>
          <w:color w:val="000000" w:themeColor="text1"/>
          <w:sz w:val="16"/>
          <w:szCs w:val="16"/>
        </w:rPr>
        <w:t xml:space="preserve"> следующее:</w:t>
      </w:r>
    </w:p>
    <w:p w14:paraId="54819C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Разбивка типов самолетов по системам вооружения.</w:t>
      </w:r>
    </w:p>
    <w:p w14:paraId="0B63C3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Сведение количества типов самолетов серийного производства до минимума.</w:t>
      </w:r>
    </w:p>
    <w:p w14:paraId="0D55E0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Полное совмещение гражданских самолетов с военными.</w:t>
      </w:r>
    </w:p>
    <w:p w14:paraId="329AC0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Периодическая сменность типов </w:t>
      </w:r>
      <w:proofErr w:type="spellStart"/>
      <w:r w:rsidRPr="007122AB">
        <w:rPr>
          <w:rFonts w:ascii="Times New Roman" w:hAnsi="Times New Roman"/>
          <w:color w:val="000000" w:themeColor="text1"/>
          <w:sz w:val="16"/>
          <w:szCs w:val="16"/>
        </w:rPr>
        <w:t>новсамолетов</w:t>
      </w:r>
      <w:proofErr w:type="spellEnd"/>
      <w:r w:rsidRPr="007122AB">
        <w:rPr>
          <w:rFonts w:ascii="Times New Roman" w:hAnsi="Times New Roman"/>
          <w:color w:val="000000" w:themeColor="text1"/>
          <w:sz w:val="16"/>
          <w:szCs w:val="16"/>
        </w:rPr>
        <w:t xml:space="preserve"> новыми, более </w:t>
      </w:r>
      <w:proofErr w:type="spellStart"/>
      <w:r w:rsidRPr="007122AB">
        <w:rPr>
          <w:rFonts w:ascii="Times New Roman" w:hAnsi="Times New Roman"/>
          <w:color w:val="000000" w:themeColor="text1"/>
          <w:sz w:val="16"/>
          <w:szCs w:val="16"/>
        </w:rPr>
        <w:t>высокогокачества</w:t>
      </w:r>
      <w:proofErr w:type="spellEnd"/>
      <w:r w:rsidRPr="007122AB">
        <w:rPr>
          <w:rFonts w:ascii="Times New Roman" w:hAnsi="Times New Roman"/>
          <w:color w:val="000000" w:themeColor="text1"/>
          <w:sz w:val="16"/>
          <w:szCs w:val="16"/>
        </w:rPr>
        <w:t>.</w:t>
      </w:r>
    </w:p>
    <w:p w14:paraId="75E21B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Увязка выпуска </w:t>
      </w:r>
      <w:proofErr w:type="spellStart"/>
      <w:r w:rsidRPr="007122AB">
        <w:rPr>
          <w:rFonts w:ascii="Times New Roman" w:hAnsi="Times New Roman"/>
          <w:color w:val="000000" w:themeColor="text1"/>
          <w:sz w:val="16"/>
          <w:szCs w:val="16"/>
        </w:rPr>
        <w:t>оопытных</w:t>
      </w:r>
      <w:proofErr w:type="spellEnd"/>
      <w:r w:rsidRPr="007122AB">
        <w:rPr>
          <w:rFonts w:ascii="Times New Roman" w:hAnsi="Times New Roman"/>
          <w:color w:val="000000" w:themeColor="text1"/>
          <w:sz w:val="16"/>
          <w:szCs w:val="16"/>
        </w:rPr>
        <w:t xml:space="preserve"> и серийных самолетов с выпуском моторов.</w:t>
      </w:r>
    </w:p>
    <w:p w14:paraId="7E51B0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Использование лицензионных моторов </w:t>
      </w:r>
      <w:proofErr w:type="spellStart"/>
      <w:r w:rsidRPr="007122AB">
        <w:rPr>
          <w:rFonts w:ascii="Times New Roman" w:hAnsi="Times New Roman"/>
          <w:color w:val="000000" w:themeColor="text1"/>
          <w:sz w:val="16"/>
          <w:szCs w:val="16"/>
        </w:rPr>
        <w:t>Кертисс-Конкверрор</w:t>
      </w:r>
      <w:proofErr w:type="spellEnd"/>
      <w:r w:rsidRPr="007122AB">
        <w:rPr>
          <w:rFonts w:ascii="Times New Roman" w:hAnsi="Times New Roman"/>
          <w:color w:val="000000" w:themeColor="text1"/>
          <w:sz w:val="16"/>
          <w:szCs w:val="16"/>
        </w:rPr>
        <w:t>, Райт Циклон и Райт Ж6</w:t>
      </w:r>
    </w:p>
    <w:p w14:paraId="1EF322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Выпуск нескольких, соревнующихся между собой образцов одного класса машин для выбора наилучшего для серии.</w:t>
      </w:r>
    </w:p>
    <w:p w14:paraId="708FCE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экспериментальные строятся по особому плану и в данный план не входят.</w:t>
      </w:r>
    </w:p>
    <w:p w14:paraId="57FA1C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Указанные в плане сроки выпуска машин являются сроками выхода самолета на заводские полетные испытания.</w:t>
      </w:r>
    </w:p>
    <w:p w14:paraId="3125E7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Предполагается, что передача в НИИ состоятся не позже, чем через месяц для машин малого тоннажа и через 2-3 месяца для машин большого тоннажа и что во второй половине заводских испытаний таковые будет производить совместно с НИИ.</w:t>
      </w:r>
    </w:p>
    <w:p w14:paraId="162450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Прошу вашего приказания о рассмотрении прилагаемого план в смысле приемлемости его для </w:t>
      </w:r>
      <w:proofErr w:type="spellStart"/>
      <w:r w:rsidRPr="007122AB">
        <w:rPr>
          <w:rFonts w:ascii="Times New Roman" w:hAnsi="Times New Roman"/>
          <w:color w:val="000000" w:themeColor="text1"/>
          <w:sz w:val="16"/>
          <w:szCs w:val="16"/>
        </w:rPr>
        <w:t>УВВСи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сообшщения</w:t>
      </w:r>
      <w:proofErr w:type="spellEnd"/>
      <w:r w:rsidRPr="007122AB">
        <w:rPr>
          <w:rFonts w:ascii="Times New Roman" w:hAnsi="Times New Roman"/>
          <w:color w:val="000000" w:themeColor="text1"/>
          <w:sz w:val="16"/>
          <w:szCs w:val="16"/>
        </w:rPr>
        <w:t xml:space="preserve"> ВВС всех ваших поправок не позже 3 октября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для изменений и представления на утверждение ВВС СССР.</w:t>
      </w:r>
    </w:p>
    <w:p w14:paraId="0A379D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w:t>
      </w:r>
    </w:p>
    <w:p w14:paraId="12A592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План Опытного самолетостроения.</w:t>
      </w:r>
    </w:p>
    <w:p w14:paraId="74E4DC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Сравнение унифицированной программы намеченной УВВС и ОКБ на 1931-1934 г.</w:t>
      </w:r>
    </w:p>
    <w:p w14:paraId="0AE732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Количество типов самолетов, намеченных по плану УВВС и ОКБ (351,31).</w:t>
      </w:r>
    </w:p>
    <w:p w14:paraId="628A5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опытного самолетостроение</w:t>
      </w:r>
    </w:p>
    <w:p w14:paraId="6FF98E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Сравнение унифицированной программы УВВС и ОКБ на 1931-1934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843"/>
        <w:gridCol w:w="4536"/>
      </w:tblGrid>
      <w:tr w:rsidR="001002C3" w:rsidRPr="007122AB" w14:paraId="21724AEF" w14:textId="77777777">
        <w:tc>
          <w:tcPr>
            <w:tcW w:w="2802" w:type="dxa"/>
          </w:tcPr>
          <w:p w14:paraId="53EEDD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1417" w:type="dxa"/>
          </w:tcPr>
          <w:p w14:paraId="0DB502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Намечено ВВС</w:t>
            </w:r>
          </w:p>
        </w:tc>
        <w:tc>
          <w:tcPr>
            <w:tcW w:w="1843" w:type="dxa"/>
          </w:tcPr>
          <w:p w14:paraId="743DD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Добавлено ОКБ</w:t>
            </w:r>
          </w:p>
        </w:tc>
        <w:tc>
          <w:tcPr>
            <w:tcW w:w="4536" w:type="dxa"/>
          </w:tcPr>
          <w:p w14:paraId="033EF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 программе</w:t>
            </w:r>
          </w:p>
        </w:tc>
      </w:tr>
      <w:tr w:rsidR="001002C3" w:rsidRPr="007122AB" w14:paraId="4A443226" w14:textId="77777777">
        <w:tc>
          <w:tcPr>
            <w:tcW w:w="2802" w:type="dxa"/>
          </w:tcPr>
          <w:p w14:paraId="38B170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270F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7926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5856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66B367D" w14:textId="77777777">
        <w:tc>
          <w:tcPr>
            <w:tcW w:w="2802" w:type="dxa"/>
          </w:tcPr>
          <w:p w14:paraId="3544B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417" w:type="dxa"/>
          </w:tcPr>
          <w:p w14:paraId="288626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843" w:type="dxa"/>
          </w:tcPr>
          <w:p w14:paraId="3D7741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И5-М22улучш</w:t>
            </w:r>
          </w:p>
        </w:tc>
        <w:tc>
          <w:tcPr>
            <w:tcW w:w="4536" w:type="dxa"/>
          </w:tcPr>
          <w:p w14:paraId="230809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И5-М22улучш</w:t>
            </w:r>
          </w:p>
        </w:tc>
      </w:tr>
      <w:tr w:rsidR="001002C3" w:rsidRPr="007122AB" w14:paraId="206E218A" w14:textId="77777777">
        <w:tc>
          <w:tcPr>
            <w:tcW w:w="2802" w:type="dxa"/>
          </w:tcPr>
          <w:p w14:paraId="5A161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1417" w:type="dxa"/>
          </w:tcPr>
          <w:p w14:paraId="1CD09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A211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И5-М15</w:t>
            </w:r>
          </w:p>
        </w:tc>
        <w:tc>
          <w:tcPr>
            <w:tcW w:w="4536" w:type="dxa"/>
          </w:tcPr>
          <w:p w14:paraId="32A935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И5-М15</w:t>
            </w:r>
          </w:p>
        </w:tc>
      </w:tr>
      <w:tr w:rsidR="001002C3" w:rsidRPr="007122AB" w14:paraId="7E59658E" w14:textId="77777777">
        <w:tc>
          <w:tcPr>
            <w:tcW w:w="2802" w:type="dxa"/>
          </w:tcPr>
          <w:p w14:paraId="3C0973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пулеметный</w:t>
            </w:r>
          </w:p>
        </w:tc>
        <w:tc>
          <w:tcPr>
            <w:tcW w:w="1417" w:type="dxa"/>
          </w:tcPr>
          <w:p w14:paraId="51ACD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E4410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4536" w:type="dxa"/>
          </w:tcPr>
          <w:p w14:paraId="44369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r>
      <w:tr w:rsidR="001002C3" w:rsidRPr="007122AB" w14:paraId="438C14C7" w14:textId="77777777">
        <w:tc>
          <w:tcPr>
            <w:tcW w:w="2802" w:type="dxa"/>
          </w:tcPr>
          <w:p w14:paraId="4699F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ADED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28D4D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 доводка</w:t>
            </w:r>
          </w:p>
        </w:tc>
        <w:tc>
          <w:tcPr>
            <w:tcW w:w="4536" w:type="dxa"/>
          </w:tcPr>
          <w:p w14:paraId="31DE98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 доводка</w:t>
            </w:r>
          </w:p>
        </w:tc>
      </w:tr>
      <w:tr w:rsidR="001002C3" w:rsidRPr="007122AB" w14:paraId="35BFEF7D" w14:textId="77777777">
        <w:tc>
          <w:tcPr>
            <w:tcW w:w="2802" w:type="dxa"/>
          </w:tcPr>
          <w:p w14:paraId="7005E0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7B9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C1BE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w:t>
            </w:r>
          </w:p>
        </w:tc>
        <w:tc>
          <w:tcPr>
            <w:tcW w:w="4536" w:type="dxa"/>
          </w:tcPr>
          <w:p w14:paraId="76084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И9-М34</w:t>
            </w:r>
          </w:p>
        </w:tc>
      </w:tr>
      <w:tr w:rsidR="001002C3" w:rsidRPr="007122AB" w14:paraId="2815C142" w14:textId="77777777">
        <w:tc>
          <w:tcPr>
            <w:tcW w:w="2802" w:type="dxa"/>
          </w:tcPr>
          <w:p w14:paraId="1F536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DB672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B4884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И10-РП</w:t>
            </w:r>
          </w:p>
        </w:tc>
        <w:tc>
          <w:tcPr>
            <w:tcW w:w="4536" w:type="dxa"/>
          </w:tcPr>
          <w:p w14:paraId="68052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И10-РП</w:t>
            </w:r>
          </w:p>
        </w:tc>
      </w:tr>
      <w:tr w:rsidR="001002C3" w:rsidRPr="007122AB" w14:paraId="03E83F2D" w14:textId="77777777">
        <w:tc>
          <w:tcPr>
            <w:tcW w:w="2802" w:type="dxa"/>
          </w:tcPr>
          <w:p w14:paraId="65A3DB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1CB4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A56B9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И11-М32</w:t>
            </w:r>
          </w:p>
        </w:tc>
        <w:tc>
          <w:tcPr>
            <w:tcW w:w="4536" w:type="dxa"/>
          </w:tcPr>
          <w:p w14:paraId="0C145A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И11-М32</w:t>
            </w:r>
          </w:p>
        </w:tc>
      </w:tr>
      <w:tr w:rsidR="001002C3" w:rsidRPr="007122AB" w14:paraId="359F16E3" w14:textId="77777777">
        <w:tc>
          <w:tcPr>
            <w:tcW w:w="2802" w:type="dxa"/>
          </w:tcPr>
          <w:p w14:paraId="7FCC53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99F7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9B600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636F6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5B70D82" w14:textId="77777777">
        <w:tc>
          <w:tcPr>
            <w:tcW w:w="2802" w:type="dxa"/>
          </w:tcPr>
          <w:p w14:paraId="333DC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Истребитель</w:t>
            </w:r>
          </w:p>
        </w:tc>
        <w:tc>
          <w:tcPr>
            <w:tcW w:w="1417" w:type="dxa"/>
          </w:tcPr>
          <w:p w14:paraId="64A44B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c>
          <w:tcPr>
            <w:tcW w:w="1843" w:type="dxa"/>
          </w:tcPr>
          <w:p w14:paraId="0DFAF9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0396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w:t>
            </w:r>
          </w:p>
        </w:tc>
      </w:tr>
      <w:tr w:rsidR="001002C3" w:rsidRPr="007122AB" w14:paraId="4D2538A8" w14:textId="77777777">
        <w:tc>
          <w:tcPr>
            <w:tcW w:w="2802" w:type="dxa"/>
          </w:tcPr>
          <w:p w14:paraId="3A8E1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одноместный</w:t>
            </w:r>
          </w:p>
        </w:tc>
        <w:tc>
          <w:tcPr>
            <w:tcW w:w="1417" w:type="dxa"/>
          </w:tcPr>
          <w:p w14:paraId="77C12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c>
          <w:tcPr>
            <w:tcW w:w="1843" w:type="dxa"/>
          </w:tcPr>
          <w:p w14:paraId="48305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2C7FC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И12-2М22</w:t>
            </w:r>
          </w:p>
        </w:tc>
      </w:tr>
      <w:tr w:rsidR="001002C3" w:rsidRPr="007122AB" w14:paraId="1934DBE9" w14:textId="77777777">
        <w:tc>
          <w:tcPr>
            <w:tcW w:w="2802" w:type="dxa"/>
          </w:tcPr>
          <w:p w14:paraId="27FB66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пушечный</w:t>
            </w:r>
          </w:p>
        </w:tc>
        <w:tc>
          <w:tcPr>
            <w:tcW w:w="1417" w:type="dxa"/>
          </w:tcPr>
          <w:p w14:paraId="728D2D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D04A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c>
          <w:tcPr>
            <w:tcW w:w="4536" w:type="dxa"/>
          </w:tcPr>
          <w:p w14:paraId="27A8F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И7-М22</w:t>
            </w:r>
          </w:p>
        </w:tc>
      </w:tr>
      <w:tr w:rsidR="001002C3" w:rsidRPr="007122AB" w14:paraId="3DBA6A65" w14:textId="77777777">
        <w:tc>
          <w:tcPr>
            <w:tcW w:w="2802" w:type="dxa"/>
          </w:tcPr>
          <w:p w14:paraId="1BE54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7BE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D7A1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c>
          <w:tcPr>
            <w:tcW w:w="4536" w:type="dxa"/>
          </w:tcPr>
          <w:p w14:paraId="0FDD7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ИП2-2М38</w:t>
            </w:r>
          </w:p>
        </w:tc>
      </w:tr>
      <w:tr w:rsidR="001002C3" w:rsidRPr="007122AB" w14:paraId="7A8E6030" w14:textId="77777777">
        <w:tc>
          <w:tcPr>
            <w:tcW w:w="2802" w:type="dxa"/>
          </w:tcPr>
          <w:p w14:paraId="339083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A1950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824D8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8839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22F4A29" w14:textId="77777777">
        <w:tc>
          <w:tcPr>
            <w:tcW w:w="2802" w:type="dxa"/>
          </w:tcPr>
          <w:p w14:paraId="430D0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w:t>
            </w:r>
          </w:p>
        </w:tc>
        <w:tc>
          <w:tcPr>
            <w:tcW w:w="1417" w:type="dxa"/>
          </w:tcPr>
          <w:p w14:paraId="64FDAE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ДИ4-Керт.</w:t>
            </w:r>
          </w:p>
        </w:tc>
        <w:tc>
          <w:tcPr>
            <w:tcW w:w="1843" w:type="dxa"/>
          </w:tcPr>
          <w:p w14:paraId="73130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B4571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ДИ4-Керт.</w:t>
            </w:r>
          </w:p>
        </w:tc>
      </w:tr>
      <w:tr w:rsidR="001002C3" w:rsidRPr="007122AB" w14:paraId="4E53F3C5" w14:textId="77777777">
        <w:tc>
          <w:tcPr>
            <w:tcW w:w="2802" w:type="dxa"/>
          </w:tcPr>
          <w:p w14:paraId="1B3CF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Двухместный</w:t>
            </w:r>
          </w:p>
        </w:tc>
        <w:tc>
          <w:tcPr>
            <w:tcW w:w="1417" w:type="dxa"/>
          </w:tcPr>
          <w:p w14:paraId="0DCD8C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9B64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ДИ7-М34</w:t>
            </w:r>
          </w:p>
        </w:tc>
        <w:tc>
          <w:tcPr>
            <w:tcW w:w="4536" w:type="dxa"/>
          </w:tcPr>
          <w:p w14:paraId="6177D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ДИ7-М34</w:t>
            </w:r>
          </w:p>
        </w:tc>
      </w:tr>
      <w:tr w:rsidR="001002C3" w:rsidRPr="007122AB" w14:paraId="0F7B019B" w14:textId="77777777">
        <w:tc>
          <w:tcPr>
            <w:tcW w:w="2802" w:type="dxa"/>
          </w:tcPr>
          <w:p w14:paraId="05BBA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EBB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1843" w:type="dxa"/>
          </w:tcPr>
          <w:p w14:paraId="0F9CF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490BB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r>
      <w:tr w:rsidR="001002C3" w:rsidRPr="007122AB" w14:paraId="704ABF58" w14:textId="77777777">
        <w:tc>
          <w:tcPr>
            <w:tcW w:w="2802" w:type="dxa"/>
          </w:tcPr>
          <w:p w14:paraId="7CF96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662C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6AEEC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ДИ5-М34</w:t>
            </w:r>
          </w:p>
        </w:tc>
        <w:tc>
          <w:tcPr>
            <w:tcW w:w="4536" w:type="dxa"/>
          </w:tcPr>
          <w:p w14:paraId="4FA10B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ДИ5-М34</w:t>
            </w:r>
          </w:p>
        </w:tc>
      </w:tr>
      <w:tr w:rsidR="001002C3" w:rsidRPr="007122AB" w14:paraId="5453177F" w14:textId="77777777">
        <w:tc>
          <w:tcPr>
            <w:tcW w:w="2802" w:type="dxa"/>
          </w:tcPr>
          <w:p w14:paraId="7E9B9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7DEF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693B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B1B6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62D20BF" w14:textId="77777777">
        <w:tc>
          <w:tcPr>
            <w:tcW w:w="2802" w:type="dxa"/>
          </w:tcPr>
          <w:p w14:paraId="12B95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1417" w:type="dxa"/>
          </w:tcPr>
          <w:p w14:paraId="6B72C5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Р5-М34</w:t>
            </w:r>
          </w:p>
        </w:tc>
        <w:tc>
          <w:tcPr>
            <w:tcW w:w="1843" w:type="dxa"/>
          </w:tcPr>
          <w:p w14:paraId="2D1B5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C19D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Р5-М34</w:t>
            </w:r>
          </w:p>
        </w:tc>
      </w:tr>
      <w:tr w:rsidR="001002C3" w:rsidRPr="007122AB" w14:paraId="5A23429F" w14:textId="77777777">
        <w:tc>
          <w:tcPr>
            <w:tcW w:w="2802" w:type="dxa"/>
          </w:tcPr>
          <w:p w14:paraId="1C4E2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32B4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пассаж.</w:t>
            </w:r>
          </w:p>
        </w:tc>
        <w:tc>
          <w:tcPr>
            <w:tcW w:w="1843" w:type="dxa"/>
          </w:tcPr>
          <w:p w14:paraId="7A4FDB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4B3A0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пассаж.</w:t>
            </w:r>
          </w:p>
        </w:tc>
      </w:tr>
      <w:tr w:rsidR="001002C3" w:rsidRPr="007122AB" w14:paraId="5F85C16B" w14:textId="77777777">
        <w:tc>
          <w:tcPr>
            <w:tcW w:w="2802" w:type="dxa"/>
          </w:tcPr>
          <w:p w14:paraId="15BFC2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88A02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Р8-М27/34</w:t>
            </w:r>
          </w:p>
        </w:tc>
        <w:tc>
          <w:tcPr>
            <w:tcW w:w="1843" w:type="dxa"/>
          </w:tcPr>
          <w:p w14:paraId="6196A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C9D09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r>
      <w:tr w:rsidR="001002C3" w:rsidRPr="007122AB" w14:paraId="1065B641" w14:textId="77777777">
        <w:tc>
          <w:tcPr>
            <w:tcW w:w="2802" w:type="dxa"/>
          </w:tcPr>
          <w:p w14:paraId="2959FE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C85B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c>
          <w:tcPr>
            <w:tcW w:w="1843" w:type="dxa"/>
          </w:tcPr>
          <w:p w14:paraId="31AB1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AF26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r>
      <w:tr w:rsidR="001002C3" w:rsidRPr="007122AB" w14:paraId="578E3917" w14:textId="77777777">
        <w:tc>
          <w:tcPr>
            <w:tcW w:w="2802" w:type="dxa"/>
          </w:tcPr>
          <w:p w14:paraId="290D93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8EF2E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AE15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Р11-М34</w:t>
            </w:r>
          </w:p>
        </w:tc>
        <w:tc>
          <w:tcPr>
            <w:tcW w:w="4536" w:type="dxa"/>
          </w:tcPr>
          <w:p w14:paraId="12440C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Р11-М34</w:t>
            </w:r>
          </w:p>
        </w:tc>
      </w:tr>
      <w:tr w:rsidR="001002C3" w:rsidRPr="007122AB" w14:paraId="53E2F955" w14:textId="77777777">
        <w:tc>
          <w:tcPr>
            <w:tcW w:w="2802" w:type="dxa"/>
          </w:tcPr>
          <w:p w14:paraId="06310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8BB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5A03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Р13-Керт.К.</w:t>
            </w:r>
          </w:p>
        </w:tc>
        <w:tc>
          <w:tcPr>
            <w:tcW w:w="4536" w:type="dxa"/>
          </w:tcPr>
          <w:p w14:paraId="4F859C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Р13-Керт.К.</w:t>
            </w:r>
          </w:p>
        </w:tc>
      </w:tr>
      <w:tr w:rsidR="001002C3" w:rsidRPr="007122AB" w14:paraId="4A534E24" w14:textId="77777777">
        <w:tc>
          <w:tcPr>
            <w:tcW w:w="2802" w:type="dxa"/>
          </w:tcPr>
          <w:p w14:paraId="458410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801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B97E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Р12-М34/</w:t>
            </w:r>
            <w:proofErr w:type="spellStart"/>
            <w:r w:rsidRPr="007122AB">
              <w:rPr>
                <w:rFonts w:ascii="Times New Roman" w:hAnsi="Times New Roman"/>
                <w:color w:val="000000" w:themeColor="text1"/>
                <w:sz w:val="16"/>
                <w:szCs w:val="16"/>
              </w:rPr>
              <w:t>Керт.К</w:t>
            </w:r>
            <w:proofErr w:type="spellEnd"/>
            <w:r w:rsidRPr="007122AB">
              <w:rPr>
                <w:rFonts w:ascii="Times New Roman" w:hAnsi="Times New Roman"/>
                <w:color w:val="000000" w:themeColor="text1"/>
                <w:sz w:val="16"/>
                <w:szCs w:val="16"/>
              </w:rPr>
              <w:t>.</w:t>
            </w:r>
          </w:p>
        </w:tc>
        <w:tc>
          <w:tcPr>
            <w:tcW w:w="4536" w:type="dxa"/>
          </w:tcPr>
          <w:p w14:paraId="7D3DE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Р12-М34/</w:t>
            </w:r>
            <w:proofErr w:type="spellStart"/>
            <w:r w:rsidRPr="007122AB">
              <w:rPr>
                <w:rFonts w:ascii="Times New Roman" w:hAnsi="Times New Roman"/>
                <w:color w:val="000000" w:themeColor="text1"/>
                <w:sz w:val="16"/>
                <w:szCs w:val="16"/>
              </w:rPr>
              <w:t>Керт.К</w:t>
            </w:r>
            <w:proofErr w:type="spellEnd"/>
            <w:r w:rsidRPr="007122AB">
              <w:rPr>
                <w:rFonts w:ascii="Times New Roman" w:hAnsi="Times New Roman"/>
                <w:color w:val="000000" w:themeColor="text1"/>
                <w:sz w:val="16"/>
                <w:szCs w:val="16"/>
              </w:rPr>
              <w:t>.</w:t>
            </w:r>
          </w:p>
        </w:tc>
      </w:tr>
      <w:tr w:rsidR="001002C3" w:rsidRPr="007122AB" w14:paraId="6D034791" w14:textId="77777777">
        <w:tc>
          <w:tcPr>
            <w:tcW w:w="2802" w:type="dxa"/>
          </w:tcPr>
          <w:p w14:paraId="78E99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814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E9B2B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1E94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A790B7" w14:textId="77777777">
        <w:tc>
          <w:tcPr>
            <w:tcW w:w="2802" w:type="dxa"/>
          </w:tcPr>
          <w:p w14:paraId="31DD86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1417" w:type="dxa"/>
          </w:tcPr>
          <w:p w14:paraId="1A8B4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D818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Р6-2М34</w:t>
            </w:r>
          </w:p>
        </w:tc>
        <w:tc>
          <w:tcPr>
            <w:tcW w:w="4536" w:type="dxa"/>
          </w:tcPr>
          <w:p w14:paraId="1C231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Р6-2М34</w:t>
            </w:r>
          </w:p>
        </w:tc>
      </w:tr>
      <w:tr w:rsidR="001002C3" w:rsidRPr="007122AB" w14:paraId="29CBD440" w14:textId="77777777">
        <w:tc>
          <w:tcPr>
            <w:tcW w:w="2802" w:type="dxa"/>
          </w:tcPr>
          <w:p w14:paraId="7C678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7D9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1843" w:type="dxa"/>
          </w:tcPr>
          <w:p w14:paraId="2EFBDF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FC23D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r>
      <w:tr w:rsidR="001002C3" w:rsidRPr="007122AB" w14:paraId="7191F99E" w14:textId="77777777">
        <w:tc>
          <w:tcPr>
            <w:tcW w:w="2802" w:type="dxa"/>
          </w:tcPr>
          <w:p w14:paraId="0B9A5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3AC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c>
          <w:tcPr>
            <w:tcW w:w="1843" w:type="dxa"/>
          </w:tcPr>
          <w:p w14:paraId="36917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4B01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СК1-2М35</w:t>
            </w:r>
          </w:p>
        </w:tc>
      </w:tr>
      <w:tr w:rsidR="001002C3" w:rsidRPr="007122AB" w14:paraId="374FD8DD" w14:textId="77777777">
        <w:tc>
          <w:tcPr>
            <w:tcW w:w="2802" w:type="dxa"/>
          </w:tcPr>
          <w:p w14:paraId="082225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114BA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3307C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6326B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796B496" w14:textId="77777777">
        <w:tc>
          <w:tcPr>
            <w:tcW w:w="2802" w:type="dxa"/>
          </w:tcPr>
          <w:p w14:paraId="0D3F6C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Штурмовые</w:t>
            </w:r>
          </w:p>
        </w:tc>
        <w:tc>
          <w:tcPr>
            <w:tcW w:w="1417" w:type="dxa"/>
          </w:tcPr>
          <w:p w14:paraId="553ED2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63102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c>
          <w:tcPr>
            <w:tcW w:w="4536" w:type="dxa"/>
          </w:tcPr>
          <w:p w14:paraId="0145A3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r>
      <w:tr w:rsidR="001002C3" w:rsidRPr="007122AB" w14:paraId="28DFDE68" w14:textId="77777777">
        <w:tc>
          <w:tcPr>
            <w:tcW w:w="2802" w:type="dxa"/>
          </w:tcPr>
          <w:p w14:paraId="1B9AC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2E0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843" w:type="dxa"/>
          </w:tcPr>
          <w:p w14:paraId="4EC453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CC91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ТШ3-М34</w:t>
            </w:r>
          </w:p>
        </w:tc>
      </w:tr>
      <w:tr w:rsidR="001002C3" w:rsidRPr="007122AB" w14:paraId="26612B68" w14:textId="77777777">
        <w:tc>
          <w:tcPr>
            <w:tcW w:w="2802" w:type="dxa"/>
          </w:tcPr>
          <w:p w14:paraId="2F641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D3F6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c>
          <w:tcPr>
            <w:tcW w:w="1843" w:type="dxa"/>
          </w:tcPr>
          <w:p w14:paraId="74ED4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D3C8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ЛШ-4</w:t>
            </w:r>
          </w:p>
        </w:tc>
      </w:tr>
      <w:tr w:rsidR="001002C3" w:rsidRPr="007122AB" w14:paraId="623F9C6B" w14:textId="77777777">
        <w:tc>
          <w:tcPr>
            <w:tcW w:w="2802" w:type="dxa"/>
          </w:tcPr>
          <w:p w14:paraId="78CAFD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5EF9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C990A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c>
          <w:tcPr>
            <w:tcW w:w="4536" w:type="dxa"/>
          </w:tcPr>
          <w:p w14:paraId="562B9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ЛШ-5</w:t>
            </w:r>
          </w:p>
        </w:tc>
      </w:tr>
      <w:tr w:rsidR="001002C3" w:rsidRPr="007122AB" w14:paraId="610A7277" w14:textId="77777777">
        <w:tc>
          <w:tcPr>
            <w:tcW w:w="2802" w:type="dxa"/>
          </w:tcPr>
          <w:p w14:paraId="3D60A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E19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BD5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EE3B7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DC708E8" w14:textId="77777777">
        <w:tc>
          <w:tcPr>
            <w:tcW w:w="2802" w:type="dxa"/>
          </w:tcPr>
          <w:p w14:paraId="68D61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1417" w:type="dxa"/>
          </w:tcPr>
          <w:p w14:paraId="78C056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5D1F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c>
          <w:tcPr>
            <w:tcW w:w="4536" w:type="dxa"/>
          </w:tcPr>
          <w:p w14:paraId="63256C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ТБ3-4М34</w:t>
            </w:r>
          </w:p>
        </w:tc>
      </w:tr>
      <w:tr w:rsidR="001002C3" w:rsidRPr="007122AB" w14:paraId="615A632D" w14:textId="77777777">
        <w:tc>
          <w:tcPr>
            <w:tcW w:w="2802" w:type="dxa"/>
          </w:tcPr>
          <w:p w14:paraId="47AD80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35E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1843" w:type="dxa"/>
          </w:tcPr>
          <w:p w14:paraId="3DF7C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60824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r>
      <w:tr w:rsidR="001002C3" w:rsidRPr="007122AB" w14:paraId="28F65089" w14:textId="77777777">
        <w:tc>
          <w:tcPr>
            <w:tcW w:w="2802" w:type="dxa"/>
          </w:tcPr>
          <w:p w14:paraId="639B98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32CC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C676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w:t>
            </w:r>
          </w:p>
        </w:tc>
        <w:tc>
          <w:tcPr>
            <w:tcW w:w="4536" w:type="dxa"/>
          </w:tcPr>
          <w:p w14:paraId="23B67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w:t>
            </w:r>
          </w:p>
        </w:tc>
      </w:tr>
      <w:tr w:rsidR="001002C3" w:rsidRPr="007122AB" w14:paraId="5C0B64A3" w14:textId="77777777">
        <w:tc>
          <w:tcPr>
            <w:tcW w:w="2802" w:type="dxa"/>
          </w:tcPr>
          <w:p w14:paraId="0C7C6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19D6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1843" w:type="dxa"/>
          </w:tcPr>
          <w:p w14:paraId="494B7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F48E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r>
      <w:tr w:rsidR="001002C3" w:rsidRPr="007122AB" w14:paraId="4D1F7FA4" w14:textId="77777777">
        <w:tc>
          <w:tcPr>
            <w:tcW w:w="2802" w:type="dxa"/>
          </w:tcPr>
          <w:p w14:paraId="3C20A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C0A4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w:t>
            </w:r>
          </w:p>
        </w:tc>
        <w:tc>
          <w:tcPr>
            <w:tcW w:w="1843" w:type="dxa"/>
          </w:tcPr>
          <w:p w14:paraId="38757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D6094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w:t>
            </w:r>
          </w:p>
        </w:tc>
      </w:tr>
      <w:tr w:rsidR="001002C3" w:rsidRPr="007122AB" w14:paraId="7103587A" w14:textId="77777777">
        <w:tc>
          <w:tcPr>
            <w:tcW w:w="2802" w:type="dxa"/>
          </w:tcPr>
          <w:p w14:paraId="4C70A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88EA5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843" w:type="dxa"/>
          </w:tcPr>
          <w:p w14:paraId="3380FE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6C14F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r>
      <w:tr w:rsidR="001002C3" w:rsidRPr="007122AB" w14:paraId="633C2A25" w14:textId="77777777">
        <w:tc>
          <w:tcPr>
            <w:tcW w:w="2802" w:type="dxa"/>
          </w:tcPr>
          <w:p w14:paraId="28663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B53E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c>
          <w:tcPr>
            <w:tcW w:w="1843" w:type="dxa"/>
          </w:tcPr>
          <w:p w14:paraId="0B20E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873F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К5-М15</w:t>
            </w:r>
          </w:p>
        </w:tc>
      </w:tr>
      <w:tr w:rsidR="001002C3" w:rsidRPr="007122AB" w14:paraId="6728D4BC" w14:textId="77777777">
        <w:tc>
          <w:tcPr>
            <w:tcW w:w="2802" w:type="dxa"/>
          </w:tcPr>
          <w:p w14:paraId="1629AD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EEF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c>
          <w:tcPr>
            <w:tcW w:w="1843" w:type="dxa"/>
          </w:tcPr>
          <w:p w14:paraId="064EF7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E7770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АНТ9-3М26</w:t>
            </w:r>
          </w:p>
        </w:tc>
      </w:tr>
      <w:tr w:rsidR="001002C3" w:rsidRPr="007122AB" w14:paraId="664741D0" w14:textId="77777777">
        <w:tc>
          <w:tcPr>
            <w:tcW w:w="2802" w:type="dxa"/>
          </w:tcPr>
          <w:p w14:paraId="247620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DC6A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ТБ7</w:t>
            </w:r>
          </w:p>
        </w:tc>
        <w:tc>
          <w:tcPr>
            <w:tcW w:w="1843" w:type="dxa"/>
          </w:tcPr>
          <w:p w14:paraId="3CFF82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12B54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СТБ7</w:t>
            </w:r>
          </w:p>
        </w:tc>
      </w:tr>
      <w:tr w:rsidR="001002C3" w:rsidRPr="007122AB" w14:paraId="1F688CA4" w14:textId="77777777">
        <w:tc>
          <w:tcPr>
            <w:tcW w:w="2802" w:type="dxa"/>
          </w:tcPr>
          <w:p w14:paraId="56B4C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7E64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ТБ8</w:t>
            </w:r>
          </w:p>
        </w:tc>
        <w:tc>
          <w:tcPr>
            <w:tcW w:w="1843" w:type="dxa"/>
          </w:tcPr>
          <w:p w14:paraId="5EECD4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EAD7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1C00CC" w14:textId="77777777">
        <w:tc>
          <w:tcPr>
            <w:tcW w:w="2802" w:type="dxa"/>
          </w:tcPr>
          <w:p w14:paraId="08E820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452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ТБ9</w:t>
            </w:r>
          </w:p>
        </w:tc>
        <w:tc>
          <w:tcPr>
            <w:tcW w:w="1843" w:type="dxa"/>
          </w:tcPr>
          <w:p w14:paraId="13B7D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E4A15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A576533" w14:textId="77777777">
        <w:tc>
          <w:tcPr>
            <w:tcW w:w="2802" w:type="dxa"/>
          </w:tcPr>
          <w:p w14:paraId="0C575F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FAD0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1575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D517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4EC87E3" w14:textId="77777777">
        <w:tc>
          <w:tcPr>
            <w:tcW w:w="2802" w:type="dxa"/>
          </w:tcPr>
          <w:p w14:paraId="65D239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1417" w:type="dxa"/>
          </w:tcPr>
          <w:p w14:paraId="4CF129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AD19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w:t>
            </w:r>
          </w:p>
        </w:tc>
        <w:tc>
          <w:tcPr>
            <w:tcW w:w="4536" w:type="dxa"/>
          </w:tcPr>
          <w:p w14:paraId="34B593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w:t>
            </w:r>
          </w:p>
        </w:tc>
      </w:tr>
      <w:tr w:rsidR="001002C3" w:rsidRPr="007122AB" w14:paraId="62BCB72B" w14:textId="77777777">
        <w:tc>
          <w:tcPr>
            <w:tcW w:w="2802" w:type="dxa"/>
          </w:tcPr>
          <w:p w14:paraId="7125DC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w:t>
            </w:r>
          </w:p>
        </w:tc>
        <w:tc>
          <w:tcPr>
            <w:tcW w:w="1417" w:type="dxa"/>
          </w:tcPr>
          <w:p w14:paraId="54889D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843" w:type="dxa"/>
          </w:tcPr>
          <w:p w14:paraId="180095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9830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r>
      <w:tr w:rsidR="001002C3" w:rsidRPr="007122AB" w14:paraId="14861149" w14:textId="77777777">
        <w:tc>
          <w:tcPr>
            <w:tcW w:w="2802" w:type="dxa"/>
          </w:tcPr>
          <w:p w14:paraId="7CCBD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60AD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1843" w:type="dxa"/>
          </w:tcPr>
          <w:p w14:paraId="1EF923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6E46F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r>
      <w:tr w:rsidR="001002C3" w:rsidRPr="007122AB" w14:paraId="6A957762" w14:textId="77777777">
        <w:tc>
          <w:tcPr>
            <w:tcW w:w="2802" w:type="dxa"/>
          </w:tcPr>
          <w:p w14:paraId="7651C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A6A0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1843" w:type="dxa"/>
          </w:tcPr>
          <w:p w14:paraId="10CA0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192D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r>
      <w:tr w:rsidR="001002C3" w:rsidRPr="007122AB" w14:paraId="1D44AFEF" w14:textId="77777777">
        <w:tc>
          <w:tcPr>
            <w:tcW w:w="2802" w:type="dxa"/>
          </w:tcPr>
          <w:p w14:paraId="0311D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FC32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C8330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FEFCA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1979A8E" w14:textId="77777777">
        <w:tc>
          <w:tcPr>
            <w:tcW w:w="2802" w:type="dxa"/>
          </w:tcPr>
          <w:p w14:paraId="6F1E2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Морской</w:t>
            </w:r>
          </w:p>
        </w:tc>
        <w:tc>
          <w:tcPr>
            <w:tcW w:w="1417" w:type="dxa"/>
          </w:tcPr>
          <w:p w14:paraId="73FA2D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FBFF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c>
          <w:tcPr>
            <w:tcW w:w="4536" w:type="dxa"/>
          </w:tcPr>
          <w:p w14:paraId="635867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w:t>
            </w:r>
          </w:p>
        </w:tc>
      </w:tr>
      <w:tr w:rsidR="001002C3" w:rsidRPr="007122AB" w14:paraId="525053FA" w14:textId="77777777">
        <w:tc>
          <w:tcPr>
            <w:tcW w:w="2802" w:type="dxa"/>
          </w:tcPr>
          <w:p w14:paraId="401120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w:t>
            </w:r>
          </w:p>
        </w:tc>
        <w:tc>
          <w:tcPr>
            <w:tcW w:w="1417" w:type="dxa"/>
          </w:tcPr>
          <w:p w14:paraId="6C287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769B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E2F2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499E268" w14:textId="77777777">
        <w:tc>
          <w:tcPr>
            <w:tcW w:w="2802" w:type="dxa"/>
          </w:tcPr>
          <w:p w14:paraId="6EB27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CAE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7BD6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ECE8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DD19748" w14:textId="77777777">
        <w:tc>
          <w:tcPr>
            <w:tcW w:w="2802" w:type="dxa"/>
          </w:tcPr>
          <w:p w14:paraId="2E8F9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Специальные</w:t>
            </w:r>
          </w:p>
        </w:tc>
        <w:tc>
          <w:tcPr>
            <w:tcW w:w="1417" w:type="dxa"/>
          </w:tcPr>
          <w:p w14:paraId="56628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w:t>
            </w:r>
          </w:p>
        </w:tc>
        <w:tc>
          <w:tcPr>
            <w:tcW w:w="1843" w:type="dxa"/>
          </w:tcPr>
          <w:p w14:paraId="1D6CB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FE13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Р10-М35</w:t>
            </w:r>
          </w:p>
        </w:tc>
      </w:tr>
      <w:tr w:rsidR="001002C3" w:rsidRPr="007122AB" w14:paraId="27D743A2" w14:textId="77777777">
        <w:tc>
          <w:tcPr>
            <w:tcW w:w="2802" w:type="dxa"/>
          </w:tcPr>
          <w:p w14:paraId="5CA56C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1372E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D051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c>
          <w:tcPr>
            <w:tcW w:w="4536" w:type="dxa"/>
          </w:tcPr>
          <w:p w14:paraId="58469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w:t>
            </w:r>
          </w:p>
        </w:tc>
      </w:tr>
      <w:tr w:rsidR="001002C3" w:rsidRPr="007122AB" w14:paraId="24E41056" w14:textId="77777777">
        <w:tc>
          <w:tcPr>
            <w:tcW w:w="2802" w:type="dxa"/>
          </w:tcPr>
          <w:p w14:paraId="084A74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62F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EE56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4536" w:type="dxa"/>
          </w:tcPr>
          <w:p w14:paraId="12356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r>
      <w:tr w:rsidR="001002C3" w:rsidRPr="007122AB" w14:paraId="3DFB85A9" w14:textId="77777777">
        <w:tc>
          <w:tcPr>
            <w:tcW w:w="2802" w:type="dxa"/>
          </w:tcPr>
          <w:p w14:paraId="5C538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D14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8D99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4536" w:type="dxa"/>
          </w:tcPr>
          <w:p w14:paraId="6DCBC9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r>
      <w:tr w:rsidR="001002C3" w:rsidRPr="007122AB" w14:paraId="41BEBA6D" w14:textId="77777777">
        <w:tc>
          <w:tcPr>
            <w:tcW w:w="2802" w:type="dxa"/>
          </w:tcPr>
          <w:p w14:paraId="75437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782AA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Х1-2М34</w:t>
            </w:r>
          </w:p>
        </w:tc>
        <w:tc>
          <w:tcPr>
            <w:tcW w:w="1843" w:type="dxa"/>
          </w:tcPr>
          <w:p w14:paraId="2AC6C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6E532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55FE57F" w14:textId="77777777">
        <w:tc>
          <w:tcPr>
            <w:tcW w:w="2802" w:type="dxa"/>
          </w:tcPr>
          <w:p w14:paraId="4D02B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70B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ЛХ1-2М26</w:t>
            </w:r>
          </w:p>
        </w:tc>
        <w:tc>
          <w:tcPr>
            <w:tcW w:w="1843" w:type="dxa"/>
          </w:tcPr>
          <w:p w14:paraId="2D6E7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2F5A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95B0A68" w14:textId="77777777">
        <w:tc>
          <w:tcPr>
            <w:tcW w:w="2802" w:type="dxa"/>
          </w:tcPr>
          <w:p w14:paraId="6AF403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444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ЛС1-М48</w:t>
            </w:r>
          </w:p>
        </w:tc>
        <w:tc>
          <w:tcPr>
            <w:tcW w:w="1843" w:type="dxa"/>
          </w:tcPr>
          <w:p w14:paraId="0BE2E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C0F7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FD5F192" w14:textId="77777777">
        <w:tc>
          <w:tcPr>
            <w:tcW w:w="2802" w:type="dxa"/>
          </w:tcPr>
          <w:p w14:paraId="54AAE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BD97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СС1-М26</w:t>
            </w:r>
          </w:p>
        </w:tc>
        <w:tc>
          <w:tcPr>
            <w:tcW w:w="1843" w:type="dxa"/>
          </w:tcPr>
          <w:p w14:paraId="20BB2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60B7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74B16BE" w14:textId="77777777">
        <w:tc>
          <w:tcPr>
            <w:tcW w:w="2802" w:type="dxa"/>
          </w:tcPr>
          <w:p w14:paraId="0DA14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695E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ВС2-2М26</w:t>
            </w:r>
          </w:p>
        </w:tc>
        <w:tc>
          <w:tcPr>
            <w:tcW w:w="1843" w:type="dxa"/>
          </w:tcPr>
          <w:p w14:paraId="2B650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D155A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75BDFA8" w14:textId="77777777">
        <w:tc>
          <w:tcPr>
            <w:tcW w:w="2802" w:type="dxa"/>
          </w:tcPr>
          <w:p w14:paraId="36B43D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BAF21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ПБ1</w:t>
            </w:r>
          </w:p>
        </w:tc>
        <w:tc>
          <w:tcPr>
            <w:tcW w:w="1843" w:type="dxa"/>
          </w:tcPr>
          <w:p w14:paraId="48944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CB64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8CB673" w14:textId="77777777">
        <w:tc>
          <w:tcPr>
            <w:tcW w:w="2802" w:type="dxa"/>
          </w:tcPr>
          <w:p w14:paraId="1AA03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363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Э-1</w:t>
            </w:r>
          </w:p>
        </w:tc>
        <w:tc>
          <w:tcPr>
            <w:tcW w:w="1843" w:type="dxa"/>
          </w:tcPr>
          <w:p w14:paraId="2DCB5F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E2E0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083A35" w14:textId="77777777">
        <w:tc>
          <w:tcPr>
            <w:tcW w:w="2802" w:type="dxa"/>
          </w:tcPr>
          <w:p w14:paraId="0F405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10CC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Э-2</w:t>
            </w:r>
          </w:p>
        </w:tc>
        <w:tc>
          <w:tcPr>
            <w:tcW w:w="1843" w:type="dxa"/>
          </w:tcPr>
          <w:p w14:paraId="4976E8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1CE72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46A139B" w14:textId="77777777">
        <w:tc>
          <w:tcPr>
            <w:tcW w:w="2802" w:type="dxa"/>
          </w:tcPr>
          <w:p w14:paraId="0EADB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D4F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Г-2</w:t>
            </w:r>
          </w:p>
        </w:tc>
        <w:tc>
          <w:tcPr>
            <w:tcW w:w="1843" w:type="dxa"/>
          </w:tcPr>
          <w:p w14:paraId="5DA58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2885D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C60A2F7" w14:textId="77777777">
        <w:tc>
          <w:tcPr>
            <w:tcW w:w="2802" w:type="dxa"/>
          </w:tcPr>
          <w:p w14:paraId="647EFF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2ACA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А-2</w:t>
            </w:r>
          </w:p>
        </w:tc>
        <w:tc>
          <w:tcPr>
            <w:tcW w:w="1843" w:type="dxa"/>
          </w:tcPr>
          <w:p w14:paraId="3FA0DA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8F790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C32863" w14:textId="77777777">
        <w:tc>
          <w:tcPr>
            <w:tcW w:w="2802" w:type="dxa"/>
          </w:tcPr>
          <w:p w14:paraId="5258D6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521B8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843" w:type="dxa"/>
          </w:tcPr>
          <w:p w14:paraId="69B9EF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D27BE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99707AF" w14:textId="77777777">
        <w:tc>
          <w:tcPr>
            <w:tcW w:w="2802" w:type="dxa"/>
          </w:tcPr>
          <w:p w14:paraId="11F11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1F9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0CF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1</w:t>
            </w:r>
          </w:p>
        </w:tc>
        <w:tc>
          <w:tcPr>
            <w:tcW w:w="4536" w:type="dxa"/>
          </w:tcPr>
          <w:p w14:paraId="62531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1</w:t>
            </w:r>
          </w:p>
        </w:tc>
      </w:tr>
      <w:tr w:rsidR="001002C3" w:rsidRPr="007122AB" w14:paraId="60BFB9AB" w14:textId="77777777">
        <w:tc>
          <w:tcPr>
            <w:tcW w:w="2802" w:type="dxa"/>
          </w:tcPr>
          <w:p w14:paraId="220E8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0626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1014F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2</w:t>
            </w:r>
          </w:p>
        </w:tc>
        <w:tc>
          <w:tcPr>
            <w:tcW w:w="4536" w:type="dxa"/>
          </w:tcPr>
          <w:p w14:paraId="0A57AE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2</w:t>
            </w:r>
          </w:p>
        </w:tc>
      </w:tr>
      <w:tr w:rsidR="001002C3" w:rsidRPr="007122AB" w14:paraId="29DFA75F" w14:textId="77777777">
        <w:tc>
          <w:tcPr>
            <w:tcW w:w="2802" w:type="dxa"/>
          </w:tcPr>
          <w:p w14:paraId="3642D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3B2B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50531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3</w:t>
            </w:r>
          </w:p>
        </w:tc>
        <w:tc>
          <w:tcPr>
            <w:tcW w:w="4536" w:type="dxa"/>
          </w:tcPr>
          <w:p w14:paraId="7347F0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 3</w:t>
            </w:r>
          </w:p>
        </w:tc>
      </w:tr>
      <w:tr w:rsidR="001002C3" w:rsidRPr="007122AB" w14:paraId="7F794D3E" w14:textId="77777777">
        <w:tc>
          <w:tcPr>
            <w:tcW w:w="2802" w:type="dxa"/>
          </w:tcPr>
          <w:p w14:paraId="0424A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4C2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FDCC5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38B3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4A15C71" w14:textId="77777777">
        <w:tc>
          <w:tcPr>
            <w:tcW w:w="2802" w:type="dxa"/>
          </w:tcPr>
          <w:p w14:paraId="6B953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417" w:type="dxa"/>
          </w:tcPr>
          <w:p w14:paraId="5593C8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6F74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У3-РЖ6</w:t>
            </w:r>
          </w:p>
        </w:tc>
        <w:tc>
          <w:tcPr>
            <w:tcW w:w="4536" w:type="dxa"/>
          </w:tcPr>
          <w:p w14:paraId="4BD5D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У3-РЖ</w:t>
            </w:r>
          </w:p>
        </w:tc>
      </w:tr>
      <w:tr w:rsidR="001002C3" w:rsidRPr="007122AB" w14:paraId="1F239E8B" w14:textId="77777777">
        <w:tc>
          <w:tcPr>
            <w:tcW w:w="2802" w:type="dxa"/>
          </w:tcPr>
          <w:p w14:paraId="1D643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8A13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CA46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У4-РЖ6</w:t>
            </w:r>
          </w:p>
        </w:tc>
        <w:tc>
          <w:tcPr>
            <w:tcW w:w="4536" w:type="dxa"/>
          </w:tcPr>
          <w:p w14:paraId="5A057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У4-РЖ</w:t>
            </w:r>
          </w:p>
        </w:tc>
      </w:tr>
      <w:tr w:rsidR="001002C3" w:rsidRPr="007122AB" w14:paraId="4C25B1CA" w14:textId="77777777">
        <w:tc>
          <w:tcPr>
            <w:tcW w:w="2802" w:type="dxa"/>
          </w:tcPr>
          <w:p w14:paraId="3485F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1633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64176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С1-РЖ6</w:t>
            </w:r>
          </w:p>
        </w:tc>
        <w:tc>
          <w:tcPr>
            <w:tcW w:w="4536" w:type="dxa"/>
          </w:tcPr>
          <w:p w14:paraId="387A6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С1-РЖ</w:t>
            </w:r>
          </w:p>
        </w:tc>
      </w:tr>
      <w:tr w:rsidR="001002C3" w:rsidRPr="007122AB" w14:paraId="79BBEE78" w14:textId="77777777">
        <w:tc>
          <w:tcPr>
            <w:tcW w:w="2802" w:type="dxa"/>
          </w:tcPr>
          <w:p w14:paraId="5D227D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369A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CD227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1</w:t>
            </w:r>
          </w:p>
        </w:tc>
        <w:tc>
          <w:tcPr>
            <w:tcW w:w="4536" w:type="dxa"/>
          </w:tcPr>
          <w:p w14:paraId="653D3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1</w:t>
            </w:r>
          </w:p>
        </w:tc>
      </w:tr>
      <w:tr w:rsidR="001002C3" w:rsidRPr="007122AB" w14:paraId="7903D687" w14:textId="77777777">
        <w:tc>
          <w:tcPr>
            <w:tcW w:w="2802" w:type="dxa"/>
          </w:tcPr>
          <w:p w14:paraId="39B861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1744D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5D08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2</w:t>
            </w:r>
          </w:p>
        </w:tc>
        <w:tc>
          <w:tcPr>
            <w:tcW w:w="4536" w:type="dxa"/>
          </w:tcPr>
          <w:p w14:paraId="7CEBB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2</w:t>
            </w:r>
          </w:p>
        </w:tc>
      </w:tr>
      <w:tr w:rsidR="001002C3" w:rsidRPr="007122AB" w14:paraId="19D2987C" w14:textId="77777777">
        <w:tc>
          <w:tcPr>
            <w:tcW w:w="2802" w:type="dxa"/>
          </w:tcPr>
          <w:p w14:paraId="2349F1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B545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33BF6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3</w:t>
            </w:r>
          </w:p>
        </w:tc>
        <w:tc>
          <w:tcPr>
            <w:tcW w:w="4536" w:type="dxa"/>
          </w:tcPr>
          <w:p w14:paraId="3E59E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3</w:t>
            </w:r>
          </w:p>
        </w:tc>
      </w:tr>
      <w:tr w:rsidR="001002C3" w:rsidRPr="007122AB" w14:paraId="78D212E3" w14:textId="77777777">
        <w:tc>
          <w:tcPr>
            <w:tcW w:w="2802" w:type="dxa"/>
          </w:tcPr>
          <w:p w14:paraId="3F3095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EFC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9E3D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4</w:t>
            </w:r>
          </w:p>
        </w:tc>
        <w:tc>
          <w:tcPr>
            <w:tcW w:w="4536" w:type="dxa"/>
          </w:tcPr>
          <w:p w14:paraId="55A36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Авиетка 4</w:t>
            </w:r>
          </w:p>
        </w:tc>
      </w:tr>
    </w:tbl>
    <w:p w14:paraId="2E2B92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типов самолетов, намеченных по плану УВВС и ОКБ к серийному производству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1002C3" w:rsidRPr="007122AB" w14:paraId="1B0EEEA3" w14:textId="77777777">
        <w:tc>
          <w:tcPr>
            <w:tcW w:w="1127" w:type="dxa"/>
          </w:tcPr>
          <w:p w14:paraId="589FA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w:t>
            </w:r>
          </w:p>
        </w:tc>
        <w:tc>
          <w:tcPr>
            <w:tcW w:w="1127" w:type="dxa"/>
          </w:tcPr>
          <w:p w14:paraId="7EFDA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w:t>
            </w:r>
          </w:p>
        </w:tc>
        <w:tc>
          <w:tcPr>
            <w:tcW w:w="1127" w:type="dxa"/>
          </w:tcPr>
          <w:p w14:paraId="642E6B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3CE1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w:t>
            </w:r>
          </w:p>
        </w:tc>
        <w:tc>
          <w:tcPr>
            <w:tcW w:w="1127" w:type="dxa"/>
          </w:tcPr>
          <w:p w14:paraId="755280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0B1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1127" w:type="dxa"/>
          </w:tcPr>
          <w:p w14:paraId="3A9EE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879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1127" w:type="dxa"/>
          </w:tcPr>
          <w:p w14:paraId="56E49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7E66F73" w14:textId="77777777">
        <w:tc>
          <w:tcPr>
            <w:tcW w:w="1127" w:type="dxa"/>
          </w:tcPr>
          <w:p w14:paraId="26E5AC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4175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1D71E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1127" w:type="dxa"/>
          </w:tcPr>
          <w:p w14:paraId="3605A0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10DA5C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1127" w:type="dxa"/>
          </w:tcPr>
          <w:p w14:paraId="241E80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4139F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c>
          <w:tcPr>
            <w:tcW w:w="1127" w:type="dxa"/>
          </w:tcPr>
          <w:p w14:paraId="6897B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w:t>
            </w:r>
          </w:p>
        </w:tc>
        <w:tc>
          <w:tcPr>
            <w:tcW w:w="1127" w:type="dxa"/>
          </w:tcPr>
          <w:p w14:paraId="1FB618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w:t>
            </w:r>
          </w:p>
        </w:tc>
      </w:tr>
      <w:tr w:rsidR="001002C3" w:rsidRPr="007122AB" w14:paraId="6E5BDED4" w14:textId="77777777">
        <w:tc>
          <w:tcPr>
            <w:tcW w:w="1127" w:type="dxa"/>
          </w:tcPr>
          <w:p w14:paraId="4E4E49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127" w:type="dxa"/>
          </w:tcPr>
          <w:p w14:paraId="2C5BDD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5B440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5BC371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73EECA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127" w:type="dxa"/>
          </w:tcPr>
          <w:p w14:paraId="2ACB55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59B1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И5бис</w:t>
            </w:r>
          </w:p>
        </w:tc>
        <w:tc>
          <w:tcPr>
            <w:tcW w:w="1127" w:type="dxa"/>
          </w:tcPr>
          <w:p w14:paraId="3B025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4C82C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895F74F" w14:textId="77777777">
        <w:tc>
          <w:tcPr>
            <w:tcW w:w="1127" w:type="dxa"/>
          </w:tcPr>
          <w:p w14:paraId="558057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7A73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127" w:type="dxa"/>
          </w:tcPr>
          <w:p w14:paraId="24FEC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127" w:type="dxa"/>
          </w:tcPr>
          <w:p w14:paraId="5C2EC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127" w:type="dxa"/>
          </w:tcPr>
          <w:p w14:paraId="09BD9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9382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B931A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579A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80024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9CB535" w14:textId="77777777">
        <w:tc>
          <w:tcPr>
            <w:tcW w:w="1127" w:type="dxa"/>
          </w:tcPr>
          <w:p w14:paraId="3C3D6F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lastRenderedPageBreak/>
              <w:t>Истр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Линейн</w:t>
            </w:r>
            <w:proofErr w:type="spellEnd"/>
            <w:r w:rsidRPr="007122AB">
              <w:rPr>
                <w:rFonts w:ascii="Times New Roman" w:hAnsi="Times New Roman"/>
                <w:color w:val="000000" w:themeColor="text1"/>
                <w:sz w:val="16"/>
                <w:szCs w:val="16"/>
              </w:rPr>
              <w:t>.</w:t>
            </w:r>
          </w:p>
        </w:tc>
        <w:tc>
          <w:tcPr>
            <w:tcW w:w="1127" w:type="dxa"/>
          </w:tcPr>
          <w:p w14:paraId="1BF177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9899E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F876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78BE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CF63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ИП1</w:t>
            </w:r>
          </w:p>
        </w:tc>
        <w:tc>
          <w:tcPr>
            <w:tcW w:w="1127" w:type="dxa"/>
          </w:tcPr>
          <w:p w14:paraId="3D59F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лин</w:t>
            </w:r>
            <w:proofErr w:type="spellEnd"/>
            <w:r w:rsidRPr="007122AB">
              <w:rPr>
                <w:rFonts w:ascii="Times New Roman" w:hAnsi="Times New Roman"/>
                <w:color w:val="000000" w:themeColor="text1"/>
                <w:sz w:val="16"/>
                <w:szCs w:val="16"/>
              </w:rPr>
              <w:t>.</w:t>
            </w:r>
          </w:p>
        </w:tc>
        <w:tc>
          <w:tcPr>
            <w:tcW w:w="1127" w:type="dxa"/>
          </w:tcPr>
          <w:p w14:paraId="3E87BC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ИП1</w:t>
            </w:r>
          </w:p>
        </w:tc>
        <w:tc>
          <w:tcPr>
            <w:tcW w:w="1127" w:type="dxa"/>
          </w:tcPr>
          <w:p w14:paraId="78573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лин</w:t>
            </w:r>
            <w:proofErr w:type="spellEnd"/>
            <w:r w:rsidRPr="007122AB">
              <w:rPr>
                <w:rFonts w:ascii="Times New Roman" w:hAnsi="Times New Roman"/>
                <w:color w:val="000000" w:themeColor="text1"/>
                <w:sz w:val="16"/>
                <w:szCs w:val="16"/>
              </w:rPr>
              <w:t>.</w:t>
            </w:r>
          </w:p>
        </w:tc>
      </w:tr>
      <w:tr w:rsidR="001002C3" w:rsidRPr="007122AB" w14:paraId="0A6C4641" w14:textId="77777777">
        <w:tc>
          <w:tcPr>
            <w:tcW w:w="1127" w:type="dxa"/>
          </w:tcPr>
          <w:p w14:paraId="4AE08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w:t>
            </w:r>
          </w:p>
        </w:tc>
        <w:tc>
          <w:tcPr>
            <w:tcW w:w="1127" w:type="dxa"/>
          </w:tcPr>
          <w:p w14:paraId="222F1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36C3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70041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w:t>
            </w:r>
          </w:p>
        </w:tc>
        <w:tc>
          <w:tcPr>
            <w:tcW w:w="1127" w:type="dxa"/>
          </w:tcPr>
          <w:p w14:paraId="0FE7CB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A7E9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w:t>
            </w:r>
          </w:p>
        </w:tc>
        <w:tc>
          <w:tcPr>
            <w:tcW w:w="1127" w:type="dxa"/>
          </w:tcPr>
          <w:p w14:paraId="76941D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B4BC2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w:t>
            </w:r>
          </w:p>
        </w:tc>
        <w:tc>
          <w:tcPr>
            <w:tcW w:w="1127" w:type="dxa"/>
          </w:tcPr>
          <w:p w14:paraId="146890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0D33884" w14:textId="77777777">
        <w:tc>
          <w:tcPr>
            <w:tcW w:w="1127" w:type="dxa"/>
          </w:tcPr>
          <w:p w14:paraId="76CFF0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127" w:type="dxa"/>
          </w:tcPr>
          <w:p w14:paraId="223DA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127" w:type="dxa"/>
          </w:tcPr>
          <w:p w14:paraId="329E00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p>
        </w:tc>
        <w:tc>
          <w:tcPr>
            <w:tcW w:w="1127" w:type="dxa"/>
          </w:tcPr>
          <w:p w14:paraId="7278B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CF85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DF09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2153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25E8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F32F4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2C83D6C" w14:textId="77777777">
        <w:tc>
          <w:tcPr>
            <w:tcW w:w="1127" w:type="dxa"/>
          </w:tcPr>
          <w:p w14:paraId="322BF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B431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389A8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1B253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7D7CD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3887AF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87611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1127" w:type="dxa"/>
          </w:tcPr>
          <w:p w14:paraId="748C8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E183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C52C5D" w14:textId="77777777">
        <w:tc>
          <w:tcPr>
            <w:tcW w:w="1127" w:type="dxa"/>
          </w:tcPr>
          <w:p w14:paraId="26E91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6AC6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3932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060CC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C88C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6F3F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w:t>
            </w:r>
          </w:p>
        </w:tc>
        <w:tc>
          <w:tcPr>
            <w:tcW w:w="1127" w:type="dxa"/>
          </w:tcPr>
          <w:p w14:paraId="577CDD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C57E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4508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C25C801" w14:textId="77777777">
        <w:tc>
          <w:tcPr>
            <w:tcW w:w="1127" w:type="dxa"/>
          </w:tcPr>
          <w:p w14:paraId="4743C0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D2F8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33DA5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F0238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34E9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9D53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w:t>
            </w:r>
          </w:p>
        </w:tc>
        <w:tc>
          <w:tcPr>
            <w:tcW w:w="1127" w:type="dxa"/>
          </w:tcPr>
          <w:p w14:paraId="337EF3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84FC4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72C5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722813" w14:textId="77777777">
        <w:tc>
          <w:tcPr>
            <w:tcW w:w="1127" w:type="dxa"/>
          </w:tcPr>
          <w:p w14:paraId="707698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w:t>
            </w:r>
          </w:p>
        </w:tc>
        <w:tc>
          <w:tcPr>
            <w:tcW w:w="1127" w:type="dxa"/>
          </w:tcPr>
          <w:p w14:paraId="10B880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111C7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0CF81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24EC84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2097E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FBF14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w:t>
            </w:r>
          </w:p>
        </w:tc>
        <w:tc>
          <w:tcPr>
            <w:tcW w:w="1127" w:type="dxa"/>
          </w:tcPr>
          <w:p w14:paraId="60797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025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8828061" w14:textId="77777777">
        <w:tc>
          <w:tcPr>
            <w:tcW w:w="1127" w:type="dxa"/>
          </w:tcPr>
          <w:p w14:paraId="41781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622E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3C67B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07CBF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CC5E8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F78B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w:t>
            </w:r>
          </w:p>
        </w:tc>
        <w:tc>
          <w:tcPr>
            <w:tcW w:w="1127" w:type="dxa"/>
          </w:tcPr>
          <w:p w14:paraId="56002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E2262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826ED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A3889AD" w14:textId="77777777">
        <w:tc>
          <w:tcPr>
            <w:tcW w:w="1127" w:type="dxa"/>
          </w:tcPr>
          <w:p w14:paraId="0183D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9CB3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50487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9DC04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8A90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82F8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1AB0A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9BBE3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w:t>
            </w:r>
          </w:p>
        </w:tc>
        <w:tc>
          <w:tcPr>
            <w:tcW w:w="1127" w:type="dxa"/>
          </w:tcPr>
          <w:p w14:paraId="680D8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C26C4A1" w14:textId="77777777">
        <w:tc>
          <w:tcPr>
            <w:tcW w:w="1127" w:type="dxa"/>
          </w:tcPr>
          <w:p w14:paraId="1606B3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w:t>
            </w:r>
          </w:p>
        </w:tc>
        <w:tc>
          <w:tcPr>
            <w:tcW w:w="1127" w:type="dxa"/>
          </w:tcPr>
          <w:p w14:paraId="1A176C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FA39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0E4E1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127" w:type="dxa"/>
          </w:tcPr>
          <w:p w14:paraId="379C5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127" w:type="dxa"/>
          </w:tcPr>
          <w:p w14:paraId="048A8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131F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127" w:type="dxa"/>
          </w:tcPr>
          <w:p w14:paraId="05E99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DCF1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6F0A0E" w14:textId="77777777">
        <w:tc>
          <w:tcPr>
            <w:tcW w:w="1127" w:type="dxa"/>
          </w:tcPr>
          <w:p w14:paraId="365239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B718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DF028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1542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38C6F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DAD3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127" w:type="dxa"/>
          </w:tcPr>
          <w:p w14:paraId="6920E5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E09D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ЛБШ3</w:t>
            </w:r>
          </w:p>
        </w:tc>
        <w:tc>
          <w:tcPr>
            <w:tcW w:w="1127" w:type="dxa"/>
          </w:tcPr>
          <w:p w14:paraId="4BB9A1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140D610" w14:textId="77777777">
        <w:tc>
          <w:tcPr>
            <w:tcW w:w="1127" w:type="dxa"/>
          </w:tcPr>
          <w:p w14:paraId="5DE17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2E6684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127" w:type="dxa"/>
          </w:tcPr>
          <w:p w14:paraId="2DF3F4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127" w:type="dxa"/>
          </w:tcPr>
          <w:p w14:paraId="02E5E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9349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2D4A1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23C87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7241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EA73F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7288988" w14:textId="77777777">
        <w:tc>
          <w:tcPr>
            <w:tcW w:w="1127" w:type="dxa"/>
          </w:tcPr>
          <w:p w14:paraId="7F60DD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2273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5ACC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0E431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4D4B31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58C9D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522B9B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6DE630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w:t>
            </w:r>
          </w:p>
        </w:tc>
        <w:tc>
          <w:tcPr>
            <w:tcW w:w="1127" w:type="dxa"/>
          </w:tcPr>
          <w:p w14:paraId="32DEC4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B9B238A" w14:textId="77777777">
        <w:tc>
          <w:tcPr>
            <w:tcW w:w="1127" w:type="dxa"/>
          </w:tcPr>
          <w:p w14:paraId="5930F4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 гигант</w:t>
            </w:r>
          </w:p>
        </w:tc>
        <w:tc>
          <w:tcPr>
            <w:tcW w:w="1127" w:type="dxa"/>
          </w:tcPr>
          <w:p w14:paraId="461FF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34E50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E734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72AC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026B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127" w:type="dxa"/>
          </w:tcPr>
          <w:p w14:paraId="0AD62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4786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127" w:type="dxa"/>
          </w:tcPr>
          <w:p w14:paraId="2A97C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38C987F" w14:textId="77777777">
        <w:tc>
          <w:tcPr>
            <w:tcW w:w="1127" w:type="dxa"/>
          </w:tcPr>
          <w:p w14:paraId="29AF21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Морск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w:t>
            </w:r>
          </w:p>
        </w:tc>
        <w:tc>
          <w:tcPr>
            <w:tcW w:w="1127" w:type="dxa"/>
          </w:tcPr>
          <w:p w14:paraId="3EA5FA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0994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127" w:type="dxa"/>
          </w:tcPr>
          <w:p w14:paraId="12DFD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127" w:type="dxa"/>
          </w:tcPr>
          <w:p w14:paraId="31724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w:t>
            </w:r>
          </w:p>
        </w:tc>
        <w:tc>
          <w:tcPr>
            <w:tcW w:w="1127" w:type="dxa"/>
          </w:tcPr>
          <w:p w14:paraId="08197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355B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B6736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199C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20B36E3" w14:textId="77777777">
        <w:tc>
          <w:tcPr>
            <w:tcW w:w="1127" w:type="dxa"/>
          </w:tcPr>
          <w:p w14:paraId="23C329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12122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F33F7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7A38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79FED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1127" w:type="dxa"/>
          </w:tcPr>
          <w:p w14:paraId="7D773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1127" w:type="dxa"/>
          </w:tcPr>
          <w:p w14:paraId="61CE91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w:t>
            </w:r>
          </w:p>
        </w:tc>
        <w:tc>
          <w:tcPr>
            <w:tcW w:w="1127" w:type="dxa"/>
          </w:tcPr>
          <w:p w14:paraId="4CC1A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B706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70230B9" w14:textId="77777777">
        <w:tc>
          <w:tcPr>
            <w:tcW w:w="1127" w:type="dxa"/>
          </w:tcPr>
          <w:p w14:paraId="63458B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DF4D4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48A38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5A95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B9DA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A3BA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127" w:type="dxa"/>
          </w:tcPr>
          <w:p w14:paraId="4CB20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w:t>
            </w:r>
          </w:p>
        </w:tc>
        <w:tc>
          <w:tcPr>
            <w:tcW w:w="1127" w:type="dxa"/>
          </w:tcPr>
          <w:p w14:paraId="65513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1127" w:type="dxa"/>
          </w:tcPr>
          <w:p w14:paraId="77071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A91A19" w14:textId="77777777">
        <w:tc>
          <w:tcPr>
            <w:tcW w:w="1127" w:type="dxa"/>
          </w:tcPr>
          <w:p w14:paraId="5A1428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27433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EEC19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2AD31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94E5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C67D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680E2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980EC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w:t>
            </w:r>
          </w:p>
        </w:tc>
        <w:tc>
          <w:tcPr>
            <w:tcW w:w="1127" w:type="dxa"/>
          </w:tcPr>
          <w:p w14:paraId="21FD0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6CD8EBF" w14:textId="77777777">
        <w:tc>
          <w:tcPr>
            <w:tcW w:w="1127" w:type="dxa"/>
          </w:tcPr>
          <w:p w14:paraId="2C5AD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Специальн</w:t>
            </w:r>
            <w:proofErr w:type="spellEnd"/>
            <w:r w:rsidRPr="007122AB">
              <w:rPr>
                <w:rFonts w:ascii="Times New Roman" w:hAnsi="Times New Roman"/>
                <w:color w:val="000000" w:themeColor="text1"/>
                <w:sz w:val="16"/>
                <w:szCs w:val="16"/>
              </w:rPr>
              <w:t>.</w:t>
            </w:r>
          </w:p>
        </w:tc>
        <w:tc>
          <w:tcPr>
            <w:tcW w:w="1127" w:type="dxa"/>
          </w:tcPr>
          <w:p w14:paraId="34B1A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DB8AF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13E8B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76DD6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BBA6E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A2DB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7F4EF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A8E7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A65C39F" w14:textId="77777777">
        <w:tc>
          <w:tcPr>
            <w:tcW w:w="1127" w:type="dxa"/>
          </w:tcPr>
          <w:p w14:paraId="36EA0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AE9E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A2FCB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6970D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C003B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FEB7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6E451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00F89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2B4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A08729" w14:textId="77777777">
        <w:tc>
          <w:tcPr>
            <w:tcW w:w="1127" w:type="dxa"/>
          </w:tcPr>
          <w:p w14:paraId="1D0E6F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DE59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D5C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0695A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4BF7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1364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CF9A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62C8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DB44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8BAF87" w14:textId="77777777">
        <w:tc>
          <w:tcPr>
            <w:tcW w:w="1127" w:type="dxa"/>
          </w:tcPr>
          <w:p w14:paraId="716E2D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CDA5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E547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97DF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14AE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2337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C4AF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3BD64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1127" w:type="dxa"/>
          </w:tcPr>
          <w:p w14:paraId="63D76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7F7E0E" w14:textId="77777777">
        <w:tc>
          <w:tcPr>
            <w:tcW w:w="1127" w:type="dxa"/>
          </w:tcPr>
          <w:p w14:paraId="01D9B6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8438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0BF1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EE23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6AB5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64DF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7C023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1314F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ВС2</w:t>
            </w:r>
          </w:p>
        </w:tc>
        <w:tc>
          <w:tcPr>
            <w:tcW w:w="1127" w:type="dxa"/>
          </w:tcPr>
          <w:p w14:paraId="1BD593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F13C3AC" w14:textId="77777777">
        <w:tc>
          <w:tcPr>
            <w:tcW w:w="1127" w:type="dxa"/>
          </w:tcPr>
          <w:p w14:paraId="1513BD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15C6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0BB3D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A21D6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361C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9E73F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78E73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F001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ПБ-1</w:t>
            </w:r>
          </w:p>
        </w:tc>
        <w:tc>
          <w:tcPr>
            <w:tcW w:w="1127" w:type="dxa"/>
          </w:tcPr>
          <w:p w14:paraId="026E5D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E5D0743" w14:textId="77777777">
        <w:tc>
          <w:tcPr>
            <w:tcW w:w="1127" w:type="dxa"/>
          </w:tcPr>
          <w:p w14:paraId="14467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E25F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16620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5F67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A553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1351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D2B68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5640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w:t>
            </w:r>
          </w:p>
        </w:tc>
        <w:tc>
          <w:tcPr>
            <w:tcW w:w="1127" w:type="dxa"/>
          </w:tcPr>
          <w:p w14:paraId="29326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5CB3A9" w14:textId="77777777">
        <w:tc>
          <w:tcPr>
            <w:tcW w:w="1127" w:type="dxa"/>
          </w:tcPr>
          <w:p w14:paraId="21EC4C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Учебн</w:t>
            </w:r>
            <w:proofErr w:type="spellEnd"/>
            <w:r w:rsidRPr="007122AB">
              <w:rPr>
                <w:rFonts w:ascii="Times New Roman" w:hAnsi="Times New Roman"/>
                <w:color w:val="000000" w:themeColor="text1"/>
                <w:sz w:val="16"/>
                <w:szCs w:val="16"/>
              </w:rPr>
              <w:t>.</w:t>
            </w:r>
          </w:p>
        </w:tc>
        <w:tc>
          <w:tcPr>
            <w:tcW w:w="1127" w:type="dxa"/>
          </w:tcPr>
          <w:p w14:paraId="0144E5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4B121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1124E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5032C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47B9FA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44DC85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5B0607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1127" w:type="dxa"/>
          </w:tcPr>
          <w:p w14:paraId="11606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DE4410F" w14:textId="77777777">
        <w:tc>
          <w:tcPr>
            <w:tcW w:w="1127" w:type="dxa"/>
          </w:tcPr>
          <w:p w14:paraId="11651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F501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EDAE7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EF746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F46FE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1A2D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w:t>
            </w:r>
          </w:p>
        </w:tc>
        <w:tc>
          <w:tcPr>
            <w:tcW w:w="1127" w:type="dxa"/>
          </w:tcPr>
          <w:p w14:paraId="1062EF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E873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w:t>
            </w:r>
          </w:p>
        </w:tc>
        <w:tc>
          <w:tcPr>
            <w:tcW w:w="1127" w:type="dxa"/>
          </w:tcPr>
          <w:p w14:paraId="656CE6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5BB2775" w14:textId="77777777">
        <w:tc>
          <w:tcPr>
            <w:tcW w:w="1127" w:type="dxa"/>
          </w:tcPr>
          <w:p w14:paraId="58A094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Спорт.</w:t>
            </w:r>
          </w:p>
        </w:tc>
        <w:tc>
          <w:tcPr>
            <w:tcW w:w="1127" w:type="dxa"/>
          </w:tcPr>
          <w:p w14:paraId="237EE0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55683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B1130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D8A87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468CC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100F0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3C234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F70C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8147822" w14:textId="77777777">
        <w:tc>
          <w:tcPr>
            <w:tcW w:w="1127" w:type="dxa"/>
          </w:tcPr>
          <w:p w14:paraId="47E56C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78CB2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7BB2F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C3DC6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8EDF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D24C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62C6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w:t>
            </w:r>
          </w:p>
        </w:tc>
        <w:tc>
          <w:tcPr>
            <w:tcW w:w="1127" w:type="dxa"/>
          </w:tcPr>
          <w:p w14:paraId="20686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60070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2BE2F6" w14:textId="77777777">
        <w:tc>
          <w:tcPr>
            <w:tcW w:w="1127" w:type="dxa"/>
          </w:tcPr>
          <w:p w14:paraId="14516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Пассаж.</w:t>
            </w:r>
          </w:p>
        </w:tc>
        <w:tc>
          <w:tcPr>
            <w:tcW w:w="1127" w:type="dxa"/>
          </w:tcPr>
          <w:p w14:paraId="11FF47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95C20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127" w:type="dxa"/>
          </w:tcPr>
          <w:p w14:paraId="2E657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5DB2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127" w:type="dxa"/>
          </w:tcPr>
          <w:p w14:paraId="44162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20138F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127" w:type="dxa"/>
          </w:tcPr>
          <w:p w14:paraId="297B8F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44E4E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5403F71" w14:textId="77777777">
        <w:tc>
          <w:tcPr>
            <w:tcW w:w="1127" w:type="dxa"/>
          </w:tcPr>
          <w:p w14:paraId="6DAEDB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8181E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0648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127" w:type="dxa"/>
          </w:tcPr>
          <w:p w14:paraId="2C16D4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02D54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127" w:type="dxa"/>
          </w:tcPr>
          <w:p w14:paraId="4C2FB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E863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127" w:type="dxa"/>
          </w:tcPr>
          <w:p w14:paraId="5D07E3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27" w:type="dxa"/>
          </w:tcPr>
          <w:p w14:paraId="12ACA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9FA5C6F" w14:textId="77777777">
        <w:tc>
          <w:tcPr>
            <w:tcW w:w="1127" w:type="dxa"/>
          </w:tcPr>
          <w:p w14:paraId="0CCE7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c>
          <w:tcPr>
            <w:tcW w:w="1127" w:type="dxa"/>
          </w:tcPr>
          <w:p w14:paraId="67759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1127" w:type="dxa"/>
          </w:tcPr>
          <w:p w14:paraId="25994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127" w:type="dxa"/>
          </w:tcPr>
          <w:p w14:paraId="051C53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1127" w:type="dxa"/>
          </w:tcPr>
          <w:p w14:paraId="2AB21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127" w:type="dxa"/>
          </w:tcPr>
          <w:p w14:paraId="0CB00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127" w:type="dxa"/>
          </w:tcPr>
          <w:p w14:paraId="5707E0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127" w:type="dxa"/>
          </w:tcPr>
          <w:p w14:paraId="644C36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1127" w:type="dxa"/>
          </w:tcPr>
          <w:p w14:paraId="5AC6D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34B8C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ТШ3 - однотипен с разведчиком (351).</w:t>
      </w:r>
    </w:p>
    <w:p w14:paraId="2EF287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279B9" w14:textId="77777777" w:rsidR="000A57D7"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0747CCF" w14:textId="77777777" w:rsidR="000A57D7" w:rsidRPr="007122AB" w:rsidRDefault="000A57D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E4D96E"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8"/>
          <w:rFonts w:ascii="Times New Roman" w:eastAsia="Arial Unicode MS" w:hAnsi="Times New Roman" w:cs="Times New Roman"/>
          <w:i w:val="0"/>
          <w:iCs w:val="0"/>
          <w:color w:val="000000" w:themeColor="text1"/>
          <w:sz w:val="16"/>
          <w:szCs w:val="16"/>
        </w:rPr>
        <w:t xml:space="preserve">26 сентября 1930 г. в письме представителей УММ в Англии на имя </w:t>
      </w:r>
      <w:proofErr w:type="spellStart"/>
      <w:r w:rsidRPr="007122AB">
        <w:rPr>
          <w:rStyle w:val="1028"/>
          <w:rFonts w:ascii="Times New Roman" w:eastAsia="Arial Unicode MS" w:hAnsi="Times New Roman" w:cs="Times New Roman"/>
          <w:i w:val="0"/>
          <w:iCs w:val="0"/>
          <w:color w:val="000000" w:themeColor="text1"/>
          <w:sz w:val="16"/>
          <w:szCs w:val="16"/>
        </w:rPr>
        <w:t>Хапепского</w:t>
      </w:r>
      <w:proofErr w:type="spellEnd"/>
      <w:r w:rsidRPr="007122AB">
        <w:rPr>
          <w:rStyle w:val="1028"/>
          <w:rFonts w:ascii="Times New Roman" w:eastAsia="Arial Unicode MS" w:hAnsi="Times New Roman" w:cs="Times New Roman"/>
          <w:i w:val="0"/>
          <w:iCs w:val="0"/>
          <w:color w:val="000000" w:themeColor="text1"/>
          <w:sz w:val="16"/>
          <w:szCs w:val="16"/>
        </w:rPr>
        <w:t xml:space="preserve"> отмечалось, что</w:t>
      </w:r>
      <w:r w:rsidRPr="007122AB">
        <w:rPr>
          <w:rFonts w:ascii="Times New Roman" w:hAnsi="Times New Roman" w:cs="Times New Roman"/>
          <w:i w:val="0"/>
          <w:color w:val="000000" w:themeColor="text1"/>
          <w:sz w:val="16"/>
          <w:szCs w:val="16"/>
        </w:rPr>
        <w:t xml:space="preserve"> «первые испытания </w:t>
      </w:r>
      <w:r w:rsidRPr="007122AB">
        <w:rPr>
          <w:rStyle w:val="1028"/>
          <w:rFonts w:ascii="Times New Roman" w:eastAsia="Arial Unicode MS" w:hAnsi="Times New Roman" w:cs="Times New Roman"/>
          <w:i w:val="0"/>
          <w:iCs w:val="0"/>
          <w:color w:val="000000" w:themeColor="text1"/>
          <w:sz w:val="16"/>
          <w:szCs w:val="16"/>
        </w:rPr>
        <w:t>8-цилиндрового карбюраторного двигателя «Арм</w:t>
      </w:r>
      <w:r w:rsidRPr="007122AB">
        <w:rPr>
          <w:rStyle w:val="1028"/>
          <w:rFonts w:ascii="Times New Roman" w:eastAsia="Arial Unicode MS" w:hAnsi="Times New Roman" w:cs="Times New Roman"/>
          <w:i w:val="0"/>
          <w:iCs w:val="0"/>
          <w:color w:val="000000" w:themeColor="text1"/>
          <w:sz w:val="16"/>
          <w:szCs w:val="16"/>
        </w:rPr>
        <w:softHyphen/>
        <w:t xml:space="preserve">стронг </w:t>
      </w:r>
      <w:proofErr w:type="spellStart"/>
      <w:r w:rsidRPr="007122AB">
        <w:rPr>
          <w:rStyle w:val="1028"/>
          <w:rFonts w:ascii="Times New Roman" w:eastAsia="Arial Unicode MS" w:hAnsi="Times New Roman" w:cs="Times New Roman"/>
          <w:i w:val="0"/>
          <w:iCs w:val="0"/>
          <w:color w:val="000000" w:themeColor="text1"/>
          <w:sz w:val="16"/>
          <w:szCs w:val="16"/>
        </w:rPr>
        <w:t>Сидделей</w:t>
      </w:r>
      <w:proofErr w:type="spellEnd"/>
      <w:r w:rsidRPr="007122AB">
        <w:rPr>
          <w:rStyle w:val="1028"/>
          <w:rFonts w:ascii="Times New Roman" w:eastAsia="Arial Unicode MS" w:hAnsi="Times New Roman" w:cs="Times New Roman"/>
          <w:i w:val="0"/>
          <w:iCs w:val="0"/>
          <w:color w:val="000000" w:themeColor="text1"/>
          <w:sz w:val="16"/>
          <w:szCs w:val="16"/>
        </w:rPr>
        <w:t xml:space="preserve">» </w:t>
      </w:r>
      <w:r w:rsidRPr="007122AB">
        <w:rPr>
          <w:rFonts w:ascii="Times New Roman" w:hAnsi="Times New Roman" w:cs="Times New Roman"/>
          <w:i w:val="0"/>
          <w:color w:val="000000" w:themeColor="text1"/>
          <w:sz w:val="16"/>
          <w:szCs w:val="16"/>
        </w:rPr>
        <w:t>в 90 л.с. для 12-ти тон. танков ни на английском горючем, ни на русском (Грозный №2) удовлетворительных результатов не дали. Нами было предложено провести ряд дополнительных испытаний на русских стандартных сортах. Нами было предложено:</w:t>
      </w:r>
    </w:p>
    <w:p w14:paraId="69762EB2"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1/ Смесь: Грозный №1 -70% и Грозный №2.</w:t>
      </w:r>
    </w:p>
    <w:p w14:paraId="75EA456B"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2/ </w:t>
      </w:r>
      <w:proofErr w:type="spellStart"/>
      <w:r w:rsidRPr="007122AB">
        <w:rPr>
          <w:rFonts w:ascii="Times New Roman" w:hAnsi="Times New Roman" w:cs="Times New Roman"/>
          <w:i w:val="0"/>
          <w:color w:val="000000" w:themeColor="text1"/>
          <w:sz w:val="16"/>
          <w:szCs w:val="16"/>
        </w:rPr>
        <w:t>Гоозный</w:t>
      </w:r>
      <w:proofErr w:type="spellEnd"/>
      <w:r w:rsidRPr="007122AB">
        <w:rPr>
          <w:rFonts w:ascii="Times New Roman" w:hAnsi="Times New Roman" w:cs="Times New Roman"/>
          <w:i w:val="0"/>
          <w:color w:val="000000" w:themeColor="text1"/>
          <w:sz w:val="16"/>
          <w:szCs w:val="16"/>
        </w:rPr>
        <w:t xml:space="preserve"> № 1.</w:t>
      </w:r>
    </w:p>
    <w:p w14:paraId="37760325"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3/ Смесь </w:t>
      </w:r>
      <w:proofErr w:type="spellStart"/>
      <w:r w:rsidRPr="007122AB">
        <w:rPr>
          <w:rFonts w:ascii="Times New Roman" w:hAnsi="Times New Roman" w:cs="Times New Roman"/>
          <w:i w:val="0"/>
          <w:color w:val="000000" w:themeColor="text1"/>
          <w:sz w:val="16"/>
          <w:szCs w:val="16"/>
        </w:rPr>
        <w:t>Гоозный</w:t>
      </w:r>
      <w:proofErr w:type="spellEnd"/>
      <w:r w:rsidRPr="007122AB">
        <w:rPr>
          <w:rFonts w:ascii="Times New Roman" w:hAnsi="Times New Roman" w:cs="Times New Roman"/>
          <w:i w:val="0"/>
          <w:color w:val="000000" w:themeColor="text1"/>
          <w:sz w:val="16"/>
          <w:szCs w:val="16"/>
        </w:rPr>
        <w:t xml:space="preserve"> №1-97% и Бензол - 3%.</w:t>
      </w:r>
    </w:p>
    <w:p w14:paraId="45638439"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4/По предложению фирмы двигатель был испытан на стандартной английской смеси, состоящей из бензина (авиационный) 80% и бензо</w:t>
      </w:r>
      <w:r w:rsidRPr="007122AB">
        <w:rPr>
          <w:rFonts w:ascii="Times New Roman" w:hAnsi="Times New Roman" w:cs="Times New Roman"/>
          <w:i w:val="0"/>
          <w:color w:val="000000" w:themeColor="text1"/>
          <w:sz w:val="16"/>
          <w:szCs w:val="16"/>
        </w:rPr>
        <w:softHyphen/>
        <w:t>ла-20%.</w:t>
      </w:r>
    </w:p>
    <w:p w14:paraId="15D45A1F"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Наиболее удачным результатом испытаний на этих сортах горючего русского стандарта оказалась смесь Грозный №1 - 97% и Бензол - 3%.</w:t>
      </w:r>
    </w:p>
    <w:p w14:paraId="0E9221D2"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На этом топливе двигатель показал около 89 л.с. при 1760 оборотов </w:t>
      </w:r>
      <w:proofErr w:type="spellStart"/>
      <w:r w:rsidRPr="007122AB">
        <w:rPr>
          <w:rFonts w:ascii="Times New Roman" w:hAnsi="Times New Roman" w:cs="Times New Roman"/>
          <w:i w:val="0"/>
          <w:color w:val="000000" w:themeColor="text1"/>
          <w:sz w:val="16"/>
          <w:szCs w:val="16"/>
        </w:rPr>
        <w:t>вминуту</w:t>
      </w:r>
      <w:proofErr w:type="spellEnd"/>
      <w:r w:rsidRPr="007122AB">
        <w:rPr>
          <w:rFonts w:ascii="Times New Roman" w:hAnsi="Times New Roman" w:cs="Times New Roman"/>
          <w:i w:val="0"/>
          <w:color w:val="000000" w:themeColor="text1"/>
          <w:sz w:val="16"/>
          <w:szCs w:val="16"/>
        </w:rPr>
        <w:t>» (15745).</w:t>
      </w:r>
    </w:p>
    <w:p w14:paraId="17281E81" w14:textId="77777777" w:rsidR="00A54CD0" w:rsidRPr="007122AB" w:rsidRDefault="00A54CD0" w:rsidP="007122AB">
      <w:pPr>
        <w:pStyle w:val="1010"/>
        <w:shd w:val="clear" w:color="auto" w:fill="auto"/>
        <w:spacing w:line="240" w:lineRule="auto"/>
        <w:ind w:firstLine="0"/>
        <w:rPr>
          <w:rFonts w:ascii="Times New Roman" w:hAnsi="Times New Roman" w:cs="Times New Roman"/>
          <w:i w:val="0"/>
          <w:color w:val="000000" w:themeColor="text1"/>
          <w:sz w:val="16"/>
          <w:szCs w:val="16"/>
        </w:rPr>
      </w:pPr>
    </w:p>
    <w:p w14:paraId="7926EA97" w14:textId="77777777" w:rsidR="000A57D7" w:rsidRPr="007122AB" w:rsidRDefault="000A57D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сентября 1931 была утверждена Программа полигонных испытаний на ЦВХП химической Т-27, а отчет по предварительным испытаниям поступил в НТК </w:t>
      </w:r>
      <w:proofErr w:type="spellStart"/>
      <w:r w:rsidRPr="007122AB">
        <w:rPr>
          <w:rFonts w:ascii="Times New Roman" w:hAnsi="Times New Roman"/>
          <w:color w:val="000000" w:themeColor="text1"/>
          <w:sz w:val="16"/>
          <w:szCs w:val="16"/>
        </w:rPr>
        <w:t>Вохиму</w:t>
      </w:r>
      <w:proofErr w:type="spellEnd"/>
      <w:r w:rsidRPr="007122AB">
        <w:rPr>
          <w:rFonts w:ascii="Times New Roman" w:hAnsi="Times New Roman"/>
          <w:color w:val="000000" w:themeColor="text1"/>
          <w:sz w:val="16"/>
          <w:szCs w:val="16"/>
        </w:rPr>
        <w:t xml:space="preserve"> 3 декабря 1931 г. По итогам заводских испытаний химизированную танкетку Т-27 признали пригодной для решения основных поставленных перед ней задач.</w:t>
      </w:r>
    </w:p>
    <w:p w14:paraId="650297BE" w14:textId="77777777" w:rsidR="000A57D7" w:rsidRPr="007122AB" w:rsidRDefault="000A57D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не обошлось без потерь. В ходе испытаний </w:t>
      </w:r>
      <w:proofErr w:type="spellStart"/>
      <w:r w:rsidRPr="007122AB">
        <w:rPr>
          <w:rFonts w:ascii="Times New Roman" w:hAnsi="Times New Roman"/>
          <w:color w:val="000000" w:themeColor="text1"/>
          <w:sz w:val="16"/>
          <w:szCs w:val="16"/>
        </w:rPr>
        <w:t>Кратиров</w:t>
      </w:r>
      <w:proofErr w:type="spellEnd"/>
      <w:r w:rsidRPr="007122AB">
        <w:rPr>
          <w:rFonts w:ascii="Times New Roman" w:hAnsi="Times New Roman"/>
          <w:color w:val="000000" w:themeColor="text1"/>
          <w:sz w:val="16"/>
          <w:szCs w:val="16"/>
        </w:rPr>
        <w:t xml:space="preserve"> сжег и порвал свой кожаный реглан. Изобретатель обратился в НТК ВОХИМУ с заявлением, в котором писал: «Т.к.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 Рассмотрев материалы по испытаниям и заявление </w:t>
      </w:r>
      <w:proofErr w:type="spellStart"/>
      <w:r w:rsidRPr="007122AB">
        <w:rPr>
          <w:rFonts w:ascii="Times New Roman" w:hAnsi="Times New Roman"/>
          <w:color w:val="000000" w:themeColor="text1"/>
          <w:sz w:val="16"/>
          <w:szCs w:val="16"/>
        </w:rPr>
        <w:t>Кратирова</w:t>
      </w:r>
      <w:proofErr w:type="spellEnd"/>
      <w:r w:rsidRPr="007122AB">
        <w:rPr>
          <w:rFonts w:ascii="Times New Roman" w:hAnsi="Times New Roman"/>
          <w:color w:val="000000" w:themeColor="text1"/>
          <w:sz w:val="16"/>
          <w:szCs w:val="16"/>
        </w:rPr>
        <w:t xml:space="preserve">, председатель и управделами НТК ВОХИМУ 14 декабря 1931 г. решили: «Тов. </w:t>
      </w:r>
      <w:proofErr w:type="spellStart"/>
      <w:r w:rsidRPr="007122AB">
        <w:rPr>
          <w:rFonts w:ascii="Times New Roman" w:hAnsi="Times New Roman"/>
          <w:color w:val="000000" w:themeColor="text1"/>
          <w:sz w:val="16"/>
          <w:szCs w:val="16"/>
        </w:rPr>
        <w:t>Кратиров</w:t>
      </w:r>
      <w:proofErr w:type="spellEnd"/>
      <w:r w:rsidRPr="007122AB">
        <w:rPr>
          <w:rFonts w:ascii="Times New Roman" w:hAnsi="Times New Roman"/>
          <w:color w:val="000000" w:themeColor="text1"/>
          <w:sz w:val="16"/>
          <w:szCs w:val="16"/>
        </w:rPr>
        <w:t xml:space="preserve">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w:t>
      </w:r>
      <w:proofErr w:type="spellStart"/>
      <w:r w:rsidRPr="007122AB">
        <w:rPr>
          <w:rFonts w:ascii="Times New Roman" w:hAnsi="Times New Roman"/>
          <w:color w:val="000000" w:themeColor="text1"/>
          <w:sz w:val="16"/>
          <w:szCs w:val="16"/>
        </w:rPr>
        <w:t>Кратиро-ва</w:t>
      </w:r>
      <w:proofErr w:type="spellEnd"/>
      <w:r w:rsidRPr="007122AB">
        <w:rPr>
          <w:rFonts w:ascii="Times New Roman" w:hAnsi="Times New Roman"/>
          <w:color w:val="000000" w:themeColor="text1"/>
          <w:sz w:val="16"/>
          <w:szCs w:val="16"/>
        </w:rPr>
        <w:t xml:space="preserve"> отпустить кожаное пальто, стоимость будет НТК </w:t>
      </w:r>
      <w:proofErr w:type="spellStart"/>
      <w:r w:rsidRPr="007122AB">
        <w:rPr>
          <w:rFonts w:ascii="Times New Roman" w:hAnsi="Times New Roman"/>
          <w:color w:val="000000" w:themeColor="text1"/>
          <w:sz w:val="16"/>
          <w:szCs w:val="16"/>
        </w:rPr>
        <w:t>Вохиму</w:t>
      </w:r>
      <w:proofErr w:type="spellEnd"/>
      <w:r w:rsidRPr="007122AB">
        <w:rPr>
          <w:rFonts w:ascii="Times New Roman" w:hAnsi="Times New Roman"/>
          <w:color w:val="000000" w:themeColor="text1"/>
          <w:sz w:val="16"/>
          <w:szCs w:val="16"/>
        </w:rPr>
        <w:t xml:space="preserve"> оплачена» (12253).</w:t>
      </w:r>
    </w:p>
    <w:p w14:paraId="2F843BA7" w14:textId="77777777" w:rsidR="000A57D7" w:rsidRPr="007122AB" w:rsidRDefault="000A57D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испытаний по дымопуску на танкетке были опробованы распылители четырех типов: аппарат «</w:t>
      </w:r>
      <w:proofErr w:type="spellStart"/>
      <w:r w:rsidRPr="007122AB">
        <w:rPr>
          <w:rFonts w:ascii="Times New Roman" w:hAnsi="Times New Roman"/>
          <w:color w:val="000000" w:themeColor="text1"/>
          <w:sz w:val="16"/>
          <w:szCs w:val="16"/>
        </w:rPr>
        <w:t>Ганзеатише</w:t>
      </w:r>
      <w:proofErr w:type="spellEnd"/>
      <w:r w:rsidRPr="007122AB">
        <w:rPr>
          <w:rFonts w:ascii="Times New Roman" w:hAnsi="Times New Roman"/>
          <w:color w:val="000000" w:themeColor="text1"/>
          <w:sz w:val="16"/>
          <w:szCs w:val="16"/>
        </w:rPr>
        <w:t>», К-К, НПЗ-З и аппарат завода «</w:t>
      </w:r>
      <w:proofErr w:type="spellStart"/>
      <w:r w:rsidRPr="007122AB">
        <w:rPr>
          <w:rFonts w:ascii="Times New Roman" w:hAnsi="Times New Roman"/>
          <w:color w:val="000000" w:themeColor="text1"/>
          <w:sz w:val="16"/>
          <w:szCs w:val="16"/>
        </w:rPr>
        <w:t>Промет</w:t>
      </w:r>
      <w:proofErr w:type="spellEnd"/>
      <w:r w:rsidRPr="007122AB">
        <w:rPr>
          <w:rFonts w:ascii="Times New Roman" w:hAnsi="Times New Roman"/>
          <w:color w:val="000000" w:themeColor="text1"/>
          <w:sz w:val="16"/>
          <w:szCs w:val="16"/>
        </w:rPr>
        <w:t>» (аналогичный применяемому на боевой машине БХМ-Форд-</w:t>
      </w:r>
      <w:proofErr w:type="spellStart"/>
      <w:r w:rsidRPr="007122AB">
        <w:rPr>
          <w:rFonts w:ascii="Times New Roman" w:hAnsi="Times New Roman"/>
          <w:color w:val="000000" w:themeColor="text1"/>
          <w:sz w:val="16"/>
          <w:szCs w:val="16"/>
        </w:rPr>
        <w:t>Промет</w:t>
      </w:r>
      <w:proofErr w:type="spellEnd"/>
      <w:r w:rsidRPr="007122AB">
        <w:rPr>
          <w:rFonts w:ascii="Times New Roman" w:hAnsi="Times New Roman"/>
          <w:color w:val="000000" w:themeColor="text1"/>
          <w:sz w:val="16"/>
          <w:szCs w:val="16"/>
        </w:rPr>
        <w:t>). Последний представлял из себя полушаровидную насадку с приемным отверстием диаметром 4 мм, переходящим в щель шириной 2 мм с раствором на выходе 120' и углом выхода смеси 45' к горизонту. Управление дымопуском производилось изнутри машины при помощи тросовой проводки.</w:t>
      </w:r>
    </w:p>
    <w:p w14:paraId="7EF13128" w14:textId="77777777" w:rsidR="000A57D7" w:rsidRPr="007122AB" w:rsidRDefault="000A57D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w:t>
      </w:r>
      <w:proofErr w:type="spellStart"/>
      <w:r w:rsidRPr="007122AB">
        <w:rPr>
          <w:rFonts w:ascii="Times New Roman" w:hAnsi="Times New Roman"/>
          <w:color w:val="000000" w:themeColor="text1"/>
          <w:sz w:val="16"/>
          <w:szCs w:val="16"/>
        </w:rPr>
        <w:t>Промет</w:t>
      </w:r>
      <w:proofErr w:type="spellEnd"/>
      <w:r w:rsidRPr="007122AB">
        <w:rPr>
          <w:rFonts w:ascii="Times New Roman" w:hAnsi="Times New Roman"/>
          <w:color w:val="000000" w:themeColor="text1"/>
          <w:sz w:val="16"/>
          <w:szCs w:val="16"/>
        </w:rPr>
        <w:t xml:space="preserve"> более рентабелен, т.к. оставляет некоторое количество вещества на земле, продолжающее дымопуск, что выгодно при ходе машины свыше 25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 час.». 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05F7D447" w14:textId="77777777" w:rsidR="000A57D7" w:rsidRPr="007122AB" w:rsidRDefault="000A57D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Резервуары наполнялись с помощью мерного ведра и лейки за 14 мин. Давление 5 </w:t>
      </w:r>
      <w:proofErr w:type="spellStart"/>
      <w:r w:rsidRPr="007122AB">
        <w:rPr>
          <w:rFonts w:ascii="Times New Roman" w:hAnsi="Times New Roman"/>
          <w:color w:val="000000" w:themeColor="text1"/>
          <w:sz w:val="16"/>
          <w:szCs w:val="16"/>
        </w:rPr>
        <w:t>атм</w:t>
      </w:r>
      <w:proofErr w:type="spellEnd"/>
      <w:r w:rsidRPr="007122AB">
        <w:rPr>
          <w:rFonts w:ascii="Times New Roman" w:hAnsi="Times New Roman"/>
          <w:color w:val="000000" w:themeColor="text1"/>
          <w:sz w:val="16"/>
          <w:szCs w:val="16"/>
        </w:rPr>
        <w:t xml:space="preserve"> в резервуарах создавалось тремя воздушными баллонами емкостью 0,7 л каждый с давлением 120 атм. Танкетка отправлялась на задание без давления в резервуарах. При дымопуске предварительное давление в 5 </w:t>
      </w:r>
      <w:proofErr w:type="spellStart"/>
      <w:r w:rsidRPr="007122AB">
        <w:rPr>
          <w:rFonts w:ascii="Times New Roman" w:hAnsi="Times New Roman"/>
          <w:color w:val="000000" w:themeColor="text1"/>
          <w:sz w:val="16"/>
          <w:szCs w:val="16"/>
        </w:rPr>
        <w:t>атм</w:t>
      </w:r>
      <w:proofErr w:type="spellEnd"/>
      <w:r w:rsidRPr="007122AB">
        <w:rPr>
          <w:rFonts w:ascii="Times New Roman" w:hAnsi="Times New Roman"/>
          <w:color w:val="000000" w:themeColor="text1"/>
          <w:sz w:val="16"/>
          <w:szCs w:val="16"/>
        </w:rPr>
        <w:t xml:space="preserve"> должно было подаваться перед началом боя с помощью первого баллончика, затем при падении давления до 2,5 </w:t>
      </w:r>
      <w:proofErr w:type="spellStart"/>
      <w:r w:rsidRPr="007122AB">
        <w:rPr>
          <w:rFonts w:ascii="Times New Roman" w:hAnsi="Times New Roman"/>
          <w:color w:val="000000" w:themeColor="text1"/>
          <w:sz w:val="16"/>
          <w:szCs w:val="16"/>
        </w:rPr>
        <w:t>атм</w:t>
      </w:r>
      <w:proofErr w:type="spellEnd"/>
      <w:r w:rsidRPr="007122AB">
        <w:rPr>
          <w:rFonts w:ascii="Times New Roman" w:hAnsi="Times New Roman"/>
          <w:color w:val="000000" w:themeColor="text1"/>
          <w:sz w:val="16"/>
          <w:szCs w:val="16"/>
        </w:rPr>
        <w:t xml:space="preserve"> открывался второй баллончик, а третий баллончик использовался как запасной. В ходе испытаний обнаружилось протекание смеси через выпускные краники из-за их плохой герметизации.</w:t>
      </w:r>
    </w:p>
    <w:p w14:paraId="0F976E4E" w14:textId="77777777" w:rsidR="000A57D7" w:rsidRPr="007122AB" w:rsidRDefault="000A57D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Непосредственной опасности экипажу танкетки при работе с </w:t>
      </w:r>
      <w:proofErr w:type="spellStart"/>
      <w:r w:rsidRPr="007122AB">
        <w:rPr>
          <w:rFonts w:ascii="Times New Roman" w:hAnsi="Times New Roman"/>
          <w:color w:val="000000" w:themeColor="text1"/>
          <w:sz w:val="16"/>
          <w:szCs w:val="16"/>
        </w:rPr>
        <w:t>дымосмесью</w:t>
      </w:r>
      <w:proofErr w:type="spellEnd"/>
      <w:r w:rsidRPr="007122AB">
        <w:rPr>
          <w:rFonts w:ascii="Times New Roman" w:hAnsi="Times New Roman"/>
          <w:color w:val="000000" w:themeColor="text1"/>
          <w:sz w:val="16"/>
          <w:szCs w:val="16"/>
        </w:rPr>
        <w:t xml:space="preserve"> 5-1У не было, так как элементы системы </w:t>
      </w:r>
      <w:proofErr w:type="spellStart"/>
      <w:r w:rsidRPr="007122AB">
        <w:rPr>
          <w:rFonts w:ascii="Times New Roman" w:hAnsi="Times New Roman"/>
          <w:color w:val="000000" w:themeColor="text1"/>
          <w:sz w:val="16"/>
          <w:szCs w:val="16"/>
        </w:rPr>
        <w:t>газопуска</w:t>
      </w:r>
      <w:proofErr w:type="spellEnd"/>
      <w:r w:rsidRPr="007122AB">
        <w:rPr>
          <w:rFonts w:ascii="Times New Roman" w:hAnsi="Times New Roman"/>
          <w:color w:val="000000" w:themeColor="text1"/>
          <w:sz w:val="16"/>
          <w:szCs w:val="16"/>
        </w:rPr>
        <w:t xml:space="preserve"> располагались снаружи машины. На случай возможного попадания газов в машину имелись противогазы (12253).</w:t>
      </w:r>
    </w:p>
    <w:p w14:paraId="3F6F56E4" w14:textId="77777777" w:rsidR="000A57D7" w:rsidRPr="007122AB" w:rsidRDefault="000A57D7" w:rsidP="007122AB">
      <w:pPr>
        <w:spacing w:after="0" w:line="240" w:lineRule="auto"/>
        <w:jc w:val="both"/>
        <w:rPr>
          <w:rFonts w:ascii="Times New Roman" w:hAnsi="Times New Roman"/>
          <w:color w:val="000000" w:themeColor="text1"/>
          <w:sz w:val="16"/>
          <w:szCs w:val="16"/>
        </w:rPr>
      </w:pPr>
    </w:p>
    <w:p w14:paraId="2D653748" w14:textId="77777777" w:rsidR="003E28CB" w:rsidRPr="007122AB" w:rsidRDefault="003E28CB" w:rsidP="007122AB">
      <w:pPr>
        <w:spacing w:after="0" w:line="240" w:lineRule="auto"/>
        <w:jc w:val="both"/>
        <w:rPr>
          <w:rFonts w:ascii="Times New Roman" w:hAnsi="Times New Roman"/>
          <w:color w:val="000000" w:themeColor="text1"/>
          <w:sz w:val="16"/>
          <w:szCs w:val="16"/>
          <w:u w:color="002060"/>
          <w:lang w:val="en-US"/>
        </w:rPr>
      </w:pPr>
      <w:r w:rsidRPr="007122AB">
        <w:rPr>
          <w:rFonts w:ascii="Times New Roman" w:hAnsi="Times New Roman"/>
          <w:color w:val="000000" w:themeColor="text1"/>
          <w:sz w:val="16"/>
          <w:szCs w:val="16"/>
          <w:u w:color="002060"/>
        </w:rPr>
        <w:t>26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208сс о мобилизационной военно-санитарной подготовке СССР (ГА РФ. Ф. Р?8418. Оп</w:t>
      </w:r>
      <w:r w:rsidRPr="007122AB">
        <w:rPr>
          <w:rFonts w:ascii="Times New Roman" w:hAnsi="Times New Roman"/>
          <w:color w:val="000000" w:themeColor="text1"/>
          <w:sz w:val="16"/>
          <w:szCs w:val="16"/>
          <w:u w:color="002060"/>
          <w:lang w:val="en-US"/>
        </w:rPr>
        <w:t xml:space="preserve">. 28. </w:t>
      </w:r>
      <w:r w:rsidRPr="007122AB">
        <w:rPr>
          <w:rFonts w:ascii="Times New Roman" w:hAnsi="Times New Roman"/>
          <w:color w:val="000000" w:themeColor="text1"/>
          <w:sz w:val="16"/>
          <w:szCs w:val="16"/>
          <w:u w:color="002060"/>
        </w:rPr>
        <w:t>Д</w:t>
      </w:r>
      <w:r w:rsidRPr="007122AB">
        <w:rPr>
          <w:rFonts w:ascii="Times New Roman" w:hAnsi="Times New Roman"/>
          <w:color w:val="000000" w:themeColor="text1"/>
          <w:sz w:val="16"/>
          <w:szCs w:val="16"/>
          <w:u w:color="002060"/>
          <w:lang w:val="en-US"/>
        </w:rPr>
        <w:t>. 14</w:t>
      </w:r>
      <w:r w:rsidRPr="007122AB">
        <w:rPr>
          <w:rFonts w:ascii="Times New Roman" w:hAnsi="Times New Roman"/>
          <w:color w:val="000000" w:themeColor="text1"/>
          <w:sz w:val="16"/>
          <w:szCs w:val="16"/>
          <w:u w:color="002060"/>
        </w:rPr>
        <w:t>а</w:t>
      </w:r>
      <w:r w:rsidRPr="007122AB">
        <w:rPr>
          <w:rFonts w:ascii="Times New Roman" w:hAnsi="Times New Roman"/>
          <w:color w:val="000000" w:themeColor="text1"/>
          <w:sz w:val="16"/>
          <w:szCs w:val="16"/>
          <w:u w:color="002060"/>
          <w:lang w:val="en-US"/>
        </w:rPr>
        <w:t xml:space="preserve">. </w:t>
      </w:r>
      <w:r w:rsidRPr="007122AB">
        <w:rPr>
          <w:rFonts w:ascii="Times New Roman" w:hAnsi="Times New Roman"/>
          <w:color w:val="000000" w:themeColor="text1"/>
          <w:sz w:val="16"/>
          <w:szCs w:val="16"/>
          <w:u w:color="002060"/>
        </w:rPr>
        <w:t>Л</w:t>
      </w:r>
      <w:r w:rsidRPr="007122AB">
        <w:rPr>
          <w:rFonts w:ascii="Times New Roman" w:hAnsi="Times New Roman"/>
          <w:color w:val="000000" w:themeColor="text1"/>
          <w:sz w:val="16"/>
          <w:szCs w:val="16"/>
          <w:u w:color="002060"/>
          <w:lang w:val="en-US"/>
        </w:rPr>
        <w:t>. 6?66) (12415).</w:t>
      </w:r>
    </w:p>
    <w:p w14:paraId="1F067F74" w14:textId="77777777" w:rsidR="003E28CB" w:rsidRPr="007122AB" w:rsidRDefault="003E28CB" w:rsidP="007122AB">
      <w:pPr>
        <w:spacing w:after="0" w:line="240" w:lineRule="auto"/>
        <w:jc w:val="both"/>
        <w:rPr>
          <w:rFonts w:ascii="Times New Roman" w:hAnsi="Times New Roman"/>
          <w:color w:val="000000" w:themeColor="text1"/>
          <w:sz w:val="16"/>
          <w:szCs w:val="16"/>
          <w:u w:color="002060"/>
          <w:lang w:val="en-US"/>
        </w:rPr>
      </w:pPr>
    </w:p>
    <w:p w14:paraId="575444C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Зарубежом</w:t>
      </w:r>
      <w:r w:rsidRPr="007122AB">
        <w:rPr>
          <w:rFonts w:ascii="Times New Roman" w:hAnsi="Times New Roman"/>
          <w:i/>
          <w:iCs/>
          <w:color w:val="000000" w:themeColor="text1"/>
          <w:sz w:val="16"/>
          <w:szCs w:val="16"/>
          <w:lang w:val="en-US"/>
        </w:rPr>
        <w:t>:</w:t>
      </w:r>
    </w:p>
    <w:p w14:paraId="56DE821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132A9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September 26, 1931 The keel for Ranger, first ship of the U.S. Navy to be designed and constructed as a carrier, was laid at the Newport News Shipbuilding and Drydock Company (1090).</w:t>
      </w:r>
    </w:p>
    <w:p w14:paraId="7F928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336663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сентября 1931 был заложен первый корабль США, специально строящийся как авианосец - </w:t>
      </w:r>
      <w:proofErr w:type="spellStart"/>
      <w:r w:rsidRPr="007122AB">
        <w:rPr>
          <w:rFonts w:ascii="Times New Roman" w:hAnsi="Times New Roman"/>
          <w:color w:val="000000" w:themeColor="text1"/>
          <w:sz w:val="16"/>
          <w:szCs w:val="16"/>
        </w:rPr>
        <w:t>Ranger</w:t>
      </w:r>
      <w:proofErr w:type="spellEnd"/>
      <w:r w:rsidRPr="007122AB">
        <w:rPr>
          <w:rFonts w:ascii="Times New Roman" w:hAnsi="Times New Roman"/>
          <w:color w:val="000000" w:themeColor="text1"/>
          <w:sz w:val="16"/>
          <w:szCs w:val="16"/>
        </w:rPr>
        <w:t xml:space="preserve"> (1090).</w:t>
      </w:r>
    </w:p>
    <w:p w14:paraId="7A02B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47689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C836BC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CB6B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27 сентября 1931 Зам. Директора ЦАГИ Петренко и Зам. Зав. ОТО Александров писали ПРЕДСЕДАТЕЛЮ РЕВВОЕНСОВЕТА рапорт.</w:t>
      </w:r>
    </w:p>
    <w:p w14:paraId="1EDE06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Доношу, что согласно постановления Реввоенсовета от 13-го октября, журнал № 20 ЦАГИ было поручено произвести исследова</w:t>
      </w:r>
      <w:r w:rsidRPr="007122AB">
        <w:rPr>
          <w:rFonts w:ascii="Times New Roman" w:hAnsi="Times New Roman"/>
          <w:color w:val="000000" w:themeColor="text1"/>
          <w:sz w:val="16"/>
          <w:szCs w:val="16"/>
        </w:rPr>
        <w:softHyphen/>
        <w:t>ние самолета И-5 на предмет его способности выходить из плоского штопора.</w:t>
      </w:r>
    </w:p>
    <w:p w14:paraId="46A113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виду того, что ЦАГИ только что приступает к исследова</w:t>
      </w:r>
      <w:r w:rsidRPr="007122AB">
        <w:rPr>
          <w:rFonts w:ascii="Times New Roman" w:hAnsi="Times New Roman"/>
          <w:color w:val="000000" w:themeColor="text1"/>
          <w:sz w:val="16"/>
          <w:szCs w:val="16"/>
        </w:rPr>
        <w:softHyphen/>
        <w:t xml:space="preserve">нию штопора в свободном полете и поэтому не имеет еще </w:t>
      </w:r>
      <w:proofErr w:type="spellStart"/>
      <w:r w:rsidRPr="007122AB">
        <w:rPr>
          <w:rFonts w:ascii="Times New Roman" w:hAnsi="Times New Roman"/>
          <w:color w:val="000000" w:themeColor="text1"/>
          <w:sz w:val="16"/>
          <w:szCs w:val="16"/>
        </w:rPr>
        <w:t>доетаточного</w:t>
      </w:r>
      <w:proofErr w:type="spellEnd"/>
      <w:r w:rsidRPr="007122AB">
        <w:rPr>
          <w:rFonts w:ascii="Times New Roman" w:hAnsi="Times New Roman"/>
          <w:color w:val="000000" w:themeColor="text1"/>
          <w:sz w:val="16"/>
          <w:szCs w:val="16"/>
        </w:rPr>
        <w:t xml:space="preserve"> в этом отношении опыта, исследование это над машиной И-5 может быть проведено без полной гарантии изжить недостатки этой машины. Все же намеченные опыты дают некоторую уверенность в успехе.</w:t>
      </w:r>
    </w:p>
    <w:p w14:paraId="2C7791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предполагает провести следующие исследования:</w:t>
      </w:r>
    </w:p>
    <w:p w14:paraId="021EDC2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Испытание в воздухе самолета И-5, оборудованного прибо</w:t>
      </w:r>
      <w:r w:rsidRPr="007122AB">
        <w:rPr>
          <w:rFonts w:ascii="Times New Roman" w:hAnsi="Times New Roman"/>
          <w:color w:val="000000" w:themeColor="text1"/>
          <w:sz w:val="16"/>
          <w:szCs w:val="16"/>
        </w:rPr>
        <w:softHyphen/>
        <w:t>рами» позволяющими найти основные необходимые элементы штопора.</w:t>
      </w:r>
    </w:p>
    <w:p w14:paraId="74EF70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Испытание модели самолета И-5 в аэродинамической трубе для определения недостающих по п. 1 элементов, которые в настоя</w:t>
      </w:r>
      <w:r w:rsidRPr="007122AB">
        <w:rPr>
          <w:rFonts w:ascii="Times New Roman" w:hAnsi="Times New Roman"/>
          <w:color w:val="000000" w:themeColor="text1"/>
          <w:sz w:val="16"/>
          <w:szCs w:val="16"/>
        </w:rPr>
        <w:softHyphen/>
        <w:t>щее время не представляется возможным найти в свободном полете.</w:t>
      </w:r>
    </w:p>
    <w:p w14:paraId="20C14C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Произвести на основе проведенных экспериментов </w:t>
      </w:r>
      <w:proofErr w:type="spellStart"/>
      <w:r w:rsidRPr="007122AB">
        <w:rPr>
          <w:rFonts w:ascii="Times New Roman" w:hAnsi="Times New Roman"/>
          <w:color w:val="000000" w:themeColor="text1"/>
          <w:sz w:val="16"/>
          <w:szCs w:val="16"/>
        </w:rPr>
        <w:t>п.п</w:t>
      </w:r>
      <w:proofErr w:type="spellEnd"/>
      <w:r w:rsidRPr="007122AB">
        <w:rPr>
          <w:rFonts w:ascii="Times New Roman" w:hAnsi="Times New Roman"/>
          <w:color w:val="000000" w:themeColor="text1"/>
          <w:sz w:val="16"/>
          <w:szCs w:val="16"/>
        </w:rPr>
        <w:t>. 1 и 2 приближенный теоретический расчет штопора и наметить, если это представится возможным, конструктивные изменения машины.</w:t>
      </w:r>
    </w:p>
    <w:p w14:paraId="32A289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После соответствующих переделок машины на заводе сно</w:t>
      </w:r>
      <w:r w:rsidRPr="007122AB">
        <w:rPr>
          <w:rFonts w:ascii="Times New Roman" w:hAnsi="Times New Roman"/>
          <w:color w:val="000000" w:themeColor="text1"/>
          <w:sz w:val="16"/>
          <w:szCs w:val="16"/>
        </w:rPr>
        <w:softHyphen/>
        <w:t>ва произвести испытание.</w:t>
      </w:r>
    </w:p>
    <w:p w14:paraId="20792A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произведения указанных работ требуется:</w:t>
      </w:r>
    </w:p>
    <w:p w14:paraId="6357DC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Получить в распоряжение ЦАГИ один самолет И-5.</w:t>
      </w:r>
    </w:p>
    <w:p w14:paraId="3CB509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Срочно получить из-заграницы несколько необходимых для произведения исследования приборов, согласно прилагаемой описи</w:t>
      </w:r>
    </w:p>
    <w:p w14:paraId="083E46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Дать распоряжение ГВАО о предоставлении ЦАГИ тех необходимых материалов по самолету И-5, кои потребуется в процессе произведения работы.</w:t>
      </w:r>
    </w:p>
    <w:p w14:paraId="583178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касается сроков выполнения, то ориентировочно они вы</w:t>
      </w:r>
      <w:r w:rsidRPr="007122AB">
        <w:rPr>
          <w:rFonts w:ascii="Times New Roman" w:hAnsi="Times New Roman"/>
          <w:color w:val="000000" w:themeColor="text1"/>
          <w:sz w:val="16"/>
          <w:szCs w:val="16"/>
        </w:rPr>
        <w:softHyphen/>
        <w:t>ражаются следующим образом:</w:t>
      </w:r>
    </w:p>
    <w:p w14:paraId="7CD6AC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Оборудование и подготовка самолета, а также и теорети</w:t>
      </w:r>
      <w:r w:rsidRPr="007122AB">
        <w:rPr>
          <w:rFonts w:ascii="Times New Roman" w:hAnsi="Times New Roman"/>
          <w:color w:val="000000" w:themeColor="text1"/>
          <w:sz w:val="16"/>
          <w:szCs w:val="16"/>
        </w:rPr>
        <w:softHyphen/>
        <w:t>ческая проработка вопроса - 3 декады</w:t>
      </w:r>
    </w:p>
    <w:p w14:paraId="52A037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Произведение исследований в воздухе - I декада Через 4 декады должны быть готовы исследования самолета в трубе.</w:t>
      </w:r>
    </w:p>
    <w:p w14:paraId="678C1A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Обработка всех результатов опытов и вывод, заключения - I декада</w:t>
      </w:r>
    </w:p>
    <w:p w14:paraId="04E8A0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Переделки машины около I декады</w:t>
      </w:r>
    </w:p>
    <w:p w14:paraId="6B4F77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Контрольные испытания и заключения I и 1/2 декады</w:t>
      </w:r>
    </w:p>
    <w:p w14:paraId="629F66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около 7 1/2 декад</w:t>
      </w:r>
    </w:p>
    <w:p w14:paraId="1823DE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Сроки должны считаться с момента </w:t>
      </w:r>
      <w:proofErr w:type="spellStart"/>
      <w:r w:rsidRPr="007122AB">
        <w:rPr>
          <w:rFonts w:ascii="Times New Roman" w:hAnsi="Times New Roman"/>
          <w:color w:val="000000" w:themeColor="text1"/>
          <w:sz w:val="16"/>
          <w:szCs w:val="16"/>
        </w:rPr>
        <w:t>полупения</w:t>
      </w:r>
      <w:proofErr w:type="spellEnd"/>
      <w:r w:rsidRPr="007122AB">
        <w:rPr>
          <w:rFonts w:ascii="Times New Roman" w:hAnsi="Times New Roman"/>
          <w:color w:val="000000" w:themeColor="text1"/>
          <w:sz w:val="16"/>
          <w:szCs w:val="16"/>
        </w:rPr>
        <w:t xml:space="preserve"> машины и приборов.</w:t>
      </w:r>
    </w:p>
    <w:p w14:paraId="332188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приборы, подлежащие выписке из-за границы</w:t>
      </w:r>
    </w:p>
    <w:p w14:paraId="287417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6A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сентября 1931 года. Зам. начальник ВАО Баранов, начальник ПТОЭС </w:t>
      </w:r>
      <w:proofErr w:type="spellStart"/>
      <w:r w:rsidRPr="007122AB">
        <w:rPr>
          <w:rFonts w:ascii="Times New Roman" w:hAnsi="Times New Roman"/>
          <w:color w:val="000000" w:themeColor="text1"/>
          <w:sz w:val="16"/>
          <w:szCs w:val="16"/>
        </w:rPr>
        <w:t>Петрожицкий</w:t>
      </w:r>
      <w:proofErr w:type="spellEnd"/>
      <w:r w:rsidRPr="007122AB">
        <w:rPr>
          <w:rFonts w:ascii="Times New Roman" w:hAnsi="Times New Roman"/>
          <w:color w:val="000000" w:themeColor="text1"/>
          <w:sz w:val="16"/>
          <w:szCs w:val="16"/>
        </w:rPr>
        <w:t xml:space="preserve"> писали:</w:t>
      </w:r>
    </w:p>
    <w:p w14:paraId="47EBA0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самолетным заводам.</w:t>
      </w:r>
    </w:p>
    <w:p w14:paraId="3584C6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N 21 - Расчетной единицей для проектирования принять самолет И5; перепроектировку с мощности 2400 на мощность 3500 можно произвести в 1933 году.</w:t>
      </w:r>
    </w:p>
    <w:p w14:paraId="41B8F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N 1 - Проектировать под 5000 самолетов Р5 с возможностью замены на сварную конструкцию Р8.</w:t>
      </w:r>
    </w:p>
    <w:p w14:paraId="6FCA0E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Завод N 31 - перепроектировать на мощность в 2400 сухопутных самолетов разведывательного типа Р5 или Р8, с возможностью постановки производства сварных конструкций; под это задание перепроектируется новый корпус; в старом корпусе из объема этого задания предусмотреть возможность производства морских самолетов типа.... или МБР3 в количестве 300-400 штук. Дальнейшее расширение под 3500 шт. предусматривает изготовление в том же порядке 3000 сухопутных разведчиков и 500 морских указанного выше типа. Окончательное решение об объеме работ принять, произведя предварительно исследование возможностей существующих корпусов, как старых, так и новых. Т.к. для завода N 31 заказано уже оборудование для дюралевого производства, - могущее оказаться излишним - необходимо вопрос об исследовании варианта </w:t>
      </w:r>
      <w:proofErr w:type="spellStart"/>
      <w:r w:rsidRPr="007122AB">
        <w:rPr>
          <w:rFonts w:ascii="Times New Roman" w:hAnsi="Times New Roman"/>
          <w:color w:val="000000" w:themeColor="text1"/>
          <w:sz w:val="16"/>
          <w:szCs w:val="16"/>
        </w:rPr>
        <w:t>наивыгоднейшего</w:t>
      </w:r>
      <w:proofErr w:type="spellEnd"/>
      <w:r w:rsidRPr="007122AB">
        <w:rPr>
          <w:rFonts w:ascii="Times New Roman" w:hAnsi="Times New Roman"/>
          <w:color w:val="000000" w:themeColor="text1"/>
          <w:sz w:val="16"/>
          <w:szCs w:val="16"/>
        </w:rPr>
        <w:t xml:space="preserve"> использования завода N 31 определить в течение IV квартала 31 года, что поручается </w:t>
      </w:r>
      <w:proofErr w:type="spellStart"/>
      <w:r w:rsidRPr="007122AB">
        <w:rPr>
          <w:rFonts w:ascii="Times New Roman" w:hAnsi="Times New Roman"/>
          <w:color w:val="000000" w:themeColor="text1"/>
          <w:sz w:val="16"/>
          <w:szCs w:val="16"/>
        </w:rPr>
        <w:t>Авиастрою</w:t>
      </w:r>
      <w:proofErr w:type="spellEnd"/>
      <w:r w:rsidRPr="007122AB">
        <w:rPr>
          <w:rFonts w:ascii="Times New Roman" w:hAnsi="Times New Roman"/>
          <w:color w:val="000000" w:themeColor="text1"/>
          <w:sz w:val="16"/>
          <w:szCs w:val="16"/>
        </w:rPr>
        <w:t xml:space="preserve"> привлечением самолетного сектора, руководствуясь указаниями изложенными выше.</w:t>
      </w:r>
    </w:p>
    <w:p w14:paraId="359ADD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Завод ХАЗ - Перепроектировку завода ХАЗ на изготовление 1000 машин типа 2-х местных истребителей Ди6 и ДИ7 произвести в 1933 г.</w:t>
      </w:r>
    </w:p>
    <w:p w14:paraId="1128B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Завод 01 - штурмовиков с плана строительства снять.</w:t>
      </w:r>
    </w:p>
    <w:p w14:paraId="61327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Завод N 16 - должен быть перепроектирован на мощность в 1600 легких типа ЛБШ и 200 тяжелых типа ТШ2-ТШ3 в этой программе надлежит перепроектировать завод, использовав запроектированные площади.</w:t>
      </w:r>
    </w:p>
    <w:p w14:paraId="67244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Завод N 23 - проектная мощность 1000 учебных типа У2; с 1935 года переходить на производство </w:t>
      </w:r>
      <w:proofErr w:type="spellStart"/>
      <w:r w:rsidRPr="007122AB">
        <w:rPr>
          <w:rFonts w:ascii="Times New Roman" w:hAnsi="Times New Roman"/>
          <w:color w:val="000000" w:themeColor="text1"/>
          <w:sz w:val="16"/>
          <w:szCs w:val="16"/>
        </w:rPr>
        <w:t>авиэток</w:t>
      </w:r>
      <w:proofErr w:type="spellEnd"/>
      <w:r w:rsidRPr="007122AB">
        <w:rPr>
          <w:rFonts w:ascii="Times New Roman" w:hAnsi="Times New Roman"/>
          <w:color w:val="000000" w:themeColor="text1"/>
          <w:sz w:val="16"/>
          <w:szCs w:val="16"/>
        </w:rPr>
        <w:t xml:space="preserve"> и должен будет обладать мощностью в 3000 шт., поэтому перепроектировать его надлежит в 1933 году.</w:t>
      </w:r>
    </w:p>
    <w:p w14:paraId="757F2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Завод 02 - Проектировать на мощность 4000 учебных У2 и 4000 </w:t>
      </w:r>
      <w:proofErr w:type="spellStart"/>
      <w:r w:rsidRPr="007122AB">
        <w:rPr>
          <w:rFonts w:ascii="Times New Roman" w:hAnsi="Times New Roman"/>
          <w:color w:val="000000" w:themeColor="text1"/>
          <w:sz w:val="16"/>
          <w:szCs w:val="16"/>
        </w:rPr>
        <w:t>авиэток</w:t>
      </w:r>
      <w:proofErr w:type="spellEnd"/>
      <w:r w:rsidRPr="007122AB">
        <w:rPr>
          <w:rFonts w:ascii="Times New Roman" w:hAnsi="Times New Roman"/>
          <w:color w:val="000000" w:themeColor="text1"/>
          <w:sz w:val="16"/>
          <w:szCs w:val="16"/>
        </w:rPr>
        <w:t xml:space="preserve"> - строительство завода начать в 1933 году.</w:t>
      </w:r>
    </w:p>
    <w:p w14:paraId="2A46E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Завод морских самолетов - проектировать на мощность 400 МБР3, МДР3 и 150 МТБ3. Постройку завода произвести в 1932 году, с окончанием в 1933 году, из мощности первой очереди 500 и 2-й 700 самолетов7</w:t>
      </w:r>
    </w:p>
    <w:p w14:paraId="7DDD6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Завод N 22 - проектируется под окончательное задание в 600 МИ3 и 350 ТБ3, что в эквиваленте к ТБ1, под которые проектировался завод N 22 - дает 1500 шт.</w:t>
      </w:r>
    </w:p>
    <w:p w14:paraId="3277D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Завод N 18 - запроектированный на 1500 ТБ3 - остается без изменения.</w:t>
      </w:r>
    </w:p>
    <w:p w14:paraId="39CC2F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Завод N 04 - проектируется под 600 стальных К7 и 200 к14; строится завод начинает в 1933 году.</w:t>
      </w:r>
    </w:p>
    <w:p w14:paraId="694A7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Завод N 05 - специальный должен быть построен в 1932 году; завод должен иметь возможность производить разнообразные типы для войсковых серий, а также и мелкие серии, до 100 штук каждая специальных машин; при чем завод должен производить машины как деревянные и сварные, так и металлические дюралевые и стальные. Мощность завода запроектировать следующим образом:</w:t>
      </w:r>
    </w:p>
    <w:p w14:paraId="68A6FF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тяжелых металлических (типа ТБ4-ТБ6).</w:t>
      </w:r>
    </w:p>
    <w:p w14:paraId="69B0B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пушечных (типа N 7 завода N 39).</w:t>
      </w:r>
    </w:p>
    <w:p w14:paraId="3CBD0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амфибий (типа МДР3).</w:t>
      </w:r>
    </w:p>
    <w:p w14:paraId="39CD4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скоростных разведчиков (типа Р-10).</w:t>
      </w:r>
    </w:p>
    <w:p w14:paraId="13640D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90 - 3-х типов для войсковых серий - расчетный тип.</w:t>
      </w:r>
    </w:p>
    <w:p w14:paraId="00568E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 типа Р5-Р8.</w:t>
      </w:r>
    </w:p>
    <w:p w14:paraId="139D4E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w:t>
      </w:r>
      <w:proofErr w:type="spellStart"/>
      <w:r w:rsidRPr="007122AB">
        <w:rPr>
          <w:rFonts w:ascii="Times New Roman" w:hAnsi="Times New Roman"/>
          <w:color w:val="000000" w:themeColor="text1"/>
          <w:sz w:val="16"/>
          <w:szCs w:val="16"/>
        </w:rPr>
        <w:t>свертяжелых</w:t>
      </w:r>
      <w:proofErr w:type="spellEnd"/>
      <w:r w:rsidRPr="007122AB">
        <w:rPr>
          <w:rFonts w:ascii="Times New Roman" w:hAnsi="Times New Roman"/>
          <w:color w:val="000000" w:themeColor="text1"/>
          <w:sz w:val="16"/>
          <w:szCs w:val="16"/>
        </w:rPr>
        <w:t xml:space="preserve"> типа СТБ.</w:t>
      </w:r>
    </w:p>
    <w:p w14:paraId="14C91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должен быть расположен в Переяславле, т.к. там же предполагается расположить завод нефтяных моторов и вывести туда опытные организации из Москвы - проект надо делать таким образом, чтобы организовать общие хозяйства и поселок, поэтому общий план надо будет разработать в целом.</w:t>
      </w:r>
    </w:p>
    <w:p w14:paraId="02104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моторным заводам.</w:t>
      </w:r>
    </w:p>
    <w:p w14:paraId="44C6BB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Завод N 24 - перепроектировать на мощность 15000 штук; завод расширяется двумя очередями - к 1.I.33 года 10000 штук и к 1.I-34 г. 15000 штук. завод проектируется из расчета 80% моторов М34 и 20% моторов ФЭД.</w:t>
      </w:r>
    </w:p>
    <w:p w14:paraId="17058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N 26 - перепроектировать на мощность 10000 моторов М17 или М34 согласно наших указаний, данных в письме N 375/56 от 10/IX.</w:t>
      </w:r>
    </w:p>
    <w:p w14:paraId="4A4B1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Завод N 010 - проектировать на мощность 10000 моторов М32 или Кертис-</w:t>
      </w:r>
      <w:proofErr w:type="spellStart"/>
      <w:r w:rsidRPr="007122AB">
        <w:rPr>
          <w:rFonts w:ascii="Times New Roman" w:hAnsi="Times New Roman"/>
          <w:color w:val="000000" w:themeColor="text1"/>
          <w:sz w:val="16"/>
          <w:szCs w:val="16"/>
        </w:rPr>
        <w:t>Конкверер</w:t>
      </w:r>
      <w:proofErr w:type="spellEnd"/>
      <w:r w:rsidRPr="007122AB">
        <w:rPr>
          <w:rFonts w:ascii="Times New Roman" w:hAnsi="Times New Roman"/>
          <w:color w:val="000000" w:themeColor="text1"/>
          <w:sz w:val="16"/>
          <w:szCs w:val="16"/>
        </w:rPr>
        <w:t>. Постройка завода начинается в 1933 году.</w:t>
      </w:r>
    </w:p>
    <w:p w14:paraId="3EED8C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Завод N 29 - перепроектировать на мощность..000 моторов М11 к 1.I-34 года; до этого года завод производит моторы М22 и М11 в количествах, указанных выше.</w:t>
      </w:r>
    </w:p>
    <w:p w14:paraId="3A3FDB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Завод N 19 - перепроектировать на мощность 6000 моторов М22 с окончанием постройки и оборудования в 1933 году и частичным пуском в производство в середине 1932 года.</w:t>
      </w:r>
    </w:p>
    <w:p w14:paraId="3EE52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Завод N 030 - проектировать под 10000 моторов воздушного охлаждения, из которых 5000 Циклон и 5000 Райт-Ж6. Постройку первой очереди завода произвести в 1932 году и окончить в 1933 году.</w:t>
      </w:r>
    </w:p>
    <w:p w14:paraId="782A5F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Завод N 040 - проектировать под 10000 маломощных моторов - рассчитанный тип 3-х цилиндровый - завод должен иметь возможность производить 3-х, 5-ти и 7-ми цилиндровые моторы; строить завод 2-мя очередями, под мощность, указанную в таблице.</w:t>
      </w:r>
    </w:p>
    <w:p w14:paraId="0CA73B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Завод N 050 - нефтяных двигателей является заводом экспериментальным и должен иметь возможность производить в одной мастерской мелкие серии 4-х типов всего в количестве 500 штук различных моторов и в другой мастерской 1000 штук одного типа, который может быть звездообразным или рядной конструкции. Завод этот все детали производит целиком у себя и не находится в кооперации с другими заводами ВАО.</w:t>
      </w:r>
    </w:p>
    <w:p w14:paraId="06AE5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Завод N 020 - танковых моторов проектировать под 10000 моторов </w:t>
      </w:r>
      <w:proofErr w:type="spellStart"/>
      <w:r w:rsidRPr="007122AB">
        <w:rPr>
          <w:rFonts w:ascii="Times New Roman" w:hAnsi="Times New Roman"/>
          <w:color w:val="000000" w:themeColor="text1"/>
          <w:sz w:val="16"/>
          <w:szCs w:val="16"/>
        </w:rPr>
        <w:t>Кертисс-Конкерер</w:t>
      </w:r>
      <w:proofErr w:type="spellEnd"/>
      <w:r w:rsidRPr="007122AB">
        <w:rPr>
          <w:rFonts w:ascii="Times New Roman" w:hAnsi="Times New Roman"/>
          <w:color w:val="000000" w:themeColor="text1"/>
          <w:sz w:val="16"/>
          <w:szCs w:val="16"/>
        </w:rPr>
        <w:t>, причем на этом заводе должно будет разместить производство сцеплений, передачи, а также возможно и редукторов для всех прочих моторов.</w:t>
      </w:r>
    </w:p>
    <w:p w14:paraId="69E311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Все указанные выше типы являются расчетными для проектирования.</w:t>
      </w:r>
    </w:p>
    <w:p w14:paraId="471259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 очередности проектирования Вам сообщалось в предыдущем письме за N 75/58 от 10/IX.</w:t>
      </w:r>
    </w:p>
    <w:p w14:paraId="26107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вопросу о кооперировании основных заводов с подсобными Вам будет сообщено дополнительно одновременно с заданиями на проектирование подсобных заводов.</w:t>
      </w:r>
    </w:p>
    <w:p w14:paraId="6058BE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дополнительные данные для проектировки Вам надлежит получать в соответствующих секторах (2229,305).</w:t>
      </w:r>
    </w:p>
    <w:p w14:paraId="478A80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63E1CA" w14:textId="77777777" w:rsidR="001D6FA0" w:rsidRPr="007122AB" w:rsidRDefault="001D6FA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DD9D900" w14:textId="77777777" w:rsidR="001D6FA0" w:rsidRPr="007122AB" w:rsidRDefault="001D6FA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66ADF0"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27 сентября 1931 г.</w:t>
      </w:r>
    </w:p>
    <w:p w14:paraId="232BC155"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 выдаче «единовременного пособия» специалистам, работающим в ОКБ № 11. 27 сентября 1931 г.</w:t>
      </w:r>
    </w:p>
    <w:p w14:paraId="60A497FE"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2567DB5E"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C5774CD" w14:textId="77777777" w:rsidR="001D6FA0" w:rsidRPr="007122AB" w:rsidRDefault="001D6FA0"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228932B" w14:textId="77777777" w:rsidR="001D6FA0" w:rsidRPr="007122AB" w:rsidRDefault="001D6FA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86</w:t>
      </w:r>
    </w:p>
    <w:p w14:paraId="49A2C963" w14:textId="77777777" w:rsidR="001D6FA0" w:rsidRPr="007122AB" w:rsidRDefault="001D6FA0" w:rsidP="007122AB">
      <w:pPr>
        <w:pStyle w:val="rteright"/>
        <w:spacing w:before="0" w:after="0"/>
        <w:jc w:val="both"/>
        <w:rPr>
          <w:color w:val="000000" w:themeColor="text1"/>
          <w:sz w:val="16"/>
          <w:szCs w:val="16"/>
        </w:rPr>
      </w:pPr>
      <w:r w:rsidRPr="007122AB">
        <w:rPr>
          <w:color w:val="000000" w:themeColor="text1"/>
          <w:sz w:val="16"/>
          <w:szCs w:val="16"/>
        </w:rPr>
        <w:t>27 сентября 1931 г.</w:t>
      </w:r>
    </w:p>
    <w:p w14:paraId="0514C2F8" w14:textId="77777777" w:rsidR="001D6FA0" w:rsidRPr="007122AB" w:rsidRDefault="001D6FA0" w:rsidP="007122AB">
      <w:pPr>
        <w:pStyle w:val="rtecenter"/>
        <w:spacing w:before="0" w:after="0"/>
        <w:jc w:val="both"/>
        <w:rPr>
          <w:color w:val="000000" w:themeColor="text1"/>
          <w:sz w:val="16"/>
          <w:szCs w:val="16"/>
        </w:rPr>
      </w:pPr>
      <w:r w:rsidRPr="007122AB">
        <w:rPr>
          <w:color w:val="000000" w:themeColor="text1"/>
          <w:sz w:val="16"/>
          <w:szCs w:val="16"/>
        </w:rPr>
        <w:t>НАЧ. ТЕХ. ОТД. ЭКУ ОГПУ</w:t>
      </w:r>
    </w:p>
    <w:p w14:paraId="08885C12" w14:textId="77777777" w:rsidR="001D6FA0" w:rsidRPr="007122AB" w:rsidRDefault="001D6FA0" w:rsidP="007122AB">
      <w:pPr>
        <w:pStyle w:val="rtecenter"/>
        <w:spacing w:before="0" w:after="0"/>
        <w:jc w:val="both"/>
        <w:rPr>
          <w:color w:val="000000" w:themeColor="text1"/>
          <w:sz w:val="16"/>
          <w:szCs w:val="16"/>
        </w:rPr>
      </w:pPr>
      <w:r w:rsidRPr="007122AB">
        <w:rPr>
          <w:color w:val="000000" w:themeColor="text1"/>
          <w:sz w:val="16"/>
          <w:szCs w:val="16"/>
        </w:rPr>
        <w:t>тов. ГОРЯНОВУ</w:t>
      </w:r>
    </w:p>
    <w:p w14:paraId="7240C5F3" w14:textId="77777777" w:rsidR="001D6FA0" w:rsidRPr="007122AB" w:rsidRDefault="001D6FA0" w:rsidP="007122AB">
      <w:pPr>
        <w:pStyle w:val="rtecenter"/>
        <w:spacing w:before="0" w:after="0"/>
        <w:jc w:val="both"/>
        <w:rPr>
          <w:color w:val="000000" w:themeColor="text1"/>
          <w:sz w:val="16"/>
          <w:szCs w:val="16"/>
        </w:rPr>
      </w:pPr>
      <w:r w:rsidRPr="007122AB">
        <w:rPr>
          <w:color w:val="000000" w:themeColor="text1"/>
          <w:sz w:val="16"/>
          <w:szCs w:val="16"/>
        </w:rPr>
        <w:t>РАПОРТ</w:t>
      </w:r>
    </w:p>
    <w:p w14:paraId="39F6E9F2"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Прошу Вашего распоряжения о выдаче единовременного пособия осужденным, работающим в ОКБ № 11.</w:t>
      </w:r>
    </w:p>
    <w:p w14:paraId="5079CDB1"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1.    РЕВОКАТОВУ............................... 200 руб.</w:t>
      </w:r>
    </w:p>
    <w:p w14:paraId="6BD4E4E7"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2.     НОВИ........................................... 200 -/-</w:t>
      </w:r>
    </w:p>
    <w:p w14:paraId="615E5772"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3.    БУЛАШЕВИЧУ.............................. 200 -/-</w:t>
      </w:r>
    </w:p>
    <w:p w14:paraId="7B4D8F0C"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4.    ПРАСОЛОВУ................................. 200 -/-</w:t>
      </w:r>
    </w:p>
    <w:p w14:paraId="6975A902"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5.    ИВАНИЦКОМУ..............................150 -/-</w:t>
      </w:r>
    </w:p>
    <w:p w14:paraId="61E1900F"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6.    УСЕНКО........................................ 200 -/-</w:t>
      </w:r>
    </w:p>
    <w:p w14:paraId="25608397"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Всего 1.150 руб.</w:t>
      </w:r>
    </w:p>
    <w:p w14:paraId="02A5002A" w14:textId="77777777" w:rsidR="001D6FA0" w:rsidRPr="007122AB" w:rsidRDefault="001D6FA0" w:rsidP="007122AB">
      <w:pPr>
        <w:pStyle w:val="ae"/>
        <w:spacing w:before="0" w:after="0"/>
        <w:jc w:val="both"/>
        <w:rPr>
          <w:color w:val="000000" w:themeColor="text1"/>
          <w:sz w:val="16"/>
          <w:szCs w:val="16"/>
        </w:rPr>
      </w:pPr>
      <w:r w:rsidRPr="007122AB">
        <w:rPr>
          <w:color w:val="000000" w:themeColor="text1"/>
          <w:sz w:val="16"/>
          <w:szCs w:val="16"/>
        </w:rPr>
        <w:t>НАЧ. ОКБ № (</w:t>
      </w:r>
      <w:proofErr w:type="spellStart"/>
      <w:r w:rsidRPr="007122AB">
        <w:rPr>
          <w:color w:val="000000" w:themeColor="text1"/>
          <w:sz w:val="16"/>
          <w:szCs w:val="16"/>
        </w:rPr>
        <w:t>Наумин</w:t>
      </w:r>
      <w:proofErr w:type="spellEnd"/>
      <w:r w:rsidRPr="007122AB">
        <w:rPr>
          <w:color w:val="000000" w:themeColor="text1"/>
          <w:sz w:val="16"/>
          <w:szCs w:val="16"/>
        </w:rPr>
        <w:t>) «27» сентября 31 г.</w:t>
      </w:r>
    </w:p>
    <w:p w14:paraId="0F04099A" w14:textId="77777777" w:rsidR="001D6FA0" w:rsidRPr="007122AB" w:rsidRDefault="001D6FA0"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86. Машинописная копия того времени. Вверху справа написано карандашом «Копия». Рукописная помета тем же почерком на правом поле «Выдано было 30/IX 31» (подпись-росчерк, неразборчиво). Число в дате вписано от руки. Вверху слева также от руки написано «27/IХ» (19075).</w:t>
      </w:r>
    </w:p>
    <w:p w14:paraId="28F11138" w14:textId="77777777" w:rsidR="001D6FA0" w:rsidRPr="007122AB" w:rsidRDefault="001D6FA0" w:rsidP="007122AB">
      <w:pPr>
        <w:spacing w:after="0" w:line="240" w:lineRule="auto"/>
        <w:jc w:val="both"/>
        <w:rPr>
          <w:rFonts w:ascii="Times New Roman" w:hAnsi="Times New Roman"/>
          <w:color w:val="000000" w:themeColor="text1"/>
          <w:sz w:val="16"/>
          <w:szCs w:val="16"/>
        </w:rPr>
      </w:pPr>
    </w:p>
    <w:p w14:paraId="432E6BA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6E3FAF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1FE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сентября 1931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обратился с докладной к Реввоенсовету и предлагал строить все И-5 под М-22 вместо М-15 (191,23).</w:t>
      </w:r>
    </w:p>
    <w:p w14:paraId="0958E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7EC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сентября 1931 г. в своей докладной записке в Реввоенсовет СССР начальник УВВС Алкснис писал: "...предлагаю все самолёты И-5 строить под моторы М-22, как уже находящиеся на вооружении ВВС и качественно стоящие выше М-15, для чего моторы М-15 с программы ВВС снять и число М-22 увеличить на 272 шт." Однако ГУАП упорно пытался внедрить М-15 на И-5. Последней попыткой стал истребитель № 4372 постройки завода № 1. Он прибыл в НИИ ВВС 25 ноября 1931 г.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(11997).</w:t>
      </w:r>
    </w:p>
    <w:p w14:paraId="21634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5930C2" w14:textId="77777777" w:rsidR="00DA639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0B086CE" w14:textId="77777777" w:rsidR="00DA6399" w:rsidRPr="007122AB" w:rsidRDefault="00DA639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3037EB" w14:textId="77777777" w:rsidR="00DA6399" w:rsidRPr="007122AB" w:rsidRDefault="00DA6399" w:rsidP="007122AB">
      <w:pPr>
        <w:pStyle w:val="a3"/>
        <w:rPr>
          <w:color w:val="000000" w:themeColor="text1"/>
          <w:lang w:val="ru-RU"/>
        </w:rPr>
      </w:pPr>
      <w:r w:rsidRPr="007122AB">
        <w:rPr>
          <w:color w:val="000000" w:themeColor="text1"/>
          <w:lang w:val="ru-RU"/>
        </w:rPr>
        <w:t>28 сентября 1931 г. прика</w:t>
      </w:r>
      <w:r w:rsidRPr="007122AB">
        <w:rPr>
          <w:color w:val="000000" w:themeColor="text1"/>
          <w:lang w:val="ru-RU"/>
        </w:rPr>
        <w:softHyphen/>
        <w:t>зом по ВАТО руководство строительством всех специ</w:t>
      </w:r>
      <w:r w:rsidRPr="007122AB">
        <w:rPr>
          <w:color w:val="000000" w:themeColor="text1"/>
          <w:lang w:val="ru-RU"/>
        </w:rPr>
        <w:softHyphen/>
        <w:t>альных цехов СТЗ было возложено на начальника строительства Ананьина, проработка вопро</w:t>
      </w:r>
      <w:r w:rsidRPr="007122AB">
        <w:rPr>
          <w:color w:val="000000" w:themeColor="text1"/>
          <w:lang w:val="ru-RU"/>
        </w:rPr>
        <w:softHyphen/>
        <w:t xml:space="preserve">сов приспособления оборудования основных цехов и технологического процесса опытного цеха — на директора завода и его заместителя по </w:t>
      </w:r>
      <w:proofErr w:type="spellStart"/>
      <w:r w:rsidRPr="007122AB">
        <w:rPr>
          <w:color w:val="000000" w:themeColor="text1"/>
          <w:lang w:val="ru-RU"/>
        </w:rPr>
        <w:t>спецвопросам</w:t>
      </w:r>
      <w:proofErr w:type="spellEnd"/>
      <w:r w:rsidRPr="007122AB">
        <w:rPr>
          <w:color w:val="000000" w:themeColor="text1"/>
          <w:lang w:val="ru-RU"/>
        </w:rPr>
        <w:t>.</w:t>
      </w:r>
    </w:p>
    <w:p w14:paraId="57DE1D38" w14:textId="77777777" w:rsidR="00DA6399" w:rsidRPr="007122AB" w:rsidRDefault="00DA6399" w:rsidP="007122AB">
      <w:pPr>
        <w:pStyle w:val="a3"/>
        <w:rPr>
          <w:color w:val="000000" w:themeColor="text1"/>
          <w:lang w:val="ru-RU"/>
        </w:rPr>
      </w:pPr>
      <w:r w:rsidRPr="007122AB">
        <w:rPr>
          <w:color w:val="000000" w:themeColor="text1"/>
          <w:lang w:val="ru-RU"/>
        </w:rPr>
        <w:t>Директору завода предлагалось усилить Техническое бюро 12 специалистами из НАТИ и 10 выпускниками Военно-технической ака</w:t>
      </w:r>
      <w:r w:rsidRPr="007122AB">
        <w:rPr>
          <w:color w:val="000000" w:themeColor="text1"/>
          <w:lang w:val="ru-RU"/>
        </w:rPr>
        <w:softHyphen/>
        <w:t xml:space="preserve">демии РККА. </w:t>
      </w:r>
      <w:proofErr w:type="spellStart"/>
      <w:r w:rsidRPr="007122AB">
        <w:rPr>
          <w:color w:val="000000" w:themeColor="text1"/>
          <w:lang w:val="ru-RU"/>
        </w:rPr>
        <w:t>Гипровато</w:t>
      </w:r>
      <w:proofErr w:type="spellEnd"/>
      <w:r w:rsidRPr="007122AB">
        <w:rPr>
          <w:color w:val="000000" w:themeColor="text1"/>
          <w:lang w:val="ru-RU"/>
        </w:rPr>
        <w:t xml:space="preserve"> поручалось органи</w:t>
      </w:r>
      <w:r w:rsidRPr="007122AB">
        <w:rPr>
          <w:color w:val="000000" w:themeColor="text1"/>
          <w:lang w:val="ru-RU"/>
        </w:rPr>
        <w:softHyphen/>
        <w:t>зовать консультационную работу СТЗ за счет командируемых специалистов.</w:t>
      </w:r>
    </w:p>
    <w:p w14:paraId="7F13C7EE" w14:textId="77777777" w:rsidR="00DA6399" w:rsidRPr="007122AB" w:rsidRDefault="00DA6399" w:rsidP="007122AB">
      <w:pPr>
        <w:pStyle w:val="a3"/>
        <w:rPr>
          <w:color w:val="000000" w:themeColor="text1"/>
          <w:lang w:val="ru-RU"/>
        </w:rPr>
      </w:pPr>
      <w:r w:rsidRPr="007122AB">
        <w:rPr>
          <w:color w:val="000000" w:themeColor="text1"/>
          <w:lang w:val="ru-RU"/>
        </w:rPr>
        <w:t>8 ноября 1931 г. директор СТЗ утвердил соображения Техбюро о привлечении на вечернюю работу инженеров с основного производства. В начале декабря Техническое бюро начало функционировать (12622).</w:t>
      </w:r>
    </w:p>
    <w:p w14:paraId="34E9E674" w14:textId="77777777" w:rsidR="00DA6399" w:rsidRPr="007122AB" w:rsidRDefault="00DA6399" w:rsidP="007122AB">
      <w:pPr>
        <w:pStyle w:val="152"/>
        <w:shd w:val="clear" w:color="auto" w:fill="auto"/>
        <w:spacing w:line="240" w:lineRule="auto"/>
        <w:rPr>
          <w:rFonts w:ascii="Times New Roman" w:hAnsi="Times New Roman" w:cs="Times New Roman"/>
          <w:color w:val="000000" w:themeColor="text1"/>
          <w:sz w:val="16"/>
          <w:szCs w:val="16"/>
        </w:rPr>
      </w:pPr>
    </w:p>
    <w:p w14:paraId="0C3AC6B0"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28 сентября </w:t>
      </w:r>
      <w:r w:rsidRPr="007122AB">
        <w:rPr>
          <w:rFonts w:ascii="Times New Roman" w:hAnsi="Times New Roman"/>
          <w:color w:val="000000" w:themeColor="text1"/>
          <w:sz w:val="16"/>
          <w:szCs w:val="16"/>
        </w:rPr>
        <w:t>в 1931 году на базе кожевенно-обмундировочного завода в Москве, выполнявшего заказы по снаряжению армии, была организована Первая государственная фабрика технического фильца. Ныне – Московская фабрика технического войлока «ЗАО «Горизонт». Выпускает широкий ассортимент товаров из натуральной овечьей шерсти, технические и музыкальные войлоки, товары народного потребления (14783).</w:t>
      </w:r>
    </w:p>
    <w:p w14:paraId="45E4F98C"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7C463EC1"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сентября 1929 г. И.С. </w:t>
      </w:r>
      <w:proofErr w:type="spellStart"/>
      <w:r w:rsidRPr="007122AB">
        <w:rPr>
          <w:rFonts w:ascii="Times New Roman" w:hAnsi="Times New Roman"/>
          <w:color w:val="000000" w:themeColor="text1"/>
          <w:sz w:val="16"/>
          <w:szCs w:val="16"/>
        </w:rPr>
        <w:t>Уншлихт</w:t>
      </w:r>
      <w:proofErr w:type="spellEnd"/>
      <w:r w:rsidRPr="007122AB">
        <w:rPr>
          <w:rFonts w:ascii="Times New Roman" w:hAnsi="Times New Roman"/>
          <w:color w:val="000000" w:themeColor="text1"/>
          <w:sz w:val="16"/>
          <w:szCs w:val="16"/>
        </w:rPr>
        <w:t xml:space="preserve"> в своем письме к В.В. Куйбышеву просил отпустить хотя бы 70 тыс. американских долларов для организации работы «по получению из-за границы агентурным путем рабочих чертежей и готовых образцов» (15719).</w:t>
      </w:r>
    </w:p>
    <w:p w14:paraId="2DE27C95"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64D22D6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E23C67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82AA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(c 11 по 23 - 1017,162) сентября 1931 в НИИ ВВС закончились испытания моноплана типа парасоль, переделанного КБ А.Н.Т. из серийного И-4 N 1514, которые проходили с 1 сентября. Улучшения ЛТХ было незначительным (346,22).</w:t>
      </w:r>
    </w:p>
    <w:p w14:paraId="48E57B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это было с 11 по 23 сентября.</w:t>
      </w:r>
    </w:p>
    <w:p w14:paraId="26BDF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127E21" w14:textId="77777777" w:rsidR="00E20128" w:rsidRPr="007122AB" w:rsidRDefault="00E2012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29 сентября 1931 Политбюро приняло решение начать официальные переговоры не с Хуго </w:t>
      </w:r>
      <w:proofErr w:type="spellStart"/>
      <w:r w:rsidRPr="007122AB">
        <w:rPr>
          <w:rFonts w:ascii="Times New Roman" w:eastAsia="Times New Roman" w:hAnsi="Times New Roman"/>
          <w:color w:val="000000" w:themeColor="text1"/>
          <w:sz w:val="16"/>
          <w:szCs w:val="16"/>
          <w:lang w:eastAsia="ru-RU"/>
        </w:rPr>
        <w:t>Эккенером</w:t>
      </w:r>
      <w:proofErr w:type="spellEnd"/>
      <w:r w:rsidRPr="007122AB">
        <w:rPr>
          <w:rFonts w:ascii="Times New Roman" w:eastAsia="Times New Roman" w:hAnsi="Times New Roman"/>
          <w:color w:val="000000" w:themeColor="text1"/>
          <w:sz w:val="16"/>
          <w:szCs w:val="16"/>
          <w:lang w:eastAsia="ru-RU"/>
        </w:rPr>
        <w:t xml:space="preserve"> и «</w:t>
      </w:r>
      <w:proofErr w:type="spellStart"/>
      <w:r w:rsidRPr="007122AB">
        <w:rPr>
          <w:rFonts w:ascii="Times New Roman" w:eastAsia="Times New Roman" w:hAnsi="Times New Roman"/>
          <w:color w:val="000000" w:themeColor="text1"/>
          <w:sz w:val="16"/>
          <w:szCs w:val="16"/>
          <w:lang w:eastAsia="ru-RU"/>
        </w:rPr>
        <w:t>Люфтшифбау</w:t>
      </w:r>
      <w:proofErr w:type="spellEnd"/>
      <w:r w:rsidRPr="007122AB">
        <w:rPr>
          <w:rFonts w:ascii="Times New Roman" w:eastAsia="Times New Roman" w:hAnsi="Times New Roman"/>
          <w:color w:val="000000" w:themeColor="text1"/>
          <w:sz w:val="16"/>
          <w:szCs w:val="16"/>
          <w:lang w:eastAsia="ru-RU"/>
        </w:rPr>
        <w:t xml:space="preserve"> Цеппелин», а персонально с Умберто Нобиле, которого величали не по воинскому званию — генерал, а просто инженером.</w:t>
      </w:r>
    </w:p>
    <w:p w14:paraId="537D774D" w14:textId="77777777" w:rsidR="00E20128" w:rsidRPr="007122AB" w:rsidRDefault="00E2012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следующий день, 30 сентября, обе стороны окончательно согласовали условия договора. Он предусматривал два аспекта деятельности в СССР итальянского конструктора.</w:t>
      </w:r>
    </w:p>
    <w:p w14:paraId="0F56B179" w14:textId="77777777" w:rsidR="00E20128" w:rsidRPr="007122AB" w:rsidRDefault="00E2012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w:t>
      </w:r>
      <w:proofErr w:type="spellStart"/>
      <w:r w:rsidRPr="007122AB">
        <w:rPr>
          <w:rFonts w:ascii="Times New Roman" w:eastAsia="Times New Roman" w:hAnsi="Times New Roman"/>
          <w:color w:val="000000" w:themeColor="text1"/>
          <w:sz w:val="16"/>
          <w:szCs w:val="16"/>
          <w:lang w:eastAsia="ru-RU"/>
        </w:rPr>
        <w:t>Инж</w:t>
      </w:r>
      <w:proofErr w:type="spellEnd"/>
      <w:r w:rsidRPr="007122AB">
        <w:rPr>
          <w:rFonts w:ascii="Times New Roman" w:eastAsia="Times New Roman" w:hAnsi="Times New Roman"/>
          <w:color w:val="000000" w:themeColor="text1"/>
          <w:sz w:val="16"/>
          <w:szCs w:val="16"/>
          <w:lang w:eastAsia="ru-RU"/>
        </w:rPr>
        <w:t>. Нобиле, — фиксировал первый пункт, — берет на себя техническое руководство и ответственность за подготовку дирижабля, приспособленного к воздушной Арктической экспедиции». Пункт пятый уточнял: «В 1933 году или, в случае неготовности к этому времени дирижабля, в последующем 1934 году советским правительством будет организована в Арктику воздушная экспедиция с дирижаблем, который пробудет там не менее пяти последовательных месяцев как с целью изучения самой Арктики, так и для установления возможности применять дирижабли для обслуживания Арктики. К этому времени должна быть построена в Арктике специальная база с эллингом нормального типа». А пункт шестой добавлял: «Начальником воздушной арктической экспедиции будет назначен инженер Нобиле. Длительность, программа, маршруты и научные участники этой экспедиции будут установлены советским правительством».</w:t>
      </w:r>
    </w:p>
    <w:p w14:paraId="0BE32309" w14:textId="77777777" w:rsidR="00E20128" w:rsidRPr="007122AB" w:rsidRDefault="00E2012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Помимо этого, соглашение предусматривало, что «</w:t>
      </w:r>
      <w:proofErr w:type="spellStart"/>
      <w:r w:rsidRPr="007122AB">
        <w:rPr>
          <w:rFonts w:ascii="Times New Roman" w:eastAsia="Times New Roman" w:hAnsi="Times New Roman"/>
          <w:color w:val="000000" w:themeColor="text1"/>
          <w:sz w:val="16"/>
          <w:szCs w:val="16"/>
          <w:lang w:eastAsia="ru-RU"/>
        </w:rPr>
        <w:t>инж</w:t>
      </w:r>
      <w:proofErr w:type="spellEnd"/>
      <w:r w:rsidRPr="007122AB">
        <w:rPr>
          <w:rFonts w:ascii="Times New Roman" w:eastAsia="Times New Roman" w:hAnsi="Times New Roman"/>
          <w:color w:val="000000" w:themeColor="text1"/>
          <w:sz w:val="16"/>
          <w:szCs w:val="16"/>
          <w:lang w:eastAsia="ru-RU"/>
        </w:rPr>
        <w:t>. Нобиле берет на себя техническое руководство по проектированию и постройке остальных дирижаблей, стоящих в плане ВО ГВФ, кубатурой в 37 000, 7000 и 1000 кубических метров» (20467).</w:t>
      </w:r>
    </w:p>
    <w:p w14:paraId="23C3CCF7" w14:textId="77777777" w:rsidR="00E20128" w:rsidRPr="007122AB" w:rsidRDefault="00E20128" w:rsidP="007122AB">
      <w:pPr>
        <w:spacing w:after="0" w:line="240" w:lineRule="auto"/>
        <w:jc w:val="both"/>
        <w:rPr>
          <w:rFonts w:ascii="Times New Roman" w:hAnsi="Times New Roman"/>
          <w:color w:val="000000" w:themeColor="text1"/>
          <w:sz w:val="16"/>
          <w:szCs w:val="16"/>
          <w:shd w:val="clear" w:color="auto" w:fill="FFFFFF"/>
        </w:rPr>
      </w:pPr>
    </w:p>
    <w:p w14:paraId="73FF0FFC" w14:textId="0350446C"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Жизнь и внутренняя политика:</w:t>
      </w:r>
    </w:p>
    <w:p w14:paraId="1524D50E" w14:textId="77777777"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410E3C2C" w14:textId="77777777" w:rsidR="007F1987" w:rsidRPr="00441F34" w:rsidRDefault="007F1987" w:rsidP="007F1987">
      <w:pPr>
        <w:spacing w:after="0" w:line="240" w:lineRule="auto"/>
        <w:jc w:val="both"/>
        <w:rPr>
          <w:rFonts w:ascii="Times New Roman" w:hAnsi="Times New Roman"/>
          <w:color w:val="0070C0"/>
          <w:sz w:val="16"/>
          <w:szCs w:val="16"/>
        </w:rPr>
      </w:pPr>
      <w:bookmarkStart w:id="22" w:name="_Hlk153195194"/>
      <w:r w:rsidRPr="00441F34">
        <w:rPr>
          <w:rFonts w:ascii="Times New Roman" w:hAnsi="Times New Roman"/>
          <w:color w:val="0070C0"/>
          <w:sz w:val="16"/>
          <w:szCs w:val="16"/>
        </w:rPr>
        <w:t>29 сентября 1931 г. из Москвы будущий фельдмаршал Вильгельм Кейтель писал отцу из Берлина: "Сегодня в первой половине дня я вернулся из своей поездки в Россию, которая, включая приезд и отъезд, заняла почти три недели. Впечатления интересные и поучительные, причем не только в военном, но и в хозяйственном отношении. [...]. Самое характерное, пожалуй, можно - совсем кратко - изложить так: а) необычайные просторы; б) наличие всех мыслимых ископаемых в качестве предпосылки независимой экономики; в) нерушимая вера в строительство [социализма] и в пятилетний план; г) крайне напряженный трудовой ритм" (24335).</w:t>
      </w:r>
    </w:p>
    <w:p w14:paraId="5A2745C4" w14:textId="77777777" w:rsidR="007F1987" w:rsidRPr="00441F34" w:rsidRDefault="007F1987" w:rsidP="007F1987">
      <w:pPr>
        <w:spacing w:after="0" w:line="240" w:lineRule="auto"/>
        <w:jc w:val="both"/>
        <w:rPr>
          <w:rFonts w:ascii="Times New Roman" w:hAnsi="Times New Roman"/>
          <w:color w:val="0070C0"/>
          <w:sz w:val="16"/>
          <w:szCs w:val="16"/>
        </w:rPr>
      </w:pPr>
    </w:p>
    <w:bookmarkEnd w:id="22"/>
    <w:p w14:paraId="7AB6233D" w14:textId="1B152478" w:rsidR="00A54CD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872C5A2" w14:textId="77777777" w:rsidR="00A54CD0" w:rsidRPr="007122AB" w:rsidRDefault="00A54CD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04CF45" w14:textId="77777777" w:rsidR="00E20128" w:rsidRPr="007122AB" w:rsidRDefault="00E20128"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сентября 1931 англичанине на </w:t>
      </w:r>
      <w:proofErr w:type="spellStart"/>
      <w:r w:rsidRPr="007122AB">
        <w:rPr>
          <w:rFonts w:ascii="Times New Roman" w:hAnsi="Times New Roman"/>
          <w:color w:val="000000" w:themeColor="text1"/>
          <w:sz w:val="16"/>
          <w:szCs w:val="16"/>
        </w:rPr>
        <w:t>Супермарине</w:t>
      </w:r>
      <w:proofErr w:type="spellEnd"/>
      <w:r w:rsidRPr="007122AB">
        <w:rPr>
          <w:rFonts w:ascii="Times New Roman" w:hAnsi="Times New Roman"/>
          <w:color w:val="000000" w:themeColor="text1"/>
          <w:sz w:val="16"/>
          <w:szCs w:val="16"/>
        </w:rPr>
        <w:t xml:space="preserve"> S.6В с форсированным двигателем на базе 3 км установил </w:t>
      </w:r>
      <w:proofErr w:type="spellStart"/>
      <w:r w:rsidRPr="007122AB">
        <w:rPr>
          <w:rFonts w:ascii="Times New Roman" w:hAnsi="Times New Roman"/>
          <w:color w:val="000000" w:themeColor="text1"/>
          <w:sz w:val="16"/>
          <w:szCs w:val="16"/>
        </w:rPr>
        <w:t>говый</w:t>
      </w:r>
      <w:proofErr w:type="spellEnd"/>
      <w:r w:rsidRPr="007122AB">
        <w:rPr>
          <w:rFonts w:ascii="Times New Roman" w:hAnsi="Times New Roman"/>
          <w:color w:val="000000" w:themeColor="text1"/>
          <w:sz w:val="16"/>
          <w:szCs w:val="16"/>
        </w:rPr>
        <w:t xml:space="preserve"> абсолютный мировой рекорд скорости в 657.76 км/час (4207, 72).</w:t>
      </w:r>
    </w:p>
    <w:p w14:paraId="05907106" w14:textId="77777777" w:rsidR="00E20128" w:rsidRPr="007122AB" w:rsidRDefault="00E20128" w:rsidP="007122AB">
      <w:pPr>
        <w:autoSpaceDE w:val="0"/>
        <w:autoSpaceDN w:val="0"/>
        <w:adjustRightInd w:val="0"/>
        <w:spacing w:after="0" w:line="240" w:lineRule="auto"/>
        <w:jc w:val="both"/>
        <w:rPr>
          <w:rFonts w:ascii="Times New Roman" w:hAnsi="Times New Roman"/>
          <w:color w:val="000000" w:themeColor="text1"/>
          <w:sz w:val="16"/>
          <w:szCs w:val="16"/>
        </w:rPr>
      </w:pPr>
    </w:p>
    <w:p w14:paraId="2614B60A" w14:textId="77777777" w:rsidR="00A54CD0" w:rsidRPr="007122AB" w:rsidRDefault="00A54CD0"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29 сентября </w:t>
      </w:r>
      <w:r w:rsidRPr="007122AB">
        <w:rPr>
          <w:rFonts w:ascii="Times New Roman" w:hAnsi="Times New Roman"/>
          <w:color w:val="000000" w:themeColor="text1"/>
          <w:sz w:val="16"/>
          <w:szCs w:val="16"/>
        </w:rPr>
        <w:t xml:space="preserve">в 1931 году абсолютный мировой рекорд скорости - 654,90 км/ч, </w:t>
      </w:r>
      <w:proofErr w:type="spellStart"/>
      <w:r w:rsidRPr="007122AB">
        <w:rPr>
          <w:rFonts w:ascii="Times New Roman" w:hAnsi="Times New Roman"/>
          <w:color w:val="000000" w:themeColor="text1"/>
          <w:sz w:val="16"/>
          <w:szCs w:val="16"/>
        </w:rPr>
        <w:t>Дж.Г.Стейнфорт</w:t>
      </w:r>
      <w:proofErr w:type="spellEnd"/>
      <w:r w:rsidRPr="007122AB">
        <w:rPr>
          <w:rFonts w:ascii="Times New Roman" w:hAnsi="Times New Roman"/>
          <w:color w:val="000000" w:themeColor="text1"/>
          <w:sz w:val="16"/>
          <w:szCs w:val="16"/>
        </w:rPr>
        <w:t xml:space="preserve"> (Великобритания) на самолете «</w:t>
      </w:r>
      <w:proofErr w:type="spellStart"/>
      <w:r w:rsidRPr="007122AB">
        <w:rPr>
          <w:rFonts w:ascii="Times New Roman" w:hAnsi="Times New Roman"/>
          <w:color w:val="000000" w:themeColor="text1"/>
          <w:sz w:val="16"/>
          <w:szCs w:val="16"/>
        </w:rPr>
        <w:t>Супермарин</w:t>
      </w:r>
      <w:proofErr w:type="spellEnd"/>
      <w:r w:rsidRPr="007122AB">
        <w:rPr>
          <w:rFonts w:ascii="Times New Roman" w:hAnsi="Times New Roman"/>
          <w:color w:val="000000" w:themeColor="text1"/>
          <w:sz w:val="16"/>
          <w:szCs w:val="16"/>
        </w:rPr>
        <w:t xml:space="preserve"> S6B» (14784).</w:t>
      </w:r>
    </w:p>
    <w:p w14:paraId="03985D7A" w14:textId="77777777" w:rsidR="00A54CD0" w:rsidRPr="007122AB" w:rsidRDefault="00A54CD0" w:rsidP="007122AB">
      <w:pPr>
        <w:spacing w:after="0" w:line="240" w:lineRule="auto"/>
        <w:jc w:val="both"/>
        <w:rPr>
          <w:rFonts w:ascii="Times New Roman" w:hAnsi="Times New Roman"/>
          <w:color w:val="000000" w:themeColor="text1"/>
          <w:sz w:val="16"/>
          <w:szCs w:val="16"/>
        </w:rPr>
      </w:pPr>
    </w:p>
    <w:p w14:paraId="29B19550" w14:textId="77777777" w:rsidR="00E20128" w:rsidRPr="007122AB" w:rsidRDefault="00E201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сентября 1931 После успеха НА Schneider </w:t>
      </w:r>
      <w:proofErr w:type="spellStart"/>
      <w:r w:rsidRPr="007122AB">
        <w:rPr>
          <w:rFonts w:ascii="Times New Roman" w:hAnsi="Times New Roman"/>
          <w:color w:val="000000" w:themeColor="text1"/>
          <w:sz w:val="16"/>
          <w:szCs w:val="16"/>
        </w:rPr>
        <w:t>Trophy</w:t>
      </w:r>
      <w:proofErr w:type="spellEnd"/>
      <w:r w:rsidRPr="007122AB">
        <w:rPr>
          <w:rFonts w:ascii="Times New Roman" w:hAnsi="Times New Roman"/>
          <w:color w:val="000000" w:themeColor="text1"/>
          <w:sz w:val="16"/>
          <w:szCs w:val="16"/>
        </w:rPr>
        <w:t xml:space="preserve">, лейтенант Королевских ВВС Джордж </w:t>
      </w:r>
      <w:proofErr w:type="spellStart"/>
      <w:r w:rsidRPr="007122AB">
        <w:rPr>
          <w:rFonts w:ascii="Times New Roman" w:hAnsi="Times New Roman"/>
          <w:color w:val="000000" w:themeColor="text1"/>
          <w:sz w:val="16"/>
          <w:szCs w:val="16"/>
        </w:rPr>
        <w:t>Стейнфорт</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Supermarine</w:t>
      </w:r>
      <w:proofErr w:type="spellEnd"/>
      <w:r w:rsidRPr="007122AB">
        <w:rPr>
          <w:rFonts w:ascii="Times New Roman" w:hAnsi="Times New Roman"/>
          <w:color w:val="000000" w:themeColor="text1"/>
          <w:sz w:val="16"/>
          <w:szCs w:val="16"/>
        </w:rPr>
        <w:t xml:space="preserve"> S.6B серийный номер S1596 побил рекорд скорости 400 миль в час, </w:t>
      </w:r>
      <w:proofErr w:type="spellStart"/>
      <w:r w:rsidRPr="007122AB">
        <w:rPr>
          <w:rFonts w:ascii="Times New Roman" w:hAnsi="Times New Roman"/>
          <w:color w:val="000000" w:themeColor="text1"/>
          <w:sz w:val="16"/>
          <w:szCs w:val="16"/>
        </w:rPr>
        <w:t>лостигнув</w:t>
      </w:r>
      <w:proofErr w:type="spellEnd"/>
      <w:r w:rsidRPr="007122AB">
        <w:rPr>
          <w:rFonts w:ascii="Times New Roman" w:hAnsi="Times New Roman"/>
          <w:color w:val="000000" w:themeColor="text1"/>
          <w:sz w:val="16"/>
          <w:szCs w:val="16"/>
        </w:rPr>
        <w:t xml:space="preserve"> скорости 407,5 миль в час (655,67 км / ч) (20804).</w:t>
      </w:r>
    </w:p>
    <w:p w14:paraId="1CB9E2A0" w14:textId="77777777" w:rsidR="00E20128" w:rsidRPr="007122AB" w:rsidRDefault="00E20128" w:rsidP="007122AB">
      <w:pPr>
        <w:spacing w:after="0" w:line="240" w:lineRule="auto"/>
        <w:jc w:val="both"/>
        <w:rPr>
          <w:rFonts w:ascii="Times New Roman" w:hAnsi="Times New Roman"/>
          <w:color w:val="000000" w:themeColor="text1"/>
          <w:sz w:val="16"/>
          <w:szCs w:val="16"/>
        </w:rPr>
      </w:pPr>
    </w:p>
    <w:p w14:paraId="2237CF52" w14:textId="77777777" w:rsidR="00E20128" w:rsidRPr="007122AB" w:rsidRDefault="00E201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сентября 1931 американский изобретатель Эд Линк получает патент на свое «Комбинированное тренировочное устройство для учеников-авиаторов и развлекательное оборудование». Более известный как Link </w:t>
      </w:r>
      <w:proofErr w:type="spellStart"/>
      <w:r w:rsidRPr="007122AB">
        <w:rPr>
          <w:rFonts w:ascii="Times New Roman" w:hAnsi="Times New Roman"/>
          <w:color w:val="000000" w:themeColor="text1"/>
          <w:sz w:val="16"/>
          <w:szCs w:val="16"/>
        </w:rPr>
        <w:t>Trainer</w:t>
      </w:r>
      <w:proofErr w:type="spellEnd"/>
      <w:r w:rsidRPr="007122AB">
        <w:rPr>
          <w:rFonts w:ascii="Times New Roman" w:hAnsi="Times New Roman"/>
          <w:color w:val="000000" w:themeColor="text1"/>
          <w:sz w:val="16"/>
          <w:szCs w:val="16"/>
        </w:rPr>
        <w:t xml:space="preserve"> , он позволяет пилотам безопасно тренироваться на земле в "слепом" полете по приборам (20804).</w:t>
      </w:r>
    </w:p>
    <w:p w14:paraId="5219434C" w14:textId="77777777" w:rsidR="00E20128" w:rsidRPr="007122AB" w:rsidRDefault="00E20128" w:rsidP="007122AB">
      <w:pPr>
        <w:spacing w:after="0" w:line="240" w:lineRule="auto"/>
        <w:jc w:val="both"/>
        <w:rPr>
          <w:rFonts w:ascii="Times New Roman" w:hAnsi="Times New Roman"/>
          <w:color w:val="000000" w:themeColor="text1"/>
          <w:sz w:val="16"/>
          <w:szCs w:val="16"/>
        </w:rPr>
      </w:pPr>
    </w:p>
    <w:p w14:paraId="2E379187" w14:textId="77777777" w:rsidR="00E20128" w:rsidRPr="007122AB" w:rsidRDefault="00E201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сентября 1931 состоялся первый полет </w:t>
      </w:r>
      <w:proofErr w:type="spellStart"/>
      <w:r w:rsidRPr="007122AB">
        <w:rPr>
          <w:rFonts w:ascii="Times New Roman" w:hAnsi="Times New Roman"/>
          <w:color w:val="000000" w:themeColor="text1"/>
          <w:sz w:val="16"/>
          <w:szCs w:val="16"/>
        </w:rPr>
        <w:t>Marinens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Flyvebaatfabrikk</w:t>
      </w:r>
      <w:proofErr w:type="spellEnd"/>
      <w:r w:rsidRPr="007122AB">
        <w:rPr>
          <w:rFonts w:ascii="Times New Roman" w:hAnsi="Times New Roman"/>
          <w:color w:val="000000" w:themeColor="text1"/>
          <w:sz w:val="16"/>
          <w:szCs w:val="16"/>
        </w:rPr>
        <w:t xml:space="preserve"> MF11 (20804).</w:t>
      </w:r>
    </w:p>
    <w:p w14:paraId="24D6B67F" w14:textId="77777777" w:rsidR="00E20128" w:rsidRPr="007122AB" w:rsidRDefault="00E20128" w:rsidP="007122AB">
      <w:pPr>
        <w:spacing w:after="0" w:line="240" w:lineRule="auto"/>
        <w:jc w:val="both"/>
        <w:rPr>
          <w:rFonts w:ascii="Times New Roman" w:hAnsi="Times New Roman"/>
          <w:color w:val="000000" w:themeColor="text1"/>
          <w:sz w:val="16"/>
          <w:szCs w:val="16"/>
        </w:rPr>
      </w:pPr>
    </w:p>
    <w:p w14:paraId="0746BB8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F9427D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C86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сентября 1931 года пом. начальника НИИ ВВС Азаров и </w:t>
      </w:r>
      <w:proofErr w:type="spellStart"/>
      <w:r w:rsidRPr="007122AB">
        <w:rPr>
          <w:rFonts w:ascii="Times New Roman" w:hAnsi="Times New Roman"/>
          <w:color w:val="000000" w:themeColor="text1"/>
          <w:sz w:val="16"/>
          <w:szCs w:val="16"/>
        </w:rPr>
        <w:t>врид</w:t>
      </w:r>
      <w:proofErr w:type="spellEnd"/>
      <w:r w:rsidRPr="007122AB">
        <w:rPr>
          <w:rFonts w:ascii="Times New Roman" w:hAnsi="Times New Roman"/>
          <w:color w:val="000000" w:themeColor="text1"/>
          <w:sz w:val="16"/>
          <w:szCs w:val="16"/>
        </w:rPr>
        <w:t xml:space="preserve">. начальника мобилизационного отдела Борисов писали письмо начальнику </w:t>
      </w:r>
      <w:proofErr w:type="spellStart"/>
      <w:r w:rsidRPr="007122AB">
        <w:rPr>
          <w:rFonts w:ascii="Times New Roman" w:hAnsi="Times New Roman"/>
          <w:color w:val="000000" w:themeColor="text1"/>
          <w:sz w:val="16"/>
          <w:szCs w:val="16"/>
        </w:rPr>
        <w:t>моботдела</w:t>
      </w:r>
      <w:proofErr w:type="spellEnd"/>
      <w:r w:rsidRPr="007122AB">
        <w:rPr>
          <w:rFonts w:ascii="Times New Roman" w:hAnsi="Times New Roman"/>
          <w:color w:val="000000" w:themeColor="text1"/>
          <w:sz w:val="16"/>
          <w:szCs w:val="16"/>
        </w:rPr>
        <w:t xml:space="preserve"> УВВС.</w:t>
      </w:r>
    </w:p>
    <w:p w14:paraId="6F7B9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применении самолета К-5 как транспортно-военного.</w:t>
      </w:r>
    </w:p>
    <w:p w14:paraId="73E0B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К-5 может быть использован без переделок, как транспортный для перевозки:</w:t>
      </w:r>
    </w:p>
    <w:p w14:paraId="0F858D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Людей - 8 чел.</w:t>
      </w:r>
    </w:p>
    <w:p w14:paraId="1193CC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Снаряжения, продовольствия, литературы - по 800 кг. (3070,1-2).</w:t>
      </w:r>
    </w:p>
    <w:p w14:paraId="6E2ACD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181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сентября 1931 ДВ СССР-Н2 вылетел из Игарки на зимнюю стоянку в Красноярске. За сезон самолет налетал 208 часов, преодолев 36000 км, имел две небольшие аварии: выскочил на песчаный берег во время посадки в </w:t>
      </w:r>
      <w:proofErr w:type="spellStart"/>
      <w:r w:rsidRPr="007122AB">
        <w:rPr>
          <w:rFonts w:ascii="Times New Roman" w:hAnsi="Times New Roman"/>
          <w:color w:val="000000" w:themeColor="text1"/>
          <w:sz w:val="16"/>
          <w:szCs w:val="16"/>
        </w:rPr>
        <w:t>Усть</w:t>
      </w:r>
      <w:proofErr w:type="spellEnd"/>
      <w:r w:rsidRPr="007122AB">
        <w:rPr>
          <w:rFonts w:ascii="Times New Roman" w:hAnsi="Times New Roman"/>
          <w:color w:val="000000" w:themeColor="text1"/>
          <w:sz w:val="16"/>
          <w:szCs w:val="16"/>
        </w:rPr>
        <w:t xml:space="preserve">-Порте и подмял две стойки моторной гондолы при старте у </w:t>
      </w:r>
      <w:proofErr w:type="spellStart"/>
      <w:r w:rsidRPr="007122AB">
        <w:rPr>
          <w:rFonts w:ascii="Times New Roman" w:hAnsi="Times New Roman"/>
          <w:color w:val="000000" w:themeColor="text1"/>
          <w:sz w:val="16"/>
          <w:szCs w:val="16"/>
        </w:rPr>
        <w:t>Дерябино</w:t>
      </w:r>
      <w:proofErr w:type="spellEnd"/>
      <w:r w:rsidRPr="007122AB">
        <w:rPr>
          <w:rFonts w:ascii="Times New Roman" w:hAnsi="Times New Roman"/>
          <w:color w:val="000000" w:themeColor="text1"/>
          <w:sz w:val="16"/>
          <w:szCs w:val="16"/>
        </w:rPr>
        <w:t>.</w:t>
      </w:r>
    </w:p>
    <w:p w14:paraId="65BFA8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C283F9" w14:textId="77777777" w:rsidR="00DA639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54D9251" w14:textId="77777777" w:rsidR="00DA6399" w:rsidRPr="007122AB" w:rsidRDefault="00DA639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F3035D" w14:textId="77777777" w:rsidR="00DA6399" w:rsidRPr="007122AB" w:rsidRDefault="00DA639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30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211с о порядке использования транспортных средств в мобилизационный период (ГА РФ. Ф. Р?8418. Оп. 28. Д. 14а. Л. 68?70) (12415).</w:t>
      </w:r>
    </w:p>
    <w:p w14:paraId="34D5141A" w14:textId="77777777" w:rsidR="00DA6399" w:rsidRPr="007122AB" w:rsidRDefault="00DA639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СТО СССР № 204сс о разграничении между ведомствами норм железнодорожных и водных перевозок во время войны (ГА РФ. Ф. Р?8418. Оп. 28. Д. 1а. Л. 59?60) (12415).</w:t>
      </w:r>
    </w:p>
    <w:p w14:paraId="6D70F319" w14:textId="77777777" w:rsidR="00DA6399" w:rsidRPr="007122AB" w:rsidRDefault="00DA6399" w:rsidP="007122AB">
      <w:pPr>
        <w:spacing w:after="0" w:line="240" w:lineRule="auto"/>
        <w:jc w:val="both"/>
        <w:rPr>
          <w:rFonts w:ascii="Times New Roman" w:hAnsi="Times New Roman"/>
          <w:color w:val="000000" w:themeColor="text1"/>
          <w:sz w:val="16"/>
          <w:szCs w:val="16"/>
          <w:u w:color="002060"/>
        </w:rPr>
      </w:pPr>
    </w:p>
    <w:p w14:paraId="212AF521" w14:textId="77777777" w:rsidR="00DA6399" w:rsidRPr="007122AB" w:rsidRDefault="00DA6399"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30 сентября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66. Решения ПБ от 30 сентября 1931 г. 20. О финансировании военной промышленности (Мартинович, Ломов, </w:t>
      </w:r>
      <w:proofErr w:type="spellStart"/>
      <w:r w:rsidRPr="007122AB">
        <w:rPr>
          <w:rFonts w:ascii="Times New Roman" w:hAnsi="Times New Roman"/>
          <w:color w:val="000000" w:themeColor="text1"/>
          <w:sz w:val="16"/>
          <w:szCs w:val="16"/>
          <w:u w:color="002060"/>
        </w:rPr>
        <w:t>Павлуновский</w:t>
      </w:r>
      <w:proofErr w:type="spellEnd"/>
      <w:r w:rsidRPr="007122AB">
        <w:rPr>
          <w:rFonts w:ascii="Times New Roman" w:hAnsi="Times New Roman"/>
          <w:color w:val="000000" w:themeColor="text1"/>
          <w:sz w:val="16"/>
          <w:szCs w:val="16"/>
          <w:u w:color="002060"/>
        </w:rPr>
        <w:t xml:space="preserve">, </w:t>
      </w:r>
      <w:proofErr w:type="spellStart"/>
      <w:r w:rsidRPr="007122AB">
        <w:rPr>
          <w:rFonts w:ascii="Times New Roman" w:hAnsi="Times New Roman"/>
          <w:color w:val="000000" w:themeColor="text1"/>
          <w:sz w:val="16"/>
          <w:szCs w:val="16"/>
          <w:u w:color="002060"/>
        </w:rPr>
        <w:t>Зангвиль</w:t>
      </w:r>
      <w:proofErr w:type="spellEnd"/>
      <w:r w:rsidRPr="007122AB">
        <w:rPr>
          <w:rFonts w:ascii="Times New Roman" w:hAnsi="Times New Roman"/>
          <w:color w:val="000000" w:themeColor="text1"/>
          <w:sz w:val="16"/>
          <w:szCs w:val="16"/>
          <w:u w:color="002060"/>
        </w:rPr>
        <w:t>). — ОП. Постановили: ассигновать дополнительно на капитальное строительство военной промышленности 37 млн. руб. с тем, что 25 млн. руб. из этой суммы покрываются из средств, уже отпущенных ВСНХ в IV квартале на капитальное строительство, и 12 млн. руб. по бюджету. (Политбюро... Т. 2. С. 224; РГАСПИ. Ф. 17. Оп. 162. Д. 11. Л. 19) (12416).</w:t>
      </w:r>
    </w:p>
    <w:p w14:paraId="080AADF6" w14:textId="77777777" w:rsidR="00DA6399" w:rsidRPr="007122AB" w:rsidRDefault="00DA6399" w:rsidP="007122AB">
      <w:pPr>
        <w:spacing w:after="0" w:line="240" w:lineRule="auto"/>
        <w:jc w:val="both"/>
        <w:rPr>
          <w:rFonts w:ascii="Times New Roman" w:hAnsi="Times New Roman"/>
          <w:color w:val="000000" w:themeColor="text1"/>
          <w:sz w:val="16"/>
          <w:szCs w:val="16"/>
          <w:u w:color="002060"/>
        </w:rPr>
      </w:pPr>
    </w:p>
    <w:p w14:paraId="76758035" w14:textId="77777777" w:rsidR="00E20128" w:rsidRPr="007122AB" w:rsidRDefault="00E20128"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4C474AE" w14:textId="77777777" w:rsidR="00E20128" w:rsidRPr="007122AB" w:rsidRDefault="00E2012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73B173" w14:textId="77777777" w:rsidR="00E20128" w:rsidRPr="007122AB" w:rsidRDefault="00E201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сентября 1931 года "Огонек" выпустил спецномер, посвященный постановлению ЦК ВКП (б) "О мерах улучшения общественного питания".</w:t>
      </w:r>
    </w:p>
    <w:p w14:paraId="006B7FD8" w14:textId="77777777" w:rsidR="00E20128" w:rsidRPr="007122AB" w:rsidRDefault="00E201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"Дать трудящимся вкусный и здоровый обед в общественных столовых!" — под таким заголовком на обложке красовалась белая скатерть с полным набором блюд (первое, второе, десерт), столовых приборов и горчицей в соуснике.</w:t>
      </w:r>
    </w:p>
    <w:p w14:paraId="371426A2" w14:textId="77777777" w:rsidR="00E20128" w:rsidRPr="007122AB" w:rsidRDefault="00E201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Снимки образцовых заводских "цехов питания" сопровождали "Десять правил для рабочей столовой". Среди них: "Даже хорошая пища вкусна только за чистым столом", "Заменим работу "на глазок" точным соблюдением норм и раскладок", "Питание трудящихся должно строиться на научное основе", "</w:t>
      </w:r>
      <w:proofErr w:type="spellStart"/>
      <w:r w:rsidRPr="007122AB">
        <w:rPr>
          <w:rFonts w:ascii="Times New Roman" w:hAnsi="Times New Roman"/>
          <w:color w:val="000000" w:themeColor="text1"/>
          <w:sz w:val="16"/>
          <w:szCs w:val="16"/>
        </w:rPr>
        <w:t>Диэтстоловая</w:t>
      </w:r>
      <w:proofErr w:type="spellEnd"/>
      <w:r w:rsidRPr="007122AB">
        <w:rPr>
          <w:rFonts w:ascii="Times New Roman" w:hAnsi="Times New Roman"/>
          <w:color w:val="000000" w:themeColor="text1"/>
          <w:sz w:val="16"/>
          <w:szCs w:val="16"/>
        </w:rPr>
        <w:t xml:space="preserve"> на производстве оздоровляет труд", "Правильным питанием детей создадим бодрую смену!" (21166).</w:t>
      </w:r>
    </w:p>
    <w:p w14:paraId="1B1AF24A" w14:textId="77777777" w:rsidR="00E20128" w:rsidRPr="007122AB" w:rsidRDefault="00E20128" w:rsidP="007122AB">
      <w:pPr>
        <w:spacing w:after="0" w:line="240" w:lineRule="auto"/>
        <w:jc w:val="both"/>
        <w:rPr>
          <w:rFonts w:ascii="Times New Roman" w:hAnsi="Times New Roman"/>
          <w:color w:val="000000" w:themeColor="text1"/>
          <w:sz w:val="16"/>
          <w:szCs w:val="16"/>
        </w:rPr>
      </w:pPr>
    </w:p>
    <w:p w14:paraId="1CC067F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C61786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53C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сентября 1931 было подготовлено письмо Нач. </w:t>
      </w:r>
      <w:proofErr w:type="spellStart"/>
      <w:r w:rsidRPr="007122AB">
        <w:rPr>
          <w:rFonts w:ascii="Times New Roman" w:hAnsi="Times New Roman"/>
          <w:color w:val="000000" w:themeColor="text1"/>
          <w:sz w:val="16"/>
          <w:szCs w:val="16"/>
        </w:rPr>
        <w:t>Авиастроя</w:t>
      </w:r>
      <w:proofErr w:type="spellEnd"/>
      <w:r w:rsidRPr="007122AB">
        <w:rPr>
          <w:rFonts w:ascii="Times New Roman" w:hAnsi="Times New Roman"/>
          <w:color w:val="000000" w:themeColor="text1"/>
          <w:sz w:val="16"/>
          <w:szCs w:val="16"/>
        </w:rPr>
        <w:t xml:space="preserve"> № 375/104</w:t>
      </w:r>
    </w:p>
    <w:p w14:paraId="433437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Сообщаю Вам утвержденный Правительством комиссией т. Куйбышева темпы развития мощностей авиазаводов по годам.</w:t>
      </w:r>
    </w:p>
    <w:p w14:paraId="454B9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7122AB" w14:paraId="581135E1" w14:textId="77777777">
        <w:tc>
          <w:tcPr>
            <w:tcW w:w="534" w:type="dxa"/>
            <w:tcBorders>
              <w:top w:val="single" w:sz="12" w:space="0" w:color="auto"/>
            </w:tcBorders>
          </w:tcPr>
          <w:p w14:paraId="000C0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850" w:type="dxa"/>
            <w:tcBorders>
              <w:top w:val="single" w:sz="12" w:space="0" w:color="auto"/>
            </w:tcBorders>
          </w:tcPr>
          <w:p w14:paraId="68CE1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45DAA1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w:t>
            </w:r>
          </w:p>
        </w:tc>
        <w:tc>
          <w:tcPr>
            <w:tcW w:w="1977" w:type="dxa"/>
            <w:tcBorders>
              <w:top w:val="single" w:sz="12" w:space="0" w:color="auto"/>
            </w:tcBorders>
          </w:tcPr>
          <w:p w14:paraId="6F613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7EC673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1/1-32</w:t>
            </w:r>
          </w:p>
        </w:tc>
        <w:tc>
          <w:tcPr>
            <w:tcW w:w="1977" w:type="dxa"/>
            <w:tcBorders>
              <w:top w:val="single" w:sz="12" w:space="0" w:color="auto"/>
            </w:tcBorders>
          </w:tcPr>
          <w:p w14:paraId="1E525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1/1-33</w:t>
            </w:r>
          </w:p>
        </w:tc>
        <w:tc>
          <w:tcPr>
            <w:tcW w:w="1977" w:type="dxa"/>
            <w:tcBorders>
              <w:top w:val="single" w:sz="12" w:space="0" w:color="auto"/>
            </w:tcBorders>
          </w:tcPr>
          <w:p w14:paraId="57585B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1/1-34</w:t>
            </w:r>
          </w:p>
        </w:tc>
        <w:tc>
          <w:tcPr>
            <w:tcW w:w="1977" w:type="dxa"/>
            <w:tcBorders>
              <w:top w:val="single" w:sz="12" w:space="0" w:color="auto"/>
            </w:tcBorders>
          </w:tcPr>
          <w:p w14:paraId="73BA9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1/1\-35</w:t>
            </w:r>
          </w:p>
        </w:tc>
      </w:tr>
      <w:tr w:rsidR="001002C3" w:rsidRPr="007122AB" w14:paraId="42E10D19" w14:textId="77777777">
        <w:tc>
          <w:tcPr>
            <w:tcW w:w="534" w:type="dxa"/>
          </w:tcPr>
          <w:p w14:paraId="274CE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850" w:type="dxa"/>
          </w:tcPr>
          <w:p w14:paraId="4D5ED9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1977" w:type="dxa"/>
          </w:tcPr>
          <w:p w14:paraId="4ACE3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Истребители</w:t>
            </w:r>
          </w:p>
        </w:tc>
        <w:tc>
          <w:tcPr>
            <w:tcW w:w="1977" w:type="dxa"/>
          </w:tcPr>
          <w:p w14:paraId="6378E3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977" w:type="dxa"/>
          </w:tcPr>
          <w:p w14:paraId="2FBD0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02844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284D9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r>
      <w:tr w:rsidR="001002C3" w:rsidRPr="007122AB" w14:paraId="14EC8905" w14:textId="77777777">
        <w:tc>
          <w:tcPr>
            <w:tcW w:w="534" w:type="dxa"/>
          </w:tcPr>
          <w:p w14:paraId="4EC04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850" w:type="dxa"/>
          </w:tcPr>
          <w:p w14:paraId="422507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977" w:type="dxa"/>
          </w:tcPr>
          <w:p w14:paraId="218FC6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977" w:type="dxa"/>
          </w:tcPr>
          <w:p w14:paraId="23B53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977" w:type="dxa"/>
          </w:tcPr>
          <w:p w14:paraId="79A750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977" w:type="dxa"/>
          </w:tcPr>
          <w:p w14:paraId="22D16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977" w:type="dxa"/>
          </w:tcPr>
          <w:p w14:paraId="570C7B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r>
      <w:tr w:rsidR="001002C3" w:rsidRPr="007122AB" w14:paraId="5DE75BA5" w14:textId="77777777">
        <w:tc>
          <w:tcPr>
            <w:tcW w:w="534" w:type="dxa"/>
          </w:tcPr>
          <w:p w14:paraId="51515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850" w:type="dxa"/>
          </w:tcPr>
          <w:p w14:paraId="37D77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w:t>
            </w:r>
          </w:p>
        </w:tc>
        <w:tc>
          <w:tcPr>
            <w:tcW w:w="1977" w:type="dxa"/>
          </w:tcPr>
          <w:p w14:paraId="6062E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977" w:type="dxa"/>
          </w:tcPr>
          <w:p w14:paraId="4CE49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1150</w:t>
            </w:r>
          </w:p>
        </w:tc>
        <w:tc>
          <w:tcPr>
            <w:tcW w:w="1977" w:type="dxa"/>
          </w:tcPr>
          <w:p w14:paraId="780FE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14AD9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977" w:type="dxa"/>
          </w:tcPr>
          <w:p w14:paraId="63D42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r>
      <w:tr w:rsidR="001002C3" w:rsidRPr="007122AB" w14:paraId="693DD762" w14:textId="77777777">
        <w:tc>
          <w:tcPr>
            <w:tcW w:w="534" w:type="dxa"/>
          </w:tcPr>
          <w:p w14:paraId="0FB3A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850" w:type="dxa"/>
          </w:tcPr>
          <w:p w14:paraId="792DE7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ХАЗ</w:t>
            </w:r>
          </w:p>
        </w:tc>
        <w:tc>
          <w:tcPr>
            <w:tcW w:w="1977" w:type="dxa"/>
          </w:tcPr>
          <w:p w14:paraId="711E4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Разведчики</w:t>
            </w:r>
          </w:p>
        </w:tc>
        <w:tc>
          <w:tcPr>
            <w:tcW w:w="1977" w:type="dxa"/>
          </w:tcPr>
          <w:p w14:paraId="30F384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0927AC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520B06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0BFFA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6720021B" w14:textId="77777777">
        <w:tc>
          <w:tcPr>
            <w:tcW w:w="534" w:type="dxa"/>
          </w:tcPr>
          <w:p w14:paraId="047CA7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850" w:type="dxa"/>
          </w:tcPr>
          <w:p w14:paraId="3D3BC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w:t>
            </w:r>
          </w:p>
        </w:tc>
        <w:tc>
          <w:tcPr>
            <w:tcW w:w="1977" w:type="dxa"/>
          </w:tcPr>
          <w:p w14:paraId="3A824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Штурмовики</w:t>
            </w:r>
          </w:p>
        </w:tc>
        <w:tc>
          <w:tcPr>
            <w:tcW w:w="1977" w:type="dxa"/>
          </w:tcPr>
          <w:p w14:paraId="33558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72850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74E4A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03E0E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r>
      <w:tr w:rsidR="001002C3" w:rsidRPr="007122AB" w14:paraId="57BF4BB9" w14:textId="77777777">
        <w:tc>
          <w:tcPr>
            <w:tcW w:w="534" w:type="dxa"/>
          </w:tcPr>
          <w:p w14:paraId="51FDB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850" w:type="dxa"/>
          </w:tcPr>
          <w:p w14:paraId="0DDEE7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c>
          <w:tcPr>
            <w:tcW w:w="1977" w:type="dxa"/>
          </w:tcPr>
          <w:p w14:paraId="3B534B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977" w:type="dxa"/>
          </w:tcPr>
          <w:p w14:paraId="05804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246A17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150971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977" w:type="dxa"/>
          </w:tcPr>
          <w:p w14:paraId="2652F6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E9476DB" w14:textId="77777777">
        <w:tc>
          <w:tcPr>
            <w:tcW w:w="534" w:type="dxa"/>
          </w:tcPr>
          <w:p w14:paraId="60C8E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2E65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0CF8C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Авиетки</w:t>
            </w:r>
          </w:p>
        </w:tc>
        <w:tc>
          <w:tcPr>
            <w:tcW w:w="1977" w:type="dxa"/>
          </w:tcPr>
          <w:p w14:paraId="3EAE5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420B3E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445702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58F9B4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r>
      <w:tr w:rsidR="001002C3" w:rsidRPr="007122AB" w14:paraId="1C4E42A2" w14:textId="77777777">
        <w:tc>
          <w:tcPr>
            <w:tcW w:w="534" w:type="dxa"/>
          </w:tcPr>
          <w:p w14:paraId="20A0A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850" w:type="dxa"/>
          </w:tcPr>
          <w:p w14:paraId="4EA64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02</w:t>
            </w:r>
          </w:p>
        </w:tc>
        <w:tc>
          <w:tcPr>
            <w:tcW w:w="1977" w:type="dxa"/>
          </w:tcPr>
          <w:p w14:paraId="5C166A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w:t>
            </w:r>
          </w:p>
        </w:tc>
        <w:tc>
          <w:tcPr>
            <w:tcW w:w="1977" w:type="dxa"/>
          </w:tcPr>
          <w:p w14:paraId="62F2B6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4531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533B6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977" w:type="dxa"/>
          </w:tcPr>
          <w:p w14:paraId="2A305C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67129ED7" w14:textId="77777777">
        <w:tc>
          <w:tcPr>
            <w:tcW w:w="534" w:type="dxa"/>
          </w:tcPr>
          <w:p w14:paraId="015F1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2E3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036F4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Авиетки</w:t>
            </w:r>
          </w:p>
        </w:tc>
        <w:tc>
          <w:tcPr>
            <w:tcW w:w="1977" w:type="dxa"/>
          </w:tcPr>
          <w:p w14:paraId="601B8B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BC6A2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E42C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977" w:type="dxa"/>
          </w:tcPr>
          <w:p w14:paraId="53650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754BDADF" w14:textId="77777777">
        <w:tc>
          <w:tcPr>
            <w:tcW w:w="534" w:type="dxa"/>
          </w:tcPr>
          <w:p w14:paraId="506479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850" w:type="dxa"/>
          </w:tcPr>
          <w:p w14:paraId="398E0E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03</w:t>
            </w:r>
          </w:p>
        </w:tc>
        <w:tc>
          <w:tcPr>
            <w:tcW w:w="1977" w:type="dxa"/>
          </w:tcPr>
          <w:p w14:paraId="19C5D5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Морские</w:t>
            </w:r>
          </w:p>
        </w:tc>
        <w:tc>
          <w:tcPr>
            <w:tcW w:w="1977" w:type="dxa"/>
          </w:tcPr>
          <w:p w14:paraId="55AC4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4D2BBD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22216C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977" w:type="dxa"/>
          </w:tcPr>
          <w:p w14:paraId="7746E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r>
      <w:tr w:rsidR="001002C3" w:rsidRPr="007122AB" w14:paraId="4A7E0C83" w14:textId="77777777">
        <w:tc>
          <w:tcPr>
            <w:tcW w:w="534" w:type="dxa"/>
          </w:tcPr>
          <w:p w14:paraId="7A188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850" w:type="dxa"/>
          </w:tcPr>
          <w:p w14:paraId="1AC4B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977" w:type="dxa"/>
          </w:tcPr>
          <w:p w14:paraId="078F28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Тяжелые</w:t>
            </w:r>
          </w:p>
        </w:tc>
        <w:tc>
          <w:tcPr>
            <w:tcW w:w="1977" w:type="dxa"/>
          </w:tcPr>
          <w:p w14:paraId="1A222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w:t>
            </w:r>
          </w:p>
        </w:tc>
        <w:tc>
          <w:tcPr>
            <w:tcW w:w="1977" w:type="dxa"/>
          </w:tcPr>
          <w:p w14:paraId="2A60B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5AD57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4A160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0D5A7DF7" w14:textId="77777777">
        <w:tc>
          <w:tcPr>
            <w:tcW w:w="534" w:type="dxa"/>
          </w:tcPr>
          <w:p w14:paraId="60B2CF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850" w:type="dxa"/>
          </w:tcPr>
          <w:p w14:paraId="46C336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1977" w:type="dxa"/>
          </w:tcPr>
          <w:p w14:paraId="4A1C6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Тяжелые</w:t>
            </w:r>
          </w:p>
        </w:tc>
        <w:tc>
          <w:tcPr>
            <w:tcW w:w="1977" w:type="dxa"/>
          </w:tcPr>
          <w:p w14:paraId="3ED8EA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2A6E6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77F56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1D8EE1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27E014B5" w14:textId="77777777">
        <w:tc>
          <w:tcPr>
            <w:tcW w:w="534" w:type="dxa"/>
          </w:tcPr>
          <w:p w14:paraId="639F3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850" w:type="dxa"/>
          </w:tcPr>
          <w:p w14:paraId="6D6962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w:t>
            </w:r>
          </w:p>
        </w:tc>
        <w:tc>
          <w:tcPr>
            <w:tcW w:w="1977" w:type="dxa"/>
          </w:tcPr>
          <w:p w14:paraId="7F072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Тяжелые</w:t>
            </w:r>
          </w:p>
        </w:tc>
        <w:tc>
          <w:tcPr>
            <w:tcW w:w="1977" w:type="dxa"/>
          </w:tcPr>
          <w:p w14:paraId="4FC2A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7982B9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7071F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977" w:type="dxa"/>
          </w:tcPr>
          <w:p w14:paraId="575D0D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r>
      <w:tr w:rsidR="001002C3" w:rsidRPr="007122AB" w14:paraId="25A61A40" w14:textId="77777777">
        <w:tc>
          <w:tcPr>
            <w:tcW w:w="534" w:type="dxa"/>
          </w:tcPr>
          <w:p w14:paraId="5A872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850" w:type="dxa"/>
          </w:tcPr>
          <w:p w14:paraId="0D08B3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05</w:t>
            </w:r>
          </w:p>
        </w:tc>
        <w:tc>
          <w:tcPr>
            <w:tcW w:w="1977" w:type="dxa"/>
          </w:tcPr>
          <w:p w14:paraId="21D31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Специальные</w:t>
            </w:r>
          </w:p>
        </w:tc>
        <w:tc>
          <w:tcPr>
            <w:tcW w:w="1977" w:type="dxa"/>
          </w:tcPr>
          <w:p w14:paraId="3B5882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4D846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977" w:type="dxa"/>
          </w:tcPr>
          <w:p w14:paraId="6A83C4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5C14D1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6CA09C41" w14:textId="77777777">
        <w:tc>
          <w:tcPr>
            <w:tcW w:w="534" w:type="dxa"/>
          </w:tcPr>
          <w:p w14:paraId="7049D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850" w:type="dxa"/>
          </w:tcPr>
          <w:p w14:paraId="5C468A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рем. заводах</w:t>
            </w:r>
          </w:p>
        </w:tc>
        <w:tc>
          <w:tcPr>
            <w:tcW w:w="1977" w:type="dxa"/>
          </w:tcPr>
          <w:p w14:paraId="19340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Авиетки</w:t>
            </w:r>
          </w:p>
        </w:tc>
        <w:tc>
          <w:tcPr>
            <w:tcW w:w="1977" w:type="dxa"/>
          </w:tcPr>
          <w:p w14:paraId="7BD0AB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0F41A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6073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3EF233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3641CDCE" w14:textId="77777777">
        <w:tc>
          <w:tcPr>
            <w:tcW w:w="534" w:type="dxa"/>
            <w:tcBorders>
              <w:bottom w:val="single" w:sz="12" w:space="0" w:color="auto"/>
            </w:tcBorders>
          </w:tcPr>
          <w:p w14:paraId="689761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12957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0AE940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977" w:type="dxa"/>
            <w:tcBorders>
              <w:bottom w:val="single" w:sz="12" w:space="0" w:color="auto"/>
            </w:tcBorders>
          </w:tcPr>
          <w:p w14:paraId="315083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7490</w:t>
            </w:r>
          </w:p>
        </w:tc>
        <w:tc>
          <w:tcPr>
            <w:tcW w:w="1977" w:type="dxa"/>
            <w:tcBorders>
              <w:bottom w:val="single" w:sz="12" w:space="0" w:color="auto"/>
            </w:tcBorders>
          </w:tcPr>
          <w:p w14:paraId="78C51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12500</w:t>
            </w:r>
          </w:p>
        </w:tc>
        <w:tc>
          <w:tcPr>
            <w:tcW w:w="1977" w:type="dxa"/>
            <w:tcBorders>
              <w:bottom w:val="single" w:sz="12" w:space="0" w:color="auto"/>
            </w:tcBorders>
          </w:tcPr>
          <w:p w14:paraId="3B9CA5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23800</w:t>
            </w:r>
          </w:p>
        </w:tc>
        <w:tc>
          <w:tcPr>
            <w:tcW w:w="1977" w:type="dxa"/>
            <w:tcBorders>
              <w:bottom w:val="single" w:sz="12" w:space="0" w:color="auto"/>
            </w:tcBorders>
          </w:tcPr>
          <w:p w14:paraId="0374E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34300</w:t>
            </w:r>
          </w:p>
        </w:tc>
      </w:tr>
    </w:tbl>
    <w:p w14:paraId="15812B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7122AB" w14:paraId="70B586E0" w14:textId="77777777">
        <w:tc>
          <w:tcPr>
            <w:tcW w:w="534" w:type="dxa"/>
            <w:tcBorders>
              <w:top w:val="single" w:sz="12" w:space="0" w:color="auto"/>
            </w:tcBorders>
          </w:tcPr>
          <w:p w14:paraId="177B5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850" w:type="dxa"/>
            <w:tcBorders>
              <w:top w:val="single" w:sz="12" w:space="0" w:color="auto"/>
            </w:tcBorders>
          </w:tcPr>
          <w:p w14:paraId="719003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CD8E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w:t>
            </w:r>
          </w:p>
        </w:tc>
        <w:tc>
          <w:tcPr>
            <w:tcW w:w="1977" w:type="dxa"/>
            <w:tcBorders>
              <w:top w:val="single" w:sz="12" w:space="0" w:color="auto"/>
            </w:tcBorders>
          </w:tcPr>
          <w:p w14:paraId="68E8D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47E55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1/1-32</w:t>
            </w:r>
          </w:p>
        </w:tc>
        <w:tc>
          <w:tcPr>
            <w:tcW w:w="1977" w:type="dxa"/>
            <w:tcBorders>
              <w:top w:val="single" w:sz="12" w:space="0" w:color="auto"/>
            </w:tcBorders>
          </w:tcPr>
          <w:p w14:paraId="44E8B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1/1-33</w:t>
            </w:r>
          </w:p>
        </w:tc>
        <w:tc>
          <w:tcPr>
            <w:tcW w:w="1977" w:type="dxa"/>
            <w:tcBorders>
              <w:top w:val="single" w:sz="12" w:space="0" w:color="auto"/>
            </w:tcBorders>
          </w:tcPr>
          <w:p w14:paraId="2F2F9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1/1-34</w:t>
            </w:r>
          </w:p>
        </w:tc>
        <w:tc>
          <w:tcPr>
            <w:tcW w:w="1977" w:type="dxa"/>
            <w:tcBorders>
              <w:top w:val="single" w:sz="12" w:space="0" w:color="auto"/>
            </w:tcBorders>
          </w:tcPr>
          <w:p w14:paraId="4F4DA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1/1\-35</w:t>
            </w:r>
          </w:p>
        </w:tc>
      </w:tr>
      <w:tr w:rsidR="001002C3" w:rsidRPr="007122AB" w14:paraId="2BB74D33" w14:textId="77777777">
        <w:tc>
          <w:tcPr>
            <w:tcW w:w="534" w:type="dxa"/>
          </w:tcPr>
          <w:p w14:paraId="7F044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850" w:type="dxa"/>
          </w:tcPr>
          <w:p w14:paraId="61A31B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w:t>
            </w:r>
          </w:p>
        </w:tc>
        <w:tc>
          <w:tcPr>
            <w:tcW w:w="1977" w:type="dxa"/>
          </w:tcPr>
          <w:p w14:paraId="4963F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Водяного охлаждения</w:t>
            </w:r>
          </w:p>
        </w:tc>
        <w:tc>
          <w:tcPr>
            <w:tcW w:w="1977" w:type="dxa"/>
          </w:tcPr>
          <w:p w14:paraId="1A4C4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2700</w:t>
            </w:r>
          </w:p>
        </w:tc>
        <w:tc>
          <w:tcPr>
            <w:tcW w:w="1977" w:type="dxa"/>
          </w:tcPr>
          <w:p w14:paraId="7C60E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2D12C5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c>
          <w:tcPr>
            <w:tcW w:w="1977" w:type="dxa"/>
          </w:tcPr>
          <w:p w14:paraId="443120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r>
      <w:tr w:rsidR="001002C3" w:rsidRPr="007122AB" w14:paraId="613A3DCC" w14:textId="77777777">
        <w:tc>
          <w:tcPr>
            <w:tcW w:w="534" w:type="dxa"/>
          </w:tcPr>
          <w:p w14:paraId="32195A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850" w:type="dxa"/>
          </w:tcPr>
          <w:p w14:paraId="11AF9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w:t>
            </w:r>
          </w:p>
        </w:tc>
        <w:tc>
          <w:tcPr>
            <w:tcW w:w="1977" w:type="dxa"/>
          </w:tcPr>
          <w:p w14:paraId="17EA0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Водяного охлаждения</w:t>
            </w:r>
          </w:p>
        </w:tc>
        <w:tc>
          <w:tcPr>
            <w:tcW w:w="1977" w:type="dxa"/>
          </w:tcPr>
          <w:p w14:paraId="07571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977" w:type="dxa"/>
          </w:tcPr>
          <w:p w14:paraId="3260D8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484B9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17D85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1DB9C616" w14:textId="77777777">
        <w:tc>
          <w:tcPr>
            <w:tcW w:w="534" w:type="dxa"/>
          </w:tcPr>
          <w:p w14:paraId="1261A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850" w:type="dxa"/>
          </w:tcPr>
          <w:p w14:paraId="478D1E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w:t>
            </w:r>
          </w:p>
        </w:tc>
        <w:tc>
          <w:tcPr>
            <w:tcW w:w="1977" w:type="dxa"/>
          </w:tcPr>
          <w:p w14:paraId="0BC746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Водяного охлаждения</w:t>
            </w:r>
          </w:p>
        </w:tc>
        <w:tc>
          <w:tcPr>
            <w:tcW w:w="1977" w:type="dxa"/>
          </w:tcPr>
          <w:p w14:paraId="76D611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0D691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3E7C7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977" w:type="dxa"/>
          </w:tcPr>
          <w:p w14:paraId="3DDE8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1F623EDB" w14:textId="77777777">
        <w:tc>
          <w:tcPr>
            <w:tcW w:w="534" w:type="dxa"/>
          </w:tcPr>
          <w:p w14:paraId="7AF0F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850" w:type="dxa"/>
          </w:tcPr>
          <w:p w14:paraId="097973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w:t>
            </w:r>
          </w:p>
        </w:tc>
        <w:tc>
          <w:tcPr>
            <w:tcW w:w="1977" w:type="dxa"/>
          </w:tcPr>
          <w:p w14:paraId="134766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Воздушного охлаждения</w:t>
            </w:r>
          </w:p>
        </w:tc>
        <w:tc>
          <w:tcPr>
            <w:tcW w:w="1977" w:type="dxa"/>
          </w:tcPr>
          <w:p w14:paraId="35248C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977" w:type="dxa"/>
          </w:tcPr>
          <w:p w14:paraId="56338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977" w:type="dxa"/>
          </w:tcPr>
          <w:p w14:paraId="1260A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977" w:type="dxa"/>
          </w:tcPr>
          <w:p w14:paraId="212EE7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r>
      <w:tr w:rsidR="001002C3" w:rsidRPr="007122AB" w14:paraId="54BE0393" w14:textId="77777777">
        <w:tc>
          <w:tcPr>
            <w:tcW w:w="534" w:type="dxa"/>
          </w:tcPr>
          <w:p w14:paraId="171211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850" w:type="dxa"/>
          </w:tcPr>
          <w:p w14:paraId="2B2F9F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977" w:type="dxa"/>
          </w:tcPr>
          <w:p w14:paraId="5CF69A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Воздушного охлаждения</w:t>
            </w:r>
          </w:p>
        </w:tc>
        <w:tc>
          <w:tcPr>
            <w:tcW w:w="1977" w:type="dxa"/>
          </w:tcPr>
          <w:p w14:paraId="7B9BC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22E69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977" w:type="dxa"/>
          </w:tcPr>
          <w:p w14:paraId="03D6B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977" w:type="dxa"/>
          </w:tcPr>
          <w:p w14:paraId="600C5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r>
      <w:tr w:rsidR="001002C3" w:rsidRPr="007122AB" w14:paraId="42326D1D" w14:textId="77777777">
        <w:tc>
          <w:tcPr>
            <w:tcW w:w="534" w:type="dxa"/>
          </w:tcPr>
          <w:p w14:paraId="189C04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850" w:type="dxa"/>
          </w:tcPr>
          <w:p w14:paraId="345DF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030</w:t>
            </w:r>
          </w:p>
        </w:tc>
        <w:tc>
          <w:tcPr>
            <w:tcW w:w="1977" w:type="dxa"/>
          </w:tcPr>
          <w:p w14:paraId="151AD3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Воздушного охлаждения</w:t>
            </w:r>
          </w:p>
        </w:tc>
        <w:tc>
          <w:tcPr>
            <w:tcW w:w="1977" w:type="dxa"/>
          </w:tcPr>
          <w:p w14:paraId="4141F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1A725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977" w:type="dxa"/>
          </w:tcPr>
          <w:p w14:paraId="30826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977" w:type="dxa"/>
          </w:tcPr>
          <w:p w14:paraId="15037F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0BF7D287" w14:textId="77777777">
        <w:tc>
          <w:tcPr>
            <w:tcW w:w="534" w:type="dxa"/>
          </w:tcPr>
          <w:p w14:paraId="2390B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850" w:type="dxa"/>
          </w:tcPr>
          <w:p w14:paraId="0210F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040</w:t>
            </w:r>
          </w:p>
        </w:tc>
        <w:tc>
          <w:tcPr>
            <w:tcW w:w="1977" w:type="dxa"/>
          </w:tcPr>
          <w:p w14:paraId="5F59F0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Маломощные</w:t>
            </w:r>
          </w:p>
        </w:tc>
        <w:tc>
          <w:tcPr>
            <w:tcW w:w="1977" w:type="dxa"/>
          </w:tcPr>
          <w:p w14:paraId="1862D2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22E4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3CAA7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c>
          <w:tcPr>
            <w:tcW w:w="1977" w:type="dxa"/>
          </w:tcPr>
          <w:p w14:paraId="70807A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r w:rsidR="001002C3" w:rsidRPr="007122AB" w14:paraId="4C035DC7" w14:textId="77777777">
        <w:tc>
          <w:tcPr>
            <w:tcW w:w="534" w:type="dxa"/>
          </w:tcPr>
          <w:p w14:paraId="3D543A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850" w:type="dxa"/>
          </w:tcPr>
          <w:p w14:paraId="63429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ФЗУ и др.</w:t>
            </w:r>
          </w:p>
        </w:tc>
        <w:tc>
          <w:tcPr>
            <w:tcW w:w="1977" w:type="dxa"/>
          </w:tcPr>
          <w:p w14:paraId="0C6A6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Маломощные</w:t>
            </w:r>
          </w:p>
        </w:tc>
        <w:tc>
          <w:tcPr>
            <w:tcW w:w="1977" w:type="dxa"/>
          </w:tcPr>
          <w:p w14:paraId="688F82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6484C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55392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977" w:type="dxa"/>
          </w:tcPr>
          <w:p w14:paraId="0DB0A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35C66C32" w14:textId="77777777">
        <w:tc>
          <w:tcPr>
            <w:tcW w:w="534" w:type="dxa"/>
          </w:tcPr>
          <w:p w14:paraId="38317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850" w:type="dxa"/>
          </w:tcPr>
          <w:p w14:paraId="5D6FDF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050</w:t>
            </w:r>
          </w:p>
        </w:tc>
        <w:tc>
          <w:tcPr>
            <w:tcW w:w="1977" w:type="dxa"/>
          </w:tcPr>
          <w:p w14:paraId="27CFA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Нефтяные</w:t>
            </w:r>
          </w:p>
        </w:tc>
        <w:tc>
          <w:tcPr>
            <w:tcW w:w="1977" w:type="dxa"/>
          </w:tcPr>
          <w:p w14:paraId="6519E7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Pr>
          <w:p w14:paraId="2DE303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977" w:type="dxa"/>
          </w:tcPr>
          <w:p w14:paraId="790668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977" w:type="dxa"/>
          </w:tcPr>
          <w:p w14:paraId="05F226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r w:rsidR="001002C3" w:rsidRPr="007122AB" w14:paraId="17402D49" w14:textId="77777777">
        <w:tc>
          <w:tcPr>
            <w:tcW w:w="534" w:type="dxa"/>
          </w:tcPr>
          <w:p w14:paraId="18319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0A9B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4F0BE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977" w:type="dxa"/>
          </w:tcPr>
          <w:p w14:paraId="16E53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11200</w:t>
            </w:r>
          </w:p>
        </w:tc>
        <w:tc>
          <w:tcPr>
            <w:tcW w:w="1977" w:type="dxa"/>
          </w:tcPr>
          <w:p w14:paraId="729B61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35000</w:t>
            </w:r>
          </w:p>
        </w:tc>
        <w:tc>
          <w:tcPr>
            <w:tcW w:w="1977" w:type="dxa"/>
          </w:tcPr>
          <w:p w14:paraId="4E06F8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62000</w:t>
            </w:r>
          </w:p>
        </w:tc>
        <w:tc>
          <w:tcPr>
            <w:tcW w:w="1977" w:type="dxa"/>
          </w:tcPr>
          <w:p w14:paraId="7C850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73500</w:t>
            </w:r>
          </w:p>
        </w:tc>
      </w:tr>
      <w:tr w:rsidR="001002C3" w:rsidRPr="007122AB" w14:paraId="5E7FBF53" w14:textId="77777777">
        <w:tc>
          <w:tcPr>
            <w:tcW w:w="534" w:type="dxa"/>
            <w:tcBorders>
              <w:bottom w:val="single" w:sz="12" w:space="0" w:color="auto"/>
            </w:tcBorders>
          </w:tcPr>
          <w:p w14:paraId="14160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850" w:type="dxa"/>
            <w:tcBorders>
              <w:bottom w:val="single" w:sz="12" w:space="0" w:color="auto"/>
            </w:tcBorders>
          </w:tcPr>
          <w:p w14:paraId="2B2D0D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7A6EF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Кертис танковых</w:t>
            </w:r>
          </w:p>
        </w:tc>
        <w:tc>
          <w:tcPr>
            <w:tcW w:w="1977" w:type="dxa"/>
            <w:tcBorders>
              <w:bottom w:val="single" w:sz="12" w:space="0" w:color="auto"/>
            </w:tcBorders>
          </w:tcPr>
          <w:p w14:paraId="0DEFAF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977" w:type="dxa"/>
            <w:tcBorders>
              <w:bottom w:val="single" w:sz="12" w:space="0" w:color="auto"/>
            </w:tcBorders>
          </w:tcPr>
          <w:p w14:paraId="3F1E33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977" w:type="dxa"/>
            <w:tcBorders>
              <w:bottom w:val="single" w:sz="12" w:space="0" w:color="auto"/>
            </w:tcBorders>
          </w:tcPr>
          <w:p w14:paraId="049A08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977" w:type="dxa"/>
            <w:tcBorders>
              <w:bottom w:val="single" w:sz="12" w:space="0" w:color="auto"/>
            </w:tcBorders>
          </w:tcPr>
          <w:p w14:paraId="2439F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r>
    </w:tbl>
    <w:p w14:paraId="65DBB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Для выдачи </w:t>
      </w:r>
      <w:proofErr w:type="spellStart"/>
      <w:r w:rsidRPr="007122AB">
        <w:rPr>
          <w:rFonts w:ascii="Times New Roman" w:hAnsi="Times New Roman"/>
          <w:color w:val="000000" w:themeColor="text1"/>
          <w:sz w:val="16"/>
          <w:szCs w:val="16"/>
        </w:rPr>
        <w:t>промзаданий</w:t>
      </w:r>
      <w:proofErr w:type="spellEnd"/>
      <w:r w:rsidRPr="007122AB">
        <w:rPr>
          <w:rFonts w:ascii="Times New Roman" w:hAnsi="Times New Roman"/>
          <w:color w:val="000000" w:themeColor="text1"/>
          <w:sz w:val="16"/>
          <w:szCs w:val="16"/>
        </w:rPr>
        <w:t xml:space="preserve"> по проектированию, сообщаю для руководства, утвержденный начальником ВАО, отправные данные:</w:t>
      </w:r>
    </w:p>
    <w:p w14:paraId="38ECCD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Завод № 21 - расчетной единицей для проектирования принять самолет И5; перепроектировку с мощности 2400 на мощность 3500 произвести в 1933 г.</w:t>
      </w:r>
    </w:p>
    <w:p w14:paraId="6FA43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 1 - проектировать под 5000 самолетов Р5 с возможностью замены на сварную конструкцию Р8</w:t>
      </w:r>
    </w:p>
    <w:p w14:paraId="08EEE5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Завод № 31 перепроектировать на мощность 2400 сухопутных самолетов разведывательного типа Р5 или Р8, с возможностью постановки производства сварных конструкций; под это задание перепроектируется новый корпус; в старом корпусе из объема этого задания предусмотреть возможность производства морских </w:t>
      </w:r>
      <w:r w:rsidRPr="007122AB">
        <w:rPr>
          <w:rFonts w:ascii="Times New Roman" w:hAnsi="Times New Roman"/>
          <w:color w:val="000000" w:themeColor="text1"/>
          <w:sz w:val="16"/>
          <w:szCs w:val="16"/>
        </w:rPr>
        <w:lastRenderedPageBreak/>
        <w:t xml:space="preserve">самолетов типа М-62 или МБР3 в количестве 300-400 штук. Дальнейшее расширение под 3500 шт. предусматривает изготовление в том же порядке 3000 сухопутных морских разведчиков и 500 морских указанного выше типа. Окончательное решение об объеме работ принять, произведя предварительные исследования возможностей существующих корпусов, как старых, так и новых так как для завода № 31 заказано уже оборудование для дюралевого производства, могущее оказаться излишним, необходим вопрос об исследовании варианта </w:t>
      </w:r>
      <w:proofErr w:type="spellStart"/>
      <w:r w:rsidRPr="007122AB">
        <w:rPr>
          <w:rFonts w:ascii="Times New Roman" w:hAnsi="Times New Roman"/>
          <w:color w:val="000000" w:themeColor="text1"/>
          <w:sz w:val="16"/>
          <w:szCs w:val="16"/>
        </w:rPr>
        <w:t>наивыгоднейшего</w:t>
      </w:r>
      <w:proofErr w:type="spellEnd"/>
      <w:r w:rsidRPr="007122AB">
        <w:rPr>
          <w:rFonts w:ascii="Times New Roman" w:hAnsi="Times New Roman"/>
          <w:color w:val="000000" w:themeColor="text1"/>
          <w:sz w:val="16"/>
          <w:szCs w:val="16"/>
        </w:rPr>
        <w:t xml:space="preserve"> использования завода № 31 и определить в течение 1У квартала 31 г., что поручается </w:t>
      </w:r>
      <w:proofErr w:type="spellStart"/>
      <w:r w:rsidRPr="007122AB">
        <w:rPr>
          <w:rFonts w:ascii="Times New Roman" w:hAnsi="Times New Roman"/>
          <w:color w:val="000000" w:themeColor="text1"/>
          <w:sz w:val="16"/>
          <w:szCs w:val="16"/>
        </w:rPr>
        <w:t>Авиастрою</w:t>
      </w:r>
      <w:proofErr w:type="spellEnd"/>
      <w:r w:rsidRPr="007122AB">
        <w:rPr>
          <w:rFonts w:ascii="Times New Roman" w:hAnsi="Times New Roman"/>
          <w:color w:val="000000" w:themeColor="text1"/>
          <w:sz w:val="16"/>
          <w:szCs w:val="16"/>
        </w:rPr>
        <w:t xml:space="preserve"> с привлечением самолетного сектора, руководствуясь указаниями, изложенными выше.</w:t>
      </w:r>
    </w:p>
    <w:p w14:paraId="4FEF0D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Завод ХАЗ перепроектировку завода ХАЗ на изготовление 1000 машин типа 2-х местных истребителей ДИ6 или ДИ7 произвести в 1933 г.</w:t>
      </w:r>
    </w:p>
    <w:p w14:paraId="20F20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Завод 01 штурмовиков с плана строительства снять.</w:t>
      </w:r>
    </w:p>
    <w:p w14:paraId="00D86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Завод № 16 должен быть перепроектирован под мощность в 1600 легких типа ЛБШ и 200 тяжелых типа ТШ2-ТШ-3. По этой программе надлежит перепроектировать завод, использовав запроектированные площади.</w:t>
      </w:r>
    </w:p>
    <w:p w14:paraId="07EF8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Завод № 22 - проектная мощность 1000 учебных типа У2. С 1935 переходит на производство авиеток и должен будет обладать мощностью 3000 шт., поэтому перепроектировать его надлежит в 1933 г.</w:t>
      </w:r>
    </w:p>
    <w:p w14:paraId="0A762F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Завод 02 проектировать на мощность 4000 учебных У2 и 4000 авиеток - строительство завода начать в 1933.</w:t>
      </w:r>
    </w:p>
    <w:p w14:paraId="72F9B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Завод морских самолетов проектировать на мощность 700МБР-5 - МДР3 и 150 МТБ3. Постройку завода произвести в 1932 году с окончанием в 1935 году. На мощности первой очереди - 500 и второй - 700 самолетов.</w:t>
      </w:r>
    </w:p>
    <w:p w14:paraId="705AB1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Завод № 22 проектируется под окончательное задание...которые проектировался завод № 22 - дает 1500 шт.</w:t>
      </w:r>
    </w:p>
    <w:p w14:paraId="6268AF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Завод № 18 запроектированный на 1500 ТБ3 остается без изменений.</w:t>
      </w:r>
    </w:p>
    <w:p w14:paraId="652A82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Завод № 04 проектируется под 600 стальных К7 и 200 К14. Строится завод начинает в 1933.</w:t>
      </w:r>
    </w:p>
    <w:p w14:paraId="2AE34C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завод № 05 - специальный должен быть построен в 1932 г. Завод должен иметь возможность производить различные типы для войсковых серий, а также мелких серий, до 100 шт. каждая специальных машин. Причем, завод должен производить машины как деревянные и сварные, так и металлические дюралевые и стальные. Мощность завода запроектирована следующим образом:</w:t>
      </w:r>
    </w:p>
    <w:p w14:paraId="6CEE8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тяжелых металлических (типа ТБ-4 - ТБ-6)</w:t>
      </w:r>
    </w:p>
    <w:p w14:paraId="161094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пушечных типа № 7 завода № 39</w:t>
      </w:r>
    </w:p>
    <w:p w14:paraId="151C0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амфибий (типа МДР3)</w:t>
      </w:r>
    </w:p>
    <w:p w14:paraId="6F3506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скоростных разведчиков (типа Р-10)</w:t>
      </w:r>
    </w:p>
    <w:p w14:paraId="60463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90 - 3-х типов для войсковых серий - расчетный тип - разведчик Р5-Р8</w:t>
      </w:r>
    </w:p>
    <w:p w14:paraId="01D1E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сверхтяжелых типа СТБ</w:t>
      </w:r>
    </w:p>
    <w:p w14:paraId="6C5B2F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моторным заводам</w:t>
      </w:r>
    </w:p>
    <w:p w14:paraId="014BA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Завод № 24 - перепроектировать на мощность 15000 шт. Расширяется двумя очередями - к 1\1-33 - 10000 шт., к 1/1-34 - 15000. Завод проектируется из расчета 30% моторов М-34 и 20% моторов ФЭД.</w:t>
      </w:r>
    </w:p>
    <w:p w14:paraId="4F606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 26 перепроектировать на мощность 10000 моторов М-17 или М-34 согласно наших указаний, данных в письме № 375/58от 10 сентября 1931</w:t>
      </w:r>
    </w:p>
    <w:p w14:paraId="41316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Завод № 010 проектировать на мощность в 10000 моторов М32 или Кертис-</w:t>
      </w:r>
      <w:proofErr w:type="spellStart"/>
      <w:r w:rsidRPr="007122AB">
        <w:rPr>
          <w:rFonts w:ascii="Times New Roman" w:hAnsi="Times New Roman"/>
          <w:color w:val="000000" w:themeColor="text1"/>
          <w:sz w:val="16"/>
          <w:szCs w:val="16"/>
        </w:rPr>
        <w:t>Конверер</w:t>
      </w:r>
      <w:proofErr w:type="spellEnd"/>
      <w:r w:rsidRPr="007122AB">
        <w:rPr>
          <w:rFonts w:ascii="Times New Roman" w:hAnsi="Times New Roman"/>
          <w:color w:val="000000" w:themeColor="text1"/>
          <w:sz w:val="16"/>
          <w:szCs w:val="16"/>
        </w:rPr>
        <w:t>. Постройка завода начинается в 1933.</w:t>
      </w:r>
    </w:p>
    <w:p w14:paraId="1EABD2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Завод № 29 перепроектировать на мощность 6000 моторов М11 к 1/1-34 г, до этого </w:t>
      </w:r>
      <w:proofErr w:type="spellStart"/>
      <w:r w:rsidRPr="007122AB">
        <w:rPr>
          <w:rFonts w:ascii="Times New Roman" w:hAnsi="Times New Roman"/>
          <w:color w:val="000000" w:themeColor="text1"/>
          <w:sz w:val="16"/>
          <w:szCs w:val="16"/>
        </w:rPr>
        <w:t>годпа</w:t>
      </w:r>
      <w:proofErr w:type="spellEnd"/>
      <w:r w:rsidRPr="007122AB">
        <w:rPr>
          <w:rFonts w:ascii="Times New Roman" w:hAnsi="Times New Roman"/>
          <w:color w:val="000000" w:themeColor="text1"/>
          <w:sz w:val="16"/>
          <w:szCs w:val="16"/>
        </w:rPr>
        <w:t xml:space="preserve"> завод производит моторы М22 и М11 в количествах, указанных выше.</w:t>
      </w:r>
    </w:p>
    <w:p w14:paraId="40AF5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Завод № 19 перепроектировать на мощность 6000 моторов М22 с окончанием постройки и оборудования в 1932 и частичным пуском в производство в середине 1922.</w:t>
      </w:r>
    </w:p>
    <w:p w14:paraId="22D05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Завод № 020 проектировать под 10000 моторов воздушного охлаждения, из которых 5000 Циклон и 5000 Райт-6. Постройку первой очереди завода произвести в 1932 и закончить в 1933....(2329).</w:t>
      </w:r>
    </w:p>
    <w:p w14:paraId="2ED1C8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10B4A8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9377FD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30A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сентября 1931 года был собран первый танк БТ (он назывался ОБТ - опытный). После некоторых незначительных переделок и доводки конструкции танк пошел в серию под маркой БТ-2 (9154).</w:t>
      </w:r>
    </w:p>
    <w:p w14:paraId="11AB5E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5350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сентября 1931 года первый танк БТ-2 был собран на ХПЗ. И должен был сделать первые шаги. Учитывая торжественность момента, директор за</w:t>
      </w:r>
      <w:r w:rsidRPr="007122AB">
        <w:rPr>
          <w:rFonts w:ascii="Times New Roman" w:hAnsi="Times New Roman"/>
          <w:color w:val="000000" w:themeColor="text1"/>
          <w:sz w:val="16"/>
          <w:szCs w:val="16"/>
        </w:rPr>
        <w:softHyphen/>
        <w:t>вода Л.С. Владимиров попросил конструкторов и производственников не начинать этой «процедуры» без него. Он вскоре появился на сборке и, как бывший шофер 1-го класса, решил сам «освятить воду». Сел за рычаги танка, завел мотор и начал плавно двигаться вдоль конвейера. Доехав до конца площадки танк начал разворачиваться, но не тут-то было. Поворот не удался. Владимиров вылез из машины и быстро ушел из цеха.</w:t>
      </w:r>
    </w:p>
    <w:p w14:paraId="754AA9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Такое начало, конечно, никого не обрадовало. Однако, после длитель</w:t>
      </w:r>
      <w:r w:rsidRPr="007122AB">
        <w:rPr>
          <w:rFonts w:ascii="Times New Roman" w:hAnsi="Times New Roman"/>
          <w:color w:val="000000" w:themeColor="text1"/>
          <w:sz w:val="16"/>
          <w:szCs w:val="16"/>
        </w:rPr>
        <w:softHyphen/>
        <w:t xml:space="preserve">ной возни и всяких </w:t>
      </w:r>
      <w:proofErr w:type="spellStart"/>
      <w:r w:rsidRPr="007122AB">
        <w:rPr>
          <w:rFonts w:ascii="Times New Roman" w:hAnsi="Times New Roman"/>
          <w:color w:val="000000" w:themeColor="text1"/>
          <w:sz w:val="16"/>
          <w:szCs w:val="16"/>
        </w:rPr>
        <w:t>перерегулировок</w:t>
      </w:r>
      <w:proofErr w:type="spellEnd"/>
      <w:r w:rsidRPr="007122AB">
        <w:rPr>
          <w:rFonts w:ascii="Times New Roman" w:hAnsi="Times New Roman"/>
          <w:color w:val="000000" w:themeColor="text1"/>
          <w:sz w:val="16"/>
          <w:szCs w:val="16"/>
        </w:rPr>
        <w:t xml:space="preserve"> танк все-таки стал поворачиваться и машина благополучно «прошлась» по цеху. Поэтому следующий день стал самым торжественным, предстоял первый пробег первого танка БТ.</w:t>
      </w:r>
    </w:p>
    <w:p w14:paraId="4C5E3D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Когда в сентябрьские сумерки машина выходила из цеха, на площадке возле Т-2 собралось уйма народу, приветствовавшая первенца бурными воз</w:t>
      </w:r>
      <w:r w:rsidRPr="007122AB">
        <w:rPr>
          <w:rFonts w:ascii="Times New Roman" w:hAnsi="Times New Roman"/>
          <w:color w:val="000000" w:themeColor="text1"/>
          <w:sz w:val="16"/>
          <w:szCs w:val="16"/>
        </w:rPr>
        <w:softHyphen/>
        <w:t>гласами и аплодисментами. Машина на колесном ходу направилась к цен</w:t>
      </w:r>
      <w:r w:rsidRPr="007122AB">
        <w:rPr>
          <w:rFonts w:ascii="Times New Roman" w:hAnsi="Times New Roman"/>
          <w:color w:val="000000" w:themeColor="text1"/>
          <w:sz w:val="16"/>
          <w:szCs w:val="16"/>
        </w:rPr>
        <w:softHyphen/>
        <w:t>тральной проходной. Танк шел медленно, а впереди шествовало все руко</w:t>
      </w:r>
      <w:r w:rsidRPr="007122AB">
        <w:rPr>
          <w:rFonts w:ascii="Times New Roman" w:hAnsi="Times New Roman"/>
          <w:color w:val="000000" w:themeColor="text1"/>
          <w:sz w:val="16"/>
          <w:szCs w:val="16"/>
        </w:rPr>
        <w:softHyphen/>
        <w:t>водство завода, которое вначале, на всякий случай, боясь, «как бы чего не вышло», отбрасывало с дороги попадавшиеся посторонние предметы.</w:t>
      </w:r>
    </w:p>
    <w:p w14:paraId="5661BE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вскоре все убедились, что никакие кирпичи, металлический лом и прочее танку не страшны.</w:t>
      </w:r>
    </w:p>
    <w:p w14:paraId="7EDA3D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Сзади и с боков танк сопровождали толпы рабочих завода, которые затаив дыхание, следили за его поведением. Дойдя до главной конторы, водитель начал постепенно увеличивать скорость и скоро «оторвался» от сопровождающих.</w:t>
      </w:r>
    </w:p>
    <w:p w14:paraId="156859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торжественного «кольца» по заводу, танк благополучно вернул</w:t>
      </w:r>
      <w:r w:rsidRPr="007122AB">
        <w:rPr>
          <w:rFonts w:ascii="Times New Roman" w:hAnsi="Times New Roman"/>
          <w:color w:val="000000" w:themeColor="text1"/>
          <w:sz w:val="16"/>
          <w:szCs w:val="16"/>
        </w:rPr>
        <w:softHyphen/>
        <w:t>ся в цех. Однако танк, хоть и вернулся в цех своим ходом, он «привез», солидный перечень дефектов и неисправностей, которые пришлось уст</w:t>
      </w:r>
      <w:r w:rsidRPr="007122AB">
        <w:rPr>
          <w:rFonts w:ascii="Times New Roman" w:hAnsi="Times New Roman"/>
          <w:color w:val="000000" w:themeColor="text1"/>
          <w:sz w:val="16"/>
          <w:szCs w:val="16"/>
        </w:rPr>
        <w:softHyphen/>
        <w:t>ранять длительное время (11504).</w:t>
      </w:r>
    </w:p>
    <w:p w14:paraId="5F2E4D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89CE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E583CE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266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F97D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6EE4C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90A1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xml:space="preserve"> весной 1933 г. (12001).</w:t>
      </w:r>
    </w:p>
    <w:p w14:paraId="7391C2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CEAA4B" w14:textId="77777777" w:rsidR="003E068A" w:rsidRPr="007122AB" w:rsidRDefault="003E068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867C800" w14:textId="77777777" w:rsidR="003E068A" w:rsidRPr="007122AB" w:rsidRDefault="003E068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709026" w14:textId="77777777" w:rsidR="003E068A" w:rsidRPr="007122AB" w:rsidRDefault="003E06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сентября 1931 г. </w:t>
      </w:r>
      <w:proofErr w:type="spellStart"/>
      <w:r w:rsidRPr="007122AB">
        <w:rPr>
          <w:rFonts w:ascii="Times New Roman" w:hAnsi="Times New Roman"/>
          <w:color w:val="000000" w:themeColor="text1"/>
          <w:sz w:val="16"/>
          <w:szCs w:val="16"/>
        </w:rPr>
        <w:t>Ротерт</w:t>
      </w:r>
      <w:proofErr w:type="spellEnd"/>
      <w:r w:rsidRPr="007122AB">
        <w:rPr>
          <w:rFonts w:ascii="Times New Roman" w:hAnsi="Times New Roman"/>
          <w:color w:val="000000" w:themeColor="text1"/>
          <w:sz w:val="16"/>
          <w:szCs w:val="16"/>
        </w:rPr>
        <w:t xml:space="preserve">. доложил городскому комитету партии о состоянии работы: до 1939 г. Метрострой намеревался проложить 70 км линий метрополитена. Первая очередь строительства продлится до 1937 г., она включит 40 км путей и обойдется в 400 млн. руб. Первые линии метро общей протяженностью 18 км намечалось сдать в эксплуатацию </w:t>
      </w:r>
      <w:proofErr w:type="spellStart"/>
      <w:r w:rsidRPr="007122AB">
        <w:rPr>
          <w:rFonts w:ascii="Times New Roman" w:hAnsi="Times New Roman"/>
          <w:color w:val="000000" w:themeColor="text1"/>
          <w:sz w:val="16"/>
          <w:szCs w:val="16"/>
        </w:rPr>
        <w:t>кконцу</w:t>
      </w:r>
      <w:proofErr w:type="spellEnd"/>
      <w:r w:rsidRPr="007122AB">
        <w:rPr>
          <w:rFonts w:ascii="Times New Roman" w:hAnsi="Times New Roman"/>
          <w:color w:val="000000" w:themeColor="text1"/>
          <w:sz w:val="16"/>
          <w:szCs w:val="16"/>
        </w:rPr>
        <w:t xml:space="preserve"> 1934 г. Потребность в рабочей силе </w:t>
      </w:r>
      <w:proofErr w:type="spellStart"/>
      <w:r w:rsidRPr="007122AB">
        <w:rPr>
          <w:rFonts w:ascii="Times New Roman" w:hAnsi="Times New Roman"/>
          <w:color w:val="000000" w:themeColor="text1"/>
          <w:sz w:val="16"/>
          <w:szCs w:val="16"/>
        </w:rPr>
        <w:t>Ротерт</w:t>
      </w:r>
      <w:proofErr w:type="spellEnd"/>
      <w:r w:rsidRPr="007122AB">
        <w:rPr>
          <w:rFonts w:ascii="Times New Roman" w:hAnsi="Times New Roman"/>
          <w:color w:val="000000" w:themeColor="text1"/>
          <w:sz w:val="16"/>
          <w:szCs w:val="16"/>
        </w:rPr>
        <w:t>. оценил в 15 тыс. чел.{398}Горком партии утвердил объем работ и дал распоряжение Метрострою представить до 1 ноября 1931 г. схему линий в сжатом виде, а к 15 ноября план строительных работ и текущую смету расходов на 1932 г. Для того чтобы весной начать строительные работы, Метрострою было поручено подготовить для рабочих зимние жилища{399}.</w:t>
      </w:r>
    </w:p>
    <w:p w14:paraId="0956EE14" w14:textId="77777777" w:rsidR="003E068A" w:rsidRPr="007122AB" w:rsidRDefault="003E068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Намеченные </w:t>
      </w:r>
      <w:proofErr w:type="spellStart"/>
      <w:r w:rsidRPr="007122AB">
        <w:rPr>
          <w:rFonts w:ascii="Times New Roman" w:hAnsi="Times New Roman"/>
          <w:color w:val="000000" w:themeColor="text1"/>
          <w:sz w:val="16"/>
          <w:szCs w:val="16"/>
        </w:rPr>
        <w:t>Ротерт.ом</w:t>
      </w:r>
      <w:proofErr w:type="spellEnd"/>
      <w:r w:rsidRPr="007122AB">
        <w:rPr>
          <w:rFonts w:ascii="Times New Roman" w:hAnsi="Times New Roman"/>
          <w:color w:val="000000" w:themeColor="text1"/>
          <w:sz w:val="16"/>
          <w:szCs w:val="16"/>
        </w:rPr>
        <w:t xml:space="preserve"> строительные замыслы покоились на самых грубых (приблизительных) оценках. Настоящего проекта пока не было предложено. Готовившийся в </w:t>
      </w:r>
      <w:proofErr w:type="spellStart"/>
      <w:r w:rsidRPr="007122AB">
        <w:rPr>
          <w:rFonts w:ascii="Times New Roman" w:hAnsi="Times New Roman"/>
          <w:color w:val="000000" w:themeColor="text1"/>
          <w:sz w:val="16"/>
          <w:szCs w:val="16"/>
        </w:rPr>
        <w:t>течениегода</w:t>
      </w:r>
      <w:proofErr w:type="spellEnd"/>
      <w:r w:rsidRPr="007122AB">
        <w:rPr>
          <w:rFonts w:ascii="Times New Roman" w:hAnsi="Times New Roman"/>
          <w:color w:val="000000" w:themeColor="text1"/>
          <w:sz w:val="16"/>
          <w:szCs w:val="16"/>
        </w:rPr>
        <w:t xml:space="preserve"> проект МГЖД был забракован, так как имел в виду парижский способ строительства и по своему характеру, ориентированному на минимизацию расходов (укороченные станции), более не соответствовал актуальным требованиям. Под влиянием </w:t>
      </w:r>
      <w:proofErr w:type="spellStart"/>
      <w:r w:rsidRPr="007122AB">
        <w:rPr>
          <w:rFonts w:ascii="Times New Roman" w:hAnsi="Times New Roman"/>
          <w:color w:val="000000" w:themeColor="text1"/>
          <w:sz w:val="16"/>
          <w:szCs w:val="16"/>
        </w:rPr>
        <w:t>Ротерта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Финкеля</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Шелюбского</w:t>
      </w:r>
      <w:proofErr w:type="spellEnd"/>
      <w:r w:rsidRPr="007122AB">
        <w:rPr>
          <w:rFonts w:ascii="Times New Roman" w:hAnsi="Times New Roman"/>
          <w:color w:val="000000" w:themeColor="text1"/>
          <w:sz w:val="16"/>
          <w:szCs w:val="16"/>
        </w:rPr>
        <w:t xml:space="preserve"> остановились на берлинском способе и приняли за основу собственного проекта план фирмы «Сименс-</w:t>
      </w:r>
      <w:proofErr w:type="spellStart"/>
      <w:r w:rsidRPr="007122AB">
        <w:rPr>
          <w:rFonts w:ascii="Times New Roman" w:hAnsi="Times New Roman"/>
          <w:color w:val="000000" w:themeColor="text1"/>
          <w:sz w:val="16"/>
          <w:szCs w:val="16"/>
        </w:rPr>
        <w:t>Бауюнион</w:t>
      </w:r>
      <w:proofErr w:type="spellEnd"/>
      <w:r w:rsidRPr="007122AB">
        <w:rPr>
          <w:rFonts w:ascii="Times New Roman" w:hAnsi="Times New Roman"/>
          <w:color w:val="000000" w:themeColor="text1"/>
          <w:sz w:val="16"/>
          <w:szCs w:val="16"/>
        </w:rPr>
        <w:t xml:space="preserve">» 1926 г. Ввиду нехватки специалистов по сооружению тоннелей и квалифицированной рабочей силы посчитали более </w:t>
      </w:r>
      <w:proofErr w:type="spellStart"/>
      <w:r w:rsidRPr="007122AB">
        <w:rPr>
          <w:rFonts w:ascii="Times New Roman" w:hAnsi="Times New Roman"/>
          <w:color w:val="000000" w:themeColor="text1"/>
          <w:sz w:val="16"/>
          <w:szCs w:val="16"/>
        </w:rPr>
        <w:t>реалистичнымпо</w:t>
      </w:r>
      <w:proofErr w:type="spellEnd"/>
      <w:r w:rsidRPr="007122AB">
        <w:rPr>
          <w:rFonts w:ascii="Times New Roman" w:hAnsi="Times New Roman"/>
          <w:color w:val="000000" w:themeColor="text1"/>
          <w:sz w:val="16"/>
          <w:szCs w:val="16"/>
        </w:rPr>
        <w:t xml:space="preserve"> сравнению с прокладкой подземных тоннелей технически упрощенный способ строительства метро открытым способом. На участках, где открытый способ не мог применяться, например при проходке под зданиями или путями железной дороги, следовало прибегнуть к парижскому методу. Для испытания на практике этого способа строительства в московских условиях было решено проложить экспериментальный тоннель длиной 100 м у Митьковского виадука{400}.Инженер Маковский в октябре 1931 г. подготовил соответствующий проект{401} (18299).</w:t>
      </w:r>
    </w:p>
    <w:p w14:paraId="66F83ACC" w14:textId="77777777" w:rsidR="003E068A" w:rsidRPr="007122AB" w:rsidRDefault="003E068A" w:rsidP="007122AB">
      <w:pPr>
        <w:spacing w:after="0" w:line="240" w:lineRule="auto"/>
        <w:jc w:val="both"/>
        <w:rPr>
          <w:rFonts w:ascii="Times New Roman" w:hAnsi="Times New Roman"/>
          <w:color w:val="000000" w:themeColor="text1"/>
          <w:sz w:val="16"/>
          <w:szCs w:val="16"/>
        </w:rPr>
      </w:pPr>
    </w:p>
    <w:p w14:paraId="6761F18F" w14:textId="77777777" w:rsidR="00732317" w:rsidRPr="007122AB" w:rsidRDefault="00732317"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37CDB62" w14:textId="77777777" w:rsidR="00732317" w:rsidRPr="007122AB" w:rsidRDefault="0073231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7B7CA2A" w14:textId="77777777" w:rsidR="00732317" w:rsidRPr="007122AB" w:rsidRDefault="00732317" w:rsidP="007122AB">
      <w:pPr>
        <w:pStyle w:val="520"/>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lang w:val="ru-RU"/>
        </w:rPr>
        <w:t>В</w:t>
      </w:r>
      <w:r w:rsidRPr="007122AB">
        <w:rPr>
          <w:rFonts w:ascii="Times New Roman" w:hAnsi="Times New Roman" w:cs="Times New Roman"/>
          <w:color w:val="000000" w:themeColor="text1"/>
          <w:sz w:val="16"/>
          <w:szCs w:val="16"/>
        </w:rPr>
        <w:t>тор</w:t>
      </w:r>
      <w:proofErr w:type="spellStart"/>
      <w:r w:rsidRPr="007122AB">
        <w:rPr>
          <w:rFonts w:ascii="Times New Roman" w:hAnsi="Times New Roman" w:cs="Times New Roman"/>
          <w:color w:val="000000" w:themeColor="text1"/>
          <w:sz w:val="16"/>
          <w:szCs w:val="16"/>
          <w:lang w:val="ru-RU"/>
        </w:rPr>
        <w:t>ая</w:t>
      </w:r>
      <w:proofErr w:type="spellEnd"/>
      <w:r w:rsidRPr="007122AB">
        <w:rPr>
          <w:rFonts w:ascii="Times New Roman" w:hAnsi="Times New Roman" w:cs="Times New Roman"/>
          <w:color w:val="000000" w:themeColor="text1"/>
          <w:sz w:val="16"/>
          <w:szCs w:val="16"/>
        </w:rPr>
        <w:t xml:space="preserve"> половин</w:t>
      </w:r>
      <w:r w:rsidRPr="007122AB">
        <w:rPr>
          <w:rFonts w:ascii="Times New Roman" w:hAnsi="Times New Roman" w:cs="Times New Roman"/>
          <w:color w:val="000000" w:themeColor="text1"/>
          <w:sz w:val="16"/>
          <w:szCs w:val="16"/>
          <w:lang w:val="ru-RU"/>
        </w:rPr>
        <w:t>а</w:t>
      </w:r>
      <w:r w:rsidRPr="007122AB">
        <w:rPr>
          <w:rFonts w:ascii="Times New Roman" w:hAnsi="Times New Roman" w:cs="Times New Roman"/>
          <w:color w:val="000000" w:themeColor="text1"/>
          <w:sz w:val="16"/>
          <w:szCs w:val="16"/>
        </w:rPr>
        <w:t xml:space="preserve"> сентября 1931 года можно считать </w:t>
      </w:r>
      <w:r w:rsidRPr="007122AB">
        <w:rPr>
          <w:rFonts w:ascii="Times New Roman" w:hAnsi="Times New Roman" w:cs="Times New Roman"/>
          <w:color w:val="000000" w:themeColor="text1"/>
          <w:sz w:val="16"/>
          <w:szCs w:val="16"/>
          <w:lang w:val="ru-RU"/>
        </w:rPr>
        <w:t>о</w:t>
      </w:r>
      <w:proofErr w:type="spellStart"/>
      <w:r w:rsidRPr="007122AB">
        <w:rPr>
          <w:rFonts w:ascii="Times New Roman" w:hAnsi="Times New Roman" w:cs="Times New Roman"/>
          <w:color w:val="000000" w:themeColor="text1"/>
          <w:sz w:val="16"/>
          <w:szCs w:val="16"/>
        </w:rPr>
        <w:t>тправной</w:t>
      </w:r>
      <w:proofErr w:type="spellEnd"/>
      <w:r w:rsidRPr="007122AB">
        <w:rPr>
          <w:rFonts w:ascii="Times New Roman" w:hAnsi="Times New Roman" w:cs="Times New Roman"/>
          <w:color w:val="000000" w:themeColor="text1"/>
          <w:sz w:val="16"/>
          <w:szCs w:val="16"/>
        </w:rPr>
        <w:t xml:space="preserve"> точкой разработки автожира А-7. Н.И. Камов в то время трудился в КБ Поля </w:t>
      </w:r>
      <w:proofErr w:type="spellStart"/>
      <w:r w:rsidRPr="007122AB">
        <w:rPr>
          <w:rFonts w:ascii="Times New Roman" w:hAnsi="Times New Roman" w:cs="Times New Roman"/>
          <w:color w:val="000000" w:themeColor="text1"/>
          <w:sz w:val="16"/>
          <w:szCs w:val="16"/>
        </w:rPr>
        <w:t>Эмэ</w:t>
      </w:r>
      <w:proofErr w:type="spellEnd"/>
      <w:r w:rsidRPr="007122AB">
        <w:rPr>
          <w:rFonts w:ascii="Times New Roman" w:hAnsi="Times New Roman" w:cs="Times New Roman"/>
          <w:color w:val="000000" w:themeColor="text1"/>
          <w:sz w:val="16"/>
          <w:szCs w:val="16"/>
        </w:rPr>
        <w:t xml:space="preserve"> Ришара и нахо</w:t>
      </w:r>
      <w:r w:rsidRPr="007122AB">
        <w:rPr>
          <w:rFonts w:ascii="Times New Roman" w:hAnsi="Times New Roman" w:cs="Times New Roman"/>
          <w:color w:val="000000" w:themeColor="text1"/>
          <w:sz w:val="16"/>
          <w:szCs w:val="16"/>
        </w:rPr>
        <w:softHyphen/>
        <w:t>дился в командировке в г. Севастополь. По инициативе Николая Ильича в штабе Черно</w:t>
      </w:r>
      <w:r w:rsidRPr="007122AB">
        <w:rPr>
          <w:rFonts w:ascii="Times New Roman" w:hAnsi="Times New Roman" w:cs="Times New Roman"/>
          <w:color w:val="000000" w:themeColor="text1"/>
          <w:sz w:val="16"/>
          <w:szCs w:val="16"/>
        </w:rPr>
        <w:softHyphen/>
        <w:t xml:space="preserve">морского Флота состоялось совещание, на котором он сделал доклад по итогам работ над автожирами </w:t>
      </w:r>
      <w:r w:rsidRPr="007122AB">
        <w:rPr>
          <w:rFonts w:ascii="Times New Roman" w:hAnsi="Times New Roman" w:cs="Times New Roman"/>
          <w:color w:val="000000" w:themeColor="text1"/>
          <w:sz w:val="16"/>
          <w:szCs w:val="16"/>
          <w:lang w:val="en-US"/>
        </w:rPr>
        <w:t>KACKP</w:t>
      </w:r>
      <w:r w:rsidRPr="007122AB">
        <w:rPr>
          <w:rFonts w:ascii="Times New Roman" w:hAnsi="Times New Roman" w:cs="Times New Roman"/>
          <w:color w:val="000000" w:themeColor="text1"/>
          <w:sz w:val="16"/>
          <w:szCs w:val="16"/>
          <w:lang w:val="ru-RU"/>
        </w:rPr>
        <w:t>-</w:t>
      </w:r>
      <w:r w:rsidRPr="007122AB">
        <w:rPr>
          <w:rFonts w:ascii="Times New Roman" w:hAnsi="Times New Roman" w:cs="Times New Roman"/>
          <w:color w:val="000000" w:themeColor="text1"/>
          <w:sz w:val="16"/>
          <w:szCs w:val="16"/>
          <w:lang w:val="en-US"/>
        </w:rPr>
        <w:t>I</w:t>
      </w:r>
      <w:r w:rsidRPr="007122AB">
        <w:rPr>
          <w:rFonts w:ascii="Times New Roman" w:hAnsi="Times New Roman" w:cs="Times New Roman"/>
          <w:color w:val="000000" w:themeColor="text1"/>
          <w:sz w:val="16"/>
          <w:szCs w:val="16"/>
          <w:lang w:val="ru-RU"/>
        </w:rPr>
        <w:t xml:space="preserve"> </w:t>
      </w:r>
      <w:r w:rsidRPr="007122AB">
        <w:rPr>
          <w:rFonts w:ascii="Times New Roman" w:hAnsi="Times New Roman" w:cs="Times New Roman"/>
          <w:color w:val="000000" w:themeColor="text1"/>
          <w:sz w:val="16"/>
          <w:szCs w:val="16"/>
        </w:rPr>
        <w:t xml:space="preserve">и </w:t>
      </w:r>
      <w:r w:rsidRPr="007122AB">
        <w:rPr>
          <w:rFonts w:ascii="Times New Roman" w:hAnsi="Times New Roman" w:cs="Times New Roman"/>
          <w:color w:val="000000" w:themeColor="text1"/>
          <w:sz w:val="16"/>
          <w:szCs w:val="16"/>
          <w:lang w:val="en-US"/>
        </w:rPr>
        <w:t>KACKP</w:t>
      </w:r>
      <w:r w:rsidRPr="007122AB">
        <w:rPr>
          <w:rFonts w:ascii="Times New Roman" w:hAnsi="Times New Roman" w:cs="Times New Roman"/>
          <w:color w:val="000000" w:themeColor="text1"/>
          <w:sz w:val="16"/>
          <w:szCs w:val="16"/>
          <w:lang w:val="ru-RU"/>
        </w:rPr>
        <w:t>-</w:t>
      </w:r>
      <w:r w:rsidRPr="007122AB">
        <w:rPr>
          <w:rFonts w:ascii="Times New Roman" w:hAnsi="Times New Roman" w:cs="Times New Roman"/>
          <w:color w:val="000000" w:themeColor="text1"/>
          <w:sz w:val="16"/>
          <w:szCs w:val="16"/>
          <w:lang w:val="en-US"/>
        </w:rPr>
        <w:t>II</w:t>
      </w:r>
      <w:r w:rsidRPr="007122AB">
        <w:rPr>
          <w:rFonts w:ascii="Times New Roman" w:hAnsi="Times New Roman" w:cs="Times New Roman"/>
          <w:color w:val="000000" w:themeColor="text1"/>
          <w:sz w:val="16"/>
          <w:szCs w:val="16"/>
          <w:lang w:val="ru-RU"/>
        </w:rPr>
        <w:t xml:space="preserve">. </w:t>
      </w:r>
      <w:r w:rsidRPr="007122AB">
        <w:rPr>
          <w:rFonts w:ascii="Times New Roman" w:hAnsi="Times New Roman" w:cs="Times New Roman"/>
          <w:color w:val="000000" w:themeColor="text1"/>
          <w:sz w:val="16"/>
          <w:szCs w:val="16"/>
        </w:rPr>
        <w:t>Моря</w:t>
      </w:r>
      <w:r w:rsidRPr="007122AB">
        <w:rPr>
          <w:rFonts w:ascii="Times New Roman" w:hAnsi="Times New Roman" w:cs="Times New Roman"/>
          <w:color w:val="000000" w:themeColor="text1"/>
          <w:sz w:val="16"/>
          <w:szCs w:val="16"/>
        </w:rPr>
        <w:softHyphen/>
        <w:t>кам идея приема летательного аппарата на борт без остановки корабля и избавления от весьма сложного устройства - катапульты, очень приглянулась. Облик будущего А-7 и сложился во многом благодаря пожеланиям военных моряков. Первоначальные прора</w:t>
      </w:r>
      <w:r w:rsidRPr="007122AB">
        <w:rPr>
          <w:rFonts w:ascii="Times New Roman" w:hAnsi="Times New Roman" w:cs="Times New Roman"/>
          <w:color w:val="000000" w:themeColor="text1"/>
          <w:sz w:val="16"/>
          <w:szCs w:val="16"/>
        </w:rPr>
        <w:softHyphen/>
        <w:t xml:space="preserve">ботки нового автожира под обозначением </w:t>
      </w:r>
      <w:r w:rsidRPr="007122AB">
        <w:rPr>
          <w:rFonts w:ascii="Times New Roman" w:hAnsi="Times New Roman" w:cs="Times New Roman"/>
          <w:color w:val="000000" w:themeColor="text1"/>
          <w:sz w:val="16"/>
          <w:szCs w:val="16"/>
          <w:lang w:val="en-US"/>
        </w:rPr>
        <w:t>KACKP</w:t>
      </w:r>
      <w:r w:rsidRPr="007122AB">
        <w:rPr>
          <w:rFonts w:ascii="Times New Roman" w:hAnsi="Times New Roman" w:cs="Times New Roman"/>
          <w:color w:val="000000" w:themeColor="text1"/>
          <w:sz w:val="16"/>
          <w:szCs w:val="16"/>
          <w:lang w:val="ru-RU"/>
        </w:rPr>
        <w:t>-</w:t>
      </w:r>
      <w:r w:rsidRPr="007122AB">
        <w:rPr>
          <w:rFonts w:ascii="Times New Roman" w:hAnsi="Times New Roman" w:cs="Times New Roman"/>
          <w:color w:val="000000" w:themeColor="text1"/>
          <w:sz w:val="16"/>
          <w:szCs w:val="16"/>
          <w:lang w:val="en-US"/>
        </w:rPr>
        <w:t>IV</w:t>
      </w:r>
      <w:r w:rsidRPr="007122AB">
        <w:rPr>
          <w:rFonts w:ascii="Times New Roman" w:hAnsi="Times New Roman" w:cs="Times New Roman"/>
          <w:color w:val="000000" w:themeColor="text1"/>
          <w:sz w:val="16"/>
          <w:szCs w:val="16"/>
          <w:lang w:val="ru-RU"/>
        </w:rPr>
        <w:t xml:space="preserve"> </w:t>
      </w:r>
      <w:r w:rsidRPr="007122AB">
        <w:rPr>
          <w:rFonts w:ascii="Times New Roman" w:hAnsi="Times New Roman" w:cs="Times New Roman"/>
          <w:color w:val="000000" w:themeColor="text1"/>
          <w:sz w:val="16"/>
          <w:szCs w:val="16"/>
        </w:rPr>
        <w:t xml:space="preserve">велись совместно со </w:t>
      </w:r>
      <w:proofErr w:type="spellStart"/>
      <w:r w:rsidRPr="007122AB">
        <w:rPr>
          <w:rFonts w:ascii="Times New Roman" w:hAnsi="Times New Roman" w:cs="Times New Roman"/>
          <w:color w:val="000000" w:themeColor="text1"/>
          <w:sz w:val="16"/>
          <w:szCs w:val="16"/>
        </w:rPr>
        <w:t>Скржинским</w:t>
      </w:r>
      <w:proofErr w:type="spellEnd"/>
      <w:r w:rsidRPr="007122AB">
        <w:rPr>
          <w:rFonts w:ascii="Times New Roman" w:hAnsi="Times New Roman" w:cs="Times New Roman"/>
          <w:color w:val="000000" w:themeColor="text1"/>
          <w:sz w:val="16"/>
          <w:szCs w:val="16"/>
        </w:rPr>
        <w:t>, но вскоре пути конструкторов разошлись. Николай Кириллович занялся проектом авто</w:t>
      </w:r>
      <w:r w:rsidRPr="007122AB">
        <w:rPr>
          <w:rFonts w:ascii="Times New Roman" w:hAnsi="Times New Roman" w:cs="Times New Roman"/>
          <w:color w:val="000000" w:themeColor="text1"/>
          <w:sz w:val="16"/>
          <w:szCs w:val="16"/>
        </w:rPr>
        <w:softHyphen/>
        <w:t>жира ЦАГИ А-4, впервые в СССР запущенного чуть позднее в серийное производство, а Николай Ильич продолжил работу над А-7 уже по заданию Главного артиллерийского управления, поддержанного Начальником ВВС - моряки довольно быстро отошли от роли заказчика.</w:t>
      </w:r>
    </w:p>
    <w:p w14:paraId="30D356D8" w14:textId="77777777" w:rsidR="00732317" w:rsidRPr="007122AB" w:rsidRDefault="00732317" w:rsidP="007122AB">
      <w:pPr>
        <w:pStyle w:val="520"/>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Автожир разрабатывался под мотор М-22 -лицензионную копию Гном и Рон Юпитер VI номинальной мощностью 480 л.с. Экипаж из двух человек размещался продольно, в отдельных кабинах. Управление двойное, что позволяло использовать автожир для обуче</w:t>
      </w:r>
      <w:r w:rsidRPr="007122AB">
        <w:rPr>
          <w:rFonts w:ascii="Times New Roman" w:hAnsi="Times New Roman" w:cs="Times New Roman"/>
          <w:color w:val="000000" w:themeColor="text1"/>
          <w:sz w:val="16"/>
          <w:szCs w:val="16"/>
        </w:rPr>
        <w:softHyphen/>
        <w:t>ния и вывозки. На трехлопастный свободно-несущий ротор планировалось установить цельнометаллические лопасти с профилем Геттинген-429. Основу фюзеляжа с обшив</w:t>
      </w:r>
      <w:r w:rsidRPr="007122AB">
        <w:rPr>
          <w:rFonts w:ascii="Times New Roman" w:hAnsi="Times New Roman" w:cs="Times New Roman"/>
          <w:color w:val="000000" w:themeColor="text1"/>
          <w:sz w:val="16"/>
          <w:szCs w:val="16"/>
        </w:rPr>
        <w:softHyphen/>
        <w:t>кой из электрона должна была составить стальная ферма, к которой крепилась кольчугалюминиевая хвостовая балка кессонного типа, переходящая в киль и несущая горизон</w:t>
      </w:r>
      <w:r w:rsidRPr="007122AB">
        <w:rPr>
          <w:rFonts w:ascii="Times New Roman" w:hAnsi="Times New Roman" w:cs="Times New Roman"/>
          <w:color w:val="000000" w:themeColor="text1"/>
          <w:sz w:val="16"/>
          <w:szCs w:val="16"/>
        </w:rPr>
        <w:softHyphen/>
        <w:t>тальное оперение. Автожир планировали оснастить достаточно большим металличе</w:t>
      </w:r>
      <w:r w:rsidRPr="007122AB">
        <w:rPr>
          <w:rFonts w:ascii="Times New Roman" w:hAnsi="Times New Roman" w:cs="Times New Roman"/>
          <w:color w:val="000000" w:themeColor="text1"/>
          <w:sz w:val="16"/>
          <w:szCs w:val="16"/>
        </w:rPr>
        <w:softHyphen/>
        <w:t>ским крылом с полотняной обшивкой и про</w:t>
      </w:r>
      <w:r w:rsidRPr="007122AB">
        <w:rPr>
          <w:rFonts w:ascii="Times New Roman" w:hAnsi="Times New Roman" w:cs="Times New Roman"/>
          <w:color w:val="000000" w:themeColor="text1"/>
          <w:sz w:val="16"/>
          <w:szCs w:val="16"/>
        </w:rPr>
        <w:softHyphen/>
        <w:t xml:space="preserve">филем М0С-27, площадью примерно 8% от </w:t>
      </w:r>
      <w:proofErr w:type="spellStart"/>
      <w:r w:rsidRPr="007122AB">
        <w:rPr>
          <w:rFonts w:ascii="Times New Roman" w:hAnsi="Times New Roman" w:cs="Times New Roman"/>
          <w:color w:val="000000" w:themeColor="text1"/>
          <w:sz w:val="16"/>
          <w:szCs w:val="16"/>
        </w:rPr>
        <w:t>ометаемого</w:t>
      </w:r>
      <w:proofErr w:type="spellEnd"/>
      <w:r w:rsidRPr="007122AB">
        <w:rPr>
          <w:rFonts w:ascii="Times New Roman" w:hAnsi="Times New Roman" w:cs="Times New Roman"/>
          <w:color w:val="000000" w:themeColor="text1"/>
          <w:sz w:val="16"/>
          <w:szCs w:val="16"/>
        </w:rPr>
        <w:t xml:space="preserve"> диска. Оригинальное по тем вре</w:t>
      </w:r>
      <w:r w:rsidRPr="007122AB">
        <w:rPr>
          <w:rFonts w:ascii="Times New Roman" w:hAnsi="Times New Roman" w:cs="Times New Roman"/>
          <w:color w:val="000000" w:themeColor="text1"/>
          <w:sz w:val="16"/>
          <w:szCs w:val="16"/>
        </w:rPr>
        <w:softHyphen/>
        <w:t>менам трехколесное шасси с носовой опорой создавало благоприятные условия для рас</w:t>
      </w:r>
      <w:r w:rsidRPr="007122AB">
        <w:rPr>
          <w:rFonts w:ascii="Times New Roman" w:hAnsi="Times New Roman" w:cs="Times New Roman"/>
          <w:color w:val="000000" w:themeColor="text1"/>
          <w:sz w:val="16"/>
          <w:szCs w:val="16"/>
        </w:rPr>
        <w:softHyphen/>
        <w:t>крутки ротора и дополнительно имело хво</w:t>
      </w:r>
      <w:r w:rsidRPr="007122AB">
        <w:rPr>
          <w:rFonts w:ascii="Times New Roman" w:hAnsi="Times New Roman" w:cs="Times New Roman"/>
          <w:color w:val="000000" w:themeColor="text1"/>
          <w:sz w:val="16"/>
          <w:szCs w:val="16"/>
        </w:rPr>
        <w:softHyphen/>
        <w:t>стовой костыль, обеспечивавший удобный запуск от механического стартера и безопас</w:t>
      </w:r>
      <w:r w:rsidRPr="007122AB">
        <w:rPr>
          <w:rFonts w:ascii="Times New Roman" w:hAnsi="Times New Roman" w:cs="Times New Roman"/>
          <w:color w:val="000000" w:themeColor="text1"/>
          <w:sz w:val="16"/>
          <w:szCs w:val="16"/>
        </w:rPr>
        <w:softHyphen/>
        <w:t>ный взлет. Для уменьшения длины разбега разрабатывалась система механического запуска для принудительной раскрутки рото</w:t>
      </w:r>
      <w:r w:rsidRPr="007122AB">
        <w:rPr>
          <w:rFonts w:ascii="Times New Roman" w:hAnsi="Times New Roman" w:cs="Times New Roman"/>
          <w:color w:val="000000" w:themeColor="text1"/>
          <w:sz w:val="16"/>
          <w:szCs w:val="16"/>
        </w:rPr>
        <w:softHyphen/>
        <w:t>ра с приводом от маршевого двигателя. Впер</w:t>
      </w:r>
      <w:r w:rsidRPr="007122AB">
        <w:rPr>
          <w:rFonts w:ascii="Times New Roman" w:hAnsi="Times New Roman" w:cs="Times New Roman"/>
          <w:color w:val="000000" w:themeColor="text1"/>
          <w:sz w:val="16"/>
          <w:szCs w:val="16"/>
        </w:rPr>
        <w:softHyphen/>
        <w:t>вые автожир должен был получить вооруже</w:t>
      </w:r>
      <w:r w:rsidRPr="007122AB">
        <w:rPr>
          <w:rFonts w:ascii="Times New Roman" w:hAnsi="Times New Roman" w:cs="Times New Roman"/>
          <w:color w:val="000000" w:themeColor="text1"/>
          <w:sz w:val="16"/>
          <w:szCs w:val="16"/>
        </w:rPr>
        <w:softHyphen/>
        <w:t>ние - курсовой пулемет и оборонительную турель. Крыло планировали оснастить узла</w:t>
      </w:r>
      <w:r w:rsidRPr="007122AB">
        <w:rPr>
          <w:rFonts w:ascii="Times New Roman" w:hAnsi="Times New Roman" w:cs="Times New Roman"/>
          <w:color w:val="000000" w:themeColor="text1"/>
          <w:sz w:val="16"/>
          <w:szCs w:val="16"/>
        </w:rPr>
        <w:softHyphen/>
        <w:t>ми подвески бомб. Консоли крыла и ротор при этом складывались: будущий А-7 можно было хранить и на корабле</w:t>
      </w:r>
      <w:r w:rsidRPr="007122AB">
        <w:rPr>
          <w:rFonts w:ascii="Times New Roman" w:hAnsi="Times New Roman" w:cs="Times New Roman"/>
          <w:color w:val="000000" w:themeColor="text1"/>
          <w:sz w:val="16"/>
          <w:szCs w:val="16"/>
          <w:lang w:val="ru-RU"/>
        </w:rPr>
        <w:t xml:space="preserve"> (19868)</w:t>
      </w:r>
      <w:r w:rsidRPr="007122AB">
        <w:rPr>
          <w:rFonts w:ascii="Times New Roman" w:hAnsi="Times New Roman" w:cs="Times New Roman"/>
          <w:color w:val="000000" w:themeColor="text1"/>
          <w:sz w:val="16"/>
          <w:szCs w:val="16"/>
        </w:rPr>
        <w:t>.</w:t>
      </w:r>
    </w:p>
    <w:p w14:paraId="36B76F0A" w14:textId="77777777" w:rsidR="00732317" w:rsidRPr="007122AB" w:rsidRDefault="00732317" w:rsidP="007122AB">
      <w:pPr>
        <w:pStyle w:val="520"/>
        <w:shd w:val="clear" w:color="auto" w:fill="auto"/>
        <w:spacing w:line="240" w:lineRule="auto"/>
        <w:rPr>
          <w:rFonts w:ascii="Times New Roman" w:hAnsi="Times New Roman" w:cs="Times New Roman"/>
          <w:color w:val="000000" w:themeColor="text1"/>
          <w:sz w:val="16"/>
          <w:szCs w:val="16"/>
        </w:rPr>
      </w:pPr>
    </w:p>
    <w:p w14:paraId="1F3E1C51"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 второй половине сентября 1931 г. Королёв познакомил</w:t>
      </w:r>
      <w:r w:rsidRPr="00441F34">
        <w:rPr>
          <w:rFonts w:ascii="Times New Roman" w:hAnsi="Times New Roman"/>
          <w:color w:val="0070C0"/>
          <w:sz w:val="16"/>
          <w:szCs w:val="16"/>
        </w:rPr>
        <w:softHyphen/>
        <w:t>ся с инженером Фридрихом Цандером, руководителем Отдела технического испытания материалов в Институте авиационного моторостроения (ИАМ). Здесь он в 1930 г. превратил паяльную лампу в ракетный двигатель ОР-1 (Опытный реактивный пер</w:t>
      </w:r>
      <w:r w:rsidRPr="00441F34">
        <w:rPr>
          <w:rFonts w:ascii="Times New Roman" w:hAnsi="Times New Roman"/>
          <w:color w:val="0070C0"/>
          <w:sz w:val="16"/>
          <w:szCs w:val="16"/>
        </w:rPr>
        <w:softHyphen/>
        <w:t>вый). В сентябре 1930 г. при испытании на стенде эта «волшебная лампа» развила тягу 5 кг/сек (23550).</w:t>
      </w:r>
    </w:p>
    <w:p w14:paraId="2CD1103E" w14:textId="77777777" w:rsidR="007F1987" w:rsidRPr="00441F34" w:rsidRDefault="007F1987" w:rsidP="007F1987">
      <w:pPr>
        <w:spacing w:after="0" w:line="240" w:lineRule="auto"/>
        <w:jc w:val="both"/>
        <w:rPr>
          <w:rFonts w:ascii="Times New Roman" w:hAnsi="Times New Roman"/>
          <w:color w:val="0070C0"/>
          <w:sz w:val="16"/>
          <w:szCs w:val="16"/>
        </w:rPr>
      </w:pPr>
    </w:p>
    <w:p w14:paraId="5BF4938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0CC7FB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4BF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года начальник 1 отдела НИИ ВВС </w:t>
      </w:r>
      <w:proofErr w:type="spellStart"/>
      <w:r w:rsidRPr="007122AB">
        <w:rPr>
          <w:rFonts w:ascii="Times New Roman" w:hAnsi="Times New Roman"/>
          <w:color w:val="000000" w:themeColor="text1"/>
          <w:sz w:val="16"/>
          <w:szCs w:val="16"/>
        </w:rPr>
        <w:t>Горощенко</w:t>
      </w:r>
      <w:proofErr w:type="spellEnd"/>
      <w:r w:rsidRPr="007122AB">
        <w:rPr>
          <w:rFonts w:ascii="Times New Roman" w:hAnsi="Times New Roman"/>
          <w:color w:val="000000" w:themeColor="text1"/>
          <w:sz w:val="16"/>
          <w:szCs w:val="16"/>
        </w:rPr>
        <w:t xml:space="preserve"> писал письмо N ос/60с начальнику ВВС.</w:t>
      </w:r>
    </w:p>
    <w:p w14:paraId="0D7CC3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"Сводка результатов испытания самолета И5 N 5 с ЮVI с утоненными консолями".</w:t>
      </w:r>
    </w:p>
    <w:p w14:paraId="066E31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работы</w:t>
      </w:r>
    </w:p>
    <w:p w14:paraId="4C684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самолета на штопор.</w:t>
      </w:r>
    </w:p>
    <w:p w14:paraId="579FF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Краткий вывод</w:t>
      </w:r>
    </w:p>
    <w:p w14:paraId="2DFF0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2C108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31 июля 1931 г.</w:t>
      </w:r>
    </w:p>
    <w:p w14:paraId="113F25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11 августа 1931 г.</w:t>
      </w:r>
    </w:p>
    <w:p w14:paraId="3E84B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Летных дней на испытание - 5</w:t>
      </w:r>
    </w:p>
    <w:p w14:paraId="05845B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полетов - 9</w:t>
      </w:r>
    </w:p>
    <w:p w14:paraId="41C454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Налетано часов - 4 час. 10 мин. (3290,84-95).</w:t>
      </w:r>
    </w:p>
    <w:p w14:paraId="23DEDD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D602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в НИИ ВВС испытывали И-4бис (АНТ-5) - моноплан парасоль с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xml:space="preserve"> и предкрылками. Сочли переделку нецелесообразной (1060,53).</w:t>
      </w:r>
    </w:p>
    <w:p w14:paraId="281B3B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B402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Бригада Н.Н.П. в сентябре 1931 работало над пассажирским самолетом, разведчиком Р-11 и истребителем И-13 (228,83).</w:t>
      </w:r>
    </w:p>
    <w:p w14:paraId="0FD6F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EA4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директор ЦАГИ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обратился к начальнику Всесоюзного авиационного объединения (ВАО) П.И. Баранову с просьбой исключить из плана института пункт о пассажирском варианте ТБ-4 с четырьмя моторами М-35, мотивируя отсутствием заложенных в задание двигателей. Баранов разрешил, работы по пассажирскому варианту ТБ-4 прекратили. Но Туполев очень не любил, чтобы труд его сотрудников пропадал зря. Многое от проекта этого первого АНТ- 20 потом перешло к "Максиму Горькому", и даже обозначение использовали повторно. Он должен был иметь размах крыла 56 м и длину фюзеляжа 33,5 м - немного больше, чем у бомбовоза. Пассажирский салон занимал место бывших бомбоотсеков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w:t>
      </w:r>
      <w:proofErr w:type="spellStart"/>
      <w:r w:rsidRPr="007122AB">
        <w:rPr>
          <w:rFonts w:ascii="Times New Roman" w:hAnsi="Times New Roman"/>
          <w:color w:val="000000" w:themeColor="text1"/>
          <w:sz w:val="16"/>
          <w:szCs w:val="16"/>
        </w:rPr>
        <w:t>Вто</w:t>
      </w:r>
      <w:proofErr w:type="spellEnd"/>
      <w:r w:rsidRPr="007122AB">
        <w:rPr>
          <w:rFonts w:ascii="Times New Roman" w:hAnsi="Times New Roman"/>
          <w:color w:val="000000" w:themeColor="text1"/>
          <w:sz w:val="16"/>
          <w:szCs w:val="16"/>
        </w:rPr>
        <w:t xml:space="preserve"> время военные заказы пользовались безоговорочным приоритетом. Впрочем, гражданская авиация и не смогла бы самостоятельно оплатить дорогостоящие работы по созданию гиганта.</w:t>
      </w:r>
    </w:p>
    <w:p w14:paraId="0E139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сначала ни о каком "Горьком" речи не шло, создавался (или дорабатывался) новый тяжелый бомбардировщик. Это и был второй АНТ-20. При примерно той же длине фюзеляжа, что и АНТ-16, бомбардировщик АНТ- 20 должен был иметь значительно большее по размаху и площади крыло. Размах должен был достигнуть 63 м (против 54 м у АНТ- 16). Хорда крыла при этом не менялась, так что удлинение возрастало до 8,2, что должно было благоприятно сказаться на дальности полета. На крыле добавили два мотора. Фюзеляж расширили и переделали </w:t>
      </w:r>
      <w:proofErr w:type="spellStart"/>
      <w:r w:rsidRPr="007122AB">
        <w:rPr>
          <w:rFonts w:ascii="Times New Roman" w:hAnsi="Times New Roman"/>
          <w:color w:val="000000" w:themeColor="text1"/>
          <w:sz w:val="16"/>
          <w:szCs w:val="16"/>
        </w:rPr>
        <w:t>бомбоот</w:t>
      </w:r>
      <w:proofErr w:type="spellEnd"/>
      <w:r w:rsidRPr="007122AB">
        <w:rPr>
          <w:rFonts w:ascii="Times New Roman" w:hAnsi="Times New Roman"/>
          <w:color w:val="000000" w:themeColor="text1"/>
          <w:sz w:val="16"/>
          <w:szCs w:val="16"/>
        </w:rPr>
        <w:t xml:space="preserve">- секи, убрав продольную балку по оси самолета, так что стала возможной внутренняя подвеска бомб калибра 1000 и 2000 кг (последних на вооружении, впрочем, еще не было). Предусмотрели электропривод управления стабилизатором и шаровой пушечной установкой, которую хотели смонтировать в носу фюзеляжа. Сброс бомб тоже осуществлялся электричеством. Максимальный взлетный вес машины оценивался в 45 т. Самолет должен был оснащаться восемью </w:t>
      </w:r>
      <w:proofErr w:type="spellStart"/>
      <w:r w:rsidRPr="007122AB">
        <w:rPr>
          <w:rFonts w:ascii="Times New Roman" w:hAnsi="Times New Roman"/>
          <w:color w:val="000000" w:themeColor="text1"/>
          <w:sz w:val="16"/>
          <w:szCs w:val="16"/>
        </w:rPr>
        <w:t>редукторны</w:t>
      </w:r>
      <w:proofErr w:type="spellEnd"/>
      <w:r w:rsidRPr="007122AB">
        <w:rPr>
          <w:rFonts w:ascii="Times New Roman" w:hAnsi="Times New Roman"/>
          <w:color w:val="000000" w:themeColor="text1"/>
          <w:sz w:val="16"/>
          <w:szCs w:val="16"/>
        </w:rPr>
        <w:t>- МакетАНТ-20 ми двигателями М-34Р с дальнейшим переходом к более мощным М-34ФРН (реально появившимся только в 1936 г.). Шесть из них стояли в ряд на крыле и два в отдельной установке на фермах над фюзеляжем, как у ТБ-4. Теоретически самолет мог лететь и на шести моторах, поэтому отказ двух не считался критичным.</w:t>
      </w:r>
    </w:p>
    <w:p w14:paraId="2087AA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проекте АНТ-16 рассматривались два возможных варианта: тяжелый бомбардировщик и пассажирский самолет (первый АНТ- 20). Теперь работали по пяти модификациям. Хотя основным считался тяжелый бомбардировщик, параллельно делались проработки по военно-транспортному, пассажирскому, грузовому и "агитационному" вариантам. Так. транспортная машина предназначалась для перевозки тяжелой и громоздкой военной техники - танков и артиллерийских орудий. В основном их хотели крепить снаружи, между стойками шасси, но кое-что размещалось и внутри. Например, прикидывали подвеску в бомбоотсеке вооруженной пулеметом танкетки Т-27 (ТБ-1 и ТБ-3 ее возили снаружи между стойками шасси). В пассажирской машине, предназначенной для дальних рейсов, предусматривалось размещение 60 - 70 (в статье А.Н. Туполева в газете "Правда" названа цифра 76) человек в комфортабельных кабинах: не то железнодорожное купе, не то пароходная каюта. Для пассажиров предусматривались буфет (в некоторых документах он числится "рестораном"), салон отдыха и целых два туалета.</w:t>
      </w:r>
    </w:p>
    <w:p w14:paraId="0F9E7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Экипаж состоял из десяти (подругам документам - восьми) человек, в том числе "прислуги". Предусматривался и комфортабельный </w:t>
      </w:r>
      <w:proofErr w:type="spellStart"/>
      <w:r w:rsidRPr="007122AB">
        <w:rPr>
          <w:rFonts w:ascii="Times New Roman" w:hAnsi="Times New Roman"/>
          <w:color w:val="000000" w:themeColor="text1"/>
          <w:sz w:val="16"/>
          <w:szCs w:val="16"/>
        </w:rPr>
        <w:t>вариант"люкс</w:t>
      </w:r>
      <w:proofErr w:type="spellEnd"/>
      <w:r w:rsidRPr="007122AB">
        <w:rPr>
          <w:rFonts w:ascii="Times New Roman" w:hAnsi="Times New Roman"/>
          <w:color w:val="000000" w:themeColor="text1"/>
          <w:sz w:val="16"/>
          <w:szCs w:val="16"/>
        </w:rPr>
        <w:t>" для доставки "ответственных руководящих политических и общественных работников или группы работников в отдаленные районы страны для проведения кампаний на местах". На нем "прислуги" должно было быть вдвое больше, а пассажирских мест - меньше.</w:t>
      </w:r>
    </w:p>
    <w:p w14:paraId="4C3C5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Гражданский АНТ-20 мог использоваться и как грузовой для доставки особо ценных грузов (например, пушнины или золота из отдаленных районов Сибири). Всего он мог увезти около пяти тонн. Учитывая большой объем фюзеляжа и центроплана, мехов в самолет можно было загрузить много. Интересно, что Туполев планировал сделать машину легко конвертируемой из пассажирского в грузовой вариант. Сиденья быстро демонтировались, освобождая помещения под товар (12024).</w:t>
      </w:r>
    </w:p>
    <w:p w14:paraId="417AB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7A5596"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директор НАГИ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обратился к начальнику ВАО П И. Баранову:</w:t>
      </w:r>
    </w:p>
    <w:p w14:paraId="45323ABA"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«Программой Опытного Самолетост</w:t>
      </w:r>
      <w:r w:rsidRPr="007122AB">
        <w:rPr>
          <w:rFonts w:ascii="Times New Roman" w:hAnsi="Times New Roman"/>
          <w:color w:val="000000" w:themeColor="text1"/>
          <w:sz w:val="16"/>
          <w:szCs w:val="16"/>
        </w:rPr>
        <w:softHyphen/>
        <w:t>роения на 1932—1935 гг., утвержденной Вами на совещании под Вашим председа</w:t>
      </w:r>
      <w:r w:rsidRPr="007122AB">
        <w:rPr>
          <w:rFonts w:ascii="Times New Roman" w:hAnsi="Times New Roman"/>
          <w:color w:val="000000" w:themeColor="text1"/>
          <w:sz w:val="16"/>
          <w:szCs w:val="16"/>
        </w:rPr>
        <w:softHyphen/>
        <w:t>тельством 23/1Х. предусматривается в отношении всех самолетов, а в особеннос</w:t>
      </w:r>
      <w:r w:rsidRPr="007122AB">
        <w:rPr>
          <w:rFonts w:ascii="Times New Roman" w:hAnsi="Times New Roman"/>
          <w:color w:val="000000" w:themeColor="text1"/>
          <w:sz w:val="16"/>
          <w:szCs w:val="16"/>
        </w:rPr>
        <w:softHyphen/>
        <w:t>ти многомоторных, согласование сроков выпуска со сроками выпуска моторов, ко</w:t>
      </w:r>
      <w:r w:rsidRPr="007122AB">
        <w:rPr>
          <w:rFonts w:ascii="Times New Roman" w:hAnsi="Times New Roman"/>
          <w:color w:val="000000" w:themeColor="text1"/>
          <w:sz w:val="16"/>
          <w:szCs w:val="16"/>
        </w:rPr>
        <w:softHyphen/>
        <w:t>торыми они должны быть снабжены.</w:t>
      </w:r>
    </w:p>
    <w:p w14:paraId="3303C63E"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Указанное в связи с планом внедрения опытных самолетов в серию определяет порядок срочности и выпуска опытных са</w:t>
      </w:r>
      <w:r w:rsidRPr="007122AB">
        <w:rPr>
          <w:rFonts w:ascii="Times New Roman" w:hAnsi="Times New Roman"/>
          <w:color w:val="000000" w:themeColor="text1"/>
          <w:sz w:val="16"/>
          <w:szCs w:val="16"/>
        </w:rPr>
        <w:softHyphen/>
        <w:t>молетов, что и отражено в утвержденной Вами программе, в которой самолеты не обеспеченные моторами, а также не имею</w:t>
      </w:r>
      <w:r w:rsidRPr="007122AB">
        <w:rPr>
          <w:rFonts w:ascii="Times New Roman" w:hAnsi="Times New Roman"/>
          <w:color w:val="000000" w:themeColor="text1"/>
          <w:sz w:val="16"/>
          <w:szCs w:val="16"/>
        </w:rPr>
        <w:softHyphen/>
        <w:t>щие базы для серийной постройки, сдвину</w:t>
      </w:r>
      <w:r w:rsidRPr="007122AB">
        <w:rPr>
          <w:rFonts w:ascii="Times New Roman" w:hAnsi="Times New Roman"/>
          <w:color w:val="000000" w:themeColor="text1"/>
          <w:sz w:val="16"/>
          <w:szCs w:val="16"/>
        </w:rPr>
        <w:softHyphen/>
        <w:t>ты в соответствии с этими обстоятель</w:t>
      </w:r>
      <w:r w:rsidRPr="007122AB">
        <w:rPr>
          <w:rFonts w:ascii="Times New Roman" w:hAnsi="Times New Roman"/>
          <w:color w:val="000000" w:themeColor="text1"/>
          <w:sz w:val="16"/>
          <w:szCs w:val="16"/>
        </w:rPr>
        <w:softHyphen/>
        <w:t>ствами.</w:t>
      </w:r>
    </w:p>
    <w:p w14:paraId="32D8F5BE"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этой категории относится и пасса</w:t>
      </w:r>
      <w:r w:rsidRPr="007122AB">
        <w:rPr>
          <w:rFonts w:ascii="Times New Roman" w:hAnsi="Times New Roman"/>
          <w:color w:val="000000" w:themeColor="text1"/>
          <w:sz w:val="16"/>
          <w:szCs w:val="16"/>
        </w:rPr>
        <w:softHyphen/>
        <w:t>жирский самолет АНТ-20, запроектиро</w:t>
      </w:r>
      <w:r w:rsidRPr="007122AB">
        <w:rPr>
          <w:rFonts w:ascii="Times New Roman" w:hAnsi="Times New Roman"/>
          <w:color w:val="000000" w:themeColor="text1"/>
          <w:sz w:val="16"/>
          <w:szCs w:val="16"/>
        </w:rPr>
        <w:softHyphen/>
        <w:t>ванный под четыре редукторных мотора М-35, с возможностью замены последних 6-ью редукторными моторами М-34.</w:t>
      </w:r>
    </w:p>
    <w:p w14:paraId="48583CDC"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Указанный самолет является граждан</w:t>
      </w:r>
      <w:r w:rsidRPr="007122AB">
        <w:rPr>
          <w:rFonts w:ascii="Times New Roman" w:hAnsi="Times New Roman"/>
          <w:color w:val="000000" w:themeColor="text1"/>
          <w:sz w:val="16"/>
          <w:szCs w:val="16"/>
        </w:rPr>
        <w:softHyphen/>
        <w:t>ской модификацией ТБ-4 и самостоятель</w:t>
      </w:r>
      <w:r w:rsidRPr="007122AB">
        <w:rPr>
          <w:rFonts w:ascii="Times New Roman" w:hAnsi="Times New Roman"/>
          <w:color w:val="000000" w:themeColor="text1"/>
          <w:sz w:val="16"/>
          <w:szCs w:val="16"/>
        </w:rPr>
        <w:softHyphen/>
        <w:t>ного значения для опытного строительст</w:t>
      </w:r>
      <w:r w:rsidRPr="007122AB">
        <w:rPr>
          <w:rFonts w:ascii="Times New Roman" w:hAnsi="Times New Roman"/>
          <w:color w:val="000000" w:themeColor="text1"/>
          <w:sz w:val="16"/>
          <w:szCs w:val="16"/>
        </w:rPr>
        <w:softHyphen/>
        <w:t>ва не имеет.</w:t>
      </w:r>
    </w:p>
    <w:p w14:paraId="7C239EA8"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в настоящее время находится в стадии проектирования и постройки ма</w:t>
      </w:r>
      <w:r w:rsidRPr="007122AB">
        <w:rPr>
          <w:rFonts w:ascii="Times New Roman" w:hAnsi="Times New Roman"/>
          <w:color w:val="000000" w:themeColor="text1"/>
          <w:sz w:val="16"/>
          <w:szCs w:val="16"/>
        </w:rPr>
        <w:softHyphen/>
        <w:t>кета.</w:t>
      </w:r>
    </w:p>
    <w:p w14:paraId="7D8A91F5"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Учитывая все эти соображения, а так</w:t>
      </w:r>
      <w:r w:rsidRPr="007122AB">
        <w:rPr>
          <w:rFonts w:ascii="Times New Roman" w:hAnsi="Times New Roman"/>
          <w:color w:val="000000" w:themeColor="text1"/>
          <w:sz w:val="16"/>
          <w:szCs w:val="16"/>
        </w:rPr>
        <w:softHyphen/>
        <w:t>же принимая к исполнению Вашу основную установку, прошу Вашего согласия проек</w:t>
      </w:r>
      <w:r w:rsidRPr="007122AB">
        <w:rPr>
          <w:rFonts w:ascii="Times New Roman" w:hAnsi="Times New Roman"/>
          <w:color w:val="000000" w:themeColor="text1"/>
          <w:sz w:val="16"/>
          <w:szCs w:val="16"/>
        </w:rPr>
        <w:softHyphen/>
        <w:t>тировочные работы, а также работы по постройке макета самолета А НТ-20 пре</w:t>
      </w:r>
      <w:r w:rsidRPr="007122AB">
        <w:rPr>
          <w:rFonts w:ascii="Times New Roman" w:hAnsi="Times New Roman"/>
          <w:color w:val="000000" w:themeColor="text1"/>
          <w:sz w:val="16"/>
          <w:szCs w:val="16"/>
        </w:rPr>
        <w:softHyphen/>
        <w:t>кратить, с тем чтобы освобождающиеся конструкторские и производственные си</w:t>
      </w:r>
      <w:r w:rsidRPr="007122AB">
        <w:rPr>
          <w:rFonts w:ascii="Times New Roman" w:hAnsi="Times New Roman"/>
          <w:color w:val="000000" w:themeColor="text1"/>
          <w:sz w:val="16"/>
          <w:szCs w:val="16"/>
        </w:rPr>
        <w:softHyphen/>
        <w:t>зы, а также площади использовать на пер</w:t>
      </w:r>
      <w:r w:rsidRPr="007122AB">
        <w:rPr>
          <w:rFonts w:ascii="Times New Roman" w:hAnsi="Times New Roman"/>
          <w:color w:val="000000" w:themeColor="text1"/>
          <w:sz w:val="16"/>
          <w:szCs w:val="16"/>
        </w:rPr>
        <w:softHyphen/>
        <w:t>воочередные задания.</w:t>
      </w:r>
    </w:p>
    <w:p w14:paraId="480E58D1"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ЦАТ И</w:t>
      </w:r>
      <w:r w:rsidRPr="007122AB">
        <w:rPr>
          <w:rFonts w:ascii="Times New Roman" w:hAnsi="Times New Roman"/>
          <w:color w:val="000000" w:themeColor="text1"/>
          <w:sz w:val="16"/>
          <w:szCs w:val="16"/>
        </w:rPr>
        <w:tab/>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(21240).</w:t>
      </w:r>
    </w:p>
    <w:p w14:paraId="69722AA8" w14:textId="77777777" w:rsidR="00941865" w:rsidRPr="007122AB" w:rsidRDefault="00941865" w:rsidP="007122AB">
      <w:pPr>
        <w:pStyle w:val="520"/>
        <w:shd w:val="clear" w:color="auto" w:fill="auto"/>
        <w:spacing w:line="240" w:lineRule="auto"/>
        <w:rPr>
          <w:rFonts w:ascii="Times New Roman" w:hAnsi="Times New Roman" w:cs="Times New Roman"/>
          <w:color w:val="000000" w:themeColor="text1"/>
          <w:sz w:val="16"/>
          <w:szCs w:val="16"/>
        </w:rPr>
      </w:pPr>
    </w:p>
    <w:p w14:paraId="1AF22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началось внедрение в серию Ш-2 на заводе № 31 и первый самолет выпустили 1 апреля 1932 (7621, 34).</w:t>
      </w:r>
    </w:p>
    <w:p w14:paraId="56B26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672970" w14:textId="77777777" w:rsidR="00CD378D" w:rsidRPr="007122AB" w:rsidRDefault="00CD37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были доставлены уже две партии S.62bis. С октября они уже начали поступать в строевые части. 2 декабря 1931 г. приемная комиссия инспектировала еще 30 ящиков.</w:t>
      </w:r>
    </w:p>
    <w:p w14:paraId="4AAD4E0E" w14:textId="77777777" w:rsidR="00CD378D" w:rsidRPr="007122AB" w:rsidRDefault="00CD37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 первые С-62Б поступили в строевые части ВВС Черного и Балтийского морей (РГВА. Ф. 29. Оп. 76. Д. 67. Альбом самолетов и моторов ВВС КА и их характеристика. 8.06.31- 3.12.32 гг. Л. 52.). К 1 ноября на Балтику прибыли десять лодок (РГВА. Ф. 29. Оп. 76. Д. 865. Л. 171.). Их осваивал 62-й отряд 105-й авиабригады. Успешно внедрили итальянские самолеты и на Черном море. В том же ноябре 1931 г. там имелось 25 самолетов (РГВА. Ф. 29. Оп. 76. Д. 865. Л. 171.). Двигатели «Ассо» отправлялись отдельно. Самолеты служили в 64-м отряде и 66-й эскадрилье Морских сил Черного моря (21410).</w:t>
      </w:r>
    </w:p>
    <w:p w14:paraId="75985AE8" w14:textId="77777777" w:rsidR="00CD378D" w:rsidRPr="007122AB" w:rsidRDefault="00CD378D" w:rsidP="007122AB">
      <w:pPr>
        <w:spacing w:after="0" w:line="240" w:lineRule="auto"/>
        <w:jc w:val="both"/>
        <w:rPr>
          <w:rFonts w:ascii="Times New Roman" w:hAnsi="Times New Roman"/>
          <w:color w:val="000000" w:themeColor="text1"/>
          <w:sz w:val="16"/>
          <w:szCs w:val="16"/>
        </w:rPr>
      </w:pPr>
    </w:p>
    <w:p w14:paraId="15667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БОК включили в ЦКБ ЦАГИ в бригаду 6. С октября там началась работа над гондолой стратостата СССР (95,22).</w:t>
      </w:r>
    </w:p>
    <w:p w14:paraId="182CA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594F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сентябрю 1931 года БОК имел аэродром, земельные участки, хорошее конструкторское помещение, 4 ангара, жилые помещения, строилась мастерская площадью 700 кв. м, для которой был полностью получен стройматериал, имелся обоз, подводилась специальная высоковольтная линия, был получен необходимый инструмент и начальное оборудование. Мастерская должна была быть закончена к 7 ноября 1931 года. Имелся следующий личный состав: конструкторский – 8 чел., производственный – 7 чел. и обслуживающий – 8 чел. В начале развертывания </w:t>
      </w:r>
      <w:proofErr w:type="spellStart"/>
      <w:r w:rsidRPr="007122AB">
        <w:rPr>
          <w:rFonts w:ascii="Times New Roman" w:hAnsi="Times New Roman"/>
          <w:color w:val="000000" w:themeColor="text1"/>
          <w:sz w:val="16"/>
          <w:szCs w:val="16"/>
        </w:rPr>
        <w:t>БОКа</w:t>
      </w:r>
      <w:proofErr w:type="spellEnd"/>
      <w:r w:rsidRPr="007122AB">
        <w:rPr>
          <w:rFonts w:ascii="Times New Roman" w:hAnsi="Times New Roman"/>
          <w:color w:val="000000" w:themeColor="text1"/>
          <w:sz w:val="16"/>
          <w:szCs w:val="16"/>
        </w:rPr>
        <w:t xml:space="preserve"> недостаток в людях был сильный, но к осени чувствовался заметный темп роста (7508, 54-58).</w:t>
      </w:r>
    </w:p>
    <w:p w14:paraId="144EF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0A4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года, когда произошло слияние ЦАГИ с 39 авиазаводом, Новый начальник ЦАГИ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имевший большие полномочия, приказал полностью ликвидировать Ухтомскую базу БОК. Фундамент мастерских остался в земле, стройматериалы увезены на строительные работы в ЦАГИ, производственный состав распущен, конструкторский состав БОК вошел в Центральное КБ ЦАГИ в виде отдела опытных конструкций (7508, 54-58).</w:t>
      </w:r>
    </w:p>
    <w:p w14:paraId="676D77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835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совместное существование ЦКБ и опытного производства на заводе № 39 прекратилось – приказом по ВАО ЦКБ было переброшено в ЦАГИ.</w:t>
      </w:r>
    </w:p>
    <w:p w14:paraId="62C50B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года заводу было предложено перестроиться на производство серий больших самолетов ТБ-3.</w:t>
      </w:r>
    </w:p>
    <w:p w14:paraId="3C5E1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Весь 1932 год завод развивал серийное производство самолетов ТБ3, но в феврале 1933 года новым указанием </w:t>
      </w:r>
      <w:proofErr w:type="spellStart"/>
      <w:r w:rsidRPr="007122AB">
        <w:rPr>
          <w:rFonts w:ascii="Times New Roman" w:hAnsi="Times New Roman"/>
          <w:color w:val="000000" w:themeColor="text1"/>
          <w:sz w:val="16"/>
          <w:szCs w:val="16"/>
        </w:rPr>
        <w:t>ГУАПа</w:t>
      </w:r>
      <w:proofErr w:type="spellEnd"/>
      <w:r w:rsidRPr="007122AB">
        <w:rPr>
          <w:rFonts w:ascii="Times New Roman" w:hAnsi="Times New Roman"/>
          <w:color w:val="000000" w:themeColor="text1"/>
          <w:sz w:val="16"/>
          <w:szCs w:val="16"/>
        </w:rPr>
        <w:t xml:space="preserve"> заводу было предписано вновь вернуться к опытному самолетостроению и организовать одновременно производство малых серий.</w:t>
      </w:r>
    </w:p>
    <w:p w14:paraId="00A1B6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56E015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A73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из состава АГОС выделили гидроканал (71,110).</w:t>
      </w:r>
    </w:p>
    <w:p w14:paraId="427C82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B45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началась разработка второго пятилетнего плана на 1933-37. Разработку вел отдел ТЭИ, образованный при </w:t>
      </w:r>
      <w:proofErr w:type="spellStart"/>
      <w:r w:rsidRPr="007122AB">
        <w:rPr>
          <w:rFonts w:ascii="Times New Roman" w:hAnsi="Times New Roman"/>
          <w:color w:val="000000" w:themeColor="text1"/>
          <w:sz w:val="16"/>
          <w:szCs w:val="16"/>
        </w:rPr>
        <w:t>Глававиапроме</w:t>
      </w:r>
      <w:proofErr w:type="spellEnd"/>
      <w:r w:rsidRPr="007122AB">
        <w:rPr>
          <w:rFonts w:ascii="Times New Roman" w:hAnsi="Times New Roman"/>
          <w:color w:val="000000" w:themeColor="text1"/>
          <w:sz w:val="16"/>
          <w:szCs w:val="16"/>
        </w:rPr>
        <w:t xml:space="preserve"> по инициативе </w:t>
      </w:r>
      <w:proofErr w:type="spellStart"/>
      <w:r w:rsidRPr="007122AB">
        <w:rPr>
          <w:rFonts w:ascii="Times New Roman" w:hAnsi="Times New Roman"/>
          <w:color w:val="000000" w:themeColor="text1"/>
          <w:sz w:val="16"/>
          <w:szCs w:val="16"/>
        </w:rPr>
        <w:t>П.И.Баранова</w:t>
      </w:r>
      <w:proofErr w:type="spellEnd"/>
      <w:r w:rsidRPr="007122AB">
        <w:rPr>
          <w:rFonts w:ascii="Times New Roman" w:hAnsi="Times New Roman"/>
          <w:color w:val="000000" w:themeColor="text1"/>
          <w:sz w:val="16"/>
          <w:szCs w:val="16"/>
        </w:rPr>
        <w:t>. В сектор обороны Госплана было представлено два варианта: максимальный и сокращенный. Разбивка на два периода 1933-35 и 1936-37. Утвердили максимальный, корректировали и к 1937 выполнили на 66% (80,421).</w:t>
      </w:r>
    </w:p>
    <w:p w14:paraId="49FD47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9ED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А.А.М. сделал первые два М-34 на заводе 26 - в ноябре 1931 - кончились испытания, хотя чертежи сделали в ИАМ в марте, а работа началась в 1928 (80,72).</w:t>
      </w:r>
    </w:p>
    <w:p w14:paraId="2D7E5C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гос. испытания М-34 закончились к ноябрю 1934 (2122,5).</w:t>
      </w:r>
    </w:p>
    <w:p w14:paraId="63AC2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132A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на заводе № 29 сдавали серию «В» М-22, которую завершили в августе. Только на третьей серии (серии «В») из 40 двигателей удалось достичь ресурса 100 часов. На этой серии ввели фиксированные вкладыши глав</w:t>
      </w:r>
      <w:r w:rsidRPr="007122AB">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7122AB">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7122AB">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7122AB">
        <w:rPr>
          <w:rFonts w:ascii="Times New Roman" w:hAnsi="Times New Roman"/>
          <w:color w:val="000000" w:themeColor="text1"/>
          <w:sz w:val="16"/>
          <w:szCs w:val="16"/>
        </w:rPr>
        <w:softHyphen/>
        <w:t>ловине 30-х годов (11852).</w:t>
      </w:r>
    </w:p>
    <w:p w14:paraId="7D4B22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85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в Тушине под Москвой была устроена широкая демонстрация советской авиатехники для немцев. Правда, по мнению немецких участников (Ф. </w:t>
      </w:r>
      <w:proofErr w:type="spellStart"/>
      <w:r w:rsidRPr="007122AB">
        <w:rPr>
          <w:rFonts w:ascii="Times New Roman" w:hAnsi="Times New Roman"/>
          <w:color w:val="000000" w:themeColor="text1"/>
          <w:sz w:val="16"/>
          <w:szCs w:val="16"/>
        </w:rPr>
        <w:t>Фельми</w:t>
      </w:r>
      <w:proofErr w:type="spellEnd"/>
      <w:r w:rsidRPr="007122AB">
        <w:rPr>
          <w:rFonts w:ascii="Times New Roman" w:hAnsi="Times New Roman"/>
          <w:color w:val="000000" w:themeColor="text1"/>
          <w:sz w:val="16"/>
          <w:szCs w:val="16"/>
        </w:rPr>
        <w:t xml:space="preserve">, Х. </w:t>
      </w:r>
      <w:proofErr w:type="spellStart"/>
      <w:r w:rsidRPr="007122AB">
        <w:rPr>
          <w:rFonts w:ascii="Times New Roman" w:hAnsi="Times New Roman"/>
          <w:color w:val="000000" w:themeColor="text1"/>
          <w:sz w:val="16"/>
          <w:szCs w:val="16"/>
        </w:rPr>
        <w:t>Шпайдель</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Друм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Виммер</w:t>
      </w:r>
      <w:proofErr w:type="spellEnd"/>
      <w:r w:rsidRPr="007122AB">
        <w:rPr>
          <w:rFonts w:ascii="Times New Roman" w:hAnsi="Times New Roman"/>
          <w:color w:val="000000" w:themeColor="text1"/>
          <w:sz w:val="16"/>
          <w:szCs w:val="16"/>
        </w:rPr>
        <w:t xml:space="preserve">),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w:t>
      </w:r>
      <w:proofErr w:type="spellStart"/>
      <w:r w:rsidRPr="007122AB">
        <w:rPr>
          <w:rFonts w:ascii="Times New Roman" w:hAnsi="Times New Roman"/>
          <w:color w:val="000000" w:themeColor="text1"/>
          <w:sz w:val="16"/>
          <w:szCs w:val="16"/>
        </w:rPr>
        <w:t>Фельми</w:t>
      </w:r>
      <w:proofErr w:type="spellEnd"/>
      <w:r w:rsidRPr="007122AB">
        <w:rPr>
          <w:rFonts w:ascii="Times New Roman" w:hAnsi="Times New Roman"/>
          <w:color w:val="000000" w:themeColor="text1"/>
          <w:sz w:val="16"/>
          <w:szCs w:val="16"/>
        </w:rPr>
        <w:t xml:space="preserve">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w:t>
      </w:r>
      <w:proofErr w:type="spellStart"/>
      <w:r w:rsidRPr="007122AB">
        <w:rPr>
          <w:rFonts w:ascii="Times New Roman" w:hAnsi="Times New Roman"/>
          <w:color w:val="000000" w:themeColor="text1"/>
          <w:sz w:val="16"/>
          <w:szCs w:val="16"/>
        </w:rPr>
        <w:t>Шпайделя</w:t>
      </w:r>
      <w:proofErr w:type="spellEnd"/>
      <w:r w:rsidRPr="007122AB">
        <w:rPr>
          <w:rFonts w:ascii="Times New Roman" w:hAnsi="Times New Roman"/>
          <w:color w:val="000000" w:themeColor="text1"/>
          <w:sz w:val="16"/>
          <w:szCs w:val="16"/>
        </w:rPr>
        <w:t>, к 1933 г. благодаря Липецку было подготовлено около 450 немецких летчиков различной квалификации (</w:t>
      </w:r>
      <w:proofErr w:type="spellStart"/>
      <w:r w:rsidRPr="007122AB">
        <w:rPr>
          <w:rFonts w:ascii="Times New Roman" w:hAnsi="Times New Roman"/>
          <w:color w:val="000000" w:themeColor="text1"/>
          <w:sz w:val="16"/>
          <w:szCs w:val="16"/>
        </w:rPr>
        <w:t>Helm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Speidel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xml:space="preserve">. S. 29, 30, 44; </w:t>
      </w:r>
      <w:proofErr w:type="spellStart"/>
      <w:r w:rsidRPr="007122AB">
        <w:rPr>
          <w:rFonts w:ascii="Times New Roman" w:hAnsi="Times New Roman"/>
          <w:color w:val="000000" w:themeColor="text1"/>
          <w:sz w:val="16"/>
          <w:szCs w:val="16"/>
        </w:rPr>
        <w:t>Manfred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Zeidler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cit.с</w:t>
      </w:r>
      <w:proofErr w:type="spellEnd"/>
      <w:r w:rsidRPr="007122AB">
        <w:rPr>
          <w:rFonts w:ascii="Times New Roman" w:hAnsi="Times New Roman"/>
          <w:color w:val="000000" w:themeColor="text1"/>
          <w:sz w:val="16"/>
          <w:szCs w:val="16"/>
        </w:rPr>
        <w:t xml:space="preserve">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w:t>
      </w:r>
      <w:proofErr w:type="spellStart"/>
      <w:r w:rsidRPr="007122AB">
        <w:rPr>
          <w:rFonts w:ascii="Times New Roman" w:hAnsi="Times New Roman"/>
          <w:color w:val="000000" w:themeColor="text1"/>
          <w:sz w:val="16"/>
          <w:szCs w:val="16"/>
        </w:rPr>
        <w:t>Шпайдель</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Штудент</w:t>
      </w:r>
      <w:proofErr w:type="spellEnd"/>
      <w:r w:rsidRPr="007122AB">
        <w:rPr>
          <w:rFonts w:ascii="Times New Roman" w:hAnsi="Times New Roman"/>
          <w:color w:val="000000" w:themeColor="text1"/>
          <w:sz w:val="16"/>
          <w:szCs w:val="16"/>
        </w:rPr>
        <w:t xml:space="preserve">, X. </w:t>
      </w:r>
      <w:proofErr w:type="spellStart"/>
      <w:r w:rsidRPr="007122AB">
        <w:rPr>
          <w:rFonts w:ascii="Times New Roman" w:hAnsi="Times New Roman"/>
          <w:color w:val="000000" w:themeColor="text1"/>
          <w:sz w:val="16"/>
          <w:szCs w:val="16"/>
        </w:rPr>
        <w:t>Ешонек</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Виммер</w:t>
      </w:r>
      <w:proofErr w:type="spellEnd"/>
      <w:r w:rsidRPr="007122AB">
        <w:rPr>
          <w:rFonts w:ascii="Times New Roman" w:hAnsi="Times New Roman"/>
          <w:color w:val="000000" w:themeColor="text1"/>
          <w:sz w:val="16"/>
          <w:szCs w:val="16"/>
        </w:rPr>
        <w:t xml:space="preserve">, Э. </w:t>
      </w:r>
      <w:proofErr w:type="spellStart"/>
      <w:r w:rsidRPr="007122AB">
        <w:rPr>
          <w:rFonts w:ascii="Times New Roman" w:hAnsi="Times New Roman"/>
          <w:color w:val="000000" w:themeColor="text1"/>
          <w:sz w:val="16"/>
          <w:szCs w:val="16"/>
        </w:rPr>
        <w:t>Кваде</w:t>
      </w:r>
      <w:proofErr w:type="spellEnd"/>
      <w:r w:rsidRPr="007122AB">
        <w:rPr>
          <w:rFonts w:ascii="Times New Roman" w:hAnsi="Times New Roman"/>
          <w:color w:val="000000" w:themeColor="text1"/>
          <w:sz w:val="16"/>
          <w:szCs w:val="16"/>
        </w:rPr>
        <w:t xml:space="preserve">, Г. </w:t>
      </w:r>
      <w:proofErr w:type="spellStart"/>
      <w:r w:rsidRPr="007122AB">
        <w:rPr>
          <w:rFonts w:ascii="Times New Roman" w:hAnsi="Times New Roman"/>
          <w:color w:val="000000" w:themeColor="text1"/>
          <w:sz w:val="16"/>
          <w:szCs w:val="16"/>
        </w:rPr>
        <w:t>Кастнер</w:t>
      </w:r>
      <w:proofErr w:type="spellEnd"/>
      <w:r w:rsidRPr="007122AB">
        <w:rPr>
          <w:rFonts w:ascii="Times New Roman" w:hAnsi="Times New Roman"/>
          <w:color w:val="000000" w:themeColor="text1"/>
          <w:sz w:val="16"/>
          <w:szCs w:val="16"/>
        </w:rPr>
        <w:t xml:space="preserve">, О. </w:t>
      </w:r>
      <w:proofErr w:type="spellStart"/>
      <w:r w:rsidRPr="007122AB">
        <w:rPr>
          <w:rFonts w:ascii="Times New Roman" w:hAnsi="Times New Roman"/>
          <w:color w:val="000000" w:themeColor="text1"/>
          <w:sz w:val="16"/>
          <w:szCs w:val="16"/>
        </w:rPr>
        <w:t>Деслох</w:t>
      </w:r>
      <w:proofErr w:type="spellEnd"/>
      <w:r w:rsidRPr="007122AB">
        <w:rPr>
          <w:rFonts w:ascii="Times New Roman" w:hAnsi="Times New Roman"/>
          <w:color w:val="000000" w:themeColor="text1"/>
          <w:sz w:val="16"/>
          <w:szCs w:val="16"/>
        </w:rPr>
        <w:t xml:space="preserve"> и др. (11784).</w:t>
      </w:r>
    </w:p>
    <w:p w14:paraId="776212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702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сентября 1931 г. завод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w:t>
      </w:r>
      <w:proofErr w:type="spellStart"/>
      <w:r w:rsidRPr="007122AB">
        <w:rPr>
          <w:rFonts w:ascii="Times New Roman" w:hAnsi="Times New Roman"/>
          <w:color w:val="000000" w:themeColor="text1"/>
          <w:sz w:val="16"/>
          <w:szCs w:val="16"/>
        </w:rPr>
        <w:t>Омскагрегат</w:t>
      </w:r>
      <w:proofErr w:type="spellEnd"/>
      <w:r w:rsidRPr="007122AB">
        <w:rPr>
          <w:rFonts w:ascii="Times New Roman" w:hAnsi="Times New Roman"/>
          <w:color w:val="000000" w:themeColor="text1"/>
          <w:sz w:val="16"/>
          <w:szCs w:val="16"/>
        </w:rPr>
        <w:t xml:space="preserve">» / г. Москва </w:t>
      </w:r>
      <w:proofErr w:type="spellStart"/>
      <w:r w:rsidRPr="007122AB">
        <w:rPr>
          <w:rFonts w:ascii="Times New Roman" w:hAnsi="Times New Roman"/>
          <w:color w:val="000000" w:themeColor="text1"/>
          <w:sz w:val="16"/>
          <w:szCs w:val="16"/>
        </w:rPr>
        <w:t>Старопетровский</w:t>
      </w:r>
      <w:proofErr w:type="spellEnd"/>
      <w:r w:rsidRPr="007122AB">
        <w:rPr>
          <w:rFonts w:ascii="Times New Roman" w:hAnsi="Times New Roman"/>
          <w:color w:val="000000" w:themeColor="text1"/>
          <w:sz w:val="16"/>
          <w:szCs w:val="16"/>
        </w:rPr>
        <w:t xml:space="preserve"> пр., 41;  г. Омск/ /644007  г. Омск ул. Герцена, 48 тел. 25-05-88,25-12-97/) начал производство нормалей и водяных насосов для М- 17, бензонасосов «</w:t>
      </w:r>
      <w:proofErr w:type="spellStart"/>
      <w:r w:rsidRPr="007122AB">
        <w:rPr>
          <w:rFonts w:ascii="Times New Roman" w:hAnsi="Times New Roman"/>
          <w:color w:val="000000" w:themeColor="text1"/>
          <w:sz w:val="16"/>
          <w:szCs w:val="16"/>
        </w:rPr>
        <w:t>Хорнет</w:t>
      </w:r>
      <w:proofErr w:type="spellEnd"/>
      <w:r w:rsidRPr="007122AB">
        <w:rPr>
          <w:rFonts w:ascii="Times New Roman" w:hAnsi="Times New Roman"/>
          <w:color w:val="000000" w:themeColor="text1"/>
          <w:sz w:val="16"/>
          <w:szCs w:val="16"/>
        </w:rPr>
        <w:t xml:space="preserve">».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w:t>
      </w:r>
      <w:proofErr w:type="spellStart"/>
      <w:r w:rsidRPr="007122AB">
        <w:rPr>
          <w:rFonts w:ascii="Times New Roman" w:hAnsi="Times New Roman"/>
          <w:color w:val="000000" w:themeColor="text1"/>
          <w:sz w:val="16"/>
          <w:szCs w:val="16"/>
        </w:rPr>
        <w:t>предвоеннй</w:t>
      </w:r>
      <w:proofErr w:type="spellEnd"/>
      <w:r w:rsidRPr="007122AB">
        <w:rPr>
          <w:rFonts w:ascii="Times New Roman" w:hAnsi="Times New Roman"/>
          <w:color w:val="000000" w:themeColor="text1"/>
          <w:sz w:val="16"/>
          <w:szCs w:val="16"/>
        </w:rPr>
        <w:t xml:space="preserve">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7122AB">
        <w:rPr>
          <w:rFonts w:ascii="Times New Roman" w:hAnsi="Times New Roman"/>
          <w:color w:val="000000" w:themeColor="text1"/>
          <w:sz w:val="16"/>
          <w:szCs w:val="16"/>
          <w:lang w:val="en-US"/>
        </w:rPr>
        <w:t>Wright</w:t>
      </w:r>
      <w:r w:rsidRPr="007122AB">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52394F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пр. № 80с от 11.03.1938 г. «в целях правильной организации ремонтного производства» на заводе организован ремонтно-эксплуатационный отдел.</w:t>
      </w:r>
    </w:p>
    <w:p w14:paraId="7BBA6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39D08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войной в распоряжение завода переданы помещения расположенного рядом </w:t>
      </w:r>
      <w:proofErr w:type="spellStart"/>
      <w:r w:rsidRPr="007122AB">
        <w:rPr>
          <w:rFonts w:ascii="Times New Roman" w:hAnsi="Times New Roman"/>
          <w:color w:val="000000" w:themeColor="text1"/>
          <w:sz w:val="16"/>
          <w:szCs w:val="16"/>
        </w:rPr>
        <w:t>лесотарного</w:t>
      </w:r>
      <w:proofErr w:type="spellEnd"/>
      <w:r w:rsidRPr="007122AB">
        <w:rPr>
          <w:rFonts w:ascii="Times New Roman" w:hAnsi="Times New Roman"/>
          <w:color w:val="000000" w:themeColor="text1"/>
          <w:sz w:val="16"/>
          <w:szCs w:val="16"/>
        </w:rPr>
        <w:t xml:space="preserve"> завода НКПП (</w:t>
      </w:r>
      <w:proofErr w:type="spellStart"/>
      <w:r w:rsidRPr="007122AB">
        <w:rPr>
          <w:rFonts w:ascii="Times New Roman" w:hAnsi="Times New Roman"/>
          <w:color w:val="000000" w:themeColor="text1"/>
          <w:sz w:val="16"/>
          <w:szCs w:val="16"/>
        </w:rPr>
        <w:t>Старопетровский</w:t>
      </w:r>
      <w:proofErr w:type="spellEnd"/>
      <w:r w:rsidRPr="007122AB">
        <w:rPr>
          <w:rFonts w:ascii="Times New Roman" w:hAnsi="Times New Roman"/>
          <w:color w:val="000000" w:themeColor="text1"/>
          <w:sz w:val="16"/>
          <w:szCs w:val="16"/>
        </w:rPr>
        <w:t xml:space="preserve"> пр., 3).</w:t>
      </w:r>
    </w:p>
    <w:p w14:paraId="1115A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067C2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64DF9C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w:t>
      </w:r>
      <w:proofErr w:type="spellStart"/>
      <w:r w:rsidRPr="007122AB">
        <w:rPr>
          <w:rFonts w:ascii="Times New Roman" w:hAnsi="Times New Roman"/>
          <w:color w:val="000000" w:themeColor="text1"/>
          <w:sz w:val="16"/>
          <w:szCs w:val="16"/>
        </w:rPr>
        <w:t>лесотарного</w:t>
      </w:r>
      <w:proofErr w:type="spellEnd"/>
      <w:r w:rsidRPr="007122AB">
        <w:rPr>
          <w:rFonts w:ascii="Times New Roman" w:hAnsi="Times New Roman"/>
          <w:color w:val="000000" w:themeColor="text1"/>
          <w:sz w:val="16"/>
          <w:szCs w:val="16"/>
        </w:rPr>
        <w:t xml:space="preserve"> завода (</w:t>
      </w:r>
      <w:proofErr w:type="spellStart"/>
      <w:r w:rsidRPr="007122AB">
        <w:rPr>
          <w:rFonts w:ascii="Times New Roman" w:hAnsi="Times New Roman"/>
          <w:color w:val="000000" w:themeColor="text1"/>
          <w:sz w:val="16"/>
          <w:szCs w:val="16"/>
        </w:rPr>
        <w:t>Старопетровский</w:t>
      </w:r>
      <w:proofErr w:type="spellEnd"/>
      <w:r w:rsidRPr="007122AB">
        <w:rPr>
          <w:rFonts w:ascii="Times New Roman" w:hAnsi="Times New Roman"/>
          <w:color w:val="000000" w:themeColor="text1"/>
          <w:sz w:val="16"/>
          <w:szCs w:val="16"/>
        </w:rPr>
        <w:t xml:space="preserve"> пр., 3) переданы обратно в НКПП для налаживания производства корпусов авиабомб.</w:t>
      </w:r>
    </w:p>
    <w:p w14:paraId="71922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0FF863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1953 г. завод переведен из 4ГУ во 2ГУ, с 1.05.1956 г.- в ЗГУ. В соответствии с пост. СМ СССР № 713-342 от 26.06.1957 г. передан в ведение управления </w:t>
      </w:r>
      <w:proofErr w:type="spellStart"/>
      <w:r w:rsidRPr="007122AB">
        <w:rPr>
          <w:rFonts w:ascii="Times New Roman" w:hAnsi="Times New Roman"/>
          <w:color w:val="000000" w:themeColor="text1"/>
          <w:sz w:val="16"/>
          <w:szCs w:val="16"/>
        </w:rPr>
        <w:t>агрегатостроения</w:t>
      </w:r>
      <w:proofErr w:type="spellEnd"/>
      <w:r w:rsidRPr="007122AB">
        <w:rPr>
          <w:rFonts w:ascii="Times New Roman" w:hAnsi="Times New Roman"/>
          <w:color w:val="000000" w:themeColor="text1"/>
          <w:sz w:val="16"/>
          <w:szCs w:val="16"/>
        </w:rPr>
        <w:t xml:space="preserve"> Западно-Сибирского СНХ РСФСР (и в 1962 г.).</w:t>
      </w:r>
    </w:p>
    <w:p w14:paraId="470CB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7122AB">
        <w:rPr>
          <w:rFonts w:ascii="Times New Roman" w:hAnsi="Times New Roman"/>
          <w:color w:val="000000" w:themeColor="text1"/>
          <w:sz w:val="16"/>
          <w:szCs w:val="16"/>
          <w:lang w:val="en-US"/>
        </w:rPr>
        <w:t>JIA</w:t>
      </w:r>
      <w:r w:rsidRPr="007122AB">
        <w:rPr>
          <w:rFonts w:ascii="Times New Roman" w:hAnsi="Times New Roman"/>
          <w:color w:val="000000" w:themeColor="text1"/>
          <w:sz w:val="16"/>
          <w:szCs w:val="16"/>
        </w:rPr>
        <w:t>.</w:t>
      </w:r>
    </w:p>
    <w:p w14:paraId="4DD574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0F5B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D5F5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(1964 г.)- 7025 чел., (1.01.2001 г.)- 5500 чел.</w:t>
      </w:r>
    </w:p>
    <w:p w14:paraId="0DB74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Ивайкин</w:t>
      </w:r>
      <w:proofErr w:type="spellEnd"/>
      <w:r w:rsidRPr="007122AB">
        <w:rPr>
          <w:rFonts w:ascii="Times New Roman" w:hAnsi="Times New Roman"/>
          <w:color w:val="000000" w:themeColor="text1"/>
          <w:sz w:val="16"/>
          <w:szCs w:val="16"/>
        </w:rPr>
        <w:t xml:space="preserve">, (09.1943 г.)- Ермоленко, (-12.1943-02.1944 г.-)- Н.Н. Кругленин, (1946 г.)- </w:t>
      </w:r>
      <w:proofErr w:type="spellStart"/>
      <w:r w:rsidRPr="007122AB">
        <w:rPr>
          <w:rFonts w:ascii="Times New Roman" w:hAnsi="Times New Roman"/>
          <w:color w:val="000000" w:themeColor="text1"/>
          <w:sz w:val="16"/>
          <w:szCs w:val="16"/>
        </w:rPr>
        <w:t>Сибиркин</w:t>
      </w:r>
      <w:proofErr w:type="spellEnd"/>
      <w:r w:rsidRPr="007122AB">
        <w:rPr>
          <w:rFonts w:ascii="Times New Roman" w:hAnsi="Times New Roman"/>
          <w:color w:val="000000" w:themeColor="text1"/>
          <w:sz w:val="16"/>
          <w:szCs w:val="16"/>
        </w:rPr>
        <w:t>, (1979 г.)- Иванов. Гендиректор (1988-90 г.)- А.А. Кульков, (-1992-2002 г.-)- Е. Г. Руденко, (-10.2004-06 г.-&gt; С.А. Морев.</w:t>
      </w:r>
    </w:p>
    <w:p w14:paraId="4A89F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Помощник директора: по </w:t>
      </w:r>
      <w:proofErr w:type="spellStart"/>
      <w:r w:rsidRPr="007122AB">
        <w:rPr>
          <w:rFonts w:ascii="Times New Roman" w:hAnsi="Times New Roman"/>
          <w:color w:val="000000" w:themeColor="text1"/>
          <w:sz w:val="16"/>
          <w:szCs w:val="16"/>
        </w:rPr>
        <w:t>техчасти</w:t>
      </w:r>
      <w:proofErr w:type="spellEnd"/>
      <w:r w:rsidRPr="007122AB">
        <w:rPr>
          <w:rFonts w:ascii="Times New Roman" w:hAnsi="Times New Roman"/>
          <w:color w:val="000000" w:themeColor="text1"/>
          <w:sz w:val="16"/>
          <w:szCs w:val="16"/>
        </w:rPr>
        <w:t xml:space="preserve"> (1930 г.)- Е.Н. </w:t>
      </w:r>
      <w:proofErr w:type="spellStart"/>
      <w:r w:rsidRPr="007122AB">
        <w:rPr>
          <w:rFonts w:ascii="Times New Roman" w:hAnsi="Times New Roman"/>
          <w:color w:val="000000" w:themeColor="text1"/>
          <w:sz w:val="16"/>
          <w:szCs w:val="16"/>
        </w:rPr>
        <w:t>Дмитревский</w:t>
      </w:r>
      <w:proofErr w:type="spellEnd"/>
      <w:r w:rsidRPr="007122AB">
        <w:rPr>
          <w:rFonts w:ascii="Times New Roman" w:hAnsi="Times New Roman"/>
          <w:color w:val="000000" w:themeColor="text1"/>
          <w:sz w:val="16"/>
          <w:szCs w:val="16"/>
        </w:rPr>
        <w:t>; по найму и увольнению (-06.1937-7.12.1938 г.)- А.П. Гусев, (7.12.1938 г.-)- И.А. Уваров.</w:t>
      </w:r>
    </w:p>
    <w:p w14:paraId="2AA982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(10.1940-46 г.-)- П.Н. Тарасов, (1988-90 г.)- А.А. Кульков.</w:t>
      </w:r>
    </w:p>
    <w:p w14:paraId="441003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35634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(12.1937 г.)- </w:t>
      </w:r>
      <w:proofErr w:type="spellStart"/>
      <w:r w:rsidRPr="007122AB">
        <w:rPr>
          <w:rFonts w:ascii="Times New Roman" w:hAnsi="Times New Roman"/>
          <w:color w:val="000000" w:themeColor="text1"/>
          <w:sz w:val="16"/>
          <w:szCs w:val="16"/>
        </w:rPr>
        <w:t>Боцковский</w:t>
      </w:r>
      <w:proofErr w:type="spellEnd"/>
      <w:r w:rsidRPr="007122AB">
        <w:rPr>
          <w:rFonts w:ascii="Times New Roman" w:hAnsi="Times New Roman"/>
          <w:color w:val="000000" w:themeColor="text1"/>
          <w:sz w:val="16"/>
          <w:szCs w:val="16"/>
        </w:rPr>
        <w:t>, (1941 г.)- Ф.С. Деменюк.</w:t>
      </w:r>
    </w:p>
    <w:p w14:paraId="3C369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(1941 г.)- Ф.С. Деменюк; по МФВ (1941 г.)-  Г.С. Телегин. Зам. гендиректора по производству (1990-е)- В.Ф. Беляев, М.А. </w:t>
      </w:r>
      <w:proofErr w:type="spellStart"/>
      <w:r w:rsidRPr="007122AB">
        <w:rPr>
          <w:rFonts w:ascii="Times New Roman" w:hAnsi="Times New Roman"/>
          <w:color w:val="000000" w:themeColor="text1"/>
          <w:sz w:val="16"/>
          <w:szCs w:val="16"/>
        </w:rPr>
        <w:t>Пыхаев</w:t>
      </w:r>
      <w:proofErr w:type="spellEnd"/>
      <w:r w:rsidRPr="007122AB">
        <w:rPr>
          <w:rFonts w:ascii="Times New Roman" w:hAnsi="Times New Roman"/>
          <w:color w:val="000000" w:themeColor="text1"/>
          <w:sz w:val="16"/>
          <w:szCs w:val="16"/>
        </w:rPr>
        <w:t>; (2006 г.)- С.К. Малиновский.</w:t>
      </w:r>
    </w:p>
    <w:p w14:paraId="167B1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7122AB">
        <w:rPr>
          <w:rFonts w:ascii="Times New Roman" w:hAnsi="Times New Roman"/>
          <w:color w:val="000000" w:themeColor="text1"/>
          <w:sz w:val="16"/>
          <w:szCs w:val="16"/>
          <w:vertAlign w:val="superscript"/>
        </w:rPr>
        <w:t>69</w:t>
      </w:r>
    </w:p>
    <w:p w14:paraId="0A5F5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инструментального (-07.1938 г.)- М.И. Горячев; перспективного развития (10.2004 г.)- Н.А. </w:t>
      </w:r>
      <w:proofErr w:type="spellStart"/>
      <w:r w:rsidRPr="007122AB">
        <w:rPr>
          <w:rFonts w:ascii="Times New Roman" w:hAnsi="Times New Roman"/>
          <w:color w:val="000000" w:themeColor="text1"/>
          <w:sz w:val="16"/>
          <w:szCs w:val="16"/>
        </w:rPr>
        <w:t>Раат</w:t>
      </w:r>
      <w:proofErr w:type="spellEnd"/>
      <w:r w:rsidRPr="007122AB">
        <w:rPr>
          <w:rFonts w:ascii="Times New Roman" w:hAnsi="Times New Roman"/>
          <w:color w:val="000000" w:themeColor="text1"/>
          <w:sz w:val="16"/>
          <w:szCs w:val="16"/>
        </w:rPr>
        <w:t>.</w:t>
      </w:r>
    </w:p>
    <w:p w14:paraId="06192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детали для </w:t>
      </w:r>
      <w:r w:rsidRPr="007122AB">
        <w:rPr>
          <w:rFonts w:ascii="Times New Roman" w:hAnsi="Times New Roman"/>
          <w:color w:val="000000" w:themeColor="text1"/>
          <w:sz w:val="16"/>
          <w:szCs w:val="16"/>
          <w:lang w:val="en-US"/>
        </w:rPr>
        <w:t>PC</w:t>
      </w:r>
      <w:r w:rsidRPr="007122AB">
        <w:rPr>
          <w:rFonts w:ascii="Times New Roman" w:hAnsi="Times New Roman"/>
          <w:color w:val="000000" w:themeColor="text1"/>
          <w:sz w:val="16"/>
          <w:szCs w:val="16"/>
        </w:rPr>
        <w:t xml:space="preserve"> М-13 (1942) (11982).</w:t>
      </w:r>
    </w:p>
    <w:p w14:paraId="0D01EC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E29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ГИРД получил признание Осоавиахима (105,138).</w:t>
      </w:r>
    </w:p>
    <w:p w14:paraId="183E9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E1BB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УВВС выдвинуло набор предложений по ЗАМ и ПБМ и Майзеля: ввести отъемную ГЧ (как у морских торпед), увеличить заряд ВВ, унифицировать ЗАМ и ПБМ, обеспечить управление по радио. Предлагали разработать и новые приборы - с подрывом по радиосигналу, со </w:t>
      </w:r>
      <w:proofErr w:type="spellStart"/>
      <w:r w:rsidRPr="007122AB">
        <w:rPr>
          <w:rFonts w:ascii="Times New Roman" w:hAnsi="Times New Roman"/>
          <w:color w:val="000000" w:themeColor="text1"/>
          <w:sz w:val="16"/>
          <w:szCs w:val="16"/>
        </w:rPr>
        <w:t>шрапнельно</w:t>
      </w:r>
      <w:proofErr w:type="spellEnd"/>
      <w:r w:rsidRPr="007122AB">
        <w:rPr>
          <w:rFonts w:ascii="Times New Roman" w:hAnsi="Times New Roman"/>
          <w:color w:val="000000" w:themeColor="text1"/>
          <w:sz w:val="16"/>
          <w:szCs w:val="16"/>
        </w:rPr>
        <w:t xml:space="preserve"> ГЧ и т.п. (8908,36).</w:t>
      </w:r>
    </w:p>
    <w:p w14:paraId="75D2AB1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FB1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согласно Технико-экономическому паспорту был организован Всесоюзный НИИ с/х и лесной авиации им. Яковлева (ВНИИСХА)</w:t>
      </w:r>
    </w:p>
    <w:p w14:paraId="14C285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Москва, Елецкий пер., 7</w:t>
      </w:r>
    </w:p>
    <w:p w14:paraId="0586D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Цели и задачи: изучение условий, разработка методики и техники применения авиации в сельском и лесном хозяйстве.</w:t>
      </w:r>
    </w:p>
    <w:p w14:paraId="21ED5F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……………….(7726, 19-30).</w:t>
      </w:r>
    </w:p>
    <w:p w14:paraId="2A823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43F4C8" w14:textId="77777777" w:rsidR="00CD378D" w:rsidRPr="007122AB" w:rsidRDefault="00CD37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Нобиле подписал предварительное соглашение с ВОГВФ (в лице его начальника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xml:space="preserve"> Абрама Зиновьевича), регулирующее сотрудничество Нобиле с «</w:t>
      </w:r>
      <w:proofErr w:type="spellStart"/>
      <w:r w:rsidRPr="007122AB">
        <w:rPr>
          <w:rFonts w:ascii="Times New Roman" w:hAnsi="Times New Roman"/>
          <w:color w:val="000000" w:themeColor="text1"/>
          <w:sz w:val="16"/>
          <w:szCs w:val="16"/>
        </w:rPr>
        <w:t>Дирижаблестроем</w:t>
      </w:r>
      <w:proofErr w:type="spellEnd"/>
      <w:r w:rsidRPr="007122AB">
        <w:rPr>
          <w:rFonts w:ascii="Times New Roman" w:hAnsi="Times New Roman"/>
          <w:color w:val="000000" w:themeColor="text1"/>
          <w:sz w:val="16"/>
          <w:szCs w:val="16"/>
        </w:rPr>
        <w:t>». Идентичная копия предварительного соглашения хранится также в РГАЭ (РГАЭ. Ф. 9574. Оп. 1. Д. 11. «Дело о приглашении инженера Нобиля на работу в Советский Союз в качестве специалиста по дирижаблестроению». 1931 г. Л. 4-6.). Оно оговаривало также возможность организации в 1933-1934 гг. советской воздушной экспедиции в Арктику на дирижабле объемом 40 тыс. м3 под командованием Нобиле. Экспедиция должна была продолжаться «не менее 5-ти последовательных месяцев, как с целью изучения самой Арктики, так и для установления возможности применять дирижабли для обслуживания Арктики. К этому времени должна быть построена в Арктике специальная база с эллингом нормального типа». Данный пункт вошел и в окончательный договор Нобиле с «</w:t>
      </w:r>
      <w:proofErr w:type="spellStart"/>
      <w:r w:rsidRPr="007122AB">
        <w:rPr>
          <w:rFonts w:ascii="Times New Roman" w:hAnsi="Times New Roman"/>
          <w:color w:val="000000" w:themeColor="text1"/>
          <w:sz w:val="16"/>
          <w:szCs w:val="16"/>
        </w:rPr>
        <w:t>Дирижаблестроем</w:t>
      </w:r>
      <w:proofErr w:type="spellEnd"/>
      <w:r w:rsidRPr="007122AB">
        <w:rPr>
          <w:rFonts w:ascii="Times New Roman" w:hAnsi="Times New Roman"/>
          <w:color w:val="000000" w:themeColor="text1"/>
          <w:sz w:val="16"/>
          <w:szCs w:val="16"/>
        </w:rPr>
        <w:t>». Однако, как известно, в дальнейшем эти планы не были осуществлены (21410).</w:t>
      </w:r>
    </w:p>
    <w:p w14:paraId="38126E41" w14:textId="77777777" w:rsidR="00CD378D" w:rsidRPr="007122AB" w:rsidRDefault="00CD378D" w:rsidP="007122AB">
      <w:pPr>
        <w:spacing w:after="0" w:line="240" w:lineRule="auto"/>
        <w:jc w:val="both"/>
        <w:rPr>
          <w:rFonts w:ascii="Times New Roman" w:hAnsi="Times New Roman"/>
          <w:color w:val="000000" w:themeColor="text1"/>
          <w:sz w:val="16"/>
          <w:szCs w:val="16"/>
        </w:rPr>
      </w:pPr>
    </w:p>
    <w:p w14:paraId="635B3DD6"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1931 г. на очередном собрании энтузиастов ракето</w:t>
      </w:r>
      <w:r w:rsidRPr="00441F34">
        <w:rPr>
          <w:rFonts w:ascii="Times New Roman" w:hAnsi="Times New Roman"/>
          <w:color w:val="0070C0"/>
          <w:sz w:val="16"/>
          <w:szCs w:val="16"/>
        </w:rPr>
        <w:softHyphen/>
        <w:t>строения и космонав</w:t>
      </w:r>
      <w:r w:rsidRPr="00441F34">
        <w:rPr>
          <w:rFonts w:ascii="Times New Roman" w:hAnsi="Times New Roman"/>
          <w:color w:val="0070C0"/>
          <w:sz w:val="16"/>
          <w:szCs w:val="16"/>
        </w:rPr>
        <w:softHyphen/>
        <w:t xml:space="preserve">тики Королев и Цандер сообщили </w:t>
      </w:r>
      <w:proofErr w:type="spellStart"/>
      <w:r w:rsidRPr="00441F34">
        <w:rPr>
          <w:rFonts w:ascii="Times New Roman" w:hAnsi="Times New Roman"/>
          <w:color w:val="0070C0"/>
          <w:sz w:val="16"/>
          <w:szCs w:val="16"/>
        </w:rPr>
        <w:t>о</w:t>
      </w:r>
      <w:r w:rsidRPr="00441F34">
        <w:rPr>
          <w:rFonts w:ascii="Times New Roman" w:hAnsi="Times New Roman"/>
          <w:color w:val="0070C0"/>
          <w:sz w:val="16"/>
          <w:szCs w:val="16"/>
        </w:rPr>
        <w:softHyphen/>
        <w:t>говоренности</w:t>
      </w:r>
      <w:proofErr w:type="spellEnd"/>
      <w:r w:rsidRPr="00441F34">
        <w:rPr>
          <w:rFonts w:ascii="Times New Roman" w:hAnsi="Times New Roman"/>
          <w:color w:val="0070C0"/>
          <w:sz w:val="16"/>
          <w:szCs w:val="16"/>
        </w:rPr>
        <w:t xml:space="preserve"> Осоавиахимом о создании ГИРД и пред</w:t>
      </w:r>
      <w:r w:rsidRPr="00441F34">
        <w:rPr>
          <w:rFonts w:ascii="Times New Roman" w:hAnsi="Times New Roman"/>
          <w:color w:val="0070C0"/>
          <w:sz w:val="16"/>
          <w:szCs w:val="16"/>
        </w:rPr>
        <w:softHyphen/>
        <w:t>ложили всем конкрет</w:t>
      </w:r>
      <w:r w:rsidRPr="00441F34">
        <w:rPr>
          <w:rFonts w:ascii="Times New Roman" w:hAnsi="Times New Roman"/>
          <w:color w:val="0070C0"/>
          <w:sz w:val="16"/>
          <w:szCs w:val="16"/>
        </w:rPr>
        <w:softHyphen/>
        <w:t>ное дело: как можно быстрее построить не</w:t>
      </w:r>
      <w:r w:rsidRPr="00441F34">
        <w:rPr>
          <w:rFonts w:ascii="Times New Roman" w:hAnsi="Times New Roman"/>
          <w:color w:val="0070C0"/>
          <w:sz w:val="16"/>
          <w:szCs w:val="16"/>
        </w:rPr>
        <w:softHyphen/>
        <w:t>большой ракетоплан. Летая на малой высоте и с малой скоростью, он наглядно покажет всем реальность ра</w:t>
      </w:r>
      <w:r w:rsidRPr="00441F34">
        <w:rPr>
          <w:rFonts w:ascii="Times New Roman" w:hAnsi="Times New Roman"/>
          <w:color w:val="0070C0"/>
          <w:sz w:val="16"/>
          <w:szCs w:val="16"/>
        </w:rPr>
        <w:softHyphen/>
        <w:t>кетной техники на жидком топливе.</w:t>
      </w:r>
    </w:p>
    <w:p w14:paraId="3E60381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Таким образом, Цандер и Королев первыми в СССР поверну</w:t>
      </w:r>
      <w:r w:rsidRPr="00441F34">
        <w:rPr>
          <w:rFonts w:ascii="Times New Roman" w:hAnsi="Times New Roman"/>
          <w:color w:val="0070C0"/>
          <w:sz w:val="16"/>
          <w:szCs w:val="16"/>
        </w:rPr>
        <w:softHyphen/>
        <w:t>ли идею полетов в космос в сторону практического воплощения, начиная с самого первого шага: создания летающих аппаратов. Цандера избрали руководителем ГИРД, Королева — председате</w:t>
      </w:r>
      <w:r w:rsidRPr="00441F34">
        <w:rPr>
          <w:rFonts w:ascii="Times New Roman" w:hAnsi="Times New Roman"/>
          <w:color w:val="0070C0"/>
          <w:sz w:val="16"/>
          <w:szCs w:val="16"/>
        </w:rPr>
        <w:softHyphen/>
        <w:t>лем технического совета (23550).</w:t>
      </w:r>
    </w:p>
    <w:p w14:paraId="0C54EC81" w14:textId="77777777" w:rsidR="007F1987" w:rsidRPr="00441F34" w:rsidRDefault="007F1987" w:rsidP="007F1987">
      <w:pPr>
        <w:spacing w:after="0" w:line="240" w:lineRule="auto"/>
        <w:jc w:val="both"/>
        <w:rPr>
          <w:rFonts w:ascii="Times New Roman" w:hAnsi="Times New Roman"/>
          <w:color w:val="0070C0"/>
          <w:sz w:val="16"/>
          <w:szCs w:val="16"/>
        </w:rPr>
      </w:pPr>
    </w:p>
    <w:p w14:paraId="6047DE7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02EC64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7E0053" w14:textId="77777777" w:rsidR="00CD378D" w:rsidRPr="007122AB" w:rsidRDefault="00CD378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Японское вторжение в Маньчжурию и её последующая оккупация форсировали ряд мер увеличения мобилизационной готовности промышленности, которые были запланированы уже в первые месяцы 1931 г. В определённой степени, события декабря 1931 г. и первой половины 1932 г., когда японская угроза стала реальностью, представляли собой попытку советского руководства задействовать мобилизационный план, отдельные положения которого ещё не были в достаточной мере изучены (9089).</w:t>
      </w:r>
    </w:p>
    <w:p w14:paraId="79DF35C2" w14:textId="77777777" w:rsidR="00CD378D" w:rsidRPr="007122AB" w:rsidRDefault="00CD378D" w:rsidP="007122AB">
      <w:pPr>
        <w:spacing w:after="0" w:line="240" w:lineRule="auto"/>
        <w:jc w:val="both"/>
        <w:rPr>
          <w:rFonts w:ascii="Times New Roman" w:hAnsi="Times New Roman"/>
          <w:color w:val="000000" w:themeColor="text1"/>
          <w:sz w:val="16"/>
          <w:szCs w:val="16"/>
        </w:rPr>
      </w:pPr>
    </w:p>
    <w:p w14:paraId="5D79C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(решение об образовании принято в 1928г.) на базе перебазированного из г. Ленинграда коллектива ЦНИЛ-84 ВСНХ на территории фабрики нитрошелка (затем - корпус № 57 института) образован ВХНИИ НКТП (НИИ-6 НКОП, НКБ, МСХМ, ММ, МОП,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xml:space="preserve">, ГКОТ, </w:t>
      </w:r>
      <w:proofErr w:type="spellStart"/>
      <w:r w:rsidRPr="007122AB">
        <w:rPr>
          <w:rFonts w:ascii="Times New Roman" w:hAnsi="Times New Roman"/>
          <w:color w:val="000000" w:themeColor="text1"/>
          <w:sz w:val="16"/>
          <w:szCs w:val="16"/>
        </w:rPr>
        <w:t>Военно</w:t>
      </w:r>
      <w:proofErr w:type="spellEnd"/>
      <w:r w:rsidRPr="007122AB">
        <w:rPr>
          <w:rFonts w:ascii="Times New Roman" w:hAnsi="Times New Roman"/>
          <w:color w:val="000000" w:themeColor="text1"/>
          <w:sz w:val="16"/>
          <w:szCs w:val="16"/>
        </w:rPr>
        <w:t xml:space="preserve"> -химический НИИ (ВХНИИ) НКТП, НИИ химических материалов (НИИХМ), ФГУП ГНЦ «ЦНИИ химии и механики» (ЦНИИХМ) </w:t>
      </w:r>
      <w:proofErr w:type="spellStart"/>
      <w:r w:rsidRPr="007122AB">
        <w:rPr>
          <w:rFonts w:ascii="Times New Roman" w:hAnsi="Times New Roman"/>
          <w:color w:val="000000" w:themeColor="text1"/>
          <w:sz w:val="16"/>
          <w:szCs w:val="16"/>
        </w:rPr>
        <w:t>Росбоеприпаса</w:t>
      </w:r>
      <w:proofErr w:type="spellEnd"/>
      <w:r w:rsidRPr="007122AB">
        <w:rPr>
          <w:rFonts w:ascii="Times New Roman" w:hAnsi="Times New Roman"/>
          <w:color w:val="000000" w:themeColor="text1"/>
          <w:sz w:val="16"/>
          <w:szCs w:val="16"/>
        </w:rPr>
        <w:t xml:space="preserve"> /115487 г. Москва ул. Нагатинская, 16Ател. 111-87-13/) для исследования и работ по порохам, ВВ, пиротехническим средствам и средствам инициирования.</w:t>
      </w:r>
    </w:p>
    <w:p w14:paraId="230CA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1934 г. при институте действовал полигон. На базе спецлаборатории института создан самостоятельный ХИМ-2 (далее - НИИ-2 НКОП).</w:t>
      </w:r>
    </w:p>
    <w:p w14:paraId="36CE57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СНК № 2139-425сс от 21.12.1936г. и пр. НКОП № 05с от 29.12.1936г. ВХНИИ передан из Порохового треста </w:t>
      </w:r>
      <w:proofErr w:type="spellStart"/>
      <w:r w:rsidRPr="007122AB">
        <w:rPr>
          <w:rFonts w:ascii="Times New Roman" w:hAnsi="Times New Roman"/>
          <w:color w:val="000000" w:themeColor="text1"/>
          <w:sz w:val="16"/>
          <w:szCs w:val="16"/>
        </w:rPr>
        <w:t>Главазота</w:t>
      </w:r>
      <w:proofErr w:type="spellEnd"/>
      <w:r w:rsidRPr="007122AB">
        <w:rPr>
          <w:rFonts w:ascii="Times New Roman" w:hAnsi="Times New Roman"/>
          <w:color w:val="000000" w:themeColor="text1"/>
          <w:sz w:val="16"/>
          <w:szCs w:val="16"/>
        </w:rPr>
        <w:t xml:space="preserve"> НКТП в ведение ГУ военно-химической промышленности НКОП и по пр.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30.12.1936г. переименован в НИИ-6, в 02.1937г. - в ведении 6ГУ НКОП. В соответствии с пост. СНК № 1960-390сс от 5.11.1936г. и пр. № 068 от 2.04.1937г. институт переведен в группу особо режимных предприятий. По пр. № 0089 от 20.04.1937г. передан из 6ГУ в новое 11ГУ. В 02.1939г. НИИ № 6 ПГУ НКОП передан в ведение 11ГУ НКБ, в 06.1939г. - в ведении ЗГУ НКБ.</w:t>
      </w:r>
      <w:r w:rsidRPr="007122AB">
        <w:rPr>
          <w:rFonts w:ascii="Times New Roman" w:hAnsi="Times New Roman"/>
          <w:color w:val="000000" w:themeColor="text1"/>
          <w:sz w:val="16"/>
          <w:szCs w:val="16"/>
          <w:vertAlign w:val="superscript"/>
        </w:rPr>
        <w:t>132</w:t>
      </w:r>
    </w:p>
    <w:p w14:paraId="24F92E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Ведущий институт пороховой промышленности. До войны проведены работы по расширению сырьевой базы </w:t>
      </w:r>
      <w:proofErr w:type="spellStart"/>
      <w:r w:rsidRPr="007122AB">
        <w:rPr>
          <w:rFonts w:ascii="Times New Roman" w:hAnsi="Times New Roman"/>
          <w:color w:val="000000" w:themeColor="text1"/>
          <w:sz w:val="16"/>
          <w:szCs w:val="16"/>
        </w:rPr>
        <w:t>пороходелия</w:t>
      </w:r>
      <w:proofErr w:type="spellEnd"/>
      <w:r w:rsidRPr="007122AB">
        <w:rPr>
          <w:rFonts w:ascii="Times New Roman" w:hAnsi="Times New Roman"/>
          <w:color w:val="000000" w:themeColor="text1"/>
          <w:sz w:val="16"/>
          <w:szCs w:val="16"/>
        </w:rPr>
        <w:t xml:space="preserve"> путем замены хлопковой целлюлозы облагороженной древесной целлюлозой ВЦА (И.М, Найман) и по разработке ускоренных методов фабрикации пироксилина («УФ»), Были разработаны и внедрены нитроглицериновые </w:t>
      </w:r>
      <w:proofErr w:type="spellStart"/>
      <w:r w:rsidRPr="007122AB">
        <w:rPr>
          <w:rFonts w:ascii="Times New Roman" w:hAnsi="Times New Roman"/>
          <w:color w:val="000000" w:themeColor="text1"/>
          <w:sz w:val="16"/>
          <w:szCs w:val="16"/>
        </w:rPr>
        <w:t>баллиститные</w:t>
      </w:r>
      <w:proofErr w:type="spellEnd"/>
      <w:r w:rsidRPr="007122AB">
        <w:rPr>
          <w:rFonts w:ascii="Times New Roman" w:hAnsi="Times New Roman"/>
          <w:color w:val="000000" w:themeColor="text1"/>
          <w:sz w:val="16"/>
          <w:szCs w:val="16"/>
        </w:rPr>
        <w:t xml:space="preserve"> пороха (НЦ-10, НФ) для артиллерии и ракетных двигателей.</w:t>
      </w:r>
    </w:p>
    <w:p w14:paraId="068AD6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1937г. А.О. </w:t>
      </w:r>
      <w:proofErr w:type="spellStart"/>
      <w:r w:rsidRPr="007122AB">
        <w:rPr>
          <w:rFonts w:ascii="Times New Roman" w:hAnsi="Times New Roman"/>
          <w:color w:val="000000" w:themeColor="text1"/>
          <w:sz w:val="16"/>
          <w:szCs w:val="16"/>
        </w:rPr>
        <w:t>Нисенманом</w:t>
      </w:r>
      <w:proofErr w:type="spellEnd"/>
      <w:r w:rsidRPr="007122AB">
        <w:rPr>
          <w:rFonts w:ascii="Times New Roman" w:hAnsi="Times New Roman"/>
          <w:color w:val="000000" w:themeColor="text1"/>
          <w:sz w:val="16"/>
          <w:szCs w:val="16"/>
        </w:rPr>
        <w:t xml:space="preserve"> разработана установка для промышленного производства пироксилина, по пр. № 055 от 20.03.1937г. она должна была быть внедрена на заводе № 9.</w:t>
      </w:r>
    </w:p>
    <w:p w14:paraId="174C20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22.02.1937г. вышел приказ № 039 об организации в институте базы по стандартизации и взаимозаменяемости по пороху и техническому оборудованию пороховых производств. По пр. № 00103 от 9.05.1937г. на завод № 80 командировано два технолога.</w:t>
      </w:r>
    </w:p>
    <w:p w14:paraId="5E835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147сс от 4.05.1938г. группа по авиабомбам института переведена в созданное ГСКБ-47.</w:t>
      </w:r>
    </w:p>
    <w:p w14:paraId="7087CD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правительства № 223сс от 10.09.1938г. и пр. № 381сс от 29.09.1938г. требовалось организовать лабораторию по исследованию </w:t>
      </w:r>
      <w:proofErr w:type="spellStart"/>
      <w:r w:rsidRPr="007122AB">
        <w:rPr>
          <w:rFonts w:ascii="Times New Roman" w:hAnsi="Times New Roman"/>
          <w:color w:val="000000" w:themeColor="text1"/>
          <w:sz w:val="16"/>
          <w:szCs w:val="16"/>
        </w:rPr>
        <w:t>пирозапуска</w:t>
      </w:r>
      <w:proofErr w:type="spellEnd"/>
      <w:r w:rsidRPr="007122AB">
        <w:rPr>
          <w:rFonts w:ascii="Times New Roman" w:hAnsi="Times New Roman"/>
          <w:color w:val="000000" w:themeColor="text1"/>
          <w:sz w:val="16"/>
          <w:szCs w:val="16"/>
        </w:rPr>
        <w:t xml:space="preserve"> авиационных моторов.</w:t>
      </w:r>
    </w:p>
    <w:p w14:paraId="24DA70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Велись также разработки (1939г.): ВВ; непрерывных технологий производства мощных ВВ и их снаряжения; осветительных и сигнальных средств; зажигательных веществ; капсюлей; </w:t>
      </w:r>
      <w:proofErr w:type="spellStart"/>
      <w:r w:rsidRPr="007122AB">
        <w:rPr>
          <w:rFonts w:ascii="Times New Roman" w:hAnsi="Times New Roman"/>
          <w:color w:val="000000" w:themeColor="text1"/>
          <w:sz w:val="16"/>
          <w:szCs w:val="16"/>
        </w:rPr>
        <w:t>спецпуль</w:t>
      </w:r>
      <w:proofErr w:type="spellEnd"/>
      <w:r w:rsidRPr="007122AB">
        <w:rPr>
          <w:rFonts w:ascii="Times New Roman" w:hAnsi="Times New Roman"/>
          <w:color w:val="000000" w:themeColor="text1"/>
          <w:sz w:val="16"/>
          <w:szCs w:val="16"/>
        </w:rPr>
        <w:t>; отработка дымовых составов; пуленепробиваемые блоки. План НИОКР на 1941 г. включал 207 тем.</w:t>
      </w:r>
    </w:p>
    <w:p w14:paraId="6B269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Имелся (06.1939г.) лабораторный корпус площадью 9035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xml:space="preserve">. Всего в составе института (06.1939г.): 38 лабораторий и полузаводских установок; пороховая и пироксилиновая мастерские; КБ; испытательная станция с производств (прибор для измерения расхода катализатора, </w:t>
      </w:r>
      <w:proofErr w:type="spellStart"/>
      <w:r w:rsidRPr="007122AB">
        <w:rPr>
          <w:rFonts w:ascii="Times New Roman" w:hAnsi="Times New Roman"/>
          <w:color w:val="000000" w:themeColor="text1"/>
          <w:sz w:val="16"/>
          <w:szCs w:val="16"/>
        </w:rPr>
        <w:t>концентратомер</w:t>
      </w:r>
      <w:proofErr w:type="spellEnd"/>
      <w:r w:rsidRPr="007122AB">
        <w:rPr>
          <w:rFonts w:ascii="Times New Roman" w:hAnsi="Times New Roman"/>
          <w:color w:val="000000" w:themeColor="text1"/>
          <w:sz w:val="16"/>
          <w:szCs w:val="16"/>
        </w:rPr>
        <w:t xml:space="preserve"> щелочи, </w:t>
      </w:r>
      <w:proofErr w:type="spellStart"/>
      <w:r w:rsidRPr="007122AB">
        <w:rPr>
          <w:rFonts w:ascii="Times New Roman" w:hAnsi="Times New Roman"/>
          <w:color w:val="000000" w:themeColor="text1"/>
          <w:sz w:val="16"/>
          <w:szCs w:val="16"/>
        </w:rPr>
        <w:t>узкопредельный</w:t>
      </w:r>
      <w:proofErr w:type="spellEnd"/>
      <w:r w:rsidRPr="007122AB">
        <w:rPr>
          <w:rFonts w:ascii="Times New Roman" w:hAnsi="Times New Roman"/>
          <w:color w:val="000000" w:themeColor="text1"/>
          <w:sz w:val="16"/>
          <w:szCs w:val="16"/>
        </w:rPr>
        <w:t xml:space="preserve"> индикатор температуры, уровнемер сжиженных газов, устройство для измерения температуры вращающихся валков).</w:t>
      </w:r>
    </w:p>
    <w:p w14:paraId="4377E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НКБ № 317 от 23.07.1941 г. в НИИ-6 на базе опытных установок было организовано производство ВВ - тэна (мастерская корпуса № 23) и амматола 80/20 (мастерская корпуса УФ), пороха МК для трубок и взрывателей (мастерская лаборатории дымных порохов № 5), зарядов для </w:t>
      </w:r>
      <w:r w:rsidRPr="007122AB">
        <w:rPr>
          <w:rFonts w:ascii="Times New Roman" w:hAnsi="Times New Roman"/>
          <w:color w:val="000000" w:themeColor="text1"/>
          <w:sz w:val="16"/>
          <w:szCs w:val="16"/>
          <w:lang w:val="en-US"/>
        </w:rPr>
        <w:t>PC</w:t>
      </w:r>
      <w:r w:rsidRPr="007122AB">
        <w:rPr>
          <w:rFonts w:ascii="Times New Roman" w:hAnsi="Times New Roman"/>
          <w:color w:val="000000" w:themeColor="text1"/>
          <w:sz w:val="16"/>
          <w:szCs w:val="16"/>
        </w:rPr>
        <w:t xml:space="preserve"> М-13 (корпус № 18), нафтената алюминия ОП-2. На базе корпуса № 19 организована мастерская по снаряжению противотанковых мин ТМ-35; на базе испытательного штрека и части корпусов № 2 и № 12 - мастерская по производству зажигательного состава ДУ-5. В лаборатории № 15 налажен выпуск голубого люминофора, в мастерской лаборатории инициирующих веществ - взрывных заклепок для </w:t>
      </w:r>
      <w:proofErr w:type="spellStart"/>
      <w:r w:rsidRPr="007122AB">
        <w:rPr>
          <w:rFonts w:ascii="Times New Roman" w:hAnsi="Times New Roman"/>
          <w:color w:val="000000" w:themeColor="text1"/>
          <w:sz w:val="16"/>
          <w:szCs w:val="16"/>
        </w:rPr>
        <w:t>авиаремонта</w:t>
      </w:r>
      <w:proofErr w:type="spellEnd"/>
      <w:r w:rsidRPr="007122AB">
        <w:rPr>
          <w:rFonts w:ascii="Times New Roman" w:hAnsi="Times New Roman"/>
          <w:color w:val="000000" w:themeColor="text1"/>
          <w:sz w:val="16"/>
          <w:szCs w:val="16"/>
        </w:rPr>
        <w:t>. Велось также снаряжение ручных гранат РГД-33.</w:t>
      </w:r>
    </w:p>
    <w:p w14:paraId="6A877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составе институте действовали полигон, стрельбище, стенд, испытательная станция, лаборатории: пиротехническая № 16, контрольно-аналитическая, капсюльная; зарядное бюро по зарядам к гранатам, ОТК; имелись корпуса № 25,26.</w:t>
      </w:r>
    </w:p>
    <w:p w14:paraId="6AC09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приказом НКБ № 14/620 от 22.10.1941 г. НИИ-6 эвакуирован в г. Кемерово на комбинаты № 319 и 392 НКБ (институт работал в Москве по 15.10.1941 г.) и в Чебоксары на завод № 320. Все оставшееся на 1.11.1941 г.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1941 г. группа преобразована в Московский филиал. Группой велись работы: отработка бронепрожигающих снарядов и мин; разработка гранаты, выстреливаемой из ракетницы, ручной кумулятивной противотанковой гранаты РПГ-6; снаряжение запалов.</w:t>
      </w:r>
    </w:p>
    <w:p w14:paraId="7A7F51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П.1941 г. на базе опытных мастерских НИИ-6 организовали </w:t>
      </w:r>
      <w:proofErr w:type="spellStart"/>
      <w:r w:rsidRPr="007122AB">
        <w:rPr>
          <w:rFonts w:ascii="Times New Roman" w:hAnsi="Times New Roman"/>
          <w:color w:val="000000" w:themeColor="text1"/>
          <w:sz w:val="16"/>
          <w:szCs w:val="16"/>
        </w:rPr>
        <w:t>боеприпасное</w:t>
      </w:r>
      <w:proofErr w:type="spellEnd"/>
      <w:r w:rsidRPr="007122AB">
        <w:rPr>
          <w:rFonts w:ascii="Times New Roman" w:hAnsi="Times New Roman"/>
          <w:color w:val="000000" w:themeColor="text1"/>
          <w:sz w:val="16"/>
          <w:szCs w:val="16"/>
        </w:rPr>
        <w:t xml:space="preserve"> производство, являвшееся филиалом завода № 575. Приказом НКБ № 35 от 26.11.1941 г. оно выделено в самостоятельное предприятие- ГСЗ НИИ № 6. В 04.1941 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01646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04BAB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w:t>
      </w:r>
      <w:proofErr w:type="spellStart"/>
      <w:r w:rsidRPr="007122AB">
        <w:rPr>
          <w:rFonts w:ascii="Times New Roman" w:hAnsi="Times New Roman"/>
          <w:color w:val="000000" w:themeColor="text1"/>
          <w:sz w:val="16"/>
          <w:szCs w:val="16"/>
        </w:rPr>
        <w:t>огнесмеси</w:t>
      </w:r>
      <w:proofErr w:type="spellEnd"/>
      <w:r w:rsidRPr="007122AB">
        <w:rPr>
          <w:rFonts w:ascii="Times New Roman" w:hAnsi="Times New Roman"/>
          <w:color w:val="000000" w:themeColor="text1"/>
          <w:sz w:val="16"/>
          <w:szCs w:val="16"/>
        </w:rPr>
        <w:t>.</w:t>
      </w:r>
    </w:p>
    <w:p w14:paraId="0B1F0A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40DB5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войны создана лаборатория вязких </w:t>
      </w:r>
      <w:proofErr w:type="spellStart"/>
      <w:r w:rsidRPr="007122AB">
        <w:rPr>
          <w:rFonts w:ascii="Times New Roman" w:hAnsi="Times New Roman"/>
          <w:color w:val="000000" w:themeColor="text1"/>
          <w:sz w:val="16"/>
          <w:szCs w:val="16"/>
        </w:rPr>
        <w:t>опнесмесей</w:t>
      </w:r>
      <w:proofErr w:type="spellEnd"/>
      <w:r w:rsidRPr="007122AB">
        <w:rPr>
          <w:rFonts w:ascii="Times New Roman" w:hAnsi="Times New Roman"/>
          <w:color w:val="000000" w:themeColor="text1"/>
          <w:sz w:val="16"/>
          <w:szCs w:val="16"/>
        </w:rPr>
        <w:t>. В начале 1941 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3A181E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4A682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19892E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3EB83E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3D4675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530E3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631820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2FA3C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399F8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3837F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56D3A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112C36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682E2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4CD32F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(1931-33г.)- М.А. Никитин, (1933-36г.)- Зайденберг, (1936-5.01.1938г.)- Я.Л. Березницкий, (5.01.1938-41 г.)- Н.И. Иконников, (14.07.1941-04.1948г.)- А.П. </w:t>
      </w:r>
      <w:proofErr w:type="spellStart"/>
      <w:r w:rsidRPr="007122AB">
        <w:rPr>
          <w:rFonts w:ascii="Times New Roman" w:hAnsi="Times New Roman"/>
          <w:color w:val="000000" w:themeColor="text1"/>
          <w:sz w:val="16"/>
          <w:szCs w:val="16"/>
        </w:rPr>
        <w:t>Закощиков</w:t>
      </w:r>
      <w:proofErr w:type="spellEnd"/>
      <w:r w:rsidRPr="007122AB">
        <w:rPr>
          <w:rFonts w:ascii="Times New Roman" w:hAnsi="Times New Roman"/>
          <w:color w:val="000000" w:themeColor="text1"/>
          <w:sz w:val="16"/>
          <w:szCs w:val="16"/>
        </w:rPr>
        <w:t xml:space="preserve">, (1948-53г.-)- Т.И. </w:t>
      </w:r>
      <w:proofErr w:type="spellStart"/>
      <w:r w:rsidRPr="007122AB">
        <w:rPr>
          <w:rFonts w:ascii="Times New Roman" w:hAnsi="Times New Roman"/>
          <w:color w:val="000000" w:themeColor="text1"/>
          <w:sz w:val="16"/>
          <w:szCs w:val="16"/>
        </w:rPr>
        <w:t>Агафин</w:t>
      </w:r>
      <w:proofErr w:type="spellEnd"/>
      <w:r w:rsidRPr="007122AB">
        <w:rPr>
          <w:rFonts w:ascii="Times New Roman" w:hAnsi="Times New Roman"/>
          <w:color w:val="000000" w:themeColor="text1"/>
          <w:sz w:val="16"/>
          <w:szCs w:val="16"/>
        </w:rPr>
        <w:t>, (1956г.)-</w:t>
      </w:r>
    </w:p>
    <w:p w14:paraId="5CCB8766" w14:textId="77777777" w:rsidR="005C4849" w:rsidRPr="007122AB" w:rsidRDefault="005C4849" w:rsidP="007122AB">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B. А. Сухих, (1962-70 г.)- И.И. Вернидуб, (1970 г.-)- Н.Н. Афонский, (-1984-90-е)- Ю.И. Краснощеков, (-2000-01 г.-&gt;</w:t>
      </w:r>
    </w:p>
    <w:p w14:paraId="071644C0" w14:textId="77777777" w:rsidR="005C4849" w:rsidRPr="007122AB" w:rsidRDefault="005C4849" w:rsidP="007122AB">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С. Фокин.</w:t>
      </w:r>
      <w:r w:rsidRPr="007122AB">
        <w:rPr>
          <w:rFonts w:ascii="Times New Roman" w:hAnsi="Times New Roman"/>
          <w:color w:val="000000" w:themeColor="text1"/>
          <w:sz w:val="16"/>
          <w:szCs w:val="16"/>
          <w:vertAlign w:val="superscript"/>
        </w:rPr>
        <w:t>69</w:t>
      </w:r>
    </w:p>
    <w:p w14:paraId="7C5834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зам. директора (1970-84г.)- И.И. Вернидуб.</w:t>
      </w:r>
      <w:r w:rsidRPr="007122AB">
        <w:rPr>
          <w:rFonts w:ascii="Times New Roman" w:hAnsi="Times New Roman"/>
          <w:color w:val="000000" w:themeColor="text1"/>
          <w:sz w:val="16"/>
          <w:szCs w:val="16"/>
          <w:vertAlign w:val="superscript"/>
        </w:rPr>
        <w:t>56</w:t>
      </w:r>
      <w:r w:rsidRPr="007122AB">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5EDFC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по порохам (1941 г.)- Т.И. Яковлев, Г.К. Клименко, А.К. </w:t>
      </w:r>
      <w:proofErr w:type="spellStart"/>
      <w:r w:rsidRPr="007122AB">
        <w:rPr>
          <w:rFonts w:ascii="Times New Roman" w:hAnsi="Times New Roman"/>
          <w:color w:val="000000" w:themeColor="text1"/>
          <w:sz w:val="16"/>
          <w:szCs w:val="16"/>
        </w:rPr>
        <w:t>Вострухин</w:t>
      </w:r>
      <w:proofErr w:type="spellEnd"/>
      <w:r w:rsidRPr="007122AB">
        <w:rPr>
          <w:rFonts w:ascii="Times New Roman" w:hAnsi="Times New Roman"/>
          <w:color w:val="000000" w:themeColor="text1"/>
          <w:sz w:val="16"/>
          <w:szCs w:val="16"/>
        </w:rPr>
        <w:t xml:space="preserve">; по ВВ, снаряжению и пиротехнике- Е.М. </w:t>
      </w:r>
      <w:proofErr w:type="spellStart"/>
      <w:r w:rsidRPr="007122AB">
        <w:rPr>
          <w:rFonts w:ascii="Times New Roman" w:hAnsi="Times New Roman"/>
          <w:color w:val="000000" w:themeColor="text1"/>
          <w:sz w:val="16"/>
          <w:szCs w:val="16"/>
        </w:rPr>
        <w:t>Адаскин</w:t>
      </w:r>
      <w:proofErr w:type="spellEnd"/>
      <w:r w:rsidRPr="007122AB">
        <w:rPr>
          <w:rFonts w:ascii="Times New Roman" w:hAnsi="Times New Roman"/>
          <w:color w:val="000000" w:themeColor="text1"/>
          <w:sz w:val="16"/>
          <w:szCs w:val="16"/>
        </w:rPr>
        <w:t xml:space="preserve">, В.З. </w:t>
      </w:r>
      <w:proofErr w:type="spellStart"/>
      <w:r w:rsidRPr="007122AB">
        <w:rPr>
          <w:rFonts w:ascii="Times New Roman" w:hAnsi="Times New Roman"/>
          <w:color w:val="000000" w:themeColor="text1"/>
          <w:sz w:val="16"/>
          <w:szCs w:val="16"/>
        </w:rPr>
        <w:t>Смоляницкий</w:t>
      </w:r>
      <w:proofErr w:type="spellEnd"/>
      <w:r w:rsidRPr="007122AB">
        <w:rPr>
          <w:rFonts w:ascii="Times New Roman" w:hAnsi="Times New Roman"/>
          <w:color w:val="000000" w:themeColor="text1"/>
          <w:sz w:val="16"/>
          <w:szCs w:val="16"/>
        </w:rPr>
        <w:t>.</w:t>
      </w:r>
    </w:p>
    <w:p w14:paraId="4B219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филиалов: № 1 (1941 г.-)- А.А. Иванов, (12.1941 г.-)- Н.Ф. Ус; № 2 (1941 г.-)- И.Г. </w:t>
      </w:r>
      <w:proofErr w:type="spellStart"/>
      <w:r w:rsidRPr="007122AB">
        <w:rPr>
          <w:rFonts w:ascii="Times New Roman" w:hAnsi="Times New Roman"/>
          <w:color w:val="000000" w:themeColor="text1"/>
          <w:sz w:val="16"/>
          <w:szCs w:val="16"/>
        </w:rPr>
        <w:t>Лопук</w:t>
      </w:r>
      <w:proofErr w:type="spellEnd"/>
      <w:r w:rsidRPr="007122AB">
        <w:rPr>
          <w:rFonts w:ascii="Times New Roman" w:hAnsi="Times New Roman"/>
          <w:color w:val="000000" w:themeColor="text1"/>
          <w:sz w:val="16"/>
          <w:szCs w:val="16"/>
        </w:rPr>
        <w:t xml:space="preserve">; № 3 (1941 г.-)- В.З. </w:t>
      </w:r>
      <w:proofErr w:type="spellStart"/>
      <w:r w:rsidRPr="007122AB">
        <w:rPr>
          <w:rFonts w:ascii="Times New Roman" w:hAnsi="Times New Roman"/>
          <w:color w:val="000000" w:themeColor="text1"/>
          <w:sz w:val="16"/>
          <w:szCs w:val="16"/>
        </w:rPr>
        <w:t>Смоляницкий</w:t>
      </w:r>
      <w:proofErr w:type="spellEnd"/>
      <w:r w:rsidRPr="007122AB">
        <w:rPr>
          <w:rFonts w:ascii="Times New Roman" w:hAnsi="Times New Roman"/>
          <w:color w:val="000000" w:themeColor="text1"/>
          <w:sz w:val="16"/>
          <w:szCs w:val="16"/>
        </w:rPr>
        <w:t>; № 4 (1941 г.-)- А.П. Ионов.</w:t>
      </w:r>
    </w:p>
    <w:p w14:paraId="62AD40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4-го (1937г.)- Широков; баллистического (20.11.1925г.-)- В.В. </w:t>
      </w:r>
      <w:proofErr w:type="spellStart"/>
      <w:r w:rsidRPr="007122AB">
        <w:rPr>
          <w:rFonts w:ascii="Times New Roman" w:hAnsi="Times New Roman"/>
          <w:color w:val="000000" w:themeColor="text1"/>
          <w:sz w:val="16"/>
          <w:szCs w:val="16"/>
        </w:rPr>
        <w:t>Хожев</w:t>
      </w:r>
      <w:proofErr w:type="spellEnd"/>
      <w:r w:rsidRPr="007122AB">
        <w:rPr>
          <w:rFonts w:ascii="Times New Roman" w:hAnsi="Times New Roman"/>
          <w:color w:val="000000" w:themeColor="text1"/>
          <w:sz w:val="16"/>
          <w:szCs w:val="16"/>
        </w:rPr>
        <w:t xml:space="preserve">; порохового- В.В. </w:t>
      </w:r>
      <w:proofErr w:type="spellStart"/>
      <w:r w:rsidRPr="007122AB">
        <w:rPr>
          <w:rFonts w:ascii="Times New Roman" w:hAnsi="Times New Roman"/>
          <w:color w:val="000000" w:themeColor="text1"/>
          <w:sz w:val="16"/>
          <w:szCs w:val="16"/>
        </w:rPr>
        <w:t>Хожев</w:t>
      </w:r>
      <w:proofErr w:type="spellEnd"/>
      <w:r w:rsidRPr="007122AB">
        <w:rPr>
          <w:rFonts w:ascii="Times New Roman" w:hAnsi="Times New Roman"/>
          <w:color w:val="000000" w:themeColor="text1"/>
          <w:sz w:val="16"/>
          <w:szCs w:val="16"/>
        </w:rPr>
        <w:t xml:space="preserve">; ОТК (1941 г.)- В.Г. </w:t>
      </w:r>
      <w:proofErr w:type="spellStart"/>
      <w:r w:rsidRPr="007122AB">
        <w:rPr>
          <w:rFonts w:ascii="Times New Roman" w:hAnsi="Times New Roman"/>
          <w:color w:val="000000" w:themeColor="text1"/>
          <w:sz w:val="16"/>
          <w:szCs w:val="16"/>
        </w:rPr>
        <w:t>Раздрогин</w:t>
      </w:r>
      <w:proofErr w:type="spellEnd"/>
      <w:r w:rsidRPr="007122AB">
        <w:rPr>
          <w:rFonts w:ascii="Times New Roman" w:hAnsi="Times New Roman"/>
          <w:color w:val="000000" w:themeColor="text1"/>
          <w:sz w:val="16"/>
          <w:szCs w:val="16"/>
        </w:rPr>
        <w:t xml:space="preserve">; (02.1937г.)- </w:t>
      </w:r>
      <w:proofErr w:type="spellStart"/>
      <w:r w:rsidRPr="007122AB">
        <w:rPr>
          <w:rFonts w:ascii="Times New Roman" w:hAnsi="Times New Roman"/>
          <w:color w:val="000000" w:themeColor="text1"/>
          <w:sz w:val="16"/>
          <w:szCs w:val="16"/>
        </w:rPr>
        <w:t>Вигский</w:t>
      </w:r>
      <w:proofErr w:type="spellEnd"/>
      <w:r w:rsidRPr="007122AB">
        <w:rPr>
          <w:rFonts w:ascii="Times New Roman" w:hAnsi="Times New Roman"/>
          <w:color w:val="000000" w:themeColor="text1"/>
          <w:sz w:val="16"/>
          <w:szCs w:val="16"/>
        </w:rPr>
        <w:t xml:space="preserve">, (1960 г.)- А.В. Воронов. Зам. начальников отделов: порохового- В.В. </w:t>
      </w:r>
      <w:proofErr w:type="spellStart"/>
      <w:r w:rsidRPr="007122AB">
        <w:rPr>
          <w:rFonts w:ascii="Times New Roman" w:hAnsi="Times New Roman"/>
          <w:color w:val="000000" w:themeColor="text1"/>
          <w:sz w:val="16"/>
          <w:szCs w:val="16"/>
        </w:rPr>
        <w:t>Хожев</w:t>
      </w:r>
      <w:proofErr w:type="spellEnd"/>
      <w:r w:rsidRPr="007122AB">
        <w:rPr>
          <w:rFonts w:ascii="Times New Roman" w:hAnsi="Times New Roman"/>
          <w:color w:val="000000" w:themeColor="text1"/>
          <w:sz w:val="16"/>
          <w:szCs w:val="16"/>
        </w:rPr>
        <w:t>; (1960 г.)- В.И. Комков.</w:t>
      </w:r>
    </w:p>
    <w:p w14:paraId="2BA12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лабораторий: № 15 (1941 г.)- Н.Ф. Жиров; № 16 (1940 г.)- С.И. Беленький; целлюлозного сырья для порохов (193 8-41 г.)- А.П. </w:t>
      </w:r>
      <w:proofErr w:type="spellStart"/>
      <w:r w:rsidRPr="007122AB">
        <w:rPr>
          <w:rFonts w:ascii="Times New Roman" w:hAnsi="Times New Roman"/>
          <w:color w:val="000000" w:themeColor="text1"/>
          <w:sz w:val="16"/>
          <w:szCs w:val="16"/>
        </w:rPr>
        <w:t>Закощиков</w:t>
      </w:r>
      <w:proofErr w:type="spellEnd"/>
      <w:r w:rsidRPr="007122AB">
        <w:rPr>
          <w:rFonts w:ascii="Times New Roman" w:hAnsi="Times New Roman"/>
          <w:color w:val="000000" w:themeColor="text1"/>
          <w:sz w:val="16"/>
          <w:szCs w:val="16"/>
        </w:rPr>
        <w:t>; кумулятивных боеприпасов (</w:t>
      </w:r>
      <w:r w:rsidRPr="007122AB">
        <w:rPr>
          <w:rFonts w:ascii="Times New Roman" w:hAnsi="Times New Roman"/>
          <w:color w:val="000000" w:themeColor="text1"/>
          <w:sz w:val="16"/>
          <w:szCs w:val="16"/>
          <w:lang w:val="en-US"/>
        </w:rPr>
        <w:t>BOB</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Ломова; вязких </w:t>
      </w:r>
      <w:proofErr w:type="spellStart"/>
      <w:r w:rsidRPr="007122AB">
        <w:rPr>
          <w:rFonts w:ascii="Times New Roman" w:hAnsi="Times New Roman"/>
          <w:color w:val="000000" w:themeColor="text1"/>
          <w:sz w:val="16"/>
          <w:szCs w:val="16"/>
        </w:rPr>
        <w:t>огнесмесей</w:t>
      </w:r>
      <w:proofErr w:type="spellEnd"/>
      <w:r w:rsidRPr="007122AB">
        <w:rPr>
          <w:rFonts w:ascii="Times New Roman" w:hAnsi="Times New Roman"/>
          <w:color w:val="000000" w:themeColor="text1"/>
          <w:sz w:val="16"/>
          <w:szCs w:val="16"/>
        </w:rPr>
        <w:t xml:space="preserve"> (ВОВ)- А.П. Ионов; пороховой- В.В. </w:t>
      </w:r>
      <w:proofErr w:type="spellStart"/>
      <w:r w:rsidRPr="007122AB">
        <w:rPr>
          <w:rFonts w:ascii="Times New Roman" w:hAnsi="Times New Roman"/>
          <w:color w:val="000000" w:themeColor="text1"/>
          <w:sz w:val="16"/>
          <w:szCs w:val="16"/>
        </w:rPr>
        <w:t>Хожев</w:t>
      </w:r>
      <w:proofErr w:type="spellEnd"/>
      <w:r w:rsidRPr="007122AB">
        <w:rPr>
          <w:rFonts w:ascii="Times New Roman" w:hAnsi="Times New Roman"/>
          <w:color w:val="000000" w:themeColor="text1"/>
          <w:sz w:val="16"/>
          <w:szCs w:val="16"/>
        </w:rPr>
        <w:t xml:space="preserve">; БЧ противоракет (-1960-67г.)- В.И. Комков, (1967г.-)- Ю.Н. </w:t>
      </w:r>
      <w:proofErr w:type="spellStart"/>
      <w:r w:rsidRPr="007122AB">
        <w:rPr>
          <w:rFonts w:ascii="Times New Roman" w:hAnsi="Times New Roman"/>
          <w:color w:val="000000" w:themeColor="text1"/>
          <w:sz w:val="16"/>
          <w:szCs w:val="16"/>
        </w:rPr>
        <w:t>Лазинцев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баллиститных</w:t>
      </w:r>
      <w:proofErr w:type="spellEnd"/>
      <w:r w:rsidRPr="007122AB">
        <w:rPr>
          <w:rFonts w:ascii="Times New Roman" w:hAnsi="Times New Roman"/>
          <w:color w:val="000000" w:themeColor="text1"/>
          <w:sz w:val="16"/>
          <w:szCs w:val="16"/>
        </w:rPr>
        <w:t xml:space="preserve"> порохов (-1934-37г.-)- Б.П. Фомин (порох «Н»); (1941 г.)- Б.П. Жуков, Е.З. Плюшкин, (09.1945г.-)- К.И. Козорезов, (1948г.)- М.П. Дынкин (РДТТ), С.Т. Мудрак (РДТТ), (1960 г.)- Б.М. Богданов, (1960 г.)- Н.И. Попов, (1980 г.)- М.М. </w:t>
      </w:r>
      <w:proofErr w:type="spellStart"/>
      <w:r w:rsidRPr="007122AB">
        <w:rPr>
          <w:rFonts w:ascii="Times New Roman" w:hAnsi="Times New Roman"/>
          <w:color w:val="000000" w:themeColor="text1"/>
          <w:sz w:val="16"/>
          <w:szCs w:val="16"/>
        </w:rPr>
        <w:t>Растопшин</w:t>
      </w:r>
      <w:proofErr w:type="spellEnd"/>
      <w:r w:rsidRPr="007122AB">
        <w:rPr>
          <w:rFonts w:ascii="Times New Roman" w:hAnsi="Times New Roman"/>
          <w:color w:val="000000" w:themeColor="text1"/>
          <w:sz w:val="16"/>
          <w:szCs w:val="16"/>
        </w:rPr>
        <w:t xml:space="preserve"> (противотанковое вооружение).</w:t>
      </w:r>
    </w:p>
    <w:p w14:paraId="60922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Научный руководитель лаборатории </w:t>
      </w:r>
      <w:proofErr w:type="spellStart"/>
      <w:r w:rsidRPr="007122AB">
        <w:rPr>
          <w:rFonts w:ascii="Times New Roman" w:hAnsi="Times New Roman"/>
          <w:color w:val="000000" w:themeColor="text1"/>
          <w:sz w:val="16"/>
          <w:szCs w:val="16"/>
        </w:rPr>
        <w:t>баллиститных</w:t>
      </w:r>
      <w:proofErr w:type="spellEnd"/>
      <w:r w:rsidRPr="007122AB">
        <w:rPr>
          <w:rFonts w:ascii="Times New Roman" w:hAnsi="Times New Roman"/>
          <w:color w:val="000000" w:themeColor="text1"/>
          <w:sz w:val="16"/>
          <w:szCs w:val="16"/>
        </w:rPr>
        <w:t xml:space="preserve"> порохов (1934-13.12.1937г.)- А.С. Бакаев (репрессирован). Зам. начальника лаборатории: № 16 (06.1940-41 г.-)- И.И. Вернидуб. Гл. конструкторы: (1955г.-)- А.В. Воронов (БЧ противоракет).</w:t>
      </w:r>
    </w:p>
    <w:p w14:paraId="615A5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мастерских: противотанковых мин (1941 г.-)- К. </w:t>
      </w:r>
      <w:proofErr w:type="spellStart"/>
      <w:r w:rsidRPr="007122AB">
        <w:rPr>
          <w:rFonts w:ascii="Times New Roman" w:hAnsi="Times New Roman"/>
          <w:color w:val="000000" w:themeColor="text1"/>
          <w:sz w:val="16"/>
          <w:szCs w:val="16"/>
        </w:rPr>
        <w:t>Хильмончик</w:t>
      </w:r>
      <w:proofErr w:type="spellEnd"/>
      <w:r w:rsidRPr="007122AB">
        <w:rPr>
          <w:rFonts w:ascii="Times New Roman" w:hAnsi="Times New Roman"/>
          <w:color w:val="000000" w:themeColor="text1"/>
          <w:sz w:val="16"/>
          <w:szCs w:val="16"/>
        </w:rPr>
        <w:t xml:space="preserve">;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w:t>
      </w:r>
      <w:proofErr w:type="spellStart"/>
      <w:r w:rsidRPr="007122AB">
        <w:rPr>
          <w:rFonts w:ascii="Times New Roman" w:hAnsi="Times New Roman"/>
          <w:color w:val="000000" w:themeColor="text1"/>
          <w:sz w:val="16"/>
          <w:szCs w:val="16"/>
        </w:rPr>
        <w:t>Хожев</w:t>
      </w:r>
      <w:proofErr w:type="spellEnd"/>
      <w:r w:rsidRPr="007122AB">
        <w:rPr>
          <w:rFonts w:ascii="Times New Roman" w:hAnsi="Times New Roman"/>
          <w:color w:val="000000" w:themeColor="text1"/>
          <w:sz w:val="16"/>
          <w:szCs w:val="16"/>
        </w:rPr>
        <w:t>. Зам. начальника корпуса № 18 (1941 г.)- Е.З. Плюшкин.</w:t>
      </w:r>
    </w:p>
    <w:p w14:paraId="60CE2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бюро: СТБ (1941 г.-)- И.М. Найман; зарядного- В.В. </w:t>
      </w:r>
      <w:proofErr w:type="spellStart"/>
      <w:r w:rsidRPr="007122AB">
        <w:rPr>
          <w:rFonts w:ascii="Times New Roman" w:hAnsi="Times New Roman"/>
          <w:color w:val="000000" w:themeColor="text1"/>
          <w:sz w:val="16"/>
          <w:szCs w:val="16"/>
        </w:rPr>
        <w:t>Хожев</w:t>
      </w:r>
      <w:proofErr w:type="spellEnd"/>
      <w:r w:rsidRPr="007122AB">
        <w:rPr>
          <w:rFonts w:ascii="Times New Roman" w:hAnsi="Times New Roman"/>
          <w:color w:val="000000" w:themeColor="text1"/>
          <w:sz w:val="16"/>
          <w:szCs w:val="16"/>
        </w:rPr>
        <w:t xml:space="preserve">, (ВОВ)- И.Г. </w:t>
      </w:r>
      <w:proofErr w:type="spellStart"/>
      <w:r w:rsidRPr="007122AB">
        <w:rPr>
          <w:rFonts w:ascii="Times New Roman" w:hAnsi="Times New Roman"/>
          <w:color w:val="000000" w:themeColor="text1"/>
          <w:sz w:val="16"/>
          <w:szCs w:val="16"/>
        </w:rPr>
        <w:t>Лопук</w:t>
      </w:r>
      <w:proofErr w:type="spellEnd"/>
      <w:r w:rsidRPr="007122AB">
        <w:rPr>
          <w:rFonts w:ascii="Times New Roman" w:hAnsi="Times New Roman"/>
          <w:color w:val="000000" w:themeColor="text1"/>
          <w:sz w:val="16"/>
          <w:szCs w:val="16"/>
        </w:rPr>
        <w:t xml:space="preserve">; СКБ (1940-е)- М.И. </w:t>
      </w:r>
      <w:proofErr w:type="spellStart"/>
      <w:r w:rsidRPr="007122AB">
        <w:rPr>
          <w:rFonts w:ascii="Times New Roman" w:hAnsi="Times New Roman"/>
          <w:color w:val="000000" w:themeColor="text1"/>
          <w:sz w:val="16"/>
          <w:szCs w:val="16"/>
        </w:rPr>
        <w:t>Воротвов</w:t>
      </w:r>
      <w:proofErr w:type="spellEnd"/>
      <w:r w:rsidRPr="007122AB">
        <w:rPr>
          <w:rFonts w:ascii="Times New Roman" w:hAnsi="Times New Roman"/>
          <w:color w:val="000000" w:themeColor="text1"/>
          <w:sz w:val="16"/>
          <w:szCs w:val="16"/>
        </w:rPr>
        <w:t>.</w:t>
      </w:r>
    </w:p>
    <w:p w14:paraId="5FD1D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пороха: «Н» (1930-е), НЦ-10, НФ (1938), ПС (</w:t>
      </w:r>
      <w:proofErr w:type="spellStart"/>
      <w:r w:rsidRPr="007122AB">
        <w:rPr>
          <w:rFonts w:ascii="Times New Roman" w:hAnsi="Times New Roman"/>
          <w:color w:val="000000" w:themeColor="text1"/>
          <w:sz w:val="16"/>
          <w:szCs w:val="16"/>
        </w:rPr>
        <w:t>пироксилино</w:t>
      </w:r>
      <w:proofErr w:type="spellEnd"/>
      <w:r w:rsidRPr="007122AB">
        <w:rPr>
          <w:rFonts w:ascii="Times New Roman" w:hAnsi="Times New Roman"/>
          <w:color w:val="000000" w:themeColor="text1"/>
          <w:sz w:val="16"/>
          <w:szCs w:val="16"/>
        </w:rPr>
        <w:t>-селитренный, 1941), ПК (</w:t>
      </w:r>
      <w:proofErr w:type="spellStart"/>
      <w:r w:rsidRPr="007122AB">
        <w:rPr>
          <w:rFonts w:ascii="Times New Roman" w:hAnsi="Times New Roman"/>
          <w:color w:val="000000" w:themeColor="text1"/>
          <w:sz w:val="16"/>
          <w:szCs w:val="16"/>
        </w:rPr>
        <w:t>пироксилино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канифолышй</w:t>
      </w:r>
      <w:proofErr w:type="spellEnd"/>
      <w:r w:rsidRPr="007122AB">
        <w:rPr>
          <w:rFonts w:ascii="Times New Roman" w:hAnsi="Times New Roman"/>
          <w:color w:val="000000" w:themeColor="text1"/>
          <w:sz w:val="16"/>
          <w:szCs w:val="16"/>
        </w:rPr>
        <w:t>, ВОВ); пороховое снаряжение БЧ и шашки двигателей для РС-132, пороховые заряды 9X111,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w:t>
      </w:r>
      <w:proofErr w:type="spellStart"/>
      <w:r w:rsidRPr="007122AB">
        <w:rPr>
          <w:rFonts w:ascii="Times New Roman" w:hAnsi="Times New Roman"/>
          <w:color w:val="000000" w:themeColor="text1"/>
          <w:sz w:val="16"/>
          <w:szCs w:val="16"/>
        </w:rPr>
        <w:t>нефос</w:t>
      </w:r>
      <w:proofErr w:type="spellEnd"/>
      <w:r w:rsidRPr="007122AB">
        <w:rPr>
          <w:rFonts w:ascii="Times New Roman" w:hAnsi="Times New Roman"/>
          <w:color w:val="000000" w:themeColor="text1"/>
          <w:sz w:val="16"/>
          <w:szCs w:val="16"/>
        </w:rPr>
        <w:t>»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 (11982).</w:t>
      </w:r>
    </w:p>
    <w:p w14:paraId="0F90E1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271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на базе перебазированного в Москву из Ленинграда коллектива ЦНИЛ-84 образован (решение об образовании принято в 1928 г.) ВХНИИ НКТП, далее- НИИ-6.</w:t>
      </w:r>
    </w:p>
    <w:p w14:paraId="29E322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ЦНИЛ-84- М.А. Никитин (затем он- первый директор ВХНИИ).</w:t>
      </w:r>
    </w:p>
    <w:p w14:paraId="09A1A7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бригады (-1928-ЗО г.)- А.С. Бакаев (репрессирован, работал в ОВТБ НКВД) (11982).</w:t>
      </w:r>
    </w:p>
    <w:p w14:paraId="19966879" w14:textId="77777777" w:rsidR="004D11D4" w:rsidRPr="007122AB" w:rsidRDefault="004D11D4" w:rsidP="007122AB">
      <w:pPr>
        <w:autoSpaceDE w:val="0"/>
        <w:autoSpaceDN w:val="0"/>
        <w:adjustRightInd w:val="0"/>
        <w:spacing w:after="0" w:line="240" w:lineRule="auto"/>
        <w:jc w:val="both"/>
        <w:rPr>
          <w:rFonts w:ascii="Times New Roman" w:hAnsi="Times New Roman"/>
          <w:color w:val="000000" w:themeColor="text1"/>
          <w:sz w:val="16"/>
          <w:szCs w:val="16"/>
        </w:rPr>
      </w:pPr>
    </w:p>
    <w:p w14:paraId="3A32B3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сентябре 1931 года Управление ВМС телеграммой изменило калибр ствола для зенитной пушки с длиной ствола 45 калибров со 102-мм на 100-мм (3861).</w:t>
      </w:r>
    </w:p>
    <w:p w14:paraId="46215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088BAB"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завод «Большевик» приступил к переделке 130/55-мм пушки в полигональную по чертежам АНИМИ. В состав её боекомплекта входили следующие снаряды: полубронебойный весом 36,86 кг, вес ВВ — 4,74 кг; фугасный весом 36,86 кг, вес ВВ — 3,9 кг; полубронебойный весом 33,5 кг, вес ВВ — 1,67 кг; осколочно-фугасный весом 33,5 кг, вес ВВ — 3,64 кг; дистанционная граната весом 33,5 кг, вес ВВ — 2,64 кг; ныряющий снаряд весом 33,14 кг, вес ВВ — 6,58 кг; осветительный </w:t>
      </w:r>
      <w:proofErr w:type="spellStart"/>
      <w:r w:rsidRPr="007122AB">
        <w:rPr>
          <w:rFonts w:ascii="Times New Roman" w:hAnsi="Times New Roman"/>
          <w:color w:val="000000" w:themeColor="text1"/>
          <w:sz w:val="16"/>
          <w:szCs w:val="16"/>
        </w:rPr>
        <w:t>беспарашюгный</w:t>
      </w:r>
      <w:proofErr w:type="spellEnd"/>
      <w:r w:rsidRPr="007122AB">
        <w:rPr>
          <w:rFonts w:ascii="Times New Roman" w:hAnsi="Times New Roman"/>
          <w:color w:val="000000" w:themeColor="text1"/>
          <w:sz w:val="16"/>
          <w:szCs w:val="16"/>
        </w:rPr>
        <w:t xml:space="preserve"> весом 34,3 кг. Для этого же орудия в 1930-х гг. были спроектированы осколочно-химические снаряды (по типу снарядов обр. 1928 г.). По штату на КР «Червонная Украина» предполагалось иметь 80 осколочно-химических снарядов на ствол. Для всех основных снарядов использовался боевой пороховой заряд весом 11 кг, а для осветительного и ныряющего снарядов — специальные заряды 7,5 кг и 0,8 кг соответственно. Дальность стрельбы дистанционной гранаты, шрапнели и осветительного снаряда определялась дистанционной трубкой и составляла от 10 608 м до 22 497 м. Ныряющий снаряд имел </w:t>
      </w:r>
      <w:proofErr w:type="spellStart"/>
      <w:r w:rsidRPr="007122AB">
        <w:rPr>
          <w:rFonts w:ascii="Times New Roman" w:hAnsi="Times New Roman"/>
          <w:color w:val="000000" w:themeColor="text1"/>
          <w:sz w:val="16"/>
          <w:szCs w:val="16"/>
        </w:rPr>
        <w:t>Vo</w:t>
      </w:r>
      <w:proofErr w:type="spellEnd"/>
      <w:r w:rsidRPr="007122AB">
        <w:rPr>
          <w:rFonts w:ascii="Times New Roman" w:hAnsi="Times New Roman"/>
          <w:color w:val="000000" w:themeColor="text1"/>
          <w:sz w:val="16"/>
          <w:szCs w:val="16"/>
        </w:rPr>
        <w:t xml:space="preserve"> — 237,7 м/с и дальность полёта 3109 м (15132).</w:t>
      </w:r>
    </w:p>
    <w:p w14:paraId="4AE2C2C9"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78578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на Большевике в Ленинграде был изготовлен танк ТММ-1 - версия Виккерс, разработанная по проекту факультета ММ под руководством </w:t>
      </w:r>
      <w:proofErr w:type="spellStart"/>
      <w:r w:rsidRPr="007122AB">
        <w:rPr>
          <w:rFonts w:ascii="Times New Roman" w:hAnsi="Times New Roman"/>
          <w:color w:val="000000" w:themeColor="text1"/>
          <w:sz w:val="16"/>
          <w:szCs w:val="16"/>
        </w:rPr>
        <w:t>М.В.Данченко</w:t>
      </w:r>
      <w:proofErr w:type="spellEnd"/>
      <w:r w:rsidRPr="007122AB">
        <w:rPr>
          <w:rFonts w:ascii="Times New Roman" w:hAnsi="Times New Roman"/>
          <w:color w:val="000000" w:themeColor="text1"/>
          <w:sz w:val="16"/>
          <w:szCs w:val="16"/>
        </w:rPr>
        <w:t>. Недостатки устранялись до февраля 1932 (9527,89).</w:t>
      </w:r>
    </w:p>
    <w:p w14:paraId="508495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57C5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Комитет обороны (КО) в присутствии тт. Орджоникидзе, Тухачевского, </w:t>
      </w:r>
      <w:proofErr w:type="spellStart"/>
      <w:r w:rsidRPr="007122AB">
        <w:rPr>
          <w:rFonts w:ascii="Times New Roman" w:hAnsi="Times New Roman"/>
          <w:color w:val="000000" w:themeColor="text1"/>
          <w:sz w:val="16"/>
          <w:szCs w:val="16"/>
        </w:rPr>
        <w:t>Павлуновского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Будняка</w:t>
      </w:r>
      <w:proofErr w:type="spellEnd"/>
      <w:r w:rsidRPr="007122AB">
        <w:rPr>
          <w:rFonts w:ascii="Times New Roman" w:hAnsi="Times New Roman"/>
          <w:color w:val="000000" w:themeColor="text1"/>
          <w:sz w:val="16"/>
          <w:szCs w:val="16"/>
        </w:rPr>
        <w:t xml:space="preserve"> уверенно утвердил на 1932 г. программу строительства 10 000 танков (3000 шт. Т-26, 5000 шт. Т-27 и 2000 шт. БТ). И это несмотря на то, что большинство производственных мощностей, которые фигурировали в ней, были еще далеки от готовности. Проанализировав возможности завода «Большевик» и убедившись в неспособности СТЗ подключиться к производ</w:t>
      </w:r>
      <w:r w:rsidRPr="007122AB">
        <w:rPr>
          <w:rFonts w:ascii="Times New Roman" w:hAnsi="Times New Roman"/>
          <w:color w:val="000000" w:themeColor="text1"/>
          <w:sz w:val="16"/>
          <w:szCs w:val="16"/>
        </w:rPr>
        <w:softHyphen/>
        <w:t>ству новых танков, в феврале 1932 г. КО программу все-таки не изменил, но разрешил (!) КБ «Большевика» вносить «лю</w:t>
      </w:r>
      <w:r w:rsidRPr="007122AB">
        <w:rPr>
          <w:rFonts w:ascii="Times New Roman" w:hAnsi="Times New Roman"/>
          <w:color w:val="000000" w:themeColor="text1"/>
          <w:sz w:val="16"/>
          <w:szCs w:val="16"/>
        </w:rPr>
        <w:softHyphen/>
        <w:t>бые изменения в конструкцию, и методику изготовления тан</w:t>
      </w:r>
      <w:r w:rsidRPr="007122AB">
        <w:rPr>
          <w:rFonts w:ascii="Times New Roman" w:hAnsi="Times New Roman"/>
          <w:color w:val="000000" w:themeColor="text1"/>
          <w:sz w:val="16"/>
          <w:szCs w:val="16"/>
        </w:rPr>
        <w:softHyphen/>
        <w:t>ков, не снижающие их боевых качеств и способствующие увели</w:t>
      </w:r>
      <w:r w:rsidRPr="007122AB">
        <w:rPr>
          <w:rFonts w:ascii="Times New Roman" w:hAnsi="Times New Roman"/>
          <w:color w:val="000000" w:themeColor="text1"/>
          <w:sz w:val="16"/>
          <w:szCs w:val="16"/>
        </w:rPr>
        <w:softHyphen/>
        <w:t>чению выпуска». Кроме того, для облегчения участи «Больше</w:t>
      </w:r>
      <w:r w:rsidRPr="007122AB">
        <w:rPr>
          <w:rFonts w:ascii="Times New Roman" w:hAnsi="Times New Roman"/>
          <w:color w:val="000000" w:themeColor="text1"/>
          <w:sz w:val="16"/>
          <w:szCs w:val="16"/>
        </w:rPr>
        <w:softHyphen/>
        <w:t>вика» и Ижорского завода КО определил им соисполнителей по бронекорпусам дополнительно Кулебакский и Мариу</w:t>
      </w:r>
      <w:r w:rsidRPr="007122AB">
        <w:rPr>
          <w:rFonts w:ascii="Times New Roman" w:hAnsi="Times New Roman"/>
          <w:color w:val="000000" w:themeColor="text1"/>
          <w:sz w:val="16"/>
          <w:szCs w:val="16"/>
        </w:rPr>
        <w:softHyphen/>
        <w:t>польский заводы, по моторам предполагалось задействовать НАЗ (будущий ГАЗ) и АМО (10733,180).</w:t>
      </w:r>
    </w:p>
    <w:p w14:paraId="075209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2F7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первые три танка БТ-2 были изготовлены. Как вспоминал тот же Бер, — «Испытания самых первых образцов БТ выяви</w:t>
      </w:r>
      <w:r w:rsidRPr="007122AB">
        <w:rPr>
          <w:rFonts w:ascii="Times New Roman" w:hAnsi="Times New Roman"/>
          <w:color w:val="000000" w:themeColor="text1"/>
          <w:sz w:val="16"/>
          <w:szCs w:val="16"/>
        </w:rPr>
        <w:softHyphen/>
        <w:t>ли в них существенные недостатки. Производство образцов танков было приостановлено».</w:t>
      </w:r>
    </w:p>
    <w:p w14:paraId="311129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Некоторые сотрудники КБ Алексенко позже уверяли, что повинны в этом были не только </w:t>
      </w:r>
      <w:proofErr w:type="spellStart"/>
      <w:r w:rsidRPr="007122AB">
        <w:rPr>
          <w:rFonts w:ascii="Times New Roman" w:hAnsi="Times New Roman"/>
          <w:color w:val="000000" w:themeColor="text1"/>
          <w:sz w:val="16"/>
          <w:szCs w:val="16"/>
        </w:rPr>
        <w:t>малоопытность</w:t>
      </w:r>
      <w:proofErr w:type="spellEnd"/>
      <w:r w:rsidRPr="007122AB">
        <w:rPr>
          <w:rFonts w:ascii="Times New Roman" w:hAnsi="Times New Roman"/>
          <w:color w:val="000000" w:themeColor="text1"/>
          <w:sz w:val="16"/>
          <w:szCs w:val="16"/>
        </w:rPr>
        <w:t xml:space="preserve"> конструкторов в разработке боевых машин, но и отношение к разрабатываемой машине самого начальника КВ-Т2К Ивана Никифоровича Алексенко и технического руководителя разработки </w:t>
      </w:r>
      <w:proofErr w:type="spellStart"/>
      <w:r w:rsidRPr="007122AB">
        <w:rPr>
          <w:rFonts w:ascii="Times New Roman" w:hAnsi="Times New Roman"/>
          <w:color w:val="000000" w:themeColor="text1"/>
          <w:sz w:val="16"/>
          <w:szCs w:val="16"/>
        </w:rPr>
        <w:t>быстроход</w:t>
      </w:r>
      <w:proofErr w:type="spellEnd"/>
      <w:r w:rsidRPr="007122AB">
        <w:rPr>
          <w:rFonts w:ascii="Times New Roman" w:hAnsi="Times New Roman"/>
          <w:color w:val="000000" w:themeColor="text1"/>
          <w:sz w:val="16"/>
          <w:szCs w:val="16"/>
        </w:rPr>
        <w:t xml:space="preserve"> го танка профессора Заславского.</w:t>
      </w:r>
    </w:p>
    <w:p w14:paraId="7A5ED2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Напомним, что под их руководством в ГКБ АСТ был сначала создан «ма</w:t>
      </w:r>
      <w:r w:rsidRPr="007122AB">
        <w:rPr>
          <w:rFonts w:ascii="Times New Roman" w:hAnsi="Times New Roman"/>
          <w:color w:val="000000" w:themeColor="text1"/>
          <w:sz w:val="16"/>
          <w:szCs w:val="16"/>
        </w:rPr>
        <w:softHyphen/>
        <w:t>невренный» танк Т-12, а затем его модернизированный вариант средний танк Т-24, который хоть и малой серией теперь выпускался на ХПЗ.</w:t>
      </w:r>
    </w:p>
    <w:p w14:paraId="22CE6D1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Алексенко считал, как утверждают ветераны завода, что Т-24 во всех отношениях лучше легкого танка Т-26, выпускаемого в Ленинграде и луч</w:t>
      </w:r>
      <w:r w:rsidRPr="007122AB">
        <w:rPr>
          <w:rFonts w:ascii="Times New Roman" w:hAnsi="Times New Roman"/>
          <w:color w:val="000000" w:themeColor="text1"/>
          <w:sz w:val="16"/>
          <w:szCs w:val="16"/>
        </w:rPr>
        <w:softHyphen/>
        <w:t>ше БТ, его нужно доработать, особенно ходовую часть, как следует испы</w:t>
      </w:r>
      <w:r w:rsidRPr="007122AB">
        <w:rPr>
          <w:rFonts w:ascii="Times New Roman" w:hAnsi="Times New Roman"/>
          <w:color w:val="000000" w:themeColor="text1"/>
          <w:sz w:val="16"/>
          <w:szCs w:val="16"/>
        </w:rPr>
        <w:softHyphen/>
        <w:t>тать и выпускать на заводе большими сериями. В этом вопросе профессор Заславский, вложивший в создание среднего танка Т-24 не меньше труда, чем Алексенко, был полностью солидарен с последним.</w:t>
      </w:r>
    </w:p>
    <w:p w14:paraId="643CF9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Безусловно, настроение профессора и начальника конструкторского бюро не могло не отразиться и на коллективе конструкторов, поэтому и работа шла не лучшим образом. Однако настроение постепенно ломалось и коллективу потребовалось меньше года на разработку технической доку</w:t>
      </w:r>
      <w:r w:rsidRPr="007122AB">
        <w:rPr>
          <w:rFonts w:ascii="Times New Roman" w:hAnsi="Times New Roman"/>
          <w:color w:val="000000" w:themeColor="text1"/>
          <w:sz w:val="16"/>
          <w:szCs w:val="16"/>
        </w:rPr>
        <w:softHyphen/>
        <w:t>ментации для серийного производства колесно-гусеничного танка БТ-2.</w:t>
      </w:r>
    </w:p>
    <w:p w14:paraId="123DA3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не нужно забывать и то, что завод встретился с теми же трудностя</w:t>
      </w:r>
      <w:r w:rsidRPr="007122AB">
        <w:rPr>
          <w:rFonts w:ascii="Times New Roman" w:hAnsi="Times New Roman"/>
          <w:color w:val="000000" w:themeColor="text1"/>
          <w:sz w:val="16"/>
          <w:szCs w:val="16"/>
        </w:rPr>
        <w:softHyphen/>
        <w:t>ми при изготовлении танков, что и завод «Большевик» в Ленинграде при освоении танка МС-1 (11504).</w:t>
      </w:r>
    </w:p>
    <w:p w14:paraId="61C4E7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13161"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в СССР были изготовлены первые три танка БТ-2, созданные на базе «Кристи», Увы, испытания выявили множество недоделок и недостатков. Эти три танка приняли участие в параде войск на Красной площади 7 ноября 1931 г. Они на максимальной для гусеничного танка скорости — 52 км/ч — пронеслись по Красной площади, но на повороте у Москвы-реки один танк вдруг загорелся, а у второго нарушилось управление переключением передач (15117).</w:t>
      </w:r>
    </w:p>
    <w:p w14:paraId="7AD0335F"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204FBB40" w14:textId="77777777" w:rsidR="00587130" w:rsidRPr="007122AB" w:rsidRDefault="0058713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выехал в Германию.</w:t>
      </w:r>
    </w:p>
    <w:p w14:paraId="2DCF43EB" w14:textId="77777777" w:rsidR="00587130" w:rsidRPr="007122AB" w:rsidRDefault="0058713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7122AB">
        <w:rPr>
          <w:rFonts w:ascii="Times New Roman" w:hAnsi="Times New Roman"/>
          <w:color w:val="000000" w:themeColor="text1"/>
          <w:sz w:val="16"/>
          <w:szCs w:val="16"/>
        </w:rPr>
        <w:t>губкома</w:t>
      </w:r>
      <w:proofErr w:type="spellEnd"/>
      <w:r w:rsidRPr="007122AB">
        <w:rPr>
          <w:rFonts w:ascii="Times New Roman" w:hAnsi="Times New Roman"/>
          <w:color w:val="000000" w:themeColor="text1"/>
          <w:sz w:val="16"/>
          <w:szCs w:val="16"/>
        </w:rPr>
        <w:t xml:space="preserve"> (обкома) ВКП(б) в 1926–1934 гг.), с которым Сталин дружил, отправится к нему в Сочи 12 сентября и «о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&lt;. &gt; расскажет &lt;…&gt; всё сам» (18265).</w:t>
      </w:r>
    </w:p>
    <w:p w14:paraId="036D54A8" w14:textId="77777777" w:rsidR="00587130" w:rsidRPr="007122AB" w:rsidRDefault="00587130" w:rsidP="007122AB">
      <w:pPr>
        <w:spacing w:after="0" w:line="240" w:lineRule="auto"/>
        <w:jc w:val="both"/>
        <w:rPr>
          <w:rFonts w:ascii="Times New Roman" w:hAnsi="Times New Roman"/>
          <w:color w:val="000000" w:themeColor="text1"/>
          <w:sz w:val="16"/>
          <w:szCs w:val="16"/>
        </w:rPr>
      </w:pPr>
    </w:p>
    <w:p w14:paraId="1455730C"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года началась история создания тяжёлых отечественных  САУ. В ходе работ над «самоходным корпусным триплексом» были разработаны САУ СУ-7 и СУ-14. СУ-7 проектировалась под 152-мм пушку, 203-мм гаубицу и 305-мм мортиру. СУ-14 проектировалась под 107-мм пушку, 152-мм пушку и 203-мм гаубицу. После ареста сначала Н. Н. </w:t>
      </w:r>
      <w:proofErr w:type="spellStart"/>
      <w:r w:rsidRPr="007122AB">
        <w:rPr>
          <w:rFonts w:ascii="Times New Roman" w:hAnsi="Times New Roman"/>
          <w:color w:val="000000" w:themeColor="text1"/>
          <w:sz w:val="16"/>
          <w:szCs w:val="16"/>
        </w:rPr>
        <w:t>Магдесиева</w:t>
      </w:r>
      <w:proofErr w:type="spellEnd"/>
      <w:r w:rsidRPr="007122AB">
        <w:rPr>
          <w:rFonts w:ascii="Times New Roman" w:hAnsi="Times New Roman"/>
          <w:color w:val="000000" w:themeColor="text1"/>
          <w:sz w:val="16"/>
          <w:szCs w:val="16"/>
        </w:rPr>
        <w:t xml:space="preserve"> (создатель гаубицы Б-4), а затем и П. И. </w:t>
      </w:r>
      <w:proofErr w:type="spellStart"/>
      <w:r w:rsidRPr="007122AB">
        <w:rPr>
          <w:rFonts w:ascii="Times New Roman" w:hAnsi="Times New Roman"/>
          <w:color w:val="000000" w:themeColor="text1"/>
          <w:sz w:val="16"/>
          <w:szCs w:val="16"/>
        </w:rPr>
        <w:t>Сячинтова</w:t>
      </w:r>
      <w:proofErr w:type="spellEnd"/>
      <w:r w:rsidRPr="007122AB">
        <w:rPr>
          <w:rFonts w:ascii="Times New Roman" w:hAnsi="Times New Roman"/>
          <w:color w:val="000000" w:themeColor="text1"/>
          <w:sz w:val="16"/>
          <w:szCs w:val="16"/>
        </w:rPr>
        <w:t>, руководившего работами по СУ-14, 7 августа 1938 года тему «малого триплекса» отменили (12624).</w:t>
      </w:r>
    </w:p>
    <w:p w14:paraId="2D2B47D0" w14:textId="77777777" w:rsidR="00DA6399" w:rsidRPr="007122AB" w:rsidRDefault="00DA6399" w:rsidP="007122AB">
      <w:pPr>
        <w:spacing w:after="0" w:line="240" w:lineRule="auto"/>
        <w:jc w:val="both"/>
        <w:rPr>
          <w:rFonts w:ascii="Times New Roman" w:hAnsi="Times New Roman"/>
          <w:color w:val="000000" w:themeColor="text1"/>
          <w:sz w:val="16"/>
          <w:szCs w:val="16"/>
        </w:rPr>
      </w:pPr>
    </w:p>
    <w:p w14:paraId="706EAFBB" w14:textId="77777777" w:rsidR="002E1EC2" w:rsidRPr="007122AB" w:rsidRDefault="002E1EC2" w:rsidP="007122AB">
      <w:pPr>
        <w:pStyle w:val="a3"/>
        <w:rPr>
          <w:color w:val="000000" w:themeColor="text1"/>
          <w:lang w:val="ru-RU"/>
        </w:rPr>
      </w:pPr>
      <w:r w:rsidRPr="007122AB">
        <w:rPr>
          <w:color w:val="000000" w:themeColor="text1"/>
          <w:lang w:val="ru-RU"/>
        </w:rPr>
        <w:t>В сентябре 1931 года началась история создания тяжелых отечественных САУ. Основной задачей этих работ была механизация тя</w:t>
      </w:r>
      <w:r w:rsidRPr="007122AB">
        <w:rPr>
          <w:color w:val="000000" w:themeColor="text1"/>
          <w:lang w:val="ru-RU"/>
        </w:rPr>
        <w:softHyphen/>
        <w:t>желой артиллерии, что должно было повысить ее мобильность. В ходе работ по теме «самоходного корпусного триплекса» были раз</w:t>
      </w:r>
      <w:r w:rsidRPr="007122AB">
        <w:rPr>
          <w:color w:val="000000" w:themeColor="text1"/>
          <w:lang w:val="ru-RU"/>
        </w:rPr>
        <w:softHyphen/>
        <w:t>работаны САУ СУ-7 и СУ-14. СУ-7 проектировалась под 152-мм пушку, 203-мм гаубицу и 305-мм мортиру. СУ-14 проектировалась под 107-мм пушку, 152-мм пушку и 203-мм гаубицу. Итогом стала построй</w:t>
      </w:r>
      <w:r w:rsidRPr="007122AB">
        <w:rPr>
          <w:color w:val="000000" w:themeColor="text1"/>
          <w:lang w:val="ru-RU"/>
        </w:rPr>
        <w:softHyphen/>
        <w:t>ка двух образцов, получивших индексы СУ-14 и СУ-14-1. Обе установ</w:t>
      </w:r>
      <w:r w:rsidRPr="007122AB">
        <w:rPr>
          <w:color w:val="000000" w:themeColor="text1"/>
          <w:lang w:val="ru-RU"/>
        </w:rPr>
        <w:softHyphen/>
        <w:t>ки изначально были вооружены 203-мм гаубицей большой мощности Б-4 обр. 1931 г., позже замененной на 152-мм пушку особой мощно</w:t>
      </w:r>
      <w:r w:rsidRPr="007122AB">
        <w:rPr>
          <w:color w:val="000000" w:themeColor="text1"/>
          <w:lang w:val="ru-RU"/>
        </w:rPr>
        <w:softHyphen/>
        <w:t>сти БР-2 обр. 1935 г. Шла речь о запуске СУ-14 в серийное производ</w:t>
      </w:r>
      <w:r w:rsidRPr="007122AB">
        <w:rPr>
          <w:color w:val="000000" w:themeColor="text1"/>
          <w:lang w:val="ru-RU"/>
        </w:rPr>
        <w:softHyphen/>
        <w:t xml:space="preserve">ство. После ареста сначала Н.Н. </w:t>
      </w:r>
      <w:proofErr w:type="spellStart"/>
      <w:r w:rsidRPr="007122AB">
        <w:rPr>
          <w:color w:val="000000" w:themeColor="text1"/>
          <w:lang w:val="ru-RU"/>
        </w:rPr>
        <w:t>Магдесиева</w:t>
      </w:r>
      <w:proofErr w:type="spellEnd"/>
      <w:r w:rsidRPr="007122AB">
        <w:rPr>
          <w:color w:val="000000" w:themeColor="text1"/>
          <w:lang w:val="ru-RU"/>
        </w:rPr>
        <w:t xml:space="preserve"> (создатель гаубицы Б-4), а затем и</w:t>
      </w:r>
      <w:r w:rsidRPr="007122AB">
        <w:rPr>
          <w:rStyle w:val="BodytextTahoma"/>
          <w:rFonts w:ascii="Times New Roman" w:hAnsi="Times New Roman" w:cs="Times New Roman"/>
          <w:color w:val="000000" w:themeColor="text1"/>
          <w:sz w:val="16"/>
          <w:szCs w:val="16"/>
          <w:lang w:val="ru-RU"/>
        </w:rPr>
        <w:t xml:space="preserve"> П.</w:t>
      </w:r>
      <w:r w:rsidRPr="007122AB">
        <w:rPr>
          <w:color w:val="000000" w:themeColor="text1"/>
          <w:lang w:val="ru-RU"/>
        </w:rPr>
        <w:t xml:space="preserve">И. </w:t>
      </w:r>
      <w:proofErr w:type="spellStart"/>
      <w:r w:rsidRPr="007122AB">
        <w:rPr>
          <w:color w:val="000000" w:themeColor="text1"/>
          <w:lang w:val="ru-RU"/>
        </w:rPr>
        <w:t>Сячинтова</w:t>
      </w:r>
      <w:proofErr w:type="spellEnd"/>
      <w:r w:rsidRPr="007122AB">
        <w:rPr>
          <w:color w:val="000000" w:themeColor="text1"/>
          <w:lang w:val="ru-RU"/>
        </w:rPr>
        <w:t>, руководившего работами по СУ-14, 7 авгу</w:t>
      </w:r>
      <w:r w:rsidRPr="007122AB">
        <w:rPr>
          <w:color w:val="000000" w:themeColor="text1"/>
          <w:lang w:val="ru-RU"/>
        </w:rPr>
        <w:softHyphen/>
        <w:t>ста 1938 года тему «малого триплекса» отменили. О самоходной артиллерии большой мощности снова вспомнили в конце 1939 года (17484).</w:t>
      </w:r>
    </w:p>
    <w:p w14:paraId="61588979" w14:textId="77777777" w:rsidR="002E1EC2" w:rsidRPr="007122AB" w:rsidRDefault="002E1EC2" w:rsidP="007122AB">
      <w:pPr>
        <w:spacing w:after="0" w:line="240" w:lineRule="auto"/>
        <w:jc w:val="both"/>
        <w:rPr>
          <w:rFonts w:ascii="Times New Roman" w:hAnsi="Times New Roman"/>
          <w:color w:val="000000" w:themeColor="text1"/>
          <w:sz w:val="16"/>
          <w:szCs w:val="16"/>
        </w:rPr>
      </w:pPr>
    </w:p>
    <w:p w14:paraId="1C9EE0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всех заключенных: танкистов и двигателистов АТТБ перевезли из Черкизовского «домика» в центр Москвы, в третий и после</w:t>
      </w:r>
      <w:r w:rsidRPr="007122AB">
        <w:rPr>
          <w:rFonts w:ascii="Times New Roman" w:hAnsi="Times New Roman"/>
          <w:color w:val="000000" w:themeColor="text1"/>
          <w:sz w:val="16"/>
          <w:szCs w:val="16"/>
        </w:rPr>
        <w:softHyphen/>
        <w:t>дний «домик» Астрова. Дом этот стоял за спиной памятника первопечат</w:t>
      </w:r>
      <w:r w:rsidRPr="007122AB">
        <w:rPr>
          <w:rFonts w:ascii="Times New Roman" w:hAnsi="Times New Roman"/>
          <w:color w:val="000000" w:themeColor="text1"/>
          <w:sz w:val="16"/>
          <w:szCs w:val="16"/>
        </w:rPr>
        <w:softHyphen/>
        <w:t>нику Ивану Федорову. Нижний этаж этого здания был отведен для кабинетов некоторых че</w:t>
      </w:r>
      <w:r w:rsidRPr="007122AB">
        <w:rPr>
          <w:rFonts w:ascii="Times New Roman" w:hAnsi="Times New Roman"/>
          <w:color w:val="000000" w:themeColor="text1"/>
          <w:sz w:val="16"/>
          <w:szCs w:val="16"/>
        </w:rPr>
        <w:softHyphen/>
        <w:t>кистов и вспомогательных служб, охраны, кухни и т.д. На втором этаже находились комфортабельные кабинеты, в том числе начальника Техни</w:t>
      </w:r>
      <w:r w:rsidRPr="007122AB">
        <w:rPr>
          <w:rFonts w:ascii="Times New Roman" w:hAnsi="Times New Roman"/>
          <w:color w:val="000000" w:themeColor="text1"/>
          <w:sz w:val="16"/>
          <w:szCs w:val="16"/>
        </w:rPr>
        <w:softHyphen/>
        <w:t xml:space="preserve">ческого отдела ЭКУ ОГПУ </w:t>
      </w:r>
      <w:proofErr w:type="spellStart"/>
      <w:r w:rsidRPr="007122AB">
        <w:rPr>
          <w:rFonts w:ascii="Times New Roman" w:hAnsi="Times New Roman"/>
          <w:color w:val="000000" w:themeColor="text1"/>
          <w:sz w:val="16"/>
          <w:szCs w:val="16"/>
        </w:rPr>
        <w:t>Горьянова</w:t>
      </w:r>
      <w:proofErr w:type="spellEnd"/>
      <w:r w:rsidRPr="007122AB">
        <w:rPr>
          <w:rFonts w:ascii="Times New Roman" w:hAnsi="Times New Roman"/>
          <w:color w:val="000000" w:themeColor="text1"/>
          <w:sz w:val="16"/>
          <w:szCs w:val="16"/>
        </w:rPr>
        <w:t xml:space="preserve">, его зама </w:t>
      </w:r>
      <w:proofErr w:type="spellStart"/>
      <w:r w:rsidRPr="007122AB">
        <w:rPr>
          <w:rFonts w:ascii="Times New Roman" w:hAnsi="Times New Roman"/>
          <w:color w:val="000000" w:themeColor="text1"/>
          <w:sz w:val="16"/>
          <w:szCs w:val="16"/>
        </w:rPr>
        <w:t>Макаева</w:t>
      </w:r>
      <w:proofErr w:type="spellEnd"/>
      <w:r w:rsidRPr="007122AB">
        <w:rPr>
          <w:rFonts w:ascii="Times New Roman" w:hAnsi="Times New Roman"/>
          <w:color w:val="000000" w:themeColor="text1"/>
          <w:sz w:val="16"/>
          <w:szCs w:val="16"/>
        </w:rPr>
        <w:t xml:space="preserve">, начальника АТТБ </w:t>
      </w:r>
      <w:proofErr w:type="spellStart"/>
      <w:r w:rsidRPr="007122AB">
        <w:rPr>
          <w:rFonts w:ascii="Times New Roman" w:hAnsi="Times New Roman"/>
          <w:color w:val="000000" w:themeColor="text1"/>
          <w:sz w:val="16"/>
          <w:szCs w:val="16"/>
        </w:rPr>
        <w:t>Вунштейна</w:t>
      </w:r>
      <w:proofErr w:type="spellEnd"/>
      <w:r w:rsidRPr="007122AB">
        <w:rPr>
          <w:rFonts w:ascii="Times New Roman" w:hAnsi="Times New Roman"/>
          <w:color w:val="000000" w:themeColor="text1"/>
          <w:sz w:val="16"/>
          <w:szCs w:val="16"/>
        </w:rPr>
        <w:t xml:space="preserve"> и других.</w:t>
      </w:r>
    </w:p>
    <w:p w14:paraId="1619EC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Весь 3-й этаж имел зарешеченные окна, но без щитов снаружи и слу</w:t>
      </w:r>
      <w:r w:rsidRPr="007122AB">
        <w:rPr>
          <w:rFonts w:ascii="Times New Roman" w:hAnsi="Times New Roman"/>
          <w:color w:val="000000" w:themeColor="text1"/>
          <w:sz w:val="16"/>
          <w:szCs w:val="16"/>
        </w:rPr>
        <w:softHyphen/>
        <w:t>жил рабочими помещениями и спальными для заключенных.</w:t>
      </w:r>
    </w:p>
    <w:p w14:paraId="7BA3EA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Жизнь в этом третьем и последнем для Астрова «домике», существо</w:t>
      </w:r>
      <w:r w:rsidRPr="007122AB">
        <w:rPr>
          <w:rFonts w:ascii="Times New Roman" w:hAnsi="Times New Roman"/>
          <w:color w:val="000000" w:themeColor="text1"/>
          <w:sz w:val="16"/>
          <w:szCs w:val="16"/>
        </w:rPr>
        <w:softHyphen/>
        <w:t>вавшего до конца функционирования АТТБ, то есть до 1934 года, подчи</w:t>
      </w:r>
      <w:r w:rsidRPr="007122AB">
        <w:rPr>
          <w:rFonts w:ascii="Times New Roman" w:hAnsi="Times New Roman"/>
          <w:color w:val="000000" w:themeColor="text1"/>
          <w:sz w:val="16"/>
          <w:szCs w:val="16"/>
        </w:rPr>
        <w:softHyphen/>
        <w:t>нялась тому же распорядку, что и в Черкизове, за исключением прогулок, т.к. в этом «домике» двора не было, а для свиданий использовалась небольшая комната при входе на 3-й этаж из лестничной клетки.</w:t>
      </w:r>
    </w:p>
    <w:p w14:paraId="5A6F35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Вся группа танкистов продолжала настойчиво и упорно трудиться над проектом своего первого танка, нареченного конструкторами ПТ-1 — </w:t>
      </w:r>
      <w:proofErr w:type="spellStart"/>
      <w:r w:rsidRPr="007122AB">
        <w:rPr>
          <w:rFonts w:ascii="Times New Roman" w:hAnsi="Times New Roman"/>
          <w:color w:val="000000" w:themeColor="text1"/>
          <w:sz w:val="16"/>
          <w:szCs w:val="16"/>
        </w:rPr>
        <w:t>тавающий</w:t>
      </w:r>
      <w:proofErr w:type="spellEnd"/>
      <w:r w:rsidRPr="007122AB">
        <w:rPr>
          <w:rFonts w:ascii="Times New Roman" w:hAnsi="Times New Roman"/>
          <w:color w:val="000000" w:themeColor="text1"/>
          <w:sz w:val="16"/>
          <w:szCs w:val="16"/>
        </w:rPr>
        <w:t xml:space="preserve"> танк, образец первый.</w:t>
      </w:r>
    </w:p>
    <w:p w14:paraId="77667D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Общая </w:t>
      </w:r>
      <w:proofErr w:type="spellStart"/>
      <w:r w:rsidRPr="007122AB">
        <w:rPr>
          <w:rFonts w:ascii="Times New Roman" w:hAnsi="Times New Roman"/>
          <w:color w:val="000000" w:themeColor="text1"/>
          <w:sz w:val="16"/>
          <w:szCs w:val="16"/>
        </w:rPr>
        <w:t>компановка</w:t>
      </w:r>
      <w:proofErr w:type="spellEnd"/>
      <w:r w:rsidRPr="007122AB">
        <w:rPr>
          <w:rFonts w:ascii="Times New Roman" w:hAnsi="Times New Roman"/>
          <w:color w:val="000000" w:themeColor="text1"/>
          <w:sz w:val="16"/>
          <w:szCs w:val="16"/>
        </w:rPr>
        <w:t xml:space="preserve"> была сходной с </w:t>
      </w:r>
      <w:proofErr w:type="spellStart"/>
      <w:r w:rsidRPr="007122AB">
        <w:rPr>
          <w:rFonts w:ascii="Times New Roman" w:hAnsi="Times New Roman"/>
          <w:color w:val="000000" w:themeColor="text1"/>
          <w:sz w:val="16"/>
          <w:szCs w:val="16"/>
        </w:rPr>
        <w:t>компановкой</w:t>
      </w:r>
      <w:proofErr w:type="spellEnd"/>
      <w:r w:rsidRPr="007122AB">
        <w:rPr>
          <w:rFonts w:ascii="Times New Roman" w:hAnsi="Times New Roman"/>
          <w:color w:val="000000" w:themeColor="text1"/>
          <w:sz w:val="16"/>
          <w:szCs w:val="16"/>
        </w:rPr>
        <w:t xml:space="preserve"> танка </w:t>
      </w:r>
      <w:proofErr w:type="spellStart"/>
      <w:r w:rsidRPr="007122AB">
        <w:rPr>
          <w:rFonts w:ascii="Times New Roman" w:hAnsi="Times New Roman"/>
          <w:color w:val="000000" w:themeColor="text1"/>
          <w:sz w:val="16"/>
          <w:szCs w:val="16"/>
        </w:rPr>
        <w:t>У.Кристи</w:t>
      </w:r>
      <w:proofErr w:type="spellEnd"/>
      <w:r w:rsidRPr="007122AB">
        <w:rPr>
          <w:rFonts w:ascii="Times New Roman" w:hAnsi="Times New Roman"/>
          <w:color w:val="000000" w:themeColor="text1"/>
          <w:sz w:val="16"/>
          <w:szCs w:val="16"/>
        </w:rPr>
        <w:t>, повторенной затем в серии колесно-гусеничных танков БТ и среднем гусе</w:t>
      </w:r>
      <w:r w:rsidRPr="007122AB">
        <w:rPr>
          <w:rFonts w:ascii="Times New Roman" w:hAnsi="Times New Roman"/>
          <w:color w:val="000000" w:themeColor="text1"/>
          <w:sz w:val="16"/>
          <w:szCs w:val="16"/>
        </w:rPr>
        <w:softHyphen/>
        <w:t xml:space="preserve">ничном танке Т-34, как принято теперь считать, классической. Впереди </w:t>
      </w:r>
      <w:proofErr w:type="spellStart"/>
      <w:r w:rsidRPr="007122AB">
        <w:rPr>
          <w:rFonts w:ascii="Times New Roman" w:hAnsi="Times New Roman"/>
          <w:color w:val="000000" w:themeColor="text1"/>
          <w:sz w:val="16"/>
          <w:szCs w:val="16"/>
        </w:rPr>
        <w:t>фыло</w:t>
      </w:r>
      <w:proofErr w:type="spellEnd"/>
      <w:r w:rsidRPr="007122AB">
        <w:rPr>
          <w:rFonts w:ascii="Times New Roman" w:hAnsi="Times New Roman"/>
          <w:color w:val="000000" w:themeColor="text1"/>
          <w:sz w:val="16"/>
          <w:szCs w:val="16"/>
        </w:rPr>
        <w:t xml:space="preserve"> расположено отделение управления, за ним боевое отделение с од</w:t>
      </w:r>
      <w:r w:rsidRPr="007122AB">
        <w:rPr>
          <w:rFonts w:ascii="Times New Roman" w:hAnsi="Times New Roman"/>
          <w:color w:val="000000" w:themeColor="text1"/>
          <w:sz w:val="16"/>
          <w:szCs w:val="16"/>
        </w:rPr>
        <w:softHyphen/>
        <w:t xml:space="preserve">ной пушечной башней, за поперечной перегородкой располагалось </w:t>
      </w:r>
      <w:proofErr w:type="spellStart"/>
      <w:r w:rsidRPr="007122AB">
        <w:rPr>
          <w:rFonts w:ascii="Times New Roman" w:hAnsi="Times New Roman"/>
          <w:color w:val="000000" w:themeColor="text1"/>
          <w:sz w:val="16"/>
          <w:szCs w:val="16"/>
        </w:rPr>
        <w:t>мо</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торно</w:t>
      </w:r>
      <w:proofErr w:type="spellEnd"/>
      <w:r w:rsidRPr="007122AB">
        <w:rPr>
          <w:rFonts w:ascii="Times New Roman" w:hAnsi="Times New Roman"/>
          <w:color w:val="000000" w:themeColor="text1"/>
          <w:sz w:val="16"/>
          <w:szCs w:val="16"/>
        </w:rPr>
        <w:t>-трансмиссионное отделение, за которым располагали гребные вин</w:t>
      </w:r>
      <w:r w:rsidRPr="007122AB">
        <w:rPr>
          <w:rFonts w:ascii="Times New Roman" w:hAnsi="Times New Roman"/>
          <w:color w:val="000000" w:themeColor="text1"/>
          <w:sz w:val="16"/>
          <w:szCs w:val="16"/>
        </w:rPr>
        <w:softHyphen/>
        <w:t>ты и рули для управления танком во время плавания.</w:t>
      </w:r>
    </w:p>
    <w:p w14:paraId="31F112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Комиссия одобрила проект и предложила выполнить бронекорпус полностью сварным. Была одобрена установка на танк дизеля «ПГЕ» и всех его систем.</w:t>
      </w:r>
    </w:p>
    <w:p w14:paraId="0853DD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Водоходные расчеты было предложено проверить на модели в опыт</w:t>
      </w:r>
      <w:r w:rsidRPr="007122AB">
        <w:rPr>
          <w:rFonts w:ascii="Times New Roman" w:hAnsi="Times New Roman"/>
          <w:color w:val="000000" w:themeColor="text1"/>
          <w:sz w:val="16"/>
          <w:szCs w:val="16"/>
        </w:rPr>
        <w:softHyphen/>
        <w:t>ном бассейне ЦАГИ.</w:t>
      </w:r>
    </w:p>
    <w:p w14:paraId="147119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Вся разработка трансмиссии была выполнена </w:t>
      </w:r>
      <w:proofErr w:type="spellStart"/>
      <w:r w:rsidRPr="007122AB">
        <w:rPr>
          <w:rFonts w:ascii="Times New Roman" w:hAnsi="Times New Roman"/>
          <w:color w:val="000000" w:themeColor="text1"/>
          <w:sz w:val="16"/>
          <w:szCs w:val="16"/>
        </w:rPr>
        <w:t>Н.В.Цейцом</w:t>
      </w:r>
      <w:proofErr w:type="spellEnd"/>
      <w:r w:rsidRPr="007122AB">
        <w:rPr>
          <w:rFonts w:ascii="Times New Roman" w:hAnsi="Times New Roman"/>
          <w:color w:val="000000" w:themeColor="text1"/>
          <w:sz w:val="16"/>
          <w:szCs w:val="16"/>
        </w:rPr>
        <w:t>. Он скон</w:t>
      </w:r>
      <w:r w:rsidRPr="007122AB">
        <w:rPr>
          <w:rFonts w:ascii="Times New Roman" w:hAnsi="Times New Roman"/>
          <w:color w:val="000000" w:themeColor="text1"/>
          <w:sz w:val="16"/>
          <w:szCs w:val="16"/>
        </w:rPr>
        <w:softHyphen/>
        <w:t xml:space="preserve">струировал главный фрикцион, </w:t>
      </w:r>
      <w:proofErr w:type="spellStart"/>
      <w:r w:rsidRPr="007122AB">
        <w:rPr>
          <w:rFonts w:ascii="Times New Roman" w:hAnsi="Times New Roman"/>
          <w:color w:val="000000" w:themeColor="text1"/>
          <w:sz w:val="16"/>
          <w:szCs w:val="16"/>
        </w:rPr>
        <w:t>четыроскорсетную</w:t>
      </w:r>
      <w:proofErr w:type="spellEnd"/>
      <w:r w:rsidRPr="007122AB">
        <w:rPr>
          <w:rFonts w:ascii="Times New Roman" w:hAnsi="Times New Roman"/>
          <w:color w:val="000000" w:themeColor="text1"/>
          <w:sz w:val="16"/>
          <w:szCs w:val="16"/>
        </w:rPr>
        <w:t xml:space="preserve"> 2-х вальную КПП с постоянным зацеплением шестерен, двойной дифференциал, передачи к ведущим колесам гусениц, бортовые валы с коническими парами при</w:t>
      </w:r>
      <w:r w:rsidRPr="007122AB">
        <w:rPr>
          <w:rFonts w:ascii="Times New Roman" w:hAnsi="Times New Roman"/>
          <w:color w:val="000000" w:themeColor="text1"/>
          <w:sz w:val="16"/>
          <w:szCs w:val="16"/>
        </w:rPr>
        <w:softHyphen/>
        <w:t xml:space="preserve">вода колес, тормоза поворота и остановки танка. Все эти разработки </w:t>
      </w:r>
      <w:proofErr w:type="spellStart"/>
      <w:r w:rsidRPr="007122AB">
        <w:rPr>
          <w:rFonts w:ascii="Times New Roman" w:hAnsi="Times New Roman"/>
          <w:color w:val="000000" w:themeColor="text1"/>
          <w:sz w:val="16"/>
          <w:szCs w:val="16"/>
        </w:rPr>
        <w:t>Цей-ца</w:t>
      </w:r>
      <w:proofErr w:type="spellEnd"/>
      <w:r w:rsidRPr="007122AB">
        <w:rPr>
          <w:rFonts w:ascii="Times New Roman" w:hAnsi="Times New Roman"/>
          <w:color w:val="000000" w:themeColor="text1"/>
          <w:sz w:val="16"/>
          <w:szCs w:val="16"/>
        </w:rPr>
        <w:t xml:space="preserve"> обошлись при рассмотрении комиссией лишь небольшими замечани</w:t>
      </w:r>
      <w:r w:rsidRPr="007122AB">
        <w:rPr>
          <w:rFonts w:ascii="Times New Roman" w:hAnsi="Times New Roman"/>
          <w:color w:val="000000" w:themeColor="text1"/>
          <w:sz w:val="16"/>
          <w:szCs w:val="16"/>
        </w:rPr>
        <w:softHyphen/>
        <w:t>ями.</w:t>
      </w:r>
    </w:p>
    <w:p w14:paraId="51E392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группе, проектировавшей этот танк было 20-25 человек. Проект был одобрен и определен завод изготовитель. Это был «Красный пролетарий», бывший до революции заводом «Густав Лист». Сын владельца этого заво</w:t>
      </w:r>
      <w:r w:rsidRPr="007122AB">
        <w:rPr>
          <w:rFonts w:ascii="Times New Roman" w:hAnsi="Times New Roman"/>
          <w:color w:val="000000" w:themeColor="text1"/>
          <w:sz w:val="16"/>
          <w:szCs w:val="16"/>
        </w:rPr>
        <w:softHyphen/>
        <w:t>да Николай Густавович, кстати, работал в группе с Астровым.</w:t>
      </w:r>
    </w:p>
    <w:p w14:paraId="2282E2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сборочном цехе завода была сооружена деревянная перегородка с въездными воротами, сторожкой для охраны и небольшой конторкой. В целях сохранения секретности мастерская получила потолок, так что ста</w:t>
      </w:r>
      <w:r w:rsidRPr="007122AB">
        <w:rPr>
          <w:rFonts w:ascii="Times New Roman" w:hAnsi="Times New Roman"/>
          <w:color w:val="000000" w:themeColor="text1"/>
          <w:sz w:val="16"/>
          <w:szCs w:val="16"/>
        </w:rPr>
        <w:softHyphen/>
        <w:t>ла как бы громадным деревянным ящиком. Завод выделил своего пред</w:t>
      </w:r>
      <w:r w:rsidRPr="007122AB">
        <w:rPr>
          <w:rFonts w:ascii="Times New Roman" w:hAnsi="Times New Roman"/>
          <w:color w:val="000000" w:themeColor="text1"/>
          <w:sz w:val="16"/>
          <w:szCs w:val="16"/>
        </w:rPr>
        <w:softHyphen/>
        <w:t>ставителя, очень толкового и энергичного инженера Болотина. В этой мастерской был изготовлен деревянный макет танка.</w:t>
      </w:r>
    </w:p>
    <w:p w14:paraId="122F1B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Несколько позже в ЦАГИ была испытана модель танка, выполненная в масштабе 1:4 или 1:5. Модель была изготовлена из дерева, воска и пара</w:t>
      </w:r>
      <w:r w:rsidRPr="007122AB">
        <w:rPr>
          <w:rFonts w:ascii="Times New Roman" w:hAnsi="Times New Roman"/>
          <w:color w:val="000000" w:themeColor="text1"/>
          <w:sz w:val="16"/>
          <w:szCs w:val="16"/>
        </w:rPr>
        <w:softHyphen/>
        <w:t>фина.</w:t>
      </w:r>
    </w:p>
    <w:p w14:paraId="344C49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разгар этих работ Астрова вызвали к начальнику Технического отде</w:t>
      </w:r>
      <w:r w:rsidRPr="007122AB">
        <w:rPr>
          <w:rFonts w:ascii="Times New Roman" w:hAnsi="Times New Roman"/>
          <w:color w:val="000000" w:themeColor="text1"/>
          <w:sz w:val="16"/>
          <w:szCs w:val="16"/>
        </w:rPr>
        <w:softHyphen/>
        <w:t xml:space="preserve">ла ЭКУ </w:t>
      </w:r>
      <w:proofErr w:type="spellStart"/>
      <w:r w:rsidRPr="007122AB">
        <w:rPr>
          <w:rFonts w:ascii="Times New Roman" w:hAnsi="Times New Roman"/>
          <w:color w:val="000000" w:themeColor="text1"/>
          <w:sz w:val="16"/>
          <w:szCs w:val="16"/>
        </w:rPr>
        <w:t>Горьянову</w:t>
      </w:r>
      <w:proofErr w:type="spellEnd"/>
      <w:r w:rsidRPr="007122AB">
        <w:rPr>
          <w:rFonts w:ascii="Times New Roman" w:hAnsi="Times New Roman"/>
          <w:color w:val="000000" w:themeColor="text1"/>
          <w:sz w:val="16"/>
          <w:szCs w:val="16"/>
        </w:rPr>
        <w:t xml:space="preserve"> и приказали захватить общие виды ПТ-1. Оказалось, приехал сам Серго Орджоникидзе знакомиться с разработками АТТБ.</w:t>
      </w:r>
    </w:p>
    <w:p w14:paraId="6D9FE1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Когда Астров подошел с чертежами к кабинету Анатолия Георгиевича </w:t>
      </w:r>
      <w:proofErr w:type="spellStart"/>
      <w:r w:rsidRPr="007122AB">
        <w:rPr>
          <w:rFonts w:ascii="Times New Roman" w:hAnsi="Times New Roman"/>
          <w:color w:val="000000" w:themeColor="text1"/>
          <w:sz w:val="16"/>
          <w:szCs w:val="16"/>
        </w:rPr>
        <w:t>Горьянова</w:t>
      </w:r>
      <w:proofErr w:type="spellEnd"/>
      <w:r w:rsidRPr="007122AB">
        <w:rPr>
          <w:rFonts w:ascii="Times New Roman" w:hAnsi="Times New Roman"/>
          <w:color w:val="000000" w:themeColor="text1"/>
          <w:sz w:val="16"/>
          <w:szCs w:val="16"/>
        </w:rPr>
        <w:t xml:space="preserve">, там были еще </w:t>
      </w:r>
      <w:proofErr w:type="spellStart"/>
      <w:r w:rsidRPr="007122AB">
        <w:rPr>
          <w:rFonts w:ascii="Times New Roman" w:hAnsi="Times New Roman"/>
          <w:color w:val="000000" w:themeColor="text1"/>
          <w:sz w:val="16"/>
          <w:szCs w:val="16"/>
        </w:rPr>
        <w:t>Брилинг</w:t>
      </w:r>
      <w:proofErr w:type="spellEnd"/>
      <w:r w:rsidRPr="007122AB">
        <w:rPr>
          <w:rFonts w:ascii="Times New Roman" w:hAnsi="Times New Roman"/>
          <w:color w:val="000000" w:themeColor="text1"/>
          <w:sz w:val="16"/>
          <w:szCs w:val="16"/>
        </w:rPr>
        <w:t xml:space="preserve"> и Стечкин, которые рассказывали Серго о своих дизелях ЯГГ, ФЭД-8 и КОДЖУ. Когда они вышли из кабинета, позвали Астрова. Он толково доложил о танке, Серго остался доволен и пожал Николаю Александровичу руку.</w:t>
      </w:r>
    </w:p>
    <w:p w14:paraId="29A232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Через несколько дней </w:t>
      </w:r>
      <w:proofErr w:type="spellStart"/>
      <w:r w:rsidRPr="007122AB">
        <w:rPr>
          <w:rFonts w:ascii="Times New Roman" w:hAnsi="Times New Roman"/>
          <w:color w:val="000000" w:themeColor="text1"/>
          <w:sz w:val="16"/>
          <w:szCs w:val="16"/>
        </w:rPr>
        <w:t>Горьянов</w:t>
      </w:r>
      <w:proofErr w:type="spellEnd"/>
      <w:r w:rsidRPr="007122AB">
        <w:rPr>
          <w:rFonts w:ascii="Times New Roman" w:hAnsi="Times New Roman"/>
          <w:color w:val="000000" w:themeColor="text1"/>
          <w:sz w:val="16"/>
          <w:szCs w:val="16"/>
        </w:rPr>
        <w:t>, встретив Астрова в коридоре, сказал:</w:t>
      </w:r>
    </w:p>
    <w:p w14:paraId="4E837A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 Вы знаете, Серго, после того, как Вы ушли из моего кабинета,</w:t>
      </w:r>
    </w:p>
    <w:p w14:paraId="24FA8C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сказал мне: «Отдай мне этого мальчика в очках». На что я ответил: «Самим он нужен».</w:t>
      </w:r>
    </w:p>
    <w:p w14:paraId="3AEE77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Еще через несколько дней за несколькими заключенными пришла большая легковая машина, которая отвезла их на дачу Орджоникидзе. Среди них </w:t>
      </w:r>
      <w:proofErr w:type="spellStart"/>
      <w:r w:rsidRPr="007122AB">
        <w:rPr>
          <w:rFonts w:ascii="Times New Roman" w:hAnsi="Times New Roman"/>
          <w:color w:val="000000" w:themeColor="text1"/>
          <w:sz w:val="16"/>
          <w:szCs w:val="16"/>
        </w:rPr>
        <w:t>бьии</w:t>
      </w:r>
      <w:proofErr w:type="spellEnd"/>
      <w:r w:rsidRPr="007122AB">
        <w:rPr>
          <w:rFonts w:ascii="Times New Roman" w:hAnsi="Times New Roman"/>
          <w:color w:val="000000" w:themeColor="text1"/>
          <w:sz w:val="16"/>
          <w:szCs w:val="16"/>
        </w:rPr>
        <w:t xml:space="preserve"> Стечкин, </w:t>
      </w:r>
      <w:proofErr w:type="spellStart"/>
      <w:r w:rsidRPr="007122AB">
        <w:rPr>
          <w:rFonts w:ascii="Times New Roman" w:hAnsi="Times New Roman"/>
          <w:color w:val="000000" w:themeColor="text1"/>
          <w:sz w:val="16"/>
          <w:szCs w:val="16"/>
        </w:rPr>
        <w:t>Брилинг</w:t>
      </w:r>
      <w:proofErr w:type="spellEnd"/>
      <w:r w:rsidRPr="007122AB">
        <w:rPr>
          <w:rFonts w:ascii="Times New Roman" w:hAnsi="Times New Roman"/>
          <w:color w:val="000000" w:themeColor="text1"/>
          <w:sz w:val="16"/>
          <w:szCs w:val="16"/>
        </w:rPr>
        <w:t>, Витт, Астров и еще кто-то. Всего 6 человек. Серго в душевной беседе хотел узнать, чем живут эти люди, искал среди них талантливых руководителей КБ, институтов и лабораторий.</w:t>
      </w:r>
    </w:p>
    <w:p w14:paraId="697AB6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Поначалу в группе работало 12-15 человек. С учетом возраста Астрова «средний возраст группы был более 60 лет (11504).</w:t>
      </w:r>
    </w:p>
    <w:p w14:paraId="23C0E7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60D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w:t>
      </w:r>
      <w:r w:rsidRPr="007122AB">
        <w:rPr>
          <w:rFonts w:ascii="Times New Roman" w:hAnsi="Times New Roman"/>
          <w:color w:val="000000" w:themeColor="text1"/>
          <w:sz w:val="16"/>
          <w:szCs w:val="16"/>
        </w:rPr>
        <w:softHyphen/>
        <w:t xml:space="preserve">тябре 1931 коллектив КБ (сам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в это время «варил» свою броню марки Д на Мариупольском заводе) в срочном порядке переработал конструкцию корпуса, изготовление которых поручили </w:t>
      </w:r>
      <w:proofErr w:type="spellStart"/>
      <w:r w:rsidRPr="007122AB">
        <w:rPr>
          <w:rFonts w:ascii="Times New Roman" w:hAnsi="Times New Roman"/>
          <w:color w:val="000000" w:themeColor="text1"/>
          <w:sz w:val="16"/>
          <w:szCs w:val="16"/>
        </w:rPr>
        <w:t>крекинго</w:t>
      </w:r>
      <w:proofErr w:type="spellEnd"/>
      <w:r w:rsidRPr="007122AB">
        <w:rPr>
          <w:rFonts w:ascii="Times New Roman" w:hAnsi="Times New Roman"/>
          <w:color w:val="000000" w:themeColor="text1"/>
          <w:sz w:val="16"/>
          <w:szCs w:val="16"/>
        </w:rPr>
        <w:t>-электровозостроительному за</w:t>
      </w:r>
      <w:r w:rsidRPr="007122AB">
        <w:rPr>
          <w:rFonts w:ascii="Times New Roman" w:hAnsi="Times New Roman"/>
          <w:color w:val="000000" w:themeColor="text1"/>
          <w:sz w:val="16"/>
          <w:szCs w:val="16"/>
        </w:rPr>
        <w:softHyphen/>
        <w:t>воду в подмосковном Подольске. Однако здесь тоже воз</w:t>
      </w:r>
      <w:r w:rsidRPr="007122AB">
        <w:rPr>
          <w:rFonts w:ascii="Times New Roman" w:hAnsi="Times New Roman"/>
          <w:color w:val="000000" w:themeColor="text1"/>
          <w:sz w:val="16"/>
          <w:szCs w:val="16"/>
        </w:rPr>
        <w:softHyphen/>
        <w:t xml:space="preserve">никли трудности, к только в начале нового, 1933 года на </w:t>
      </w:r>
      <w:proofErr w:type="spellStart"/>
      <w:r w:rsidRPr="007122AB">
        <w:rPr>
          <w:rFonts w:ascii="Times New Roman" w:hAnsi="Times New Roman"/>
          <w:color w:val="000000" w:themeColor="text1"/>
          <w:sz w:val="16"/>
          <w:szCs w:val="16"/>
        </w:rPr>
        <w:t>Можерезе</w:t>
      </w:r>
      <w:proofErr w:type="spellEnd"/>
      <w:r w:rsidRPr="007122AB">
        <w:rPr>
          <w:rFonts w:ascii="Times New Roman" w:hAnsi="Times New Roman"/>
          <w:color w:val="000000" w:themeColor="text1"/>
          <w:sz w:val="16"/>
          <w:szCs w:val="16"/>
        </w:rPr>
        <w:t xml:space="preserve"> началась сборка первых бронемашин. 26 марта представитель военной приемки на заводе сообщал о про</w:t>
      </w:r>
      <w:r w:rsidRPr="007122AB">
        <w:rPr>
          <w:rFonts w:ascii="Times New Roman" w:hAnsi="Times New Roman"/>
          <w:color w:val="000000" w:themeColor="text1"/>
          <w:sz w:val="16"/>
          <w:szCs w:val="16"/>
        </w:rPr>
        <w:softHyphen/>
        <w:t>изводстве Д-13 следующее: «5 единиц готовы за исключе</w:t>
      </w:r>
      <w:r w:rsidRPr="007122AB">
        <w:rPr>
          <w:rFonts w:ascii="Times New Roman" w:hAnsi="Times New Roman"/>
          <w:color w:val="000000" w:themeColor="text1"/>
          <w:sz w:val="16"/>
          <w:szCs w:val="16"/>
        </w:rPr>
        <w:softHyphen/>
        <w:t>нием: не сделаны рамы с сеткой для карт, нет задних фона</w:t>
      </w:r>
      <w:r w:rsidRPr="007122AB">
        <w:rPr>
          <w:rFonts w:ascii="Times New Roman" w:hAnsi="Times New Roman"/>
          <w:color w:val="000000" w:themeColor="text1"/>
          <w:sz w:val="16"/>
          <w:szCs w:val="16"/>
        </w:rPr>
        <w:softHyphen/>
        <w:t>рей. Машины вышли на испытание. 5 единиц, кроме ука</w:t>
      </w:r>
      <w:r w:rsidRPr="007122AB">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7122AB">
        <w:rPr>
          <w:rFonts w:ascii="Times New Roman" w:hAnsi="Times New Roman"/>
          <w:color w:val="000000" w:themeColor="text1"/>
          <w:sz w:val="16"/>
          <w:szCs w:val="16"/>
        </w:rPr>
        <w:softHyphen/>
        <w:t>нительных бензобаков». Но к маю Д-13 были сданы и по</w:t>
      </w:r>
      <w:r w:rsidRPr="007122AB">
        <w:rPr>
          <w:rFonts w:ascii="Times New Roman" w:hAnsi="Times New Roman"/>
          <w:color w:val="000000" w:themeColor="text1"/>
          <w:sz w:val="16"/>
          <w:szCs w:val="16"/>
        </w:rPr>
        <w:softHyphen/>
        <w:t>ступили в войска. Таким образом, всего изготовили 13 бро</w:t>
      </w:r>
      <w:r w:rsidRPr="007122AB">
        <w:rPr>
          <w:rFonts w:ascii="Times New Roman" w:hAnsi="Times New Roman"/>
          <w:color w:val="000000" w:themeColor="text1"/>
          <w:sz w:val="16"/>
          <w:szCs w:val="16"/>
        </w:rPr>
        <w:softHyphen/>
        <w:t xml:space="preserve">немашин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12 Д-13 (считая 2 опыт</w:t>
      </w:r>
      <w:r w:rsidRPr="007122AB">
        <w:rPr>
          <w:rFonts w:ascii="Times New Roman" w:hAnsi="Times New Roman"/>
          <w:color w:val="000000" w:themeColor="text1"/>
          <w:sz w:val="16"/>
          <w:szCs w:val="16"/>
        </w:rPr>
        <w:softHyphen/>
        <w:t>ных образца) и 1 Д-9 (11284).</w:t>
      </w:r>
    </w:p>
    <w:p w14:paraId="5DECE4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8E3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(с нескольки</w:t>
      </w:r>
      <w:r w:rsidRPr="007122AB">
        <w:rPr>
          <w:rFonts w:ascii="Times New Roman" w:hAnsi="Times New Roman"/>
          <w:color w:val="000000" w:themeColor="text1"/>
          <w:sz w:val="16"/>
          <w:szCs w:val="16"/>
        </w:rPr>
        <w:softHyphen/>
        <w:t>ми перерывами) закончились проводимые по распоряжению председателя НТК УММ РККА широкомасштабные ис</w:t>
      </w:r>
      <w:r w:rsidRPr="007122AB">
        <w:rPr>
          <w:rFonts w:ascii="Times New Roman" w:hAnsi="Times New Roman"/>
          <w:color w:val="000000" w:themeColor="text1"/>
          <w:sz w:val="16"/>
          <w:szCs w:val="16"/>
        </w:rPr>
        <w:softHyphen/>
        <w:t>пытания «колесных танкеток», начатые в феврале. В отчете, составленном в октябре, говорилось следующее:</w:t>
      </w:r>
    </w:p>
    <w:p w14:paraId="5E41C4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Удобство наблюдения за дорогой при открытом и закрытом люке водителя вполне удовлетворительное.</w:t>
      </w:r>
    </w:p>
    <w:p w14:paraId="1C21E56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Управление автомобилем просто и удобно, но необ</w:t>
      </w:r>
      <w:r w:rsidRPr="007122AB">
        <w:rPr>
          <w:rFonts w:ascii="Times New Roman" w:hAnsi="Times New Roman"/>
          <w:color w:val="000000" w:themeColor="text1"/>
          <w:sz w:val="16"/>
          <w:szCs w:val="16"/>
        </w:rPr>
        <w:softHyphen/>
        <w:t>ходимо сиденья водителя и пулеметчика закрепить на</w:t>
      </w:r>
      <w:r w:rsidRPr="007122AB">
        <w:rPr>
          <w:rFonts w:ascii="Times New Roman" w:hAnsi="Times New Roman"/>
          <w:color w:val="000000" w:themeColor="text1"/>
          <w:sz w:val="16"/>
          <w:szCs w:val="16"/>
        </w:rPr>
        <w:softHyphen/>
        <w:t>мертво.</w:t>
      </w:r>
    </w:p>
    <w:p w14:paraId="5B6982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Для посадки команды в 3 человека без оружия, но в шубах, требуется 5-7 с, для выхода - 4-5 с. Посадка и выход производятся водителем и передним пулеметчиком через борт, а заднего через дверцу.</w:t>
      </w:r>
    </w:p>
    <w:p w14:paraId="79B673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При испытании пробегом выяснилось, что разницы в проходимости по снежному шоссе с автомобилем «Форд» нормального типа почти нет. Надежно может работать на укатанном шоссе, на шоссе с заносами (на коротких участ</w:t>
      </w:r>
      <w:r w:rsidRPr="007122AB">
        <w:rPr>
          <w:rFonts w:ascii="Times New Roman" w:hAnsi="Times New Roman"/>
          <w:color w:val="000000" w:themeColor="text1"/>
          <w:sz w:val="16"/>
          <w:szCs w:val="16"/>
        </w:rPr>
        <w:softHyphen/>
        <w:t>ках) и на шоссе, покрытом слоем снега до 10—15 см.</w:t>
      </w:r>
    </w:p>
    <w:p w14:paraId="678222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при полной нагрузке на гори</w:t>
      </w:r>
      <w:r w:rsidRPr="007122AB">
        <w:rPr>
          <w:rFonts w:ascii="Times New Roman" w:hAnsi="Times New Roman"/>
          <w:color w:val="000000" w:themeColor="text1"/>
          <w:sz w:val="16"/>
          <w:szCs w:val="16"/>
        </w:rPr>
        <w:softHyphen/>
        <w:t>зонтальном участке по спидометру 80—88 км/ч (50— 55 миль в час). Средняя скорость при полной нагрузке на хорошо укатанном шоссе — 45—50 км/ч, средняя скорость на занесенном снегом шоссе — 30—35 км/ч.</w:t>
      </w:r>
    </w:p>
    <w:p w14:paraId="06762F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Автомобиль прост по конструкции и ухо</w:t>
      </w:r>
      <w:r w:rsidRPr="007122AB">
        <w:rPr>
          <w:rFonts w:ascii="Times New Roman" w:hAnsi="Times New Roman"/>
          <w:color w:val="000000" w:themeColor="text1"/>
          <w:sz w:val="16"/>
          <w:szCs w:val="16"/>
        </w:rPr>
        <w:softHyphen/>
        <w:t>ду, быстроходен и поворотлив, с большим запасом мощно</w:t>
      </w:r>
      <w:r w:rsidRPr="007122AB">
        <w:rPr>
          <w:rFonts w:ascii="Times New Roman" w:hAnsi="Times New Roman"/>
          <w:color w:val="000000" w:themeColor="text1"/>
          <w:sz w:val="16"/>
          <w:szCs w:val="16"/>
        </w:rPr>
        <w:softHyphen/>
        <w:t>сти и ускорения. Для работы в летних условиях необходимо усилить охлаждение. По имеющимся в испытательной группе материалам, недостаточно прочен при работе в лет</w:t>
      </w:r>
      <w:r w:rsidRPr="007122AB">
        <w:rPr>
          <w:rFonts w:ascii="Times New Roman" w:hAnsi="Times New Roman"/>
          <w:color w:val="000000" w:themeColor="text1"/>
          <w:sz w:val="16"/>
          <w:szCs w:val="16"/>
        </w:rPr>
        <w:softHyphen/>
        <w:t xml:space="preserve">них условиях на </w:t>
      </w:r>
      <w:proofErr w:type="spellStart"/>
      <w:r w:rsidRPr="007122AB">
        <w:rPr>
          <w:rFonts w:ascii="Times New Roman" w:hAnsi="Times New Roman"/>
          <w:color w:val="000000" w:themeColor="text1"/>
          <w:sz w:val="16"/>
          <w:szCs w:val="16"/>
        </w:rPr>
        <w:t>гусматиках</w:t>
      </w:r>
      <w:proofErr w:type="spellEnd"/>
      <w:r w:rsidRPr="007122AB">
        <w:rPr>
          <w:rFonts w:ascii="Times New Roman" w:hAnsi="Times New Roman"/>
          <w:color w:val="000000" w:themeColor="text1"/>
          <w:sz w:val="16"/>
          <w:szCs w:val="16"/>
        </w:rPr>
        <w:t xml:space="preserve">. В настоящее время автомобиль испытывается группой для определения прочности на </w:t>
      </w:r>
      <w:proofErr w:type="spellStart"/>
      <w:r w:rsidRPr="007122AB">
        <w:rPr>
          <w:rFonts w:ascii="Times New Roman" w:hAnsi="Times New Roman"/>
          <w:color w:val="000000" w:themeColor="text1"/>
          <w:sz w:val="16"/>
          <w:szCs w:val="16"/>
        </w:rPr>
        <w:t>гус</w:t>
      </w:r>
      <w:r w:rsidRPr="007122AB">
        <w:rPr>
          <w:rFonts w:ascii="Times New Roman" w:hAnsi="Times New Roman"/>
          <w:color w:val="000000" w:themeColor="text1"/>
          <w:sz w:val="16"/>
          <w:szCs w:val="16"/>
        </w:rPr>
        <w:softHyphen/>
        <w:t>матиках</w:t>
      </w:r>
      <w:proofErr w:type="spellEnd"/>
      <w:r w:rsidRPr="007122AB">
        <w:rPr>
          <w:rFonts w:ascii="Times New Roman" w:hAnsi="Times New Roman"/>
          <w:color w:val="000000" w:themeColor="text1"/>
          <w:sz w:val="16"/>
          <w:szCs w:val="16"/>
        </w:rPr>
        <w:t>» (11284).</w:t>
      </w:r>
    </w:p>
    <w:p w14:paraId="7F14E5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A4F1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во время передачи заказа на изготовление «колесной танкетки» опытно-конструк</w:t>
      </w:r>
      <w:r w:rsidRPr="007122AB">
        <w:rPr>
          <w:rFonts w:ascii="Times New Roman" w:hAnsi="Times New Roman"/>
          <w:color w:val="000000" w:themeColor="text1"/>
          <w:sz w:val="16"/>
          <w:szCs w:val="16"/>
        </w:rPr>
        <w:softHyphen/>
        <w:t xml:space="preserve">торскому и испытательному бюро, начальник УММ РККА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xml:space="preserve"> предложил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«спроектировать полно</w:t>
      </w:r>
      <w:r w:rsidRPr="007122AB">
        <w:rPr>
          <w:rFonts w:ascii="Times New Roman" w:hAnsi="Times New Roman"/>
          <w:color w:val="000000" w:themeColor="text1"/>
          <w:sz w:val="16"/>
          <w:szCs w:val="16"/>
        </w:rPr>
        <w:softHyphen/>
        <w:t>стью бронированный разведывательный «Форд-А». В дека</w:t>
      </w:r>
      <w:r w:rsidRPr="007122AB">
        <w:rPr>
          <w:rFonts w:ascii="Times New Roman" w:hAnsi="Times New Roman"/>
          <w:color w:val="000000" w:themeColor="text1"/>
          <w:sz w:val="16"/>
          <w:szCs w:val="16"/>
        </w:rPr>
        <w:softHyphen/>
        <w:t xml:space="preserve">бре 1931 года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направил на рассмотрение военных два проекта бронемашин (11284).</w:t>
      </w:r>
    </w:p>
    <w:p w14:paraId="55D869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C72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с Ижорским заво</w:t>
      </w:r>
      <w:r w:rsidRPr="007122AB">
        <w:rPr>
          <w:rFonts w:ascii="Times New Roman" w:hAnsi="Times New Roman"/>
          <w:color w:val="000000" w:themeColor="text1"/>
          <w:sz w:val="16"/>
          <w:szCs w:val="16"/>
        </w:rPr>
        <w:softHyphen/>
        <w:t>дом заключили договор еще на 65 БА-27 четвертой партии со следующими сроками сдачи: в октябре — 20, в ноябре — 20 и в декабре - 25. Согласно документам, окраска броневиков была следу</w:t>
      </w:r>
      <w:r w:rsidRPr="007122AB">
        <w:rPr>
          <w:rFonts w:ascii="Times New Roman" w:hAnsi="Times New Roman"/>
          <w:color w:val="000000" w:themeColor="text1"/>
          <w:sz w:val="16"/>
          <w:szCs w:val="16"/>
        </w:rPr>
        <w:softHyphen/>
        <w:t>ющей: «...Защитный цвет снаружи и белый внутри. На каж</w:t>
      </w:r>
      <w:r w:rsidRPr="007122AB">
        <w:rPr>
          <w:rFonts w:ascii="Times New Roman" w:hAnsi="Times New Roman"/>
          <w:color w:val="000000" w:themeColor="text1"/>
          <w:sz w:val="16"/>
          <w:szCs w:val="16"/>
        </w:rPr>
        <w:softHyphen/>
        <w:t>дой машине на внутренней стороне дверей наносилась мар</w:t>
      </w:r>
      <w:r w:rsidRPr="007122AB">
        <w:rPr>
          <w:rFonts w:ascii="Times New Roman" w:hAnsi="Times New Roman"/>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7122AB">
        <w:rPr>
          <w:rFonts w:ascii="Times New Roman" w:hAnsi="Times New Roman"/>
          <w:color w:val="000000" w:themeColor="text1"/>
          <w:sz w:val="16"/>
          <w:szCs w:val="16"/>
        </w:rPr>
        <w:softHyphen/>
        <w:t>ными надписями» (11284).</w:t>
      </w:r>
    </w:p>
    <w:p w14:paraId="77A4CD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7C7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АВТОДОР, заключивший договор с заводом Красный Октябрь о поставках 4 тыс. экземпляров Л-300, выплатил 1 млн р., а в первой половине 1932 г. - ещё около 2 млн р. Руко</w:t>
      </w:r>
      <w:r w:rsidRPr="007122AB">
        <w:rPr>
          <w:rFonts w:ascii="Times New Roman" w:hAnsi="Times New Roman"/>
          <w:color w:val="000000" w:themeColor="text1"/>
          <w:sz w:val="16"/>
          <w:szCs w:val="16"/>
        </w:rPr>
        <w:softHyphen/>
        <w:t>водство завода «Красный Октябрь» обязалось поставлять опла</w:t>
      </w:r>
      <w:r w:rsidRPr="007122AB">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7122AB">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7122AB">
        <w:rPr>
          <w:rFonts w:ascii="Times New Roman" w:hAnsi="Times New Roman"/>
          <w:color w:val="000000" w:themeColor="text1"/>
          <w:sz w:val="16"/>
          <w:szCs w:val="16"/>
        </w:rPr>
        <w:softHyphen/>
        <w:t xml:space="preserve">шин [4.46] не соответствовало действительности. На </w:t>
      </w:r>
      <w:proofErr w:type="spellStart"/>
      <w:r w:rsidRPr="007122AB">
        <w:rPr>
          <w:rFonts w:ascii="Times New Roman" w:hAnsi="Times New Roman"/>
          <w:color w:val="000000" w:themeColor="text1"/>
          <w:sz w:val="16"/>
          <w:szCs w:val="16"/>
        </w:rPr>
        <w:t>ХАЗе</w:t>
      </w:r>
      <w:proofErr w:type="spellEnd"/>
      <w:r w:rsidRPr="007122AB">
        <w:rPr>
          <w:rFonts w:ascii="Times New Roman" w:hAnsi="Times New Roman"/>
          <w:color w:val="000000" w:themeColor="text1"/>
          <w:sz w:val="16"/>
          <w:szCs w:val="16"/>
        </w:rPr>
        <w:t xml:space="preserve"> не предполагалось развёртывать серийное производство мотоцик</w:t>
      </w:r>
      <w:r w:rsidRPr="007122AB">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7122AB">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7122AB">
        <w:rPr>
          <w:rFonts w:ascii="Times New Roman" w:hAnsi="Times New Roman"/>
          <w:color w:val="000000" w:themeColor="text1"/>
          <w:sz w:val="16"/>
          <w:szCs w:val="16"/>
        </w:rPr>
        <w:softHyphen/>
        <w:t>валось сосредоточить производственные ресурсы, на эту темати</w:t>
      </w:r>
      <w:r w:rsidRPr="007122AB">
        <w:rPr>
          <w:rFonts w:ascii="Times New Roman" w:hAnsi="Times New Roman"/>
          <w:color w:val="000000" w:themeColor="text1"/>
          <w:sz w:val="16"/>
          <w:szCs w:val="16"/>
        </w:rPr>
        <w:softHyphen/>
        <w:t xml:space="preserve">ку пришлось переводить лучшие кадры, привлекая их из многих подразделений, в том числе из </w:t>
      </w:r>
      <w:proofErr w:type="spellStart"/>
      <w:r w:rsidRPr="007122AB">
        <w:rPr>
          <w:rFonts w:ascii="Times New Roman" w:hAnsi="Times New Roman"/>
          <w:color w:val="000000" w:themeColor="text1"/>
          <w:sz w:val="16"/>
          <w:szCs w:val="16"/>
        </w:rPr>
        <w:t>Мотобюро</w:t>
      </w:r>
      <w:proofErr w:type="spellEnd"/>
      <w:r w:rsidRPr="007122AB">
        <w:rPr>
          <w:rFonts w:ascii="Times New Roman" w:hAnsi="Times New Roman"/>
          <w:color w:val="000000" w:themeColor="text1"/>
          <w:sz w:val="16"/>
          <w:szCs w:val="16"/>
        </w:rPr>
        <w:t xml:space="preserve"> [4.22]. С 1935 года в вы</w:t>
      </w:r>
      <w:r w:rsidRPr="007122AB">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2A53C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2D4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(решение об образовании принято в 1928 г.) на территории фабрики нитрошелка был создан Военно-химический научно-исследовательский институт (ВХНИИ НКТП) на базе переехавшего из г. Ленинграда коллектива ЦНИЛ-84 ВСНХ для исследования и работ по порохам, ВВ, пиротехническим средствам и средствам инициирования.</w:t>
      </w:r>
    </w:p>
    <w:p w14:paraId="42C3B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1936 г. - НИИ-6 НКОП, с 1939 г. в подчинении НКБ, в 1949 г.- МСХМ, в 1959 г. - ГКОТ, с 1964 г.- НИИХМ (химматериалов) ММ, с 1969 г. – ЦНИИХМ (химии и механики).</w:t>
      </w:r>
    </w:p>
    <w:p w14:paraId="691B9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Ведущий институт пороховой промышленности. </w:t>
      </w:r>
    </w:p>
    <w:p w14:paraId="61D85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институте существовало зарядное бюро (руководитель- И.Г. </w:t>
      </w:r>
      <w:proofErr w:type="spellStart"/>
      <w:r w:rsidRPr="007122AB">
        <w:rPr>
          <w:rFonts w:ascii="Times New Roman" w:hAnsi="Times New Roman"/>
          <w:color w:val="000000" w:themeColor="text1"/>
          <w:sz w:val="16"/>
          <w:szCs w:val="16"/>
        </w:rPr>
        <w:t>Лопук</w:t>
      </w:r>
      <w:proofErr w:type="spellEnd"/>
      <w:r w:rsidRPr="007122AB">
        <w:rPr>
          <w:rFonts w:ascii="Times New Roman" w:hAnsi="Times New Roman"/>
          <w:color w:val="000000" w:themeColor="text1"/>
          <w:sz w:val="16"/>
          <w:szCs w:val="16"/>
        </w:rPr>
        <w:t xml:space="preserve">) по зарядам к гранатам. </w:t>
      </w:r>
    </w:p>
    <w:p w14:paraId="447F7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руководством М.В. Васильева (участвовал Н.С. </w:t>
      </w:r>
      <w:proofErr w:type="spellStart"/>
      <w:r w:rsidRPr="007122AB">
        <w:rPr>
          <w:rFonts w:ascii="Times New Roman" w:hAnsi="Times New Roman"/>
          <w:color w:val="000000" w:themeColor="text1"/>
          <w:sz w:val="16"/>
          <w:szCs w:val="16"/>
        </w:rPr>
        <w:t>Житких</w:t>
      </w:r>
      <w:proofErr w:type="spellEnd"/>
      <w:r w:rsidRPr="007122AB">
        <w:rPr>
          <w:rFonts w:ascii="Times New Roman" w:hAnsi="Times New Roman"/>
          <w:color w:val="000000" w:themeColor="text1"/>
          <w:sz w:val="16"/>
          <w:szCs w:val="16"/>
        </w:rPr>
        <w:t xml:space="preserve">) в НИИ-6 начаты исследования по противотанковым кумулятивным боеприпасам. </w:t>
      </w:r>
    </w:p>
    <w:p w14:paraId="68BBB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приказом НКБ № 14/620 от 22.10.1941 г. НИИ-6 эвакуирован в г. Кемерово на комбинаты № 319 и 392 НКБ. Все оставшееся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(разработана ручная кумулятивная противотанковая граната РПГ-6, конструкторы- М.З. Полеванов, Л.Б. Иоффе, Н.С. </w:t>
      </w:r>
      <w:proofErr w:type="spellStart"/>
      <w:r w:rsidRPr="007122AB">
        <w:rPr>
          <w:rFonts w:ascii="Times New Roman" w:hAnsi="Times New Roman"/>
          <w:color w:val="000000" w:themeColor="text1"/>
          <w:sz w:val="16"/>
          <w:szCs w:val="16"/>
        </w:rPr>
        <w:t>Житких</w:t>
      </w:r>
      <w:proofErr w:type="spellEnd"/>
      <w:r w:rsidRPr="007122AB">
        <w:rPr>
          <w:rFonts w:ascii="Times New Roman" w:hAnsi="Times New Roman"/>
          <w:color w:val="000000" w:themeColor="text1"/>
          <w:sz w:val="16"/>
          <w:szCs w:val="16"/>
        </w:rPr>
        <w:t xml:space="preserve">). </w:t>
      </w:r>
    </w:p>
    <w:p w14:paraId="044F10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11.1941 г. на базе опытных мастерских НИИ-6 организовали </w:t>
      </w:r>
      <w:proofErr w:type="spellStart"/>
      <w:r w:rsidRPr="007122AB">
        <w:rPr>
          <w:rFonts w:ascii="Times New Roman" w:hAnsi="Times New Roman"/>
          <w:color w:val="000000" w:themeColor="text1"/>
          <w:sz w:val="16"/>
          <w:szCs w:val="16"/>
        </w:rPr>
        <w:t>боеприпасное</w:t>
      </w:r>
      <w:proofErr w:type="spellEnd"/>
      <w:r w:rsidRPr="007122AB">
        <w:rPr>
          <w:rFonts w:ascii="Times New Roman" w:hAnsi="Times New Roman"/>
          <w:color w:val="000000" w:themeColor="text1"/>
          <w:sz w:val="16"/>
          <w:szCs w:val="16"/>
        </w:rPr>
        <w:t xml:space="preserve"> производство, являвшееся филиалом завода № 575. Приказом НКБ № 35 от 26.11.1941 г. оно выделено в самостоятельное предприятие- ГСЗ НИИ № 6. В 04.1942 г. ему присвоили название ГСЗ № 562 НКБ. По распоряжению СНК СССР от 21.06.1945 г. завод № 562 был ликвидирован, его правопреемником стал НИИ-6, куда были переведены основные кадры. </w:t>
      </w:r>
    </w:p>
    <w:p w14:paraId="68306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после эвакуации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w:t>
      </w:r>
      <w:proofErr w:type="spellStart"/>
      <w:r w:rsidRPr="007122AB">
        <w:rPr>
          <w:rFonts w:ascii="Times New Roman" w:hAnsi="Times New Roman"/>
          <w:color w:val="000000" w:themeColor="text1"/>
          <w:sz w:val="16"/>
          <w:szCs w:val="16"/>
        </w:rPr>
        <w:t>Лопук</w:t>
      </w:r>
      <w:proofErr w:type="spellEnd"/>
      <w:r w:rsidRPr="007122AB">
        <w:rPr>
          <w:rFonts w:ascii="Times New Roman" w:hAnsi="Times New Roman"/>
          <w:color w:val="000000" w:themeColor="text1"/>
          <w:sz w:val="16"/>
          <w:szCs w:val="16"/>
        </w:rPr>
        <w:t xml:space="preserve">; филиал № 3 при заводе № 635 (г. Новосибирск), начальник- В.З. </w:t>
      </w:r>
      <w:proofErr w:type="spellStart"/>
      <w:r w:rsidRPr="007122AB">
        <w:rPr>
          <w:rFonts w:ascii="Times New Roman" w:hAnsi="Times New Roman"/>
          <w:color w:val="000000" w:themeColor="text1"/>
          <w:sz w:val="16"/>
          <w:szCs w:val="16"/>
        </w:rPr>
        <w:t>Смоляницкий</w:t>
      </w:r>
      <w:proofErr w:type="spellEnd"/>
      <w:r w:rsidRPr="007122AB">
        <w:rPr>
          <w:rFonts w:ascii="Times New Roman" w:hAnsi="Times New Roman"/>
          <w:color w:val="000000" w:themeColor="text1"/>
          <w:sz w:val="16"/>
          <w:szCs w:val="16"/>
        </w:rPr>
        <w:t>;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w:t>
      </w:r>
    </w:p>
    <w:p w14:paraId="2471B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1942 г. в НИИ-6 организовано СТБ (специальное техническое бюро) во главе с И.М. Найманом для работ по механизации производства зарядов.55 </w:t>
      </w:r>
    </w:p>
    <w:p w14:paraId="3AD55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СТБ НИИ-6 разработана конструкция гранатомета ПГ-6 (1944 г.) под РПГ-6.</w:t>
      </w:r>
    </w:p>
    <w:p w14:paraId="260FE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Было СКБ, образованное после ВОВ при НИИ-6 под руководством М.И. </w:t>
      </w:r>
      <w:proofErr w:type="spellStart"/>
      <w:r w:rsidRPr="007122AB">
        <w:rPr>
          <w:rFonts w:ascii="Times New Roman" w:hAnsi="Times New Roman"/>
          <w:color w:val="000000" w:themeColor="text1"/>
          <w:sz w:val="16"/>
          <w:szCs w:val="16"/>
        </w:rPr>
        <w:t>Воротовова</w:t>
      </w:r>
      <w:proofErr w:type="spellEnd"/>
      <w:r w:rsidRPr="007122AB">
        <w:rPr>
          <w:rFonts w:ascii="Times New Roman" w:hAnsi="Times New Roman"/>
          <w:color w:val="000000" w:themeColor="text1"/>
          <w:sz w:val="16"/>
          <w:szCs w:val="16"/>
        </w:rPr>
        <w:t xml:space="preserve"> по созданию БЧ для УР. Исследования по воздействию осколков на планер самолета.</w:t>
      </w:r>
    </w:p>
    <w:p w14:paraId="4C23C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ВОВ: снаряжение ВВ для первой атомной бомбы. Работы по снарядам для зенитной артиллерии. Принимал участие в программе создания ОК «Буран».</w:t>
      </w:r>
    </w:p>
    <w:p w14:paraId="12FD6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СМ от 7.07.1967 г. велась разработка пороха РСИ-12МП для РСЗО «Град». Постановлением СМ от 12.02.1971 г. задана разработка пороха РСИ-МБП для РСЗО «Град».</w:t>
      </w:r>
    </w:p>
    <w:p w14:paraId="1EFD3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2004 г.- ФГУП ЦНИИХМ. По Указу Президента РФ № 1009 от 4.08.2004 г. вошел в число стратегических оборонных предприятий.</w:t>
      </w:r>
    </w:p>
    <w:p w14:paraId="736E99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(1931-33 г.)- М.А. Никитин (бывший начальник ЦНИЛ-84), (1933-36 г.)- Зайденберг, (1936-38гг.)- Я.Л. Березницкий, (1938-41 г.)- Н.И. Иконников, (14.07.1941-04.1948 г.)- А.П. </w:t>
      </w:r>
      <w:proofErr w:type="spellStart"/>
      <w:r w:rsidRPr="007122AB">
        <w:rPr>
          <w:rFonts w:ascii="Times New Roman" w:hAnsi="Times New Roman"/>
          <w:color w:val="000000" w:themeColor="text1"/>
          <w:sz w:val="16"/>
          <w:szCs w:val="16"/>
        </w:rPr>
        <w:t>Закощиков</w:t>
      </w:r>
      <w:proofErr w:type="spellEnd"/>
      <w:r w:rsidRPr="007122AB">
        <w:rPr>
          <w:rFonts w:ascii="Times New Roman" w:hAnsi="Times New Roman"/>
          <w:color w:val="000000" w:themeColor="text1"/>
          <w:sz w:val="16"/>
          <w:szCs w:val="16"/>
        </w:rPr>
        <w:t xml:space="preserve">, (1948 г.-, около 5-6 лет)- Т.И. </w:t>
      </w:r>
      <w:proofErr w:type="spellStart"/>
      <w:r w:rsidRPr="007122AB">
        <w:rPr>
          <w:rFonts w:ascii="Times New Roman" w:hAnsi="Times New Roman"/>
          <w:color w:val="000000" w:themeColor="text1"/>
          <w:sz w:val="16"/>
          <w:szCs w:val="16"/>
        </w:rPr>
        <w:t>Агафин</w:t>
      </w:r>
      <w:proofErr w:type="spellEnd"/>
      <w:r w:rsidRPr="007122AB">
        <w:rPr>
          <w:rFonts w:ascii="Times New Roman" w:hAnsi="Times New Roman"/>
          <w:color w:val="000000" w:themeColor="text1"/>
          <w:sz w:val="16"/>
          <w:szCs w:val="16"/>
        </w:rPr>
        <w:t xml:space="preserve">, В.Д. Сухих, (1962-70 г.)- И.И. Вернидуб, (1970 г.-)- Н.Н. Афонский, (1990-е г.)- </w:t>
      </w:r>
      <w:proofErr w:type="spellStart"/>
      <w:r w:rsidRPr="007122AB">
        <w:rPr>
          <w:rFonts w:ascii="Times New Roman" w:hAnsi="Times New Roman"/>
          <w:color w:val="000000" w:themeColor="text1"/>
          <w:sz w:val="16"/>
          <w:szCs w:val="16"/>
        </w:rPr>
        <w:t>Ю.И.Краснощеков</w:t>
      </w:r>
      <w:proofErr w:type="spellEnd"/>
      <w:r w:rsidRPr="007122AB">
        <w:rPr>
          <w:rFonts w:ascii="Times New Roman" w:hAnsi="Times New Roman"/>
          <w:color w:val="000000" w:themeColor="text1"/>
          <w:sz w:val="16"/>
          <w:szCs w:val="16"/>
        </w:rPr>
        <w:t xml:space="preserve">, (2002 г.)- С.С. Фокин.69 </w:t>
      </w:r>
    </w:p>
    <w:p w14:paraId="74F3D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зам. директора (1970-84 г.)- И.И. Вернидуб.56 Зам. директора по научной части (1941 г.)- Т.И. Яковлев.</w:t>
      </w:r>
    </w:p>
    <w:p w14:paraId="4AD0E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(1941 г.)- Т.И. Яковлев, Г.К. Клименко, А.К. </w:t>
      </w:r>
      <w:proofErr w:type="spellStart"/>
      <w:r w:rsidRPr="007122AB">
        <w:rPr>
          <w:rFonts w:ascii="Times New Roman" w:hAnsi="Times New Roman"/>
          <w:color w:val="000000" w:themeColor="text1"/>
          <w:sz w:val="16"/>
          <w:szCs w:val="16"/>
        </w:rPr>
        <w:t>Вострухин</w:t>
      </w:r>
      <w:proofErr w:type="spellEnd"/>
      <w:r w:rsidRPr="007122AB">
        <w:rPr>
          <w:rFonts w:ascii="Times New Roman" w:hAnsi="Times New Roman"/>
          <w:color w:val="000000" w:themeColor="text1"/>
          <w:sz w:val="16"/>
          <w:szCs w:val="16"/>
        </w:rPr>
        <w:t xml:space="preserve">, Е.М. </w:t>
      </w:r>
      <w:proofErr w:type="spellStart"/>
      <w:r w:rsidRPr="007122AB">
        <w:rPr>
          <w:rFonts w:ascii="Times New Roman" w:hAnsi="Times New Roman"/>
          <w:color w:val="000000" w:themeColor="text1"/>
          <w:sz w:val="16"/>
          <w:szCs w:val="16"/>
        </w:rPr>
        <w:t>Адаскин</w:t>
      </w:r>
      <w:proofErr w:type="spellEnd"/>
      <w:r w:rsidRPr="007122AB">
        <w:rPr>
          <w:rFonts w:ascii="Times New Roman" w:hAnsi="Times New Roman"/>
          <w:color w:val="000000" w:themeColor="text1"/>
          <w:sz w:val="16"/>
          <w:szCs w:val="16"/>
        </w:rPr>
        <w:t xml:space="preserve">, В.З. </w:t>
      </w:r>
      <w:proofErr w:type="spellStart"/>
      <w:r w:rsidRPr="007122AB">
        <w:rPr>
          <w:rFonts w:ascii="Times New Roman" w:hAnsi="Times New Roman"/>
          <w:color w:val="000000" w:themeColor="text1"/>
          <w:sz w:val="16"/>
          <w:szCs w:val="16"/>
        </w:rPr>
        <w:t>Смоляницкий</w:t>
      </w:r>
      <w:proofErr w:type="spellEnd"/>
      <w:r w:rsidRPr="007122AB">
        <w:rPr>
          <w:rFonts w:ascii="Times New Roman" w:hAnsi="Times New Roman"/>
          <w:color w:val="000000" w:themeColor="text1"/>
          <w:sz w:val="16"/>
          <w:szCs w:val="16"/>
        </w:rPr>
        <w:t>.</w:t>
      </w:r>
    </w:p>
    <w:p w14:paraId="4C8CC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лабораторий: (1941 г.)- </w:t>
      </w:r>
      <w:proofErr w:type="spellStart"/>
      <w:r w:rsidRPr="007122AB">
        <w:rPr>
          <w:rFonts w:ascii="Times New Roman" w:hAnsi="Times New Roman"/>
          <w:color w:val="000000" w:themeColor="text1"/>
          <w:sz w:val="16"/>
          <w:szCs w:val="16"/>
        </w:rPr>
        <w:t>Б.П.Жуков</w:t>
      </w:r>
      <w:proofErr w:type="spellEnd"/>
      <w:r w:rsidRPr="007122AB">
        <w:rPr>
          <w:rFonts w:ascii="Times New Roman" w:hAnsi="Times New Roman"/>
          <w:color w:val="000000" w:themeColor="text1"/>
          <w:sz w:val="16"/>
          <w:szCs w:val="16"/>
        </w:rPr>
        <w:t xml:space="preserve">, (1980 г.)- М.М. </w:t>
      </w:r>
      <w:proofErr w:type="spellStart"/>
      <w:r w:rsidRPr="007122AB">
        <w:rPr>
          <w:rFonts w:ascii="Times New Roman" w:hAnsi="Times New Roman"/>
          <w:color w:val="000000" w:themeColor="text1"/>
          <w:sz w:val="16"/>
          <w:szCs w:val="16"/>
        </w:rPr>
        <w:t>Растопшин</w:t>
      </w:r>
      <w:proofErr w:type="spellEnd"/>
      <w:r w:rsidRPr="007122AB">
        <w:rPr>
          <w:rFonts w:ascii="Times New Roman" w:hAnsi="Times New Roman"/>
          <w:color w:val="000000" w:themeColor="text1"/>
          <w:sz w:val="16"/>
          <w:szCs w:val="16"/>
        </w:rPr>
        <w:t xml:space="preserve"> (противотанковое вооружение).</w:t>
      </w:r>
    </w:p>
    <w:p w14:paraId="4F3D5C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(середина 1950-х)- </w:t>
      </w:r>
      <w:proofErr w:type="spellStart"/>
      <w:r w:rsidRPr="007122AB">
        <w:rPr>
          <w:rFonts w:ascii="Times New Roman" w:hAnsi="Times New Roman"/>
          <w:color w:val="000000" w:themeColor="text1"/>
          <w:sz w:val="16"/>
          <w:szCs w:val="16"/>
        </w:rPr>
        <w:t>А.К.Вострухин</w:t>
      </w:r>
      <w:proofErr w:type="spellEnd"/>
      <w:r w:rsidRPr="007122AB">
        <w:rPr>
          <w:rFonts w:ascii="Times New Roman" w:hAnsi="Times New Roman"/>
          <w:color w:val="000000" w:themeColor="text1"/>
          <w:sz w:val="16"/>
          <w:szCs w:val="16"/>
        </w:rPr>
        <w:t xml:space="preserve"> (ранее гл. инженер завода № 40). </w:t>
      </w:r>
    </w:p>
    <w:p w14:paraId="001D5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Создано: пороховое снаряжение БЧ и шашки двигателей для РС-132, пороховой заряд 9Х111, 9Х111М2 (1972) для НУР М-21-ОФ; разрывные заряды для авиационных снарядов; БЧ: для ПР, ЗУР (Р-112, 1949), («Даль», 1955, В.А. Сухих), 4Г15 для П-15 (1955-60), 4Г70 для П-25 (1961-62), УРВВ, ПТУР. </w:t>
      </w:r>
    </w:p>
    <w:p w14:paraId="009C7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НИИ-6 НКОП, НКБ, МСХМ, ММ, МОП, МОМ, ГКОТ, ВХНИИ НКТП, НИИХМ (химических материалов), ГНЦ ФГУП «ЦНИИХМ» (химии и механики) </w:t>
      </w:r>
      <w:proofErr w:type="spellStart"/>
      <w:r w:rsidRPr="007122AB">
        <w:rPr>
          <w:rFonts w:ascii="Times New Roman" w:hAnsi="Times New Roman"/>
          <w:color w:val="000000" w:themeColor="text1"/>
          <w:sz w:val="16"/>
          <w:szCs w:val="16"/>
        </w:rPr>
        <w:t>Росбоеприпаса</w:t>
      </w:r>
      <w:proofErr w:type="spellEnd"/>
    </w:p>
    <w:p w14:paraId="0D5A3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115487 г. Москва, ул. Нагатинская, 16а тел. 111-87-13 (10776).</w:t>
      </w:r>
    </w:p>
    <w:p w14:paraId="596DD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ОТБ-6 НКБ (НКВД-НКБ) </w:t>
      </w:r>
    </w:p>
    <w:p w14:paraId="66B318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Образовалось в 1938 г. на территории Московского НИИ-6 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w:t>
      </w:r>
      <w:proofErr w:type="spellStart"/>
      <w:r w:rsidRPr="007122AB">
        <w:rPr>
          <w:rFonts w:ascii="Times New Roman" w:hAnsi="Times New Roman"/>
          <w:color w:val="000000" w:themeColor="text1"/>
          <w:sz w:val="16"/>
          <w:szCs w:val="16"/>
        </w:rPr>
        <w:t>Спориус</w:t>
      </w:r>
      <w:proofErr w:type="spellEnd"/>
      <w:r w:rsidRPr="007122AB">
        <w:rPr>
          <w:rFonts w:ascii="Times New Roman" w:hAnsi="Times New Roman"/>
          <w:color w:val="000000" w:themeColor="text1"/>
          <w:sz w:val="16"/>
          <w:szCs w:val="16"/>
        </w:rPr>
        <w:t xml:space="preserve">, Ф.М. </w:t>
      </w:r>
      <w:proofErr w:type="spellStart"/>
      <w:r w:rsidRPr="007122AB">
        <w:rPr>
          <w:rFonts w:ascii="Times New Roman" w:hAnsi="Times New Roman"/>
          <w:color w:val="000000" w:themeColor="text1"/>
          <w:sz w:val="16"/>
          <w:szCs w:val="16"/>
        </w:rPr>
        <w:t>Хритинин</w:t>
      </w:r>
      <w:proofErr w:type="spellEnd"/>
      <w:r w:rsidRPr="007122AB">
        <w:rPr>
          <w:rFonts w:ascii="Times New Roman" w:hAnsi="Times New Roman"/>
          <w:color w:val="000000" w:themeColor="text1"/>
          <w:sz w:val="16"/>
          <w:szCs w:val="16"/>
        </w:rPr>
        <w:t xml:space="preserve">, Б.И. Пашков. </w:t>
      </w:r>
    </w:p>
    <w:p w14:paraId="7FBA8D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созданию рецептур порохов и технологий производства. </w:t>
      </w:r>
    </w:p>
    <w:p w14:paraId="32CEF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С.И. Лукашова разработала 45-мм бронебойно-зажигательный снаряд, 2 образца зажигательных АБ.</w:t>
      </w:r>
    </w:p>
    <w:p w14:paraId="48866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Рябова- бездымный </w:t>
      </w:r>
      <w:proofErr w:type="spellStart"/>
      <w:r w:rsidRPr="007122AB">
        <w:rPr>
          <w:rFonts w:ascii="Times New Roman" w:hAnsi="Times New Roman"/>
          <w:color w:val="000000" w:themeColor="text1"/>
          <w:sz w:val="16"/>
          <w:szCs w:val="16"/>
        </w:rPr>
        <w:t>артвыстрел</w:t>
      </w:r>
      <w:proofErr w:type="spellEnd"/>
      <w:r w:rsidRPr="007122AB">
        <w:rPr>
          <w:rFonts w:ascii="Times New Roman" w:hAnsi="Times New Roman"/>
          <w:color w:val="000000" w:themeColor="text1"/>
          <w:sz w:val="16"/>
          <w:szCs w:val="16"/>
        </w:rPr>
        <w:t>, заряд для бронебойной пули Б-30.</w:t>
      </w:r>
    </w:p>
    <w:p w14:paraId="66C6D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Фишмана (бывший начальник </w:t>
      </w:r>
      <w:proofErr w:type="spellStart"/>
      <w:r w:rsidRPr="007122AB">
        <w:rPr>
          <w:rFonts w:ascii="Times New Roman" w:hAnsi="Times New Roman"/>
          <w:color w:val="000000" w:themeColor="text1"/>
          <w:sz w:val="16"/>
          <w:szCs w:val="16"/>
        </w:rPr>
        <w:t>Химуправления</w:t>
      </w:r>
      <w:proofErr w:type="spellEnd"/>
      <w:r w:rsidRPr="007122AB">
        <w:rPr>
          <w:rFonts w:ascii="Times New Roman" w:hAnsi="Times New Roman"/>
          <w:color w:val="000000" w:themeColor="text1"/>
          <w:sz w:val="16"/>
          <w:szCs w:val="16"/>
        </w:rPr>
        <w:t xml:space="preserve"> НКО)- новый образец противогаза.</w:t>
      </w:r>
    </w:p>
    <w:p w14:paraId="74AA0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Ступникова (бывший гл. инженер НКОП)- новая технология производства серной кислоты.3 </w:t>
      </w:r>
    </w:p>
    <w:p w14:paraId="38FAC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08D660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октября 1941 г. в соответствии с приказом НКБ № 14/620 НИИ-6 эвакуирован в г. Кемерово на комбинаты № 319 и 392 НКБ. Все оставшееся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(разработана ручная кумулятивная противотанковая граната РПГ-6, конструкторы- М.З. Полеванов, Л.Б. Иоффе, Н.С. </w:t>
      </w:r>
      <w:proofErr w:type="spellStart"/>
      <w:r w:rsidRPr="007122AB">
        <w:rPr>
          <w:rFonts w:ascii="Times New Roman" w:hAnsi="Times New Roman"/>
          <w:color w:val="000000" w:themeColor="text1"/>
          <w:sz w:val="16"/>
          <w:szCs w:val="16"/>
        </w:rPr>
        <w:t>Житких</w:t>
      </w:r>
      <w:proofErr w:type="spellEnd"/>
      <w:r w:rsidRPr="007122AB">
        <w:rPr>
          <w:rFonts w:ascii="Times New Roman" w:hAnsi="Times New Roman"/>
          <w:color w:val="000000" w:themeColor="text1"/>
          <w:sz w:val="16"/>
          <w:szCs w:val="16"/>
        </w:rPr>
        <w:t xml:space="preserve">). </w:t>
      </w:r>
    </w:p>
    <w:p w14:paraId="23407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11.1941 г. на базе опытных мастерских НИИ-6 организовали </w:t>
      </w:r>
      <w:proofErr w:type="spellStart"/>
      <w:r w:rsidRPr="007122AB">
        <w:rPr>
          <w:rFonts w:ascii="Times New Roman" w:hAnsi="Times New Roman"/>
          <w:color w:val="000000" w:themeColor="text1"/>
          <w:sz w:val="16"/>
          <w:szCs w:val="16"/>
        </w:rPr>
        <w:t>боеприпасное</w:t>
      </w:r>
      <w:proofErr w:type="spellEnd"/>
      <w:r w:rsidRPr="007122AB">
        <w:rPr>
          <w:rFonts w:ascii="Times New Roman" w:hAnsi="Times New Roman"/>
          <w:color w:val="000000" w:themeColor="text1"/>
          <w:sz w:val="16"/>
          <w:szCs w:val="16"/>
        </w:rPr>
        <w:t xml:space="preserve"> производство, являвшееся филиалом завода № 575. Приказом НКБ № 35 от 26.11.1941 г. оно выделено в самостоятельное предприятие- ГСЗ НИИ № 6. В 04.1942 г. ему присвоили название ГСЗ № 562 НКБ. По распоряжению СНК СССР от 21.06.1945 г. завод № 562 был ликвидирован, его правопреемником стал НИИ-6, куда были переведены основные кадры. </w:t>
      </w:r>
    </w:p>
    <w:p w14:paraId="7C62F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после эвакуации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w:t>
      </w:r>
      <w:proofErr w:type="spellStart"/>
      <w:r w:rsidRPr="007122AB">
        <w:rPr>
          <w:rFonts w:ascii="Times New Roman" w:hAnsi="Times New Roman"/>
          <w:color w:val="000000" w:themeColor="text1"/>
          <w:sz w:val="16"/>
          <w:szCs w:val="16"/>
        </w:rPr>
        <w:t>Лопук</w:t>
      </w:r>
      <w:proofErr w:type="spellEnd"/>
      <w:r w:rsidRPr="007122AB">
        <w:rPr>
          <w:rFonts w:ascii="Times New Roman" w:hAnsi="Times New Roman"/>
          <w:color w:val="000000" w:themeColor="text1"/>
          <w:sz w:val="16"/>
          <w:szCs w:val="16"/>
        </w:rPr>
        <w:t xml:space="preserve">; филиал № 3 при заводе № 635 (г. Новосибирск), начальник- В.З. </w:t>
      </w:r>
      <w:proofErr w:type="spellStart"/>
      <w:r w:rsidRPr="007122AB">
        <w:rPr>
          <w:rFonts w:ascii="Times New Roman" w:hAnsi="Times New Roman"/>
          <w:color w:val="000000" w:themeColor="text1"/>
          <w:sz w:val="16"/>
          <w:szCs w:val="16"/>
        </w:rPr>
        <w:t>Смоляницкий</w:t>
      </w:r>
      <w:proofErr w:type="spellEnd"/>
      <w:r w:rsidRPr="007122AB">
        <w:rPr>
          <w:rFonts w:ascii="Times New Roman" w:hAnsi="Times New Roman"/>
          <w:color w:val="000000" w:themeColor="text1"/>
          <w:sz w:val="16"/>
          <w:szCs w:val="16"/>
        </w:rPr>
        <w:t>;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w:t>
      </w:r>
    </w:p>
    <w:p w14:paraId="7BE2B3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1942 г. в НИИ-6 организовано СТБ (специальное техническое бюро) во главе с И.М. Найманом для работ по механизации производства зарядов.</w:t>
      </w:r>
    </w:p>
    <w:p w14:paraId="4307D1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СТБ НИИ-6 разработана конструкция гранатомета ПГ-6 (1944 г.) под РПГ-6.</w:t>
      </w:r>
    </w:p>
    <w:p w14:paraId="1DF25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Было СКБ, образованное после ВОВ при НИИ-6 под руководством М.И. </w:t>
      </w:r>
      <w:proofErr w:type="spellStart"/>
      <w:r w:rsidRPr="007122AB">
        <w:rPr>
          <w:rFonts w:ascii="Times New Roman" w:hAnsi="Times New Roman"/>
          <w:color w:val="000000" w:themeColor="text1"/>
          <w:sz w:val="16"/>
          <w:szCs w:val="16"/>
        </w:rPr>
        <w:t>Воротовова</w:t>
      </w:r>
      <w:proofErr w:type="spellEnd"/>
      <w:r w:rsidRPr="007122AB">
        <w:rPr>
          <w:rFonts w:ascii="Times New Roman" w:hAnsi="Times New Roman"/>
          <w:color w:val="000000" w:themeColor="text1"/>
          <w:sz w:val="16"/>
          <w:szCs w:val="16"/>
        </w:rPr>
        <w:t xml:space="preserve"> по созданию БЧ для УР. Исследования по воздействию осколков на планер самолета.</w:t>
      </w:r>
    </w:p>
    <w:p w14:paraId="7593A9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ВОВ: снаряжение ВВ для первой атомной бомбы. Работы по снарядам для зенитной артиллерии. Принимал участие в программе создания ОК «Буран».</w:t>
      </w:r>
    </w:p>
    <w:p w14:paraId="3CDA3A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СМ от 7.07.1967 г. велась разработка пороха РСИ-12МП для РСЗО «Град». Постановлением СМ от 12.02.1971 г. задана разработка пороха РСИ-МБП для РСЗО «Град».</w:t>
      </w:r>
    </w:p>
    <w:p w14:paraId="1AF90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2004 г.- ФГУП ЦНИИХМ. По Указу Президента РФ № 1009 от 4.08.2004 г. вошел в число стратегических оборонных предприятий.</w:t>
      </w:r>
    </w:p>
    <w:p w14:paraId="5F636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(1931-33 г.)- М.А. Никитин (бывший начальник ЦНИЛ-84), (1933-36 г.)- Зайденберг, (1936-38гг.)- Я.Л. Березницкий, (1938-41 г.)- Н.И. Иконников, (14.07.1941-04.1948 г.)- А.П. </w:t>
      </w:r>
      <w:proofErr w:type="spellStart"/>
      <w:r w:rsidRPr="007122AB">
        <w:rPr>
          <w:rFonts w:ascii="Times New Roman" w:hAnsi="Times New Roman"/>
          <w:color w:val="000000" w:themeColor="text1"/>
          <w:sz w:val="16"/>
          <w:szCs w:val="16"/>
        </w:rPr>
        <w:t>Закощиков</w:t>
      </w:r>
      <w:proofErr w:type="spellEnd"/>
      <w:r w:rsidRPr="007122AB">
        <w:rPr>
          <w:rFonts w:ascii="Times New Roman" w:hAnsi="Times New Roman"/>
          <w:color w:val="000000" w:themeColor="text1"/>
          <w:sz w:val="16"/>
          <w:szCs w:val="16"/>
        </w:rPr>
        <w:t xml:space="preserve">, (1948 г.-, около 5-6 лет)- Т.И. </w:t>
      </w:r>
      <w:proofErr w:type="spellStart"/>
      <w:r w:rsidRPr="007122AB">
        <w:rPr>
          <w:rFonts w:ascii="Times New Roman" w:hAnsi="Times New Roman"/>
          <w:color w:val="000000" w:themeColor="text1"/>
          <w:sz w:val="16"/>
          <w:szCs w:val="16"/>
        </w:rPr>
        <w:t>Агафин</w:t>
      </w:r>
      <w:proofErr w:type="spellEnd"/>
      <w:r w:rsidRPr="007122AB">
        <w:rPr>
          <w:rFonts w:ascii="Times New Roman" w:hAnsi="Times New Roman"/>
          <w:color w:val="000000" w:themeColor="text1"/>
          <w:sz w:val="16"/>
          <w:szCs w:val="16"/>
        </w:rPr>
        <w:t xml:space="preserve">, В.Д. Сухих, (1962-70 г.)- И.И. Вернидуб, (1970 г.-)- Н.Н. Афонский, (1990-е г.)- </w:t>
      </w:r>
      <w:proofErr w:type="spellStart"/>
      <w:r w:rsidRPr="007122AB">
        <w:rPr>
          <w:rFonts w:ascii="Times New Roman" w:hAnsi="Times New Roman"/>
          <w:color w:val="000000" w:themeColor="text1"/>
          <w:sz w:val="16"/>
          <w:szCs w:val="16"/>
        </w:rPr>
        <w:t>Ю.И.Краснощеков</w:t>
      </w:r>
      <w:proofErr w:type="spellEnd"/>
      <w:r w:rsidRPr="007122AB">
        <w:rPr>
          <w:rFonts w:ascii="Times New Roman" w:hAnsi="Times New Roman"/>
          <w:color w:val="000000" w:themeColor="text1"/>
          <w:sz w:val="16"/>
          <w:szCs w:val="16"/>
        </w:rPr>
        <w:t xml:space="preserve">, (2002 г.)- С.С. Фокин.69 </w:t>
      </w:r>
    </w:p>
    <w:p w14:paraId="038B1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зам. директора (1970-84 г.)- И.И. Вернидуб.56 Зам. директора по научной части (1941 г.)- Т.И. Яковлев.</w:t>
      </w:r>
    </w:p>
    <w:p w14:paraId="09D42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(1941 г.)- Т.И. Яковлев, Г.К. Клименко, А.К. </w:t>
      </w:r>
      <w:proofErr w:type="spellStart"/>
      <w:r w:rsidRPr="007122AB">
        <w:rPr>
          <w:rFonts w:ascii="Times New Roman" w:hAnsi="Times New Roman"/>
          <w:color w:val="000000" w:themeColor="text1"/>
          <w:sz w:val="16"/>
          <w:szCs w:val="16"/>
        </w:rPr>
        <w:t>Вострухин</w:t>
      </w:r>
      <w:proofErr w:type="spellEnd"/>
      <w:r w:rsidRPr="007122AB">
        <w:rPr>
          <w:rFonts w:ascii="Times New Roman" w:hAnsi="Times New Roman"/>
          <w:color w:val="000000" w:themeColor="text1"/>
          <w:sz w:val="16"/>
          <w:szCs w:val="16"/>
        </w:rPr>
        <w:t xml:space="preserve">, Е.М. </w:t>
      </w:r>
      <w:proofErr w:type="spellStart"/>
      <w:r w:rsidRPr="007122AB">
        <w:rPr>
          <w:rFonts w:ascii="Times New Roman" w:hAnsi="Times New Roman"/>
          <w:color w:val="000000" w:themeColor="text1"/>
          <w:sz w:val="16"/>
          <w:szCs w:val="16"/>
        </w:rPr>
        <w:t>Адаскин</w:t>
      </w:r>
      <w:proofErr w:type="spellEnd"/>
      <w:r w:rsidRPr="007122AB">
        <w:rPr>
          <w:rFonts w:ascii="Times New Roman" w:hAnsi="Times New Roman"/>
          <w:color w:val="000000" w:themeColor="text1"/>
          <w:sz w:val="16"/>
          <w:szCs w:val="16"/>
        </w:rPr>
        <w:t xml:space="preserve">, В.З. </w:t>
      </w:r>
      <w:proofErr w:type="spellStart"/>
      <w:r w:rsidRPr="007122AB">
        <w:rPr>
          <w:rFonts w:ascii="Times New Roman" w:hAnsi="Times New Roman"/>
          <w:color w:val="000000" w:themeColor="text1"/>
          <w:sz w:val="16"/>
          <w:szCs w:val="16"/>
        </w:rPr>
        <w:t>Смоляницкий</w:t>
      </w:r>
      <w:proofErr w:type="spellEnd"/>
      <w:r w:rsidRPr="007122AB">
        <w:rPr>
          <w:rFonts w:ascii="Times New Roman" w:hAnsi="Times New Roman"/>
          <w:color w:val="000000" w:themeColor="text1"/>
          <w:sz w:val="16"/>
          <w:szCs w:val="16"/>
        </w:rPr>
        <w:t>.</w:t>
      </w:r>
    </w:p>
    <w:p w14:paraId="2A33AB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лабораторий: (1941 г.)- </w:t>
      </w:r>
      <w:proofErr w:type="spellStart"/>
      <w:r w:rsidRPr="007122AB">
        <w:rPr>
          <w:rFonts w:ascii="Times New Roman" w:hAnsi="Times New Roman"/>
          <w:color w:val="000000" w:themeColor="text1"/>
          <w:sz w:val="16"/>
          <w:szCs w:val="16"/>
        </w:rPr>
        <w:t>Б.П.Жуков</w:t>
      </w:r>
      <w:proofErr w:type="spellEnd"/>
      <w:r w:rsidRPr="007122AB">
        <w:rPr>
          <w:rFonts w:ascii="Times New Roman" w:hAnsi="Times New Roman"/>
          <w:color w:val="000000" w:themeColor="text1"/>
          <w:sz w:val="16"/>
          <w:szCs w:val="16"/>
        </w:rPr>
        <w:t xml:space="preserve">, (1980 г.)- М.М. </w:t>
      </w:r>
      <w:proofErr w:type="spellStart"/>
      <w:r w:rsidRPr="007122AB">
        <w:rPr>
          <w:rFonts w:ascii="Times New Roman" w:hAnsi="Times New Roman"/>
          <w:color w:val="000000" w:themeColor="text1"/>
          <w:sz w:val="16"/>
          <w:szCs w:val="16"/>
        </w:rPr>
        <w:t>Растопшин</w:t>
      </w:r>
      <w:proofErr w:type="spellEnd"/>
      <w:r w:rsidRPr="007122AB">
        <w:rPr>
          <w:rFonts w:ascii="Times New Roman" w:hAnsi="Times New Roman"/>
          <w:color w:val="000000" w:themeColor="text1"/>
          <w:sz w:val="16"/>
          <w:szCs w:val="16"/>
        </w:rPr>
        <w:t xml:space="preserve"> (противотанковое вооружение).</w:t>
      </w:r>
    </w:p>
    <w:p w14:paraId="1B4FB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(середина 1950-х)- </w:t>
      </w:r>
      <w:proofErr w:type="spellStart"/>
      <w:r w:rsidRPr="007122AB">
        <w:rPr>
          <w:rFonts w:ascii="Times New Roman" w:hAnsi="Times New Roman"/>
          <w:color w:val="000000" w:themeColor="text1"/>
          <w:sz w:val="16"/>
          <w:szCs w:val="16"/>
        </w:rPr>
        <w:t>А.К.Вострухин</w:t>
      </w:r>
      <w:proofErr w:type="spellEnd"/>
      <w:r w:rsidRPr="007122AB">
        <w:rPr>
          <w:rFonts w:ascii="Times New Roman" w:hAnsi="Times New Roman"/>
          <w:color w:val="000000" w:themeColor="text1"/>
          <w:sz w:val="16"/>
          <w:szCs w:val="16"/>
        </w:rPr>
        <w:t xml:space="preserve"> (ранее гл. инженер завода № 40). </w:t>
      </w:r>
    </w:p>
    <w:p w14:paraId="5D6B11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пороховое снаряжение БЧ и шашки двигателей для РС-132, пороховой заряд 9Х111, 9Х111М2 (1972) для НУР М-21-ОФ; разрывные заряды для авиационных снарядов; БЧ: для ПР, ЗУР (Р-112, 1949), («Даль», 1955, В.А. Сухих), 4Г15 для П-15 (1955-60), 4Г70 для П-25 (1961-62), УРВВ, ПТУР. </w:t>
      </w:r>
    </w:p>
    <w:p w14:paraId="6F7D6A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НИИ-6 НКОП, НКБ, МСХМ, ММ, МОП, МОМ, ГКОТ, ВХНИИ НКТП, НИИХМ (химических материалов), ГНЦ ФГУП «ЦНИИХМ» (химии и механики) </w:t>
      </w:r>
      <w:proofErr w:type="spellStart"/>
      <w:r w:rsidRPr="007122AB">
        <w:rPr>
          <w:rFonts w:ascii="Times New Roman" w:hAnsi="Times New Roman"/>
          <w:color w:val="000000" w:themeColor="text1"/>
          <w:sz w:val="16"/>
          <w:szCs w:val="16"/>
        </w:rPr>
        <w:t>Росбоеприпаса</w:t>
      </w:r>
      <w:proofErr w:type="spellEnd"/>
    </w:p>
    <w:p w14:paraId="397C89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115487 г. Москва, ул. Нагатинская, 16а тел. 111-87-13 (10776).</w:t>
      </w:r>
    </w:p>
    <w:p w14:paraId="79BC66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ОТБ-6 НКБ (НКВД-НКБ)</w:t>
      </w:r>
    </w:p>
    <w:p w14:paraId="4BC3BC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Образовалось в 1938 г. на территории Московского НИИ-6 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w:t>
      </w:r>
      <w:proofErr w:type="spellStart"/>
      <w:r w:rsidRPr="007122AB">
        <w:rPr>
          <w:rFonts w:ascii="Times New Roman" w:hAnsi="Times New Roman"/>
          <w:color w:val="000000" w:themeColor="text1"/>
          <w:sz w:val="16"/>
          <w:szCs w:val="16"/>
        </w:rPr>
        <w:t>Спориус</w:t>
      </w:r>
      <w:proofErr w:type="spellEnd"/>
      <w:r w:rsidRPr="007122AB">
        <w:rPr>
          <w:rFonts w:ascii="Times New Roman" w:hAnsi="Times New Roman"/>
          <w:color w:val="000000" w:themeColor="text1"/>
          <w:sz w:val="16"/>
          <w:szCs w:val="16"/>
        </w:rPr>
        <w:t xml:space="preserve">, Ф.М. </w:t>
      </w:r>
      <w:proofErr w:type="spellStart"/>
      <w:r w:rsidRPr="007122AB">
        <w:rPr>
          <w:rFonts w:ascii="Times New Roman" w:hAnsi="Times New Roman"/>
          <w:color w:val="000000" w:themeColor="text1"/>
          <w:sz w:val="16"/>
          <w:szCs w:val="16"/>
        </w:rPr>
        <w:t>Хритинин</w:t>
      </w:r>
      <w:proofErr w:type="spellEnd"/>
      <w:r w:rsidRPr="007122AB">
        <w:rPr>
          <w:rFonts w:ascii="Times New Roman" w:hAnsi="Times New Roman"/>
          <w:color w:val="000000" w:themeColor="text1"/>
          <w:sz w:val="16"/>
          <w:szCs w:val="16"/>
        </w:rPr>
        <w:t xml:space="preserve">, Б.И. Пашков. </w:t>
      </w:r>
    </w:p>
    <w:p w14:paraId="2F207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созданию рецептур порохов и технологий производства. </w:t>
      </w:r>
    </w:p>
    <w:p w14:paraId="0A8E5B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Группа С.И. Лукашова разработала 45-мм бронебойно-зажигательный снаряд, 2 образца зажигательных АБ.</w:t>
      </w:r>
    </w:p>
    <w:p w14:paraId="126B9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Рябова- бездымный </w:t>
      </w:r>
      <w:proofErr w:type="spellStart"/>
      <w:r w:rsidRPr="007122AB">
        <w:rPr>
          <w:rFonts w:ascii="Times New Roman" w:hAnsi="Times New Roman"/>
          <w:color w:val="000000" w:themeColor="text1"/>
          <w:sz w:val="16"/>
          <w:szCs w:val="16"/>
        </w:rPr>
        <w:t>артвыстрел</w:t>
      </w:r>
      <w:proofErr w:type="spellEnd"/>
      <w:r w:rsidRPr="007122AB">
        <w:rPr>
          <w:rFonts w:ascii="Times New Roman" w:hAnsi="Times New Roman"/>
          <w:color w:val="000000" w:themeColor="text1"/>
          <w:sz w:val="16"/>
          <w:szCs w:val="16"/>
        </w:rPr>
        <w:t>, заряд для бронебойной пули Б-30.</w:t>
      </w:r>
    </w:p>
    <w:p w14:paraId="44A207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Фишмана (бывший начальник </w:t>
      </w:r>
      <w:proofErr w:type="spellStart"/>
      <w:r w:rsidRPr="007122AB">
        <w:rPr>
          <w:rFonts w:ascii="Times New Roman" w:hAnsi="Times New Roman"/>
          <w:color w:val="000000" w:themeColor="text1"/>
          <w:sz w:val="16"/>
          <w:szCs w:val="16"/>
        </w:rPr>
        <w:t>Химуправления</w:t>
      </w:r>
      <w:proofErr w:type="spellEnd"/>
      <w:r w:rsidRPr="007122AB">
        <w:rPr>
          <w:rFonts w:ascii="Times New Roman" w:hAnsi="Times New Roman"/>
          <w:color w:val="000000" w:themeColor="text1"/>
          <w:sz w:val="16"/>
          <w:szCs w:val="16"/>
        </w:rPr>
        <w:t xml:space="preserve"> НКО)- новый образец противогаза.</w:t>
      </w:r>
    </w:p>
    <w:p w14:paraId="170A00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Группа Ступникова (бывший гл. инженер НКОП)- новая технология производства серной кислоты.3 </w:t>
      </w:r>
    </w:p>
    <w:p w14:paraId="75AED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4FCDFF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E098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была произведена обратная реоргани</w:t>
      </w:r>
      <w:r w:rsidRPr="007122AB">
        <w:rPr>
          <w:rFonts w:ascii="Times New Roman" w:hAnsi="Times New Roman"/>
          <w:color w:val="000000" w:themeColor="text1"/>
          <w:sz w:val="16"/>
          <w:szCs w:val="16"/>
        </w:rPr>
        <w:softHyphen/>
        <w:t>зация: ЦРЛ отделилась от завода им. Коминтерна и продолжала самостоятельную деятельность (11481).</w:t>
      </w:r>
    </w:p>
    <w:p w14:paraId="3F5082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87FCC" w14:textId="77777777" w:rsidR="00587130" w:rsidRPr="007122AB" w:rsidRDefault="0058713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в результате разделения ЦРЛ и завода им. Коминтерна на заводе осталась ОРПУ во главе с А.Л. Минцем, что не только восстановило, но и значительно усилило научно-исследовательский потенциал предприятия и во многом предопределило его будущий статус центра мощного радиостроения. К концу 1932 г. в ОРПУ имелись: лаборатория ДВ (руководитель З.И. Модель), лаборатория КВ и УКВ (Г.А. </w:t>
      </w:r>
      <w:proofErr w:type="spellStart"/>
      <w:r w:rsidRPr="007122AB">
        <w:rPr>
          <w:rFonts w:ascii="Times New Roman" w:hAnsi="Times New Roman"/>
          <w:color w:val="000000" w:themeColor="text1"/>
          <w:sz w:val="16"/>
          <w:szCs w:val="16"/>
        </w:rPr>
        <w:t>Зейтленок</w:t>
      </w:r>
      <w:proofErr w:type="spellEnd"/>
      <w:r w:rsidRPr="007122AB">
        <w:rPr>
          <w:rFonts w:ascii="Times New Roman" w:hAnsi="Times New Roman"/>
          <w:color w:val="000000" w:themeColor="text1"/>
          <w:sz w:val="16"/>
          <w:szCs w:val="16"/>
        </w:rPr>
        <w:t>), лаборатория специальных разработок (А.Г. Шмидт), лаборатория телевидения (А.Л. Минц), проектный отдел в составе КБ гражданских сооружений и КБ специальных разработок.</w:t>
      </w:r>
    </w:p>
    <w:p w14:paraId="570B7B17" w14:textId="77777777" w:rsidR="00587130" w:rsidRPr="007122AB" w:rsidRDefault="0058713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ЦРЛ и после ее отделения от завода им. Коминтерна продолжились разработки в интересах РККА, УВМС и ОГПУ. Однако и в новых условиях исследовательские работы лаборатории страдали от обилия серийно-массового производства в условиях отсутствия соответствующей производственной базы. Об объеме работ ЦРЛ можно составить представление по ее программе 1932 г., включающей 82 заказа исследовательского и производственного характера. Общая стоимость этих работ – более 4,4 млн. руб. – была сопоставима со стоимостью спецпрограммы такого крупного завода как «Красная заря» в тот же период (18297).</w:t>
      </w:r>
    </w:p>
    <w:p w14:paraId="6E7E1438" w14:textId="77777777" w:rsidR="00587130" w:rsidRPr="007122AB" w:rsidRDefault="00587130" w:rsidP="007122AB">
      <w:pPr>
        <w:spacing w:after="0" w:line="240" w:lineRule="auto"/>
        <w:jc w:val="both"/>
        <w:rPr>
          <w:rFonts w:ascii="Times New Roman" w:hAnsi="Times New Roman"/>
          <w:color w:val="000000" w:themeColor="text1"/>
          <w:sz w:val="16"/>
          <w:szCs w:val="16"/>
        </w:rPr>
      </w:pPr>
    </w:p>
    <w:p w14:paraId="75DA9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сентября 1931 г. после разделения ЦРЛ и завода им. Коминтерна </w:t>
      </w:r>
      <w:proofErr w:type="spellStart"/>
      <w:r w:rsidRPr="007122AB">
        <w:rPr>
          <w:rFonts w:ascii="Times New Roman" w:hAnsi="Times New Roman"/>
          <w:color w:val="000000" w:themeColor="text1"/>
          <w:sz w:val="16"/>
          <w:szCs w:val="16"/>
        </w:rPr>
        <w:t>твор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ческий</w:t>
      </w:r>
      <w:proofErr w:type="spellEnd"/>
      <w:r w:rsidRPr="007122AB">
        <w:rPr>
          <w:rFonts w:ascii="Times New Roman" w:hAnsi="Times New Roman"/>
          <w:color w:val="000000" w:themeColor="text1"/>
          <w:sz w:val="16"/>
          <w:szCs w:val="16"/>
        </w:rPr>
        <w:t xml:space="preserve"> потенциал лаборатории в значительной степени был ослаблен. Это не могло не повлиять на результативность работ и эффективность решения задач ЦРЛ. Об этом свидетельствовали критические замечания в адрес лаборатории, которые звучали на мартовском 1933 г. заседании </w:t>
      </w:r>
      <w:proofErr w:type="spellStart"/>
      <w:r w:rsidRPr="007122AB">
        <w:rPr>
          <w:rFonts w:ascii="Times New Roman" w:hAnsi="Times New Roman"/>
          <w:color w:val="000000" w:themeColor="text1"/>
          <w:sz w:val="16"/>
          <w:szCs w:val="16"/>
        </w:rPr>
        <w:t>радиосекции</w:t>
      </w:r>
      <w:proofErr w:type="spellEnd"/>
      <w:r w:rsidRPr="007122AB">
        <w:rPr>
          <w:rFonts w:ascii="Times New Roman" w:hAnsi="Times New Roman"/>
          <w:color w:val="000000" w:themeColor="text1"/>
          <w:sz w:val="16"/>
          <w:szCs w:val="16"/>
        </w:rPr>
        <w:t xml:space="preserve"> Научно технического совета ВЭСО. Летом того же года работа ЦРЛ стала предметом изучения уполномоченным Управления ВЭСО </w:t>
      </w:r>
      <w:proofErr w:type="spellStart"/>
      <w:r w:rsidRPr="007122AB">
        <w:rPr>
          <w:rFonts w:ascii="Times New Roman" w:hAnsi="Times New Roman"/>
          <w:color w:val="000000" w:themeColor="text1"/>
          <w:sz w:val="16"/>
          <w:szCs w:val="16"/>
        </w:rPr>
        <w:t>Красником</w:t>
      </w:r>
      <w:proofErr w:type="spellEnd"/>
      <w:r w:rsidRPr="007122AB">
        <w:rPr>
          <w:rFonts w:ascii="Times New Roman" w:hAnsi="Times New Roman"/>
          <w:color w:val="000000" w:themeColor="text1"/>
          <w:sz w:val="16"/>
          <w:szCs w:val="16"/>
        </w:rPr>
        <w:t xml:space="preserve">, который доклады вал о результатах своей работы на заседании партийного комитета парторга </w:t>
      </w:r>
      <w:proofErr w:type="spellStart"/>
      <w:r w:rsidRPr="007122AB">
        <w:rPr>
          <w:rFonts w:ascii="Times New Roman" w:hAnsi="Times New Roman"/>
          <w:color w:val="000000" w:themeColor="text1"/>
          <w:sz w:val="16"/>
          <w:szCs w:val="16"/>
        </w:rPr>
        <w:t>низации</w:t>
      </w:r>
      <w:proofErr w:type="spellEnd"/>
      <w:r w:rsidRPr="007122AB">
        <w:rPr>
          <w:rFonts w:ascii="Times New Roman" w:hAnsi="Times New Roman"/>
          <w:color w:val="000000" w:themeColor="text1"/>
          <w:sz w:val="16"/>
          <w:szCs w:val="16"/>
        </w:rPr>
        <w:t xml:space="preserve"> ВКП (б) Управления объединения в июле 1933 г. В материалах </w:t>
      </w:r>
      <w:proofErr w:type="spellStart"/>
      <w:r w:rsidRPr="007122AB">
        <w:rPr>
          <w:rFonts w:ascii="Times New Roman" w:hAnsi="Times New Roman"/>
          <w:color w:val="000000" w:themeColor="text1"/>
          <w:sz w:val="16"/>
          <w:szCs w:val="16"/>
        </w:rPr>
        <w:t>засе</w:t>
      </w:r>
      <w:proofErr w:type="spellEnd"/>
      <w:r w:rsidRPr="007122AB">
        <w:rPr>
          <w:rFonts w:ascii="Times New Roman" w:hAnsi="Times New Roman"/>
          <w:color w:val="000000" w:themeColor="text1"/>
          <w:sz w:val="16"/>
          <w:szCs w:val="16"/>
        </w:rPr>
        <w:t xml:space="preserve"> дания отмечалась неудовлетворительная организация работы лаборатории, </w:t>
      </w:r>
      <w:proofErr w:type="spellStart"/>
      <w:r w:rsidRPr="007122AB">
        <w:rPr>
          <w:rFonts w:ascii="Times New Roman" w:hAnsi="Times New Roman"/>
          <w:color w:val="000000" w:themeColor="text1"/>
          <w:sz w:val="16"/>
          <w:szCs w:val="16"/>
        </w:rPr>
        <w:t>сутствие</w:t>
      </w:r>
      <w:proofErr w:type="spellEnd"/>
      <w:r w:rsidRPr="007122AB">
        <w:rPr>
          <w:rFonts w:ascii="Times New Roman" w:hAnsi="Times New Roman"/>
          <w:color w:val="000000" w:themeColor="text1"/>
          <w:sz w:val="16"/>
          <w:szCs w:val="16"/>
        </w:rPr>
        <w:t xml:space="preserve"> в ней продуманной структуры, четкого распределения обязанностей между структурными подразделениями и сотрудниками. Это приводило к то </w:t>
      </w:r>
      <w:proofErr w:type="spellStart"/>
      <w:r w:rsidRPr="007122AB">
        <w:rPr>
          <w:rFonts w:ascii="Times New Roman" w:hAnsi="Times New Roman"/>
          <w:color w:val="000000" w:themeColor="text1"/>
          <w:sz w:val="16"/>
          <w:szCs w:val="16"/>
        </w:rPr>
        <w:t>му</w:t>
      </w:r>
      <w:proofErr w:type="spellEnd"/>
      <w:r w:rsidRPr="007122AB">
        <w:rPr>
          <w:rFonts w:ascii="Times New Roman" w:hAnsi="Times New Roman"/>
          <w:color w:val="000000" w:themeColor="text1"/>
          <w:sz w:val="16"/>
          <w:szCs w:val="16"/>
        </w:rPr>
        <w:t xml:space="preserve">, что ЦРЛ теряла авторитет как научная организация, не соответствовала своему статусу лаборатории «Центральной». Нелицеприятную оценку полу </w:t>
      </w:r>
      <w:proofErr w:type="spellStart"/>
      <w:r w:rsidRPr="007122AB">
        <w:rPr>
          <w:rFonts w:ascii="Times New Roman" w:hAnsi="Times New Roman"/>
          <w:color w:val="000000" w:themeColor="text1"/>
          <w:sz w:val="16"/>
          <w:szCs w:val="16"/>
        </w:rPr>
        <w:t>чила</w:t>
      </w:r>
      <w:proofErr w:type="spellEnd"/>
      <w:r w:rsidRPr="007122AB">
        <w:rPr>
          <w:rFonts w:ascii="Times New Roman" w:hAnsi="Times New Roman"/>
          <w:color w:val="000000" w:themeColor="text1"/>
          <w:sz w:val="16"/>
          <w:szCs w:val="16"/>
        </w:rPr>
        <w:t xml:space="preserve"> деятельность самого директора ЦРЛ Д.Н. Румянцева, который, по мне </w:t>
      </w:r>
      <w:proofErr w:type="spellStart"/>
      <w:r w:rsidRPr="007122AB">
        <w:rPr>
          <w:rFonts w:ascii="Times New Roman" w:hAnsi="Times New Roman"/>
          <w:color w:val="000000" w:themeColor="text1"/>
          <w:sz w:val="16"/>
          <w:szCs w:val="16"/>
        </w:rPr>
        <w:t>нию</w:t>
      </w:r>
      <w:proofErr w:type="spellEnd"/>
      <w:r w:rsidRPr="007122AB">
        <w:rPr>
          <w:rFonts w:ascii="Times New Roman" w:hAnsi="Times New Roman"/>
          <w:color w:val="000000" w:themeColor="text1"/>
          <w:sz w:val="16"/>
          <w:szCs w:val="16"/>
        </w:rPr>
        <w:t xml:space="preserve"> уполномоченного </w:t>
      </w:r>
      <w:proofErr w:type="spellStart"/>
      <w:r w:rsidRPr="007122AB">
        <w:rPr>
          <w:rFonts w:ascii="Times New Roman" w:hAnsi="Times New Roman"/>
          <w:color w:val="000000" w:themeColor="text1"/>
          <w:sz w:val="16"/>
          <w:szCs w:val="16"/>
        </w:rPr>
        <w:t>Красника</w:t>
      </w:r>
      <w:proofErr w:type="spellEnd"/>
      <w:r w:rsidRPr="007122AB">
        <w:rPr>
          <w:rFonts w:ascii="Times New Roman" w:hAnsi="Times New Roman"/>
          <w:color w:val="000000" w:themeColor="text1"/>
          <w:sz w:val="16"/>
          <w:szCs w:val="16"/>
        </w:rPr>
        <w:t xml:space="preserve">, не соответствовал занимаемой должности. Партком в своем постановлении потребовал от Управления ВЭСО принятия срочных мер по коренной перестройке руководства научно-исследовательской работой лаборатории (ЦГАИПД СПб., ф. 2526, оп. 1, д. 4, л. 222.). В это же время ОРПУ, в которой после разъединения ЦРЛЗ остались значительные силы и средства ЦРЛ (лаборатории передатчиков КВ и УКВ во главе с Г.А. </w:t>
      </w:r>
      <w:proofErr w:type="spellStart"/>
      <w:r w:rsidRPr="007122AB">
        <w:rPr>
          <w:rFonts w:ascii="Times New Roman" w:hAnsi="Times New Roman"/>
          <w:color w:val="000000" w:themeColor="text1"/>
          <w:sz w:val="16"/>
          <w:szCs w:val="16"/>
        </w:rPr>
        <w:t>Зейтленком</w:t>
      </w:r>
      <w:proofErr w:type="spellEnd"/>
      <w:r w:rsidRPr="007122AB">
        <w:rPr>
          <w:rFonts w:ascii="Times New Roman" w:hAnsi="Times New Roman"/>
          <w:color w:val="000000" w:themeColor="text1"/>
          <w:sz w:val="16"/>
          <w:szCs w:val="16"/>
        </w:rPr>
        <w:t xml:space="preserve">, передатчиков СВ и ДВ, возглавляемая З.И. </w:t>
      </w:r>
      <w:proofErr w:type="spellStart"/>
      <w:r w:rsidRPr="007122AB">
        <w:rPr>
          <w:rFonts w:ascii="Times New Roman" w:hAnsi="Times New Roman"/>
          <w:color w:val="000000" w:themeColor="text1"/>
          <w:sz w:val="16"/>
          <w:szCs w:val="16"/>
        </w:rPr>
        <w:t>Моделем</w:t>
      </w:r>
      <w:proofErr w:type="spellEnd"/>
      <w:r w:rsidRPr="007122AB">
        <w:rPr>
          <w:rFonts w:ascii="Times New Roman" w:hAnsi="Times New Roman"/>
          <w:color w:val="000000" w:themeColor="text1"/>
          <w:sz w:val="16"/>
          <w:szCs w:val="16"/>
        </w:rPr>
        <w:t xml:space="preserve">, морская во главе с А.Г. Шмидтом, телевидения во главе с А.Л. Минцем и два проектно-конструкторских бюро – мощных передатчиков и специальных пе </w:t>
      </w:r>
      <w:proofErr w:type="spellStart"/>
      <w:r w:rsidRPr="007122AB">
        <w:rPr>
          <w:rFonts w:ascii="Times New Roman" w:hAnsi="Times New Roman"/>
          <w:color w:val="000000" w:themeColor="text1"/>
          <w:sz w:val="16"/>
          <w:szCs w:val="16"/>
        </w:rPr>
        <w:t>редатчиков</w:t>
      </w:r>
      <w:proofErr w:type="spellEnd"/>
      <w:r w:rsidRPr="007122AB">
        <w:rPr>
          <w:rFonts w:ascii="Times New Roman" w:hAnsi="Times New Roman"/>
          <w:color w:val="000000" w:themeColor="text1"/>
          <w:sz w:val="16"/>
          <w:szCs w:val="16"/>
        </w:rPr>
        <w:t xml:space="preserve"> (Михайлов В.А. Указ. соч. С. 58.)) за время ее существования в составе завода им. Коминтерна (и совместно с заводом!) был выполнен большой объем работ по разработке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диосредств</w:t>
      </w:r>
      <w:proofErr w:type="spellEnd"/>
      <w:r w:rsidRPr="007122AB">
        <w:rPr>
          <w:rFonts w:ascii="Times New Roman" w:hAnsi="Times New Roman"/>
          <w:color w:val="000000" w:themeColor="text1"/>
          <w:sz w:val="16"/>
          <w:szCs w:val="16"/>
        </w:rPr>
        <w:t xml:space="preserve"> для РККА. Особенно плодотворным в этом отношении был 1934 г., в течение которого были разработаны и освоено производство таких </w:t>
      </w:r>
      <w:proofErr w:type="spellStart"/>
      <w:r w:rsidRPr="007122AB">
        <w:rPr>
          <w:rFonts w:ascii="Times New Roman" w:hAnsi="Times New Roman"/>
          <w:color w:val="000000" w:themeColor="text1"/>
          <w:sz w:val="16"/>
          <w:szCs w:val="16"/>
        </w:rPr>
        <w:t>совре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менных</w:t>
      </w:r>
      <w:proofErr w:type="spellEnd"/>
      <w:r w:rsidRPr="007122AB">
        <w:rPr>
          <w:rFonts w:ascii="Times New Roman" w:hAnsi="Times New Roman"/>
          <w:color w:val="000000" w:themeColor="text1"/>
          <w:sz w:val="16"/>
          <w:szCs w:val="16"/>
        </w:rPr>
        <w:t xml:space="preserve"> образцов, как: - радиомаяков для оборудования аэродромов; - аппаратуры авиационной навигации (самолетовождения); - КВ передатчика для аэродромной радиостанции (вошел в состав стан </w:t>
      </w:r>
      <w:proofErr w:type="spellStart"/>
      <w:r w:rsidRPr="007122AB">
        <w:rPr>
          <w:rFonts w:ascii="Times New Roman" w:hAnsi="Times New Roman"/>
          <w:color w:val="000000" w:themeColor="text1"/>
          <w:sz w:val="16"/>
          <w:szCs w:val="16"/>
        </w:rPr>
        <w:t>ции</w:t>
      </w:r>
      <w:proofErr w:type="spellEnd"/>
      <w:r w:rsidRPr="007122AB">
        <w:rPr>
          <w:rFonts w:ascii="Times New Roman" w:hAnsi="Times New Roman"/>
          <w:color w:val="000000" w:themeColor="text1"/>
          <w:sz w:val="16"/>
          <w:szCs w:val="16"/>
        </w:rPr>
        <w:t xml:space="preserve"> РАТ); - устройства для засекречивания </w:t>
      </w:r>
      <w:r w:rsidRPr="007122AB">
        <w:rPr>
          <w:rFonts w:ascii="Times New Roman" w:hAnsi="Times New Roman"/>
          <w:color w:val="000000" w:themeColor="text1"/>
          <w:sz w:val="16"/>
          <w:szCs w:val="16"/>
        </w:rPr>
        <w:lastRenderedPageBreak/>
        <w:t xml:space="preserve">телефонных переговоров и для </w:t>
      </w:r>
      <w:proofErr w:type="spellStart"/>
      <w:r w:rsidRPr="007122AB">
        <w:rPr>
          <w:rFonts w:ascii="Times New Roman" w:hAnsi="Times New Roman"/>
          <w:color w:val="000000" w:themeColor="text1"/>
          <w:sz w:val="16"/>
          <w:szCs w:val="16"/>
        </w:rPr>
        <w:t>перехо</w:t>
      </w:r>
      <w:proofErr w:type="spellEnd"/>
      <w:r w:rsidRPr="007122AB">
        <w:rPr>
          <w:rFonts w:ascii="Times New Roman" w:hAnsi="Times New Roman"/>
          <w:color w:val="000000" w:themeColor="text1"/>
          <w:sz w:val="16"/>
          <w:szCs w:val="16"/>
        </w:rPr>
        <w:t xml:space="preserve"> да с радиосети на проводную связь; - радиокомпасов. Кроме этого была разработана принципиальная конструкция </w:t>
      </w:r>
      <w:proofErr w:type="spellStart"/>
      <w:r w:rsidRPr="007122AB">
        <w:rPr>
          <w:rFonts w:ascii="Times New Roman" w:hAnsi="Times New Roman"/>
          <w:color w:val="000000" w:themeColor="text1"/>
          <w:sz w:val="16"/>
          <w:szCs w:val="16"/>
        </w:rPr>
        <w:t>сверхмощ</w:t>
      </w:r>
      <w:proofErr w:type="spellEnd"/>
      <w:r w:rsidRPr="007122AB">
        <w:rPr>
          <w:rFonts w:ascii="Times New Roman" w:hAnsi="Times New Roman"/>
          <w:color w:val="000000" w:themeColor="text1"/>
          <w:sz w:val="16"/>
          <w:szCs w:val="16"/>
        </w:rPr>
        <w:t xml:space="preserve"> ной разборной генераторной лампы для нужд мощного радиостроения, а также изготовлено два образца новых береговых передатчиков для ВМФ (ЦГА СПб., ф. 945, оп. 3, д. 190, л. 34.). При этом роль ОРПУ в структуре радиозавода неуклонно возрастала. Об этом ярко </w:t>
      </w:r>
      <w:proofErr w:type="spellStart"/>
      <w:r w:rsidRPr="007122AB">
        <w:rPr>
          <w:rFonts w:ascii="Times New Roman" w:hAnsi="Times New Roman"/>
          <w:color w:val="000000" w:themeColor="text1"/>
          <w:sz w:val="16"/>
          <w:szCs w:val="16"/>
        </w:rPr>
        <w:t>сви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детельствуют</w:t>
      </w:r>
      <w:proofErr w:type="spellEnd"/>
      <w:r w:rsidRPr="007122AB">
        <w:rPr>
          <w:rFonts w:ascii="Times New Roman" w:hAnsi="Times New Roman"/>
          <w:color w:val="000000" w:themeColor="text1"/>
          <w:sz w:val="16"/>
          <w:szCs w:val="16"/>
        </w:rPr>
        <w:t xml:space="preserve"> данные о стоимостном выпуске готовых изделий за 1933-1936 гг. структурными подразделениями завода им. Коминтерна (ЦГА СПб., ф. 945, оп. 3, д. 225, л. 13.), представленные в таблице 5.</w:t>
      </w:r>
    </w:p>
    <w:p w14:paraId="5D5ED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Таблица 5 Выпуск готовых Год изделий в ценах 1926/27 г. (в </w:t>
      </w:r>
      <w:proofErr w:type="spellStart"/>
      <w:r w:rsidRPr="007122AB">
        <w:rPr>
          <w:rFonts w:ascii="Times New Roman" w:hAnsi="Times New Roman"/>
          <w:color w:val="000000" w:themeColor="text1"/>
          <w:sz w:val="16"/>
          <w:szCs w:val="16"/>
        </w:rPr>
        <w:t>тыс.руб</w:t>
      </w:r>
      <w:proofErr w:type="spellEnd"/>
      <w:r w:rsidRPr="007122AB">
        <w:rPr>
          <w:rFonts w:ascii="Times New Roman" w:hAnsi="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002C3" w:rsidRPr="007122AB" w14:paraId="5ADEAA31" w14:textId="77777777">
        <w:tc>
          <w:tcPr>
            <w:tcW w:w="2802" w:type="dxa"/>
            <w:tcBorders>
              <w:top w:val="single" w:sz="12" w:space="0" w:color="auto"/>
            </w:tcBorders>
          </w:tcPr>
          <w:p w14:paraId="1AA8D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A5B5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им. Коминтерна</w:t>
            </w:r>
          </w:p>
        </w:tc>
        <w:tc>
          <w:tcPr>
            <w:tcW w:w="2802" w:type="dxa"/>
            <w:tcBorders>
              <w:top w:val="single" w:sz="12" w:space="0" w:color="auto"/>
            </w:tcBorders>
          </w:tcPr>
          <w:p w14:paraId="7E23EE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ОРПУ</w:t>
            </w:r>
          </w:p>
        </w:tc>
        <w:tc>
          <w:tcPr>
            <w:tcW w:w="2802" w:type="dxa"/>
            <w:tcBorders>
              <w:top w:val="single" w:sz="12" w:space="0" w:color="auto"/>
            </w:tcBorders>
          </w:tcPr>
          <w:p w14:paraId="439233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r>
      <w:tr w:rsidR="001002C3" w:rsidRPr="007122AB" w14:paraId="7FC9408A" w14:textId="77777777">
        <w:tc>
          <w:tcPr>
            <w:tcW w:w="2802" w:type="dxa"/>
          </w:tcPr>
          <w:p w14:paraId="2B340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1933</w:t>
            </w:r>
          </w:p>
        </w:tc>
        <w:tc>
          <w:tcPr>
            <w:tcW w:w="2802" w:type="dxa"/>
          </w:tcPr>
          <w:p w14:paraId="05473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10982</w:t>
            </w:r>
          </w:p>
        </w:tc>
        <w:tc>
          <w:tcPr>
            <w:tcW w:w="2802" w:type="dxa"/>
          </w:tcPr>
          <w:p w14:paraId="177D9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802" w:type="dxa"/>
          </w:tcPr>
          <w:p w14:paraId="47D63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10982</w:t>
            </w:r>
          </w:p>
        </w:tc>
      </w:tr>
      <w:tr w:rsidR="001002C3" w:rsidRPr="007122AB" w14:paraId="29EABCAA" w14:textId="77777777">
        <w:tc>
          <w:tcPr>
            <w:tcW w:w="2802" w:type="dxa"/>
          </w:tcPr>
          <w:p w14:paraId="66BDE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1934</w:t>
            </w:r>
          </w:p>
        </w:tc>
        <w:tc>
          <w:tcPr>
            <w:tcW w:w="2802" w:type="dxa"/>
          </w:tcPr>
          <w:p w14:paraId="1EDD7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9319</w:t>
            </w:r>
          </w:p>
        </w:tc>
        <w:tc>
          <w:tcPr>
            <w:tcW w:w="2802" w:type="dxa"/>
          </w:tcPr>
          <w:p w14:paraId="30565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4681</w:t>
            </w:r>
          </w:p>
        </w:tc>
        <w:tc>
          <w:tcPr>
            <w:tcW w:w="2802" w:type="dxa"/>
          </w:tcPr>
          <w:p w14:paraId="7C56D3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14000</w:t>
            </w:r>
          </w:p>
        </w:tc>
      </w:tr>
      <w:tr w:rsidR="001002C3" w:rsidRPr="007122AB" w14:paraId="6741696E" w14:textId="77777777">
        <w:tc>
          <w:tcPr>
            <w:tcW w:w="2802" w:type="dxa"/>
          </w:tcPr>
          <w:p w14:paraId="2D548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1935</w:t>
            </w:r>
          </w:p>
        </w:tc>
        <w:tc>
          <w:tcPr>
            <w:tcW w:w="2802" w:type="dxa"/>
          </w:tcPr>
          <w:p w14:paraId="1F11A9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7224</w:t>
            </w:r>
          </w:p>
        </w:tc>
        <w:tc>
          <w:tcPr>
            <w:tcW w:w="2802" w:type="dxa"/>
          </w:tcPr>
          <w:p w14:paraId="03A31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6209</w:t>
            </w:r>
          </w:p>
        </w:tc>
        <w:tc>
          <w:tcPr>
            <w:tcW w:w="2802" w:type="dxa"/>
          </w:tcPr>
          <w:p w14:paraId="21FFA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13434</w:t>
            </w:r>
          </w:p>
        </w:tc>
      </w:tr>
      <w:tr w:rsidR="001002C3" w:rsidRPr="007122AB" w14:paraId="198349DC" w14:textId="77777777">
        <w:tc>
          <w:tcPr>
            <w:tcW w:w="2802" w:type="dxa"/>
            <w:tcBorders>
              <w:bottom w:val="single" w:sz="12" w:space="0" w:color="auto"/>
            </w:tcBorders>
          </w:tcPr>
          <w:p w14:paraId="53769E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месяцев 1936 г </w:t>
            </w:r>
          </w:p>
        </w:tc>
        <w:tc>
          <w:tcPr>
            <w:tcW w:w="2802" w:type="dxa"/>
            <w:tcBorders>
              <w:bottom w:val="single" w:sz="12" w:space="0" w:color="auto"/>
            </w:tcBorders>
          </w:tcPr>
          <w:p w14:paraId="089BBF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6859</w:t>
            </w:r>
          </w:p>
        </w:tc>
        <w:tc>
          <w:tcPr>
            <w:tcW w:w="2802" w:type="dxa"/>
            <w:tcBorders>
              <w:bottom w:val="single" w:sz="12" w:space="0" w:color="auto"/>
            </w:tcBorders>
          </w:tcPr>
          <w:p w14:paraId="5A042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6941</w:t>
            </w:r>
          </w:p>
        </w:tc>
        <w:tc>
          <w:tcPr>
            <w:tcW w:w="2802" w:type="dxa"/>
            <w:tcBorders>
              <w:bottom w:val="single" w:sz="12" w:space="0" w:color="auto"/>
            </w:tcBorders>
          </w:tcPr>
          <w:p w14:paraId="6BCC5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15085</w:t>
            </w:r>
          </w:p>
        </w:tc>
      </w:tr>
    </w:tbl>
    <w:p w14:paraId="5CB549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Необходимо учитывать, что ОРПУ, согласно устава предприятия, пред назначалась «… для производства научно-исследовательской разработки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диопередающих</w:t>
      </w:r>
      <w:proofErr w:type="spellEnd"/>
      <w:r w:rsidRPr="007122AB">
        <w:rPr>
          <w:rFonts w:ascii="Times New Roman" w:hAnsi="Times New Roman"/>
          <w:color w:val="000000" w:themeColor="text1"/>
          <w:sz w:val="16"/>
          <w:szCs w:val="16"/>
        </w:rPr>
        <w:t xml:space="preserve"> и специальных радиоприемных устройств, а также </w:t>
      </w:r>
      <w:proofErr w:type="spellStart"/>
      <w:r w:rsidRPr="007122AB">
        <w:rPr>
          <w:rFonts w:ascii="Times New Roman" w:hAnsi="Times New Roman"/>
          <w:color w:val="000000" w:themeColor="text1"/>
          <w:sz w:val="16"/>
          <w:szCs w:val="16"/>
        </w:rPr>
        <w:t>конструк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тивного</w:t>
      </w:r>
      <w:proofErr w:type="spellEnd"/>
      <w:r w:rsidRPr="007122AB">
        <w:rPr>
          <w:rFonts w:ascii="Times New Roman" w:hAnsi="Times New Roman"/>
          <w:color w:val="000000" w:themeColor="text1"/>
          <w:sz w:val="16"/>
          <w:szCs w:val="16"/>
        </w:rPr>
        <w:t xml:space="preserve"> оформления и изготовлении в производстве опытных образцов для последующего пуска их в сериях на заводах, входящих в систему </w:t>
      </w:r>
      <w:proofErr w:type="spellStart"/>
      <w:r w:rsidRPr="007122AB">
        <w:rPr>
          <w:rFonts w:ascii="Times New Roman" w:hAnsi="Times New Roman"/>
          <w:color w:val="000000" w:themeColor="text1"/>
          <w:sz w:val="16"/>
          <w:szCs w:val="16"/>
        </w:rPr>
        <w:t>Главэспрома</w:t>
      </w:r>
      <w:proofErr w:type="spellEnd"/>
      <w:r w:rsidRPr="007122AB">
        <w:rPr>
          <w:rFonts w:ascii="Times New Roman" w:hAnsi="Times New Roman"/>
          <w:color w:val="000000" w:themeColor="text1"/>
          <w:sz w:val="16"/>
          <w:szCs w:val="16"/>
        </w:rPr>
        <w:t xml:space="preserve"> НКТП» (ЦГА СПб., ф. 945, оп. 3, д. 287, л. 166.). Тем не менее, объем валового выпуска лаборатории был сопоставим с аналогичным показателем завода серийного производства! Если рассматривать структуру производимой заводом им. Коминтерна продукции с точки зрения заказчиков, то в 1934 г. она имела следующий вид: - Управление Морских Сил РККА – 50,4%; - УС РККА – 25,8%; - Управление ВВС РККА – 11,4%; - НКС – 2,3%; - гражданские заказы – 10%. Подавляющая часть заказов завода шла на нужды обороны (87,6%), из них для ВМФ – около 57%, а для сухопутных войск и ВВС – 43% (ЦГА СПб., ф. 945, оп. 3, д. 152, л. 68.). В последующие годы второй пятилетки доля оборонной продукции еще более возрос ла, достигнув в 1936 г. уровня более 97% (ЦГА СПб., ф. 945, оп. 3, д. 292, л. 53.). Одновременно изменялась </w:t>
      </w:r>
      <w:proofErr w:type="spellStart"/>
      <w:r w:rsidRPr="007122AB">
        <w:rPr>
          <w:rFonts w:ascii="Times New Roman" w:hAnsi="Times New Roman"/>
          <w:color w:val="000000" w:themeColor="text1"/>
          <w:sz w:val="16"/>
          <w:szCs w:val="16"/>
        </w:rPr>
        <w:t>структу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самого «оборонного сектора»: к 1936 г. доля заказов УС и УВВС РККА в нем достигла 88% (ЦГА СПб., ф. 945, оп. 3, д. 204, л. 56-57.). В начале 1935 г. в соответствии с приказом </w:t>
      </w:r>
      <w:proofErr w:type="spellStart"/>
      <w:r w:rsidRPr="007122AB">
        <w:rPr>
          <w:rFonts w:ascii="Times New Roman" w:hAnsi="Times New Roman"/>
          <w:color w:val="000000" w:themeColor="text1"/>
          <w:sz w:val="16"/>
          <w:szCs w:val="16"/>
        </w:rPr>
        <w:t>Главэспрома</w:t>
      </w:r>
      <w:proofErr w:type="spellEnd"/>
      <w:r w:rsidRPr="007122AB">
        <w:rPr>
          <w:rFonts w:ascii="Times New Roman" w:hAnsi="Times New Roman"/>
          <w:color w:val="000000" w:themeColor="text1"/>
          <w:sz w:val="16"/>
          <w:szCs w:val="16"/>
        </w:rPr>
        <w:t xml:space="preserve"> НКТП № 40 от 10 февраля была произведена глубокая реорганизация сети научно исследовательских учреждений </w:t>
      </w:r>
      <w:proofErr w:type="spellStart"/>
      <w:r w:rsidRPr="007122AB">
        <w:rPr>
          <w:rFonts w:ascii="Times New Roman" w:hAnsi="Times New Roman"/>
          <w:color w:val="000000" w:themeColor="text1"/>
          <w:sz w:val="16"/>
          <w:szCs w:val="16"/>
        </w:rPr>
        <w:t>Главэспрома</w:t>
      </w:r>
      <w:proofErr w:type="spellEnd"/>
      <w:r w:rsidRPr="007122AB">
        <w:rPr>
          <w:rFonts w:ascii="Times New Roman" w:hAnsi="Times New Roman"/>
          <w:color w:val="000000" w:themeColor="text1"/>
          <w:sz w:val="16"/>
          <w:szCs w:val="16"/>
        </w:rPr>
        <w:t xml:space="preserve">. Во многом по настоянию </w:t>
      </w:r>
      <w:proofErr w:type="spellStart"/>
      <w:r w:rsidRPr="007122AB">
        <w:rPr>
          <w:rFonts w:ascii="Times New Roman" w:hAnsi="Times New Roman"/>
          <w:color w:val="000000" w:themeColor="text1"/>
          <w:sz w:val="16"/>
          <w:szCs w:val="16"/>
        </w:rPr>
        <w:t>руко</w:t>
      </w:r>
      <w:proofErr w:type="spellEnd"/>
      <w:r w:rsidRPr="007122AB">
        <w:rPr>
          <w:rFonts w:ascii="Times New Roman" w:hAnsi="Times New Roman"/>
          <w:color w:val="000000" w:themeColor="text1"/>
          <w:sz w:val="16"/>
          <w:szCs w:val="16"/>
        </w:rPr>
        <w:t xml:space="preserve"> водителя программы мощного радиостроения А.Л. Минца в связи с построй кой радиоцентров и мощных радиостанций был создан Государственный Со </w:t>
      </w:r>
      <w:proofErr w:type="spellStart"/>
      <w:r w:rsidRPr="007122AB">
        <w:rPr>
          <w:rFonts w:ascii="Times New Roman" w:hAnsi="Times New Roman"/>
          <w:color w:val="000000" w:themeColor="text1"/>
          <w:sz w:val="16"/>
          <w:szCs w:val="16"/>
        </w:rPr>
        <w:t>юзный</w:t>
      </w:r>
      <w:proofErr w:type="spellEnd"/>
      <w:r w:rsidRPr="007122AB">
        <w:rPr>
          <w:rFonts w:ascii="Times New Roman" w:hAnsi="Times New Roman"/>
          <w:color w:val="000000" w:themeColor="text1"/>
          <w:sz w:val="16"/>
          <w:szCs w:val="16"/>
        </w:rPr>
        <w:t xml:space="preserve"> Комбинат Мощного Радиостроения (КМРС) им. Коминтерна. В его со став вошли Радиозавод им. Коминтерна, а также Отраслевая лаборатория про </w:t>
      </w:r>
      <w:proofErr w:type="spellStart"/>
      <w:r w:rsidRPr="007122AB">
        <w:rPr>
          <w:rFonts w:ascii="Times New Roman" w:hAnsi="Times New Roman"/>
          <w:color w:val="000000" w:themeColor="text1"/>
          <w:sz w:val="16"/>
          <w:szCs w:val="16"/>
        </w:rPr>
        <w:t>фессиональных</w:t>
      </w:r>
      <w:proofErr w:type="spellEnd"/>
      <w:r w:rsidRPr="007122AB">
        <w:rPr>
          <w:rFonts w:ascii="Times New Roman" w:hAnsi="Times New Roman"/>
          <w:color w:val="000000" w:themeColor="text1"/>
          <w:sz w:val="16"/>
          <w:szCs w:val="16"/>
        </w:rPr>
        <w:t xml:space="preserve"> устройств (ОРПУ), организованная в свою очередь 1 марта 1935 г. на базе большей части лабораторий ЦРЛ и Отраслевой лаборатории передающих устройств (Михайлов В.А. Указ. соч. С. 61.). Территориально ОРПУ КМРС разместилась не только в помещениях ЦРЛ на улицах акад. Павлова и Грота, а также и на территории завода им. Ко </w:t>
      </w:r>
      <w:proofErr w:type="spellStart"/>
      <w:r w:rsidRPr="007122AB">
        <w:rPr>
          <w:rFonts w:ascii="Times New Roman" w:hAnsi="Times New Roman"/>
          <w:color w:val="000000" w:themeColor="text1"/>
          <w:sz w:val="16"/>
          <w:szCs w:val="16"/>
        </w:rPr>
        <w:t>минтерна</w:t>
      </w:r>
      <w:proofErr w:type="spellEnd"/>
      <w:r w:rsidRPr="007122AB">
        <w:rPr>
          <w:rFonts w:ascii="Times New Roman" w:hAnsi="Times New Roman"/>
          <w:color w:val="000000" w:themeColor="text1"/>
          <w:sz w:val="16"/>
          <w:szCs w:val="16"/>
        </w:rPr>
        <w:t xml:space="preserve">. В ее составе было создано около двадцати лабораторий-отделов та ких, как магистральных передатчиков (И.Х. </w:t>
      </w:r>
      <w:proofErr w:type="spellStart"/>
      <w:r w:rsidRPr="007122AB">
        <w:rPr>
          <w:rFonts w:ascii="Times New Roman" w:hAnsi="Times New Roman"/>
          <w:color w:val="000000" w:themeColor="text1"/>
          <w:sz w:val="16"/>
          <w:szCs w:val="16"/>
        </w:rPr>
        <w:t>Невяжский</w:t>
      </w:r>
      <w:proofErr w:type="spellEnd"/>
      <w:r w:rsidRPr="007122AB">
        <w:rPr>
          <w:rFonts w:ascii="Times New Roman" w:hAnsi="Times New Roman"/>
          <w:color w:val="000000" w:themeColor="text1"/>
          <w:sz w:val="16"/>
          <w:szCs w:val="16"/>
        </w:rPr>
        <w:t xml:space="preserve">), магистрального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диоприема</w:t>
      </w:r>
      <w:proofErr w:type="spellEnd"/>
      <w:r w:rsidRPr="007122AB">
        <w:rPr>
          <w:rFonts w:ascii="Times New Roman" w:hAnsi="Times New Roman"/>
          <w:color w:val="000000" w:themeColor="text1"/>
          <w:sz w:val="16"/>
          <w:szCs w:val="16"/>
        </w:rPr>
        <w:t xml:space="preserve"> (А.А. </w:t>
      </w:r>
      <w:proofErr w:type="spellStart"/>
      <w:r w:rsidRPr="007122AB">
        <w:rPr>
          <w:rFonts w:ascii="Times New Roman" w:hAnsi="Times New Roman"/>
          <w:color w:val="000000" w:themeColor="text1"/>
          <w:sz w:val="16"/>
          <w:szCs w:val="16"/>
        </w:rPr>
        <w:t>Пистолькорс</w:t>
      </w:r>
      <w:proofErr w:type="spellEnd"/>
      <w:r w:rsidRPr="007122AB">
        <w:rPr>
          <w:rFonts w:ascii="Times New Roman" w:hAnsi="Times New Roman"/>
          <w:color w:val="000000" w:themeColor="text1"/>
          <w:sz w:val="16"/>
          <w:szCs w:val="16"/>
        </w:rPr>
        <w:t xml:space="preserve">), низкой частоты (М.М. </w:t>
      </w:r>
      <w:proofErr w:type="spellStart"/>
      <w:r w:rsidRPr="007122AB">
        <w:rPr>
          <w:rFonts w:ascii="Times New Roman" w:hAnsi="Times New Roman"/>
          <w:color w:val="000000" w:themeColor="text1"/>
          <w:sz w:val="16"/>
          <w:szCs w:val="16"/>
        </w:rPr>
        <w:t>Вейсбейн</w:t>
      </w:r>
      <w:proofErr w:type="spellEnd"/>
      <w:r w:rsidRPr="007122AB">
        <w:rPr>
          <w:rFonts w:ascii="Times New Roman" w:hAnsi="Times New Roman"/>
          <w:color w:val="000000" w:themeColor="text1"/>
          <w:sz w:val="16"/>
          <w:szCs w:val="16"/>
        </w:rPr>
        <w:t xml:space="preserve">), передаю </w:t>
      </w:r>
      <w:proofErr w:type="spellStart"/>
      <w:r w:rsidRPr="007122AB">
        <w:rPr>
          <w:rFonts w:ascii="Times New Roman" w:hAnsi="Times New Roman"/>
          <w:color w:val="000000" w:themeColor="text1"/>
          <w:sz w:val="16"/>
          <w:szCs w:val="16"/>
        </w:rPr>
        <w:t>щих</w:t>
      </w:r>
      <w:proofErr w:type="spellEnd"/>
      <w:r w:rsidRPr="007122AB">
        <w:rPr>
          <w:rFonts w:ascii="Times New Roman" w:hAnsi="Times New Roman"/>
          <w:color w:val="000000" w:themeColor="text1"/>
          <w:sz w:val="16"/>
          <w:szCs w:val="16"/>
        </w:rPr>
        <w:t xml:space="preserve"> антенн (М.С. Нейман), электровакуумный (Н.И. Оганов), источников пи </w:t>
      </w:r>
      <w:proofErr w:type="spellStart"/>
      <w:r w:rsidRPr="007122AB">
        <w:rPr>
          <w:rFonts w:ascii="Times New Roman" w:hAnsi="Times New Roman"/>
          <w:color w:val="000000" w:themeColor="text1"/>
          <w:sz w:val="16"/>
          <w:szCs w:val="16"/>
        </w:rPr>
        <w:t>тания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М.А.Спицын</w:t>
      </w:r>
      <w:proofErr w:type="spellEnd"/>
      <w:r w:rsidRPr="007122AB">
        <w:rPr>
          <w:rFonts w:ascii="Times New Roman" w:hAnsi="Times New Roman"/>
          <w:color w:val="000000" w:themeColor="text1"/>
          <w:sz w:val="16"/>
          <w:szCs w:val="16"/>
        </w:rPr>
        <w:t xml:space="preserve">), специальных разработок (Л.Е. </w:t>
      </w:r>
      <w:proofErr w:type="spellStart"/>
      <w:r w:rsidRPr="007122AB">
        <w:rPr>
          <w:rFonts w:ascii="Times New Roman" w:hAnsi="Times New Roman"/>
          <w:color w:val="000000" w:themeColor="text1"/>
          <w:sz w:val="16"/>
          <w:szCs w:val="16"/>
        </w:rPr>
        <w:t>Штиллерман</w:t>
      </w:r>
      <w:proofErr w:type="spellEnd"/>
      <w:r w:rsidRPr="007122AB">
        <w:rPr>
          <w:rFonts w:ascii="Times New Roman" w:hAnsi="Times New Roman"/>
          <w:color w:val="000000" w:themeColor="text1"/>
          <w:sz w:val="16"/>
          <w:szCs w:val="16"/>
        </w:rPr>
        <w:t xml:space="preserve">) и др. Ди ректором ОРПУ был назначен А.Л. Минц, которого 29 апреля 1936 г. сменил И.З. Нефедов. Завод им. Коминтерна, который в составе КМРС получил наименование «Завод серийного производства», занимался разработкой новых образцов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диостанций</w:t>
      </w:r>
      <w:proofErr w:type="spellEnd"/>
      <w:r w:rsidRPr="007122AB">
        <w:rPr>
          <w:rFonts w:ascii="Times New Roman" w:hAnsi="Times New Roman"/>
          <w:color w:val="000000" w:themeColor="text1"/>
          <w:sz w:val="16"/>
          <w:szCs w:val="16"/>
        </w:rPr>
        <w:t xml:space="preserve"> по заданиям НКО и серийным производством принятой на </w:t>
      </w:r>
      <w:proofErr w:type="spellStart"/>
      <w:r w:rsidRPr="007122AB">
        <w:rPr>
          <w:rFonts w:ascii="Times New Roman" w:hAnsi="Times New Roman"/>
          <w:color w:val="000000" w:themeColor="text1"/>
          <w:sz w:val="16"/>
          <w:szCs w:val="16"/>
        </w:rPr>
        <w:t>воору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жение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радиопродукции</w:t>
      </w:r>
      <w:proofErr w:type="spellEnd"/>
      <w:r w:rsidRPr="007122AB">
        <w:rPr>
          <w:rFonts w:ascii="Times New Roman" w:hAnsi="Times New Roman"/>
          <w:color w:val="000000" w:themeColor="text1"/>
          <w:sz w:val="16"/>
          <w:szCs w:val="16"/>
        </w:rPr>
        <w:t xml:space="preserve">. Кроме завода и ОРПУ в составе КМРС функционировали: Отраслевая лаборатория измерительных устройств (ОРИЗ), производившая точную измерительную аппаратуру, применяемую в радиотехнике, кварцевые возбудители для мощных радиостанций и кварцевые пластины для стабилизации; Проект ная контора, занимавшаяся проектированием радиостанций (ЦГА СПб., ф. 945, оп. 3, д. 287, л. 121.); Отраслевая </w:t>
      </w:r>
      <w:proofErr w:type="spellStart"/>
      <w:r w:rsidRPr="007122AB">
        <w:rPr>
          <w:rFonts w:ascii="Times New Roman" w:hAnsi="Times New Roman"/>
          <w:color w:val="000000" w:themeColor="text1"/>
          <w:sz w:val="16"/>
          <w:szCs w:val="16"/>
        </w:rPr>
        <w:t>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диолаборатория</w:t>
      </w:r>
      <w:proofErr w:type="spellEnd"/>
      <w:r w:rsidRPr="007122AB">
        <w:rPr>
          <w:rFonts w:ascii="Times New Roman" w:hAnsi="Times New Roman"/>
          <w:color w:val="000000" w:themeColor="text1"/>
          <w:sz w:val="16"/>
          <w:szCs w:val="16"/>
        </w:rPr>
        <w:t xml:space="preserve"> магистрального приема (ОРМП); лаборатория материалов профессора Вальтера, а также ряд монтажно-строительных подразделений. 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 конец, приказом № 1467 НКТП от 3 сентября 1936 г. не вошедшая в ОРПУ часть ЦРЛ была переименована в институт радиовещательного приема и </w:t>
      </w:r>
      <w:proofErr w:type="spellStart"/>
      <w:r w:rsidRPr="007122AB">
        <w:rPr>
          <w:rFonts w:ascii="Times New Roman" w:hAnsi="Times New Roman"/>
          <w:color w:val="000000" w:themeColor="text1"/>
          <w:sz w:val="16"/>
          <w:szCs w:val="16"/>
        </w:rPr>
        <w:t>аку</w:t>
      </w:r>
      <w:proofErr w:type="spellEnd"/>
      <w:r w:rsidRPr="007122AB">
        <w:rPr>
          <w:rFonts w:ascii="Times New Roman" w:hAnsi="Times New Roman"/>
          <w:color w:val="000000" w:themeColor="text1"/>
          <w:sz w:val="16"/>
          <w:szCs w:val="16"/>
        </w:rPr>
        <w:t xml:space="preserve"> стики (ИРПА) (Михайлов В.А. Указ. соч. С. 63.). Так завершилась 13-летняя история Центральной радиолаборатории, ко </w:t>
      </w:r>
      <w:proofErr w:type="spellStart"/>
      <w:r w:rsidRPr="007122AB">
        <w:rPr>
          <w:rFonts w:ascii="Times New Roman" w:hAnsi="Times New Roman"/>
          <w:color w:val="000000" w:themeColor="text1"/>
          <w:sz w:val="16"/>
          <w:szCs w:val="16"/>
        </w:rPr>
        <w:t>торая</w:t>
      </w:r>
      <w:proofErr w:type="spellEnd"/>
      <w:r w:rsidRPr="007122AB">
        <w:rPr>
          <w:rFonts w:ascii="Times New Roman" w:hAnsi="Times New Roman"/>
          <w:color w:val="000000" w:themeColor="text1"/>
          <w:sz w:val="16"/>
          <w:szCs w:val="16"/>
        </w:rPr>
        <w:t xml:space="preserve">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31DFD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717D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сентября 1931 года после раздела ЦРЛ-3 директором ЦРЛ становится Дмитрий Никитич Румянцев. В ЦРЛ начались мероп</w:t>
      </w:r>
      <w:r w:rsidRPr="007122AB">
        <w:rPr>
          <w:rFonts w:ascii="Times New Roman" w:hAnsi="Times New Roman"/>
          <w:color w:val="000000" w:themeColor="text1"/>
          <w:sz w:val="16"/>
          <w:szCs w:val="16"/>
        </w:rPr>
        <w:softHyphen/>
        <w:t>риятия по уточнению структуры и тематики лабораторий, укреп</w:t>
      </w:r>
      <w:r w:rsidRPr="007122AB">
        <w:rPr>
          <w:rFonts w:ascii="Times New Roman" w:hAnsi="Times New Roman"/>
          <w:color w:val="000000" w:themeColor="text1"/>
          <w:sz w:val="16"/>
          <w:szCs w:val="16"/>
        </w:rPr>
        <w:softHyphen/>
        <w:t>лялся ее кадровый состав. Непрофильные лаборатории были пе-</w:t>
      </w:r>
      <w:proofErr w:type="spellStart"/>
      <w:r w:rsidRPr="007122AB">
        <w:rPr>
          <w:rFonts w:ascii="Times New Roman" w:hAnsi="Times New Roman"/>
          <w:color w:val="000000" w:themeColor="text1"/>
          <w:sz w:val="16"/>
          <w:szCs w:val="16"/>
        </w:rPr>
        <w:t>оеданы</w:t>
      </w:r>
      <w:proofErr w:type="spellEnd"/>
      <w:r w:rsidRPr="007122AB">
        <w:rPr>
          <w:rFonts w:ascii="Times New Roman" w:hAnsi="Times New Roman"/>
          <w:color w:val="000000" w:themeColor="text1"/>
          <w:sz w:val="16"/>
          <w:szCs w:val="16"/>
        </w:rPr>
        <w:t xml:space="preserve"> из ЦРЛ на другие предприятия, в частное™ лаборатория </w:t>
      </w:r>
      <w:proofErr w:type="spellStart"/>
      <w:r w:rsidRPr="007122AB">
        <w:rPr>
          <w:rFonts w:ascii="Times New Roman" w:hAnsi="Times New Roman"/>
          <w:color w:val="000000" w:themeColor="text1"/>
          <w:sz w:val="16"/>
          <w:szCs w:val="16"/>
        </w:rPr>
        <w:t>лонтурных</w:t>
      </w:r>
      <w:proofErr w:type="spellEnd"/>
      <w:r w:rsidRPr="007122AB">
        <w:rPr>
          <w:rFonts w:ascii="Times New Roman" w:hAnsi="Times New Roman"/>
          <w:color w:val="000000" w:themeColor="text1"/>
          <w:sz w:val="16"/>
          <w:szCs w:val="16"/>
        </w:rPr>
        <w:t xml:space="preserve"> фильтров и фильтровых </w:t>
      </w:r>
      <w:proofErr w:type="spellStart"/>
      <w:r w:rsidRPr="007122AB">
        <w:rPr>
          <w:rFonts w:ascii="Times New Roman" w:hAnsi="Times New Roman"/>
          <w:color w:val="000000" w:themeColor="text1"/>
          <w:sz w:val="16"/>
          <w:szCs w:val="16"/>
        </w:rPr>
        <w:t>конденсатооов</w:t>
      </w:r>
      <w:proofErr w:type="spellEnd"/>
      <w:r w:rsidRPr="007122AB">
        <w:rPr>
          <w:rFonts w:ascii="Times New Roman" w:hAnsi="Times New Roman"/>
          <w:color w:val="000000" w:themeColor="text1"/>
          <w:sz w:val="16"/>
          <w:szCs w:val="16"/>
        </w:rPr>
        <w:t xml:space="preserve"> перешла на завод им. Козицкого. В ЦРЛ были сформированы лаборатории высокочастотной физики, машин высокой частоты, передающих </w:t>
      </w:r>
      <w:proofErr w:type="spellStart"/>
      <w:r w:rsidRPr="007122AB">
        <w:rPr>
          <w:rFonts w:ascii="Times New Roman" w:hAnsi="Times New Roman"/>
          <w:color w:val="000000" w:themeColor="text1"/>
          <w:sz w:val="16"/>
          <w:szCs w:val="16"/>
        </w:rPr>
        <w:t>чнтепн</w:t>
      </w:r>
      <w:proofErr w:type="spellEnd"/>
      <w:r w:rsidRPr="007122AB">
        <w:rPr>
          <w:rFonts w:ascii="Times New Roman" w:hAnsi="Times New Roman"/>
          <w:color w:val="000000" w:themeColor="text1"/>
          <w:sz w:val="16"/>
          <w:szCs w:val="16"/>
        </w:rPr>
        <w:t>. передающих (генерирующих) устройств, подотдел ваку</w:t>
      </w:r>
      <w:r w:rsidRPr="007122AB">
        <w:rPr>
          <w:rFonts w:ascii="Times New Roman" w:hAnsi="Times New Roman"/>
          <w:color w:val="000000" w:themeColor="text1"/>
          <w:sz w:val="16"/>
          <w:szCs w:val="16"/>
        </w:rPr>
        <w:softHyphen/>
        <w:t>умной техники, отдел специальной и вспомогательной аппарату</w:t>
      </w:r>
      <w:r w:rsidRPr="007122AB">
        <w:rPr>
          <w:rFonts w:ascii="Times New Roman" w:hAnsi="Times New Roman"/>
          <w:color w:val="000000" w:themeColor="text1"/>
          <w:sz w:val="16"/>
          <w:szCs w:val="16"/>
        </w:rPr>
        <w:softHyphen/>
        <w:t>ры (ОСЗА) в составе грех лабораторий и отдел приёмной аппа</w:t>
      </w:r>
      <w:r w:rsidRPr="007122AB">
        <w:rPr>
          <w:rFonts w:ascii="Times New Roman" w:hAnsi="Times New Roman"/>
          <w:color w:val="000000" w:themeColor="text1"/>
          <w:sz w:val="16"/>
          <w:szCs w:val="16"/>
        </w:rPr>
        <w:softHyphen/>
        <w:t>ратуры и акустики (ОПАА) в составе семи лабораторий (11481).</w:t>
      </w:r>
    </w:p>
    <w:p w14:paraId="40F362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17E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госкомиссии был предъявлен "Красный Кавказ". Еще около 5 мес. Он проходил испытания и только 25 января 1932 г., подняв военно-морской флаг, вступил в строй Морских сил Черного моря. Такие сроки объяснялись как необходимостью изготовления вновь утра</w:t>
      </w:r>
      <w:r w:rsidRPr="007122AB">
        <w:rPr>
          <w:rFonts w:ascii="Times New Roman" w:hAnsi="Times New Roman"/>
          <w:color w:val="000000" w:themeColor="text1"/>
          <w:sz w:val="16"/>
          <w:szCs w:val="16"/>
        </w:rPr>
        <w:softHyphen/>
        <w:t>ченных деталей механизмов, так и доработкой проекта, а главное — проблемами в создании 180-мм башенных установок — основного вооружения крейсера (3898).</w:t>
      </w:r>
    </w:p>
    <w:p w14:paraId="33C98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вступлении в строй "Красный Кавказ" значительно отли</w:t>
      </w:r>
      <w:r w:rsidRPr="007122AB">
        <w:rPr>
          <w:rFonts w:ascii="Times New Roman" w:hAnsi="Times New Roman"/>
          <w:color w:val="000000" w:themeColor="text1"/>
          <w:sz w:val="16"/>
          <w:szCs w:val="16"/>
        </w:rPr>
        <w:softHyphen/>
        <w:t>чался от первоначального проекта. Для улучшения мореходных ка</w:t>
      </w:r>
      <w:r w:rsidRPr="007122AB">
        <w:rPr>
          <w:rFonts w:ascii="Times New Roman" w:hAnsi="Times New Roman"/>
          <w:color w:val="000000" w:themeColor="text1"/>
          <w:sz w:val="16"/>
          <w:szCs w:val="16"/>
        </w:rPr>
        <w:softHyphen/>
        <w:t>честв и понижения центра тяжести теоретический чертеж и конст</w:t>
      </w:r>
      <w:r w:rsidRPr="007122AB">
        <w:rPr>
          <w:rFonts w:ascii="Times New Roman" w:hAnsi="Times New Roman"/>
          <w:color w:val="000000" w:themeColor="text1"/>
          <w:sz w:val="16"/>
          <w:szCs w:val="16"/>
        </w:rPr>
        <w:softHyphen/>
        <w:t xml:space="preserve">рукция носовой части претерпели значительные изменения. Так, высота полубака, продолженного в корму до 73-го </w:t>
      </w:r>
      <w:proofErr w:type="spellStart"/>
      <w:r w:rsidRPr="007122AB">
        <w:rPr>
          <w:rFonts w:ascii="Times New Roman" w:hAnsi="Times New Roman"/>
          <w:color w:val="000000" w:themeColor="text1"/>
          <w:sz w:val="16"/>
          <w:szCs w:val="16"/>
        </w:rPr>
        <w:t>шп</w:t>
      </w:r>
      <w:proofErr w:type="spellEnd"/>
      <w:r w:rsidRPr="007122AB">
        <w:rPr>
          <w:rFonts w:ascii="Times New Roman" w:hAnsi="Times New Roman"/>
          <w:color w:val="000000" w:themeColor="text1"/>
          <w:sz w:val="16"/>
          <w:szCs w:val="16"/>
        </w:rPr>
        <w:t>., была умень</w:t>
      </w:r>
      <w:r w:rsidRPr="007122AB">
        <w:rPr>
          <w:rFonts w:ascii="Times New Roman" w:hAnsi="Times New Roman"/>
          <w:color w:val="000000" w:themeColor="text1"/>
          <w:sz w:val="16"/>
          <w:szCs w:val="16"/>
        </w:rPr>
        <w:softHyphen/>
        <w:t xml:space="preserve">шена с 3,25 до 2,25 м. Высота же его в носу (от 0 до 20-го </w:t>
      </w:r>
      <w:proofErr w:type="spellStart"/>
      <w:r w:rsidRPr="007122AB">
        <w:rPr>
          <w:rFonts w:ascii="Times New Roman" w:hAnsi="Times New Roman"/>
          <w:color w:val="000000" w:themeColor="text1"/>
          <w:sz w:val="16"/>
          <w:szCs w:val="16"/>
        </w:rPr>
        <w:t>шп</w:t>
      </w:r>
      <w:proofErr w:type="spellEnd"/>
      <w:r w:rsidRPr="007122AB">
        <w:rPr>
          <w:rFonts w:ascii="Times New Roman" w:hAnsi="Times New Roman"/>
          <w:color w:val="000000" w:themeColor="text1"/>
          <w:sz w:val="16"/>
          <w:szCs w:val="16"/>
        </w:rPr>
        <w:t>.) ос</w:t>
      </w:r>
      <w:r w:rsidRPr="007122AB">
        <w:rPr>
          <w:rFonts w:ascii="Times New Roman" w:hAnsi="Times New Roman"/>
          <w:color w:val="000000" w:themeColor="text1"/>
          <w:sz w:val="16"/>
          <w:szCs w:val="16"/>
        </w:rPr>
        <w:softHyphen/>
        <w:t>талась неизменной, что привело к формированию небольшого "до</w:t>
      </w:r>
      <w:r w:rsidRPr="007122AB">
        <w:rPr>
          <w:rFonts w:ascii="Times New Roman" w:hAnsi="Times New Roman"/>
          <w:color w:val="000000" w:themeColor="text1"/>
          <w:sz w:val="16"/>
          <w:szCs w:val="16"/>
        </w:rPr>
        <w:softHyphen/>
        <w:t>полнительного" полубака (по аналогии с линкорами), оформленно</w:t>
      </w:r>
      <w:r w:rsidRPr="007122AB">
        <w:rPr>
          <w:rFonts w:ascii="Times New Roman" w:hAnsi="Times New Roman"/>
          <w:color w:val="000000" w:themeColor="text1"/>
          <w:sz w:val="16"/>
          <w:szCs w:val="16"/>
        </w:rPr>
        <w:softHyphen/>
        <w:t>го изменением формы форштевня и увеличением развала бортов. Наибольшая длина корпуса увеличилась, как и полное водоизме</w:t>
      </w:r>
      <w:r w:rsidRPr="007122AB">
        <w:rPr>
          <w:rFonts w:ascii="Times New Roman" w:hAnsi="Times New Roman"/>
          <w:color w:val="000000" w:themeColor="text1"/>
          <w:sz w:val="16"/>
          <w:szCs w:val="16"/>
        </w:rPr>
        <w:softHyphen/>
        <w:t>щение крейсера. Последнее было вызвано перегрузкой новым во</w:t>
      </w:r>
      <w:r w:rsidRPr="007122AB">
        <w:rPr>
          <w:rFonts w:ascii="Times New Roman" w:hAnsi="Times New Roman"/>
          <w:color w:val="000000" w:themeColor="text1"/>
          <w:sz w:val="16"/>
          <w:szCs w:val="16"/>
        </w:rPr>
        <w:softHyphen/>
        <w:t>оружением, масса которого достигала 480 т (вместо 220 т по перво</w:t>
      </w:r>
      <w:r w:rsidRPr="007122AB">
        <w:rPr>
          <w:rFonts w:ascii="Times New Roman" w:hAnsi="Times New Roman"/>
          <w:color w:val="000000" w:themeColor="text1"/>
          <w:sz w:val="16"/>
          <w:szCs w:val="16"/>
        </w:rPr>
        <w:softHyphen/>
        <w:t>начальному проекту).</w:t>
      </w:r>
    </w:p>
    <w:p w14:paraId="5564D6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размещение носовой группы башен главного калибра бое</w:t>
      </w:r>
      <w:r w:rsidRPr="007122AB">
        <w:rPr>
          <w:rFonts w:ascii="Times New Roman" w:hAnsi="Times New Roman"/>
          <w:color w:val="000000" w:themeColor="text1"/>
          <w:sz w:val="16"/>
          <w:szCs w:val="16"/>
        </w:rPr>
        <w:softHyphen/>
        <w:t>вую рубку с башнеподобной фок-мачтой нового типа сместили в корму, ликвидировав носовое котельное отделение и переднюю ды</w:t>
      </w:r>
      <w:r w:rsidRPr="007122AB">
        <w:rPr>
          <w:rFonts w:ascii="Times New Roman" w:hAnsi="Times New Roman"/>
          <w:color w:val="000000" w:themeColor="text1"/>
          <w:sz w:val="16"/>
          <w:szCs w:val="16"/>
        </w:rPr>
        <w:softHyphen/>
        <w:t xml:space="preserve">мовую трубу. Паропроизводительность оставшихся десяти котлов </w:t>
      </w:r>
      <w:proofErr w:type="spellStart"/>
      <w:r w:rsidRPr="007122AB">
        <w:rPr>
          <w:rFonts w:ascii="Times New Roman" w:hAnsi="Times New Roman"/>
          <w:color w:val="000000" w:themeColor="text1"/>
          <w:sz w:val="16"/>
          <w:szCs w:val="16"/>
        </w:rPr>
        <w:t>Ярроу</w:t>
      </w:r>
      <w:proofErr w:type="spellEnd"/>
      <w:r w:rsidRPr="007122AB">
        <w:rPr>
          <w:rFonts w:ascii="Times New Roman" w:hAnsi="Times New Roman"/>
          <w:color w:val="000000" w:themeColor="text1"/>
          <w:sz w:val="16"/>
          <w:szCs w:val="16"/>
        </w:rPr>
        <w:t>, полностью переведенных на нефтяное отопление, удалось увеличить. Это позволило сохранить мощность главных турбин и скорость полного хода (29 уз). Несмотря на утилизацию упразднен</w:t>
      </w:r>
      <w:r w:rsidRPr="007122AB">
        <w:rPr>
          <w:rFonts w:ascii="Times New Roman" w:hAnsi="Times New Roman"/>
          <w:color w:val="000000" w:themeColor="text1"/>
          <w:sz w:val="16"/>
          <w:szCs w:val="16"/>
        </w:rPr>
        <w:softHyphen/>
        <w:t>ных угольных ям и помещений для успокоительных цистерн Фра-</w:t>
      </w:r>
      <w:proofErr w:type="spellStart"/>
      <w:r w:rsidRPr="007122AB">
        <w:rPr>
          <w:rFonts w:ascii="Times New Roman" w:hAnsi="Times New Roman"/>
          <w:color w:val="000000" w:themeColor="text1"/>
          <w:sz w:val="16"/>
          <w:szCs w:val="16"/>
        </w:rPr>
        <w:t>ма</w:t>
      </w:r>
      <w:proofErr w:type="spellEnd"/>
      <w:r w:rsidRPr="007122AB">
        <w:rPr>
          <w:rFonts w:ascii="Times New Roman" w:hAnsi="Times New Roman"/>
          <w:color w:val="000000" w:themeColor="text1"/>
          <w:sz w:val="16"/>
          <w:szCs w:val="16"/>
        </w:rPr>
        <w:t xml:space="preserve"> под нефтяные цистерны, дальность плавания из-за форсирова</w:t>
      </w:r>
      <w:r w:rsidRPr="007122AB">
        <w:rPr>
          <w:rFonts w:ascii="Times New Roman" w:hAnsi="Times New Roman"/>
          <w:color w:val="000000" w:themeColor="text1"/>
          <w:sz w:val="16"/>
          <w:szCs w:val="16"/>
        </w:rPr>
        <w:softHyphen/>
        <w:t>ния главной энергетической установки несколько уменьшилась.</w:t>
      </w:r>
    </w:p>
    <w:p w14:paraId="188E49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Грот-мачту также сделали треногой и, передвинув несколько в корму, оснастили массивным краном для гидросамолетов типа КР-1. Место между второй дымовой трубой и грот-мачтой заняла катапульта, аналогичная установленной на линкоре "Парижская коммуна".</w:t>
      </w:r>
    </w:p>
    <w:p w14:paraId="25AB77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Артиллерийские установки главного калибра под шифром МК-1-180 создавались на Ленинградском металлическом заводе (заведующий КБ инженер Р. Н. Вульф) на базе 180-мм орудия Б-1 разработки завода "Большевик" (главный конструктор К. Черняв</w:t>
      </w:r>
      <w:r w:rsidRPr="007122AB">
        <w:rPr>
          <w:rFonts w:ascii="Times New Roman" w:hAnsi="Times New Roman"/>
          <w:color w:val="000000" w:themeColor="text1"/>
          <w:sz w:val="16"/>
          <w:szCs w:val="16"/>
        </w:rPr>
        <w:softHyphen/>
        <w:t xml:space="preserve">ский). По проекту установка обеспечивала поражение целей на дистанциях до 203 </w:t>
      </w:r>
      <w:proofErr w:type="spellStart"/>
      <w:r w:rsidRPr="007122AB">
        <w:rPr>
          <w:rFonts w:ascii="Times New Roman" w:hAnsi="Times New Roman"/>
          <w:color w:val="000000" w:themeColor="text1"/>
          <w:sz w:val="16"/>
          <w:szCs w:val="16"/>
        </w:rPr>
        <w:t>каб</w:t>
      </w:r>
      <w:proofErr w:type="spellEnd"/>
      <w:r w:rsidRPr="007122AB">
        <w:rPr>
          <w:rFonts w:ascii="Times New Roman" w:hAnsi="Times New Roman"/>
          <w:color w:val="000000" w:themeColor="text1"/>
          <w:sz w:val="16"/>
          <w:szCs w:val="16"/>
        </w:rPr>
        <w:t xml:space="preserve">. (максимальный угол возвышения 60°, снижения 5°) снарядом массой 97,5 кг со скорострельностью 6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К сожалению, хорошим баллистическим качествам самого орудия (начальная скорость 920 м/с) пришлось принести в жертву живучесть ствола (55 боевых выстрелов)</w:t>
      </w:r>
    </w:p>
    <w:p w14:paraId="3E2118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Обращает на себя внимание также сильное торпедное вооруже</w:t>
      </w:r>
      <w:r w:rsidRPr="007122AB">
        <w:rPr>
          <w:rFonts w:ascii="Times New Roman" w:hAnsi="Times New Roman"/>
          <w:color w:val="000000" w:themeColor="text1"/>
          <w:sz w:val="16"/>
          <w:szCs w:val="16"/>
        </w:rPr>
        <w:softHyphen/>
        <w:t>ние советского корабля и слабость его зенитной артиллерии. По</w:t>
      </w:r>
      <w:r w:rsidRPr="007122AB">
        <w:rPr>
          <w:rFonts w:ascii="Times New Roman" w:hAnsi="Times New Roman"/>
          <w:color w:val="000000" w:themeColor="text1"/>
          <w:sz w:val="16"/>
          <w:szCs w:val="16"/>
        </w:rPr>
        <w:softHyphen/>
        <w:t xml:space="preserve">следняя в 30-х гг. усиливалась и на иностранных крейсерах, и на "Красном Кавказе". Так, 76-мм пушки </w:t>
      </w:r>
      <w:proofErr w:type="spellStart"/>
      <w:r w:rsidRPr="007122AB">
        <w:rPr>
          <w:rFonts w:ascii="Times New Roman" w:hAnsi="Times New Roman"/>
          <w:color w:val="000000" w:themeColor="text1"/>
          <w:sz w:val="16"/>
          <w:szCs w:val="16"/>
        </w:rPr>
        <w:t>Лендера</w:t>
      </w:r>
      <w:proofErr w:type="spellEnd"/>
      <w:r w:rsidRPr="007122AB">
        <w:rPr>
          <w:rFonts w:ascii="Times New Roman" w:hAnsi="Times New Roman"/>
          <w:color w:val="000000" w:themeColor="text1"/>
          <w:sz w:val="16"/>
          <w:szCs w:val="16"/>
        </w:rPr>
        <w:t xml:space="preserve"> были вскоре заме</w:t>
      </w:r>
      <w:r w:rsidRPr="007122AB">
        <w:rPr>
          <w:rFonts w:ascii="Times New Roman" w:hAnsi="Times New Roman"/>
          <w:color w:val="000000" w:themeColor="text1"/>
          <w:sz w:val="16"/>
          <w:szCs w:val="16"/>
        </w:rPr>
        <w:softHyphen/>
        <w:t>нены четырьмя спаренными 100-мм универсальными итальян</w:t>
      </w:r>
      <w:r w:rsidRPr="007122AB">
        <w:rPr>
          <w:rFonts w:ascii="Times New Roman" w:hAnsi="Times New Roman"/>
          <w:color w:val="000000" w:themeColor="text1"/>
          <w:sz w:val="16"/>
          <w:szCs w:val="16"/>
        </w:rPr>
        <w:softHyphen/>
        <w:t xml:space="preserve">ской системы </w:t>
      </w:r>
      <w:proofErr w:type="spellStart"/>
      <w:r w:rsidRPr="007122AB">
        <w:rPr>
          <w:rFonts w:ascii="Times New Roman" w:hAnsi="Times New Roman"/>
          <w:color w:val="000000" w:themeColor="text1"/>
          <w:sz w:val="16"/>
          <w:szCs w:val="16"/>
        </w:rPr>
        <w:t>Минизини</w:t>
      </w:r>
      <w:proofErr w:type="spellEnd"/>
      <w:r w:rsidRPr="007122AB">
        <w:rPr>
          <w:rFonts w:ascii="Times New Roman" w:hAnsi="Times New Roman"/>
          <w:color w:val="000000" w:themeColor="text1"/>
          <w:sz w:val="16"/>
          <w:szCs w:val="16"/>
        </w:rPr>
        <w:t>, к которым добавили четыре 45-мм полу</w:t>
      </w:r>
      <w:r w:rsidRPr="007122AB">
        <w:rPr>
          <w:rFonts w:ascii="Times New Roman" w:hAnsi="Times New Roman"/>
          <w:color w:val="000000" w:themeColor="text1"/>
          <w:sz w:val="16"/>
          <w:szCs w:val="16"/>
        </w:rPr>
        <w:softHyphen/>
        <w:t>автомата, а потом и две 76-мм новые артустановки. Во время Вели</w:t>
      </w:r>
      <w:r w:rsidRPr="007122AB">
        <w:rPr>
          <w:rFonts w:ascii="Times New Roman" w:hAnsi="Times New Roman"/>
          <w:color w:val="000000" w:themeColor="text1"/>
          <w:sz w:val="16"/>
          <w:szCs w:val="16"/>
        </w:rPr>
        <w:softHyphen/>
        <w:t>кой Отечественной войны зенитное вооружение "Красного Кавка</w:t>
      </w:r>
      <w:r w:rsidRPr="007122AB">
        <w:rPr>
          <w:rFonts w:ascii="Times New Roman" w:hAnsi="Times New Roman"/>
          <w:color w:val="000000" w:themeColor="text1"/>
          <w:sz w:val="16"/>
          <w:szCs w:val="16"/>
        </w:rPr>
        <w:softHyphen/>
        <w:t>за" довели до 12 100-мм, 2 76-мм, 4 45-мм и 10 37-мм орудий и 6 12,7 мм пулеметов (3898).</w:t>
      </w:r>
    </w:p>
    <w:p w14:paraId="16A72C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6D03F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F3DED6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C86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произошло боевое крещение Р-5. Два самолета, прибывшие в 16-ю бригаду, включили в состав Туркменской авиагруппы, сформированной для действий против басмачей в районе Кызыл-</w:t>
      </w:r>
      <w:proofErr w:type="spellStart"/>
      <w:r w:rsidRPr="007122AB">
        <w:rPr>
          <w:rFonts w:ascii="Times New Roman" w:hAnsi="Times New Roman"/>
          <w:color w:val="000000" w:themeColor="text1"/>
          <w:sz w:val="16"/>
          <w:szCs w:val="16"/>
        </w:rPr>
        <w:t>Арвата</w:t>
      </w:r>
      <w:proofErr w:type="spellEnd"/>
      <w:r w:rsidRPr="007122AB">
        <w:rPr>
          <w:rFonts w:ascii="Times New Roman" w:hAnsi="Times New Roman"/>
          <w:color w:val="000000" w:themeColor="text1"/>
          <w:sz w:val="16"/>
          <w:szCs w:val="16"/>
        </w:rPr>
        <w:t>. Р-5 использовались как командирские машины. Основная тяжесть боевой работы легла на старые Р-ЗЛД, но и Р-5 участвовали в налетах на банды у колодцев Огуз-</w:t>
      </w:r>
      <w:proofErr w:type="spellStart"/>
      <w:r w:rsidRPr="007122AB">
        <w:rPr>
          <w:rFonts w:ascii="Times New Roman" w:hAnsi="Times New Roman"/>
          <w:color w:val="000000" w:themeColor="text1"/>
          <w:sz w:val="16"/>
          <w:szCs w:val="16"/>
        </w:rPr>
        <w:t>Кулоч</w:t>
      </w:r>
      <w:proofErr w:type="spellEnd"/>
      <w:r w:rsidRPr="007122AB">
        <w:rPr>
          <w:rFonts w:ascii="Times New Roman" w:hAnsi="Times New Roman"/>
          <w:color w:val="000000" w:themeColor="text1"/>
          <w:sz w:val="16"/>
          <w:szCs w:val="16"/>
        </w:rPr>
        <w:t xml:space="preserve"> и Огуз-</w:t>
      </w:r>
      <w:proofErr w:type="spellStart"/>
      <w:r w:rsidRPr="007122AB">
        <w:rPr>
          <w:rFonts w:ascii="Times New Roman" w:hAnsi="Times New Roman"/>
          <w:color w:val="000000" w:themeColor="text1"/>
          <w:sz w:val="16"/>
          <w:szCs w:val="16"/>
        </w:rPr>
        <w:t>Каюсы</w:t>
      </w:r>
      <w:proofErr w:type="spellEnd"/>
      <w:r w:rsidRPr="007122AB">
        <w:rPr>
          <w:rFonts w:ascii="Times New Roman" w:hAnsi="Times New Roman"/>
          <w:color w:val="000000" w:themeColor="text1"/>
          <w:sz w:val="16"/>
          <w:szCs w:val="16"/>
        </w:rPr>
        <w:t>.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338FA8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2CF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произошло боевое крещение нового разведчика Р-5. Два самолета, прибывшие в 16-ю авиабригаду Среднеазиатского округа, включили в состав Туркменской авиагруппы, сформированной для действий против басмачей в районе Кызыл-</w:t>
      </w:r>
      <w:proofErr w:type="spellStart"/>
      <w:r w:rsidRPr="007122AB">
        <w:rPr>
          <w:rFonts w:ascii="Times New Roman" w:hAnsi="Times New Roman"/>
          <w:color w:val="000000" w:themeColor="text1"/>
          <w:sz w:val="16"/>
          <w:szCs w:val="16"/>
        </w:rPr>
        <w:t>Арвата</w:t>
      </w:r>
      <w:proofErr w:type="spellEnd"/>
      <w:r w:rsidRPr="007122AB">
        <w:rPr>
          <w:rFonts w:ascii="Times New Roman" w:hAnsi="Times New Roman"/>
          <w:color w:val="000000" w:themeColor="text1"/>
          <w:sz w:val="16"/>
          <w:szCs w:val="16"/>
        </w:rPr>
        <w:t xml:space="preserve">. Там действовала так называемая </w:t>
      </w:r>
      <w:proofErr w:type="spellStart"/>
      <w:r w:rsidRPr="007122AB">
        <w:rPr>
          <w:rFonts w:ascii="Times New Roman" w:hAnsi="Times New Roman"/>
          <w:color w:val="000000" w:themeColor="text1"/>
          <w:sz w:val="16"/>
          <w:szCs w:val="16"/>
        </w:rPr>
        <w:t>Койматская</w:t>
      </w:r>
      <w:proofErr w:type="spellEnd"/>
      <w:r w:rsidRPr="007122AB">
        <w:rPr>
          <w:rFonts w:ascii="Times New Roman" w:hAnsi="Times New Roman"/>
          <w:color w:val="000000" w:themeColor="text1"/>
          <w:sz w:val="16"/>
          <w:szCs w:val="16"/>
        </w:rPr>
        <w:t xml:space="preserve"> группировка. Р-5 использовались как командирские машины (у командиров группы и 37-й эскадрильи). Основная тяжесть боевой работы легла на старые Р-ЗЛД, но и Р-5 участвовали в налетах на банды у колодцев Огуз-</w:t>
      </w:r>
      <w:proofErr w:type="spellStart"/>
      <w:r w:rsidRPr="007122AB">
        <w:rPr>
          <w:rFonts w:ascii="Times New Roman" w:hAnsi="Times New Roman"/>
          <w:color w:val="000000" w:themeColor="text1"/>
          <w:sz w:val="16"/>
          <w:szCs w:val="16"/>
        </w:rPr>
        <w:t>Кулоч</w:t>
      </w:r>
      <w:proofErr w:type="spellEnd"/>
      <w:r w:rsidRPr="007122AB">
        <w:rPr>
          <w:rFonts w:ascii="Times New Roman" w:hAnsi="Times New Roman"/>
          <w:color w:val="000000" w:themeColor="text1"/>
          <w:sz w:val="16"/>
          <w:szCs w:val="16"/>
        </w:rPr>
        <w:t xml:space="preserve"> и Огуз-</w:t>
      </w:r>
      <w:proofErr w:type="spellStart"/>
      <w:r w:rsidRPr="007122AB">
        <w:rPr>
          <w:rFonts w:ascii="Times New Roman" w:hAnsi="Times New Roman"/>
          <w:color w:val="000000" w:themeColor="text1"/>
          <w:sz w:val="16"/>
          <w:szCs w:val="16"/>
        </w:rPr>
        <w:t>Каюсы</w:t>
      </w:r>
      <w:proofErr w:type="spellEnd"/>
      <w:r w:rsidRPr="007122AB">
        <w:rPr>
          <w:rFonts w:ascii="Times New Roman" w:hAnsi="Times New Roman"/>
          <w:color w:val="000000" w:themeColor="text1"/>
          <w:sz w:val="16"/>
          <w:szCs w:val="16"/>
        </w:rPr>
        <w:t>. Они сбрасывали мелкие осколочные бомбы и обстреливали басмачей из пулеметов. Активные боевые действия шли до начала октября. В середине месяца самолеты вернулись в Ташкент (12034).</w:t>
      </w:r>
    </w:p>
    <w:p w14:paraId="3E3EF4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358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в районе Красногвардейска (это тот же самый </w:t>
      </w:r>
      <w:proofErr w:type="spellStart"/>
      <w:r w:rsidRPr="007122AB">
        <w:rPr>
          <w:rFonts w:ascii="Times New Roman" w:hAnsi="Times New Roman"/>
          <w:color w:val="000000" w:themeColor="text1"/>
          <w:sz w:val="16"/>
          <w:szCs w:val="16"/>
        </w:rPr>
        <w:t>Троцк</w:t>
      </w:r>
      <w:proofErr w:type="spellEnd"/>
      <w:r w:rsidRPr="007122AB">
        <w:rPr>
          <w:rFonts w:ascii="Times New Roman" w:hAnsi="Times New Roman"/>
          <w:color w:val="000000" w:themeColor="text1"/>
          <w:sz w:val="16"/>
          <w:szCs w:val="16"/>
        </w:rPr>
        <w:t xml:space="preserve">, Ленинградский военный округ) проводились учения с высадкой воздушного десанта. К ним привлекли и 11-ю авиабригаду, которая взяла с собой и ФГ-62. Один из последних потерпел аварию у Бронницы под Новгородом. Повреждённый самолёт долго стоял </w:t>
      </w:r>
      <w:r w:rsidRPr="007122AB">
        <w:rPr>
          <w:rFonts w:ascii="Times New Roman" w:hAnsi="Times New Roman"/>
          <w:color w:val="000000" w:themeColor="text1"/>
          <w:sz w:val="16"/>
          <w:szCs w:val="16"/>
        </w:rPr>
        <w:lastRenderedPageBreak/>
        <w:t>у места вынужденной посадки. Акт о его списании обнаружить не удалось, но машина группы "Б" не подлежала серьёзному ремонту. Скорее всего, её пустили на слом, сняв всё ценное (11984).</w:t>
      </w:r>
    </w:p>
    <w:p w14:paraId="6FA87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83BFCC"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ПДО из ЛВО был переброшен в Киев для участия в маневрах Украинского военного округа (УВО), где влился в </w:t>
      </w:r>
      <w:proofErr w:type="spellStart"/>
      <w:r w:rsidRPr="007122AB">
        <w:rPr>
          <w:rFonts w:ascii="Times New Roman" w:hAnsi="Times New Roman"/>
          <w:color w:val="000000" w:themeColor="text1"/>
          <w:sz w:val="16"/>
          <w:szCs w:val="16"/>
        </w:rPr>
        <w:t>авиамотодесантную</w:t>
      </w:r>
      <w:proofErr w:type="spellEnd"/>
      <w:r w:rsidRPr="007122AB">
        <w:rPr>
          <w:rFonts w:ascii="Times New Roman" w:hAnsi="Times New Roman"/>
          <w:color w:val="000000" w:themeColor="text1"/>
          <w:sz w:val="16"/>
          <w:szCs w:val="16"/>
        </w:rPr>
        <w:t xml:space="preserve"> группу. Десант в составе 29 бойцов 10 сентября высадился из трех самолетов АНТ-9. Одновременно с людьми на грузовых парашютах были сброшены две пушки, пулеметы и боеприпасы. Такую же операцию 14 сентября повторили для начальствующего состава, участвовавшего в маневрах (Архив ЦДА и К. Ф. 50. Оп. 1. Д. 2. Л. 26). С маневров в УВО ПДО был снова переброшен в Красногвардейск (ныне Гатчина), где 29.09.1931 г. принял участие в маневрах ЛВО. Всего из 550 прыжков, выполненных в 1931 г., на десантные прыжки во время маневров приходится 110, то есть 20% от общего количества. В то же время бойцы ПДО выполнили в 1931 г. 311 прыжков (56.5% от общего количества) (Архив ЦДА и К. Ф. 50. Оп. 1. Д. 2. Л. 25) (21402).</w:t>
      </w:r>
    </w:p>
    <w:p w14:paraId="2161F46A" w14:textId="77777777" w:rsidR="00941865" w:rsidRPr="007122AB" w:rsidRDefault="00941865" w:rsidP="007122AB">
      <w:pPr>
        <w:spacing w:after="0" w:line="240" w:lineRule="auto"/>
        <w:jc w:val="both"/>
        <w:rPr>
          <w:rFonts w:ascii="Times New Roman" w:hAnsi="Times New Roman"/>
          <w:color w:val="000000" w:themeColor="text1"/>
          <w:sz w:val="16"/>
          <w:szCs w:val="16"/>
        </w:rPr>
      </w:pPr>
    </w:p>
    <w:p w14:paraId="45EA5149" w14:textId="77777777" w:rsidR="00941865" w:rsidRPr="007122AB" w:rsidRDefault="0094186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ПДО из ЛВО был переброшен в Киев для участия в маневрах Украинского военного округа (УВО), где влился в </w:t>
      </w:r>
      <w:proofErr w:type="spellStart"/>
      <w:r w:rsidRPr="007122AB">
        <w:rPr>
          <w:rFonts w:ascii="Times New Roman" w:hAnsi="Times New Roman"/>
          <w:color w:val="000000" w:themeColor="text1"/>
          <w:sz w:val="16"/>
          <w:szCs w:val="16"/>
        </w:rPr>
        <w:t>авиамотодесантную</w:t>
      </w:r>
      <w:proofErr w:type="spellEnd"/>
      <w:r w:rsidRPr="007122AB">
        <w:rPr>
          <w:rFonts w:ascii="Times New Roman" w:hAnsi="Times New Roman"/>
          <w:color w:val="000000" w:themeColor="text1"/>
          <w:sz w:val="16"/>
          <w:szCs w:val="16"/>
        </w:rPr>
        <w:t xml:space="preserve"> группу. Десант в составе 29 бойцов </w:t>
      </w:r>
    </w:p>
    <w:p w14:paraId="493D4200" w14:textId="77777777" w:rsidR="00941865" w:rsidRPr="007122AB" w:rsidRDefault="00941865" w:rsidP="007122AB">
      <w:pPr>
        <w:spacing w:after="0" w:line="240" w:lineRule="auto"/>
        <w:jc w:val="both"/>
        <w:rPr>
          <w:rFonts w:ascii="Times New Roman" w:hAnsi="Times New Roman"/>
          <w:color w:val="000000" w:themeColor="text1"/>
          <w:sz w:val="16"/>
          <w:szCs w:val="16"/>
        </w:rPr>
      </w:pPr>
    </w:p>
    <w:p w14:paraId="2D9D7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месяце 1931 состоялись учения под Ленинградом. Для переброски десанта подготовили две эскадрильи ТБ-1 3-й авиабригады, оборудованные десантными кабинами или "автоматическими выбрасывателями" - всего около 20 исправных машин. "Люльки" монтировались силами технического и летного состава самой эскадрильи. К ТБ-1 добавили три АНТ-9 из эскадрильи особого назначения и учебной бригады Военно-воздушной академии. Парашютистов и самолеты сосредоточили на аэродроме Красногвардейск.</w:t>
      </w:r>
    </w:p>
    <w:p w14:paraId="0C4897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и 14 сентября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57EEC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7DA1D0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собравшихся на учения начальников организовали демонстрационный сброс с ТБ-1 трехместного </w:t>
      </w:r>
      <w:proofErr w:type="spellStart"/>
      <w:r w:rsidRPr="007122AB">
        <w:rPr>
          <w:rFonts w:ascii="Times New Roman" w:hAnsi="Times New Roman"/>
          <w:color w:val="000000" w:themeColor="text1"/>
          <w:sz w:val="16"/>
          <w:szCs w:val="16"/>
        </w:rPr>
        <w:t>авиабуса</w:t>
      </w:r>
      <w:proofErr w:type="spellEnd"/>
      <w:r w:rsidRPr="007122AB">
        <w:rPr>
          <w:rFonts w:ascii="Times New Roman" w:hAnsi="Times New Roman"/>
          <w:color w:val="000000" w:themeColor="text1"/>
          <w:sz w:val="16"/>
          <w:szCs w:val="16"/>
        </w:rPr>
        <w:t>.</w:t>
      </w:r>
    </w:p>
    <w:p w14:paraId="43BA6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609AF7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1940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на заседании РВС было принято ре</w:t>
      </w:r>
      <w:r w:rsidRPr="007122AB">
        <w:rPr>
          <w:rFonts w:ascii="Times New Roman" w:hAnsi="Times New Roman"/>
          <w:color w:val="000000" w:themeColor="text1"/>
          <w:sz w:val="16"/>
          <w:szCs w:val="16"/>
        </w:rPr>
        <w:softHyphen/>
        <w:t>шение, что отечественная промышленность должна удар</w:t>
      </w:r>
      <w:r w:rsidRPr="007122AB">
        <w:rPr>
          <w:rFonts w:ascii="Times New Roman" w:hAnsi="Times New Roman"/>
          <w:color w:val="000000" w:themeColor="text1"/>
          <w:sz w:val="16"/>
          <w:szCs w:val="16"/>
        </w:rPr>
        <w:softHyphen/>
        <w:t xml:space="preserve">но потрудиться в новом 1932 г., чтобы спешно создать «бронированный кулак </w:t>
      </w:r>
      <w:proofErr w:type="spellStart"/>
      <w:r w:rsidRPr="007122AB">
        <w:rPr>
          <w:rFonts w:ascii="Times New Roman" w:hAnsi="Times New Roman"/>
          <w:color w:val="000000" w:themeColor="text1"/>
          <w:sz w:val="16"/>
          <w:szCs w:val="16"/>
        </w:rPr>
        <w:t>мотомехчастей</w:t>
      </w:r>
      <w:proofErr w:type="spellEnd"/>
      <w:r w:rsidRPr="007122AB">
        <w:rPr>
          <w:rFonts w:ascii="Times New Roman" w:hAnsi="Times New Roman"/>
          <w:color w:val="000000" w:themeColor="text1"/>
          <w:sz w:val="16"/>
          <w:szCs w:val="16"/>
        </w:rPr>
        <w:t>» для войны, нача</w:t>
      </w:r>
      <w:r w:rsidRPr="007122AB">
        <w:rPr>
          <w:rFonts w:ascii="Times New Roman" w:hAnsi="Times New Roman"/>
          <w:color w:val="000000" w:themeColor="text1"/>
          <w:sz w:val="16"/>
          <w:szCs w:val="16"/>
        </w:rPr>
        <w:softHyphen/>
        <w:t>ло которой могло быть инициировано в 1933-34 гг. Наме</w:t>
      </w:r>
      <w:r w:rsidRPr="007122AB">
        <w:rPr>
          <w:rFonts w:ascii="Times New Roman" w:hAnsi="Times New Roman"/>
          <w:color w:val="000000" w:themeColor="text1"/>
          <w:sz w:val="16"/>
          <w:szCs w:val="16"/>
        </w:rPr>
        <w:softHyphen/>
        <w:t xml:space="preserve">чалась весьма обширная годовая программа </w:t>
      </w:r>
      <w:proofErr w:type="spellStart"/>
      <w:r w:rsidRPr="007122AB">
        <w:rPr>
          <w:rFonts w:ascii="Times New Roman" w:hAnsi="Times New Roman"/>
          <w:color w:val="000000" w:themeColor="text1"/>
          <w:sz w:val="16"/>
          <w:szCs w:val="16"/>
        </w:rPr>
        <w:t>строительст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w:t>
      </w:r>
      <w:proofErr w:type="spellEnd"/>
      <w:r w:rsidRPr="007122AB">
        <w:rPr>
          <w:rFonts w:ascii="Times New Roman" w:hAnsi="Times New Roman"/>
          <w:color w:val="000000" w:themeColor="text1"/>
          <w:sz w:val="16"/>
          <w:szCs w:val="16"/>
        </w:rPr>
        <w:t xml:space="preserve"> танков в СССР, которая предусматривала изготовление до 10 000 боевых машин всех классов: 3000 шт. - легких танков, 5000 шт. - танкеток и 2000 шт. - маневренных, которая была, впрочем, сокращена к началу 1932 г. до 8100 шт. (за счет ограничения заказа на танкетки с 5000 до 3100 шт.). Выполнение этой программы напрямую зависело от обеспеченности заводов отечественным и импортным оборудованием, необходимой номенклатурой сырья, по</w:t>
      </w:r>
      <w:r w:rsidRPr="007122AB">
        <w:rPr>
          <w:rFonts w:ascii="Times New Roman" w:hAnsi="Times New Roman"/>
          <w:color w:val="000000" w:themeColor="text1"/>
          <w:sz w:val="16"/>
          <w:szCs w:val="16"/>
        </w:rPr>
        <w:softHyphen/>
        <w:t>луфабрикатов и агрегатов (10733,138).</w:t>
      </w:r>
    </w:p>
    <w:p w14:paraId="47C8CC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745F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DF5251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9C10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в колхозах числилось почти 60 % крестьянских хозяйств. Однако даже официальная печать признавала, что многие колхозы являются "дутыми", "бумажными", "</w:t>
      </w:r>
      <w:proofErr w:type="spellStart"/>
      <w:r w:rsidRPr="007122AB">
        <w:rPr>
          <w:rFonts w:ascii="Times New Roman" w:hAnsi="Times New Roman"/>
          <w:color w:val="000000" w:themeColor="text1"/>
          <w:sz w:val="16"/>
          <w:szCs w:val="16"/>
        </w:rPr>
        <w:t>лжеколхозами</w:t>
      </w:r>
      <w:proofErr w:type="spellEnd"/>
      <w:r w:rsidRPr="007122AB">
        <w:rPr>
          <w:rFonts w:ascii="Times New Roman" w:hAnsi="Times New Roman"/>
          <w:color w:val="000000" w:themeColor="text1"/>
          <w:sz w:val="16"/>
          <w:szCs w:val="16"/>
        </w:rPr>
        <w:t>" (9492).</w:t>
      </w:r>
    </w:p>
    <w:p w14:paraId="3E3FA2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44867B" w14:textId="77777777" w:rsidR="00021C0B" w:rsidRPr="007122AB" w:rsidRDefault="00021C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Сентябрь 1931. На железнодорожных вокзалах появились "комнаты матери и ребенка" для семей рабочих. Они были открыты круглые сутки и обслуживались медико-педагогическим персоналом. Здесь во время пересадок и длительных ожиданий поездов детей проезжающих обеспечивали питанием, играми и культурными развлечениями (18724).</w:t>
      </w:r>
    </w:p>
    <w:p w14:paraId="21E7D51B" w14:textId="77777777" w:rsidR="00021C0B" w:rsidRPr="007122AB" w:rsidRDefault="00021C0B" w:rsidP="007122AB">
      <w:pPr>
        <w:spacing w:after="0" w:line="240" w:lineRule="auto"/>
        <w:jc w:val="both"/>
        <w:rPr>
          <w:rFonts w:ascii="Times New Roman" w:hAnsi="Times New Roman"/>
          <w:color w:val="000000" w:themeColor="text1"/>
          <w:sz w:val="16"/>
          <w:szCs w:val="16"/>
        </w:rPr>
      </w:pPr>
    </w:p>
    <w:p w14:paraId="55E73E0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3438ED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CC01C8"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пос</w:t>
      </w:r>
      <w:r w:rsidRPr="007122AB">
        <w:rPr>
          <w:rFonts w:ascii="Times New Roman" w:hAnsi="Times New Roman"/>
          <w:color w:val="000000" w:themeColor="text1"/>
          <w:sz w:val="16"/>
          <w:szCs w:val="16"/>
        </w:rPr>
        <w:softHyphen/>
        <w:t>ле аннексии Маньчжурии японцы уже планировали стремительным броском в Синьцзян через Внутреннюю Монголию отрезать Китай от СССР и МНР.</w:t>
      </w:r>
    </w:p>
    <w:p w14:paraId="3A6D4586"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вооруженного конфликта на КВЖД Советский Союз официально разорвал ди</w:t>
      </w:r>
      <w:r w:rsidRPr="007122AB">
        <w:rPr>
          <w:rFonts w:ascii="Times New Roman" w:hAnsi="Times New Roman"/>
          <w:color w:val="000000" w:themeColor="text1"/>
          <w:sz w:val="16"/>
          <w:szCs w:val="16"/>
        </w:rPr>
        <w:softHyphen/>
        <w:t>пломатические отношения с Китаем, и после захвата Маньчжурии Синьцзян остался единственным стратегически важным сухопутным путём в Китай из СССР.</w:t>
      </w:r>
    </w:p>
    <w:p w14:paraId="0D1106DD"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Придя к власти, Цзинь </w:t>
      </w:r>
      <w:proofErr w:type="spellStart"/>
      <w:r w:rsidRPr="007122AB">
        <w:rPr>
          <w:rFonts w:ascii="Times New Roman" w:hAnsi="Times New Roman"/>
          <w:color w:val="000000" w:themeColor="text1"/>
          <w:sz w:val="16"/>
          <w:szCs w:val="16"/>
        </w:rPr>
        <w:t>Шужэнь</w:t>
      </w:r>
      <w:proofErr w:type="spellEnd"/>
      <w:r w:rsidRPr="007122AB">
        <w:rPr>
          <w:rFonts w:ascii="Times New Roman" w:hAnsi="Times New Roman"/>
          <w:color w:val="000000" w:themeColor="text1"/>
          <w:sz w:val="16"/>
          <w:szCs w:val="16"/>
        </w:rPr>
        <w:t xml:space="preserve"> долго не мог справиться с набиравшим силу восста</w:t>
      </w:r>
      <w:r w:rsidRPr="007122AB">
        <w:rPr>
          <w:rFonts w:ascii="Times New Roman" w:hAnsi="Times New Roman"/>
          <w:color w:val="000000" w:themeColor="text1"/>
          <w:sz w:val="16"/>
          <w:szCs w:val="16"/>
        </w:rPr>
        <w:softHyphen/>
        <w:t>нием и стабилизировать политическую обстановку. Тогда «Но новой китайской тради</w:t>
      </w:r>
      <w:r w:rsidRPr="007122AB">
        <w:rPr>
          <w:rFonts w:ascii="Times New Roman" w:hAnsi="Times New Roman"/>
          <w:color w:val="000000" w:themeColor="text1"/>
          <w:sz w:val="16"/>
          <w:szCs w:val="16"/>
        </w:rPr>
        <w:softHyphen/>
        <w:t>ции» он решил укрепить свои позиции с помощью военной авиации.</w:t>
      </w:r>
    </w:p>
    <w:p w14:paraId="61411650"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1920-е годы «Поднебесную» потрясали перманентные военные конфликты. В ходе революционных событий в Китае активизировались разнообразные политические силы, считавшие своей главной задачей борьбу за власть всеми доступными средствами и, в первую очередь, военными. Многие властители провинций заявили о независимости от новых пекинских властей, и начались </w:t>
      </w:r>
      <w:proofErr w:type="spellStart"/>
      <w:r w:rsidRPr="007122AB">
        <w:rPr>
          <w:rFonts w:ascii="Times New Roman" w:hAnsi="Times New Roman"/>
          <w:color w:val="000000" w:themeColor="text1"/>
          <w:sz w:val="16"/>
          <w:szCs w:val="16"/>
        </w:rPr>
        <w:t>межуусобные</w:t>
      </w:r>
      <w:proofErr w:type="spellEnd"/>
      <w:r w:rsidRPr="007122AB">
        <w:rPr>
          <w:rFonts w:ascii="Times New Roman" w:hAnsi="Times New Roman"/>
          <w:color w:val="000000" w:themeColor="text1"/>
          <w:sz w:val="16"/>
          <w:szCs w:val="16"/>
        </w:rPr>
        <w:t xml:space="preserve"> войны.</w:t>
      </w:r>
    </w:p>
    <w:p w14:paraId="1901E696"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Самолёты превратились в орудие решения внутренних проблем и борьбы «милитари</w:t>
      </w:r>
      <w:r w:rsidRPr="007122AB">
        <w:rPr>
          <w:rFonts w:ascii="Times New Roman" w:hAnsi="Times New Roman"/>
          <w:color w:val="000000" w:themeColor="text1"/>
          <w:sz w:val="16"/>
          <w:szCs w:val="16"/>
        </w:rPr>
        <w:softHyphen/>
        <w:t>стов» между собой. Но ввиду того, что в тот период боевая мощь военной авиации бы</w:t>
      </w:r>
      <w:r w:rsidRPr="007122AB">
        <w:rPr>
          <w:rFonts w:ascii="Times New Roman" w:hAnsi="Times New Roman"/>
          <w:color w:val="000000" w:themeColor="text1"/>
          <w:sz w:val="16"/>
          <w:szCs w:val="16"/>
        </w:rPr>
        <w:softHyphen/>
        <w:t>ла очень ограниченной, мизерные масштабы военных действий в воздухе в ряде случаев напоминали скорее демонстрационные полёты, чем реальную поддержку наземных войск. Вместе с тем достаточно было появиться в небе одному—двум самолётам, как солдаты противника (в основном, нищие и неграмотные крестьяне, зачастую вооружен</w:t>
      </w:r>
      <w:r w:rsidRPr="007122AB">
        <w:rPr>
          <w:rFonts w:ascii="Times New Roman" w:hAnsi="Times New Roman"/>
          <w:color w:val="000000" w:themeColor="text1"/>
          <w:sz w:val="16"/>
          <w:szCs w:val="16"/>
        </w:rPr>
        <w:softHyphen/>
        <w:t xml:space="preserve">ные лишь копьями и старинными </w:t>
      </w:r>
      <w:proofErr w:type="spellStart"/>
      <w:r w:rsidRPr="007122AB">
        <w:rPr>
          <w:rFonts w:ascii="Times New Roman" w:hAnsi="Times New Roman"/>
          <w:color w:val="000000" w:themeColor="text1"/>
          <w:sz w:val="16"/>
          <w:szCs w:val="16"/>
        </w:rPr>
        <w:t>мущкетами</w:t>
      </w:r>
      <w:proofErr w:type="spellEnd"/>
      <w:r w:rsidRPr="007122AB">
        <w:rPr>
          <w:rFonts w:ascii="Times New Roman" w:hAnsi="Times New Roman"/>
          <w:color w:val="000000" w:themeColor="text1"/>
          <w:sz w:val="16"/>
          <w:szCs w:val="16"/>
        </w:rPr>
        <w:t>), и до этого никогда не видевшие «крыла</w:t>
      </w:r>
      <w:r w:rsidRPr="007122AB">
        <w:rPr>
          <w:rFonts w:ascii="Times New Roman" w:hAnsi="Times New Roman"/>
          <w:color w:val="000000" w:themeColor="text1"/>
          <w:sz w:val="16"/>
          <w:szCs w:val="16"/>
        </w:rPr>
        <w:softHyphen/>
        <w:t>тых птиц, изрыгающих огонь и швыряющих бомбы», приходили в ужас и в страшной панике разбегались. Недаром тогдашние китайские полководцы по боевой эффективно</w:t>
      </w:r>
      <w:r w:rsidRPr="007122AB">
        <w:rPr>
          <w:rFonts w:ascii="Times New Roman" w:hAnsi="Times New Roman"/>
          <w:color w:val="000000" w:themeColor="text1"/>
          <w:sz w:val="16"/>
          <w:szCs w:val="16"/>
        </w:rPr>
        <w:softHyphen/>
        <w:t>сти приравнивали один даже невооруженный .самолёт к 10 тысячам воинов!</w:t>
      </w:r>
    </w:p>
    <w:p w14:paraId="78F7D511"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Цзинь </w:t>
      </w:r>
      <w:proofErr w:type="spellStart"/>
      <w:r w:rsidRPr="007122AB">
        <w:rPr>
          <w:rFonts w:ascii="Times New Roman" w:hAnsi="Times New Roman"/>
          <w:color w:val="000000" w:themeColor="text1"/>
          <w:sz w:val="16"/>
          <w:szCs w:val="16"/>
        </w:rPr>
        <w:t>Шужэнь</w:t>
      </w:r>
      <w:proofErr w:type="spellEnd"/>
      <w:r w:rsidRPr="007122AB">
        <w:rPr>
          <w:rFonts w:ascii="Times New Roman" w:hAnsi="Times New Roman"/>
          <w:color w:val="000000" w:themeColor="text1"/>
          <w:sz w:val="16"/>
          <w:szCs w:val="16"/>
        </w:rPr>
        <w:t xml:space="preserve"> обратился к СССР с просьбой продать боевые самолёты с вооружени</w:t>
      </w:r>
      <w:r w:rsidRPr="007122AB">
        <w:rPr>
          <w:rFonts w:ascii="Times New Roman" w:hAnsi="Times New Roman"/>
          <w:color w:val="000000" w:themeColor="text1"/>
          <w:sz w:val="16"/>
          <w:szCs w:val="16"/>
        </w:rPr>
        <w:softHyphen/>
        <w:t>ем и боеприпасами якобы для организации в Урумчи школы военных лётчиков. Вместе с самолётами в качестве инструкторов приглашались и советские экипажи. Одновремен</w:t>
      </w:r>
      <w:r w:rsidRPr="007122AB">
        <w:rPr>
          <w:rFonts w:ascii="Times New Roman" w:hAnsi="Times New Roman"/>
          <w:color w:val="000000" w:themeColor="text1"/>
          <w:sz w:val="16"/>
          <w:szCs w:val="16"/>
        </w:rPr>
        <w:softHyphen/>
        <w:t>но китайцы хотели закупить и учебные машины, но вопрос об их продаже сначала отло</w:t>
      </w:r>
      <w:r w:rsidRPr="007122AB">
        <w:rPr>
          <w:rFonts w:ascii="Times New Roman" w:hAnsi="Times New Roman"/>
          <w:color w:val="000000" w:themeColor="text1"/>
          <w:sz w:val="16"/>
          <w:szCs w:val="16"/>
        </w:rPr>
        <w:softHyphen/>
        <w:t>жили, намереваясь перегонять их теми же экипажами, что и военные самолёты. Об участии наших лётчиков в боевых действиях речь поначалу даже и не шла (15802).</w:t>
      </w:r>
    </w:p>
    <w:p w14:paraId="56B5DF71"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1A49CC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года К. </w:t>
      </w:r>
      <w:proofErr w:type="spellStart"/>
      <w:r w:rsidRPr="007122AB">
        <w:rPr>
          <w:rFonts w:ascii="Times New Roman" w:hAnsi="Times New Roman"/>
          <w:color w:val="000000" w:themeColor="text1"/>
          <w:sz w:val="16"/>
          <w:szCs w:val="16"/>
        </w:rPr>
        <w:t>Либрих</w:t>
      </w:r>
      <w:proofErr w:type="spellEnd"/>
      <w:r w:rsidRPr="007122AB">
        <w:rPr>
          <w:rFonts w:ascii="Times New Roman" w:hAnsi="Times New Roman"/>
          <w:color w:val="000000" w:themeColor="text1"/>
          <w:sz w:val="16"/>
          <w:szCs w:val="16"/>
        </w:rPr>
        <w:t>, химик научно-исследовательской лаборатории в Эберсвальде, член КПГ, был осужден на четыре месяца за промышленный шпионаж.</w:t>
      </w:r>
    </w:p>
    <w:p w14:paraId="1C257B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 советского торгпредства Ф. Володичев, работавший на заводах «Сименс» и «</w:t>
      </w:r>
      <w:proofErr w:type="spellStart"/>
      <w:r w:rsidRPr="007122AB">
        <w:rPr>
          <w:rFonts w:ascii="Times New Roman" w:hAnsi="Times New Roman"/>
          <w:color w:val="000000" w:themeColor="text1"/>
          <w:sz w:val="16"/>
          <w:szCs w:val="16"/>
        </w:rPr>
        <w:t>Хальске</w:t>
      </w:r>
      <w:proofErr w:type="spellEnd"/>
      <w:r w:rsidRPr="007122AB">
        <w:rPr>
          <w:rFonts w:ascii="Times New Roman" w:hAnsi="Times New Roman"/>
          <w:color w:val="000000" w:themeColor="text1"/>
          <w:sz w:val="16"/>
          <w:szCs w:val="16"/>
        </w:rPr>
        <w:t>», был осужден на одни месяц тюремного заключения за промышленный шпионаж. Хотя, по утверждению прокурора, «чертежи, найденные у обвиняемого, отражали последние достижения в телеграфии и представляли огромную ценность для немецкой индустрии».</w:t>
      </w:r>
    </w:p>
    <w:p w14:paraId="64F5C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Ротвайле трое рабочих — Р. </w:t>
      </w:r>
      <w:proofErr w:type="spellStart"/>
      <w:r w:rsidRPr="007122AB">
        <w:rPr>
          <w:rFonts w:ascii="Times New Roman" w:hAnsi="Times New Roman"/>
          <w:color w:val="000000" w:themeColor="text1"/>
          <w:sz w:val="16"/>
          <w:szCs w:val="16"/>
        </w:rPr>
        <w:t>Мольт</w:t>
      </w:r>
      <w:proofErr w:type="spellEnd"/>
      <w:r w:rsidRPr="007122AB">
        <w:rPr>
          <w:rFonts w:ascii="Times New Roman" w:hAnsi="Times New Roman"/>
          <w:color w:val="000000" w:themeColor="text1"/>
          <w:sz w:val="16"/>
          <w:szCs w:val="16"/>
        </w:rPr>
        <w:t xml:space="preserve">, Ю. </w:t>
      </w:r>
      <w:proofErr w:type="spellStart"/>
      <w:r w:rsidRPr="007122AB">
        <w:rPr>
          <w:rFonts w:ascii="Times New Roman" w:hAnsi="Times New Roman"/>
          <w:color w:val="000000" w:themeColor="text1"/>
          <w:sz w:val="16"/>
          <w:szCs w:val="16"/>
        </w:rPr>
        <w:t>Шетцле</w:t>
      </w:r>
      <w:proofErr w:type="spellEnd"/>
      <w:r w:rsidRPr="007122AB">
        <w:rPr>
          <w:rFonts w:ascii="Times New Roman" w:hAnsi="Times New Roman"/>
          <w:color w:val="000000" w:themeColor="text1"/>
          <w:sz w:val="16"/>
          <w:szCs w:val="16"/>
        </w:rPr>
        <w:t xml:space="preserve"> и А. Кох — пытались завладеть промышленными секретами по производству химических волокон и пороха (11765).</w:t>
      </w:r>
    </w:p>
    <w:p w14:paraId="446CF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5E2E9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F2DACE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7EB89E"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состоялся первый полет </w:t>
      </w:r>
      <w:proofErr w:type="spellStart"/>
      <w:r w:rsidRPr="007122AB">
        <w:rPr>
          <w:rFonts w:ascii="Times New Roman" w:hAnsi="Times New Roman"/>
          <w:color w:val="000000" w:themeColor="text1"/>
          <w:sz w:val="16"/>
          <w:szCs w:val="16"/>
        </w:rPr>
        <w:t>Cierva</w:t>
      </w:r>
      <w:proofErr w:type="spellEnd"/>
      <w:r w:rsidRPr="007122AB">
        <w:rPr>
          <w:rFonts w:ascii="Times New Roman" w:hAnsi="Times New Roman"/>
          <w:color w:val="000000" w:themeColor="text1"/>
          <w:sz w:val="16"/>
          <w:szCs w:val="16"/>
        </w:rPr>
        <w:t xml:space="preserve"> C.24 (20804).</w:t>
      </w:r>
    </w:p>
    <w:p w14:paraId="6C7D7F87" w14:textId="77777777" w:rsidR="009A15AB" w:rsidRPr="007122AB" w:rsidRDefault="009A15AB" w:rsidP="007122AB">
      <w:pPr>
        <w:spacing w:after="0" w:line="240" w:lineRule="auto"/>
        <w:jc w:val="both"/>
        <w:rPr>
          <w:rFonts w:ascii="Times New Roman" w:hAnsi="Times New Roman"/>
          <w:color w:val="000000" w:themeColor="text1"/>
          <w:sz w:val="16"/>
          <w:szCs w:val="16"/>
        </w:rPr>
      </w:pPr>
    </w:p>
    <w:p w14:paraId="25926118"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состоялся первый полет </w:t>
      </w:r>
      <w:proofErr w:type="spellStart"/>
      <w:r w:rsidRPr="007122AB">
        <w:rPr>
          <w:rFonts w:ascii="Times New Roman" w:hAnsi="Times New Roman"/>
          <w:color w:val="000000" w:themeColor="text1"/>
          <w:sz w:val="16"/>
          <w:szCs w:val="16"/>
        </w:rPr>
        <w:t>Heinkel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w:t>
      </w:r>
      <w:proofErr w:type="spellEnd"/>
      <w:r w:rsidRPr="007122AB">
        <w:rPr>
          <w:rFonts w:ascii="Times New Roman" w:hAnsi="Times New Roman"/>
          <w:color w:val="000000" w:themeColor="text1"/>
          <w:sz w:val="16"/>
          <w:szCs w:val="16"/>
        </w:rPr>
        <w:t xml:space="preserve"> 59 (20804).</w:t>
      </w:r>
    </w:p>
    <w:p w14:paraId="7BA3A3B7" w14:textId="77777777" w:rsidR="009A15AB" w:rsidRPr="007122AB" w:rsidRDefault="009A15AB" w:rsidP="007122AB">
      <w:pPr>
        <w:spacing w:after="0" w:line="240" w:lineRule="auto"/>
        <w:jc w:val="both"/>
        <w:rPr>
          <w:rFonts w:ascii="Times New Roman" w:hAnsi="Times New Roman"/>
          <w:color w:val="000000" w:themeColor="text1"/>
          <w:sz w:val="16"/>
          <w:szCs w:val="16"/>
        </w:rPr>
      </w:pPr>
    </w:p>
    <w:p w14:paraId="4FCCA70E"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года был облетан с колес первый опытный самолет Не 59а, а через четыре месяца на испытания вышел гидросамолет Не 59b, особенностью которого было размещение всех баков в двух деревянных поплавках. Он понра</w:t>
      </w:r>
      <w:r w:rsidRPr="007122AB">
        <w:rPr>
          <w:rFonts w:ascii="Times New Roman" w:hAnsi="Times New Roman"/>
          <w:color w:val="000000" w:themeColor="text1"/>
          <w:sz w:val="16"/>
          <w:szCs w:val="16"/>
        </w:rPr>
        <w:softHyphen/>
        <w:t>вился военным и был включен в список приоритетных боевых самолетов, ут</w:t>
      </w:r>
      <w:r w:rsidRPr="007122AB">
        <w:rPr>
          <w:rFonts w:ascii="Times New Roman" w:hAnsi="Times New Roman"/>
          <w:color w:val="000000" w:themeColor="text1"/>
          <w:sz w:val="16"/>
          <w:szCs w:val="16"/>
        </w:rPr>
        <w:softHyphen/>
        <w:t xml:space="preserve">вержденный в </w:t>
      </w:r>
      <w:proofErr w:type="spellStart"/>
      <w:r w:rsidRPr="007122AB">
        <w:rPr>
          <w:rFonts w:ascii="Times New Roman" w:hAnsi="Times New Roman"/>
          <w:color w:val="000000" w:themeColor="text1"/>
          <w:sz w:val="16"/>
          <w:szCs w:val="16"/>
        </w:rPr>
        <w:t>Рейхсминистерстве</w:t>
      </w:r>
      <w:proofErr w:type="spellEnd"/>
      <w:r w:rsidRPr="007122AB">
        <w:rPr>
          <w:rFonts w:ascii="Times New Roman" w:hAnsi="Times New Roman"/>
          <w:color w:val="000000" w:themeColor="text1"/>
          <w:sz w:val="16"/>
          <w:szCs w:val="16"/>
        </w:rPr>
        <w:t xml:space="preserve"> авиа</w:t>
      </w:r>
      <w:r w:rsidRPr="007122AB">
        <w:rPr>
          <w:rFonts w:ascii="Times New Roman" w:hAnsi="Times New Roman"/>
          <w:color w:val="000000" w:themeColor="text1"/>
          <w:sz w:val="16"/>
          <w:szCs w:val="16"/>
        </w:rPr>
        <w:softHyphen/>
        <w:t>ции 1 января 1934 года.</w:t>
      </w:r>
    </w:p>
    <w:p w14:paraId="79319C6C"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Опытный Не 59 имел много дефек</w:t>
      </w:r>
      <w:r w:rsidRPr="007122AB">
        <w:rPr>
          <w:rFonts w:ascii="Times New Roman" w:hAnsi="Times New Roman"/>
          <w:color w:val="000000" w:themeColor="text1"/>
          <w:sz w:val="16"/>
          <w:szCs w:val="16"/>
        </w:rPr>
        <w:softHyphen/>
        <w:t>тов. Лишь силовая установка не вызыва</w:t>
      </w:r>
      <w:r w:rsidRPr="007122AB">
        <w:rPr>
          <w:rFonts w:ascii="Times New Roman" w:hAnsi="Times New Roman"/>
          <w:color w:val="000000" w:themeColor="text1"/>
          <w:sz w:val="16"/>
          <w:szCs w:val="16"/>
        </w:rPr>
        <w:softHyphen/>
        <w:t>ла особых нареканий — моторы BNW VI уже были освоены в производстве.</w:t>
      </w:r>
    </w:p>
    <w:p w14:paraId="7F4AE15A"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был самый большой на то время самолет Хейнкеля, управление им по</w:t>
      </w:r>
      <w:r w:rsidRPr="007122AB">
        <w:rPr>
          <w:rFonts w:ascii="Times New Roman" w:hAnsi="Times New Roman"/>
          <w:color w:val="000000" w:themeColor="text1"/>
          <w:sz w:val="16"/>
          <w:szCs w:val="16"/>
        </w:rPr>
        <w:softHyphen/>
        <w:t>лучилось «тугим», и в канале элеронов поставили триммеры. Для улучшения устойчивости пришлось увеличивать высоту киля. Обзор из полностью ос</w:t>
      </w:r>
      <w:r w:rsidRPr="007122AB">
        <w:rPr>
          <w:rFonts w:ascii="Times New Roman" w:hAnsi="Times New Roman"/>
          <w:color w:val="000000" w:themeColor="text1"/>
          <w:sz w:val="16"/>
          <w:szCs w:val="16"/>
        </w:rPr>
        <w:softHyphen/>
        <w:t>текленной кабины летчика был плохим, и ее сделали открытой, а в средних час</w:t>
      </w:r>
      <w:r w:rsidRPr="007122AB">
        <w:rPr>
          <w:rFonts w:ascii="Times New Roman" w:hAnsi="Times New Roman"/>
          <w:color w:val="000000" w:themeColor="text1"/>
          <w:sz w:val="16"/>
          <w:szCs w:val="16"/>
        </w:rPr>
        <w:softHyphen/>
        <w:t>тях верхнего и нижнего крыльев «про</w:t>
      </w:r>
      <w:r w:rsidRPr="007122AB">
        <w:rPr>
          <w:rFonts w:ascii="Times New Roman" w:hAnsi="Times New Roman"/>
          <w:color w:val="000000" w:themeColor="text1"/>
          <w:sz w:val="16"/>
          <w:szCs w:val="16"/>
        </w:rPr>
        <w:softHyphen/>
        <w:t>били» вырезы. На опытной машине вначале не было рации, а когда она по</w:t>
      </w:r>
      <w:r w:rsidRPr="007122AB">
        <w:rPr>
          <w:rFonts w:ascii="Times New Roman" w:hAnsi="Times New Roman"/>
          <w:color w:val="000000" w:themeColor="text1"/>
          <w:sz w:val="16"/>
          <w:szCs w:val="16"/>
        </w:rPr>
        <w:softHyphen/>
        <w:t>явилась, пришлось сделать кабину для радиста за местом пилота. С ним эки</w:t>
      </w:r>
      <w:r w:rsidRPr="007122AB">
        <w:rPr>
          <w:rFonts w:ascii="Times New Roman" w:hAnsi="Times New Roman"/>
          <w:color w:val="000000" w:themeColor="text1"/>
          <w:sz w:val="16"/>
          <w:szCs w:val="16"/>
        </w:rPr>
        <w:softHyphen/>
        <w:t xml:space="preserve">паж </w:t>
      </w:r>
      <w:r w:rsidRPr="007122AB">
        <w:rPr>
          <w:rFonts w:ascii="Times New Roman" w:hAnsi="Times New Roman"/>
          <w:color w:val="000000" w:themeColor="text1"/>
          <w:sz w:val="16"/>
          <w:szCs w:val="16"/>
        </w:rPr>
        <w:lastRenderedPageBreak/>
        <w:t>возрос до четырех человек: лет</w:t>
      </w:r>
      <w:r w:rsidRPr="007122AB">
        <w:rPr>
          <w:rFonts w:ascii="Times New Roman" w:hAnsi="Times New Roman"/>
          <w:color w:val="000000" w:themeColor="text1"/>
          <w:sz w:val="16"/>
          <w:szCs w:val="16"/>
        </w:rPr>
        <w:softHyphen/>
        <w:t>чик, штурман-бомбардир, радист и стрелок. Много проблем добавило воору</w:t>
      </w:r>
      <w:r w:rsidRPr="007122AB">
        <w:rPr>
          <w:rFonts w:ascii="Times New Roman" w:hAnsi="Times New Roman"/>
          <w:color w:val="000000" w:themeColor="text1"/>
          <w:sz w:val="16"/>
          <w:szCs w:val="16"/>
        </w:rPr>
        <w:softHyphen/>
        <w:t>жение, особенно торпедное, дальность не удовлетворила заказчика, и конструкторы вынуждены были сделать подвеску в отсек вооруже</w:t>
      </w:r>
      <w:r w:rsidRPr="007122AB">
        <w:rPr>
          <w:rFonts w:ascii="Times New Roman" w:hAnsi="Times New Roman"/>
          <w:color w:val="000000" w:themeColor="text1"/>
          <w:sz w:val="16"/>
          <w:szCs w:val="16"/>
        </w:rPr>
        <w:softHyphen/>
        <w:t>ния двух подвесных баков вместо бомб. К первому заказу на 21 Не 59В-1 вско</w:t>
      </w:r>
      <w:r w:rsidRPr="007122AB">
        <w:rPr>
          <w:rFonts w:ascii="Times New Roman" w:hAnsi="Times New Roman"/>
          <w:color w:val="000000" w:themeColor="text1"/>
          <w:sz w:val="16"/>
          <w:szCs w:val="16"/>
        </w:rPr>
        <w:softHyphen/>
        <w:t>ре добавили следующую партию, подключив фир</w:t>
      </w:r>
      <w:r w:rsidRPr="007122AB">
        <w:rPr>
          <w:rFonts w:ascii="Times New Roman" w:hAnsi="Times New Roman"/>
          <w:color w:val="000000" w:themeColor="text1"/>
          <w:sz w:val="16"/>
          <w:szCs w:val="16"/>
        </w:rPr>
        <w:softHyphen/>
        <w:t>му «</w:t>
      </w:r>
      <w:proofErr w:type="spellStart"/>
      <w:r w:rsidRPr="007122AB">
        <w:rPr>
          <w:rFonts w:ascii="Times New Roman" w:hAnsi="Times New Roman"/>
          <w:color w:val="000000" w:themeColor="text1"/>
          <w:sz w:val="16"/>
          <w:szCs w:val="16"/>
        </w:rPr>
        <w:t>Арадо</w:t>
      </w:r>
      <w:proofErr w:type="spellEnd"/>
      <w:r w:rsidRPr="007122AB">
        <w:rPr>
          <w:rFonts w:ascii="Times New Roman" w:hAnsi="Times New Roman"/>
          <w:color w:val="000000" w:themeColor="text1"/>
          <w:sz w:val="16"/>
          <w:szCs w:val="16"/>
        </w:rPr>
        <w:t>». С ее участием в 1934-1938 годах было пос</w:t>
      </w:r>
      <w:r w:rsidRPr="007122AB">
        <w:rPr>
          <w:rFonts w:ascii="Times New Roman" w:hAnsi="Times New Roman"/>
          <w:color w:val="000000" w:themeColor="text1"/>
          <w:sz w:val="16"/>
          <w:szCs w:val="16"/>
        </w:rPr>
        <w:softHyphen/>
        <w:t>троено 140 серийных Не 59В-1, В-2 с улучшенным оборудованием и разведчи</w:t>
      </w:r>
      <w:r w:rsidRPr="007122AB">
        <w:rPr>
          <w:rFonts w:ascii="Times New Roman" w:hAnsi="Times New Roman"/>
          <w:color w:val="000000" w:themeColor="text1"/>
          <w:sz w:val="16"/>
          <w:szCs w:val="16"/>
        </w:rPr>
        <w:softHyphen/>
        <w:t>ков В-3 без бомбардировоч</w:t>
      </w:r>
      <w:r w:rsidRPr="007122AB">
        <w:rPr>
          <w:rFonts w:ascii="Times New Roman" w:hAnsi="Times New Roman"/>
          <w:color w:val="000000" w:themeColor="text1"/>
          <w:sz w:val="16"/>
          <w:szCs w:val="16"/>
        </w:rPr>
        <w:softHyphen/>
        <w:t>ного вооружения (22805).</w:t>
      </w:r>
    </w:p>
    <w:p w14:paraId="76B43F4A" w14:textId="77777777" w:rsidR="009A15AB" w:rsidRPr="007122AB" w:rsidRDefault="009A15AB" w:rsidP="007122AB">
      <w:pPr>
        <w:spacing w:after="0" w:line="240" w:lineRule="auto"/>
        <w:jc w:val="both"/>
        <w:rPr>
          <w:rFonts w:ascii="Times New Roman" w:hAnsi="Times New Roman"/>
          <w:color w:val="000000" w:themeColor="text1"/>
          <w:sz w:val="16"/>
          <w:szCs w:val="16"/>
        </w:rPr>
      </w:pPr>
    </w:p>
    <w:p w14:paraId="7BECF4FD"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состоялся первый полет Lockheed-Detroit XP-900, прототипа Lockheed-Detroit YP-24 (20804).</w:t>
      </w:r>
    </w:p>
    <w:p w14:paraId="4C7F7888" w14:textId="77777777" w:rsidR="009A15AB" w:rsidRPr="007122AB" w:rsidRDefault="009A15AB" w:rsidP="007122AB">
      <w:pPr>
        <w:spacing w:after="0" w:line="240" w:lineRule="auto"/>
        <w:jc w:val="both"/>
        <w:rPr>
          <w:rFonts w:ascii="Times New Roman" w:hAnsi="Times New Roman"/>
          <w:color w:val="000000" w:themeColor="text1"/>
          <w:sz w:val="16"/>
          <w:szCs w:val="16"/>
        </w:rPr>
      </w:pPr>
    </w:p>
    <w:p w14:paraId="513FE587" w14:textId="77777777" w:rsidR="009A15AB" w:rsidRPr="007122AB" w:rsidRDefault="009A15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летающие лодки </w:t>
      </w:r>
      <w:proofErr w:type="spellStart"/>
      <w:r w:rsidRPr="007122AB">
        <w:rPr>
          <w:rFonts w:ascii="Times New Roman" w:hAnsi="Times New Roman"/>
          <w:color w:val="000000" w:themeColor="text1"/>
          <w:sz w:val="16"/>
          <w:szCs w:val="16"/>
        </w:rPr>
        <w:t>Latecoere</w:t>
      </w:r>
      <w:proofErr w:type="spellEnd"/>
      <w:r w:rsidRPr="007122AB">
        <w:rPr>
          <w:rFonts w:ascii="Times New Roman" w:hAnsi="Times New Roman"/>
          <w:color w:val="000000" w:themeColor="text1"/>
          <w:sz w:val="16"/>
          <w:szCs w:val="16"/>
        </w:rPr>
        <w:t xml:space="preserve"> 380 побили шесть мировых рекордов, в том числе три скорости с нагрузкой по сравнению и дальности по замкнутому маршруту - 2208 километров (1372 миль) (20804).</w:t>
      </w:r>
    </w:p>
    <w:p w14:paraId="1B554A01" w14:textId="77777777" w:rsidR="009A15AB" w:rsidRPr="007122AB" w:rsidRDefault="009A15AB" w:rsidP="007122AB">
      <w:pPr>
        <w:spacing w:after="0" w:line="240" w:lineRule="auto"/>
        <w:jc w:val="both"/>
        <w:rPr>
          <w:rFonts w:ascii="Times New Roman" w:hAnsi="Times New Roman"/>
          <w:color w:val="000000" w:themeColor="text1"/>
          <w:sz w:val="16"/>
          <w:szCs w:val="16"/>
        </w:rPr>
      </w:pPr>
    </w:p>
    <w:p w14:paraId="464EB1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 г. фирма «Виккерс» изготовила два образца танков, различавшихся конструкцией винтов и рулей. Поскольку военное министерство Великобритании от</w:t>
      </w:r>
      <w:r w:rsidRPr="007122AB">
        <w:rPr>
          <w:rFonts w:ascii="Times New Roman" w:hAnsi="Times New Roman"/>
          <w:color w:val="000000" w:themeColor="text1"/>
          <w:sz w:val="16"/>
          <w:szCs w:val="16"/>
        </w:rPr>
        <w:softHyphen/>
        <w:t>казалось от закупки амфибий для оснащения армии, фир</w:t>
      </w:r>
      <w:r w:rsidRPr="007122AB">
        <w:rPr>
          <w:rFonts w:ascii="Times New Roman" w:hAnsi="Times New Roman"/>
          <w:color w:val="000000" w:themeColor="text1"/>
          <w:sz w:val="16"/>
          <w:szCs w:val="16"/>
        </w:rPr>
        <w:softHyphen/>
        <w:t>ма «Виккерс» начала проводить активную рекламную кам</w:t>
      </w:r>
      <w:r w:rsidRPr="007122AB">
        <w:rPr>
          <w:rFonts w:ascii="Times New Roman" w:hAnsi="Times New Roman"/>
          <w:color w:val="000000" w:themeColor="text1"/>
          <w:sz w:val="16"/>
          <w:szCs w:val="16"/>
        </w:rPr>
        <w:softHyphen/>
        <w:t>панию по продвижению нового технического средства в страны «второго мира» (10733,150).</w:t>
      </w:r>
    </w:p>
    <w:p w14:paraId="54089D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D0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г. автожир </w:t>
      </w:r>
      <w:proofErr w:type="spellStart"/>
      <w:r w:rsidRPr="007122AB">
        <w:rPr>
          <w:rFonts w:ascii="Times New Roman" w:hAnsi="Times New Roman"/>
          <w:color w:val="000000" w:themeColor="text1"/>
          <w:sz w:val="16"/>
          <w:szCs w:val="16"/>
        </w:rPr>
        <w:t>Питкерна</w:t>
      </w:r>
      <w:proofErr w:type="spellEnd"/>
      <w:r w:rsidRPr="007122AB">
        <w:rPr>
          <w:rFonts w:ascii="Times New Roman" w:hAnsi="Times New Roman"/>
          <w:color w:val="000000" w:themeColor="text1"/>
          <w:sz w:val="16"/>
          <w:szCs w:val="16"/>
        </w:rPr>
        <w:t xml:space="preserve"> РСА-2 (создавался при непосредственном участии самого </w:t>
      </w:r>
      <w:proofErr w:type="spellStart"/>
      <w:r w:rsidRPr="007122AB">
        <w:rPr>
          <w:rFonts w:ascii="Times New Roman" w:hAnsi="Times New Roman"/>
          <w:color w:val="000000" w:themeColor="text1"/>
          <w:sz w:val="16"/>
          <w:szCs w:val="16"/>
        </w:rPr>
        <w:t>Сиервы</w:t>
      </w:r>
      <w:proofErr w:type="spellEnd"/>
      <w:r w:rsidRPr="007122AB">
        <w:rPr>
          <w:rFonts w:ascii="Times New Roman" w:hAnsi="Times New Roman"/>
          <w:color w:val="000000" w:themeColor="text1"/>
          <w:sz w:val="16"/>
          <w:szCs w:val="16"/>
        </w:rPr>
        <w:t>) впервые продемонстрировал взлет и посадку с палубы авианосца. Но на вооружение необычные аппараты не поступали - небольшая скорость и ненадежность первых машин продолжали оставаться неразрешимыми проблемами (11960).</w:t>
      </w:r>
    </w:p>
    <w:p w14:paraId="7D0045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379C6F"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1931 го</w:t>
      </w:r>
      <w:r w:rsidRPr="00441F34">
        <w:rPr>
          <w:rFonts w:ascii="Times New Roman" w:hAnsi="Times New Roman"/>
          <w:color w:val="0070C0"/>
          <w:sz w:val="16"/>
          <w:szCs w:val="16"/>
        </w:rPr>
        <w:softHyphen/>
        <w:t>да фирма «Фокке-Вульф» была объединена с заводом «Альбатрос» (</w:t>
      </w:r>
      <w:proofErr w:type="spellStart"/>
      <w:r w:rsidRPr="00441F34">
        <w:rPr>
          <w:rFonts w:ascii="Times New Roman" w:hAnsi="Times New Roman"/>
          <w:color w:val="0070C0"/>
          <w:sz w:val="16"/>
          <w:szCs w:val="16"/>
        </w:rPr>
        <w:t>Иоханнисталь</w:t>
      </w:r>
      <w:proofErr w:type="spellEnd"/>
      <w:r w:rsidRPr="00441F34">
        <w:rPr>
          <w:rFonts w:ascii="Times New Roman" w:hAnsi="Times New Roman"/>
          <w:color w:val="0070C0"/>
          <w:sz w:val="16"/>
          <w:szCs w:val="16"/>
        </w:rPr>
        <w:t xml:space="preserve">). Таким образом, был создан концерн «Фокке-Вульф </w:t>
      </w:r>
      <w:proofErr w:type="spellStart"/>
      <w:r w:rsidRPr="00441F34">
        <w:rPr>
          <w:rFonts w:ascii="Times New Roman" w:hAnsi="Times New Roman"/>
          <w:color w:val="0070C0"/>
          <w:sz w:val="16"/>
          <w:szCs w:val="16"/>
        </w:rPr>
        <w:t>Флюгцойгбау</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Г.М.б.Х</w:t>
      </w:r>
      <w:proofErr w:type="spellEnd"/>
      <w:r w:rsidRPr="00441F34">
        <w:rPr>
          <w:rFonts w:ascii="Times New Roman" w:hAnsi="Times New Roman"/>
          <w:color w:val="0070C0"/>
          <w:sz w:val="16"/>
          <w:szCs w:val="16"/>
        </w:rPr>
        <w:t>» (</w:t>
      </w:r>
      <w:proofErr w:type="spellStart"/>
      <w:r w:rsidRPr="00441F34">
        <w:rPr>
          <w:rFonts w:ascii="Times New Roman" w:hAnsi="Times New Roman"/>
          <w:color w:val="0070C0"/>
          <w:sz w:val="16"/>
          <w:szCs w:val="16"/>
        </w:rPr>
        <w:t>Focke-Wuf</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Flugzeugbau</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G.m.b.H</w:t>
      </w:r>
      <w:proofErr w:type="spellEnd"/>
      <w:r w:rsidRPr="00441F34">
        <w:rPr>
          <w:rFonts w:ascii="Times New Roman" w:hAnsi="Times New Roman"/>
          <w:color w:val="0070C0"/>
          <w:sz w:val="16"/>
          <w:szCs w:val="16"/>
        </w:rPr>
        <w:t>), главным конструктором которого с 19З6 г. стал Курт Танк (24188).</w:t>
      </w:r>
    </w:p>
    <w:p w14:paraId="207948AF" w14:textId="77777777" w:rsidR="007F1987" w:rsidRPr="00441F34" w:rsidRDefault="007F1987" w:rsidP="007F1987">
      <w:pPr>
        <w:spacing w:after="0" w:line="240" w:lineRule="auto"/>
        <w:jc w:val="both"/>
        <w:rPr>
          <w:rFonts w:ascii="Times New Roman" w:hAnsi="Times New Roman"/>
          <w:color w:val="0070C0"/>
          <w:sz w:val="16"/>
          <w:szCs w:val="16"/>
        </w:rPr>
      </w:pPr>
    </w:p>
    <w:p w14:paraId="0E8459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 1931 в Китае оппозиционное правительство в </w:t>
      </w:r>
      <w:proofErr w:type="spellStart"/>
      <w:r w:rsidRPr="007122AB">
        <w:rPr>
          <w:rFonts w:ascii="Times New Roman" w:hAnsi="Times New Roman"/>
          <w:color w:val="000000" w:themeColor="text1"/>
          <w:sz w:val="16"/>
          <w:szCs w:val="16"/>
        </w:rPr>
        <w:t>Гуаньчжоу</w:t>
      </w:r>
      <w:proofErr w:type="spellEnd"/>
      <w:r w:rsidRPr="007122AB">
        <w:rPr>
          <w:rFonts w:ascii="Times New Roman" w:hAnsi="Times New Roman"/>
          <w:color w:val="000000" w:themeColor="text1"/>
          <w:sz w:val="16"/>
          <w:szCs w:val="16"/>
        </w:rPr>
        <w:t xml:space="preserve"> послало войска против правительства в Нанкине (3907,168).</w:t>
      </w:r>
    </w:p>
    <w:p w14:paraId="066CF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723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 1931года Манчжурию оккупировала Императорская Япония, разместившая там свои войска и создавшая марионеточное государство Маньчжоу-го (9043).</w:t>
      </w:r>
    </w:p>
    <w:p w14:paraId="63D55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89804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50A8DD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F04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сентябре—октябре 1932 года М.Н. Тухачевский, будучи заместителем наркома по военным и морским делам и председателя РВС, был приглашен германским военным министром </w:t>
      </w:r>
      <w:proofErr w:type="spellStart"/>
      <w:r w:rsidRPr="007122AB">
        <w:rPr>
          <w:rFonts w:ascii="Times New Roman" w:hAnsi="Times New Roman"/>
          <w:color w:val="000000" w:themeColor="text1"/>
          <w:sz w:val="16"/>
          <w:szCs w:val="16"/>
        </w:rPr>
        <w:t>Шлейхером</w:t>
      </w:r>
      <w:proofErr w:type="spellEnd"/>
      <w:r w:rsidRPr="007122AB">
        <w:rPr>
          <w:rFonts w:ascii="Times New Roman" w:hAnsi="Times New Roman"/>
          <w:color w:val="000000" w:themeColor="text1"/>
          <w:sz w:val="16"/>
          <w:szCs w:val="16"/>
        </w:rPr>
        <w:t xml:space="preserve"> на осенние маневры рейхсвера. Вместе с Тухачевским прибыла большая группа красных командиров, в числе которых был командующий войсками Белорусского военного округа И.П. Уборевич. В Германии придавали большое значение визиту военных из СССР. Об этом может свидетельствовать хотя бы тот факт, что красных командиров принял сам президент Веймарской республики П. Гинденбург. Тухачевский знакомился с передовыми образцами немецкой военной техники, включая авиацию. В частности, он побывал на авиационных заводах Х. Юнкерса в Дессау и в </w:t>
      </w:r>
      <w:proofErr w:type="spellStart"/>
      <w:r w:rsidRPr="007122AB">
        <w:rPr>
          <w:rFonts w:ascii="Times New Roman" w:hAnsi="Times New Roman"/>
          <w:color w:val="000000" w:themeColor="text1"/>
          <w:sz w:val="16"/>
          <w:szCs w:val="16"/>
        </w:rPr>
        <w:t>Темпельсгофе</w:t>
      </w:r>
      <w:proofErr w:type="spellEnd"/>
      <w:r w:rsidRPr="007122AB">
        <w:rPr>
          <w:rFonts w:ascii="Times New Roman" w:hAnsi="Times New Roman"/>
          <w:color w:val="000000" w:themeColor="text1"/>
          <w:sz w:val="16"/>
          <w:szCs w:val="16"/>
        </w:rPr>
        <w:t>, имевших испытательные аэродромы, где особое внимание обратил на тяжелый бомбардировщик Ю-52 («Юнкерс-52») и новейший стратосферный самолет (тип самолета в документах не назван), продемонстрировавший полет на высоте 9000 м. Позже в докладе на имя К.Е. Ворошилова Тухачевский отметит: «В этих вопросах «Юнкерс» значительно обогнал ЦАГИ» (Там же. Д. 512. Л. 221.).</w:t>
      </w:r>
    </w:p>
    <w:p w14:paraId="4C332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завершении знакомства с авиационными новинками красному командарму показали германское частное предприятие — Научно-исследовательский аэронавигационный институт (нем. Deutsche </w:t>
      </w:r>
      <w:proofErr w:type="spellStart"/>
      <w:r w:rsidRPr="007122AB">
        <w:rPr>
          <w:rFonts w:ascii="Times New Roman" w:hAnsi="Times New Roman"/>
          <w:color w:val="000000" w:themeColor="text1"/>
          <w:sz w:val="16"/>
          <w:szCs w:val="16"/>
        </w:rPr>
        <w:t>Versuchsanstalt</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fur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Luftfahrt</w:t>
      </w:r>
      <w:proofErr w:type="spellEnd"/>
      <w:r w:rsidRPr="007122AB">
        <w:rPr>
          <w:rFonts w:ascii="Times New Roman" w:hAnsi="Times New Roman"/>
          <w:color w:val="000000" w:themeColor="text1"/>
          <w:sz w:val="16"/>
          <w:szCs w:val="16"/>
        </w:rPr>
        <w:t xml:space="preserve"> — DVL), аналогичный ЦАГИ, располагавшийся в </w:t>
      </w:r>
      <w:proofErr w:type="spellStart"/>
      <w:r w:rsidRPr="007122AB">
        <w:rPr>
          <w:rFonts w:ascii="Times New Roman" w:hAnsi="Times New Roman"/>
          <w:color w:val="000000" w:themeColor="text1"/>
          <w:sz w:val="16"/>
          <w:szCs w:val="16"/>
        </w:rPr>
        <w:t>Адлерсгофе</w:t>
      </w:r>
      <w:proofErr w:type="spellEnd"/>
      <w:r w:rsidRPr="007122AB">
        <w:rPr>
          <w:rFonts w:ascii="Times New Roman" w:hAnsi="Times New Roman"/>
          <w:color w:val="000000" w:themeColor="text1"/>
          <w:sz w:val="16"/>
          <w:szCs w:val="16"/>
        </w:rPr>
        <w:t xml:space="preserve"> близ Берлина. В те годы это был один из крупнейших авиационных институтов. В его задачи входили разработка модификаций существовавших образцов самолетов, моторов, авиационного оборудования, проведение всевозможных испытаний, другие направления развития авиастроения.</w:t>
      </w:r>
    </w:p>
    <w:p w14:paraId="614D51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результатах командировки Тухачевского в Германию К.Е. Ворошилов доложил И.В. Сталину, который, внимательно изучив доклад, сделал следующую резолюцию: «Согласен. Нужно только дать конкретный список образцов — отдельно, и конкретные предложения о техпомощи — тоже отдельно» (Там же. Л. 214.) (11173).</w:t>
      </w:r>
    </w:p>
    <w:p w14:paraId="6E353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B3035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сентябре-ноябре 1932 на ЧМ были проведены дополнительные испытания торпеды АВ-15 (1085,126).</w:t>
      </w:r>
    </w:p>
    <w:p w14:paraId="537FD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84F266"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сентябре-октябре 1931 г., до перехода в ГИРД, стремясь увеличить мощность ракетного двигателя, Цандер начал про</w:t>
      </w:r>
      <w:r w:rsidRPr="00441F34">
        <w:rPr>
          <w:rFonts w:ascii="Times New Roman" w:hAnsi="Times New Roman"/>
          <w:color w:val="0070C0"/>
          <w:sz w:val="16"/>
          <w:szCs w:val="16"/>
        </w:rPr>
        <w:softHyphen/>
        <w:t xml:space="preserve">ектировать ОР-2. Он и Королев хотели установить его на </w:t>
      </w:r>
      <w:proofErr w:type="spellStart"/>
      <w:r w:rsidRPr="00441F34">
        <w:rPr>
          <w:rFonts w:ascii="Times New Roman" w:hAnsi="Times New Roman"/>
          <w:color w:val="0070C0"/>
          <w:sz w:val="16"/>
          <w:szCs w:val="16"/>
        </w:rPr>
        <w:t>планерё</w:t>
      </w:r>
      <w:proofErr w:type="spellEnd"/>
      <w:r w:rsidRPr="00441F34">
        <w:rPr>
          <w:rFonts w:ascii="Times New Roman" w:hAnsi="Times New Roman"/>
          <w:color w:val="0070C0"/>
          <w:sz w:val="16"/>
          <w:szCs w:val="16"/>
        </w:rPr>
        <w:t xml:space="preserve"> конструкции Бориса </w:t>
      </w:r>
      <w:proofErr w:type="spellStart"/>
      <w:r w:rsidRPr="00441F34">
        <w:rPr>
          <w:rFonts w:ascii="Times New Roman" w:hAnsi="Times New Roman"/>
          <w:color w:val="0070C0"/>
          <w:sz w:val="16"/>
          <w:szCs w:val="16"/>
        </w:rPr>
        <w:t>Черановского</w:t>
      </w:r>
      <w:proofErr w:type="spellEnd"/>
      <w:r w:rsidRPr="00441F34">
        <w:rPr>
          <w:rFonts w:ascii="Times New Roman" w:hAnsi="Times New Roman"/>
          <w:color w:val="0070C0"/>
          <w:sz w:val="16"/>
          <w:szCs w:val="16"/>
        </w:rPr>
        <w:t xml:space="preserve"> и таким образом превратить в ракетоплан. Напомню, что по мысли Цандера для полета в кос</w:t>
      </w:r>
      <w:r w:rsidRPr="00441F34">
        <w:rPr>
          <w:rFonts w:ascii="Times New Roman" w:hAnsi="Times New Roman"/>
          <w:color w:val="0070C0"/>
          <w:sz w:val="16"/>
          <w:szCs w:val="16"/>
        </w:rPr>
        <w:softHyphen/>
        <w:t>мос требовался гибридный аппарат с двумя двигателями — внут</w:t>
      </w:r>
      <w:r w:rsidRPr="00441F34">
        <w:rPr>
          <w:rFonts w:ascii="Times New Roman" w:hAnsi="Times New Roman"/>
          <w:color w:val="0070C0"/>
          <w:sz w:val="16"/>
          <w:szCs w:val="16"/>
        </w:rPr>
        <w:softHyphen/>
        <w:t>реннего сгорания и ракетным (23550).</w:t>
      </w:r>
    </w:p>
    <w:p w14:paraId="0F540268" w14:textId="77777777" w:rsidR="007F1987" w:rsidRPr="00441F34" w:rsidRDefault="007F1987" w:rsidP="007F1987">
      <w:pPr>
        <w:spacing w:after="0" w:line="240" w:lineRule="auto"/>
        <w:jc w:val="both"/>
        <w:rPr>
          <w:rFonts w:ascii="Times New Roman" w:hAnsi="Times New Roman"/>
          <w:color w:val="0070C0"/>
          <w:sz w:val="16"/>
          <w:szCs w:val="16"/>
        </w:rPr>
      </w:pPr>
    </w:p>
    <w:p w14:paraId="6A63DFAA" w14:textId="77777777" w:rsidR="00021C0B" w:rsidRPr="007122AB" w:rsidRDefault="00021C0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48859BF" w14:textId="77777777" w:rsidR="00021C0B" w:rsidRPr="007122AB" w:rsidRDefault="00021C0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E7B7D2" w14:textId="77777777" w:rsidR="00021C0B" w:rsidRPr="007122AB" w:rsidRDefault="00021C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сентябре-октябре 1931 г. инженеры Метростроя под руководством </w:t>
      </w:r>
      <w:proofErr w:type="spellStart"/>
      <w:r w:rsidRPr="007122AB">
        <w:rPr>
          <w:rFonts w:ascii="Times New Roman" w:hAnsi="Times New Roman"/>
          <w:color w:val="000000" w:themeColor="text1"/>
          <w:sz w:val="16"/>
          <w:szCs w:val="16"/>
        </w:rPr>
        <w:t>Финкеля</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Ротерт.ы</w:t>
      </w:r>
      <w:proofErr w:type="spellEnd"/>
      <w:r w:rsidRPr="007122AB">
        <w:rPr>
          <w:rFonts w:ascii="Times New Roman" w:hAnsi="Times New Roman"/>
          <w:color w:val="000000" w:themeColor="text1"/>
          <w:sz w:val="16"/>
          <w:szCs w:val="16"/>
        </w:rPr>
        <w:t xml:space="preserve"> были все еще сильно заняты на </w:t>
      </w:r>
      <w:proofErr w:type="spellStart"/>
      <w:r w:rsidRPr="007122AB">
        <w:rPr>
          <w:rFonts w:ascii="Times New Roman" w:hAnsi="Times New Roman"/>
          <w:color w:val="000000" w:themeColor="text1"/>
          <w:sz w:val="16"/>
          <w:szCs w:val="16"/>
        </w:rPr>
        <w:t>Днепрострое</w:t>
      </w:r>
      <w:proofErr w:type="spellEnd"/>
      <w:r w:rsidRPr="007122AB">
        <w:rPr>
          <w:rFonts w:ascii="Times New Roman" w:hAnsi="Times New Roman"/>
          <w:color w:val="000000" w:themeColor="text1"/>
          <w:sz w:val="16"/>
          <w:szCs w:val="16"/>
        </w:rPr>
        <w:t xml:space="preserve">, а здесь занимались прежде всего просмотром принятых от МГЖД материалов и схемы линий метро. О способе строительства поначалу дискуссий не возникало, поскольку берлинский метод, с которым были хорошо знакомы </w:t>
      </w:r>
      <w:proofErr w:type="spellStart"/>
      <w:r w:rsidRPr="007122AB">
        <w:rPr>
          <w:rFonts w:ascii="Times New Roman" w:hAnsi="Times New Roman"/>
          <w:color w:val="000000" w:themeColor="text1"/>
          <w:sz w:val="16"/>
          <w:szCs w:val="16"/>
        </w:rPr>
        <w:t>Финкель</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Шелюбский</w:t>
      </w:r>
      <w:proofErr w:type="spellEnd"/>
      <w:r w:rsidRPr="007122AB">
        <w:rPr>
          <w:rFonts w:ascii="Times New Roman" w:hAnsi="Times New Roman"/>
          <w:color w:val="000000" w:themeColor="text1"/>
          <w:sz w:val="16"/>
          <w:szCs w:val="16"/>
        </w:rPr>
        <w:t>, казался самоочевидным. Профессор Розанов, имевший опыт в сооружении метро по парижскому способу, все еще находился в заключении{395}.</w:t>
      </w:r>
    </w:p>
    <w:p w14:paraId="4D83DF69" w14:textId="77777777" w:rsidR="00021C0B" w:rsidRPr="007122AB" w:rsidRDefault="00021C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Несмотря на заверения, данные Кагановичем на июньском пленуме, поначалу было не вполне ясно, что, собственно говоря, следует строить. До завершения плана реконструкции Москвы было еще далеко, и проектанты не имели представления, на что им следует ориентироваться{396}.Руководство Метростроя с самого начала имело в виду подземный, не зависимый от железной дороги метрополитен. Наркомат путей сообщения был с этим не согласен и требовал соединения метро с пригородными линиями и Северной железной дорогой, для чего требовалось построить тоннели метро большего, железнодорожного, профиля. Профессор Образцов выступал в Моссовете и других организациях за наземную, более дешевую городскую железную дорогу. В октябре 1931 г. он изложил свою позицию в газете «Известия». Инженер </w:t>
      </w:r>
      <w:proofErr w:type="spellStart"/>
      <w:r w:rsidRPr="007122AB">
        <w:rPr>
          <w:rFonts w:ascii="Times New Roman" w:hAnsi="Times New Roman"/>
          <w:color w:val="000000" w:themeColor="text1"/>
          <w:sz w:val="16"/>
          <w:szCs w:val="16"/>
        </w:rPr>
        <w:t>Катцен</w:t>
      </w:r>
      <w:proofErr w:type="spellEnd"/>
      <w:r w:rsidRPr="007122AB">
        <w:rPr>
          <w:rFonts w:ascii="Times New Roman" w:hAnsi="Times New Roman"/>
          <w:color w:val="000000" w:themeColor="text1"/>
          <w:sz w:val="16"/>
          <w:szCs w:val="16"/>
        </w:rPr>
        <w:t xml:space="preserve"> подготовил возражение на эту статью, выступив в защиту метрополитена без соединения с железной дорогой. Редакция «Известий» присоединилась к его точке зрения и объявила дискуссию закрытой. Моссовет смог добиться, чтобы Наркомат путей сообщения перестал оказывать давление на Метрострой{397} (18299).</w:t>
      </w:r>
    </w:p>
    <w:p w14:paraId="571E9D1B" w14:textId="77777777" w:rsidR="00021C0B" w:rsidRPr="007122AB" w:rsidRDefault="00021C0B" w:rsidP="007122AB">
      <w:pPr>
        <w:spacing w:after="0" w:line="240" w:lineRule="auto"/>
        <w:jc w:val="both"/>
        <w:rPr>
          <w:rFonts w:ascii="Times New Roman" w:hAnsi="Times New Roman"/>
          <w:color w:val="000000" w:themeColor="text1"/>
          <w:sz w:val="16"/>
          <w:szCs w:val="16"/>
        </w:rPr>
      </w:pPr>
    </w:p>
    <w:p w14:paraId="4C7DE61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4F176B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6453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был выпущен АИР-5 (1076,824).</w:t>
      </w:r>
    </w:p>
    <w:p w14:paraId="39EAD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490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С.П.К. получил разрешение испытать БИЧ-8, который с 1929 не использовался. На подмосковной станции выполнил 12 полетов и возникла мысль приспособить его под ЖРД (2544,59).</w:t>
      </w:r>
    </w:p>
    <w:p w14:paraId="467E0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06A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рассматривали несколько вариантов усиления вооружения Р-5. В частности, прорабатывали установку второго пулемета ПВ-1 под капотом зеркально первому.</w:t>
      </w:r>
    </w:p>
    <w:p w14:paraId="78EF1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Инженеры Шавров и Можаровский предложили "</w:t>
      </w:r>
      <w:proofErr w:type="spellStart"/>
      <w:r w:rsidRPr="007122AB">
        <w:rPr>
          <w:rFonts w:ascii="Times New Roman" w:hAnsi="Times New Roman"/>
          <w:color w:val="000000" w:themeColor="text1"/>
          <w:sz w:val="16"/>
          <w:szCs w:val="16"/>
        </w:rPr>
        <w:t>подкормовую</w:t>
      </w:r>
      <w:proofErr w:type="spellEnd"/>
      <w:r w:rsidRPr="007122AB">
        <w:rPr>
          <w:rFonts w:ascii="Times New Roman" w:hAnsi="Times New Roman"/>
          <w:color w:val="000000" w:themeColor="text1"/>
          <w:sz w:val="16"/>
          <w:szCs w:val="16"/>
        </w:rPr>
        <w:t>" установку с прицелом- перископом для обстрела части нижней полусферы. Еще раньше поступило предложение опробовать 37-мм полуавтоматическую пушку "</w:t>
      </w:r>
      <w:proofErr w:type="spellStart"/>
      <w:r w:rsidRPr="007122AB">
        <w:rPr>
          <w:rFonts w:ascii="Times New Roman" w:hAnsi="Times New Roman"/>
          <w:color w:val="000000" w:themeColor="text1"/>
          <w:sz w:val="16"/>
          <w:szCs w:val="16"/>
        </w:rPr>
        <w:t>Гочкис</w:t>
      </w:r>
      <w:proofErr w:type="spellEnd"/>
      <w:r w:rsidRPr="007122AB">
        <w:rPr>
          <w:rFonts w:ascii="Times New Roman" w:hAnsi="Times New Roman"/>
          <w:color w:val="000000" w:themeColor="text1"/>
          <w:sz w:val="16"/>
          <w:szCs w:val="16"/>
        </w:rPr>
        <w:t xml:space="preserve">". Но все это не дошло даже до опытных </w:t>
      </w:r>
      <w:proofErr w:type="spellStart"/>
      <w:r w:rsidRPr="007122AB">
        <w:rPr>
          <w:rFonts w:ascii="Times New Roman" w:hAnsi="Times New Roman"/>
          <w:color w:val="000000" w:themeColor="text1"/>
          <w:sz w:val="16"/>
          <w:szCs w:val="16"/>
        </w:rPr>
        <w:t>образцов.Все</w:t>
      </w:r>
      <w:proofErr w:type="spellEnd"/>
      <w:r w:rsidRPr="007122AB">
        <w:rPr>
          <w:rFonts w:ascii="Times New Roman" w:hAnsi="Times New Roman"/>
          <w:color w:val="000000" w:themeColor="text1"/>
          <w:sz w:val="16"/>
          <w:szCs w:val="16"/>
        </w:rPr>
        <w:t xml:space="preserve"> самолеты имели крепления для радиостанций и антенны. Сами станции 13С и генераторы, их питавшие, не устанавливались из-за отсутствия таковых - их производство только разворачивали (11936).</w:t>
      </w:r>
    </w:p>
    <w:p w14:paraId="06640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833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рассматривали несколько вариантов усиления стрелкового вооружения Р-5. Например, прорабатывалась возможность монтажа второго синхронного пулемета ПВ-1. Под руководством инженера Савельева на заводе № 39 спроектировали сначала внутреннюю установку. Второй ПВ-1 монтировался под капотом мотора зеркально первому. В качестве альтернативы проработали более простую наружную установку на правом борту. Там же инженеры Шавров и Можаровский предложили "</w:t>
      </w:r>
      <w:proofErr w:type="spellStart"/>
      <w:r w:rsidRPr="007122AB">
        <w:rPr>
          <w:rFonts w:ascii="Times New Roman" w:hAnsi="Times New Roman"/>
          <w:color w:val="000000" w:themeColor="text1"/>
          <w:sz w:val="16"/>
          <w:szCs w:val="16"/>
        </w:rPr>
        <w:t>подкормовую</w:t>
      </w:r>
      <w:proofErr w:type="spellEnd"/>
      <w:r w:rsidRPr="007122AB">
        <w:rPr>
          <w:rFonts w:ascii="Times New Roman" w:hAnsi="Times New Roman"/>
          <w:color w:val="000000" w:themeColor="text1"/>
          <w:sz w:val="16"/>
          <w:szCs w:val="16"/>
        </w:rPr>
        <w:t xml:space="preserve">" стрелковую установку. Она должна была простреливать "мертвую зону" за хвостом самолета и часть нижней полусферы. Стрелок, сидевший на своем обычном месте, прицеливался через визир-перископ, а пулемет управлялся системой </w:t>
      </w:r>
      <w:proofErr w:type="spellStart"/>
      <w:r w:rsidRPr="007122AB">
        <w:rPr>
          <w:rFonts w:ascii="Times New Roman" w:hAnsi="Times New Roman"/>
          <w:color w:val="000000" w:themeColor="text1"/>
          <w:sz w:val="16"/>
          <w:szCs w:val="16"/>
        </w:rPr>
        <w:t>гяг</w:t>
      </w:r>
      <w:proofErr w:type="spellEnd"/>
      <w:r w:rsidRPr="007122AB">
        <w:rPr>
          <w:rFonts w:ascii="Times New Roman" w:hAnsi="Times New Roman"/>
          <w:color w:val="000000" w:themeColor="text1"/>
          <w:sz w:val="16"/>
          <w:szCs w:val="16"/>
        </w:rPr>
        <w:t>. Еще раньше поступило предложение опробовать на Р-5 37-мм полуавтоматическую пушку "</w:t>
      </w:r>
      <w:proofErr w:type="spellStart"/>
      <w:r w:rsidRPr="007122AB">
        <w:rPr>
          <w:rFonts w:ascii="Times New Roman" w:hAnsi="Times New Roman"/>
          <w:color w:val="000000" w:themeColor="text1"/>
          <w:sz w:val="16"/>
          <w:szCs w:val="16"/>
        </w:rPr>
        <w:t>Гочкис</w:t>
      </w:r>
      <w:proofErr w:type="spellEnd"/>
      <w:r w:rsidRPr="007122AB">
        <w:rPr>
          <w:rFonts w:ascii="Times New Roman" w:hAnsi="Times New Roman"/>
          <w:color w:val="000000" w:themeColor="text1"/>
          <w:sz w:val="16"/>
          <w:szCs w:val="16"/>
        </w:rPr>
        <w:t>". Но эти проекты не дошли даже до стадии опытных образцов.</w:t>
      </w:r>
    </w:p>
    <w:p w14:paraId="105194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выпускавшиеся заводом самолеты имели крепления для радиостанций и антенны. Сами станции I3C и генераторы, их питающие, не устанавливались из-за отсутствия того и другого - серийное производство только разворачиваюсь. Потом уже в строевых частях радио иногда монтировали, но в начале 30-х годов это было редкостью (12034).</w:t>
      </w:r>
    </w:p>
    <w:p w14:paraId="24B08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332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выяснилось, что 25 машина по плану ЦКБ - МБР-2 лишилась двигателя - не прошел испытания М-27 и директор 39 завода решил прекратить работы по проекту </w:t>
      </w:r>
      <w:proofErr w:type="spellStart"/>
      <w:r w:rsidRPr="007122AB">
        <w:rPr>
          <w:rFonts w:ascii="Times New Roman" w:hAnsi="Times New Roman"/>
          <w:color w:val="000000" w:themeColor="text1"/>
          <w:sz w:val="16"/>
          <w:szCs w:val="16"/>
        </w:rPr>
        <w:t>Г.М.Бериева</w:t>
      </w:r>
      <w:proofErr w:type="spellEnd"/>
      <w:r w:rsidRPr="007122AB">
        <w:rPr>
          <w:rFonts w:ascii="Times New Roman" w:hAnsi="Times New Roman"/>
          <w:color w:val="000000" w:themeColor="text1"/>
          <w:sz w:val="16"/>
          <w:szCs w:val="16"/>
        </w:rPr>
        <w:t xml:space="preserve">. Он выбрал М-17 и когда директор отказался - опять жаловался </w:t>
      </w:r>
      <w:proofErr w:type="spellStart"/>
      <w:r w:rsidRPr="007122AB">
        <w:rPr>
          <w:rFonts w:ascii="Times New Roman" w:hAnsi="Times New Roman"/>
          <w:color w:val="000000" w:themeColor="text1"/>
          <w:sz w:val="16"/>
          <w:szCs w:val="16"/>
        </w:rPr>
        <w:t>Н.М.Харламову</w:t>
      </w:r>
      <w:proofErr w:type="spellEnd"/>
      <w:r w:rsidRPr="007122AB">
        <w:rPr>
          <w:rFonts w:ascii="Times New Roman" w:hAnsi="Times New Roman"/>
          <w:color w:val="000000" w:themeColor="text1"/>
          <w:sz w:val="16"/>
          <w:szCs w:val="16"/>
        </w:rPr>
        <w:t xml:space="preserve"> в ВАО (интересно, кем он там был). Тот поручил директору сделать (79,204).</w:t>
      </w:r>
    </w:p>
    <w:p w14:paraId="594D53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так можно выявить того, кто имел шансы на успех в те годы.</w:t>
      </w:r>
    </w:p>
    <w:p w14:paraId="0685B7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E3CA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w:t>
      </w:r>
      <w:proofErr w:type="spellStart"/>
      <w:r w:rsidRPr="007122AB">
        <w:rPr>
          <w:rFonts w:ascii="Times New Roman" w:hAnsi="Times New Roman"/>
          <w:color w:val="000000" w:themeColor="text1"/>
          <w:sz w:val="16"/>
          <w:szCs w:val="16"/>
        </w:rPr>
        <w:t>В.К.Грибовский</w:t>
      </w:r>
      <w:proofErr w:type="spellEnd"/>
      <w:r w:rsidRPr="007122AB">
        <w:rPr>
          <w:rFonts w:ascii="Times New Roman" w:hAnsi="Times New Roman"/>
          <w:color w:val="000000" w:themeColor="text1"/>
          <w:sz w:val="16"/>
          <w:szCs w:val="16"/>
        </w:rPr>
        <w:t xml:space="preserve"> организовал экспериментальные буксирные полеты Г-2бис за У-1 (9080).</w:t>
      </w:r>
    </w:p>
    <w:p w14:paraId="07D89C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F88E21"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Грибовский организует экспериментальные буксирные полеты уже вполне </w:t>
      </w:r>
      <w:proofErr w:type="spellStart"/>
      <w:r w:rsidRPr="007122AB">
        <w:rPr>
          <w:rFonts w:ascii="Times New Roman" w:hAnsi="Times New Roman"/>
          <w:color w:val="000000" w:themeColor="text1"/>
          <w:sz w:val="16"/>
          <w:szCs w:val="16"/>
        </w:rPr>
        <w:t>распостраненного</w:t>
      </w:r>
      <w:proofErr w:type="spellEnd"/>
      <w:r w:rsidRPr="007122AB">
        <w:rPr>
          <w:rFonts w:ascii="Times New Roman" w:hAnsi="Times New Roman"/>
          <w:color w:val="000000" w:themeColor="text1"/>
          <w:sz w:val="16"/>
          <w:szCs w:val="16"/>
        </w:rPr>
        <w:t xml:space="preserve"> планера Г-2бис за самолетом У-1. Одновременно он обучает правилам буксировки еще нескольких летчиков и планеристов.</w:t>
      </w:r>
    </w:p>
    <w:p w14:paraId="2971413C"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Благодаря накопленному опыту зимой 1931-32гг. конструктор приступил к проектированию планеров Г-9 и Г-11, конструктивно и технически приспособленных для полетов на буксире за самолетом.</w:t>
      </w:r>
    </w:p>
    <w:p w14:paraId="78E06BF1"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Г-9 представлял собой одноместный подкосный высокоплан, предназначенный для фигурных полетов.</w:t>
      </w:r>
    </w:p>
    <w:p w14:paraId="5499F1E3"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Одновременно с его созданием Грибовский задумывает организацию дальнего буксировочного полета на этом планере. Для участия в эксперименте он приглашает своего хорошего знакомого и друга, известного летчика </w:t>
      </w:r>
      <w:proofErr w:type="spellStart"/>
      <w:r w:rsidRPr="007122AB">
        <w:rPr>
          <w:rFonts w:ascii="Times New Roman" w:hAnsi="Times New Roman"/>
          <w:color w:val="000000" w:themeColor="text1"/>
          <w:sz w:val="16"/>
          <w:szCs w:val="16"/>
        </w:rPr>
        <w:t>В.А.Степанченка</w:t>
      </w:r>
      <w:proofErr w:type="spellEnd"/>
      <w:r w:rsidRPr="007122AB">
        <w:rPr>
          <w:rFonts w:ascii="Times New Roman" w:hAnsi="Times New Roman"/>
          <w:color w:val="000000" w:themeColor="text1"/>
          <w:sz w:val="16"/>
          <w:szCs w:val="16"/>
        </w:rPr>
        <w:t>. Конечной целью перелета являлся Коктебель, где Г-9 предстояло принять участие в 8-м Всесоюзном слете планеристов и пройти испытания на пилотаж.</w:t>
      </w:r>
    </w:p>
    <w:p w14:paraId="30E17CB0"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сентября 1932 г. воздушный поезд в составе самолета У-2, пилотируемого Грибовским, и планера Г-9, пилотируемого Степанченком, поднялся с Тушинского аэродрома и вскоре прибыл в Крым. Этот первый дальний перелет своим благополучным завершением полностью подтвердил возможность использования буксируемых планеров для транспортных перевозок.</w:t>
      </w:r>
    </w:p>
    <w:p w14:paraId="55794301"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Коктебеле Г-9 прошел дополнительные испытания на высший пилотаж. В итоговых материалах слета, помещенных в журнале «Самолет» №1 за 1933 г., планеру давалась следующая характеристика:</w:t>
      </w:r>
    </w:p>
    <w:p w14:paraId="280C59C0"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«Г-9 конструкции Грибовского явился выдающимся планером слета. Большой запас прочности специально для буксировочных и фигурных полетов незначительно утяжелил планер и не лишил прекрасных летных качеств. Прекрасная устойчивость и легкое управление сделали его излюбленным планером слета».</w:t>
      </w:r>
    </w:p>
    <w:p w14:paraId="7CDBF329"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Высокие полетные и </w:t>
      </w:r>
      <w:proofErr w:type="spellStart"/>
      <w:r w:rsidRPr="007122AB">
        <w:rPr>
          <w:rFonts w:ascii="Times New Roman" w:hAnsi="Times New Roman"/>
          <w:color w:val="000000" w:themeColor="text1"/>
          <w:sz w:val="16"/>
          <w:szCs w:val="16"/>
        </w:rPr>
        <w:t>эксплутационные</w:t>
      </w:r>
      <w:proofErr w:type="spellEnd"/>
      <w:r w:rsidRPr="007122AB">
        <w:rPr>
          <w:rFonts w:ascii="Times New Roman" w:hAnsi="Times New Roman"/>
          <w:color w:val="000000" w:themeColor="text1"/>
          <w:sz w:val="16"/>
          <w:szCs w:val="16"/>
        </w:rPr>
        <w:t xml:space="preserve"> качества предопределили дальнейшую судьбу Г-9. Вплоть до 1939 г. этот планер строился серийно и считался основным тренировочным аппаратом при выполнении буксирных и пилотажных полетов.</w:t>
      </w:r>
    </w:p>
    <w:p w14:paraId="1D0C78FD"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1936 г. серийное производство Г-9 развернулось и в Турции, где советские специалисты среди прочего помогали организовывать спортивный планеризм.</w:t>
      </w:r>
    </w:p>
    <w:p w14:paraId="028A3697"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послевоенные годы, когда понадобился надежный и прочный аппарат для тренировок пилотов тяжелых десантных планеров, о Г-9 вспомнили вновь. На основе одного из сохранившихся экземпляров были восстановлены чертежи, по которым построили небольшую серию Г-9.</w:t>
      </w:r>
    </w:p>
    <w:p w14:paraId="0B5CE692"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процессе эксплуатации Г-9 на нем установили несколько рекордов и выполнили много различных экспериментов. Планерист Симонов в 1934 г. установил всесоюзный рекорд продолжительности полета, налетав без посадки 35 часов 11 минут. Он же, в течение 5 часов выполнил на Г-9 314 фигур высшего пилотажа, в том числе 300 петель и 10 переворотов. Известный советский планерист, впоследствии летчик-испытатель, Герой Советского Союза, </w:t>
      </w:r>
      <w:proofErr w:type="spellStart"/>
      <w:r w:rsidRPr="007122AB">
        <w:rPr>
          <w:rFonts w:ascii="Times New Roman" w:hAnsi="Times New Roman"/>
          <w:color w:val="000000" w:themeColor="text1"/>
          <w:sz w:val="16"/>
          <w:szCs w:val="16"/>
        </w:rPr>
        <w:t>С.Н.Анохин</w:t>
      </w:r>
      <w:proofErr w:type="spellEnd"/>
      <w:r w:rsidRPr="007122AB">
        <w:rPr>
          <w:rFonts w:ascii="Times New Roman" w:hAnsi="Times New Roman"/>
          <w:color w:val="000000" w:themeColor="text1"/>
          <w:sz w:val="16"/>
          <w:szCs w:val="16"/>
        </w:rPr>
        <w:t xml:space="preserve"> вместе с планеристом </w:t>
      </w:r>
      <w:proofErr w:type="spellStart"/>
      <w:r w:rsidRPr="007122AB">
        <w:rPr>
          <w:rFonts w:ascii="Times New Roman" w:hAnsi="Times New Roman"/>
          <w:color w:val="000000" w:themeColor="text1"/>
          <w:sz w:val="16"/>
          <w:szCs w:val="16"/>
        </w:rPr>
        <w:t>Гавришем</w:t>
      </w:r>
      <w:proofErr w:type="spellEnd"/>
      <w:r w:rsidRPr="007122AB">
        <w:rPr>
          <w:rFonts w:ascii="Times New Roman" w:hAnsi="Times New Roman"/>
          <w:color w:val="000000" w:themeColor="text1"/>
          <w:sz w:val="16"/>
          <w:szCs w:val="16"/>
        </w:rPr>
        <w:t xml:space="preserve"> выполнили на Г-9 высший пилотаж и буксировку в перевернутом полете, никогда ранее не выполнявшиеся.</w:t>
      </w:r>
    </w:p>
    <w:p w14:paraId="06062CDC"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1936 г., летчик-испытатель </w:t>
      </w:r>
      <w:proofErr w:type="spellStart"/>
      <w:r w:rsidRPr="007122AB">
        <w:rPr>
          <w:rFonts w:ascii="Times New Roman" w:hAnsi="Times New Roman"/>
          <w:color w:val="000000" w:themeColor="text1"/>
          <w:sz w:val="16"/>
          <w:szCs w:val="16"/>
        </w:rPr>
        <w:t>П.М.Стефановский</w:t>
      </w:r>
      <w:proofErr w:type="spellEnd"/>
      <w:r w:rsidRPr="007122AB">
        <w:rPr>
          <w:rFonts w:ascii="Times New Roman" w:hAnsi="Times New Roman"/>
          <w:color w:val="000000" w:themeColor="text1"/>
          <w:sz w:val="16"/>
          <w:szCs w:val="16"/>
        </w:rPr>
        <w:t xml:space="preserve"> на Г-9, буксируемом истребителем И-15, поднялся на высоту 10360 м. На следующий год, планерист Флеров превысил это достижение, поднявшись на высоту 12105 м. В этом полете буксировщик P-Z шел на высоте 8500 м, а планер имел превышение над самолетом в 3605 м. Возможность такой буксировки обеспечивалась специальной лебедкой, разработанной конструктором </w:t>
      </w:r>
      <w:proofErr w:type="spellStart"/>
      <w:r w:rsidRPr="007122AB">
        <w:rPr>
          <w:rFonts w:ascii="Times New Roman" w:hAnsi="Times New Roman"/>
          <w:color w:val="000000" w:themeColor="text1"/>
          <w:sz w:val="16"/>
          <w:szCs w:val="16"/>
        </w:rPr>
        <w:t>А.Я.Щербаковым</w:t>
      </w:r>
      <w:proofErr w:type="spellEnd"/>
      <w:r w:rsidRPr="007122AB">
        <w:rPr>
          <w:rFonts w:ascii="Times New Roman" w:hAnsi="Times New Roman"/>
          <w:color w:val="000000" w:themeColor="text1"/>
          <w:sz w:val="16"/>
          <w:szCs w:val="16"/>
        </w:rPr>
        <w:t>. В момент старта планер с самолетом связывал стандартный трос длиной 100м. После набора определенной высоты, где воздушная среда была достаточно спокойной, включалась лебедка, которая разматывала тонкую стальную проволоку диаметром 0,2 мм, позволявшую увеличить длину буксира до 7000 м.</w:t>
      </w:r>
    </w:p>
    <w:p w14:paraId="35F3B8C6"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проверки возможности использования планеров в качестве отделяемой кабины стратостатов на случай их аварии также использовали Г-9. Первый опыт состоялся в 1936 г., когда планер с пилотом Бородиным был поднят на высоту около 2500 м.</w:t>
      </w:r>
    </w:p>
    <w:p w14:paraId="62044BBD"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второй раз, 4 июля 1938 г., Г-9 с пилотом </w:t>
      </w:r>
      <w:proofErr w:type="spellStart"/>
      <w:r w:rsidRPr="007122AB">
        <w:rPr>
          <w:rFonts w:ascii="Times New Roman" w:hAnsi="Times New Roman"/>
          <w:color w:val="000000" w:themeColor="text1"/>
          <w:sz w:val="16"/>
          <w:szCs w:val="16"/>
        </w:rPr>
        <w:t>В.Ильченко</w:t>
      </w:r>
      <w:proofErr w:type="spellEnd"/>
      <w:r w:rsidRPr="007122AB">
        <w:rPr>
          <w:rFonts w:ascii="Times New Roman" w:hAnsi="Times New Roman"/>
          <w:color w:val="000000" w:themeColor="text1"/>
          <w:sz w:val="16"/>
          <w:szCs w:val="16"/>
        </w:rPr>
        <w:t xml:space="preserve"> отбуксировали субстратостатом «СССР ВР-61» на высоту 5100 м, после чего произошла благополучная отцепка и возвращение планера к месту старта.</w:t>
      </w:r>
    </w:p>
    <w:p w14:paraId="59DA735E"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2C88B198"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1311E2E6"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Style w:val="affa"/>
        <w:tblW w:w="11328" w:type="dxa"/>
        <w:tblLook w:val="04A0" w:firstRow="1" w:lastRow="0" w:firstColumn="1" w:lastColumn="0" w:noHBand="0" w:noVBand="1"/>
      </w:tblPr>
      <w:tblGrid>
        <w:gridCol w:w="5664"/>
        <w:gridCol w:w="5664"/>
      </w:tblGrid>
      <w:tr w:rsidR="001002C3" w:rsidRPr="007122AB" w14:paraId="367F8758" w14:textId="77777777" w:rsidTr="000D6967">
        <w:tc>
          <w:tcPr>
            <w:tcW w:w="5664" w:type="dxa"/>
          </w:tcPr>
          <w:p w14:paraId="72F42434" w14:textId="3CB9DD95"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Модификация</w:t>
            </w:r>
          </w:p>
        </w:tc>
        <w:tc>
          <w:tcPr>
            <w:tcW w:w="5664" w:type="dxa"/>
          </w:tcPr>
          <w:p w14:paraId="1B1DCEE9" w14:textId="417664E9"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Г-9</w:t>
            </w:r>
          </w:p>
        </w:tc>
      </w:tr>
      <w:tr w:rsidR="001002C3" w:rsidRPr="007122AB" w14:paraId="4B38C458" w14:textId="77777777" w:rsidTr="000D6967">
        <w:tc>
          <w:tcPr>
            <w:tcW w:w="5664" w:type="dxa"/>
          </w:tcPr>
          <w:p w14:paraId="0D7EF635" w14:textId="760A18EE"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крыла, м</w:t>
            </w:r>
          </w:p>
        </w:tc>
        <w:tc>
          <w:tcPr>
            <w:tcW w:w="5664" w:type="dxa"/>
          </w:tcPr>
          <w:p w14:paraId="5AB81529" w14:textId="7C6B5DF0"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12.10</w:t>
            </w:r>
          </w:p>
        </w:tc>
      </w:tr>
      <w:tr w:rsidR="001002C3" w:rsidRPr="007122AB" w14:paraId="5387B1EC" w14:textId="77777777" w:rsidTr="000D6967">
        <w:tc>
          <w:tcPr>
            <w:tcW w:w="5664" w:type="dxa"/>
          </w:tcPr>
          <w:p w14:paraId="128181CE" w14:textId="3DFFCD94"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м</w:t>
            </w:r>
          </w:p>
        </w:tc>
        <w:tc>
          <w:tcPr>
            <w:tcW w:w="5664" w:type="dxa"/>
          </w:tcPr>
          <w:p w14:paraId="0D5D7323" w14:textId="197E7751"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5.77</w:t>
            </w:r>
          </w:p>
        </w:tc>
      </w:tr>
      <w:tr w:rsidR="001002C3" w:rsidRPr="007122AB" w14:paraId="5A50D336" w14:textId="77777777" w:rsidTr="000D6967">
        <w:tc>
          <w:tcPr>
            <w:tcW w:w="5664" w:type="dxa"/>
          </w:tcPr>
          <w:p w14:paraId="64161B1C" w14:textId="23B41C05"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м</w:t>
            </w:r>
          </w:p>
        </w:tc>
        <w:tc>
          <w:tcPr>
            <w:tcW w:w="5664" w:type="dxa"/>
          </w:tcPr>
          <w:p w14:paraId="3F1AE281" w14:textId="4FA3AB21"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1.45</w:t>
            </w:r>
          </w:p>
        </w:tc>
      </w:tr>
      <w:tr w:rsidR="001002C3" w:rsidRPr="007122AB" w14:paraId="0D28116E" w14:textId="77777777" w:rsidTr="000D6967">
        <w:tc>
          <w:tcPr>
            <w:tcW w:w="5664" w:type="dxa"/>
          </w:tcPr>
          <w:p w14:paraId="3F5A164C" w14:textId="54E8FD7C"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м²</w:t>
            </w:r>
          </w:p>
        </w:tc>
        <w:tc>
          <w:tcPr>
            <w:tcW w:w="5664" w:type="dxa"/>
          </w:tcPr>
          <w:p w14:paraId="7E162EEF" w14:textId="0951587D"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13.00</w:t>
            </w:r>
          </w:p>
        </w:tc>
      </w:tr>
      <w:tr w:rsidR="001002C3" w:rsidRPr="007122AB" w14:paraId="3E47E236" w14:textId="77777777" w:rsidTr="000D6967">
        <w:tc>
          <w:tcPr>
            <w:tcW w:w="5664" w:type="dxa"/>
          </w:tcPr>
          <w:p w14:paraId="690B0D80" w14:textId="10BC701B"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tc>
        <w:tc>
          <w:tcPr>
            <w:tcW w:w="5664" w:type="dxa"/>
          </w:tcPr>
          <w:p w14:paraId="6811CADA" w14:textId="2825743B"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11.30</w:t>
            </w:r>
          </w:p>
        </w:tc>
      </w:tr>
      <w:tr w:rsidR="001002C3" w:rsidRPr="007122AB" w14:paraId="61F196A4" w14:textId="77777777" w:rsidTr="000D6967">
        <w:tc>
          <w:tcPr>
            <w:tcW w:w="5664" w:type="dxa"/>
          </w:tcPr>
          <w:p w14:paraId="4F5A1D4C" w14:textId="3FE8CCA8"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Масса, кг</w:t>
            </w:r>
          </w:p>
        </w:tc>
        <w:tc>
          <w:tcPr>
            <w:tcW w:w="5664" w:type="dxa"/>
          </w:tcPr>
          <w:p w14:paraId="4F22C40D" w14:textId="61001EF9"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4AA5F60" w14:textId="77777777" w:rsidTr="000D6967">
        <w:tc>
          <w:tcPr>
            <w:tcW w:w="5664" w:type="dxa"/>
          </w:tcPr>
          <w:p w14:paraId="2AA507AB" w14:textId="5CB11D68"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пустого</w:t>
            </w:r>
          </w:p>
        </w:tc>
        <w:tc>
          <w:tcPr>
            <w:tcW w:w="5664" w:type="dxa"/>
          </w:tcPr>
          <w:p w14:paraId="1823ED5C" w14:textId="11C20EA7"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152</w:t>
            </w:r>
          </w:p>
        </w:tc>
      </w:tr>
      <w:tr w:rsidR="001002C3" w:rsidRPr="007122AB" w14:paraId="684F37EC" w14:textId="77777777" w:rsidTr="000D6967">
        <w:tc>
          <w:tcPr>
            <w:tcW w:w="5664" w:type="dxa"/>
          </w:tcPr>
          <w:p w14:paraId="32ABC477" w14:textId="5CB8D769"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максимальная взлетная</w:t>
            </w:r>
          </w:p>
        </w:tc>
        <w:tc>
          <w:tcPr>
            <w:tcW w:w="5664" w:type="dxa"/>
          </w:tcPr>
          <w:p w14:paraId="029CD48A" w14:textId="3A2CC092"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230</w:t>
            </w:r>
          </w:p>
        </w:tc>
      </w:tr>
      <w:tr w:rsidR="001002C3" w:rsidRPr="007122AB" w14:paraId="11B23322" w14:textId="77777777" w:rsidTr="000D6967">
        <w:tc>
          <w:tcPr>
            <w:tcW w:w="5664" w:type="dxa"/>
          </w:tcPr>
          <w:p w14:paraId="69B8E138" w14:textId="61E46A51" w:rsidR="000D6967" w:rsidRPr="007122AB" w:rsidRDefault="000D6967"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Макс.аэродинамическое</w:t>
            </w:r>
            <w:proofErr w:type="spellEnd"/>
            <w:r w:rsidRPr="007122AB">
              <w:rPr>
                <w:rFonts w:ascii="Times New Roman" w:hAnsi="Times New Roman"/>
                <w:color w:val="000000" w:themeColor="text1"/>
                <w:sz w:val="16"/>
                <w:szCs w:val="16"/>
              </w:rPr>
              <w:t xml:space="preserve"> качество</w:t>
            </w:r>
          </w:p>
        </w:tc>
        <w:tc>
          <w:tcPr>
            <w:tcW w:w="5664" w:type="dxa"/>
          </w:tcPr>
          <w:p w14:paraId="74A50A9D" w14:textId="12CF97FF"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17.50</w:t>
            </w:r>
          </w:p>
        </w:tc>
      </w:tr>
      <w:tr w:rsidR="001002C3" w:rsidRPr="007122AB" w14:paraId="2A6D7D6B" w14:textId="77777777" w:rsidTr="000D6967">
        <w:tc>
          <w:tcPr>
            <w:tcW w:w="5664" w:type="dxa"/>
          </w:tcPr>
          <w:p w14:paraId="4889AD41" w14:textId="4106BAB3"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w:t>
            </w:r>
          </w:p>
        </w:tc>
        <w:tc>
          <w:tcPr>
            <w:tcW w:w="5664" w:type="dxa"/>
          </w:tcPr>
          <w:p w14:paraId="64C8655C" w14:textId="3A352D2F"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w:t>
            </w:r>
          </w:p>
        </w:tc>
      </w:tr>
    </w:tbl>
    <w:p w14:paraId="24D8210C" w14:textId="6384899F"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(12682).</w:t>
      </w:r>
    </w:p>
    <w:p w14:paraId="1278926B" w14:textId="77777777" w:rsidR="00145594" w:rsidRPr="007122AB" w:rsidRDefault="00145594" w:rsidP="007122AB">
      <w:pPr>
        <w:shd w:val="clear" w:color="auto" w:fill="FFFFFF"/>
        <w:spacing w:after="0" w:line="240" w:lineRule="auto"/>
        <w:jc w:val="both"/>
        <w:rPr>
          <w:rFonts w:ascii="Times New Roman" w:hAnsi="Times New Roman"/>
          <w:color w:val="000000" w:themeColor="text1"/>
          <w:sz w:val="16"/>
          <w:szCs w:val="16"/>
        </w:rPr>
      </w:pPr>
    </w:p>
    <w:p w14:paraId="755391C9" w14:textId="77777777" w:rsidR="000D6967" w:rsidRPr="007122AB" w:rsidRDefault="000D696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постройка ЦАГИ 2-ЭА на Заводе опыт</w:t>
      </w:r>
      <w:r w:rsidRPr="007122AB">
        <w:rPr>
          <w:rFonts w:ascii="Times New Roman" w:hAnsi="Times New Roman"/>
          <w:color w:val="000000" w:themeColor="text1"/>
          <w:sz w:val="16"/>
          <w:szCs w:val="16"/>
        </w:rPr>
        <w:softHyphen/>
        <w:t>ных конструкций (ЗОК) завершилась и его передали на ис</w:t>
      </w:r>
      <w:r w:rsidRPr="007122AB">
        <w:rPr>
          <w:rFonts w:ascii="Times New Roman" w:hAnsi="Times New Roman"/>
          <w:color w:val="000000" w:themeColor="text1"/>
          <w:sz w:val="16"/>
          <w:szCs w:val="16"/>
        </w:rPr>
        <w:softHyphen/>
        <w:t>пытания в ОЭЛИД ЦАГИ (Отдел эксплуатации, летных ис</w:t>
      </w:r>
      <w:r w:rsidRPr="007122AB">
        <w:rPr>
          <w:rFonts w:ascii="Times New Roman" w:hAnsi="Times New Roman"/>
          <w:color w:val="000000" w:themeColor="text1"/>
          <w:sz w:val="16"/>
          <w:szCs w:val="16"/>
        </w:rPr>
        <w:softHyphen/>
        <w:t>пытаний и доводки). Первый полет ранним утром 17 ноя</w:t>
      </w:r>
      <w:r w:rsidRPr="007122AB">
        <w:rPr>
          <w:rFonts w:ascii="Times New Roman" w:hAnsi="Times New Roman"/>
          <w:color w:val="000000" w:themeColor="text1"/>
          <w:sz w:val="16"/>
          <w:szCs w:val="16"/>
        </w:rPr>
        <w:softHyphen/>
        <w:t>бря 1931 г. совершил летчик С.А. Корзинщиков. Присутствовали А.М. Черемухин, И.П. Братухин, М.Л. Миль, В.А. Кузнецов, М.А. Тайц. После раскрутки ротора автожир взлетел, сделал несколько кругов над Ходынкой и благо</w:t>
      </w:r>
      <w:r w:rsidRPr="007122AB">
        <w:rPr>
          <w:rFonts w:ascii="Times New Roman" w:hAnsi="Times New Roman"/>
          <w:color w:val="000000" w:themeColor="text1"/>
          <w:sz w:val="16"/>
          <w:szCs w:val="16"/>
        </w:rPr>
        <w:softHyphen/>
        <w:t>получно приземлился. Через несколько дней 2-ЭА произ</w:t>
      </w:r>
      <w:r w:rsidRPr="007122AB">
        <w:rPr>
          <w:rFonts w:ascii="Times New Roman" w:hAnsi="Times New Roman"/>
          <w:color w:val="000000" w:themeColor="text1"/>
          <w:sz w:val="16"/>
          <w:szCs w:val="16"/>
        </w:rPr>
        <w:softHyphen/>
        <w:t>вел облет Москвы в районе ЦАГИ в сопровождении само</w:t>
      </w:r>
      <w:r w:rsidRPr="007122AB">
        <w:rPr>
          <w:rFonts w:ascii="Times New Roman" w:hAnsi="Times New Roman"/>
          <w:color w:val="000000" w:themeColor="text1"/>
          <w:sz w:val="16"/>
          <w:szCs w:val="16"/>
        </w:rPr>
        <w:softHyphen/>
        <w:t>лета Р-5. Все сотрудники ЦАГИ и опытного завода высы</w:t>
      </w:r>
      <w:r w:rsidRPr="007122AB">
        <w:rPr>
          <w:rFonts w:ascii="Times New Roman" w:hAnsi="Times New Roman"/>
          <w:color w:val="000000" w:themeColor="text1"/>
          <w:sz w:val="16"/>
          <w:szCs w:val="16"/>
        </w:rPr>
        <w:softHyphen/>
        <w:t>пали на улицу, чтобы посмотреть летящий в небе автожир, созданный при их участии (20361).</w:t>
      </w:r>
    </w:p>
    <w:p w14:paraId="220CC7E1" w14:textId="77777777" w:rsidR="000D6967" w:rsidRPr="007122AB" w:rsidRDefault="000D6967" w:rsidP="007122AB">
      <w:pPr>
        <w:shd w:val="clear" w:color="auto" w:fill="FFFFFF"/>
        <w:spacing w:after="0" w:line="240" w:lineRule="auto"/>
        <w:jc w:val="both"/>
        <w:rPr>
          <w:rFonts w:ascii="Times New Roman" w:hAnsi="Times New Roman"/>
          <w:color w:val="000000" w:themeColor="text1"/>
          <w:sz w:val="16"/>
          <w:szCs w:val="16"/>
        </w:rPr>
      </w:pPr>
    </w:p>
    <w:p w14:paraId="5F5CBFF4" w14:textId="77777777" w:rsidR="000D6967" w:rsidRPr="007122AB" w:rsidRDefault="000D6967" w:rsidP="007122AB">
      <w:pPr>
        <w:pStyle w:val="520"/>
        <w:shd w:val="clear" w:color="auto" w:fill="auto"/>
        <w:spacing w:line="240" w:lineRule="auto"/>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lang w:val="ru-RU"/>
        </w:rPr>
        <w:t>О</w:t>
      </w:r>
      <w:r w:rsidRPr="007122AB">
        <w:rPr>
          <w:rFonts w:ascii="Times New Roman" w:hAnsi="Times New Roman" w:cs="Times New Roman"/>
          <w:color w:val="000000" w:themeColor="text1"/>
          <w:sz w:val="16"/>
          <w:szCs w:val="16"/>
        </w:rPr>
        <w:t>сенью 1931 года в план опытного самолетостроения был включен «Автожир М- 22» со сроком передачи на госиспытания 1 января 1933 года. Однако инновационный, говоря современным языком,</w:t>
      </w:r>
      <w:r w:rsidRPr="007122AB">
        <w:rPr>
          <w:rFonts w:ascii="Times New Roman" w:hAnsi="Times New Roman" w:cs="Times New Roman"/>
          <w:color w:val="000000" w:themeColor="text1"/>
          <w:sz w:val="16"/>
          <w:szCs w:val="16"/>
          <w:lang w:val="ru-RU"/>
        </w:rPr>
        <w:t xml:space="preserve"> </w:t>
      </w:r>
      <w:r w:rsidRPr="007122AB">
        <w:rPr>
          <w:rFonts w:ascii="Times New Roman" w:hAnsi="Times New Roman" w:cs="Times New Roman"/>
          <w:color w:val="000000" w:themeColor="text1"/>
          <w:sz w:val="16"/>
          <w:szCs w:val="16"/>
        </w:rPr>
        <w:t>характер про</w:t>
      </w:r>
      <w:r w:rsidRPr="007122AB">
        <w:rPr>
          <w:rFonts w:ascii="Times New Roman" w:hAnsi="Times New Roman" w:cs="Times New Roman"/>
          <w:color w:val="000000" w:themeColor="text1"/>
          <w:sz w:val="16"/>
          <w:szCs w:val="16"/>
        </w:rPr>
        <w:softHyphen/>
        <w:t>ектных решений породил серьезные пробле</w:t>
      </w:r>
      <w:r w:rsidRPr="007122AB">
        <w:rPr>
          <w:rFonts w:ascii="Times New Roman" w:hAnsi="Times New Roman" w:cs="Times New Roman"/>
          <w:color w:val="000000" w:themeColor="text1"/>
          <w:sz w:val="16"/>
          <w:szCs w:val="16"/>
        </w:rPr>
        <w:softHyphen/>
        <w:t>мы при разработке и постройке нового аппа</w:t>
      </w:r>
      <w:r w:rsidRPr="007122AB">
        <w:rPr>
          <w:rFonts w:ascii="Times New Roman" w:hAnsi="Times New Roman" w:cs="Times New Roman"/>
          <w:color w:val="000000" w:themeColor="text1"/>
          <w:sz w:val="16"/>
          <w:szCs w:val="16"/>
        </w:rPr>
        <w:softHyphen/>
        <w:t>рата. Плановый срок выдержать не удалось</w:t>
      </w:r>
      <w:r w:rsidRPr="007122AB">
        <w:rPr>
          <w:rFonts w:ascii="Times New Roman" w:hAnsi="Times New Roman" w:cs="Times New Roman"/>
          <w:color w:val="000000" w:themeColor="text1"/>
          <w:sz w:val="16"/>
          <w:szCs w:val="16"/>
          <w:lang w:val="ru-RU"/>
        </w:rPr>
        <w:t xml:space="preserve"> (19868)</w:t>
      </w:r>
      <w:r w:rsidRPr="007122AB">
        <w:rPr>
          <w:rFonts w:ascii="Times New Roman" w:hAnsi="Times New Roman" w:cs="Times New Roman"/>
          <w:color w:val="000000" w:themeColor="text1"/>
          <w:sz w:val="16"/>
          <w:szCs w:val="16"/>
        </w:rPr>
        <w:t>.</w:t>
      </w:r>
    </w:p>
    <w:p w14:paraId="043CDCD8" w14:textId="77777777" w:rsidR="000D6967" w:rsidRPr="007122AB" w:rsidRDefault="000D6967" w:rsidP="007122AB">
      <w:pPr>
        <w:pStyle w:val="520"/>
        <w:shd w:val="clear" w:color="auto" w:fill="auto"/>
        <w:spacing w:line="240" w:lineRule="auto"/>
        <w:rPr>
          <w:rFonts w:ascii="Times New Roman" w:hAnsi="Times New Roman" w:cs="Times New Roman"/>
          <w:color w:val="000000" w:themeColor="text1"/>
          <w:sz w:val="16"/>
          <w:szCs w:val="16"/>
        </w:rPr>
      </w:pPr>
    </w:p>
    <w:p w14:paraId="3695CA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был подготовлен:</w:t>
      </w:r>
    </w:p>
    <w:p w14:paraId="2B79AF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ОПЫТНОГО СТРОИТЕЛЬСТВА ПО ТИПАМ, МОГУЩИМ БЫТЬ ВНЕДРЕННЫМ В ПРОИЗВОДСТВО В 1933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134"/>
        <w:gridCol w:w="2126"/>
      </w:tblGrid>
      <w:tr w:rsidR="001002C3" w:rsidRPr="007122AB" w14:paraId="398E2580" w14:textId="77777777">
        <w:tc>
          <w:tcPr>
            <w:tcW w:w="2660" w:type="dxa"/>
            <w:tcBorders>
              <w:top w:val="single" w:sz="12" w:space="0" w:color="auto"/>
            </w:tcBorders>
          </w:tcPr>
          <w:p w14:paraId="764B1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w:t>
            </w:r>
          </w:p>
        </w:tc>
        <w:tc>
          <w:tcPr>
            <w:tcW w:w="1134" w:type="dxa"/>
            <w:tcBorders>
              <w:top w:val="single" w:sz="12" w:space="0" w:color="auto"/>
            </w:tcBorders>
          </w:tcPr>
          <w:p w14:paraId="399E9D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12" w:space="0" w:color="auto"/>
            </w:tcBorders>
          </w:tcPr>
          <w:p w14:paraId="1513F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C8055C" w14:textId="77777777">
        <w:tc>
          <w:tcPr>
            <w:tcW w:w="2660" w:type="dxa"/>
          </w:tcPr>
          <w:p w14:paraId="1D4168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 с нагнетателем</w:t>
            </w:r>
          </w:p>
        </w:tc>
        <w:tc>
          <w:tcPr>
            <w:tcW w:w="1134" w:type="dxa"/>
          </w:tcPr>
          <w:p w14:paraId="715AAC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600 </w:t>
            </w:r>
            <w:proofErr w:type="spellStart"/>
            <w:r w:rsidRPr="007122AB">
              <w:rPr>
                <w:rFonts w:ascii="Times New Roman" w:hAnsi="Times New Roman"/>
                <w:color w:val="000000" w:themeColor="text1"/>
                <w:sz w:val="16"/>
                <w:szCs w:val="16"/>
              </w:rPr>
              <w:t>нр</w:t>
            </w:r>
            <w:proofErr w:type="spellEnd"/>
          </w:p>
        </w:tc>
        <w:tc>
          <w:tcPr>
            <w:tcW w:w="2126" w:type="dxa"/>
          </w:tcPr>
          <w:p w14:paraId="3EAB3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госиспытание 15/УШ-32</w:t>
            </w:r>
          </w:p>
        </w:tc>
      </w:tr>
      <w:tr w:rsidR="001002C3" w:rsidRPr="007122AB" w14:paraId="7E49DCFB" w14:textId="77777777">
        <w:tc>
          <w:tcPr>
            <w:tcW w:w="2660" w:type="dxa"/>
          </w:tcPr>
          <w:p w14:paraId="19827B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М42 с нагнетателем и редуктором</w:t>
            </w:r>
          </w:p>
        </w:tc>
        <w:tc>
          <w:tcPr>
            <w:tcW w:w="1134" w:type="dxa"/>
          </w:tcPr>
          <w:p w14:paraId="3DCF93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600 </w:t>
            </w:r>
            <w:proofErr w:type="spellStart"/>
            <w:r w:rsidRPr="007122AB">
              <w:rPr>
                <w:rFonts w:ascii="Times New Roman" w:hAnsi="Times New Roman"/>
                <w:color w:val="000000" w:themeColor="text1"/>
                <w:sz w:val="16"/>
                <w:szCs w:val="16"/>
              </w:rPr>
              <w:t>нр</w:t>
            </w:r>
            <w:proofErr w:type="spellEnd"/>
          </w:p>
        </w:tc>
        <w:tc>
          <w:tcPr>
            <w:tcW w:w="2126" w:type="dxa"/>
          </w:tcPr>
          <w:p w14:paraId="5F4F3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1/П-32</w:t>
            </w:r>
          </w:p>
        </w:tc>
      </w:tr>
      <w:tr w:rsidR="001002C3" w:rsidRPr="007122AB" w14:paraId="73A3F6F0" w14:textId="77777777">
        <w:tc>
          <w:tcPr>
            <w:tcW w:w="2660" w:type="dxa"/>
          </w:tcPr>
          <w:p w14:paraId="72AF7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М48</w:t>
            </w:r>
          </w:p>
        </w:tc>
        <w:tc>
          <w:tcPr>
            <w:tcW w:w="1134" w:type="dxa"/>
          </w:tcPr>
          <w:p w14:paraId="5098AA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165</w:t>
            </w:r>
          </w:p>
        </w:tc>
        <w:tc>
          <w:tcPr>
            <w:tcW w:w="2126" w:type="dxa"/>
          </w:tcPr>
          <w:p w14:paraId="0BE1E1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1/УШ-32</w:t>
            </w:r>
          </w:p>
        </w:tc>
      </w:tr>
      <w:tr w:rsidR="001002C3" w:rsidRPr="007122AB" w14:paraId="55D0A96B" w14:textId="77777777">
        <w:tc>
          <w:tcPr>
            <w:tcW w:w="2660" w:type="dxa"/>
          </w:tcPr>
          <w:p w14:paraId="744552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p>
        </w:tc>
        <w:tc>
          <w:tcPr>
            <w:tcW w:w="1134" w:type="dxa"/>
          </w:tcPr>
          <w:p w14:paraId="2287F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2126" w:type="dxa"/>
          </w:tcPr>
          <w:p w14:paraId="54943C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1/У1-32</w:t>
            </w:r>
          </w:p>
        </w:tc>
      </w:tr>
      <w:tr w:rsidR="001002C3" w:rsidRPr="007122AB" w14:paraId="4A601649" w14:textId="77777777">
        <w:tc>
          <w:tcPr>
            <w:tcW w:w="2660" w:type="dxa"/>
          </w:tcPr>
          <w:p w14:paraId="41006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w:t>
            </w:r>
          </w:p>
        </w:tc>
        <w:tc>
          <w:tcPr>
            <w:tcW w:w="1134" w:type="dxa"/>
          </w:tcPr>
          <w:p w14:paraId="4691B7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350-400</w:t>
            </w:r>
          </w:p>
        </w:tc>
        <w:tc>
          <w:tcPr>
            <w:tcW w:w="2126" w:type="dxa"/>
          </w:tcPr>
          <w:p w14:paraId="5F3334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1/Х-32</w:t>
            </w:r>
          </w:p>
        </w:tc>
      </w:tr>
      <w:tr w:rsidR="001002C3" w:rsidRPr="007122AB" w14:paraId="4AAA2F7F" w14:textId="77777777">
        <w:tc>
          <w:tcPr>
            <w:tcW w:w="2660" w:type="dxa"/>
          </w:tcPr>
          <w:p w14:paraId="6343C0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w:t>
            </w:r>
          </w:p>
        </w:tc>
        <w:tc>
          <w:tcPr>
            <w:tcW w:w="1134" w:type="dxa"/>
          </w:tcPr>
          <w:p w14:paraId="3933D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E81C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8BCCD00" w14:textId="77777777">
        <w:tc>
          <w:tcPr>
            <w:tcW w:w="2660" w:type="dxa"/>
          </w:tcPr>
          <w:p w14:paraId="7DED0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134" w:type="dxa"/>
          </w:tcPr>
          <w:p w14:paraId="09A3C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B4748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1/Х1-32</w:t>
            </w:r>
          </w:p>
        </w:tc>
      </w:tr>
      <w:tr w:rsidR="001002C3" w:rsidRPr="007122AB" w14:paraId="05897459" w14:textId="77777777">
        <w:tc>
          <w:tcPr>
            <w:tcW w:w="2660" w:type="dxa"/>
          </w:tcPr>
          <w:p w14:paraId="6E1148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И18М22</w:t>
            </w:r>
          </w:p>
        </w:tc>
        <w:tc>
          <w:tcPr>
            <w:tcW w:w="1134" w:type="dxa"/>
          </w:tcPr>
          <w:p w14:paraId="2805E6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64C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1/У1-33</w:t>
            </w:r>
          </w:p>
        </w:tc>
      </w:tr>
      <w:tr w:rsidR="001002C3" w:rsidRPr="007122AB" w14:paraId="6C6792ED" w14:textId="77777777">
        <w:tc>
          <w:tcPr>
            <w:tcW w:w="2660" w:type="dxa"/>
          </w:tcPr>
          <w:p w14:paraId="05411F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И14М38</w:t>
            </w:r>
          </w:p>
        </w:tc>
        <w:tc>
          <w:tcPr>
            <w:tcW w:w="1134" w:type="dxa"/>
          </w:tcPr>
          <w:p w14:paraId="2E708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E1B6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15/Ш-33</w:t>
            </w:r>
          </w:p>
        </w:tc>
      </w:tr>
      <w:tr w:rsidR="001002C3" w:rsidRPr="007122AB" w14:paraId="58CE9694" w14:textId="77777777">
        <w:tc>
          <w:tcPr>
            <w:tcW w:w="2660" w:type="dxa"/>
          </w:tcPr>
          <w:p w14:paraId="5C7C8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?М48</w:t>
            </w:r>
          </w:p>
        </w:tc>
        <w:tc>
          <w:tcPr>
            <w:tcW w:w="1134" w:type="dxa"/>
          </w:tcPr>
          <w:p w14:paraId="2FBCC5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7E2F4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1/Ш-33</w:t>
            </w:r>
          </w:p>
        </w:tc>
      </w:tr>
      <w:tr w:rsidR="001002C3" w:rsidRPr="007122AB" w14:paraId="5EC35A9D" w14:textId="77777777">
        <w:tc>
          <w:tcPr>
            <w:tcW w:w="2660" w:type="dxa"/>
          </w:tcPr>
          <w:p w14:paraId="08739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К77М34</w:t>
            </w:r>
          </w:p>
        </w:tc>
        <w:tc>
          <w:tcPr>
            <w:tcW w:w="1134" w:type="dxa"/>
          </w:tcPr>
          <w:p w14:paraId="553AC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A2093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1/У-32</w:t>
            </w:r>
          </w:p>
        </w:tc>
      </w:tr>
      <w:tr w:rsidR="001002C3" w:rsidRPr="007122AB" w14:paraId="7B202BD1" w14:textId="77777777">
        <w:tc>
          <w:tcPr>
            <w:tcW w:w="2660" w:type="dxa"/>
          </w:tcPr>
          <w:p w14:paraId="07781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w:t>
            </w:r>
          </w:p>
        </w:tc>
        <w:tc>
          <w:tcPr>
            <w:tcW w:w="1134" w:type="dxa"/>
          </w:tcPr>
          <w:p w14:paraId="2575E1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5F2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1/УП-32</w:t>
            </w:r>
          </w:p>
        </w:tc>
      </w:tr>
      <w:tr w:rsidR="001002C3" w:rsidRPr="007122AB" w14:paraId="1046B4E8" w14:textId="77777777">
        <w:tc>
          <w:tcPr>
            <w:tcW w:w="2660" w:type="dxa"/>
          </w:tcPr>
          <w:p w14:paraId="1C3DE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w:t>
            </w:r>
          </w:p>
        </w:tc>
        <w:tc>
          <w:tcPr>
            <w:tcW w:w="1134" w:type="dxa"/>
          </w:tcPr>
          <w:p w14:paraId="0CC8E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67CD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1/1Х-32</w:t>
            </w:r>
          </w:p>
        </w:tc>
      </w:tr>
      <w:tr w:rsidR="001002C3" w:rsidRPr="007122AB" w14:paraId="430CE1CD" w14:textId="77777777">
        <w:tc>
          <w:tcPr>
            <w:tcW w:w="2660" w:type="dxa"/>
          </w:tcPr>
          <w:p w14:paraId="0396F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АвтожирМ-22</w:t>
            </w:r>
          </w:p>
        </w:tc>
        <w:tc>
          <w:tcPr>
            <w:tcW w:w="1134" w:type="dxa"/>
          </w:tcPr>
          <w:p w14:paraId="50C3A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DDA8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1/1-33</w:t>
            </w:r>
          </w:p>
        </w:tc>
      </w:tr>
      <w:tr w:rsidR="00365C94" w:rsidRPr="007122AB" w14:paraId="125E4D12" w14:textId="77777777">
        <w:tc>
          <w:tcPr>
            <w:tcW w:w="2660" w:type="dxa"/>
            <w:tcBorders>
              <w:bottom w:val="single" w:sz="12" w:space="0" w:color="auto"/>
            </w:tcBorders>
          </w:tcPr>
          <w:p w14:paraId="603F4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23М52</w:t>
            </w:r>
          </w:p>
        </w:tc>
        <w:tc>
          <w:tcPr>
            <w:tcW w:w="1134" w:type="dxa"/>
            <w:tcBorders>
              <w:bottom w:val="single" w:sz="12" w:space="0" w:color="auto"/>
            </w:tcBorders>
          </w:tcPr>
          <w:p w14:paraId="76515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28EC7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1/У-33 (2329)</w:t>
            </w:r>
          </w:p>
        </w:tc>
      </w:tr>
    </w:tbl>
    <w:p w14:paraId="46BF6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5686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w:t>
      </w:r>
      <w:proofErr w:type="spellStart"/>
      <w:r w:rsidRPr="007122AB">
        <w:rPr>
          <w:rFonts w:ascii="Times New Roman" w:hAnsi="Times New Roman"/>
          <w:color w:val="000000" w:themeColor="text1"/>
          <w:sz w:val="16"/>
          <w:szCs w:val="16"/>
        </w:rPr>
        <w:t>Гипроспецмета</w:t>
      </w:r>
      <w:proofErr w:type="spellEnd"/>
      <w:r w:rsidRPr="007122AB">
        <w:rPr>
          <w:rFonts w:ascii="Times New Roman" w:hAnsi="Times New Roman"/>
          <w:color w:val="000000" w:themeColor="text1"/>
          <w:sz w:val="16"/>
          <w:szCs w:val="16"/>
        </w:rPr>
        <w:t xml:space="preserve">. Основное производство </w:t>
      </w:r>
      <w:proofErr w:type="spellStart"/>
      <w:r w:rsidRPr="007122AB">
        <w:rPr>
          <w:rFonts w:ascii="Times New Roman" w:hAnsi="Times New Roman"/>
          <w:color w:val="000000" w:themeColor="text1"/>
          <w:sz w:val="16"/>
          <w:szCs w:val="16"/>
        </w:rPr>
        <w:t>Гипроспецмета</w:t>
      </w:r>
      <w:proofErr w:type="spellEnd"/>
      <w:r w:rsidRPr="007122AB">
        <w:rPr>
          <w:rFonts w:ascii="Times New Roman" w:hAnsi="Times New Roman"/>
          <w:color w:val="000000" w:themeColor="text1"/>
          <w:sz w:val="16"/>
          <w:szCs w:val="16"/>
        </w:rPr>
        <w:t xml:space="preserve"> и управление находилось в Ленинграде. В марте 1932 года </w:t>
      </w:r>
      <w:proofErr w:type="spellStart"/>
      <w:r w:rsidRPr="007122AB">
        <w:rPr>
          <w:rFonts w:ascii="Times New Roman" w:hAnsi="Times New Roman"/>
          <w:color w:val="000000" w:themeColor="text1"/>
          <w:sz w:val="16"/>
          <w:szCs w:val="16"/>
        </w:rPr>
        <w:t>Гипроспецмет</w:t>
      </w:r>
      <w:proofErr w:type="spellEnd"/>
      <w:r w:rsidRPr="007122AB">
        <w:rPr>
          <w:rFonts w:ascii="Times New Roman" w:hAnsi="Times New Roman"/>
          <w:color w:val="000000" w:themeColor="text1"/>
          <w:sz w:val="16"/>
          <w:szCs w:val="16"/>
        </w:rPr>
        <w:t xml:space="preserve"> разделился на две независимые проектные организации. За орудийно-арсенальным сектором сохранилось название </w:t>
      </w:r>
      <w:proofErr w:type="spellStart"/>
      <w:r w:rsidRPr="007122AB">
        <w:rPr>
          <w:rFonts w:ascii="Times New Roman" w:hAnsi="Times New Roman"/>
          <w:color w:val="000000" w:themeColor="text1"/>
          <w:sz w:val="16"/>
          <w:szCs w:val="16"/>
        </w:rPr>
        <w:t>Гипроспецмет</w:t>
      </w:r>
      <w:proofErr w:type="spellEnd"/>
      <w:r w:rsidRPr="007122AB">
        <w:rPr>
          <w:rFonts w:ascii="Times New Roman" w:hAnsi="Times New Roman"/>
          <w:color w:val="000000" w:themeColor="text1"/>
          <w:sz w:val="16"/>
          <w:szCs w:val="16"/>
        </w:rPr>
        <w:t xml:space="preserve">. Самолетный сектор стал ядром проектного института авиапромышленности. Новому институту приказом по ГУАП – НКТП было присвоено название </w:t>
      </w:r>
      <w:proofErr w:type="spellStart"/>
      <w:r w:rsidRPr="007122AB">
        <w:rPr>
          <w:rFonts w:ascii="Times New Roman" w:hAnsi="Times New Roman"/>
          <w:color w:val="000000" w:themeColor="text1"/>
          <w:sz w:val="16"/>
          <w:szCs w:val="16"/>
        </w:rPr>
        <w:t>Гипроавиа</w:t>
      </w:r>
      <w:proofErr w:type="spellEnd"/>
      <w:r w:rsidRPr="007122AB">
        <w:rPr>
          <w:rFonts w:ascii="Times New Roman" w:hAnsi="Times New Roman"/>
          <w:color w:val="000000" w:themeColor="text1"/>
          <w:sz w:val="16"/>
          <w:szCs w:val="16"/>
        </w:rPr>
        <w:t>.</w:t>
      </w:r>
    </w:p>
    <w:p w14:paraId="0D7282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Институт </w:t>
      </w:r>
      <w:proofErr w:type="spellStart"/>
      <w:r w:rsidRPr="007122AB">
        <w:rPr>
          <w:rFonts w:ascii="Times New Roman" w:hAnsi="Times New Roman"/>
          <w:color w:val="000000" w:themeColor="text1"/>
          <w:sz w:val="16"/>
          <w:szCs w:val="16"/>
        </w:rPr>
        <w:t>Гипроавиа</w:t>
      </w:r>
      <w:proofErr w:type="spellEnd"/>
      <w:r w:rsidRPr="007122AB">
        <w:rPr>
          <w:rFonts w:ascii="Times New Roman" w:hAnsi="Times New Roman"/>
          <w:color w:val="000000" w:themeColor="text1"/>
          <w:sz w:val="16"/>
          <w:szCs w:val="16"/>
        </w:rPr>
        <w:t xml:space="preserve"> возник в результате слияния двух групп:</w:t>
      </w:r>
    </w:p>
    <w:p w14:paraId="7D07B2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самолетной группы </w:t>
      </w:r>
      <w:proofErr w:type="spellStart"/>
      <w:r w:rsidRPr="007122AB">
        <w:rPr>
          <w:rFonts w:ascii="Times New Roman" w:hAnsi="Times New Roman"/>
          <w:color w:val="000000" w:themeColor="text1"/>
          <w:sz w:val="16"/>
          <w:szCs w:val="16"/>
        </w:rPr>
        <w:t>Гипроспецмета</w:t>
      </w:r>
      <w:proofErr w:type="spellEnd"/>
    </w:p>
    <w:p w14:paraId="2B5D1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группы сотрудников ВАО.</w:t>
      </w:r>
    </w:p>
    <w:p w14:paraId="2E974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C989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051EE2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0CF67C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6712C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9A8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при Осоавиахиме сформировалась ГИРД (группа по изучению реактивного движения), называвшаяся вначале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ЦентрГИРД</w:t>
      </w:r>
      <w:proofErr w:type="spellEnd"/>
      <w:r w:rsidRPr="007122AB">
        <w:rPr>
          <w:rFonts w:ascii="Times New Roman" w:hAnsi="Times New Roman"/>
          <w:color w:val="000000" w:themeColor="text1"/>
          <w:sz w:val="16"/>
          <w:szCs w:val="16"/>
        </w:rPr>
        <w:t xml:space="preserve">. Вначале группа располагалась в Москве, в подвале дома № 19 по ул. Садово-Черногрязской, вместе с ЦКБ по планерам Осоавиахима, которое возглавлял Антонов. ГИРД состояла из 4 бригад, занимавшихся разработкой жидкостных двигателей для ракетоплана, жидкостных баллистических ракет, ПВРД, газодинамических испытательных установок, ракетопланов и крылатых ракет. Руководителями бригад были </w:t>
      </w:r>
      <w:proofErr w:type="spellStart"/>
      <w:r w:rsidRPr="007122AB">
        <w:rPr>
          <w:rFonts w:ascii="Times New Roman" w:hAnsi="Times New Roman"/>
          <w:color w:val="000000" w:themeColor="text1"/>
          <w:sz w:val="16"/>
          <w:szCs w:val="16"/>
        </w:rPr>
        <w:t>Ф.А.Цандер</w:t>
      </w:r>
      <w:proofErr w:type="spellEnd"/>
      <w:r w:rsidRPr="007122AB">
        <w:rPr>
          <w:rFonts w:ascii="Times New Roman" w:hAnsi="Times New Roman"/>
          <w:color w:val="000000" w:themeColor="text1"/>
          <w:sz w:val="16"/>
          <w:szCs w:val="16"/>
        </w:rPr>
        <w:t xml:space="preserve">, М.К. Тихонравов (бригада № 2), Ю.А. Победоносцев, С.П. Королев, который был и начальником </w:t>
      </w:r>
      <w:proofErr w:type="spellStart"/>
      <w:r w:rsidRPr="007122AB">
        <w:rPr>
          <w:rFonts w:ascii="Times New Roman" w:hAnsi="Times New Roman"/>
          <w:color w:val="000000" w:themeColor="text1"/>
          <w:sz w:val="16"/>
          <w:szCs w:val="16"/>
        </w:rPr>
        <w:t>ГИРДа</w:t>
      </w:r>
      <w:proofErr w:type="spellEnd"/>
      <w:r w:rsidRPr="007122AB">
        <w:rPr>
          <w:rFonts w:ascii="Times New Roman" w:hAnsi="Times New Roman"/>
          <w:color w:val="000000" w:themeColor="text1"/>
          <w:sz w:val="16"/>
          <w:szCs w:val="16"/>
        </w:rPr>
        <w:t xml:space="preserve">. Здесь также работал Б.И. </w:t>
      </w:r>
      <w:proofErr w:type="spellStart"/>
      <w:r w:rsidRPr="007122AB">
        <w:rPr>
          <w:rFonts w:ascii="Times New Roman" w:hAnsi="Times New Roman"/>
          <w:color w:val="000000" w:themeColor="text1"/>
          <w:sz w:val="16"/>
          <w:szCs w:val="16"/>
        </w:rPr>
        <w:t>Черановский</w:t>
      </w:r>
      <w:proofErr w:type="spellEnd"/>
      <w:r w:rsidRPr="007122AB">
        <w:rPr>
          <w:rFonts w:ascii="Times New Roman" w:hAnsi="Times New Roman"/>
          <w:color w:val="000000" w:themeColor="text1"/>
          <w:sz w:val="16"/>
          <w:szCs w:val="16"/>
        </w:rPr>
        <w:t>.</w:t>
      </w:r>
    </w:p>
    <w:p w14:paraId="008EE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17.08.1933 г. запущена первая советская ракета с двигателем Цандера.</w:t>
      </w:r>
    </w:p>
    <w:p w14:paraId="05939B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 на базе ГИРД в Москве образовался РНИИ. Королев стал зам. начальника РНИИ. В 1934 г. в него вошла ленинградская ГДЛ.</w:t>
      </w:r>
    </w:p>
    <w:p w14:paraId="0AC103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1937 г. создан ракетоплан «318» с двигателем ОРМ-65 конструкции Глушко.</w:t>
      </w:r>
    </w:p>
    <w:p w14:paraId="29A473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1937 г. Королев арестован, отбывал срок на Колыме, на прииске </w:t>
      </w:r>
      <w:proofErr w:type="spellStart"/>
      <w:r w:rsidRPr="007122AB">
        <w:rPr>
          <w:rFonts w:ascii="Times New Roman" w:hAnsi="Times New Roman"/>
          <w:color w:val="000000" w:themeColor="text1"/>
          <w:sz w:val="16"/>
          <w:szCs w:val="16"/>
        </w:rPr>
        <w:t>Мальдяк</w:t>
      </w:r>
      <w:proofErr w:type="spellEnd"/>
      <w:r w:rsidRPr="007122AB">
        <w:rPr>
          <w:rFonts w:ascii="Times New Roman" w:hAnsi="Times New Roman"/>
          <w:color w:val="000000" w:themeColor="text1"/>
          <w:sz w:val="16"/>
          <w:szCs w:val="16"/>
        </w:rPr>
        <w:t xml:space="preserve">. После организации ЦКБ-29 НКВД переведен на работу туда, в 1942 г. переведен в ОКБ-29 НКВД в Казань. В 1942-46 г. был зам. гл. конструктора ОКБ-29 НКВД по летным испытаниям. В 09.1944 г. еще работал в 4-м спецотделе НКВД на заводе № 16 (разработаны проекты баллистической и крылатой ракет Д-1 и Д-2 с РДТТ и проекты Д-3 и Д-4 с ЖРД).59 </w:t>
      </w:r>
    </w:p>
    <w:p w14:paraId="24DCE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08.1946 г. в НИИ-88 образовано СКБ (специальное), отдел № 3 которого по разработке баллистических ракет возглавил Королев. 16.06.1950 г. отдел преобразован в ОКБ-1 при НИИ-88 МВ. Начальником/ гл. конструктором назначен С.П. Королев. В 1948 г. после ликвидации своего ОКБ-499 замом к Королеву пришел П.В. Цыбин, занимался испытаниями ракет Р-1, Р-2.</w:t>
      </w:r>
    </w:p>
    <w:p w14:paraId="49755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14.05.1956 г. ОКБ-1 с опытным заводом № 88 выделяется в самостоятельное предприятие- ОКБ-1 МОП (разделительный акт подписан 1.10.1956 г.).77 </w:t>
      </w:r>
    </w:p>
    <w:p w14:paraId="36124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6.11.1965 г. ОКБ-1 ГКОТ передано в подчинение 3ГУ МОМ и по приказу от 6.03.1966 г. преобразовано в ЦКБ ЭМ (экспериментального машиностроения). Этим же приказом Опытный завод ОКБ-1 был переименован в Завод экспериментального машиностроения (ЗЭМ). Структурно в это время ЦКБЭМ состояло из тематических комплексов, состоящих из группы отделов. Комплексы возглавлялись заместителями гл. конструктора. Главными темами были: Н1-Л3, «Союз» (7К-ОК), 7К-Л1, ракета РТ-2.</w:t>
      </w:r>
    </w:p>
    <w:p w14:paraId="76D5A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началом масштабных работ по Н1-Л3, «Союз» ЦКБЭМ было реконструировано: построены новые контрольно-испытательный, монтажно-испытательный корпуса для крупных конструкций. На второй территории (вдоль </w:t>
      </w:r>
      <w:proofErr w:type="spellStart"/>
      <w:r w:rsidRPr="007122AB">
        <w:rPr>
          <w:rFonts w:ascii="Times New Roman" w:hAnsi="Times New Roman"/>
          <w:color w:val="000000" w:themeColor="text1"/>
          <w:sz w:val="16"/>
          <w:szCs w:val="16"/>
        </w:rPr>
        <w:t>Болшевского</w:t>
      </w:r>
      <w:proofErr w:type="spellEnd"/>
      <w:r w:rsidRPr="007122AB">
        <w:rPr>
          <w:rFonts w:ascii="Times New Roman" w:hAnsi="Times New Roman"/>
          <w:color w:val="000000" w:themeColor="text1"/>
          <w:sz w:val="16"/>
          <w:szCs w:val="16"/>
        </w:rPr>
        <w:t xml:space="preserve"> ш.) построен инженерный корпус, здания ОКБ.</w:t>
      </w:r>
    </w:p>
    <w:p w14:paraId="7DDF2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1955 г. для ускорения создания ИСЗ из НИИ-4 МО в ОКБ-1 переведена часть сотрудников группы М.К. Тихонравова (К.П. Феоктистов, И.К. </w:t>
      </w:r>
      <w:proofErr w:type="spellStart"/>
      <w:r w:rsidRPr="007122AB">
        <w:rPr>
          <w:rFonts w:ascii="Times New Roman" w:hAnsi="Times New Roman"/>
          <w:color w:val="000000" w:themeColor="text1"/>
          <w:sz w:val="16"/>
          <w:szCs w:val="16"/>
        </w:rPr>
        <w:t>Бажинов</w:t>
      </w:r>
      <w:proofErr w:type="spellEnd"/>
      <w:r w:rsidRPr="007122AB">
        <w:rPr>
          <w:rFonts w:ascii="Times New Roman" w:hAnsi="Times New Roman"/>
          <w:color w:val="000000" w:themeColor="text1"/>
          <w:sz w:val="16"/>
          <w:szCs w:val="16"/>
        </w:rPr>
        <w:t>, Г.Ю. Максимов, А.В. Солдатова), а в 1956 г. к Королеву перешел и М.К. Тихонравов.77 30.01.1956 г. вышло постановление правительства о начале практических работ по созданию первого ИСЗ, 3.09.1956 г.- постановление о кооперации исполнителей. ОКБ-1 определено головной организацией по созданию ИСЗ. Весной 1957гю организован проектный отдел КА под руководством М.К. Тихонравова. 7.02.1957 г.- постановление правительства о запуске первого ИСЗ.</w:t>
      </w:r>
    </w:p>
    <w:p w14:paraId="75EB25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1950-х г. в ОКБ-1 из НИИ-1 переведена группа Б.В. Раушенбаха для разработки систем ориентации и управления блока «Е» лунного корабля.</w:t>
      </w:r>
    </w:p>
    <w:p w14:paraId="5911FC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ГКОТ от 3.07.1959 г. в состав ОКБ-1 влился ЦНИИ-58 МОП.</w:t>
      </w:r>
    </w:p>
    <w:p w14:paraId="221A18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постановлению СМ от 23.06.1960 г. организовано три филиала: № 1- СКБ-385 на заводе № 385 (руководитель- В. Макеев); Восточный филиал № 2- на Красноярском механическом заводе (руководитель- М.Ф. Решетнев, с 1961 г.- самостоятельное ОКБ-10); филиал № 3- на базе отдела № 25 при заводе № 1 в Куйбышеве. Руководитель - Д.И. Козлов. В 1967 г. филиал № 3 получил название Куйбышевский филиал ЦКБЭМ. По приказу МОМ от 30.06.1974 г. филиал преобразован в самостоятельное ЦСКБ, а из него часть коллектива выделена в новый филиал при заводе под руководством Б. Пензина.. </w:t>
      </w:r>
    </w:p>
    <w:p w14:paraId="5E2CF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1964 г. создан проектный отдел № 93 для проектирования лунного и орбитального КК (начальник- И.С. Прудников).</w:t>
      </w:r>
    </w:p>
    <w:p w14:paraId="7D5B31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Существовал отдел ЖРД и двигательных установок (начальник (1960-е)- М.В. Мельников). Создан первый отечественный двигатель с дожиганием топлива С1.5400.</w:t>
      </w:r>
    </w:p>
    <w:p w14:paraId="2E7B7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Имеет свой отряд космонавтов, созданный 23.05.1966 г.</w:t>
      </w:r>
    </w:p>
    <w:p w14:paraId="5205F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Кроме БР, велись работы по стратегическим крылатым ракетам. В соответствии с постановлением СМ № 957-409 от 20.05.1954 г. работы по КР переданы в МАП. В связи </w:t>
      </w:r>
      <w:proofErr w:type="spellStart"/>
      <w:r w:rsidRPr="007122AB">
        <w:rPr>
          <w:rFonts w:ascii="Times New Roman" w:hAnsi="Times New Roman"/>
          <w:color w:val="000000" w:themeColor="text1"/>
          <w:sz w:val="16"/>
          <w:szCs w:val="16"/>
        </w:rPr>
        <w:t>сэтим</w:t>
      </w:r>
      <w:proofErr w:type="spellEnd"/>
      <w:r w:rsidRPr="007122AB">
        <w:rPr>
          <w:rFonts w:ascii="Times New Roman" w:hAnsi="Times New Roman"/>
          <w:color w:val="000000" w:themeColor="text1"/>
          <w:sz w:val="16"/>
          <w:szCs w:val="16"/>
        </w:rPr>
        <w:t xml:space="preserve"> из ОКБ-1 в МАП ушли разработчики КР А.С. Будник, И.И. </w:t>
      </w:r>
      <w:proofErr w:type="spellStart"/>
      <w:r w:rsidRPr="007122AB">
        <w:rPr>
          <w:rFonts w:ascii="Times New Roman" w:hAnsi="Times New Roman"/>
          <w:color w:val="000000" w:themeColor="text1"/>
          <w:sz w:val="16"/>
          <w:szCs w:val="16"/>
        </w:rPr>
        <w:t>Моишев</w:t>
      </w:r>
      <w:proofErr w:type="spellEnd"/>
      <w:r w:rsidRPr="007122AB">
        <w:rPr>
          <w:rFonts w:ascii="Times New Roman" w:hAnsi="Times New Roman"/>
          <w:color w:val="000000" w:themeColor="text1"/>
          <w:sz w:val="16"/>
          <w:szCs w:val="16"/>
        </w:rPr>
        <w:t xml:space="preserve">, И.М. </w:t>
      </w:r>
      <w:proofErr w:type="spellStart"/>
      <w:r w:rsidRPr="007122AB">
        <w:rPr>
          <w:rFonts w:ascii="Times New Roman" w:hAnsi="Times New Roman"/>
          <w:color w:val="000000" w:themeColor="text1"/>
          <w:sz w:val="16"/>
          <w:szCs w:val="16"/>
        </w:rPr>
        <w:t>Лисович</w:t>
      </w:r>
      <w:proofErr w:type="spellEnd"/>
      <w:r w:rsidRPr="007122AB">
        <w:rPr>
          <w:rFonts w:ascii="Times New Roman" w:hAnsi="Times New Roman"/>
          <w:color w:val="000000" w:themeColor="text1"/>
          <w:sz w:val="16"/>
          <w:szCs w:val="16"/>
        </w:rPr>
        <w:t xml:space="preserve"> и др.</w:t>
      </w:r>
    </w:p>
    <w:p w14:paraId="49CA9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постановлению правительства от 10.1954 г.- создание головной части для Р-2 с боевыми радиоактивными веществами (тема «Генератор»).</w:t>
      </w:r>
    </w:p>
    <w:p w14:paraId="7B3526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постановлениями СМ СССР от 7.05.1947 г. и 14.04.1948 г. велась разработка ракеты Р-3 (проект- 1949 г.).</w:t>
      </w:r>
    </w:p>
    <w:p w14:paraId="41146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СМ СССР от 02.1952 г. разработка ракеты Р-5 (8А62). По постановлению СМ СССР от 04.1954 г. разработка Р-5М (8К51, 8К52) с ядерной БЧ. По распоряжениям правительства от 08 и 11.1954 г. создание головной части для Р-5 с боевыми радиоактивными веществами (тема «Генератор-5»). Постановлением СМ СССР от 06.1956 г. Р-5М принята на вооружение.КР-4/03 </w:t>
      </w:r>
    </w:p>
    <w:p w14:paraId="46DC44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правительства от 20(30).05.1954 г. началась разработка Р-7. </w:t>
      </w:r>
    </w:p>
    <w:p w14:paraId="0B3BEA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4.12.1950 г. было принято постановление правительства о проведении НИР по темам Н1, Н2, Н3. Постановлением от 10.12.1959 г. было предусмотрено создание ракет для полета к Луне. В соответствии с постановлением правительства от 05.1960 г. и 23.06.1960 г. началась разработка тяжелых РН Н-1 (11А52), Н2 и пилотируемого корабля для полета к Луне КЛ. 24.09.1962 г.- постановление правительства о создании лунной ракеты Н1 с началом испытаний в 1965 г. Далее по лунной программе были Постановления от 19.06.1964 г. (о переносе срока испытаний на 1966 г.), от 27.07.1964 г. и от 3.08.1964 г.- по разработке пилотируемого комплекса Л3. После 4-х неудачных запусков Н1 в соответствии с решением от 15.05.1974 г. и приказом от 24.06.1974 г. все работы по лунной программе были прекращены.</w:t>
      </w:r>
    </w:p>
    <w:p w14:paraId="149EB1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Решением правительства от 22.05.1959 г. утверждена разработка пилотируемого корабля «Восток».</w:t>
      </w:r>
    </w:p>
    <w:p w14:paraId="270D1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1960-65 г. совместно с ФЭИ разработан проект ядерного электроракетного двигателя ЯЭРД- 2200 мощностью 2200 кВт для полета на Марс. </w:t>
      </w:r>
    </w:p>
    <w:p w14:paraId="3B3C59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правительства от 25.10.1965 г. «О сосредоточении сил…на создании ракетно-космических средств для облета Луны» ЦКБЭМ определено головной организацией по созданию пилотируемого КК 7К-Л1 с разгонным блоком «Д». Приказом МОМ от 13.11.1965 г. </w:t>
      </w:r>
      <w:proofErr w:type="spellStart"/>
      <w:r w:rsidRPr="007122AB">
        <w:rPr>
          <w:rFonts w:ascii="Times New Roman" w:hAnsi="Times New Roman"/>
          <w:color w:val="000000" w:themeColor="text1"/>
          <w:sz w:val="16"/>
          <w:szCs w:val="16"/>
        </w:rPr>
        <w:t>усановлен</w:t>
      </w:r>
      <w:proofErr w:type="spellEnd"/>
      <w:r w:rsidRPr="007122AB">
        <w:rPr>
          <w:rFonts w:ascii="Times New Roman" w:hAnsi="Times New Roman"/>
          <w:color w:val="000000" w:themeColor="text1"/>
          <w:sz w:val="16"/>
          <w:szCs w:val="16"/>
        </w:rPr>
        <w:t xml:space="preserve"> срок завершения </w:t>
      </w:r>
      <w:proofErr w:type="spellStart"/>
      <w:r w:rsidRPr="007122AB">
        <w:rPr>
          <w:rFonts w:ascii="Times New Roman" w:hAnsi="Times New Roman"/>
          <w:color w:val="000000" w:themeColor="text1"/>
          <w:sz w:val="16"/>
          <w:szCs w:val="16"/>
        </w:rPr>
        <w:t>авнпроекта</w:t>
      </w:r>
      <w:proofErr w:type="spellEnd"/>
      <w:r w:rsidRPr="007122AB">
        <w:rPr>
          <w:rFonts w:ascii="Times New Roman" w:hAnsi="Times New Roman"/>
          <w:color w:val="000000" w:themeColor="text1"/>
          <w:sz w:val="16"/>
          <w:szCs w:val="16"/>
        </w:rPr>
        <w:t xml:space="preserve">- конец 1965 г. Руководитель работ по 7К-Л1- Б.А. Дорофеев, затем- Е.В. </w:t>
      </w:r>
      <w:proofErr w:type="spellStart"/>
      <w:r w:rsidRPr="007122AB">
        <w:rPr>
          <w:rFonts w:ascii="Times New Roman" w:hAnsi="Times New Roman"/>
          <w:color w:val="000000" w:themeColor="text1"/>
          <w:sz w:val="16"/>
          <w:szCs w:val="16"/>
        </w:rPr>
        <w:t>Шабаров</w:t>
      </w:r>
      <w:proofErr w:type="spellEnd"/>
      <w:r w:rsidRPr="007122AB">
        <w:rPr>
          <w:rFonts w:ascii="Times New Roman" w:hAnsi="Times New Roman"/>
          <w:color w:val="000000" w:themeColor="text1"/>
          <w:sz w:val="16"/>
          <w:szCs w:val="16"/>
        </w:rPr>
        <w:t>; зам. руководителя- Б.Н. Филин, Б.И. Зуйков, Н.И. Зеленщиков; ведущий конструктор (1965 г.)- Б.В. Рублев, (05.1967 г.-)- Ю.П. Семенов.</w:t>
      </w:r>
    </w:p>
    <w:p w14:paraId="153CA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12.1973 г. вышло первое решение ВПК «О проведении работ по МКС», в </w:t>
      </w:r>
      <w:proofErr w:type="spellStart"/>
      <w:r w:rsidRPr="007122AB">
        <w:rPr>
          <w:rFonts w:ascii="Times New Roman" w:hAnsi="Times New Roman"/>
          <w:color w:val="000000" w:themeColor="text1"/>
          <w:sz w:val="16"/>
          <w:szCs w:val="16"/>
        </w:rPr>
        <w:t>сответствии</w:t>
      </w:r>
      <w:proofErr w:type="spellEnd"/>
      <w:r w:rsidRPr="007122AB">
        <w:rPr>
          <w:rFonts w:ascii="Times New Roman" w:hAnsi="Times New Roman"/>
          <w:color w:val="000000" w:themeColor="text1"/>
          <w:sz w:val="16"/>
          <w:szCs w:val="16"/>
        </w:rPr>
        <w:t xml:space="preserve"> с которым в 1974 г. были разработаны технические предложения. В 1975 г. начались проектные исследования по многоразовой системе «Энергия-Буран». На основании Постановления ЦК КПСС и СМ СССР № 132-51от 17.02.1976 г. «О создании МКС в составе разгонной ступени, ОС, межорбитального буксира-корабля…» НПО «Энергия» определено головной организацией по созданию комплекса «Энергия-Буран». Создан стенд для электрических испытаний ОК «Буран». Постановлением от 21.11.1977 г. утверждены сроки выполнения работ: </w:t>
      </w:r>
      <w:proofErr w:type="spellStart"/>
      <w:r w:rsidRPr="007122AB">
        <w:rPr>
          <w:rFonts w:ascii="Times New Roman" w:hAnsi="Times New Roman"/>
          <w:color w:val="000000" w:themeColor="text1"/>
          <w:sz w:val="16"/>
          <w:szCs w:val="16"/>
        </w:rPr>
        <w:t>техпроект</w:t>
      </w:r>
      <w:proofErr w:type="spellEnd"/>
      <w:r w:rsidRPr="007122AB">
        <w:rPr>
          <w:rFonts w:ascii="Times New Roman" w:hAnsi="Times New Roman"/>
          <w:color w:val="000000" w:themeColor="text1"/>
          <w:sz w:val="16"/>
          <w:szCs w:val="16"/>
        </w:rPr>
        <w:t>- 1-й квартал 1978 г., конструкторская документация по РН- 1978 г., по «Бурану»- 1980 г.</w:t>
      </w:r>
    </w:p>
    <w:p w14:paraId="522628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постановлением от 21.05.1974 г. на базе ЦКБ ЭМ создано НПО «Энергия», в составе которого: Головное КБ (ГКБ), ЗЭМ, Волжский филиал, НПО «Энергомаш» (с КБ, опытным заводом и филиалами). </w:t>
      </w:r>
    </w:p>
    <w:p w14:paraId="1CF0A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После создания НПО были введены должности гл. конструкторов по направлениям: </w:t>
      </w:r>
      <w:proofErr w:type="spellStart"/>
      <w:r w:rsidRPr="007122AB">
        <w:rPr>
          <w:rFonts w:ascii="Times New Roman" w:hAnsi="Times New Roman"/>
          <w:color w:val="000000" w:themeColor="text1"/>
          <w:sz w:val="16"/>
          <w:szCs w:val="16"/>
        </w:rPr>
        <w:t>Я.Коляко</w:t>
      </w:r>
      <w:proofErr w:type="spellEnd"/>
      <w:r w:rsidRPr="007122AB">
        <w:rPr>
          <w:rFonts w:ascii="Times New Roman" w:hAnsi="Times New Roman"/>
          <w:color w:val="000000" w:themeColor="text1"/>
          <w:sz w:val="16"/>
          <w:szCs w:val="16"/>
        </w:rPr>
        <w:t xml:space="preserve"> (многоцелевые тяжелые РН); И.Н. Садовский, затем- Б.И. Губанов (многоразовые транспортные космические системы); Ю.П. Семенов (орбитальные станции); И. Прудников (лунный комплекс). К. Бушуев назначен директором/ гл. конструктором программы «Союз-Аполлон». В состав НПО входили комплексы (1974 г.): - проектно-исследовательский по системам управления № 3 (руководитель- В. Легостаев); -проектно-конструкторский № 4 (В. Калашников); -расчетно-теоретический (Г. Дегтяренко); -бортовых систем (В. Овчинников); -по технической, стартовой позиции и экспериментальным установкам (А. Абрамов); -по бортовой энергетике (М. Мельников); -по материаловедению (А. Северов); - по наземной экспериментальной отработке (А. </w:t>
      </w:r>
      <w:proofErr w:type="spellStart"/>
      <w:r w:rsidRPr="007122AB">
        <w:rPr>
          <w:rFonts w:ascii="Times New Roman" w:hAnsi="Times New Roman"/>
          <w:color w:val="000000" w:themeColor="text1"/>
          <w:sz w:val="16"/>
          <w:szCs w:val="16"/>
        </w:rPr>
        <w:t>Ржанов</w:t>
      </w:r>
      <w:proofErr w:type="spellEnd"/>
      <w:r w:rsidRPr="007122AB">
        <w:rPr>
          <w:rFonts w:ascii="Times New Roman" w:hAnsi="Times New Roman"/>
          <w:color w:val="000000" w:themeColor="text1"/>
          <w:sz w:val="16"/>
          <w:szCs w:val="16"/>
        </w:rPr>
        <w:t xml:space="preserve">); -по подготовке и проведению летных испытаний (Е.В. </w:t>
      </w:r>
      <w:proofErr w:type="spellStart"/>
      <w:r w:rsidRPr="007122AB">
        <w:rPr>
          <w:rFonts w:ascii="Times New Roman" w:hAnsi="Times New Roman"/>
          <w:color w:val="000000" w:themeColor="text1"/>
          <w:sz w:val="16"/>
          <w:szCs w:val="16"/>
        </w:rPr>
        <w:t>Шабаров</w:t>
      </w:r>
      <w:proofErr w:type="spellEnd"/>
      <w:r w:rsidRPr="007122AB">
        <w:rPr>
          <w:rFonts w:ascii="Times New Roman" w:hAnsi="Times New Roman"/>
          <w:color w:val="000000" w:themeColor="text1"/>
          <w:sz w:val="16"/>
          <w:szCs w:val="16"/>
        </w:rPr>
        <w:t>); -по подготовке экипажей и управлению полетами (А. Елисеев).</w:t>
      </w:r>
    </w:p>
    <w:p w14:paraId="58077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1977 г. в НПО «Энергия» вошли также ОКБ «Луч» (г. Донецк) и КБ «Салют» с опытным производством. В 1991 г. в состав НПО вошел Приморский филиал (на этот момент в составе НПО были также ГКБ, ЗЭМ, Волжский филиал, консорциум «Космическая регата»). В состав НПО входил также Научно-исследовательский центр (НИЦ).77 </w:t>
      </w:r>
    </w:p>
    <w:p w14:paraId="30F74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1982 г. постановлением СМ СССР на территории ГКБ создано Управление экспериментальных работ (УЭР) МОМ по обеспечению создания МКС «Энергия». Личный состав (120 чел., затем- 140) управления находился в штате КБ (чтобы не увеличивать штаты министерства). Начальник УЭР- И.П. Румянцев.</w:t>
      </w:r>
    </w:p>
    <w:p w14:paraId="1AAEB3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1980-е г. в НПО создано проектное отделение во главе с В.С. Ильиным.</w:t>
      </w:r>
    </w:p>
    <w:p w14:paraId="3B2A45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СМ СССР от 21.08.1989 г. ген. конструктором НПО назначен Ю.П. Семенов. После этого введен принцип единоначалия (гендиректор подчинен ген. конструктору). 29.09.1989 г. введена в действие «Укрупненная структурная схема Головного КБ НПО «Энергия». 19.01.1990 г. КБЭМ с Камским и Приволжским филиалами и ОЗЭМ выделено в самостоятельное НПОЭМ. Решением Мособлисполкома от 8.04.1991 г. НПО «Энергия» присвоено имя С.П. Королева.</w:t>
      </w:r>
    </w:p>
    <w:p w14:paraId="5FB21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1989 г. при НПО создан открытый научный центр для работы с иностранными специалистами.</w:t>
      </w:r>
    </w:p>
    <w:p w14:paraId="4E3308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1994 г. НПО преобразовано в ОАО «Российская космическая корпорация (РКК) "Энергия" им. академика С.П. Королёва» (ОАО зарегистрировано 6.06.1994 г., перерегистрировано 27.04.1998 г.). В состав РКК входит (2002 г.): ГКБ и дочерние предприятия: ЗАО «Завод экспериментального машиностроения» (см. завод № 88), ЗАО «Волжское КБ», ОАО «Приморский НТЦ», ЗАО «Авиакомпания «Космос», ООО «ОИМЭ».69 По решению правительства № 22-р от 9.01.2004 г. и Указу Президента РФ № 1009 от 4.08.2004 г. вошло в число стратегических оборонных предприятий.</w:t>
      </w:r>
    </w:p>
    <w:p w14:paraId="16E79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Направления деятельности РКК на 2002 г.: пилотируемые и грузовые космические корабли; орбитальные станции, их модули и агрегаты; ракеты-носители, разгонные блоки; комплексы оборудования для </w:t>
      </w:r>
      <w:proofErr w:type="spellStart"/>
      <w:r w:rsidRPr="007122AB">
        <w:rPr>
          <w:rFonts w:ascii="Times New Roman" w:hAnsi="Times New Roman"/>
          <w:color w:val="000000" w:themeColor="text1"/>
          <w:sz w:val="16"/>
          <w:szCs w:val="16"/>
        </w:rPr>
        <w:t>для</w:t>
      </w:r>
      <w:proofErr w:type="spellEnd"/>
      <w:r w:rsidRPr="007122AB">
        <w:rPr>
          <w:rFonts w:ascii="Times New Roman" w:hAnsi="Times New Roman"/>
          <w:color w:val="000000" w:themeColor="text1"/>
          <w:sz w:val="16"/>
          <w:szCs w:val="16"/>
        </w:rPr>
        <w:t xml:space="preserve"> наземной отработки ЖРД, криогенно-статических испытаний; замкнутые системы жизнеобеспечения.</w:t>
      </w:r>
    </w:p>
    <w:p w14:paraId="4D9E3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Принимает участие (вместе с АвтоВАЗом и УЭХК) в разработке автомобиля «АНТЭЛ» и «АНТЭЛ-2» (ВАЗ-21111) с водородной энергоустановкой «Фотон» с щелочными топливными элементами (-2003-05 г.-).</w:t>
      </w:r>
    </w:p>
    <w:p w14:paraId="4A544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Численность персонала (1.10.1956 г.)- 1939 чел.77 </w:t>
      </w:r>
    </w:p>
    <w:p w14:paraId="1DD47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ОКБ (1946-66 г.)- С.П. Королёв, (1966-74 г.)- В.П. Мишин. Ген. конструктор ОКБ (1994-2005 г.-)- академик Ю.П. Семенов.</w:t>
      </w:r>
    </w:p>
    <w:p w14:paraId="7ADBB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Ген. конструктор НПО (21.05.1974-89 г.)- В.П. Глушко, (21.08.1989-2005 г.-)- Ю.П. Семенов.</w:t>
      </w:r>
    </w:p>
    <w:p w14:paraId="5B4B6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Гл. конструктора (1956 г.-)- Р.А. Турков (директор завода № 88), (-1966 г.)- В.П. Мишин. 1-й зам. Ген. Конструктора (1974 г.)- Ю. Труфанов, (1974 г.)- В. </w:t>
      </w:r>
      <w:proofErr w:type="spellStart"/>
      <w:r w:rsidRPr="007122AB">
        <w:rPr>
          <w:rFonts w:ascii="Times New Roman" w:hAnsi="Times New Roman"/>
          <w:color w:val="000000" w:themeColor="text1"/>
          <w:sz w:val="16"/>
          <w:szCs w:val="16"/>
        </w:rPr>
        <w:t>Радовский</w:t>
      </w:r>
      <w:proofErr w:type="spellEnd"/>
      <w:r w:rsidRPr="007122AB">
        <w:rPr>
          <w:rFonts w:ascii="Times New Roman" w:hAnsi="Times New Roman"/>
          <w:color w:val="000000" w:themeColor="text1"/>
          <w:sz w:val="16"/>
          <w:szCs w:val="16"/>
        </w:rPr>
        <w:t xml:space="preserve">, (1981 г.-)- Ю.П. Семенов, (-2000-04 г.-)- Н.И. Зеленщиков, (-2002-05 г.-)- В.П. Легостаев. Зам. гл., ген. конструктора (1947 г.-)- А.Я. Щербаков (в 1943-46 г. гл. конструктор КБ завода № 47); (1952 г.)- В. Будник (гл. конструктор СКО завода № 586); (1960-е)- М.В. Мельников; (1961 г.-)- Д.И. Козлов (начальник филиала № 3); (1965 г.)- Б.А. Дорофеев; (конец 1960 г.-)- П.В. Цыбин (работал в ОКБ в 1948-56 г., в 1956-60 г. возглавлял собственное ОКБ-256); (1964 г.-)- Б.Е. Черток; (1974 г.)- Е.В. </w:t>
      </w:r>
      <w:proofErr w:type="spellStart"/>
      <w:r w:rsidRPr="007122AB">
        <w:rPr>
          <w:rFonts w:ascii="Times New Roman" w:hAnsi="Times New Roman"/>
          <w:color w:val="000000" w:themeColor="text1"/>
          <w:sz w:val="16"/>
          <w:szCs w:val="16"/>
        </w:rPr>
        <w:t>Шабаров</w:t>
      </w:r>
      <w:proofErr w:type="spellEnd"/>
      <w:r w:rsidRPr="007122AB">
        <w:rPr>
          <w:rFonts w:ascii="Times New Roman" w:hAnsi="Times New Roman"/>
          <w:color w:val="000000" w:themeColor="text1"/>
          <w:sz w:val="16"/>
          <w:szCs w:val="16"/>
        </w:rPr>
        <w:t xml:space="preserve">; (1974 г.)- А. Абрамов; по координации и контролю (1974 г.)- М. Хомяков; (1974 г.)- М. Мельников; (1974 г.)- А. Северов; (1974 г.)- А. </w:t>
      </w:r>
      <w:proofErr w:type="spellStart"/>
      <w:r w:rsidRPr="007122AB">
        <w:rPr>
          <w:rFonts w:ascii="Times New Roman" w:hAnsi="Times New Roman"/>
          <w:color w:val="000000" w:themeColor="text1"/>
          <w:sz w:val="16"/>
          <w:szCs w:val="16"/>
        </w:rPr>
        <w:t>Ржанов</w:t>
      </w:r>
      <w:proofErr w:type="spellEnd"/>
      <w:r w:rsidRPr="007122AB">
        <w:rPr>
          <w:rFonts w:ascii="Times New Roman" w:hAnsi="Times New Roman"/>
          <w:color w:val="000000" w:themeColor="text1"/>
          <w:sz w:val="16"/>
          <w:szCs w:val="16"/>
        </w:rPr>
        <w:t xml:space="preserve">; (1974 г.)- А. Елисеев; (1977 г.)- В.М. Филин; (1978 г.-)- Ю.П. Семенов; (1970-е-88 г.-)- Б.И. Губанов; (1980-е)- В.С. Ильин; (2000 г.)- В.П. Легостаев; (2003 г.)- В. Рюмин; (2005 г.)- М.П. Кашицын (руководитель НТЦ). </w:t>
      </w:r>
    </w:p>
    <w:p w14:paraId="763ED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(08.1956 г.-)- С.П. Королев. Директор ГКБ (1989 г.-)- Ю.П. Семенов. </w:t>
      </w:r>
    </w:p>
    <w:p w14:paraId="637B8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директора ГКБ (-2000-04 г.-)- Н.И. Зеленщиков. Зам. директора ГКБ (2004 г.)- А.Л. Мартыновский, (2004 г.)- В.П. Легостаев.www.energia.ru </w:t>
      </w:r>
    </w:p>
    <w:p w14:paraId="14A76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Гендиректор НПО (1974-77 г.)- В.П. Глушко, (1977 г.-)- В.Д. Вачнадзе, (1991-2005 г.-)- Ю.П. Семенов.</w:t>
      </w:r>
    </w:p>
    <w:p w14:paraId="758B8C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директора НПО (1974 г.)- Ю. Труфанов, (1974 г.)- В.М. Ключарев (директор ЗЭМ); по реконструкции, строительству и общим вопросам (1974 г.)- Г. Совков. Зам. директора НПО: по безопасности (1974 г.-)- А. </w:t>
      </w:r>
      <w:proofErr w:type="spellStart"/>
      <w:r w:rsidRPr="007122AB">
        <w:rPr>
          <w:rFonts w:ascii="Times New Roman" w:hAnsi="Times New Roman"/>
          <w:color w:val="000000" w:themeColor="text1"/>
          <w:sz w:val="16"/>
          <w:szCs w:val="16"/>
        </w:rPr>
        <w:t>Калыгин</w:t>
      </w:r>
      <w:proofErr w:type="spellEnd"/>
      <w:r w:rsidRPr="007122AB">
        <w:rPr>
          <w:rFonts w:ascii="Times New Roman" w:hAnsi="Times New Roman"/>
          <w:color w:val="000000" w:themeColor="text1"/>
          <w:sz w:val="16"/>
          <w:szCs w:val="16"/>
        </w:rPr>
        <w:t>; по кадрам (1974 г.-)- Г. Пауков; по летным испытаниям (1974 г.-)- М. Самохин.</w:t>
      </w:r>
    </w:p>
    <w:p w14:paraId="05ACC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Президент/ председатель правления РКК (1994-05.2005 г.)- Ю.П. Семенов, (2005 г.-)- Н. Севастьянов.</w:t>
      </w:r>
    </w:p>
    <w:p w14:paraId="50785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вице-президент РКК (-2000-04 г.-)- Н.И. Зеленщиков, (-2004-05 г.-)- А.Ф. Стрекалов, (2004 г.)- А.Л. Мартыновский. Вице-президент (-2000-04 г.-)- В.П. Легостаев, (2004 г.)- А.Ф. </w:t>
      </w:r>
      <w:proofErr w:type="spellStart"/>
      <w:r w:rsidRPr="007122AB">
        <w:rPr>
          <w:rFonts w:ascii="Times New Roman" w:hAnsi="Times New Roman"/>
          <w:color w:val="000000" w:themeColor="text1"/>
          <w:sz w:val="16"/>
          <w:szCs w:val="16"/>
        </w:rPr>
        <w:t>Козеева</w:t>
      </w:r>
      <w:proofErr w:type="spellEnd"/>
      <w:r w:rsidRPr="007122AB">
        <w:rPr>
          <w:rFonts w:ascii="Times New Roman" w:hAnsi="Times New Roman"/>
          <w:color w:val="000000" w:themeColor="text1"/>
          <w:sz w:val="16"/>
          <w:szCs w:val="16"/>
        </w:rPr>
        <w:t xml:space="preserve"> (начальник Управления финансово-экономической деятельности), (2004 г.)- Н.И. Чекин. </w:t>
      </w:r>
    </w:p>
    <w:p w14:paraId="33727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конструкторы: (1960-е)- В.П. Мишин (Н1-Л3), (1960-е-77 г.-)- И.Н. Садовский (РТ-2), (1977 г.)- Б.И. Губанов («Энергия»), (1972-77 г.-)- Ю.П. Семенов («Буран»), (1974 г.)- </w:t>
      </w:r>
      <w:proofErr w:type="spellStart"/>
      <w:r w:rsidRPr="007122AB">
        <w:rPr>
          <w:rFonts w:ascii="Times New Roman" w:hAnsi="Times New Roman"/>
          <w:color w:val="000000" w:themeColor="text1"/>
          <w:sz w:val="16"/>
          <w:szCs w:val="16"/>
        </w:rPr>
        <w:t>Я.Коляко</w:t>
      </w:r>
      <w:proofErr w:type="spellEnd"/>
      <w:r w:rsidRPr="007122AB">
        <w:rPr>
          <w:rFonts w:ascii="Times New Roman" w:hAnsi="Times New Roman"/>
          <w:color w:val="000000" w:themeColor="text1"/>
          <w:sz w:val="16"/>
          <w:szCs w:val="16"/>
        </w:rPr>
        <w:t xml:space="preserve"> (многоцелевые тяжелые РН), (1974 г.)- И. Прудников (лунный комплекс), (1974 г.-)- .К. Бушуев («Союз-Аполлон»).</w:t>
      </w:r>
    </w:p>
    <w:p w14:paraId="4A1010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Ведущие конструкторы: (1965 г.)- Б.В. Рублев (7К-Л1), (05.1967 г.-)- Ю.П. Семенов (7К-Л1).</w:t>
      </w:r>
    </w:p>
    <w:p w14:paraId="65568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(1956-60-е г.-)- М.К. Тихонравов {1900-74 г.} (ИСЗ); (1960-е)- В.Ф. Рощин, Б.В. Раушенбах, С.С. Крюков, Я.П. </w:t>
      </w:r>
      <w:proofErr w:type="spellStart"/>
      <w:r w:rsidRPr="007122AB">
        <w:rPr>
          <w:rFonts w:ascii="Times New Roman" w:hAnsi="Times New Roman"/>
          <w:color w:val="000000" w:themeColor="text1"/>
          <w:sz w:val="16"/>
          <w:szCs w:val="16"/>
        </w:rPr>
        <w:t>Коляко</w:t>
      </w:r>
      <w:proofErr w:type="spellEnd"/>
      <w:r w:rsidRPr="007122AB">
        <w:rPr>
          <w:rFonts w:ascii="Times New Roman" w:hAnsi="Times New Roman"/>
          <w:color w:val="000000" w:themeColor="text1"/>
          <w:sz w:val="16"/>
          <w:szCs w:val="16"/>
        </w:rPr>
        <w:t xml:space="preserve">, В.А. Борисов, К.П. Феоктистов, В.П. Легостаев, К.С. Шустин, В.А. Тимченко, А.И. Осташев; (05.1964-77 г.-)- С.Н. Анохин (нач. методического отдела, нач. сектора, зам. ком. Отряда космонавтов/ведущий инженер), (1964 г.-)- Ю.П. Семенов (зам. ведущего конструктора РН «Союз»); (1968-73 г.)- В.Г. </w:t>
      </w:r>
      <w:proofErr w:type="spellStart"/>
      <w:r w:rsidRPr="007122AB">
        <w:rPr>
          <w:rFonts w:ascii="Times New Roman" w:hAnsi="Times New Roman"/>
          <w:color w:val="000000" w:themeColor="text1"/>
          <w:sz w:val="16"/>
          <w:szCs w:val="16"/>
        </w:rPr>
        <w:t>Кинелев</w:t>
      </w:r>
      <w:proofErr w:type="spellEnd"/>
      <w:r w:rsidRPr="007122AB">
        <w:rPr>
          <w:rFonts w:ascii="Times New Roman" w:hAnsi="Times New Roman"/>
          <w:color w:val="000000" w:themeColor="text1"/>
          <w:sz w:val="16"/>
          <w:szCs w:val="16"/>
        </w:rPr>
        <w:t xml:space="preserve"> (позднее- министр образования), (1970-е)- В.С. Сыромятников, Б.В. Никитин, И.В. Лавров; (2002 г.)- А.Г. Деречин (начальник управления ВЭД и маркетинга), (2004 г.)- Л. Горшков (зам. начальника проектного отделения), (2005 г.)- А. Калери (зам. нач. отдела).</w:t>
      </w:r>
    </w:p>
    <w:p w14:paraId="43ED41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БР: Р-1 (8А11,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1950 г.), Р-2 (8Ж38,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1951 г.), Р-3 (проект, 1949 г.), Р-11 (8А61,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1955 г.), Р-11М (8К11,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1958 г.), Р-11ФМ (8А61ФМ), Р-5 (8К51, 8Ж51,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1955 г.) и Р-5М (8К51, 8Ж51,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1956 г.), РТ-1 (8К95, опытная, 1962 г.); Р-7 и Р-7А (8К71,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1960 г.), конверсионные РН «Восход», «Восток», «Молния», «Союз» (7К1, 11Ф615); Р-9А (8К75,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1965 г.), Р-9В (8К76), РТ-2 (РС-12, 8К98,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1968 г.), РТ-2П (РС-12, 8К98П), ГР-1 (8К713);58 РН Н-1 (11А52, запуски 27.06.1971, 24.11.1972); экспериментальная крылатая ракета «ЭКР», МТКС «Энергия» (1976), орбитальные станции «Салют», «Мир», МКС; спутники: 1-й ИСЗ, связи «Молния», «Ямал»; корабль для облета Луны 7К-Л1 («Зонд») (1965-)- 14; боевые корабли «Союз Р», «Союз П» (перехватчик), вооруженные РС «космос-космос» (1962-65 г., проект);</w:t>
      </w:r>
    </w:p>
    <w:p w14:paraId="7FE9B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ЖРД: С1.35800 для РН Р-7 (1957 г.), С1.5400 (11Д33) для РН «Молния» 8К78 (1963-65), 8Д726 для МБР ГР-1 (1964), 11Д121 для РН Н1 (1969), РД-58 (11Д58) для РН Н1, «Протон», «Энергия» (1968); 17Д11- СУ для орбитального корабля «Буран», включает 2х ЖРД 17Д12, 38х ЖРД 17Д15, 8х РДМТ-200К;50 ядерный РД 11Б97 для КА «Геркулес» (1986).</w:t>
      </w:r>
    </w:p>
    <w:p w14:paraId="442CF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ОКБ-1 НИИ-88 МВ, ОКБ-1 МОП, ГКОТ, ЦКБ ЭМ (экспериментального машиностроения) МОМ, НПО «Энергия» им. академика С.П. Королева, ОАО «Российская Космическая Корпорация (РКК) «Энергия» им. академика С.П. Королева» РКА, РАКА, ФКА</w:t>
      </w:r>
    </w:p>
    <w:p w14:paraId="0CFC41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141070 г. Подлипки, г. Королёв Московской обл. ул. Ленина, 4А тел. 513-72-48 www.energia.ru</w:t>
      </w:r>
    </w:p>
    <w:p w14:paraId="445EA0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Волжский филиал ЦКБ ЭМ, «Волжское КБ» ЗАО</w:t>
      </w:r>
    </w:p>
    <w:p w14:paraId="7D51F0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443009 г. Самара ул. Псковская, 24</w:t>
      </w:r>
    </w:p>
    <w:p w14:paraId="4B79F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Волжский филиал образовался в 1974 г. С 1994 г.- ЗАО «Волжское КБ», входит в ОАО «РКК «Энергия».</w:t>
      </w:r>
    </w:p>
    <w:p w14:paraId="2061C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Принимало участие в работах по Н1-Л3, центральному и </w:t>
      </w:r>
      <w:proofErr w:type="spellStart"/>
      <w:r w:rsidRPr="007122AB">
        <w:rPr>
          <w:rFonts w:ascii="Times New Roman" w:hAnsi="Times New Roman"/>
          <w:color w:val="000000" w:themeColor="text1"/>
          <w:sz w:val="16"/>
          <w:szCs w:val="16"/>
        </w:rPr>
        <w:t>стартово</w:t>
      </w:r>
      <w:proofErr w:type="spellEnd"/>
      <w:r w:rsidRPr="007122AB">
        <w:rPr>
          <w:rFonts w:ascii="Times New Roman" w:hAnsi="Times New Roman"/>
          <w:color w:val="000000" w:themeColor="text1"/>
          <w:sz w:val="16"/>
          <w:szCs w:val="16"/>
        </w:rPr>
        <w:t>-стыковочному блоку «Энергии-Буран», РН «Квант», «Ангара», «Ямал», «Аврора», «Воздушный старт».</w:t>
      </w:r>
    </w:p>
    <w:p w14:paraId="63277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гл. конструктор (2002 г.)- С.А. Петренко.</w:t>
      </w:r>
    </w:p>
    <w:p w14:paraId="7CB45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Замдиректора по ВЭД (2002 г.)- В.П. Рябов.69 </w:t>
      </w:r>
    </w:p>
    <w:p w14:paraId="2C9C6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ООО «ОИМЭ»</w:t>
      </w:r>
    </w:p>
    <w:p w14:paraId="0747D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/141070 г. Королев Московской обл. ул. Ленина, 4/</w:t>
      </w:r>
    </w:p>
    <w:p w14:paraId="6903CC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Консорциум «Космическая регата»</w:t>
      </w:r>
    </w:p>
    <w:p w14:paraId="51B8A5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Подразделение НПО «Энергия», занимавшееся разработкой космических кораблей, использующих энергию «солнечного ветра».</w:t>
      </w:r>
    </w:p>
    <w:p w14:paraId="33A7A8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02.1993 г. проведен успешный эксперимент «Знамя-2» по развертыванию 20-м зеркала на грузовом корабле «Прогресс». В 1999 г. аналогичный эксперимент закончился неудачей.</w:t>
      </w:r>
    </w:p>
    <w:p w14:paraId="41F1F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(1991-93 г.)- Н.Н. Севастьянов (10776).</w:t>
      </w:r>
    </w:p>
    <w:p w14:paraId="7BC22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1177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года В.К. Коккинаки испытывал на Комендантском аэродроме в Ленинграде Р-5 с подвеской восьми оперенных снарядов калибра 82 мм, </w:t>
      </w:r>
      <w:proofErr w:type="spellStart"/>
      <w:r w:rsidRPr="007122AB">
        <w:rPr>
          <w:rFonts w:ascii="Times New Roman" w:hAnsi="Times New Roman"/>
          <w:color w:val="000000" w:themeColor="text1"/>
          <w:sz w:val="16"/>
          <w:szCs w:val="16"/>
        </w:rPr>
        <w:t>запускавшиеся</w:t>
      </w:r>
      <w:proofErr w:type="spellEnd"/>
      <w:r w:rsidRPr="007122AB">
        <w:rPr>
          <w:rFonts w:ascii="Times New Roman" w:hAnsi="Times New Roman"/>
          <w:color w:val="000000" w:themeColor="text1"/>
          <w:sz w:val="16"/>
          <w:szCs w:val="16"/>
        </w:rPr>
        <w:t xml:space="preserve"> с балок-направляющих. Программа включала стрельбы на полигоне. Обследование самолета после пусков выявило деформацию нервюр и повреждение переднего лонжерона. Конструкторы усилили набор крыла, изменили крепление направляющих (12034).</w:t>
      </w:r>
    </w:p>
    <w:p w14:paraId="531E18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AAA31A" w14:textId="77777777" w:rsidR="00D60F52" w:rsidRPr="007122AB" w:rsidRDefault="00D60F5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Осенью 1931 г. Королёв получил разрешение облетать бесхвостый планер Б.И. </w:t>
      </w:r>
      <w:proofErr w:type="spellStart"/>
      <w:r w:rsidRPr="007122AB">
        <w:rPr>
          <w:rFonts w:ascii="Times New Roman" w:eastAsia="Times New Roman" w:hAnsi="Times New Roman"/>
          <w:color w:val="000000" w:themeColor="text1"/>
          <w:sz w:val="16"/>
          <w:szCs w:val="16"/>
          <w:lang w:eastAsia="ru-RU"/>
        </w:rPr>
        <w:t>Черановского</w:t>
      </w:r>
      <w:proofErr w:type="spellEnd"/>
      <w:r w:rsidRPr="007122AB">
        <w:rPr>
          <w:rFonts w:ascii="Times New Roman" w:eastAsia="Times New Roman" w:hAnsi="Times New Roman"/>
          <w:color w:val="000000" w:themeColor="text1"/>
          <w:sz w:val="16"/>
          <w:szCs w:val="16"/>
          <w:lang w:eastAsia="ru-RU"/>
        </w:rPr>
        <w:t xml:space="preserve"> БИЧ-8, который после испытаний в 1929 г. не использовался. На подмосковной планерной станции Королёв выполнил 12 полётов, от которых у него остались приятное впечатление. «Планер БИЧ-8 отличается полной </w:t>
      </w:r>
      <w:r w:rsidRPr="007122AB">
        <w:rPr>
          <w:rFonts w:ascii="Times New Roman" w:eastAsia="Times New Roman" w:hAnsi="Times New Roman"/>
          <w:color w:val="000000" w:themeColor="text1"/>
          <w:sz w:val="16"/>
          <w:szCs w:val="16"/>
          <w:lang w:eastAsia="ru-RU"/>
        </w:rPr>
        <w:lastRenderedPageBreak/>
        <w:t xml:space="preserve">устойчивостью в продольном и поперечном направлении, так и устойчивостью пути. Очень чуток на руль высоты и не любит резких движений. На малых углах имеет большую скорость снижения, а нормально летит с углом около 30 градусов. Однако при всех возможных режимах не имеет тенденции к потере устойчивости, самопроизвольному уменьшению или увеличению угла, а наоборот очень охотно идёт за ручкой, возвращаясь в исходное положение», — писал Сергей Павлович </w:t>
      </w:r>
      <w:hyperlink r:id="rId174" w:history="1">
        <w:r w:rsidRPr="007122AB">
          <w:rPr>
            <w:rFonts w:ascii="Times New Roman" w:eastAsia="Times New Roman" w:hAnsi="Times New Roman"/>
            <w:color w:val="000000" w:themeColor="text1"/>
            <w:sz w:val="16"/>
            <w:szCs w:val="16"/>
            <w:lang w:eastAsia="ru-RU"/>
          </w:rPr>
          <w:t>[257]</w:t>
        </w:r>
      </w:hyperlink>
      <w:r w:rsidRPr="007122AB">
        <w:rPr>
          <w:rFonts w:ascii="Times New Roman" w:eastAsia="Times New Roman" w:hAnsi="Times New Roman"/>
          <w:color w:val="000000" w:themeColor="text1"/>
          <w:sz w:val="16"/>
          <w:szCs w:val="16"/>
          <w:lang w:eastAsia="ru-RU"/>
        </w:rPr>
        <w:t>.</w:t>
      </w:r>
    </w:p>
    <w:p w14:paraId="613FF77B" w14:textId="77777777" w:rsidR="00D60F52" w:rsidRPr="007122AB" w:rsidRDefault="00D60F5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Во время испытаний БИЧ-8 у Королёва возникла мысль использовать планер для создания экспериментального аппарата с ЖРД. Схема «</w:t>
      </w:r>
      <w:proofErr w:type="spellStart"/>
      <w:r w:rsidRPr="007122AB">
        <w:rPr>
          <w:rFonts w:ascii="Times New Roman" w:eastAsia="Times New Roman" w:hAnsi="Times New Roman"/>
          <w:color w:val="000000" w:themeColor="text1"/>
          <w:sz w:val="16"/>
          <w:szCs w:val="16"/>
          <w:lang w:eastAsia="ru-RU"/>
        </w:rPr>
        <w:t>бесхвостка</w:t>
      </w:r>
      <w:proofErr w:type="spellEnd"/>
      <w:r w:rsidRPr="007122AB">
        <w:rPr>
          <w:rFonts w:ascii="Times New Roman" w:eastAsia="Times New Roman" w:hAnsi="Times New Roman"/>
          <w:color w:val="000000" w:themeColor="text1"/>
          <w:sz w:val="16"/>
          <w:szCs w:val="16"/>
          <w:lang w:eastAsia="ru-RU"/>
        </w:rPr>
        <w:t xml:space="preserve">» позволяла компактно разместить двигатель и баки с горючим и окислителем вблизи центра тяжести, свести к минимуму длину трубопроводов, избежать проблем с защитой хвостового оперения от воздействия реактивной </w:t>
      </w:r>
      <w:proofErr w:type="spellStart"/>
      <w:r w:rsidRPr="007122AB">
        <w:rPr>
          <w:rFonts w:ascii="Times New Roman" w:eastAsia="Times New Roman" w:hAnsi="Times New Roman"/>
          <w:color w:val="000000" w:themeColor="text1"/>
          <w:sz w:val="16"/>
          <w:szCs w:val="16"/>
          <w:lang w:eastAsia="ru-RU"/>
        </w:rPr>
        <w:t>струию</w:t>
      </w:r>
      <w:proofErr w:type="spellEnd"/>
    </w:p>
    <w:p w14:paraId="6E061E1F" w14:textId="77777777" w:rsidR="00D60F52" w:rsidRPr="007122AB" w:rsidRDefault="00D60F5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5 октября 1931 г. Королёв пригласил на аэродром Цандера и продемонстрировал ему полёты бесхвостого планера. Через два дня Королёв и </w:t>
      </w:r>
      <w:proofErr w:type="spellStart"/>
      <w:r w:rsidRPr="007122AB">
        <w:rPr>
          <w:rFonts w:ascii="Times New Roman" w:eastAsia="Times New Roman" w:hAnsi="Times New Roman"/>
          <w:color w:val="000000" w:themeColor="text1"/>
          <w:sz w:val="16"/>
          <w:szCs w:val="16"/>
          <w:lang w:eastAsia="ru-RU"/>
        </w:rPr>
        <w:t>Черановский</w:t>
      </w:r>
      <w:proofErr w:type="spellEnd"/>
      <w:r w:rsidRPr="007122AB">
        <w:rPr>
          <w:rFonts w:ascii="Times New Roman" w:eastAsia="Times New Roman" w:hAnsi="Times New Roman"/>
          <w:color w:val="000000" w:themeColor="text1"/>
          <w:sz w:val="16"/>
          <w:szCs w:val="16"/>
          <w:lang w:eastAsia="ru-RU"/>
        </w:rPr>
        <w:t xml:space="preserve"> приехали посмотреть на запуски ЖРД Цандера ОР-1, работающего на бензине и жидком кислороде. Так сложился конструкторский коллектив по созданию ракетоплана РП-1 (17489).</w:t>
      </w:r>
    </w:p>
    <w:p w14:paraId="7BBE6F70" w14:textId="77777777" w:rsidR="00D60F52" w:rsidRPr="007122AB" w:rsidRDefault="00D60F52" w:rsidP="007122AB">
      <w:pPr>
        <w:spacing w:after="0" w:line="240" w:lineRule="auto"/>
        <w:jc w:val="both"/>
        <w:rPr>
          <w:rFonts w:ascii="Times New Roman" w:eastAsia="Times New Roman" w:hAnsi="Times New Roman"/>
          <w:color w:val="000000" w:themeColor="text1"/>
          <w:sz w:val="16"/>
          <w:szCs w:val="16"/>
          <w:lang w:eastAsia="ru-RU"/>
        </w:rPr>
      </w:pPr>
    </w:p>
    <w:p w14:paraId="11F72679" w14:textId="77777777" w:rsidR="00D45435" w:rsidRPr="007122AB" w:rsidRDefault="00D4543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было принято решение о пере</w:t>
      </w:r>
      <w:r w:rsidRPr="007122AB">
        <w:rPr>
          <w:rFonts w:ascii="Times New Roman" w:hAnsi="Times New Roman"/>
          <w:color w:val="000000" w:themeColor="text1"/>
          <w:sz w:val="16"/>
          <w:szCs w:val="16"/>
        </w:rPr>
        <w:softHyphen/>
        <w:t>воде работ по дирижаблестроению в Москву, где к тому времени специалисты ЦАГИ в обществен</w:t>
      </w:r>
      <w:r w:rsidRPr="007122AB">
        <w:rPr>
          <w:rFonts w:ascii="Times New Roman" w:hAnsi="Times New Roman"/>
          <w:color w:val="000000" w:themeColor="text1"/>
          <w:sz w:val="16"/>
          <w:szCs w:val="16"/>
        </w:rPr>
        <w:softHyphen/>
        <w:t>ном порядке занимались проектом полужёсткого дирижабля объёмом 2750 м3 (под руководством Н.В. Лебедева) и проектировали дирижабль мяг</w:t>
      </w:r>
      <w:r w:rsidRPr="007122AB">
        <w:rPr>
          <w:rFonts w:ascii="Times New Roman" w:hAnsi="Times New Roman"/>
          <w:color w:val="000000" w:themeColor="text1"/>
          <w:sz w:val="16"/>
          <w:szCs w:val="16"/>
        </w:rPr>
        <w:softHyphen/>
        <w:t>кого типа «СССР В-1» объёмом 2200 м3 (под ру</w:t>
      </w:r>
      <w:r w:rsidRPr="007122AB">
        <w:rPr>
          <w:rFonts w:ascii="Times New Roman" w:hAnsi="Times New Roman"/>
          <w:color w:val="000000" w:themeColor="text1"/>
          <w:sz w:val="16"/>
          <w:szCs w:val="16"/>
        </w:rPr>
        <w:softHyphen/>
        <w:t xml:space="preserve">ководством В.Г. </w:t>
      </w:r>
      <w:proofErr w:type="spellStart"/>
      <w:r w:rsidRPr="007122AB">
        <w:rPr>
          <w:rFonts w:ascii="Times New Roman" w:hAnsi="Times New Roman"/>
          <w:color w:val="000000" w:themeColor="text1"/>
          <w:sz w:val="16"/>
          <w:szCs w:val="16"/>
        </w:rPr>
        <w:t>Гараканидзе</w:t>
      </w:r>
      <w:proofErr w:type="spellEnd"/>
      <w:r w:rsidRPr="007122AB">
        <w:rPr>
          <w:rFonts w:ascii="Times New Roman" w:hAnsi="Times New Roman"/>
          <w:color w:val="000000" w:themeColor="text1"/>
          <w:sz w:val="16"/>
          <w:szCs w:val="16"/>
        </w:rPr>
        <w:t xml:space="preserve">). В Москве имелся также летающий дирижабль «Комсомольская правда», что позволяло готовить лётные кадры </w:t>
      </w:r>
      <w:proofErr w:type="spellStart"/>
      <w:r w:rsidRPr="007122AB">
        <w:rPr>
          <w:rFonts w:ascii="Times New Roman" w:hAnsi="Times New Roman"/>
          <w:color w:val="000000" w:themeColor="text1"/>
          <w:sz w:val="16"/>
          <w:szCs w:val="16"/>
        </w:rPr>
        <w:t>дирижаблистов</w:t>
      </w:r>
      <w:proofErr w:type="spellEnd"/>
      <w:r w:rsidRPr="007122AB">
        <w:rPr>
          <w:rFonts w:ascii="Times New Roman" w:hAnsi="Times New Roman"/>
          <w:color w:val="000000" w:themeColor="text1"/>
          <w:sz w:val="16"/>
          <w:szCs w:val="16"/>
        </w:rPr>
        <w:t>, а инженерам-конструкторам приобретать необходимый опыт и навыки прак</w:t>
      </w:r>
      <w:r w:rsidRPr="007122AB">
        <w:rPr>
          <w:rFonts w:ascii="Times New Roman" w:hAnsi="Times New Roman"/>
          <w:color w:val="000000" w:themeColor="text1"/>
          <w:sz w:val="16"/>
          <w:szCs w:val="16"/>
        </w:rPr>
        <w:softHyphen/>
        <w:t>тической работы (20120).</w:t>
      </w:r>
    </w:p>
    <w:p w14:paraId="518BA53B" w14:textId="77777777" w:rsidR="00D45435" w:rsidRPr="007122AB" w:rsidRDefault="00D45435" w:rsidP="007122AB">
      <w:pPr>
        <w:spacing w:after="0" w:line="240" w:lineRule="auto"/>
        <w:jc w:val="both"/>
        <w:rPr>
          <w:rFonts w:ascii="Times New Roman" w:hAnsi="Times New Roman"/>
          <w:color w:val="000000" w:themeColor="text1"/>
          <w:sz w:val="16"/>
          <w:szCs w:val="16"/>
        </w:rPr>
      </w:pPr>
    </w:p>
    <w:p w14:paraId="754EA7E4" w14:textId="77777777" w:rsidR="00D45435" w:rsidRPr="007122AB" w:rsidRDefault="00D4543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года в </w:t>
      </w:r>
      <w:proofErr w:type="spellStart"/>
      <w:r w:rsidRPr="007122AB">
        <w:rPr>
          <w:rFonts w:ascii="Times New Roman" w:hAnsi="Times New Roman"/>
          <w:color w:val="000000" w:themeColor="text1"/>
          <w:sz w:val="16"/>
          <w:szCs w:val="16"/>
        </w:rPr>
        <w:t>Долгопруд</w:t>
      </w:r>
      <w:r w:rsidRPr="007122AB">
        <w:rPr>
          <w:rFonts w:ascii="Times New Roman" w:hAnsi="Times New Roman"/>
          <w:color w:val="000000" w:themeColor="text1"/>
          <w:sz w:val="16"/>
          <w:szCs w:val="16"/>
        </w:rPr>
        <w:softHyphen/>
        <w:t>ной</w:t>
      </w:r>
      <w:proofErr w:type="spellEnd"/>
      <w:r w:rsidRPr="007122AB">
        <w:rPr>
          <w:rFonts w:ascii="Times New Roman" w:hAnsi="Times New Roman"/>
          <w:color w:val="000000" w:themeColor="text1"/>
          <w:sz w:val="16"/>
          <w:szCs w:val="16"/>
        </w:rPr>
        <w:t xml:space="preserve"> началось строительство базы. Намечалось возвести металлические эллинги для полужёст</w:t>
      </w:r>
      <w:r w:rsidRPr="007122AB">
        <w:rPr>
          <w:rFonts w:ascii="Times New Roman" w:hAnsi="Times New Roman"/>
          <w:color w:val="000000" w:themeColor="text1"/>
          <w:sz w:val="16"/>
          <w:szCs w:val="16"/>
        </w:rPr>
        <w:softHyphen/>
        <w:t>ких и жёстких дирижаблей, ряд небольших эл</w:t>
      </w:r>
      <w:r w:rsidRPr="007122AB">
        <w:rPr>
          <w:rFonts w:ascii="Times New Roman" w:hAnsi="Times New Roman"/>
          <w:color w:val="000000" w:themeColor="text1"/>
          <w:sz w:val="16"/>
          <w:szCs w:val="16"/>
        </w:rPr>
        <w:softHyphen/>
        <w:t>лингов для мягких дирижаблей, сделать лётное поле, причальные мачты, мастерские и жилой городок, оборудовать подъездные пути. В апре</w:t>
      </w:r>
      <w:r w:rsidRPr="007122AB">
        <w:rPr>
          <w:rFonts w:ascii="Times New Roman" w:hAnsi="Times New Roman"/>
          <w:color w:val="000000" w:themeColor="text1"/>
          <w:sz w:val="16"/>
          <w:szCs w:val="16"/>
        </w:rPr>
        <w:softHyphen/>
        <w:t>ле 1932 г. прошло слияние Центральной возду</w:t>
      </w:r>
      <w:r w:rsidRPr="007122AB">
        <w:rPr>
          <w:rFonts w:ascii="Times New Roman" w:hAnsi="Times New Roman"/>
          <w:color w:val="000000" w:themeColor="text1"/>
          <w:sz w:val="16"/>
          <w:szCs w:val="16"/>
        </w:rPr>
        <w:softHyphen/>
        <w:t>хоплавательной базы Осоавиахима с «</w:t>
      </w:r>
      <w:proofErr w:type="spellStart"/>
      <w:r w:rsidRPr="007122AB">
        <w:rPr>
          <w:rFonts w:ascii="Times New Roman" w:hAnsi="Times New Roman"/>
          <w:color w:val="000000" w:themeColor="text1"/>
          <w:sz w:val="16"/>
          <w:szCs w:val="16"/>
        </w:rPr>
        <w:t>Дирижа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блестроем</w:t>
      </w:r>
      <w:proofErr w:type="spellEnd"/>
      <w:r w:rsidRPr="007122AB">
        <w:rPr>
          <w:rFonts w:ascii="Times New Roman" w:hAnsi="Times New Roman"/>
          <w:color w:val="000000" w:themeColor="text1"/>
          <w:sz w:val="16"/>
          <w:szCs w:val="16"/>
        </w:rPr>
        <w:t>», при этом последний получил дири</w:t>
      </w:r>
      <w:r w:rsidRPr="007122AB">
        <w:rPr>
          <w:rFonts w:ascii="Times New Roman" w:hAnsi="Times New Roman"/>
          <w:color w:val="000000" w:themeColor="text1"/>
          <w:sz w:val="16"/>
          <w:szCs w:val="16"/>
        </w:rPr>
        <w:softHyphen/>
        <w:t>жабль «Комсомольская правда» (20120).</w:t>
      </w:r>
    </w:p>
    <w:p w14:paraId="658BBF66" w14:textId="77777777" w:rsidR="00D45435" w:rsidRPr="007122AB" w:rsidRDefault="00D45435" w:rsidP="007122AB">
      <w:pPr>
        <w:spacing w:after="0" w:line="240" w:lineRule="auto"/>
        <w:jc w:val="both"/>
        <w:rPr>
          <w:rFonts w:ascii="Times New Roman" w:hAnsi="Times New Roman"/>
          <w:color w:val="000000" w:themeColor="text1"/>
          <w:sz w:val="16"/>
          <w:szCs w:val="16"/>
        </w:rPr>
      </w:pPr>
    </w:p>
    <w:p w14:paraId="53C616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154152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A997EB"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Штаб Красной Армии полагал, что в случае возникновения войны в 1933, а также в последующие годы потребуется новая мобилизационная схема МР-12. Новый военный план предусматривал увеличение численности вооружённых сил на один миллион человек. Требуемые мощности промышленности и соответствующий уровень её мобилизационной готовности вызывали необходимость существенных инвестиций и оборонных заказов в 1932 г. Полное удовлетворение этих запросов означало бы увеличение оборонного бюджета 1932 г. до 4,5 млрд. рублей. Даже самим военным этот уровень расходов казался недостижимым. Однако успешное проведение ряда мероприятий в 1932 г. позволяло приблизиться к уровню готовности, </w:t>
      </w:r>
      <w:proofErr w:type="spellStart"/>
      <w:r w:rsidRPr="007122AB">
        <w:rPr>
          <w:rFonts w:ascii="Times New Roman" w:hAnsi="Times New Roman"/>
          <w:color w:val="000000" w:themeColor="text1"/>
          <w:sz w:val="16"/>
          <w:szCs w:val="16"/>
        </w:rPr>
        <w:t>предусматривавшемуся</w:t>
      </w:r>
      <w:proofErr w:type="spellEnd"/>
      <w:r w:rsidRPr="007122AB">
        <w:rPr>
          <w:rFonts w:ascii="Times New Roman" w:hAnsi="Times New Roman"/>
          <w:color w:val="000000" w:themeColor="text1"/>
          <w:sz w:val="16"/>
          <w:szCs w:val="16"/>
        </w:rPr>
        <w:t xml:space="preserve"> планом МР-12.</w:t>
      </w:r>
    </w:p>
    <w:p w14:paraId="1935E086"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Предложения Штаба РККА по бюджету НКВМ на 1932 г. (млн. рублей)</w:t>
      </w:r>
    </w:p>
    <w:tbl>
      <w:tblPr>
        <w:tblW w:w="10456" w:type="dxa"/>
        <w:tblLook w:val="04A0" w:firstRow="1" w:lastRow="0" w:firstColumn="1" w:lastColumn="0" w:noHBand="0" w:noVBand="1"/>
      </w:tblPr>
      <w:tblGrid>
        <w:gridCol w:w="5228"/>
        <w:gridCol w:w="5228"/>
      </w:tblGrid>
      <w:tr w:rsidR="001002C3" w:rsidRPr="007122AB" w14:paraId="2AC62906" w14:textId="77777777" w:rsidTr="00027DFA">
        <w:tc>
          <w:tcPr>
            <w:tcW w:w="5228" w:type="dxa"/>
          </w:tcPr>
          <w:p w14:paraId="42F33977"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Всего</w:t>
            </w:r>
          </w:p>
        </w:tc>
        <w:tc>
          <w:tcPr>
            <w:tcW w:w="5228" w:type="dxa"/>
          </w:tcPr>
          <w:p w14:paraId="07F05A55"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2985,5</w:t>
            </w:r>
          </w:p>
        </w:tc>
      </w:tr>
      <w:tr w:rsidR="001002C3" w:rsidRPr="007122AB" w14:paraId="316BE16D" w14:textId="77777777" w:rsidTr="00027DFA">
        <w:tc>
          <w:tcPr>
            <w:tcW w:w="5228" w:type="dxa"/>
          </w:tcPr>
          <w:p w14:paraId="0F20A339"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из которых</w:t>
            </w:r>
          </w:p>
        </w:tc>
        <w:tc>
          <w:tcPr>
            <w:tcW w:w="5228" w:type="dxa"/>
          </w:tcPr>
          <w:p w14:paraId="72228597" w14:textId="77777777" w:rsidR="00754CB5" w:rsidRPr="007122AB" w:rsidRDefault="00754CB5" w:rsidP="007122AB">
            <w:pPr>
              <w:spacing w:after="0" w:line="240" w:lineRule="auto"/>
              <w:jc w:val="both"/>
              <w:rPr>
                <w:rFonts w:ascii="Times New Roman" w:hAnsi="Times New Roman"/>
                <w:color w:val="000000" w:themeColor="text1"/>
                <w:sz w:val="16"/>
                <w:szCs w:val="16"/>
              </w:rPr>
            </w:pPr>
          </w:p>
        </w:tc>
      </w:tr>
      <w:tr w:rsidR="001002C3" w:rsidRPr="007122AB" w14:paraId="6ADA8AC4" w14:textId="77777777" w:rsidTr="00027DFA">
        <w:tc>
          <w:tcPr>
            <w:tcW w:w="5228" w:type="dxa"/>
          </w:tcPr>
          <w:p w14:paraId="12B3D7E9"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Оборонные заказы, вооружение</w:t>
            </w:r>
          </w:p>
        </w:tc>
        <w:tc>
          <w:tcPr>
            <w:tcW w:w="5228" w:type="dxa"/>
          </w:tcPr>
          <w:p w14:paraId="186EB9CC"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1629,3</w:t>
            </w:r>
          </w:p>
        </w:tc>
      </w:tr>
      <w:tr w:rsidR="001002C3" w:rsidRPr="007122AB" w14:paraId="76423C11" w14:textId="77777777" w:rsidTr="00027DFA">
        <w:tc>
          <w:tcPr>
            <w:tcW w:w="5228" w:type="dxa"/>
          </w:tcPr>
          <w:p w14:paraId="5D0A823A"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Капитальное строительство</w:t>
            </w:r>
          </w:p>
        </w:tc>
        <w:tc>
          <w:tcPr>
            <w:tcW w:w="5228" w:type="dxa"/>
          </w:tcPr>
          <w:p w14:paraId="7732E32D"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r>
      <w:tr w:rsidR="001002C3" w:rsidRPr="007122AB" w14:paraId="1A0464A6" w14:textId="77777777" w:rsidTr="00027DFA">
        <w:tc>
          <w:tcPr>
            <w:tcW w:w="5228" w:type="dxa"/>
          </w:tcPr>
          <w:p w14:paraId="660748CA"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Эксплуатация</w:t>
            </w:r>
          </w:p>
        </w:tc>
        <w:tc>
          <w:tcPr>
            <w:tcW w:w="5228" w:type="dxa"/>
          </w:tcPr>
          <w:p w14:paraId="40806DE3"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101,0</w:t>
            </w:r>
          </w:p>
        </w:tc>
      </w:tr>
      <w:tr w:rsidR="001002C3" w:rsidRPr="007122AB" w14:paraId="1D887DA3" w14:textId="77777777" w:rsidTr="00027DFA">
        <w:tc>
          <w:tcPr>
            <w:tcW w:w="5228" w:type="dxa"/>
          </w:tcPr>
          <w:p w14:paraId="3595FD36"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Денежное содержание</w:t>
            </w:r>
          </w:p>
        </w:tc>
        <w:tc>
          <w:tcPr>
            <w:tcW w:w="5228" w:type="dxa"/>
          </w:tcPr>
          <w:p w14:paraId="561FD057"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904,6</w:t>
            </w:r>
          </w:p>
        </w:tc>
      </w:tr>
    </w:tbl>
    <w:p w14:paraId="18489C80" w14:textId="77777777" w:rsidR="00754CB5" w:rsidRPr="007122AB" w:rsidRDefault="00754C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РГАЭ. Ф.4372. Оп.91. Д.1149. Л.19 (9089).</w:t>
      </w:r>
    </w:p>
    <w:p w14:paraId="34A89C83" w14:textId="77777777" w:rsidR="00754CB5" w:rsidRPr="007122AB" w:rsidRDefault="00754CB5" w:rsidP="007122AB">
      <w:pPr>
        <w:spacing w:after="0" w:line="240" w:lineRule="auto"/>
        <w:jc w:val="both"/>
        <w:rPr>
          <w:rFonts w:ascii="Times New Roman" w:hAnsi="Times New Roman"/>
          <w:color w:val="000000" w:themeColor="text1"/>
          <w:sz w:val="16"/>
          <w:szCs w:val="16"/>
        </w:rPr>
      </w:pPr>
    </w:p>
    <w:p w14:paraId="41BC0A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был выпущен БТ-2 (3016,48).</w:t>
      </w:r>
    </w:p>
    <w:p w14:paraId="65F921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97DE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танки Т-26 отечественной сборки начали самостоятельно выпол</w:t>
      </w:r>
      <w:r w:rsidRPr="007122AB">
        <w:rPr>
          <w:rFonts w:ascii="Times New Roman" w:hAnsi="Times New Roman"/>
          <w:color w:val="000000" w:themeColor="text1"/>
          <w:sz w:val="16"/>
          <w:szCs w:val="16"/>
        </w:rPr>
        <w:softHyphen/>
        <w:t>зать из ворот завода и передвигаться по заводскому полиго</w:t>
      </w:r>
      <w:r w:rsidRPr="007122AB">
        <w:rPr>
          <w:rFonts w:ascii="Times New Roman" w:hAnsi="Times New Roman"/>
          <w:color w:val="000000" w:themeColor="text1"/>
          <w:sz w:val="16"/>
          <w:szCs w:val="16"/>
        </w:rPr>
        <w:softHyphen/>
        <w:t>ну. К концу года на заводе скопился уже приличный задел в 120 готовых танков Т-26, однако попытки сдать их полнос</w:t>
      </w:r>
      <w:r w:rsidRPr="007122AB">
        <w:rPr>
          <w:rFonts w:ascii="Times New Roman" w:hAnsi="Times New Roman"/>
          <w:color w:val="000000" w:themeColor="text1"/>
          <w:sz w:val="16"/>
          <w:szCs w:val="16"/>
        </w:rPr>
        <w:softHyphen/>
        <w:t>тью успехом не увенчались. После долгих проволочек заказчик согласился принять 88 танков, причем половину условно, как несущие корпуса из сырой брони, кроме того, заводу предлагалось в ближай</w:t>
      </w:r>
      <w:r w:rsidRPr="007122AB">
        <w:rPr>
          <w:rFonts w:ascii="Times New Roman" w:hAnsi="Times New Roman"/>
          <w:color w:val="000000" w:themeColor="text1"/>
          <w:sz w:val="16"/>
          <w:szCs w:val="16"/>
        </w:rPr>
        <w:softHyphen/>
        <w:t>шее время провести на всех танках замену двигателей на новые, так как у большинства при работе под нагрузкой (в движении) они издавали «множественные посторонние шумы и испытывали перебои» (10733,176).</w:t>
      </w:r>
    </w:p>
    <w:p w14:paraId="5A48B7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FB8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«Большевик» получил необычный заказ -</w:t>
      </w:r>
      <w:proofErr w:type="spellStart"/>
      <w:r w:rsidRPr="007122AB">
        <w:rPr>
          <w:rFonts w:ascii="Times New Roman" w:hAnsi="Times New Roman"/>
          <w:color w:val="000000" w:themeColor="text1"/>
          <w:sz w:val="16"/>
          <w:szCs w:val="16"/>
        </w:rPr>
        <w:t>риготовить</w:t>
      </w:r>
      <w:proofErr w:type="spellEnd"/>
      <w:r w:rsidRPr="007122AB">
        <w:rPr>
          <w:rFonts w:ascii="Times New Roman" w:hAnsi="Times New Roman"/>
          <w:color w:val="000000" w:themeColor="text1"/>
          <w:sz w:val="16"/>
          <w:szCs w:val="16"/>
        </w:rPr>
        <w:t xml:space="preserve"> и отгрузить в распоряжение </w:t>
      </w:r>
      <w:proofErr w:type="spellStart"/>
      <w:r w:rsidRPr="007122AB">
        <w:rPr>
          <w:rFonts w:ascii="Times New Roman" w:hAnsi="Times New Roman"/>
          <w:color w:val="000000" w:themeColor="text1"/>
          <w:sz w:val="16"/>
          <w:szCs w:val="16"/>
        </w:rPr>
        <w:t>Мобуправления</w:t>
      </w:r>
      <w:proofErr w:type="spellEnd"/>
      <w:r w:rsidRPr="007122AB">
        <w:rPr>
          <w:rFonts w:ascii="Times New Roman" w:hAnsi="Times New Roman"/>
          <w:color w:val="000000" w:themeColor="text1"/>
          <w:sz w:val="16"/>
          <w:szCs w:val="16"/>
        </w:rPr>
        <w:t xml:space="preserve"> РККА 12 учебных комплектов танка Т-26. Эти комплекты </w:t>
      </w:r>
      <w:proofErr w:type="spellStart"/>
      <w:r w:rsidRPr="007122AB">
        <w:rPr>
          <w:rFonts w:ascii="Times New Roman" w:hAnsi="Times New Roman"/>
          <w:color w:val="000000" w:themeColor="text1"/>
          <w:sz w:val="16"/>
          <w:szCs w:val="16"/>
        </w:rPr>
        <w:t>цставляли</w:t>
      </w:r>
      <w:proofErr w:type="spellEnd"/>
      <w:r w:rsidRPr="007122AB">
        <w:rPr>
          <w:rFonts w:ascii="Times New Roman" w:hAnsi="Times New Roman"/>
          <w:color w:val="000000" w:themeColor="text1"/>
          <w:sz w:val="16"/>
          <w:szCs w:val="16"/>
        </w:rPr>
        <w:t xml:space="preserve"> собой частично или полностью препарированные танки, в которых было бы хорошо видно взаимное рас</w:t>
      </w:r>
      <w:r w:rsidRPr="007122AB">
        <w:rPr>
          <w:rFonts w:ascii="Times New Roman" w:hAnsi="Times New Roman"/>
          <w:color w:val="000000" w:themeColor="text1"/>
          <w:sz w:val="16"/>
          <w:szCs w:val="16"/>
        </w:rPr>
        <w:softHyphen/>
        <w:t>положение и взаимодействие различных узлов и механизмов. Учебные комплекты были собраны из забракованных дета</w:t>
      </w:r>
      <w:r w:rsidRPr="007122AB">
        <w:rPr>
          <w:rFonts w:ascii="Times New Roman" w:hAnsi="Times New Roman"/>
          <w:color w:val="000000" w:themeColor="text1"/>
          <w:sz w:val="16"/>
          <w:szCs w:val="16"/>
        </w:rPr>
        <w:softHyphen/>
        <w:t>лей и отгружены в отведенные сроки. Видимо, это был пер</w:t>
      </w:r>
      <w:r w:rsidRPr="007122AB">
        <w:rPr>
          <w:rFonts w:ascii="Times New Roman" w:hAnsi="Times New Roman"/>
          <w:color w:val="000000" w:themeColor="text1"/>
          <w:sz w:val="16"/>
          <w:szCs w:val="16"/>
        </w:rPr>
        <w:softHyphen/>
        <w:t xml:space="preserve">вый </w:t>
      </w:r>
      <w:proofErr w:type="spellStart"/>
      <w:r w:rsidRPr="007122AB">
        <w:rPr>
          <w:rFonts w:ascii="Times New Roman" w:hAnsi="Times New Roman"/>
          <w:color w:val="000000" w:themeColor="text1"/>
          <w:sz w:val="16"/>
          <w:szCs w:val="16"/>
        </w:rPr>
        <w:t>закаЪ</w:t>
      </w:r>
      <w:proofErr w:type="spellEnd"/>
      <w:r w:rsidRPr="007122AB">
        <w:rPr>
          <w:rFonts w:ascii="Times New Roman" w:hAnsi="Times New Roman"/>
          <w:color w:val="000000" w:themeColor="text1"/>
          <w:sz w:val="16"/>
          <w:szCs w:val="16"/>
        </w:rPr>
        <w:t xml:space="preserve"> по Т-26, выполненный своевременно и полностью (10733,176).</w:t>
      </w:r>
    </w:p>
    <w:p w14:paraId="1A5896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3EE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в производство принимается цилиндри</w:t>
      </w:r>
      <w:r w:rsidRPr="007122AB">
        <w:rPr>
          <w:rFonts w:ascii="Times New Roman" w:hAnsi="Times New Roman"/>
          <w:color w:val="000000" w:themeColor="text1"/>
          <w:sz w:val="16"/>
          <w:szCs w:val="16"/>
        </w:rPr>
        <w:softHyphen/>
        <w:t>ческая пулеметная повышенная башня со смотровым окном. Кроме того, для улучшения работы мотора его отодвинули на 77 мм ближе к корме, соответственно удлинив кардан и изме</w:t>
      </w:r>
      <w:r w:rsidRPr="007122AB">
        <w:rPr>
          <w:rFonts w:ascii="Times New Roman" w:hAnsi="Times New Roman"/>
          <w:color w:val="000000" w:themeColor="text1"/>
          <w:sz w:val="16"/>
          <w:szCs w:val="16"/>
        </w:rPr>
        <w:softHyphen/>
        <w:t>нив вывод выхлопной трубы и крепление глушителя Т-26 (10733,179).</w:t>
      </w:r>
    </w:p>
    <w:p w14:paraId="53091D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239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начался выпуск Т-26 и 15 первых машин приняли участие в военном параде 7 ноября 1931.</w:t>
      </w:r>
    </w:p>
    <w:p w14:paraId="791FDE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отличие от английского образца на советском танке была более толстая броня (15 мм вместо 13) и двигатель воздушного охлаждения мощностью 90 л.с. отечественного производства. Масса его достигала 8,2 т, скорость - 30 км/ч, экипаж - три человека. Внешне он почти ничем не отличался о своего английского прототипа, если на считать несколько измененной формы передней части корпуса и очертаний двух независимо вращающихся пулеметных башен. Каждая башня могла поворачиваться на угол 240 градусов. В переднем и заднем секторах (по 100 градусов) могли вести огонь обе башни. Такое размещение вооружения, по мысли английских конструкторов, обеспечивало наибольший темп стрельбы и позволяло вести огонь одновременно с правого и левого бортов. Но при такой компоновке оказалось трудно установить в башне пушечное вооружение из-за малого диаметра погона, а также использовать всю огневую мощь на борт (3861).</w:t>
      </w:r>
    </w:p>
    <w:p w14:paraId="56B46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9634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осени 1931 для Т-26 с двумя башнями приняли новую улучшенную башню со смотровым окном (9527,70).</w:t>
      </w:r>
    </w:p>
    <w:p w14:paraId="375FB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4218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Н.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предло</w:t>
      </w:r>
      <w:r w:rsidRPr="007122AB">
        <w:rPr>
          <w:rFonts w:ascii="Times New Roman" w:hAnsi="Times New Roman"/>
          <w:color w:val="000000" w:themeColor="text1"/>
          <w:sz w:val="16"/>
          <w:szCs w:val="16"/>
        </w:rPr>
        <w:softHyphen/>
        <w:t>жил УММ проект танка Д-38, представлявший собой танк «Кристи» с 37-мм пушкой в башне и 76-мм пушкой в кор</w:t>
      </w:r>
      <w:r w:rsidRPr="007122AB">
        <w:rPr>
          <w:rFonts w:ascii="Times New Roman" w:hAnsi="Times New Roman"/>
          <w:color w:val="000000" w:themeColor="text1"/>
          <w:sz w:val="16"/>
          <w:szCs w:val="16"/>
        </w:rPr>
        <w:softHyphen/>
        <w:t>пусе и разработавший большую башню для 76-мм пушки в Т-26' Правда, специальная комиссия «по проверке расче</w:t>
      </w:r>
      <w:r w:rsidRPr="007122AB">
        <w:rPr>
          <w:rFonts w:ascii="Times New Roman" w:hAnsi="Times New Roman"/>
          <w:color w:val="000000" w:themeColor="text1"/>
          <w:sz w:val="16"/>
          <w:szCs w:val="16"/>
        </w:rPr>
        <w:softHyphen/>
        <w:t>тов и оценки конструкций Д-4, Д-5 и Д-38» сочла данные решения неоправданными и работы по ним в существую</w:t>
      </w:r>
      <w:r w:rsidRPr="007122AB">
        <w:rPr>
          <w:rFonts w:ascii="Times New Roman" w:hAnsi="Times New Roman"/>
          <w:color w:val="000000" w:themeColor="text1"/>
          <w:sz w:val="16"/>
          <w:szCs w:val="16"/>
        </w:rPr>
        <w:softHyphen/>
        <w:t>щем виде предписывала прекратить (10733,334).</w:t>
      </w:r>
    </w:p>
    <w:p w14:paraId="78C1E36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3DDAEF"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Н. И. </w:t>
      </w:r>
      <w:proofErr w:type="spellStart"/>
      <w:r w:rsidRPr="007122AB">
        <w:rPr>
          <w:rFonts w:ascii="Times New Roman" w:hAnsi="Times New Roman"/>
          <w:color w:val="000000" w:themeColor="text1"/>
          <w:sz w:val="16"/>
          <w:szCs w:val="16"/>
        </w:rPr>
        <w:t>Дыренковым</w:t>
      </w:r>
      <w:proofErr w:type="spellEnd"/>
      <w:r w:rsidRPr="007122AB">
        <w:rPr>
          <w:rFonts w:ascii="Times New Roman" w:hAnsi="Times New Roman"/>
          <w:color w:val="000000" w:themeColor="text1"/>
          <w:sz w:val="16"/>
          <w:szCs w:val="16"/>
        </w:rPr>
        <w:t xml:space="preserve"> был разработан проект модернизации вооружения </w:t>
      </w:r>
      <w:hyperlink r:id="rId17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БТ за счет установки 37-мм пушки во вращающейся башне и 76,2-мм пушки — в лобовом листе корпуса машины. Проект не был принят из-за малых размеров боевого отделения, неудачной конструкции агрегатов трансмиссии и приводов к двум парам задних ведущих колес.</w:t>
      </w:r>
    </w:p>
    <w:p w14:paraId="7D04C7AE"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Специальная комиссия «по проверке расчетов и оценки конструкций Д-4, Д-5 и Д-38» сочла данные решения неоправданными и работы по ним в существующем виде предписывала прекратить (15619).</w:t>
      </w:r>
    </w:p>
    <w:p w14:paraId="3B6D5BA4"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6D617F1D"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года </w:t>
      </w:r>
      <w:proofErr w:type="spellStart"/>
      <w:r w:rsidRPr="007122AB">
        <w:rPr>
          <w:rFonts w:ascii="Times New Roman" w:hAnsi="Times New Roman"/>
          <w:color w:val="000000" w:themeColor="text1"/>
          <w:sz w:val="16"/>
          <w:szCs w:val="16"/>
        </w:rPr>
        <w:t>Н.Дыренков</w:t>
      </w:r>
      <w:proofErr w:type="spellEnd"/>
      <w:r w:rsidRPr="007122AB">
        <w:rPr>
          <w:rFonts w:ascii="Times New Roman" w:hAnsi="Times New Roman"/>
          <w:color w:val="000000" w:themeColor="text1"/>
          <w:sz w:val="16"/>
          <w:szCs w:val="16"/>
        </w:rPr>
        <w:t xml:space="preserve"> представил в УММ проект танка Д- 38, представлявший собой танк «Кристи» с 37-мм пушкой в башне и 76-мм пуш</w:t>
      </w:r>
      <w:r w:rsidRPr="007122AB">
        <w:rPr>
          <w:rFonts w:ascii="Times New Roman" w:hAnsi="Times New Roman"/>
          <w:color w:val="000000" w:themeColor="text1"/>
          <w:sz w:val="16"/>
          <w:szCs w:val="16"/>
        </w:rPr>
        <w:softHyphen/>
        <w:t>кой в корпусе. Правда, военные его про</w:t>
      </w:r>
      <w:r w:rsidRPr="007122AB">
        <w:rPr>
          <w:rFonts w:ascii="Times New Roman" w:hAnsi="Times New Roman"/>
          <w:color w:val="000000" w:themeColor="text1"/>
          <w:sz w:val="16"/>
          <w:szCs w:val="16"/>
        </w:rPr>
        <w:softHyphen/>
        <w:t>ект не поддержали, но одновременно да</w:t>
      </w:r>
      <w:r w:rsidRPr="007122AB">
        <w:rPr>
          <w:rFonts w:ascii="Times New Roman" w:hAnsi="Times New Roman"/>
          <w:color w:val="000000" w:themeColor="text1"/>
          <w:sz w:val="16"/>
          <w:szCs w:val="16"/>
        </w:rPr>
        <w:softHyphen/>
        <w:t xml:space="preserve">ли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карт-бланш на создание танка с корпусом БТ и большой башней с 76-мм пушкой. От аналогичной башни для Т-26 она отличалась технологией из</w:t>
      </w:r>
      <w:r w:rsidRPr="007122AB">
        <w:rPr>
          <w:rFonts w:ascii="Times New Roman" w:hAnsi="Times New Roman"/>
          <w:color w:val="000000" w:themeColor="text1"/>
          <w:sz w:val="16"/>
          <w:szCs w:val="16"/>
        </w:rPr>
        <w:softHyphen/>
        <w:t>готовления. Впрочем, на этом отличия заканчивались, недостатки у обеих ба</w:t>
      </w:r>
      <w:r w:rsidRPr="007122AB">
        <w:rPr>
          <w:rFonts w:ascii="Times New Roman" w:hAnsi="Times New Roman"/>
          <w:color w:val="000000" w:themeColor="text1"/>
          <w:sz w:val="16"/>
          <w:szCs w:val="16"/>
        </w:rPr>
        <w:softHyphen/>
        <w:t>шен были одинаковыми, и по этой при</w:t>
      </w:r>
      <w:r w:rsidRPr="007122AB">
        <w:rPr>
          <w:rFonts w:ascii="Times New Roman" w:hAnsi="Times New Roman"/>
          <w:color w:val="000000" w:themeColor="text1"/>
          <w:sz w:val="16"/>
          <w:szCs w:val="16"/>
        </w:rPr>
        <w:softHyphen/>
        <w:t>чине башня для БТ была забракована на тех же основаниях, что и для Т-26. Однако от идеи размещения 76-мм пушки в башне легкого танка не отказа</w:t>
      </w:r>
      <w:r w:rsidRPr="007122AB">
        <w:rPr>
          <w:rFonts w:ascii="Times New Roman" w:hAnsi="Times New Roman"/>
          <w:color w:val="000000" w:themeColor="text1"/>
          <w:sz w:val="16"/>
          <w:szCs w:val="16"/>
        </w:rPr>
        <w:softHyphen/>
        <w:t>лись (15232).</w:t>
      </w:r>
    </w:p>
    <w:p w14:paraId="505661E3"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1CF6201A"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37-мм пушку, спроектированную артиллерийским КБ завода «Большевик», установили в правой башне Т-26. Испытания этой системы прошли успешно, и она была принята на вооружение под индексом Б-3 (15132).</w:t>
      </w:r>
    </w:p>
    <w:p w14:paraId="293A48BC"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3C050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года на ХПЗ построили три первые прототипа нового танка, названного БТ-2 (некоторые источники сообщают, что обозначение БТ-1 зарегистрировали за оригинальными танками Кристи). Первый серийный колесно-гусеничный танк носил обозначение БТ-2 и отличался от американского прототипа многочисленными конструктивными особенностями. Прежде всего танк имел вращающуюся башню (разработанную инженером </w:t>
      </w:r>
      <w:proofErr w:type="spellStart"/>
      <w:r w:rsidRPr="007122AB">
        <w:rPr>
          <w:rFonts w:ascii="Times New Roman" w:hAnsi="Times New Roman"/>
          <w:color w:val="000000" w:themeColor="text1"/>
          <w:sz w:val="16"/>
          <w:szCs w:val="16"/>
        </w:rPr>
        <w:t>А.А.Малоштановым</w:t>
      </w:r>
      <w:proofErr w:type="spellEnd"/>
      <w:r w:rsidRPr="007122AB">
        <w:rPr>
          <w:rFonts w:ascii="Times New Roman" w:hAnsi="Times New Roman"/>
          <w:color w:val="000000" w:themeColor="text1"/>
          <w:sz w:val="16"/>
          <w:szCs w:val="16"/>
        </w:rPr>
        <w:t xml:space="preserve">), оснащался более легкими (с многочисленными облегчающими отверстиями) опорными катками. Было </w:t>
      </w:r>
      <w:proofErr w:type="spellStart"/>
      <w:r w:rsidRPr="007122AB">
        <w:rPr>
          <w:rFonts w:ascii="Times New Roman" w:hAnsi="Times New Roman"/>
          <w:color w:val="000000" w:themeColor="text1"/>
          <w:sz w:val="16"/>
          <w:szCs w:val="16"/>
        </w:rPr>
        <w:t>перекомпоновано</w:t>
      </w:r>
      <w:proofErr w:type="spellEnd"/>
      <w:r w:rsidRPr="007122AB">
        <w:rPr>
          <w:rFonts w:ascii="Times New Roman" w:hAnsi="Times New Roman"/>
          <w:color w:val="000000" w:themeColor="text1"/>
          <w:sz w:val="16"/>
          <w:szCs w:val="16"/>
        </w:rPr>
        <w:t xml:space="preserve"> боевое отделение - перенесли стеллажи </w:t>
      </w:r>
      <w:proofErr w:type="spellStart"/>
      <w:r w:rsidRPr="007122AB">
        <w:rPr>
          <w:rFonts w:ascii="Times New Roman" w:hAnsi="Times New Roman"/>
          <w:color w:val="000000" w:themeColor="text1"/>
          <w:sz w:val="16"/>
          <w:szCs w:val="16"/>
        </w:rPr>
        <w:t>боеукладки</w:t>
      </w:r>
      <w:proofErr w:type="spellEnd"/>
      <w:r w:rsidRPr="007122AB">
        <w:rPr>
          <w:rFonts w:ascii="Times New Roman" w:hAnsi="Times New Roman"/>
          <w:color w:val="000000" w:themeColor="text1"/>
          <w:sz w:val="16"/>
          <w:szCs w:val="16"/>
        </w:rPr>
        <w:t xml:space="preserve">, установили новые </w:t>
      </w:r>
      <w:r w:rsidRPr="007122AB">
        <w:rPr>
          <w:rFonts w:ascii="Times New Roman" w:hAnsi="Times New Roman"/>
          <w:color w:val="000000" w:themeColor="text1"/>
          <w:sz w:val="16"/>
          <w:szCs w:val="16"/>
        </w:rPr>
        <w:lastRenderedPageBreak/>
        <w:t xml:space="preserve">приборы и т.д. Предполагалось вооружить танк 37-мм пушкой и пулеметом, но из-за нехватки пушек танки первой серии вооружали двумя пулеметами (расположенными в одной установке) или не вооружали вообще. </w:t>
      </w:r>
      <w:proofErr w:type="spellStart"/>
      <w:r w:rsidRPr="007122AB">
        <w:rPr>
          <w:rFonts w:ascii="Times New Roman" w:hAnsi="Times New Roman"/>
          <w:color w:val="000000" w:themeColor="text1"/>
          <w:sz w:val="16"/>
          <w:szCs w:val="16"/>
        </w:rPr>
        <w:t>Cуществовало</w:t>
      </w:r>
      <w:proofErr w:type="spellEnd"/>
      <w:r w:rsidRPr="007122AB">
        <w:rPr>
          <w:rFonts w:ascii="Times New Roman" w:hAnsi="Times New Roman"/>
          <w:color w:val="000000" w:themeColor="text1"/>
          <w:sz w:val="16"/>
          <w:szCs w:val="16"/>
        </w:rPr>
        <w:t xml:space="preserve"> по меньшей мере четыре варианта БТ-2 различавшихся вооружением:</w:t>
      </w:r>
    </w:p>
    <w:p w14:paraId="28AEC1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два пулемета в одной установке;</w:t>
      </w:r>
    </w:p>
    <w:p w14:paraId="5332D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два пулемета в одной установке и еще третий в отдельной установке;</w:t>
      </w:r>
    </w:p>
    <w:p w14:paraId="5FD53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пушка калибра 37-мм (без пулеметов);</w:t>
      </w:r>
    </w:p>
    <w:p w14:paraId="12C11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пушка калибра 37-мм и пулемет в отдельной установке (3862).</w:t>
      </w:r>
    </w:p>
    <w:p w14:paraId="1578B7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3333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года, как только были выпущены первые танки БТ-2, Куликов немедлен</w:t>
      </w:r>
      <w:r w:rsidRPr="007122AB">
        <w:rPr>
          <w:rFonts w:ascii="Times New Roman" w:hAnsi="Times New Roman"/>
          <w:color w:val="000000" w:themeColor="text1"/>
          <w:sz w:val="16"/>
          <w:szCs w:val="16"/>
        </w:rPr>
        <w:softHyphen/>
        <w:t>но развернул работы по их всесторонним испытаниям и вскоре цех был загружен не только исследованием выявленных дефектов, но и проработ</w:t>
      </w:r>
      <w:r w:rsidRPr="007122AB">
        <w:rPr>
          <w:rFonts w:ascii="Times New Roman" w:hAnsi="Times New Roman"/>
          <w:color w:val="000000" w:themeColor="text1"/>
          <w:sz w:val="16"/>
          <w:szCs w:val="16"/>
        </w:rPr>
        <w:softHyphen/>
        <w:t xml:space="preserve">кой мероприятий по их устранению. Основная тяжесть всей работы в цехе легла на исследователей, коллектив которых полностью сформировался и сплотился только за последующие 2-3 года. Но молодые специалисты, пришедшие в цех, оказались исследователями по призванию, и сразу включились в работу, показав с самого начала неплохие результаты. В их числе были В.В. </w:t>
      </w:r>
      <w:proofErr w:type="spellStart"/>
      <w:r w:rsidRPr="007122AB">
        <w:rPr>
          <w:rFonts w:ascii="Times New Roman" w:hAnsi="Times New Roman"/>
          <w:color w:val="000000" w:themeColor="text1"/>
          <w:sz w:val="16"/>
          <w:szCs w:val="16"/>
        </w:rPr>
        <w:t>Амиратов</w:t>
      </w:r>
      <w:proofErr w:type="spellEnd"/>
      <w:r w:rsidRPr="007122AB">
        <w:rPr>
          <w:rFonts w:ascii="Times New Roman" w:hAnsi="Times New Roman"/>
          <w:color w:val="000000" w:themeColor="text1"/>
          <w:sz w:val="16"/>
          <w:szCs w:val="16"/>
        </w:rPr>
        <w:t>, проработавший в опытном цехе долгие годы. С 1940 года он стал начальником исследовательского бюро опытного цеха, И.И. Гололобов, ставший вскоре одним из ведущих исследователей цеха, испытателем танка Т-34, О.А. Федотов и И.С. Томашпольский, посвя</w:t>
      </w:r>
      <w:r w:rsidRPr="007122AB">
        <w:rPr>
          <w:rFonts w:ascii="Times New Roman" w:hAnsi="Times New Roman"/>
          <w:color w:val="000000" w:themeColor="text1"/>
          <w:sz w:val="16"/>
          <w:szCs w:val="16"/>
        </w:rPr>
        <w:softHyphen/>
        <w:t>тивший работе в опытном цехе всю свою жизнь, поднимаясь по служеб</w:t>
      </w:r>
      <w:r w:rsidRPr="007122AB">
        <w:rPr>
          <w:rFonts w:ascii="Times New Roman" w:hAnsi="Times New Roman"/>
          <w:color w:val="000000" w:themeColor="text1"/>
          <w:sz w:val="16"/>
          <w:szCs w:val="16"/>
        </w:rPr>
        <w:softHyphen/>
        <w:t>ной лестнице, оба они в дальнейшем стали начальниками этого цеха. Эн</w:t>
      </w:r>
      <w:r w:rsidRPr="007122AB">
        <w:rPr>
          <w:rFonts w:ascii="Times New Roman" w:hAnsi="Times New Roman"/>
          <w:color w:val="000000" w:themeColor="text1"/>
          <w:sz w:val="16"/>
          <w:szCs w:val="16"/>
        </w:rPr>
        <w:softHyphen/>
        <w:t>тузиастами—исследователями в цехе были Е.А. Борковский, М.Г. Ки-</w:t>
      </w:r>
      <w:proofErr w:type="spellStart"/>
      <w:r w:rsidRPr="007122AB">
        <w:rPr>
          <w:rFonts w:ascii="Times New Roman" w:hAnsi="Times New Roman"/>
          <w:color w:val="000000" w:themeColor="text1"/>
          <w:sz w:val="16"/>
          <w:szCs w:val="16"/>
        </w:rPr>
        <w:t>зин</w:t>
      </w:r>
      <w:proofErr w:type="spellEnd"/>
      <w:r w:rsidRPr="007122AB">
        <w:rPr>
          <w:rFonts w:ascii="Times New Roman" w:hAnsi="Times New Roman"/>
          <w:color w:val="000000" w:themeColor="text1"/>
          <w:sz w:val="16"/>
          <w:szCs w:val="16"/>
        </w:rPr>
        <w:t>, И. Руденко, а также работники лабораторий Ю.В. Ломтев, И.Я. Бо</w:t>
      </w:r>
      <w:r w:rsidRPr="007122AB">
        <w:rPr>
          <w:rFonts w:ascii="Times New Roman" w:hAnsi="Times New Roman"/>
          <w:color w:val="000000" w:themeColor="text1"/>
          <w:sz w:val="16"/>
          <w:szCs w:val="16"/>
        </w:rPr>
        <w:softHyphen/>
        <w:t xml:space="preserve">гомолов, </w:t>
      </w:r>
      <w:proofErr w:type="spellStart"/>
      <w:r w:rsidRPr="007122AB">
        <w:rPr>
          <w:rFonts w:ascii="Times New Roman" w:hAnsi="Times New Roman"/>
          <w:color w:val="000000" w:themeColor="text1"/>
          <w:sz w:val="16"/>
          <w:szCs w:val="16"/>
        </w:rPr>
        <w:t>М.Калугин</w:t>
      </w:r>
      <w:proofErr w:type="spellEnd"/>
      <w:r w:rsidRPr="007122AB">
        <w:rPr>
          <w:rFonts w:ascii="Times New Roman" w:hAnsi="Times New Roman"/>
          <w:color w:val="000000" w:themeColor="text1"/>
          <w:sz w:val="16"/>
          <w:szCs w:val="16"/>
        </w:rPr>
        <w:t xml:space="preserve"> и другие. К.А. Куликов обратил особое внимание подготовке водительских кад</w:t>
      </w:r>
      <w:r w:rsidRPr="007122AB">
        <w:rPr>
          <w:rFonts w:ascii="Times New Roman" w:hAnsi="Times New Roman"/>
          <w:color w:val="000000" w:themeColor="text1"/>
          <w:sz w:val="16"/>
          <w:szCs w:val="16"/>
        </w:rPr>
        <w:softHyphen/>
        <w:t xml:space="preserve">ров для опытного цеха. К началу </w:t>
      </w:r>
      <w:proofErr w:type="spellStart"/>
      <w:r w:rsidRPr="007122AB">
        <w:rPr>
          <w:rFonts w:ascii="Times New Roman" w:hAnsi="Times New Roman"/>
          <w:color w:val="000000" w:themeColor="text1"/>
          <w:sz w:val="16"/>
          <w:szCs w:val="16"/>
        </w:rPr>
        <w:t>пробеговых</w:t>
      </w:r>
      <w:proofErr w:type="spellEnd"/>
      <w:r w:rsidRPr="007122AB">
        <w:rPr>
          <w:rFonts w:ascii="Times New Roman" w:hAnsi="Times New Roman"/>
          <w:color w:val="000000" w:themeColor="text1"/>
          <w:sz w:val="16"/>
          <w:szCs w:val="16"/>
        </w:rPr>
        <w:t xml:space="preserve"> испытаний первых танков в опытном цехе было уже около 15 подготовленных водителей, среди кото</w:t>
      </w:r>
      <w:r w:rsidRPr="007122AB">
        <w:rPr>
          <w:rFonts w:ascii="Times New Roman" w:hAnsi="Times New Roman"/>
          <w:color w:val="000000" w:themeColor="text1"/>
          <w:sz w:val="16"/>
          <w:szCs w:val="16"/>
        </w:rPr>
        <w:softHyphen/>
        <w:t xml:space="preserve">рых вскоре выделились мастера вождения, первые ассы опытного цеха — </w:t>
      </w:r>
      <w:proofErr w:type="spellStart"/>
      <w:r w:rsidRPr="007122AB">
        <w:rPr>
          <w:rFonts w:ascii="Times New Roman" w:hAnsi="Times New Roman"/>
          <w:color w:val="000000" w:themeColor="text1"/>
          <w:sz w:val="16"/>
          <w:szCs w:val="16"/>
        </w:rPr>
        <w:t>И.Г.Битенский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С.М.Пономарев</w:t>
      </w:r>
      <w:proofErr w:type="spellEnd"/>
      <w:r w:rsidRPr="007122AB">
        <w:rPr>
          <w:rFonts w:ascii="Times New Roman" w:hAnsi="Times New Roman"/>
          <w:color w:val="000000" w:themeColor="text1"/>
          <w:sz w:val="16"/>
          <w:szCs w:val="16"/>
        </w:rPr>
        <w:t xml:space="preserve">, а вскоре и </w:t>
      </w:r>
      <w:proofErr w:type="spellStart"/>
      <w:r w:rsidRPr="007122AB">
        <w:rPr>
          <w:rFonts w:ascii="Times New Roman" w:hAnsi="Times New Roman"/>
          <w:color w:val="000000" w:themeColor="text1"/>
          <w:sz w:val="16"/>
          <w:szCs w:val="16"/>
        </w:rPr>
        <w:t>Н.Ф.Носик</w:t>
      </w:r>
      <w:proofErr w:type="spellEnd"/>
      <w:r w:rsidRPr="007122AB">
        <w:rPr>
          <w:rFonts w:ascii="Times New Roman" w:hAnsi="Times New Roman"/>
          <w:color w:val="000000" w:themeColor="text1"/>
          <w:sz w:val="16"/>
          <w:szCs w:val="16"/>
        </w:rPr>
        <w:t>. Опытный цех со временем стал одним из важнейших подразделений танкового производства и первым помощником конструкторов КБ. В от</w:t>
      </w:r>
      <w:r w:rsidRPr="007122AB">
        <w:rPr>
          <w:rFonts w:ascii="Times New Roman" w:hAnsi="Times New Roman"/>
          <w:color w:val="000000" w:themeColor="text1"/>
          <w:sz w:val="16"/>
          <w:szCs w:val="16"/>
        </w:rPr>
        <w:softHyphen/>
        <w:t>работке конструкции и эксплуатационных качеств не только семейства БТ, но и последующих моделей, опытный цех внес существенный вклад. Его работники активно участвовали во всех проводимых сборочным Цехом и военными представителями всевозможных проверках и специ</w:t>
      </w:r>
      <w:r w:rsidRPr="007122AB">
        <w:rPr>
          <w:rFonts w:ascii="Times New Roman" w:hAnsi="Times New Roman"/>
          <w:color w:val="000000" w:themeColor="text1"/>
          <w:sz w:val="16"/>
          <w:szCs w:val="16"/>
        </w:rPr>
        <w:softHyphen/>
        <w:t>альных испытаниях. А их было немало (11504).</w:t>
      </w:r>
    </w:p>
    <w:p w14:paraId="6E4D18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5C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осени 1931 КГ в составе Асафова, Алексеева и Скворцова, созданная весной 1931 по заданию ЭКО ОГПУ ЛВО разработала три проекта средних танков (9527,117).</w:t>
      </w:r>
    </w:p>
    <w:p w14:paraId="58FF04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4977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прекратились развернутые в июне 1931 работы по созданию легкого трактора на базе узлов и агрегатов легкого танка Т-20 и танкетки Т-23 (9527,211).</w:t>
      </w:r>
    </w:p>
    <w:p w14:paraId="7F719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5E2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Рембаза N 2 установила на шасси трехосных американских грузовиков Форд </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xml:space="preserve"> бронекорпус автомобиля БА-27. Потом на этой же базе БА Д-13 делали по проекту </w:t>
      </w:r>
      <w:proofErr w:type="spellStart"/>
      <w:r w:rsidRPr="007122AB">
        <w:rPr>
          <w:rFonts w:ascii="Times New Roman" w:hAnsi="Times New Roman"/>
          <w:color w:val="000000" w:themeColor="text1"/>
          <w:sz w:val="16"/>
          <w:szCs w:val="16"/>
        </w:rPr>
        <w:t>Н.И.Дыренкова</w:t>
      </w:r>
      <w:proofErr w:type="spellEnd"/>
      <w:r w:rsidRPr="007122AB">
        <w:rPr>
          <w:rFonts w:ascii="Times New Roman" w:hAnsi="Times New Roman"/>
          <w:color w:val="000000" w:themeColor="text1"/>
          <w:sz w:val="16"/>
          <w:szCs w:val="16"/>
        </w:rPr>
        <w:t xml:space="preserve"> на Ижорском заводе и БА-И на том же заводе по проекту </w:t>
      </w:r>
      <w:proofErr w:type="spellStart"/>
      <w:r w:rsidRPr="007122AB">
        <w:rPr>
          <w:rFonts w:ascii="Times New Roman" w:hAnsi="Times New Roman"/>
          <w:color w:val="000000" w:themeColor="text1"/>
          <w:sz w:val="16"/>
          <w:szCs w:val="16"/>
        </w:rPr>
        <w:t>А.Д.Кузьмина</w:t>
      </w:r>
      <w:proofErr w:type="spellEnd"/>
      <w:r w:rsidRPr="007122AB">
        <w:rPr>
          <w:rFonts w:ascii="Times New Roman" w:hAnsi="Times New Roman"/>
          <w:color w:val="000000" w:themeColor="text1"/>
          <w:sz w:val="16"/>
          <w:szCs w:val="16"/>
        </w:rPr>
        <w:t xml:space="preserve"> (3286,34).</w:t>
      </w:r>
    </w:p>
    <w:p w14:paraId="6A79F9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555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на заводе Большевик была разработана и изготовлена 76 мм СУ-1 на базе Т-26 (9627,262).</w:t>
      </w:r>
    </w:p>
    <w:p w14:paraId="38F844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590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на испытания поступил автомобиль повышенной проходимости НАТИ-2, разработанный </w:t>
      </w:r>
      <w:proofErr w:type="spellStart"/>
      <w:r w:rsidRPr="007122AB">
        <w:rPr>
          <w:rFonts w:ascii="Times New Roman" w:hAnsi="Times New Roman"/>
          <w:color w:val="000000" w:themeColor="text1"/>
          <w:sz w:val="16"/>
          <w:szCs w:val="16"/>
        </w:rPr>
        <w:t>Г.А.Сонкиным</w:t>
      </w:r>
      <w:proofErr w:type="spellEnd"/>
      <w:r w:rsidRPr="007122AB">
        <w:rPr>
          <w:rFonts w:ascii="Times New Roman" w:hAnsi="Times New Roman"/>
          <w:color w:val="000000" w:themeColor="text1"/>
          <w:sz w:val="16"/>
          <w:szCs w:val="16"/>
        </w:rPr>
        <w:t>. Построен в 2 экз. При содействии отдела вооружений ГУПО и В ОГПУ на средства ЦС Автодора (10536,34).</w:t>
      </w:r>
    </w:p>
    <w:p w14:paraId="1D9722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0A0CA7"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образец полугусеничного автомобиля </w:t>
      </w:r>
      <w:proofErr w:type="spellStart"/>
      <w:r w:rsidRPr="007122AB">
        <w:rPr>
          <w:rFonts w:ascii="Times New Roman" w:hAnsi="Times New Roman"/>
          <w:color w:val="000000" w:themeColor="text1"/>
          <w:sz w:val="16"/>
          <w:szCs w:val="16"/>
        </w:rPr>
        <w:t>Сонкина</w:t>
      </w:r>
      <w:proofErr w:type="spellEnd"/>
      <w:r w:rsidRPr="007122AB">
        <w:rPr>
          <w:rFonts w:ascii="Times New Roman" w:hAnsi="Times New Roman"/>
          <w:color w:val="000000" w:themeColor="text1"/>
          <w:sz w:val="16"/>
          <w:szCs w:val="16"/>
        </w:rPr>
        <w:t xml:space="preserve"> поступила на испытания В какой только грязи не пытались утонить испытатели НАТИ-2. Тщетно. Автомобиль с честью выбирался из, казалось, совсем безвылазного положения. Были отмечены поломки, правда, не столь многочисленные, как доселе, но машина просто завораживала своей проходимостью.</w:t>
      </w:r>
    </w:p>
    <w:p w14:paraId="7E9431DD"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 работы в HATИ выполнялись строго в соответствии с научно-производственным планом с утверждением надлежащего наименования и номера темы. Так, в 1932 г. по теме №18 следовало разработать аппаратуру подводного хождения к танку Т-26. Тема №21 называлась «Проектирование парового танка на основе Т-28». Работы по теме №15 предполагали выпуск рабочих чертежей и проведение всесторонних испытаний НАТИ-2. </w:t>
      </w:r>
    </w:p>
    <w:p w14:paraId="1649EB44"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в планы ИДТИ была включена тема №13 «Проектирование грузового вездехода и постромка 2-х опытных образцов». В 1933 г. в ИДТИ произошла реорганизация, приведшая к изменению порядка ведения НИОКР и обозначению тем. Теперь к номеру темы добавлялся буквенным индекс. Тапки помечались литерой «А», например, за индексом «А 13» скрывались работы по созданию тягача на базе танкетки Т-27. Не трудно догадаться, что сделать что-либо путное по этой теме не удалось.</w:t>
      </w:r>
    </w:p>
    <w:p w14:paraId="2CD34C79"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Вездеходы получили литеру «В». Так разработка серийных чертежей и изготовление новых образцов НАТИ-2 проходили по темам «В6» и «В8». Испытание Форд-АА и Форд-А, оснащенных по заказу армии гусеничным ходом типа «</w:t>
      </w:r>
      <w:proofErr w:type="spellStart"/>
      <w:r w:rsidRPr="007122AB">
        <w:rPr>
          <w:rFonts w:ascii="Times New Roman" w:hAnsi="Times New Roman"/>
          <w:color w:val="000000" w:themeColor="text1"/>
          <w:sz w:val="16"/>
          <w:szCs w:val="16"/>
        </w:rPr>
        <w:t>Кегресс</w:t>
      </w:r>
      <w:proofErr w:type="spellEnd"/>
      <w:r w:rsidRPr="007122AB">
        <w:rPr>
          <w:rFonts w:ascii="Times New Roman" w:hAnsi="Times New Roman"/>
          <w:color w:val="000000" w:themeColor="text1"/>
          <w:sz w:val="16"/>
          <w:szCs w:val="16"/>
        </w:rPr>
        <w:t>», выполнялось по теме «В».</w:t>
      </w:r>
    </w:p>
    <w:p w14:paraId="41297D59"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Темы «152», «В5», «В9» разрабатывались в комплексе и подразумевали:</w:t>
      </w:r>
    </w:p>
    <w:p w14:paraId="6FBA8C6E"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«Окончание проектов:</w:t>
      </w:r>
    </w:p>
    <w:p w14:paraId="62AA54A4"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Колесно-гусеничный </w:t>
      </w:r>
      <w:proofErr w:type="spellStart"/>
      <w:r w:rsidRPr="007122AB">
        <w:rPr>
          <w:rFonts w:ascii="Times New Roman" w:hAnsi="Times New Roman"/>
          <w:color w:val="000000" w:themeColor="text1"/>
          <w:sz w:val="16"/>
          <w:szCs w:val="16"/>
        </w:rPr>
        <w:t>движетель</w:t>
      </w:r>
      <w:proofErr w:type="spellEnd"/>
      <w:r w:rsidRPr="007122AB">
        <w:rPr>
          <w:rFonts w:ascii="Times New Roman" w:hAnsi="Times New Roman"/>
          <w:color w:val="000000" w:themeColor="text1"/>
          <w:sz w:val="16"/>
          <w:szCs w:val="16"/>
        </w:rPr>
        <w:t>.</w:t>
      </w:r>
    </w:p>
    <w:p w14:paraId="3B7DFB02"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Грузовой вездеход.</w:t>
      </w:r>
    </w:p>
    <w:p w14:paraId="6B1356FD"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Проектирование легко бронированного вездехода».</w:t>
      </w:r>
    </w:p>
    <w:p w14:paraId="5FFD0AE4"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рамках тем «В2», «В5», «В9» вездеходы не строились, а существовали в виде схем, рисунков, смет, расчетов и чертежей. Тема «В2» заменила тему №13, а потому работа не заглохла и развилась в тему «В3» испытание и доводку конструкции грузового вездехода. В ходе реализации тем «В2» и «ВЗ» был разработан вездеход НАТИ-3. Тема «В» («В-1») была единственной финансируемой через военных. Генеральным заказчиком по всем остальным направлениям было ОГПУ.</w:t>
      </w:r>
    </w:p>
    <w:p w14:paraId="0997A4B9" w14:textId="77777777" w:rsidR="004D11D4" w:rsidRPr="007122AB" w:rsidRDefault="004D11D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Руководил всеми работами над темами с литерой «В» по-прежнему </w:t>
      </w:r>
      <w:proofErr w:type="spellStart"/>
      <w:r w:rsidRPr="007122AB">
        <w:rPr>
          <w:rFonts w:ascii="Times New Roman" w:hAnsi="Times New Roman"/>
          <w:color w:val="000000" w:themeColor="text1"/>
          <w:sz w:val="16"/>
          <w:szCs w:val="16"/>
        </w:rPr>
        <w:t>Сонкин</w:t>
      </w:r>
      <w:proofErr w:type="spellEnd"/>
      <w:r w:rsidRPr="007122AB">
        <w:rPr>
          <w:rFonts w:ascii="Times New Roman" w:hAnsi="Times New Roman"/>
          <w:color w:val="000000" w:themeColor="text1"/>
          <w:sz w:val="16"/>
          <w:szCs w:val="16"/>
        </w:rPr>
        <w:t xml:space="preserve">, а ответственными исполнителями были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Малаховский, Король, </w:t>
      </w:r>
      <w:proofErr w:type="spellStart"/>
      <w:r w:rsidRPr="007122AB">
        <w:rPr>
          <w:rFonts w:ascii="Times New Roman" w:hAnsi="Times New Roman"/>
          <w:color w:val="000000" w:themeColor="text1"/>
          <w:sz w:val="16"/>
          <w:szCs w:val="16"/>
        </w:rPr>
        <w:t>Флюков</w:t>
      </w:r>
      <w:proofErr w:type="spellEnd"/>
      <w:r w:rsidRPr="007122AB">
        <w:rPr>
          <w:rFonts w:ascii="Times New Roman" w:hAnsi="Times New Roman"/>
          <w:color w:val="000000" w:themeColor="text1"/>
          <w:sz w:val="16"/>
          <w:szCs w:val="16"/>
        </w:rPr>
        <w:t xml:space="preserve"> и Элькинд. (15593).</w:t>
      </w:r>
    </w:p>
    <w:p w14:paraId="19970328" w14:textId="77777777" w:rsidR="004D11D4" w:rsidRPr="007122AB" w:rsidRDefault="004D11D4" w:rsidP="007122AB">
      <w:pPr>
        <w:spacing w:after="0" w:line="240" w:lineRule="auto"/>
        <w:jc w:val="both"/>
        <w:rPr>
          <w:rFonts w:ascii="Times New Roman" w:hAnsi="Times New Roman"/>
          <w:color w:val="000000" w:themeColor="text1"/>
          <w:sz w:val="16"/>
          <w:szCs w:val="16"/>
        </w:rPr>
      </w:pPr>
    </w:p>
    <w:p w14:paraId="5160E6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когда УММ РККА получил информацию об испытании в Великобритании амфибии фирмы «Виккерс» в СССР началось проектирование разведывательных танков-амфибий. В ОКМО были доставлены от представителя «Аркос» все имеющиеся информационные материалы, в том числе: «Газет иностранных — 5 </w:t>
      </w:r>
      <w:proofErr w:type="spellStart"/>
      <w:r w:rsidRPr="007122AB">
        <w:rPr>
          <w:rFonts w:ascii="Times New Roman" w:hAnsi="Times New Roman"/>
          <w:color w:val="000000" w:themeColor="text1"/>
          <w:sz w:val="16"/>
          <w:szCs w:val="16"/>
        </w:rPr>
        <w:t>шт</w:t>
      </w:r>
      <w:proofErr w:type="spellEnd"/>
      <w:r w:rsidRPr="007122AB">
        <w:rPr>
          <w:rFonts w:ascii="Times New Roman" w:hAnsi="Times New Roman"/>
          <w:color w:val="000000" w:themeColor="text1"/>
          <w:sz w:val="16"/>
          <w:szCs w:val="16"/>
        </w:rPr>
        <w:t>, фотографий - 4 шт., письмо тов. Сквирского с описанием нового танка — 1 ». Никакими другими сведениями об английском танке-</w:t>
      </w:r>
      <w:proofErr w:type="spellStart"/>
      <w:r w:rsidRPr="007122AB">
        <w:rPr>
          <w:rFonts w:ascii="Times New Roman" w:hAnsi="Times New Roman"/>
          <w:color w:val="000000" w:themeColor="text1"/>
          <w:sz w:val="16"/>
          <w:szCs w:val="16"/>
        </w:rPr>
        <w:t>ибии</w:t>
      </w:r>
      <w:proofErr w:type="spellEnd"/>
      <w:r w:rsidRPr="007122AB">
        <w:rPr>
          <w:rFonts w:ascii="Times New Roman" w:hAnsi="Times New Roman"/>
          <w:color w:val="000000" w:themeColor="text1"/>
          <w:sz w:val="16"/>
          <w:szCs w:val="16"/>
        </w:rPr>
        <w:t xml:space="preserve"> до начала проектных работ ОКМО не располагал. Видимо, по полученным фотографиям конструкторы определили, что ходовая часть амфибии идентична ходовой части гусеничного трактора «Карден-Ллойд», закупленного в Великобритании в 1930 г. Поэтому компоновка и ходовая часть отечественного плавающего танка, проектировавшего</w:t>
      </w:r>
      <w:r w:rsidRPr="007122AB">
        <w:rPr>
          <w:rFonts w:ascii="Times New Roman" w:hAnsi="Times New Roman"/>
          <w:color w:val="000000" w:themeColor="text1"/>
          <w:sz w:val="16"/>
          <w:szCs w:val="16"/>
        </w:rPr>
        <w:softHyphen/>
        <w:t>ся по теме «Селезень», была подобна компоновке указанно</w:t>
      </w:r>
      <w:r w:rsidRPr="007122AB">
        <w:rPr>
          <w:rFonts w:ascii="Times New Roman" w:hAnsi="Times New Roman"/>
          <w:color w:val="000000" w:themeColor="text1"/>
          <w:sz w:val="16"/>
          <w:szCs w:val="16"/>
        </w:rPr>
        <w:softHyphen/>
        <w:t>го легкого трактора (10733,151).</w:t>
      </w:r>
    </w:p>
    <w:p w14:paraId="0D89EF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BC4D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года в ТО ЭКО ПП ОГПУ спроектиро</w:t>
      </w:r>
      <w:r w:rsidRPr="007122AB">
        <w:rPr>
          <w:rFonts w:ascii="Times New Roman" w:hAnsi="Times New Roman"/>
          <w:color w:val="000000" w:themeColor="text1"/>
          <w:sz w:val="16"/>
          <w:szCs w:val="16"/>
        </w:rPr>
        <w:softHyphen/>
        <w:t>вали и изготовили броневой корпус для грузовика «Форд-АА». С базового автомобиля сняли грузовой кузов, кабину и сиденья. Передние рессоры усилили пятью листами, а зад</w:t>
      </w:r>
      <w:r w:rsidRPr="007122AB">
        <w:rPr>
          <w:rFonts w:ascii="Times New Roman" w:hAnsi="Times New Roman"/>
          <w:color w:val="000000" w:themeColor="text1"/>
          <w:sz w:val="16"/>
          <w:szCs w:val="16"/>
        </w:rPr>
        <w:softHyphen/>
        <w:t>ние оставили безо всяких изменений. Для избежания пере</w:t>
      </w:r>
      <w:r w:rsidRPr="007122AB">
        <w:rPr>
          <w:rFonts w:ascii="Times New Roman" w:hAnsi="Times New Roman"/>
          <w:color w:val="000000" w:themeColor="text1"/>
          <w:sz w:val="16"/>
          <w:szCs w:val="16"/>
        </w:rPr>
        <w:softHyphen/>
        <w:t>грева машины при движении в водяную трубу над мотором встроили аэротермометр, а указатель со стрелкой установи</w:t>
      </w:r>
      <w:r w:rsidRPr="007122AB">
        <w:rPr>
          <w:rFonts w:ascii="Times New Roman" w:hAnsi="Times New Roman"/>
          <w:color w:val="000000" w:themeColor="text1"/>
          <w:sz w:val="16"/>
          <w:szCs w:val="16"/>
        </w:rPr>
        <w:softHyphen/>
        <w:t>ли на щитке водителя. В остальном шасси «Форд-АА» оста</w:t>
      </w:r>
      <w:r w:rsidRPr="007122AB">
        <w:rPr>
          <w:rFonts w:ascii="Times New Roman" w:hAnsi="Times New Roman"/>
          <w:color w:val="000000" w:themeColor="text1"/>
          <w:sz w:val="16"/>
          <w:szCs w:val="16"/>
        </w:rPr>
        <w:softHyphen/>
        <w:t>лось без изменений.</w:t>
      </w:r>
    </w:p>
    <w:p w14:paraId="75FE09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Броневой корпус изготавливался из броневых лис</w:t>
      </w:r>
      <w:r w:rsidRPr="007122AB">
        <w:rPr>
          <w:rFonts w:ascii="Times New Roman" w:hAnsi="Times New Roman"/>
          <w:color w:val="000000" w:themeColor="text1"/>
          <w:sz w:val="16"/>
          <w:szCs w:val="16"/>
        </w:rPr>
        <w:softHyphen/>
        <w:t>тов, сваренных между собой. Изнутри сварные швы уси</w:t>
      </w:r>
      <w:r w:rsidRPr="007122AB">
        <w:rPr>
          <w:rFonts w:ascii="Times New Roman" w:hAnsi="Times New Roman"/>
          <w:color w:val="000000" w:themeColor="text1"/>
          <w:sz w:val="16"/>
          <w:szCs w:val="16"/>
        </w:rPr>
        <w:softHyphen/>
        <w:t>ливались дополнительными угольниками. Толщина бро</w:t>
      </w:r>
      <w:r w:rsidRPr="007122AB">
        <w:rPr>
          <w:rFonts w:ascii="Times New Roman" w:hAnsi="Times New Roman"/>
          <w:color w:val="000000" w:themeColor="text1"/>
          <w:sz w:val="16"/>
          <w:szCs w:val="16"/>
        </w:rPr>
        <w:softHyphen/>
        <w:t>ни составляла 10 (лобовой лист и задвижки смотровых окон), 6 (корпус и башни) и 4 мм (крыша и защита ходо</w:t>
      </w:r>
      <w:r w:rsidRPr="007122AB">
        <w:rPr>
          <w:rFonts w:ascii="Times New Roman" w:hAnsi="Times New Roman"/>
          <w:color w:val="000000" w:themeColor="text1"/>
          <w:sz w:val="16"/>
          <w:szCs w:val="16"/>
        </w:rPr>
        <w:softHyphen/>
        <w:t>вой части).</w:t>
      </w:r>
    </w:p>
    <w:p w14:paraId="2DC8BA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машины состоял из водителя и 3 пулеметчи</w:t>
      </w:r>
      <w:r w:rsidRPr="007122AB">
        <w:rPr>
          <w:rFonts w:ascii="Times New Roman" w:hAnsi="Times New Roman"/>
          <w:color w:val="000000" w:themeColor="text1"/>
          <w:sz w:val="16"/>
          <w:szCs w:val="16"/>
        </w:rPr>
        <w:softHyphen/>
        <w:t>ков, вооружение состояло из 3 пулеметов ДТ (в башнях и лобовом листе корпуса). Кроме того, в БАД-1 было 2 за</w:t>
      </w:r>
      <w:r w:rsidRPr="007122AB">
        <w:rPr>
          <w:rFonts w:ascii="Times New Roman" w:hAnsi="Times New Roman"/>
          <w:color w:val="000000" w:themeColor="text1"/>
          <w:sz w:val="16"/>
          <w:szCs w:val="16"/>
        </w:rPr>
        <w:softHyphen/>
        <w:t>пасных ДТ, уложенных на стойках за сиденьем водителя и переднего пулеметчика. На задней дверце корпуса имелся специальный броневой кожух, в котором крепились 2 бал</w:t>
      </w:r>
      <w:r w:rsidRPr="007122AB">
        <w:rPr>
          <w:rFonts w:ascii="Times New Roman" w:hAnsi="Times New Roman"/>
          <w:color w:val="000000" w:themeColor="text1"/>
          <w:sz w:val="16"/>
          <w:szCs w:val="16"/>
        </w:rPr>
        <w:softHyphen/>
        <w:t>лона емкостью на 15 л для постановки дымовых завес. Для растаскивания завалов на дороге на корме машины крепились стальные крюки. Переход на железнодорожный ход осуществлялся при помощи домкрата и стальных бан</w:t>
      </w:r>
      <w:r w:rsidRPr="007122AB">
        <w:rPr>
          <w:rFonts w:ascii="Times New Roman" w:hAnsi="Times New Roman"/>
          <w:color w:val="000000" w:themeColor="text1"/>
          <w:sz w:val="16"/>
          <w:szCs w:val="16"/>
        </w:rPr>
        <w:softHyphen/>
        <w:t>дажей, одеваемых вместо колес.</w:t>
      </w:r>
    </w:p>
    <w:p w14:paraId="08B80E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Бронеавтомобиль, получивший обозначение БАД-1 (боевая автодрезина), изготовили за 36 дней. Его испытания прошли в октябре — ноябре 1931 года в окрестностях Ленинграда и показали хорошие результаты. Через месяц БАД-1 передали на вооружение частей управления погра</w:t>
      </w:r>
      <w:r w:rsidRPr="007122AB">
        <w:rPr>
          <w:rFonts w:ascii="Times New Roman" w:hAnsi="Times New Roman"/>
          <w:color w:val="000000" w:themeColor="text1"/>
          <w:sz w:val="16"/>
          <w:szCs w:val="16"/>
        </w:rPr>
        <w:softHyphen/>
        <w:t>ничной охраны постоянного представительства ОГПУ в ЛВО (11284).</w:t>
      </w:r>
    </w:p>
    <w:p w14:paraId="181167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5C4CE" w14:textId="77777777" w:rsidR="00F50129" w:rsidRPr="007122AB" w:rsidRDefault="00F5012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года на основании рекомендаций по результатам испытаний в бронедивизионе ОГПУ конструкцию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Д-2 значительно доработали, внеся ряд существенных изменений. В первую очередь переделали конструкцию орудийных башен, разместив в них 76,2-мм пушки образца 1902 года на типовых тумбовых установках, применявшихся в советских бронепоездах того периода. Были также доработаны посты управления огнем, установлена внутренняя телефонная связь и радиостанция. Предусмотрели возможность перевода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на «узкую» европейскую колею (1 435 мм). В это время </w:t>
      </w:r>
      <w:proofErr w:type="spellStart"/>
      <w:r w:rsidRPr="007122AB">
        <w:rPr>
          <w:rFonts w:ascii="Times New Roman" w:hAnsi="Times New Roman"/>
          <w:color w:val="000000" w:themeColor="text1"/>
          <w:sz w:val="16"/>
          <w:szCs w:val="16"/>
        </w:rPr>
        <w:t>мотоброневагоном</w:t>
      </w:r>
      <w:proofErr w:type="spellEnd"/>
      <w:r w:rsidRPr="007122AB">
        <w:rPr>
          <w:rFonts w:ascii="Times New Roman" w:hAnsi="Times New Roman"/>
          <w:color w:val="000000" w:themeColor="text1"/>
          <w:sz w:val="16"/>
          <w:szCs w:val="16"/>
        </w:rPr>
        <w:t xml:space="preserve"> Д-2 заинтересовалось управление механизации и моторизации РККА (УММ РККА), которое как раз намечало направления модернизации и совершенствования материальной части бронепоездных частей в соответствии с «Системой танко-, </w:t>
      </w:r>
      <w:proofErr w:type="spellStart"/>
      <w:r w:rsidRPr="007122AB">
        <w:rPr>
          <w:rFonts w:ascii="Times New Roman" w:hAnsi="Times New Roman"/>
          <w:color w:val="000000" w:themeColor="text1"/>
          <w:sz w:val="16"/>
          <w:szCs w:val="16"/>
        </w:rPr>
        <w:t>тракторо</w:t>
      </w:r>
      <w:proofErr w:type="spellEnd"/>
      <w:r w:rsidRPr="007122AB">
        <w:rPr>
          <w:rFonts w:ascii="Times New Roman" w:hAnsi="Times New Roman"/>
          <w:color w:val="000000" w:themeColor="text1"/>
          <w:sz w:val="16"/>
          <w:szCs w:val="16"/>
        </w:rPr>
        <w:t xml:space="preserve">-, авто- и </w:t>
      </w:r>
      <w:proofErr w:type="spellStart"/>
      <w:r w:rsidRPr="007122AB">
        <w:rPr>
          <w:rFonts w:ascii="Times New Roman" w:hAnsi="Times New Roman"/>
          <w:color w:val="000000" w:themeColor="text1"/>
          <w:sz w:val="16"/>
          <w:szCs w:val="16"/>
        </w:rPr>
        <w:t>броневооружения</w:t>
      </w:r>
      <w:proofErr w:type="spellEnd"/>
      <w:r w:rsidRPr="007122AB">
        <w:rPr>
          <w:rFonts w:ascii="Times New Roman" w:hAnsi="Times New Roman"/>
          <w:color w:val="000000" w:themeColor="text1"/>
          <w:sz w:val="16"/>
          <w:szCs w:val="16"/>
        </w:rPr>
        <w:t xml:space="preserve"> РККА», принятой в ноябре 1929 года. И если относительно бронепоездов планировалось предпринять модернизацию и стандартизацию оставшегося после гражданской войны подвижного состава, то с </w:t>
      </w:r>
      <w:proofErr w:type="spellStart"/>
      <w:r w:rsidRPr="007122AB">
        <w:rPr>
          <w:rFonts w:ascii="Times New Roman" w:hAnsi="Times New Roman"/>
          <w:color w:val="000000" w:themeColor="text1"/>
          <w:sz w:val="16"/>
          <w:szCs w:val="16"/>
        </w:rPr>
        <w:t>мотоброневагонами</w:t>
      </w:r>
      <w:proofErr w:type="spellEnd"/>
      <w:r w:rsidRPr="007122AB">
        <w:rPr>
          <w:rFonts w:ascii="Times New Roman" w:hAnsi="Times New Roman"/>
          <w:color w:val="000000" w:themeColor="text1"/>
          <w:sz w:val="16"/>
          <w:szCs w:val="16"/>
        </w:rPr>
        <w:t xml:space="preserve"> и бронедрезинами ситуация была более тяжелой — модернизировать было просто нечего (в наличии имелись только совершенно устаревшие бронедрезины </w:t>
      </w:r>
      <w:proofErr w:type="spellStart"/>
      <w:r w:rsidRPr="007122AB">
        <w:rPr>
          <w:rFonts w:ascii="Times New Roman" w:hAnsi="Times New Roman"/>
          <w:color w:val="000000" w:themeColor="text1"/>
          <w:sz w:val="16"/>
          <w:szCs w:val="16"/>
        </w:rPr>
        <w:t>Матваль</w:t>
      </w:r>
      <w:proofErr w:type="spellEnd"/>
      <w:r w:rsidRPr="007122AB">
        <w:rPr>
          <w:rFonts w:ascii="Times New Roman" w:hAnsi="Times New Roman"/>
          <w:color w:val="000000" w:themeColor="text1"/>
          <w:sz w:val="16"/>
          <w:szCs w:val="16"/>
        </w:rPr>
        <w:t xml:space="preserve"> — автомобили, поставленные на железнодорожный ход). Так, в докладе УММ РККА констатировалось: «…не имеется стандартного образца </w:t>
      </w:r>
      <w:r w:rsidRPr="007122AB">
        <w:rPr>
          <w:rFonts w:ascii="Times New Roman" w:hAnsi="Times New Roman"/>
          <w:color w:val="000000" w:themeColor="text1"/>
          <w:sz w:val="16"/>
          <w:szCs w:val="16"/>
        </w:rPr>
        <w:lastRenderedPageBreak/>
        <w:t>бронедрезины. Имеющиеся в частях РККА машины (выполняющие их функции. — Прим. автора) … техническим требованиям не удовлетворяют. В срочном порядке необходимо сконструировать типовую пулеметную (легкую) и пушечную (тяжелую) бронедрезины…».</w:t>
      </w:r>
    </w:p>
    <w:p w14:paraId="26AC10F1" w14:textId="77777777" w:rsidR="00F50129" w:rsidRPr="007122AB" w:rsidRDefault="00F5012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собирались сформировать в составе РККА 20 дивизионов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Для их оснащения в соответствии с решением ВСНХ СССР, было выдано задание на изготовление 60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По плану к этому делу подключалось сразу четыре завода — «Красный Профинтерн» в Брянске (занимавшийся строительством бронепоездов), завод № 1 транспортного отдела ОГПУ в Люблино (с ноября 1932 года Московский железнодорожно-ремонтный завод, сокращенно —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а также Калужский и Коломенский машиностроительные заводы. Каждый из них уже в первом квартале 1932 года должен был выдать по 15 Д-2!</w:t>
      </w:r>
    </w:p>
    <w:p w14:paraId="3212BBED" w14:textId="77777777" w:rsidR="00F50129" w:rsidRPr="007122AB" w:rsidRDefault="00F5012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деле удалось построить только 30 серийных Д-2 на двух из четырех выделенных заводов. По 15 штук на заводе № 1 транспортного отдела ОГПУ и на «Красном Профинтерне», да и то их постройка растянулась на несколько лет — первый Д-2 был сдан в начале 1933 года, а последний — в середине 1934 года.</w:t>
      </w:r>
    </w:p>
    <w:p w14:paraId="13C04CCA" w14:textId="77777777" w:rsidR="00F50129" w:rsidRPr="007122AB" w:rsidRDefault="00F5012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Результаты испытаний первых серийных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оказались обескураживающими. Так, Д-2 плохо вписывались в кривые железных дорог, были сложны в обслуживании, а трансмиссия системы Н. 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проявила себя ненадежной и требующей частой регулировки. В результате было принято решение отказаться от принятия Д-2 на вооружение частей РККА, и по решению УММ РККА все построенные серийные Д-2 были переданы в распоряжение ОГПУ (22743).</w:t>
      </w:r>
    </w:p>
    <w:p w14:paraId="534EA51E" w14:textId="77777777" w:rsidR="00F50129" w:rsidRPr="007122AB" w:rsidRDefault="00F50129" w:rsidP="007122AB">
      <w:pPr>
        <w:spacing w:after="0" w:line="240" w:lineRule="auto"/>
        <w:jc w:val="both"/>
        <w:rPr>
          <w:rFonts w:ascii="Times New Roman" w:hAnsi="Times New Roman"/>
          <w:color w:val="000000" w:themeColor="text1"/>
          <w:sz w:val="16"/>
          <w:szCs w:val="16"/>
        </w:rPr>
      </w:pPr>
    </w:p>
    <w:p w14:paraId="6EACE3B3"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в Подмосковье прошли испытания тракто</w:t>
      </w:r>
      <w:r w:rsidRPr="007122AB">
        <w:rPr>
          <w:rFonts w:ascii="Times New Roman" w:hAnsi="Times New Roman"/>
          <w:color w:val="000000" w:themeColor="text1"/>
          <w:sz w:val="16"/>
          <w:szCs w:val="16"/>
        </w:rPr>
        <w:softHyphen/>
        <w:t>ров, рассматриваемых прежде всего в каче</w:t>
      </w:r>
      <w:r w:rsidRPr="007122AB">
        <w:rPr>
          <w:rFonts w:ascii="Times New Roman" w:hAnsi="Times New Roman"/>
          <w:color w:val="000000" w:themeColor="text1"/>
          <w:sz w:val="16"/>
          <w:szCs w:val="16"/>
        </w:rPr>
        <w:softHyphen/>
        <w:t>стве артиллерийских тягачей. На сравнитель</w:t>
      </w:r>
      <w:r w:rsidRPr="007122AB">
        <w:rPr>
          <w:rFonts w:ascii="Times New Roman" w:hAnsi="Times New Roman"/>
          <w:color w:val="000000" w:themeColor="text1"/>
          <w:sz w:val="16"/>
          <w:szCs w:val="16"/>
        </w:rPr>
        <w:softHyphen/>
        <w:t xml:space="preserve">ные испытания в Московской области по маршруту ст. Кубинка - д. Часовня - д. </w:t>
      </w:r>
      <w:proofErr w:type="spellStart"/>
      <w:r w:rsidRPr="007122AB">
        <w:rPr>
          <w:rFonts w:ascii="Times New Roman" w:hAnsi="Times New Roman"/>
          <w:color w:val="000000" w:themeColor="text1"/>
          <w:sz w:val="16"/>
          <w:szCs w:val="16"/>
        </w:rPr>
        <w:t>Агафоново</w:t>
      </w:r>
      <w:proofErr w:type="spellEnd"/>
      <w:r w:rsidRPr="007122AB">
        <w:rPr>
          <w:rFonts w:ascii="Times New Roman" w:hAnsi="Times New Roman"/>
          <w:color w:val="000000" w:themeColor="text1"/>
          <w:sz w:val="16"/>
          <w:szCs w:val="16"/>
        </w:rPr>
        <w:t xml:space="preserve"> - д. Никифоровское - д. Никольс</w:t>
      </w:r>
      <w:r w:rsidRPr="007122AB">
        <w:rPr>
          <w:rFonts w:ascii="Times New Roman" w:hAnsi="Times New Roman"/>
          <w:color w:val="000000" w:themeColor="text1"/>
          <w:sz w:val="16"/>
          <w:szCs w:val="16"/>
        </w:rPr>
        <w:softHyphen/>
        <w:t>кое - ст. Кубинка поступили тракторы «АМО-</w:t>
      </w:r>
      <w:proofErr w:type="spellStart"/>
      <w:r w:rsidRPr="007122AB">
        <w:rPr>
          <w:rFonts w:ascii="Times New Roman" w:hAnsi="Times New Roman"/>
          <w:color w:val="000000" w:themeColor="text1"/>
          <w:sz w:val="16"/>
          <w:szCs w:val="16"/>
        </w:rPr>
        <w:t>Сомуа</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Сомуа</w:t>
      </w:r>
      <w:proofErr w:type="spellEnd"/>
      <w:r w:rsidRPr="007122AB">
        <w:rPr>
          <w:rFonts w:ascii="Times New Roman" w:hAnsi="Times New Roman"/>
          <w:color w:val="000000" w:themeColor="text1"/>
          <w:sz w:val="16"/>
          <w:szCs w:val="16"/>
        </w:rPr>
        <w:t>», «Линке-Гофман». «</w:t>
      </w:r>
      <w:proofErr w:type="spellStart"/>
      <w:r w:rsidRPr="007122AB">
        <w:rPr>
          <w:rFonts w:ascii="Times New Roman" w:hAnsi="Times New Roman"/>
          <w:color w:val="000000" w:themeColor="text1"/>
          <w:sz w:val="16"/>
          <w:szCs w:val="16"/>
        </w:rPr>
        <w:t>Павези</w:t>
      </w:r>
      <w:proofErr w:type="spellEnd"/>
      <w:r w:rsidRPr="007122AB">
        <w:rPr>
          <w:rFonts w:ascii="Times New Roman" w:hAnsi="Times New Roman"/>
          <w:color w:val="000000" w:themeColor="text1"/>
          <w:sz w:val="16"/>
          <w:szCs w:val="16"/>
        </w:rPr>
        <w:t xml:space="preserve"> Р-4-100» и СТЗ со съемным гусеничным хо</w:t>
      </w:r>
      <w:r w:rsidRPr="007122AB">
        <w:rPr>
          <w:rFonts w:ascii="Times New Roman" w:hAnsi="Times New Roman"/>
          <w:color w:val="000000" w:themeColor="text1"/>
          <w:sz w:val="16"/>
          <w:szCs w:val="16"/>
        </w:rPr>
        <w:softHyphen/>
        <w:t>дом «Варко-</w:t>
      </w:r>
      <w:proofErr w:type="spellStart"/>
      <w:r w:rsidRPr="007122AB">
        <w:rPr>
          <w:rFonts w:ascii="Times New Roman" w:hAnsi="Times New Roman"/>
          <w:color w:val="000000" w:themeColor="text1"/>
          <w:sz w:val="16"/>
          <w:szCs w:val="16"/>
        </w:rPr>
        <w:t>Риддель</w:t>
      </w:r>
      <w:proofErr w:type="spellEnd"/>
      <w:r w:rsidRPr="007122AB">
        <w:rPr>
          <w:rFonts w:ascii="Times New Roman" w:hAnsi="Times New Roman"/>
          <w:color w:val="000000" w:themeColor="text1"/>
          <w:sz w:val="16"/>
          <w:szCs w:val="16"/>
        </w:rPr>
        <w:t>».</w:t>
      </w:r>
    </w:p>
    <w:p w14:paraId="79A83E03"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Тракторы испытывались на тяге различ</w:t>
      </w:r>
      <w:r w:rsidRPr="007122AB">
        <w:rPr>
          <w:rFonts w:ascii="Times New Roman" w:hAnsi="Times New Roman"/>
          <w:color w:val="000000" w:themeColor="text1"/>
          <w:sz w:val="16"/>
          <w:szCs w:val="16"/>
        </w:rPr>
        <w:softHyphen/>
        <w:t>ных поездов дивизионной и корпусной ар</w:t>
      </w:r>
      <w:r w:rsidRPr="007122AB">
        <w:rPr>
          <w:rFonts w:ascii="Times New Roman" w:hAnsi="Times New Roman"/>
          <w:color w:val="000000" w:themeColor="text1"/>
          <w:sz w:val="16"/>
          <w:szCs w:val="16"/>
        </w:rPr>
        <w:softHyphen/>
        <w:t>тиллерии, Состав поездов был следующий:</w:t>
      </w:r>
    </w:p>
    <w:p w14:paraId="4660002F" w14:textId="77777777" w:rsidR="005C4849" w:rsidRPr="007122AB" w:rsidRDefault="005C4849" w:rsidP="007122AB">
      <w:pPr>
        <w:widowControl w:val="0"/>
        <w:tabs>
          <w:tab w:val="left" w:pos="442"/>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152-мм гаубица обр. 1909 г. с перед</w:t>
      </w:r>
      <w:r w:rsidRPr="007122AB">
        <w:rPr>
          <w:rFonts w:ascii="Times New Roman" w:hAnsi="Times New Roman"/>
          <w:color w:val="000000" w:themeColor="text1"/>
          <w:sz w:val="16"/>
          <w:szCs w:val="16"/>
        </w:rPr>
        <w:softHyphen/>
        <w:t>ком весом 3,1 т;</w:t>
      </w:r>
    </w:p>
    <w:p w14:paraId="6BF3F8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107-мм пушка обр. 1910 г. с передком весом 2,4 т;</w:t>
      </w:r>
    </w:p>
    <w:p w14:paraId="09819593" w14:textId="77777777" w:rsidR="005C4849" w:rsidRPr="007122AB" w:rsidRDefault="005C4849" w:rsidP="007122AB">
      <w:pPr>
        <w:widowControl w:val="0"/>
        <w:tabs>
          <w:tab w:val="left" w:pos="414"/>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76-мм пушка обр. 1902 г. с прицепной повозкой в 1,75ттипа П-12 общим весом 4т;</w:t>
      </w:r>
    </w:p>
    <w:p w14:paraId="4B53EEC2" w14:textId="77777777" w:rsidR="005C4849" w:rsidRPr="007122AB" w:rsidRDefault="005C4849" w:rsidP="007122AB">
      <w:pPr>
        <w:widowControl w:val="0"/>
        <w:tabs>
          <w:tab w:val="left" w:pos="423"/>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122-мм гаубица обр. 1910-30 г. с двумя ходами зарядного ящика общим весом 3,3 т;</w:t>
      </w:r>
    </w:p>
    <w:p w14:paraId="6DFB77D1" w14:textId="77777777" w:rsidR="005C4849" w:rsidRPr="007122AB" w:rsidRDefault="005C4849" w:rsidP="007122AB">
      <w:pPr>
        <w:widowControl w:val="0"/>
        <w:tabs>
          <w:tab w:val="left" w:pos="442"/>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ab/>
        <w:t>трехтонная прицепная повозка типа П-13 с грузом общим весом 4,5 т.</w:t>
      </w:r>
    </w:p>
    <w:p w14:paraId="633089FB" w14:textId="77777777" w:rsidR="005C4849" w:rsidRPr="007122AB" w:rsidRDefault="005C4849" w:rsidP="007122AB">
      <w:pPr>
        <w:autoSpaceDE w:val="0"/>
        <w:autoSpaceDN w:val="0"/>
        <w:adjustRightInd w:val="0"/>
        <w:spacing w:after="0" w:line="240" w:lineRule="auto"/>
        <w:jc w:val="both"/>
        <w:rPr>
          <w:rFonts w:ascii="Times New Roman" w:hAnsi="Times New Roman"/>
          <w:noProof/>
          <w:color w:val="000000" w:themeColor="text1"/>
          <w:sz w:val="16"/>
          <w:szCs w:val="16"/>
        </w:rPr>
      </w:pPr>
      <w:r w:rsidRPr="007122AB">
        <w:rPr>
          <w:rFonts w:ascii="Times New Roman" w:hAnsi="Times New Roman"/>
          <w:noProof/>
          <w:color w:val="000000" w:themeColor="text1"/>
          <w:sz w:val="16"/>
          <w:szCs w:val="16"/>
        </w:rPr>
        <w:t>«Проведению испытаний благоприят</w:t>
      </w:r>
      <w:r w:rsidRPr="007122AB">
        <w:rPr>
          <w:rFonts w:ascii="Times New Roman" w:hAnsi="Times New Roman"/>
          <w:noProof/>
          <w:color w:val="000000" w:themeColor="text1"/>
          <w:sz w:val="16"/>
          <w:szCs w:val="16"/>
        </w:rPr>
        <w:softHyphen/>
        <w:t>ствовала осенняя ненастная погода -дождь с мокрым снегом, совершенно размывший некоторые участки пути, а для испытания на лугу создавший также благоприятные усло</w:t>
      </w:r>
      <w:r w:rsidRPr="007122AB">
        <w:rPr>
          <w:rFonts w:ascii="Times New Roman" w:hAnsi="Times New Roman"/>
          <w:noProof/>
          <w:color w:val="000000" w:themeColor="text1"/>
          <w:sz w:val="16"/>
          <w:szCs w:val="16"/>
        </w:rPr>
        <w:softHyphen/>
        <w:t>вия для буксования машин».</w:t>
      </w:r>
    </w:p>
    <w:p w14:paraId="582A422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скоростного испытания на мерном километре по шоссе тракторы выводились с поездом из 152-мм гаубицы с передком и одним ходом зарядного ящика общим ве</w:t>
      </w:r>
      <w:r w:rsidRPr="007122AB">
        <w:rPr>
          <w:rFonts w:ascii="Times New Roman" w:hAnsi="Times New Roman"/>
          <w:color w:val="000000" w:themeColor="text1"/>
          <w:sz w:val="16"/>
          <w:szCs w:val="16"/>
        </w:rPr>
        <w:softHyphen/>
        <w:t>сом 4,1 т. Все повозки и хода зарядных ящиков были загружены до полной грузо</w:t>
      </w:r>
      <w:r w:rsidRPr="007122AB">
        <w:rPr>
          <w:rFonts w:ascii="Times New Roman" w:hAnsi="Times New Roman"/>
          <w:color w:val="000000" w:themeColor="text1"/>
          <w:sz w:val="16"/>
          <w:szCs w:val="16"/>
        </w:rPr>
        <w:softHyphen/>
        <w:t>подъемности.</w:t>
      </w:r>
    </w:p>
    <w:p w14:paraId="6839393F" w14:textId="77777777" w:rsidR="005C4849" w:rsidRPr="007122AB" w:rsidRDefault="005C4849" w:rsidP="007122AB">
      <w:pPr>
        <w:autoSpaceDE w:val="0"/>
        <w:autoSpaceDN w:val="0"/>
        <w:adjustRightInd w:val="0"/>
        <w:spacing w:after="0" w:line="240" w:lineRule="auto"/>
        <w:jc w:val="both"/>
        <w:rPr>
          <w:rFonts w:ascii="Times New Roman" w:hAnsi="Times New Roman"/>
          <w:noProof/>
          <w:color w:val="000000" w:themeColor="text1"/>
          <w:sz w:val="16"/>
          <w:szCs w:val="16"/>
        </w:rPr>
      </w:pPr>
      <w:r w:rsidRPr="007122AB">
        <w:rPr>
          <w:rFonts w:ascii="Times New Roman" w:hAnsi="Times New Roman"/>
          <w:noProof/>
          <w:color w:val="000000" w:themeColor="text1"/>
          <w:sz w:val="16"/>
          <w:szCs w:val="16"/>
        </w:rPr>
        <w:t>Артиллерийские поезда и «Сомуа» посту</w:t>
      </w:r>
      <w:r w:rsidRPr="007122AB">
        <w:rPr>
          <w:rFonts w:ascii="Times New Roman" w:hAnsi="Times New Roman"/>
          <w:noProof/>
          <w:color w:val="000000" w:themeColor="text1"/>
          <w:sz w:val="16"/>
          <w:szCs w:val="16"/>
        </w:rPr>
        <w:softHyphen/>
        <w:t>пили из Московской пролетарской стрелко</w:t>
      </w:r>
      <w:r w:rsidRPr="007122AB">
        <w:rPr>
          <w:rFonts w:ascii="Times New Roman" w:hAnsi="Times New Roman"/>
          <w:noProof/>
          <w:color w:val="000000" w:themeColor="text1"/>
          <w:sz w:val="16"/>
          <w:szCs w:val="16"/>
        </w:rPr>
        <w:softHyphen/>
        <w:t>вой дивизии своим ходом, проделав марш в 27 км от лагеря Артполка, «Вообще вся ма</w:t>
      </w:r>
      <w:r w:rsidRPr="007122AB">
        <w:rPr>
          <w:rFonts w:ascii="Times New Roman" w:hAnsi="Times New Roman"/>
          <w:noProof/>
          <w:color w:val="000000" w:themeColor="text1"/>
          <w:sz w:val="16"/>
          <w:szCs w:val="16"/>
        </w:rPr>
        <w:softHyphen/>
        <w:t>териальная часть артиллерии несмотря на неблагоприятные для нее условия движения прошла весь маршрут без каких-либо серь</w:t>
      </w:r>
      <w:r w:rsidRPr="007122AB">
        <w:rPr>
          <w:rFonts w:ascii="Times New Roman" w:hAnsi="Times New Roman"/>
          <w:noProof/>
          <w:color w:val="000000" w:themeColor="text1"/>
          <w:sz w:val="16"/>
          <w:szCs w:val="16"/>
        </w:rPr>
        <w:softHyphen/>
        <w:t>езных повреждений</w:t>
      </w:r>
      <w:r w:rsidRPr="007122AB">
        <w:rPr>
          <w:rFonts w:ascii="Times New Roman" w:hAnsi="Times New Roman"/>
          <w:color w:val="000000" w:themeColor="text1"/>
          <w:sz w:val="16"/>
          <w:szCs w:val="16"/>
        </w:rPr>
        <w:t>.</w:t>
      </w:r>
    </w:p>
    <w:p w14:paraId="7656069E"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остальные тракторы были поданы специально для испытаний.</w:t>
      </w:r>
    </w:p>
    <w:p w14:paraId="5D48C858"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 СТЗ показал себя как надеж</w:t>
      </w:r>
      <w:r w:rsidRPr="007122AB">
        <w:rPr>
          <w:rFonts w:ascii="Times New Roman" w:hAnsi="Times New Roman"/>
          <w:color w:val="000000" w:themeColor="text1"/>
          <w:sz w:val="16"/>
          <w:szCs w:val="16"/>
        </w:rPr>
        <w:softHyphen/>
        <w:t>ная машина. Он развивал равномерную тягу на различных грунтах (кроме глубокого пес</w:t>
      </w:r>
      <w:r w:rsidRPr="007122AB">
        <w:rPr>
          <w:rFonts w:ascii="Times New Roman" w:hAnsi="Times New Roman"/>
          <w:color w:val="000000" w:themeColor="text1"/>
          <w:sz w:val="16"/>
          <w:szCs w:val="16"/>
        </w:rPr>
        <w:softHyphen/>
        <w:t>ка и топкого болота), легко преодолевал подъемы до 20" и отличался удобством уп</w:t>
      </w:r>
      <w:r w:rsidRPr="007122AB">
        <w:rPr>
          <w:rFonts w:ascii="Times New Roman" w:hAnsi="Times New Roman"/>
          <w:color w:val="000000" w:themeColor="text1"/>
          <w:sz w:val="16"/>
          <w:szCs w:val="16"/>
        </w:rPr>
        <w:softHyphen/>
        <w:t>равления на плотном грунте. Дорожный ре</w:t>
      </w:r>
      <w:r w:rsidRPr="007122AB">
        <w:rPr>
          <w:rFonts w:ascii="Times New Roman" w:hAnsi="Times New Roman"/>
          <w:color w:val="000000" w:themeColor="text1"/>
          <w:sz w:val="16"/>
          <w:szCs w:val="16"/>
        </w:rPr>
        <w:softHyphen/>
        <w:t>монт не вызывал серьезных затруднений. Однако динамика трактора (скорость око</w:t>
      </w:r>
      <w:r w:rsidRPr="007122AB">
        <w:rPr>
          <w:rFonts w:ascii="Times New Roman" w:hAnsi="Times New Roman"/>
          <w:color w:val="000000" w:themeColor="text1"/>
          <w:sz w:val="16"/>
          <w:szCs w:val="16"/>
        </w:rPr>
        <w:softHyphen/>
        <w:t>ло 4 км/ч) была явно неудовлетворитель</w:t>
      </w:r>
      <w:r w:rsidRPr="007122AB">
        <w:rPr>
          <w:rFonts w:ascii="Times New Roman" w:hAnsi="Times New Roman"/>
          <w:color w:val="000000" w:themeColor="text1"/>
          <w:sz w:val="16"/>
          <w:szCs w:val="16"/>
        </w:rPr>
        <w:softHyphen/>
        <w:t>ной, что затрудняло его использование в артиллерии и вообще для тяги военных гру</w:t>
      </w:r>
      <w:r w:rsidRPr="007122AB">
        <w:rPr>
          <w:rFonts w:ascii="Times New Roman" w:hAnsi="Times New Roman"/>
          <w:color w:val="000000" w:themeColor="text1"/>
          <w:sz w:val="16"/>
          <w:szCs w:val="16"/>
        </w:rPr>
        <w:softHyphen/>
        <w:t>зов. На глубоком песке и болоте отмеча</w:t>
      </w:r>
      <w:r w:rsidRPr="007122AB">
        <w:rPr>
          <w:rFonts w:ascii="Times New Roman" w:hAnsi="Times New Roman"/>
          <w:color w:val="000000" w:themeColor="text1"/>
          <w:sz w:val="16"/>
          <w:szCs w:val="16"/>
        </w:rPr>
        <w:softHyphen/>
        <w:t>лась недостаточная управляемость.</w:t>
      </w:r>
    </w:p>
    <w:p w14:paraId="4C3AB601" w14:textId="77777777" w:rsidR="005C4849" w:rsidRPr="007122AB" w:rsidRDefault="005C4849" w:rsidP="007122AB">
      <w:pPr>
        <w:autoSpaceDE w:val="0"/>
        <w:autoSpaceDN w:val="0"/>
        <w:adjustRightInd w:val="0"/>
        <w:spacing w:after="0" w:line="240" w:lineRule="auto"/>
        <w:jc w:val="both"/>
        <w:rPr>
          <w:rFonts w:ascii="Times New Roman" w:hAnsi="Times New Roman"/>
          <w:noProof/>
          <w:color w:val="000000" w:themeColor="text1"/>
          <w:sz w:val="16"/>
          <w:szCs w:val="16"/>
        </w:rPr>
      </w:pPr>
      <w:r w:rsidRPr="007122AB">
        <w:rPr>
          <w:rFonts w:ascii="Times New Roman" w:hAnsi="Times New Roman"/>
          <w:noProof/>
          <w:color w:val="000000" w:themeColor="text1"/>
          <w:sz w:val="16"/>
          <w:szCs w:val="16"/>
        </w:rPr>
        <w:t>Также отмечалось, что «необходимодать освещение, установить кабину с сидениями для водителя и помощника, и поставить сцепное приспособление и лебедку».</w:t>
      </w:r>
    </w:p>
    <w:p w14:paraId="03651CA2" w14:textId="77777777" w:rsidR="005C4849" w:rsidRPr="007122AB" w:rsidRDefault="005C4849" w:rsidP="007122AB">
      <w:pPr>
        <w:autoSpaceDE w:val="0"/>
        <w:autoSpaceDN w:val="0"/>
        <w:adjustRightInd w:val="0"/>
        <w:spacing w:after="0" w:line="240" w:lineRule="auto"/>
        <w:jc w:val="both"/>
        <w:rPr>
          <w:rFonts w:ascii="Times New Roman" w:hAnsi="Times New Roman"/>
          <w:bCs/>
          <w:noProof/>
          <w:color w:val="000000" w:themeColor="text1"/>
          <w:sz w:val="16"/>
          <w:szCs w:val="16"/>
        </w:rPr>
      </w:pPr>
      <w:r w:rsidRPr="007122AB">
        <w:rPr>
          <w:rFonts w:ascii="Times New Roman" w:hAnsi="Times New Roman"/>
          <w:noProof/>
          <w:color w:val="000000" w:themeColor="text1"/>
          <w:sz w:val="16"/>
          <w:szCs w:val="16"/>
        </w:rPr>
        <w:t>По итогам испытаний констатировалось: Трактор СТЗ в том виде как он был пред</w:t>
      </w:r>
      <w:r w:rsidRPr="007122AB">
        <w:rPr>
          <w:rFonts w:ascii="Times New Roman" w:hAnsi="Times New Roman"/>
          <w:noProof/>
          <w:color w:val="000000" w:themeColor="text1"/>
          <w:sz w:val="16"/>
          <w:szCs w:val="16"/>
        </w:rPr>
        <w:softHyphen/>
        <w:t>ставлен на испытание в виду указанных недостатков, особенно тихоходности, для ра</w:t>
      </w:r>
      <w:r w:rsidRPr="007122AB">
        <w:rPr>
          <w:rFonts w:ascii="Times New Roman" w:hAnsi="Times New Roman"/>
          <w:noProof/>
          <w:color w:val="000000" w:themeColor="text1"/>
          <w:sz w:val="16"/>
          <w:szCs w:val="16"/>
        </w:rPr>
        <w:softHyphen/>
        <w:t>боты в артиллерии непригоден. Но учиты</w:t>
      </w:r>
      <w:r w:rsidRPr="007122AB">
        <w:rPr>
          <w:rFonts w:ascii="Times New Roman" w:hAnsi="Times New Roman"/>
          <w:noProof/>
          <w:color w:val="000000" w:themeColor="text1"/>
          <w:sz w:val="16"/>
          <w:szCs w:val="16"/>
        </w:rPr>
        <w:softHyphen/>
        <w:t>вая необходимость его использования в во</w:t>
      </w:r>
      <w:r w:rsidRPr="007122AB">
        <w:rPr>
          <w:rFonts w:ascii="Times New Roman" w:hAnsi="Times New Roman"/>
          <w:noProof/>
          <w:color w:val="000000" w:themeColor="text1"/>
          <w:sz w:val="16"/>
          <w:szCs w:val="16"/>
        </w:rPr>
        <w:softHyphen/>
        <w:t>енное время, в связи с тем, ч</w:t>
      </w:r>
      <w:r w:rsidRPr="007122AB">
        <w:rPr>
          <w:rFonts w:ascii="Times New Roman" w:hAnsi="Times New Roman"/>
          <w:color w:val="000000" w:themeColor="text1"/>
          <w:sz w:val="16"/>
          <w:szCs w:val="16"/>
        </w:rPr>
        <w:t>то</w:t>
      </w:r>
      <w:r w:rsidRPr="007122AB">
        <w:rPr>
          <w:rFonts w:ascii="Times New Roman" w:hAnsi="Times New Roman"/>
          <w:noProof/>
          <w:color w:val="000000" w:themeColor="text1"/>
          <w:sz w:val="16"/>
          <w:szCs w:val="16"/>
        </w:rPr>
        <w:t xml:space="preserve"> в СССР име</w:t>
      </w:r>
      <w:r w:rsidRPr="007122AB">
        <w:rPr>
          <w:rFonts w:ascii="Times New Roman" w:hAnsi="Times New Roman"/>
          <w:noProof/>
          <w:color w:val="000000" w:themeColor="text1"/>
          <w:sz w:val="16"/>
          <w:szCs w:val="16"/>
        </w:rPr>
        <w:softHyphen/>
        <w:t>ется значительное число подобных тракто</w:t>
      </w:r>
      <w:r w:rsidRPr="007122AB">
        <w:rPr>
          <w:rFonts w:ascii="Times New Roman" w:hAnsi="Times New Roman"/>
          <w:noProof/>
          <w:color w:val="000000" w:themeColor="text1"/>
          <w:sz w:val="16"/>
          <w:szCs w:val="16"/>
        </w:rPr>
        <w:softHyphen/>
        <w:t xml:space="preserve">ров и выпуск их еще более увеличится </w:t>
      </w:r>
      <w:r w:rsidRPr="007122AB">
        <w:rPr>
          <w:rFonts w:ascii="Times New Roman" w:hAnsi="Times New Roman"/>
          <w:color w:val="000000" w:themeColor="text1"/>
          <w:sz w:val="16"/>
          <w:szCs w:val="16"/>
        </w:rPr>
        <w:t>(</w:t>
      </w:r>
      <w:r w:rsidRPr="007122AB">
        <w:rPr>
          <w:rFonts w:ascii="Times New Roman" w:hAnsi="Times New Roman"/>
          <w:noProof/>
          <w:color w:val="000000" w:themeColor="text1"/>
          <w:sz w:val="16"/>
          <w:szCs w:val="16"/>
        </w:rPr>
        <w:t>За</w:t>
      </w:r>
      <w:r w:rsidRPr="007122AB">
        <w:rPr>
          <w:rFonts w:ascii="Times New Roman" w:hAnsi="Times New Roman"/>
          <w:noProof/>
          <w:color w:val="000000" w:themeColor="text1"/>
          <w:sz w:val="16"/>
          <w:szCs w:val="16"/>
        </w:rPr>
        <w:softHyphen/>
        <w:t>воды Сталинградский и Харьковский</w:t>
      </w:r>
      <w:r w:rsidRPr="007122AB">
        <w:rPr>
          <w:rFonts w:ascii="Times New Roman" w:hAnsi="Times New Roman"/>
          <w:color w:val="000000" w:themeColor="text1"/>
          <w:sz w:val="16"/>
          <w:szCs w:val="16"/>
        </w:rPr>
        <w:t xml:space="preserve">) </w:t>
      </w:r>
      <w:r w:rsidRPr="007122AB">
        <w:rPr>
          <w:rFonts w:ascii="Times New Roman" w:hAnsi="Times New Roman"/>
          <w:noProof/>
          <w:color w:val="000000" w:themeColor="text1"/>
          <w:sz w:val="16"/>
          <w:szCs w:val="16"/>
        </w:rPr>
        <w:t>маши</w:t>
      </w:r>
      <w:r w:rsidRPr="007122AB">
        <w:rPr>
          <w:rFonts w:ascii="Times New Roman" w:hAnsi="Times New Roman"/>
          <w:noProof/>
          <w:color w:val="000000" w:themeColor="text1"/>
          <w:sz w:val="16"/>
          <w:szCs w:val="16"/>
        </w:rPr>
        <w:softHyphen/>
        <w:t>на пока удовлетворяет сельское хозяйство. Этот тип трактора может быть использован для тяги на небольших скоростях 3—4 к</w:t>
      </w:r>
      <w:proofErr w:type="spellStart"/>
      <w:r w:rsidRPr="007122AB">
        <w:rPr>
          <w:rFonts w:ascii="Times New Roman" w:hAnsi="Times New Roman"/>
          <w:color w:val="000000" w:themeColor="text1"/>
          <w:sz w:val="16"/>
          <w:szCs w:val="16"/>
        </w:rPr>
        <w:t>и</w:t>
      </w:r>
      <w:r w:rsidRPr="007122AB">
        <w:rPr>
          <w:rFonts w:ascii="Times New Roman" w:hAnsi="Times New Roman"/>
          <w:noProof/>
          <w:color w:val="000000" w:themeColor="text1"/>
          <w:sz w:val="16"/>
          <w:szCs w:val="16"/>
        </w:rPr>
        <w:t>л</w:t>
      </w:r>
      <w:r w:rsidRPr="007122AB">
        <w:rPr>
          <w:rFonts w:ascii="Times New Roman" w:hAnsi="Times New Roman"/>
          <w:color w:val="000000" w:themeColor="text1"/>
          <w:sz w:val="16"/>
          <w:szCs w:val="16"/>
        </w:rPr>
        <w:t>о</w:t>
      </w:r>
      <w:r w:rsidRPr="007122AB">
        <w:rPr>
          <w:rFonts w:ascii="Times New Roman" w:hAnsi="Times New Roman"/>
          <w:noProof/>
          <w:color w:val="000000" w:themeColor="text1"/>
          <w:sz w:val="16"/>
          <w:szCs w:val="16"/>
        </w:rPr>
        <w:t>м</w:t>
      </w:r>
      <w:r w:rsidRPr="007122AB">
        <w:rPr>
          <w:rFonts w:ascii="Times New Roman" w:hAnsi="Times New Roman"/>
          <w:color w:val="000000" w:themeColor="text1"/>
          <w:sz w:val="16"/>
          <w:szCs w:val="16"/>
        </w:rPr>
        <w:t>е</w:t>
      </w:r>
      <w:r w:rsidRPr="007122AB">
        <w:rPr>
          <w:rFonts w:ascii="Times New Roman" w:hAnsi="Times New Roman"/>
          <w:noProof/>
          <w:color w:val="000000" w:themeColor="text1"/>
          <w:sz w:val="16"/>
          <w:szCs w:val="16"/>
        </w:rPr>
        <w:t>трте</w:t>
      </w:r>
      <w:proofErr w:type="spellEnd"/>
      <w:r w:rsidRPr="007122AB">
        <w:rPr>
          <w:rFonts w:ascii="Times New Roman" w:hAnsi="Times New Roman"/>
          <w:noProof/>
          <w:color w:val="000000" w:themeColor="text1"/>
          <w:sz w:val="16"/>
          <w:szCs w:val="16"/>
        </w:rPr>
        <w:t xml:space="preserve"> систем орудий АРГК, которые имеют же</w:t>
      </w:r>
      <w:r w:rsidRPr="007122AB">
        <w:rPr>
          <w:rFonts w:ascii="Times New Roman" w:hAnsi="Times New Roman"/>
          <w:noProof/>
          <w:color w:val="000000" w:themeColor="text1"/>
          <w:sz w:val="16"/>
          <w:szCs w:val="16"/>
        </w:rPr>
        <w:softHyphen/>
        <w:t>сткий лафет и не намечены по разным при</w:t>
      </w:r>
      <w:r w:rsidRPr="007122AB">
        <w:rPr>
          <w:rFonts w:ascii="Times New Roman" w:hAnsi="Times New Roman"/>
          <w:noProof/>
          <w:color w:val="000000" w:themeColor="text1"/>
          <w:sz w:val="16"/>
          <w:szCs w:val="16"/>
        </w:rPr>
        <w:softHyphen/>
        <w:t xml:space="preserve">чинам к модернизации в целях увеличения скорости </w:t>
      </w:r>
      <w:r w:rsidRPr="007122AB">
        <w:rPr>
          <w:rFonts w:ascii="Times New Roman" w:hAnsi="Times New Roman"/>
          <w:color w:val="000000" w:themeColor="text1"/>
          <w:sz w:val="16"/>
          <w:szCs w:val="16"/>
        </w:rPr>
        <w:t>(</w:t>
      </w:r>
      <w:r w:rsidRPr="007122AB">
        <w:rPr>
          <w:rFonts w:ascii="Times New Roman" w:hAnsi="Times New Roman"/>
          <w:noProof/>
          <w:color w:val="000000" w:themeColor="text1"/>
          <w:sz w:val="16"/>
          <w:szCs w:val="16"/>
        </w:rPr>
        <w:t>орудия обр 77 г.</w:t>
      </w:r>
      <w:r w:rsidRPr="007122AB">
        <w:rPr>
          <w:rFonts w:ascii="Times New Roman" w:hAnsi="Times New Roman"/>
          <w:color w:val="000000" w:themeColor="text1"/>
          <w:sz w:val="16"/>
          <w:szCs w:val="16"/>
        </w:rPr>
        <w:t>)</w:t>
      </w:r>
      <w:r w:rsidRPr="007122AB">
        <w:rPr>
          <w:rFonts w:ascii="Times New Roman" w:hAnsi="Times New Roman"/>
          <w:noProof/>
          <w:color w:val="000000" w:themeColor="text1"/>
          <w:sz w:val="16"/>
          <w:szCs w:val="16"/>
        </w:rPr>
        <w:t>, но и здесь необходимо внести указанное выше улучшение. В случае же увеличения его скорости до 10-12 клм на гусенице он может быть ис</w:t>
      </w:r>
      <w:r w:rsidRPr="007122AB">
        <w:rPr>
          <w:rFonts w:ascii="Times New Roman" w:hAnsi="Times New Roman"/>
          <w:noProof/>
          <w:color w:val="000000" w:themeColor="text1"/>
          <w:sz w:val="16"/>
          <w:szCs w:val="16"/>
        </w:rPr>
        <w:softHyphen/>
        <w:t>пользован для тяги систем полковой</w:t>
      </w:r>
      <w:r w:rsidRPr="007122AB">
        <w:rPr>
          <w:rFonts w:ascii="Times New Roman" w:hAnsi="Times New Roman"/>
          <w:color w:val="000000" w:themeColor="text1"/>
          <w:sz w:val="16"/>
          <w:szCs w:val="16"/>
        </w:rPr>
        <w:t xml:space="preserve"> и дивизионной</w:t>
      </w:r>
      <w:r w:rsidRPr="007122AB">
        <w:rPr>
          <w:rFonts w:ascii="Times New Roman" w:hAnsi="Times New Roman"/>
          <w:noProof/>
          <w:color w:val="000000" w:themeColor="text1"/>
          <w:sz w:val="16"/>
          <w:szCs w:val="16"/>
        </w:rPr>
        <w:t xml:space="preserve"> артиллерии в составе менее тяже</w:t>
      </w:r>
      <w:r w:rsidRPr="007122AB">
        <w:rPr>
          <w:rFonts w:ascii="Times New Roman" w:hAnsi="Times New Roman"/>
          <w:noProof/>
          <w:color w:val="000000" w:themeColor="text1"/>
          <w:sz w:val="16"/>
          <w:szCs w:val="16"/>
        </w:rPr>
        <w:softHyphen/>
        <w:t>лых поездов ~ только орудие с передком».</w:t>
      </w:r>
    </w:p>
    <w:p w14:paraId="59082547"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причине недостатка специализиро</w:t>
      </w:r>
      <w:r w:rsidRPr="007122AB">
        <w:rPr>
          <w:rFonts w:ascii="Times New Roman" w:hAnsi="Times New Roman"/>
          <w:color w:val="000000" w:themeColor="text1"/>
          <w:sz w:val="16"/>
          <w:szCs w:val="16"/>
        </w:rPr>
        <w:softHyphen/>
        <w:t>ванных артиллерийских тягачей СХТЗ-15/30 применялись в Красной Армии до начала Ве</w:t>
      </w:r>
      <w:r w:rsidRPr="007122AB">
        <w:rPr>
          <w:rFonts w:ascii="Times New Roman" w:hAnsi="Times New Roman"/>
          <w:color w:val="000000" w:themeColor="text1"/>
          <w:sz w:val="16"/>
          <w:szCs w:val="16"/>
        </w:rPr>
        <w:softHyphen/>
        <w:t>ликой Отечественной войны. Тракторы это</w:t>
      </w:r>
      <w:r w:rsidRPr="007122AB">
        <w:rPr>
          <w:rFonts w:ascii="Times New Roman" w:hAnsi="Times New Roman"/>
          <w:color w:val="000000" w:themeColor="text1"/>
          <w:sz w:val="16"/>
          <w:szCs w:val="16"/>
        </w:rPr>
        <w:softHyphen/>
        <w:t>го типа, захваченные в первые месяцы бое</w:t>
      </w:r>
      <w:r w:rsidRPr="007122AB">
        <w:rPr>
          <w:rFonts w:ascii="Times New Roman" w:hAnsi="Times New Roman"/>
          <w:color w:val="000000" w:themeColor="text1"/>
          <w:sz w:val="16"/>
          <w:szCs w:val="16"/>
        </w:rPr>
        <w:softHyphen/>
        <w:t>вых действий, немцы использовали как тя</w:t>
      </w:r>
      <w:r w:rsidRPr="007122AB">
        <w:rPr>
          <w:rFonts w:ascii="Times New Roman" w:hAnsi="Times New Roman"/>
          <w:color w:val="000000" w:themeColor="text1"/>
          <w:sz w:val="16"/>
          <w:szCs w:val="16"/>
        </w:rPr>
        <w:softHyphen/>
        <w:t>гачи в армии и во вспомогательных служ</w:t>
      </w:r>
      <w:r w:rsidRPr="007122AB">
        <w:rPr>
          <w:rFonts w:ascii="Times New Roman" w:hAnsi="Times New Roman"/>
          <w:color w:val="000000" w:themeColor="text1"/>
          <w:sz w:val="16"/>
          <w:szCs w:val="16"/>
        </w:rPr>
        <w:softHyphen/>
        <w:t>бах, а также в восстановленных на оккупи</w:t>
      </w:r>
      <w:r w:rsidRPr="007122AB">
        <w:rPr>
          <w:rFonts w:ascii="Times New Roman" w:hAnsi="Times New Roman"/>
          <w:color w:val="000000" w:themeColor="text1"/>
          <w:sz w:val="16"/>
          <w:szCs w:val="16"/>
        </w:rPr>
        <w:softHyphen/>
        <w:t>рованной территории колхозах по прямому назначению (11902).</w:t>
      </w:r>
    </w:p>
    <w:p w14:paraId="288AF80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8DE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вошли в состав БФ 3 первых советских подводных лодки типа Д, которые, заложенные в марте 1927 в Ленинграде и начали разработку заградителей типа Л (359,64).</w:t>
      </w:r>
    </w:p>
    <w:p w14:paraId="4A573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1B9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Представленный УВМС комплексный план строительства ВМС РККА на 1932—1935 гг. включал построй</w:t>
      </w:r>
      <w:r w:rsidRPr="007122AB">
        <w:rPr>
          <w:rFonts w:ascii="Times New Roman" w:hAnsi="Times New Roman"/>
          <w:color w:val="000000" w:themeColor="text1"/>
          <w:sz w:val="16"/>
          <w:szCs w:val="16"/>
        </w:rPr>
        <w:softHyphen/>
        <w:t xml:space="preserve">ку кораблей для всех четырех основных морских театров, расчеты по развертыванию береговых батарей, самолетов морской авиации, работе судостроительной и смежных отраслей промышленности и т. д. В отношении корабельного состава предлагалось (включая программу 1929 г.) построить 170 подводных лодок (50 больших, 90 средних, 30 </w:t>
      </w:r>
      <w:proofErr w:type="spellStart"/>
      <w:r w:rsidRPr="007122AB">
        <w:rPr>
          <w:rFonts w:ascii="Times New Roman" w:hAnsi="Times New Roman"/>
          <w:color w:val="000000" w:themeColor="text1"/>
          <w:sz w:val="16"/>
          <w:szCs w:val="16"/>
        </w:rPr>
        <w:t>мальис</w:t>
      </w:r>
      <w:proofErr w:type="spellEnd"/>
      <w:r w:rsidRPr="007122AB">
        <w:rPr>
          <w:rFonts w:ascii="Times New Roman" w:hAnsi="Times New Roman"/>
          <w:color w:val="000000" w:themeColor="text1"/>
          <w:sz w:val="16"/>
          <w:szCs w:val="16"/>
        </w:rPr>
        <w:t>), 38 эсминцев (из них —14 лидеров), 4 крей</w:t>
      </w:r>
      <w:r w:rsidRPr="007122AB">
        <w:rPr>
          <w:rFonts w:ascii="Times New Roman" w:hAnsi="Times New Roman"/>
          <w:color w:val="000000" w:themeColor="text1"/>
          <w:sz w:val="16"/>
          <w:szCs w:val="16"/>
        </w:rPr>
        <w:softHyphen/>
        <w:t>сера, 120 торпедных катеров и другие корабли и вспомогательные суда с модернизацией "Фрунзе" и исключением б сторожевых ко</w:t>
      </w:r>
      <w:r w:rsidRPr="007122AB">
        <w:rPr>
          <w:rFonts w:ascii="Times New Roman" w:hAnsi="Times New Roman"/>
          <w:color w:val="000000" w:themeColor="text1"/>
          <w:sz w:val="16"/>
          <w:szCs w:val="16"/>
        </w:rPr>
        <w:softHyphen/>
        <w:t>раблей. Финансирование судостроения на четыре года (1932—1935) запрашивалось в размере 1400 млн руб., что заставило Куй</w:t>
      </w:r>
      <w:r w:rsidRPr="007122AB">
        <w:rPr>
          <w:rFonts w:ascii="Times New Roman" w:hAnsi="Times New Roman"/>
          <w:color w:val="000000" w:themeColor="text1"/>
          <w:sz w:val="16"/>
          <w:szCs w:val="16"/>
        </w:rPr>
        <w:softHyphen/>
        <w:t>бышева и Ворошилова не торопиться с утверждением этой про</w:t>
      </w:r>
      <w:r w:rsidRPr="007122AB">
        <w:rPr>
          <w:rFonts w:ascii="Times New Roman" w:hAnsi="Times New Roman"/>
          <w:color w:val="000000" w:themeColor="text1"/>
          <w:sz w:val="16"/>
          <w:szCs w:val="16"/>
        </w:rPr>
        <w:softHyphen/>
        <w:t>граммы (3898).</w:t>
      </w:r>
    </w:p>
    <w:p w14:paraId="31933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B3DC9E"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Осенью 1931 г. </w:t>
      </w:r>
      <w:proofErr w:type="spellStart"/>
      <w:r w:rsidRPr="00441F34">
        <w:rPr>
          <w:rFonts w:ascii="Times New Roman" w:hAnsi="Times New Roman"/>
          <w:color w:val="0070C0"/>
          <w:sz w:val="16"/>
          <w:szCs w:val="16"/>
        </w:rPr>
        <w:t>С.П.Королев</w:t>
      </w:r>
      <w:proofErr w:type="spellEnd"/>
      <w:r w:rsidRPr="00441F34">
        <w:rPr>
          <w:rFonts w:ascii="Times New Roman" w:hAnsi="Times New Roman"/>
          <w:color w:val="0070C0"/>
          <w:sz w:val="16"/>
          <w:szCs w:val="16"/>
        </w:rPr>
        <w:t xml:space="preserve"> получил разрешение испытать БИЧ-8, которым после полетов на нем в 1929 г. не пользовались. На подмосковной планерной станции Королев выполнил 12 полетов, от которых у него остались приятное впечатление. "Планер БИЧ-8 отличается полной устойчивостью в продольном и поперечном направлении, так и устойчивостью пути. Очень чуток на руль высоты и не любит резких движений. На малых углах имеет большую скорость снижения, а нормально летит с углом около 3°. Однако при всех возможных режимах не имеет тенденции к потере устойчивости, самопроизвольному уменьшению или увеличению угла, а наоборот очень охотно идет за ручкой, возвращаясь в исходное положение", — писал Королев в журнале "Самолет".</w:t>
      </w:r>
    </w:p>
    <w:p w14:paraId="00235E1D"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 время испытаний БИЧ-8 у Королева возникла мысль приспособить такой аппарат для создания экспериментального самолета с жидкостным ракетным двигателем (ЖРД). Схема "летающее крыло" позволяла компактно разместить сам двигатель и баки с горючим и окислителем вблизи центра тяжести самолета, свести к минимуму длину трубопроводов, избежать проблем с защитой хвостового оперения от воздействия реактивной струи (24253).</w:t>
      </w:r>
    </w:p>
    <w:p w14:paraId="67DE214D" w14:textId="77777777" w:rsidR="007F1987" w:rsidRPr="00441F34" w:rsidRDefault="007F1987" w:rsidP="007F1987">
      <w:pPr>
        <w:spacing w:after="0" w:line="240" w:lineRule="auto"/>
        <w:jc w:val="both"/>
        <w:rPr>
          <w:rFonts w:ascii="Times New Roman" w:hAnsi="Times New Roman"/>
          <w:color w:val="0070C0"/>
          <w:sz w:val="16"/>
          <w:szCs w:val="16"/>
        </w:rPr>
      </w:pPr>
    </w:p>
    <w:p w14:paraId="77D1581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52C69C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A3F742" w14:textId="77777777" w:rsidR="009B2B4A" w:rsidRPr="007122AB" w:rsidRDefault="009B2B4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осень 1931 г., до начала японской интервенции в Маньчжурии "для обороны д[</w:t>
      </w:r>
      <w:proofErr w:type="spellStart"/>
      <w:r w:rsidRPr="007122AB">
        <w:rPr>
          <w:rFonts w:ascii="Times New Roman" w:eastAsia="Times New Roman" w:hAnsi="Times New Roman"/>
          <w:color w:val="000000" w:themeColor="text1"/>
          <w:sz w:val="16"/>
          <w:szCs w:val="16"/>
          <w:lang w:eastAsia="ru-RU"/>
        </w:rPr>
        <w:t>альне</w:t>
      </w:r>
      <w:proofErr w:type="spellEnd"/>
      <w:r w:rsidRPr="007122AB">
        <w:rPr>
          <w:rFonts w:ascii="Times New Roman" w:eastAsia="Times New Roman" w:hAnsi="Times New Roman"/>
          <w:color w:val="000000" w:themeColor="text1"/>
          <w:sz w:val="16"/>
          <w:szCs w:val="16"/>
          <w:lang w:eastAsia="ru-RU"/>
        </w:rPr>
        <w:t>]в[</w:t>
      </w:r>
      <w:proofErr w:type="spellStart"/>
      <w:r w:rsidRPr="007122AB">
        <w:rPr>
          <w:rFonts w:ascii="Times New Roman" w:eastAsia="Times New Roman" w:hAnsi="Times New Roman"/>
          <w:color w:val="000000" w:themeColor="text1"/>
          <w:sz w:val="16"/>
          <w:szCs w:val="16"/>
          <w:lang w:eastAsia="ru-RU"/>
        </w:rPr>
        <w:t>осточных</w:t>
      </w:r>
      <w:proofErr w:type="spellEnd"/>
      <w:r w:rsidRPr="007122AB">
        <w:rPr>
          <w:rFonts w:ascii="Times New Roman" w:eastAsia="Times New Roman" w:hAnsi="Times New Roman"/>
          <w:color w:val="000000" w:themeColor="text1"/>
          <w:sz w:val="16"/>
          <w:szCs w:val="16"/>
          <w:lang w:eastAsia="ru-RU"/>
        </w:rPr>
        <w:t xml:space="preserve">] границ Союза" советское руководство считало нужным выделять "очень незначительные силы". они составляли 42 тыс. человек при 352 орудиях, 88 самолетах и 16 танках, т. е. около 5% сил Красной Армии мирного времени (Справка Управления делами НКВМ "Укрепление обороны советского Дальнего Востока* [декабрь 1932 - январь 1933] // РГВА Ф. 4. Оп. 14. Д 754. Л. 26. Уместно вспомнить, что в начале 1930 </w:t>
      </w:r>
      <w:proofErr w:type="spellStart"/>
      <w:r w:rsidRPr="007122AB">
        <w:rPr>
          <w:rFonts w:ascii="Times New Roman" w:eastAsia="Times New Roman" w:hAnsi="Times New Roman"/>
          <w:color w:val="000000" w:themeColor="text1"/>
          <w:sz w:val="16"/>
          <w:szCs w:val="16"/>
          <w:lang w:eastAsia="ru-RU"/>
        </w:rPr>
        <w:t>Г.Тухачевский</w:t>
      </w:r>
      <w:proofErr w:type="spellEnd"/>
      <w:r w:rsidRPr="007122AB">
        <w:rPr>
          <w:rFonts w:ascii="Times New Roman" w:eastAsia="Times New Roman" w:hAnsi="Times New Roman"/>
          <w:color w:val="000000" w:themeColor="text1"/>
          <w:sz w:val="16"/>
          <w:szCs w:val="16"/>
          <w:lang w:eastAsia="ru-RU"/>
        </w:rPr>
        <w:t xml:space="preserve"> предлагал в случае войны ограничить развертываемые в Сибири силы всего пятью дивизиями (см. 2.2).</w:t>
      </w:r>
    </w:p>
    <w:p w14:paraId="00519F68" w14:textId="77777777" w:rsidR="009B2B4A" w:rsidRPr="007122AB" w:rsidRDefault="009B2B4A"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 свидетельству И. Ф. Цветкова, "в соответствии с мобилизационным планом (МП-10) па 1931 год из 122 стрелковых дивизий на западных границах предполагалось развернуть 110, основную часть конницы, почти все тапки и большую часть авиации" (ЦВЕТКОВ И. Ф. Организационно-мобилизационные органы и организационные структуры Военно-Морского Флота России (1695-1945). СПб., 2000. С. 266).).</w:t>
      </w:r>
    </w:p>
    <w:p w14:paraId="565D1925" w14:textId="77777777" w:rsidR="009B2B4A" w:rsidRPr="007122AB" w:rsidRDefault="009B2B4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 xml:space="preserve">Еще в конце лета - начале осени 1931 г. политическое и военное руководство не видело оснований для особой тревоги за положение на Дальнем Востоке (Противоположная точка зрения высказана Р. У. Дэвисом. По его мнению, предпринятые летом 1931 г. меры по увеличению выпуска вооружений были вызваны "растущим напряжением" в отношениях Москвы и Токио, что заставило Политбюро весной 1931 г. четырежды обращаться к проблеме японо-советских противоречий (DAVIES R. W. </w:t>
      </w:r>
      <w:proofErr w:type="spellStart"/>
      <w:r w:rsidRPr="007122AB">
        <w:rPr>
          <w:rFonts w:ascii="Times New Roman" w:eastAsia="Times New Roman" w:hAnsi="Times New Roman"/>
          <w:color w:val="000000" w:themeColor="text1"/>
          <w:sz w:val="16"/>
          <w:szCs w:val="16"/>
          <w:lang w:eastAsia="ru-RU"/>
        </w:rPr>
        <w:t>Crisis</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and</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Progress</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in</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the</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Soviet</w:t>
      </w:r>
      <w:proofErr w:type="spellEnd"/>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Economy</w:t>
      </w:r>
      <w:r w:rsidRPr="007122AB">
        <w:rPr>
          <w:rFonts w:ascii="Times New Roman" w:eastAsia="Times New Roman" w:hAnsi="Times New Roman"/>
          <w:color w:val="000000" w:themeColor="text1"/>
          <w:sz w:val="16"/>
          <w:szCs w:val="16"/>
          <w:lang w:eastAsia="ru-RU"/>
        </w:rPr>
        <w:t xml:space="preserve">, 1931-1933. </w:t>
      </w:r>
      <w:proofErr w:type="spellStart"/>
      <w:r w:rsidRPr="007122AB">
        <w:rPr>
          <w:rFonts w:ascii="Times New Roman" w:eastAsia="Times New Roman" w:hAnsi="Times New Roman"/>
          <w:color w:val="000000" w:themeColor="text1"/>
          <w:sz w:val="16"/>
          <w:szCs w:val="16"/>
          <w:lang w:eastAsia="ru-RU"/>
        </w:rPr>
        <w:t>Basingstoke</w:t>
      </w:r>
      <w:proofErr w:type="spellEnd"/>
      <w:r w:rsidRPr="007122AB">
        <w:rPr>
          <w:rFonts w:ascii="Times New Roman" w:eastAsia="Times New Roman" w:hAnsi="Times New Roman"/>
          <w:color w:val="000000" w:themeColor="text1"/>
          <w:sz w:val="16"/>
          <w:szCs w:val="16"/>
          <w:lang w:eastAsia="ru-RU"/>
        </w:rPr>
        <w:t xml:space="preserve">; L, 1996. P. 113-114). Упомянутые решения Политбюро были, однако, посвящены урегулированию разногласий об арендных платежах японских рыбопромышленников за морские участки им. (См. Протокол № 23 заседания Политбюро ЦК ВКП(б) ОТ 15.03-1931 // РГА СПИ Ф. 17. Оп. 162. Д 9. Л. 162; Протокол № 31 заседания Политбюро ЦК им 1(6) от 5.04.1931 // Там же. Д. 10. Л. 2; Протокол № 33 заседания Политбюро ЦК ВКП(б) от 10-13-04.1931 // Там же. Л. 7; Протокол № 37 заседания Политбюро ЦК ВКП(б) от 10.05-1931 // Там же. Л. 33; а также: Телеграмма </w:t>
      </w:r>
      <w:proofErr w:type="spellStart"/>
      <w:r w:rsidRPr="007122AB">
        <w:rPr>
          <w:rFonts w:ascii="Times New Roman" w:eastAsia="Times New Roman" w:hAnsi="Times New Roman"/>
          <w:color w:val="000000" w:themeColor="text1"/>
          <w:sz w:val="16"/>
          <w:szCs w:val="16"/>
          <w:lang w:eastAsia="ru-RU"/>
        </w:rPr>
        <w:t>Заместитсля</w:t>
      </w:r>
      <w:proofErr w:type="spellEnd"/>
      <w:r w:rsidRPr="007122AB">
        <w:rPr>
          <w:rFonts w:ascii="Times New Roman" w:eastAsia="Times New Roman" w:hAnsi="Times New Roman"/>
          <w:color w:val="000000" w:themeColor="text1"/>
          <w:sz w:val="16"/>
          <w:szCs w:val="16"/>
          <w:lang w:eastAsia="ru-RU"/>
        </w:rPr>
        <w:t xml:space="preserve"> Народного Комиссара по Иностранным Делам Карахана Полпреду СССР в Японии Трояновскому, 22.04.1931 // ДВП СССР. Т. XIV. С. 267; Заявление Заместителя Народного Комиссара по Иностранным Делам Карахана Послу Японии в СССР </w:t>
      </w:r>
      <w:proofErr w:type="spellStart"/>
      <w:r w:rsidRPr="007122AB">
        <w:rPr>
          <w:rFonts w:ascii="Times New Roman" w:eastAsia="Times New Roman" w:hAnsi="Times New Roman"/>
          <w:color w:val="000000" w:themeColor="text1"/>
          <w:sz w:val="16"/>
          <w:szCs w:val="16"/>
          <w:lang w:eastAsia="ru-RU"/>
        </w:rPr>
        <w:t>Хирота</w:t>
      </w:r>
      <w:proofErr w:type="spellEnd"/>
      <w:r w:rsidRPr="007122AB">
        <w:rPr>
          <w:rFonts w:ascii="Times New Roman" w:eastAsia="Times New Roman" w:hAnsi="Times New Roman"/>
          <w:color w:val="000000" w:themeColor="text1"/>
          <w:sz w:val="16"/>
          <w:szCs w:val="16"/>
          <w:lang w:eastAsia="ru-RU"/>
        </w:rPr>
        <w:t xml:space="preserve">, 24.04.1931 //Там же. С. 273-274; Запись беседы Заместителя Народного Комиссара по Иностранным Делам КАРАХАНА с Послом Японии в СССР </w:t>
      </w:r>
      <w:proofErr w:type="spellStart"/>
      <w:r w:rsidRPr="007122AB">
        <w:rPr>
          <w:rFonts w:ascii="Times New Roman" w:eastAsia="Times New Roman" w:hAnsi="Times New Roman"/>
          <w:color w:val="000000" w:themeColor="text1"/>
          <w:sz w:val="16"/>
          <w:szCs w:val="16"/>
          <w:lang w:eastAsia="ru-RU"/>
        </w:rPr>
        <w:t>Хирота</w:t>
      </w:r>
      <w:proofErr w:type="spellEnd"/>
      <w:r w:rsidRPr="007122AB">
        <w:rPr>
          <w:rFonts w:ascii="Times New Roman" w:eastAsia="Times New Roman" w:hAnsi="Times New Roman"/>
          <w:color w:val="000000" w:themeColor="text1"/>
          <w:sz w:val="16"/>
          <w:szCs w:val="16"/>
          <w:lang w:eastAsia="ru-RU"/>
        </w:rPr>
        <w:t xml:space="preserve">, 3-05.1931 //Там же. С. 303-306). Вслед за Дж </w:t>
      </w:r>
      <w:proofErr w:type="spellStart"/>
      <w:r w:rsidRPr="007122AB">
        <w:rPr>
          <w:rFonts w:ascii="Times New Roman" w:eastAsia="Times New Roman" w:hAnsi="Times New Roman"/>
          <w:color w:val="000000" w:themeColor="text1"/>
          <w:sz w:val="16"/>
          <w:szCs w:val="16"/>
          <w:lang w:eastAsia="ru-RU"/>
        </w:rPr>
        <w:t>Хасламом</w:t>
      </w:r>
      <w:proofErr w:type="spellEnd"/>
      <w:r w:rsidRPr="007122AB">
        <w:rPr>
          <w:rFonts w:ascii="Times New Roman" w:eastAsia="Times New Roman" w:hAnsi="Times New Roman"/>
          <w:color w:val="000000" w:themeColor="text1"/>
          <w:sz w:val="16"/>
          <w:szCs w:val="16"/>
          <w:lang w:eastAsia="ru-RU"/>
        </w:rPr>
        <w:t xml:space="preserve">, Р. У. </w:t>
      </w:r>
      <w:proofErr w:type="spellStart"/>
      <w:r w:rsidRPr="007122AB">
        <w:rPr>
          <w:rFonts w:ascii="Times New Roman" w:eastAsia="Times New Roman" w:hAnsi="Times New Roman"/>
          <w:color w:val="000000" w:themeColor="text1"/>
          <w:sz w:val="16"/>
          <w:szCs w:val="16"/>
          <w:lang w:eastAsia="ru-RU"/>
        </w:rPr>
        <w:t>Дэвие</w:t>
      </w:r>
      <w:proofErr w:type="spellEnd"/>
      <w:r w:rsidRPr="007122AB">
        <w:rPr>
          <w:rFonts w:ascii="Times New Roman" w:eastAsia="Times New Roman" w:hAnsi="Times New Roman"/>
          <w:color w:val="000000" w:themeColor="text1"/>
          <w:sz w:val="16"/>
          <w:szCs w:val="16"/>
          <w:lang w:eastAsia="ru-RU"/>
        </w:rPr>
        <w:t xml:space="preserve"> и Д Р. Стоун придают также большое значение перехвату советской разведкой в марте 1931 г. телеграммы японского военного атташе в Москве, в которой тот обосновывал целесообразность превентивной войны против СССР (</w:t>
      </w:r>
      <w:r w:rsidRPr="007122AB">
        <w:rPr>
          <w:rFonts w:ascii="Times New Roman" w:eastAsia="Times New Roman" w:hAnsi="Times New Roman"/>
          <w:color w:val="000000" w:themeColor="text1"/>
          <w:sz w:val="16"/>
          <w:szCs w:val="16"/>
          <w:lang w:val="en-US" w:eastAsia="ru-RU"/>
        </w:rPr>
        <w:t>HASLAM</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J</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Soviet</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Foreign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Policy</w:t>
      </w:r>
      <w:r w:rsidRPr="007122AB">
        <w:rPr>
          <w:rFonts w:ascii="Times New Roman" w:eastAsia="Times New Roman" w:hAnsi="Times New Roman"/>
          <w:color w:val="000000" w:themeColor="text1"/>
          <w:sz w:val="16"/>
          <w:szCs w:val="16"/>
          <w:lang w:eastAsia="ru-RU"/>
        </w:rPr>
        <w:t xml:space="preserve">, 1430-1933: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Impact</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of</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Depression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 xml:space="preserve">L, 1983. P. 73-74; STONE D. Tukhachevsky in Leningrad: Military, Politics and Exile, 1928-31 // Europe-Asia Studies. </w:t>
      </w:r>
      <w:r w:rsidRPr="007122AB">
        <w:rPr>
          <w:rFonts w:ascii="Times New Roman" w:eastAsia="Times New Roman" w:hAnsi="Times New Roman"/>
          <w:color w:val="000000" w:themeColor="text1"/>
          <w:sz w:val="16"/>
          <w:szCs w:val="16"/>
          <w:lang w:eastAsia="ru-RU"/>
        </w:rPr>
        <w:t xml:space="preserve">1996. </w:t>
      </w:r>
      <w:r w:rsidRPr="007122AB">
        <w:rPr>
          <w:rFonts w:ascii="Times New Roman" w:eastAsia="Times New Roman" w:hAnsi="Times New Roman"/>
          <w:color w:val="000000" w:themeColor="text1"/>
          <w:sz w:val="16"/>
          <w:szCs w:val="16"/>
          <w:lang w:val="en-US" w:eastAsia="ru-RU"/>
        </w:rPr>
        <w:t>Vol</w:t>
      </w:r>
      <w:r w:rsidRPr="007122AB">
        <w:rPr>
          <w:rFonts w:ascii="Times New Roman" w:eastAsia="Times New Roman" w:hAnsi="Times New Roman"/>
          <w:color w:val="000000" w:themeColor="text1"/>
          <w:sz w:val="16"/>
          <w:szCs w:val="16"/>
          <w:lang w:eastAsia="ru-RU"/>
        </w:rPr>
        <w:t xml:space="preserve">. 48. №8. </w:t>
      </w:r>
      <w:r w:rsidRPr="007122AB">
        <w:rPr>
          <w:rFonts w:ascii="Times New Roman" w:eastAsia="Times New Roman" w:hAnsi="Times New Roman"/>
          <w:color w:val="000000" w:themeColor="text1"/>
          <w:sz w:val="16"/>
          <w:szCs w:val="16"/>
          <w:lang w:val="en-US" w:eastAsia="ru-RU"/>
        </w:rPr>
        <w:t>P</w:t>
      </w:r>
      <w:r w:rsidRPr="007122AB">
        <w:rPr>
          <w:rFonts w:ascii="Times New Roman" w:eastAsia="Times New Roman" w:hAnsi="Times New Roman"/>
          <w:color w:val="000000" w:themeColor="text1"/>
          <w:sz w:val="16"/>
          <w:szCs w:val="16"/>
          <w:lang w:eastAsia="ru-RU"/>
        </w:rPr>
        <w:t xml:space="preserve">. 1380)). Это подтверждают разнообразные факты и свидетельства. В ходе своей поездки в восточные районы страны, насколько можно судить по докладу Ворошилова в Политбюро, он уделил инспектированию ОКДВА </w:t>
      </w:r>
      <w:r w:rsidRPr="007122AB">
        <w:rPr>
          <w:rFonts w:ascii="Times New Roman" w:eastAsia="Times New Roman" w:hAnsi="Times New Roman"/>
          <w:color w:val="000000" w:themeColor="text1"/>
          <w:sz w:val="16"/>
          <w:szCs w:val="16"/>
          <w:lang w:eastAsia="ru-RU"/>
        </w:rPr>
        <w:lastRenderedPageBreak/>
        <w:t>ничуть не большее внимание, чем осмотру предприятий Урала и Поволжья (Биограф Ворошилова объяснял его поездку тем, что японские милитаристы "не скрывали намерений отторгнуть Советский Дальний Восток" и необходимы были срочные меры по укреплению обороны". Он же признавал: "Но главное внимание Ворошилов на протяжении этой… поездки отводил новостройкам" (КАРДАШОВ В. Ворошилов. М., 1976. С. 255-256)) (22725).</w:t>
      </w:r>
    </w:p>
    <w:p w14:paraId="4C9A7B68" w14:textId="77777777" w:rsidR="009B2B4A" w:rsidRPr="007122AB" w:rsidRDefault="009B2B4A" w:rsidP="007122AB">
      <w:pPr>
        <w:spacing w:after="0" w:line="240" w:lineRule="auto"/>
        <w:jc w:val="both"/>
        <w:rPr>
          <w:rFonts w:ascii="Times New Roman" w:hAnsi="Times New Roman"/>
          <w:color w:val="000000" w:themeColor="text1"/>
          <w:sz w:val="16"/>
          <w:szCs w:val="16"/>
        </w:rPr>
      </w:pPr>
    </w:p>
    <w:p w14:paraId="03E2DC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 на Балтике в 62-й эскад</w:t>
      </w:r>
      <w:r w:rsidRPr="007122AB">
        <w:rPr>
          <w:rFonts w:ascii="Times New Roman" w:hAnsi="Times New Roman"/>
          <w:color w:val="000000" w:themeColor="text1"/>
          <w:sz w:val="16"/>
          <w:szCs w:val="16"/>
        </w:rPr>
        <w:softHyphen/>
        <w:t>рилье 4-й авиабригады насчитывалось три ТБ-1П, которые использовали для испыта</w:t>
      </w:r>
      <w:r w:rsidRPr="007122AB">
        <w:rPr>
          <w:rFonts w:ascii="Times New Roman" w:hAnsi="Times New Roman"/>
          <w:color w:val="000000" w:themeColor="text1"/>
          <w:sz w:val="16"/>
          <w:szCs w:val="16"/>
        </w:rPr>
        <w:softHyphen/>
        <w:t xml:space="preserve">ний сброса с бреющего полета </w:t>
      </w:r>
      <w:proofErr w:type="spellStart"/>
      <w:r w:rsidRPr="007122AB">
        <w:rPr>
          <w:rFonts w:ascii="Times New Roman" w:hAnsi="Times New Roman"/>
          <w:color w:val="000000" w:themeColor="text1"/>
          <w:sz w:val="16"/>
          <w:szCs w:val="16"/>
        </w:rPr>
        <w:t>низковысотных</w:t>
      </w:r>
      <w:proofErr w:type="spellEnd"/>
      <w:r w:rsidRPr="007122AB">
        <w:rPr>
          <w:rFonts w:ascii="Times New Roman" w:hAnsi="Times New Roman"/>
          <w:color w:val="000000" w:themeColor="text1"/>
          <w:sz w:val="16"/>
          <w:szCs w:val="16"/>
        </w:rPr>
        <w:t xml:space="preserve"> торпед ТАН-12. В 1932 г. началось формирование подразделений минно-торпедной авиации: на Балтике — 121-я эскадрилья, на Черном море — один отряд 124-й эскадрильи, на Тихом океане — уже упомянутый выше отряд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Кроме проведения торпедных атак, самолеты предполагалось использовать для постановки минных заграждений на предполагаемых путях передвижения неприятельских кораблей (11286).</w:t>
      </w:r>
    </w:p>
    <w:p w14:paraId="313E42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761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года 10-я и 4-я артиллерийские бригады были переформированы в 1-ю и 2-ю дивизии ПВО. Командиры дивизий стали одновременно начальниками противовоздушной обороны Москвы и Ленинграда. Для обороны Баку и Киева развернуты бригады ПВО (10109).</w:t>
      </w:r>
    </w:p>
    <w:p w14:paraId="1684C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E8F70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D594EE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342C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осени 1931 года, то есть к самому началу работы Торгсина относятся самые ранние жалобы на противоправные действия ОГПУ. Неизвестно, кому первому в ОГПУ пришла идея использовать Торгсин для выполнения плана "добычи" валюты - скорее всего, определенного автора не было. Агенты ОПТУ стали следить за покупателями в Торгсине, выявляя "держателей ценностей", а затем привычными методами (угрозы, аресты, обыски, конфискации) заставляли их сдавать ценности государству безвозмездно. Одни чекисты соблюдали конспирацию - следили за покупателем скрытно, устанавливая его место жительства, потом приходили с обыском. Другие действовали топорно, видимо, пытаясь взять "укрывателя золота" с поличным: врывались с оружием в магазин, арестовывали людей прямо у прилавка, забирали наличную валюту, а вместе с ней и купленные товары. После таких операций ОГ-ПУ доходы Торгсина падали, а </w:t>
      </w:r>
      <w:proofErr w:type="spellStart"/>
      <w:r w:rsidRPr="007122AB">
        <w:rPr>
          <w:rFonts w:ascii="Times New Roman" w:hAnsi="Times New Roman"/>
          <w:color w:val="000000" w:themeColor="text1"/>
          <w:sz w:val="16"/>
          <w:szCs w:val="16"/>
        </w:rPr>
        <w:t>фин</w:t>
      </w:r>
      <w:proofErr w:type="spellEnd"/>
      <w:r w:rsidRPr="007122AB">
        <w:rPr>
          <w:rFonts w:ascii="Times New Roman" w:hAnsi="Times New Roman"/>
          <w:color w:val="000000" w:themeColor="text1"/>
          <w:sz w:val="16"/>
          <w:szCs w:val="16"/>
        </w:rPr>
        <w:t>-план был под угрозой срыва. Со всех концов страны в правление поступали жалобы от контор Торгсина на действия местных отделений ОГПУ. Тогда это можно было списать на неинформированность местных органов, инерцию, неразбериху и шок, которые сопровождали создание этой необычной организации - появление Торгсина нарушало валютную монополию государства, ведь правительство, по сути, признало право людей иметь валюту и разрешило валютные операции внутри страны. Требовалось время для того, чтобы информация о законности операций Торгсина дошла на места и организации преодолели инерцию государственной валютной монополии. Шло время. УШЛИ в регионы директива ЦК и письмо Сталина о содействии Торгсину. Появилось правительственное постановление о том, что ОГПУ должно проводить свои операции, не подрывая работу Всесоюзного объединения по работе с иностранцами. Руководство Наркомата торговли, в чьем ведении находился Торгсин, провело переговоры с Экономическим отделом (ЭКО) ОГПУ, и, в свою очередь, разослало на места разъясняющие циркуляры о том, что Торгсин имеет право продажи на "эффективную" (несоветскую) валюту. Торгсин из диковинки превратился в обыденное явление советской жизни. Однако жалобы на действия сотрудников ОГПУ - аресты покупателей в Торгсине, обыски в квартирах, конфискация валюты и товаров - продолжали поступать вплоть до самого закрытия объединения (11558).</w:t>
      </w:r>
    </w:p>
    <w:p w14:paraId="6AA7F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22B6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горячий сторонник СССР Бруно </w:t>
      </w:r>
      <w:proofErr w:type="spellStart"/>
      <w:r w:rsidRPr="007122AB">
        <w:rPr>
          <w:rFonts w:ascii="Times New Roman" w:hAnsi="Times New Roman"/>
          <w:color w:val="000000" w:themeColor="text1"/>
          <w:sz w:val="16"/>
          <w:szCs w:val="16"/>
        </w:rPr>
        <w:t>Таут</w:t>
      </w:r>
      <w:proofErr w:type="spellEnd"/>
      <w:r w:rsidRPr="007122AB">
        <w:rPr>
          <w:rFonts w:ascii="Times New Roman" w:hAnsi="Times New Roman"/>
          <w:color w:val="000000" w:themeColor="text1"/>
          <w:sz w:val="16"/>
          <w:szCs w:val="16"/>
        </w:rPr>
        <w:t xml:space="preserve"> получает приглашение участвовать в закрытом конкурсе на отель для интуристов в Москве (будущая гостиница «Москва»). До этого </w:t>
      </w:r>
      <w:proofErr w:type="spellStart"/>
      <w:r w:rsidRPr="007122AB">
        <w:rPr>
          <w:rFonts w:ascii="Times New Roman" w:hAnsi="Times New Roman"/>
          <w:color w:val="000000" w:themeColor="text1"/>
          <w:sz w:val="16"/>
          <w:szCs w:val="16"/>
        </w:rPr>
        <w:t>Б.Таут</w:t>
      </w:r>
      <w:proofErr w:type="spellEnd"/>
      <w:r w:rsidRPr="007122AB">
        <w:rPr>
          <w:rFonts w:ascii="Times New Roman" w:hAnsi="Times New Roman"/>
          <w:color w:val="000000" w:themeColor="text1"/>
          <w:sz w:val="16"/>
          <w:szCs w:val="16"/>
        </w:rPr>
        <w:t xml:space="preserve"> уже бывал в СССР с рабочими целями: впервые он приезжал в Москву в мае 1926-го. В Жилищно-строительном комитете при Президиуме Моссовета он читает доклад, в ходе которого даёт, в том числе, и организационные советы — об усилении научного аппарата, о применении светокопии, о введении десятичных масштабов и т.д. Второй раз — в январе 1929 г. Третий — в октябре 1930 по приглашению </w:t>
      </w:r>
      <w:proofErr w:type="spellStart"/>
      <w:r w:rsidRPr="007122AB">
        <w:rPr>
          <w:rFonts w:ascii="Times New Roman" w:hAnsi="Times New Roman"/>
          <w:color w:val="000000" w:themeColor="text1"/>
          <w:sz w:val="16"/>
          <w:szCs w:val="16"/>
        </w:rPr>
        <w:t>Мосстройобъединения</w:t>
      </w:r>
      <w:proofErr w:type="spellEnd"/>
      <w:r w:rsidRPr="007122AB">
        <w:rPr>
          <w:rFonts w:ascii="Times New Roman" w:hAnsi="Times New Roman"/>
          <w:color w:val="000000" w:themeColor="text1"/>
          <w:sz w:val="16"/>
          <w:szCs w:val="16"/>
        </w:rPr>
        <w:t xml:space="preserve">. И на этот раз он делает глобальное организационное предложение — высказывается за объединение всех московских строительных организаций в единый крупный центр. Перебравшись в 1930 г. в СССР для постоянной проектной работы, </w:t>
      </w:r>
      <w:proofErr w:type="spellStart"/>
      <w:r w:rsidRPr="007122AB">
        <w:rPr>
          <w:rFonts w:ascii="Times New Roman" w:hAnsi="Times New Roman"/>
          <w:color w:val="000000" w:themeColor="text1"/>
          <w:sz w:val="16"/>
          <w:szCs w:val="16"/>
        </w:rPr>
        <w:t>Б.Таут</w:t>
      </w:r>
      <w:proofErr w:type="spellEnd"/>
      <w:r w:rsidRPr="007122AB">
        <w:rPr>
          <w:rFonts w:ascii="Times New Roman" w:hAnsi="Times New Roman"/>
          <w:color w:val="000000" w:themeColor="text1"/>
          <w:sz w:val="16"/>
          <w:szCs w:val="16"/>
        </w:rPr>
        <w:t xml:space="preserve"> получает в своё распоряжение группу из 30 советских сотрудников и, как мы указали, принимает участие конкуре на проект гостиницы «Москва». Кроме него, участвуют бригады Гинзбурга и Щусева. Сдержанный и сухой проект </w:t>
      </w:r>
      <w:proofErr w:type="spellStart"/>
      <w:r w:rsidRPr="007122AB">
        <w:rPr>
          <w:rFonts w:ascii="Times New Roman" w:hAnsi="Times New Roman"/>
          <w:color w:val="000000" w:themeColor="text1"/>
          <w:sz w:val="16"/>
          <w:szCs w:val="16"/>
        </w:rPr>
        <w:t>Б.Таута</w:t>
      </w:r>
      <w:proofErr w:type="spellEnd"/>
      <w:r w:rsidRPr="007122AB">
        <w:rPr>
          <w:rFonts w:ascii="Times New Roman" w:hAnsi="Times New Roman"/>
          <w:color w:val="000000" w:themeColor="text1"/>
          <w:sz w:val="16"/>
          <w:szCs w:val="16"/>
        </w:rPr>
        <w:t xml:space="preserve"> успеха не имеет. Его критикуют в прессе за «недостаточное соответствие окружению». После провала в конкурсе, бригада </w:t>
      </w:r>
      <w:proofErr w:type="spellStart"/>
      <w:r w:rsidRPr="007122AB">
        <w:rPr>
          <w:rFonts w:ascii="Times New Roman" w:hAnsi="Times New Roman"/>
          <w:color w:val="000000" w:themeColor="text1"/>
          <w:sz w:val="16"/>
          <w:szCs w:val="16"/>
        </w:rPr>
        <w:t>Б.Таута</w:t>
      </w:r>
      <w:proofErr w:type="spellEnd"/>
      <w:r w:rsidRPr="007122AB">
        <w:rPr>
          <w:rFonts w:ascii="Times New Roman" w:hAnsi="Times New Roman"/>
          <w:color w:val="000000" w:themeColor="text1"/>
          <w:sz w:val="16"/>
          <w:szCs w:val="16"/>
        </w:rPr>
        <w:t xml:space="preserve"> занимается проектированием нескольких крупных объектов, в том числе жилого комплекса у Курского вокзала и театрального комплекса. Но времена современной архитектуры в СССР заканчиваются именно в это время — фактически, официальная ориентация на классику делает стилистические образы архитектуры </w:t>
      </w:r>
      <w:proofErr w:type="spellStart"/>
      <w:r w:rsidRPr="007122AB">
        <w:rPr>
          <w:rFonts w:ascii="Times New Roman" w:hAnsi="Times New Roman"/>
          <w:color w:val="000000" w:themeColor="text1"/>
          <w:sz w:val="16"/>
          <w:szCs w:val="16"/>
        </w:rPr>
        <w:t>Таута</w:t>
      </w:r>
      <w:proofErr w:type="spellEnd"/>
      <w:r w:rsidRPr="007122AB">
        <w:rPr>
          <w:rFonts w:ascii="Times New Roman" w:hAnsi="Times New Roman"/>
          <w:color w:val="000000" w:themeColor="text1"/>
          <w:sz w:val="16"/>
          <w:szCs w:val="16"/>
        </w:rPr>
        <w:t xml:space="preserve"> неприемлемыми для советских функционеров. Он полностью теряет надежду на реализацию своих проектов в СССР и, несмотря на то, что получил в конце 1932 г. персональное проектного бюро, находящееся в </w:t>
      </w:r>
      <w:proofErr w:type="spellStart"/>
      <w:r w:rsidRPr="007122AB">
        <w:rPr>
          <w:rFonts w:ascii="Times New Roman" w:hAnsi="Times New Roman"/>
          <w:color w:val="000000" w:themeColor="text1"/>
          <w:sz w:val="16"/>
          <w:szCs w:val="16"/>
        </w:rPr>
        <w:t>приямом</w:t>
      </w:r>
      <w:proofErr w:type="spellEnd"/>
      <w:r w:rsidRPr="007122AB">
        <w:rPr>
          <w:rFonts w:ascii="Times New Roman" w:hAnsi="Times New Roman"/>
          <w:color w:val="000000" w:themeColor="text1"/>
          <w:sz w:val="16"/>
          <w:szCs w:val="16"/>
        </w:rPr>
        <w:t xml:space="preserve"> подчинении Президиуму Моссовета, в начале 1933 г. уезжает обратно в Германию (11596).</w:t>
      </w:r>
    </w:p>
    <w:p w14:paraId="76D04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54EF5E" w14:textId="68D0A21D"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63611595" w14:textId="77777777" w:rsidR="007F1987" w:rsidRDefault="007F1987"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E85E347"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Осенью 1931 г. ввиду валютных затруднений и неприемлемых условий кредитования валютная комиссия СССР пошла на новое сокращение расходов, включая выплаты компании Форда. Через год были досрочно прекращены закупки у нее автомобильных комплектующих, и прерваны переговоры с ее руководством. Средства выделялись только на закупку оборудования для Нижегородского автозавода. В результате компания Форда потеряла около 578 тыс. долл., так как советская сторона приобрела у нее только половину намеченного количества комплектующих, а оборудование поставлялось по заводской себестоимости.</w:t>
      </w:r>
    </w:p>
    <w:p w14:paraId="116CCEB9" w14:textId="77777777" w:rsidR="007F1987" w:rsidRPr="00441F34" w:rsidRDefault="007F1987" w:rsidP="007F198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 первые пять лет 30-х годов СССР должен был выплатить американским фирмам 350 млн. долларов (больше 40 млрд, сегодняшних долларов) кредитов плюс проценты по ним из расчета 7 % годовых. Известно письмо Сталина от 25 августа 1931 г., написанное Кагановичу: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w:t>
      </w:r>
      <w:proofErr w:type="spellStart"/>
      <w:r w:rsidRPr="00441F34">
        <w:rPr>
          <w:rFonts w:ascii="Times New Roman" w:hAnsi="Times New Roman"/>
          <w:color w:val="0070C0"/>
          <w:sz w:val="16"/>
          <w:szCs w:val="16"/>
        </w:rPr>
        <w:t>Кузнецстроя</w:t>
      </w:r>
      <w:proofErr w:type="spellEnd"/>
      <w:r w:rsidRPr="00441F34">
        <w:rPr>
          <w:rFonts w:ascii="Times New Roman" w:hAnsi="Times New Roman"/>
          <w:color w:val="0070C0"/>
          <w:sz w:val="16"/>
          <w:szCs w:val="16"/>
        </w:rPr>
        <w:t xml:space="preserve">, ни для </w:t>
      </w:r>
      <w:proofErr w:type="spellStart"/>
      <w:r w:rsidRPr="00441F34">
        <w:rPr>
          <w:rFonts w:ascii="Times New Roman" w:hAnsi="Times New Roman"/>
          <w:color w:val="0070C0"/>
          <w:sz w:val="16"/>
          <w:szCs w:val="16"/>
        </w:rPr>
        <w:t>Харьковстроя</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Днепростроя</w:t>
      </w:r>
      <w:proofErr w:type="spellEnd"/>
      <w:r w:rsidRPr="00441F34">
        <w:rPr>
          <w:rFonts w:ascii="Times New Roman" w:hAnsi="Times New Roman"/>
          <w:color w:val="0070C0"/>
          <w:sz w:val="16"/>
          <w:szCs w:val="16"/>
        </w:rPr>
        <w:t xml:space="preserve">, АМО и </w:t>
      </w:r>
      <w:proofErr w:type="spellStart"/>
      <w:r w:rsidRPr="00441F34">
        <w:rPr>
          <w:rFonts w:ascii="Times New Roman" w:hAnsi="Times New Roman"/>
          <w:color w:val="0070C0"/>
          <w:sz w:val="16"/>
          <w:szCs w:val="16"/>
        </w:rPr>
        <w:t>Автостроя</w:t>
      </w:r>
      <w:proofErr w:type="spellEnd"/>
      <w:r w:rsidRPr="00441F34">
        <w:rPr>
          <w:rFonts w:ascii="Times New Roman" w:hAnsi="Times New Roman"/>
          <w:color w:val="0070C0"/>
          <w:sz w:val="16"/>
          <w:szCs w:val="16"/>
        </w:rPr>
        <w:t>». Это означало конец сотрудничества с Каном, который выполнил свою задачу в глазах советского правительства: спроектировал и заложил сеть новых промышленных предприятий, а также сформировал заказы на технологическое оборудование, которые теперь могли быть переданы в любые фирмы. Ровно через год большевики отказали фирме Кана в продлении контракта (23485).</w:t>
      </w:r>
    </w:p>
    <w:p w14:paraId="16433DF7" w14:textId="77777777" w:rsidR="007F1987" w:rsidRPr="00441F34" w:rsidRDefault="007F1987" w:rsidP="007F1987">
      <w:pPr>
        <w:spacing w:after="0" w:line="240" w:lineRule="auto"/>
        <w:jc w:val="both"/>
        <w:rPr>
          <w:rFonts w:ascii="Times New Roman" w:hAnsi="Times New Roman"/>
          <w:color w:val="0070C0"/>
          <w:sz w:val="16"/>
          <w:szCs w:val="16"/>
        </w:rPr>
      </w:pPr>
    </w:p>
    <w:p w14:paraId="2F3693AF" w14:textId="3E6FD592"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BCC5DF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3CB7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года было официально заявлено о прекращении финансирования воздухоплавательных программ в Англии. Даже после этого трагического случая правительство продолжало поддерживать летные эксперименты с участием R.100 и с энтузиазмом отнеслось к новому проекту «</w:t>
      </w:r>
      <w:proofErr w:type="spellStart"/>
      <w:r w:rsidRPr="007122AB">
        <w:rPr>
          <w:rFonts w:ascii="Times New Roman" w:hAnsi="Times New Roman"/>
          <w:color w:val="000000" w:themeColor="text1"/>
          <w:sz w:val="16"/>
          <w:szCs w:val="16"/>
        </w:rPr>
        <w:t>Ройал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Эйршип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Уоркс</w:t>
      </w:r>
      <w:proofErr w:type="spellEnd"/>
      <w:r w:rsidRPr="007122AB">
        <w:rPr>
          <w:rFonts w:ascii="Times New Roman" w:hAnsi="Times New Roman"/>
          <w:color w:val="000000" w:themeColor="text1"/>
          <w:sz w:val="16"/>
          <w:szCs w:val="16"/>
        </w:rPr>
        <w:t>», названному R.102. Только достигший в это время своего пика экономический кризис заставил британские власти перейти к постепенному свертыванию этих планов (11324).</w:t>
      </w:r>
    </w:p>
    <w:p w14:paraId="1651BD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E5629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305350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9CFD0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октябрю 1931 сдали последние 11 И-4, а всего - 177 + 2 опытных (1060,53).</w:t>
      </w:r>
    </w:p>
    <w:p w14:paraId="2485E2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3DFF1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86EE9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CB9CB1" w14:textId="77777777" w:rsidR="00595B4D" w:rsidRPr="007122AB" w:rsidRDefault="00595B4D"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1 октября 1931 заместитель начальника НИИ ВВС тов. Аузан в докладе председателю Рево</w:t>
      </w:r>
      <w:r w:rsidRPr="007122AB">
        <w:rPr>
          <w:rFonts w:ascii="Times New Roman" w:hAnsi="Times New Roman"/>
          <w:color w:val="000000" w:themeColor="text1"/>
          <w:sz w:val="16"/>
          <w:szCs w:val="16"/>
          <w:lang w:eastAsia="ru-RU" w:bidi="ru-RU"/>
        </w:rPr>
        <w:softHyphen/>
        <w:t>люционного Военного Совета СССР Во</w:t>
      </w:r>
      <w:r w:rsidRPr="007122AB">
        <w:rPr>
          <w:rFonts w:ascii="Times New Roman" w:hAnsi="Times New Roman"/>
          <w:color w:val="000000" w:themeColor="text1"/>
          <w:sz w:val="16"/>
          <w:szCs w:val="16"/>
          <w:lang w:eastAsia="ru-RU" w:bidi="ru-RU"/>
        </w:rPr>
        <w:softHyphen/>
        <w:t>рошилову от указывал, что по ТШ-1 к этому дню ничего не сделано, «по</w:t>
      </w:r>
      <w:r w:rsidRPr="007122AB">
        <w:rPr>
          <w:rFonts w:ascii="Times New Roman" w:hAnsi="Times New Roman"/>
          <w:color w:val="000000" w:themeColor="text1"/>
          <w:sz w:val="16"/>
          <w:szCs w:val="16"/>
          <w:lang w:eastAsia="ru-RU" w:bidi="ru-RU"/>
        </w:rPr>
        <w:softHyphen/>
        <w:t>скольку самолет стоит в плане условно (до разрешения РВС СССР вопроса о не</w:t>
      </w:r>
      <w:r w:rsidRPr="007122AB">
        <w:rPr>
          <w:rFonts w:ascii="Times New Roman" w:hAnsi="Times New Roman"/>
          <w:color w:val="000000" w:themeColor="text1"/>
          <w:sz w:val="16"/>
          <w:szCs w:val="16"/>
          <w:lang w:eastAsia="ru-RU" w:bidi="ru-RU"/>
        </w:rPr>
        <w:softHyphen/>
        <w:t>обходимости иметь на вооружении тяже</w:t>
      </w:r>
      <w:r w:rsidRPr="007122AB">
        <w:rPr>
          <w:rFonts w:ascii="Times New Roman" w:hAnsi="Times New Roman"/>
          <w:color w:val="000000" w:themeColor="text1"/>
          <w:sz w:val="16"/>
          <w:szCs w:val="16"/>
          <w:lang w:eastAsia="ru-RU" w:bidi="ru-RU"/>
        </w:rPr>
        <w:softHyphen/>
        <w:t>лый 2-х моторный штурмовик)» (21062).</w:t>
      </w:r>
    </w:p>
    <w:p w14:paraId="144730EF" w14:textId="77777777" w:rsidR="00595B4D" w:rsidRPr="007122AB" w:rsidRDefault="00595B4D" w:rsidP="007122AB">
      <w:pPr>
        <w:spacing w:after="0" w:line="240" w:lineRule="auto"/>
        <w:jc w:val="both"/>
        <w:rPr>
          <w:rFonts w:ascii="Times New Roman" w:hAnsi="Times New Roman"/>
          <w:color w:val="000000" w:themeColor="text1"/>
          <w:sz w:val="16"/>
          <w:szCs w:val="16"/>
        </w:rPr>
      </w:pPr>
    </w:p>
    <w:p w14:paraId="1EA33FA5" w14:textId="77777777" w:rsidR="00595B4D" w:rsidRPr="007122AB" w:rsidRDefault="00595B4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 состоянию на 1 октября 1931 г. объем выполненных работ по установке в пе</w:t>
      </w:r>
      <w:r w:rsidRPr="007122AB">
        <w:rPr>
          <w:rFonts w:ascii="Times New Roman" w:hAnsi="Times New Roman"/>
          <w:color w:val="000000" w:themeColor="text1"/>
          <w:sz w:val="16"/>
          <w:szCs w:val="16"/>
          <w:lang w:eastAsia="ru-RU" w:bidi="ru-RU"/>
        </w:rPr>
        <w:softHyphen/>
        <w:t>редней кабине Р-6 пушки калибра 37 мм оцени</w:t>
      </w:r>
      <w:r w:rsidRPr="007122AB">
        <w:rPr>
          <w:rFonts w:ascii="Times New Roman" w:hAnsi="Times New Roman"/>
          <w:color w:val="000000" w:themeColor="text1"/>
          <w:sz w:val="16"/>
          <w:szCs w:val="16"/>
          <w:lang w:eastAsia="ru-RU" w:bidi="ru-RU"/>
        </w:rPr>
        <w:softHyphen/>
        <w:t>вался в 80-85% К концу года тему закрыли (21062).</w:t>
      </w:r>
    </w:p>
    <w:p w14:paraId="77CD66BE" w14:textId="77777777" w:rsidR="00595B4D" w:rsidRPr="007122AB" w:rsidRDefault="00595B4D" w:rsidP="007122AB">
      <w:pPr>
        <w:spacing w:after="0" w:line="240" w:lineRule="auto"/>
        <w:jc w:val="both"/>
        <w:rPr>
          <w:rFonts w:ascii="Times New Roman" w:hAnsi="Times New Roman"/>
          <w:color w:val="000000" w:themeColor="text1"/>
          <w:sz w:val="16"/>
          <w:szCs w:val="16"/>
          <w:lang w:eastAsia="ru-RU" w:bidi="ru-RU"/>
        </w:rPr>
      </w:pPr>
    </w:p>
    <w:p w14:paraId="620826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1-го октября 1931 года цикл </w:t>
      </w:r>
      <w:proofErr w:type="spellStart"/>
      <w:r w:rsidRPr="007122AB">
        <w:rPr>
          <w:rFonts w:ascii="Times New Roman" w:hAnsi="Times New Roman"/>
          <w:color w:val="000000" w:themeColor="text1"/>
          <w:sz w:val="16"/>
          <w:szCs w:val="16"/>
        </w:rPr>
        <w:t>самолетоведения</w:t>
      </w:r>
      <w:proofErr w:type="spellEnd"/>
      <w:r w:rsidRPr="007122AB">
        <w:rPr>
          <w:rFonts w:ascii="Times New Roman" w:hAnsi="Times New Roman"/>
          <w:color w:val="000000" w:themeColor="text1"/>
          <w:sz w:val="16"/>
          <w:szCs w:val="16"/>
        </w:rPr>
        <w:t xml:space="preserve"> ВВА приступил вплотную к компоновке эскизного проекта самолета Г-1 (3054).</w:t>
      </w:r>
    </w:p>
    <w:p w14:paraId="6DADAE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149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октября 1931 по 1 января 1934 велось проектирование Д-1 10 М-34 (тяжелого десантного самолета) А.Н.Т. и израсходовали 1448490 руб. и 1 апреля 1934 требовалось еще 508000 и работы остановили (2287).</w:t>
      </w:r>
    </w:p>
    <w:p w14:paraId="1F7B9E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8ABE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октября (с 1 - 273,296, 3 - 538) 1931 </w:t>
      </w:r>
      <w:proofErr w:type="spellStart"/>
      <w:r w:rsidRPr="007122AB">
        <w:rPr>
          <w:rFonts w:ascii="Times New Roman" w:hAnsi="Times New Roman"/>
          <w:color w:val="000000" w:themeColor="text1"/>
          <w:sz w:val="16"/>
          <w:szCs w:val="16"/>
        </w:rPr>
        <w:t>В.М.Петляков</w:t>
      </w:r>
      <w:proofErr w:type="spellEnd"/>
      <w:r w:rsidRPr="007122AB">
        <w:rPr>
          <w:rFonts w:ascii="Times New Roman" w:hAnsi="Times New Roman"/>
          <w:color w:val="000000" w:themeColor="text1"/>
          <w:sz w:val="16"/>
          <w:szCs w:val="16"/>
        </w:rPr>
        <w:t xml:space="preserve"> стал начальником секции тяжелых самолетов ЦАГИ, а затем - начальником 2-й бригады и зам. начальника КОСОС ЦАГИ (4,158).</w:t>
      </w:r>
    </w:p>
    <w:p w14:paraId="39BD3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D46D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 1 октября 1931 г. в ВВС РККА насчитывалось 54 И-5, а к 1 января 1933 г. - 348. В 1936 г. их уже начали снимать с вооружения. В 1938 г. в ВВС Забайкальского военного округа оставалось 6 ма</w:t>
      </w:r>
      <w:r w:rsidRPr="007122AB">
        <w:rPr>
          <w:rFonts w:ascii="Times New Roman" w:hAnsi="Times New Roman"/>
          <w:color w:val="000000" w:themeColor="text1"/>
          <w:sz w:val="16"/>
          <w:szCs w:val="16"/>
        </w:rPr>
        <w:softHyphen/>
        <w:t xml:space="preserve">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w:t>
      </w:r>
      <w:proofErr w:type="spellStart"/>
      <w:r w:rsidRPr="007122AB">
        <w:rPr>
          <w:rFonts w:ascii="Times New Roman" w:hAnsi="Times New Roman"/>
          <w:color w:val="000000" w:themeColor="text1"/>
          <w:sz w:val="16"/>
          <w:szCs w:val="16"/>
        </w:rPr>
        <w:t>Тамсаг</w:t>
      </w:r>
      <w:proofErr w:type="spellEnd"/>
      <w:r w:rsidRPr="007122AB">
        <w:rPr>
          <w:rFonts w:ascii="Times New Roman" w:hAnsi="Times New Roman"/>
          <w:color w:val="000000" w:themeColor="text1"/>
          <w:sz w:val="16"/>
          <w:szCs w:val="16"/>
        </w:rPr>
        <w:t>-Булак, где занималась патрулированием границы (10667).</w:t>
      </w:r>
    </w:p>
    <w:p w14:paraId="0F7147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4C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 октября 1931 г. Московский завод № 32 был введен в эксплуатацию на старой площадке завода № 1 (ул. Правды, 8) после его разделения. При окончательном переводе авиационного производства завода № 1 на новую площадку у Ходынки в 1933 г. заводу № 32 передана основная часть площадей. Производство оружейных установок. В первое время выпускал также радиаторы и колеса, затем это производство передано на завод № 34. </w:t>
      </w:r>
    </w:p>
    <w:p w14:paraId="226EF5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1934 г. построены два планера Г-5 конструкции Г.Ф. </w:t>
      </w:r>
      <w:proofErr w:type="spellStart"/>
      <w:r w:rsidRPr="007122AB">
        <w:rPr>
          <w:rFonts w:ascii="Times New Roman" w:hAnsi="Times New Roman"/>
          <w:color w:val="000000" w:themeColor="text1"/>
          <w:sz w:val="16"/>
          <w:szCs w:val="16"/>
        </w:rPr>
        <w:t>Грошова</w:t>
      </w:r>
      <w:proofErr w:type="spellEnd"/>
      <w:r w:rsidRPr="007122AB">
        <w:rPr>
          <w:rFonts w:ascii="Times New Roman" w:hAnsi="Times New Roman"/>
          <w:color w:val="000000" w:themeColor="text1"/>
          <w:sz w:val="16"/>
          <w:szCs w:val="16"/>
        </w:rPr>
        <w:t>.</w:t>
      </w:r>
    </w:p>
    <w:p w14:paraId="15C240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начала 1940-х г. завод № 32 был единственным специализированным предприятием по установкам авиационного вооружения. С началом ВОВ началось форсированное расширение производства (планировалось даже передать заводу на правах филиалов заводы № 289 и № 290 для производства агрегатов вооружения).</w:t>
      </w:r>
    </w:p>
    <w:p w14:paraId="58241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 32 в 1938 г. образовался Опытный отдел по вооружению самолетов с бригадами из специалистов ЦАГИ и ВВА им. Жуковского (которые действовали с 1936 г.), которые далее преобразованы в четыре КБ. </w:t>
      </w:r>
    </w:p>
    <w:p w14:paraId="7CA23C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опытного цеха- В.Н. Терехов, затем- М.Я. Горелик.</w:t>
      </w:r>
    </w:p>
    <w:p w14:paraId="76F24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23сс от 26.01.1940 г. заводу предписано выпустить 1400 турелей МВ-3.</w:t>
      </w:r>
    </w:p>
    <w:p w14:paraId="46E0BC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20.07.1940 г. по приказу № 383с от 30.07.1940 г. образован филиал завода- Завод им. КПГ. Начальник филиала (07.1940 г.-)- Самсонов, (-10.1940 г.)- М.Я. Горелик. По приказу № 269с от 25.03.1941 г. филиал завода № 32 был с 1.04.1941 г. преобразован в самостоятельный ГС завод № 487 им. КПГ.</w:t>
      </w:r>
    </w:p>
    <w:p w14:paraId="36BD3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завода № 32 в 1940 г. переведена группа работников в помощь новому заводу № 454 НКАП. </w:t>
      </w:r>
    </w:p>
    <w:p w14:paraId="14E36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До начала войны на заводе под руководством Архангельского доводился и испытывался бомбардировщик СБ-Б1 («Б»).</w:t>
      </w:r>
    </w:p>
    <w:p w14:paraId="743D5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738сс от 24.07.1941 г. планировалось эвакуировать завод № 32 2ГУ НКАП в г. Омск, но затем по приказу № 1053сс от 9.10.1941 г. принято решение о эвакуации завода в г. Киров на площадку строящегося завода № 315 2ГУ НКАП. Эвакуация прошла в два этапа, в результате образован объединенный завод № 32 НКАП. В 11.1941 г. завод уже развернул производство на новом месте. </w:t>
      </w:r>
    </w:p>
    <w:p w14:paraId="717FF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1073с от 20.10.1941 г. на площадке эвакуированного завода в Москве организованы Ремонтные мастерские по установкам вооружения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НКАП. Далее- это Московский филиал завода № 32 (директор- М.В. Дворкин). А уже с 12.1941 г. начало восстанавливаться производство и образован новый завод по агрегатам вооружения № 43 НКАП. Из г. Кирова для формирования нового завода переданы часть оборудования и часть коллектива.</w:t>
      </w:r>
    </w:p>
    <w:p w14:paraId="55F093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1943 г. заводу № 32 были переданы помещения ОКБ завода № 266 в Кирове после его перебазирования в Москву.</w:t>
      </w:r>
    </w:p>
    <w:p w14:paraId="094D1A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 КМПО входили наряду с филиалами дочерние предприятия: «Мураши», </w:t>
      </w:r>
      <w:proofErr w:type="spellStart"/>
      <w:r w:rsidRPr="007122AB">
        <w:rPr>
          <w:rFonts w:ascii="Times New Roman" w:hAnsi="Times New Roman"/>
          <w:color w:val="000000" w:themeColor="text1"/>
          <w:sz w:val="16"/>
          <w:szCs w:val="16"/>
        </w:rPr>
        <w:t>Гирсовский</w:t>
      </w:r>
      <w:proofErr w:type="spellEnd"/>
      <w:r w:rsidRPr="007122AB">
        <w:rPr>
          <w:rFonts w:ascii="Times New Roman" w:hAnsi="Times New Roman"/>
          <w:color w:val="000000" w:themeColor="text1"/>
          <w:sz w:val="16"/>
          <w:szCs w:val="16"/>
        </w:rPr>
        <w:t xml:space="preserve"> завод пиротехнических средств (ГЗПС).</w:t>
      </w:r>
    </w:p>
    <w:p w14:paraId="6DEE0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1990 г. КМПО им. XX партсъезда переименовано в «Вятское машиностроительное предприятие (ВМП) «АВИТЕК» С 1999 г.- ФГУП «ВМП «</w:t>
      </w:r>
      <w:proofErr w:type="spellStart"/>
      <w:r w:rsidRPr="007122AB">
        <w:rPr>
          <w:rFonts w:ascii="Times New Roman" w:hAnsi="Times New Roman"/>
          <w:color w:val="000000" w:themeColor="text1"/>
          <w:sz w:val="16"/>
          <w:szCs w:val="16"/>
        </w:rPr>
        <w:t>Авитек</w:t>
      </w:r>
      <w:proofErr w:type="spellEnd"/>
      <w:r w:rsidRPr="007122AB">
        <w:rPr>
          <w:rFonts w:ascii="Times New Roman" w:hAnsi="Times New Roman"/>
          <w:color w:val="000000" w:themeColor="text1"/>
          <w:sz w:val="16"/>
          <w:szCs w:val="16"/>
        </w:rPr>
        <w:t>». По Указу Президента РФ № 412 от 23. 04. 2002 года, постановлению Правительства РФ № 480 от 28. 06. 2002 г. предприятие приватизировано и 4.10.2002 г. преобразовано в ОАО «ВМП «</w:t>
      </w:r>
      <w:proofErr w:type="spellStart"/>
      <w:r w:rsidRPr="007122AB">
        <w:rPr>
          <w:rFonts w:ascii="Times New Roman" w:hAnsi="Times New Roman"/>
          <w:color w:val="000000" w:themeColor="text1"/>
          <w:sz w:val="16"/>
          <w:szCs w:val="16"/>
        </w:rPr>
        <w:t>Авитек</w:t>
      </w:r>
      <w:proofErr w:type="spellEnd"/>
      <w:r w:rsidRPr="007122AB">
        <w:rPr>
          <w:rFonts w:ascii="Times New Roman" w:hAnsi="Times New Roman"/>
          <w:color w:val="000000" w:themeColor="text1"/>
          <w:sz w:val="16"/>
          <w:szCs w:val="16"/>
        </w:rPr>
        <w:t>». По Указу Президента РФ № 1009 от 4.08.2004 г. вошло в число стратегических оборонных предприятий.</w:t>
      </w:r>
    </w:p>
    <w:p w14:paraId="5F1C3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(2002 г.)- 6000 чел.</w:t>
      </w:r>
    </w:p>
    <w:p w14:paraId="587EE9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Работали: (-12.1940 г.)- И.Г. Терехов, (начало 1940-х г.)- Н.А. Рубин, В.И. Ермилов; (начало 1950-х)- Фокеев, </w:t>
      </w:r>
      <w:proofErr w:type="spellStart"/>
      <w:r w:rsidRPr="007122AB">
        <w:rPr>
          <w:rFonts w:ascii="Times New Roman" w:hAnsi="Times New Roman"/>
          <w:color w:val="000000" w:themeColor="text1"/>
          <w:sz w:val="16"/>
          <w:szCs w:val="16"/>
        </w:rPr>
        <w:t>Юриус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Сутыркин</w:t>
      </w:r>
      <w:proofErr w:type="spellEnd"/>
      <w:r w:rsidRPr="007122AB">
        <w:rPr>
          <w:rFonts w:ascii="Times New Roman" w:hAnsi="Times New Roman"/>
          <w:color w:val="000000" w:themeColor="text1"/>
          <w:sz w:val="16"/>
          <w:szCs w:val="16"/>
        </w:rPr>
        <w:t xml:space="preserve">, (1960-е)- А. </w:t>
      </w:r>
      <w:proofErr w:type="spellStart"/>
      <w:r w:rsidRPr="007122AB">
        <w:rPr>
          <w:rFonts w:ascii="Times New Roman" w:hAnsi="Times New Roman"/>
          <w:color w:val="000000" w:themeColor="text1"/>
          <w:sz w:val="16"/>
          <w:szCs w:val="16"/>
        </w:rPr>
        <w:t>Юркус</w:t>
      </w:r>
      <w:proofErr w:type="spellEnd"/>
      <w:r w:rsidRPr="007122AB">
        <w:rPr>
          <w:rFonts w:ascii="Times New Roman" w:hAnsi="Times New Roman"/>
          <w:color w:val="000000" w:themeColor="text1"/>
          <w:sz w:val="16"/>
          <w:szCs w:val="16"/>
        </w:rPr>
        <w:t xml:space="preserve"> (зам. Гл. технолога).</w:t>
      </w:r>
    </w:p>
    <w:p w14:paraId="17E05A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(1939-41 г.)- М.С. Жезлов, (1941 г.)- И.А. Соколов, (1941-05.1943 г.-)- С.Л. </w:t>
      </w:r>
      <w:proofErr w:type="spellStart"/>
      <w:r w:rsidRPr="007122AB">
        <w:rPr>
          <w:rFonts w:ascii="Times New Roman" w:hAnsi="Times New Roman"/>
          <w:color w:val="000000" w:themeColor="text1"/>
          <w:sz w:val="16"/>
          <w:szCs w:val="16"/>
        </w:rPr>
        <w:t>Ребенко</w:t>
      </w:r>
      <w:proofErr w:type="spellEnd"/>
      <w:r w:rsidRPr="007122AB">
        <w:rPr>
          <w:rFonts w:ascii="Times New Roman" w:hAnsi="Times New Roman"/>
          <w:color w:val="000000" w:themeColor="text1"/>
          <w:sz w:val="16"/>
          <w:szCs w:val="16"/>
        </w:rPr>
        <w:t>, (1944 г.)- С.А. Горюнов, (1966 г.)- В.А. Сутырин. Гендиректор (1996 г.)- Б.Б. Попов, С.М. Большаков, (-2002-04 г.-)- В.С. Смердов.</w:t>
      </w:r>
    </w:p>
    <w:p w14:paraId="14FF8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(1939-40 г.)- В.Ф. Ульянов. Зам. Гендиректора: по МТС (2002 г.)- А.В. Носков; по производству (2002 г.)- А.В. </w:t>
      </w:r>
      <w:proofErr w:type="spellStart"/>
      <w:r w:rsidRPr="007122AB">
        <w:rPr>
          <w:rFonts w:ascii="Times New Roman" w:hAnsi="Times New Roman"/>
          <w:color w:val="000000" w:themeColor="text1"/>
          <w:sz w:val="16"/>
          <w:szCs w:val="16"/>
        </w:rPr>
        <w:t>Бажин</w:t>
      </w:r>
      <w:proofErr w:type="spellEnd"/>
      <w:r w:rsidRPr="007122AB">
        <w:rPr>
          <w:rFonts w:ascii="Times New Roman" w:hAnsi="Times New Roman"/>
          <w:color w:val="000000" w:themeColor="text1"/>
          <w:sz w:val="16"/>
          <w:szCs w:val="16"/>
        </w:rPr>
        <w:t xml:space="preserve">; по экономике (2002 г.)- В.Л. Богданов; по сбыту, торговле и строительству (2002 г.)- В.И. </w:t>
      </w:r>
      <w:proofErr w:type="spellStart"/>
      <w:r w:rsidRPr="007122AB">
        <w:rPr>
          <w:rFonts w:ascii="Times New Roman" w:hAnsi="Times New Roman"/>
          <w:color w:val="000000" w:themeColor="text1"/>
          <w:sz w:val="16"/>
          <w:szCs w:val="16"/>
        </w:rPr>
        <w:t>Симахин</w:t>
      </w:r>
      <w:proofErr w:type="spellEnd"/>
      <w:r w:rsidRPr="007122AB">
        <w:rPr>
          <w:rFonts w:ascii="Times New Roman" w:hAnsi="Times New Roman"/>
          <w:color w:val="000000" w:themeColor="text1"/>
          <w:sz w:val="16"/>
          <w:szCs w:val="16"/>
        </w:rPr>
        <w:t xml:space="preserve">; по ВЭД и развитию предприятия (2004 г.)- М.И. Гозман; по качеству (2004 г.)- Н.А. Романов; по кадрам, соцкультбыту и безопасности (2004 г.)- Б.В. </w:t>
      </w:r>
      <w:proofErr w:type="spellStart"/>
      <w:r w:rsidRPr="007122AB">
        <w:rPr>
          <w:rFonts w:ascii="Times New Roman" w:hAnsi="Times New Roman"/>
          <w:color w:val="000000" w:themeColor="text1"/>
          <w:sz w:val="16"/>
          <w:szCs w:val="16"/>
        </w:rPr>
        <w:t>Кушов</w:t>
      </w:r>
      <w:proofErr w:type="spellEnd"/>
      <w:r w:rsidRPr="007122AB">
        <w:rPr>
          <w:rFonts w:ascii="Times New Roman" w:hAnsi="Times New Roman"/>
          <w:color w:val="000000" w:themeColor="text1"/>
          <w:sz w:val="16"/>
          <w:szCs w:val="16"/>
        </w:rPr>
        <w:t>.</w:t>
      </w:r>
    </w:p>
    <w:p w14:paraId="29AF9A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(-1939-40 г.-)- А.Ф. Гостинцев, А.Б. Рубинштейн, (2004 г.)- В.И. Зорин.</w:t>
      </w:r>
    </w:p>
    <w:p w14:paraId="50D9D2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В.А. Шмелев (был начальником цеха на заводе № 32 в Москве), (-1996-2002 г.-)- О.Н. </w:t>
      </w:r>
      <w:proofErr w:type="spellStart"/>
      <w:r w:rsidRPr="007122AB">
        <w:rPr>
          <w:rFonts w:ascii="Times New Roman" w:hAnsi="Times New Roman"/>
          <w:color w:val="000000" w:themeColor="text1"/>
          <w:sz w:val="16"/>
          <w:szCs w:val="16"/>
        </w:rPr>
        <w:t>Жарый</w:t>
      </w:r>
      <w:proofErr w:type="spellEnd"/>
      <w:r w:rsidRPr="007122AB">
        <w:rPr>
          <w:rFonts w:ascii="Times New Roman" w:hAnsi="Times New Roman"/>
          <w:color w:val="000000" w:themeColor="text1"/>
          <w:sz w:val="16"/>
          <w:szCs w:val="16"/>
        </w:rPr>
        <w:t>.</w:t>
      </w:r>
    </w:p>
    <w:p w14:paraId="4F73E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(2003 г.)- В.С. Горн.</w:t>
      </w:r>
    </w:p>
    <w:p w14:paraId="2C5EA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Главный металлург (1960-е)- В. </w:t>
      </w:r>
      <w:proofErr w:type="spellStart"/>
      <w:r w:rsidRPr="007122AB">
        <w:rPr>
          <w:rFonts w:ascii="Times New Roman" w:hAnsi="Times New Roman"/>
          <w:color w:val="000000" w:themeColor="text1"/>
          <w:sz w:val="16"/>
          <w:szCs w:val="16"/>
        </w:rPr>
        <w:t>Хапилин</w:t>
      </w:r>
      <w:proofErr w:type="spellEnd"/>
      <w:r w:rsidRPr="007122AB">
        <w:rPr>
          <w:rFonts w:ascii="Times New Roman" w:hAnsi="Times New Roman"/>
          <w:color w:val="000000" w:themeColor="text1"/>
          <w:sz w:val="16"/>
          <w:szCs w:val="16"/>
        </w:rPr>
        <w:t xml:space="preserve">. www.avitec.kirov.ru, www.vmpavitec.ru </w:t>
      </w:r>
    </w:p>
    <w:p w14:paraId="46BCB6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(перед и во время ВОВ) </w:t>
      </w:r>
      <w:proofErr w:type="spellStart"/>
      <w:r w:rsidRPr="007122AB">
        <w:rPr>
          <w:rFonts w:ascii="Times New Roman" w:hAnsi="Times New Roman"/>
          <w:color w:val="000000" w:themeColor="text1"/>
          <w:sz w:val="16"/>
          <w:szCs w:val="16"/>
        </w:rPr>
        <w:t>торпедодержатели</w:t>
      </w:r>
      <w:proofErr w:type="spellEnd"/>
      <w:r w:rsidRPr="007122AB">
        <w:rPr>
          <w:rFonts w:ascii="Times New Roman" w:hAnsi="Times New Roman"/>
          <w:color w:val="000000" w:themeColor="text1"/>
          <w:sz w:val="16"/>
          <w:szCs w:val="16"/>
        </w:rPr>
        <w:t>: ТД-32 для ДБ-3 (1939); кассетные бомбодержатели: КД-3, КД-2-438, КД-1-038 для ББ-1, КД-2-439 для ТБ-7 и ББ-22; держатели: Дер-31, Дер-32, Дер-34; установки вооружения: КД-3-240, КБ-2-240 для ДБ-240, НУДБ-3 для Че-2; замки: МД-2-40, АСШ-340; лебедки: БЛ-3, БЛ-4; турели: ТУР-9 для «СБ»;</w:t>
      </w:r>
    </w:p>
    <w:p w14:paraId="50B6AC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базе ЗУР В-601 разработана мишень РМ-5В27 «Пищаль», на базе 9М33- «Саман» 9Ф41.58 </w:t>
      </w:r>
    </w:p>
    <w:p w14:paraId="0B1319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(годы ВОВ) прицелы: бомбардировочные ПС-1 (ОПБ-21), ОПБ-2, НКПБ-3; стрелковые МПТ-1, ОПТ-2 (К-8Т), ОП-2Л; направляющие для НУР М-8; НУР РО-82 (изд. 2РУ-223, 1941-); запчасти для Р-5, Р-Z, И-153 (1941); держатели Дер-19 и Дер-21 для Пе-2 и Ил-4; замки МД-3-40; установки ВУБ-1 для Пе-2; сбрасыватели АСШЛ-340, ЭСБР-3п; турели МВ-2, МВ-3 (1940); лебедки БЛ-4; (после войны) замки к держателям БД-3-58-21, АПУ-19, АПУ-20; лебедка БЛ-47 (1949); стрелковая кормовая установка Ил-К6 для Ил-28 (1949).</w:t>
      </w:r>
    </w:p>
    <w:p w14:paraId="76CB83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УРВВ: РС-2-УС; ЗУР: В-600П (1960-), 5В24 (1960-), 4К90 (1960-), В-601, В-611, В-625 для С-125; 5В27 (1964-), 9М33 для ЗРК «Оса» (1964-88), 9М330 (1981-);57 УРВП: Х-55; стартовые и маршевые ПРД для В-625; кресла катапультные КМ-1, К-36 (1971-), стреляющий механизм КСМ;</w:t>
      </w:r>
    </w:p>
    <w:p w14:paraId="78851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Компрессор ДХ-2 для бытовых холодильников (1950-е-90-е); малогабаритные дизельные двигатели ВСН-Д (1990-е); стиральная машина «Мини-Вятка» (1990-е). </w:t>
      </w:r>
    </w:p>
    <w:p w14:paraId="24229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2002 г. на «</w:t>
      </w:r>
      <w:proofErr w:type="spellStart"/>
      <w:r w:rsidRPr="007122AB">
        <w:rPr>
          <w:rFonts w:ascii="Times New Roman" w:hAnsi="Times New Roman"/>
          <w:color w:val="000000" w:themeColor="text1"/>
          <w:sz w:val="16"/>
          <w:szCs w:val="16"/>
        </w:rPr>
        <w:t>Авитеке</w:t>
      </w:r>
      <w:proofErr w:type="spellEnd"/>
      <w:r w:rsidRPr="007122AB">
        <w:rPr>
          <w:rFonts w:ascii="Times New Roman" w:hAnsi="Times New Roman"/>
          <w:color w:val="000000" w:themeColor="text1"/>
          <w:sz w:val="16"/>
          <w:szCs w:val="16"/>
        </w:rPr>
        <w:t>» производились: ЗУР; катапультные кресла К-36, кресла К-10 и К-12 для Ми-34; грузоподъемное оборудование самолетов (лебедки БЛ-56, БЛ-47М, СЛГ-1500, СЛГ-300, ГК-3000, ЛПГ-1500А); установки стрелково-пушечного вооружения, балочные держатели и замки для бомб и пусковых установок; стиральные машины СМ-1,5; дизельный двигатель СН-6Д; сельскохозяйственные машины.</w:t>
      </w:r>
    </w:p>
    <w:p w14:paraId="5D062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32 НКАП, МАП, Кировского СНХ, Кировский машиностроительный завод (КМСЗ) «Маяк» им. ХХ партсъезда, Кировское машиностроительное ПО (КМПО) им. ХХ партсъезда, ФГУП «Вятское машиностроительное предприятие (ВМП) «</w:t>
      </w:r>
      <w:proofErr w:type="spellStart"/>
      <w:r w:rsidRPr="007122AB">
        <w:rPr>
          <w:rFonts w:ascii="Times New Roman" w:hAnsi="Times New Roman"/>
          <w:color w:val="000000" w:themeColor="text1"/>
          <w:sz w:val="16"/>
          <w:szCs w:val="16"/>
        </w:rPr>
        <w:t>Авитек</w:t>
      </w:r>
      <w:proofErr w:type="spellEnd"/>
      <w:r w:rsidRPr="007122AB">
        <w:rPr>
          <w:rFonts w:ascii="Times New Roman" w:hAnsi="Times New Roman"/>
          <w:color w:val="000000" w:themeColor="text1"/>
          <w:sz w:val="16"/>
          <w:szCs w:val="16"/>
        </w:rPr>
        <w:t>», ОАО «ВМП «</w:t>
      </w:r>
      <w:proofErr w:type="spellStart"/>
      <w:r w:rsidRPr="007122AB">
        <w:rPr>
          <w:rFonts w:ascii="Times New Roman" w:hAnsi="Times New Roman"/>
          <w:color w:val="000000" w:themeColor="text1"/>
          <w:sz w:val="16"/>
          <w:szCs w:val="16"/>
        </w:rPr>
        <w:t>Авитек</w:t>
      </w:r>
      <w:proofErr w:type="spellEnd"/>
      <w:r w:rsidRPr="007122AB">
        <w:rPr>
          <w:rFonts w:ascii="Times New Roman" w:hAnsi="Times New Roman"/>
          <w:color w:val="000000" w:themeColor="text1"/>
          <w:sz w:val="16"/>
          <w:szCs w:val="16"/>
        </w:rPr>
        <w:t>» РАКА</w:t>
      </w:r>
    </w:p>
    <w:p w14:paraId="4F6FFE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Москва ул. Правды, 8; г. Киров, </w:t>
      </w:r>
      <w:proofErr w:type="spellStart"/>
      <w:r w:rsidRPr="007122AB">
        <w:rPr>
          <w:rFonts w:ascii="Times New Roman" w:hAnsi="Times New Roman"/>
          <w:color w:val="000000" w:themeColor="text1"/>
          <w:sz w:val="16"/>
          <w:szCs w:val="16"/>
        </w:rPr>
        <w:t>Филейское</w:t>
      </w:r>
      <w:proofErr w:type="spellEnd"/>
      <w:r w:rsidRPr="007122AB">
        <w:rPr>
          <w:rFonts w:ascii="Times New Roman" w:hAnsi="Times New Roman"/>
          <w:color w:val="000000" w:themeColor="text1"/>
          <w:sz w:val="16"/>
          <w:szCs w:val="16"/>
        </w:rPr>
        <w:t xml:space="preserve"> ш.</w:t>
      </w:r>
    </w:p>
    <w:p w14:paraId="16877E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610047 г. Вятка, г. Киров Октябрьский пр., 1А тел. 23-61-22 www.avitec.kirov.ru, www.vmpavitec.ru (10776).</w:t>
      </w:r>
    </w:p>
    <w:p w14:paraId="671AB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Опытно-конструкторский отдел (ОКО) завода № 32 НКАП </w:t>
      </w:r>
    </w:p>
    <w:p w14:paraId="06C911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w:t>
      </w:r>
    </w:p>
    <w:p w14:paraId="6AA33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 32 в 1938 г. образовался Опытный отдел по вооружению самолетов с бригадами из специалистов ЦАГИ и ВВА им. Жуковского (которые действовали с 1936 г.). Бригады были преобразованы в четыре КБ (в составе ОКО) гл. конструкторов А.И. Шульгина, Г.М. Можаровского и И.В. </w:t>
      </w:r>
      <w:proofErr w:type="spellStart"/>
      <w:r w:rsidRPr="007122AB">
        <w:rPr>
          <w:rFonts w:ascii="Times New Roman" w:hAnsi="Times New Roman"/>
          <w:color w:val="000000" w:themeColor="text1"/>
          <w:sz w:val="16"/>
          <w:szCs w:val="16"/>
        </w:rPr>
        <w:t>Веневидова</w:t>
      </w:r>
      <w:proofErr w:type="spellEnd"/>
      <w:r w:rsidRPr="007122AB">
        <w:rPr>
          <w:rFonts w:ascii="Times New Roman" w:hAnsi="Times New Roman"/>
          <w:color w:val="000000" w:themeColor="text1"/>
          <w:sz w:val="16"/>
          <w:szCs w:val="16"/>
        </w:rPr>
        <w:t>, И.П. Шебанова, И.И. Торопова. Приказом НКАП № 219с от 17.05.1940 г. в составе ОКО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11B66C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ОКО (03.1941 г.)- Б.К. Соколов.</w:t>
      </w:r>
    </w:p>
    <w:p w14:paraId="1E6E62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КБ-1 завода № 32 НКАП (ОКБ-1-32) гл. конструктора А.И. Шульгина </w:t>
      </w:r>
    </w:p>
    <w:p w14:paraId="0BBF81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4CDD4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над установками РС-82 и РС-132, разработка замков Дер-19п, Дер-20п, Дер-21п, кассет для зажигательных бомб.</w:t>
      </w:r>
    </w:p>
    <w:p w14:paraId="60405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20934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(1938-41 г.-)- А.И. Шульгин.</w:t>
      </w:r>
    </w:p>
    <w:p w14:paraId="4D91B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(03.1941 г.)- Б.К. Соколов.</w:t>
      </w:r>
    </w:p>
    <w:p w14:paraId="699D7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КБ-2 завода № 32 НКАП, КБ-2 (ОКБ-2-32) при заводе № 32 НКАП Г.М. Можаровского и И.В. </w:t>
      </w:r>
      <w:proofErr w:type="spellStart"/>
      <w:r w:rsidRPr="007122AB">
        <w:rPr>
          <w:rFonts w:ascii="Times New Roman" w:hAnsi="Times New Roman"/>
          <w:color w:val="000000" w:themeColor="text1"/>
          <w:sz w:val="16"/>
          <w:szCs w:val="16"/>
        </w:rPr>
        <w:t>Веневидова</w:t>
      </w:r>
      <w:proofErr w:type="spellEnd"/>
      <w:r w:rsidRPr="007122AB">
        <w:rPr>
          <w:rFonts w:ascii="Times New Roman" w:hAnsi="Times New Roman"/>
          <w:color w:val="000000" w:themeColor="text1"/>
          <w:sz w:val="16"/>
          <w:szCs w:val="16"/>
        </w:rPr>
        <w:t xml:space="preserve"> </w:t>
      </w:r>
    </w:p>
    <w:p w14:paraId="5836F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4EC979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22451D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1940 г. Можаровским и </w:t>
      </w:r>
      <w:proofErr w:type="spellStart"/>
      <w:r w:rsidRPr="007122AB">
        <w:rPr>
          <w:rFonts w:ascii="Times New Roman" w:hAnsi="Times New Roman"/>
          <w:color w:val="000000" w:themeColor="text1"/>
          <w:sz w:val="16"/>
          <w:szCs w:val="16"/>
        </w:rPr>
        <w:t>Веневидовым</w:t>
      </w:r>
      <w:proofErr w:type="spellEnd"/>
      <w:r w:rsidRPr="007122AB">
        <w:rPr>
          <w:rFonts w:ascii="Times New Roman" w:hAnsi="Times New Roman"/>
          <w:color w:val="000000" w:themeColor="text1"/>
          <w:sz w:val="16"/>
          <w:szCs w:val="16"/>
        </w:rPr>
        <w:t xml:space="preserve">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w:t>
      </w:r>
      <w:r w:rsidRPr="007122AB">
        <w:rPr>
          <w:rFonts w:ascii="Times New Roman" w:hAnsi="Times New Roman"/>
          <w:color w:val="000000" w:themeColor="text1"/>
          <w:sz w:val="16"/>
          <w:szCs w:val="16"/>
        </w:rPr>
        <w:lastRenderedPageBreak/>
        <w:t xml:space="preserve">НКАП № 309с от 10.04.1941 г. было организовано отдельное КБ завода № 32. Можаровский и </w:t>
      </w:r>
      <w:proofErr w:type="spellStart"/>
      <w:r w:rsidRPr="007122AB">
        <w:rPr>
          <w:rFonts w:ascii="Times New Roman" w:hAnsi="Times New Roman"/>
          <w:color w:val="000000" w:themeColor="text1"/>
          <w:sz w:val="16"/>
          <w:szCs w:val="16"/>
        </w:rPr>
        <w:t>Веневидов</w:t>
      </w:r>
      <w:proofErr w:type="spellEnd"/>
      <w:r w:rsidRPr="007122AB">
        <w:rPr>
          <w:rFonts w:ascii="Times New Roman" w:hAnsi="Times New Roman"/>
          <w:color w:val="000000" w:themeColor="text1"/>
          <w:sz w:val="16"/>
          <w:szCs w:val="16"/>
        </w:rPr>
        <w:t xml:space="preserve">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w:t>
      </w:r>
      <w:proofErr w:type="spellStart"/>
      <w:r w:rsidRPr="007122AB">
        <w:rPr>
          <w:rFonts w:ascii="Times New Roman" w:hAnsi="Times New Roman"/>
          <w:color w:val="000000" w:themeColor="text1"/>
          <w:sz w:val="16"/>
          <w:szCs w:val="16"/>
        </w:rPr>
        <w:t>Веневидова</w:t>
      </w:r>
      <w:proofErr w:type="spellEnd"/>
      <w:r w:rsidRPr="007122AB">
        <w:rPr>
          <w:rFonts w:ascii="Times New Roman" w:hAnsi="Times New Roman"/>
          <w:color w:val="000000" w:themeColor="text1"/>
          <w:sz w:val="16"/>
          <w:szCs w:val="16"/>
        </w:rPr>
        <w:t>, и отдельно- ОКБ А.А. Архангельского.</w:t>
      </w:r>
    </w:p>
    <w:p w14:paraId="5094FF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w:t>
      </w:r>
      <w:proofErr w:type="spellStart"/>
      <w:r w:rsidRPr="007122AB">
        <w:rPr>
          <w:rFonts w:ascii="Times New Roman" w:hAnsi="Times New Roman"/>
          <w:color w:val="000000" w:themeColor="text1"/>
          <w:sz w:val="16"/>
          <w:szCs w:val="16"/>
        </w:rPr>
        <w:t>электрифицированию</w:t>
      </w:r>
      <w:proofErr w:type="spellEnd"/>
      <w:r w:rsidRPr="007122AB">
        <w:rPr>
          <w:rFonts w:ascii="Times New Roman" w:hAnsi="Times New Roman"/>
          <w:color w:val="000000" w:themeColor="text1"/>
          <w:sz w:val="16"/>
          <w:szCs w:val="16"/>
        </w:rPr>
        <w:t xml:space="preserve"> установок вооружения. Объединенное ОКБ вскоре перевели с завода № 266 в отдельное помещение в Кирове. </w:t>
      </w:r>
    </w:p>
    <w:p w14:paraId="7F2C6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665C14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758EEA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(1938-43 г.)- Г.М. Можаровский.</w:t>
      </w:r>
    </w:p>
    <w:p w14:paraId="06B9B9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(1938-43 г.)- И.В. </w:t>
      </w:r>
      <w:proofErr w:type="spellStart"/>
      <w:r w:rsidRPr="007122AB">
        <w:rPr>
          <w:rFonts w:ascii="Times New Roman" w:hAnsi="Times New Roman"/>
          <w:color w:val="000000" w:themeColor="text1"/>
          <w:sz w:val="16"/>
          <w:szCs w:val="16"/>
        </w:rPr>
        <w:t>Веневидов</w:t>
      </w:r>
      <w:proofErr w:type="spellEnd"/>
      <w:r w:rsidRPr="007122AB">
        <w:rPr>
          <w:rFonts w:ascii="Times New Roman" w:hAnsi="Times New Roman"/>
          <w:color w:val="000000" w:themeColor="text1"/>
          <w:sz w:val="16"/>
          <w:szCs w:val="16"/>
        </w:rPr>
        <w:t>.</w:t>
      </w:r>
    </w:p>
    <w:p w14:paraId="1E079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КБ-3 завода № 32 НКАП гл. конструктора И.П. Шебанова </w:t>
      </w:r>
    </w:p>
    <w:p w14:paraId="24937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48CC61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артиллерийскому вооружению и неподвижным стрелковым установкам. </w:t>
      </w:r>
    </w:p>
    <w:p w14:paraId="63D16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74734F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(1938-40 г.)- И.П. Шебанова.</w:t>
      </w:r>
    </w:p>
    <w:p w14:paraId="06CF0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КБ-4 завода № 32 НКАП, КБ-3, ОКБ-3-32 при заводе № 32, ОКБ-32 НКАП гл. конструктора И.И. Торопова</w:t>
      </w:r>
    </w:p>
    <w:p w14:paraId="503B0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 г. Киров</w:t>
      </w:r>
    </w:p>
    <w:p w14:paraId="03517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687EB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169EE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Разрабатывались прицелы, турели под 12,7-мм пулеметы БТ для Пе-2 и «103».</w:t>
      </w:r>
    </w:p>
    <w:p w14:paraId="37EDA2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28FF5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57D775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272с от 6.05.1943 г. часть оборудования и личного состава опытного цеха ОКБ-2 Можаровского и </w:t>
      </w:r>
      <w:proofErr w:type="spellStart"/>
      <w:r w:rsidRPr="007122AB">
        <w:rPr>
          <w:rFonts w:ascii="Times New Roman" w:hAnsi="Times New Roman"/>
          <w:color w:val="000000" w:themeColor="text1"/>
          <w:sz w:val="16"/>
          <w:szCs w:val="16"/>
        </w:rPr>
        <w:t>Веневидова</w:t>
      </w:r>
      <w:proofErr w:type="spellEnd"/>
      <w:r w:rsidRPr="007122AB">
        <w:rPr>
          <w:rFonts w:ascii="Times New Roman" w:hAnsi="Times New Roman"/>
          <w:color w:val="000000" w:themeColor="text1"/>
          <w:sz w:val="16"/>
          <w:szCs w:val="16"/>
        </w:rPr>
        <w:t xml:space="preserve"> передана в ОКБ-3. Далее ОКБ-3 существовало просто как заводское ОКБ-32 НКАП.</w:t>
      </w:r>
    </w:p>
    <w:p w14:paraId="7FD3D4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7C958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(1938-44 г.)- И.И. Торопов.</w:t>
      </w:r>
    </w:p>
    <w:p w14:paraId="0E6D8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ОКБ гл. конструктора А.А. Архангельского на заводе № 32 НКАП </w:t>
      </w:r>
    </w:p>
    <w:p w14:paraId="1AC73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w:t>
      </w:r>
      <w:proofErr w:type="spellStart"/>
      <w:r w:rsidRPr="007122AB">
        <w:rPr>
          <w:rFonts w:ascii="Times New Roman" w:hAnsi="Times New Roman"/>
          <w:color w:val="000000" w:themeColor="text1"/>
          <w:sz w:val="16"/>
          <w:szCs w:val="16"/>
        </w:rPr>
        <w:t>Веневидов</w:t>
      </w:r>
      <w:proofErr w:type="spellEnd"/>
      <w:r w:rsidRPr="007122AB">
        <w:rPr>
          <w:rFonts w:ascii="Times New Roman" w:hAnsi="Times New Roman"/>
          <w:color w:val="000000" w:themeColor="text1"/>
          <w:sz w:val="16"/>
          <w:szCs w:val="16"/>
        </w:rPr>
        <w:t xml:space="preserve">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w:t>
      </w:r>
      <w:proofErr w:type="spellStart"/>
      <w:r w:rsidRPr="007122AB">
        <w:rPr>
          <w:rFonts w:ascii="Times New Roman" w:hAnsi="Times New Roman"/>
          <w:color w:val="000000" w:themeColor="text1"/>
          <w:sz w:val="16"/>
          <w:szCs w:val="16"/>
        </w:rPr>
        <w:t>Веневидова</w:t>
      </w:r>
      <w:proofErr w:type="spellEnd"/>
      <w:r w:rsidRPr="007122AB">
        <w:rPr>
          <w:rFonts w:ascii="Times New Roman" w:hAnsi="Times New Roman"/>
          <w:color w:val="000000" w:themeColor="text1"/>
          <w:sz w:val="16"/>
          <w:szCs w:val="16"/>
        </w:rPr>
        <w:t>, и отдельно- ОКБ А.А. Архангельского.</w:t>
      </w:r>
    </w:p>
    <w:p w14:paraId="681D2A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41E51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ГУ «Испытательный центр (ИЦ) «Вектор», ООО «ИЦ «Вектор» </w:t>
      </w:r>
    </w:p>
    <w:p w14:paraId="0CDEB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610047 г. Киров, Октябрьский проспект, 1А, </w:t>
      </w:r>
      <w:proofErr w:type="spellStart"/>
      <w:r w:rsidRPr="007122AB">
        <w:rPr>
          <w:rFonts w:ascii="Times New Roman" w:hAnsi="Times New Roman"/>
          <w:color w:val="000000" w:themeColor="text1"/>
          <w:sz w:val="16"/>
          <w:szCs w:val="16"/>
        </w:rPr>
        <w:t>корп</w:t>
      </w:r>
      <w:proofErr w:type="spellEnd"/>
      <w:r w:rsidRPr="007122AB">
        <w:rPr>
          <w:rFonts w:ascii="Times New Roman" w:hAnsi="Times New Roman"/>
          <w:color w:val="000000" w:themeColor="text1"/>
          <w:sz w:val="16"/>
          <w:szCs w:val="16"/>
        </w:rPr>
        <w:t xml:space="preserve"> 35 тел. 23-48-44</w:t>
      </w:r>
    </w:p>
    <w:p w14:paraId="57370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750A2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21B029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29BB0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1F9078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9A1EB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октября 1931 закончились испытания ТГ (танка </w:t>
      </w:r>
      <w:proofErr w:type="spellStart"/>
      <w:r w:rsidRPr="007122AB">
        <w:rPr>
          <w:rFonts w:ascii="Times New Roman" w:hAnsi="Times New Roman"/>
          <w:color w:val="000000" w:themeColor="text1"/>
          <w:sz w:val="16"/>
          <w:szCs w:val="16"/>
        </w:rPr>
        <w:t>Э.Гротте</w:t>
      </w:r>
      <w:proofErr w:type="spellEnd"/>
      <w:r w:rsidRPr="007122AB">
        <w:rPr>
          <w:rFonts w:ascii="Times New Roman" w:hAnsi="Times New Roman"/>
          <w:color w:val="000000" w:themeColor="text1"/>
          <w:sz w:val="16"/>
          <w:szCs w:val="16"/>
        </w:rPr>
        <w:t>) с двигателем М-6, которые проходили с 27 июня. Достигли скорости 38 км/час. Хорошая проходимость и маневренность, но множество недоработок (4402).</w:t>
      </w:r>
    </w:p>
    <w:p w14:paraId="03DE29AD" w14:textId="77777777" w:rsidR="005B4A49" w:rsidRPr="007122AB" w:rsidRDefault="005B4A4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октября 1931 закончились начатые 27 июня 1931 г. испытания танка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ТГ. Танк продемонстрировал неплохую проходимость и манёвренность. Хорошо зарекомендовала себя в работе трансмиссия. Вместе с </w:t>
      </w:r>
      <w:proofErr w:type="spellStart"/>
      <w:r w:rsidRPr="007122AB">
        <w:rPr>
          <w:rFonts w:ascii="Times New Roman" w:hAnsi="Times New Roman"/>
          <w:color w:val="000000" w:themeColor="text1"/>
          <w:sz w:val="16"/>
          <w:szCs w:val="16"/>
        </w:rPr>
        <w:t>гем</w:t>
      </w:r>
      <w:proofErr w:type="spellEnd"/>
      <w:r w:rsidRPr="007122AB">
        <w:rPr>
          <w:rFonts w:ascii="Times New Roman" w:hAnsi="Times New Roman"/>
          <w:color w:val="000000" w:themeColor="text1"/>
          <w:sz w:val="16"/>
          <w:szCs w:val="16"/>
        </w:rPr>
        <w:t xml:space="preserve"> выявилось множество конструктивных недоработок (15132).</w:t>
      </w:r>
    </w:p>
    <w:p w14:paraId="7CF18E29" w14:textId="77777777" w:rsidR="005B4A49" w:rsidRPr="007122AB" w:rsidRDefault="005B4A49" w:rsidP="007122AB">
      <w:pPr>
        <w:spacing w:after="0" w:line="240" w:lineRule="auto"/>
        <w:jc w:val="both"/>
        <w:rPr>
          <w:rFonts w:ascii="Times New Roman" w:hAnsi="Times New Roman"/>
          <w:color w:val="000000" w:themeColor="text1"/>
          <w:sz w:val="16"/>
          <w:szCs w:val="16"/>
        </w:rPr>
      </w:pPr>
    </w:p>
    <w:p w14:paraId="59E7C390" w14:textId="77777777" w:rsidR="005B4A49" w:rsidRPr="007122AB" w:rsidRDefault="005B4A49"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 первый двухбашенный танк БТ был окончен сборкой в СКБ-6 ХПЗ и под управлением бывшего инженера Хапугина совершил пробную поездку вокруг Харьковского Танкового Завода. В пути случилось ЧП – под гусеницы танка неожиданно бросилась свинья колхоза «Красный китобоец». Хапугин резко вывернул руль и врезался в стоящее у дороги дерево. Однако свинья тоже не уцелела. Пришлось руководству СКБ-6 (ВТ) платить штраф за потраву колхозной собственности (15735).</w:t>
      </w:r>
    </w:p>
    <w:p w14:paraId="2B465124" w14:textId="77777777" w:rsidR="005B4A49" w:rsidRPr="007122AB" w:rsidRDefault="005B4A49" w:rsidP="007122AB">
      <w:pPr>
        <w:shd w:val="clear" w:color="auto" w:fill="FFFFFF"/>
        <w:spacing w:after="0" w:line="240" w:lineRule="auto"/>
        <w:jc w:val="both"/>
        <w:rPr>
          <w:rFonts w:ascii="Times New Roman" w:hAnsi="Times New Roman"/>
          <w:color w:val="000000" w:themeColor="text1"/>
          <w:sz w:val="16"/>
          <w:szCs w:val="16"/>
        </w:rPr>
      </w:pPr>
    </w:p>
    <w:p w14:paraId="776A2D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пустили ХТЗ и АМО (1348,199).</w:t>
      </w:r>
    </w:p>
    <w:p w14:paraId="3F6C0F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9E6F38" w14:textId="77777777" w:rsidR="007D352F" w:rsidRPr="007122AB" w:rsidRDefault="007D352F"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 октября </w:t>
      </w:r>
      <w:r w:rsidRPr="007122AB">
        <w:rPr>
          <w:rFonts w:ascii="Times New Roman" w:hAnsi="Times New Roman"/>
          <w:color w:val="000000" w:themeColor="text1"/>
          <w:sz w:val="16"/>
          <w:szCs w:val="16"/>
        </w:rPr>
        <w:t xml:space="preserve">в 1931 году на Харьковском тракторном заводе имени </w:t>
      </w:r>
      <w:proofErr w:type="spellStart"/>
      <w:r w:rsidRPr="007122AB">
        <w:rPr>
          <w:rFonts w:ascii="Times New Roman" w:hAnsi="Times New Roman"/>
          <w:color w:val="000000" w:themeColor="text1"/>
          <w:sz w:val="16"/>
          <w:szCs w:val="16"/>
        </w:rPr>
        <w:t>С.Орджоникидзе</w:t>
      </w:r>
      <w:proofErr w:type="spellEnd"/>
      <w:r w:rsidRPr="007122AB">
        <w:rPr>
          <w:rFonts w:ascii="Times New Roman" w:hAnsi="Times New Roman"/>
          <w:color w:val="000000" w:themeColor="text1"/>
          <w:sz w:val="16"/>
          <w:szCs w:val="16"/>
        </w:rPr>
        <w:t xml:space="preserve"> выпускается первый трактор (14786).</w:t>
      </w:r>
    </w:p>
    <w:p w14:paraId="6C1D71A3" w14:textId="77777777" w:rsidR="007D352F" w:rsidRPr="007122AB" w:rsidRDefault="007D352F" w:rsidP="007122AB">
      <w:pPr>
        <w:spacing w:after="0" w:line="240" w:lineRule="auto"/>
        <w:jc w:val="both"/>
        <w:rPr>
          <w:rFonts w:ascii="Times New Roman" w:hAnsi="Times New Roman"/>
          <w:color w:val="000000" w:themeColor="text1"/>
          <w:sz w:val="16"/>
          <w:szCs w:val="16"/>
        </w:rPr>
      </w:pPr>
    </w:p>
    <w:p w14:paraId="409D60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был пуск тракторного завода в Харькове и после реконструкции) автомобильного завода в Москве (АМО). Производство автомобилей в СССР: 4 тыс. грузовых и легковых автомобилей в 1931, 136500 - в 1936 (4962).</w:t>
      </w:r>
    </w:p>
    <w:p w14:paraId="708019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93648"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года состоялся пуск Харьковского тракторного завода им. С. Орджоникидзе (ХТЗ). История Харьковского тракторного завода началась в 1930 году, именно тогда было запущено его строительство, которое завершилось через год.</w:t>
      </w:r>
    </w:p>
    <w:p w14:paraId="4EF44F8F"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Уже в октябре 1931 года завод начал выпуск колёсного трактора СХТЗ 15/30, который был оснащен керосиновым двигателем мощностью 30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xml:space="preserve"> и развивал скорость до 7,4 км/ч. Кстати, именно эта модель была наиболее популярной в СССР в 1930-1940 годах.</w:t>
      </w:r>
    </w:p>
    <w:p w14:paraId="0D9CEDE7"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конца первой пятилетки (которая заканчивалась в 1932 году) завод выпустил более 17000 тракторов. Через 3 года (в 1935) с конвейера сошёл 100-тысячный трактор, а еще через год – уже 150-тысячный (21166).</w:t>
      </w:r>
    </w:p>
    <w:p w14:paraId="585F7F4C" w14:textId="77777777" w:rsidR="00090C68" w:rsidRPr="007122AB" w:rsidRDefault="00090C68" w:rsidP="007122AB">
      <w:pPr>
        <w:spacing w:after="0" w:line="240" w:lineRule="auto"/>
        <w:jc w:val="both"/>
        <w:rPr>
          <w:rFonts w:ascii="Times New Roman" w:hAnsi="Times New Roman"/>
          <w:color w:val="000000" w:themeColor="text1"/>
          <w:sz w:val="16"/>
          <w:szCs w:val="16"/>
        </w:rPr>
      </w:pPr>
    </w:p>
    <w:p w14:paraId="62A37248"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 перекрыв все прежде уста</w:t>
      </w:r>
      <w:r w:rsidRPr="007122AB">
        <w:rPr>
          <w:rFonts w:ascii="Times New Roman" w:hAnsi="Times New Roman"/>
          <w:color w:val="000000" w:themeColor="text1"/>
          <w:sz w:val="16"/>
          <w:szCs w:val="16"/>
        </w:rPr>
        <w:softHyphen/>
        <w:t>новленные расчеты, 15-тысячный коллектив строите</w:t>
      </w:r>
      <w:r w:rsidRPr="007122AB">
        <w:rPr>
          <w:rFonts w:ascii="Times New Roman" w:hAnsi="Times New Roman"/>
          <w:color w:val="000000" w:themeColor="text1"/>
          <w:sz w:val="16"/>
          <w:szCs w:val="16"/>
        </w:rPr>
        <w:softHyphen/>
        <w:t>лей Харьковского тракторного сдал в эксплуатацию завод, строительство которого начало активно разви</w:t>
      </w:r>
      <w:r w:rsidRPr="007122AB">
        <w:rPr>
          <w:rFonts w:ascii="Times New Roman" w:hAnsi="Times New Roman"/>
          <w:color w:val="000000" w:themeColor="text1"/>
          <w:sz w:val="16"/>
          <w:szCs w:val="16"/>
        </w:rPr>
        <w:softHyphen/>
        <w:t>ваться только в августе 1930 г. По сложности, новизне технологического оборудования завод встал в один ряд с крупнейшими предприятиями мира. При двухсменной работе с его конвейера должно было сходить ежегодно 50 ООО колесных тракторов модели 15/30 (22518).</w:t>
      </w:r>
    </w:p>
    <w:p w14:paraId="33640EAC" w14:textId="77777777" w:rsidR="00090C68" w:rsidRPr="007122AB" w:rsidRDefault="00090C68" w:rsidP="007122AB">
      <w:pPr>
        <w:spacing w:after="0" w:line="240" w:lineRule="auto"/>
        <w:jc w:val="both"/>
        <w:rPr>
          <w:rFonts w:ascii="Times New Roman" w:hAnsi="Times New Roman"/>
          <w:color w:val="000000" w:themeColor="text1"/>
          <w:sz w:val="16"/>
          <w:szCs w:val="16"/>
        </w:rPr>
      </w:pPr>
    </w:p>
    <w:p w14:paraId="1CEC8B68"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 октября </w:t>
      </w:r>
      <w:r w:rsidRPr="007122AB">
        <w:rPr>
          <w:rFonts w:ascii="Times New Roman" w:hAnsi="Times New Roman"/>
          <w:color w:val="000000" w:themeColor="text1"/>
          <w:sz w:val="16"/>
          <w:szCs w:val="16"/>
        </w:rPr>
        <w:t xml:space="preserve">в 1931 году вводится в эксплуатацию реконструированный автомобильный завод АМО в Москве. В день пуска завода </w:t>
      </w:r>
      <w:proofErr w:type="spellStart"/>
      <w:r w:rsidRPr="007122AB">
        <w:rPr>
          <w:rFonts w:ascii="Times New Roman" w:hAnsi="Times New Roman"/>
          <w:color w:val="000000" w:themeColor="text1"/>
          <w:sz w:val="16"/>
          <w:szCs w:val="16"/>
        </w:rPr>
        <w:t>И.В.Сталин</w:t>
      </w:r>
      <w:proofErr w:type="spellEnd"/>
      <w:r w:rsidRPr="007122AB">
        <w:rPr>
          <w:rFonts w:ascii="Times New Roman" w:hAnsi="Times New Roman"/>
          <w:color w:val="000000" w:themeColor="text1"/>
          <w:sz w:val="16"/>
          <w:szCs w:val="16"/>
        </w:rPr>
        <w:t xml:space="preserve"> присылает приветственную телеграмму, в которой пишет: "Там, где русские капиталисты могли построить автомобильные мастерские с отсталой техникой, с низкой производительностью труда, с варварскими приемами эксплуатации, создан могучий гигант с производительностью в 25 000 грузовых машин... Ваша победа — это победа всех трудящихся нашей страны... Горячий большевистский привет всем строителям первого в СССР автогиганта — завода АМО". Трудящиеся горячо откликнулись на приветствие вождя и попросили присвоить заводу имя Сталина. Ныне завод носит имя </w:t>
      </w:r>
      <w:proofErr w:type="spellStart"/>
      <w:r w:rsidRPr="007122AB">
        <w:rPr>
          <w:rFonts w:ascii="Times New Roman" w:hAnsi="Times New Roman"/>
          <w:color w:val="000000" w:themeColor="text1"/>
          <w:sz w:val="16"/>
          <w:szCs w:val="16"/>
        </w:rPr>
        <w:t>И.А.Лихачева</w:t>
      </w:r>
      <w:proofErr w:type="spellEnd"/>
      <w:r w:rsidRPr="007122AB">
        <w:rPr>
          <w:rFonts w:ascii="Times New Roman" w:hAnsi="Times New Roman"/>
          <w:color w:val="000000" w:themeColor="text1"/>
          <w:sz w:val="16"/>
          <w:szCs w:val="16"/>
        </w:rPr>
        <w:t xml:space="preserve"> (14786).</w:t>
      </w:r>
    </w:p>
    <w:p w14:paraId="39ACE734" w14:textId="77777777" w:rsidR="00090C68" w:rsidRPr="007122AB" w:rsidRDefault="00090C68" w:rsidP="007122AB">
      <w:pPr>
        <w:spacing w:after="0" w:line="240" w:lineRule="auto"/>
        <w:jc w:val="both"/>
        <w:rPr>
          <w:rFonts w:ascii="Times New Roman" w:hAnsi="Times New Roman"/>
          <w:color w:val="000000" w:themeColor="text1"/>
          <w:sz w:val="16"/>
          <w:szCs w:val="16"/>
        </w:rPr>
      </w:pPr>
    </w:p>
    <w:p w14:paraId="45B1CDFA"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октября 1931 в строй гигантов отечественной индустрии всту</w:t>
      </w:r>
      <w:r w:rsidRPr="007122AB">
        <w:rPr>
          <w:rFonts w:ascii="Times New Roman" w:hAnsi="Times New Roman"/>
          <w:color w:val="000000" w:themeColor="text1"/>
          <w:sz w:val="16"/>
          <w:szCs w:val="16"/>
        </w:rPr>
        <w:softHyphen/>
        <w:t>пил реконструированный АМО. После реконструкции копию Фиата 1913 г. - модель АМО-Ф-15 - сме</w:t>
      </w:r>
      <w:r w:rsidRPr="007122AB">
        <w:rPr>
          <w:rFonts w:ascii="Times New Roman" w:hAnsi="Times New Roman"/>
          <w:color w:val="000000" w:themeColor="text1"/>
          <w:sz w:val="16"/>
          <w:szCs w:val="16"/>
        </w:rPr>
        <w:softHyphen/>
        <w:t>нил 2,5-тонный АМО-2 (переход</w:t>
      </w:r>
      <w:r w:rsidRPr="007122AB">
        <w:rPr>
          <w:rFonts w:ascii="Times New Roman" w:hAnsi="Times New Roman"/>
          <w:color w:val="000000" w:themeColor="text1"/>
          <w:sz w:val="16"/>
          <w:szCs w:val="16"/>
        </w:rPr>
        <w:softHyphen/>
        <w:t xml:space="preserve">ная </w:t>
      </w:r>
      <w:proofErr w:type="spellStart"/>
      <w:r w:rsidRPr="007122AB">
        <w:rPr>
          <w:rFonts w:ascii="Times New Roman" w:hAnsi="Times New Roman"/>
          <w:color w:val="000000" w:themeColor="text1"/>
          <w:sz w:val="16"/>
          <w:szCs w:val="16"/>
        </w:rPr>
        <w:t>модель,собранная</w:t>
      </w:r>
      <w:proofErr w:type="spellEnd"/>
      <w:r w:rsidRPr="007122AB">
        <w:rPr>
          <w:rFonts w:ascii="Times New Roman" w:hAnsi="Times New Roman"/>
          <w:color w:val="000000" w:themeColor="text1"/>
          <w:sz w:val="16"/>
          <w:szCs w:val="16"/>
        </w:rPr>
        <w:t xml:space="preserve"> в основном из импортных деталей и узлов), а на следующий год был запланиро</w:t>
      </w:r>
      <w:r w:rsidRPr="007122AB">
        <w:rPr>
          <w:rFonts w:ascii="Times New Roman" w:hAnsi="Times New Roman"/>
          <w:color w:val="000000" w:themeColor="text1"/>
          <w:sz w:val="16"/>
          <w:szCs w:val="16"/>
        </w:rPr>
        <w:softHyphen/>
        <w:t>ван выпуск 25 тысяч АМО-3, изго</w:t>
      </w:r>
      <w:r w:rsidRPr="007122AB">
        <w:rPr>
          <w:rFonts w:ascii="Times New Roman" w:hAnsi="Times New Roman"/>
          <w:color w:val="000000" w:themeColor="text1"/>
          <w:sz w:val="16"/>
          <w:szCs w:val="16"/>
        </w:rPr>
        <w:softHyphen/>
        <w:t>товленных полностью из отечест</w:t>
      </w:r>
      <w:r w:rsidRPr="007122AB">
        <w:rPr>
          <w:rFonts w:ascii="Times New Roman" w:hAnsi="Times New Roman"/>
          <w:color w:val="000000" w:themeColor="text1"/>
          <w:sz w:val="16"/>
          <w:szCs w:val="16"/>
        </w:rPr>
        <w:softHyphen/>
        <w:t>венных комплектующих. По образ</w:t>
      </w:r>
      <w:r w:rsidRPr="007122AB">
        <w:rPr>
          <w:rFonts w:ascii="Times New Roman" w:hAnsi="Times New Roman"/>
          <w:color w:val="000000" w:themeColor="text1"/>
          <w:sz w:val="16"/>
          <w:szCs w:val="16"/>
        </w:rPr>
        <w:softHyphen/>
        <w:t>ному выражению директора заво</w:t>
      </w:r>
      <w:r w:rsidRPr="007122AB">
        <w:rPr>
          <w:rFonts w:ascii="Times New Roman" w:hAnsi="Times New Roman"/>
          <w:color w:val="000000" w:themeColor="text1"/>
          <w:sz w:val="16"/>
          <w:szCs w:val="16"/>
        </w:rPr>
        <w:softHyphen/>
        <w:t>да И. Лихачева, реконструкция по</w:t>
      </w:r>
      <w:r w:rsidRPr="007122AB">
        <w:rPr>
          <w:rFonts w:ascii="Times New Roman" w:hAnsi="Times New Roman"/>
          <w:color w:val="000000" w:themeColor="text1"/>
          <w:sz w:val="16"/>
          <w:szCs w:val="16"/>
        </w:rPr>
        <w:softHyphen/>
        <w:t>хожа на то, что пальто пришили к пуговицам. Председатель ВСНХ СССР Г.К. Орджоникидзе сказал проще:</w:t>
      </w:r>
    </w:p>
    <w:p w14:paraId="5137C277" w14:textId="77777777" w:rsidR="00090C68" w:rsidRPr="007122AB" w:rsidRDefault="00090C6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Вы произвели не простую ре</w:t>
      </w:r>
      <w:r w:rsidRPr="007122AB">
        <w:rPr>
          <w:rFonts w:ascii="Times New Roman" w:hAnsi="Times New Roman"/>
          <w:color w:val="000000" w:themeColor="text1"/>
          <w:sz w:val="16"/>
          <w:szCs w:val="16"/>
        </w:rPr>
        <w:softHyphen/>
        <w:t>конструкцию, а на месте старого завода построили новый гигант. Скорее овладевайте техникой сво</w:t>
      </w:r>
      <w:r w:rsidRPr="007122AB">
        <w:rPr>
          <w:rFonts w:ascii="Times New Roman" w:hAnsi="Times New Roman"/>
          <w:color w:val="000000" w:themeColor="text1"/>
          <w:sz w:val="16"/>
          <w:szCs w:val="16"/>
        </w:rPr>
        <w:softHyphen/>
        <w:t>его завода. Нам нужны машины (22518).</w:t>
      </w:r>
    </w:p>
    <w:p w14:paraId="632C367B" w14:textId="77777777" w:rsidR="00090C68" w:rsidRPr="007122AB" w:rsidRDefault="00090C68" w:rsidP="007122AB">
      <w:pPr>
        <w:spacing w:after="0" w:line="240" w:lineRule="auto"/>
        <w:jc w:val="both"/>
        <w:rPr>
          <w:rFonts w:ascii="Times New Roman" w:hAnsi="Times New Roman"/>
          <w:color w:val="000000" w:themeColor="text1"/>
          <w:sz w:val="16"/>
          <w:szCs w:val="16"/>
        </w:rPr>
      </w:pPr>
    </w:p>
    <w:p w14:paraId="7D6DC4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введен в строй реконструированный АМО - ЗИЛ (3960, 383).</w:t>
      </w:r>
    </w:p>
    <w:p w14:paraId="7705FA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октября 1931 заводу присвоено имя </w:t>
      </w:r>
      <w:proofErr w:type="spellStart"/>
      <w:r w:rsidRPr="007122AB">
        <w:rPr>
          <w:rFonts w:ascii="Times New Roman" w:hAnsi="Times New Roman"/>
          <w:color w:val="000000" w:themeColor="text1"/>
          <w:sz w:val="16"/>
          <w:szCs w:val="16"/>
        </w:rPr>
        <w:t>И.В.Сталина</w:t>
      </w:r>
      <w:proofErr w:type="spellEnd"/>
      <w:r w:rsidRPr="007122AB">
        <w:rPr>
          <w:rFonts w:ascii="Times New Roman" w:hAnsi="Times New Roman"/>
          <w:color w:val="000000" w:themeColor="text1"/>
          <w:sz w:val="16"/>
          <w:szCs w:val="16"/>
        </w:rPr>
        <w:t xml:space="preserve"> (ЗИС).</w:t>
      </w:r>
    </w:p>
    <w:p w14:paraId="3B6C2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9B1C20" w14:textId="77777777" w:rsidR="001D6222" w:rsidRPr="007122AB" w:rsidRDefault="001D622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состоялся пуск завода АМО после первой реконструкции. Присвоение заводу имени И.В. Сталина − ЗИС (17494).</w:t>
      </w:r>
    </w:p>
    <w:p w14:paraId="3C92C34E" w14:textId="77777777" w:rsidR="001D6222" w:rsidRPr="007122AB" w:rsidRDefault="001D6222" w:rsidP="007122AB">
      <w:pPr>
        <w:spacing w:after="0" w:line="240" w:lineRule="auto"/>
        <w:jc w:val="both"/>
        <w:rPr>
          <w:rFonts w:ascii="Times New Roman" w:hAnsi="Times New Roman"/>
          <w:color w:val="000000" w:themeColor="text1"/>
          <w:sz w:val="16"/>
          <w:szCs w:val="16"/>
        </w:rPr>
      </w:pPr>
    </w:p>
    <w:p w14:paraId="655B4C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состоянию на 1 октября 1931 (Материалы к совещанию президиума ЦК профсоюза работников авиационной и транспортной промышленности о численности иностранцев и работе завкомов среди них:</w:t>
      </w:r>
    </w:p>
    <w:p w14:paraId="7A8CB0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 1/Х-31 г. по официальным данным хозяйственных органов и неполным материалам завкомов на заводах ВА-ТО и ВАО занято 624 иностранных рабочих и специалис</w:t>
      </w:r>
      <w:r w:rsidRPr="007122AB">
        <w:rPr>
          <w:rFonts w:ascii="Times New Roman" w:hAnsi="Times New Roman"/>
          <w:color w:val="000000" w:themeColor="text1"/>
          <w:sz w:val="16"/>
          <w:szCs w:val="16"/>
        </w:rPr>
        <w:softHyphen/>
        <w:t>тов. По группам они делятся следующим образом:</w:t>
      </w:r>
    </w:p>
    <w:p w14:paraId="026E14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Таблица №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73"/>
        <w:gridCol w:w="1027"/>
        <w:gridCol w:w="883"/>
        <w:gridCol w:w="1622"/>
      </w:tblGrid>
      <w:tr w:rsidR="001002C3" w:rsidRPr="007122AB" w14:paraId="074B3334" w14:textId="77777777">
        <w:trPr>
          <w:trHeight w:val="240"/>
        </w:trPr>
        <w:tc>
          <w:tcPr>
            <w:tcW w:w="2573" w:type="dxa"/>
            <w:tcBorders>
              <w:top w:val="single" w:sz="12" w:space="0" w:color="auto"/>
            </w:tcBorders>
          </w:tcPr>
          <w:p w14:paraId="541931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Общее количество иностранцев по союзу РАТАП</w:t>
            </w:r>
          </w:p>
        </w:tc>
        <w:tc>
          <w:tcPr>
            <w:tcW w:w="1910" w:type="dxa"/>
            <w:gridSpan w:val="2"/>
            <w:tcBorders>
              <w:top w:val="single" w:sz="12" w:space="0" w:color="auto"/>
            </w:tcBorders>
          </w:tcPr>
          <w:p w14:paraId="6580BE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Из них</w:t>
            </w:r>
          </w:p>
        </w:tc>
        <w:tc>
          <w:tcPr>
            <w:tcW w:w="1622" w:type="dxa"/>
            <w:tcBorders>
              <w:top w:val="single" w:sz="12" w:space="0" w:color="auto"/>
            </w:tcBorders>
          </w:tcPr>
          <w:p w14:paraId="1721D09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Не выяснено</w:t>
            </w:r>
          </w:p>
        </w:tc>
      </w:tr>
      <w:tr w:rsidR="001002C3" w:rsidRPr="007122AB" w14:paraId="7F0756C2" w14:textId="77777777">
        <w:trPr>
          <w:trHeight w:val="211"/>
        </w:trPr>
        <w:tc>
          <w:tcPr>
            <w:tcW w:w="2573" w:type="dxa"/>
          </w:tcPr>
          <w:p w14:paraId="6AF814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2EBF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iCs/>
                <w:color w:val="000000" w:themeColor="text1"/>
                <w:sz w:val="16"/>
                <w:szCs w:val="16"/>
              </w:rPr>
              <w:t>Специал</w:t>
            </w:r>
            <w:proofErr w:type="spellEnd"/>
            <w:r w:rsidRPr="007122AB">
              <w:rPr>
                <w:rFonts w:ascii="Times New Roman" w:hAnsi="Times New Roman"/>
                <w:iCs/>
                <w:color w:val="000000" w:themeColor="text1"/>
                <w:sz w:val="16"/>
                <w:szCs w:val="16"/>
              </w:rPr>
              <w:t>.</w:t>
            </w:r>
          </w:p>
        </w:tc>
        <w:tc>
          <w:tcPr>
            <w:tcW w:w="883" w:type="dxa"/>
          </w:tcPr>
          <w:p w14:paraId="7E6579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Рабочих</w:t>
            </w:r>
          </w:p>
        </w:tc>
        <w:tc>
          <w:tcPr>
            <w:tcW w:w="1622" w:type="dxa"/>
          </w:tcPr>
          <w:p w14:paraId="1605FE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D770383" w14:textId="77777777">
        <w:trPr>
          <w:trHeight w:val="355"/>
        </w:trPr>
        <w:tc>
          <w:tcPr>
            <w:tcW w:w="2573" w:type="dxa"/>
            <w:tcBorders>
              <w:bottom w:val="single" w:sz="12" w:space="0" w:color="auto"/>
            </w:tcBorders>
          </w:tcPr>
          <w:p w14:paraId="579847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624</w:t>
            </w:r>
          </w:p>
        </w:tc>
        <w:tc>
          <w:tcPr>
            <w:tcW w:w="1027" w:type="dxa"/>
            <w:tcBorders>
              <w:bottom w:val="single" w:sz="12" w:space="0" w:color="auto"/>
            </w:tcBorders>
          </w:tcPr>
          <w:p w14:paraId="080024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w:t>
            </w:r>
          </w:p>
        </w:tc>
        <w:tc>
          <w:tcPr>
            <w:tcW w:w="883" w:type="dxa"/>
            <w:tcBorders>
              <w:bottom w:val="single" w:sz="12" w:space="0" w:color="auto"/>
            </w:tcBorders>
          </w:tcPr>
          <w:p w14:paraId="088C0E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c>
          <w:tcPr>
            <w:tcW w:w="1622" w:type="dxa"/>
            <w:tcBorders>
              <w:bottom w:val="single" w:sz="12" w:space="0" w:color="auto"/>
            </w:tcBorders>
          </w:tcPr>
          <w:p w14:paraId="0013AA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w:t>
            </w:r>
          </w:p>
        </w:tc>
      </w:tr>
    </w:tbl>
    <w:p w14:paraId="29CE7D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национальности:</w:t>
      </w:r>
    </w:p>
    <w:p w14:paraId="71A40A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Таблица № 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12"/>
        <w:gridCol w:w="979"/>
        <w:gridCol w:w="1190"/>
        <w:gridCol w:w="797"/>
        <w:gridCol w:w="874"/>
        <w:gridCol w:w="1411"/>
      </w:tblGrid>
      <w:tr w:rsidR="001002C3" w:rsidRPr="007122AB" w14:paraId="36BD6DEE" w14:textId="77777777">
        <w:trPr>
          <w:trHeight w:val="269"/>
        </w:trPr>
        <w:tc>
          <w:tcPr>
            <w:tcW w:w="4752" w:type="dxa"/>
            <w:gridSpan w:val="5"/>
            <w:tcBorders>
              <w:top w:val="single" w:sz="12" w:space="0" w:color="auto"/>
            </w:tcBorders>
          </w:tcPr>
          <w:p w14:paraId="3D2122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По национальностям</w:t>
            </w:r>
          </w:p>
        </w:tc>
        <w:tc>
          <w:tcPr>
            <w:tcW w:w="1411" w:type="dxa"/>
            <w:tcBorders>
              <w:top w:val="single" w:sz="12" w:space="0" w:color="auto"/>
            </w:tcBorders>
          </w:tcPr>
          <w:p w14:paraId="3B3D38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Не выяснено</w:t>
            </w:r>
          </w:p>
        </w:tc>
      </w:tr>
      <w:tr w:rsidR="001002C3" w:rsidRPr="007122AB" w14:paraId="615CBAA4" w14:textId="77777777">
        <w:trPr>
          <w:trHeight w:val="470"/>
        </w:trPr>
        <w:tc>
          <w:tcPr>
            <w:tcW w:w="912" w:type="dxa"/>
          </w:tcPr>
          <w:p w14:paraId="1C2F26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Америк.</w:t>
            </w:r>
          </w:p>
        </w:tc>
        <w:tc>
          <w:tcPr>
            <w:tcW w:w="979" w:type="dxa"/>
          </w:tcPr>
          <w:p w14:paraId="57D715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iCs/>
                <w:color w:val="000000" w:themeColor="text1"/>
                <w:sz w:val="16"/>
                <w:szCs w:val="16"/>
              </w:rPr>
              <w:t>Немецк</w:t>
            </w:r>
            <w:proofErr w:type="spellEnd"/>
            <w:r w:rsidRPr="007122AB">
              <w:rPr>
                <w:rFonts w:ascii="Times New Roman" w:hAnsi="Times New Roman"/>
                <w:iCs/>
                <w:color w:val="000000" w:themeColor="text1"/>
                <w:sz w:val="16"/>
                <w:szCs w:val="16"/>
              </w:rPr>
              <w:t>.</w:t>
            </w:r>
          </w:p>
        </w:tc>
        <w:tc>
          <w:tcPr>
            <w:tcW w:w="1190" w:type="dxa"/>
          </w:tcPr>
          <w:p w14:paraId="715C36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iCs/>
                <w:color w:val="000000" w:themeColor="text1"/>
                <w:sz w:val="16"/>
                <w:szCs w:val="16"/>
              </w:rPr>
              <w:t>Чехо</w:t>
            </w:r>
            <w:proofErr w:type="spellEnd"/>
            <w:r w:rsidRPr="007122AB">
              <w:rPr>
                <w:rFonts w:ascii="Times New Roman" w:hAnsi="Times New Roman"/>
                <w:iCs/>
                <w:color w:val="000000" w:themeColor="text1"/>
                <w:sz w:val="16"/>
                <w:szCs w:val="16"/>
              </w:rPr>
              <w:t>-Слов.</w:t>
            </w:r>
          </w:p>
        </w:tc>
        <w:tc>
          <w:tcPr>
            <w:tcW w:w="797" w:type="dxa"/>
          </w:tcPr>
          <w:p w14:paraId="79A0EE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Австр.</w:t>
            </w:r>
          </w:p>
        </w:tc>
        <w:tc>
          <w:tcPr>
            <w:tcW w:w="874" w:type="dxa"/>
          </w:tcPr>
          <w:p w14:paraId="2DD87B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Прочие нац.</w:t>
            </w:r>
          </w:p>
        </w:tc>
        <w:tc>
          <w:tcPr>
            <w:tcW w:w="1411" w:type="dxa"/>
          </w:tcPr>
          <w:p w14:paraId="64FD38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96D9A31" w14:textId="77777777">
        <w:trPr>
          <w:trHeight w:val="365"/>
        </w:trPr>
        <w:tc>
          <w:tcPr>
            <w:tcW w:w="912" w:type="dxa"/>
            <w:tcBorders>
              <w:bottom w:val="single" w:sz="12" w:space="0" w:color="auto"/>
            </w:tcBorders>
          </w:tcPr>
          <w:p w14:paraId="3D7116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w:t>
            </w:r>
          </w:p>
        </w:tc>
        <w:tc>
          <w:tcPr>
            <w:tcW w:w="979" w:type="dxa"/>
            <w:tcBorders>
              <w:bottom w:val="single" w:sz="12" w:space="0" w:color="auto"/>
            </w:tcBorders>
          </w:tcPr>
          <w:p w14:paraId="368A14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w:t>
            </w:r>
          </w:p>
        </w:tc>
        <w:tc>
          <w:tcPr>
            <w:tcW w:w="1190" w:type="dxa"/>
            <w:tcBorders>
              <w:bottom w:val="single" w:sz="12" w:space="0" w:color="auto"/>
            </w:tcBorders>
          </w:tcPr>
          <w:p w14:paraId="6A51F88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86</w:t>
            </w:r>
          </w:p>
        </w:tc>
        <w:tc>
          <w:tcPr>
            <w:tcW w:w="797" w:type="dxa"/>
            <w:tcBorders>
              <w:bottom w:val="single" w:sz="12" w:space="0" w:color="auto"/>
            </w:tcBorders>
          </w:tcPr>
          <w:p w14:paraId="65B930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874" w:type="dxa"/>
            <w:tcBorders>
              <w:bottom w:val="single" w:sz="12" w:space="0" w:color="auto"/>
            </w:tcBorders>
          </w:tcPr>
          <w:p w14:paraId="0C810B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151</w:t>
            </w:r>
          </w:p>
        </w:tc>
        <w:tc>
          <w:tcPr>
            <w:tcW w:w="1411" w:type="dxa"/>
            <w:tcBorders>
              <w:bottom w:val="single" w:sz="12" w:space="0" w:color="auto"/>
            </w:tcBorders>
          </w:tcPr>
          <w:p w14:paraId="4DB30F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w:t>
            </w:r>
          </w:p>
        </w:tc>
      </w:tr>
    </w:tbl>
    <w:p w14:paraId="2CC140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 них по договорам работают 381 чел., без договоров на основе общего </w:t>
      </w:r>
      <w:proofErr w:type="spellStart"/>
      <w:r w:rsidRPr="007122AB">
        <w:rPr>
          <w:rFonts w:ascii="Times New Roman" w:hAnsi="Times New Roman"/>
          <w:color w:val="000000" w:themeColor="text1"/>
          <w:sz w:val="16"/>
          <w:szCs w:val="16"/>
        </w:rPr>
        <w:t>коддоговора</w:t>
      </w:r>
      <w:proofErr w:type="spellEnd"/>
      <w:r w:rsidRPr="007122AB">
        <w:rPr>
          <w:rFonts w:ascii="Times New Roman" w:hAnsi="Times New Roman"/>
          <w:color w:val="000000" w:themeColor="text1"/>
          <w:sz w:val="16"/>
          <w:szCs w:val="16"/>
        </w:rPr>
        <w:t xml:space="preserve"> 187 чел. и не установлено 56 чел.</w:t>
      </w:r>
    </w:p>
    <w:p w14:paraId="0CC28B3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Работают иностранцы на 23-х заводах, но основная масса сосредоточена на 5-ти заводах: СТЗ, ХТЗ, </w:t>
      </w:r>
      <w:proofErr w:type="spellStart"/>
      <w:r w:rsidRPr="007122AB">
        <w:rPr>
          <w:rFonts w:ascii="Times New Roman" w:hAnsi="Times New Roman"/>
          <w:color w:val="000000" w:themeColor="text1"/>
          <w:sz w:val="16"/>
          <w:szCs w:val="16"/>
        </w:rPr>
        <w:t>Н.Автозавод</w:t>
      </w:r>
      <w:proofErr w:type="spellEnd"/>
      <w:r w:rsidRPr="007122AB">
        <w:rPr>
          <w:rFonts w:ascii="Times New Roman" w:hAnsi="Times New Roman"/>
          <w:color w:val="000000" w:themeColor="text1"/>
          <w:sz w:val="16"/>
          <w:szCs w:val="16"/>
        </w:rPr>
        <w:t>, «Красный Октябрь» — Сталинград и завод имени Сталина (Москва)^</w:t>
      </w:r>
    </w:p>
    <w:p w14:paraId="1E6461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работающих на отдельных заводах пред</w:t>
      </w:r>
      <w:r w:rsidRPr="007122AB">
        <w:rPr>
          <w:rFonts w:ascii="Times New Roman" w:hAnsi="Times New Roman"/>
          <w:color w:val="000000" w:themeColor="text1"/>
          <w:sz w:val="16"/>
          <w:szCs w:val="16"/>
        </w:rPr>
        <w:softHyphen/>
        <w:t>ставляется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34"/>
        <w:gridCol w:w="3648"/>
        <w:gridCol w:w="1814"/>
      </w:tblGrid>
      <w:tr w:rsidR="001002C3" w:rsidRPr="007122AB" w14:paraId="63913DCC" w14:textId="77777777">
        <w:trPr>
          <w:trHeight w:val="413"/>
        </w:trPr>
        <w:tc>
          <w:tcPr>
            <w:tcW w:w="634" w:type="dxa"/>
            <w:tcBorders>
              <w:top w:val="single" w:sz="12" w:space="0" w:color="auto"/>
            </w:tcBorders>
          </w:tcPr>
          <w:p w14:paraId="0BF1CA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 </w:t>
            </w:r>
            <w:proofErr w:type="spellStart"/>
            <w:r w:rsidRPr="007122AB">
              <w:rPr>
                <w:rFonts w:ascii="Times New Roman" w:hAnsi="Times New Roman"/>
                <w:iCs/>
                <w:color w:val="000000" w:themeColor="text1"/>
                <w:sz w:val="16"/>
                <w:szCs w:val="16"/>
              </w:rPr>
              <w:t>пп</w:t>
            </w:r>
            <w:proofErr w:type="spellEnd"/>
          </w:p>
        </w:tc>
        <w:tc>
          <w:tcPr>
            <w:tcW w:w="3648" w:type="dxa"/>
            <w:tcBorders>
              <w:top w:val="single" w:sz="12" w:space="0" w:color="auto"/>
            </w:tcBorders>
          </w:tcPr>
          <w:p w14:paraId="55F83C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Наименование завода</w:t>
            </w:r>
          </w:p>
        </w:tc>
        <w:tc>
          <w:tcPr>
            <w:tcW w:w="1814" w:type="dxa"/>
            <w:tcBorders>
              <w:top w:val="single" w:sz="12" w:space="0" w:color="auto"/>
            </w:tcBorders>
          </w:tcPr>
          <w:p w14:paraId="2F33716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Количество </w:t>
            </w:r>
            <w:proofErr w:type="spellStart"/>
            <w:r w:rsidRPr="007122AB">
              <w:rPr>
                <w:rFonts w:ascii="Times New Roman" w:hAnsi="Times New Roman"/>
                <w:iCs/>
                <w:color w:val="000000" w:themeColor="text1"/>
                <w:sz w:val="16"/>
                <w:szCs w:val="16"/>
              </w:rPr>
              <w:t>иностар-нцев</w:t>
            </w:r>
            <w:proofErr w:type="spellEnd"/>
            <w:r w:rsidRPr="007122AB">
              <w:rPr>
                <w:rFonts w:ascii="Times New Roman" w:hAnsi="Times New Roman"/>
                <w:iCs/>
                <w:color w:val="000000" w:themeColor="text1"/>
                <w:sz w:val="16"/>
                <w:szCs w:val="16"/>
              </w:rPr>
              <w:t xml:space="preserve"> на заводе</w:t>
            </w:r>
          </w:p>
        </w:tc>
      </w:tr>
      <w:tr w:rsidR="001002C3" w:rsidRPr="007122AB" w14:paraId="7B145A6D" w14:textId="77777777">
        <w:trPr>
          <w:trHeight w:val="230"/>
        </w:trPr>
        <w:tc>
          <w:tcPr>
            <w:tcW w:w="634" w:type="dxa"/>
          </w:tcPr>
          <w:p w14:paraId="55FCB7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3648" w:type="dxa"/>
          </w:tcPr>
          <w:p w14:paraId="5B20C3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СТЗ</w:t>
            </w:r>
          </w:p>
        </w:tc>
        <w:tc>
          <w:tcPr>
            <w:tcW w:w="1814" w:type="dxa"/>
          </w:tcPr>
          <w:p w14:paraId="1309D3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169</w:t>
            </w:r>
          </w:p>
        </w:tc>
      </w:tr>
      <w:tr w:rsidR="001002C3" w:rsidRPr="007122AB" w14:paraId="38CF388D" w14:textId="77777777">
        <w:trPr>
          <w:trHeight w:val="221"/>
        </w:trPr>
        <w:tc>
          <w:tcPr>
            <w:tcW w:w="634" w:type="dxa"/>
          </w:tcPr>
          <w:p w14:paraId="56DE09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3648" w:type="dxa"/>
          </w:tcPr>
          <w:p w14:paraId="1F1792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ХТЗ</w:t>
            </w:r>
          </w:p>
        </w:tc>
        <w:tc>
          <w:tcPr>
            <w:tcW w:w="1814" w:type="dxa"/>
          </w:tcPr>
          <w:p w14:paraId="66612B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w:t>
            </w:r>
          </w:p>
        </w:tc>
      </w:tr>
      <w:tr w:rsidR="001002C3" w:rsidRPr="007122AB" w14:paraId="125D624E" w14:textId="77777777">
        <w:trPr>
          <w:trHeight w:val="211"/>
        </w:trPr>
        <w:tc>
          <w:tcPr>
            <w:tcW w:w="634" w:type="dxa"/>
          </w:tcPr>
          <w:p w14:paraId="00B94B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3648" w:type="dxa"/>
          </w:tcPr>
          <w:p w14:paraId="5F97CB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ЧТЗ</w:t>
            </w:r>
          </w:p>
        </w:tc>
        <w:tc>
          <w:tcPr>
            <w:tcW w:w="1814" w:type="dxa"/>
          </w:tcPr>
          <w:p w14:paraId="5D5EA1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r>
      <w:tr w:rsidR="001002C3" w:rsidRPr="007122AB" w14:paraId="20D6C5CA" w14:textId="77777777">
        <w:trPr>
          <w:trHeight w:val="221"/>
        </w:trPr>
        <w:tc>
          <w:tcPr>
            <w:tcW w:w="634" w:type="dxa"/>
          </w:tcPr>
          <w:p w14:paraId="239111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3648" w:type="dxa"/>
          </w:tcPr>
          <w:p w14:paraId="0F5704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АМО</w:t>
            </w:r>
          </w:p>
        </w:tc>
        <w:tc>
          <w:tcPr>
            <w:tcW w:w="1814" w:type="dxa"/>
          </w:tcPr>
          <w:p w14:paraId="184EC4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w:t>
            </w:r>
          </w:p>
        </w:tc>
      </w:tr>
      <w:tr w:rsidR="001002C3" w:rsidRPr="007122AB" w14:paraId="0D332953" w14:textId="77777777">
        <w:trPr>
          <w:trHeight w:val="240"/>
        </w:trPr>
        <w:tc>
          <w:tcPr>
            <w:tcW w:w="634" w:type="dxa"/>
          </w:tcPr>
          <w:p w14:paraId="6A6EA0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3648" w:type="dxa"/>
          </w:tcPr>
          <w:p w14:paraId="310428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Автострой</w:t>
            </w:r>
            <w:proofErr w:type="spellEnd"/>
          </w:p>
        </w:tc>
        <w:tc>
          <w:tcPr>
            <w:tcW w:w="1814" w:type="dxa"/>
          </w:tcPr>
          <w:p w14:paraId="07817A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w:t>
            </w:r>
          </w:p>
        </w:tc>
      </w:tr>
      <w:tr w:rsidR="001002C3" w:rsidRPr="007122AB" w14:paraId="3BCBAB8A" w14:textId="77777777">
        <w:trPr>
          <w:trHeight w:val="221"/>
        </w:trPr>
        <w:tc>
          <w:tcPr>
            <w:tcW w:w="634" w:type="dxa"/>
          </w:tcPr>
          <w:p w14:paraId="7EC513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3648" w:type="dxa"/>
          </w:tcPr>
          <w:p w14:paraId="698107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Красный Октябрь</w:t>
            </w:r>
          </w:p>
        </w:tc>
        <w:tc>
          <w:tcPr>
            <w:tcW w:w="1814" w:type="dxa"/>
          </w:tcPr>
          <w:p w14:paraId="1614EC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w:t>
            </w:r>
          </w:p>
        </w:tc>
      </w:tr>
      <w:tr w:rsidR="001002C3" w:rsidRPr="007122AB" w14:paraId="49F57CB1" w14:textId="77777777">
        <w:trPr>
          <w:trHeight w:val="221"/>
        </w:trPr>
        <w:tc>
          <w:tcPr>
            <w:tcW w:w="634" w:type="dxa"/>
          </w:tcPr>
          <w:p w14:paraId="0F8097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3648" w:type="dxa"/>
          </w:tcPr>
          <w:p w14:paraId="53424A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Господшипникстрой</w:t>
            </w:r>
            <w:proofErr w:type="spellEnd"/>
          </w:p>
        </w:tc>
        <w:tc>
          <w:tcPr>
            <w:tcW w:w="1814" w:type="dxa"/>
          </w:tcPr>
          <w:p w14:paraId="313B45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r>
      <w:tr w:rsidR="001002C3" w:rsidRPr="007122AB" w14:paraId="49E790AC" w14:textId="77777777">
        <w:trPr>
          <w:trHeight w:val="221"/>
        </w:trPr>
        <w:tc>
          <w:tcPr>
            <w:tcW w:w="634" w:type="dxa"/>
          </w:tcPr>
          <w:p w14:paraId="69BD80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3648" w:type="dxa"/>
          </w:tcPr>
          <w:p w14:paraId="26098E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Знамя Труда</w:t>
            </w:r>
          </w:p>
        </w:tc>
        <w:tc>
          <w:tcPr>
            <w:tcW w:w="1814" w:type="dxa"/>
          </w:tcPr>
          <w:p w14:paraId="57B806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r>
      <w:tr w:rsidR="001002C3" w:rsidRPr="007122AB" w14:paraId="53DEF0FB" w14:textId="77777777">
        <w:trPr>
          <w:trHeight w:val="221"/>
        </w:trPr>
        <w:tc>
          <w:tcPr>
            <w:tcW w:w="634" w:type="dxa"/>
          </w:tcPr>
          <w:p w14:paraId="53A5F4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3648" w:type="dxa"/>
          </w:tcPr>
          <w:p w14:paraId="20A82A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Шарикоподшипник</w:t>
            </w:r>
          </w:p>
        </w:tc>
        <w:tc>
          <w:tcPr>
            <w:tcW w:w="1814" w:type="dxa"/>
          </w:tcPr>
          <w:p w14:paraId="6E6C82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r>
      <w:tr w:rsidR="001002C3" w:rsidRPr="007122AB" w14:paraId="685C4F3C" w14:textId="77777777">
        <w:trPr>
          <w:trHeight w:val="211"/>
        </w:trPr>
        <w:tc>
          <w:tcPr>
            <w:tcW w:w="634" w:type="dxa"/>
          </w:tcPr>
          <w:p w14:paraId="2ACFB3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3648" w:type="dxa"/>
          </w:tcPr>
          <w:p w14:paraId="7D134E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26</w:t>
            </w:r>
          </w:p>
        </w:tc>
        <w:tc>
          <w:tcPr>
            <w:tcW w:w="1814" w:type="dxa"/>
          </w:tcPr>
          <w:p w14:paraId="68AA4D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r>
      <w:tr w:rsidR="001002C3" w:rsidRPr="007122AB" w14:paraId="5AF0A5F6" w14:textId="77777777">
        <w:trPr>
          <w:trHeight w:val="211"/>
        </w:trPr>
        <w:tc>
          <w:tcPr>
            <w:tcW w:w="634" w:type="dxa"/>
          </w:tcPr>
          <w:p w14:paraId="38588F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3648" w:type="dxa"/>
          </w:tcPr>
          <w:p w14:paraId="388638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29</w:t>
            </w:r>
          </w:p>
        </w:tc>
        <w:tc>
          <w:tcPr>
            <w:tcW w:w="1814" w:type="dxa"/>
          </w:tcPr>
          <w:p w14:paraId="1031A0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r>
      <w:tr w:rsidR="001002C3" w:rsidRPr="007122AB" w14:paraId="4776C1C7" w14:textId="77777777">
        <w:trPr>
          <w:trHeight w:val="221"/>
        </w:trPr>
        <w:tc>
          <w:tcPr>
            <w:tcW w:w="634" w:type="dxa"/>
          </w:tcPr>
          <w:p w14:paraId="5D1BC1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3648" w:type="dxa"/>
          </w:tcPr>
          <w:p w14:paraId="0CE4FE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24</w:t>
            </w:r>
          </w:p>
        </w:tc>
        <w:tc>
          <w:tcPr>
            <w:tcW w:w="1814" w:type="dxa"/>
          </w:tcPr>
          <w:p w14:paraId="4810CC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197EAB89" w14:textId="77777777">
        <w:trPr>
          <w:trHeight w:val="221"/>
        </w:trPr>
        <w:tc>
          <w:tcPr>
            <w:tcW w:w="634" w:type="dxa"/>
          </w:tcPr>
          <w:p w14:paraId="31F4D5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3648" w:type="dxa"/>
          </w:tcPr>
          <w:p w14:paraId="18BAB9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22</w:t>
            </w:r>
          </w:p>
        </w:tc>
        <w:tc>
          <w:tcPr>
            <w:tcW w:w="1814" w:type="dxa"/>
          </w:tcPr>
          <w:p w14:paraId="4E5E7A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r>
      <w:tr w:rsidR="001002C3" w:rsidRPr="007122AB" w14:paraId="0D6F5335" w14:textId="77777777">
        <w:trPr>
          <w:trHeight w:val="211"/>
        </w:trPr>
        <w:tc>
          <w:tcPr>
            <w:tcW w:w="634" w:type="dxa"/>
          </w:tcPr>
          <w:p w14:paraId="2B875E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3648" w:type="dxa"/>
          </w:tcPr>
          <w:p w14:paraId="034D4C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w:t>
            </w:r>
          </w:p>
        </w:tc>
        <w:tc>
          <w:tcPr>
            <w:tcW w:w="1814" w:type="dxa"/>
          </w:tcPr>
          <w:p w14:paraId="478326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1002C3" w:rsidRPr="007122AB" w14:paraId="3EA47F23" w14:textId="77777777">
        <w:trPr>
          <w:trHeight w:val="221"/>
        </w:trPr>
        <w:tc>
          <w:tcPr>
            <w:tcW w:w="634" w:type="dxa"/>
          </w:tcPr>
          <w:p w14:paraId="02D7BD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3648" w:type="dxa"/>
          </w:tcPr>
          <w:p w14:paraId="29932E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И.А.М.</w:t>
            </w:r>
          </w:p>
        </w:tc>
        <w:tc>
          <w:tcPr>
            <w:tcW w:w="1814" w:type="dxa"/>
          </w:tcPr>
          <w:p w14:paraId="0E7BCE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5161E17C" w14:textId="77777777">
        <w:trPr>
          <w:trHeight w:val="211"/>
        </w:trPr>
        <w:tc>
          <w:tcPr>
            <w:tcW w:w="634" w:type="dxa"/>
          </w:tcPr>
          <w:p w14:paraId="47AE2E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3648" w:type="dxa"/>
          </w:tcPr>
          <w:p w14:paraId="0032BF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им. Лепсе</w:t>
            </w:r>
          </w:p>
        </w:tc>
        <w:tc>
          <w:tcPr>
            <w:tcW w:w="1814" w:type="dxa"/>
          </w:tcPr>
          <w:p w14:paraId="35DBEE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18017999" w14:textId="77777777">
        <w:trPr>
          <w:trHeight w:val="230"/>
        </w:trPr>
        <w:tc>
          <w:tcPr>
            <w:tcW w:w="634" w:type="dxa"/>
          </w:tcPr>
          <w:p w14:paraId="331435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3648" w:type="dxa"/>
          </w:tcPr>
          <w:p w14:paraId="295D04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«Красный Октябрь» - Ленингр.</w:t>
            </w:r>
          </w:p>
        </w:tc>
        <w:tc>
          <w:tcPr>
            <w:tcW w:w="1814" w:type="dxa"/>
          </w:tcPr>
          <w:p w14:paraId="7076C8C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7CF4A13A" w14:textId="77777777">
        <w:trPr>
          <w:trHeight w:val="221"/>
        </w:trPr>
        <w:tc>
          <w:tcPr>
            <w:tcW w:w="634" w:type="dxa"/>
          </w:tcPr>
          <w:p w14:paraId="0BA2AD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3648" w:type="dxa"/>
          </w:tcPr>
          <w:p w14:paraId="7AE466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Автосборочный № 1</w:t>
            </w:r>
          </w:p>
        </w:tc>
        <w:tc>
          <w:tcPr>
            <w:tcW w:w="1814" w:type="dxa"/>
          </w:tcPr>
          <w:p w14:paraId="27477F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6AD0B503" w14:textId="77777777">
        <w:trPr>
          <w:trHeight w:val="202"/>
        </w:trPr>
        <w:tc>
          <w:tcPr>
            <w:tcW w:w="634" w:type="dxa"/>
          </w:tcPr>
          <w:p w14:paraId="4FDA34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3648" w:type="dxa"/>
          </w:tcPr>
          <w:p w14:paraId="012DD99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Отд. А.М.О.</w:t>
            </w:r>
          </w:p>
        </w:tc>
        <w:tc>
          <w:tcPr>
            <w:tcW w:w="1814" w:type="dxa"/>
          </w:tcPr>
          <w:p w14:paraId="570160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13730A39" w14:textId="77777777">
        <w:trPr>
          <w:trHeight w:val="211"/>
        </w:trPr>
        <w:tc>
          <w:tcPr>
            <w:tcW w:w="634" w:type="dxa"/>
          </w:tcPr>
          <w:p w14:paraId="63BD2B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3648" w:type="dxa"/>
          </w:tcPr>
          <w:p w14:paraId="6B2D42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Н.А.Т.И.</w:t>
            </w:r>
          </w:p>
        </w:tc>
        <w:tc>
          <w:tcPr>
            <w:tcW w:w="1814" w:type="dxa"/>
          </w:tcPr>
          <w:p w14:paraId="426763F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49B4F418" w14:textId="77777777">
        <w:trPr>
          <w:trHeight w:val="240"/>
        </w:trPr>
        <w:tc>
          <w:tcPr>
            <w:tcW w:w="634" w:type="dxa"/>
          </w:tcPr>
          <w:p w14:paraId="3F5BDA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w:t>
            </w:r>
          </w:p>
        </w:tc>
        <w:tc>
          <w:tcPr>
            <w:tcW w:w="3648" w:type="dxa"/>
          </w:tcPr>
          <w:p w14:paraId="41CB67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ГипроВАТО</w:t>
            </w:r>
            <w:proofErr w:type="spellEnd"/>
          </w:p>
        </w:tc>
        <w:tc>
          <w:tcPr>
            <w:tcW w:w="1814" w:type="dxa"/>
          </w:tcPr>
          <w:p w14:paraId="3343C3A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r>
      <w:tr w:rsidR="001002C3" w:rsidRPr="007122AB" w14:paraId="45325B7D" w14:textId="77777777">
        <w:trPr>
          <w:trHeight w:val="202"/>
        </w:trPr>
        <w:tc>
          <w:tcPr>
            <w:tcW w:w="634" w:type="dxa"/>
          </w:tcPr>
          <w:p w14:paraId="3E0519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3648" w:type="dxa"/>
          </w:tcPr>
          <w:p w14:paraId="64A3D9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ВАТО</w:t>
            </w:r>
          </w:p>
        </w:tc>
        <w:tc>
          <w:tcPr>
            <w:tcW w:w="1814" w:type="dxa"/>
          </w:tcPr>
          <w:p w14:paraId="7CCC505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77421CA5" w14:textId="77777777">
        <w:trPr>
          <w:trHeight w:val="230"/>
        </w:trPr>
        <w:tc>
          <w:tcPr>
            <w:tcW w:w="634" w:type="dxa"/>
          </w:tcPr>
          <w:p w14:paraId="37ECB4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w:t>
            </w:r>
          </w:p>
        </w:tc>
        <w:tc>
          <w:tcPr>
            <w:tcW w:w="3648" w:type="dxa"/>
          </w:tcPr>
          <w:p w14:paraId="0ED2E0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Шаронаб</w:t>
            </w:r>
            <w:proofErr w:type="spellEnd"/>
            <w:r w:rsidRPr="007122AB">
              <w:rPr>
                <w:rFonts w:ascii="Times New Roman" w:hAnsi="Times New Roman"/>
                <w:color w:val="000000" w:themeColor="text1"/>
                <w:sz w:val="16"/>
                <w:szCs w:val="16"/>
              </w:rPr>
              <w:t>.</w:t>
            </w:r>
          </w:p>
        </w:tc>
        <w:tc>
          <w:tcPr>
            <w:tcW w:w="1814" w:type="dxa"/>
          </w:tcPr>
          <w:p w14:paraId="4B0E1B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1A89B7F0" w14:textId="77777777">
        <w:trPr>
          <w:trHeight w:val="202"/>
        </w:trPr>
        <w:tc>
          <w:tcPr>
            <w:tcW w:w="634" w:type="dxa"/>
            <w:tcBorders>
              <w:bottom w:val="single" w:sz="12" w:space="0" w:color="auto"/>
            </w:tcBorders>
          </w:tcPr>
          <w:p w14:paraId="3E51DE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8" w:type="dxa"/>
            <w:tcBorders>
              <w:bottom w:val="single" w:sz="12" w:space="0" w:color="auto"/>
            </w:tcBorders>
          </w:tcPr>
          <w:p w14:paraId="65D778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814" w:type="dxa"/>
            <w:tcBorders>
              <w:bottom w:val="single" w:sz="12" w:space="0" w:color="auto"/>
            </w:tcBorders>
          </w:tcPr>
          <w:p w14:paraId="162813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624</w:t>
            </w:r>
          </w:p>
        </w:tc>
      </w:tr>
    </w:tbl>
    <w:p w14:paraId="306245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Организационные формы работы завкомов. Несмот</w:t>
      </w:r>
      <w:r w:rsidRPr="007122AB">
        <w:rPr>
          <w:rFonts w:ascii="Times New Roman" w:hAnsi="Times New Roman"/>
          <w:color w:val="000000" w:themeColor="text1"/>
          <w:sz w:val="16"/>
          <w:szCs w:val="16"/>
        </w:rPr>
        <w:softHyphen/>
        <w:t>ря на директивы ЦК ВКП(б) и ЦК союза о выделении иностранцев, на большинстве заводов такие работники не вы</w:t>
      </w:r>
      <w:r w:rsidRPr="007122AB">
        <w:rPr>
          <w:rFonts w:ascii="Times New Roman" w:hAnsi="Times New Roman"/>
          <w:color w:val="000000" w:themeColor="text1"/>
          <w:sz w:val="16"/>
          <w:szCs w:val="16"/>
        </w:rPr>
        <w:softHyphen/>
        <w:t xml:space="preserve">делены и работа эта возлагается на </w:t>
      </w:r>
      <w:proofErr w:type="spellStart"/>
      <w:r w:rsidRPr="007122AB">
        <w:rPr>
          <w:rFonts w:ascii="Times New Roman" w:hAnsi="Times New Roman"/>
          <w:color w:val="000000" w:themeColor="text1"/>
          <w:sz w:val="16"/>
          <w:szCs w:val="16"/>
        </w:rPr>
        <w:t>культсектор</w:t>
      </w:r>
      <w:proofErr w:type="spellEnd"/>
      <w:r w:rsidRPr="007122AB">
        <w:rPr>
          <w:rFonts w:ascii="Times New Roman" w:hAnsi="Times New Roman"/>
          <w:color w:val="000000" w:themeColor="text1"/>
          <w:sz w:val="16"/>
          <w:szCs w:val="16"/>
        </w:rPr>
        <w:t>, МОП? и т.п., а на заводах, где такие работники имеются, там организовано так называемое «интернациональное бю</w:t>
      </w:r>
      <w:r w:rsidRPr="007122AB">
        <w:rPr>
          <w:rFonts w:ascii="Times New Roman" w:hAnsi="Times New Roman"/>
          <w:color w:val="000000" w:themeColor="text1"/>
          <w:sz w:val="16"/>
          <w:szCs w:val="16"/>
        </w:rPr>
        <w:softHyphen/>
        <w:t>ро», на которые завкомами возлагается вся работа среди иностранцев. Сектора завкомов и завкомы в целом этой работой руководят крайне слабо или вовсе не руководят. Вследствие этого в интернациональных бюро намети</w:t>
      </w:r>
      <w:r w:rsidRPr="007122AB">
        <w:rPr>
          <w:rFonts w:ascii="Times New Roman" w:hAnsi="Times New Roman"/>
          <w:color w:val="000000" w:themeColor="text1"/>
          <w:sz w:val="16"/>
          <w:szCs w:val="16"/>
        </w:rPr>
        <w:softHyphen/>
        <w:t>лась тенденция к организационному обособлению этой работы, что в свою очередь приводит к изоляции иност</w:t>
      </w:r>
      <w:r w:rsidRPr="007122AB">
        <w:rPr>
          <w:rFonts w:ascii="Times New Roman" w:hAnsi="Times New Roman"/>
          <w:color w:val="000000" w:themeColor="text1"/>
          <w:sz w:val="16"/>
          <w:szCs w:val="16"/>
        </w:rPr>
        <w:softHyphen/>
        <w:t>ранцев от общезаводской производственной и обще</w:t>
      </w:r>
      <w:r w:rsidRPr="007122AB">
        <w:rPr>
          <w:rFonts w:ascii="Times New Roman" w:hAnsi="Times New Roman"/>
          <w:color w:val="000000" w:themeColor="text1"/>
          <w:sz w:val="16"/>
          <w:szCs w:val="16"/>
        </w:rPr>
        <w:softHyphen/>
        <w:t>ственно-политической жизни. Такое положение под</w:t>
      </w:r>
      <w:r w:rsidRPr="007122AB">
        <w:rPr>
          <w:rFonts w:ascii="Times New Roman" w:hAnsi="Times New Roman"/>
          <w:color w:val="000000" w:themeColor="text1"/>
          <w:sz w:val="16"/>
          <w:szCs w:val="16"/>
        </w:rPr>
        <w:softHyphen/>
        <w:t>тверждается следующими характерными фактами:</w:t>
      </w:r>
    </w:p>
    <w:p w14:paraId="4505E5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на СТЗ до приезда бригады ВЦСПС и ЦК союза существовали самостоятельная ИТС, так называемый «</w:t>
      </w:r>
      <w:proofErr w:type="spellStart"/>
      <w:r w:rsidRPr="007122AB">
        <w:rPr>
          <w:rFonts w:ascii="Times New Roman" w:hAnsi="Times New Roman"/>
          <w:color w:val="000000" w:themeColor="text1"/>
          <w:sz w:val="16"/>
          <w:szCs w:val="16"/>
        </w:rPr>
        <w:t>культтех</w:t>
      </w:r>
      <w:proofErr w:type="spellEnd"/>
      <w:r w:rsidRPr="007122AB">
        <w:rPr>
          <w:rFonts w:ascii="Times New Roman" w:hAnsi="Times New Roman"/>
          <w:color w:val="000000" w:themeColor="text1"/>
          <w:sz w:val="16"/>
          <w:szCs w:val="16"/>
        </w:rPr>
        <w:t>», свой бриз «техком» и самостоятельное произ</w:t>
      </w:r>
      <w:r w:rsidRPr="007122AB">
        <w:rPr>
          <w:rFonts w:ascii="Times New Roman" w:hAnsi="Times New Roman"/>
          <w:color w:val="000000" w:themeColor="text1"/>
          <w:sz w:val="16"/>
          <w:szCs w:val="16"/>
        </w:rPr>
        <w:softHyphen/>
        <w:t>водственное совещание;</w:t>
      </w:r>
    </w:p>
    <w:p w14:paraId="0E54C5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на «Красном Октябре» и по настоящее время суще</w:t>
      </w:r>
      <w:r w:rsidRPr="007122AB">
        <w:rPr>
          <w:rFonts w:ascii="Times New Roman" w:hAnsi="Times New Roman"/>
          <w:color w:val="000000" w:themeColor="text1"/>
          <w:sz w:val="16"/>
          <w:szCs w:val="16"/>
        </w:rPr>
        <w:softHyphen/>
        <w:t>ствует самостоятельное производственное совещание;</w:t>
      </w:r>
    </w:p>
    <w:p w14:paraId="6522AD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 ХТЗ получен запрос об организации самостоятель</w:t>
      </w:r>
      <w:r w:rsidRPr="007122AB">
        <w:rPr>
          <w:rFonts w:ascii="Times New Roman" w:hAnsi="Times New Roman"/>
          <w:color w:val="000000" w:themeColor="text1"/>
          <w:sz w:val="16"/>
          <w:szCs w:val="16"/>
        </w:rPr>
        <w:softHyphen/>
        <w:t>ного производственного совещания, якобы по настоянию самих иностранцев.</w:t>
      </w:r>
    </w:p>
    <w:p w14:paraId="7E5EA2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общие производственные совещания иностранные рабочие и специалисты вовлекаются очень слабо, а на крупнейших заводах, кроме ХТЗ, а в последнее время на СТЗ, вовсе не вовлекаются[...]</w:t>
      </w:r>
    </w:p>
    <w:p w14:paraId="0F99B3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ГАРФ. Ф. 7678. Оп. 1. Д. 172. Л. 2021. (10737).</w:t>
      </w:r>
    </w:p>
    <w:p w14:paraId="1674D6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66FA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октября 1931 года по фосгену плановые мощности должны были составить 10 000 тонн (9633).</w:t>
      </w:r>
    </w:p>
    <w:p w14:paraId="58B23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F93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октября 1931 г. вступила в строй фабрика кинопленки № 6 (Завод № 3 ГУАП, Фабрика кинопленки № 6, ПО «Свема», Арендное предприятие «ПО «Свема», ОАО «Акционерная компания (АК) «Свема» /Украина 41102 г. Шостка Сумской обл. ул. Гагарина, 1 тел. (05449) 22-125), которая строилась под руководством французской фирмы «Люмьер».</w:t>
      </w:r>
    </w:p>
    <w:p w14:paraId="3FA752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на месте фабрики кинопленки № 6 создан завод № 3 ГУАП, далее- ПО «Свема» («Светочувствительные материалы»).</w:t>
      </w:r>
    </w:p>
    <w:p w14:paraId="111580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«Свема» было ведущим в стране по производству кинофотоматериалов.</w:t>
      </w:r>
    </w:p>
    <w:p w14:paraId="00EB9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кино-, фото- и рентгеновская пленка, магнитная лента для аудио- и видеозаписи, для вычислительной техники; пленка для оборонной промышленности и космических исследований; фотобумага спецназначения; композиционные материалы на основе клейких лент, клейкие ленты; полиграфические краски; желатин.</w:t>
      </w:r>
    </w:p>
    <w:p w14:paraId="6953CE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составе предприятия: около 200 производственных корпусов, в т.ч. производства: лавсана, двуокиси хрома; цеха: изготовления магнитных лент, по производству пленок «</w:t>
      </w:r>
      <w:proofErr w:type="spellStart"/>
      <w:r w:rsidRPr="007122AB">
        <w:rPr>
          <w:rFonts w:ascii="Times New Roman" w:hAnsi="Times New Roman"/>
          <w:color w:val="000000" w:themeColor="text1"/>
          <w:sz w:val="16"/>
          <w:szCs w:val="16"/>
        </w:rPr>
        <w:t>Гидрофот</w:t>
      </w:r>
      <w:proofErr w:type="spellEnd"/>
      <w:r w:rsidRPr="007122AB">
        <w:rPr>
          <w:rFonts w:ascii="Times New Roman" w:hAnsi="Times New Roman"/>
          <w:color w:val="000000" w:themeColor="text1"/>
          <w:sz w:val="16"/>
          <w:szCs w:val="16"/>
        </w:rPr>
        <w:t>», полиграфических красок, обработки кинопленки, обработки (полива), ремонтно-строительный, электроцех; отделения: тарно-штамповочное, тарное, столярное; КБ; имелась вспомогательная база по изготовлению инструмента, технологической оснастки, нестандартного оборудования, упаковки и полиграфической продукции.</w:t>
      </w:r>
    </w:p>
    <w:p w14:paraId="4F1A1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2001 г.- АП «ПО «Свема» в ведении Министерства Промышленности Украины. С 1.09.2001 г. возобновлено производство, предприятие включено перечень стратегических. В 2003г. начата процедура банкротства предприятия, в 2004г. - санации.</w:t>
      </w:r>
    </w:p>
    <w:p w14:paraId="36D762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территории: (2000-е)- более 230 га.</w:t>
      </w:r>
    </w:p>
    <w:p w14:paraId="7FE57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(конец 1980-х)- около 12 тыс. чел., (2000-е)- более 1200 чел., (2007г.)- 650 чел.</w:t>
      </w:r>
    </w:p>
    <w:p w14:paraId="22563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Управляющий санацией (2000-е)- СЛ. Истомин.</w:t>
      </w:r>
    </w:p>
    <w:p w14:paraId="5FE85B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Исполнительный директор по инвестициям (2000-е)- А.А. Баженов.</w:t>
      </w:r>
    </w:p>
    <w:p w14:paraId="6FF84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магнитные ленты: для звукозаписи А 3901, А 4620; для видеозаписи Т 4412, Т 4314, Т 4217; для точной магнитной записи И 4404, И 4406, И 4605, И 4606, И 4315, И 4333, И 4334, И 4335, И 4336, И 4218, В 5420; кинопленка А-2Ш, НК-2Ш; звуковая пленка ЗТ-8, позитивная пленка МЗ-З; пленка для микрофильмирования «</w:t>
      </w:r>
      <w:proofErr w:type="spellStart"/>
      <w:r w:rsidRPr="007122AB">
        <w:rPr>
          <w:rFonts w:ascii="Times New Roman" w:hAnsi="Times New Roman"/>
          <w:color w:val="000000" w:themeColor="text1"/>
          <w:sz w:val="16"/>
          <w:szCs w:val="16"/>
        </w:rPr>
        <w:t>Микрат</w:t>
      </w:r>
      <w:proofErr w:type="spellEnd"/>
      <w:r w:rsidRPr="007122AB">
        <w:rPr>
          <w:rFonts w:ascii="Times New Roman" w:hAnsi="Times New Roman"/>
          <w:color w:val="000000" w:themeColor="text1"/>
          <w:sz w:val="16"/>
          <w:szCs w:val="16"/>
        </w:rPr>
        <w:t xml:space="preserve">» НМ-1, ПМ-1; рентгеновские медицинские и технические пленки; липкая лента; калька, </w:t>
      </w:r>
      <w:proofErr w:type="spellStart"/>
      <w:r w:rsidRPr="007122AB">
        <w:rPr>
          <w:rFonts w:ascii="Times New Roman" w:hAnsi="Times New Roman"/>
          <w:color w:val="000000" w:themeColor="text1"/>
          <w:sz w:val="16"/>
          <w:szCs w:val="16"/>
        </w:rPr>
        <w:t>фотоконт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диаконт</w:t>
      </w:r>
      <w:proofErr w:type="spellEnd"/>
      <w:r w:rsidRPr="007122AB">
        <w:rPr>
          <w:rFonts w:ascii="Times New Roman" w:hAnsi="Times New Roman"/>
          <w:color w:val="000000" w:themeColor="text1"/>
          <w:sz w:val="16"/>
          <w:szCs w:val="16"/>
        </w:rPr>
        <w:t xml:space="preserve"> (11982).</w:t>
      </w:r>
    </w:p>
    <w:p w14:paraId="230E8C1D" w14:textId="77777777" w:rsidR="005C4849" w:rsidRPr="007122AB" w:rsidRDefault="005C4849" w:rsidP="007122AB">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0021F6B3" w14:textId="77777777" w:rsidR="005B4A49" w:rsidRPr="007122AB" w:rsidRDefault="005B4A49"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 октября </w:t>
      </w:r>
      <w:r w:rsidRPr="007122AB">
        <w:rPr>
          <w:rFonts w:ascii="Times New Roman" w:hAnsi="Times New Roman"/>
          <w:color w:val="000000" w:themeColor="text1"/>
          <w:sz w:val="16"/>
          <w:szCs w:val="16"/>
        </w:rPr>
        <w:t>в 1931 году на производственных площадях красильно-отделочной фабрики имени газеты "Правда" во Владимире был организован химический завод. Ныне — акционерное общество "ВХЗ" — один из лидеров отечественной химической промышленности</w:t>
      </w:r>
    </w:p>
    <w:p w14:paraId="3201F36A" w14:textId="77777777" w:rsidR="005B4A49" w:rsidRPr="007122AB" w:rsidRDefault="005B4A49" w:rsidP="007122AB">
      <w:pPr>
        <w:spacing w:after="0" w:line="240" w:lineRule="auto"/>
        <w:jc w:val="both"/>
        <w:rPr>
          <w:rFonts w:ascii="Times New Roman" w:hAnsi="Times New Roman"/>
          <w:color w:val="000000" w:themeColor="text1"/>
          <w:sz w:val="16"/>
          <w:szCs w:val="16"/>
        </w:rPr>
      </w:pPr>
    </w:p>
    <w:p w14:paraId="0FE400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октября 1931 г. вступила в строй Сталинградская судоверфь (Завод № 264 НКСП, НКТП, </w:t>
      </w:r>
      <w:proofErr w:type="spellStart"/>
      <w:r w:rsidRPr="007122AB">
        <w:rPr>
          <w:rFonts w:ascii="Times New Roman" w:hAnsi="Times New Roman"/>
          <w:color w:val="000000" w:themeColor="text1"/>
          <w:sz w:val="16"/>
          <w:szCs w:val="16"/>
        </w:rPr>
        <w:t>Сарептская</w:t>
      </w:r>
      <w:proofErr w:type="spellEnd"/>
      <w:r w:rsidRPr="007122AB">
        <w:rPr>
          <w:rFonts w:ascii="Times New Roman" w:hAnsi="Times New Roman"/>
          <w:color w:val="000000" w:themeColor="text1"/>
          <w:sz w:val="16"/>
          <w:szCs w:val="16"/>
        </w:rPr>
        <w:t xml:space="preserve"> верфь, Сталинградская судоверфь МРФ, ОАО «Волгоградский судостроительный завод» (</w:t>
      </w:r>
      <w:proofErr w:type="spellStart"/>
      <w:r w:rsidRPr="007122AB">
        <w:rPr>
          <w:rFonts w:ascii="Times New Roman" w:hAnsi="Times New Roman"/>
          <w:color w:val="000000" w:themeColor="text1"/>
          <w:sz w:val="16"/>
          <w:szCs w:val="16"/>
        </w:rPr>
        <w:t>ВгСЗ</w:t>
      </w:r>
      <w:proofErr w:type="spellEnd"/>
      <w:r w:rsidRPr="007122AB">
        <w:rPr>
          <w:rFonts w:ascii="Times New Roman" w:hAnsi="Times New Roman"/>
          <w:color w:val="000000" w:themeColor="text1"/>
          <w:sz w:val="16"/>
          <w:szCs w:val="16"/>
        </w:rPr>
        <w:t>) /г. Сарепта,  г. Красноармейск Сталинградской обл./ /400024 (400112)  г. Волгоград ул. Арсеньева, 2/), которая строилась как одна из 517 ударных строек 1-й Пятилетки в ведении «</w:t>
      </w:r>
      <w:proofErr w:type="spellStart"/>
      <w:r w:rsidRPr="007122AB">
        <w:rPr>
          <w:rFonts w:ascii="Times New Roman" w:hAnsi="Times New Roman"/>
          <w:color w:val="000000" w:themeColor="text1"/>
          <w:sz w:val="16"/>
          <w:szCs w:val="16"/>
        </w:rPr>
        <w:t>Речсоюзверфи</w:t>
      </w:r>
      <w:proofErr w:type="spellEnd"/>
      <w:r w:rsidRPr="007122AB">
        <w:rPr>
          <w:rFonts w:ascii="Times New Roman" w:hAnsi="Times New Roman"/>
          <w:color w:val="000000" w:themeColor="text1"/>
          <w:sz w:val="16"/>
          <w:szCs w:val="16"/>
        </w:rPr>
        <w:t>» (это официальный день рождения завода). С 1932 г. на заводе начато внедрение электросварки, создан электросварочный цех. В 1935 г. спущено на воду первое судно - металлическая бензоналивная баржа «Нева». Затем начато строительство бронекатеров. В 1939 г. введены в строй прессовый, сборочный, корпусно-сварочный цеха.</w:t>
      </w:r>
    </w:p>
    <w:p w14:paraId="38FF9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Сталинградская верфь получила литерный № 264, в 1939 г. передана в ведение НКСП, после образования НКТП завод передан в его ведение.</w:t>
      </w:r>
    </w:p>
    <w:p w14:paraId="3F88B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7122AB">
        <w:rPr>
          <w:rFonts w:ascii="Times New Roman" w:hAnsi="Times New Roman"/>
          <w:color w:val="000000" w:themeColor="text1"/>
          <w:sz w:val="16"/>
          <w:szCs w:val="16"/>
          <w:vertAlign w:val="superscript"/>
        </w:rPr>
        <w:t>96</w:t>
      </w:r>
      <w:r w:rsidRPr="007122AB">
        <w:rPr>
          <w:rFonts w:ascii="Times New Roman" w:hAnsi="Times New Roman"/>
          <w:color w:val="000000" w:themeColor="text1"/>
          <w:sz w:val="16"/>
          <w:szCs w:val="16"/>
        </w:rPr>
        <w:t xml:space="preserve"> С 05.1941 г. начат выпуск корпусов и башен танков Т-34 для СТЗ. Пост. СНК № 1216-502сс/оп от 5.05.1941 г. заводу утвержден план выпуска 450 корпусов и башен Т-34 на 1941 г. В мае изготовлено 6, а в сентябре- 65 корпусов.</w:t>
      </w:r>
      <w:r w:rsidRPr="007122AB">
        <w:rPr>
          <w:rFonts w:ascii="Times New Roman" w:hAnsi="Times New Roman"/>
          <w:color w:val="000000" w:themeColor="text1"/>
          <w:sz w:val="16"/>
          <w:szCs w:val="16"/>
          <w:vertAlign w:val="superscript"/>
        </w:rPr>
        <w:t>128</w:t>
      </w:r>
      <w:r w:rsidRPr="007122AB">
        <w:rPr>
          <w:rFonts w:ascii="Times New Roman" w:hAnsi="Times New Roman"/>
          <w:color w:val="000000" w:themeColor="text1"/>
          <w:sz w:val="16"/>
          <w:szCs w:val="16"/>
        </w:rPr>
        <w:t xml:space="preserve"> В 08.1941 г. велось дополнительное бронирование танков Т-34 (дополнительная броня наваривалась сверху на основную). Изготовлял также артиллерийские снаряды.</w:t>
      </w:r>
    </w:p>
    <w:p w14:paraId="7B469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09.1941 г. на завод эвакуировано танковое производство ХТЗ. В 12.1941 г. начат выпуск танков Т-60, до конца года сдано 53 машины.</w:t>
      </w:r>
    </w:p>
    <w:p w14:paraId="5E5365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Сюда в 1941 г. эвакуирована часть завода № 190 НКСП.</w:t>
      </w:r>
    </w:p>
    <w:p w14:paraId="40730E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распоряжением ГКО № 901 от 15.11.1941 г. с завода на завод № 221 передана часть станков для увеличения производства артиллерии и минометов. В период Сталинградской битвы завод был единственным действующим предприятием города. В соответствии с пост. ГКО № 2059 от 16.07.1942 г. завод эвакуирован в Барнаул (возможно, на завод № 77); задел по корпусам и агрегатам танков Т-60 и Т-70 эвакуирован на ГАЗ. 18.08.1942 г. вышло постановление ГКО № 2182 о неотложных мерах помощи заводу № 264 НКТП.</w:t>
      </w:r>
    </w:p>
    <w:p w14:paraId="190034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3230 от 22.04.1943 г. начато восстановление завода № 264 НКТП на прежнем месте; ЗОЛ 1.1943 г. вышло распоряжение ГКО № 4706 о мерах по восстановлению завода, строился в 1949 г.</w:t>
      </w:r>
    </w:p>
    <w:p w14:paraId="37EE7A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52EC7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541FD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это ОАО «Волгоградский судостроительный завод».</w:t>
      </w:r>
    </w:p>
    <w:p w14:paraId="649BF1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4D858E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площадке завода располагались (2007 г.) спецпроизводства по выпуску БМД-3.</w:t>
      </w:r>
    </w:p>
    <w:p w14:paraId="17C29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(ВОВ)-  Г. Суворов, (ВОВ)- В. Фомин. Гендиректор (-2003-05 г.)- А. Литра, (2005-07 г.)- В. </w:t>
      </w:r>
      <w:proofErr w:type="spellStart"/>
      <w:r w:rsidRPr="007122AB">
        <w:rPr>
          <w:rFonts w:ascii="Times New Roman" w:hAnsi="Times New Roman"/>
          <w:color w:val="000000" w:themeColor="text1"/>
          <w:sz w:val="16"/>
          <w:szCs w:val="16"/>
        </w:rPr>
        <w:t>Прудыус</w:t>
      </w:r>
      <w:proofErr w:type="spellEnd"/>
      <w:r w:rsidRPr="007122AB">
        <w:rPr>
          <w:rFonts w:ascii="Times New Roman" w:hAnsi="Times New Roman"/>
          <w:color w:val="000000" w:themeColor="text1"/>
          <w:sz w:val="16"/>
          <w:szCs w:val="16"/>
        </w:rPr>
        <w:t>, (2007 г.-)- И. Глушаков.</w:t>
      </w:r>
    </w:p>
    <w:p w14:paraId="1FFF2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(1970-е)- М.Н. Чемоданов.</w:t>
      </w:r>
    </w:p>
    <w:p w14:paraId="19BCD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 баржи:</w:t>
      </w:r>
      <w:r w:rsidRPr="007122AB">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7122AB">
        <w:rPr>
          <w:rFonts w:ascii="Times New Roman" w:hAnsi="Times New Roman"/>
          <w:iCs/>
          <w:color w:val="000000" w:themeColor="text1"/>
          <w:sz w:val="16"/>
          <w:szCs w:val="16"/>
        </w:rPr>
        <w:t xml:space="preserve"> танкеры:</w:t>
      </w:r>
      <w:r w:rsidRPr="007122AB">
        <w:rPr>
          <w:rFonts w:ascii="Times New Roman" w:hAnsi="Times New Roman"/>
          <w:color w:val="000000" w:themeColor="text1"/>
          <w:sz w:val="16"/>
          <w:szCs w:val="16"/>
        </w:rPr>
        <w:t xml:space="preserve"> речные пр. 587 «Лось» (1958), река-море пр. 558 «Великий», пр. 1577 «</w:t>
      </w:r>
      <w:proofErr w:type="spellStart"/>
      <w:r w:rsidRPr="007122AB">
        <w:rPr>
          <w:rFonts w:ascii="Times New Roman" w:hAnsi="Times New Roman"/>
          <w:color w:val="000000" w:themeColor="text1"/>
          <w:sz w:val="16"/>
          <w:szCs w:val="16"/>
        </w:rPr>
        <w:t>Волгонефть</w:t>
      </w:r>
      <w:proofErr w:type="spellEnd"/>
      <w:r w:rsidRPr="007122AB">
        <w:rPr>
          <w:rFonts w:ascii="Times New Roman" w:hAnsi="Times New Roman"/>
          <w:color w:val="000000" w:themeColor="text1"/>
          <w:sz w:val="16"/>
          <w:szCs w:val="16"/>
        </w:rPr>
        <w:t>» (1963-2002)-140; пр. 1677М «Олег Кошевой» (1979-89)- 16; СРТ пр. 502 типа «Маяк» (1960-е-73); траулер-сейнер пр. 503 типа «Альпинист» (1979-80-е)- 180;</w:t>
      </w:r>
      <w:r w:rsidRPr="007122AB">
        <w:rPr>
          <w:rFonts w:ascii="Times New Roman" w:hAnsi="Times New Roman"/>
          <w:iCs/>
          <w:color w:val="000000" w:themeColor="text1"/>
          <w:sz w:val="16"/>
          <w:szCs w:val="16"/>
        </w:rPr>
        <w:t xml:space="preserve"> сухогрузы:</w:t>
      </w:r>
      <w:r w:rsidRPr="007122AB">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7122AB">
        <w:rPr>
          <w:rFonts w:ascii="Times New Roman" w:hAnsi="Times New Roman"/>
          <w:color w:val="000000" w:themeColor="text1"/>
          <w:sz w:val="16"/>
          <w:szCs w:val="16"/>
          <w:lang w:val="en-US"/>
        </w:rPr>
        <w:t>RSD</w:t>
      </w:r>
      <w:r w:rsidRPr="007122AB">
        <w:rPr>
          <w:rFonts w:ascii="Times New Roman" w:hAnsi="Times New Roman"/>
          <w:color w:val="000000" w:themeColor="text1"/>
          <w:sz w:val="16"/>
          <w:szCs w:val="16"/>
        </w:rPr>
        <w:t>05 для Азербайджана "</w:t>
      </w:r>
      <w:proofErr w:type="spellStart"/>
      <w:r w:rsidRPr="007122AB">
        <w:rPr>
          <w:rFonts w:ascii="Times New Roman" w:hAnsi="Times New Roman"/>
          <w:color w:val="000000" w:themeColor="text1"/>
          <w:sz w:val="16"/>
          <w:szCs w:val="16"/>
          <w:lang w:val="en-US"/>
        </w:rPr>
        <w:t>HeidarAliyev</w:t>
      </w:r>
      <w:proofErr w:type="spellEnd"/>
      <w:r w:rsidRPr="007122AB">
        <w:rPr>
          <w:rFonts w:ascii="Times New Roman" w:hAnsi="Times New Roman"/>
          <w:color w:val="000000" w:themeColor="text1"/>
          <w:sz w:val="16"/>
          <w:szCs w:val="16"/>
        </w:rPr>
        <w:t>" (2003-04), "</w:t>
      </w:r>
      <w:proofErr w:type="spellStart"/>
      <w:r w:rsidRPr="007122AB">
        <w:rPr>
          <w:rFonts w:ascii="Times New Roman" w:hAnsi="Times New Roman"/>
          <w:color w:val="000000" w:themeColor="text1"/>
          <w:sz w:val="16"/>
          <w:szCs w:val="16"/>
          <w:lang w:val="en-US"/>
        </w:rPr>
        <w:t>PalmaliVoyager</w:t>
      </w:r>
      <w:proofErr w:type="spellEnd"/>
      <w:r w:rsidRPr="007122AB">
        <w:rPr>
          <w:rFonts w:ascii="Times New Roman" w:hAnsi="Times New Roman"/>
          <w:color w:val="000000" w:themeColor="text1"/>
          <w:sz w:val="16"/>
          <w:szCs w:val="16"/>
        </w:rPr>
        <w:t>" (2003-04), "</w:t>
      </w:r>
      <w:proofErr w:type="spellStart"/>
      <w:r w:rsidRPr="007122AB">
        <w:rPr>
          <w:rFonts w:ascii="Times New Roman" w:hAnsi="Times New Roman"/>
          <w:color w:val="000000" w:themeColor="text1"/>
          <w:sz w:val="16"/>
          <w:szCs w:val="16"/>
          <w:lang w:val="en-US"/>
        </w:rPr>
        <w:t>IlyasEfendiev</w:t>
      </w:r>
      <w:proofErr w:type="spellEnd"/>
      <w:r w:rsidRPr="007122AB">
        <w:rPr>
          <w:rFonts w:ascii="Times New Roman" w:hAnsi="Times New Roman"/>
          <w:color w:val="000000" w:themeColor="text1"/>
          <w:sz w:val="16"/>
          <w:szCs w:val="16"/>
        </w:rPr>
        <w:t>" (-08.2005), "</w:t>
      </w:r>
      <w:r w:rsidRPr="007122AB">
        <w:rPr>
          <w:rFonts w:ascii="Times New Roman" w:hAnsi="Times New Roman"/>
          <w:color w:val="000000" w:themeColor="text1"/>
          <w:sz w:val="16"/>
          <w:szCs w:val="16"/>
          <w:lang w:val="en-US"/>
        </w:rPr>
        <w:t>Nakhichevan</w:t>
      </w:r>
      <w:r w:rsidRPr="007122AB">
        <w:rPr>
          <w:rFonts w:ascii="Times New Roman" w:hAnsi="Times New Roman"/>
          <w:color w:val="000000" w:themeColor="text1"/>
          <w:sz w:val="16"/>
          <w:szCs w:val="16"/>
        </w:rPr>
        <w:t>" (-10.2005), "</w:t>
      </w:r>
      <w:proofErr w:type="spellStart"/>
      <w:r w:rsidRPr="007122AB">
        <w:rPr>
          <w:rFonts w:ascii="Times New Roman" w:hAnsi="Times New Roman"/>
          <w:color w:val="000000" w:themeColor="text1"/>
          <w:sz w:val="16"/>
          <w:szCs w:val="16"/>
          <w:lang w:val="en-US"/>
        </w:rPr>
        <w:t>ZeynalabdinTagiev</w:t>
      </w:r>
      <w:proofErr w:type="spellEnd"/>
      <w:r w:rsidRPr="007122AB">
        <w:rPr>
          <w:rFonts w:ascii="Times New Roman" w:hAnsi="Times New Roman"/>
          <w:color w:val="000000" w:themeColor="text1"/>
          <w:sz w:val="16"/>
          <w:szCs w:val="16"/>
        </w:rPr>
        <w:t>" (-05.2006), "</w:t>
      </w:r>
      <w:proofErr w:type="spellStart"/>
      <w:r w:rsidRPr="007122AB">
        <w:rPr>
          <w:rFonts w:ascii="Times New Roman" w:hAnsi="Times New Roman"/>
          <w:color w:val="000000" w:themeColor="text1"/>
          <w:sz w:val="16"/>
          <w:szCs w:val="16"/>
          <w:lang w:val="en-US"/>
        </w:rPr>
        <w:t>MirJalalPashajev</w:t>
      </w:r>
      <w:proofErr w:type="spellEnd"/>
      <w:r w:rsidRPr="007122AB">
        <w:rPr>
          <w:rFonts w:ascii="Times New Roman" w:hAnsi="Times New Roman"/>
          <w:color w:val="000000" w:themeColor="text1"/>
          <w:sz w:val="16"/>
          <w:szCs w:val="16"/>
        </w:rPr>
        <w:t xml:space="preserve">" (10.2005-07.2006); большегрузный секционный толкаемый состав (1958); </w:t>
      </w:r>
      <w:proofErr w:type="spellStart"/>
      <w:r w:rsidRPr="007122AB">
        <w:rPr>
          <w:rFonts w:ascii="Times New Roman" w:hAnsi="Times New Roman"/>
          <w:color w:val="000000" w:themeColor="text1"/>
          <w:sz w:val="16"/>
          <w:szCs w:val="16"/>
        </w:rPr>
        <w:t>овощевоз</w:t>
      </w:r>
      <w:proofErr w:type="spellEnd"/>
      <w:r w:rsidRPr="007122AB">
        <w:rPr>
          <w:rFonts w:ascii="Times New Roman" w:hAnsi="Times New Roman"/>
          <w:color w:val="000000" w:themeColor="text1"/>
          <w:sz w:val="16"/>
          <w:szCs w:val="16"/>
        </w:rPr>
        <w:t xml:space="preserve"> пр. 19620 (1983-92)- более 55 (вместе с заводом им. Володарского);</w:t>
      </w:r>
      <w:r w:rsidRPr="007122AB">
        <w:rPr>
          <w:rFonts w:ascii="Times New Roman" w:hAnsi="Times New Roman"/>
          <w:iCs/>
          <w:color w:val="000000" w:themeColor="text1"/>
          <w:sz w:val="16"/>
          <w:szCs w:val="16"/>
        </w:rPr>
        <w:t xml:space="preserve"> танки:</w:t>
      </w:r>
      <w:r w:rsidRPr="007122AB">
        <w:rPr>
          <w:rFonts w:ascii="Times New Roman" w:hAnsi="Times New Roman"/>
          <w:color w:val="000000" w:themeColor="text1"/>
          <w:sz w:val="16"/>
          <w:szCs w:val="16"/>
        </w:rPr>
        <w:t xml:space="preserve"> Т-60 (12.1941-42-)- 830 (по 06.1942), Т-44 (1944- ); корпуса и башни танка Т-34 (1941-).</w:t>
      </w:r>
    </w:p>
    <w:p w14:paraId="7D2E06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завода № 264</w:t>
      </w:r>
    </w:p>
    <w:p w14:paraId="69B69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1959 г. </w:t>
      </w:r>
      <w:proofErr w:type="spellStart"/>
      <w:r w:rsidRPr="007122AB">
        <w:rPr>
          <w:rFonts w:ascii="Times New Roman" w:hAnsi="Times New Roman"/>
          <w:color w:val="000000" w:themeColor="text1"/>
          <w:sz w:val="16"/>
          <w:szCs w:val="16"/>
        </w:rPr>
        <w:t>спроктирован</w:t>
      </w:r>
      <w:proofErr w:type="spellEnd"/>
      <w:r w:rsidRPr="007122AB">
        <w:rPr>
          <w:rFonts w:ascii="Times New Roman" w:hAnsi="Times New Roman"/>
          <w:color w:val="000000" w:themeColor="text1"/>
          <w:sz w:val="16"/>
          <w:szCs w:val="16"/>
        </w:rPr>
        <w:t xml:space="preserve"> крупнейший в мире речной танкер грузоподъемностью 5000 т пр. 558.</w:t>
      </w:r>
    </w:p>
    <w:p w14:paraId="1C65D2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(-1968-70-е)- М.Н. Чемоданов (пр. 1577, 1677М).</w:t>
      </w:r>
    </w:p>
    <w:p w14:paraId="0941C8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конструкторы: (1959 г.)- П.М. Кожевников (пр. 558, 587).</w:t>
      </w:r>
    </w:p>
    <w:p w14:paraId="3BA6C8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Создано: танкеры:</w:t>
      </w:r>
      <w:r w:rsidRPr="007122AB">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0873C4D0" w14:textId="77777777" w:rsidR="005B4A49" w:rsidRPr="007122AB" w:rsidRDefault="005B4A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5217D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46930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645ABA" w14:textId="77777777" w:rsidR="00A25E62" w:rsidRPr="007122AB" w:rsidRDefault="00A25E62" w:rsidP="007122AB">
      <w:pPr>
        <w:pStyle w:val="ae"/>
        <w:shd w:val="clear" w:color="auto" w:fill="FFFFFF"/>
        <w:spacing w:before="0" w:after="0"/>
        <w:jc w:val="both"/>
        <w:textAlignment w:val="baseline"/>
        <w:rPr>
          <w:color w:val="000000" w:themeColor="text1"/>
          <w:sz w:val="16"/>
          <w:szCs w:val="16"/>
        </w:rPr>
      </w:pPr>
      <w:r w:rsidRPr="007122AB">
        <w:rPr>
          <w:color w:val="000000" w:themeColor="text1"/>
          <w:sz w:val="16"/>
          <w:szCs w:val="16"/>
        </w:rPr>
        <w:t>К 1 октября 1931 в ВВС насчитывалось уже 54 И-5 (19176).</w:t>
      </w:r>
    </w:p>
    <w:p w14:paraId="3EF977C6" w14:textId="77777777" w:rsidR="00A25E62" w:rsidRPr="007122AB" w:rsidRDefault="00A25E62" w:rsidP="007122AB">
      <w:pPr>
        <w:pStyle w:val="rtecenter"/>
        <w:shd w:val="clear" w:color="auto" w:fill="FFFFFF"/>
        <w:spacing w:before="0" w:after="0"/>
        <w:jc w:val="both"/>
        <w:textAlignment w:val="baseline"/>
        <w:rPr>
          <w:color w:val="000000" w:themeColor="text1"/>
          <w:sz w:val="16"/>
          <w:szCs w:val="16"/>
        </w:rPr>
      </w:pPr>
    </w:p>
    <w:p w14:paraId="0374B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октября 1931 г. в ВВС РККА насчитывалось 54 И-5. К 16 октября в Ленинградском военном округе 1-я эскадрилья имела всего две такие машины, а 11-я - 12. В октябре 1931 г. новый истребитель показали в НИИ ВВС немецкой делегации.</w:t>
      </w:r>
    </w:p>
    <w:p w14:paraId="2FAFA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Распределение И-5 но округам и соединениям ВВС РККА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002C3" w:rsidRPr="007122AB" w14:paraId="64DF147A" w14:textId="77777777">
        <w:tc>
          <w:tcPr>
            <w:tcW w:w="2802" w:type="dxa"/>
            <w:tcBorders>
              <w:top w:val="single" w:sz="12" w:space="0" w:color="auto"/>
            </w:tcBorders>
          </w:tcPr>
          <w:p w14:paraId="00B10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23770E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1.02 .1 932</w:t>
            </w:r>
          </w:p>
        </w:tc>
        <w:tc>
          <w:tcPr>
            <w:tcW w:w="2802" w:type="dxa"/>
            <w:tcBorders>
              <w:top w:val="single" w:sz="12" w:space="0" w:color="auto"/>
            </w:tcBorders>
          </w:tcPr>
          <w:p w14:paraId="296CA0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1Л 2.1933</w:t>
            </w:r>
          </w:p>
        </w:tc>
        <w:tc>
          <w:tcPr>
            <w:tcW w:w="2802" w:type="dxa"/>
            <w:tcBorders>
              <w:top w:val="single" w:sz="12" w:space="0" w:color="auto"/>
            </w:tcBorders>
          </w:tcPr>
          <w:p w14:paraId="4760B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 Л 938</w:t>
            </w:r>
          </w:p>
        </w:tc>
      </w:tr>
      <w:tr w:rsidR="001002C3" w:rsidRPr="007122AB" w14:paraId="39863EE0" w14:textId="77777777">
        <w:tc>
          <w:tcPr>
            <w:tcW w:w="2802" w:type="dxa"/>
          </w:tcPr>
          <w:p w14:paraId="5D2184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2-я армия особого назначения</w:t>
            </w:r>
          </w:p>
        </w:tc>
        <w:tc>
          <w:tcPr>
            <w:tcW w:w="2802" w:type="dxa"/>
          </w:tcPr>
          <w:p w14:paraId="69DF7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BE9BA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0918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r>
      <w:tr w:rsidR="001002C3" w:rsidRPr="007122AB" w14:paraId="129B724A" w14:textId="77777777">
        <w:tc>
          <w:tcPr>
            <w:tcW w:w="2802" w:type="dxa"/>
          </w:tcPr>
          <w:p w14:paraId="6E26F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3-я армия особого назначения</w:t>
            </w:r>
          </w:p>
        </w:tc>
        <w:tc>
          <w:tcPr>
            <w:tcW w:w="2802" w:type="dxa"/>
          </w:tcPr>
          <w:p w14:paraId="680ED0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802" w:type="dxa"/>
          </w:tcPr>
          <w:p w14:paraId="1B616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802" w:type="dxa"/>
          </w:tcPr>
          <w:p w14:paraId="03BD5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1002C3" w:rsidRPr="007122AB" w14:paraId="34F3431D" w14:textId="77777777">
        <w:tc>
          <w:tcPr>
            <w:tcW w:w="2802" w:type="dxa"/>
          </w:tcPr>
          <w:p w14:paraId="707C3A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ОКДВА</w:t>
            </w:r>
          </w:p>
        </w:tc>
        <w:tc>
          <w:tcPr>
            <w:tcW w:w="2802" w:type="dxa"/>
          </w:tcPr>
          <w:p w14:paraId="68CED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2802" w:type="dxa"/>
          </w:tcPr>
          <w:p w14:paraId="61D36E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w:t>
            </w:r>
          </w:p>
        </w:tc>
        <w:tc>
          <w:tcPr>
            <w:tcW w:w="2802" w:type="dxa"/>
          </w:tcPr>
          <w:p w14:paraId="074D2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r>
      <w:tr w:rsidR="001002C3" w:rsidRPr="007122AB" w14:paraId="5D411D04" w14:textId="77777777">
        <w:tc>
          <w:tcPr>
            <w:tcW w:w="2802" w:type="dxa"/>
          </w:tcPr>
          <w:p w14:paraId="73626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Забайкальский военный округ</w:t>
            </w:r>
          </w:p>
        </w:tc>
        <w:tc>
          <w:tcPr>
            <w:tcW w:w="2802" w:type="dxa"/>
          </w:tcPr>
          <w:p w14:paraId="22298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E6623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F5A1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485124E6" w14:textId="77777777">
        <w:tc>
          <w:tcPr>
            <w:tcW w:w="2802" w:type="dxa"/>
          </w:tcPr>
          <w:p w14:paraId="260314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Закавказский военный округ</w:t>
            </w:r>
          </w:p>
        </w:tc>
        <w:tc>
          <w:tcPr>
            <w:tcW w:w="2802" w:type="dxa"/>
          </w:tcPr>
          <w:p w14:paraId="5F24D1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29622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4A71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r>
      <w:tr w:rsidR="001002C3" w:rsidRPr="007122AB" w14:paraId="099213F0" w14:textId="77777777">
        <w:tc>
          <w:tcPr>
            <w:tcW w:w="2802" w:type="dxa"/>
          </w:tcPr>
          <w:p w14:paraId="6C017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Ленинградский военный округ</w:t>
            </w:r>
          </w:p>
        </w:tc>
        <w:tc>
          <w:tcPr>
            <w:tcW w:w="2802" w:type="dxa"/>
          </w:tcPr>
          <w:p w14:paraId="0EC38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802" w:type="dxa"/>
          </w:tcPr>
          <w:p w14:paraId="7EF32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w:t>
            </w:r>
          </w:p>
        </w:tc>
        <w:tc>
          <w:tcPr>
            <w:tcW w:w="2802" w:type="dxa"/>
          </w:tcPr>
          <w:p w14:paraId="50EC05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w:t>
            </w:r>
          </w:p>
        </w:tc>
      </w:tr>
      <w:tr w:rsidR="001002C3" w:rsidRPr="007122AB" w14:paraId="2EDD09EE" w14:textId="77777777">
        <w:tc>
          <w:tcPr>
            <w:tcW w:w="2802" w:type="dxa"/>
          </w:tcPr>
          <w:p w14:paraId="44138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Белорусский военный округ</w:t>
            </w:r>
          </w:p>
        </w:tc>
        <w:tc>
          <w:tcPr>
            <w:tcW w:w="2802" w:type="dxa"/>
          </w:tcPr>
          <w:p w14:paraId="3D2F9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2802" w:type="dxa"/>
          </w:tcPr>
          <w:p w14:paraId="66FE8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2802" w:type="dxa"/>
          </w:tcPr>
          <w:p w14:paraId="4CAD4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w:t>
            </w:r>
          </w:p>
        </w:tc>
      </w:tr>
      <w:tr w:rsidR="001002C3" w:rsidRPr="007122AB" w14:paraId="79760FA2" w14:textId="77777777">
        <w:tc>
          <w:tcPr>
            <w:tcW w:w="2802" w:type="dxa"/>
          </w:tcPr>
          <w:p w14:paraId="70D2CD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Киевский военный округ</w:t>
            </w:r>
          </w:p>
        </w:tc>
        <w:tc>
          <w:tcPr>
            <w:tcW w:w="2802" w:type="dxa"/>
          </w:tcPr>
          <w:p w14:paraId="621C9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2802" w:type="dxa"/>
          </w:tcPr>
          <w:p w14:paraId="7E3FC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01F3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w:t>
            </w:r>
          </w:p>
        </w:tc>
      </w:tr>
      <w:tr w:rsidR="001002C3" w:rsidRPr="007122AB" w14:paraId="5CB62667" w14:textId="77777777">
        <w:tc>
          <w:tcPr>
            <w:tcW w:w="2802" w:type="dxa"/>
          </w:tcPr>
          <w:p w14:paraId="4142B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Краснознаменная Кавказская армия</w:t>
            </w:r>
          </w:p>
        </w:tc>
        <w:tc>
          <w:tcPr>
            <w:tcW w:w="2802" w:type="dxa"/>
          </w:tcPr>
          <w:p w14:paraId="37E87C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D09D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2802" w:type="dxa"/>
          </w:tcPr>
          <w:p w14:paraId="2DA63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208A638" w14:textId="77777777">
        <w:tc>
          <w:tcPr>
            <w:tcW w:w="2802" w:type="dxa"/>
          </w:tcPr>
          <w:p w14:paraId="52EC3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Морские силы Дальнего Востока</w:t>
            </w:r>
          </w:p>
        </w:tc>
        <w:tc>
          <w:tcPr>
            <w:tcW w:w="2802" w:type="dxa"/>
          </w:tcPr>
          <w:p w14:paraId="4A7540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0F34D2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w:t>
            </w:r>
          </w:p>
        </w:tc>
        <w:tc>
          <w:tcPr>
            <w:tcW w:w="2802" w:type="dxa"/>
          </w:tcPr>
          <w:p w14:paraId="788C1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BCBCD3B" w14:textId="77777777">
        <w:tc>
          <w:tcPr>
            <w:tcW w:w="2802" w:type="dxa"/>
          </w:tcPr>
          <w:p w14:paraId="10DD7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Московский военный округ</w:t>
            </w:r>
          </w:p>
        </w:tc>
        <w:tc>
          <w:tcPr>
            <w:tcW w:w="2802" w:type="dxa"/>
          </w:tcPr>
          <w:p w14:paraId="1A4CE7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35268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2802" w:type="dxa"/>
          </w:tcPr>
          <w:p w14:paraId="5B71E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28B5247B" w14:textId="77777777">
        <w:tc>
          <w:tcPr>
            <w:tcW w:w="2802" w:type="dxa"/>
          </w:tcPr>
          <w:p w14:paraId="148D2A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Приволжский военный округ</w:t>
            </w:r>
          </w:p>
        </w:tc>
        <w:tc>
          <w:tcPr>
            <w:tcW w:w="2802" w:type="dxa"/>
          </w:tcPr>
          <w:p w14:paraId="0698B1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AD401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2802" w:type="dxa"/>
          </w:tcPr>
          <w:p w14:paraId="225B6E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7FCBBC60" w14:textId="77777777">
        <w:tc>
          <w:tcPr>
            <w:tcW w:w="2802" w:type="dxa"/>
          </w:tcPr>
          <w:p w14:paraId="48453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Украинский военный округ</w:t>
            </w:r>
          </w:p>
        </w:tc>
        <w:tc>
          <w:tcPr>
            <w:tcW w:w="2802" w:type="dxa"/>
          </w:tcPr>
          <w:p w14:paraId="233E48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2802" w:type="dxa"/>
          </w:tcPr>
          <w:p w14:paraId="278092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w:t>
            </w:r>
          </w:p>
        </w:tc>
        <w:tc>
          <w:tcPr>
            <w:tcW w:w="2802" w:type="dxa"/>
          </w:tcPr>
          <w:p w14:paraId="0A7684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EDB017C" w14:textId="77777777">
        <w:tc>
          <w:tcPr>
            <w:tcW w:w="2802" w:type="dxa"/>
          </w:tcPr>
          <w:p w14:paraId="4606B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Учебные заведения</w:t>
            </w:r>
          </w:p>
        </w:tc>
        <w:tc>
          <w:tcPr>
            <w:tcW w:w="2802" w:type="dxa"/>
          </w:tcPr>
          <w:p w14:paraId="0B2F30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C571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32E36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154</w:t>
            </w:r>
          </w:p>
        </w:tc>
      </w:tr>
      <w:tr w:rsidR="001002C3" w:rsidRPr="007122AB" w14:paraId="6B1BB9F5" w14:textId="77777777">
        <w:tc>
          <w:tcPr>
            <w:tcW w:w="2802" w:type="dxa"/>
            <w:tcBorders>
              <w:bottom w:val="single" w:sz="12" w:space="0" w:color="auto"/>
            </w:tcBorders>
          </w:tcPr>
          <w:p w14:paraId="72D4B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Части центрального подчинения</w:t>
            </w:r>
          </w:p>
        </w:tc>
        <w:tc>
          <w:tcPr>
            <w:tcW w:w="2802" w:type="dxa"/>
            <w:tcBorders>
              <w:bottom w:val="single" w:sz="12" w:space="0" w:color="auto"/>
            </w:tcBorders>
          </w:tcPr>
          <w:p w14:paraId="658538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2802" w:type="dxa"/>
            <w:tcBorders>
              <w:bottom w:val="single" w:sz="12" w:space="0" w:color="auto"/>
            </w:tcBorders>
          </w:tcPr>
          <w:p w14:paraId="42E20F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2802" w:type="dxa"/>
            <w:tcBorders>
              <w:bottom w:val="single" w:sz="12" w:space="0" w:color="auto"/>
            </w:tcBorders>
          </w:tcPr>
          <w:p w14:paraId="7576D6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21B9E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целом лётчики строевых частей хорошо приняли И-5. Очень манёвренный, устойчивый в полёте, послушный в управлении и неприхотливый к взлётным площадкам, он неплохо зарекомендовал себя в первые годы эксплуатации. Из 11-й эскадрильи комиссар написал отзыв: "Будучи прекрасной машиной с точки зрения пилотажных качеств, И-5 внёс подъём в настроение личного состава..."</w:t>
      </w:r>
    </w:p>
    <w:p w14:paraId="7417C5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помучились с самолётом в первые годы немало. В той же 11-й эскадрилье всего за несколько месяцев в полёте разрушились восемь винтов, на посадке сломали десять костылей. Из-за плохого качества резины деформировались амортизаторы шасси. На </w:t>
      </w:r>
      <w:proofErr w:type="spellStart"/>
      <w:r w:rsidRPr="007122AB">
        <w:rPr>
          <w:rFonts w:ascii="Times New Roman" w:hAnsi="Times New Roman"/>
          <w:color w:val="000000" w:themeColor="text1"/>
          <w:sz w:val="16"/>
          <w:szCs w:val="16"/>
        </w:rPr>
        <w:t>раскапотирование</w:t>
      </w:r>
      <w:proofErr w:type="spellEnd"/>
      <w:r w:rsidRPr="007122AB">
        <w:rPr>
          <w:rFonts w:ascii="Times New Roman" w:hAnsi="Times New Roman"/>
          <w:color w:val="000000" w:themeColor="text1"/>
          <w:sz w:val="16"/>
          <w:szCs w:val="16"/>
        </w:rPr>
        <w:t xml:space="preserve"> мотора поначалу тратили до 40 минут (11997).</w:t>
      </w:r>
    </w:p>
    <w:p w14:paraId="4EFF54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66006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829B8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3A05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октября 1933 года Политбюро ЦК ВКП(б) разрешает </w:t>
      </w:r>
      <w:proofErr w:type="spellStart"/>
      <w:r w:rsidRPr="007122AB">
        <w:rPr>
          <w:rFonts w:ascii="Times New Roman" w:hAnsi="Times New Roman"/>
          <w:color w:val="000000" w:themeColor="text1"/>
          <w:sz w:val="16"/>
          <w:szCs w:val="16"/>
        </w:rPr>
        <w:t>Донобкому</w:t>
      </w:r>
      <w:proofErr w:type="spellEnd"/>
      <w:r w:rsidRPr="007122AB">
        <w:rPr>
          <w:rFonts w:ascii="Times New Roman" w:hAnsi="Times New Roman"/>
          <w:color w:val="000000" w:themeColor="text1"/>
          <w:sz w:val="16"/>
          <w:szCs w:val="16"/>
        </w:rPr>
        <w:t xml:space="preserve"> организовать показательные процессы в шахтах Щеглова 8/9 и </w:t>
      </w:r>
      <w:proofErr w:type="spellStart"/>
      <w:r w:rsidRPr="007122AB">
        <w:rPr>
          <w:rFonts w:ascii="Times New Roman" w:hAnsi="Times New Roman"/>
          <w:color w:val="000000" w:themeColor="text1"/>
          <w:sz w:val="16"/>
          <w:szCs w:val="16"/>
        </w:rPr>
        <w:t>Юнхоме</w:t>
      </w:r>
      <w:proofErr w:type="spellEnd"/>
      <w:r w:rsidRPr="007122AB">
        <w:rPr>
          <w:rFonts w:ascii="Times New Roman" w:hAnsi="Times New Roman"/>
          <w:color w:val="000000" w:themeColor="text1"/>
          <w:sz w:val="16"/>
          <w:szCs w:val="16"/>
        </w:rPr>
        <w:t xml:space="preserve"> над виновниками умышленной приписки угледобычи с применением к ним закона от 7 августа 1932 года (11248).</w:t>
      </w:r>
    </w:p>
    <w:p w14:paraId="38C7E4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99E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в СССР (в Ленинграде) начались регулярные телепередачи (3263,555).</w:t>
      </w:r>
    </w:p>
    <w:p w14:paraId="159CD4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B2BAB3" w14:textId="77777777" w:rsidR="0051599D" w:rsidRPr="007122AB" w:rsidRDefault="0051599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года в СССР начались регулярные телепередачи. Начало отечественного телевидения. А 1 октября 1967 г. Центральное телевидение СССР начало трансляцию программ в цветном изображении (21166).</w:t>
      </w:r>
    </w:p>
    <w:p w14:paraId="21B15AF7" w14:textId="77777777" w:rsidR="0051599D" w:rsidRPr="007122AB" w:rsidRDefault="0051599D" w:rsidP="007122AB">
      <w:pPr>
        <w:spacing w:after="0" w:line="240" w:lineRule="auto"/>
        <w:jc w:val="both"/>
        <w:rPr>
          <w:rFonts w:ascii="Times New Roman" w:hAnsi="Times New Roman"/>
          <w:color w:val="000000" w:themeColor="text1"/>
          <w:sz w:val="16"/>
          <w:szCs w:val="16"/>
        </w:rPr>
      </w:pPr>
    </w:p>
    <w:p w14:paraId="3C9C1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 Начало регулярных опытных передач из Москвы по оптико-механической системе с использованием телепередатчика (ТВ-камеры) «бегущего луча» Из МРТУ (Никольская ул., 7). Передачи изображения через радиостанцию МОСПС (волна 379 м) и звука через опытный передатчик (волна 720 м). В основном передачи шли без звука из затемненной студии, так как применялся телепередатчик «бегущего луча» (11482).</w:t>
      </w:r>
    </w:p>
    <w:p w14:paraId="4B67E5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E58D2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064F6E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8461FA" w14:textId="77777777" w:rsidR="0051599D" w:rsidRPr="007122AB" w:rsidRDefault="0051599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KLM начинает регулярное сообщение между Амстердамом и Батавией на Fokker F.XII. С 13 744 км (8 540 миль) это самый длинный регулярный воздушный маршрут в мире на то время (20804).</w:t>
      </w:r>
    </w:p>
    <w:p w14:paraId="42AF6F63" w14:textId="77777777" w:rsidR="0051599D" w:rsidRPr="007122AB" w:rsidRDefault="0051599D" w:rsidP="007122AB">
      <w:pPr>
        <w:spacing w:after="0" w:line="240" w:lineRule="auto"/>
        <w:jc w:val="both"/>
        <w:rPr>
          <w:rFonts w:ascii="Times New Roman" w:hAnsi="Times New Roman"/>
          <w:color w:val="000000" w:themeColor="text1"/>
          <w:sz w:val="16"/>
          <w:szCs w:val="16"/>
        </w:rPr>
      </w:pPr>
    </w:p>
    <w:p w14:paraId="1C6188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Гитлер создал женскую нацистскую организацию «</w:t>
      </w:r>
      <w:proofErr w:type="spellStart"/>
      <w:r w:rsidRPr="007122AB">
        <w:rPr>
          <w:rFonts w:ascii="Times New Roman" w:hAnsi="Times New Roman"/>
          <w:color w:val="000000" w:themeColor="text1"/>
          <w:sz w:val="16"/>
          <w:szCs w:val="16"/>
        </w:rPr>
        <w:t>Фрауеншафтен</w:t>
      </w:r>
      <w:proofErr w:type="spellEnd"/>
      <w:r w:rsidRPr="007122AB">
        <w:rPr>
          <w:rFonts w:ascii="Times New Roman" w:hAnsi="Times New Roman"/>
          <w:color w:val="000000" w:themeColor="text1"/>
          <w:sz w:val="16"/>
          <w:szCs w:val="16"/>
        </w:rPr>
        <w:t>» (4962).</w:t>
      </w:r>
    </w:p>
    <w:p w14:paraId="64D10F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806A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3045D6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803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2 по 5 октября 1931 состоялся первый беспосадочный перелет через Тихий Океан от Токио до побережья Канады (</w:t>
      </w:r>
      <w:proofErr w:type="spellStart"/>
      <w:r w:rsidRPr="007122AB">
        <w:rPr>
          <w:rFonts w:ascii="Times New Roman" w:hAnsi="Times New Roman"/>
          <w:color w:val="000000" w:themeColor="text1"/>
          <w:sz w:val="16"/>
          <w:szCs w:val="16"/>
        </w:rPr>
        <w:t>Wenatchee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Herndon</w:t>
      </w:r>
      <w:proofErr w:type="spellEnd"/>
      <w:r w:rsidRPr="007122AB">
        <w:rPr>
          <w:rFonts w:ascii="Times New Roman" w:hAnsi="Times New Roman"/>
          <w:color w:val="000000" w:themeColor="text1"/>
          <w:sz w:val="16"/>
          <w:szCs w:val="16"/>
        </w:rPr>
        <w:t xml:space="preserve"> летели на красной </w:t>
      </w:r>
      <w:proofErr w:type="spellStart"/>
      <w:r w:rsidRPr="007122AB">
        <w:rPr>
          <w:rFonts w:ascii="Times New Roman" w:hAnsi="Times New Roman"/>
          <w:color w:val="000000" w:themeColor="text1"/>
          <w:sz w:val="16"/>
          <w:szCs w:val="16"/>
        </w:rPr>
        <w:t>Беланке</w:t>
      </w:r>
      <w:proofErr w:type="spellEnd"/>
      <w:r w:rsidRPr="007122AB">
        <w:rPr>
          <w:rFonts w:ascii="Times New Roman" w:hAnsi="Times New Roman"/>
          <w:color w:val="000000" w:themeColor="text1"/>
          <w:sz w:val="16"/>
          <w:szCs w:val="16"/>
        </w:rPr>
        <w:t xml:space="preserve">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(2883).</w:t>
      </w:r>
    </w:p>
    <w:p w14:paraId="475979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A2F9CD"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 октября 1931 г. в Германии стартовали испытания стратоплана </w:t>
      </w:r>
      <w:proofErr w:type="spellStart"/>
      <w:r w:rsidRPr="007122AB">
        <w:rPr>
          <w:rFonts w:ascii="Times New Roman" w:eastAsia="Times New Roman" w:hAnsi="Times New Roman"/>
          <w:color w:val="000000" w:themeColor="text1"/>
          <w:sz w:val="16"/>
          <w:szCs w:val="16"/>
          <w:lang w:eastAsia="ru-RU"/>
        </w:rPr>
        <w:t>Ju</w:t>
      </w:r>
      <w:proofErr w:type="spellEnd"/>
      <w:r w:rsidRPr="007122AB">
        <w:rPr>
          <w:rFonts w:ascii="Times New Roman" w:eastAsia="Times New Roman" w:hAnsi="Times New Roman"/>
          <w:color w:val="000000" w:themeColor="text1"/>
          <w:sz w:val="16"/>
          <w:szCs w:val="16"/>
          <w:lang w:eastAsia="ru-RU"/>
        </w:rPr>
        <w:t xml:space="preserve"> 49 с гермокабиной на двух человек. Самолёт имел характерную для «юнкерсов» металлическую монопланную схему и был оборудован мотором с двухступенчатым нагнетателем воздуха, позволявшим поддерживать мощность силовой установки с подъёмом на высоту. Из-за экономического кризиса в Европе и банкротства в 1932 г. фирмы «Юнкерс» испытания и необходимые доработки шли медленно. В 1933 г. </w:t>
      </w:r>
      <w:proofErr w:type="spellStart"/>
      <w:r w:rsidRPr="007122AB">
        <w:rPr>
          <w:rFonts w:ascii="Times New Roman" w:eastAsia="Times New Roman" w:hAnsi="Times New Roman"/>
          <w:color w:val="000000" w:themeColor="text1"/>
          <w:sz w:val="16"/>
          <w:szCs w:val="16"/>
          <w:lang w:eastAsia="ru-RU"/>
        </w:rPr>
        <w:t>Ju</w:t>
      </w:r>
      <w:proofErr w:type="spellEnd"/>
      <w:r w:rsidRPr="007122AB">
        <w:rPr>
          <w:rFonts w:ascii="Times New Roman" w:eastAsia="Times New Roman" w:hAnsi="Times New Roman"/>
          <w:color w:val="000000" w:themeColor="text1"/>
          <w:sz w:val="16"/>
          <w:szCs w:val="16"/>
          <w:lang w:eastAsia="ru-RU"/>
        </w:rPr>
        <w:t xml:space="preserve"> 49 был передан в DVL, а полёт в стратосферу на высоту 12500 м удалось осуществить только в 1935 г. (17489).</w:t>
      </w:r>
    </w:p>
    <w:p w14:paraId="5D56141F"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p>
    <w:p w14:paraId="5D762DD1" w14:textId="77777777" w:rsidR="006E5EC8" w:rsidRPr="007122AB" w:rsidRDefault="006E5EC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октября 1931 состоялся первый полет </w:t>
      </w:r>
      <w:proofErr w:type="spellStart"/>
      <w:r w:rsidRPr="007122AB">
        <w:rPr>
          <w:rFonts w:ascii="Times New Roman" w:hAnsi="Times New Roman"/>
          <w:color w:val="000000" w:themeColor="text1"/>
          <w:sz w:val="16"/>
          <w:szCs w:val="16"/>
        </w:rPr>
        <w:t>Junkers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49 (20804).</w:t>
      </w:r>
    </w:p>
    <w:p w14:paraId="19C89E8B" w14:textId="77777777" w:rsidR="006E5EC8" w:rsidRPr="007122AB" w:rsidRDefault="006E5EC8" w:rsidP="007122AB">
      <w:pPr>
        <w:spacing w:after="0" w:line="240" w:lineRule="auto"/>
        <w:jc w:val="both"/>
        <w:rPr>
          <w:rFonts w:ascii="Times New Roman" w:hAnsi="Times New Roman"/>
          <w:color w:val="000000" w:themeColor="text1"/>
          <w:sz w:val="16"/>
          <w:szCs w:val="16"/>
        </w:rPr>
      </w:pPr>
    </w:p>
    <w:p w14:paraId="4076F863" w14:textId="77777777" w:rsidR="006E5EC8" w:rsidRPr="007122AB" w:rsidRDefault="006E5EC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октября 1931 года — первый полёт экспериментального высотного самолёта </w:t>
      </w:r>
      <w:proofErr w:type="spellStart"/>
      <w:r w:rsidRPr="007122AB">
        <w:rPr>
          <w:rFonts w:ascii="Times New Roman" w:hAnsi="Times New Roman"/>
          <w:color w:val="000000" w:themeColor="text1"/>
          <w:sz w:val="16"/>
          <w:szCs w:val="16"/>
        </w:rPr>
        <w:t>Junkers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49. /Германия/</w:t>
      </w:r>
    </w:p>
    <w:p w14:paraId="2F23C927" w14:textId="77777777" w:rsidR="006E5EC8" w:rsidRPr="007122AB" w:rsidRDefault="006E5EC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Немецкий научно-исследовательский институт авиации в 1928 году начал исследования в области полётов на большой высоте. Компания </w:t>
      </w:r>
      <w:proofErr w:type="spellStart"/>
      <w:r w:rsidRPr="007122AB">
        <w:rPr>
          <w:rFonts w:ascii="Times New Roman" w:hAnsi="Times New Roman"/>
          <w:color w:val="000000" w:themeColor="text1"/>
          <w:sz w:val="16"/>
          <w:szCs w:val="16"/>
        </w:rPr>
        <w:t>Junkers</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Flugzeug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und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Motorenwerke</w:t>
      </w:r>
      <w:proofErr w:type="spellEnd"/>
      <w:r w:rsidRPr="007122AB">
        <w:rPr>
          <w:rFonts w:ascii="Times New Roman" w:hAnsi="Times New Roman"/>
          <w:color w:val="000000" w:themeColor="text1"/>
          <w:sz w:val="16"/>
          <w:szCs w:val="16"/>
        </w:rPr>
        <w:t xml:space="preserve"> получила заказ на разработку экспериментального высотного самолёта. Проект получил обозначение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49.</w:t>
      </w:r>
    </w:p>
    <w:p w14:paraId="0AE8B92F" w14:textId="77777777" w:rsidR="006E5EC8" w:rsidRPr="007122AB" w:rsidRDefault="006E5EC8"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49 представлял собой цельнометаллический низкоплан с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 Внутри фюзеляжа была установлена специальная гермокабина с подогревом и небольшими иллюминаторами, рассчитанная на 2 членов экипажа. Специально разработанный для этого самолёта двигатель </w:t>
      </w:r>
      <w:proofErr w:type="spellStart"/>
      <w:r w:rsidRPr="007122AB">
        <w:rPr>
          <w:rFonts w:ascii="Times New Roman" w:hAnsi="Times New Roman"/>
          <w:color w:val="000000" w:themeColor="text1"/>
          <w:sz w:val="16"/>
          <w:szCs w:val="16"/>
        </w:rPr>
        <w:t>Junkers</w:t>
      </w:r>
      <w:proofErr w:type="spellEnd"/>
      <w:r w:rsidRPr="007122AB">
        <w:rPr>
          <w:rFonts w:ascii="Times New Roman" w:hAnsi="Times New Roman"/>
          <w:color w:val="000000" w:themeColor="text1"/>
          <w:sz w:val="16"/>
          <w:szCs w:val="16"/>
        </w:rPr>
        <w:t xml:space="preserve"> L88a (800 л.с.) позволял развить скорость до 146 км/ч.</w:t>
      </w:r>
    </w:p>
    <w:p w14:paraId="1D14F5A7" w14:textId="77777777" w:rsidR="006E5EC8" w:rsidRPr="007122AB" w:rsidRDefault="006E5EC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ходе своих первых полётов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49 смог подняться до высоты 6000 метров, ещё через 2 года — до высоты 9300 м, в 1935 году — до 12450 м. Полученный опыт позже использовался при разработке высотных бомбардировщиков и разведчиков. Единственный построенный </w:t>
      </w:r>
      <w:proofErr w:type="spellStart"/>
      <w:r w:rsidRPr="007122AB">
        <w:rPr>
          <w:rFonts w:ascii="Times New Roman" w:hAnsi="Times New Roman"/>
          <w:color w:val="000000" w:themeColor="text1"/>
          <w:sz w:val="16"/>
          <w:szCs w:val="16"/>
        </w:rPr>
        <w:t>Ju</w:t>
      </w:r>
      <w:proofErr w:type="spellEnd"/>
      <w:r w:rsidRPr="007122AB">
        <w:rPr>
          <w:rFonts w:ascii="Times New Roman" w:hAnsi="Times New Roman"/>
          <w:color w:val="000000" w:themeColor="text1"/>
          <w:sz w:val="16"/>
          <w:szCs w:val="16"/>
        </w:rPr>
        <w:t xml:space="preserve"> 49 разбился в октябре 1937 года (22300).</w:t>
      </w:r>
    </w:p>
    <w:p w14:paraId="4820B646" w14:textId="77777777" w:rsidR="006E5EC8" w:rsidRPr="007122AB" w:rsidRDefault="006E5EC8" w:rsidP="007122AB">
      <w:pPr>
        <w:spacing w:after="0" w:line="240" w:lineRule="auto"/>
        <w:jc w:val="both"/>
        <w:rPr>
          <w:rFonts w:ascii="Times New Roman" w:hAnsi="Times New Roman"/>
          <w:color w:val="000000" w:themeColor="text1"/>
          <w:sz w:val="16"/>
          <w:szCs w:val="16"/>
        </w:rPr>
      </w:pPr>
    </w:p>
    <w:p w14:paraId="4A4EE39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F7F15F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97B72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 в НИИ ВВС прибыл первый серийный АНТ-7 (Р-6) - позже планового срока 7 сентября из-за задержек в поставке вооружения (2671,14).</w:t>
      </w:r>
    </w:p>
    <w:p w14:paraId="6FF15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0E2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1931 первый серийный Р-6 прибыл в НИИ ВВС, хотя по последнему уточненному плану головной Р-6 должен был быть предъявлен на испытания 7 сентября 1931 г. Задержка в основном связывалась с несвоевременной поставкой оборудования.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w:t>
      </w:r>
      <w:proofErr w:type="spellStart"/>
      <w:r w:rsidRPr="007122AB">
        <w:rPr>
          <w:rFonts w:ascii="Times New Roman" w:hAnsi="Times New Roman"/>
          <w:color w:val="000000" w:themeColor="text1"/>
          <w:sz w:val="16"/>
          <w:szCs w:val="16"/>
        </w:rPr>
        <w:t>перекомпоновать</w:t>
      </w:r>
      <w:proofErr w:type="spellEnd"/>
      <w:r w:rsidRPr="007122AB">
        <w:rPr>
          <w:rFonts w:ascii="Times New Roman" w:hAnsi="Times New Roman"/>
          <w:color w:val="000000" w:themeColor="text1"/>
          <w:sz w:val="16"/>
          <w:szCs w:val="16"/>
        </w:rPr>
        <w:t xml:space="preserve">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72971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BBD8B1"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 самолёт Р-6 № 2201 прибыл в НИИ ВВС (хотя требовалось предъявить на испытания 7 сентября 1931 г.). Задержки, в основном, были связаны с несвоевременной поставкой оборудования. Шёл август, а почти готовая машина не имела вооружения - оно просто не прибыло. Представители УВВС также практически до последнего момента вносили свои исправления и уточнения. Так, 6 июля очередная комиссия, побывавшая на заводе, потребовала перенести стойку трубки Пито, усилить обшивку под бомбодержателями и сами их балки, пере-компоновать оборудование в кабинах, ввести лаз от летнаба к пилоту. Это вызвало взрыв негодования у Туполева: «...УВВС переписывается, а самолёты завод уже строит...». В итоге часть изменений военные согласились ввести со 2-й серии. Самолёт же № 2201 выпустили на испытания некомплектным - практически без вооружения и многих элементов оборудования.</w:t>
      </w:r>
    </w:p>
    <w:p w14:paraId="2674C70F"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головного Р-6 шли с 5 октября до 3 ноября 1931 г. От опытного он отличался моторами М-17 (советской копией ВМ\Л/ VI) и несколько изменёнными радиаторами. Серийный самолёт стал на 126 кг тяжелее опытного. Основную прибавку внесли моторы - 60 кг. Отечественные колёса, установленные вместо импортных, добавили 28 кг. Оставшиеся 38 кг распределились между узлами планёра. Головной Р-6 на разных высотах уступал опытному образцу в максимальной скорости горизонтального полета 12-13 км/ч и около 1000 м в практическом потолке. Ухудшилась и скороподъёмность. Показатели горизонтального манёвра практически не изменились. На снижение лётных данных оказало влияние даже не столько </w:t>
      </w:r>
      <w:proofErr w:type="spellStart"/>
      <w:r w:rsidRPr="007122AB">
        <w:rPr>
          <w:rFonts w:ascii="Times New Roman" w:hAnsi="Times New Roman"/>
          <w:color w:val="000000" w:themeColor="text1"/>
          <w:sz w:val="16"/>
          <w:szCs w:val="16"/>
        </w:rPr>
        <w:t>перетяжеление</w:t>
      </w:r>
      <w:proofErr w:type="spellEnd"/>
      <w:r w:rsidRPr="007122AB">
        <w:rPr>
          <w:rFonts w:ascii="Times New Roman" w:hAnsi="Times New Roman"/>
          <w:color w:val="000000" w:themeColor="text1"/>
          <w:sz w:val="16"/>
          <w:szCs w:val="16"/>
        </w:rPr>
        <w:t xml:space="preserve"> самолёта, сколько ненадёжная работа двигателей. Хотя М-17 номинально должен был выдавать 500/730 л.с. - столько же, сколько исходный ВМ\Л/ VI, на практике он постоянно недодавал обороты. Кроме того, моторы перегревались.</w:t>
      </w:r>
    </w:p>
    <w:p w14:paraId="69054C3C"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снова в НИИ ВВС отметили 46 дефектов. Частично они повторяли относящиеся к опытной машине. На № 2201 не было выполнено в полном объёме всё то, что ЦАГИ по результатам более ранних испытаний доработал на опытном образце Р-6. Стояли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старого, </w:t>
      </w:r>
      <w:proofErr w:type="spellStart"/>
      <w:r w:rsidRPr="007122AB">
        <w:rPr>
          <w:rFonts w:ascii="Times New Roman" w:hAnsi="Times New Roman"/>
          <w:color w:val="000000" w:themeColor="text1"/>
          <w:sz w:val="16"/>
          <w:szCs w:val="16"/>
        </w:rPr>
        <w:t>неусиленного</w:t>
      </w:r>
      <w:proofErr w:type="spellEnd"/>
      <w:r w:rsidRPr="007122AB">
        <w:rPr>
          <w:rFonts w:ascii="Times New Roman" w:hAnsi="Times New Roman"/>
          <w:color w:val="000000" w:themeColor="text1"/>
          <w:sz w:val="16"/>
          <w:szCs w:val="16"/>
        </w:rPr>
        <w:t xml:space="preserve"> типа и тряслись в полёте. Козырёк пилотской кабины не имел окантовки, </w:t>
      </w:r>
      <w:proofErr w:type="spellStart"/>
      <w:r w:rsidRPr="007122AB">
        <w:rPr>
          <w:rFonts w:ascii="Times New Roman" w:hAnsi="Times New Roman"/>
          <w:color w:val="000000" w:themeColor="text1"/>
          <w:sz w:val="16"/>
          <w:szCs w:val="16"/>
        </w:rPr>
        <w:t>отсутствововали</w:t>
      </w:r>
      <w:proofErr w:type="spellEnd"/>
      <w:r w:rsidRPr="007122AB">
        <w:rPr>
          <w:rFonts w:ascii="Times New Roman" w:hAnsi="Times New Roman"/>
          <w:color w:val="000000" w:themeColor="text1"/>
          <w:sz w:val="16"/>
          <w:szCs w:val="16"/>
        </w:rPr>
        <w:t xml:space="preserve"> боковые стёкла - в кабину сильно задувало. В диапазоне скоростей 115-150 км/ч отмечалась тряска оперения, носовой и хвостовой частей фюзеляжа. В отчёте записано: «На спирали очень сильно вибрирует хвостовое оперение...».</w:t>
      </w:r>
    </w:p>
    <w:p w14:paraId="0B4A8612"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Вообще «накопали» немало: «устойчивость поперечная неудовлетворительная»; «обзор вперёд закрыт носом самолёта, обзору вперёд в стороны мешают моторы»; при пикировании возникала большая нагрузка на штурвал и так далее. Наводка самолёта на цель при бомбометании с горизонтального полёта оказалась </w:t>
      </w:r>
      <w:r w:rsidRPr="007122AB">
        <w:rPr>
          <w:rFonts w:ascii="Times New Roman" w:hAnsi="Times New Roman"/>
          <w:color w:val="000000" w:themeColor="text1"/>
          <w:sz w:val="16"/>
          <w:szCs w:val="16"/>
        </w:rPr>
        <w:lastRenderedPageBreak/>
        <w:t>затруднительной - ни пилот, ни штурман-бомбардир не имели окон в полу кабины. У экипажа не было никаких средств связи между собой. Педали ножного управления у лётчика признали неудобными.</w:t>
      </w:r>
    </w:p>
    <w:p w14:paraId="45062613"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Много замечаний касались эксплуатации. В отверстие, из которого выходил костыль, забивалась грязь - предложили сделать полотняный чехол. Верхний откидной капот мотора не фиксировался в поднятом положении, угрожая в самый неподходящий момент упасть на голову механику. Над маслобаками и кранами не имелось люков. Чтобы добраться до магнето двигателя, надо было снять переднюю кромку крыла, которую НИИ требовал приклепать намертво. Туго работали жалюзи радиаторов, сами они постоянно </w:t>
      </w:r>
      <w:proofErr w:type="spellStart"/>
      <w:r w:rsidRPr="007122AB">
        <w:rPr>
          <w:rFonts w:ascii="Times New Roman" w:hAnsi="Times New Roman"/>
          <w:color w:val="000000" w:themeColor="text1"/>
          <w:sz w:val="16"/>
          <w:szCs w:val="16"/>
        </w:rPr>
        <w:t>текли.Всё</w:t>
      </w:r>
      <w:proofErr w:type="spellEnd"/>
      <w:r w:rsidRPr="007122AB">
        <w:rPr>
          <w:rFonts w:ascii="Times New Roman" w:hAnsi="Times New Roman"/>
          <w:color w:val="000000" w:themeColor="text1"/>
          <w:sz w:val="16"/>
          <w:szCs w:val="16"/>
        </w:rPr>
        <w:t xml:space="preserve"> это предполагалось исправить на последующих сериях, начиная с первых месяцев 1932 г. Вместе с ЦАГИ вину за многочисленные недоработки в полной мере разделял завод № 22, по этому поводу из НИИ ВВС сообщали: «Необходимо констатировать весьма низкое качество производства самолёта...»</w:t>
      </w:r>
    </w:p>
    <w:p w14:paraId="17EF6FF6"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даже учитывая всё выше сказанное, общий отзыв о машине звучал одобрительно: «Несмотря на некоторое понижение лётных данных, головной серийный самолёт Р6-2М17 не хуже, а по некоторым показателям даже лучше самолётов соответствующего класса, состоящих на вооружении на Западе, уступая лишь лучшим опытным образцам». И это соответствовало действительности. Правда, воздушных «крейсеров» в мире практически никто не строил, и сравнение можно было провести только с рядом французских машин. Головной Р-6 испытания выдержал, путь в строевые части ВВС РККА серийным самолётам был открыт.</w:t>
      </w:r>
    </w:p>
    <w:p w14:paraId="57A6E7AA"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будущее НИИ ВВС рекомендовал использовать создававшиеся тогда моторы М-34 (несколько ранее предлагали и М-32, так и не вышедший из стадии опытного образца), ввести тормозные колёса, усовершенствовать шасси. Для варианта дальнего разведчика потребовали спроектировать дополнительные баки на 600 - 700 кг бензина - поскольку дальность 1680 км, определённая на испытаниях, в этом случае не отвечала поставленным задачам. Предложили создать и чисто бомбардировочный вариант Р-6, который по своим данным мог занять место между ТБ-1 и Р-5.</w:t>
      </w:r>
    </w:p>
    <w:p w14:paraId="3912408C"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Чуть позже на самолёте № 2201 смонтировали полный комплект вооружения и почти всё оборудование и с помощью ЦАГИ довели это «до ума». Машина стала эталоном для серии. Она проходила повторные испытания в НИИ ВВС с 22 января по 7 апреля 1932 г. и успешно их выдержала. Экипаж состоял из лётчика </w:t>
      </w:r>
      <w:proofErr w:type="spellStart"/>
      <w:r w:rsidRPr="007122AB">
        <w:rPr>
          <w:rFonts w:ascii="Times New Roman" w:hAnsi="Times New Roman"/>
          <w:color w:val="000000" w:themeColor="text1"/>
          <w:sz w:val="16"/>
          <w:szCs w:val="16"/>
        </w:rPr>
        <w:t>Миндера</w:t>
      </w:r>
      <w:proofErr w:type="spellEnd"/>
      <w:r w:rsidRPr="007122AB">
        <w:rPr>
          <w:rFonts w:ascii="Times New Roman" w:hAnsi="Times New Roman"/>
          <w:color w:val="000000" w:themeColor="text1"/>
          <w:sz w:val="16"/>
          <w:szCs w:val="16"/>
        </w:rPr>
        <w:t xml:space="preserve"> и летнаба Бобкова.</w:t>
      </w:r>
    </w:p>
    <w:p w14:paraId="0C4301E5" w14:textId="77777777" w:rsidR="00DA6399" w:rsidRPr="007122AB" w:rsidRDefault="00DA63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Специалисты НИИ порекомендовали в дальнейшем переделать капоты моторов по образцу ТБ-3, ввести разрезные элероны, удлинить носовую часть фюзеляжа и заменить фотоаппарат на новый АФА-13 (12264).</w:t>
      </w:r>
    </w:p>
    <w:p w14:paraId="01AC692A" w14:textId="77777777" w:rsidR="00DA6399" w:rsidRPr="007122AB" w:rsidRDefault="00DA6399" w:rsidP="007122AB">
      <w:pPr>
        <w:spacing w:after="0" w:line="240" w:lineRule="auto"/>
        <w:jc w:val="both"/>
        <w:rPr>
          <w:rFonts w:ascii="Times New Roman" w:hAnsi="Times New Roman"/>
          <w:color w:val="000000" w:themeColor="text1"/>
          <w:sz w:val="16"/>
          <w:szCs w:val="16"/>
        </w:rPr>
      </w:pPr>
    </w:p>
    <w:p w14:paraId="4E4B21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1931 было подготовлен письмо N 200/1058с от Члена Правления ВОГВФ </w:t>
      </w:r>
      <w:proofErr w:type="spellStart"/>
      <w:r w:rsidRPr="007122AB">
        <w:rPr>
          <w:rFonts w:ascii="Times New Roman" w:hAnsi="Times New Roman"/>
          <w:color w:val="000000" w:themeColor="text1"/>
          <w:sz w:val="16"/>
          <w:szCs w:val="16"/>
        </w:rPr>
        <w:t>А.П.Голубкова</w:t>
      </w:r>
      <w:proofErr w:type="spellEnd"/>
      <w:r w:rsidRPr="007122AB">
        <w:rPr>
          <w:rFonts w:ascii="Times New Roman" w:hAnsi="Times New Roman"/>
          <w:color w:val="000000" w:themeColor="text1"/>
          <w:sz w:val="16"/>
          <w:szCs w:val="16"/>
        </w:rPr>
        <w:t xml:space="preserve"> и Нач. Самолетного отдела НИИ ГВФ Дементьева в ВАО:</w:t>
      </w:r>
    </w:p>
    <w:p w14:paraId="335ED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пересылаем Вам план опытного самолетостроения ВОГ ГВФ на 1931-1932 годы с указанием желательных сроков готовности опытных экземпляров (351,37):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647"/>
      </w:tblGrid>
      <w:tr w:rsidR="001002C3" w:rsidRPr="007122AB" w14:paraId="6F79BFA3" w14:textId="77777777">
        <w:tc>
          <w:tcPr>
            <w:tcW w:w="959" w:type="dxa"/>
          </w:tcPr>
          <w:p w14:paraId="589927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w:t>
            </w:r>
          </w:p>
        </w:tc>
        <w:tc>
          <w:tcPr>
            <w:tcW w:w="992" w:type="dxa"/>
          </w:tcPr>
          <w:p w14:paraId="06827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8647" w:type="dxa"/>
          </w:tcPr>
          <w:p w14:paraId="554913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опытный экз. должен поступить в ВОГФ в мае 1932 (инф. т.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w:t>
            </w:r>
          </w:p>
        </w:tc>
      </w:tr>
      <w:tr w:rsidR="001002C3" w:rsidRPr="007122AB" w14:paraId="29B63906" w14:textId="77777777">
        <w:tc>
          <w:tcPr>
            <w:tcW w:w="959" w:type="dxa"/>
          </w:tcPr>
          <w:p w14:paraId="2CB9C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
        </w:tc>
        <w:tc>
          <w:tcPr>
            <w:tcW w:w="992" w:type="dxa"/>
          </w:tcPr>
          <w:p w14:paraId="6E3B7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К-10</w:t>
            </w:r>
          </w:p>
        </w:tc>
        <w:tc>
          <w:tcPr>
            <w:tcW w:w="8647" w:type="dxa"/>
          </w:tcPr>
          <w:p w14:paraId="7AA1BC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Должен поступить не позднее 1 января 1932</w:t>
            </w:r>
          </w:p>
        </w:tc>
      </w:tr>
      <w:tr w:rsidR="001002C3" w:rsidRPr="007122AB" w14:paraId="69C662E3" w14:textId="77777777">
        <w:tc>
          <w:tcPr>
            <w:tcW w:w="959" w:type="dxa"/>
          </w:tcPr>
          <w:p w14:paraId="4EB659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992" w:type="dxa"/>
          </w:tcPr>
          <w:p w14:paraId="449DC1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8647" w:type="dxa"/>
          </w:tcPr>
          <w:p w14:paraId="73178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модифицируется под пассажирский. Желательно опытную военную после специальных </w:t>
            </w:r>
          </w:p>
        </w:tc>
      </w:tr>
      <w:tr w:rsidR="001002C3" w:rsidRPr="007122AB" w14:paraId="3240318D" w14:textId="77777777">
        <w:tc>
          <w:tcPr>
            <w:tcW w:w="959" w:type="dxa"/>
          </w:tcPr>
          <w:p w14:paraId="7ACCA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734D4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60D04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испытаний оборудовать в гражданскую</w:t>
            </w:r>
          </w:p>
        </w:tc>
      </w:tr>
      <w:tr w:rsidR="001002C3" w:rsidRPr="007122AB" w14:paraId="6474B266" w14:textId="77777777">
        <w:tc>
          <w:tcPr>
            <w:tcW w:w="959" w:type="dxa"/>
          </w:tcPr>
          <w:p w14:paraId="63B9A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
        </w:tc>
        <w:tc>
          <w:tcPr>
            <w:tcW w:w="992" w:type="dxa"/>
          </w:tcPr>
          <w:p w14:paraId="64B953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8647" w:type="dxa"/>
          </w:tcPr>
          <w:p w14:paraId="34C429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переделку имеющегося военного экземпляра в гражданский</w:t>
            </w:r>
          </w:p>
        </w:tc>
      </w:tr>
      <w:tr w:rsidR="001002C3" w:rsidRPr="007122AB" w14:paraId="164CFBB5" w14:textId="77777777">
        <w:tc>
          <w:tcPr>
            <w:tcW w:w="959" w:type="dxa"/>
          </w:tcPr>
          <w:p w14:paraId="6BECE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992" w:type="dxa"/>
          </w:tcPr>
          <w:p w14:paraId="7990DB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8647" w:type="dxa"/>
          </w:tcPr>
          <w:p w14:paraId="453ED3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опытный экземпляр</w:t>
            </w:r>
          </w:p>
        </w:tc>
      </w:tr>
      <w:tr w:rsidR="001002C3" w:rsidRPr="007122AB" w14:paraId="447F937E" w14:textId="77777777">
        <w:tc>
          <w:tcPr>
            <w:tcW w:w="959" w:type="dxa"/>
          </w:tcPr>
          <w:p w14:paraId="22611B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992" w:type="dxa"/>
          </w:tcPr>
          <w:p w14:paraId="026DD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8647" w:type="dxa"/>
          </w:tcPr>
          <w:p w14:paraId="4AE81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65BBC6E" w14:textId="77777777">
        <w:tc>
          <w:tcPr>
            <w:tcW w:w="959" w:type="dxa"/>
          </w:tcPr>
          <w:p w14:paraId="6D4A2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992" w:type="dxa"/>
          </w:tcPr>
          <w:p w14:paraId="50C56B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8647" w:type="dxa"/>
          </w:tcPr>
          <w:p w14:paraId="40AEA0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переделку в гражданскую машину. Срок готовности - март 1932</w:t>
            </w:r>
          </w:p>
        </w:tc>
      </w:tr>
      <w:tr w:rsidR="001002C3" w:rsidRPr="007122AB" w14:paraId="26C0A4D4" w14:textId="77777777">
        <w:tc>
          <w:tcPr>
            <w:tcW w:w="959" w:type="dxa"/>
          </w:tcPr>
          <w:p w14:paraId="08588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992" w:type="dxa"/>
          </w:tcPr>
          <w:p w14:paraId="474A7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8647" w:type="dxa"/>
          </w:tcPr>
          <w:p w14:paraId="0E7482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под переделку в самолет связи. Срок готовности - январь 1932</w:t>
            </w:r>
          </w:p>
        </w:tc>
      </w:tr>
      <w:tr w:rsidR="001002C3" w:rsidRPr="007122AB" w14:paraId="52F69771" w14:textId="77777777">
        <w:tc>
          <w:tcPr>
            <w:tcW w:w="959" w:type="dxa"/>
          </w:tcPr>
          <w:p w14:paraId="478011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992" w:type="dxa"/>
          </w:tcPr>
          <w:p w14:paraId="1729C6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К-8</w:t>
            </w:r>
          </w:p>
        </w:tc>
        <w:tc>
          <w:tcPr>
            <w:tcW w:w="8647" w:type="dxa"/>
          </w:tcPr>
          <w:p w14:paraId="38C0A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опытный экземпляр. Срок готовности - октябрь 1931</w:t>
            </w:r>
          </w:p>
        </w:tc>
      </w:tr>
      <w:tr w:rsidR="001002C3" w:rsidRPr="007122AB" w14:paraId="0256AAAC" w14:textId="77777777">
        <w:tc>
          <w:tcPr>
            <w:tcW w:w="959" w:type="dxa"/>
          </w:tcPr>
          <w:p w14:paraId="591CB9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992" w:type="dxa"/>
          </w:tcPr>
          <w:p w14:paraId="3E154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К-11</w:t>
            </w:r>
          </w:p>
        </w:tc>
        <w:tc>
          <w:tcPr>
            <w:tcW w:w="8647" w:type="dxa"/>
          </w:tcPr>
          <w:p w14:paraId="524A2A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Срок готовности - январь 1932</w:t>
            </w:r>
          </w:p>
        </w:tc>
      </w:tr>
      <w:tr w:rsidR="001002C3" w:rsidRPr="007122AB" w14:paraId="2D500ACD" w14:textId="77777777">
        <w:tc>
          <w:tcPr>
            <w:tcW w:w="959" w:type="dxa"/>
          </w:tcPr>
          <w:p w14:paraId="51DE2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992" w:type="dxa"/>
          </w:tcPr>
          <w:p w14:paraId="53A3F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АНТ-8</w:t>
            </w:r>
          </w:p>
        </w:tc>
        <w:tc>
          <w:tcPr>
            <w:tcW w:w="8647" w:type="dxa"/>
          </w:tcPr>
          <w:p w14:paraId="54110D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передачу черноморского экземпляра для переделки в пассажирский</w:t>
            </w:r>
          </w:p>
        </w:tc>
      </w:tr>
      <w:tr w:rsidR="001002C3" w:rsidRPr="007122AB" w14:paraId="7C2C2EBA" w14:textId="77777777">
        <w:tc>
          <w:tcPr>
            <w:tcW w:w="959" w:type="dxa"/>
          </w:tcPr>
          <w:p w14:paraId="72BB1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26BD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5C2E6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r>
      <w:tr w:rsidR="001002C3" w:rsidRPr="007122AB" w14:paraId="5616F2E9" w14:textId="77777777">
        <w:tc>
          <w:tcPr>
            <w:tcW w:w="959" w:type="dxa"/>
          </w:tcPr>
          <w:p w14:paraId="46098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992" w:type="dxa"/>
          </w:tcPr>
          <w:p w14:paraId="7622F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8647" w:type="dxa"/>
          </w:tcPr>
          <w:p w14:paraId="374E68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Договор на переделку под гражданскую машину</w:t>
            </w:r>
          </w:p>
        </w:tc>
      </w:tr>
      <w:tr w:rsidR="001002C3" w:rsidRPr="007122AB" w14:paraId="05B240CD" w14:textId="77777777">
        <w:tc>
          <w:tcPr>
            <w:tcW w:w="959" w:type="dxa"/>
          </w:tcPr>
          <w:p w14:paraId="4971B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992" w:type="dxa"/>
          </w:tcPr>
          <w:p w14:paraId="29F4B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8647" w:type="dxa"/>
          </w:tcPr>
          <w:p w14:paraId="2BC02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Амфибия конструкции т. Шаврова 39 завода с 2хМ26. Заключить договор на опытный экземпляр. </w:t>
            </w:r>
          </w:p>
        </w:tc>
      </w:tr>
      <w:tr w:rsidR="001002C3" w:rsidRPr="007122AB" w14:paraId="07F74FBD" w14:textId="77777777">
        <w:tc>
          <w:tcPr>
            <w:tcW w:w="959" w:type="dxa"/>
          </w:tcPr>
          <w:p w14:paraId="226CA6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300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76391C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готовности - май 1932</w:t>
            </w:r>
          </w:p>
        </w:tc>
      </w:tr>
      <w:tr w:rsidR="001002C3" w:rsidRPr="007122AB" w14:paraId="09FF9278" w14:textId="77777777">
        <w:tc>
          <w:tcPr>
            <w:tcW w:w="959" w:type="dxa"/>
          </w:tcPr>
          <w:p w14:paraId="35BAA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992" w:type="dxa"/>
          </w:tcPr>
          <w:p w14:paraId="55A85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горн.</w:t>
            </w:r>
          </w:p>
        </w:tc>
        <w:tc>
          <w:tcPr>
            <w:tcW w:w="8647" w:type="dxa"/>
          </w:tcPr>
          <w:p w14:paraId="366CE0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Желательно изготовить специальный опытный экз.</w:t>
            </w:r>
          </w:p>
        </w:tc>
      </w:tr>
      <w:tr w:rsidR="001002C3" w:rsidRPr="007122AB" w14:paraId="7C947E09" w14:textId="77777777">
        <w:tc>
          <w:tcPr>
            <w:tcW w:w="959" w:type="dxa"/>
          </w:tcPr>
          <w:p w14:paraId="2CA2A9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415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Районов</w:t>
            </w:r>
          </w:p>
        </w:tc>
        <w:tc>
          <w:tcPr>
            <w:tcW w:w="8647" w:type="dxa"/>
          </w:tcPr>
          <w:p w14:paraId="20587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согл</w:t>
            </w:r>
            <w:proofErr w:type="spellEnd"/>
            <w:r w:rsidRPr="007122AB">
              <w:rPr>
                <w:rFonts w:ascii="Times New Roman" w:hAnsi="Times New Roman"/>
                <w:color w:val="000000" w:themeColor="text1"/>
                <w:sz w:val="16"/>
                <w:szCs w:val="16"/>
              </w:rPr>
              <w:t>. с НИИ ВОГФ или переделать имеющийся</w:t>
            </w:r>
          </w:p>
        </w:tc>
      </w:tr>
      <w:tr w:rsidR="001002C3" w:rsidRPr="007122AB" w14:paraId="030B8D8F" w14:textId="77777777">
        <w:tc>
          <w:tcPr>
            <w:tcW w:w="959" w:type="dxa"/>
          </w:tcPr>
          <w:p w14:paraId="67B42A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992" w:type="dxa"/>
          </w:tcPr>
          <w:p w14:paraId="05BD8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w:t>
            </w:r>
          </w:p>
        </w:tc>
        <w:tc>
          <w:tcPr>
            <w:tcW w:w="8647" w:type="dxa"/>
          </w:tcPr>
          <w:p w14:paraId="528CEA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(Арктический ОБВ) - заключить договор с НИИ</w:t>
            </w:r>
          </w:p>
        </w:tc>
      </w:tr>
      <w:tr w:rsidR="001002C3" w:rsidRPr="007122AB" w14:paraId="6A01CFC9" w14:textId="77777777">
        <w:tc>
          <w:tcPr>
            <w:tcW w:w="959" w:type="dxa"/>
          </w:tcPr>
          <w:p w14:paraId="6D424E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CAC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примен</w:t>
            </w:r>
            <w:proofErr w:type="spellEnd"/>
            <w:r w:rsidRPr="007122AB">
              <w:rPr>
                <w:rFonts w:ascii="Times New Roman" w:hAnsi="Times New Roman"/>
                <w:color w:val="000000" w:themeColor="text1"/>
                <w:sz w:val="16"/>
                <w:szCs w:val="16"/>
              </w:rPr>
              <w:t>.</w:t>
            </w:r>
          </w:p>
        </w:tc>
        <w:tc>
          <w:tcPr>
            <w:tcW w:w="8647" w:type="dxa"/>
          </w:tcPr>
          <w:p w14:paraId="36475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ВОГФ (351)</w:t>
            </w:r>
          </w:p>
        </w:tc>
      </w:tr>
    </w:tbl>
    <w:p w14:paraId="628D35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Настоящим сообщаю, что на все указанные опытные экземпляры заключить договор от ВОГВФ уполномочен НИИ ГВФ, а также и за наблюдение за опытным строительством для ГВФ.</w:t>
      </w:r>
    </w:p>
    <w:p w14:paraId="5E485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Моботдел</w:t>
      </w:r>
      <w:proofErr w:type="spellEnd"/>
      <w:r w:rsidRPr="007122AB">
        <w:rPr>
          <w:rFonts w:ascii="Times New Roman" w:hAnsi="Times New Roman"/>
          <w:color w:val="000000" w:themeColor="text1"/>
          <w:sz w:val="16"/>
          <w:szCs w:val="16"/>
        </w:rPr>
        <w:t xml:space="preserve"> ВОГВФ просит Вас перед заключением договора на все самолеты, имеющиеся в опытных экземплярах военного варианта, допустить к подробному с ними ознакомлению.</w:t>
      </w:r>
    </w:p>
    <w:p w14:paraId="18665A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Начальника самолетного отдела тов. Дементьева</w:t>
      </w:r>
    </w:p>
    <w:p w14:paraId="29AF1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Инженеров самолетного отдела НИИ ГВФ тт. Бартини, Комарова, Гурьеву и Мясоедова.</w:t>
      </w:r>
    </w:p>
    <w:p w14:paraId="3C2650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Моботдел</w:t>
      </w:r>
      <w:proofErr w:type="spellEnd"/>
      <w:r w:rsidRPr="007122AB">
        <w:rPr>
          <w:rFonts w:ascii="Times New Roman" w:hAnsi="Times New Roman"/>
          <w:color w:val="000000" w:themeColor="text1"/>
          <w:sz w:val="16"/>
          <w:szCs w:val="16"/>
        </w:rPr>
        <w:t xml:space="preserve"> ВОГВФ со своей стороны просит Вас срочно оформить договор на опытные самолеты ГВФ и прислать проект договора для юридического оформления (351).</w:t>
      </w:r>
    </w:p>
    <w:p w14:paraId="24EC93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ТРЕБОВАНИЯ</w:t>
      </w:r>
    </w:p>
    <w:p w14:paraId="22EB2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САМОЛЕТОСТРОЕНИЮ ПО ПЯТИЛЕТНЕМУ ПЛАНУ ГВФ (подписал Нач. ПЭУ Баранов)</w:t>
      </w:r>
    </w:p>
    <w:p w14:paraId="31E420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Грузоподъемность и характер самолетов.</w:t>
      </w:r>
    </w:p>
    <w:p w14:paraId="17C3DF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xml:space="preserve">. Тяжелые самолеты </w:t>
      </w:r>
      <w:proofErr w:type="spellStart"/>
      <w:r w:rsidRPr="007122AB">
        <w:rPr>
          <w:rFonts w:ascii="Times New Roman" w:hAnsi="Times New Roman"/>
          <w:color w:val="000000" w:themeColor="text1"/>
          <w:sz w:val="16"/>
          <w:szCs w:val="16"/>
        </w:rPr>
        <w:t>грузопод'емностью</w:t>
      </w:r>
      <w:proofErr w:type="spellEnd"/>
      <w:r w:rsidRPr="007122AB">
        <w:rPr>
          <w:rFonts w:ascii="Times New Roman" w:hAnsi="Times New Roman"/>
          <w:color w:val="000000" w:themeColor="text1"/>
          <w:sz w:val="16"/>
          <w:szCs w:val="16"/>
        </w:rPr>
        <w:t xml:space="preserve"> свыше 3-х тонн пассажирские.</w:t>
      </w:r>
    </w:p>
    <w:p w14:paraId="50719B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Самолеты средней </w:t>
      </w:r>
      <w:proofErr w:type="spellStart"/>
      <w:r w:rsidRPr="007122AB">
        <w:rPr>
          <w:rFonts w:ascii="Times New Roman" w:hAnsi="Times New Roman"/>
          <w:color w:val="000000" w:themeColor="text1"/>
          <w:sz w:val="16"/>
          <w:szCs w:val="16"/>
        </w:rPr>
        <w:t>грузопод'емности</w:t>
      </w:r>
      <w:proofErr w:type="spellEnd"/>
      <w:r w:rsidRPr="007122AB">
        <w:rPr>
          <w:rFonts w:ascii="Times New Roman" w:hAnsi="Times New Roman"/>
          <w:color w:val="000000" w:themeColor="text1"/>
          <w:sz w:val="16"/>
          <w:szCs w:val="16"/>
        </w:rPr>
        <w:t>:</w:t>
      </w:r>
    </w:p>
    <w:p w14:paraId="31789C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пассажирские на 10-30 чел.</w:t>
      </w:r>
    </w:p>
    <w:p w14:paraId="7B2666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w:t>
      </w:r>
      <w:r w:rsidRPr="007122AB">
        <w:rPr>
          <w:rFonts w:ascii="Times New Roman" w:hAnsi="Times New Roman"/>
          <w:smallCaps/>
          <w:color w:val="000000" w:themeColor="text1"/>
          <w:sz w:val="16"/>
          <w:szCs w:val="16"/>
        </w:rPr>
        <w:t xml:space="preserve">/ </w:t>
      </w:r>
      <w:r w:rsidRPr="007122AB">
        <w:rPr>
          <w:rFonts w:ascii="Times New Roman" w:hAnsi="Times New Roman"/>
          <w:color w:val="000000" w:themeColor="text1"/>
          <w:sz w:val="16"/>
          <w:szCs w:val="16"/>
        </w:rPr>
        <w:t xml:space="preserve">грузовые - </w:t>
      </w: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xml:space="preserve"> тонна,</w:t>
      </w:r>
    </w:p>
    <w:p w14:paraId="0B40FB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грузовые - 2-3 тонны</w:t>
      </w:r>
    </w:p>
    <w:p w14:paraId="56F245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Легкие самолеты основном </w:t>
      </w:r>
      <w:proofErr w:type="spellStart"/>
      <w:r w:rsidRPr="007122AB">
        <w:rPr>
          <w:rFonts w:ascii="Times New Roman" w:hAnsi="Times New Roman"/>
          <w:color w:val="000000" w:themeColor="text1"/>
          <w:sz w:val="16"/>
          <w:szCs w:val="16"/>
        </w:rPr>
        <w:t>паасажирские</w:t>
      </w:r>
      <w:proofErr w:type="spellEnd"/>
      <w:r w:rsidRPr="007122AB">
        <w:rPr>
          <w:rFonts w:ascii="Times New Roman" w:hAnsi="Times New Roman"/>
          <w:color w:val="000000" w:themeColor="text1"/>
          <w:sz w:val="16"/>
          <w:szCs w:val="16"/>
        </w:rPr>
        <w:t xml:space="preserve"> на 2-4 пассажира и -100-200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почты,</w:t>
      </w:r>
    </w:p>
    <w:p w14:paraId="2765BA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Почтовые самолеты на 1 пассажира и 200-300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почты</w:t>
      </w:r>
    </w:p>
    <w:p w14:paraId="049E93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Дальность действия самолетов /перегон/.</w:t>
      </w:r>
    </w:p>
    <w:p w14:paraId="528DAA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тяжелые - 1500-2000 км</w:t>
      </w:r>
    </w:p>
    <w:p w14:paraId="1FD128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средине: а/ пассажирские - 400-500 км</w:t>
      </w:r>
    </w:p>
    <w:p w14:paraId="36018E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грузовые грузоподъемностью 1 т - 400-500 км.</w:t>
      </w:r>
    </w:p>
    <w:p w14:paraId="74D490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грузовые 2-3 тонны - 400-600 км.</w:t>
      </w:r>
    </w:p>
    <w:p w14:paraId="19AFFB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самолетов средней грузоподъемности, предназначенных для работы на окраинах Советского </w:t>
      </w:r>
      <w:proofErr w:type="spellStart"/>
      <w:r w:rsidRPr="007122AB">
        <w:rPr>
          <w:rFonts w:ascii="Times New Roman" w:hAnsi="Times New Roman"/>
          <w:color w:val="000000" w:themeColor="text1"/>
          <w:sz w:val="16"/>
          <w:szCs w:val="16"/>
        </w:rPr>
        <w:t>Слоюза</w:t>
      </w:r>
      <w:proofErr w:type="spellEnd"/>
      <w:r w:rsidRPr="007122AB">
        <w:rPr>
          <w:rFonts w:ascii="Times New Roman" w:hAnsi="Times New Roman"/>
          <w:color w:val="000000" w:themeColor="text1"/>
          <w:sz w:val="16"/>
          <w:szCs w:val="16"/>
        </w:rPr>
        <w:t xml:space="preserve"> и в Северных районах дальность действия должна быть доведена до 600-800 км</w:t>
      </w:r>
    </w:p>
    <w:p w14:paraId="0F5E21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Легкие самолеты - 200-250 км, а для северных районов - 300-500 км.</w:t>
      </w:r>
    </w:p>
    <w:p w14:paraId="2940D19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Почтовые: а/ 200-250 кв.</w:t>
      </w:r>
    </w:p>
    <w:p w14:paraId="36B61C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700-800 км. для скоростных и высотно-скоростных</w:t>
      </w:r>
    </w:p>
    <w:p w14:paraId="037E70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 Районы действие самолетов.</w:t>
      </w:r>
    </w:p>
    <w:p w14:paraId="24B38D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xml:space="preserve">. Тяжелые - Ср. Азия, </w:t>
      </w:r>
      <w:proofErr w:type="spellStart"/>
      <w:r w:rsidRPr="007122AB">
        <w:rPr>
          <w:rFonts w:ascii="Times New Roman" w:hAnsi="Times New Roman"/>
          <w:color w:val="000000" w:themeColor="text1"/>
          <w:sz w:val="16"/>
          <w:szCs w:val="16"/>
        </w:rPr>
        <w:t>Укравиа</w:t>
      </w:r>
      <w:proofErr w:type="spellEnd"/>
      <w:r w:rsidRPr="007122AB">
        <w:rPr>
          <w:rFonts w:ascii="Times New Roman" w:hAnsi="Times New Roman"/>
          <w:color w:val="000000" w:themeColor="text1"/>
          <w:sz w:val="16"/>
          <w:szCs w:val="16"/>
        </w:rPr>
        <w:t xml:space="preserve"> и Сибирская магистраль /т.е. линии Москва-Владивосток. Москва-Ташкент и Москва-Ленинград, Москва - Зап. Европа, Москва - Баку, Красноводск - Ташкент, Харьков-Одесса, Харьков - Крым/.</w:t>
      </w:r>
    </w:p>
    <w:p w14:paraId="173EDC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Средней грузоподъемности - весь Союз.</w:t>
      </w:r>
    </w:p>
    <w:p w14:paraId="6198CF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Легкие - весь Союз.</w:t>
      </w:r>
    </w:p>
    <w:p w14:paraId="3E53A0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Почтовые - весь Союз</w:t>
      </w:r>
    </w:p>
    <w:p w14:paraId="2943BE1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 Типы самолетов</w:t>
      </w:r>
    </w:p>
    <w:p w14:paraId="26E0ED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Тяжелые самолеты - </w:t>
      </w:r>
      <w:proofErr w:type="spellStart"/>
      <w:r w:rsidRPr="007122AB">
        <w:rPr>
          <w:rFonts w:ascii="Times New Roman" w:hAnsi="Times New Roman"/>
          <w:color w:val="000000" w:themeColor="text1"/>
          <w:sz w:val="16"/>
          <w:szCs w:val="16"/>
        </w:rPr>
        <w:t>иснгючятельно</w:t>
      </w:r>
      <w:proofErr w:type="spellEnd"/>
      <w:r w:rsidRPr="007122AB">
        <w:rPr>
          <w:rFonts w:ascii="Times New Roman" w:hAnsi="Times New Roman"/>
          <w:color w:val="000000" w:themeColor="text1"/>
          <w:sz w:val="16"/>
          <w:szCs w:val="16"/>
        </w:rPr>
        <w:t xml:space="preserve"> сухопутные</w:t>
      </w:r>
    </w:p>
    <w:p w14:paraId="1DF3AE8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Средние: а/ пассажирские - сухопутные и </w:t>
      </w:r>
      <w:proofErr w:type="spellStart"/>
      <w:r w:rsidRPr="007122AB">
        <w:rPr>
          <w:rFonts w:ascii="Times New Roman" w:hAnsi="Times New Roman"/>
          <w:color w:val="000000" w:themeColor="text1"/>
          <w:sz w:val="16"/>
          <w:szCs w:val="16"/>
        </w:rPr>
        <w:t>гидролодки</w:t>
      </w:r>
      <w:proofErr w:type="spellEnd"/>
      <w:r w:rsidRPr="007122AB">
        <w:rPr>
          <w:rFonts w:ascii="Times New Roman" w:hAnsi="Times New Roman"/>
          <w:color w:val="000000" w:themeColor="text1"/>
          <w:sz w:val="16"/>
          <w:szCs w:val="16"/>
        </w:rPr>
        <w:t xml:space="preserve"> /Черное Море, Каспий, Охотское Море/.</w:t>
      </w:r>
    </w:p>
    <w:p w14:paraId="287AFC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грузовые - грузоподъемностью 1 т - с </w:t>
      </w:r>
      <w:proofErr w:type="spellStart"/>
      <w:r w:rsidRPr="007122AB">
        <w:rPr>
          <w:rFonts w:ascii="Times New Roman" w:hAnsi="Times New Roman"/>
          <w:color w:val="000000" w:themeColor="text1"/>
          <w:sz w:val="16"/>
          <w:szCs w:val="16"/>
        </w:rPr>
        <w:t>хопутные</w:t>
      </w:r>
      <w:proofErr w:type="spellEnd"/>
      <w:r w:rsidRPr="007122AB">
        <w:rPr>
          <w:rFonts w:ascii="Times New Roman" w:hAnsi="Times New Roman"/>
          <w:color w:val="000000" w:themeColor="text1"/>
          <w:sz w:val="16"/>
          <w:szCs w:val="16"/>
        </w:rPr>
        <w:t>,</w:t>
      </w:r>
    </w:p>
    <w:p w14:paraId="112779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в/грузовые - 2-3 тонны </w:t>
      </w:r>
      <w:proofErr w:type="spellStart"/>
      <w:r w:rsidRPr="007122AB">
        <w:rPr>
          <w:rFonts w:ascii="Times New Roman" w:hAnsi="Times New Roman"/>
          <w:color w:val="000000" w:themeColor="text1"/>
          <w:sz w:val="16"/>
          <w:szCs w:val="16"/>
        </w:rPr>
        <w:t>гидролодки</w:t>
      </w:r>
      <w:proofErr w:type="spellEnd"/>
      <w:r w:rsidRPr="007122AB">
        <w:rPr>
          <w:rFonts w:ascii="Times New Roman" w:hAnsi="Times New Roman"/>
          <w:color w:val="000000" w:themeColor="text1"/>
          <w:sz w:val="16"/>
          <w:szCs w:val="16"/>
        </w:rPr>
        <w:t xml:space="preserve"> /Северные воды, Черное Море, Каспий, Охотское море/ и сухопутные</w:t>
      </w:r>
    </w:p>
    <w:p w14:paraId="3274773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3. Легкие: а/ </w:t>
      </w:r>
      <w:proofErr w:type="spellStart"/>
      <w:r w:rsidRPr="007122AB">
        <w:rPr>
          <w:rFonts w:ascii="Times New Roman" w:hAnsi="Times New Roman"/>
          <w:color w:val="000000" w:themeColor="text1"/>
          <w:sz w:val="16"/>
          <w:szCs w:val="16"/>
        </w:rPr>
        <w:t>гидропоплавковые</w:t>
      </w:r>
      <w:proofErr w:type="spellEnd"/>
      <w:r w:rsidRPr="007122AB">
        <w:rPr>
          <w:rFonts w:ascii="Times New Roman" w:hAnsi="Times New Roman"/>
          <w:color w:val="000000" w:themeColor="text1"/>
          <w:sz w:val="16"/>
          <w:szCs w:val="16"/>
        </w:rPr>
        <w:t xml:space="preserve"> - речные</w:t>
      </w:r>
    </w:p>
    <w:p w14:paraId="390EFC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сухопутные</w:t>
      </w:r>
    </w:p>
    <w:p w14:paraId="0F092E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амфибии для лесных областей</w:t>
      </w:r>
    </w:p>
    <w:p w14:paraId="6E45918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автожиры - для всего Союза.</w:t>
      </w:r>
    </w:p>
    <w:p w14:paraId="7DEE15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С к о р о с т ь.</w:t>
      </w:r>
    </w:p>
    <w:p w14:paraId="31CE2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Наибольшею </w:t>
      </w:r>
      <w:proofErr w:type="spellStart"/>
      <w:r w:rsidRPr="007122AB">
        <w:rPr>
          <w:rFonts w:ascii="Times New Roman" w:hAnsi="Times New Roman"/>
          <w:color w:val="000000" w:themeColor="text1"/>
          <w:sz w:val="16"/>
          <w:szCs w:val="16"/>
        </w:rPr>
        <w:t>скоростьюдолжлы</w:t>
      </w:r>
      <w:proofErr w:type="spellEnd"/>
      <w:r w:rsidRPr="007122AB">
        <w:rPr>
          <w:rFonts w:ascii="Times New Roman" w:hAnsi="Times New Roman"/>
          <w:color w:val="000000" w:themeColor="text1"/>
          <w:sz w:val="16"/>
          <w:szCs w:val="16"/>
        </w:rPr>
        <w:t xml:space="preserve"> обладать почтовые самолеты, а затем - пассажирские</w:t>
      </w:r>
    </w:p>
    <w:p w14:paraId="4BF7D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 Мощность</w:t>
      </w:r>
    </w:p>
    <w:p w14:paraId="7F2D51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ВМГ указывается конструктором исходя из вышеуказанной коммерческой грузоподъемности с учетом необходимого запаса мощности.</w:t>
      </w:r>
    </w:p>
    <w:p w14:paraId="088A2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 Моторы</w:t>
      </w:r>
    </w:p>
    <w:p w14:paraId="373BB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Соответственно типам самолетов должны быть выбраны моторы, но с тем, чтобы создавать наименьшее количество различных типов, желательно соответствующих типам моторов, принятых на </w:t>
      </w:r>
      <w:proofErr w:type="spellStart"/>
      <w:r w:rsidRPr="007122AB">
        <w:rPr>
          <w:rFonts w:ascii="Times New Roman" w:hAnsi="Times New Roman"/>
          <w:color w:val="000000" w:themeColor="text1"/>
          <w:sz w:val="16"/>
          <w:szCs w:val="16"/>
        </w:rPr>
        <w:t>эксплоатацию</w:t>
      </w:r>
      <w:proofErr w:type="spellEnd"/>
      <w:r w:rsidRPr="007122AB">
        <w:rPr>
          <w:rFonts w:ascii="Times New Roman" w:hAnsi="Times New Roman"/>
          <w:color w:val="000000" w:themeColor="text1"/>
          <w:sz w:val="16"/>
          <w:szCs w:val="16"/>
        </w:rPr>
        <w:t xml:space="preserve"> в ВВС.</w:t>
      </w:r>
    </w:p>
    <w:p w14:paraId="083ED1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Необходимо также иметь несколько моторов специального назначения (арктических, высотных и т.п./.</w:t>
      </w:r>
    </w:p>
    <w:p w14:paraId="6CF602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выборе самолетов необходимо руководствоваться их максимальной экономичностью (351).</w:t>
      </w:r>
    </w:p>
    <w:p w14:paraId="34B83A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w:t>
      </w:r>
    </w:p>
    <w:p w14:paraId="1A99F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Материалы к плану реконструкции гражданского воздушного флота (подготовлены Нач. самолетного отдела Филипповичем)</w:t>
      </w:r>
    </w:p>
    <w:p w14:paraId="1EE3F6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Общая часть</w:t>
      </w:r>
    </w:p>
    <w:p w14:paraId="2A801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Новые авиазаводы, которые будут построены в конце этой пятилетки, должны исходить из типов воздушных судов, наиболее отвечающих нуждам ГВФ в условиях развернутого социалистического строительства на социалистической хозяйственной основе и, одновременно, задачам обороны страны.</w:t>
      </w:r>
    </w:p>
    <w:p w14:paraId="0FD2F2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 стороны технической эти типы должны представлять наивысшие достижения технической мысли, опирающейся на новую производственную базу.</w:t>
      </w:r>
    </w:p>
    <w:p w14:paraId="2AAB57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Направление строительства и оборудования новых авиазаводов также должно быть определено в ближайшее время.</w:t>
      </w:r>
    </w:p>
    <w:p w14:paraId="0A3C4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Поэтому 1931 и 1932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xml:space="preserve">.  должны являться годами напряженнейшего опытного строительства самолетов и моторов. Лучшие достижения опытного строительства , проверенные испытаниями и </w:t>
      </w:r>
      <w:proofErr w:type="spellStart"/>
      <w:r w:rsidRPr="007122AB">
        <w:rPr>
          <w:rFonts w:ascii="Times New Roman" w:hAnsi="Times New Roman"/>
          <w:color w:val="000000" w:themeColor="text1"/>
          <w:sz w:val="16"/>
          <w:szCs w:val="16"/>
        </w:rPr>
        <w:t>интекнсивной</w:t>
      </w:r>
      <w:proofErr w:type="spellEnd"/>
      <w:r w:rsidRPr="007122AB">
        <w:rPr>
          <w:rFonts w:ascii="Times New Roman" w:hAnsi="Times New Roman"/>
          <w:color w:val="000000" w:themeColor="text1"/>
          <w:sz w:val="16"/>
          <w:szCs w:val="16"/>
        </w:rPr>
        <w:t xml:space="preserve"> опытной </w:t>
      </w:r>
      <w:proofErr w:type="spellStart"/>
      <w:r w:rsidRPr="007122AB">
        <w:rPr>
          <w:rFonts w:ascii="Times New Roman" w:hAnsi="Times New Roman"/>
          <w:color w:val="000000" w:themeColor="text1"/>
          <w:sz w:val="16"/>
          <w:szCs w:val="16"/>
        </w:rPr>
        <w:t>эксплоатацией</w:t>
      </w:r>
      <w:proofErr w:type="spellEnd"/>
      <w:r w:rsidRPr="007122AB">
        <w:rPr>
          <w:rFonts w:ascii="Times New Roman" w:hAnsi="Times New Roman"/>
          <w:color w:val="000000" w:themeColor="text1"/>
          <w:sz w:val="16"/>
          <w:szCs w:val="16"/>
        </w:rPr>
        <w:t xml:space="preserve"> в минимальные сроки - и должны строиться на новых авиазаводах </w:t>
      </w:r>
      <w:proofErr w:type="spellStart"/>
      <w:r w:rsidRPr="007122AB">
        <w:rPr>
          <w:rFonts w:ascii="Times New Roman" w:hAnsi="Times New Roman"/>
          <w:color w:val="000000" w:themeColor="text1"/>
          <w:sz w:val="16"/>
          <w:szCs w:val="16"/>
        </w:rPr>
        <w:t>спеиально</w:t>
      </w:r>
      <w:proofErr w:type="spellEnd"/>
      <w:r w:rsidRPr="007122AB">
        <w:rPr>
          <w:rFonts w:ascii="Times New Roman" w:hAnsi="Times New Roman"/>
          <w:color w:val="000000" w:themeColor="text1"/>
          <w:sz w:val="16"/>
          <w:szCs w:val="16"/>
        </w:rPr>
        <w:t xml:space="preserve"> к разным типам оборудования /например, возможного преобладания в одном случае на самолетном заводе сварочных агрегатов и в частности электросварочных, и в другом случае преобладание приспособлений для клепки и т.п./.</w:t>
      </w:r>
    </w:p>
    <w:p w14:paraId="45280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Опытное </w:t>
      </w:r>
      <w:proofErr w:type="spellStart"/>
      <w:r w:rsidRPr="007122AB">
        <w:rPr>
          <w:rFonts w:ascii="Times New Roman" w:hAnsi="Times New Roman"/>
          <w:color w:val="000000" w:themeColor="text1"/>
          <w:sz w:val="16"/>
          <w:szCs w:val="16"/>
        </w:rPr>
        <w:t>самолето</w:t>
      </w:r>
      <w:proofErr w:type="spellEnd"/>
      <w:r w:rsidRPr="007122AB">
        <w:rPr>
          <w:rFonts w:ascii="Times New Roman" w:hAnsi="Times New Roman"/>
          <w:color w:val="000000" w:themeColor="text1"/>
          <w:sz w:val="16"/>
          <w:szCs w:val="16"/>
        </w:rPr>
        <w:t xml:space="preserve"> и моторостроение ГВФ в 1931 и 32 г. должно исходить из тенденций развития заграничных самолетов и моторов.</w:t>
      </w:r>
    </w:p>
    <w:p w14:paraId="2C566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Опытное строительство должно быть в известной мере скачком вперед и не должно исходить из производственных возможностей сегодняшнего дня.</w:t>
      </w:r>
    </w:p>
    <w:p w14:paraId="08F55B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ВОГВФ давая заказы на опытные самолеты и моторы /через НИИ ГВФ/ исходит из этих тенденций развития воздушного флота за границей, намечает основные </w:t>
      </w:r>
      <w:proofErr w:type="spellStart"/>
      <w:r w:rsidRPr="007122AB">
        <w:rPr>
          <w:rFonts w:ascii="Times New Roman" w:hAnsi="Times New Roman"/>
          <w:color w:val="000000" w:themeColor="text1"/>
          <w:sz w:val="16"/>
          <w:szCs w:val="16"/>
        </w:rPr>
        <w:t>техтребования</w:t>
      </w:r>
      <w:proofErr w:type="spellEnd"/>
      <w:r w:rsidRPr="007122AB">
        <w:rPr>
          <w:rFonts w:ascii="Times New Roman" w:hAnsi="Times New Roman"/>
          <w:color w:val="000000" w:themeColor="text1"/>
          <w:sz w:val="16"/>
          <w:szCs w:val="16"/>
        </w:rPr>
        <w:t xml:space="preserve"> т общие контуры типов, но не связывает конструкторско-производственную мысль выполняющих наши заказы организаций: ЦАГИ, ВАО и др.</w:t>
      </w:r>
    </w:p>
    <w:p w14:paraId="47B81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Наиболее интересными особенностями в области конструкции летательных аппаратов следует считать:</w:t>
      </w:r>
    </w:p>
    <w:p w14:paraId="7D2E0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разрезные и щелевые крылья у самолетов, как допускающие уменьшение посадочных скоростей, а, следовательно, и уменьшение площадей аэродромов,</w:t>
      </w:r>
    </w:p>
    <w:p w14:paraId="69476C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установка моторов самолетов в крыле с карданной передачей на винты, что уменьшает лобовое сопротивление, улучшает работу винта и улучшает условия ухода за мотором в полете. То же относится и к удлиненным валам, позволяющим выносить впереди крыла винты, что значительно улучшает их работу,</w:t>
      </w:r>
    </w:p>
    <w:p w14:paraId="740FED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применение материалов, имеющих повышенную прочность /например молибденовые сварные трубы с последующей после сварки термической обработкой/, </w:t>
      </w:r>
      <w:proofErr w:type="spellStart"/>
      <w:r w:rsidRPr="007122AB">
        <w:rPr>
          <w:rFonts w:ascii="Times New Roman" w:hAnsi="Times New Roman"/>
          <w:color w:val="000000" w:themeColor="text1"/>
          <w:sz w:val="16"/>
          <w:szCs w:val="16"/>
        </w:rPr>
        <w:t>материаплов</w:t>
      </w:r>
      <w:proofErr w:type="spellEnd"/>
      <w:r w:rsidRPr="007122AB">
        <w:rPr>
          <w:rFonts w:ascii="Times New Roman" w:hAnsi="Times New Roman"/>
          <w:color w:val="000000" w:themeColor="text1"/>
          <w:sz w:val="16"/>
          <w:szCs w:val="16"/>
        </w:rPr>
        <w:t>, не подвергающихся окислению /например, нержавеющих сталей/,</w:t>
      </w:r>
    </w:p>
    <w:p w14:paraId="220E6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Выбор таких схем, особенно для больших самолетов, когда </w:t>
      </w:r>
      <w:proofErr w:type="spellStart"/>
      <w:r w:rsidRPr="007122AB">
        <w:rPr>
          <w:rFonts w:ascii="Times New Roman" w:hAnsi="Times New Roman"/>
          <w:color w:val="000000" w:themeColor="text1"/>
          <w:sz w:val="16"/>
          <w:szCs w:val="16"/>
        </w:rPr>
        <w:t>полехзную</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нагрузек</w:t>
      </w:r>
      <w:proofErr w:type="spellEnd"/>
      <w:r w:rsidRPr="007122AB">
        <w:rPr>
          <w:rFonts w:ascii="Times New Roman" w:hAnsi="Times New Roman"/>
          <w:color w:val="000000" w:themeColor="text1"/>
          <w:sz w:val="16"/>
          <w:szCs w:val="16"/>
        </w:rPr>
        <w:t xml:space="preserve"> несет не фюзеляж, а крыло. Такая схема </w:t>
      </w:r>
      <w:proofErr w:type="spellStart"/>
      <w:r w:rsidRPr="007122AB">
        <w:rPr>
          <w:rFonts w:ascii="Times New Roman" w:hAnsi="Times New Roman"/>
          <w:color w:val="000000" w:themeColor="text1"/>
          <w:sz w:val="16"/>
          <w:szCs w:val="16"/>
        </w:rPr>
        <w:t>выголна</w:t>
      </w:r>
      <w:proofErr w:type="spellEnd"/>
      <w:r w:rsidRPr="007122AB">
        <w:rPr>
          <w:rFonts w:ascii="Times New Roman" w:hAnsi="Times New Roman"/>
          <w:color w:val="000000" w:themeColor="text1"/>
          <w:sz w:val="16"/>
          <w:szCs w:val="16"/>
        </w:rPr>
        <w:t xml:space="preserve"> тем, что груз можно </w:t>
      </w:r>
      <w:proofErr w:type="spellStart"/>
      <w:r w:rsidRPr="007122AB">
        <w:rPr>
          <w:rFonts w:ascii="Times New Roman" w:hAnsi="Times New Roman"/>
          <w:color w:val="000000" w:themeColor="text1"/>
          <w:sz w:val="16"/>
          <w:szCs w:val="16"/>
        </w:rPr>
        <w:t>рассосредоточивать</w:t>
      </w:r>
      <w:proofErr w:type="spellEnd"/>
      <w:r w:rsidRPr="007122AB">
        <w:rPr>
          <w:rFonts w:ascii="Times New Roman" w:hAnsi="Times New Roman"/>
          <w:color w:val="000000" w:themeColor="text1"/>
          <w:sz w:val="16"/>
          <w:szCs w:val="16"/>
        </w:rPr>
        <w:t xml:space="preserve"> по крылу и, следовательно, выгадать в отношении прочности, кроме  того в этой схеме уменьшается лобовое сопротивление за счет отсутствия фюзеляжа </w:t>
      </w:r>
      <w:proofErr w:type="spellStart"/>
      <w:r w:rsidRPr="007122AB">
        <w:rPr>
          <w:rFonts w:ascii="Times New Roman" w:hAnsi="Times New Roman"/>
          <w:color w:val="000000" w:themeColor="text1"/>
          <w:sz w:val="16"/>
          <w:szCs w:val="16"/>
        </w:rPr>
        <w:t>обучного</w:t>
      </w:r>
      <w:proofErr w:type="spellEnd"/>
      <w:r w:rsidRPr="007122AB">
        <w:rPr>
          <w:rFonts w:ascii="Times New Roman" w:hAnsi="Times New Roman"/>
          <w:color w:val="000000" w:themeColor="text1"/>
          <w:sz w:val="16"/>
          <w:szCs w:val="16"/>
        </w:rPr>
        <w:t xml:space="preserve"> типа. Оперение устанавливается на таких самолетах на особых балках, нередко открытых,</w:t>
      </w:r>
    </w:p>
    <w:p w14:paraId="1DBC8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секционная конструкция самолетов, что представляет интерес с точки зрения легкой замены отдельных частей и самолета и возможности наращивания.</w:t>
      </w:r>
    </w:p>
    <w:p w14:paraId="64934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устройство комбинированных лыж, позволяющих осуществлять посадки на </w:t>
      </w:r>
      <w:proofErr w:type="spellStart"/>
      <w:r w:rsidRPr="007122AB">
        <w:rPr>
          <w:rFonts w:ascii="Times New Roman" w:hAnsi="Times New Roman"/>
          <w:color w:val="000000" w:themeColor="text1"/>
          <w:sz w:val="16"/>
          <w:szCs w:val="16"/>
        </w:rPr>
        <w:t>землюи</w:t>
      </w:r>
      <w:proofErr w:type="spellEnd"/>
      <w:r w:rsidRPr="007122AB">
        <w:rPr>
          <w:rFonts w:ascii="Times New Roman" w:hAnsi="Times New Roman"/>
          <w:color w:val="000000" w:themeColor="text1"/>
          <w:sz w:val="16"/>
          <w:szCs w:val="16"/>
        </w:rPr>
        <w:t xml:space="preserve"> снег и комбинированных ..., </w:t>
      </w:r>
    </w:p>
    <w:p w14:paraId="02190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ж/ кроме перечисленных конструктивных особенностей, представляющих громадный практический интерес в настоящее время, ВОГВФ должно всячески содействовать исследовательским и экспериментальным </w:t>
      </w:r>
      <w:proofErr w:type="spellStart"/>
      <w:r w:rsidRPr="007122AB">
        <w:rPr>
          <w:rFonts w:ascii="Times New Roman" w:hAnsi="Times New Roman"/>
          <w:color w:val="000000" w:themeColor="text1"/>
          <w:sz w:val="16"/>
          <w:szCs w:val="16"/>
        </w:rPr>
        <w:t>изыскаяниям</w:t>
      </w:r>
      <w:proofErr w:type="spellEnd"/>
      <w:r w:rsidRPr="007122AB">
        <w:rPr>
          <w:rFonts w:ascii="Times New Roman" w:hAnsi="Times New Roman"/>
          <w:color w:val="000000" w:themeColor="text1"/>
          <w:sz w:val="16"/>
          <w:szCs w:val="16"/>
        </w:rPr>
        <w:t xml:space="preserve"> в отношении летательных аппаратов, позволяющих осуществлять вертикальные /или близкие к вертикальным/ </w:t>
      </w:r>
      <w:proofErr w:type="spellStart"/>
      <w:r w:rsidRPr="007122AB">
        <w:rPr>
          <w:rFonts w:ascii="Times New Roman" w:hAnsi="Times New Roman"/>
          <w:color w:val="000000" w:themeColor="text1"/>
          <w:sz w:val="16"/>
          <w:szCs w:val="16"/>
        </w:rPr>
        <w:t>взлетыв</w:t>
      </w:r>
      <w:proofErr w:type="spellEnd"/>
      <w:r w:rsidRPr="007122AB">
        <w:rPr>
          <w:rFonts w:ascii="Times New Roman" w:hAnsi="Times New Roman"/>
          <w:color w:val="000000" w:themeColor="text1"/>
          <w:sz w:val="16"/>
          <w:szCs w:val="16"/>
        </w:rPr>
        <w:t xml:space="preserve"> и посадки. К таким аппаратам относятся геликоптеры и частично автожиры,</w:t>
      </w:r>
    </w:p>
    <w:p w14:paraId="1486A7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1931 и 1932 должны быть периодом времени, который должен дать нам все необходимые предварительные данные для развития дирижаблестроения. Исследовательские и экспериментальные работы за это время должны уже дать практические результаты в виде конкретных применительно к реальным производственным возможностям в 1933-34 гг. Проектам со всеми необходимыми данными: всевозможными расчетами, экспериментальными данными, разработанными технологическими приемами и т.п.</w:t>
      </w:r>
    </w:p>
    <w:p w14:paraId="0CC9C2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Наконец, полное содействие должно оказываться всем изысканиям в области реактивных аппаратов, которые, по-видимому, в дальнейшем могут вытеснить современные летательные аппараты.</w:t>
      </w:r>
    </w:p>
    <w:p w14:paraId="3343D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 отношение авиадвигателей наиболее интересными тенденциями развития для ГВФ следует считать:</w:t>
      </w:r>
    </w:p>
    <w:p w14:paraId="4D3406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появление двигателей больших мощностей /более 1000 л.с.,. Действительно, современное самолетостроение не может удовлетвориться имеющимися авиадвигателями мощностью 500-700 л.с. Ярким примером этого является До=Х в силу необходимости “</w:t>
      </w:r>
      <w:proofErr w:type="spellStart"/>
      <w:r w:rsidRPr="007122AB">
        <w:rPr>
          <w:rFonts w:ascii="Times New Roman" w:hAnsi="Times New Roman"/>
          <w:color w:val="000000" w:themeColor="text1"/>
          <w:sz w:val="16"/>
          <w:szCs w:val="16"/>
        </w:rPr>
        <w:t>изуровджованный</w:t>
      </w:r>
      <w:proofErr w:type="spellEnd"/>
      <w:r w:rsidRPr="007122AB">
        <w:rPr>
          <w:rFonts w:ascii="Times New Roman" w:hAnsi="Times New Roman"/>
          <w:color w:val="000000" w:themeColor="text1"/>
          <w:sz w:val="16"/>
          <w:szCs w:val="16"/>
        </w:rPr>
        <w:t>” 12 моторами. Во сколько раз уменьшился бы у него вес моторной установки, агрегатов, проводки и проч., а также и лобовое сопротивление при установке меньшего числа моторов (например, 4), но, соответственно, большей мощности.</w:t>
      </w:r>
    </w:p>
    <w:p w14:paraId="5FD91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Практические требования к мощностям моторов, как видно из последующего, таковы: 1200 л.с., 1500 л.с. и 2000 л.с.</w:t>
      </w:r>
    </w:p>
    <w:p w14:paraId="26330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Появление уже в эксплуатации авиадвигателей на тяжелом топливе. Эти двигатели, несмотря на больший вес, приходящийся на л.с. /примерно, 1.4 кг/, т.е. на 40% больше авиадвигателей на легком топливе, обладают меньшим расходом топлива на 1 л.с. в час - вместо 0,25 кг - 0,175, те. На 33% меньше, что при перелетах /тем более </w:t>
      </w:r>
      <w:proofErr w:type="spellStart"/>
      <w:r w:rsidRPr="007122AB">
        <w:rPr>
          <w:rFonts w:ascii="Times New Roman" w:hAnsi="Times New Roman"/>
          <w:color w:val="000000" w:themeColor="text1"/>
          <w:sz w:val="16"/>
          <w:szCs w:val="16"/>
        </w:rPr>
        <w:t>дапльних</w:t>
      </w:r>
      <w:proofErr w:type="spellEnd"/>
      <w:r w:rsidRPr="007122AB">
        <w:rPr>
          <w:rFonts w:ascii="Times New Roman" w:hAnsi="Times New Roman"/>
          <w:color w:val="000000" w:themeColor="text1"/>
          <w:sz w:val="16"/>
          <w:szCs w:val="16"/>
        </w:rPr>
        <w:t>, тем в большей степени/, даст очень большие выгоды в весовом отношении. Кроме того, эти двигатели более надежны, безопасны, а топливо - более дешево. Экономичность двигателя на тяжелом топливе - очевидна и мы в отношении работы над ними непростительно отстали.</w:t>
      </w:r>
    </w:p>
    <w:p w14:paraId="0ED5C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Для нужд ГВФ, наиболее подходящими являются авиадвигатели, обладающие наибольшей надежностью, безопасностью в работе, возможно большим </w:t>
      </w:r>
      <w:proofErr w:type="spellStart"/>
      <w:r w:rsidRPr="007122AB">
        <w:rPr>
          <w:rFonts w:ascii="Times New Roman" w:hAnsi="Times New Roman"/>
          <w:color w:val="000000" w:themeColor="text1"/>
          <w:sz w:val="16"/>
          <w:szCs w:val="16"/>
        </w:rPr>
        <w:t>српроком</w:t>
      </w:r>
      <w:proofErr w:type="spellEnd"/>
      <w:r w:rsidRPr="007122AB">
        <w:rPr>
          <w:rFonts w:ascii="Times New Roman" w:hAnsi="Times New Roman"/>
          <w:color w:val="000000" w:themeColor="text1"/>
          <w:sz w:val="16"/>
          <w:szCs w:val="16"/>
        </w:rPr>
        <w:t xml:space="preserve"> службы, с большими промежутками между перечистками, обладающие простой конструкцией и требующие несложного уходя. Нужно сознаться, что теперешние авиадвигатели с 50 час. сроками перечистки, с постоянными неполадками в работе, </w:t>
      </w:r>
      <w:proofErr w:type="spellStart"/>
      <w:r w:rsidRPr="007122AB">
        <w:rPr>
          <w:rFonts w:ascii="Times New Roman" w:hAnsi="Times New Roman"/>
          <w:color w:val="000000" w:themeColor="text1"/>
          <w:sz w:val="16"/>
          <w:szCs w:val="16"/>
        </w:rPr>
        <w:t>перегревающеся</w:t>
      </w:r>
      <w:proofErr w:type="spellEnd"/>
      <w:r w:rsidRPr="007122AB">
        <w:rPr>
          <w:rFonts w:ascii="Times New Roman" w:hAnsi="Times New Roman"/>
          <w:color w:val="000000" w:themeColor="text1"/>
          <w:sz w:val="16"/>
          <w:szCs w:val="16"/>
        </w:rPr>
        <w:t xml:space="preserve"> летом и в жарких местностях, и стынущие в холодных местах, нужды ГВФ не удовлетворяют.</w:t>
      </w:r>
    </w:p>
    <w:p w14:paraId="3B8DEB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случае военных операций ГВФ и не должен выполнять военные операции молниеносными и короткими ударами. Его задача своей надежностью, безотказностью в работе - обеспечивать операции.</w:t>
      </w:r>
    </w:p>
    <w:p w14:paraId="4E7E6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этой точки зрения заслуживает проверки увлечение в ГВФ моторами </w:t>
      </w:r>
      <w:proofErr w:type="spellStart"/>
      <w:r w:rsidRPr="007122AB">
        <w:rPr>
          <w:rFonts w:ascii="Times New Roman" w:hAnsi="Times New Roman"/>
          <w:color w:val="000000" w:themeColor="text1"/>
          <w:sz w:val="16"/>
          <w:szCs w:val="16"/>
        </w:rPr>
        <w:t>воздушого</w:t>
      </w:r>
      <w:proofErr w:type="spellEnd"/>
      <w:r w:rsidRPr="007122AB">
        <w:rPr>
          <w:rFonts w:ascii="Times New Roman" w:hAnsi="Times New Roman"/>
          <w:color w:val="000000" w:themeColor="text1"/>
          <w:sz w:val="16"/>
          <w:szCs w:val="16"/>
        </w:rPr>
        <w:t xml:space="preserve"> охлаждения /М-22, М-15 и М-26/. Водяное охлаждение моторов, при некотором проигрыше в весе, имеет, по видимому, для ГВФ, </w:t>
      </w:r>
      <w:proofErr w:type="spellStart"/>
      <w:r w:rsidRPr="007122AB">
        <w:rPr>
          <w:rFonts w:ascii="Times New Roman" w:hAnsi="Times New Roman"/>
          <w:color w:val="000000" w:themeColor="text1"/>
          <w:sz w:val="16"/>
          <w:szCs w:val="16"/>
        </w:rPr>
        <w:t>преимущестиво</w:t>
      </w:r>
      <w:proofErr w:type="spellEnd"/>
      <w:r w:rsidRPr="007122AB">
        <w:rPr>
          <w:rFonts w:ascii="Times New Roman" w:hAnsi="Times New Roman"/>
          <w:color w:val="000000" w:themeColor="text1"/>
          <w:sz w:val="16"/>
          <w:szCs w:val="16"/>
        </w:rPr>
        <w:t xml:space="preserve"> с точки зрения требований, изложенных в начале этого пункта.</w:t>
      </w:r>
    </w:p>
    <w:p w14:paraId="621DD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Заслуживает полной экспериментальной проверки мысль об объединении всех агрегатов мотора /если их на самолете 3 и более/ в один со специальным моторчиком. Такое устройство может дать выгоды в весе и в полезной мощности моторов.</w:t>
      </w:r>
    </w:p>
    <w:p w14:paraId="2E3CB9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Соответственно п. И, относящемуся к ЛА, должна всемерно осуществляться поддержка всем работам в отношении реактивных двигателей.</w:t>
      </w:r>
    </w:p>
    <w:p w14:paraId="6A97B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Классификация опытного самолетостроения ГВФ</w:t>
      </w:r>
    </w:p>
    <w:p w14:paraId="5A842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серийное производство для ГВФ должно войти возможно меньшее число типов самолетов. Однако, в силу географических, экономических и др. Данных, число этих типов не может быть сведено до 2-3.</w:t>
      </w:r>
    </w:p>
    <w:p w14:paraId="1BFC1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Опытное самолетостроение должно быть представлено большим числом типов, для обеспечения правильного выбора и подхода к классификации серийного производства.</w:t>
      </w:r>
    </w:p>
    <w:p w14:paraId="31C8B2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Ниже излагается примерная схема классификации опытного самолетостроения ГВФ.</w:t>
      </w:r>
    </w:p>
    <w:p w14:paraId="7B679E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Самолеты малой грузоподъемности на 0,5 тонны </w:t>
      </w:r>
      <w:proofErr w:type="spellStart"/>
      <w:r w:rsidRPr="007122AB">
        <w:rPr>
          <w:rFonts w:ascii="Times New Roman" w:hAnsi="Times New Roman"/>
          <w:color w:val="000000" w:themeColor="text1"/>
          <w:sz w:val="16"/>
          <w:szCs w:val="16"/>
        </w:rPr>
        <w:t>комменчекеской</w:t>
      </w:r>
      <w:proofErr w:type="spellEnd"/>
      <w:r w:rsidRPr="007122AB">
        <w:rPr>
          <w:rFonts w:ascii="Times New Roman" w:hAnsi="Times New Roman"/>
          <w:color w:val="000000" w:themeColor="text1"/>
          <w:sz w:val="16"/>
          <w:szCs w:val="16"/>
        </w:rPr>
        <w:t xml:space="preserve"> нагрузки</w:t>
      </w:r>
    </w:p>
    <w:p w14:paraId="51487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исполкомовская авиация /учебные/ - 2 пассажира</w:t>
      </w:r>
    </w:p>
    <w:p w14:paraId="6406A4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местная - 4 пассажира</w:t>
      </w:r>
    </w:p>
    <w:p w14:paraId="6DF03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Легкая линейная - 6</w:t>
      </w:r>
    </w:p>
    <w:p w14:paraId="3450E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 борьбе с вредителями с/х</w:t>
      </w:r>
    </w:p>
    <w:p w14:paraId="1EFD4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постовые</w:t>
      </w:r>
    </w:p>
    <w:p w14:paraId="76BCA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Рекордные скорости и дальности</w:t>
      </w:r>
    </w:p>
    <w:p w14:paraId="3E2A38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аэрофотосъемочные</w:t>
      </w:r>
    </w:p>
    <w:p w14:paraId="74CDF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 небольшая группа самолетов</w:t>
      </w:r>
    </w:p>
    <w:p w14:paraId="1D391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Самолет местной авиации и легкий линейный могут быть использованы и как грузовые. Моторы здесь один или два от 165 до 350 л.с.. дальность в среднем не больше 750 км</w:t>
      </w:r>
    </w:p>
    <w:p w14:paraId="32B4FA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Самолеты </w:t>
      </w:r>
      <w:proofErr w:type="spellStart"/>
      <w:r w:rsidRPr="007122AB">
        <w:rPr>
          <w:rFonts w:ascii="Times New Roman" w:hAnsi="Times New Roman"/>
          <w:color w:val="000000" w:themeColor="text1"/>
          <w:sz w:val="16"/>
          <w:szCs w:val="16"/>
        </w:rPr>
        <w:t>срежней</w:t>
      </w:r>
      <w:proofErr w:type="spellEnd"/>
      <w:r w:rsidRPr="007122AB">
        <w:rPr>
          <w:rFonts w:ascii="Times New Roman" w:hAnsi="Times New Roman"/>
          <w:color w:val="000000" w:themeColor="text1"/>
          <w:sz w:val="16"/>
          <w:szCs w:val="16"/>
        </w:rPr>
        <w:t xml:space="preserve"> грузоподъемности - 1-2 тонны коммерческого груза</w:t>
      </w:r>
    </w:p>
    <w:p w14:paraId="6409A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линейные - 10 пассажиров</w:t>
      </w:r>
    </w:p>
    <w:p w14:paraId="61E01B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линейные пассажирские - 15 пассажиров</w:t>
      </w:r>
    </w:p>
    <w:p w14:paraId="6D9DB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горные</w:t>
      </w:r>
    </w:p>
    <w:p w14:paraId="56707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w:t>
      </w:r>
      <w:proofErr w:type="spellStart"/>
      <w:r w:rsidRPr="007122AB">
        <w:rPr>
          <w:rFonts w:ascii="Times New Roman" w:hAnsi="Times New Roman"/>
          <w:color w:val="000000" w:themeColor="text1"/>
          <w:sz w:val="16"/>
          <w:szCs w:val="16"/>
        </w:rPr>
        <w:t>гидролодки</w:t>
      </w:r>
      <w:proofErr w:type="spellEnd"/>
      <w:r w:rsidRPr="007122AB">
        <w:rPr>
          <w:rFonts w:ascii="Times New Roman" w:hAnsi="Times New Roman"/>
          <w:color w:val="000000" w:themeColor="text1"/>
          <w:sz w:val="16"/>
          <w:szCs w:val="16"/>
        </w:rPr>
        <w:t xml:space="preserve"> пассажирские</w:t>
      </w:r>
    </w:p>
    <w:p w14:paraId="348BD9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арктические</w:t>
      </w:r>
    </w:p>
    <w:p w14:paraId="741235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 самолеты являются основными линейными самолетами. Моторная установка: 3х300 и 3х420. Дальность - 1000 км</w:t>
      </w:r>
    </w:p>
    <w:p w14:paraId="79933D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Самолеты большой грузоподъемности - 3-7 тонн коммерческого груза</w:t>
      </w:r>
    </w:p>
    <w:p w14:paraId="20B903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линейные - 30</w:t>
      </w:r>
    </w:p>
    <w:p w14:paraId="74B50E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линейные - 60</w:t>
      </w:r>
    </w:p>
    <w:p w14:paraId="60F4C6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гидро - вариант а</w:t>
      </w:r>
    </w:p>
    <w:p w14:paraId="297C5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w:t>
      </w:r>
      <w:proofErr w:type="spellStart"/>
      <w:r w:rsidRPr="007122AB">
        <w:rPr>
          <w:rFonts w:ascii="Times New Roman" w:hAnsi="Times New Roman"/>
          <w:color w:val="000000" w:themeColor="text1"/>
          <w:sz w:val="16"/>
          <w:szCs w:val="16"/>
        </w:rPr>
        <w:t>гидровариант</w:t>
      </w:r>
      <w:proofErr w:type="spellEnd"/>
      <w:r w:rsidRPr="007122AB">
        <w:rPr>
          <w:rFonts w:ascii="Times New Roman" w:hAnsi="Times New Roman"/>
          <w:color w:val="000000" w:themeColor="text1"/>
          <w:sz w:val="16"/>
          <w:szCs w:val="16"/>
        </w:rPr>
        <w:t xml:space="preserve"> б</w:t>
      </w:r>
    </w:p>
    <w:p w14:paraId="22865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 самолеты с дальностью 1500 км. Моторная установка 5х400 или 3х800 и 4х1200 л.с.</w:t>
      </w:r>
    </w:p>
    <w:p w14:paraId="16DEE6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Самолеты гиганты - 10-15 тонн коммерческой нагрузки</w:t>
      </w:r>
    </w:p>
    <w:p w14:paraId="0041C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перевозки 100 и более </w:t>
      </w:r>
      <w:proofErr w:type="spellStart"/>
      <w:r w:rsidRPr="007122AB">
        <w:rPr>
          <w:rFonts w:ascii="Times New Roman" w:hAnsi="Times New Roman"/>
          <w:color w:val="000000" w:themeColor="text1"/>
          <w:sz w:val="16"/>
          <w:szCs w:val="16"/>
        </w:rPr>
        <w:t>пассадиров</w:t>
      </w:r>
      <w:proofErr w:type="spellEnd"/>
      <w:r w:rsidRPr="007122AB">
        <w:rPr>
          <w:rFonts w:ascii="Times New Roman" w:hAnsi="Times New Roman"/>
          <w:color w:val="000000" w:themeColor="text1"/>
          <w:sz w:val="16"/>
          <w:szCs w:val="16"/>
        </w:rPr>
        <w:t>. Дальность 2000 км, моторная установка: 4х1500 и 4х2000, а самых крупных 6х2000 л.с.</w:t>
      </w:r>
    </w:p>
    <w:p w14:paraId="76CFFA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Первая группа самолетов /за исключением рекордных/ имеет небольшие посадочные скорости порядка 70-80 км/час, а в отдельных случаях и меньше - 65-70 км/час. Поэтому под данную группу нужны широко развиваемая сеть небольших посадочных площадок, сравнительно примитивного оборудования. В основных базах должны быть ангары /самолеты этой группы деревянной и смешанной конструкции/.</w:t>
      </w:r>
    </w:p>
    <w:p w14:paraId="23BA6B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2-я группа самолетов имеет посадочную скорость 80-90 км/час и </w:t>
      </w:r>
      <w:proofErr w:type="spellStart"/>
      <w:r w:rsidRPr="007122AB">
        <w:rPr>
          <w:rFonts w:ascii="Times New Roman" w:hAnsi="Times New Roman"/>
          <w:color w:val="000000" w:themeColor="text1"/>
          <w:sz w:val="16"/>
          <w:szCs w:val="16"/>
        </w:rPr>
        <w:t>треюбует</w:t>
      </w:r>
      <w:proofErr w:type="spellEnd"/>
      <w:r w:rsidRPr="007122AB">
        <w:rPr>
          <w:rFonts w:ascii="Times New Roman" w:hAnsi="Times New Roman"/>
          <w:color w:val="000000" w:themeColor="text1"/>
          <w:sz w:val="16"/>
          <w:szCs w:val="16"/>
        </w:rPr>
        <w:t xml:space="preserve"> более оборудованных аэродромов. Аэродромы и аэропорты должны быть оборудованы также тракторами, специальными устройствами для заправки /один самолет этой группы требует заправки горючим около 3000 кг и больше/, должны быть специальные пусковые приспособления /стартеры и проч./.</w:t>
      </w:r>
    </w:p>
    <w:p w14:paraId="41C45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Ангары также должны </w:t>
      </w:r>
      <w:proofErr w:type="spellStart"/>
      <w:r w:rsidRPr="007122AB">
        <w:rPr>
          <w:rFonts w:ascii="Times New Roman" w:hAnsi="Times New Roman"/>
          <w:color w:val="000000" w:themeColor="text1"/>
          <w:sz w:val="16"/>
          <w:szCs w:val="16"/>
        </w:rPr>
        <w:t>джля</w:t>
      </w:r>
      <w:proofErr w:type="spellEnd"/>
      <w:r w:rsidRPr="007122AB">
        <w:rPr>
          <w:rFonts w:ascii="Times New Roman" w:hAnsi="Times New Roman"/>
          <w:color w:val="000000" w:themeColor="text1"/>
          <w:sz w:val="16"/>
          <w:szCs w:val="16"/>
        </w:rPr>
        <w:t xml:space="preserve"> этих самолетов строиться. Конструкция самолетов - частью смешанная, частью - металлическая.</w:t>
      </w:r>
    </w:p>
    <w:p w14:paraId="25653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3-я группа и 4 группа самолетов имеет посадочную скорость порядка 100 км/час и требует больших и хорошо оборудованных аэродромов. Количество этих аэродромов на линиях должно намечаться из количества предполагаемых линий с самолетами этой грузоподъемности и из дальности полета такого самолета. /примерно 70%/. Эти аэродромы должны быть оборудованы тракторами, заправочными установками /самолет на 6 тонн коммерческой нагрузки при указанной для этой группы дальности требует до 10 тонн, одновременной заправки горючим/.</w:t>
      </w:r>
    </w:p>
    <w:p w14:paraId="35F48F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 же касается ангаров, то этот вопрос не является ясным для самолетов этой группы. Самолеты здесь - металлические. Размах - 50 м и больше. </w:t>
      </w:r>
      <w:proofErr w:type="spellStart"/>
      <w:r w:rsidRPr="007122AB">
        <w:rPr>
          <w:rFonts w:ascii="Times New Roman" w:hAnsi="Times New Roman"/>
          <w:color w:val="000000" w:themeColor="text1"/>
          <w:sz w:val="16"/>
          <w:szCs w:val="16"/>
        </w:rPr>
        <w:t>Повилимому</w:t>
      </w:r>
      <w:proofErr w:type="spellEnd"/>
      <w:r w:rsidRPr="007122AB">
        <w:rPr>
          <w:rFonts w:ascii="Times New Roman" w:hAnsi="Times New Roman"/>
          <w:color w:val="000000" w:themeColor="text1"/>
          <w:sz w:val="16"/>
          <w:szCs w:val="16"/>
        </w:rPr>
        <w:t xml:space="preserve">, ангары </w:t>
      </w:r>
      <w:proofErr w:type="spellStart"/>
      <w:r w:rsidRPr="007122AB">
        <w:rPr>
          <w:rFonts w:ascii="Times New Roman" w:hAnsi="Times New Roman"/>
          <w:color w:val="000000" w:themeColor="text1"/>
          <w:sz w:val="16"/>
          <w:szCs w:val="16"/>
        </w:rPr>
        <w:t>пож</w:t>
      </w:r>
      <w:proofErr w:type="spellEnd"/>
      <w:r w:rsidRPr="007122AB">
        <w:rPr>
          <w:rFonts w:ascii="Times New Roman" w:hAnsi="Times New Roman"/>
          <w:color w:val="000000" w:themeColor="text1"/>
          <w:sz w:val="16"/>
          <w:szCs w:val="16"/>
        </w:rPr>
        <w:t xml:space="preserve"> эти самолеты не следует </w:t>
      </w:r>
      <w:proofErr w:type="spellStart"/>
      <w:r w:rsidRPr="007122AB">
        <w:rPr>
          <w:rFonts w:ascii="Times New Roman" w:hAnsi="Times New Roman"/>
          <w:color w:val="000000" w:themeColor="text1"/>
          <w:sz w:val="16"/>
          <w:szCs w:val="16"/>
        </w:rPr>
        <w:t>строитьТолько</w:t>
      </w:r>
      <w:proofErr w:type="spellEnd"/>
      <w:r w:rsidRPr="007122AB">
        <w:rPr>
          <w:rFonts w:ascii="Times New Roman" w:hAnsi="Times New Roman"/>
          <w:color w:val="000000" w:themeColor="text1"/>
          <w:sz w:val="16"/>
          <w:szCs w:val="16"/>
        </w:rPr>
        <w:t xml:space="preserve"> в местах, где данные самолеты будут ремонтироваться, следует построить специальные сооружения.</w:t>
      </w:r>
    </w:p>
    <w:p w14:paraId="022FF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 О плане опытного самолетостроения на 1931-32 гг.</w:t>
      </w:r>
    </w:p>
    <w:p w14:paraId="04E4A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Планы опытного самолетостроения ГВФ приняты Правлением ВО ГВФ и ориентировочная характеристика опытных самолетов разослана в ВАО, ЦАГИ и др. Ориентировочная характеристика опытного самолетостроения на 5 лет - прилагается.</w:t>
      </w:r>
    </w:p>
    <w:p w14:paraId="5319A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1931 г. приняты к постройке самолеты не </w:t>
      </w:r>
      <w:proofErr w:type="spellStart"/>
      <w:r w:rsidRPr="007122AB">
        <w:rPr>
          <w:rFonts w:ascii="Times New Roman" w:hAnsi="Times New Roman"/>
          <w:color w:val="000000" w:themeColor="text1"/>
          <w:sz w:val="16"/>
          <w:szCs w:val="16"/>
        </w:rPr>
        <w:t>свыщше</w:t>
      </w:r>
      <w:proofErr w:type="spellEnd"/>
      <w:r w:rsidRPr="007122AB">
        <w:rPr>
          <w:rFonts w:ascii="Times New Roman" w:hAnsi="Times New Roman"/>
          <w:color w:val="000000" w:themeColor="text1"/>
          <w:sz w:val="16"/>
          <w:szCs w:val="16"/>
        </w:rPr>
        <w:t xml:space="preserve"> 6-7 тонн коммерческой нагрузки. На 1932 г. отнесены самолеты </w:t>
      </w:r>
      <w:proofErr w:type="spellStart"/>
      <w:r w:rsidRPr="007122AB">
        <w:rPr>
          <w:rFonts w:ascii="Times New Roman" w:hAnsi="Times New Roman"/>
          <w:color w:val="000000" w:themeColor="text1"/>
          <w:sz w:val="16"/>
          <w:szCs w:val="16"/>
        </w:rPr>
        <w:t>больштх</w:t>
      </w:r>
      <w:proofErr w:type="spellEnd"/>
      <w:r w:rsidRPr="007122AB">
        <w:rPr>
          <w:rFonts w:ascii="Times New Roman" w:hAnsi="Times New Roman"/>
          <w:color w:val="000000" w:themeColor="text1"/>
          <w:sz w:val="16"/>
          <w:szCs w:val="16"/>
        </w:rPr>
        <w:t xml:space="preserve"> грузоподъемностей и частью гидросамолеты. Некоторые из них /как, например, К-7/ после постройки опытного образца - уже не могут быть изготовлены в серии при имеющемся оборудовании заводов /требуются большие печи для термической обработки сваренных ферм </w:t>
      </w:r>
      <w:proofErr w:type="spellStart"/>
      <w:r w:rsidRPr="007122AB">
        <w:rPr>
          <w:rFonts w:ascii="Times New Roman" w:hAnsi="Times New Roman"/>
          <w:color w:val="000000" w:themeColor="text1"/>
          <w:sz w:val="16"/>
          <w:szCs w:val="16"/>
        </w:rPr>
        <w:t>крыдльев</w:t>
      </w:r>
      <w:proofErr w:type="spellEnd"/>
      <w:r w:rsidRPr="007122AB">
        <w:rPr>
          <w:rFonts w:ascii="Times New Roman" w:hAnsi="Times New Roman"/>
          <w:color w:val="000000" w:themeColor="text1"/>
          <w:sz w:val="16"/>
          <w:szCs w:val="16"/>
        </w:rPr>
        <w:t xml:space="preserve"> из молибденовых труб/. Намеченное в плане дублирование опытных самолетов по-видимому придется отставить. Поэтому </w:t>
      </w:r>
      <w:proofErr w:type="spellStart"/>
      <w:r w:rsidRPr="007122AB">
        <w:rPr>
          <w:rFonts w:ascii="Times New Roman" w:hAnsi="Times New Roman"/>
          <w:color w:val="000000" w:themeColor="text1"/>
          <w:sz w:val="16"/>
          <w:szCs w:val="16"/>
        </w:rPr>
        <w:t>прогамму</w:t>
      </w:r>
      <w:proofErr w:type="spellEnd"/>
      <w:r w:rsidRPr="007122AB">
        <w:rPr>
          <w:rFonts w:ascii="Times New Roman" w:hAnsi="Times New Roman"/>
          <w:color w:val="000000" w:themeColor="text1"/>
          <w:sz w:val="16"/>
          <w:szCs w:val="16"/>
        </w:rPr>
        <w:t xml:space="preserve"> на 1932 г. придется распределять без </w:t>
      </w:r>
      <w:proofErr w:type="spellStart"/>
      <w:r w:rsidRPr="007122AB">
        <w:rPr>
          <w:rFonts w:ascii="Times New Roman" w:hAnsi="Times New Roman"/>
          <w:color w:val="000000" w:themeColor="text1"/>
          <w:sz w:val="16"/>
          <w:szCs w:val="16"/>
        </w:rPr>
        <w:t>дублированя</w:t>
      </w:r>
      <w:proofErr w:type="spellEnd"/>
      <w:r w:rsidRPr="007122AB">
        <w:rPr>
          <w:rFonts w:ascii="Times New Roman" w:hAnsi="Times New Roman"/>
          <w:color w:val="000000" w:themeColor="text1"/>
          <w:sz w:val="16"/>
          <w:szCs w:val="16"/>
        </w:rPr>
        <w:t xml:space="preserve"> между ВАО, ЦАГИ и др.</w:t>
      </w:r>
    </w:p>
    <w:p w14:paraId="1A7669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Из видов индустрии, которые будут поставщиками опытного /а затем и серийного/ производства самолетов, следует в первую </w:t>
      </w:r>
      <w:proofErr w:type="spellStart"/>
      <w:r w:rsidRPr="007122AB">
        <w:rPr>
          <w:rFonts w:ascii="Times New Roman" w:hAnsi="Times New Roman"/>
          <w:color w:val="000000" w:themeColor="text1"/>
          <w:sz w:val="16"/>
          <w:szCs w:val="16"/>
        </w:rPr>
        <w:t>очерелдь</w:t>
      </w:r>
      <w:proofErr w:type="spellEnd"/>
      <w:r w:rsidRPr="007122AB">
        <w:rPr>
          <w:rFonts w:ascii="Times New Roman" w:hAnsi="Times New Roman"/>
          <w:color w:val="000000" w:themeColor="text1"/>
          <w:sz w:val="16"/>
          <w:szCs w:val="16"/>
        </w:rPr>
        <w:t xml:space="preserve"> назвать предприятия по изготовлению сортамента /трубы, профиля, листовой материал из хромистых, хромомолибденовых и др. Сталей/. Дюраль, по-видимому, будет вытесняться указанными высококачественными сталями, имеющими </w:t>
      </w:r>
      <w:proofErr w:type="spellStart"/>
      <w:r w:rsidRPr="007122AB">
        <w:rPr>
          <w:rFonts w:ascii="Times New Roman" w:hAnsi="Times New Roman"/>
          <w:color w:val="000000" w:themeColor="text1"/>
          <w:sz w:val="16"/>
          <w:szCs w:val="16"/>
        </w:rPr>
        <w:t>превосходныек</w:t>
      </w:r>
      <w:proofErr w:type="spellEnd"/>
      <w:r w:rsidRPr="007122AB">
        <w:rPr>
          <w:rFonts w:ascii="Times New Roman" w:hAnsi="Times New Roman"/>
          <w:color w:val="000000" w:themeColor="text1"/>
          <w:sz w:val="16"/>
          <w:szCs w:val="16"/>
        </w:rPr>
        <w:t xml:space="preserve"> качества в отношении прочности, упругости и долговечности /например, нержавеющая сталь/. Кроме того, более простые сорта стали могут быть специально обработаны /оксидированы/, для избежания ржавления.</w:t>
      </w:r>
    </w:p>
    <w:p w14:paraId="4BBCD0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дюраль на ближайшее время будет еще очень ходовым материалом для конструкции и поэтому вопрос о цветных металлах должен также быть в центре внимания.</w:t>
      </w:r>
    </w:p>
    <w:p w14:paraId="2589E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Большое количество самолетов потребует как основного материала конструкции - дерева /лучшие сорта сосны, ясень и т.д./</w:t>
      </w:r>
    </w:p>
    <w:p w14:paraId="36859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Поэтому должна быть в широких размерах организована заготовка и просушка деревянного материала/, в т.ч. и фанеры, которая, между прочим, дает хорошие данные в соединении со сталью.</w:t>
      </w:r>
    </w:p>
    <w:p w14:paraId="3D9E98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Ряд вспомогательных устройств потребует продукции предприятий: стальной,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и радиотехнической промышленности, приборов, текстильной и т.п.</w:t>
      </w:r>
    </w:p>
    <w:p w14:paraId="0849F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Количественная доля в общей продукции каждого такого вида производства должны быть учтены ВАО применительно к контрольным цифрам серийного производства самолетов по годам.</w:t>
      </w:r>
    </w:p>
    <w:p w14:paraId="17AB9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Порядок, который сейчас замечен при утверждении планов опытного самолетостроения эскизов опытных самолетов и макетов - в достаточной мере обеспечивает </w:t>
      </w:r>
      <w:proofErr w:type="spellStart"/>
      <w:r w:rsidRPr="007122AB">
        <w:rPr>
          <w:rFonts w:ascii="Times New Roman" w:hAnsi="Times New Roman"/>
          <w:color w:val="000000" w:themeColor="text1"/>
          <w:sz w:val="16"/>
          <w:szCs w:val="16"/>
        </w:rPr>
        <w:t>наивыгоднейшее</w:t>
      </w:r>
      <w:proofErr w:type="spellEnd"/>
      <w:r w:rsidRPr="007122AB">
        <w:rPr>
          <w:rFonts w:ascii="Times New Roman" w:hAnsi="Times New Roman"/>
          <w:color w:val="000000" w:themeColor="text1"/>
          <w:sz w:val="16"/>
          <w:szCs w:val="16"/>
        </w:rPr>
        <w:t xml:space="preserve"> применение в ГВФ у условиях войны.</w:t>
      </w:r>
    </w:p>
    <w:p w14:paraId="2C0B14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1У. Опытное моторостроение</w:t>
      </w:r>
    </w:p>
    <w:p w14:paraId="402920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водяного охлаждения в 1500 л.с. должен быть готов к серии к началу 1932 г.</w:t>
      </w:r>
    </w:p>
    <w:p w14:paraId="04BDE7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водяного охлаждения в 1500 л.с. должен быть готов к серии к началу 1933 г.</w:t>
      </w:r>
    </w:p>
    <w:p w14:paraId="04628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водяного охлаждения в 2000 л.с. должен быть готов к серии к началу 1933 г.</w:t>
      </w:r>
    </w:p>
    <w:p w14:paraId="5216AD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на тяжелом топливе мощностью 300 л.с. должен быть готов к серии к началу 1933 г.</w:t>
      </w:r>
    </w:p>
    <w:p w14:paraId="4B179D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на тяжелом топливе мощностью 750 л.с. должен быть готов к серии к началу 1933 г.</w:t>
      </w:r>
    </w:p>
    <w:p w14:paraId="63F83D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воздушного охлаждения в 500-600 л.с. должен быть готов к серии к началу 1932 г.</w:t>
      </w:r>
    </w:p>
    <w:p w14:paraId="4563B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Заключение</w:t>
      </w:r>
    </w:p>
    <w:p w14:paraId="1E870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о реконструкции оборудования, в связи с новыми конструкциями самолетов и новыми достижениями в области специальных служб - предмет требующий особого рассмотрения и освещен лишь попутно и кратко.</w:t>
      </w:r>
    </w:p>
    <w:p w14:paraId="3C1A1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Некоторый материал, освещающий лишь количественные и качественные изменения в материальной части самолетно-моторного парка:</w:t>
      </w:r>
    </w:p>
    <w:p w14:paraId="4F4929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w:t>
      </w:r>
    </w:p>
    <w:p w14:paraId="44B939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Ориентировочная характеристика опытного </w:t>
      </w:r>
      <w:proofErr w:type="spellStart"/>
      <w:r w:rsidRPr="007122AB">
        <w:rPr>
          <w:rFonts w:ascii="Times New Roman" w:hAnsi="Times New Roman"/>
          <w:color w:val="000000" w:themeColor="text1"/>
          <w:sz w:val="16"/>
          <w:szCs w:val="16"/>
        </w:rPr>
        <w:t>самолетосмтроения</w:t>
      </w:r>
      <w:proofErr w:type="spellEnd"/>
      <w:r w:rsidRPr="007122AB">
        <w:rPr>
          <w:rFonts w:ascii="Times New Roman" w:hAnsi="Times New Roman"/>
          <w:color w:val="000000" w:themeColor="text1"/>
          <w:sz w:val="16"/>
          <w:szCs w:val="16"/>
        </w:rPr>
        <w:t xml:space="preserve"> ГВФ по 5-ти летнему плану /задания ВАО и ЦАГИ/.</w:t>
      </w:r>
    </w:p>
    <w:p w14:paraId="10E7A8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Статистические данные гражданских самолетов заграницей на 1926-30 гг. (351).</w:t>
      </w:r>
    </w:p>
    <w:p w14:paraId="2224DA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1931 были </w:t>
      </w:r>
      <w:proofErr w:type="spellStart"/>
      <w:r w:rsidRPr="007122AB">
        <w:rPr>
          <w:rFonts w:ascii="Times New Roman" w:hAnsi="Times New Roman"/>
          <w:color w:val="000000" w:themeColor="text1"/>
          <w:sz w:val="16"/>
          <w:szCs w:val="16"/>
        </w:rPr>
        <w:t>предсталены</w:t>
      </w:r>
      <w:proofErr w:type="spellEnd"/>
      <w:r w:rsidRPr="007122AB">
        <w:rPr>
          <w:rFonts w:ascii="Times New Roman" w:hAnsi="Times New Roman"/>
          <w:color w:val="000000" w:themeColor="text1"/>
          <w:sz w:val="16"/>
          <w:szCs w:val="16"/>
        </w:rPr>
        <w:t>:</w:t>
      </w:r>
    </w:p>
    <w:p w14:paraId="7AD67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моменты реконструкции ГВФ</w:t>
      </w:r>
    </w:p>
    <w:p w14:paraId="1026D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Приступая к работе по уточнению пятилетнего плана ГВФ Объединению необходимо иметь план реконструкции ГВФ, т.е. учета всех тех качественных изменений /по линии материальной части: самолетов, моторов, земного оборудования, специальных служб, ремонтов, норм </w:t>
      </w:r>
      <w:proofErr w:type="spellStart"/>
      <w:r w:rsidRPr="007122AB">
        <w:rPr>
          <w:rFonts w:ascii="Times New Roman" w:hAnsi="Times New Roman"/>
          <w:color w:val="000000" w:themeColor="text1"/>
          <w:sz w:val="16"/>
          <w:szCs w:val="16"/>
        </w:rPr>
        <w:t>эксплоатации</w:t>
      </w:r>
      <w:proofErr w:type="spellEnd"/>
      <w:r w:rsidRPr="007122AB">
        <w:rPr>
          <w:rFonts w:ascii="Times New Roman" w:hAnsi="Times New Roman"/>
          <w:color w:val="000000" w:themeColor="text1"/>
          <w:sz w:val="16"/>
          <w:szCs w:val="16"/>
        </w:rPr>
        <w:t xml:space="preserve"> и т.д./, которые в настоящее время выявились на основе тенденций развития советской и мировой авиационной техники.</w:t>
      </w:r>
    </w:p>
    <w:p w14:paraId="3C6EF8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очевидно, что пятилетний план не может пройти мимо соответствующих конструктивных изменений.</w:t>
      </w:r>
    </w:p>
    <w:p w14:paraId="083937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Созывая специалистов авиации различных организаций Объединение просит всех приглашенных товарищей дать на предстоящем совещании свои соображения о путях реконструкции ГВФ.</w:t>
      </w:r>
    </w:p>
    <w:p w14:paraId="16248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Перечень основных </w:t>
      </w:r>
      <w:proofErr w:type="spellStart"/>
      <w:r w:rsidRPr="007122AB">
        <w:rPr>
          <w:rFonts w:ascii="Times New Roman" w:hAnsi="Times New Roman"/>
          <w:color w:val="000000" w:themeColor="text1"/>
          <w:sz w:val="16"/>
          <w:szCs w:val="16"/>
        </w:rPr>
        <w:t>вопросв</w:t>
      </w:r>
      <w:proofErr w:type="spellEnd"/>
      <w:r w:rsidRPr="007122AB">
        <w:rPr>
          <w:rFonts w:ascii="Times New Roman" w:hAnsi="Times New Roman"/>
          <w:color w:val="000000" w:themeColor="text1"/>
          <w:sz w:val="16"/>
          <w:szCs w:val="16"/>
        </w:rPr>
        <w:t xml:space="preserve"> приводится ниже:</w:t>
      </w:r>
    </w:p>
    <w:p w14:paraId="126EF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Самолеты</w:t>
      </w:r>
    </w:p>
    <w:p w14:paraId="45F8D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направления развития новых типов самолетов</w:t>
      </w:r>
    </w:p>
    <w:p w14:paraId="75E28B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постройки самолетов специального назначения (гидросамолетов, рекордных самолетов и т.д.)</w:t>
      </w:r>
    </w:p>
    <w:p w14:paraId="0EFD9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увеличение грузоподъемности самолетов</w:t>
      </w:r>
    </w:p>
    <w:p w14:paraId="3188E3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увеличение дальности полетов</w:t>
      </w:r>
    </w:p>
    <w:p w14:paraId="6B8B8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увеличение скорости</w:t>
      </w:r>
    </w:p>
    <w:p w14:paraId="62D08A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увеличение норм использования самолетов и сроков их службы</w:t>
      </w:r>
    </w:p>
    <w:p w14:paraId="755D3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механизация ремонтов и уменьшение сроков ремонтов самолетов.</w:t>
      </w:r>
    </w:p>
    <w:p w14:paraId="141E40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Новые материалы для моторов и самолетостроению</w:t>
      </w:r>
    </w:p>
    <w:p w14:paraId="67A931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Организация </w:t>
      </w:r>
      <w:proofErr w:type="spellStart"/>
      <w:r w:rsidRPr="007122AB">
        <w:rPr>
          <w:rFonts w:ascii="Times New Roman" w:hAnsi="Times New Roman"/>
          <w:color w:val="000000" w:themeColor="text1"/>
          <w:sz w:val="16"/>
          <w:szCs w:val="16"/>
        </w:rPr>
        <w:t>срепых</w:t>
      </w:r>
      <w:proofErr w:type="spellEnd"/>
      <w:r w:rsidRPr="007122AB">
        <w:rPr>
          <w:rFonts w:ascii="Times New Roman" w:hAnsi="Times New Roman"/>
          <w:color w:val="000000" w:themeColor="text1"/>
          <w:sz w:val="16"/>
          <w:szCs w:val="16"/>
        </w:rPr>
        <w:t xml:space="preserve"> полетов и соответствующих специальных служб</w:t>
      </w:r>
    </w:p>
    <w:p w14:paraId="60CA75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Вопрос о необходимости светооборудования в случае положительного разрешения вопроса об организации слепых </w:t>
      </w:r>
      <w:proofErr w:type="spellStart"/>
      <w:r w:rsidRPr="007122AB">
        <w:rPr>
          <w:rFonts w:ascii="Times New Roman" w:hAnsi="Times New Roman"/>
          <w:color w:val="000000" w:themeColor="text1"/>
          <w:sz w:val="16"/>
          <w:szCs w:val="16"/>
        </w:rPr>
        <w:t>поллетов</w:t>
      </w:r>
      <w:proofErr w:type="spellEnd"/>
    </w:p>
    <w:p w14:paraId="52019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5. Новые моменты конструкции самолетов /достижение минимального пробега и разбега - разрезные крылья, геликоптеры и </w:t>
      </w:r>
      <w:proofErr w:type="spellStart"/>
      <w:r w:rsidRPr="007122AB">
        <w:rPr>
          <w:rFonts w:ascii="Times New Roman" w:hAnsi="Times New Roman"/>
          <w:color w:val="000000" w:themeColor="text1"/>
          <w:sz w:val="16"/>
          <w:szCs w:val="16"/>
        </w:rPr>
        <w:t>тп.п</w:t>
      </w:r>
      <w:proofErr w:type="spellEnd"/>
      <w:r w:rsidRPr="007122AB">
        <w:rPr>
          <w:rFonts w:ascii="Times New Roman" w:hAnsi="Times New Roman"/>
          <w:color w:val="000000" w:themeColor="text1"/>
          <w:sz w:val="16"/>
          <w:szCs w:val="16"/>
        </w:rPr>
        <w:t>./</w:t>
      </w:r>
    </w:p>
    <w:p w14:paraId="2183D7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Устойчивость полетов</w:t>
      </w:r>
    </w:p>
    <w:p w14:paraId="59ED94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Аэронавигация, радиопеленгование и т.п.</w:t>
      </w:r>
    </w:p>
    <w:p w14:paraId="0A63C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Пополнение горючего в воздухе</w:t>
      </w:r>
    </w:p>
    <w:p w14:paraId="30355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Борьба с туманами</w:t>
      </w:r>
    </w:p>
    <w:p w14:paraId="0915EC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Моторы</w:t>
      </w:r>
    </w:p>
    <w:p w14:paraId="29292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моторы на тяжелом топливе</w:t>
      </w:r>
    </w:p>
    <w:p w14:paraId="2B1E1E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требования к моторам ГА</w:t>
      </w:r>
    </w:p>
    <w:p w14:paraId="3D8AF5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увеличение норм работы моторов</w:t>
      </w:r>
    </w:p>
    <w:p w14:paraId="16F5A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улучшение технической </w:t>
      </w:r>
      <w:proofErr w:type="spellStart"/>
      <w:r w:rsidRPr="007122AB">
        <w:rPr>
          <w:rFonts w:ascii="Times New Roman" w:hAnsi="Times New Roman"/>
          <w:color w:val="000000" w:themeColor="text1"/>
          <w:sz w:val="16"/>
          <w:szCs w:val="16"/>
        </w:rPr>
        <w:t>эксплоатации</w:t>
      </w:r>
      <w:proofErr w:type="spellEnd"/>
      <w:r w:rsidRPr="007122AB">
        <w:rPr>
          <w:rFonts w:ascii="Times New Roman" w:hAnsi="Times New Roman"/>
          <w:color w:val="000000" w:themeColor="text1"/>
          <w:sz w:val="16"/>
          <w:szCs w:val="16"/>
        </w:rPr>
        <w:t xml:space="preserve"> моторов</w:t>
      </w:r>
    </w:p>
    <w:p w14:paraId="698552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w:t>
      </w:r>
      <w:proofErr w:type="spellStart"/>
      <w:r w:rsidRPr="007122AB">
        <w:rPr>
          <w:rFonts w:ascii="Times New Roman" w:hAnsi="Times New Roman"/>
          <w:color w:val="000000" w:themeColor="text1"/>
          <w:sz w:val="16"/>
          <w:szCs w:val="16"/>
        </w:rPr>
        <w:t>мехзанизация</w:t>
      </w:r>
      <w:proofErr w:type="spellEnd"/>
      <w:r w:rsidRPr="007122AB">
        <w:rPr>
          <w:rFonts w:ascii="Times New Roman" w:hAnsi="Times New Roman"/>
          <w:color w:val="000000" w:themeColor="text1"/>
          <w:sz w:val="16"/>
          <w:szCs w:val="16"/>
        </w:rPr>
        <w:t xml:space="preserve"> ремонтов /запчасти/. Уменьшение сроков ремонта и промежутков между последними.</w:t>
      </w:r>
    </w:p>
    <w:p w14:paraId="3ABACB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ракетные двигатели</w:t>
      </w:r>
    </w:p>
    <w:p w14:paraId="2B0D5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Земное оборудование</w:t>
      </w:r>
    </w:p>
    <w:p w14:paraId="3908CE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вопрос о размерах аэродромов и посадочных площадок и расстояния между ними в связи с вопросами, затронутыми в п. Первом (самолеты)</w:t>
      </w:r>
    </w:p>
    <w:p w14:paraId="21F1EB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бензохранилища</w:t>
      </w:r>
    </w:p>
    <w:p w14:paraId="58E96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вопрос реконструкции </w:t>
      </w:r>
      <w:proofErr w:type="spellStart"/>
      <w:r w:rsidRPr="007122AB">
        <w:rPr>
          <w:rFonts w:ascii="Times New Roman" w:hAnsi="Times New Roman"/>
          <w:color w:val="000000" w:themeColor="text1"/>
          <w:sz w:val="16"/>
          <w:szCs w:val="16"/>
        </w:rPr>
        <w:t>мастреских</w:t>
      </w:r>
      <w:proofErr w:type="spellEnd"/>
      <w:r w:rsidRPr="007122AB">
        <w:rPr>
          <w:rFonts w:ascii="Times New Roman" w:hAnsi="Times New Roman"/>
          <w:color w:val="000000" w:themeColor="text1"/>
          <w:sz w:val="16"/>
          <w:szCs w:val="16"/>
        </w:rPr>
        <w:t xml:space="preserve"> и их дислокации в зависимости от изменения </w:t>
      </w:r>
      <w:proofErr w:type="spellStart"/>
      <w:r w:rsidRPr="007122AB">
        <w:rPr>
          <w:rFonts w:ascii="Times New Roman" w:hAnsi="Times New Roman"/>
          <w:color w:val="000000" w:themeColor="text1"/>
          <w:sz w:val="16"/>
          <w:szCs w:val="16"/>
        </w:rPr>
        <w:t>мотодов</w:t>
      </w:r>
      <w:proofErr w:type="spellEnd"/>
      <w:r w:rsidRPr="007122AB">
        <w:rPr>
          <w:rFonts w:ascii="Times New Roman" w:hAnsi="Times New Roman"/>
          <w:color w:val="000000" w:themeColor="text1"/>
          <w:sz w:val="16"/>
          <w:szCs w:val="16"/>
        </w:rPr>
        <w:t xml:space="preserve"> и организации ремонта</w:t>
      </w:r>
    </w:p>
    <w:p w14:paraId="0E2B39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реконструкции радио и </w:t>
      </w:r>
      <w:proofErr w:type="spellStart"/>
      <w:r w:rsidRPr="007122AB">
        <w:rPr>
          <w:rFonts w:ascii="Times New Roman" w:hAnsi="Times New Roman"/>
          <w:color w:val="000000" w:themeColor="text1"/>
          <w:sz w:val="16"/>
          <w:szCs w:val="16"/>
        </w:rPr>
        <w:t>метеооборудования</w:t>
      </w:r>
      <w:proofErr w:type="spellEnd"/>
      <w:r w:rsidRPr="007122AB">
        <w:rPr>
          <w:rFonts w:ascii="Times New Roman" w:hAnsi="Times New Roman"/>
          <w:color w:val="000000" w:themeColor="text1"/>
          <w:sz w:val="16"/>
          <w:szCs w:val="16"/>
        </w:rPr>
        <w:t xml:space="preserve"> земных станций</w:t>
      </w:r>
    </w:p>
    <w:p w14:paraId="2B4E7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ангары (необходимость таковых и их размеры)</w:t>
      </w:r>
    </w:p>
    <w:p w14:paraId="7BBBC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создание условий подвижности воздушных линий</w:t>
      </w:r>
    </w:p>
    <w:p w14:paraId="6D0E62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механизация и рационализация аэродромных работ</w:t>
      </w:r>
    </w:p>
    <w:p w14:paraId="5BEF3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Эффективность рационализаторских мероприятий (351).</w:t>
      </w:r>
    </w:p>
    <w:p w14:paraId="03252B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w:t>
      </w:r>
    </w:p>
    <w:p w14:paraId="440BE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В.Б.Шавров</w:t>
      </w:r>
      <w:proofErr w:type="spellEnd"/>
      <w:r w:rsidRPr="007122AB">
        <w:rPr>
          <w:rFonts w:ascii="Times New Roman" w:hAnsi="Times New Roman"/>
          <w:color w:val="000000" w:themeColor="text1"/>
          <w:sz w:val="16"/>
          <w:szCs w:val="16"/>
        </w:rPr>
        <w:t xml:space="preserve"> представил тезисы: Типы самолетов ГВФ, пути и перспективы развития гражданского самолетостроения</w:t>
      </w:r>
    </w:p>
    <w:p w14:paraId="1708B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Содержание</w:t>
      </w:r>
    </w:p>
    <w:p w14:paraId="445F8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Типы гражданских самолетов, которые должны поступить на снабжение в течение второй пятилетки или необходимы к постройке к концу ее</w:t>
      </w:r>
    </w:p>
    <w:p w14:paraId="210C1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Опытное самолетостроение на 1932</w:t>
      </w:r>
    </w:p>
    <w:p w14:paraId="68AC92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proofErr w:type="spellStart"/>
      <w:r w:rsidRPr="007122AB">
        <w:rPr>
          <w:rFonts w:ascii="Times New Roman" w:hAnsi="Times New Roman"/>
          <w:color w:val="000000" w:themeColor="text1"/>
          <w:sz w:val="16"/>
          <w:szCs w:val="16"/>
        </w:rPr>
        <w:t>Оспользование</w:t>
      </w:r>
      <w:proofErr w:type="spellEnd"/>
      <w:r w:rsidRPr="007122AB">
        <w:rPr>
          <w:rFonts w:ascii="Times New Roman" w:hAnsi="Times New Roman"/>
          <w:color w:val="000000" w:themeColor="text1"/>
          <w:sz w:val="16"/>
          <w:szCs w:val="16"/>
        </w:rPr>
        <w:t xml:space="preserve"> военных самолетов, снимаемых с вооружения и опытных</w:t>
      </w:r>
    </w:p>
    <w:p w14:paraId="3F78D0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Общие направления в опытном и серийном самолетостроении</w:t>
      </w:r>
    </w:p>
    <w:p w14:paraId="18E99E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Распределение самолетов по районам и областям применения</w:t>
      </w:r>
    </w:p>
    <w:p w14:paraId="5561A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Типы гражданских самолетов, которые должны поступить на снабжение в течение второй пятилетки или необходимы к постройке к концу ее</w:t>
      </w:r>
    </w:p>
    <w:p w14:paraId="1F675A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Мы здесь хотим охватить все потребные типы самолетов для всех видов применения авиации в н/х, дать им возможно точные </w:t>
      </w:r>
      <w:proofErr w:type="spellStart"/>
      <w:r w:rsidRPr="007122AB">
        <w:rPr>
          <w:rFonts w:ascii="Times New Roman" w:hAnsi="Times New Roman"/>
          <w:color w:val="000000" w:themeColor="text1"/>
          <w:sz w:val="16"/>
          <w:szCs w:val="16"/>
        </w:rPr>
        <w:t>хзарактеристики</w:t>
      </w:r>
      <w:proofErr w:type="spellEnd"/>
      <w:r w:rsidRPr="007122AB">
        <w:rPr>
          <w:rFonts w:ascii="Times New Roman" w:hAnsi="Times New Roman"/>
          <w:color w:val="000000" w:themeColor="text1"/>
          <w:sz w:val="16"/>
          <w:szCs w:val="16"/>
        </w:rPr>
        <w:t xml:space="preserve"> и постараться свести к возможному минимуму их число.</w:t>
      </w:r>
    </w:p>
    <w:p w14:paraId="5B0679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всем стремлении к уменьшению числа типов и введению всяческой унификации мы не можем получить в серийном производстве меньше 10-12 типов в силу большого разнообразия их назначения и работы</w:t>
      </w:r>
    </w:p>
    <w:p w14:paraId="226CF7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Сведение всего самолетного парка к определенному числу отдельных типов самолетов, как правило, не должно быть связано с их конструктивным выполнением. Мы рассматриваем требования к самолетам со стороны народного хозяйства и хотим дать те типы самолетов, которые бы </w:t>
      </w:r>
      <w:proofErr w:type="spellStart"/>
      <w:r w:rsidRPr="007122AB">
        <w:rPr>
          <w:rFonts w:ascii="Times New Roman" w:hAnsi="Times New Roman"/>
          <w:color w:val="000000" w:themeColor="text1"/>
          <w:sz w:val="16"/>
          <w:szCs w:val="16"/>
        </w:rPr>
        <w:t>довлетворяли</w:t>
      </w:r>
      <w:proofErr w:type="spellEnd"/>
      <w:r w:rsidRPr="007122AB">
        <w:rPr>
          <w:rFonts w:ascii="Times New Roman" w:hAnsi="Times New Roman"/>
          <w:color w:val="000000" w:themeColor="text1"/>
          <w:sz w:val="16"/>
          <w:szCs w:val="16"/>
        </w:rPr>
        <w:t xml:space="preserve"> им. Точная обрисовка каждо</w:t>
      </w:r>
      <w:r w:rsidRPr="007122AB">
        <w:rPr>
          <w:rFonts w:ascii="Times New Roman" w:hAnsi="Times New Roman"/>
          <w:color w:val="000000" w:themeColor="text1"/>
          <w:sz w:val="16"/>
          <w:szCs w:val="16"/>
        </w:rPr>
        <w:softHyphen/>
        <w:t xml:space="preserve">го типа преследует цель внесения полной конкретности в задания и требования к ним, независимо от общих рассуждений о </w:t>
      </w:r>
      <w:proofErr w:type="spellStart"/>
      <w:r w:rsidRPr="007122AB">
        <w:rPr>
          <w:rFonts w:ascii="Times New Roman" w:hAnsi="Times New Roman"/>
          <w:color w:val="000000" w:themeColor="text1"/>
          <w:sz w:val="16"/>
          <w:szCs w:val="16"/>
        </w:rPr>
        <w:t>наивыгоднейших</w:t>
      </w:r>
      <w:proofErr w:type="spellEnd"/>
      <w:r w:rsidRPr="007122AB">
        <w:rPr>
          <w:rFonts w:ascii="Times New Roman" w:hAnsi="Times New Roman"/>
          <w:color w:val="000000" w:themeColor="text1"/>
          <w:sz w:val="16"/>
          <w:szCs w:val="16"/>
        </w:rPr>
        <w:t xml:space="preserve"> размерах, тоннаже, мощности и дальности, которые в свое очередь, должны быть уточнены.</w:t>
      </w:r>
    </w:p>
    <w:p w14:paraId="49537C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Желание возможно полнее удовлетворить разносторонние и все возрастающие требования к гражданскому воздушному флоту заставляет увеличивать число типов и специализировать их. И обратное стремление - в целях удешевления самолетов всячески стандартизировать их и уменьшать число типов.</w:t>
      </w:r>
    </w:p>
    <w:p w14:paraId="22DB02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Пожтому</w:t>
      </w:r>
      <w:proofErr w:type="spellEnd"/>
      <w:r w:rsidRPr="007122AB">
        <w:rPr>
          <w:rFonts w:ascii="Times New Roman" w:hAnsi="Times New Roman"/>
          <w:color w:val="000000" w:themeColor="text1"/>
          <w:sz w:val="16"/>
          <w:szCs w:val="16"/>
        </w:rPr>
        <w:t xml:space="preserve"> нам придется выделить такие основные и абсолютно неизбежные, а параллельно им обрисовать ти</w:t>
      </w:r>
      <w:r w:rsidRPr="007122AB">
        <w:rPr>
          <w:rFonts w:ascii="Times New Roman" w:hAnsi="Times New Roman"/>
          <w:color w:val="000000" w:themeColor="text1"/>
          <w:sz w:val="16"/>
          <w:szCs w:val="16"/>
        </w:rPr>
        <w:softHyphen/>
        <w:t xml:space="preserve">пы только желательные </w:t>
      </w:r>
      <w:proofErr w:type="spellStart"/>
      <w:r w:rsidRPr="007122AB">
        <w:rPr>
          <w:rFonts w:ascii="Times New Roman" w:hAnsi="Times New Roman"/>
          <w:color w:val="000000" w:themeColor="text1"/>
          <w:sz w:val="16"/>
          <w:szCs w:val="16"/>
        </w:rPr>
        <w:t>нли</w:t>
      </w:r>
      <w:proofErr w:type="spellEnd"/>
      <w:r w:rsidRPr="007122AB">
        <w:rPr>
          <w:rFonts w:ascii="Times New Roman" w:hAnsi="Times New Roman"/>
          <w:color w:val="000000" w:themeColor="text1"/>
          <w:sz w:val="16"/>
          <w:szCs w:val="16"/>
        </w:rPr>
        <w:t xml:space="preserve"> же специальные варианты по отдельным областям применения.</w:t>
      </w:r>
    </w:p>
    <w:p w14:paraId="470937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Никогда нельзя забывать и о военном применении. Мы говорим о типе независимо от того, </w:t>
      </w:r>
      <w:proofErr w:type="spellStart"/>
      <w:r w:rsidRPr="007122AB">
        <w:rPr>
          <w:rFonts w:ascii="Times New Roman" w:hAnsi="Times New Roman"/>
          <w:color w:val="000000" w:themeColor="text1"/>
          <w:sz w:val="16"/>
          <w:szCs w:val="16"/>
        </w:rPr>
        <w:t>существувт</w:t>
      </w:r>
      <w:proofErr w:type="spellEnd"/>
      <w:r w:rsidRPr="007122AB">
        <w:rPr>
          <w:rFonts w:ascii="Times New Roman" w:hAnsi="Times New Roman"/>
          <w:color w:val="000000" w:themeColor="text1"/>
          <w:sz w:val="16"/>
          <w:szCs w:val="16"/>
        </w:rPr>
        <w:t xml:space="preserve"> ли он уже или его надо создать и, независимо от его технического совершенства. Весь типаж самолетов сво</w:t>
      </w:r>
      <w:r w:rsidRPr="007122AB">
        <w:rPr>
          <w:rFonts w:ascii="Times New Roman" w:hAnsi="Times New Roman"/>
          <w:color w:val="000000" w:themeColor="text1"/>
          <w:sz w:val="16"/>
          <w:szCs w:val="16"/>
        </w:rPr>
        <w:softHyphen/>
        <w:t>дим к трем основным группам: малый, средний и большой грузовой емкости. Отдельно - рекордные.</w:t>
      </w:r>
    </w:p>
    <w:p w14:paraId="479BFB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Самолеты малой </w:t>
      </w:r>
      <w:proofErr w:type="spellStart"/>
      <w:r w:rsidRPr="007122AB">
        <w:rPr>
          <w:rFonts w:ascii="Times New Roman" w:hAnsi="Times New Roman"/>
          <w:color w:val="000000" w:themeColor="text1"/>
          <w:sz w:val="16"/>
          <w:szCs w:val="16"/>
        </w:rPr>
        <w:t>подъемности</w:t>
      </w:r>
      <w:proofErr w:type="spellEnd"/>
    </w:p>
    <w:p w14:paraId="460315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коммерческая нагрузка - до 0,5 т</w:t>
      </w:r>
    </w:p>
    <w:p w14:paraId="7F5139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в среднем - 750 км</w:t>
      </w:r>
    </w:p>
    <w:p w14:paraId="6A26BD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Основных типов здесь - 4*</w:t>
      </w:r>
    </w:p>
    <w:p w14:paraId="6B2F00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легкий сухопутный</w:t>
      </w:r>
    </w:p>
    <w:p w14:paraId="054530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легкий амфибия</w:t>
      </w:r>
    </w:p>
    <w:p w14:paraId="4A578D3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легкий пассажирский</w:t>
      </w:r>
    </w:p>
    <w:p w14:paraId="1BD14BA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почтовой скоростной.</w:t>
      </w:r>
    </w:p>
    <w:p w14:paraId="475002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легкий сухопутный с мотором от 100 до 200 км</w:t>
      </w:r>
    </w:p>
    <w:p w14:paraId="638B81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тип является сборным и может распадаться на ряд отдельных типов в зависимости от назначения его типа и мотора.</w:t>
      </w:r>
    </w:p>
    <w:p w14:paraId="79EC41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Основной тип</w:t>
      </w:r>
    </w:p>
    <w:p w14:paraId="77A1BB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1а учебный, 2-х местный тип У-2 М-11 </w:t>
      </w:r>
      <w:proofErr w:type="spellStart"/>
      <w:r w:rsidRPr="007122AB">
        <w:rPr>
          <w:rFonts w:ascii="Times New Roman" w:hAnsi="Times New Roman"/>
          <w:color w:val="000000" w:themeColor="text1"/>
          <w:sz w:val="16"/>
          <w:szCs w:val="16"/>
        </w:rPr>
        <w:t>смешаной</w:t>
      </w:r>
      <w:proofErr w:type="spellEnd"/>
      <w:r w:rsidRPr="007122AB">
        <w:rPr>
          <w:rFonts w:ascii="Times New Roman" w:hAnsi="Times New Roman"/>
          <w:color w:val="000000" w:themeColor="text1"/>
          <w:sz w:val="16"/>
          <w:szCs w:val="16"/>
        </w:rPr>
        <w:t xml:space="preserve"> конструкции биплан</w:t>
      </w:r>
    </w:p>
    <w:p w14:paraId="12A9F7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около 600</w:t>
      </w:r>
    </w:p>
    <w:p w14:paraId="1D7681E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нагрузки - 250-300</w:t>
      </w:r>
    </w:p>
    <w:p w14:paraId="6662B4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- 60 - 150</w:t>
      </w:r>
    </w:p>
    <w:p w14:paraId="73B6E2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учебного назначения /</w:t>
      </w:r>
      <w:proofErr w:type="spellStart"/>
      <w:r w:rsidRPr="007122AB">
        <w:rPr>
          <w:rFonts w:ascii="Times New Roman" w:hAnsi="Times New Roman"/>
          <w:color w:val="000000" w:themeColor="text1"/>
          <w:sz w:val="16"/>
          <w:szCs w:val="16"/>
        </w:rPr>
        <w:t>одмнаково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длл</w:t>
      </w:r>
      <w:proofErr w:type="spellEnd"/>
      <w:r w:rsidRPr="007122AB">
        <w:rPr>
          <w:rFonts w:ascii="Times New Roman" w:hAnsi="Times New Roman"/>
          <w:color w:val="000000" w:themeColor="text1"/>
          <w:sz w:val="16"/>
          <w:szCs w:val="16"/>
        </w:rPr>
        <w:t xml:space="preserve"> граждан</w:t>
      </w:r>
      <w:r w:rsidRPr="007122AB">
        <w:rPr>
          <w:rFonts w:ascii="Times New Roman" w:hAnsi="Times New Roman"/>
          <w:color w:val="000000" w:themeColor="text1"/>
          <w:sz w:val="16"/>
          <w:szCs w:val="16"/>
        </w:rPr>
        <w:softHyphen/>
        <w:t xml:space="preserve">ских и </w:t>
      </w:r>
      <w:proofErr w:type="spellStart"/>
      <w:r w:rsidRPr="007122AB">
        <w:rPr>
          <w:rFonts w:ascii="Times New Roman" w:hAnsi="Times New Roman"/>
          <w:color w:val="000000" w:themeColor="text1"/>
          <w:sz w:val="16"/>
          <w:szCs w:val="16"/>
        </w:rPr>
        <w:t>военныхшкол</w:t>
      </w:r>
      <w:proofErr w:type="spellEnd"/>
      <w:r w:rsidRPr="007122AB">
        <w:rPr>
          <w:rFonts w:ascii="Times New Roman" w:hAnsi="Times New Roman"/>
          <w:color w:val="000000" w:themeColor="text1"/>
          <w:sz w:val="16"/>
          <w:szCs w:val="16"/>
        </w:rPr>
        <w:t>/ может нести еще несколько второстепенных функций:</w:t>
      </w:r>
    </w:p>
    <w:p w14:paraId="4A255D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Бытовой</w:t>
      </w:r>
    </w:p>
    <w:p w14:paraId="167B26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Спортивный</w:t>
      </w:r>
    </w:p>
    <w:p w14:paraId="0D8990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Аэроклубный</w:t>
      </w:r>
      <w:proofErr w:type="spellEnd"/>
    </w:p>
    <w:p w14:paraId="716729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туризма</w:t>
      </w:r>
    </w:p>
    <w:p w14:paraId="1DC0F4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Исполкомовский (частично)</w:t>
      </w:r>
    </w:p>
    <w:p w14:paraId="0E79EF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1934 года может частично замениться типом У-3 с мотором М-48 160-200 л.с. с оставлением той же схемы, размеров и конструкции.</w:t>
      </w:r>
    </w:p>
    <w:p w14:paraId="76F7D9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1б - тип У-3 должен иметь разрезное крыло и тормоза на колесах /они могут быть и на У-2/</w:t>
      </w:r>
    </w:p>
    <w:p w14:paraId="1D6D7B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ТИПОВОЙ</w:t>
      </w:r>
    </w:p>
    <w:p w14:paraId="0C25E3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 пустого около 650 - 750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w:t>
      </w:r>
    </w:p>
    <w:p w14:paraId="248F3E0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Нагрузка - 300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w:t>
      </w:r>
    </w:p>
    <w:p w14:paraId="264C2A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- 55-180 км/час</w:t>
      </w:r>
    </w:p>
    <w:p w14:paraId="52F7F5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Учебный и тренировочный</w:t>
      </w:r>
    </w:p>
    <w:p w14:paraId="0D9E52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 все функции У-2</w:t>
      </w:r>
    </w:p>
    <w:p w14:paraId="0DE22A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появлением у нас мотора в 160-200 сил при весе в 150-180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У-2 будет полностью заменен У-3</w:t>
      </w:r>
    </w:p>
    <w:p w14:paraId="38955B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этому основному типу учебного самолета примыкают еще 2 тика для спортивных и бытовых целей. Один тип - это бывшая авиетка в 50-80 сил типа АКР и другой сухопутный с закрытой кабиной - скоростной самолет типа АКР проходит свою эволюцию в том </w:t>
      </w:r>
      <w:proofErr w:type="spellStart"/>
      <w:r w:rsidRPr="007122AB">
        <w:rPr>
          <w:rFonts w:ascii="Times New Roman" w:hAnsi="Times New Roman"/>
          <w:color w:val="000000" w:themeColor="text1"/>
          <w:sz w:val="16"/>
          <w:szCs w:val="16"/>
        </w:rPr>
        <w:t>направленни</w:t>
      </w:r>
      <w:proofErr w:type="spellEnd"/>
      <w:r w:rsidRPr="007122AB">
        <w:rPr>
          <w:rFonts w:ascii="Times New Roman" w:hAnsi="Times New Roman"/>
          <w:color w:val="000000" w:themeColor="text1"/>
          <w:sz w:val="16"/>
          <w:szCs w:val="16"/>
        </w:rPr>
        <w:t>, что постепенно увеличивает свою мощность с 60 до 80, до 100 и до 130 сил., почти не увеличивал размеров, потом для увеличения скорости начинает понемногу менять и схему переходя в моноплан с закрытой кабиной в иногда с разрезными крыльями. За-границей при наличии хороших моторов /например “</w:t>
      </w:r>
      <w:proofErr w:type="spellStart"/>
      <w:r w:rsidRPr="007122AB">
        <w:rPr>
          <w:rFonts w:ascii="Times New Roman" w:hAnsi="Times New Roman"/>
          <w:color w:val="000000" w:themeColor="text1"/>
          <w:sz w:val="16"/>
          <w:szCs w:val="16"/>
        </w:rPr>
        <w:t>Джетси</w:t>
      </w:r>
      <w:proofErr w:type="spellEnd"/>
      <w:r w:rsidRPr="007122AB">
        <w:rPr>
          <w:rFonts w:ascii="Times New Roman" w:hAnsi="Times New Roman"/>
          <w:color w:val="000000" w:themeColor="text1"/>
          <w:sz w:val="16"/>
          <w:szCs w:val="16"/>
        </w:rPr>
        <w:t>” 130 л. с. возникший из 60-сильного</w:t>
      </w:r>
      <w:r w:rsidRPr="007122AB">
        <w:rPr>
          <w:rFonts w:ascii="Times New Roman" w:hAnsi="Times New Roman"/>
          <w:smallCaps/>
          <w:color w:val="000000" w:themeColor="text1"/>
          <w:sz w:val="16"/>
          <w:szCs w:val="16"/>
        </w:rPr>
        <w:t>/ этот</w:t>
      </w:r>
      <w:r w:rsidRPr="007122AB">
        <w:rPr>
          <w:rFonts w:ascii="Times New Roman" w:hAnsi="Times New Roman"/>
          <w:color w:val="000000" w:themeColor="text1"/>
          <w:sz w:val="16"/>
          <w:szCs w:val="16"/>
        </w:rPr>
        <w:t xml:space="preserve"> процесс привел к тому, что почти все бившие авиетки, начиная с 20-ти сильных, дошли теперь до 130 сил, превратились в достаточно </w:t>
      </w:r>
      <w:proofErr w:type="spellStart"/>
      <w:r w:rsidRPr="007122AB">
        <w:rPr>
          <w:rFonts w:ascii="Times New Roman" w:hAnsi="Times New Roman"/>
          <w:color w:val="000000" w:themeColor="text1"/>
          <w:sz w:val="16"/>
          <w:szCs w:val="16"/>
        </w:rPr>
        <w:t>бысхроходные</w:t>
      </w:r>
      <w:proofErr w:type="spellEnd"/>
      <w:r w:rsidRPr="007122AB">
        <w:rPr>
          <w:rFonts w:ascii="Times New Roman" w:hAnsi="Times New Roman"/>
          <w:color w:val="000000" w:themeColor="text1"/>
          <w:sz w:val="16"/>
          <w:szCs w:val="16"/>
        </w:rPr>
        <w:t xml:space="preserve"> спортивные и туристские самолеты.</w:t>
      </w:r>
    </w:p>
    <w:p w14:paraId="54D102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Нам кажется целесообразным </w:t>
      </w:r>
      <w:proofErr w:type="spellStart"/>
      <w:r w:rsidRPr="007122AB">
        <w:rPr>
          <w:rFonts w:ascii="Times New Roman" w:hAnsi="Times New Roman"/>
          <w:color w:val="000000" w:themeColor="text1"/>
          <w:sz w:val="16"/>
          <w:szCs w:val="16"/>
        </w:rPr>
        <w:t>сонить</w:t>
      </w:r>
      <w:proofErr w:type="spellEnd"/>
      <w:r w:rsidRPr="007122AB">
        <w:rPr>
          <w:rFonts w:ascii="Times New Roman" w:hAnsi="Times New Roman"/>
          <w:color w:val="000000" w:themeColor="text1"/>
          <w:sz w:val="16"/>
          <w:szCs w:val="16"/>
        </w:rPr>
        <w:t xml:space="preserve"> на ближайшие года тип легкого 70-сильного самолета АИР для нужд аэроклубов и местной авиации. </w:t>
      </w:r>
      <w:proofErr w:type="spellStart"/>
      <w:r w:rsidRPr="007122AB">
        <w:rPr>
          <w:rFonts w:ascii="Times New Roman" w:hAnsi="Times New Roman"/>
          <w:color w:val="000000" w:themeColor="text1"/>
          <w:sz w:val="16"/>
          <w:szCs w:val="16"/>
        </w:rPr>
        <w:t>Массовм</w:t>
      </w:r>
      <w:proofErr w:type="spellEnd"/>
      <w:r w:rsidRPr="007122AB">
        <w:rPr>
          <w:rFonts w:ascii="Times New Roman" w:hAnsi="Times New Roman"/>
          <w:color w:val="000000" w:themeColor="text1"/>
          <w:sz w:val="16"/>
          <w:szCs w:val="16"/>
        </w:rPr>
        <w:t xml:space="preserve"> он не будет, но в </w:t>
      </w:r>
      <w:proofErr w:type="spellStart"/>
      <w:r w:rsidRPr="007122AB">
        <w:rPr>
          <w:rFonts w:ascii="Times New Roman" w:hAnsi="Times New Roman"/>
          <w:color w:val="000000" w:themeColor="text1"/>
          <w:sz w:val="16"/>
          <w:szCs w:val="16"/>
        </w:rPr>
        <w:t>небольшитх</w:t>
      </w:r>
      <w:proofErr w:type="spellEnd"/>
      <w:r w:rsidRPr="007122AB">
        <w:rPr>
          <w:rFonts w:ascii="Times New Roman" w:hAnsi="Times New Roman"/>
          <w:color w:val="000000" w:themeColor="text1"/>
          <w:sz w:val="16"/>
          <w:szCs w:val="16"/>
        </w:rPr>
        <w:t xml:space="preserve"> сериях строиться </w:t>
      </w:r>
      <w:proofErr w:type="spellStart"/>
      <w:r w:rsidRPr="007122AB">
        <w:rPr>
          <w:rFonts w:ascii="Times New Roman" w:hAnsi="Times New Roman"/>
          <w:color w:val="000000" w:themeColor="text1"/>
          <w:sz w:val="16"/>
          <w:szCs w:val="16"/>
        </w:rPr>
        <w:t>можети</w:t>
      </w:r>
      <w:proofErr w:type="spellEnd"/>
      <w:r w:rsidRPr="007122AB">
        <w:rPr>
          <w:rFonts w:ascii="Times New Roman" w:hAnsi="Times New Roman"/>
          <w:color w:val="000000" w:themeColor="text1"/>
          <w:sz w:val="16"/>
          <w:szCs w:val="16"/>
        </w:rPr>
        <w:t xml:space="preserve"> в зависимости от количества моторов НАМИ 65 /Доллежаля/, которое будет выпущено.</w:t>
      </w:r>
    </w:p>
    <w:p w14:paraId="7166C4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Могут строиться и монопланы и бипланы.</w:t>
      </w:r>
    </w:p>
    <w:p w14:paraId="0E9CA0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надо забывать, что основное обучение будет все же производится на 100-сильных самолетах типа У-2 и потом У-3</w:t>
      </w:r>
    </w:p>
    <w:p w14:paraId="29CF76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Эти самолеты будут действительно </w:t>
      </w:r>
      <w:proofErr w:type="spellStart"/>
      <w:r w:rsidRPr="007122AB">
        <w:rPr>
          <w:rFonts w:ascii="Times New Roman" w:hAnsi="Times New Roman"/>
          <w:color w:val="000000" w:themeColor="text1"/>
          <w:sz w:val="16"/>
          <w:szCs w:val="16"/>
        </w:rPr>
        <w:t>массовми</w:t>
      </w:r>
      <w:proofErr w:type="spellEnd"/>
      <w:r w:rsidRPr="007122AB">
        <w:rPr>
          <w:rFonts w:ascii="Times New Roman" w:hAnsi="Times New Roman"/>
          <w:color w:val="000000" w:themeColor="text1"/>
          <w:sz w:val="16"/>
          <w:szCs w:val="16"/>
        </w:rPr>
        <w:t>, могут кооперироваться и тем удешевляться. Нужно определенное стандартное обучение летчиков военных и гражданских на одном определенном типе и это ограничивает распространение более легких машин типа АИР.</w:t>
      </w:r>
    </w:p>
    <w:p w14:paraId="16F4D4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Конструкция </w:t>
      </w:r>
      <w:r w:rsidRPr="007122AB">
        <w:rPr>
          <w:rFonts w:ascii="Times New Roman" w:hAnsi="Times New Roman"/>
          <w:smallCaps/>
          <w:color w:val="000000" w:themeColor="text1"/>
          <w:sz w:val="16"/>
          <w:szCs w:val="16"/>
        </w:rPr>
        <w:t>у-</w:t>
      </w:r>
      <w:r w:rsidRPr="007122AB">
        <w:rPr>
          <w:rFonts w:ascii="Times New Roman" w:hAnsi="Times New Roman"/>
          <w:color w:val="000000" w:themeColor="text1"/>
          <w:sz w:val="16"/>
          <w:szCs w:val="16"/>
        </w:rPr>
        <w:t>2 при превращении его в У-3 может и должна быть улучшена, но это не меняет типа машины, как стандартной.</w:t>
      </w:r>
    </w:p>
    <w:p w14:paraId="498018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1в легкий сухопутный самолет под 65-70 мтл /комп. 65/</w:t>
      </w:r>
    </w:p>
    <w:p w14:paraId="523BEA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 пустого - около 350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w:t>
      </w:r>
    </w:p>
    <w:p w14:paraId="5FAD04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Нагрузка - 200-250 </w:t>
      </w:r>
      <w:proofErr w:type="spellStart"/>
      <w:r w:rsidRPr="007122AB">
        <w:rPr>
          <w:rFonts w:ascii="Times New Roman" w:hAnsi="Times New Roman"/>
          <w:color w:val="000000" w:themeColor="text1"/>
          <w:sz w:val="16"/>
          <w:szCs w:val="16"/>
        </w:rPr>
        <w:t>кгр</w:t>
      </w:r>
      <w:proofErr w:type="spellEnd"/>
    </w:p>
    <w:p w14:paraId="0B8D17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60 - 140 к/час.</w:t>
      </w:r>
    </w:p>
    <w:p w14:paraId="3ECAD6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смешанная.</w:t>
      </w:r>
    </w:p>
    <w:p w14:paraId="0698852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Спортвный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аэроклубный</w:t>
      </w:r>
      <w:proofErr w:type="spellEnd"/>
      <w:r w:rsidRPr="007122AB">
        <w:rPr>
          <w:rFonts w:ascii="Times New Roman" w:hAnsi="Times New Roman"/>
          <w:color w:val="000000" w:themeColor="text1"/>
          <w:sz w:val="16"/>
          <w:szCs w:val="16"/>
        </w:rPr>
        <w:t>, бытовой</w:t>
      </w:r>
    </w:p>
    <w:p w14:paraId="2438F88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1г сухопутный с закрытой кабиной</w:t>
      </w:r>
    </w:p>
    <w:p w14:paraId="38A2C7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Типа </w:t>
      </w:r>
      <w:proofErr w:type="spellStart"/>
      <w:r w:rsidRPr="007122AB">
        <w:rPr>
          <w:rFonts w:ascii="Times New Roman" w:hAnsi="Times New Roman"/>
          <w:color w:val="000000" w:themeColor="text1"/>
          <w:sz w:val="16"/>
          <w:szCs w:val="16"/>
        </w:rPr>
        <w:t>пусс-масз</w:t>
      </w:r>
      <w:proofErr w:type="spellEnd"/>
      <w:r w:rsidRPr="007122AB">
        <w:rPr>
          <w:rFonts w:ascii="Times New Roman" w:hAnsi="Times New Roman"/>
          <w:color w:val="000000" w:themeColor="text1"/>
          <w:sz w:val="16"/>
          <w:szCs w:val="16"/>
        </w:rPr>
        <w:t xml:space="preserve"> или Бреда, </w:t>
      </w:r>
      <w:proofErr w:type="spellStart"/>
      <w:r w:rsidRPr="007122AB">
        <w:rPr>
          <w:rFonts w:ascii="Times New Roman" w:hAnsi="Times New Roman"/>
          <w:color w:val="000000" w:themeColor="text1"/>
          <w:sz w:val="16"/>
          <w:szCs w:val="16"/>
        </w:rPr>
        <w:t>Клем</w:t>
      </w:r>
      <w:proofErr w:type="spellEnd"/>
      <w:r w:rsidRPr="007122AB">
        <w:rPr>
          <w:rFonts w:ascii="Times New Roman" w:hAnsi="Times New Roman"/>
          <w:color w:val="000000" w:themeColor="text1"/>
          <w:sz w:val="16"/>
          <w:szCs w:val="16"/>
        </w:rPr>
        <w:t xml:space="preserve"> и др.</w:t>
      </w:r>
    </w:p>
    <w:p w14:paraId="57CC7A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мотором 100- 200 л.с..</w:t>
      </w:r>
    </w:p>
    <w:p w14:paraId="5A8DFE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или М-48 или с цилиндрами в ряд - воздушного охлаждения 2-3 местный смешанной конструкции</w:t>
      </w:r>
    </w:p>
    <w:p w14:paraId="145FC9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 около 600</w:t>
      </w:r>
    </w:p>
    <w:p w14:paraId="39C89E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Нагрузка - 250 - 400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w:t>
      </w:r>
    </w:p>
    <w:p w14:paraId="6086DD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- 80 - 240</w:t>
      </w:r>
    </w:p>
    <w:p w14:paraId="30F879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Желательны </w:t>
      </w:r>
      <w:proofErr w:type="spellStart"/>
      <w:r w:rsidRPr="007122AB">
        <w:rPr>
          <w:rFonts w:ascii="Times New Roman" w:hAnsi="Times New Roman"/>
          <w:color w:val="000000" w:themeColor="text1"/>
          <w:sz w:val="16"/>
          <w:szCs w:val="16"/>
        </w:rPr>
        <w:t>разрезнае</w:t>
      </w:r>
      <w:proofErr w:type="spellEnd"/>
      <w:r w:rsidRPr="007122AB">
        <w:rPr>
          <w:rFonts w:ascii="Times New Roman" w:hAnsi="Times New Roman"/>
          <w:color w:val="000000" w:themeColor="text1"/>
          <w:sz w:val="16"/>
          <w:szCs w:val="16"/>
        </w:rPr>
        <w:t xml:space="preserve"> крылья</w:t>
      </w:r>
    </w:p>
    <w:p w14:paraId="4753ACF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спорта, туризма, исполкомовский и местной авиации.</w:t>
      </w:r>
    </w:p>
    <w:p w14:paraId="70202A1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большой степени зависит от наличия мотора воздушного охлаждения с цилиндрами в ряд /лучше опрокинутого/ и без него такой самолет теряет значительную часть своего смысла.</w:t>
      </w:r>
    </w:p>
    <w:p w14:paraId="1CFBBF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нашему мнению, этот самолет и мотор для него существовать должны, так как это - лучший тип для того, что за-границей называется индивидуальным использованием и для нас вовсе не теряет своего смысла.</w:t>
      </w:r>
    </w:p>
    <w:p w14:paraId="00F9D0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1д У-2 </w:t>
      </w:r>
      <w:proofErr w:type="spellStart"/>
      <w:r w:rsidRPr="007122AB">
        <w:rPr>
          <w:rFonts w:ascii="Times New Roman" w:hAnsi="Times New Roman"/>
          <w:color w:val="000000" w:themeColor="text1"/>
          <w:sz w:val="16"/>
          <w:szCs w:val="16"/>
        </w:rPr>
        <w:t>аэропыл</w:t>
      </w:r>
      <w:proofErr w:type="spellEnd"/>
      <w:r w:rsidRPr="007122AB">
        <w:rPr>
          <w:rFonts w:ascii="Times New Roman" w:hAnsi="Times New Roman"/>
          <w:color w:val="000000" w:themeColor="text1"/>
          <w:sz w:val="16"/>
          <w:szCs w:val="16"/>
        </w:rPr>
        <w:t xml:space="preserve"> в теперешнем его виде. Этот тип всегда может существовать, </w:t>
      </w:r>
      <w:proofErr w:type="spellStart"/>
      <w:r w:rsidRPr="007122AB">
        <w:rPr>
          <w:rFonts w:ascii="Times New Roman" w:hAnsi="Times New Roman"/>
          <w:color w:val="000000" w:themeColor="text1"/>
          <w:sz w:val="16"/>
          <w:szCs w:val="16"/>
        </w:rPr>
        <w:t>являлоь</w:t>
      </w:r>
      <w:proofErr w:type="spellEnd"/>
      <w:r w:rsidRPr="007122AB">
        <w:rPr>
          <w:rFonts w:ascii="Times New Roman" w:hAnsi="Times New Roman"/>
          <w:color w:val="000000" w:themeColor="text1"/>
          <w:sz w:val="16"/>
          <w:szCs w:val="16"/>
        </w:rPr>
        <w:t xml:space="preserve"> вариантом обычного У-2 или У-3</w:t>
      </w:r>
    </w:p>
    <w:p w14:paraId="0AB8CF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 эти </w:t>
      </w:r>
      <w:proofErr w:type="spellStart"/>
      <w:r w:rsidRPr="007122AB">
        <w:rPr>
          <w:rFonts w:ascii="Times New Roman" w:hAnsi="Times New Roman"/>
          <w:color w:val="000000" w:themeColor="text1"/>
          <w:sz w:val="16"/>
          <w:szCs w:val="16"/>
        </w:rPr>
        <w:t>сухопытные</w:t>
      </w:r>
      <w:proofErr w:type="spellEnd"/>
      <w:r w:rsidRPr="007122AB">
        <w:rPr>
          <w:rFonts w:ascii="Times New Roman" w:hAnsi="Times New Roman"/>
          <w:color w:val="000000" w:themeColor="text1"/>
          <w:sz w:val="16"/>
          <w:szCs w:val="16"/>
        </w:rPr>
        <w:t xml:space="preserve"> самолеты должны иметь возможность ставиться на поплавки без переделок конструкции кроме шасси.</w:t>
      </w:r>
    </w:p>
    <w:p w14:paraId="6F01E2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У-2 /и для У-3/ у нас уже имеется шасси на одном поплавке, идущее в небольшой серии.</w:t>
      </w:r>
    </w:p>
    <w:p w14:paraId="3662CD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Двух поплавковое </w:t>
      </w:r>
      <w:proofErr w:type="spellStart"/>
      <w:r w:rsidRPr="007122AB">
        <w:rPr>
          <w:rFonts w:ascii="Times New Roman" w:hAnsi="Times New Roman"/>
          <w:color w:val="000000" w:themeColor="text1"/>
          <w:sz w:val="16"/>
          <w:szCs w:val="16"/>
        </w:rPr>
        <w:t>шассн</w:t>
      </w:r>
      <w:proofErr w:type="spellEnd"/>
      <w:r w:rsidRPr="007122AB">
        <w:rPr>
          <w:rFonts w:ascii="Times New Roman" w:hAnsi="Times New Roman"/>
          <w:color w:val="000000" w:themeColor="text1"/>
          <w:sz w:val="16"/>
          <w:szCs w:val="16"/>
        </w:rPr>
        <w:t xml:space="preserve"> может применяться с тем же успехом, что и </w:t>
      </w:r>
      <w:proofErr w:type="spellStart"/>
      <w:r w:rsidRPr="007122AB">
        <w:rPr>
          <w:rFonts w:ascii="Times New Roman" w:hAnsi="Times New Roman"/>
          <w:color w:val="000000" w:themeColor="text1"/>
          <w:sz w:val="16"/>
          <w:szCs w:val="16"/>
        </w:rPr>
        <w:t>одноплававковое</w:t>
      </w:r>
      <w:proofErr w:type="spellEnd"/>
      <w:r w:rsidRPr="007122AB">
        <w:rPr>
          <w:rFonts w:ascii="Times New Roman" w:hAnsi="Times New Roman"/>
          <w:color w:val="000000" w:themeColor="text1"/>
          <w:sz w:val="16"/>
          <w:szCs w:val="16"/>
        </w:rPr>
        <w:t>;</w:t>
      </w:r>
    </w:p>
    <w:p w14:paraId="077268E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 является в основном машиной для сухопутного обучения. Обучение морских летчиков рациональнее производить на учебной лодке ввиду ее большего сходства с настоящими лодочными гидросамолетами.</w:t>
      </w:r>
    </w:p>
    <w:p w14:paraId="4B2FA2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Легкая амфибия типа Ш-2</w:t>
      </w:r>
    </w:p>
    <w:p w14:paraId="7D777C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3-х местная смешанной конструкции</w:t>
      </w:r>
    </w:p>
    <w:p w14:paraId="6BFC98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2а В теперешнем виде с М-11</w:t>
      </w:r>
    </w:p>
    <w:p w14:paraId="5467A5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- 640 - 650</w:t>
      </w:r>
    </w:p>
    <w:p w14:paraId="274822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Нагрузка - 277 - 400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w:t>
      </w:r>
    </w:p>
    <w:p w14:paraId="156E5B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 - 65 - 140 - 150- км.</w:t>
      </w:r>
    </w:p>
    <w:p w14:paraId="45A777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2б С мотором М-48, разрезным крылом и тормозами</w:t>
      </w:r>
    </w:p>
    <w:p w14:paraId="44AFE0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- 670-680</w:t>
      </w:r>
    </w:p>
    <w:p w14:paraId="2A571E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- 277 - 500</w:t>
      </w:r>
    </w:p>
    <w:p w14:paraId="6B3457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 - 55 - 16- 170</w:t>
      </w:r>
    </w:p>
    <w:p w14:paraId="521696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Может применяться как амфибия с колесным или лыжным шасси и как летающая лодка без шасси. Скорость максимальная у лодки выше примерно на 10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/час.</w:t>
      </w:r>
    </w:p>
    <w:p w14:paraId="47985F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Тип 2б /или Ш-3/ </w:t>
      </w:r>
      <w:proofErr w:type="spellStart"/>
      <w:r w:rsidRPr="007122AB">
        <w:rPr>
          <w:rFonts w:ascii="Times New Roman" w:hAnsi="Times New Roman"/>
          <w:color w:val="000000" w:themeColor="text1"/>
          <w:sz w:val="16"/>
          <w:szCs w:val="16"/>
        </w:rPr>
        <w:t>впоследствие</w:t>
      </w:r>
      <w:proofErr w:type="spellEnd"/>
      <w:r w:rsidRPr="007122AB">
        <w:rPr>
          <w:rFonts w:ascii="Times New Roman" w:hAnsi="Times New Roman"/>
          <w:color w:val="000000" w:themeColor="text1"/>
          <w:sz w:val="16"/>
          <w:szCs w:val="16"/>
        </w:rPr>
        <w:t xml:space="preserve"> может целиком заменить теперешний тип Ш-2, т.к. все размеры при этом не изменяются и кроме устройства разрезных крыльев и большего мотора остальным ничем не отличаются.</w:t>
      </w:r>
    </w:p>
    <w:p w14:paraId="3BA10B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ПРИМЕЧАНИЕ: использование этого типа самолета наиболее </w:t>
      </w:r>
      <w:proofErr w:type="spellStart"/>
      <w:r w:rsidRPr="007122AB">
        <w:rPr>
          <w:rFonts w:ascii="Times New Roman" w:hAnsi="Times New Roman"/>
          <w:color w:val="000000" w:themeColor="text1"/>
          <w:sz w:val="16"/>
          <w:szCs w:val="16"/>
        </w:rPr>
        <w:t>рзнообразно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ваиду</w:t>
      </w:r>
      <w:proofErr w:type="spellEnd"/>
      <w:r w:rsidRPr="007122AB">
        <w:rPr>
          <w:rFonts w:ascii="Times New Roman" w:hAnsi="Times New Roman"/>
          <w:color w:val="000000" w:themeColor="text1"/>
          <w:sz w:val="16"/>
          <w:szCs w:val="16"/>
        </w:rPr>
        <w:t xml:space="preserve"> его универсального характера как амфибии.</w:t>
      </w:r>
    </w:p>
    <w:p w14:paraId="2C4CA6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Связь в речных и северных районах</w:t>
      </w:r>
    </w:p>
    <w:p w14:paraId="1397CB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Учебная лодка</w:t>
      </w:r>
    </w:p>
    <w:p w14:paraId="415691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различных хозяйственных целей (совхозы, колхозы, лесное хозяйство, промыслы, разведка, изыскания геологические и дорожные, самолет для экспедиций).</w:t>
      </w:r>
    </w:p>
    <w:p w14:paraId="3107E1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погранохране</w:t>
      </w:r>
    </w:p>
    <w:p w14:paraId="166807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Спортивная и </w:t>
      </w:r>
      <w:proofErr w:type="spellStart"/>
      <w:r w:rsidRPr="007122AB">
        <w:rPr>
          <w:rFonts w:ascii="Times New Roman" w:hAnsi="Times New Roman"/>
          <w:color w:val="000000" w:themeColor="text1"/>
          <w:sz w:val="16"/>
          <w:szCs w:val="16"/>
        </w:rPr>
        <w:t>аэроклубная</w:t>
      </w:r>
      <w:proofErr w:type="spellEnd"/>
    </w:p>
    <w:p w14:paraId="2FEED9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Исполкомовская</w:t>
      </w:r>
    </w:p>
    <w:p w14:paraId="790A45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для разведки с кораблей в </w:t>
      </w:r>
      <w:proofErr w:type="spellStart"/>
      <w:r w:rsidRPr="007122AB">
        <w:rPr>
          <w:rFonts w:ascii="Times New Roman" w:hAnsi="Times New Roman"/>
          <w:color w:val="000000" w:themeColor="text1"/>
          <w:sz w:val="16"/>
          <w:szCs w:val="16"/>
        </w:rPr>
        <w:t>арктике</w:t>
      </w:r>
      <w:proofErr w:type="spellEnd"/>
      <w:r w:rsidRPr="007122AB">
        <w:rPr>
          <w:rFonts w:ascii="Times New Roman" w:hAnsi="Times New Roman"/>
          <w:color w:val="000000" w:themeColor="text1"/>
          <w:sz w:val="16"/>
          <w:szCs w:val="16"/>
        </w:rPr>
        <w:t>.</w:t>
      </w:r>
    </w:p>
    <w:p w14:paraId="1A0808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Легкий пассажирский</w:t>
      </w:r>
    </w:p>
    <w:p w14:paraId="414644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Сухопутнный</w:t>
      </w:r>
      <w:proofErr w:type="spellEnd"/>
      <w:r w:rsidRPr="007122AB">
        <w:rPr>
          <w:rFonts w:ascii="Times New Roman" w:hAnsi="Times New Roman"/>
          <w:color w:val="000000" w:themeColor="text1"/>
          <w:sz w:val="16"/>
          <w:szCs w:val="16"/>
        </w:rPr>
        <w:t xml:space="preserve"> 4- 6 местный с мотором 300 л.с. /М-26/.</w:t>
      </w:r>
    </w:p>
    <w:p w14:paraId="3FB97D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 лучше всего подпертый моноплан.</w:t>
      </w:r>
    </w:p>
    <w:p w14:paraId="4A1DD4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Представителями этого типа у нас могут служить самолеты Сталь - -2 и Яковлева.</w:t>
      </w:r>
    </w:p>
    <w:p w14:paraId="756A8D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нашему мнению, оба они не являются окончательными типами, могущими идти </w:t>
      </w:r>
      <w:proofErr w:type="spellStart"/>
      <w:r w:rsidRPr="007122AB">
        <w:rPr>
          <w:rFonts w:ascii="Times New Roman" w:hAnsi="Times New Roman"/>
          <w:color w:val="000000" w:themeColor="text1"/>
          <w:sz w:val="16"/>
          <w:szCs w:val="16"/>
        </w:rPr>
        <w:t>вбольшую</w:t>
      </w:r>
      <w:proofErr w:type="spellEnd"/>
      <w:r w:rsidRPr="007122AB">
        <w:rPr>
          <w:rFonts w:ascii="Times New Roman" w:hAnsi="Times New Roman"/>
          <w:color w:val="000000" w:themeColor="text1"/>
          <w:sz w:val="16"/>
          <w:szCs w:val="16"/>
        </w:rPr>
        <w:t xml:space="preserve"> серию, несмотря на хорошие качества. Слабым местом их является наличие заграничных моторов Райт. Для"Сталь-2” замена райта 300 л.с. на наш мотор М- 26 очень проста и повлечет только некоторое понижение летных качеств. Для яковлевского самолета мотор М-26 несколько велик и тяжел и тут возможна или ориентация на какой-то другой мотор, который мы сейчас не можем указать, или же некоторое увеличение размеров самолета. С другой стороны, этот самолет имеет неоспоримые преимущества перед “Сталь-2” в виде своей смешанной конструкции из дерева и </w:t>
      </w:r>
      <w:proofErr w:type="spellStart"/>
      <w:r w:rsidRPr="007122AB">
        <w:rPr>
          <w:rFonts w:ascii="Times New Roman" w:hAnsi="Times New Roman"/>
          <w:color w:val="000000" w:themeColor="text1"/>
          <w:sz w:val="16"/>
          <w:szCs w:val="16"/>
        </w:rPr>
        <w:t>стадьных</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мягкихтруб</w:t>
      </w:r>
      <w:proofErr w:type="spellEnd"/>
      <w:r w:rsidRPr="007122AB">
        <w:rPr>
          <w:rFonts w:ascii="Times New Roman" w:hAnsi="Times New Roman"/>
          <w:color w:val="000000" w:themeColor="text1"/>
          <w:sz w:val="16"/>
          <w:szCs w:val="16"/>
        </w:rPr>
        <w:t xml:space="preserve">, конструкции гораздо более дешевой, простой, из недефицитных материалов. Мы признаем, что самолет из нержавеющей стали </w:t>
      </w:r>
      <w:proofErr w:type="spellStart"/>
      <w:r w:rsidRPr="007122AB">
        <w:rPr>
          <w:rFonts w:ascii="Times New Roman" w:hAnsi="Times New Roman"/>
          <w:color w:val="000000" w:themeColor="text1"/>
          <w:sz w:val="16"/>
          <w:szCs w:val="16"/>
        </w:rPr>
        <w:t>являв»я</w:t>
      </w:r>
      <w:proofErr w:type="spellEnd"/>
      <w:r w:rsidRPr="007122AB">
        <w:rPr>
          <w:rFonts w:ascii="Times New Roman" w:hAnsi="Times New Roman"/>
          <w:color w:val="000000" w:themeColor="text1"/>
          <w:sz w:val="16"/>
          <w:szCs w:val="16"/>
        </w:rPr>
        <w:t xml:space="preserve"> большим шагом вперед, но ни на минуту не должны забывать, что он ближайшие годы будет в несколько раз дороже смешанного, что материал его дефицитный и частью импортный и что техника его производства еще далека от совершенства.</w:t>
      </w:r>
    </w:p>
    <w:p w14:paraId="13B6A0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говорить о массовом самолете в сотнях и тыся</w:t>
      </w:r>
      <w:r w:rsidRPr="007122AB">
        <w:rPr>
          <w:rFonts w:ascii="Times New Roman" w:hAnsi="Times New Roman"/>
          <w:color w:val="000000" w:themeColor="text1"/>
          <w:sz w:val="16"/>
          <w:szCs w:val="16"/>
        </w:rPr>
        <w:softHyphen/>
        <w:t xml:space="preserve">чах экземпляров, то нужно со всей определенностью остановиться на </w:t>
      </w:r>
      <w:proofErr w:type="spellStart"/>
      <w:r w:rsidRPr="007122AB">
        <w:rPr>
          <w:rFonts w:ascii="Times New Roman" w:hAnsi="Times New Roman"/>
          <w:color w:val="000000" w:themeColor="text1"/>
          <w:sz w:val="16"/>
          <w:szCs w:val="16"/>
        </w:rPr>
        <w:t>смеашанной</w:t>
      </w:r>
      <w:proofErr w:type="spellEnd"/>
      <w:r w:rsidRPr="007122AB">
        <w:rPr>
          <w:rFonts w:ascii="Times New Roman" w:hAnsi="Times New Roman"/>
          <w:color w:val="000000" w:themeColor="text1"/>
          <w:sz w:val="16"/>
          <w:szCs w:val="16"/>
        </w:rPr>
        <w:t xml:space="preserve"> конструкции, как наиболее дешевой и </w:t>
      </w:r>
      <w:proofErr w:type="spellStart"/>
      <w:r w:rsidRPr="007122AB">
        <w:rPr>
          <w:rFonts w:ascii="Times New Roman" w:hAnsi="Times New Roman"/>
          <w:color w:val="000000" w:themeColor="text1"/>
          <w:sz w:val="16"/>
          <w:szCs w:val="16"/>
        </w:rPr>
        <w:t>незавсящей</w:t>
      </w:r>
      <w:proofErr w:type="spellEnd"/>
      <w:r w:rsidRPr="007122AB">
        <w:rPr>
          <w:rFonts w:ascii="Times New Roman" w:hAnsi="Times New Roman"/>
          <w:color w:val="000000" w:themeColor="text1"/>
          <w:sz w:val="16"/>
          <w:szCs w:val="16"/>
        </w:rPr>
        <w:t xml:space="preserve"> от редких сортов материалов и от импорта.</w:t>
      </w:r>
    </w:p>
    <w:p w14:paraId="6031C48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Схему же его в виде подпертого моноплана американского типа можно принять без всяких оговорок.</w:t>
      </w:r>
    </w:p>
    <w:p w14:paraId="704C6A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Скорости 80 - 220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w:t>
      </w:r>
    </w:p>
    <w:p w14:paraId="3EA6F7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исполкомовский</w:t>
      </w:r>
    </w:p>
    <w:p w14:paraId="2667329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местной авиации, </w:t>
      </w:r>
      <w:proofErr w:type="spellStart"/>
      <w:r w:rsidRPr="007122AB">
        <w:rPr>
          <w:rFonts w:ascii="Times New Roman" w:hAnsi="Times New Roman"/>
          <w:color w:val="000000" w:themeColor="text1"/>
          <w:sz w:val="16"/>
          <w:szCs w:val="16"/>
        </w:rPr>
        <w:t>постовый</w:t>
      </w:r>
      <w:proofErr w:type="spellEnd"/>
      <w:r w:rsidRPr="007122AB">
        <w:rPr>
          <w:rFonts w:ascii="Times New Roman" w:hAnsi="Times New Roman"/>
          <w:color w:val="000000" w:themeColor="text1"/>
          <w:sz w:val="16"/>
          <w:szCs w:val="16"/>
        </w:rPr>
        <w:t xml:space="preserve"> для подъездных линий</w:t>
      </w:r>
    </w:p>
    <w:p w14:paraId="600C2E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туризма</w:t>
      </w:r>
    </w:p>
    <w:p w14:paraId="4E67BE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аэрофотосъемка крупных масштабов  с переделкой кабины применительно к требованиям съемки</w:t>
      </w:r>
    </w:p>
    <w:p w14:paraId="7CF1CC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может работать и на поплавках</w:t>
      </w:r>
    </w:p>
    <w:p w14:paraId="634C13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Почтовый - скоростной</w:t>
      </w:r>
    </w:p>
    <w:p w14:paraId="789D5B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перевозки матриц и вообще для </w:t>
      </w:r>
      <w:proofErr w:type="spellStart"/>
      <w:r w:rsidRPr="007122AB">
        <w:rPr>
          <w:rFonts w:ascii="Times New Roman" w:hAnsi="Times New Roman"/>
          <w:color w:val="000000" w:themeColor="text1"/>
          <w:sz w:val="16"/>
          <w:szCs w:val="16"/>
        </w:rPr>
        <w:t>дальнихрейсов</w:t>
      </w:r>
      <w:proofErr w:type="spellEnd"/>
      <w:r w:rsidRPr="007122AB">
        <w:rPr>
          <w:rFonts w:ascii="Times New Roman" w:hAnsi="Times New Roman"/>
          <w:color w:val="000000" w:themeColor="text1"/>
          <w:sz w:val="16"/>
          <w:szCs w:val="16"/>
        </w:rPr>
        <w:t xml:space="preserve"> с малой нагрузкой.</w:t>
      </w:r>
    </w:p>
    <w:p w14:paraId="47DC6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Может быть и высотно-скоростной</w:t>
      </w:r>
    </w:p>
    <w:p w14:paraId="6CF5F4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мы считаем, что вся группа легких:</w:t>
      </w:r>
    </w:p>
    <w:p w14:paraId="32A80C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Потребная скорость - 320-350</w:t>
      </w:r>
    </w:p>
    <w:p w14:paraId="73ED9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М-22 или М-15</w:t>
      </w:r>
    </w:p>
    <w:p w14:paraId="7C5F7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смешанная. Моноплан. Желательно убирающиеся колеса.</w:t>
      </w:r>
    </w:p>
    <w:p w14:paraId="7490C9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 одноместный.</w:t>
      </w:r>
    </w:p>
    <w:p w14:paraId="7185B98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7122AB">
        <w:rPr>
          <w:rFonts w:ascii="Times New Roman" w:hAnsi="Times New Roman"/>
          <w:smallCaps/>
          <w:color w:val="000000" w:themeColor="text1"/>
          <w:sz w:val="16"/>
          <w:szCs w:val="16"/>
        </w:rPr>
        <w:t>Дальность полета должна быть не менее 1500 км</w:t>
      </w:r>
    </w:p>
    <w:p w14:paraId="322B2D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smallCaps/>
          <w:color w:val="000000" w:themeColor="text1"/>
          <w:sz w:val="16"/>
          <w:szCs w:val="16"/>
        </w:rPr>
        <w:t xml:space="preserve">Должен быть приспособлен </w:t>
      </w:r>
      <w:r w:rsidRPr="007122AB">
        <w:rPr>
          <w:rFonts w:ascii="Times New Roman" w:hAnsi="Times New Roman"/>
          <w:color w:val="000000" w:themeColor="text1"/>
          <w:sz w:val="16"/>
          <w:szCs w:val="16"/>
        </w:rPr>
        <w:t>для сбрасывания матриц и почты на специальных парашютах в промежуточных пунктах.</w:t>
      </w:r>
    </w:p>
    <w:p w14:paraId="3D8565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должен покрывать без посадки такие перегоны, как Москва - </w:t>
      </w:r>
      <w:proofErr w:type="spellStart"/>
      <w:r w:rsidRPr="007122AB">
        <w:rPr>
          <w:rFonts w:ascii="Times New Roman" w:hAnsi="Times New Roman"/>
          <w:color w:val="000000" w:themeColor="text1"/>
          <w:sz w:val="16"/>
          <w:szCs w:val="16"/>
        </w:rPr>
        <w:t>Свердловс</w:t>
      </w:r>
      <w:proofErr w:type="spellEnd"/>
      <w:r w:rsidRPr="007122AB">
        <w:rPr>
          <w:rFonts w:ascii="Times New Roman" w:hAnsi="Times New Roman"/>
          <w:color w:val="000000" w:themeColor="text1"/>
          <w:sz w:val="16"/>
          <w:szCs w:val="16"/>
        </w:rPr>
        <w:t xml:space="preserve"> или Москва - Тифлис.</w:t>
      </w:r>
    </w:p>
    <w:p w14:paraId="4192C2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Тип а схема этого самолета совершенно ясны. Это моноплан наилучших аэродинамических форм с совершенным капотированием мотора, или </w:t>
      </w:r>
      <w:proofErr w:type="spellStart"/>
      <w:r w:rsidRPr="007122AB">
        <w:rPr>
          <w:rFonts w:ascii="Times New Roman" w:hAnsi="Times New Roman"/>
          <w:color w:val="000000" w:themeColor="text1"/>
          <w:sz w:val="16"/>
          <w:szCs w:val="16"/>
        </w:rPr>
        <w:t>свободнонесуший</w:t>
      </w:r>
      <w:proofErr w:type="spellEnd"/>
      <w:r w:rsidRPr="007122AB">
        <w:rPr>
          <w:rFonts w:ascii="Times New Roman" w:hAnsi="Times New Roman"/>
          <w:color w:val="000000" w:themeColor="text1"/>
          <w:sz w:val="16"/>
          <w:szCs w:val="16"/>
        </w:rPr>
        <w:t xml:space="preserve"> с подбирающимся шасси или с расчаленными тонкими крыльями и хорошо </w:t>
      </w:r>
      <w:proofErr w:type="spellStart"/>
      <w:r w:rsidRPr="007122AB">
        <w:rPr>
          <w:rFonts w:ascii="Times New Roman" w:hAnsi="Times New Roman"/>
          <w:color w:val="000000" w:themeColor="text1"/>
          <w:sz w:val="16"/>
          <w:szCs w:val="16"/>
        </w:rPr>
        <w:t>закопотированными</w:t>
      </w:r>
      <w:proofErr w:type="spellEnd"/>
      <w:r w:rsidRPr="007122AB">
        <w:rPr>
          <w:rFonts w:ascii="Times New Roman" w:hAnsi="Times New Roman"/>
          <w:color w:val="000000" w:themeColor="text1"/>
          <w:sz w:val="16"/>
          <w:szCs w:val="16"/>
        </w:rPr>
        <w:t xml:space="preserve"> колесами. Размеры его должны быть наименьшими.</w:t>
      </w:r>
    </w:p>
    <w:p w14:paraId="3634DA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Таким образом, мы считаем, что вся группа легких самолетов должна иметь смешанную конструкцию, во-первых, из-за дешевизны ее, а, во-вторых, чтобы не отнимать металл - </w:t>
      </w:r>
      <w:proofErr w:type="spellStart"/>
      <w:r w:rsidRPr="007122AB">
        <w:rPr>
          <w:rFonts w:ascii="Times New Roman" w:hAnsi="Times New Roman"/>
          <w:color w:val="000000" w:themeColor="text1"/>
          <w:sz w:val="16"/>
          <w:szCs w:val="16"/>
        </w:rPr>
        <w:t>кольчугаллюминий</w:t>
      </w:r>
      <w:proofErr w:type="spellEnd"/>
      <w:r w:rsidRPr="007122AB">
        <w:rPr>
          <w:rFonts w:ascii="Times New Roman" w:hAnsi="Times New Roman"/>
          <w:color w:val="000000" w:themeColor="text1"/>
          <w:sz w:val="16"/>
          <w:szCs w:val="16"/>
        </w:rPr>
        <w:t xml:space="preserve"> и высокосортную сталь - у больших самолетов, где без них нельзя обойтись.</w:t>
      </w:r>
    </w:p>
    <w:p w14:paraId="24B58B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Самолеты средней грузоподъемности</w:t>
      </w:r>
    </w:p>
    <w:p w14:paraId="63BBE5C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0,5 до 2,6 тонн коммерческой нагрузки.</w:t>
      </w:r>
    </w:p>
    <w:p w14:paraId="3A6AE8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 в среднем 1000 км.</w:t>
      </w:r>
    </w:p>
    <w:p w14:paraId="3258C0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Основных типов здесь 4</w:t>
      </w:r>
    </w:p>
    <w:p w14:paraId="11CB14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Легкий линейный</w:t>
      </w:r>
    </w:p>
    <w:p w14:paraId="36DE2B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Средний линейный</w:t>
      </w:r>
    </w:p>
    <w:p w14:paraId="042730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Универсальный самолет - амфибия</w:t>
      </w:r>
    </w:p>
    <w:p w14:paraId="6E8410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Гидросамолет средний линейный лодочный</w:t>
      </w:r>
    </w:p>
    <w:p w14:paraId="5B8297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Легкий линейный самолет</w:t>
      </w:r>
    </w:p>
    <w:p w14:paraId="3BF21A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8 пассажиров, т.е. на 800 кг коммерческой нагрузки</w:t>
      </w:r>
    </w:p>
    <w:p w14:paraId="51FE7B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Одномоторный с мотором М-15 450-500 л.с. конструкция - смешанная т.к. при таких размерах применение металла не оправдывается ни </w:t>
      </w:r>
      <w:proofErr w:type="spellStart"/>
      <w:r w:rsidRPr="007122AB">
        <w:rPr>
          <w:rFonts w:ascii="Times New Roman" w:hAnsi="Times New Roman"/>
          <w:color w:val="000000" w:themeColor="text1"/>
          <w:sz w:val="16"/>
          <w:szCs w:val="16"/>
        </w:rPr>
        <w:t>условиямипрочности</w:t>
      </w:r>
      <w:proofErr w:type="spellEnd"/>
      <w:r w:rsidRPr="007122AB">
        <w:rPr>
          <w:rFonts w:ascii="Times New Roman" w:hAnsi="Times New Roman"/>
          <w:color w:val="000000" w:themeColor="text1"/>
          <w:sz w:val="16"/>
          <w:szCs w:val="16"/>
        </w:rPr>
        <w:t>, ни весом, ни эксплуатацией. Тут можно только повторить все соображения о дешевизне.</w:t>
      </w:r>
    </w:p>
    <w:p w14:paraId="2AC4E8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Представителем этого типа является теперешний самолет К-5, но представителем неудачным, т.к. его линейные размеры слишком велики и он перетяжелен.</w:t>
      </w:r>
    </w:p>
    <w:p w14:paraId="5F0B5F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нем мотор М-15 работает на пределе и быстро изнашивается. Сохранив ту же кабину на 8 пассажиров и немного </w:t>
      </w:r>
      <w:proofErr w:type="spellStart"/>
      <w:r w:rsidRPr="007122AB">
        <w:rPr>
          <w:rFonts w:ascii="Times New Roman" w:hAnsi="Times New Roman"/>
          <w:color w:val="000000" w:themeColor="text1"/>
          <w:sz w:val="16"/>
          <w:szCs w:val="16"/>
        </w:rPr>
        <w:t>перекомпановав</w:t>
      </w:r>
      <w:proofErr w:type="spellEnd"/>
      <w:r w:rsidRPr="007122AB">
        <w:rPr>
          <w:rFonts w:ascii="Times New Roman" w:hAnsi="Times New Roman"/>
          <w:color w:val="000000" w:themeColor="text1"/>
          <w:sz w:val="16"/>
          <w:szCs w:val="16"/>
        </w:rPr>
        <w:t xml:space="preserve"> его общий вид можно уменьшить размеры и следовательно, вес самолета. Мотор М-15 тогда будет </w:t>
      </w:r>
      <w:proofErr w:type="spellStart"/>
      <w:r w:rsidRPr="007122AB">
        <w:rPr>
          <w:rFonts w:ascii="Times New Roman" w:hAnsi="Times New Roman"/>
          <w:color w:val="000000" w:themeColor="text1"/>
          <w:sz w:val="16"/>
          <w:szCs w:val="16"/>
        </w:rPr>
        <w:t>соотаетствовать</w:t>
      </w:r>
      <w:proofErr w:type="spellEnd"/>
      <w:r w:rsidRPr="007122AB">
        <w:rPr>
          <w:rFonts w:ascii="Times New Roman" w:hAnsi="Times New Roman"/>
          <w:color w:val="000000" w:themeColor="text1"/>
          <w:sz w:val="16"/>
          <w:szCs w:val="16"/>
        </w:rPr>
        <w:t xml:space="preserve"> такому самолету.</w:t>
      </w:r>
    </w:p>
    <w:p w14:paraId="5262A0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также радикально улучшить аэродинамику достичь максимальной скорости в 250 км/час.</w:t>
      </w:r>
    </w:p>
    <w:p w14:paraId="2CC3A0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Практически - это значит создать </w:t>
      </w:r>
      <w:proofErr w:type="spellStart"/>
      <w:r w:rsidRPr="007122AB">
        <w:rPr>
          <w:rFonts w:ascii="Times New Roman" w:hAnsi="Times New Roman"/>
          <w:color w:val="000000" w:themeColor="text1"/>
          <w:sz w:val="16"/>
          <w:szCs w:val="16"/>
        </w:rPr>
        <w:t>совершейно</w:t>
      </w:r>
      <w:proofErr w:type="spellEnd"/>
      <w:r w:rsidRPr="007122AB">
        <w:rPr>
          <w:rFonts w:ascii="Times New Roman" w:hAnsi="Times New Roman"/>
          <w:color w:val="000000" w:themeColor="text1"/>
          <w:sz w:val="16"/>
          <w:szCs w:val="16"/>
        </w:rPr>
        <w:t xml:space="preserve"> новый самолет, изменив, быть может, даже схему, но на это надо пойти, раз мы хотим иметь настоящий современный самолет, а не тип 3-х летней уже давности, нужно прео</w:t>
      </w:r>
      <w:r w:rsidRPr="007122AB">
        <w:rPr>
          <w:rFonts w:ascii="Times New Roman" w:hAnsi="Times New Roman"/>
          <w:color w:val="000000" w:themeColor="text1"/>
          <w:sz w:val="16"/>
          <w:szCs w:val="16"/>
        </w:rPr>
        <w:softHyphen/>
        <w:t xml:space="preserve">долеть традиции завода и резко порвать с его </w:t>
      </w:r>
      <w:proofErr w:type="spellStart"/>
      <w:r w:rsidRPr="007122AB">
        <w:rPr>
          <w:rFonts w:ascii="Times New Roman" w:hAnsi="Times New Roman"/>
          <w:color w:val="000000" w:themeColor="text1"/>
          <w:sz w:val="16"/>
          <w:szCs w:val="16"/>
        </w:rPr>
        <w:t>установтвщимися</w:t>
      </w:r>
      <w:proofErr w:type="spellEnd"/>
      <w:r w:rsidRPr="007122AB">
        <w:rPr>
          <w:rFonts w:ascii="Times New Roman" w:hAnsi="Times New Roman"/>
          <w:color w:val="000000" w:themeColor="text1"/>
          <w:sz w:val="16"/>
          <w:szCs w:val="16"/>
        </w:rPr>
        <w:t xml:space="preserve"> схемами.</w:t>
      </w:r>
    </w:p>
    <w:p w14:paraId="67E0D0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Средний линейный самолет</w:t>
      </w:r>
    </w:p>
    <w:p w14:paraId="36B6D8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12-15 пассажиров, т.е. на 1500 кг коммерческой нагрузки.</w:t>
      </w:r>
    </w:p>
    <w:p w14:paraId="1F8B88E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3 моторами М-22 или М-15 - 3х450 - 1350 л.с.</w:t>
      </w:r>
    </w:p>
    <w:p w14:paraId="470FA4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Цельнометаллический типа Форда или</w:t>
      </w:r>
    </w:p>
    <w:p w14:paraId="3E14EE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улучшенный АНТ-9</w:t>
      </w:r>
    </w:p>
    <w:p w14:paraId="4403CB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Возможны 2 мотора по 600-700 л.с.</w:t>
      </w:r>
    </w:p>
    <w:p w14:paraId="609C7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Частично может быть поставлен на поплавки для речных авиалиний.</w:t>
      </w:r>
    </w:p>
    <w:p w14:paraId="6DD288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АНТ-9 соответствует этому типу только по схеме и близок по размерам, но уступает Форду по полезной </w:t>
      </w:r>
      <w:proofErr w:type="spellStart"/>
      <w:r w:rsidRPr="007122AB">
        <w:rPr>
          <w:rFonts w:ascii="Times New Roman" w:hAnsi="Times New Roman"/>
          <w:color w:val="000000" w:themeColor="text1"/>
          <w:sz w:val="16"/>
          <w:szCs w:val="16"/>
        </w:rPr>
        <w:t>отлдаче</w:t>
      </w:r>
      <w:proofErr w:type="spellEnd"/>
      <w:r w:rsidRPr="007122AB">
        <w:rPr>
          <w:rFonts w:ascii="Times New Roman" w:hAnsi="Times New Roman"/>
          <w:color w:val="000000" w:themeColor="text1"/>
          <w:sz w:val="16"/>
          <w:szCs w:val="16"/>
        </w:rPr>
        <w:t>.</w:t>
      </w:r>
    </w:p>
    <w:p w14:paraId="40DE47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том же примерно весе он берет 9 пассажиров вместо возможных 15 у Форда и слишком мало превосходит К-5. Тот хоть и не блестящая машина, но все же пол сравнению с АНТ-9 выглядит и дешевым и экономичным, очень выгодно выделяясь в этом последнем отношении.</w:t>
      </w:r>
    </w:p>
    <w:p w14:paraId="2A5D47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Везя 8 пассажиров вместо 9 он расходует мощность вдвое меньшую. К тому же, АНТ-9 не может продолжать нормальный полет на 3-х моторах и, следовательно, 3-моторность не дает ему гарантию безопасности. Форд же может лететь на 2-х моторах с полной нагрузкой. Если АНТ-9 дать моторы на 450 сил, то </w:t>
      </w:r>
      <w:proofErr w:type="spellStart"/>
      <w:r w:rsidRPr="007122AB">
        <w:rPr>
          <w:rFonts w:ascii="Times New Roman" w:hAnsi="Times New Roman"/>
          <w:color w:val="000000" w:themeColor="text1"/>
          <w:sz w:val="16"/>
          <w:szCs w:val="16"/>
        </w:rPr>
        <w:t>всетаки</w:t>
      </w:r>
      <w:proofErr w:type="spellEnd"/>
      <w:r w:rsidRPr="007122AB">
        <w:rPr>
          <w:rFonts w:ascii="Times New Roman" w:hAnsi="Times New Roman"/>
          <w:color w:val="000000" w:themeColor="text1"/>
          <w:sz w:val="16"/>
          <w:szCs w:val="16"/>
        </w:rPr>
        <w:t xml:space="preserve"> в нем негде будет </w:t>
      </w:r>
      <w:proofErr w:type="spellStart"/>
      <w:r w:rsidRPr="007122AB">
        <w:rPr>
          <w:rFonts w:ascii="Times New Roman" w:hAnsi="Times New Roman"/>
          <w:color w:val="000000" w:themeColor="text1"/>
          <w:sz w:val="16"/>
          <w:szCs w:val="16"/>
        </w:rPr>
        <w:t>рахестить</w:t>
      </w:r>
      <w:proofErr w:type="spellEnd"/>
      <w:r w:rsidRPr="007122AB">
        <w:rPr>
          <w:rFonts w:ascii="Times New Roman" w:hAnsi="Times New Roman"/>
          <w:color w:val="000000" w:themeColor="text1"/>
          <w:sz w:val="16"/>
          <w:szCs w:val="16"/>
        </w:rPr>
        <w:t xml:space="preserve"> больше 9 пассажиров. Короче говоря, </w:t>
      </w:r>
      <w:proofErr w:type="spellStart"/>
      <w:r w:rsidRPr="007122AB">
        <w:rPr>
          <w:rFonts w:ascii="Times New Roman" w:hAnsi="Times New Roman"/>
          <w:color w:val="000000" w:themeColor="text1"/>
          <w:sz w:val="16"/>
          <w:szCs w:val="16"/>
        </w:rPr>
        <w:t>здесъ</w:t>
      </w:r>
      <w:proofErr w:type="spellEnd"/>
      <w:r w:rsidRPr="007122AB">
        <w:rPr>
          <w:rFonts w:ascii="Times New Roman" w:hAnsi="Times New Roman"/>
          <w:color w:val="000000" w:themeColor="text1"/>
          <w:sz w:val="16"/>
          <w:szCs w:val="16"/>
        </w:rPr>
        <w:t xml:space="preserve"> тоже требуется создание нового самолета под данный тип с лучшим использованием заграничного опыта, с лучшей весовой отдачей и с использованием тех же многих улучшенных деталей, которые отмечают хороший заграничный самолет от наших, еще более примитивных.</w:t>
      </w:r>
    </w:p>
    <w:p w14:paraId="577FEA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 160-240 км/час</w:t>
      </w:r>
    </w:p>
    <w:p w14:paraId="61532A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Существует намерение сделать из АНТ-9 самолет для высокогорных </w:t>
      </w:r>
      <w:proofErr w:type="spellStart"/>
      <w:r w:rsidRPr="007122AB">
        <w:rPr>
          <w:rFonts w:ascii="Times New Roman" w:hAnsi="Times New Roman"/>
          <w:color w:val="000000" w:themeColor="text1"/>
          <w:sz w:val="16"/>
          <w:szCs w:val="16"/>
        </w:rPr>
        <w:t>аэрониний</w:t>
      </w:r>
      <w:proofErr w:type="spellEnd"/>
      <w:r w:rsidRPr="007122AB">
        <w:rPr>
          <w:rFonts w:ascii="Times New Roman" w:hAnsi="Times New Roman"/>
          <w:color w:val="000000" w:themeColor="text1"/>
          <w:sz w:val="16"/>
          <w:szCs w:val="16"/>
        </w:rPr>
        <w:t xml:space="preserve"> путем постановки на него 3-х М-22. Нам такая вещь не кажется </w:t>
      </w:r>
      <w:proofErr w:type="spellStart"/>
      <w:r w:rsidRPr="007122AB">
        <w:rPr>
          <w:rFonts w:ascii="Times New Roman" w:hAnsi="Times New Roman"/>
          <w:color w:val="000000" w:themeColor="text1"/>
          <w:sz w:val="16"/>
          <w:szCs w:val="16"/>
        </w:rPr>
        <w:t>возмоджной</w:t>
      </w:r>
      <w:proofErr w:type="spellEnd"/>
      <w:r w:rsidRPr="007122AB">
        <w:rPr>
          <w:rFonts w:ascii="Times New Roman" w:hAnsi="Times New Roman"/>
          <w:color w:val="000000" w:themeColor="text1"/>
          <w:sz w:val="16"/>
          <w:szCs w:val="16"/>
        </w:rPr>
        <w:t>. На большой высоте его посадочная скорость вырастет еще больше, что при малых размерах горных аэродромов создаст непреодолимые препятствия к его применению. Да и полезная отдача еще уменьшится, т.к. едва ли он будет брать больше 5-6 пассажиров, здесь нужен самолет с гораздо меньшей нагрузкой крыльев и, следовательно, меньшей посадочной скоростью.</w:t>
      </w:r>
    </w:p>
    <w:p w14:paraId="4E907F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Универсальный самолет - амфибия</w:t>
      </w:r>
    </w:p>
    <w:p w14:paraId="187FF4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-комбинированный </w:t>
      </w:r>
      <w:proofErr w:type="spellStart"/>
      <w:r w:rsidRPr="007122AB">
        <w:rPr>
          <w:rFonts w:ascii="Times New Roman" w:hAnsi="Times New Roman"/>
          <w:color w:val="000000" w:themeColor="text1"/>
          <w:sz w:val="16"/>
          <w:szCs w:val="16"/>
        </w:rPr>
        <w:t>сухопутьный</w:t>
      </w:r>
      <w:proofErr w:type="spellEnd"/>
      <w:r w:rsidRPr="007122AB">
        <w:rPr>
          <w:rFonts w:ascii="Times New Roman" w:hAnsi="Times New Roman"/>
          <w:color w:val="000000" w:themeColor="text1"/>
          <w:sz w:val="16"/>
          <w:szCs w:val="16"/>
        </w:rPr>
        <w:t xml:space="preserve"> с приставными поплавками и подъемным шасси.</w:t>
      </w:r>
    </w:p>
    <w:p w14:paraId="7FE249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2 мотора М-26 или 2хМ22 или 2хМ52</w:t>
      </w:r>
    </w:p>
    <w:p w14:paraId="2727FE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Ш-4 и Ш-5</w:t>
      </w:r>
    </w:p>
    <w:p w14:paraId="444E7F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 смешанная</w:t>
      </w:r>
    </w:p>
    <w:p w14:paraId="1271CD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Этот самолет по своей схеме является </w:t>
      </w:r>
      <w:proofErr w:type="spellStart"/>
      <w:r w:rsidRPr="007122AB">
        <w:rPr>
          <w:rFonts w:ascii="Times New Roman" w:hAnsi="Times New Roman"/>
          <w:color w:val="000000" w:themeColor="text1"/>
          <w:sz w:val="16"/>
          <w:szCs w:val="16"/>
        </w:rPr>
        <w:t>нормальнным</w:t>
      </w:r>
      <w:proofErr w:type="spellEnd"/>
      <w:r w:rsidRPr="007122AB">
        <w:rPr>
          <w:rFonts w:ascii="Times New Roman" w:hAnsi="Times New Roman"/>
          <w:color w:val="000000" w:themeColor="text1"/>
          <w:sz w:val="16"/>
          <w:szCs w:val="16"/>
        </w:rPr>
        <w:t xml:space="preserve"> сухопутным самолетом с фюзеляжем, к которому может быть присоединен добавочный большой поплавок. В этом виде получает контуры лодки. Два боковых поплавка будут служить для поперечной устойчивости. </w:t>
      </w:r>
      <w:proofErr w:type="spellStart"/>
      <w:r w:rsidRPr="007122AB">
        <w:rPr>
          <w:rFonts w:ascii="Times New Roman" w:hAnsi="Times New Roman"/>
          <w:color w:val="000000" w:themeColor="text1"/>
          <w:sz w:val="16"/>
          <w:szCs w:val="16"/>
        </w:rPr>
        <w:t>Шассикрепится</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фюаедяжу</w:t>
      </w:r>
      <w:proofErr w:type="spellEnd"/>
      <w:r w:rsidRPr="007122AB">
        <w:rPr>
          <w:rFonts w:ascii="Times New Roman" w:hAnsi="Times New Roman"/>
          <w:color w:val="000000" w:themeColor="text1"/>
          <w:sz w:val="16"/>
          <w:szCs w:val="16"/>
        </w:rPr>
        <w:t>, имеет подъемное устройство и не зависит от наличия поплавка.</w:t>
      </w:r>
    </w:p>
    <w:p w14:paraId="32D5F3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сути дела, это два разных самолета, но в целях унификации деталей мы выполняем их как один комбинированный. Это не всегда будет </w:t>
      </w:r>
      <w:proofErr w:type="spellStart"/>
      <w:r w:rsidRPr="007122AB">
        <w:rPr>
          <w:rFonts w:ascii="Times New Roman" w:hAnsi="Times New Roman"/>
          <w:color w:val="000000" w:themeColor="text1"/>
          <w:sz w:val="16"/>
          <w:szCs w:val="16"/>
        </w:rPr>
        <w:t>обоаначать</w:t>
      </w:r>
      <w:proofErr w:type="spellEnd"/>
      <w:r w:rsidRPr="007122AB">
        <w:rPr>
          <w:rFonts w:ascii="Times New Roman" w:hAnsi="Times New Roman"/>
          <w:color w:val="000000" w:themeColor="text1"/>
          <w:sz w:val="16"/>
          <w:szCs w:val="16"/>
        </w:rPr>
        <w:t xml:space="preserve">, что стоит только одеть поплавки, как сухопутный самолет непременно станет амфибией - и наоборот. Для сухопутного самолета желательна, например, полотняная обтяжка фюзеляжа, а для лодки ее лучше иметь жесткой. Но во всяком случае, все главные детали </w:t>
      </w:r>
      <w:proofErr w:type="spellStart"/>
      <w:r w:rsidRPr="007122AB">
        <w:rPr>
          <w:rFonts w:ascii="Times New Roman" w:hAnsi="Times New Roman"/>
          <w:color w:val="000000" w:themeColor="text1"/>
          <w:sz w:val="16"/>
          <w:szCs w:val="16"/>
        </w:rPr>
        <w:t>остануться</w:t>
      </w:r>
      <w:proofErr w:type="spellEnd"/>
      <w:r w:rsidRPr="007122AB">
        <w:rPr>
          <w:rFonts w:ascii="Times New Roman" w:hAnsi="Times New Roman"/>
          <w:color w:val="000000" w:themeColor="text1"/>
          <w:sz w:val="16"/>
          <w:szCs w:val="16"/>
        </w:rPr>
        <w:t xml:space="preserve"> теми же во всех случаях. По типу такой самолёт явится наиболее универсальным для всех возможных. Он не будет особенно </w:t>
      </w:r>
      <w:proofErr w:type="spellStart"/>
      <w:r w:rsidRPr="007122AB">
        <w:rPr>
          <w:rFonts w:ascii="Times New Roman" w:hAnsi="Times New Roman"/>
          <w:color w:val="000000" w:themeColor="text1"/>
          <w:sz w:val="16"/>
          <w:szCs w:val="16"/>
        </w:rPr>
        <w:t>схоростным</w:t>
      </w:r>
      <w:proofErr w:type="spellEnd"/>
      <w:r w:rsidRPr="007122AB">
        <w:rPr>
          <w:rFonts w:ascii="Times New Roman" w:hAnsi="Times New Roman"/>
          <w:color w:val="000000" w:themeColor="text1"/>
          <w:sz w:val="16"/>
          <w:szCs w:val="16"/>
        </w:rPr>
        <w:t xml:space="preserve">/, но мы в нем можем получить </w:t>
      </w:r>
      <w:proofErr w:type="spellStart"/>
      <w:r w:rsidRPr="007122AB">
        <w:rPr>
          <w:rFonts w:ascii="Times New Roman" w:hAnsi="Times New Roman"/>
          <w:color w:val="000000" w:themeColor="text1"/>
          <w:sz w:val="16"/>
          <w:szCs w:val="16"/>
        </w:rPr>
        <w:t>иалую</w:t>
      </w:r>
      <w:proofErr w:type="spellEnd"/>
      <w:r w:rsidRPr="007122AB">
        <w:rPr>
          <w:rFonts w:ascii="Times New Roman" w:hAnsi="Times New Roman"/>
          <w:color w:val="000000" w:themeColor="text1"/>
          <w:sz w:val="16"/>
          <w:szCs w:val="16"/>
        </w:rPr>
        <w:t xml:space="preserve"> посадочную скорость, а это даст ему особенно как амфибии проникать в такие места, куда не сунется никакой другой.</w:t>
      </w:r>
    </w:p>
    <w:p w14:paraId="54DFD1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Применения этого самолета весьма многообразны.</w:t>
      </w:r>
    </w:p>
    <w:p w14:paraId="297244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Аэросъемочный сухопутный</w:t>
      </w:r>
    </w:p>
    <w:p w14:paraId="1FA782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Аэросъемочный амфибия (с М-26)</w:t>
      </w:r>
    </w:p>
    <w:p w14:paraId="7835F7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Пассажирский сухопутный</w:t>
      </w:r>
    </w:p>
    <w:p w14:paraId="4954B4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Пассажирский амфибия</w:t>
      </w:r>
    </w:p>
    <w:p w14:paraId="51AAC8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Горный пассажирский сухопутный (с М-22)</w:t>
      </w:r>
    </w:p>
    <w:p w14:paraId="1FEC87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Арктическая амфибия (с М-33)</w:t>
      </w:r>
    </w:p>
    <w:p w14:paraId="500F20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Сельскохозяйственный самолет (с М-26)</w:t>
      </w:r>
    </w:p>
    <w:p w14:paraId="6F67B9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Санитарная амфибия</w:t>
      </w:r>
    </w:p>
    <w:p w14:paraId="79571C1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 сухопутного - 75-180 с М-26</w:t>
      </w:r>
    </w:p>
    <w:p w14:paraId="1DDE72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80-220 с М-22</w:t>
      </w:r>
    </w:p>
    <w:p w14:paraId="79D9B7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амфибии - 80-170 с М-26</w:t>
      </w:r>
    </w:p>
    <w:p w14:paraId="307340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85-200 с М-22</w:t>
      </w:r>
    </w:p>
    <w:p w14:paraId="508A73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Основное применение данного типа - аэрофотосъемка и к этому назначению должна быть приспособлена носовая часть фюзеляжа. В ней должен помещаться экипаж из 3-х человек и фотоаппаратура. Приспособление остальной части фюзеляжа под пассажирскую кабину не должно вызвать </w:t>
      </w:r>
      <w:proofErr w:type="spellStart"/>
      <w:r w:rsidRPr="007122AB">
        <w:rPr>
          <w:rFonts w:ascii="Times New Roman" w:hAnsi="Times New Roman"/>
          <w:color w:val="000000" w:themeColor="text1"/>
          <w:sz w:val="16"/>
          <w:szCs w:val="16"/>
        </w:rPr>
        <w:t>эатруднения</w:t>
      </w:r>
      <w:proofErr w:type="spellEnd"/>
      <w:r w:rsidRPr="007122AB">
        <w:rPr>
          <w:rFonts w:ascii="Times New Roman" w:hAnsi="Times New Roman"/>
          <w:color w:val="000000" w:themeColor="text1"/>
          <w:sz w:val="16"/>
          <w:szCs w:val="16"/>
        </w:rPr>
        <w:t xml:space="preserve">. 8 пассажиров. Пассажирская амфибия предназначается для всех северных и сибирских меридиональных линий вдоль больших рек и вглубь территории. И такой тип - не особенно скоростной, но с малой посадочной скоростью будет иметь большие возможности проникновения а места без аэродромов. Вариант пассажирской амфибии с мотором М-33 водяного охлаждения и с усиленным поплавком может работать в Арктике. Вместо колес на оси шасси будут посажены лыжи. Поплавки - и главный и боковые лучше сделать деревянными для дешевизны. Фюзеляж - сварной. Крылья и оперение из </w:t>
      </w:r>
      <w:proofErr w:type="spellStart"/>
      <w:r w:rsidRPr="007122AB">
        <w:rPr>
          <w:rFonts w:ascii="Times New Roman" w:hAnsi="Times New Roman"/>
          <w:color w:val="000000" w:themeColor="text1"/>
          <w:sz w:val="16"/>
          <w:szCs w:val="16"/>
        </w:rPr>
        <w:t>кольчугаллюминия</w:t>
      </w:r>
      <w:proofErr w:type="spellEnd"/>
      <w:r w:rsidRPr="007122AB">
        <w:rPr>
          <w:rFonts w:ascii="Times New Roman" w:hAnsi="Times New Roman"/>
          <w:color w:val="000000" w:themeColor="text1"/>
          <w:sz w:val="16"/>
          <w:szCs w:val="16"/>
        </w:rPr>
        <w:t xml:space="preserve"> в полотняной обтяжкой. Как сухопутный пассажирский данный тип самолета будет обслуживать аэролинии в </w:t>
      </w:r>
      <w:proofErr w:type="spellStart"/>
      <w:r w:rsidRPr="007122AB">
        <w:rPr>
          <w:rFonts w:ascii="Times New Roman" w:hAnsi="Times New Roman"/>
          <w:color w:val="000000" w:themeColor="text1"/>
          <w:sz w:val="16"/>
          <w:szCs w:val="16"/>
        </w:rPr>
        <w:t>Срелней</w:t>
      </w:r>
      <w:proofErr w:type="spellEnd"/>
      <w:r w:rsidRPr="007122AB">
        <w:rPr>
          <w:rFonts w:ascii="Times New Roman" w:hAnsi="Times New Roman"/>
          <w:color w:val="000000" w:themeColor="text1"/>
          <w:sz w:val="16"/>
          <w:szCs w:val="16"/>
        </w:rPr>
        <w:t xml:space="preserve"> Азии взамен легкого линейного содержащего дерево в своей конструкции, как горный пассажирский /с М-22/ он будет иметь </w:t>
      </w:r>
      <w:proofErr w:type="spellStart"/>
      <w:r w:rsidRPr="007122AB">
        <w:rPr>
          <w:rFonts w:ascii="Times New Roman" w:hAnsi="Times New Roman"/>
          <w:color w:val="000000" w:themeColor="text1"/>
          <w:sz w:val="16"/>
          <w:szCs w:val="16"/>
        </w:rPr>
        <w:t>роетмущества</w:t>
      </w:r>
      <w:proofErr w:type="spellEnd"/>
      <w:r w:rsidRPr="007122AB">
        <w:rPr>
          <w:rFonts w:ascii="Times New Roman" w:hAnsi="Times New Roman"/>
          <w:color w:val="000000" w:themeColor="text1"/>
          <w:sz w:val="16"/>
          <w:szCs w:val="16"/>
        </w:rPr>
        <w:t xml:space="preserve"> перед такими самолетами как АНТ-9 в виде своей посадочной скорости и высокого потолка.</w:t>
      </w:r>
    </w:p>
    <w:p w14:paraId="6A8B81E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сельско-</w:t>
      </w:r>
      <w:proofErr w:type="spellStart"/>
      <w:r w:rsidRPr="007122AB">
        <w:rPr>
          <w:rFonts w:ascii="Times New Roman" w:hAnsi="Times New Roman"/>
          <w:color w:val="000000" w:themeColor="text1"/>
          <w:sz w:val="16"/>
          <w:szCs w:val="16"/>
        </w:rPr>
        <w:t>хозяйственний</w:t>
      </w:r>
      <w:proofErr w:type="spellEnd"/>
      <w:r w:rsidRPr="007122AB">
        <w:rPr>
          <w:rFonts w:ascii="Times New Roman" w:hAnsi="Times New Roman"/>
          <w:color w:val="000000" w:themeColor="text1"/>
          <w:sz w:val="16"/>
          <w:szCs w:val="16"/>
        </w:rPr>
        <w:t xml:space="preserve"> самолет, он будет служить как </w:t>
      </w:r>
      <w:proofErr w:type="spellStart"/>
      <w:r w:rsidRPr="007122AB">
        <w:rPr>
          <w:rFonts w:ascii="Times New Roman" w:hAnsi="Times New Roman"/>
          <w:color w:val="000000" w:themeColor="text1"/>
          <w:sz w:val="16"/>
          <w:szCs w:val="16"/>
        </w:rPr>
        <w:t>аэропыл</w:t>
      </w:r>
      <w:proofErr w:type="spellEnd"/>
      <w:r w:rsidRPr="007122AB">
        <w:rPr>
          <w:rFonts w:ascii="Times New Roman" w:hAnsi="Times New Roman"/>
          <w:color w:val="000000" w:themeColor="text1"/>
          <w:sz w:val="16"/>
          <w:szCs w:val="16"/>
        </w:rPr>
        <w:t xml:space="preserve">, а также и для всех видов посевов к чему мы сейчас подходим вплотную. Это должен </w:t>
      </w:r>
      <w:proofErr w:type="spellStart"/>
      <w:r w:rsidRPr="007122AB">
        <w:rPr>
          <w:rFonts w:ascii="Times New Roman" w:hAnsi="Times New Roman"/>
          <w:color w:val="000000" w:themeColor="text1"/>
          <w:sz w:val="16"/>
          <w:szCs w:val="16"/>
        </w:rPr>
        <w:t>бытъ</w:t>
      </w:r>
      <w:proofErr w:type="spellEnd"/>
      <w:r w:rsidRPr="007122AB">
        <w:rPr>
          <w:rFonts w:ascii="Times New Roman" w:hAnsi="Times New Roman"/>
          <w:color w:val="000000" w:themeColor="text1"/>
          <w:sz w:val="16"/>
          <w:szCs w:val="16"/>
        </w:rPr>
        <w:t xml:space="preserve"> тип самолета наиболее широкого применения в сельском хозяйстве.</w:t>
      </w:r>
    </w:p>
    <w:p w14:paraId="050389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7а В пределах данного рода самолетов один вид - пассажирская амфибия скоростная под 2 х М-22</w:t>
      </w:r>
    </w:p>
    <w:p w14:paraId="73D04C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приспособленный военный тип МБР - 3</w:t>
      </w:r>
    </w:p>
    <w:p w14:paraId="190D01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деревянной конструкции</w:t>
      </w:r>
    </w:p>
    <w:p w14:paraId="2301E3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- 6 пассажиров</w:t>
      </w:r>
    </w:p>
    <w:p w14:paraId="1A7EBEF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скорости - 100 - 230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w:t>
      </w:r>
    </w:p>
    <w:p w14:paraId="0B6FDE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Если и будет применяться, то в небольшом количестве экземпляров и иногда только как </w:t>
      </w:r>
      <w:proofErr w:type="spellStart"/>
      <w:r w:rsidRPr="007122AB">
        <w:rPr>
          <w:rFonts w:ascii="Times New Roman" w:hAnsi="Times New Roman"/>
          <w:color w:val="000000" w:themeColor="text1"/>
          <w:sz w:val="16"/>
          <w:szCs w:val="16"/>
        </w:rPr>
        <w:t>летлодха</w:t>
      </w:r>
      <w:proofErr w:type="spellEnd"/>
      <w:r w:rsidRPr="007122AB">
        <w:rPr>
          <w:rFonts w:ascii="Times New Roman" w:hAnsi="Times New Roman"/>
          <w:color w:val="000000" w:themeColor="text1"/>
          <w:sz w:val="16"/>
          <w:szCs w:val="16"/>
        </w:rPr>
        <w:t xml:space="preserve"> /без шасси/ на </w:t>
      </w:r>
      <w:proofErr w:type="spellStart"/>
      <w:r w:rsidRPr="007122AB">
        <w:rPr>
          <w:rFonts w:ascii="Times New Roman" w:hAnsi="Times New Roman"/>
          <w:color w:val="000000" w:themeColor="text1"/>
          <w:sz w:val="16"/>
          <w:szCs w:val="16"/>
        </w:rPr>
        <w:t>гндролиниях</w:t>
      </w:r>
      <w:proofErr w:type="spellEnd"/>
      <w:r w:rsidRPr="007122AB">
        <w:rPr>
          <w:rFonts w:ascii="Times New Roman" w:hAnsi="Times New Roman"/>
          <w:color w:val="000000" w:themeColor="text1"/>
          <w:sz w:val="16"/>
          <w:szCs w:val="16"/>
        </w:rPr>
        <w:t xml:space="preserve"> приморских  и речных.</w:t>
      </w:r>
    </w:p>
    <w:p w14:paraId="5DA72D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8а Г а д р о с а м о л е - средний линейный лодочный</w:t>
      </w:r>
    </w:p>
    <w:p w14:paraId="71786E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морских аэролиний.</w:t>
      </w:r>
    </w:p>
    <w:p w14:paraId="342459C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2-мя М-34 или 4х М-22</w:t>
      </w:r>
    </w:p>
    <w:p w14:paraId="7195C13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летний вес 13 - 14 тонн</w:t>
      </w:r>
    </w:p>
    <w:p w14:paraId="19237B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Цельнометаллический</w:t>
      </w:r>
    </w:p>
    <w:p w14:paraId="01431A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Переделанный МДР - 3</w:t>
      </w:r>
    </w:p>
    <w:p w14:paraId="0657D8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Заменяется МДР - 4 с 2 х М-35 или 4х М-34</w:t>
      </w:r>
    </w:p>
    <w:p w14:paraId="7328CB5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опытного экз. - УШ - 34 г.</w:t>
      </w:r>
    </w:p>
    <w:p w14:paraId="7F0DC1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Ш. </w:t>
      </w:r>
      <w:r w:rsidRPr="007122AB">
        <w:rPr>
          <w:rFonts w:ascii="Times New Roman" w:hAnsi="Times New Roman"/>
          <w:smallCaps/>
          <w:color w:val="000000" w:themeColor="text1"/>
          <w:sz w:val="16"/>
          <w:szCs w:val="16"/>
        </w:rPr>
        <w:t>самолеты большой грузоподъемности</w:t>
      </w:r>
    </w:p>
    <w:p w14:paraId="4DC50D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 2-х тонн коммерческой нагрузки. </w:t>
      </w:r>
      <w:proofErr w:type="spellStart"/>
      <w:r w:rsidRPr="007122AB">
        <w:rPr>
          <w:rFonts w:ascii="Times New Roman" w:hAnsi="Times New Roman"/>
          <w:color w:val="000000" w:themeColor="text1"/>
          <w:sz w:val="16"/>
          <w:szCs w:val="16"/>
        </w:rPr>
        <w:t>Цельнометаллческие</w:t>
      </w:r>
      <w:proofErr w:type="spellEnd"/>
    </w:p>
    <w:p w14:paraId="1BA435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этих трудно говорить подробно, т.к. они принадлежат завтрашнему дню. О </w:t>
      </w:r>
      <w:proofErr w:type="spellStart"/>
      <w:r w:rsidRPr="007122AB">
        <w:rPr>
          <w:rFonts w:ascii="Times New Roman" w:hAnsi="Times New Roman"/>
          <w:color w:val="000000" w:themeColor="text1"/>
          <w:sz w:val="16"/>
          <w:szCs w:val="16"/>
        </w:rPr>
        <w:t>некорых</w:t>
      </w:r>
      <w:proofErr w:type="spellEnd"/>
      <w:r w:rsidRPr="007122AB">
        <w:rPr>
          <w:rFonts w:ascii="Times New Roman" w:hAnsi="Times New Roman"/>
          <w:color w:val="000000" w:themeColor="text1"/>
          <w:sz w:val="16"/>
          <w:szCs w:val="16"/>
        </w:rPr>
        <w:t xml:space="preserve"> нельзя сказать ничего кроме названия. Типаж их тоже можно перечислить только примерно.</w:t>
      </w:r>
    </w:p>
    <w:p w14:paraId="05A46F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Линейный самолет на 32 пассажира</w:t>
      </w:r>
    </w:p>
    <w:p w14:paraId="1062B7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АНТ-14 5 х М-22</w:t>
      </w:r>
    </w:p>
    <w:p w14:paraId="362E94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материальных аэролиний</w:t>
      </w:r>
    </w:p>
    <w:p w14:paraId="340725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Линейный самолет на 60 пассажиров</w:t>
      </w:r>
    </w:p>
    <w:p w14:paraId="113CEF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 (АНТ-20) или К-7</w:t>
      </w:r>
    </w:p>
    <w:p w14:paraId="69BE09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Желательно размещение моторов в крыле и передаточные валы к винтам.</w:t>
      </w:r>
    </w:p>
    <w:p w14:paraId="3A71E1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Гидросамолет</w:t>
      </w:r>
    </w:p>
    <w:p w14:paraId="3DDF1E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4 тонны </w:t>
      </w:r>
      <w:proofErr w:type="spellStart"/>
      <w:r w:rsidRPr="007122AB">
        <w:rPr>
          <w:rFonts w:ascii="Times New Roman" w:hAnsi="Times New Roman"/>
          <w:color w:val="000000" w:themeColor="text1"/>
          <w:sz w:val="16"/>
          <w:szCs w:val="16"/>
        </w:rPr>
        <w:t>коммерч</w:t>
      </w:r>
      <w:proofErr w:type="spellEnd"/>
      <w:r w:rsidRPr="007122AB">
        <w:rPr>
          <w:rFonts w:ascii="Times New Roman" w:hAnsi="Times New Roman"/>
          <w:color w:val="000000" w:themeColor="text1"/>
          <w:sz w:val="16"/>
          <w:szCs w:val="16"/>
        </w:rPr>
        <w:t xml:space="preserve">. нагрузка пассажирской и грузовой </w:t>
      </w:r>
    </w:p>
    <w:p w14:paraId="33AC6D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 - 3 /лодка/</w:t>
      </w:r>
    </w:p>
    <w:p w14:paraId="78E014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х М-34</w:t>
      </w:r>
    </w:p>
    <w:p w14:paraId="476DA3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х М - 35</w:t>
      </w:r>
    </w:p>
    <w:p w14:paraId="542D920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Пассажирский и грузовой</w:t>
      </w:r>
    </w:p>
    <w:p w14:paraId="73489A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х М - 35 или М-44 /ТБ - 6/ У-34</w:t>
      </w:r>
    </w:p>
    <w:p w14:paraId="435DAB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Пассажирский и транспортный</w:t>
      </w:r>
    </w:p>
    <w:p w14:paraId="7B8C01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30 тонн, </w:t>
      </w:r>
      <w:proofErr w:type="spellStart"/>
      <w:r w:rsidRPr="007122AB">
        <w:rPr>
          <w:rFonts w:ascii="Times New Roman" w:hAnsi="Times New Roman"/>
          <w:color w:val="000000" w:themeColor="text1"/>
          <w:sz w:val="16"/>
          <w:szCs w:val="16"/>
        </w:rPr>
        <w:t>коммерч</w:t>
      </w:r>
      <w:proofErr w:type="spellEnd"/>
      <w:r w:rsidRPr="007122AB">
        <w:rPr>
          <w:rFonts w:ascii="Times New Roman" w:hAnsi="Times New Roman"/>
          <w:color w:val="000000" w:themeColor="text1"/>
          <w:sz w:val="16"/>
          <w:szCs w:val="16"/>
        </w:rPr>
        <w:t>. нагрузки /ТБ-7/</w:t>
      </w:r>
    </w:p>
    <w:p w14:paraId="4525D9D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w:t>
      </w:r>
      <w:proofErr w:type="spellStart"/>
      <w:r w:rsidRPr="007122AB">
        <w:rPr>
          <w:rFonts w:ascii="Times New Roman" w:hAnsi="Times New Roman"/>
          <w:color w:val="000000" w:themeColor="text1"/>
          <w:sz w:val="16"/>
          <w:szCs w:val="16"/>
        </w:rPr>
        <w:t>Гвдросамолет</w:t>
      </w:r>
      <w:proofErr w:type="spellEnd"/>
      <w:r w:rsidRPr="007122AB">
        <w:rPr>
          <w:rFonts w:ascii="Times New Roman" w:hAnsi="Times New Roman"/>
          <w:color w:val="000000" w:themeColor="text1"/>
          <w:sz w:val="16"/>
          <w:szCs w:val="16"/>
        </w:rPr>
        <w:t xml:space="preserve"> 2 - лодочный на 40 тонн общего веса.</w:t>
      </w:r>
    </w:p>
    <w:p w14:paraId="5823F59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этих типов должны быть построены следующие рекордные самолеты в 1 - 2 экземплярах.</w:t>
      </w:r>
    </w:p>
    <w:p w14:paraId="7691507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Скоростной гидросамолет 2 х М-34</w:t>
      </w:r>
    </w:p>
    <w:p w14:paraId="3FC897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Для дальних рейдов</w:t>
      </w:r>
    </w:p>
    <w:p w14:paraId="0D7A6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Высотный для стратосферы</w:t>
      </w:r>
    </w:p>
    <w:p w14:paraId="2C5FD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 типы не могут быть реализованы быстро ввиду слабости нашей моторостроительной техники, но работу над ними надо вести (305).</w:t>
      </w:r>
    </w:p>
    <w:p w14:paraId="72DFE6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ADB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1931 В.М.П. приказом по ЦАГИ N 190 (1077,167) был освобожден от обязанностей </w:t>
      </w:r>
      <w:proofErr w:type="spellStart"/>
      <w:r w:rsidRPr="007122AB">
        <w:rPr>
          <w:rFonts w:ascii="Times New Roman" w:hAnsi="Times New Roman"/>
          <w:color w:val="000000" w:themeColor="text1"/>
          <w:sz w:val="16"/>
          <w:szCs w:val="16"/>
        </w:rPr>
        <w:t>помошника</w:t>
      </w:r>
      <w:proofErr w:type="spellEnd"/>
      <w:r w:rsidRPr="007122AB">
        <w:rPr>
          <w:rFonts w:ascii="Times New Roman" w:hAnsi="Times New Roman"/>
          <w:color w:val="000000" w:themeColor="text1"/>
          <w:sz w:val="16"/>
          <w:szCs w:val="16"/>
        </w:rPr>
        <w:t xml:space="preserve"> начальника отдела АГОС по технической части и назначен начальником секции тяжелых самолетов (1077,9).</w:t>
      </w:r>
    </w:p>
    <w:p w14:paraId="2CDE7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D6689D"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октября 1931 г. с целью дальнейшего развития авиапромышленности и облегчения ее возможной мобилизации в чрезвычайных обстоятельствах завод им. </w:t>
      </w:r>
      <w:proofErr w:type="spellStart"/>
      <w:r w:rsidRPr="00441F34">
        <w:rPr>
          <w:rFonts w:ascii="Times New Roman" w:hAnsi="Times New Roman"/>
          <w:color w:val="0070C0"/>
          <w:sz w:val="16"/>
          <w:szCs w:val="16"/>
        </w:rPr>
        <w:t>Гольцмана</w:t>
      </w:r>
      <w:proofErr w:type="spellEnd"/>
      <w:r w:rsidRPr="00441F34">
        <w:rPr>
          <w:rFonts w:ascii="Times New Roman" w:hAnsi="Times New Roman"/>
          <w:color w:val="0070C0"/>
          <w:sz w:val="16"/>
          <w:szCs w:val="16"/>
        </w:rPr>
        <w:t xml:space="preserve"> - </w:t>
      </w:r>
      <w:proofErr w:type="spellStart"/>
      <w:r w:rsidRPr="00441F34">
        <w:rPr>
          <w:rFonts w:ascii="Times New Roman" w:hAnsi="Times New Roman"/>
          <w:color w:val="0070C0"/>
          <w:sz w:val="16"/>
          <w:szCs w:val="16"/>
        </w:rPr>
        <w:t>ЗиГ</w:t>
      </w:r>
      <w:proofErr w:type="spellEnd"/>
      <w:r w:rsidRPr="00441F34">
        <w:rPr>
          <w:rFonts w:ascii="Times New Roman" w:hAnsi="Times New Roman"/>
          <w:color w:val="0070C0"/>
          <w:sz w:val="16"/>
          <w:szCs w:val="16"/>
        </w:rPr>
        <w:t xml:space="preserve"> передали из ГВФ Всесоюзному авиационному объединению (ВАО) при Главном управлении металлопромышленности ВСНХ СССР как Завод опытных конструкций СНИИ ГВФ. В системе ВАО получил № 89. При этом четкого подчинения завода ни ГВФ, ни Наркомату оборонной промышленности, в ведении которого в то время находились и самолетостроительные предприятия, завод тогда не имел (23581).</w:t>
      </w:r>
    </w:p>
    <w:p w14:paraId="2B781518" w14:textId="77777777" w:rsidR="00221006" w:rsidRPr="00441F34" w:rsidRDefault="00221006" w:rsidP="00221006">
      <w:pPr>
        <w:spacing w:after="0" w:line="240" w:lineRule="auto"/>
        <w:jc w:val="both"/>
        <w:rPr>
          <w:rFonts w:ascii="Times New Roman" w:hAnsi="Times New Roman"/>
          <w:color w:val="0070C0"/>
          <w:sz w:val="16"/>
          <w:szCs w:val="16"/>
        </w:rPr>
      </w:pPr>
    </w:p>
    <w:p w14:paraId="6E2283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1930 года вышел Приказ ВВС N 174/71:</w:t>
      </w:r>
    </w:p>
    <w:p w14:paraId="3D096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проверки боевой готовности, слетанности и подготовленности летного состава в отношении решения быстро и отчетливо аэронавигационных задач с 31 августа по 3 сентября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были выполнены 3 оперативных перелета.</w:t>
      </w:r>
    </w:p>
    <w:p w14:paraId="2BFFD9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Звено под командой командира звена Неумывакина в составе 3-х самолетов Р-1 - М5 24-й </w:t>
      </w:r>
      <w:proofErr w:type="spellStart"/>
      <w:r w:rsidRPr="007122AB">
        <w:rPr>
          <w:rFonts w:ascii="Times New Roman" w:hAnsi="Times New Roman"/>
          <w:color w:val="000000" w:themeColor="text1"/>
          <w:sz w:val="16"/>
          <w:szCs w:val="16"/>
        </w:rPr>
        <w:t>Развед</w:t>
      </w:r>
      <w:proofErr w:type="spellEnd"/>
      <w:r w:rsidRPr="007122AB">
        <w:rPr>
          <w:rFonts w:ascii="Times New Roman" w:hAnsi="Times New Roman"/>
          <w:color w:val="000000" w:themeColor="text1"/>
          <w:sz w:val="16"/>
          <w:szCs w:val="16"/>
        </w:rPr>
        <w:t>. эскадрильи по маршруту Харьков-Гомель-Витебск-Брянск-Харьков общим протяжением 1530 км. Звено вылетело из Харькова 31 августа в 16 часов 40 минут. Вернулось выполнив маршрут 1 сентября в 17 часов 15 минут.</w:t>
      </w:r>
    </w:p>
    <w:p w14:paraId="114ED4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Звено под командой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xml:space="preserve">. и д. командира звена </w:t>
      </w:r>
      <w:proofErr w:type="spellStart"/>
      <w:r w:rsidRPr="007122AB">
        <w:rPr>
          <w:rFonts w:ascii="Times New Roman" w:hAnsi="Times New Roman"/>
          <w:color w:val="000000" w:themeColor="text1"/>
          <w:sz w:val="16"/>
          <w:szCs w:val="16"/>
        </w:rPr>
        <w:t>Пикен</w:t>
      </w:r>
      <w:proofErr w:type="spellEnd"/>
      <w:r w:rsidRPr="007122AB">
        <w:rPr>
          <w:rFonts w:ascii="Times New Roman" w:hAnsi="Times New Roman"/>
          <w:color w:val="000000" w:themeColor="text1"/>
          <w:sz w:val="16"/>
          <w:szCs w:val="16"/>
        </w:rPr>
        <w:t>, в составе 3-х самолетов Р1-М5, 54 штурмовой эскадрильи по маршруту Воронеж-Харьков-</w:t>
      </w:r>
      <w:proofErr w:type="spellStart"/>
      <w:r w:rsidRPr="007122AB">
        <w:rPr>
          <w:rFonts w:ascii="Times New Roman" w:hAnsi="Times New Roman"/>
          <w:color w:val="000000" w:themeColor="text1"/>
          <w:sz w:val="16"/>
          <w:szCs w:val="16"/>
        </w:rPr>
        <w:t>Ктев</w:t>
      </w:r>
      <w:proofErr w:type="spellEnd"/>
      <w:r w:rsidRPr="007122AB">
        <w:rPr>
          <w:rFonts w:ascii="Times New Roman" w:hAnsi="Times New Roman"/>
          <w:color w:val="000000" w:themeColor="text1"/>
          <w:sz w:val="16"/>
          <w:szCs w:val="16"/>
        </w:rPr>
        <w:t>-Бобруйск-Брянск-Воронеж, общим протяжением 1800 км. Звено вылетело из Воронежа 1 сентября в 10 часов и вернулось, выполнив маршрут 3 сентября в 15 часов.</w:t>
      </w:r>
    </w:p>
    <w:p w14:paraId="1842F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Звено под командой командира звена </w:t>
      </w:r>
      <w:proofErr w:type="spellStart"/>
      <w:r w:rsidRPr="007122AB">
        <w:rPr>
          <w:rFonts w:ascii="Times New Roman" w:hAnsi="Times New Roman"/>
          <w:color w:val="000000" w:themeColor="text1"/>
          <w:sz w:val="16"/>
          <w:szCs w:val="16"/>
        </w:rPr>
        <w:t>Фаюткина</w:t>
      </w:r>
      <w:proofErr w:type="spellEnd"/>
      <w:r w:rsidRPr="007122AB">
        <w:rPr>
          <w:rFonts w:ascii="Times New Roman" w:hAnsi="Times New Roman"/>
          <w:color w:val="000000" w:themeColor="text1"/>
          <w:sz w:val="16"/>
          <w:szCs w:val="16"/>
        </w:rPr>
        <w:t>, в составе 3-х самолетов Р1-М5, 44-й легко-бомбардировочной эскадрильи по маршруту: Новочеркасск-Харьков-Киев-Бобруйск-Гомель-Харьков-Новочеркасск, общим протяжением 2350 км. Звено вылетело из Новочеркасска 31 августа в 16 часов, вернулось выполнив маршрут 2 сентября в 9 часов 20 минут. (2978,33-34).</w:t>
      </w:r>
    </w:p>
    <w:p w14:paraId="5D1E8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423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1930 года пом. начальника 1-го отдела </w:t>
      </w:r>
      <w:proofErr w:type="spellStart"/>
      <w:r w:rsidRPr="007122AB">
        <w:rPr>
          <w:rFonts w:ascii="Times New Roman" w:hAnsi="Times New Roman"/>
          <w:color w:val="000000" w:themeColor="text1"/>
          <w:sz w:val="16"/>
          <w:szCs w:val="16"/>
        </w:rPr>
        <w:t>Мусселиус</w:t>
      </w:r>
      <w:proofErr w:type="spellEnd"/>
      <w:r w:rsidRPr="007122AB">
        <w:rPr>
          <w:rFonts w:ascii="Times New Roman" w:hAnsi="Times New Roman"/>
          <w:color w:val="000000" w:themeColor="text1"/>
          <w:sz w:val="16"/>
          <w:szCs w:val="16"/>
        </w:rPr>
        <w:t xml:space="preserve"> писал:</w:t>
      </w:r>
    </w:p>
    <w:p w14:paraId="64457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оперативной точки зрения перелет показал возможность переброски соединений тяжелой авиации из черного моря в Балтийское и обратно в течение 4- дней.</w:t>
      </w:r>
    </w:p>
    <w:p w14:paraId="57143A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Прилагаемые к отчету фотоснимки показывают, что строй самолеты держали скверно... (2978,30).</w:t>
      </w:r>
    </w:p>
    <w:p w14:paraId="3E1E71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074D54" w14:textId="77777777" w:rsidR="00A25E62" w:rsidRPr="007122AB" w:rsidRDefault="00A25E6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02E4A43" w14:textId="77777777" w:rsidR="00A25E62" w:rsidRPr="007122AB" w:rsidRDefault="00A25E6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ECA8705"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 5 октября 1931 г. Н.А. Кучеренко принимает участие в работе совещания по вопросу изготовления и поставки Ижорским заводом для ХПЗ первых 50 комплектов броневых деталей корпусов и башен танка БТ-2 установочной серии. Осуществляя обеспечение технического сопровождения конструкторской документации в серийном производстве танков БТ-2, 24 марта 1932 г. Н.А. Кучеренко в качестве представителя ХПЗ участвует в работе совещания по пересмотру конструкции броневых деталей этой машины. Работая в составе КБ Т2К над улучшением боевых свойств танка БТ, в конце июля 1932 г. Н.А. Кучеренко участвует в работе комиссии по испытаниям опытного образца танка БТ-5.</w:t>
      </w:r>
    </w:p>
    <w:p w14:paraId="7AAAAF71"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 ноября 1932 г. и до конца июня 1934 г. Н.А. Кучеренко в КБ Т2К ХПЗ возглавляет конструкторскую секцию по текущему производству, участвует в разработке конструкторской документации для обеспечения серийного производства танков БТ-5 (23450).</w:t>
      </w:r>
    </w:p>
    <w:p w14:paraId="01198016" w14:textId="77777777" w:rsidR="00221006" w:rsidRPr="00441F34" w:rsidRDefault="00221006" w:rsidP="00221006">
      <w:pPr>
        <w:spacing w:after="0" w:line="240" w:lineRule="auto"/>
        <w:jc w:val="both"/>
        <w:rPr>
          <w:rFonts w:ascii="Times New Roman" w:hAnsi="Times New Roman"/>
          <w:color w:val="0070C0"/>
          <w:sz w:val="16"/>
          <w:szCs w:val="16"/>
        </w:rPr>
      </w:pPr>
    </w:p>
    <w:p w14:paraId="0AE3AF67"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3 октября 1931 г.</w:t>
      </w:r>
    </w:p>
    <w:p w14:paraId="5BCCCBB3"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«Рапорт» о приобретении одежды и обуви для Л. К. Рамзина. 3 октября 1931 г.</w:t>
      </w:r>
    </w:p>
    <w:p w14:paraId="5AAF6C9B"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6E65805" w14:textId="77777777" w:rsidR="00A25E62" w:rsidRPr="007122AB" w:rsidRDefault="00A25E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CB65E6"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F10F73B" w14:textId="77777777" w:rsidR="00A25E62" w:rsidRPr="007122AB" w:rsidRDefault="00A25E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94—103</w:t>
      </w:r>
    </w:p>
    <w:p w14:paraId="68E961A1" w14:textId="77777777" w:rsidR="00A25E62" w:rsidRPr="007122AB" w:rsidRDefault="00A25E62" w:rsidP="007122AB">
      <w:pPr>
        <w:pStyle w:val="rteright"/>
        <w:spacing w:before="0" w:after="0"/>
        <w:jc w:val="both"/>
        <w:rPr>
          <w:color w:val="000000" w:themeColor="text1"/>
          <w:sz w:val="16"/>
          <w:szCs w:val="16"/>
        </w:rPr>
      </w:pPr>
      <w:r w:rsidRPr="007122AB">
        <w:rPr>
          <w:color w:val="000000" w:themeColor="text1"/>
          <w:sz w:val="16"/>
          <w:szCs w:val="16"/>
        </w:rPr>
        <w:t>3 октября 1931 г.</w:t>
      </w:r>
    </w:p>
    <w:p w14:paraId="5C535D77"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ПОМ. НАЧ. ТЕХ. ОТД. ЭКУ ОГПУ</w:t>
      </w:r>
    </w:p>
    <w:p w14:paraId="0535815D"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тов. СОКОЛОВУ</w:t>
      </w:r>
    </w:p>
    <w:p w14:paraId="70B08C2C"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РАПОРТ</w:t>
      </w:r>
    </w:p>
    <w:p w14:paraId="3FFE6773"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Прошу Вашего разрешения о приобретении для Л. К. РАМЗИНА одного пальто, ботинки и галоши.</w:t>
      </w:r>
    </w:p>
    <w:p w14:paraId="1DD37D2C"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Уполномоченный «3» октября 1931 года</w:t>
      </w:r>
    </w:p>
    <w:p w14:paraId="5575C505" w14:textId="77777777" w:rsidR="00A25E62" w:rsidRPr="007122AB" w:rsidRDefault="00A25E62"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94—103. Машинописный подлинник, подпись-росчерк (неразборчиво), здесь же машинописью «(</w:t>
      </w:r>
      <w:proofErr w:type="spellStart"/>
      <w:r w:rsidRPr="007122AB">
        <w:rPr>
          <w:rStyle w:val="af0"/>
          <w:i w:val="0"/>
          <w:color w:val="000000" w:themeColor="text1"/>
          <w:sz w:val="16"/>
          <w:szCs w:val="16"/>
        </w:rPr>
        <w:t>Наумин</w:t>
      </w:r>
      <w:proofErr w:type="spellEnd"/>
      <w:r w:rsidRPr="007122AB">
        <w:rPr>
          <w:rStyle w:val="af0"/>
          <w:i w:val="0"/>
          <w:color w:val="000000" w:themeColor="text1"/>
          <w:sz w:val="16"/>
          <w:szCs w:val="16"/>
        </w:rPr>
        <w:t>)». Число в дате вписано от руки (19076).</w:t>
      </w:r>
    </w:p>
    <w:p w14:paraId="221427F6" w14:textId="77777777" w:rsidR="00A25E62" w:rsidRPr="007122AB" w:rsidRDefault="00A25E62" w:rsidP="007122AB">
      <w:pPr>
        <w:spacing w:after="0" w:line="240" w:lineRule="auto"/>
        <w:jc w:val="both"/>
        <w:rPr>
          <w:rFonts w:ascii="Times New Roman" w:hAnsi="Times New Roman"/>
          <w:color w:val="000000" w:themeColor="text1"/>
          <w:sz w:val="16"/>
          <w:szCs w:val="16"/>
        </w:rPr>
      </w:pPr>
    </w:p>
    <w:p w14:paraId="7A4DC55B"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3 октября 1931 г.</w:t>
      </w:r>
    </w:p>
    <w:p w14:paraId="14992EB8"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Протокол совещания в «рабочем домике» Бутырской тюрьмы о заказах на изготовление необходимых комплектующих для котла. 3 октября 1931 г.</w:t>
      </w:r>
    </w:p>
    <w:p w14:paraId="53A209A8" w14:textId="77777777" w:rsidR="00A25E62" w:rsidRPr="007122AB" w:rsidRDefault="00A25E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0A595072" w14:textId="77777777" w:rsidR="00A25E62" w:rsidRPr="007122AB" w:rsidRDefault="00A25E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6FD3CC" w14:textId="77777777" w:rsidR="00A25E62" w:rsidRPr="007122AB" w:rsidRDefault="00A25E62" w:rsidP="007122AB">
      <w:pPr>
        <w:pStyle w:val="rteright"/>
        <w:spacing w:before="0" w:after="0"/>
        <w:jc w:val="both"/>
        <w:rPr>
          <w:color w:val="000000" w:themeColor="text1"/>
          <w:sz w:val="16"/>
          <w:szCs w:val="16"/>
        </w:rPr>
      </w:pPr>
      <w:r w:rsidRPr="007122AB">
        <w:rPr>
          <w:color w:val="000000" w:themeColor="text1"/>
          <w:sz w:val="16"/>
          <w:szCs w:val="16"/>
        </w:rPr>
        <w:t>3 октября 1931 г.</w:t>
      </w:r>
    </w:p>
    <w:p w14:paraId="201CFD4C"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ПРОТОКОЛ № 19</w:t>
      </w:r>
    </w:p>
    <w:p w14:paraId="132E0B54"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ПОСЕЩЕНИЯ РАБОЧЕГО ДОМИКА</w:t>
      </w:r>
    </w:p>
    <w:p w14:paraId="68754A43"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БУТЫРСКОЙ ТЮРЬМЫ</w:t>
      </w:r>
    </w:p>
    <w:p w14:paraId="76AEE7BE"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от 3/Х-31 г.</w:t>
      </w:r>
    </w:p>
    <w:p w14:paraId="2EFD6A72"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lastRenderedPageBreak/>
        <w:t>Присутствовали:</w:t>
      </w:r>
    </w:p>
    <w:p w14:paraId="4AE96C28"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Нач. ОКТ № 11 — НАУМИН</w:t>
      </w:r>
    </w:p>
    <w:p w14:paraId="77E72514" w14:textId="77777777" w:rsidR="00A25E62" w:rsidRPr="007122AB" w:rsidRDefault="00A25E62" w:rsidP="007122AB">
      <w:pPr>
        <w:pStyle w:val="ae"/>
        <w:spacing w:before="0" w:after="0"/>
        <w:jc w:val="both"/>
        <w:rPr>
          <w:color w:val="000000" w:themeColor="text1"/>
          <w:sz w:val="16"/>
          <w:szCs w:val="16"/>
        </w:rPr>
      </w:pPr>
      <w:proofErr w:type="spellStart"/>
      <w:r w:rsidRPr="007122AB">
        <w:rPr>
          <w:color w:val="000000" w:themeColor="text1"/>
          <w:sz w:val="16"/>
          <w:szCs w:val="16"/>
        </w:rPr>
        <w:t>Инж</w:t>
      </w:r>
      <w:proofErr w:type="spellEnd"/>
      <w:r w:rsidRPr="007122AB">
        <w:rPr>
          <w:color w:val="000000" w:themeColor="text1"/>
          <w:sz w:val="16"/>
          <w:szCs w:val="16"/>
        </w:rPr>
        <w:t>. — ФЮНЕР</w:t>
      </w:r>
    </w:p>
    <w:p w14:paraId="79865557" w14:textId="77777777" w:rsidR="00A25E62" w:rsidRPr="007122AB" w:rsidRDefault="00A25E62" w:rsidP="007122AB">
      <w:pPr>
        <w:pStyle w:val="ae"/>
        <w:spacing w:before="0" w:after="0"/>
        <w:jc w:val="both"/>
        <w:rPr>
          <w:color w:val="000000" w:themeColor="text1"/>
          <w:sz w:val="16"/>
          <w:szCs w:val="16"/>
        </w:rPr>
      </w:pPr>
      <w:r w:rsidRPr="007122AB">
        <w:rPr>
          <w:color w:val="000000" w:themeColor="text1"/>
          <w:sz w:val="16"/>
          <w:szCs w:val="16"/>
        </w:rPr>
        <w:t>Профессор — РАМЗИН.</w:t>
      </w:r>
    </w:p>
    <w:p w14:paraId="3184EC28"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Тов. НАУМИН сообщает Л. К. РАМЗИНУ о положении дела с заказом на заготовку в «Электростали» и на прокатку труб в Днепропетровске и предлагает ФЮНЕРУ сообщить технические подробности и продемонстрировать материал для возможного изменения или санкции и визы Л. К. РАМЗИНА.</w:t>
      </w:r>
    </w:p>
    <w:p w14:paraId="5364969E"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 xml:space="preserve">РАМЗИН проверяет текст поданной ФЮНЕРОМ справки 3/Х-31 г. в </w:t>
      </w:r>
      <w:proofErr w:type="spellStart"/>
      <w:r w:rsidRPr="007122AB">
        <w:rPr>
          <w:color w:val="000000" w:themeColor="text1"/>
          <w:sz w:val="16"/>
          <w:szCs w:val="16"/>
        </w:rPr>
        <w:t>Стальсбыт</w:t>
      </w:r>
      <w:proofErr w:type="spellEnd"/>
      <w:r w:rsidRPr="007122AB">
        <w:rPr>
          <w:color w:val="000000" w:themeColor="text1"/>
          <w:sz w:val="16"/>
          <w:szCs w:val="16"/>
        </w:rPr>
        <w:t xml:space="preserve"> для разбивки и основных условий заказа труб в Днепропетровске и рапорт его </w:t>
      </w:r>
      <w:proofErr w:type="spellStart"/>
      <w:r w:rsidRPr="007122AB">
        <w:rPr>
          <w:color w:val="000000" w:themeColor="text1"/>
          <w:sz w:val="16"/>
          <w:szCs w:val="16"/>
        </w:rPr>
        <w:t>Нач</w:t>
      </w:r>
      <w:proofErr w:type="spellEnd"/>
      <w:r w:rsidRPr="007122AB">
        <w:rPr>
          <w:color w:val="000000" w:themeColor="text1"/>
          <w:sz w:val="16"/>
          <w:szCs w:val="16"/>
        </w:rPr>
        <w:t>[</w:t>
      </w:r>
      <w:proofErr w:type="spellStart"/>
      <w:r w:rsidRPr="007122AB">
        <w:rPr>
          <w:color w:val="000000" w:themeColor="text1"/>
          <w:sz w:val="16"/>
          <w:szCs w:val="16"/>
        </w:rPr>
        <w:t>альнику</w:t>
      </w:r>
      <w:proofErr w:type="spellEnd"/>
      <w:r w:rsidRPr="007122AB">
        <w:rPr>
          <w:color w:val="000000" w:themeColor="text1"/>
          <w:sz w:val="16"/>
          <w:szCs w:val="16"/>
        </w:rPr>
        <w:t>] ОКБ № 11, — РАМЗИН соглашается с текстом, его визирует и санкционирует мероприятие.</w:t>
      </w:r>
    </w:p>
    <w:p w14:paraId="54F30E4E"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 xml:space="preserve">РАМЗИН читает письмо </w:t>
      </w:r>
      <w:proofErr w:type="spellStart"/>
      <w:r w:rsidRPr="007122AB">
        <w:rPr>
          <w:color w:val="000000" w:themeColor="text1"/>
          <w:sz w:val="16"/>
          <w:szCs w:val="16"/>
        </w:rPr>
        <w:t>Стальсбыта</w:t>
      </w:r>
      <w:proofErr w:type="spellEnd"/>
      <w:r w:rsidRPr="007122AB">
        <w:rPr>
          <w:color w:val="000000" w:themeColor="text1"/>
          <w:sz w:val="16"/>
          <w:szCs w:val="16"/>
        </w:rPr>
        <w:t xml:space="preserve"> от 3/Х-31 г. № 35-323 о консультации вопроса о размере заготовки в </w:t>
      </w:r>
      <w:proofErr w:type="spellStart"/>
      <w:r w:rsidRPr="007122AB">
        <w:rPr>
          <w:color w:val="000000" w:themeColor="text1"/>
          <w:sz w:val="16"/>
          <w:szCs w:val="16"/>
        </w:rPr>
        <w:t>Стальсбыте</w:t>
      </w:r>
      <w:proofErr w:type="spellEnd"/>
      <w:r w:rsidRPr="007122AB">
        <w:rPr>
          <w:color w:val="000000" w:themeColor="text1"/>
          <w:sz w:val="16"/>
          <w:szCs w:val="16"/>
        </w:rPr>
        <w:t xml:space="preserve"> и санкционирует и визирует его равно, как и черновик письма Электростали о прокатке и обдирке ею нужных Днепропетровскому заводу размеров заготовки.</w:t>
      </w:r>
    </w:p>
    <w:p w14:paraId="0B789730"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РАМЗИН соглашается, по дальнейшему краткому докладу ФЮНЕРА, с постановкой загиба и сварки труб в змеевики на заводе Компрессор и с передачей ему заказа на эту работу, но параллельно высказывает мнение о желательности запросить Таганрогский и Ленинградский котельные заводы о возможности командировки ими на завод Компрессор мастеров специалистов по загибке для инструктажа, в случае, если у них самих есть опыт по такого качества работе.</w:t>
      </w:r>
    </w:p>
    <w:p w14:paraId="2C4CBF8A"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 xml:space="preserve">НАЧАЛЬНИК ОКБ № 11 </w:t>
      </w:r>
      <w:proofErr w:type="spellStart"/>
      <w:r w:rsidRPr="007122AB">
        <w:rPr>
          <w:color w:val="000000" w:themeColor="text1"/>
          <w:sz w:val="16"/>
          <w:szCs w:val="16"/>
        </w:rPr>
        <w:t>Наумин</w:t>
      </w:r>
      <w:proofErr w:type="spellEnd"/>
    </w:p>
    <w:p w14:paraId="175CE654" w14:textId="77777777" w:rsidR="00A25E62" w:rsidRPr="007122AB" w:rsidRDefault="00A25E62" w:rsidP="007122AB">
      <w:pPr>
        <w:pStyle w:val="rtejustify"/>
        <w:spacing w:before="0" w:after="0"/>
        <w:rPr>
          <w:color w:val="000000" w:themeColor="text1"/>
          <w:sz w:val="16"/>
          <w:szCs w:val="16"/>
        </w:rPr>
      </w:pPr>
      <w:r w:rsidRPr="007122AB">
        <w:rPr>
          <w:color w:val="000000" w:themeColor="text1"/>
          <w:sz w:val="16"/>
          <w:szCs w:val="16"/>
        </w:rPr>
        <w:t xml:space="preserve">ИНЖЕНЕР ОКБ № 11 М. </w:t>
      </w:r>
      <w:proofErr w:type="spellStart"/>
      <w:r w:rsidRPr="007122AB">
        <w:rPr>
          <w:color w:val="000000" w:themeColor="text1"/>
          <w:sz w:val="16"/>
          <w:szCs w:val="16"/>
        </w:rPr>
        <w:t>Фюнер</w:t>
      </w:r>
      <w:proofErr w:type="spellEnd"/>
    </w:p>
    <w:p w14:paraId="61FCEC25" w14:textId="77777777" w:rsidR="00A25E62" w:rsidRPr="007122AB" w:rsidRDefault="00A25E62"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1. Л. 45. Машинописный подлинник, подписи — автографы.</w:t>
      </w:r>
    </w:p>
    <w:p w14:paraId="3EFC3A28" w14:textId="77777777" w:rsidR="00A25E62" w:rsidRPr="007122AB" w:rsidRDefault="00A25E62" w:rsidP="007122AB">
      <w:pPr>
        <w:spacing w:after="0" w:line="240" w:lineRule="auto"/>
        <w:jc w:val="both"/>
        <w:rPr>
          <w:rFonts w:ascii="Times New Roman" w:hAnsi="Times New Roman"/>
          <w:color w:val="000000" w:themeColor="text1"/>
          <w:sz w:val="16"/>
          <w:szCs w:val="16"/>
        </w:rPr>
      </w:pPr>
    </w:p>
    <w:p w14:paraId="6D4FEDE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E662A1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6A2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3 по 5 октября 1931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Hugh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Herndon</w:t>
      </w:r>
      <w:proofErr w:type="spellEnd"/>
      <w:r w:rsidRPr="007122AB">
        <w:rPr>
          <w:rFonts w:ascii="Times New Roman" w:hAnsi="Times New Roman"/>
          <w:color w:val="000000" w:themeColor="text1"/>
          <w:sz w:val="16"/>
          <w:szCs w:val="16"/>
        </w:rPr>
        <w:t xml:space="preserve"> совершили беспосадочный перелет через Тихий океан на моноплане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CH-200. Длительность 41:31 и расстояние 5000 миль между </w:t>
      </w:r>
      <w:proofErr w:type="spellStart"/>
      <w:r w:rsidRPr="007122AB">
        <w:rPr>
          <w:rFonts w:ascii="Times New Roman" w:hAnsi="Times New Roman"/>
          <w:color w:val="000000" w:themeColor="text1"/>
          <w:sz w:val="16"/>
          <w:szCs w:val="16"/>
        </w:rPr>
        <w:t>Samushiro</w:t>
      </w:r>
      <w:proofErr w:type="spellEnd"/>
      <w:r w:rsidRPr="007122AB">
        <w:rPr>
          <w:rFonts w:ascii="Times New Roman" w:hAnsi="Times New Roman"/>
          <w:color w:val="000000" w:themeColor="text1"/>
          <w:sz w:val="16"/>
          <w:szCs w:val="16"/>
        </w:rPr>
        <w:t xml:space="preserve"> (300 миль к северу от Токио) и </w:t>
      </w:r>
      <w:proofErr w:type="spellStart"/>
      <w:r w:rsidRPr="007122AB">
        <w:rPr>
          <w:rFonts w:ascii="Times New Roman" w:hAnsi="Times New Roman"/>
          <w:color w:val="000000" w:themeColor="text1"/>
          <w:sz w:val="16"/>
          <w:szCs w:val="16"/>
        </w:rPr>
        <w:t>Wenatchee</w:t>
      </w:r>
      <w:proofErr w:type="spellEnd"/>
      <w:r w:rsidRPr="007122AB">
        <w:rPr>
          <w:rFonts w:ascii="Times New Roman" w:hAnsi="Times New Roman"/>
          <w:color w:val="000000" w:themeColor="text1"/>
          <w:sz w:val="16"/>
          <w:szCs w:val="16"/>
        </w:rPr>
        <w:t>, Вашингтон (2100).</w:t>
      </w:r>
    </w:p>
    <w:p w14:paraId="2329A0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0CD37E" w14:textId="77777777" w:rsidR="007D352F" w:rsidRPr="007122AB" w:rsidRDefault="007D352F"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3 октября </w:t>
      </w:r>
      <w:r w:rsidRPr="007122AB">
        <w:rPr>
          <w:rFonts w:ascii="Times New Roman" w:hAnsi="Times New Roman"/>
          <w:color w:val="000000" w:themeColor="text1"/>
          <w:sz w:val="16"/>
          <w:szCs w:val="16"/>
        </w:rPr>
        <w:t xml:space="preserve">в 1931 году состоялся первый беспосадочный перелет через Тихий океан. Его осуществил майор Клайд </w:t>
      </w:r>
      <w:proofErr w:type="spellStart"/>
      <w:r w:rsidRPr="007122AB">
        <w:rPr>
          <w:rFonts w:ascii="Times New Roman" w:hAnsi="Times New Roman"/>
          <w:color w:val="000000" w:themeColor="text1"/>
          <w:sz w:val="16"/>
          <w:szCs w:val="16"/>
        </w:rPr>
        <w:t>Пенгбон</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на самолете "Мисс </w:t>
      </w:r>
      <w:proofErr w:type="spellStart"/>
      <w:r w:rsidRPr="007122AB">
        <w:rPr>
          <w:rFonts w:ascii="Times New Roman" w:hAnsi="Times New Roman"/>
          <w:color w:val="000000" w:themeColor="text1"/>
          <w:sz w:val="16"/>
          <w:szCs w:val="16"/>
        </w:rPr>
        <w:t>Видол</w:t>
      </w:r>
      <w:proofErr w:type="spellEnd"/>
      <w:r w:rsidRPr="007122AB">
        <w:rPr>
          <w:rFonts w:ascii="Times New Roman" w:hAnsi="Times New Roman"/>
          <w:color w:val="000000" w:themeColor="text1"/>
          <w:sz w:val="16"/>
          <w:szCs w:val="16"/>
        </w:rPr>
        <w:t xml:space="preserve">". Вылетев из </w:t>
      </w:r>
      <w:proofErr w:type="spellStart"/>
      <w:r w:rsidRPr="007122AB">
        <w:rPr>
          <w:rFonts w:ascii="Times New Roman" w:hAnsi="Times New Roman"/>
          <w:color w:val="000000" w:themeColor="text1"/>
          <w:sz w:val="16"/>
          <w:szCs w:val="16"/>
        </w:rPr>
        <w:t>Сабиширо</w:t>
      </w:r>
      <w:proofErr w:type="spellEnd"/>
      <w:r w:rsidRPr="007122AB">
        <w:rPr>
          <w:rFonts w:ascii="Times New Roman" w:hAnsi="Times New Roman"/>
          <w:color w:val="000000" w:themeColor="text1"/>
          <w:sz w:val="16"/>
          <w:szCs w:val="16"/>
        </w:rPr>
        <w:t xml:space="preserve"> (Япония) и пролетев расстояние 7335 км 5 октября они приземлились в </w:t>
      </w:r>
      <w:proofErr w:type="spellStart"/>
      <w:r w:rsidRPr="007122AB">
        <w:rPr>
          <w:rFonts w:ascii="Times New Roman" w:hAnsi="Times New Roman"/>
          <w:color w:val="000000" w:themeColor="text1"/>
          <w:sz w:val="16"/>
          <w:szCs w:val="16"/>
        </w:rPr>
        <w:t>Веначчи</w:t>
      </w:r>
      <w:proofErr w:type="spellEnd"/>
      <w:r w:rsidRPr="007122AB">
        <w:rPr>
          <w:rFonts w:ascii="Times New Roman" w:hAnsi="Times New Roman"/>
          <w:color w:val="000000" w:themeColor="text1"/>
          <w:sz w:val="16"/>
          <w:szCs w:val="16"/>
        </w:rPr>
        <w:t xml:space="preserve"> (Вашингтон, США) (14788).</w:t>
      </w:r>
    </w:p>
    <w:p w14:paraId="7A1A4BC2" w14:textId="77777777" w:rsidR="007D352F" w:rsidRPr="007122AB" w:rsidRDefault="007D352F" w:rsidP="007122AB">
      <w:pPr>
        <w:spacing w:after="0" w:line="240" w:lineRule="auto"/>
        <w:jc w:val="both"/>
        <w:rPr>
          <w:rFonts w:ascii="Times New Roman" w:hAnsi="Times New Roman"/>
          <w:color w:val="000000" w:themeColor="text1"/>
          <w:sz w:val="16"/>
          <w:szCs w:val="16"/>
        </w:rPr>
      </w:pPr>
    </w:p>
    <w:p w14:paraId="70B0054E"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3–5 октября 1931 Клайд </w:t>
      </w:r>
      <w:proofErr w:type="spellStart"/>
      <w:r w:rsidRPr="007122AB">
        <w:rPr>
          <w:rFonts w:ascii="Times New Roman" w:hAnsi="Times New Roman"/>
          <w:color w:val="000000" w:themeColor="text1"/>
          <w:sz w:val="16"/>
          <w:szCs w:val="16"/>
        </w:rPr>
        <w:t>Пэнгборн</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совершают первый беспосадочный перелет через Тихий океан от пляжа </w:t>
      </w:r>
      <w:proofErr w:type="spellStart"/>
      <w:r w:rsidRPr="007122AB">
        <w:rPr>
          <w:rFonts w:ascii="Times New Roman" w:hAnsi="Times New Roman"/>
          <w:color w:val="000000" w:themeColor="text1"/>
          <w:sz w:val="16"/>
          <w:szCs w:val="16"/>
        </w:rPr>
        <w:t>Самуширо</w:t>
      </w:r>
      <w:proofErr w:type="spellEnd"/>
      <w:r w:rsidRPr="007122AB">
        <w:rPr>
          <w:rFonts w:ascii="Times New Roman" w:hAnsi="Times New Roman"/>
          <w:color w:val="000000" w:themeColor="text1"/>
          <w:sz w:val="16"/>
          <w:szCs w:val="16"/>
        </w:rPr>
        <w:t xml:space="preserve">, Япония, до </w:t>
      </w:r>
      <w:proofErr w:type="spellStart"/>
      <w:r w:rsidRPr="007122AB">
        <w:rPr>
          <w:rFonts w:ascii="Times New Roman" w:hAnsi="Times New Roman"/>
          <w:color w:val="000000" w:themeColor="text1"/>
          <w:sz w:val="16"/>
          <w:szCs w:val="16"/>
        </w:rPr>
        <w:t>Уэнатчи</w:t>
      </w:r>
      <w:proofErr w:type="spellEnd"/>
      <w:r w:rsidRPr="007122AB">
        <w:rPr>
          <w:rFonts w:ascii="Times New Roman" w:hAnsi="Times New Roman"/>
          <w:color w:val="000000" w:themeColor="text1"/>
          <w:sz w:val="16"/>
          <w:szCs w:val="16"/>
        </w:rPr>
        <w:t xml:space="preserve">, Вашингтон, за 41 час на самолете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специальном самолете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J-300 для дальних полетов (20804).</w:t>
      </w:r>
    </w:p>
    <w:p w14:paraId="2BC87B8C" w14:textId="77777777" w:rsidR="003431F0" w:rsidRPr="007122AB" w:rsidRDefault="003431F0" w:rsidP="007122AB">
      <w:pPr>
        <w:spacing w:after="0" w:line="240" w:lineRule="auto"/>
        <w:jc w:val="both"/>
        <w:rPr>
          <w:rFonts w:ascii="Times New Roman" w:hAnsi="Times New Roman"/>
          <w:color w:val="000000" w:themeColor="text1"/>
          <w:sz w:val="16"/>
          <w:szCs w:val="16"/>
        </w:rPr>
      </w:pPr>
    </w:p>
    <w:p w14:paraId="28100BA8"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 года — стартовал первый беспосадочный перелёт через Тихий океан. /США, Япония/</w:t>
      </w:r>
    </w:p>
    <w:p w14:paraId="0A9C031A"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японская газета Asahi Shimbun назначила приз в 25 000 долларов за пересечение Тихого океана на самолёте без промежуточных посадок. Попытать счастья решили авиаторы из США — Клайд </w:t>
      </w:r>
      <w:proofErr w:type="spellStart"/>
      <w:r w:rsidRPr="007122AB">
        <w:rPr>
          <w:rFonts w:ascii="Times New Roman" w:hAnsi="Times New Roman"/>
          <w:color w:val="000000" w:themeColor="text1"/>
          <w:sz w:val="16"/>
          <w:szCs w:val="16"/>
        </w:rPr>
        <w:t>Пэнгборн</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-младший. За их плечами была неудачная попытка совершить кругосветный перелёт летом того же года.</w:t>
      </w:r>
    </w:p>
    <w:p w14:paraId="1E2FB279"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Рекордный перелёт </w:t>
      </w:r>
      <w:proofErr w:type="spellStart"/>
      <w:r w:rsidRPr="007122AB">
        <w:rPr>
          <w:rFonts w:ascii="Times New Roman" w:hAnsi="Times New Roman"/>
          <w:color w:val="000000" w:themeColor="text1"/>
          <w:sz w:val="16"/>
          <w:szCs w:val="16"/>
        </w:rPr>
        <w:t>Пэнгборн</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выполнили на моноплане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CH-400 </w:t>
      </w:r>
      <w:proofErr w:type="spellStart"/>
      <w:r w:rsidRPr="007122AB">
        <w:rPr>
          <w:rFonts w:ascii="Times New Roman" w:hAnsi="Times New Roman"/>
          <w:color w:val="000000" w:themeColor="text1"/>
          <w:sz w:val="16"/>
          <w:szCs w:val="16"/>
        </w:rPr>
        <w:t>Skyrocket</w:t>
      </w:r>
      <w:proofErr w:type="spellEnd"/>
      <w:r w:rsidRPr="007122AB">
        <w:rPr>
          <w:rFonts w:ascii="Times New Roman" w:hAnsi="Times New Roman"/>
          <w:color w:val="000000" w:themeColor="text1"/>
          <w:sz w:val="16"/>
          <w:szCs w:val="16"/>
        </w:rPr>
        <w:t xml:space="preserve"> с именем собственным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Самолёт максимально облегчили. Для увеличения скорости шасси сбрасывали сразу после взлёта. На борт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погрузили 3464 литров топлива и 170 литров моторного масла.</w:t>
      </w:r>
    </w:p>
    <w:p w14:paraId="26DE7E03"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Взлетев с пляжа </w:t>
      </w:r>
      <w:proofErr w:type="spellStart"/>
      <w:r w:rsidRPr="007122AB">
        <w:rPr>
          <w:rFonts w:ascii="Times New Roman" w:hAnsi="Times New Roman"/>
          <w:color w:val="000000" w:themeColor="text1"/>
          <w:sz w:val="16"/>
          <w:szCs w:val="16"/>
        </w:rPr>
        <w:t>Сабаширо</w:t>
      </w:r>
      <w:proofErr w:type="spellEnd"/>
      <w:r w:rsidRPr="007122AB">
        <w:rPr>
          <w:rFonts w:ascii="Times New Roman" w:hAnsi="Times New Roman"/>
          <w:color w:val="000000" w:themeColor="text1"/>
          <w:sz w:val="16"/>
          <w:szCs w:val="16"/>
        </w:rPr>
        <w:t xml:space="preserve">, на северном побережье острова Хонсю, авиаторы за 41 час 13 минут пересекли Тихий океан. Полёт окончился приземлением «на брюхо» возле городка </w:t>
      </w:r>
      <w:proofErr w:type="spellStart"/>
      <w:r w:rsidRPr="007122AB">
        <w:rPr>
          <w:rFonts w:ascii="Times New Roman" w:hAnsi="Times New Roman"/>
          <w:color w:val="000000" w:themeColor="text1"/>
          <w:sz w:val="16"/>
          <w:szCs w:val="16"/>
        </w:rPr>
        <w:t>Ист-Уэнатчи</w:t>
      </w:r>
      <w:proofErr w:type="spellEnd"/>
      <w:r w:rsidRPr="007122AB">
        <w:rPr>
          <w:rFonts w:ascii="Times New Roman" w:hAnsi="Times New Roman"/>
          <w:color w:val="000000" w:themeColor="text1"/>
          <w:sz w:val="16"/>
          <w:szCs w:val="16"/>
        </w:rPr>
        <w:t xml:space="preserve">, штат Вашингтон. Клайд </w:t>
      </w:r>
      <w:proofErr w:type="spellStart"/>
      <w:r w:rsidRPr="007122AB">
        <w:rPr>
          <w:rFonts w:ascii="Times New Roman" w:hAnsi="Times New Roman"/>
          <w:color w:val="000000" w:themeColor="text1"/>
          <w:sz w:val="16"/>
          <w:szCs w:val="16"/>
        </w:rPr>
        <w:t>Пэнгборн</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получили свой приз, а также награды от правительств Японии и США (22300).</w:t>
      </w:r>
    </w:p>
    <w:p w14:paraId="4094F974" w14:textId="77777777" w:rsidR="003431F0" w:rsidRPr="007122AB" w:rsidRDefault="003431F0" w:rsidP="007122AB">
      <w:pPr>
        <w:spacing w:after="0" w:line="240" w:lineRule="auto"/>
        <w:jc w:val="both"/>
        <w:rPr>
          <w:rFonts w:ascii="Times New Roman" w:hAnsi="Times New Roman"/>
          <w:color w:val="000000" w:themeColor="text1"/>
          <w:sz w:val="16"/>
          <w:szCs w:val="16"/>
        </w:rPr>
      </w:pPr>
    </w:p>
    <w:p w14:paraId="041C73FF"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1931 состоялся первый полет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290 г. (20804). </w:t>
      </w:r>
    </w:p>
    <w:p w14:paraId="529AA93F" w14:textId="77777777" w:rsidR="003431F0" w:rsidRPr="007122AB" w:rsidRDefault="003431F0" w:rsidP="007122AB">
      <w:pPr>
        <w:spacing w:after="0" w:line="240" w:lineRule="auto"/>
        <w:jc w:val="both"/>
        <w:rPr>
          <w:rFonts w:ascii="Times New Roman" w:hAnsi="Times New Roman"/>
          <w:color w:val="000000" w:themeColor="text1"/>
          <w:sz w:val="16"/>
          <w:szCs w:val="16"/>
        </w:rPr>
      </w:pPr>
    </w:p>
    <w:p w14:paraId="125BA4CA"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 года — первый полёт бомбардировщика-торпедоносца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290. /Франция/</w:t>
      </w:r>
    </w:p>
    <w:p w14:paraId="60CD971F"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1927 году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разработала успешный почтовый самолёт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28. Спустя 2 года конструкторы компании решили взять его за основу для проекта торпедоносца. Новый самолёт получил обозначение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290.</w:t>
      </w:r>
    </w:p>
    <w:p w14:paraId="4A2B73E0"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Аналогичный по конструкции своему предшественнику,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290 был высокопланом с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 (на заводе ставили колёсное шасси, которое позже меняли на поплавковое). Оснащался двигателем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12Nbr (650 л.с.) Максимальная скорость — 210 км/ч, дальность полёта — 700 км. Вооружение состояло из 3 × 7,7-мм пулемётов + 1 торпеда или 2 × 150-кг бомбы.</w:t>
      </w:r>
    </w:p>
    <w:p w14:paraId="00093CA2"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успешных испытаний,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290 начали поступать в эскадрильи Морской авиации Франции. Было выпущено 35 самолётов основной модификации + 3 экспериментальных, отличавшихся в основном двигателями. </w:t>
      </w:r>
      <w:proofErr w:type="spellStart"/>
      <w:r w:rsidRPr="007122AB">
        <w:rPr>
          <w:rFonts w:ascii="Times New Roman" w:hAnsi="Times New Roman"/>
          <w:color w:val="000000" w:themeColor="text1"/>
          <w:sz w:val="16"/>
          <w:szCs w:val="16"/>
        </w:rPr>
        <w:t>Latécoère</w:t>
      </w:r>
      <w:proofErr w:type="spellEnd"/>
      <w:r w:rsidRPr="007122AB">
        <w:rPr>
          <w:rFonts w:ascii="Times New Roman" w:hAnsi="Times New Roman"/>
          <w:color w:val="000000" w:themeColor="text1"/>
          <w:sz w:val="16"/>
          <w:szCs w:val="16"/>
        </w:rPr>
        <w:t xml:space="preserve"> 290 эксплуатировались до 1939 года (22300).</w:t>
      </w:r>
    </w:p>
    <w:p w14:paraId="7D67C7AC" w14:textId="77777777" w:rsidR="003431F0" w:rsidRPr="007122AB" w:rsidRDefault="003431F0" w:rsidP="007122AB">
      <w:pPr>
        <w:spacing w:after="0" w:line="240" w:lineRule="auto"/>
        <w:jc w:val="both"/>
        <w:rPr>
          <w:rFonts w:ascii="Times New Roman" w:hAnsi="Times New Roman"/>
          <w:color w:val="000000" w:themeColor="text1"/>
          <w:sz w:val="16"/>
          <w:szCs w:val="16"/>
        </w:rPr>
      </w:pPr>
    </w:p>
    <w:p w14:paraId="20CE0097" w14:textId="77777777" w:rsidR="003431F0" w:rsidRPr="007122AB" w:rsidRDefault="003431F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октября 1931 Бразилия восстанавливает контроль ВМС Бразилии над военно-морской авиацией, создавая корпус морской авиации, который берет на себя управление военно-морской авиацией от генерального штаба (20804).</w:t>
      </w:r>
    </w:p>
    <w:p w14:paraId="19F969EA" w14:textId="77777777" w:rsidR="003431F0" w:rsidRPr="007122AB" w:rsidRDefault="003431F0" w:rsidP="007122AB">
      <w:pPr>
        <w:spacing w:after="0" w:line="240" w:lineRule="auto"/>
        <w:jc w:val="both"/>
        <w:rPr>
          <w:rFonts w:ascii="Times New Roman" w:hAnsi="Times New Roman"/>
          <w:color w:val="000000" w:themeColor="text1"/>
          <w:sz w:val="16"/>
          <w:szCs w:val="16"/>
        </w:rPr>
      </w:pPr>
    </w:p>
    <w:p w14:paraId="5DD93A2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198BA9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3A22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октября 1931 года 152-мм пушка завода "Красный Путиловец" (опытный образец без номера) была доставлена на НИАП</w:t>
      </w:r>
    </w:p>
    <w:p w14:paraId="5051CE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4 октября 1931 года по 7 марта 1932 года 152-мм пушка завода "Красный Путиловец" была испытана 119 выстрелами. Система имела дульный тормоз и штатный передок. Тело пушки было наложено на лафет от 203-мм гаубицы "Красный Путиловец" из первой валовой партии. После повреждения канала ствола пушка была отправлена на завод "Красный Путиловец" (3861).</w:t>
      </w:r>
    </w:p>
    <w:p w14:paraId="6D612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FF21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октября 1931 по распоряжению правительства была создана специальная комиссия для тщательного изучения танка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В нее вошли представители УТМ и ВОАО. Комиссия решила: “Считать, что танк ТГ в данном виде является чисто экспериментальным типом танка, на котором </w:t>
      </w:r>
      <w:proofErr w:type="spellStart"/>
      <w:r w:rsidRPr="007122AB">
        <w:rPr>
          <w:rFonts w:ascii="Times New Roman" w:hAnsi="Times New Roman"/>
          <w:color w:val="000000" w:themeColor="text1"/>
          <w:sz w:val="16"/>
          <w:szCs w:val="16"/>
        </w:rPr>
        <w:t>д.б.б</w:t>
      </w:r>
      <w:proofErr w:type="spellEnd"/>
      <w:r w:rsidRPr="007122AB">
        <w:rPr>
          <w:rFonts w:ascii="Times New Roman" w:hAnsi="Times New Roman"/>
          <w:color w:val="000000" w:themeColor="text1"/>
          <w:sz w:val="16"/>
          <w:szCs w:val="16"/>
        </w:rPr>
        <w:t>. опробованы в работе все механизмы, представляющие практический интерес” (4402).</w:t>
      </w:r>
    </w:p>
    <w:p w14:paraId="50C1F4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D618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октября 1931 г. по распоряжению правительства была соз</w:t>
      </w:r>
      <w:r w:rsidRPr="007122AB">
        <w:rPr>
          <w:rFonts w:ascii="Times New Roman" w:hAnsi="Times New Roman"/>
          <w:color w:val="000000" w:themeColor="text1"/>
          <w:sz w:val="16"/>
          <w:szCs w:val="16"/>
        </w:rPr>
        <w:softHyphen/>
        <w:t>дана специальная комиссия по тщательному изучению танка Э. Гроте. В нее вошли представители УТМ и ВОАО. Ознакомившись с машиной и заслушав доклад конструк</w:t>
      </w:r>
      <w:r w:rsidRPr="007122AB">
        <w:rPr>
          <w:rFonts w:ascii="Times New Roman" w:hAnsi="Times New Roman"/>
          <w:color w:val="000000" w:themeColor="text1"/>
          <w:sz w:val="16"/>
          <w:szCs w:val="16"/>
        </w:rPr>
        <w:softHyphen/>
        <w:t>тора, комиссия решила: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Из-за чрезвычайно высокой стоимости, составлявшей 1 500 тыс. руб. (для сравнения: БТ-2 обходился казне все</w:t>
      </w:r>
      <w:r w:rsidRPr="007122AB">
        <w:rPr>
          <w:rFonts w:ascii="Times New Roman" w:hAnsi="Times New Roman"/>
          <w:color w:val="000000" w:themeColor="text1"/>
          <w:sz w:val="16"/>
          <w:szCs w:val="16"/>
        </w:rPr>
        <w:softHyphen/>
        <w:t>го в 60 тыс. руб.), ТГ даже при устранении всех отмечен</w:t>
      </w:r>
      <w:r w:rsidRPr="007122AB">
        <w:rPr>
          <w:rFonts w:ascii="Times New Roman" w:hAnsi="Times New Roman"/>
          <w:color w:val="000000" w:themeColor="text1"/>
          <w:sz w:val="16"/>
          <w:szCs w:val="16"/>
        </w:rPr>
        <w:softHyphen/>
        <w:t>ных недостатков никак не мог быть принят для серийного производства и оснащения РККА. Комиссия отметила множество талантливых технических идей инженера Гроте, ранее никогда не использовавшихся в танкостроении, но полностью себя оправдавших. Учитывая то, что конструктор Э. Гроте не был прежде свя</w:t>
      </w:r>
      <w:r w:rsidRPr="007122AB">
        <w:rPr>
          <w:rFonts w:ascii="Times New Roman" w:hAnsi="Times New Roman"/>
          <w:color w:val="000000" w:themeColor="text1"/>
          <w:sz w:val="16"/>
          <w:szCs w:val="16"/>
        </w:rPr>
        <w:softHyphen/>
        <w:t>зан с танкостроением, а советские инженеры во время ра</w:t>
      </w:r>
      <w:r w:rsidRPr="007122AB">
        <w:rPr>
          <w:rFonts w:ascii="Times New Roman" w:hAnsi="Times New Roman"/>
          <w:color w:val="000000" w:themeColor="text1"/>
          <w:sz w:val="16"/>
          <w:szCs w:val="16"/>
        </w:rPr>
        <w:softHyphen/>
        <w:t>боты с ним получили большой опыт по постройке столь сложной машины и изучили лучшие для того времени за</w:t>
      </w:r>
      <w:r w:rsidRPr="007122AB">
        <w:rPr>
          <w:rFonts w:ascii="Times New Roman" w:hAnsi="Times New Roman"/>
          <w:color w:val="000000" w:themeColor="text1"/>
          <w:sz w:val="16"/>
          <w:szCs w:val="16"/>
        </w:rPr>
        <w:softHyphen/>
        <w:t>граничные танки, от дальнейших услуг Гроте было решено отказаться. Дальнейшие работы над танком ТГ поручили новому КБ под руководством Барыкова. Изготовленный же образец ТГ по окончании испыта</w:t>
      </w:r>
      <w:r w:rsidRPr="007122AB">
        <w:rPr>
          <w:rFonts w:ascii="Times New Roman" w:hAnsi="Times New Roman"/>
          <w:color w:val="000000" w:themeColor="text1"/>
          <w:sz w:val="16"/>
          <w:szCs w:val="16"/>
        </w:rPr>
        <w:softHyphen/>
        <w:t>ний был отремонтирован на заводе «Большевик», по</w:t>
      </w:r>
      <w:r w:rsidRPr="007122AB">
        <w:rPr>
          <w:rFonts w:ascii="Times New Roman" w:hAnsi="Times New Roman"/>
          <w:color w:val="000000" w:themeColor="text1"/>
          <w:sz w:val="16"/>
          <w:szCs w:val="16"/>
        </w:rPr>
        <w:softHyphen/>
        <w:t>скольку планировалось задействовать его в военных пара</w:t>
      </w:r>
      <w:r w:rsidRPr="007122AB">
        <w:rPr>
          <w:rFonts w:ascii="Times New Roman" w:hAnsi="Times New Roman"/>
          <w:color w:val="000000" w:themeColor="text1"/>
          <w:sz w:val="16"/>
          <w:szCs w:val="16"/>
        </w:rPr>
        <w:softHyphen/>
        <w:t>дах. Однако наркомвоенмор К. Ворошилов не одобрил подобное использование столь секретной машины, и потому в начале 1934 г. танк ТГ был перевезен в подмосковную Кубинку, где занял место среди образцов, хранящихся на НЗ (10733,254).</w:t>
      </w:r>
    </w:p>
    <w:p w14:paraId="1F842D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4EF5C" w14:textId="77777777" w:rsidR="007D352F" w:rsidRPr="007122AB" w:rsidRDefault="007D352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октября 1931 года по распоряжению советского правительства была создана специальная комиссия для тщательного изучения </w:t>
      </w:r>
      <w:hyperlink r:id="rId17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Гроте. Ознакомившись с машиной и заслушав доклад конструктора, комиссия решила: « Считать, что </w:t>
      </w:r>
      <w:hyperlink r:id="rId17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ТГ в данном виде является чисто экспериментальным типом </w:t>
      </w:r>
      <w:hyperlink r:id="rId17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на котором должны быть опробованы в работе все механизмы, представляющие практический интерес». Из-за чрезвычайно высокой стоимости, составлявшей 1,5 млн. рублей (для сравнения: БТ-2 обходился всего в 60 тыс. рублей), ТГ даже при устранении всех отмеченных недостатков не мог быть принят для серийного производства. К этому времени от дальнейших услуг Гроте и других немецких инженеров отказались, и они вернулись в Германию. КБ ЛВС)-5 было реорганизовано, в его состав вошли конструкторы </w:t>
      </w:r>
      <w:proofErr w:type="spellStart"/>
      <w:r w:rsidRPr="007122AB">
        <w:rPr>
          <w:rFonts w:ascii="Times New Roman" w:hAnsi="Times New Roman"/>
          <w:color w:val="000000" w:themeColor="text1"/>
          <w:sz w:val="16"/>
          <w:szCs w:val="16"/>
        </w:rPr>
        <w:t>М.П.Зигель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БААндрыхевич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А.Б.Гаккель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Я.Н.Обухов</w:t>
      </w:r>
      <w:proofErr w:type="spellEnd"/>
      <w:r w:rsidRPr="007122AB">
        <w:rPr>
          <w:rFonts w:ascii="Times New Roman" w:hAnsi="Times New Roman"/>
          <w:color w:val="000000" w:themeColor="text1"/>
          <w:sz w:val="16"/>
          <w:szCs w:val="16"/>
        </w:rPr>
        <w:t xml:space="preserve"> и другие. Возглавил конструкторское бюро молодой энергичный инженер </w:t>
      </w:r>
      <w:proofErr w:type="spellStart"/>
      <w:r w:rsidRPr="007122AB">
        <w:rPr>
          <w:rFonts w:ascii="Times New Roman" w:hAnsi="Times New Roman"/>
          <w:color w:val="000000" w:themeColor="text1"/>
          <w:sz w:val="16"/>
          <w:szCs w:val="16"/>
        </w:rPr>
        <w:t>Н.В.Барыков</w:t>
      </w:r>
      <w:proofErr w:type="spellEnd"/>
      <w:r w:rsidRPr="007122AB">
        <w:rPr>
          <w:rFonts w:ascii="Times New Roman" w:hAnsi="Times New Roman"/>
          <w:color w:val="000000" w:themeColor="text1"/>
          <w:sz w:val="16"/>
          <w:szCs w:val="16"/>
        </w:rPr>
        <w:t>, ранее работавший заместителем Гроте (15608).</w:t>
      </w:r>
    </w:p>
    <w:p w14:paraId="1A1F6D1F" w14:textId="77777777" w:rsidR="007D352F" w:rsidRPr="007122AB" w:rsidRDefault="007D352F" w:rsidP="007122AB">
      <w:pPr>
        <w:spacing w:after="0" w:line="240" w:lineRule="auto"/>
        <w:jc w:val="both"/>
        <w:rPr>
          <w:rFonts w:ascii="Times New Roman" w:hAnsi="Times New Roman"/>
          <w:color w:val="000000" w:themeColor="text1"/>
          <w:sz w:val="16"/>
          <w:szCs w:val="16"/>
        </w:rPr>
      </w:pPr>
    </w:p>
    <w:p w14:paraId="42AA09CA" w14:textId="77777777" w:rsidR="007D352F" w:rsidRPr="007122AB" w:rsidRDefault="007D352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октября 1931 г. по распоряжению правительства была создана комиссия для тщательного изучения ТГ. Комиссия решила: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Комиссия отметила множество талантливых технических идей инженера Гроте, ранее никогда не использовавшихся в танкостроении. Учитывая, что советские инженеры во </w:t>
      </w:r>
      <w:r w:rsidRPr="007122AB">
        <w:rPr>
          <w:rFonts w:ascii="Times New Roman" w:hAnsi="Times New Roman"/>
          <w:color w:val="000000" w:themeColor="text1"/>
          <w:sz w:val="16"/>
          <w:szCs w:val="16"/>
        </w:rPr>
        <w:lastRenderedPageBreak/>
        <w:t xml:space="preserve">время работы с Гроте получили большой опыт по постройке столь сложной машины и изучили лучшие для того времени заграничные танки, от дальнейших услуг Э. Гроте было решено отказаться. Последующую работу над танком ТГ поручили КБ под руководством Н. В. Барыкова. В конце 1931 г. это КБ получило задание на проектирование, с учётом опыта постройки ТГ, нового </w:t>
      </w:r>
      <w:proofErr w:type="spellStart"/>
      <w:r w:rsidRPr="007122AB">
        <w:rPr>
          <w:rFonts w:ascii="Times New Roman" w:hAnsi="Times New Roman"/>
          <w:color w:val="000000" w:themeColor="text1"/>
          <w:sz w:val="16"/>
          <w:szCs w:val="16"/>
        </w:rPr>
        <w:t>многобашенного</w:t>
      </w:r>
      <w:proofErr w:type="spellEnd"/>
      <w:r w:rsidRPr="007122AB">
        <w:rPr>
          <w:rFonts w:ascii="Times New Roman" w:hAnsi="Times New Roman"/>
          <w:color w:val="000000" w:themeColor="text1"/>
          <w:sz w:val="16"/>
          <w:szCs w:val="16"/>
        </w:rPr>
        <w:t xml:space="preserve"> танка прорыва массой в 35 т. В 1932 г. такая машина была построена — танк Т-35 (15132).</w:t>
      </w:r>
    </w:p>
    <w:p w14:paraId="104667D2" w14:textId="77777777" w:rsidR="007D352F" w:rsidRPr="007122AB" w:rsidRDefault="007D352F" w:rsidP="007122AB">
      <w:pPr>
        <w:spacing w:after="0" w:line="240" w:lineRule="auto"/>
        <w:jc w:val="both"/>
        <w:rPr>
          <w:rFonts w:ascii="Times New Roman" w:hAnsi="Times New Roman"/>
          <w:color w:val="000000" w:themeColor="text1"/>
          <w:sz w:val="16"/>
          <w:szCs w:val="16"/>
        </w:rPr>
      </w:pPr>
    </w:p>
    <w:p w14:paraId="7809AA2B" w14:textId="77777777" w:rsidR="003E422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25D22D62" w14:textId="77777777" w:rsidR="003E4223" w:rsidRPr="007122AB" w:rsidRDefault="003E422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23C286" w14:textId="77777777" w:rsidR="003E4223" w:rsidRPr="007122AB" w:rsidRDefault="003E4223" w:rsidP="007122AB">
      <w:pPr>
        <w:pStyle w:val="ae"/>
        <w:spacing w:before="0" w:after="0"/>
        <w:jc w:val="both"/>
        <w:rPr>
          <w:color w:val="000000" w:themeColor="text1"/>
          <w:sz w:val="16"/>
          <w:szCs w:val="16"/>
        </w:rPr>
      </w:pPr>
      <w:r w:rsidRPr="007122AB">
        <w:rPr>
          <w:color w:val="000000" w:themeColor="text1"/>
          <w:sz w:val="16"/>
          <w:szCs w:val="16"/>
        </w:rPr>
        <w:t>4 октября 1931 А.К. Сивков и А.И. Берг приняли участие в учебной атаке торпедных катеров M.A.S., базировавшихся на Специю (15736).</w:t>
      </w:r>
    </w:p>
    <w:p w14:paraId="75EA51D0" w14:textId="77777777" w:rsidR="003E4223" w:rsidRPr="007122AB" w:rsidRDefault="003E4223" w:rsidP="007122AB">
      <w:pPr>
        <w:pStyle w:val="ae"/>
        <w:spacing w:before="0" w:after="0"/>
        <w:jc w:val="both"/>
        <w:rPr>
          <w:color w:val="000000" w:themeColor="text1"/>
          <w:sz w:val="16"/>
          <w:szCs w:val="16"/>
        </w:rPr>
      </w:pPr>
    </w:p>
    <w:p w14:paraId="39518F2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8EE798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B820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октября 1931 г. СНК РСФСР утверждает "Положение о Главном управлении рабоче-крестьянской милиции при СНК РСФСР" (10303).</w:t>
      </w:r>
    </w:p>
    <w:p w14:paraId="15C8A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C983A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6CDB5C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C462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5 октября по 3 ноября 1931 в НИИ ВВС проходили испытания серийного самолета Р6-2М17.</w:t>
      </w:r>
    </w:p>
    <w:p w14:paraId="75047B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головного серийного самолета Р6-2М17</w:t>
      </w:r>
    </w:p>
    <w:p w14:paraId="4801FE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5 октября 1931 года</w:t>
      </w:r>
    </w:p>
    <w:p w14:paraId="0F8CF5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3 ноября 1931 года</w:t>
      </w:r>
    </w:p>
    <w:p w14:paraId="2DAC4A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21, число дней занятых полетами – 12</w:t>
      </w:r>
    </w:p>
    <w:p w14:paraId="45C2E4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обусловленный протоколом заседания в ВАО 6 сентября 1931 года срок предъявления самолета Р6, для испытания в НИИ к 7 сентября 1931 года самолет был предъявлен лишь 3 октября 1931 года.</w:t>
      </w:r>
    </w:p>
    <w:p w14:paraId="60B48A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завода № 22, головной серийный (6931).</w:t>
      </w:r>
    </w:p>
    <w:p w14:paraId="092ED2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8E2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5 октября по 3 ноября 1931 г. состоялись испытания головного серийного самолета Р6-2М17.</w:t>
      </w:r>
    </w:p>
    <w:p w14:paraId="5B2DA7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дней занятых полетами - 12</w:t>
      </w:r>
    </w:p>
    <w:p w14:paraId="0175FA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полетов - 21</w:t>
      </w:r>
    </w:p>
    <w:p w14:paraId="26270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429D5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Р6 постройки зав. N 22 головной серии.</w:t>
      </w:r>
    </w:p>
    <w:p w14:paraId="295401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16D30A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393B0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9E3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октября 1931 начались гос. испытания АНТ-7 (Р-6). Обнаружилась вибрация оперения. Исправили, запустили в серию на заводе 22. Сделали 45 до 1932, передали на 31 завод для выпуска на поплавках Ж. Всего произвели 400 Р-6 (92,352) до 3 ноября 1931 (2671,14).</w:t>
      </w:r>
    </w:p>
    <w:p w14:paraId="7CC2A2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 был первый серийный Р-6 (АНТ-7) с М-17. Всего делали до 1936 </w:t>
      </w:r>
      <w:proofErr w:type="spellStart"/>
      <w:r w:rsidRPr="007122AB">
        <w:rPr>
          <w:rFonts w:ascii="Times New Roman" w:hAnsi="Times New Roman"/>
          <w:color w:val="000000" w:themeColor="text1"/>
          <w:sz w:val="16"/>
          <w:szCs w:val="16"/>
        </w:rPr>
        <w:t>еа</w:t>
      </w:r>
      <w:proofErr w:type="spellEnd"/>
      <w:r w:rsidRPr="007122AB">
        <w:rPr>
          <w:rFonts w:ascii="Times New Roman" w:hAnsi="Times New Roman"/>
          <w:color w:val="000000" w:themeColor="text1"/>
          <w:sz w:val="16"/>
          <w:szCs w:val="16"/>
        </w:rPr>
        <w:t xml:space="preserve"> 22, 31 и 126 407 (1852,47).</w:t>
      </w:r>
    </w:p>
    <w:p w14:paraId="51E4B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это были испытания серийного 22 завода N 2201 с 2М-17. Уступал эталону и А.Н.Т. поручили модифицировать (346,35).</w:t>
      </w:r>
    </w:p>
    <w:p w14:paraId="4E7E3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проходили до 3 ноября 1931 (1017,200).</w:t>
      </w:r>
    </w:p>
    <w:p w14:paraId="5AFC2F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до 3 декабря 1931 (1017,204).</w:t>
      </w:r>
    </w:p>
    <w:p w14:paraId="17B050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0F23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5 октября по 3 ноября 1931 г. шли госиспытания первого серийного Р-6. От опытной машины он отличался моторами М-17 (советской копией BMW VI) и несколько измененными радиаторами. Серийный самолет был на 126 кг тяжелее опытного; основную лепту внесли моторы - 60 кг. Отечественные колеса вместо импортных добавили 28 кг. Оставшиеся 38 кг распределялись между различными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скороподъемность. Показатели горизонтального маневра практически не изменились. На снижение летных данных оказало влияние даже не столько </w:t>
      </w:r>
      <w:proofErr w:type="spellStart"/>
      <w:r w:rsidRPr="007122AB">
        <w:rPr>
          <w:rFonts w:ascii="Times New Roman" w:hAnsi="Times New Roman"/>
          <w:color w:val="000000" w:themeColor="text1"/>
          <w:sz w:val="16"/>
          <w:szCs w:val="16"/>
        </w:rPr>
        <w:t>перетяжеление</w:t>
      </w:r>
      <w:proofErr w:type="spellEnd"/>
      <w:r w:rsidRPr="007122AB">
        <w:rPr>
          <w:rFonts w:ascii="Times New Roman" w:hAnsi="Times New Roman"/>
          <w:color w:val="000000" w:themeColor="text1"/>
          <w:sz w:val="16"/>
          <w:szCs w:val="16"/>
        </w:rPr>
        <w:t xml:space="preserve"> самолета, сколько ненадежная работа двигателей. Хотя М-17 номинально должен был выдавать ту же мощность, что и немецкий мотор, на практике он постоянно недодавал обороты. Кроме того, двигатели перегревались, вынуждая летчика убирать газ.</w:t>
      </w:r>
    </w:p>
    <w:p w14:paraId="79CE6C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списке дефектов отмечалось в основном то, что ЦАГИ внес при доработке в опытный образец, а на серийной машине отсутствовало, поскольку и доработки, и изготовление головной машины фактически осуществлялись параллельно.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весьма низкое качество производства самолета...".</w:t>
      </w:r>
    </w:p>
    <w:p w14:paraId="7F237A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несмотря на все недостатки, общий отзыв о машине оказался одобрительным.</w:t>
      </w:r>
    </w:p>
    <w:p w14:paraId="0F2EC4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 НИИ гласил: "Несмотря на некоторое понижение летных данных, головной серийный самолет Р6-М17 не хуже, а по некоторым показателям даже лучше самолетов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оборудование и вооружение (12036).</w:t>
      </w:r>
    </w:p>
    <w:p w14:paraId="1046F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AB9711"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5 октября до 3 ноября 1931 г. шли испытания головного Р-6. От опытного он отличался моторами М-17 (советской копией ВМ\Л/ VI) и несколько изменёнными радиаторами. Серийный самолёт стал на 126 кг тяжелее опытного. Основную прибавку внесли моторы - 60 кг. Отечественные колёса, установленные вместо импортных, добавили 28 кг. Оставшиеся 38 кг распределились между узлами планёра. Головной Р-6 на разных высотах уступал опытному образцу в максимальной скорости горизонтального полета 12-13 км/ч и около 1000 м в практическом потолке. Ухудшилась и скороподъёмность. Показатели горизонтального манёвра практически не изменились. На снижение лётных данных оказало влияние даже не столько </w:t>
      </w:r>
      <w:proofErr w:type="spellStart"/>
      <w:r w:rsidRPr="007122AB">
        <w:rPr>
          <w:rFonts w:ascii="Times New Roman" w:hAnsi="Times New Roman"/>
          <w:color w:val="000000" w:themeColor="text1"/>
          <w:sz w:val="16"/>
          <w:szCs w:val="16"/>
        </w:rPr>
        <w:t>перетяжеление</w:t>
      </w:r>
      <w:proofErr w:type="spellEnd"/>
      <w:r w:rsidRPr="007122AB">
        <w:rPr>
          <w:rFonts w:ascii="Times New Roman" w:hAnsi="Times New Roman"/>
          <w:color w:val="000000" w:themeColor="text1"/>
          <w:sz w:val="16"/>
          <w:szCs w:val="16"/>
        </w:rPr>
        <w:t xml:space="preserve"> самолёта, сколько ненадёжная работа двигателей. Хотя М-17 номинально должен был выдавать 500/730 л.с. - столько же, сколько исходный ВМ\Л/ VI, на практике он постоянно недодавал обороты. Кроме того, моторы перегревались.</w:t>
      </w:r>
    </w:p>
    <w:p w14:paraId="2DCF194E"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 снова в НИИ ВВС отметили 46 дефектов. Частично они повторяли относящиеся к опытной машине. На № 2201 не было выполнено в полном объёме всё то, что ЦАГИ по результатам более ранних испытаний доработал на опытном образце Р-6. Стояли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старого, </w:t>
      </w:r>
      <w:proofErr w:type="spellStart"/>
      <w:r w:rsidRPr="007122AB">
        <w:rPr>
          <w:rFonts w:ascii="Times New Roman" w:hAnsi="Times New Roman"/>
          <w:color w:val="000000" w:themeColor="text1"/>
          <w:sz w:val="16"/>
          <w:szCs w:val="16"/>
        </w:rPr>
        <w:t>неусиленного</w:t>
      </w:r>
      <w:proofErr w:type="spellEnd"/>
      <w:r w:rsidRPr="007122AB">
        <w:rPr>
          <w:rFonts w:ascii="Times New Roman" w:hAnsi="Times New Roman"/>
          <w:color w:val="000000" w:themeColor="text1"/>
          <w:sz w:val="16"/>
          <w:szCs w:val="16"/>
        </w:rPr>
        <w:t xml:space="preserve"> типа и тряслись в полёте. Козырёк пилотской кабины не имел окантовки, </w:t>
      </w:r>
      <w:proofErr w:type="spellStart"/>
      <w:r w:rsidRPr="007122AB">
        <w:rPr>
          <w:rFonts w:ascii="Times New Roman" w:hAnsi="Times New Roman"/>
          <w:color w:val="000000" w:themeColor="text1"/>
          <w:sz w:val="16"/>
          <w:szCs w:val="16"/>
        </w:rPr>
        <w:t>отсутствововали</w:t>
      </w:r>
      <w:proofErr w:type="spellEnd"/>
      <w:r w:rsidRPr="007122AB">
        <w:rPr>
          <w:rFonts w:ascii="Times New Roman" w:hAnsi="Times New Roman"/>
          <w:color w:val="000000" w:themeColor="text1"/>
          <w:sz w:val="16"/>
          <w:szCs w:val="16"/>
        </w:rPr>
        <w:t xml:space="preserve"> боковые стёкла - в кабину сильно задувало. В диапазоне скоростей 115-150 км/ч отмечалась тряска оперения, носовой и хвостовой частей фюзеляжа. В отчёте записано: «На спирали очень сильно вибрирует хвостовое оперение...».</w:t>
      </w:r>
    </w:p>
    <w:p w14:paraId="7D0A8CAA"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Вообще «накопали» немало: «устойчивость поперечная неудовлетворительная»; «обзор вперёд закрыт носом самолёта, обзору вперёд в стороны мешают моторы»; при пикировании возникала большая нагрузка на штурвал и так далее. Наводка самолёта на цель при бомбометании с горизонтального полёта оказалась затруднительной - ни пилот, ни штурман-бомбардир не имели окон в полу кабины. У экипажа не было никаких средств связи между собой. Педали ножного управления у лётчика признали неудобными.</w:t>
      </w:r>
    </w:p>
    <w:p w14:paraId="18C352F7"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Много замечаний касались эксплуатации. В отверстие, из которого выходил костыль, забивалась грязь - предложили сделать полотняный чехол. Верхний откидной капот мотора не фиксировался в поднятом положении, угрожая в самый неподходящий момент упасть на голову механику. Над маслобаками и кранами не имелось люков. Чтобы добраться до магнето двигателя, надо было снять переднюю кромку крыла, которую НИИ требовал приклепать намертво. Туго работали жалюзи радиаторов, сами они постоянно </w:t>
      </w:r>
      <w:proofErr w:type="spellStart"/>
      <w:r w:rsidRPr="007122AB">
        <w:rPr>
          <w:rFonts w:ascii="Times New Roman" w:hAnsi="Times New Roman"/>
          <w:color w:val="000000" w:themeColor="text1"/>
          <w:sz w:val="16"/>
          <w:szCs w:val="16"/>
        </w:rPr>
        <w:t>текли.Всё</w:t>
      </w:r>
      <w:proofErr w:type="spellEnd"/>
      <w:r w:rsidRPr="007122AB">
        <w:rPr>
          <w:rFonts w:ascii="Times New Roman" w:hAnsi="Times New Roman"/>
          <w:color w:val="000000" w:themeColor="text1"/>
          <w:sz w:val="16"/>
          <w:szCs w:val="16"/>
        </w:rPr>
        <w:t xml:space="preserve"> это предполагалось исправить на последующих сериях, начиная с первых месяцев 1932 г. Вместе с ЦАГИ вину за многочисленные недоработки в полной мере разделял завод № 22, по этому поводу из НИИ ВВС сообщали: «Необходимо констатировать весьма низкое качество производства самолёта...»</w:t>
      </w:r>
    </w:p>
    <w:p w14:paraId="1852954A"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даже учитывая всё выше сказанное, общий отзыв о машине звучал одобрительно: «Несмотря на некоторое понижение лётных данных, головной серийный самолёт Р6-2М17 не хуже, а по некоторым показателям даже лучше самолётов соответствующего класса, состоящих на вооружении на Западе, уступая лишь лучшим опытным образцам». И это соответствовало действительности. Правда, воздушных «крейсеров» в мире практически никто не строил, и сравнение можно было провести только с рядом французских машин. Головной Р-6 испытания выдержал, путь в строевые части ВВС РККА серийным самолётам был открыт.</w:t>
      </w:r>
    </w:p>
    <w:p w14:paraId="3335FD44"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будущее НИИ ВВС рекомендовал использовать создававшиеся тогда моторы М-34 (несколько ранее предлагали и М-32, так и не вышедший из стадии опытного образца), ввести тормозные колёса, усовершенствовать шасси. Для варианта дальнего разведчика потребовали спроектировать дополнительные баки на 600 - 700 кг </w:t>
      </w:r>
      <w:r w:rsidRPr="007122AB">
        <w:rPr>
          <w:rFonts w:ascii="Times New Roman" w:hAnsi="Times New Roman"/>
          <w:color w:val="000000" w:themeColor="text1"/>
          <w:sz w:val="16"/>
          <w:szCs w:val="16"/>
        </w:rPr>
        <w:lastRenderedPageBreak/>
        <w:t>бензина - поскольку дальность 1680 км, определённая на испытаниях, в этом случае не отвечала поставленным задачам. Предложили создать и чисто бомбардировочный вариант Р-6, который по своим данным мог занять место между ТБ-1 и Р-5.</w:t>
      </w:r>
    </w:p>
    <w:p w14:paraId="3941FB30"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Чуть позже на самолёте № 2201 смонтировали полный комплект вооружения и почти всё оборудование и с помощью ЦАГИ довели это «до ума». Машина стала эталоном для серии. Она проходила повторные испытания в НИИ ВВС с 22 января по 7 апреля 1932 г. и успешно их выдержала. Экипаж состоял из лётчика </w:t>
      </w:r>
      <w:proofErr w:type="spellStart"/>
      <w:r w:rsidRPr="007122AB">
        <w:rPr>
          <w:rFonts w:ascii="Times New Roman" w:hAnsi="Times New Roman"/>
          <w:color w:val="000000" w:themeColor="text1"/>
          <w:sz w:val="16"/>
          <w:szCs w:val="16"/>
        </w:rPr>
        <w:t>Миндера</w:t>
      </w:r>
      <w:proofErr w:type="spellEnd"/>
      <w:r w:rsidRPr="007122AB">
        <w:rPr>
          <w:rFonts w:ascii="Times New Roman" w:hAnsi="Times New Roman"/>
          <w:color w:val="000000" w:themeColor="text1"/>
          <w:sz w:val="16"/>
          <w:szCs w:val="16"/>
        </w:rPr>
        <w:t xml:space="preserve"> и летнаба Бобкова.</w:t>
      </w:r>
    </w:p>
    <w:p w14:paraId="334E1FFA" w14:textId="77777777" w:rsidR="007E0EEA" w:rsidRPr="007122AB" w:rsidRDefault="007E0EE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Специалисты НИИ порекомендовали в дальнейшем переделать капоты моторов по образцу ТБ-3, ввести разрезные элероны, удлинить носовую часть фюзеляжа и заменить фотоаппарат на новый АФА-13 (12264).</w:t>
      </w:r>
    </w:p>
    <w:p w14:paraId="572D94DB" w14:textId="77777777" w:rsidR="007E0EEA" w:rsidRPr="007122AB" w:rsidRDefault="007E0EEA" w:rsidP="007122AB">
      <w:pPr>
        <w:spacing w:after="0" w:line="240" w:lineRule="auto"/>
        <w:jc w:val="both"/>
        <w:rPr>
          <w:rFonts w:ascii="Times New Roman" w:hAnsi="Times New Roman"/>
          <w:color w:val="000000" w:themeColor="text1"/>
          <w:sz w:val="16"/>
          <w:szCs w:val="16"/>
        </w:rPr>
      </w:pPr>
    </w:p>
    <w:p w14:paraId="4618C1F6"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октября 1931 г. первый серийный са</w:t>
      </w:r>
      <w:r w:rsidRPr="00441F34">
        <w:rPr>
          <w:rFonts w:ascii="Times New Roman" w:hAnsi="Times New Roman"/>
          <w:color w:val="0070C0"/>
          <w:sz w:val="16"/>
          <w:szCs w:val="16"/>
        </w:rPr>
        <w:softHyphen/>
        <w:t>молет Р—6 №2201, построенный на заводе № 22, с двумя двигателями М—17 (№26389 и №26382) был передан в НИИ ВВС на госиспытания. Их результа</w:t>
      </w:r>
      <w:r w:rsidRPr="00441F34">
        <w:rPr>
          <w:rFonts w:ascii="Times New Roman" w:hAnsi="Times New Roman"/>
          <w:color w:val="0070C0"/>
          <w:sz w:val="16"/>
          <w:szCs w:val="16"/>
        </w:rPr>
        <w:softHyphen/>
        <w:t>ты показали, что самолет уступает эталону в скорости (на высотах 3000 м и 5000 м), в скороподъемности и потолке (на целую тысячу метров). Ухудшение летных дан</w:t>
      </w:r>
      <w:r w:rsidRPr="00441F34">
        <w:rPr>
          <w:rFonts w:ascii="Times New Roman" w:hAnsi="Times New Roman"/>
          <w:color w:val="0070C0"/>
          <w:sz w:val="16"/>
          <w:szCs w:val="16"/>
        </w:rPr>
        <w:softHyphen/>
        <w:t>ных объяснялось плохой работой мото</w:t>
      </w:r>
      <w:r w:rsidRPr="00441F34">
        <w:rPr>
          <w:rFonts w:ascii="Times New Roman" w:hAnsi="Times New Roman"/>
          <w:color w:val="0070C0"/>
          <w:sz w:val="16"/>
          <w:szCs w:val="16"/>
        </w:rPr>
        <w:softHyphen/>
        <w:t xml:space="preserve">ров и </w:t>
      </w:r>
      <w:proofErr w:type="spellStart"/>
      <w:r w:rsidRPr="00441F34">
        <w:rPr>
          <w:rFonts w:ascii="Times New Roman" w:hAnsi="Times New Roman"/>
          <w:color w:val="0070C0"/>
          <w:sz w:val="16"/>
          <w:szCs w:val="16"/>
        </w:rPr>
        <w:t>перетяжелением</w:t>
      </w:r>
      <w:proofErr w:type="spellEnd"/>
      <w:r w:rsidRPr="00441F34">
        <w:rPr>
          <w:rFonts w:ascii="Times New Roman" w:hAnsi="Times New Roman"/>
          <w:color w:val="0070C0"/>
          <w:sz w:val="16"/>
          <w:szCs w:val="16"/>
        </w:rPr>
        <w:t>, допущенным производством. Несмотря на это серий</w:t>
      </w:r>
      <w:r w:rsidRPr="00441F34">
        <w:rPr>
          <w:rFonts w:ascii="Times New Roman" w:hAnsi="Times New Roman"/>
          <w:color w:val="0070C0"/>
          <w:sz w:val="16"/>
          <w:szCs w:val="16"/>
        </w:rPr>
        <w:softHyphen/>
        <w:t>ный самолет оказался не хуже зарубеж</w:t>
      </w:r>
      <w:r w:rsidRPr="00441F34">
        <w:rPr>
          <w:rFonts w:ascii="Times New Roman" w:hAnsi="Times New Roman"/>
          <w:color w:val="0070C0"/>
          <w:sz w:val="16"/>
          <w:szCs w:val="16"/>
        </w:rPr>
        <w:softHyphen/>
        <w:t>ных такого же класса. НИИ ВВС поручило Туполеву провести дальнейшие работы по модификации машины:</w:t>
      </w:r>
    </w:p>
    <w:p w14:paraId="3ED5D4CE"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поставить тормозные колеса,</w:t>
      </w:r>
    </w:p>
    <w:p w14:paraId="2C51C5E5"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заменить моторы М—17 на М—34,</w:t>
      </w:r>
    </w:p>
    <w:p w14:paraId="58219A9C"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для варианта разведчика установить дополнительные баки,</w:t>
      </w:r>
    </w:p>
    <w:p w14:paraId="1C354A43"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провести доработки, позволившие бы использовать самолет в качестве сред</w:t>
      </w:r>
      <w:r w:rsidRPr="00441F34">
        <w:rPr>
          <w:rFonts w:ascii="Times New Roman" w:hAnsi="Times New Roman"/>
          <w:color w:val="0070C0"/>
          <w:sz w:val="16"/>
          <w:szCs w:val="16"/>
        </w:rPr>
        <w:softHyphen/>
        <w:t>него бомбардировщика.</w:t>
      </w:r>
    </w:p>
    <w:p w14:paraId="436E9BEB"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Кроме того, одной из главных задач оставалась борьба с так и не покоренной вибрацией (23474).</w:t>
      </w:r>
    </w:p>
    <w:p w14:paraId="05606D54" w14:textId="77777777" w:rsidR="00221006" w:rsidRPr="00441F34" w:rsidRDefault="00221006" w:rsidP="00221006">
      <w:pPr>
        <w:spacing w:after="0" w:line="240" w:lineRule="auto"/>
        <w:jc w:val="both"/>
        <w:rPr>
          <w:rFonts w:ascii="Times New Roman" w:hAnsi="Times New Roman"/>
          <w:color w:val="0070C0"/>
          <w:sz w:val="16"/>
          <w:szCs w:val="16"/>
        </w:rPr>
      </w:pPr>
    </w:p>
    <w:p w14:paraId="0AB48A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С.П.К. впервые встретился с </w:t>
      </w:r>
      <w:proofErr w:type="spellStart"/>
      <w:r w:rsidRPr="007122AB">
        <w:rPr>
          <w:rFonts w:ascii="Times New Roman" w:hAnsi="Times New Roman"/>
          <w:color w:val="000000" w:themeColor="text1"/>
          <w:sz w:val="16"/>
          <w:szCs w:val="16"/>
        </w:rPr>
        <w:t>Ф.А.Цандером</w:t>
      </w:r>
      <w:proofErr w:type="spellEnd"/>
      <w:r w:rsidRPr="007122AB">
        <w:rPr>
          <w:rFonts w:ascii="Times New Roman" w:hAnsi="Times New Roman"/>
          <w:color w:val="000000" w:themeColor="text1"/>
          <w:sz w:val="16"/>
          <w:szCs w:val="16"/>
        </w:rPr>
        <w:t xml:space="preserve"> на подмосковном аэродроме Осоавиахима (пост. разъезд 133 Октябрьской </w:t>
      </w:r>
      <w:proofErr w:type="spellStart"/>
      <w:r w:rsidRPr="007122AB">
        <w:rPr>
          <w:rFonts w:ascii="Times New Roman" w:hAnsi="Times New Roman"/>
          <w:color w:val="000000" w:themeColor="text1"/>
          <w:sz w:val="16"/>
          <w:szCs w:val="16"/>
        </w:rPr>
        <w:t>жд</w:t>
      </w:r>
      <w:proofErr w:type="spellEnd"/>
      <w:r w:rsidRPr="007122AB">
        <w:rPr>
          <w:rFonts w:ascii="Times New Roman" w:hAnsi="Times New Roman"/>
          <w:color w:val="000000" w:themeColor="text1"/>
          <w:sz w:val="16"/>
          <w:szCs w:val="16"/>
        </w:rPr>
        <w:t>), когда С.П.К. демонстрировал планер БИЧ-8 (105,135).</w:t>
      </w:r>
    </w:p>
    <w:p w14:paraId="4B1EDF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1931 С.П.К. получил разрешение испытать БИЧ-8, который с 1929 не использовался. На подмосковной станции выполнил 12 полетов и возникла мысль приспособить его под ЖРД (2544,59).</w:t>
      </w:r>
    </w:p>
    <w:p w14:paraId="7A7D2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A05093"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5 октября 1931 г. Королёв пригласил на аэродром Цандера и продемонстрировал ему полёты бесхвостого планера. Через два дня Королёв и </w:t>
      </w:r>
      <w:proofErr w:type="spellStart"/>
      <w:r w:rsidRPr="007122AB">
        <w:rPr>
          <w:rFonts w:ascii="Times New Roman" w:eastAsia="Times New Roman" w:hAnsi="Times New Roman"/>
          <w:color w:val="000000" w:themeColor="text1"/>
          <w:sz w:val="16"/>
          <w:szCs w:val="16"/>
          <w:lang w:eastAsia="ru-RU"/>
        </w:rPr>
        <w:t>Черановский</w:t>
      </w:r>
      <w:proofErr w:type="spellEnd"/>
      <w:r w:rsidRPr="007122AB">
        <w:rPr>
          <w:rFonts w:ascii="Times New Roman" w:eastAsia="Times New Roman" w:hAnsi="Times New Roman"/>
          <w:color w:val="000000" w:themeColor="text1"/>
          <w:sz w:val="16"/>
          <w:szCs w:val="16"/>
          <w:lang w:eastAsia="ru-RU"/>
        </w:rPr>
        <w:t xml:space="preserve"> приехали посмотреть на запуски ЖРД Цандера ОР-1, работающего на бензине и жидком кислороде. Так сложился конструкторский коллектив по созданию ракетоплана РП-1 (17489).</w:t>
      </w:r>
    </w:p>
    <w:p w14:paraId="573FF30A"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p>
    <w:p w14:paraId="4B5BA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октября 1931 была встреча СПК с Ф.А. Цандером на аэродроме ОХА для осмотра планера БИЧ-8 (ААН, ф. 573, оп. 3, № 38) (10676).</w:t>
      </w:r>
    </w:p>
    <w:p w14:paraId="15FFA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4C95CE"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октября 1931 г. Королев привез Цандера на аэродром воз</w:t>
      </w:r>
      <w:r w:rsidRPr="00441F34">
        <w:rPr>
          <w:rFonts w:ascii="Times New Roman" w:hAnsi="Times New Roman"/>
          <w:color w:val="0070C0"/>
          <w:sz w:val="16"/>
          <w:szCs w:val="16"/>
        </w:rPr>
        <w:softHyphen/>
        <w:t xml:space="preserve">ле станции Планёрная Октябрьской железной дороги, чтобы тот взглянул на БИЧ-8. Который он хотел использовать в качестве ракетоплана. Ещё через два дня Королёв и </w:t>
      </w:r>
      <w:proofErr w:type="spellStart"/>
      <w:r w:rsidRPr="00441F34">
        <w:rPr>
          <w:rFonts w:ascii="Times New Roman" w:hAnsi="Times New Roman"/>
          <w:color w:val="0070C0"/>
          <w:sz w:val="16"/>
          <w:szCs w:val="16"/>
        </w:rPr>
        <w:t>Черановский</w:t>
      </w:r>
      <w:proofErr w:type="spellEnd"/>
      <w:r w:rsidRPr="00441F34">
        <w:rPr>
          <w:rFonts w:ascii="Times New Roman" w:hAnsi="Times New Roman"/>
          <w:color w:val="0070C0"/>
          <w:sz w:val="16"/>
          <w:szCs w:val="16"/>
        </w:rPr>
        <w:t xml:space="preserve"> по приглашению Цандера наблюдали в ИАМ 32-й по счёту стендо</w:t>
      </w:r>
      <w:r w:rsidRPr="00441F34">
        <w:rPr>
          <w:rFonts w:ascii="Times New Roman" w:hAnsi="Times New Roman"/>
          <w:color w:val="0070C0"/>
          <w:sz w:val="16"/>
          <w:szCs w:val="16"/>
        </w:rPr>
        <w:softHyphen/>
        <w:t>вый запуск двигателя ОР-1 (23550).</w:t>
      </w:r>
    </w:p>
    <w:p w14:paraId="5D1BEF41" w14:textId="77777777" w:rsidR="00221006" w:rsidRPr="00441F34" w:rsidRDefault="00221006" w:rsidP="00221006">
      <w:pPr>
        <w:spacing w:after="0" w:line="240" w:lineRule="auto"/>
        <w:jc w:val="both"/>
        <w:rPr>
          <w:rFonts w:ascii="Times New Roman" w:hAnsi="Times New Roman"/>
          <w:color w:val="0070C0"/>
          <w:sz w:val="16"/>
          <w:szCs w:val="16"/>
        </w:rPr>
      </w:pPr>
    </w:p>
    <w:p w14:paraId="13B66E47"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октября 1931 г. Королев пригласил на аэродром своего единомышленника, конструктора ракетных двигателей Ф.А. Цандера и продемонстрировал ему полеты бесхвостого планера. Вскоре Группа изучения реактивного движения (ГИРД), в которую входили Королев и Цандер, приняла решение о строительстве ракетоплана РП-1 по типу планера </w:t>
      </w:r>
      <w:proofErr w:type="spellStart"/>
      <w:r w:rsidRPr="00441F34">
        <w:rPr>
          <w:rFonts w:ascii="Times New Roman" w:hAnsi="Times New Roman"/>
          <w:color w:val="0070C0"/>
          <w:sz w:val="16"/>
          <w:szCs w:val="16"/>
        </w:rPr>
        <w:t>Черановского</w:t>
      </w:r>
      <w:proofErr w:type="spellEnd"/>
      <w:r w:rsidRPr="00441F34">
        <w:rPr>
          <w:rFonts w:ascii="Times New Roman" w:hAnsi="Times New Roman"/>
          <w:color w:val="0070C0"/>
          <w:sz w:val="16"/>
          <w:szCs w:val="16"/>
        </w:rPr>
        <w:t xml:space="preserve">. Финансировало проект Бюро воздушной техники Центрального совета Осоавиахима, под эгидой которого и существовал ГИРД. 18 ноября 1931 г. </w:t>
      </w:r>
      <w:proofErr w:type="spellStart"/>
      <w:r w:rsidRPr="00441F34">
        <w:rPr>
          <w:rFonts w:ascii="Times New Roman" w:hAnsi="Times New Roman"/>
          <w:color w:val="0070C0"/>
          <w:sz w:val="16"/>
          <w:szCs w:val="16"/>
        </w:rPr>
        <w:t>Черановский</w:t>
      </w:r>
      <w:proofErr w:type="spellEnd"/>
      <w:r w:rsidRPr="00441F34">
        <w:rPr>
          <w:rFonts w:ascii="Times New Roman" w:hAnsi="Times New Roman"/>
          <w:color w:val="0070C0"/>
          <w:sz w:val="16"/>
          <w:szCs w:val="16"/>
        </w:rPr>
        <w:t xml:space="preserve"> получил заказ на постройку двух бесхвостых планеров с трапециевидным крылом БИЧ-11 (один из них потом летал на планерных состязаниях 1933 г.), а Цандер — на разработку ЖРД ОР-2 с тягой 50 кгс (24253).</w:t>
      </w:r>
    </w:p>
    <w:p w14:paraId="58B14F37" w14:textId="77777777" w:rsidR="00221006" w:rsidRPr="00441F34" w:rsidRDefault="00221006" w:rsidP="00221006">
      <w:pPr>
        <w:spacing w:after="0" w:line="240" w:lineRule="auto"/>
        <w:jc w:val="both"/>
        <w:rPr>
          <w:rFonts w:ascii="Times New Roman" w:hAnsi="Times New Roman"/>
          <w:color w:val="0070C0"/>
          <w:sz w:val="16"/>
          <w:szCs w:val="16"/>
        </w:rPr>
      </w:pPr>
    </w:p>
    <w:p w14:paraId="0C26E6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октября 1931 года зам. начальника НИИ ВВС Аузан писал письмо N 453/489 председателю РВС Ворошилову.</w:t>
      </w:r>
    </w:p>
    <w:p w14:paraId="4B6C65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406"/>
      </w:tblGrid>
      <w:tr w:rsidR="001002C3" w:rsidRPr="007122AB" w14:paraId="69159FE9" w14:textId="77777777">
        <w:tc>
          <w:tcPr>
            <w:tcW w:w="1024" w:type="dxa"/>
          </w:tcPr>
          <w:p w14:paraId="18721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024" w:type="dxa"/>
          </w:tcPr>
          <w:p w14:paraId="6C3BF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w:t>
            </w:r>
          </w:p>
        </w:tc>
        <w:tc>
          <w:tcPr>
            <w:tcW w:w="1024" w:type="dxa"/>
          </w:tcPr>
          <w:p w14:paraId="54194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Охлажд</w:t>
            </w:r>
            <w:proofErr w:type="spellEnd"/>
            <w:r w:rsidRPr="007122AB">
              <w:rPr>
                <w:rFonts w:ascii="Times New Roman" w:hAnsi="Times New Roman"/>
                <w:color w:val="000000" w:themeColor="text1"/>
                <w:sz w:val="16"/>
                <w:szCs w:val="16"/>
              </w:rPr>
              <w:t>.</w:t>
            </w:r>
          </w:p>
        </w:tc>
        <w:tc>
          <w:tcPr>
            <w:tcW w:w="1024" w:type="dxa"/>
          </w:tcPr>
          <w:p w14:paraId="6A115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w:t>
            </w:r>
          </w:p>
        </w:tc>
        <w:tc>
          <w:tcPr>
            <w:tcW w:w="1024" w:type="dxa"/>
          </w:tcPr>
          <w:p w14:paraId="36591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w:t>
            </w:r>
          </w:p>
        </w:tc>
        <w:tc>
          <w:tcPr>
            <w:tcW w:w="1024" w:type="dxa"/>
          </w:tcPr>
          <w:p w14:paraId="137B6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Удельн</w:t>
            </w:r>
            <w:proofErr w:type="spellEnd"/>
            <w:r w:rsidRPr="007122AB">
              <w:rPr>
                <w:rFonts w:ascii="Times New Roman" w:hAnsi="Times New Roman"/>
                <w:color w:val="000000" w:themeColor="text1"/>
                <w:sz w:val="16"/>
                <w:szCs w:val="16"/>
              </w:rPr>
              <w:t>.</w:t>
            </w:r>
          </w:p>
        </w:tc>
        <w:tc>
          <w:tcPr>
            <w:tcW w:w="1024" w:type="dxa"/>
          </w:tcPr>
          <w:p w14:paraId="016E0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Высотн</w:t>
            </w:r>
            <w:proofErr w:type="spellEnd"/>
            <w:r w:rsidRPr="007122AB">
              <w:rPr>
                <w:rFonts w:ascii="Times New Roman" w:hAnsi="Times New Roman"/>
                <w:color w:val="000000" w:themeColor="text1"/>
                <w:sz w:val="16"/>
                <w:szCs w:val="16"/>
              </w:rPr>
              <w:t>.</w:t>
            </w:r>
          </w:p>
        </w:tc>
        <w:tc>
          <w:tcPr>
            <w:tcW w:w="1024" w:type="dxa"/>
          </w:tcPr>
          <w:p w14:paraId="75A60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w:t>
            </w:r>
          </w:p>
        </w:tc>
        <w:tc>
          <w:tcPr>
            <w:tcW w:w="2406" w:type="dxa"/>
          </w:tcPr>
          <w:p w14:paraId="7CBFE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r>
      <w:tr w:rsidR="001002C3" w:rsidRPr="007122AB" w14:paraId="3F3FFF2F" w14:textId="77777777">
        <w:tc>
          <w:tcPr>
            <w:tcW w:w="1024" w:type="dxa"/>
          </w:tcPr>
          <w:p w14:paraId="7DA4A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w:t>
            </w:r>
          </w:p>
        </w:tc>
        <w:tc>
          <w:tcPr>
            <w:tcW w:w="1024" w:type="dxa"/>
          </w:tcPr>
          <w:p w14:paraId="31D0A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w:t>
            </w:r>
          </w:p>
        </w:tc>
        <w:tc>
          <w:tcPr>
            <w:tcW w:w="1024" w:type="dxa"/>
          </w:tcPr>
          <w:p w14:paraId="2DAE38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AAB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F78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кг</w:t>
            </w:r>
          </w:p>
        </w:tc>
        <w:tc>
          <w:tcPr>
            <w:tcW w:w="1024" w:type="dxa"/>
          </w:tcPr>
          <w:p w14:paraId="4C5E06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w:t>
            </w:r>
          </w:p>
        </w:tc>
        <w:tc>
          <w:tcPr>
            <w:tcW w:w="1024" w:type="dxa"/>
          </w:tcPr>
          <w:p w14:paraId="4E2003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210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w:t>
            </w:r>
          </w:p>
        </w:tc>
        <w:tc>
          <w:tcPr>
            <w:tcW w:w="2406" w:type="dxa"/>
          </w:tcPr>
          <w:p w14:paraId="374077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E71D020" w14:textId="77777777">
        <w:tc>
          <w:tcPr>
            <w:tcW w:w="1024" w:type="dxa"/>
          </w:tcPr>
          <w:p w14:paraId="152D8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DE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B5E0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CB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7C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B2C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C5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45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престав.</w:t>
            </w:r>
          </w:p>
        </w:tc>
        <w:tc>
          <w:tcPr>
            <w:tcW w:w="2406" w:type="dxa"/>
          </w:tcPr>
          <w:p w14:paraId="556C1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76123F6" w14:textId="77777777">
        <w:tc>
          <w:tcPr>
            <w:tcW w:w="1024" w:type="dxa"/>
          </w:tcPr>
          <w:p w14:paraId="5F4A1B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FB3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25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3FA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3D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29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8F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8D7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w:t>
            </w:r>
          </w:p>
        </w:tc>
        <w:tc>
          <w:tcPr>
            <w:tcW w:w="2406" w:type="dxa"/>
          </w:tcPr>
          <w:p w14:paraId="6018E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5A0264E" w14:textId="77777777">
        <w:tc>
          <w:tcPr>
            <w:tcW w:w="1024" w:type="dxa"/>
          </w:tcPr>
          <w:p w14:paraId="24AD72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0D9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95C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A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28F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7A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C0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663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испыт</w:t>
            </w:r>
            <w:proofErr w:type="spellEnd"/>
            <w:r w:rsidRPr="007122AB">
              <w:rPr>
                <w:rFonts w:ascii="Times New Roman" w:hAnsi="Times New Roman"/>
                <w:color w:val="000000" w:themeColor="text1"/>
                <w:sz w:val="16"/>
                <w:szCs w:val="16"/>
              </w:rPr>
              <w:t>.</w:t>
            </w:r>
          </w:p>
        </w:tc>
        <w:tc>
          <w:tcPr>
            <w:tcW w:w="2406" w:type="dxa"/>
          </w:tcPr>
          <w:p w14:paraId="02D6C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647192E" w14:textId="77777777">
        <w:tc>
          <w:tcPr>
            <w:tcW w:w="1024" w:type="dxa"/>
          </w:tcPr>
          <w:p w14:paraId="6BEA32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12AE1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3CF82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15F11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5C6417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415</w:t>
            </w:r>
          </w:p>
        </w:tc>
        <w:tc>
          <w:tcPr>
            <w:tcW w:w="1024" w:type="dxa"/>
          </w:tcPr>
          <w:p w14:paraId="06D65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0,92</w:t>
            </w:r>
          </w:p>
        </w:tc>
        <w:tc>
          <w:tcPr>
            <w:tcW w:w="1024" w:type="dxa"/>
          </w:tcPr>
          <w:p w14:paraId="681762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6420A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w:t>
            </w:r>
          </w:p>
        </w:tc>
        <w:tc>
          <w:tcPr>
            <w:tcW w:w="2406" w:type="dxa"/>
          </w:tcPr>
          <w:p w14:paraId="54178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Находится в серийном производстве. Изготовляем.</w:t>
            </w:r>
          </w:p>
        </w:tc>
      </w:tr>
      <w:tr w:rsidR="001002C3" w:rsidRPr="007122AB" w14:paraId="172A26A0" w14:textId="77777777">
        <w:tc>
          <w:tcPr>
            <w:tcW w:w="1024" w:type="dxa"/>
          </w:tcPr>
          <w:p w14:paraId="109DD3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024" w:type="dxa"/>
          </w:tcPr>
          <w:p w14:paraId="11BE1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818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E4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862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114E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D4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6C5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406" w:type="dxa"/>
          </w:tcPr>
          <w:p w14:paraId="495D30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заводом 24 моторы передаются на </w:t>
            </w:r>
            <w:proofErr w:type="spellStart"/>
            <w:r w:rsidRPr="007122AB">
              <w:rPr>
                <w:rFonts w:ascii="Times New Roman" w:hAnsi="Times New Roman"/>
                <w:color w:val="000000" w:themeColor="text1"/>
                <w:sz w:val="16"/>
                <w:szCs w:val="16"/>
              </w:rPr>
              <w:t>эксплоатацию</w:t>
            </w:r>
            <w:proofErr w:type="spellEnd"/>
            <w:r w:rsidRPr="007122AB">
              <w:rPr>
                <w:rFonts w:ascii="Times New Roman" w:hAnsi="Times New Roman"/>
                <w:color w:val="000000" w:themeColor="text1"/>
                <w:sz w:val="16"/>
                <w:szCs w:val="16"/>
              </w:rPr>
              <w:t xml:space="preserve"> в</w:t>
            </w:r>
          </w:p>
        </w:tc>
      </w:tr>
      <w:tr w:rsidR="001002C3" w:rsidRPr="007122AB" w14:paraId="7715B95F" w14:textId="77777777">
        <w:tc>
          <w:tcPr>
            <w:tcW w:w="1024" w:type="dxa"/>
          </w:tcPr>
          <w:p w14:paraId="471882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58C8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F2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B6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5B42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9CB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19C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0F6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AA280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ГВФ. Мотор до сего времени на гос. испытания не</w:t>
            </w:r>
          </w:p>
        </w:tc>
      </w:tr>
      <w:tr w:rsidR="001002C3" w:rsidRPr="007122AB" w14:paraId="566D69CC" w14:textId="77777777">
        <w:tc>
          <w:tcPr>
            <w:tcW w:w="1024" w:type="dxa"/>
          </w:tcPr>
          <w:p w14:paraId="177559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634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347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9F35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78E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45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26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5E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022E9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предъявлен. Отделом в наст. время мотор ставится</w:t>
            </w:r>
          </w:p>
        </w:tc>
      </w:tr>
      <w:tr w:rsidR="001002C3" w:rsidRPr="007122AB" w14:paraId="4CEA3139" w14:textId="77777777">
        <w:tc>
          <w:tcPr>
            <w:tcW w:w="1024" w:type="dxa"/>
          </w:tcPr>
          <w:p w14:paraId="3E80A0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D20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4A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9EC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4358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B72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8C2D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82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46049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станок для проведения сравнительных 100 час.</w:t>
            </w:r>
          </w:p>
        </w:tc>
      </w:tr>
      <w:tr w:rsidR="001002C3" w:rsidRPr="007122AB" w14:paraId="0BDDDA3A" w14:textId="77777777">
        <w:tc>
          <w:tcPr>
            <w:tcW w:w="1024" w:type="dxa"/>
          </w:tcPr>
          <w:p w14:paraId="4F6F2E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3D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9D70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D6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AA0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571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16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7E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2B9B9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испытаний с мотором М-22 целиком из русских </w:t>
            </w:r>
          </w:p>
        </w:tc>
      </w:tr>
      <w:tr w:rsidR="001002C3" w:rsidRPr="007122AB" w14:paraId="0273529A" w14:textId="77777777">
        <w:tc>
          <w:tcPr>
            <w:tcW w:w="1024" w:type="dxa"/>
          </w:tcPr>
          <w:p w14:paraId="590993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7CAF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54A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EF9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3D19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7FE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FA3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CF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85791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материалов.</w:t>
            </w:r>
          </w:p>
        </w:tc>
      </w:tr>
      <w:tr w:rsidR="001002C3" w:rsidRPr="007122AB" w14:paraId="672D6D88" w14:textId="77777777">
        <w:tc>
          <w:tcPr>
            <w:tcW w:w="1024" w:type="dxa"/>
          </w:tcPr>
          <w:p w14:paraId="1D349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06149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c>
          <w:tcPr>
            <w:tcW w:w="1024" w:type="dxa"/>
          </w:tcPr>
          <w:p w14:paraId="600D30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750C83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7C176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840</w:t>
            </w:r>
          </w:p>
        </w:tc>
        <w:tc>
          <w:tcPr>
            <w:tcW w:w="1024" w:type="dxa"/>
          </w:tcPr>
          <w:p w14:paraId="29AD71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0,84</w:t>
            </w:r>
          </w:p>
        </w:tc>
        <w:tc>
          <w:tcPr>
            <w:tcW w:w="1024" w:type="dxa"/>
          </w:tcPr>
          <w:p w14:paraId="7DDB14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58AB6D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w:t>
            </w:r>
          </w:p>
        </w:tc>
        <w:tc>
          <w:tcPr>
            <w:tcW w:w="2406" w:type="dxa"/>
          </w:tcPr>
          <w:p w14:paraId="43A68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прошел гос. испытания </w:t>
            </w:r>
            <w:proofErr w:type="spellStart"/>
            <w:r w:rsidRPr="007122AB">
              <w:rPr>
                <w:rFonts w:ascii="Times New Roman" w:hAnsi="Times New Roman"/>
                <w:color w:val="000000" w:themeColor="text1"/>
                <w:sz w:val="16"/>
                <w:szCs w:val="16"/>
              </w:rPr>
              <w:t>неудоветворительно</w:t>
            </w:r>
            <w:proofErr w:type="spellEnd"/>
            <w:r w:rsidRPr="007122AB">
              <w:rPr>
                <w:rFonts w:ascii="Times New Roman" w:hAnsi="Times New Roman"/>
                <w:color w:val="000000" w:themeColor="text1"/>
                <w:sz w:val="16"/>
                <w:szCs w:val="16"/>
              </w:rPr>
              <w:t>.</w:t>
            </w:r>
          </w:p>
        </w:tc>
      </w:tr>
      <w:tr w:rsidR="001002C3" w:rsidRPr="007122AB" w14:paraId="02DC12C1" w14:textId="77777777">
        <w:tc>
          <w:tcPr>
            <w:tcW w:w="1024" w:type="dxa"/>
          </w:tcPr>
          <w:p w14:paraId="54CFF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487AD3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4A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E08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516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6B0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CAF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C2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2406" w:type="dxa"/>
          </w:tcPr>
          <w:p w14:paraId="09B514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ВВС признано целесообразным построить</w:t>
            </w:r>
          </w:p>
        </w:tc>
      </w:tr>
      <w:tr w:rsidR="001002C3" w:rsidRPr="007122AB" w14:paraId="1961B26E" w14:textId="77777777">
        <w:tc>
          <w:tcPr>
            <w:tcW w:w="1024" w:type="dxa"/>
          </w:tcPr>
          <w:p w14:paraId="4FC82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ФЭД-3</w:t>
            </w:r>
          </w:p>
        </w:tc>
        <w:tc>
          <w:tcPr>
            <w:tcW w:w="1024" w:type="dxa"/>
          </w:tcPr>
          <w:p w14:paraId="4BD0E4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969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C2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6D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96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3F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3D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21C0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экспериментальную серию на предмет изучения и</w:t>
            </w:r>
          </w:p>
        </w:tc>
      </w:tr>
      <w:tr w:rsidR="001002C3" w:rsidRPr="007122AB" w14:paraId="68D2EFB9" w14:textId="77777777">
        <w:tc>
          <w:tcPr>
            <w:tcW w:w="1024" w:type="dxa"/>
          </w:tcPr>
          <w:p w14:paraId="5406E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93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968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C7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7B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E21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4A2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5C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9979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устранения дефектов и испытаний моторов на</w:t>
            </w:r>
          </w:p>
        </w:tc>
      </w:tr>
      <w:tr w:rsidR="001002C3" w:rsidRPr="007122AB" w14:paraId="5906BC40" w14:textId="77777777">
        <w:tc>
          <w:tcPr>
            <w:tcW w:w="1024" w:type="dxa"/>
          </w:tcPr>
          <w:p w14:paraId="7F437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C83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9E1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D0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D2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D96D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6F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ED3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AA78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самолетах. Мотор в производство запущен.</w:t>
            </w:r>
          </w:p>
        </w:tc>
      </w:tr>
      <w:tr w:rsidR="001002C3" w:rsidRPr="007122AB" w14:paraId="14F36D40" w14:textId="77777777">
        <w:tc>
          <w:tcPr>
            <w:tcW w:w="1024" w:type="dxa"/>
          </w:tcPr>
          <w:p w14:paraId="7270C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6B1881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2623A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0334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0A48C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024" w:type="dxa"/>
          </w:tcPr>
          <w:p w14:paraId="25266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0,66</w:t>
            </w:r>
          </w:p>
        </w:tc>
        <w:tc>
          <w:tcPr>
            <w:tcW w:w="1024" w:type="dxa"/>
          </w:tcPr>
          <w:p w14:paraId="4DB8A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FA35B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2406" w:type="dxa"/>
          </w:tcPr>
          <w:p w14:paraId="78FCC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Общая </w:t>
            </w:r>
            <w:proofErr w:type="spellStart"/>
            <w:r w:rsidRPr="007122AB">
              <w:rPr>
                <w:rFonts w:ascii="Times New Roman" w:hAnsi="Times New Roman"/>
                <w:color w:val="000000" w:themeColor="text1"/>
                <w:sz w:val="16"/>
                <w:szCs w:val="16"/>
              </w:rPr>
              <w:t>компановка</w:t>
            </w:r>
            <w:proofErr w:type="spellEnd"/>
            <w:r w:rsidRPr="007122AB">
              <w:rPr>
                <w:rFonts w:ascii="Times New Roman" w:hAnsi="Times New Roman"/>
                <w:color w:val="000000" w:themeColor="text1"/>
                <w:sz w:val="16"/>
                <w:szCs w:val="16"/>
              </w:rPr>
              <w:t xml:space="preserve"> мотора в чертежах окончена. В</w:t>
            </w:r>
          </w:p>
        </w:tc>
      </w:tr>
      <w:tr w:rsidR="001002C3" w:rsidRPr="007122AB" w14:paraId="5E798C33" w14:textId="77777777">
        <w:tc>
          <w:tcPr>
            <w:tcW w:w="1024" w:type="dxa"/>
          </w:tcPr>
          <w:p w14:paraId="59B2E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М-32</w:t>
            </w:r>
          </w:p>
        </w:tc>
        <w:tc>
          <w:tcPr>
            <w:tcW w:w="1024" w:type="dxa"/>
          </w:tcPr>
          <w:p w14:paraId="3EF9A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CA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6C0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27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C83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ED67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9F5C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406" w:type="dxa"/>
          </w:tcPr>
          <w:p w14:paraId="1DB5B1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настоящее время ведется разработка рабочих</w:t>
            </w:r>
          </w:p>
        </w:tc>
      </w:tr>
      <w:tr w:rsidR="001002C3" w:rsidRPr="007122AB" w14:paraId="4AC85DB9" w14:textId="77777777">
        <w:tc>
          <w:tcPr>
            <w:tcW w:w="1024" w:type="dxa"/>
          </w:tcPr>
          <w:p w14:paraId="78046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7BB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F58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8FF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621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6D9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CE0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C15C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8128D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чертежей. Часть поковочных чертежей сдана в </w:t>
            </w:r>
          </w:p>
        </w:tc>
      </w:tr>
      <w:tr w:rsidR="001002C3" w:rsidRPr="007122AB" w14:paraId="70C9B8E5" w14:textId="77777777">
        <w:tc>
          <w:tcPr>
            <w:tcW w:w="1024" w:type="dxa"/>
          </w:tcPr>
          <w:p w14:paraId="03C05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8416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DF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E54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9785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8E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9B6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E9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9049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заказ.</w:t>
            </w:r>
          </w:p>
        </w:tc>
      </w:tr>
      <w:tr w:rsidR="001002C3" w:rsidRPr="007122AB" w14:paraId="6B4A1D4D" w14:textId="77777777">
        <w:tc>
          <w:tcPr>
            <w:tcW w:w="1024" w:type="dxa"/>
          </w:tcPr>
          <w:p w14:paraId="05C70F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w:t>
            </w:r>
          </w:p>
        </w:tc>
        <w:tc>
          <w:tcPr>
            <w:tcW w:w="1024" w:type="dxa"/>
          </w:tcPr>
          <w:p w14:paraId="409DC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7FDCB8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w:t>
            </w:r>
          </w:p>
        </w:tc>
        <w:tc>
          <w:tcPr>
            <w:tcW w:w="1024" w:type="dxa"/>
          </w:tcPr>
          <w:p w14:paraId="5197B5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441A9A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9DB1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0,63</w:t>
            </w:r>
          </w:p>
        </w:tc>
        <w:tc>
          <w:tcPr>
            <w:tcW w:w="1024" w:type="dxa"/>
          </w:tcPr>
          <w:p w14:paraId="7BAF1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077F62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w:t>
            </w:r>
          </w:p>
        </w:tc>
        <w:tc>
          <w:tcPr>
            <w:tcW w:w="2406" w:type="dxa"/>
          </w:tcPr>
          <w:p w14:paraId="3D045B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Общая </w:t>
            </w:r>
            <w:proofErr w:type="spellStart"/>
            <w:r w:rsidRPr="007122AB">
              <w:rPr>
                <w:rFonts w:ascii="Times New Roman" w:hAnsi="Times New Roman"/>
                <w:color w:val="000000" w:themeColor="text1"/>
                <w:sz w:val="16"/>
                <w:szCs w:val="16"/>
              </w:rPr>
              <w:t>компановка</w:t>
            </w:r>
            <w:proofErr w:type="spellEnd"/>
            <w:r w:rsidRPr="007122AB">
              <w:rPr>
                <w:rFonts w:ascii="Times New Roman" w:hAnsi="Times New Roman"/>
                <w:color w:val="000000" w:themeColor="text1"/>
                <w:sz w:val="16"/>
                <w:szCs w:val="16"/>
              </w:rPr>
              <w:t xml:space="preserve"> мотора окончена. Полученные </w:t>
            </w:r>
          </w:p>
        </w:tc>
      </w:tr>
      <w:tr w:rsidR="001002C3" w:rsidRPr="007122AB" w14:paraId="47E6D27F" w14:textId="77777777">
        <w:tc>
          <w:tcPr>
            <w:tcW w:w="1024" w:type="dxa"/>
          </w:tcPr>
          <w:p w14:paraId="15530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М-38</w:t>
            </w:r>
          </w:p>
        </w:tc>
        <w:tc>
          <w:tcPr>
            <w:tcW w:w="1024" w:type="dxa"/>
          </w:tcPr>
          <w:p w14:paraId="2C505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2F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01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BB6C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4C4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5B14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038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406" w:type="dxa"/>
          </w:tcPr>
          <w:p w14:paraId="6EE7A6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подсчетам данные мотора не соответствуют</w:t>
            </w:r>
          </w:p>
        </w:tc>
      </w:tr>
      <w:tr w:rsidR="001002C3" w:rsidRPr="007122AB" w14:paraId="338E84FF" w14:textId="77777777">
        <w:tc>
          <w:tcPr>
            <w:tcW w:w="1024" w:type="dxa"/>
          </w:tcPr>
          <w:p w14:paraId="7D262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CB4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BC7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D7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59FC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B9A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5E3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6508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330DC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техническим требованиям ВВС. </w:t>
            </w:r>
            <w:proofErr w:type="spellStart"/>
            <w:r w:rsidRPr="007122AB">
              <w:rPr>
                <w:rFonts w:ascii="Times New Roman" w:hAnsi="Times New Roman"/>
                <w:color w:val="000000" w:themeColor="text1"/>
                <w:sz w:val="16"/>
                <w:szCs w:val="16"/>
              </w:rPr>
              <w:t>ИАМ"у</w:t>
            </w:r>
            <w:proofErr w:type="spellEnd"/>
            <w:r w:rsidRPr="007122AB">
              <w:rPr>
                <w:rFonts w:ascii="Times New Roman" w:hAnsi="Times New Roman"/>
                <w:color w:val="000000" w:themeColor="text1"/>
                <w:sz w:val="16"/>
                <w:szCs w:val="16"/>
              </w:rPr>
              <w:t xml:space="preserve"> указано, что</w:t>
            </w:r>
          </w:p>
        </w:tc>
      </w:tr>
      <w:tr w:rsidR="001002C3" w:rsidRPr="007122AB" w14:paraId="4F1A394D" w14:textId="77777777">
        <w:tc>
          <w:tcPr>
            <w:tcW w:w="1024" w:type="dxa"/>
          </w:tcPr>
          <w:p w14:paraId="7D90F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7D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DD5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2F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E85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7572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80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CB3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1EEBE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по этим данным не может заменить М-38 и </w:t>
            </w:r>
          </w:p>
        </w:tc>
      </w:tr>
      <w:tr w:rsidR="001002C3" w:rsidRPr="007122AB" w14:paraId="024AD7DE" w14:textId="77777777">
        <w:tc>
          <w:tcPr>
            <w:tcW w:w="1024" w:type="dxa"/>
          </w:tcPr>
          <w:p w14:paraId="3C152A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4B6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37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81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251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F524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AD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F5D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3496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 постановление РВС должно быть выполнено </w:t>
            </w:r>
          </w:p>
        </w:tc>
      </w:tr>
      <w:tr w:rsidR="001002C3" w:rsidRPr="007122AB" w14:paraId="4CDBDAF6" w14:textId="77777777">
        <w:tc>
          <w:tcPr>
            <w:tcW w:w="1024" w:type="dxa"/>
          </w:tcPr>
          <w:p w14:paraId="0C4800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4C84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1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75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551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F6D8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5ED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05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4EA5E1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точно и в срок. Что же касается запроектированного</w:t>
            </w:r>
          </w:p>
        </w:tc>
      </w:tr>
      <w:tr w:rsidR="001002C3" w:rsidRPr="007122AB" w14:paraId="1C649809" w14:textId="77777777">
        <w:tc>
          <w:tcPr>
            <w:tcW w:w="1024" w:type="dxa"/>
          </w:tcPr>
          <w:p w14:paraId="296BF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467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5F3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A93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1D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3934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CAE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39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AE98A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мотора, он может быть последним </w:t>
            </w:r>
          </w:p>
        </w:tc>
      </w:tr>
      <w:tr w:rsidR="001002C3" w:rsidRPr="007122AB" w14:paraId="4D21E099" w14:textId="77777777">
        <w:tc>
          <w:tcPr>
            <w:tcW w:w="1024" w:type="dxa"/>
          </w:tcPr>
          <w:p w14:paraId="5A296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AE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99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01F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C4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36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E7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190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C3B5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 исключительно как тип переходный в</w:t>
            </w:r>
          </w:p>
        </w:tc>
      </w:tr>
      <w:tr w:rsidR="001002C3" w:rsidRPr="007122AB" w14:paraId="38DE947F" w14:textId="77777777">
        <w:tc>
          <w:tcPr>
            <w:tcW w:w="1024" w:type="dxa"/>
          </w:tcPr>
          <w:p w14:paraId="27B21B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EC0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7BB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78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294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9B68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3D9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CE1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CF83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целях конструирования.</w:t>
            </w:r>
          </w:p>
        </w:tc>
      </w:tr>
      <w:tr w:rsidR="001002C3" w:rsidRPr="007122AB" w14:paraId="3D7FAB1D" w14:textId="77777777">
        <w:tc>
          <w:tcPr>
            <w:tcW w:w="1024" w:type="dxa"/>
          </w:tcPr>
          <w:p w14:paraId="4DF391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14283C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66A757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водян</w:t>
            </w:r>
            <w:proofErr w:type="spellEnd"/>
            <w:r w:rsidRPr="007122AB">
              <w:rPr>
                <w:rFonts w:ascii="Times New Roman" w:hAnsi="Times New Roman"/>
                <w:color w:val="000000" w:themeColor="text1"/>
                <w:sz w:val="16"/>
                <w:szCs w:val="16"/>
              </w:rPr>
              <w:t>.</w:t>
            </w:r>
          </w:p>
        </w:tc>
        <w:tc>
          <w:tcPr>
            <w:tcW w:w="1024" w:type="dxa"/>
          </w:tcPr>
          <w:p w14:paraId="3CDFE2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74026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1800</w:t>
            </w:r>
          </w:p>
        </w:tc>
        <w:tc>
          <w:tcPr>
            <w:tcW w:w="1024" w:type="dxa"/>
          </w:tcPr>
          <w:p w14:paraId="1B7B61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0,9</w:t>
            </w:r>
          </w:p>
        </w:tc>
        <w:tc>
          <w:tcPr>
            <w:tcW w:w="1024" w:type="dxa"/>
          </w:tcPr>
          <w:p w14:paraId="6763F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008FC2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2406" w:type="dxa"/>
          </w:tcPr>
          <w:p w14:paraId="262A3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Проектирование мотора окончено. Рабочие чертежи </w:t>
            </w:r>
          </w:p>
        </w:tc>
      </w:tr>
      <w:tr w:rsidR="001002C3" w:rsidRPr="007122AB" w14:paraId="6695867D" w14:textId="77777777">
        <w:tc>
          <w:tcPr>
            <w:tcW w:w="1024" w:type="dxa"/>
          </w:tcPr>
          <w:p w14:paraId="65D45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1E0A6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5B80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0CD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8FE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016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E24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C34C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406" w:type="dxa"/>
          </w:tcPr>
          <w:p w14:paraId="0A5B2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переданы в производство. В связи с загрузкой</w:t>
            </w:r>
          </w:p>
        </w:tc>
      </w:tr>
      <w:tr w:rsidR="001002C3" w:rsidRPr="007122AB" w14:paraId="72E55C01" w14:textId="77777777">
        <w:tc>
          <w:tcPr>
            <w:tcW w:w="1024" w:type="dxa"/>
          </w:tcPr>
          <w:p w14:paraId="11555B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1024" w:type="dxa"/>
          </w:tcPr>
          <w:p w14:paraId="129F5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BDCA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E6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4DD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CE5F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44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6F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B811A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завода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мотором М-34, работа по мотору М-44</w:t>
            </w:r>
          </w:p>
        </w:tc>
      </w:tr>
      <w:tr w:rsidR="001002C3" w:rsidRPr="007122AB" w14:paraId="6C5ADCC8" w14:textId="77777777">
        <w:tc>
          <w:tcPr>
            <w:tcW w:w="1024" w:type="dxa"/>
          </w:tcPr>
          <w:p w14:paraId="64079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813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DD3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40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87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D3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06E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83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032E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отнесена к второочередной.</w:t>
            </w:r>
          </w:p>
        </w:tc>
      </w:tr>
      <w:tr w:rsidR="001002C3" w:rsidRPr="007122AB" w14:paraId="691162BE" w14:textId="77777777">
        <w:tc>
          <w:tcPr>
            <w:tcW w:w="1024" w:type="dxa"/>
          </w:tcPr>
          <w:p w14:paraId="74D4CB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w:t>
            </w:r>
          </w:p>
        </w:tc>
        <w:tc>
          <w:tcPr>
            <w:tcW w:w="1024" w:type="dxa"/>
          </w:tcPr>
          <w:p w14:paraId="22A248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46C835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09C6D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w:t>
            </w:r>
          </w:p>
        </w:tc>
        <w:tc>
          <w:tcPr>
            <w:tcW w:w="1024" w:type="dxa"/>
          </w:tcPr>
          <w:p w14:paraId="2CB31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должны быть</w:t>
            </w:r>
          </w:p>
        </w:tc>
        <w:tc>
          <w:tcPr>
            <w:tcW w:w="1024" w:type="dxa"/>
          </w:tcPr>
          <w:p w14:paraId="6D5BC7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A08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D98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B319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Проектирование начнется после гос. испытаний </w:t>
            </w:r>
          </w:p>
        </w:tc>
      </w:tr>
      <w:tr w:rsidR="001002C3" w:rsidRPr="007122AB" w14:paraId="212DC1D8" w14:textId="77777777">
        <w:tc>
          <w:tcPr>
            <w:tcW w:w="1024" w:type="dxa"/>
          </w:tcPr>
          <w:p w14:paraId="5B05FB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бомбардировщиков</w:t>
            </w:r>
          </w:p>
        </w:tc>
        <w:tc>
          <w:tcPr>
            <w:tcW w:w="1024" w:type="dxa"/>
          </w:tcPr>
          <w:p w14:paraId="0F9012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6C1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BEB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024" w:type="dxa"/>
          </w:tcPr>
          <w:p w14:paraId="27BC7E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представлены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w:t>
            </w:r>
          </w:p>
        </w:tc>
        <w:tc>
          <w:tcPr>
            <w:tcW w:w="1024" w:type="dxa"/>
          </w:tcPr>
          <w:p w14:paraId="054BC3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ED8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53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F9423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мотора М-34.</w:t>
            </w:r>
          </w:p>
        </w:tc>
      </w:tr>
      <w:tr w:rsidR="001002C3" w:rsidRPr="007122AB" w14:paraId="0C911776" w14:textId="77777777">
        <w:tc>
          <w:tcPr>
            <w:tcW w:w="1024" w:type="dxa"/>
          </w:tcPr>
          <w:p w14:paraId="73723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1024" w:type="dxa"/>
          </w:tcPr>
          <w:p w14:paraId="00B33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B25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E5D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1C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5A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8B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7FDF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AA37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4C3546" w14:textId="77777777">
        <w:tc>
          <w:tcPr>
            <w:tcW w:w="1024" w:type="dxa"/>
          </w:tcPr>
          <w:p w14:paraId="353DC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w:t>
            </w:r>
          </w:p>
        </w:tc>
        <w:tc>
          <w:tcPr>
            <w:tcW w:w="1024" w:type="dxa"/>
          </w:tcPr>
          <w:p w14:paraId="1E9553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c>
          <w:tcPr>
            <w:tcW w:w="1024" w:type="dxa"/>
          </w:tcPr>
          <w:p w14:paraId="61B5CF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16E672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21C00B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540</w:t>
            </w:r>
          </w:p>
        </w:tc>
        <w:tc>
          <w:tcPr>
            <w:tcW w:w="1024" w:type="dxa"/>
          </w:tcPr>
          <w:p w14:paraId="5F7B64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0,74</w:t>
            </w:r>
          </w:p>
        </w:tc>
        <w:tc>
          <w:tcPr>
            <w:tcW w:w="1024" w:type="dxa"/>
          </w:tcPr>
          <w:p w14:paraId="1BD7A1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A551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2406" w:type="dxa"/>
          </w:tcPr>
          <w:p w14:paraId="6DD0E0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предъявлен на гос. испытания с пониженными</w:t>
            </w:r>
          </w:p>
        </w:tc>
      </w:tr>
      <w:tr w:rsidR="001002C3" w:rsidRPr="007122AB" w14:paraId="4C6B074B" w14:textId="77777777">
        <w:tc>
          <w:tcPr>
            <w:tcW w:w="1024" w:type="dxa"/>
          </w:tcPr>
          <w:p w14:paraId="63A45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1024" w:type="dxa"/>
          </w:tcPr>
          <w:p w14:paraId="33DE43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21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18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c>
          <w:tcPr>
            <w:tcW w:w="1024" w:type="dxa"/>
          </w:tcPr>
          <w:p w14:paraId="762AE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E4B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0A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03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2406" w:type="dxa"/>
          </w:tcPr>
          <w:p w14:paraId="24CFA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протв</w:t>
            </w:r>
            <w:proofErr w:type="spellEnd"/>
            <w:r w:rsidRPr="007122AB">
              <w:rPr>
                <w:rFonts w:ascii="Times New Roman" w:hAnsi="Times New Roman"/>
                <w:color w:val="000000" w:themeColor="text1"/>
                <w:sz w:val="16"/>
                <w:szCs w:val="16"/>
              </w:rPr>
              <w:t xml:space="preserve"> технических требований ВВС данными. Мотор </w:t>
            </w:r>
          </w:p>
        </w:tc>
      </w:tr>
      <w:tr w:rsidR="001002C3" w:rsidRPr="007122AB" w14:paraId="461FFF77" w14:textId="77777777">
        <w:tc>
          <w:tcPr>
            <w:tcW w:w="1024" w:type="dxa"/>
          </w:tcPr>
          <w:p w14:paraId="4103B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6D7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9A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04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1320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5FC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7E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687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C47B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ставится на станок для проведения 100 час. испытан.</w:t>
            </w:r>
          </w:p>
        </w:tc>
      </w:tr>
      <w:tr w:rsidR="001002C3" w:rsidRPr="007122AB" w14:paraId="54EBF0C4" w14:textId="77777777">
        <w:tc>
          <w:tcPr>
            <w:tcW w:w="1024" w:type="dxa"/>
          </w:tcPr>
          <w:p w14:paraId="549863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D6F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8B8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D76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FA7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9C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2A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611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4C1B7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Изготовлено 3 образца.</w:t>
            </w:r>
          </w:p>
        </w:tc>
      </w:tr>
      <w:tr w:rsidR="001002C3" w:rsidRPr="007122AB" w14:paraId="28013D64" w14:textId="77777777">
        <w:tc>
          <w:tcPr>
            <w:tcW w:w="1024" w:type="dxa"/>
          </w:tcPr>
          <w:p w14:paraId="7A807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Нефтяные моторы</w:t>
            </w:r>
          </w:p>
        </w:tc>
        <w:tc>
          <w:tcPr>
            <w:tcW w:w="1024" w:type="dxa"/>
          </w:tcPr>
          <w:p w14:paraId="2D52E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20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875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C2D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4E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CCD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520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350A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ведутся экспериментальные работы по</w:t>
            </w:r>
          </w:p>
        </w:tc>
      </w:tr>
      <w:tr w:rsidR="001002C3" w:rsidRPr="007122AB" w14:paraId="25CB3EB9" w14:textId="77777777">
        <w:tc>
          <w:tcPr>
            <w:tcW w:w="1024" w:type="dxa"/>
          </w:tcPr>
          <w:p w14:paraId="529CE8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836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1FA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84A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28A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F8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F7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30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D9EF2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одноцилиндровым установкам. 4 установки </w:t>
            </w:r>
          </w:p>
        </w:tc>
      </w:tr>
      <w:tr w:rsidR="001002C3" w:rsidRPr="007122AB" w14:paraId="30D728FC" w14:textId="77777777">
        <w:tc>
          <w:tcPr>
            <w:tcW w:w="1024" w:type="dxa"/>
          </w:tcPr>
          <w:p w14:paraId="01320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9F1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5B2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82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53C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2C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29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432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14435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заканчиваются производством. Отдел нефтяных</w:t>
            </w:r>
          </w:p>
        </w:tc>
      </w:tr>
      <w:tr w:rsidR="001002C3" w:rsidRPr="007122AB" w14:paraId="772D85DB" w14:textId="77777777">
        <w:tc>
          <w:tcPr>
            <w:tcW w:w="1024" w:type="dxa"/>
          </w:tcPr>
          <w:p w14:paraId="494C2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6E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1AC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D00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7B0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4F5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854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10A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DCE8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двигателей приступает к проектированию 600 </w:t>
            </w:r>
          </w:p>
        </w:tc>
      </w:tr>
      <w:tr w:rsidR="001002C3" w:rsidRPr="007122AB" w14:paraId="15665C40" w14:textId="77777777">
        <w:tc>
          <w:tcPr>
            <w:tcW w:w="1024" w:type="dxa"/>
          </w:tcPr>
          <w:p w14:paraId="28752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F722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EA2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C4E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6D99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AFE3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CA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51D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96CF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сильного мотора водяного охлаждения. По линии</w:t>
            </w:r>
          </w:p>
        </w:tc>
      </w:tr>
      <w:tr w:rsidR="001002C3" w:rsidRPr="007122AB" w14:paraId="088F3AC3" w14:textId="77777777">
        <w:tc>
          <w:tcPr>
            <w:tcW w:w="1024" w:type="dxa"/>
          </w:tcPr>
          <w:p w14:paraId="12EDB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2EB3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9F84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A36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13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89D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FBB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DA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121C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Всесоюз</w:t>
            </w:r>
            <w:proofErr w:type="spellEnd"/>
            <w:r w:rsidRPr="007122AB">
              <w:rPr>
                <w:rFonts w:ascii="Times New Roman" w:hAnsi="Times New Roman"/>
                <w:color w:val="000000" w:themeColor="text1"/>
                <w:sz w:val="16"/>
                <w:szCs w:val="16"/>
              </w:rPr>
              <w:t xml:space="preserve">. дизельного института спроектирован </w:t>
            </w:r>
          </w:p>
        </w:tc>
      </w:tr>
      <w:tr w:rsidR="001002C3" w:rsidRPr="007122AB" w14:paraId="72B38F63" w14:textId="77777777">
        <w:tc>
          <w:tcPr>
            <w:tcW w:w="1024" w:type="dxa"/>
          </w:tcPr>
          <w:p w14:paraId="79CE03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79DC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C4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DC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13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818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AB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425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77F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авиадизель</w:t>
            </w:r>
            <w:proofErr w:type="spellEnd"/>
            <w:r w:rsidRPr="007122AB">
              <w:rPr>
                <w:rFonts w:ascii="Times New Roman" w:hAnsi="Times New Roman"/>
                <w:color w:val="000000" w:themeColor="text1"/>
                <w:sz w:val="16"/>
                <w:szCs w:val="16"/>
              </w:rPr>
              <w:t xml:space="preserve"> 1000 л.с. Техническое совещание </w:t>
            </w:r>
          </w:p>
        </w:tc>
      </w:tr>
      <w:tr w:rsidR="001002C3" w:rsidRPr="007122AB" w14:paraId="4E081156" w14:textId="77777777">
        <w:tc>
          <w:tcPr>
            <w:tcW w:w="1024" w:type="dxa"/>
          </w:tcPr>
          <w:p w14:paraId="6D90B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EA7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1AC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80C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E5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754B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78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7CE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CDB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признало необходимым внести ряд конструктивных</w:t>
            </w:r>
          </w:p>
        </w:tc>
      </w:tr>
      <w:tr w:rsidR="001002C3" w:rsidRPr="007122AB" w14:paraId="3F489E68" w14:textId="77777777">
        <w:tc>
          <w:tcPr>
            <w:tcW w:w="1024" w:type="dxa"/>
          </w:tcPr>
          <w:p w14:paraId="268DE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C31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B7D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DA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7305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F4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F7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BD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3D995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изменений. Задание по дизелю Паккард 220 НР </w:t>
            </w:r>
          </w:p>
        </w:tc>
      </w:tr>
      <w:tr w:rsidR="001002C3" w:rsidRPr="007122AB" w14:paraId="451A6700" w14:textId="77777777">
        <w:tc>
          <w:tcPr>
            <w:tcW w:w="1024" w:type="dxa"/>
          </w:tcPr>
          <w:p w14:paraId="5FF1CA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FF19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119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A82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D8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BD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0FE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73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EF2D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не выполнены.</w:t>
            </w:r>
          </w:p>
        </w:tc>
      </w:tr>
    </w:tbl>
    <w:p w14:paraId="20EE47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1002C3" w:rsidRPr="007122AB" w14:paraId="22CC209C" w14:textId="77777777">
        <w:tc>
          <w:tcPr>
            <w:tcW w:w="1024" w:type="dxa"/>
          </w:tcPr>
          <w:p w14:paraId="7046B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w:t>
            </w:r>
          </w:p>
        </w:tc>
        <w:tc>
          <w:tcPr>
            <w:tcW w:w="1024" w:type="dxa"/>
          </w:tcPr>
          <w:p w14:paraId="6424E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BE13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189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летно-тактические данные</w:t>
            </w:r>
          </w:p>
        </w:tc>
        <w:tc>
          <w:tcPr>
            <w:tcW w:w="1024" w:type="dxa"/>
          </w:tcPr>
          <w:p w14:paraId="73E272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3C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E0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A86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5450F56" w14:textId="77777777">
        <w:tc>
          <w:tcPr>
            <w:tcW w:w="1024" w:type="dxa"/>
          </w:tcPr>
          <w:p w14:paraId="0C0BD1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самолетов</w:t>
            </w:r>
          </w:p>
        </w:tc>
        <w:tc>
          <w:tcPr>
            <w:tcW w:w="1024" w:type="dxa"/>
          </w:tcPr>
          <w:p w14:paraId="3C7494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w:t>
            </w:r>
          </w:p>
        </w:tc>
        <w:tc>
          <w:tcPr>
            <w:tcW w:w="1024" w:type="dxa"/>
          </w:tcPr>
          <w:p w14:paraId="5F779B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w:t>
            </w:r>
            <w:proofErr w:type="spellEnd"/>
            <w:r w:rsidRPr="007122AB">
              <w:rPr>
                <w:rFonts w:ascii="Times New Roman" w:hAnsi="Times New Roman"/>
                <w:color w:val="000000" w:themeColor="text1"/>
                <w:sz w:val="16"/>
                <w:szCs w:val="16"/>
              </w:rPr>
              <w:t>.</w:t>
            </w:r>
          </w:p>
        </w:tc>
        <w:tc>
          <w:tcPr>
            <w:tcW w:w="1024" w:type="dxa"/>
          </w:tcPr>
          <w:p w14:paraId="0A9E9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1024" w:type="dxa"/>
          </w:tcPr>
          <w:p w14:paraId="00084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1024" w:type="dxa"/>
          </w:tcPr>
          <w:p w14:paraId="594E5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w:t>
            </w:r>
          </w:p>
        </w:tc>
        <w:tc>
          <w:tcPr>
            <w:tcW w:w="1024" w:type="dxa"/>
          </w:tcPr>
          <w:p w14:paraId="2DEF7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w:t>
            </w:r>
          </w:p>
        </w:tc>
        <w:tc>
          <w:tcPr>
            <w:tcW w:w="3430" w:type="dxa"/>
          </w:tcPr>
          <w:p w14:paraId="578E3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w:t>
            </w:r>
          </w:p>
        </w:tc>
      </w:tr>
      <w:tr w:rsidR="001002C3" w:rsidRPr="007122AB" w14:paraId="491383EE" w14:textId="77777777">
        <w:tc>
          <w:tcPr>
            <w:tcW w:w="1024" w:type="dxa"/>
          </w:tcPr>
          <w:p w14:paraId="456A0A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4E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гориз</w:t>
            </w:r>
            <w:proofErr w:type="spellEnd"/>
            <w:r w:rsidRPr="007122AB">
              <w:rPr>
                <w:rFonts w:ascii="Times New Roman" w:hAnsi="Times New Roman"/>
                <w:color w:val="000000" w:themeColor="text1"/>
                <w:sz w:val="16"/>
                <w:szCs w:val="16"/>
              </w:rPr>
              <w:t>.</w:t>
            </w:r>
          </w:p>
        </w:tc>
        <w:tc>
          <w:tcPr>
            <w:tcW w:w="1024" w:type="dxa"/>
          </w:tcPr>
          <w:p w14:paraId="0D3181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мин. на</w:t>
            </w:r>
          </w:p>
        </w:tc>
        <w:tc>
          <w:tcPr>
            <w:tcW w:w="1024" w:type="dxa"/>
          </w:tcPr>
          <w:p w14:paraId="3F490D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w:t>
            </w:r>
          </w:p>
        </w:tc>
        <w:tc>
          <w:tcPr>
            <w:tcW w:w="1024" w:type="dxa"/>
          </w:tcPr>
          <w:p w14:paraId="709452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1FA5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7F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действ.</w:t>
            </w:r>
          </w:p>
        </w:tc>
        <w:tc>
          <w:tcPr>
            <w:tcW w:w="3430" w:type="dxa"/>
          </w:tcPr>
          <w:p w14:paraId="5B00CF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предъяв.</w:t>
            </w:r>
          </w:p>
        </w:tc>
      </w:tr>
      <w:tr w:rsidR="001002C3" w:rsidRPr="007122AB" w14:paraId="5523B58F" w14:textId="77777777">
        <w:tc>
          <w:tcPr>
            <w:tcW w:w="1024" w:type="dxa"/>
          </w:tcPr>
          <w:p w14:paraId="0CB91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F0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w:t>
            </w:r>
            <w:proofErr w:type="spellEnd"/>
            <w:r w:rsidRPr="007122AB">
              <w:rPr>
                <w:rFonts w:ascii="Times New Roman" w:hAnsi="Times New Roman"/>
                <w:color w:val="000000" w:themeColor="text1"/>
                <w:sz w:val="16"/>
                <w:szCs w:val="16"/>
              </w:rPr>
              <w:t>. в</w:t>
            </w:r>
          </w:p>
        </w:tc>
        <w:tc>
          <w:tcPr>
            <w:tcW w:w="1024" w:type="dxa"/>
          </w:tcPr>
          <w:p w14:paraId="050CCA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высоту</w:t>
            </w:r>
          </w:p>
        </w:tc>
        <w:tc>
          <w:tcPr>
            <w:tcW w:w="1024" w:type="dxa"/>
          </w:tcPr>
          <w:p w14:paraId="56CEC4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211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7D7E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690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8EDF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w:t>
            </w:r>
          </w:p>
        </w:tc>
      </w:tr>
      <w:tr w:rsidR="001002C3" w:rsidRPr="007122AB" w14:paraId="176CFAC5" w14:textId="77777777">
        <w:tc>
          <w:tcPr>
            <w:tcW w:w="1024" w:type="dxa"/>
          </w:tcPr>
          <w:p w14:paraId="55F920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6AD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км на</w:t>
            </w:r>
          </w:p>
        </w:tc>
        <w:tc>
          <w:tcPr>
            <w:tcW w:w="1024" w:type="dxa"/>
          </w:tcPr>
          <w:p w14:paraId="0A93F2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78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AF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7D12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B35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AC63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испыт</w:t>
            </w:r>
            <w:proofErr w:type="spellEnd"/>
            <w:r w:rsidRPr="007122AB">
              <w:rPr>
                <w:rFonts w:ascii="Times New Roman" w:hAnsi="Times New Roman"/>
                <w:color w:val="000000" w:themeColor="text1"/>
                <w:sz w:val="16"/>
                <w:szCs w:val="16"/>
              </w:rPr>
              <w:t>.</w:t>
            </w:r>
          </w:p>
        </w:tc>
      </w:tr>
      <w:tr w:rsidR="001002C3" w:rsidRPr="007122AB" w14:paraId="369D1DE3" w14:textId="77777777">
        <w:tc>
          <w:tcPr>
            <w:tcW w:w="1024" w:type="dxa"/>
          </w:tcPr>
          <w:p w14:paraId="4ADD27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EE5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высоте</w:t>
            </w:r>
          </w:p>
        </w:tc>
        <w:tc>
          <w:tcPr>
            <w:tcW w:w="1024" w:type="dxa"/>
          </w:tcPr>
          <w:p w14:paraId="04FD1C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AC7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3A9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A4F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74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BF2F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FDCC523" w14:textId="77777777">
        <w:tc>
          <w:tcPr>
            <w:tcW w:w="1024" w:type="dxa"/>
          </w:tcPr>
          <w:p w14:paraId="44906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1024" w:type="dxa"/>
          </w:tcPr>
          <w:p w14:paraId="721475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15F81E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AB8E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51D2B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1B0984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572BC4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4520A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РВС от 5 августа 1931 года</w:t>
            </w:r>
          </w:p>
        </w:tc>
      </w:tr>
      <w:tr w:rsidR="001002C3" w:rsidRPr="007122AB" w14:paraId="2DA70B6D" w14:textId="77777777">
        <w:tc>
          <w:tcPr>
            <w:tcW w:w="1024" w:type="dxa"/>
          </w:tcPr>
          <w:p w14:paraId="23838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8BC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DF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A1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60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tc>
        <w:tc>
          <w:tcPr>
            <w:tcW w:w="1024" w:type="dxa"/>
          </w:tcPr>
          <w:p w14:paraId="7B8AC2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FAD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2CB16C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срок представления самолета с шестью </w:t>
            </w:r>
          </w:p>
        </w:tc>
      </w:tr>
      <w:tr w:rsidR="001002C3" w:rsidRPr="007122AB" w14:paraId="30CD1132" w14:textId="77777777">
        <w:tc>
          <w:tcPr>
            <w:tcW w:w="1024" w:type="dxa"/>
          </w:tcPr>
          <w:p w14:paraId="7C6E15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CBC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37E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9B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AED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6292DC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ADC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9C3C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моторами М-34 на гос. испытания отсрочен</w:t>
            </w:r>
          </w:p>
        </w:tc>
      </w:tr>
      <w:tr w:rsidR="001002C3" w:rsidRPr="007122AB" w14:paraId="12713E26" w14:textId="77777777">
        <w:tc>
          <w:tcPr>
            <w:tcW w:w="1024" w:type="dxa"/>
          </w:tcPr>
          <w:p w14:paraId="461988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D22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8FC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3F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684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tc>
        <w:tc>
          <w:tcPr>
            <w:tcW w:w="1024" w:type="dxa"/>
          </w:tcPr>
          <w:p w14:paraId="03E9A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F9C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937E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1 мая 1932 года. В настоящее время ЦАГИ </w:t>
            </w:r>
          </w:p>
        </w:tc>
      </w:tr>
      <w:tr w:rsidR="001002C3" w:rsidRPr="007122AB" w14:paraId="7F2A88CF" w14:textId="77777777">
        <w:tc>
          <w:tcPr>
            <w:tcW w:w="1024" w:type="dxa"/>
          </w:tcPr>
          <w:p w14:paraId="1D6A0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6E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E1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DC4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B278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 кг</w:t>
            </w:r>
          </w:p>
        </w:tc>
        <w:tc>
          <w:tcPr>
            <w:tcW w:w="1024" w:type="dxa"/>
          </w:tcPr>
          <w:p w14:paraId="43D22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E3E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7010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Цаги</w:t>
            </w:r>
            <w:proofErr w:type="spellEnd"/>
            <w:r w:rsidRPr="007122AB">
              <w:rPr>
                <w:rFonts w:ascii="Times New Roman" w:hAnsi="Times New Roman"/>
                <w:color w:val="000000" w:themeColor="text1"/>
                <w:sz w:val="16"/>
                <w:szCs w:val="16"/>
              </w:rPr>
              <w:t xml:space="preserve"> проводит сборку крыльев, фюзеляжа, </w:t>
            </w:r>
          </w:p>
        </w:tc>
      </w:tr>
      <w:tr w:rsidR="001002C3" w:rsidRPr="007122AB" w14:paraId="0A3E6802" w14:textId="77777777">
        <w:tc>
          <w:tcPr>
            <w:tcW w:w="1024" w:type="dxa"/>
          </w:tcPr>
          <w:p w14:paraId="1DCF5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96FD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1DB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90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88C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67B7A2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58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A6D4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оперения. К </w:t>
            </w:r>
            <w:proofErr w:type="spellStart"/>
            <w:r w:rsidRPr="007122AB">
              <w:rPr>
                <w:rFonts w:ascii="Times New Roman" w:hAnsi="Times New Roman"/>
                <w:color w:val="000000" w:themeColor="text1"/>
                <w:sz w:val="16"/>
                <w:szCs w:val="16"/>
              </w:rPr>
              <w:t>устнавленному</w:t>
            </w:r>
            <w:proofErr w:type="spellEnd"/>
            <w:r w:rsidRPr="007122AB">
              <w:rPr>
                <w:rFonts w:ascii="Times New Roman" w:hAnsi="Times New Roman"/>
                <w:color w:val="000000" w:themeColor="text1"/>
                <w:sz w:val="16"/>
                <w:szCs w:val="16"/>
              </w:rPr>
              <w:t xml:space="preserve"> времени подачи</w:t>
            </w:r>
          </w:p>
        </w:tc>
      </w:tr>
      <w:tr w:rsidR="001002C3" w:rsidRPr="007122AB" w14:paraId="4C34143B" w14:textId="77777777">
        <w:tc>
          <w:tcPr>
            <w:tcW w:w="1024" w:type="dxa"/>
          </w:tcPr>
          <w:p w14:paraId="1728DC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A601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8B0D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F4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3258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8D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DBF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C824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моторов (начало февраля) самолет может</w:t>
            </w:r>
          </w:p>
        </w:tc>
      </w:tr>
      <w:tr w:rsidR="001002C3" w:rsidRPr="007122AB" w14:paraId="5A3E09BA" w14:textId="77777777">
        <w:tc>
          <w:tcPr>
            <w:tcW w:w="1024" w:type="dxa"/>
          </w:tcPr>
          <w:p w14:paraId="04F900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CD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A9C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2CC3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F6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2D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43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0D3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быть почти достроен, благодаря чему срок</w:t>
            </w:r>
          </w:p>
        </w:tc>
      </w:tr>
      <w:tr w:rsidR="001002C3" w:rsidRPr="007122AB" w14:paraId="09F03DA6" w14:textId="77777777">
        <w:tc>
          <w:tcPr>
            <w:tcW w:w="1024" w:type="dxa"/>
          </w:tcPr>
          <w:p w14:paraId="190811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D72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C8A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8B0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04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506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6E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1E85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его выпуска на аэродром определится</w:t>
            </w:r>
          </w:p>
        </w:tc>
      </w:tr>
      <w:tr w:rsidR="001002C3" w:rsidRPr="007122AB" w14:paraId="474F9B4B" w14:textId="77777777">
        <w:tc>
          <w:tcPr>
            <w:tcW w:w="1024" w:type="dxa"/>
          </w:tcPr>
          <w:p w14:paraId="6079C7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E72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69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2F8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8433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1F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84D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EFF9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готовностью моторов М-34.</w:t>
            </w:r>
          </w:p>
        </w:tc>
      </w:tr>
      <w:tr w:rsidR="001002C3" w:rsidRPr="007122AB" w14:paraId="75992894" w14:textId="77777777">
        <w:tc>
          <w:tcPr>
            <w:tcW w:w="1024" w:type="dxa"/>
          </w:tcPr>
          <w:p w14:paraId="54057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24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DA0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A80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58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689A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8DA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0B8F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директивой зам. пред. РВС о</w:t>
            </w:r>
          </w:p>
        </w:tc>
      </w:tr>
      <w:tr w:rsidR="001002C3" w:rsidRPr="007122AB" w14:paraId="1549B4BC" w14:textId="77777777">
        <w:tc>
          <w:tcPr>
            <w:tcW w:w="1024" w:type="dxa"/>
          </w:tcPr>
          <w:p w14:paraId="0FB6A5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89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FDF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CBE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8DE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C54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B05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60E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сокращении числа типов опытных с-</w:t>
            </w:r>
            <w:proofErr w:type="spellStart"/>
            <w:r w:rsidRPr="007122AB">
              <w:rPr>
                <w:rFonts w:ascii="Times New Roman" w:hAnsi="Times New Roman"/>
                <w:color w:val="000000" w:themeColor="text1"/>
                <w:sz w:val="16"/>
                <w:szCs w:val="16"/>
              </w:rPr>
              <w:t>тов</w:t>
            </w:r>
            <w:proofErr w:type="spellEnd"/>
          </w:p>
        </w:tc>
      </w:tr>
      <w:tr w:rsidR="001002C3" w:rsidRPr="007122AB" w14:paraId="20DCE98B" w14:textId="77777777">
        <w:tc>
          <w:tcPr>
            <w:tcW w:w="1024" w:type="dxa"/>
          </w:tcPr>
          <w:p w14:paraId="47A74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709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9383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92F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286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FF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C64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F77C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является целесообразным снять с ОКБ </w:t>
            </w:r>
          </w:p>
        </w:tc>
      </w:tr>
      <w:tr w:rsidR="001002C3" w:rsidRPr="007122AB" w14:paraId="330907E3" w14:textId="77777777">
        <w:tc>
          <w:tcPr>
            <w:tcW w:w="1024" w:type="dxa"/>
          </w:tcPr>
          <w:p w14:paraId="55F84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B906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6F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EAB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3C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D1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E63F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10D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стальной вариант ТБ-4 с уменьшенной</w:t>
            </w:r>
          </w:p>
        </w:tc>
      </w:tr>
      <w:tr w:rsidR="001002C3" w:rsidRPr="007122AB" w14:paraId="4595ED27" w14:textId="77777777">
        <w:tc>
          <w:tcPr>
            <w:tcW w:w="1024" w:type="dxa"/>
          </w:tcPr>
          <w:p w14:paraId="7C806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8F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9E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C89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3A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D54B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004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3BC8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площадью крыльев для </w:t>
            </w:r>
            <w:proofErr w:type="spellStart"/>
            <w:r w:rsidRPr="007122AB">
              <w:rPr>
                <w:rFonts w:ascii="Times New Roman" w:hAnsi="Times New Roman"/>
                <w:color w:val="000000" w:themeColor="text1"/>
                <w:sz w:val="16"/>
                <w:szCs w:val="16"/>
              </w:rPr>
              <w:t>форбирования</w:t>
            </w:r>
            <w:proofErr w:type="spellEnd"/>
            <w:r w:rsidRPr="007122AB">
              <w:rPr>
                <w:rFonts w:ascii="Times New Roman" w:hAnsi="Times New Roman"/>
                <w:color w:val="000000" w:themeColor="text1"/>
                <w:sz w:val="16"/>
                <w:szCs w:val="16"/>
              </w:rPr>
              <w:t xml:space="preserve"> и</w:t>
            </w:r>
          </w:p>
        </w:tc>
      </w:tr>
      <w:tr w:rsidR="001002C3" w:rsidRPr="007122AB" w14:paraId="17419D07" w14:textId="77777777">
        <w:tc>
          <w:tcPr>
            <w:tcW w:w="1024" w:type="dxa"/>
          </w:tcPr>
          <w:p w14:paraId="23B7B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81D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46C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9C0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D5E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7D4A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929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6A40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постройки более тяжелых бомбовозов.</w:t>
            </w:r>
          </w:p>
        </w:tc>
      </w:tr>
      <w:tr w:rsidR="001002C3" w:rsidRPr="007122AB" w14:paraId="379E5D86" w14:textId="77777777">
        <w:tc>
          <w:tcPr>
            <w:tcW w:w="1024" w:type="dxa"/>
          </w:tcPr>
          <w:p w14:paraId="4B31C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6E2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4DD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CDE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6EB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AF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0D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A7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23F63318" w14:textId="77777777">
        <w:tc>
          <w:tcPr>
            <w:tcW w:w="1024" w:type="dxa"/>
          </w:tcPr>
          <w:p w14:paraId="5176A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ТБ5-4ЮVI</w:t>
            </w:r>
          </w:p>
        </w:tc>
        <w:tc>
          <w:tcPr>
            <w:tcW w:w="1024" w:type="dxa"/>
          </w:tcPr>
          <w:p w14:paraId="4F37F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208/</w:t>
            </w:r>
          </w:p>
        </w:tc>
        <w:tc>
          <w:tcPr>
            <w:tcW w:w="1024" w:type="dxa"/>
          </w:tcPr>
          <w:p w14:paraId="325EF2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w:t>
            </w:r>
          </w:p>
        </w:tc>
        <w:tc>
          <w:tcPr>
            <w:tcW w:w="1024" w:type="dxa"/>
          </w:tcPr>
          <w:p w14:paraId="7F886F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026E1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 пул.</w:t>
            </w:r>
          </w:p>
        </w:tc>
        <w:tc>
          <w:tcPr>
            <w:tcW w:w="1024" w:type="dxa"/>
          </w:tcPr>
          <w:p w14:paraId="5E970A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024" w:type="dxa"/>
          </w:tcPr>
          <w:p w14:paraId="638BD7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мая </w:t>
            </w:r>
          </w:p>
        </w:tc>
        <w:tc>
          <w:tcPr>
            <w:tcW w:w="3430" w:type="dxa"/>
          </w:tcPr>
          <w:p w14:paraId="06E89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принято решение самолет с моторами</w:t>
            </w:r>
          </w:p>
        </w:tc>
      </w:tr>
      <w:tr w:rsidR="001002C3" w:rsidRPr="007122AB" w14:paraId="341369A1" w14:textId="77777777">
        <w:tc>
          <w:tcPr>
            <w:tcW w:w="1024" w:type="dxa"/>
          </w:tcPr>
          <w:p w14:paraId="3712F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23E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5C2A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6B904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8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кг</w:t>
            </w:r>
          </w:p>
        </w:tc>
        <w:tc>
          <w:tcPr>
            <w:tcW w:w="1024" w:type="dxa"/>
          </w:tcPr>
          <w:p w14:paraId="274E8F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FDB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25FB4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ЮVI без редуктора на гос. испытания не</w:t>
            </w:r>
          </w:p>
        </w:tc>
      </w:tr>
      <w:tr w:rsidR="001002C3" w:rsidRPr="007122AB" w14:paraId="71DB9CEE" w14:textId="77777777">
        <w:tc>
          <w:tcPr>
            <w:tcW w:w="1024" w:type="dxa"/>
          </w:tcPr>
          <w:p w14:paraId="67C823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7A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953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D0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FCA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 с</w:t>
            </w:r>
          </w:p>
        </w:tc>
        <w:tc>
          <w:tcPr>
            <w:tcW w:w="1024" w:type="dxa"/>
          </w:tcPr>
          <w:p w14:paraId="5E194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060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737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представлять. Моторы ЮVI с редуктором</w:t>
            </w:r>
          </w:p>
        </w:tc>
      </w:tr>
      <w:tr w:rsidR="001002C3" w:rsidRPr="007122AB" w14:paraId="0D466AFB" w14:textId="77777777">
        <w:tc>
          <w:tcPr>
            <w:tcW w:w="1024" w:type="dxa"/>
          </w:tcPr>
          <w:p w14:paraId="11203B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05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ADF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036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F04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5CF152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E2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25B2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заказаны во Франции. Ожидается их </w:t>
            </w:r>
          </w:p>
        </w:tc>
      </w:tr>
      <w:tr w:rsidR="001002C3" w:rsidRPr="007122AB" w14:paraId="17E9E59D" w14:textId="77777777">
        <w:tc>
          <w:tcPr>
            <w:tcW w:w="1024" w:type="dxa"/>
          </w:tcPr>
          <w:p w14:paraId="6182D7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9BE6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DD9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FAE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05E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за</w:t>
            </w:r>
          </w:p>
        </w:tc>
        <w:tc>
          <w:tcPr>
            <w:tcW w:w="1024" w:type="dxa"/>
          </w:tcPr>
          <w:p w14:paraId="777B4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5F4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F862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получение.</w:t>
            </w:r>
          </w:p>
        </w:tc>
      </w:tr>
      <w:tr w:rsidR="001002C3" w:rsidRPr="007122AB" w14:paraId="2441E6B9" w14:textId="77777777">
        <w:tc>
          <w:tcPr>
            <w:tcW w:w="1024" w:type="dxa"/>
          </w:tcPr>
          <w:p w14:paraId="031A6D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60E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66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8E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021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12A379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0AA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4522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передачи на гос. испытания самолета</w:t>
            </w:r>
          </w:p>
        </w:tc>
      </w:tr>
      <w:tr w:rsidR="001002C3" w:rsidRPr="007122AB" w14:paraId="27EEE8A7" w14:textId="77777777">
        <w:tc>
          <w:tcPr>
            <w:tcW w:w="1024" w:type="dxa"/>
          </w:tcPr>
          <w:p w14:paraId="0F3D1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2FD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37F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A4C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82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горючего</w:t>
            </w:r>
          </w:p>
        </w:tc>
        <w:tc>
          <w:tcPr>
            <w:tcW w:w="1024" w:type="dxa"/>
          </w:tcPr>
          <w:p w14:paraId="7FC96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6B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FFA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не установлен.</w:t>
            </w:r>
          </w:p>
        </w:tc>
      </w:tr>
      <w:tr w:rsidR="001002C3" w:rsidRPr="007122AB" w14:paraId="4C58296D" w14:textId="77777777">
        <w:tc>
          <w:tcPr>
            <w:tcW w:w="1024" w:type="dxa"/>
          </w:tcPr>
          <w:p w14:paraId="136004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833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D5F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6E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D06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 кг</w:t>
            </w:r>
          </w:p>
        </w:tc>
        <w:tc>
          <w:tcPr>
            <w:tcW w:w="1024" w:type="dxa"/>
          </w:tcPr>
          <w:p w14:paraId="6D593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D92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DFB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3DDC7FDC" w14:textId="77777777">
        <w:tc>
          <w:tcPr>
            <w:tcW w:w="1024" w:type="dxa"/>
          </w:tcPr>
          <w:p w14:paraId="6D3A1B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D1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F02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9C9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72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0CCFB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89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C3E9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0724425" w14:textId="77777777">
        <w:tc>
          <w:tcPr>
            <w:tcW w:w="1024" w:type="dxa"/>
          </w:tcPr>
          <w:p w14:paraId="4F21E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 2хМ34</w:t>
            </w:r>
          </w:p>
        </w:tc>
        <w:tc>
          <w:tcPr>
            <w:tcW w:w="1024" w:type="dxa"/>
          </w:tcPr>
          <w:p w14:paraId="62398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549EDD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1024" w:type="dxa"/>
          </w:tcPr>
          <w:p w14:paraId="6D9ACE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66ECD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w:t>
            </w:r>
          </w:p>
        </w:tc>
        <w:tc>
          <w:tcPr>
            <w:tcW w:w="1024" w:type="dxa"/>
          </w:tcPr>
          <w:p w14:paraId="2666BC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4E559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3430" w:type="dxa"/>
          </w:tcPr>
          <w:p w14:paraId="456FE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ОКБ закончило проектирование и </w:t>
            </w:r>
          </w:p>
        </w:tc>
      </w:tr>
      <w:tr w:rsidR="001002C3" w:rsidRPr="007122AB" w14:paraId="3229BA7A" w14:textId="77777777">
        <w:tc>
          <w:tcPr>
            <w:tcW w:w="1024" w:type="dxa"/>
          </w:tcPr>
          <w:p w14:paraId="6AAD25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CD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9CB18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F696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3969E1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E0D7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D9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34BC2D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приступило к постройке самолета. Можно</w:t>
            </w:r>
          </w:p>
        </w:tc>
      </w:tr>
      <w:tr w:rsidR="001002C3" w:rsidRPr="007122AB" w14:paraId="77D10D9E" w14:textId="77777777">
        <w:tc>
          <w:tcPr>
            <w:tcW w:w="1024" w:type="dxa"/>
          </w:tcPr>
          <w:p w14:paraId="05E39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60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1024" w:type="dxa"/>
          </w:tcPr>
          <w:p w14:paraId="0AE46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63C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DED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1024" w:type="dxa"/>
          </w:tcPr>
          <w:p w14:paraId="31BCA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99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35BE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ожидать что срок представления на</w:t>
            </w:r>
          </w:p>
        </w:tc>
      </w:tr>
      <w:tr w:rsidR="001002C3" w:rsidRPr="007122AB" w14:paraId="36D276EE" w14:textId="77777777">
        <w:tc>
          <w:tcPr>
            <w:tcW w:w="1024" w:type="dxa"/>
          </w:tcPr>
          <w:p w14:paraId="2A045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C0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2C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05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4078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F5D27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5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BC3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1 января 1932 г. не будет</w:t>
            </w:r>
          </w:p>
        </w:tc>
      </w:tr>
      <w:tr w:rsidR="001002C3" w:rsidRPr="007122AB" w14:paraId="57B149A7" w14:textId="77777777">
        <w:tc>
          <w:tcPr>
            <w:tcW w:w="1024" w:type="dxa"/>
          </w:tcPr>
          <w:p w14:paraId="43295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481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0A86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27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D24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7276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B0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CF45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выдержн</w:t>
            </w:r>
            <w:proofErr w:type="spellEnd"/>
            <w:r w:rsidRPr="007122AB">
              <w:rPr>
                <w:rFonts w:ascii="Times New Roman" w:hAnsi="Times New Roman"/>
                <w:color w:val="000000" w:themeColor="text1"/>
                <w:sz w:val="16"/>
                <w:szCs w:val="16"/>
              </w:rPr>
              <w:t xml:space="preserve"> как по причине вероятного </w:t>
            </w:r>
          </w:p>
        </w:tc>
      </w:tr>
      <w:tr w:rsidR="001002C3" w:rsidRPr="007122AB" w14:paraId="45021259" w14:textId="77777777">
        <w:tc>
          <w:tcPr>
            <w:tcW w:w="1024" w:type="dxa"/>
          </w:tcPr>
          <w:p w14:paraId="476367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95F9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B7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1BC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C6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0C3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39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603C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запоздания моторов М-34, так и не</w:t>
            </w:r>
          </w:p>
        </w:tc>
      </w:tr>
      <w:tr w:rsidR="001002C3" w:rsidRPr="007122AB" w14:paraId="4DFD80D1" w14:textId="77777777">
        <w:tc>
          <w:tcPr>
            <w:tcW w:w="1024" w:type="dxa"/>
          </w:tcPr>
          <w:p w14:paraId="7B86CC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CBB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03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22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4C5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C06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70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B75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готовности конструкции самолета.</w:t>
            </w:r>
          </w:p>
        </w:tc>
      </w:tr>
      <w:tr w:rsidR="001002C3" w:rsidRPr="007122AB" w14:paraId="402B1BAB" w14:textId="77777777">
        <w:tc>
          <w:tcPr>
            <w:tcW w:w="1024" w:type="dxa"/>
          </w:tcPr>
          <w:p w14:paraId="1143AB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BA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7C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151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7A5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35D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9D4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CFD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3E6B8537" w14:textId="77777777">
        <w:tc>
          <w:tcPr>
            <w:tcW w:w="1024" w:type="dxa"/>
          </w:tcPr>
          <w:p w14:paraId="50D15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ДИ3-М17</w:t>
            </w:r>
          </w:p>
        </w:tc>
        <w:tc>
          <w:tcPr>
            <w:tcW w:w="1024" w:type="dxa"/>
          </w:tcPr>
          <w:p w14:paraId="093373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w:t>
            </w:r>
          </w:p>
        </w:tc>
        <w:tc>
          <w:tcPr>
            <w:tcW w:w="1024" w:type="dxa"/>
          </w:tcPr>
          <w:p w14:paraId="15E7D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w:t>
            </w:r>
          </w:p>
        </w:tc>
        <w:tc>
          <w:tcPr>
            <w:tcW w:w="1024" w:type="dxa"/>
          </w:tcPr>
          <w:p w14:paraId="796328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6C2887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69F5E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24" w:type="dxa"/>
          </w:tcPr>
          <w:p w14:paraId="1ACC3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w:t>
            </w:r>
          </w:p>
        </w:tc>
        <w:tc>
          <w:tcPr>
            <w:tcW w:w="3430" w:type="dxa"/>
          </w:tcPr>
          <w:p w14:paraId="2759E3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w:t>
            </w:r>
            <w:proofErr w:type="spellStart"/>
            <w:r w:rsidRPr="007122AB">
              <w:rPr>
                <w:rFonts w:ascii="Times New Roman" w:hAnsi="Times New Roman"/>
                <w:color w:val="000000" w:themeColor="text1"/>
                <w:sz w:val="16"/>
                <w:szCs w:val="16"/>
              </w:rPr>
              <w:t>неудовлетвоения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техтребованиям</w:t>
            </w:r>
            <w:proofErr w:type="spellEnd"/>
          </w:p>
        </w:tc>
      </w:tr>
      <w:tr w:rsidR="001002C3" w:rsidRPr="007122AB" w14:paraId="24FD8368" w14:textId="77777777">
        <w:tc>
          <w:tcPr>
            <w:tcW w:w="1024" w:type="dxa"/>
          </w:tcPr>
          <w:p w14:paraId="3DE25E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104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954B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2F28A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012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DD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275</w:t>
            </w:r>
          </w:p>
        </w:tc>
        <w:tc>
          <w:tcPr>
            <w:tcW w:w="1024" w:type="dxa"/>
          </w:tcPr>
          <w:p w14:paraId="389C8E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6919F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отношении летных данным зам. пред.</w:t>
            </w:r>
          </w:p>
        </w:tc>
      </w:tr>
      <w:tr w:rsidR="001002C3" w:rsidRPr="007122AB" w14:paraId="07CAA527" w14:textId="77777777">
        <w:tc>
          <w:tcPr>
            <w:tcW w:w="1024" w:type="dxa"/>
          </w:tcPr>
          <w:p w14:paraId="2CA6F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0E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AE4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9F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AC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42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CC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E01D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РВС Гамарником принято решение самолет</w:t>
            </w:r>
          </w:p>
        </w:tc>
      </w:tr>
      <w:tr w:rsidR="001002C3" w:rsidRPr="007122AB" w14:paraId="3ECBDDD5" w14:textId="77777777">
        <w:tc>
          <w:tcPr>
            <w:tcW w:w="1024" w:type="dxa"/>
          </w:tcPr>
          <w:p w14:paraId="042E9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916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25D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AB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85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8A36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AAC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9345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вооружение не принимать.</w:t>
            </w:r>
          </w:p>
        </w:tc>
      </w:tr>
      <w:tr w:rsidR="001002C3" w:rsidRPr="007122AB" w14:paraId="200B1FAA" w14:textId="77777777">
        <w:tc>
          <w:tcPr>
            <w:tcW w:w="1024" w:type="dxa"/>
          </w:tcPr>
          <w:p w14:paraId="2E0A08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w:t>
            </w:r>
          </w:p>
        </w:tc>
        <w:tc>
          <w:tcPr>
            <w:tcW w:w="1024" w:type="dxa"/>
          </w:tcPr>
          <w:p w14:paraId="51F016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024" w:type="dxa"/>
          </w:tcPr>
          <w:p w14:paraId="028CC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024" w:type="dxa"/>
          </w:tcPr>
          <w:p w14:paraId="6E62D2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6040D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3203F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5C93D7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2ED0EC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неутверждение боевой схемы</w:t>
            </w:r>
          </w:p>
        </w:tc>
      </w:tr>
      <w:tr w:rsidR="001002C3" w:rsidRPr="007122AB" w14:paraId="127D81BA" w14:textId="77777777">
        <w:tc>
          <w:tcPr>
            <w:tcW w:w="1024" w:type="dxa"/>
          </w:tcPr>
          <w:p w14:paraId="65CA7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F6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669B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FE2F5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EA55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E3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2AD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A6CFE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самолета со стороны УВВС ОКБ </w:t>
            </w:r>
          </w:p>
        </w:tc>
      </w:tr>
      <w:tr w:rsidR="001002C3" w:rsidRPr="007122AB" w14:paraId="74CE8D07" w14:textId="77777777">
        <w:tc>
          <w:tcPr>
            <w:tcW w:w="1024" w:type="dxa"/>
          </w:tcPr>
          <w:p w14:paraId="73E681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1D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F47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8C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2DF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28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D44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5B62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продолжает его постройку рассматривая</w:t>
            </w:r>
          </w:p>
        </w:tc>
      </w:tr>
      <w:tr w:rsidR="001002C3" w:rsidRPr="007122AB" w14:paraId="07A82CA8" w14:textId="77777777">
        <w:tc>
          <w:tcPr>
            <w:tcW w:w="1024" w:type="dxa"/>
          </w:tcPr>
          <w:p w14:paraId="33053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7F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7F9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33A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4C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94F6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F5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4D3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как экспериментальный.</w:t>
            </w:r>
          </w:p>
        </w:tc>
      </w:tr>
      <w:tr w:rsidR="001002C3" w:rsidRPr="007122AB" w14:paraId="05D0EA95" w14:textId="77777777">
        <w:tc>
          <w:tcPr>
            <w:tcW w:w="1024" w:type="dxa"/>
          </w:tcPr>
          <w:p w14:paraId="59C5DC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1D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BE6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B0A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B828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075A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77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666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настоящее время, т.е. через 5 месяцев</w:t>
            </w:r>
          </w:p>
        </w:tc>
      </w:tr>
      <w:tr w:rsidR="001002C3" w:rsidRPr="007122AB" w14:paraId="5AA298C0" w14:textId="77777777">
        <w:tc>
          <w:tcPr>
            <w:tcW w:w="1024" w:type="dxa"/>
          </w:tcPr>
          <w:p w14:paraId="3AC40D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529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A1A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15F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ED7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87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21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459C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того как самолет должен был выйти</w:t>
            </w:r>
          </w:p>
        </w:tc>
      </w:tr>
      <w:tr w:rsidR="001002C3" w:rsidRPr="007122AB" w14:paraId="5F355AC1" w14:textId="77777777">
        <w:tc>
          <w:tcPr>
            <w:tcW w:w="1024" w:type="dxa"/>
          </w:tcPr>
          <w:p w14:paraId="2ACAD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B4E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80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178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298B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E7A7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018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6F4E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заканчивается эскизный</w:t>
            </w:r>
          </w:p>
        </w:tc>
      </w:tr>
      <w:tr w:rsidR="001002C3" w:rsidRPr="007122AB" w14:paraId="32EE3283" w14:textId="77777777">
        <w:tc>
          <w:tcPr>
            <w:tcW w:w="1024" w:type="dxa"/>
          </w:tcPr>
          <w:p w14:paraId="1CE796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52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F27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5B2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57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0A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A0D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2FB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 Р8-М27 в схеме </w:t>
            </w:r>
            <w:proofErr w:type="spellStart"/>
            <w:r w:rsidRPr="007122AB">
              <w:rPr>
                <w:rFonts w:ascii="Times New Roman" w:hAnsi="Times New Roman"/>
                <w:color w:val="000000" w:themeColor="text1"/>
                <w:sz w:val="16"/>
                <w:szCs w:val="16"/>
              </w:rPr>
              <w:t>премлемой</w:t>
            </w:r>
            <w:proofErr w:type="spellEnd"/>
            <w:r w:rsidRPr="007122AB">
              <w:rPr>
                <w:rFonts w:ascii="Times New Roman" w:hAnsi="Times New Roman"/>
                <w:color w:val="000000" w:themeColor="text1"/>
                <w:sz w:val="16"/>
                <w:szCs w:val="16"/>
              </w:rPr>
              <w:t xml:space="preserve"> для ВВС.</w:t>
            </w:r>
          </w:p>
        </w:tc>
      </w:tr>
      <w:tr w:rsidR="001002C3" w:rsidRPr="007122AB" w14:paraId="0E50C0B2" w14:textId="77777777">
        <w:tc>
          <w:tcPr>
            <w:tcW w:w="1024" w:type="dxa"/>
          </w:tcPr>
          <w:p w14:paraId="77149E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18B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A1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5B2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EF0D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D9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7B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9BA6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6DBBF864" w14:textId="77777777">
        <w:tc>
          <w:tcPr>
            <w:tcW w:w="1024" w:type="dxa"/>
          </w:tcPr>
          <w:p w14:paraId="4AFD33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c>
          <w:tcPr>
            <w:tcW w:w="1024" w:type="dxa"/>
          </w:tcPr>
          <w:p w14:paraId="6EA82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24" w:type="dxa"/>
          </w:tcPr>
          <w:p w14:paraId="43B67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w:t>
            </w:r>
          </w:p>
        </w:tc>
        <w:tc>
          <w:tcPr>
            <w:tcW w:w="1024" w:type="dxa"/>
          </w:tcPr>
          <w:p w14:paraId="49DEC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024" w:type="dxa"/>
          </w:tcPr>
          <w:p w14:paraId="02BAC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526E2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w:t>
            </w:r>
          </w:p>
        </w:tc>
        <w:tc>
          <w:tcPr>
            <w:tcW w:w="1024" w:type="dxa"/>
          </w:tcPr>
          <w:p w14:paraId="678FF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1A4896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начаты.</w:t>
            </w:r>
          </w:p>
        </w:tc>
      </w:tr>
      <w:tr w:rsidR="001002C3" w:rsidRPr="007122AB" w14:paraId="50E430B4" w14:textId="77777777">
        <w:tc>
          <w:tcPr>
            <w:tcW w:w="1024" w:type="dxa"/>
          </w:tcPr>
          <w:p w14:paraId="5F351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C4E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002F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CB93F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7500</w:t>
            </w:r>
          </w:p>
        </w:tc>
        <w:tc>
          <w:tcPr>
            <w:tcW w:w="1024" w:type="dxa"/>
          </w:tcPr>
          <w:p w14:paraId="79C37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AD3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024" w:type="dxa"/>
          </w:tcPr>
          <w:p w14:paraId="639D5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259E9C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40067AD" w14:textId="77777777">
        <w:tc>
          <w:tcPr>
            <w:tcW w:w="1024" w:type="dxa"/>
          </w:tcPr>
          <w:p w14:paraId="5D2D56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МДР3-4ЮVI</w:t>
            </w:r>
          </w:p>
        </w:tc>
        <w:tc>
          <w:tcPr>
            <w:tcW w:w="1024" w:type="dxa"/>
          </w:tcPr>
          <w:p w14:paraId="2F503F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349C8B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1024" w:type="dxa"/>
          </w:tcPr>
          <w:p w14:paraId="74A1E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0229C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17CCA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4" w:type="dxa"/>
          </w:tcPr>
          <w:p w14:paraId="210770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w:t>
            </w:r>
          </w:p>
        </w:tc>
        <w:tc>
          <w:tcPr>
            <w:tcW w:w="3430" w:type="dxa"/>
          </w:tcPr>
          <w:p w14:paraId="3563E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Вторично данный РВСС срок 10 сентября </w:t>
            </w:r>
          </w:p>
        </w:tc>
      </w:tr>
      <w:tr w:rsidR="001002C3" w:rsidRPr="007122AB" w14:paraId="495F480C" w14:textId="77777777">
        <w:tc>
          <w:tcPr>
            <w:tcW w:w="1024" w:type="dxa"/>
          </w:tcPr>
          <w:p w14:paraId="2E9641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003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9B01F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4B28E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ED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4B382E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024" w:type="dxa"/>
          </w:tcPr>
          <w:p w14:paraId="455D8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0D72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1931 года выпуска самолета на </w:t>
            </w:r>
            <w:proofErr w:type="spellStart"/>
            <w:r w:rsidRPr="007122AB">
              <w:rPr>
                <w:rFonts w:ascii="Times New Roman" w:hAnsi="Times New Roman"/>
                <w:color w:val="000000" w:themeColor="text1"/>
                <w:sz w:val="16"/>
                <w:szCs w:val="16"/>
              </w:rPr>
              <w:t>госиспытан</w:t>
            </w:r>
            <w:proofErr w:type="spellEnd"/>
            <w:r w:rsidRPr="007122AB">
              <w:rPr>
                <w:rFonts w:ascii="Times New Roman" w:hAnsi="Times New Roman"/>
                <w:color w:val="000000" w:themeColor="text1"/>
                <w:sz w:val="16"/>
                <w:szCs w:val="16"/>
              </w:rPr>
              <w:t>.</w:t>
            </w:r>
          </w:p>
        </w:tc>
      </w:tr>
      <w:tr w:rsidR="001002C3" w:rsidRPr="007122AB" w14:paraId="7888000A" w14:textId="77777777">
        <w:tc>
          <w:tcPr>
            <w:tcW w:w="1024" w:type="dxa"/>
          </w:tcPr>
          <w:p w14:paraId="675BD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3A6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2B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333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40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4C6DF0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ED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5F5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заводом N 39 не выдержан из-за задержек</w:t>
            </w:r>
          </w:p>
        </w:tc>
      </w:tr>
      <w:tr w:rsidR="001002C3" w:rsidRPr="007122AB" w14:paraId="6CE0889F" w14:textId="77777777">
        <w:tc>
          <w:tcPr>
            <w:tcW w:w="1024" w:type="dxa"/>
          </w:tcPr>
          <w:p w14:paraId="14766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963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34E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68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8FF5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кг</w:t>
            </w:r>
          </w:p>
        </w:tc>
        <w:tc>
          <w:tcPr>
            <w:tcW w:w="1024" w:type="dxa"/>
          </w:tcPr>
          <w:p w14:paraId="2ABF3C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860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59CB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производстве. Срок подачи на </w:t>
            </w:r>
            <w:proofErr w:type="spellStart"/>
            <w:r w:rsidRPr="007122AB">
              <w:rPr>
                <w:rFonts w:ascii="Times New Roman" w:hAnsi="Times New Roman"/>
                <w:color w:val="000000" w:themeColor="text1"/>
                <w:sz w:val="16"/>
                <w:szCs w:val="16"/>
              </w:rPr>
              <w:t>госиспытан</w:t>
            </w:r>
            <w:proofErr w:type="spellEnd"/>
            <w:r w:rsidRPr="007122AB">
              <w:rPr>
                <w:rFonts w:ascii="Times New Roman" w:hAnsi="Times New Roman"/>
                <w:color w:val="000000" w:themeColor="text1"/>
                <w:sz w:val="16"/>
                <w:szCs w:val="16"/>
              </w:rPr>
              <w:t>.</w:t>
            </w:r>
          </w:p>
        </w:tc>
      </w:tr>
      <w:tr w:rsidR="001002C3" w:rsidRPr="007122AB" w14:paraId="6F2A1B57" w14:textId="77777777">
        <w:tc>
          <w:tcPr>
            <w:tcW w:w="1024" w:type="dxa"/>
          </w:tcPr>
          <w:p w14:paraId="7CE632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D20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D6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FE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C9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6FC6A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AF59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13D0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 не известен заводу.</w:t>
            </w:r>
          </w:p>
        </w:tc>
      </w:tr>
      <w:tr w:rsidR="001002C3" w:rsidRPr="007122AB" w14:paraId="3C6404B3" w14:textId="77777777">
        <w:tc>
          <w:tcPr>
            <w:tcW w:w="1024" w:type="dxa"/>
          </w:tcPr>
          <w:p w14:paraId="3D67D9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D8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C44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A5FC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FB0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A23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32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CD0C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Волков.</w:t>
            </w:r>
          </w:p>
        </w:tc>
      </w:tr>
      <w:tr w:rsidR="001002C3" w:rsidRPr="007122AB" w14:paraId="72D5880D" w14:textId="77777777">
        <w:tc>
          <w:tcPr>
            <w:tcW w:w="1024" w:type="dxa"/>
          </w:tcPr>
          <w:p w14:paraId="64152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2-я очередь (основные типы по системе вооружения).</w:t>
            </w:r>
          </w:p>
        </w:tc>
        <w:tc>
          <w:tcPr>
            <w:tcW w:w="1024" w:type="dxa"/>
          </w:tcPr>
          <w:p w14:paraId="1B9A5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6E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4E1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33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CEF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B3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B69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00BA7D0" w14:textId="77777777">
        <w:tc>
          <w:tcPr>
            <w:tcW w:w="1024" w:type="dxa"/>
          </w:tcPr>
          <w:p w14:paraId="04D15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 КК</w:t>
            </w:r>
          </w:p>
        </w:tc>
        <w:tc>
          <w:tcPr>
            <w:tcW w:w="1024" w:type="dxa"/>
          </w:tcPr>
          <w:p w14:paraId="6F0462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024" w:type="dxa"/>
          </w:tcPr>
          <w:p w14:paraId="165637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w:t>
            </w:r>
          </w:p>
        </w:tc>
        <w:tc>
          <w:tcPr>
            <w:tcW w:w="1024" w:type="dxa"/>
          </w:tcPr>
          <w:p w14:paraId="04ABC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4C39C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5F5DA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024" w:type="dxa"/>
          </w:tcPr>
          <w:p w14:paraId="27DEDF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w:t>
            </w:r>
          </w:p>
        </w:tc>
        <w:tc>
          <w:tcPr>
            <w:tcW w:w="3430" w:type="dxa"/>
          </w:tcPr>
          <w:p w14:paraId="2C317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самолета с мотором Кертис</w:t>
            </w:r>
          </w:p>
        </w:tc>
      </w:tr>
      <w:tr w:rsidR="001002C3" w:rsidRPr="007122AB" w14:paraId="2545C2E4" w14:textId="77777777">
        <w:tc>
          <w:tcPr>
            <w:tcW w:w="1024" w:type="dxa"/>
          </w:tcPr>
          <w:p w14:paraId="5A3180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3C4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95798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0852B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1F0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B72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024" w:type="dxa"/>
          </w:tcPr>
          <w:p w14:paraId="1FD32C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35D1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заканчивается. Его заводские</w:t>
            </w:r>
          </w:p>
        </w:tc>
      </w:tr>
      <w:tr w:rsidR="001002C3" w:rsidRPr="007122AB" w14:paraId="333583C3" w14:textId="77777777">
        <w:tc>
          <w:tcPr>
            <w:tcW w:w="1024" w:type="dxa"/>
          </w:tcPr>
          <w:p w14:paraId="00526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642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1F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35E9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3952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DA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75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79B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должны начаться в 1-й декаде </w:t>
            </w:r>
          </w:p>
        </w:tc>
      </w:tr>
      <w:tr w:rsidR="001002C3" w:rsidRPr="007122AB" w14:paraId="0D988B0E" w14:textId="77777777">
        <w:tc>
          <w:tcPr>
            <w:tcW w:w="1024" w:type="dxa"/>
          </w:tcPr>
          <w:p w14:paraId="270C9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9FD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19A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BCD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127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FE2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F23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372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ноября.</w:t>
            </w:r>
          </w:p>
        </w:tc>
      </w:tr>
      <w:tr w:rsidR="001002C3" w:rsidRPr="007122AB" w14:paraId="7A6B8E2F" w14:textId="77777777">
        <w:tc>
          <w:tcPr>
            <w:tcW w:w="1024" w:type="dxa"/>
          </w:tcPr>
          <w:p w14:paraId="301B5B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B8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58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D1E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9A6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71D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48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B8B7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Холодов.</w:t>
            </w:r>
          </w:p>
        </w:tc>
      </w:tr>
      <w:tr w:rsidR="001002C3" w:rsidRPr="007122AB" w14:paraId="38BC15EE" w14:textId="77777777">
        <w:tc>
          <w:tcPr>
            <w:tcW w:w="1024" w:type="dxa"/>
          </w:tcPr>
          <w:p w14:paraId="0B3AA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ДИ5-ФЭД</w:t>
            </w:r>
          </w:p>
        </w:tc>
        <w:tc>
          <w:tcPr>
            <w:tcW w:w="1024" w:type="dxa"/>
          </w:tcPr>
          <w:p w14:paraId="64AE6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w:t>
            </w:r>
          </w:p>
        </w:tc>
        <w:tc>
          <w:tcPr>
            <w:tcW w:w="1024" w:type="dxa"/>
          </w:tcPr>
          <w:p w14:paraId="1105C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1024" w:type="dxa"/>
          </w:tcPr>
          <w:p w14:paraId="25141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0FAA2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w:t>
            </w:r>
          </w:p>
        </w:tc>
        <w:tc>
          <w:tcPr>
            <w:tcW w:w="1024" w:type="dxa"/>
          </w:tcPr>
          <w:p w14:paraId="0E7EA7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CC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w:t>
            </w:r>
          </w:p>
        </w:tc>
        <w:tc>
          <w:tcPr>
            <w:tcW w:w="3430" w:type="dxa"/>
          </w:tcPr>
          <w:p w14:paraId="36B0D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Нет макета.</w:t>
            </w:r>
          </w:p>
        </w:tc>
      </w:tr>
      <w:tr w:rsidR="001002C3" w:rsidRPr="007122AB" w14:paraId="35FF8CD3" w14:textId="77777777">
        <w:tc>
          <w:tcPr>
            <w:tcW w:w="1024" w:type="dxa"/>
          </w:tcPr>
          <w:p w14:paraId="22A22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8B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5EBBB3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1F3B3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E3B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51BE3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64C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349E3F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78E910" w14:textId="77777777">
        <w:tc>
          <w:tcPr>
            <w:tcW w:w="1024" w:type="dxa"/>
          </w:tcPr>
          <w:p w14:paraId="27CA54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0D7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E72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24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48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0E8F7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EFE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CB04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FF9EBF6" w14:textId="77777777">
        <w:tc>
          <w:tcPr>
            <w:tcW w:w="1024" w:type="dxa"/>
          </w:tcPr>
          <w:p w14:paraId="3791CB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ТШ1-2М34</w:t>
            </w:r>
          </w:p>
        </w:tc>
        <w:tc>
          <w:tcPr>
            <w:tcW w:w="1024" w:type="dxa"/>
          </w:tcPr>
          <w:p w14:paraId="6F3D9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B37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D8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90E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w:t>
            </w:r>
          </w:p>
        </w:tc>
        <w:tc>
          <w:tcPr>
            <w:tcW w:w="1024" w:type="dxa"/>
          </w:tcPr>
          <w:p w14:paraId="3CB46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024" w:type="dxa"/>
          </w:tcPr>
          <w:p w14:paraId="6FD6A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w:t>
            </w:r>
          </w:p>
        </w:tc>
        <w:tc>
          <w:tcPr>
            <w:tcW w:w="3430" w:type="dxa"/>
          </w:tcPr>
          <w:p w14:paraId="1924B3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поскольку с-т</w:t>
            </w:r>
          </w:p>
        </w:tc>
      </w:tr>
      <w:tr w:rsidR="001002C3" w:rsidRPr="007122AB" w14:paraId="4753FDEE" w14:textId="77777777">
        <w:tc>
          <w:tcPr>
            <w:tcW w:w="1024" w:type="dxa"/>
          </w:tcPr>
          <w:p w14:paraId="21DDF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48F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272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203A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76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w:t>
            </w:r>
          </w:p>
        </w:tc>
        <w:tc>
          <w:tcPr>
            <w:tcW w:w="1024" w:type="dxa"/>
          </w:tcPr>
          <w:p w14:paraId="66B02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74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14A635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стоит в плане условно (до разрешения</w:t>
            </w:r>
          </w:p>
        </w:tc>
      </w:tr>
      <w:tr w:rsidR="001002C3" w:rsidRPr="007122AB" w14:paraId="15C53358" w14:textId="77777777">
        <w:tc>
          <w:tcPr>
            <w:tcW w:w="1024" w:type="dxa"/>
          </w:tcPr>
          <w:p w14:paraId="7C417E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AB96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50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10D5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04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w:t>
            </w:r>
          </w:p>
        </w:tc>
        <w:tc>
          <w:tcPr>
            <w:tcW w:w="1024" w:type="dxa"/>
          </w:tcPr>
          <w:p w14:paraId="65484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A39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80AE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РВС вопроса о необходимости иметь на</w:t>
            </w:r>
          </w:p>
        </w:tc>
      </w:tr>
      <w:tr w:rsidR="001002C3" w:rsidRPr="007122AB" w14:paraId="3DC83C9D" w14:textId="77777777">
        <w:tc>
          <w:tcPr>
            <w:tcW w:w="1024" w:type="dxa"/>
          </w:tcPr>
          <w:p w14:paraId="494F62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116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0B83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DBB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C91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 кг</w:t>
            </w:r>
          </w:p>
        </w:tc>
        <w:tc>
          <w:tcPr>
            <w:tcW w:w="1024" w:type="dxa"/>
          </w:tcPr>
          <w:p w14:paraId="4930D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B3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1DDD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вооружении тяжел. двухмоторного</w:t>
            </w:r>
          </w:p>
        </w:tc>
      </w:tr>
      <w:tr w:rsidR="001002C3" w:rsidRPr="007122AB" w14:paraId="63B1B8F1" w14:textId="77777777">
        <w:tc>
          <w:tcPr>
            <w:tcW w:w="1024" w:type="dxa"/>
          </w:tcPr>
          <w:p w14:paraId="45CA32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475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A86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F95A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CCC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1024" w:type="dxa"/>
          </w:tcPr>
          <w:p w14:paraId="67188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8B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B7F1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штурмовика).</w:t>
            </w:r>
          </w:p>
        </w:tc>
      </w:tr>
      <w:tr w:rsidR="001002C3" w:rsidRPr="007122AB" w14:paraId="51B9D410" w14:textId="77777777">
        <w:tc>
          <w:tcPr>
            <w:tcW w:w="1024" w:type="dxa"/>
          </w:tcPr>
          <w:p w14:paraId="3410F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МТБ3-4М34</w:t>
            </w:r>
          </w:p>
        </w:tc>
        <w:tc>
          <w:tcPr>
            <w:tcW w:w="1024" w:type="dxa"/>
          </w:tcPr>
          <w:p w14:paraId="096602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D3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3A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7B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46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154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1355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постановления РВС от 5 сентября</w:t>
            </w:r>
          </w:p>
        </w:tc>
      </w:tr>
      <w:tr w:rsidR="001002C3" w:rsidRPr="007122AB" w14:paraId="58B08469" w14:textId="77777777">
        <w:tc>
          <w:tcPr>
            <w:tcW w:w="1024" w:type="dxa"/>
          </w:tcPr>
          <w:p w14:paraId="61093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B15C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7F4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C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2CC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D5B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6958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655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 самолет снят из действующего плана</w:t>
            </w:r>
          </w:p>
        </w:tc>
      </w:tr>
      <w:tr w:rsidR="001002C3" w:rsidRPr="007122AB" w14:paraId="6D5535D6" w14:textId="77777777">
        <w:tc>
          <w:tcPr>
            <w:tcW w:w="1024" w:type="dxa"/>
          </w:tcPr>
          <w:p w14:paraId="06D48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4C1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5D8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3E51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CBB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2B5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D4F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576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ЦАГИ, но </w:t>
            </w:r>
            <w:proofErr w:type="spellStart"/>
            <w:r w:rsidRPr="007122AB">
              <w:rPr>
                <w:rFonts w:ascii="Times New Roman" w:hAnsi="Times New Roman"/>
                <w:color w:val="000000" w:themeColor="text1"/>
                <w:sz w:val="16"/>
                <w:szCs w:val="16"/>
              </w:rPr>
              <w:t>д.б</w:t>
            </w:r>
            <w:proofErr w:type="spellEnd"/>
            <w:r w:rsidRPr="007122AB">
              <w:rPr>
                <w:rFonts w:ascii="Times New Roman" w:hAnsi="Times New Roman"/>
                <w:color w:val="000000" w:themeColor="text1"/>
                <w:sz w:val="16"/>
                <w:szCs w:val="16"/>
              </w:rPr>
              <w:t>. предусмотрен в новом плане</w:t>
            </w:r>
          </w:p>
        </w:tc>
      </w:tr>
      <w:tr w:rsidR="001002C3" w:rsidRPr="007122AB" w14:paraId="3B4FDF85" w14:textId="77777777">
        <w:tc>
          <w:tcPr>
            <w:tcW w:w="1024" w:type="dxa"/>
          </w:tcPr>
          <w:p w14:paraId="78FF3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49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B1A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7A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81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65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B5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25E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опытного строительства, в связи с чем </w:t>
            </w:r>
          </w:p>
        </w:tc>
      </w:tr>
      <w:tr w:rsidR="001002C3" w:rsidRPr="007122AB" w14:paraId="6B7BD3C9" w14:textId="77777777">
        <w:tc>
          <w:tcPr>
            <w:tcW w:w="1024" w:type="dxa"/>
          </w:tcPr>
          <w:p w14:paraId="023ED4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68F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11E1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0D6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B00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8CD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EA0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423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продолжает научно-</w:t>
            </w:r>
            <w:proofErr w:type="spellStart"/>
            <w:r w:rsidRPr="007122AB">
              <w:rPr>
                <w:rFonts w:ascii="Times New Roman" w:hAnsi="Times New Roman"/>
                <w:color w:val="000000" w:themeColor="text1"/>
                <w:sz w:val="16"/>
                <w:szCs w:val="16"/>
              </w:rPr>
              <w:t>исслед</w:t>
            </w:r>
            <w:proofErr w:type="spellEnd"/>
            <w:r w:rsidRPr="007122AB">
              <w:rPr>
                <w:rFonts w:ascii="Times New Roman" w:hAnsi="Times New Roman"/>
                <w:color w:val="000000" w:themeColor="text1"/>
                <w:sz w:val="16"/>
                <w:szCs w:val="16"/>
              </w:rPr>
              <w:t>. работу и</w:t>
            </w:r>
          </w:p>
        </w:tc>
      </w:tr>
      <w:tr w:rsidR="001002C3" w:rsidRPr="007122AB" w14:paraId="65416319" w14:textId="77777777">
        <w:tc>
          <w:tcPr>
            <w:tcW w:w="1024" w:type="dxa"/>
          </w:tcPr>
          <w:p w14:paraId="0878C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71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C7F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2BA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A739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AD6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FD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193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расчеты по МТБ3, для последующей </w:t>
            </w:r>
          </w:p>
        </w:tc>
      </w:tr>
      <w:tr w:rsidR="001002C3" w:rsidRPr="007122AB" w14:paraId="756B5F81" w14:textId="77777777">
        <w:tc>
          <w:tcPr>
            <w:tcW w:w="1024" w:type="dxa"/>
          </w:tcPr>
          <w:p w14:paraId="18839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DB1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DF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075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2F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5BF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DBE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B720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проектировки и реализации в новом плане.</w:t>
            </w:r>
          </w:p>
        </w:tc>
      </w:tr>
      <w:tr w:rsidR="001002C3" w:rsidRPr="007122AB" w14:paraId="02B20704" w14:textId="77777777">
        <w:tc>
          <w:tcPr>
            <w:tcW w:w="1024" w:type="dxa"/>
          </w:tcPr>
          <w:p w14:paraId="333BDF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МК1-4М34</w:t>
            </w:r>
          </w:p>
        </w:tc>
        <w:tc>
          <w:tcPr>
            <w:tcW w:w="1024" w:type="dxa"/>
          </w:tcPr>
          <w:p w14:paraId="1B07C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14A2A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3E6FB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F625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авт.</w:t>
            </w:r>
          </w:p>
        </w:tc>
        <w:tc>
          <w:tcPr>
            <w:tcW w:w="1024" w:type="dxa"/>
          </w:tcPr>
          <w:p w14:paraId="5B297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1024" w:type="dxa"/>
          </w:tcPr>
          <w:p w14:paraId="61E244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сент.</w:t>
            </w:r>
          </w:p>
        </w:tc>
        <w:tc>
          <w:tcPr>
            <w:tcW w:w="3430" w:type="dxa"/>
          </w:tcPr>
          <w:p w14:paraId="40792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ЦАГИ заканчивает макет. Представлен </w:t>
            </w:r>
          </w:p>
        </w:tc>
      </w:tr>
      <w:tr w:rsidR="001002C3" w:rsidRPr="007122AB" w14:paraId="63E6662E" w14:textId="77777777">
        <w:tc>
          <w:tcPr>
            <w:tcW w:w="1024" w:type="dxa"/>
          </w:tcPr>
          <w:p w14:paraId="02C3E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70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1B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20E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6E5E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w:t>
            </w:r>
          </w:p>
        </w:tc>
        <w:tc>
          <w:tcPr>
            <w:tcW w:w="1024" w:type="dxa"/>
          </w:tcPr>
          <w:p w14:paraId="4A2996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024" w:type="dxa"/>
          </w:tcPr>
          <w:p w14:paraId="3875EB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w:t>
            </w:r>
          </w:p>
        </w:tc>
        <w:tc>
          <w:tcPr>
            <w:tcW w:w="3430" w:type="dxa"/>
          </w:tcPr>
          <w:p w14:paraId="1ED81D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эскизный проект. Схема самолета требует</w:t>
            </w:r>
          </w:p>
        </w:tc>
      </w:tr>
      <w:tr w:rsidR="001002C3" w:rsidRPr="007122AB" w14:paraId="08C66773" w14:textId="77777777">
        <w:tc>
          <w:tcPr>
            <w:tcW w:w="1024" w:type="dxa"/>
          </w:tcPr>
          <w:p w14:paraId="18EAD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65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4A5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90A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76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w:t>
            </w:r>
          </w:p>
        </w:tc>
        <w:tc>
          <w:tcPr>
            <w:tcW w:w="1024" w:type="dxa"/>
          </w:tcPr>
          <w:p w14:paraId="48857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w:t>
            </w:r>
          </w:p>
        </w:tc>
        <w:tc>
          <w:tcPr>
            <w:tcW w:w="1024" w:type="dxa"/>
          </w:tcPr>
          <w:p w14:paraId="42B064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C7F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изменений. Экипаж 8 чел. недостаточен,</w:t>
            </w:r>
          </w:p>
        </w:tc>
      </w:tr>
      <w:tr w:rsidR="001002C3" w:rsidRPr="007122AB" w14:paraId="4EC0F4B4" w14:textId="77777777">
        <w:tc>
          <w:tcPr>
            <w:tcW w:w="1024" w:type="dxa"/>
          </w:tcPr>
          <w:p w14:paraId="3E7B61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AB5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D74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89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68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9C44A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6A6DB6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0AC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11 чел. В ближайшее время</w:t>
            </w:r>
          </w:p>
        </w:tc>
      </w:tr>
      <w:tr w:rsidR="001002C3" w:rsidRPr="007122AB" w14:paraId="614DB193" w14:textId="77777777">
        <w:tc>
          <w:tcPr>
            <w:tcW w:w="1024" w:type="dxa"/>
          </w:tcPr>
          <w:p w14:paraId="5B787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F2F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FDA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EEDF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732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из</w:t>
            </w:r>
          </w:p>
        </w:tc>
        <w:tc>
          <w:tcPr>
            <w:tcW w:w="1024" w:type="dxa"/>
          </w:tcPr>
          <w:p w14:paraId="101FEA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1024" w:type="dxa"/>
          </w:tcPr>
          <w:p w14:paraId="336EC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4FE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рассмотрен макет и обсужден</w:t>
            </w:r>
          </w:p>
        </w:tc>
      </w:tr>
      <w:tr w:rsidR="001002C3" w:rsidRPr="007122AB" w14:paraId="7AB672B8" w14:textId="77777777">
        <w:tc>
          <w:tcPr>
            <w:tcW w:w="1024" w:type="dxa"/>
          </w:tcPr>
          <w:p w14:paraId="7CA24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5F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10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CA8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B64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них</w:t>
            </w:r>
          </w:p>
        </w:tc>
        <w:tc>
          <w:tcPr>
            <w:tcW w:w="1024" w:type="dxa"/>
          </w:tcPr>
          <w:p w14:paraId="0C8C0F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2400</w:t>
            </w:r>
          </w:p>
        </w:tc>
        <w:tc>
          <w:tcPr>
            <w:tcW w:w="1024" w:type="dxa"/>
          </w:tcPr>
          <w:p w14:paraId="74414E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7B3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размещения экипажа и вооружен.</w:t>
            </w:r>
          </w:p>
        </w:tc>
      </w:tr>
      <w:tr w:rsidR="001002C3" w:rsidRPr="007122AB" w14:paraId="7406FD34" w14:textId="77777777">
        <w:tc>
          <w:tcPr>
            <w:tcW w:w="1024" w:type="dxa"/>
          </w:tcPr>
          <w:p w14:paraId="445C0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EA1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C747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E1A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DE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должны</w:t>
            </w:r>
          </w:p>
        </w:tc>
        <w:tc>
          <w:tcPr>
            <w:tcW w:w="1024" w:type="dxa"/>
          </w:tcPr>
          <w:p w14:paraId="168A0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04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9FC2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Конструкция самолета разработана на 75%.</w:t>
            </w:r>
          </w:p>
        </w:tc>
      </w:tr>
      <w:tr w:rsidR="001002C3" w:rsidRPr="007122AB" w14:paraId="1D12C9B9" w14:textId="77777777">
        <w:tc>
          <w:tcPr>
            <w:tcW w:w="1024" w:type="dxa"/>
          </w:tcPr>
          <w:p w14:paraId="4B2CA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64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902C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7F3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F40E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легко</w:t>
            </w:r>
          </w:p>
        </w:tc>
        <w:tc>
          <w:tcPr>
            <w:tcW w:w="1024" w:type="dxa"/>
          </w:tcPr>
          <w:p w14:paraId="7AC9FB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B7D6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B69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может быть изготовлен и </w:t>
            </w:r>
          </w:p>
        </w:tc>
      </w:tr>
      <w:tr w:rsidR="001002C3" w:rsidRPr="007122AB" w14:paraId="40534414" w14:textId="77777777">
        <w:tc>
          <w:tcPr>
            <w:tcW w:w="1024" w:type="dxa"/>
          </w:tcPr>
          <w:p w14:paraId="74D18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979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FA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1D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2E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заменятся</w:t>
            </w:r>
          </w:p>
        </w:tc>
        <w:tc>
          <w:tcPr>
            <w:tcW w:w="1024" w:type="dxa"/>
          </w:tcPr>
          <w:p w14:paraId="4B8F0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32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F371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представлен на гос. испытания в срок 1 </w:t>
            </w:r>
          </w:p>
        </w:tc>
      </w:tr>
      <w:tr w:rsidR="001002C3" w:rsidRPr="007122AB" w14:paraId="1BEB1624" w14:textId="77777777">
        <w:tc>
          <w:tcPr>
            <w:tcW w:w="1024" w:type="dxa"/>
          </w:tcPr>
          <w:p w14:paraId="55679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6BE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BCDE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F8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BE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w:t>
            </w:r>
          </w:p>
        </w:tc>
        <w:tc>
          <w:tcPr>
            <w:tcW w:w="1024" w:type="dxa"/>
          </w:tcPr>
          <w:p w14:paraId="48F5F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1A9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DA04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октября 1932 г.</w:t>
            </w:r>
          </w:p>
        </w:tc>
      </w:tr>
      <w:tr w:rsidR="001002C3" w:rsidRPr="007122AB" w14:paraId="7913A495" w14:textId="77777777">
        <w:tc>
          <w:tcPr>
            <w:tcW w:w="1024" w:type="dxa"/>
          </w:tcPr>
          <w:p w14:paraId="24BD17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23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044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04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379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пушками)</w:t>
            </w:r>
          </w:p>
        </w:tc>
        <w:tc>
          <w:tcPr>
            <w:tcW w:w="1024" w:type="dxa"/>
          </w:tcPr>
          <w:p w14:paraId="5D7C0A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ADE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56D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63741697" w14:textId="77777777">
        <w:tc>
          <w:tcPr>
            <w:tcW w:w="1024" w:type="dxa"/>
          </w:tcPr>
          <w:p w14:paraId="019DF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8D6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646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31A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6B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 кг</w:t>
            </w:r>
          </w:p>
        </w:tc>
        <w:tc>
          <w:tcPr>
            <w:tcW w:w="1024" w:type="dxa"/>
          </w:tcPr>
          <w:p w14:paraId="11232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9C8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8EE1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D94D66D" w14:textId="77777777">
        <w:tc>
          <w:tcPr>
            <w:tcW w:w="1024" w:type="dxa"/>
          </w:tcPr>
          <w:p w14:paraId="77938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618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39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8C8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322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 за</w:t>
            </w:r>
          </w:p>
        </w:tc>
        <w:tc>
          <w:tcPr>
            <w:tcW w:w="1024" w:type="dxa"/>
          </w:tcPr>
          <w:p w14:paraId="6EE35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D89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C02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BAB5BCB" w14:textId="77777777">
        <w:tc>
          <w:tcPr>
            <w:tcW w:w="1024" w:type="dxa"/>
          </w:tcPr>
          <w:p w14:paraId="01F30B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3F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1D1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7D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13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5966E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76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B7C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1E0239" w14:textId="77777777">
        <w:tc>
          <w:tcPr>
            <w:tcW w:w="1024" w:type="dxa"/>
          </w:tcPr>
          <w:p w14:paraId="17ED30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4C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EFC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095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8CA0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34EF2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51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25C5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4D6EFDE" w14:textId="77777777">
        <w:tc>
          <w:tcPr>
            <w:tcW w:w="1024" w:type="dxa"/>
          </w:tcPr>
          <w:p w14:paraId="59482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Экспериментальные конструкции.</w:t>
            </w:r>
          </w:p>
        </w:tc>
        <w:tc>
          <w:tcPr>
            <w:tcW w:w="1024" w:type="dxa"/>
          </w:tcPr>
          <w:p w14:paraId="3FF0C5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A7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B79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63A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DBF8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AD3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2349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538DA2" w14:textId="77777777">
        <w:tc>
          <w:tcPr>
            <w:tcW w:w="1024" w:type="dxa"/>
          </w:tcPr>
          <w:p w14:paraId="54BD06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ВС1-2М26</w:t>
            </w:r>
          </w:p>
        </w:tc>
        <w:tc>
          <w:tcPr>
            <w:tcW w:w="1024" w:type="dxa"/>
          </w:tcPr>
          <w:p w14:paraId="72AB15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2877D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024" w:type="dxa"/>
          </w:tcPr>
          <w:p w14:paraId="18BA03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978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w:t>
            </w:r>
          </w:p>
        </w:tc>
        <w:tc>
          <w:tcPr>
            <w:tcW w:w="1024" w:type="dxa"/>
          </w:tcPr>
          <w:p w14:paraId="59083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A9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8B05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 проектирование сам-та приостановило</w:t>
            </w:r>
          </w:p>
        </w:tc>
      </w:tr>
      <w:tr w:rsidR="001002C3" w:rsidRPr="007122AB" w14:paraId="05F18808" w14:textId="77777777">
        <w:tc>
          <w:tcPr>
            <w:tcW w:w="1024" w:type="dxa"/>
          </w:tcPr>
          <w:p w14:paraId="256D4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(Р9-2М26)</w:t>
            </w:r>
          </w:p>
        </w:tc>
        <w:tc>
          <w:tcPr>
            <w:tcW w:w="1024" w:type="dxa"/>
          </w:tcPr>
          <w:p w14:paraId="6D89FE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2019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1220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F86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A5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815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D09B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полагает сдвинуть срок его</w:t>
            </w:r>
          </w:p>
        </w:tc>
      </w:tr>
      <w:tr w:rsidR="001002C3" w:rsidRPr="007122AB" w14:paraId="6D47CEE6" w14:textId="77777777">
        <w:tc>
          <w:tcPr>
            <w:tcW w:w="1024" w:type="dxa"/>
          </w:tcPr>
          <w:p w14:paraId="1DFC4D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2CB9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A3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4A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2D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B65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1A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296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представления на гос. испытания на</w:t>
            </w:r>
          </w:p>
        </w:tc>
      </w:tr>
      <w:tr w:rsidR="001002C3" w:rsidRPr="007122AB" w14:paraId="28E5D2E8" w14:textId="77777777">
        <w:tc>
          <w:tcPr>
            <w:tcW w:w="1024" w:type="dxa"/>
          </w:tcPr>
          <w:p w14:paraId="76D94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39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27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1AB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E7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F5C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5DE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DAB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вторую половину 1932 года.</w:t>
            </w:r>
          </w:p>
        </w:tc>
      </w:tr>
      <w:tr w:rsidR="001002C3" w:rsidRPr="007122AB" w14:paraId="629E19B2" w14:textId="77777777">
        <w:tc>
          <w:tcPr>
            <w:tcW w:w="1024" w:type="dxa"/>
          </w:tcPr>
          <w:p w14:paraId="13D8DD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C6D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A6F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46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BF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28A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0C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0D1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пересмотре плана </w:t>
            </w:r>
            <w:proofErr w:type="spellStart"/>
            <w:r w:rsidRPr="007122AB">
              <w:rPr>
                <w:rFonts w:ascii="Times New Roman" w:hAnsi="Times New Roman"/>
                <w:color w:val="000000" w:themeColor="text1"/>
                <w:sz w:val="16"/>
                <w:szCs w:val="16"/>
              </w:rPr>
              <w:t>опытн</w:t>
            </w:r>
            <w:proofErr w:type="spellEnd"/>
            <w:r w:rsidRPr="007122AB">
              <w:rPr>
                <w:rFonts w:ascii="Times New Roman" w:hAnsi="Times New Roman"/>
                <w:color w:val="000000" w:themeColor="text1"/>
                <w:sz w:val="16"/>
                <w:szCs w:val="16"/>
              </w:rPr>
              <w:t>. строит-</w:t>
            </w:r>
            <w:proofErr w:type="spellStart"/>
            <w:r w:rsidRPr="007122AB">
              <w:rPr>
                <w:rFonts w:ascii="Times New Roman" w:hAnsi="Times New Roman"/>
                <w:color w:val="000000" w:themeColor="text1"/>
                <w:sz w:val="16"/>
                <w:szCs w:val="16"/>
              </w:rPr>
              <w:t>ва</w:t>
            </w:r>
            <w:proofErr w:type="spellEnd"/>
          </w:p>
        </w:tc>
      </w:tr>
      <w:tr w:rsidR="001002C3" w:rsidRPr="007122AB" w14:paraId="675FD00B" w14:textId="77777777">
        <w:tc>
          <w:tcPr>
            <w:tcW w:w="1024" w:type="dxa"/>
          </w:tcPr>
          <w:p w14:paraId="664CB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A7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5562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40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4B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26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AB1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D39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1932-34 г. является целесообразным</w:t>
            </w:r>
          </w:p>
        </w:tc>
      </w:tr>
      <w:tr w:rsidR="001002C3" w:rsidRPr="007122AB" w14:paraId="7805DD9E" w14:textId="77777777">
        <w:tc>
          <w:tcPr>
            <w:tcW w:w="1024" w:type="dxa"/>
          </w:tcPr>
          <w:p w14:paraId="61BD1D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1AB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36E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81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E4C4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5FD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EC8F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5B1A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заменить самолет Р9-2М26 самолетом </w:t>
            </w:r>
          </w:p>
        </w:tc>
      </w:tr>
      <w:tr w:rsidR="001002C3" w:rsidRPr="007122AB" w14:paraId="74AE2C9C" w14:textId="77777777">
        <w:tc>
          <w:tcPr>
            <w:tcW w:w="1024" w:type="dxa"/>
          </w:tcPr>
          <w:p w14:paraId="1413E5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6180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998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1B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3E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D3A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E0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0F72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ВС2-2М26 </w:t>
            </w:r>
            <w:proofErr w:type="spellStart"/>
            <w:r w:rsidRPr="007122AB">
              <w:rPr>
                <w:rFonts w:ascii="Times New Roman" w:hAnsi="Times New Roman"/>
                <w:color w:val="000000" w:themeColor="text1"/>
                <w:sz w:val="16"/>
                <w:szCs w:val="16"/>
              </w:rPr>
              <w:t>совмещ</w:t>
            </w:r>
            <w:proofErr w:type="spellEnd"/>
            <w:r w:rsidRPr="007122AB">
              <w:rPr>
                <w:rFonts w:ascii="Times New Roman" w:hAnsi="Times New Roman"/>
                <w:color w:val="000000" w:themeColor="text1"/>
                <w:sz w:val="16"/>
                <w:szCs w:val="16"/>
              </w:rPr>
              <w:t>. аналогично сам. Р9</w:t>
            </w:r>
          </w:p>
        </w:tc>
      </w:tr>
      <w:tr w:rsidR="001002C3" w:rsidRPr="007122AB" w14:paraId="1207E164" w14:textId="77777777">
        <w:tc>
          <w:tcPr>
            <w:tcW w:w="1024" w:type="dxa"/>
          </w:tcPr>
          <w:p w14:paraId="58F24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DFC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21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02E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46F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54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3226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01E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военное использование с применением</w:t>
            </w:r>
          </w:p>
        </w:tc>
      </w:tr>
      <w:tr w:rsidR="001002C3" w:rsidRPr="007122AB" w14:paraId="6C656AC9" w14:textId="77777777">
        <w:tc>
          <w:tcPr>
            <w:tcW w:w="1024" w:type="dxa"/>
          </w:tcPr>
          <w:p w14:paraId="535E6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56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46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9F0A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EA7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18EC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60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03F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гражд. </w:t>
            </w:r>
            <w:proofErr w:type="spellStart"/>
            <w:r w:rsidRPr="007122AB">
              <w:rPr>
                <w:rFonts w:ascii="Times New Roman" w:hAnsi="Times New Roman"/>
                <w:color w:val="000000" w:themeColor="text1"/>
                <w:sz w:val="16"/>
                <w:szCs w:val="16"/>
              </w:rPr>
              <w:t>возд</w:t>
            </w:r>
            <w:proofErr w:type="spellEnd"/>
            <w:r w:rsidRPr="007122AB">
              <w:rPr>
                <w:rFonts w:ascii="Times New Roman" w:hAnsi="Times New Roman"/>
                <w:color w:val="000000" w:themeColor="text1"/>
                <w:sz w:val="16"/>
                <w:szCs w:val="16"/>
              </w:rPr>
              <w:t xml:space="preserve">. флоте в качестве </w:t>
            </w:r>
          </w:p>
        </w:tc>
      </w:tr>
      <w:tr w:rsidR="001002C3" w:rsidRPr="007122AB" w14:paraId="707E37E7" w14:textId="77777777">
        <w:tc>
          <w:tcPr>
            <w:tcW w:w="1024" w:type="dxa"/>
          </w:tcPr>
          <w:p w14:paraId="09BE93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2811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271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CC8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D69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61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BAA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7DF0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пассажирского и </w:t>
            </w:r>
            <w:proofErr w:type="spellStart"/>
            <w:r w:rsidRPr="007122AB">
              <w:rPr>
                <w:rFonts w:ascii="Times New Roman" w:hAnsi="Times New Roman"/>
                <w:color w:val="000000" w:themeColor="text1"/>
                <w:sz w:val="16"/>
                <w:szCs w:val="16"/>
              </w:rPr>
              <w:t>фотосъемщика</w:t>
            </w:r>
            <w:proofErr w:type="spellEnd"/>
            <w:r w:rsidRPr="007122AB">
              <w:rPr>
                <w:rFonts w:ascii="Times New Roman" w:hAnsi="Times New Roman"/>
                <w:color w:val="000000" w:themeColor="text1"/>
                <w:sz w:val="16"/>
                <w:szCs w:val="16"/>
              </w:rPr>
              <w:t>.</w:t>
            </w:r>
          </w:p>
        </w:tc>
      </w:tr>
      <w:tr w:rsidR="001002C3" w:rsidRPr="007122AB" w14:paraId="0E9D0EA4" w14:textId="77777777">
        <w:tc>
          <w:tcPr>
            <w:tcW w:w="1024" w:type="dxa"/>
          </w:tcPr>
          <w:p w14:paraId="35338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B2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79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A2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F8EC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9A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94B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CF3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Жемчужин.</w:t>
            </w:r>
          </w:p>
        </w:tc>
      </w:tr>
      <w:tr w:rsidR="001002C3" w:rsidRPr="007122AB" w14:paraId="66D3714B" w14:textId="77777777">
        <w:tc>
          <w:tcPr>
            <w:tcW w:w="1024" w:type="dxa"/>
          </w:tcPr>
          <w:p w14:paraId="3A4768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c>
          <w:tcPr>
            <w:tcW w:w="1024" w:type="dxa"/>
          </w:tcPr>
          <w:p w14:paraId="60817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024" w:type="dxa"/>
          </w:tcPr>
          <w:p w14:paraId="63173C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w:t>
            </w:r>
          </w:p>
        </w:tc>
        <w:tc>
          <w:tcPr>
            <w:tcW w:w="1024" w:type="dxa"/>
          </w:tcPr>
          <w:p w14:paraId="0D6AEB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5860</w:t>
            </w:r>
          </w:p>
        </w:tc>
        <w:tc>
          <w:tcPr>
            <w:tcW w:w="1024" w:type="dxa"/>
          </w:tcPr>
          <w:p w14:paraId="59E8A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4C655F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135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48E07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приказания начальника ВАО</w:t>
            </w:r>
          </w:p>
        </w:tc>
      </w:tr>
      <w:tr w:rsidR="001002C3" w:rsidRPr="007122AB" w14:paraId="0BA541FD" w14:textId="77777777">
        <w:tc>
          <w:tcPr>
            <w:tcW w:w="1024" w:type="dxa"/>
          </w:tcPr>
          <w:p w14:paraId="58AE49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(ТШ2-М17)</w:t>
            </w:r>
          </w:p>
        </w:tc>
        <w:tc>
          <w:tcPr>
            <w:tcW w:w="1024" w:type="dxa"/>
          </w:tcPr>
          <w:p w14:paraId="313CF1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0A0A49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28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5E5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92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8BB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5CBAF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с-лет ТШ2-М27 должен быть передан</w:t>
            </w:r>
          </w:p>
        </w:tc>
      </w:tr>
      <w:tr w:rsidR="001002C3" w:rsidRPr="007122AB" w14:paraId="23E5E54B" w14:textId="77777777">
        <w:tc>
          <w:tcPr>
            <w:tcW w:w="1024" w:type="dxa"/>
          </w:tcPr>
          <w:p w14:paraId="5DE12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6C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A7D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F0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57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4C5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314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5BB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гос. испытания 10 октября 1931 года.</w:t>
            </w:r>
          </w:p>
        </w:tc>
      </w:tr>
      <w:tr w:rsidR="001002C3" w:rsidRPr="007122AB" w14:paraId="64A7AF4F" w14:textId="77777777">
        <w:tc>
          <w:tcPr>
            <w:tcW w:w="1024" w:type="dxa"/>
          </w:tcPr>
          <w:p w14:paraId="459A2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858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DA8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55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611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4A8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276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E5C4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6E32C452" w14:textId="77777777">
        <w:tc>
          <w:tcPr>
            <w:tcW w:w="1024" w:type="dxa"/>
          </w:tcPr>
          <w:p w14:paraId="0FFD4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И12-2ЮVI</w:t>
            </w:r>
          </w:p>
        </w:tc>
        <w:tc>
          <w:tcPr>
            <w:tcW w:w="1024" w:type="dxa"/>
          </w:tcPr>
          <w:p w14:paraId="02FAC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024" w:type="dxa"/>
          </w:tcPr>
          <w:p w14:paraId="6A828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024" w:type="dxa"/>
          </w:tcPr>
          <w:p w14:paraId="2D7A6D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024" w:type="dxa"/>
          </w:tcPr>
          <w:p w14:paraId="4CC85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tc>
        <w:tc>
          <w:tcPr>
            <w:tcW w:w="1024" w:type="dxa"/>
          </w:tcPr>
          <w:p w14:paraId="3DA03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DC9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3430" w:type="dxa"/>
          </w:tcPr>
          <w:p w14:paraId="19F88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проходит заводские испытания</w:t>
            </w:r>
          </w:p>
        </w:tc>
      </w:tr>
      <w:tr w:rsidR="001002C3" w:rsidRPr="007122AB" w14:paraId="1A491752" w14:textId="77777777">
        <w:tc>
          <w:tcPr>
            <w:tcW w:w="1024" w:type="dxa"/>
          </w:tcPr>
          <w:p w14:paraId="2CA261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E3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1E0DC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A88DD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B94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ДРП</w:t>
            </w:r>
          </w:p>
        </w:tc>
        <w:tc>
          <w:tcPr>
            <w:tcW w:w="1024" w:type="dxa"/>
          </w:tcPr>
          <w:p w14:paraId="22FE2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53D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4ED69C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показавшие необходимость переделки</w:t>
            </w:r>
          </w:p>
        </w:tc>
      </w:tr>
      <w:tr w:rsidR="001002C3" w:rsidRPr="007122AB" w14:paraId="1FBB9270" w14:textId="77777777">
        <w:tc>
          <w:tcPr>
            <w:tcW w:w="1024" w:type="dxa"/>
          </w:tcPr>
          <w:p w14:paraId="01107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E0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184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34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4CFE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71B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42B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DAB0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вертикального оперения, костылей и </w:t>
            </w:r>
          </w:p>
        </w:tc>
      </w:tr>
      <w:tr w:rsidR="001002C3" w:rsidRPr="007122AB" w14:paraId="536733C6" w14:textId="77777777">
        <w:tc>
          <w:tcPr>
            <w:tcW w:w="1024" w:type="dxa"/>
          </w:tcPr>
          <w:p w14:paraId="79EDA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77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DE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D2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92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A29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710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D6D9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замену заднего винта.</w:t>
            </w:r>
          </w:p>
        </w:tc>
      </w:tr>
      <w:tr w:rsidR="001002C3" w:rsidRPr="007122AB" w14:paraId="4A5CAFA1" w14:textId="77777777">
        <w:tc>
          <w:tcPr>
            <w:tcW w:w="1024" w:type="dxa"/>
          </w:tcPr>
          <w:p w14:paraId="393A27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0A4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F83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CDC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A0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846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0CF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2263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2B9A95EA" w14:textId="77777777">
        <w:tc>
          <w:tcPr>
            <w:tcW w:w="1024" w:type="dxa"/>
          </w:tcPr>
          <w:p w14:paraId="60CA97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И11-М-41</w:t>
            </w:r>
          </w:p>
        </w:tc>
        <w:tc>
          <w:tcPr>
            <w:tcW w:w="1024" w:type="dxa"/>
          </w:tcPr>
          <w:p w14:paraId="572C2F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551C06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372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36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8C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76A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B07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w:t>
            </w:r>
          </w:p>
        </w:tc>
      </w:tr>
      <w:tr w:rsidR="001002C3" w:rsidRPr="007122AB" w14:paraId="761CF880" w14:textId="77777777">
        <w:tc>
          <w:tcPr>
            <w:tcW w:w="1024" w:type="dxa"/>
          </w:tcPr>
          <w:p w14:paraId="6475F6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(Электр.)</w:t>
            </w:r>
          </w:p>
        </w:tc>
        <w:tc>
          <w:tcPr>
            <w:tcW w:w="1024" w:type="dxa"/>
          </w:tcPr>
          <w:p w14:paraId="1C8C79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63D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04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CB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D1B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55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A1FA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2520CFD" w14:textId="77777777">
        <w:tc>
          <w:tcPr>
            <w:tcW w:w="1024" w:type="dxa"/>
          </w:tcPr>
          <w:p w14:paraId="50765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024" w:type="dxa"/>
          </w:tcPr>
          <w:p w14:paraId="65FBC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мотора М-19</w:t>
            </w:r>
          </w:p>
        </w:tc>
        <w:tc>
          <w:tcPr>
            <w:tcW w:w="1024" w:type="dxa"/>
          </w:tcPr>
          <w:p w14:paraId="073EE3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F1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D49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58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109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w:t>
            </w:r>
          </w:p>
        </w:tc>
        <w:tc>
          <w:tcPr>
            <w:tcW w:w="3430" w:type="dxa"/>
          </w:tcPr>
          <w:p w14:paraId="00A483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решения не строить серийно мотор</w:t>
            </w:r>
          </w:p>
        </w:tc>
      </w:tr>
      <w:tr w:rsidR="001002C3" w:rsidRPr="007122AB" w14:paraId="2F8835F5" w14:textId="77777777">
        <w:tc>
          <w:tcPr>
            <w:tcW w:w="1024" w:type="dxa"/>
          </w:tcPr>
          <w:p w14:paraId="60C92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15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F0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27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B00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D662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8830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0DBD3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 работа по его установке прекращена.</w:t>
            </w:r>
          </w:p>
        </w:tc>
      </w:tr>
      <w:tr w:rsidR="001002C3" w:rsidRPr="007122AB" w14:paraId="4234886B" w14:textId="77777777">
        <w:tc>
          <w:tcPr>
            <w:tcW w:w="1024" w:type="dxa"/>
          </w:tcPr>
          <w:p w14:paraId="178AD3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61A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81B4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39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BB8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611F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B0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8D4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разрезных крыльев.</w:t>
            </w:r>
          </w:p>
        </w:tc>
      </w:tr>
      <w:tr w:rsidR="001002C3" w:rsidRPr="007122AB" w14:paraId="3C08DC68" w14:textId="77777777">
        <w:tc>
          <w:tcPr>
            <w:tcW w:w="1024" w:type="dxa"/>
          </w:tcPr>
          <w:p w14:paraId="74623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3BC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64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B7A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982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0B33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CD7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9CD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предполагает передать самолет Р5-М17</w:t>
            </w:r>
          </w:p>
        </w:tc>
      </w:tr>
      <w:tr w:rsidR="001002C3" w:rsidRPr="007122AB" w14:paraId="22CA1CF4" w14:textId="77777777">
        <w:tc>
          <w:tcPr>
            <w:tcW w:w="1024" w:type="dxa"/>
          </w:tcPr>
          <w:p w14:paraId="3AFC50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D27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F1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A30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229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BF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27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AB2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 во второй половине октября.</w:t>
            </w:r>
          </w:p>
        </w:tc>
      </w:tr>
      <w:tr w:rsidR="001002C3" w:rsidRPr="007122AB" w14:paraId="446065FA" w14:textId="77777777">
        <w:tc>
          <w:tcPr>
            <w:tcW w:w="1024" w:type="dxa"/>
          </w:tcPr>
          <w:p w14:paraId="3EC58F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809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448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2611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83E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113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E1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92AF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Жемчужин.</w:t>
            </w:r>
          </w:p>
        </w:tc>
      </w:tr>
      <w:tr w:rsidR="001002C3" w:rsidRPr="007122AB" w14:paraId="4A25E273" w14:textId="77777777">
        <w:tc>
          <w:tcPr>
            <w:tcW w:w="1024" w:type="dxa"/>
          </w:tcPr>
          <w:p w14:paraId="4134F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И5-ЮVI</w:t>
            </w:r>
          </w:p>
        </w:tc>
        <w:tc>
          <w:tcPr>
            <w:tcW w:w="1024" w:type="dxa"/>
          </w:tcPr>
          <w:p w14:paraId="277F79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262,5/</w:t>
            </w:r>
          </w:p>
        </w:tc>
        <w:tc>
          <w:tcPr>
            <w:tcW w:w="1024" w:type="dxa"/>
          </w:tcPr>
          <w:p w14:paraId="606DE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9,6'-9,8'/</w:t>
            </w:r>
          </w:p>
        </w:tc>
        <w:tc>
          <w:tcPr>
            <w:tcW w:w="1024" w:type="dxa"/>
          </w:tcPr>
          <w:p w14:paraId="743FF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8120*</w:t>
            </w:r>
          </w:p>
        </w:tc>
        <w:tc>
          <w:tcPr>
            <w:tcW w:w="1024" w:type="dxa"/>
          </w:tcPr>
          <w:p w14:paraId="54EBB4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пул.</w:t>
            </w:r>
          </w:p>
        </w:tc>
        <w:tc>
          <w:tcPr>
            <w:tcW w:w="1024" w:type="dxa"/>
          </w:tcPr>
          <w:p w14:paraId="716AC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5125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 кв.</w:t>
            </w:r>
          </w:p>
        </w:tc>
        <w:tc>
          <w:tcPr>
            <w:tcW w:w="3430" w:type="dxa"/>
          </w:tcPr>
          <w:p w14:paraId="4C17D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xml:space="preserve">. несмотря на то, что </w:t>
            </w:r>
          </w:p>
        </w:tc>
      </w:tr>
      <w:tr w:rsidR="001002C3" w:rsidRPr="007122AB" w14:paraId="69498F7F" w14:textId="77777777">
        <w:tc>
          <w:tcPr>
            <w:tcW w:w="1024" w:type="dxa"/>
          </w:tcPr>
          <w:p w14:paraId="2A6D2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064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3389D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4A681C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94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3F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C07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0E4EC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намечается серийная постройка самолетов</w:t>
            </w:r>
          </w:p>
        </w:tc>
      </w:tr>
      <w:tr w:rsidR="001002C3" w:rsidRPr="007122AB" w14:paraId="22AEBD4D" w14:textId="77777777">
        <w:tc>
          <w:tcPr>
            <w:tcW w:w="1024" w:type="dxa"/>
          </w:tcPr>
          <w:p w14:paraId="4612F9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379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w:t>
            </w:r>
          </w:p>
        </w:tc>
        <w:tc>
          <w:tcPr>
            <w:tcW w:w="1024" w:type="dxa"/>
          </w:tcPr>
          <w:p w14:paraId="777EC0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5F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F8B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1F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1D0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EC9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И5-М15 опытный самолет, могущий быть</w:t>
            </w:r>
          </w:p>
        </w:tc>
      </w:tr>
      <w:tr w:rsidR="001002C3" w:rsidRPr="007122AB" w14:paraId="4952A4C7" w14:textId="77777777">
        <w:tc>
          <w:tcPr>
            <w:tcW w:w="1024" w:type="dxa"/>
          </w:tcPr>
          <w:p w14:paraId="24A0E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98B1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18D411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153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2D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667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D4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96EE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образцом для серии, на испытания не</w:t>
            </w:r>
          </w:p>
        </w:tc>
      </w:tr>
      <w:tr w:rsidR="001002C3" w:rsidRPr="007122AB" w14:paraId="77E06073" w14:textId="77777777">
        <w:tc>
          <w:tcPr>
            <w:tcW w:w="1024" w:type="dxa"/>
          </w:tcPr>
          <w:p w14:paraId="02883C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817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Серийный самолет.</w:t>
            </w:r>
          </w:p>
        </w:tc>
        <w:tc>
          <w:tcPr>
            <w:tcW w:w="1024" w:type="dxa"/>
          </w:tcPr>
          <w:p w14:paraId="63C55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F79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6C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C3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представлен.</w:t>
            </w:r>
          </w:p>
        </w:tc>
        <w:tc>
          <w:tcPr>
            <w:tcW w:w="1024" w:type="dxa"/>
          </w:tcPr>
          <w:p w14:paraId="735D92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BA79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920F60" w14:textId="77777777">
        <w:tc>
          <w:tcPr>
            <w:tcW w:w="1024" w:type="dxa"/>
          </w:tcPr>
          <w:p w14:paraId="75E122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691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54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0BE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F2CA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18E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A92D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3AA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самолета И5 с высотным </w:t>
            </w:r>
          </w:p>
        </w:tc>
      </w:tr>
      <w:tr w:rsidR="001002C3" w:rsidRPr="007122AB" w14:paraId="124C15B3" w14:textId="77777777">
        <w:tc>
          <w:tcPr>
            <w:tcW w:w="1024" w:type="dxa"/>
          </w:tcPr>
          <w:p w14:paraId="5B648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CC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C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9E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853D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AA7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4A78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039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мотором ЮVII показали полную выгодность</w:t>
            </w:r>
          </w:p>
        </w:tc>
      </w:tr>
      <w:tr w:rsidR="001002C3" w:rsidRPr="007122AB" w14:paraId="3ED90566" w14:textId="77777777">
        <w:tc>
          <w:tcPr>
            <w:tcW w:w="1024" w:type="dxa"/>
          </w:tcPr>
          <w:p w14:paraId="0BE91F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880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91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3B6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336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2B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CE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D5E5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применения на самолете этого мотора.</w:t>
            </w:r>
          </w:p>
        </w:tc>
      </w:tr>
      <w:tr w:rsidR="001002C3" w:rsidRPr="007122AB" w14:paraId="34353385" w14:textId="77777777">
        <w:tc>
          <w:tcPr>
            <w:tcW w:w="1024" w:type="dxa"/>
          </w:tcPr>
          <w:p w14:paraId="26B0F4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1A8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8E7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84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DB3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DF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CB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B426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Петров.</w:t>
            </w:r>
          </w:p>
        </w:tc>
      </w:tr>
      <w:tr w:rsidR="001002C3" w:rsidRPr="007122AB" w14:paraId="18F4DFF6" w14:textId="77777777">
        <w:tc>
          <w:tcPr>
            <w:tcW w:w="1024" w:type="dxa"/>
          </w:tcPr>
          <w:p w14:paraId="78065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c>
          <w:tcPr>
            <w:tcW w:w="1024" w:type="dxa"/>
          </w:tcPr>
          <w:p w14:paraId="25903D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w:t>
            </w:r>
          </w:p>
        </w:tc>
        <w:tc>
          <w:tcPr>
            <w:tcW w:w="1024" w:type="dxa"/>
          </w:tcPr>
          <w:p w14:paraId="299E9A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22-25/</w:t>
            </w:r>
          </w:p>
        </w:tc>
        <w:tc>
          <w:tcPr>
            <w:tcW w:w="1024" w:type="dxa"/>
          </w:tcPr>
          <w:p w14:paraId="44A12F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75B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6-11 пул.</w:t>
            </w:r>
          </w:p>
        </w:tc>
        <w:tc>
          <w:tcPr>
            <w:tcW w:w="1024" w:type="dxa"/>
          </w:tcPr>
          <w:p w14:paraId="734B9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0C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717462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недоброкачественности покрышек</w:t>
            </w:r>
          </w:p>
        </w:tc>
      </w:tr>
      <w:tr w:rsidR="001002C3" w:rsidRPr="007122AB" w14:paraId="180A3039" w14:textId="77777777">
        <w:tc>
          <w:tcPr>
            <w:tcW w:w="1024" w:type="dxa"/>
          </w:tcPr>
          <w:p w14:paraId="0540B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DB64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w:t>
            </w:r>
          </w:p>
        </w:tc>
        <w:tc>
          <w:tcPr>
            <w:tcW w:w="1024" w:type="dxa"/>
          </w:tcPr>
          <w:p w14:paraId="04A93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6BD3A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2B2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2000-4000</w:t>
            </w:r>
          </w:p>
        </w:tc>
        <w:tc>
          <w:tcPr>
            <w:tcW w:w="1024" w:type="dxa"/>
          </w:tcPr>
          <w:p w14:paraId="581DE7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214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18232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двухметровых колес англ. фирмы Палмер</w:t>
            </w:r>
          </w:p>
        </w:tc>
      </w:tr>
      <w:tr w:rsidR="001002C3" w:rsidRPr="007122AB" w14:paraId="7253EC4F" w14:textId="77777777">
        <w:tc>
          <w:tcPr>
            <w:tcW w:w="1024" w:type="dxa"/>
          </w:tcPr>
          <w:p w14:paraId="59E8B6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BC8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16FE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EB2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0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кг</w:t>
            </w:r>
          </w:p>
        </w:tc>
        <w:tc>
          <w:tcPr>
            <w:tcW w:w="1024" w:type="dxa"/>
          </w:tcPr>
          <w:p w14:paraId="1AF80B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44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671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полные испытания до настоящего</w:t>
            </w:r>
          </w:p>
        </w:tc>
      </w:tr>
      <w:tr w:rsidR="001002C3" w:rsidRPr="007122AB" w14:paraId="37205A0E" w14:textId="77777777">
        <w:tc>
          <w:tcPr>
            <w:tcW w:w="1024" w:type="dxa"/>
          </w:tcPr>
          <w:p w14:paraId="189D9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D75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EB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F5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69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D69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506D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8E8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времени пройти не смог.</w:t>
            </w:r>
          </w:p>
        </w:tc>
      </w:tr>
      <w:tr w:rsidR="001002C3" w:rsidRPr="007122AB" w14:paraId="347AD76B" w14:textId="77777777">
        <w:tc>
          <w:tcPr>
            <w:tcW w:w="1024" w:type="dxa"/>
          </w:tcPr>
          <w:p w14:paraId="6F2BA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102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FC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9FB7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8D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2CA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A2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4F1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целью замены двухметровых колес ОКБ</w:t>
            </w:r>
          </w:p>
        </w:tc>
      </w:tr>
      <w:tr w:rsidR="001002C3" w:rsidRPr="007122AB" w14:paraId="5E3201D6" w14:textId="77777777">
        <w:tc>
          <w:tcPr>
            <w:tcW w:w="1024" w:type="dxa"/>
          </w:tcPr>
          <w:p w14:paraId="67A6E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39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555B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9D7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F80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E15C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69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6B2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проектирует </w:t>
            </w:r>
            <w:proofErr w:type="spellStart"/>
            <w:r w:rsidRPr="007122AB">
              <w:rPr>
                <w:rFonts w:ascii="Times New Roman" w:hAnsi="Times New Roman"/>
                <w:color w:val="000000" w:themeColor="text1"/>
                <w:sz w:val="16"/>
                <w:szCs w:val="16"/>
              </w:rPr>
              <w:t>тележкт</w:t>
            </w:r>
            <w:proofErr w:type="spellEnd"/>
            <w:r w:rsidRPr="007122AB">
              <w:rPr>
                <w:rFonts w:ascii="Times New Roman" w:hAnsi="Times New Roman"/>
                <w:color w:val="000000" w:themeColor="text1"/>
                <w:sz w:val="16"/>
                <w:szCs w:val="16"/>
              </w:rPr>
              <w:t xml:space="preserve"> под спаренные</w:t>
            </w:r>
          </w:p>
        </w:tc>
      </w:tr>
      <w:tr w:rsidR="001002C3" w:rsidRPr="007122AB" w14:paraId="62D7AE40" w14:textId="77777777">
        <w:tc>
          <w:tcPr>
            <w:tcW w:w="1024" w:type="dxa"/>
          </w:tcPr>
          <w:p w14:paraId="3F7D6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27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91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DDF0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53B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B36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452D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E9AE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колеса диаметром 1350 мм, которые в</w:t>
            </w:r>
          </w:p>
        </w:tc>
      </w:tr>
      <w:tr w:rsidR="001002C3" w:rsidRPr="007122AB" w14:paraId="110AB9ED" w14:textId="77777777">
        <w:tc>
          <w:tcPr>
            <w:tcW w:w="1024" w:type="dxa"/>
          </w:tcPr>
          <w:p w14:paraId="0744B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F4E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0F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26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1D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1CF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68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B10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сентябре выпущены заводом N 1.</w:t>
            </w:r>
          </w:p>
        </w:tc>
      </w:tr>
      <w:tr w:rsidR="001002C3" w:rsidRPr="007122AB" w14:paraId="45D3427A" w14:textId="77777777">
        <w:tc>
          <w:tcPr>
            <w:tcW w:w="1024" w:type="dxa"/>
          </w:tcPr>
          <w:p w14:paraId="638B7A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05C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E80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968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BD8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1A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190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35CB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 тележками, бомбовым вооружен.</w:t>
            </w:r>
          </w:p>
        </w:tc>
      </w:tr>
      <w:tr w:rsidR="001002C3" w:rsidRPr="007122AB" w14:paraId="6B2FA52B" w14:textId="77777777">
        <w:tc>
          <w:tcPr>
            <w:tcW w:w="1024" w:type="dxa"/>
          </w:tcPr>
          <w:p w14:paraId="54AA16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26C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6B5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BA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AB8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D4CB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8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8D27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устранением ряда мелких дефектов</w:t>
            </w:r>
          </w:p>
        </w:tc>
      </w:tr>
      <w:tr w:rsidR="001002C3" w:rsidRPr="007122AB" w14:paraId="781297D2" w14:textId="77777777">
        <w:tc>
          <w:tcPr>
            <w:tcW w:w="1024" w:type="dxa"/>
          </w:tcPr>
          <w:p w14:paraId="1DE051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40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B5E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0A2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58B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E0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DBB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325C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должен быть предъявлен на испытания</w:t>
            </w:r>
          </w:p>
        </w:tc>
      </w:tr>
      <w:tr w:rsidR="001002C3" w:rsidRPr="007122AB" w14:paraId="14413BD8" w14:textId="77777777">
        <w:tc>
          <w:tcPr>
            <w:tcW w:w="1024" w:type="dxa"/>
          </w:tcPr>
          <w:p w14:paraId="7C575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6CC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DC54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A2A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E81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8F5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E8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CD33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октября 1931 года.</w:t>
            </w:r>
          </w:p>
        </w:tc>
      </w:tr>
      <w:tr w:rsidR="001002C3" w:rsidRPr="007122AB" w14:paraId="5747A995" w14:textId="77777777">
        <w:tc>
          <w:tcPr>
            <w:tcW w:w="1024" w:type="dxa"/>
          </w:tcPr>
          <w:p w14:paraId="25A176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E4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E7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225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00E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D4A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4F6B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D59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же подкрыльных башен будет </w:t>
            </w:r>
          </w:p>
        </w:tc>
      </w:tr>
      <w:tr w:rsidR="001002C3" w:rsidRPr="007122AB" w14:paraId="387A741E" w14:textId="77777777">
        <w:tc>
          <w:tcPr>
            <w:tcW w:w="1024" w:type="dxa"/>
          </w:tcPr>
          <w:p w14:paraId="73419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027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3B9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82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FC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2710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A5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114B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закончена к 20 ноября 1931 года.</w:t>
            </w:r>
          </w:p>
        </w:tc>
      </w:tr>
      <w:tr w:rsidR="001002C3" w:rsidRPr="007122AB" w14:paraId="62CDF9A9" w14:textId="77777777">
        <w:tc>
          <w:tcPr>
            <w:tcW w:w="1024" w:type="dxa"/>
          </w:tcPr>
          <w:p w14:paraId="4CC57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65A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68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DF2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FB0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E610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5F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2C0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N 22 </w:t>
            </w:r>
            <w:proofErr w:type="spellStart"/>
            <w:r w:rsidRPr="007122AB">
              <w:rPr>
                <w:rFonts w:ascii="Times New Roman" w:hAnsi="Times New Roman"/>
                <w:color w:val="000000" w:themeColor="text1"/>
                <w:sz w:val="16"/>
                <w:szCs w:val="16"/>
              </w:rPr>
              <w:t>ведетсяпостройка</w:t>
            </w:r>
            <w:proofErr w:type="spellEnd"/>
            <w:r w:rsidRPr="007122AB">
              <w:rPr>
                <w:rFonts w:ascii="Times New Roman" w:hAnsi="Times New Roman"/>
                <w:color w:val="000000" w:themeColor="text1"/>
                <w:sz w:val="16"/>
                <w:szCs w:val="16"/>
              </w:rPr>
              <w:t xml:space="preserve"> первой </w:t>
            </w:r>
          </w:p>
        </w:tc>
      </w:tr>
      <w:tr w:rsidR="001002C3" w:rsidRPr="007122AB" w14:paraId="4F4234D2" w14:textId="77777777">
        <w:tc>
          <w:tcPr>
            <w:tcW w:w="1024" w:type="dxa"/>
          </w:tcPr>
          <w:p w14:paraId="12EFC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097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7EA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D59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95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21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AE2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1CC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серии самолетов ТБ3-4М17.</w:t>
            </w:r>
          </w:p>
        </w:tc>
      </w:tr>
      <w:tr w:rsidR="001002C3" w:rsidRPr="007122AB" w14:paraId="5320F7B9" w14:textId="77777777">
        <w:tc>
          <w:tcPr>
            <w:tcW w:w="1024" w:type="dxa"/>
          </w:tcPr>
          <w:p w14:paraId="39F139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1FC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A133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18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CF3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6A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3D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DC29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3371C8EB" w14:textId="77777777">
        <w:tc>
          <w:tcPr>
            <w:tcW w:w="1024" w:type="dxa"/>
          </w:tcPr>
          <w:p w14:paraId="32CC6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c>
          <w:tcPr>
            <w:tcW w:w="1024" w:type="dxa"/>
          </w:tcPr>
          <w:p w14:paraId="658CEB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244/</w:t>
            </w:r>
          </w:p>
        </w:tc>
        <w:tc>
          <w:tcPr>
            <w:tcW w:w="1024" w:type="dxa"/>
          </w:tcPr>
          <w:p w14:paraId="6A466E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8,09/</w:t>
            </w:r>
          </w:p>
        </w:tc>
        <w:tc>
          <w:tcPr>
            <w:tcW w:w="1024" w:type="dxa"/>
          </w:tcPr>
          <w:p w14:paraId="2B044E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6500</w:t>
            </w:r>
          </w:p>
        </w:tc>
        <w:tc>
          <w:tcPr>
            <w:tcW w:w="1024" w:type="dxa"/>
          </w:tcPr>
          <w:p w14:paraId="5F54F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58BA0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2C8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5CD5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xml:space="preserve">. завод N 22 не </w:t>
            </w:r>
            <w:proofErr w:type="spellStart"/>
            <w:r w:rsidRPr="007122AB">
              <w:rPr>
                <w:rFonts w:ascii="Times New Roman" w:hAnsi="Times New Roman"/>
                <w:color w:val="000000" w:themeColor="text1"/>
                <w:sz w:val="16"/>
                <w:szCs w:val="16"/>
              </w:rPr>
              <w:t>прдъявил</w:t>
            </w:r>
            <w:proofErr w:type="spellEnd"/>
          </w:p>
        </w:tc>
      </w:tr>
      <w:tr w:rsidR="001002C3" w:rsidRPr="007122AB" w14:paraId="77218E9B" w14:textId="77777777">
        <w:tc>
          <w:tcPr>
            <w:tcW w:w="1024" w:type="dxa"/>
          </w:tcPr>
          <w:p w14:paraId="2F35B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7A2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C22F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73B2C2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D6F4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6EA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3D8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922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 головного самолета серии.</w:t>
            </w:r>
          </w:p>
        </w:tc>
      </w:tr>
      <w:tr w:rsidR="001002C3" w:rsidRPr="007122AB" w14:paraId="09F41511" w14:textId="77777777">
        <w:tc>
          <w:tcPr>
            <w:tcW w:w="1024" w:type="dxa"/>
          </w:tcPr>
          <w:p w14:paraId="5D68BE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6A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3E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A29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A48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844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7F2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85A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Поступает на испытания в первой декаде</w:t>
            </w:r>
          </w:p>
        </w:tc>
      </w:tr>
      <w:tr w:rsidR="001002C3" w:rsidRPr="007122AB" w14:paraId="12FAA091" w14:textId="77777777">
        <w:tc>
          <w:tcPr>
            <w:tcW w:w="1024" w:type="dxa"/>
          </w:tcPr>
          <w:p w14:paraId="73D8EE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402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D5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07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4E87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B94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773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9EF3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октября 1931 года.</w:t>
            </w:r>
          </w:p>
        </w:tc>
      </w:tr>
      <w:tr w:rsidR="001002C3" w:rsidRPr="007122AB" w14:paraId="6E22E1F6" w14:textId="77777777">
        <w:tc>
          <w:tcPr>
            <w:tcW w:w="1024" w:type="dxa"/>
          </w:tcPr>
          <w:p w14:paraId="33EE8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78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09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45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4B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AF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6E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BE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Вахмистров.</w:t>
            </w:r>
          </w:p>
        </w:tc>
      </w:tr>
      <w:tr w:rsidR="001002C3" w:rsidRPr="007122AB" w14:paraId="00B605E8" w14:textId="77777777">
        <w:tc>
          <w:tcPr>
            <w:tcW w:w="1024" w:type="dxa"/>
          </w:tcPr>
          <w:p w14:paraId="4B437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И8-Кертис</w:t>
            </w:r>
          </w:p>
        </w:tc>
        <w:tc>
          <w:tcPr>
            <w:tcW w:w="1024" w:type="dxa"/>
          </w:tcPr>
          <w:p w14:paraId="77913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w:t>
            </w:r>
          </w:p>
        </w:tc>
        <w:tc>
          <w:tcPr>
            <w:tcW w:w="1024" w:type="dxa"/>
          </w:tcPr>
          <w:p w14:paraId="184FDC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w:t>
            </w:r>
          </w:p>
        </w:tc>
        <w:tc>
          <w:tcPr>
            <w:tcW w:w="1024" w:type="dxa"/>
          </w:tcPr>
          <w:p w14:paraId="4AC418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5FF155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486F5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1024" w:type="dxa"/>
          </w:tcPr>
          <w:p w14:paraId="71AFEA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сент.</w:t>
            </w:r>
          </w:p>
        </w:tc>
        <w:tc>
          <w:tcPr>
            <w:tcW w:w="3430" w:type="dxa"/>
          </w:tcPr>
          <w:p w14:paraId="04B3C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ОКБ до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не представило самолет</w:t>
            </w:r>
          </w:p>
        </w:tc>
      </w:tr>
      <w:tr w:rsidR="001002C3" w:rsidRPr="007122AB" w14:paraId="185D48D1" w14:textId="77777777">
        <w:tc>
          <w:tcPr>
            <w:tcW w:w="1024" w:type="dxa"/>
          </w:tcPr>
          <w:p w14:paraId="620D51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Конкверор</w:t>
            </w:r>
            <w:proofErr w:type="spellEnd"/>
          </w:p>
        </w:tc>
        <w:tc>
          <w:tcPr>
            <w:tcW w:w="1024" w:type="dxa"/>
          </w:tcPr>
          <w:p w14:paraId="33F79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3D5984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2E2D0A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8CB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EC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1,5-2</w:t>
            </w:r>
          </w:p>
        </w:tc>
        <w:tc>
          <w:tcPr>
            <w:tcW w:w="1024" w:type="dxa"/>
          </w:tcPr>
          <w:p w14:paraId="2F79CC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6EA3A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w:t>
            </w:r>
          </w:p>
        </w:tc>
      </w:tr>
      <w:tr w:rsidR="001002C3" w:rsidRPr="007122AB" w14:paraId="3A7BA9AE" w14:textId="77777777">
        <w:tc>
          <w:tcPr>
            <w:tcW w:w="1024" w:type="dxa"/>
          </w:tcPr>
          <w:p w14:paraId="4DBF3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F7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5083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1C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D6B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15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час.</w:t>
            </w:r>
          </w:p>
        </w:tc>
        <w:tc>
          <w:tcPr>
            <w:tcW w:w="1024" w:type="dxa"/>
          </w:tcPr>
          <w:p w14:paraId="26594C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D3CD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70E1CCDB" w14:textId="77777777">
        <w:tc>
          <w:tcPr>
            <w:tcW w:w="1024" w:type="dxa"/>
          </w:tcPr>
          <w:p w14:paraId="35295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И7-БМВVI</w:t>
            </w:r>
          </w:p>
        </w:tc>
        <w:tc>
          <w:tcPr>
            <w:tcW w:w="1024" w:type="dxa"/>
          </w:tcPr>
          <w:p w14:paraId="0E712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w:t>
            </w:r>
          </w:p>
        </w:tc>
        <w:tc>
          <w:tcPr>
            <w:tcW w:w="1024" w:type="dxa"/>
          </w:tcPr>
          <w:p w14:paraId="24FAD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c>
          <w:tcPr>
            <w:tcW w:w="1024" w:type="dxa"/>
          </w:tcPr>
          <w:p w14:paraId="45B28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c>
          <w:tcPr>
            <w:tcW w:w="1024" w:type="dxa"/>
          </w:tcPr>
          <w:p w14:paraId="6C6D8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41726E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3E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B612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Проведенные (за исключением стрельб)</w:t>
            </w:r>
          </w:p>
        </w:tc>
      </w:tr>
      <w:tr w:rsidR="001002C3" w:rsidRPr="007122AB" w14:paraId="528DC26F" w14:textId="77777777">
        <w:tc>
          <w:tcPr>
            <w:tcW w:w="1024" w:type="dxa"/>
          </w:tcPr>
          <w:p w14:paraId="217CE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Е=7,3</w:t>
            </w:r>
          </w:p>
        </w:tc>
        <w:tc>
          <w:tcPr>
            <w:tcW w:w="1024" w:type="dxa"/>
          </w:tcPr>
          <w:p w14:paraId="4F4A34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6CBF1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7B3588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BC8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B89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32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DFDF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 испытания самолета серии постройки</w:t>
            </w:r>
          </w:p>
        </w:tc>
      </w:tr>
      <w:tr w:rsidR="001002C3" w:rsidRPr="007122AB" w14:paraId="66CA5B94" w14:textId="77777777">
        <w:tc>
          <w:tcPr>
            <w:tcW w:w="1024" w:type="dxa"/>
          </w:tcPr>
          <w:p w14:paraId="2368F8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033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779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8F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60C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D7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2B6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1AE4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 N 1 показали, что самолет имеет</w:t>
            </w:r>
          </w:p>
        </w:tc>
      </w:tr>
      <w:tr w:rsidR="001002C3" w:rsidRPr="007122AB" w14:paraId="5D320E63" w14:textId="77777777">
        <w:tc>
          <w:tcPr>
            <w:tcW w:w="1024" w:type="dxa"/>
          </w:tcPr>
          <w:p w14:paraId="7C283B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12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DA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91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C4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7DF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391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4A2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ниже, чем у Хейнкеля НД-37.</w:t>
            </w:r>
          </w:p>
        </w:tc>
      </w:tr>
      <w:tr w:rsidR="001002C3" w:rsidRPr="007122AB" w14:paraId="750C1796" w14:textId="77777777">
        <w:tc>
          <w:tcPr>
            <w:tcW w:w="1024" w:type="dxa"/>
          </w:tcPr>
          <w:p w14:paraId="645ED9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0FF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C8E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590E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89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3B9E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CA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FB0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И7-БМВVI Е-7,3 превосходит</w:t>
            </w:r>
          </w:p>
        </w:tc>
      </w:tr>
      <w:tr w:rsidR="001002C3" w:rsidRPr="007122AB" w14:paraId="4C822737" w14:textId="77777777">
        <w:tc>
          <w:tcPr>
            <w:tcW w:w="1024" w:type="dxa"/>
          </w:tcPr>
          <w:p w14:paraId="6BF1D2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16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306C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BAF8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C1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832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19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81E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И5-ЮVI горизонтальными скоростями и</w:t>
            </w:r>
          </w:p>
        </w:tc>
      </w:tr>
      <w:tr w:rsidR="001002C3" w:rsidRPr="007122AB" w14:paraId="11B8D5B8" w14:textId="77777777">
        <w:tc>
          <w:tcPr>
            <w:tcW w:w="1024" w:type="dxa"/>
          </w:tcPr>
          <w:p w14:paraId="382734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D9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4ECE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6D2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124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045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539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E66B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уступает ему в отношении </w:t>
            </w:r>
            <w:proofErr w:type="spellStart"/>
            <w:r w:rsidRPr="007122AB">
              <w:rPr>
                <w:rFonts w:ascii="Times New Roman" w:hAnsi="Times New Roman"/>
                <w:color w:val="000000" w:themeColor="text1"/>
                <w:sz w:val="16"/>
                <w:szCs w:val="16"/>
              </w:rPr>
              <w:t>скороподъемн</w:t>
            </w:r>
            <w:proofErr w:type="spellEnd"/>
            <w:r w:rsidRPr="007122AB">
              <w:rPr>
                <w:rFonts w:ascii="Times New Roman" w:hAnsi="Times New Roman"/>
                <w:color w:val="000000" w:themeColor="text1"/>
                <w:sz w:val="16"/>
                <w:szCs w:val="16"/>
              </w:rPr>
              <w:t>.</w:t>
            </w:r>
          </w:p>
        </w:tc>
      </w:tr>
      <w:tr w:rsidR="001002C3" w:rsidRPr="007122AB" w14:paraId="6CD2BB37" w14:textId="77777777">
        <w:tc>
          <w:tcPr>
            <w:tcW w:w="1024" w:type="dxa"/>
          </w:tcPr>
          <w:p w14:paraId="7AEBB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19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BD2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CD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CD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61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78A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339B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маневренности.</w:t>
            </w:r>
          </w:p>
        </w:tc>
      </w:tr>
      <w:tr w:rsidR="001002C3" w:rsidRPr="007122AB" w14:paraId="0622E84F" w14:textId="77777777">
        <w:tc>
          <w:tcPr>
            <w:tcW w:w="1024" w:type="dxa"/>
          </w:tcPr>
          <w:p w14:paraId="6B652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975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45E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6BA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10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6E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113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4481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ВВС принял решение постройки</w:t>
            </w:r>
          </w:p>
        </w:tc>
      </w:tr>
      <w:tr w:rsidR="001002C3" w:rsidRPr="007122AB" w14:paraId="5725C0A0" w14:textId="77777777">
        <w:tc>
          <w:tcPr>
            <w:tcW w:w="1024" w:type="dxa"/>
          </w:tcPr>
          <w:p w14:paraId="0436E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3DE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0B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0DA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AE0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0A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6E9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641D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небольшой серии И7-М17 для вооружения</w:t>
            </w:r>
          </w:p>
        </w:tc>
      </w:tr>
      <w:tr w:rsidR="001002C3" w:rsidRPr="007122AB" w14:paraId="76B69AA2" w14:textId="77777777">
        <w:tc>
          <w:tcPr>
            <w:tcW w:w="1024" w:type="dxa"/>
          </w:tcPr>
          <w:p w14:paraId="5E5BA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F96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2D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09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7903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9A0F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7A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1E9E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нескольких частей ВВС. Серия в 80 с-</w:t>
            </w:r>
            <w:proofErr w:type="spellStart"/>
            <w:r w:rsidRPr="007122AB">
              <w:rPr>
                <w:rFonts w:ascii="Times New Roman" w:hAnsi="Times New Roman"/>
                <w:color w:val="000000" w:themeColor="text1"/>
                <w:sz w:val="16"/>
                <w:szCs w:val="16"/>
              </w:rPr>
              <w:t>тов</w:t>
            </w:r>
            <w:proofErr w:type="spellEnd"/>
          </w:p>
        </w:tc>
      </w:tr>
      <w:tr w:rsidR="001002C3" w:rsidRPr="007122AB" w14:paraId="74A6BE38" w14:textId="77777777">
        <w:tc>
          <w:tcPr>
            <w:tcW w:w="1024" w:type="dxa"/>
          </w:tcPr>
          <w:p w14:paraId="56573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EFA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AA1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1D2E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7C64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D7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B99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1E3A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строится на заводе N 1.</w:t>
            </w:r>
          </w:p>
        </w:tc>
      </w:tr>
      <w:tr w:rsidR="001002C3" w:rsidRPr="007122AB" w14:paraId="14646517" w14:textId="77777777">
        <w:tc>
          <w:tcPr>
            <w:tcW w:w="1024" w:type="dxa"/>
          </w:tcPr>
          <w:p w14:paraId="3BDC69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94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121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09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EB34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02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6771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7D77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И7-М17 позволяет легкую </w:t>
            </w:r>
            <w:proofErr w:type="spellStart"/>
            <w:r w:rsidRPr="007122AB">
              <w:rPr>
                <w:rFonts w:ascii="Times New Roman" w:hAnsi="Times New Roman"/>
                <w:color w:val="000000" w:themeColor="text1"/>
                <w:sz w:val="16"/>
                <w:szCs w:val="16"/>
              </w:rPr>
              <w:t>модифик</w:t>
            </w:r>
            <w:proofErr w:type="spellEnd"/>
            <w:r w:rsidRPr="007122AB">
              <w:rPr>
                <w:rFonts w:ascii="Times New Roman" w:hAnsi="Times New Roman"/>
                <w:color w:val="000000" w:themeColor="text1"/>
                <w:sz w:val="16"/>
                <w:szCs w:val="16"/>
              </w:rPr>
              <w:t>.</w:t>
            </w:r>
          </w:p>
        </w:tc>
      </w:tr>
      <w:tr w:rsidR="001002C3" w:rsidRPr="007122AB" w14:paraId="628D4E14" w14:textId="77777777">
        <w:tc>
          <w:tcPr>
            <w:tcW w:w="1024" w:type="dxa"/>
          </w:tcPr>
          <w:p w14:paraId="6A86DC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D550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0F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5A36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D8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166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4DF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C13E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И7-М34, что несомненно значительно</w:t>
            </w:r>
          </w:p>
        </w:tc>
      </w:tr>
      <w:tr w:rsidR="001002C3" w:rsidRPr="007122AB" w14:paraId="6B9314F7" w14:textId="77777777">
        <w:tc>
          <w:tcPr>
            <w:tcW w:w="1024" w:type="dxa"/>
          </w:tcPr>
          <w:p w14:paraId="61F945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0A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41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BD5A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EF7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F3B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A3F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6AF7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улучшит его летные качества.</w:t>
            </w:r>
          </w:p>
        </w:tc>
      </w:tr>
      <w:tr w:rsidR="001002C3" w:rsidRPr="007122AB" w14:paraId="1703E880" w14:textId="77777777">
        <w:tc>
          <w:tcPr>
            <w:tcW w:w="1024" w:type="dxa"/>
          </w:tcPr>
          <w:p w14:paraId="04983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8E75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6D6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A0EC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28E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0C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9C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18A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39E1907A" w14:textId="77777777">
        <w:tc>
          <w:tcPr>
            <w:tcW w:w="1024" w:type="dxa"/>
          </w:tcPr>
          <w:p w14:paraId="0BFB4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w:t>
            </w:r>
          </w:p>
        </w:tc>
        <w:tc>
          <w:tcPr>
            <w:tcW w:w="1024" w:type="dxa"/>
          </w:tcPr>
          <w:p w14:paraId="41885F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27BDBF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A3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D18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CB7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738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5AEA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Ведутся испытания аппаратуры.</w:t>
            </w:r>
          </w:p>
        </w:tc>
      </w:tr>
      <w:tr w:rsidR="001002C3" w:rsidRPr="007122AB" w14:paraId="3E4521F0" w14:textId="77777777">
        <w:tc>
          <w:tcPr>
            <w:tcW w:w="1024" w:type="dxa"/>
          </w:tcPr>
          <w:p w14:paraId="1D7069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w:t>
            </w:r>
            <w:proofErr w:type="spellStart"/>
            <w:r w:rsidRPr="007122AB">
              <w:rPr>
                <w:rFonts w:ascii="Times New Roman" w:hAnsi="Times New Roman"/>
                <w:color w:val="000000" w:themeColor="text1"/>
                <w:sz w:val="16"/>
                <w:szCs w:val="16"/>
              </w:rPr>
              <w:t>химич</w:t>
            </w:r>
            <w:proofErr w:type="spellEnd"/>
            <w:r w:rsidRPr="007122AB">
              <w:rPr>
                <w:rFonts w:ascii="Times New Roman" w:hAnsi="Times New Roman"/>
                <w:color w:val="000000" w:themeColor="text1"/>
                <w:sz w:val="16"/>
                <w:szCs w:val="16"/>
              </w:rPr>
              <w:t>.</w:t>
            </w:r>
          </w:p>
        </w:tc>
        <w:tc>
          <w:tcPr>
            <w:tcW w:w="1024" w:type="dxa"/>
          </w:tcPr>
          <w:p w14:paraId="7C8AEF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578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626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D14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CB9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826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B6F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A0C20FE" w14:textId="77777777">
        <w:tc>
          <w:tcPr>
            <w:tcW w:w="1024" w:type="dxa"/>
          </w:tcPr>
          <w:p w14:paraId="7D33C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целей)</w:t>
            </w:r>
          </w:p>
        </w:tc>
        <w:tc>
          <w:tcPr>
            <w:tcW w:w="1024" w:type="dxa"/>
          </w:tcPr>
          <w:p w14:paraId="465721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9A8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6A9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F77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145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55F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9AA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839E90" w14:textId="77777777">
        <w:tc>
          <w:tcPr>
            <w:tcW w:w="1024" w:type="dxa"/>
          </w:tcPr>
          <w:p w14:paraId="6E5AB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024" w:type="dxa"/>
          </w:tcPr>
          <w:p w14:paraId="281FCA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66B2B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61C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DA6C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15C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9C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BEA9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Ссылаясь на некомплект Бюро Особых</w:t>
            </w:r>
          </w:p>
        </w:tc>
      </w:tr>
      <w:tr w:rsidR="001002C3" w:rsidRPr="007122AB" w14:paraId="5F044C4C" w14:textId="77777777">
        <w:tc>
          <w:tcPr>
            <w:tcW w:w="1024" w:type="dxa"/>
          </w:tcPr>
          <w:p w14:paraId="3366FC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Горелова</w:t>
            </w:r>
          </w:p>
        </w:tc>
        <w:tc>
          <w:tcPr>
            <w:tcW w:w="1024" w:type="dxa"/>
          </w:tcPr>
          <w:p w14:paraId="10FBA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1FB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EB10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77D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FF7F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58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9C7A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конструкций ЦАГИ к работе по самолетам</w:t>
            </w:r>
          </w:p>
        </w:tc>
      </w:tr>
      <w:tr w:rsidR="001002C3" w:rsidRPr="007122AB" w14:paraId="58C4EE34" w14:textId="77777777">
        <w:tc>
          <w:tcPr>
            <w:tcW w:w="1024" w:type="dxa"/>
          </w:tcPr>
          <w:p w14:paraId="42EFE3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мотор</w:t>
            </w:r>
          </w:p>
        </w:tc>
        <w:tc>
          <w:tcPr>
            <w:tcW w:w="1024" w:type="dxa"/>
          </w:tcPr>
          <w:p w14:paraId="07EB91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EF4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80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F78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3672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C21C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C5F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Горелова и парабола еще не приступил.</w:t>
            </w:r>
          </w:p>
        </w:tc>
      </w:tr>
      <w:tr w:rsidR="001002C3" w:rsidRPr="007122AB" w14:paraId="6663B931" w14:textId="77777777">
        <w:tc>
          <w:tcPr>
            <w:tcW w:w="1024" w:type="dxa"/>
          </w:tcPr>
          <w:p w14:paraId="15F325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Вальтер</w:t>
            </w:r>
          </w:p>
        </w:tc>
        <w:tc>
          <w:tcPr>
            <w:tcW w:w="1024" w:type="dxa"/>
          </w:tcPr>
          <w:p w14:paraId="2BF05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B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A6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46A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66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6EA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62AB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F9D3357" w14:textId="77777777">
        <w:tc>
          <w:tcPr>
            <w:tcW w:w="1024" w:type="dxa"/>
          </w:tcPr>
          <w:p w14:paraId="1AC48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024" w:type="dxa"/>
          </w:tcPr>
          <w:p w14:paraId="7FB5E4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00045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9516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97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85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1A8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DBA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81C18BD" w14:textId="77777777">
        <w:tc>
          <w:tcPr>
            <w:tcW w:w="1024" w:type="dxa"/>
          </w:tcPr>
          <w:p w14:paraId="5CC77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"Парабола"</w:t>
            </w:r>
          </w:p>
        </w:tc>
        <w:tc>
          <w:tcPr>
            <w:tcW w:w="1024" w:type="dxa"/>
          </w:tcPr>
          <w:p w14:paraId="6A429D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B2DC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D451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3E6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BB2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FB9A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692E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F14D0E" w14:textId="77777777">
        <w:tc>
          <w:tcPr>
            <w:tcW w:w="1024" w:type="dxa"/>
          </w:tcPr>
          <w:p w14:paraId="38EDAF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1024" w:type="dxa"/>
          </w:tcPr>
          <w:p w14:paraId="116810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F5D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3F1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533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2A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4A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6E27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1F0E60D" w14:textId="77777777">
        <w:tc>
          <w:tcPr>
            <w:tcW w:w="1024" w:type="dxa"/>
          </w:tcPr>
          <w:p w14:paraId="5625E8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И4-ЮVI</w:t>
            </w:r>
          </w:p>
        </w:tc>
        <w:tc>
          <w:tcPr>
            <w:tcW w:w="1024" w:type="dxa"/>
          </w:tcPr>
          <w:p w14:paraId="074EBA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c>
          <w:tcPr>
            <w:tcW w:w="1024" w:type="dxa"/>
          </w:tcPr>
          <w:p w14:paraId="7267E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43F5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DE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2DF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749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76A3E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самолета, снабженного </w:t>
            </w:r>
          </w:p>
        </w:tc>
      </w:tr>
      <w:tr w:rsidR="001002C3" w:rsidRPr="007122AB" w14:paraId="5674859C" w14:textId="77777777">
        <w:tc>
          <w:tcPr>
            <w:tcW w:w="1024" w:type="dxa"/>
          </w:tcPr>
          <w:p w14:paraId="51B65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моноплан</w:t>
            </w:r>
          </w:p>
        </w:tc>
        <w:tc>
          <w:tcPr>
            <w:tcW w:w="1024" w:type="dxa"/>
          </w:tcPr>
          <w:p w14:paraId="5A86A5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94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BA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C952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B52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5CF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3B2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предкрылками на концах крыльев </w:t>
            </w:r>
          </w:p>
        </w:tc>
      </w:tr>
      <w:tr w:rsidR="001002C3" w:rsidRPr="007122AB" w14:paraId="427DD15A" w14:textId="77777777">
        <w:tc>
          <w:tcPr>
            <w:tcW w:w="1024" w:type="dxa"/>
          </w:tcPr>
          <w:p w14:paraId="4F3699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555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DD5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ED98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E1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6F6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86C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A18B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закончены.</w:t>
            </w:r>
          </w:p>
        </w:tc>
      </w:tr>
      <w:tr w:rsidR="001002C3" w:rsidRPr="007122AB" w14:paraId="73776F36" w14:textId="77777777">
        <w:tc>
          <w:tcPr>
            <w:tcW w:w="1024" w:type="dxa"/>
          </w:tcPr>
          <w:p w14:paraId="6FD550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55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C0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2D7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B95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6A84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A8A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2ED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Петров.</w:t>
            </w:r>
          </w:p>
        </w:tc>
      </w:tr>
      <w:tr w:rsidR="001002C3" w:rsidRPr="007122AB" w14:paraId="050C4E0F" w14:textId="77777777">
        <w:tc>
          <w:tcPr>
            <w:tcW w:w="1024" w:type="dxa"/>
          </w:tcPr>
          <w:p w14:paraId="47F26F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1-ВГ</w:t>
            </w:r>
          </w:p>
        </w:tc>
        <w:tc>
          <w:tcPr>
            <w:tcW w:w="1024" w:type="dxa"/>
          </w:tcPr>
          <w:p w14:paraId="3AA824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7CB1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A27E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CB5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50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5E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88D2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Ведется ремонт после аварии с изменением</w:t>
            </w:r>
          </w:p>
        </w:tc>
      </w:tr>
      <w:tr w:rsidR="001002C3" w:rsidRPr="007122AB" w14:paraId="6CDBC75B" w14:textId="77777777">
        <w:tc>
          <w:tcPr>
            <w:tcW w:w="1024" w:type="dxa"/>
          </w:tcPr>
          <w:p w14:paraId="441B3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геликоптер</w:t>
            </w:r>
          </w:p>
        </w:tc>
        <w:tc>
          <w:tcPr>
            <w:tcW w:w="1024" w:type="dxa"/>
          </w:tcPr>
          <w:p w14:paraId="63065D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106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0B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33E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FE39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E1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1E20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конструкции отдельных деталей.</w:t>
            </w:r>
          </w:p>
        </w:tc>
      </w:tr>
      <w:tr w:rsidR="001002C3" w:rsidRPr="007122AB" w14:paraId="748DB0B1" w14:textId="77777777">
        <w:tc>
          <w:tcPr>
            <w:tcW w:w="1024" w:type="dxa"/>
          </w:tcPr>
          <w:p w14:paraId="467BEB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FA77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5E0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4A36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4EA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BB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C7C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C83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Квитко.</w:t>
            </w:r>
          </w:p>
        </w:tc>
      </w:tr>
      <w:tr w:rsidR="001002C3" w:rsidRPr="007122AB" w14:paraId="7269CAE3" w14:textId="77777777">
        <w:tc>
          <w:tcPr>
            <w:tcW w:w="1024" w:type="dxa"/>
          </w:tcPr>
          <w:p w14:paraId="7AC07F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Вертолет</w:t>
            </w:r>
          </w:p>
        </w:tc>
        <w:tc>
          <w:tcPr>
            <w:tcW w:w="1024" w:type="dxa"/>
          </w:tcPr>
          <w:p w14:paraId="45E7F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25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E636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AA3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20A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A6B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3E2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Ссылаясь на некомплект Бюро Особых</w:t>
            </w:r>
          </w:p>
        </w:tc>
      </w:tr>
      <w:tr w:rsidR="001002C3" w:rsidRPr="007122AB" w14:paraId="653FA9AF" w14:textId="77777777">
        <w:tc>
          <w:tcPr>
            <w:tcW w:w="1024" w:type="dxa"/>
          </w:tcPr>
          <w:p w14:paraId="5F995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(автожир)</w:t>
            </w:r>
          </w:p>
        </w:tc>
        <w:tc>
          <w:tcPr>
            <w:tcW w:w="1024" w:type="dxa"/>
          </w:tcPr>
          <w:p w14:paraId="195DF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389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0C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442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472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5A8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B41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конструкций ЦАГИ работы по переделкам</w:t>
            </w:r>
          </w:p>
        </w:tc>
      </w:tr>
      <w:tr w:rsidR="001002C3" w:rsidRPr="007122AB" w14:paraId="3647BBD4" w14:textId="77777777">
        <w:tc>
          <w:tcPr>
            <w:tcW w:w="1024" w:type="dxa"/>
          </w:tcPr>
          <w:p w14:paraId="565D94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E9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8639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5F1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0F38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780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32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8B0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построенного автожира с мотором Титан</w:t>
            </w:r>
          </w:p>
        </w:tc>
      </w:tr>
      <w:tr w:rsidR="001002C3" w:rsidRPr="007122AB" w14:paraId="6354340D" w14:textId="77777777">
        <w:tc>
          <w:tcPr>
            <w:tcW w:w="1024" w:type="dxa"/>
          </w:tcPr>
          <w:p w14:paraId="78FD7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65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EC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555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B7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7D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743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0B1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ведет в очень слабом темпе.</w:t>
            </w:r>
          </w:p>
        </w:tc>
      </w:tr>
      <w:tr w:rsidR="001002C3" w:rsidRPr="007122AB" w14:paraId="79931173" w14:textId="77777777">
        <w:tc>
          <w:tcPr>
            <w:tcW w:w="1024" w:type="dxa"/>
          </w:tcPr>
          <w:p w14:paraId="305DD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5FB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AE3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AD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521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063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E9B5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E6B3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Кравцов.</w:t>
            </w:r>
          </w:p>
        </w:tc>
      </w:tr>
      <w:tr w:rsidR="001002C3" w:rsidRPr="007122AB" w14:paraId="409CF0BB" w14:textId="77777777">
        <w:tc>
          <w:tcPr>
            <w:tcW w:w="1024" w:type="dxa"/>
          </w:tcPr>
          <w:p w14:paraId="1A1159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ТБ1а-2М17</w:t>
            </w:r>
          </w:p>
        </w:tc>
        <w:tc>
          <w:tcPr>
            <w:tcW w:w="1024" w:type="dxa"/>
          </w:tcPr>
          <w:p w14:paraId="269992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186/0</w:t>
            </w:r>
          </w:p>
        </w:tc>
        <w:tc>
          <w:tcPr>
            <w:tcW w:w="1024" w:type="dxa"/>
          </w:tcPr>
          <w:p w14:paraId="6C864B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w:t>
            </w:r>
          </w:p>
        </w:tc>
        <w:tc>
          <w:tcPr>
            <w:tcW w:w="1024" w:type="dxa"/>
          </w:tcPr>
          <w:p w14:paraId="7715F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3520</w:t>
            </w:r>
          </w:p>
        </w:tc>
        <w:tc>
          <w:tcPr>
            <w:tcW w:w="1024" w:type="dxa"/>
          </w:tcPr>
          <w:p w14:paraId="2203A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спарен.</w:t>
            </w:r>
          </w:p>
        </w:tc>
        <w:tc>
          <w:tcPr>
            <w:tcW w:w="1024" w:type="dxa"/>
          </w:tcPr>
          <w:p w14:paraId="00ED4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1024" w:type="dxa"/>
          </w:tcPr>
          <w:p w14:paraId="2AE32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0EDF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Произведены испытания в Севастополе на</w:t>
            </w:r>
          </w:p>
        </w:tc>
      </w:tr>
      <w:tr w:rsidR="001002C3" w:rsidRPr="007122AB" w14:paraId="6517274A" w14:textId="77777777">
        <w:tc>
          <w:tcPr>
            <w:tcW w:w="1024" w:type="dxa"/>
          </w:tcPr>
          <w:p w14:paraId="5FCC1F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установлен.</w:t>
            </w:r>
          </w:p>
        </w:tc>
        <w:tc>
          <w:tcPr>
            <w:tcW w:w="1024" w:type="dxa"/>
          </w:tcPr>
          <w:p w14:paraId="34E475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7564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19455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975C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установки</w:t>
            </w:r>
          </w:p>
        </w:tc>
        <w:tc>
          <w:tcPr>
            <w:tcW w:w="1024" w:type="dxa"/>
          </w:tcPr>
          <w:p w14:paraId="13B91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1320 км</w:t>
            </w:r>
          </w:p>
        </w:tc>
        <w:tc>
          <w:tcPr>
            <w:tcW w:w="1024" w:type="dxa"/>
          </w:tcPr>
          <w:p w14:paraId="3F89D3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7719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поплавках Шорта за исключением</w:t>
            </w:r>
          </w:p>
        </w:tc>
      </w:tr>
      <w:tr w:rsidR="001002C3" w:rsidRPr="007122AB" w14:paraId="12EF8A95" w14:textId="77777777">
        <w:tc>
          <w:tcPr>
            <w:tcW w:w="1024" w:type="dxa"/>
          </w:tcPr>
          <w:p w14:paraId="444B2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поплавки</w:t>
            </w:r>
          </w:p>
        </w:tc>
        <w:tc>
          <w:tcPr>
            <w:tcW w:w="1024" w:type="dxa"/>
          </w:tcPr>
          <w:p w14:paraId="11311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332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74FB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E4E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w:t>
            </w:r>
          </w:p>
        </w:tc>
        <w:tc>
          <w:tcPr>
            <w:tcW w:w="1024" w:type="dxa"/>
          </w:tcPr>
          <w:p w14:paraId="3A5BBB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59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321F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мореходных испытаний. Поставлен вопрос</w:t>
            </w:r>
          </w:p>
        </w:tc>
      </w:tr>
      <w:tr w:rsidR="001002C3" w:rsidRPr="007122AB" w14:paraId="7303DD24" w14:textId="77777777">
        <w:tc>
          <w:tcPr>
            <w:tcW w:w="1024" w:type="dxa"/>
          </w:tcPr>
          <w:p w14:paraId="0AA42D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66E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4981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32D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00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AD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6EF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54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серийном изготовлении 22 пар поплавков</w:t>
            </w:r>
          </w:p>
        </w:tc>
      </w:tr>
      <w:tr w:rsidR="001002C3" w:rsidRPr="007122AB" w14:paraId="366D1DF4" w14:textId="77777777">
        <w:tc>
          <w:tcPr>
            <w:tcW w:w="1024" w:type="dxa"/>
          </w:tcPr>
          <w:p w14:paraId="7647AF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E1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C3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98F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571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9FD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F2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F029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морских шасси на заводе N 31. Готовность</w:t>
            </w:r>
          </w:p>
        </w:tc>
      </w:tr>
      <w:tr w:rsidR="001002C3" w:rsidRPr="007122AB" w14:paraId="1289824E" w14:textId="77777777">
        <w:tc>
          <w:tcPr>
            <w:tcW w:w="1024" w:type="dxa"/>
          </w:tcPr>
          <w:p w14:paraId="1322EF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FA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EF3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739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39F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ACC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58F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F39A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пар поплавков возможно ожидать к</w:t>
            </w:r>
          </w:p>
        </w:tc>
      </w:tr>
      <w:tr w:rsidR="001002C3" w:rsidRPr="007122AB" w14:paraId="7AE0AB74" w14:textId="77777777">
        <w:tc>
          <w:tcPr>
            <w:tcW w:w="1024" w:type="dxa"/>
          </w:tcPr>
          <w:p w14:paraId="4058B8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5D7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FE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39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5AB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78E4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1A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F37B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марта 1932 года.</w:t>
            </w:r>
          </w:p>
        </w:tc>
      </w:tr>
      <w:tr w:rsidR="001002C3" w:rsidRPr="007122AB" w14:paraId="78449BC3" w14:textId="77777777">
        <w:tc>
          <w:tcPr>
            <w:tcW w:w="1024" w:type="dxa"/>
          </w:tcPr>
          <w:p w14:paraId="181E6E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D9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5D2C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7C1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A1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97E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7C8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068C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395EB982" w14:textId="77777777">
        <w:tc>
          <w:tcPr>
            <w:tcW w:w="1024" w:type="dxa"/>
          </w:tcPr>
          <w:p w14:paraId="7B1873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024" w:type="dxa"/>
          </w:tcPr>
          <w:p w14:paraId="742582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0881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66C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BEF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98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1282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w:t>
            </w:r>
          </w:p>
        </w:tc>
        <w:tc>
          <w:tcPr>
            <w:tcW w:w="3430" w:type="dxa"/>
          </w:tcPr>
          <w:p w14:paraId="03218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запаздывает на гос. испытания на</w:t>
            </w:r>
          </w:p>
        </w:tc>
      </w:tr>
      <w:tr w:rsidR="001002C3" w:rsidRPr="007122AB" w14:paraId="159427B1" w14:textId="77777777">
        <w:tc>
          <w:tcPr>
            <w:tcW w:w="1024" w:type="dxa"/>
          </w:tcPr>
          <w:p w14:paraId="01FF8D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поплавках</w:t>
            </w:r>
          </w:p>
        </w:tc>
        <w:tc>
          <w:tcPr>
            <w:tcW w:w="1024" w:type="dxa"/>
          </w:tcPr>
          <w:p w14:paraId="43E4D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F00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B2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E37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48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E25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18DDF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5-6 месяцев. В ближайшие 10-15 дней</w:t>
            </w:r>
          </w:p>
        </w:tc>
      </w:tr>
      <w:tr w:rsidR="001002C3" w:rsidRPr="007122AB" w14:paraId="6ED07F82" w14:textId="77777777">
        <w:tc>
          <w:tcPr>
            <w:tcW w:w="1024" w:type="dxa"/>
          </w:tcPr>
          <w:p w14:paraId="6FC36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BE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BA2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18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CB9F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867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728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C745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(примерно к 15 октября 1931 года) с-т</w:t>
            </w:r>
          </w:p>
        </w:tc>
      </w:tr>
      <w:tr w:rsidR="001002C3" w:rsidRPr="007122AB" w14:paraId="11421201" w14:textId="77777777">
        <w:tc>
          <w:tcPr>
            <w:tcW w:w="1024" w:type="dxa"/>
          </w:tcPr>
          <w:p w14:paraId="4FB895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DE2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329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15B0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B37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0E62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63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7BD9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собран, опробован в воздухе с</w:t>
            </w:r>
          </w:p>
        </w:tc>
      </w:tr>
      <w:tr w:rsidR="001002C3" w:rsidRPr="007122AB" w14:paraId="7E5A1057" w14:textId="77777777">
        <w:tc>
          <w:tcPr>
            <w:tcW w:w="1024" w:type="dxa"/>
          </w:tcPr>
          <w:p w14:paraId="2EB95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DC30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A9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EF3E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48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1E8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70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584B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Москва-реки и направлен на гос. испытания</w:t>
            </w:r>
          </w:p>
        </w:tc>
      </w:tr>
      <w:tr w:rsidR="001002C3" w:rsidRPr="007122AB" w14:paraId="5FAC349E" w14:textId="77777777">
        <w:tc>
          <w:tcPr>
            <w:tcW w:w="1024" w:type="dxa"/>
          </w:tcPr>
          <w:p w14:paraId="6031C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65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97B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823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5D1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B4D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CE9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7F6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Севастополь.</w:t>
            </w:r>
          </w:p>
        </w:tc>
      </w:tr>
      <w:tr w:rsidR="001002C3" w:rsidRPr="007122AB" w14:paraId="3B44874D" w14:textId="77777777">
        <w:tc>
          <w:tcPr>
            <w:tcW w:w="1024" w:type="dxa"/>
          </w:tcPr>
          <w:p w14:paraId="6C6B6E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7CE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EA3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9C5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47B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109E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51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B595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Украинцев.</w:t>
            </w:r>
          </w:p>
        </w:tc>
      </w:tr>
      <w:tr w:rsidR="001002C3" w:rsidRPr="007122AB" w14:paraId="31FB3D80" w14:textId="77777777">
        <w:tc>
          <w:tcPr>
            <w:tcW w:w="1024" w:type="dxa"/>
          </w:tcPr>
          <w:p w14:paraId="4F076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c>
          <w:tcPr>
            <w:tcW w:w="1024" w:type="dxa"/>
          </w:tcPr>
          <w:p w14:paraId="69DA0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87B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F4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68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EEE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BC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6565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 заказ ВАО на изготовление 3-х</w:t>
            </w:r>
          </w:p>
        </w:tc>
      </w:tr>
      <w:tr w:rsidR="001002C3" w:rsidRPr="007122AB" w14:paraId="2FB7ECB3" w14:textId="77777777">
        <w:tc>
          <w:tcPr>
            <w:tcW w:w="1024" w:type="dxa"/>
          </w:tcPr>
          <w:p w14:paraId="0E731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поплавках</w:t>
            </w:r>
          </w:p>
        </w:tc>
        <w:tc>
          <w:tcPr>
            <w:tcW w:w="1024" w:type="dxa"/>
          </w:tcPr>
          <w:p w14:paraId="704D75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E29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A4D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53F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550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129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BE54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опытных поплавков. По изготовлении с-т</w:t>
            </w:r>
          </w:p>
        </w:tc>
      </w:tr>
      <w:tr w:rsidR="001002C3" w:rsidRPr="007122AB" w14:paraId="5E5EF118" w14:textId="77777777">
        <w:tc>
          <w:tcPr>
            <w:tcW w:w="1024" w:type="dxa"/>
          </w:tcPr>
          <w:p w14:paraId="3E0052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5FC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3DE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101A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DD2C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124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CF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D74A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будет испытан в Севастополе. Поднят </w:t>
            </w:r>
          </w:p>
        </w:tc>
      </w:tr>
      <w:tr w:rsidR="001002C3" w:rsidRPr="007122AB" w14:paraId="7189DB1A" w14:textId="77777777">
        <w:tc>
          <w:tcPr>
            <w:tcW w:w="1024" w:type="dxa"/>
          </w:tcPr>
          <w:p w14:paraId="7B542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61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6F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52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5384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13AC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F0F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9E6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вопрос о включении в план ВАО 25 шт. Р6</w:t>
            </w:r>
          </w:p>
        </w:tc>
      </w:tr>
      <w:tr w:rsidR="001002C3" w:rsidRPr="007122AB" w14:paraId="6F8AEEEE" w14:textId="77777777">
        <w:tc>
          <w:tcPr>
            <w:tcW w:w="1024" w:type="dxa"/>
          </w:tcPr>
          <w:p w14:paraId="50A75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4A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E8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D27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AB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1BE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BD57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C27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поплавках.</w:t>
            </w:r>
          </w:p>
        </w:tc>
      </w:tr>
      <w:tr w:rsidR="001002C3" w:rsidRPr="007122AB" w14:paraId="159980CF" w14:textId="77777777">
        <w:tc>
          <w:tcPr>
            <w:tcW w:w="1024" w:type="dxa"/>
          </w:tcPr>
          <w:p w14:paraId="3FFD1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5FF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BAB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B87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28F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B1FB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1424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D013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4036ADB7" w14:textId="77777777">
        <w:tc>
          <w:tcPr>
            <w:tcW w:w="1024" w:type="dxa"/>
          </w:tcPr>
          <w:p w14:paraId="3CEF35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МДР2-2БМВVI</w:t>
            </w:r>
          </w:p>
        </w:tc>
        <w:tc>
          <w:tcPr>
            <w:tcW w:w="1024" w:type="dxa"/>
          </w:tcPr>
          <w:p w14:paraId="3FE55B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ном. 118</w:t>
            </w:r>
          </w:p>
        </w:tc>
        <w:tc>
          <w:tcPr>
            <w:tcW w:w="1024" w:type="dxa"/>
          </w:tcPr>
          <w:p w14:paraId="5D0566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39,75 м/</w:t>
            </w:r>
          </w:p>
        </w:tc>
        <w:tc>
          <w:tcPr>
            <w:tcW w:w="1024" w:type="dxa"/>
          </w:tcPr>
          <w:p w14:paraId="33325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3330</w:t>
            </w:r>
          </w:p>
        </w:tc>
        <w:tc>
          <w:tcPr>
            <w:tcW w:w="1024" w:type="dxa"/>
          </w:tcPr>
          <w:p w14:paraId="2D2BD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06417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w:t>
            </w:r>
          </w:p>
        </w:tc>
        <w:tc>
          <w:tcPr>
            <w:tcW w:w="1024" w:type="dxa"/>
          </w:tcPr>
          <w:p w14:paraId="19B59A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w:t>
            </w:r>
          </w:p>
        </w:tc>
        <w:tc>
          <w:tcPr>
            <w:tcW w:w="3430" w:type="dxa"/>
          </w:tcPr>
          <w:p w14:paraId="66FAD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 новыми поплавками большего</w:t>
            </w:r>
          </w:p>
        </w:tc>
      </w:tr>
      <w:tr w:rsidR="001002C3" w:rsidRPr="007122AB" w14:paraId="79C2B798" w14:textId="77777777">
        <w:tc>
          <w:tcPr>
            <w:tcW w:w="1024" w:type="dxa"/>
          </w:tcPr>
          <w:p w14:paraId="0CB32D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926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834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10E0D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68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в</w:t>
            </w:r>
          </w:p>
        </w:tc>
        <w:tc>
          <w:tcPr>
            <w:tcW w:w="1024" w:type="dxa"/>
          </w:tcPr>
          <w:p w14:paraId="17D285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C93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34A00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водоизмещения готов к испытаниям.</w:t>
            </w:r>
          </w:p>
        </w:tc>
      </w:tr>
      <w:tr w:rsidR="001002C3" w:rsidRPr="007122AB" w14:paraId="312C7648" w14:textId="77777777">
        <w:tc>
          <w:tcPr>
            <w:tcW w:w="1024" w:type="dxa"/>
          </w:tcPr>
          <w:p w14:paraId="3E0A2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13C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51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66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BED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4DAB98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1D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0753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к серийной постройке в 1932 году</w:t>
            </w:r>
          </w:p>
        </w:tc>
      </w:tr>
      <w:tr w:rsidR="001002C3" w:rsidRPr="007122AB" w14:paraId="5686B811" w14:textId="77777777">
        <w:tc>
          <w:tcPr>
            <w:tcW w:w="1024" w:type="dxa"/>
          </w:tcPr>
          <w:p w14:paraId="11C27C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76F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DF7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0E2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10F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перегруз.</w:t>
            </w:r>
          </w:p>
        </w:tc>
        <w:tc>
          <w:tcPr>
            <w:tcW w:w="1024" w:type="dxa"/>
          </w:tcPr>
          <w:p w14:paraId="30221F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2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7C09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планом не предусмотрен ввиду </w:t>
            </w:r>
          </w:p>
        </w:tc>
      </w:tr>
      <w:tr w:rsidR="001002C3" w:rsidRPr="007122AB" w14:paraId="5D8E497D" w14:textId="77777777">
        <w:tc>
          <w:tcPr>
            <w:tcW w:w="1024" w:type="dxa"/>
          </w:tcPr>
          <w:p w14:paraId="095042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8E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15B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F1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9A8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4х250 или</w:t>
            </w:r>
          </w:p>
        </w:tc>
        <w:tc>
          <w:tcPr>
            <w:tcW w:w="1024" w:type="dxa"/>
          </w:tcPr>
          <w:p w14:paraId="6B46F1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A5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1653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неудовлетворения его данных </w:t>
            </w:r>
            <w:proofErr w:type="spellStart"/>
            <w:r w:rsidRPr="007122AB">
              <w:rPr>
                <w:rFonts w:ascii="Times New Roman" w:hAnsi="Times New Roman"/>
                <w:color w:val="000000" w:themeColor="text1"/>
                <w:sz w:val="16"/>
                <w:szCs w:val="16"/>
              </w:rPr>
              <w:t>техтребов</w:t>
            </w:r>
            <w:proofErr w:type="spellEnd"/>
            <w:r w:rsidRPr="007122AB">
              <w:rPr>
                <w:rFonts w:ascii="Times New Roman" w:hAnsi="Times New Roman"/>
                <w:color w:val="000000" w:themeColor="text1"/>
                <w:sz w:val="16"/>
                <w:szCs w:val="16"/>
              </w:rPr>
              <w:t>.</w:t>
            </w:r>
          </w:p>
        </w:tc>
      </w:tr>
      <w:tr w:rsidR="001002C3" w:rsidRPr="007122AB" w14:paraId="17962C48" w14:textId="77777777">
        <w:tc>
          <w:tcPr>
            <w:tcW w:w="1024" w:type="dxa"/>
          </w:tcPr>
          <w:p w14:paraId="36A62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524F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E77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A91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CE2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2х250 и</w:t>
            </w:r>
          </w:p>
        </w:tc>
        <w:tc>
          <w:tcPr>
            <w:tcW w:w="1024" w:type="dxa"/>
          </w:tcPr>
          <w:p w14:paraId="0CA94D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86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92A3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предъявленным к МДР штабом РККА и </w:t>
            </w:r>
          </w:p>
        </w:tc>
      </w:tr>
      <w:tr w:rsidR="001002C3" w:rsidRPr="007122AB" w14:paraId="6B67442C" w14:textId="77777777">
        <w:tc>
          <w:tcPr>
            <w:tcW w:w="1024" w:type="dxa"/>
          </w:tcPr>
          <w:p w14:paraId="772D79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90E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058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069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AE2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4х100</w:t>
            </w:r>
          </w:p>
        </w:tc>
        <w:tc>
          <w:tcPr>
            <w:tcW w:w="1024" w:type="dxa"/>
          </w:tcPr>
          <w:p w14:paraId="2950D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CE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624E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ориентировки на самолет МДР3-4М17.</w:t>
            </w:r>
          </w:p>
        </w:tc>
      </w:tr>
      <w:tr w:rsidR="001002C3" w:rsidRPr="007122AB" w14:paraId="1C04B75C" w14:textId="77777777">
        <w:tc>
          <w:tcPr>
            <w:tcW w:w="1024" w:type="dxa"/>
          </w:tcPr>
          <w:p w14:paraId="73AF3C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DBB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2056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4D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5D4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DD71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D7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155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10565E4F" w14:textId="77777777">
        <w:tc>
          <w:tcPr>
            <w:tcW w:w="1024" w:type="dxa"/>
          </w:tcPr>
          <w:p w14:paraId="7BFB14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МДР1-2БМВVI</w:t>
            </w:r>
          </w:p>
        </w:tc>
        <w:tc>
          <w:tcPr>
            <w:tcW w:w="1024" w:type="dxa"/>
          </w:tcPr>
          <w:p w14:paraId="6A40B3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32/3000</w:t>
            </w:r>
          </w:p>
        </w:tc>
        <w:tc>
          <w:tcPr>
            <w:tcW w:w="1024" w:type="dxa"/>
          </w:tcPr>
          <w:p w14:paraId="4F31E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6BF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Отсутсвует</w:t>
            </w:r>
            <w:proofErr w:type="spellEnd"/>
          </w:p>
        </w:tc>
        <w:tc>
          <w:tcPr>
            <w:tcW w:w="1024" w:type="dxa"/>
          </w:tcPr>
          <w:p w14:paraId="02D9C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024" w:type="dxa"/>
          </w:tcPr>
          <w:p w14:paraId="78F934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идет вне плана ЦКБ. Срок </w:t>
            </w:r>
            <w:proofErr w:type="spellStart"/>
            <w:r w:rsidRPr="007122AB">
              <w:rPr>
                <w:rFonts w:ascii="Times New Roman" w:hAnsi="Times New Roman"/>
                <w:color w:val="000000" w:themeColor="text1"/>
                <w:sz w:val="16"/>
                <w:szCs w:val="16"/>
              </w:rPr>
              <w:t>окончан</w:t>
            </w:r>
            <w:proofErr w:type="spellEnd"/>
            <w:r w:rsidRPr="007122AB">
              <w:rPr>
                <w:rFonts w:ascii="Times New Roman" w:hAnsi="Times New Roman"/>
                <w:color w:val="000000" w:themeColor="text1"/>
                <w:sz w:val="16"/>
                <w:szCs w:val="16"/>
              </w:rPr>
              <w:t>.</w:t>
            </w:r>
          </w:p>
        </w:tc>
        <w:tc>
          <w:tcPr>
            <w:tcW w:w="1024" w:type="dxa"/>
          </w:tcPr>
          <w:p w14:paraId="0B6DE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827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E551216" w14:textId="77777777">
        <w:tc>
          <w:tcPr>
            <w:tcW w:w="1024" w:type="dxa"/>
          </w:tcPr>
          <w:p w14:paraId="5C6CB8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171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9D6C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69EB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07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AF60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09DD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1B942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производстве ориентировочно 1 февраля</w:t>
            </w:r>
          </w:p>
        </w:tc>
      </w:tr>
      <w:tr w:rsidR="001002C3" w:rsidRPr="007122AB" w14:paraId="63FA9F23" w14:textId="77777777">
        <w:tc>
          <w:tcPr>
            <w:tcW w:w="1024" w:type="dxa"/>
          </w:tcPr>
          <w:p w14:paraId="40A38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A134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64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6A1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52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2DC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13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7D4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года.</w:t>
            </w:r>
          </w:p>
        </w:tc>
      </w:tr>
      <w:tr w:rsidR="001002C3" w:rsidRPr="007122AB" w14:paraId="774E6263" w14:textId="77777777">
        <w:tc>
          <w:tcPr>
            <w:tcW w:w="1024" w:type="dxa"/>
          </w:tcPr>
          <w:p w14:paraId="20B7EE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D47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D2E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BC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970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FD6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75F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5B4A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6BB66614" w14:textId="77777777">
        <w:tc>
          <w:tcPr>
            <w:tcW w:w="1024" w:type="dxa"/>
          </w:tcPr>
          <w:p w14:paraId="15215F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МУ3-М11</w:t>
            </w:r>
          </w:p>
        </w:tc>
        <w:tc>
          <w:tcPr>
            <w:tcW w:w="1024" w:type="dxa"/>
          </w:tcPr>
          <w:p w14:paraId="3C4F50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w:t>
            </w:r>
          </w:p>
        </w:tc>
        <w:tc>
          <w:tcPr>
            <w:tcW w:w="1024" w:type="dxa"/>
          </w:tcPr>
          <w:p w14:paraId="49D3C2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c>
          <w:tcPr>
            <w:tcW w:w="1024" w:type="dxa"/>
          </w:tcPr>
          <w:p w14:paraId="5BCEA0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20F05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42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11A58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w:t>
            </w:r>
          </w:p>
        </w:tc>
        <w:tc>
          <w:tcPr>
            <w:tcW w:w="3430" w:type="dxa"/>
          </w:tcPr>
          <w:p w14:paraId="1709B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готов и проходит в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w:t>
            </w:r>
          </w:p>
        </w:tc>
      </w:tr>
      <w:tr w:rsidR="001002C3" w:rsidRPr="007122AB" w14:paraId="65EEAFC5" w14:textId="77777777">
        <w:tc>
          <w:tcPr>
            <w:tcW w:w="1024" w:type="dxa"/>
          </w:tcPr>
          <w:p w14:paraId="4F7704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256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3D227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A52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13E5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376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1024" w:type="dxa"/>
          </w:tcPr>
          <w:p w14:paraId="7CF24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75C6C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заводские испытания в Ленинграде. Затем</w:t>
            </w:r>
          </w:p>
        </w:tc>
      </w:tr>
      <w:tr w:rsidR="001002C3" w:rsidRPr="007122AB" w14:paraId="79014172" w14:textId="77777777">
        <w:tc>
          <w:tcPr>
            <w:tcW w:w="1024" w:type="dxa"/>
          </w:tcPr>
          <w:p w14:paraId="10D9F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C86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2A3B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B2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36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3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10C1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E33F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будет </w:t>
            </w:r>
            <w:proofErr w:type="spellStart"/>
            <w:r w:rsidRPr="007122AB">
              <w:rPr>
                <w:rFonts w:ascii="Times New Roman" w:hAnsi="Times New Roman"/>
                <w:color w:val="000000" w:themeColor="text1"/>
                <w:sz w:val="16"/>
                <w:szCs w:val="16"/>
              </w:rPr>
              <w:t>напрален</w:t>
            </w:r>
            <w:proofErr w:type="spellEnd"/>
            <w:r w:rsidRPr="007122AB">
              <w:rPr>
                <w:rFonts w:ascii="Times New Roman" w:hAnsi="Times New Roman"/>
                <w:color w:val="000000" w:themeColor="text1"/>
                <w:sz w:val="16"/>
                <w:szCs w:val="16"/>
              </w:rPr>
              <w:t xml:space="preserve"> на гос. испытания в</w:t>
            </w:r>
          </w:p>
        </w:tc>
      </w:tr>
      <w:tr w:rsidR="001002C3" w:rsidRPr="007122AB" w14:paraId="3A46E2E9" w14:textId="77777777">
        <w:tc>
          <w:tcPr>
            <w:tcW w:w="1024" w:type="dxa"/>
          </w:tcPr>
          <w:p w14:paraId="40389A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9152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7F3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051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ACD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68E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8EB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322F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Севастополь в Морской отдел НИИ.</w:t>
            </w:r>
          </w:p>
        </w:tc>
      </w:tr>
      <w:tr w:rsidR="001002C3" w:rsidRPr="007122AB" w14:paraId="733F9733" w14:textId="77777777">
        <w:tc>
          <w:tcPr>
            <w:tcW w:w="1024" w:type="dxa"/>
          </w:tcPr>
          <w:p w14:paraId="4C7BE5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2420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FD1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EF37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8C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6D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FD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92DD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опаздывает на </w:t>
            </w:r>
            <w:proofErr w:type="spellStart"/>
            <w:r w:rsidRPr="007122AB">
              <w:rPr>
                <w:rFonts w:ascii="Times New Roman" w:hAnsi="Times New Roman"/>
                <w:color w:val="000000" w:themeColor="text1"/>
                <w:sz w:val="16"/>
                <w:szCs w:val="16"/>
              </w:rPr>
              <w:t>госисипытания</w:t>
            </w:r>
            <w:proofErr w:type="spellEnd"/>
          </w:p>
        </w:tc>
      </w:tr>
      <w:tr w:rsidR="001002C3" w:rsidRPr="007122AB" w14:paraId="073B95D8" w14:textId="77777777">
        <w:tc>
          <w:tcPr>
            <w:tcW w:w="1024" w:type="dxa"/>
          </w:tcPr>
          <w:p w14:paraId="699878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F47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13C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28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2B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CC3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B2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1E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примерно на 6-6,5 месяцев.</w:t>
            </w:r>
          </w:p>
        </w:tc>
      </w:tr>
      <w:tr w:rsidR="001002C3" w:rsidRPr="007122AB" w14:paraId="27E0DBE7" w14:textId="77777777">
        <w:tc>
          <w:tcPr>
            <w:tcW w:w="1024" w:type="dxa"/>
          </w:tcPr>
          <w:p w14:paraId="13F03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053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B882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30D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D4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62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8DC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F8C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Украинцев.</w:t>
            </w:r>
          </w:p>
        </w:tc>
      </w:tr>
      <w:tr w:rsidR="001002C3" w:rsidRPr="007122AB" w14:paraId="40408619" w14:textId="77777777">
        <w:tc>
          <w:tcPr>
            <w:tcW w:w="1024" w:type="dxa"/>
          </w:tcPr>
          <w:p w14:paraId="7860F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А1-М11</w:t>
            </w:r>
          </w:p>
        </w:tc>
        <w:tc>
          <w:tcPr>
            <w:tcW w:w="1024" w:type="dxa"/>
          </w:tcPr>
          <w:p w14:paraId="39FD18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146/137/</w:t>
            </w:r>
          </w:p>
        </w:tc>
        <w:tc>
          <w:tcPr>
            <w:tcW w:w="1024" w:type="dxa"/>
          </w:tcPr>
          <w:p w14:paraId="3D9A0F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33/50,5/</w:t>
            </w:r>
          </w:p>
        </w:tc>
        <w:tc>
          <w:tcPr>
            <w:tcW w:w="1024" w:type="dxa"/>
          </w:tcPr>
          <w:p w14:paraId="5A5261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3680/</w:t>
            </w:r>
          </w:p>
        </w:tc>
        <w:tc>
          <w:tcPr>
            <w:tcW w:w="1024" w:type="dxa"/>
          </w:tcPr>
          <w:p w14:paraId="25711D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w:t>
            </w:r>
          </w:p>
        </w:tc>
        <w:tc>
          <w:tcPr>
            <w:tcW w:w="1024" w:type="dxa"/>
          </w:tcPr>
          <w:p w14:paraId="7F76E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0F4BBB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5197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сведениях указаны данные гос. испытаний</w:t>
            </w:r>
          </w:p>
        </w:tc>
      </w:tr>
      <w:tr w:rsidR="001002C3" w:rsidRPr="007122AB" w14:paraId="411A52EC" w14:textId="77777777">
        <w:tc>
          <w:tcPr>
            <w:tcW w:w="1024" w:type="dxa"/>
          </w:tcPr>
          <w:p w14:paraId="066547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6D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2EA342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484061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w:t>
            </w:r>
          </w:p>
        </w:tc>
        <w:tc>
          <w:tcPr>
            <w:tcW w:w="1024" w:type="dxa"/>
          </w:tcPr>
          <w:p w14:paraId="68DAD0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7A0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час.</w:t>
            </w:r>
          </w:p>
        </w:tc>
        <w:tc>
          <w:tcPr>
            <w:tcW w:w="1024" w:type="dxa"/>
          </w:tcPr>
          <w:p w14:paraId="3C6187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9E1F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НИИ ВОГВФ. УВВС предполагает </w:t>
            </w:r>
          </w:p>
        </w:tc>
      </w:tr>
      <w:tr w:rsidR="001002C3" w:rsidRPr="007122AB" w14:paraId="45247D62" w14:textId="77777777">
        <w:tc>
          <w:tcPr>
            <w:tcW w:w="1024" w:type="dxa"/>
          </w:tcPr>
          <w:p w14:paraId="29EC04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DF0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5A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243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712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258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D2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DB0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использование А1-М11 в качестве </w:t>
            </w:r>
            <w:proofErr w:type="spellStart"/>
            <w:r w:rsidRPr="007122AB">
              <w:rPr>
                <w:rFonts w:ascii="Times New Roman" w:hAnsi="Times New Roman"/>
                <w:color w:val="000000" w:themeColor="text1"/>
                <w:sz w:val="16"/>
                <w:szCs w:val="16"/>
              </w:rPr>
              <w:t>корабельн</w:t>
            </w:r>
            <w:proofErr w:type="spellEnd"/>
            <w:r w:rsidRPr="007122AB">
              <w:rPr>
                <w:rFonts w:ascii="Times New Roman" w:hAnsi="Times New Roman"/>
                <w:color w:val="000000" w:themeColor="text1"/>
                <w:sz w:val="16"/>
                <w:szCs w:val="16"/>
              </w:rPr>
              <w:t>.</w:t>
            </w:r>
          </w:p>
        </w:tc>
      </w:tr>
      <w:tr w:rsidR="001002C3" w:rsidRPr="007122AB" w14:paraId="59557109" w14:textId="77777777">
        <w:tc>
          <w:tcPr>
            <w:tcW w:w="1024" w:type="dxa"/>
          </w:tcPr>
          <w:p w14:paraId="23EAE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313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B9D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642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375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3E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73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6CA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разведчика-корректировщика на лидерах</w:t>
            </w:r>
          </w:p>
        </w:tc>
      </w:tr>
      <w:tr w:rsidR="001002C3" w:rsidRPr="007122AB" w14:paraId="1A8B335A" w14:textId="77777777">
        <w:tc>
          <w:tcPr>
            <w:tcW w:w="1024" w:type="dxa"/>
          </w:tcPr>
          <w:p w14:paraId="3DDE4A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9B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C28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07B6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0F6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45E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D1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093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эсминцах. Морской отдел НИИ ВВС </w:t>
            </w:r>
          </w:p>
        </w:tc>
      </w:tr>
      <w:tr w:rsidR="001002C3" w:rsidRPr="007122AB" w14:paraId="7D4F6178" w14:textId="77777777">
        <w:tc>
          <w:tcPr>
            <w:tcW w:w="1024" w:type="dxa"/>
          </w:tcPr>
          <w:p w14:paraId="693DB1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00F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15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ACF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056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8FAD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F8D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911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считает невозможным использование в</w:t>
            </w:r>
          </w:p>
        </w:tc>
      </w:tr>
      <w:tr w:rsidR="001002C3" w:rsidRPr="007122AB" w14:paraId="1F308598" w14:textId="77777777">
        <w:tc>
          <w:tcPr>
            <w:tcW w:w="1024" w:type="dxa"/>
          </w:tcPr>
          <w:p w14:paraId="695B32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30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BB5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D70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F1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FA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474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4E7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качестве разведчика-корректировщика, т.к.</w:t>
            </w:r>
          </w:p>
        </w:tc>
      </w:tr>
      <w:tr w:rsidR="001002C3" w:rsidRPr="007122AB" w14:paraId="52BB82C1" w14:textId="77777777">
        <w:tc>
          <w:tcPr>
            <w:tcW w:w="1024" w:type="dxa"/>
          </w:tcPr>
          <w:p w14:paraId="2381DA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54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6E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7F1C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0E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642B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5E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23D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ни по своим данным, ни по </w:t>
            </w:r>
          </w:p>
        </w:tc>
      </w:tr>
      <w:tr w:rsidR="001002C3" w:rsidRPr="007122AB" w14:paraId="7F2FB657" w14:textId="77777777">
        <w:tc>
          <w:tcPr>
            <w:tcW w:w="1024" w:type="dxa"/>
          </w:tcPr>
          <w:p w14:paraId="7E9409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3935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3C5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B354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CD71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9C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78E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A69F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непроработанности своего вооружения для</w:t>
            </w:r>
          </w:p>
        </w:tc>
      </w:tr>
      <w:tr w:rsidR="001002C3" w:rsidRPr="007122AB" w14:paraId="44E5EC11" w14:textId="77777777">
        <w:tc>
          <w:tcPr>
            <w:tcW w:w="1024" w:type="dxa"/>
          </w:tcPr>
          <w:p w14:paraId="64732F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173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B2D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BFA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343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DC4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62D8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2956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этих целей самолет не подходит.</w:t>
            </w:r>
          </w:p>
        </w:tc>
      </w:tr>
      <w:tr w:rsidR="001002C3" w:rsidRPr="007122AB" w14:paraId="7BF8DF9F" w14:textId="77777777">
        <w:tc>
          <w:tcPr>
            <w:tcW w:w="1024" w:type="dxa"/>
          </w:tcPr>
          <w:p w14:paraId="439E1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A35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155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787C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63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523D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0347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E01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N 23 готовит второй экземпляр</w:t>
            </w:r>
          </w:p>
        </w:tc>
      </w:tr>
      <w:tr w:rsidR="001002C3" w:rsidRPr="007122AB" w14:paraId="082491CD" w14:textId="77777777">
        <w:tc>
          <w:tcPr>
            <w:tcW w:w="1024" w:type="dxa"/>
          </w:tcPr>
          <w:p w14:paraId="15A7C5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C51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2B6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37B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F02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53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F58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B1B9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А1-М11 для гос. испытаний НИИ ВВС. С-лет</w:t>
            </w:r>
          </w:p>
        </w:tc>
      </w:tr>
      <w:tr w:rsidR="001002C3" w:rsidRPr="007122AB" w14:paraId="0880688B" w14:textId="77777777">
        <w:tc>
          <w:tcPr>
            <w:tcW w:w="1024" w:type="dxa"/>
          </w:tcPr>
          <w:p w14:paraId="7DFA2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8B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9C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9CE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E7CF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C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1C2D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159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будет готов к 1 февраля 1931 года.</w:t>
            </w:r>
          </w:p>
        </w:tc>
      </w:tr>
      <w:tr w:rsidR="001002C3" w:rsidRPr="007122AB" w14:paraId="4B33181C" w14:textId="77777777">
        <w:tc>
          <w:tcPr>
            <w:tcW w:w="1024" w:type="dxa"/>
          </w:tcPr>
          <w:p w14:paraId="41373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8E5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796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B7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74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9B71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96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8054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Украинцев.</w:t>
            </w:r>
          </w:p>
        </w:tc>
      </w:tr>
      <w:tr w:rsidR="001002C3" w:rsidRPr="007122AB" w14:paraId="7DD98C13" w14:textId="77777777">
        <w:tc>
          <w:tcPr>
            <w:tcW w:w="1024" w:type="dxa"/>
          </w:tcPr>
          <w:p w14:paraId="0230CD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МТБ1-2БМВVI</w:t>
            </w:r>
          </w:p>
        </w:tc>
        <w:tc>
          <w:tcPr>
            <w:tcW w:w="1024" w:type="dxa"/>
          </w:tcPr>
          <w:p w14:paraId="254C6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170/180/</w:t>
            </w:r>
          </w:p>
        </w:tc>
        <w:tc>
          <w:tcPr>
            <w:tcW w:w="1024" w:type="dxa"/>
          </w:tcPr>
          <w:p w14:paraId="7F469C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w:t>
            </w:r>
          </w:p>
        </w:tc>
        <w:tc>
          <w:tcPr>
            <w:tcW w:w="1024" w:type="dxa"/>
          </w:tcPr>
          <w:p w14:paraId="52E49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024" w:type="dxa"/>
          </w:tcPr>
          <w:p w14:paraId="26BFB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2312F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продол</w:t>
            </w:r>
            <w:proofErr w:type="spellEnd"/>
            <w:r w:rsidRPr="007122AB">
              <w:rPr>
                <w:rFonts w:ascii="Times New Roman" w:hAnsi="Times New Roman"/>
                <w:color w:val="000000" w:themeColor="text1"/>
                <w:sz w:val="16"/>
                <w:szCs w:val="16"/>
              </w:rPr>
              <w:t>.</w:t>
            </w:r>
          </w:p>
        </w:tc>
        <w:tc>
          <w:tcPr>
            <w:tcW w:w="1024" w:type="dxa"/>
          </w:tcPr>
          <w:p w14:paraId="28924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нояб</w:t>
            </w:r>
            <w:proofErr w:type="spellEnd"/>
            <w:r w:rsidRPr="007122AB">
              <w:rPr>
                <w:rFonts w:ascii="Times New Roman" w:hAnsi="Times New Roman"/>
                <w:color w:val="000000" w:themeColor="text1"/>
                <w:sz w:val="16"/>
                <w:szCs w:val="16"/>
              </w:rPr>
              <w:t>.</w:t>
            </w:r>
          </w:p>
        </w:tc>
        <w:tc>
          <w:tcPr>
            <w:tcW w:w="3430" w:type="dxa"/>
          </w:tcPr>
          <w:p w14:paraId="0EF23B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с 1 января по наст. </w:t>
            </w:r>
            <w:proofErr w:type="spellStart"/>
            <w:r w:rsidRPr="007122AB">
              <w:rPr>
                <w:rFonts w:ascii="Times New Roman" w:hAnsi="Times New Roman"/>
                <w:color w:val="000000" w:themeColor="text1"/>
                <w:sz w:val="16"/>
                <w:szCs w:val="16"/>
              </w:rPr>
              <w:t>вр</w:t>
            </w:r>
            <w:proofErr w:type="spellEnd"/>
            <w:r w:rsidRPr="007122AB">
              <w:rPr>
                <w:rFonts w:ascii="Times New Roman" w:hAnsi="Times New Roman"/>
                <w:color w:val="000000" w:themeColor="text1"/>
                <w:sz w:val="16"/>
                <w:szCs w:val="16"/>
              </w:rPr>
              <w:t>. находится</w:t>
            </w:r>
          </w:p>
        </w:tc>
      </w:tr>
      <w:tr w:rsidR="001002C3" w:rsidRPr="007122AB" w14:paraId="3B798730" w14:textId="77777777">
        <w:tc>
          <w:tcPr>
            <w:tcW w:w="1024" w:type="dxa"/>
          </w:tcPr>
          <w:p w14:paraId="1DDFC1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829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1024" w:type="dxa"/>
          </w:tcPr>
          <w:p w14:paraId="502ED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06DC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1024" w:type="dxa"/>
          </w:tcPr>
          <w:p w14:paraId="7DB6C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торпед.</w:t>
            </w:r>
          </w:p>
        </w:tc>
        <w:tc>
          <w:tcPr>
            <w:tcW w:w="1024" w:type="dxa"/>
          </w:tcPr>
          <w:p w14:paraId="682EBB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полета</w:t>
            </w:r>
          </w:p>
        </w:tc>
        <w:tc>
          <w:tcPr>
            <w:tcW w:w="1024" w:type="dxa"/>
          </w:tcPr>
          <w:p w14:paraId="63DB86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 г.</w:t>
            </w:r>
          </w:p>
        </w:tc>
        <w:tc>
          <w:tcPr>
            <w:tcW w:w="3430" w:type="dxa"/>
          </w:tcPr>
          <w:p w14:paraId="77D4D8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заводских испытаниях и доводках</w:t>
            </w:r>
          </w:p>
        </w:tc>
      </w:tr>
      <w:tr w:rsidR="001002C3" w:rsidRPr="007122AB" w14:paraId="1CC705F9" w14:textId="77777777">
        <w:tc>
          <w:tcPr>
            <w:tcW w:w="1024" w:type="dxa"/>
          </w:tcPr>
          <w:p w14:paraId="40441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230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C36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2E48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6E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6584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час.</w:t>
            </w:r>
          </w:p>
        </w:tc>
        <w:tc>
          <w:tcPr>
            <w:tcW w:w="1024" w:type="dxa"/>
          </w:tcPr>
          <w:p w14:paraId="6B916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7D7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конструкции в Севастополе.</w:t>
            </w:r>
          </w:p>
        </w:tc>
      </w:tr>
      <w:tr w:rsidR="001002C3" w:rsidRPr="007122AB" w14:paraId="1EA73EF9" w14:textId="77777777">
        <w:tc>
          <w:tcPr>
            <w:tcW w:w="1024" w:type="dxa"/>
          </w:tcPr>
          <w:p w14:paraId="1A3CE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1B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C43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7D6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6C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343F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A5D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5D34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Кудрявцев.</w:t>
            </w:r>
          </w:p>
        </w:tc>
      </w:tr>
      <w:tr w:rsidR="001002C3" w:rsidRPr="007122AB" w14:paraId="01F4B34D" w14:textId="77777777">
        <w:tc>
          <w:tcPr>
            <w:tcW w:w="1024" w:type="dxa"/>
          </w:tcPr>
          <w:p w14:paraId="112798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МБР2-БМВVI</w:t>
            </w:r>
          </w:p>
        </w:tc>
        <w:tc>
          <w:tcPr>
            <w:tcW w:w="1024" w:type="dxa"/>
          </w:tcPr>
          <w:p w14:paraId="37224D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24" w:type="dxa"/>
          </w:tcPr>
          <w:p w14:paraId="3A0906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15"-50"/</w:t>
            </w:r>
          </w:p>
        </w:tc>
        <w:tc>
          <w:tcPr>
            <w:tcW w:w="1024" w:type="dxa"/>
          </w:tcPr>
          <w:p w14:paraId="07514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024" w:type="dxa"/>
          </w:tcPr>
          <w:p w14:paraId="552355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пулем</w:t>
            </w:r>
            <w:proofErr w:type="spellEnd"/>
            <w:r w:rsidRPr="007122AB">
              <w:rPr>
                <w:rFonts w:ascii="Times New Roman" w:hAnsi="Times New Roman"/>
                <w:color w:val="000000" w:themeColor="text1"/>
                <w:sz w:val="16"/>
                <w:szCs w:val="16"/>
              </w:rPr>
              <w:t>.</w:t>
            </w:r>
          </w:p>
        </w:tc>
        <w:tc>
          <w:tcPr>
            <w:tcW w:w="1024" w:type="dxa"/>
          </w:tcPr>
          <w:p w14:paraId="479870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1024" w:type="dxa"/>
          </w:tcPr>
          <w:p w14:paraId="3E22C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w:t>
            </w:r>
          </w:p>
        </w:tc>
        <w:tc>
          <w:tcPr>
            <w:tcW w:w="3430" w:type="dxa"/>
          </w:tcPr>
          <w:p w14:paraId="587E5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находится в производстве завода</w:t>
            </w:r>
          </w:p>
        </w:tc>
      </w:tr>
      <w:tr w:rsidR="001002C3" w:rsidRPr="007122AB" w14:paraId="1A230C47" w14:textId="77777777">
        <w:tc>
          <w:tcPr>
            <w:tcW w:w="1024" w:type="dxa"/>
          </w:tcPr>
          <w:p w14:paraId="238F55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CE4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20172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024" w:type="dxa"/>
          </w:tcPr>
          <w:p w14:paraId="345A00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56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за</w:t>
            </w:r>
          </w:p>
        </w:tc>
        <w:tc>
          <w:tcPr>
            <w:tcW w:w="1024" w:type="dxa"/>
          </w:tcPr>
          <w:p w14:paraId="5F9E4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75D0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w:t>
            </w:r>
          </w:p>
        </w:tc>
        <w:tc>
          <w:tcPr>
            <w:tcW w:w="3430" w:type="dxa"/>
          </w:tcPr>
          <w:p w14:paraId="00D8D9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N 39. Самолет будет закончен в пр-ве</w:t>
            </w:r>
          </w:p>
        </w:tc>
      </w:tr>
      <w:tr w:rsidR="001002C3" w:rsidRPr="007122AB" w14:paraId="209BA374" w14:textId="77777777">
        <w:tc>
          <w:tcPr>
            <w:tcW w:w="1024" w:type="dxa"/>
          </w:tcPr>
          <w:p w14:paraId="4D9AB8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712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BA5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9EF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D68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счет</w:t>
            </w:r>
          </w:p>
        </w:tc>
        <w:tc>
          <w:tcPr>
            <w:tcW w:w="1024" w:type="dxa"/>
          </w:tcPr>
          <w:p w14:paraId="4C2EE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5ED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926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октября 1931 года, на гос. испытания</w:t>
            </w:r>
          </w:p>
        </w:tc>
      </w:tr>
      <w:tr w:rsidR="001002C3" w:rsidRPr="007122AB" w14:paraId="1B2BB58F" w14:textId="77777777">
        <w:tc>
          <w:tcPr>
            <w:tcW w:w="1024" w:type="dxa"/>
          </w:tcPr>
          <w:p w14:paraId="0DDA6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C78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435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A2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1E4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1024" w:type="dxa"/>
          </w:tcPr>
          <w:p w14:paraId="7D2AF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40D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E63F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поступит вероятно 20 ноября 1931 года.</w:t>
            </w:r>
          </w:p>
        </w:tc>
      </w:tr>
      <w:tr w:rsidR="001002C3" w:rsidRPr="007122AB" w14:paraId="24A1A4CD" w14:textId="77777777">
        <w:tc>
          <w:tcPr>
            <w:tcW w:w="1024" w:type="dxa"/>
          </w:tcPr>
          <w:p w14:paraId="76E0E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0A9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B08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FCB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0C0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E1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F555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E4DA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Опоздание на 4,5 месяца.</w:t>
            </w:r>
          </w:p>
        </w:tc>
      </w:tr>
      <w:tr w:rsidR="001002C3" w:rsidRPr="007122AB" w14:paraId="6F365CC3" w14:textId="77777777">
        <w:tc>
          <w:tcPr>
            <w:tcW w:w="1024" w:type="dxa"/>
          </w:tcPr>
          <w:p w14:paraId="683C0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EBB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44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BE8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E011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7C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38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72C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Волков.</w:t>
            </w:r>
          </w:p>
        </w:tc>
      </w:tr>
      <w:tr w:rsidR="001002C3" w:rsidRPr="007122AB" w14:paraId="0178CFF8" w14:textId="77777777">
        <w:tc>
          <w:tcPr>
            <w:tcW w:w="1024" w:type="dxa"/>
          </w:tcPr>
          <w:p w14:paraId="1391A8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МБР3-2М22</w:t>
            </w:r>
          </w:p>
        </w:tc>
        <w:tc>
          <w:tcPr>
            <w:tcW w:w="1024" w:type="dxa"/>
          </w:tcPr>
          <w:p w14:paraId="55F9A2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E728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03E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67C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E0B1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CE0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36EE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НИИ ВВС поступил эскизный проект на</w:t>
            </w:r>
          </w:p>
        </w:tc>
      </w:tr>
      <w:tr w:rsidR="001002C3" w:rsidRPr="007122AB" w14:paraId="3597A4D6" w14:textId="77777777">
        <w:tc>
          <w:tcPr>
            <w:tcW w:w="1024" w:type="dxa"/>
          </w:tcPr>
          <w:p w14:paraId="12CF1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A738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05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AB8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90E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920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E51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08A4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заключение. </w:t>
            </w:r>
          </w:p>
        </w:tc>
      </w:tr>
      <w:tr w:rsidR="001002C3" w:rsidRPr="007122AB" w14:paraId="33C26C1F" w14:textId="77777777">
        <w:tc>
          <w:tcPr>
            <w:tcW w:w="1024" w:type="dxa"/>
          </w:tcPr>
          <w:p w14:paraId="159B8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8B88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E35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C0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817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E0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3EE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3517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Волков.</w:t>
            </w:r>
          </w:p>
        </w:tc>
      </w:tr>
      <w:tr w:rsidR="001002C3" w:rsidRPr="007122AB" w14:paraId="093B18CA" w14:textId="77777777">
        <w:tc>
          <w:tcPr>
            <w:tcW w:w="1024" w:type="dxa"/>
          </w:tcPr>
          <w:p w14:paraId="44BABA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МУ2-М11</w:t>
            </w:r>
          </w:p>
        </w:tc>
        <w:tc>
          <w:tcPr>
            <w:tcW w:w="1024" w:type="dxa"/>
          </w:tcPr>
          <w:p w14:paraId="4A9D2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FF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BF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CB27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538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64D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0642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закончил ремонт и мотор перебран.</w:t>
            </w:r>
          </w:p>
        </w:tc>
      </w:tr>
      <w:tr w:rsidR="001002C3" w:rsidRPr="007122AB" w14:paraId="343CF62D" w14:textId="77777777">
        <w:tc>
          <w:tcPr>
            <w:tcW w:w="1024" w:type="dxa"/>
          </w:tcPr>
          <w:p w14:paraId="3B32C5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C95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BA6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2248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AC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C6E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773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D1B5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поступил на мореходное испытан.</w:t>
            </w:r>
          </w:p>
        </w:tc>
      </w:tr>
      <w:tr w:rsidR="001002C3" w:rsidRPr="007122AB" w14:paraId="3F926D3E" w14:textId="77777777">
        <w:tc>
          <w:tcPr>
            <w:tcW w:w="1024" w:type="dxa"/>
          </w:tcPr>
          <w:p w14:paraId="21BCF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180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FE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377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BAC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5B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3050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9D6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второго варианта поплавков в морской </w:t>
            </w:r>
          </w:p>
        </w:tc>
      </w:tr>
      <w:tr w:rsidR="001002C3" w:rsidRPr="007122AB" w14:paraId="3F6C799B" w14:textId="77777777">
        <w:tc>
          <w:tcPr>
            <w:tcW w:w="1024" w:type="dxa"/>
          </w:tcPr>
          <w:p w14:paraId="6F75A7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84F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CC97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FFC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3B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3D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06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053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отряд НИИ. После окончания испытания</w:t>
            </w:r>
          </w:p>
        </w:tc>
      </w:tr>
      <w:tr w:rsidR="001002C3" w:rsidRPr="007122AB" w14:paraId="42FE445A" w14:textId="77777777">
        <w:tc>
          <w:tcPr>
            <w:tcW w:w="1024" w:type="dxa"/>
          </w:tcPr>
          <w:p w14:paraId="3F81F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D41D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9C7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458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6A6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4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3E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6F61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поплавков самолет будет передан для </w:t>
            </w:r>
          </w:p>
        </w:tc>
      </w:tr>
      <w:tr w:rsidR="001002C3" w:rsidRPr="007122AB" w14:paraId="53083288" w14:textId="77777777">
        <w:tc>
          <w:tcPr>
            <w:tcW w:w="1024" w:type="dxa"/>
          </w:tcPr>
          <w:p w14:paraId="2F90F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E3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43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87C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47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E9B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27E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4CBD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эксплоатационных</w:t>
            </w:r>
            <w:proofErr w:type="spellEnd"/>
            <w:r w:rsidRPr="007122AB">
              <w:rPr>
                <w:rFonts w:ascii="Times New Roman" w:hAnsi="Times New Roman"/>
                <w:color w:val="000000" w:themeColor="text1"/>
                <w:sz w:val="16"/>
                <w:szCs w:val="16"/>
              </w:rPr>
              <w:t xml:space="preserve"> испытаний в школу</w:t>
            </w:r>
          </w:p>
        </w:tc>
      </w:tr>
      <w:tr w:rsidR="001002C3" w:rsidRPr="007122AB" w14:paraId="28878AF3" w14:textId="77777777">
        <w:tc>
          <w:tcPr>
            <w:tcW w:w="1024" w:type="dxa"/>
          </w:tcPr>
          <w:p w14:paraId="7C875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89F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F1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22A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55C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D60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6D74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2214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морских летчиков в г. Ейск.</w:t>
            </w:r>
          </w:p>
        </w:tc>
      </w:tr>
      <w:tr w:rsidR="001002C3" w:rsidRPr="007122AB" w14:paraId="6AD704CA" w14:textId="77777777">
        <w:tc>
          <w:tcPr>
            <w:tcW w:w="1024" w:type="dxa"/>
          </w:tcPr>
          <w:p w14:paraId="72EA6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186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3F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E52C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77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3D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A44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5F9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Украинцев.</w:t>
            </w:r>
          </w:p>
        </w:tc>
      </w:tr>
    </w:tbl>
    <w:p w14:paraId="55DF9A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(3029,20-28).</w:t>
      </w:r>
    </w:p>
    <w:p w14:paraId="7E3F36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1B76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октября 1931 года зам. начальника НИИ ВВС Аузан писал письмо № 453/489сс Ворошилову</w:t>
      </w:r>
    </w:p>
    <w:p w14:paraId="6AA0620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Доклад о состоянии работ по опытному </w:t>
      </w:r>
      <w:proofErr w:type="spellStart"/>
      <w:r w:rsidRPr="007122AB">
        <w:rPr>
          <w:rFonts w:ascii="Times New Roman" w:hAnsi="Times New Roman"/>
          <w:color w:val="000000" w:themeColor="text1"/>
          <w:sz w:val="16"/>
          <w:szCs w:val="16"/>
        </w:rPr>
        <w:t>моторо</w:t>
      </w:r>
      <w:proofErr w:type="spellEnd"/>
      <w:r w:rsidRPr="007122AB">
        <w:rPr>
          <w:rFonts w:ascii="Times New Roman" w:hAnsi="Times New Roman"/>
          <w:color w:val="000000" w:themeColor="text1"/>
          <w:sz w:val="16"/>
          <w:szCs w:val="16"/>
        </w:rPr>
        <w:t xml:space="preserve"> и самолетостроению на 1 октября 1931 года (6919).</w:t>
      </w:r>
    </w:p>
    <w:p w14:paraId="25DDA01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7122AB" w14:paraId="7BABD348" w14:textId="77777777">
        <w:tc>
          <w:tcPr>
            <w:tcW w:w="3024" w:type="dxa"/>
          </w:tcPr>
          <w:p w14:paraId="4252EA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01FDAB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М-15</w:t>
            </w:r>
          </w:p>
        </w:tc>
      </w:tr>
      <w:tr w:rsidR="001002C3" w:rsidRPr="007122AB" w14:paraId="046D0B53" w14:textId="77777777">
        <w:tc>
          <w:tcPr>
            <w:tcW w:w="3024" w:type="dxa"/>
          </w:tcPr>
          <w:p w14:paraId="09D569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5B486C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08E82F48" w14:textId="77777777">
        <w:tc>
          <w:tcPr>
            <w:tcW w:w="3024" w:type="dxa"/>
          </w:tcPr>
          <w:p w14:paraId="6658143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5C0D64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r>
      <w:tr w:rsidR="001002C3" w:rsidRPr="007122AB" w14:paraId="741E1204" w14:textId="77777777">
        <w:tc>
          <w:tcPr>
            <w:tcW w:w="3024" w:type="dxa"/>
          </w:tcPr>
          <w:p w14:paraId="4E6A89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6835D4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r>
      <w:tr w:rsidR="001002C3" w:rsidRPr="007122AB" w14:paraId="6BFFEA5D" w14:textId="77777777">
        <w:tc>
          <w:tcPr>
            <w:tcW w:w="3024" w:type="dxa"/>
          </w:tcPr>
          <w:p w14:paraId="40A61C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3F9902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года</w:t>
            </w:r>
          </w:p>
        </w:tc>
      </w:tr>
      <w:tr w:rsidR="001002C3" w:rsidRPr="007122AB" w14:paraId="6D0871F1" w14:textId="77777777">
        <w:tc>
          <w:tcPr>
            <w:tcW w:w="3024" w:type="dxa"/>
          </w:tcPr>
          <w:p w14:paraId="53CEE3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309E0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Находится в серийном производстве. Изготовляемые заводом № 24 моторы передаются в ГВФ. Мотор до сего времени на гос. испытания не предъявлен. Отделом мотор в настоящее время ставится на станок для проведения сравнительных 100-часовых испытаний с мотором М-22 целиком из русских материалов.</w:t>
            </w:r>
          </w:p>
        </w:tc>
      </w:tr>
      <w:tr w:rsidR="001002C3" w:rsidRPr="007122AB" w14:paraId="00285D23" w14:textId="77777777">
        <w:tc>
          <w:tcPr>
            <w:tcW w:w="3024" w:type="dxa"/>
          </w:tcPr>
          <w:p w14:paraId="780821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6AF2D0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 бомбардировщиков ФЭД-3</w:t>
            </w:r>
          </w:p>
        </w:tc>
      </w:tr>
      <w:tr w:rsidR="001002C3" w:rsidRPr="007122AB" w14:paraId="625DF751" w14:textId="77777777">
        <w:tc>
          <w:tcPr>
            <w:tcW w:w="3024" w:type="dxa"/>
          </w:tcPr>
          <w:p w14:paraId="2789A9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673E76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ВАО</w:t>
            </w:r>
          </w:p>
        </w:tc>
      </w:tr>
      <w:tr w:rsidR="001002C3" w:rsidRPr="007122AB" w14:paraId="15673C32" w14:textId="77777777">
        <w:tc>
          <w:tcPr>
            <w:tcW w:w="3024" w:type="dxa"/>
          </w:tcPr>
          <w:p w14:paraId="49E5C3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0E8167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0F49E735" w14:textId="77777777">
        <w:tc>
          <w:tcPr>
            <w:tcW w:w="3024" w:type="dxa"/>
          </w:tcPr>
          <w:p w14:paraId="347D02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3ADEC5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03F8FB7A" w14:textId="77777777">
        <w:tc>
          <w:tcPr>
            <w:tcW w:w="3024" w:type="dxa"/>
          </w:tcPr>
          <w:p w14:paraId="21379D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6DA592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мая 1931 года</w:t>
            </w:r>
          </w:p>
        </w:tc>
      </w:tr>
      <w:tr w:rsidR="001002C3" w:rsidRPr="007122AB" w14:paraId="45E6869A" w14:textId="77777777">
        <w:tc>
          <w:tcPr>
            <w:tcW w:w="3024" w:type="dxa"/>
          </w:tcPr>
          <w:p w14:paraId="01D417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0A646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прошел гос. испытания неудовлетворительно. НИИ ВВС признано целесообразным построить экспериментальную серию на предмет изучения и устранения дефектов и испытаний моторов на самолетах. Мотор в производство запущен.</w:t>
            </w:r>
          </w:p>
        </w:tc>
      </w:tr>
      <w:tr w:rsidR="001002C3" w:rsidRPr="007122AB" w14:paraId="3AA483E0" w14:textId="77777777">
        <w:tc>
          <w:tcPr>
            <w:tcW w:w="3024" w:type="dxa"/>
          </w:tcPr>
          <w:p w14:paraId="37C695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Наименование мотора</w:t>
            </w:r>
          </w:p>
        </w:tc>
        <w:tc>
          <w:tcPr>
            <w:tcW w:w="7574" w:type="dxa"/>
          </w:tcPr>
          <w:p w14:paraId="5861CA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М-32</w:t>
            </w:r>
          </w:p>
        </w:tc>
      </w:tr>
      <w:tr w:rsidR="001002C3" w:rsidRPr="007122AB" w14:paraId="04B1D5F3" w14:textId="77777777">
        <w:tc>
          <w:tcPr>
            <w:tcW w:w="3024" w:type="dxa"/>
          </w:tcPr>
          <w:p w14:paraId="5463FD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1B00B1C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16C9EED2" w14:textId="77777777">
        <w:tc>
          <w:tcPr>
            <w:tcW w:w="3024" w:type="dxa"/>
          </w:tcPr>
          <w:p w14:paraId="356981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2BA93E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521103C0" w14:textId="77777777">
        <w:tc>
          <w:tcPr>
            <w:tcW w:w="3024" w:type="dxa"/>
          </w:tcPr>
          <w:p w14:paraId="5BDBA5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1477C6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77AD0775" w14:textId="77777777">
        <w:tc>
          <w:tcPr>
            <w:tcW w:w="3024" w:type="dxa"/>
          </w:tcPr>
          <w:p w14:paraId="71C9BF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63C781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1932 года</w:t>
            </w:r>
          </w:p>
        </w:tc>
      </w:tr>
      <w:tr w:rsidR="001002C3" w:rsidRPr="007122AB" w14:paraId="3F609FB8" w14:textId="77777777">
        <w:tc>
          <w:tcPr>
            <w:tcW w:w="3024" w:type="dxa"/>
          </w:tcPr>
          <w:p w14:paraId="44041C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CCAE92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 компоновка мотора в чертежах окончена. В настоящее время ведется разработка рабочих чертежей.</w:t>
            </w:r>
          </w:p>
        </w:tc>
      </w:tr>
      <w:tr w:rsidR="001002C3" w:rsidRPr="007122AB" w14:paraId="3EF8BC1B" w14:textId="77777777">
        <w:tc>
          <w:tcPr>
            <w:tcW w:w="3024" w:type="dxa"/>
          </w:tcPr>
          <w:p w14:paraId="78DC22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3018B5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истребителей М-38</w:t>
            </w:r>
          </w:p>
        </w:tc>
      </w:tr>
      <w:tr w:rsidR="001002C3" w:rsidRPr="007122AB" w14:paraId="6ADC3343" w14:textId="77777777">
        <w:tc>
          <w:tcPr>
            <w:tcW w:w="3024" w:type="dxa"/>
          </w:tcPr>
          <w:p w14:paraId="67553D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4C1C0AE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5272360D" w14:textId="77777777">
        <w:tc>
          <w:tcPr>
            <w:tcW w:w="3024" w:type="dxa"/>
          </w:tcPr>
          <w:p w14:paraId="1CA773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5EFE07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r>
      <w:tr w:rsidR="001002C3" w:rsidRPr="007122AB" w14:paraId="701907DB" w14:textId="77777777">
        <w:tc>
          <w:tcPr>
            <w:tcW w:w="3024" w:type="dxa"/>
          </w:tcPr>
          <w:p w14:paraId="029083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7D097D4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5B7677BF" w14:textId="77777777">
        <w:tc>
          <w:tcPr>
            <w:tcW w:w="3024" w:type="dxa"/>
          </w:tcPr>
          <w:p w14:paraId="0B4F4A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7BE356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марта 1932 года</w:t>
            </w:r>
          </w:p>
        </w:tc>
      </w:tr>
      <w:tr w:rsidR="001002C3" w:rsidRPr="007122AB" w14:paraId="21DA9612" w14:textId="77777777">
        <w:tc>
          <w:tcPr>
            <w:tcW w:w="3024" w:type="dxa"/>
          </w:tcPr>
          <w:p w14:paraId="6ADCBB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310EDA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Общая компоновка мотора окончена. Полученные по подсчетам данные мотора не соответствуют техническим требованиям ВВС. </w:t>
            </w:r>
            <w:proofErr w:type="spellStart"/>
            <w:r w:rsidRPr="007122AB">
              <w:rPr>
                <w:rFonts w:ascii="Times New Roman" w:hAnsi="Times New Roman"/>
                <w:color w:val="000000" w:themeColor="text1"/>
                <w:sz w:val="16"/>
                <w:szCs w:val="16"/>
              </w:rPr>
              <w:t>ИАМу</w:t>
            </w:r>
            <w:proofErr w:type="spellEnd"/>
            <w:r w:rsidRPr="007122AB">
              <w:rPr>
                <w:rFonts w:ascii="Times New Roman" w:hAnsi="Times New Roman"/>
                <w:color w:val="000000" w:themeColor="text1"/>
                <w:sz w:val="16"/>
                <w:szCs w:val="16"/>
              </w:rPr>
              <w:t xml:space="preserve"> указано, что мотор по этим данным не может заменить М-38 и что постановление РВС должно быть выполнено точно и в срок. Что же касается запроектированного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мотора, он может быть последним построен исключительно как тип переходный в целях конструирования.</w:t>
            </w:r>
          </w:p>
        </w:tc>
      </w:tr>
      <w:tr w:rsidR="001002C3" w:rsidRPr="007122AB" w14:paraId="46671E20" w14:textId="77777777">
        <w:tc>
          <w:tcPr>
            <w:tcW w:w="3024" w:type="dxa"/>
          </w:tcPr>
          <w:p w14:paraId="59BBE3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18245F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 бомбардировщиков М-44</w:t>
            </w:r>
          </w:p>
        </w:tc>
      </w:tr>
      <w:tr w:rsidR="001002C3" w:rsidRPr="007122AB" w14:paraId="2212B9F4" w14:textId="77777777">
        <w:tc>
          <w:tcPr>
            <w:tcW w:w="3024" w:type="dxa"/>
          </w:tcPr>
          <w:p w14:paraId="7CFB7F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57563A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1538458D" w14:textId="77777777">
        <w:tc>
          <w:tcPr>
            <w:tcW w:w="3024" w:type="dxa"/>
          </w:tcPr>
          <w:p w14:paraId="43748C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693444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6762C2EB" w14:textId="77777777">
        <w:tc>
          <w:tcPr>
            <w:tcW w:w="3024" w:type="dxa"/>
          </w:tcPr>
          <w:p w14:paraId="2AD0EC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2C1CC9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227326BD" w14:textId="77777777">
        <w:tc>
          <w:tcPr>
            <w:tcW w:w="3024" w:type="dxa"/>
          </w:tcPr>
          <w:p w14:paraId="52DCA3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757B9E4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1932 года</w:t>
            </w:r>
          </w:p>
        </w:tc>
      </w:tr>
      <w:tr w:rsidR="001002C3" w:rsidRPr="007122AB" w14:paraId="24D84260" w14:textId="77777777">
        <w:tc>
          <w:tcPr>
            <w:tcW w:w="3024" w:type="dxa"/>
          </w:tcPr>
          <w:p w14:paraId="36A1F5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7E5BDA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Проектирование мотора окончено. Рабочие чертежи переданы в производство. В связи с загрузкой завода </w:t>
            </w:r>
            <w:proofErr w:type="spellStart"/>
            <w:r w:rsidRPr="007122AB">
              <w:rPr>
                <w:rFonts w:ascii="Times New Roman" w:hAnsi="Times New Roman"/>
                <w:color w:val="000000" w:themeColor="text1"/>
                <w:sz w:val="16"/>
                <w:szCs w:val="16"/>
              </w:rPr>
              <w:t>ИАМа</w:t>
            </w:r>
            <w:proofErr w:type="spellEnd"/>
            <w:r w:rsidRPr="007122AB">
              <w:rPr>
                <w:rFonts w:ascii="Times New Roman" w:hAnsi="Times New Roman"/>
                <w:color w:val="000000" w:themeColor="text1"/>
                <w:sz w:val="16"/>
                <w:szCs w:val="16"/>
              </w:rPr>
              <w:t xml:space="preserve"> мотором М-34, работа по мотору М-44 отнесена к второочередной.</w:t>
            </w:r>
          </w:p>
        </w:tc>
      </w:tr>
      <w:tr w:rsidR="001002C3" w:rsidRPr="007122AB" w14:paraId="7CFC8D61" w14:textId="77777777">
        <w:tc>
          <w:tcPr>
            <w:tcW w:w="3024" w:type="dxa"/>
          </w:tcPr>
          <w:p w14:paraId="177713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4E2859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тяжелых бомбардировщиков М-35</w:t>
            </w:r>
          </w:p>
        </w:tc>
      </w:tr>
      <w:tr w:rsidR="001002C3" w:rsidRPr="007122AB" w14:paraId="3CF7DE96" w14:textId="77777777">
        <w:tc>
          <w:tcPr>
            <w:tcW w:w="3024" w:type="dxa"/>
          </w:tcPr>
          <w:p w14:paraId="7FC8C5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543CD6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695A1848" w14:textId="77777777">
        <w:tc>
          <w:tcPr>
            <w:tcW w:w="3024" w:type="dxa"/>
          </w:tcPr>
          <w:p w14:paraId="0C22FA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34F300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5D8CEA6A" w14:textId="77777777">
        <w:tc>
          <w:tcPr>
            <w:tcW w:w="3024" w:type="dxa"/>
          </w:tcPr>
          <w:p w14:paraId="406277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1C9D67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1250-1500</w:t>
            </w:r>
          </w:p>
        </w:tc>
      </w:tr>
      <w:tr w:rsidR="001002C3" w:rsidRPr="007122AB" w14:paraId="2EE59D47" w14:textId="77777777">
        <w:tc>
          <w:tcPr>
            <w:tcW w:w="3024" w:type="dxa"/>
          </w:tcPr>
          <w:p w14:paraId="0209CB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4CBDF8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9BB105" w14:textId="77777777">
        <w:tc>
          <w:tcPr>
            <w:tcW w:w="3024" w:type="dxa"/>
          </w:tcPr>
          <w:p w14:paraId="39CF84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91F2A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начнется после гос. испытаний мотора М-34</w:t>
            </w:r>
          </w:p>
        </w:tc>
      </w:tr>
      <w:tr w:rsidR="001002C3" w:rsidRPr="007122AB" w14:paraId="4AB06261" w14:textId="77777777">
        <w:tc>
          <w:tcPr>
            <w:tcW w:w="3024" w:type="dxa"/>
          </w:tcPr>
          <w:p w14:paraId="4EE2F7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7435B0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разведчика М-34</w:t>
            </w:r>
          </w:p>
        </w:tc>
      </w:tr>
      <w:tr w:rsidR="001002C3" w:rsidRPr="007122AB" w14:paraId="444DBB49" w14:textId="77777777">
        <w:tc>
          <w:tcPr>
            <w:tcW w:w="3024" w:type="dxa"/>
          </w:tcPr>
          <w:p w14:paraId="6BBAF3C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w:t>
            </w:r>
          </w:p>
        </w:tc>
        <w:tc>
          <w:tcPr>
            <w:tcW w:w="7574" w:type="dxa"/>
          </w:tcPr>
          <w:p w14:paraId="7E2749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ИАМ</w:t>
            </w:r>
          </w:p>
        </w:tc>
      </w:tr>
      <w:tr w:rsidR="001002C3" w:rsidRPr="007122AB" w14:paraId="66419291" w14:textId="77777777">
        <w:tc>
          <w:tcPr>
            <w:tcW w:w="3024" w:type="dxa"/>
          </w:tcPr>
          <w:p w14:paraId="7516B3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7574" w:type="dxa"/>
          </w:tcPr>
          <w:p w14:paraId="02F759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r>
      <w:tr w:rsidR="001002C3" w:rsidRPr="007122AB" w14:paraId="57BC5AFD" w14:textId="77777777">
        <w:tc>
          <w:tcPr>
            <w:tcW w:w="3024" w:type="dxa"/>
          </w:tcPr>
          <w:p w14:paraId="7CA0AA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tc>
        <w:tc>
          <w:tcPr>
            <w:tcW w:w="7574" w:type="dxa"/>
          </w:tcPr>
          <w:p w14:paraId="3AC2A1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750-900</w:t>
            </w:r>
          </w:p>
        </w:tc>
      </w:tr>
      <w:tr w:rsidR="001002C3" w:rsidRPr="007122AB" w14:paraId="002E8552" w14:textId="77777777">
        <w:tc>
          <w:tcPr>
            <w:tcW w:w="3024" w:type="dxa"/>
          </w:tcPr>
          <w:p w14:paraId="6FFB81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Новый срок представления на гос. испытания</w:t>
            </w:r>
          </w:p>
        </w:tc>
        <w:tc>
          <w:tcPr>
            <w:tcW w:w="7574" w:type="dxa"/>
          </w:tcPr>
          <w:p w14:paraId="1EAA23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года</w:t>
            </w:r>
          </w:p>
        </w:tc>
      </w:tr>
      <w:tr w:rsidR="001002C3" w:rsidRPr="007122AB" w14:paraId="76F0E472" w14:textId="77777777">
        <w:tc>
          <w:tcPr>
            <w:tcW w:w="3024" w:type="dxa"/>
          </w:tcPr>
          <w:p w14:paraId="13BD38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D2BDE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предъявлен на гос. испытания с пониженными против технических требований ВВС данными. </w:t>
            </w:r>
            <w:proofErr w:type="spellStart"/>
            <w:r w:rsidRPr="007122AB">
              <w:rPr>
                <w:rFonts w:ascii="Times New Roman" w:hAnsi="Times New Roman"/>
                <w:color w:val="000000" w:themeColor="text1"/>
                <w:sz w:val="16"/>
                <w:szCs w:val="16"/>
              </w:rPr>
              <w:t>Микрометраж</w:t>
            </w:r>
            <w:proofErr w:type="spellEnd"/>
            <w:r w:rsidRPr="007122AB">
              <w:rPr>
                <w:rFonts w:ascii="Times New Roman" w:hAnsi="Times New Roman"/>
                <w:color w:val="000000" w:themeColor="text1"/>
                <w:sz w:val="16"/>
                <w:szCs w:val="16"/>
              </w:rPr>
              <w:t xml:space="preserve"> мотора проведен и он ставится на станок для проведения 100 часовых испытаний. Изготовлено 3 образца.</w:t>
            </w:r>
          </w:p>
        </w:tc>
      </w:tr>
      <w:tr w:rsidR="001002C3" w:rsidRPr="007122AB" w14:paraId="4711B947" w14:textId="77777777">
        <w:tc>
          <w:tcPr>
            <w:tcW w:w="3024" w:type="dxa"/>
          </w:tcPr>
          <w:p w14:paraId="1278E7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мотора</w:t>
            </w:r>
          </w:p>
        </w:tc>
        <w:tc>
          <w:tcPr>
            <w:tcW w:w="7574" w:type="dxa"/>
          </w:tcPr>
          <w:p w14:paraId="434848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Нефтяные моторы</w:t>
            </w:r>
          </w:p>
        </w:tc>
      </w:tr>
      <w:tr w:rsidR="001002C3" w:rsidRPr="007122AB" w14:paraId="6253531A" w14:textId="77777777">
        <w:tc>
          <w:tcPr>
            <w:tcW w:w="3024" w:type="dxa"/>
          </w:tcPr>
          <w:p w14:paraId="0DFDB8C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9A677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ведутся экспериментальные работы по одноцилиндровым установкам. 4 установки заканчиваются производством. Отдел нефтяных двигателей приступает к проектированию 600-сильного мотора водяного охлаждения. По линии Всесоюзного дизельного института спроектирован </w:t>
            </w:r>
            <w:proofErr w:type="spellStart"/>
            <w:r w:rsidRPr="007122AB">
              <w:rPr>
                <w:rFonts w:ascii="Times New Roman" w:hAnsi="Times New Roman"/>
                <w:color w:val="000000" w:themeColor="text1"/>
                <w:sz w:val="16"/>
                <w:szCs w:val="16"/>
              </w:rPr>
              <w:t>авиадизель</w:t>
            </w:r>
            <w:proofErr w:type="spellEnd"/>
            <w:r w:rsidRPr="007122AB">
              <w:rPr>
                <w:rFonts w:ascii="Times New Roman" w:hAnsi="Times New Roman"/>
                <w:color w:val="000000" w:themeColor="text1"/>
                <w:sz w:val="16"/>
                <w:szCs w:val="16"/>
              </w:rPr>
              <w:t xml:space="preserve"> 1000 л.с. Техническое совещание, рассмотревшее проект, признало необходимым внести ряд конструктивных изменений. Задания по дизелю Паккард 220 НР </w:t>
            </w:r>
            <w:proofErr w:type="spellStart"/>
            <w:r w:rsidRPr="007122AB">
              <w:rPr>
                <w:rFonts w:ascii="Times New Roman" w:hAnsi="Times New Roman"/>
                <w:color w:val="000000" w:themeColor="text1"/>
                <w:sz w:val="16"/>
                <w:szCs w:val="16"/>
              </w:rPr>
              <w:t>ИАМом</w:t>
            </w:r>
            <w:proofErr w:type="spellEnd"/>
            <w:r w:rsidRPr="007122AB">
              <w:rPr>
                <w:rFonts w:ascii="Times New Roman" w:hAnsi="Times New Roman"/>
                <w:color w:val="000000" w:themeColor="text1"/>
                <w:sz w:val="16"/>
                <w:szCs w:val="16"/>
              </w:rPr>
              <w:t xml:space="preserve"> не выполнены и к работам до настоящего времени не приступлено.</w:t>
            </w:r>
          </w:p>
        </w:tc>
      </w:tr>
    </w:tbl>
    <w:p w14:paraId="31A7F9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7122AB" w14:paraId="7D8CA6BA" w14:textId="77777777">
        <w:tc>
          <w:tcPr>
            <w:tcW w:w="3024" w:type="dxa"/>
          </w:tcPr>
          <w:p w14:paraId="14174F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5D46BB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r>
      <w:tr w:rsidR="001002C3" w:rsidRPr="007122AB" w14:paraId="59F1FC80" w14:textId="77777777">
        <w:tc>
          <w:tcPr>
            <w:tcW w:w="3024" w:type="dxa"/>
          </w:tcPr>
          <w:p w14:paraId="17E536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4F6467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FEA7A4A" w14:textId="77777777">
        <w:tc>
          <w:tcPr>
            <w:tcW w:w="3024" w:type="dxa"/>
          </w:tcPr>
          <w:p w14:paraId="3370AB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0472B7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F7C328B" w14:textId="77777777">
        <w:tc>
          <w:tcPr>
            <w:tcW w:w="3024" w:type="dxa"/>
          </w:tcPr>
          <w:p w14:paraId="2162382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501137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0F747F6D" w14:textId="77777777">
        <w:tc>
          <w:tcPr>
            <w:tcW w:w="3024" w:type="dxa"/>
          </w:tcPr>
          <w:p w14:paraId="1AABE4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4F6E97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пулеметов</w:t>
            </w:r>
          </w:p>
          <w:p w14:paraId="60BEBC7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w:t>
            </w:r>
          </w:p>
          <w:p w14:paraId="105106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перегрузкой 25% 6000 кг бомб</w:t>
            </w:r>
          </w:p>
        </w:tc>
      </w:tr>
      <w:tr w:rsidR="001002C3" w:rsidRPr="007122AB" w14:paraId="18D63DDB" w14:textId="77777777">
        <w:tc>
          <w:tcPr>
            <w:tcW w:w="3024" w:type="dxa"/>
          </w:tcPr>
          <w:p w14:paraId="034941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2C5A21F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r>
      <w:tr w:rsidR="001002C3" w:rsidRPr="007122AB" w14:paraId="33DEA9A0" w14:textId="77777777">
        <w:tc>
          <w:tcPr>
            <w:tcW w:w="3024" w:type="dxa"/>
          </w:tcPr>
          <w:p w14:paraId="6E0FB0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6AED7CE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15832D35" w14:textId="77777777">
        <w:tc>
          <w:tcPr>
            <w:tcW w:w="3024" w:type="dxa"/>
          </w:tcPr>
          <w:p w14:paraId="001E400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38A61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РВС от 5 августа 1931 года срок представления самолета с шестью моторами М-34 на гос. испытания отсрочен до 1 мая 1932 года. В настоящее время ЦАГИ проводит сборку крыльев, фюзеляжа, оперения. К установленному времени подачи моторов (начало февраля) самолет может быть почти достроен, благодаря чему срок его выпуска на аэродром целиком определится готовностью моторов М-34.</w:t>
            </w:r>
          </w:p>
          <w:p w14:paraId="0EC183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директивой зам. председателя РВС о сокращении числа типов опытных самолетов является целесообразным снять с ОКБ стальной вариант ТБ-4 с уменьшенной площадью крыльев для форсирования постройки более тяжелых бомбовозов.</w:t>
            </w:r>
          </w:p>
          <w:p w14:paraId="30DFD1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42E21849" w14:textId="77777777">
        <w:tc>
          <w:tcPr>
            <w:tcW w:w="3024" w:type="dxa"/>
          </w:tcPr>
          <w:p w14:paraId="646A11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543CFD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ТБ5-4ЮVI</w:t>
            </w:r>
          </w:p>
        </w:tc>
      </w:tr>
      <w:tr w:rsidR="001002C3" w:rsidRPr="007122AB" w14:paraId="2D5F7CF6" w14:textId="77777777">
        <w:tc>
          <w:tcPr>
            <w:tcW w:w="3024" w:type="dxa"/>
          </w:tcPr>
          <w:p w14:paraId="76CA8EC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53D4FF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208/3000</w:t>
            </w:r>
          </w:p>
        </w:tc>
      </w:tr>
      <w:tr w:rsidR="001002C3" w:rsidRPr="007122AB" w14:paraId="776996A5" w14:textId="77777777">
        <w:tc>
          <w:tcPr>
            <w:tcW w:w="3024" w:type="dxa"/>
          </w:tcPr>
          <w:p w14:paraId="4349A9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7BE767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19/3000</w:t>
            </w:r>
          </w:p>
        </w:tc>
      </w:tr>
      <w:tr w:rsidR="001002C3" w:rsidRPr="007122AB" w14:paraId="43A04298" w14:textId="77777777">
        <w:tc>
          <w:tcPr>
            <w:tcW w:w="3024" w:type="dxa"/>
          </w:tcPr>
          <w:p w14:paraId="28C51C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2CF164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4EBC1396" w14:textId="77777777">
        <w:tc>
          <w:tcPr>
            <w:tcW w:w="3024" w:type="dxa"/>
          </w:tcPr>
          <w:p w14:paraId="76279C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68A81DC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 пулеметов</w:t>
            </w:r>
          </w:p>
          <w:p w14:paraId="148BD0B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кг бомб</w:t>
            </w:r>
          </w:p>
          <w:p w14:paraId="52D19E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перегрузкой и за счет горючего 4000 кг бомб</w:t>
            </w:r>
          </w:p>
        </w:tc>
      </w:tr>
      <w:tr w:rsidR="001002C3" w:rsidRPr="007122AB" w14:paraId="79A3AF40" w14:textId="77777777">
        <w:tc>
          <w:tcPr>
            <w:tcW w:w="3024" w:type="dxa"/>
          </w:tcPr>
          <w:p w14:paraId="20483A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0DEDDF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769842F8" w14:textId="77777777">
        <w:tc>
          <w:tcPr>
            <w:tcW w:w="3024" w:type="dxa"/>
          </w:tcPr>
          <w:p w14:paraId="178719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34DF53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6AD076D8" w14:textId="77777777">
        <w:tc>
          <w:tcPr>
            <w:tcW w:w="3024" w:type="dxa"/>
          </w:tcPr>
          <w:p w14:paraId="4A4E0B1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F0D74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принято решение самолет с моторами Ю-VI без редуктора на гос. испытания не представлять. Моторы Ю-VI с редуктором заказаны во Франции. Ожидается их получение. Срок передачи на гос. испытания самолета ОКБ не установлен.</w:t>
            </w:r>
          </w:p>
          <w:p w14:paraId="32470D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Наблюдающий инженер Вахмистров.</w:t>
            </w:r>
          </w:p>
        </w:tc>
      </w:tr>
      <w:tr w:rsidR="001002C3" w:rsidRPr="007122AB" w14:paraId="139862AE" w14:textId="77777777">
        <w:tc>
          <w:tcPr>
            <w:tcW w:w="3024" w:type="dxa"/>
          </w:tcPr>
          <w:p w14:paraId="5A6C28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Наименование самолета</w:t>
            </w:r>
          </w:p>
        </w:tc>
        <w:tc>
          <w:tcPr>
            <w:tcW w:w="7574" w:type="dxa"/>
          </w:tcPr>
          <w:p w14:paraId="026C66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МИ3-2хМ34</w:t>
            </w:r>
          </w:p>
        </w:tc>
      </w:tr>
      <w:tr w:rsidR="001002C3" w:rsidRPr="007122AB" w14:paraId="1B6A2C25" w14:textId="77777777">
        <w:tc>
          <w:tcPr>
            <w:tcW w:w="3024" w:type="dxa"/>
          </w:tcPr>
          <w:p w14:paraId="580E65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3B5DE0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300/3000-6000</w:t>
            </w:r>
          </w:p>
        </w:tc>
      </w:tr>
      <w:tr w:rsidR="001002C3" w:rsidRPr="007122AB" w14:paraId="768C3E0C" w14:textId="77777777">
        <w:tc>
          <w:tcPr>
            <w:tcW w:w="3024" w:type="dxa"/>
          </w:tcPr>
          <w:p w14:paraId="532C48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64F3C2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13/5000</w:t>
            </w:r>
          </w:p>
        </w:tc>
      </w:tr>
      <w:tr w:rsidR="001002C3" w:rsidRPr="007122AB" w14:paraId="299F70FB" w14:textId="77777777">
        <w:tc>
          <w:tcPr>
            <w:tcW w:w="3024" w:type="dxa"/>
          </w:tcPr>
          <w:p w14:paraId="7D353F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7EE170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7000-8000</w:t>
            </w:r>
          </w:p>
        </w:tc>
      </w:tr>
      <w:tr w:rsidR="001002C3" w:rsidRPr="007122AB" w14:paraId="4177DF3C" w14:textId="77777777">
        <w:tc>
          <w:tcPr>
            <w:tcW w:w="3024" w:type="dxa"/>
          </w:tcPr>
          <w:p w14:paraId="64BE09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698515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тяжелых пулемета</w:t>
            </w:r>
          </w:p>
          <w:p w14:paraId="319879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легкий пулемет</w:t>
            </w:r>
          </w:p>
        </w:tc>
      </w:tr>
      <w:tr w:rsidR="001002C3" w:rsidRPr="007122AB" w14:paraId="18717B49" w14:textId="77777777">
        <w:tc>
          <w:tcPr>
            <w:tcW w:w="3024" w:type="dxa"/>
          </w:tcPr>
          <w:p w14:paraId="2EBBCB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758C0A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r>
      <w:tr w:rsidR="001002C3" w:rsidRPr="007122AB" w14:paraId="139A4223" w14:textId="77777777">
        <w:tc>
          <w:tcPr>
            <w:tcW w:w="3024" w:type="dxa"/>
          </w:tcPr>
          <w:p w14:paraId="5493711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37675E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1932 года</w:t>
            </w:r>
          </w:p>
        </w:tc>
      </w:tr>
      <w:tr w:rsidR="001002C3" w:rsidRPr="007122AB" w14:paraId="3AB6113E" w14:textId="77777777">
        <w:tc>
          <w:tcPr>
            <w:tcW w:w="3024" w:type="dxa"/>
          </w:tcPr>
          <w:p w14:paraId="1FE804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2F1DC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закончило проектирование и приступило к постройке самолета, которая находится в начальной стадии производства отдельных деталей. Можно ожидать, что срок представления на гос. испытания 1 января 1932 года не будет выдержан как по причине вероятного запаздывания мотора М-34, так и неготовности конструкции самолета.</w:t>
            </w:r>
          </w:p>
          <w:p w14:paraId="339A1F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59B15A60" w14:textId="77777777">
        <w:tc>
          <w:tcPr>
            <w:tcW w:w="3024" w:type="dxa"/>
          </w:tcPr>
          <w:p w14:paraId="75C038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6A40F9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ДИ3-М17</w:t>
            </w:r>
          </w:p>
        </w:tc>
      </w:tr>
      <w:tr w:rsidR="001002C3" w:rsidRPr="007122AB" w14:paraId="5CA4DC75" w14:textId="77777777">
        <w:tc>
          <w:tcPr>
            <w:tcW w:w="3024" w:type="dxa"/>
          </w:tcPr>
          <w:p w14:paraId="03E506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04416AA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212/5000</w:t>
            </w:r>
          </w:p>
        </w:tc>
      </w:tr>
      <w:tr w:rsidR="001002C3" w:rsidRPr="007122AB" w14:paraId="17373D65" w14:textId="77777777">
        <w:tc>
          <w:tcPr>
            <w:tcW w:w="3024" w:type="dxa"/>
          </w:tcPr>
          <w:p w14:paraId="3BAA6E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1454E0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22/5000</w:t>
            </w:r>
          </w:p>
        </w:tc>
      </w:tr>
      <w:tr w:rsidR="001002C3" w:rsidRPr="007122AB" w14:paraId="3D8A729E" w14:textId="77777777">
        <w:tc>
          <w:tcPr>
            <w:tcW w:w="3024" w:type="dxa"/>
          </w:tcPr>
          <w:p w14:paraId="3D3AF9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1A8A0F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156EAFA5" w14:textId="77777777">
        <w:tc>
          <w:tcPr>
            <w:tcW w:w="3024" w:type="dxa"/>
          </w:tcPr>
          <w:p w14:paraId="035BF0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792B83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tc>
      </w:tr>
      <w:tr w:rsidR="001002C3" w:rsidRPr="007122AB" w14:paraId="1E2D691E" w14:textId="77777777">
        <w:tc>
          <w:tcPr>
            <w:tcW w:w="3024" w:type="dxa"/>
          </w:tcPr>
          <w:p w14:paraId="525518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258FF1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250-275</w:t>
            </w:r>
          </w:p>
        </w:tc>
      </w:tr>
      <w:tr w:rsidR="001002C3" w:rsidRPr="007122AB" w14:paraId="651D084F" w14:textId="77777777">
        <w:tc>
          <w:tcPr>
            <w:tcW w:w="3024" w:type="dxa"/>
          </w:tcPr>
          <w:p w14:paraId="4F2676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11903A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февраля 1931 года</w:t>
            </w:r>
          </w:p>
        </w:tc>
      </w:tr>
      <w:tr w:rsidR="001002C3" w:rsidRPr="007122AB" w14:paraId="4B72C36D" w14:textId="77777777">
        <w:tc>
          <w:tcPr>
            <w:tcW w:w="3024" w:type="dxa"/>
          </w:tcPr>
          <w:p w14:paraId="25D4B3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C0308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неудовлетворения </w:t>
            </w:r>
            <w:proofErr w:type="spellStart"/>
            <w:r w:rsidRPr="007122AB">
              <w:rPr>
                <w:rFonts w:ascii="Times New Roman" w:hAnsi="Times New Roman"/>
                <w:color w:val="000000" w:themeColor="text1"/>
                <w:sz w:val="16"/>
                <w:szCs w:val="16"/>
              </w:rPr>
              <w:t>техтребованиям</w:t>
            </w:r>
            <w:proofErr w:type="spellEnd"/>
            <w:r w:rsidRPr="007122AB">
              <w:rPr>
                <w:rFonts w:ascii="Times New Roman" w:hAnsi="Times New Roman"/>
                <w:color w:val="000000" w:themeColor="text1"/>
                <w:sz w:val="16"/>
                <w:szCs w:val="16"/>
              </w:rPr>
              <w:t xml:space="preserve"> в отношении летных данных заместителем председателя РВС Гамарником принято решение самолет на вооружение не принимать.</w:t>
            </w:r>
          </w:p>
        </w:tc>
      </w:tr>
      <w:tr w:rsidR="001002C3" w:rsidRPr="007122AB" w14:paraId="1AAC109A" w14:textId="77777777">
        <w:tc>
          <w:tcPr>
            <w:tcW w:w="3024" w:type="dxa"/>
          </w:tcPr>
          <w:p w14:paraId="0CC010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3F3977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Р8-М27</w:t>
            </w:r>
          </w:p>
        </w:tc>
      </w:tr>
      <w:tr w:rsidR="001002C3" w:rsidRPr="007122AB" w14:paraId="43EA2488" w14:textId="77777777">
        <w:tc>
          <w:tcPr>
            <w:tcW w:w="3024" w:type="dxa"/>
          </w:tcPr>
          <w:p w14:paraId="560596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2F5DFE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245/3000</w:t>
            </w:r>
          </w:p>
        </w:tc>
      </w:tr>
      <w:tr w:rsidR="001002C3" w:rsidRPr="007122AB" w14:paraId="245A0295" w14:textId="77777777">
        <w:tc>
          <w:tcPr>
            <w:tcW w:w="3024" w:type="dxa"/>
          </w:tcPr>
          <w:p w14:paraId="08883D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6DA314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10/3000</w:t>
            </w:r>
          </w:p>
        </w:tc>
      </w:tr>
      <w:tr w:rsidR="001002C3" w:rsidRPr="007122AB" w14:paraId="47F946AC" w14:textId="77777777">
        <w:tc>
          <w:tcPr>
            <w:tcW w:w="3024" w:type="dxa"/>
          </w:tcPr>
          <w:p w14:paraId="2C21CF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281851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r>
      <w:tr w:rsidR="001002C3" w:rsidRPr="007122AB" w14:paraId="6DD79678" w14:textId="77777777">
        <w:tc>
          <w:tcPr>
            <w:tcW w:w="3024" w:type="dxa"/>
          </w:tcPr>
          <w:p w14:paraId="411920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7C01D8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w:t>
            </w:r>
          </w:p>
        </w:tc>
      </w:tr>
      <w:tr w:rsidR="001002C3" w:rsidRPr="007122AB" w14:paraId="10918DFC" w14:textId="77777777">
        <w:tc>
          <w:tcPr>
            <w:tcW w:w="3024" w:type="dxa"/>
          </w:tcPr>
          <w:p w14:paraId="02B47C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6118D4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6FFDC34C" w14:textId="77777777">
        <w:tc>
          <w:tcPr>
            <w:tcW w:w="3024" w:type="dxa"/>
          </w:tcPr>
          <w:p w14:paraId="3B00C4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2789E4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54C44D60" w14:textId="77777777">
        <w:tc>
          <w:tcPr>
            <w:tcW w:w="3024" w:type="dxa"/>
          </w:tcPr>
          <w:p w14:paraId="753A23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27F76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неутверждение боевой схемы самолета со стороны УВВС ОКБ продолжает его постройку, рассматривая самолет как экспериментальный. В настоящее время, т.е. через 5 месяцев после того как самолет должен был выйти на аэродром заканчивается эскизный проект Р8-М27 в схеме приемлемой для ВВС.</w:t>
            </w:r>
          </w:p>
          <w:p w14:paraId="7F0097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6C953191" w14:textId="77777777">
        <w:tc>
          <w:tcPr>
            <w:tcW w:w="3024" w:type="dxa"/>
          </w:tcPr>
          <w:p w14:paraId="09D94D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708655C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Р8-М34</w:t>
            </w:r>
          </w:p>
        </w:tc>
      </w:tr>
      <w:tr w:rsidR="001002C3" w:rsidRPr="007122AB" w14:paraId="6663FF3E" w14:textId="77777777">
        <w:tc>
          <w:tcPr>
            <w:tcW w:w="3024" w:type="dxa"/>
          </w:tcPr>
          <w:p w14:paraId="329B81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12B5E0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250/3000</w:t>
            </w:r>
          </w:p>
        </w:tc>
      </w:tr>
      <w:tr w:rsidR="001002C3" w:rsidRPr="007122AB" w14:paraId="7DBD4E17" w14:textId="77777777">
        <w:tc>
          <w:tcPr>
            <w:tcW w:w="3024" w:type="dxa"/>
          </w:tcPr>
          <w:p w14:paraId="2543E2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385A5D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8/10/3000</w:t>
            </w:r>
          </w:p>
        </w:tc>
      </w:tr>
      <w:tr w:rsidR="001002C3" w:rsidRPr="007122AB" w14:paraId="3320F40C" w14:textId="77777777">
        <w:tc>
          <w:tcPr>
            <w:tcW w:w="3024" w:type="dxa"/>
          </w:tcPr>
          <w:p w14:paraId="6269D2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10B2B6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7000-7500</w:t>
            </w:r>
          </w:p>
        </w:tc>
      </w:tr>
      <w:tr w:rsidR="001002C3" w:rsidRPr="007122AB" w14:paraId="444D5C53" w14:textId="77777777">
        <w:tc>
          <w:tcPr>
            <w:tcW w:w="3024" w:type="dxa"/>
          </w:tcPr>
          <w:p w14:paraId="123F48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20CF1B0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w:t>
            </w:r>
          </w:p>
        </w:tc>
      </w:tr>
      <w:tr w:rsidR="001002C3" w:rsidRPr="007122AB" w14:paraId="65515A47" w14:textId="77777777">
        <w:tc>
          <w:tcPr>
            <w:tcW w:w="3024" w:type="dxa"/>
          </w:tcPr>
          <w:p w14:paraId="66DBA2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12E7E5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650-750</w:t>
            </w:r>
          </w:p>
        </w:tc>
      </w:tr>
      <w:tr w:rsidR="001002C3" w:rsidRPr="007122AB" w14:paraId="2F32B719" w14:textId="77777777">
        <w:tc>
          <w:tcPr>
            <w:tcW w:w="3024" w:type="dxa"/>
          </w:tcPr>
          <w:p w14:paraId="7D0133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322E24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1931 года</w:t>
            </w:r>
          </w:p>
        </w:tc>
      </w:tr>
      <w:tr w:rsidR="001002C3" w:rsidRPr="007122AB" w14:paraId="55834925" w14:textId="77777777">
        <w:tc>
          <w:tcPr>
            <w:tcW w:w="3024" w:type="dxa"/>
          </w:tcPr>
          <w:p w14:paraId="47A704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D7250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начаты.</w:t>
            </w:r>
          </w:p>
        </w:tc>
      </w:tr>
      <w:tr w:rsidR="001002C3" w:rsidRPr="007122AB" w14:paraId="03C82E4C" w14:textId="77777777">
        <w:tc>
          <w:tcPr>
            <w:tcW w:w="3024" w:type="dxa"/>
          </w:tcPr>
          <w:p w14:paraId="289A06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37F66D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МДР3-4ЮVI</w:t>
            </w:r>
          </w:p>
        </w:tc>
      </w:tr>
      <w:tr w:rsidR="001002C3" w:rsidRPr="007122AB" w14:paraId="5708FE7B" w14:textId="77777777">
        <w:tc>
          <w:tcPr>
            <w:tcW w:w="3024" w:type="dxa"/>
          </w:tcPr>
          <w:p w14:paraId="31A4DB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1C7BDE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47FD5FB0" w14:textId="77777777">
        <w:tc>
          <w:tcPr>
            <w:tcW w:w="3024" w:type="dxa"/>
          </w:tcPr>
          <w:p w14:paraId="0F17A35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18E298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r>
      <w:tr w:rsidR="001002C3" w:rsidRPr="007122AB" w14:paraId="26F5F70D" w14:textId="77777777">
        <w:tc>
          <w:tcPr>
            <w:tcW w:w="3024" w:type="dxa"/>
          </w:tcPr>
          <w:p w14:paraId="5E4CCC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435174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64E89981" w14:textId="77777777">
        <w:tc>
          <w:tcPr>
            <w:tcW w:w="3024" w:type="dxa"/>
          </w:tcPr>
          <w:p w14:paraId="45137E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17E001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079402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p w14:paraId="543088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кг бомб</w:t>
            </w:r>
          </w:p>
        </w:tc>
      </w:tr>
      <w:tr w:rsidR="001002C3" w:rsidRPr="007122AB" w14:paraId="07C7F9C2" w14:textId="77777777">
        <w:tc>
          <w:tcPr>
            <w:tcW w:w="3024" w:type="dxa"/>
          </w:tcPr>
          <w:p w14:paraId="4A55CC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58A332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1000-1200</w:t>
            </w:r>
          </w:p>
        </w:tc>
      </w:tr>
      <w:tr w:rsidR="001002C3" w:rsidRPr="007122AB" w14:paraId="2BF47824" w14:textId="77777777">
        <w:tc>
          <w:tcPr>
            <w:tcW w:w="3024" w:type="dxa"/>
          </w:tcPr>
          <w:p w14:paraId="1DC537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31DDFB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w:t>
            </w:r>
          </w:p>
        </w:tc>
      </w:tr>
      <w:tr w:rsidR="001002C3" w:rsidRPr="007122AB" w14:paraId="6489020A" w14:textId="77777777">
        <w:tc>
          <w:tcPr>
            <w:tcW w:w="3024" w:type="dxa"/>
          </w:tcPr>
          <w:p w14:paraId="5CB1B7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8E5DC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Вторично данный РВСС срок 10 сентября 1931 года выпуска самолета на гос. испытания заводом № 39 не выдержан из-за задержек в производстве. Срок подачи на гос. испытания самолета неизвестен заводу.</w:t>
            </w:r>
          </w:p>
          <w:p w14:paraId="155121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Волков.</w:t>
            </w:r>
          </w:p>
        </w:tc>
      </w:tr>
    </w:tbl>
    <w:p w14:paraId="77202F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7122AB" w14:paraId="3FF2E077" w14:textId="77777777">
        <w:tc>
          <w:tcPr>
            <w:tcW w:w="3024" w:type="dxa"/>
          </w:tcPr>
          <w:p w14:paraId="28C80A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1D4375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ДИ4-КК</w:t>
            </w:r>
          </w:p>
        </w:tc>
      </w:tr>
      <w:tr w:rsidR="001002C3" w:rsidRPr="007122AB" w14:paraId="4381100B" w14:textId="77777777">
        <w:tc>
          <w:tcPr>
            <w:tcW w:w="3024" w:type="dxa"/>
          </w:tcPr>
          <w:p w14:paraId="639A1A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29E4A4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280/5000</w:t>
            </w:r>
          </w:p>
        </w:tc>
      </w:tr>
      <w:tr w:rsidR="001002C3" w:rsidRPr="007122AB" w14:paraId="509B4902" w14:textId="77777777">
        <w:tc>
          <w:tcPr>
            <w:tcW w:w="3024" w:type="dxa"/>
          </w:tcPr>
          <w:p w14:paraId="495154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5025AE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8,5/5000</w:t>
            </w:r>
          </w:p>
        </w:tc>
      </w:tr>
      <w:tr w:rsidR="001002C3" w:rsidRPr="007122AB" w14:paraId="5EE27D60" w14:textId="77777777">
        <w:tc>
          <w:tcPr>
            <w:tcW w:w="3024" w:type="dxa"/>
          </w:tcPr>
          <w:p w14:paraId="704CB78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4A2A96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5665B7AE" w14:textId="77777777">
        <w:tc>
          <w:tcPr>
            <w:tcW w:w="3024" w:type="dxa"/>
          </w:tcPr>
          <w:p w14:paraId="31F0BD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7BA725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tc>
      </w:tr>
      <w:tr w:rsidR="001002C3" w:rsidRPr="007122AB" w14:paraId="23A72294" w14:textId="77777777">
        <w:tc>
          <w:tcPr>
            <w:tcW w:w="3024" w:type="dxa"/>
          </w:tcPr>
          <w:p w14:paraId="174460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354498D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450-500</w:t>
            </w:r>
          </w:p>
        </w:tc>
      </w:tr>
      <w:tr w:rsidR="001002C3" w:rsidRPr="007122AB" w14:paraId="0396BE07" w14:textId="77777777">
        <w:tc>
          <w:tcPr>
            <w:tcW w:w="3024" w:type="dxa"/>
          </w:tcPr>
          <w:p w14:paraId="5DE658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68D9B8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сентября 1931 года</w:t>
            </w:r>
          </w:p>
        </w:tc>
      </w:tr>
      <w:tr w:rsidR="001002C3" w:rsidRPr="007122AB" w14:paraId="1D2F2D63" w14:textId="77777777">
        <w:tc>
          <w:tcPr>
            <w:tcW w:w="3024" w:type="dxa"/>
          </w:tcPr>
          <w:p w14:paraId="4904B2B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447E0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самолета с мотором Кертис-</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заканчивается. Его заводские испытания должны начаться в первой декаде ноября 1931 года.</w:t>
            </w:r>
          </w:p>
          <w:p w14:paraId="648A00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Холодов.</w:t>
            </w:r>
          </w:p>
        </w:tc>
      </w:tr>
      <w:tr w:rsidR="001002C3" w:rsidRPr="007122AB" w14:paraId="7FDDC6E1" w14:textId="77777777">
        <w:tc>
          <w:tcPr>
            <w:tcW w:w="3024" w:type="dxa"/>
          </w:tcPr>
          <w:p w14:paraId="35ECEE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5D8985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ДИ5-ФЭД</w:t>
            </w:r>
          </w:p>
        </w:tc>
      </w:tr>
      <w:tr w:rsidR="001002C3" w:rsidRPr="007122AB" w14:paraId="2A7EAA47" w14:textId="77777777">
        <w:tc>
          <w:tcPr>
            <w:tcW w:w="3024" w:type="dxa"/>
          </w:tcPr>
          <w:p w14:paraId="7A23B0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463CED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270/3000</w:t>
            </w:r>
          </w:p>
        </w:tc>
      </w:tr>
      <w:tr w:rsidR="001002C3" w:rsidRPr="007122AB" w14:paraId="1AB4EFAF" w14:textId="77777777">
        <w:tc>
          <w:tcPr>
            <w:tcW w:w="3024" w:type="dxa"/>
          </w:tcPr>
          <w:p w14:paraId="585741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268A17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7,6/3000</w:t>
            </w:r>
          </w:p>
        </w:tc>
      </w:tr>
      <w:tr w:rsidR="001002C3" w:rsidRPr="007122AB" w14:paraId="5F5AF014" w14:textId="77777777">
        <w:tc>
          <w:tcPr>
            <w:tcW w:w="3024" w:type="dxa"/>
          </w:tcPr>
          <w:p w14:paraId="2A5BC0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1CE384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7D945983" w14:textId="77777777">
        <w:tc>
          <w:tcPr>
            <w:tcW w:w="3024" w:type="dxa"/>
          </w:tcPr>
          <w:p w14:paraId="3EB923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5FA154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4B2C4D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tc>
      </w:tr>
      <w:tr w:rsidR="001002C3" w:rsidRPr="007122AB" w14:paraId="0641D307" w14:textId="77777777">
        <w:tc>
          <w:tcPr>
            <w:tcW w:w="3024" w:type="dxa"/>
          </w:tcPr>
          <w:p w14:paraId="3F3AF1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Радиус действия</w:t>
            </w:r>
          </w:p>
        </w:tc>
        <w:tc>
          <w:tcPr>
            <w:tcW w:w="7574" w:type="dxa"/>
          </w:tcPr>
          <w:p w14:paraId="534E84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CCF494" w14:textId="77777777">
        <w:tc>
          <w:tcPr>
            <w:tcW w:w="3024" w:type="dxa"/>
          </w:tcPr>
          <w:p w14:paraId="264967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6907BC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w:t>
            </w:r>
          </w:p>
        </w:tc>
      </w:tr>
      <w:tr w:rsidR="001002C3" w:rsidRPr="007122AB" w14:paraId="122A8673" w14:textId="77777777">
        <w:tc>
          <w:tcPr>
            <w:tcW w:w="3024" w:type="dxa"/>
          </w:tcPr>
          <w:p w14:paraId="19CFC71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3161B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нет макета.</w:t>
            </w:r>
          </w:p>
        </w:tc>
      </w:tr>
      <w:tr w:rsidR="001002C3" w:rsidRPr="007122AB" w14:paraId="0D97922B" w14:textId="77777777">
        <w:tc>
          <w:tcPr>
            <w:tcW w:w="3024" w:type="dxa"/>
          </w:tcPr>
          <w:p w14:paraId="0474A80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A5F85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ТШ1-2М34</w:t>
            </w:r>
          </w:p>
        </w:tc>
      </w:tr>
      <w:tr w:rsidR="001002C3" w:rsidRPr="007122AB" w14:paraId="3D80E8B5" w14:textId="77777777">
        <w:tc>
          <w:tcPr>
            <w:tcW w:w="3024" w:type="dxa"/>
          </w:tcPr>
          <w:p w14:paraId="0ACF331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49E6FC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EEAC530" w14:textId="77777777">
        <w:tc>
          <w:tcPr>
            <w:tcW w:w="3024" w:type="dxa"/>
          </w:tcPr>
          <w:p w14:paraId="156C49D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765967A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A477878" w14:textId="77777777">
        <w:tc>
          <w:tcPr>
            <w:tcW w:w="3024" w:type="dxa"/>
          </w:tcPr>
          <w:p w14:paraId="6F9BB9F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44396E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679EB98" w14:textId="77777777">
        <w:tc>
          <w:tcPr>
            <w:tcW w:w="3024" w:type="dxa"/>
          </w:tcPr>
          <w:p w14:paraId="52E591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4BF96F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пулеметов</w:t>
            </w:r>
          </w:p>
          <w:p w14:paraId="3B39E61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автоматическая пушка</w:t>
            </w:r>
          </w:p>
          <w:p w14:paraId="373CE7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 кг бомб</w:t>
            </w:r>
          </w:p>
        </w:tc>
      </w:tr>
      <w:tr w:rsidR="001002C3" w:rsidRPr="007122AB" w14:paraId="381D42FC" w14:textId="77777777">
        <w:tc>
          <w:tcPr>
            <w:tcW w:w="3024" w:type="dxa"/>
          </w:tcPr>
          <w:p w14:paraId="7E4FED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5B5071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r>
      <w:tr w:rsidR="001002C3" w:rsidRPr="007122AB" w14:paraId="32CBB048" w14:textId="77777777">
        <w:tc>
          <w:tcPr>
            <w:tcW w:w="3024" w:type="dxa"/>
          </w:tcPr>
          <w:p w14:paraId="559FA13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67F811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1932 года</w:t>
            </w:r>
          </w:p>
        </w:tc>
      </w:tr>
      <w:tr w:rsidR="001002C3" w:rsidRPr="007122AB" w14:paraId="69E60C66" w14:textId="77777777">
        <w:tc>
          <w:tcPr>
            <w:tcW w:w="3024" w:type="dxa"/>
          </w:tcPr>
          <w:p w14:paraId="4B36931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07B5F0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не ведутся поскольку самолет стоит в плане условно (до разрешения РВС вопроса о необходимости иметь на вооружении тяжелый двухмоторный штурмовик).</w:t>
            </w:r>
          </w:p>
        </w:tc>
      </w:tr>
      <w:tr w:rsidR="001002C3" w:rsidRPr="007122AB" w14:paraId="05191935" w14:textId="77777777">
        <w:tc>
          <w:tcPr>
            <w:tcW w:w="3024" w:type="dxa"/>
          </w:tcPr>
          <w:p w14:paraId="397695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1544A2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МТБ3-4М34</w:t>
            </w:r>
          </w:p>
        </w:tc>
      </w:tr>
      <w:tr w:rsidR="001002C3" w:rsidRPr="007122AB" w14:paraId="78893A38" w14:textId="77777777">
        <w:tc>
          <w:tcPr>
            <w:tcW w:w="3024" w:type="dxa"/>
          </w:tcPr>
          <w:p w14:paraId="2EE8AA4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ED9E7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постановления РВСР от 5 сентября 1931 года самолет снят из действующего плана ЦАГИ, но должен быть предусмотрен в новом плане опытного строительства, в связи с чем ЦАГИ продолжает НИР и расчеты по МТБ3 для последующей проектировки и реализации в новом плане.</w:t>
            </w:r>
          </w:p>
        </w:tc>
      </w:tr>
      <w:tr w:rsidR="001002C3" w:rsidRPr="007122AB" w14:paraId="290B2424" w14:textId="77777777">
        <w:tc>
          <w:tcPr>
            <w:tcW w:w="3024" w:type="dxa"/>
          </w:tcPr>
          <w:p w14:paraId="438B6A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5680DF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МК1-3М34</w:t>
            </w:r>
          </w:p>
        </w:tc>
      </w:tr>
      <w:tr w:rsidR="001002C3" w:rsidRPr="007122AB" w14:paraId="74A11F6A" w14:textId="77777777">
        <w:tc>
          <w:tcPr>
            <w:tcW w:w="3024" w:type="dxa"/>
          </w:tcPr>
          <w:p w14:paraId="2B764F7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74D398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716E90A0" w14:textId="77777777">
        <w:tc>
          <w:tcPr>
            <w:tcW w:w="3024" w:type="dxa"/>
          </w:tcPr>
          <w:p w14:paraId="643F08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6146BA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5076E1AA" w14:textId="77777777">
        <w:tc>
          <w:tcPr>
            <w:tcW w:w="3024" w:type="dxa"/>
          </w:tcPr>
          <w:p w14:paraId="39AF442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13D794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11607F0E" w14:textId="77777777">
        <w:tc>
          <w:tcPr>
            <w:tcW w:w="3024" w:type="dxa"/>
          </w:tcPr>
          <w:p w14:paraId="7BBC088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779F1D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автоматические пушки</w:t>
            </w:r>
          </w:p>
          <w:p w14:paraId="2E30DD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тяжелых пулемета (два из них должны легко заменяться автоматическим пушками).</w:t>
            </w:r>
          </w:p>
          <w:p w14:paraId="23C0008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042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 кг бомб за счет перегрузки</w:t>
            </w:r>
          </w:p>
        </w:tc>
      </w:tr>
      <w:tr w:rsidR="001002C3" w:rsidRPr="007122AB" w14:paraId="6D9A1E09" w14:textId="77777777">
        <w:tc>
          <w:tcPr>
            <w:tcW w:w="3024" w:type="dxa"/>
          </w:tcPr>
          <w:p w14:paraId="3DF6E5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43CD2A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1500 при перегрузке</w:t>
            </w:r>
          </w:p>
          <w:p w14:paraId="30E21DB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2400</w:t>
            </w:r>
          </w:p>
        </w:tc>
      </w:tr>
      <w:tr w:rsidR="001002C3" w:rsidRPr="007122AB" w14:paraId="29741875" w14:textId="77777777">
        <w:tc>
          <w:tcPr>
            <w:tcW w:w="3024" w:type="dxa"/>
          </w:tcPr>
          <w:p w14:paraId="4C7F40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48D834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Сентябрь 1932 года</w:t>
            </w:r>
          </w:p>
        </w:tc>
      </w:tr>
      <w:tr w:rsidR="001002C3" w:rsidRPr="007122AB" w14:paraId="2DBD4D12" w14:textId="77777777">
        <w:tc>
          <w:tcPr>
            <w:tcW w:w="3024" w:type="dxa"/>
          </w:tcPr>
          <w:p w14:paraId="65DB139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08BBF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ЦАГИ заканчивает макет. Представлен эскизный проект. Схема самолета требует изменений. Экипаж 8 человек недостаточен. Необходимо 11 человек. Конструкция самолета разработана на 75%. Самолет может быть изготовлен и представлен на гос. испытания в срок 1 октября 1932 года.</w:t>
            </w:r>
          </w:p>
          <w:p w14:paraId="2C35F9C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Кудрявцев.</w:t>
            </w:r>
          </w:p>
        </w:tc>
      </w:tr>
    </w:tbl>
    <w:p w14:paraId="5242815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7122AB" w14:paraId="3287B38C" w14:textId="77777777">
        <w:tc>
          <w:tcPr>
            <w:tcW w:w="3024" w:type="dxa"/>
          </w:tcPr>
          <w:p w14:paraId="5C6872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2E0C8C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ВС1-2М26 (Р9-2М26)</w:t>
            </w:r>
          </w:p>
        </w:tc>
      </w:tr>
      <w:tr w:rsidR="001002C3" w:rsidRPr="007122AB" w14:paraId="61B55660" w14:textId="77777777">
        <w:tc>
          <w:tcPr>
            <w:tcW w:w="3024" w:type="dxa"/>
          </w:tcPr>
          <w:p w14:paraId="1AFFCB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62408ED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2458EB5E" w14:textId="77777777">
        <w:tc>
          <w:tcPr>
            <w:tcW w:w="3024" w:type="dxa"/>
          </w:tcPr>
          <w:p w14:paraId="04BF938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448B055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12/3000</w:t>
            </w:r>
          </w:p>
        </w:tc>
      </w:tr>
      <w:tr w:rsidR="001002C3" w:rsidRPr="007122AB" w14:paraId="5C597675" w14:textId="77777777">
        <w:tc>
          <w:tcPr>
            <w:tcW w:w="3024" w:type="dxa"/>
          </w:tcPr>
          <w:p w14:paraId="024A4C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775D963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B2E752F" w14:textId="77777777">
        <w:tc>
          <w:tcPr>
            <w:tcW w:w="3024" w:type="dxa"/>
          </w:tcPr>
          <w:p w14:paraId="6F223E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0FBAC5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w:t>
            </w:r>
          </w:p>
        </w:tc>
      </w:tr>
      <w:tr w:rsidR="001002C3" w:rsidRPr="007122AB" w14:paraId="168B7580" w14:textId="77777777">
        <w:tc>
          <w:tcPr>
            <w:tcW w:w="3024" w:type="dxa"/>
          </w:tcPr>
          <w:p w14:paraId="105237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3D2383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часа на мощности 0,9 от номинальной</w:t>
            </w:r>
          </w:p>
        </w:tc>
      </w:tr>
      <w:tr w:rsidR="001002C3" w:rsidRPr="007122AB" w14:paraId="0B77D9E4" w14:textId="77777777">
        <w:tc>
          <w:tcPr>
            <w:tcW w:w="3024" w:type="dxa"/>
          </w:tcPr>
          <w:p w14:paraId="7F277B4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28B038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E7DB372" w14:textId="77777777">
        <w:tc>
          <w:tcPr>
            <w:tcW w:w="3024" w:type="dxa"/>
          </w:tcPr>
          <w:p w14:paraId="0FEEBB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4AC1A2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ВАО проектирование самолета приостановило и полагает сдвинуть срок его представления на гос. испытания на вторую половину 1932 года. При пересмотре плана опытного строительства на 1932-1934 годы является целесообразным заменить самолет Р9-2М26 самолетом ВС2-2М26 совмещающим аналогично самолету Р9 военное использование с применением в ГВФ в качестве пассажирского и </w:t>
            </w:r>
            <w:proofErr w:type="spellStart"/>
            <w:r w:rsidRPr="007122AB">
              <w:rPr>
                <w:rFonts w:ascii="Times New Roman" w:hAnsi="Times New Roman"/>
                <w:color w:val="000000" w:themeColor="text1"/>
                <w:sz w:val="16"/>
                <w:szCs w:val="16"/>
              </w:rPr>
              <w:t>фотосъемщика</w:t>
            </w:r>
            <w:proofErr w:type="spellEnd"/>
            <w:r w:rsidRPr="007122AB">
              <w:rPr>
                <w:rFonts w:ascii="Times New Roman" w:hAnsi="Times New Roman"/>
                <w:color w:val="000000" w:themeColor="text1"/>
                <w:sz w:val="16"/>
                <w:szCs w:val="16"/>
              </w:rPr>
              <w:t>.</w:t>
            </w:r>
          </w:p>
          <w:p w14:paraId="69737C8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Жемчужин.</w:t>
            </w:r>
          </w:p>
        </w:tc>
      </w:tr>
      <w:tr w:rsidR="001002C3" w:rsidRPr="007122AB" w14:paraId="45AA3CA0" w14:textId="77777777">
        <w:tc>
          <w:tcPr>
            <w:tcW w:w="3024" w:type="dxa"/>
          </w:tcPr>
          <w:p w14:paraId="0759D2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1BF94A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 (ТШ2-М17)</w:t>
            </w:r>
          </w:p>
        </w:tc>
      </w:tr>
      <w:tr w:rsidR="001002C3" w:rsidRPr="007122AB" w14:paraId="58B90C6F" w14:textId="77777777">
        <w:tc>
          <w:tcPr>
            <w:tcW w:w="3024" w:type="dxa"/>
          </w:tcPr>
          <w:p w14:paraId="2EE4A2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144C933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r>
      <w:tr w:rsidR="001002C3" w:rsidRPr="007122AB" w14:paraId="6D59E4EE" w14:textId="77777777">
        <w:tc>
          <w:tcPr>
            <w:tcW w:w="3024" w:type="dxa"/>
          </w:tcPr>
          <w:p w14:paraId="4E1EDB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10D8EF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11,6/3000</w:t>
            </w:r>
          </w:p>
        </w:tc>
      </w:tr>
      <w:tr w:rsidR="001002C3" w:rsidRPr="007122AB" w14:paraId="27318E8D" w14:textId="77777777">
        <w:tc>
          <w:tcPr>
            <w:tcW w:w="3024" w:type="dxa"/>
          </w:tcPr>
          <w:p w14:paraId="2CB05D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05018A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5860</w:t>
            </w:r>
          </w:p>
        </w:tc>
      </w:tr>
      <w:tr w:rsidR="001002C3" w:rsidRPr="007122AB" w14:paraId="2163631D" w14:textId="77777777">
        <w:tc>
          <w:tcPr>
            <w:tcW w:w="3024" w:type="dxa"/>
          </w:tcPr>
          <w:p w14:paraId="333675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4B3A94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пулеметов</w:t>
            </w:r>
          </w:p>
        </w:tc>
      </w:tr>
      <w:tr w:rsidR="001002C3" w:rsidRPr="007122AB" w14:paraId="4DAEC7B2" w14:textId="77777777">
        <w:tc>
          <w:tcPr>
            <w:tcW w:w="3024" w:type="dxa"/>
          </w:tcPr>
          <w:p w14:paraId="7CDE05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6C8537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E64CCA" w14:textId="77777777">
        <w:tc>
          <w:tcPr>
            <w:tcW w:w="3024" w:type="dxa"/>
          </w:tcPr>
          <w:p w14:paraId="452FD94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57B006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1930 года</w:t>
            </w:r>
          </w:p>
        </w:tc>
      </w:tr>
      <w:tr w:rsidR="001002C3" w:rsidRPr="007122AB" w14:paraId="6C2A5DE8" w14:textId="77777777">
        <w:tc>
          <w:tcPr>
            <w:tcW w:w="3024" w:type="dxa"/>
          </w:tcPr>
          <w:p w14:paraId="1C1CB0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13A0BE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приказания начальника ВАО самолет ТШ2-М27 должен быть передан на гос. испытания 10 октября 1931 года.</w:t>
            </w:r>
          </w:p>
          <w:p w14:paraId="18B4D3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Полехин</w:t>
            </w:r>
            <w:proofErr w:type="spellEnd"/>
            <w:r w:rsidRPr="007122AB">
              <w:rPr>
                <w:rFonts w:ascii="Times New Roman" w:hAnsi="Times New Roman"/>
                <w:color w:val="000000" w:themeColor="text1"/>
                <w:sz w:val="16"/>
                <w:szCs w:val="16"/>
              </w:rPr>
              <w:t>.</w:t>
            </w:r>
          </w:p>
        </w:tc>
      </w:tr>
      <w:tr w:rsidR="001002C3" w:rsidRPr="007122AB" w14:paraId="46724A1B" w14:textId="77777777">
        <w:tc>
          <w:tcPr>
            <w:tcW w:w="3024" w:type="dxa"/>
          </w:tcPr>
          <w:p w14:paraId="30616B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2478B98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И12-2ЮVI</w:t>
            </w:r>
          </w:p>
        </w:tc>
      </w:tr>
      <w:tr w:rsidR="001002C3" w:rsidRPr="007122AB" w14:paraId="074C2DA0" w14:textId="77777777">
        <w:tc>
          <w:tcPr>
            <w:tcW w:w="3024" w:type="dxa"/>
          </w:tcPr>
          <w:p w14:paraId="2991D4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5A8DA6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r>
      <w:tr w:rsidR="001002C3" w:rsidRPr="007122AB" w14:paraId="54AC1FC7" w14:textId="77777777">
        <w:tc>
          <w:tcPr>
            <w:tcW w:w="3024" w:type="dxa"/>
          </w:tcPr>
          <w:p w14:paraId="107F14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763B1B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10/5000</w:t>
            </w:r>
          </w:p>
        </w:tc>
      </w:tr>
      <w:tr w:rsidR="001002C3" w:rsidRPr="007122AB" w14:paraId="4393FD74" w14:textId="77777777">
        <w:tc>
          <w:tcPr>
            <w:tcW w:w="3024" w:type="dxa"/>
          </w:tcPr>
          <w:p w14:paraId="6A4C01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00EA9C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5929EC7E" w14:textId="77777777">
        <w:tc>
          <w:tcPr>
            <w:tcW w:w="3024" w:type="dxa"/>
          </w:tcPr>
          <w:p w14:paraId="1F6F298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0699E6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пушки ДРП</w:t>
            </w:r>
          </w:p>
        </w:tc>
      </w:tr>
      <w:tr w:rsidR="001002C3" w:rsidRPr="007122AB" w14:paraId="2A822E20" w14:textId="77777777">
        <w:tc>
          <w:tcPr>
            <w:tcW w:w="3024" w:type="dxa"/>
          </w:tcPr>
          <w:p w14:paraId="386272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33C1BD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64E8E92E" w14:textId="77777777">
        <w:tc>
          <w:tcPr>
            <w:tcW w:w="3024" w:type="dxa"/>
          </w:tcPr>
          <w:p w14:paraId="5F305AD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5D1AB6E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1931 года</w:t>
            </w:r>
          </w:p>
        </w:tc>
      </w:tr>
      <w:tr w:rsidR="001002C3" w:rsidRPr="007122AB" w14:paraId="4209A5A2" w14:textId="77777777">
        <w:tc>
          <w:tcPr>
            <w:tcW w:w="3024" w:type="dxa"/>
          </w:tcPr>
          <w:p w14:paraId="56467B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8F520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проходит заводские испытания, показавшие необходимость переделки вертикального оперения, костылей и замену заднего винта. Первые две работы уже произведены в результате чего уменьшилось наблюдавшееся стремление к заворотам на земле после посадки и неуправляемости на земле при рулежке. Ведется подбор </w:t>
            </w:r>
            <w:proofErr w:type="spellStart"/>
            <w:r w:rsidRPr="007122AB">
              <w:rPr>
                <w:rFonts w:ascii="Times New Roman" w:hAnsi="Times New Roman"/>
                <w:color w:val="000000" w:themeColor="text1"/>
                <w:sz w:val="16"/>
                <w:szCs w:val="16"/>
              </w:rPr>
              <w:t>наивыгоднейшего</w:t>
            </w:r>
            <w:proofErr w:type="spellEnd"/>
            <w:r w:rsidRPr="007122AB">
              <w:rPr>
                <w:rFonts w:ascii="Times New Roman" w:hAnsi="Times New Roman"/>
                <w:color w:val="000000" w:themeColor="text1"/>
                <w:sz w:val="16"/>
                <w:szCs w:val="16"/>
              </w:rPr>
              <w:t xml:space="preserve"> заднего винта. Устраняется ряд мелких дефектов, выявившихся после полетов.</w:t>
            </w:r>
          </w:p>
          <w:p w14:paraId="1EFBEE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Межак</w:t>
            </w:r>
            <w:proofErr w:type="spellEnd"/>
            <w:r w:rsidRPr="007122AB">
              <w:rPr>
                <w:rFonts w:ascii="Times New Roman" w:hAnsi="Times New Roman"/>
                <w:color w:val="000000" w:themeColor="text1"/>
                <w:sz w:val="16"/>
                <w:szCs w:val="16"/>
              </w:rPr>
              <w:t>.</w:t>
            </w:r>
          </w:p>
        </w:tc>
      </w:tr>
      <w:tr w:rsidR="001002C3" w:rsidRPr="007122AB" w14:paraId="468841FA" w14:textId="77777777">
        <w:tc>
          <w:tcPr>
            <w:tcW w:w="3024" w:type="dxa"/>
          </w:tcPr>
          <w:p w14:paraId="0723FFC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B1883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И11-М41 (</w:t>
            </w:r>
            <w:proofErr w:type="spellStart"/>
            <w:r w:rsidRPr="007122AB">
              <w:rPr>
                <w:rFonts w:ascii="Times New Roman" w:hAnsi="Times New Roman"/>
                <w:color w:val="000000" w:themeColor="text1"/>
                <w:sz w:val="16"/>
                <w:szCs w:val="16"/>
              </w:rPr>
              <w:t>электр</w:t>
            </w:r>
            <w:proofErr w:type="spellEnd"/>
            <w:r w:rsidRPr="007122AB">
              <w:rPr>
                <w:rFonts w:ascii="Times New Roman" w:hAnsi="Times New Roman"/>
                <w:color w:val="000000" w:themeColor="text1"/>
                <w:sz w:val="16"/>
                <w:szCs w:val="16"/>
              </w:rPr>
              <w:t>.)</w:t>
            </w:r>
          </w:p>
        </w:tc>
      </w:tr>
      <w:tr w:rsidR="001002C3" w:rsidRPr="007122AB" w14:paraId="5693DB3A" w14:textId="77777777">
        <w:tc>
          <w:tcPr>
            <w:tcW w:w="3024" w:type="dxa"/>
          </w:tcPr>
          <w:p w14:paraId="7457FB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E5BE60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Работы не ведутся.</w:t>
            </w:r>
          </w:p>
        </w:tc>
      </w:tr>
      <w:tr w:rsidR="001002C3" w:rsidRPr="007122AB" w14:paraId="1FBC1CF4" w14:textId="77777777">
        <w:tc>
          <w:tcPr>
            <w:tcW w:w="3024" w:type="dxa"/>
          </w:tcPr>
          <w:p w14:paraId="014E2D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2F3BAF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r>
      <w:tr w:rsidR="001002C3" w:rsidRPr="007122AB" w14:paraId="7BBC8B3A" w14:textId="77777777">
        <w:tc>
          <w:tcPr>
            <w:tcW w:w="3024" w:type="dxa"/>
          </w:tcPr>
          <w:p w14:paraId="0EAF86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7EBB8A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1930 года</w:t>
            </w:r>
          </w:p>
        </w:tc>
      </w:tr>
      <w:tr w:rsidR="001002C3" w:rsidRPr="007122AB" w14:paraId="206F4052" w14:textId="77777777">
        <w:tc>
          <w:tcPr>
            <w:tcW w:w="3024" w:type="dxa"/>
          </w:tcPr>
          <w:p w14:paraId="0B361F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Степень выполнения на 1 октября 1931 года</w:t>
            </w:r>
          </w:p>
        </w:tc>
        <w:tc>
          <w:tcPr>
            <w:tcW w:w="7574" w:type="dxa"/>
          </w:tcPr>
          <w:p w14:paraId="36741B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мотора М-19:</w:t>
            </w:r>
          </w:p>
          <w:p w14:paraId="1F4AD5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решения не строить серийно мотор М19 работа прекращена.</w:t>
            </w:r>
          </w:p>
          <w:p w14:paraId="14EEFA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разрезных крыльев:</w:t>
            </w:r>
          </w:p>
          <w:p w14:paraId="2F12CB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предполагает передать самолет Р5-М17 на испытания во второй половине октября 1931 года.</w:t>
            </w:r>
          </w:p>
          <w:p w14:paraId="7F19EB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Жемчужин.</w:t>
            </w:r>
          </w:p>
        </w:tc>
      </w:tr>
      <w:tr w:rsidR="001002C3" w:rsidRPr="007122AB" w14:paraId="40F03D04" w14:textId="77777777">
        <w:tc>
          <w:tcPr>
            <w:tcW w:w="3024" w:type="dxa"/>
          </w:tcPr>
          <w:p w14:paraId="67033C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2242D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И5-ЮVI</w:t>
            </w:r>
          </w:p>
        </w:tc>
      </w:tr>
      <w:tr w:rsidR="001002C3" w:rsidRPr="007122AB" w14:paraId="16A58F78" w14:textId="77777777">
        <w:tc>
          <w:tcPr>
            <w:tcW w:w="3024" w:type="dxa"/>
          </w:tcPr>
          <w:p w14:paraId="5B618A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481250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262,5/0 (серийный самолет).</w:t>
            </w:r>
          </w:p>
          <w:p w14:paraId="019FE6C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643D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245/5000</w:t>
            </w:r>
          </w:p>
        </w:tc>
      </w:tr>
      <w:tr w:rsidR="001002C3" w:rsidRPr="007122AB" w14:paraId="17CDF41A" w14:textId="77777777">
        <w:tc>
          <w:tcPr>
            <w:tcW w:w="3024" w:type="dxa"/>
          </w:tcPr>
          <w:p w14:paraId="687DA1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36A29F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9,6-9,8/5000 (серийный самолет)</w:t>
            </w:r>
          </w:p>
        </w:tc>
      </w:tr>
      <w:tr w:rsidR="001002C3" w:rsidRPr="007122AB" w14:paraId="42ED9A9B" w14:textId="77777777">
        <w:tc>
          <w:tcPr>
            <w:tcW w:w="3024" w:type="dxa"/>
          </w:tcPr>
          <w:p w14:paraId="531A53E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341273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8120 (серийный самолет)</w:t>
            </w:r>
          </w:p>
        </w:tc>
      </w:tr>
      <w:tr w:rsidR="001002C3" w:rsidRPr="007122AB" w14:paraId="386DE7C4" w14:textId="77777777">
        <w:tc>
          <w:tcPr>
            <w:tcW w:w="3024" w:type="dxa"/>
          </w:tcPr>
          <w:p w14:paraId="3050FA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2DA545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пулемета</w:t>
            </w:r>
          </w:p>
        </w:tc>
      </w:tr>
      <w:tr w:rsidR="001002C3" w:rsidRPr="007122AB" w14:paraId="4E65C8DB" w14:textId="77777777">
        <w:tc>
          <w:tcPr>
            <w:tcW w:w="3024" w:type="dxa"/>
          </w:tcPr>
          <w:p w14:paraId="6B612A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09B0602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r>
      <w:tr w:rsidR="001002C3" w:rsidRPr="007122AB" w14:paraId="1615FA11" w14:textId="77777777">
        <w:tc>
          <w:tcPr>
            <w:tcW w:w="3024" w:type="dxa"/>
          </w:tcPr>
          <w:p w14:paraId="31D749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2B3472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квартал 1931 года</w:t>
            </w:r>
          </w:p>
        </w:tc>
      </w:tr>
      <w:tr w:rsidR="001002C3" w:rsidRPr="007122AB" w14:paraId="566D05B6" w14:textId="77777777">
        <w:tc>
          <w:tcPr>
            <w:tcW w:w="3024" w:type="dxa"/>
          </w:tcPr>
          <w:p w14:paraId="642722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C60E8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мотора М-15:</w:t>
            </w:r>
          </w:p>
          <w:p w14:paraId="3CBF5B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настоящего времени, несмотря на то что намечается серийная постройка самолетов И5-М15 опытный самолет, могущий быть образцом для серии на испытание не предъявлен. Ряд назначавшихся сроков пропущены.</w:t>
            </w:r>
          </w:p>
          <w:p w14:paraId="142639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Улучшение штопора:</w:t>
            </w:r>
          </w:p>
          <w:p w14:paraId="19705B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Проведенные испытания самолета с утоненными консолями крыльев не дали улучшения штопора, параллельно как этими испытаниями, так и испытаниями проведенными на специально оборудованном самолете выяснено, что при нормальном вводе самолета в штопор (без перекрещивания рулей) больших запаздываний в выходе из штопора не наблюдается.</w:t>
            </w:r>
          </w:p>
          <w:p w14:paraId="067A7B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ОКБ поставлен вопрос о снабжении в качестве опыта самолета И5-ЮVI стойками поворачивающимися в полете.</w:t>
            </w:r>
          </w:p>
          <w:p w14:paraId="23E694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И5-ЮVII</w:t>
            </w:r>
          </w:p>
          <w:p w14:paraId="5FCE77E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самолета И5 с высотным мотором ЮVII показали полную выгодность применения на самолете этого мотора, так как при неизменной скороподъемности на 5000 м скорость И5-ЮVII на этой высоте равна 273 км/час против 245 км/час у самолета с мотором ЮVI, потолок 9900 м против 8200 м.</w:t>
            </w:r>
          </w:p>
          <w:p w14:paraId="0ED9D9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Петров.</w:t>
            </w:r>
          </w:p>
        </w:tc>
      </w:tr>
      <w:tr w:rsidR="001002C3" w:rsidRPr="007122AB" w14:paraId="77813584" w14:textId="77777777">
        <w:tc>
          <w:tcPr>
            <w:tcW w:w="3024" w:type="dxa"/>
          </w:tcPr>
          <w:p w14:paraId="2F80EE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0527C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r>
      <w:tr w:rsidR="001002C3" w:rsidRPr="007122AB" w14:paraId="0A6103CD" w14:textId="77777777">
        <w:tc>
          <w:tcPr>
            <w:tcW w:w="3024" w:type="dxa"/>
          </w:tcPr>
          <w:p w14:paraId="32EEF24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13D26B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210/220</w:t>
            </w:r>
          </w:p>
        </w:tc>
      </w:tr>
      <w:tr w:rsidR="001002C3" w:rsidRPr="007122AB" w14:paraId="275C9F6C" w14:textId="77777777">
        <w:tc>
          <w:tcPr>
            <w:tcW w:w="3024" w:type="dxa"/>
          </w:tcPr>
          <w:p w14:paraId="46DB86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6EC56FB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22-25/3000</w:t>
            </w:r>
          </w:p>
        </w:tc>
      </w:tr>
      <w:tr w:rsidR="001002C3" w:rsidRPr="007122AB" w14:paraId="605B995E" w14:textId="77777777">
        <w:tc>
          <w:tcPr>
            <w:tcW w:w="3024" w:type="dxa"/>
          </w:tcPr>
          <w:p w14:paraId="275CAC2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29453D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309A44D" w14:textId="77777777">
        <w:tc>
          <w:tcPr>
            <w:tcW w:w="3024" w:type="dxa"/>
          </w:tcPr>
          <w:p w14:paraId="351799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656C2C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6-11 пулеметов</w:t>
            </w:r>
          </w:p>
          <w:p w14:paraId="01E1807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2000-4000 кг</w:t>
            </w:r>
          </w:p>
        </w:tc>
      </w:tr>
      <w:tr w:rsidR="001002C3" w:rsidRPr="007122AB" w14:paraId="655A77B9" w14:textId="77777777">
        <w:tc>
          <w:tcPr>
            <w:tcW w:w="3024" w:type="dxa"/>
          </w:tcPr>
          <w:p w14:paraId="63F106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309BD5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32E693B" w14:textId="77777777">
        <w:tc>
          <w:tcPr>
            <w:tcW w:w="3024" w:type="dxa"/>
          </w:tcPr>
          <w:p w14:paraId="5AAFE7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294EE8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1930 года</w:t>
            </w:r>
          </w:p>
        </w:tc>
      </w:tr>
      <w:tr w:rsidR="001002C3" w:rsidRPr="007122AB" w14:paraId="25A5C783" w14:textId="77777777">
        <w:tc>
          <w:tcPr>
            <w:tcW w:w="3024" w:type="dxa"/>
          </w:tcPr>
          <w:p w14:paraId="3687D6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143F8C9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Ввиду недоброкачественности покрышек двухметровых колес английской фирмы Пальмер, самолет полные испытания до настоящего времени пройти не смог. По отдельным полетам, которые удалось провести можно констатировать, что летные данные самолета с моторами БМВVI Е=7,3 немного ниже, чем у ТБ3-4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оставаясь для самолета столь большого тоннажа все же вполне удовлетворительными (V макс. – 210-220 км/час, Н=4500-4800 м). С целью замены двухметровых колес ОКБ проектирует тележки под спаренные колеса диаметром 1350 мм, которые в сентябре 1931 года выпущены заводом № 1 и при статических испытаниях показали весьма большую прочность (22000 кг). Самолет с тележками вместо двухметровых колес, бомбовым вооружением и устранением ряда мелких дефектов должен быть предъявлен на испытания 10 октября 1931 года.</w:t>
            </w:r>
          </w:p>
          <w:p w14:paraId="65011F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же подкрыльных башен будет закончена к 20 ноября 1931 года.</w:t>
            </w:r>
          </w:p>
          <w:p w14:paraId="771E5B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заводе № 22 ведется постройка первой серии самолетов ТБ3-4М17.</w:t>
            </w:r>
          </w:p>
          <w:p w14:paraId="62B3C5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Вахмистров.</w:t>
            </w:r>
          </w:p>
        </w:tc>
      </w:tr>
      <w:tr w:rsidR="001002C3" w:rsidRPr="007122AB" w14:paraId="33597DD8" w14:textId="77777777">
        <w:tc>
          <w:tcPr>
            <w:tcW w:w="3024" w:type="dxa"/>
          </w:tcPr>
          <w:p w14:paraId="63E3B5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31B978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r>
      <w:tr w:rsidR="001002C3" w:rsidRPr="007122AB" w14:paraId="47D6A2E4" w14:textId="77777777">
        <w:tc>
          <w:tcPr>
            <w:tcW w:w="3024" w:type="dxa"/>
          </w:tcPr>
          <w:p w14:paraId="0B3D8E2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538246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244/3000</w:t>
            </w:r>
          </w:p>
        </w:tc>
      </w:tr>
      <w:tr w:rsidR="001002C3" w:rsidRPr="007122AB" w14:paraId="544F6717" w14:textId="77777777">
        <w:tc>
          <w:tcPr>
            <w:tcW w:w="3024" w:type="dxa"/>
          </w:tcPr>
          <w:p w14:paraId="1033E63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32146A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8,09/3000</w:t>
            </w:r>
          </w:p>
        </w:tc>
      </w:tr>
      <w:tr w:rsidR="001002C3" w:rsidRPr="007122AB" w14:paraId="487912DD" w14:textId="77777777">
        <w:tc>
          <w:tcPr>
            <w:tcW w:w="3024" w:type="dxa"/>
          </w:tcPr>
          <w:p w14:paraId="0532D1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0998DD9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6500</w:t>
            </w:r>
          </w:p>
        </w:tc>
      </w:tr>
      <w:tr w:rsidR="001002C3" w:rsidRPr="007122AB" w14:paraId="1DA3BF8D" w14:textId="77777777">
        <w:tc>
          <w:tcPr>
            <w:tcW w:w="3024" w:type="dxa"/>
          </w:tcPr>
          <w:p w14:paraId="67D5868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05976FA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пулеметов</w:t>
            </w:r>
          </w:p>
        </w:tc>
      </w:tr>
      <w:tr w:rsidR="001002C3" w:rsidRPr="007122AB" w14:paraId="0AE6581D" w14:textId="77777777">
        <w:tc>
          <w:tcPr>
            <w:tcW w:w="3024" w:type="dxa"/>
          </w:tcPr>
          <w:p w14:paraId="2DF842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28100D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BA590A0" w14:textId="77777777">
        <w:tc>
          <w:tcPr>
            <w:tcW w:w="3024" w:type="dxa"/>
          </w:tcPr>
          <w:p w14:paraId="41CF06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3E38947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388A1A3" w14:textId="77777777">
        <w:tc>
          <w:tcPr>
            <w:tcW w:w="3024" w:type="dxa"/>
          </w:tcPr>
          <w:p w14:paraId="39A9FE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98F8D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настоящего времени завод № 22 не представил на испытания головного самолета серии. Поступает на испытания в первой декаде октября 1931 года.</w:t>
            </w:r>
          </w:p>
          <w:p w14:paraId="232D7F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Вахмистров.</w:t>
            </w:r>
          </w:p>
        </w:tc>
      </w:tr>
      <w:tr w:rsidR="001002C3" w:rsidRPr="007122AB" w14:paraId="334B6DD5" w14:textId="77777777">
        <w:tc>
          <w:tcPr>
            <w:tcW w:w="3024" w:type="dxa"/>
          </w:tcPr>
          <w:p w14:paraId="4BADB9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62A371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И8-Кертис </w:t>
            </w:r>
            <w:proofErr w:type="spellStart"/>
            <w:r w:rsidRPr="007122AB">
              <w:rPr>
                <w:rFonts w:ascii="Times New Roman" w:hAnsi="Times New Roman"/>
                <w:color w:val="000000" w:themeColor="text1"/>
                <w:sz w:val="16"/>
                <w:szCs w:val="16"/>
              </w:rPr>
              <w:t>Конкверор</w:t>
            </w:r>
            <w:proofErr w:type="spellEnd"/>
          </w:p>
        </w:tc>
      </w:tr>
      <w:tr w:rsidR="001002C3" w:rsidRPr="007122AB" w14:paraId="0E6695B4" w14:textId="77777777">
        <w:tc>
          <w:tcPr>
            <w:tcW w:w="3024" w:type="dxa"/>
          </w:tcPr>
          <w:p w14:paraId="6FC142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64182C4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310/5000</w:t>
            </w:r>
          </w:p>
        </w:tc>
      </w:tr>
      <w:tr w:rsidR="001002C3" w:rsidRPr="007122AB" w14:paraId="1CEE22F4" w14:textId="77777777">
        <w:tc>
          <w:tcPr>
            <w:tcW w:w="3024" w:type="dxa"/>
          </w:tcPr>
          <w:p w14:paraId="1089D6F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13075F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6-7/5000</w:t>
            </w:r>
          </w:p>
        </w:tc>
      </w:tr>
      <w:tr w:rsidR="001002C3" w:rsidRPr="007122AB" w14:paraId="63583335" w14:textId="77777777">
        <w:tc>
          <w:tcPr>
            <w:tcW w:w="3024" w:type="dxa"/>
          </w:tcPr>
          <w:p w14:paraId="76BF99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2F6F7E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127F2A95" w14:textId="77777777">
        <w:tc>
          <w:tcPr>
            <w:tcW w:w="3024" w:type="dxa"/>
          </w:tcPr>
          <w:p w14:paraId="49B155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332E4E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w:t>
            </w:r>
          </w:p>
        </w:tc>
      </w:tr>
      <w:tr w:rsidR="001002C3" w:rsidRPr="007122AB" w14:paraId="7DE4DDD3" w14:textId="77777777">
        <w:tc>
          <w:tcPr>
            <w:tcW w:w="3024" w:type="dxa"/>
          </w:tcPr>
          <w:p w14:paraId="33914F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68A786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1,5-2 часа</w:t>
            </w:r>
          </w:p>
        </w:tc>
      </w:tr>
      <w:tr w:rsidR="001002C3" w:rsidRPr="007122AB" w14:paraId="4F39D604" w14:textId="77777777">
        <w:tc>
          <w:tcPr>
            <w:tcW w:w="3024" w:type="dxa"/>
          </w:tcPr>
          <w:p w14:paraId="501ED3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49B210C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сентября 1930 года</w:t>
            </w:r>
          </w:p>
        </w:tc>
      </w:tr>
      <w:tr w:rsidR="001002C3" w:rsidRPr="007122AB" w14:paraId="355C3378" w14:textId="77777777">
        <w:tc>
          <w:tcPr>
            <w:tcW w:w="3024" w:type="dxa"/>
          </w:tcPr>
          <w:p w14:paraId="78D434B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7FF815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Пропустив все сроки ОКБ до настоящего времени не предъявило самолет на испытания. Темпы устранения дефектов недопустимо медленные.</w:t>
            </w:r>
          </w:p>
          <w:p w14:paraId="6B6FA6B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4FDD09C5" w14:textId="77777777">
        <w:tc>
          <w:tcPr>
            <w:tcW w:w="3024" w:type="dxa"/>
          </w:tcPr>
          <w:p w14:paraId="2D2F4CD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AA3FA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И7-БМВVI Е=7,3</w:t>
            </w:r>
          </w:p>
        </w:tc>
      </w:tr>
      <w:tr w:rsidR="001002C3" w:rsidRPr="007122AB" w14:paraId="2971AF4E" w14:textId="77777777">
        <w:tc>
          <w:tcPr>
            <w:tcW w:w="3024" w:type="dxa"/>
          </w:tcPr>
          <w:p w14:paraId="6DCC97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5CE071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277/5000</w:t>
            </w:r>
          </w:p>
        </w:tc>
      </w:tr>
      <w:tr w:rsidR="001002C3" w:rsidRPr="007122AB" w14:paraId="1A3A287D" w14:textId="77777777">
        <w:tc>
          <w:tcPr>
            <w:tcW w:w="3024" w:type="dxa"/>
          </w:tcPr>
          <w:p w14:paraId="095EFE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1C62ED6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10,5/5000</w:t>
            </w:r>
          </w:p>
        </w:tc>
      </w:tr>
      <w:tr w:rsidR="001002C3" w:rsidRPr="007122AB" w14:paraId="1BA52A8F" w14:textId="77777777">
        <w:tc>
          <w:tcPr>
            <w:tcW w:w="3024" w:type="dxa"/>
          </w:tcPr>
          <w:p w14:paraId="443013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036382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w:t>
            </w:r>
          </w:p>
        </w:tc>
      </w:tr>
      <w:tr w:rsidR="001002C3" w:rsidRPr="007122AB" w14:paraId="2027899B" w14:textId="77777777">
        <w:tc>
          <w:tcPr>
            <w:tcW w:w="3024" w:type="dxa"/>
          </w:tcPr>
          <w:p w14:paraId="2A5E73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0471E3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пулемета</w:t>
            </w:r>
          </w:p>
        </w:tc>
      </w:tr>
      <w:tr w:rsidR="001002C3" w:rsidRPr="007122AB" w14:paraId="4454AC5C" w14:textId="77777777">
        <w:tc>
          <w:tcPr>
            <w:tcW w:w="3024" w:type="dxa"/>
          </w:tcPr>
          <w:p w14:paraId="27D6CF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76D429C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D4E49C3" w14:textId="77777777">
        <w:tc>
          <w:tcPr>
            <w:tcW w:w="3024" w:type="dxa"/>
          </w:tcPr>
          <w:p w14:paraId="7F652E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67AC05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90BFD6F" w14:textId="77777777">
        <w:tc>
          <w:tcPr>
            <w:tcW w:w="3024" w:type="dxa"/>
          </w:tcPr>
          <w:p w14:paraId="4F7098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Степень выполнения на 1 октября 1931 года</w:t>
            </w:r>
          </w:p>
        </w:tc>
        <w:tc>
          <w:tcPr>
            <w:tcW w:w="7574" w:type="dxa"/>
          </w:tcPr>
          <w:p w14:paraId="2D8BDE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Проведенные (за исключением стрельб) гос. испытания головного самолета серии постройки завода № 1 показали, что самолет имеет данные ниже, чем у Хейнкеля НД-37, последнее объясняется </w:t>
            </w:r>
            <w:proofErr w:type="spellStart"/>
            <w:r w:rsidRPr="007122AB">
              <w:rPr>
                <w:rFonts w:ascii="Times New Roman" w:hAnsi="Times New Roman"/>
                <w:color w:val="000000" w:themeColor="text1"/>
                <w:sz w:val="16"/>
                <w:szCs w:val="16"/>
              </w:rPr>
              <w:t>перетяжелением</w:t>
            </w:r>
            <w:proofErr w:type="spellEnd"/>
            <w:r w:rsidRPr="007122AB">
              <w:rPr>
                <w:rFonts w:ascii="Times New Roman" w:hAnsi="Times New Roman"/>
                <w:color w:val="000000" w:themeColor="text1"/>
                <w:sz w:val="16"/>
                <w:szCs w:val="16"/>
              </w:rPr>
              <w:t xml:space="preserve"> в процессе постройки (на 60 кг) и неудовлетворительной работой мотора при пользовании высотным газом. Самолет И7-БМВVI Е=7,3 превосходит И5-ЮVI горизонтальными скоростями и уступает ему в отношении скороподъемности и маневренности.</w:t>
            </w:r>
          </w:p>
          <w:p w14:paraId="69F5FFB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Начальником ВВС принято решение постройки небольшой серии И7-М17 для вооружения нескольких частей ВВС. Серия в 80 самолетов строится на заводе № 1.</w:t>
            </w:r>
          </w:p>
          <w:p w14:paraId="1D60536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И7-М17 позволяет легкую модификацию в И7-М34, что несомненно значительно улучшит его летные качества.</w:t>
            </w:r>
          </w:p>
          <w:p w14:paraId="136D095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Наблюдающий инженер </w:t>
            </w:r>
            <w:proofErr w:type="spellStart"/>
            <w:r w:rsidRPr="007122AB">
              <w:rPr>
                <w:rFonts w:ascii="Times New Roman" w:hAnsi="Times New Roman"/>
                <w:color w:val="000000" w:themeColor="text1"/>
                <w:sz w:val="16"/>
                <w:szCs w:val="16"/>
              </w:rPr>
              <w:t>Гребенев</w:t>
            </w:r>
            <w:proofErr w:type="spellEnd"/>
            <w:r w:rsidRPr="007122AB">
              <w:rPr>
                <w:rFonts w:ascii="Times New Roman" w:hAnsi="Times New Roman"/>
                <w:color w:val="000000" w:themeColor="text1"/>
                <w:sz w:val="16"/>
                <w:szCs w:val="16"/>
              </w:rPr>
              <w:t>.</w:t>
            </w:r>
          </w:p>
        </w:tc>
      </w:tr>
      <w:tr w:rsidR="001002C3" w:rsidRPr="007122AB" w14:paraId="5BDD4170" w14:textId="77777777">
        <w:tc>
          <w:tcPr>
            <w:tcW w:w="3024" w:type="dxa"/>
          </w:tcPr>
          <w:p w14:paraId="3C0679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5F690B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ТБ1-2М17 (для химических целей)</w:t>
            </w:r>
          </w:p>
        </w:tc>
      </w:tr>
      <w:tr w:rsidR="001002C3" w:rsidRPr="007122AB" w14:paraId="2192C2B9" w14:textId="77777777">
        <w:tc>
          <w:tcPr>
            <w:tcW w:w="3024" w:type="dxa"/>
          </w:tcPr>
          <w:p w14:paraId="52244B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5831A3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 Ведутся испытания аппаратуры.</w:t>
            </w:r>
          </w:p>
        </w:tc>
      </w:tr>
      <w:tr w:rsidR="001002C3" w:rsidRPr="007122AB" w14:paraId="6EA34B74" w14:textId="77777777">
        <w:tc>
          <w:tcPr>
            <w:tcW w:w="3024" w:type="dxa"/>
          </w:tcPr>
          <w:p w14:paraId="1644F2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6E2724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Горелова под мотор Вальтер</w:t>
            </w:r>
          </w:p>
        </w:tc>
      </w:tr>
      <w:tr w:rsidR="001002C3" w:rsidRPr="007122AB" w14:paraId="6D638266" w14:textId="77777777">
        <w:tc>
          <w:tcPr>
            <w:tcW w:w="3024" w:type="dxa"/>
          </w:tcPr>
          <w:p w14:paraId="099286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552E2D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p w14:paraId="679F82A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Ссылаясь на некомпетентность Бюро особых конструкций, ЦАГИ к работам по самолетам и парабола еще не приступил.</w:t>
            </w:r>
          </w:p>
        </w:tc>
      </w:tr>
      <w:tr w:rsidR="001002C3" w:rsidRPr="007122AB" w14:paraId="77D95485" w14:textId="77777777">
        <w:tc>
          <w:tcPr>
            <w:tcW w:w="3024" w:type="dxa"/>
          </w:tcPr>
          <w:p w14:paraId="1D8E856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7FA1A8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«Парабола» М11</w:t>
            </w:r>
          </w:p>
        </w:tc>
      </w:tr>
      <w:tr w:rsidR="001002C3" w:rsidRPr="007122AB" w14:paraId="6BB1390B" w14:textId="77777777">
        <w:tc>
          <w:tcPr>
            <w:tcW w:w="3024" w:type="dxa"/>
          </w:tcPr>
          <w:p w14:paraId="678C71E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11FB2B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tc>
      </w:tr>
      <w:tr w:rsidR="001002C3" w:rsidRPr="007122AB" w14:paraId="3D53461F" w14:textId="77777777">
        <w:tc>
          <w:tcPr>
            <w:tcW w:w="3024" w:type="dxa"/>
          </w:tcPr>
          <w:p w14:paraId="08E648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576E5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И4-ЮVI моноплан</w:t>
            </w:r>
          </w:p>
        </w:tc>
      </w:tr>
      <w:tr w:rsidR="001002C3" w:rsidRPr="007122AB" w14:paraId="1D4046F8" w14:textId="77777777">
        <w:tc>
          <w:tcPr>
            <w:tcW w:w="3024" w:type="dxa"/>
          </w:tcPr>
          <w:p w14:paraId="3EB5F2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53046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не установлены.</w:t>
            </w:r>
          </w:p>
          <w:p w14:paraId="080557F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самолета, снабженного предкрылками на концах крыльев, закончены. Летные данные самолета в отношении скорости улучшились на 10-15 км/час, скороподъемность осталась неизменной, маневренность ухудшилась. </w:t>
            </w:r>
            <w:proofErr w:type="spellStart"/>
            <w:r w:rsidRPr="007122AB">
              <w:rPr>
                <w:rFonts w:ascii="Times New Roman" w:hAnsi="Times New Roman"/>
                <w:color w:val="000000" w:themeColor="text1"/>
                <w:sz w:val="16"/>
                <w:szCs w:val="16"/>
              </w:rPr>
              <w:t>Омонопланивание</w:t>
            </w:r>
            <w:proofErr w:type="spellEnd"/>
            <w:r w:rsidRPr="007122AB">
              <w:rPr>
                <w:rFonts w:ascii="Times New Roman" w:hAnsi="Times New Roman"/>
                <w:color w:val="000000" w:themeColor="text1"/>
                <w:sz w:val="16"/>
                <w:szCs w:val="16"/>
              </w:rPr>
              <w:t xml:space="preserve"> самолета значительно понизило прочность его крыльев, почему переделка построенных самолетов не является рациональной. Применение разрезных крыльев в виде одних предкрылков улучшило устойчивость самолета на малых скоростях, но не понизило его посадочной скорости.</w:t>
            </w:r>
          </w:p>
          <w:p w14:paraId="500CFC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Петров.</w:t>
            </w:r>
          </w:p>
        </w:tc>
      </w:tr>
      <w:tr w:rsidR="001002C3" w:rsidRPr="007122AB" w14:paraId="22AEFCB2" w14:textId="77777777">
        <w:tc>
          <w:tcPr>
            <w:tcW w:w="3024" w:type="dxa"/>
          </w:tcPr>
          <w:p w14:paraId="45EF6A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CE75B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1-ВГ Геликоптер</w:t>
            </w:r>
          </w:p>
        </w:tc>
      </w:tr>
      <w:tr w:rsidR="001002C3" w:rsidRPr="007122AB" w14:paraId="748B7529" w14:textId="77777777">
        <w:tc>
          <w:tcPr>
            <w:tcW w:w="3024" w:type="dxa"/>
          </w:tcPr>
          <w:p w14:paraId="2E210A6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4993E8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Ведется ремонт геликоптера после аварии с изменением конструкции отдельных деталей (лопасти винтов, хвостовая часть фюзеляжа).</w:t>
            </w:r>
          </w:p>
          <w:p w14:paraId="45FFA4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688A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Квитко.</w:t>
            </w:r>
          </w:p>
        </w:tc>
      </w:tr>
      <w:tr w:rsidR="001002C3" w:rsidRPr="007122AB" w14:paraId="0488D70F" w14:textId="77777777">
        <w:tc>
          <w:tcPr>
            <w:tcW w:w="3024" w:type="dxa"/>
          </w:tcPr>
          <w:p w14:paraId="251A989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85D761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Вертолет (автожир)</w:t>
            </w:r>
          </w:p>
        </w:tc>
      </w:tr>
      <w:tr w:rsidR="001002C3" w:rsidRPr="007122AB" w14:paraId="672DB7CA" w14:textId="77777777">
        <w:tc>
          <w:tcPr>
            <w:tcW w:w="3024" w:type="dxa"/>
          </w:tcPr>
          <w:p w14:paraId="10AF07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25BED9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Ссылаясь на </w:t>
            </w:r>
            <w:proofErr w:type="spellStart"/>
            <w:r w:rsidRPr="007122AB">
              <w:rPr>
                <w:rFonts w:ascii="Times New Roman" w:hAnsi="Times New Roman"/>
                <w:color w:val="000000" w:themeColor="text1"/>
                <w:sz w:val="16"/>
                <w:szCs w:val="16"/>
              </w:rPr>
              <w:t>неукомплектования</w:t>
            </w:r>
            <w:proofErr w:type="spellEnd"/>
            <w:r w:rsidRPr="007122AB">
              <w:rPr>
                <w:rFonts w:ascii="Times New Roman" w:hAnsi="Times New Roman"/>
                <w:color w:val="000000" w:themeColor="text1"/>
                <w:sz w:val="16"/>
                <w:szCs w:val="16"/>
              </w:rPr>
              <w:t xml:space="preserve"> Бюро особых конструкций, ЦАГИ работы по переделкам построенного автожира с мотором Титан ведет в очень слабом темпе.</w:t>
            </w:r>
          </w:p>
          <w:p w14:paraId="25B9E25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Кравцов.</w:t>
            </w:r>
          </w:p>
        </w:tc>
      </w:tr>
      <w:tr w:rsidR="001002C3" w:rsidRPr="007122AB" w14:paraId="4764671B" w14:textId="77777777">
        <w:tc>
          <w:tcPr>
            <w:tcW w:w="3024" w:type="dxa"/>
          </w:tcPr>
          <w:p w14:paraId="5FF0AE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2F616B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ТБ1а-2м17, установленный на поплавки</w:t>
            </w:r>
          </w:p>
        </w:tc>
      </w:tr>
      <w:tr w:rsidR="001002C3" w:rsidRPr="007122AB" w14:paraId="07F52898" w14:textId="77777777">
        <w:tc>
          <w:tcPr>
            <w:tcW w:w="3024" w:type="dxa"/>
          </w:tcPr>
          <w:p w14:paraId="71D45D7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7B124B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186/0</w:t>
            </w:r>
          </w:p>
        </w:tc>
      </w:tr>
      <w:tr w:rsidR="001002C3" w:rsidRPr="007122AB" w14:paraId="6ED9F1C7" w14:textId="77777777">
        <w:tc>
          <w:tcPr>
            <w:tcW w:w="3024" w:type="dxa"/>
          </w:tcPr>
          <w:p w14:paraId="6322F17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4E9616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83,5/3000</w:t>
            </w:r>
          </w:p>
        </w:tc>
      </w:tr>
      <w:tr w:rsidR="001002C3" w:rsidRPr="007122AB" w14:paraId="55E1CF0D" w14:textId="77777777">
        <w:tc>
          <w:tcPr>
            <w:tcW w:w="3024" w:type="dxa"/>
          </w:tcPr>
          <w:p w14:paraId="3A1D4A7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10BDA14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3520</w:t>
            </w:r>
          </w:p>
        </w:tc>
      </w:tr>
      <w:tr w:rsidR="001002C3" w:rsidRPr="007122AB" w14:paraId="7902DF9B" w14:textId="77777777">
        <w:tc>
          <w:tcPr>
            <w:tcW w:w="3024" w:type="dxa"/>
          </w:tcPr>
          <w:p w14:paraId="52D11B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3B2798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спаренные установки ДА</w:t>
            </w:r>
          </w:p>
        </w:tc>
      </w:tr>
      <w:tr w:rsidR="001002C3" w:rsidRPr="007122AB" w14:paraId="2F6AD7C5" w14:textId="77777777">
        <w:tc>
          <w:tcPr>
            <w:tcW w:w="3024" w:type="dxa"/>
          </w:tcPr>
          <w:p w14:paraId="7E4926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5745E4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1320 км</w:t>
            </w:r>
          </w:p>
        </w:tc>
      </w:tr>
      <w:tr w:rsidR="001002C3" w:rsidRPr="007122AB" w14:paraId="2DE64C82" w14:textId="77777777">
        <w:tc>
          <w:tcPr>
            <w:tcW w:w="3024" w:type="dxa"/>
          </w:tcPr>
          <w:p w14:paraId="30E46B5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45F6F37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A5A5D18" w14:textId="77777777">
        <w:tc>
          <w:tcPr>
            <w:tcW w:w="3024" w:type="dxa"/>
          </w:tcPr>
          <w:p w14:paraId="7711E6D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04D2FC7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Произведены испытания в Севастополе на поплавках Шорта за исключением мореходных испытаний (буксировки, посадки и взлет с волны, </w:t>
            </w:r>
            <w:proofErr w:type="spellStart"/>
            <w:r w:rsidRPr="007122AB">
              <w:rPr>
                <w:rFonts w:ascii="Times New Roman" w:hAnsi="Times New Roman"/>
                <w:color w:val="000000" w:themeColor="text1"/>
                <w:sz w:val="16"/>
                <w:szCs w:val="16"/>
              </w:rPr>
              <w:t>перегружение</w:t>
            </w:r>
            <w:proofErr w:type="spellEnd"/>
            <w:r w:rsidRPr="007122AB">
              <w:rPr>
                <w:rFonts w:ascii="Times New Roman" w:hAnsi="Times New Roman"/>
                <w:color w:val="000000" w:themeColor="text1"/>
                <w:sz w:val="16"/>
                <w:szCs w:val="16"/>
              </w:rPr>
              <w:t>). Поставлен вопрос о серийном изготовлении 22 пар поплавков в морских шасси. В настоящее время задержка из-за плакированного дюраля. УВВС приняты меры к срочной доставке дюраля на завод № 31 и выпуску головной пары поплавков в 1931 году.</w:t>
            </w:r>
          </w:p>
          <w:p w14:paraId="2D2B1F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Кудрявцев.</w:t>
            </w:r>
          </w:p>
        </w:tc>
      </w:tr>
      <w:tr w:rsidR="001002C3" w:rsidRPr="007122AB" w14:paraId="5481FCA3" w14:textId="77777777">
        <w:tc>
          <w:tcPr>
            <w:tcW w:w="3024" w:type="dxa"/>
          </w:tcPr>
          <w:p w14:paraId="27B25E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0D3B2E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 на поплавках</w:t>
            </w:r>
          </w:p>
        </w:tc>
      </w:tr>
      <w:tr w:rsidR="001002C3" w:rsidRPr="007122AB" w14:paraId="7590A761" w14:textId="77777777">
        <w:tc>
          <w:tcPr>
            <w:tcW w:w="3024" w:type="dxa"/>
          </w:tcPr>
          <w:p w14:paraId="19C5DB1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56722F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года</w:t>
            </w:r>
          </w:p>
        </w:tc>
      </w:tr>
      <w:tr w:rsidR="001002C3" w:rsidRPr="007122AB" w14:paraId="70B051D3" w14:textId="77777777">
        <w:tc>
          <w:tcPr>
            <w:tcW w:w="3024" w:type="dxa"/>
          </w:tcPr>
          <w:p w14:paraId="497219D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395632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запаздывает на гос. испытания на 5-5.% месяцев. Поплавки заводом № 28 изготовлены и направлены заводу № 39. Примерно 15 октября 1931 года самолет будет собран, опробован в воздухе с Москвы-реки и направлен на гос. испытания в Севастополь.</w:t>
            </w:r>
          </w:p>
          <w:p w14:paraId="3AE14F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Украинцев.</w:t>
            </w:r>
          </w:p>
        </w:tc>
      </w:tr>
      <w:tr w:rsidR="001002C3" w:rsidRPr="007122AB" w14:paraId="3F848073" w14:textId="77777777">
        <w:tc>
          <w:tcPr>
            <w:tcW w:w="3024" w:type="dxa"/>
          </w:tcPr>
          <w:p w14:paraId="373FED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2A98B5D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 на поплавках</w:t>
            </w:r>
          </w:p>
        </w:tc>
      </w:tr>
      <w:tr w:rsidR="001002C3" w:rsidRPr="007122AB" w14:paraId="7225A300" w14:textId="77777777">
        <w:tc>
          <w:tcPr>
            <w:tcW w:w="3024" w:type="dxa"/>
          </w:tcPr>
          <w:p w14:paraId="59408D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1C936D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 заказ ВАО на изготовление трех опытных поплавков и установку самолета на морские шасси. По изготовлении самолет будет испытан в Севастополе. Поднят вопрос о включении в план ВАО 25 штук Р6 на поплавках.</w:t>
            </w:r>
          </w:p>
          <w:p w14:paraId="5ED37B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Кудрявцев.</w:t>
            </w:r>
          </w:p>
        </w:tc>
      </w:tr>
      <w:tr w:rsidR="001002C3" w:rsidRPr="007122AB" w14:paraId="758654CA" w14:textId="77777777">
        <w:tc>
          <w:tcPr>
            <w:tcW w:w="3024" w:type="dxa"/>
          </w:tcPr>
          <w:p w14:paraId="28EB37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62ABD7E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МДР2-2БМВVI</w:t>
            </w:r>
          </w:p>
        </w:tc>
      </w:tr>
      <w:tr w:rsidR="001002C3" w:rsidRPr="007122AB" w14:paraId="2AD77193" w14:textId="77777777">
        <w:tc>
          <w:tcPr>
            <w:tcW w:w="3024" w:type="dxa"/>
          </w:tcPr>
          <w:p w14:paraId="3D6FB9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021CEDB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Ном. 118</w:t>
            </w:r>
          </w:p>
        </w:tc>
      </w:tr>
      <w:tr w:rsidR="001002C3" w:rsidRPr="007122AB" w14:paraId="42098D1F" w14:textId="77777777">
        <w:tc>
          <w:tcPr>
            <w:tcW w:w="3024" w:type="dxa"/>
          </w:tcPr>
          <w:p w14:paraId="262CD8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21868E3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39,75/3000</w:t>
            </w:r>
          </w:p>
        </w:tc>
      </w:tr>
      <w:tr w:rsidR="001002C3" w:rsidRPr="007122AB" w14:paraId="70B19371" w14:textId="77777777">
        <w:tc>
          <w:tcPr>
            <w:tcW w:w="3024" w:type="dxa"/>
          </w:tcPr>
          <w:p w14:paraId="0377B54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2271540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3330</w:t>
            </w:r>
          </w:p>
        </w:tc>
      </w:tr>
      <w:tr w:rsidR="001002C3" w:rsidRPr="007122AB" w14:paraId="3D1370B2" w14:textId="77777777">
        <w:tc>
          <w:tcPr>
            <w:tcW w:w="3024" w:type="dxa"/>
          </w:tcPr>
          <w:p w14:paraId="67723C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24841A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пулеметов</w:t>
            </w:r>
          </w:p>
          <w:p w14:paraId="7AE84E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в счет перегрузки 4х250 или 2х250, 4х100</w:t>
            </w:r>
          </w:p>
        </w:tc>
      </w:tr>
      <w:tr w:rsidR="001002C3" w:rsidRPr="007122AB" w14:paraId="67F33F02" w14:textId="77777777">
        <w:tc>
          <w:tcPr>
            <w:tcW w:w="3024" w:type="dxa"/>
          </w:tcPr>
          <w:p w14:paraId="2DD742F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362FEF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w:t>
            </w:r>
          </w:p>
        </w:tc>
      </w:tr>
      <w:tr w:rsidR="001002C3" w:rsidRPr="007122AB" w14:paraId="189D88FA" w14:textId="77777777">
        <w:tc>
          <w:tcPr>
            <w:tcW w:w="3024" w:type="dxa"/>
          </w:tcPr>
          <w:p w14:paraId="79C515C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18E15C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1930 года</w:t>
            </w:r>
          </w:p>
        </w:tc>
      </w:tr>
      <w:tr w:rsidR="001002C3" w:rsidRPr="007122AB" w14:paraId="28357C91" w14:textId="77777777">
        <w:tc>
          <w:tcPr>
            <w:tcW w:w="3024" w:type="dxa"/>
          </w:tcPr>
          <w:p w14:paraId="6E9CA4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0A5A001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 новыми поплавками большего водоизмещения готов к испытаниям. В ближайшие дни к испытаниям на мореходность комиссия приступает.</w:t>
            </w:r>
          </w:p>
          <w:p w14:paraId="39C336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в серийной постройке в 1932 году планом не предусмотрен ввиду неудовлетворения его данных </w:t>
            </w:r>
            <w:proofErr w:type="spellStart"/>
            <w:r w:rsidRPr="007122AB">
              <w:rPr>
                <w:rFonts w:ascii="Times New Roman" w:hAnsi="Times New Roman"/>
                <w:color w:val="000000" w:themeColor="text1"/>
                <w:sz w:val="16"/>
                <w:szCs w:val="16"/>
              </w:rPr>
              <w:t>техтребованиям</w:t>
            </w:r>
            <w:proofErr w:type="spellEnd"/>
            <w:r w:rsidRPr="007122AB">
              <w:rPr>
                <w:rFonts w:ascii="Times New Roman" w:hAnsi="Times New Roman"/>
                <w:color w:val="000000" w:themeColor="text1"/>
                <w:sz w:val="16"/>
                <w:szCs w:val="16"/>
              </w:rPr>
              <w:t>, предъявляемым к МДР штабом РККА и ориентировки на самолет МДР3-4М17, по расчетным данным удовлетворяющим требованиям Штаба РККА.</w:t>
            </w:r>
          </w:p>
          <w:p w14:paraId="1105D7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Кудрявцев.</w:t>
            </w:r>
          </w:p>
        </w:tc>
      </w:tr>
      <w:tr w:rsidR="001002C3" w:rsidRPr="007122AB" w14:paraId="0215AF05" w14:textId="77777777">
        <w:tc>
          <w:tcPr>
            <w:tcW w:w="3024" w:type="dxa"/>
          </w:tcPr>
          <w:p w14:paraId="26F882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26A0CE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МДР1-2БМВVI</w:t>
            </w:r>
          </w:p>
        </w:tc>
      </w:tr>
      <w:tr w:rsidR="001002C3" w:rsidRPr="007122AB" w14:paraId="0A8D374B" w14:textId="77777777">
        <w:tc>
          <w:tcPr>
            <w:tcW w:w="3024" w:type="dxa"/>
          </w:tcPr>
          <w:p w14:paraId="14E7FB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22AE0F4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8DEDF9" w14:textId="77777777">
        <w:tc>
          <w:tcPr>
            <w:tcW w:w="3024" w:type="dxa"/>
          </w:tcPr>
          <w:p w14:paraId="668EEE9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146324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32/3000</w:t>
            </w:r>
          </w:p>
        </w:tc>
      </w:tr>
      <w:tr w:rsidR="001002C3" w:rsidRPr="007122AB" w14:paraId="34B3F9CB" w14:textId="77777777">
        <w:tc>
          <w:tcPr>
            <w:tcW w:w="3024" w:type="dxa"/>
          </w:tcPr>
          <w:p w14:paraId="71EF45E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035A27C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r>
      <w:tr w:rsidR="001002C3" w:rsidRPr="007122AB" w14:paraId="0038885F" w14:textId="77777777">
        <w:tc>
          <w:tcPr>
            <w:tcW w:w="3024" w:type="dxa"/>
          </w:tcPr>
          <w:p w14:paraId="7782C30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Вооружение</w:t>
            </w:r>
          </w:p>
        </w:tc>
        <w:tc>
          <w:tcPr>
            <w:tcW w:w="7574" w:type="dxa"/>
          </w:tcPr>
          <w:p w14:paraId="6E81AF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Отсутствует</w:t>
            </w:r>
          </w:p>
        </w:tc>
      </w:tr>
      <w:tr w:rsidR="001002C3" w:rsidRPr="007122AB" w14:paraId="51132AC3" w14:textId="77777777">
        <w:tc>
          <w:tcPr>
            <w:tcW w:w="3024" w:type="dxa"/>
          </w:tcPr>
          <w:p w14:paraId="13D457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5429579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r>
      <w:tr w:rsidR="001002C3" w:rsidRPr="007122AB" w14:paraId="654DCC54" w14:textId="77777777">
        <w:tc>
          <w:tcPr>
            <w:tcW w:w="3024" w:type="dxa"/>
          </w:tcPr>
          <w:p w14:paraId="675C49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5A6EBC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июня 1931 года</w:t>
            </w:r>
          </w:p>
        </w:tc>
      </w:tr>
      <w:tr w:rsidR="001002C3" w:rsidRPr="007122AB" w14:paraId="6491F552" w14:textId="77777777">
        <w:tc>
          <w:tcPr>
            <w:tcW w:w="3024" w:type="dxa"/>
          </w:tcPr>
          <w:p w14:paraId="74A493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8C5E3E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идет вне плана ЦКБ. Работы ведутся очень медленно. Лодка закончена в производстве. Конструкция крыльев разрабатывается. Внимание КБ и производства всецело плановым самолетам. Срок окончания в производстве ориентировочно к 1 февраля 1932 года.</w:t>
            </w:r>
          </w:p>
          <w:p w14:paraId="0AC5E29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Кудрявцев.</w:t>
            </w:r>
          </w:p>
        </w:tc>
      </w:tr>
      <w:tr w:rsidR="001002C3" w:rsidRPr="007122AB" w14:paraId="50DCD3CB" w14:textId="77777777">
        <w:tc>
          <w:tcPr>
            <w:tcW w:w="3024" w:type="dxa"/>
          </w:tcPr>
          <w:p w14:paraId="4E7D356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3476E9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МУ3-М11</w:t>
            </w:r>
          </w:p>
        </w:tc>
      </w:tr>
      <w:tr w:rsidR="001002C3" w:rsidRPr="007122AB" w14:paraId="0E05A51A" w14:textId="77777777">
        <w:tc>
          <w:tcPr>
            <w:tcW w:w="3024" w:type="dxa"/>
          </w:tcPr>
          <w:p w14:paraId="42B5E82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57986FC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120/130/0</w:t>
            </w:r>
          </w:p>
        </w:tc>
      </w:tr>
      <w:tr w:rsidR="001002C3" w:rsidRPr="007122AB" w14:paraId="6DE8B864" w14:textId="77777777">
        <w:tc>
          <w:tcPr>
            <w:tcW w:w="3024" w:type="dxa"/>
          </w:tcPr>
          <w:p w14:paraId="099B8E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2FB92C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20/3000</w:t>
            </w:r>
          </w:p>
        </w:tc>
      </w:tr>
      <w:tr w:rsidR="001002C3" w:rsidRPr="007122AB" w14:paraId="2ED5E86E" w14:textId="77777777">
        <w:tc>
          <w:tcPr>
            <w:tcW w:w="3024" w:type="dxa"/>
          </w:tcPr>
          <w:p w14:paraId="13F6B9C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7B42056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r>
      <w:tr w:rsidR="001002C3" w:rsidRPr="007122AB" w14:paraId="0C95CBD6" w14:textId="77777777">
        <w:tc>
          <w:tcPr>
            <w:tcW w:w="3024" w:type="dxa"/>
          </w:tcPr>
          <w:p w14:paraId="5F429D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19AC93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84097CA" w14:textId="77777777">
        <w:tc>
          <w:tcPr>
            <w:tcW w:w="3024" w:type="dxa"/>
          </w:tcPr>
          <w:p w14:paraId="69B9789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0B549E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3 часа</w:t>
            </w:r>
          </w:p>
        </w:tc>
      </w:tr>
      <w:tr w:rsidR="001002C3" w:rsidRPr="007122AB" w14:paraId="3B59FA5A" w14:textId="77777777">
        <w:tc>
          <w:tcPr>
            <w:tcW w:w="3024" w:type="dxa"/>
          </w:tcPr>
          <w:p w14:paraId="710C014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7499623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мая 1931 года</w:t>
            </w:r>
          </w:p>
        </w:tc>
      </w:tr>
      <w:tr w:rsidR="001002C3" w:rsidRPr="007122AB" w14:paraId="11D4A689" w14:textId="77777777">
        <w:tc>
          <w:tcPr>
            <w:tcW w:w="3024" w:type="dxa"/>
          </w:tcPr>
          <w:p w14:paraId="05E619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677A7AC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готов и проходит в настоящее время заводские испытания в Ленинграде. После окончания заводских испытаний будет направлен в Севастополь на гос. испытания в Морской отдел НИИ. Самолет опаздывает на гос. испытания примерно на 6-6,5 месяцев.</w:t>
            </w:r>
          </w:p>
          <w:p w14:paraId="60C572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Украинцев.</w:t>
            </w:r>
          </w:p>
        </w:tc>
      </w:tr>
      <w:tr w:rsidR="001002C3" w:rsidRPr="007122AB" w14:paraId="3F862F5A" w14:textId="77777777">
        <w:tc>
          <w:tcPr>
            <w:tcW w:w="3024" w:type="dxa"/>
          </w:tcPr>
          <w:p w14:paraId="2605A13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4106DE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А1-М11</w:t>
            </w:r>
          </w:p>
        </w:tc>
      </w:tr>
      <w:tr w:rsidR="001002C3" w:rsidRPr="007122AB" w14:paraId="68EBEA63" w14:textId="77777777">
        <w:tc>
          <w:tcPr>
            <w:tcW w:w="3024" w:type="dxa"/>
          </w:tcPr>
          <w:p w14:paraId="19D362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5D7EEA3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146/137/0</w:t>
            </w:r>
          </w:p>
        </w:tc>
      </w:tr>
      <w:tr w:rsidR="001002C3" w:rsidRPr="007122AB" w14:paraId="4F597C5A" w14:textId="77777777">
        <w:tc>
          <w:tcPr>
            <w:tcW w:w="3024" w:type="dxa"/>
          </w:tcPr>
          <w:p w14:paraId="3D8BD0D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37D707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33/50,6/3000</w:t>
            </w:r>
          </w:p>
        </w:tc>
      </w:tr>
      <w:tr w:rsidR="001002C3" w:rsidRPr="007122AB" w14:paraId="2BA70BFC" w14:textId="77777777">
        <w:tc>
          <w:tcPr>
            <w:tcW w:w="3024" w:type="dxa"/>
          </w:tcPr>
          <w:p w14:paraId="370458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3CC6A4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3650/3350</w:t>
            </w:r>
          </w:p>
        </w:tc>
      </w:tr>
      <w:tr w:rsidR="001002C3" w:rsidRPr="007122AB" w14:paraId="29C50748" w14:textId="77777777">
        <w:tc>
          <w:tcPr>
            <w:tcW w:w="3024" w:type="dxa"/>
          </w:tcPr>
          <w:p w14:paraId="4283854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4A9DFB7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Нет</w:t>
            </w:r>
          </w:p>
        </w:tc>
      </w:tr>
      <w:tr w:rsidR="001002C3" w:rsidRPr="007122AB" w14:paraId="6B4DF179" w14:textId="77777777">
        <w:tc>
          <w:tcPr>
            <w:tcW w:w="3024" w:type="dxa"/>
          </w:tcPr>
          <w:p w14:paraId="06B523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6E0FB2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3 часа</w:t>
            </w:r>
          </w:p>
        </w:tc>
      </w:tr>
      <w:tr w:rsidR="001002C3" w:rsidRPr="007122AB" w14:paraId="36F9E09C" w14:textId="77777777">
        <w:tc>
          <w:tcPr>
            <w:tcW w:w="3024" w:type="dxa"/>
          </w:tcPr>
          <w:p w14:paraId="28358E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29A8420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1477074" w14:textId="77777777">
        <w:tc>
          <w:tcPr>
            <w:tcW w:w="3024" w:type="dxa"/>
          </w:tcPr>
          <w:p w14:paraId="2B2A80E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189F51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сведениях указаны данные гос. испытаний в НИИ </w:t>
            </w:r>
            <w:proofErr w:type="spellStart"/>
            <w:r w:rsidRPr="007122AB">
              <w:rPr>
                <w:rFonts w:ascii="Times New Roman" w:hAnsi="Times New Roman"/>
                <w:color w:val="000000" w:themeColor="text1"/>
                <w:sz w:val="16"/>
                <w:szCs w:val="16"/>
              </w:rPr>
              <w:t>ВОГВФа</w:t>
            </w:r>
            <w:proofErr w:type="spellEnd"/>
            <w:r w:rsidRPr="007122AB">
              <w:rPr>
                <w:rFonts w:ascii="Times New Roman" w:hAnsi="Times New Roman"/>
                <w:color w:val="000000" w:themeColor="text1"/>
                <w:sz w:val="16"/>
                <w:szCs w:val="16"/>
              </w:rPr>
              <w:t>. УВВС предполагает использование А1-М11 в качестве корабельного разведчика-корректировщика на лидерах-эсминцах, Морской отдел НИИ ВВС считает невозможным использование в качестве разведчика-корректировщика, так как ни по своим данным, ни по непроработанности своего вооружения (его совершенно по настоящее время на самолете нет, так самолет строится для гражданских целей) для этих целей самолет не подходит.</w:t>
            </w:r>
          </w:p>
          <w:p w14:paraId="33061E2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23 готовит второй экземпляр А1-М11 для гос. испытаний НИИ ВВС. Самолет будет готов к 1 февраля 1931 года.</w:t>
            </w:r>
          </w:p>
          <w:p w14:paraId="0CBE72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Украинцев.</w:t>
            </w:r>
          </w:p>
        </w:tc>
      </w:tr>
      <w:tr w:rsidR="001002C3" w:rsidRPr="007122AB" w14:paraId="7FAC4EF3" w14:textId="77777777">
        <w:tc>
          <w:tcPr>
            <w:tcW w:w="3024" w:type="dxa"/>
          </w:tcPr>
          <w:p w14:paraId="2CB1D24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3CDCDA3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МТБ1-2БМВVI</w:t>
            </w:r>
          </w:p>
        </w:tc>
      </w:tr>
      <w:tr w:rsidR="001002C3" w:rsidRPr="007122AB" w14:paraId="0914FDA6" w14:textId="77777777">
        <w:tc>
          <w:tcPr>
            <w:tcW w:w="3024" w:type="dxa"/>
          </w:tcPr>
          <w:p w14:paraId="105DB6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761E72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170/180/0</w:t>
            </w:r>
          </w:p>
        </w:tc>
      </w:tr>
      <w:tr w:rsidR="001002C3" w:rsidRPr="007122AB" w14:paraId="7921FAA9" w14:textId="77777777">
        <w:tc>
          <w:tcPr>
            <w:tcW w:w="3024" w:type="dxa"/>
          </w:tcPr>
          <w:p w14:paraId="055389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70E0BF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20-30/3000</w:t>
            </w:r>
          </w:p>
        </w:tc>
      </w:tr>
      <w:tr w:rsidR="001002C3" w:rsidRPr="007122AB" w14:paraId="67D0A374" w14:textId="77777777">
        <w:tc>
          <w:tcPr>
            <w:tcW w:w="3024" w:type="dxa"/>
          </w:tcPr>
          <w:p w14:paraId="279A0F4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5C4896D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3500-4000</w:t>
            </w:r>
          </w:p>
        </w:tc>
      </w:tr>
      <w:tr w:rsidR="001002C3" w:rsidRPr="007122AB" w14:paraId="3F289911" w14:textId="77777777">
        <w:tc>
          <w:tcPr>
            <w:tcW w:w="3024" w:type="dxa"/>
          </w:tcPr>
          <w:p w14:paraId="4A1B8D0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1DFF2B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614214E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торпеды</w:t>
            </w:r>
          </w:p>
        </w:tc>
      </w:tr>
      <w:tr w:rsidR="001002C3" w:rsidRPr="007122AB" w14:paraId="46896882" w14:textId="77777777">
        <w:tc>
          <w:tcPr>
            <w:tcW w:w="3024" w:type="dxa"/>
          </w:tcPr>
          <w:p w14:paraId="1384EF0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6DD2AED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 4 часа</w:t>
            </w:r>
          </w:p>
        </w:tc>
      </w:tr>
      <w:tr w:rsidR="001002C3" w:rsidRPr="007122AB" w14:paraId="66E3E091" w14:textId="77777777">
        <w:tc>
          <w:tcPr>
            <w:tcW w:w="3024" w:type="dxa"/>
          </w:tcPr>
          <w:p w14:paraId="207B225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2EE01DC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ноября 1930 года</w:t>
            </w:r>
          </w:p>
        </w:tc>
      </w:tr>
      <w:tr w:rsidR="001002C3" w:rsidRPr="007122AB" w14:paraId="2CF839B8" w14:textId="77777777">
        <w:tc>
          <w:tcPr>
            <w:tcW w:w="3024" w:type="dxa"/>
          </w:tcPr>
          <w:p w14:paraId="4F2B032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023C46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 1 января 1931 года по настоящее время находится на заводских испытаниях и доводках конструкции в Севастополе.</w:t>
            </w:r>
          </w:p>
          <w:p w14:paraId="3732A53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Кудрявцев.</w:t>
            </w:r>
          </w:p>
        </w:tc>
      </w:tr>
      <w:tr w:rsidR="001002C3" w:rsidRPr="007122AB" w14:paraId="47128741" w14:textId="77777777">
        <w:tc>
          <w:tcPr>
            <w:tcW w:w="3024" w:type="dxa"/>
          </w:tcPr>
          <w:p w14:paraId="49CB176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0F4E39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МБР2-БМВVI</w:t>
            </w:r>
          </w:p>
        </w:tc>
      </w:tr>
      <w:tr w:rsidR="001002C3" w:rsidRPr="007122AB" w14:paraId="705ED9D5" w14:textId="77777777">
        <w:tc>
          <w:tcPr>
            <w:tcW w:w="3024" w:type="dxa"/>
          </w:tcPr>
          <w:p w14:paraId="2CDBB0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горизонтальная скорость/на высоте</w:t>
            </w:r>
          </w:p>
        </w:tc>
        <w:tc>
          <w:tcPr>
            <w:tcW w:w="7574" w:type="dxa"/>
          </w:tcPr>
          <w:p w14:paraId="0304F60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r>
      <w:tr w:rsidR="001002C3" w:rsidRPr="007122AB" w14:paraId="1BCBF95A" w14:textId="77777777">
        <w:tc>
          <w:tcPr>
            <w:tcW w:w="3024" w:type="dxa"/>
          </w:tcPr>
          <w:p w14:paraId="01D7AD2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Скороподъемность/на высоту</w:t>
            </w:r>
          </w:p>
        </w:tc>
        <w:tc>
          <w:tcPr>
            <w:tcW w:w="7574" w:type="dxa"/>
          </w:tcPr>
          <w:p w14:paraId="4A1B7E6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15-50/3000</w:t>
            </w:r>
          </w:p>
        </w:tc>
      </w:tr>
      <w:tr w:rsidR="001002C3" w:rsidRPr="007122AB" w14:paraId="364B1457" w14:textId="77777777">
        <w:tc>
          <w:tcPr>
            <w:tcW w:w="3024" w:type="dxa"/>
          </w:tcPr>
          <w:p w14:paraId="7B29BF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7574" w:type="dxa"/>
          </w:tcPr>
          <w:p w14:paraId="0B9D8D8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3AE196B0" w14:textId="77777777">
        <w:tc>
          <w:tcPr>
            <w:tcW w:w="3024" w:type="dxa"/>
          </w:tcPr>
          <w:p w14:paraId="79580C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7574" w:type="dxa"/>
          </w:tcPr>
          <w:p w14:paraId="41D4E14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пулемета</w:t>
            </w:r>
          </w:p>
          <w:p w14:paraId="1ED3B5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бомбы за счет перегрузки</w:t>
            </w:r>
          </w:p>
        </w:tc>
      </w:tr>
      <w:tr w:rsidR="001002C3" w:rsidRPr="007122AB" w14:paraId="05C06186" w14:textId="77777777">
        <w:tc>
          <w:tcPr>
            <w:tcW w:w="3024" w:type="dxa"/>
          </w:tcPr>
          <w:p w14:paraId="7B5EB8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w:t>
            </w:r>
          </w:p>
        </w:tc>
        <w:tc>
          <w:tcPr>
            <w:tcW w:w="7574" w:type="dxa"/>
          </w:tcPr>
          <w:p w14:paraId="7BEB1CE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r>
      <w:tr w:rsidR="001002C3" w:rsidRPr="007122AB" w14:paraId="0E87750A" w14:textId="77777777">
        <w:tc>
          <w:tcPr>
            <w:tcW w:w="3024" w:type="dxa"/>
          </w:tcPr>
          <w:p w14:paraId="406A0D8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предъявления на гос. испытания</w:t>
            </w:r>
          </w:p>
        </w:tc>
        <w:tc>
          <w:tcPr>
            <w:tcW w:w="7574" w:type="dxa"/>
          </w:tcPr>
          <w:p w14:paraId="3F9692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июля 931 года</w:t>
            </w:r>
          </w:p>
        </w:tc>
      </w:tr>
      <w:tr w:rsidR="001002C3" w:rsidRPr="007122AB" w14:paraId="013CFA53" w14:textId="77777777">
        <w:tc>
          <w:tcPr>
            <w:tcW w:w="3024" w:type="dxa"/>
          </w:tcPr>
          <w:p w14:paraId="7DA1AC1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3E53D5A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находится в производстве завода № 39. Конструкция разработана полностью. Лодка готова, крылья и моторная установка заканчиваются. Самолет будет закончен в производстве 20 октября 1931 года, на гос. испытания поступит вероятно 20 февраля 1931 года. Опоздание на 4,5 месяца.</w:t>
            </w:r>
          </w:p>
          <w:p w14:paraId="313960A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волков.</w:t>
            </w:r>
          </w:p>
        </w:tc>
      </w:tr>
      <w:tr w:rsidR="001002C3" w:rsidRPr="007122AB" w14:paraId="4A74F153" w14:textId="77777777">
        <w:tc>
          <w:tcPr>
            <w:tcW w:w="3024" w:type="dxa"/>
          </w:tcPr>
          <w:p w14:paraId="1B5C02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33EA9C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МБР3-2М22</w:t>
            </w:r>
          </w:p>
        </w:tc>
      </w:tr>
      <w:tr w:rsidR="001002C3" w:rsidRPr="007122AB" w14:paraId="4EC15EA8" w14:textId="77777777">
        <w:tc>
          <w:tcPr>
            <w:tcW w:w="3024" w:type="dxa"/>
          </w:tcPr>
          <w:p w14:paraId="035ACFF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DE9DC0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НИИ ВВС поступил эскизный проект на заключение. Макет заканчивается оборудованием к 12 октября 1931 года. Детальная разработка конструкции самолета начнется с 12 октября 1931 года после утверждения макета.</w:t>
            </w:r>
          </w:p>
          <w:p w14:paraId="1FA9C3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Волков.</w:t>
            </w:r>
          </w:p>
        </w:tc>
      </w:tr>
      <w:tr w:rsidR="001002C3" w:rsidRPr="007122AB" w14:paraId="500F174E" w14:textId="77777777">
        <w:tc>
          <w:tcPr>
            <w:tcW w:w="3024" w:type="dxa"/>
          </w:tcPr>
          <w:p w14:paraId="6B5934F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w:t>
            </w:r>
          </w:p>
        </w:tc>
        <w:tc>
          <w:tcPr>
            <w:tcW w:w="7574" w:type="dxa"/>
          </w:tcPr>
          <w:p w14:paraId="5851AA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МУ2-М11</w:t>
            </w:r>
          </w:p>
        </w:tc>
      </w:tr>
      <w:tr w:rsidR="001002C3" w:rsidRPr="007122AB" w14:paraId="19DE3951" w14:textId="77777777">
        <w:tc>
          <w:tcPr>
            <w:tcW w:w="3024" w:type="dxa"/>
          </w:tcPr>
          <w:p w14:paraId="6DFDE99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выполнения на 1 октября 1931 года</w:t>
            </w:r>
          </w:p>
        </w:tc>
        <w:tc>
          <w:tcPr>
            <w:tcW w:w="7574" w:type="dxa"/>
          </w:tcPr>
          <w:p w14:paraId="40F7596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закончил ремонт и мотор перебран. Самолет поступил на мореходные испытания второго варианта поплавков в морской отряд НИИ. После окончания испытания поплавков самолет будет передан для эксплуатационных испытаний в школу морских летчиков в Ейске.</w:t>
            </w:r>
          </w:p>
          <w:p w14:paraId="6C2D1DD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Наблюдающий инженер Украинцев.</w:t>
            </w:r>
          </w:p>
        </w:tc>
      </w:tr>
    </w:tbl>
    <w:p w14:paraId="7D49901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(6919, 1-9).</w:t>
      </w:r>
    </w:p>
    <w:p w14:paraId="0A29E75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Сведения о состоянии строительства опытных образцов по 2 отделу НИИ ВВС на 1 октября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290"/>
      </w:tblGrid>
      <w:tr w:rsidR="001002C3" w:rsidRPr="007122AB" w14:paraId="68C567BB" w14:textId="77777777">
        <w:tc>
          <w:tcPr>
            <w:tcW w:w="3024" w:type="dxa"/>
          </w:tcPr>
          <w:p w14:paraId="049D1A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опытного образца</w:t>
            </w:r>
          </w:p>
        </w:tc>
        <w:tc>
          <w:tcPr>
            <w:tcW w:w="7290" w:type="dxa"/>
          </w:tcPr>
          <w:p w14:paraId="1A05BA3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реактивного двигателя на самолете ТБ1-2М17</w:t>
            </w:r>
          </w:p>
        </w:tc>
      </w:tr>
      <w:tr w:rsidR="001002C3" w:rsidRPr="007122AB" w14:paraId="41DF49F0" w14:textId="77777777">
        <w:tc>
          <w:tcPr>
            <w:tcW w:w="3024" w:type="dxa"/>
          </w:tcPr>
          <w:p w14:paraId="782961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характеристики опытного образца</w:t>
            </w:r>
          </w:p>
        </w:tc>
        <w:tc>
          <w:tcPr>
            <w:tcW w:w="7290" w:type="dxa"/>
          </w:tcPr>
          <w:p w14:paraId="667C19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нескольких пороховых ракет на крыльях самолета для сокращения разбега</w:t>
            </w:r>
          </w:p>
        </w:tc>
      </w:tr>
      <w:tr w:rsidR="001002C3" w:rsidRPr="007122AB" w14:paraId="090385BB" w14:textId="77777777">
        <w:tc>
          <w:tcPr>
            <w:tcW w:w="3024" w:type="dxa"/>
          </w:tcPr>
          <w:p w14:paraId="2E244D9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Кто строит опытный образец</w:t>
            </w:r>
          </w:p>
        </w:tc>
        <w:tc>
          <w:tcPr>
            <w:tcW w:w="7290" w:type="dxa"/>
          </w:tcPr>
          <w:p w14:paraId="41C04AD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Работу проводит Газодинамическая лаборатория</w:t>
            </w:r>
          </w:p>
        </w:tc>
      </w:tr>
      <w:tr w:rsidR="001002C3" w:rsidRPr="007122AB" w14:paraId="0ECB3510" w14:textId="77777777">
        <w:tc>
          <w:tcPr>
            <w:tcW w:w="3024" w:type="dxa"/>
          </w:tcPr>
          <w:p w14:paraId="672DFAD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изготовления</w:t>
            </w:r>
          </w:p>
        </w:tc>
        <w:tc>
          <w:tcPr>
            <w:tcW w:w="7290" w:type="dxa"/>
          </w:tcPr>
          <w:p w14:paraId="69FC4AB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1932 года</w:t>
            </w:r>
          </w:p>
        </w:tc>
      </w:tr>
      <w:tr w:rsidR="001002C3" w:rsidRPr="007122AB" w14:paraId="1BE857AD" w14:textId="77777777">
        <w:tc>
          <w:tcPr>
            <w:tcW w:w="3024" w:type="dxa"/>
          </w:tcPr>
          <w:p w14:paraId="24BF4D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Состояние выполнения на 1 октября 1931 года</w:t>
            </w:r>
          </w:p>
        </w:tc>
        <w:tc>
          <w:tcPr>
            <w:tcW w:w="7290" w:type="dxa"/>
          </w:tcPr>
          <w:p w14:paraId="5A0C10A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Получен самолет ТБ1. Произведен расчет камер и креплений самолета. Работа ведется по плану ГДЛ.</w:t>
            </w:r>
          </w:p>
        </w:tc>
      </w:tr>
    </w:tbl>
    <w:p w14:paraId="3B783C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(6919, 10).</w:t>
      </w:r>
    </w:p>
    <w:p w14:paraId="0EB0EF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E3283" w14:textId="77777777" w:rsidR="005C4849" w:rsidRPr="007122AB" w:rsidRDefault="00874B1E"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Другие оборонные отрасли:</w:t>
      </w:r>
    </w:p>
    <w:p w14:paraId="65749F0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606E9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г.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ВСНХ СССР [4.47] на расширенном за</w:t>
      </w:r>
      <w:r w:rsidRPr="007122AB">
        <w:rPr>
          <w:rFonts w:ascii="Times New Roman" w:hAnsi="Times New Roman"/>
          <w:color w:val="000000" w:themeColor="text1"/>
          <w:sz w:val="16"/>
          <w:szCs w:val="16"/>
        </w:rPr>
        <w:softHyphen/>
        <w:t>седании ведомств и организаций приняли распоряжение НАТИ о проек</w:t>
      </w:r>
      <w:r w:rsidRPr="007122AB">
        <w:rPr>
          <w:rFonts w:ascii="Times New Roman" w:hAnsi="Times New Roman"/>
          <w:color w:val="000000" w:themeColor="text1"/>
          <w:sz w:val="16"/>
          <w:szCs w:val="16"/>
        </w:rPr>
        <w:softHyphen/>
        <w:t>тировании армейских мотоциклов. Эту работу поручили П.В. Можарову [4.53].</w:t>
      </w:r>
    </w:p>
    <w:p w14:paraId="123D7D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Решение </w:t>
      </w:r>
      <w:proofErr w:type="spellStart"/>
      <w:r w:rsidRPr="007122AB">
        <w:rPr>
          <w:rFonts w:ascii="Times New Roman" w:hAnsi="Times New Roman"/>
          <w:color w:val="000000" w:themeColor="text1"/>
          <w:sz w:val="16"/>
          <w:szCs w:val="16"/>
        </w:rPr>
        <w:t>Главмашпрома</w:t>
      </w:r>
      <w:proofErr w:type="spellEnd"/>
      <w:r w:rsidRPr="007122AB">
        <w:rPr>
          <w:rFonts w:ascii="Times New Roman" w:hAnsi="Times New Roman"/>
          <w:color w:val="000000" w:themeColor="text1"/>
          <w:sz w:val="16"/>
          <w:szCs w:val="16"/>
        </w:rPr>
        <w:t xml:space="preserve"> свидетельствовало об авторитете конструктора, создавшего первые тяжёлые отечественные мото</w:t>
      </w:r>
      <w:r w:rsidRPr="007122AB">
        <w:rPr>
          <w:rFonts w:ascii="Times New Roman" w:hAnsi="Times New Roman"/>
          <w:color w:val="000000" w:themeColor="text1"/>
          <w:sz w:val="16"/>
          <w:szCs w:val="16"/>
        </w:rPr>
        <w:softHyphen/>
        <w:t>циклы ИЖ-1 и ИЖ-2. Важную роль сыграла осведомлённость ру</w:t>
      </w:r>
      <w:r w:rsidRPr="007122AB">
        <w:rPr>
          <w:rFonts w:ascii="Times New Roman" w:hAnsi="Times New Roman"/>
          <w:color w:val="000000" w:themeColor="text1"/>
          <w:sz w:val="16"/>
          <w:szCs w:val="16"/>
        </w:rPr>
        <w:softHyphen/>
        <w:t>ководства этого ведомства об успехах П.В. Можарова в подготов</w:t>
      </w:r>
      <w:r w:rsidRPr="007122AB">
        <w:rPr>
          <w:rFonts w:ascii="Times New Roman" w:hAnsi="Times New Roman"/>
          <w:color w:val="000000" w:themeColor="text1"/>
          <w:sz w:val="16"/>
          <w:szCs w:val="16"/>
        </w:rPr>
        <w:softHyphen/>
        <w:t>ке серийного выпуска мотоциклов в Ленинграде и его вкладе в со</w:t>
      </w:r>
      <w:r w:rsidRPr="007122AB">
        <w:rPr>
          <w:rFonts w:ascii="Times New Roman" w:hAnsi="Times New Roman"/>
          <w:color w:val="000000" w:themeColor="text1"/>
          <w:sz w:val="16"/>
          <w:szCs w:val="16"/>
        </w:rPr>
        <w:softHyphen/>
        <w:t xml:space="preserve">здание германского тяжёлого мотоцикла </w:t>
      </w:r>
      <w:r w:rsidRPr="007122AB">
        <w:rPr>
          <w:rFonts w:ascii="Times New Roman" w:hAnsi="Times New Roman"/>
          <w:color w:val="000000" w:themeColor="text1"/>
          <w:sz w:val="16"/>
          <w:szCs w:val="16"/>
          <w:lang w:val="en-US"/>
        </w:rPr>
        <w:t>R</w:t>
      </w:r>
      <w:r w:rsidRPr="007122AB">
        <w:rPr>
          <w:rFonts w:ascii="Times New Roman" w:hAnsi="Times New Roman"/>
          <w:color w:val="000000" w:themeColor="text1"/>
          <w:sz w:val="16"/>
          <w:szCs w:val="16"/>
        </w:rPr>
        <w:t>-16 на фирме ВМ</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 xml:space="preserve"> во время зарубежной командировки [4.6]. По договорённости с П.В. Можаровым, в 1931 г. фирма прислала лично ему мотоцикл этой марки для испытаний [4.54], а также в НАТИ для лаборатор</w:t>
      </w:r>
      <w:r w:rsidRPr="007122AB">
        <w:rPr>
          <w:rFonts w:ascii="Times New Roman" w:hAnsi="Times New Roman"/>
          <w:color w:val="000000" w:themeColor="text1"/>
          <w:sz w:val="16"/>
          <w:szCs w:val="16"/>
        </w:rPr>
        <w:softHyphen/>
        <w:t>ных исследований [4.55].</w:t>
      </w:r>
    </w:p>
    <w:p w14:paraId="5C05C5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совещании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представили основные конст</w:t>
      </w:r>
      <w:r w:rsidRPr="007122AB">
        <w:rPr>
          <w:rFonts w:ascii="Times New Roman" w:hAnsi="Times New Roman"/>
          <w:color w:val="000000" w:themeColor="text1"/>
          <w:sz w:val="16"/>
          <w:szCs w:val="16"/>
        </w:rPr>
        <w:softHyphen/>
        <w:t>руктивные характеристики нового армейского мотоцикла:</w:t>
      </w:r>
    </w:p>
    <w:p w14:paraId="64771D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мотор американского типа (У-образный, цилиндры внутри рамы, коленвал расположен поперечно) с низкой степенью сжатия;</w:t>
      </w:r>
    </w:p>
    <w:p w14:paraId="48A5AC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КП расположена отдельно, с </w:t>
      </w:r>
      <w:proofErr w:type="spellStart"/>
      <w:r w:rsidRPr="007122AB">
        <w:rPr>
          <w:rFonts w:ascii="Times New Roman" w:hAnsi="Times New Roman"/>
          <w:color w:val="000000" w:themeColor="text1"/>
          <w:sz w:val="16"/>
          <w:szCs w:val="16"/>
        </w:rPr>
        <w:t>птестернчатой</w:t>
      </w:r>
      <w:proofErr w:type="spellEnd"/>
      <w:r w:rsidRPr="007122AB">
        <w:rPr>
          <w:rFonts w:ascii="Times New Roman" w:hAnsi="Times New Roman"/>
          <w:color w:val="000000" w:themeColor="text1"/>
          <w:sz w:val="16"/>
          <w:szCs w:val="16"/>
        </w:rPr>
        <w:t xml:space="preserve"> передачей к двигателю и сухой фрикционной муфтой;</w:t>
      </w:r>
    </w:p>
    <w:p w14:paraId="16E2C2D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передача на заднее колесо - цепная, закрытая;</w:t>
      </w:r>
    </w:p>
    <w:p w14:paraId="145A4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рама - прессованная из листовой стали;</w:t>
      </w:r>
    </w:p>
    <w:p w14:paraId="666151C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передняя вилка - рессорная;</w:t>
      </w:r>
    </w:p>
    <w:p w14:paraId="3E8B86F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колёса - легкосъёмные, взаимозаменяемые [4.47] (11429).</w:t>
      </w:r>
    </w:p>
    <w:p w14:paraId="09C601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B1A09" w14:textId="77777777" w:rsidR="0075626C" w:rsidRPr="007122AB" w:rsidRDefault="0075626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октября 1931 Высший Совет Народного Хозяй</w:t>
      </w:r>
      <w:r w:rsidRPr="007122AB">
        <w:rPr>
          <w:rFonts w:ascii="Times New Roman" w:hAnsi="Times New Roman"/>
          <w:color w:val="000000" w:themeColor="text1"/>
          <w:sz w:val="16"/>
          <w:szCs w:val="16"/>
        </w:rPr>
        <w:softHyphen/>
        <w:t>ства (ВСНХ) принял реше</w:t>
      </w:r>
      <w:r w:rsidRPr="007122AB">
        <w:rPr>
          <w:rFonts w:ascii="Times New Roman" w:hAnsi="Times New Roman"/>
          <w:color w:val="000000" w:themeColor="text1"/>
          <w:sz w:val="16"/>
          <w:szCs w:val="16"/>
        </w:rPr>
        <w:softHyphen/>
        <w:t>ние о производстве мото</w:t>
      </w:r>
      <w:r w:rsidRPr="007122AB">
        <w:rPr>
          <w:rFonts w:ascii="Times New Roman" w:hAnsi="Times New Roman"/>
          <w:color w:val="000000" w:themeColor="text1"/>
          <w:sz w:val="16"/>
          <w:szCs w:val="16"/>
        </w:rPr>
        <w:softHyphen/>
        <w:t>циклов для Красной Армии: тяжёлого, с двига</w:t>
      </w:r>
      <w:r w:rsidRPr="007122AB">
        <w:rPr>
          <w:rFonts w:ascii="Times New Roman" w:hAnsi="Times New Roman"/>
          <w:color w:val="000000" w:themeColor="text1"/>
          <w:sz w:val="16"/>
          <w:szCs w:val="16"/>
        </w:rPr>
        <w:softHyphen/>
        <w:t>телем 750 см3, и среднего, с мотором 375 см3. Разра</w:t>
      </w:r>
      <w:r w:rsidRPr="007122AB">
        <w:rPr>
          <w:rFonts w:ascii="Times New Roman" w:hAnsi="Times New Roman"/>
          <w:color w:val="000000" w:themeColor="text1"/>
          <w:sz w:val="16"/>
          <w:szCs w:val="16"/>
        </w:rPr>
        <w:softHyphen/>
        <w:t>ботку образцов поручили конструктору из Ижевска П.В. Можарову. В конце того же года он переехал в Москву и стал начальни</w:t>
      </w:r>
      <w:r w:rsidRPr="007122AB">
        <w:rPr>
          <w:rFonts w:ascii="Times New Roman" w:hAnsi="Times New Roman"/>
          <w:color w:val="000000" w:themeColor="text1"/>
          <w:sz w:val="16"/>
          <w:szCs w:val="16"/>
        </w:rPr>
        <w:softHyphen/>
        <w:t>ком мотоциклетного КБ НАТИ (22518).</w:t>
      </w:r>
    </w:p>
    <w:p w14:paraId="11728963" w14:textId="77777777" w:rsidR="0075626C" w:rsidRPr="007122AB" w:rsidRDefault="0075626C" w:rsidP="007122AB">
      <w:pPr>
        <w:spacing w:after="0" w:line="240" w:lineRule="auto"/>
        <w:jc w:val="both"/>
        <w:rPr>
          <w:rFonts w:ascii="Times New Roman" w:hAnsi="Times New Roman"/>
          <w:color w:val="000000" w:themeColor="text1"/>
          <w:sz w:val="16"/>
          <w:szCs w:val="16"/>
        </w:rPr>
      </w:pPr>
    </w:p>
    <w:p w14:paraId="0C31C649"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г. по итогам совещания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ВСНХ московскому институту НАТИ была поручена разработка армейского мотоцикла. К перспективному мотоциклу предъявлялись требования:</w:t>
      </w:r>
    </w:p>
    <w:p w14:paraId="6C909284"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Мотор американского типа с низкой степенью сжатия </w:t>
      </w:r>
    </w:p>
    <w:p w14:paraId="0151D468"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КПП расположена отдельно, с шестерёнчатой передачей к двигателю и сухой фрикционной муфтой сцепления </w:t>
      </w:r>
    </w:p>
    <w:p w14:paraId="3B4E5666"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Цепная закрытая передача на заднее колесо </w:t>
      </w:r>
    </w:p>
    <w:p w14:paraId="47555EDF"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Рама — прессованная из листового железа </w:t>
      </w:r>
    </w:p>
    <w:p w14:paraId="312571D2"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Передняя вилка — рессорная </w:t>
      </w:r>
    </w:p>
    <w:p w14:paraId="048C52D8"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Колеса — легкосъемные, взаимозаменяемые.</w:t>
      </w:r>
    </w:p>
    <w:p w14:paraId="1652DBDF"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Группу Петра Можарова перевели в Москву и влили в реорганизованный НАТИ. Мотоциклетная группа НАТИ располагалась на площадях МВТУ между рекой Яузой и Салтыковской улицей в старом двухэтажном доме. Организационно группа входила в автомобильное отделение. В соседнем с конструкторским залом помещении располагалась лаборатория с беговым стендом для испытания мотоциклов. Перспективный мотоцикл был назван А-750 или НАТИ-А-750, т.е. армейский (военная техника НАТИ имела индекс «А», а вездеходные машины двойного назначения индекс «В») с мотором объемом 750 см3 разработки НАТИ. Помимо Можарова в группу входили: С. И. Карзинкин, Б. М. </w:t>
      </w:r>
      <w:proofErr w:type="spellStart"/>
      <w:r w:rsidRPr="007122AB">
        <w:rPr>
          <w:rFonts w:ascii="Times New Roman" w:hAnsi="Times New Roman"/>
          <w:color w:val="000000" w:themeColor="text1"/>
          <w:sz w:val="16"/>
          <w:szCs w:val="16"/>
        </w:rPr>
        <w:t>Фиттерман</w:t>
      </w:r>
      <w:proofErr w:type="spellEnd"/>
      <w:r w:rsidRPr="007122AB">
        <w:rPr>
          <w:rFonts w:ascii="Times New Roman" w:hAnsi="Times New Roman"/>
          <w:color w:val="000000" w:themeColor="text1"/>
          <w:sz w:val="16"/>
          <w:szCs w:val="16"/>
        </w:rPr>
        <w:t xml:space="preserve">, А. А. Федоров, Я. В. Коган, М. В. Лутц, Н. А. Семашко, Э. А. Барт, Г. Н. Лист, А. И. </w:t>
      </w:r>
      <w:proofErr w:type="spellStart"/>
      <w:r w:rsidRPr="007122AB">
        <w:rPr>
          <w:rFonts w:ascii="Times New Roman" w:hAnsi="Times New Roman"/>
          <w:color w:val="000000" w:themeColor="text1"/>
          <w:sz w:val="16"/>
          <w:szCs w:val="16"/>
        </w:rPr>
        <w:t>Скерджев</w:t>
      </w:r>
      <w:proofErr w:type="spellEnd"/>
      <w:r w:rsidRPr="007122AB">
        <w:rPr>
          <w:rFonts w:ascii="Times New Roman" w:hAnsi="Times New Roman"/>
          <w:color w:val="000000" w:themeColor="text1"/>
          <w:sz w:val="16"/>
          <w:szCs w:val="16"/>
        </w:rPr>
        <w:t xml:space="preserve">, А. В. </w:t>
      </w:r>
      <w:proofErr w:type="spellStart"/>
      <w:r w:rsidRPr="007122AB">
        <w:rPr>
          <w:rFonts w:ascii="Times New Roman" w:hAnsi="Times New Roman"/>
          <w:color w:val="000000" w:themeColor="text1"/>
          <w:sz w:val="16"/>
          <w:szCs w:val="16"/>
        </w:rPr>
        <w:t>Муращенко</w:t>
      </w:r>
      <w:proofErr w:type="spellEnd"/>
      <w:r w:rsidRPr="007122AB">
        <w:rPr>
          <w:rFonts w:ascii="Times New Roman" w:hAnsi="Times New Roman"/>
          <w:color w:val="000000" w:themeColor="text1"/>
          <w:sz w:val="16"/>
          <w:szCs w:val="16"/>
        </w:rPr>
        <w:t xml:space="preserve">. Проектирование мотоцикла завершили весной 1932 г. Согласно техническому проекту боковая коляска должна была крепиться слева. Поэтому выхлопная труба </w:t>
      </w:r>
      <w:proofErr w:type="spellStart"/>
      <w:r w:rsidRPr="007122AB">
        <w:rPr>
          <w:rFonts w:ascii="Times New Roman" w:hAnsi="Times New Roman"/>
          <w:color w:val="000000" w:themeColor="text1"/>
          <w:sz w:val="16"/>
          <w:szCs w:val="16"/>
        </w:rPr>
        <w:t>должгна</w:t>
      </w:r>
      <w:proofErr w:type="spellEnd"/>
      <w:r w:rsidRPr="007122AB">
        <w:rPr>
          <w:rFonts w:ascii="Times New Roman" w:hAnsi="Times New Roman"/>
          <w:color w:val="000000" w:themeColor="text1"/>
          <w:sz w:val="16"/>
          <w:szCs w:val="16"/>
        </w:rPr>
        <w:t xml:space="preserve">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w:t>
      </w:r>
      <w:proofErr w:type="spellStart"/>
      <w:r w:rsidRPr="007122AB">
        <w:rPr>
          <w:rFonts w:ascii="Times New Roman" w:hAnsi="Times New Roman"/>
          <w:color w:val="000000" w:themeColor="text1"/>
          <w:sz w:val="16"/>
          <w:szCs w:val="16"/>
        </w:rPr>
        <w:t>полутопленный</w:t>
      </w:r>
      <w:proofErr w:type="spellEnd"/>
      <w:r w:rsidRPr="007122AB">
        <w:rPr>
          <w:rFonts w:ascii="Times New Roman" w:hAnsi="Times New Roman"/>
          <w:color w:val="000000" w:themeColor="text1"/>
          <w:sz w:val="16"/>
          <w:szCs w:val="16"/>
        </w:rPr>
        <w:t xml:space="preserve">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w:t>
      </w:r>
      <w:proofErr w:type="spellStart"/>
      <w:r w:rsidRPr="007122AB">
        <w:rPr>
          <w:rFonts w:ascii="Times New Roman" w:hAnsi="Times New Roman"/>
          <w:color w:val="000000" w:themeColor="text1"/>
          <w:sz w:val="16"/>
          <w:szCs w:val="16"/>
        </w:rPr>
        <w:t>опереженим</w:t>
      </w:r>
      <w:proofErr w:type="spellEnd"/>
      <w:r w:rsidRPr="007122AB">
        <w:rPr>
          <w:rFonts w:ascii="Times New Roman" w:hAnsi="Times New Roman"/>
          <w:color w:val="000000" w:themeColor="text1"/>
          <w:sz w:val="16"/>
          <w:szCs w:val="16"/>
        </w:rPr>
        <w:t xml:space="preserve">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w:t>
      </w:r>
      <w:proofErr w:type="spellStart"/>
      <w:r w:rsidRPr="007122AB">
        <w:rPr>
          <w:rFonts w:ascii="Times New Roman" w:hAnsi="Times New Roman"/>
          <w:color w:val="000000" w:themeColor="text1"/>
          <w:sz w:val="16"/>
          <w:szCs w:val="16"/>
        </w:rPr>
        <w:t>установливались</w:t>
      </w:r>
      <w:proofErr w:type="spellEnd"/>
      <w:r w:rsidRPr="007122AB">
        <w:rPr>
          <w:rFonts w:ascii="Times New Roman" w:hAnsi="Times New Roman"/>
          <w:color w:val="000000" w:themeColor="text1"/>
          <w:sz w:val="16"/>
          <w:szCs w:val="16"/>
        </w:rPr>
        <w:t xml:space="preserve">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w:t>
      </w:r>
      <w:proofErr w:type="spellStart"/>
      <w:r w:rsidRPr="007122AB">
        <w:rPr>
          <w:rFonts w:ascii="Times New Roman" w:hAnsi="Times New Roman"/>
          <w:color w:val="000000" w:themeColor="text1"/>
          <w:sz w:val="16"/>
          <w:szCs w:val="16"/>
        </w:rPr>
        <w:t>Ижастальзавода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Иомза</w:t>
      </w:r>
      <w:proofErr w:type="spellEnd"/>
      <w:r w:rsidRPr="007122AB">
        <w:rPr>
          <w:rFonts w:ascii="Times New Roman" w:hAnsi="Times New Roman"/>
          <w:color w:val="000000" w:themeColor="text1"/>
          <w:sz w:val="16"/>
          <w:szCs w:val="16"/>
        </w:rPr>
        <w:t xml:space="preserve">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w:t>
      </w:r>
      <w:proofErr w:type="spellStart"/>
      <w:r w:rsidRPr="007122AB">
        <w:rPr>
          <w:rFonts w:ascii="Times New Roman" w:hAnsi="Times New Roman"/>
          <w:color w:val="000000" w:themeColor="text1"/>
          <w:sz w:val="16"/>
          <w:szCs w:val="16"/>
        </w:rPr>
        <w:t>Декаве</w:t>
      </w:r>
      <w:proofErr w:type="spellEnd"/>
      <w:r w:rsidRPr="007122AB">
        <w:rPr>
          <w:rFonts w:ascii="Times New Roman" w:hAnsi="Times New Roman"/>
          <w:color w:val="000000" w:themeColor="text1"/>
          <w:sz w:val="16"/>
          <w:szCs w:val="16"/>
        </w:rPr>
        <w:t>»: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w:t>
      </w:r>
      <w:proofErr w:type="spellStart"/>
      <w:r w:rsidRPr="007122AB">
        <w:rPr>
          <w:rFonts w:ascii="Times New Roman" w:hAnsi="Times New Roman"/>
          <w:color w:val="000000" w:themeColor="text1"/>
          <w:sz w:val="16"/>
          <w:szCs w:val="16"/>
        </w:rPr>
        <w:t>Вато</w:t>
      </w:r>
      <w:proofErr w:type="spellEnd"/>
      <w:r w:rsidRPr="007122AB">
        <w:rPr>
          <w:rFonts w:ascii="Times New Roman" w:hAnsi="Times New Roman"/>
          <w:color w:val="000000" w:themeColor="text1"/>
          <w:sz w:val="16"/>
          <w:szCs w:val="16"/>
        </w:rPr>
        <w:t xml:space="preserve">-запчасть»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w:t>
      </w:r>
      <w:proofErr w:type="spellStart"/>
      <w:r w:rsidRPr="007122AB">
        <w:rPr>
          <w:rFonts w:ascii="Times New Roman" w:hAnsi="Times New Roman"/>
          <w:color w:val="000000" w:themeColor="text1"/>
          <w:sz w:val="16"/>
          <w:szCs w:val="16"/>
        </w:rPr>
        <w:t>Автомотовелотреста</w:t>
      </w:r>
      <w:proofErr w:type="spellEnd"/>
      <w:r w:rsidRPr="007122AB">
        <w:rPr>
          <w:rFonts w:ascii="Times New Roman" w:hAnsi="Times New Roman"/>
          <w:color w:val="000000" w:themeColor="text1"/>
          <w:sz w:val="16"/>
          <w:szCs w:val="16"/>
        </w:rPr>
        <w:t xml:space="preserve"> УССР имеет на 1933 г. программу лишь в 300 мотоциклов ХМЗ типа «Харлей-Дэвидсон» … и особых надежд на развитие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xml:space="preserve">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w:t>
      </w:r>
      <w:proofErr w:type="spellStart"/>
      <w:r w:rsidRPr="007122AB">
        <w:rPr>
          <w:rFonts w:ascii="Times New Roman" w:hAnsi="Times New Roman"/>
          <w:color w:val="000000" w:themeColor="text1"/>
          <w:sz w:val="16"/>
          <w:szCs w:val="16"/>
        </w:rPr>
        <w:t>Зузик</w:t>
      </w:r>
      <w:proofErr w:type="spellEnd"/>
      <w:r w:rsidRPr="007122AB">
        <w:rPr>
          <w:rFonts w:ascii="Times New Roman" w:hAnsi="Times New Roman"/>
          <w:color w:val="000000" w:themeColor="text1"/>
          <w:sz w:val="16"/>
          <w:szCs w:val="16"/>
        </w:rPr>
        <w:t xml:space="preserve">,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w:t>
      </w:r>
      <w:proofErr w:type="spellStart"/>
      <w:r w:rsidRPr="007122AB">
        <w:rPr>
          <w:rFonts w:ascii="Times New Roman" w:hAnsi="Times New Roman"/>
          <w:color w:val="000000" w:themeColor="text1"/>
          <w:sz w:val="16"/>
          <w:szCs w:val="16"/>
        </w:rPr>
        <w:t>Завокзальном</w:t>
      </w:r>
      <w:proofErr w:type="spellEnd"/>
      <w:r w:rsidRPr="007122AB">
        <w:rPr>
          <w:rFonts w:ascii="Times New Roman" w:hAnsi="Times New Roman"/>
          <w:color w:val="000000" w:themeColor="text1"/>
          <w:sz w:val="16"/>
          <w:szCs w:val="16"/>
        </w:rPr>
        <w:t xml:space="preserve">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w:t>
      </w:r>
      <w:proofErr w:type="spellStart"/>
      <w:r w:rsidRPr="007122AB">
        <w:rPr>
          <w:rFonts w:ascii="Times New Roman" w:hAnsi="Times New Roman"/>
          <w:color w:val="000000" w:themeColor="text1"/>
          <w:sz w:val="16"/>
          <w:szCs w:val="16"/>
        </w:rPr>
        <w:t>мотоциклостроения</w:t>
      </w:r>
      <w:proofErr w:type="spellEnd"/>
      <w:r w:rsidRPr="007122AB">
        <w:rPr>
          <w:rFonts w:ascii="Times New Roman" w:hAnsi="Times New Roman"/>
          <w:color w:val="000000" w:themeColor="text1"/>
          <w:sz w:val="16"/>
          <w:szCs w:val="16"/>
        </w:rPr>
        <w:t xml:space="preserve">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w:t>
      </w:r>
      <w:proofErr w:type="spellStart"/>
      <w:r w:rsidRPr="007122AB">
        <w:rPr>
          <w:rFonts w:ascii="Times New Roman" w:hAnsi="Times New Roman"/>
          <w:color w:val="000000" w:themeColor="text1"/>
          <w:sz w:val="16"/>
          <w:szCs w:val="16"/>
        </w:rPr>
        <w:t>изгтовлено</w:t>
      </w:r>
      <w:proofErr w:type="spellEnd"/>
      <w:r w:rsidRPr="007122AB">
        <w:rPr>
          <w:rFonts w:ascii="Times New Roman" w:hAnsi="Times New Roman"/>
          <w:color w:val="000000" w:themeColor="text1"/>
          <w:sz w:val="16"/>
          <w:szCs w:val="16"/>
        </w:rPr>
        <w:t xml:space="preserve">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w:t>
      </w:r>
      <w:proofErr w:type="spellStart"/>
      <w:r w:rsidRPr="007122AB">
        <w:rPr>
          <w:rFonts w:ascii="Times New Roman" w:hAnsi="Times New Roman"/>
          <w:color w:val="000000" w:themeColor="text1"/>
          <w:sz w:val="16"/>
          <w:szCs w:val="16"/>
        </w:rPr>
        <w:t>Наркомобщмаша</w:t>
      </w:r>
      <w:proofErr w:type="spellEnd"/>
      <w:r w:rsidRPr="007122AB">
        <w:rPr>
          <w:rFonts w:ascii="Times New Roman" w:hAnsi="Times New Roman"/>
          <w:color w:val="000000" w:themeColor="text1"/>
          <w:sz w:val="16"/>
          <w:szCs w:val="16"/>
        </w:rPr>
        <w:t xml:space="preserve">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w:t>
      </w:r>
      <w:r w:rsidRPr="007122AB">
        <w:rPr>
          <w:rFonts w:ascii="Times New Roman" w:hAnsi="Times New Roman"/>
          <w:color w:val="000000" w:themeColor="text1"/>
          <w:sz w:val="16"/>
          <w:szCs w:val="16"/>
        </w:rPr>
        <w:lastRenderedPageBreak/>
        <w:t>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03C9C4B8" w14:textId="77777777" w:rsidR="00756577" w:rsidRPr="007122AB" w:rsidRDefault="00756577" w:rsidP="007122AB">
      <w:pPr>
        <w:spacing w:after="0" w:line="240" w:lineRule="auto"/>
        <w:jc w:val="both"/>
        <w:rPr>
          <w:rFonts w:ascii="Times New Roman" w:hAnsi="Times New Roman"/>
          <w:color w:val="000000" w:themeColor="text1"/>
          <w:sz w:val="16"/>
          <w:szCs w:val="16"/>
        </w:rPr>
      </w:pPr>
    </w:p>
    <w:p w14:paraId="6E8C7DFD" w14:textId="77777777" w:rsidR="00756577" w:rsidRPr="007122AB" w:rsidRDefault="0075657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представительное совещание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ВСНХ СССР постановило целесообразным организацию выпуска мотоциклов в Харькове для нужд обороны и народного хозяйства. Завод предстояло реконструировать для реализации среднегодовой программы в 3000 мотоциклов. Помимо реконструкции, в счет части выделенных средств на заводе выполнили несколько проектов оригинальных мотоциклов. К октябрю следующего, 1932 г., был готов эталонный мотоцикл для серии. Рама этого мотоцикла состояла из 2-х боковин, прессованных из листового железа, толщиной 2,5 мм. Верхние полосы обеих боковин были сведены вместе и сварены. Мотоцикл имел электрооборудование Московского Электрозавода. Бак мотоцикла был комбинированным с загородкой, разделявшей его на емкости для бензина и масла. В стандартное оборудование мотоцикла входили: передняя и задняя подставка, щитки на колеса, сплошной щиток на моторную цепь, багажник. Дополнительно мотоцикл мог быть оснащен вторым седлом на багажнике и добавочными подножками для второго седока. 1 ноября 1932 г. мотоцикл модели «1М 350» был испытан заводской приемочной комиссией пробегом в 50 км, после чего отправлен в подарок Наркомвоенмору Клименту Ворошилову. Не приходится сомневаться в том, что получатель остался мотоциклом доволен. Нарком не мог не увидеть объективный рост завода, прошедшего всего за пару лет путь от кустарных мастерских до современного промышленного предприятия. Поэтому мотоциклы в Харькове решили не строить. В 1932 Харьковский Автосборочный завод получил </w:t>
      </w:r>
      <w:proofErr w:type="spellStart"/>
      <w:r w:rsidRPr="007122AB">
        <w:rPr>
          <w:rFonts w:ascii="Times New Roman" w:hAnsi="Times New Roman"/>
          <w:color w:val="000000" w:themeColor="text1"/>
          <w:sz w:val="16"/>
          <w:szCs w:val="16"/>
        </w:rPr>
        <w:t>мобзадание</w:t>
      </w:r>
      <w:proofErr w:type="spellEnd"/>
      <w:r w:rsidRPr="007122AB">
        <w:rPr>
          <w:rFonts w:ascii="Times New Roman" w:hAnsi="Times New Roman"/>
          <w:color w:val="000000" w:themeColor="text1"/>
          <w:sz w:val="16"/>
          <w:szCs w:val="16"/>
        </w:rPr>
        <w:t xml:space="preserve"> по организации Бронетанковой ремонтной базы с подачей в первый год войны 1454 машин. По понятным причинам в прессе было сообщено о том, что завод получил задание на выпуск с 1933 г. сельхозтехники и железнодорожных платформ. Предприятие завершило реконструкцию и, сменив подчиненность, было переименовано в Харьковский механический завод «Серп и Молот». К счастью выполнять в 1933 г. </w:t>
      </w:r>
      <w:proofErr w:type="spellStart"/>
      <w:r w:rsidRPr="007122AB">
        <w:rPr>
          <w:rFonts w:ascii="Times New Roman" w:hAnsi="Times New Roman"/>
          <w:color w:val="000000" w:themeColor="text1"/>
          <w:sz w:val="16"/>
          <w:szCs w:val="16"/>
        </w:rPr>
        <w:t>мобзадание</w:t>
      </w:r>
      <w:proofErr w:type="spellEnd"/>
      <w:r w:rsidRPr="007122AB">
        <w:rPr>
          <w:rFonts w:ascii="Times New Roman" w:hAnsi="Times New Roman"/>
          <w:color w:val="000000" w:themeColor="text1"/>
          <w:sz w:val="16"/>
          <w:szCs w:val="16"/>
        </w:rPr>
        <w:t xml:space="preserve"> заводу не пришлось. Заказ же мирного времени на 1933 г., поданный Управлением Механизации и Моторизации РККА, включал ремонт 165 танков Т-26 и Т-18, 10 БТ, 5 Т-24 и 35 танкеток Т-27. Но и вопрос организации производства мотоциклов в Харькове всерьез более не рассматривался и после смены профиля предприятия некоторая часть материалов была передана в г. Таганрог (19776).</w:t>
      </w:r>
    </w:p>
    <w:p w14:paraId="1ECA4720" w14:textId="77777777" w:rsidR="00756577" w:rsidRPr="007122AB" w:rsidRDefault="00756577" w:rsidP="007122AB">
      <w:pPr>
        <w:spacing w:after="0" w:line="240" w:lineRule="auto"/>
        <w:jc w:val="both"/>
        <w:rPr>
          <w:rFonts w:ascii="Times New Roman" w:hAnsi="Times New Roman"/>
          <w:color w:val="000000" w:themeColor="text1"/>
          <w:sz w:val="16"/>
          <w:szCs w:val="16"/>
        </w:rPr>
      </w:pPr>
    </w:p>
    <w:p w14:paraId="511765F9"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5 октября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67. 4. О закупке судов. Опросом членов ПБ от 5 октября 1931 г. 66/42. О </w:t>
      </w:r>
      <w:proofErr w:type="spellStart"/>
      <w:r w:rsidRPr="007122AB">
        <w:rPr>
          <w:rFonts w:ascii="Times New Roman" w:hAnsi="Times New Roman"/>
          <w:color w:val="000000" w:themeColor="text1"/>
          <w:sz w:val="16"/>
          <w:szCs w:val="16"/>
          <w:u w:color="002060"/>
        </w:rPr>
        <w:t>мобтройке</w:t>
      </w:r>
      <w:proofErr w:type="spellEnd"/>
      <w:r w:rsidRPr="007122AB">
        <w:rPr>
          <w:rFonts w:ascii="Times New Roman" w:hAnsi="Times New Roman"/>
          <w:color w:val="000000" w:themeColor="text1"/>
          <w:sz w:val="16"/>
          <w:szCs w:val="16"/>
          <w:u w:color="002060"/>
        </w:rPr>
        <w:t xml:space="preserve"> (ОБ от 1 октября 1931 г., пр. № 77, п. 5). — ОП. Постановили: 1) ликвидировать мобилизационную тройку ЦК, сохранив ответственность инструктора ЦК по </w:t>
      </w:r>
      <w:proofErr w:type="spellStart"/>
      <w:r w:rsidRPr="007122AB">
        <w:rPr>
          <w:rFonts w:ascii="Times New Roman" w:hAnsi="Times New Roman"/>
          <w:color w:val="000000" w:themeColor="text1"/>
          <w:sz w:val="16"/>
          <w:szCs w:val="16"/>
          <w:u w:color="002060"/>
        </w:rPr>
        <w:t>мобработе</w:t>
      </w:r>
      <w:proofErr w:type="spellEnd"/>
      <w:r w:rsidRPr="007122AB">
        <w:rPr>
          <w:rFonts w:ascii="Times New Roman" w:hAnsi="Times New Roman"/>
          <w:color w:val="000000" w:themeColor="text1"/>
          <w:sz w:val="16"/>
          <w:szCs w:val="16"/>
          <w:u w:color="002060"/>
        </w:rPr>
        <w:t xml:space="preserve"> (в составе </w:t>
      </w:r>
      <w:proofErr w:type="spellStart"/>
      <w:r w:rsidRPr="007122AB">
        <w:rPr>
          <w:rFonts w:ascii="Times New Roman" w:hAnsi="Times New Roman"/>
          <w:color w:val="000000" w:themeColor="text1"/>
          <w:sz w:val="16"/>
          <w:szCs w:val="16"/>
          <w:u w:color="002060"/>
        </w:rPr>
        <w:t>Оргинстра</w:t>
      </w:r>
      <w:proofErr w:type="spellEnd"/>
      <w:r w:rsidRPr="007122AB">
        <w:rPr>
          <w:rFonts w:ascii="Times New Roman" w:hAnsi="Times New Roman"/>
          <w:color w:val="000000" w:themeColor="text1"/>
          <w:sz w:val="16"/>
          <w:szCs w:val="16"/>
          <w:u w:color="002060"/>
        </w:rPr>
        <w:t xml:space="preserve"> ЦК) и лиц, ответственных за </w:t>
      </w:r>
      <w:proofErr w:type="spellStart"/>
      <w:r w:rsidRPr="007122AB">
        <w:rPr>
          <w:rFonts w:ascii="Times New Roman" w:hAnsi="Times New Roman"/>
          <w:color w:val="000000" w:themeColor="text1"/>
          <w:sz w:val="16"/>
          <w:szCs w:val="16"/>
          <w:u w:color="002060"/>
        </w:rPr>
        <w:t>мобработу</w:t>
      </w:r>
      <w:proofErr w:type="spellEnd"/>
      <w:r w:rsidRPr="007122AB">
        <w:rPr>
          <w:rFonts w:ascii="Times New Roman" w:hAnsi="Times New Roman"/>
          <w:color w:val="000000" w:themeColor="text1"/>
          <w:sz w:val="16"/>
          <w:szCs w:val="16"/>
          <w:u w:color="002060"/>
        </w:rPr>
        <w:t xml:space="preserve"> в каждом отделе ЦК; 2) ликвидировать </w:t>
      </w:r>
      <w:proofErr w:type="spellStart"/>
      <w:r w:rsidRPr="007122AB">
        <w:rPr>
          <w:rFonts w:ascii="Times New Roman" w:hAnsi="Times New Roman"/>
          <w:color w:val="000000" w:themeColor="text1"/>
          <w:sz w:val="16"/>
          <w:szCs w:val="16"/>
          <w:u w:color="002060"/>
        </w:rPr>
        <w:t>мобтройки</w:t>
      </w:r>
      <w:proofErr w:type="spellEnd"/>
      <w:r w:rsidRPr="007122AB">
        <w:rPr>
          <w:rFonts w:ascii="Times New Roman" w:hAnsi="Times New Roman"/>
          <w:color w:val="000000" w:themeColor="text1"/>
          <w:sz w:val="16"/>
          <w:szCs w:val="16"/>
          <w:u w:color="002060"/>
        </w:rPr>
        <w:t xml:space="preserve"> при местных парткомах, возложив руководство оборонной работой на секретаря парткома. (Политбюро... Т. 2. С. 225) (12416).</w:t>
      </w:r>
    </w:p>
    <w:p w14:paraId="09AFE903"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p>
    <w:p w14:paraId="3C8ACC9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3D8898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21393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американец Клайд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совершил первый в мире безостановочный перелет через Тихий океан (4962).</w:t>
      </w:r>
    </w:p>
    <w:p w14:paraId="369BE04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79E3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A7E8EE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3E3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г. Высший Совет Народного Хозяйства (ВСНХ) решил освоить в стране производство мотоциклов для Красной Армии: тяжёлого, с двигателем 750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и среднего, с мотором 375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Эту работу вновь поручили Можарову. В конце того же года он переехал в Москву и стал начальником мотоциклетного КБ Научного автотракторного института (НАТИ). Базовая модель НАТИ-А-750 представляла собой причудливое сочетание V-</w:t>
      </w:r>
      <w:proofErr w:type="spellStart"/>
      <w:r w:rsidRPr="007122AB">
        <w:rPr>
          <w:rFonts w:ascii="Times New Roman" w:hAnsi="Times New Roman"/>
          <w:color w:val="000000" w:themeColor="text1"/>
          <w:sz w:val="16"/>
          <w:szCs w:val="16"/>
        </w:rPr>
        <w:t>twin'a</w:t>
      </w:r>
      <w:proofErr w:type="spellEnd"/>
      <w:r w:rsidRPr="007122AB">
        <w:rPr>
          <w:rFonts w:ascii="Times New Roman" w:hAnsi="Times New Roman"/>
          <w:color w:val="000000" w:themeColor="text1"/>
          <w:sz w:val="16"/>
          <w:szCs w:val="16"/>
        </w:rPr>
        <w:t xml:space="preserve"> типа </w:t>
      </w:r>
      <w:proofErr w:type="spellStart"/>
      <w:r w:rsidRPr="007122AB">
        <w:rPr>
          <w:rFonts w:ascii="Times New Roman" w:hAnsi="Times New Roman"/>
          <w:color w:val="000000" w:themeColor="text1"/>
          <w:sz w:val="16"/>
          <w:szCs w:val="16"/>
        </w:rPr>
        <w:t>Наrlеy-Dаvidsоn</w:t>
      </w:r>
      <w:proofErr w:type="spellEnd"/>
      <w:r w:rsidRPr="007122AB">
        <w:rPr>
          <w:rFonts w:ascii="Times New Roman" w:hAnsi="Times New Roman"/>
          <w:color w:val="000000" w:themeColor="text1"/>
          <w:sz w:val="16"/>
          <w:szCs w:val="16"/>
        </w:rPr>
        <w:t xml:space="preserve"> и ходовой части по образцу ВМW. Машина могла эксплуатироваться в одиночном варианте или с коляской. Спроектировали и одноцилиндровый двигатель. Его более чем на 90% унифицировали с базовым мотором, а по посадочным местам - с мотором Л-300. Благодаря этому без особого труда удалось встроить получившийся агрегат в ходовую часть Л-300. Получившейся лёгкой машине присвоили индекс НАТИ-Б-375. Память об неосуществленном проекте "Иж-6" побудила Можарова сделать ещё одну модель. В ходовую часть, аналогичную А-750, он вмонтировал новый одноцилиндровый двигатель (375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с коробкой передач и приводом заднего колеса с помощью вала. Эта машина очень походила на появившиеся к тому моменту ВМW R4. Её обозначили НАТИ - Иж-6 (по некоторым сведениям, она именовалась также НАТИ-В-375). Пётр Владимирович понимал, что на бездорожье мощности базовых двигателей может оказаться недостаточно, поэтому разработал модификацию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 xml:space="preserve">-поршневой группы, позволявшую создать моторы с рабочими объёмами 850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и 425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 более мощные и тяговитые. Изготовление мотоциклов разместили в мастерских </w:t>
      </w:r>
      <w:proofErr w:type="spellStart"/>
      <w:r w:rsidRPr="007122AB">
        <w:rPr>
          <w:rFonts w:ascii="Times New Roman" w:hAnsi="Times New Roman"/>
          <w:color w:val="000000" w:themeColor="text1"/>
          <w:sz w:val="16"/>
          <w:szCs w:val="16"/>
        </w:rPr>
        <w:t>мотосекции</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Ижстальзаводах</w:t>
      </w:r>
      <w:proofErr w:type="spellEnd"/>
      <w:r w:rsidRPr="007122AB">
        <w:rPr>
          <w:rFonts w:ascii="Times New Roman" w:hAnsi="Times New Roman"/>
          <w:color w:val="000000" w:themeColor="text1"/>
          <w:sz w:val="16"/>
          <w:szCs w:val="16"/>
        </w:rPr>
        <w:t>. Руководство НАТИ потребовало доставить новые мотоциклы в Москву своим ходом. Отправили четыре НАТИ-А-750, опытный "Иж-7", созданный на базе Л-300 специалистами организованного к тому времени Ижевского мотозавода, а для сравнения с ними - BMW R16 и Harley-Davidson. Эту поездку назвали "Предварительный испытательный пробег". Из-за дождей и дорожной грязи изменили обычный маршрут. По шоссе добрались до Сарапула (60 км), оттуда на пароходе до Горького, далее по шоссе до Москвы (410 км). В столице на торжественном митинге выступили председатель ЦС АВТОДОР С. С. Каменев, представители общественности города и мотоциклетных секций Москвы. Новые мотоциклы произвели хорошее впечатление. Вскоре их передали в НАТИ для всесторонних испытаний, после чего ВСНХ принял решение о серийном производстве НАТИ-А-750 - в Подольске, на Подольском механическом заводе (ПМЗ). Возглавить все работы по освоению мотоциклов на ПМЗ поручили тому же Можарову. Ему пришлось вести трудные переговоры с дирекцией завода, которую перспектива выпуска мотоциклов отнюдь не обрадовала. Он лично хлопотал о финансировании работ, писал письма наркому Серго Орджоникидзе. Самое главное - на заводе практически отсутствовало штамповочное оборудование, необходимое для изготовления деталей ходовой части. С большим трудом Пётр Владимирович комплектовал новый участок. Он корректировал конструкторскую документацию с учётом приобретённой техники, одновременно обучая будущих рабочих. В первой декаде февраля 1934 г. завершилось изготовление промышленного образца,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428014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9793A8" w14:textId="77777777" w:rsidR="003E4223" w:rsidRPr="007122AB" w:rsidRDefault="003E4223" w:rsidP="007122AB">
      <w:pPr>
        <w:pStyle w:val="a3"/>
        <w:rPr>
          <w:color w:val="000000" w:themeColor="text1"/>
          <w:lang w:val="ru-RU"/>
        </w:rPr>
      </w:pPr>
      <w:r w:rsidRPr="007122AB">
        <w:rPr>
          <w:color w:val="000000" w:themeColor="text1"/>
          <w:lang w:val="ru-RU"/>
        </w:rPr>
        <w:t xml:space="preserve">5 октября 1931 г. прошло совещания в </w:t>
      </w:r>
      <w:proofErr w:type="spellStart"/>
      <w:r w:rsidRPr="007122AB">
        <w:rPr>
          <w:color w:val="000000" w:themeColor="text1"/>
          <w:lang w:val="ru-RU"/>
        </w:rPr>
        <w:t>Главмашпроме</w:t>
      </w:r>
      <w:proofErr w:type="spellEnd"/>
      <w:r w:rsidRPr="007122AB">
        <w:rPr>
          <w:color w:val="000000" w:themeColor="text1"/>
          <w:lang w:val="ru-RU"/>
        </w:rPr>
        <w:t xml:space="preserve"> ВСНХ, по итогам которого мо</w:t>
      </w:r>
      <w:r w:rsidRPr="007122AB">
        <w:rPr>
          <w:color w:val="000000" w:themeColor="text1"/>
          <w:lang w:val="ru-RU"/>
        </w:rPr>
        <w:softHyphen/>
        <w:t>сковскому институту НАТИ поручили проектирование перспективного армейского мотоцикла. К нему предъявлялись следующие требования:</w:t>
      </w:r>
    </w:p>
    <w:p w14:paraId="40086B06" w14:textId="77777777" w:rsidR="003E4223" w:rsidRPr="007122AB" w:rsidRDefault="003E4223"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«1. Мотор американского типа* с низкой степенью сжатия.</w:t>
      </w:r>
    </w:p>
    <w:p w14:paraId="1DFE9A9A" w14:textId="77777777" w:rsidR="003E4223" w:rsidRPr="007122AB" w:rsidRDefault="003E4223" w:rsidP="007122AB">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2. КПП расположена отдельно,</w:t>
      </w:r>
      <w:r w:rsidRPr="007122AB">
        <w:rPr>
          <w:rStyle w:val="106"/>
          <w:rFonts w:ascii="Times New Roman" w:eastAsia="Arial Unicode MS" w:hAnsi="Times New Roman" w:cs="Times New Roman"/>
          <w:i w:val="0"/>
          <w:iCs w:val="0"/>
          <w:color w:val="000000" w:themeColor="text1"/>
          <w:sz w:val="16"/>
          <w:szCs w:val="16"/>
        </w:rPr>
        <w:t xml:space="preserve"> с</w:t>
      </w:r>
      <w:r w:rsidRPr="007122AB">
        <w:rPr>
          <w:rFonts w:ascii="Times New Roman" w:hAnsi="Times New Roman" w:cs="Times New Roman"/>
          <w:i w:val="0"/>
          <w:color w:val="000000" w:themeColor="text1"/>
          <w:sz w:val="16"/>
          <w:szCs w:val="16"/>
        </w:rPr>
        <w:t xml:space="preserve"> шестеренчатой передачей к двига</w:t>
      </w:r>
      <w:r w:rsidRPr="007122AB">
        <w:rPr>
          <w:rFonts w:ascii="Times New Roman" w:hAnsi="Times New Roman" w:cs="Times New Roman"/>
          <w:i w:val="0"/>
          <w:color w:val="000000" w:themeColor="text1"/>
          <w:sz w:val="16"/>
          <w:szCs w:val="16"/>
        </w:rPr>
        <w:softHyphen/>
        <w:t>телю и сухой фрикционной муфтой сцепления.</w:t>
      </w:r>
    </w:p>
    <w:p w14:paraId="4B7DBC1E" w14:textId="77777777" w:rsidR="003E4223" w:rsidRPr="007122AB" w:rsidRDefault="003E4223" w:rsidP="007122AB">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3. Цепная закрытая передача на заднее колесо.</w:t>
      </w:r>
    </w:p>
    <w:p w14:paraId="31A6B140" w14:textId="77777777" w:rsidR="003E4223" w:rsidRPr="007122AB" w:rsidRDefault="003E4223" w:rsidP="007122AB">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4. Рама - прессованная из листового железа.</w:t>
      </w:r>
    </w:p>
    <w:p w14:paraId="62EAC2BC" w14:textId="77777777" w:rsidR="003E4223" w:rsidRPr="007122AB" w:rsidRDefault="003E4223" w:rsidP="007122AB">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5. Передняя вилка - рессорная.</w:t>
      </w:r>
    </w:p>
    <w:p w14:paraId="633D8202" w14:textId="77777777" w:rsidR="003E4223" w:rsidRPr="007122AB" w:rsidRDefault="003E4223" w:rsidP="007122AB">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6. Колеса - легкосъемные, взаимозаменяемые».</w:t>
      </w:r>
    </w:p>
    <w:p w14:paraId="49B16D27" w14:textId="77777777" w:rsidR="003E4223" w:rsidRPr="007122AB" w:rsidRDefault="003E4223" w:rsidP="007122AB">
      <w:pPr>
        <w:pStyle w:val="a3"/>
        <w:rPr>
          <w:rStyle w:val="105"/>
          <w:rFonts w:ascii="Times New Roman" w:hAnsi="Times New Roman" w:cs="Times New Roman"/>
          <w:b w:val="0"/>
          <w:color w:val="000000" w:themeColor="text1"/>
          <w:sz w:val="16"/>
          <w:szCs w:val="16"/>
          <w:lang w:val="ru-RU"/>
        </w:rPr>
      </w:pPr>
      <w:r w:rsidRPr="007122AB">
        <w:rPr>
          <w:color w:val="000000" w:themeColor="text1"/>
          <w:lang w:val="ru-RU"/>
        </w:rPr>
        <w:t>Вскоре группу Можарова перевели в Москву и влили в реорганизо</w:t>
      </w:r>
      <w:r w:rsidRPr="007122AB">
        <w:rPr>
          <w:color w:val="000000" w:themeColor="text1"/>
          <w:lang w:val="ru-RU"/>
        </w:rPr>
        <w:softHyphen/>
        <w:t>ванный НАТИ. Перспективный мотоцикл получил обозначение А-750, или НАТИ-А-750,</w:t>
      </w:r>
      <w:r w:rsidRPr="007122AB">
        <w:rPr>
          <w:rStyle w:val="105"/>
          <w:rFonts w:ascii="Times New Roman" w:hAnsi="Times New Roman" w:cs="Times New Roman"/>
          <w:b w:val="0"/>
          <w:color w:val="000000" w:themeColor="text1"/>
          <w:sz w:val="16"/>
          <w:szCs w:val="16"/>
          <w:lang w:val="ru-RU"/>
        </w:rPr>
        <w:t xml:space="preserve"> т</w:t>
      </w:r>
      <w:r w:rsidRPr="007122AB">
        <w:rPr>
          <w:color w:val="000000" w:themeColor="text1"/>
          <w:lang w:val="ru-RU"/>
        </w:rPr>
        <w:t>.е. армейский (военная техника НАТИ имела индекс «А», а вездеходные</w:t>
      </w:r>
      <w:r w:rsidRPr="007122AB">
        <w:rPr>
          <w:rStyle w:val="105"/>
          <w:rFonts w:ascii="Times New Roman" w:hAnsi="Times New Roman" w:cs="Times New Roman"/>
          <w:b w:val="0"/>
          <w:color w:val="000000" w:themeColor="text1"/>
          <w:sz w:val="16"/>
          <w:szCs w:val="16"/>
          <w:lang w:val="ru-RU"/>
        </w:rPr>
        <w:t xml:space="preserve"> машины</w:t>
      </w:r>
      <w:r w:rsidRPr="007122AB">
        <w:rPr>
          <w:color w:val="000000" w:themeColor="text1"/>
          <w:lang w:val="ru-RU"/>
        </w:rPr>
        <w:t xml:space="preserve"> двойного назначения - индекс «В») с мотором объемом 750</w:t>
      </w:r>
      <w:r w:rsidRPr="007122AB">
        <w:rPr>
          <w:rStyle w:val="105"/>
          <w:rFonts w:ascii="Times New Roman" w:hAnsi="Times New Roman" w:cs="Times New Roman"/>
          <w:b w:val="0"/>
          <w:color w:val="000000" w:themeColor="text1"/>
          <w:sz w:val="16"/>
          <w:szCs w:val="16"/>
          <w:lang w:val="ru-RU"/>
        </w:rPr>
        <w:t xml:space="preserve"> см</w:t>
      </w:r>
      <w:r w:rsidRPr="007122AB">
        <w:rPr>
          <w:rStyle w:val="105"/>
          <w:rFonts w:ascii="Times New Roman" w:hAnsi="Times New Roman" w:cs="Times New Roman"/>
          <w:b w:val="0"/>
          <w:color w:val="000000" w:themeColor="text1"/>
          <w:sz w:val="16"/>
          <w:szCs w:val="16"/>
          <w:vertAlign w:val="superscript"/>
          <w:lang w:val="ru-RU"/>
        </w:rPr>
        <w:t>3</w:t>
      </w:r>
      <w:r w:rsidRPr="007122AB">
        <w:rPr>
          <w:rStyle w:val="105"/>
          <w:rFonts w:ascii="Times New Roman" w:hAnsi="Times New Roman" w:cs="Times New Roman"/>
          <w:b w:val="0"/>
          <w:color w:val="000000" w:themeColor="text1"/>
          <w:sz w:val="16"/>
          <w:szCs w:val="16"/>
          <w:lang w:val="ru-RU"/>
        </w:rPr>
        <w:t xml:space="preserve"> (15753).</w:t>
      </w:r>
    </w:p>
    <w:p w14:paraId="36B5569F" w14:textId="77777777" w:rsidR="003E4223" w:rsidRPr="007122AB" w:rsidRDefault="003E4223" w:rsidP="007122AB">
      <w:pPr>
        <w:pStyle w:val="a3"/>
        <w:rPr>
          <w:rStyle w:val="105"/>
          <w:rFonts w:ascii="Times New Roman" w:hAnsi="Times New Roman" w:cs="Times New Roman"/>
          <w:b w:val="0"/>
          <w:color w:val="000000" w:themeColor="text1"/>
          <w:sz w:val="16"/>
          <w:szCs w:val="16"/>
          <w:lang w:val="ru-RU"/>
        </w:rPr>
      </w:pPr>
    </w:p>
    <w:p w14:paraId="65C8E95A" w14:textId="77777777" w:rsidR="003E422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7AD087F" w14:textId="77777777" w:rsidR="003E4223" w:rsidRPr="007122AB" w:rsidRDefault="003E422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2BD211"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в 1931 году в рамках кругосветного перелёта завершен первый в мире беспосадочный перелёт через Тихий океан. Первый в мире беспосадочный полет из Японии в США совершили Клайд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Hugh</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Herndon</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Jr</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намоноплане</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Bellanca</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CH</w:t>
      </w:r>
      <w:r w:rsidRPr="007122AB">
        <w:rPr>
          <w:rFonts w:ascii="Times New Roman" w:hAnsi="Times New Roman"/>
          <w:color w:val="000000" w:themeColor="text1"/>
          <w:sz w:val="16"/>
          <w:szCs w:val="16"/>
        </w:rPr>
        <w:t>-400» «</w:t>
      </w:r>
      <w:r w:rsidRPr="007122AB">
        <w:rPr>
          <w:rFonts w:ascii="Times New Roman" w:hAnsi="Times New Roman"/>
          <w:color w:val="000000" w:themeColor="text1"/>
          <w:sz w:val="16"/>
          <w:szCs w:val="16"/>
          <w:lang w:val="en-US"/>
        </w:rPr>
        <w:t>Miss</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lang w:val="en-US"/>
        </w:rPr>
        <w:t>Veedol</w:t>
      </w:r>
      <w:proofErr w:type="spellEnd"/>
      <w:r w:rsidRPr="007122AB">
        <w:rPr>
          <w:rFonts w:ascii="Times New Roman" w:hAnsi="Times New Roman"/>
          <w:color w:val="000000" w:themeColor="text1"/>
          <w:sz w:val="16"/>
          <w:szCs w:val="16"/>
        </w:rPr>
        <w:t xml:space="preserve">». Как раз накануне </w:t>
      </w:r>
      <w:r w:rsidRPr="007122AB">
        <w:rPr>
          <w:rFonts w:ascii="Times New Roman" w:hAnsi="Times New Roman"/>
          <w:color w:val="000000" w:themeColor="text1"/>
          <w:sz w:val="16"/>
          <w:szCs w:val="16"/>
        </w:rPr>
        <w:lastRenderedPageBreak/>
        <w:t xml:space="preserve">прибытия в Японию обнаружилось, что японская газета "Асахи" объявил премию в 25 тысяч долларов тому экипажу, который совершит этот полет. Ввиду этого американцы столкнулись с волной недовольства японских конкурентов и просто </w:t>
      </w:r>
      <w:proofErr w:type="spellStart"/>
      <w:r w:rsidRPr="007122AB">
        <w:rPr>
          <w:rFonts w:ascii="Times New Roman" w:hAnsi="Times New Roman"/>
          <w:color w:val="000000" w:themeColor="text1"/>
          <w:sz w:val="16"/>
          <w:szCs w:val="16"/>
        </w:rPr>
        <w:t>ультрапатриотов</w:t>
      </w:r>
      <w:proofErr w:type="spellEnd"/>
      <w:r w:rsidRPr="007122AB">
        <w:rPr>
          <w:rFonts w:ascii="Times New Roman" w:hAnsi="Times New Roman"/>
          <w:color w:val="000000" w:themeColor="text1"/>
          <w:sz w:val="16"/>
          <w:szCs w:val="16"/>
        </w:rPr>
        <w:t xml:space="preserve">, которые желали, чтобы эта премия досталась их соотечественникам, а не американцам. Многочисленные неприятности и враждебная обстановка значительно трепали нервы и отнимали время. Для того, чтобы хватило горючего на весь перелет, летчикам пришлось убрать все лишнее с борта, в том числе парашюты и даже подушки с сидений. Втайне от японцев даже немного модифицировали конструкцию самолета с помощью приспособления, позволяющее в полете сбросить колеса и специальной лыжи для успешной посадки в США. В 2 часа ночи 4 октября 1931 года, в день 27-летия </w:t>
      </w:r>
      <w:proofErr w:type="spellStart"/>
      <w:r w:rsidRPr="007122AB">
        <w:rPr>
          <w:rFonts w:ascii="Times New Roman" w:hAnsi="Times New Roman"/>
          <w:color w:val="000000" w:themeColor="text1"/>
          <w:sz w:val="16"/>
          <w:szCs w:val="16"/>
        </w:rPr>
        <w:t>Херндона</w:t>
      </w:r>
      <w:proofErr w:type="spellEnd"/>
      <w:r w:rsidRPr="007122AB">
        <w:rPr>
          <w:rFonts w:ascii="Times New Roman" w:hAnsi="Times New Roman"/>
          <w:color w:val="000000" w:themeColor="text1"/>
          <w:sz w:val="16"/>
          <w:szCs w:val="16"/>
        </w:rPr>
        <w:t xml:space="preserve">, они взлетели с аэродрома </w:t>
      </w:r>
      <w:proofErr w:type="spellStart"/>
      <w:r w:rsidRPr="007122AB">
        <w:rPr>
          <w:rFonts w:ascii="Times New Roman" w:hAnsi="Times New Roman"/>
          <w:color w:val="000000" w:themeColor="text1"/>
          <w:sz w:val="16"/>
          <w:szCs w:val="16"/>
        </w:rPr>
        <w:t>Самуширо</w:t>
      </w:r>
      <w:proofErr w:type="spellEnd"/>
      <w:r w:rsidRPr="007122AB">
        <w:rPr>
          <w:rFonts w:ascii="Times New Roman" w:hAnsi="Times New Roman"/>
          <w:color w:val="000000" w:themeColor="text1"/>
          <w:sz w:val="16"/>
          <w:szCs w:val="16"/>
        </w:rPr>
        <w:t xml:space="preserve">, расположенного в 483 километрах севернее Токио. Идя вдоль гряды Курильских островов, примерно в 300 милях от точки взлета, летчики сбросили колеса. Скорость полета тут же возросла, но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увидел, что под фюзеляжем остались торчать две стойки, которые не только увеличивали лобовое сопротивление, но и могли привести к катастрофе при посадке. Тогда он вылез на крыло и, держась одной рукой за подкосы крыла, другой рукой попытался сбросить эти стойки. Сделать это удалось только через 20 минут борьбы, но все же смелость и упорство летчика победили. 5 октября, проведя в воздухе 41 час 13 минут и пролетев 7334 км, они приземлились в небольшом городке </w:t>
      </w:r>
      <w:proofErr w:type="spellStart"/>
      <w:r w:rsidRPr="007122AB">
        <w:rPr>
          <w:rFonts w:ascii="Times New Roman" w:hAnsi="Times New Roman"/>
          <w:color w:val="000000" w:themeColor="text1"/>
          <w:sz w:val="16"/>
          <w:szCs w:val="16"/>
        </w:rPr>
        <w:t>Уэнатчи</w:t>
      </w:r>
      <w:proofErr w:type="spellEnd"/>
      <w:r w:rsidRPr="007122AB">
        <w:rPr>
          <w:rFonts w:ascii="Times New Roman" w:hAnsi="Times New Roman"/>
          <w:color w:val="000000" w:themeColor="text1"/>
          <w:sz w:val="16"/>
          <w:szCs w:val="16"/>
        </w:rPr>
        <w:t xml:space="preserve"> (кстати,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в нем родился). Самолет коснулся земли фюзеляжем, прополз по инерции более 100 метров и встал на нос, поломав винт. Условия перелета были выполнены, и японцы были вынуждены выписать летчикам чек на 25 тысяч долларов. Сам кругосветный перелёт они завершили 15 октября 1931 года (14790).</w:t>
      </w:r>
    </w:p>
    <w:p w14:paraId="5026BF86" w14:textId="77777777" w:rsidR="003E4223" w:rsidRPr="007122AB" w:rsidRDefault="003E4223" w:rsidP="007122AB">
      <w:pPr>
        <w:spacing w:after="0" w:line="240" w:lineRule="auto"/>
        <w:jc w:val="both"/>
        <w:rPr>
          <w:rFonts w:ascii="Times New Roman" w:hAnsi="Times New Roman"/>
          <w:color w:val="000000" w:themeColor="text1"/>
          <w:sz w:val="16"/>
          <w:szCs w:val="16"/>
        </w:rPr>
      </w:pPr>
    </w:p>
    <w:p w14:paraId="798E6080" w14:textId="77777777" w:rsidR="003E4223" w:rsidRPr="007122AB" w:rsidRDefault="003E4223" w:rsidP="007122AB">
      <w:pPr>
        <w:spacing w:after="0" w:line="240" w:lineRule="auto"/>
        <w:jc w:val="both"/>
        <w:rPr>
          <w:rStyle w:val="ucoz-forum-post"/>
          <w:rFonts w:ascii="Times New Roman" w:eastAsia="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5 октября 1931 года</w:t>
      </w:r>
      <w:r w:rsidRPr="007122AB">
        <w:rPr>
          <w:rStyle w:val="ucoz-forum-post"/>
          <w:rFonts w:ascii="Times New Roman" w:eastAsia="Times New Roman" w:hAnsi="Times New Roman"/>
          <w:color w:val="000000" w:themeColor="text1"/>
          <w:sz w:val="16"/>
          <w:szCs w:val="16"/>
        </w:rPr>
        <w:t xml:space="preserve"> Завершен первый в мире кругосветный безостановочный перелет через Тихий океан. (Перелёт начался 28 июня 1931, о нём я упоминал). Его выполнили американские лётчики Клайд </w:t>
      </w:r>
      <w:proofErr w:type="spellStart"/>
      <w:r w:rsidRPr="007122AB">
        <w:rPr>
          <w:rStyle w:val="ucoz-forum-post"/>
          <w:rFonts w:ascii="Times New Roman" w:eastAsia="Times New Roman" w:hAnsi="Times New Roman"/>
          <w:color w:val="000000" w:themeColor="text1"/>
          <w:sz w:val="16"/>
          <w:szCs w:val="16"/>
        </w:rPr>
        <w:t>Пангборн</w:t>
      </w:r>
      <w:proofErr w:type="spellEnd"/>
      <w:r w:rsidRPr="007122AB">
        <w:rPr>
          <w:rStyle w:val="ucoz-forum-post"/>
          <w:rFonts w:ascii="Times New Roman" w:eastAsia="Times New Roman" w:hAnsi="Times New Roman"/>
          <w:color w:val="000000" w:themeColor="text1"/>
          <w:sz w:val="16"/>
          <w:szCs w:val="16"/>
        </w:rPr>
        <w:t xml:space="preserve"> (</w:t>
      </w:r>
      <w:proofErr w:type="spellStart"/>
      <w:r w:rsidRPr="007122AB">
        <w:rPr>
          <w:rStyle w:val="ucoz-forum-post"/>
          <w:rFonts w:ascii="Times New Roman" w:eastAsia="Times New Roman" w:hAnsi="Times New Roman"/>
          <w:color w:val="000000" w:themeColor="text1"/>
          <w:sz w:val="16"/>
          <w:szCs w:val="16"/>
        </w:rPr>
        <w:t>Clyde</w:t>
      </w:r>
      <w:proofErr w:type="spellEnd"/>
      <w:r w:rsidRPr="007122AB">
        <w:rPr>
          <w:rStyle w:val="ucoz-forum-post"/>
          <w:rFonts w:ascii="Times New Roman" w:eastAsia="Times New Roman" w:hAnsi="Times New Roman"/>
          <w:color w:val="000000" w:themeColor="text1"/>
          <w:sz w:val="16"/>
          <w:szCs w:val="16"/>
        </w:rPr>
        <w:t xml:space="preserve"> </w:t>
      </w:r>
      <w:proofErr w:type="spellStart"/>
      <w:r w:rsidRPr="007122AB">
        <w:rPr>
          <w:rStyle w:val="ucoz-forum-post"/>
          <w:rFonts w:ascii="Times New Roman" w:eastAsia="Times New Roman" w:hAnsi="Times New Roman"/>
          <w:color w:val="000000" w:themeColor="text1"/>
          <w:sz w:val="16"/>
          <w:szCs w:val="16"/>
        </w:rPr>
        <w:t>Pangborn</w:t>
      </w:r>
      <w:proofErr w:type="spellEnd"/>
      <w:r w:rsidRPr="007122AB">
        <w:rPr>
          <w:rStyle w:val="ucoz-forum-post"/>
          <w:rFonts w:ascii="Times New Roman" w:eastAsia="Times New Roman" w:hAnsi="Times New Roman"/>
          <w:color w:val="000000" w:themeColor="text1"/>
          <w:sz w:val="16"/>
          <w:szCs w:val="16"/>
        </w:rPr>
        <w:t xml:space="preserve">) и Хью </w:t>
      </w:r>
      <w:proofErr w:type="spellStart"/>
      <w:r w:rsidRPr="007122AB">
        <w:rPr>
          <w:rStyle w:val="ucoz-forum-post"/>
          <w:rFonts w:ascii="Times New Roman" w:eastAsia="Times New Roman" w:hAnsi="Times New Roman"/>
          <w:color w:val="000000" w:themeColor="text1"/>
          <w:sz w:val="16"/>
          <w:szCs w:val="16"/>
        </w:rPr>
        <w:t>Херндон</w:t>
      </w:r>
      <w:proofErr w:type="spellEnd"/>
      <w:r w:rsidRPr="007122AB">
        <w:rPr>
          <w:rStyle w:val="ucoz-forum-post"/>
          <w:rFonts w:ascii="Times New Roman" w:eastAsia="Times New Roman" w:hAnsi="Times New Roman"/>
          <w:color w:val="000000" w:themeColor="text1"/>
          <w:sz w:val="16"/>
          <w:szCs w:val="16"/>
        </w:rPr>
        <w:t xml:space="preserve"> (</w:t>
      </w:r>
      <w:r w:rsidRPr="007122AB">
        <w:rPr>
          <w:rStyle w:val="ucoz-forum-post"/>
          <w:rFonts w:ascii="Times New Roman" w:eastAsia="Times New Roman" w:hAnsi="Times New Roman"/>
          <w:color w:val="000000" w:themeColor="text1"/>
          <w:sz w:val="16"/>
          <w:szCs w:val="16"/>
          <w:lang w:val="en-US"/>
        </w:rPr>
        <w:t>Hugh</w:t>
      </w:r>
      <w:r w:rsidRPr="007122AB">
        <w:rPr>
          <w:rStyle w:val="ucoz-forum-post"/>
          <w:rFonts w:ascii="Times New Roman" w:eastAsia="Times New Roman" w:hAnsi="Times New Roman"/>
          <w:color w:val="000000" w:themeColor="text1"/>
          <w:sz w:val="16"/>
          <w:szCs w:val="16"/>
        </w:rPr>
        <w:t xml:space="preserve"> </w:t>
      </w:r>
      <w:r w:rsidRPr="007122AB">
        <w:rPr>
          <w:rStyle w:val="ucoz-forum-post"/>
          <w:rFonts w:ascii="Times New Roman" w:eastAsia="Times New Roman" w:hAnsi="Times New Roman"/>
          <w:color w:val="000000" w:themeColor="text1"/>
          <w:sz w:val="16"/>
          <w:szCs w:val="16"/>
          <w:lang w:val="en-US"/>
        </w:rPr>
        <w:t>Herndon</w:t>
      </w:r>
      <w:r w:rsidRPr="007122AB">
        <w:rPr>
          <w:rStyle w:val="ucoz-forum-post"/>
          <w:rFonts w:ascii="Times New Roman" w:eastAsia="Times New Roman" w:hAnsi="Times New Roman"/>
          <w:color w:val="000000" w:themeColor="text1"/>
          <w:sz w:val="16"/>
          <w:szCs w:val="16"/>
        </w:rPr>
        <w:t xml:space="preserve"> </w:t>
      </w:r>
      <w:r w:rsidRPr="007122AB">
        <w:rPr>
          <w:rStyle w:val="ucoz-forum-post"/>
          <w:rFonts w:ascii="Times New Roman" w:eastAsia="Times New Roman" w:hAnsi="Times New Roman"/>
          <w:color w:val="000000" w:themeColor="text1"/>
          <w:sz w:val="16"/>
          <w:szCs w:val="16"/>
          <w:lang w:val="en-US"/>
        </w:rPr>
        <w:t>Jr</w:t>
      </w:r>
      <w:r w:rsidRPr="007122AB">
        <w:rPr>
          <w:rStyle w:val="ucoz-forum-post"/>
          <w:rFonts w:ascii="Times New Roman" w:eastAsia="Times New Roman" w:hAnsi="Times New Roman"/>
          <w:color w:val="000000" w:themeColor="text1"/>
          <w:sz w:val="16"/>
          <w:szCs w:val="16"/>
        </w:rPr>
        <w:t xml:space="preserve">) </w:t>
      </w:r>
      <w:proofErr w:type="spellStart"/>
      <w:r w:rsidRPr="007122AB">
        <w:rPr>
          <w:rStyle w:val="ucoz-forum-post"/>
          <w:rFonts w:ascii="Times New Roman" w:eastAsia="Times New Roman" w:hAnsi="Times New Roman"/>
          <w:color w:val="000000" w:themeColor="text1"/>
          <w:sz w:val="16"/>
          <w:szCs w:val="16"/>
        </w:rPr>
        <w:t>насамолёте</w:t>
      </w:r>
      <w:proofErr w:type="spellEnd"/>
      <w:r w:rsidRPr="007122AB">
        <w:rPr>
          <w:rStyle w:val="ucoz-forum-post"/>
          <w:rFonts w:ascii="Times New Roman" w:eastAsia="Times New Roman" w:hAnsi="Times New Roman"/>
          <w:color w:val="000000" w:themeColor="text1"/>
          <w:sz w:val="16"/>
          <w:szCs w:val="16"/>
        </w:rPr>
        <w:t xml:space="preserve"> </w:t>
      </w:r>
      <w:r w:rsidRPr="007122AB">
        <w:rPr>
          <w:rStyle w:val="ucoz-forum-post"/>
          <w:rFonts w:ascii="Times New Roman" w:eastAsia="Times New Roman" w:hAnsi="Times New Roman"/>
          <w:color w:val="000000" w:themeColor="text1"/>
          <w:sz w:val="16"/>
          <w:szCs w:val="16"/>
          <w:lang w:val="en-US"/>
        </w:rPr>
        <w:t>Bellanca</w:t>
      </w:r>
      <w:r w:rsidRPr="007122AB">
        <w:rPr>
          <w:rStyle w:val="ucoz-forum-post"/>
          <w:rFonts w:ascii="Times New Roman" w:eastAsia="Times New Roman" w:hAnsi="Times New Roman"/>
          <w:color w:val="000000" w:themeColor="text1"/>
          <w:sz w:val="16"/>
          <w:szCs w:val="16"/>
        </w:rPr>
        <w:t xml:space="preserve"> </w:t>
      </w:r>
      <w:r w:rsidRPr="007122AB">
        <w:rPr>
          <w:rStyle w:val="ucoz-forum-post"/>
          <w:rFonts w:ascii="Times New Roman" w:eastAsia="Times New Roman" w:hAnsi="Times New Roman"/>
          <w:color w:val="000000" w:themeColor="text1"/>
          <w:sz w:val="16"/>
          <w:szCs w:val="16"/>
          <w:lang w:val="en-US"/>
        </w:rPr>
        <w:t>CH</w:t>
      </w:r>
      <w:r w:rsidRPr="007122AB">
        <w:rPr>
          <w:rStyle w:val="ucoz-forum-post"/>
          <w:rFonts w:ascii="Times New Roman" w:eastAsia="Times New Roman" w:hAnsi="Times New Roman"/>
          <w:color w:val="000000" w:themeColor="text1"/>
          <w:sz w:val="16"/>
          <w:szCs w:val="16"/>
        </w:rPr>
        <w:t xml:space="preserve">-400 </w:t>
      </w:r>
      <w:r w:rsidRPr="007122AB">
        <w:rPr>
          <w:rStyle w:val="ucoz-forum-post"/>
          <w:rFonts w:ascii="Times New Roman" w:eastAsia="Times New Roman" w:hAnsi="Times New Roman"/>
          <w:color w:val="000000" w:themeColor="text1"/>
          <w:sz w:val="16"/>
          <w:szCs w:val="16"/>
          <w:lang w:val="en-US"/>
        </w:rPr>
        <w:t>Miss</w:t>
      </w:r>
      <w:r w:rsidRPr="007122AB">
        <w:rPr>
          <w:rStyle w:val="ucoz-forum-post"/>
          <w:rFonts w:ascii="Times New Roman" w:eastAsia="Times New Roman" w:hAnsi="Times New Roman"/>
          <w:color w:val="000000" w:themeColor="text1"/>
          <w:sz w:val="16"/>
          <w:szCs w:val="16"/>
        </w:rPr>
        <w:t xml:space="preserve"> </w:t>
      </w:r>
      <w:proofErr w:type="spellStart"/>
      <w:r w:rsidRPr="007122AB">
        <w:rPr>
          <w:rStyle w:val="ucoz-forum-post"/>
          <w:rFonts w:ascii="Times New Roman" w:eastAsia="Times New Roman" w:hAnsi="Times New Roman"/>
          <w:color w:val="000000" w:themeColor="text1"/>
          <w:sz w:val="16"/>
          <w:szCs w:val="16"/>
          <w:lang w:val="en-US"/>
        </w:rPr>
        <w:t>Veedol</w:t>
      </w:r>
      <w:proofErr w:type="spellEnd"/>
      <w:r w:rsidRPr="007122AB">
        <w:rPr>
          <w:rStyle w:val="ucoz-forum-post"/>
          <w:rFonts w:ascii="Times New Roman" w:eastAsia="Times New Roman" w:hAnsi="Times New Roman"/>
          <w:color w:val="000000" w:themeColor="text1"/>
          <w:sz w:val="16"/>
          <w:szCs w:val="16"/>
        </w:rPr>
        <w:t xml:space="preserve"> (14790).</w:t>
      </w:r>
    </w:p>
    <w:p w14:paraId="6619131F" w14:textId="77777777" w:rsidR="003E4223" w:rsidRPr="007122AB" w:rsidRDefault="003E4223" w:rsidP="007122AB">
      <w:pPr>
        <w:spacing w:after="0" w:line="240" w:lineRule="auto"/>
        <w:jc w:val="both"/>
        <w:rPr>
          <w:rStyle w:val="ucoz-forum-post"/>
          <w:rFonts w:ascii="Times New Roman" w:eastAsia="Times New Roman" w:hAnsi="Times New Roman"/>
          <w:color w:val="000000" w:themeColor="text1"/>
          <w:sz w:val="16"/>
          <w:szCs w:val="16"/>
        </w:rPr>
      </w:pPr>
    </w:p>
    <w:p w14:paraId="3D444686" w14:textId="77777777" w:rsidR="0075626C" w:rsidRPr="007122AB" w:rsidRDefault="0075626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октября 1931 - Завершён первый в мире беспосадочный перелёт через Тихий океан. Его выполнили американские лётчики Клайд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Hugh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Herndon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Jr</w:t>
      </w:r>
      <w:proofErr w:type="spellEnd"/>
      <w:r w:rsidRPr="007122AB">
        <w:rPr>
          <w:rFonts w:ascii="Times New Roman" w:hAnsi="Times New Roman"/>
          <w:color w:val="000000" w:themeColor="text1"/>
          <w:sz w:val="16"/>
          <w:szCs w:val="16"/>
        </w:rPr>
        <w:t xml:space="preserve">) на самолёте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CH-400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в рамках кругосветного перелёта, начавшегося 28 июня (22346).</w:t>
      </w:r>
    </w:p>
    <w:p w14:paraId="7F525CBD" w14:textId="77777777" w:rsidR="0075626C" w:rsidRPr="007122AB" w:rsidRDefault="0075626C" w:rsidP="007122AB">
      <w:pPr>
        <w:spacing w:after="0" w:line="240" w:lineRule="auto"/>
        <w:jc w:val="both"/>
        <w:rPr>
          <w:rFonts w:ascii="Times New Roman" w:hAnsi="Times New Roman"/>
          <w:color w:val="000000" w:themeColor="text1"/>
          <w:sz w:val="16"/>
          <w:szCs w:val="16"/>
        </w:rPr>
      </w:pPr>
    </w:p>
    <w:p w14:paraId="6AFF7994"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5E8237E"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A6750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сентября 1931 года И-4 (зав. №1514) с вторично использованным на</w:t>
      </w:r>
      <w:r w:rsidRPr="007122AB">
        <w:rPr>
          <w:rFonts w:ascii="Times New Roman" w:hAnsi="Times New Roman"/>
          <w:color w:val="000000" w:themeColor="text1"/>
          <w:sz w:val="16"/>
          <w:szCs w:val="16"/>
        </w:rPr>
        <w:softHyphen/>
        <w:t>званием И-4бис был предъявлен на испыта</w:t>
      </w:r>
      <w:r w:rsidRPr="007122AB">
        <w:rPr>
          <w:rFonts w:ascii="Times New Roman" w:hAnsi="Times New Roman"/>
          <w:color w:val="000000" w:themeColor="text1"/>
          <w:sz w:val="16"/>
          <w:szCs w:val="16"/>
        </w:rPr>
        <w:softHyphen/>
        <w:t>ния. На нем полностью убрали нижнее крыло, а двигатель оборудо</w:t>
      </w:r>
      <w:r w:rsidRPr="007122AB">
        <w:rPr>
          <w:rFonts w:ascii="Times New Roman" w:hAnsi="Times New Roman"/>
          <w:color w:val="000000" w:themeColor="text1"/>
          <w:sz w:val="16"/>
          <w:szCs w:val="16"/>
        </w:rPr>
        <w:softHyphen/>
        <w:t>вали комбинированным кольцевым капо</w:t>
      </w:r>
      <w:r w:rsidRPr="007122AB">
        <w:rPr>
          <w:rFonts w:ascii="Times New Roman" w:hAnsi="Times New Roman"/>
          <w:color w:val="000000" w:themeColor="text1"/>
          <w:sz w:val="16"/>
          <w:szCs w:val="16"/>
        </w:rPr>
        <w:softHyphen/>
        <w:t>том. Кроме прочего, верхнее крыло оснасти</w:t>
      </w:r>
      <w:r w:rsidRPr="007122AB">
        <w:rPr>
          <w:rFonts w:ascii="Times New Roman" w:hAnsi="Times New Roman"/>
          <w:color w:val="000000" w:themeColor="text1"/>
          <w:sz w:val="16"/>
          <w:szCs w:val="16"/>
        </w:rPr>
        <w:softHyphen/>
        <w:t>ли предкрылками, которые управлялись лет</w:t>
      </w:r>
      <w:r w:rsidRPr="007122AB">
        <w:rPr>
          <w:rFonts w:ascii="Times New Roman" w:hAnsi="Times New Roman"/>
          <w:color w:val="000000" w:themeColor="text1"/>
          <w:sz w:val="16"/>
          <w:szCs w:val="16"/>
        </w:rPr>
        <w:softHyphen/>
        <w:t>чиком, а также могли открываться автомати</w:t>
      </w:r>
      <w:r w:rsidRPr="007122AB">
        <w:rPr>
          <w:rFonts w:ascii="Times New Roman" w:hAnsi="Times New Roman"/>
          <w:color w:val="000000" w:themeColor="text1"/>
          <w:sz w:val="16"/>
          <w:szCs w:val="16"/>
        </w:rPr>
        <w:softHyphen/>
        <w:t>чески при уменьшении скорости полета до 90-100 км/ч. Испытания И-4бис №1514 ве</w:t>
      </w:r>
      <w:r w:rsidRPr="007122AB">
        <w:rPr>
          <w:rFonts w:ascii="Times New Roman" w:hAnsi="Times New Roman"/>
          <w:color w:val="000000" w:themeColor="text1"/>
          <w:sz w:val="16"/>
          <w:szCs w:val="16"/>
        </w:rPr>
        <w:softHyphen/>
        <w:t>лись в период 11.09-23.09 1931 г.</w:t>
      </w:r>
    </w:p>
    <w:p w14:paraId="2DE3BE9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Выяснилось, что летные характеристики самолета №1514 по сравнению с серийны</w:t>
      </w:r>
      <w:r w:rsidRPr="007122AB">
        <w:rPr>
          <w:rFonts w:ascii="Times New Roman" w:hAnsi="Times New Roman"/>
          <w:color w:val="000000" w:themeColor="text1"/>
          <w:sz w:val="16"/>
          <w:szCs w:val="16"/>
        </w:rPr>
        <w:softHyphen/>
        <w:t>ми И-4 изменились мало. Благодаря исполь</w:t>
      </w:r>
      <w:r w:rsidRPr="007122AB">
        <w:rPr>
          <w:rFonts w:ascii="Times New Roman" w:hAnsi="Times New Roman"/>
          <w:color w:val="000000" w:themeColor="text1"/>
          <w:sz w:val="16"/>
          <w:szCs w:val="16"/>
        </w:rPr>
        <w:softHyphen/>
        <w:t>зованию предкрылков улучшилась попереч</w:t>
      </w:r>
      <w:r w:rsidRPr="007122AB">
        <w:rPr>
          <w:rFonts w:ascii="Times New Roman" w:hAnsi="Times New Roman"/>
          <w:color w:val="000000" w:themeColor="text1"/>
          <w:sz w:val="16"/>
          <w:szCs w:val="16"/>
        </w:rPr>
        <w:softHyphen/>
        <w:t>ная устойчивость на малых скоростях, одна</w:t>
      </w:r>
      <w:r w:rsidRPr="007122AB">
        <w:rPr>
          <w:rFonts w:ascii="Times New Roman" w:hAnsi="Times New Roman"/>
          <w:color w:val="000000" w:themeColor="text1"/>
          <w:sz w:val="16"/>
          <w:szCs w:val="16"/>
        </w:rPr>
        <w:softHyphen/>
        <w:t>ко скорость на посадке практически не из</w:t>
      </w:r>
      <w:r w:rsidRPr="007122AB">
        <w:rPr>
          <w:rFonts w:ascii="Times New Roman" w:hAnsi="Times New Roman"/>
          <w:color w:val="000000" w:themeColor="text1"/>
          <w:sz w:val="16"/>
          <w:szCs w:val="16"/>
        </w:rPr>
        <w:softHyphen/>
        <w:t>менилась. Несколько выросла полетная ско</w:t>
      </w:r>
      <w:r w:rsidRPr="007122AB">
        <w:rPr>
          <w:rFonts w:ascii="Times New Roman" w:hAnsi="Times New Roman"/>
          <w:color w:val="000000" w:themeColor="text1"/>
          <w:sz w:val="16"/>
          <w:szCs w:val="16"/>
        </w:rPr>
        <w:softHyphen/>
        <w:t>рость - до 268 км/ч, но ухудшились характе</w:t>
      </w:r>
      <w:r w:rsidRPr="007122AB">
        <w:rPr>
          <w:rFonts w:ascii="Times New Roman" w:hAnsi="Times New Roman"/>
          <w:color w:val="000000" w:themeColor="text1"/>
          <w:sz w:val="16"/>
          <w:szCs w:val="16"/>
        </w:rPr>
        <w:softHyphen/>
        <w:t>ристики штопора. Не принес удовлетворе</w:t>
      </w:r>
      <w:r w:rsidRPr="007122AB">
        <w:rPr>
          <w:rFonts w:ascii="Times New Roman" w:hAnsi="Times New Roman"/>
          <w:color w:val="000000" w:themeColor="text1"/>
          <w:sz w:val="16"/>
          <w:szCs w:val="16"/>
        </w:rPr>
        <w:softHyphen/>
        <w:t>ния и новый капот — он не обеспечивал наде</w:t>
      </w:r>
      <w:r w:rsidRPr="007122AB">
        <w:rPr>
          <w:rFonts w:ascii="Times New Roman" w:hAnsi="Times New Roman"/>
          <w:color w:val="000000" w:themeColor="text1"/>
          <w:sz w:val="16"/>
          <w:szCs w:val="16"/>
        </w:rPr>
        <w:softHyphen/>
        <w:t>жного и достаточного охлаждения двигате</w:t>
      </w:r>
      <w:r w:rsidRPr="007122AB">
        <w:rPr>
          <w:rFonts w:ascii="Times New Roman" w:hAnsi="Times New Roman"/>
          <w:color w:val="000000" w:themeColor="text1"/>
          <w:sz w:val="16"/>
          <w:szCs w:val="16"/>
        </w:rPr>
        <w:softHyphen/>
        <w:t>ля. В результате признавалось, что переделка И-4 в моноплан нецелесообразна.</w:t>
      </w:r>
    </w:p>
    <w:p w14:paraId="1512AFA6" w14:textId="77777777" w:rsidR="003371BD" w:rsidRPr="007122AB" w:rsidRDefault="003371B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одной работой ЦАГИ по усовершен</w:t>
      </w:r>
      <w:r w:rsidRPr="007122AB">
        <w:rPr>
          <w:rFonts w:ascii="Times New Roman" w:hAnsi="Times New Roman"/>
          <w:color w:val="000000" w:themeColor="text1"/>
          <w:sz w:val="16"/>
          <w:szCs w:val="16"/>
        </w:rPr>
        <w:softHyphen/>
        <w:t>ствованию И-4 стала его установка на по</w:t>
      </w:r>
      <w:r w:rsidRPr="007122AB">
        <w:rPr>
          <w:rFonts w:ascii="Times New Roman" w:hAnsi="Times New Roman"/>
          <w:color w:val="000000" w:themeColor="text1"/>
          <w:sz w:val="16"/>
          <w:szCs w:val="16"/>
        </w:rPr>
        <w:softHyphen/>
        <w:t>плавки с целью дальнейшего использования в качестве корабельного истребителя. Основ</w:t>
      </w:r>
      <w:r w:rsidRPr="007122AB">
        <w:rPr>
          <w:rFonts w:ascii="Times New Roman" w:hAnsi="Times New Roman"/>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7122AB">
        <w:rPr>
          <w:rFonts w:ascii="Times New Roman" w:hAnsi="Times New Roman"/>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7122AB">
        <w:rPr>
          <w:rFonts w:ascii="Times New Roman" w:hAnsi="Times New Roman"/>
          <w:color w:val="000000" w:themeColor="text1"/>
          <w:sz w:val="16"/>
          <w:szCs w:val="16"/>
        </w:rPr>
        <w:softHyphen/>
        <w:t>ских образцов разработали и в середине 1931 г. изготовили цельнометаллические поплав</w:t>
      </w:r>
      <w:r w:rsidRPr="007122AB">
        <w:rPr>
          <w:rFonts w:ascii="Times New Roman" w:hAnsi="Times New Roman"/>
          <w:color w:val="000000" w:themeColor="text1"/>
          <w:sz w:val="16"/>
          <w:szCs w:val="16"/>
        </w:rPr>
        <w:softHyphen/>
        <w:t>ки со следующими размерами: длина 6,415 м, ширина 770 мм, высота 673 мм, длина носо</w:t>
      </w:r>
      <w:r w:rsidRPr="007122AB">
        <w:rPr>
          <w:rFonts w:ascii="Times New Roman" w:hAnsi="Times New Roman"/>
          <w:color w:val="000000" w:themeColor="text1"/>
          <w:sz w:val="16"/>
          <w:szCs w:val="16"/>
        </w:rPr>
        <w:softHyphen/>
        <w:t>вой части до редана 3,365 м. Поначалу пред</w:t>
      </w:r>
      <w:r w:rsidRPr="007122AB">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7122AB">
        <w:rPr>
          <w:rFonts w:ascii="Times New Roman" w:hAnsi="Times New Roman"/>
          <w:color w:val="000000" w:themeColor="text1"/>
          <w:sz w:val="16"/>
          <w:szCs w:val="16"/>
        </w:rPr>
        <w:softHyphen/>
        <w:t>ся в Евпатории. Однако в ЦАГИ использова</w:t>
      </w:r>
      <w:r w:rsidRPr="007122AB">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7122AB">
        <w:rPr>
          <w:rFonts w:ascii="Times New Roman" w:hAnsi="Times New Roman"/>
          <w:color w:val="000000" w:themeColor="text1"/>
          <w:sz w:val="16"/>
          <w:szCs w:val="16"/>
        </w:rPr>
        <w:softHyphen/>
        <w:t>нако сведений о завершении работ не обна</w:t>
      </w:r>
      <w:r w:rsidRPr="007122AB">
        <w:rPr>
          <w:rFonts w:ascii="Times New Roman" w:hAnsi="Times New Roman"/>
          <w:color w:val="000000" w:themeColor="text1"/>
          <w:sz w:val="16"/>
          <w:szCs w:val="16"/>
        </w:rPr>
        <w:softHyphen/>
        <w:t>ружено. Очевидно, что летом 1931 года пред</w:t>
      </w:r>
      <w:r w:rsidRPr="007122AB">
        <w:rPr>
          <w:rFonts w:ascii="Times New Roman" w:hAnsi="Times New Roman"/>
          <w:color w:val="000000" w:themeColor="text1"/>
          <w:sz w:val="16"/>
          <w:szCs w:val="16"/>
        </w:rPr>
        <w:softHyphen/>
        <w:t>ставители морской авиации от обладания ма</w:t>
      </w:r>
      <w:r w:rsidRPr="007122AB">
        <w:rPr>
          <w:rFonts w:ascii="Times New Roman" w:hAnsi="Times New Roman"/>
          <w:color w:val="000000" w:themeColor="text1"/>
          <w:sz w:val="16"/>
          <w:szCs w:val="16"/>
        </w:rPr>
        <w:softHyphen/>
        <w:t>леньким поплавковым истребителем с недо</w:t>
      </w:r>
      <w:r w:rsidRPr="007122AB">
        <w:rPr>
          <w:rFonts w:ascii="Times New Roman" w:hAnsi="Times New Roman"/>
          <w:color w:val="000000" w:themeColor="text1"/>
          <w:sz w:val="16"/>
          <w:szCs w:val="16"/>
        </w:rPr>
        <w:softHyphen/>
        <w:t>статочной мореходностью решили отказать</w:t>
      </w:r>
      <w:r w:rsidRPr="007122AB">
        <w:rPr>
          <w:rFonts w:ascii="Times New Roman" w:hAnsi="Times New Roman"/>
          <w:color w:val="000000" w:themeColor="text1"/>
          <w:sz w:val="16"/>
          <w:szCs w:val="16"/>
        </w:rPr>
        <w:softHyphen/>
        <w:t>ся. Вероятнее всего на принятие решения по</w:t>
      </w:r>
      <w:r w:rsidRPr="007122AB">
        <w:rPr>
          <w:rFonts w:ascii="Times New Roman" w:hAnsi="Times New Roman"/>
          <w:color w:val="000000" w:themeColor="text1"/>
          <w:sz w:val="16"/>
          <w:szCs w:val="16"/>
        </w:rPr>
        <w:softHyphen/>
        <w:t>влиял двухлетний опыт эксплуатации летаю</w:t>
      </w:r>
      <w:r w:rsidRPr="007122AB">
        <w:rPr>
          <w:rFonts w:ascii="Times New Roman" w:hAnsi="Times New Roman"/>
          <w:color w:val="000000" w:themeColor="text1"/>
          <w:sz w:val="16"/>
          <w:szCs w:val="16"/>
        </w:rPr>
        <w:softHyphen/>
        <w:t>щих лодок КР-1 (Хейнкель НЭ.55).</w:t>
      </w:r>
    </w:p>
    <w:p w14:paraId="08E9272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одной работой 1931 года стала уста</w:t>
      </w:r>
      <w:r w:rsidRPr="007122AB">
        <w:rPr>
          <w:rFonts w:ascii="Times New Roman" w:hAnsi="Times New Roman"/>
          <w:color w:val="000000" w:themeColor="text1"/>
          <w:sz w:val="16"/>
          <w:szCs w:val="16"/>
        </w:rPr>
        <w:softHyphen/>
        <w:t>новка под крылом И-4 выливных авиацион</w:t>
      </w:r>
      <w:r w:rsidRPr="007122AB">
        <w:rPr>
          <w:rFonts w:ascii="Times New Roman" w:hAnsi="Times New Roman"/>
          <w:color w:val="000000" w:themeColor="text1"/>
          <w:sz w:val="16"/>
          <w:szCs w:val="16"/>
        </w:rPr>
        <w:softHyphen/>
        <w:t>ных приборов ВАП-4. Однако первые поле</w:t>
      </w:r>
      <w:r w:rsidRPr="007122AB">
        <w:rPr>
          <w:rFonts w:ascii="Times New Roman" w:hAnsi="Times New Roman"/>
          <w:color w:val="000000" w:themeColor="text1"/>
          <w:sz w:val="16"/>
          <w:szCs w:val="16"/>
        </w:rPr>
        <w:softHyphen/>
        <w:t xml:space="preserve">ты, проведенные в августе того года, показали, что </w:t>
      </w:r>
      <w:proofErr w:type="spellStart"/>
      <w:r w:rsidRPr="007122AB">
        <w:rPr>
          <w:rFonts w:ascii="Times New Roman" w:hAnsi="Times New Roman"/>
          <w:color w:val="000000" w:themeColor="text1"/>
          <w:sz w:val="16"/>
          <w:szCs w:val="16"/>
        </w:rPr>
        <w:t>ВАПы</w:t>
      </w:r>
      <w:proofErr w:type="spellEnd"/>
      <w:r w:rsidRPr="007122AB">
        <w:rPr>
          <w:rFonts w:ascii="Times New Roman" w:hAnsi="Times New Roman"/>
          <w:color w:val="000000" w:themeColor="text1"/>
          <w:sz w:val="16"/>
          <w:szCs w:val="16"/>
        </w:rPr>
        <w:t xml:space="preserve"> цепляют за землю, поэтому ис</w:t>
      </w:r>
      <w:r w:rsidRPr="007122AB">
        <w:rPr>
          <w:rFonts w:ascii="Times New Roman" w:hAnsi="Times New Roman"/>
          <w:color w:val="000000" w:themeColor="text1"/>
          <w:sz w:val="16"/>
          <w:szCs w:val="16"/>
        </w:rPr>
        <w:softHyphen/>
        <w:t>пользование небольшого истребителя в каче</w:t>
      </w:r>
      <w:r w:rsidRPr="007122AB">
        <w:rPr>
          <w:rFonts w:ascii="Times New Roman" w:hAnsi="Times New Roman"/>
          <w:color w:val="000000" w:themeColor="text1"/>
          <w:sz w:val="16"/>
          <w:szCs w:val="16"/>
        </w:rPr>
        <w:softHyphen/>
        <w:t>стве «химического» самолета не состоялось.</w:t>
      </w:r>
    </w:p>
    <w:p w14:paraId="738FF7A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экспериментам, в которых участвова</w:t>
      </w:r>
      <w:r w:rsidRPr="007122AB">
        <w:rPr>
          <w:rFonts w:ascii="Times New Roman" w:hAnsi="Times New Roman"/>
          <w:color w:val="000000" w:themeColor="text1"/>
          <w:sz w:val="16"/>
          <w:szCs w:val="16"/>
        </w:rPr>
        <w:softHyphen/>
        <w:t>ли И-4, следует отнести опыты с ракетны</w:t>
      </w:r>
      <w:r w:rsidRPr="007122AB">
        <w:rPr>
          <w:rFonts w:ascii="Times New Roman" w:hAnsi="Times New Roman"/>
          <w:color w:val="000000" w:themeColor="text1"/>
          <w:sz w:val="16"/>
          <w:szCs w:val="16"/>
        </w:rPr>
        <w:softHyphen/>
        <w:t>ми двигателями для ускорения взлета. Дея</w:t>
      </w:r>
      <w:r w:rsidRPr="007122AB">
        <w:rPr>
          <w:rFonts w:ascii="Times New Roman" w:hAnsi="Times New Roman"/>
          <w:color w:val="000000" w:themeColor="text1"/>
          <w:sz w:val="16"/>
          <w:szCs w:val="16"/>
        </w:rPr>
        <w:softHyphen/>
        <w:t>тельность по установке ракетных ускорите</w:t>
      </w:r>
      <w:r w:rsidRPr="007122AB">
        <w:rPr>
          <w:rFonts w:ascii="Times New Roman" w:hAnsi="Times New Roman"/>
          <w:color w:val="000000" w:themeColor="text1"/>
          <w:sz w:val="16"/>
          <w:szCs w:val="16"/>
        </w:rPr>
        <w:softHyphen/>
        <w:t xml:space="preserve">лей велась в 1934 году под руководством В.М. </w:t>
      </w:r>
      <w:proofErr w:type="spellStart"/>
      <w:r w:rsidRPr="007122AB">
        <w:rPr>
          <w:rFonts w:ascii="Times New Roman" w:hAnsi="Times New Roman"/>
          <w:color w:val="000000" w:themeColor="text1"/>
          <w:sz w:val="16"/>
          <w:szCs w:val="16"/>
        </w:rPr>
        <w:t>Мясишева</w:t>
      </w:r>
      <w:proofErr w:type="spellEnd"/>
      <w:r w:rsidRPr="007122AB">
        <w:rPr>
          <w:rFonts w:ascii="Times New Roman" w:hAnsi="Times New Roman"/>
          <w:color w:val="000000" w:themeColor="text1"/>
          <w:sz w:val="16"/>
          <w:szCs w:val="16"/>
        </w:rPr>
        <w:t>. Во время испытаний отмечалось увеличение полетной скорости истребителя на 25 км/ч (12295).</w:t>
      </w:r>
    </w:p>
    <w:p w14:paraId="751DB95B"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105CCEAC" w14:textId="77777777" w:rsidR="00B15BD8" w:rsidRPr="007122AB" w:rsidRDefault="00B15BD8"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37164A4" w14:textId="77777777" w:rsidR="00B15BD8" w:rsidRPr="007122AB" w:rsidRDefault="00B15BD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2EBE58" w14:textId="77777777" w:rsidR="00B15BD8" w:rsidRPr="007122AB" w:rsidRDefault="00B15BD8" w:rsidP="007122AB">
      <w:pPr>
        <w:spacing w:after="0" w:line="240" w:lineRule="auto"/>
        <w:jc w:val="both"/>
        <w:rPr>
          <w:rFonts w:ascii="Times New Roman" w:hAnsi="Times New Roman"/>
          <w:iCs/>
          <w:color w:val="000000" w:themeColor="text1"/>
          <w:sz w:val="16"/>
          <w:szCs w:val="16"/>
          <w:shd w:val="clear" w:color="auto" w:fill="FFFFFF"/>
        </w:rPr>
      </w:pPr>
      <w:r w:rsidRPr="007122AB">
        <w:rPr>
          <w:rFonts w:ascii="Times New Roman" w:hAnsi="Times New Roman"/>
          <w:iCs/>
          <w:color w:val="000000" w:themeColor="text1"/>
          <w:sz w:val="16"/>
          <w:szCs w:val="16"/>
          <w:shd w:val="clear" w:color="auto" w:fill="FFFFFF"/>
        </w:rPr>
        <w:t>В самом начале октября 1931 года в Харькове завершилась сборка первого двухбашенного БТ.</w:t>
      </w:r>
    </w:p>
    <w:p w14:paraId="5C491CD8" w14:textId="77777777" w:rsidR="00B15BD8" w:rsidRPr="007122AB" w:rsidRDefault="00B15BD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Осенью 1931 года на ХТЗ велось строительство первых серийных танков семейства БТ. Были построены первые пять корпусов, которые, однако, не удавалось укомплектовать башнями. Виноваты в этом были смежники: Ижорский завод, отвечавший за производство этих агрегатов, не успел поставить их вовремя. Выход из этой ситуации предложил начальник СКБ-6 А.А. Морозенко. На имеющиеся корпуса следовало установить уже полученные башни для танков Т-26, по две на каждую машину. В такой конфигурации новые колесно-гусеничные танки можно было отправить на парад и на учения, где их могли увидеть военные, гражданские зрители и иностранные специалисты.</w:t>
      </w:r>
    </w:p>
    <w:p w14:paraId="7BE4735D" w14:textId="77777777" w:rsidR="00B15BD8" w:rsidRPr="007122AB" w:rsidRDefault="00B15B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Предложенный проект доработки изначально предусматривал установку новых башен без значительных изменений конструкции. Тем не менее, пришлось предусмотреть некоторые доработки корпуса и ходовой части. Так, из-за новых башен понадобилась обновленная крыша корпуса, а часть элементов свечной подвески пришлось перенести, поскольку их исходное расположение не позволяло оснастить танк сразу двумя башнями.</w:t>
      </w:r>
    </w:p>
    <w:p w14:paraId="062AC261" w14:textId="77777777" w:rsidR="00B15BD8" w:rsidRPr="007122AB" w:rsidRDefault="00B15BD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По распоряжению М.Н. Тухачевского ХТЗ получил пять корпусов танков БТ и такое же количество силовых установок, которые следовало использовать при строительстве новых двухбашенных бронемашин. При проверке поставленных комплектующих выяснилось, что одна из поставленных машин неисправна и нуждается в доработках. Инженер-моторостроитель В.Д. Горлопанов провел регулировку всех систем, а также перевел танк с бензина на керосин, получив небольшой прирост мощности.</w:t>
      </w:r>
    </w:p>
    <w:p w14:paraId="316FC600" w14:textId="77777777" w:rsidR="00B15BD8" w:rsidRPr="007122AB" w:rsidRDefault="00B15BD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Для обозначения нового проекта Наркомат танкостроения предложил аббревиатуру БТ-ВТ – «Быстроходный танк, внутренняя тюрьма» (внутренней тюрьмой именовали СКБ-6). Сборка четырех двухбашенных танков была завершена к 10 октября того же года. Одну из готовых машин обстреляли из винтовки и пулемета, еще две своим ходом отправились в Москву, где одна из них приняла участие в параде на Красной площади. Она прошла в одной колонне с танками БТ-2 первой серии/</w:t>
      </w:r>
    </w:p>
    <w:p w14:paraId="280BC1C6" w14:textId="77777777" w:rsidR="00B15BD8" w:rsidRPr="007122AB" w:rsidRDefault="00B15BD8"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От серийных БТ ранних модификаций он отличался наличием двух сравнительно небольших башен с пушечным и пулеметным вооружением. В правой башне располагалась 37-мм пушка, в левой – пулемет ДТ калибра 7,62 мм. Корпус и ходовая часть, по-видимому, заимствовались у более ранней техники без значительных изменений, хотя и дорабатывались ввиду необходимости установки двух башен.</w:t>
      </w:r>
    </w:p>
    <w:p w14:paraId="66157F40" w14:textId="77777777" w:rsidR="00B15BD8" w:rsidRPr="007122AB" w:rsidRDefault="00B15BD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Следует отметить, что в данном случае под видом необычного и неизвестного проекта общественности может предлагаться не вполне правдивая информация, основанная на слухах, домыслах или сознательных мистификациях. Одним из примеров этого стал двухбашенный вариант танка БТ, появившийся благодаря слухам или непроверенной информации</w:t>
      </w:r>
      <w:r w:rsidRPr="007122AB">
        <w:rPr>
          <w:rFonts w:ascii="Times New Roman" w:hAnsi="Times New Roman"/>
          <w:iCs/>
          <w:color w:val="000000" w:themeColor="text1"/>
          <w:sz w:val="16"/>
          <w:szCs w:val="16"/>
          <w:shd w:val="clear" w:color="auto" w:fill="FFFFFF"/>
        </w:rPr>
        <w:t xml:space="preserve"> (19702).</w:t>
      </w:r>
    </w:p>
    <w:p w14:paraId="61BFAE89" w14:textId="77777777" w:rsidR="00B15BD8" w:rsidRPr="007122AB" w:rsidRDefault="00B15BD8" w:rsidP="007122AB">
      <w:pPr>
        <w:spacing w:after="0" w:line="240" w:lineRule="auto"/>
        <w:jc w:val="both"/>
        <w:rPr>
          <w:rFonts w:ascii="Times New Roman" w:hAnsi="Times New Roman"/>
          <w:color w:val="000000" w:themeColor="text1"/>
          <w:sz w:val="16"/>
          <w:szCs w:val="16"/>
        </w:rPr>
      </w:pPr>
    </w:p>
    <w:p w14:paraId="1197BA61" w14:textId="77777777" w:rsidR="003E422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4D5D157" w14:textId="77777777" w:rsidR="003E4223" w:rsidRPr="007122AB" w:rsidRDefault="003E422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CCAFA1"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октября 1931 пришли к соглашению: Синьцзяну продали пару хорошо зарекомен</w:t>
      </w:r>
      <w:r w:rsidRPr="007122AB">
        <w:rPr>
          <w:rFonts w:ascii="Times New Roman" w:hAnsi="Times New Roman"/>
          <w:color w:val="000000" w:themeColor="text1"/>
          <w:sz w:val="16"/>
          <w:szCs w:val="16"/>
        </w:rPr>
        <w:softHyphen/>
        <w:t xml:space="preserve">довавших себя самолётов Р-1 с моторами М-5, запчасти, 22 т бензина и 2 т масла, а также патроны к пулеметам «Льюис» и по 100 штук 8-кг, 12-кг и 32-кг осколочных бомб. Всё это «в сверхсрочном порядке» по железной дороге отправили на конечную станцию </w:t>
      </w:r>
      <w:proofErr w:type="spellStart"/>
      <w:r w:rsidRPr="007122AB">
        <w:rPr>
          <w:rFonts w:ascii="Times New Roman" w:hAnsi="Times New Roman"/>
          <w:color w:val="000000" w:themeColor="text1"/>
          <w:sz w:val="16"/>
          <w:szCs w:val="16"/>
        </w:rPr>
        <w:t>Турксиба</w:t>
      </w:r>
      <w:proofErr w:type="spellEnd"/>
      <w:r w:rsidRPr="007122AB">
        <w:rPr>
          <w:rFonts w:ascii="Times New Roman" w:hAnsi="Times New Roman"/>
          <w:color w:val="000000" w:themeColor="text1"/>
          <w:sz w:val="16"/>
          <w:szCs w:val="16"/>
        </w:rPr>
        <w:t xml:space="preserve"> Аягуз. Оттуда авиационное имущество автотранспортом везли в пограничный пункт </w:t>
      </w:r>
      <w:proofErr w:type="spellStart"/>
      <w:r w:rsidRPr="007122AB">
        <w:rPr>
          <w:rFonts w:ascii="Times New Roman" w:hAnsi="Times New Roman"/>
          <w:color w:val="000000" w:themeColor="text1"/>
          <w:sz w:val="16"/>
          <w:szCs w:val="16"/>
        </w:rPr>
        <w:t>Бахты</w:t>
      </w:r>
      <w:proofErr w:type="spellEnd"/>
      <w:r w:rsidRPr="007122AB">
        <w:rPr>
          <w:rFonts w:ascii="Times New Roman" w:hAnsi="Times New Roman"/>
          <w:color w:val="000000" w:themeColor="text1"/>
          <w:sz w:val="16"/>
          <w:szCs w:val="16"/>
        </w:rPr>
        <w:t xml:space="preserve"> и далее на подводах в Синьцзян (около 950 км). Самолёты в разобранном виде следовали по железной дороге в Алма-Ату и далее летели в Урумчи. Тем же пу</w:t>
      </w:r>
      <w:r w:rsidRPr="007122AB">
        <w:rPr>
          <w:rFonts w:ascii="Times New Roman" w:hAnsi="Times New Roman"/>
          <w:color w:val="000000" w:themeColor="text1"/>
          <w:sz w:val="16"/>
          <w:szCs w:val="16"/>
        </w:rPr>
        <w:softHyphen/>
        <w:t>тем по воздуху собирались перегонять и У-2.</w:t>
      </w:r>
    </w:p>
    <w:p w14:paraId="5C7A6FBB"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Очень спешно отбирали лётные экипажи, в отправленный на согласование в ОГПУ список вошли четверо — лётчики Назаров Александр Матвеевич,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Андроник Сергеевич и техники Чекалов Николай Иванович и Сергеев Иван Михайлович. Все — члены ВКП(б) или кандидаты. Старшим авиагруппы назначили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w:t>
      </w:r>
    </w:p>
    <w:p w14:paraId="601D3445"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«Экипировка» самолётов проходила с немалыми проблемами. По каждой мелочи — ку</w:t>
      </w:r>
      <w:r w:rsidRPr="007122AB">
        <w:rPr>
          <w:rFonts w:ascii="Times New Roman" w:hAnsi="Times New Roman"/>
          <w:color w:val="000000" w:themeColor="text1"/>
          <w:sz w:val="16"/>
          <w:szCs w:val="16"/>
        </w:rPr>
        <w:softHyphen/>
        <w:t>сок замши, воронки для бензина и масла, свечи, регулировочная линейка, уровень и уг</w:t>
      </w:r>
      <w:r w:rsidRPr="007122AB">
        <w:rPr>
          <w:rFonts w:ascii="Times New Roman" w:hAnsi="Times New Roman"/>
          <w:color w:val="000000" w:themeColor="text1"/>
          <w:sz w:val="16"/>
          <w:szCs w:val="16"/>
        </w:rPr>
        <w:softHyphen/>
        <w:t xml:space="preserve">ломер, топографические карты, не говоря уже о лыжах и запасных амортизаторах к ним, </w:t>
      </w:r>
      <w:proofErr w:type="spellStart"/>
      <w:r w:rsidRPr="007122AB">
        <w:rPr>
          <w:rFonts w:ascii="Times New Roman" w:hAnsi="Times New Roman"/>
          <w:color w:val="000000" w:themeColor="text1"/>
          <w:sz w:val="16"/>
          <w:szCs w:val="16"/>
        </w:rPr>
        <w:t>бомбоприцелах</w:t>
      </w:r>
      <w:proofErr w:type="spellEnd"/>
      <w:r w:rsidRPr="007122AB">
        <w:rPr>
          <w:rFonts w:ascii="Times New Roman" w:hAnsi="Times New Roman"/>
          <w:color w:val="000000" w:themeColor="text1"/>
          <w:sz w:val="16"/>
          <w:szCs w:val="16"/>
        </w:rPr>
        <w:t xml:space="preserve"> и звеньях для пулемётных лент — шла оживленная переписка между от</w:t>
      </w:r>
      <w:r w:rsidRPr="007122AB">
        <w:rPr>
          <w:rFonts w:ascii="Times New Roman" w:hAnsi="Times New Roman"/>
          <w:color w:val="000000" w:themeColor="text1"/>
          <w:sz w:val="16"/>
          <w:szCs w:val="16"/>
        </w:rPr>
        <w:softHyphen/>
        <w:t xml:space="preserve">делами ВСНХ, занимавшимися иностранными поставками, </w:t>
      </w:r>
      <w:proofErr w:type="spellStart"/>
      <w:r w:rsidRPr="007122AB">
        <w:rPr>
          <w:rFonts w:ascii="Times New Roman" w:hAnsi="Times New Roman"/>
          <w:color w:val="000000" w:themeColor="text1"/>
          <w:sz w:val="16"/>
          <w:szCs w:val="16"/>
        </w:rPr>
        <w:t>Глававиапромом</w:t>
      </w:r>
      <w:proofErr w:type="spellEnd"/>
      <w:r w:rsidRPr="007122AB">
        <w:rPr>
          <w:rFonts w:ascii="Times New Roman" w:hAnsi="Times New Roman"/>
          <w:color w:val="000000" w:themeColor="text1"/>
          <w:sz w:val="16"/>
          <w:szCs w:val="16"/>
        </w:rPr>
        <w:t xml:space="preserve"> и ИНО УВВС.</w:t>
      </w:r>
    </w:p>
    <w:p w14:paraId="5B6B2503"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Одновременно между Бюро Особых поручений (БОП) ВСНХ, Наркоматом Иностранных дел (НКИД) и УВВС завязалась интенсивная переписка по согласованию условий служ</w:t>
      </w:r>
      <w:r w:rsidRPr="007122AB">
        <w:rPr>
          <w:rFonts w:ascii="Times New Roman" w:hAnsi="Times New Roman"/>
          <w:color w:val="000000" w:themeColor="text1"/>
          <w:sz w:val="16"/>
          <w:szCs w:val="16"/>
        </w:rPr>
        <w:softHyphen/>
      </w:r>
      <w:r w:rsidRPr="007122AB">
        <w:rPr>
          <w:rStyle w:val="0pt0"/>
          <w:rFonts w:eastAsia="Arial"/>
          <w:b w:val="0"/>
          <w:color w:val="000000" w:themeColor="text1"/>
          <w:spacing w:val="0"/>
          <w:sz w:val="16"/>
          <w:szCs w:val="16"/>
        </w:rPr>
        <w:t>бы</w:t>
      </w:r>
      <w:r w:rsidRPr="007122AB">
        <w:rPr>
          <w:rFonts w:ascii="Times New Roman" w:hAnsi="Times New Roman"/>
          <w:color w:val="000000" w:themeColor="text1"/>
          <w:sz w:val="16"/>
          <w:szCs w:val="16"/>
        </w:rPr>
        <w:t xml:space="preserve"> лётного состава в Китае. </w:t>
      </w:r>
      <w:proofErr w:type="spellStart"/>
      <w:r w:rsidRPr="007122AB">
        <w:rPr>
          <w:rFonts w:ascii="Times New Roman" w:hAnsi="Times New Roman"/>
          <w:color w:val="000000" w:themeColor="text1"/>
          <w:sz w:val="16"/>
          <w:szCs w:val="16"/>
        </w:rPr>
        <w:t>Спецкомандировка</w:t>
      </w:r>
      <w:proofErr w:type="spellEnd"/>
      <w:r w:rsidRPr="007122AB">
        <w:rPr>
          <w:rFonts w:ascii="Times New Roman" w:hAnsi="Times New Roman"/>
          <w:color w:val="000000" w:themeColor="text1"/>
          <w:sz w:val="16"/>
          <w:szCs w:val="16"/>
        </w:rPr>
        <w:t xml:space="preserve"> предполагалась сроком максимум на год. Эта, на первый взгляд, рутинная переписка по отправке четырёх человек, возмож</w:t>
      </w:r>
      <w:r w:rsidRPr="007122AB">
        <w:rPr>
          <w:rFonts w:ascii="Times New Roman" w:hAnsi="Times New Roman"/>
          <w:color w:val="000000" w:themeColor="text1"/>
          <w:sz w:val="16"/>
          <w:szCs w:val="16"/>
        </w:rPr>
        <w:softHyphen/>
        <w:t>но, и не заслуживает такого внимания, однако и во все последующие годы процедура оформления и отправки советских авиаторов за рубеж, а их были сотни и тысячи, оста</w:t>
      </w:r>
      <w:r w:rsidRPr="007122AB">
        <w:rPr>
          <w:rFonts w:ascii="Times New Roman" w:hAnsi="Times New Roman"/>
          <w:color w:val="000000" w:themeColor="text1"/>
          <w:sz w:val="16"/>
          <w:szCs w:val="16"/>
        </w:rPr>
        <w:softHyphen/>
        <w:t>валась практически неизменной.</w:t>
      </w:r>
    </w:p>
    <w:p w14:paraId="3877DE26"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Условия содержания лётного состава в Китае уточняли в полном соответствии с со</w:t>
      </w:r>
      <w:r w:rsidRPr="007122AB">
        <w:rPr>
          <w:rFonts w:ascii="Times New Roman" w:hAnsi="Times New Roman"/>
          <w:color w:val="000000" w:themeColor="text1"/>
          <w:sz w:val="16"/>
          <w:szCs w:val="16"/>
        </w:rPr>
        <w:softHyphen/>
        <w:t xml:space="preserve">ветскими реалиями. По мнению руководства УВВС, всем им полагалось ежемесячно </w:t>
      </w:r>
      <w:r w:rsidRPr="007122AB">
        <w:rPr>
          <w:rStyle w:val="0pt0"/>
          <w:rFonts w:eastAsia="Arial"/>
          <w:b w:val="0"/>
          <w:color w:val="000000" w:themeColor="text1"/>
          <w:spacing w:val="0"/>
          <w:sz w:val="16"/>
          <w:szCs w:val="16"/>
        </w:rPr>
        <w:t>по</w:t>
      </w:r>
      <w:r w:rsidRPr="007122AB">
        <w:rPr>
          <w:rFonts w:ascii="Times New Roman" w:hAnsi="Times New Roman"/>
          <w:color w:val="000000" w:themeColor="text1"/>
          <w:sz w:val="16"/>
          <w:szCs w:val="16"/>
        </w:rPr>
        <w:t xml:space="preserve"> 200 американских долларов, а семьям доплачивать в СССР в советской валюте — </w:t>
      </w:r>
      <w:r w:rsidRPr="007122AB">
        <w:rPr>
          <w:rStyle w:val="0pt0"/>
          <w:rFonts w:eastAsia="Arial"/>
          <w:b w:val="0"/>
          <w:color w:val="000000" w:themeColor="text1"/>
          <w:spacing w:val="0"/>
          <w:sz w:val="16"/>
          <w:szCs w:val="16"/>
        </w:rPr>
        <w:t>по</w:t>
      </w:r>
      <w:r w:rsidRPr="007122AB">
        <w:rPr>
          <w:rFonts w:ascii="Times New Roman" w:hAnsi="Times New Roman"/>
          <w:color w:val="000000" w:themeColor="text1"/>
          <w:sz w:val="16"/>
          <w:szCs w:val="16"/>
        </w:rPr>
        <w:t xml:space="preserve"> 215 руб. лётчикам и;190 руб. бортмеханикам. На каждого оформлялась страховка </w:t>
      </w:r>
      <w:r w:rsidRPr="007122AB">
        <w:rPr>
          <w:rStyle w:val="0pt0"/>
          <w:rFonts w:eastAsia="Arial"/>
          <w:b w:val="0"/>
          <w:color w:val="000000" w:themeColor="text1"/>
          <w:spacing w:val="0"/>
          <w:sz w:val="16"/>
          <w:szCs w:val="16"/>
        </w:rPr>
        <w:t>в</w:t>
      </w:r>
      <w:r w:rsidRPr="007122AB">
        <w:rPr>
          <w:rFonts w:ascii="Times New Roman" w:hAnsi="Times New Roman"/>
          <w:color w:val="000000" w:themeColor="text1"/>
          <w:sz w:val="16"/>
          <w:szCs w:val="16"/>
        </w:rPr>
        <w:t xml:space="preserve"> 10 тыс. амер. долл.</w:t>
      </w:r>
    </w:p>
    <w:p w14:paraId="69922D85"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свою очередь НКИД по согласованию с </w:t>
      </w:r>
      <w:proofErr w:type="spellStart"/>
      <w:r w:rsidRPr="007122AB">
        <w:rPr>
          <w:rFonts w:ascii="Times New Roman" w:hAnsi="Times New Roman"/>
          <w:color w:val="000000" w:themeColor="text1"/>
          <w:sz w:val="16"/>
          <w:szCs w:val="16"/>
        </w:rPr>
        <w:t>Разведупром</w:t>
      </w:r>
      <w:proofErr w:type="spellEnd"/>
      <w:r w:rsidRPr="007122AB">
        <w:rPr>
          <w:rFonts w:ascii="Times New Roman" w:hAnsi="Times New Roman"/>
          <w:color w:val="000000" w:themeColor="text1"/>
          <w:sz w:val="16"/>
          <w:szCs w:val="16"/>
        </w:rPr>
        <w:t xml:space="preserve"> РККА возражал против выплаты жалованья в Союзе и предлагал ехать с семьями, причем в условия содержания, поми</w:t>
      </w:r>
      <w:r w:rsidRPr="007122AB">
        <w:rPr>
          <w:rFonts w:ascii="Times New Roman" w:hAnsi="Times New Roman"/>
          <w:color w:val="000000" w:themeColor="text1"/>
          <w:sz w:val="16"/>
          <w:szCs w:val="16"/>
        </w:rPr>
        <w:softHyphen/>
        <w:t xml:space="preserve">мо оклада (175-200 долл.) и страховки, должны входить бесплатные (за счёт китайцев) проезд семей и квартира с коммунально-бытовым обслуживанием. НКИД предложил изменить условия УВВС «в сторону сокращения ставок для нашего лётного состава </w:t>
      </w:r>
      <w:r w:rsidRPr="007122AB">
        <w:rPr>
          <w:rStyle w:val="74"/>
          <w:rFonts w:eastAsia="Arial"/>
          <w:color w:val="000000" w:themeColor="text1"/>
          <w:sz w:val="16"/>
          <w:szCs w:val="16"/>
        </w:rPr>
        <w:t xml:space="preserve">до </w:t>
      </w:r>
      <w:r w:rsidRPr="007122AB">
        <w:rPr>
          <w:rStyle w:val="ArialUnicodeMS10pt-1pt"/>
          <w:rFonts w:ascii="Times New Roman" w:hAnsi="Times New Roman" w:cs="Times New Roman"/>
          <w:b w:val="0"/>
          <w:color w:val="000000" w:themeColor="text1"/>
          <w:spacing w:val="0"/>
          <w:sz w:val="16"/>
          <w:szCs w:val="16"/>
        </w:rPr>
        <w:t>200</w:t>
      </w:r>
      <w:r w:rsidRPr="007122AB">
        <w:rPr>
          <w:rStyle w:val="74"/>
          <w:rFonts w:eastAsia="Arial"/>
          <w:color w:val="000000" w:themeColor="text1"/>
          <w:sz w:val="16"/>
          <w:szCs w:val="16"/>
        </w:rPr>
        <w:t xml:space="preserve"> </w:t>
      </w:r>
      <w:proofErr w:type="spellStart"/>
      <w:r w:rsidRPr="007122AB">
        <w:rPr>
          <w:rStyle w:val="74"/>
          <w:rFonts w:eastAsia="Arial"/>
          <w:color w:val="000000" w:themeColor="text1"/>
          <w:sz w:val="16"/>
          <w:szCs w:val="16"/>
        </w:rPr>
        <w:t>ам</w:t>
      </w:r>
      <w:proofErr w:type="spellEnd"/>
      <w:r w:rsidRPr="007122AB">
        <w:rPr>
          <w:rStyle w:val="74"/>
          <w:rFonts w:eastAsia="Arial"/>
          <w:color w:val="000000" w:themeColor="text1"/>
          <w:sz w:val="16"/>
          <w:szCs w:val="16"/>
        </w:rPr>
        <w:t>. долл. и никаких дополнительных оплат в червонной валюте требовать не следует</w:t>
      </w:r>
      <w:r w:rsidRPr="007122AB">
        <w:rPr>
          <w:rFonts w:ascii="Times New Roman" w:hAnsi="Times New Roman"/>
          <w:color w:val="000000" w:themeColor="text1"/>
          <w:sz w:val="16"/>
          <w:szCs w:val="16"/>
        </w:rPr>
        <w:t xml:space="preserve"> (выделено в тексте).</w:t>
      </w:r>
    </w:p>
    <w:p w14:paraId="27E93FBA"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Надо и можно обусловить предоставление нашему персоналу квартир и соответству</w:t>
      </w:r>
      <w:r w:rsidRPr="007122AB">
        <w:rPr>
          <w:rFonts w:ascii="Times New Roman" w:hAnsi="Times New Roman"/>
          <w:color w:val="000000" w:themeColor="text1"/>
          <w:sz w:val="16"/>
          <w:szCs w:val="16"/>
        </w:rPr>
        <w:softHyphen/>
        <w:t>ющего коммунально-бытового обслуживания. Кроме того, от китайцев можно потребо</w:t>
      </w:r>
      <w:r w:rsidRPr="007122AB">
        <w:rPr>
          <w:rFonts w:ascii="Times New Roman" w:hAnsi="Times New Roman"/>
          <w:color w:val="000000" w:themeColor="text1"/>
          <w:sz w:val="16"/>
          <w:szCs w:val="16"/>
        </w:rPr>
        <w:softHyphen/>
      </w:r>
      <w:r w:rsidRPr="007122AB">
        <w:rPr>
          <w:rStyle w:val="0pt0"/>
          <w:rFonts w:eastAsia="Arial"/>
          <w:b w:val="0"/>
          <w:color w:val="000000" w:themeColor="text1"/>
          <w:spacing w:val="0"/>
          <w:sz w:val="16"/>
          <w:szCs w:val="16"/>
        </w:rPr>
        <w:t>вать</w:t>
      </w:r>
      <w:r w:rsidRPr="007122AB">
        <w:rPr>
          <w:rFonts w:ascii="Times New Roman" w:hAnsi="Times New Roman"/>
          <w:color w:val="000000" w:themeColor="text1"/>
          <w:sz w:val="16"/>
          <w:szCs w:val="16"/>
        </w:rPr>
        <w:t xml:space="preserve"> оплаты переезда также семей лётного персонала по себестоимости. Лучше послать лётный персонал с семьями.</w:t>
      </w:r>
    </w:p>
    <w:p w14:paraId="3A3E9870"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этими добавлениями и исключив... [пункт об оплате в советской валюте], можно до</w:t>
      </w:r>
      <w:r w:rsidRPr="007122AB">
        <w:rPr>
          <w:rFonts w:ascii="Times New Roman" w:hAnsi="Times New Roman"/>
          <w:color w:val="000000" w:themeColor="text1"/>
          <w:sz w:val="16"/>
          <w:szCs w:val="16"/>
        </w:rPr>
        <w:softHyphen/>
        <w:t>говориться с Синьцзянским правительством. Подчеркиваем, что зарплата нашего Гене</w:t>
      </w:r>
      <w:r w:rsidRPr="007122AB">
        <w:rPr>
          <w:rFonts w:ascii="Times New Roman" w:hAnsi="Times New Roman"/>
          <w:color w:val="000000" w:themeColor="text1"/>
          <w:sz w:val="16"/>
          <w:szCs w:val="16"/>
        </w:rPr>
        <w:softHyphen/>
        <w:t xml:space="preserve">рального Консула в Урумчи равна 132 </w:t>
      </w:r>
      <w:proofErr w:type="spellStart"/>
      <w:r w:rsidRPr="007122AB">
        <w:rPr>
          <w:rFonts w:ascii="Times New Roman" w:hAnsi="Times New Roman"/>
          <w:color w:val="000000" w:themeColor="text1"/>
          <w:sz w:val="16"/>
          <w:szCs w:val="16"/>
        </w:rPr>
        <w:t>ам</w:t>
      </w:r>
      <w:proofErr w:type="spellEnd"/>
      <w:r w:rsidRPr="007122AB">
        <w:rPr>
          <w:rFonts w:ascii="Times New Roman" w:hAnsi="Times New Roman"/>
          <w:color w:val="000000" w:themeColor="text1"/>
          <w:sz w:val="16"/>
          <w:szCs w:val="16"/>
        </w:rPr>
        <w:t>. долл., из коих</w:t>
      </w:r>
      <w:r w:rsidRPr="007122AB">
        <w:rPr>
          <w:rStyle w:val="9pt0"/>
          <w:rFonts w:ascii="Times New Roman" w:hAnsi="Times New Roman" w:cs="Times New Roman"/>
          <w:i w:val="0"/>
          <w:color w:val="000000" w:themeColor="text1"/>
          <w:sz w:val="16"/>
          <w:szCs w:val="16"/>
        </w:rPr>
        <w:t xml:space="preserve"> 20%</w:t>
      </w:r>
      <w:r w:rsidRPr="007122AB">
        <w:rPr>
          <w:rFonts w:ascii="Times New Roman" w:hAnsi="Times New Roman"/>
          <w:color w:val="000000" w:themeColor="text1"/>
          <w:sz w:val="16"/>
          <w:szCs w:val="16"/>
        </w:rPr>
        <w:t xml:space="preserve"> удерживают в Союзе. Лётный персонал и их семьи будут обеспечены больше, чем это требуется при этих условиях». </w:t>
      </w:r>
    </w:p>
    <w:p w14:paraId="0E6AE0AD"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По-видимому, подписавших письмо чиновников НКИД прежде всего беспокоило, что- </w:t>
      </w:r>
      <w:r w:rsidRPr="007122AB">
        <w:rPr>
          <w:rStyle w:val="0pt0"/>
          <w:rFonts w:eastAsia="Arial"/>
          <w:b w:val="0"/>
          <w:color w:val="000000" w:themeColor="text1"/>
          <w:spacing w:val="0"/>
          <w:sz w:val="16"/>
          <w:szCs w:val="16"/>
          <w:lang w:val="en-US"/>
        </w:rPr>
        <w:t>j</w:t>
      </w:r>
      <w:r w:rsidRPr="007122AB">
        <w:rPr>
          <w:rStyle w:val="0pt0"/>
          <w:rFonts w:eastAsia="Arial"/>
          <w:b w:val="0"/>
          <w:color w:val="000000" w:themeColor="text1"/>
          <w:spacing w:val="0"/>
          <w:sz w:val="16"/>
          <w:szCs w:val="16"/>
        </w:rPr>
        <w:t xml:space="preserve"> вы</w:t>
      </w:r>
      <w:r w:rsidRPr="007122AB">
        <w:rPr>
          <w:rFonts w:ascii="Times New Roman" w:hAnsi="Times New Roman"/>
          <w:color w:val="000000" w:themeColor="text1"/>
          <w:sz w:val="16"/>
          <w:szCs w:val="16"/>
        </w:rPr>
        <w:t xml:space="preserve"> лётчики не получали слишком много по сравнению со служащими их ведомства и, </w:t>
      </w:r>
      <w:r w:rsidRPr="007122AB">
        <w:rPr>
          <w:rStyle w:val="0pt0"/>
          <w:rFonts w:eastAsia="Arial"/>
          <w:b w:val="0"/>
          <w:color w:val="000000" w:themeColor="text1"/>
          <w:spacing w:val="0"/>
          <w:sz w:val="16"/>
          <w:szCs w:val="16"/>
        </w:rPr>
        <w:t>что</w:t>
      </w:r>
      <w:r w:rsidRPr="007122AB">
        <w:rPr>
          <w:rFonts w:ascii="Times New Roman" w:hAnsi="Times New Roman"/>
          <w:color w:val="000000" w:themeColor="text1"/>
          <w:sz w:val="16"/>
          <w:szCs w:val="16"/>
        </w:rPr>
        <w:t xml:space="preserve"> ещё более странно, они вовсе не были заинтересованы в конвертации долларов в советскую валюту.</w:t>
      </w:r>
    </w:p>
    <w:p w14:paraId="3539F41C" w14:textId="77777777" w:rsidR="003E4223" w:rsidRPr="007122AB" w:rsidRDefault="003E4223" w:rsidP="007122AB">
      <w:pPr>
        <w:spacing w:after="0" w:line="240" w:lineRule="auto"/>
        <w:jc w:val="both"/>
        <w:rPr>
          <w:rStyle w:val="84"/>
          <w:rFonts w:eastAsia="Arial"/>
          <w:color w:val="000000" w:themeColor="text1"/>
          <w:sz w:val="16"/>
          <w:szCs w:val="16"/>
        </w:rPr>
      </w:pPr>
      <w:r w:rsidRPr="007122AB">
        <w:rPr>
          <w:rFonts w:ascii="Times New Roman" w:hAnsi="Times New Roman"/>
          <w:color w:val="000000" w:themeColor="text1"/>
          <w:sz w:val="16"/>
          <w:szCs w:val="16"/>
        </w:rPr>
        <w:t>Размашистая резолюция Начальника УВВС Я.И. Алксниса на документе НКИД не ос</w:t>
      </w:r>
      <w:r w:rsidRPr="007122AB">
        <w:rPr>
          <w:rFonts w:ascii="Times New Roman" w:hAnsi="Times New Roman"/>
          <w:color w:val="000000" w:themeColor="text1"/>
          <w:sz w:val="16"/>
          <w:szCs w:val="16"/>
        </w:rPr>
        <w:softHyphen/>
        <w:t>тавляла никаких сомнений: «Отправлять без семей и настоять на уплату семьям содер</w:t>
      </w:r>
      <w:r w:rsidRPr="007122AB">
        <w:rPr>
          <w:rFonts w:ascii="Times New Roman" w:hAnsi="Times New Roman"/>
          <w:color w:val="000000" w:themeColor="text1"/>
          <w:sz w:val="16"/>
          <w:szCs w:val="16"/>
        </w:rPr>
        <w:softHyphen/>
        <w:t>жания в советской валюте в размерах получаемого содержания в Союзе». После этого дипломаты задействовали «Главный Калибр» в лице зам. Наркома Л. Карахана, лично об</w:t>
      </w:r>
      <w:r w:rsidRPr="007122AB">
        <w:rPr>
          <w:rFonts w:ascii="Times New Roman" w:hAnsi="Times New Roman"/>
          <w:color w:val="000000" w:themeColor="text1"/>
          <w:sz w:val="16"/>
          <w:szCs w:val="16"/>
        </w:rPr>
        <w:softHyphen/>
        <w:t xml:space="preserve">ратившегося к Алкснису: «Я считаю необходимым разрешить окончательно вопрос о снижении ставки, которую должны получать лётчики на месте с 200 </w:t>
      </w:r>
      <w:proofErr w:type="spellStart"/>
      <w:r w:rsidRPr="007122AB">
        <w:rPr>
          <w:rFonts w:ascii="Times New Roman" w:hAnsi="Times New Roman"/>
          <w:color w:val="000000" w:themeColor="text1"/>
          <w:sz w:val="16"/>
          <w:szCs w:val="16"/>
        </w:rPr>
        <w:t>ам</w:t>
      </w:r>
      <w:proofErr w:type="spellEnd"/>
      <w:r w:rsidRPr="007122AB">
        <w:rPr>
          <w:rFonts w:ascii="Times New Roman" w:hAnsi="Times New Roman"/>
          <w:color w:val="000000" w:themeColor="text1"/>
          <w:sz w:val="16"/>
          <w:szCs w:val="16"/>
        </w:rPr>
        <w:t xml:space="preserve">. долл. до 150 </w:t>
      </w:r>
      <w:proofErr w:type="spellStart"/>
      <w:r w:rsidRPr="007122AB">
        <w:rPr>
          <w:rFonts w:ascii="Times New Roman" w:hAnsi="Times New Roman"/>
          <w:color w:val="000000" w:themeColor="text1"/>
          <w:sz w:val="16"/>
          <w:szCs w:val="16"/>
        </w:rPr>
        <w:t>ам</w:t>
      </w:r>
      <w:proofErr w:type="spellEnd"/>
      <w:r w:rsidRPr="007122AB">
        <w:rPr>
          <w:rFonts w:ascii="Times New Roman" w:hAnsi="Times New Roman"/>
          <w:color w:val="000000" w:themeColor="text1"/>
          <w:sz w:val="16"/>
          <w:szCs w:val="16"/>
        </w:rPr>
        <w:t xml:space="preserve">. долл., т.к. сохранение выплат в советской валюте семьям </w:t>
      </w:r>
      <w:r w:rsidRPr="007122AB">
        <w:rPr>
          <w:rStyle w:val="84"/>
          <w:rFonts w:eastAsia="Arial"/>
          <w:color w:val="000000" w:themeColor="text1"/>
          <w:sz w:val="16"/>
          <w:szCs w:val="16"/>
        </w:rPr>
        <w:t>делает предлагаемые Вами ус</w:t>
      </w:r>
      <w:r w:rsidRPr="007122AB">
        <w:rPr>
          <w:rStyle w:val="84"/>
          <w:rFonts w:eastAsia="Arial"/>
          <w:color w:val="000000" w:themeColor="text1"/>
          <w:sz w:val="16"/>
          <w:szCs w:val="16"/>
        </w:rPr>
        <w:softHyphen/>
        <w:t>ловия чрезмерно тяжёлыми для Синьцзянского правительства.</w:t>
      </w:r>
    </w:p>
    <w:p w14:paraId="0B56B6E8"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 считаю, что 150 </w:t>
      </w:r>
      <w:proofErr w:type="spellStart"/>
      <w:r w:rsidRPr="007122AB">
        <w:rPr>
          <w:rFonts w:ascii="Times New Roman" w:hAnsi="Times New Roman"/>
          <w:color w:val="000000" w:themeColor="text1"/>
          <w:sz w:val="16"/>
          <w:szCs w:val="16"/>
        </w:rPr>
        <w:t>ам</w:t>
      </w:r>
      <w:proofErr w:type="spellEnd"/>
      <w:r w:rsidRPr="007122AB">
        <w:rPr>
          <w:rFonts w:ascii="Times New Roman" w:hAnsi="Times New Roman"/>
          <w:color w:val="000000" w:themeColor="text1"/>
          <w:sz w:val="16"/>
          <w:szCs w:val="16"/>
        </w:rPr>
        <w:t>. долл. являются предельной ставкой, которую мы можем требо</w:t>
      </w:r>
      <w:r w:rsidRPr="007122AB">
        <w:rPr>
          <w:rFonts w:ascii="Times New Roman" w:hAnsi="Times New Roman"/>
          <w:color w:val="000000" w:themeColor="text1"/>
          <w:sz w:val="16"/>
          <w:szCs w:val="16"/>
        </w:rPr>
        <w:softHyphen/>
        <w:t>вать от Синьцзянского правительства за услуги нашего персонала. Эта ставка не толь</w:t>
      </w:r>
      <w:r w:rsidRPr="007122AB">
        <w:rPr>
          <w:rFonts w:ascii="Times New Roman" w:hAnsi="Times New Roman"/>
          <w:color w:val="000000" w:themeColor="text1"/>
          <w:sz w:val="16"/>
          <w:szCs w:val="16"/>
        </w:rPr>
        <w:softHyphen/>
        <w:t>ко позволит лётному персоналу быть наиболее высокооплачиваемой группой работников во всем Синьцзяне, но и делать значительные накопления в инвалюте.</w:t>
      </w:r>
    </w:p>
    <w:p w14:paraId="18B3A8DE"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Учитывая те условия, которыми правительство обусловливало продажу самолётов и командирование лётчиков, — я прошу Вас в виду необходимости закончить перегово</w:t>
      </w:r>
      <w:r w:rsidRPr="007122AB">
        <w:rPr>
          <w:rFonts w:ascii="Times New Roman" w:hAnsi="Times New Roman"/>
          <w:color w:val="000000" w:themeColor="text1"/>
          <w:sz w:val="16"/>
          <w:szCs w:val="16"/>
        </w:rPr>
        <w:softHyphen/>
        <w:t xml:space="preserve">ры об условиях, на которых будут командированы наши лётчики, в ближайшие дни, срочно подтвердить Ваше согласие принять ставку в 150 </w:t>
      </w:r>
      <w:proofErr w:type="spellStart"/>
      <w:r w:rsidRPr="007122AB">
        <w:rPr>
          <w:rFonts w:ascii="Times New Roman" w:hAnsi="Times New Roman"/>
          <w:color w:val="000000" w:themeColor="text1"/>
          <w:sz w:val="16"/>
          <w:szCs w:val="16"/>
        </w:rPr>
        <w:t>ам</w:t>
      </w:r>
      <w:proofErr w:type="spellEnd"/>
      <w:r w:rsidRPr="007122AB">
        <w:rPr>
          <w:rFonts w:ascii="Times New Roman" w:hAnsi="Times New Roman"/>
          <w:color w:val="000000" w:themeColor="text1"/>
          <w:sz w:val="16"/>
          <w:szCs w:val="16"/>
        </w:rPr>
        <w:t>. долл...».</w:t>
      </w:r>
    </w:p>
    <w:p w14:paraId="3F62042C"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внимание привлекают формулировки: «чрезмерно тяжёлые для Синьцзянского правительства» условия содержания лётчиков и «условия, которыми правительство обу</w:t>
      </w:r>
      <w:r w:rsidRPr="007122AB">
        <w:rPr>
          <w:rFonts w:ascii="Times New Roman" w:hAnsi="Times New Roman"/>
          <w:color w:val="000000" w:themeColor="text1"/>
          <w:sz w:val="16"/>
          <w:szCs w:val="16"/>
        </w:rPr>
        <w:softHyphen/>
        <w:t>словливало продажу самолётов». Иными словами, фактически лётчики «расплачивались» за выгодную СССР сделку из своего жалованья.</w:t>
      </w:r>
    </w:p>
    <w:p w14:paraId="2E46D651"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и следовало ожидать, это послание «подвело черту» под «денежными делами». В УВВС не посмели спорить с НКИД, лишь чуть-чуть попытались «поторговаться» с Караханом: «Если это возможно, часть сумм, подлежащих переводу в советской валюте — переводить на Торгсин».</w:t>
      </w:r>
    </w:p>
    <w:p w14:paraId="6E989C18"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Мнения самих авиаторов, где им больше нужны деньги — в СССР или в Китае, разу</w:t>
      </w:r>
      <w:r w:rsidRPr="007122AB">
        <w:rPr>
          <w:rFonts w:ascii="Times New Roman" w:hAnsi="Times New Roman"/>
          <w:color w:val="000000" w:themeColor="text1"/>
          <w:sz w:val="16"/>
          <w:szCs w:val="16"/>
        </w:rPr>
        <w:softHyphen/>
        <w:t xml:space="preserve">меется, никто и не спрашивал. При оформлении загранпаспортов оказалось, что семья была только у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остальные заработок в рублях перечисляли родителям. Впо</w:t>
      </w:r>
      <w:r w:rsidRPr="007122AB">
        <w:rPr>
          <w:rFonts w:ascii="Times New Roman" w:hAnsi="Times New Roman"/>
          <w:color w:val="000000" w:themeColor="text1"/>
          <w:sz w:val="16"/>
          <w:szCs w:val="16"/>
        </w:rPr>
        <w:softHyphen/>
        <w:t>следствии в переписке подчеркивалось, что «</w:t>
      </w:r>
      <w:r w:rsidRPr="007122AB">
        <w:rPr>
          <w:rStyle w:val="84"/>
          <w:rFonts w:eastAsia="Arial"/>
          <w:color w:val="000000" w:themeColor="text1"/>
          <w:sz w:val="16"/>
          <w:szCs w:val="16"/>
        </w:rPr>
        <w:t>все лётчики ехали в командировку с боль</w:t>
      </w:r>
      <w:r w:rsidRPr="007122AB">
        <w:rPr>
          <w:rStyle w:val="84"/>
          <w:rFonts w:eastAsia="Arial"/>
          <w:color w:val="000000" w:themeColor="text1"/>
          <w:sz w:val="16"/>
          <w:szCs w:val="16"/>
        </w:rPr>
        <w:softHyphen/>
        <w:t>шой неохотой</w:t>
      </w:r>
      <w:r w:rsidRPr="007122AB">
        <w:rPr>
          <w:rFonts w:ascii="Times New Roman" w:hAnsi="Times New Roman"/>
          <w:color w:val="000000" w:themeColor="text1"/>
          <w:sz w:val="16"/>
          <w:szCs w:val="16"/>
        </w:rPr>
        <w:t xml:space="preserve">, особенно тов.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вынужденный оставить жену и ребенка в СССР». За его семьей закрепили жилье в Харькове, подчеркнув при этом необходимость оказывать ей всяческое содействие. Весьма неприятный «сюрприз» ждал авиаторов и в Алма-Ате — выяснилось, что оклады у них меньше, чем у советских лётчиков в Афгани</w:t>
      </w:r>
      <w:r w:rsidRPr="007122AB">
        <w:rPr>
          <w:rFonts w:ascii="Times New Roman" w:hAnsi="Times New Roman"/>
          <w:color w:val="000000" w:themeColor="text1"/>
          <w:sz w:val="16"/>
          <w:szCs w:val="16"/>
        </w:rPr>
        <w:softHyphen/>
        <w:t>стане и Персии, «хотя условия работы в Синьцзяне тяжелее и жизнь не дешевле, чем жизнь в других восточных странах» (15802).</w:t>
      </w:r>
    </w:p>
    <w:p w14:paraId="6FA9272C" w14:textId="77777777" w:rsidR="003E4223" w:rsidRPr="007122AB" w:rsidRDefault="003E4223" w:rsidP="007122AB">
      <w:pPr>
        <w:spacing w:after="0" w:line="240" w:lineRule="auto"/>
        <w:jc w:val="both"/>
        <w:rPr>
          <w:rFonts w:ascii="Times New Roman" w:hAnsi="Times New Roman"/>
          <w:color w:val="000000" w:themeColor="text1"/>
          <w:sz w:val="16"/>
          <w:szCs w:val="16"/>
        </w:rPr>
      </w:pPr>
    </w:p>
    <w:p w14:paraId="4750B6E6" w14:textId="77777777" w:rsidR="003E422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E856F64" w14:textId="77777777" w:rsidR="003E4223" w:rsidRPr="007122AB" w:rsidRDefault="003E422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0F475D" w14:textId="77777777" w:rsidR="003E4223" w:rsidRPr="007122AB" w:rsidRDefault="003E42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октября 1931 г. взлетел </w:t>
      </w:r>
      <w:r w:rsidRPr="007122AB">
        <w:rPr>
          <w:rFonts w:ascii="Times New Roman" w:hAnsi="Times New Roman"/>
          <w:color w:val="000000" w:themeColor="text1"/>
          <w:sz w:val="16"/>
          <w:szCs w:val="16"/>
          <w:lang w:val="en-US"/>
        </w:rPr>
        <w:t>Ju</w:t>
      </w:r>
      <w:r w:rsidRPr="007122AB">
        <w:rPr>
          <w:rFonts w:ascii="Times New Roman" w:hAnsi="Times New Roman"/>
          <w:color w:val="000000" w:themeColor="text1"/>
          <w:sz w:val="16"/>
          <w:szCs w:val="16"/>
        </w:rPr>
        <w:t xml:space="preserve"> 49. Юнкере </w:t>
      </w:r>
      <w:r w:rsidRPr="007122AB">
        <w:rPr>
          <w:rFonts w:ascii="Times New Roman" w:hAnsi="Times New Roman"/>
          <w:color w:val="000000" w:themeColor="text1"/>
          <w:sz w:val="16"/>
          <w:szCs w:val="16"/>
          <w:lang w:val="en-US"/>
        </w:rPr>
        <w:t>Ju</w:t>
      </w:r>
      <w:r w:rsidRPr="007122AB">
        <w:rPr>
          <w:rFonts w:ascii="Times New Roman" w:hAnsi="Times New Roman"/>
          <w:color w:val="000000" w:themeColor="text1"/>
          <w:sz w:val="16"/>
          <w:szCs w:val="16"/>
        </w:rPr>
        <w:t xml:space="preserve"> 49, предназначенный для продолжительного полёта на большой высоте, по конструкции и размерам был ближе к транспортному самолёту или бомбардировщику, чем к истребителю. Он, как и </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 xml:space="preserve"> 34, пред</w:t>
      </w:r>
      <w:r w:rsidRPr="007122AB">
        <w:rPr>
          <w:rFonts w:ascii="Times New Roman" w:hAnsi="Times New Roman"/>
          <w:color w:val="000000" w:themeColor="text1"/>
          <w:sz w:val="16"/>
          <w:szCs w:val="16"/>
        </w:rPr>
        <w:softHyphen/>
        <w:t>ставлял собой металлический свободнонесущий низкоплан с гофрированной обшивкой (15842).</w:t>
      </w:r>
    </w:p>
    <w:p w14:paraId="45319453" w14:textId="77777777" w:rsidR="003E4223" w:rsidRPr="007122AB" w:rsidRDefault="003E4223" w:rsidP="007122AB">
      <w:pPr>
        <w:spacing w:after="0" w:line="240" w:lineRule="auto"/>
        <w:jc w:val="both"/>
        <w:rPr>
          <w:rFonts w:ascii="Times New Roman" w:hAnsi="Times New Roman"/>
          <w:color w:val="000000" w:themeColor="text1"/>
          <w:sz w:val="16"/>
          <w:szCs w:val="16"/>
        </w:rPr>
      </w:pPr>
    </w:p>
    <w:p w14:paraId="1A14105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EC2B6F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EF0E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октября 1931 С.П.К. присутствовал вместе с Б.И. </w:t>
      </w:r>
      <w:proofErr w:type="spellStart"/>
      <w:r w:rsidRPr="007122AB">
        <w:rPr>
          <w:rFonts w:ascii="Times New Roman" w:hAnsi="Times New Roman"/>
          <w:color w:val="000000" w:themeColor="text1"/>
          <w:sz w:val="16"/>
          <w:szCs w:val="16"/>
        </w:rPr>
        <w:t>Черановским</w:t>
      </w:r>
      <w:proofErr w:type="spellEnd"/>
      <w:r w:rsidRPr="007122AB">
        <w:rPr>
          <w:rFonts w:ascii="Times New Roman" w:hAnsi="Times New Roman"/>
          <w:color w:val="000000" w:themeColor="text1"/>
          <w:sz w:val="16"/>
          <w:szCs w:val="16"/>
        </w:rPr>
        <w:t xml:space="preserve"> при проведении Ф.А. Цандером 32 опытов с двигателем ОР-1 (Там же) (10676).</w:t>
      </w:r>
    </w:p>
    <w:p w14:paraId="5A17A7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D27CB2" w14:textId="77777777" w:rsidR="00221006" w:rsidRPr="00441F34" w:rsidRDefault="00221006" w:rsidP="0022100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7 октября 1931 Королёв и </w:t>
      </w:r>
      <w:proofErr w:type="spellStart"/>
      <w:r w:rsidRPr="00441F34">
        <w:rPr>
          <w:rFonts w:ascii="Times New Roman" w:hAnsi="Times New Roman"/>
          <w:color w:val="0070C0"/>
          <w:sz w:val="16"/>
          <w:szCs w:val="16"/>
        </w:rPr>
        <w:t>Черановский</w:t>
      </w:r>
      <w:proofErr w:type="spellEnd"/>
      <w:r w:rsidRPr="00441F34">
        <w:rPr>
          <w:rFonts w:ascii="Times New Roman" w:hAnsi="Times New Roman"/>
          <w:color w:val="0070C0"/>
          <w:sz w:val="16"/>
          <w:szCs w:val="16"/>
        </w:rPr>
        <w:t xml:space="preserve"> по приглашению Цандера наблюдали в ИАМ 32-й по счёту стендо</w:t>
      </w:r>
      <w:r w:rsidRPr="00441F34">
        <w:rPr>
          <w:rFonts w:ascii="Times New Roman" w:hAnsi="Times New Roman"/>
          <w:color w:val="0070C0"/>
          <w:sz w:val="16"/>
          <w:szCs w:val="16"/>
        </w:rPr>
        <w:softHyphen/>
        <w:t>вый запуск двигателя ОР-1 (23550).</w:t>
      </w:r>
    </w:p>
    <w:p w14:paraId="1406822C" w14:textId="77777777" w:rsidR="00221006" w:rsidRPr="00441F34" w:rsidRDefault="00221006" w:rsidP="00221006">
      <w:pPr>
        <w:spacing w:after="0" w:line="240" w:lineRule="auto"/>
        <w:jc w:val="both"/>
        <w:rPr>
          <w:rFonts w:ascii="Times New Roman" w:hAnsi="Times New Roman"/>
          <w:color w:val="0070C0"/>
          <w:sz w:val="16"/>
          <w:szCs w:val="16"/>
        </w:rPr>
      </w:pPr>
    </w:p>
    <w:p w14:paraId="588F018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1398B4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C818FF"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период с 7 по 28 октября 1931 г. Комиссией Военно-морской инспекции Центральной контрольной комиссии (ВМИ ЦКК) ВКП(б) НКРКИ СССР под руководством старшего инспектора К. Ченцова проводилось обследование тракторного и танкового производства ХПЗ, строительства новых цехов, а также проверка состояния проработки заводом мобилизационного плана МВ-10.</w:t>
      </w:r>
    </w:p>
    <w:p w14:paraId="7373B5BE"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завершения работы Комиссии, 18 ноября 1931 г. руководству ХПЗ с препроводительным письмом № 710с были направлены выводы, сделанные Комиссией по результатам проведенного обследования (24856).</w:t>
      </w:r>
    </w:p>
    <w:p w14:paraId="39102253" w14:textId="77777777" w:rsidR="00DE24DE" w:rsidRPr="00441F34" w:rsidRDefault="00DE24DE" w:rsidP="00DE24DE">
      <w:pPr>
        <w:spacing w:after="0" w:line="240" w:lineRule="auto"/>
        <w:jc w:val="both"/>
        <w:rPr>
          <w:rFonts w:ascii="Times New Roman" w:hAnsi="Times New Roman"/>
          <w:color w:val="0070C0"/>
          <w:sz w:val="16"/>
          <w:szCs w:val="16"/>
        </w:rPr>
      </w:pPr>
    </w:p>
    <w:p w14:paraId="17A00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октября 1931 года </w:t>
      </w:r>
      <w:proofErr w:type="spellStart"/>
      <w:r w:rsidRPr="007122AB">
        <w:rPr>
          <w:rFonts w:ascii="Times New Roman" w:hAnsi="Times New Roman"/>
          <w:color w:val="000000" w:themeColor="text1"/>
          <w:sz w:val="16"/>
          <w:szCs w:val="16"/>
        </w:rPr>
        <w:t>наморси</w:t>
      </w:r>
      <w:proofErr w:type="spellEnd"/>
      <w:r w:rsidRPr="007122AB">
        <w:rPr>
          <w:rFonts w:ascii="Times New Roman" w:hAnsi="Times New Roman"/>
          <w:color w:val="000000" w:themeColor="text1"/>
          <w:sz w:val="16"/>
          <w:szCs w:val="16"/>
        </w:rPr>
        <w:t xml:space="preserve"> В. М. Орлов утвердил разработанное Учебно-строевым управлением УВМС (И. М. </w:t>
      </w:r>
      <w:proofErr w:type="spellStart"/>
      <w:r w:rsidRPr="007122AB">
        <w:rPr>
          <w:rFonts w:ascii="Times New Roman" w:hAnsi="Times New Roman"/>
          <w:color w:val="000000" w:themeColor="text1"/>
          <w:sz w:val="16"/>
          <w:szCs w:val="16"/>
        </w:rPr>
        <w:t>Лудри</w:t>
      </w:r>
      <w:proofErr w:type="spellEnd"/>
      <w:r w:rsidRPr="007122AB">
        <w:rPr>
          <w:rFonts w:ascii="Times New Roman" w:hAnsi="Times New Roman"/>
          <w:color w:val="000000" w:themeColor="text1"/>
          <w:sz w:val="16"/>
          <w:szCs w:val="16"/>
        </w:rPr>
        <w:t>) в 1931 г. оперативно-тактическое задание "на эсминец для Балтий</w:t>
      </w:r>
      <w:r w:rsidRPr="007122AB">
        <w:rPr>
          <w:rFonts w:ascii="Times New Roman" w:hAnsi="Times New Roman"/>
          <w:color w:val="000000" w:themeColor="text1"/>
          <w:sz w:val="16"/>
          <w:szCs w:val="16"/>
        </w:rPr>
        <w:softHyphen/>
        <w:t>ского и Черного морей" (3898).</w:t>
      </w:r>
    </w:p>
    <w:p w14:paraId="71CCA5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Назначение новых эсминцев предусматри</w:t>
      </w:r>
      <w:r w:rsidRPr="007122AB">
        <w:rPr>
          <w:rFonts w:ascii="Times New Roman" w:hAnsi="Times New Roman"/>
          <w:color w:val="000000" w:themeColor="text1"/>
          <w:sz w:val="16"/>
          <w:szCs w:val="16"/>
        </w:rPr>
        <w:softHyphen/>
        <w:t>вало: участие в бою совместно с главными силами в море и на по</w:t>
      </w:r>
      <w:r w:rsidRPr="007122AB">
        <w:rPr>
          <w:rFonts w:ascii="Times New Roman" w:hAnsi="Times New Roman"/>
          <w:color w:val="000000" w:themeColor="text1"/>
          <w:sz w:val="16"/>
          <w:szCs w:val="16"/>
        </w:rPr>
        <w:softHyphen/>
        <w:t>зиции; атаку десанта противника; обеспечение выхода и входа под</w:t>
      </w:r>
      <w:r w:rsidRPr="007122AB">
        <w:rPr>
          <w:rFonts w:ascii="Times New Roman" w:hAnsi="Times New Roman"/>
          <w:color w:val="000000" w:themeColor="text1"/>
          <w:sz w:val="16"/>
          <w:szCs w:val="16"/>
        </w:rPr>
        <w:softHyphen/>
        <w:t>водных лодок из баз и возвращение их в базы, обеспечение опера</w:t>
      </w:r>
      <w:r w:rsidRPr="007122AB">
        <w:rPr>
          <w:rFonts w:ascii="Times New Roman" w:hAnsi="Times New Roman"/>
          <w:color w:val="000000" w:themeColor="text1"/>
          <w:sz w:val="16"/>
          <w:szCs w:val="16"/>
        </w:rPr>
        <w:softHyphen/>
        <w:t>ций подводнь1х лодок и взаимодействие с ними; разведку и несе</w:t>
      </w:r>
      <w:r w:rsidRPr="007122AB">
        <w:rPr>
          <w:rFonts w:ascii="Times New Roman" w:hAnsi="Times New Roman"/>
          <w:color w:val="000000" w:themeColor="text1"/>
          <w:sz w:val="16"/>
          <w:szCs w:val="16"/>
        </w:rPr>
        <w:softHyphen/>
        <w:t>ние дозора при поддержке крейсеров; постановку активных минных заграждений (3898).</w:t>
      </w:r>
    </w:p>
    <w:p w14:paraId="5303C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F8F89F" w14:textId="77777777" w:rsidR="003371BD" w:rsidRPr="007122AB" w:rsidRDefault="003371BD" w:rsidP="007122AB">
      <w:pPr>
        <w:pStyle w:val="rtejustify"/>
        <w:spacing w:before="0" w:after="0"/>
        <w:rPr>
          <w:color w:val="000000" w:themeColor="text1"/>
          <w:sz w:val="16"/>
          <w:szCs w:val="16"/>
        </w:rPr>
      </w:pPr>
      <w:r w:rsidRPr="007122AB">
        <w:rPr>
          <w:rStyle w:val="af0"/>
          <w:i w:val="0"/>
          <w:color w:val="000000" w:themeColor="text1"/>
          <w:sz w:val="16"/>
          <w:szCs w:val="16"/>
        </w:rPr>
        <w:t>7 октября 1931 г. Протокол Реввоенсовета №32.</w:t>
      </w:r>
      <w:r w:rsidRPr="007122AB">
        <w:rPr>
          <w:color w:val="000000" w:themeColor="text1"/>
          <w:sz w:val="16"/>
          <w:szCs w:val="16"/>
        </w:rPr>
        <w:t xml:space="preserve"> 1. План заказов НКВМ на 1932 г. (Егоров). 6. О выводе из строя подводных лодок типа «Барс» Протокол Реввоенсовета № 5 и 6 (Орлов). (РГВА. Ф. 4. Оп. 18. Д. 21. Л. 135, 136) (12342).</w:t>
      </w:r>
    </w:p>
    <w:p w14:paraId="5766D75C" w14:textId="77777777" w:rsidR="003371BD" w:rsidRPr="007122AB" w:rsidRDefault="003371BD" w:rsidP="007122AB">
      <w:pPr>
        <w:pStyle w:val="rtejustify"/>
        <w:spacing w:before="0" w:after="0"/>
        <w:rPr>
          <w:color w:val="000000" w:themeColor="text1"/>
          <w:sz w:val="16"/>
          <w:szCs w:val="16"/>
        </w:rPr>
      </w:pPr>
    </w:p>
    <w:p w14:paraId="1F60B7F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C7E6CE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23A7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октября 1931 в Магнитогорске закончена кладка первой домны (3960, 392).</w:t>
      </w:r>
    </w:p>
    <w:p w14:paraId="67E3F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F5ED6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8A158E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DBFF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октября 1931 была сделана первая инфракрасная фотография (3481).</w:t>
      </w:r>
    </w:p>
    <w:p w14:paraId="02F1B8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3A8D8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754EB7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D9C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октября (21 - 1017,212) 1931 начались повторные гос. испытания МДР-2 (92,355) и проводились до 13 ноября (14 - 1076,888). Летали </w:t>
      </w:r>
      <w:proofErr w:type="spellStart"/>
      <w:r w:rsidRPr="007122AB">
        <w:rPr>
          <w:rFonts w:ascii="Times New Roman" w:hAnsi="Times New Roman"/>
          <w:color w:val="000000" w:themeColor="text1"/>
          <w:sz w:val="16"/>
          <w:szCs w:val="16"/>
        </w:rPr>
        <w:t>М.М.Громов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Н.Г.Кастанаев</w:t>
      </w:r>
      <w:proofErr w:type="spellEnd"/>
      <w:r w:rsidRPr="007122AB">
        <w:rPr>
          <w:rFonts w:ascii="Times New Roman" w:hAnsi="Times New Roman"/>
          <w:color w:val="000000" w:themeColor="text1"/>
          <w:sz w:val="16"/>
          <w:szCs w:val="16"/>
        </w:rPr>
        <w:t>. Были новые поплавки и многое другое. Был близок к Дорнье Валь, но в серию запускать не стали, так как устарел (346,40).</w:t>
      </w:r>
    </w:p>
    <w:p w14:paraId="3205E5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с 21 октября 1931</w:t>
      </w:r>
    </w:p>
    <w:p w14:paraId="274927D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FDBA95"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 8 октября по 13 ноября 1931 г. вновь проводили государственные испытания доработанного по результатам первого этапа АНТ-8 -МДР-2. Их проводили М.М. Громов, Б.Л. Бухгольц, Н.Г. </w:t>
      </w:r>
      <w:proofErr w:type="spellStart"/>
      <w:r w:rsidRPr="00441F34">
        <w:rPr>
          <w:rFonts w:ascii="Times New Roman" w:hAnsi="Times New Roman"/>
          <w:color w:val="0070C0"/>
          <w:sz w:val="16"/>
          <w:szCs w:val="16"/>
        </w:rPr>
        <w:t>Кастанаев</w:t>
      </w:r>
      <w:proofErr w:type="spellEnd"/>
      <w:r w:rsidRPr="00441F34">
        <w:rPr>
          <w:rFonts w:ascii="Times New Roman" w:hAnsi="Times New Roman"/>
          <w:color w:val="0070C0"/>
          <w:sz w:val="16"/>
          <w:szCs w:val="16"/>
        </w:rPr>
        <w:t>. Самолет испытывался на взлет, посадку, мореходность и т.д. Мореходность была признана очень хо</w:t>
      </w:r>
      <w:r w:rsidRPr="00441F34">
        <w:rPr>
          <w:rFonts w:ascii="Times New Roman" w:hAnsi="Times New Roman"/>
          <w:color w:val="0070C0"/>
          <w:sz w:val="16"/>
          <w:szCs w:val="16"/>
        </w:rPr>
        <w:softHyphen/>
        <w:t>рошей, самолет мог взлетать и садиться при значительной волне. По общей оценке, он соответствовал «требованиям сегодняшнего дня», был близок по сво</w:t>
      </w:r>
      <w:r w:rsidRPr="00441F34">
        <w:rPr>
          <w:rFonts w:ascii="Times New Roman" w:hAnsi="Times New Roman"/>
          <w:color w:val="0070C0"/>
          <w:sz w:val="16"/>
          <w:szCs w:val="16"/>
        </w:rPr>
        <w:softHyphen/>
        <w:t>им характеристикам к находившемуся на вооружении ВВС немецкому развед</w:t>
      </w:r>
      <w:r w:rsidRPr="00441F34">
        <w:rPr>
          <w:rFonts w:ascii="Times New Roman" w:hAnsi="Times New Roman"/>
          <w:color w:val="0070C0"/>
          <w:sz w:val="16"/>
          <w:szCs w:val="16"/>
        </w:rPr>
        <w:softHyphen/>
        <w:t xml:space="preserve">чику </w:t>
      </w:r>
      <w:proofErr w:type="spellStart"/>
      <w:r w:rsidRPr="00441F34">
        <w:rPr>
          <w:rFonts w:ascii="Times New Roman" w:hAnsi="Times New Roman"/>
          <w:color w:val="0070C0"/>
          <w:sz w:val="16"/>
          <w:szCs w:val="16"/>
        </w:rPr>
        <w:t>Dornier</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Wai</w:t>
      </w:r>
      <w:proofErr w:type="spellEnd"/>
      <w:r w:rsidRPr="00441F34">
        <w:rPr>
          <w:rFonts w:ascii="Times New Roman" w:hAnsi="Times New Roman"/>
          <w:color w:val="0070C0"/>
          <w:sz w:val="16"/>
          <w:szCs w:val="16"/>
        </w:rPr>
        <w:t>, но запускать самолет в серию не стали. К моменту выхода се</w:t>
      </w:r>
      <w:r w:rsidRPr="00441F34">
        <w:rPr>
          <w:rFonts w:ascii="Times New Roman" w:hAnsi="Times New Roman"/>
          <w:color w:val="0070C0"/>
          <w:sz w:val="16"/>
          <w:szCs w:val="16"/>
        </w:rPr>
        <w:softHyphen/>
        <w:t>рийных машин их данные уже не смогли бы удовлетворить военных (23474).</w:t>
      </w:r>
    </w:p>
    <w:p w14:paraId="15EBE429" w14:textId="77777777" w:rsidR="00DE24DE" w:rsidRPr="00441F34" w:rsidRDefault="00DE24DE" w:rsidP="00DE24DE">
      <w:pPr>
        <w:spacing w:after="0" w:line="240" w:lineRule="auto"/>
        <w:jc w:val="both"/>
        <w:rPr>
          <w:rFonts w:ascii="Times New Roman" w:hAnsi="Times New Roman"/>
          <w:color w:val="0070C0"/>
          <w:sz w:val="16"/>
          <w:szCs w:val="16"/>
        </w:rPr>
      </w:pPr>
    </w:p>
    <w:p w14:paraId="3C8B3974" w14:textId="77777777" w:rsidR="00AD4FAD" w:rsidRPr="007122AB" w:rsidRDefault="00AD4FAD" w:rsidP="007122AB">
      <w:pPr>
        <w:pStyle w:val="rtejustify"/>
        <w:spacing w:before="0" w:after="0"/>
        <w:rPr>
          <w:color w:val="000000" w:themeColor="text1"/>
          <w:sz w:val="16"/>
          <w:szCs w:val="16"/>
        </w:rPr>
      </w:pPr>
      <w:r w:rsidRPr="007122AB">
        <w:rPr>
          <w:bCs/>
          <w:color w:val="000000" w:themeColor="text1"/>
          <w:sz w:val="16"/>
          <w:szCs w:val="16"/>
        </w:rPr>
        <w:t>8 октября 1931 г. — Рапорт руководства ЦАГИ в ЦК ВКП(б) об экспериментальном производстве дюралюминия</w:t>
      </w:r>
    </w:p>
    <w:p w14:paraId="4427EDC2"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lastRenderedPageBreak/>
        <w:t xml:space="preserve">До последнего времени основной самолетостроительный материал </w:t>
      </w:r>
      <w:proofErr w:type="spellStart"/>
      <w:r w:rsidRPr="007122AB">
        <w:rPr>
          <w:color w:val="000000" w:themeColor="text1"/>
          <w:sz w:val="16"/>
          <w:szCs w:val="16"/>
        </w:rPr>
        <w:t>дюралюмин</w:t>
      </w:r>
      <w:proofErr w:type="spellEnd"/>
      <w:r w:rsidRPr="007122AB">
        <w:rPr>
          <w:color w:val="000000" w:themeColor="text1"/>
          <w:sz w:val="16"/>
          <w:szCs w:val="16"/>
        </w:rPr>
        <w:t xml:space="preserve"> не мог вполне удовлетворять требованиям авиации. Его стойкость против действия атмосферы и влаги вообще была незначительной. Материал в эксплуатации быстро разрушался (поражался коррозией). Для предохранения металла от этого разъедания применялись лаки, краски, жиры и прочие средства которые, однако, не давали желаемых результатов и приводили к большому удорожанию производства. В 1926</w:t>
      </w:r>
      <w:r w:rsidRPr="007122AB">
        <w:rPr>
          <w:color w:val="000000" w:themeColor="text1"/>
          <w:sz w:val="16"/>
          <w:szCs w:val="16"/>
        </w:rPr>
        <w:noBreakHyphen/>
        <w:t>1927 гг. в Америке появился сплав «</w:t>
      </w:r>
      <w:proofErr w:type="spellStart"/>
      <w:r w:rsidRPr="007122AB">
        <w:rPr>
          <w:color w:val="000000" w:themeColor="text1"/>
          <w:sz w:val="16"/>
          <w:szCs w:val="16"/>
        </w:rPr>
        <w:t>алклед</w:t>
      </w:r>
      <w:proofErr w:type="spellEnd"/>
      <w:r w:rsidRPr="007122AB">
        <w:rPr>
          <w:color w:val="000000" w:themeColor="text1"/>
          <w:sz w:val="16"/>
          <w:szCs w:val="16"/>
        </w:rPr>
        <w:t>», обладающий большой стойкостью против коррозии. Методы производства и принципы приготовления такого сплава держатся капиталистическими странами в секрете.</w:t>
      </w:r>
    </w:p>
    <w:p w14:paraId="4AD9046B"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В 1929 г. в металлургических цехах завода № 1 были получены первые листы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точно так же не подвергающиеся коррозии. В начале 1930 г. был установлен метод производства этих листов, заключающийся в покрытии (плакировании) </w:t>
      </w:r>
      <w:proofErr w:type="spellStart"/>
      <w:r w:rsidRPr="007122AB">
        <w:rPr>
          <w:color w:val="000000" w:themeColor="text1"/>
          <w:sz w:val="16"/>
          <w:szCs w:val="16"/>
        </w:rPr>
        <w:t>дюралюминовых</w:t>
      </w:r>
      <w:proofErr w:type="spellEnd"/>
      <w:r w:rsidRPr="007122AB">
        <w:rPr>
          <w:color w:val="000000" w:themeColor="text1"/>
          <w:sz w:val="16"/>
          <w:szCs w:val="16"/>
        </w:rPr>
        <w:t xml:space="preserve"> заготовок тонким слоем алюминия, которые сваривались друг с другом в процессе горячей прокатки. Полученный материал при испытании в наших лабораториях и при проверке по нашей просьбе ЦАГИ в условиях выдержки в морской воде Черного моря дал блестящую стойкость против коррозии, но обладал благодаря наличию слоя алюминия пониженными механическими свойствами.</w:t>
      </w:r>
    </w:p>
    <w:p w14:paraId="028B47A7"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В 1930 г. заводом № 1 была проведена работа по изысканию сплава, который при плакировании давал бы механические качества нормального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Летом 1930 г. заводу удалось получить плакированные листы не только одинакового качества с </w:t>
      </w:r>
      <w:proofErr w:type="spellStart"/>
      <w:r w:rsidRPr="007122AB">
        <w:rPr>
          <w:color w:val="000000" w:themeColor="text1"/>
          <w:sz w:val="16"/>
          <w:szCs w:val="16"/>
        </w:rPr>
        <w:t>дюралюмином</w:t>
      </w:r>
      <w:proofErr w:type="spellEnd"/>
      <w:r w:rsidRPr="007122AB">
        <w:rPr>
          <w:color w:val="000000" w:themeColor="text1"/>
          <w:sz w:val="16"/>
          <w:szCs w:val="16"/>
        </w:rPr>
        <w:t>, но и превышающие их на 15%. В августе месяце 1930 г. технический отчет главного металлурга с указанием состава сплава и методов его производства был разослан всем заинтересованным учреждениям, ЦАГИ, ВАО, заводу 45 и т. д.</w:t>
      </w:r>
    </w:p>
    <w:p w14:paraId="34488FC9"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В ноябре 1930 г. из плакированного материала 1</w:t>
      </w:r>
      <w:r w:rsidRPr="007122AB">
        <w:rPr>
          <w:color w:val="000000" w:themeColor="text1"/>
          <w:sz w:val="16"/>
          <w:szCs w:val="16"/>
        </w:rPr>
        <w:noBreakHyphen/>
        <w:t>го завода на заводе № 22 было построено 2 самолета для испытания на стойкость против коррозии. Самолеты не были покрыты никакими красками и в течение 10 месяцев работы не показали никаких следов коррозии. Заводской масштаб производства этого сплава показал его преимущества не только в эксплуатации, но и в процессе производства. Одно только упрощение процесса производства должно дать уже в 1932 г. экономию 2,5 млн. руб. Что касается экономии, которую получит страна от эксплуатации самолетов из нового материала, на удлинении срока службы самолетов, сокращении ремонтных работ, уменьшении расходов на покраску, на облегчении конструкции и прочего, то она настолько велика, что подсчет ее является задачей чрезвычайно трудной.</w:t>
      </w:r>
    </w:p>
    <w:p w14:paraId="5EC0DBC0"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В 1931 г. на основе проведенных заводом № 1 опытно-исследовательских работ начат перевод производства обыкновенного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на плакированный на заводе № 1 ВАО и Кольчугинском. С этого же времени ОИАМ ЦАГИ, относившийся раньше к плакированному </w:t>
      </w:r>
      <w:proofErr w:type="spellStart"/>
      <w:r w:rsidRPr="007122AB">
        <w:rPr>
          <w:color w:val="000000" w:themeColor="text1"/>
          <w:sz w:val="16"/>
          <w:szCs w:val="16"/>
        </w:rPr>
        <w:t>дюралюмину</w:t>
      </w:r>
      <w:proofErr w:type="spellEnd"/>
      <w:r w:rsidRPr="007122AB">
        <w:rPr>
          <w:color w:val="000000" w:themeColor="text1"/>
          <w:sz w:val="16"/>
          <w:szCs w:val="16"/>
        </w:rPr>
        <w:t xml:space="preserve"> очень индифферентно, заинтересовался этой работой и поставил опыты по внедрению в производство плакированного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на заводе им. Ворошилова.</w:t>
      </w:r>
    </w:p>
    <w:p w14:paraId="27BB3B67"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В мае 1931 г. ЦАГИ специальному техническому совещанию доложило об изобретенном им плакированном сплаве с якобы более высокими механическими качествами, химический состав которого отличался от состава сплава завода № 1 введением присадки кремния. На совещании в ЦАГИ специалистами было дано разъяснение, что введение кремния в сплав завода № 1 не может улучшить его качеств.</w:t>
      </w:r>
    </w:p>
    <w:p w14:paraId="54E2B269"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22 августа с. г. в печати опубликован рапорт ЦАГИ в адрес т. Сталина, Орджоникидзе и Баранова об изобретении нового сплава именуемого «</w:t>
      </w:r>
      <w:proofErr w:type="spellStart"/>
      <w:r w:rsidRPr="007122AB">
        <w:rPr>
          <w:color w:val="000000" w:themeColor="text1"/>
          <w:sz w:val="16"/>
          <w:szCs w:val="16"/>
        </w:rPr>
        <w:t>альплата</w:t>
      </w:r>
      <w:proofErr w:type="spellEnd"/>
      <w:r w:rsidRPr="007122AB">
        <w:rPr>
          <w:color w:val="000000" w:themeColor="text1"/>
          <w:sz w:val="16"/>
          <w:szCs w:val="16"/>
        </w:rPr>
        <w:t xml:space="preserve"> ЦАГИ».</w:t>
      </w:r>
    </w:p>
    <w:p w14:paraId="17E357BD"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В день опубликования общественными организациями завода № 1 был поставлен в известность т. Баранов о том, что сплав ЦАГИ не является оригинальным, никаких преимуществ перед сплавом завода № 1 не имеет и кремний введен в сплав по странному недоразумению. 10 сентября экспертиза, проведенная согласно распоряжению т. Баранова, указала на отсутствие необходимости введения кремния в сплав завода № 1.</w:t>
      </w:r>
    </w:p>
    <w:p w14:paraId="07A9AF3A"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Проведенные с 20 по 30 сентября совместно с заводом № 1 и ЦАГИ сравнительные опыты по прокатке листов из сплава завода № 1 и «</w:t>
      </w:r>
      <w:proofErr w:type="spellStart"/>
      <w:r w:rsidRPr="007122AB">
        <w:rPr>
          <w:color w:val="000000" w:themeColor="text1"/>
          <w:sz w:val="16"/>
          <w:szCs w:val="16"/>
        </w:rPr>
        <w:t>альплаты</w:t>
      </w:r>
      <w:proofErr w:type="spellEnd"/>
      <w:r w:rsidRPr="007122AB">
        <w:rPr>
          <w:color w:val="000000" w:themeColor="text1"/>
          <w:sz w:val="16"/>
          <w:szCs w:val="16"/>
        </w:rPr>
        <w:t xml:space="preserve"> ЦАГИ» дали ухудшение качеств сплава от введения кремния и окончательно доказали , что «рапорт ЦАГИ» является документом, вводившим в заблуждение вождей партии и правительства.</w:t>
      </w:r>
    </w:p>
    <w:p w14:paraId="13B3F514"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Исследования и работу по постановке производства плакированного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завода № 1 вели: 1. Ю. Г. Музалевский — главный металлург, инициатор работ по плакированию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основной руководитель исследований и производства этого сплава, кандидат ВКП(б). 2. С. М. Петров — начальник производства член ВКП(б) и А. Ф. Белов — начальник горячих цехов, кандидат ВКП(б) — руководители производства плакированного </w:t>
      </w:r>
      <w:proofErr w:type="spellStart"/>
      <w:r w:rsidRPr="007122AB">
        <w:rPr>
          <w:color w:val="000000" w:themeColor="text1"/>
          <w:sz w:val="16"/>
          <w:szCs w:val="16"/>
        </w:rPr>
        <w:t>дюралюмина</w:t>
      </w:r>
      <w:proofErr w:type="spellEnd"/>
      <w:r w:rsidRPr="007122AB">
        <w:rPr>
          <w:color w:val="000000" w:themeColor="text1"/>
          <w:sz w:val="16"/>
          <w:szCs w:val="16"/>
        </w:rPr>
        <w:t xml:space="preserve">. 3. Равич В. Н. — начальник опытного бюро, исполнитель опытно-исследовательских работ по плакированному </w:t>
      </w:r>
      <w:proofErr w:type="spellStart"/>
      <w:r w:rsidRPr="007122AB">
        <w:rPr>
          <w:color w:val="000000" w:themeColor="text1"/>
          <w:sz w:val="16"/>
          <w:szCs w:val="16"/>
        </w:rPr>
        <w:t>дюралюмину</w:t>
      </w:r>
      <w:proofErr w:type="spellEnd"/>
      <w:r w:rsidRPr="007122AB">
        <w:rPr>
          <w:color w:val="000000" w:themeColor="text1"/>
          <w:sz w:val="16"/>
          <w:szCs w:val="16"/>
        </w:rPr>
        <w:t xml:space="preserve"> (кандидат ВКП(б)). 4. Инженер Ф. М. </w:t>
      </w:r>
      <w:proofErr w:type="spellStart"/>
      <w:r w:rsidRPr="007122AB">
        <w:rPr>
          <w:color w:val="000000" w:themeColor="text1"/>
          <w:sz w:val="16"/>
          <w:szCs w:val="16"/>
        </w:rPr>
        <w:t>Шафит</w:t>
      </w:r>
      <w:proofErr w:type="spellEnd"/>
      <w:r w:rsidRPr="007122AB">
        <w:rPr>
          <w:color w:val="000000" w:themeColor="text1"/>
          <w:sz w:val="16"/>
          <w:szCs w:val="16"/>
        </w:rPr>
        <w:t xml:space="preserve"> (член ВКП(б)) и начальник химической лаборатории Шандоров, проводившие лабораторные исследования. 5. Мастера Павлов (член ВКП(б)) и Арсентьев (член ВКП(б)). 6. Рабочие бригад: 1) чернового стана, 2) отжигальщиков. 7. Отдельные рабочие и ударники горячего цеха.</w:t>
      </w:r>
    </w:p>
    <w:p w14:paraId="79CDABCC"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Рапорт ЦАГИ подписали: 1. Начальник ЦАГИ — </w:t>
      </w:r>
      <w:proofErr w:type="spellStart"/>
      <w:r w:rsidRPr="007122AB">
        <w:rPr>
          <w:color w:val="000000" w:themeColor="text1"/>
          <w:sz w:val="16"/>
          <w:szCs w:val="16"/>
        </w:rPr>
        <w:t>Друян</w:t>
      </w:r>
      <w:proofErr w:type="spellEnd"/>
      <w:r w:rsidRPr="007122AB">
        <w:rPr>
          <w:color w:val="000000" w:themeColor="text1"/>
          <w:sz w:val="16"/>
          <w:szCs w:val="16"/>
        </w:rPr>
        <w:t xml:space="preserve"> (член ВКП(б)) 2. Партком — Асташев (член ВКП(б)) 3. Завком — Петров (член ВКП(б)) 4. Начальник ОИАМ ЦАГИ — Сидорин 5. Начальник секции металлов, проф. Акимов (член ВКП(б)) 6. Начальник коррозионной группы — </w:t>
      </w:r>
      <w:proofErr w:type="spellStart"/>
      <w:r w:rsidRPr="007122AB">
        <w:rPr>
          <w:color w:val="000000" w:themeColor="text1"/>
          <w:sz w:val="16"/>
          <w:szCs w:val="16"/>
        </w:rPr>
        <w:t>Крениг</w:t>
      </w:r>
      <w:proofErr w:type="spellEnd"/>
      <w:r w:rsidRPr="007122AB">
        <w:rPr>
          <w:color w:val="000000" w:themeColor="text1"/>
          <w:sz w:val="16"/>
          <w:szCs w:val="16"/>
        </w:rPr>
        <w:t>.</w:t>
      </w:r>
    </w:p>
    <w:p w14:paraId="62449F67"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РГАСПИ Ф. 17. Оп. 120. Д. 56. Л. 38-39 об. Копия.</w:t>
      </w:r>
    </w:p>
    <w:p w14:paraId="7DA41AA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РГАСПИ Ф. 17. Оп. 120. Д. 56. Л. 38-39 об. Копия. </w:t>
      </w:r>
    </w:p>
    <w:p w14:paraId="1B9EF8D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566-567 (12535).</w:t>
      </w:r>
    </w:p>
    <w:p w14:paraId="3CBC51DA"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1F9CEF9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29F393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6294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октября 1931 г. в составе ВСНХ СССР было организовано Главное управление по топливу (</w:t>
      </w:r>
      <w:proofErr w:type="spellStart"/>
      <w:r w:rsidRPr="007122AB">
        <w:rPr>
          <w:rFonts w:ascii="Times New Roman" w:hAnsi="Times New Roman"/>
          <w:color w:val="000000" w:themeColor="text1"/>
          <w:sz w:val="16"/>
          <w:szCs w:val="16"/>
        </w:rPr>
        <w:t>Главтоп</w:t>
      </w:r>
      <w:proofErr w:type="spellEnd"/>
      <w:r w:rsidRPr="007122AB">
        <w:rPr>
          <w:rFonts w:ascii="Times New Roman" w:hAnsi="Times New Roman"/>
          <w:color w:val="000000" w:themeColor="text1"/>
          <w:sz w:val="16"/>
          <w:szCs w:val="16"/>
        </w:rPr>
        <w:t>), в связи с чем «</w:t>
      </w:r>
      <w:proofErr w:type="spellStart"/>
      <w:r w:rsidRPr="007122AB">
        <w:rPr>
          <w:rFonts w:ascii="Times New Roman" w:hAnsi="Times New Roman"/>
          <w:color w:val="000000" w:themeColor="text1"/>
          <w:sz w:val="16"/>
          <w:szCs w:val="16"/>
        </w:rPr>
        <w:t>Союзнефть</w:t>
      </w:r>
      <w:proofErr w:type="spellEnd"/>
      <w:r w:rsidRPr="007122AB">
        <w:rPr>
          <w:rFonts w:ascii="Times New Roman" w:hAnsi="Times New Roman"/>
          <w:color w:val="000000" w:themeColor="text1"/>
          <w:sz w:val="16"/>
          <w:szCs w:val="16"/>
        </w:rPr>
        <w:t xml:space="preserve">» была разукрупнена, и на ее базе образован Нефтяной сектор </w:t>
      </w:r>
      <w:proofErr w:type="spellStart"/>
      <w:r w:rsidRPr="007122AB">
        <w:rPr>
          <w:rFonts w:ascii="Times New Roman" w:hAnsi="Times New Roman"/>
          <w:color w:val="000000" w:themeColor="text1"/>
          <w:sz w:val="16"/>
          <w:szCs w:val="16"/>
        </w:rPr>
        <w:t>Главтопа</w:t>
      </w:r>
      <w:proofErr w:type="spellEnd"/>
      <w:r w:rsidRPr="007122AB">
        <w:rPr>
          <w:rFonts w:ascii="Times New Roman" w:hAnsi="Times New Roman"/>
          <w:color w:val="000000" w:themeColor="text1"/>
          <w:sz w:val="16"/>
          <w:szCs w:val="16"/>
        </w:rPr>
        <w:t xml:space="preserve"> (11522).</w:t>
      </w:r>
    </w:p>
    <w:p w14:paraId="0DE9A7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BBC3D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956036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CE36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9-ое октября 1931 г. из записной книжки Н.Н.П.:</w:t>
      </w:r>
    </w:p>
    <w:p w14:paraId="28FB84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8-9,5. Совещание с т. Фоминым по </w:t>
      </w:r>
      <w:proofErr w:type="spellStart"/>
      <w:r w:rsidRPr="007122AB">
        <w:rPr>
          <w:rFonts w:ascii="Times New Roman" w:hAnsi="Times New Roman"/>
          <w:color w:val="000000" w:themeColor="text1"/>
          <w:sz w:val="16"/>
          <w:szCs w:val="16"/>
        </w:rPr>
        <w:t>ИЗбис</w:t>
      </w:r>
      <w:proofErr w:type="spellEnd"/>
    </w:p>
    <w:p w14:paraId="541DF4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9,5-11. Осмотр </w:t>
      </w:r>
      <w:proofErr w:type="spellStart"/>
      <w:r w:rsidRPr="007122AB">
        <w:rPr>
          <w:rFonts w:ascii="Times New Roman" w:hAnsi="Times New Roman"/>
          <w:color w:val="000000" w:themeColor="text1"/>
          <w:sz w:val="16"/>
          <w:szCs w:val="16"/>
        </w:rPr>
        <w:t>вспомог</w:t>
      </w:r>
      <w:proofErr w:type="spellEnd"/>
      <w:r w:rsidRPr="007122AB">
        <w:rPr>
          <w:rFonts w:ascii="Times New Roman" w:hAnsi="Times New Roman"/>
          <w:color w:val="000000" w:themeColor="text1"/>
          <w:sz w:val="16"/>
          <w:szCs w:val="16"/>
        </w:rPr>
        <w:t>. матер, по пассажирскому и Р11 с летчиком т. Козловым</w:t>
      </w:r>
    </w:p>
    <w:p w14:paraId="1C437F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11-4. Работы по </w:t>
      </w:r>
      <w:proofErr w:type="spellStart"/>
      <w:r w:rsidRPr="007122AB">
        <w:rPr>
          <w:rFonts w:ascii="Times New Roman" w:hAnsi="Times New Roman"/>
          <w:color w:val="000000" w:themeColor="text1"/>
          <w:sz w:val="16"/>
          <w:szCs w:val="16"/>
        </w:rPr>
        <w:t>пассажирск</w:t>
      </w:r>
      <w:proofErr w:type="spellEnd"/>
      <w:r w:rsidRPr="007122AB">
        <w:rPr>
          <w:rFonts w:ascii="Times New Roman" w:hAnsi="Times New Roman"/>
          <w:color w:val="000000" w:themeColor="text1"/>
          <w:sz w:val="16"/>
          <w:szCs w:val="16"/>
        </w:rPr>
        <w:t>. и по И-13</w:t>
      </w:r>
    </w:p>
    <w:p w14:paraId="647AA2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4-7. Обсуждение </w:t>
      </w:r>
      <w:proofErr w:type="spellStart"/>
      <w:r w:rsidRPr="007122AB">
        <w:rPr>
          <w:rFonts w:ascii="Times New Roman" w:hAnsi="Times New Roman"/>
          <w:color w:val="000000" w:themeColor="text1"/>
          <w:sz w:val="16"/>
          <w:szCs w:val="16"/>
        </w:rPr>
        <w:t>технич</w:t>
      </w:r>
      <w:proofErr w:type="spellEnd"/>
      <w:r w:rsidRPr="007122AB">
        <w:rPr>
          <w:rFonts w:ascii="Times New Roman" w:hAnsi="Times New Roman"/>
          <w:color w:val="000000" w:themeColor="text1"/>
          <w:sz w:val="16"/>
          <w:szCs w:val="16"/>
        </w:rPr>
        <w:t xml:space="preserve">. требований по И-13 и </w:t>
      </w:r>
      <w:proofErr w:type="spellStart"/>
      <w:r w:rsidRPr="007122AB">
        <w:rPr>
          <w:rFonts w:ascii="Times New Roman" w:hAnsi="Times New Roman"/>
          <w:color w:val="000000" w:themeColor="text1"/>
          <w:sz w:val="16"/>
          <w:szCs w:val="16"/>
        </w:rPr>
        <w:t>пассажирск</w:t>
      </w:r>
      <w:proofErr w:type="spellEnd"/>
      <w:r w:rsidRPr="007122AB">
        <w:rPr>
          <w:rFonts w:ascii="Times New Roman" w:hAnsi="Times New Roman"/>
          <w:color w:val="000000" w:themeColor="text1"/>
          <w:sz w:val="16"/>
          <w:szCs w:val="16"/>
        </w:rPr>
        <w:t>.» (10667).</w:t>
      </w:r>
    </w:p>
    <w:p w14:paraId="4FB22E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A28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октября 1931 завершился цикл испытаний мин ВОМИЗА, которые проходили с 13 июля.</w:t>
      </w:r>
    </w:p>
    <w:p w14:paraId="532F9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Первая советская авиационная мина называлась ВОМИЗА- 100. ВОМИЗА расшифровывалась как "воздушная </w:t>
      </w:r>
      <w:proofErr w:type="spellStart"/>
      <w:r w:rsidRPr="007122AB">
        <w:rPr>
          <w:rFonts w:ascii="Times New Roman" w:hAnsi="Times New Roman"/>
          <w:color w:val="000000" w:themeColor="text1"/>
          <w:sz w:val="16"/>
          <w:szCs w:val="16"/>
        </w:rPr>
        <w:t>МИна</w:t>
      </w:r>
      <w:proofErr w:type="spellEnd"/>
      <w:r w:rsidRPr="007122AB">
        <w:rPr>
          <w:rFonts w:ascii="Times New Roman" w:hAnsi="Times New Roman"/>
          <w:color w:val="000000" w:themeColor="text1"/>
          <w:sz w:val="16"/>
          <w:szCs w:val="16"/>
        </w:rPr>
        <w:t xml:space="preserve">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63AAFB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317158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ВОМИЗы-100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646526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17884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w:t>
      </w:r>
      <w:proofErr w:type="spellStart"/>
      <w:r w:rsidRPr="007122AB">
        <w:rPr>
          <w:rFonts w:ascii="Times New Roman" w:hAnsi="Times New Roman"/>
          <w:color w:val="000000" w:themeColor="text1"/>
          <w:sz w:val="16"/>
          <w:szCs w:val="16"/>
        </w:rPr>
        <w:t>минрепом</w:t>
      </w:r>
      <w:proofErr w:type="spellEnd"/>
      <w:r w:rsidRPr="007122AB">
        <w:rPr>
          <w:rFonts w:ascii="Times New Roman" w:hAnsi="Times New Roman"/>
          <w:color w:val="000000" w:themeColor="text1"/>
          <w:sz w:val="16"/>
          <w:szCs w:val="16"/>
        </w:rPr>
        <w:t xml:space="preserve">. Устройство получилось достаточно громоздким - общая длина равнялась 3,5 м, так что поднять </w:t>
      </w:r>
      <w:proofErr w:type="spellStart"/>
      <w:r w:rsidRPr="007122AB">
        <w:rPr>
          <w:rFonts w:ascii="Times New Roman" w:hAnsi="Times New Roman"/>
          <w:color w:val="000000" w:themeColor="text1"/>
          <w:sz w:val="16"/>
          <w:szCs w:val="16"/>
        </w:rPr>
        <w:t>ВОМИЗу</w:t>
      </w:r>
      <w:proofErr w:type="spellEnd"/>
      <w:r w:rsidRPr="007122AB">
        <w:rPr>
          <w:rFonts w:ascii="Times New Roman" w:hAnsi="Times New Roman"/>
          <w:color w:val="000000" w:themeColor="text1"/>
          <w:sz w:val="16"/>
          <w:szCs w:val="16"/>
        </w:rPr>
        <w:t xml:space="preserve">-ЮО мог далеко не каждый самолет. Первые образцы мины переделывали в мастерских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w:t>
      </w:r>
    </w:p>
    <w:p w14:paraId="62984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взяли из практики артиллерии, где их применяли в снарядах различных типов.</w:t>
      </w:r>
    </w:p>
    <w:p w14:paraId="083A83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Когда трубки догорели, пороховые заряды в </w:t>
      </w:r>
      <w:proofErr w:type="spellStart"/>
      <w:r w:rsidRPr="007122AB">
        <w:rPr>
          <w:rFonts w:ascii="Times New Roman" w:hAnsi="Times New Roman"/>
          <w:color w:val="000000" w:themeColor="text1"/>
          <w:sz w:val="16"/>
          <w:szCs w:val="16"/>
        </w:rPr>
        <w:t>пирозамках</w:t>
      </w:r>
      <w:proofErr w:type="spellEnd"/>
      <w:r w:rsidRPr="007122AB">
        <w:rPr>
          <w:rFonts w:ascii="Times New Roman" w:hAnsi="Times New Roman"/>
          <w:color w:val="000000" w:themeColor="text1"/>
          <w:sz w:val="16"/>
          <w:szCs w:val="16"/>
        </w:rPr>
        <w:t xml:space="preserve">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47C55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w:t>
      </w:r>
      <w:proofErr w:type="spellStart"/>
      <w:r w:rsidRPr="007122AB">
        <w:rPr>
          <w:rFonts w:ascii="Times New Roman" w:hAnsi="Times New Roman"/>
          <w:color w:val="000000" w:themeColor="text1"/>
          <w:sz w:val="16"/>
          <w:szCs w:val="16"/>
        </w:rPr>
        <w:t>расфиксировала</w:t>
      </w:r>
      <w:proofErr w:type="spellEnd"/>
      <w:r w:rsidRPr="007122AB">
        <w:rPr>
          <w:rFonts w:ascii="Times New Roman" w:hAnsi="Times New Roman"/>
          <w:color w:val="000000" w:themeColor="text1"/>
          <w:sz w:val="16"/>
          <w:szCs w:val="16"/>
        </w:rPr>
        <w:t xml:space="preserve">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w:t>
      </w:r>
      <w:proofErr w:type="spellStart"/>
      <w:r w:rsidRPr="007122AB">
        <w:rPr>
          <w:rFonts w:ascii="Times New Roman" w:hAnsi="Times New Roman"/>
          <w:color w:val="000000" w:themeColor="text1"/>
          <w:sz w:val="16"/>
          <w:szCs w:val="16"/>
        </w:rPr>
        <w:t>минрепом</w:t>
      </w:r>
      <w:proofErr w:type="spellEnd"/>
      <w:r w:rsidRPr="007122AB">
        <w:rPr>
          <w:rFonts w:ascii="Times New Roman" w:hAnsi="Times New Roman"/>
          <w:color w:val="000000" w:themeColor="text1"/>
          <w:sz w:val="16"/>
          <w:szCs w:val="16"/>
        </w:rPr>
        <w:t xml:space="preserve"> на заданном углублении. Последнее отслеживается с помощью гидростатической коробки, прекращающей вытравливание </w:t>
      </w:r>
      <w:proofErr w:type="spellStart"/>
      <w:r w:rsidRPr="007122AB">
        <w:rPr>
          <w:rFonts w:ascii="Times New Roman" w:hAnsi="Times New Roman"/>
          <w:color w:val="000000" w:themeColor="text1"/>
          <w:sz w:val="16"/>
          <w:szCs w:val="16"/>
        </w:rPr>
        <w:t>минрепа</w:t>
      </w:r>
      <w:proofErr w:type="spellEnd"/>
      <w:r w:rsidRPr="007122AB">
        <w:rPr>
          <w:rFonts w:ascii="Times New Roman" w:hAnsi="Times New Roman"/>
          <w:color w:val="000000" w:themeColor="text1"/>
          <w:sz w:val="16"/>
          <w:szCs w:val="16"/>
        </w:rPr>
        <w:t>.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85C4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проводили на базе 62-й отдельной эскадрильи (эскадрилья имела по три ТБ-1а и ЮГ-1), дислоцировавшейся в Гребном порту в Ленинграде. До 9 октября самолеты сбросили 24 </w:t>
      </w:r>
      <w:proofErr w:type="spellStart"/>
      <w:r w:rsidRPr="007122AB">
        <w:rPr>
          <w:rFonts w:ascii="Times New Roman" w:hAnsi="Times New Roman"/>
          <w:color w:val="000000" w:themeColor="text1"/>
          <w:sz w:val="16"/>
          <w:szCs w:val="16"/>
        </w:rPr>
        <w:t>ВОМИЗы</w:t>
      </w:r>
      <w:proofErr w:type="spellEnd"/>
      <w:r w:rsidRPr="007122AB">
        <w:rPr>
          <w:rFonts w:ascii="Times New Roman" w:hAnsi="Times New Roman"/>
          <w:color w:val="000000" w:themeColor="text1"/>
          <w:sz w:val="16"/>
          <w:szCs w:val="16"/>
        </w:rPr>
        <w:t>, из них 17 - успешно. При высоте сброса до 500 м результаты были великолепными - 11 из 12, а самым проблемным оказался диапазон 1000-1500 м В трех случаях мины оторвались от парашютов - лопнула пайка тросов. Большая часть ВОМИЗ сбрасывалась "на всплытие" (без углубления), но всплыли не все. Причиной оказалось частичное растворение сахара при разбеге самолета. При небольшом волнении и даже в штиль мина, подвешенная под брюхом поплавкового "Юнкерса", забрызгивалась водой. Сахар при этом растворялся неравномерно, пружина перекашивалась, и в итоге расцепки не происходило.</w:t>
      </w:r>
    </w:p>
    <w:p w14:paraId="07558D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Детали парашютной системы после приводнения мины подбирали - для этой цели к коробке, крышке и колпаку крепили буйки. Все это использовалось повторно. Кое-что, конечно, безвозвратно утопили. Выяснилось, что более четырех-пяти сбрасываний шнуры-амортизаторы не выдерживают, выходят из строя.</w:t>
      </w:r>
    </w:p>
    <w:p w14:paraId="78202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самым больным местом оказалось крепление зарядной камеры мины. Удар о воду смещал ее, что могло впоследствии привести к тому, что она просто не взорвется. Особенно сильный удар имел место при затянутом горении дистанционных трубок, когда большие парашюты раскрывались с запозданием, и из-за этого скорость входа в воду превышала расчетные 25-30 м/с. Приличный удар получали и мины, приводнившиеся на гребень волны. Важной частью испытаний стал хронометраж процесса подвески мины под самолет. Команда из трех специалистов и четырех приданных им краснофлотцев тратила на это более двух с половиной часов. Час занимала сборка системы. К мине присоединяли парашютную коробку и регулировали длину сборки. Последнее было необходимо из-за значительной погрешности изготовления коробок - по документам допуск составлял до 100 мм. Затем уже собранный комплект грузили на бон и буксировали к самолету. Это "съедало" около 40 минут. Еще час уходил на собственно подвеску мины под мост, установку предохранительных защелок, укладку сахара в разъединитель и прибор малых глубин, пороховых зарядов в </w:t>
      </w:r>
      <w:proofErr w:type="spellStart"/>
      <w:r w:rsidRPr="007122AB">
        <w:rPr>
          <w:rFonts w:ascii="Times New Roman" w:hAnsi="Times New Roman"/>
          <w:color w:val="000000" w:themeColor="text1"/>
          <w:sz w:val="16"/>
          <w:szCs w:val="16"/>
        </w:rPr>
        <w:t>пирозамки</w:t>
      </w:r>
      <w:proofErr w:type="spellEnd"/>
      <w:r w:rsidRPr="007122AB">
        <w:rPr>
          <w:rFonts w:ascii="Times New Roman" w:hAnsi="Times New Roman"/>
          <w:color w:val="000000" w:themeColor="text1"/>
          <w:sz w:val="16"/>
          <w:szCs w:val="16"/>
        </w:rPr>
        <w:t xml:space="preserve"> и вставку дистанционных трубок. Непосредственно перед взлетом снимали предохранительные чеки (их было десять штук) (12002).</w:t>
      </w:r>
    </w:p>
    <w:p w14:paraId="04255D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8A766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2EC22B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FD4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9 и 15 октября 1931. Из протокола заседания Политбюро № 68, 1931 г.</w:t>
      </w:r>
    </w:p>
    <w:p w14:paraId="69E5E3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ходе хлебозаготовок </w:t>
      </w:r>
    </w:p>
    <w:p w14:paraId="33633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Ввиду случаев самовольной отлучки и приезда в Москву некоторых секретарей обкомов и крайкомов, что ЦК считает совершенно недопустимым, предложить секретарям обкомов, крайкомов и национальных ЦК воздержаться от приезда в Москву без ведома и разрешения Политбюро ЦК (11652).</w:t>
      </w:r>
    </w:p>
    <w:p w14:paraId="016FC3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AF0B6A"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октября 1931. На московских улицах появились новые такси коричневой окраски, прибывшие из Америки (18724).</w:t>
      </w:r>
    </w:p>
    <w:p w14:paraId="5155A4A5" w14:textId="77777777" w:rsidR="00FB59EB" w:rsidRPr="007122AB" w:rsidRDefault="00FB59EB" w:rsidP="007122AB">
      <w:pPr>
        <w:spacing w:after="0" w:line="240" w:lineRule="auto"/>
        <w:jc w:val="both"/>
        <w:rPr>
          <w:rFonts w:ascii="Times New Roman" w:hAnsi="Times New Roman"/>
          <w:color w:val="000000" w:themeColor="text1"/>
          <w:sz w:val="16"/>
          <w:szCs w:val="16"/>
        </w:rPr>
      </w:pPr>
    </w:p>
    <w:p w14:paraId="5D9A29A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E3CD21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E54C8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ок</w:t>
      </w:r>
      <w:r w:rsidRPr="007122AB">
        <w:rPr>
          <w:rFonts w:ascii="Times New Roman" w:hAnsi="Times New Roman"/>
          <w:color w:val="000000" w:themeColor="text1"/>
          <w:sz w:val="16"/>
          <w:szCs w:val="16"/>
        </w:rPr>
        <w:softHyphen/>
        <w:t>тября 1931 возобновились полеты в НИИ ВВС И-5 № 18 с двигателем М-15№ 24109, которые начались 30 июля 1931 с М-15 № 6, а 15 августа 1931 г. по причине по</w:t>
      </w:r>
      <w:r w:rsidRPr="007122AB">
        <w:rPr>
          <w:rFonts w:ascii="Times New Roman" w:hAnsi="Times New Roman"/>
          <w:color w:val="000000" w:themeColor="text1"/>
          <w:sz w:val="16"/>
          <w:szCs w:val="16"/>
        </w:rPr>
        <w:softHyphen/>
        <w:t xml:space="preserve">ломки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были прерваны. Через несколько дней самолет потерпел аварию при выполнении вынужденной по</w:t>
      </w:r>
      <w:r w:rsidRPr="007122AB">
        <w:rPr>
          <w:rFonts w:ascii="Times New Roman" w:hAnsi="Times New Roman"/>
          <w:color w:val="000000" w:themeColor="text1"/>
          <w:sz w:val="16"/>
          <w:szCs w:val="16"/>
        </w:rPr>
        <w:softHyphen/>
        <w:t xml:space="preserve">садки. Дальнейшая судьба машины не </w:t>
      </w:r>
      <w:proofErr w:type="spellStart"/>
      <w:r w:rsidRPr="007122AB">
        <w:rPr>
          <w:rFonts w:ascii="Times New Roman" w:hAnsi="Times New Roman"/>
          <w:color w:val="000000" w:themeColor="text1"/>
          <w:sz w:val="16"/>
          <w:szCs w:val="16"/>
        </w:rPr>
        <w:t>просле</w:t>
      </w:r>
      <w:proofErr w:type="spellEnd"/>
      <w:r w:rsidRPr="007122AB">
        <w:rPr>
          <w:rFonts w:ascii="Times New Roman" w:hAnsi="Times New Roman"/>
          <w:color w:val="000000" w:themeColor="text1"/>
          <w:sz w:val="16"/>
          <w:szCs w:val="16"/>
        </w:rPr>
        <w:t xml:space="preserve"> живется, однако из переписки завода №39 известно, что какой-то И-5 с М-15 потерпел аварию и не восстанавливался (вероятно это был И-5 №18).</w:t>
      </w:r>
    </w:p>
    <w:p w14:paraId="159017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смотря на аварию, основные выводы в отношении </w:t>
      </w:r>
      <w:proofErr w:type="spellStart"/>
      <w:r w:rsidRPr="007122AB">
        <w:rPr>
          <w:rFonts w:ascii="Times New Roman" w:hAnsi="Times New Roman"/>
          <w:color w:val="000000" w:themeColor="text1"/>
          <w:sz w:val="16"/>
          <w:szCs w:val="16"/>
        </w:rPr>
        <w:t>испытывавшегося</w:t>
      </w:r>
      <w:proofErr w:type="spellEnd"/>
      <w:r w:rsidRPr="007122AB">
        <w:rPr>
          <w:rFonts w:ascii="Times New Roman" w:hAnsi="Times New Roman"/>
          <w:color w:val="000000" w:themeColor="text1"/>
          <w:sz w:val="16"/>
          <w:szCs w:val="16"/>
        </w:rPr>
        <w:t xml:space="preserve"> самолета были, получены. В частности, указывалось, что се</w:t>
      </w:r>
      <w:r w:rsidRPr="007122AB">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7122AB">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7122AB">
        <w:rPr>
          <w:rFonts w:ascii="Times New Roman" w:hAnsi="Times New Roman"/>
          <w:color w:val="000000" w:themeColor="text1"/>
          <w:sz w:val="16"/>
          <w:szCs w:val="16"/>
        </w:rPr>
        <w:softHyphen/>
        <w:t>ность чуть ниже, чем у второго опытного эк</w:t>
      </w:r>
      <w:r w:rsidRPr="007122AB">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7122AB" w14:paraId="6AF20AE7" w14:textId="77777777">
        <w:tc>
          <w:tcPr>
            <w:tcW w:w="3736" w:type="dxa"/>
            <w:tcBorders>
              <w:top w:val="single" w:sz="12" w:space="0" w:color="auto"/>
            </w:tcBorders>
          </w:tcPr>
          <w:p w14:paraId="53EB09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AC5E5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М-15</w:t>
            </w:r>
          </w:p>
        </w:tc>
        <w:tc>
          <w:tcPr>
            <w:tcW w:w="3736" w:type="dxa"/>
            <w:tcBorders>
              <w:top w:val="single" w:sz="12" w:space="0" w:color="auto"/>
            </w:tcBorders>
          </w:tcPr>
          <w:p w14:paraId="150138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 Ю</w:t>
            </w:r>
            <w:r w:rsidRPr="007122AB">
              <w:rPr>
                <w:rFonts w:ascii="Times New Roman" w:hAnsi="Times New Roman"/>
                <w:color w:val="000000" w:themeColor="text1"/>
                <w:sz w:val="16"/>
                <w:szCs w:val="16"/>
                <w:lang w:val="en-US"/>
              </w:rPr>
              <w:t>-VI</w:t>
            </w:r>
          </w:p>
        </w:tc>
      </w:tr>
      <w:tr w:rsidR="001002C3" w:rsidRPr="007122AB" w14:paraId="42576C14" w14:textId="77777777">
        <w:tc>
          <w:tcPr>
            <w:tcW w:w="3736" w:type="dxa"/>
          </w:tcPr>
          <w:p w14:paraId="62993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на 1000 м (км/ч)</w:t>
            </w:r>
          </w:p>
        </w:tc>
        <w:tc>
          <w:tcPr>
            <w:tcW w:w="3736" w:type="dxa"/>
          </w:tcPr>
          <w:p w14:paraId="2AE7A6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3736" w:type="dxa"/>
          </w:tcPr>
          <w:p w14:paraId="13E48F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w:t>
            </w:r>
          </w:p>
        </w:tc>
      </w:tr>
      <w:tr w:rsidR="001002C3" w:rsidRPr="007122AB" w14:paraId="5D829F3F" w14:textId="77777777">
        <w:tc>
          <w:tcPr>
            <w:tcW w:w="3736" w:type="dxa"/>
            <w:tcBorders>
              <w:bottom w:val="single" w:sz="12" w:space="0" w:color="auto"/>
            </w:tcBorders>
          </w:tcPr>
          <w:p w14:paraId="2EDA04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7CDBFB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4,75</w:t>
            </w:r>
          </w:p>
        </w:tc>
        <w:tc>
          <w:tcPr>
            <w:tcW w:w="3736" w:type="dxa"/>
            <w:tcBorders>
              <w:bottom w:val="single" w:sz="12" w:space="0" w:color="auto"/>
            </w:tcBorders>
          </w:tcPr>
          <w:p w14:paraId="1E592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4,68</w:t>
            </w:r>
          </w:p>
        </w:tc>
      </w:tr>
    </w:tbl>
    <w:p w14:paraId="77242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значительные усилия, потра</w:t>
      </w:r>
      <w:r w:rsidRPr="007122AB">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7122AB">
        <w:rPr>
          <w:rFonts w:ascii="Times New Roman" w:hAnsi="Times New Roman"/>
          <w:color w:val="000000" w:themeColor="text1"/>
          <w:sz w:val="16"/>
          <w:szCs w:val="16"/>
        </w:rPr>
        <w:softHyphen/>
        <w:t>должение работ по его внедрению. Было ре</w:t>
      </w:r>
      <w:r w:rsidRPr="007122AB">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7122AB">
        <w:rPr>
          <w:rFonts w:ascii="Times New Roman" w:hAnsi="Times New Roman"/>
          <w:color w:val="000000" w:themeColor="text1"/>
          <w:sz w:val="16"/>
          <w:szCs w:val="16"/>
        </w:rPr>
        <w:softHyphen/>
        <w:t xml:space="preserve">ября 1931 г.,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41FAD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7E4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октября 1931 И-5 М-15 № 18 вернули на испытания после ремонта, но уже с серийным мотором, новой </w:t>
      </w:r>
      <w:proofErr w:type="spellStart"/>
      <w:r w:rsidRPr="007122AB">
        <w:rPr>
          <w:rFonts w:ascii="Times New Roman" w:hAnsi="Times New Roman"/>
          <w:color w:val="000000" w:themeColor="text1"/>
          <w:sz w:val="16"/>
          <w:szCs w:val="16"/>
        </w:rPr>
        <w:t>моторамой</w:t>
      </w:r>
      <w:proofErr w:type="spellEnd"/>
      <w:r w:rsidRPr="007122AB">
        <w:rPr>
          <w:rFonts w:ascii="Times New Roman" w:hAnsi="Times New Roman"/>
          <w:color w:val="000000" w:themeColor="text1"/>
          <w:sz w:val="16"/>
          <w:szCs w:val="16"/>
        </w:rPr>
        <w:t xml:space="preserve"> и изменённым капотом. Этот двигатель работал лучше предыдущего, но расход масла оставался чрезмерно большим.</w:t>
      </w:r>
    </w:p>
    <w:p w14:paraId="5D357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6716F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781B2B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455ED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w:t>
      </w:r>
      <w:proofErr w:type="spellStart"/>
      <w:r w:rsidRPr="007122AB">
        <w:rPr>
          <w:rFonts w:ascii="Times New Roman" w:hAnsi="Times New Roman"/>
          <w:color w:val="000000" w:themeColor="text1"/>
          <w:sz w:val="16"/>
          <w:szCs w:val="16"/>
        </w:rPr>
        <w:t>кгр</w:t>
      </w:r>
      <w:proofErr w:type="spellEnd"/>
      <w:r w:rsidRPr="007122AB">
        <w:rPr>
          <w:rFonts w:ascii="Times New Roman" w:hAnsi="Times New Roman"/>
          <w:color w:val="000000" w:themeColor="text1"/>
          <w:sz w:val="16"/>
          <w:szCs w:val="16"/>
        </w:rPr>
        <w:t xml:space="preserve">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w:t>
      </w:r>
      <w:proofErr w:type="spellStart"/>
      <w:r w:rsidRPr="007122AB">
        <w:rPr>
          <w:rFonts w:ascii="Times New Roman" w:hAnsi="Times New Roman"/>
          <w:color w:val="000000" w:themeColor="text1"/>
          <w:sz w:val="16"/>
          <w:szCs w:val="16"/>
        </w:rPr>
        <w:t>Хорнету</w:t>
      </w:r>
      <w:proofErr w:type="spellEnd"/>
      <w:r w:rsidRPr="007122AB">
        <w:rPr>
          <w:rFonts w:ascii="Times New Roman" w:hAnsi="Times New Roman"/>
          <w:color w:val="000000" w:themeColor="text1"/>
          <w:sz w:val="16"/>
          <w:szCs w:val="16"/>
        </w:rPr>
        <w:t>"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62AD64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w:t>
      </w:r>
      <w:proofErr w:type="spellStart"/>
      <w:r w:rsidRPr="007122AB">
        <w:rPr>
          <w:rFonts w:ascii="Times New Roman" w:hAnsi="Times New Roman"/>
          <w:color w:val="000000" w:themeColor="text1"/>
          <w:sz w:val="16"/>
          <w:szCs w:val="16"/>
        </w:rPr>
        <w:t>невзаимозаменяемы</w:t>
      </w:r>
      <w:proofErr w:type="spellEnd"/>
      <w:r w:rsidRPr="007122AB">
        <w:rPr>
          <w:rFonts w:ascii="Times New Roman" w:hAnsi="Times New Roman"/>
          <w:color w:val="000000" w:themeColor="text1"/>
          <w:sz w:val="16"/>
          <w:szCs w:val="16"/>
        </w:rPr>
        <w:t>. Всю серию "Б" после предъявления военпред отклонил и потребовал довести её до уровня требований технических условий (11997).</w:t>
      </w:r>
    </w:p>
    <w:p w14:paraId="310142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519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октября 1931 года по рекомендации заведующего инженерным отделом торгпредства СССР в Италии Фрадкина в Севастополь для работы в авиации Черноморского флота прибыли авиационные механики Ф. </w:t>
      </w:r>
      <w:proofErr w:type="spellStart"/>
      <w:r w:rsidRPr="007122AB">
        <w:rPr>
          <w:rFonts w:ascii="Times New Roman" w:hAnsi="Times New Roman"/>
          <w:color w:val="000000" w:themeColor="text1"/>
          <w:sz w:val="16"/>
          <w:szCs w:val="16"/>
        </w:rPr>
        <w:t>Пескатори</w:t>
      </w:r>
      <w:proofErr w:type="spellEnd"/>
      <w:r w:rsidRPr="007122AB">
        <w:rPr>
          <w:rFonts w:ascii="Times New Roman" w:hAnsi="Times New Roman"/>
          <w:color w:val="000000" w:themeColor="text1"/>
          <w:sz w:val="16"/>
          <w:szCs w:val="16"/>
        </w:rPr>
        <w:t xml:space="preserve"> и Т. </w:t>
      </w:r>
      <w:proofErr w:type="spellStart"/>
      <w:r w:rsidRPr="007122AB">
        <w:rPr>
          <w:rFonts w:ascii="Times New Roman" w:hAnsi="Times New Roman"/>
          <w:color w:val="000000" w:themeColor="text1"/>
          <w:sz w:val="16"/>
          <w:szCs w:val="16"/>
        </w:rPr>
        <w:t>Кассоло</w:t>
      </w:r>
      <w:proofErr w:type="spellEnd"/>
      <w:r w:rsidRPr="007122AB">
        <w:rPr>
          <w:rFonts w:ascii="Times New Roman" w:hAnsi="Times New Roman"/>
          <w:color w:val="000000" w:themeColor="text1"/>
          <w:sz w:val="16"/>
          <w:szCs w:val="16"/>
        </w:rPr>
        <w:t xml:space="preserve"> — представители итальянских фирм (АВП РФ. Ф. 098. Д. 569. П. 134. Л. 1—2.). Руководство УВВС Черноморского флота обеспечило им бесплатное питание и проживание, а также выплачивало суточные, правда, весьма скромные — 10 руб. плюс 1 долл. США. Видимо, их деятельность особой пользы не принесла, и от них постарались поскорее избавиться (11173).</w:t>
      </w:r>
    </w:p>
    <w:p w14:paraId="0E3325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3C038D"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8611908"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0A157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октября 1931 г. — Из доклада Военно-химического объединения в Комиссию обороны «О состоянии производства пороха и взрывчатых веществ и перспективах его развития»</w:t>
      </w:r>
    </w:p>
    <w:p w14:paraId="0DE6034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4C1838C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Перспективы развития производства порохов, взрыв[</w:t>
      </w:r>
      <w:proofErr w:type="spellStart"/>
      <w:r w:rsidRPr="007122AB">
        <w:rPr>
          <w:rFonts w:ascii="Times New Roman" w:hAnsi="Times New Roman"/>
          <w:color w:val="000000" w:themeColor="text1"/>
          <w:sz w:val="16"/>
          <w:szCs w:val="16"/>
        </w:rPr>
        <w:t>чатых</w:t>
      </w:r>
      <w:proofErr w:type="spellEnd"/>
      <w:r w:rsidRPr="007122AB">
        <w:rPr>
          <w:rFonts w:ascii="Times New Roman" w:hAnsi="Times New Roman"/>
          <w:color w:val="000000" w:themeColor="text1"/>
          <w:sz w:val="16"/>
          <w:szCs w:val="16"/>
        </w:rPr>
        <w:t>] веществ и снаряжения</w:t>
      </w:r>
    </w:p>
    <w:p w14:paraId="5846BB1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Очередной вариант № 12, выдвигаемый Наркомвоенмором в части подачи огнеприпасов, требует создания следующих производственных мощностей: а) по бездымным порохам — 175 тыс. т; б) по </w:t>
      </w:r>
      <w:proofErr w:type="spellStart"/>
      <w:r w:rsidRPr="007122AB">
        <w:rPr>
          <w:rFonts w:ascii="Times New Roman" w:hAnsi="Times New Roman"/>
          <w:color w:val="000000" w:themeColor="text1"/>
          <w:sz w:val="16"/>
          <w:szCs w:val="16"/>
        </w:rPr>
        <w:t>селитро</w:t>
      </w:r>
      <w:proofErr w:type="spellEnd"/>
      <w:r w:rsidRPr="007122AB">
        <w:rPr>
          <w:rFonts w:ascii="Times New Roman" w:hAnsi="Times New Roman"/>
          <w:color w:val="000000" w:themeColor="text1"/>
          <w:sz w:val="16"/>
          <w:szCs w:val="16"/>
        </w:rPr>
        <w:t>-угольным довескам — 25 тыс. т; в) по взрыв[</w:t>
      </w:r>
      <w:proofErr w:type="spellStart"/>
      <w:r w:rsidRPr="007122AB">
        <w:rPr>
          <w:rFonts w:ascii="Times New Roman" w:hAnsi="Times New Roman"/>
          <w:color w:val="000000" w:themeColor="text1"/>
          <w:sz w:val="16"/>
          <w:szCs w:val="16"/>
        </w:rPr>
        <w:t>чатым</w:t>
      </w:r>
      <w:proofErr w:type="spellEnd"/>
      <w:r w:rsidRPr="007122AB">
        <w:rPr>
          <w:rFonts w:ascii="Times New Roman" w:hAnsi="Times New Roman"/>
          <w:color w:val="000000" w:themeColor="text1"/>
          <w:sz w:val="16"/>
          <w:szCs w:val="16"/>
        </w:rPr>
        <w:t xml:space="preserve">] веществам — 567 тыс. т, в том числе: по </w:t>
      </w:r>
      <w:proofErr w:type="spellStart"/>
      <w:r w:rsidRPr="007122AB">
        <w:rPr>
          <w:rFonts w:ascii="Times New Roman" w:hAnsi="Times New Roman"/>
          <w:color w:val="000000" w:themeColor="text1"/>
          <w:sz w:val="16"/>
          <w:szCs w:val="16"/>
        </w:rPr>
        <w:t>нитроароматическим</w:t>
      </w:r>
      <w:proofErr w:type="spellEnd"/>
      <w:r w:rsidRPr="007122AB">
        <w:rPr>
          <w:rFonts w:ascii="Times New Roman" w:hAnsi="Times New Roman"/>
          <w:color w:val="000000" w:themeColor="text1"/>
          <w:sz w:val="16"/>
          <w:szCs w:val="16"/>
        </w:rPr>
        <w:t xml:space="preserve"> веществам — 195 тыс. т, по аммиачной селитре — 350 тыс. т, по динамитам — 22 тыс. т; г) по снаряжению мощность, обеспечивающая переработку, — 550 тыс. т взрыв[</w:t>
      </w:r>
      <w:proofErr w:type="spellStart"/>
      <w:r w:rsidRPr="007122AB">
        <w:rPr>
          <w:rFonts w:ascii="Times New Roman" w:hAnsi="Times New Roman"/>
          <w:color w:val="000000" w:themeColor="text1"/>
          <w:sz w:val="16"/>
          <w:szCs w:val="16"/>
        </w:rPr>
        <w:t>чатых</w:t>
      </w:r>
      <w:proofErr w:type="spellEnd"/>
      <w:r w:rsidRPr="007122AB">
        <w:rPr>
          <w:rFonts w:ascii="Times New Roman" w:hAnsi="Times New Roman"/>
          <w:color w:val="000000" w:themeColor="text1"/>
          <w:sz w:val="16"/>
          <w:szCs w:val="16"/>
        </w:rPr>
        <w:t>] веществ. По сравнению с вариантом МВ</w:t>
      </w:r>
      <w:r w:rsidRPr="007122AB">
        <w:rPr>
          <w:rFonts w:ascii="Times New Roman" w:hAnsi="Times New Roman"/>
          <w:color w:val="000000" w:themeColor="text1"/>
          <w:sz w:val="16"/>
          <w:szCs w:val="16"/>
        </w:rPr>
        <w:noBreakHyphen/>
        <w:t>10, обеспечение которого будет полностью закончено лишь в середине 1932 г., мощности должны быть увеличены по всем химическим элементам выстрела более чем в 3 раза.</w:t>
      </w:r>
    </w:p>
    <w:p w14:paraId="2C83BC1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 задачи по обеспечению варианта № 12 на основе произведенных к настоящему времени научно-исследовательских, опытных работ и технико-экономических изысканий предлагается следующее:</w:t>
      </w:r>
    </w:p>
    <w:p w14:paraId="54D49A2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По порохам</w:t>
      </w:r>
    </w:p>
    <w:p w14:paraId="7B2B6A9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Наиболее выгодным методом решения задачи по развитию мощности порохов является использование промышленности искусственного волокна (вискоза и нитрошелк).</w:t>
      </w:r>
    </w:p>
    <w:p w14:paraId="4BA41BA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Вискоза. В результате научно-исследовательских и опытных работ к настоящему времени задача технологической ассимиляции вискозного производства с пороховым принципиально разрешена, практически проверена на полузаводской установке, получены винтовочные пороха, испытаны на стойкость и отстрелом; качество порохов удовлетворяет требованиям военного времени, имеются некоторые трудности в технологическом процессе, устранение которых находится в процессе разрешения. Ближайшей задачей в этой области является выяснение возможности получения орудийных порохов.</w:t>
      </w:r>
    </w:p>
    <w:p w14:paraId="71C6EEB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Проведенная по решению Президиума ВСНХ проектная работа по приспособлению Клинской вискозной фабрики на 7 тыс. т порохов показала, что стоимость приспособления вискозного производства на 1 тыс. т пороха определяется суммой в 1 млн. руб. против стоимости 1 тыс. т специального порохового завода 5 млн. руб.</w:t>
      </w:r>
    </w:p>
    <w:p w14:paraId="77C038F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Президиум ВСНХ принял решение начать в текущем году работы по приспособлению Клинской вискозной фабрики к производству порохов мощностью 7 тыс. т и приступить к строительству в 1932 г. 2 вискозных фабрик (одна </w:t>
      </w:r>
      <w:proofErr w:type="spellStart"/>
      <w:r w:rsidRPr="007122AB">
        <w:rPr>
          <w:rFonts w:ascii="Times New Roman" w:hAnsi="Times New Roman"/>
          <w:color w:val="000000" w:themeColor="text1"/>
          <w:sz w:val="16"/>
          <w:szCs w:val="16"/>
        </w:rPr>
        <w:t>вистровая</w:t>
      </w:r>
      <w:proofErr w:type="spellEnd"/>
      <w:r w:rsidRPr="007122AB">
        <w:rPr>
          <w:rFonts w:ascii="Times New Roman" w:hAnsi="Times New Roman"/>
          <w:color w:val="000000" w:themeColor="text1"/>
          <w:sz w:val="16"/>
          <w:szCs w:val="16"/>
        </w:rPr>
        <w:t>, другая шелковая) общей мощностью 20 тыс. т порохов.</w:t>
      </w:r>
    </w:p>
    <w:p w14:paraId="24566A5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Нитрошелк. Использование </w:t>
      </w:r>
      <w:proofErr w:type="spellStart"/>
      <w:r w:rsidRPr="007122AB">
        <w:rPr>
          <w:rFonts w:ascii="Times New Roman" w:hAnsi="Times New Roman"/>
          <w:color w:val="000000" w:themeColor="text1"/>
          <w:sz w:val="16"/>
          <w:szCs w:val="16"/>
        </w:rPr>
        <w:t>нитрошелковых</w:t>
      </w:r>
      <w:proofErr w:type="spellEnd"/>
      <w:r w:rsidRPr="007122AB">
        <w:rPr>
          <w:rFonts w:ascii="Times New Roman" w:hAnsi="Times New Roman"/>
          <w:color w:val="000000" w:themeColor="text1"/>
          <w:sz w:val="16"/>
          <w:szCs w:val="16"/>
        </w:rPr>
        <w:t xml:space="preserve"> заводов для постановки на них порохового производства является наиболее выгодным, с точки зрения технологической и мобилизационной, вариантом ассимиляции порохового производства с мирной промышленностью по следующим соображениям, </w:t>
      </w:r>
      <w:proofErr w:type="spellStart"/>
      <w:r w:rsidRPr="007122AB">
        <w:rPr>
          <w:rFonts w:ascii="Times New Roman" w:hAnsi="Times New Roman"/>
          <w:color w:val="000000" w:themeColor="text1"/>
          <w:sz w:val="16"/>
          <w:szCs w:val="16"/>
        </w:rPr>
        <w:t>нитрошелковое</w:t>
      </w:r>
      <w:proofErr w:type="spellEnd"/>
      <w:r w:rsidRPr="007122AB">
        <w:rPr>
          <w:rFonts w:ascii="Times New Roman" w:hAnsi="Times New Roman"/>
          <w:color w:val="000000" w:themeColor="text1"/>
          <w:sz w:val="16"/>
          <w:szCs w:val="16"/>
        </w:rPr>
        <w:t xml:space="preserve"> производство является по существу законченным пороховым заводом, имеющим в своей основе наиболее трудную часть порохового производства — пироксилиновое, кислотное хозяйство и все прочие обслуживающие подсобные элементы, и требует затрат для приспособления к пороховому производству на 1 тыс. т пороха не более 250 тыс. руб., которые падают на менее ответственные и наиболее легкие и быстро осуществимые фазы производства (резка, </w:t>
      </w:r>
      <w:proofErr w:type="spellStart"/>
      <w:r w:rsidRPr="007122AB">
        <w:rPr>
          <w:rFonts w:ascii="Times New Roman" w:hAnsi="Times New Roman"/>
          <w:color w:val="000000" w:themeColor="text1"/>
          <w:sz w:val="16"/>
          <w:szCs w:val="16"/>
        </w:rPr>
        <w:t>разымка</w:t>
      </w:r>
      <w:proofErr w:type="spellEnd"/>
      <w:r w:rsidRPr="007122AB">
        <w:rPr>
          <w:rFonts w:ascii="Times New Roman" w:hAnsi="Times New Roman"/>
          <w:color w:val="000000" w:themeColor="text1"/>
          <w:sz w:val="16"/>
          <w:szCs w:val="16"/>
        </w:rPr>
        <w:t>, мешка и сушка).</w:t>
      </w:r>
    </w:p>
    <w:p w14:paraId="223998B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отличие от других видов ассимиляции, в том числе и вискозы, к моменту мобилизации будет налицо подготовленный кадр технического персонала и рабочих в полном потребном количестве и освоивших в основном весь технологический процесс производства порохов. Перевод </w:t>
      </w:r>
      <w:proofErr w:type="spellStart"/>
      <w:r w:rsidRPr="007122AB">
        <w:rPr>
          <w:rFonts w:ascii="Times New Roman" w:hAnsi="Times New Roman"/>
          <w:color w:val="000000" w:themeColor="text1"/>
          <w:sz w:val="16"/>
          <w:szCs w:val="16"/>
        </w:rPr>
        <w:t>нитрошелкового</w:t>
      </w:r>
      <w:proofErr w:type="spellEnd"/>
      <w:r w:rsidRPr="007122AB">
        <w:rPr>
          <w:rFonts w:ascii="Times New Roman" w:hAnsi="Times New Roman"/>
          <w:color w:val="000000" w:themeColor="text1"/>
          <w:sz w:val="16"/>
          <w:szCs w:val="16"/>
        </w:rPr>
        <w:t xml:space="preserve"> завода на производство порохов может быть осуществлен немедленно.</w:t>
      </w:r>
    </w:p>
    <w:p w14:paraId="16A5796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Выгодность использования </w:t>
      </w:r>
      <w:proofErr w:type="spellStart"/>
      <w:r w:rsidRPr="007122AB">
        <w:rPr>
          <w:rFonts w:ascii="Times New Roman" w:hAnsi="Times New Roman"/>
          <w:color w:val="000000" w:themeColor="text1"/>
          <w:sz w:val="16"/>
          <w:szCs w:val="16"/>
        </w:rPr>
        <w:t>нитрошелкового</w:t>
      </w:r>
      <w:proofErr w:type="spellEnd"/>
      <w:r w:rsidRPr="007122AB">
        <w:rPr>
          <w:rFonts w:ascii="Times New Roman" w:hAnsi="Times New Roman"/>
          <w:color w:val="000000" w:themeColor="text1"/>
          <w:sz w:val="16"/>
          <w:szCs w:val="16"/>
        </w:rPr>
        <w:t xml:space="preserve"> завода для производства порохов стала наиболее очевидной после того, как опытными работами, осуществленными в 1931 г. на заводе № 40, была установлена возможность получения орудийных порохов (4/1) на прядильных машинах. Недостатком этого вида ассимиляции являлась до настоящего времени высокая стоимость строительства (в 1,5 раза выше вискозного шелка) и себестоимость нитрошелка (25</w:t>
      </w:r>
      <w:r w:rsidRPr="007122AB">
        <w:rPr>
          <w:rFonts w:ascii="Times New Roman" w:hAnsi="Times New Roman"/>
          <w:color w:val="000000" w:themeColor="text1"/>
          <w:sz w:val="16"/>
          <w:szCs w:val="16"/>
        </w:rPr>
        <w:noBreakHyphen/>
        <w:t>30% выше вискозного).</w:t>
      </w:r>
    </w:p>
    <w:p w14:paraId="652F501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Проведенными к настоящему времени опытными работами в Институте волокна достигнуто ускорение скорости прядения почти в 5 раз по сравнению с проектом </w:t>
      </w:r>
      <w:proofErr w:type="spellStart"/>
      <w:r w:rsidRPr="007122AB">
        <w:rPr>
          <w:rFonts w:ascii="Times New Roman" w:hAnsi="Times New Roman"/>
          <w:color w:val="000000" w:themeColor="text1"/>
          <w:sz w:val="16"/>
          <w:szCs w:val="16"/>
        </w:rPr>
        <w:t>нитрошелкового</w:t>
      </w:r>
      <w:proofErr w:type="spellEnd"/>
      <w:r w:rsidRPr="007122AB">
        <w:rPr>
          <w:rFonts w:ascii="Times New Roman" w:hAnsi="Times New Roman"/>
          <w:color w:val="000000" w:themeColor="text1"/>
          <w:sz w:val="16"/>
          <w:szCs w:val="16"/>
        </w:rPr>
        <w:t xml:space="preserve"> завода иностранной фирмы «Стик», что, безусловно, должно значительно удешевить как капитальное строительство, так и себестоимость нитрошелка.</w:t>
      </w:r>
    </w:p>
    <w:p w14:paraId="63205CD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Президиум ВСНХ принял решение приступить в 1932 г. к строительству </w:t>
      </w:r>
      <w:proofErr w:type="spellStart"/>
      <w:r w:rsidRPr="007122AB">
        <w:rPr>
          <w:rFonts w:ascii="Times New Roman" w:hAnsi="Times New Roman"/>
          <w:color w:val="000000" w:themeColor="text1"/>
          <w:sz w:val="16"/>
          <w:szCs w:val="16"/>
        </w:rPr>
        <w:t>нитрошелковой</w:t>
      </w:r>
      <w:proofErr w:type="spellEnd"/>
      <w:r w:rsidRPr="007122AB">
        <w:rPr>
          <w:rFonts w:ascii="Times New Roman" w:hAnsi="Times New Roman"/>
          <w:color w:val="000000" w:themeColor="text1"/>
          <w:sz w:val="16"/>
          <w:szCs w:val="16"/>
        </w:rPr>
        <w:t xml:space="preserve"> фабрики мощностью в 7 тыс. т нитрошелка, что даст в переводе на порох 15</w:t>
      </w:r>
      <w:r w:rsidRPr="007122AB">
        <w:rPr>
          <w:rFonts w:ascii="Times New Roman" w:hAnsi="Times New Roman"/>
          <w:color w:val="000000" w:themeColor="text1"/>
          <w:sz w:val="16"/>
          <w:szCs w:val="16"/>
        </w:rPr>
        <w:noBreakHyphen/>
        <w:t>16 тыс. т пороха.</w:t>
      </w:r>
    </w:p>
    <w:p w14:paraId="6B979AA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Нитроглицериновые пороха. Недостатком в использовании промышленности искусственного волокна для производства порохов до настоящего времени является невозможность получения на их базе всех марок порохов (для орудий среднего и крупного калибров), в силу чего, наряду с использованием вискозы и нитрошелка, является необходимым в целях обеспечения варианта № 12 строительство специального порохового завода с наименьшим количеством затрат и наиболее выгодной формой использования его для производства изделий мирного назначения. Таким специальным пороховым заводом является завод нитроглицериновых порохов, спроектированный с учетом изготовления на нем в мирное время разного рода изделий (динамиты, пластические массы, лаки, целлулоид и т. д.).</w:t>
      </w:r>
    </w:p>
    <w:p w14:paraId="3215932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проведенных опытных работ, проверенных на заводской установке (завод им. Морозова, мощность 350 т), установлено, что нитроглицериновые пороха по своему качеству не хуже пироксилиновых, а по мощности превосходящие их. Себестоимость пороха на 20% дешевле пироксилинового, а капиталовложения при постройке завода нитроглицериновых порохов в 2 раза меньше, чем завода пироксилиновых порохов (2,5 млн. руб. вместо 5 млн. руб. на 1 тыс. т пороха).</w:t>
      </w:r>
    </w:p>
    <w:p w14:paraId="00BAEA8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значительно меньших капиталовложениях в абсолютном выражении, чем при нитрошелке, невыгодность этого способа заключается в большем омертвлении капитала в мирное время, чем при </w:t>
      </w:r>
      <w:proofErr w:type="spellStart"/>
      <w:r w:rsidRPr="007122AB">
        <w:rPr>
          <w:rFonts w:ascii="Times New Roman" w:hAnsi="Times New Roman"/>
          <w:color w:val="000000" w:themeColor="text1"/>
          <w:sz w:val="16"/>
          <w:szCs w:val="16"/>
        </w:rPr>
        <w:t>нитрошелковом</w:t>
      </w:r>
      <w:proofErr w:type="spellEnd"/>
      <w:r w:rsidRPr="007122AB">
        <w:rPr>
          <w:rFonts w:ascii="Times New Roman" w:hAnsi="Times New Roman"/>
          <w:color w:val="000000" w:themeColor="text1"/>
          <w:sz w:val="16"/>
          <w:szCs w:val="16"/>
        </w:rPr>
        <w:t xml:space="preserve"> заводе. Размер омертвления капитала зависит от тщательности и всесторонности проработки вопросов ассимиляции этого завода с мирными изделиями.</w:t>
      </w:r>
    </w:p>
    <w:p w14:paraId="1DC5039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 взрывчатым веществам</w:t>
      </w:r>
    </w:p>
    <w:p w14:paraId="2A27353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Использование гражданской промышленности для получения взрывчатых веществ ограничивается получением аммиачной селитры во всем потребном количестве (350 тыс. т) </w:t>
      </w:r>
      <w:proofErr w:type="spellStart"/>
      <w:r w:rsidRPr="007122AB">
        <w:rPr>
          <w:rFonts w:ascii="Times New Roman" w:hAnsi="Times New Roman"/>
          <w:color w:val="000000" w:themeColor="text1"/>
          <w:sz w:val="16"/>
          <w:szCs w:val="16"/>
        </w:rPr>
        <w:t>динитронафталина</w:t>
      </w:r>
      <w:proofErr w:type="spellEnd"/>
      <w:r w:rsidRPr="007122AB">
        <w:rPr>
          <w:rFonts w:ascii="Times New Roman" w:hAnsi="Times New Roman"/>
          <w:color w:val="000000" w:themeColor="text1"/>
          <w:sz w:val="16"/>
          <w:szCs w:val="16"/>
        </w:rPr>
        <w:t xml:space="preserve"> на базе </w:t>
      </w:r>
      <w:proofErr w:type="spellStart"/>
      <w:r w:rsidRPr="007122AB">
        <w:rPr>
          <w:rFonts w:ascii="Times New Roman" w:hAnsi="Times New Roman"/>
          <w:color w:val="000000" w:themeColor="text1"/>
          <w:sz w:val="16"/>
          <w:szCs w:val="16"/>
        </w:rPr>
        <w:t>анилокрасочной</w:t>
      </w:r>
      <w:proofErr w:type="spellEnd"/>
      <w:r w:rsidRPr="007122AB">
        <w:rPr>
          <w:rFonts w:ascii="Times New Roman" w:hAnsi="Times New Roman"/>
          <w:color w:val="000000" w:themeColor="text1"/>
          <w:sz w:val="16"/>
          <w:szCs w:val="16"/>
        </w:rPr>
        <w:t xml:space="preserve"> промышленности и в незначительной степени мелинита. Все остальные взрывчатые вещества (тротил, тетрил, мелинит, тэн, гексоген) требуют специального оборонного строительства почти с полным омертвлением капитала в мирное время.</w:t>
      </w:r>
    </w:p>
    <w:p w14:paraId="3D32166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целях сведения омертвления капитала к минимально возможным размерам в условиях мирного времени наиболее выгодным методом строительства этих специальных заводов являются строительства их в хозяйственной комбинации кислотно-тукового производства на общей хозяйственной и энергетической базе, что даст удешевление строительства в несколько раз. Такими точками для строительства специальных установок взрывчатых веществ могут быть </w:t>
      </w:r>
      <w:proofErr w:type="spellStart"/>
      <w:r w:rsidRPr="007122AB">
        <w:rPr>
          <w:rFonts w:ascii="Times New Roman" w:hAnsi="Times New Roman"/>
          <w:color w:val="000000" w:themeColor="text1"/>
          <w:sz w:val="16"/>
          <w:szCs w:val="16"/>
        </w:rPr>
        <w:t>Бобриковский</w:t>
      </w:r>
      <w:proofErr w:type="spellEnd"/>
      <w:r w:rsidRPr="007122AB">
        <w:rPr>
          <w:rFonts w:ascii="Times New Roman" w:hAnsi="Times New Roman"/>
          <w:color w:val="000000" w:themeColor="text1"/>
          <w:sz w:val="16"/>
          <w:szCs w:val="16"/>
        </w:rPr>
        <w:t xml:space="preserve"> химкомбинат, Горловский, Березники, Магнитогорск, Кемерово.</w:t>
      </w:r>
    </w:p>
    <w:p w14:paraId="45932AB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 снаряжению</w:t>
      </w:r>
    </w:p>
    <w:p w14:paraId="39DA081E"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Удовлетворение варианта № 12 требует строительства двух гигантских снаряжательных заводов мощностью по переработке 200 тыс. т взрывчатых веществ каждый, со своим капсюльным и детонаторным производством. Ориентировочная стоимость каждого из этих заводов — до 30 млн. руб.</w:t>
      </w:r>
    </w:p>
    <w:p w14:paraId="7C7640BC"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Географическое размещение существующих снаряжательных заводов, обеспечивающих в основном снаряжение корпусов снаряда юга, центра и северо-западной области, диктует необходимость расположить один из этих заводов на Урале, где имеется большая производственная база по корпусам снарядов и в перспективе намечается развертывание производства взрывчатых веществ. К строительству Уральского снаряжательного завода должно быть приступлено уже в 1932 г. с окончанием его в 1933 г.</w:t>
      </w:r>
    </w:p>
    <w:p w14:paraId="5F9E6455"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Исходя из ближайшей перспективы развития сырьевой базы (аммиак, серная кислота, азотная кислота, толуол, бензол и т. д.) и учитывая громадный фактический объем работ и подготовленность к их осуществлению в части проектирования, осуществление варианта № 12 по времени намечается к началу 1935 г. со следующей очередностью²*: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64"/>
        <w:gridCol w:w="1051"/>
        <w:gridCol w:w="1055"/>
        <w:gridCol w:w="849"/>
        <w:gridCol w:w="1157"/>
        <w:gridCol w:w="1051"/>
        <w:gridCol w:w="895"/>
      </w:tblGrid>
      <w:tr w:rsidR="001002C3" w:rsidRPr="007122AB" w14:paraId="1BDB5B6E"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A7BEA6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CE70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p w14:paraId="5B9807C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МВ</w:t>
            </w:r>
            <w:r w:rsidRPr="007122AB">
              <w:rPr>
                <w:rFonts w:ascii="Times New Roman" w:hAnsi="Times New Roman"/>
                <w:color w:val="000000" w:themeColor="text1"/>
                <w:sz w:val="16"/>
                <w:szCs w:val="16"/>
              </w:rPr>
              <w:noBreakHyphen/>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506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Требуемая</w:t>
            </w:r>
          </w:p>
          <w:p w14:paraId="336B997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p w14:paraId="41EA55C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w:t>
            </w:r>
            <w:proofErr w:type="spellStart"/>
            <w:r w:rsidRPr="007122AB">
              <w:rPr>
                <w:rFonts w:ascii="Times New Roman" w:hAnsi="Times New Roman"/>
                <w:color w:val="000000" w:themeColor="text1"/>
                <w:sz w:val="16"/>
                <w:szCs w:val="16"/>
              </w:rPr>
              <w:t>ианта</w:t>
            </w:r>
            <w:proofErr w:type="spellEnd"/>
            <w:r w:rsidRPr="007122AB">
              <w:rPr>
                <w:rFonts w:ascii="Times New Roman" w:hAnsi="Times New Roman"/>
                <w:color w:val="000000" w:themeColor="text1"/>
                <w:sz w:val="16"/>
                <w:szCs w:val="16"/>
              </w:rPr>
              <w:t>]</w:t>
            </w:r>
          </w:p>
          <w:p w14:paraId="55EA537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ECB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Прирост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5B2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w:t>
            </w:r>
          </w:p>
          <w:p w14:paraId="7F16D5F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стоимость</w:t>
            </w:r>
          </w:p>
          <w:p w14:paraId="2A1C173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прироста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262F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w:t>
            </w:r>
          </w:p>
          <w:p w14:paraId="608C092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8126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началу</w:t>
            </w:r>
          </w:p>
          <w:p w14:paraId="22F7EA1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1935 г.</w:t>
            </w:r>
          </w:p>
        </w:tc>
      </w:tr>
      <w:tr w:rsidR="001002C3" w:rsidRPr="007122AB" w14:paraId="01AAAE63" w14:textId="77777777" w:rsidTr="004F5DFE">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494F48D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Пороха</w:t>
            </w:r>
          </w:p>
        </w:tc>
      </w:tr>
      <w:tr w:rsidR="001002C3" w:rsidRPr="007122AB" w14:paraId="416C1E67"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BF0C19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Пироксилиновый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07FF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A5F6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B730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01F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F822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A32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60 000</w:t>
            </w:r>
          </w:p>
        </w:tc>
      </w:tr>
      <w:tr w:rsidR="001002C3" w:rsidRPr="007122AB" w14:paraId="4514545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BD7212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Нитроглицериновый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060F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9E6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918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41C2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6AD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7AB5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50 000</w:t>
            </w:r>
          </w:p>
        </w:tc>
      </w:tr>
      <w:tr w:rsidR="001002C3" w:rsidRPr="007122AB" w14:paraId="169D5BF8"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7F34DA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Вискозный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6587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409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4063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F8DF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67E6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CBD7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47 000</w:t>
            </w:r>
          </w:p>
        </w:tc>
      </w:tr>
      <w:tr w:rsidR="001002C3" w:rsidRPr="007122AB" w14:paraId="04FEB8E3"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DDDF57D" w14:textId="77777777" w:rsidR="003371BD" w:rsidRPr="007122AB" w:rsidRDefault="003371B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Нитроцелл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юлозный</w:t>
            </w:r>
            <w:proofErr w:type="spellEnd"/>
            <w:r w:rsidRPr="007122AB">
              <w:rPr>
                <w:rFonts w:ascii="Times New Roman" w:hAnsi="Times New Roman"/>
                <w:color w:val="000000" w:themeColor="text1"/>
                <w:sz w:val="16"/>
                <w:szCs w:val="16"/>
              </w:rPr>
              <w:t>]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7F5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44E7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4329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54CC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04A2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AD4B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15 000</w:t>
            </w:r>
          </w:p>
        </w:tc>
      </w:tr>
      <w:tr w:rsidR="001002C3" w:rsidRPr="007122AB" w14:paraId="1B9A760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B0798A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...³*-угольные </w:t>
            </w:r>
            <w:proofErr w:type="spellStart"/>
            <w:r w:rsidRPr="007122AB">
              <w:rPr>
                <w:rFonts w:ascii="Times New Roman" w:hAnsi="Times New Roman"/>
                <w:color w:val="000000" w:themeColor="text1"/>
                <w:sz w:val="16"/>
                <w:szCs w:val="16"/>
              </w:rPr>
              <w:t>дов</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ески</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7533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0796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AAD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C604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5844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F8D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25 000</w:t>
            </w:r>
          </w:p>
        </w:tc>
      </w:tr>
      <w:tr w:rsidR="001002C3" w:rsidRPr="007122AB" w14:paraId="58D8726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FAD975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порохам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FCE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1B2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6D2C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C81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423 000 000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9DA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DE93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197 000</w:t>
            </w:r>
          </w:p>
        </w:tc>
      </w:tr>
      <w:tr w:rsidR="001002C3" w:rsidRPr="007122AB" w14:paraId="56F51A54" w14:textId="77777777" w:rsidTr="004F5DFE">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2AA366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Взрыв[</w:t>
            </w:r>
            <w:proofErr w:type="spellStart"/>
            <w:r w:rsidRPr="007122AB">
              <w:rPr>
                <w:rStyle w:val="a7"/>
                <w:rFonts w:ascii="Times New Roman" w:hAnsi="Times New Roman"/>
                <w:b w:val="0"/>
                <w:color w:val="000000" w:themeColor="text1"/>
                <w:sz w:val="16"/>
                <w:szCs w:val="16"/>
              </w:rPr>
              <w:t>чатые</w:t>
            </w:r>
            <w:proofErr w:type="spellEnd"/>
            <w:r w:rsidRPr="007122AB">
              <w:rPr>
                <w:rStyle w:val="a7"/>
                <w:rFonts w:ascii="Times New Roman" w:hAnsi="Times New Roman"/>
                <w:b w:val="0"/>
                <w:color w:val="000000" w:themeColor="text1"/>
                <w:sz w:val="16"/>
                <w:szCs w:val="16"/>
              </w:rPr>
              <w:t>] вещества</w:t>
            </w:r>
          </w:p>
        </w:tc>
      </w:tr>
      <w:tr w:rsidR="001002C3" w:rsidRPr="007122AB" w14:paraId="4F2A434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FFE25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BA5B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ED9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5BBD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2E63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79D8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34F6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65 000</w:t>
            </w:r>
          </w:p>
        </w:tc>
      </w:tr>
      <w:tr w:rsidR="001002C3" w:rsidRPr="007122AB" w14:paraId="584EBF32"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364472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956E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82300"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A89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790C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A200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B581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70 000</w:t>
            </w:r>
          </w:p>
        </w:tc>
      </w:tr>
      <w:tr w:rsidR="001002C3" w:rsidRPr="007122AB" w14:paraId="37545C1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009C963" w14:textId="77777777" w:rsidR="003371BD" w:rsidRPr="007122AB" w:rsidRDefault="003371B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Динитронафталин</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27FCE3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688A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5D19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7C83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968D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893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25 000</w:t>
            </w:r>
          </w:p>
        </w:tc>
      </w:tr>
      <w:tr w:rsidR="001002C3" w:rsidRPr="007122AB" w14:paraId="0C1B0B4C"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A5DEB25" w14:textId="77777777" w:rsidR="003371BD" w:rsidRPr="007122AB" w:rsidRDefault="003371B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Ксилил</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012CFE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E5BC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3EE7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FE06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EBA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0E2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15 000</w:t>
            </w:r>
          </w:p>
        </w:tc>
      </w:tr>
      <w:tr w:rsidR="001002C3" w:rsidRPr="007122AB" w14:paraId="31DCA17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48D125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Новые взрыв[</w:t>
            </w:r>
            <w:proofErr w:type="spellStart"/>
            <w:r w:rsidRPr="007122AB">
              <w:rPr>
                <w:rFonts w:ascii="Times New Roman" w:hAnsi="Times New Roman"/>
                <w:color w:val="000000" w:themeColor="text1"/>
                <w:sz w:val="16"/>
                <w:szCs w:val="16"/>
              </w:rPr>
              <w:t>чатые</w:t>
            </w:r>
            <w:proofErr w:type="spellEnd"/>
            <w:r w:rsidRPr="007122AB">
              <w:rPr>
                <w:rFonts w:ascii="Times New Roman" w:hAnsi="Times New Roman"/>
                <w:color w:val="000000" w:themeColor="text1"/>
                <w:sz w:val="16"/>
                <w:szCs w:val="16"/>
              </w:rPr>
              <w:t>]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5622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2739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A2FE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C205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23DC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95C7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r>
      <w:tr w:rsidR="001002C3" w:rsidRPr="007122AB" w14:paraId="0C099EA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82B051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Взрывчатые вещества </w:t>
            </w:r>
            <w:proofErr w:type="spellStart"/>
            <w:r w:rsidRPr="007122AB">
              <w:rPr>
                <w:rFonts w:ascii="Times New Roman" w:hAnsi="Times New Roman"/>
                <w:color w:val="000000" w:themeColor="text1"/>
                <w:sz w:val="16"/>
                <w:szCs w:val="16"/>
              </w:rPr>
              <w:t>нитро</w:t>
            </w:r>
            <w:r w:rsidRPr="007122AB">
              <w:rPr>
                <w:rFonts w:ascii="Times New Roman" w:hAnsi="Times New Roman"/>
                <w:color w:val="000000" w:themeColor="text1"/>
                <w:sz w:val="16"/>
                <w:szCs w:val="16"/>
              </w:rPr>
              <w:softHyphen/>
              <w:t>гл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ицеринового</w:t>
            </w:r>
            <w:proofErr w:type="spellEnd"/>
            <w:r w:rsidRPr="007122AB">
              <w:rPr>
                <w:rFonts w:ascii="Times New Roman" w:hAnsi="Times New Roman"/>
                <w:color w:val="000000" w:themeColor="text1"/>
                <w:sz w:val="16"/>
                <w:szCs w:val="16"/>
              </w:rPr>
              <w:t>] пор[</w:t>
            </w:r>
            <w:proofErr w:type="spellStart"/>
            <w:r w:rsidRPr="007122AB">
              <w:rPr>
                <w:rFonts w:ascii="Times New Roman" w:hAnsi="Times New Roman"/>
                <w:color w:val="000000" w:themeColor="text1"/>
                <w:sz w:val="16"/>
                <w:szCs w:val="16"/>
              </w:rPr>
              <w:t>оха</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FC376"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5A0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BFE4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5E34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DB2B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E546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12 000</w:t>
            </w:r>
          </w:p>
        </w:tc>
      </w:tr>
      <w:tr w:rsidR="001002C3" w:rsidRPr="007122AB" w14:paraId="44F677D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819652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Тетрил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B8C1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749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D3E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EE9C"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CA367"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59E5"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r>
      <w:tr w:rsidR="001002C3" w:rsidRPr="007122AB" w14:paraId="6452317E"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E6132A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Итого по взрыв[</w:t>
            </w:r>
            <w:proofErr w:type="spellStart"/>
            <w:r w:rsidRPr="007122AB">
              <w:rPr>
                <w:rFonts w:ascii="Times New Roman" w:hAnsi="Times New Roman"/>
                <w:color w:val="000000" w:themeColor="text1"/>
                <w:sz w:val="16"/>
                <w:szCs w:val="16"/>
              </w:rPr>
              <w:t>чатым</w:t>
            </w:r>
            <w:proofErr w:type="spellEnd"/>
            <w:r w:rsidRPr="007122AB">
              <w:rPr>
                <w:rFonts w:ascii="Times New Roman" w:hAnsi="Times New Roman"/>
                <w:color w:val="000000" w:themeColor="text1"/>
                <w:sz w:val="16"/>
                <w:szCs w:val="16"/>
              </w:rPr>
              <w:t>] веществам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1E51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D5A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A5A03"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BDF9B"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E383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E857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195 000</w:t>
            </w:r>
          </w:p>
        </w:tc>
      </w:tr>
    </w:tbl>
    <w:p w14:paraId="404188C3"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rPr>
        <w:t xml:space="preserve">Приведенный выше порядок удовлетворения варианта № 12 требует осуществления следующих мероприятий: 1. Немедленного приступа к проектированию завода </w:t>
      </w:r>
      <w:proofErr w:type="spellStart"/>
      <w:r w:rsidRPr="007122AB">
        <w:rPr>
          <w:color w:val="000000" w:themeColor="text1"/>
          <w:sz w:val="16"/>
          <w:szCs w:val="16"/>
        </w:rPr>
        <w:t>нитрошелковых</w:t>
      </w:r>
      <w:proofErr w:type="spellEnd"/>
      <w:r w:rsidRPr="007122AB">
        <w:rPr>
          <w:color w:val="000000" w:themeColor="text1"/>
          <w:sz w:val="16"/>
          <w:szCs w:val="16"/>
        </w:rPr>
        <w:t xml:space="preserve"> порохов на 15 тыс. т, двух вискозных — на 20 тыс. т порохов, с началом строительства их в 1932 г. и полным окончанием в середине 1933 г. 2. Немедленного приступа к проектированию заводов: тротила — на 16 тыс. т, мелинита — на 14 тыс. т, </w:t>
      </w:r>
      <w:proofErr w:type="spellStart"/>
      <w:r w:rsidRPr="007122AB">
        <w:rPr>
          <w:color w:val="000000" w:themeColor="text1"/>
          <w:sz w:val="16"/>
          <w:szCs w:val="16"/>
        </w:rPr>
        <w:t>динитронафталина</w:t>
      </w:r>
      <w:proofErr w:type="spellEnd"/>
      <w:r w:rsidRPr="007122AB">
        <w:rPr>
          <w:color w:val="000000" w:themeColor="text1"/>
          <w:sz w:val="16"/>
          <w:szCs w:val="16"/>
        </w:rPr>
        <w:t xml:space="preserve"> — 5 тыс. т, с началом строительства в 1932 г. и окончанием в середине 1933 г. 3. Немедленного приступа к разработке </w:t>
      </w:r>
      <w:proofErr w:type="spellStart"/>
      <w:r w:rsidRPr="007122AB">
        <w:rPr>
          <w:color w:val="000000" w:themeColor="text1"/>
          <w:sz w:val="16"/>
          <w:szCs w:val="16"/>
        </w:rPr>
        <w:t>промзадания</w:t>
      </w:r>
      <w:proofErr w:type="spellEnd"/>
      <w:r w:rsidRPr="007122AB">
        <w:rPr>
          <w:color w:val="000000" w:themeColor="text1"/>
          <w:sz w:val="16"/>
          <w:szCs w:val="16"/>
        </w:rPr>
        <w:t xml:space="preserve"> для проектирования снаряжательного завода; начало строительства — в 1932 г., окончание — в середине 1933 г. 4. Организации проектирования большого завода нитроглицериновых порохов мощностью в 40 тыс. т с учетом его ассимиляции с мирными изделиями. Начало строительства — в 1933 г., окончание — к весне 1935 г. 5. Пересмотра плана развития отдельных производств химической промышленности с целью выявления наиболее выгодного варианта сочетания военных и мирных производств как в количественном отношении, так и в части географического расположения. 6. Немедленного усиления научно-исследовательских и опытных работ в части ассимиляции порохов и взрывчатых веществ в Военно-химическом институте </w:t>
      </w:r>
      <w:proofErr w:type="spellStart"/>
      <w:r w:rsidRPr="007122AB">
        <w:rPr>
          <w:color w:val="000000" w:themeColor="text1"/>
          <w:sz w:val="16"/>
          <w:szCs w:val="16"/>
        </w:rPr>
        <w:t>Вохимобъединения</w:t>
      </w:r>
      <w:proofErr w:type="spellEnd"/>
      <w:r w:rsidRPr="007122AB">
        <w:rPr>
          <w:color w:val="000000" w:themeColor="text1"/>
          <w:sz w:val="16"/>
          <w:szCs w:val="16"/>
        </w:rPr>
        <w:t xml:space="preserve">, для чего необходимо усилить последний группой крупных гражданских специалистов соответствующих специальностей. 7. Решительно усилить проектирующие организации </w:t>
      </w:r>
      <w:proofErr w:type="spellStart"/>
      <w:r w:rsidRPr="007122AB">
        <w:rPr>
          <w:color w:val="000000" w:themeColor="text1"/>
          <w:sz w:val="16"/>
          <w:szCs w:val="16"/>
        </w:rPr>
        <w:t>Вохимобъединения</w:t>
      </w:r>
      <w:proofErr w:type="spellEnd"/>
      <w:r w:rsidRPr="007122AB">
        <w:rPr>
          <w:color w:val="000000" w:themeColor="text1"/>
          <w:sz w:val="16"/>
          <w:szCs w:val="16"/>
        </w:rPr>
        <w:t xml:space="preserve"> и </w:t>
      </w:r>
      <w:proofErr w:type="spellStart"/>
      <w:r w:rsidRPr="007122AB">
        <w:rPr>
          <w:color w:val="000000" w:themeColor="text1"/>
          <w:sz w:val="16"/>
          <w:szCs w:val="16"/>
        </w:rPr>
        <w:t>ВОИВа</w:t>
      </w:r>
      <w:proofErr w:type="spellEnd"/>
      <w:r w:rsidRPr="007122AB">
        <w:rPr>
          <w:color w:val="000000" w:themeColor="text1"/>
          <w:sz w:val="16"/>
          <w:szCs w:val="16"/>
        </w:rPr>
        <w:t>. Организовать посылку за границу группы специалистов для изучения производства искусственного волокна, нитроглицериновых порохов и взрывчатых веществ, а также обеспечить привлечение группы иностранных специалистов на работу в проектирующих организациях. 8. Пересмотреть количественный контингент учащихся во втузах по специальностям военно-химических производств и искусственного волокна в сторону его значительного увеличения, а также коренным образом пересмотреть учебные планы этих втузов с целью обеспечения в них элементов ассимиляции.</w:t>
      </w:r>
    </w:p>
    <w:p w14:paraId="2D288073" w14:textId="77777777" w:rsidR="003371BD" w:rsidRPr="007122AB" w:rsidRDefault="003371BD" w:rsidP="007122AB">
      <w:pPr>
        <w:pStyle w:val="ae"/>
        <w:spacing w:before="0" w:after="0"/>
        <w:jc w:val="both"/>
        <w:rPr>
          <w:color w:val="000000" w:themeColor="text1"/>
          <w:sz w:val="16"/>
          <w:szCs w:val="16"/>
        </w:rPr>
      </w:pPr>
      <w:r w:rsidRPr="007122AB">
        <w:rPr>
          <w:rStyle w:val="af0"/>
          <w:i w:val="0"/>
          <w:color w:val="000000" w:themeColor="text1"/>
          <w:sz w:val="16"/>
          <w:szCs w:val="16"/>
        </w:rPr>
        <w:t>Начальник Военно-химического объединения ВСНХ СССР Котт</w:t>
      </w:r>
    </w:p>
    <w:p w14:paraId="05D48CEE" w14:textId="77777777" w:rsidR="003371BD" w:rsidRPr="007122AB" w:rsidRDefault="003371BD"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462F2F12"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Опущены разделы: «Состояние производства и выполнение текущих заказов», «Обеспечение МВ</w:t>
      </w:r>
      <w:r w:rsidRPr="007122AB">
        <w:rPr>
          <w:color w:val="000000" w:themeColor="text1"/>
          <w:sz w:val="16"/>
          <w:szCs w:val="16"/>
        </w:rPr>
        <w:noBreakHyphen/>
        <w:t>10 и капитальное строительство текущего года».</w:t>
      </w:r>
    </w:p>
    <w:p w14:paraId="1B2DB09D"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1. Расчет стоимости по взрывчатым веществам взят ориентировочно, при условии постройки их при туковых комбинатах (без стоимости паросилового хозяйства и кислот). 2.350 тыс. т аммиачной селитры обеспечиваются в соответствующие годы планом развития туковой промышленности (</w:t>
      </w:r>
      <w:r w:rsidRPr="007122AB">
        <w:rPr>
          <w:rStyle w:val="af0"/>
          <w:i w:val="0"/>
          <w:color w:val="000000" w:themeColor="text1"/>
          <w:sz w:val="16"/>
          <w:szCs w:val="16"/>
        </w:rPr>
        <w:t>Прим. док</w:t>
      </w:r>
      <w:r w:rsidRPr="007122AB">
        <w:rPr>
          <w:color w:val="000000" w:themeColor="text1"/>
          <w:sz w:val="16"/>
          <w:szCs w:val="16"/>
        </w:rPr>
        <w:t>.).</w:t>
      </w:r>
    </w:p>
    <w:p w14:paraId="42DD402A" w14:textId="77777777" w:rsidR="003371BD" w:rsidRPr="007122AB" w:rsidRDefault="003371BD"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Текст поврежден</w:t>
      </w:r>
    </w:p>
    <w:p w14:paraId="3CF36FE3" w14:textId="77777777" w:rsidR="003371BD" w:rsidRPr="007122AB" w:rsidRDefault="003371BD" w:rsidP="007122AB">
      <w:pPr>
        <w:pStyle w:val="ae"/>
        <w:spacing w:before="0" w:after="0"/>
        <w:jc w:val="both"/>
        <w:rPr>
          <w:color w:val="000000" w:themeColor="text1"/>
          <w:sz w:val="16"/>
          <w:szCs w:val="16"/>
        </w:rPr>
      </w:pPr>
      <w:r w:rsidRPr="007122AB">
        <w:rPr>
          <w:color w:val="000000" w:themeColor="text1"/>
          <w:sz w:val="16"/>
          <w:szCs w:val="16"/>
        </w:rPr>
        <w:t>ГА РФ. Ф. Р-8418. Оп. 5. Д. 30. Л. 74—82. Подлинник.</w:t>
      </w:r>
    </w:p>
    <w:p w14:paraId="62182F2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5. Д. 30. Л. 74—82. Подлинник. </w:t>
      </w:r>
    </w:p>
    <w:p w14:paraId="54D4F2C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Собрание узаконений и распоряжений правительства за 1917—1918 гг. Управление делами Совнаркома СССР М. 1942, стр. 568-572 (12536).</w:t>
      </w:r>
    </w:p>
    <w:p w14:paraId="0871DA4A"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12D00C3F" w14:textId="77777777" w:rsidR="00AD4FAD" w:rsidRPr="007122AB" w:rsidRDefault="00AD4FAD"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октября 1931 г. изготовленные в СКБ-6 ХПЗ двухбашенные танки БТ осматривали М. Тухачевский и </w:t>
      </w:r>
      <w:proofErr w:type="spellStart"/>
      <w:r w:rsidRPr="007122AB">
        <w:rPr>
          <w:rFonts w:ascii="Times New Roman" w:hAnsi="Times New Roman"/>
          <w:color w:val="000000" w:themeColor="text1"/>
          <w:sz w:val="16"/>
          <w:szCs w:val="16"/>
        </w:rPr>
        <w:t>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Через неделю один танк передали для испытаний обстрелом из винтовки и станкового пулемета новыми бронебойными пулями образца 1930 г. Танк успешно выдержал три обстрела, а чуть позднее два танка совершили пробег Харьков–Москва и один из них участвовал в параде на Красной площади 7 ноября 1931 г. вместе с первым полноценным танком БТ-2, несшим бутафорскую башню и макет пушки (15735).</w:t>
      </w:r>
    </w:p>
    <w:p w14:paraId="52728BAD" w14:textId="77777777" w:rsidR="00AD4FAD" w:rsidRPr="007122AB" w:rsidRDefault="00BE7680"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AD4FAD" w:rsidRPr="007122AB">
        <w:rPr>
          <w:rFonts w:ascii="Times New Roman" w:hAnsi="Times New Roman"/>
          <w:color w:val="000000" w:themeColor="text1"/>
          <w:sz w:val="16"/>
          <w:szCs w:val="16"/>
        </w:rPr>
        <w:instrText xml:space="preserve"> HYPERLINK "https://img-fotki.yandex.ru/get/26001/5684310.ab/0_151145_cbd7aa58_orig.jpg" \t "_blank"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p>
    <w:p w14:paraId="0F654DEF" w14:textId="77777777" w:rsidR="005C4849" w:rsidRPr="007122AB" w:rsidRDefault="00BE768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color w:val="000000" w:themeColor="text1"/>
          <w:sz w:val="16"/>
          <w:szCs w:val="16"/>
        </w:rPr>
        <w:fldChar w:fldCharType="end"/>
      </w:r>
      <w:r w:rsidR="00874B1E" w:rsidRPr="007122AB">
        <w:rPr>
          <w:rFonts w:ascii="Times New Roman" w:hAnsi="Times New Roman"/>
          <w:i/>
          <w:iCs/>
          <w:color w:val="000000" w:themeColor="text1"/>
          <w:sz w:val="16"/>
          <w:szCs w:val="16"/>
        </w:rPr>
        <w:t>Жизнь и внутренняя политика:</w:t>
      </w:r>
    </w:p>
    <w:p w14:paraId="3C6B746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5CB4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октября 1931 было принято решение о полной ликвидации частной торговли (3908,336).</w:t>
      </w:r>
    </w:p>
    <w:p w14:paraId="5C738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288DFA"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октября 1931. Постановление о полной ликвидации частной торговли (18724).</w:t>
      </w:r>
    </w:p>
    <w:p w14:paraId="26DB841E" w14:textId="77777777" w:rsidR="00FB59EB" w:rsidRPr="007122AB" w:rsidRDefault="00FB59EB" w:rsidP="007122AB">
      <w:pPr>
        <w:spacing w:after="0" w:line="240" w:lineRule="auto"/>
        <w:jc w:val="both"/>
        <w:rPr>
          <w:rFonts w:ascii="Times New Roman" w:hAnsi="Times New Roman"/>
          <w:color w:val="000000" w:themeColor="text1"/>
          <w:sz w:val="16"/>
          <w:szCs w:val="16"/>
        </w:rPr>
      </w:pPr>
    </w:p>
    <w:p w14:paraId="4E6833A3"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10 октября </w:t>
      </w:r>
      <w:r w:rsidRPr="007122AB">
        <w:rPr>
          <w:rFonts w:ascii="Times New Roman" w:hAnsi="Times New Roman"/>
          <w:color w:val="000000" w:themeColor="text1"/>
          <w:sz w:val="16"/>
          <w:szCs w:val="16"/>
        </w:rPr>
        <w:t>в 1931 году сверхдальний велопробег вдоль границ страны завершил камчатский спортсмен Глеб Травин. Стартовав во Владивостоке, он финишировал в Петропавловске-Камчатском, преодолев за три года гигантское расстояние — 85 тысяч км (14795).</w:t>
      </w:r>
    </w:p>
    <w:p w14:paraId="0E91CBA9" w14:textId="77777777" w:rsidR="00AD4FAD" w:rsidRPr="007122AB" w:rsidRDefault="00AD4FAD" w:rsidP="007122AB">
      <w:pPr>
        <w:spacing w:after="0" w:line="240" w:lineRule="auto"/>
        <w:jc w:val="both"/>
        <w:rPr>
          <w:rFonts w:ascii="Times New Roman" w:hAnsi="Times New Roman"/>
          <w:color w:val="000000" w:themeColor="text1"/>
          <w:sz w:val="16"/>
          <w:szCs w:val="16"/>
        </w:rPr>
      </w:pPr>
    </w:p>
    <w:p w14:paraId="0A3EC4E6"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10 ноября 1931 года кузовная фирма </w:t>
      </w:r>
      <w:proofErr w:type="spellStart"/>
      <w:r w:rsidRPr="007122AB">
        <w:rPr>
          <w:color w:val="000000" w:themeColor="text1"/>
          <w:sz w:val="16"/>
          <w:szCs w:val="16"/>
        </w:rPr>
        <w:t>Aug</w:t>
      </w:r>
      <w:proofErr w:type="spellEnd"/>
      <w:r w:rsidRPr="007122AB">
        <w:rPr>
          <w:color w:val="000000" w:themeColor="text1"/>
          <w:sz w:val="16"/>
          <w:szCs w:val="16"/>
        </w:rPr>
        <w:t xml:space="preserve">. </w:t>
      </w:r>
      <w:proofErr w:type="spellStart"/>
      <w:r w:rsidRPr="007122AB">
        <w:rPr>
          <w:color w:val="000000" w:themeColor="text1"/>
          <w:sz w:val="16"/>
          <w:szCs w:val="16"/>
        </w:rPr>
        <w:t>Nowack</w:t>
      </w:r>
      <w:proofErr w:type="spellEnd"/>
      <w:r w:rsidRPr="007122AB">
        <w:rPr>
          <w:color w:val="000000" w:themeColor="text1"/>
          <w:sz w:val="16"/>
          <w:szCs w:val="16"/>
        </w:rPr>
        <w:t xml:space="preserve"> A.G. из Баутцена заказала у </w:t>
      </w:r>
      <w:proofErr w:type="spellStart"/>
      <w:r w:rsidRPr="007122AB">
        <w:rPr>
          <w:color w:val="000000" w:themeColor="text1"/>
          <w:sz w:val="16"/>
          <w:szCs w:val="16"/>
        </w:rPr>
        <w:t>Vickers-Armstrongs</w:t>
      </w:r>
      <w:proofErr w:type="spellEnd"/>
      <w:r w:rsidRPr="007122AB">
        <w:rPr>
          <w:color w:val="000000" w:themeColor="text1"/>
          <w:sz w:val="16"/>
          <w:szCs w:val="16"/>
        </w:rPr>
        <w:t xml:space="preserve"> Limited первый тягач. Второй образец был заказан 12 сентября 1932 года, ещё один – 11 октября. Приобретённые машины носили регистрационные номера VAE 393, VAE 406 и VAE 407. Первая из них прибыла на полигон </w:t>
      </w:r>
      <w:proofErr w:type="spellStart"/>
      <w:r w:rsidRPr="007122AB">
        <w:rPr>
          <w:color w:val="000000" w:themeColor="text1"/>
          <w:sz w:val="16"/>
          <w:szCs w:val="16"/>
        </w:rPr>
        <w:t>Куммерсдорф</w:t>
      </w:r>
      <w:proofErr w:type="spellEnd"/>
      <w:r w:rsidRPr="007122AB">
        <w:rPr>
          <w:color w:val="000000" w:themeColor="text1"/>
          <w:sz w:val="16"/>
          <w:szCs w:val="16"/>
        </w:rPr>
        <w:t xml:space="preserve"> в январе 1932 года. Испытания показали, что </w:t>
      </w:r>
      <w:proofErr w:type="spellStart"/>
      <w:r w:rsidRPr="007122AB">
        <w:rPr>
          <w:color w:val="000000" w:themeColor="text1"/>
          <w:sz w:val="16"/>
          <w:szCs w:val="16"/>
        </w:rPr>
        <w:t>Книпкамп</w:t>
      </w:r>
      <w:proofErr w:type="spellEnd"/>
      <w:r w:rsidRPr="007122AB">
        <w:rPr>
          <w:color w:val="000000" w:themeColor="text1"/>
          <w:sz w:val="16"/>
          <w:szCs w:val="16"/>
        </w:rPr>
        <w:t xml:space="preserve"> оказался прав, и английская разработка явно больше годилась как основа для новых танков, чем отечественные немецкие разработки. К слову, приобретённые тягачи по ходовой части полностью соответствовали английскому танку-амфибии VCL 1931. Очень похожий тягач, приобретённый СССР примерно в это же время, стал основой для разработки танка-амфибии Т-33, советского аналога VCL 1931.</w:t>
      </w:r>
    </w:p>
    <w:p w14:paraId="25146F5E"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Вместе с тем, говорить о полном копировании немцами английской разработки некорректно. Фактически с английского тягача позаимствовали общие принципы компоновки, отчасти подвеску и траки «скелетной» конструкции (17463).</w:t>
      </w:r>
    </w:p>
    <w:p w14:paraId="1C012B63"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EA3E5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C65A2F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2982D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период 11 по 23 сентября 1931 г. велись испытания И-4бис №1514</w:t>
      </w:r>
    </w:p>
    <w:p w14:paraId="6D8C88D4"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Выяснилось, что летные характеристики самолета №1514 по сравнению с серийны</w:t>
      </w:r>
      <w:r w:rsidRPr="007122AB">
        <w:rPr>
          <w:rFonts w:ascii="Times New Roman" w:hAnsi="Times New Roman"/>
          <w:color w:val="000000" w:themeColor="text1"/>
          <w:sz w:val="16"/>
          <w:szCs w:val="16"/>
        </w:rPr>
        <w:softHyphen/>
        <w:t>ми И-4 изменились мало. Благодаря исполь</w:t>
      </w:r>
      <w:r w:rsidRPr="007122AB">
        <w:rPr>
          <w:rFonts w:ascii="Times New Roman" w:hAnsi="Times New Roman"/>
          <w:color w:val="000000" w:themeColor="text1"/>
          <w:sz w:val="16"/>
          <w:szCs w:val="16"/>
        </w:rPr>
        <w:softHyphen/>
        <w:t>зованию предкрылков улучшилась попереч</w:t>
      </w:r>
      <w:r w:rsidRPr="007122AB">
        <w:rPr>
          <w:rFonts w:ascii="Times New Roman" w:hAnsi="Times New Roman"/>
          <w:color w:val="000000" w:themeColor="text1"/>
          <w:sz w:val="16"/>
          <w:szCs w:val="16"/>
        </w:rPr>
        <w:softHyphen/>
        <w:t>ная устойчивость на малых скоростях, одна</w:t>
      </w:r>
      <w:r w:rsidRPr="007122AB">
        <w:rPr>
          <w:rFonts w:ascii="Times New Roman" w:hAnsi="Times New Roman"/>
          <w:color w:val="000000" w:themeColor="text1"/>
          <w:sz w:val="16"/>
          <w:szCs w:val="16"/>
        </w:rPr>
        <w:softHyphen/>
        <w:t>ко скорость на посадке практически не из</w:t>
      </w:r>
      <w:r w:rsidRPr="007122AB">
        <w:rPr>
          <w:rFonts w:ascii="Times New Roman" w:hAnsi="Times New Roman"/>
          <w:color w:val="000000" w:themeColor="text1"/>
          <w:sz w:val="16"/>
          <w:szCs w:val="16"/>
        </w:rPr>
        <w:softHyphen/>
        <w:t>менилась. Несколько выросла полетная ско</w:t>
      </w:r>
      <w:r w:rsidRPr="007122AB">
        <w:rPr>
          <w:rFonts w:ascii="Times New Roman" w:hAnsi="Times New Roman"/>
          <w:color w:val="000000" w:themeColor="text1"/>
          <w:sz w:val="16"/>
          <w:szCs w:val="16"/>
        </w:rPr>
        <w:softHyphen/>
        <w:t>рость - до 268 км/ч, но ухудшились характе</w:t>
      </w:r>
      <w:r w:rsidRPr="007122AB">
        <w:rPr>
          <w:rFonts w:ascii="Times New Roman" w:hAnsi="Times New Roman"/>
          <w:color w:val="000000" w:themeColor="text1"/>
          <w:sz w:val="16"/>
          <w:szCs w:val="16"/>
        </w:rPr>
        <w:softHyphen/>
        <w:t>ристики штопора. Не принес удовлетворе</w:t>
      </w:r>
      <w:r w:rsidRPr="007122AB">
        <w:rPr>
          <w:rFonts w:ascii="Times New Roman" w:hAnsi="Times New Roman"/>
          <w:color w:val="000000" w:themeColor="text1"/>
          <w:sz w:val="16"/>
          <w:szCs w:val="16"/>
        </w:rPr>
        <w:softHyphen/>
        <w:t>ния и новый капот — он не обеспечивал наде</w:t>
      </w:r>
      <w:r w:rsidRPr="007122AB">
        <w:rPr>
          <w:rFonts w:ascii="Times New Roman" w:hAnsi="Times New Roman"/>
          <w:color w:val="000000" w:themeColor="text1"/>
          <w:sz w:val="16"/>
          <w:szCs w:val="16"/>
        </w:rPr>
        <w:softHyphen/>
        <w:t>жного и достаточного охлаждения двигате</w:t>
      </w:r>
      <w:r w:rsidRPr="007122AB">
        <w:rPr>
          <w:rFonts w:ascii="Times New Roman" w:hAnsi="Times New Roman"/>
          <w:color w:val="000000" w:themeColor="text1"/>
          <w:sz w:val="16"/>
          <w:szCs w:val="16"/>
        </w:rPr>
        <w:softHyphen/>
        <w:t>ля. В результате признавалось, что переделка И-4 в моноплан нецелесообразна.</w:t>
      </w:r>
    </w:p>
    <w:p w14:paraId="436A255A" w14:textId="77777777" w:rsidR="003371BD" w:rsidRPr="007122AB" w:rsidRDefault="003371BD"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Еше</w:t>
      </w:r>
      <w:proofErr w:type="spellEnd"/>
      <w:r w:rsidRPr="007122AB">
        <w:rPr>
          <w:rFonts w:ascii="Times New Roman" w:hAnsi="Times New Roman"/>
          <w:color w:val="000000" w:themeColor="text1"/>
          <w:sz w:val="16"/>
          <w:szCs w:val="16"/>
        </w:rPr>
        <w:t xml:space="preserve"> одной работой ЦАГИ по усовершен</w:t>
      </w:r>
      <w:r w:rsidRPr="007122AB">
        <w:rPr>
          <w:rFonts w:ascii="Times New Roman" w:hAnsi="Times New Roman"/>
          <w:color w:val="000000" w:themeColor="text1"/>
          <w:sz w:val="16"/>
          <w:szCs w:val="16"/>
        </w:rPr>
        <w:softHyphen/>
        <w:t>ствованию И-4 стала его установка на по</w:t>
      </w:r>
      <w:r w:rsidRPr="007122AB">
        <w:rPr>
          <w:rFonts w:ascii="Times New Roman" w:hAnsi="Times New Roman"/>
          <w:color w:val="000000" w:themeColor="text1"/>
          <w:sz w:val="16"/>
          <w:szCs w:val="16"/>
        </w:rPr>
        <w:softHyphen/>
        <w:t>плавки с целью дальнейшего использования в качестве корабельного истребителя. Основ</w:t>
      </w:r>
      <w:r w:rsidRPr="007122AB">
        <w:rPr>
          <w:rFonts w:ascii="Times New Roman" w:hAnsi="Times New Roman"/>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7122AB">
        <w:rPr>
          <w:rFonts w:ascii="Times New Roman" w:hAnsi="Times New Roman"/>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7122AB">
        <w:rPr>
          <w:rFonts w:ascii="Times New Roman" w:hAnsi="Times New Roman"/>
          <w:color w:val="000000" w:themeColor="text1"/>
          <w:sz w:val="16"/>
          <w:szCs w:val="16"/>
        </w:rPr>
        <w:softHyphen/>
        <w:t>ских образцов разработали и в середине 1931 г. изготовили цельнометаллические поплав</w:t>
      </w:r>
      <w:r w:rsidRPr="007122AB">
        <w:rPr>
          <w:rFonts w:ascii="Times New Roman" w:hAnsi="Times New Roman"/>
          <w:color w:val="000000" w:themeColor="text1"/>
          <w:sz w:val="16"/>
          <w:szCs w:val="16"/>
        </w:rPr>
        <w:softHyphen/>
        <w:t>ки со следующими размерами: длина 6,415 м, ширина 770 мм, высота 673 мм, длина носо</w:t>
      </w:r>
      <w:r w:rsidRPr="007122AB">
        <w:rPr>
          <w:rFonts w:ascii="Times New Roman" w:hAnsi="Times New Roman"/>
          <w:color w:val="000000" w:themeColor="text1"/>
          <w:sz w:val="16"/>
          <w:szCs w:val="16"/>
        </w:rPr>
        <w:softHyphen/>
        <w:t>вой части до редана 3,365 м. Поначалу пред</w:t>
      </w:r>
      <w:r w:rsidRPr="007122AB">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7122AB">
        <w:rPr>
          <w:rFonts w:ascii="Times New Roman" w:hAnsi="Times New Roman"/>
          <w:color w:val="000000" w:themeColor="text1"/>
          <w:sz w:val="16"/>
          <w:szCs w:val="16"/>
        </w:rPr>
        <w:softHyphen/>
        <w:t>ся в Евпатории. Однако в ЦАГИ использова</w:t>
      </w:r>
      <w:r w:rsidRPr="007122AB">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7122AB">
        <w:rPr>
          <w:rFonts w:ascii="Times New Roman" w:hAnsi="Times New Roman"/>
          <w:color w:val="000000" w:themeColor="text1"/>
          <w:sz w:val="16"/>
          <w:szCs w:val="16"/>
        </w:rPr>
        <w:softHyphen/>
        <w:t>нако сведений о завершении работ не обна</w:t>
      </w:r>
      <w:r w:rsidRPr="007122AB">
        <w:rPr>
          <w:rFonts w:ascii="Times New Roman" w:hAnsi="Times New Roman"/>
          <w:color w:val="000000" w:themeColor="text1"/>
          <w:sz w:val="16"/>
          <w:szCs w:val="16"/>
        </w:rPr>
        <w:softHyphen/>
        <w:t>ружено. Очевидно, что летом 1931 года пред</w:t>
      </w:r>
      <w:r w:rsidRPr="007122AB">
        <w:rPr>
          <w:rFonts w:ascii="Times New Roman" w:hAnsi="Times New Roman"/>
          <w:color w:val="000000" w:themeColor="text1"/>
          <w:sz w:val="16"/>
          <w:szCs w:val="16"/>
        </w:rPr>
        <w:softHyphen/>
        <w:t>ставители морской авиации от обладания ма</w:t>
      </w:r>
      <w:r w:rsidRPr="007122AB">
        <w:rPr>
          <w:rFonts w:ascii="Times New Roman" w:hAnsi="Times New Roman"/>
          <w:color w:val="000000" w:themeColor="text1"/>
          <w:sz w:val="16"/>
          <w:szCs w:val="16"/>
        </w:rPr>
        <w:softHyphen/>
        <w:t>леньким поплавковым истребителем с недо</w:t>
      </w:r>
      <w:r w:rsidRPr="007122AB">
        <w:rPr>
          <w:rFonts w:ascii="Times New Roman" w:hAnsi="Times New Roman"/>
          <w:color w:val="000000" w:themeColor="text1"/>
          <w:sz w:val="16"/>
          <w:szCs w:val="16"/>
        </w:rPr>
        <w:softHyphen/>
        <w:t>статочной мореходностью решили отказать</w:t>
      </w:r>
      <w:r w:rsidRPr="007122AB">
        <w:rPr>
          <w:rFonts w:ascii="Times New Roman" w:hAnsi="Times New Roman"/>
          <w:color w:val="000000" w:themeColor="text1"/>
          <w:sz w:val="16"/>
          <w:szCs w:val="16"/>
        </w:rPr>
        <w:softHyphen/>
        <w:t>ся. Вероятнее всего на принятие решения по</w:t>
      </w:r>
      <w:r w:rsidRPr="007122AB">
        <w:rPr>
          <w:rFonts w:ascii="Times New Roman" w:hAnsi="Times New Roman"/>
          <w:color w:val="000000" w:themeColor="text1"/>
          <w:sz w:val="16"/>
          <w:szCs w:val="16"/>
        </w:rPr>
        <w:softHyphen/>
        <w:t>влиял двухлетний опыт эксплуатации летаю</w:t>
      </w:r>
      <w:r w:rsidRPr="007122AB">
        <w:rPr>
          <w:rFonts w:ascii="Times New Roman" w:hAnsi="Times New Roman"/>
          <w:color w:val="000000" w:themeColor="text1"/>
          <w:sz w:val="16"/>
          <w:szCs w:val="16"/>
        </w:rPr>
        <w:softHyphen/>
        <w:t>щих лодок КР-1 (Хейнкель НЭ.55).</w:t>
      </w:r>
    </w:p>
    <w:p w14:paraId="5A27BCBE"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одной работой 1931 года стала уста</w:t>
      </w:r>
      <w:r w:rsidRPr="007122AB">
        <w:rPr>
          <w:rFonts w:ascii="Times New Roman" w:hAnsi="Times New Roman"/>
          <w:color w:val="000000" w:themeColor="text1"/>
          <w:sz w:val="16"/>
          <w:szCs w:val="16"/>
        </w:rPr>
        <w:softHyphen/>
        <w:t>новка под крылом И-4 выливных авиацион</w:t>
      </w:r>
      <w:r w:rsidRPr="007122AB">
        <w:rPr>
          <w:rFonts w:ascii="Times New Roman" w:hAnsi="Times New Roman"/>
          <w:color w:val="000000" w:themeColor="text1"/>
          <w:sz w:val="16"/>
          <w:szCs w:val="16"/>
        </w:rPr>
        <w:softHyphen/>
        <w:t>ных приборов ВАП-4. Однако первые поле</w:t>
      </w:r>
      <w:r w:rsidRPr="007122AB">
        <w:rPr>
          <w:rFonts w:ascii="Times New Roman" w:hAnsi="Times New Roman"/>
          <w:color w:val="000000" w:themeColor="text1"/>
          <w:sz w:val="16"/>
          <w:szCs w:val="16"/>
        </w:rPr>
        <w:softHyphen/>
        <w:t xml:space="preserve">ты, проведенные в августе того года, показали, что </w:t>
      </w:r>
      <w:proofErr w:type="spellStart"/>
      <w:r w:rsidRPr="007122AB">
        <w:rPr>
          <w:rFonts w:ascii="Times New Roman" w:hAnsi="Times New Roman"/>
          <w:color w:val="000000" w:themeColor="text1"/>
          <w:sz w:val="16"/>
          <w:szCs w:val="16"/>
        </w:rPr>
        <w:t>ВАПы</w:t>
      </w:r>
      <w:proofErr w:type="spellEnd"/>
      <w:r w:rsidRPr="007122AB">
        <w:rPr>
          <w:rFonts w:ascii="Times New Roman" w:hAnsi="Times New Roman"/>
          <w:color w:val="000000" w:themeColor="text1"/>
          <w:sz w:val="16"/>
          <w:szCs w:val="16"/>
        </w:rPr>
        <w:t xml:space="preserve"> цепляют за землю, поэтому ис</w:t>
      </w:r>
      <w:r w:rsidRPr="007122AB">
        <w:rPr>
          <w:rFonts w:ascii="Times New Roman" w:hAnsi="Times New Roman"/>
          <w:color w:val="000000" w:themeColor="text1"/>
          <w:sz w:val="16"/>
          <w:szCs w:val="16"/>
        </w:rPr>
        <w:softHyphen/>
        <w:t>пользование небольшого истребителя в каче</w:t>
      </w:r>
      <w:r w:rsidRPr="007122AB">
        <w:rPr>
          <w:rFonts w:ascii="Times New Roman" w:hAnsi="Times New Roman"/>
          <w:color w:val="000000" w:themeColor="text1"/>
          <w:sz w:val="16"/>
          <w:szCs w:val="16"/>
        </w:rPr>
        <w:softHyphen/>
        <w:t>стве «химического» самолета не состоялось.</w:t>
      </w:r>
    </w:p>
    <w:p w14:paraId="4180B711"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экспериментам, в которых участвова</w:t>
      </w:r>
      <w:r w:rsidRPr="007122AB">
        <w:rPr>
          <w:rFonts w:ascii="Times New Roman" w:hAnsi="Times New Roman"/>
          <w:color w:val="000000" w:themeColor="text1"/>
          <w:sz w:val="16"/>
          <w:szCs w:val="16"/>
        </w:rPr>
        <w:softHyphen/>
        <w:t>ли И-4, следует отнести опыты с ракетны</w:t>
      </w:r>
      <w:r w:rsidRPr="007122AB">
        <w:rPr>
          <w:rFonts w:ascii="Times New Roman" w:hAnsi="Times New Roman"/>
          <w:color w:val="000000" w:themeColor="text1"/>
          <w:sz w:val="16"/>
          <w:szCs w:val="16"/>
        </w:rPr>
        <w:softHyphen/>
        <w:t>ми двигателями для ускорения взлета. Дея</w:t>
      </w:r>
      <w:r w:rsidRPr="007122AB">
        <w:rPr>
          <w:rFonts w:ascii="Times New Roman" w:hAnsi="Times New Roman"/>
          <w:color w:val="000000" w:themeColor="text1"/>
          <w:sz w:val="16"/>
          <w:szCs w:val="16"/>
        </w:rPr>
        <w:softHyphen/>
        <w:t>тельность по установке ракетных ускорите</w:t>
      </w:r>
      <w:r w:rsidRPr="007122AB">
        <w:rPr>
          <w:rFonts w:ascii="Times New Roman" w:hAnsi="Times New Roman"/>
          <w:color w:val="000000" w:themeColor="text1"/>
          <w:sz w:val="16"/>
          <w:szCs w:val="16"/>
        </w:rPr>
        <w:softHyphen/>
        <w:t xml:space="preserve">лей велась в 1934 году под руководством В.М. </w:t>
      </w:r>
      <w:proofErr w:type="spellStart"/>
      <w:r w:rsidRPr="007122AB">
        <w:rPr>
          <w:rFonts w:ascii="Times New Roman" w:hAnsi="Times New Roman"/>
          <w:color w:val="000000" w:themeColor="text1"/>
          <w:sz w:val="16"/>
          <w:szCs w:val="16"/>
        </w:rPr>
        <w:t>Мясишева</w:t>
      </w:r>
      <w:proofErr w:type="spellEnd"/>
      <w:r w:rsidRPr="007122AB">
        <w:rPr>
          <w:rFonts w:ascii="Times New Roman" w:hAnsi="Times New Roman"/>
          <w:color w:val="000000" w:themeColor="text1"/>
          <w:sz w:val="16"/>
          <w:szCs w:val="16"/>
        </w:rPr>
        <w:t>. Во время испытаний отмечалось увеличение полетной скорости истребителя на 25 км/ч (12295).</w:t>
      </w:r>
    </w:p>
    <w:p w14:paraId="01FBCC30"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33D50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октября 1931 состоялся первый полет Сталь-2 - шестиместного с Райт 300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выпущенного на строящемся заводе 81 (92,439). Летал </w:t>
      </w:r>
      <w:proofErr w:type="spellStart"/>
      <w:r w:rsidRPr="007122AB">
        <w:rPr>
          <w:rFonts w:ascii="Times New Roman" w:hAnsi="Times New Roman"/>
          <w:color w:val="000000" w:themeColor="text1"/>
          <w:sz w:val="16"/>
          <w:szCs w:val="16"/>
        </w:rPr>
        <w:t>Э.И.Шварц</w:t>
      </w:r>
      <w:proofErr w:type="spellEnd"/>
      <w:r w:rsidRPr="007122AB">
        <w:rPr>
          <w:rFonts w:ascii="Times New Roman" w:hAnsi="Times New Roman"/>
          <w:color w:val="000000" w:themeColor="text1"/>
          <w:sz w:val="16"/>
          <w:szCs w:val="16"/>
        </w:rPr>
        <w:t xml:space="preserve"> (420,74). По другим данным, строили в мастерских НИИ ГВФ (438,629).</w:t>
      </w:r>
    </w:p>
    <w:p w14:paraId="0F3D2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воспоминаниям </w:t>
      </w:r>
      <w:proofErr w:type="spellStart"/>
      <w:r w:rsidRPr="007122AB">
        <w:rPr>
          <w:rFonts w:ascii="Times New Roman" w:hAnsi="Times New Roman"/>
          <w:color w:val="000000" w:themeColor="text1"/>
          <w:sz w:val="16"/>
          <w:szCs w:val="16"/>
        </w:rPr>
        <w:t>А.И.Путилова</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Я.Г.Пауль</w:t>
      </w:r>
      <w:proofErr w:type="spellEnd"/>
    </w:p>
    <w:p w14:paraId="3950B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Решили строить специальный завод 81 для серии и производство Сталь-2 началось с июля 1933 (80,370).</w:t>
      </w:r>
    </w:p>
    <w:p w14:paraId="69C83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Летал на ЦА (271,127).</w:t>
      </w:r>
    </w:p>
    <w:p w14:paraId="40E68A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D55C10" w14:textId="77777777" w:rsidR="0075626C" w:rsidRPr="007122AB" w:rsidRDefault="0075626C"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11 ок</w:t>
      </w:r>
      <w:r w:rsidRPr="007122AB">
        <w:rPr>
          <w:rFonts w:ascii="Times New Roman" w:hAnsi="Times New Roman"/>
          <w:color w:val="000000" w:themeColor="text1"/>
          <w:sz w:val="16"/>
          <w:szCs w:val="16"/>
          <w:lang w:eastAsia="ru-RU" w:bidi="ru-RU"/>
        </w:rPr>
        <w:softHyphen/>
        <w:t>тября 1931 состоялся первый полет Сталь-2. Летал Эдуард Иванович Шварц, который оценил полетные данные нового самоле</w:t>
      </w:r>
      <w:r w:rsidRPr="007122AB">
        <w:rPr>
          <w:rFonts w:ascii="Times New Roman" w:hAnsi="Times New Roman"/>
          <w:color w:val="000000" w:themeColor="text1"/>
          <w:sz w:val="16"/>
          <w:szCs w:val="16"/>
          <w:lang w:eastAsia="ru-RU" w:bidi="ru-RU"/>
        </w:rPr>
        <w:softHyphen/>
        <w:t>та как вполне удовлетворительные. Очевидно, что сам факт первого полета представили пе</w:t>
      </w:r>
      <w:r w:rsidRPr="007122AB">
        <w:rPr>
          <w:rFonts w:ascii="Times New Roman" w:hAnsi="Times New Roman"/>
          <w:color w:val="000000" w:themeColor="text1"/>
          <w:sz w:val="16"/>
          <w:szCs w:val="16"/>
          <w:lang w:eastAsia="ru-RU" w:bidi="ru-RU"/>
        </w:rPr>
        <w:softHyphen/>
        <w:t>ред высшим руководством как значительное достижение советской науки и промышленности (20365).</w:t>
      </w:r>
    </w:p>
    <w:p w14:paraId="4939B5EB" w14:textId="77777777" w:rsidR="0075626C" w:rsidRPr="007122AB" w:rsidRDefault="0075626C" w:rsidP="007122AB">
      <w:pPr>
        <w:spacing w:after="0" w:line="240" w:lineRule="auto"/>
        <w:jc w:val="both"/>
        <w:rPr>
          <w:rFonts w:ascii="Times New Roman" w:hAnsi="Times New Roman"/>
          <w:color w:val="000000" w:themeColor="text1"/>
          <w:sz w:val="16"/>
          <w:szCs w:val="16"/>
          <w:lang w:eastAsia="ru-RU" w:bidi="ru-RU"/>
        </w:rPr>
      </w:pPr>
    </w:p>
    <w:p w14:paraId="674EC4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октября-1931 г. с Московского центрального аэродрома летчик-испытатель НИИ ГВФ </w:t>
      </w:r>
      <w:proofErr w:type="spellStart"/>
      <w:r w:rsidRPr="007122AB">
        <w:rPr>
          <w:rFonts w:ascii="Times New Roman" w:hAnsi="Times New Roman"/>
          <w:color w:val="000000" w:themeColor="text1"/>
          <w:sz w:val="16"/>
          <w:szCs w:val="16"/>
        </w:rPr>
        <w:t>Э.И.Шварц</w:t>
      </w:r>
      <w:proofErr w:type="spellEnd"/>
      <w:r w:rsidRPr="007122AB">
        <w:rPr>
          <w:rFonts w:ascii="Times New Roman" w:hAnsi="Times New Roman"/>
          <w:color w:val="000000" w:themeColor="text1"/>
          <w:sz w:val="16"/>
          <w:szCs w:val="16"/>
        </w:rPr>
        <w:t xml:space="preserve"> совершил первый полет на самолете Сталь-2. Через некоторое время этот самолет демонстрировался на Парижском авиационном салоне, где к нему лен большой интерес со стороны авиационных специалистов. Сталь-2 был запущен в серийное производство и </w:t>
      </w:r>
      <w:proofErr w:type="spellStart"/>
      <w:r w:rsidRPr="007122AB">
        <w:rPr>
          <w:rFonts w:ascii="Times New Roman" w:hAnsi="Times New Roman"/>
          <w:color w:val="000000" w:themeColor="text1"/>
          <w:sz w:val="16"/>
          <w:szCs w:val="16"/>
        </w:rPr>
        <w:t>мно</w:t>
      </w:r>
      <w:proofErr w:type="spellEnd"/>
      <w:r w:rsidRPr="007122AB">
        <w:rPr>
          <w:rFonts w:ascii="Times New Roman" w:hAnsi="Times New Roman"/>
          <w:color w:val="000000" w:themeColor="text1"/>
          <w:sz w:val="16"/>
          <w:szCs w:val="16"/>
        </w:rPr>
        <w:t>-ода эксплуатировался на воздушных линиях СССР (11114).</w:t>
      </w:r>
    </w:p>
    <w:p w14:paraId="53E65C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73586C"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11 октября 1931 года</w:t>
      </w:r>
      <w:r w:rsidRPr="007122AB">
        <w:rPr>
          <w:rFonts w:ascii="Times New Roman" w:hAnsi="Times New Roman"/>
          <w:color w:val="000000" w:themeColor="text1"/>
          <w:sz w:val="16"/>
          <w:szCs w:val="16"/>
        </w:rPr>
        <w:t xml:space="preserve"> Первый полет самолета из нержавеющей стали «Сталь-2» конструкции </w:t>
      </w:r>
      <w:proofErr w:type="spellStart"/>
      <w:r w:rsidRPr="007122AB">
        <w:rPr>
          <w:rFonts w:ascii="Times New Roman" w:hAnsi="Times New Roman"/>
          <w:color w:val="000000" w:themeColor="text1"/>
          <w:sz w:val="16"/>
          <w:szCs w:val="16"/>
        </w:rPr>
        <w:t>А.И.Путилова</w:t>
      </w:r>
      <w:proofErr w:type="spellEnd"/>
      <w:r w:rsidRPr="007122AB">
        <w:rPr>
          <w:rFonts w:ascii="Times New Roman" w:hAnsi="Times New Roman"/>
          <w:color w:val="000000" w:themeColor="text1"/>
          <w:sz w:val="16"/>
          <w:szCs w:val="16"/>
        </w:rPr>
        <w:t xml:space="preserve"> (НИИ ГВФ), пилот Эдуард Иванович Шварц. Первый испытательный полёт самолёт (прототип) совершил с двигателем </w:t>
      </w:r>
      <w:proofErr w:type="spellStart"/>
      <w:r w:rsidRPr="007122AB">
        <w:rPr>
          <w:rFonts w:ascii="Times New Roman" w:hAnsi="Times New Roman"/>
          <w:color w:val="000000" w:themeColor="text1"/>
          <w:sz w:val="16"/>
          <w:szCs w:val="16"/>
        </w:rPr>
        <w:t>Wright</w:t>
      </w:r>
      <w:proofErr w:type="spellEnd"/>
      <w:r w:rsidRPr="007122AB">
        <w:rPr>
          <w:rFonts w:ascii="Times New Roman" w:hAnsi="Times New Roman"/>
          <w:color w:val="000000" w:themeColor="text1"/>
          <w:sz w:val="16"/>
          <w:szCs w:val="16"/>
        </w:rPr>
        <w:t xml:space="preserve"> J-6-7. Самолет "Сталь-2" получил высокую оценку на XIV международной выставке в Париже, имел большой успех и был назван "Русское Чудо Страны Советов" (14796).</w:t>
      </w:r>
    </w:p>
    <w:p w14:paraId="2F13F6E2" w14:textId="77777777" w:rsidR="00AD4FAD" w:rsidRPr="007122AB" w:rsidRDefault="00AD4FAD" w:rsidP="007122AB">
      <w:pPr>
        <w:spacing w:after="0" w:line="240" w:lineRule="auto"/>
        <w:jc w:val="both"/>
        <w:rPr>
          <w:rFonts w:ascii="Times New Roman" w:hAnsi="Times New Roman"/>
          <w:color w:val="000000" w:themeColor="text1"/>
          <w:sz w:val="16"/>
          <w:szCs w:val="16"/>
        </w:rPr>
      </w:pPr>
    </w:p>
    <w:p w14:paraId="2BF31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11 октября 1931 года НИИ ГВФ выпустил в полет первый советский цельностальной самолет из нержавеющей стали электросварной конструкции "Сталь-2", который по производственным и летным качествам не только не уступал, но и превосходил достижения техники наиболее передовых капиталистических стран. Крылья самолета "Сталь-2" имели вес 7,6 кг на 1 кв. м по сравнению с 9-10 кг веса на кв. м обычных почтово-пассажирских машинах, что давало разницу в 25% в сторону облегчения …(7752, 63-65).</w:t>
      </w:r>
    </w:p>
    <w:p w14:paraId="28192A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867D65"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A856A08"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B415C52"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11 октября 1931 </w:t>
      </w:r>
      <w:r w:rsidRPr="007122AB">
        <w:rPr>
          <w:rFonts w:ascii="Times New Roman" w:hAnsi="Times New Roman"/>
          <w:color w:val="000000" w:themeColor="text1"/>
          <w:sz w:val="16"/>
          <w:szCs w:val="16"/>
        </w:rPr>
        <w:t>СНК принял постановление «О порядке приемки новых предприятий» (12265).</w:t>
      </w:r>
    </w:p>
    <w:p w14:paraId="557F7E18"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715436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5C864D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D28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октября 1931 было принято решение о полной ликвидации частной торговли (1348,199).</w:t>
      </w:r>
    </w:p>
    <w:p w14:paraId="0DDD7B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E300F4"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11 октября </w:t>
      </w:r>
      <w:r w:rsidRPr="007122AB">
        <w:rPr>
          <w:rFonts w:ascii="Times New Roman" w:hAnsi="Times New Roman"/>
          <w:color w:val="000000" w:themeColor="text1"/>
          <w:sz w:val="16"/>
          <w:szCs w:val="16"/>
        </w:rPr>
        <w:t xml:space="preserve">в 1931 году в СССР принято решение о полной ликвидации частной торговли. Экономический и политический кризис, охватившие страну при «военном коммунизме», заставили политическое руководство искать выхода из них. Переход от «военного коммунизма» к «новой экономической политике» (НЭП) был провозглашен Х съездом российской коммунистической партии в марте 1921 года. Первоначальная идея перехода была сформулирована в работах </w:t>
      </w:r>
      <w:proofErr w:type="spellStart"/>
      <w:r w:rsidRPr="007122AB">
        <w:rPr>
          <w:rFonts w:ascii="Times New Roman" w:hAnsi="Times New Roman"/>
          <w:color w:val="000000" w:themeColor="text1"/>
          <w:sz w:val="16"/>
          <w:szCs w:val="16"/>
        </w:rPr>
        <w:t>В.И.Ленина</w:t>
      </w:r>
      <w:proofErr w:type="spellEnd"/>
      <w:r w:rsidRPr="007122AB">
        <w:rPr>
          <w:rFonts w:ascii="Times New Roman" w:hAnsi="Times New Roman"/>
          <w:color w:val="000000" w:themeColor="text1"/>
          <w:sz w:val="16"/>
          <w:szCs w:val="16"/>
        </w:rPr>
        <w:t xml:space="preserve"> 1921-1923 годов: конечная цель остается прежней - социализм, но положение России после гражданской войны диктует необходимость прибегнуть к «реформистскому» методу действий в коренных вопросах экономического строительства. Вместо прямой и полной ломки старого строя, проводившейся в годы «военного коммунизма», большевиками был предпринят «реформистский» подход: не ломать старый общественно-экономический уклад - торговлю, мелкое хозяйство, мелкое предпринимательство, а осторожно и постепенно овладевать ими и получить возможность подвергать их государственному регулированию. Предлагалось временно отступить от достигнутых «военно-коммунистических» завоеваний, сделать шаг назад с тем, чтобы набраться сил для скачка к социализму. Основные меры, проведенные в рамках НЭП - продразверстка заменена продовольственным налогом, легализовалась свободная торговля, частные лица получили право заниматься кустарными промыслами и открывать промышленные предприятия с числом рабочих до ста. Мелкие национализированные предприятия возвращались прежним владельцам. В 1922 году было признано право на аренду земли и использование наемного труда, отменена система трудовых повинностей и трудовых мобилизаций. Натуральная оплата труда заменена денежной, был учрежден новый государственный банк и восстановлена система банков. НЭП привела к быстрому оживлению экономики. Появившаяся у крестьян экономическая заинтересованность в производстве сельскохозяйственной продукции позволила быстро насытить рынок продовольствием и преодолеть последствия голодных лет «военного коммунизма». Однако уже на раннем этапе НЭП (1921-1923) признание роли рынка сочеталось с мерами по его упразднению. Рыночные методы регулирования экономики в нэповской России сочетались с внеэкономическими, с административным вмешательством. Партийно-государственные верхи не хотели реформ и были озабочены тем, что частный сектор получит преимущество перед государственным. Охваченные боязнью НЭП, они принимали меры по его дискредитации. Официальная пропаганда всячески третировала частника, в общественном сознании формировался образ «нэпмана» как эксплуататора, классового врага. С середины 1920-х годов меры по сдерживанию развития НЭП сменились курсом на его свертывание. Демонтаж НЭП начался негласно, сначала мерами по налоговому удушению частного сектора, затем лишению его правовых гарантий. При этом на всех партийных форумах провозглашалась верность «новой экономической политике». 27 декабря 1929 года в речи на конференции историков-марксистов Сталин заявлял: «Если мы придерживаемся НЭП, это потому, что она служит делу социализма. А когда она перестанет служить делу социализма, мы новую экономическую политику отбросим к черту». В конце 1920-х годов, посчитав, что новая экономическая политика перестала служить социализму, сталинское руководство ее отбросило. Была отменена частная торговля (кроме колхозных </w:t>
      </w:r>
      <w:proofErr w:type="spellStart"/>
      <w:r w:rsidRPr="007122AB">
        <w:rPr>
          <w:rFonts w:ascii="Times New Roman" w:hAnsi="Times New Roman"/>
          <w:color w:val="000000" w:themeColor="text1"/>
          <w:sz w:val="16"/>
          <w:szCs w:val="16"/>
        </w:rPr>
        <w:t>ранков</w:t>
      </w:r>
      <w:proofErr w:type="spellEnd"/>
      <w:r w:rsidRPr="007122AB">
        <w:rPr>
          <w:rFonts w:ascii="Times New Roman" w:hAnsi="Times New Roman"/>
          <w:color w:val="000000" w:themeColor="text1"/>
          <w:sz w:val="16"/>
          <w:szCs w:val="16"/>
        </w:rPr>
        <w:t>). Все частные магазины были национализированы В ходе ликвидации так называемых «эксплуататорских классов» деревенскую «буржуазию» (кулаков) «раскулачивали», конфисковали все ее имущество, ссылали в Сибирь, а «остатки городской буржуазии» - предпринимателей, занимавшихся частной торговлей, ремеслом и продажей своих изделий («нэпманов»), а также членов их семей лишали политических прав («лишенцы»); многих подвергали судебным преследованиям. Но официальный запрет не смог окончательно выдавить негосударственную торговлю из общественной жизни. Теневая экономика долго еще оставалась характерной чертой советской действительности (14796).</w:t>
      </w:r>
    </w:p>
    <w:p w14:paraId="13A83AD4" w14:textId="77777777" w:rsidR="00AD4FAD" w:rsidRPr="007122AB" w:rsidRDefault="00AD4FAD" w:rsidP="007122AB">
      <w:pPr>
        <w:spacing w:after="0" w:line="240" w:lineRule="auto"/>
        <w:jc w:val="both"/>
        <w:rPr>
          <w:rFonts w:ascii="Times New Roman" w:hAnsi="Times New Roman"/>
          <w:color w:val="000000" w:themeColor="text1"/>
          <w:sz w:val="16"/>
          <w:szCs w:val="16"/>
        </w:rPr>
      </w:pPr>
    </w:p>
    <w:p w14:paraId="18ECE498" w14:textId="77777777" w:rsidR="0075626C" w:rsidRPr="007122AB" w:rsidRDefault="0075626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октября 1931 года в СССР принято решение о полной ликвидации частной торговли. Развертывание коллективизации бедняцко-середняцкого крестьянства и переход в конце 1929 г. от политики ограничения и вытеснения кулачества к политике его ликвидации как класса на базе сплошной коллективизации нанесли последний удар частному капиталу. В 1930 г. удельный вес частника в товарообороте снизился до 5,6%, а в 1931 г. сошел на нет. Торговля в СССР вступила тем самым в новую полосу развития — в полосу развертывания советской торговли. «Если торговля на первой стадии нэпа, — говорил товарищ Сталин на январском (1933 г.) пленуме ЦК ВКП(б), — допускала оживление капитализма и функционирование частно-капиталистического сектора в товарообороте, то советская торговля исходит из отрицания как того, так и другого. Что такое советская торговля? Советская торговля есть торговля без капиталистов — малых и больших, торговля без спекулянтов — малых и больших. Это особого рода торговля, которой не знала до сих пор история и которую практикуем только мы, большевики, в условиях советского развития» [Сталин, Вопросы ленинизма, изд. 11-е, стр. 390.].</w:t>
      </w:r>
    </w:p>
    <w:p w14:paraId="530A50CB" w14:textId="77777777" w:rsidR="0075626C" w:rsidRPr="007122AB" w:rsidRDefault="0075626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Индивидуальная торговля трудящихся — единоличников и колхозников — на протяжении нэпа никогда не запрещалась. Так, еще 15 марта 1930 г., учитывая имевшие кое-где место перегибы, Центральный Комитет партии в письме ко всем ЦК </w:t>
      </w:r>
      <w:proofErr w:type="spellStart"/>
      <w:r w:rsidRPr="007122AB">
        <w:rPr>
          <w:rFonts w:ascii="Times New Roman" w:hAnsi="Times New Roman"/>
          <w:color w:val="000000" w:themeColor="text1"/>
          <w:sz w:val="16"/>
          <w:szCs w:val="16"/>
        </w:rPr>
        <w:t>нацкомпартий</w:t>
      </w:r>
      <w:proofErr w:type="spellEnd"/>
      <w:r w:rsidRPr="007122AB">
        <w:rPr>
          <w:rFonts w:ascii="Times New Roman" w:hAnsi="Times New Roman"/>
          <w:color w:val="000000" w:themeColor="text1"/>
          <w:sz w:val="16"/>
          <w:szCs w:val="16"/>
        </w:rPr>
        <w:t>, краевым, областным, окружным и районным комитетам партии «О борьбе с искривлениями партлинии в колхозном движении» обязывает местные парторганизации: «Воспретить закрытие рынков, восстановить базары и не стеснять продажу крестьянами, в том числе колхозниками, своих продуктов на рынке» [«Директивы ВКП(б) по хозяйственным вопросам», стр. 680.] (21166).</w:t>
      </w:r>
    </w:p>
    <w:p w14:paraId="4DCA50B7" w14:textId="77777777" w:rsidR="0075626C" w:rsidRPr="007122AB" w:rsidRDefault="0075626C" w:rsidP="007122AB">
      <w:pPr>
        <w:spacing w:after="0" w:line="240" w:lineRule="auto"/>
        <w:jc w:val="both"/>
        <w:rPr>
          <w:rFonts w:ascii="Times New Roman" w:hAnsi="Times New Roman"/>
          <w:color w:val="000000" w:themeColor="text1"/>
          <w:sz w:val="16"/>
          <w:szCs w:val="16"/>
        </w:rPr>
      </w:pPr>
    </w:p>
    <w:p w14:paraId="37E59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октября 1931 началось строительство Беломорканала им И.В.С. (1348,199).</w:t>
      </w:r>
    </w:p>
    <w:p w14:paraId="7D82E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7127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октября 1931 во время посещения А.М.Г. вместе с В.М.М. и К.Е.В. И.В.С, прослушав Девушку и смерть произнес: "Эта штука посильнее, чем Фауст Гете" (3481).</w:t>
      </w:r>
    </w:p>
    <w:p w14:paraId="0CF3AB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04A460"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11 октября </w:t>
      </w:r>
      <w:r w:rsidRPr="007122AB">
        <w:rPr>
          <w:rFonts w:ascii="Times New Roman" w:hAnsi="Times New Roman"/>
          <w:color w:val="000000" w:themeColor="text1"/>
          <w:sz w:val="16"/>
          <w:szCs w:val="16"/>
        </w:rPr>
        <w:t xml:space="preserve">в 1931 году в гости к Максиму Горькому пожаловали Иосиф Виссарионович, Вячеслав Михайлович и Климент Ефремович. "Буревестник революции" читал им сказку "Девушка и смерть". Выслушав автора до конца, Сталин задумался, а потом взял книгу и написал на ней: "Эта штука сильнее, чем "Фауст" Гете. Любовь побеждает смерть". Вскоре после этого в СССР появился анекдот: "Узнав об оценке, которую Иосиф Виссарионович дал сказке Горького, литературовед член-корреспондент Академии наук </w:t>
      </w:r>
      <w:proofErr w:type="spellStart"/>
      <w:r w:rsidRPr="007122AB">
        <w:rPr>
          <w:rFonts w:ascii="Times New Roman" w:hAnsi="Times New Roman"/>
          <w:color w:val="000000" w:themeColor="text1"/>
          <w:sz w:val="16"/>
          <w:szCs w:val="16"/>
        </w:rPr>
        <w:t>Еголин</w:t>
      </w:r>
      <w:proofErr w:type="spellEnd"/>
      <w:r w:rsidRPr="007122AB">
        <w:rPr>
          <w:rFonts w:ascii="Times New Roman" w:hAnsi="Times New Roman"/>
          <w:color w:val="000000" w:themeColor="text1"/>
          <w:sz w:val="16"/>
          <w:szCs w:val="16"/>
        </w:rPr>
        <w:t xml:space="preserve"> начал разрабатывать новую тему: "Штука как жанр советской литературы" (14796).</w:t>
      </w:r>
    </w:p>
    <w:p w14:paraId="7C22FC05" w14:textId="77777777" w:rsidR="00AD4FAD" w:rsidRPr="007122AB" w:rsidRDefault="00AD4FAD" w:rsidP="007122AB">
      <w:pPr>
        <w:spacing w:after="0" w:line="240" w:lineRule="auto"/>
        <w:jc w:val="both"/>
        <w:rPr>
          <w:rFonts w:ascii="Times New Roman" w:hAnsi="Times New Roman"/>
          <w:color w:val="000000" w:themeColor="text1"/>
          <w:sz w:val="16"/>
          <w:szCs w:val="16"/>
        </w:rPr>
      </w:pPr>
    </w:p>
    <w:p w14:paraId="652B437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7C87C4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55A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сентября 1931 г. D.33-02 с тем же экипажем повторил 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w:t>
      </w:r>
      <w:proofErr w:type="spellStart"/>
      <w:r w:rsidRPr="007122AB">
        <w:rPr>
          <w:rFonts w:ascii="Times New Roman" w:hAnsi="Times New Roman"/>
          <w:color w:val="000000" w:themeColor="text1"/>
          <w:sz w:val="16"/>
          <w:szCs w:val="16"/>
        </w:rPr>
        <w:t>Месмин</w:t>
      </w:r>
      <w:proofErr w:type="spellEnd"/>
      <w:r w:rsidRPr="007122AB">
        <w:rPr>
          <w:rFonts w:ascii="Times New Roman" w:hAnsi="Times New Roman"/>
          <w:color w:val="000000" w:themeColor="text1"/>
          <w:sz w:val="16"/>
          <w:szCs w:val="16"/>
        </w:rPr>
        <w:t xml:space="preserve"> погибли под обломками самолета, упавшего недалеко от Уфы (11941). </w:t>
      </w:r>
    </w:p>
    <w:p w14:paraId="7DD35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0FC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11-12 октября 1931 в Германии Стальной шлем, Немецкая национальная народная партия Германии, Содружество патриотических союзов и НСП объединились в </w:t>
      </w:r>
      <w:proofErr w:type="spellStart"/>
      <w:r w:rsidRPr="007122AB">
        <w:rPr>
          <w:rFonts w:ascii="Times New Roman" w:hAnsi="Times New Roman"/>
          <w:color w:val="000000" w:themeColor="text1"/>
          <w:sz w:val="16"/>
          <w:szCs w:val="16"/>
        </w:rPr>
        <w:t>Харцбургский</w:t>
      </w:r>
      <w:proofErr w:type="spellEnd"/>
      <w:r w:rsidRPr="007122AB">
        <w:rPr>
          <w:rFonts w:ascii="Times New Roman" w:hAnsi="Times New Roman"/>
          <w:color w:val="000000" w:themeColor="text1"/>
          <w:sz w:val="16"/>
          <w:szCs w:val="16"/>
        </w:rPr>
        <w:t xml:space="preserve"> фронт для демонстрации единства народной оппозиции правительству Генриха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(3186).</w:t>
      </w:r>
    </w:p>
    <w:p w14:paraId="0BC4E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DC7FC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1F6DD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C54B1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в НИИ ВВС начался второй этап испытания И5 № 18 (образец для серии) с другим мотором М15 № 24109 и с тем же винтом.</w:t>
      </w:r>
    </w:p>
    <w:p w14:paraId="1DDF5CF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 (образца для серии) самолета И5 № 18 с мотором М15</w:t>
      </w:r>
    </w:p>
    <w:p w14:paraId="1CFF64B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0CC7EE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6D283B5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3B78A9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сообщению завода № 39 данный самолет в сравнении с И5 </w:t>
      </w:r>
      <w:proofErr w:type="spellStart"/>
      <w:r w:rsidRPr="007122AB">
        <w:rPr>
          <w:rFonts w:ascii="Times New Roman" w:hAnsi="Times New Roman"/>
          <w:color w:val="000000" w:themeColor="text1"/>
          <w:sz w:val="16"/>
          <w:szCs w:val="16"/>
        </w:rPr>
        <w:t>Юп</w:t>
      </w:r>
      <w:proofErr w:type="spellEnd"/>
      <w:r w:rsidRPr="007122AB">
        <w:rPr>
          <w:rFonts w:ascii="Times New Roman" w:hAnsi="Times New Roman"/>
          <w:color w:val="000000" w:themeColor="text1"/>
          <w:sz w:val="16"/>
          <w:szCs w:val="16"/>
        </w:rPr>
        <w:t xml:space="preserve"> VI усилен ………….</w:t>
      </w:r>
    </w:p>
    <w:p w14:paraId="1F13546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испытаний</w:t>
      </w:r>
    </w:p>
    <w:p w14:paraId="4399D07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7EDFC9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6A3238F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 испытания</w:t>
      </w:r>
    </w:p>
    <w:p w14:paraId="23C1469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первого испытания самолет И5 № 18 произвел следующие полеты:</w:t>
      </w:r>
    </w:p>
    <w:p w14:paraId="48BE9C7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5384B01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2463FA5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2A876D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второго испытания произведены следующие полеты:</w:t>
      </w:r>
    </w:p>
    <w:p w14:paraId="2881243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D58165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375E142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F38AC8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w:t>
      </w:r>
      <w:proofErr w:type="spellStart"/>
      <w:r w:rsidRPr="007122AB">
        <w:rPr>
          <w:rFonts w:ascii="Times New Roman" w:hAnsi="Times New Roman"/>
          <w:color w:val="000000" w:themeColor="text1"/>
          <w:sz w:val="16"/>
          <w:szCs w:val="16"/>
        </w:rPr>
        <w:t>ЮпVI</w:t>
      </w:r>
      <w:proofErr w:type="spellEnd"/>
      <w:r w:rsidRPr="007122AB">
        <w:rPr>
          <w:rFonts w:ascii="Times New Roman" w:hAnsi="Times New Roman"/>
          <w:color w:val="000000" w:themeColor="text1"/>
          <w:sz w:val="16"/>
          <w:szCs w:val="16"/>
        </w:rPr>
        <w:t xml:space="preserve"> (6964, 32-40).</w:t>
      </w:r>
    </w:p>
    <w:p w14:paraId="2C3FC15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53167A" w14:textId="77777777" w:rsidR="00B64565" w:rsidRPr="009F5089" w:rsidRDefault="00B64565" w:rsidP="00B64565">
      <w:pPr>
        <w:spacing w:after="0" w:line="240" w:lineRule="auto"/>
        <w:jc w:val="both"/>
        <w:rPr>
          <w:rFonts w:ascii="Times New Roman" w:hAnsi="Times New Roman"/>
          <w:color w:val="0070C0"/>
          <w:sz w:val="16"/>
          <w:szCs w:val="16"/>
        </w:rPr>
      </w:pPr>
      <w:r>
        <w:rPr>
          <w:rFonts w:ascii="Times New Roman" w:hAnsi="Times New Roman"/>
          <w:color w:val="0070C0"/>
          <w:sz w:val="16"/>
          <w:szCs w:val="16"/>
        </w:rPr>
        <w:t>12 ок</w:t>
      </w:r>
      <w:r w:rsidRPr="009F5089">
        <w:rPr>
          <w:rFonts w:ascii="Times New Roman" w:hAnsi="Times New Roman"/>
          <w:color w:val="0070C0"/>
          <w:sz w:val="16"/>
          <w:szCs w:val="16"/>
        </w:rPr>
        <w:t>т</w:t>
      </w:r>
      <w:r>
        <w:rPr>
          <w:rFonts w:ascii="Times New Roman" w:hAnsi="Times New Roman"/>
          <w:color w:val="0070C0"/>
          <w:sz w:val="16"/>
          <w:szCs w:val="16"/>
        </w:rPr>
        <w:t>я</w:t>
      </w:r>
      <w:r w:rsidRPr="009F5089">
        <w:rPr>
          <w:rFonts w:ascii="Times New Roman" w:hAnsi="Times New Roman"/>
          <w:color w:val="0070C0"/>
          <w:sz w:val="16"/>
          <w:szCs w:val="16"/>
        </w:rPr>
        <w:t>бря</w:t>
      </w:r>
      <w:r>
        <w:rPr>
          <w:rFonts w:ascii="Times New Roman" w:hAnsi="Times New Roman"/>
          <w:color w:val="0070C0"/>
          <w:sz w:val="16"/>
          <w:szCs w:val="16"/>
        </w:rPr>
        <w:t xml:space="preserve"> 1931 г. с</w:t>
      </w:r>
      <w:r w:rsidRPr="009F5089">
        <w:rPr>
          <w:rFonts w:ascii="Times New Roman" w:hAnsi="Times New Roman"/>
          <w:color w:val="0070C0"/>
          <w:sz w:val="16"/>
          <w:szCs w:val="16"/>
        </w:rPr>
        <w:t>о</w:t>
      </w:r>
      <w:r>
        <w:rPr>
          <w:rFonts w:ascii="Times New Roman" w:hAnsi="Times New Roman"/>
          <w:color w:val="0070C0"/>
          <w:sz w:val="16"/>
          <w:szCs w:val="16"/>
        </w:rPr>
        <w:t>с</w:t>
      </w:r>
      <w:r w:rsidRPr="009F5089">
        <w:rPr>
          <w:rFonts w:ascii="Times New Roman" w:hAnsi="Times New Roman"/>
          <w:color w:val="0070C0"/>
          <w:sz w:val="16"/>
          <w:szCs w:val="16"/>
        </w:rPr>
        <w:t>тоял</w:t>
      </w:r>
      <w:r>
        <w:rPr>
          <w:rFonts w:ascii="Times New Roman" w:hAnsi="Times New Roman"/>
          <w:color w:val="0070C0"/>
          <w:sz w:val="16"/>
          <w:szCs w:val="16"/>
        </w:rPr>
        <w:t>с</w:t>
      </w:r>
      <w:r w:rsidRPr="009F5089">
        <w:rPr>
          <w:rFonts w:ascii="Times New Roman" w:hAnsi="Times New Roman"/>
          <w:color w:val="0070C0"/>
          <w:sz w:val="16"/>
          <w:szCs w:val="16"/>
        </w:rPr>
        <w:t xml:space="preserve">я первый испытательный полет пассажирского </w:t>
      </w:r>
      <w:r>
        <w:rPr>
          <w:rFonts w:ascii="Times New Roman" w:hAnsi="Times New Roman"/>
          <w:color w:val="0070C0"/>
          <w:sz w:val="16"/>
          <w:szCs w:val="16"/>
        </w:rPr>
        <w:t xml:space="preserve">самолета </w:t>
      </w:r>
      <w:r w:rsidRPr="009F5089">
        <w:rPr>
          <w:rFonts w:ascii="Times New Roman" w:hAnsi="Times New Roman"/>
          <w:color w:val="0070C0"/>
          <w:sz w:val="16"/>
          <w:szCs w:val="16"/>
        </w:rPr>
        <w:t>”Сталь-2” конструкции инженера Александра Ивановича Пу</w:t>
      </w:r>
      <w:r>
        <w:rPr>
          <w:rFonts w:ascii="Times New Roman" w:hAnsi="Times New Roman"/>
          <w:color w:val="0070C0"/>
          <w:sz w:val="16"/>
          <w:szCs w:val="16"/>
        </w:rPr>
        <w:t>тилова</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“Сталь-2" - подкосный пятиместный высокоплан с мотором</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300 </w:t>
      </w:r>
      <w:r>
        <w:rPr>
          <w:rFonts w:ascii="Times New Roman" w:hAnsi="Times New Roman"/>
          <w:color w:val="0070C0"/>
          <w:sz w:val="16"/>
          <w:szCs w:val="16"/>
        </w:rPr>
        <w:t xml:space="preserve">л.с. </w:t>
      </w:r>
      <w:r w:rsidRPr="009F5089">
        <w:rPr>
          <w:rFonts w:ascii="Times New Roman" w:hAnsi="Times New Roman"/>
          <w:color w:val="0070C0"/>
          <w:sz w:val="16"/>
          <w:szCs w:val="16"/>
        </w:rPr>
        <w:t>Особенность самолета - построен из нержаве</w:t>
      </w:r>
      <w:r>
        <w:rPr>
          <w:rFonts w:ascii="Times New Roman" w:hAnsi="Times New Roman"/>
          <w:color w:val="0070C0"/>
          <w:sz w:val="16"/>
          <w:szCs w:val="16"/>
        </w:rPr>
        <w:t>ю</w:t>
      </w:r>
      <w:r w:rsidRPr="009F5089">
        <w:rPr>
          <w:rFonts w:ascii="Times New Roman" w:hAnsi="Times New Roman"/>
          <w:color w:val="0070C0"/>
          <w:sz w:val="16"/>
          <w:szCs w:val="16"/>
        </w:rPr>
        <w:t>щей ста</w:t>
      </w:r>
      <w:r>
        <w:rPr>
          <w:rFonts w:ascii="Times New Roman" w:hAnsi="Times New Roman"/>
          <w:color w:val="0070C0"/>
          <w:sz w:val="16"/>
          <w:szCs w:val="16"/>
        </w:rPr>
        <w:t>ли с</w:t>
      </w:r>
      <w:r w:rsidRPr="009F5089">
        <w:rPr>
          <w:rFonts w:ascii="Times New Roman" w:hAnsi="Times New Roman"/>
          <w:color w:val="0070C0"/>
          <w:sz w:val="16"/>
          <w:szCs w:val="16"/>
        </w:rPr>
        <w:t xml:space="preserve"> применением электросварки н клепки </w:t>
      </w:r>
      <w:proofErr w:type="spellStart"/>
      <w:r w:rsidRPr="009F5089">
        <w:rPr>
          <w:rFonts w:ascii="Times New Roman" w:hAnsi="Times New Roman"/>
          <w:color w:val="0070C0"/>
          <w:sz w:val="16"/>
          <w:szCs w:val="16"/>
        </w:rPr>
        <w:t>впотай</w:t>
      </w:r>
      <w:proofErr w:type="spellEnd"/>
      <w:r w:rsidRPr="009F5089">
        <w:rPr>
          <w:rFonts w:ascii="Times New Roman" w:hAnsi="Times New Roman"/>
          <w:color w:val="0070C0"/>
          <w:sz w:val="16"/>
          <w:szCs w:val="16"/>
        </w:rPr>
        <w:t>. Его данные: р</w:t>
      </w:r>
      <w:r>
        <w:rPr>
          <w:rFonts w:ascii="Times New Roman" w:hAnsi="Times New Roman"/>
          <w:color w:val="0070C0"/>
          <w:sz w:val="16"/>
          <w:szCs w:val="16"/>
        </w:rPr>
        <w:t>азмах – 16 м, площадь крыла -</w:t>
      </w:r>
      <w:r w:rsidRPr="009F5089">
        <w:rPr>
          <w:rFonts w:ascii="Times New Roman" w:hAnsi="Times New Roman"/>
          <w:color w:val="0070C0"/>
          <w:sz w:val="16"/>
          <w:szCs w:val="16"/>
        </w:rPr>
        <w:t xml:space="preserve"> 31 </w:t>
      </w:r>
      <w:r>
        <w:rPr>
          <w:rFonts w:ascii="Times New Roman" w:hAnsi="Times New Roman"/>
          <w:color w:val="0070C0"/>
          <w:sz w:val="16"/>
          <w:szCs w:val="16"/>
        </w:rPr>
        <w:t>м2</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вес конструкции - 11</w:t>
      </w:r>
      <w:r>
        <w:rPr>
          <w:rFonts w:ascii="Times New Roman" w:hAnsi="Times New Roman"/>
          <w:color w:val="0070C0"/>
          <w:sz w:val="16"/>
          <w:szCs w:val="16"/>
        </w:rPr>
        <w:t>00</w:t>
      </w:r>
      <w:r w:rsidRPr="009F5089">
        <w:rPr>
          <w:rFonts w:ascii="Times New Roman" w:hAnsi="Times New Roman"/>
          <w:color w:val="0070C0"/>
          <w:sz w:val="16"/>
          <w:szCs w:val="16"/>
        </w:rPr>
        <w:t xml:space="preserve"> кг;</w:t>
      </w:r>
      <w:r>
        <w:rPr>
          <w:rFonts w:ascii="Times New Roman" w:hAnsi="Times New Roman"/>
          <w:color w:val="0070C0"/>
          <w:sz w:val="16"/>
          <w:szCs w:val="16"/>
        </w:rPr>
        <w:t xml:space="preserve"> </w:t>
      </w:r>
      <w:r w:rsidRPr="009F5089">
        <w:rPr>
          <w:rFonts w:ascii="Times New Roman" w:hAnsi="Times New Roman"/>
          <w:color w:val="0070C0"/>
          <w:sz w:val="16"/>
          <w:szCs w:val="16"/>
        </w:rPr>
        <w:t>п</w:t>
      </w:r>
      <w:r>
        <w:rPr>
          <w:rFonts w:ascii="Times New Roman" w:hAnsi="Times New Roman"/>
          <w:color w:val="0070C0"/>
          <w:sz w:val="16"/>
          <w:szCs w:val="16"/>
        </w:rPr>
        <w:t>о</w:t>
      </w:r>
      <w:r w:rsidRPr="009F5089">
        <w:rPr>
          <w:rFonts w:ascii="Times New Roman" w:hAnsi="Times New Roman"/>
          <w:color w:val="0070C0"/>
          <w:sz w:val="16"/>
          <w:szCs w:val="16"/>
        </w:rPr>
        <w:t>л</w:t>
      </w:r>
      <w:r>
        <w:rPr>
          <w:rFonts w:ascii="Times New Roman" w:hAnsi="Times New Roman"/>
          <w:color w:val="0070C0"/>
          <w:sz w:val="16"/>
          <w:szCs w:val="16"/>
        </w:rPr>
        <w:t>е</w:t>
      </w:r>
      <w:r w:rsidRPr="009F5089">
        <w:rPr>
          <w:rFonts w:ascii="Times New Roman" w:hAnsi="Times New Roman"/>
          <w:color w:val="0070C0"/>
          <w:sz w:val="16"/>
          <w:szCs w:val="16"/>
        </w:rPr>
        <w:t>т</w:t>
      </w:r>
      <w:r>
        <w:rPr>
          <w:rFonts w:ascii="Times New Roman" w:hAnsi="Times New Roman"/>
          <w:color w:val="0070C0"/>
          <w:sz w:val="16"/>
          <w:szCs w:val="16"/>
        </w:rPr>
        <w:t>ный вес</w:t>
      </w:r>
      <w:r w:rsidRPr="009F5089">
        <w:rPr>
          <w:rFonts w:ascii="Times New Roman" w:hAnsi="Times New Roman"/>
          <w:color w:val="0070C0"/>
          <w:sz w:val="16"/>
          <w:szCs w:val="16"/>
        </w:rPr>
        <w:t xml:space="preserve"> - 1800 кг;</w:t>
      </w:r>
      <w:r>
        <w:rPr>
          <w:rFonts w:ascii="Times New Roman" w:hAnsi="Times New Roman"/>
          <w:color w:val="0070C0"/>
          <w:sz w:val="16"/>
          <w:szCs w:val="16"/>
        </w:rPr>
        <w:t xml:space="preserve"> </w:t>
      </w:r>
      <w:r w:rsidRPr="009F5089">
        <w:rPr>
          <w:rFonts w:ascii="Times New Roman" w:hAnsi="Times New Roman"/>
          <w:color w:val="0070C0"/>
          <w:sz w:val="16"/>
          <w:szCs w:val="16"/>
        </w:rPr>
        <w:t>скорость - 174 км/ч;</w:t>
      </w:r>
      <w:r>
        <w:rPr>
          <w:rFonts w:ascii="Times New Roman" w:hAnsi="Times New Roman"/>
          <w:color w:val="0070C0"/>
          <w:sz w:val="16"/>
          <w:szCs w:val="16"/>
        </w:rPr>
        <w:t xml:space="preserve"> </w:t>
      </w:r>
      <w:r w:rsidRPr="009F5089">
        <w:rPr>
          <w:rFonts w:ascii="Times New Roman" w:hAnsi="Times New Roman"/>
          <w:color w:val="0070C0"/>
          <w:sz w:val="16"/>
          <w:szCs w:val="16"/>
        </w:rPr>
        <w:t>дальность полета - 770 км. Само</w:t>
      </w:r>
      <w:r>
        <w:rPr>
          <w:rFonts w:ascii="Times New Roman" w:hAnsi="Times New Roman"/>
          <w:color w:val="0070C0"/>
          <w:sz w:val="16"/>
          <w:szCs w:val="16"/>
        </w:rPr>
        <w:t>лет</w:t>
      </w:r>
      <w:r w:rsidRPr="009F5089">
        <w:rPr>
          <w:rFonts w:ascii="Times New Roman" w:hAnsi="Times New Roman"/>
          <w:color w:val="0070C0"/>
          <w:sz w:val="16"/>
          <w:szCs w:val="16"/>
        </w:rPr>
        <w:t xml:space="preserve"> построен мастерскими ГВ</w:t>
      </w:r>
      <w:r>
        <w:rPr>
          <w:rFonts w:ascii="Times New Roman" w:hAnsi="Times New Roman"/>
          <w:color w:val="0070C0"/>
          <w:sz w:val="16"/>
          <w:szCs w:val="16"/>
        </w:rPr>
        <w:t>Ф</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испытание проводил летчик НИИ ГВ</w:t>
      </w:r>
      <w:r>
        <w:rPr>
          <w:rFonts w:ascii="Times New Roman" w:hAnsi="Times New Roman"/>
          <w:color w:val="0070C0"/>
          <w:sz w:val="16"/>
          <w:szCs w:val="16"/>
        </w:rPr>
        <w:t>Ф</w:t>
      </w:r>
      <w:r w:rsidRPr="009F5089">
        <w:rPr>
          <w:rFonts w:ascii="Times New Roman" w:hAnsi="Times New Roman"/>
          <w:color w:val="0070C0"/>
          <w:sz w:val="16"/>
          <w:szCs w:val="16"/>
        </w:rPr>
        <w:t xml:space="preserve"> Эдуард Иванович Шварц.</w:t>
      </w:r>
    </w:p>
    <w:p w14:paraId="1791F6A7" w14:textId="77777777" w:rsidR="00B64565" w:rsidRDefault="00B64565" w:rsidP="00B64565">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/«Гражданская авиация</w:t>
      </w:r>
      <w:r>
        <w:rPr>
          <w:rFonts w:ascii="Times New Roman" w:hAnsi="Times New Roman"/>
          <w:color w:val="0070C0"/>
          <w:sz w:val="16"/>
          <w:szCs w:val="16"/>
        </w:rPr>
        <w:t>»</w:t>
      </w:r>
      <w:r w:rsidRPr="009F5089">
        <w:rPr>
          <w:rFonts w:ascii="Times New Roman" w:hAnsi="Times New Roman"/>
          <w:color w:val="0070C0"/>
          <w:sz w:val="16"/>
          <w:szCs w:val="16"/>
        </w:rPr>
        <w:t xml:space="preserve">, 1931 </w:t>
      </w:r>
      <w:r>
        <w:rPr>
          <w:rFonts w:ascii="Times New Roman" w:hAnsi="Times New Roman"/>
          <w:color w:val="0070C0"/>
          <w:sz w:val="16"/>
          <w:szCs w:val="16"/>
        </w:rPr>
        <w:t>№</w:t>
      </w:r>
      <w:r w:rsidRPr="009F5089">
        <w:rPr>
          <w:rFonts w:ascii="Times New Roman" w:hAnsi="Times New Roman"/>
          <w:color w:val="0070C0"/>
          <w:sz w:val="16"/>
          <w:szCs w:val="16"/>
        </w:rPr>
        <w:t xml:space="preserve"> 11,</w:t>
      </w:r>
      <w:r>
        <w:rPr>
          <w:rFonts w:ascii="Times New Roman" w:hAnsi="Times New Roman"/>
          <w:color w:val="0070C0"/>
          <w:sz w:val="16"/>
          <w:szCs w:val="16"/>
        </w:rPr>
        <w:t xml:space="preserve"> стр. </w:t>
      </w:r>
      <w:r w:rsidRPr="009F5089">
        <w:rPr>
          <w:rFonts w:ascii="Times New Roman" w:hAnsi="Times New Roman"/>
          <w:color w:val="0070C0"/>
          <w:sz w:val="16"/>
          <w:szCs w:val="16"/>
        </w:rPr>
        <w:t>13-14;</w:t>
      </w:r>
      <w:r>
        <w:rPr>
          <w:rFonts w:ascii="Times New Roman" w:hAnsi="Times New Roman"/>
          <w:color w:val="0070C0"/>
          <w:sz w:val="16"/>
          <w:szCs w:val="16"/>
        </w:rPr>
        <w:t xml:space="preserve"> </w:t>
      </w:r>
      <w:r w:rsidRPr="009F5089">
        <w:rPr>
          <w:rFonts w:ascii="Times New Roman" w:hAnsi="Times New Roman"/>
          <w:color w:val="0070C0"/>
          <w:sz w:val="16"/>
          <w:szCs w:val="16"/>
        </w:rPr>
        <w:t>ВВ</w:t>
      </w:r>
      <w:r>
        <w:rPr>
          <w:rFonts w:ascii="Times New Roman" w:hAnsi="Times New Roman"/>
          <w:color w:val="0070C0"/>
          <w:sz w:val="16"/>
          <w:szCs w:val="16"/>
        </w:rPr>
        <w:t>Ф</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1931 </w:t>
      </w:r>
      <w:r>
        <w:rPr>
          <w:rFonts w:ascii="Times New Roman" w:hAnsi="Times New Roman"/>
          <w:color w:val="0070C0"/>
          <w:sz w:val="16"/>
          <w:szCs w:val="16"/>
        </w:rPr>
        <w:t>№</w:t>
      </w:r>
      <w:r w:rsidRPr="009F5089">
        <w:rPr>
          <w:rFonts w:ascii="Times New Roman" w:hAnsi="Times New Roman"/>
          <w:color w:val="0070C0"/>
          <w:sz w:val="16"/>
          <w:szCs w:val="16"/>
        </w:rPr>
        <w:t xml:space="preserve"> 12/</w:t>
      </w:r>
      <w:r>
        <w:rPr>
          <w:rFonts w:ascii="Times New Roman" w:hAnsi="Times New Roman"/>
          <w:color w:val="0070C0"/>
          <w:sz w:val="16"/>
          <w:szCs w:val="16"/>
        </w:rPr>
        <w:t xml:space="preserve"> (23370).</w:t>
      </w:r>
    </w:p>
    <w:p w14:paraId="55B01E36" w14:textId="77777777" w:rsidR="00B64565" w:rsidRPr="009F5089" w:rsidRDefault="00B64565" w:rsidP="00B64565">
      <w:pPr>
        <w:spacing w:after="0" w:line="240" w:lineRule="auto"/>
        <w:jc w:val="both"/>
        <w:rPr>
          <w:rFonts w:ascii="Times New Roman" w:hAnsi="Times New Roman"/>
          <w:color w:val="0070C0"/>
          <w:sz w:val="16"/>
          <w:szCs w:val="16"/>
        </w:rPr>
      </w:pPr>
    </w:p>
    <w:p w14:paraId="24E9CC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КО внесла постановление, обязывающее ГВФ построить в 1932 году 100 самолетов из нержавеющей стали посредством применения метода электросварки по типу недавно выпущенного нами первого в мире самолета "Сталь-2"……(7752, 73).</w:t>
      </w:r>
    </w:p>
    <w:p w14:paraId="3847C7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3FBA5A" w14:textId="77777777" w:rsidR="0075626C" w:rsidRPr="007122AB" w:rsidRDefault="0075626C"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12 октября 1931 года на заседании Комитета обороны (КО) было внесено постановление, обязывающее ГВФ построить в 1932 году 100 самолетов Сталь-2 из нержа</w:t>
      </w:r>
      <w:r w:rsidRPr="007122AB">
        <w:rPr>
          <w:rFonts w:ascii="Times New Roman" w:hAnsi="Times New Roman"/>
          <w:color w:val="000000" w:themeColor="text1"/>
          <w:sz w:val="16"/>
          <w:szCs w:val="16"/>
          <w:lang w:eastAsia="ru-RU" w:bidi="ru-RU"/>
        </w:rPr>
        <w:softHyphen/>
        <w:t>веющей стали. Понятно, что изготовление серии на опыт</w:t>
      </w:r>
      <w:r w:rsidRPr="007122AB">
        <w:rPr>
          <w:rFonts w:ascii="Times New Roman" w:hAnsi="Times New Roman"/>
          <w:color w:val="000000" w:themeColor="text1"/>
          <w:sz w:val="16"/>
          <w:szCs w:val="16"/>
          <w:lang w:eastAsia="ru-RU" w:bidi="ru-RU"/>
        </w:rPr>
        <w:softHyphen/>
        <w:t>ном производстве НИИ ГВФ на Ходынке представлялось не возможным и во исполнение постановления, был разработан проект по</w:t>
      </w:r>
      <w:r w:rsidRPr="007122AB">
        <w:rPr>
          <w:rFonts w:ascii="Times New Roman" w:hAnsi="Times New Roman"/>
          <w:color w:val="000000" w:themeColor="text1"/>
          <w:sz w:val="16"/>
          <w:szCs w:val="16"/>
          <w:lang w:eastAsia="ru-RU" w:bidi="ru-RU"/>
        </w:rPr>
        <w:softHyphen/>
        <w:t>стройки упрощенного заво</w:t>
      </w:r>
      <w:r w:rsidRPr="007122AB">
        <w:rPr>
          <w:rFonts w:ascii="Times New Roman" w:hAnsi="Times New Roman"/>
          <w:color w:val="000000" w:themeColor="text1"/>
          <w:sz w:val="16"/>
          <w:szCs w:val="16"/>
          <w:lang w:eastAsia="ru-RU" w:bidi="ru-RU"/>
        </w:rPr>
        <w:softHyphen/>
        <w:t>да (в барачных помещениях); проект технологического про</w:t>
      </w:r>
      <w:r w:rsidRPr="007122AB">
        <w:rPr>
          <w:rFonts w:ascii="Times New Roman" w:hAnsi="Times New Roman"/>
          <w:color w:val="000000" w:themeColor="text1"/>
          <w:sz w:val="16"/>
          <w:szCs w:val="16"/>
          <w:lang w:eastAsia="ru-RU" w:bidi="ru-RU"/>
        </w:rPr>
        <w:softHyphen/>
        <w:t>цесса этого завода и схема его оборудования. Исполь</w:t>
      </w:r>
      <w:r w:rsidRPr="007122AB">
        <w:rPr>
          <w:rFonts w:ascii="Times New Roman" w:hAnsi="Times New Roman"/>
          <w:color w:val="000000" w:themeColor="text1"/>
          <w:sz w:val="16"/>
          <w:szCs w:val="16"/>
          <w:lang w:eastAsia="ru-RU" w:bidi="ru-RU"/>
        </w:rPr>
        <w:softHyphen/>
        <w:t>зовалось (но не прижилось) название: завод стальных са</w:t>
      </w:r>
      <w:r w:rsidRPr="007122AB">
        <w:rPr>
          <w:rFonts w:ascii="Times New Roman" w:hAnsi="Times New Roman"/>
          <w:color w:val="000000" w:themeColor="text1"/>
          <w:sz w:val="16"/>
          <w:szCs w:val="16"/>
          <w:lang w:eastAsia="ru-RU" w:bidi="ru-RU"/>
        </w:rPr>
        <w:softHyphen/>
        <w:t>молетов «</w:t>
      </w:r>
      <w:proofErr w:type="spellStart"/>
      <w:r w:rsidRPr="007122AB">
        <w:rPr>
          <w:rFonts w:ascii="Times New Roman" w:hAnsi="Times New Roman"/>
          <w:color w:val="000000" w:themeColor="text1"/>
          <w:sz w:val="16"/>
          <w:szCs w:val="16"/>
          <w:lang w:eastAsia="ru-RU" w:bidi="ru-RU"/>
        </w:rPr>
        <w:t>Авиасталь</w:t>
      </w:r>
      <w:proofErr w:type="spellEnd"/>
      <w:r w:rsidRPr="007122AB">
        <w:rPr>
          <w:rFonts w:ascii="Times New Roman" w:hAnsi="Times New Roman"/>
          <w:color w:val="000000" w:themeColor="text1"/>
          <w:sz w:val="16"/>
          <w:szCs w:val="16"/>
          <w:lang w:eastAsia="ru-RU" w:bidi="ru-RU"/>
        </w:rPr>
        <w:t>».</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eastAsia="ru-RU" w:bidi="ru-RU"/>
        </w:rPr>
        <w:t>Место для постройки определили вблизи села Тушино под Москвой. Участок, выбран</w:t>
      </w:r>
      <w:r w:rsidRPr="007122AB">
        <w:rPr>
          <w:rFonts w:ascii="Times New Roman" w:hAnsi="Times New Roman"/>
          <w:color w:val="000000" w:themeColor="text1"/>
          <w:sz w:val="16"/>
          <w:szCs w:val="16"/>
          <w:lang w:eastAsia="ru-RU" w:bidi="ru-RU"/>
        </w:rPr>
        <w:softHyphen/>
        <w:t>ный для строительства, пред</w:t>
      </w:r>
      <w:r w:rsidRPr="007122AB">
        <w:rPr>
          <w:rFonts w:ascii="Times New Roman" w:hAnsi="Times New Roman"/>
          <w:color w:val="000000" w:themeColor="text1"/>
          <w:sz w:val="16"/>
          <w:szCs w:val="16"/>
          <w:lang w:eastAsia="ru-RU" w:bidi="ru-RU"/>
        </w:rPr>
        <w:softHyphen/>
        <w:t>ставлял собой сплошной лес</w:t>
      </w:r>
      <w:r w:rsidRPr="007122AB">
        <w:rPr>
          <w:rFonts w:ascii="Times New Roman" w:hAnsi="Times New Roman"/>
          <w:color w:val="000000" w:themeColor="text1"/>
          <w:sz w:val="16"/>
          <w:szCs w:val="16"/>
          <w:lang w:eastAsia="ru-RU" w:bidi="ru-RU"/>
        </w:rPr>
        <w:softHyphen/>
        <w:t>ной массив, поначалу там не было даже дорог. Тем не ме</w:t>
      </w:r>
      <w:r w:rsidRPr="007122AB">
        <w:rPr>
          <w:rFonts w:ascii="Times New Roman" w:hAnsi="Times New Roman"/>
          <w:color w:val="000000" w:themeColor="text1"/>
          <w:sz w:val="16"/>
          <w:szCs w:val="16"/>
          <w:lang w:eastAsia="ru-RU" w:bidi="ru-RU"/>
        </w:rPr>
        <w:softHyphen/>
        <w:t>нее, строительство началось зимой 1932-го и через 3,5 месяца, 5 мая тушинский за</w:t>
      </w:r>
      <w:r w:rsidRPr="007122AB">
        <w:rPr>
          <w:rFonts w:ascii="Times New Roman" w:hAnsi="Times New Roman"/>
          <w:color w:val="000000" w:themeColor="text1"/>
          <w:sz w:val="16"/>
          <w:szCs w:val="16"/>
          <w:lang w:eastAsia="ru-RU" w:bidi="ru-RU"/>
        </w:rPr>
        <w:softHyphen/>
        <w:t>вод вступил в строй. Понача</w:t>
      </w:r>
      <w:r w:rsidRPr="007122AB">
        <w:rPr>
          <w:rFonts w:ascii="Times New Roman" w:hAnsi="Times New Roman"/>
          <w:color w:val="000000" w:themeColor="text1"/>
          <w:sz w:val="16"/>
          <w:szCs w:val="16"/>
          <w:lang w:eastAsia="ru-RU" w:bidi="ru-RU"/>
        </w:rPr>
        <w:softHyphen/>
        <w:t>лу предприятие определя</w:t>
      </w:r>
      <w:r w:rsidRPr="007122AB">
        <w:rPr>
          <w:rFonts w:ascii="Times New Roman" w:hAnsi="Times New Roman"/>
          <w:color w:val="000000" w:themeColor="text1"/>
          <w:sz w:val="16"/>
          <w:szCs w:val="16"/>
          <w:lang w:eastAsia="ru-RU" w:bidi="ru-RU"/>
        </w:rPr>
        <w:softHyphen/>
        <w:t>лось как авиаремонтный завод АРЗ №62 ГВФ. С таким названием он существовал па</w:t>
      </w:r>
      <w:r w:rsidRPr="007122AB">
        <w:rPr>
          <w:rFonts w:ascii="Times New Roman" w:hAnsi="Times New Roman"/>
          <w:color w:val="000000" w:themeColor="text1"/>
          <w:sz w:val="16"/>
          <w:szCs w:val="16"/>
          <w:lang w:eastAsia="ru-RU" w:bidi="ru-RU"/>
        </w:rPr>
        <w:softHyphen/>
        <w:t xml:space="preserve">ру лет, затем его стали именовать как авиазавод №81 им. </w:t>
      </w:r>
      <w:proofErr w:type="spellStart"/>
      <w:r w:rsidRPr="007122AB">
        <w:rPr>
          <w:rFonts w:ascii="Times New Roman" w:hAnsi="Times New Roman"/>
          <w:color w:val="000000" w:themeColor="text1"/>
          <w:sz w:val="16"/>
          <w:szCs w:val="16"/>
          <w:lang w:eastAsia="ru-RU" w:bidi="ru-RU"/>
        </w:rPr>
        <w:t>В.М.Молотова</w:t>
      </w:r>
      <w:proofErr w:type="spellEnd"/>
      <w:r w:rsidRPr="007122AB">
        <w:rPr>
          <w:rFonts w:ascii="Times New Roman" w:hAnsi="Times New Roman"/>
          <w:color w:val="000000" w:themeColor="text1"/>
          <w:sz w:val="16"/>
          <w:szCs w:val="16"/>
          <w:lang w:eastAsia="ru-RU" w:bidi="ru-RU"/>
        </w:rPr>
        <w:t>, а в 1936 году завод передали из ГВФ в нар</w:t>
      </w:r>
      <w:r w:rsidRPr="007122AB">
        <w:rPr>
          <w:rFonts w:ascii="Times New Roman" w:hAnsi="Times New Roman"/>
          <w:color w:val="000000" w:themeColor="text1"/>
          <w:sz w:val="16"/>
          <w:szCs w:val="16"/>
          <w:lang w:eastAsia="ru-RU" w:bidi="ru-RU"/>
        </w:rPr>
        <w:softHyphen/>
        <w:t>комат оборонной</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eastAsia="ru-RU" w:bidi="ru-RU"/>
        </w:rPr>
        <w:t>промышленности (НКОП) (20365).</w:t>
      </w:r>
    </w:p>
    <w:p w14:paraId="69DCD92C" w14:textId="77777777" w:rsidR="0075626C" w:rsidRPr="007122AB" w:rsidRDefault="0075626C" w:rsidP="007122AB">
      <w:pPr>
        <w:spacing w:after="0" w:line="240" w:lineRule="auto"/>
        <w:jc w:val="both"/>
        <w:rPr>
          <w:rFonts w:ascii="Times New Roman" w:hAnsi="Times New Roman"/>
          <w:color w:val="000000" w:themeColor="text1"/>
          <w:sz w:val="16"/>
          <w:szCs w:val="16"/>
        </w:rPr>
      </w:pPr>
    </w:p>
    <w:p w14:paraId="34C0533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144D4F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8AA26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октября 1931 г. завод (ГС завод № 184 ИМ. Серго НКОП, НКБ, МОП, п/я 1, </w:t>
      </w:r>
      <w:proofErr w:type="spellStart"/>
      <w:r w:rsidRPr="007122AB">
        <w:rPr>
          <w:rFonts w:ascii="Times New Roman" w:hAnsi="Times New Roman"/>
          <w:color w:val="000000" w:themeColor="text1"/>
          <w:sz w:val="16"/>
          <w:szCs w:val="16"/>
        </w:rPr>
        <w:t>Паратский</w:t>
      </w:r>
      <w:proofErr w:type="spellEnd"/>
      <w:r w:rsidRPr="007122AB">
        <w:rPr>
          <w:rFonts w:ascii="Times New Roman" w:hAnsi="Times New Roman"/>
          <w:color w:val="000000" w:themeColor="text1"/>
          <w:sz w:val="16"/>
          <w:szCs w:val="16"/>
        </w:rPr>
        <w:t xml:space="preserve"> сталелитейный завод, Волжско-Ижорский металлургический завод, Завод им. Серго НКТП, МОП, ММ, ПО «Завод им. Серго» ММ, ГУЛ «Зеленодольское ПО «Завод им. Серго» </w:t>
      </w:r>
      <w:proofErr w:type="spellStart"/>
      <w:r w:rsidRPr="007122AB">
        <w:rPr>
          <w:rFonts w:ascii="Times New Roman" w:hAnsi="Times New Roman"/>
          <w:color w:val="000000" w:themeColor="text1"/>
          <w:sz w:val="16"/>
          <w:szCs w:val="16"/>
        </w:rPr>
        <w:t>Росбоеприпаса</w:t>
      </w:r>
      <w:proofErr w:type="spellEnd"/>
      <w:r w:rsidRPr="007122AB">
        <w:rPr>
          <w:rFonts w:ascii="Times New Roman" w:hAnsi="Times New Roman"/>
          <w:color w:val="000000" w:themeColor="text1"/>
          <w:sz w:val="16"/>
          <w:szCs w:val="16"/>
        </w:rPr>
        <w:t xml:space="preserve">, ФГУП «Производственное объединение «Завод им. Серго» (ПОЗИС) /г. </w:t>
      </w:r>
      <w:proofErr w:type="spellStart"/>
      <w:r w:rsidRPr="007122AB">
        <w:rPr>
          <w:rFonts w:ascii="Times New Roman" w:hAnsi="Times New Roman"/>
          <w:color w:val="000000" w:themeColor="text1"/>
          <w:sz w:val="16"/>
          <w:szCs w:val="16"/>
        </w:rPr>
        <w:t>Паратск</w:t>
      </w:r>
      <w:proofErr w:type="spellEnd"/>
      <w:r w:rsidRPr="007122AB">
        <w:rPr>
          <w:rFonts w:ascii="Times New Roman" w:hAnsi="Times New Roman"/>
          <w:color w:val="000000" w:themeColor="text1"/>
          <w:sz w:val="16"/>
          <w:szCs w:val="16"/>
        </w:rPr>
        <w:t>,  г. Зеленодольск/ /Татарстан 422546  г. Зеленодольск ул. Привокзальная, 4 тел. 53-664/) официально вступил в строй, в этом же году ему присвоено имя Серго (в честь С. Орджоникидзе).</w:t>
      </w:r>
    </w:p>
    <w:p w14:paraId="129B7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октября 1930 г. в соответствии с пост. Президиума ВСНХ № 1304 началась реконструкция завода и восстановление производства пушечных гильз.</w:t>
      </w:r>
    </w:p>
    <w:p w14:paraId="707AD7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марте 1922 г. на </w:t>
      </w:r>
      <w:proofErr w:type="spellStart"/>
      <w:r w:rsidRPr="007122AB">
        <w:rPr>
          <w:rFonts w:ascii="Times New Roman" w:hAnsi="Times New Roman"/>
          <w:color w:val="000000" w:themeColor="text1"/>
          <w:sz w:val="16"/>
          <w:szCs w:val="16"/>
        </w:rPr>
        <w:t>Паратском</w:t>
      </w:r>
      <w:proofErr w:type="spellEnd"/>
      <w:r w:rsidRPr="007122AB">
        <w:rPr>
          <w:rFonts w:ascii="Times New Roman" w:hAnsi="Times New Roman"/>
          <w:color w:val="000000" w:themeColor="text1"/>
          <w:sz w:val="16"/>
          <w:szCs w:val="16"/>
        </w:rPr>
        <w:t xml:space="preserve"> заводе (ГС завод № 184 ИМ. Серго НКОП, НКБ, МОП, п/я 1, </w:t>
      </w:r>
      <w:proofErr w:type="spellStart"/>
      <w:r w:rsidRPr="007122AB">
        <w:rPr>
          <w:rFonts w:ascii="Times New Roman" w:hAnsi="Times New Roman"/>
          <w:color w:val="000000" w:themeColor="text1"/>
          <w:sz w:val="16"/>
          <w:szCs w:val="16"/>
        </w:rPr>
        <w:t>Паратский</w:t>
      </w:r>
      <w:proofErr w:type="spellEnd"/>
      <w:r w:rsidRPr="007122AB">
        <w:rPr>
          <w:rFonts w:ascii="Times New Roman" w:hAnsi="Times New Roman"/>
          <w:color w:val="000000" w:themeColor="text1"/>
          <w:sz w:val="16"/>
          <w:szCs w:val="16"/>
        </w:rPr>
        <w:t xml:space="preserve"> сталелитейный завод, Волжско-Ижорский металлургический завод, Завод им. Серго НКТП, МОП, ММ, ПО «Завод им. Серго» ММ, ГУЛ «Зеленодольское ПО «Завод им. Серго» </w:t>
      </w:r>
      <w:proofErr w:type="spellStart"/>
      <w:r w:rsidRPr="007122AB">
        <w:rPr>
          <w:rFonts w:ascii="Times New Roman" w:hAnsi="Times New Roman"/>
          <w:color w:val="000000" w:themeColor="text1"/>
          <w:sz w:val="16"/>
          <w:szCs w:val="16"/>
        </w:rPr>
        <w:t>Росбоеприпаса</w:t>
      </w:r>
      <w:proofErr w:type="spellEnd"/>
      <w:r w:rsidRPr="007122AB">
        <w:rPr>
          <w:rFonts w:ascii="Times New Roman" w:hAnsi="Times New Roman"/>
          <w:color w:val="000000" w:themeColor="text1"/>
          <w:sz w:val="16"/>
          <w:szCs w:val="16"/>
        </w:rPr>
        <w:t xml:space="preserve">, ФГУП «Производственное объединение «Завод им. Серго» (ПОЗИС) /г. </w:t>
      </w:r>
      <w:proofErr w:type="spellStart"/>
      <w:r w:rsidRPr="007122AB">
        <w:rPr>
          <w:rFonts w:ascii="Times New Roman" w:hAnsi="Times New Roman"/>
          <w:color w:val="000000" w:themeColor="text1"/>
          <w:sz w:val="16"/>
          <w:szCs w:val="16"/>
        </w:rPr>
        <w:t>Паратск</w:t>
      </w:r>
      <w:proofErr w:type="spellEnd"/>
      <w:r w:rsidRPr="007122AB">
        <w:rPr>
          <w:rFonts w:ascii="Times New Roman" w:hAnsi="Times New Roman"/>
          <w:color w:val="000000" w:themeColor="text1"/>
          <w:sz w:val="16"/>
          <w:szCs w:val="16"/>
        </w:rPr>
        <w:t>,  г. Зеленодольск/ /Татарстан 422546  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w:t>
      </w:r>
    </w:p>
    <w:p w14:paraId="339E59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 НКОГ1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xml:space="preserve"> В 02.1939 г. завод № 184 21ГУ НКОП передан в ведение 21ГУ НКБ. В 12.1942-09.1944 г. - в ведении 5ГУ НКБ.</w:t>
      </w:r>
    </w:p>
    <w:p w14:paraId="5CE60A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w:t>
      </w:r>
      <w:proofErr w:type="spellStart"/>
      <w:r w:rsidRPr="007122AB">
        <w:rPr>
          <w:rFonts w:ascii="Times New Roman" w:hAnsi="Times New Roman"/>
          <w:color w:val="000000" w:themeColor="text1"/>
          <w:sz w:val="16"/>
          <w:szCs w:val="16"/>
        </w:rPr>
        <w:t>неплакированного</w:t>
      </w:r>
      <w:proofErr w:type="spellEnd"/>
      <w:r w:rsidRPr="007122AB">
        <w:rPr>
          <w:rFonts w:ascii="Times New Roman" w:hAnsi="Times New Roman"/>
          <w:color w:val="000000" w:themeColor="text1"/>
          <w:sz w:val="16"/>
          <w:szCs w:val="16"/>
        </w:rPr>
        <w:t xml:space="preserve">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037F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7D0882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4A72B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2DD2D2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1959 г. завод одним из первых в стране освоил выпуск бытовых холодильников.</w:t>
      </w:r>
    </w:p>
    <w:p w14:paraId="0BE58C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184 - в ведении МОП (1953 г.). Имел наименование «п/я 1» (1950-66 г.)</w:t>
      </w:r>
    </w:p>
    <w:p w14:paraId="00433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2D23EE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6933A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(конец 1901 г.)- около 800 чел., (1902 г.)- около 200 чел., (12.1942 г.)- 5006 чел.</w:t>
      </w:r>
      <w:r w:rsidRPr="007122AB">
        <w:rPr>
          <w:rFonts w:ascii="Times New Roman" w:hAnsi="Times New Roman"/>
          <w:color w:val="000000" w:themeColor="text1"/>
          <w:sz w:val="16"/>
          <w:szCs w:val="16"/>
          <w:vertAlign w:val="superscript"/>
        </w:rPr>
        <w:t>132</w:t>
      </w:r>
    </w:p>
    <w:p w14:paraId="693413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(02.1935-7.06.1937 г.)- М.В. Хруничев, (7.06.1937-9.02.1938 г.)-  Г.И. Волошинов, (9.02.1938 г.-)- В.В. Сытин, (6.12.1941-43 г.)- А.В. </w:t>
      </w:r>
      <w:proofErr w:type="spellStart"/>
      <w:r w:rsidRPr="007122AB">
        <w:rPr>
          <w:rFonts w:ascii="Times New Roman" w:hAnsi="Times New Roman"/>
          <w:color w:val="000000" w:themeColor="text1"/>
          <w:sz w:val="16"/>
          <w:szCs w:val="16"/>
        </w:rPr>
        <w:t>Саханицкий</w:t>
      </w:r>
      <w:proofErr w:type="spellEnd"/>
      <w:r w:rsidRPr="007122AB">
        <w:rPr>
          <w:rFonts w:ascii="Times New Roman" w:hAnsi="Times New Roman"/>
          <w:color w:val="000000" w:themeColor="text1"/>
          <w:sz w:val="16"/>
          <w:szCs w:val="16"/>
        </w:rPr>
        <w:t>, (1943 г.-)- Г.И. Рудаков. Гендиректор (2002 г.)- О.В. Филиппов,</w:t>
      </w:r>
      <w:r w:rsidRPr="007122AB">
        <w:rPr>
          <w:rFonts w:ascii="Times New Roman" w:hAnsi="Times New Roman"/>
          <w:color w:val="000000" w:themeColor="text1"/>
          <w:sz w:val="16"/>
          <w:szCs w:val="16"/>
          <w:vertAlign w:val="superscript"/>
        </w:rPr>
        <w:t>69</w:t>
      </w:r>
      <w:r w:rsidRPr="007122AB">
        <w:rPr>
          <w:rFonts w:ascii="Times New Roman" w:hAnsi="Times New Roman"/>
          <w:color w:val="000000" w:themeColor="text1"/>
          <w:sz w:val="16"/>
          <w:szCs w:val="16"/>
        </w:rPr>
        <w:t xml:space="preserve"> (1998- 2006 г.-)- Р.Ш. Хасанов.</w:t>
      </w:r>
    </w:p>
    <w:p w14:paraId="0DDEE0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строительства (-7.06.1937 г.)- М.В. Хруничев. Зам. директора (-29.05.1937 г.)- С.З. </w:t>
      </w:r>
      <w:proofErr w:type="spellStart"/>
      <w:r w:rsidRPr="007122AB">
        <w:rPr>
          <w:rFonts w:ascii="Times New Roman" w:hAnsi="Times New Roman"/>
          <w:color w:val="000000" w:themeColor="text1"/>
          <w:sz w:val="16"/>
          <w:szCs w:val="16"/>
        </w:rPr>
        <w:t>Довконт</w:t>
      </w:r>
      <w:proofErr w:type="spellEnd"/>
      <w:r w:rsidRPr="007122AB">
        <w:rPr>
          <w:rFonts w:ascii="Times New Roman" w:hAnsi="Times New Roman"/>
          <w:color w:val="000000" w:themeColor="text1"/>
          <w:sz w:val="16"/>
          <w:szCs w:val="16"/>
        </w:rPr>
        <w:t xml:space="preserve"> (снят), (8.03.1938 г.-)- Н.В. Мартынов. Помощник директора по найму и увольнению (31.12.1938 г.-)- М.В. Бычков. Зам. Гендиректора по экспорту (2002 г.)- К. Г. </w:t>
      </w:r>
      <w:proofErr w:type="spellStart"/>
      <w:r w:rsidRPr="007122AB">
        <w:rPr>
          <w:rFonts w:ascii="Times New Roman" w:hAnsi="Times New Roman"/>
          <w:color w:val="000000" w:themeColor="text1"/>
          <w:sz w:val="16"/>
          <w:szCs w:val="16"/>
        </w:rPr>
        <w:t>Насифуллин</w:t>
      </w:r>
      <w:proofErr w:type="spellEnd"/>
      <w:r w:rsidRPr="007122AB">
        <w:rPr>
          <w:rFonts w:ascii="Times New Roman" w:hAnsi="Times New Roman"/>
          <w:color w:val="000000" w:themeColor="text1"/>
          <w:sz w:val="16"/>
          <w:szCs w:val="16"/>
        </w:rPr>
        <w:t>.</w:t>
      </w:r>
    </w:p>
    <w:p w14:paraId="3A541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(1935-37; 8.03.1938 г.-)- Н.В. Мартынов, (-29.04.1937 г.)- С.З. </w:t>
      </w:r>
      <w:proofErr w:type="spellStart"/>
      <w:r w:rsidRPr="007122AB">
        <w:rPr>
          <w:rFonts w:ascii="Times New Roman" w:hAnsi="Times New Roman"/>
          <w:color w:val="000000" w:themeColor="text1"/>
          <w:sz w:val="16"/>
          <w:szCs w:val="16"/>
        </w:rPr>
        <w:t>Довконт</w:t>
      </w:r>
      <w:proofErr w:type="spellEnd"/>
      <w:r w:rsidRPr="007122AB">
        <w:rPr>
          <w:rFonts w:ascii="Times New Roman" w:hAnsi="Times New Roman"/>
          <w:color w:val="000000" w:themeColor="text1"/>
          <w:sz w:val="16"/>
          <w:szCs w:val="16"/>
        </w:rPr>
        <w:t xml:space="preserve"> (снят).</w:t>
      </w:r>
    </w:p>
    <w:p w14:paraId="469CC1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энергетик (-1935 г.)- Н.В. Мартынов.</w:t>
      </w:r>
    </w:p>
    <w:p w14:paraId="06C54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энергоцеха (1934 г.-)- Н.В. Мартынов. Производство: гильзы: латунные 37-мм для пушек «</w:t>
      </w:r>
      <w:proofErr w:type="spellStart"/>
      <w:r w:rsidRPr="007122AB">
        <w:rPr>
          <w:rFonts w:ascii="Times New Roman" w:hAnsi="Times New Roman"/>
          <w:color w:val="000000" w:themeColor="text1"/>
          <w:sz w:val="16"/>
          <w:szCs w:val="16"/>
        </w:rPr>
        <w:t>Гочкис</w:t>
      </w:r>
      <w:proofErr w:type="spellEnd"/>
      <w:r w:rsidRPr="007122AB">
        <w:rPr>
          <w:rFonts w:ascii="Times New Roman" w:hAnsi="Times New Roman"/>
          <w:color w:val="000000" w:themeColor="text1"/>
          <w:sz w:val="16"/>
          <w:szCs w:val="16"/>
        </w:rPr>
        <w:t>»,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7122AB">
        <w:rPr>
          <w:rFonts w:ascii="Times New Roman" w:hAnsi="Times New Roman"/>
          <w:color w:val="000000" w:themeColor="text1"/>
          <w:sz w:val="16"/>
          <w:szCs w:val="16"/>
          <w:vertAlign w:val="superscript"/>
        </w:rPr>
        <w:t>69</w:t>
      </w:r>
      <w:r w:rsidRPr="007122AB">
        <w:rPr>
          <w:rFonts w:ascii="Times New Roman" w:hAnsi="Times New Roman"/>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7122AB">
        <w:rPr>
          <w:rFonts w:ascii="Times New Roman" w:hAnsi="Times New Roman"/>
          <w:color w:val="000000" w:themeColor="text1"/>
          <w:sz w:val="16"/>
          <w:szCs w:val="16"/>
          <w:vertAlign w:val="superscript"/>
        </w:rPr>
        <w:t>101</w:t>
      </w:r>
      <w:r w:rsidRPr="007122AB">
        <w:rPr>
          <w:rFonts w:ascii="Times New Roman" w:hAnsi="Times New Roman"/>
          <w:color w:val="000000" w:themeColor="text1"/>
          <w:sz w:val="16"/>
          <w:szCs w:val="16"/>
        </w:rPr>
        <w:t xml:space="preserve"> автоматическая роторная линия ДСП-116 (1976-77)-4;</w:t>
      </w:r>
    </w:p>
    <w:p w14:paraId="586CCB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холодильники: «Мир» ДХ-120 (1959-), «Свияга» (1971-), "</w:t>
      </w:r>
      <w:r w:rsidRPr="007122AB">
        <w:rPr>
          <w:rFonts w:ascii="Times New Roman" w:hAnsi="Times New Roman"/>
          <w:color w:val="000000" w:themeColor="text1"/>
          <w:sz w:val="16"/>
          <w:szCs w:val="16"/>
          <w:lang w:val="en-US"/>
        </w:rPr>
        <w:t>POZIS</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Premier</w:t>
      </w:r>
      <w:r w:rsidRPr="007122AB">
        <w:rPr>
          <w:rFonts w:ascii="Times New Roman" w:hAnsi="Times New Roman"/>
          <w:color w:val="000000" w:themeColor="text1"/>
          <w:sz w:val="16"/>
          <w:szCs w:val="16"/>
        </w:rPr>
        <w:t xml:space="preserve"> (2003-), -</w:t>
      </w:r>
      <w:r w:rsidRPr="007122AB">
        <w:rPr>
          <w:rFonts w:ascii="Times New Roman" w:hAnsi="Times New Roman"/>
          <w:color w:val="000000" w:themeColor="text1"/>
          <w:sz w:val="16"/>
          <w:szCs w:val="16"/>
          <w:lang w:val="en-US"/>
        </w:rPr>
        <w:t>Classic</w:t>
      </w:r>
      <w:r w:rsidRPr="007122AB">
        <w:rPr>
          <w:rFonts w:ascii="Times New Roman" w:hAnsi="Times New Roman"/>
          <w:color w:val="000000" w:themeColor="text1"/>
          <w:sz w:val="16"/>
          <w:szCs w:val="16"/>
        </w:rPr>
        <w:t>, -</w:t>
      </w:r>
      <w:r w:rsidRPr="007122AB">
        <w:rPr>
          <w:rFonts w:ascii="Times New Roman" w:hAnsi="Times New Roman"/>
          <w:color w:val="000000" w:themeColor="text1"/>
          <w:sz w:val="16"/>
          <w:szCs w:val="16"/>
          <w:lang w:val="en-US"/>
        </w:rPr>
        <w:t>ELECTROFROST</w:t>
      </w:r>
      <w:r w:rsidRPr="007122AB">
        <w:rPr>
          <w:rFonts w:ascii="Times New Roman" w:hAnsi="Times New Roman"/>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60CD3DE0" w14:textId="77777777" w:rsidR="00AD4FAD" w:rsidRPr="007122AB" w:rsidRDefault="00AD4FAD" w:rsidP="007122AB">
      <w:pPr>
        <w:autoSpaceDE w:val="0"/>
        <w:autoSpaceDN w:val="0"/>
        <w:adjustRightInd w:val="0"/>
        <w:spacing w:after="0" w:line="240" w:lineRule="auto"/>
        <w:jc w:val="both"/>
        <w:rPr>
          <w:rFonts w:ascii="Times New Roman" w:hAnsi="Times New Roman"/>
          <w:color w:val="000000" w:themeColor="text1"/>
          <w:sz w:val="16"/>
          <w:szCs w:val="16"/>
        </w:rPr>
      </w:pPr>
    </w:p>
    <w:p w14:paraId="3CCB98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12 по 16 октября 1931 проходили испытания САУ СУ-2 - 76-мм установки на базе трактора Коммунар в окрестностях склада N 60 в Брянске. Машина прошла 35 км и сделала 39 выстрелов, в т.ч. один на ходу. Движение осуществлялось с расчетом в 5 чел. И прицепной тракторной тележкой с грузом в 2.5 т на скорости 12 км/час. Несмотря на положительный отзыв комиссии УММ РККА дальнейшие работы свернули (4306).</w:t>
      </w:r>
    </w:p>
    <w:p w14:paraId="69A2C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88B0F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12-16 октября 1931 г. под Брянском в окрестностях </w:t>
      </w:r>
      <w:proofErr w:type="spellStart"/>
      <w:r w:rsidRPr="007122AB">
        <w:rPr>
          <w:rFonts w:ascii="Times New Roman" w:hAnsi="Times New Roman"/>
          <w:color w:val="000000" w:themeColor="text1"/>
          <w:sz w:val="16"/>
          <w:szCs w:val="16"/>
        </w:rPr>
        <w:t>военсклада</w:t>
      </w:r>
      <w:proofErr w:type="spellEnd"/>
      <w:r w:rsidRPr="007122AB">
        <w:rPr>
          <w:rFonts w:ascii="Times New Roman" w:hAnsi="Times New Roman"/>
          <w:color w:val="000000" w:themeColor="text1"/>
          <w:sz w:val="16"/>
          <w:szCs w:val="16"/>
        </w:rPr>
        <w:t xml:space="preserve"> № 60 прошли испытания СУ-2 опытного цеха завода «Большевик». Машина про</w:t>
      </w:r>
      <w:r w:rsidRPr="007122AB">
        <w:rPr>
          <w:rFonts w:ascii="Times New Roman" w:hAnsi="Times New Roman"/>
          <w:color w:val="000000" w:themeColor="text1"/>
          <w:sz w:val="16"/>
          <w:szCs w:val="16"/>
        </w:rPr>
        <w:softHyphen/>
        <w:t>шла 35 км и произвела 39 выстрелов из орудия (один вы</w:t>
      </w:r>
      <w:r w:rsidRPr="007122AB">
        <w:rPr>
          <w:rFonts w:ascii="Times New Roman" w:hAnsi="Times New Roman"/>
          <w:color w:val="000000" w:themeColor="text1"/>
          <w:sz w:val="16"/>
          <w:szCs w:val="16"/>
        </w:rPr>
        <w:softHyphen/>
        <w:t>стрел на ходу). Движение осуществлялось с расчетом 5 че</w:t>
      </w:r>
      <w:r w:rsidRPr="007122AB">
        <w:rPr>
          <w:rFonts w:ascii="Times New Roman" w:hAnsi="Times New Roman"/>
          <w:color w:val="000000" w:themeColor="text1"/>
          <w:sz w:val="16"/>
          <w:szCs w:val="16"/>
        </w:rPr>
        <w:softHyphen/>
        <w:t>ловек и прицепленной повозкой П-18 с грузом 2,5 т, с максимальной скоростью 12 км/ч. Комиссия УММ РККА, проводившая испытания, дала о машине положительный отзыв, дальнейшие работы по машине продолжены не были (11417).</w:t>
      </w:r>
    </w:p>
    <w:p w14:paraId="07F8A4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98D4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16D32A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53E3A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сентября 1931, спустя 22 часа с момента взлета D.33-02 с тем же экипажем, который повторил попытку связать воздушным мостом Париж и Токио, в сложнейших метеоусловиях, летчики потерял контроль над управлением и летчики приняли решение покинуть самолет. На этот раз парашютом воспользовался Доре. Ле Бри и </w:t>
      </w:r>
      <w:proofErr w:type="spellStart"/>
      <w:r w:rsidRPr="007122AB">
        <w:rPr>
          <w:rFonts w:ascii="Times New Roman" w:hAnsi="Times New Roman"/>
          <w:color w:val="000000" w:themeColor="text1"/>
          <w:sz w:val="16"/>
          <w:szCs w:val="16"/>
        </w:rPr>
        <w:t>Месмин</w:t>
      </w:r>
      <w:proofErr w:type="spellEnd"/>
      <w:r w:rsidRPr="007122AB">
        <w:rPr>
          <w:rFonts w:ascii="Times New Roman" w:hAnsi="Times New Roman"/>
          <w:color w:val="000000" w:themeColor="text1"/>
          <w:sz w:val="16"/>
          <w:szCs w:val="16"/>
        </w:rPr>
        <w:t xml:space="preserve"> погибли под обломками самолета, упавшего недалеко от Уфы (11941). </w:t>
      </w:r>
    </w:p>
    <w:p w14:paraId="7F4E2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92A7B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на вершине холма в Рио-де-Жанейро открыт памятник Христу, ставший символом города (4962).</w:t>
      </w:r>
    </w:p>
    <w:p w14:paraId="5C38163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9A2AF"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12 октября </w:t>
      </w:r>
      <w:r w:rsidRPr="007122AB">
        <w:rPr>
          <w:rFonts w:ascii="Times New Roman" w:hAnsi="Times New Roman"/>
          <w:color w:val="000000" w:themeColor="text1"/>
          <w:sz w:val="16"/>
          <w:szCs w:val="16"/>
        </w:rPr>
        <w:t xml:space="preserve">в 1931 году в Рио-де-Жанейро (Бразилия) на холме </w:t>
      </w:r>
      <w:proofErr w:type="spellStart"/>
      <w:r w:rsidRPr="007122AB">
        <w:rPr>
          <w:rFonts w:ascii="Times New Roman" w:hAnsi="Times New Roman"/>
          <w:color w:val="000000" w:themeColor="text1"/>
          <w:sz w:val="16"/>
          <w:szCs w:val="16"/>
        </w:rPr>
        <w:t>Корковаду</w:t>
      </w:r>
      <w:proofErr w:type="spellEnd"/>
      <w:r w:rsidRPr="007122AB">
        <w:rPr>
          <w:rFonts w:ascii="Times New Roman" w:hAnsi="Times New Roman"/>
          <w:color w:val="000000" w:themeColor="text1"/>
          <w:sz w:val="16"/>
          <w:szCs w:val="16"/>
        </w:rPr>
        <w:t xml:space="preserve"> состоялось торжественное открытие статуи Христа Спасителя. Главной достопримечательностью Рио-де-Жанейро считается статуя Христа Спасителя (</w:t>
      </w:r>
      <w:proofErr w:type="spellStart"/>
      <w:r w:rsidRPr="007122AB">
        <w:rPr>
          <w:rFonts w:ascii="Times New Roman" w:hAnsi="Times New Roman"/>
          <w:color w:val="000000" w:themeColor="text1"/>
          <w:sz w:val="16"/>
          <w:szCs w:val="16"/>
        </w:rPr>
        <w:t>Cristo</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Redentor</w:t>
      </w:r>
      <w:proofErr w:type="spellEnd"/>
      <w:r w:rsidRPr="007122AB">
        <w:rPr>
          <w:rFonts w:ascii="Times New Roman" w:hAnsi="Times New Roman"/>
          <w:color w:val="000000" w:themeColor="text1"/>
          <w:sz w:val="16"/>
          <w:szCs w:val="16"/>
        </w:rPr>
        <w:t xml:space="preserve">). Она стоит на вершине холма </w:t>
      </w:r>
      <w:proofErr w:type="spellStart"/>
      <w:r w:rsidRPr="007122AB">
        <w:rPr>
          <w:rFonts w:ascii="Times New Roman" w:hAnsi="Times New Roman"/>
          <w:color w:val="000000" w:themeColor="text1"/>
          <w:sz w:val="16"/>
          <w:szCs w:val="16"/>
        </w:rPr>
        <w:t>Корковаду</w:t>
      </w:r>
      <w:proofErr w:type="spellEnd"/>
      <w:r w:rsidRPr="007122AB">
        <w:rPr>
          <w:rFonts w:ascii="Times New Roman" w:hAnsi="Times New Roman"/>
          <w:color w:val="000000" w:themeColor="text1"/>
          <w:sz w:val="16"/>
          <w:szCs w:val="16"/>
        </w:rPr>
        <w:t xml:space="preserve"> на высоте 704 метров над уровнем моря. Высота самой статуи - 30 метров, не считая семиметрового постамента, а ее вес - 1140 тонн. Идея этого сооружения зародилась в 1922 году, когда праздновалось столетие независимости Бразилии. Известный еженедельник объявил тогда конкурс проектов на лучший монумент - символ нации. Победитель, Эктор да Силва Коста, выдвинул идею скульптурного изображения Христа, распростершего руки и обнимающего весь город. Этот жест выражает сострадание и одновременно радостную гордость. Идея да Силвы была принята общественностью с восторгом еще и потому, что она перечеркнула прежний план возведения на горе Пан-ди-</w:t>
      </w:r>
      <w:proofErr w:type="spellStart"/>
      <w:r w:rsidRPr="007122AB">
        <w:rPr>
          <w:rFonts w:ascii="Times New Roman" w:hAnsi="Times New Roman"/>
          <w:color w:val="000000" w:themeColor="text1"/>
          <w:sz w:val="16"/>
          <w:szCs w:val="16"/>
        </w:rPr>
        <w:t>Асукар</w:t>
      </w:r>
      <w:proofErr w:type="spellEnd"/>
      <w:r w:rsidRPr="007122AB">
        <w:rPr>
          <w:rFonts w:ascii="Times New Roman" w:hAnsi="Times New Roman"/>
          <w:color w:val="000000" w:themeColor="text1"/>
          <w:sz w:val="16"/>
          <w:szCs w:val="16"/>
        </w:rPr>
        <w:t xml:space="preserve"> грандиозного памятника Христофору Колумбу. К делу тут же подключилась церковь, организовав по всей стране сбор пожертвований, дабы финансировать осуществление проекта. Перед началом работ архитекторы, инженеры и скульпторы встретились в Париже, чтобы обсудить все технические проблемы установки статуи на вершине холма, где она открыта всем ветрам и подвержена другим метеорологическим влияниям. Работы над проектировкой и созданием статуи шли в Париже. Затем она была доставлена в Рио-де- Жанейро и установлена на холме </w:t>
      </w:r>
      <w:proofErr w:type="spellStart"/>
      <w:r w:rsidRPr="007122AB">
        <w:rPr>
          <w:rFonts w:ascii="Times New Roman" w:hAnsi="Times New Roman"/>
          <w:color w:val="000000" w:themeColor="text1"/>
          <w:sz w:val="16"/>
          <w:szCs w:val="16"/>
        </w:rPr>
        <w:t>Корковаду</w:t>
      </w:r>
      <w:proofErr w:type="spellEnd"/>
      <w:r w:rsidRPr="007122AB">
        <w:rPr>
          <w:rFonts w:ascii="Times New Roman" w:hAnsi="Times New Roman"/>
          <w:color w:val="000000" w:themeColor="text1"/>
          <w:sz w:val="16"/>
          <w:szCs w:val="16"/>
        </w:rPr>
        <w:t xml:space="preserve">. 12 октября 1931 года состоялось ее первое торжественное открытие и освящение, к этому дню была смонтирована и осветительная установка. В 1965 году папа Павел VI повторил церемонию освящения, по этому случаю была обновлена и осветительная установка. Еще одно большое торжество проходило здесь в присутствии папы Иоанна Павла II 12 октября 1981 года, когда отмечалось пятидесятилетие самой статуи. Статую Христа Спасителя считают одним из современных чудес света. Высота каменного монумента - 30 метров, не считая семиметрового постамента; голова статуи весит 35,6 тонны; кисти рук - по 9,1 тонны каждая, а размах рук составляет 23 метра. Построенная в 1885 году линия трамвая ведет теперь почти на вершину холма: конечная остановка находится всего в сорока метрах под статуей. От нее надо подняться по 220 ступеням лестницы к постаменту, на котором расположена смотровая площадка. В 2003 году был открыт эскалатор, на котором можно доехать до подножия знаменитой статуи. Отсюда хорошо видны протянувшиеся по правую руку пляжи Копакабана и </w:t>
      </w:r>
      <w:proofErr w:type="spellStart"/>
      <w:r w:rsidRPr="007122AB">
        <w:rPr>
          <w:rFonts w:ascii="Times New Roman" w:hAnsi="Times New Roman"/>
          <w:color w:val="000000" w:themeColor="text1"/>
          <w:sz w:val="16"/>
          <w:szCs w:val="16"/>
        </w:rPr>
        <w:t>Ипанема</w:t>
      </w:r>
      <w:proofErr w:type="spellEnd"/>
      <w:r w:rsidRPr="007122AB">
        <w:rPr>
          <w:rFonts w:ascii="Times New Roman" w:hAnsi="Times New Roman"/>
          <w:color w:val="000000" w:themeColor="text1"/>
          <w:sz w:val="16"/>
          <w:szCs w:val="16"/>
        </w:rPr>
        <w:t>, а слева гигантская чаша «Мараканы», крупнейшего в мире стадиона, и международный аэропорт. Со стороны моря возвышается неповторимый силуэт горы Пан-ди-</w:t>
      </w:r>
      <w:proofErr w:type="spellStart"/>
      <w:r w:rsidRPr="007122AB">
        <w:rPr>
          <w:rFonts w:ascii="Times New Roman" w:hAnsi="Times New Roman"/>
          <w:color w:val="000000" w:themeColor="text1"/>
          <w:sz w:val="16"/>
          <w:szCs w:val="16"/>
        </w:rPr>
        <w:t>Асукар</w:t>
      </w:r>
      <w:proofErr w:type="spellEnd"/>
      <w:r w:rsidRPr="007122AB">
        <w:rPr>
          <w:rFonts w:ascii="Times New Roman" w:hAnsi="Times New Roman"/>
          <w:color w:val="000000" w:themeColor="text1"/>
          <w:sz w:val="16"/>
          <w:szCs w:val="16"/>
        </w:rPr>
        <w:t xml:space="preserve"> (14797).</w:t>
      </w:r>
    </w:p>
    <w:p w14:paraId="62A2F7D4" w14:textId="77777777" w:rsidR="00AD4FAD" w:rsidRPr="007122AB" w:rsidRDefault="00AD4FAD" w:rsidP="007122AB">
      <w:pPr>
        <w:spacing w:after="0" w:line="240" w:lineRule="auto"/>
        <w:jc w:val="both"/>
        <w:rPr>
          <w:rFonts w:ascii="Times New Roman" w:hAnsi="Times New Roman"/>
          <w:color w:val="000000" w:themeColor="text1"/>
          <w:sz w:val="16"/>
          <w:szCs w:val="16"/>
        </w:rPr>
      </w:pPr>
    </w:p>
    <w:p w14:paraId="210A5B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55F75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310E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октября 1931 года начальник ВОГВФ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писал письмо № 10/1123с в Политбюро ЦК ВКП(б)</w:t>
      </w:r>
    </w:p>
    <w:p w14:paraId="270B5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 ГВФ выпустил 11 октября 1931 года в полет первый советский цельностальной самолет из нержавеющей стали электросварной конструкции "Сталь-2", который по производственным и летным качествам не только не уступает, но и превосходит достижения техники наиболее передовых капиталистических стран.</w:t>
      </w:r>
    </w:p>
    <w:p w14:paraId="795F9A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Стальное самолетостроение – дело новое не только для промышленности нашего Союза, но и капиталистических стран. ………………… Завод "Электросталь" производит выплавку высокосортных сталей, а на "Электрозаводе" усилиями Института поставлено производство холоднокатаных стальных лент даже на весьма неприспособленном для этой цели оборудовании. (Сейчас по соглашению с заводом "Серп и Молот" Институтом создается на заводе производство холодной прокатки, которое будет пущено в начале 1932 года).</w:t>
      </w:r>
    </w:p>
    <w:p w14:paraId="63C532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3DC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F4363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Крылья самолета "Сталь-2" имеют вес 7,6 кг на 1 кв. м, который по сравнению с 9-10 кг веса на кв. м обычных почтово-пассажирских машин дает разницу в 25% в сторону облегчения.</w:t>
      </w:r>
    </w:p>
    <w:p w14:paraId="774FD6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………………………(7752, 63-65).</w:t>
      </w:r>
    </w:p>
    <w:p w14:paraId="4CF3D6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179A9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октября 1931 г. на старой площадке завода № 1 после его разделения на базе реконструированного прокатного цеха был образован завод № 34 (Завод № 34 им. Постышева НКТП, НКОП, Завод № 34 НКАП, НКЭС, Троицкий электромеханический завод (ТЭМЗ), ОАО «ТЭМЗ» / г. Москва 3-я ул. Ямского Поля, 26;  г. Троицк Челябинской обл. ул. Малышева, 34/). Приказом ВАО № 331 от 13.10.1931 г. директором нового завода назначен С.М. Петров. С 1932 г. находился в подчинении «</w:t>
      </w:r>
      <w:proofErr w:type="spellStart"/>
      <w:r w:rsidRPr="007122AB">
        <w:rPr>
          <w:rFonts w:ascii="Times New Roman" w:hAnsi="Times New Roman"/>
          <w:color w:val="000000" w:themeColor="text1"/>
          <w:sz w:val="16"/>
          <w:szCs w:val="16"/>
        </w:rPr>
        <w:t>Авиаподсобтреста</w:t>
      </w:r>
      <w:proofErr w:type="spellEnd"/>
      <w:r w:rsidRPr="007122AB">
        <w:rPr>
          <w:rFonts w:ascii="Times New Roman" w:hAnsi="Times New Roman"/>
          <w:color w:val="000000" w:themeColor="text1"/>
          <w:sz w:val="16"/>
          <w:szCs w:val="16"/>
        </w:rPr>
        <w:t>» ГУАП НКТП. В 02.1937-12.1938 г. - в ведении 1ГУ НКОП. По пр. № 336с от 22.08.1938 г. завод № 34 им. Постышева переименован в завод № 34.</w:t>
      </w:r>
    </w:p>
    <w:p w14:paraId="736941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Изготовлял прокат из алюминиевых и магниевых сплавов. Вскоре начато производство лент-расчалок, затем деталей для радиаторов, ободов колес. С 1934 г. освоил выпуск дизелей АЗ-1. В 1935-36 г. ввиду невозможности дальнейшего развития прокатного производства из-за недостаточных площадей, завод перепрофилирован на выпуск радиаторов как цельных агрегатов, а металлургическое производство передано на новый завод № 219.</w:t>
      </w:r>
    </w:p>
    <w:p w14:paraId="27F5A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НКТП от 3.11.1934 г. на заводе организован отдел по конструированию и изготовлению авиационных радиаторов, в 1935 г. он </w:t>
      </w:r>
      <w:proofErr w:type="spellStart"/>
      <w:r w:rsidRPr="007122AB">
        <w:rPr>
          <w:rFonts w:ascii="Times New Roman" w:hAnsi="Times New Roman"/>
          <w:color w:val="000000" w:themeColor="text1"/>
          <w:sz w:val="16"/>
          <w:szCs w:val="16"/>
        </w:rPr>
        <w:t>пробразован</w:t>
      </w:r>
      <w:proofErr w:type="spellEnd"/>
      <w:r w:rsidRPr="007122AB">
        <w:rPr>
          <w:rFonts w:ascii="Times New Roman" w:hAnsi="Times New Roman"/>
          <w:color w:val="000000" w:themeColor="text1"/>
          <w:sz w:val="16"/>
          <w:szCs w:val="16"/>
        </w:rPr>
        <w:t xml:space="preserve"> в Конструкторский отдел № 12, который в 1940 г. преобразован в ОКБ-34. В 1936 г. по инициативе  Г.И. Воронина на заводе организована лаборатория для испытаний радиаторов и проведения экспериментов.</w:t>
      </w:r>
    </w:p>
    <w:p w14:paraId="1607FA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1937 г. планировался выпуск самолета АИР-6. Приказом № 00116 от 28.05.1937 г. для обеспечения подготовки производства самолета </w:t>
      </w:r>
      <w:proofErr w:type="spellStart"/>
      <w:r w:rsidRPr="007122AB">
        <w:rPr>
          <w:rFonts w:ascii="Times New Roman" w:hAnsi="Times New Roman"/>
          <w:color w:val="000000" w:themeColor="text1"/>
          <w:sz w:val="16"/>
          <w:szCs w:val="16"/>
        </w:rPr>
        <w:t>Вулти</w:t>
      </w:r>
      <w:proofErr w:type="spellEnd"/>
      <w:r w:rsidRPr="007122AB">
        <w:rPr>
          <w:rFonts w:ascii="Times New Roman" w:hAnsi="Times New Roman"/>
          <w:color w:val="000000" w:themeColor="text1"/>
          <w:sz w:val="16"/>
          <w:szCs w:val="16"/>
        </w:rPr>
        <w:t xml:space="preserve"> заводу поручено организовать производство литых деталей из алюминия. К 1938 г. на заводе ликвидировано литейное производство, к началу 1940 г. должен быть выведен с завода выпуск лент-расчалок.</w:t>
      </w:r>
    </w:p>
    <w:p w14:paraId="4B14E3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B644D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248сс от 14/15.07.1938 г. заводу поручено спроектировать воздухоохладительную установку для аэродинамической трубы Т-106 ЦАГИ.</w:t>
      </w:r>
    </w:p>
    <w:p w14:paraId="52083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войной завод имел ЛИС, которая базировалась на аэродроме завода № 469 НКАП в </w:t>
      </w:r>
      <w:proofErr w:type="spellStart"/>
      <w:r w:rsidRPr="007122AB">
        <w:rPr>
          <w:rFonts w:ascii="Times New Roman" w:hAnsi="Times New Roman"/>
          <w:color w:val="000000" w:themeColor="text1"/>
          <w:sz w:val="16"/>
          <w:szCs w:val="16"/>
        </w:rPr>
        <w:t>Орлнечногорске</w:t>
      </w:r>
      <w:proofErr w:type="spellEnd"/>
      <w:r w:rsidRPr="007122AB">
        <w:rPr>
          <w:rFonts w:ascii="Times New Roman" w:hAnsi="Times New Roman"/>
          <w:color w:val="000000" w:themeColor="text1"/>
          <w:sz w:val="16"/>
          <w:szCs w:val="16"/>
        </w:rPr>
        <w:t>.</w:t>
      </w:r>
    </w:p>
    <w:p w14:paraId="20D63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завод имел филиал - бывшую Канатную фабрику в  г. Кузнецке Пензенской обл. (есть упоминание, что филиал имел наименование завод № 34бис). В начале 1941 г. ряд конструкторов переведен для укрепления нового ОКБ завода № 472 НКАП.</w:t>
      </w:r>
    </w:p>
    <w:p w14:paraId="544596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1941 г. завод вместе с ОКБ эвакуирован в  г. Троицк Челябинской обл. Первый эшелон прибыл в 11.1941 г. Размещение завода шло на </w:t>
      </w:r>
      <w:proofErr w:type="spellStart"/>
      <w:r w:rsidRPr="007122AB">
        <w:rPr>
          <w:rFonts w:ascii="Times New Roman" w:hAnsi="Times New Roman"/>
          <w:color w:val="000000" w:themeColor="text1"/>
          <w:sz w:val="16"/>
          <w:szCs w:val="16"/>
        </w:rPr>
        <w:t>на</w:t>
      </w:r>
      <w:proofErr w:type="spellEnd"/>
      <w:r w:rsidRPr="007122AB">
        <w:rPr>
          <w:rFonts w:ascii="Times New Roman" w:hAnsi="Times New Roman"/>
          <w:color w:val="000000" w:themeColor="text1"/>
          <w:sz w:val="16"/>
          <w:szCs w:val="16"/>
        </w:rPr>
        <w:t xml:space="preserve"> площадках девяти неприспособленных небольших предприятий и организаций (бывший пивоваренный завод стал территорией «Б», территория «В» разместилась вблизи центра города). Продолжено производство водо- и маслорадиаторов.</w:t>
      </w:r>
    </w:p>
    <w:p w14:paraId="0CB72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Москве на площадке эвакуированного завода по приказу № 51с от 20.01.1942 г. организованы Агрегатные ремонтные мастерские при 2ГУ НКАП. Начальник- М.Ф. Поликарпов. С начала 1942 г. началось восстановление производства, и 14.04.1942 г. образован филиал завода № 34. Директор филиала- Ю.Б. Эскин. Фактически в это время действовали два завода № 34: № 34т и № 34м. Шло активное восстановление работ на московской площадке, в 1942 г. обратно из Троицка прибыла первая группа специалистов. Приказом № 464с от 24.06.1942 г. филиал преобразован в новый завод № 124 при 2ГУ НКАП.</w:t>
      </w:r>
    </w:p>
    <w:p w14:paraId="69E7B1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735с от 8.12.1943 г. с завода № 34 переведена группа специалистов для усиления ОКБ завода № 219 НКАП. В 1944 г. с завода № 34 переведено на завод № 500 на постоянную работу около 200 специалистов.</w:t>
      </w:r>
    </w:p>
    <w:p w14:paraId="789031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приказу № 425с/82с от 5.11.1945 г.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4EC4B4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Далее это - Троицкий электромеханический завод (1960-е  г.), ОАО «ТЭМЗ».</w:t>
      </w:r>
    </w:p>
    <w:p w14:paraId="6B3F43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(10-11.1931 г.; 06.1932-02.1934 г.)- С.М. Петров, (8.11.1931-3.06.1932 г.)- В.Я. Симочкин, (02.1934- 23.07.1937 г.)- В. Г. </w:t>
      </w:r>
      <w:proofErr w:type="spellStart"/>
      <w:r w:rsidRPr="007122AB">
        <w:rPr>
          <w:rFonts w:ascii="Times New Roman" w:hAnsi="Times New Roman"/>
          <w:color w:val="000000" w:themeColor="text1"/>
          <w:sz w:val="16"/>
          <w:szCs w:val="16"/>
        </w:rPr>
        <w:t>Гарнизов</w:t>
      </w:r>
      <w:proofErr w:type="spellEnd"/>
      <w:r w:rsidRPr="007122AB">
        <w:rPr>
          <w:rFonts w:ascii="Times New Roman" w:hAnsi="Times New Roman"/>
          <w:color w:val="000000" w:themeColor="text1"/>
          <w:sz w:val="16"/>
          <w:szCs w:val="16"/>
        </w:rPr>
        <w:t xml:space="preserve">, (23.07.1937-05.1938 г.)- И.И. Авдеев, (15.06.1938-12.1044 г.)- М.П. </w:t>
      </w:r>
      <w:proofErr w:type="spellStart"/>
      <w:r w:rsidRPr="007122AB">
        <w:rPr>
          <w:rFonts w:ascii="Times New Roman" w:hAnsi="Times New Roman"/>
          <w:color w:val="000000" w:themeColor="text1"/>
          <w:sz w:val="16"/>
          <w:szCs w:val="16"/>
        </w:rPr>
        <w:t>Аржаков</w:t>
      </w:r>
      <w:proofErr w:type="spellEnd"/>
      <w:r w:rsidRPr="007122AB">
        <w:rPr>
          <w:rFonts w:ascii="Times New Roman" w:hAnsi="Times New Roman"/>
          <w:color w:val="000000" w:themeColor="text1"/>
          <w:sz w:val="16"/>
          <w:szCs w:val="16"/>
        </w:rPr>
        <w:t>.</w:t>
      </w:r>
    </w:p>
    <w:p w14:paraId="750608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(06.1937 г.)- И.И. Авдеев. Помощник директора по найму и увольнению (-06.1937-38 г.-&gt; Н.В. Солнцев.</w:t>
      </w:r>
    </w:p>
    <w:p w14:paraId="03702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(2002 г.): разработка аэродромно-районной АС УВД «Синтез», тренажера для подготовки диспетчеров</w:t>
      </w:r>
    </w:p>
    <w:p w14:paraId="0109FF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«Инструктор», </w:t>
      </w:r>
      <w:r w:rsidRPr="007122AB">
        <w:rPr>
          <w:rFonts w:ascii="Times New Roman" w:hAnsi="Times New Roman"/>
          <w:color w:val="000000" w:themeColor="text1"/>
          <w:sz w:val="16"/>
          <w:szCs w:val="16"/>
          <w:lang w:val="en-US"/>
        </w:rPr>
        <w:t>PJI</w:t>
      </w:r>
      <w:r w:rsidRPr="007122AB">
        <w:rPr>
          <w:rFonts w:ascii="Times New Roman" w:hAnsi="Times New Roman"/>
          <w:color w:val="000000" w:themeColor="text1"/>
          <w:sz w:val="16"/>
          <w:szCs w:val="16"/>
        </w:rPr>
        <w:t xml:space="preserve"> комплексов «</w:t>
      </w:r>
      <w:r w:rsidRPr="007122AB">
        <w:rPr>
          <w:rFonts w:ascii="Times New Roman" w:hAnsi="Times New Roman"/>
          <w:color w:val="000000" w:themeColor="text1"/>
          <w:sz w:val="16"/>
          <w:szCs w:val="16"/>
          <w:lang w:val="en-US"/>
        </w:rPr>
        <w:t>BPJI</w:t>
      </w:r>
      <w:r w:rsidRPr="007122AB">
        <w:rPr>
          <w:rFonts w:ascii="Times New Roman" w:hAnsi="Times New Roman"/>
          <w:color w:val="000000" w:themeColor="text1"/>
          <w:sz w:val="16"/>
          <w:szCs w:val="16"/>
        </w:rPr>
        <w:t xml:space="preserve"> «Радуга», КА РЛП «Радуга-2», моноимпульсного </w:t>
      </w:r>
      <w:r w:rsidRPr="007122AB">
        <w:rPr>
          <w:rFonts w:ascii="Times New Roman" w:hAnsi="Times New Roman"/>
          <w:color w:val="000000" w:themeColor="text1"/>
          <w:sz w:val="16"/>
          <w:szCs w:val="16"/>
          <w:lang w:val="en-US"/>
        </w:rPr>
        <w:t>BPJIMBPJI</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CBK</w:t>
      </w:r>
      <w:r w:rsidRPr="007122AB">
        <w:rPr>
          <w:rFonts w:ascii="Times New Roman" w:hAnsi="Times New Roman"/>
          <w:color w:val="000000" w:themeColor="text1"/>
          <w:sz w:val="16"/>
          <w:szCs w:val="16"/>
        </w:rPr>
        <w:t xml:space="preserve"> и АПОИ (11982).</w:t>
      </w:r>
    </w:p>
    <w:p w14:paraId="7793165D" w14:textId="77777777" w:rsidR="00AD4FAD" w:rsidRPr="007122AB" w:rsidRDefault="00AD4FAD" w:rsidP="007122AB">
      <w:pPr>
        <w:spacing w:after="0" w:line="240" w:lineRule="auto"/>
        <w:jc w:val="both"/>
        <w:rPr>
          <w:rStyle w:val="ucoz-forum-post"/>
          <w:rFonts w:ascii="Times New Roman" w:eastAsia="Times New Roman" w:hAnsi="Times New Roman"/>
          <w:bCs/>
          <w:color w:val="000000" w:themeColor="text1"/>
          <w:sz w:val="16"/>
          <w:szCs w:val="16"/>
        </w:rPr>
      </w:pPr>
    </w:p>
    <w:p w14:paraId="60CDEA3E"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13 октября </w:t>
      </w:r>
      <w:r w:rsidRPr="007122AB">
        <w:rPr>
          <w:rFonts w:ascii="Times New Roman" w:hAnsi="Times New Roman"/>
          <w:color w:val="000000" w:themeColor="text1"/>
          <w:sz w:val="16"/>
          <w:szCs w:val="16"/>
        </w:rPr>
        <w:t>в 1931 году образован завод № 34, ныне ОАО Научно-производственное объединение "Наука" - одно из старейших предприятий-разработчиков России. История завода ведется от мастерских, собиравших в начале века самолеты "</w:t>
      </w:r>
      <w:proofErr w:type="spellStart"/>
      <w:r w:rsidRPr="007122AB">
        <w:rPr>
          <w:rFonts w:ascii="Times New Roman" w:hAnsi="Times New Roman"/>
          <w:color w:val="000000" w:themeColor="text1"/>
          <w:sz w:val="16"/>
          <w:szCs w:val="16"/>
        </w:rPr>
        <w:t>Ньюпор</w:t>
      </w:r>
      <w:proofErr w:type="spellEnd"/>
      <w:r w:rsidRPr="007122AB">
        <w:rPr>
          <w:rFonts w:ascii="Times New Roman" w:hAnsi="Times New Roman"/>
          <w:color w:val="000000" w:themeColor="text1"/>
          <w:sz w:val="16"/>
          <w:szCs w:val="16"/>
        </w:rPr>
        <w:t xml:space="preserve">" и "Блерио". С 1934-го года на заводе организуется производство радиаторов и теплообменников для отечественных самолетов. В 1940-м году создается Опытное конструкторское бюро по разработке агрегатов и систем жизнеобеспечения. В настоящее время ОАО НПО "Наука" является единственным в России и странах СНГ разработчиком авиационных и космических систем жизнеобеспечения воздушных судов, летательных аппаратов, космических кораблей и орбитальных станций. ОАО НПО "Наука" производит изделия для самолетов «Ту-204», «Ту-334», «Ан-70», «Ан-140», «Ил-96», «Ил-114», «Бе-200», «Су-27», «Су-30», «Су-34», «МиГ-29», вертолетов «Ка-50», «Ка-52», «Ми-28». Важнейшее направление деятельности предприятия с 50-х годов прошлого столетия - </w:t>
      </w:r>
      <w:proofErr w:type="spellStart"/>
      <w:r w:rsidRPr="007122AB">
        <w:rPr>
          <w:rFonts w:ascii="Times New Roman" w:hAnsi="Times New Roman"/>
          <w:color w:val="000000" w:themeColor="text1"/>
          <w:sz w:val="16"/>
          <w:szCs w:val="16"/>
        </w:rPr>
        <w:t>проектироваение</w:t>
      </w:r>
      <w:proofErr w:type="spellEnd"/>
      <w:r w:rsidRPr="007122AB">
        <w:rPr>
          <w:rFonts w:ascii="Times New Roman" w:hAnsi="Times New Roman"/>
          <w:color w:val="000000" w:themeColor="text1"/>
          <w:sz w:val="16"/>
          <w:szCs w:val="16"/>
        </w:rPr>
        <w:t xml:space="preserve"> и изготовление систем терморегулирования, обеспечения газового состава, регулирования давления и водообеспечения обитаемых космических аппаратов. В 1961 году после первого полета человека в корабле «Восток» предприятие было награждено орденом Трудового Красного Знамени. В 1989 году предприятие было преобразовано в Научно-производственное объединение «Наука», а в 1993 в ОАО «НПО «Наука» (14798).</w:t>
      </w:r>
    </w:p>
    <w:p w14:paraId="56A026A9" w14:textId="77777777" w:rsidR="00AD4FAD" w:rsidRPr="007122AB" w:rsidRDefault="00AD4FAD" w:rsidP="007122AB">
      <w:pPr>
        <w:spacing w:after="0" w:line="240" w:lineRule="auto"/>
        <w:jc w:val="both"/>
        <w:rPr>
          <w:rFonts w:ascii="Times New Roman" w:hAnsi="Times New Roman"/>
          <w:color w:val="000000" w:themeColor="text1"/>
          <w:sz w:val="16"/>
          <w:szCs w:val="16"/>
        </w:rPr>
      </w:pPr>
    </w:p>
    <w:p w14:paraId="58F80EF0" w14:textId="77777777" w:rsidR="00AD4FAD" w:rsidRPr="007122AB" w:rsidRDefault="00AD4FAD"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13 октября 1931 года</w:t>
      </w:r>
      <w:r w:rsidRPr="007122AB">
        <w:rPr>
          <w:rStyle w:val="ucoz-forum-post"/>
          <w:rFonts w:ascii="Times New Roman" w:eastAsia="Times New Roman" w:hAnsi="Times New Roman"/>
          <w:color w:val="000000" w:themeColor="text1"/>
          <w:sz w:val="16"/>
          <w:szCs w:val="16"/>
        </w:rPr>
        <w:t xml:space="preserve"> День образования завода № 34, ныне ОАО "НПО "Наука". Одно из старейших предприятий-разработчиков России. История завода ведется от мастерских, собиравших в начале века самолеты "</w:t>
      </w:r>
      <w:proofErr w:type="spellStart"/>
      <w:r w:rsidRPr="007122AB">
        <w:rPr>
          <w:rStyle w:val="ucoz-forum-post"/>
          <w:rFonts w:ascii="Times New Roman" w:eastAsia="Times New Roman" w:hAnsi="Times New Roman"/>
          <w:color w:val="000000" w:themeColor="text1"/>
          <w:sz w:val="16"/>
          <w:szCs w:val="16"/>
        </w:rPr>
        <w:t>Ньюпор</w:t>
      </w:r>
      <w:proofErr w:type="spellEnd"/>
      <w:r w:rsidRPr="007122AB">
        <w:rPr>
          <w:rStyle w:val="ucoz-forum-post"/>
          <w:rFonts w:ascii="Times New Roman" w:eastAsia="Times New Roman" w:hAnsi="Times New Roman"/>
          <w:color w:val="000000" w:themeColor="text1"/>
          <w:sz w:val="16"/>
          <w:szCs w:val="16"/>
        </w:rPr>
        <w:t xml:space="preserve">" и "Блерио". ОАО НПО "Наука" производит изделия для самолетов Ту-204, Ту-334, Ан-70, Ан-140, Ил-96, Ил-114, Бе-200, Су-27, Су-30, Су-34, МиГ-29, вертолетов Ка-50, Ка-52, Ми-28; </w:t>
      </w:r>
    </w:p>
    <w:p w14:paraId="3F61FC75" w14:textId="77777777" w:rsidR="00AD4FAD" w:rsidRPr="007122AB" w:rsidRDefault="00AD4FAD" w:rsidP="007122AB">
      <w:pPr>
        <w:spacing w:after="0" w:line="240" w:lineRule="auto"/>
        <w:jc w:val="both"/>
        <w:rPr>
          <w:rStyle w:val="ucoz-forum-post"/>
          <w:rFonts w:ascii="Times New Roman" w:eastAsia="Times New Roman" w:hAnsi="Times New Roman"/>
          <w:color w:val="000000" w:themeColor="text1"/>
          <w:sz w:val="16"/>
          <w:szCs w:val="16"/>
        </w:rPr>
      </w:pPr>
    </w:p>
    <w:p w14:paraId="2D1EE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октября 1931 отряду им. "Правды" выделили 3 самолета. Этот отряд возил матрицы центральных газет в различные города страны. 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часть П-5 эксплуатировалась как почтовые и грузовые самолеты.</w:t>
      </w:r>
    </w:p>
    <w:p w14:paraId="15266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7D9AD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37465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20A8B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03ECD3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8CE3E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B0F023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9D492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13 октября 1931 г. по 2 февраля 1932 г. 45-мм противотанковая пушка обр. 1931 г. прошла всесторонние испытания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Всего на 3.02.1932 г. из пушки было сделано 2461 выстрел. В ходе испытаний был подобран заряд 0,331 кг пороха </w:t>
      </w:r>
      <w:proofErr w:type="spellStart"/>
      <w:r w:rsidRPr="007122AB">
        <w:rPr>
          <w:rFonts w:ascii="Times New Roman" w:hAnsi="Times New Roman"/>
          <w:color w:val="000000" w:themeColor="text1"/>
          <w:sz w:val="16"/>
          <w:szCs w:val="16"/>
        </w:rPr>
        <w:t>Сп</w:t>
      </w:r>
      <w:proofErr w:type="spellEnd"/>
      <w:r w:rsidRPr="007122AB">
        <w:rPr>
          <w:rFonts w:ascii="Times New Roman" w:hAnsi="Times New Roman"/>
          <w:color w:val="000000" w:themeColor="text1"/>
          <w:sz w:val="16"/>
          <w:szCs w:val="16"/>
        </w:rPr>
        <w:t xml:space="preserve"> 92/16. Гильза пушки оригинальная, длина ее 282,2 мм (3861).</w:t>
      </w:r>
    </w:p>
    <w:p w14:paraId="0B026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07F640"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октября 1931 Постановление Президиума ВСНХ СССР признавало «совершенно необходимым в кратчайший срок поставить практически работу по производству быстроходных </w:t>
      </w:r>
      <w:proofErr w:type="spellStart"/>
      <w:r w:rsidRPr="007122AB">
        <w:rPr>
          <w:rFonts w:ascii="Times New Roman" w:hAnsi="Times New Roman"/>
          <w:color w:val="000000" w:themeColor="text1"/>
          <w:sz w:val="16"/>
          <w:szCs w:val="16"/>
        </w:rPr>
        <w:t>дизельмоторов</w:t>
      </w:r>
      <w:proofErr w:type="spellEnd"/>
      <w:r w:rsidRPr="007122AB">
        <w:rPr>
          <w:rFonts w:ascii="Times New Roman" w:hAnsi="Times New Roman"/>
          <w:color w:val="000000" w:themeColor="text1"/>
          <w:sz w:val="16"/>
          <w:szCs w:val="16"/>
        </w:rPr>
        <w:t xml:space="preserve"> и, в пер</w:t>
      </w:r>
      <w:r w:rsidRPr="007122AB">
        <w:rPr>
          <w:rFonts w:ascii="Times New Roman" w:hAnsi="Times New Roman"/>
          <w:color w:val="000000" w:themeColor="text1"/>
          <w:sz w:val="16"/>
          <w:szCs w:val="16"/>
        </w:rPr>
        <w:softHyphen/>
        <w:t>вую очередь, для тракторов и грузовых автомобилей от 2 72 тонн и выше».</w:t>
      </w:r>
    </w:p>
    <w:p w14:paraId="217EDC81"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осуществления поставленных задач намеча</w:t>
      </w:r>
      <w:r w:rsidRPr="007122AB">
        <w:rPr>
          <w:rFonts w:ascii="Times New Roman" w:hAnsi="Times New Roman"/>
          <w:color w:val="000000" w:themeColor="text1"/>
          <w:sz w:val="16"/>
          <w:szCs w:val="16"/>
        </w:rPr>
        <w:softHyphen/>
        <w:t>лись мероприятия как по освоению иностранного опыта и развертыванию исследовательских работ, так и по организации производства (22518).</w:t>
      </w:r>
    </w:p>
    <w:p w14:paraId="1ADDFFE1" w14:textId="77777777" w:rsidR="00E92B50" w:rsidRPr="007122AB" w:rsidRDefault="00E92B50" w:rsidP="007122AB">
      <w:pPr>
        <w:spacing w:after="0" w:line="240" w:lineRule="auto"/>
        <w:jc w:val="both"/>
        <w:rPr>
          <w:rFonts w:ascii="Times New Roman" w:hAnsi="Times New Roman"/>
          <w:color w:val="000000" w:themeColor="text1"/>
          <w:sz w:val="16"/>
          <w:szCs w:val="16"/>
        </w:rPr>
      </w:pPr>
    </w:p>
    <w:p w14:paraId="08FEA97B"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октября 1931 г., на заседании Президиума ВСНХ СССР было принято Постановление № 710 о быстроходных дизелях, непосредственно касавшееся развития дизельного отдела НАТИ и его производственной базы. В преамбуле данного документа было отмечено:</w:t>
      </w:r>
    </w:p>
    <w:p w14:paraId="2CB8770D"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«Внедрение быстроходных дизелей является важнейшей задачей во всех областях применения двигателей внутреннего сгорания в СССР. Исключительное значение этой проблемы для авто-тракторного парка отмечено постановлением СТО от 6/I-30 г. и ЦК ВКП(б) от 15/XI-30 г.</w:t>
      </w:r>
    </w:p>
    <w:p w14:paraId="3BBBFD5F"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Признавая абсолютно недостаточной проводимой в этом направлении до сего времени работу, Президиум ВСНХ отмечает совершенно необходимым в кратчайший срок поставить практически работу по производству быстроходных дизель-моторов и, в первую очередь, для тракторов и грузовых автомобилей от 2 1/2 тонн и выше».</w:t>
      </w:r>
    </w:p>
    <w:p w14:paraId="35F4029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3429. Оп. 1. Д. 5248. Л. 35]</w:t>
      </w:r>
    </w:p>
    <w:p w14:paraId="6D138BCE"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Данным постановлением, проведение всех научно-исследовательских и опытно-конструкторских работ по быстроходным (высокооборотным) автотракторным дизелям возлагалось главным образом на дизельный отдел НАТИ. При этом большое значение придавалось материально-техническому обеспечению дизельного отдела НАТИ и его опытного производства, по данному вопросу в постановлении были предусмотрены следующие мероприятия:</w:t>
      </w:r>
    </w:p>
    <w:p w14:paraId="21E745D7"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«11. Обязать ВАТО пустить в первом квартале 1932 года в ход опытный завод НАТИ и дизельные лаборатории Института настолько, чтобы они могли исчерпывающе испытывать и самостоятельно строить опытные авто-тракторные дизеля. Обязать </w:t>
      </w:r>
      <w:proofErr w:type="spellStart"/>
      <w:r w:rsidRPr="00441F34">
        <w:rPr>
          <w:rFonts w:ascii="Times New Roman" w:hAnsi="Times New Roman"/>
          <w:color w:val="0070C0"/>
          <w:sz w:val="16"/>
          <w:szCs w:val="16"/>
        </w:rPr>
        <w:t>Главмашпром</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Стройсектор</w:t>
      </w:r>
      <w:proofErr w:type="spellEnd"/>
      <w:r w:rsidRPr="00441F34">
        <w:rPr>
          <w:rFonts w:ascii="Times New Roman" w:hAnsi="Times New Roman"/>
          <w:color w:val="0070C0"/>
          <w:sz w:val="16"/>
          <w:szCs w:val="16"/>
        </w:rPr>
        <w:t xml:space="preserve"> ВСНХ СССР принять все необходимые меры к форсированию окончания нового строительства НАТИ.</w:t>
      </w:r>
    </w:p>
    <w:p w14:paraId="406F0114"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Не подлежит оглашению.</w:t>
      </w:r>
    </w:p>
    <w:p w14:paraId="7D892A0A"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срочного пуска в ход опытного завода НАТИ и его лабораторий 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обеспечить доставку Институту необходимого импортного оборудования.</w:t>
      </w:r>
    </w:p>
    <w:p w14:paraId="121EB04E"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Не подлежит оглашению.</w:t>
      </w:r>
    </w:p>
    <w:p w14:paraId="3E5E5EC0"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срочного проведения испытаний 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срочно заказать и обеспечить доставку в НАТИ дизельных машин, дизель-моторов и их аппаратуры до 100.000 рублей в инвалюте.</w:t>
      </w:r>
    </w:p>
    <w:p w14:paraId="4565D15A"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Обязать ВЭО не менее половины выпускаемых по конструкции НАТИ электрических тормозных машин отпускать НАТИ для оборудования испытательных установок для моторов.</w:t>
      </w:r>
    </w:p>
    <w:p w14:paraId="6E1D4F38"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Не подлежит оглашению.</w:t>
      </w:r>
    </w:p>
    <w:p w14:paraId="75751C4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привлечь в Институт НАТИ высококвалифицированную иностранную техническую и научно-исследовательскую помощь по авто-тракторным дизелям, путем приглашения иностранных специалистов и командирования работников НАТИ за границу».</w:t>
      </w:r>
    </w:p>
    <w:p w14:paraId="28CA3F89"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3429. Оп. 1. Д. 5248. Л. 36 – 37] (23856).</w:t>
      </w:r>
    </w:p>
    <w:p w14:paraId="71F434B9" w14:textId="77777777" w:rsidR="00DE24DE" w:rsidRPr="00441F34" w:rsidRDefault="00DE24DE" w:rsidP="00DE24DE">
      <w:pPr>
        <w:spacing w:after="0" w:line="240" w:lineRule="auto"/>
        <w:jc w:val="both"/>
        <w:rPr>
          <w:rFonts w:ascii="Times New Roman" w:hAnsi="Times New Roman"/>
          <w:color w:val="0070C0"/>
          <w:sz w:val="16"/>
          <w:szCs w:val="16"/>
        </w:rPr>
      </w:pPr>
    </w:p>
    <w:p w14:paraId="409781C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октября 1931 г.</w:t>
      </w:r>
    </w:p>
    <w:p w14:paraId="0F59E6B1"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Фонд 3429 Опись 1 Дело 5248 лист 35 – 37</w:t>
      </w:r>
    </w:p>
    <w:p w14:paraId="06F3C768"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Всем объединениям и трестам, ВСНХ Союзных республик, всем отраслевым Секторам, Плановому Сектору, Научному Автотракторному Институту, </w:t>
      </w:r>
      <w:proofErr w:type="spellStart"/>
      <w:r w:rsidRPr="00441F34">
        <w:rPr>
          <w:rFonts w:ascii="Times New Roman" w:hAnsi="Times New Roman"/>
          <w:color w:val="0070C0"/>
          <w:sz w:val="16"/>
          <w:szCs w:val="16"/>
        </w:rPr>
        <w:t>Иносектору</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Челябтракторстрой</w:t>
      </w:r>
      <w:proofErr w:type="spellEnd"/>
      <w:r w:rsidRPr="00441F34">
        <w:rPr>
          <w:rFonts w:ascii="Times New Roman" w:hAnsi="Times New Roman"/>
          <w:color w:val="0070C0"/>
          <w:sz w:val="16"/>
          <w:szCs w:val="16"/>
        </w:rPr>
        <w:t xml:space="preserve">, Харьковский тракторный завод, Сталинградский тракторный завод, т. </w:t>
      </w:r>
      <w:proofErr w:type="spellStart"/>
      <w:r w:rsidRPr="00441F34">
        <w:rPr>
          <w:rFonts w:ascii="Times New Roman" w:hAnsi="Times New Roman"/>
          <w:color w:val="0070C0"/>
          <w:sz w:val="16"/>
          <w:szCs w:val="16"/>
        </w:rPr>
        <w:t>Кашо</w:t>
      </w:r>
      <w:proofErr w:type="spellEnd"/>
      <w:r w:rsidRPr="00441F34">
        <w:rPr>
          <w:rFonts w:ascii="Times New Roman" w:hAnsi="Times New Roman"/>
          <w:color w:val="0070C0"/>
          <w:sz w:val="16"/>
          <w:szCs w:val="16"/>
        </w:rPr>
        <w:t xml:space="preserve">, з-д АМО, Дизельный Научно-Исследовательский Институт, Институт Автомоторный, </w:t>
      </w:r>
      <w:proofErr w:type="spellStart"/>
      <w:r w:rsidRPr="00441F34">
        <w:rPr>
          <w:rFonts w:ascii="Times New Roman" w:hAnsi="Times New Roman"/>
          <w:color w:val="0070C0"/>
          <w:sz w:val="16"/>
          <w:szCs w:val="16"/>
        </w:rPr>
        <w:t>Гипровато</w:t>
      </w:r>
      <w:proofErr w:type="spellEnd"/>
      <w:r w:rsidRPr="00441F34">
        <w:rPr>
          <w:rFonts w:ascii="Times New Roman" w:hAnsi="Times New Roman"/>
          <w:color w:val="0070C0"/>
          <w:sz w:val="16"/>
          <w:szCs w:val="16"/>
        </w:rPr>
        <w:t xml:space="preserve">, Сектор Кадров (3 экз.), Теплотехнический Институт, з-д "Большевик", </w:t>
      </w:r>
      <w:proofErr w:type="spellStart"/>
      <w:r w:rsidRPr="00441F34">
        <w:rPr>
          <w:rFonts w:ascii="Times New Roman" w:hAnsi="Times New Roman"/>
          <w:color w:val="0070C0"/>
          <w:sz w:val="16"/>
          <w:szCs w:val="16"/>
        </w:rPr>
        <w:t>Главмашпром</w:t>
      </w:r>
      <w:proofErr w:type="spellEnd"/>
      <w:r w:rsidRPr="00441F34">
        <w:rPr>
          <w:rFonts w:ascii="Times New Roman" w:hAnsi="Times New Roman"/>
          <w:color w:val="0070C0"/>
          <w:sz w:val="16"/>
          <w:szCs w:val="16"/>
        </w:rPr>
        <w:t>, Сектор Проверки Исполнения (3 экз.), т. Шахназарову, т. Логинову, т. Мельникову, Упр. Делами СНК СССР (</w:t>
      </w:r>
      <w:proofErr w:type="spellStart"/>
      <w:r w:rsidRPr="00441F34">
        <w:rPr>
          <w:rFonts w:ascii="Times New Roman" w:hAnsi="Times New Roman"/>
          <w:color w:val="0070C0"/>
          <w:sz w:val="16"/>
          <w:szCs w:val="16"/>
        </w:rPr>
        <w:t>Промгруппа</w:t>
      </w:r>
      <w:proofErr w:type="spellEnd"/>
      <w:r w:rsidRPr="00441F34">
        <w:rPr>
          <w:rFonts w:ascii="Times New Roman" w:hAnsi="Times New Roman"/>
          <w:color w:val="0070C0"/>
          <w:sz w:val="16"/>
          <w:szCs w:val="16"/>
        </w:rPr>
        <w:t>), Уфимский Моторный завод.</w:t>
      </w:r>
    </w:p>
    <w:p w14:paraId="51358F9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Копия.</w:t>
      </w:r>
    </w:p>
    <w:p w14:paraId="0ED341A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ПОСТАНОВЛЕНИЕ ПРЕЗИДИУМА ВСНХ СССР </w:t>
      </w:r>
    </w:p>
    <w:p w14:paraId="598B0979"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710 </w:t>
      </w:r>
    </w:p>
    <w:p w14:paraId="45F74451"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гор. Москва, 13 октября 1931 года. </w:t>
      </w:r>
    </w:p>
    <w:p w14:paraId="3A04BDB4"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 БЫСТРОХОДНЫХ ДИЗЕЛЯХ.</w:t>
      </w:r>
    </w:p>
    <w:p w14:paraId="62EE79E8"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Внедрение быстроходных дизелей является важнейшей задачей во всех областях применения двигателей внутреннего сгорания в СССР. Исключительное значение этой проблемы для авто-тракторного парка отмечено постановлением СТО от 6/I-30 г. и ЦК ВКП(б) от 15/XI-30 г. </w:t>
      </w:r>
    </w:p>
    <w:p w14:paraId="71C7991D"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Признавая абсолютно недостаточной проводимую в этом направлении до сего времени работу, Президиум ВСНХ считает совершенно необходимым в кратчайший срок поставить практически работу по производству быстроходных дизель-моторов и, в первую очередь, для тракторов и грузовых автомобилей от 2 ½ тонн и выше. </w:t>
      </w:r>
    </w:p>
    <w:p w14:paraId="1149D397"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выбора типов и организации производства автотракторных дизелей Президиум ВСНХ СССР – ПОСТАНОВЛЯЕТ: </w:t>
      </w:r>
    </w:p>
    <w:p w14:paraId="58470A9E"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Обязать ВАТО в месячный срок выписать образцы новейших автотракторных дизелей. ВАТО и НАТИ в двухмесячный срок, после получения машин, произвести сравнительные их испытания. </w:t>
      </w:r>
    </w:p>
    <w:p w14:paraId="386F232B"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 Машины, оправдавшие себя в лабораторных испытаниях, ВАТО и НАТИ подвергнуть испытаниям на автомобилях и тракторах. </w:t>
      </w:r>
    </w:p>
    <w:p w14:paraId="1AA5054F"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ВАТО и НАТИ немедленно организовать конкурс между лучшими европейскими фирмами, строящими авто-тракторные дизеля, на поставку Союзу дизель-моторов этих фирм, смонтированных на готовых шасси тракторов "Интер" и "Катерпиллер-60" и автомобилей "АМО-3" и "Я-5" и конкурс на дизеля для нового Ярославского грузовика. </w:t>
      </w:r>
    </w:p>
    <w:p w14:paraId="47C975A0"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Машины, предоставленные на конкурс, подвергнуть всесторонним испытаниям в НАТИ, с окончанием этих испытаний в двухмесячный срок после прибытия машин в НАТИ. </w:t>
      </w:r>
    </w:p>
    <w:p w14:paraId="16B2515F"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Результаты испытаний дизельных машин лучших заграничных фирм и машин своих конструкций доложить Президиуму ВСНХ СССР для окончательного утверждения типов дизелей для "АМО-3", старого и нового Ярославского грузовика и тракторов ЧТЗ, ХТЗ и СТЗ. </w:t>
      </w:r>
    </w:p>
    <w:p w14:paraId="51E85F9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4. После получения результатов испытания дизельных машин, </w:t>
      </w:r>
      <w:proofErr w:type="spellStart"/>
      <w:r w:rsidRPr="00441F34">
        <w:rPr>
          <w:rFonts w:ascii="Times New Roman" w:hAnsi="Times New Roman"/>
          <w:color w:val="0070C0"/>
          <w:sz w:val="16"/>
          <w:szCs w:val="16"/>
        </w:rPr>
        <w:t>Главмашпрому</w:t>
      </w:r>
      <w:proofErr w:type="spellEnd"/>
      <w:r w:rsidRPr="00441F34">
        <w:rPr>
          <w:rFonts w:ascii="Times New Roman" w:hAnsi="Times New Roman"/>
          <w:color w:val="0070C0"/>
          <w:sz w:val="16"/>
          <w:szCs w:val="16"/>
        </w:rPr>
        <w:t xml:space="preserve"> и ВАТО войти в Президиум ВСНХ СССР с конкретным планом массового перевода автомобилей и тракторов союзного производства на дизель-моторы. </w:t>
      </w:r>
    </w:p>
    <w:p w14:paraId="5AA8C30E"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Обязать ВАТО на Уфимском заводе первой очереди поставить производство не менее 10.000 штук легких дизелей авто-тракторного типа. Вторую очередь завода ориентировать целиком на авто-тракторные дизель-моторы. Типы моторов для Уфимского завода первой очереди установить после лабораторных испытаний образцов и представить на утверждение Президиума ВСНХ СССР. </w:t>
      </w:r>
    </w:p>
    <w:p w14:paraId="174FD2B2"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6. Установить следующий план внедрения авто-тракторных дизелей на существующие и строящиеся авто-тракторные заводы: </w:t>
      </w:r>
    </w:p>
    <w:p w14:paraId="6C52ABA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а) Челябинский завод – пускается в ход со старой моторной группой. Первый год своего производства выпускает не менее 100 тракторов с импортными дизель-моторами. Не позднее третьего квартала 1932 года с опытного завода выпускает первую серию в 15 тракторов с дизель-моторами, построенными на опытном заводе ЧТЗ и разработанными совместно с НАТИ. </w:t>
      </w:r>
    </w:p>
    <w:p w14:paraId="3A8F762A"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Харьковский тракторный завод – в 1932 году выпускает не менее 100 тракторов с импортными дизель-моторами. </w:t>
      </w:r>
    </w:p>
    <w:p w14:paraId="2CB4FD1B"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Заводу "АМО" в 1932 году выпустить не менее 100 автомобилей с импортными дизель-моторами. </w:t>
      </w:r>
    </w:p>
    <w:p w14:paraId="365EB21A"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7. Возложить научно-исследовательскую и конструкторскую работу по авто-тракторным дизелям на Научный Авто-Тракторный Институт – "НАТИ" с привлечением к этой работе других организаций, ведущих работу по дизелям (Дизельный Институт, НАМ и т.д.). </w:t>
      </w:r>
    </w:p>
    <w:p w14:paraId="69E3593F"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Опытное производство авто-тракторных дизель-моторов возложить на Институт НАТИ и его опытный завод с привлечением существующих заводов ВАТО. Проектирование технологических процессов по производству дизель-моторов на заводах ВАТО возложить на ГИПРОВАТО. </w:t>
      </w:r>
    </w:p>
    <w:p w14:paraId="51E3C2DE"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Наблюдение и проработку результатов </w:t>
      </w:r>
      <w:proofErr w:type="spellStart"/>
      <w:r w:rsidRPr="00441F34">
        <w:rPr>
          <w:rFonts w:ascii="Times New Roman" w:hAnsi="Times New Roman"/>
          <w:color w:val="0070C0"/>
          <w:sz w:val="16"/>
          <w:szCs w:val="16"/>
        </w:rPr>
        <w:t>эксплоатации</w:t>
      </w:r>
      <w:proofErr w:type="spellEnd"/>
      <w:r w:rsidRPr="00441F34">
        <w:rPr>
          <w:rFonts w:ascii="Times New Roman" w:hAnsi="Times New Roman"/>
          <w:color w:val="0070C0"/>
          <w:sz w:val="16"/>
          <w:szCs w:val="16"/>
        </w:rPr>
        <w:t xml:space="preserve"> в СССР дизельных автомобилей и тракторов возложить на Институт НАТИ. </w:t>
      </w:r>
    </w:p>
    <w:p w14:paraId="29B79797"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ВАТО, ГИПРОВАТО и НАТИ, при разработке типов дизелей для основных заводов ВАТО, разработать номенклатуру двигателей по серии мощностей с максимальной нормализацией и стандартизацией дизельных деталей, ведущихся в Научно-Исследовательском Дизельном Институте. </w:t>
      </w:r>
    </w:p>
    <w:p w14:paraId="033F46A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9. Предложить </w:t>
      </w:r>
      <w:proofErr w:type="spellStart"/>
      <w:r w:rsidRPr="00441F34">
        <w:rPr>
          <w:rFonts w:ascii="Times New Roman" w:hAnsi="Times New Roman"/>
          <w:color w:val="0070C0"/>
          <w:sz w:val="16"/>
          <w:szCs w:val="16"/>
        </w:rPr>
        <w:t>Союзнефти</w:t>
      </w:r>
      <w:proofErr w:type="spellEnd"/>
      <w:r w:rsidRPr="00441F34">
        <w:rPr>
          <w:rFonts w:ascii="Times New Roman" w:hAnsi="Times New Roman"/>
          <w:color w:val="0070C0"/>
          <w:sz w:val="16"/>
          <w:szCs w:val="16"/>
        </w:rPr>
        <w:t xml:space="preserve"> при участии НАТИ в трехмесячный срок выработать стандарт авто-тракторной нефти. </w:t>
      </w:r>
    </w:p>
    <w:p w14:paraId="2D859955"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10. Войти в Правительство с предложением обязательного импорта, в числе импортируемых автомобилей, тракторов и дорожных машин, дизельных машин с тем, чтобы в начале 1932 года, в условиях рядовой </w:t>
      </w:r>
      <w:proofErr w:type="spellStart"/>
      <w:r w:rsidRPr="00441F34">
        <w:rPr>
          <w:rFonts w:ascii="Times New Roman" w:hAnsi="Times New Roman"/>
          <w:color w:val="0070C0"/>
          <w:sz w:val="16"/>
          <w:szCs w:val="16"/>
        </w:rPr>
        <w:t>эксплоатации</w:t>
      </w:r>
      <w:proofErr w:type="spellEnd"/>
      <w:r w:rsidRPr="00441F34">
        <w:rPr>
          <w:rFonts w:ascii="Times New Roman" w:hAnsi="Times New Roman"/>
          <w:color w:val="0070C0"/>
          <w:sz w:val="16"/>
          <w:szCs w:val="16"/>
        </w:rPr>
        <w:t xml:space="preserve">, под наблюдением НАТИ было не менее 100 дизельных машин. </w:t>
      </w:r>
    </w:p>
    <w:p w14:paraId="79581B9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11. Обязать ВАТО пустить в первом квартале 1932 года в ход опытный завод НАТИ и дизельные лаборатории Института настолько, чтобы они могли исчерпывающе испытывать и самостоятельно строить опытные авто-тракторные дизеля. Обязать </w:t>
      </w:r>
      <w:proofErr w:type="spellStart"/>
      <w:r w:rsidRPr="00441F34">
        <w:rPr>
          <w:rFonts w:ascii="Times New Roman" w:hAnsi="Times New Roman"/>
          <w:color w:val="0070C0"/>
          <w:sz w:val="16"/>
          <w:szCs w:val="16"/>
        </w:rPr>
        <w:t>Главмашпром</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Стройсектор</w:t>
      </w:r>
      <w:proofErr w:type="spellEnd"/>
      <w:r w:rsidRPr="00441F34">
        <w:rPr>
          <w:rFonts w:ascii="Times New Roman" w:hAnsi="Times New Roman"/>
          <w:color w:val="0070C0"/>
          <w:sz w:val="16"/>
          <w:szCs w:val="16"/>
        </w:rPr>
        <w:t xml:space="preserve"> ВСНХ СССР принять все необходимые меры к форсированию окончания нового строительства НАТИ. </w:t>
      </w:r>
    </w:p>
    <w:p w14:paraId="4428165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Не подлежит оглашению. </w:t>
      </w:r>
    </w:p>
    <w:p w14:paraId="50ED424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срочного пуска в ход опытного завода НАТИ и его лабораторий 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обеспечить доставку Институту необходимого импортного оборудования. </w:t>
      </w:r>
    </w:p>
    <w:p w14:paraId="391536C6"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Не подлежит оглашению. </w:t>
      </w:r>
    </w:p>
    <w:p w14:paraId="7DE3299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срочного проведения испытаний 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срочно заказать и обеспечить доставку в НАТИ дизельных машин, дизель-моторов и их аппаратуры до 100.000 рублей в инвалюте. </w:t>
      </w:r>
    </w:p>
    <w:p w14:paraId="0EC04427"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14. Обязать ВЭО не менее половины выпускаемых по конструкции НАТИ электрических тормозных машин отпускать НАТИ для оборудования испытательных установок для моторов. </w:t>
      </w:r>
    </w:p>
    <w:p w14:paraId="01035707"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Не подлежит оглашению. </w:t>
      </w:r>
    </w:p>
    <w:p w14:paraId="782E464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Обязать </w:t>
      </w:r>
      <w:proofErr w:type="spellStart"/>
      <w:r w:rsidRPr="00441F34">
        <w:rPr>
          <w:rFonts w:ascii="Times New Roman" w:hAnsi="Times New Roman"/>
          <w:color w:val="0070C0"/>
          <w:sz w:val="16"/>
          <w:szCs w:val="16"/>
        </w:rPr>
        <w:t>Иносектор</w:t>
      </w:r>
      <w:proofErr w:type="spellEnd"/>
      <w:r w:rsidRPr="00441F34">
        <w:rPr>
          <w:rFonts w:ascii="Times New Roman" w:hAnsi="Times New Roman"/>
          <w:color w:val="0070C0"/>
          <w:sz w:val="16"/>
          <w:szCs w:val="16"/>
        </w:rPr>
        <w:t xml:space="preserve"> ВСНХ СССР привлечь в Институт НАТИ высококвалифицированную иностранную техническую и научно-исследовательскую помощь по авто-тракторным дизелям, путем приглашения иностранных специалистов и командирования работников НАТИ за границу. </w:t>
      </w:r>
    </w:p>
    <w:p w14:paraId="224A6451"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16. Концентрировать в Дизельном отделе НАТИ квалифицированных инженеров, для чего: </w:t>
      </w:r>
    </w:p>
    <w:p w14:paraId="1AF72CB4"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а) Обязать Сектор Кадров ВСНХ СССР немедленно войти в директивные инстанции о передаче в Институт задержанных </w:t>
      </w:r>
      <w:proofErr w:type="spellStart"/>
      <w:r w:rsidRPr="00441F34">
        <w:rPr>
          <w:rFonts w:ascii="Times New Roman" w:hAnsi="Times New Roman"/>
          <w:color w:val="0070C0"/>
          <w:sz w:val="16"/>
          <w:szCs w:val="16"/>
        </w:rPr>
        <w:t>Наркомвнешторгом</w:t>
      </w:r>
      <w:proofErr w:type="spellEnd"/>
      <w:r w:rsidRPr="00441F34">
        <w:rPr>
          <w:rFonts w:ascii="Times New Roman" w:hAnsi="Times New Roman"/>
          <w:color w:val="0070C0"/>
          <w:sz w:val="16"/>
          <w:szCs w:val="16"/>
        </w:rPr>
        <w:t xml:space="preserve"> на заграничной работе инженеров НАТИ – Вишневского, </w:t>
      </w:r>
      <w:proofErr w:type="spellStart"/>
      <w:r w:rsidRPr="00441F34">
        <w:rPr>
          <w:rFonts w:ascii="Times New Roman" w:hAnsi="Times New Roman"/>
          <w:color w:val="0070C0"/>
          <w:sz w:val="16"/>
          <w:szCs w:val="16"/>
        </w:rPr>
        <w:t>Корсова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Ганевского</w:t>
      </w:r>
      <w:proofErr w:type="spellEnd"/>
      <w:r w:rsidRPr="00441F34">
        <w:rPr>
          <w:rFonts w:ascii="Times New Roman" w:hAnsi="Times New Roman"/>
          <w:color w:val="0070C0"/>
          <w:sz w:val="16"/>
          <w:szCs w:val="16"/>
        </w:rPr>
        <w:t xml:space="preserve"> и Розенберга. </w:t>
      </w:r>
    </w:p>
    <w:p w14:paraId="177AAE7D"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Обязать ВАО немедленно откомандировать в НАТИ задержанных на 29-м заводе ВАО временно командированных туда год тому назад инженеров НАТИ – </w:t>
      </w:r>
      <w:proofErr w:type="spellStart"/>
      <w:r w:rsidRPr="00441F34">
        <w:rPr>
          <w:rFonts w:ascii="Times New Roman" w:hAnsi="Times New Roman"/>
          <w:color w:val="0070C0"/>
          <w:sz w:val="16"/>
          <w:szCs w:val="16"/>
        </w:rPr>
        <w:t>Изаксона</w:t>
      </w:r>
      <w:proofErr w:type="spellEnd"/>
      <w:r w:rsidRPr="00441F34">
        <w:rPr>
          <w:rFonts w:ascii="Times New Roman" w:hAnsi="Times New Roman"/>
          <w:color w:val="0070C0"/>
          <w:sz w:val="16"/>
          <w:szCs w:val="16"/>
        </w:rPr>
        <w:t xml:space="preserve"> и Лев. </w:t>
      </w:r>
    </w:p>
    <w:p w14:paraId="5884B49F"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Передать в НАТИ использованного не по специальности в Теплотехническом Институте инженера Гутермана – дизелиста, ведающего электрической станцией в Высшем Мех. Машиностроительном Институте инженеров Лебедева и Либровича (по совместителю с ВММИ). </w:t>
      </w:r>
    </w:p>
    <w:p w14:paraId="76120EFA"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г) Ввести в директивные органы вопрос о передаче в НАТИ освобождающегося на заграничной работе инженера Кукса. </w:t>
      </w:r>
    </w:p>
    <w:p w14:paraId="2DD57725"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17. До пуска в ход опытного завода НАТИ обязать ЧТЗ, Экспериментальный сектор завода АМО и завод "Большевик" строить опытные конструкции авто-тракторных дизелей по проектам НАТИ. </w:t>
      </w:r>
    </w:p>
    <w:p w14:paraId="714896B0"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18. Возложить на </w:t>
      </w:r>
      <w:proofErr w:type="spellStart"/>
      <w:r w:rsidRPr="00441F34">
        <w:rPr>
          <w:rFonts w:ascii="Times New Roman" w:hAnsi="Times New Roman"/>
          <w:color w:val="0070C0"/>
          <w:sz w:val="16"/>
          <w:szCs w:val="16"/>
        </w:rPr>
        <w:t>Главмашпром</w:t>
      </w:r>
      <w:proofErr w:type="spellEnd"/>
      <w:r w:rsidRPr="00441F34">
        <w:rPr>
          <w:rFonts w:ascii="Times New Roman" w:hAnsi="Times New Roman"/>
          <w:color w:val="0070C0"/>
          <w:sz w:val="16"/>
          <w:szCs w:val="16"/>
        </w:rPr>
        <w:t xml:space="preserve"> общее руководство всей работой по внедрению быстроходных дизель-моторов в производство в СССР, и персональное наблюдение и ответственность за внедрение всей этой работы возложить на Зам. Нач. </w:t>
      </w:r>
      <w:proofErr w:type="spellStart"/>
      <w:r w:rsidRPr="00441F34">
        <w:rPr>
          <w:rFonts w:ascii="Times New Roman" w:hAnsi="Times New Roman"/>
          <w:color w:val="0070C0"/>
          <w:sz w:val="16"/>
          <w:szCs w:val="16"/>
        </w:rPr>
        <w:t>Главмашпрома</w:t>
      </w:r>
      <w:proofErr w:type="spellEnd"/>
      <w:r w:rsidRPr="00441F34">
        <w:rPr>
          <w:rFonts w:ascii="Times New Roman" w:hAnsi="Times New Roman"/>
          <w:color w:val="0070C0"/>
          <w:sz w:val="16"/>
          <w:szCs w:val="16"/>
        </w:rPr>
        <w:t xml:space="preserve"> ВСНХ СССР – тов. </w:t>
      </w:r>
      <w:proofErr w:type="spellStart"/>
      <w:r w:rsidRPr="00441F34">
        <w:rPr>
          <w:rFonts w:ascii="Times New Roman" w:hAnsi="Times New Roman"/>
          <w:color w:val="0070C0"/>
          <w:sz w:val="16"/>
          <w:szCs w:val="16"/>
        </w:rPr>
        <w:t>Крицмана</w:t>
      </w:r>
      <w:proofErr w:type="spellEnd"/>
      <w:r w:rsidRPr="00441F34">
        <w:rPr>
          <w:rFonts w:ascii="Times New Roman" w:hAnsi="Times New Roman"/>
          <w:color w:val="0070C0"/>
          <w:sz w:val="16"/>
          <w:szCs w:val="16"/>
        </w:rPr>
        <w:t>.</w:t>
      </w:r>
    </w:p>
    <w:p w14:paraId="08C9CC63"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ЗАМ. ПРЕДСЕДАТЕЛЯ ВСНХ СССР: (Г. ПЯТАКОВ)</w:t>
      </w:r>
    </w:p>
    <w:p w14:paraId="40B29B8D"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 подлинным верно: </w:t>
      </w:r>
    </w:p>
    <w:p w14:paraId="1F0642CC" w14:textId="77777777" w:rsidR="00DE24DE" w:rsidRPr="00441F34" w:rsidRDefault="00DE24DE" w:rsidP="00DE24D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Корректор Управления Делами ВСНХ СССР: подпись (24866).</w:t>
      </w:r>
    </w:p>
    <w:p w14:paraId="4E3D4607" w14:textId="77777777" w:rsidR="00DE24DE" w:rsidRPr="00441F34" w:rsidRDefault="00DE24DE" w:rsidP="00DE24DE">
      <w:pPr>
        <w:spacing w:after="0" w:line="240" w:lineRule="auto"/>
        <w:jc w:val="both"/>
        <w:rPr>
          <w:rFonts w:ascii="Times New Roman" w:hAnsi="Times New Roman"/>
          <w:color w:val="0070C0"/>
          <w:sz w:val="16"/>
          <w:szCs w:val="16"/>
        </w:rPr>
      </w:pPr>
    </w:p>
    <w:p w14:paraId="75D16541"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D265928"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375F1F"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14 октября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213сс о состоянии военно-химического дела (ГА РФ. Ф. Р?8418. Оп. 28. Д. 1а. Л. 61?72) (12415).</w:t>
      </w:r>
    </w:p>
    <w:p w14:paraId="3E491163"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СТО СССР № 214с о распространении действия постановления СТО № 82сс от 7 мая 1931 г. на водный транспорт (ГА РФ. Ф. Р?8418. Оп. 28. Д. 25а. Л. 1?4) (12415).</w:t>
      </w:r>
    </w:p>
    <w:p w14:paraId="142CD6BD"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p>
    <w:p w14:paraId="1736C6FC" w14:textId="77777777" w:rsidR="00AD4FAD" w:rsidRPr="007122AB" w:rsidRDefault="00AD4FAD"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14 октября 1931 г.</w:t>
      </w:r>
      <w:r w:rsidRPr="007122AB">
        <w:rPr>
          <w:rFonts w:ascii="Times New Roman" w:hAnsi="Times New Roman"/>
          <w:color w:val="000000" w:themeColor="text1"/>
          <w:sz w:val="16"/>
          <w:szCs w:val="16"/>
        </w:rPr>
        <w:t xml:space="preserve"> Постановление Комиссии Обороны при СТО СССР «</w:t>
      </w:r>
      <w:r w:rsidRPr="007122AB">
        <w:rPr>
          <w:rFonts w:ascii="Times New Roman" w:hAnsi="Times New Roman"/>
          <w:iCs/>
          <w:color w:val="000000" w:themeColor="text1"/>
          <w:sz w:val="16"/>
          <w:szCs w:val="16"/>
        </w:rPr>
        <w:t>О состоянии военно-химического дела</w:t>
      </w:r>
      <w:r w:rsidRPr="007122AB">
        <w:rPr>
          <w:rFonts w:ascii="Times New Roman" w:hAnsi="Times New Roman"/>
          <w:color w:val="000000" w:themeColor="text1"/>
          <w:sz w:val="16"/>
          <w:szCs w:val="16"/>
        </w:rPr>
        <w:t>». Представлен доклад специальной комиссии во главе с </w:t>
      </w:r>
      <w:proofErr w:type="spellStart"/>
      <w:r w:rsidRPr="007122AB">
        <w:rPr>
          <w:rFonts w:ascii="Times New Roman" w:hAnsi="Times New Roman"/>
          <w:color w:val="000000" w:themeColor="text1"/>
          <w:sz w:val="16"/>
          <w:szCs w:val="16"/>
        </w:rPr>
        <w:t>М.Н.Тухачевским</w:t>
      </w:r>
      <w:proofErr w:type="spellEnd"/>
      <w:r w:rsidRPr="007122AB">
        <w:rPr>
          <w:rFonts w:ascii="Times New Roman" w:hAnsi="Times New Roman"/>
          <w:color w:val="000000" w:themeColor="text1"/>
          <w:sz w:val="16"/>
          <w:szCs w:val="16"/>
        </w:rPr>
        <w:t>. Мощности по выпуску ОВ по состоянию на 1 мая 1931 составили: по иприту 1800 тонн в год на химзаводе № 1 (Москва, нынешний ГСНИИОХТ) и 5000 тонн на </w:t>
      </w:r>
      <w:proofErr w:type="spellStart"/>
      <w:r w:rsidRPr="007122AB">
        <w:rPr>
          <w:rFonts w:ascii="Times New Roman" w:hAnsi="Times New Roman"/>
          <w:color w:val="000000" w:themeColor="text1"/>
          <w:sz w:val="16"/>
          <w:szCs w:val="16"/>
        </w:rPr>
        <w:t>госхимзаводе</w:t>
      </w:r>
      <w:proofErr w:type="spellEnd"/>
      <w:r w:rsidRPr="007122AB">
        <w:rPr>
          <w:rFonts w:ascii="Times New Roman" w:hAnsi="Times New Roman"/>
          <w:color w:val="000000" w:themeColor="text1"/>
          <w:sz w:val="16"/>
          <w:szCs w:val="16"/>
        </w:rPr>
        <w:t xml:space="preserve"> № 2 (Чапаевск), по фосгену — 1000 тонн на </w:t>
      </w:r>
      <w:proofErr w:type="spellStart"/>
      <w:r w:rsidRPr="007122AB">
        <w:rPr>
          <w:rFonts w:ascii="Times New Roman" w:hAnsi="Times New Roman"/>
          <w:color w:val="000000" w:themeColor="text1"/>
          <w:sz w:val="16"/>
          <w:szCs w:val="16"/>
        </w:rPr>
        <w:t>госхимзаводе</w:t>
      </w:r>
      <w:proofErr w:type="spellEnd"/>
      <w:r w:rsidRPr="007122AB">
        <w:rPr>
          <w:rFonts w:ascii="Times New Roman" w:hAnsi="Times New Roman"/>
          <w:color w:val="000000" w:themeColor="text1"/>
          <w:sz w:val="16"/>
          <w:szCs w:val="16"/>
        </w:rPr>
        <w:t xml:space="preserve"> № 1, 4000 тонн на Чернореченском химическом заводе и 2000 тонн на Рубежанском химическом заводе. Армейский запас артснарядов составлял на 1 мая 1931 г. в снаряжении ипритом — 90000 штук (в том числе 76 мм — 59000, 107 мм — 22000, 122 мм — 9000), а в снаряжении фосгеном и дифосгеном — 340000 штук (в том числе 76 мм — 250000, 107 мм — 31000, 122 мм — 59000). Запас </w:t>
      </w:r>
      <w:proofErr w:type="spellStart"/>
      <w:r w:rsidRPr="007122AB">
        <w:rPr>
          <w:rFonts w:ascii="Times New Roman" w:hAnsi="Times New Roman"/>
          <w:color w:val="000000" w:themeColor="text1"/>
          <w:sz w:val="16"/>
          <w:szCs w:val="16"/>
        </w:rPr>
        <w:t>авиахимбомб</w:t>
      </w:r>
      <w:proofErr w:type="spellEnd"/>
      <w:r w:rsidRPr="007122AB">
        <w:rPr>
          <w:rFonts w:ascii="Times New Roman" w:hAnsi="Times New Roman"/>
          <w:color w:val="000000" w:themeColor="text1"/>
          <w:sz w:val="16"/>
          <w:szCs w:val="16"/>
        </w:rPr>
        <w:t xml:space="preserve"> составлял 7600 штук (калибр — 8 кг). Страна располагала двумя станциями разливки ОВ по </w:t>
      </w:r>
      <w:proofErr w:type="spellStart"/>
      <w:r w:rsidRPr="007122AB">
        <w:rPr>
          <w:rFonts w:ascii="Times New Roman" w:hAnsi="Times New Roman"/>
          <w:color w:val="000000" w:themeColor="text1"/>
          <w:sz w:val="16"/>
          <w:szCs w:val="16"/>
        </w:rPr>
        <w:t>артхимбоеприпасам</w:t>
      </w:r>
      <w:proofErr w:type="spellEnd"/>
      <w:r w:rsidRPr="007122AB">
        <w:rPr>
          <w:rFonts w:ascii="Times New Roman" w:hAnsi="Times New Roman"/>
          <w:color w:val="000000" w:themeColor="text1"/>
          <w:sz w:val="16"/>
          <w:szCs w:val="16"/>
        </w:rPr>
        <w:t>: в Москве на военно-химическом складе № 136 (Очаково) мобилизационной мощностью 1130000 шт. и в Чапаевске (Самарская область) на химзаводе № 2 с мощностью 4000000 шт. Решено мощность по производству синильной кислоты довести до 1500 тонн в год. НКВМ было предписано ввести на вооружение 25 кг и 100 кг авиационные химические бомбы и повысить удельный вес химических и осколочно-химических авиабомб к общему количеству авиабомб с 17% до 25 % (17133).</w:t>
      </w:r>
    </w:p>
    <w:p w14:paraId="2B7C7F79" w14:textId="77777777" w:rsidR="00AD4FAD" w:rsidRPr="007122AB" w:rsidRDefault="00AD4FAD" w:rsidP="007122AB">
      <w:pPr>
        <w:shd w:val="clear" w:color="auto" w:fill="FFFFFF"/>
        <w:spacing w:after="0" w:line="240" w:lineRule="auto"/>
        <w:jc w:val="both"/>
        <w:rPr>
          <w:rFonts w:ascii="Times New Roman" w:hAnsi="Times New Roman"/>
          <w:color w:val="000000" w:themeColor="text1"/>
          <w:sz w:val="16"/>
          <w:szCs w:val="16"/>
        </w:rPr>
      </w:pPr>
    </w:p>
    <w:p w14:paraId="62331B33" w14:textId="77777777" w:rsidR="00513C11" w:rsidRPr="007122AB" w:rsidRDefault="00513C11" w:rsidP="007122AB">
      <w:pPr>
        <w:pStyle w:val="rtejustify"/>
        <w:spacing w:before="0" w:after="0"/>
        <w:rPr>
          <w:color w:val="000000" w:themeColor="text1"/>
          <w:sz w:val="16"/>
          <w:szCs w:val="16"/>
        </w:rPr>
      </w:pPr>
      <w:r w:rsidRPr="007122AB">
        <w:rPr>
          <w:rStyle w:val="af0"/>
          <w:i w:val="0"/>
          <w:color w:val="000000" w:themeColor="text1"/>
          <w:sz w:val="16"/>
          <w:szCs w:val="16"/>
        </w:rPr>
        <w:t xml:space="preserve">14 октября 1931 г. </w:t>
      </w:r>
      <w:proofErr w:type="spellStart"/>
      <w:r w:rsidRPr="007122AB">
        <w:rPr>
          <w:rStyle w:val="af0"/>
          <w:i w:val="0"/>
          <w:color w:val="000000" w:themeColor="text1"/>
          <w:sz w:val="16"/>
          <w:szCs w:val="16"/>
        </w:rPr>
        <w:t>впостановлении</w:t>
      </w:r>
      <w:proofErr w:type="spellEnd"/>
      <w:r w:rsidRPr="007122AB">
        <w:rPr>
          <w:rStyle w:val="af0"/>
          <w:i w:val="0"/>
          <w:color w:val="000000" w:themeColor="text1"/>
          <w:sz w:val="16"/>
          <w:szCs w:val="16"/>
        </w:rPr>
        <w:t xml:space="preserve"> СТО СССР № 213сс «О состоянии военно-химического дела»</w:t>
      </w:r>
      <w:r w:rsidRPr="007122AB">
        <w:rPr>
          <w:color w:val="000000" w:themeColor="text1"/>
          <w:sz w:val="16"/>
          <w:szCs w:val="16"/>
        </w:rPr>
        <w:t xml:space="preserve"> отмечалось неудовлетворительное состояние военно-химического вооружения РККА и его промышленного обеспечения, что было вызвано следующими причинами: недостаточное развертывание научно-исследовательской работы; </w:t>
      </w:r>
      <w:r w:rsidRPr="007122AB">
        <w:rPr>
          <w:color w:val="000000" w:themeColor="text1"/>
          <w:sz w:val="16"/>
          <w:szCs w:val="16"/>
        </w:rPr>
        <w:lastRenderedPageBreak/>
        <w:t>отсутствие конструкторской работы; неудовлетворительное выполнение текущих опытных заказов и плохое качество поставляемых приборов; невыполнение сроков строительства основных объектов военно-химического вооружения, а также недостаточное внимание к военно-химическому делу со стороны НКВМ и ВСНХ СССР.</w:t>
      </w:r>
    </w:p>
    <w:p w14:paraId="5DA74FFD"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Для улучшения положения в военно-химической промышленности ВСНХ предлагалось в двухмесячный срок: а) организовать конструкторские бюро по предметам военно-химического вооружения; б) организовать центральные научно-исследовательские лаборатории по химии и технологии отравляющих веществ и по противогазам и дымовым шашкам; в) выполнение заданий НКВМ по конструкторским и исследовательским работам проводить в ударном порядке, обеспечив эти работы необходимыми кадрами, финансированием и оборудованием. На НКВМ возлагались следующие обязательства: а) в двухмесячный срок организовать конструкторское бюро по средствам коллективной защиты; б) в месячный срок передать ВСНХ для работы в конструкторском бюро и лабораториях 15 инженеров.</w:t>
      </w:r>
    </w:p>
    <w:p w14:paraId="76B47C4A"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По средствам противохимической защиты постановлением предусматривались следующие мероприятия: 1. ВСНХ и НКВМ в течение 1931 г. закончить разработку улучшенного типа противогаза и после испытаний ввести на вооружение РККА. 2</w:t>
      </w:r>
      <w:r w:rsidRPr="007122AB">
        <w:rPr>
          <w:rStyle w:val="af0"/>
          <w:i w:val="0"/>
          <w:color w:val="000000" w:themeColor="text1"/>
          <w:sz w:val="16"/>
          <w:szCs w:val="16"/>
        </w:rPr>
        <w:t>. </w:t>
      </w:r>
      <w:r w:rsidRPr="007122AB">
        <w:rPr>
          <w:color w:val="000000" w:themeColor="text1"/>
          <w:sz w:val="16"/>
          <w:szCs w:val="16"/>
        </w:rPr>
        <w:t>В 1932 г. ВСНХ закончить строительство производства гопкалита против окиси углерода. 3. НКВМ и ВСНХ в 1931 г. закончить конструирование и испытание изолирующего противогаза. По средствам химического нападения: 1. Предложить ВСНХ и НКВМ предусмотреть в контрольных цифрах 1932 г. «решительный сдвиг в сторону увеличения производства дымовых веществ». 2. Обязать ВСНХ в 1932 г. закончить постройку и монтаж мощного завода иприта. 3. ВСНХ не позднее 1 января 1932 г. организовать полузаводское производство хлористого алюминия на 1000 тонн.</w:t>
      </w:r>
    </w:p>
    <w:p w14:paraId="05112BDB"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Выполнение текущих и опытных заказов и «капитальное строительство по средствам противохимической защиты, по отравляющим веществам, хлору, сере и мышьяку» приравнивались к ударным наравне со строительством военной промышленности. Для укрепления сырьевой базы постановлением предусматривалось строительство заводов по производству угля-сырца, хлора, серы газовой; увеличение добычи мышьяка, брома и серы. (ГА РФ. Ф. Р</w:t>
      </w:r>
      <w:r w:rsidRPr="007122AB">
        <w:rPr>
          <w:color w:val="000000" w:themeColor="text1"/>
          <w:sz w:val="16"/>
          <w:szCs w:val="16"/>
        </w:rPr>
        <w:noBreakHyphen/>
        <w:t>8418. Оп. 28. Д. 1а. Л. 61</w:t>
      </w:r>
      <w:r w:rsidRPr="007122AB">
        <w:rPr>
          <w:color w:val="000000" w:themeColor="text1"/>
          <w:sz w:val="16"/>
          <w:szCs w:val="16"/>
        </w:rPr>
        <w:noBreakHyphen/>
        <w:t>72) (12538).</w:t>
      </w:r>
    </w:p>
    <w:p w14:paraId="7ECC2588"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78C8BC5A" w14:textId="77777777" w:rsidR="00FB59EB" w:rsidRPr="007122AB" w:rsidRDefault="00FB59EB"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7EEC2E7" w14:textId="77777777" w:rsidR="00FB59EB" w:rsidRPr="007122AB" w:rsidRDefault="00FB59E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B7FBA6"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октября 1931 г.</w:t>
      </w:r>
    </w:p>
    <w:p w14:paraId="063DE015"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Письмо инженера К. Ф. </w:t>
      </w:r>
      <w:proofErr w:type="spellStart"/>
      <w:r w:rsidRPr="007122AB">
        <w:rPr>
          <w:rFonts w:ascii="Times New Roman" w:hAnsi="Times New Roman"/>
          <w:color w:val="000000" w:themeColor="text1"/>
          <w:sz w:val="16"/>
          <w:szCs w:val="16"/>
        </w:rPr>
        <w:t>Неймаера</w:t>
      </w:r>
      <w:proofErr w:type="spellEnd"/>
      <w:r w:rsidRPr="007122AB">
        <w:rPr>
          <w:rFonts w:ascii="Times New Roman" w:hAnsi="Times New Roman"/>
          <w:color w:val="000000" w:themeColor="text1"/>
          <w:sz w:val="16"/>
          <w:szCs w:val="16"/>
        </w:rPr>
        <w:t xml:space="preserve"> неустановленному адресату, сотруднику ВСНХ, с просьбой о содействии в освобождении. 14 октября 1931 г.</w:t>
      </w:r>
    </w:p>
    <w:p w14:paraId="0ECA31C4"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7DE3DF27"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F4C8CA"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октября 1931 г.</w:t>
      </w:r>
    </w:p>
    <w:p w14:paraId="2EC7BD55"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МНОГОУВАЖАЕМЫЙ ИВАН СЕРГЕЕВИЧ.</w:t>
      </w:r>
    </w:p>
    <w:p w14:paraId="3FB73873"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Узнал, что Вы находитесь в Москве в ВСНХ и решил обратиться к Вам с просьбой оказать мне помощь выйти из того положения, в котором я сейчас нахожусь. Уверен, что Вы помните </w:t>
      </w:r>
      <w:proofErr w:type="spellStart"/>
      <w:r w:rsidRPr="007122AB">
        <w:rPr>
          <w:rFonts w:ascii="Times New Roman" w:hAnsi="Times New Roman"/>
          <w:color w:val="000000" w:themeColor="text1"/>
          <w:sz w:val="16"/>
          <w:szCs w:val="16"/>
        </w:rPr>
        <w:t>Неймаера</w:t>
      </w:r>
      <w:proofErr w:type="spellEnd"/>
      <w:r w:rsidRPr="007122AB">
        <w:rPr>
          <w:rFonts w:ascii="Times New Roman" w:hAnsi="Times New Roman"/>
          <w:color w:val="000000" w:themeColor="text1"/>
          <w:sz w:val="16"/>
          <w:szCs w:val="16"/>
        </w:rPr>
        <w:t xml:space="preserve"> по совместной работе в </w:t>
      </w:r>
      <w:proofErr w:type="spellStart"/>
      <w:r w:rsidRPr="007122AB">
        <w:rPr>
          <w:rFonts w:ascii="Times New Roman" w:hAnsi="Times New Roman"/>
          <w:color w:val="000000" w:themeColor="text1"/>
          <w:sz w:val="16"/>
          <w:szCs w:val="16"/>
        </w:rPr>
        <w:t>ГОМЗе</w:t>
      </w:r>
      <w:proofErr w:type="spellEnd"/>
      <w:r w:rsidRPr="007122AB">
        <w:rPr>
          <w:rFonts w:ascii="Times New Roman" w:hAnsi="Times New Roman"/>
          <w:color w:val="000000" w:themeColor="text1"/>
          <w:sz w:val="16"/>
          <w:szCs w:val="16"/>
        </w:rPr>
        <w:t xml:space="preserve">, знаете также, что я был техническим руководителем по проектировке и сооружению на Ижорском заводе блюминга. Предложение взять на себя проектировку и руководство по изготовлению блюминга было сделано мне и В. А. Тихомирову представителем Экономического Отделения ОГПУ </w:t>
      </w:r>
      <w:proofErr w:type="spellStart"/>
      <w:r w:rsidRPr="007122AB">
        <w:rPr>
          <w:rFonts w:ascii="Times New Roman" w:hAnsi="Times New Roman"/>
          <w:color w:val="000000" w:themeColor="text1"/>
          <w:sz w:val="16"/>
          <w:szCs w:val="16"/>
        </w:rPr>
        <w:t>Горяновым</w:t>
      </w:r>
      <w:proofErr w:type="spellEnd"/>
      <w:r w:rsidRPr="007122AB">
        <w:rPr>
          <w:rFonts w:ascii="Times New Roman" w:hAnsi="Times New Roman"/>
          <w:color w:val="000000" w:themeColor="text1"/>
          <w:sz w:val="16"/>
          <w:szCs w:val="16"/>
        </w:rPr>
        <w:t xml:space="preserve"> от лица Коллегии ОГПУ, причем было заявлено, что дело будет ликвидировано, если блюминг будет изготовлен на Краматорском заводе. В дальнейшем, однако, было решено блюминг делать на Ижорском заводе. Подтверждение ликвидации дела и выпуска нас на свободу по изготовлении блюминга было сделано также Начальником Экономического Отделения] ОГПУ Прокофьевым во время его посещения Ижорского завода.</w:t>
      </w:r>
    </w:p>
    <w:p w14:paraId="72FD740F"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Работали мы с раннего утра до поздней ночи без дней отдыха, проектировали, делали разного рода приспособления в различных мастерских Ижорского завода, руководили производством, обучали рабочих, в конце апреля 1931 г. дали первый советский блюминг.</w:t>
      </w:r>
    </w:p>
    <w:p w14:paraId="005A4CF4"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Понятно[,] мы ожидали освобождения во исполнение данных нам двумя солидными представителями ОГПУ обещаний, но увы этого не случилось, причем наше начальство </w:t>
      </w:r>
      <w:proofErr w:type="spellStart"/>
      <w:r w:rsidRPr="007122AB">
        <w:rPr>
          <w:rFonts w:ascii="Times New Roman" w:hAnsi="Times New Roman"/>
          <w:color w:val="000000" w:themeColor="text1"/>
          <w:sz w:val="16"/>
          <w:szCs w:val="16"/>
        </w:rPr>
        <w:t>Остащенко</w:t>
      </w:r>
      <w:proofErr w:type="spellEnd"/>
      <w:r w:rsidRPr="007122AB">
        <w:rPr>
          <w:rFonts w:ascii="Times New Roman" w:hAnsi="Times New Roman"/>
          <w:color w:val="000000" w:themeColor="text1"/>
          <w:sz w:val="16"/>
          <w:szCs w:val="16"/>
        </w:rPr>
        <w:t xml:space="preserve"> заявил, что надо сделать еще один блюминг и тогда нам дадут свободу. К 25 сентября 1931 г. был готов 2-й советский &lt;блюминг&gt;, но и тут обещание не было выполнено, а 3-го октября меня и еще 4-х человек перевезли в Макеевку. Объявили, что к нам применен облегченный режим — мы ходим без стражи в город, по заводу, но не можем никого посещать или выезжать из Макеевки. Таким образом, ГПУ образовало при Макеевском заводе отделение нашего «Особого конструкторского Бюро № 3» для надзора за постройкою, якобы не только блюминга, но и мартенов с нагревательными колодцами. Всего здесь в бюро с ранее прибывшими 7 чел. За исключением одного командированного нами с Ижорского завода для записи и надзора за хранением прибывших частей блюминга, остальным делать нечего. Сами понимаете, что такая работа, как строительство требует не надзора, а действительной работы, но для этого надо иметь определенные права, в таком же положении, в котором находимся мы, пользы от нас весьма мало, а чудес делать мы не умеем. Другое дело, если бы люди были переданы заводу и получили бы определенные права в известной области. Со мною мое начальство </w:t>
      </w:r>
      <w:proofErr w:type="spellStart"/>
      <w:r w:rsidRPr="007122AB">
        <w:rPr>
          <w:rFonts w:ascii="Times New Roman" w:hAnsi="Times New Roman"/>
          <w:color w:val="000000" w:themeColor="text1"/>
          <w:sz w:val="16"/>
          <w:szCs w:val="16"/>
        </w:rPr>
        <w:t>Остащенко</w:t>
      </w:r>
      <w:proofErr w:type="spellEnd"/>
      <w:r w:rsidRPr="007122AB">
        <w:rPr>
          <w:rFonts w:ascii="Times New Roman" w:hAnsi="Times New Roman"/>
          <w:color w:val="000000" w:themeColor="text1"/>
          <w:sz w:val="16"/>
          <w:szCs w:val="16"/>
        </w:rPr>
        <w:t xml:space="preserve"> не советовался, полагая, вероятно, что он уже знает техническое дело в совершенстве. Между прочим, перебросили сюда и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Скворцова — специальности по механической обработке и инструментальное дело. Полезный для станкостроительного или машиностроительного завода специалист пропадает и делать ему здесь нечего. Я с моим опытом по строительству с пользою для дела мог быть использован при Правлении «Стали» или </w:t>
      </w:r>
      <w:proofErr w:type="spellStart"/>
      <w:r w:rsidRPr="007122AB">
        <w:rPr>
          <w:rFonts w:ascii="Times New Roman" w:hAnsi="Times New Roman"/>
          <w:color w:val="000000" w:themeColor="text1"/>
          <w:sz w:val="16"/>
          <w:szCs w:val="16"/>
        </w:rPr>
        <w:t>Гипростали</w:t>
      </w:r>
      <w:proofErr w:type="spellEnd"/>
      <w:r w:rsidRPr="007122AB">
        <w:rPr>
          <w:rFonts w:ascii="Times New Roman" w:hAnsi="Times New Roman"/>
          <w:color w:val="000000" w:themeColor="text1"/>
          <w:sz w:val="16"/>
          <w:szCs w:val="16"/>
        </w:rPr>
        <w:t xml:space="preserve"> как при проектировке, так и по строительству заводов. Словом, с точки зрения использования специалистов с наибольшею пользою для дела, такое решение в отношении нас не выдерживает никакой критики.</w:t>
      </w:r>
    </w:p>
    <w:p w14:paraId="2346D687"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Нам теперь говорят, что когда блюминг будет пущен, тогда нас освободят. Но пущен он будет не ранее Сентября с. г. и то в том случае, если ножницы будут доставлены из-за границы; если же ножницы будет делать </w:t>
      </w:r>
      <w:proofErr w:type="spellStart"/>
      <w:r w:rsidRPr="007122AB">
        <w:rPr>
          <w:rFonts w:ascii="Times New Roman" w:hAnsi="Times New Roman"/>
          <w:color w:val="000000" w:themeColor="text1"/>
          <w:sz w:val="16"/>
          <w:szCs w:val="16"/>
        </w:rPr>
        <w:t>Краматорский</w:t>
      </w:r>
      <w:proofErr w:type="spellEnd"/>
      <w:r w:rsidRPr="007122AB">
        <w:rPr>
          <w:rFonts w:ascii="Times New Roman" w:hAnsi="Times New Roman"/>
          <w:color w:val="000000" w:themeColor="text1"/>
          <w:sz w:val="16"/>
          <w:szCs w:val="16"/>
        </w:rPr>
        <w:t xml:space="preserve"> завод, то срок пуска отдалится на 1-2 месяца. Что же мы будем делать до тех пор. Сборка блюминга начнется не ранее середины или конца марта. Сборка будет вестись Ижорским заводом, надзор будет на месте в количестве 1-2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енеров</w:t>
      </w:r>
      <w:proofErr w:type="spellEnd"/>
      <w:r w:rsidRPr="007122AB">
        <w:rPr>
          <w:rFonts w:ascii="Times New Roman" w:hAnsi="Times New Roman"/>
          <w:color w:val="000000" w:themeColor="text1"/>
          <w:sz w:val="16"/>
          <w:szCs w:val="16"/>
        </w:rPr>
        <w:t xml:space="preserve">] и наездом Тихомирова. Этого достаточно, н[о] наше начальство полагает, что надо держать целую стаю инженеров и обязательно под их высоким управлением, т. е. сохранив О.К.Д.З. и </w:t>
      </w:r>
      <w:proofErr w:type="spellStart"/>
      <w:r w:rsidRPr="007122AB">
        <w:rPr>
          <w:rFonts w:ascii="Times New Roman" w:hAnsi="Times New Roman"/>
          <w:color w:val="000000" w:themeColor="text1"/>
          <w:sz w:val="16"/>
          <w:szCs w:val="16"/>
        </w:rPr>
        <w:t>полутюремный</w:t>
      </w:r>
      <w:proofErr w:type="spellEnd"/>
      <w:r w:rsidRPr="007122AB">
        <w:rPr>
          <w:rFonts w:ascii="Times New Roman" w:hAnsi="Times New Roman"/>
          <w:color w:val="000000" w:themeColor="text1"/>
          <w:sz w:val="16"/>
          <w:szCs w:val="16"/>
        </w:rPr>
        <w:t xml:space="preserve"> режим. Понятно[,] им это приносит некоторые материальные выгоды, но в общем это абсурд.</w:t>
      </w:r>
    </w:p>
    <w:p w14:paraId="6FA0C11F"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 всех нас подавленное настроение от проявленной к нам несправедливости. Много инженеров не делали ничего или пустяки &lt;по сравнении&gt; с проделанной нами работой и они уже на свободе, служат на заводах и живут со своей семьей, а мы работали, не покладая рук, не зная дней отдыха, с утра до поздней ночи сооружали грандиозную машину, сберегли Советской власти несколько миллионов рублей валюты — мы должны продолжать пребывать при </w:t>
      </w:r>
      <w:proofErr w:type="spellStart"/>
      <w:r w:rsidRPr="007122AB">
        <w:rPr>
          <w:rFonts w:ascii="Times New Roman" w:hAnsi="Times New Roman"/>
          <w:color w:val="000000" w:themeColor="text1"/>
          <w:sz w:val="16"/>
          <w:szCs w:val="16"/>
        </w:rPr>
        <w:t>полутюремном</w:t>
      </w:r>
      <w:proofErr w:type="spellEnd"/>
      <w:r w:rsidRPr="007122AB">
        <w:rPr>
          <w:rFonts w:ascii="Times New Roman" w:hAnsi="Times New Roman"/>
          <w:color w:val="000000" w:themeColor="text1"/>
          <w:sz w:val="16"/>
          <w:szCs w:val="16"/>
        </w:rPr>
        <w:t xml:space="preserve"> режиме, при чем ОГПУ до сих пор не сняло даже у многих из наших конфискации имущества, хотя решение об этом состоялось уже давно. Наш начальник </w:t>
      </w:r>
      <w:proofErr w:type="spellStart"/>
      <w:r w:rsidRPr="007122AB">
        <w:rPr>
          <w:rFonts w:ascii="Times New Roman" w:hAnsi="Times New Roman"/>
          <w:color w:val="000000" w:themeColor="text1"/>
          <w:sz w:val="16"/>
          <w:szCs w:val="16"/>
        </w:rPr>
        <w:t>Остащенко</w:t>
      </w:r>
      <w:proofErr w:type="spellEnd"/>
      <w:r w:rsidRPr="007122AB">
        <w:rPr>
          <w:rFonts w:ascii="Times New Roman" w:hAnsi="Times New Roman"/>
          <w:color w:val="000000" w:themeColor="text1"/>
          <w:sz w:val="16"/>
          <w:szCs w:val="16"/>
        </w:rPr>
        <w:t xml:space="preserve"> смотрит на нас, как на объектов для использования и не проявляет никакой заботы о реализации данных нам обещаний.</w:t>
      </w:r>
    </w:p>
    <w:p w14:paraId="051DC6D0"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 не могу себе представить, как может такое учреждение, как Коллегия ОГПУ, не исполнить своего обещания, или </w:t>
      </w:r>
      <w:proofErr w:type="spellStart"/>
      <w:r w:rsidRPr="007122AB">
        <w:rPr>
          <w:rFonts w:ascii="Times New Roman" w:hAnsi="Times New Roman"/>
          <w:color w:val="000000" w:themeColor="text1"/>
          <w:sz w:val="16"/>
          <w:szCs w:val="16"/>
        </w:rPr>
        <w:t>Горянов</w:t>
      </w:r>
      <w:proofErr w:type="spellEnd"/>
      <w:r w:rsidRPr="007122AB">
        <w:rPr>
          <w:rFonts w:ascii="Times New Roman" w:hAnsi="Times New Roman"/>
          <w:color w:val="000000" w:themeColor="text1"/>
          <w:sz w:val="16"/>
          <w:szCs w:val="16"/>
        </w:rPr>
        <w:t xml:space="preserve"> говорил неправду. Почему именно к нам проявлено такое жестокое отношение и не дают нам свободы с прикреплением к блюмингу на время его сборки, хотя последнее тоже не обязательно для всех, при чем мы должны были бы быть переданы Макеевскому и Ижорскому заводам и частью «Стали». Из всего вышеизложенного Вам ясно положение дела, можно добавить, что мы подавали нашему </w:t>
      </w:r>
      <w:proofErr w:type="spellStart"/>
      <w:r w:rsidRPr="007122AB">
        <w:rPr>
          <w:rFonts w:ascii="Times New Roman" w:hAnsi="Times New Roman"/>
          <w:color w:val="000000" w:themeColor="text1"/>
          <w:sz w:val="16"/>
          <w:szCs w:val="16"/>
        </w:rPr>
        <w:t>Остащенко</w:t>
      </w:r>
      <w:proofErr w:type="spellEnd"/>
      <w:r w:rsidRPr="007122AB">
        <w:rPr>
          <w:rFonts w:ascii="Times New Roman" w:hAnsi="Times New Roman"/>
          <w:color w:val="000000" w:themeColor="text1"/>
          <w:sz w:val="16"/>
          <w:szCs w:val="16"/>
        </w:rPr>
        <w:t xml:space="preserve"> прошение на имя тов. Орджоникидзе, в котором просили его освободить нас. Не знаю было ли передано это прошение.</w:t>
      </w:r>
    </w:p>
    <w:p w14:paraId="6260D979"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Очень прошу Вас Иван Сергеевич во имя нашей совместной работы и для пользы дела строительства в нашем Союзе оказать Ваше посильное содействие к моему освобождению и передаче меня [«]Стали[»] в Харьков, где я могу принести пользу своей работой не только по Макеевскому заводу, но и по другим заводам того же объединения.</w:t>
      </w:r>
    </w:p>
    <w:p w14:paraId="3883F4D6"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 форма якобы помощи Мак[</w:t>
      </w:r>
      <w:proofErr w:type="spellStart"/>
      <w:r w:rsidRPr="007122AB">
        <w:rPr>
          <w:rFonts w:ascii="Times New Roman" w:hAnsi="Times New Roman"/>
          <w:color w:val="000000" w:themeColor="text1"/>
          <w:sz w:val="16"/>
          <w:szCs w:val="16"/>
        </w:rPr>
        <w:t>еевскому</w:t>
      </w:r>
      <w:proofErr w:type="spellEnd"/>
      <w:r w:rsidRPr="007122AB">
        <w:rPr>
          <w:rFonts w:ascii="Times New Roman" w:hAnsi="Times New Roman"/>
          <w:color w:val="000000" w:themeColor="text1"/>
          <w:sz w:val="16"/>
          <w:szCs w:val="16"/>
        </w:rPr>
        <w:t>] заводу, которую создала ГПУ в виде отдельного] Особ[ого] Конструкторского] Бюро-3, ничего существенного дать не может.</w:t>
      </w:r>
    </w:p>
    <w:p w14:paraId="39549594"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товарищеским приветом — К. </w:t>
      </w:r>
      <w:proofErr w:type="spellStart"/>
      <w:r w:rsidRPr="007122AB">
        <w:rPr>
          <w:rFonts w:ascii="Times New Roman" w:hAnsi="Times New Roman"/>
          <w:color w:val="000000" w:themeColor="text1"/>
          <w:sz w:val="16"/>
          <w:szCs w:val="16"/>
        </w:rPr>
        <w:t>Неймаер</w:t>
      </w:r>
      <w:proofErr w:type="spellEnd"/>
      <w:r w:rsidRPr="007122AB">
        <w:rPr>
          <w:rFonts w:ascii="Times New Roman" w:hAnsi="Times New Roman"/>
          <w:color w:val="000000" w:themeColor="text1"/>
          <w:sz w:val="16"/>
          <w:szCs w:val="16"/>
        </w:rPr>
        <w:t>.</w:t>
      </w:r>
    </w:p>
    <w:p w14:paraId="7CFB0E74"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Макеевка, Донбасс</w:t>
      </w:r>
    </w:p>
    <w:p w14:paraId="4666611D"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Почт[</w:t>
      </w:r>
      <w:proofErr w:type="spellStart"/>
      <w:r w:rsidRPr="007122AB">
        <w:rPr>
          <w:rFonts w:ascii="Times New Roman" w:hAnsi="Times New Roman"/>
          <w:color w:val="000000" w:themeColor="text1"/>
          <w:sz w:val="16"/>
          <w:szCs w:val="16"/>
        </w:rPr>
        <w:t>овое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Отд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еление</w:t>
      </w:r>
      <w:proofErr w:type="spellEnd"/>
      <w:r w:rsidRPr="007122AB">
        <w:rPr>
          <w:rFonts w:ascii="Times New Roman" w:hAnsi="Times New Roman"/>
          <w:color w:val="000000" w:themeColor="text1"/>
          <w:sz w:val="16"/>
          <w:szCs w:val="16"/>
        </w:rPr>
        <w:t>] Металлургического] завода до востребования.</w:t>
      </w:r>
    </w:p>
    <w:p w14:paraId="60A881CE" w14:textId="77777777" w:rsidR="00FB59EB" w:rsidRPr="007122AB" w:rsidRDefault="00FB59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356. Л. 137-138. Машинописная копия того времени. Дата «14/Х-31 г.» на Л. 137 вверху справа (машинописью). Рукописная помета на Л. 137 вверху слева (карандашом) «Тов. Сталину. Прошу прочесть письмо </w:t>
      </w:r>
      <w:proofErr w:type="spellStart"/>
      <w:r w:rsidRPr="007122AB">
        <w:rPr>
          <w:rFonts w:ascii="Times New Roman" w:hAnsi="Times New Roman"/>
          <w:color w:val="000000" w:themeColor="text1"/>
          <w:sz w:val="16"/>
          <w:szCs w:val="16"/>
        </w:rPr>
        <w:t>инж</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Неймаера</w:t>
      </w:r>
      <w:proofErr w:type="spellEnd"/>
      <w:r w:rsidRPr="007122AB">
        <w:rPr>
          <w:rFonts w:ascii="Times New Roman" w:hAnsi="Times New Roman"/>
          <w:color w:val="000000" w:themeColor="text1"/>
          <w:sz w:val="16"/>
          <w:szCs w:val="16"/>
        </w:rPr>
        <w:t>. По[-]моему надо всех их освободить. Серго. 19/Х» (18674).</w:t>
      </w:r>
    </w:p>
    <w:p w14:paraId="3B88A7BC" w14:textId="77777777" w:rsidR="00FB59EB" w:rsidRPr="007122AB" w:rsidRDefault="00FB59EB" w:rsidP="007122AB">
      <w:pPr>
        <w:spacing w:after="0" w:line="240" w:lineRule="auto"/>
        <w:jc w:val="both"/>
        <w:rPr>
          <w:rFonts w:ascii="Times New Roman" w:hAnsi="Times New Roman"/>
          <w:color w:val="000000" w:themeColor="text1"/>
          <w:sz w:val="16"/>
          <w:szCs w:val="16"/>
        </w:rPr>
      </w:pPr>
    </w:p>
    <w:p w14:paraId="0497A0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7EF7A5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35D0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xml:space="preserve"> в своих мемуарах по этому поводу писал: «С весны 1931 года французы то и дело безрезультатно пытались отколоть от нас Россию» (</w:t>
      </w:r>
      <w:proofErr w:type="spellStart"/>
      <w:r w:rsidRPr="007122AB">
        <w:rPr>
          <w:rFonts w:ascii="Times New Roman" w:hAnsi="Times New Roman"/>
          <w:color w:val="000000" w:themeColor="text1"/>
          <w:sz w:val="16"/>
          <w:szCs w:val="16"/>
        </w:rPr>
        <w:t>Heinrich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Bruning</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Memoiren</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Stuttgart</w:t>
      </w:r>
      <w:proofErr w:type="spellEnd"/>
      <w:r w:rsidRPr="007122AB">
        <w:rPr>
          <w:rFonts w:ascii="Times New Roman" w:hAnsi="Times New Roman"/>
          <w:color w:val="000000" w:themeColor="text1"/>
          <w:sz w:val="16"/>
          <w:szCs w:val="16"/>
        </w:rPr>
        <w:t xml:space="preserve">, 1970. S. 616.). Симптоматичны в этой связи следующие слова </w:t>
      </w:r>
      <w:proofErr w:type="spellStart"/>
      <w:r w:rsidRPr="007122AB">
        <w:rPr>
          <w:rFonts w:ascii="Times New Roman" w:hAnsi="Times New Roman"/>
          <w:color w:val="000000" w:themeColor="text1"/>
          <w:sz w:val="16"/>
          <w:szCs w:val="16"/>
        </w:rPr>
        <w:t>Брюнинга</w:t>
      </w:r>
      <w:proofErr w:type="spellEnd"/>
      <w:r w:rsidRPr="007122AB">
        <w:rPr>
          <w:rFonts w:ascii="Times New Roman" w:hAnsi="Times New Roman"/>
          <w:color w:val="000000" w:themeColor="text1"/>
          <w:sz w:val="16"/>
          <w:szCs w:val="16"/>
        </w:rPr>
        <w:t xml:space="preserve">: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w:t>
      </w:r>
      <w:proofErr w:type="spellStart"/>
      <w:r w:rsidRPr="007122AB">
        <w:rPr>
          <w:rFonts w:ascii="Times New Roman" w:hAnsi="Times New Roman"/>
          <w:color w:val="000000" w:themeColor="text1"/>
          <w:sz w:val="16"/>
          <w:szCs w:val="16"/>
        </w:rPr>
        <w:t>Брюнинг</w:t>
      </w:r>
      <w:proofErr w:type="spellEnd"/>
      <w:r w:rsidRPr="007122AB">
        <w:rPr>
          <w:rFonts w:ascii="Times New Roman" w:hAnsi="Times New Roman"/>
          <w:color w:val="000000" w:themeColor="text1"/>
          <w:sz w:val="16"/>
          <w:szCs w:val="16"/>
        </w:rPr>
        <w:t>,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w:t>
      </w:r>
      <w:proofErr w:type="spellStart"/>
      <w:r w:rsidRPr="007122AB">
        <w:rPr>
          <w:rFonts w:ascii="Times New Roman" w:hAnsi="Times New Roman"/>
          <w:color w:val="000000" w:themeColor="text1"/>
          <w:sz w:val="16"/>
          <w:szCs w:val="16"/>
        </w:rPr>
        <w:t>Ахтамзян</w:t>
      </w:r>
      <w:proofErr w:type="spellEnd"/>
      <w:r w:rsidRPr="007122AB">
        <w:rPr>
          <w:rFonts w:ascii="Times New Roman" w:hAnsi="Times New Roman"/>
          <w:color w:val="000000" w:themeColor="text1"/>
          <w:sz w:val="16"/>
          <w:szCs w:val="16"/>
        </w:rPr>
        <w:t xml:space="preserve"> А. А. Указ, </w:t>
      </w:r>
      <w:proofErr w:type="spellStart"/>
      <w:r w:rsidRPr="007122AB">
        <w:rPr>
          <w:rFonts w:ascii="Times New Roman" w:hAnsi="Times New Roman"/>
          <w:color w:val="000000" w:themeColor="text1"/>
          <w:sz w:val="16"/>
          <w:szCs w:val="16"/>
        </w:rPr>
        <w:lastRenderedPageBreak/>
        <w:t>соч</w:t>
      </w:r>
      <w:proofErr w:type="spellEnd"/>
      <w:r w:rsidRPr="007122AB">
        <w:rPr>
          <w:rFonts w:ascii="Times New Roman" w:hAnsi="Times New Roman"/>
          <w:color w:val="000000" w:themeColor="text1"/>
          <w:sz w:val="16"/>
          <w:szCs w:val="16"/>
        </w:rPr>
        <w:t>,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099D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948E9F"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73301B5D"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1796A211" w14:textId="77777777" w:rsidR="00157036" w:rsidRPr="007122AB" w:rsidRDefault="00157036" w:rsidP="007122AB">
      <w:pPr>
        <w:spacing w:after="0" w:line="240" w:lineRule="auto"/>
        <w:jc w:val="both"/>
        <w:rPr>
          <w:rFonts w:ascii="Times New Roman" w:hAnsi="Times New Roman"/>
          <w:color w:val="000000" w:themeColor="text1"/>
          <w:sz w:val="16"/>
          <w:szCs w:val="16"/>
        </w:rPr>
      </w:pPr>
    </w:p>
    <w:p w14:paraId="447C1A17" w14:textId="77777777" w:rsidR="00E92B50" w:rsidRPr="007122AB" w:rsidRDefault="00E92B50"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801C22A" w14:textId="77777777" w:rsidR="00E92B50" w:rsidRPr="007122AB" w:rsidRDefault="00E92B5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0A4F12"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октября 1931 года — первый полёт палубного истребителя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Nimrod</w:t>
      </w:r>
      <w:proofErr w:type="spellEnd"/>
      <w:r w:rsidRPr="007122AB">
        <w:rPr>
          <w:rFonts w:ascii="Times New Roman" w:hAnsi="Times New Roman"/>
          <w:color w:val="000000" w:themeColor="text1"/>
          <w:sz w:val="16"/>
          <w:szCs w:val="16"/>
        </w:rPr>
        <w:t>. /Великобритания/</w:t>
      </w:r>
    </w:p>
    <w:p w14:paraId="0388102E"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Ещё в 1926 году авиационное министерство Великобритании объявило конкурс проектов для замены устаревшего палубного истребителя </w:t>
      </w:r>
      <w:proofErr w:type="spellStart"/>
      <w:r w:rsidRPr="007122AB">
        <w:rPr>
          <w:rFonts w:ascii="Times New Roman" w:hAnsi="Times New Roman"/>
          <w:color w:val="000000" w:themeColor="text1"/>
          <w:sz w:val="16"/>
          <w:szCs w:val="16"/>
        </w:rPr>
        <w:t>Fairey</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Flycatcher</w:t>
      </w:r>
      <w:proofErr w:type="spellEnd"/>
      <w:r w:rsidRPr="007122AB">
        <w:rPr>
          <w:rFonts w:ascii="Times New Roman" w:hAnsi="Times New Roman"/>
          <w:color w:val="000000" w:themeColor="text1"/>
          <w:sz w:val="16"/>
          <w:szCs w:val="16"/>
        </w:rPr>
        <w:t>. В 1930 году компания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Aircraft предложила свой проект. Конструктор Сидней </w:t>
      </w:r>
      <w:proofErr w:type="spellStart"/>
      <w:r w:rsidRPr="007122AB">
        <w:rPr>
          <w:rFonts w:ascii="Times New Roman" w:hAnsi="Times New Roman"/>
          <w:color w:val="000000" w:themeColor="text1"/>
          <w:sz w:val="16"/>
          <w:szCs w:val="16"/>
        </w:rPr>
        <w:t>Камм</w:t>
      </w:r>
      <w:proofErr w:type="spellEnd"/>
      <w:r w:rsidRPr="007122AB">
        <w:rPr>
          <w:rFonts w:ascii="Times New Roman" w:hAnsi="Times New Roman"/>
          <w:color w:val="000000" w:themeColor="text1"/>
          <w:sz w:val="16"/>
          <w:szCs w:val="16"/>
        </w:rPr>
        <w:t xml:space="preserve"> спроектировал палубный истребитель </w:t>
      </w:r>
      <w:proofErr w:type="spellStart"/>
      <w:r w:rsidRPr="007122AB">
        <w:rPr>
          <w:rFonts w:ascii="Times New Roman" w:hAnsi="Times New Roman"/>
          <w:color w:val="000000" w:themeColor="text1"/>
          <w:sz w:val="16"/>
          <w:szCs w:val="16"/>
        </w:rPr>
        <w:t>Norn</w:t>
      </w:r>
      <w:proofErr w:type="spellEnd"/>
      <w:r w:rsidRPr="007122AB">
        <w:rPr>
          <w:rFonts w:ascii="Times New Roman" w:hAnsi="Times New Roman"/>
          <w:color w:val="000000" w:themeColor="text1"/>
          <w:sz w:val="16"/>
          <w:szCs w:val="16"/>
        </w:rPr>
        <w:t xml:space="preserve">, позднее переименованный в </w:t>
      </w:r>
      <w:proofErr w:type="spellStart"/>
      <w:r w:rsidRPr="007122AB">
        <w:rPr>
          <w:rFonts w:ascii="Times New Roman" w:hAnsi="Times New Roman"/>
          <w:color w:val="000000" w:themeColor="text1"/>
          <w:sz w:val="16"/>
          <w:szCs w:val="16"/>
        </w:rPr>
        <w:t>Nimrod</w:t>
      </w:r>
      <w:proofErr w:type="spellEnd"/>
      <w:r w:rsidRPr="007122AB">
        <w:rPr>
          <w:rFonts w:ascii="Times New Roman" w:hAnsi="Times New Roman"/>
          <w:color w:val="000000" w:themeColor="text1"/>
          <w:sz w:val="16"/>
          <w:szCs w:val="16"/>
        </w:rPr>
        <w:t>.</w:t>
      </w:r>
    </w:p>
    <w:p w14:paraId="15E16663"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Самолёт был типичным для своего времени бипланом с неубирающимся шасси и открытой кабиной. Двигатель Rolls-Royce </w:t>
      </w:r>
      <w:proofErr w:type="spellStart"/>
      <w:r w:rsidRPr="007122AB">
        <w:rPr>
          <w:rFonts w:ascii="Times New Roman" w:hAnsi="Times New Roman"/>
          <w:color w:val="000000" w:themeColor="text1"/>
          <w:sz w:val="16"/>
          <w:szCs w:val="16"/>
        </w:rPr>
        <w:t>Kestrel</w:t>
      </w:r>
      <w:proofErr w:type="spellEnd"/>
      <w:r w:rsidRPr="007122AB">
        <w:rPr>
          <w:rFonts w:ascii="Times New Roman" w:hAnsi="Times New Roman"/>
          <w:color w:val="000000" w:themeColor="text1"/>
          <w:sz w:val="16"/>
          <w:szCs w:val="16"/>
        </w:rPr>
        <w:t xml:space="preserve"> VFP V-12 позволял развить скорость до 312 км/ч. </w:t>
      </w:r>
      <w:proofErr w:type="spellStart"/>
      <w:r w:rsidRPr="007122AB">
        <w:rPr>
          <w:rFonts w:ascii="Times New Roman" w:hAnsi="Times New Roman"/>
          <w:color w:val="000000" w:themeColor="text1"/>
          <w:sz w:val="16"/>
          <w:szCs w:val="16"/>
        </w:rPr>
        <w:t>Nimrod</w:t>
      </w:r>
      <w:proofErr w:type="spellEnd"/>
      <w:r w:rsidRPr="007122AB">
        <w:rPr>
          <w:rFonts w:ascii="Times New Roman" w:hAnsi="Times New Roman"/>
          <w:color w:val="000000" w:themeColor="text1"/>
          <w:sz w:val="16"/>
          <w:szCs w:val="16"/>
        </w:rPr>
        <w:t xml:space="preserve"> стал первым флотским истребителем с рядным двигателем — до этого предпочтение отдавалось радиальным. Вооружение — 2 × 7,7-мм пулемётов + 4 × 9 кг бомбы на </w:t>
      </w:r>
      <w:proofErr w:type="spellStart"/>
      <w:r w:rsidRPr="007122AB">
        <w:rPr>
          <w:rFonts w:ascii="Times New Roman" w:hAnsi="Times New Roman"/>
          <w:color w:val="000000" w:themeColor="text1"/>
          <w:sz w:val="16"/>
          <w:szCs w:val="16"/>
        </w:rPr>
        <w:t>подкрыльевых</w:t>
      </w:r>
      <w:proofErr w:type="spellEnd"/>
      <w:r w:rsidRPr="007122AB">
        <w:rPr>
          <w:rFonts w:ascii="Times New Roman" w:hAnsi="Times New Roman"/>
          <w:color w:val="000000" w:themeColor="text1"/>
          <w:sz w:val="16"/>
          <w:szCs w:val="16"/>
        </w:rPr>
        <w:t xml:space="preserve"> подвесках.</w:t>
      </w:r>
    </w:p>
    <w:p w14:paraId="032194BA"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выпустили 92 единицы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Nimrod</w:t>
      </w:r>
      <w:proofErr w:type="spellEnd"/>
      <w:r w:rsidRPr="007122AB">
        <w:rPr>
          <w:rFonts w:ascii="Times New Roman" w:hAnsi="Times New Roman"/>
          <w:color w:val="000000" w:themeColor="text1"/>
          <w:sz w:val="16"/>
          <w:szCs w:val="16"/>
        </w:rPr>
        <w:t xml:space="preserve">. Самолёт стоял на вооружении морской авиации Королевских ВМС Великобритании. Несколько истребителей было поставлено на экспорт в Данию, Португалию и Японию. Сегодня в Англии сохранилось 2 летающих </w:t>
      </w:r>
      <w:proofErr w:type="spellStart"/>
      <w:r w:rsidRPr="007122AB">
        <w:rPr>
          <w:rFonts w:ascii="Times New Roman" w:hAnsi="Times New Roman"/>
          <w:color w:val="000000" w:themeColor="text1"/>
          <w:sz w:val="16"/>
          <w:szCs w:val="16"/>
        </w:rPr>
        <w:t>Nimrod</w:t>
      </w:r>
      <w:proofErr w:type="spellEnd"/>
      <w:r w:rsidRPr="007122AB">
        <w:rPr>
          <w:rFonts w:ascii="Times New Roman" w:hAnsi="Times New Roman"/>
          <w:color w:val="000000" w:themeColor="text1"/>
          <w:sz w:val="16"/>
          <w:szCs w:val="16"/>
        </w:rPr>
        <w:t xml:space="preserve"> (22300).</w:t>
      </w:r>
    </w:p>
    <w:p w14:paraId="3A536869" w14:textId="77777777" w:rsidR="00E92B50" w:rsidRPr="007122AB" w:rsidRDefault="00E92B50" w:rsidP="007122AB">
      <w:pPr>
        <w:spacing w:after="0" w:line="240" w:lineRule="auto"/>
        <w:jc w:val="both"/>
        <w:rPr>
          <w:rFonts w:ascii="Times New Roman" w:hAnsi="Times New Roman"/>
          <w:color w:val="000000" w:themeColor="text1"/>
          <w:sz w:val="16"/>
          <w:szCs w:val="16"/>
        </w:rPr>
      </w:pPr>
    </w:p>
    <w:p w14:paraId="28737B32"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октября 1931 было письмо Нобиле от фашистской партии:</w:t>
      </w:r>
    </w:p>
    <w:p w14:paraId="7149F0D2"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Национальная фашистская партия</w:t>
      </w:r>
    </w:p>
    <w:p w14:paraId="3CA8A951"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Секретариат Рим, 14 октября 1931 г.</w:t>
      </w:r>
    </w:p>
    <w:p w14:paraId="2D745A2D"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Уважаемый товарищ, Благодарю Вас за Ваше письмо, которое я прочел с должным вниманием. В этой связи, я рад сообщить Вам, что ничто не препятствует Вашему отправлению в Россию, чтобы принять на себя полномочия технического консультанта при ВО ГВФ.</w:t>
      </w:r>
    </w:p>
    <w:p w14:paraId="63B42A57"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уважением,</w:t>
      </w:r>
    </w:p>
    <w:p w14:paraId="11C93C13" w14:textId="77777777" w:rsidR="00E92B50" w:rsidRPr="007122AB" w:rsidRDefault="00E92B50"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Джурати</w:t>
      </w:r>
      <w:proofErr w:type="spellEnd"/>
    </w:p>
    <w:p w14:paraId="70127107"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Инженеру генералу Умберто Нобиле Виа Джузеппе Феррари, 4 РИМ (21410).</w:t>
      </w:r>
    </w:p>
    <w:p w14:paraId="0E87085E" w14:textId="77777777" w:rsidR="00E92B50" w:rsidRPr="007122AB" w:rsidRDefault="00E92B50" w:rsidP="007122AB">
      <w:pPr>
        <w:spacing w:after="0" w:line="240" w:lineRule="auto"/>
        <w:jc w:val="both"/>
        <w:rPr>
          <w:rFonts w:ascii="Times New Roman" w:hAnsi="Times New Roman"/>
          <w:color w:val="000000" w:themeColor="text1"/>
          <w:sz w:val="16"/>
          <w:szCs w:val="16"/>
        </w:rPr>
      </w:pPr>
    </w:p>
    <w:p w14:paraId="08D4339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FCB809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111A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15-го октября 1931 года был заслушан доклад руководителя проектированием Г-1 в ВВА Козлова по эскизному проекту самолета Г-1 (3054).</w:t>
      </w:r>
    </w:p>
    <w:p w14:paraId="24259A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9286B6"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октября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69. 14. О строительстве </w:t>
      </w:r>
      <w:proofErr w:type="spellStart"/>
      <w:r w:rsidRPr="007122AB">
        <w:rPr>
          <w:rFonts w:ascii="Times New Roman" w:hAnsi="Times New Roman"/>
          <w:color w:val="000000" w:themeColor="text1"/>
          <w:sz w:val="16"/>
          <w:szCs w:val="16"/>
          <w:u w:color="002060"/>
        </w:rPr>
        <w:t>авиакомбината</w:t>
      </w:r>
      <w:proofErr w:type="spellEnd"/>
      <w:r w:rsidRPr="007122AB">
        <w:rPr>
          <w:rFonts w:ascii="Times New Roman" w:hAnsi="Times New Roman"/>
          <w:color w:val="000000" w:themeColor="text1"/>
          <w:sz w:val="16"/>
          <w:szCs w:val="16"/>
          <w:u w:color="002060"/>
        </w:rPr>
        <w:t xml:space="preserve"> в Харькове. Постановили: просьбу ЦК КП(б)У об оставлении строительства </w:t>
      </w:r>
      <w:proofErr w:type="spellStart"/>
      <w:r w:rsidRPr="007122AB">
        <w:rPr>
          <w:rFonts w:ascii="Times New Roman" w:hAnsi="Times New Roman"/>
          <w:color w:val="000000" w:themeColor="text1"/>
          <w:sz w:val="16"/>
          <w:szCs w:val="16"/>
          <w:u w:color="002060"/>
        </w:rPr>
        <w:t>авиакомбината</w:t>
      </w:r>
      <w:proofErr w:type="spellEnd"/>
      <w:r w:rsidRPr="007122AB">
        <w:rPr>
          <w:rFonts w:ascii="Times New Roman" w:hAnsi="Times New Roman"/>
          <w:color w:val="000000" w:themeColor="text1"/>
          <w:sz w:val="16"/>
          <w:szCs w:val="16"/>
          <w:u w:color="002060"/>
        </w:rPr>
        <w:t xml:space="preserve"> в Харькове отклонить. (РГАСПИ. Ф. 17. Оп. 163. Д. 910. Л. 18) (12416).</w:t>
      </w:r>
    </w:p>
    <w:p w14:paraId="7D46C63C"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p>
    <w:p w14:paraId="1F2FEF00"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F08894"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B44460"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октября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216сс об образовании комиссии для рассмотрения вопроса о замене латуни в винтовочных патронах и орудийных гильзах биметаллом и железом (ГА РФ. Ф. Р?8418. Оп. 28. Д. 1а. Л. 75) (12415).</w:t>
      </w:r>
    </w:p>
    <w:p w14:paraId="58AFC99A" w14:textId="77777777" w:rsidR="003371BD" w:rsidRPr="007122AB" w:rsidRDefault="003371BD" w:rsidP="007122AB">
      <w:pPr>
        <w:spacing w:after="0" w:line="240" w:lineRule="auto"/>
        <w:jc w:val="both"/>
        <w:rPr>
          <w:rFonts w:ascii="Times New Roman" w:hAnsi="Times New Roman"/>
          <w:color w:val="000000" w:themeColor="text1"/>
          <w:sz w:val="16"/>
          <w:szCs w:val="16"/>
          <w:u w:color="002060"/>
        </w:rPr>
      </w:pPr>
    </w:p>
    <w:p w14:paraId="6AD5F1A9"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15 октября 1931 г. Ижорский завод отправил на ХПЗ 25 больших и 25 малых башен Т-24 (12303).</w:t>
      </w:r>
    </w:p>
    <w:p w14:paraId="2CA4D3A3"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4A57D5C7"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15 октября </w:t>
      </w:r>
      <w:r w:rsidRPr="007122AB">
        <w:rPr>
          <w:rFonts w:ascii="Times New Roman" w:hAnsi="Times New Roman"/>
          <w:color w:val="000000" w:themeColor="text1"/>
          <w:sz w:val="16"/>
          <w:szCs w:val="16"/>
        </w:rPr>
        <w:t xml:space="preserve">в 1931 году постановлением ВСНХ на базе физико-химического сектора Ленинградского физико-технического института был образован Институт химической физики во главе с членом-корреспондентом Академии Наук СССР (впоследствии академиком, лауреатом Нобелевской премии </w:t>
      </w:r>
      <w:proofErr w:type="spellStart"/>
      <w:r w:rsidRPr="007122AB">
        <w:rPr>
          <w:rFonts w:ascii="Times New Roman" w:hAnsi="Times New Roman"/>
          <w:color w:val="000000" w:themeColor="text1"/>
          <w:sz w:val="16"/>
          <w:szCs w:val="16"/>
        </w:rPr>
        <w:t>Н.Н.Семеновым</w:t>
      </w:r>
      <w:proofErr w:type="spellEnd"/>
      <w:r w:rsidRPr="007122AB">
        <w:rPr>
          <w:rFonts w:ascii="Times New Roman" w:hAnsi="Times New Roman"/>
          <w:color w:val="000000" w:themeColor="text1"/>
          <w:sz w:val="16"/>
          <w:szCs w:val="16"/>
        </w:rPr>
        <w:t xml:space="preserve">). Ныне — ИХФ имени </w:t>
      </w:r>
      <w:proofErr w:type="spellStart"/>
      <w:r w:rsidRPr="007122AB">
        <w:rPr>
          <w:rFonts w:ascii="Times New Roman" w:hAnsi="Times New Roman"/>
          <w:color w:val="000000" w:themeColor="text1"/>
          <w:sz w:val="16"/>
          <w:szCs w:val="16"/>
        </w:rPr>
        <w:t>Н.Н.Семенова</w:t>
      </w:r>
      <w:proofErr w:type="spellEnd"/>
      <w:r w:rsidRPr="007122AB">
        <w:rPr>
          <w:rFonts w:ascii="Times New Roman" w:hAnsi="Times New Roman"/>
          <w:color w:val="000000" w:themeColor="text1"/>
          <w:sz w:val="16"/>
          <w:szCs w:val="16"/>
        </w:rPr>
        <w:t xml:space="preserve"> Российской Академии Наук. С 1943 г. находится в Москве. Один из широко известных в мире научных центров, изучающих динамику элементарных химических процессов в различных системах и агрегатных состояниях вещества (14800).</w:t>
      </w:r>
    </w:p>
    <w:p w14:paraId="26B10AA9" w14:textId="77777777" w:rsidR="005B49AB" w:rsidRPr="007122AB" w:rsidRDefault="005B49AB" w:rsidP="007122AB">
      <w:pPr>
        <w:spacing w:after="0" w:line="240" w:lineRule="auto"/>
        <w:jc w:val="both"/>
        <w:rPr>
          <w:rFonts w:ascii="Times New Roman" w:hAnsi="Times New Roman"/>
          <w:color w:val="000000" w:themeColor="text1"/>
          <w:sz w:val="16"/>
          <w:szCs w:val="16"/>
        </w:rPr>
      </w:pPr>
    </w:p>
    <w:p w14:paraId="70F2C74A" w14:textId="77777777" w:rsidR="005B49A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CD4502E" w14:textId="77777777" w:rsidR="005B49AB" w:rsidRPr="007122AB" w:rsidRDefault="005B49A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814B692" w14:textId="77777777" w:rsidR="005B49AB" w:rsidRPr="007122AB" w:rsidRDefault="005B49AB"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октября 1931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Hugh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Herndon</w:t>
      </w:r>
      <w:proofErr w:type="spellEnd"/>
      <w:r w:rsidRPr="007122AB">
        <w:rPr>
          <w:rFonts w:ascii="Times New Roman" w:hAnsi="Times New Roman"/>
          <w:color w:val="000000" w:themeColor="text1"/>
          <w:sz w:val="16"/>
          <w:szCs w:val="16"/>
        </w:rPr>
        <w:t xml:space="preserve"> совершили беспосадочный перелет через Тихий океан (3101).</w:t>
      </w:r>
    </w:p>
    <w:p w14:paraId="7DACF246" w14:textId="77777777" w:rsidR="005B49AB" w:rsidRPr="007122AB" w:rsidRDefault="005B49AB" w:rsidP="007122AB">
      <w:pPr>
        <w:autoSpaceDE w:val="0"/>
        <w:autoSpaceDN w:val="0"/>
        <w:adjustRightInd w:val="0"/>
        <w:spacing w:after="0" w:line="240" w:lineRule="auto"/>
        <w:jc w:val="both"/>
        <w:rPr>
          <w:rFonts w:ascii="Times New Roman" w:hAnsi="Times New Roman"/>
          <w:color w:val="000000" w:themeColor="text1"/>
          <w:sz w:val="16"/>
          <w:szCs w:val="16"/>
        </w:rPr>
      </w:pPr>
    </w:p>
    <w:p w14:paraId="6ED77591"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eastAsia="Times New Roman" w:hAnsi="Times New Roman"/>
          <w:bCs/>
          <w:color w:val="000000" w:themeColor="text1"/>
          <w:sz w:val="16"/>
          <w:szCs w:val="16"/>
        </w:rPr>
        <w:t xml:space="preserve">15 октября </w:t>
      </w:r>
      <w:r w:rsidRPr="007122AB">
        <w:rPr>
          <w:rFonts w:ascii="Times New Roman" w:hAnsi="Times New Roman"/>
          <w:color w:val="000000" w:themeColor="text1"/>
          <w:sz w:val="16"/>
          <w:szCs w:val="16"/>
        </w:rPr>
        <w:t>в 1931 году завершён кругосветный перелёт на моноплане «</w:t>
      </w:r>
      <w:proofErr w:type="spellStart"/>
      <w:r w:rsidRPr="007122AB">
        <w:rPr>
          <w:rFonts w:ascii="Times New Roman" w:hAnsi="Times New Roman"/>
          <w:color w:val="000000" w:themeColor="text1"/>
          <w:sz w:val="16"/>
          <w:szCs w:val="16"/>
        </w:rPr>
        <w:t>Bellanca</w:t>
      </w:r>
      <w:proofErr w:type="spellEnd"/>
      <w:r w:rsidRPr="007122AB">
        <w:rPr>
          <w:rFonts w:ascii="Times New Roman" w:hAnsi="Times New Roman"/>
          <w:color w:val="000000" w:themeColor="text1"/>
          <w:sz w:val="16"/>
          <w:szCs w:val="16"/>
        </w:rPr>
        <w:t xml:space="preserve"> CH-400» «Miss </w:t>
      </w:r>
      <w:proofErr w:type="spellStart"/>
      <w:r w:rsidRPr="007122AB">
        <w:rPr>
          <w:rFonts w:ascii="Times New Roman" w:hAnsi="Times New Roman"/>
          <w:color w:val="000000" w:themeColor="text1"/>
          <w:sz w:val="16"/>
          <w:szCs w:val="16"/>
        </w:rPr>
        <w:t>Veedol</w:t>
      </w:r>
      <w:proofErr w:type="spellEnd"/>
      <w:r w:rsidRPr="007122AB">
        <w:rPr>
          <w:rFonts w:ascii="Times New Roman" w:hAnsi="Times New Roman"/>
          <w:color w:val="000000" w:themeColor="text1"/>
          <w:sz w:val="16"/>
          <w:szCs w:val="16"/>
        </w:rPr>
        <w:t xml:space="preserve">». В рамках кругосветного перелёта завершен также первый в мире беспосадочный перелёт через Тихий океан. Первый в мире беспосадочный полет из Японии в США совершили Клайд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Clyde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Pangborn</w:t>
      </w:r>
      <w:proofErr w:type="spellEnd"/>
      <w:r w:rsidRPr="007122AB">
        <w:rPr>
          <w:rFonts w:ascii="Times New Roman" w:hAnsi="Times New Roman"/>
          <w:color w:val="000000" w:themeColor="text1"/>
          <w:sz w:val="16"/>
          <w:szCs w:val="16"/>
        </w:rPr>
        <w:t xml:space="preserve">) и Хью </w:t>
      </w:r>
      <w:proofErr w:type="spellStart"/>
      <w:r w:rsidRPr="007122AB">
        <w:rPr>
          <w:rFonts w:ascii="Times New Roman" w:hAnsi="Times New Roman"/>
          <w:color w:val="000000" w:themeColor="text1"/>
          <w:sz w:val="16"/>
          <w:szCs w:val="16"/>
        </w:rPr>
        <w:t>Херндон</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Hugh</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Herndon</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Jr</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намоноплане</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Bellanca</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CH</w:t>
      </w:r>
      <w:r w:rsidRPr="007122AB">
        <w:rPr>
          <w:rFonts w:ascii="Times New Roman" w:hAnsi="Times New Roman"/>
          <w:color w:val="000000" w:themeColor="text1"/>
          <w:sz w:val="16"/>
          <w:szCs w:val="16"/>
        </w:rPr>
        <w:t>-400» «</w:t>
      </w:r>
      <w:r w:rsidRPr="007122AB">
        <w:rPr>
          <w:rFonts w:ascii="Times New Roman" w:hAnsi="Times New Roman"/>
          <w:color w:val="000000" w:themeColor="text1"/>
          <w:sz w:val="16"/>
          <w:szCs w:val="16"/>
          <w:lang w:val="en-US"/>
        </w:rPr>
        <w:t>Miss</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lang w:val="en-US"/>
        </w:rPr>
        <w:t>Veedol</w:t>
      </w:r>
      <w:proofErr w:type="spellEnd"/>
      <w:r w:rsidRPr="007122AB">
        <w:rPr>
          <w:rFonts w:ascii="Times New Roman" w:hAnsi="Times New Roman"/>
          <w:color w:val="000000" w:themeColor="text1"/>
          <w:sz w:val="16"/>
          <w:szCs w:val="16"/>
        </w:rPr>
        <w:t xml:space="preserve">». Как раз накануне прибытия в Японию обнаружилось, что японская газета "Асахи" объявил премию в 25 тысяч долларов тому экипажу, который совершит этот полет. Ввиду этого американцы столкнулись с волной недовольства японских конкурентов и просто </w:t>
      </w:r>
      <w:proofErr w:type="spellStart"/>
      <w:r w:rsidRPr="007122AB">
        <w:rPr>
          <w:rFonts w:ascii="Times New Roman" w:hAnsi="Times New Roman"/>
          <w:color w:val="000000" w:themeColor="text1"/>
          <w:sz w:val="16"/>
          <w:szCs w:val="16"/>
        </w:rPr>
        <w:t>ультрапатриотов</w:t>
      </w:r>
      <w:proofErr w:type="spellEnd"/>
      <w:r w:rsidRPr="007122AB">
        <w:rPr>
          <w:rFonts w:ascii="Times New Roman" w:hAnsi="Times New Roman"/>
          <w:color w:val="000000" w:themeColor="text1"/>
          <w:sz w:val="16"/>
          <w:szCs w:val="16"/>
        </w:rPr>
        <w:t xml:space="preserve">, которые желали, чтобы эта премия досталась их соотечественникам, а не американцам. Многочисленные неприятности и враждебная обстановка значительно трепали нервы и отнимали время. Для того, чтобы хватило горючего на весь перелет, летчикам пришлось убрать все лишнее с борта, в том числе парашюты и даже подушки с сидений. Втайне от японцев даже немного модифицировали конструкцию самолета с помощью приспособления, позволяющее в полете сбросить колеса и специальной лыжи для успешной посадки в США. В 2 часа ночи 4 октября 1931 года, в день 27-летия </w:t>
      </w:r>
      <w:proofErr w:type="spellStart"/>
      <w:r w:rsidRPr="007122AB">
        <w:rPr>
          <w:rFonts w:ascii="Times New Roman" w:hAnsi="Times New Roman"/>
          <w:color w:val="000000" w:themeColor="text1"/>
          <w:sz w:val="16"/>
          <w:szCs w:val="16"/>
        </w:rPr>
        <w:t>Херндона</w:t>
      </w:r>
      <w:proofErr w:type="spellEnd"/>
      <w:r w:rsidRPr="007122AB">
        <w:rPr>
          <w:rFonts w:ascii="Times New Roman" w:hAnsi="Times New Roman"/>
          <w:color w:val="000000" w:themeColor="text1"/>
          <w:sz w:val="16"/>
          <w:szCs w:val="16"/>
        </w:rPr>
        <w:t xml:space="preserve">, они взлетели с аэродрома </w:t>
      </w:r>
      <w:proofErr w:type="spellStart"/>
      <w:r w:rsidRPr="007122AB">
        <w:rPr>
          <w:rFonts w:ascii="Times New Roman" w:hAnsi="Times New Roman"/>
          <w:color w:val="000000" w:themeColor="text1"/>
          <w:sz w:val="16"/>
          <w:szCs w:val="16"/>
        </w:rPr>
        <w:t>Самуширо</w:t>
      </w:r>
      <w:proofErr w:type="spellEnd"/>
      <w:r w:rsidRPr="007122AB">
        <w:rPr>
          <w:rFonts w:ascii="Times New Roman" w:hAnsi="Times New Roman"/>
          <w:color w:val="000000" w:themeColor="text1"/>
          <w:sz w:val="16"/>
          <w:szCs w:val="16"/>
        </w:rPr>
        <w:t xml:space="preserve">, расположенного в 483 километрах севернее Токио. Идя вдоль гряды Курильских островов, примерно в 300 милях от точки взлета, летчики сбросили колеса. Скорость полета тут же возросла, но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увидел, что под фюзеляжем остались торчать две стойки, которые не только увеличивали лобовое сопротивление, но и могли привести к катастрофе при посадке. Тогда он вылез на крыло и, держась одной рукой за подкосы крыла, другой рукой попытался сбросить эти стойки. Сделать это удалось только через 20 минут борьбы, но все же смелость и упорство летчика победили. 5 октября, проведя в воздухе 41 час 13 минут и пролетев 7334 км, они приземлились в небольшом городке </w:t>
      </w:r>
      <w:proofErr w:type="spellStart"/>
      <w:r w:rsidRPr="007122AB">
        <w:rPr>
          <w:rFonts w:ascii="Times New Roman" w:hAnsi="Times New Roman"/>
          <w:color w:val="000000" w:themeColor="text1"/>
          <w:sz w:val="16"/>
          <w:szCs w:val="16"/>
        </w:rPr>
        <w:t>Уэнатчи</w:t>
      </w:r>
      <w:proofErr w:type="spellEnd"/>
      <w:r w:rsidRPr="007122AB">
        <w:rPr>
          <w:rFonts w:ascii="Times New Roman" w:hAnsi="Times New Roman"/>
          <w:color w:val="000000" w:themeColor="text1"/>
          <w:sz w:val="16"/>
          <w:szCs w:val="16"/>
        </w:rPr>
        <w:t xml:space="preserve"> (кстати, </w:t>
      </w:r>
      <w:proofErr w:type="spellStart"/>
      <w:r w:rsidRPr="007122AB">
        <w:rPr>
          <w:rFonts w:ascii="Times New Roman" w:hAnsi="Times New Roman"/>
          <w:color w:val="000000" w:themeColor="text1"/>
          <w:sz w:val="16"/>
          <w:szCs w:val="16"/>
        </w:rPr>
        <w:t>Пангборн</w:t>
      </w:r>
      <w:proofErr w:type="spellEnd"/>
      <w:r w:rsidRPr="007122AB">
        <w:rPr>
          <w:rFonts w:ascii="Times New Roman" w:hAnsi="Times New Roman"/>
          <w:color w:val="000000" w:themeColor="text1"/>
          <w:sz w:val="16"/>
          <w:szCs w:val="16"/>
        </w:rPr>
        <w:t xml:space="preserve"> в нем родился). Самолет коснулся земли фюзеляжем, прополз по инерции более 100 метров и встал на нос, поломав винт. Условия перелета были выполнены, и японцы были вынуждены выписать летчикам чек на 25 тысяч долларов (14800).</w:t>
      </w:r>
    </w:p>
    <w:p w14:paraId="5AC62B8B" w14:textId="77777777" w:rsidR="005B49AB" w:rsidRPr="007122AB" w:rsidRDefault="005B49AB" w:rsidP="007122AB">
      <w:pPr>
        <w:spacing w:after="0" w:line="240" w:lineRule="auto"/>
        <w:jc w:val="both"/>
        <w:rPr>
          <w:rFonts w:ascii="Times New Roman" w:hAnsi="Times New Roman"/>
          <w:color w:val="000000" w:themeColor="text1"/>
          <w:sz w:val="16"/>
          <w:szCs w:val="16"/>
        </w:rPr>
      </w:pPr>
    </w:p>
    <w:p w14:paraId="7F8154AD" w14:textId="77777777" w:rsidR="005B49AB"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F9A613E" w14:textId="77777777" w:rsidR="005B49AB" w:rsidRPr="007122AB" w:rsidRDefault="005B49AB"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0914CB0" w14:textId="77777777" w:rsidR="005B49AB" w:rsidRPr="007122AB" w:rsidRDefault="005B49AB" w:rsidP="007122AB">
      <w:pPr>
        <w:pStyle w:val="a3"/>
        <w:rPr>
          <w:color w:val="000000" w:themeColor="text1"/>
          <w:lang w:val="ru-RU"/>
        </w:rPr>
      </w:pPr>
      <w:r w:rsidRPr="007122AB">
        <w:rPr>
          <w:color w:val="000000" w:themeColor="text1"/>
          <w:lang w:val="ru-RU"/>
        </w:rPr>
        <w:t>16 октября 1931 письмом из Рима У. Нобиле информировал советскую сторону об утверждении итальянским правительством его предварительного соглашения с ВО ГВФ СССР. А 7декабря БОСЭД переименовыва</w:t>
      </w:r>
      <w:r w:rsidRPr="007122AB">
        <w:rPr>
          <w:color w:val="000000" w:themeColor="text1"/>
          <w:lang w:val="ru-RU"/>
        </w:rPr>
        <w:softHyphen/>
        <w:t>ется в Производственно-эксплуатационное предприятие «</w:t>
      </w:r>
      <w:proofErr w:type="spellStart"/>
      <w:r w:rsidRPr="007122AB">
        <w:rPr>
          <w:color w:val="000000" w:themeColor="text1"/>
          <w:lang w:val="ru-RU"/>
        </w:rPr>
        <w:t>Дирижаблестрой</w:t>
      </w:r>
      <w:proofErr w:type="spellEnd"/>
      <w:r w:rsidRPr="007122AB">
        <w:rPr>
          <w:color w:val="000000" w:themeColor="text1"/>
          <w:lang w:val="ru-RU"/>
        </w:rPr>
        <w:t>». В январе 1932 г. инженер-генерал получает офи</w:t>
      </w:r>
      <w:r w:rsidRPr="007122AB">
        <w:rPr>
          <w:color w:val="000000" w:themeColor="text1"/>
          <w:lang w:val="ru-RU"/>
        </w:rPr>
        <w:softHyphen/>
        <w:t xml:space="preserve">циальное приглашение «Аэрофлота» на приезд в СССР. В конце апреля он с группой итальянских специалистов прибывает в Москву, где после подписания контракта, зарегистрированного в </w:t>
      </w:r>
      <w:proofErr w:type="spellStart"/>
      <w:r w:rsidRPr="007122AB">
        <w:rPr>
          <w:color w:val="000000" w:themeColor="text1"/>
          <w:lang w:val="ru-RU"/>
        </w:rPr>
        <w:t>Наркомтруде</w:t>
      </w:r>
      <w:proofErr w:type="spellEnd"/>
      <w:r w:rsidRPr="007122AB">
        <w:rPr>
          <w:color w:val="000000" w:themeColor="text1"/>
          <w:lang w:val="ru-RU"/>
        </w:rPr>
        <w:t xml:space="preserve"> СССР, 2 мая приступает к исполнению своих обязанностей. Предлагаем неполный пере</w:t>
      </w:r>
      <w:r w:rsidRPr="007122AB">
        <w:rPr>
          <w:color w:val="000000" w:themeColor="text1"/>
          <w:lang w:val="ru-RU"/>
        </w:rPr>
        <w:softHyphen/>
        <w:t>чень</w:t>
      </w:r>
      <w:r w:rsidRPr="007122AB">
        <w:rPr>
          <w:rStyle w:val="83"/>
          <w:rFonts w:ascii="Times New Roman" w:eastAsia="Microsoft Sans Serif" w:hAnsi="Times New Roman" w:cs="Times New Roman"/>
          <w:i w:val="0"/>
          <w:color w:val="000000" w:themeColor="text1"/>
          <w:sz w:val="16"/>
          <w:szCs w:val="16"/>
          <w:lang w:val="ru-RU"/>
        </w:rPr>
        <w:t xml:space="preserve"> свиты</w:t>
      </w:r>
      <w:r w:rsidRPr="007122AB">
        <w:rPr>
          <w:color w:val="000000" w:themeColor="text1"/>
          <w:lang w:val="ru-RU"/>
        </w:rPr>
        <w:t xml:space="preserve"> покорителя Северного полюса (с некоторыми примечаниями), который нам удалось восстановить:</w:t>
      </w:r>
    </w:p>
    <w:p w14:paraId="6137A226" w14:textId="77777777" w:rsidR="005B49AB" w:rsidRPr="007122AB" w:rsidRDefault="005B49AB" w:rsidP="007122AB">
      <w:pPr>
        <w:pStyle w:val="a3"/>
        <w:widowControl/>
        <w:numPr>
          <w:ilvl w:val="0"/>
          <w:numId w:val="4"/>
        </w:numPr>
        <w:tabs>
          <w:tab w:val="left" w:pos="428"/>
        </w:tabs>
        <w:autoSpaceDE/>
        <w:autoSpaceDN/>
        <w:adjustRightInd/>
        <w:rPr>
          <w:color w:val="000000" w:themeColor="text1"/>
          <w:lang w:val="ru-RU"/>
        </w:rPr>
      </w:pPr>
      <w:r w:rsidRPr="007122AB">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2E547E13" w14:textId="77777777" w:rsidR="005B49AB" w:rsidRPr="007122AB" w:rsidRDefault="005B49AB" w:rsidP="007122AB">
      <w:pPr>
        <w:pStyle w:val="a3"/>
        <w:widowControl/>
        <w:numPr>
          <w:ilvl w:val="0"/>
          <w:numId w:val="4"/>
        </w:numPr>
        <w:tabs>
          <w:tab w:val="left" w:pos="390"/>
        </w:tabs>
        <w:autoSpaceDE/>
        <w:autoSpaceDN/>
        <w:adjustRightInd/>
        <w:rPr>
          <w:color w:val="000000" w:themeColor="text1"/>
        </w:rPr>
      </w:pPr>
      <w:r w:rsidRPr="007122AB">
        <w:rPr>
          <w:color w:val="000000" w:themeColor="text1"/>
          <w:lang w:val="ru-RU"/>
        </w:rPr>
        <w:t xml:space="preserve">Ф. </w:t>
      </w:r>
      <w:proofErr w:type="spellStart"/>
      <w:r w:rsidRPr="007122AB">
        <w:rPr>
          <w:color w:val="000000" w:themeColor="text1"/>
          <w:lang w:val="ru-RU"/>
        </w:rPr>
        <w:t>Трояни</w:t>
      </w:r>
      <w:proofErr w:type="spellEnd"/>
      <w:r w:rsidRPr="007122AB">
        <w:rPr>
          <w:color w:val="000000" w:themeColor="text1"/>
          <w:lang w:val="ru-RU"/>
        </w:rPr>
        <w:t xml:space="preserve"> - зам. начальника КБ, женат, оформлен по договору.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300$ и 650 </w:t>
      </w:r>
      <w:proofErr w:type="spellStart"/>
      <w:r w:rsidRPr="007122AB">
        <w:rPr>
          <w:color w:val="000000" w:themeColor="text1"/>
        </w:rPr>
        <w:t>руб</w:t>
      </w:r>
      <w:proofErr w:type="spellEnd"/>
      <w:r w:rsidRPr="007122AB">
        <w:rPr>
          <w:color w:val="000000" w:themeColor="text1"/>
        </w:rPr>
        <w:t>.;</w:t>
      </w:r>
    </w:p>
    <w:p w14:paraId="7A755DEA" w14:textId="77777777" w:rsidR="005B49AB" w:rsidRPr="007122AB" w:rsidRDefault="005B49AB" w:rsidP="007122AB">
      <w:pPr>
        <w:pStyle w:val="a3"/>
        <w:widowControl/>
        <w:numPr>
          <w:ilvl w:val="0"/>
          <w:numId w:val="4"/>
        </w:numPr>
        <w:tabs>
          <w:tab w:val="left" w:pos="423"/>
        </w:tabs>
        <w:autoSpaceDE/>
        <w:autoSpaceDN/>
        <w:adjustRightInd/>
        <w:rPr>
          <w:color w:val="000000" w:themeColor="text1"/>
        </w:rPr>
      </w:pPr>
      <w:r w:rsidRPr="007122AB">
        <w:rPr>
          <w:color w:val="000000" w:themeColor="text1"/>
          <w:lang w:val="ru-RU"/>
        </w:rPr>
        <w:t xml:space="preserve">Р. </w:t>
      </w:r>
      <w:proofErr w:type="spellStart"/>
      <w:r w:rsidRPr="007122AB">
        <w:rPr>
          <w:color w:val="000000" w:themeColor="text1"/>
          <w:lang w:val="ru-RU"/>
        </w:rPr>
        <w:t>Палья</w:t>
      </w:r>
      <w:proofErr w:type="spellEnd"/>
      <w:r w:rsidRPr="007122AB">
        <w:rPr>
          <w:color w:val="000000" w:themeColor="text1"/>
          <w:lang w:val="ru-RU"/>
        </w:rPr>
        <w:t xml:space="preserve"> - старший мастер-токарь.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83$ и 450 </w:t>
      </w:r>
      <w:proofErr w:type="spellStart"/>
      <w:r w:rsidRPr="007122AB">
        <w:rPr>
          <w:color w:val="000000" w:themeColor="text1"/>
        </w:rPr>
        <w:t>руб</w:t>
      </w:r>
      <w:proofErr w:type="spellEnd"/>
      <w:r w:rsidRPr="007122AB">
        <w:rPr>
          <w:color w:val="000000" w:themeColor="text1"/>
        </w:rPr>
        <w:t>.;</w:t>
      </w:r>
    </w:p>
    <w:p w14:paraId="03A0D0FF" w14:textId="77777777" w:rsidR="005B49AB" w:rsidRPr="007122AB" w:rsidRDefault="005B49AB" w:rsidP="007122AB">
      <w:pPr>
        <w:pStyle w:val="a3"/>
        <w:widowControl/>
        <w:numPr>
          <w:ilvl w:val="0"/>
          <w:numId w:val="4"/>
        </w:numPr>
        <w:tabs>
          <w:tab w:val="left" w:pos="394"/>
        </w:tabs>
        <w:autoSpaceDE/>
        <w:autoSpaceDN/>
        <w:adjustRightInd/>
        <w:rPr>
          <w:color w:val="000000" w:themeColor="text1"/>
          <w:lang w:val="ru-RU"/>
        </w:rPr>
      </w:pPr>
      <w:r w:rsidRPr="007122AB">
        <w:rPr>
          <w:color w:val="000000" w:themeColor="text1"/>
          <w:lang w:val="ru-RU"/>
        </w:rPr>
        <w:t>Д. Белли - механик. Месячный оклад 135$ и 550 руб.;</w:t>
      </w:r>
    </w:p>
    <w:p w14:paraId="4B7E8B32" w14:textId="77777777" w:rsidR="005B49AB" w:rsidRPr="007122AB" w:rsidRDefault="005B49AB" w:rsidP="007122AB">
      <w:pPr>
        <w:pStyle w:val="a3"/>
        <w:widowControl/>
        <w:numPr>
          <w:ilvl w:val="0"/>
          <w:numId w:val="4"/>
        </w:numPr>
        <w:tabs>
          <w:tab w:val="left" w:pos="442"/>
        </w:tabs>
        <w:autoSpaceDE/>
        <w:autoSpaceDN/>
        <w:adjustRightInd/>
        <w:rPr>
          <w:color w:val="000000" w:themeColor="text1"/>
        </w:rPr>
      </w:pPr>
      <w:r w:rsidRPr="007122AB">
        <w:rPr>
          <w:color w:val="000000" w:themeColor="text1"/>
          <w:lang w:val="ru-RU"/>
        </w:rPr>
        <w:t xml:space="preserve">А. </w:t>
      </w:r>
      <w:proofErr w:type="spellStart"/>
      <w:r w:rsidRPr="007122AB">
        <w:rPr>
          <w:color w:val="000000" w:themeColor="text1"/>
          <w:lang w:val="ru-RU"/>
        </w:rPr>
        <w:t>Каратти</w:t>
      </w:r>
      <w:proofErr w:type="spellEnd"/>
      <w:r w:rsidRPr="007122AB">
        <w:rPr>
          <w:color w:val="000000" w:themeColor="text1"/>
          <w:lang w:val="ru-RU"/>
        </w:rPr>
        <w:t xml:space="preserve"> - механик-моторист, оформлен по договору.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20$ и 450 </w:t>
      </w:r>
      <w:proofErr w:type="spellStart"/>
      <w:r w:rsidRPr="007122AB">
        <w:rPr>
          <w:color w:val="000000" w:themeColor="text1"/>
        </w:rPr>
        <w:t>руб</w:t>
      </w:r>
      <w:proofErr w:type="spellEnd"/>
      <w:r w:rsidRPr="007122AB">
        <w:rPr>
          <w:color w:val="000000" w:themeColor="text1"/>
        </w:rPr>
        <w:t>.;</w:t>
      </w:r>
    </w:p>
    <w:p w14:paraId="50AEDEB8" w14:textId="77777777" w:rsidR="005B49AB" w:rsidRPr="007122AB" w:rsidRDefault="005B49AB" w:rsidP="007122AB">
      <w:pPr>
        <w:pStyle w:val="a3"/>
        <w:widowControl/>
        <w:numPr>
          <w:ilvl w:val="0"/>
          <w:numId w:val="4"/>
        </w:numPr>
        <w:tabs>
          <w:tab w:val="left" w:pos="385"/>
        </w:tabs>
        <w:autoSpaceDE/>
        <w:autoSpaceDN/>
        <w:adjustRightInd/>
        <w:rPr>
          <w:color w:val="000000" w:themeColor="text1"/>
          <w:lang w:val="ru-RU"/>
        </w:rPr>
      </w:pPr>
      <w:r w:rsidRPr="007122AB">
        <w:rPr>
          <w:color w:val="000000" w:themeColor="text1"/>
          <w:lang w:val="ru-RU"/>
        </w:rPr>
        <w:t xml:space="preserve">Л. </w:t>
      </w:r>
      <w:proofErr w:type="spellStart"/>
      <w:r w:rsidRPr="007122AB">
        <w:rPr>
          <w:color w:val="000000" w:themeColor="text1"/>
          <w:lang w:val="ru-RU"/>
        </w:rPr>
        <w:t>Високки</w:t>
      </w:r>
      <w:proofErr w:type="spellEnd"/>
      <w:r w:rsidRPr="007122AB">
        <w:rPr>
          <w:color w:val="000000" w:themeColor="text1"/>
          <w:lang w:val="ru-RU"/>
        </w:rPr>
        <w:t xml:space="preserve"> - инженер. Месячный оклад 35$ и 650 руб.;</w:t>
      </w:r>
    </w:p>
    <w:p w14:paraId="5FA325B7" w14:textId="77777777" w:rsidR="005B49AB" w:rsidRPr="007122AB" w:rsidRDefault="005B49AB" w:rsidP="007122AB">
      <w:pPr>
        <w:pStyle w:val="a3"/>
        <w:widowControl/>
        <w:numPr>
          <w:ilvl w:val="0"/>
          <w:numId w:val="4"/>
        </w:numPr>
        <w:tabs>
          <w:tab w:val="left" w:pos="394"/>
        </w:tabs>
        <w:autoSpaceDE/>
        <w:autoSpaceDN/>
        <w:adjustRightInd/>
        <w:rPr>
          <w:color w:val="000000" w:themeColor="text1"/>
          <w:lang w:val="ru-RU"/>
        </w:rPr>
      </w:pPr>
      <w:r w:rsidRPr="007122AB">
        <w:rPr>
          <w:color w:val="000000" w:themeColor="text1"/>
          <w:lang w:val="ru-RU"/>
        </w:rPr>
        <w:lastRenderedPageBreak/>
        <w:t>А. (Д.) Вилла - мастер по металлокон</w:t>
      </w:r>
      <w:r w:rsidRPr="007122AB">
        <w:rPr>
          <w:color w:val="000000" w:themeColor="text1"/>
          <w:lang w:val="ru-RU"/>
        </w:rPr>
        <w:softHyphen/>
        <w:t>струкциям, женат. Месячный оклад 115$ и 700 руб.;</w:t>
      </w:r>
    </w:p>
    <w:p w14:paraId="10EAB467" w14:textId="77777777" w:rsidR="005B49AB" w:rsidRPr="007122AB" w:rsidRDefault="005B49AB" w:rsidP="007122AB">
      <w:pPr>
        <w:pStyle w:val="a3"/>
        <w:widowControl/>
        <w:numPr>
          <w:ilvl w:val="0"/>
          <w:numId w:val="4"/>
        </w:numPr>
        <w:tabs>
          <w:tab w:val="left" w:pos="399"/>
        </w:tabs>
        <w:autoSpaceDE/>
        <w:autoSpaceDN/>
        <w:adjustRightInd/>
        <w:rPr>
          <w:color w:val="000000" w:themeColor="text1"/>
          <w:lang w:val="ru-RU"/>
        </w:rPr>
      </w:pPr>
      <w:r w:rsidRPr="007122AB">
        <w:rPr>
          <w:color w:val="000000" w:themeColor="text1"/>
          <w:lang w:val="ru-RU"/>
        </w:rPr>
        <w:t>Вилли - чертежник КБ, холост. Месяч</w:t>
      </w:r>
      <w:r w:rsidRPr="007122AB">
        <w:rPr>
          <w:color w:val="000000" w:themeColor="text1"/>
          <w:lang w:val="ru-RU"/>
        </w:rPr>
        <w:softHyphen/>
        <w:t>ный оклад 115$ и 125 руб.;</w:t>
      </w:r>
    </w:p>
    <w:p w14:paraId="17177B82" w14:textId="77777777" w:rsidR="005B49AB" w:rsidRPr="007122AB" w:rsidRDefault="005B49AB" w:rsidP="007122AB">
      <w:pPr>
        <w:pStyle w:val="a3"/>
        <w:widowControl/>
        <w:numPr>
          <w:ilvl w:val="0"/>
          <w:numId w:val="4"/>
        </w:numPr>
        <w:tabs>
          <w:tab w:val="left" w:pos="442"/>
        </w:tabs>
        <w:autoSpaceDE/>
        <w:autoSpaceDN/>
        <w:adjustRightInd/>
        <w:rPr>
          <w:color w:val="000000" w:themeColor="text1"/>
        </w:rPr>
      </w:pPr>
      <w:r w:rsidRPr="007122AB">
        <w:rPr>
          <w:color w:val="000000" w:themeColor="text1"/>
          <w:lang w:val="ru-RU"/>
        </w:rPr>
        <w:t xml:space="preserve">Г. </w:t>
      </w:r>
      <w:proofErr w:type="spellStart"/>
      <w:r w:rsidRPr="007122AB">
        <w:rPr>
          <w:color w:val="000000" w:themeColor="text1"/>
          <w:lang w:val="ru-RU"/>
        </w:rPr>
        <w:t>Гарутти</w:t>
      </w:r>
      <w:proofErr w:type="spellEnd"/>
      <w:r w:rsidRPr="007122AB">
        <w:rPr>
          <w:color w:val="000000" w:themeColor="text1"/>
          <w:lang w:val="ru-RU"/>
        </w:rPr>
        <w:t xml:space="preserve"> - инженер-конструктор, холост, оформлен по договору.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250$ и 1000 </w:t>
      </w:r>
      <w:proofErr w:type="spellStart"/>
      <w:r w:rsidRPr="007122AB">
        <w:rPr>
          <w:color w:val="000000" w:themeColor="text1"/>
        </w:rPr>
        <w:t>руб</w:t>
      </w:r>
      <w:proofErr w:type="spellEnd"/>
      <w:r w:rsidRPr="007122AB">
        <w:rPr>
          <w:color w:val="000000" w:themeColor="text1"/>
        </w:rPr>
        <w:t>.;</w:t>
      </w:r>
    </w:p>
    <w:p w14:paraId="7AE9E484" w14:textId="77777777" w:rsidR="005B49AB" w:rsidRPr="007122AB" w:rsidRDefault="005B49AB" w:rsidP="007122AB">
      <w:pPr>
        <w:pStyle w:val="a3"/>
        <w:widowControl/>
        <w:numPr>
          <w:ilvl w:val="0"/>
          <w:numId w:val="4"/>
        </w:numPr>
        <w:tabs>
          <w:tab w:val="left" w:pos="414"/>
        </w:tabs>
        <w:autoSpaceDE/>
        <w:autoSpaceDN/>
        <w:adjustRightInd/>
        <w:rPr>
          <w:color w:val="000000" w:themeColor="text1"/>
        </w:rPr>
      </w:pPr>
      <w:r w:rsidRPr="007122AB">
        <w:rPr>
          <w:color w:val="000000" w:themeColor="text1"/>
          <w:lang w:val="ru-RU"/>
        </w:rPr>
        <w:t>А. Ди-Бернардино - мастер сбороч</w:t>
      </w:r>
      <w:r w:rsidRPr="007122AB">
        <w:rPr>
          <w:color w:val="000000" w:themeColor="text1"/>
          <w:lang w:val="ru-RU"/>
        </w:rPr>
        <w:softHyphen/>
        <w:t xml:space="preserve">ного цеха по металлоконструкциям, женат.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45$ и 700 </w:t>
      </w:r>
      <w:proofErr w:type="spellStart"/>
      <w:r w:rsidRPr="007122AB">
        <w:rPr>
          <w:color w:val="000000" w:themeColor="text1"/>
        </w:rPr>
        <w:t>руб</w:t>
      </w:r>
      <w:proofErr w:type="spellEnd"/>
      <w:r w:rsidRPr="007122AB">
        <w:rPr>
          <w:color w:val="000000" w:themeColor="text1"/>
        </w:rPr>
        <w:t>.;</w:t>
      </w:r>
    </w:p>
    <w:p w14:paraId="79F0A84A" w14:textId="77777777" w:rsidR="005B49AB" w:rsidRPr="007122AB" w:rsidRDefault="005B49AB" w:rsidP="007122AB">
      <w:pPr>
        <w:pStyle w:val="a3"/>
        <w:widowControl/>
        <w:numPr>
          <w:ilvl w:val="0"/>
          <w:numId w:val="4"/>
        </w:numPr>
        <w:tabs>
          <w:tab w:val="left" w:pos="414"/>
        </w:tabs>
        <w:autoSpaceDE/>
        <w:autoSpaceDN/>
        <w:adjustRightInd/>
        <w:rPr>
          <w:color w:val="000000" w:themeColor="text1"/>
        </w:rPr>
      </w:pPr>
      <w:r w:rsidRPr="007122AB">
        <w:rPr>
          <w:color w:val="000000" w:themeColor="text1"/>
          <w:lang w:val="ru-RU"/>
        </w:rPr>
        <w:t xml:space="preserve">А. Беретта - мастер моторного цеха, женат, оформлен по договору.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20$ и 300 </w:t>
      </w:r>
      <w:proofErr w:type="spellStart"/>
      <w:r w:rsidRPr="007122AB">
        <w:rPr>
          <w:color w:val="000000" w:themeColor="text1"/>
        </w:rPr>
        <w:t>руб</w:t>
      </w:r>
      <w:proofErr w:type="spellEnd"/>
      <w:r w:rsidRPr="007122AB">
        <w:rPr>
          <w:color w:val="000000" w:themeColor="text1"/>
        </w:rPr>
        <w:t>.;</w:t>
      </w:r>
    </w:p>
    <w:p w14:paraId="20752754" w14:textId="77777777" w:rsidR="005B49AB" w:rsidRPr="007122AB" w:rsidRDefault="005B49AB" w:rsidP="007122AB">
      <w:pPr>
        <w:pStyle w:val="a3"/>
        <w:widowControl/>
        <w:numPr>
          <w:ilvl w:val="0"/>
          <w:numId w:val="4"/>
        </w:numPr>
        <w:tabs>
          <w:tab w:val="left" w:pos="433"/>
        </w:tabs>
        <w:autoSpaceDE/>
        <w:autoSpaceDN/>
        <w:adjustRightInd/>
        <w:rPr>
          <w:color w:val="000000" w:themeColor="text1"/>
        </w:rPr>
      </w:pPr>
      <w:r w:rsidRPr="007122AB">
        <w:rPr>
          <w:color w:val="000000" w:themeColor="text1"/>
          <w:lang w:val="ru-RU"/>
        </w:rPr>
        <w:t xml:space="preserve">В. </w:t>
      </w:r>
      <w:proofErr w:type="spellStart"/>
      <w:r w:rsidRPr="007122AB">
        <w:rPr>
          <w:color w:val="000000" w:themeColor="text1"/>
          <w:lang w:val="ru-RU"/>
        </w:rPr>
        <w:t>Шакко</w:t>
      </w:r>
      <w:proofErr w:type="spellEnd"/>
      <w:r w:rsidRPr="007122AB">
        <w:rPr>
          <w:color w:val="000000" w:themeColor="text1"/>
          <w:lang w:val="ru-RU"/>
        </w:rPr>
        <w:t xml:space="preserve"> - мастер баллонного цеха, холост, оформлен по договору.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83$ и 700 </w:t>
      </w:r>
      <w:proofErr w:type="spellStart"/>
      <w:r w:rsidRPr="007122AB">
        <w:rPr>
          <w:color w:val="000000" w:themeColor="text1"/>
        </w:rPr>
        <w:t>руб</w:t>
      </w:r>
      <w:proofErr w:type="spellEnd"/>
      <w:r w:rsidRPr="007122AB">
        <w:rPr>
          <w:color w:val="000000" w:themeColor="text1"/>
        </w:rPr>
        <w:t>.;</w:t>
      </w:r>
    </w:p>
    <w:p w14:paraId="49729283" w14:textId="77777777" w:rsidR="005B49AB" w:rsidRPr="007122AB" w:rsidRDefault="005B49AB" w:rsidP="007122AB">
      <w:pPr>
        <w:pStyle w:val="a3"/>
        <w:widowControl/>
        <w:numPr>
          <w:ilvl w:val="0"/>
          <w:numId w:val="4"/>
        </w:numPr>
        <w:tabs>
          <w:tab w:val="left" w:pos="428"/>
        </w:tabs>
        <w:autoSpaceDE/>
        <w:autoSpaceDN/>
        <w:adjustRightInd/>
        <w:rPr>
          <w:color w:val="000000" w:themeColor="text1"/>
        </w:rPr>
      </w:pPr>
      <w:r w:rsidRPr="007122AB">
        <w:rPr>
          <w:color w:val="000000" w:themeColor="text1"/>
          <w:lang w:val="ru-RU"/>
        </w:rPr>
        <w:t>Н. Де-Мартино - инженер-конструк</w:t>
      </w:r>
      <w:r w:rsidRPr="007122AB">
        <w:rPr>
          <w:color w:val="000000" w:themeColor="text1"/>
          <w:lang w:val="ru-RU"/>
        </w:rPr>
        <w:softHyphen/>
        <w:t xml:space="preserve">тор, оформлен по договору.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324$ и 650 </w:t>
      </w:r>
      <w:proofErr w:type="spellStart"/>
      <w:r w:rsidRPr="007122AB">
        <w:rPr>
          <w:color w:val="000000" w:themeColor="text1"/>
        </w:rPr>
        <w:t>руб</w:t>
      </w:r>
      <w:proofErr w:type="spellEnd"/>
      <w:r w:rsidRPr="007122AB">
        <w:rPr>
          <w:color w:val="000000" w:themeColor="text1"/>
        </w:rPr>
        <w:t>.;</w:t>
      </w:r>
    </w:p>
    <w:p w14:paraId="4B6B92FE" w14:textId="77777777" w:rsidR="005B49AB" w:rsidRPr="007122AB" w:rsidRDefault="005B49AB" w:rsidP="007122AB">
      <w:pPr>
        <w:pStyle w:val="a3"/>
        <w:widowControl/>
        <w:numPr>
          <w:ilvl w:val="0"/>
          <w:numId w:val="4"/>
        </w:numPr>
        <w:tabs>
          <w:tab w:val="left" w:pos="404"/>
        </w:tabs>
        <w:autoSpaceDE/>
        <w:autoSpaceDN/>
        <w:adjustRightInd/>
        <w:rPr>
          <w:color w:val="000000" w:themeColor="text1"/>
          <w:lang w:val="ru-RU"/>
        </w:rPr>
      </w:pPr>
      <w:r w:rsidRPr="007122AB">
        <w:rPr>
          <w:color w:val="000000" w:themeColor="text1"/>
          <w:lang w:val="ru-RU"/>
        </w:rPr>
        <w:t>с Нобиле также работали прибывшие в Россию ранее:</w:t>
      </w:r>
    </w:p>
    <w:p w14:paraId="78F2E739" w14:textId="77777777" w:rsidR="005B49AB" w:rsidRPr="007122AB" w:rsidRDefault="005B49AB" w:rsidP="007122AB">
      <w:pPr>
        <w:pStyle w:val="a3"/>
        <w:widowControl/>
        <w:numPr>
          <w:ilvl w:val="0"/>
          <w:numId w:val="4"/>
        </w:numPr>
        <w:tabs>
          <w:tab w:val="left" w:pos="390"/>
        </w:tabs>
        <w:autoSpaceDE/>
        <w:autoSpaceDN/>
        <w:adjustRightInd/>
        <w:rPr>
          <w:color w:val="000000" w:themeColor="text1"/>
        </w:rPr>
      </w:pPr>
      <w:r w:rsidRPr="007122AB">
        <w:rPr>
          <w:color w:val="000000" w:themeColor="text1"/>
          <w:lang w:val="ru-RU"/>
        </w:rPr>
        <w:t xml:space="preserve">Р. </w:t>
      </w:r>
      <w:proofErr w:type="spellStart"/>
      <w:r w:rsidRPr="007122AB">
        <w:rPr>
          <w:color w:val="000000" w:themeColor="text1"/>
          <w:lang w:val="ru-RU"/>
        </w:rPr>
        <w:t>Бианкони</w:t>
      </w:r>
      <w:proofErr w:type="spellEnd"/>
      <w:r w:rsidRPr="007122AB">
        <w:rPr>
          <w:color w:val="000000" w:themeColor="text1"/>
          <w:lang w:val="ru-RU"/>
        </w:rPr>
        <w:t xml:space="preserve"> - переводчик, женат, член ВКП(б).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350 </w:t>
      </w:r>
      <w:proofErr w:type="spellStart"/>
      <w:r w:rsidRPr="007122AB">
        <w:rPr>
          <w:color w:val="000000" w:themeColor="text1"/>
        </w:rPr>
        <w:t>руб</w:t>
      </w:r>
      <w:proofErr w:type="spellEnd"/>
      <w:r w:rsidRPr="007122AB">
        <w:rPr>
          <w:color w:val="000000" w:themeColor="text1"/>
        </w:rPr>
        <w:t>.;</w:t>
      </w:r>
    </w:p>
    <w:p w14:paraId="199D6474" w14:textId="77777777" w:rsidR="005B49AB" w:rsidRPr="007122AB" w:rsidRDefault="005B49AB" w:rsidP="007122AB">
      <w:pPr>
        <w:pStyle w:val="a3"/>
        <w:widowControl/>
        <w:numPr>
          <w:ilvl w:val="0"/>
          <w:numId w:val="4"/>
        </w:numPr>
        <w:tabs>
          <w:tab w:val="left" w:pos="438"/>
        </w:tabs>
        <w:autoSpaceDE/>
        <w:autoSpaceDN/>
        <w:adjustRightInd/>
        <w:rPr>
          <w:color w:val="000000" w:themeColor="text1"/>
        </w:rPr>
      </w:pPr>
      <w:r w:rsidRPr="007122AB">
        <w:rPr>
          <w:color w:val="000000" w:themeColor="text1"/>
          <w:lang w:val="ru-RU"/>
        </w:rPr>
        <w:t xml:space="preserve">Б. </w:t>
      </w:r>
      <w:proofErr w:type="spellStart"/>
      <w:r w:rsidRPr="007122AB">
        <w:rPr>
          <w:color w:val="000000" w:themeColor="text1"/>
          <w:lang w:val="ru-RU"/>
        </w:rPr>
        <w:t>Сигалини</w:t>
      </w:r>
      <w:proofErr w:type="spellEnd"/>
      <w:r w:rsidRPr="007122AB">
        <w:rPr>
          <w:color w:val="000000" w:themeColor="text1"/>
          <w:lang w:val="ru-RU"/>
        </w:rPr>
        <w:t xml:space="preserve"> - инструктор бригады слесарей сборочного цеха, холост, член ВКП(б). </w:t>
      </w:r>
      <w:proofErr w:type="spellStart"/>
      <w:r w:rsidRPr="007122AB">
        <w:rPr>
          <w:color w:val="000000" w:themeColor="text1"/>
        </w:rPr>
        <w:t>Месячный</w:t>
      </w:r>
      <w:proofErr w:type="spellEnd"/>
      <w:r w:rsidRPr="007122AB">
        <w:rPr>
          <w:color w:val="000000" w:themeColor="text1"/>
        </w:rPr>
        <w:t xml:space="preserve"> </w:t>
      </w:r>
      <w:proofErr w:type="spellStart"/>
      <w:r w:rsidRPr="007122AB">
        <w:rPr>
          <w:color w:val="000000" w:themeColor="text1"/>
        </w:rPr>
        <w:t>оклад</w:t>
      </w:r>
      <w:proofErr w:type="spellEnd"/>
      <w:r w:rsidRPr="007122AB">
        <w:rPr>
          <w:color w:val="000000" w:themeColor="text1"/>
        </w:rPr>
        <w:t xml:space="preserve"> 350 </w:t>
      </w:r>
      <w:proofErr w:type="spellStart"/>
      <w:r w:rsidRPr="007122AB">
        <w:rPr>
          <w:color w:val="000000" w:themeColor="text1"/>
        </w:rPr>
        <w:t>руб</w:t>
      </w:r>
      <w:proofErr w:type="spellEnd"/>
      <w:r w:rsidRPr="007122AB">
        <w:rPr>
          <w:color w:val="000000" w:themeColor="text1"/>
        </w:rPr>
        <w:t>.</w:t>
      </w:r>
    </w:p>
    <w:p w14:paraId="46237B99" w14:textId="77777777" w:rsidR="005B49AB" w:rsidRPr="007122AB" w:rsidRDefault="005B49AB" w:rsidP="007122AB">
      <w:pPr>
        <w:pStyle w:val="a3"/>
        <w:rPr>
          <w:color w:val="000000" w:themeColor="text1"/>
          <w:lang w:val="ru-RU"/>
        </w:rPr>
      </w:pPr>
      <w:r w:rsidRPr="007122AB">
        <w:rPr>
          <w:color w:val="000000" w:themeColor="text1"/>
          <w:lang w:val="ru-RU"/>
        </w:rPr>
        <w:t>Кроме денежного содержания итальян</w:t>
      </w:r>
      <w:r w:rsidRPr="007122AB">
        <w:rPr>
          <w:color w:val="000000" w:themeColor="text1"/>
          <w:lang w:val="ru-RU"/>
        </w:rPr>
        <w:softHyphen/>
        <w:t>цы обеспечивались:</w:t>
      </w:r>
    </w:p>
    <w:p w14:paraId="5A498508" w14:textId="77777777" w:rsidR="005B49AB" w:rsidRPr="007122AB" w:rsidRDefault="005B49AB" w:rsidP="007122AB">
      <w:pPr>
        <w:pStyle w:val="a3"/>
        <w:widowControl/>
        <w:numPr>
          <w:ilvl w:val="0"/>
          <w:numId w:val="4"/>
        </w:numPr>
        <w:tabs>
          <w:tab w:val="left" w:pos="385"/>
        </w:tabs>
        <w:autoSpaceDE/>
        <w:autoSpaceDN/>
        <w:adjustRightInd/>
        <w:rPr>
          <w:color w:val="000000" w:themeColor="text1"/>
          <w:lang w:val="ru-RU"/>
        </w:rPr>
      </w:pPr>
      <w:r w:rsidRPr="007122AB">
        <w:rPr>
          <w:color w:val="000000" w:themeColor="text1"/>
          <w:lang w:val="ru-RU"/>
        </w:rPr>
        <w:t>оплачиваемой комнатой (с кухней, ван</w:t>
      </w:r>
      <w:r w:rsidRPr="007122AB">
        <w:rPr>
          <w:color w:val="000000" w:themeColor="text1"/>
          <w:lang w:val="ru-RU"/>
        </w:rPr>
        <w:softHyphen/>
        <w:t xml:space="preserve">ной) в квартирах дома ИНО на </w:t>
      </w:r>
      <w:proofErr w:type="spellStart"/>
      <w:r w:rsidRPr="007122AB">
        <w:rPr>
          <w:color w:val="000000" w:themeColor="text1"/>
          <w:lang w:val="ru-RU"/>
        </w:rPr>
        <w:t>Долгопрудной</w:t>
      </w:r>
      <w:proofErr w:type="spellEnd"/>
      <w:r w:rsidRPr="007122AB">
        <w:rPr>
          <w:color w:val="000000" w:themeColor="text1"/>
          <w:lang w:val="ru-RU"/>
        </w:rPr>
        <w:t xml:space="preserve"> или гостиничным номером (квартирой) в Москве (У. Нобиле, Ф. </w:t>
      </w:r>
      <w:proofErr w:type="spellStart"/>
      <w:r w:rsidRPr="007122AB">
        <w:rPr>
          <w:color w:val="000000" w:themeColor="text1"/>
          <w:lang w:val="ru-RU"/>
        </w:rPr>
        <w:t>Трояни</w:t>
      </w:r>
      <w:proofErr w:type="spellEnd"/>
      <w:r w:rsidRPr="007122AB">
        <w:rPr>
          <w:color w:val="000000" w:themeColor="text1"/>
          <w:lang w:val="ru-RU"/>
        </w:rPr>
        <w:t xml:space="preserve">, Г. </w:t>
      </w:r>
      <w:proofErr w:type="spellStart"/>
      <w:r w:rsidRPr="007122AB">
        <w:rPr>
          <w:color w:val="000000" w:themeColor="text1"/>
          <w:lang w:val="ru-RU"/>
        </w:rPr>
        <w:t>Гарутти</w:t>
      </w:r>
      <w:proofErr w:type="spellEnd"/>
      <w:r w:rsidRPr="007122AB">
        <w:rPr>
          <w:color w:val="000000" w:themeColor="text1"/>
          <w:lang w:val="ru-RU"/>
        </w:rPr>
        <w:t>, Н. Де-Мартино, А. Беретта);</w:t>
      </w:r>
    </w:p>
    <w:p w14:paraId="518165B0" w14:textId="77777777" w:rsidR="005B49AB" w:rsidRPr="007122AB" w:rsidRDefault="005B49AB" w:rsidP="007122AB">
      <w:pPr>
        <w:pStyle w:val="a3"/>
        <w:widowControl/>
        <w:numPr>
          <w:ilvl w:val="0"/>
          <w:numId w:val="4"/>
        </w:numPr>
        <w:tabs>
          <w:tab w:val="left" w:pos="423"/>
        </w:tabs>
        <w:autoSpaceDE/>
        <w:autoSpaceDN/>
        <w:adjustRightInd/>
        <w:rPr>
          <w:color w:val="000000" w:themeColor="text1"/>
          <w:lang w:val="ru-RU"/>
        </w:rPr>
      </w:pPr>
      <w:r w:rsidRPr="007122AB">
        <w:rPr>
          <w:color w:val="000000" w:themeColor="text1"/>
          <w:lang w:val="ru-RU"/>
        </w:rPr>
        <w:t>оплачиваемым месячным отпуском (раз в году, включая проезд по ж/дороге 2-м классом до Италии и обратно);</w:t>
      </w:r>
    </w:p>
    <w:p w14:paraId="6C26EC59" w14:textId="77777777" w:rsidR="005B49AB" w:rsidRPr="007122AB" w:rsidRDefault="005B49AB" w:rsidP="007122AB">
      <w:pPr>
        <w:pStyle w:val="a3"/>
        <w:widowControl/>
        <w:numPr>
          <w:ilvl w:val="0"/>
          <w:numId w:val="4"/>
        </w:numPr>
        <w:tabs>
          <w:tab w:val="left" w:pos="409"/>
        </w:tabs>
        <w:autoSpaceDE/>
        <w:autoSpaceDN/>
        <w:adjustRightInd/>
        <w:rPr>
          <w:color w:val="000000" w:themeColor="text1"/>
          <w:lang w:val="ru-RU"/>
        </w:rPr>
      </w:pPr>
      <w:r w:rsidRPr="007122AB">
        <w:rPr>
          <w:color w:val="000000" w:themeColor="text1"/>
          <w:lang w:val="ru-RU"/>
        </w:rPr>
        <w:t>компенсацией расходов по приезду и отъезду из России (12732).</w:t>
      </w:r>
    </w:p>
    <w:p w14:paraId="2C460340" w14:textId="77777777" w:rsidR="005B49AB" w:rsidRPr="007122AB" w:rsidRDefault="005B49AB" w:rsidP="007122AB">
      <w:pPr>
        <w:pStyle w:val="a3"/>
        <w:rPr>
          <w:color w:val="000000" w:themeColor="text1"/>
          <w:lang w:val="ru-RU"/>
        </w:rPr>
      </w:pPr>
    </w:p>
    <w:p w14:paraId="14F77DE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5A5BD9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6820CD"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октября 1931 г. Постановление Президиума ВСНХ СССР о возложении па Химический трест № 1 руководства и непосредственного исполнения некоторых научно-исследовательских, изыскательских и проектных работ по отравляющим веществам, а также в области охраны труда в производствах отравляющих веществ (РГАЭ. Ф. 3429. Оп. 6. Д. 189. Л. 92?91) (12417).</w:t>
      </w:r>
    </w:p>
    <w:p w14:paraId="1FBF408D"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071C203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октября 1931 года, еще до изготовления опытного образца ФАИ, конструкторское бюро Ижорского завода получило задание на «проектирование и изготовление опытного бронеавтомобиля на шасси трехосного автомоби</w:t>
      </w:r>
      <w:r w:rsidRPr="007122AB">
        <w:rPr>
          <w:rFonts w:ascii="Times New Roman" w:hAnsi="Times New Roman"/>
          <w:color w:val="000000" w:themeColor="text1"/>
          <w:sz w:val="16"/>
          <w:szCs w:val="16"/>
        </w:rPr>
        <w:softHyphen/>
        <w:t xml:space="preserve">ля «Форд-А». В качестве базы предполагалось использовать серийный вариант трехоски, разработанной в Одессе инженерами И. Жаботинский и Д. </w:t>
      </w:r>
      <w:proofErr w:type="spellStart"/>
      <w:r w:rsidRPr="007122AB">
        <w:rPr>
          <w:rFonts w:ascii="Times New Roman" w:hAnsi="Times New Roman"/>
          <w:color w:val="000000" w:themeColor="text1"/>
          <w:sz w:val="16"/>
          <w:szCs w:val="16"/>
        </w:rPr>
        <w:t>Скобло</w:t>
      </w:r>
      <w:proofErr w:type="spellEnd"/>
      <w:r w:rsidRPr="007122AB">
        <w:rPr>
          <w:rFonts w:ascii="Times New Roman" w:hAnsi="Times New Roman"/>
          <w:color w:val="000000" w:themeColor="text1"/>
          <w:sz w:val="16"/>
          <w:szCs w:val="16"/>
        </w:rPr>
        <w:t>(11284).</w:t>
      </w:r>
    </w:p>
    <w:p w14:paraId="5D0D94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1A794"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октября 1931 г. — Докладная записка Всесоюзного объединения слаботочной электропромышленности в Комиссию обороны и ВСНХ СССР о мерах по обеспечению поставок радиостанций и телемеханических устройств</w:t>
      </w:r>
    </w:p>
    <w:p w14:paraId="5956BA52"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6F36C8CF"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решением Комиссии обороны от 12 октября 1931 г. о поставке Наркомвоенмору 6 тыс. радиостанций и телемеханических устройств на 5 млн. руб. необходимо провести следующие мероприятия, обеспечивающие выполнение этого задания.</w:t>
      </w:r>
    </w:p>
    <w:p w14:paraId="23C2920E"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объединению ВЭСО</w:t>
      </w:r>
    </w:p>
    <w:p w14:paraId="7A69E971"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Разрешить объединению ВЭСО наем 300</w:t>
      </w:r>
      <w:r w:rsidRPr="007122AB">
        <w:rPr>
          <w:rFonts w:ascii="Times New Roman" w:hAnsi="Times New Roman"/>
          <w:color w:val="000000" w:themeColor="text1"/>
          <w:sz w:val="16"/>
          <w:szCs w:val="16"/>
        </w:rPr>
        <w:noBreakHyphen/>
        <w:t xml:space="preserve">350 чел. рабочих высокой квалификации в Европе (Германии, Англии и Франции). Из них 250 чел. </w:t>
      </w:r>
      <w:proofErr w:type="spellStart"/>
      <w:r w:rsidRPr="007122AB">
        <w:rPr>
          <w:rFonts w:ascii="Times New Roman" w:hAnsi="Times New Roman"/>
          <w:color w:val="000000" w:themeColor="text1"/>
          <w:sz w:val="16"/>
          <w:szCs w:val="16"/>
        </w:rPr>
        <w:t>безвалютно</w:t>
      </w:r>
      <w:proofErr w:type="spellEnd"/>
      <w:r w:rsidRPr="007122AB">
        <w:rPr>
          <w:rFonts w:ascii="Times New Roman" w:hAnsi="Times New Roman"/>
          <w:color w:val="000000" w:themeColor="text1"/>
          <w:sz w:val="16"/>
          <w:szCs w:val="16"/>
        </w:rPr>
        <w:t>, с оплатой лишь проезда в валюте, и 100 чел. особо высокой квалификации с оплатой от 25 до 50 руб. валютой в месяц. Наем указанных рабочих закончить не позднее февраля 1932 г., для чего немедленно командировать в IV квартале с. г. представителя ВЭСО за границу для подбора рабочих нужных квалификаций.</w:t>
      </w:r>
    </w:p>
    <w:p w14:paraId="4C2D8365"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Для обеспечения жилплощадью приглашаемых из-за границы рабочих распоряжением Президиума ВСНХ СССР отпустить ВЭСО дополнительно в IV квартале 1 млн. руб. на приобретение стандартных домов для Нижегородского радиотелефонного завода и на приобретение жилплощади для иностранных рабочих, приглашаемых для ленинградских и московских заводов ВЭСО.</w:t>
      </w:r>
    </w:p>
    <w:p w14:paraId="09169089"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Президиуму ВСНХ СССР в IV квартале для обеспечения приглашаемых иностранных рабочих жилплощадью выделить для Нижегородского радиозавода 20 стандартных домов квартирного типа площадью по 387 м² в каждом.</w:t>
      </w:r>
    </w:p>
    <w:p w14:paraId="41B39F40"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В целях скорейшей реализации жилищного фонда для иностранных рабочих разрешить объединению ВЭСО приобретение жилплощади в порядке покупки квартир от </w:t>
      </w:r>
      <w:proofErr w:type="spellStart"/>
      <w:r w:rsidRPr="007122AB">
        <w:rPr>
          <w:rFonts w:ascii="Times New Roman" w:hAnsi="Times New Roman"/>
          <w:color w:val="000000" w:themeColor="text1"/>
          <w:sz w:val="16"/>
          <w:szCs w:val="16"/>
        </w:rPr>
        <w:t>жилкооперации</w:t>
      </w:r>
      <w:proofErr w:type="spellEnd"/>
      <w:r w:rsidRPr="007122AB">
        <w:rPr>
          <w:rFonts w:ascii="Times New Roman" w:hAnsi="Times New Roman"/>
          <w:color w:val="000000" w:themeColor="text1"/>
          <w:sz w:val="16"/>
          <w:szCs w:val="16"/>
        </w:rPr>
        <w:t>, а также ремонт и восстановление квартир.</w:t>
      </w:r>
    </w:p>
    <w:p w14:paraId="22F13F08"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Объединению ВЭСО закончить к 1 января 1932 г. строительство Нижегородского радиотелефонного завода, для чего Президиуму ВСНХ СССР выделить фонды строительных материалов для окончания строительства последнего квадрата (в 6 тыс. м²) и столярной мастерской завода, а также недостроенных 20 жилых домов для технического персонала и квалифицированных рабочих, перебрасываемых в Нижний [Новгород] с других заводов ВЭСО.</w:t>
      </w:r>
    </w:p>
    <w:p w14:paraId="1C0BD526"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Выделить в IV квартале с. г. объединению ВЭСО валютный контингент...¹*, 496 тыс. руб. для обеспечения выпуска радиостанций импортным оборудованием и полуфабрикатами (оборудование, пьезокварц, </w:t>
      </w:r>
      <w:proofErr w:type="spellStart"/>
      <w:r w:rsidRPr="007122AB">
        <w:rPr>
          <w:rFonts w:ascii="Times New Roman" w:hAnsi="Times New Roman"/>
          <w:color w:val="000000" w:themeColor="text1"/>
          <w:sz w:val="16"/>
          <w:szCs w:val="16"/>
        </w:rPr>
        <w:t>высокоомные</w:t>
      </w:r>
      <w:proofErr w:type="spellEnd"/>
      <w:r w:rsidRPr="007122AB">
        <w:rPr>
          <w:rFonts w:ascii="Times New Roman" w:hAnsi="Times New Roman"/>
          <w:color w:val="000000" w:themeColor="text1"/>
          <w:sz w:val="16"/>
          <w:szCs w:val="16"/>
        </w:rPr>
        <w:t xml:space="preserve"> сопротивления, контрольно-измерительные приборы и др.).</w:t>
      </w:r>
    </w:p>
    <w:p w14:paraId="0CFCD1F9"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по ВЭСО валютных контингентов в IV квартале 1931 г. 496 тыс. руб. плюс оплата иностранных рабочих.</w:t>
      </w:r>
    </w:p>
    <w:p w14:paraId="5A0FF5A7"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объединению ВЭО</w:t>
      </w:r>
    </w:p>
    <w:p w14:paraId="314FEA5A"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Для обеспечения выпуска 6 тыс. радиостанций </w:t>
      </w:r>
      <w:proofErr w:type="spellStart"/>
      <w:r w:rsidRPr="007122AB">
        <w:rPr>
          <w:rFonts w:ascii="Times New Roman" w:hAnsi="Times New Roman"/>
          <w:color w:val="000000" w:themeColor="text1"/>
          <w:sz w:val="16"/>
          <w:szCs w:val="16"/>
        </w:rPr>
        <w:t>радиомашинами</w:t>
      </w:r>
      <w:proofErr w:type="spellEnd"/>
      <w:r w:rsidRPr="007122AB">
        <w:rPr>
          <w:rFonts w:ascii="Times New Roman" w:hAnsi="Times New Roman"/>
          <w:color w:val="000000" w:themeColor="text1"/>
          <w:sz w:val="16"/>
          <w:szCs w:val="16"/>
        </w:rPr>
        <w:t xml:space="preserve"> обязать ВЭО ускорить намечаемое в 1932 г. расширение производства </w:t>
      </w:r>
      <w:proofErr w:type="spellStart"/>
      <w:r w:rsidRPr="007122AB">
        <w:rPr>
          <w:rFonts w:ascii="Times New Roman" w:hAnsi="Times New Roman"/>
          <w:color w:val="000000" w:themeColor="text1"/>
          <w:sz w:val="16"/>
          <w:szCs w:val="16"/>
        </w:rPr>
        <w:t>радиомашин</w:t>
      </w:r>
      <w:proofErr w:type="spellEnd"/>
      <w:r w:rsidRPr="007122AB">
        <w:rPr>
          <w:rFonts w:ascii="Times New Roman" w:hAnsi="Times New Roman"/>
          <w:color w:val="000000" w:themeColor="text1"/>
          <w:sz w:val="16"/>
          <w:szCs w:val="16"/>
        </w:rPr>
        <w:t xml:space="preserve"> на Московском электрозаводе, для чего немедленно, не позднее 1 ноября с. г., отпустить ВЭО распоряжением Президиума ВСНХ 600 тыс. руб., из коих 300 тыс. руб. — валютным контингентом в IV квартале с. г.</w:t>
      </w:r>
    </w:p>
    <w:p w14:paraId="61DE3AA3"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Обязать ВЭО форсировать строительство и оборудование вновь строящегося Саратовского завода щелочных аккумуляторов, а также выпустить в течение 1932 г. с этого завода щелочных батарей емкостью не менее 4 млн. ампер-часов.</w:t>
      </w:r>
    </w:p>
    <w:p w14:paraId="257C650B"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Обязать Президиум ВСНХ СССР обеспечить строительство Саратовского завода щелочных аккумуляторов необходимыми стройматериалами для обеспечения пуска этого завода не позднее первой половины 1932 г. Разрешить заказ заграничного оборудования для этого завода в IV квартале с. г. на сумму 200 тыс. руб., для чего выделить в IV квартале с. г. соответствующий валютный контингент. Строительство завода включить в число ударных строек.</w:t>
      </w:r>
    </w:p>
    <w:p w14:paraId="303D2B11"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Обеспечить в I квартале 1932 г. валютный контингент на 150 тыс. руб. на ввоз недостающего количества щелочных элементов.</w:t>
      </w:r>
    </w:p>
    <w:p w14:paraId="35A9FD60"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 валютных контингентов по ВЭО: в IV квартале с. г. — 500 тыс. руб., в I квартале 1932 г. — 150 тыс. руб.; итого — 650 тыс. руб.</w:t>
      </w:r>
    </w:p>
    <w:p w14:paraId="556A0951"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лабораториям ВЭСО</w:t>
      </w:r>
    </w:p>
    <w:p w14:paraId="5FF4402A" w14:textId="77777777" w:rsidR="005B49AB" w:rsidRPr="007122AB" w:rsidRDefault="005B49AB" w:rsidP="007122AB">
      <w:pPr>
        <w:pStyle w:val="rtejustify"/>
        <w:spacing w:before="0" w:after="0"/>
        <w:rPr>
          <w:color w:val="000000" w:themeColor="text1"/>
          <w:sz w:val="16"/>
          <w:szCs w:val="16"/>
        </w:rPr>
      </w:pPr>
      <w:r w:rsidRPr="007122AB">
        <w:rPr>
          <w:color w:val="000000" w:themeColor="text1"/>
          <w:sz w:val="16"/>
          <w:szCs w:val="16"/>
        </w:rPr>
        <w:t xml:space="preserve">1. Ввиду необходимости срочного расширения лабораторий радиоламп при заводе «Светлана», на что </w:t>
      </w:r>
      <w:proofErr w:type="spellStart"/>
      <w:r w:rsidRPr="007122AB">
        <w:rPr>
          <w:color w:val="000000" w:themeColor="text1"/>
          <w:sz w:val="16"/>
          <w:szCs w:val="16"/>
        </w:rPr>
        <w:t>Ревсоветом</w:t>
      </w:r>
      <w:proofErr w:type="spellEnd"/>
      <w:r w:rsidRPr="007122AB">
        <w:rPr>
          <w:color w:val="000000" w:themeColor="text1"/>
          <w:sz w:val="16"/>
          <w:szCs w:val="16"/>
        </w:rPr>
        <w:t xml:space="preserve"> СССР ассигновано 400 тыс. руб., обязать ВЭСО к 1 января закончить начатое строительство этой лаборатории, для чего Президиуму ВСНХ СССР обеспечить эту стройку стройматериалами не позднее 10 ноября.</w:t>
      </w:r>
    </w:p>
    <w:p w14:paraId="384E7FFF" w14:textId="77777777" w:rsidR="005B49AB" w:rsidRPr="007122AB" w:rsidRDefault="005B49AB" w:rsidP="007122AB">
      <w:pPr>
        <w:pStyle w:val="rtejustify"/>
        <w:spacing w:before="0" w:after="0"/>
        <w:rPr>
          <w:color w:val="000000" w:themeColor="text1"/>
          <w:sz w:val="16"/>
          <w:szCs w:val="16"/>
        </w:rPr>
      </w:pPr>
      <w:r w:rsidRPr="007122AB">
        <w:rPr>
          <w:color w:val="000000" w:themeColor="text1"/>
          <w:sz w:val="16"/>
          <w:szCs w:val="16"/>
        </w:rPr>
        <w:t>2. Для обеспечения Центральной военно-индустриальной радиолаборатории ВЭСО в Нижнем Новгороде разрешить заказать на 10 тыс. руб. лабораторно-измерительного оборудования в Америке.</w:t>
      </w:r>
    </w:p>
    <w:p w14:paraId="36913354" w14:textId="77777777" w:rsidR="005B49AB" w:rsidRPr="007122AB" w:rsidRDefault="005B49AB" w:rsidP="007122AB">
      <w:pPr>
        <w:pStyle w:val="rtejustify"/>
        <w:spacing w:before="0" w:after="0"/>
        <w:rPr>
          <w:color w:val="000000" w:themeColor="text1"/>
          <w:sz w:val="16"/>
          <w:szCs w:val="16"/>
        </w:rPr>
      </w:pPr>
      <w:r w:rsidRPr="007122AB">
        <w:rPr>
          <w:color w:val="000000" w:themeColor="text1"/>
          <w:sz w:val="16"/>
          <w:szCs w:val="16"/>
        </w:rPr>
        <w:t>3. Разрешить ВЭСО приглашение из-за границы 2 радиоспециалистов высокой квалификации по радиоприемным устройствам. Наем указанных специалистов разрешить с оплатой до 300 долларов в месяц сроком на полтора года.</w:t>
      </w:r>
    </w:p>
    <w:p w14:paraId="7B6AE13F" w14:textId="77777777" w:rsidR="005B49AB" w:rsidRPr="007122AB" w:rsidRDefault="005B49AB" w:rsidP="007122AB">
      <w:pPr>
        <w:pStyle w:val="rtejustify"/>
        <w:spacing w:before="0" w:after="0"/>
        <w:rPr>
          <w:color w:val="000000" w:themeColor="text1"/>
          <w:sz w:val="16"/>
          <w:szCs w:val="16"/>
        </w:rPr>
      </w:pPr>
      <w:r w:rsidRPr="007122AB">
        <w:rPr>
          <w:color w:val="000000" w:themeColor="text1"/>
          <w:sz w:val="16"/>
          <w:szCs w:val="16"/>
        </w:rPr>
        <w:t>Всего валютных контингентов ВЭО и ВЭСО. в IV квартале с. г. — 996 тыс. руб., в I квартале 1932 г. — 150 тыс. руб.; итого —1146 тыс. руб.</w:t>
      </w:r>
    </w:p>
    <w:p w14:paraId="4E5035E2" w14:textId="77777777" w:rsidR="005B49AB" w:rsidRPr="007122AB" w:rsidRDefault="005B49AB"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Управляющий Всесоюзным электрослаботочным объединением ВЭСО </w:t>
      </w:r>
      <w:hyperlink r:id="rId179" w:history="1">
        <w:r w:rsidRPr="007122AB">
          <w:rPr>
            <w:rStyle w:val="af0"/>
            <w:i w:val="0"/>
            <w:color w:val="000000" w:themeColor="text1"/>
            <w:sz w:val="16"/>
            <w:szCs w:val="16"/>
          </w:rPr>
          <w:t>Романовский</w:t>
        </w:r>
      </w:hyperlink>
    </w:p>
    <w:p w14:paraId="762FECA6" w14:textId="77777777" w:rsidR="005B49AB" w:rsidRPr="007122AB" w:rsidRDefault="005B49AB"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27969C6F"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Отточие документа.</w:t>
      </w:r>
    </w:p>
    <w:p w14:paraId="57FC192D"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ГА РФ. Ф. Р-8418. Оп. 5. Д. 61. Л. 166—167 об. Подлинник.</w:t>
      </w:r>
    </w:p>
    <w:p w14:paraId="7D5EBECB"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5. Д. 61. Л. 166—167 об. Подлинник. </w:t>
      </w:r>
    </w:p>
    <w:p w14:paraId="36CA5DB8" w14:textId="77777777" w:rsidR="005B49AB" w:rsidRPr="007122AB" w:rsidRDefault="005B49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Собрание узаконений и распоряжений правительства за 1917—1918 гг. Управление делами Совнаркома СССР М. 1942, стр. 572-573 (12537).</w:t>
      </w:r>
    </w:p>
    <w:p w14:paraId="0C7A2BF2" w14:textId="77777777" w:rsidR="005B49AB" w:rsidRPr="007122AB" w:rsidRDefault="005B49AB" w:rsidP="007122AB">
      <w:pPr>
        <w:spacing w:after="0" w:line="240" w:lineRule="auto"/>
        <w:jc w:val="both"/>
        <w:rPr>
          <w:rFonts w:ascii="Times New Roman" w:hAnsi="Times New Roman"/>
          <w:color w:val="000000" w:themeColor="text1"/>
          <w:sz w:val="16"/>
          <w:szCs w:val="16"/>
        </w:rPr>
      </w:pPr>
    </w:p>
    <w:p w14:paraId="45F49D0F"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16 октября 1931 г. Секретно.</w:t>
      </w:r>
    </w:p>
    <w:p w14:paraId="543A207D"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«&lt;…&gt; необходимо провести следующие мероприятия, обеспечивающие выполнение этого задания.</w:t>
      </w:r>
    </w:p>
    <w:p w14:paraId="54FD45A8" w14:textId="77777777" w:rsidR="005B49AB" w:rsidRPr="007122AB" w:rsidRDefault="005B49AB" w:rsidP="007122AB">
      <w:pPr>
        <w:pStyle w:val="ae"/>
        <w:spacing w:before="0" w:after="0"/>
        <w:jc w:val="both"/>
        <w:rPr>
          <w:color w:val="000000" w:themeColor="text1"/>
          <w:sz w:val="16"/>
          <w:szCs w:val="16"/>
        </w:rPr>
      </w:pPr>
      <w:r w:rsidRPr="007122AB">
        <w:rPr>
          <w:bCs/>
          <w:color w:val="000000" w:themeColor="text1"/>
          <w:sz w:val="16"/>
          <w:szCs w:val="16"/>
        </w:rPr>
        <w:t>По объединению ВЭСО</w:t>
      </w:r>
    </w:p>
    <w:p w14:paraId="13662D9A"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 xml:space="preserve">1. Разрешить объединению ВЭСО наем 300–350 чел. рабочих высокой квалификации в Европе (Германии, Англии и Франции). Из них 250 чел. </w:t>
      </w:r>
      <w:proofErr w:type="spellStart"/>
      <w:r w:rsidRPr="007122AB">
        <w:rPr>
          <w:color w:val="000000" w:themeColor="text1"/>
          <w:sz w:val="16"/>
          <w:szCs w:val="16"/>
        </w:rPr>
        <w:t>безвалютно</w:t>
      </w:r>
      <w:proofErr w:type="spellEnd"/>
      <w:r w:rsidRPr="007122AB">
        <w:rPr>
          <w:color w:val="000000" w:themeColor="text1"/>
          <w:sz w:val="16"/>
          <w:szCs w:val="16"/>
        </w:rPr>
        <w:t>, с оплатой лишь проезда в валюте, и 100 чел. особо высокой квалификации с оплатой от 25 до 50 руб. валютой в месяц. &lt;…&gt;</w:t>
      </w:r>
    </w:p>
    <w:p w14:paraId="51F0322E"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 xml:space="preserve">2. Для обеспечения жилплощадью приглашаемых из-за границы рабочих распоряжением Президиума ВСНХ СССР отпустить ВЭСО дополнительно в </w:t>
      </w:r>
      <w:proofErr w:type="spellStart"/>
      <w:r w:rsidRPr="007122AB">
        <w:rPr>
          <w:color w:val="000000" w:themeColor="text1"/>
          <w:sz w:val="16"/>
          <w:szCs w:val="16"/>
        </w:rPr>
        <w:t>IVквартале</w:t>
      </w:r>
      <w:proofErr w:type="spellEnd"/>
      <w:r w:rsidRPr="007122AB">
        <w:rPr>
          <w:color w:val="000000" w:themeColor="text1"/>
          <w:sz w:val="16"/>
          <w:szCs w:val="16"/>
        </w:rPr>
        <w:t xml:space="preserve"> 1 млн руб. на приобретение стандартных домов для Нижегородского радиотелефонного завода и на приобретение жилплощади для иностранных рабочих, приглашаемых для ленинградских и московских заводов ВЭСО.</w:t>
      </w:r>
    </w:p>
    <w:p w14:paraId="06C1E243"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3. Президиуму ВСНХ СССР в IV квартале для обеспечения приглашаемых иностранных рабочих жилплощадью выделить для Нижегородского радиозавода 20 стандартных домов квартирного типа, площадью по 387 м2 в каждом.</w:t>
      </w:r>
    </w:p>
    <w:p w14:paraId="5711C5C2"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lastRenderedPageBreak/>
        <w:t xml:space="preserve">4. В целях скорейшей реализации жилищного фонда для иностранных рабочих разрешить объединению ВЭСО приобретение жилплощади в порядке покупки квартир от </w:t>
      </w:r>
      <w:proofErr w:type="spellStart"/>
      <w:r w:rsidRPr="007122AB">
        <w:rPr>
          <w:color w:val="000000" w:themeColor="text1"/>
          <w:sz w:val="16"/>
          <w:szCs w:val="16"/>
        </w:rPr>
        <w:t>жилкооперации</w:t>
      </w:r>
      <w:proofErr w:type="spellEnd"/>
      <w:r w:rsidRPr="007122AB">
        <w:rPr>
          <w:color w:val="000000" w:themeColor="text1"/>
          <w:sz w:val="16"/>
          <w:szCs w:val="16"/>
        </w:rPr>
        <w:t>, а также ремонт и восстановление квартир.</w:t>
      </w:r>
    </w:p>
    <w:p w14:paraId="5FDC7DC3"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5. Объединению ВЭСО закончить к 1 января 1932 г. строительство Нижегородского радиотелефонного завода, для чего Президиуму ВСНХ СССР выделить фонды строительных материалов для окончания строительства последнего квадрата (в 6 тыс. м2) и столярной мастерской завода, а также недостроенных 20 жилых домов для технического персонала и квалифицированных рабочих, перебрасываемых в Нижний [Новгород] с других заводов ВЭСО.</w:t>
      </w:r>
    </w:p>
    <w:p w14:paraId="28D19D53"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 xml:space="preserve">6. Выделить в IV квартале с. г. объединению ВЭСО валютный контингент &lt;…&gt; 496 тыс. руб. для обеспечения выпуска радиостанций импортным оборудованием и полуфабрикатами (оборудование, пьезокварц, </w:t>
      </w:r>
      <w:proofErr w:type="spellStart"/>
      <w:r w:rsidRPr="007122AB">
        <w:rPr>
          <w:color w:val="000000" w:themeColor="text1"/>
          <w:sz w:val="16"/>
          <w:szCs w:val="16"/>
        </w:rPr>
        <w:t>высокоомные</w:t>
      </w:r>
      <w:proofErr w:type="spellEnd"/>
      <w:r w:rsidRPr="007122AB">
        <w:rPr>
          <w:color w:val="000000" w:themeColor="text1"/>
          <w:sz w:val="16"/>
          <w:szCs w:val="16"/>
        </w:rPr>
        <w:t xml:space="preserve"> сопротивления, контрольно-измерительные приборы и др.).</w:t>
      </w:r>
    </w:p>
    <w:p w14:paraId="0C8D39D2"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Итого по ВЭСО валютных контингентов в IV квартале 1931 г. 496 тыс. руб. плюс оплата иностранных рабочих.</w:t>
      </w:r>
    </w:p>
    <w:p w14:paraId="20EFD767"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По объединению ВЭО</w:t>
      </w:r>
    </w:p>
    <w:p w14:paraId="2C27410B"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 xml:space="preserve">1. Для обеспечения выпуска 6 тыс. радиостанций </w:t>
      </w:r>
      <w:proofErr w:type="spellStart"/>
      <w:r w:rsidRPr="007122AB">
        <w:rPr>
          <w:color w:val="000000" w:themeColor="text1"/>
          <w:sz w:val="16"/>
          <w:szCs w:val="16"/>
        </w:rPr>
        <w:t>радиомашинами</w:t>
      </w:r>
      <w:proofErr w:type="spellEnd"/>
      <w:r w:rsidRPr="007122AB">
        <w:rPr>
          <w:color w:val="000000" w:themeColor="text1"/>
          <w:sz w:val="16"/>
          <w:szCs w:val="16"/>
        </w:rPr>
        <w:t xml:space="preserve"> обязать ВЭО ускорить намечаемое в 1932 г. расширение производства </w:t>
      </w:r>
      <w:proofErr w:type="spellStart"/>
      <w:r w:rsidRPr="007122AB">
        <w:rPr>
          <w:color w:val="000000" w:themeColor="text1"/>
          <w:sz w:val="16"/>
          <w:szCs w:val="16"/>
        </w:rPr>
        <w:t>радиомашин</w:t>
      </w:r>
      <w:proofErr w:type="spellEnd"/>
      <w:r w:rsidRPr="007122AB">
        <w:rPr>
          <w:color w:val="000000" w:themeColor="text1"/>
          <w:sz w:val="16"/>
          <w:szCs w:val="16"/>
        </w:rPr>
        <w:t xml:space="preserve"> на Московском электрозаводе, для чего немедленно, не позднее 1 ноября с. г., отпустить ВЭО распоряжением Президиума ВСНХ 600 тыс. руб., из коих 300 тыс. руб. – валютным контингентом в </w:t>
      </w:r>
      <w:proofErr w:type="spellStart"/>
      <w:r w:rsidRPr="007122AB">
        <w:rPr>
          <w:color w:val="000000" w:themeColor="text1"/>
          <w:sz w:val="16"/>
          <w:szCs w:val="16"/>
        </w:rPr>
        <w:t>IVквартале</w:t>
      </w:r>
      <w:proofErr w:type="spellEnd"/>
      <w:r w:rsidRPr="007122AB">
        <w:rPr>
          <w:color w:val="000000" w:themeColor="text1"/>
          <w:sz w:val="16"/>
          <w:szCs w:val="16"/>
        </w:rPr>
        <w:t xml:space="preserve"> с. г.</w:t>
      </w:r>
    </w:p>
    <w:p w14:paraId="78F7066E"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2. Обязать ВЭО форсировать строительство и оборудование вновь строящегося Саратовского завода щелочных аккумуляторов, а также выпустить в течение 1932 г. с этого завода щелочных батарей емкостью не менее 4 млн ампер-часов.</w:t>
      </w:r>
    </w:p>
    <w:p w14:paraId="37BE9615" w14:textId="77777777" w:rsidR="005B49AB" w:rsidRPr="007122AB" w:rsidRDefault="005B49AB" w:rsidP="007122AB">
      <w:pPr>
        <w:pStyle w:val="ae"/>
        <w:spacing w:before="0" w:after="0"/>
        <w:jc w:val="both"/>
        <w:rPr>
          <w:color w:val="000000" w:themeColor="text1"/>
          <w:sz w:val="16"/>
          <w:szCs w:val="16"/>
        </w:rPr>
      </w:pPr>
      <w:r w:rsidRPr="007122AB">
        <w:rPr>
          <w:color w:val="000000" w:themeColor="text1"/>
          <w:sz w:val="16"/>
          <w:szCs w:val="16"/>
        </w:rPr>
        <w:t>3. Обязать Президиум ВСНХ СССР обеспечить строительство Саратовского завода щелочных аккумуляторов необходимыми стройматериалами для обеспечения пуска этого завода не позднее первой половины 1932 г. Разрешить заказ заграничного оборудования для этого завода в IV квартале с. г. на сумму 200 тыс. руб., для чего выделить в IV квартале с. г. соответствующий валютный контингент. Строительство завода включить в число ударных строек» (15736).</w:t>
      </w:r>
    </w:p>
    <w:p w14:paraId="259081AA" w14:textId="77777777" w:rsidR="005B49AB" w:rsidRPr="007122AB" w:rsidRDefault="005B49AB" w:rsidP="007122AB">
      <w:pPr>
        <w:pStyle w:val="ae"/>
        <w:spacing w:before="0" w:after="0"/>
        <w:jc w:val="both"/>
        <w:rPr>
          <w:color w:val="000000" w:themeColor="text1"/>
          <w:sz w:val="16"/>
          <w:szCs w:val="16"/>
        </w:rPr>
      </w:pPr>
    </w:p>
    <w:p w14:paraId="33CB2F0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4D7D1F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9EFA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16 и 22 октября 1931. Из протокола заседания Политбюро № 69, 1931 г.</w:t>
      </w:r>
    </w:p>
    <w:p w14:paraId="0BF522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вербовке за границей специалистов и рабочих для промышленности </w:t>
      </w:r>
      <w:proofErr w:type="spellStart"/>
      <w:r w:rsidRPr="007122AB">
        <w:rPr>
          <w:rFonts w:ascii="Times New Roman" w:hAnsi="Times New Roman"/>
          <w:color w:val="000000" w:themeColor="text1"/>
          <w:sz w:val="16"/>
          <w:szCs w:val="16"/>
        </w:rPr>
        <w:t>Наркомснаба</w:t>
      </w:r>
      <w:proofErr w:type="spellEnd"/>
      <w:r w:rsidRPr="007122AB">
        <w:rPr>
          <w:rFonts w:ascii="Times New Roman" w:hAnsi="Times New Roman"/>
          <w:color w:val="000000" w:themeColor="text1"/>
          <w:sz w:val="16"/>
          <w:szCs w:val="16"/>
        </w:rPr>
        <w:t xml:space="preserve"> СССР </w:t>
      </w:r>
    </w:p>
    <w:p w14:paraId="5632DF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а) План вербовки 775 специалистов, мастеров и квалифицированных рабочих за границей на условиях оплаты их в советской валюте утвердить. </w:t>
      </w:r>
    </w:p>
    <w:p w14:paraId="78C2D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Для организации вербовки по европейским странам </w:t>
      </w:r>
      <w:proofErr w:type="spellStart"/>
      <w:r w:rsidRPr="007122AB">
        <w:rPr>
          <w:rFonts w:ascii="Times New Roman" w:hAnsi="Times New Roman"/>
          <w:color w:val="000000" w:themeColor="text1"/>
          <w:sz w:val="16"/>
          <w:szCs w:val="16"/>
        </w:rPr>
        <w:t>Наркомснабу</w:t>
      </w:r>
      <w:proofErr w:type="spellEnd"/>
      <w:r w:rsidRPr="007122AB">
        <w:rPr>
          <w:rFonts w:ascii="Times New Roman" w:hAnsi="Times New Roman"/>
          <w:color w:val="000000" w:themeColor="text1"/>
          <w:sz w:val="16"/>
          <w:szCs w:val="16"/>
        </w:rPr>
        <w:t xml:space="preserve"> командировать в Берлин своих представителей... </w:t>
      </w:r>
    </w:p>
    <w:p w14:paraId="64F053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 Распространить на </w:t>
      </w:r>
      <w:proofErr w:type="spellStart"/>
      <w:r w:rsidRPr="007122AB">
        <w:rPr>
          <w:rFonts w:ascii="Times New Roman" w:hAnsi="Times New Roman"/>
          <w:color w:val="000000" w:themeColor="text1"/>
          <w:sz w:val="16"/>
          <w:szCs w:val="16"/>
        </w:rPr>
        <w:t>иноспециалистов</w:t>
      </w:r>
      <w:proofErr w:type="spellEnd"/>
      <w:r w:rsidRPr="007122AB">
        <w:rPr>
          <w:rFonts w:ascii="Times New Roman" w:hAnsi="Times New Roman"/>
          <w:color w:val="000000" w:themeColor="text1"/>
          <w:sz w:val="16"/>
          <w:szCs w:val="16"/>
        </w:rPr>
        <w:t xml:space="preserve"> и рабочих, приглашаемых в систему </w:t>
      </w:r>
      <w:proofErr w:type="spellStart"/>
      <w:r w:rsidRPr="007122AB">
        <w:rPr>
          <w:rFonts w:ascii="Times New Roman" w:hAnsi="Times New Roman"/>
          <w:color w:val="000000" w:themeColor="text1"/>
          <w:sz w:val="16"/>
          <w:szCs w:val="16"/>
        </w:rPr>
        <w:t>Наркомснаба</w:t>
      </w:r>
      <w:proofErr w:type="spellEnd"/>
      <w:r w:rsidRPr="007122AB">
        <w:rPr>
          <w:rFonts w:ascii="Times New Roman" w:hAnsi="Times New Roman"/>
          <w:color w:val="000000" w:themeColor="text1"/>
          <w:sz w:val="16"/>
          <w:szCs w:val="16"/>
        </w:rPr>
        <w:t xml:space="preserve">, все льготы (увеличение норм ввоза вещей, своевременная доставка багажа и пр.), установленные специальным решением ЦК. </w:t>
      </w:r>
    </w:p>
    <w:p w14:paraId="72D131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Прекратить вербовку рабочих в Америке (11652).</w:t>
      </w:r>
    </w:p>
    <w:p w14:paraId="5E679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7B21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16 и 22 октября 1931. Из протокола заседания Политбюро № 70, 1931 г.</w:t>
      </w:r>
    </w:p>
    <w:p w14:paraId="7CC2E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тов. А. Гарри </w:t>
      </w:r>
    </w:p>
    <w:p w14:paraId="5C2C8C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Поручить тов. Кагановичу сообщить гр. Гарри (герой гражданской войны, журналист, писатель), что ЦК поручено ОГПУ пересмотреть его дело. </w:t>
      </w:r>
    </w:p>
    <w:p w14:paraId="341A1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Предложить ОГПУ в двухдневный срок пересмотреть дело А. Гарри и выдать ему бумагу следующего содержания: </w:t>
      </w:r>
    </w:p>
    <w:p w14:paraId="66E8F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Обвинение А. Гарри в шпионаже считать недоказанным. </w:t>
      </w:r>
    </w:p>
    <w:p w14:paraId="12386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Считать А. Гарри вполне реабилитированным. </w:t>
      </w:r>
    </w:p>
    <w:p w14:paraId="1852DE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Высылку в отношении А. Гарри отменить (в 1938 году он был репрессирован вновь) (11652).</w:t>
      </w:r>
    </w:p>
    <w:p w14:paraId="3E1E36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1AB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октября 1931 Из докладной записки </w:t>
      </w:r>
      <w:proofErr w:type="spellStart"/>
      <w:r w:rsidRPr="007122AB">
        <w:rPr>
          <w:rFonts w:ascii="Times New Roman" w:hAnsi="Times New Roman"/>
          <w:color w:val="000000" w:themeColor="text1"/>
          <w:sz w:val="16"/>
          <w:szCs w:val="16"/>
        </w:rPr>
        <w:t>нач.ОГПУ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Г.Ягоды</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И.Сталину</w:t>
      </w:r>
      <w:proofErr w:type="spellEnd"/>
      <w:r w:rsidRPr="007122AB">
        <w:rPr>
          <w:rFonts w:ascii="Times New Roman" w:hAnsi="Times New Roman"/>
          <w:color w:val="000000" w:themeColor="text1"/>
          <w:sz w:val="16"/>
          <w:szCs w:val="16"/>
        </w:rPr>
        <w:t xml:space="preserve"> следует, что за два года раскулачивания (1930-1931) на север и в отдаленные районы страны выселено 1 158 986 человек. В их числе 459 916 детей. Всего же выселено и переселено 1 637 740 человек (10687).</w:t>
      </w:r>
    </w:p>
    <w:p w14:paraId="24F50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2BEA7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7CDE4D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78AF54"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октября 1931 - Первый полёт </w:t>
      </w:r>
      <w:proofErr w:type="spellStart"/>
      <w:r w:rsidRPr="007122AB">
        <w:rPr>
          <w:rFonts w:ascii="Times New Roman" w:hAnsi="Times New Roman"/>
          <w:color w:val="000000" w:themeColor="text1"/>
          <w:sz w:val="16"/>
          <w:szCs w:val="16"/>
        </w:rPr>
        <w:t>Gourdou</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Leseurre</w:t>
      </w:r>
      <w:proofErr w:type="spellEnd"/>
      <w:r w:rsidRPr="007122AB">
        <w:rPr>
          <w:rFonts w:ascii="Times New Roman" w:hAnsi="Times New Roman"/>
          <w:color w:val="000000" w:themeColor="text1"/>
          <w:sz w:val="16"/>
          <w:szCs w:val="16"/>
        </w:rPr>
        <w:t xml:space="preserve"> GL-430. Французский прототип палубного пикирующего бомбардировщика (33335).</w:t>
      </w:r>
    </w:p>
    <w:p w14:paraId="58EB0F0B" w14:textId="77777777" w:rsidR="00E92B50" w:rsidRPr="007122AB" w:rsidRDefault="00E92B50" w:rsidP="007122AB">
      <w:pPr>
        <w:spacing w:after="0" w:line="240" w:lineRule="auto"/>
        <w:jc w:val="both"/>
        <w:rPr>
          <w:rFonts w:ascii="Times New Roman" w:hAnsi="Times New Roman"/>
          <w:color w:val="000000" w:themeColor="text1"/>
          <w:sz w:val="16"/>
          <w:szCs w:val="16"/>
        </w:rPr>
      </w:pPr>
    </w:p>
    <w:p w14:paraId="30CFF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октября 1931 на заседании Совета Лиги наций обсуждалась агрессия Японии в Манчжурии (3481) и США приняли участие в этом обсуждении (3907,168).</w:t>
      </w:r>
    </w:p>
    <w:p w14:paraId="347A4C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C4B836" w14:textId="77777777" w:rsidR="00D2139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FDBC482" w14:textId="77777777" w:rsidR="00D21393" w:rsidRPr="007122AB" w:rsidRDefault="00D2139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D0EA7B7"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октября в 1931 году вышло постановление СНК СССР об образовании Комитета резервов при Совете труда и обороны – первого в стране органа управления государственными материальными резервами, правопреемником которого является Федеральное агентство по государственным резервам (Росрезерв; образовано в 2004 г.) (14802).</w:t>
      </w:r>
    </w:p>
    <w:p w14:paraId="0644CDF5" w14:textId="77777777" w:rsidR="00D21393" w:rsidRPr="007122AB" w:rsidRDefault="00D21393" w:rsidP="007122AB">
      <w:pPr>
        <w:spacing w:after="0" w:line="240" w:lineRule="auto"/>
        <w:jc w:val="both"/>
        <w:rPr>
          <w:rFonts w:ascii="Times New Roman" w:hAnsi="Times New Roman"/>
          <w:color w:val="000000" w:themeColor="text1"/>
          <w:sz w:val="16"/>
          <w:szCs w:val="16"/>
        </w:rPr>
      </w:pPr>
    </w:p>
    <w:p w14:paraId="189DE58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C7A53D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7884E7"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октября 1931 первое испытание ВМС США программы взлета прототипа истребителя </w:t>
      </w:r>
      <w:proofErr w:type="spellStart"/>
      <w:r w:rsidRPr="007122AB">
        <w:rPr>
          <w:rFonts w:ascii="Times New Roman" w:hAnsi="Times New Roman"/>
          <w:color w:val="000000" w:themeColor="text1"/>
          <w:sz w:val="16"/>
          <w:szCs w:val="16"/>
        </w:rPr>
        <w:t>Curtiss</w:t>
      </w:r>
      <w:proofErr w:type="spellEnd"/>
      <w:r w:rsidRPr="007122AB">
        <w:rPr>
          <w:rFonts w:ascii="Times New Roman" w:hAnsi="Times New Roman"/>
          <w:color w:val="000000" w:themeColor="text1"/>
          <w:sz w:val="16"/>
          <w:szCs w:val="16"/>
        </w:rPr>
        <w:t xml:space="preserve"> XF9C-1 с дирижабля USS </w:t>
      </w:r>
      <w:proofErr w:type="spellStart"/>
      <w:r w:rsidRPr="007122AB">
        <w:rPr>
          <w:rFonts w:ascii="Times New Roman" w:hAnsi="Times New Roman"/>
          <w:color w:val="000000" w:themeColor="text1"/>
          <w:sz w:val="16"/>
          <w:szCs w:val="16"/>
        </w:rPr>
        <w:t>Лос</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Анджелес</w:t>
      </w:r>
      <w:proofErr w:type="spellEnd"/>
      <w:r w:rsidRPr="007122AB">
        <w:rPr>
          <w:rFonts w:ascii="Times New Roman" w:hAnsi="Times New Roman"/>
          <w:color w:val="000000" w:themeColor="text1"/>
          <w:sz w:val="16"/>
          <w:szCs w:val="16"/>
        </w:rPr>
        <w:t xml:space="preserve"> (ZR-3) (20804).</w:t>
      </w:r>
    </w:p>
    <w:p w14:paraId="6F8F3AAD" w14:textId="77777777" w:rsidR="00E92B50" w:rsidRPr="007122AB" w:rsidRDefault="00E92B50" w:rsidP="007122AB">
      <w:pPr>
        <w:spacing w:after="0" w:line="240" w:lineRule="auto"/>
        <w:jc w:val="both"/>
        <w:rPr>
          <w:rFonts w:ascii="Times New Roman" w:hAnsi="Times New Roman"/>
          <w:color w:val="000000" w:themeColor="text1"/>
          <w:sz w:val="16"/>
          <w:szCs w:val="16"/>
        </w:rPr>
      </w:pPr>
    </w:p>
    <w:p w14:paraId="64CAF7DB"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октября 1931 года — первый полёт бомбардировщика </w:t>
      </w:r>
      <w:proofErr w:type="spellStart"/>
      <w:r w:rsidRPr="007122AB">
        <w:rPr>
          <w:rFonts w:ascii="Times New Roman" w:hAnsi="Times New Roman"/>
          <w:color w:val="000000" w:themeColor="text1"/>
          <w:sz w:val="16"/>
          <w:szCs w:val="16"/>
        </w:rPr>
        <w:t>Dornier</w:t>
      </w:r>
      <w:proofErr w:type="spellEnd"/>
      <w:r w:rsidRPr="007122AB">
        <w:rPr>
          <w:rFonts w:ascii="Times New Roman" w:hAnsi="Times New Roman"/>
          <w:color w:val="000000" w:themeColor="text1"/>
          <w:sz w:val="16"/>
          <w:szCs w:val="16"/>
        </w:rPr>
        <w:t xml:space="preserve"> Do Y. /Германия/</w:t>
      </w:r>
    </w:p>
    <w:p w14:paraId="599373E2"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 году компания </w:t>
      </w:r>
      <w:proofErr w:type="spellStart"/>
      <w:r w:rsidRPr="007122AB">
        <w:rPr>
          <w:rFonts w:ascii="Times New Roman" w:hAnsi="Times New Roman"/>
          <w:color w:val="000000" w:themeColor="text1"/>
          <w:sz w:val="16"/>
          <w:szCs w:val="16"/>
        </w:rPr>
        <w:t>Dornier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Flugzeugwerke</w:t>
      </w:r>
      <w:proofErr w:type="spellEnd"/>
      <w:r w:rsidRPr="007122AB">
        <w:rPr>
          <w:rFonts w:ascii="Times New Roman" w:hAnsi="Times New Roman"/>
          <w:color w:val="000000" w:themeColor="text1"/>
          <w:sz w:val="16"/>
          <w:szCs w:val="16"/>
        </w:rPr>
        <w:t> и конструктор Клод Дорнье (</w:t>
      </w:r>
      <w:proofErr w:type="spellStart"/>
      <w:r w:rsidRPr="007122AB">
        <w:rPr>
          <w:rFonts w:ascii="Times New Roman" w:hAnsi="Times New Roman"/>
          <w:color w:val="000000" w:themeColor="text1"/>
          <w:sz w:val="16"/>
          <w:szCs w:val="16"/>
        </w:rPr>
        <w:t>Claude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Dornier</w:t>
      </w:r>
      <w:proofErr w:type="spellEnd"/>
      <w:r w:rsidRPr="007122AB">
        <w:rPr>
          <w:rFonts w:ascii="Times New Roman" w:hAnsi="Times New Roman"/>
          <w:color w:val="000000" w:themeColor="text1"/>
          <w:sz w:val="16"/>
          <w:szCs w:val="16"/>
        </w:rPr>
        <w:t xml:space="preserve">) начали работу над новым самолётом. Он задумывался как дальнейшее развитие бомбардировщика Do P. Из-за ограничений Версальского мирного договора самолёт представили как грузо-пассажирский. Но проектом заинтересовалось Королевство Югославии, искавшее бомбардировщики для своих ВВС. Так самолёт получил своё обозначение — Do Y (Y — </w:t>
      </w:r>
      <w:proofErr w:type="spellStart"/>
      <w:r w:rsidRPr="007122AB">
        <w:rPr>
          <w:rFonts w:ascii="Times New Roman" w:hAnsi="Times New Roman"/>
          <w:color w:val="000000" w:themeColor="text1"/>
          <w:sz w:val="16"/>
          <w:szCs w:val="16"/>
        </w:rPr>
        <w:t>Yougoslavie</w:t>
      </w:r>
      <w:proofErr w:type="spellEnd"/>
      <w:r w:rsidRPr="007122AB">
        <w:rPr>
          <w:rFonts w:ascii="Times New Roman" w:hAnsi="Times New Roman"/>
          <w:color w:val="000000" w:themeColor="text1"/>
          <w:sz w:val="16"/>
          <w:szCs w:val="16"/>
        </w:rPr>
        <w:t>).</w:t>
      </w:r>
    </w:p>
    <w:p w14:paraId="08D19174"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 был несуразный цельнометаллический высокоплан с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 2 × двигателя </w:t>
      </w:r>
      <w:proofErr w:type="spellStart"/>
      <w:r w:rsidRPr="007122AB">
        <w:rPr>
          <w:rFonts w:ascii="Times New Roman" w:hAnsi="Times New Roman"/>
          <w:color w:val="000000" w:themeColor="text1"/>
          <w:sz w:val="16"/>
          <w:szCs w:val="16"/>
        </w:rPr>
        <w:t>Gnome-Rhône</w:t>
      </w:r>
      <w:proofErr w:type="spellEnd"/>
      <w:r w:rsidRPr="007122AB">
        <w:rPr>
          <w:rFonts w:ascii="Times New Roman" w:hAnsi="Times New Roman"/>
          <w:color w:val="000000" w:themeColor="text1"/>
          <w:sz w:val="16"/>
          <w:szCs w:val="16"/>
        </w:rPr>
        <w:t xml:space="preserve"> 9Kers (600 л.с.) были установлены в крыльевых </w:t>
      </w:r>
      <w:proofErr w:type="spellStart"/>
      <w:r w:rsidRPr="007122AB">
        <w:rPr>
          <w:rFonts w:ascii="Times New Roman" w:hAnsi="Times New Roman"/>
          <w:color w:val="000000" w:themeColor="text1"/>
          <w:sz w:val="16"/>
          <w:szCs w:val="16"/>
        </w:rPr>
        <w:t>мотогондолах</w:t>
      </w:r>
      <w:proofErr w:type="spellEnd"/>
      <w:r w:rsidRPr="007122AB">
        <w:rPr>
          <w:rFonts w:ascii="Times New Roman" w:hAnsi="Times New Roman"/>
          <w:color w:val="000000" w:themeColor="text1"/>
          <w:sz w:val="16"/>
          <w:szCs w:val="16"/>
        </w:rPr>
        <w:t>, ещё один разместили сверху фюзеляжа. Максимальная скорость — 300 км/ч, дальность полёта — 1500 км. Вооружение — 5 × 7,7-мм пулемётов + 1,2 тонны бомб.</w:t>
      </w:r>
    </w:p>
    <w:p w14:paraId="6AC5B547" w14:textId="77777777" w:rsidR="00E92B50" w:rsidRPr="007122AB" w:rsidRDefault="00E92B5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построили 4 бомбардировщика Do Y. Они стояли на вооружении Королевских ВВС Югославии до 1939 года. Позднее были переоборудованы в транспортные самолёты (22300).</w:t>
      </w:r>
    </w:p>
    <w:p w14:paraId="3DC85017" w14:textId="77777777" w:rsidR="00E92B50" w:rsidRPr="007122AB" w:rsidRDefault="00E92B50" w:rsidP="007122AB">
      <w:pPr>
        <w:spacing w:after="0" w:line="240" w:lineRule="auto"/>
        <w:jc w:val="both"/>
        <w:rPr>
          <w:rFonts w:ascii="Times New Roman" w:hAnsi="Times New Roman"/>
          <w:color w:val="000000" w:themeColor="text1"/>
          <w:sz w:val="16"/>
          <w:szCs w:val="16"/>
        </w:rPr>
      </w:pPr>
    </w:p>
    <w:p w14:paraId="7BF022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октября 1931 Аль Капоне был приговорен к 11 годам тюрьмы за уклонение от налогов (3263,588) - единственное преступление, которое удалось доказать. (4962).</w:t>
      </w:r>
    </w:p>
    <w:p w14:paraId="46683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983A28" w14:textId="77777777" w:rsidR="00B44E92" w:rsidRPr="007122AB" w:rsidRDefault="00B44E92"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ночь с 17 на 18 октября 1931 г. Адольф Гитлер и его сподвижники провел грандиозный массовый марш 100.000 нацистов в Брауншвейге (17325).</w:t>
      </w:r>
    </w:p>
    <w:p w14:paraId="15FBD039" w14:textId="77777777" w:rsidR="00B44E92" w:rsidRPr="007122AB" w:rsidRDefault="00B44E92" w:rsidP="007122AB">
      <w:pPr>
        <w:autoSpaceDE w:val="0"/>
        <w:autoSpaceDN w:val="0"/>
        <w:adjustRightInd w:val="0"/>
        <w:spacing w:after="0" w:line="240" w:lineRule="auto"/>
        <w:jc w:val="both"/>
        <w:rPr>
          <w:rFonts w:ascii="Times New Roman" w:hAnsi="Times New Roman"/>
          <w:color w:val="000000" w:themeColor="text1"/>
          <w:sz w:val="16"/>
          <w:szCs w:val="16"/>
        </w:rPr>
      </w:pPr>
    </w:p>
    <w:p w14:paraId="786FDD51" w14:textId="77777777" w:rsidR="00157036" w:rsidRPr="007122AB" w:rsidRDefault="0015703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68A589F" w14:textId="77777777" w:rsidR="00157036" w:rsidRPr="007122AB" w:rsidRDefault="0015703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476B0B1" w14:textId="77777777" w:rsidR="00157036" w:rsidRPr="007122AB" w:rsidRDefault="0015703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18 октября 1931 г.</w:t>
      </w:r>
    </w:p>
    <w:p w14:paraId="4865438D" w14:textId="77777777" w:rsidR="00157036" w:rsidRPr="007122AB" w:rsidRDefault="0015703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Приказ об организации режима работы по ОКБ № 11. 18 октября 1931 г.</w:t>
      </w:r>
    </w:p>
    <w:p w14:paraId="6FDD5C79" w14:textId="77777777" w:rsidR="00157036" w:rsidRPr="007122AB" w:rsidRDefault="0015703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A318F83"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A5B4A4F" w14:textId="77777777" w:rsidR="00157036" w:rsidRPr="007122AB" w:rsidRDefault="0015703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B3EC1F8"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104-103</w:t>
      </w:r>
    </w:p>
    <w:p w14:paraId="51A417F1" w14:textId="77777777" w:rsidR="00157036" w:rsidRPr="007122AB" w:rsidRDefault="00157036" w:rsidP="007122AB">
      <w:pPr>
        <w:pStyle w:val="rteright"/>
        <w:spacing w:before="0" w:after="0"/>
        <w:jc w:val="both"/>
        <w:rPr>
          <w:color w:val="000000" w:themeColor="text1"/>
          <w:sz w:val="16"/>
          <w:szCs w:val="16"/>
        </w:rPr>
      </w:pPr>
      <w:r w:rsidRPr="007122AB">
        <w:rPr>
          <w:color w:val="000000" w:themeColor="text1"/>
          <w:sz w:val="16"/>
          <w:szCs w:val="16"/>
        </w:rPr>
        <w:t>от 18 октября 1931 г.</w:t>
      </w:r>
    </w:p>
    <w:p w14:paraId="1F375204"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ПРИКАЗАНИЕ</w:t>
      </w:r>
    </w:p>
    <w:p w14:paraId="285238A6"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ПО ОКБ № 11 ЭКУ ОГПУ</w:t>
      </w:r>
    </w:p>
    <w:p w14:paraId="7553FFEF"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 xml:space="preserve">1.  В ОКБ пропускаются </w:t>
      </w:r>
      <w:proofErr w:type="spellStart"/>
      <w:r w:rsidRPr="007122AB">
        <w:rPr>
          <w:color w:val="000000" w:themeColor="text1"/>
          <w:sz w:val="16"/>
          <w:szCs w:val="16"/>
        </w:rPr>
        <w:t>безпрепятственно</w:t>
      </w:r>
      <w:proofErr w:type="spellEnd"/>
      <w:r w:rsidRPr="007122AB">
        <w:rPr>
          <w:color w:val="000000" w:themeColor="text1"/>
          <w:sz w:val="16"/>
          <w:szCs w:val="16"/>
        </w:rPr>
        <w:t xml:space="preserve"> ПРЕДСЕДАТЕЛЬ, ЗАМ. ПРЕД., ЧЛЕНЫ КОЛЛЕГИИ ОГПУ. НАЧАЛЬНИК ЭКУ ОГПУ и его ПОМОЩНИКИ, НАЧ. ТЕХ. ОТД. ЭКУ ОГПУ тов. ГОРЯНОВ, его помощник тов. БЕДНЯКОВ, НАЧАЛЬНИК ТЮРЕМНОГО ОТДЕЛА ОГПУ тов. ПОПОВ, его помощник тов. МИРОНОВ, КОМЕНДАНТ всех ОКБ тов. БУДРИС, его помощник тов. НИКИТИН, Уполномоченный ТЕХ. ОТД. Тов. ЗМУДА, его помощник тов. ШКОЛЬНИК по предъявлению удостоверения личностей, а также доктор Санчасти ОГПУ тов. МАРИУПОЛЬСКИЙ (вместе с комендантом).</w:t>
      </w:r>
    </w:p>
    <w:p w14:paraId="328E668A"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lastRenderedPageBreak/>
        <w:t>2.  Разовые пропуска выдаются исключительно и действительны только за подписью НАЧ. ТЕХ. ОТД. тов. ГОРЯНОВА и НАЧ. ОКБ № 11 тов. НАУМИНА.</w:t>
      </w:r>
    </w:p>
    <w:p w14:paraId="1C009992"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3.  Постовой вахтер пропускает и выпускает из ОКБ с вещами по особым пропускам за подписью НАЧ. ОКБ или КОМЕНДАНТА.</w:t>
      </w:r>
    </w:p>
    <w:p w14:paraId="5E103CEB"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4.   Посторонних лиц ни в коем случае не впускать в ОКБ.</w:t>
      </w:r>
    </w:p>
    <w:p w14:paraId="2FFDFD22"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5.  Как правило посещать свидания имеют право: жена, мать, отец, малолетние дети, остальные родственники по особому разрешению НАЧ. ОКБ.</w:t>
      </w:r>
    </w:p>
    <w:p w14:paraId="3DE4BB32"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6.  В цеха, где будет производится работа[,] осужденных выдавать по распоряжению НАЧ. ОКБ тов. НАУМИНА. Разговоры с рабочими со стороны осужденных строго воспрещаются, за исключением чисто деловых связанных с данной работой.</w:t>
      </w:r>
    </w:p>
    <w:p w14:paraId="0AEE4FB3"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 xml:space="preserve">7.  Комендантом ОКБ назначается тов. ПУГОВКИН, которому подчинена охрана ОКБ и все его указания по части охраны </w:t>
      </w:r>
      <w:proofErr w:type="spellStart"/>
      <w:r w:rsidRPr="007122AB">
        <w:rPr>
          <w:color w:val="000000" w:themeColor="text1"/>
          <w:sz w:val="16"/>
          <w:szCs w:val="16"/>
        </w:rPr>
        <w:t>безприкословно</w:t>
      </w:r>
      <w:proofErr w:type="spellEnd"/>
      <w:r w:rsidRPr="007122AB">
        <w:rPr>
          <w:color w:val="000000" w:themeColor="text1"/>
          <w:sz w:val="16"/>
          <w:szCs w:val="16"/>
        </w:rPr>
        <w:t xml:space="preserve"> выполнять.</w:t>
      </w:r>
    </w:p>
    <w:p w14:paraId="73743408"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РАСПОРЯДОК ДНЯ В ОКБ № 11</w:t>
      </w:r>
    </w:p>
    <w:p w14:paraId="4BFD04FA"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(рабочий день)</w:t>
      </w:r>
    </w:p>
    <w:p w14:paraId="44B4BE37"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Подъем................................................ 7 часов утра</w:t>
      </w:r>
    </w:p>
    <w:p w14:paraId="64F22430"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Умывание, чай, прогулка....................от 7 до 8 час.</w:t>
      </w:r>
    </w:p>
    <w:p w14:paraId="386327F8"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РАБОТА............................................... 8-12 час.</w:t>
      </w:r>
    </w:p>
    <w:p w14:paraId="4F012976"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Обед.................................................... 12-13 час.</w:t>
      </w:r>
    </w:p>
    <w:p w14:paraId="7AA081EF"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Отдых и прогулка.................................13-14 час.</w:t>
      </w:r>
    </w:p>
    <w:p w14:paraId="7AA5A781"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Работа.................................................. 14-17 час.</w:t>
      </w:r>
    </w:p>
    <w:p w14:paraId="4017FF77"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Ужин, чай и отдых................................17-18 час.</w:t>
      </w:r>
    </w:p>
    <w:p w14:paraId="73B05EF4"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Работа.................................................. 18-22 час.</w:t>
      </w:r>
    </w:p>
    <w:p w14:paraId="5037B7F7"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Чтение газет и литературы.................. 22-23 час.</w:t>
      </w:r>
    </w:p>
    <w:p w14:paraId="04996C5B"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Сон....................................................... 23 часа.</w:t>
      </w:r>
    </w:p>
    <w:p w14:paraId="0CDE8893"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1. Как правило посещать свидание имеют право: жена, мать, отец, малолетние дети, остальные все родственники по особому разрешению НАЧ. ОКБ.</w:t>
      </w:r>
    </w:p>
    <w:p w14:paraId="502A14A4"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2.  Обращение с личными заявлениями бытового порядка происходит через старосту общежития ОКБ.</w:t>
      </w:r>
    </w:p>
    <w:p w14:paraId="7966BBFB"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3.  Дни отдыха 5, 11, 17, 23 и 29 каждого месяца. В эти дни происходят свидания с родными.</w:t>
      </w:r>
    </w:p>
    <w:p w14:paraId="7546754E"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4.  Письма разрешается адресовать только близким родственникам один раз в шестидневку.</w:t>
      </w:r>
    </w:p>
    <w:p w14:paraId="2B0F2B8C" w14:textId="77777777" w:rsidR="00157036" w:rsidRPr="007122AB" w:rsidRDefault="00157036" w:rsidP="007122AB">
      <w:pPr>
        <w:pStyle w:val="rtecenter"/>
        <w:spacing w:before="0" w:after="0"/>
        <w:jc w:val="both"/>
        <w:rPr>
          <w:color w:val="000000" w:themeColor="text1"/>
          <w:sz w:val="16"/>
          <w:szCs w:val="16"/>
        </w:rPr>
      </w:pPr>
      <w:r w:rsidRPr="007122AB">
        <w:rPr>
          <w:color w:val="000000" w:themeColor="text1"/>
          <w:sz w:val="16"/>
          <w:szCs w:val="16"/>
        </w:rPr>
        <w:t>(день отдыха)</w:t>
      </w:r>
    </w:p>
    <w:p w14:paraId="0006573B"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Подъем................................................ 8 час.</w:t>
      </w:r>
    </w:p>
    <w:p w14:paraId="0E4D1CD9"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Умывание, чай и прогулка................. 8-9 час.</w:t>
      </w:r>
    </w:p>
    <w:p w14:paraId="3F585CF7"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Обед.................................................... 12 час.</w:t>
      </w:r>
    </w:p>
    <w:p w14:paraId="3BF356B4"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Ужин.................................................... 17 час.</w:t>
      </w:r>
    </w:p>
    <w:p w14:paraId="0151F908"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Сон....................................................... 23 час.</w:t>
      </w:r>
    </w:p>
    <w:p w14:paraId="40CB5FE1"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 xml:space="preserve">Примечание: обработка </w:t>
      </w:r>
      <w:proofErr w:type="spellStart"/>
      <w:r w:rsidRPr="007122AB">
        <w:rPr>
          <w:color w:val="000000" w:themeColor="text1"/>
          <w:sz w:val="16"/>
          <w:szCs w:val="16"/>
        </w:rPr>
        <w:t>технич</w:t>
      </w:r>
      <w:proofErr w:type="spellEnd"/>
      <w:r w:rsidRPr="007122AB">
        <w:rPr>
          <w:color w:val="000000" w:themeColor="text1"/>
          <w:sz w:val="16"/>
          <w:szCs w:val="16"/>
        </w:rPr>
        <w:t>. литературы.</w:t>
      </w:r>
    </w:p>
    <w:p w14:paraId="552A0884" w14:textId="77777777" w:rsidR="00157036" w:rsidRPr="007122AB" w:rsidRDefault="00157036" w:rsidP="007122AB">
      <w:pPr>
        <w:pStyle w:val="rtejustify"/>
        <w:spacing w:before="0" w:after="0"/>
        <w:rPr>
          <w:color w:val="000000" w:themeColor="text1"/>
          <w:sz w:val="16"/>
          <w:szCs w:val="16"/>
        </w:rPr>
      </w:pPr>
      <w:r w:rsidRPr="007122AB">
        <w:rPr>
          <w:color w:val="000000" w:themeColor="text1"/>
          <w:sz w:val="16"/>
          <w:szCs w:val="16"/>
        </w:rPr>
        <w:t>Свидание как правило с 1 час. до 8 час. Если в указанное время свидание для родственников неудобно, то таковое может быть перенесено только по особому распоряжению НАЧ. ОКБ.</w:t>
      </w:r>
    </w:p>
    <w:p w14:paraId="489583B9" w14:textId="77777777" w:rsidR="00157036" w:rsidRPr="007122AB" w:rsidRDefault="00157036" w:rsidP="007122AB">
      <w:pPr>
        <w:pStyle w:val="ae"/>
        <w:spacing w:before="0" w:after="0"/>
        <w:jc w:val="both"/>
        <w:rPr>
          <w:color w:val="000000" w:themeColor="text1"/>
          <w:sz w:val="16"/>
          <w:szCs w:val="16"/>
        </w:rPr>
      </w:pPr>
      <w:r w:rsidRPr="007122AB">
        <w:rPr>
          <w:color w:val="000000" w:themeColor="text1"/>
          <w:sz w:val="16"/>
          <w:szCs w:val="16"/>
        </w:rPr>
        <w:t xml:space="preserve">НАЧ. ОКБ № 11 </w:t>
      </w:r>
      <w:proofErr w:type="spellStart"/>
      <w:r w:rsidRPr="007122AB">
        <w:rPr>
          <w:color w:val="000000" w:themeColor="text1"/>
          <w:sz w:val="16"/>
          <w:szCs w:val="16"/>
        </w:rPr>
        <w:t>Наумин</w:t>
      </w:r>
      <w:proofErr w:type="spellEnd"/>
    </w:p>
    <w:p w14:paraId="2AEB2CE5" w14:textId="77777777" w:rsidR="00157036" w:rsidRPr="007122AB" w:rsidRDefault="0015703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xml:space="preserve">. 1. Д. 2. Л. 104-103. Машинописный подлинник, подпись — автограф. Ниже подписи написано рукой </w:t>
      </w:r>
      <w:proofErr w:type="spellStart"/>
      <w:r w:rsidRPr="007122AB">
        <w:rPr>
          <w:rStyle w:val="af0"/>
          <w:i w:val="0"/>
          <w:color w:val="000000" w:themeColor="text1"/>
          <w:sz w:val="16"/>
          <w:szCs w:val="16"/>
        </w:rPr>
        <w:t>Наумина</w:t>
      </w:r>
      <w:proofErr w:type="spellEnd"/>
      <w:r w:rsidRPr="007122AB">
        <w:rPr>
          <w:rStyle w:val="af0"/>
          <w:i w:val="0"/>
          <w:color w:val="000000" w:themeColor="text1"/>
          <w:sz w:val="16"/>
          <w:szCs w:val="16"/>
        </w:rPr>
        <w:t xml:space="preserve"> «18/Х-31». На Л. 104 вверху слева рукописная помета простым карандашом «ОКБ ОГПУ 18/Х» (19078).</w:t>
      </w:r>
    </w:p>
    <w:p w14:paraId="1B261B1F" w14:textId="77777777" w:rsidR="00157036" w:rsidRPr="007122AB" w:rsidRDefault="00157036" w:rsidP="007122AB">
      <w:pPr>
        <w:spacing w:after="0" w:line="240" w:lineRule="auto"/>
        <w:jc w:val="both"/>
        <w:rPr>
          <w:rFonts w:ascii="Times New Roman" w:hAnsi="Times New Roman"/>
          <w:color w:val="000000" w:themeColor="text1"/>
          <w:sz w:val="16"/>
          <w:szCs w:val="16"/>
        </w:rPr>
      </w:pPr>
    </w:p>
    <w:p w14:paraId="1FEB242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AD6558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B9C6E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октября 1931 </w:t>
      </w:r>
      <w:r w:rsidR="006A7867" w:rsidRPr="007122AB">
        <w:rPr>
          <w:rFonts w:ascii="Times New Roman" w:hAnsi="Times New Roman"/>
          <w:color w:val="000000" w:themeColor="text1"/>
          <w:sz w:val="16"/>
          <w:szCs w:val="16"/>
        </w:rPr>
        <w:t xml:space="preserve">на 84 году жизни </w:t>
      </w:r>
      <w:r w:rsidRPr="007122AB">
        <w:rPr>
          <w:rFonts w:ascii="Times New Roman" w:hAnsi="Times New Roman"/>
          <w:color w:val="000000" w:themeColor="text1"/>
          <w:sz w:val="16"/>
          <w:szCs w:val="16"/>
        </w:rPr>
        <w:t xml:space="preserve">умер Томас </w:t>
      </w:r>
      <w:proofErr w:type="spellStart"/>
      <w:r w:rsidRPr="007122AB">
        <w:rPr>
          <w:rFonts w:ascii="Times New Roman" w:hAnsi="Times New Roman"/>
          <w:color w:val="000000" w:themeColor="text1"/>
          <w:sz w:val="16"/>
          <w:szCs w:val="16"/>
        </w:rPr>
        <w:t>Эдиссон</w:t>
      </w:r>
      <w:proofErr w:type="spellEnd"/>
      <w:r w:rsidRPr="007122AB">
        <w:rPr>
          <w:rFonts w:ascii="Times New Roman" w:hAnsi="Times New Roman"/>
          <w:color w:val="000000" w:themeColor="text1"/>
          <w:sz w:val="16"/>
          <w:szCs w:val="16"/>
        </w:rPr>
        <w:t xml:space="preserve"> (1847) (3263,590).</w:t>
      </w:r>
    </w:p>
    <w:p w14:paraId="2B48A08F" w14:textId="77777777" w:rsidR="005C4849" w:rsidRPr="007122AB" w:rsidRDefault="006A7867"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При жизни своей Эдисон в США получил всего 1 098 патентов, и один патент был присужден ему уже после смерти. Количество патентов, выданных Эдисону в тридцати четырех других странах мира, достигает в круглых цифрах 3 тысяч. Это объясняется тем, что в огромном числе случаев патент на одно и то же изобретение брался в нескольких странах. Еще при жизни Эдисона американская лампочка накаливания получила такое распространение в США, что 86,5 миллиона человек (70 процентов всего населения) жили в квартирах с электрическим освещением. Число мощных силовых установок возросло до 3 900. Эти силовые станции давали электрическую энергию для 25 миллионов домов, жители которых пользовались 19,6 миллиона электрических утюгов, 17,5 миллиона радиоприемников, 7,4 миллиона стиральных машин, 7,5 миллиона электрических печей, 5,75 миллиона вентиляторов, 5,75 миллиона электрических кофейников, 3,2 миллиона нагревательных приборов, 1,9 миллиона электрических рефрижераторов (холодильников), 8,8 миллиона электрических плиток (17325).</w:t>
      </w:r>
    </w:p>
    <w:p w14:paraId="1C44694A" w14:textId="77777777" w:rsidR="006A7867" w:rsidRPr="007122AB" w:rsidRDefault="006A7867" w:rsidP="007122AB">
      <w:pPr>
        <w:autoSpaceDE w:val="0"/>
        <w:autoSpaceDN w:val="0"/>
        <w:adjustRightInd w:val="0"/>
        <w:spacing w:after="0" w:line="240" w:lineRule="auto"/>
        <w:jc w:val="both"/>
        <w:rPr>
          <w:rFonts w:ascii="Times New Roman" w:hAnsi="Times New Roman"/>
          <w:color w:val="000000" w:themeColor="text1"/>
          <w:sz w:val="16"/>
          <w:szCs w:val="16"/>
        </w:rPr>
      </w:pPr>
    </w:p>
    <w:p w14:paraId="0787FF7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760724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0D5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октября 1931 г. Первая опытная передача из Ленинграда по оптико-механической системе. Передача из Ленинградского радиоцентра (Песочная ул., 5) (11482).</w:t>
      </w:r>
    </w:p>
    <w:p w14:paraId="0CC02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319D24" w14:textId="77777777" w:rsidR="00157036" w:rsidRPr="007122AB" w:rsidRDefault="0015703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4664E11" w14:textId="77777777" w:rsidR="00157036" w:rsidRPr="007122AB" w:rsidRDefault="0015703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CD8970"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октября 1931 г.</w:t>
      </w:r>
    </w:p>
    <w:p w14:paraId="5F1E6E6B"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Ходатайство Ф. Ф. Новицкого на имя наркома по военно-морским делам СССР К. Е. Ворошилова с просьбой «о полной реабилитации». 20 октября 1931 г.</w:t>
      </w:r>
    </w:p>
    <w:p w14:paraId="2D7EEBD1"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w:t>
      </w:r>
    </w:p>
    <w:p w14:paraId="79298ECF"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588BE4"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октября 1931 г.</w:t>
      </w:r>
    </w:p>
    <w:p w14:paraId="41FB8ADC"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НАРОДНОМУ КОМИССАРУ ПО ВОЕННЫМ И МОРСКИМ ДЕЛАМ И ПРЕДСЕДАТЕЛЮ РЕВОЛЮЦИОННОГО ВОЕННОГО СОВЕТА СССР</w:t>
      </w:r>
    </w:p>
    <w:p w14:paraId="6A0AFC60"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ВОРОШИЛОВУ, К. Е.</w:t>
      </w:r>
    </w:p>
    <w:p w14:paraId="4280E2A4"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Федор Федорович НОВИЦКИЙ, 20 октября 1930 г. был арестован и, после 9-месячного заключения, освобожден 20 июля 1931 г. с объявлением мне условного приговора Коллегии ОГПУ от 18 июля о высылке на три года.</w:t>
      </w:r>
    </w:p>
    <w:p w14:paraId="65837967"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Приговор обоснован обвинением меня по ст. 58 </w:t>
      </w:r>
      <w:proofErr w:type="spellStart"/>
      <w:r w:rsidRPr="007122AB">
        <w:rPr>
          <w:rFonts w:ascii="Times New Roman" w:hAnsi="Times New Roman"/>
          <w:color w:val="000000" w:themeColor="text1"/>
          <w:sz w:val="16"/>
          <w:szCs w:val="16"/>
        </w:rPr>
        <w:t>п.п</w:t>
      </w:r>
      <w:proofErr w:type="spellEnd"/>
      <w:r w:rsidRPr="007122AB">
        <w:rPr>
          <w:rFonts w:ascii="Times New Roman" w:hAnsi="Times New Roman"/>
          <w:color w:val="000000" w:themeColor="text1"/>
          <w:sz w:val="16"/>
          <w:szCs w:val="16"/>
        </w:rPr>
        <w:t xml:space="preserve">. 10 и 11 У. К., т. е. в деяниях, предусматривающих </w:t>
      </w:r>
      <w:proofErr w:type="spellStart"/>
      <w:r w:rsidRPr="007122AB">
        <w:rPr>
          <w:rFonts w:ascii="Times New Roman" w:hAnsi="Times New Roman"/>
          <w:color w:val="000000" w:themeColor="text1"/>
          <w:sz w:val="16"/>
          <w:szCs w:val="16"/>
        </w:rPr>
        <w:t>контр-революционную</w:t>
      </w:r>
      <w:proofErr w:type="spellEnd"/>
      <w:r w:rsidRPr="007122AB">
        <w:rPr>
          <w:rFonts w:ascii="Times New Roman" w:hAnsi="Times New Roman"/>
          <w:color w:val="000000" w:themeColor="text1"/>
          <w:sz w:val="16"/>
          <w:szCs w:val="16"/>
        </w:rPr>
        <w:t xml:space="preserve"> агитацию и к.-р. организацию, имеющих целью свержение Советской власти.</w:t>
      </w:r>
    </w:p>
    <w:p w14:paraId="7FD55DB9"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подтверждение моего обвинения мне не было предъявлено никаких материалов и не было приведено ни одного уличающего меня преступного факта.</w:t>
      </w:r>
    </w:p>
    <w:p w14:paraId="37798555"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Народный Комиссар! В связи с постигшим меня столь неожиданно и незаслуженно величайшим позором, я, видя в Вас после смерти М. В. ФРУНЗЕ его приемника, не только как руководителя Красной Армии, т. е. высшего своего начальника, но и как человека, лично перед которым я несу особую моральную ответственность за свою и службу, и жизнь, — я считаю своей обязанностью доложить Вам свои мысли и переживания. Я был бы бесконечно счастлив, если бы Вы разрешили мне осуществить это лично, но, сознавая всю трудность выполнения такого моего желания, я позволяю себе обратиться к Вам письменно.</w:t>
      </w:r>
    </w:p>
    <w:p w14:paraId="4BFCE2EC"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Народный Комиссар! Я никогда не был преступником и никогда не совершал не только никаких преступлений, но не знаю на своей совести никаких проступков, которые могли хоть сколько-нибудь компрометировать меня как честного советского работника.</w:t>
      </w:r>
    </w:p>
    <w:p w14:paraId="3F9A57CB"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не был и не мог быть преступником хотя бы потому, что малейшую свою вину перед Советской властью я считал бы для себя святотатством и оскорблением священной для меня памяти М. В. ФРУНЗЕ, оказывавшего мне всегда такое неограниченное доверие; доверие это доходило до того, что однажды М. В. ФРУНЗЕ заявил, что, если бы он собственными глазами увидал какое-либо мое преступное деяние, он все равно не поверил бы тому, что видел сам. И я, смело глядя в глаза Вам и всем меня знавшим и мне верившим, могу сказать, что я никогда и ни в чем не нарушил этого доверия по сей день.</w:t>
      </w:r>
    </w:p>
    <w:p w14:paraId="1F26DB58"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не мог быть преступником и потому, что, имея полную возможность уклониться от последствий Октябрьского переворота, я добровольно и убежденно, не колеблясь ни одного мгновения, сразу пошел работать с Вами, большевиками, будучи глубоко уверен, что правда на Вашей стороне и что только Советская власть может дать счастье стране и построить новую, лучшую жизнь.</w:t>
      </w:r>
    </w:p>
    <w:p w14:paraId="30B97538"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не мог быть, наконец, преступником еще и потому, что после той ласки, трогательного внимания и доверия, которое лично Вы и тов. ЯГОДА оказали мне летом 1927 г. в связи с моим ходатайством за арестованную мою дочь, я прилагал все усилия, чтобы оказаться достойным такого ко мне доверия.</w:t>
      </w:r>
    </w:p>
    <w:p w14:paraId="55D2AC4D"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я, в годы чрезвычайных лишений, отсылая свой паек семье и буквально голодая сам (ФРУНЗЕ впоследствии признался, что у него сердце кровью обливалось, глядя, как я голодаю, но безропотно переношу все лишения), считал необходимым честно работать, то трудно предположить, чтобы я мог переменить свою психологию и идеологию в последующие годы — тогда, когда я, окруженный исключительным вниманием Советской власти, был прекрасно материально обеспечен.</w:t>
      </w:r>
    </w:p>
    <w:p w14:paraId="0E28E057"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Что же могло случиться такого, что привело меня, Федора Новицкого, которого, смело скажу, все сколько-нибудь знавшие, считали всегда вне всяких сомнений и подозрений, в тюрьму с обвинением в тягчайших государственных преступлениях.</w:t>
      </w:r>
    </w:p>
    <w:p w14:paraId="51331F54"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Народный Комиссар, я не знаю, но думаю, что в данном случае имело место то, что уже бывало и раньше, т. е. клевета, оговор — самый грубый, ужасающий и бессмысленный. Что это отчасти так, я имел случай убедиться лично за время моего заключения.</w:t>
      </w:r>
    </w:p>
    <w:p w14:paraId="3145BC6C"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Вся моя беда в том, что из руководящих &lt;работников&gt; ОГПУ лично меня никто раньше не знал и со мною совместно не работал; поэтому оговоры меня другими лицами должны были учитываться и естественно влекли за собой применение в отношении меня репрессий.</w:t>
      </w:r>
    </w:p>
    <w:p w14:paraId="5B5A4C15"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Будь жив М. В. ФРУНЗЕ, он мог бы многое рассказать и разъяснить в моем деле, ибо подметные записки, в коих, частью уговаривали меня бросить работу у большевиков, частью угрожали мне репрессиями и террором за эту службу, а также клевета и оговоры меня имели место и раньше и были известны М. В. ФРУНЗЕ.</w:t>
      </w:r>
    </w:p>
    <w:p w14:paraId="32259B18"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знаю, что я стоял раньше и, вероятно, стою и теперь поперек горла, как здесь, так и за рубежом, многим из тех, которые не могут мне простить моей преданной службы Советской власти с первого момента Революции.</w:t>
      </w:r>
    </w:p>
    <w:p w14:paraId="67BBBCE9"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Мне не могут забыть и простить мое видное участие в организации Красной армии, мое участие в разгроме Колчака под Бугурусланом, проведение мною Орской операции, имевшей прямыми последствиями, с одной стороны, пленение главных сил армейской группы колчаковского ген. Белова и оренбургских казаков атамана Дутова, а, с другой, — открытие сообщения с Туркестаном; мне не могут простить моей боевой работы в Туркестане, закончившейся изгнанием белых из Семиречья и из </w:t>
      </w:r>
      <w:proofErr w:type="spellStart"/>
      <w:r w:rsidRPr="007122AB">
        <w:rPr>
          <w:rFonts w:ascii="Times New Roman" w:hAnsi="Times New Roman"/>
          <w:color w:val="000000" w:themeColor="text1"/>
          <w:sz w:val="16"/>
          <w:szCs w:val="16"/>
        </w:rPr>
        <w:t>Закаспия</w:t>
      </w:r>
      <w:proofErr w:type="spellEnd"/>
      <w:r w:rsidRPr="007122AB">
        <w:rPr>
          <w:rFonts w:ascii="Times New Roman" w:hAnsi="Times New Roman"/>
          <w:color w:val="000000" w:themeColor="text1"/>
          <w:sz w:val="16"/>
          <w:szCs w:val="16"/>
        </w:rPr>
        <w:t>; наконец, мне не могут, по[-]видимому, простить моей ответственной работы в Военно-Воздушных Силах, работы, создавшей мне широкую популярность и огромный авторитет среди командного состава нашей Авиации, при условии, что значительная часть этого командного состава проходили через мои руки, являясь моими воспитанниками и учениками.</w:t>
      </w:r>
    </w:p>
    <w:p w14:paraId="284B24A4"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Кому-то нужно было свалить меня, ошельмовать и, так или иначе, устранить с той работы, на которой[,] по признанию моего начальства, я, на протяжении всей моей службы до кануна ареста включительно, приносил столь ощутимую пользу.</w:t>
      </w:r>
    </w:p>
    <w:p w14:paraId="65C973EE"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всем этом я лично усматриваю как-бы особый род вредительства, имеющего целью удаление с работы честных и полезных советских работников.</w:t>
      </w:r>
    </w:p>
    <w:p w14:paraId="7C714ED1"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если все это так, то я ощущаю особую горечь от сознания, что цель, которой добивались какие-то лица, как будто осуществлена, ибо я снят с работы и притом снят с тяжким позором; при этом осуществились, как будто, и делавшиеся мне предсказания и предупреждения, что я, как-бы я ни старался, как-бы честно ни работал, а рано или поздно меня сопричислят к врагам Советской власти и осудят за одно лишь мое прошлое.</w:t>
      </w:r>
    </w:p>
    <w:p w14:paraId="21E9B491"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Народный Комиссар! Простите мне все здесь излагаемое, но верьте, что мне слишком тяжело, особенно на склоне своих дней, переживать все то, что надо мною разразилось; мне слишком тяжело сознание, что я, отдавший все свои силы и помыслы на служение Революции, не будучи ни в чем повинен, оказался в рядах ее врагов.</w:t>
      </w:r>
    </w:p>
    <w:p w14:paraId="1DC0F645"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Народный Комиссар! Не хвалясь я могу сказать, что одной из основных черт моего характера всегда была скромность, благодаря которой я часто и много терял, как в жизни, так и на службе, но в настоящую минуту я вынужден, поневоле, хотя бы на миг, отбросить эту скромность для того, чтобы сказать, что я не знаю, много ли найдется лиц из числа беспартийных работников, а может быть даже и среди некоторых партийцев, которые могли бы конкурировать со мной, как в отношении честности и добросовестности в работе, так и в отношении заслуг перед Революцией, Партией и Советской страной. Между тем в обвинительном приговоре значится ст. 58 п. 10, трактующий о к.-р. агитации; да, я считаю, что я был агитатором, но не в том смысле, как это предусматривается У. К., а в том, что моя жизнь и служба с первого дня Революции и до нынешнего дня была сплошной живой агитацией за то, как надо жить и служить честному советскому работнику.</w:t>
      </w:r>
    </w:p>
    <w:p w14:paraId="0EB47582"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желая кого-либо обвинять или хулить, я все же не могу не чувствовать и не высказать всей горечи от сознания, что я позорно выброшен из среды советских работников, в частности из состава родной мне Красной армии, служить в которой я считал для себя всегда такой честью и гордостью, — в то время, когда многие и многие ни в какой мере не равноценные мне, ни по своим заслугам, ни по своей идеологии, продолжают служить, работать и пользоваться соответствующими привилегиями, авторитетом и уважением.</w:t>
      </w:r>
    </w:p>
    <w:p w14:paraId="3C0CB7CC"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Народный Комиссар! В соответствии со всем изложенным мною я обращаюсь к Вам с ходатайством о восстановлении моего доброго и честного имени; я прошу Вас об отмене позорного приказа об исключении меня по морально-политическим мотивам из состава Красной армии, той самой армии, над созданием которой я так много и так любовно работал с первого момента ее зарождения, в рядах которой я с оружием в руках боролся против всех наших врагов и в составе которой за 13 лет непрерывной своей службы я пользовался таким авторитетом, уважением и доверием.</w:t>
      </w:r>
    </w:p>
    <w:p w14:paraId="4EF3D018"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ходатайствую перед Вами о полной моей реабилитации, о возвращении мне воинского звания, и честно заслуженной моей бывшей высокой категории и о предоставлении мне возможности продолжать работать и впредь сообразно моим силам.</w:t>
      </w:r>
    </w:p>
    <w:p w14:paraId="7A831164"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Помимо моральных побуждений, особенно для меня мучительных и имеющих главенствующее значение в просьбе о моей реабилитации, я прошу также учесть и причины чисто материального порядка, ибо, не состоя на действительной военной службе и не получая персональной пенсии, а, будучи рядовым пенсионером, я, при современных условиях жизни, испытываю значительные стеснения в вопросах содержания семьи.</w:t>
      </w:r>
    </w:p>
    <w:p w14:paraId="113F2005"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заключении докладываю, что настоящее мое обращение к Вам, имеющее целью ходатайство о моей реабилитации и о возвращении на работу, делается мною с ведома и согласия ОГПУ, о чем мне было сообщено по телефону следователем Особого отдела тов. СВИРИДОВЫМ, А. С.</w:t>
      </w:r>
    </w:p>
    <w:p w14:paraId="3DBC0881"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Федор Федорович НОВИЦКИЙ</w:t>
      </w:r>
    </w:p>
    <w:p w14:paraId="719F088A"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октября 1931 г.</w:t>
      </w:r>
    </w:p>
    <w:p w14:paraId="7D178180"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МОСКВА, 34</w:t>
      </w:r>
    </w:p>
    <w:p w14:paraId="09D016F2"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Кропоткинский переулок, 25, кв. 4</w:t>
      </w:r>
    </w:p>
    <w:p w14:paraId="0F0CF6BE"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тел. 3-56-06</w:t>
      </w:r>
    </w:p>
    <w:p w14:paraId="7F628CAB"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ПИСАНО СОБСТВЕННОРУЧНО</w:t>
      </w:r>
    </w:p>
    <w:p w14:paraId="02BB7E6D"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 НОВИЦКИЙ</w:t>
      </w:r>
    </w:p>
    <w:p w14:paraId="6DEDCA47"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356. Л. 144-148. Машинописная копия того времени. На Л. 144 вверху справа машинописью «Копия»; на Л. 148 внизу формула «верно:» (заверяющая подпись отсутствует). На Л. 147 отчеркнут вертикальной чертой абзац «Я ходатайствую перед Вами о полной моей реабилитации, о возвращении мне воинского звания, и честно заслуженной моей бывшей высокой категории и о предоставлении мне возможности продолжать работать и впредь сообразно моим силам.», подчеркнуты слова «Я ходатайствую [...] воинского звания». На Л. 144 вверху слева — делопроизводственные штампы с вписанными от руки данными о размножении документа (25 экз.), рассылке (№ П2838) и датой ('«30.XI.1931 г.»), подпись-росчерк (неразборчиво); вверху справа — прямоугольный штамп «[</w:t>
      </w:r>
      <w:proofErr w:type="spellStart"/>
      <w:r w:rsidRPr="007122AB">
        <w:rPr>
          <w:rFonts w:ascii="Times New Roman" w:hAnsi="Times New Roman"/>
          <w:color w:val="000000" w:themeColor="text1"/>
          <w:sz w:val="16"/>
          <w:szCs w:val="16"/>
        </w:rPr>
        <w:t>Прот</w:t>
      </w:r>
      <w:proofErr w:type="spellEnd"/>
      <w:r w:rsidRPr="007122AB">
        <w:rPr>
          <w:rFonts w:ascii="Times New Roman" w:hAnsi="Times New Roman"/>
          <w:color w:val="000000" w:themeColor="text1"/>
          <w:sz w:val="16"/>
          <w:szCs w:val="16"/>
        </w:rPr>
        <w:t>. П.Б. № 78 п. 16]» (цифры вписаны от руки).</w:t>
      </w:r>
    </w:p>
    <w:p w14:paraId="5675E5DA" w14:textId="77777777" w:rsidR="00157036" w:rsidRPr="007122AB" w:rsidRDefault="0015703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деле (Л. 143) имеется препроводительная записка К. Е. Ворошилова: «т. Сталину. Дорогой Коба! Посылаю тебе копию письма Ф. Ф. Новицкого, того самого, который Рамзину дал оружие для террористического акта. Думаю, что старик искренен. Прошу прочесть. С </w:t>
      </w:r>
      <w:proofErr w:type="spellStart"/>
      <w:r w:rsidRPr="007122AB">
        <w:rPr>
          <w:rFonts w:ascii="Times New Roman" w:hAnsi="Times New Roman"/>
          <w:color w:val="000000" w:themeColor="text1"/>
          <w:sz w:val="16"/>
          <w:szCs w:val="16"/>
        </w:rPr>
        <w:t>прив</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етом</w:t>
      </w:r>
      <w:proofErr w:type="spellEnd"/>
      <w:r w:rsidRPr="007122AB">
        <w:rPr>
          <w:rFonts w:ascii="Times New Roman" w:hAnsi="Times New Roman"/>
          <w:color w:val="000000" w:themeColor="text1"/>
          <w:sz w:val="16"/>
          <w:szCs w:val="16"/>
        </w:rPr>
        <w:t>]. К. Ворошилов». Рукописный подлинник на листке из блокнота, автограф К. Е. Ворошилова. Дата отсутствует. Вверху листа — штампы с вписанными от руки данными о размножении документа (25 экз.), рассылке (№ П2838) и датой («30.XI. 1931 г.»), подпись-росчерк  (18675).</w:t>
      </w:r>
    </w:p>
    <w:p w14:paraId="03FFC7DF" w14:textId="77777777" w:rsidR="00157036" w:rsidRPr="007122AB" w:rsidRDefault="00157036" w:rsidP="007122AB">
      <w:pPr>
        <w:spacing w:after="0" w:line="240" w:lineRule="auto"/>
        <w:jc w:val="both"/>
        <w:rPr>
          <w:rFonts w:ascii="Times New Roman" w:hAnsi="Times New Roman"/>
          <w:color w:val="000000" w:themeColor="text1"/>
          <w:sz w:val="16"/>
          <w:szCs w:val="16"/>
        </w:rPr>
      </w:pPr>
    </w:p>
    <w:p w14:paraId="06A36A2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62C90E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6C062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октября 1931 в Испании был принят закон о защите Республики (3481).</w:t>
      </w:r>
    </w:p>
    <w:p w14:paraId="0D7DC4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F64B1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FAAC3E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29A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21 (11 - 346,40) октября по 13 ноября 1931 состоялись дополнительные гос. испытания АНТ-8 МДР-2. Летали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Н.Г.Кастанаев</w:t>
      </w:r>
      <w:proofErr w:type="spellEnd"/>
      <w:r w:rsidRPr="007122AB">
        <w:rPr>
          <w:rFonts w:ascii="Times New Roman" w:hAnsi="Times New Roman"/>
          <w:color w:val="000000" w:themeColor="text1"/>
          <w:sz w:val="16"/>
          <w:szCs w:val="16"/>
        </w:rPr>
        <w:t>, а первые были с 25 февраля по 20 марта 1931 (1017,212) и М.М.Г. (1852,48).</w:t>
      </w:r>
    </w:p>
    <w:p w14:paraId="39F27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9067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CF112C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69F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октября 1931 пред. 2-й секции Новосельцев подготовил отзыв на предложение Бродского по ж/д торпеде для ВВ и ОВ (2912).</w:t>
      </w:r>
    </w:p>
    <w:p w14:paraId="574B54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E2C4D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9A740F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73B5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октября 1931 г. УММ заключило с ВОАО договор «на разработку проекта, изготовление рабо</w:t>
      </w:r>
      <w:r w:rsidRPr="007122AB">
        <w:rPr>
          <w:rFonts w:ascii="Times New Roman" w:hAnsi="Times New Roman"/>
          <w:color w:val="000000" w:themeColor="text1"/>
          <w:sz w:val="16"/>
          <w:szCs w:val="16"/>
        </w:rPr>
        <w:softHyphen/>
        <w:t>чих чертежей и постройка двух опытных образцов 16-ти тонного танка типа Т-28. Корпуса образцов изготовляются железные. Срок изготовления чертеже 15/ХП-</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опытных образцов 1/У-32 г.» Ориентировочная стоимость работы должна была составить не более 400 000 рублей.</w:t>
      </w:r>
    </w:p>
    <w:p w14:paraId="5203AF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Утвержденная Тактико-техническая характеристика танка Т-28 выглядела следующим образом:</w:t>
      </w:r>
    </w:p>
    <w:p w14:paraId="726F9A7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ТАКТИЧЕСКИЕ СВОЙСТВА</w:t>
      </w:r>
    </w:p>
    <w:p w14:paraId="3E8665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Прорыв укрепленной полосы в условиях как маневренных, так и позиционных, перекрытие любого окопа полной профи</w:t>
      </w:r>
      <w:r w:rsidRPr="007122AB">
        <w:rPr>
          <w:rFonts w:ascii="Times New Roman" w:hAnsi="Times New Roman"/>
          <w:color w:val="000000" w:themeColor="text1"/>
          <w:sz w:val="16"/>
          <w:szCs w:val="16"/>
        </w:rPr>
        <w:softHyphen/>
        <w:t>ли со стрелковой ступенью, быстроходность, проходимость по всем грунтам и достаточный километраж службы до ре</w:t>
      </w:r>
      <w:r w:rsidRPr="007122AB">
        <w:rPr>
          <w:rFonts w:ascii="Times New Roman" w:hAnsi="Times New Roman"/>
          <w:color w:val="000000" w:themeColor="text1"/>
          <w:sz w:val="16"/>
          <w:szCs w:val="16"/>
        </w:rPr>
        <w:softHyphen/>
        <w:t>монта. Возможность ведения огня с хода на местности.</w:t>
      </w:r>
    </w:p>
    <w:p w14:paraId="44F4CE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ТЕХНИЧЕСКИЕ ТРЕБОВАНИЯ</w:t>
      </w:r>
    </w:p>
    <w:p w14:paraId="7E9504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Вес без переменной загрузки не более 17 тон. Полный боевой вес — не более 20 тон.</w:t>
      </w:r>
    </w:p>
    <w:p w14:paraId="35EC08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Удельная нагрузка при 100 мм погружении не более 0,5 кг/см</w:t>
      </w:r>
    </w:p>
    <w:p w14:paraId="3B125D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Габаритные размеры. Танк должен вписываться в габа</w:t>
      </w:r>
      <w:r w:rsidRPr="007122AB">
        <w:rPr>
          <w:rFonts w:ascii="Times New Roman" w:hAnsi="Times New Roman"/>
          <w:color w:val="000000" w:themeColor="text1"/>
          <w:sz w:val="16"/>
          <w:szCs w:val="16"/>
        </w:rPr>
        <w:softHyphen/>
        <w:t>риты железнодорожного подвижного состава как СССР так и международный 1435мм.</w:t>
      </w:r>
    </w:p>
    <w:p w14:paraId="4AA360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Километраж службы до износа гусеничного движителя и трансмиссии не менее 3000 </w:t>
      </w:r>
      <w:proofErr w:type="spellStart"/>
      <w:r w:rsidRPr="007122AB">
        <w:rPr>
          <w:rFonts w:ascii="Times New Roman" w:hAnsi="Times New Roman"/>
          <w:color w:val="000000" w:themeColor="text1"/>
          <w:sz w:val="16"/>
          <w:szCs w:val="16"/>
        </w:rPr>
        <w:t>клмтр</w:t>
      </w:r>
      <w:proofErr w:type="spellEnd"/>
      <w:r w:rsidRPr="007122AB">
        <w:rPr>
          <w:rFonts w:ascii="Times New Roman" w:hAnsi="Times New Roman"/>
          <w:color w:val="000000" w:themeColor="text1"/>
          <w:sz w:val="16"/>
          <w:szCs w:val="16"/>
        </w:rPr>
        <w:t>.</w:t>
      </w:r>
    </w:p>
    <w:p w14:paraId="78C827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Скорость по хорошей грунтовой дороге — 30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xml:space="preserve">/час. На поле боя по самым тяжелым грунтам с </w:t>
      </w:r>
      <w:proofErr w:type="spellStart"/>
      <w:r w:rsidRPr="007122AB">
        <w:rPr>
          <w:rFonts w:ascii="Times New Roman" w:hAnsi="Times New Roman"/>
          <w:color w:val="000000" w:themeColor="text1"/>
          <w:sz w:val="16"/>
          <w:szCs w:val="16"/>
        </w:rPr>
        <w:t>под»емами</w:t>
      </w:r>
      <w:proofErr w:type="spellEnd"/>
      <w:r w:rsidRPr="007122AB">
        <w:rPr>
          <w:rFonts w:ascii="Times New Roman" w:hAnsi="Times New Roman"/>
          <w:color w:val="000000" w:themeColor="text1"/>
          <w:sz w:val="16"/>
          <w:szCs w:val="16"/>
        </w:rPr>
        <w:t xml:space="preserve"> до 20% скорость не должна падать ниже 10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w:t>
      </w:r>
    </w:p>
    <w:p w14:paraId="31AD8B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Подъемы на плотном дерновом покрове должны быть обеспечены до 40град. без остановки вследствие буксования и </w:t>
      </w:r>
      <w:proofErr w:type="spellStart"/>
      <w:r w:rsidRPr="007122AB">
        <w:rPr>
          <w:rFonts w:ascii="Times New Roman" w:hAnsi="Times New Roman"/>
          <w:color w:val="000000" w:themeColor="text1"/>
          <w:sz w:val="16"/>
          <w:szCs w:val="16"/>
        </w:rPr>
        <w:t>заглухания</w:t>
      </w:r>
      <w:proofErr w:type="spellEnd"/>
      <w:r w:rsidRPr="007122AB">
        <w:rPr>
          <w:rFonts w:ascii="Times New Roman" w:hAnsi="Times New Roman"/>
          <w:color w:val="000000" w:themeColor="text1"/>
          <w:sz w:val="16"/>
          <w:szCs w:val="16"/>
        </w:rPr>
        <w:t xml:space="preserve"> мотора.</w:t>
      </w:r>
    </w:p>
    <w:p w14:paraId="69D4F9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должен проходить бортовые крены до 30 град. без соскакивания цепи и отказа мотора в работе.</w:t>
      </w:r>
    </w:p>
    <w:p w14:paraId="2A808B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Препятствия: лунный ландшафт с воронками снарядов до 6 дюйм, лесные заросли любой густоты с деревьями до 100 </w:t>
      </w:r>
      <w:proofErr w:type="spellStart"/>
      <w:r w:rsidRPr="007122AB">
        <w:rPr>
          <w:rFonts w:ascii="Times New Roman" w:hAnsi="Times New Roman"/>
          <w:color w:val="000000" w:themeColor="text1"/>
          <w:sz w:val="16"/>
          <w:szCs w:val="16"/>
        </w:rPr>
        <w:t>млм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повалки</w:t>
      </w:r>
      <w:proofErr w:type="spellEnd"/>
      <w:r w:rsidRPr="007122AB">
        <w:rPr>
          <w:rFonts w:ascii="Times New Roman" w:hAnsi="Times New Roman"/>
          <w:color w:val="000000" w:themeColor="text1"/>
          <w:sz w:val="16"/>
          <w:szCs w:val="16"/>
        </w:rPr>
        <w:t xml:space="preserve"> одиночных деревьев в 300мм, через кирпичные кладки в 1,5 КИРПИЧА.</w:t>
      </w:r>
    </w:p>
    <w:p w14:paraId="207C95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Водные преграды — не менее чем 1,3 </w:t>
      </w:r>
      <w:proofErr w:type="spellStart"/>
      <w:r w:rsidRPr="007122AB">
        <w:rPr>
          <w:rFonts w:ascii="Times New Roman" w:hAnsi="Times New Roman"/>
          <w:color w:val="000000" w:themeColor="text1"/>
          <w:sz w:val="16"/>
          <w:szCs w:val="16"/>
        </w:rPr>
        <w:t>мтр</w:t>
      </w:r>
      <w:proofErr w:type="spellEnd"/>
      <w:r w:rsidRPr="007122AB">
        <w:rPr>
          <w:rFonts w:ascii="Times New Roman" w:hAnsi="Times New Roman"/>
          <w:color w:val="000000" w:themeColor="text1"/>
          <w:sz w:val="16"/>
          <w:szCs w:val="16"/>
        </w:rPr>
        <w:t>. глубиной при любом грунте дна, проходимом для стрелков. Клиренс — 350мм На всем протяжении днища корпуса.</w:t>
      </w:r>
    </w:p>
    <w:p w14:paraId="66753F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Вертикальные препятствия не ниже 1 </w:t>
      </w:r>
      <w:proofErr w:type="spellStart"/>
      <w:r w:rsidRPr="007122AB">
        <w:rPr>
          <w:rFonts w:ascii="Times New Roman" w:hAnsi="Times New Roman"/>
          <w:color w:val="000000" w:themeColor="text1"/>
          <w:sz w:val="16"/>
          <w:szCs w:val="16"/>
        </w:rPr>
        <w:t>мтр</w:t>
      </w:r>
      <w:proofErr w:type="spellEnd"/>
      <w:r w:rsidRPr="007122AB">
        <w:rPr>
          <w:rFonts w:ascii="Times New Roman" w:hAnsi="Times New Roman"/>
          <w:color w:val="000000" w:themeColor="text1"/>
          <w:sz w:val="16"/>
          <w:szCs w:val="16"/>
        </w:rPr>
        <w:t>. отвесной стенки с твердой коркой.</w:t>
      </w:r>
    </w:p>
    <w:p w14:paraId="3B1176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 должен проходить все типы проволочных заграждений</w:t>
      </w:r>
    </w:p>
    <w:p w14:paraId="27FA04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Перекрываемый окоп полной профили со стрелковой ступенью не менее 2,5 </w:t>
      </w:r>
      <w:proofErr w:type="spellStart"/>
      <w:r w:rsidRPr="007122AB">
        <w:rPr>
          <w:rFonts w:ascii="Times New Roman" w:hAnsi="Times New Roman"/>
          <w:color w:val="000000" w:themeColor="text1"/>
          <w:sz w:val="16"/>
          <w:szCs w:val="16"/>
        </w:rPr>
        <w:t>мтр</w:t>
      </w:r>
      <w:proofErr w:type="spellEnd"/>
      <w:r w:rsidRPr="007122AB">
        <w:rPr>
          <w:rFonts w:ascii="Times New Roman" w:hAnsi="Times New Roman"/>
          <w:color w:val="000000" w:themeColor="text1"/>
          <w:sz w:val="16"/>
          <w:szCs w:val="16"/>
        </w:rPr>
        <w:t xml:space="preserve"> по верху.</w:t>
      </w:r>
    </w:p>
    <w:p w14:paraId="3D7949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Готовность к движению с полной мощностью мотора в любых условиях не более 10-15 мин.</w:t>
      </w:r>
    </w:p>
    <w:p w14:paraId="710F0FF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 воздушного охлаждения мощностью 400-450 л.с.</w:t>
      </w:r>
    </w:p>
    <w:p w14:paraId="69E50A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должен быть отрегулирован на средние сорта топ</w:t>
      </w:r>
      <w:r w:rsidRPr="007122AB">
        <w:rPr>
          <w:rFonts w:ascii="Times New Roman" w:hAnsi="Times New Roman"/>
          <w:color w:val="000000" w:themeColor="text1"/>
          <w:sz w:val="16"/>
          <w:szCs w:val="16"/>
        </w:rPr>
        <w:softHyphen/>
        <w:t>лива русского стандарта и работать на обыкновенном масле.</w:t>
      </w:r>
    </w:p>
    <w:p w14:paraId="12C1029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Бронирование:</w:t>
      </w:r>
    </w:p>
    <w:p w14:paraId="118CA2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башни 16мм</w:t>
      </w:r>
    </w:p>
    <w:p w14:paraId="5B48FE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бортовая броня 20мм.</w:t>
      </w:r>
    </w:p>
    <w:p w14:paraId="1A5429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близкие к горизонтальным и горизонтальные не ниже 8мм.</w:t>
      </w:r>
    </w:p>
    <w:p w14:paraId="29D1B7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Вооружение:</w:t>
      </w:r>
    </w:p>
    <w:p w14:paraId="6D8847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 мм пушка с круговым обстрелом</w:t>
      </w:r>
    </w:p>
    <w:p w14:paraId="203915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пулемета Дегтярева, из коих один должен иметь круго</w:t>
      </w:r>
      <w:r w:rsidRPr="007122AB">
        <w:rPr>
          <w:rFonts w:ascii="Times New Roman" w:hAnsi="Times New Roman"/>
          <w:color w:val="000000" w:themeColor="text1"/>
          <w:sz w:val="16"/>
          <w:szCs w:val="16"/>
        </w:rPr>
        <w:softHyphen/>
        <w:t>вой обстрел.</w:t>
      </w:r>
    </w:p>
    <w:p w14:paraId="48ECE0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Боеприпасы — 100 патронов для пушки</w:t>
      </w:r>
    </w:p>
    <w:p w14:paraId="4273CA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 шт. для пулеметов</w:t>
      </w:r>
    </w:p>
    <w:p w14:paraId="6F35FE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Число команды — 4-5 чел.</w:t>
      </w:r>
    </w:p>
    <w:p w14:paraId="056955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1-й СЕКЦИИ НТК УММ РККА /Бегунов/» (10733,232).</w:t>
      </w:r>
    </w:p>
    <w:p w14:paraId="34F714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ходе изготовления опытных образцов танка в его кон</w:t>
      </w:r>
      <w:r w:rsidRPr="007122AB">
        <w:rPr>
          <w:rFonts w:ascii="Times New Roman" w:hAnsi="Times New Roman"/>
          <w:color w:val="000000" w:themeColor="text1"/>
          <w:sz w:val="16"/>
          <w:szCs w:val="16"/>
        </w:rPr>
        <w:softHyphen/>
        <w:t>струкцию вносились изменения. В частности, были усилены бортовые редуктора, вместо 45-мм пушки, которая не была подана вовремя, опытный образец танка получил 37-мм по</w:t>
      </w:r>
      <w:r w:rsidRPr="007122AB">
        <w:rPr>
          <w:rFonts w:ascii="Times New Roman" w:hAnsi="Times New Roman"/>
          <w:color w:val="000000" w:themeColor="text1"/>
          <w:sz w:val="16"/>
          <w:szCs w:val="16"/>
        </w:rPr>
        <w:softHyphen/>
        <w:t>луавтоматическую пушку ПС-2 № 002, демонтированную из малой башни танка Гроте, для второго образца танка был по</w:t>
      </w:r>
      <w:r w:rsidRPr="007122AB">
        <w:rPr>
          <w:rFonts w:ascii="Times New Roman" w:hAnsi="Times New Roman"/>
          <w:color w:val="000000" w:themeColor="text1"/>
          <w:sz w:val="16"/>
          <w:szCs w:val="16"/>
        </w:rPr>
        <w:softHyphen/>
        <w:t>дан двигатель М-17 мощностью 420 л.с. (10733,232).</w:t>
      </w:r>
    </w:p>
    <w:p w14:paraId="05D632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72B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октября 1931 г. построен и вступил в строй для выпуска продукции для почты, телеграфа, телефона и радио Завод № 6 МПСС, ОАО «Промсвязь» /601800 г. Юрьев-Польский Владимирской обл. ул. Набережная, 10/. После войны выпускал </w:t>
      </w:r>
      <w:proofErr w:type="spellStart"/>
      <w:r w:rsidRPr="007122AB">
        <w:rPr>
          <w:rFonts w:ascii="Times New Roman" w:hAnsi="Times New Roman"/>
          <w:color w:val="000000" w:themeColor="text1"/>
          <w:sz w:val="16"/>
          <w:szCs w:val="16"/>
        </w:rPr>
        <w:t>электропитающее</w:t>
      </w:r>
      <w:proofErr w:type="spellEnd"/>
      <w:r w:rsidRPr="007122AB">
        <w:rPr>
          <w:rFonts w:ascii="Times New Roman" w:hAnsi="Times New Roman"/>
          <w:color w:val="000000" w:themeColor="text1"/>
          <w:sz w:val="16"/>
          <w:szCs w:val="16"/>
        </w:rPr>
        <w:t xml:space="preserve"> оборудование для предприятий связи.</w:t>
      </w:r>
    </w:p>
    <w:p w14:paraId="7C2D7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бурильный агрегат для прокладки линий проводной связи, линейно-кабельные приспособления, выпрямительные устройства (1930-е); газогенераторные двигатели для радиоузлов (1942) (11982).</w:t>
      </w:r>
    </w:p>
    <w:p w14:paraId="768787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76B51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D0D0D8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8CD42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23 и 29 октября 1931. Из протокола заседания Политбюро № 71, 1931 г.</w:t>
      </w:r>
    </w:p>
    <w:p w14:paraId="056D80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состоянии пожарного дела в республиках </w:t>
      </w:r>
    </w:p>
    <w:p w14:paraId="54DB99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Неоднократные директивы ЦК о необходимости большего внимания к противопожарной охране не нашли еще достаточного отражения в работе местных партийных и советских органов. Участившиеся за последнее время пожары, взрывы и аварии свидетельствуют о большом неблагополучии в области охраны пожарной безопасности. Исходя из этого: </w:t>
      </w:r>
    </w:p>
    <w:p w14:paraId="07A5B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ЦК предлагает ЦК национальных партий, крайкомам и обкомам предусмотреть по местному бюджету при составлении контрольных цифр на 1932 год увеличение расходов на противопожарные мероприятия и улучшение культурно-бытовых и материальных условий строевого состава пожарных работников... </w:t>
      </w:r>
    </w:p>
    <w:p w14:paraId="7C1727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ЦК предлагает Колхозцентру и </w:t>
      </w:r>
      <w:proofErr w:type="spellStart"/>
      <w:r w:rsidRPr="007122AB">
        <w:rPr>
          <w:rFonts w:ascii="Times New Roman" w:hAnsi="Times New Roman"/>
          <w:color w:val="000000" w:themeColor="text1"/>
          <w:sz w:val="16"/>
          <w:szCs w:val="16"/>
        </w:rPr>
        <w:t>Крайколхозсоюзам</w:t>
      </w:r>
      <w:proofErr w:type="spellEnd"/>
      <w:r w:rsidRPr="007122AB">
        <w:rPr>
          <w:rFonts w:ascii="Times New Roman" w:hAnsi="Times New Roman"/>
          <w:color w:val="000000" w:themeColor="text1"/>
          <w:sz w:val="16"/>
          <w:szCs w:val="16"/>
        </w:rPr>
        <w:t xml:space="preserve"> разработать мероприятия по вовлечению колхозных масс в дело борьбы с пожарами... </w:t>
      </w:r>
    </w:p>
    <w:p w14:paraId="1F53E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не позже 1-го квартала 1932 года обеспечить получение образцов новейшего заграничного противопожарного оборудования. </w:t>
      </w:r>
    </w:p>
    <w:p w14:paraId="703CF2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Организовать в составе Совета коммунального хозяйства при ЦИК СССР Особое пожарное бюро (11652).</w:t>
      </w:r>
    </w:p>
    <w:p w14:paraId="6D415A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3B99E0"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C8B31AB"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FD3A5F"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октября 1931 г. Постановление Президиума ВСНХ СССР об обеспечении программы 1932 г. 32 тыс. т серы (РГАЭ. Ф. 3429. Оп. 6. Д. 189. Л. 104?103) (12417).</w:t>
      </w:r>
    </w:p>
    <w:p w14:paraId="77B532C3"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7D69648A" w14:textId="77777777" w:rsidR="003371BD" w:rsidRPr="007122AB" w:rsidRDefault="003371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октября 1931 г. Постановление Президиума ВСНХ СССР о передаче Таганрогского инструментального завода объединения «</w:t>
      </w:r>
      <w:proofErr w:type="spellStart"/>
      <w:r w:rsidRPr="007122AB">
        <w:rPr>
          <w:rFonts w:ascii="Times New Roman" w:hAnsi="Times New Roman"/>
          <w:color w:val="000000" w:themeColor="text1"/>
          <w:sz w:val="16"/>
          <w:szCs w:val="16"/>
        </w:rPr>
        <w:t>Патрубвзрыв</w:t>
      </w:r>
      <w:proofErr w:type="spellEnd"/>
      <w:r w:rsidRPr="007122AB">
        <w:rPr>
          <w:rFonts w:ascii="Times New Roman" w:hAnsi="Times New Roman"/>
          <w:color w:val="000000" w:themeColor="text1"/>
          <w:sz w:val="16"/>
          <w:szCs w:val="16"/>
        </w:rPr>
        <w:t>» и снарядного цеха Надеждинского завода объединения «</w:t>
      </w:r>
      <w:proofErr w:type="spellStart"/>
      <w:r w:rsidRPr="007122AB">
        <w:rPr>
          <w:rFonts w:ascii="Times New Roman" w:hAnsi="Times New Roman"/>
          <w:color w:val="000000" w:themeColor="text1"/>
          <w:sz w:val="16"/>
          <w:szCs w:val="16"/>
        </w:rPr>
        <w:t>Востокосталь</w:t>
      </w:r>
      <w:proofErr w:type="spellEnd"/>
      <w:r w:rsidRPr="007122AB">
        <w:rPr>
          <w:rFonts w:ascii="Times New Roman" w:hAnsi="Times New Roman"/>
          <w:color w:val="000000" w:themeColor="text1"/>
          <w:sz w:val="16"/>
          <w:szCs w:val="16"/>
        </w:rPr>
        <w:t>» в ведение Всесоюзного государственного снарядного треста с 1 ноября 1931 г. (РГАЭ. Ф. 3429. Оп. 6. Д. 189. Л. 93) (12417) (12417).</w:t>
      </w:r>
    </w:p>
    <w:p w14:paraId="4F42EC28" w14:textId="77777777" w:rsidR="003371BD" w:rsidRPr="007122AB" w:rsidRDefault="003371BD" w:rsidP="007122AB">
      <w:pPr>
        <w:spacing w:after="0" w:line="240" w:lineRule="auto"/>
        <w:jc w:val="both"/>
        <w:rPr>
          <w:rFonts w:ascii="Times New Roman" w:hAnsi="Times New Roman"/>
          <w:color w:val="000000" w:themeColor="text1"/>
          <w:sz w:val="16"/>
          <w:szCs w:val="16"/>
        </w:rPr>
      </w:pPr>
    </w:p>
    <w:p w14:paraId="556A954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4ED50A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F3B252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октября 1931 Леонид Брежнев вступил в КПСС (4962).</w:t>
      </w:r>
    </w:p>
    <w:p w14:paraId="2B0D1BF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6A18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0A0A1B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6907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 октября 1931 Аль Капоне был отправлен в тюрьму за налоговые нарушения (2100).</w:t>
      </w:r>
    </w:p>
    <w:p w14:paraId="31549C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0A502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4B1C11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248A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октября 1931 был подписан протокол № 35 заседания Краснопресненского РК ВКП(б) о создании парторганизации завода № 32: “В связи с выделением из ГАЗ № 1 цеха спецпроизводства в самостоятельный завод № 32 создать...ячейку...” (9651,73).</w:t>
      </w:r>
    </w:p>
    <w:p w14:paraId="48AF2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A3AB2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8E96C2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E6F9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октября 1931 ЦК ВКП(б) выпустил постановление, в котором оставил в ведении ВСНХ только тяжелую промышленность (5484,203).</w:t>
      </w:r>
    </w:p>
    <w:p w14:paraId="50FD6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702F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25 октября 1931 г. по приказу заместителя председа</w:t>
      </w:r>
      <w:r w:rsidRPr="007122AB">
        <w:rPr>
          <w:rFonts w:ascii="Times New Roman" w:hAnsi="Times New Roman"/>
          <w:color w:val="000000" w:themeColor="text1"/>
          <w:sz w:val="16"/>
          <w:szCs w:val="16"/>
        </w:rPr>
        <w:softHyphen/>
        <w:t>теля РВС СССР Тухачевского специально назначенная ко</w:t>
      </w:r>
      <w:r w:rsidRPr="007122AB">
        <w:rPr>
          <w:rFonts w:ascii="Times New Roman" w:hAnsi="Times New Roman"/>
          <w:color w:val="000000" w:themeColor="text1"/>
          <w:sz w:val="16"/>
          <w:szCs w:val="16"/>
        </w:rPr>
        <w:softHyphen/>
        <w:t>миссия занялась «проверкой расчетов и оценки конструк</w:t>
      </w:r>
      <w:r w:rsidRPr="007122AB">
        <w:rPr>
          <w:rFonts w:ascii="Times New Roman" w:hAnsi="Times New Roman"/>
          <w:color w:val="000000" w:themeColor="text1"/>
          <w:sz w:val="16"/>
          <w:szCs w:val="16"/>
        </w:rPr>
        <w:softHyphen/>
        <w:t xml:space="preserve">ций танков Д-4, Д-5 и Д-38»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(10733,114).</w:t>
      </w:r>
    </w:p>
    <w:p w14:paraId="21E640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468DAE"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25 октября 1931 г. по приказу заместителя председателя РВС СССР Тухачевского специально назначенная комиссия занялась «проверкой расчетов и оценки конструкций </w:t>
      </w:r>
      <w:hyperlink r:id="rId18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 Д-4, Д-5 и Д-38». 18 ноября 1931 г. комиссия предъявила отчет, в котором, в частности, говорилось:</w:t>
      </w:r>
    </w:p>
    <w:p w14:paraId="42B611BF"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w:t>
      </w:r>
      <w:proofErr w:type="spellStart"/>
      <w:r w:rsidRPr="007122AB">
        <w:rPr>
          <w:rFonts w:ascii="Times New Roman" w:hAnsi="Times New Roman"/>
          <w:color w:val="000000" w:themeColor="text1"/>
          <w:sz w:val="16"/>
          <w:szCs w:val="16"/>
        </w:rPr>
        <w:t>пом</w:t>
      </w:r>
      <w:proofErr w:type="spellEnd"/>
      <w:r w:rsidRPr="007122AB">
        <w:rPr>
          <w:rFonts w:ascii="Times New Roman" w:hAnsi="Times New Roman"/>
          <w:color w:val="000000" w:themeColor="text1"/>
          <w:sz w:val="16"/>
          <w:szCs w:val="16"/>
        </w:rPr>
        <w:t xml:space="preserve"> начальника КБ № 3 ОРПО, т СИМСКОГО – Нач. ГКБ Завода Большевик, т. ТОСКИНА – Нач. Т2 ГХПЗ, организованная согласно приказания Зам. </w:t>
      </w:r>
      <w:r w:rsidRPr="007122AB">
        <w:rPr>
          <w:rFonts w:ascii="Times New Roman" w:hAnsi="Times New Roman"/>
          <w:color w:val="000000" w:themeColor="text1"/>
          <w:sz w:val="16"/>
          <w:szCs w:val="16"/>
        </w:rPr>
        <w:lastRenderedPageBreak/>
        <w:t>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5DD39571"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Конструкция </w:t>
      </w:r>
      <w:hyperlink r:id="rId18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Д-4 имеющего колесный, гусеничный и </w:t>
      </w:r>
      <w:proofErr w:type="spellStart"/>
      <w:r w:rsidRPr="007122AB">
        <w:rPr>
          <w:rFonts w:ascii="Times New Roman" w:hAnsi="Times New Roman"/>
          <w:color w:val="000000" w:themeColor="text1"/>
          <w:sz w:val="16"/>
          <w:szCs w:val="16"/>
        </w:rPr>
        <w:t>жел</w:t>
      </w:r>
      <w:proofErr w:type="spellEnd"/>
      <w:r w:rsidRPr="007122AB">
        <w:rPr>
          <w:rFonts w:ascii="Times New Roman" w:hAnsi="Times New Roman"/>
          <w:color w:val="000000" w:themeColor="text1"/>
          <w:sz w:val="16"/>
          <w:szCs w:val="16"/>
        </w:rPr>
        <w:t>. 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1918EDB7"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Комиссия констатирует, что тов. ДЫРЕНКОВ с заданием по конструированию </w:t>
      </w:r>
      <w:hyperlink r:id="rId18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Д-4 не справился и был вынужден на основе своей конструкции Д-4 приступить к разработке и постройке нового </w:t>
      </w:r>
      <w:hyperlink r:id="rId18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Д-5 с мотором М-17 мощностью 500 л.с. В конструкции оставлены: гусеничный и железно-дорожный ход и подводная проходимость. Автомобильный колесный ход, </w:t>
      </w:r>
      <w:proofErr w:type="spellStart"/>
      <w:r w:rsidRPr="007122AB">
        <w:rPr>
          <w:rFonts w:ascii="Times New Roman" w:hAnsi="Times New Roman"/>
          <w:color w:val="000000" w:themeColor="text1"/>
          <w:sz w:val="16"/>
          <w:szCs w:val="16"/>
        </w:rPr>
        <w:t>запроэктированный</w:t>
      </w:r>
      <w:proofErr w:type="spellEnd"/>
      <w:r w:rsidRPr="007122AB">
        <w:rPr>
          <w:rFonts w:ascii="Times New Roman" w:hAnsi="Times New Roman"/>
          <w:color w:val="000000" w:themeColor="text1"/>
          <w:sz w:val="16"/>
          <w:szCs w:val="16"/>
        </w:rPr>
        <w:t xml:space="preserve"> для машины в 12 тонн, снят за невозможностью его выполнения для машины Д-5 весом 25 тонн.</w:t>
      </w:r>
    </w:p>
    <w:p w14:paraId="6C643AE7"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Конструкция </w:t>
      </w:r>
      <w:hyperlink r:id="rId18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Д-5, предусматривающая изжитие дефектов и конструктивных неполадок, выявленных т. ДЫРЕНКОВЫМ во время работы с </w:t>
      </w:r>
      <w:hyperlink r:id="rId18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ом Д-4, имеет, по мнению комиссии, следующие крупные недостатки:</w:t>
      </w:r>
    </w:p>
    <w:p w14:paraId="5C349D50"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6983E764"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0450E5A9"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2E874150"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w:t>
      </w:r>
      <w:hyperlink r:id="rId18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w:t>
      </w:r>
    </w:p>
    <w:p w14:paraId="15E16764"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бортовые фрикционы по своим размерам достаточны для обеспечения работы </w:t>
      </w:r>
      <w:hyperlink r:id="rId18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03482C31"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02D40482"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конструкция механизмов для подводного хождения нуждается во всесторонней проверке.</w:t>
      </w:r>
    </w:p>
    <w:p w14:paraId="1ABDA541" w14:textId="77777777" w:rsidR="00D21393" w:rsidRPr="007122AB" w:rsidRDefault="00D2139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На основании вышеизложенных соображений Комиссия считает </w:t>
      </w:r>
      <w:hyperlink r:id="rId18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Д-5 экспериментальной машиной для проверки работы железно-дорожного и гусеничного хода, который моет быть использован для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 xml:space="preserve">-броне-вагонов и мощных </w:t>
      </w:r>
      <w:hyperlink r:id="rId18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 и подводной проходимости. Танк не может служить образцом для серийного производства…» (15618).</w:t>
      </w:r>
    </w:p>
    <w:p w14:paraId="787977A9" w14:textId="77777777" w:rsidR="00D21393" w:rsidRPr="007122AB" w:rsidRDefault="00D21393" w:rsidP="007122AB">
      <w:pPr>
        <w:spacing w:after="0" w:line="240" w:lineRule="auto"/>
        <w:jc w:val="both"/>
        <w:rPr>
          <w:rFonts w:ascii="Times New Roman" w:hAnsi="Times New Roman"/>
          <w:color w:val="000000" w:themeColor="text1"/>
          <w:sz w:val="16"/>
          <w:szCs w:val="16"/>
        </w:rPr>
      </w:pPr>
    </w:p>
    <w:p w14:paraId="66F08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октября 1931 г. из ворот реконструированного завода АМО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3508B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1B5F95" w14:textId="77777777" w:rsidR="0020231B" w:rsidRPr="007122AB" w:rsidRDefault="0020231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октября 1931 состоялся пуск первого отечественного сборочного </w:t>
      </w:r>
      <w:proofErr w:type="spellStart"/>
      <w:r w:rsidRPr="007122AB">
        <w:rPr>
          <w:rFonts w:ascii="Times New Roman" w:hAnsi="Times New Roman"/>
          <w:color w:val="000000" w:themeColor="text1"/>
          <w:sz w:val="16"/>
          <w:szCs w:val="16"/>
        </w:rPr>
        <w:t>автоконвейера</w:t>
      </w:r>
      <w:proofErr w:type="spellEnd"/>
      <w:r w:rsidRPr="007122AB">
        <w:rPr>
          <w:rFonts w:ascii="Times New Roman" w:hAnsi="Times New Roman"/>
          <w:color w:val="000000" w:themeColor="text1"/>
          <w:sz w:val="16"/>
          <w:szCs w:val="16"/>
        </w:rPr>
        <w:t xml:space="preserve"> и выпуск первых 27 грузовых автомобилей АМО-3 (2,5 т) (17494).</w:t>
      </w:r>
    </w:p>
    <w:p w14:paraId="542E923F" w14:textId="77777777" w:rsidR="0020231B" w:rsidRPr="007122AB" w:rsidRDefault="0020231B" w:rsidP="007122AB">
      <w:pPr>
        <w:spacing w:after="0" w:line="240" w:lineRule="auto"/>
        <w:jc w:val="both"/>
        <w:rPr>
          <w:rFonts w:ascii="Times New Roman" w:hAnsi="Times New Roman"/>
          <w:color w:val="000000" w:themeColor="text1"/>
          <w:sz w:val="16"/>
          <w:szCs w:val="16"/>
        </w:rPr>
      </w:pPr>
    </w:p>
    <w:p w14:paraId="19AD60CB" w14:textId="77777777" w:rsidR="0019393F" w:rsidRPr="007122AB" w:rsidRDefault="0019393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октября 1931. Газета "Вечерняя Москва" сообщала. "Сборка первых 25 автомобилей на заводе им. Сталина закончилась. Испытания показали хорошие результаты. На автомобилях марка: "Новый АМО"" (18724).</w:t>
      </w:r>
    </w:p>
    <w:p w14:paraId="2B67006C" w14:textId="77777777" w:rsidR="0019393F" w:rsidRPr="007122AB" w:rsidRDefault="0019393F" w:rsidP="007122AB">
      <w:pPr>
        <w:spacing w:after="0" w:line="240" w:lineRule="auto"/>
        <w:jc w:val="both"/>
        <w:rPr>
          <w:rFonts w:ascii="Times New Roman" w:hAnsi="Times New Roman"/>
          <w:color w:val="000000" w:themeColor="text1"/>
          <w:sz w:val="16"/>
          <w:szCs w:val="16"/>
        </w:rPr>
      </w:pPr>
    </w:p>
    <w:p w14:paraId="2987FD50" w14:textId="77777777" w:rsidR="003371BD" w:rsidRPr="007122AB" w:rsidRDefault="003371BD"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октября 1931 г. был пущен первый отечественный сборочный автомобильный конвейер, с которого сошли первые 27 грузовиков АМО-3.</w:t>
      </w:r>
    </w:p>
    <w:p w14:paraId="610DA3E0" w14:textId="77777777" w:rsidR="003371BD" w:rsidRPr="007122AB" w:rsidRDefault="003371BD" w:rsidP="007122AB">
      <w:pPr>
        <w:autoSpaceDE w:val="0"/>
        <w:autoSpaceDN w:val="0"/>
        <w:adjustRightInd w:val="0"/>
        <w:spacing w:after="0" w:line="240" w:lineRule="auto"/>
        <w:jc w:val="both"/>
        <w:rPr>
          <w:rFonts w:ascii="Times New Roman" w:hAnsi="Times New Roman"/>
          <w:color w:val="000000" w:themeColor="text1"/>
          <w:sz w:val="16"/>
          <w:szCs w:val="16"/>
        </w:rPr>
      </w:pPr>
    </w:p>
    <w:p w14:paraId="6354C2F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5C8112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464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октября 1931 в Нью Йорке открылся мост Дж. Вашингтона между Манхэттеном и Нью-Джерси - самый длинный подвесной (3907,171).</w:t>
      </w:r>
    </w:p>
    <w:p w14:paraId="4E294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A082D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8C8BC0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E29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октября 1931 г. приказом </w:t>
      </w:r>
      <w:proofErr w:type="spellStart"/>
      <w:r w:rsidRPr="007122AB">
        <w:rPr>
          <w:rFonts w:ascii="Times New Roman" w:hAnsi="Times New Roman"/>
          <w:color w:val="000000" w:themeColor="text1"/>
          <w:sz w:val="16"/>
          <w:szCs w:val="16"/>
        </w:rPr>
        <w:t>Наркомтяжмаша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С.Орджоникидзе</w:t>
      </w:r>
      <w:proofErr w:type="spellEnd"/>
      <w:r w:rsidRPr="007122AB">
        <w:rPr>
          <w:rFonts w:ascii="Times New Roman" w:hAnsi="Times New Roman"/>
          <w:color w:val="000000" w:themeColor="text1"/>
          <w:sz w:val="16"/>
          <w:szCs w:val="16"/>
        </w:rPr>
        <w:t xml:space="preserve">, создается Трест Специального Машиностроения. В его состав вошли ленинградские заводы им. Ворошилова, Красный Октябрь, 2-й завод ВАТО в Москве и Харьковский паровозостроительный завод. В 1933-34 гг. состав Треста были включены также ремонтные заводы № 104 и 105, Киевский завод </w:t>
      </w:r>
      <w:proofErr w:type="spellStart"/>
      <w:r w:rsidRPr="007122AB">
        <w:rPr>
          <w:rFonts w:ascii="Times New Roman" w:hAnsi="Times New Roman"/>
          <w:color w:val="000000" w:themeColor="text1"/>
          <w:sz w:val="16"/>
          <w:szCs w:val="16"/>
        </w:rPr>
        <w:t>им.В.Я.Чубаря</w:t>
      </w:r>
      <w:proofErr w:type="spellEnd"/>
      <w:r w:rsidRPr="007122AB">
        <w:rPr>
          <w:rFonts w:ascii="Times New Roman" w:hAnsi="Times New Roman"/>
          <w:color w:val="000000" w:themeColor="text1"/>
          <w:sz w:val="16"/>
          <w:szCs w:val="16"/>
        </w:rPr>
        <w:t xml:space="preserve"> и Харьковский автосборочный завод (11326).</w:t>
      </w:r>
    </w:p>
    <w:p w14:paraId="2A32A4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5DBD34" w14:textId="77777777" w:rsidR="00415552" w:rsidRPr="007122AB" w:rsidRDefault="0041555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7305CCA" w14:textId="77777777" w:rsidR="00415552" w:rsidRPr="007122AB" w:rsidRDefault="0041555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6043732" w14:textId="77777777" w:rsidR="00415552" w:rsidRPr="007122AB" w:rsidRDefault="004155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октября 1931 состоялся первый полет De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xml:space="preserve"> Tiger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xml:space="preserve"> DH.82 прототип G-ABRC (20804). </w:t>
      </w:r>
    </w:p>
    <w:p w14:paraId="4AC657A6" w14:textId="77777777" w:rsidR="00415552" w:rsidRPr="007122AB" w:rsidRDefault="00415552" w:rsidP="007122AB">
      <w:pPr>
        <w:spacing w:after="0" w:line="240" w:lineRule="auto"/>
        <w:jc w:val="both"/>
        <w:rPr>
          <w:rFonts w:ascii="Times New Roman" w:hAnsi="Times New Roman"/>
          <w:color w:val="000000" w:themeColor="text1"/>
          <w:sz w:val="16"/>
          <w:szCs w:val="16"/>
        </w:rPr>
      </w:pPr>
    </w:p>
    <w:p w14:paraId="361D5705" w14:textId="77777777" w:rsidR="00415552" w:rsidRPr="007122AB" w:rsidRDefault="0041555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октября 1931 - Первый полёт </w:t>
      </w:r>
      <w:proofErr w:type="spellStart"/>
      <w:r w:rsidRPr="007122AB">
        <w:rPr>
          <w:rFonts w:ascii="Times New Roman" w:hAnsi="Times New Roman"/>
          <w:color w:val="000000" w:themeColor="text1"/>
          <w:sz w:val="16"/>
          <w:szCs w:val="16"/>
        </w:rPr>
        <w:t>Havilland</w:t>
      </w:r>
      <w:proofErr w:type="spellEnd"/>
      <w:r w:rsidRPr="007122AB">
        <w:rPr>
          <w:rFonts w:ascii="Times New Roman" w:hAnsi="Times New Roman"/>
          <w:color w:val="000000" w:themeColor="text1"/>
          <w:sz w:val="16"/>
          <w:szCs w:val="16"/>
        </w:rPr>
        <w:t xml:space="preserve"> DH.82 Tiger </w:t>
      </w:r>
      <w:proofErr w:type="spellStart"/>
      <w:r w:rsidRPr="007122AB">
        <w:rPr>
          <w:rFonts w:ascii="Times New Roman" w:hAnsi="Times New Roman"/>
          <w:color w:val="000000" w:themeColor="text1"/>
          <w:sz w:val="16"/>
          <w:szCs w:val="16"/>
        </w:rPr>
        <w:t>Moth</w:t>
      </w:r>
      <w:proofErr w:type="spellEnd"/>
      <w:r w:rsidRPr="007122AB">
        <w:rPr>
          <w:rFonts w:ascii="Times New Roman" w:hAnsi="Times New Roman"/>
          <w:color w:val="000000" w:themeColor="text1"/>
          <w:sz w:val="16"/>
          <w:szCs w:val="16"/>
        </w:rPr>
        <w:t>, лётчик-испытатель Хуберт Броуд. Он эксплуатировался Королевскими военно-воздушными силами (RAF) и многими другими в качестве основного учебного самолёта. Всего было построено около 9000 экземпляров (22325).</w:t>
      </w:r>
    </w:p>
    <w:p w14:paraId="1EA01AE2" w14:textId="77777777" w:rsidR="00415552" w:rsidRPr="007122AB" w:rsidRDefault="00415552" w:rsidP="007122AB">
      <w:pPr>
        <w:spacing w:after="0" w:line="240" w:lineRule="auto"/>
        <w:jc w:val="both"/>
        <w:rPr>
          <w:rFonts w:ascii="Times New Roman" w:hAnsi="Times New Roman"/>
          <w:color w:val="000000" w:themeColor="text1"/>
          <w:sz w:val="16"/>
          <w:szCs w:val="16"/>
        </w:rPr>
      </w:pPr>
    </w:p>
    <w:p w14:paraId="73D676AA" w14:textId="77777777" w:rsidR="003371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5933D4A" w14:textId="77777777" w:rsidR="003371BD" w:rsidRPr="007122AB" w:rsidRDefault="003371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A2F827"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октября 1931 года  председателем НТК УММ РККА Лебедевым были утверждены требования на «проектирование и выполнение опытного образца»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с одной 107-мм пушкой обр. 1910 года:</w:t>
      </w:r>
    </w:p>
    <w:p w14:paraId="1316D9D2"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Мотор 90 л.с. Ярославского завода;</w:t>
      </w:r>
    </w:p>
    <w:p w14:paraId="6EAF0542"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Постановка реверса должна будет обеспечивать движение в обе стороны со скоростью 60 км/ч, запас хода - 500 км;</w:t>
      </w:r>
    </w:p>
    <w:p w14:paraId="4B69A91D"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Нагрузка на ось не должна превышать 18т;</w:t>
      </w:r>
    </w:p>
    <w:p w14:paraId="2F89AC5B"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w:t>
      </w:r>
    </w:p>
    <w:p w14:paraId="4FA5EB56"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Боекомплект - 1б0 снарядов, 30000 патронов для пулеметов Максима и 6000 для ДТ;</w:t>
      </w:r>
    </w:p>
    <w:p w14:paraId="2B4218A3"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Пушка должна быть установлена в башне с круговым обстрелом в 360 градусов, углы горизонтального обстрела от -5 до +37 градусов;</w:t>
      </w:r>
    </w:p>
    <w:p w14:paraId="21B7E940"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Броня - вертикальные и торцевые стенки 16 мм, поверхности, близкие к горизонтальным 10 мм, горизонтальные 8 мм;</w:t>
      </w:r>
    </w:p>
    <w:p w14:paraId="277C1365"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Связь - внутренняя телефонная и звуковая, внешняя радиостанция 72 ТК;</w:t>
      </w:r>
    </w:p>
    <w:p w14:paraId="5E00C6AE"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Экипаж - 15 человек».</w:t>
      </w:r>
    </w:p>
    <w:p w14:paraId="5ED2FBDE"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из-за большой загруженности опытно-конструкторского и испытательного бюро (плодовитый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одновременно вел разработку нескольких типов бронеавтомобилей, боевых химических машин, </w:t>
      </w:r>
      <w:hyperlink r:id="rId19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ов, </w:t>
      </w:r>
      <w:hyperlink r:id="rId19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еток, вездеходов и т.д.) проект тяжелого однобашенного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Д-6 был готов лишь летом 1932 года. Причем параллельно с этой работой у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родилось еще несколько проектов (15624).</w:t>
      </w:r>
    </w:p>
    <w:p w14:paraId="5F155AC0" w14:textId="77777777" w:rsidR="00193905" w:rsidRPr="007122AB" w:rsidRDefault="00193905" w:rsidP="007122AB">
      <w:pPr>
        <w:spacing w:after="0" w:line="240" w:lineRule="auto"/>
        <w:jc w:val="both"/>
        <w:rPr>
          <w:rFonts w:ascii="Times New Roman" w:hAnsi="Times New Roman"/>
          <w:color w:val="000000" w:themeColor="text1"/>
          <w:sz w:val="16"/>
          <w:szCs w:val="16"/>
        </w:rPr>
      </w:pPr>
    </w:p>
    <w:p w14:paraId="51474F31"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октября 1931 года председателем НТК УММ РККА Лебедевым были утверждены требования на «проектирование и выполнение опытного образца» </w:t>
      </w:r>
      <w:proofErr w:type="spellStart"/>
      <w:r w:rsidRPr="007122AB">
        <w:rPr>
          <w:rFonts w:ascii="Times New Roman" w:hAnsi="Times New Roman"/>
          <w:color w:val="000000" w:themeColor="text1"/>
          <w:sz w:val="16"/>
          <w:szCs w:val="16"/>
        </w:rPr>
        <w:t>мотоброневаго</w:t>
      </w:r>
      <w:proofErr w:type="spellEnd"/>
      <w:r w:rsidRPr="007122AB">
        <w:rPr>
          <w:rFonts w:ascii="Times New Roman" w:hAnsi="Times New Roman"/>
          <w:color w:val="000000" w:themeColor="text1"/>
          <w:sz w:val="16"/>
          <w:szCs w:val="16"/>
        </w:rPr>
        <w:t>-на с одной 107-мм пушкой обр. 1910 года: </w:t>
      </w:r>
    </w:p>
    <w:p w14:paraId="37B5E3AB"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Мотор 90 л.с. Ярославского завода; </w:t>
      </w:r>
    </w:p>
    <w:p w14:paraId="57EBDAEE"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Постановка реверса должна будет обеспечивать движение в обе стороны со скоростью 60 км/ч, запас хода - 500 км; </w:t>
      </w:r>
    </w:p>
    <w:p w14:paraId="0E3AC510"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Нагрузка на ось не должна превышать 18 т; </w:t>
      </w:r>
    </w:p>
    <w:p w14:paraId="7FA6C02A"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 </w:t>
      </w:r>
    </w:p>
    <w:p w14:paraId="3B2704CB"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Боекомплект - 160 снарядов, 30000 патронов для пулеметов Максима и 6000 для ДТ; </w:t>
      </w:r>
    </w:p>
    <w:p w14:paraId="62EFAB32"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е). Пушка должна быть установлена в башне с круговым обстрелом в 360 градусов, углы горизонтального обстрела от -5 до +37 градусов; </w:t>
      </w:r>
    </w:p>
    <w:p w14:paraId="1F8799FF"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Броня - вертикальные и торцевые стенки 16 мм, поверхности, близкие к горизонтальным 10 мм, горизонтальные 8 мм; </w:t>
      </w:r>
    </w:p>
    <w:p w14:paraId="302B96A4"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 Связь - внутренняя телефонная и звуковая, внешняя радиостанция 72 ТК; </w:t>
      </w:r>
    </w:p>
    <w:p w14:paraId="133EE49A"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Экипаж - 15 человек». </w:t>
      </w:r>
    </w:p>
    <w:p w14:paraId="6ED4A54F" w14:textId="77777777" w:rsidR="00C07ED3" w:rsidRPr="007122AB" w:rsidRDefault="00C07E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из-за большой загруженности </w:t>
      </w:r>
      <w:proofErr w:type="spellStart"/>
      <w:r w:rsidRPr="007122AB">
        <w:rPr>
          <w:rFonts w:ascii="Times New Roman" w:hAnsi="Times New Roman"/>
          <w:color w:val="000000" w:themeColor="text1"/>
          <w:sz w:val="16"/>
          <w:szCs w:val="16"/>
        </w:rPr>
        <w:t>опытноконструкторского</w:t>
      </w:r>
      <w:proofErr w:type="spellEnd"/>
      <w:r w:rsidRPr="007122AB">
        <w:rPr>
          <w:rFonts w:ascii="Times New Roman" w:hAnsi="Times New Roman"/>
          <w:color w:val="000000" w:themeColor="text1"/>
          <w:sz w:val="16"/>
          <w:szCs w:val="16"/>
        </w:rPr>
        <w:t xml:space="preserve"> и испытательного бюро (плодовитый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одновременно вел разработку нескольких типов бронеавтомобилей, боевых химических машин, танков, танкеток, вездеходов и т.д.) проект тяжелого однобашенного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Д-6 был готов лишь летом 1932 года (18626).</w:t>
      </w:r>
    </w:p>
    <w:p w14:paraId="6ED6BED5" w14:textId="77777777" w:rsidR="00C07ED3" w:rsidRPr="007122AB" w:rsidRDefault="00C07ED3" w:rsidP="007122AB">
      <w:pPr>
        <w:spacing w:after="0" w:line="240" w:lineRule="auto"/>
        <w:jc w:val="both"/>
        <w:rPr>
          <w:rFonts w:ascii="Times New Roman" w:hAnsi="Times New Roman"/>
          <w:color w:val="000000" w:themeColor="text1"/>
          <w:sz w:val="16"/>
          <w:szCs w:val="16"/>
        </w:rPr>
      </w:pPr>
    </w:p>
    <w:p w14:paraId="3F63EA63" w14:textId="77777777" w:rsidR="003371BD" w:rsidRPr="007122AB" w:rsidRDefault="003371BD" w:rsidP="007122AB">
      <w:pPr>
        <w:pStyle w:val="rtejustify"/>
        <w:spacing w:before="0" w:after="0"/>
        <w:rPr>
          <w:color w:val="000000" w:themeColor="text1"/>
          <w:sz w:val="16"/>
          <w:szCs w:val="16"/>
        </w:rPr>
      </w:pPr>
      <w:r w:rsidRPr="007122AB">
        <w:rPr>
          <w:rStyle w:val="af0"/>
          <w:i w:val="0"/>
          <w:color w:val="000000" w:themeColor="text1"/>
          <w:sz w:val="16"/>
          <w:szCs w:val="16"/>
        </w:rPr>
        <w:t>27 октября 1931 г. Протокол Реввоенсовета № 36.</w:t>
      </w:r>
      <w:r w:rsidRPr="007122AB">
        <w:rPr>
          <w:color w:val="000000" w:themeColor="text1"/>
          <w:sz w:val="16"/>
          <w:szCs w:val="16"/>
        </w:rPr>
        <w:t xml:space="preserve"> 3. Морская программа строительства (Орлов). (РГВА. Ф. 4. Оп. 18. Д. 21. Л. 198</w:t>
      </w:r>
      <w:r w:rsidRPr="007122AB">
        <w:rPr>
          <w:color w:val="000000" w:themeColor="text1"/>
          <w:sz w:val="16"/>
          <w:szCs w:val="16"/>
        </w:rPr>
        <w:noBreakHyphen/>
        <w:t>199) (12342).</w:t>
      </w:r>
    </w:p>
    <w:p w14:paraId="7723BF4A" w14:textId="77777777" w:rsidR="003371BD" w:rsidRPr="007122AB" w:rsidRDefault="003371BD" w:rsidP="007122AB">
      <w:pPr>
        <w:pStyle w:val="rtejustify"/>
        <w:spacing w:before="0" w:after="0"/>
        <w:rPr>
          <w:color w:val="000000" w:themeColor="text1"/>
          <w:sz w:val="16"/>
          <w:szCs w:val="16"/>
        </w:rPr>
      </w:pPr>
    </w:p>
    <w:p w14:paraId="316E663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354B21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5DE5E7D"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октября 1931 Детройтская авиастроительная корпорация объявляет о банкротстве. В конце концов, доля Lockheed в компании выкуплена за счет конкурсного производства (20804).</w:t>
      </w:r>
    </w:p>
    <w:p w14:paraId="1EDBD09B" w14:textId="77777777" w:rsidR="00893CC0" w:rsidRPr="007122AB" w:rsidRDefault="00893CC0" w:rsidP="007122AB">
      <w:pPr>
        <w:spacing w:after="0" w:line="240" w:lineRule="auto"/>
        <w:jc w:val="both"/>
        <w:rPr>
          <w:rFonts w:ascii="Times New Roman" w:hAnsi="Times New Roman"/>
          <w:color w:val="000000" w:themeColor="text1"/>
          <w:sz w:val="16"/>
          <w:szCs w:val="16"/>
        </w:rPr>
      </w:pPr>
    </w:p>
    <w:p w14:paraId="71DE9E86"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27–28 октября 1931 в качестве испытания второго моноплана дальнего действия </w:t>
      </w:r>
      <w:proofErr w:type="spellStart"/>
      <w:r w:rsidRPr="007122AB">
        <w:rPr>
          <w:rFonts w:ascii="Times New Roman" w:hAnsi="Times New Roman"/>
          <w:color w:val="000000" w:themeColor="text1"/>
          <w:sz w:val="16"/>
          <w:szCs w:val="16"/>
        </w:rPr>
        <w:t>Fairey</w:t>
      </w:r>
      <w:proofErr w:type="spellEnd"/>
      <w:r w:rsidRPr="007122AB">
        <w:rPr>
          <w:rFonts w:ascii="Times New Roman" w:hAnsi="Times New Roman"/>
          <w:color w:val="000000" w:themeColor="text1"/>
          <w:sz w:val="16"/>
          <w:szCs w:val="16"/>
        </w:rPr>
        <w:t xml:space="preserve"> в рамках подготовки к более поздней попытке установить новый рекорд беспосадочного полета командир эскадрильи Королевских ВВС Освальд Р. </w:t>
      </w:r>
      <w:proofErr w:type="spellStart"/>
      <w:r w:rsidRPr="007122AB">
        <w:rPr>
          <w:rFonts w:ascii="Times New Roman" w:hAnsi="Times New Roman"/>
          <w:color w:val="000000" w:themeColor="text1"/>
          <w:sz w:val="16"/>
          <w:szCs w:val="16"/>
        </w:rPr>
        <w:t>Гейфорд</w:t>
      </w:r>
      <w:proofErr w:type="spellEnd"/>
      <w:r w:rsidRPr="007122AB">
        <w:rPr>
          <w:rFonts w:ascii="Times New Roman" w:hAnsi="Times New Roman"/>
          <w:color w:val="000000" w:themeColor="text1"/>
          <w:sz w:val="16"/>
          <w:szCs w:val="16"/>
        </w:rPr>
        <w:t xml:space="preserve"> и лейтенант DLG Бетт вылетают из RAF </w:t>
      </w:r>
      <w:proofErr w:type="spellStart"/>
      <w:r w:rsidRPr="007122AB">
        <w:rPr>
          <w:rFonts w:ascii="Times New Roman" w:hAnsi="Times New Roman"/>
          <w:color w:val="000000" w:themeColor="text1"/>
          <w:sz w:val="16"/>
          <w:szCs w:val="16"/>
        </w:rPr>
        <w:t>Cranwell</w:t>
      </w:r>
      <w:proofErr w:type="spellEnd"/>
      <w:r w:rsidRPr="007122AB">
        <w:rPr>
          <w:rFonts w:ascii="Times New Roman" w:hAnsi="Times New Roman"/>
          <w:color w:val="000000" w:themeColor="text1"/>
          <w:sz w:val="16"/>
          <w:szCs w:val="16"/>
        </w:rPr>
        <w:t xml:space="preserve"> в Англии и RAF </w:t>
      </w:r>
      <w:proofErr w:type="spellStart"/>
      <w:r w:rsidRPr="007122AB">
        <w:rPr>
          <w:rFonts w:ascii="Times New Roman" w:hAnsi="Times New Roman"/>
          <w:color w:val="000000" w:themeColor="text1"/>
          <w:sz w:val="16"/>
          <w:szCs w:val="16"/>
        </w:rPr>
        <w:t>Abu</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Sueir</w:t>
      </w:r>
      <w:proofErr w:type="spellEnd"/>
      <w:r w:rsidRPr="007122AB">
        <w:rPr>
          <w:rFonts w:ascii="Times New Roman" w:hAnsi="Times New Roman"/>
          <w:color w:val="000000" w:themeColor="text1"/>
          <w:sz w:val="16"/>
          <w:szCs w:val="16"/>
        </w:rPr>
        <w:t xml:space="preserve"> в Египте в беспосадочный перелет на 2 857 миль (4 601 км) за 31 час (20804).</w:t>
      </w:r>
    </w:p>
    <w:p w14:paraId="0474812E" w14:textId="77777777" w:rsidR="00893CC0" w:rsidRPr="007122AB" w:rsidRDefault="00893CC0" w:rsidP="007122AB">
      <w:pPr>
        <w:spacing w:after="0" w:line="240" w:lineRule="auto"/>
        <w:jc w:val="both"/>
        <w:rPr>
          <w:rFonts w:ascii="Times New Roman" w:hAnsi="Times New Roman"/>
          <w:color w:val="000000" w:themeColor="text1"/>
          <w:sz w:val="16"/>
          <w:szCs w:val="16"/>
        </w:rPr>
      </w:pPr>
    </w:p>
    <w:p w14:paraId="048C76FD"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октября 1931 - Рут Роуленд Николс(</w:t>
      </w:r>
      <w:proofErr w:type="spellStart"/>
      <w:r w:rsidRPr="007122AB">
        <w:rPr>
          <w:rFonts w:ascii="Times New Roman" w:hAnsi="Times New Roman"/>
          <w:color w:val="000000" w:themeColor="text1"/>
          <w:sz w:val="16"/>
          <w:szCs w:val="16"/>
        </w:rPr>
        <w:t>Ruth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Rowland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Nichols</w:t>
      </w:r>
      <w:proofErr w:type="spellEnd"/>
      <w:r w:rsidRPr="007122AB">
        <w:rPr>
          <w:rFonts w:ascii="Times New Roman" w:hAnsi="Times New Roman"/>
          <w:color w:val="000000" w:themeColor="text1"/>
          <w:sz w:val="16"/>
          <w:szCs w:val="16"/>
        </w:rPr>
        <w:t xml:space="preserve">) установила женский мировой рекорд FAI, беспосадочного перелёта(по прямой 3182,65 км 1977,607 статутных миль) на самолёте  Lockheed Model 5 </w:t>
      </w:r>
      <w:proofErr w:type="spellStart"/>
      <w:r w:rsidRPr="007122AB">
        <w:rPr>
          <w:rFonts w:ascii="Times New Roman" w:hAnsi="Times New Roman"/>
          <w:color w:val="000000" w:themeColor="text1"/>
          <w:sz w:val="16"/>
          <w:szCs w:val="16"/>
        </w:rPr>
        <w:t>Vega</w:t>
      </w:r>
      <w:proofErr w:type="spellEnd"/>
      <w:r w:rsidRPr="007122AB">
        <w:rPr>
          <w:rFonts w:ascii="Times New Roman" w:hAnsi="Times New Roman"/>
          <w:color w:val="000000" w:themeColor="text1"/>
          <w:sz w:val="16"/>
          <w:szCs w:val="16"/>
        </w:rPr>
        <w:t xml:space="preserve"> Special </w:t>
      </w:r>
      <w:proofErr w:type="spellStart"/>
      <w:r w:rsidRPr="007122AB">
        <w:rPr>
          <w:rFonts w:ascii="Times New Roman" w:hAnsi="Times New Roman"/>
          <w:color w:val="000000" w:themeColor="text1"/>
          <w:sz w:val="16"/>
          <w:szCs w:val="16"/>
        </w:rPr>
        <w:t>reg</w:t>
      </w:r>
      <w:proofErr w:type="spellEnd"/>
      <w:r w:rsidRPr="007122AB">
        <w:rPr>
          <w:rFonts w:ascii="Times New Roman" w:hAnsi="Times New Roman"/>
          <w:color w:val="000000" w:themeColor="text1"/>
          <w:sz w:val="16"/>
          <w:szCs w:val="16"/>
        </w:rPr>
        <w:t xml:space="preserve"> NR496M  собственное имя </w:t>
      </w:r>
      <w:proofErr w:type="spellStart"/>
      <w:r w:rsidRPr="007122AB">
        <w:rPr>
          <w:rFonts w:ascii="Times New Roman" w:hAnsi="Times New Roman"/>
          <w:color w:val="000000" w:themeColor="text1"/>
          <w:sz w:val="16"/>
          <w:szCs w:val="16"/>
        </w:rPr>
        <w:t>Akita</w:t>
      </w:r>
      <w:proofErr w:type="spellEnd"/>
      <w:r w:rsidRPr="007122AB">
        <w:rPr>
          <w:rFonts w:ascii="Times New Roman" w:hAnsi="Times New Roman"/>
          <w:color w:val="000000" w:themeColor="text1"/>
          <w:sz w:val="16"/>
          <w:szCs w:val="16"/>
        </w:rPr>
        <w:t>.</w:t>
      </w:r>
    </w:p>
    <w:p w14:paraId="1BBD8102"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3 месяца до этого, </w:t>
      </w:r>
      <w:proofErr w:type="spellStart"/>
      <w:r w:rsidRPr="007122AB">
        <w:rPr>
          <w:rFonts w:ascii="Times New Roman" w:hAnsi="Times New Roman"/>
          <w:color w:val="000000" w:themeColor="text1"/>
          <w:sz w:val="16"/>
          <w:szCs w:val="16"/>
        </w:rPr>
        <w:t>Ruth</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Rowland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Nichols</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Akita</w:t>
      </w:r>
      <w:proofErr w:type="spellEnd"/>
      <w:r w:rsidRPr="007122AB">
        <w:rPr>
          <w:rFonts w:ascii="Times New Roman" w:hAnsi="Times New Roman"/>
          <w:color w:val="000000" w:themeColor="text1"/>
          <w:sz w:val="16"/>
          <w:szCs w:val="16"/>
        </w:rPr>
        <w:t xml:space="preserve">  попали в аварию. У Рут было 5 переломов и повреждён позвоночник. На </w:t>
      </w:r>
      <w:proofErr w:type="spellStart"/>
      <w:r w:rsidRPr="007122AB">
        <w:rPr>
          <w:rFonts w:ascii="Times New Roman" w:hAnsi="Times New Roman"/>
          <w:color w:val="000000" w:themeColor="text1"/>
          <w:sz w:val="16"/>
          <w:szCs w:val="16"/>
        </w:rPr>
        <w:t>Akita</w:t>
      </w:r>
      <w:proofErr w:type="spellEnd"/>
      <w:r w:rsidRPr="007122AB">
        <w:rPr>
          <w:rFonts w:ascii="Times New Roman" w:hAnsi="Times New Roman"/>
          <w:color w:val="000000" w:themeColor="text1"/>
          <w:sz w:val="16"/>
          <w:szCs w:val="16"/>
        </w:rPr>
        <w:t xml:space="preserve">, при аварийной посадке на склон холма, вырвало </w:t>
      </w: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xml:space="preserve"> с двигателем и стойку шасси.</w:t>
      </w:r>
    </w:p>
    <w:p w14:paraId="500AECF0"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рекордный полёт, Рут Николс вылетела в металлическом корсете. Маршрут LA-NY. До Нью-Йорка не долетела, приземлилась на аэродроме Боулинг-Филд, Луисвилл, штат Кентукки. В этом полёте она побила предыдущий рекорд француженки мадемуазель Мариз Басти  из Парижа, Франция, в </w:t>
      </w:r>
      <w:proofErr w:type="spellStart"/>
      <w:r w:rsidRPr="007122AB">
        <w:rPr>
          <w:rFonts w:ascii="Times New Roman" w:hAnsi="Times New Roman"/>
          <w:color w:val="000000" w:themeColor="text1"/>
          <w:sz w:val="16"/>
          <w:szCs w:val="16"/>
        </w:rPr>
        <w:t>Удино</w:t>
      </w:r>
      <w:proofErr w:type="spellEnd"/>
      <w:r w:rsidRPr="007122AB">
        <w:rPr>
          <w:rFonts w:ascii="Times New Roman" w:hAnsi="Times New Roman"/>
          <w:color w:val="000000" w:themeColor="text1"/>
          <w:sz w:val="16"/>
          <w:szCs w:val="16"/>
        </w:rPr>
        <w:t>, СССР от 29 июня 1931 года.</w:t>
      </w:r>
    </w:p>
    <w:p w14:paraId="4E308A67"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Утром 27 октября, Рут решила продолжить полёт до NY, но после запуска мотора от </w:t>
      </w:r>
      <w:proofErr w:type="spellStart"/>
      <w:r w:rsidRPr="007122AB">
        <w:rPr>
          <w:rFonts w:ascii="Times New Roman" w:hAnsi="Times New Roman"/>
          <w:color w:val="000000" w:themeColor="text1"/>
          <w:sz w:val="16"/>
          <w:szCs w:val="16"/>
        </w:rPr>
        <w:t>пиростартера</w:t>
      </w:r>
      <w:proofErr w:type="spellEnd"/>
      <w:r w:rsidRPr="007122AB">
        <w:rPr>
          <w:rFonts w:ascii="Times New Roman" w:hAnsi="Times New Roman"/>
          <w:color w:val="000000" w:themeColor="text1"/>
          <w:sz w:val="16"/>
          <w:szCs w:val="16"/>
        </w:rPr>
        <w:t>, от тряски выбило клапан аварийного слива топлива. Бензин залил площадку под самолётом и вспыхнул. Рут успела выключить мотор и выпрыгнуть из горящего самолёта. От самолёта, упавшую женщину, оттащила стартовая команда. Самолёт сгорел полностью.</w:t>
      </w:r>
    </w:p>
    <w:p w14:paraId="373A7BBE" w14:textId="77777777" w:rsidR="00893CC0" w:rsidRPr="007122AB" w:rsidRDefault="00893CC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NR496M серийный 619, принадлежал Пауэллу </w:t>
      </w:r>
      <w:proofErr w:type="spellStart"/>
      <w:r w:rsidRPr="007122AB">
        <w:rPr>
          <w:rFonts w:ascii="Times New Roman" w:hAnsi="Times New Roman"/>
          <w:color w:val="000000" w:themeColor="text1"/>
          <w:sz w:val="16"/>
          <w:szCs w:val="16"/>
        </w:rPr>
        <w:t>Кросли</w:t>
      </w:r>
      <w:proofErr w:type="spellEnd"/>
      <w:r w:rsidRPr="007122AB">
        <w:rPr>
          <w:rFonts w:ascii="Times New Roman" w:hAnsi="Times New Roman"/>
          <w:color w:val="000000" w:themeColor="text1"/>
          <w:sz w:val="16"/>
          <w:szCs w:val="16"/>
        </w:rPr>
        <w:t xml:space="preserve"> младшему основателю </w:t>
      </w:r>
      <w:proofErr w:type="spellStart"/>
      <w:r w:rsidRPr="007122AB">
        <w:rPr>
          <w:rFonts w:ascii="Times New Roman" w:hAnsi="Times New Roman"/>
          <w:color w:val="000000" w:themeColor="text1"/>
          <w:sz w:val="16"/>
          <w:szCs w:val="16"/>
        </w:rPr>
        <w:t>Crosley</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radio</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corporation</w:t>
      </w:r>
      <w:proofErr w:type="spellEnd"/>
      <w:r w:rsidRPr="007122AB">
        <w:rPr>
          <w:rFonts w:ascii="Times New Roman" w:hAnsi="Times New Roman"/>
          <w:color w:val="000000" w:themeColor="text1"/>
          <w:sz w:val="16"/>
          <w:szCs w:val="16"/>
        </w:rPr>
        <w:t xml:space="preserve"> и был арендован Рут Николс за 1 доллар (обычная практика тех лет) (22324).</w:t>
      </w:r>
    </w:p>
    <w:p w14:paraId="59A9F832" w14:textId="77777777" w:rsidR="00893CC0" w:rsidRPr="007122AB" w:rsidRDefault="00893CC0" w:rsidP="007122AB">
      <w:pPr>
        <w:spacing w:after="0" w:line="240" w:lineRule="auto"/>
        <w:jc w:val="both"/>
        <w:rPr>
          <w:rFonts w:ascii="Times New Roman" w:hAnsi="Times New Roman"/>
          <w:color w:val="000000" w:themeColor="text1"/>
          <w:sz w:val="16"/>
          <w:szCs w:val="16"/>
        </w:rPr>
      </w:pPr>
    </w:p>
    <w:p w14:paraId="1340C8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октября 1931 года «Акрон» был официально принят флотом США. С этого дня началась военная служба, если можно считать ее таковой, для дирижабля, который все еще не был доведен до приемлемого эксплуатационного состояния. Так, ZSR-4 мог действовать на высотах до 1500 м, но иногда этого было недостаточно. Часто возникала необходимость, особенно при трансконтинентальных полетах, преодолевать горы высотой более 3000 м. Если не считать этих мелких недоработок, «Акрон» показывал себя с лучшей стороны. 3 ноября 1931 года дирижабль поднялся в воздух с 207 пассажирами на борту, что было доселе невиданным делом. В январе 1932 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37669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844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October 27, 1931 The rigid airship Akron (ZRS-4), having made its first trial flight on 23 September 1931 at Akron, Ohio, was commissioned at NAS Lakehurst with Lieutenant Commander C. E. Rosendahl as Commanding Officer (1090).</w:t>
      </w:r>
    </w:p>
    <w:p w14:paraId="4B3263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67271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октября 1931 жесткий дирижабль Акрон, выполнивший первый полет 23 сентября 1931, был принят в строй (1090).</w:t>
      </w:r>
    </w:p>
    <w:p w14:paraId="60E10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3685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октября 1931 года опытный образец самолета впервые состыковался с перекладиной дирижабля «Лос-Анджелес». В середине 1930 года дополнительно закупили 6 учебных бипланов </w:t>
      </w:r>
      <w:proofErr w:type="spellStart"/>
      <w:r w:rsidRPr="007122AB">
        <w:rPr>
          <w:rFonts w:ascii="Times New Roman" w:hAnsi="Times New Roman"/>
          <w:color w:val="000000" w:themeColor="text1"/>
          <w:sz w:val="16"/>
          <w:szCs w:val="16"/>
        </w:rPr>
        <w:t>Консолидейтед</w:t>
      </w:r>
      <w:proofErr w:type="spellEnd"/>
      <w:r w:rsidRPr="007122AB">
        <w:rPr>
          <w:rFonts w:ascii="Times New Roman" w:hAnsi="Times New Roman"/>
          <w:color w:val="000000" w:themeColor="text1"/>
          <w:sz w:val="16"/>
          <w:szCs w:val="16"/>
        </w:rPr>
        <w:t xml:space="preserve"> N2Y-1, оборудованных стыковочным крюком и использовавшихся для обучения летчиков стыковочным и </w:t>
      </w:r>
      <w:proofErr w:type="spellStart"/>
      <w:r w:rsidRPr="007122AB">
        <w:rPr>
          <w:rFonts w:ascii="Times New Roman" w:hAnsi="Times New Roman"/>
          <w:color w:val="000000" w:themeColor="text1"/>
          <w:sz w:val="16"/>
          <w:szCs w:val="16"/>
        </w:rPr>
        <w:t>расстыковочным</w:t>
      </w:r>
      <w:proofErr w:type="spellEnd"/>
      <w:r w:rsidRPr="007122AB">
        <w:rPr>
          <w:rFonts w:ascii="Times New Roman" w:hAnsi="Times New Roman"/>
          <w:color w:val="000000" w:themeColor="text1"/>
          <w:sz w:val="16"/>
          <w:szCs w:val="16"/>
        </w:rPr>
        <w:t xml:space="preserve">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2AA7F38B" w14:textId="68A37DA3"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17D07F" w14:textId="0FFA0530" w:rsidR="00893CC0" w:rsidRPr="007122AB" w:rsidRDefault="00893CC0"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5F33886" w14:textId="77777777" w:rsidR="00893CC0" w:rsidRPr="007122AB" w:rsidRDefault="00893CC0"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0836E767" w14:textId="77777777" w:rsidR="0097726A" w:rsidRPr="007122AB" w:rsidRDefault="00A9405B" w:rsidP="007122AB">
      <w:pPr>
        <w:spacing w:after="0" w:line="240" w:lineRule="auto"/>
        <w:jc w:val="both"/>
        <w:rPr>
          <w:rFonts w:ascii="Times New Roman" w:hAnsi="Times New Roman"/>
          <w:color w:val="000000" w:themeColor="text1"/>
          <w:sz w:val="16"/>
          <w:szCs w:val="16"/>
          <w:lang w:eastAsia="ru-RU"/>
        </w:rPr>
      </w:pPr>
      <w:r w:rsidRPr="007122AB">
        <w:rPr>
          <w:rFonts w:ascii="Times New Roman" w:hAnsi="Times New Roman"/>
          <w:color w:val="000000" w:themeColor="text1"/>
          <w:sz w:val="16"/>
          <w:szCs w:val="16"/>
        </w:rPr>
        <w:t xml:space="preserve">Не ранее 29 октября 1931 г. </w:t>
      </w:r>
      <w:bookmarkStart w:id="23" w:name="_ednref1"/>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 xml:space="preserve"> HYPERLINK "http://www.great-country.ru/content/sssr_stat/ind_1929-1932/ind_1929-1932-016.php" \l "_edn1" \o "" </w:instrText>
      </w:r>
      <w:r w:rsidR="00BE7680" w:rsidRPr="007122AB">
        <w:rPr>
          <w:rFonts w:ascii="Times New Roman" w:hAnsi="Times New Roman"/>
          <w:color w:val="000000" w:themeColor="text1"/>
          <w:sz w:val="16"/>
          <w:szCs w:val="16"/>
        </w:rPr>
      </w:r>
      <w:r w:rsidR="00BE7680" w:rsidRPr="007122AB">
        <w:rPr>
          <w:rFonts w:ascii="Times New Roman" w:hAnsi="Times New Roman"/>
          <w:color w:val="000000" w:themeColor="text1"/>
          <w:sz w:val="16"/>
          <w:szCs w:val="16"/>
        </w:rPr>
        <w:fldChar w:fldCharType="separate"/>
      </w:r>
      <w:r w:rsidRPr="007122AB">
        <w:rPr>
          <w:rStyle w:val="a5"/>
          <w:rFonts w:ascii="Times New Roman" w:hAnsi="Times New Roman"/>
          <w:color w:val="000000" w:themeColor="text1"/>
          <w:sz w:val="16"/>
          <w:szCs w:val="16"/>
        </w:rPr>
        <w:t>[1]</w:t>
      </w:r>
      <w:r w:rsidR="00BE7680" w:rsidRPr="007122AB">
        <w:rPr>
          <w:rFonts w:ascii="Times New Roman" w:hAnsi="Times New Roman"/>
          <w:color w:val="000000" w:themeColor="text1"/>
          <w:sz w:val="16"/>
          <w:szCs w:val="16"/>
        </w:rPr>
        <w:fldChar w:fldCharType="end"/>
      </w:r>
      <w:bookmarkEnd w:id="23"/>
      <w:r w:rsidR="0097726A" w:rsidRPr="007122AB">
        <w:rPr>
          <w:rStyle w:val="a7"/>
          <w:rFonts w:ascii="Times New Roman" w:hAnsi="Times New Roman"/>
          <w:b w:val="0"/>
          <w:color w:val="000000" w:themeColor="text1"/>
          <w:sz w:val="16"/>
          <w:szCs w:val="16"/>
        </w:rPr>
        <w:t xml:space="preserve">Из докладной записки коллегии </w:t>
      </w:r>
      <w:proofErr w:type="spellStart"/>
      <w:r w:rsidR="0097726A" w:rsidRPr="007122AB">
        <w:rPr>
          <w:rStyle w:val="a7"/>
          <w:rFonts w:ascii="Times New Roman" w:hAnsi="Times New Roman"/>
          <w:b w:val="0"/>
          <w:color w:val="000000" w:themeColor="text1"/>
          <w:sz w:val="16"/>
          <w:szCs w:val="16"/>
        </w:rPr>
        <w:t>Наркомтруда</w:t>
      </w:r>
      <w:proofErr w:type="spellEnd"/>
      <w:r w:rsidR="0097726A" w:rsidRPr="007122AB">
        <w:rPr>
          <w:rStyle w:val="a7"/>
          <w:rFonts w:ascii="Times New Roman" w:hAnsi="Times New Roman"/>
          <w:b w:val="0"/>
          <w:color w:val="000000" w:themeColor="text1"/>
          <w:sz w:val="16"/>
          <w:szCs w:val="16"/>
        </w:rPr>
        <w:t xml:space="preserve"> СССР в Совнарком СССР об организации труда и системе заработной платы</w:t>
      </w:r>
    </w:p>
    <w:p w14:paraId="3D580DF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III. Организация труда и система заработной платы </w:t>
      </w:r>
    </w:p>
    <w:p w14:paraId="761CBBBB"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Реконструктивный период социалистического строительства, рост производственной активности рабочих, что находит свое выражение в развертывании социалистических форм труда (соцсоревнование, ударничество, охватившее 3,5 млн. ударников, хозрасчетные бригады и др.), требуют решительных мероприятий по организации труда в производстве и правильному использованию рабочей силы.</w:t>
      </w:r>
    </w:p>
    <w:p w14:paraId="475AF09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Важнейшей предпосылкой организации труда и правильного использования рабочей силы является внедрение технического нормирования во всех основных отраслях народного хозяйства. Однако состояние технического нормирования на предприятиях при наличии некоторых сдвигов в сторону улучшения все еще не обеспечивает бурных темпов роста промышленности и не отвечает предъявляемым к техническому нормированию требованиям. На большинстве предприятий технико-нормировочная работа находится в зачаточном состоянии, что объясняется недооценкой этой работы хозорганами и слабостью технико-нормировочного аппарата.</w:t>
      </w:r>
    </w:p>
    <w:p w14:paraId="06CBB96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сих пор вместо предварительного изучения технологических процессов производства устанавливаются нормы «на глазок». Наиболее широко распространено на предприятиях применение так называемых опытно статистических норм, которые по существу не нормируют, а фиксируют выработку рабочих. Полных сведений о техническом нормировании не имеется. По отдельным заводам на май месяц 1931 г. нормированием охвачено: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58"/>
        <w:gridCol w:w="1882"/>
        <w:gridCol w:w="3437"/>
      </w:tblGrid>
      <w:tr w:rsidR="001002C3" w:rsidRPr="007122AB" w14:paraId="064457D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09560C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DAE14B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им. Дзержинского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5CD42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[Заводы] им. Петровского и им. Ленина [вместе] </w:t>
            </w:r>
          </w:p>
        </w:tc>
      </w:tr>
      <w:tr w:rsidR="001002C3" w:rsidRPr="007122AB" w14:paraId="5A2FE15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6EB250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Техническое нормирование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F9624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B3C0F9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w:t>
            </w:r>
          </w:p>
        </w:tc>
      </w:tr>
      <w:tr w:rsidR="001002C3" w:rsidRPr="007122AB" w14:paraId="14B9B6F1"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9E572C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Опытно-статистические нормы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270BC1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72,0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9EBC38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59 </w:t>
            </w:r>
          </w:p>
        </w:tc>
      </w:tr>
      <w:tr w:rsidR="001002C3" w:rsidRPr="007122AB" w14:paraId="3A1CB22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3ABF04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Ненормированные работы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62E8F0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3316C8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38,7 </w:t>
            </w:r>
          </w:p>
        </w:tc>
      </w:tr>
      <w:tr w:rsidR="001002C3" w:rsidRPr="007122AB" w14:paraId="445B4D8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9EC91A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39DD3E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8D6D2A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100% </w:t>
            </w:r>
          </w:p>
        </w:tc>
      </w:tr>
    </w:tbl>
    <w:p w14:paraId="7DBAAC47"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этим охват сдельщиной в 1931 г. совершенно недостаточный. Например, по всей промышленности в 1929 г. процент охвата сдельной работой выражается в 62,5, в 1930 г. — 58,6. По отдельным объединениям перевод на сдельщину характеризуется следующими данными: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9"/>
        <w:gridCol w:w="566"/>
        <w:gridCol w:w="581"/>
      </w:tblGrid>
      <w:tr w:rsidR="001002C3" w:rsidRPr="007122AB" w14:paraId="3A44EC22"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D70176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03DBA2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1929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B1C5DB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1930 г. </w:t>
            </w:r>
          </w:p>
        </w:tc>
      </w:tr>
      <w:tr w:rsidR="001002C3" w:rsidRPr="007122AB" w14:paraId="721BB189"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123B17E" w14:textId="77777777" w:rsidR="0097726A" w:rsidRPr="007122AB" w:rsidRDefault="0097726A" w:rsidP="007122AB">
            <w:pPr>
              <w:spacing w:after="0" w:line="240" w:lineRule="auto"/>
              <w:jc w:val="both"/>
              <w:rPr>
                <w:rFonts w:ascii="Times New Roman" w:hAnsi="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5CD9C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 </w:t>
            </w:r>
          </w:p>
        </w:tc>
      </w:tr>
      <w:tr w:rsidR="001002C3" w:rsidRPr="007122AB" w14:paraId="5FBF3AB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B76BEF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Металлургия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880C3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69,0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F49DD6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63,8 </w:t>
            </w:r>
          </w:p>
        </w:tc>
      </w:tr>
      <w:tr w:rsidR="001002C3" w:rsidRPr="007122AB" w14:paraId="3AFCA598"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63D56B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Машиностроение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33FC6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62,2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766BA0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56,5 </w:t>
            </w:r>
          </w:p>
        </w:tc>
      </w:tr>
      <w:tr w:rsidR="001002C3" w:rsidRPr="007122AB" w14:paraId="7B534C4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969917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Тракторное машиностроение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1FE1C2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71,6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C8AFE8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65,5 </w:t>
            </w:r>
          </w:p>
        </w:tc>
      </w:tr>
      <w:tr w:rsidR="001002C3" w:rsidRPr="007122AB" w14:paraId="37F4CC4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5A1DAF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Электротехническое производство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D5B19B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56,4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AF65A5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48,5 </w:t>
            </w:r>
          </w:p>
        </w:tc>
      </w:tr>
      <w:tr w:rsidR="001002C3" w:rsidRPr="007122AB" w14:paraId="424B00E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54E296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Каменноугольная промышленность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297D55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52,3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5E08B4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53,5 </w:t>
            </w:r>
          </w:p>
        </w:tc>
      </w:tr>
      <w:tr w:rsidR="001002C3" w:rsidRPr="007122AB" w14:paraId="6C84555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26D572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Химическая промышленность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7B4915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5377B5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52,9 </w:t>
            </w:r>
          </w:p>
        </w:tc>
      </w:tr>
    </w:tbl>
    <w:p w14:paraId="2BCA80B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Данных о переводе на сдельщину в 1931 г. по этим объединениям не имеется, а по отдельным предприятиям процент сдельщины колеблется от 40 до 70.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482"/>
        <w:gridCol w:w="994"/>
        <w:gridCol w:w="1371"/>
      </w:tblGrid>
      <w:tr w:rsidR="001002C3" w:rsidRPr="007122AB" w14:paraId="087C5867"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2B8901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D7BE71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1930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55D546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Февраль 1931 г. % </w:t>
            </w:r>
          </w:p>
        </w:tc>
      </w:tr>
      <w:tr w:rsidR="001002C3" w:rsidRPr="007122AB" w14:paraId="6AF6B3CE"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5581E7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им. Калинина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0968EA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56,7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EB966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60,1 </w:t>
            </w:r>
          </w:p>
        </w:tc>
      </w:tr>
      <w:tr w:rsidR="001002C3" w:rsidRPr="007122AB" w14:paraId="3B2DE36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55CC85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Владимира Ильича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37F929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54,7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0279FE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60,9 </w:t>
            </w:r>
          </w:p>
        </w:tc>
      </w:tr>
      <w:tr w:rsidR="001002C3" w:rsidRPr="007122AB" w14:paraId="46ADB509"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794D0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Красный факел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A8C7C8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67,8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A930ED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66,2 </w:t>
            </w:r>
          </w:p>
        </w:tc>
      </w:tr>
      <w:tr w:rsidR="001002C3" w:rsidRPr="007122AB" w14:paraId="67146D1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106ED1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Серп и молот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C1740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68,1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8C012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63,6 </w:t>
            </w:r>
          </w:p>
        </w:tc>
      </w:tr>
      <w:tr w:rsidR="001002C3" w:rsidRPr="007122AB" w14:paraId="5F1558EE"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5A9C8E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Металлист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D8BF1B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67,7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CC5107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61,5 </w:t>
            </w:r>
          </w:p>
        </w:tc>
      </w:tr>
      <w:tr w:rsidR="001002C3" w:rsidRPr="007122AB" w14:paraId="5B0DB3F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01893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Электрозавод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2F8D167"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E86238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46,0 </w:t>
            </w:r>
          </w:p>
        </w:tc>
      </w:tr>
      <w:tr w:rsidR="001002C3" w:rsidRPr="007122AB" w14:paraId="5E73517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7BE7807"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им. Сталина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10F883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сведений нет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BE8D65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49,0 </w:t>
            </w:r>
          </w:p>
        </w:tc>
      </w:tr>
    </w:tbl>
    <w:p w14:paraId="090A4E1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Что касается внедрения </w:t>
      </w:r>
      <w:proofErr w:type="spellStart"/>
      <w:r w:rsidRPr="007122AB">
        <w:rPr>
          <w:rFonts w:ascii="Times New Roman" w:hAnsi="Times New Roman"/>
          <w:color w:val="000000" w:themeColor="text1"/>
          <w:sz w:val="16"/>
          <w:szCs w:val="16"/>
        </w:rPr>
        <w:t>технормирования</w:t>
      </w:r>
      <w:proofErr w:type="spellEnd"/>
      <w:r w:rsidRPr="007122AB">
        <w:rPr>
          <w:rFonts w:ascii="Times New Roman" w:hAnsi="Times New Roman"/>
          <w:color w:val="000000" w:themeColor="text1"/>
          <w:sz w:val="16"/>
          <w:szCs w:val="16"/>
        </w:rPr>
        <w:t xml:space="preserve"> в различные работы, то по отдельным заводам мы имеем следующие цифры: на Люберецком заводе только 40% сдельщины имеют действительно технические нормы, завод «Красная звезда» — 37,6 и т.д. В угольной промышленности и до сих пор часто применяются </w:t>
      </w:r>
      <w:proofErr w:type="spellStart"/>
      <w:r w:rsidRPr="007122AB">
        <w:rPr>
          <w:rFonts w:ascii="Times New Roman" w:hAnsi="Times New Roman"/>
          <w:color w:val="000000" w:themeColor="text1"/>
          <w:sz w:val="16"/>
          <w:szCs w:val="16"/>
        </w:rPr>
        <w:t>опытностатистические</w:t>
      </w:r>
      <w:proofErr w:type="spellEnd"/>
      <w:r w:rsidRPr="007122AB">
        <w:rPr>
          <w:rFonts w:ascii="Times New Roman" w:hAnsi="Times New Roman"/>
          <w:color w:val="000000" w:themeColor="text1"/>
          <w:sz w:val="16"/>
          <w:szCs w:val="16"/>
        </w:rPr>
        <w:t xml:space="preserve"> нормы, в результате чего в отдельных случаях проявляется «боязнь рабочего увеличивать производительность труда, чтобы не снизить расценки» (заявление бригады шахты 12/68 «Буденовка»). </w:t>
      </w:r>
    </w:p>
    <w:p w14:paraId="6B62200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водном транспорте техническое нормирование носит формальный характер. Для всех затонов Волжского </w:t>
      </w:r>
      <w:proofErr w:type="spellStart"/>
      <w:r w:rsidRPr="007122AB">
        <w:rPr>
          <w:rFonts w:ascii="Times New Roman" w:hAnsi="Times New Roman"/>
          <w:color w:val="000000" w:themeColor="text1"/>
          <w:sz w:val="16"/>
          <w:szCs w:val="16"/>
        </w:rPr>
        <w:t>госпароходства</w:t>
      </w:r>
      <w:proofErr w:type="spellEnd"/>
      <w:r w:rsidRPr="007122AB">
        <w:rPr>
          <w:rFonts w:ascii="Times New Roman" w:hAnsi="Times New Roman"/>
          <w:color w:val="000000" w:themeColor="text1"/>
          <w:sz w:val="16"/>
          <w:szCs w:val="16"/>
        </w:rPr>
        <w:t xml:space="preserve"> разработаны единые нормы, которые проводятся на местах без всякого учета условий и технических особенностей каждого затона. </w:t>
      </w:r>
    </w:p>
    <w:p w14:paraId="2E742A7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железнодорожном транспорте техническое нормирование находится в зачаточном состоянии. По 36 депо </w:t>
      </w:r>
      <w:proofErr w:type="spellStart"/>
      <w:r w:rsidRPr="007122AB">
        <w:rPr>
          <w:rFonts w:ascii="Times New Roman" w:hAnsi="Times New Roman"/>
          <w:color w:val="000000" w:themeColor="text1"/>
          <w:sz w:val="16"/>
          <w:szCs w:val="16"/>
        </w:rPr>
        <w:t>технормированием</w:t>
      </w:r>
      <w:proofErr w:type="spellEnd"/>
      <w:r w:rsidRPr="007122AB">
        <w:rPr>
          <w:rFonts w:ascii="Times New Roman" w:hAnsi="Times New Roman"/>
          <w:color w:val="000000" w:themeColor="text1"/>
          <w:sz w:val="16"/>
          <w:szCs w:val="16"/>
        </w:rPr>
        <w:t xml:space="preserve"> охвачено всего лишь 2,3% номенклатурных работ. По 25 заводам бывших ВОРЗ из общего количества работ охвачено нормированием 2,5 — 3%. </w:t>
      </w:r>
    </w:p>
    <w:p w14:paraId="398E542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Очень слабо внедряется </w:t>
      </w:r>
      <w:proofErr w:type="spellStart"/>
      <w:r w:rsidRPr="007122AB">
        <w:rPr>
          <w:rFonts w:ascii="Times New Roman" w:hAnsi="Times New Roman"/>
          <w:color w:val="000000" w:themeColor="text1"/>
          <w:sz w:val="16"/>
          <w:szCs w:val="16"/>
        </w:rPr>
        <w:t>технормирование</w:t>
      </w:r>
      <w:proofErr w:type="spellEnd"/>
      <w:r w:rsidRPr="007122AB">
        <w:rPr>
          <w:rFonts w:ascii="Times New Roman" w:hAnsi="Times New Roman"/>
          <w:color w:val="000000" w:themeColor="text1"/>
          <w:sz w:val="16"/>
          <w:szCs w:val="16"/>
        </w:rPr>
        <w:t xml:space="preserve"> в легкую индустрию, за исключением текстильной промышленности, где в связи с переходом на функциональную систему </w:t>
      </w:r>
      <w:proofErr w:type="spellStart"/>
      <w:r w:rsidRPr="007122AB">
        <w:rPr>
          <w:rFonts w:ascii="Times New Roman" w:hAnsi="Times New Roman"/>
          <w:color w:val="000000" w:themeColor="text1"/>
          <w:sz w:val="16"/>
          <w:szCs w:val="16"/>
        </w:rPr>
        <w:t>технормирование</w:t>
      </w:r>
      <w:proofErr w:type="spellEnd"/>
      <w:r w:rsidRPr="007122AB">
        <w:rPr>
          <w:rFonts w:ascii="Times New Roman" w:hAnsi="Times New Roman"/>
          <w:color w:val="000000" w:themeColor="text1"/>
          <w:sz w:val="16"/>
          <w:szCs w:val="16"/>
        </w:rPr>
        <w:t xml:space="preserve"> значительно шагнуло вперед (около.%) </w:t>
      </w:r>
      <w:bookmarkStart w:id="24" w:name="_ednref2"/>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 xml:space="preserve"> HYPERLINK "http://www.great-country.ru/content/sssr_stat/ind_1929-1932/ind_1929-1932-016.php" \l "_edn2" \o "" </w:instrText>
      </w:r>
      <w:r w:rsidR="00BE7680" w:rsidRPr="007122AB">
        <w:rPr>
          <w:rFonts w:ascii="Times New Roman" w:hAnsi="Times New Roman"/>
          <w:color w:val="000000" w:themeColor="text1"/>
          <w:sz w:val="16"/>
          <w:szCs w:val="16"/>
        </w:rPr>
      </w:r>
      <w:r w:rsidR="00BE7680" w:rsidRPr="007122AB">
        <w:rPr>
          <w:rFonts w:ascii="Times New Roman" w:hAnsi="Times New Roman"/>
          <w:color w:val="000000" w:themeColor="text1"/>
          <w:sz w:val="16"/>
          <w:szCs w:val="16"/>
        </w:rPr>
        <w:fldChar w:fldCharType="separate"/>
      </w:r>
      <w:r w:rsidRPr="007122AB">
        <w:rPr>
          <w:rStyle w:val="a5"/>
          <w:rFonts w:ascii="Times New Roman" w:hAnsi="Times New Roman"/>
          <w:color w:val="000000" w:themeColor="text1"/>
          <w:sz w:val="16"/>
          <w:szCs w:val="16"/>
        </w:rPr>
        <w:t>[2]</w:t>
      </w:r>
      <w:r w:rsidR="00BE7680" w:rsidRPr="007122AB">
        <w:rPr>
          <w:rFonts w:ascii="Times New Roman" w:hAnsi="Times New Roman"/>
          <w:color w:val="000000" w:themeColor="text1"/>
          <w:sz w:val="16"/>
          <w:szCs w:val="16"/>
        </w:rPr>
        <w:fldChar w:fldCharType="end"/>
      </w:r>
      <w:bookmarkEnd w:id="24"/>
      <w:r w:rsidRPr="007122AB">
        <w:rPr>
          <w:rFonts w:ascii="Times New Roman" w:hAnsi="Times New Roman"/>
          <w:color w:val="000000" w:themeColor="text1"/>
          <w:sz w:val="16"/>
          <w:szCs w:val="16"/>
        </w:rPr>
        <w:t xml:space="preserve">. Вследствие слабого внедрения </w:t>
      </w:r>
      <w:proofErr w:type="spellStart"/>
      <w:r w:rsidRPr="007122AB">
        <w:rPr>
          <w:rFonts w:ascii="Times New Roman" w:hAnsi="Times New Roman"/>
          <w:color w:val="000000" w:themeColor="text1"/>
          <w:sz w:val="16"/>
          <w:szCs w:val="16"/>
        </w:rPr>
        <w:t>технормированйя</w:t>
      </w:r>
      <w:proofErr w:type="spellEnd"/>
      <w:r w:rsidRPr="007122AB">
        <w:rPr>
          <w:rFonts w:ascii="Times New Roman" w:hAnsi="Times New Roman"/>
          <w:color w:val="000000" w:themeColor="text1"/>
          <w:sz w:val="16"/>
          <w:szCs w:val="16"/>
        </w:rPr>
        <w:t xml:space="preserve"> в ряде отраслей промышленности имеет место неполное использование оборудования, неправильное использование рабочей силы и т.д. По металлопромышленности коэффициент использования станков часто не превышает 50% (Ижорский завод, «АМО», завод </w:t>
      </w:r>
      <w:proofErr w:type="spellStart"/>
      <w:r w:rsidRPr="007122AB">
        <w:rPr>
          <w:rFonts w:ascii="Times New Roman" w:hAnsi="Times New Roman"/>
          <w:color w:val="000000" w:themeColor="text1"/>
          <w:sz w:val="16"/>
          <w:szCs w:val="16"/>
        </w:rPr>
        <w:t>Союзсельмаш</w:t>
      </w:r>
      <w:proofErr w:type="spellEnd"/>
      <w:r w:rsidRPr="007122AB">
        <w:rPr>
          <w:rFonts w:ascii="Times New Roman" w:hAnsi="Times New Roman"/>
          <w:color w:val="000000" w:themeColor="text1"/>
          <w:sz w:val="16"/>
          <w:szCs w:val="16"/>
        </w:rPr>
        <w:t xml:space="preserve"> и др.). По строительной промышленности коэффициент использования стройматериалов по всем трестам </w:t>
      </w:r>
      <w:proofErr w:type="spellStart"/>
      <w:r w:rsidRPr="007122AB">
        <w:rPr>
          <w:rFonts w:ascii="Times New Roman" w:hAnsi="Times New Roman"/>
          <w:color w:val="000000" w:themeColor="text1"/>
          <w:sz w:val="16"/>
          <w:szCs w:val="16"/>
        </w:rPr>
        <w:t>Союзстроя</w:t>
      </w:r>
      <w:proofErr w:type="spellEnd"/>
      <w:r w:rsidRPr="007122AB">
        <w:rPr>
          <w:rFonts w:ascii="Times New Roman" w:hAnsi="Times New Roman"/>
          <w:color w:val="000000" w:themeColor="text1"/>
          <w:sz w:val="16"/>
          <w:szCs w:val="16"/>
        </w:rPr>
        <w:t xml:space="preserve">, наряду с большими достижениями (Магнитострой), на отдельных участках все еще низок; например: по бетономешалкам — 18%, гравиемойкам— 26,6%, камнедробилкам — 36% и т.д. По </w:t>
      </w:r>
      <w:proofErr w:type="spellStart"/>
      <w:r w:rsidRPr="007122AB">
        <w:rPr>
          <w:rFonts w:ascii="Times New Roman" w:hAnsi="Times New Roman"/>
          <w:color w:val="000000" w:themeColor="text1"/>
          <w:sz w:val="16"/>
          <w:szCs w:val="16"/>
        </w:rPr>
        <w:t>Мосуглю</w:t>
      </w:r>
      <w:proofErr w:type="spellEnd"/>
      <w:r w:rsidRPr="007122AB">
        <w:rPr>
          <w:rFonts w:ascii="Times New Roman" w:hAnsi="Times New Roman"/>
          <w:color w:val="000000" w:themeColor="text1"/>
          <w:sz w:val="16"/>
          <w:szCs w:val="16"/>
        </w:rPr>
        <w:t xml:space="preserve"> загрузка забойщиков производственной работой составляла 2— 3 часа в смену. </w:t>
      </w:r>
    </w:p>
    <w:p w14:paraId="243E263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Существующие на предприятиях кадры по </w:t>
      </w:r>
      <w:proofErr w:type="spellStart"/>
      <w:r w:rsidRPr="007122AB">
        <w:rPr>
          <w:rFonts w:ascii="Times New Roman" w:hAnsi="Times New Roman"/>
          <w:color w:val="000000" w:themeColor="text1"/>
          <w:sz w:val="16"/>
          <w:szCs w:val="16"/>
        </w:rPr>
        <w:t>технормированию</w:t>
      </w:r>
      <w:proofErr w:type="spellEnd"/>
      <w:r w:rsidRPr="007122AB">
        <w:rPr>
          <w:rFonts w:ascii="Times New Roman" w:hAnsi="Times New Roman"/>
          <w:color w:val="000000" w:themeColor="text1"/>
          <w:sz w:val="16"/>
          <w:szCs w:val="16"/>
        </w:rPr>
        <w:t xml:space="preserve"> слабы по качеству и недостаточны по количеству. Всего только около 20% из общего количества работников по </w:t>
      </w:r>
      <w:proofErr w:type="spellStart"/>
      <w:r w:rsidRPr="007122AB">
        <w:rPr>
          <w:rFonts w:ascii="Times New Roman" w:hAnsi="Times New Roman"/>
          <w:color w:val="000000" w:themeColor="text1"/>
          <w:sz w:val="16"/>
          <w:szCs w:val="16"/>
        </w:rPr>
        <w:t>технормированию</w:t>
      </w:r>
      <w:proofErr w:type="spellEnd"/>
      <w:r w:rsidRPr="007122AB">
        <w:rPr>
          <w:rFonts w:ascii="Times New Roman" w:hAnsi="Times New Roman"/>
          <w:color w:val="000000" w:themeColor="text1"/>
          <w:sz w:val="16"/>
          <w:szCs w:val="16"/>
        </w:rPr>
        <w:t xml:space="preserve"> имеют теоретическую подготовку в этой области. Основная масса нормировщиков — мало подготовленные работники, практиканты или выдвиженцы, с которыми, как правило, никакой работы по повышению квалификации не ведется. </w:t>
      </w:r>
    </w:p>
    <w:p w14:paraId="7F4DF17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целях постановки правильной организации труда, усиления </w:t>
      </w:r>
      <w:proofErr w:type="spellStart"/>
      <w:r w:rsidRPr="007122AB">
        <w:rPr>
          <w:rFonts w:ascii="Times New Roman" w:hAnsi="Times New Roman"/>
          <w:color w:val="000000" w:themeColor="text1"/>
          <w:sz w:val="16"/>
          <w:szCs w:val="16"/>
        </w:rPr>
        <w:t>технормированйя</w:t>
      </w:r>
      <w:proofErr w:type="spellEnd"/>
      <w:r w:rsidRPr="007122AB">
        <w:rPr>
          <w:rFonts w:ascii="Times New Roman" w:hAnsi="Times New Roman"/>
          <w:color w:val="000000" w:themeColor="text1"/>
          <w:sz w:val="16"/>
          <w:szCs w:val="16"/>
        </w:rPr>
        <w:t xml:space="preserve">, правильного использования рабочей силы, организации основных производственных процессов </w:t>
      </w:r>
      <w:proofErr w:type="spellStart"/>
      <w:r w:rsidRPr="007122AB">
        <w:rPr>
          <w:rFonts w:ascii="Times New Roman" w:hAnsi="Times New Roman"/>
          <w:color w:val="000000" w:themeColor="text1"/>
          <w:sz w:val="16"/>
          <w:szCs w:val="16"/>
        </w:rPr>
        <w:t>Наркомтруд</w:t>
      </w:r>
      <w:proofErr w:type="spellEnd"/>
      <w:r w:rsidRPr="007122AB">
        <w:rPr>
          <w:rFonts w:ascii="Times New Roman" w:hAnsi="Times New Roman"/>
          <w:color w:val="000000" w:themeColor="text1"/>
          <w:sz w:val="16"/>
          <w:szCs w:val="16"/>
        </w:rPr>
        <w:t xml:space="preserve"> СССР провел опытную работу, с привлечением инженерно-технических сил, на пяти предприятиях (Электрозавод, Трехгорная мануфактура, завод им. Сталина, «Красный </w:t>
      </w:r>
      <w:proofErr w:type="spellStart"/>
      <w:r w:rsidRPr="007122AB">
        <w:rPr>
          <w:rFonts w:ascii="Times New Roman" w:hAnsi="Times New Roman"/>
          <w:color w:val="000000" w:themeColor="text1"/>
          <w:sz w:val="16"/>
          <w:szCs w:val="16"/>
        </w:rPr>
        <w:t>профинтерн</w:t>
      </w:r>
      <w:proofErr w:type="spellEnd"/>
      <w:r w:rsidRPr="007122AB">
        <w:rPr>
          <w:rFonts w:ascii="Times New Roman" w:hAnsi="Times New Roman"/>
          <w:color w:val="000000" w:themeColor="text1"/>
          <w:sz w:val="16"/>
          <w:szCs w:val="16"/>
        </w:rPr>
        <w:t xml:space="preserve">») </w:t>
      </w:r>
      <w:bookmarkStart w:id="25" w:name="_ednref3"/>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 xml:space="preserve"> HYPERLINK "http://www.great-country.ru/content/sssr_stat/ind_1929-1932/ind_1929-1932-016.php" \l "_edn3" \o "" </w:instrText>
      </w:r>
      <w:r w:rsidR="00BE7680" w:rsidRPr="007122AB">
        <w:rPr>
          <w:rFonts w:ascii="Times New Roman" w:hAnsi="Times New Roman"/>
          <w:color w:val="000000" w:themeColor="text1"/>
          <w:sz w:val="16"/>
          <w:szCs w:val="16"/>
        </w:rPr>
      </w:r>
      <w:r w:rsidR="00BE7680" w:rsidRPr="007122AB">
        <w:rPr>
          <w:rFonts w:ascii="Times New Roman" w:hAnsi="Times New Roman"/>
          <w:color w:val="000000" w:themeColor="text1"/>
          <w:sz w:val="16"/>
          <w:szCs w:val="16"/>
        </w:rPr>
        <w:fldChar w:fldCharType="separate"/>
      </w:r>
      <w:r w:rsidRPr="007122AB">
        <w:rPr>
          <w:rStyle w:val="a5"/>
          <w:rFonts w:ascii="Times New Roman" w:hAnsi="Times New Roman"/>
          <w:color w:val="000000" w:themeColor="text1"/>
          <w:sz w:val="16"/>
          <w:szCs w:val="16"/>
        </w:rPr>
        <w:t>[3]</w:t>
      </w:r>
      <w:r w:rsidR="00BE7680" w:rsidRPr="007122AB">
        <w:rPr>
          <w:rFonts w:ascii="Times New Roman" w:hAnsi="Times New Roman"/>
          <w:color w:val="000000" w:themeColor="text1"/>
          <w:sz w:val="16"/>
          <w:szCs w:val="16"/>
        </w:rPr>
        <w:fldChar w:fldCharType="end"/>
      </w:r>
      <w:bookmarkEnd w:id="25"/>
      <w:r w:rsidRPr="007122AB">
        <w:rPr>
          <w:rFonts w:ascii="Times New Roman" w:hAnsi="Times New Roman"/>
          <w:color w:val="000000" w:themeColor="text1"/>
          <w:sz w:val="16"/>
          <w:szCs w:val="16"/>
        </w:rPr>
        <w:t xml:space="preserve">. В результате этой работы мы имеем значительные положительные результаты. </w:t>
      </w:r>
    </w:p>
    <w:p w14:paraId="6C352D0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опытной работы на Электрозаводе был выделен механический цех транспортного отдела как типичный для большого круга предприятий с серийным производством и, кроме того, как цех, оборудованный самыми различными типами станков. В этом цехе проведена паспортизация оборудования и составлена техническая характеристика цеха; разработана полностью для группы револьверных станков программа организации труда по методам </w:t>
      </w:r>
      <w:proofErr w:type="spellStart"/>
      <w:r w:rsidRPr="007122AB">
        <w:rPr>
          <w:rFonts w:ascii="Times New Roman" w:hAnsi="Times New Roman"/>
          <w:color w:val="000000" w:themeColor="text1"/>
          <w:sz w:val="16"/>
          <w:szCs w:val="16"/>
        </w:rPr>
        <w:t>ЦИТа</w:t>
      </w:r>
      <w:proofErr w:type="spellEnd"/>
      <w:r w:rsidRPr="007122AB">
        <w:rPr>
          <w:rFonts w:ascii="Times New Roman" w:hAnsi="Times New Roman"/>
          <w:color w:val="000000" w:themeColor="text1"/>
          <w:sz w:val="16"/>
          <w:szCs w:val="16"/>
        </w:rPr>
        <w:t xml:space="preserve">; применительно к новой организации труда разработаны инструктивные карты организации труда по каждому рабочему месту и разработано прикрепление деталей к станкам, а также соответствующее оборудование (приспособления, инструментарий и этажерки по единому стандарту); ликвидирована обезличка на станках и рабочие бригады переведены на постоянный график (4-кадровый); в ближайшее время по окончании исследовательских работ, ведущихся в цехе, будет приступлено к переводу на инструктаж револьверных и болторезных станков; основные работы цеха в настоящее время охвачены нормированием и процент сдельщины достиг 75 вместо 40. Производительность на одного работающего в месяц равна в рублях 2379 вместо 1690. Переработка норм в среднем составляет 20%. Зарплата рабочих (средняя по цеху) выросла до 107 руб. вместо 80 руб. </w:t>
      </w:r>
    </w:p>
    <w:p w14:paraId="4F0C8A5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Трехгорной мануфактуре группа </w:t>
      </w:r>
      <w:proofErr w:type="spellStart"/>
      <w:r w:rsidRPr="007122AB">
        <w:rPr>
          <w:rFonts w:ascii="Times New Roman" w:hAnsi="Times New Roman"/>
          <w:color w:val="000000" w:themeColor="text1"/>
          <w:sz w:val="16"/>
          <w:szCs w:val="16"/>
        </w:rPr>
        <w:t>Наркомтруда</w:t>
      </w:r>
      <w:proofErr w:type="spellEnd"/>
      <w:r w:rsidRPr="007122AB">
        <w:rPr>
          <w:rFonts w:ascii="Times New Roman" w:hAnsi="Times New Roman"/>
          <w:color w:val="000000" w:themeColor="text1"/>
          <w:sz w:val="16"/>
          <w:szCs w:val="16"/>
        </w:rPr>
        <w:t xml:space="preserve"> СССР совместно с тарифно-нормировочным бюро фабрики занялись вопросом организации труда в банкаброшном цехе. Было отобрано 12 машин со следующими заправками: тонкие банкаброши — 4 машины, заправленные ровницей № 6 1-го сорта; </w:t>
      </w:r>
      <w:proofErr w:type="spellStart"/>
      <w:r w:rsidRPr="007122AB">
        <w:rPr>
          <w:rFonts w:ascii="Times New Roman" w:hAnsi="Times New Roman"/>
          <w:color w:val="000000" w:themeColor="text1"/>
          <w:sz w:val="16"/>
          <w:szCs w:val="16"/>
        </w:rPr>
        <w:t>джеки</w:t>
      </w:r>
      <w:proofErr w:type="spellEnd"/>
      <w:r w:rsidRPr="007122AB">
        <w:rPr>
          <w:rFonts w:ascii="Times New Roman" w:hAnsi="Times New Roman"/>
          <w:color w:val="000000" w:themeColor="text1"/>
          <w:sz w:val="16"/>
          <w:szCs w:val="16"/>
        </w:rPr>
        <w:t xml:space="preserve"> — 6 машин, заправленные ровницей № 2 1-го сорта; перегонные банкаброши — 2 машины, заправленные ровницей № 2 1-го сорта. Такой ассортимент машин, хотя и сильно усложнил работу, но является характерным для фабрики и может быть изменен только перестановкой машин. </w:t>
      </w:r>
    </w:p>
    <w:p w14:paraId="2F249CC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Было произведено обследование состояния оборудования и обрывности. Значительная часть обрывов (до 35%) была из-за грязи на машинах и небрежности работниц. </w:t>
      </w:r>
    </w:p>
    <w:p w14:paraId="2AA032D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основании наблюдений были проведены расчеты и поставлен опыт. </w:t>
      </w:r>
    </w:p>
    <w:p w14:paraId="5ECB888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Отличие нового варианта, разработанного группой </w:t>
      </w:r>
      <w:proofErr w:type="spellStart"/>
      <w:r w:rsidRPr="007122AB">
        <w:rPr>
          <w:rFonts w:ascii="Times New Roman" w:hAnsi="Times New Roman"/>
          <w:color w:val="000000" w:themeColor="text1"/>
          <w:sz w:val="16"/>
          <w:szCs w:val="16"/>
        </w:rPr>
        <w:t>Наркомтруда</w:t>
      </w:r>
      <w:proofErr w:type="spellEnd"/>
      <w:r w:rsidRPr="007122AB">
        <w:rPr>
          <w:rFonts w:ascii="Times New Roman" w:hAnsi="Times New Roman"/>
          <w:color w:val="000000" w:themeColor="text1"/>
          <w:sz w:val="16"/>
          <w:szCs w:val="16"/>
        </w:rPr>
        <w:t xml:space="preserve">, от варианта, проводимого </w:t>
      </w:r>
      <w:proofErr w:type="spellStart"/>
      <w:r w:rsidRPr="007122AB">
        <w:rPr>
          <w:rFonts w:ascii="Times New Roman" w:hAnsi="Times New Roman"/>
          <w:color w:val="000000" w:themeColor="text1"/>
          <w:sz w:val="16"/>
          <w:szCs w:val="16"/>
        </w:rPr>
        <w:t>ЦИТом</w:t>
      </w:r>
      <w:proofErr w:type="spellEnd"/>
      <w:r w:rsidRPr="007122AB">
        <w:rPr>
          <w:rFonts w:ascii="Times New Roman" w:hAnsi="Times New Roman"/>
          <w:color w:val="000000" w:themeColor="text1"/>
          <w:sz w:val="16"/>
          <w:szCs w:val="16"/>
        </w:rPr>
        <w:t xml:space="preserve">, заключается в следующем: по варианту </w:t>
      </w:r>
      <w:proofErr w:type="spellStart"/>
      <w:r w:rsidRPr="007122AB">
        <w:rPr>
          <w:rFonts w:ascii="Times New Roman" w:hAnsi="Times New Roman"/>
          <w:color w:val="000000" w:themeColor="text1"/>
          <w:sz w:val="16"/>
          <w:szCs w:val="16"/>
        </w:rPr>
        <w:t>ЦИТа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присучалка</w:t>
      </w:r>
      <w:proofErr w:type="spellEnd"/>
      <w:r w:rsidRPr="007122AB">
        <w:rPr>
          <w:rFonts w:ascii="Times New Roman" w:hAnsi="Times New Roman"/>
          <w:color w:val="000000" w:themeColor="text1"/>
          <w:sz w:val="16"/>
          <w:szCs w:val="16"/>
        </w:rPr>
        <w:t xml:space="preserve"> ликвидирует обрывы и выставляет ставку спереди машин. </w:t>
      </w:r>
    </w:p>
    <w:p w14:paraId="4141406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таком характере работ </w:t>
      </w:r>
      <w:proofErr w:type="spellStart"/>
      <w:r w:rsidRPr="007122AB">
        <w:rPr>
          <w:rFonts w:ascii="Times New Roman" w:hAnsi="Times New Roman"/>
          <w:color w:val="000000" w:themeColor="text1"/>
          <w:sz w:val="16"/>
          <w:szCs w:val="16"/>
        </w:rPr>
        <w:t>присучалка</w:t>
      </w:r>
      <w:proofErr w:type="spellEnd"/>
      <w:r w:rsidRPr="007122AB">
        <w:rPr>
          <w:rFonts w:ascii="Times New Roman" w:hAnsi="Times New Roman"/>
          <w:color w:val="000000" w:themeColor="text1"/>
          <w:sz w:val="16"/>
          <w:szCs w:val="16"/>
        </w:rPr>
        <w:t xml:space="preserve"> имеет сторожевые функции и заходит в простенок между машинами по мере необходимости ликвидировать обрыв или сменить катушку. </w:t>
      </w:r>
    </w:p>
    <w:p w14:paraId="7F51042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варианту группы </w:t>
      </w:r>
      <w:proofErr w:type="spellStart"/>
      <w:r w:rsidRPr="007122AB">
        <w:rPr>
          <w:rFonts w:ascii="Times New Roman" w:hAnsi="Times New Roman"/>
          <w:color w:val="000000" w:themeColor="text1"/>
          <w:sz w:val="16"/>
          <w:szCs w:val="16"/>
        </w:rPr>
        <w:t>Наркомтруда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присучалка</w:t>
      </w:r>
      <w:proofErr w:type="spellEnd"/>
      <w:r w:rsidRPr="007122AB">
        <w:rPr>
          <w:rFonts w:ascii="Times New Roman" w:hAnsi="Times New Roman"/>
          <w:color w:val="000000" w:themeColor="text1"/>
          <w:sz w:val="16"/>
          <w:szCs w:val="16"/>
        </w:rPr>
        <w:t xml:space="preserve"> только ликвидирует обрывы и, таким образом, смешения функций нет. По варианту </w:t>
      </w:r>
      <w:proofErr w:type="spellStart"/>
      <w:r w:rsidRPr="007122AB">
        <w:rPr>
          <w:rFonts w:ascii="Times New Roman" w:hAnsi="Times New Roman"/>
          <w:color w:val="000000" w:themeColor="text1"/>
          <w:sz w:val="16"/>
          <w:szCs w:val="16"/>
        </w:rPr>
        <w:t>ЦИТа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ставилыцица</w:t>
      </w:r>
      <w:proofErr w:type="spellEnd"/>
      <w:r w:rsidRPr="007122AB">
        <w:rPr>
          <w:rFonts w:ascii="Times New Roman" w:hAnsi="Times New Roman"/>
          <w:color w:val="000000" w:themeColor="text1"/>
          <w:sz w:val="16"/>
          <w:szCs w:val="16"/>
        </w:rPr>
        <w:t xml:space="preserve"> обслуживает машины только сзади. По варианту группы </w:t>
      </w:r>
      <w:proofErr w:type="spellStart"/>
      <w:r w:rsidRPr="007122AB">
        <w:rPr>
          <w:rFonts w:ascii="Times New Roman" w:hAnsi="Times New Roman"/>
          <w:color w:val="000000" w:themeColor="text1"/>
          <w:sz w:val="16"/>
          <w:szCs w:val="16"/>
        </w:rPr>
        <w:t>Наркомтруда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ставилыцица</w:t>
      </w:r>
      <w:proofErr w:type="spellEnd"/>
      <w:r w:rsidRPr="007122AB">
        <w:rPr>
          <w:rFonts w:ascii="Times New Roman" w:hAnsi="Times New Roman"/>
          <w:color w:val="000000" w:themeColor="text1"/>
          <w:sz w:val="16"/>
          <w:szCs w:val="16"/>
        </w:rPr>
        <w:t xml:space="preserve"> обслуживает машину целиком, что связано с изменением функций </w:t>
      </w:r>
      <w:proofErr w:type="spellStart"/>
      <w:r w:rsidRPr="007122AB">
        <w:rPr>
          <w:rFonts w:ascii="Times New Roman" w:hAnsi="Times New Roman"/>
          <w:color w:val="000000" w:themeColor="text1"/>
          <w:sz w:val="16"/>
          <w:szCs w:val="16"/>
        </w:rPr>
        <w:t>присучалки</w:t>
      </w:r>
      <w:proofErr w:type="spellEnd"/>
      <w:r w:rsidRPr="007122AB">
        <w:rPr>
          <w:rFonts w:ascii="Times New Roman" w:hAnsi="Times New Roman"/>
          <w:color w:val="000000" w:themeColor="text1"/>
          <w:sz w:val="16"/>
          <w:szCs w:val="16"/>
        </w:rPr>
        <w:t xml:space="preserve">. Это перераспределение функций вносит большую четкость в работу функционеров и делает ее более организованной. Экономия в штате получается согласно приводимой таблице [1]. </w:t>
      </w:r>
    </w:p>
    <w:p w14:paraId="6218A68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[ТАБЛИЦА 1]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8"/>
        <w:gridCol w:w="1028"/>
        <w:gridCol w:w="1199"/>
        <w:gridCol w:w="512"/>
        <w:gridCol w:w="2399"/>
      </w:tblGrid>
      <w:tr w:rsidR="001002C3" w:rsidRPr="007122AB" w14:paraId="461F1D8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6BA688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Варианты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849062C" w14:textId="77777777" w:rsidR="0097726A" w:rsidRPr="007122AB" w:rsidRDefault="0097726A" w:rsidP="007122AB">
            <w:pPr>
              <w:spacing w:after="0" w:line="240" w:lineRule="auto"/>
              <w:jc w:val="both"/>
              <w:rPr>
                <w:rFonts w:ascii="Times New Roman" w:hAnsi="Times New Roman"/>
                <w:color w:val="000000" w:themeColor="text1"/>
                <w:sz w:val="16"/>
                <w:szCs w:val="16"/>
              </w:rPr>
            </w:pPr>
            <w:proofErr w:type="spellStart"/>
            <w:r w:rsidRPr="007122AB">
              <w:rPr>
                <w:rStyle w:val="a7"/>
                <w:rFonts w:ascii="Times New Roman" w:hAnsi="Times New Roman"/>
                <w:b w:val="0"/>
                <w:color w:val="000000" w:themeColor="text1"/>
                <w:sz w:val="16"/>
                <w:szCs w:val="16"/>
              </w:rPr>
              <w:t>Ставильшица</w:t>
            </w:r>
            <w:proofErr w:type="spellEnd"/>
            <w:r w:rsidRPr="007122AB">
              <w:rPr>
                <w:rStyle w:val="a7"/>
                <w:rFonts w:ascii="Times New Roman" w:hAnsi="Times New Roman"/>
                <w:b w:val="0"/>
                <w:color w:val="000000" w:themeColor="text1"/>
                <w:sz w:val="16"/>
                <w:szCs w:val="16"/>
              </w:rPr>
              <w:t xml:space="preserve">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47E7484" w14:textId="77777777" w:rsidR="0097726A" w:rsidRPr="007122AB" w:rsidRDefault="0097726A" w:rsidP="007122AB">
            <w:pPr>
              <w:spacing w:after="0" w:line="240" w:lineRule="auto"/>
              <w:jc w:val="both"/>
              <w:rPr>
                <w:rFonts w:ascii="Times New Roman" w:hAnsi="Times New Roman"/>
                <w:color w:val="000000" w:themeColor="text1"/>
                <w:sz w:val="16"/>
                <w:szCs w:val="16"/>
              </w:rPr>
            </w:pPr>
            <w:proofErr w:type="spellStart"/>
            <w:r w:rsidRPr="007122AB">
              <w:rPr>
                <w:rStyle w:val="a7"/>
                <w:rFonts w:ascii="Times New Roman" w:hAnsi="Times New Roman"/>
                <w:b w:val="0"/>
                <w:color w:val="000000" w:themeColor="text1"/>
                <w:sz w:val="16"/>
                <w:szCs w:val="16"/>
              </w:rPr>
              <w:t>Присучалыцица</w:t>
            </w:r>
            <w:proofErr w:type="spellEnd"/>
            <w:r w:rsidRPr="007122AB">
              <w:rPr>
                <w:rStyle w:val="a7"/>
                <w:rFonts w:ascii="Times New Roman" w:hAnsi="Times New Roman"/>
                <w:b w:val="0"/>
                <w:color w:val="000000" w:themeColor="text1"/>
                <w:sz w:val="16"/>
                <w:szCs w:val="16"/>
              </w:rPr>
              <w:t xml:space="preserve">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248BE1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BB0BBB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Число машин </w:t>
            </w:r>
            <w:proofErr w:type="spellStart"/>
            <w:r w:rsidRPr="007122AB">
              <w:rPr>
                <w:rStyle w:val="a7"/>
                <w:rFonts w:ascii="Times New Roman" w:hAnsi="Times New Roman"/>
                <w:b w:val="0"/>
                <w:color w:val="000000" w:themeColor="text1"/>
                <w:sz w:val="16"/>
                <w:szCs w:val="16"/>
              </w:rPr>
              <w:t>иа</w:t>
            </w:r>
            <w:proofErr w:type="spellEnd"/>
            <w:r w:rsidRPr="007122AB">
              <w:rPr>
                <w:rStyle w:val="a7"/>
                <w:rFonts w:ascii="Times New Roman" w:hAnsi="Times New Roman"/>
                <w:b w:val="0"/>
                <w:color w:val="000000" w:themeColor="text1"/>
                <w:sz w:val="16"/>
                <w:szCs w:val="16"/>
              </w:rPr>
              <w:t xml:space="preserve"> одного человека </w:t>
            </w:r>
          </w:p>
        </w:tc>
      </w:tr>
      <w:tr w:rsidR="001002C3" w:rsidRPr="007122AB" w14:paraId="22694DF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2BC6BD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Вариант, поставленный </w:t>
            </w:r>
            <w:proofErr w:type="spellStart"/>
            <w:r w:rsidRPr="007122AB">
              <w:rPr>
                <w:rFonts w:ascii="Times New Roman" w:hAnsi="Times New Roman"/>
                <w:color w:val="000000" w:themeColor="text1"/>
                <w:sz w:val="16"/>
                <w:szCs w:val="16"/>
              </w:rPr>
              <w:t>ЦИТом</w:t>
            </w:r>
            <w:proofErr w:type="spellEnd"/>
            <w:r w:rsidRPr="007122AB">
              <w:rPr>
                <w:rFonts w:ascii="Times New Roman" w:hAnsi="Times New Roman"/>
                <w:color w:val="000000" w:themeColor="text1"/>
                <w:sz w:val="16"/>
                <w:szCs w:val="16"/>
              </w:rPr>
              <w:t xml:space="preserve">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1818F2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25E0E5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D59999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0,375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165332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2,67 </w:t>
            </w:r>
          </w:p>
        </w:tc>
      </w:tr>
      <w:tr w:rsidR="001002C3" w:rsidRPr="007122AB" w14:paraId="2309BF8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CDFF56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 же машины по варианту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6D6A0D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2E5124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0,167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8F9F94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0,292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DD762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3,42 </w:t>
            </w:r>
          </w:p>
        </w:tc>
      </w:tr>
      <w:tr w:rsidR="001002C3" w:rsidRPr="007122AB" w14:paraId="0A668AB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806962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 же машины при улучшенном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FBC5C9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3A078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54039C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BF5A92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4,00 </w:t>
            </w:r>
          </w:p>
        </w:tc>
      </w:tr>
      <w:tr w:rsidR="001002C3" w:rsidRPr="007122AB" w14:paraId="76E2C64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AE56B8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варианту </w:t>
            </w:r>
            <w:proofErr w:type="spellStart"/>
            <w:r w:rsidRPr="007122AB">
              <w:rPr>
                <w:rFonts w:ascii="Times New Roman" w:hAnsi="Times New Roman"/>
                <w:color w:val="000000" w:themeColor="text1"/>
                <w:sz w:val="16"/>
                <w:szCs w:val="16"/>
              </w:rPr>
              <w:t>ЦИТа</w:t>
            </w:r>
            <w:proofErr w:type="spellEnd"/>
            <w:r w:rsidRPr="007122AB">
              <w:rPr>
                <w:rFonts w:ascii="Times New Roman" w:hAnsi="Times New Roman"/>
                <w:color w:val="000000" w:themeColor="text1"/>
                <w:sz w:val="16"/>
                <w:szCs w:val="16"/>
              </w:rPr>
              <w:t xml:space="preserve"> при правильном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E59C41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0,083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4C5C31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1D9029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0,333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D4478F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3,00 </w:t>
            </w:r>
          </w:p>
        </w:tc>
      </w:tr>
      <w:tr w:rsidR="001002C3" w:rsidRPr="007122AB" w14:paraId="5CD0C41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4DE2E9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варианту </w:t>
            </w:r>
            <w:proofErr w:type="spellStart"/>
            <w:r w:rsidRPr="007122AB">
              <w:rPr>
                <w:rFonts w:ascii="Times New Roman" w:hAnsi="Times New Roman"/>
                <w:color w:val="000000" w:themeColor="text1"/>
                <w:sz w:val="16"/>
                <w:szCs w:val="16"/>
              </w:rPr>
              <w:t>Наркомтруда</w:t>
            </w:r>
            <w:proofErr w:type="spellEnd"/>
            <w:r w:rsidRPr="007122AB">
              <w:rPr>
                <w:rFonts w:ascii="Times New Roman" w:hAnsi="Times New Roman"/>
                <w:color w:val="000000" w:themeColor="text1"/>
                <w:sz w:val="16"/>
                <w:szCs w:val="16"/>
              </w:rPr>
              <w:t xml:space="preserve">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AAE671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0,111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FB5D08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D0D5F1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0,236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5071C2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4,24 </w:t>
            </w:r>
          </w:p>
        </w:tc>
      </w:tr>
      <w:tr w:rsidR="001002C3" w:rsidRPr="007122AB" w14:paraId="0D7870D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000573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бригадной ставке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1F9CA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0,080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FCA405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D12F28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0,205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AEE928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4,88 </w:t>
            </w:r>
          </w:p>
        </w:tc>
      </w:tr>
    </w:tbl>
    <w:p w14:paraId="608E484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каждой работницы были разработаны инструкции с указанием: что делать, как делать, за чем следить, за что работница отвечает, режим обслуживания. После произведенного фабрикой исправления машин обрывность уменьшилась на 16%. </w:t>
      </w:r>
    </w:p>
    <w:p w14:paraId="4D782AB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им. Сталина проведена работа по переводу рабочих лопаточной мастерской турбинного цеха на одновременную работу на двух станках, что дало следующий эффект: производительность рабочих (выпуск на одного рабочего) достигает 185—190%; зарплата переведенных рабочих выросла на 14%; перевод охватил 25 горизонтально-фрезерных станков, где освобождено и переброшено на другие работы вследствие перевода 37 рабочих; перевод сопровождался без каких бы то ни было затрат; стоимость обработки в части заработной платы вследствие перевода снижена на 40%; качество обработки от перевода не пострадало; процент брака не увеличился. </w:t>
      </w:r>
    </w:p>
    <w:p w14:paraId="160B23D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Такая же работа проведена и на других предприятиях. Основной недостаток состоит в том, что органы труда осуществляли слабый нажим на хозорганы по перенесению опыта этой работы. </w:t>
      </w:r>
    </w:p>
    <w:p w14:paraId="446AD0E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Действовавшие до настоящего времени тарифные сетки и тарифные справочники по каждой отрасли промышленности, транспорту и строительству представляли собою культивирование мелкобуржуазной уравниловки и тормозили стимулирование заинтересованности в поднятии квалификации рабочих. </w:t>
      </w:r>
      <w:r w:rsidRPr="007122AB">
        <w:rPr>
          <w:rFonts w:ascii="Times New Roman" w:hAnsi="Times New Roman"/>
          <w:color w:val="000000" w:themeColor="text1"/>
          <w:sz w:val="16"/>
          <w:szCs w:val="16"/>
        </w:rPr>
        <w:br/>
      </w:r>
      <w:r w:rsidRPr="007122AB">
        <w:rPr>
          <w:rFonts w:ascii="Times New Roman" w:hAnsi="Times New Roman"/>
          <w:color w:val="000000" w:themeColor="text1"/>
          <w:sz w:val="16"/>
          <w:szCs w:val="16"/>
        </w:rPr>
        <w:lastRenderedPageBreak/>
        <w:t xml:space="preserve">Соотношения в этих сетках были установлены следующие: у металлистов — 1:2,8; у химиков (основная химия) — 1:2,8; у строителей (огнеупорное, керамическое, гончарное [производство]) — 1:2,6; у деревообделочников, кожевников и бумажников — 1:3; у полиграфистов — 1:2,9; текстильщиков — 1:3,5; железнодорожников — 1:4. </w:t>
      </w:r>
    </w:p>
    <w:p w14:paraId="50DC6FE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Соотношения между разрядами были построены на принципах затухающей кривой от низшего к высшему разряду. Например, сетка металлистов имела следующие </w:t>
      </w:r>
      <w:proofErr w:type="spellStart"/>
      <w:r w:rsidRPr="007122AB">
        <w:rPr>
          <w:rFonts w:ascii="Times New Roman" w:hAnsi="Times New Roman"/>
          <w:color w:val="000000" w:themeColor="text1"/>
          <w:sz w:val="16"/>
          <w:szCs w:val="16"/>
        </w:rPr>
        <w:t>межразрядные</w:t>
      </w:r>
      <w:proofErr w:type="spellEnd"/>
      <w:r w:rsidRPr="007122AB">
        <w:rPr>
          <w:rFonts w:ascii="Times New Roman" w:hAnsi="Times New Roman"/>
          <w:color w:val="000000" w:themeColor="text1"/>
          <w:sz w:val="16"/>
          <w:szCs w:val="16"/>
        </w:rPr>
        <w:t xml:space="preserve"> соотношения [табл. 2]. </w:t>
      </w:r>
    </w:p>
    <w:p w14:paraId="33BCD54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[ТАБЛИЦА 2]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96"/>
        <w:gridCol w:w="180"/>
        <w:gridCol w:w="380"/>
        <w:gridCol w:w="380"/>
        <w:gridCol w:w="380"/>
        <w:gridCol w:w="380"/>
        <w:gridCol w:w="380"/>
        <w:gridCol w:w="380"/>
        <w:gridCol w:w="395"/>
      </w:tblGrid>
      <w:tr w:rsidR="001002C3" w:rsidRPr="007122AB" w14:paraId="6F2F075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E4F6DD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Разряды: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834E76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09D693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D9B83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87C3AD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0EB354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A67F4C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127610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EC1E30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8 </w:t>
            </w:r>
          </w:p>
        </w:tc>
      </w:tr>
      <w:tr w:rsidR="001002C3" w:rsidRPr="007122AB" w14:paraId="2BA31671"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A3A5ED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Внутренние соотношения, %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C543E4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6E63F9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21C81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D04E99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0827FF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9747B27"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4A55F2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73F8A2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12,0 </w:t>
            </w:r>
          </w:p>
        </w:tc>
      </w:tr>
    </w:tbl>
    <w:p w14:paraId="2AA0A998"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Эти соотношения не стимулировали повышения квалификации рабочего, так как разрывы между высшей и низшей квалификацией настолько незначительны, что рабочий материально не заинтересован в повышении квалификации.</w:t>
      </w:r>
    </w:p>
    <w:p w14:paraId="7096FD1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практике были нередки случаи, когда высококвалифицированный рабочий зарабатывал менее </w:t>
      </w:r>
      <w:proofErr w:type="spellStart"/>
      <w:r w:rsidRPr="007122AB">
        <w:rPr>
          <w:rFonts w:ascii="Times New Roman" w:hAnsi="Times New Roman"/>
          <w:color w:val="000000" w:themeColor="text1"/>
          <w:sz w:val="16"/>
          <w:szCs w:val="16"/>
        </w:rPr>
        <w:t>невысококвалифицированного</w:t>
      </w:r>
      <w:proofErr w:type="spellEnd"/>
      <w:r w:rsidRPr="007122AB">
        <w:rPr>
          <w:rFonts w:ascii="Times New Roman" w:hAnsi="Times New Roman"/>
          <w:color w:val="000000" w:themeColor="text1"/>
          <w:sz w:val="16"/>
          <w:szCs w:val="16"/>
        </w:rPr>
        <w:t xml:space="preserve"> рабочего. Кроме того, имел место большой разрыв в оплате труда однородных профессий. До текущего года основной системой оплаты труда во всех отраслях промышленности была повременная оплата. Поощрительные системы оплаты труда (сдельщина и премирование) применялись слабо, причем эти системы были построены таким образом, что не стимулировали повышения производительности труда и вносили обезличку и уравниловку в заработную плату. Сдельщина, например, применялась главным образом коллективная, при которой заработок делился тремя способами: поровну между всеми членами коллектива независимо от коллективизации и производительности труда каждого из них; основная зарплата распределялась в соответствии с разрядом рабочего, а приработок — поровну; и весь заработок и приработок распределялся в соответствии с разрядом рабочего.</w:t>
      </w:r>
    </w:p>
    <w:p w14:paraId="6B774EA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Имелось много различных форм премирования, но большинство из них по существу не было связано с результатами работы.</w:t>
      </w:r>
    </w:p>
    <w:p w14:paraId="5B10BEE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заключении коллективных договоров ставки первого разряда устанавливались, как правило, для сдельщиков и повременщиков одинаковые, и только так называемый расчетный процент приработка для повременщиков устанавливался в несколько меньшем размере, но это понижение в большинстве случаев было настолько незначительно, что не создавало для рабочего заинтересованности для перехода на сдельщину. Нередки случаи, когда повременщик зарабатывал больше сдельщика такой же квалификации или же лишь на несколько копеек меньше сдельщика. Для характеристики этого положения приводим следующие примеры [табл. 3]. </w:t>
      </w:r>
    </w:p>
    <w:p w14:paraId="2C79396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[ТАБЛИЦА 3]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761"/>
        <w:gridCol w:w="763"/>
        <w:gridCol w:w="1052"/>
      </w:tblGrid>
      <w:tr w:rsidR="001002C3" w:rsidRPr="007122AB" w14:paraId="581DBC1D"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19B095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Завод и профессия </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3C1426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Заработок в день, руб. </w:t>
            </w:r>
          </w:p>
        </w:tc>
      </w:tr>
      <w:tr w:rsidR="001002C3" w:rsidRPr="007122AB" w14:paraId="52F4C3C5"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C69C0D" w14:textId="77777777" w:rsidR="0097726A" w:rsidRPr="007122AB" w:rsidRDefault="0097726A" w:rsidP="007122AB">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95D475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сдельщик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8672F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повременщик </w:t>
            </w:r>
          </w:p>
        </w:tc>
      </w:tr>
      <w:tr w:rsidR="001002C3" w:rsidRPr="007122AB" w14:paraId="185CF2D5"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307413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Мытищинский завод</w:t>
            </w:r>
          </w:p>
        </w:tc>
      </w:tr>
      <w:tr w:rsidR="001002C3" w:rsidRPr="007122AB" w14:paraId="633355D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0DC9CC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Слесари-сборщики 4-го разряда всех специальностей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77A8D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6,48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B94B6B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6,75 </w:t>
            </w:r>
          </w:p>
        </w:tc>
      </w:tr>
      <w:tr w:rsidR="001002C3" w:rsidRPr="007122AB" w14:paraId="390CA9E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36FEEA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Слесари-сборщики 5-го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2300D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5,03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1E4FEB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5,81 </w:t>
            </w:r>
          </w:p>
        </w:tc>
      </w:tr>
      <w:tr w:rsidR="001002C3" w:rsidRPr="007122AB" w14:paraId="5D742A6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5DF646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Токари 5-го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61AA61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6,44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761C94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7,43 </w:t>
            </w:r>
          </w:p>
        </w:tc>
      </w:tr>
      <w:tr w:rsidR="001002C3" w:rsidRPr="007122AB" w14:paraId="17ADD944"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C8B50F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Харьковский завод</w:t>
            </w:r>
          </w:p>
        </w:tc>
      </w:tr>
      <w:tr w:rsidR="001002C3" w:rsidRPr="007122AB" w14:paraId="16E503E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374CEC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Разливальщики литейной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32CC62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3,64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7BA088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4,60 </w:t>
            </w:r>
          </w:p>
        </w:tc>
      </w:tr>
      <w:tr w:rsidR="001002C3" w:rsidRPr="007122AB" w14:paraId="0E50D9C7"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D3498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Токари 3-го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6B871A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4,11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CECAA5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4,22 </w:t>
            </w:r>
          </w:p>
        </w:tc>
      </w:tr>
      <w:tr w:rsidR="001002C3" w:rsidRPr="007122AB" w14:paraId="1F68B976"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EBF63E9" w14:textId="77777777" w:rsidR="0097726A" w:rsidRPr="007122AB" w:rsidRDefault="0097726A" w:rsidP="007122AB">
            <w:pPr>
              <w:spacing w:after="0" w:line="240" w:lineRule="auto"/>
              <w:jc w:val="both"/>
              <w:rPr>
                <w:rFonts w:ascii="Times New Roman" w:hAnsi="Times New Roman"/>
                <w:color w:val="000000" w:themeColor="text1"/>
                <w:sz w:val="16"/>
                <w:szCs w:val="16"/>
              </w:rPr>
            </w:pPr>
            <w:proofErr w:type="spellStart"/>
            <w:r w:rsidRPr="007122AB">
              <w:rPr>
                <w:rStyle w:val="a7"/>
                <w:rFonts w:ascii="Times New Roman" w:hAnsi="Times New Roman"/>
                <w:b w:val="0"/>
                <w:color w:val="000000" w:themeColor="text1"/>
                <w:sz w:val="16"/>
                <w:szCs w:val="16"/>
              </w:rPr>
              <w:t>Усть</w:t>
            </w:r>
            <w:proofErr w:type="spellEnd"/>
            <w:r w:rsidRPr="007122AB">
              <w:rPr>
                <w:rStyle w:val="a7"/>
                <w:rFonts w:ascii="Times New Roman" w:hAnsi="Times New Roman"/>
                <w:b w:val="0"/>
                <w:color w:val="000000" w:themeColor="text1"/>
                <w:sz w:val="16"/>
                <w:szCs w:val="16"/>
              </w:rPr>
              <w:t>-Катавский завод Уральской области</w:t>
            </w:r>
          </w:p>
        </w:tc>
      </w:tr>
      <w:tr w:rsidR="001002C3" w:rsidRPr="007122AB" w14:paraId="02CD8C0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F9FB937"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Модельщики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D91222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3,76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3D94F8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4,86 </w:t>
            </w:r>
          </w:p>
        </w:tc>
      </w:tr>
      <w:tr w:rsidR="001002C3" w:rsidRPr="007122AB" w14:paraId="377C609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282683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Формовщики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FE43D1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3,51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207FCDB"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3,85 </w:t>
            </w:r>
          </w:p>
        </w:tc>
      </w:tr>
      <w:tr w:rsidR="001002C3" w:rsidRPr="007122AB" w14:paraId="57A2981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9930EA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Разливальщики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9A6B9B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3,72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C2EBA0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3,53 </w:t>
            </w:r>
          </w:p>
        </w:tc>
      </w:tr>
      <w:tr w:rsidR="001002C3" w:rsidRPr="007122AB" w14:paraId="679BADB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3B2BC8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Слесари-лекальщики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AF628C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0884A6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3,29 </w:t>
            </w:r>
          </w:p>
        </w:tc>
      </w:tr>
      <w:tr w:rsidR="001002C3" w:rsidRPr="007122AB" w14:paraId="7182DB0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A63D37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Слесари-</w:t>
            </w:r>
            <w:proofErr w:type="spellStart"/>
            <w:r w:rsidRPr="007122AB">
              <w:rPr>
                <w:rFonts w:ascii="Times New Roman" w:hAnsi="Times New Roman"/>
                <w:color w:val="000000" w:themeColor="text1"/>
                <w:sz w:val="16"/>
                <w:szCs w:val="16"/>
              </w:rPr>
              <w:t>сборщикн</w:t>
            </w:r>
            <w:proofErr w:type="spellEnd"/>
            <w:r w:rsidRPr="007122AB">
              <w:rPr>
                <w:rFonts w:ascii="Times New Roman" w:hAnsi="Times New Roman"/>
                <w:color w:val="000000" w:themeColor="text1"/>
                <w:sz w:val="16"/>
                <w:szCs w:val="16"/>
              </w:rPr>
              <w:t xml:space="preserve"> 5-го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2B56157"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3,63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36414E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4,74 </w:t>
            </w:r>
          </w:p>
        </w:tc>
      </w:tr>
      <w:tr w:rsidR="001002C3" w:rsidRPr="007122AB" w14:paraId="7A88AEAC"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4187D3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Сормовский завод</w:t>
            </w:r>
          </w:p>
        </w:tc>
      </w:tr>
      <w:tr w:rsidR="001002C3" w:rsidRPr="007122AB" w14:paraId="7DE9A9B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8A1FAD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Слесари всех специальностей 7-го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91FE0F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4,73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7074B8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5,30 </w:t>
            </w:r>
          </w:p>
        </w:tc>
      </w:tr>
      <w:tr w:rsidR="001002C3" w:rsidRPr="007122AB" w14:paraId="15D5D51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822029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Токари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BC94A0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3,89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429776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5,55 </w:t>
            </w:r>
          </w:p>
        </w:tc>
      </w:tr>
      <w:tr w:rsidR="001002C3" w:rsidRPr="007122AB" w14:paraId="33120A53"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75C1803"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Первомайский завод</w:t>
            </w:r>
          </w:p>
        </w:tc>
      </w:tr>
      <w:tr w:rsidR="001002C3" w:rsidRPr="007122AB" w14:paraId="5402A99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622E6D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Модельщики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3FDE9D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4,61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F01D2D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5,81 </w:t>
            </w:r>
          </w:p>
        </w:tc>
      </w:tr>
      <w:tr w:rsidR="001002C3" w:rsidRPr="007122AB" w14:paraId="23674F8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301E9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Слесари всех специальностей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212EE9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3,81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B58A96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3,88 </w:t>
            </w:r>
          </w:p>
        </w:tc>
      </w:tr>
    </w:tbl>
    <w:p w14:paraId="4D638F1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Уравниловка в оплате труда квалифицированных и неквалифицированных рабочих подтверждается следующими фактами. </w:t>
      </w:r>
    </w:p>
    <w:p w14:paraId="7F7642E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Енакиевском металлургическом заводе на июнь месяц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горновой 3-го разряда заработал 156 руб., а </w:t>
      </w:r>
      <w:proofErr w:type="spellStart"/>
      <w:r w:rsidRPr="007122AB">
        <w:rPr>
          <w:rFonts w:ascii="Times New Roman" w:hAnsi="Times New Roman"/>
          <w:color w:val="000000" w:themeColor="text1"/>
          <w:sz w:val="16"/>
          <w:szCs w:val="16"/>
        </w:rPr>
        <w:t>чугунщик</w:t>
      </w:r>
      <w:proofErr w:type="spellEnd"/>
      <w:r w:rsidRPr="007122AB">
        <w:rPr>
          <w:rFonts w:ascii="Times New Roman" w:hAnsi="Times New Roman"/>
          <w:color w:val="000000" w:themeColor="text1"/>
          <w:sz w:val="16"/>
          <w:szCs w:val="16"/>
        </w:rPr>
        <w:t xml:space="preserve"> 3-го разряда — 215 руб., вальцовщик на блюминге заработал 173 руб., а каталь кокса—160 руб. На заводе им. Войтовича заработок слесарей в апреле месяце был следующий: у слесарей 3-го разряда — 180 руб., у слесарей 4-го разряда — 209 руб., у слесарей 5-го разряда — 187 руб. Часовой заработок кузнеца в сборном цехе— 1 руб. 11 коп., в кузнечном — 71,4 коп., долбежников в сборном цехе — 1 руб. 28 коп., в токарном — 88 коп., в кузнечном — 47,7 коп.; чернорабочих в сборном цехе — 70,8 коп., в трубном — 84,3 коп., арматурном — 67,1 коп. Такая политика в заработной плате не соответствовала производственным заданиям в реконструктивный период. Уравниловка в оплате труда и текучесть квалифицированной рабочей силы понижала производительность труда. </w:t>
      </w:r>
    </w:p>
    <w:p w14:paraId="76F13297" w14:textId="77777777" w:rsidR="0097726A" w:rsidRPr="007122AB" w:rsidRDefault="0097726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Наркомтруд</w:t>
      </w:r>
      <w:proofErr w:type="spellEnd"/>
      <w:r w:rsidRPr="007122AB">
        <w:rPr>
          <w:rFonts w:ascii="Times New Roman" w:hAnsi="Times New Roman"/>
          <w:color w:val="000000" w:themeColor="text1"/>
          <w:sz w:val="16"/>
          <w:szCs w:val="16"/>
        </w:rPr>
        <w:t xml:space="preserve"> СССР в конце 1930 г. поставил перед директивными органами вопрос о коренном изменении действующего порядка регулирования заработной платы в плоскости установления прямой зависимости оплаты труда от результатов работы, от квалификации рабочих и от степени тяжести труда. Начавшаяся на основе указаний тов. Сталина перестройка зарплаты коснулась в первую очередь важнейших отраслей промышленности: металла, угля, коксохимической, железорудной и марганцевой промышленности, которым постановлением ВСНХ СССР и ВЦСПС предложено было уже с 1 октября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ввести новые справочники-сетки, тарифные ставки, прогрессивную сдельщину, выделение ведущих профессий, премирование инженерно-технического персонала и т.д., причем значительно увеличен фонд зарплаты для этих отраслей. </w:t>
      </w:r>
    </w:p>
    <w:p w14:paraId="1E2EBE2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Предварительные итоги перестройки системы зарплаты позволяют сделать следующие выводы о результатах тарифной перестройки. </w:t>
      </w:r>
    </w:p>
    <w:p w14:paraId="0242667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Добыча угля неуклонно растет. Растет, хотя и не такими темпами, выплавка металла. 29 октября металлургические заводы дали рекордную выплавку стали —9471 т, или 91% плана. С. ростом производительности труда значительно выросла и зарплата рабочих (например, дневной заработок старшего горнового на заводе им. Дзержинского вырос с 7 руб. 94 коп. в сентябре до 10 руб. 50 коп. в первой половине октября, а забойщика на шахте «Парижская коммуна» — с 6 руб. 91 коп. в день в первую декаду сентября до 10 руб. 50 коп. в первые дни октября). По большинству заводов Урала план выплавки чугуна в первые дни проведения тарифной реформы выполнен на 71% против 54,7% в предыдущие пятидневки. </w:t>
      </w:r>
    </w:p>
    <w:p w14:paraId="4860C954" w14:textId="77777777" w:rsidR="0097726A" w:rsidRPr="007122AB" w:rsidRDefault="0097726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Нижнесалдинский</w:t>
      </w:r>
      <w:proofErr w:type="spellEnd"/>
      <w:r w:rsidRPr="007122AB">
        <w:rPr>
          <w:rFonts w:ascii="Times New Roman" w:hAnsi="Times New Roman"/>
          <w:color w:val="000000" w:themeColor="text1"/>
          <w:sz w:val="16"/>
          <w:szCs w:val="16"/>
        </w:rPr>
        <w:t xml:space="preserve"> завод выполнил за последнюю пятидневку сентября 90,7% против 41,2%. Домна №4 завода им. Сталина за сентябрь дала самую высокую выплавку, перевыполнив план на З%. Мартен № 5 завода им. Фрунзе, никогда не выполнявший заданий, 30 сентября досрочно закончил сентябрьскую программу на 100,2%, коксовый цех с 27 сентября по 1 октября ежедневно выполняет 102% плана, </w:t>
      </w:r>
      <w:proofErr w:type="spellStart"/>
      <w:r w:rsidRPr="007122AB">
        <w:rPr>
          <w:rFonts w:ascii="Times New Roman" w:hAnsi="Times New Roman"/>
          <w:color w:val="000000" w:themeColor="text1"/>
          <w:sz w:val="16"/>
          <w:szCs w:val="16"/>
        </w:rPr>
        <w:t>листокровельный</w:t>
      </w:r>
      <w:proofErr w:type="spellEnd"/>
      <w:r w:rsidRPr="007122AB">
        <w:rPr>
          <w:rFonts w:ascii="Times New Roman" w:hAnsi="Times New Roman"/>
          <w:color w:val="000000" w:themeColor="text1"/>
          <w:sz w:val="16"/>
          <w:szCs w:val="16"/>
        </w:rPr>
        <w:t xml:space="preserve"> стан 27 сентября выполняет задание на 107%, а 30-го — на 113%. Некоторые шахты Боковского и </w:t>
      </w:r>
      <w:proofErr w:type="spellStart"/>
      <w:r w:rsidRPr="007122AB">
        <w:rPr>
          <w:rFonts w:ascii="Times New Roman" w:hAnsi="Times New Roman"/>
          <w:color w:val="000000" w:themeColor="text1"/>
          <w:sz w:val="16"/>
          <w:szCs w:val="16"/>
        </w:rPr>
        <w:t>Хрустальского</w:t>
      </w:r>
      <w:proofErr w:type="spellEnd"/>
      <w:r w:rsidRPr="007122AB">
        <w:rPr>
          <w:rFonts w:ascii="Times New Roman" w:hAnsi="Times New Roman"/>
          <w:color w:val="000000" w:themeColor="text1"/>
          <w:sz w:val="16"/>
          <w:szCs w:val="16"/>
        </w:rPr>
        <w:t xml:space="preserve"> рудоуправлений в ответ на тарифную перестройку повысили добычу на 50 и более процентов. Шахта № 12 Боковского рудоуправления в результате проработки нового тарифного соглашения повысила добычу за 3 дня с 242 т до 447. </w:t>
      </w:r>
    </w:p>
    <w:p w14:paraId="441871E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другим отраслям промышленности перестройка оплаты выражается главным образом в выделении оплаты ведущих профессий, расширении охвата поощрительными системами, внедрении прогрессивной сдельщины и прогрессивно-премиальных систем как за количество, так и за качество, в введении премирования инженерно-технического персонала, переводе на индивидуальную сдельщину и разукрупнении бригад коллективной сдельщины. Так, по Московской </w:t>
      </w:r>
      <w:r w:rsidRPr="007122AB">
        <w:rPr>
          <w:rFonts w:ascii="Times New Roman" w:hAnsi="Times New Roman"/>
          <w:color w:val="000000" w:themeColor="text1"/>
          <w:sz w:val="16"/>
          <w:szCs w:val="16"/>
        </w:rPr>
        <w:lastRenderedPageBreak/>
        <w:t xml:space="preserve">области из заводов общего машиностроения выделены ведущие профессии по 5 заводам, а удельный вес выделенных профессий составляет 10—12% от всего количества рабочих этих заводов. Охват сдельщиной на предприятиях в связи с проведением новых форм оплаты все увеличивается. Так, в августе по сравнению с началом года по Нижегородскому краю процент сдельщины увеличивается с 71% до 81,7%, по </w:t>
      </w:r>
      <w:proofErr w:type="spellStart"/>
      <w:r w:rsidRPr="007122AB">
        <w:rPr>
          <w:rFonts w:ascii="Times New Roman" w:hAnsi="Times New Roman"/>
          <w:color w:val="000000" w:themeColor="text1"/>
          <w:sz w:val="16"/>
          <w:szCs w:val="16"/>
        </w:rPr>
        <w:t>МСНХс</w:t>
      </w:r>
      <w:proofErr w:type="spellEnd"/>
      <w:r w:rsidRPr="007122AB">
        <w:rPr>
          <w:rFonts w:ascii="Times New Roman" w:hAnsi="Times New Roman"/>
          <w:color w:val="000000" w:themeColor="text1"/>
          <w:sz w:val="16"/>
          <w:szCs w:val="16"/>
        </w:rPr>
        <w:t xml:space="preserve"> 65% до 70%, по объединению РОМО — с 58% до 72%. Внедрение прогрессивной сдельщины началось преимущественно в июле — августе, и охват ею еще невелик. </w:t>
      </w:r>
    </w:p>
    <w:p w14:paraId="78D6D2A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Ростсельмаше из общего количества сдельщиков около 10 тыс. на прогрессивную сдельщину переведено 4200 человек, т.е. 42% всего количества сдельщиков. </w:t>
      </w:r>
    </w:p>
    <w:p w14:paraId="645D51A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Электростали переведено на прогрессивку около 17% от всего числа рабочих завода, по «Красному </w:t>
      </w:r>
      <w:proofErr w:type="spellStart"/>
      <w:r w:rsidRPr="007122AB">
        <w:rPr>
          <w:rFonts w:ascii="Times New Roman" w:hAnsi="Times New Roman"/>
          <w:color w:val="000000" w:themeColor="text1"/>
          <w:sz w:val="16"/>
          <w:szCs w:val="16"/>
        </w:rPr>
        <w:t>профинтерну</w:t>
      </w:r>
      <w:proofErr w:type="spellEnd"/>
      <w:r w:rsidRPr="007122AB">
        <w:rPr>
          <w:rFonts w:ascii="Times New Roman" w:hAnsi="Times New Roman"/>
          <w:color w:val="000000" w:themeColor="text1"/>
          <w:sz w:val="16"/>
          <w:szCs w:val="16"/>
        </w:rPr>
        <w:t xml:space="preserve">» — около 15%. Результаты применения прогрессивной сдельщины, особенно там, где она сопровождалась премированием за улучшение качества, показывает большую ее эффективность. На Подольском механическом заводе в литейном цехе стоимость брака на тонну уменьшилась в результате введения прогрессивки с 24 руб. 17 коп. в феврале до 8 руб. 23 коп. в августе. На Климовском заводе среднемесячная выработка на одного рабочего в литейной увеличилась с 1226 т в июне до 1348 т в июле, т.е. на 9,9%. По заводу им. Сталина в Ленинграде по отдельным бригадам рост производительности составляет от 7% до 39%. По Лысьвенскому заводу рабочий прорезал до прогрессивки 170 колец, а после введения — 250. На Невьянском заводе рабочий нарезал до прогрессивки 10 кольцевых труб, после — 15. </w:t>
      </w:r>
    </w:p>
    <w:p w14:paraId="6B1231A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Наряду с огромными положительными результатами практика проведения прогрессивки имеет немало ошибок, искривлений и извращений директив партии, правительства и указаний тов. Сталина. </w:t>
      </w:r>
    </w:p>
    <w:p w14:paraId="3406F60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Отдельные предприятия и объединения после издания ВСНХ и ВЦСПС постановления о зарплате в металлургической и угольной промышленности </w:t>
      </w:r>
      <w:bookmarkStart w:id="26" w:name="_ednref4"/>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 xml:space="preserve"> HYPERLINK "http://www.great-country.ru/content/sssr_stat/ind_1929-1932/ind_1929-1932-016.php" \l "_edn4" \o "" </w:instrText>
      </w:r>
      <w:r w:rsidR="00BE7680" w:rsidRPr="007122AB">
        <w:rPr>
          <w:rFonts w:ascii="Times New Roman" w:hAnsi="Times New Roman"/>
          <w:color w:val="000000" w:themeColor="text1"/>
          <w:sz w:val="16"/>
          <w:szCs w:val="16"/>
        </w:rPr>
      </w:r>
      <w:r w:rsidR="00BE7680" w:rsidRPr="007122AB">
        <w:rPr>
          <w:rFonts w:ascii="Times New Roman" w:hAnsi="Times New Roman"/>
          <w:color w:val="000000" w:themeColor="text1"/>
          <w:sz w:val="16"/>
          <w:szCs w:val="16"/>
        </w:rPr>
        <w:fldChar w:fldCharType="separate"/>
      </w:r>
      <w:r w:rsidRPr="007122AB">
        <w:rPr>
          <w:rStyle w:val="a5"/>
          <w:rFonts w:ascii="Times New Roman" w:hAnsi="Times New Roman"/>
          <w:color w:val="000000" w:themeColor="text1"/>
          <w:sz w:val="16"/>
          <w:szCs w:val="16"/>
        </w:rPr>
        <w:t>[4]</w:t>
      </w:r>
      <w:r w:rsidR="00BE7680" w:rsidRPr="007122AB">
        <w:rPr>
          <w:rFonts w:ascii="Times New Roman" w:hAnsi="Times New Roman"/>
          <w:color w:val="000000" w:themeColor="text1"/>
          <w:sz w:val="16"/>
          <w:szCs w:val="16"/>
        </w:rPr>
        <w:fldChar w:fldCharType="end"/>
      </w:r>
      <w:bookmarkEnd w:id="26"/>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начали»пересматривать</w:t>
      </w:r>
      <w:proofErr w:type="spellEnd"/>
      <w:r w:rsidRPr="007122AB">
        <w:rPr>
          <w:rFonts w:ascii="Times New Roman" w:hAnsi="Times New Roman"/>
          <w:color w:val="000000" w:themeColor="text1"/>
          <w:sz w:val="16"/>
          <w:szCs w:val="16"/>
        </w:rPr>
        <w:t xml:space="preserve"> установленные тарифы и подтягивать уровень зарплаты рабочим других отраслей народного хозяйства (Москва, Ленинград, Закавказье и др.). В результате имеет место перерасход фондов зарплаты. </w:t>
      </w:r>
    </w:p>
    <w:p w14:paraId="0A1882C5"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Соотношение численности лиц наемного труда с средней зарплатой и установленными фондами характеризуется следующей таблицей. </w:t>
      </w:r>
      <w:bookmarkStart w:id="27" w:name="_ednref5"/>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 xml:space="preserve"> HYPERLINK "http://www.great-country.ru/content/sssr_stat/ind_1929-1932/ind_1929-1932-016.php" \l "_edn5" \o "" </w:instrText>
      </w:r>
      <w:r w:rsidR="00BE7680" w:rsidRPr="007122AB">
        <w:rPr>
          <w:rFonts w:ascii="Times New Roman" w:hAnsi="Times New Roman"/>
          <w:color w:val="000000" w:themeColor="text1"/>
          <w:sz w:val="16"/>
          <w:szCs w:val="16"/>
        </w:rPr>
      </w:r>
      <w:r w:rsidR="00BE7680" w:rsidRPr="007122AB">
        <w:rPr>
          <w:rFonts w:ascii="Times New Roman" w:hAnsi="Times New Roman"/>
          <w:color w:val="000000" w:themeColor="text1"/>
          <w:sz w:val="16"/>
          <w:szCs w:val="16"/>
        </w:rPr>
        <w:fldChar w:fldCharType="separate"/>
      </w:r>
      <w:r w:rsidRPr="007122AB">
        <w:rPr>
          <w:rStyle w:val="a5"/>
          <w:rFonts w:ascii="Times New Roman" w:hAnsi="Times New Roman"/>
          <w:color w:val="000000" w:themeColor="text1"/>
          <w:sz w:val="16"/>
          <w:szCs w:val="16"/>
        </w:rPr>
        <w:t>[5]</w:t>
      </w:r>
      <w:r w:rsidR="00BE7680" w:rsidRPr="007122AB">
        <w:rPr>
          <w:rFonts w:ascii="Times New Roman" w:hAnsi="Times New Roman"/>
          <w:color w:val="000000" w:themeColor="text1"/>
          <w:sz w:val="16"/>
          <w:szCs w:val="16"/>
        </w:rPr>
        <w:fldChar w:fldCharType="end"/>
      </w:r>
      <w:bookmarkEnd w:id="27"/>
    </w:p>
    <w:p w14:paraId="695D8373"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органов труда над вопросами непрерывной производственной недели и сменности с начала 1931 г. была в основном сосредоточена вокруг проблемы правильной организации труда при многосменном непрерывном производстве.</w:t>
      </w:r>
    </w:p>
    <w:p w14:paraId="4388C258"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Необходимость особенно тщательного изучения вопросов непрерывной производственной недели определялась тем положением, которое сложилось в первом квартале 1931 г. С начала особого квартала 1930 г. число рабочих, переведенных на непрерывку, стало сокращаться.</w:t>
      </w:r>
    </w:p>
    <w:p w14:paraId="7094959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Следующая таблица [4] характеризует это положение (в %): </w:t>
      </w:r>
    </w:p>
    <w:p w14:paraId="0F3AAF3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[ТАБЛИЦА 4]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46"/>
        <w:gridCol w:w="1377"/>
        <w:gridCol w:w="1330"/>
        <w:gridCol w:w="1451"/>
      </w:tblGrid>
      <w:tr w:rsidR="001002C3" w:rsidRPr="007122AB" w14:paraId="252A000A"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960E59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553A691"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Переведенные на непрерывную производственную неделю </w:t>
            </w:r>
          </w:p>
        </w:tc>
      </w:tr>
      <w:tr w:rsidR="001002C3" w:rsidRPr="007122AB" w14:paraId="753769B6"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5040BF" w14:textId="77777777" w:rsidR="0097726A" w:rsidRPr="007122AB" w:rsidRDefault="0097726A" w:rsidP="007122AB">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CD0B34F"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на 1/Х 1930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D7BA1F6"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на 1/1 1931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B01200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на 1/III 1931 г. </w:t>
            </w:r>
          </w:p>
        </w:tc>
      </w:tr>
      <w:tr w:rsidR="001002C3" w:rsidRPr="007122AB" w14:paraId="3A046F7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9DF66F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по промышленности ВСНХ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7E420A"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72,95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8B83C79"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69,2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EF4A254"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67,6 </w:t>
            </w:r>
          </w:p>
        </w:tc>
      </w:tr>
      <w:tr w:rsidR="001002C3" w:rsidRPr="007122AB" w14:paraId="69C6ACA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73436D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том числе по группе «А»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9299CF2"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86,54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C76AF8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79,8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038B00D"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80,1 </w:t>
            </w:r>
          </w:p>
        </w:tc>
      </w:tr>
      <w:tr w:rsidR="001002C3" w:rsidRPr="007122AB" w14:paraId="0202DE28"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DB4D6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935391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52,19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9DCFF6E"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48,2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E3FD608"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44,1 </w:t>
            </w:r>
          </w:p>
        </w:tc>
      </w:tr>
    </w:tbl>
    <w:p w14:paraId="4311519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этом наиболее резкое снижение непрерывки наметилось в электротехнической, горнорудной, каменноугольной и других важнейших отраслях. Такое положение свидетельствовало о явном неблагополучии в проведении непрерывной производственной недели. </w:t>
      </w:r>
      <w:proofErr w:type="spellStart"/>
      <w:r w:rsidRPr="007122AB">
        <w:rPr>
          <w:rFonts w:ascii="Times New Roman" w:hAnsi="Times New Roman"/>
          <w:color w:val="000000" w:themeColor="text1"/>
          <w:sz w:val="16"/>
          <w:szCs w:val="16"/>
        </w:rPr>
        <w:t>Наркомтруд</w:t>
      </w:r>
      <w:proofErr w:type="spellEnd"/>
      <w:r w:rsidRPr="007122AB">
        <w:rPr>
          <w:rFonts w:ascii="Times New Roman" w:hAnsi="Times New Roman"/>
          <w:color w:val="000000" w:themeColor="text1"/>
          <w:sz w:val="16"/>
          <w:szCs w:val="16"/>
        </w:rPr>
        <w:t xml:space="preserve">, сигнализировав об этом положении правительству, предпринял детальное изучение причин, мешающих проведению непрерывной производственной недели. Положение с непрерывной производственной неделей было изучено на заводах «Серп и молот», «АМО», Электрозаводе, Ленинградском металлическом им. Сталина и других. Это изучение показало, что основной причиной, тормозящей проведение многосменного непрерывного производства, являлось применение неправильных, обезличивающих оборудование графиков, вызывавших падение производительности труда, частые простои, большое количество поломок, брак и т.д. В некоторых местах (например, на заводе «АМО») применялись графики «непрерывной» работы, узаконившие простои станков. В ряде мест заводы переходили к фактической </w:t>
      </w:r>
      <w:proofErr w:type="spellStart"/>
      <w:r w:rsidRPr="007122AB">
        <w:rPr>
          <w:rFonts w:ascii="Times New Roman" w:hAnsi="Times New Roman"/>
          <w:color w:val="000000" w:themeColor="text1"/>
          <w:sz w:val="16"/>
          <w:szCs w:val="16"/>
        </w:rPr>
        <w:t>прерывке</w:t>
      </w:r>
      <w:proofErr w:type="spellEnd"/>
      <w:r w:rsidRPr="007122AB">
        <w:rPr>
          <w:rFonts w:ascii="Times New Roman" w:hAnsi="Times New Roman"/>
          <w:color w:val="000000" w:themeColor="text1"/>
          <w:sz w:val="16"/>
          <w:szCs w:val="16"/>
        </w:rPr>
        <w:t xml:space="preserve"> (в выходные дни рабочих простаивали и станки). </w:t>
      </w:r>
    </w:p>
    <w:p w14:paraId="0A72E187"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тем же выводам привело и обследование работы ночных смен, проведенное </w:t>
      </w:r>
      <w:proofErr w:type="spellStart"/>
      <w:r w:rsidRPr="007122AB">
        <w:rPr>
          <w:rFonts w:ascii="Times New Roman" w:hAnsi="Times New Roman"/>
          <w:color w:val="000000" w:themeColor="text1"/>
          <w:sz w:val="16"/>
          <w:szCs w:val="16"/>
        </w:rPr>
        <w:t>Наркомтрудом</w:t>
      </w:r>
      <w:proofErr w:type="spellEnd"/>
      <w:r w:rsidRPr="007122AB">
        <w:rPr>
          <w:rFonts w:ascii="Times New Roman" w:hAnsi="Times New Roman"/>
          <w:color w:val="000000" w:themeColor="text1"/>
          <w:sz w:val="16"/>
          <w:szCs w:val="16"/>
        </w:rPr>
        <w:t xml:space="preserve"> совместно с ВЦСПС. Обследование показало, что неправильные графики мешают наладить работу ночных смен даже там, где организация ночной работы поставлена в основном удовлетворительно. Так оказалось на заводе «Серп и молот», где правильный принцип постоянных бригад, в полном составе переходящих из смены в смену и одинаково обслуживаемых во все часы («смена — цех»), был извращен абсолютно неправильными графиками, усиливавшими обезличку и нарушавшими трудовое законодательство.</w:t>
      </w:r>
    </w:p>
    <w:p w14:paraId="7442A4D9"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проблема графика оказалась основной в деле организации непрерывной производственной недели.</w:t>
      </w:r>
    </w:p>
    <w:p w14:paraId="3BBB0A80"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Единственным способом сохранения и укрепления непрерывки и полной ликвидации «</w:t>
      </w:r>
      <w:proofErr w:type="spellStart"/>
      <w:r w:rsidRPr="007122AB">
        <w:rPr>
          <w:rFonts w:ascii="Times New Roman" w:hAnsi="Times New Roman"/>
          <w:color w:val="000000" w:themeColor="text1"/>
          <w:sz w:val="16"/>
          <w:szCs w:val="16"/>
        </w:rPr>
        <w:t>скользунов</w:t>
      </w:r>
      <w:proofErr w:type="spellEnd"/>
      <w:r w:rsidRPr="007122AB">
        <w:rPr>
          <w:rFonts w:ascii="Times New Roman" w:hAnsi="Times New Roman"/>
          <w:color w:val="000000" w:themeColor="text1"/>
          <w:sz w:val="16"/>
          <w:szCs w:val="16"/>
        </w:rPr>
        <w:t xml:space="preserve">» было введение так называемого </w:t>
      </w:r>
      <w:proofErr w:type="spellStart"/>
      <w:r w:rsidRPr="007122AB">
        <w:rPr>
          <w:rFonts w:ascii="Times New Roman" w:hAnsi="Times New Roman"/>
          <w:color w:val="000000" w:themeColor="text1"/>
          <w:sz w:val="16"/>
          <w:szCs w:val="16"/>
        </w:rPr>
        <w:t>четырехбригадного</w:t>
      </w:r>
      <w:proofErr w:type="spellEnd"/>
      <w:r w:rsidRPr="007122AB">
        <w:rPr>
          <w:rFonts w:ascii="Times New Roman" w:hAnsi="Times New Roman"/>
          <w:color w:val="000000" w:themeColor="text1"/>
          <w:sz w:val="16"/>
          <w:szCs w:val="16"/>
        </w:rPr>
        <w:t xml:space="preserve"> графика. </w:t>
      </w:r>
      <w:proofErr w:type="spellStart"/>
      <w:r w:rsidRPr="007122AB">
        <w:rPr>
          <w:rFonts w:ascii="Times New Roman" w:hAnsi="Times New Roman"/>
          <w:color w:val="000000" w:themeColor="text1"/>
          <w:sz w:val="16"/>
          <w:szCs w:val="16"/>
        </w:rPr>
        <w:t>Четырехбригадный</w:t>
      </w:r>
      <w:proofErr w:type="spellEnd"/>
      <w:r w:rsidRPr="007122AB">
        <w:rPr>
          <w:rFonts w:ascii="Times New Roman" w:hAnsi="Times New Roman"/>
          <w:color w:val="000000" w:themeColor="text1"/>
          <w:sz w:val="16"/>
          <w:szCs w:val="16"/>
        </w:rPr>
        <w:t xml:space="preserve"> график был разрешен </w:t>
      </w:r>
      <w:proofErr w:type="spellStart"/>
      <w:r w:rsidRPr="007122AB">
        <w:rPr>
          <w:rFonts w:ascii="Times New Roman" w:hAnsi="Times New Roman"/>
          <w:color w:val="000000" w:themeColor="text1"/>
          <w:sz w:val="16"/>
          <w:szCs w:val="16"/>
        </w:rPr>
        <w:t>Наркомтрудом</w:t>
      </w:r>
      <w:proofErr w:type="spellEnd"/>
      <w:r w:rsidRPr="007122AB">
        <w:rPr>
          <w:rFonts w:ascii="Times New Roman" w:hAnsi="Times New Roman"/>
          <w:color w:val="000000" w:themeColor="text1"/>
          <w:sz w:val="16"/>
          <w:szCs w:val="16"/>
        </w:rPr>
        <w:t xml:space="preserve"> к применению в виде опыта на ряде предприятий и подвергнут специальному изучению (прожекторный отдел Электрозавода, комбинат № 3 </w:t>
      </w:r>
      <w:proofErr w:type="spellStart"/>
      <w:r w:rsidRPr="007122AB">
        <w:rPr>
          <w:rFonts w:ascii="Times New Roman" w:hAnsi="Times New Roman"/>
          <w:color w:val="000000" w:themeColor="text1"/>
          <w:sz w:val="16"/>
          <w:szCs w:val="16"/>
        </w:rPr>
        <w:t>Мострикотажа</w:t>
      </w:r>
      <w:proofErr w:type="spellEnd"/>
      <w:r w:rsidRPr="007122AB">
        <w:rPr>
          <w:rFonts w:ascii="Times New Roman" w:hAnsi="Times New Roman"/>
          <w:color w:val="000000" w:themeColor="text1"/>
          <w:sz w:val="16"/>
          <w:szCs w:val="16"/>
        </w:rPr>
        <w:t>, Ленинградский металлический завод им. Сталина, Московский рентгеновский завод, ряд предприятий ВЭО и др.).</w:t>
      </w:r>
    </w:p>
    <w:p w14:paraId="118E991C"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Успех </w:t>
      </w:r>
      <w:proofErr w:type="spellStart"/>
      <w:r w:rsidRPr="007122AB">
        <w:rPr>
          <w:rFonts w:ascii="Times New Roman" w:hAnsi="Times New Roman"/>
          <w:color w:val="000000" w:themeColor="text1"/>
          <w:sz w:val="16"/>
          <w:szCs w:val="16"/>
        </w:rPr>
        <w:t>четырехбригадного</w:t>
      </w:r>
      <w:proofErr w:type="spellEnd"/>
      <w:r w:rsidRPr="007122AB">
        <w:rPr>
          <w:rFonts w:ascii="Times New Roman" w:hAnsi="Times New Roman"/>
          <w:color w:val="000000" w:themeColor="text1"/>
          <w:sz w:val="16"/>
          <w:szCs w:val="16"/>
        </w:rPr>
        <w:t xml:space="preserve"> графика позволил </w:t>
      </w:r>
      <w:proofErr w:type="spellStart"/>
      <w:r w:rsidRPr="007122AB">
        <w:rPr>
          <w:rFonts w:ascii="Times New Roman" w:hAnsi="Times New Roman"/>
          <w:color w:val="000000" w:themeColor="text1"/>
          <w:sz w:val="16"/>
          <w:szCs w:val="16"/>
        </w:rPr>
        <w:t>Наркомтруду</w:t>
      </w:r>
      <w:proofErr w:type="spellEnd"/>
      <w:r w:rsidRPr="007122AB">
        <w:rPr>
          <w:rFonts w:ascii="Times New Roman" w:hAnsi="Times New Roman"/>
          <w:color w:val="000000" w:themeColor="text1"/>
          <w:sz w:val="16"/>
          <w:szCs w:val="16"/>
        </w:rPr>
        <w:t xml:space="preserve"> внести его на утверждение высших директивных органов, где он был признан обязательным для всех трехсменных работ. </w:t>
      </w:r>
    </w:p>
    <w:p w14:paraId="26947B06" w14:textId="77777777" w:rsidR="00A9405B"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Наряду с введением </w:t>
      </w:r>
      <w:proofErr w:type="spellStart"/>
      <w:r w:rsidRPr="007122AB">
        <w:rPr>
          <w:rFonts w:ascii="Times New Roman" w:hAnsi="Times New Roman"/>
          <w:color w:val="000000" w:themeColor="text1"/>
          <w:sz w:val="16"/>
          <w:szCs w:val="16"/>
        </w:rPr>
        <w:t>четырехбригадного</w:t>
      </w:r>
      <w:proofErr w:type="spellEnd"/>
      <w:r w:rsidRPr="007122AB">
        <w:rPr>
          <w:rFonts w:ascii="Times New Roman" w:hAnsi="Times New Roman"/>
          <w:color w:val="000000" w:themeColor="text1"/>
          <w:sz w:val="16"/>
          <w:szCs w:val="16"/>
        </w:rPr>
        <w:t xml:space="preserve"> графика для всех трехсменных работ </w:t>
      </w:r>
      <w:proofErr w:type="spellStart"/>
      <w:r w:rsidRPr="007122AB">
        <w:rPr>
          <w:rFonts w:ascii="Times New Roman" w:hAnsi="Times New Roman"/>
          <w:color w:val="000000" w:themeColor="text1"/>
          <w:sz w:val="16"/>
          <w:szCs w:val="16"/>
        </w:rPr>
        <w:t>Наркомтруд</w:t>
      </w:r>
      <w:proofErr w:type="spellEnd"/>
      <w:r w:rsidRPr="007122AB">
        <w:rPr>
          <w:rFonts w:ascii="Times New Roman" w:hAnsi="Times New Roman"/>
          <w:color w:val="000000" w:themeColor="text1"/>
          <w:sz w:val="16"/>
          <w:szCs w:val="16"/>
        </w:rPr>
        <w:t xml:space="preserve"> СССР и органы труда на местах проводили и проводят большую работу по борьбе с «бумажной» непрерывкой путем введения прерывной шестидневки на всех односменных предприятиях и тех из двухсменных, которые не могут быть переведены на трехсменную работу и </w:t>
      </w:r>
      <w:proofErr w:type="spellStart"/>
      <w:r w:rsidRPr="007122AB">
        <w:rPr>
          <w:rFonts w:ascii="Times New Roman" w:hAnsi="Times New Roman"/>
          <w:color w:val="000000" w:themeColor="text1"/>
          <w:sz w:val="16"/>
          <w:szCs w:val="16"/>
        </w:rPr>
        <w:t>четырехбригадный</w:t>
      </w:r>
      <w:proofErr w:type="spellEnd"/>
      <w:r w:rsidRPr="007122AB">
        <w:rPr>
          <w:rFonts w:ascii="Times New Roman" w:hAnsi="Times New Roman"/>
          <w:color w:val="000000" w:themeColor="text1"/>
          <w:sz w:val="16"/>
          <w:szCs w:val="16"/>
        </w:rPr>
        <w:t xml:space="preserve"> график. </w:t>
      </w:r>
      <w:bookmarkStart w:id="28" w:name="_ednref6"/>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 xml:space="preserve"> HYPERLINK "http://www.great-country.ru/content/sssr_stat/ind_1929-1932/ind_1929-1932-016.php" \l "_edn6" \o "" </w:instrText>
      </w:r>
      <w:r w:rsidR="00BE7680" w:rsidRPr="007122AB">
        <w:rPr>
          <w:rFonts w:ascii="Times New Roman" w:hAnsi="Times New Roman"/>
          <w:color w:val="000000" w:themeColor="text1"/>
          <w:sz w:val="16"/>
          <w:szCs w:val="16"/>
        </w:rPr>
      </w:r>
      <w:r w:rsidR="00BE7680" w:rsidRPr="007122AB">
        <w:rPr>
          <w:rFonts w:ascii="Times New Roman" w:hAnsi="Times New Roman"/>
          <w:color w:val="000000" w:themeColor="text1"/>
          <w:sz w:val="16"/>
          <w:szCs w:val="16"/>
        </w:rPr>
        <w:fldChar w:fldCharType="separate"/>
      </w:r>
      <w:r w:rsidRPr="007122AB">
        <w:rPr>
          <w:rStyle w:val="a5"/>
          <w:rFonts w:ascii="Times New Roman" w:hAnsi="Times New Roman"/>
          <w:color w:val="000000" w:themeColor="text1"/>
          <w:sz w:val="16"/>
          <w:szCs w:val="16"/>
        </w:rPr>
        <w:t>[6]</w:t>
      </w:r>
      <w:r w:rsidR="00BE7680" w:rsidRPr="007122AB">
        <w:rPr>
          <w:rFonts w:ascii="Times New Roman" w:hAnsi="Times New Roman"/>
          <w:color w:val="000000" w:themeColor="text1"/>
          <w:sz w:val="16"/>
          <w:szCs w:val="16"/>
        </w:rPr>
        <w:fldChar w:fldCharType="end"/>
      </w:r>
      <w:bookmarkEnd w:id="28"/>
    </w:p>
    <w:p w14:paraId="29406355" w14:textId="77777777" w:rsidR="0097726A" w:rsidRPr="007122AB" w:rsidRDefault="0097726A" w:rsidP="007122AB">
      <w:pPr>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ЦГАОР СССР, ф. 5515, </w:t>
      </w:r>
      <w:proofErr w:type="spellStart"/>
      <w:r w:rsidRPr="007122AB">
        <w:rPr>
          <w:rFonts w:ascii="Times New Roman" w:hAnsi="Times New Roman"/>
          <w:iCs/>
          <w:color w:val="000000" w:themeColor="text1"/>
          <w:sz w:val="16"/>
          <w:szCs w:val="16"/>
        </w:rPr>
        <w:t>on</w:t>
      </w:r>
      <w:proofErr w:type="spellEnd"/>
      <w:r w:rsidRPr="007122AB">
        <w:rPr>
          <w:rFonts w:ascii="Times New Roman" w:hAnsi="Times New Roman"/>
          <w:iCs/>
          <w:color w:val="000000" w:themeColor="text1"/>
          <w:sz w:val="16"/>
          <w:szCs w:val="16"/>
        </w:rPr>
        <w:t xml:space="preserve">. 1, д. 359, </w:t>
      </w:r>
      <w:proofErr w:type="spellStart"/>
      <w:r w:rsidRPr="007122AB">
        <w:rPr>
          <w:rFonts w:ascii="Times New Roman" w:hAnsi="Times New Roman"/>
          <w:iCs/>
          <w:color w:val="000000" w:themeColor="text1"/>
          <w:sz w:val="16"/>
          <w:szCs w:val="16"/>
        </w:rPr>
        <w:t>лл</w:t>
      </w:r>
      <w:proofErr w:type="spellEnd"/>
      <w:r w:rsidRPr="007122AB">
        <w:rPr>
          <w:rFonts w:ascii="Times New Roman" w:hAnsi="Times New Roman"/>
          <w:iCs/>
          <w:color w:val="000000" w:themeColor="text1"/>
          <w:sz w:val="16"/>
          <w:szCs w:val="16"/>
        </w:rPr>
        <w:t>. 312—324, 329—331. Копия.</w:t>
      </w:r>
    </w:p>
    <w:p w14:paraId="262F78AA" w14:textId="77777777" w:rsidR="0097726A" w:rsidRPr="007122AB" w:rsidRDefault="00000000" w:rsidP="007122AB">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pict w14:anchorId="5092C242">
          <v:rect id="_x0000_i1025" style="width:187.1pt;height:.75pt" o:hrpct="330" o:hrstd="t" o:hr="t" fillcolor="#a0a0a0" stroked="f"/>
        </w:pict>
      </w:r>
    </w:p>
    <w:bookmarkStart w:id="29" w:name="_edn1"/>
    <w:p w14:paraId="0634E1DC" w14:textId="77777777" w:rsidR="0097726A" w:rsidRPr="007122AB" w:rsidRDefault="00BE76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97726A" w:rsidRPr="007122AB">
        <w:rPr>
          <w:rFonts w:ascii="Times New Roman" w:hAnsi="Times New Roman"/>
          <w:color w:val="000000" w:themeColor="text1"/>
          <w:sz w:val="16"/>
          <w:szCs w:val="16"/>
        </w:rPr>
        <w:instrText xml:space="preserve"> HYPERLINK "http://www.great-country.ru/content/sssr_stat/ind_1929-1932/ind_1929-1932-016.php" \l "_ednref1" \o ""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r w:rsidR="0097726A" w:rsidRPr="007122AB">
        <w:rPr>
          <w:rStyle w:val="a7"/>
          <w:rFonts w:ascii="Times New Roman" w:hAnsi="Times New Roman"/>
          <w:b w:val="0"/>
          <w:color w:val="000000" w:themeColor="text1"/>
          <w:sz w:val="16"/>
          <w:szCs w:val="16"/>
        </w:rPr>
        <w:t>[1]</w:t>
      </w:r>
      <w:r w:rsidRPr="007122AB">
        <w:rPr>
          <w:rFonts w:ascii="Times New Roman" w:hAnsi="Times New Roman"/>
          <w:color w:val="000000" w:themeColor="text1"/>
          <w:sz w:val="16"/>
          <w:szCs w:val="16"/>
        </w:rPr>
        <w:fldChar w:fldCharType="end"/>
      </w:r>
      <w:bookmarkEnd w:id="29"/>
      <w:r w:rsidR="0097726A" w:rsidRPr="007122AB">
        <w:rPr>
          <w:rFonts w:ascii="Times New Roman" w:hAnsi="Times New Roman"/>
          <w:color w:val="000000" w:themeColor="text1"/>
          <w:sz w:val="16"/>
          <w:szCs w:val="16"/>
        </w:rPr>
        <w:t>Датируется по содержанию.</w:t>
      </w:r>
    </w:p>
    <w:bookmarkStart w:id="30" w:name="_edn2"/>
    <w:p w14:paraId="35C96F11" w14:textId="77777777" w:rsidR="0097726A" w:rsidRPr="007122AB" w:rsidRDefault="00BE76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97726A" w:rsidRPr="007122AB">
        <w:rPr>
          <w:rFonts w:ascii="Times New Roman" w:hAnsi="Times New Roman"/>
          <w:color w:val="000000" w:themeColor="text1"/>
          <w:sz w:val="16"/>
          <w:szCs w:val="16"/>
        </w:rPr>
        <w:instrText xml:space="preserve"> HYPERLINK "http://www.great-country.ru/content/sssr_stat/ind_1929-1932/ind_1929-1932-016.php" \l "_ednref2" \o ""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r w:rsidR="0097726A" w:rsidRPr="007122AB">
        <w:rPr>
          <w:rStyle w:val="a7"/>
          <w:rFonts w:ascii="Times New Roman" w:hAnsi="Times New Roman"/>
          <w:b w:val="0"/>
          <w:color w:val="000000" w:themeColor="text1"/>
          <w:sz w:val="16"/>
          <w:szCs w:val="16"/>
        </w:rPr>
        <w:t>[2]</w:t>
      </w:r>
      <w:r w:rsidRPr="007122AB">
        <w:rPr>
          <w:rFonts w:ascii="Times New Roman" w:hAnsi="Times New Roman"/>
          <w:color w:val="000000" w:themeColor="text1"/>
          <w:sz w:val="16"/>
          <w:szCs w:val="16"/>
        </w:rPr>
        <w:fldChar w:fldCharType="end"/>
      </w:r>
      <w:bookmarkEnd w:id="30"/>
      <w:r w:rsidR="0097726A" w:rsidRPr="007122AB">
        <w:rPr>
          <w:rFonts w:ascii="Times New Roman" w:hAnsi="Times New Roman"/>
          <w:color w:val="000000" w:themeColor="text1"/>
          <w:sz w:val="16"/>
          <w:szCs w:val="16"/>
        </w:rPr>
        <w:t>В документе цифра отсутствует.</w:t>
      </w:r>
    </w:p>
    <w:bookmarkStart w:id="31" w:name="_edn3"/>
    <w:p w14:paraId="0BB6B738" w14:textId="77777777" w:rsidR="0097726A" w:rsidRPr="007122AB" w:rsidRDefault="00BE76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97726A" w:rsidRPr="007122AB">
        <w:rPr>
          <w:rFonts w:ascii="Times New Roman" w:hAnsi="Times New Roman"/>
          <w:color w:val="000000" w:themeColor="text1"/>
          <w:sz w:val="16"/>
          <w:szCs w:val="16"/>
        </w:rPr>
        <w:instrText xml:space="preserve"> HYPERLINK "http://www.great-country.ru/content/sssr_stat/ind_1929-1932/ind_1929-1932-016.php" \l "_ednref3" \o ""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r w:rsidR="0097726A" w:rsidRPr="007122AB">
        <w:rPr>
          <w:rStyle w:val="a7"/>
          <w:rFonts w:ascii="Times New Roman" w:hAnsi="Times New Roman"/>
          <w:b w:val="0"/>
          <w:color w:val="000000" w:themeColor="text1"/>
          <w:sz w:val="16"/>
          <w:szCs w:val="16"/>
        </w:rPr>
        <w:t>[3]</w:t>
      </w:r>
      <w:r w:rsidRPr="007122AB">
        <w:rPr>
          <w:rFonts w:ascii="Times New Roman" w:hAnsi="Times New Roman"/>
          <w:color w:val="000000" w:themeColor="text1"/>
          <w:sz w:val="16"/>
          <w:szCs w:val="16"/>
        </w:rPr>
        <w:fldChar w:fldCharType="end"/>
      </w:r>
      <w:bookmarkEnd w:id="31"/>
      <w:r w:rsidR="0097726A" w:rsidRPr="007122AB">
        <w:rPr>
          <w:rFonts w:ascii="Times New Roman" w:hAnsi="Times New Roman"/>
          <w:color w:val="000000" w:themeColor="text1"/>
          <w:sz w:val="16"/>
          <w:szCs w:val="16"/>
        </w:rPr>
        <w:t>Пятый завод в документе не указан.</w:t>
      </w:r>
    </w:p>
    <w:bookmarkStart w:id="32" w:name="_edn4"/>
    <w:p w14:paraId="7B9FA33A" w14:textId="77777777" w:rsidR="0097726A" w:rsidRPr="007122AB" w:rsidRDefault="00BE76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97726A" w:rsidRPr="007122AB">
        <w:rPr>
          <w:rFonts w:ascii="Times New Roman" w:hAnsi="Times New Roman"/>
          <w:color w:val="000000" w:themeColor="text1"/>
          <w:sz w:val="16"/>
          <w:szCs w:val="16"/>
        </w:rPr>
        <w:instrText xml:space="preserve"> HYPERLINK "http://www.great-country.ru/content/sssr_stat/ind_1929-1932/ind_1929-1932-016.php" \l "_ednref4" \o ""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r w:rsidR="0097726A" w:rsidRPr="007122AB">
        <w:rPr>
          <w:rStyle w:val="a7"/>
          <w:rFonts w:ascii="Times New Roman" w:hAnsi="Times New Roman"/>
          <w:b w:val="0"/>
          <w:color w:val="000000" w:themeColor="text1"/>
          <w:sz w:val="16"/>
          <w:szCs w:val="16"/>
        </w:rPr>
        <w:t>[4]</w:t>
      </w:r>
      <w:r w:rsidRPr="007122AB">
        <w:rPr>
          <w:rFonts w:ascii="Times New Roman" w:hAnsi="Times New Roman"/>
          <w:color w:val="000000" w:themeColor="text1"/>
          <w:sz w:val="16"/>
          <w:szCs w:val="16"/>
        </w:rPr>
        <w:fldChar w:fldCharType="end"/>
      </w:r>
      <w:bookmarkEnd w:id="32"/>
      <w:r w:rsidR="0097726A" w:rsidRPr="007122AB">
        <w:rPr>
          <w:rFonts w:ascii="Times New Roman" w:hAnsi="Times New Roman"/>
          <w:color w:val="000000" w:themeColor="text1"/>
          <w:sz w:val="16"/>
          <w:szCs w:val="16"/>
        </w:rPr>
        <w:t>Имеется в виду постановление ВЦСПС и ВСНХ СССР от 21 сентября 1931 г. «О перестройке системы зарплаты в металлургии и угольной промышленности» («Труд», 23 сентября 1931 г.).</w:t>
      </w:r>
    </w:p>
    <w:bookmarkStart w:id="33" w:name="_edn5"/>
    <w:p w14:paraId="3645D7A4" w14:textId="77777777" w:rsidR="0097726A" w:rsidRPr="007122AB" w:rsidRDefault="00BE768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97726A" w:rsidRPr="007122AB">
        <w:rPr>
          <w:rFonts w:ascii="Times New Roman" w:hAnsi="Times New Roman"/>
          <w:color w:val="000000" w:themeColor="text1"/>
          <w:sz w:val="16"/>
          <w:szCs w:val="16"/>
        </w:rPr>
        <w:instrText xml:space="preserve"> HYPERLINK "http://www.great-country.ru/content/sssr_stat/ind_1929-1932/ind_1929-1932-016.php" \l "_ednref5" \o ""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r w:rsidR="0097726A" w:rsidRPr="007122AB">
        <w:rPr>
          <w:rStyle w:val="a7"/>
          <w:rFonts w:ascii="Times New Roman" w:hAnsi="Times New Roman"/>
          <w:b w:val="0"/>
          <w:color w:val="000000" w:themeColor="text1"/>
          <w:sz w:val="16"/>
          <w:szCs w:val="16"/>
        </w:rPr>
        <w:t>[5]</w:t>
      </w:r>
      <w:r w:rsidRPr="007122AB">
        <w:rPr>
          <w:rFonts w:ascii="Times New Roman" w:hAnsi="Times New Roman"/>
          <w:color w:val="000000" w:themeColor="text1"/>
          <w:sz w:val="16"/>
          <w:szCs w:val="16"/>
        </w:rPr>
        <w:fldChar w:fldCharType="end"/>
      </w:r>
      <w:bookmarkEnd w:id="33"/>
      <w:r w:rsidR="0097726A" w:rsidRPr="007122AB">
        <w:rPr>
          <w:rFonts w:ascii="Times New Roman" w:hAnsi="Times New Roman"/>
          <w:color w:val="000000" w:themeColor="text1"/>
          <w:sz w:val="16"/>
          <w:szCs w:val="16"/>
        </w:rPr>
        <w:t xml:space="preserve">Таблица не публикуется. Опущены также сведения по вопросам организации труда и регулирования заработной платы в сельском хозяйстве (ЦГАОР СССР, ф. 5515, </w:t>
      </w:r>
      <w:proofErr w:type="spellStart"/>
      <w:r w:rsidR="0097726A" w:rsidRPr="007122AB">
        <w:rPr>
          <w:rFonts w:ascii="Times New Roman" w:hAnsi="Times New Roman"/>
          <w:color w:val="000000" w:themeColor="text1"/>
          <w:sz w:val="16"/>
          <w:szCs w:val="16"/>
        </w:rPr>
        <w:t>on</w:t>
      </w:r>
      <w:proofErr w:type="spellEnd"/>
      <w:r w:rsidR="0097726A" w:rsidRPr="007122AB">
        <w:rPr>
          <w:rFonts w:ascii="Times New Roman" w:hAnsi="Times New Roman"/>
          <w:color w:val="000000" w:themeColor="text1"/>
          <w:sz w:val="16"/>
          <w:szCs w:val="16"/>
        </w:rPr>
        <w:t xml:space="preserve">. 1, д. 359, </w:t>
      </w:r>
      <w:proofErr w:type="spellStart"/>
      <w:r w:rsidR="0097726A" w:rsidRPr="007122AB">
        <w:rPr>
          <w:rFonts w:ascii="Times New Roman" w:hAnsi="Times New Roman"/>
          <w:color w:val="000000" w:themeColor="text1"/>
          <w:sz w:val="16"/>
          <w:szCs w:val="16"/>
        </w:rPr>
        <w:t>лл</w:t>
      </w:r>
      <w:proofErr w:type="spellEnd"/>
      <w:r w:rsidR="0097726A" w:rsidRPr="007122AB">
        <w:rPr>
          <w:rFonts w:ascii="Times New Roman" w:hAnsi="Times New Roman"/>
          <w:color w:val="000000" w:themeColor="text1"/>
          <w:sz w:val="16"/>
          <w:szCs w:val="16"/>
        </w:rPr>
        <w:t>. 325—329).</w:t>
      </w:r>
    </w:p>
    <w:bookmarkStart w:id="34" w:name="_edn6"/>
    <w:p w14:paraId="306E73E3" w14:textId="77777777" w:rsidR="0097726A" w:rsidRPr="007122AB" w:rsidRDefault="00BE7680"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97726A" w:rsidRPr="007122AB">
        <w:rPr>
          <w:rFonts w:ascii="Times New Roman" w:hAnsi="Times New Roman"/>
          <w:color w:val="000000" w:themeColor="text1"/>
          <w:sz w:val="16"/>
          <w:szCs w:val="16"/>
        </w:rPr>
        <w:instrText xml:space="preserve"> HYPERLINK "http://www.great-country.ru/content/sssr_stat/ind_1929-1932/ind_1929-1932-016.php" \l "_ednref6" \o ""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r w:rsidR="0097726A" w:rsidRPr="007122AB">
        <w:rPr>
          <w:rStyle w:val="a7"/>
          <w:rFonts w:ascii="Times New Roman" w:hAnsi="Times New Roman"/>
          <w:b w:val="0"/>
          <w:color w:val="000000" w:themeColor="text1"/>
          <w:sz w:val="16"/>
          <w:szCs w:val="16"/>
        </w:rPr>
        <w:t>[6]</w:t>
      </w:r>
      <w:r w:rsidRPr="007122AB">
        <w:rPr>
          <w:rFonts w:ascii="Times New Roman" w:hAnsi="Times New Roman"/>
          <w:color w:val="000000" w:themeColor="text1"/>
          <w:sz w:val="16"/>
          <w:szCs w:val="16"/>
        </w:rPr>
        <w:fldChar w:fldCharType="end"/>
      </w:r>
      <w:bookmarkEnd w:id="34"/>
      <w:r w:rsidR="0097726A" w:rsidRPr="007122AB">
        <w:rPr>
          <w:rFonts w:ascii="Times New Roman" w:hAnsi="Times New Roman"/>
          <w:color w:val="000000" w:themeColor="text1"/>
          <w:sz w:val="16"/>
          <w:szCs w:val="16"/>
        </w:rPr>
        <w:t xml:space="preserve">Опущены сведения о переводе промышленности на 7-часовой рабочий день (ЦГАОР СССР, ф. 5515, </w:t>
      </w:r>
      <w:proofErr w:type="spellStart"/>
      <w:r w:rsidR="0097726A" w:rsidRPr="007122AB">
        <w:rPr>
          <w:rFonts w:ascii="Times New Roman" w:hAnsi="Times New Roman"/>
          <w:color w:val="000000" w:themeColor="text1"/>
          <w:sz w:val="16"/>
          <w:szCs w:val="16"/>
        </w:rPr>
        <w:t>on</w:t>
      </w:r>
      <w:proofErr w:type="spellEnd"/>
      <w:r w:rsidR="0097726A" w:rsidRPr="007122AB">
        <w:rPr>
          <w:rFonts w:ascii="Times New Roman" w:hAnsi="Times New Roman"/>
          <w:color w:val="000000" w:themeColor="text1"/>
          <w:sz w:val="16"/>
          <w:szCs w:val="16"/>
        </w:rPr>
        <w:t xml:space="preserve">. 1, д. 359, </w:t>
      </w:r>
      <w:proofErr w:type="spellStart"/>
      <w:r w:rsidR="0097726A" w:rsidRPr="007122AB">
        <w:rPr>
          <w:rFonts w:ascii="Times New Roman" w:hAnsi="Times New Roman"/>
          <w:color w:val="000000" w:themeColor="text1"/>
          <w:sz w:val="16"/>
          <w:szCs w:val="16"/>
        </w:rPr>
        <w:t>лл</w:t>
      </w:r>
      <w:proofErr w:type="spellEnd"/>
      <w:r w:rsidR="0097726A" w:rsidRPr="007122AB">
        <w:rPr>
          <w:rFonts w:ascii="Times New Roman" w:hAnsi="Times New Roman"/>
          <w:color w:val="000000" w:themeColor="text1"/>
          <w:sz w:val="16"/>
          <w:szCs w:val="16"/>
        </w:rPr>
        <w:t>. 331—333) (17247).</w:t>
      </w:r>
    </w:p>
    <w:p w14:paraId="1860A5FB" w14:textId="77777777" w:rsidR="0097726A" w:rsidRPr="007122AB" w:rsidRDefault="0097726A" w:rsidP="007122AB">
      <w:pPr>
        <w:autoSpaceDE w:val="0"/>
        <w:autoSpaceDN w:val="0"/>
        <w:adjustRightInd w:val="0"/>
        <w:spacing w:after="0" w:line="240" w:lineRule="auto"/>
        <w:jc w:val="both"/>
        <w:rPr>
          <w:rFonts w:ascii="Times New Roman" w:hAnsi="Times New Roman"/>
          <w:color w:val="000000" w:themeColor="text1"/>
          <w:sz w:val="16"/>
          <w:szCs w:val="16"/>
        </w:rPr>
      </w:pPr>
    </w:p>
    <w:p w14:paraId="4ECC51D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F6CA62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2E37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октября 1931 г. Приказом по ЦКБ отдел до</w:t>
      </w:r>
      <w:r w:rsidRPr="007122AB">
        <w:rPr>
          <w:rFonts w:ascii="Times New Roman" w:hAnsi="Times New Roman"/>
          <w:color w:val="000000" w:themeColor="text1"/>
          <w:sz w:val="16"/>
          <w:szCs w:val="16"/>
        </w:rPr>
        <w:softHyphen/>
        <w:t>водок (отдел № 9) расформировали. Для под</w:t>
      </w:r>
      <w:r w:rsidRPr="007122AB">
        <w:rPr>
          <w:rFonts w:ascii="Times New Roman" w:hAnsi="Times New Roman"/>
          <w:color w:val="000000" w:themeColor="text1"/>
          <w:sz w:val="16"/>
          <w:szCs w:val="16"/>
        </w:rPr>
        <w:softHyphen/>
        <w:t>готовки конструкторской документации, раз</w:t>
      </w:r>
      <w:r w:rsidRPr="007122AB">
        <w:rPr>
          <w:rFonts w:ascii="Times New Roman" w:hAnsi="Times New Roman"/>
          <w:color w:val="000000" w:themeColor="text1"/>
          <w:sz w:val="16"/>
          <w:szCs w:val="16"/>
        </w:rPr>
        <w:softHyphen/>
        <w:t>работки технологии и связи с производством создали Бюро внедрения, начальником кото</w:t>
      </w:r>
      <w:r w:rsidRPr="007122AB">
        <w:rPr>
          <w:rFonts w:ascii="Times New Roman" w:hAnsi="Times New Roman"/>
          <w:color w:val="000000" w:themeColor="text1"/>
          <w:sz w:val="16"/>
          <w:szCs w:val="16"/>
        </w:rPr>
        <w:softHyphen/>
        <w:t>рого назначили И.М. Косткина. Размещалось бюро на улице Радио, то есть во владениях ЦАГИ. О его пользе и роли имелись различные мнения, вплоть до полного отрицания необхо</w:t>
      </w:r>
      <w:r w:rsidRPr="007122AB">
        <w:rPr>
          <w:rFonts w:ascii="Times New Roman" w:hAnsi="Times New Roman"/>
          <w:color w:val="000000" w:themeColor="text1"/>
          <w:sz w:val="16"/>
          <w:szCs w:val="16"/>
        </w:rPr>
        <w:softHyphen/>
        <w:t>димости, однако очень скоро Бюро внедрения сыграло свою роль в истории истребителя И-5.</w:t>
      </w:r>
    </w:p>
    <w:p w14:paraId="462537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серийное строительство И-5 ре</w:t>
      </w:r>
      <w:r w:rsidRPr="007122AB">
        <w:rPr>
          <w:rFonts w:ascii="Times New Roman" w:hAnsi="Times New Roman"/>
          <w:color w:val="000000" w:themeColor="text1"/>
          <w:sz w:val="16"/>
          <w:szCs w:val="16"/>
        </w:rPr>
        <w:softHyphen/>
        <w:t>шили передать на новый авиазавод №21 в Нижнем Новгороде. Завод только начал функ</w:t>
      </w:r>
      <w:r w:rsidRPr="007122AB">
        <w:rPr>
          <w:rFonts w:ascii="Times New Roman" w:hAnsi="Times New Roman"/>
          <w:color w:val="000000" w:themeColor="text1"/>
          <w:sz w:val="16"/>
          <w:szCs w:val="16"/>
        </w:rPr>
        <w:softHyphen/>
        <w:t>ционировать, поэтому при выпуске продукции предполагались трудности, которые должно было преодолеть Бюро внедрения и ответ</w:t>
      </w:r>
      <w:r w:rsidRPr="007122AB">
        <w:rPr>
          <w:rFonts w:ascii="Times New Roman" w:hAnsi="Times New Roman"/>
          <w:color w:val="000000" w:themeColor="text1"/>
          <w:sz w:val="16"/>
          <w:szCs w:val="16"/>
        </w:rPr>
        <w:softHyphen/>
        <w:t>ственные за процесс: Д.П. Григорович (стар</w:t>
      </w:r>
      <w:r w:rsidRPr="007122AB">
        <w:rPr>
          <w:rFonts w:ascii="Times New Roman" w:hAnsi="Times New Roman"/>
          <w:color w:val="000000" w:themeColor="text1"/>
          <w:sz w:val="16"/>
          <w:szCs w:val="16"/>
        </w:rPr>
        <w:softHyphen/>
        <w:t>ший), И.М. Косткин и К.А. Виганд.</w:t>
      </w:r>
    </w:p>
    <w:p w14:paraId="1CD6A0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Московской команде предстояло макси</w:t>
      </w:r>
      <w:r w:rsidRPr="007122AB">
        <w:rPr>
          <w:rFonts w:ascii="Times New Roman" w:hAnsi="Times New Roman"/>
          <w:color w:val="000000" w:themeColor="text1"/>
          <w:sz w:val="16"/>
          <w:szCs w:val="16"/>
        </w:rPr>
        <w:softHyphen/>
        <w:t>мально помочь освоению истребителя и ожи</w:t>
      </w:r>
      <w:r w:rsidRPr="007122AB">
        <w:rPr>
          <w:rFonts w:ascii="Times New Roman" w:hAnsi="Times New Roman"/>
          <w:color w:val="000000" w:themeColor="text1"/>
          <w:sz w:val="16"/>
          <w:szCs w:val="16"/>
        </w:rPr>
        <w:softHyphen/>
        <w:t>вить своим присутствием его строительство. По этой же причине в Нижний Новгород в ка</w:t>
      </w:r>
      <w:r w:rsidRPr="007122AB">
        <w:rPr>
          <w:rFonts w:ascii="Times New Roman" w:hAnsi="Times New Roman"/>
          <w:color w:val="000000" w:themeColor="text1"/>
          <w:sz w:val="16"/>
          <w:szCs w:val="16"/>
        </w:rPr>
        <w:softHyphen/>
        <w:t>честве эталона передали И-5 №4298, а затем в течение года перевезли из Москвы весь задел по серии завода №1 и всю необходимую тех</w:t>
      </w:r>
      <w:r w:rsidRPr="007122AB">
        <w:rPr>
          <w:rFonts w:ascii="Times New Roman" w:hAnsi="Times New Roman"/>
          <w:color w:val="000000" w:themeColor="text1"/>
          <w:sz w:val="16"/>
          <w:szCs w:val="16"/>
        </w:rPr>
        <w:softHyphen/>
        <w:t>нологическую оснастку. Впрочем, по причине продолжающегося строительства завода и си</w:t>
      </w:r>
      <w:r w:rsidRPr="007122AB">
        <w:rPr>
          <w:rFonts w:ascii="Times New Roman" w:hAnsi="Times New Roman"/>
          <w:color w:val="000000" w:themeColor="text1"/>
          <w:sz w:val="16"/>
          <w:szCs w:val="16"/>
        </w:rPr>
        <w:softHyphen/>
        <w:t>лового внедрения нового объекта успехи ока</w:t>
      </w:r>
      <w:r w:rsidRPr="007122AB">
        <w:rPr>
          <w:rFonts w:ascii="Times New Roman" w:hAnsi="Times New Roman"/>
          <w:color w:val="000000" w:themeColor="text1"/>
          <w:sz w:val="16"/>
          <w:szCs w:val="16"/>
        </w:rPr>
        <w:softHyphen/>
        <w:t>зались скромными. Основную часть годового выпуска построили на заводе №1 (76 самоле</w:t>
      </w:r>
      <w:r w:rsidRPr="007122AB">
        <w:rPr>
          <w:rFonts w:ascii="Times New Roman" w:hAnsi="Times New Roman"/>
          <w:color w:val="000000" w:themeColor="text1"/>
          <w:sz w:val="16"/>
          <w:szCs w:val="16"/>
        </w:rPr>
        <w:softHyphen/>
        <w:t>тов). Тем не менее, в план 21-го завода за 1932 г. зачли первые 10 серийных аппаратов (11974).</w:t>
      </w:r>
    </w:p>
    <w:p w14:paraId="70D34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6DE31C"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октября 1931 г. Приказом по ЦКБ отдел доводок (отдел № 9) расформировали. Для подготовки конструкторской документации, разработки технологии и связи с производст</w:t>
      </w:r>
      <w:r w:rsidRPr="007122AB">
        <w:rPr>
          <w:rFonts w:ascii="Times New Roman" w:hAnsi="Times New Roman"/>
          <w:color w:val="000000" w:themeColor="text1"/>
          <w:sz w:val="16"/>
          <w:szCs w:val="16"/>
        </w:rPr>
        <w:softHyphen/>
        <w:t>вом создали Бюро внедрения, начальником которого назначили И.М. Косткина. Разме</w:t>
      </w:r>
      <w:r w:rsidRPr="007122AB">
        <w:rPr>
          <w:rFonts w:ascii="Times New Roman" w:hAnsi="Times New Roman"/>
          <w:color w:val="000000" w:themeColor="text1"/>
          <w:sz w:val="16"/>
          <w:szCs w:val="16"/>
        </w:rPr>
        <w:softHyphen/>
        <w:t>щалось «бюро» на улице Радио, то есть во владениях ЦАГИ. О его пользе и роли име</w:t>
      </w:r>
      <w:r w:rsidRPr="007122AB">
        <w:rPr>
          <w:rFonts w:ascii="Times New Roman" w:hAnsi="Times New Roman"/>
          <w:color w:val="000000" w:themeColor="text1"/>
          <w:sz w:val="16"/>
          <w:szCs w:val="16"/>
        </w:rPr>
        <w:softHyphen/>
        <w:t>лись различные мнения, вплоть до полно</w:t>
      </w:r>
      <w:r w:rsidRPr="007122AB">
        <w:rPr>
          <w:rFonts w:ascii="Times New Roman" w:hAnsi="Times New Roman"/>
          <w:color w:val="000000" w:themeColor="text1"/>
          <w:sz w:val="16"/>
          <w:szCs w:val="16"/>
        </w:rPr>
        <w:softHyphen/>
        <w:t>го отрицания необходимости, однако очень скоро Бюро внедрения сыграло свою роль в истории истребителя (12295).</w:t>
      </w:r>
    </w:p>
    <w:p w14:paraId="13AE9EBD"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2D0C6B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октября 1931 С.П.К. дал анализ конструкции планера Б.И. </w:t>
      </w:r>
      <w:proofErr w:type="spellStart"/>
      <w:r w:rsidRPr="007122AB">
        <w:rPr>
          <w:rFonts w:ascii="Times New Roman" w:hAnsi="Times New Roman"/>
          <w:color w:val="000000" w:themeColor="text1"/>
          <w:sz w:val="16"/>
          <w:szCs w:val="16"/>
        </w:rPr>
        <w:t>Черановского</w:t>
      </w:r>
      <w:proofErr w:type="spellEnd"/>
      <w:r w:rsidRPr="007122AB">
        <w:rPr>
          <w:rFonts w:ascii="Times New Roman" w:hAnsi="Times New Roman"/>
          <w:color w:val="000000" w:themeColor="text1"/>
          <w:sz w:val="16"/>
          <w:szCs w:val="16"/>
        </w:rPr>
        <w:t xml:space="preserve"> БИЧ-8 (ААН, ф. 1546, оп. 1, № 8. Автограф) (10676).</w:t>
      </w:r>
    </w:p>
    <w:p w14:paraId="50978C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FB7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октября 1931 вышел Отчет по испытанию стрелкового вооружения на сам. БМВ-VI (1-м опытном), представленного заводом N 1. (наверное, это И-7).</w:t>
      </w:r>
    </w:p>
    <w:p w14:paraId="2A270F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Заключение.</w:t>
      </w:r>
    </w:p>
    <w:p w14:paraId="3798F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пулеметные установки испытания стрельбой выдержали (3208,457-468).</w:t>
      </w:r>
    </w:p>
    <w:p w14:paraId="03433F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B21B5A" w14:textId="77777777" w:rsidR="00144B93" w:rsidRPr="00441F34" w:rsidRDefault="00144B93" w:rsidP="00144B9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октября 1931 г. вышел «Отчет по испытанию стрелкового вооружения на сам. И-7 БМВ-VI (1-м опытном), представленного заводом №1», где указано, что</w:t>
      </w:r>
      <w:r>
        <w:rPr>
          <w:rFonts w:ascii="Times New Roman" w:hAnsi="Times New Roman"/>
          <w:color w:val="0070C0"/>
          <w:sz w:val="16"/>
          <w:szCs w:val="16"/>
        </w:rPr>
        <w:t xml:space="preserve"> </w:t>
      </w:r>
      <w:r w:rsidRPr="00441F34">
        <w:rPr>
          <w:rFonts w:ascii="Times New Roman" w:hAnsi="Times New Roman"/>
          <w:color w:val="0070C0"/>
          <w:sz w:val="16"/>
          <w:szCs w:val="16"/>
        </w:rPr>
        <w:t>«…пулеметные установки испытания стрельбой выдержали» (24331).</w:t>
      </w:r>
    </w:p>
    <w:p w14:paraId="3AD024DC" w14:textId="77777777" w:rsidR="00144B93" w:rsidRPr="00441F34" w:rsidRDefault="00144B93" w:rsidP="00144B93">
      <w:pPr>
        <w:spacing w:after="0" w:line="240" w:lineRule="auto"/>
        <w:jc w:val="both"/>
        <w:rPr>
          <w:rFonts w:ascii="Times New Roman" w:hAnsi="Times New Roman"/>
          <w:color w:val="0070C0"/>
          <w:sz w:val="16"/>
          <w:szCs w:val="16"/>
        </w:rPr>
      </w:pPr>
    </w:p>
    <w:p w14:paraId="45EB87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7B47F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899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30 октября и 5 ноября 1931. Из протокола заседания Политбюро № 72, 1931 г.</w:t>
      </w:r>
    </w:p>
    <w:p w14:paraId="53DFC9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зарплате текстильщиков </w:t>
      </w:r>
    </w:p>
    <w:p w14:paraId="4B3328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Прибавку зарплаты по текстильной промышленности (лен, шерсть и хлопок) наметить такую, которая не уничтожала бы, но сохранила в неприкосновенности расстояние между зарплатами рабочих угля, железнодорожного транспорта и металла, с одной стороны, и прочими отраслями — с другой. </w:t>
      </w:r>
    </w:p>
    <w:p w14:paraId="04A9E9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Прибавку провести с 1 января 1932 года (11652).</w:t>
      </w:r>
    </w:p>
    <w:p w14:paraId="055D6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D69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30 октября и 5 ноября 1931. Из протокола заседания Политбюро № 72, 1931 г.</w:t>
      </w:r>
    </w:p>
    <w:p w14:paraId="22A668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радии </w:t>
      </w:r>
    </w:p>
    <w:p w14:paraId="64FF3C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тт. Орджоникидзе и Ягоде выяснить наши радийные возможности и в декадный срок сообщить в Политбюро (11652).</w:t>
      </w:r>
    </w:p>
    <w:p w14:paraId="2EBF51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B71A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30 октября и 5 ноября 1931. Из протокола заседания Политбюро № 72, 1931 г.</w:t>
      </w:r>
    </w:p>
    <w:p w14:paraId="177562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золоте </w:t>
      </w:r>
    </w:p>
    <w:p w14:paraId="0D3EB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Уполномочить комиссию по увеличению золотых ресурсов страны принять от имени Политбюро все необходимые меры, какие она (комиссия) найдет нужными, для быстрейшего увеличения золотых ресурсов СССР (11652).</w:t>
      </w:r>
    </w:p>
    <w:p w14:paraId="397E28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F0A1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30 октября и 5 ноября 1931. Из протокола заседания Политбюро № 73, 1931 г.</w:t>
      </w:r>
    </w:p>
    <w:p w14:paraId="255E98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ввозе мацы </w:t>
      </w:r>
    </w:p>
    <w:p w14:paraId="3901F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Разрешить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включить в номенклатуру посылочных операций Торгсина мацу, каковую принимать в порядке индивидуальных посылок из заграницы, и обязать председателя Торгсина тов. Шкляр выручить за эту операцию не менее 1 миллиона рублей в иностранной валюте (11652).</w:t>
      </w:r>
    </w:p>
    <w:p w14:paraId="1C578B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989B7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2A90FAD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F42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30 октября и 5 ноября 1931. Из протокола заседания Политбюро № 73, 1931 г.</w:t>
      </w:r>
    </w:p>
    <w:p w14:paraId="30D98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Германии </w:t>
      </w:r>
    </w:p>
    <w:p w14:paraId="2484C9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Разрешить Германскому посольству организовать в Москве небольшую школу для детей сотрудников Германского посольства. </w:t>
      </w:r>
    </w:p>
    <w:p w14:paraId="1528CC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Школу эту организовать в виде частной школы, формально не принадлежащей посольству, учреждаемой с разрешения МОНО (Московский отдел народного образования.— "Власть") и подлежащей контролю МОНО. </w:t>
      </w:r>
    </w:p>
    <w:p w14:paraId="593B26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Не возражать против того, чтобы занятия в этой школе велись по программе народных школ и средних учебных заведений Германии (11652).</w:t>
      </w:r>
    </w:p>
    <w:p w14:paraId="4D4831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9A873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441246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1FB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 была закончена сборка первого опытного образца 203-мм мортиры "Ж" завода "Красный Путиловец", после чего он был направлен на НИАП (3861).</w:t>
      </w:r>
    </w:p>
    <w:p w14:paraId="1656A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B93930"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 была закончена сборка первого опытного образца 203-мм мортиры «Ж», после чего он был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20D3914C"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Советскими конструкторами был успешно выполнен и пункт обеих артиллерийских программ по 203-мм корпусной мортире. Так, КБ завода «Красный Путиловец» (после переименованного в Кировский завод) начало проектирование 203-мм корпусной мортиры «Ж» еще в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Путиловец».[102]</w:t>
      </w:r>
    </w:p>
    <w:p w14:paraId="6F79E68D"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328E962D"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(12705).</w:t>
      </w:r>
    </w:p>
    <w:p w14:paraId="23240601" w14:textId="77777777" w:rsidR="0075269A" w:rsidRPr="007122AB" w:rsidRDefault="0075269A" w:rsidP="007122AB">
      <w:pPr>
        <w:spacing w:after="0" w:line="240" w:lineRule="auto"/>
        <w:jc w:val="both"/>
        <w:rPr>
          <w:rFonts w:ascii="Times New Roman" w:hAnsi="Times New Roman"/>
          <w:color w:val="000000" w:themeColor="text1"/>
          <w:sz w:val="16"/>
          <w:szCs w:val="16"/>
        </w:rPr>
      </w:pPr>
    </w:p>
    <w:p w14:paraId="2D18A1C2"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октября 1931 года собрали Т-23, вместе с мотором. Башню машина так и не получила, да и была уже не нужна. Вместо танкетки получился аналог английского "патрульного" танка, с явно устаревшей конструкцией всех агрегатов. Поэтому судьба у Т-23 оказалась такой же, как и других похожих разработок - Т-17, Т-19 и Т-20. Опытный образец даже не стали испытывать и позже отправили, как учебное пособие, в Академию Механизации и Моторизации. А вот тема машины отнюдь не умерла. Тот самый "мобилизационный танк" Т-34, предлагавшийся Тухачевским - это ничто иное, как прямое развитие идеи Т-23, но уже на совсем другой агрегатной базе. Да и безумцем Тухачевского тут назвать сложно: предлагавшаяся им боевая машина повторяла "патрульные" танки </w:t>
      </w:r>
      <w:proofErr w:type="spellStart"/>
      <w:r w:rsidRPr="007122AB">
        <w:rPr>
          <w:rFonts w:ascii="Times New Roman" w:hAnsi="Times New Roman"/>
          <w:color w:val="000000" w:themeColor="text1"/>
          <w:sz w:val="16"/>
          <w:szCs w:val="16"/>
        </w:rPr>
        <w:t>Vickers-Carden-Loyd</w:t>
      </w:r>
      <w:proofErr w:type="spellEnd"/>
      <w:r w:rsidRPr="007122AB">
        <w:rPr>
          <w:rFonts w:ascii="Times New Roman" w:hAnsi="Times New Roman"/>
          <w:color w:val="000000" w:themeColor="text1"/>
          <w:sz w:val="16"/>
          <w:szCs w:val="16"/>
        </w:rPr>
        <w:t>. Совершенно внезапно и Т-34, и "Виккерс 4-тонный" имели схожую боевую массу, как и компоновочные решения. Таким образом, вместо танкетки тема плавно перетекла в боевую машину, очень популярную в 30-е годы (22492).</w:t>
      </w:r>
    </w:p>
    <w:p w14:paraId="25026738" w14:textId="77777777" w:rsidR="00C477AB" w:rsidRPr="007122AB" w:rsidRDefault="00C477AB" w:rsidP="007122AB">
      <w:pPr>
        <w:spacing w:after="0" w:line="240" w:lineRule="auto"/>
        <w:jc w:val="both"/>
        <w:rPr>
          <w:rFonts w:ascii="Times New Roman" w:hAnsi="Times New Roman"/>
          <w:color w:val="000000" w:themeColor="text1"/>
          <w:sz w:val="16"/>
          <w:szCs w:val="16"/>
        </w:rPr>
      </w:pPr>
    </w:p>
    <w:p w14:paraId="683E9DB7"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года новый паровоз ФД был представлен общественности.</w:t>
      </w:r>
    </w:p>
    <w:p w14:paraId="45357588"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2EEACC82"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00B45280"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20CD9F9D"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Служебный вес паровоза: 134,4 т</w:t>
      </w:r>
    </w:p>
    <w:p w14:paraId="0B711CD6"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до 3100 л. с.</w:t>
      </w:r>
    </w:p>
    <w:p w14:paraId="0D6BF1B5"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Конструкционная скорость: 85 км/ч</w:t>
      </w:r>
    </w:p>
    <w:p w14:paraId="0124722E"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  (21166).</w:t>
      </w:r>
    </w:p>
    <w:p w14:paraId="6E3CFA21" w14:textId="77777777" w:rsidR="00C477AB" w:rsidRPr="007122AB" w:rsidRDefault="00C477AB" w:rsidP="007122AB">
      <w:pPr>
        <w:spacing w:after="0" w:line="240" w:lineRule="auto"/>
        <w:jc w:val="both"/>
        <w:rPr>
          <w:rFonts w:ascii="Times New Roman" w:hAnsi="Times New Roman"/>
          <w:color w:val="000000" w:themeColor="text1"/>
          <w:sz w:val="16"/>
          <w:szCs w:val="16"/>
        </w:rPr>
      </w:pPr>
    </w:p>
    <w:p w14:paraId="3454BB04" w14:textId="77777777" w:rsidR="00C477AB" w:rsidRPr="007122AB" w:rsidRDefault="00C477A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31 октября 1931 г. первый экземпляр нового локомотива ФД был продемонстрирован общественности Испытания его (и второго экземпляра, изготовленного в 1932 г.) показали высокие эксплуатационные качества нового паровоза. В 1933 г. начался се</w:t>
      </w:r>
      <w:r w:rsidRPr="007122AB">
        <w:rPr>
          <w:rFonts w:ascii="Times New Roman" w:hAnsi="Times New Roman"/>
          <w:color w:val="000000" w:themeColor="text1"/>
          <w:sz w:val="16"/>
          <w:szCs w:val="16"/>
          <w:lang w:eastAsia="ru-RU" w:bidi="ru-RU"/>
        </w:rPr>
        <w:softHyphen/>
        <w:t>рийный выпуск локомотивов ФД, и до осени 1941 г. (времени эвакуации предприятия) Луганский завод из</w:t>
      </w:r>
      <w:r w:rsidRPr="007122AB">
        <w:rPr>
          <w:rFonts w:ascii="Times New Roman" w:hAnsi="Times New Roman"/>
          <w:color w:val="000000" w:themeColor="text1"/>
          <w:sz w:val="16"/>
          <w:szCs w:val="16"/>
          <w:lang w:eastAsia="ru-RU" w:bidi="ru-RU"/>
        </w:rPr>
        <w:softHyphen/>
        <w:t>готовил 3123 таких паровоза (23180).</w:t>
      </w:r>
    </w:p>
    <w:p w14:paraId="319748D1" w14:textId="77777777" w:rsidR="00C477AB" w:rsidRPr="007122AB" w:rsidRDefault="00C477AB" w:rsidP="007122AB">
      <w:pPr>
        <w:spacing w:after="0" w:line="240" w:lineRule="auto"/>
        <w:jc w:val="both"/>
        <w:rPr>
          <w:rFonts w:ascii="Times New Roman" w:hAnsi="Times New Roman"/>
          <w:color w:val="000000" w:themeColor="text1"/>
          <w:sz w:val="16"/>
          <w:szCs w:val="16"/>
        </w:rPr>
      </w:pPr>
    </w:p>
    <w:p w14:paraId="38071D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октября 1931 г. по приказу </w:t>
      </w:r>
      <w:proofErr w:type="spellStart"/>
      <w:r w:rsidRPr="007122AB">
        <w:rPr>
          <w:rFonts w:ascii="Times New Roman" w:hAnsi="Times New Roman"/>
          <w:color w:val="000000" w:themeColor="text1"/>
          <w:sz w:val="16"/>
          <w:szCs w:val="16"/>
        </w:rPr>
        <w:t>Татаптекоуправления</w:t>
      </w:r>
      <w:proofErr w:type="spellEnd"/>
      <w:r w:rsidRPr="007122AB">
        <w:rPr>
          <w:rFonts w:ascii="Times New Roman" w:hAnsi="Times New Roman"/>
          <w:color w:val="000000" w:themeColor="text1"/>
          <w:sz w:val="16"/>
          <w:szCs w:val="16"/>
        </w:rPr>
        <w:t xml:space="preserve"> была образована Казанская химико-фармацевтическая фабрика, по приказа НКЗ РСФСР от 5.04.1939г. фабрика реорганизована в Казанский химико-фармацевтический завод № 11 (Завод № 11 НКЗ, Казанский химико-фармацевтический завод </w:t>
      </w:r>
      <w:proofErr w:type="spellStart"/>
      <w:r w:rsidRPr="007122AB">
        <w:rPr>
          <w:rFonts w:ascii="Times New Roman" w:hAnsi="Times New Roman"/>
          <w:color w:val="000000" w:themeColor="text1"/>
          <w:sz w:val="16"/>
          <w:szCs w:val="16"/>
        </w:rPr>
        <w:t>Минмедпрома</w:t>
      </w:r>
      <w:proofErr w:type="spellEnd"/>
      <w:r w:rsidRPr="007122AB">
        <w:rPr>
          <w:rFonts w:ascii="Times New Roman" w:hAnsi="Times New Roman"/>
          <w:color w:val="000000" w:themeColor="text1"/>
          <w:sz w:val="16"/>
          <w:szCs w:val="16"/>
        </w:rPr>
        <w:t>, Казанское производственное химико-фармацевтическое объединение «</w:t>
      </w:r>
      <w:proofErr w:type="spellStart"/>
      <w:r w:rsidRPr="007122AB">
        <w:rPr>
          <w:rFonts w:ascii="Times New Roman" w:hAnsi="Times New Roman"/>
          <w:color w:val="000000" w:themeColor="text1"/>
          <w:sz w:val="16"/>
          <w:szCs w:val="16"/>
        </w:rPr>
        <w:t>Татхимфармпрепараты</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Минмедпрома</w:t>
      </w:r>
      <w:proofErr w:type="spellEnd"/>
      <w:r w:rsidRPr="007122AB">
        <w:rPr>
          <w:rFonts w:ascii="Times New Roman" w:hAnsi="Times New Roman"/>
          <w:color w:val="000000" w:themeColor="text1"/>
          <w:sz w:val="16"/>
          <w:szCs w:val="16"/>
        </w:rPr>
        <w:t xml:space="preserve"> /420091 г. Казань ул. Беломорская, 260/).</w:t>
      </w:r>
    </w:p>
    <w:p w14:paraId="03F210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на заводе организован специальный химический цех по выпуску медицинских препаратов. Создан </w:t>
      </w:r>
      <w:proofErr w:type="spellStart"/>
      <w:r w:rsidRPr="007122AB">
        <w:rPr>
          <w:rFonts w:ascii="Times New Roman" w:hAnsi="Times New Roman"/>
          <w:color w:val="000000" w:themeColor="text1"/>
          <w:sz w:val="16"/>
          <w:szCs w:val="16"/>
        </w:rPr>
        <w:t>бинтомотальный</w:t>
      </w:r>
      <w:proofErr w:type="spellEnd"/>
      <w:r w:rsidRPr="007122AB">
        <w:rPr>
          <w:rFonts w:ascii="Times New Roman" w:hAnsi="Times New Roman"/>
          <w:color w:val="000000" w:themeColor="text1"/>
          <w:sz w:val="16"/>
          <w:szCs w:val="16"/>
        </w:rPr>
        <w:t xml:space="preserve"> станок. Также в годы войны организована специальная экспериментальная лаборатория. Было расширено производство перевязочных средств, мазей от обморожения и ожогов и препаратов для дезинфекции.</w:t>
      </w:r>
    </w:p>
    <w:p w14:paraId="78637E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 приказу </w:t>
      </w:r>
      <w:proofErr w:type="spellStart"/>
      <w:r w:rsidRPr="007122AB">
        <w:rPr>
          <w:rFonts w:ascii="Times New Roman" w:hAnsi="Times New Roman"/>
          <w:color w:val="000000" w:themeColor="text1"/>
          <w:sz w:val="16"/>
          <w:szCs w:val="16"/>
        </w:rPr>
        <w:t>Минмедпрома</w:t>
      </w:r>
      <w:proofErr w:type="spellEnd"/>
      <w:r w:rsidRPr="007122AB">
        <w:rPr>
          <w:rFonts w:ascii="Times New Roman" w:hAnsi="Times New Roman"/>
          <w:color w:val="000000" w:themeColor="text1"/>
          <w:sz w:val="16"/>
          <w:szCs w:val="16"/>
        </w:rPr>
        <w:t xml:space="preserve"> от 30.12.1976г. завод реорганизован в Казанское производственное химико- фармацевтическое объединение «</w:t>
      </w:r>
      <w:proofErr w:type="spellStart"/>
      <w:r w:rsidRPr="007122AB">
        <w:rPr>
          <w:rFonts w:ascii="Times New Roman" w:hAnsi="Times New Roman"/>
          <w:color w:val="000000" w:themeColor="text1"/>
          <w:sz w:val="16"/>
          <w:szCs w:val="16"/>
        </w:rPr>
        <w:t>Татхимфармпрепараты</w:t>
      </w:r>
      <w:proofErr w:type="spellEnd"/>
      <w:r w:rsidRPr="007122AB">
        <w:rPr>
          <w:rFonts w:ascii="Times New Roman" w:hAnsi="Times New Roman"/>
          <w:color w:val="000000" w:themeColor="text1"/>
          <w:sz w:val="16"/>
          <w:szCs w:val="16"/>
        </w:rPr>
        <w:t>».</w:t>
      </w:r>
    </w:p>
    <w:p w14:paraId="1C0204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уротропин, хлористый кальций, сернокислый барий, лимоннокислый натрий (1941-), хлороформ, масла, спирты, таблетки шиповника, мази от обморожения и ожогов, препараты для дезинфекции (ВОВ).</w:t>
      </w:r>
    </w:p>
    <w:p w14:paraId="14674B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9D0F1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 В. М. Орлов утвердил четвертый вариант модернизации минного заградителя 18 Марта (б. императорской яхты Штандарт), который был рас</w:t>
      </w:r>
      <w:r w:rsidRPr="007122AB">
        <w:rPr>
          <w:rFonts w:ascii="Times New Roman" w:hAnsi="Times New Roman"/>
          <w:color w:val="000000" w:themeColor="text1"/>
          <w:sz w:val="16"/>
          <w:szCs w:val="16"/>
        </w:rPr>
        <w:softHyphen/>
        <w:t>считан на 545 мин образца 1926 г., из них 310 размещались на главной палубе, 125 — на верхней, а 110 — в специальном минном погребе впереди носового котельного отделения. Работа четырех электрических кранов (по 1,5 т) и двух лифтов (на 2 мины каж</w:t>
      </w:r>
      <w:r w:rsidRPr="007122AB">
        <w:rPr>
          <w:rFonts w:ascii="Times New Roman" w:hAnsi="Times New Roman"/>
          <w:color w:val="000000" w:themeColor="text1"/>
          <w:sz w:val="16"/>
          <w:szCs w:val="16"/>
        </w:rPr>
        <w:softHyphen/>
        <w:t>дый) обеспечивала прием полного минного запаса в течении 3,5 ч. Расчетное время постановки всех мин составило 30 мин. Утверж</w:t>
      </w:r>
      <w:r w:rsidRPr="007122AB">
        <w:rPr>
          <w:rFonts w:ascii="Times New Roman" w:hAnsi="Times New Roman"/>
          <w:color w:val="000000" w:themeColor="text1"/>
          <w:sz w:val="16"/>
          <w:szCs w:val="16"/>
        </w:rPr>
        <w:softHyphen/>
        <w:t xml:space="preserve">дая проект, новый </w:t>
      </w:r>
      <w:proofErr w:type="spellStart"/>
      <w:r w:rsidRPr="007122AB">
        <w:rPr>
          <w:rFonts w:ascii="Times New Roman" w:hAnsi="Times New Roman"/>
          <w:color w:val="000000" w:themeColor="text1"/>
          <w:sz w:val="16"/>
          <w:szCs w:val="16"/>
        </w:rPr>
        <w:t>наморси</w:t>
      </w:r>
      <w:proofErr w:type="spellEnd"/>
      <w:r w:rsidRPr="007122AB">
        <w:rPr>
          <w:rFonts w:ascii="Times New Roman" w:hAnsi="Times New Roman"/>
          <w:color w:val="000000" w:themeColor="text1"/>
          <w:sz w:val="16"/>
          <w:szCs w:val="16"/>
        </w:rPr>
        <w:t xml:space="preserve"> приказал довести его </w:t>
      </w:r>
      <w:proofErr w:type="spellStart"/>
      <w:r w:rsidRPr="007122AB">
        <w:rPr>
          <w:rFonts w:ascii="Times New Roman" w:hAnsi="Times New Roman"/>
          <w:color w:val="000000" w:themeColor="text1"/>
          <w:sz w:val="16"/>
          <w:szCs w:val="16"/>
        </w:rPr>
        <w:t>артвооружение</w:t>
      </w:r>
      <w:proofErr w:type="spellEnd"/>
      <w:r w:rsidRPr="007122AB">
        <w:rPr>
          <w:rFonts w:ascii="Times New Roman" w:hAnsi="Times New Roman"/>
          <w:color w:val="000000" w:themeColor="text1"/>
          <w:sz w:val="16"/>
          <w:szCs w:val="16"/>
        </w:rPr>
        <w:t xml:space="preserve"> до четырех 130-мм орудий длиной в 55 калибров, приняв для них ли</w:t>
      </w:r>
      <w:r w:rsidRPr="007122AB">
        <w:rPr>
          <w:rFonts w:ascii="Times New Roman" w:hAnsi="Times New Roman"/>
          <w:color w:val="000000" w:themeColor="text1"/>
          <w:sz w:val="16"/>
          <w:szCs w:val="16"/>
        </w:rPr>
        <w:softHyphen/>
        <w:t>нейно-возвышенное расположение. Срок готовности корабля был установлен к 1 августа 1933 г., полная стоимость переоборудова</w:t>
      </w:r>
      <w:r w:rsidRPr="007122AB">
        <w:rPr>
          <w:rFonts w:ascii="Times New Roman" w:hAnsi="Times New Roman"/>
          <w:color w:val="000000" w:themeColor="text1"/>
          <w:sz w:val="16"/>
          <w:szCs w:val="16"/>
        </w:rPr>
        <w:softHyphen/>
        <w:t>ния — 1730 тыс. руб.</w:t>
      </w:r>
    </w:p>
    <w:p w14:paraId="3FCB5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только утверждение программы 1933 г. позволило на</w:t>
      </w:r>
      <w:r w:rsidRPr="007122AB">
        <w:rPr>
          <w:rFonts w:ascii="Times New Roman" w:hAnsi="Times New Roman"/>
          <w:color w:val="000000" w:themeColor="text1"/>
          <w:sz w:val="16"/>
          <w:szCs w:val="16"/>
        </w:rPr>
        <w:softHyphen/>
        <w:t>чать работы на "Штандарте", который был поставлен у стенки заво</w:t>
      </w:r>
      <w:r w:rsidRPr="007122AB">
        <w:rPr>
          <w:rFonts w:ascii="Times New Roman" w:hAnsi="Times New Roman"/>
          <w:color w:val="000000" w:themeColor="text1"/>
          <w:sz w:val="16"/>
          <w:szCs w:val="16"/>
        </w:rPr>
        <w:softHyphen/>
        <w:t>да им. А. Марти. Действительная стоимость переоборудования, включавшего изменения внутреннего расположения, замену кот</w:t>
      </w:r>
      <w:r w:rsidRPr="007122AB">
        <w:rPr>
          <w:rFonts w:ascii="Times New Roman" w:hAnsi="Times New Roman"/>
          <w:color w:val="000000" w:themeColor="text1"/>
          <w:sz w:val="16"/>
          <w:szCs w:val="16"/>
        </w:rPr>
        <w:softHyphen/>
        <w:t>лов, подкрепление палуб и сооружение новых надстроек, в 1924 г. достигла 8 млн руб., а к концу ремонта — 10,5 млн руб. Сам ко</w:t>
      </w:r>
      <w:r w:rsidRPr="007122AB">
        <w:rPr>
          <w:rFonts w:ascii="Times New Roman" w:hAnsi="Times New Roman"/>
          <w:color w:val="000000" w:themeColor="text1"/>
          <w:sz w:val="16"/>
          <w:szCs w:val="16"/>
        </w:rPr>
        <w:softHyphen/>
        <w:t>рабль 28 августа 1934 г. получил имя "Марти".</w:t>
      </w:r>
    </w:p>
    <w:p w14:paraId="760FA4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испытаниях в 1936 г. минный заградитель развил скорость 18,7 уз (мощность около 11420 л. с.). К сожалению, стремление к экономии помешало заменить главные машины турбинами, и ско</w:t>
      </w:r>
      <w:r w:rsidRPr="007122AB">
        <w:rPr>
          <w:rFonts w:ascii="Times New Roman" w:hAnsi="Times New Roman"/>
          <w:color w:val="000000" w:themeColor="text1"/>
          <w:sz w:val="16"/>
          <w:szCs w:val="16"/>
        </w:rPr>
        <w:softHyphen/>
        <w:t xml:space="preserve">рость оказалась несколько ниже проектной (20 уз). Тем не менее "Марти" оказался весьма ценным приобретением для Балтийского флота. При полном водоизмещении 6189 т (главные </w:t>
      </w:r>
      <w:proofErr w:type="spellStart"/>
      <w:r w:rsidRPr="007122AB">
        <w:rPr>
          <w:rFonts w:ascii="Times New Roman" w:hAnsi="Times New Roman"/>
          <w:color w:val="000000" w:themeColor="text1"/>
          <w:sz w:val="16"/>
          <w:szCs w:val="16"/>
        </w:rPr>
        <w:t>размерения</w:t>
      </w:r>
      <w:proofErr w:type="spellEnd"/>
      <w:r w:rsidRPr="007122AB">
        <w:rPr>
          <w:rFonts w:ascii="Times New Roman" w:hAnsi="Times New Roman"/>
          <w:color w:val="000000" w:themeColor="text1"/>
          <w:sz w:val="16"/>
          <w:szCs w:val="16"/>
        </w:rPr>
        <w:t xml:space="preserve"> 122,3х15,4х6,7 м) он принимал до 580 мин заграждения (обр. 1912 г.). В дополнение к четырем 130-мм орудиям на заградителе поставили семь 76-мм новых </w:t>
      </w:r>
      <w:proofErr w:type="spellStart"/>
      <w:r w:rsidRPr="007122AB">
        <w:rPr>
          <w:rFonts w:ascii="Times New Roman" w:hAnsi="Times New Roman"/>
          <w:color w:val="000000" w:themeColor="text1"/>
          <w:sz w:val="16"/>
          <w:szCs w:val="16"/>
        </w:rPr>
        <w:t>зенитньхх</w:t>
      </w:r>
      <w:proofErr w:type="spellEnd"/>
      <w:r w:rsidRPr="007122AB">
        <w:rPr>
          <w:rFonts w:ascii="Times New Roman" w:hAnsi="Times New Roman"/>
          <w:color w:val="000000" w:themeColor="text1"/>
          <w:sz w:val="16"/>
          <w:szCs w:val="16"/>
        </w:rPr>
        <w:t xml:space="preserve"> орудий, три 45-мм полуав</w:t>
      </w:r>
      <w:r w:rsidRPr="007122AB">
        <w:rPr>
          <w:rFonts w:ascii="Times New Roman" w:hAnsi="Times New Roman"/>
          <w:color w:val="000000" w:themeColor="text1"/>
          <w:sz w:val="16"/>
          <w:szCs w:val="16"/>
        </w:rPr>
        <w:softHyphen/>
        <w:t>томата 21К, три дальномера и два паравана-охранителя К-1.</w:t>
      </w:r>
    </w:p>
    <w:p w14:paraId="5125F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войны "Марти", который немцы не без оснований на</w:t>
      </w:r>
      <w:r w:rsidRPr="007122AB">
        <w:rPr>
          <w:rFonts w:ascii="Times New Roman" w:hAnsi="Times New Roman"/>
          <w:color w:val="000000" w:themeColor="text1"/>
          <w:sz w:val="16"/>
          <w:szCs w:val="16"/>
        </w:rPr>
        <w:softHyphen/>
        <w:t>зывали "минным крейсером", сыграл главную роль в постановке центрального минного заграждения в Финском заливе, отличился при эвакуации гарнизона Ханко в ноябре —- декабре 1941 г., сбил шесть самолетов противника. 3 апреля 1942 г. он был удостоен гвардейского звания, а после войны под наименованием "Ока" (с 1948 г.) продолжал нести службу до 1961 г., когда был использован в качестве мишени при ракетнь1х стрельбах и пошел на слом (3898).</w:t>
      </w:r>
    </w:p>
    <w:p w14:paraId="39131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D799BC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D5A36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D7735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в Луганске выпущен первый в СССР тяжелый грузовой паровоз серии «Феликс Дзержинский» (4962).</w:t>
      </w:r>
    </w:p>
    <w:p w14:paraId="7C71F2A1" w14:textId="0968ABC1"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1AF28" w14:textId="5AC98FBF" w:rsidR="00622EB9" w:rsidRPr="007122AB" w:rsidRDefault="00622EB9" w:rsidP="007122AB">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11F876F5" w14:textId="77777777" w:rsidR="00622EB9" w:rsidRPr="007122AB" w:rsidRDefault="00622EB9" w:rsidP="007122AB">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p>
    <w:p w14:paraId="4BF349A8"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октября 1931 состоялся первый полет </w:t>
      </w:r>
      <w:proofErr w:type="spellStart"/>
      <w:r w:rsidRPr="007122AB">
        <w:rPr>
          <w:rFonts w:ascii="Times New Roman" w:hAnsi="Times New Roman"/>
          <w:color w:val="000000" w:themeColor="text1"/>
          <w:sz w:val="16"/>
          <w:szCs w:val="16"/>
        </w:rPr>
        <w:t>Вестленд</w:t>
      </w:r>
      <w:proofErr w:type="spellEnd"/>
      <w:r w:rsidRPr="007122AB">
        <w:rPr>
          <w:rFonts w:ascii="Times New Roman" w:hAnsi="Times New Roman"/>
          <w:color w:val="000000" w:themeColor="text1"/>
          <w:sz w:val="16"/>
          <w:szCs w:val="16"/>
        </w:rPr>
        <w:t xml:space="preserve"> Уоллес (20804).</w:t>
      </w:r>
    </w:p>
    <w:p w14:paraId="4F5D9682" w14:textId="77777777" w:rsidR="00622EB9" w:rsidRPr="007122AB" w:rsidRDefault="00622EB9" w:rsidP="007122AB">
      <w:pPr>
        <w:spacing w:after="0" w:line="240" w:lineRule="auto"/>
        <w:jc w:val="both"/>
        <w:rPr>
          <w:rFonts w:ascii="Times New Roman" w:hAnsi="Times New Roman"/>
          <w:color w:val="000000" w:themeColor="text1"/>
          <w:sz w:val="16"/>
          <w:szCs w:val="16"/>
        </w:rPr>
      </w:pPr>
    </w:p>
    <w:p w14:paraId="5463E952"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октября 1931 - Первый полёт </w:t>
      </w:r>
      <w:proofErr w:type="spellStart"/>
      <w:r w:rsidRPr="007122AB">
        <w:rPr>
          <w:rFonts w:ascii="Times New Roman" w:hAnsi="Times New Roman"/>
          <w:color w:val="000000" w:themeColor="text1"/>
          <w:sz w:val="16"/>
          <w:szCs w:val="16"/>
        </w:rPr>
        <w:t>Westland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Wallace</w:t>
      </w:r>
      <w:proofErr w:type="spellEnd"/>
      <w:r w:rsidRPr="007122AB">
        <w:rPr>
          <w:rFonts w:ascii="Times New Roman" w:hAnsi="Times New Roman"/>
          <w:color w:val="000000" w:themeColor="text1"/>
          <w:sz w:val="16"/>
          <w:szCs w:val="16"/>
        </w:rPr>
        <w:t>. По британской классификации "</w:t>
      </w:r>
      <w:proofErr w:type="spellStart"/>
      <w:r w:rsidRPr="007122AB">
        <w:rPr>
          <w:rFonts w:ascii="Times New Roman" w:hAnsi="Times New Roman"/>
          <w:color w:val="000000" w:themeColor="text1"/>
          <w:sz w:val="16"/>
          <w:szCs w:val="16"/>
        </w:rPr>
        <w:t>Уоллэс</w:t>
      </w:r>
      <w:proofErr w:type="spellEnd"/>
      <w:r w:rsidRPr="007122AB">
        <w:rPr>
          <w:rFonts w:ascii="Times New Roman" w:hAnsi="Times New Roman"/>
          <w:color w:val="000000" w:themeColor="text1"/>
          <w:sz w:val="16"/>
          <w:szCs w:val="16"/>
        </w:rPr>
        <w:t>" относился к самолётам так называемого "Общего назначения", совмещавших функции ближних разведчиков, самолётов связи и непосредственной поддержки. По существу, он являлся модификацией довольно известного "одноклассника" 20-х гг. "</w:t>
      </w:r>
      <w:proofErr w:type="spellStart"/>
      <w:r w:rsidRPr="007122AB">
        <w:rPr>
          <w:rFonts w:ascii="Times New Roman" w:hAnsi="Times New Roman"/>
          <w:color w:val="000000" w:themeColor="text1"/>
          <w:sz w:val="16"/>
          <w:szCs w:val="16"/>
        </w:rPr>
        <w:t>Уопити</w:t>
      </w:r>
      <w:proofErr w:type="spellEnd"/>
      <w:r w:rsidRPr="007122AB">
        <w:rPr>
          <w:rFonts w:ascii="Times New Roman" w:hAnsi="Times New Roman"/>
          <w:color w:val="000000" w:themeColor="text1"/>
          <w:sz w:val="16"/>
          <w:szCs w:val="16"/>
        </w:rPr>
        <w:t>". Этот сравнительно большой биплан имел цельнометаллическую конструкцию, но его крылья и фюзеляж обтягивались полотном. С целью унификации и удешевления производства в нём использовали узлы знаменитого DH.9 (22320).</w:t>
      </w:r>
    </w:p>
    <w:p w14:paraId="17FABE71" w14:textId="77777777" w:rsidR="00622EB9" w:rsidRPr="007122AB" w:rsidRDefault="00622EB9" w:rsidP="007122AB">
      <w:pPr>
        <w:spacing w:after="0" w:line="240" w:lineRule="auto"/>
        <w:jc w:val="both"/>
        <w:rPr>
          <w:rFonts w:ascii="Times New Roman" w:hAnsi="Times New Roman"/>
          <w:color w:val="000000" w:themeColor="text1"/>
          <w:sz w:val="16"/>
          <w:szCs w:val="16"/>
        </w:rPr>
      </w:pPr>
    </w:p>
    <w:p w14:paraId="3A75F2B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9ED23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7521B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октября 1931 КГ КАСКР опубликовала рапорт </w:t>
      </w:r>
      <w:proofErr w:type="spellStart"/>
      <w:r w:rsidRPr="007122AB">
        <w:rPr>
          <w:rFonts w:ascii="Times New Roman" w:hAnsi="Times New Roman"/>
          <w:color w:val="000000" w:themeColor="text1"/>
          <w:sz w:val="16"/>
          <w:szCs w:val="16"/>
        </w:rPr>
        <w:t>руководдству</w:t>
      </w:r>
      <w:proofErr w:type="spellEnd"/>
      <w:r w:rsidRPr="007122AB">
        <w:rPr>
          <w:rFonts w:ascii="Times New Roman" w:hAnsi="Times New Roman"/>
          <w:color w:val="000000" w:themeColor="text1"/>
          <w:sz w:val="16"/>
          <w:szCs w:val="16"/>
        </w:rPr>
        <w:t xml:space="preserve"> страны о результатах испытаний автожира КАСКР-2, в котором он был назван “вертолет” (8320,20).</w:t>
      </w:r>
    </w:p>
    <w:p w14:paraId="1D9AE21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F5A6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89BEC0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0BB5E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октября 1931 КБ, которое разрабатывало танк </w:t>
      </w:r>
      <w:proofErr w:type="spellStart"/>
      <w:r w:rsidRPr="007122AB">
        <w:rPr>
          <w:rFonts w:ascii="Times New Roman" w:hAnsi="Times New Roman"/>
          <w:color w:val="000000" w:themeColor="text1"/>
          <w:sz w:val="16"/>
          <w:szCs w:val="16"/>
        </w:rPr>
        <w:t>Гротте</w:t>
      </w:r>
      <w:proofErr w:type="spellEnd"/>
      <w:r w:rsidRPr="007122AB">
        <w:rPr>
          <w:rFonts w:ascii="Times New Roman" w:hAnsi="Times New Roman"/>
          <w:color w:val="000000" w:themeColor="text1"/>
          <w:sz w:val="16"/>
          <w:szCs w:val="16"/>
        </w:rPr>
        <w:t xml:space="preserve">, получило задание на проектирование с учетом постройки ТГ нового </w:t>
      </w:r>
      <w:proofErr w:type="spellStart"/>
      <w:r w:rsidRPr="007122AB">
        <w:rPr>
          <w:rFonts w:ascii="Times New Roman" w:hAnsi="Times New Roman"/>
          <w:color w:val="000000" w:themeColor="text1"/>
          <w:sz w:val="16"/>
          <w:szCs w:val="16"/>
        </w:rPr>
        <w:t>многобашенного</w:t>
      </w:r>
      <w:proofErr w:type="spellEnd"/>
      <w:r w:rsidRPr="007122AB">
        <w:rPr>
          <w:rFonts w:ascii="Times New Roman" w:hAnsi="Times New Roman"/>
          <w:color w:val="000000" w:themeColor="text1"/>
          <w:sz w:val="16"/>
          <w:szCs w:val="16"/>
        </w:rPr>
        <w:t xml:space="preserve"> танка прорыва массой 35 т. Получился Т-35 (4402).</w:t>
      </w:r>
    </w:p>
    <w:p w14:paraId="6F349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671A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октября 1931 года группа Астрова выполнила проект ПТ и предъявила специальной комиссии. Проект был рас</w:t>
      </w:r>
      <w:r w:rsidRPr="007122AB">
        <w:rPr>
          <w:rFonts w:ascii="Times New Roman" w:hAnsi="Times New Roman"/>
          <w:color w:val="000000" w:themeColor="text1"/>
          <w:sz w:val="16"/>
          <w:szCs w:val="16"/>
        </w:rPr>
        <w:softHyphen/>
        <w:t>смотрен благожелательно, но забракован, и дан месячный срок для устра</w:t>
      </w:r>
      <w:r w:rsidRPr="007122AB">
        <w:rPr>
          <w:rFonts w:ascii="Times New Roman" w:hAnsi="Times New Roman"/>
          <w:color w:val="000000" w:themeColor="text1"/>
          <w:sz w:val="16"/>
          <w:szCs w:val="16"/>
        </w:rPr>
        <w:softHyphen/>
        <w:t>нения замечаний. Положение группы Астрова было более чем трудным (11504).</w:t>
      </w:r>
    </w:p>
    <w:p w14:paraId="417935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3DD45"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p>
    <w:p w14:paraId="46FC5DE2"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высокую сложность технических задач, рабочий проект паровоза был завершен к 10 августа 1931 г. за рекордно короткий срок в 100 рабочих дней.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5AAA7B52"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5949D8EC"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0113B14D"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года новый паровоз ФД был представлен общественности.</w:t>
      </w:r>
    </w:p>
    <w:p w14:paraId="6B858919"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7CE971C6"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22BEC1AD"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0B18D05C"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Служебный вес паровоза: 134,4 т</w:t>
      </w:r>
    </w:p>
    <w:p w14:paraId="51FE09FA"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до 3100 л. с.</w:t>
      </w:r>
    </w:p>
    <w:p w14:paraId="19D18A46" w14:textId="77777777" w:rsidR="00622EB9" w:rsidRPr="007122AB" w:rsidRDefault="00622E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Конструкционная скорость: 85 км/ч (21166).</w:t>
      </w:r>
    </w:p>
    <w:p w14:paraId="16B259BA" w14:textId="77777777" w:rsidR="00622EB9" w:rsidRPr="007122AB" w:rsidRDefault="00622EB9" w:rsidP="007122AB">
      <w:pPr>
        <w:spacing w:after="0" w:line="240" w:lineRule="auto"/>
        <w:jc w:val="both"/>
        <w:rPr>
          <w:rFonts w:ascii="Times New Roman" w:hAnsi="Times New Roman"/>
          <w:color w:val="000000" w:themeColor="text1"/>
          <w:sz w:val="16"/>
          <w:szCs w:val="16"/>
        </w:rPr>
      </w:pPr>
    </w:p>
    <w:p w14:paraId="620FDAF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5503C3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22358A2" w14:textId="77777777" w:rsidR="006D0E5C" w:rsidRPr="007122AB" w:rsidRDefault="006D0E5C"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 октябре 1931 г. производство И-4 завершили, сдав последние 11 машин. Всего выпустили 188 серийных истребителей этого типа (19100).</w:t>
      </w:r>
    </w:p>
    <w:p w14:paraId="610C1757" w14:textId="77777777" w:rsidR="006D0E5C" w:rsidRPr="007122AB" w:rsidRDefault="006D0E5C" w:rsidP="007122AB">
      <w:pPr>
        <w:pStyle w:val="a8"/>
        <w:jc w:val="both"/>
        <w:rPr>
          <w:rFonts w:ascii="Times New Roman" w:hAnsi="Times New Roman" w:cs="Times New Roman"/>
          <w:color w:val="000000" w:themeColor="text1"/>
        </w:rPr>
      </w:pPr>
    </w:p>
    <w:p w14:paraId="1D9ECEBA" w14:textId="77777777" w:rsidR="002E0A40" w:rsidRPr="007122AB" w:rsidRDefault="002E0A40" w:rsidP="002E0A40">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 производство И-4 было прекращено. Общее количество построенных истребите</w:t>
      </w:r>
      <w:r w:rsidRPr="007122AB">
        <w:rPr>
          <w:rFonts w:ascii="Times New Roman" w:hAnsi="Times New Roman"/>
          <w:color w:val="000000" w:themeColor="text1"/>
          <w:sz w:val="16"/>
          <w:szCs w:val="16"/>
        </w:rPr>
        <w:softHyphen/>
        <w:t>лей этого типа составило 177 серийных и 2 опытных экземпляра.</w:t>
      </w:r>
    </w:p>
    <w:p w14:paraId="706D77F4" w14:textId="77777777" w:rsidR="002E0A40" w:rsidRPr="007122AB" w:rsidRDefault="002E0A40" w:rsidP="002E0A40">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последующие четыре года они актив</w:t>
      </w:r>
      <w:r w:rsidRPr="007122AB">
        <w:rPr>
          <w:rFonts w:ascii="Times New Roman" w:hAnsi="Times New Roman"/>
          <w:color w:val="000000" w:themeColor="text1"/>
          <w:sz w:val="16"/>
          <w:szCs w:val="16"/>
        </w:rPr>
        <w:softHyphen/>
        <w:t>но эксплуатировались летом и зимой, уча</w:t>
      </w:r>
      <w:r w:rsidRPr="007122AB">
        <w:rPr>
          <w:rFonts w:ascii="Times New Roman" w:hAnsi="Times New Roman"/>
          <w:color w:val="000000" w:themeColor="text1"/>
          <w:sz w:val="16"/>
          <w:szCs w:val="16"/>
        </w:rPr>
        <w:softHyphen/>
        <w:t>ствовали в войсковых и флотских маневрах. Осенью 1935 г. последовало решение о сня</w:t>
      </w:r>
      <w:r w:rsidRPr="007122AB">
        <w:rPr>
          <w:rFonts w:ascii="Times New Roman" w:hAnsi="Times New Roman"/>
          <w:color w:val="000000" w:themeColor="text1"/>
          <w:sz w:val="16"/>
          <w:szCs w:val="16"/>
        </w:rPr>
        <w:softHyphen/>
        <w:t>тии И-4 с вооружения ВВС. Часть их отпра</w:t>
      </w:r>
      <w:r w:rsidRPr="007122AB">
        <w:rPr>
          <w:rFonts w:ascii="Times New Roman" w:hAnsi="Times New Roman"/>
          <w:color w:val="000000" w:themeColor="text1"/>
          <w:sz w:val="16"/>
          <w:szCs w:val="16"/>
        </w:rPr>
        <w:softHyphen/>
        <w:t>вили в учебные подразделения, еще некото</w:t>
      </w:r>
      <w:r w:rsidRPr="007122AB">
        <w:rPr>
          <w:rFonts w:ascii="Times New Roman" w:hAnsi="Times New Roman"/>
          <w:color w:val="000000" w:themeColor="text1"/>
          <w:sz w:val="16"/>
          <w:szCs w:val="16"/>
        </w:rPr>
        <w:softHyphen/>
        <w:t>рое количество использовалось для оснаще</w:t>
      </w:r>
      <w:r w:rsidRPr="007122AB">
        <w:rPr>
          <w:rFonts w:ascii="Times New Roman" w:hAnsi="Times New Roman"/>
          <w:color w:val="000000" w:themeColor="text1"/>
          <w:sz w:val="16"/>
          <w:szCs w:val="16"/>
        </w:rPr>
        <w:softHyphen/>
        <w:t>ния вновь сформированных эскадрилий. Та</w:t>
      </w:r>
      <w:r w:rsidRPr="007122AB">
        <w:rPr>
          <w:rFonts w:ascii="Times New Roman" w:hAnsi="Times New Roman"/>
          <w:color w:val="000000" w:themeColor="text1"/>
          <w:sz w:val="16"/>
          <w:szCs w:val="16"/>
        </w:rPr>
        <w:softHyphen/>
        <w:t>кая практика продолжалась до 1936 года, да</w:t>
      </w:r>
      <w:r w:rsidRPr="007122AB">
        <w:rPr>
          <w:rFonts w:ascii="Times New Roman" w:hAnsi="Times New Roman"/>
          <w:color w:val="000000" w:themeColor="text1"/>
          <w:sz w:val="16"/>
          <w:szCs w:val="16"/>
        </w:rPr>
        <w:softHyphen/>
        <w:t>лее началось перевооружение истребителями И-16 (12295).</w:t>
      </w:r>
    </w:p>
    <w:tbl>
      <w:tblPr>
        <w:tblW w:w="0" w:type="auto"/>
        <w:tblLayout w:type="fixed"/>
        <w:tblCellMar>
          <w:left w:w="10" w:type="dxa"/>
          <w:right w:w="10" w:type="dxa"/>
        </w:tblCellMar>
        <w:tblLook w:val="0000" w:firstRow="0" w:lastRow="0" w:firstColumn="0" w:lastColumn="0" w:noHBand="0" w:noVBand="0"/>
      </w:tblPr>
      <w:tblGrid>
        <w:gridCol w:w="3647"/>
        <w:gridCol w:w="1303"/>
        <w:gridCol w:w="1303"/>
        <w:gridCol w:w="1318"/>
      </w:tblGrid>
      <w:tr w:rsidR="002E0A40" w:rsidRPr="007122AB" w14:paraId="08BD57B4" w14:textId="77777777" w:rsidTr="004B2EA4">
        <w:trPr>
          <w:trHeight w:val="252"/>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329FC94C" w14:textId="77777777" w:rsidR="002E0A40" w:rsidRPr="007122AB" w:rsidRDefault="002E0A40" w:rsidP="004B2EA4">
            <w:pPr>
              <w:spacing w:after="0" w:line="240" w:lineRule="auto"/>
              <w:jc w:val="both"/>
              <w:rPr>
                <w:rFonts w:ascii="Times New Roman" w:hAnsi="Times New Roman"/>
                <w:color w:val="000000" w:themeColor="text1"/>
                <w:sz w:val="16"/>
                <w:szCs w:val="16"/>
              </w:rPr>
            </w:pP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6FA339D" w14:textId="77777777" w:rsidR="002E0A40" w:rsidRPr="007122AB" w:rsidRDefault="002E0A40" w:rsidP="004B2EA4">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И-4 дублер</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79AE10E" w14:textId="77777777" w:rsidR="002E0A40" w:rsidRPr="007122AB" w:rsidRDefault="002E0A40" w:rsidP="004B2EA4">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И-4 №1513</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4BB8B9D1" w14:textId="77777777" w:rsidR="002E0A40" w:rsidRPr="007122AB" w:rsidRDefault="002E0A40" w:rsidP="004B2EA4">
            <w:pPr>
              <w:pStyle w:val="113"/>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И-4 №1620</w:t>
            </w:r>
          </w:p>
        </w:tc>
      </w:tr>
      <w:tr w:rsidR="002E0A40" w:rsidRPr="007122AB" w14:paraId="58A0DAC7"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2DA4086"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 линии полета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9EA2DFE"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7,285</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7F356E4"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2D595F11"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w:t>
            </w:r>
          </w:p>
        </w:tc>
      </w:tr>
      <w:tr w:rsidR="002E0A40" w:rsidRPr="007122AB" w14:paraId="3E44F57C"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2DF5E8B3"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в линии полета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DECDDCA"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3,070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3056228" w14:textId="77777777" w:rsidR="002E0A40" w:rsidRPr="007122AB" w:rsidRDefault="002E0A40" w:rsidP="004B2EA4">
            <w:pPr>
              <w:pStyle w:val="301"/>
              <w:shd w:val="clear" w:color="auto" w:fill="auto"/>
              <w:spacing w:line="240" w:lineRule="auto"/>
              <w:jc w:val="both"/>
              <w:rPr>
                <w:rFonts w:ascii="Times New Roman"/>
                <w:color w:val="000000" w:themeColor="text1"/>
                <w:sz w:val="16"/>
                <w:szCs w:val="16"/>
              </w:rPr>
            </w:pPr>
            <w:r w:rsidRPr="007122AB">
              <w:rPr>
                <w:rFonts w:ascii="Times New Roman"/>
                <w:color w:val="000000" w:themeColor="text1"/>
                <w:sz w:val="16"/>
                <w:szCs w:val="16"/>
              </w:rPr>
              <w:t>-</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0934EDB" w14:textId="6F822D3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w:t>
            </w:r>
          </w:p>
        </w:tc>
      </w:tr>
      <w:tr w:rsidR="002E0A40" w:rsidRPr="007122AB" w14:paraId="6EA26E17"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768A6C49"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верхнего крыла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7692F58"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11,486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94A2280"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11,40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C1A790C"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11,40</w:t>
            </w:r>
          </w:p>
        </w:tc>
      </w:tr>
      <w:tr w:rsidR="002E0A40" w:rsidRPr="007122AB" w14:paraId="630FC18A"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866530D"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нижнего крыла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88D0CBD"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5,536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62E8189"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5,536</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112C1434"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5,536</w:t>
            </w:r>
          </w:p>
        </w:tc>
      </w:tr>
      <w:tr w:rsidR="002E0A40" w:rsidRPr="007122AB" w14:paraId="5FBBE1D6"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E80C33E"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верхнего крыла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CCF01E1"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19,808</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C88055C"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9424E1F"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19,8</w:t>
            </w:r>
          </w:p>
        </w:tc>
      </w:tr>
      <w:tr w:rsidR="002E0A40" w:rsidRPr="007122AB" w14:paraId="7453C42B"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45D3C222"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нижнего крыла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7CB61B3"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3,996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06FF795"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3,99</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6279C3A7"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3,99</w:t>
            </w:r>
          </w:p>
        </w:tc>
      </w:tr>
      <w:tr w:rsidR="002E0A40" w:rsidRPr="007122AB" w14:paraId="079F3314" w14:textId="77777777" w:rsidTr="004B2EA4">
        <w:trPr>
          <w:trHeight w:val="241"/>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4C999D82"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Площадь крыльев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C3C4FAE"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23,8</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0C99CAD"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18C8A38"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23,8</w:t>
            </w:r>
          </w:p>
        </w:tc>
      </w:tr>
      <w:tr w:rsidR="002E0A40" w:rsidRPr="007122AB" w14:paraId="40FE821D" w14:textId="77777777" w:rsidTr="004B2EA4">
        <w:trPr>
          <w:trHeight w:val="248"/>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01774A9B"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Колея (мм)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875CE19"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1620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A70769A"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1620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782D3A8"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1620</w:t>
            </w:r>
          </w:p>
        </w:tc>
      </w:tr>
      <w:tr w:rsidR="002E0A40" w:rsidRPr="007122AB" w14:paraId="226278FC"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7ED26135"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Колеса (мм)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7E823D0"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750x150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FB2E29D"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750x150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1CAC8B23"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750x150</w:t>
            </w:r>
          </w:p>
        </w:tc>
      </w:tr>
      <w:tr w:rsidR="002E0A40" w:rsidRPr="007122AB" w14:paraId="4777E9A3" w14:textId="77777777" w:rsidTr="004B2EA4">
        <w:trPr>
          <w:trHeight w:val="241"/>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36C82906"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7DA9DFA"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8EB4EA5"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974</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634ED14"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1005</w:t>
            </w:r>
          </w:p>
        </w:tc>
      </w:tr>
      <w:tr w:rsidR="002E0A40" w:rsidRPr="007122AB" w14:paraId="116C4372"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5E4AF618"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CCFD56D"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1372</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C3BA737"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1416</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278AC31F"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1461</w:t>
            </w:r>
          </w:p>
        </w:tc>
      </w:tr>
      <w:tr w:rsidR="002E0A40" w:rsidRPr="007122AB" w14:paraId="43D53B53"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01643553"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(кг/м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C5E5A82"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57,3</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AC3379F"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59,5</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3E39A0A9"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61,4</w:t>
            </w:r>
          </w:p>
        </w:tc>
      </w:tr>
      <w:tr w:rsidR="002E0A40" w:rsidRPr="007122AB" w14:paraId="71DC0EE9" w14:textId="77777777" w:rsidTr="004B2EA4">
        <w:trPr>
          <w:trHeight w:val="252"/>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651C760"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A5AA11D"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257</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1E3BD50"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249</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8E26F7F" w14:textId="77777777" w:rsidR="002E0A40" w:rsidRPr="007122AB" w:rsidRDefault="002E0A40" w:rsidP="004B2EA4">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w:t>
            </w:r>
          </w:p>
        </w:tc>
      </w:tr>
    </w:tbl>
    <w:p w14:paraId="63A296DB" w14:textId="77777777" w:rsidR="002E0A40" w:rsidRPr="007122AB" w:rsidRDefault="002E0A40" w:rsidP="002E0A40">
      <w:pPr>
        <w:pStyle w:val="aff1"/>
        <w:shd w:val="clear" w:color="auto" w:fill="auto"/>
        <w:spacing w:line="240" w:lineRule="auto"/>
        <w:rPr>
          <w:rFonts w:ascii="Times New Roman" w:hAnsi="Times New Roman" w:cs="Times New Roman"/>
          <w:i w:val="0"/>
          <w:color w:val="000000" w:themeColor="text1"/>
          <w:sz w:val="16"/>
          <w:szCs w:val="16"/>
          <w:lang w:val="ru-RU"/>
        </w:rPr>
      </w:pPr>
      <w:r w:rsidRPr="007122AB">
        <w:rPr>
          <w:rFonts w:ascii="Times New Roman" w:hAnsi="Times New Roman" w:cs="Times New Roman"/>
          <w:i w:val="0"/>
          <w:color w:val="000000" w:themeColor="text1"/>
          <w:sz w:val="16"/>
          <w:szCs w:val="16"/>
          <w:lang w:val="ru-RU"/>
        </w:rPr>
        <w:t>Полетный вес И-4 согласно инструкции полетной эксплуатации составлял 1516,5 кг, нагрузка на кршо 59,2 кг/м</w:t>
      </w:r>
      <w:r w:rsidRPr="007122AB">
        <w:rPr>
          <w:rFonts w:ascii="Times New Roman" w:hAnsi="Times New Roman" w:cs="Times New Roman"/>
          <w:i w:val="0"/>
          <w:color w:val="000000" w:themeColor="text1"/>
          <w:sz w:val="16"/>
          <w:szCs w:val="16"/>
          <w:vertAlign w:val="superscript"/>
          <w:lang w:val="ru-RU"/>
        </w:rPr>
        <w:t>2</w:t>
      </w:r>
      <w:r w:rsidRPr="007122AB">
        <w:rPr>
          <w:rFonts w:ascii="Times New Roman" w:hAnsi="Times New Roman" w:cs="Times New Roman"/>
          <w:i w:val="0"/>
          <w:color w:val="000000" w:themeColor="text1"/>
          <w:sz w:val="16"/>
          <w:szCs w:val="16"/>
          <w:lang w:val="ru-RU"/>
        </w:rPr>
        <w:t>, полетная центровка — 25,7% САХ (12295).</w:t>
      </w:r>
    </w:p>
    <w:p w14:paraId="0AA60A8B" w14:textId="77777777" w:rsidR="007024A0" w:rsidRDefault="007024A0" w:rsidP="002E0A40">
      <w:pPr>
        <w:spacing w:after="0" w:line="240" w:lineRule="auto"/>
        <w:jc w:val="both"/>
        <w:rPr>
          <w:rFonts w:ascii="Times New Roman" w:hAnsi="Times New Roman"/>
          <w:color w:val="0070C0"/>
          <w:sz w:val="16"/>
          <w:szCs w:val="16"/>
        </w:rPr>
      </w:pPr>
    </w:p>
    <w:p w14:paraId="06801D7C" w14:textId="54F65EF7" w:rsidR="002E0A40" w:rsidRPr="00441F34" w:rsidRDefault="002E0A40" w:rsidP="002E0A4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1931 г. в связи с появлением И-5 производство И-4 было прекра</w:t>
      </w:r>
      <w:r w:rsidRPr="00441F34">
        <w:rPr>
          <w:rFonts w:ascii="Times New Roman" w:hAnsi="Times New Roman"/>
          <w:color w:val="0070C0"/>
          <w:sz w:val="16"/>
          <w:szCs w:val="16"/>
        </w:rPr>
        <w:softHyphen/>
        <w:t>щено. Общее количество построенных истребителей этого типа составило 177 серийных машин и 2 опыт</w:t>
      </w:r>
      <w:r w:rsidRPr="00441F34">
        <w:rPr>
          <w:rFonts w:ascii="Times New Roman" w:hAnsi="Times New Roman"/>
          <w:color w:val="0070C0"/>
          <w:sz w:val="16"/>
          <w:szCs w:val="16"/>
        </w:rPr>
        <w:softHyphen/>
        <w:t>ных экземпляра. В последующие четыре года они ак</w:t>
      </w:r>
      <w:r w:rsidRPr="00441F34">
        <w:rPr>
          <w:rFonts w:ascii="Times New Roman" w:hAnsi="Times New Roman"/>
          <w:color w:val="0070C0"/>
          <w:sz w:val="16"/>
          <w:szCs w:val="16"/>
        </w:rPr>
        <w:softHyphen/>
        <w:t>тивно эксплуатировались летом и зимой, участвова</w:t>
      </w:r>
      <w:r w:rsidRPr="00441F34">
        <w:rPr>
          <w:rFonts w:ascii="Times New Roman" w:hAnsi="Times New Roman"/>
          <w:color w:val="0070C0"/>
          <w:sz w:val="16"/>
          <w:szCs w:val="16"/>
        </w:rPr>
        <w:softHyphen/>
        <w:t>ли в войсковых и флотских маневрах. Осенью 1935 г. последовало решение о снятии И-4 с вооружения ВВС. Часть их отправили в учебные подразделения, еще некоторое количество использовалось для осна</w:t>
      </w:r>
      <w:r w:rsidRPr="00441F34">
        <w:rPr>
          <w:rFonts w:ascii="Times New Roman" w:hAnsi="Times New Roman"/>
          <w:color w:val="0070C0"/>
          <w:sz w:val="16"/>
          <w:szCs w:val="16"/>
        </w:rPr>
        <w:softHyphen/>
        <w:t>щения вновь сформированных эскадрилий (23378).</w:t>
      </w:r>
    </w:p>
    <w:p w14:paraId="7BF7BFC3" w14:textId="77777777" w:rsidR="002E0A40" w:rsidRPr="00441F34" w:rsidRDefault="002E0A40" w:rsidP="002E0A40">
      <w:pPr>
        <w:spacing w:after="0" w:line="240" w:lineRule="auto"/>
        <w:jc w:val="both"/>
        <w:rPr>
          <w:rFonts w:ascii="Times New Roman" w:hAnsi="Times New Roman"/>
          <w:color w:val="0070C0"/>
          <w:sz w:val="16"/>
          <w:szCs w:val="16"/>
        </w:rPr>
      </w:pPr>
    </w:p>
    <w:p w14:paraId="27E852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октября 1931 г. по март 1932 г. в качестве эталона испытывался и </w:t>
      </w:r>
      <w:proofErr w:type="spellStart"/>
      <w:r w:rsidRPr="007122AB">
        <w:rPr>
          <w:rFonts w:ascii="Times New Roman" w:hAnsi="Times New Roman"/>
          <w:color w:val="000000" w:themeColor="text1"/>
          <w:sz w:val="16"/>
          <w:szCs w:val="16"/>
        </w:rPr>
        <w:t>доведился</w:t>
      </w:r>
      <w:proofErr w:type="spellEnd"/>
      <w:r w:rsidRPr="007122AB">
        <w:rPr>
          <w:rFonts w:ascii="Times New Roman" w:hAnsi="Times New Roman"/>
          <w:color w:val="000000" w:themeColor="text1"/>
          <w:sz w:val="16"/>
          <w:szCs w:val="16"/>
        </w:rPr>
        <w:t xml:space="preserve"> Р-5 №4629. Изменения были следующими: </w:t>
      </w:r>
      <w:proofErr w:type="spellStart"/>
      <w:r w:rsidRPr="007122AB">
        <w:rPr>
          <w:rFonts w:ascii="Times New Roman" w:hAnsi="Times New Roman"/>
          <w:color w:val="000000" w:themeColor="text1"/>
          <w:sz w:val="16"/>
          <w:szCs w:val="16"/>
        </w:rPr>
        <w:t>перекомпоновано</w:t>
      </w:r>
      <w:proofErr w:type="spellEnd"/>
      <w:r w:rsidRPr="007122AB">
        <w:rPr>
          <w:rFonts w:ascii="Times New Roman" w:hAnsi="Times New Roman"/>
          <w:color w:val="000000" w:themeColor="text1"/>
          <w:sz w:val="16"/>
          <w:szCs w:val="16"/>
        </w:rPr>
        <w:t xml:space="preserve"> оборудование, в днище фюзеляжа сделано окно с подвижной шторкой для улучшения обзора пилоту при наведении на цель, в пилотской кабине установлен чемодан для пищевого довольствия, за сидением летнаба поставлена перегородка из перкаля, стойки шасси оборудованы ушками для буксировки самолета трактором. Часть Р-5 оборудовалась радиостанцией 14СК, их отличием являлась система антенн на верхнем крыле. Внесенные изменения привели к повышению полетного веса до 2955 кг. В акте испытания эталона на 1932 г. самолет Р-5 оценивался как бомбардировщик военного времени с максимальной бомбовой нагрузкой 500 кг. Несмотря на увеличение веса самолет по-прежнему допускался к выполнению фигур высшего пилотажа - петель и переворотов.</w:t>
      </w:r>
    </w:p>
    <w:p w14:paraId="16AA2A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выпуск Р-5 еще более возрос; всего за год выпустили 884 экземпляра используя упомянутую машину в качестве эталона.</w:t>
      </w:r>
    </w:p>
    <w:p w14:paraId="19395B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Р-5 начал во все возрастающем количестве поставляться в различные ведомства. Вот, например, некоторые из нарядов на отправку: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002C3" w:rsidRPr="007122AB" w14:paraId="3290BEC0" w14:textId="77777777">
        <w:tc>
          <w:tcPr>
            <w:tcW w:w="4261" w:type="dxa"/>
          </w:tcPr>
          <w:p w14:paraId="487489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Р-5</w:t>
            </w:r>
          </w:p>
        </w:tc>
        <w:tc>
          <w:tcPr>
            <w:tcW w:w="4261" w:type="dxa"/>
          </w:tcPr>
          <w:p w14:paraId="39CE18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Главное геологическое управление для аэрофотосъемки;</w:t>
            </w:r>
          </w:p>
        </w:tc>
      </w:tr>
      <w:tr w:rsidR="001002C3" w:rsidRPr="007122AB" w14:paraId="37961A9F" w14:textId="77777777">
        <w:tc>
          <w:tcPr>
            <w:tcW w:w="4261" w:type="dxa"/>
          </w:tcPr>
          <w:p w14:paraId="75F2AA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Р-5</w:t>
            </w:r>
          </w:p>
        </w:tc>
        <w:tc>
          <w:tcPr>
            <w:tcW w:w="4261" w:type="dxa"/>
          </w:tcPr>
          <w:p w14:paraId="797C7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спецотряд;</w:t>
            </w:r>
          </w:p>
        </w:tc>
      </w:tr>
      <w:tr w:rsidR="001002C3" w:rsidRPr="007122AB" w14:paraId="66F956FF" w14:textId="77777777">
        <w:tc>
          <w:tcPr>
            <w:tcW w:w="4261" w:type="dxa"/>
          </w:tcPr>
          <w:p w14:paraId="14880C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Р-5</w:t>
            </w:r>
          </w:p>
        </w:tc>
        <w:tc>
          <w:tcPr>
            <w:tcW w:w="4261" w:type="dxa"/>
          </w:tcPr>
          <w:p w14:paraId="424B89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военную школу спецслужб;</w:t>
            </w:r>
          </w:p>
        </w:tc>
      </w:tr>
      <w:tr w:rsidR="001002C3" w:rsidRPr="007122AB" w14:paraId="7432E0B6" w14:textId="77777777">
        <w:tc>
          <w:tcPr>
            <w:tcW w:w="4261" w:type="dxa"/>
          </w:tcPr>
          <w:p w14:paraId="068B55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Р-5</w:t>
            </w:r>
          </w:p>
        </w:tc>
        <w:tc>
          <w:tcPr>
            <w:tcW w:w="4261" w:type="dxa"/>
          </w:tcPr>
          <w:p w14:paraId="2A5404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7-ю школу военнь1х летчиков;</w:t>
            </w:r>
          </w:p>
        </w:tc>
      </w:tr>
      <w:tr w:rsidR="001002C3" w:rsidRPr="007122AB" w14:paraId="473DDC4E" w14:textId="77777777">
        <w:tc>
          <w:tcPr>
            <w:tcW w:w="4261" w:type="dxa"/>
          </w:tcPr>
          <w:p w14:paraId="5EE39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Р-5</w:t>
            </w:r>
          </w:p>
        </w:tc>
        <w:tc>
          <w:tcPr>
            <w:tcW w:w="4261" w:type="dxa"/>
          </w:tcPr>
          <w:p w14:paraId="5C0F0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Авиагруппу Академии ВВС РККА;</w:t>
            </w:r>
          </w:p>
        </w:tc>
      </w:tr>
      <w:tr w:rsidR="001002C3" w:rsidRPr="007122AB" w14:paraId="53EE961F" w14:textId="77777777">
        <w:tc>
          <w:tcPr>
            <w:tcW w:w="4261" w:type="dxa"/>
          </w:tcPr>
          <w:p w14:paraId="2B398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Р-5</w:t>
            </w:r>
          </w:p>
        </w:tc>
        <w:tc>
          <w:tcPr>
            <w:tcW w:w="4261" w:type="dxa"/>
          </w:tcPr>
          <w:p w14:paraId="59740B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распоряжение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УВВС РККА;</w:t>
            </w:r>
          </w:p>
        </w:tc>
      </w:tr>
      <w:tr w:rsidR="00365C94" w:rsidRPr="007122AB" w14:paraId="0E2EEDC9" w14:textId="77777777">
        <w:tc>
          <w:tcPr>
            <w:tcW w:w="4261" w:type="dxa"/>
          </w:tcPr>
          <w:p w14:paraId="030208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 Р-5</w:t>
            </w:r>
          </w:p>
        </w:tc>
        <w:tc>
          <w:tcPr>
            <w:tcW w:w="4261" w:type="dxa"/>
          </w:tcPr>
          <w:p w14:paraId="0009A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Главному Управлению пограничной охраны (5016).</w:t>
            </w:r>
          </w:p>
        </w:tc>
      </w:tr>
    </w:tbl>
    <w:p w14:paraId="3964E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5AB0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на заседании ВАО под председательством П.И.Б. было принято решение формировать изготовление ТБ-6 и окончить постройку в конце 1932 (7425, 19).</w:t>
      </w:r>
    </w:p>
    <w:p w14:paraId="283600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CE5D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 в НИИ ВВС, где и находился в это время АНТ-6. прибыла немецкая делегация. Ей показали истребители И-4 и И-5, а также бомбардировщик ТБ-1. На последнем даже дали полетать немецкому пилоту, после чего «экскурсанты» двинулись дальше, и вот тут, у одного из ангаров, делегация вместе с сопровождающими наткнулась на не вовремя выкаченный наружу гигантский бомбардировщик. Офицеры рейхсвера тут же закидали наших специалистов вопросами об этой машине, а те не знали, чего отвечать - ведь даже упоминать о существовании этого самолета им запретили. Тем не менее, из оправдательных записок руководства НИИ четко видно, что бомбардировщик произвел на немцев неизгладимое впечатление (7668).</w:t>
      </w:r>
    </w:p>
    <w:p w14:paraId="19D413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F98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года самолет ТБ-1 с гордостью продемонстрировали немцам. Германская военная делегация осмотрела ТБ-1 в НИИ ВВС. Один из офицеров рейхсвера, фон Ма- </w:t>
      </w:r>
      <w:proofErr w:type="spellStart"/>
      <w:r w:rsidRPr="007122AB">
        <w:rPr>
          <w:rFonts w:ascii="Times New Roman" w:hAnsi="Times New Roman"/>
          <w:color w:val="000000" w:themeColor="text1"/>
          <w:sz w:val="16"/>
          <w:szCs w:val="16"/>
        </w:rPr>
        <w:t>себах</w:t>
      </w:r>
      <w:proofErr w:type="spellEnd"/>
      <w:r w:rsidRPr="007122AB">
        <w:rPr>
          <w:rFonts w:ascii="Times New Roman" w:hAnsi="Times New Roman"/>
          <w:color w:val="000000" w:themeColor="text1"/>
          <w:sz w:val="16"/>
          <w:szCs w:val="16"/>
        </w:rPr>
        <w:t xml:space="preserve">, даже получил возможность </w:t>
      </w:r>
      <w:proofErr w:type="spellStart"/>
      <w:r w:rsidRPr="007122AB">
        <w:rPr>
          <w:rFonts w:ascii="Times New Roman" w:hAnsi="Times New Roman"/>
          <w:color w:val="000000" w:themeColor="text1"/>
          <w:sz w:val="16"/>
          <w:szCs w:val="16"/>
        </w:rPr>
        <w:t>попилоти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ровать</w:t>
      </w:r>
      <w:proofErr w:type="spellEnd"/>
      <w:r w:rsidRPr="007122AB">
        <w:rPr>
          <w:rFonts w:ascii="Times New Roman" w:hAnsi="Times New Roman"/>
          <w:color w:val="000000" w:themeColor="text1"/>
          <w:sz w:val="16"/>
          <w:szCs w:val="16"/>
        </w:rPr>
        <w:t xml:space="preserve"> бомбардировщик с правого кресла под надзором советского инструктора. Машина получила очень высокую оценку - в Германии подобной техники тогда не было (12024).</w:t>
      </w:r>
    </w:p>
    <w:p w14:paraId="3AD4C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5D382D" w14:textId="645A0DC5" w:rsidR="007024A0" w:rsidRPr="00441F34" w:rsidRDefault="007024A0" w:rsidP="007024A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того же года самолёт продемонстрировали немцам. Гер</w:t>
      </w:r>
      <w:r w:rsidRPr="00441F34">
        <w:rPr>
          <w:rFonts w:ascii="Times New Roman" w:hAnsi="Times New Roman"/>
          <w:color w:val="0070C0"/>
          <w:sz w:val="16"/>
          <w:szCs w:val="16"/>
        </w:rPr>
        <w:softHyphen/>
        <w:t>манская военная делегация осмот</w:t>
      </w:r>
      <w:r w:rsidRPr="00441F34">
        <w:rPr>
          <w:rFonts w:ascii="Times New Roman" w:hAnsi="Times New Roman"/>
          <w:color w:val="0070C0"/>
          <w:sz w:val="16"/>
          <w:szCs w:val="16"/>
        </w:rPr>
        <w:softHyphen/>
        <w:t>рела ТБ-1 в НИИ ВВС. Один из офи</w:t>
      </w:r>
      <w:r w:rsidRPr="00441F34">
        <w:rPr>
          <w:rFonts w:ascii="Times New Roman" w:hAnsi="Times New Roman"/>
          <w:color w:val="0070C0"/>
          <w:sz w:val="16"/>
          <w:szCs w:val="16"/>
        </w:rPr>
        <w:softHyphen/>
        <w:t xml:space="preserve">церов Рейхсвера, фон </w:t>
      </w:r>
      <w:proofErr w:type="spellStart"/>
      <w:r w:rsidRPr="00441F34">
        <w:rPr>
          <w:rFonts w:ascii="Times New Roman" w:hAnsi="Times New Roman"/>
          <w:color w:val="0070C0"/>
          <w:sz w:val="16"/>
          <w:szCs w:val="16"/>
        </w:rPr>
        <w:t>Масебах</w:t>
      </w:r>
      <w:proofErr w:type="spellEnd"/>
      <w:r w:rsidRPr="00441F34">
        <w:rPr>
          <w:rFonts w:ascii="Times New Roman" w:hAnsi="Times New Roman"/>
          <w:color w:val="0070C0"/>
          <w:sz w:val="16"/>
          <w:szCs w:val="16"/>
        </w:rPr>
        <w:t xml:space="preserve">, даже получил возможность </w:t>
      </w:r>
      <w:proofErr w:type="spellStart"/>
      <w:r w:rsidRPr="00441F34">
        <w:rPr>
          <w:rFonts w:ascii="Times New Roman" w:hAnsi="Times New Roman"/>
          <w:color w:val="0070C0"/>
          <w:sz w:val="16"/>
          <w:szCs w:val="16"/>
        </w:rPr>
        <w:t>попилотировать</w:t>
      </w:r>
      <w:proofErr w:type="spellEnd"/>
      <w:r w:rsidRPr="00441F34">
        <w:rPr>
          <w:rFonts w:ascii="Times New Roman" w:hAnsi="Times New Roman"/>
          <w:color w:val="0070C0"/>
          <w:sz w:val="16"/>
          <w:szCs w:val="16"/>
        </w:rPr>
        <w:t xml:space="preserve"> бомбардировщик с правого кресла под надзором советского ин</w:t>
      </w:r>
      <w:r w:rsidRPr="00441F34">
        <w:rPr>
          <w:rFonts w:ascii="Times New Roman" w:hAnsi="Times New Roman"/>
          <w:color w:val="0070C0"/>
          <w:sz w:val="16"/>
          <w:szCs w:val="16"/>
        </w:rPr>
        <w:softHyphen/>
        <w:t>структора. Машина получила очень высокую оценку - в Германии по</w:t>
      </w:r>
      <w:r w:rsidRPr="00441F34">
        <w:rPr>
          <w:rFonts w:ascii="Times New Roman" w:hAnsi="Times New Roman"/>
          <w:color w:val="0070C0"/>
          <w:sz w:val="16"/>
          <w:szCs w:val="16"/>
        </w:rPr>
        <w:softHyphen/>
        <w:t>добной техники тогда не было (23469).</w:t>
      </w:r>
    </w:p>
    <w:p w14:paraId="6740F834" w14:textId="77777777" w:rsidR="007024A0" w:rsidRPr="00441F34" w:rsidRDefault="007024A0" w:rsidP="007024A0">
      <w:pPr>
        <w:spacing w:after="0" w:line="240" w:lineRule="auto"/>
        <w:jc w:val="both"/>
        <w:rPr>
          <w:rFonts w:ascii="Times New Roman" w:hAnsi="Times New Roman"/>
          <w:color w:val="0070C0"/>
          <w:sz w:val="16"/>
          <w:szCs w:val="16"/>
        </w:rPr>
      </w:pPr>
    </w:p>
    <w:p w14:paraId="7C7E13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 после участия двух отрядов И-5 в манёврах Украинского военного округа в Москву отправили докладную, в которой сообщался длинный список дефектов самолёта. При интенсивной эксплуатации лопались расчалки, отваливались синхронизаторы, трескались панели капота. Опять много претензий предъявили к шасси - амортизация плохая, резина из них выпирает, костыль ломается... Лётчики жаловались, что сиденье натирает спину, а вырез кабины не имеет мягкой обивки. Вывод докладной был неутешительным: "В своём настоящем виде самолёт И-5 - не боевая машина" (11997).</w:t>
      </w:r>
    </w:p>
    <w:p w14:paraId="0BBFA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FD2B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года НИИ был испытан винт конструкции Никифорова для с-та И-5 М-22. Данные испытания показали, что винт Никифорова уступает по своим летным характеристикам винту, находящемуся в настоящее время на вооружении самолета И-5 М-22 (3025,13-14).</w:t>
      </w:r>
    </w:p>
    <w:p w14:paraId="5572D5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85E4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КБ А.Н.Т. представило НИИ ВВС расчет характеристик Р-6 с М-34 (346,37).</w:t>
      </w:r>
    </w:p>
    <w:p w14:paraId="78A38D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7F2035"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октября 1931 г. велось проектирование модификации Р-6 с новыми моторами М-34. Планами предусматривалось введение на этом варианте гладкой обшивки и металлических винтов. По расчётам, максимальная скорость должна была возрасти до 257 км/ч, потолок - до 7900 м. Но самолёт построен не был. Возможно, полученные результаты использовали при создании многоместного истребителя МИ-3 (12264).</w:t>
      </w:r>
    </w:p>
    <w:p w14:paraId="69035C8E"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2642781B" w14:textId="77777777" w:rsidR="002E0A40" w:rsidRPr="00441F34" w:rsidRDefault="002E0A40" w:rsidP="002E0A4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1931г. ЦАГИ представил НИИ ВВС расчет предполагаемых характе</w:t>
      </w:r>
      <w:r w:rsidRPr="00441F34">
        <w:rPr>
          <w:rFonts w:ascii="Times New Roman" w:hAnsi="Times New Roman"/>
          <w:color w:val="0070C0"/>
          <w:sz w:val="16"/>
          <w:szCs w:val="16"/>
        </w:rPr>
        <w:softHyphen/>
        <w:t>ристик самолета Р—6 с двумя двигателями М—34. Получалось, что скорость у земли возрастет до 259 км/ч, на высоте 3000 м — до 257 км/ч. Время набора высоты 3000 м должно было уменьшиться до 6,4 мин, а потолок составить 7900 м. Документы об установке двигателей М—34 не сохрани</w:t>
      </w:r>
      <w:r w:rsidRPr="00441F34">
        <w:rPr>
          <w:rFonts w:ascii="Times New Roman" w:hAnsi="Times New Roman"/>
          <w:color w:val="0070C0"/>
          <w:sz w:val="16"/>
          <w:szCs w:val="16"/>
        </w:rPr>
        <w:softHyphen/>
        <w:t>лись (23474).</w:t>
      </w:r>
    </w:p>
    <w:p w14:paraId="5F06794D" w14:textId="77777777" w:rsidR="002E0A40" w:rsidRPr="00441F34" w:rsidRDefault="002E0A40" w:rsidP="002E0A40">
      <w:pPr>
        <w:spacing w:after="0" w:line="240" w:lineRule="auto"/>
        <w:jc w:val="both"/>
        <w:rPr>
          <w:rFonts w:ascii="Times New Roman" w:hAnsi="Times New Roman"/>
          <w:color w:val="0070C0"/>
          <w:sz w:val="16"/>
          <w:szCs w:val="16"/>
        </w:rPr>
      </w:pPr>
    </w:p>
    <w:p w14:paraId="4102A2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в воздух поднялся Сталь-2 (3971,5).</w:t>
      </w:r>
    </w:p>
    <w:p w14:paraId="1D201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47AAAC" w14:textId="77777777" w:rsidR="00C55371" w:rsidRPr="007122AB" w:rsidRDefault="00C55371"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октябре 1931 года первый опытный экземпляр Сталь-2 с дви</w:t>
      </w:r>
      <w:r w:rsidRPr="007122AB">
        <w:rPr>
          <w:rFonts w:ascii="Times New Roman" w:hAnsi="Times New Roman"/>
          <w:color w:val="000000" w:themeColor="text1"/>
          <w:sz w:val="16"/>
          <w:szCs w:val="16"/>
          <w:lang w:eastAsia="ru-RU" w:bidi="ru-RU"/>
        </w:rPr>
        <w:softHyphen/>
        <w:t>гателем «Райт» считался окончательно готовым, и 11 ок</w:t>
      </w:r>
      <w:r w:rsidRPr="007122AB">
        <w:rPr>
          <w:rFonts w:ascii="Times New Roman" w:hAnsi="Times New Roman"/>
          <w:color w:val="000000" w:themeColor="text1"/>
          <w:sz w:val="16"/>
          <w:szCs w:val="16"/>
          <w:lang w:eastAsia="ru-RU" w:bidi="ru-RU"/>
        </w:rPr>
        <w:softHyphen/>
        <w:t>тября состоялся первый полет. Летал Эдуард Иванович Шварц, который оценил полетные данные нового самоле</w:t>
      </w:r>
      <w:r w:rsidRPr="007122AB">
        <w:rPr>
          <w:rFonts w:ascii="Times New Roman" w:hAnsi="Times New Roman"/>
          <w:color w:val="000000" w:themeColor="text1"/>
          <w:sz w:val="16"/>
          <w:szCs w:val="16"/>
          <w:lang w:eastAsia="ru-RU" w:bidi="ru-RU"/>
        </w:rPr>
        <w:softHyphen/>
        <w:t>та как вполне удовлетворительные. Очевидно, что сам факт первого полета представили пе</w:t>
      </w:r>
      <w:r w:rsidRPr="007122AB">
        <w:rPr>
          <w:rFonts w:ascii="Times New Roman" w:hAnsi="Times New Roman"/>
          <w:color w:val="000000" w:themeColor="text1"/>
          <w:sz w:val="16"/>
          <w:szCs w:val="16"/>
          <w:lang w:eastAsia="ru-RU" w:bidi="ru-RU"/>
        </w:rPr>
        <w:softHyphen/>
        <w:t>ред высшим руководством как значительное достижение советской науки и промышленности (20365).</w:t>
      </w:r>
    </w:p>
    <w:p w14:paraId="156B76B5" w14:textId="77777777" w:rsidR="00C55371" w:rsidRPr="007122AB" w:rsidRDefault="00C55371" w:rsidP="007122AB">
      <w:pPr>
        <w:spacing w:after="0" w:line="240" w:lineRule="auto"/>
        <w:jc w:val="both"/>
        <w:rPr>
          <w:rFonts w:ascii="Times New Roman" w:hAnsi="Times New Roman"/>
          <w:color w:val="000000" w:themeColor="text1"/>
          <w:sz w:val="16"/>
          <w:szCs w:val="16"/>
          <w:lang w:eastAsia="ru-RU" w:bidi="ru-RU"/>
        </w:rPr>
      </w:pPr>
    </w:p>
    <w:p w14:paraId="73DC4B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октября 1931 в СССР начали поступать первые из 50 заказанных </w:t>
      </w:r>
      <w:proofErr w:type="spellStart"/>
      <w:r w:rsidRPr="007122AB">
        <w:rPr>
          <w:rFonts w:ascii="Times New Roman" w:hAnsi="Times New Roman"/>
          <w:color w:val="000000" w:themeColor="text1"/>
          <w:sz w:val="16"/>
          <w:szCs w:val="16"/>
        </w:rPr>
        <w:t>лл</w:t>
      </w:r>
      <w:proofErr w:type="spellEnd"/>
      <w:r w:rsidRPr="007122AB">
        <w:rPr>
          <w:rFonts w:ascii="Times New Roman" w:hAnsi="Times New Roman"/>
          <w:color w:val="000000" w:themeColor="text1"/>
          <w:sz w:val="16"/>
          <w:szCs w:val="16"/>
        </w:rPr>
        <w:t xml:space="preserve"> S.62 и к июлю 1932 все они прибыли (2446,41).</w:t>
      </w:r>
    </w:p>
    <w:p w14:paraId="65522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FD067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 после наработки на стенде 38 часов первый М-34 выстави</w:t>
      </w:r>
      <w:r w:rsidRPr="007122AB">
        <w:rPr>
          <w:rFonts w:ascii="Times New Roman" w:hAnsi="Times New Roman"/>
          <w:color w:val="000000" w:themeColor="text1"/>
          <w:sz w:val="16"/>
          <w:szCs w:val="16"/>
        </w:rPr>
        <w:softHyphen/>
        <w:t>ли на государственные испытания. К 1 ноября мотор успешно отработал 100 часов, хотя и с некоторыми по</w:t>
      </w:r>
      <w:r w:rsidRPr="007122AB">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7122AB">
        <w:rPr>
          <w:rFonts w:ascii="Times New Roman" w:hAnsi="Times New Roman"/>
          <w:color w:val="000000" w:themeColor="text1"/>
          <w:sz w:val="16"/>
          <w:szCs w:val="16"/>
        </w:rPr>
        <w:softHyphen/>
        <w:t>вить вопрос о внедрении в серий</w:t>
      </w:r>
      <w:r w:rsidRPr="007122AB">
        <w:rPr>
          <w:rFonts w:ascii="Times New Roman" w:hAnsi="Times New Roman"/>
          <w:color w:val="000000" w:themeColor="text1"/>
          <w:sz w:val="16"/>
          <w:szCs w:val="16"/>
        </w:rPr>
        <w:softHyphen/>
        <w:t>ное производство. В документе так</w:t>
      </w:r>
      <w:r w:rsidRPr="007122AB">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7122AB">
        <w:rPr>
          <w:rFonts w:ascii="Times New Roman" w:hAnsi="Times New Roman"/>
          <w:color w:val="000000" w:themeColor="text1"/>
          <w:sz w:val="16"/>
          <w:szCs w:val="16"/>
        </w:rPr>
        <w:softHyphen/>
        <w:t>ленности (ГУАП) поступило распоря</w:t>
      </w:r>
      <w:r w:rsidRPr="007122AB">
        <w:rPr>
          <w:rFonts w:ascii="Times New Roman" w:hAnsi="Times New Roman"/>
          <w:color w:val="000000" w:themeColor="text1"/>
          <w:sz w:val="16"/>
          <w:szCs w:val="16"/>
        </w:rPr>
        <w:softHyphen/>
        <w:t>жение остановиться на сборке двух моторов, сдать все уже готовые де</w:t>
      </w:r>
      <w:r w:rsidRPr="007122AB">
        <w:rPr>
          <w:rFonts w:ascii="Times New Roman" w:hAnsi="Times New Roman"/>
          <w:color w:val="000000" w:themeColor="text1"/>
          <w:sz w:val="16"/>
          <w:szCs w:val="16"/>
        </w:rPr>
        <w:softHyphen/>
        <w:t>тали ИАМ. В мастерских ИАМ к на</w:t>
      </w:r>
      <w:r w:rsidRPr="007122AB">
        <w:rPr>
          <w:rFonts w:ascii="Times New Roman" w:hAnsi="Times New Roman"/>
          <w:color w:val="000000" w:themeColor="text1"/>
          <w:sz w:val="16"/>
          <w:szCs w:val="16"/>
        </w:rPr>
        <w:softHyphen/>
        <w:t>чалу октября 1932 г. сделали пять М-34, из них один - макетный для ЦАГИ (11848).</w:t>
      </w:r>
    </w:p>
    <w:p w14:paraId="31ED3F7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A9BD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октябре 1931 г. Особое конструкторское бюро (ОКБ) ОГПУ пере</w:t>
      </w:r>
      <w:r w:rsidRPr="007122AB">
        <w:rPr>
          <w:rFonts w:ascii="Times New Roman" w:hAnsi="Times New Roman"/>
          <w:color w:val="000000" w:themeColor="text1"/>
          <w:sz w:val="16"/>
          <w:szCs w:val="16"/>
        </w:rPr>
        <w:softHyphen/>
        <w:t xml:space="preserve">дало чертежи двигателя в ВАО (сменившее </w:t>
      </w:r>
      <w:proofErr w:type="spellStart"/>
      <w:r w:rsidRPr="007122AB">
        <w:rPr>
          <w:rFonts w:ascii="Times New Roman" w:hAnsi="Times New Roman"/>
          <w:color w:val="000000" w:themeColor="text1"/>
          <w:sz w:val="16"/>
          <w:szCs w:val="16"/>
        </w:rPr>
        <w:t>Авиатрест</w:t>
      </w:r>
      <w:proofErr w:type="spellEnd"/>
      <w:r w:rsidRPr="007122AB">
        <w:rPr>
          <w:rFonts w:ascii="Times New Roman" w:hAnsi="Times New Roman"/>
          <w:color w:val="000000" w:themeColor="text1"/>
          <w:sz w:val="16"/>
          <w:szCs w:val="16"/>
        </w:rPr>
        <w:t>) и ИАМ. На заводе № 24 в это время уже имелись изготовленные опытные образцы моторов ФЭД и делались другие. Всего собрали десять экземпляров. По всей видимости, все они, или почти все, были разными. Сохрани</w:t>
      </w:r>
      <w:r w:rsidRPr="007122AB">
        <w:rPr>
          <w:rFonts w:ascii="Times New Roman" w:hAnsi="Times New Roman"/>
          <w:color w:val="000000" w:themeColor="text1"/>
          <w:sz w:val="16"/>
          <w:szCs w:val="16"/>
        </w:rPr>
        <w:softHyphen/>
        <w:t>лись разрозненные материалы по ФЭД-1, ФЭД-3, ФЭД-8 и ФЭД-10. Ис</w:t>
      </w:r>
      <w:r w:rsidRPr="007122AB">
        <w:rPr>
          <w:rFonts w:ascii="Times New Roman" w:hAnsi="Times New Roman"/>
          <w:color w:val="000000" w:themeColor="text1"/>
          <w:sz w:val="16"/>
          <w:szCs w:val="16"/>
        </w:rPr>
        <w:softHyphen/>
        <w:t>пытания ФЭД-1 начали еще осенью 1930 г.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7122AB">
        <w:rPr>
          <w:rFonts w:ascii="Times New Roman" w:hAnsi="Times New Roman"/>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7122AB">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7122AB">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0BCB89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1A77C2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24-цилиндровый, рядный Х-образный, четырехтактный, водяного охлаждения;</w:t>
      </w:r>
    </w:p>
    <w:p w14:paraId="7F748F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35A40A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без наддува;</w:t>
      </w:r>
    </w:p>
    <w:p w14:paraId="71285A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135/160 мм;</w:t>
      </w:r>
    </w:p>
    <w:p w14:paraId="342AE33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55,0 л;</w:t>
      </w:r>
    </w:p>
    <w:p w14:paraId="6C5B2B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по проекту 900 л.с. (11852).</w:t>
      </w:r>
    </w:p>
    <w:p w14:paraId="00A50B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B1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года разрабатывается проект реконструкции воронежского завода № 16 - теперь уже для выпуска самолетов. В начале 1932 года реконструкция в основном была завершена, значительная часть инженерно-технических работников прошла переподготовку на родственных предприятиях Москвы (9688).</w:t>
      </w:r>
    </w:p>
    <w:p w14:paraId="7BF80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757D68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w:t>
      </w:r>
    </w:p>
    <w:p w14:paraId="672BCA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в феврале 1934 года по приказу Главного управления </w:t>
      </w:r>
      <w:proofErr w:type="spellStart"/>
      <w:r w:rsidRPr="007122AB">
        <w:rPr>
          <w:rFonts w:ascii="Times New Roman" w:hAnsi="Times New Roman"/>
          <w:color w:val="000000" w:themeColor="text1"/>
          <w:sz w:val="16"/>
          <w:szCs w:val="16"/>
        </w:rPr>
        <w:t>управления</w:t>
      </w:r>
      <w:proofErr w:type="spellEnd"/>
      <w:r w:rsidRPr="007122AB">
        <w:rPr>
          <w:rFonts w:ascii="Times New Roman" w:hAnsi="Times New Roman"/>
          <w:color w:val="000000" w:themeColor="text1"/>
          <w:sz w:val="16"/>
          <w:szCs w:val="16"/>
        </w:rPr>
        <w:t xml:space="preserve"> авиационной </w:t>
      </w:r>
      <w:proofErr w:type="spellStart"/>
      <w:r w:rsidRPr="007122AB">
        <w:rPr>
          <w:rFonts w:ascii="Times New Roman" w:hAnsi="Times New Roman"/>
          <w:color w:val="000000" w:themeColor="text1"/>
          <w:sz w:val="16"/>
          <w:szCs w:val="16"/>
        </w:rPr>
        <w:t>промыш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ленности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Гипроавиапром</w:t>
      </w:r>
      <w:proofErr w:type="spellEnd"/>
      <w:r w:rsidRPr="007122AB">
        <w:rPr>
          <w:rFonts w:ascii="Times New Roman" w:hAnsi="Times New Roman"/>
          <w:color w:val="000000" w:themeColor="text1"/>
          <w:sz w:val="16"/>
          <w:szCs w:val="16"/>
        </w:rPr>
        <w:t xml:space="preserve">" разрабатывается еще один </w:t>
      </w:r>
      <w:proofErr w:type="spellStart"/>
      <w:r w:rsidRPr="007122AB">
        <w:rPr>
          <w:rFonts w:ascii="Times New Roman" w:hAnsi="Times New Roman"/>
          <w:color w:val="000000" w:themeColor="text1"/>
          <w:sz w:val="16"/>
          <w:szCs w:val="16"/>
        </w:rPr>
        <w:t>прект</w:t>
      </w:r>
      <w:proofErr w:type="spellEnd"/>
      <w:r w:rsidRPr="007122AB">
        <w:rPr>
          <w:rFonts w:ascii="Times New Roman" w:hAnsi="Times New Roman"/>
          <w:color w:val="000000" w:themeColor="text1"/>
          <w:sz w:val="16"/>
          <w:szCs w:val="16"/>
        </w:rPr>
        <w:t xml:space="preserve">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15F38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3A6B84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w:t>
      </w:r>
      <w:proofErr w:type="spellStart"/>
      <w:r w:rsidRPr="007122AB">
        <w:rPr>
          <w:rFonts w:ascii="Times New Roman" w:hAnsi="Times New Roman"/>
          <w:color w:val="000000" w:themeColor="text1"/>
          <w:sz w:val="16"/>
          <w:szCs w:val="16"/>
        </w:rPr>
        <w:t>внутрецехового</w:t>
      </w:r>
      <w:proofErr w:type="spellEnd"/>
      <w:r w:rsidRPr="007122AB">
        <w:rPr>
          <w:rFonts w:ascii="Times New Roman" w:hAnsi="Times New Roman"/>
          <w:color w:val="000000" w:themeColor="text1"/>
          <w:sz w:val="16"/>
          <w:szCs w:val="16"/>
        </w:rPr>
        <w:t xml:space="preserve"> планирования. В 1939 году завод получил задание - освоить новый первоклассный мотор ВК-105 конструкции В.Я. Климова.</w:t>
      </w:r>
    </w:p>
    <w:p w14:paraId="49D78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Этот мотор, мощностью 1100 л/с и с ресурсом - 100 часов, был </w:t>
      </w:r>
      <w:proofErr w:type="spellStart"/>
      <w:r w:rsidRPr="007122AB">
        <w:rPr>
          <w:rFonts w:ascii="Times New Roman" w:hAnsi="Times New Roman"/>
          <w:color w:val="000000" w:themeColor="text1"/>
          <w:sz w:val="16"/>
          <w:szCs w:val="16"/>
        </w:rPr>
        <w:t>расчитан</w:t>
      </w:r>
      <w:proofErr w:type="spellEnd"/>
      <w:r w:rsidRPr="007122AB">
        <w:rPr>
          <w:rFonts w:ascii="Times New Roman" w:hAnsi="Times New Roman"/>
          <w:color w:val="000000" w:themeColor="text1"/>
          <w:sz w:val="16"/>
          <w:szCs w:val="16"/>
        </w:rPr>
        <w:t xml:space="preserve">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w:t>
      </w:r>
      <w:proofErr w:type="spellStart"/>
      <w:r w:rsidRPr="007122AB">
        <w:rPr>
          <w:rFonts w:ascii="Times New Roman" w:hAnsi="Times New Roman"/>
          <w:color w:val="000000" w:themeColor="text1"/>
          <w:sz w:val="16"/>
          <w:szCs w:val="16"/>
        </w:rPr>
        <w:t>пропроизошла</w:t>
      </w:r>
      <w:proofErr w:type="spellEnd"/>
      <w:r w:rsidRPr="007122AB">
        <w:rPr>
          <w:rFonts w:ascii="Times New Roman" w:hAnsi="Times New Roman"/>
          <w:color w:val="000000" w:themeColor="text1"/>
          <w:sz w:val="16"/>
          <w:szCs w:val="16"/>
        </w:rPr>
        <w:t xml:space="preserve">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6D2B9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5E8636" w14:textId="77777777" w:rsidR="007024A0" w:rsidRPr="00441F34" w:rsidRDefault="007024A0" w:rsidP="007024A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1931 г. новым приказом по ВАО ЦКБ-39 подчинен Центральному аэрогидродинамическому институту, но только в административном отношении, при этом по планам работ ЦКБ-39 и АГОС ЦАГИ сохранили свою самостоятельность, несмотря то, что на распоряжение об объединении организаций имело конечной целью именно объединение их усилий в разработке новых самолетов.</w:t>
      </w:r>
    </w:p>
    <w:p w14:paraId="524FB45C" w14:textId="77777777" w:rsidR="007024A0" w:rsidRPr="00441F34" w:rsidRDefault="007024A0" w:rsidP="007024A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верстке новых планов для объединенной конструкторской организации были упущены ряд второстепенных заданий, в основном, гражданского назначения. Так не была включена в план пассажирская модификация разведчика Р-5, по которой были уже произведены значительные работы и потрачены средства. Эта работа была возвращена в план, такие самолеты были построены и эксплуатировались в Гражданском воздушном флоте (ГВФ) и в Полярной авиации, а с началом Великой Отечественной войны переданы ВВС в качестве транспортных и курьерских.</w:t>
      </w:r>
    </w:p>
    <w:p w14:paraId="56C7193E" w14:textId="77777777" w:rsidR="007024A0" w:rsidRPr="00441F34" w:rsidRDefault="007024A0" w:rsidP="007024A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Конструкторская часть завода №135 в Харькове (ГРОС) в большинстве приказов по объединению авиастроительных КБ вообще не упоминалась (23559).</w:t>
      </w:r>
    </w:p>
    <w:p w14:paraId="2F2047FA" w14:textId="77777777" w:rsidR="007024A0" w:rsidRPr="00441F34" w:rsidRDefault="007024A0" w:rsidP="007024A0">
      <w:pPr>
        <w:spacing w:after="0" w:line="240" w:lineRule="auto"/>
        <w:jc w:val="both"/>
        <w:rPr>
          <w:rFonts w:ascii="Times New Roman" w:hAnsi="Times New Roman"/>
          <w:color w:val="0070C0"/>
          <w:sz w:val="16"/>
          <w:szCs w:val="16"/>
        </w:rPr>
      </w:pPr>
    </w:p>
    <w:p w14:paraId="3B6FE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 воронежский завод реконструируется под строительство самолетов, а в 1932 г. начинается выпуск серии штурмовиков ТШ-2 конструкции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С.А. Самолет ТШ-2 представлял собой биплан смешанной конструкции с усиленным бронированием. Его носовая часть выполнялась в виде </w:t>
      </w:r>
      <w:proofErr w:type="spellStart"/>
      <w:r w:rsidRPr="007122AB">
        <w:rPr>
          <w:rFonts w:ascii="Times New Roman" w:hAnsi="Times New Roman"/>
          <w:color w:val="000000" w:themeColor="text1"/>
          <w:sz w:val="16"/>
          <w:szCs w:val="16"/>
        </w:rPr>
        <w:t>бронекоробки</w:t>
      </w:r>
      <w:proofErr w:type="spellEnd"/>
      <w:r w:rsidRPr="007122AB">
        <w:rPr>
          <w:rFonts w:ascii="Times New Roman" w:hAnsi="Times New Roman"/>
          <w:color w:val="000000" w:themeColor="text1"/>
          <w:sz w:val="16"/>
          <w:szCs w:val="16"/>
        </w:rPr>
        <w:t>,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 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4E211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E72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 в результате разделения завода №1 на ряд производств (в том числе заводы №34, №219, №217 и др.) началась история Московского завода №32, который выделился из завода №1 (ранее - "Дукс"). Та часть ГАЗ №1, которая занималась </w:t>
      </w:r>
      <w:proofErr w:type="spellStart"/>
      <w:r w:rsidRPr="007122AB">
        <w:rPr>
          <w:rFonts w:ascii="Times New Roman" w:hAnsi="Times New Roman"/>
          <w:color w:val="000000" w:themeColor="text1"/>
          <w:sz w:val="16"/>
          <w:szCs w:val="16"/>
        </w:rPr>
        <w:t>установ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воор</w:t>
      </w:r>
      <w:proofErr w:type="spellEnd"/>
      <w:r w:rsidRPr="007122AB">
        <w:rPr>
          <w:rFonts w:ascii="Times New Roman" w:hAnsi="Times New Roman"/>
          <w:color w:val="000000" w:themeColor="text1"/>
          <w:sz w:val="16"/>
          <w:szCs w:val="16"/>
        </w:rPr>
        <w:t xml:space="preserve">., осталась на старом месте и </w:t>
      </w:r>
      <w:proofErr w:type="spellStart"/>
      <w:r w:rsidRPr="007122AB">
        <w:rPr>
          <w:rFonts w:ascii="Times New Roman" w:hAnsi="Times New Roman"/>
          <w:color w:val="000000" w:themeColor="text1"/>
          <w:sz w:val="16"/>
          <w:szCs w:val="16"/>
        </w:rPr>
        <w:t>преобраз</w:t>
      </w:r>
      <w:proofErr w:type="spellEnd"/>
      <w:r w:rsidRPr="007122AB">
        <w:rPr>
          <w:rFonts w:ascii="Times New Roman" w:hAnsi="Times New Roman"/>
          <w:color w:val="000000" w:themeColor="text1"/>
          <w:sz w:val="16"/>
          <w:szCs w:val="16"/>
        </w:rPr>
        <w:t xml:space="preserve">. в самостоятельный завод, получивший наименование завод №32 НКАП (ул. Правды). При окончательном переводе в 1933 г. </w:t>
      </w:r>
      <w:proofErr w:type="spellStart"/>
      <w:r w:rsidRPr="007122AB">
        <w:rPr>
          <w:rFonts w:ascii="Times New Roman" w:hAnsi="Times New Roman"/>
          <w:color w:val="000000" w:themeColor="text1"/>
          <w:sz w:val="16"/>
          <w:szCs w:val="16"/>
        </w:rPr>
        <w:t>ав</w:t>
      </w:r>
      <w:proofErr w:type="spellEnd"/>
      <w:r w:rsidRPr="007122AB">
        <w:rPr>
          <w:rFonts w:ascii="Times New Roman" w:hAnsi="Times New Roman"/>
          <w:color w:val="000000" w:themeColor="text1"/>
          <w:sz w:val="16"/>
          <w:szCs w:val="16"/>
        </w:rPr>
        <w:t xml:space="preserve">. производства завода №1 на нов. пл. у Ходынки, заводу №32 передана </w:t>
      </w:r>
      <w:proofErr w:type="spellStart"/>
      <w:r w:rsidRPr="007122AB">
        <w:rPr>
          <w:rFonts w:ascii="Times New Roman" w:hAnsi="Times New Roman"/>
          <w:color w:val="000000" w:themeColor="text1"/>
          <w:sz w:val="16"/>
          <w:szCs w:val="16"/>
        </w:rPr>
        <w:t>осн</w:t>
      </w:r>
      <w:proofErr w:type="spellEnd"/>
      <w:r w:rsidRPr="007122AB">
        <w:rPr>
          <w:rFonts w:ascii="Times New Roman" w:hAnsi="Times New Roman"/>
          <w:color w:val="000000" w:themeColor="text1"/>
          <w:sz w:val="16"/>
          <w:szCs w:val="16"/>
        </w:rPr>
        <w:t xml:space="preserve">. часть его площадей. Сначала кроме вооружения осуществлял производство радиаторов и колес, что далее перешло в ведение др. заводов (в основном на завод №34). В 1934 г. построено два планера Г№5 конструкции </w:t>
      </w:r>
      <w:proofErr w:type="spellStart"/>
      <w:r w:rsidRPr="007122AB">
        <w:rPr>
          <w:rFonts w:ascii="Times New Roman" w:hAnsi="Times New Roman"/>
          <w:color w:val="000000" w:themeColor="text1"/>
          <w:sz w:val="16"/>
          <w:szCs w:val="16"/>
        </w:rPr>
        <w:t>Г.Ф.Грошова</w:t>
      </w:r>
      <w:proofErr w:type="spellEnd"/>
      <w:r w:rsidRPr="007122AB">
        <w:rPr>
          <w:rFonts w:ascii="Times New Roman" w:hAnsi="Times New Roman"/>
          <w:color w:val="000000" w:themeColor="text1"/>
          <w:sz w:val="16"/>
          <w:szCs w:val="16"/>
        </w:rPr>
        <w:t xml:space="preserve">. </w:t>
      </w:r>
    </w:p>
    <w:p w14:paraId="700CCF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заводе №32 в 1938 г. образован конструкторский отдел по вооружению самолетов с бригадами (которые действовали с 1936 г.), далее - КБ (было четыре КБ при заводе), созданными из специалистов ЦАГИ и ВВА им. Жуковского. Главные кон-</w:t>
      </w:r>
      <w:proofErr w:type="spellStart"/>
      <w:r w:rsidRPr="007122AB">
        <w:rPr>
          <w:rFonts w:ascii="Times New Roman" w:hAnsi="Times New Roman"/>
          <w:color w:val="000000" w:themeColor="text1"/>
          <w:sz w:val="16"/>
          <w:szCs w:val="16"/>
        </w:rPr>
        <w:t>ры</w:t>
      </w:r>
      <w:proofErr w:type="spellEnd"/>
      <w:r w:rsidRPr="007122AB">
        <w:rPr>
          <w:rFonts w:ascii="Times New Roman" w:hAnsi="Times New Roman"/>
          <w:color w:val="000000" w:themeColor="text1"/>
          <w:sz w:val="16"/>
          <w:szCs w:val="16"/>
        </w:rPr>
        <w:t xml:space="preserve"> и основные работники (в к. 1930-х - н. 1940-х гг.).: </w:t>
      </w:r>
      <w:proofErr w:type="spellStart"/>
      <w:r w:rsidRPr="007122AB">
        <w:rPr>
          <w:rFonts w:ascii="Times New Roman" w:hAnsi="Times New Roman"/>
          <w:color w:val="000000" w:themeColor="text1"/>
          <w:sz w:val="16"/>
          <w:szCs w:val="16"/>
        </w:rPr>
        <w:t>И.П.Шебанов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А.И.Шульгин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И.И.Торопов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Н.А.Рубин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Г.М.Можаровский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КБ) и </w:t>
      </w:r>
      <w:proofErr w:type="spellStart"/>
      <w:r w:rsidRPr="007122AB">
        <w:rPr>
          <w:rFonts w:ascii="Times New Roman" w:hAnsi="Times New Roman"/>
          <w:color w:val="000000" w:themeColor="text1"/>
          <w:sz w:val="16"/>
          <w:szCs w:val="16"/>
        </w:rPr>
        <w:t>И.В.Веневидов</w:t>
      </w:r>
      <w:proofErr w:type="spellEnd"/>
      <w:r w:rsidRPr="007122AB">
        <w:rPr>
          <w:rFonts w:ascii="Times New Roman" w:hAnsi="Times New Roman"/>
          <w:color w:val="000000" w:themeColor="text1"/>
          <w:sz w:val="16"/>
          <w:szCs w:val="16"/>
        </w:rPr>
        <w:t xml:space="preserve"> (нач. КБ), </w:t>
      </w:r>
      <w:proofErr w:type="spellStart"/>
      <w:r w:rsidRPr="007122AB">
        <w:rPr>
          <w:rFonts w:ascii="Times New Roman" w:hAnsi="Times New Roman"/>
          <w:color w:val="000000" w:themeColor="text1"/>
          <w:sz w:val="16"/>
          <w:szCs w:val="16"/>
        </w:rPr>
        <w:t>В.И.Ермилов</w:t>
      </w:r>
      <w:proofErr w:type="spellEnd"/>
      <w:r w:rsidRPr="007122AB">
        <w:rPr>
          <w:rFonts w:ascii="Times New Roman" w:hAnsi="Times New Roman"/>
          <w:color w:val="000000" w:themeColor="text1"/>
          <w:sz w:val="16"/>
          <w:szCs w:val="16"/>
        </w:rPr>
        <w:t xml:space="preserve"> (в н. 1942 г. руководил филиалом ОКБ завода №454 НКАП в </w:t>
      </w:r>
      <w:proofErr w:type="spellStart"/>
      <w:r w:rsidRPr="007122AB">
        <w:rPr>
          <w:rFonts w:ascii="Times New Roman" w:hAnsi="Times New Roman"/>
          <w:color w:val="000000" w:themeColor="text1"/>
          <w:sz w:val="16"/>
          <w:szCs w:val="16"/>
        </w:rPr>
        <w:t>г.Москве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Опsnysq</w:t>
      </w:r>
      <w:proofErr w:type="spellEnd"/>
      <w:r w:rsidRPr="007122AB">
        <w:rPr>
          <w:rFonts w:ascii="Times New Roman" w:hAnsi="Times New Roman"/>
          <w:color w:val="000000" w:themeColor="text1"/>
          <w:sz w:val="16"/>
          <w:szCs w:val="16"/>
        </w:rPr>
        <w:t xml:space="preserve"> цех возглавлял </w:t>
      </w:r>
      <w:proofErr w:type="spellStart"/>
      <w:r w:rsidRPr="007122AB">
        <w:rPr>
          <w:rFonts w:ascii="Times New Roman" w:hAnsi="Times New Roman"/>
          <w:color w:val="000000" w:themeColor="text1"/>
          <w:sz w:val="16"/>
          <w:szCs w:val="16"/>
        </w:rPr>
        <w:t>В.Н.Терехов</w:t>
      </w:r>
      <w:proofErr w:type="spellEnd"/>
      <w:r w:rsidRPr="007122AB">
        <w:rPr>
          <w:rFonts w:ascii="Times New Roman" w:hAnsi="Times New Roman"/>
          <w:color w:val="000000" w:themeColor="text1"/>
          <w:sz w:val="16"/>
          <w:szCs w:val="16"/>
        </w:rPr>
        <w:t xml:space="preserve">, далее - </w:t>
      </w:r>
      <w:proofErr w:type="spellStart"/>
      <w:r w:rsidRPr="007122AB">
        <w:rPr>
          <w:rFonts w:ascii="Times New Roman" w:hAnsi="Times New Roman"/>
          <w:color w:val="000000" w:themeColor="text1"/>
          <w:sz w:val="16"/>
          <w:szCs w:val="16"/>
        </w:rPr>
        <w:t>М.Я.Горелик</w:t>
      </w:r>
      <w:proofErr w:type="spellEnd"/>
      <w:r w:rsidRPr="007122AB">
        <w:rPr>
          <w:rFonts w:ascii="Times New Roman" w:hAnsi="Times New Roman"/>
          <w:color w:val="000000" w:themeColor="text1"/>
          <w:sz w:val="16"/>
          <w:szCs w:val="16"/>
        </w:rPr>
        <w:t xml:space="preserve">. До н. 1940-х завод был единственным специализированным заводом по установкам авиационного вооружения, т.к. кадры </w:t>
      </w:r>
      <w:proofErr w:type="spellStart"/>
      <w:r w:rsidRPr="007122AB">
        <w:rPr>
          <w:rFonts w:ascii="Times New Roman" w:hAnsi="Times New Roman"/>
          <w:color w:val="000000" w:themeColor="text1"/>
          <w:sz w:val="16"/>
          <w:szCs w:val="16"/>
        </w:rPr>
        <w:t>вооруженцев</w:t>
      </w:r>
      <w:proofErr w:type="spellEnd"/>
      <w:r w:rsidRPr="007122AB">
        <w:rPr>
          <w:rFonts w:ascii="Times New Roman" w:hAnsi="Times New Roman"/>
          <w:color w:val="000000" w:themeColor="text1"/>
          <w:sz w:val="16"/>
          <w:szCs w:val="16"/>
        </w:rPr>
        <w:t xml:space="preserve"> были разбросаны по самолетостроительным заводам. </w:t>
      </w:r>
    </w:p>
    <w:p w14:paraId="367951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началом ВОВ началось форсированное расширение производства (планировалось даже на правах филиалов заводу передать завод №289 и завод №290 для производства агрегатов авиавооружения).</w:t>
      </w:r>
    </w:p>
    <w:p w14:paraId="672753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и во время ВОВ на заводе №32 были разработаны различные изделия, многие из которых находились в серийном пр-ве: </w:t>
      </w:r>
      <w:proofErr w:type="spellStart"/>
      <w:r w:rsidRPr="007122AB">
        <w:rPr>
          <w:rFonts w:ascii="Times New Roman" w:hAnsi="Times New Roman"/>
          <w:color w:val="000000" w:themeColor="text1"/>
          <w:sz w:val="16"/>
          <w:szCs w:val="16"/>
        </w:rPr>
        <w:t>торпедодержатель</w:t>
      </w:r>
      <w:proofErr w:type="spellEnd"/>
      <w:r w:rsidRPr="007122AB">
        <w:rPr>
          <w:rFonts w:ascii="Times New Roman" w:hAnsi="Times New Roman"/>
          <w:color w:val="000000" w:themeColor="text1"/>
          <w:sz w:val="16"/>
          <w:szCs w:val="16"/>
        </w:rPr>
        <w:t xml:space="preserve"> ТД-32 (1939 г.) для самолета ДБ-3, кассетный бомбодержатель КД-2-438, КД-1-1038 для самолета ББ-1, КД-2-439 для ТБ-7, ББ-1, ББ-22, установки вооружения КД-3-240 и КБ-2-240 для ДБ-240, замки МД-2-40, АСШ-340, лебедки БЛ-3 и БЛ-4 для подъема и подвески АБ, установка ТУР-9 для самолета ."СБ", установки ТУР-МВ-3, МВ-5, держатели КД-1, КД-2, КД-3, Дер-31, Дер-32, Дер-34, Дер-19П и Дер-20П, установки вооружения НУДБ-3 и НУДБ-3Ф для самолета Че-2 и много др. Кроме установок вооружения в пр-ве были прицелы: </w:t>
      </w:r>
      <w:proofErr w:type="spellStart"/>
      <w:r w:rsidRPr="007122AB">
        <w:rPr>
          <w:rFonts w:ascii="Times New Roman" w:hAnsi="Times New Roman"/>
          <w:color w:val="000000" w:themeColor="text1"/>
          <w:sz w:val="16"/>
          <w:szCs w:val="16"/>
        </w:rPr>
        <w:t>бобврдировочные</w:t>
      </w:r>
      <w:proofErr w:type="spellEnd"/>
      <w:r w:rsidRPr="007122AB">
        <w:rPr>
          <w:rFonts w:ascii="Times New Roman" w:hAnsi="Times New Roman"/>
          <w:color w:val="000000" w:themeColor="text1"/>
          <w:sz w:val="16"/>
          <w:szCs w:val="16"/>
        </w:rPr>
        <w:t xml:space="preserve"> ПС-1 (ОПБ-21), ОПБ-2М, -2АМ, -1М, -1АМ, НКПБ-3 и стрелковые МПТ-1, ОПТ-2 (К8-Т), ОП-2Л. Велось производство элементов установок для ракет М-8 (в помощь заводу "Компрессор"), с .7.41 г. началась серия ракетных блоков РО-82 (изд. 2РУ-223). В начале ВОВ осуществлялось изготовление запчастей к старым самолетам Р-5, Р-Z, И-153.</w:t>
      </w:r>
    </w:p>
    <w:p w14:paraId="6AC06D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приказом №1053 от 9.10.41 г. завод эвакуирован в г. Киров на площади строящегося завода №315 НКАП. Эвакуация прошла в две очереди. Здесь оба завода были слиты в единый завод №32 НКАП. </w:t>
      </w:r>
    </w:p>
    <w:p w14:paraId="73480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Директора: с к. 1930-х по 1941 г. - </w:t>
      </w:r>
      <w:proofErr w:type="spellStart"/>
      <w:r w:rsidRPr="007122AB">
        <w:rPr>
          <w:rFonts w:ascii="Times New Roman" w:hAnsi="Times New Roman"/>
          <w:color w:val="000000" w:themeColor="text1"/>
          <w:sz w:val="16"/>
          <w:szCs w:val="16"/>
        </w:rPr>
        <w:t>М.С.Жезлов</w:t>
      </w:r>
      <w:proofErr w:type="spellEnd"/>
      <w:r w:rsidRPr="007122AB">
        <w:rPr>
          <w:rFonts w:ascii="Times New Roman" w:hAnsi="Times New Roman"/>
          <w:color w:val="000000" w:themeColor="text1"/>
          <w:sz w:val="16"/>
          <w:szCs w:val="16"/>
        </w:rPr>
        <w:t xml:space="preserve">, далее </w:t>
      </w:r>
      <w:proofErr w:type="spellStart"/>
      <w:r w:rsidRPr="007122AB">
        <w:rPr>
          <w:rFonts w:ascii="Times New Roman" w:hAnsi="Times New Roman"/>
          <w:color w:val="000000" w:themeColor="text1"/>
          <w:sz w:val="16"/>
          <w:szCs w:val="16"/>
        </w:rPr>
        <w:t>И.А.Соколов</w:t>
      </w:r>
      <w:proofErr w:type="spellEnd"/>
      <w:r w:rsidRPr="007122AB">
        <w:rPr>
          <w:rFonts w:ascii="Times New Roman" w:hAnsi="Times New Roman"/>
          <w:color w:val="000000" w:themeColor="text1"/>
          <w:sz w:val="16"/>
          <w:szCs w:val="16"/>
        </w:rPr>
        <w:t xml:space="preserve"> (с 1941 г., далее и в эвакуации в </w:t>
      </w:r>
      <w:proofErr w:type="spellStart"/>
      <w:r w:rsidRPr="007122AB">
        <w:rPr>
          <w:rFonts w:ascii="Times New Roman" w:hAnsi="Times New Roman"/>
          <w:color w:val="000000" w:themeColor="text1"/>
          <w:sz w:val="16"/>
          <w:szCs w:val="16"/>
        </w:rPr>
        <w:t>г.Кирове</w:t>
      </w:r>
      <w:proofErr w:type="spellEnd"/>
      <w:r w:rsidRPr="007122AB">
        <w:rPr>
          <w:rFonts w:ascii="Times New Roman" w:hAnsi="Times New Roman"/>
          <w:color w:val="000000" w:themeColor="text1"/>
          <w:sz w:val="16"/>
          <w:szCs w:val="16"/>
        </w:rPr>
        <w:t xml:space="preserve">). Позже объединенный завод №32 в Кирове возглавляли - </w:t>
      </w:r>
      <w:proofErr w:type="spellStart"/>
      <w:r w:rsidRPr="007122AB">
        <w:rPr>
          <w:rFonts w:ascii="Times New Roman" w:hAnsi="Times New Roman"/>
          <w:color w:val="000000" w:themeColor="text1"/>
          <w:sz w:val="16"/>
          <w:szCs w:val="16"/>
        </w:rPr>
        <w:t>С.Л.Ребенко</w:t>
      </w:r>
      <w:proofErr w:type="spellEnd"/>
      <w:r w:rsidRPr="007122AB">
        <w:rPr>
          <w:rFonts w:ascii="Times New Roman" w:hAnsi="Times New Roman"/>
          <w:color w:val="000000" w:themeColor="text1"/>
          <w:sz w:val="16"/>
          <w:szCs w:val="16"/>
        </w:rPr>
        <w:t xml:space="preserve"> (с к. 1941-43г), </w:t>
      </w:r>
      <w:proofErr w:type="spellStart"/>
      <w:r w:rsidRPr="007122AB">
        <w:rPr>
          <w:rFonts w:ascii="Times New Roman" w:hAnsi="Times New Roman"/>
          <w:color w:val="000000" w:themeColor="text1"/>
          <w:sz w:val="16"/>
          <w:szCs w:val="16"/>
        </w:rPr>
        <w:t>С.А.Горюнов</w:t>
      </w:r>
      <w:proofErr w:type="spellEnd"/>
      <w:r w:rsidRPr="007122AB">
        <w:rPr>
          <w:rFonts w:ascii="Times New Roman" w:hAnsi="Times New Roman"/>
          <w:color w:val="000000" w:themeColor="text1"/>
          <w:sz w:val="16"/>
          <w:szCs w:val="16"/>
        </w:rPr>
        <w:t xml:space="preserve"> (1944 г.). </w:t>
      </w:r>
    </w:p>
    <w:p w14:paraId="2C56E1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ВОВ при заводе было образовано и действовало </w:t>
      </w:r>
      <w:proofErr w:type="spellStart"/>
      <w:r w:rsidRPr="007122AB">
        <w:rPr>
          <w:rFonts w:ascii="Times New Roman" w:hAnsi="Times New Roman"/>
          <w:color w:val="000000" w:themeColor="text1"/>
          <w:sz w:val="16"/>
          <w:szCs w:val="16"/>
        </w:rPr>
        <w:t>крупеое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вооруженческое</w:t>
      </w:r>
      <w:proofErr w:type="spellEnd"/>
      <w:r w:rsidRPr="007122AB">
        <w:rPr>
          <w:rFonts w:ascii="Times New Roman" w:hAnsi="Times New Roman"/>
          <w:color w:val="000000" w:themeColor="text1"/>
          <w:sz w:val="16"/>
          <w:szCs w:val="16"/>
        </w:rPr>
        <w:t xml:space="preserve"> Конструкторские бюро. Сначала действовали конструкторские бригады, в 1938 г. объединенные в ОКО. В составе ОКО работали КБ </w:t>
      </w:r>
      <w:proofErr w:type="spellStart"/>
      <w:r w:rsidRPr="007122AB">
        <w:rPr>
          <w:rFonts w:ascii="Times New Roman" w:hAnsi="Times New Roman"/>
          <w:color w:val="000000" w:themeColor="text1"/>
          <w:sz w:val="16"/>
          <w:szCs w:val="16"/>
        </w:rPr>
        <w:t>А.И.Шульгина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Г.М.Можаровского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И.В.Веневидова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И.П.Шебанова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И.И.Торопова</w:t>
      </w:r>
      <w:proofErr w:type="spellEnd"/>
      <w:r w:rsidRPr="007122AB">
        <w:rPr>
          <w:rFonts w:ascii="Times New Roman" w:hAnsi="Times New Roman"/>
          <w:color w:val="000000" w:themeColor="text1"/>
          <w:sz w:val="16"/>
          <w:szCs w:val="16"/>
        </w:rPr>
        <w:t xml:space="preserve">. Приказом по НКАП №219 от 17.5.40 г. на заводе были закреплены три бюро в составе ОКО (кроме КБ </w:t>
      </w:r>
      <w:proofErr w:type="spellStart"/>
      <w:r w:rsidRPr="007122AB">
        <w:rPr>
          <w:rFonts w:ascii="Times New Roman" w:hAnsi="Times New Roman"/>
          <w:color w:val="000000" w:themeColor="text1"/>
          <w:sz w:val="16"/>
          <w:szCs w:val="16"/>
        </w:rPr>
        <w:t>И.П.Шебанова</w:t>
      </w:r>
      <w:proofErr w:type="spellEnd"/>
      <w:r w:rsidRPr="007122AB">
        <w:rPr>
          <w:rFonts w:ascii="Times New Roman" w:hAnsi="Times New Roman"/>
          <w:color w:val="000000" w:themeColor="text1"/>
          <w:sz w:val="16"/>
          <w:szCs w:val="16"/>
        </w:rPr>
        <w:t xml:space="preserve">, переведенного на др. завод). В соответствии с приказом по 7ГУ №11/13 от 13.3.41 г. ОКО (отдел №1), руководимый начальником </w:t>
      </w:r>
      <w:proofErr w:type="spellStart"/>
      <w:r w:rsidRPr="007122AB">
        <w:rPr>
          <w:rFonts w:ascii="Times New Roman" w:hAnsi="Times New Roman"/>
          <w:color w:val="000000" w:themeColor="text1"/>
          <w:sz w:val="16"/>
          <w:szCs w:val="16"/>
        </w:rPr>
        <w:t>Б.К.Соколовым</w:t>
      </w:r>
      <w:proofErr w:type="spellEnd"/>
      <w:r w:rsidRPr="007122AB">
        <w:rPr>
          <w:rFonts w:ascii="Times New Roman" w:hAnsi="Times New Roman"/>
          <w:color w:val="000000" w:themeColor="text1"/>
          <w:sz w:val="16"/>
          <w:szCs w:val="16"/>
        </w:rPr>
        <w:t xml:space="preserve">, был реорганизован и из него выделились на самостоятельный </w:t>
      </w:r>
      <w:proofErr w:type="spellStart"/>
      <w:r w:rsidRPr="007122AB">
        <w:rPr>
          <w:rFonts w:ascii="Times New Roman" w:hAnsi="Times New Roman"/>
          <w:color w:val="000000" w:themeColor="text1"/>
          <w:sz w:val="16"/>
          <w:szCs w:val="16"/>
        </w:rPr>
        <w:t>балланс</w:t>
      </w:r>
      <w:proofErr w:type="spellEnd"/>
      <w:r w:rsidRPr="007122AB">
        <w:rPr>
          <w:rFonts w:ascii="Times New Roman" w:hAnsi="Times New Roman"/>
          <w:color w:val="000000" w:themeColor="text1"/>
          <w:sz w:val="16"/>
          <w:szCs w:val="16"/>
        </w:rPr>
        <w:t xml:space="preserve"> три </w:t>
      </w:r>
      <w:proofErr w:type="spellStart"/>
      <w:r w:rsidRPr="007122AB">
        <w:rPr>
          <w:rFonts w:ascii="Times New Roman" w:hAnsi="Times New Roman"/>
          <w:color w:val="000000" w:themeColor="text1"/>
          <w:sz w:val="16"/>
          <w:szCs w:val="16"/>
        </w:rPr>
        <w:t>отдельнык</w:t>
      </w:r>
      <w:proofErr w:type="spellEnd"/>
      <w:r w:rsidRPr="007122AB">
        <w:rPr>
          <w:rFonts w:ascii="Times New Roman" w:hAnsi="Times New Roman"/>
          <w:color w:val="000000" w:themeColor="text1"/>
          <w:sz w:val="16"/>
          <w:szCs w:val="16"/>
        </w:rPr>
        <w:t xml:space="preserve"> конструкторских бюро с базированием на заводе. </w:t>
      </w:r>
    </w:p>
    <w:p w14:paraId="1C280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КБ-1 завода №32 НКАП (ОКБ-1-32) возглавлял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А.И.Шульгина</w:t>
      </w:r>
      <w:proofErr w:type="spellEnd"/>
      <w:r w:rsidRPr="007122AB">
        <w:rPr>
          <w:rFonts w:ascii="Times New Roman" w:hAnsi="Times New Roman"/>
          <w:color w:val="000000" w:themeColor="text1"/>
          <w:sz w:val="16"/>
          <w:szCs w:val="16"/>
        </w:rPr>
        <w:t xml:space="preserve">. Сначала это бригада №13 в КОСОС ЦАГИ, которая была переведена на серийный завод №32 в 1936 г. До .3.41 г. это КБ-1 в составе ОКО завода, после выделено в самостоятельное КБ-1 при заводе. Работало в предвоенные годы над разработкой замков Дер-19п, Дер-20п, Дер-21, установок РС-82 и -132, кассетам для зажигательных АБ. В окт. 1941 г. (приказ по 7ГУ №32/35 от 13.10.41 г.) КБ-1 </w:t>
      </w:r>
      <w:proofErr w:type="spellStart"/>
      <w:r w:rsidRPr="007122AB">
        <w:rPr>
          <w:rFonts w:ascii="Times New Roman" w:hAnsi="Times New Roman"/>
          <w:color w:val="000000" w:themeColor="text1"/>
          <w:sz w:val="16"/>
          <w:szCs w:val="16"/>
        </w:rPr>
        <w:t>А.И.Шульгина</w:t>
      </w:r>
      <w:proofErr w:type="spellEnd"/>
      <w:r w:rsidRPr="007122AB">
        <w:rPr>
          <w:rFonts w:ascii="Times New Roman" w:hAnsi="Times New Roman"/>
          <w:color w:val="000000" w:themeColor="text1"/>
          <w:sz w:val="16"/>
          <w:szCs w:val="16"/>
        </w:rPr>
        <w:t xml:space="preserve"> вместе с заводом </w:t>
      </w:r>
      <w:r w:rsidRPr="007122AB">
        <w:rPr>
          <w:rFonts w:ascii="Times New Roman" w:hAnsi="Times New Roman"/>
          <w:color w:val="000000" w:themeColor="text1"/>
          <w:sz w:val="16"/>
          <w:szCs w:val="16"/>
        </w:rPr>
        <w:lastRenderedPageBreak/>
        <w:t xml:space="preserve">№32 отправили в эвакуацию в </w:t>
      </w:r>
      <w:proofErr w:type="spellStart"/>
      <w:r w:rsidRPr="007122AB">
        <w:rPr>
          <w:rFonts w:ascii="Times New Roman" w:hAnsi="Times New Roman"/>
          <w:color w:val="000000" w:themeColor="text1"/>
          <w:sz w:val="16"/>
          <w:szCs w:val="16"/>
        </w:rPr>
        <w:t>г.Киров</w:t>
      </w:r>
      <w:proofErr w:type="spellEnd"/>
      <w:r w:rsidRPr="007122AB">
        <w:rPr>
          <w:rFonts w:ascii="Times New Roman" w:hAnsi="Times New Roman"/>
          <w:color w:val="000000" w:themeColor="text1"/>
          <w:sz w:val="16"/>
          <w:szCs w:val="16"/>
        </w:rPr>
        <w:t xml:space="preserve"> на завод №315 НКАП. В н. 1942 г. (приказ №146 от 21.2.42 г.) часть ОКБ-1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А.И.Шульгина</w:t>
      </w:r>
      <w:proofErr w:type="spellEnd"/>
      <w:r w:rsidRPr="007122AB">
        <w:rPr>
          <w:rFonts w:ascii="Times New Roman" w:hAnsi="Times New Roman"/>
          <w:color w:val="000000" w:themeColor="text1"/>
          <w:sz w:val="16"/>
          <w:szCs w:val="16"/>
        </w:rPr>
        <w:t xml:space="preserve"> (33 чел.) была переведена в </w:t>
      </w:r>
      <w:proofErr w:type="spellStart"/>
      <w:r w:rsidRPr="007122AB">
        <w:rPr>
          <w:rFonts w:ascii="Times New Roman" w:hAnsi="Times New Roman"/>
          <w:color w:val="000000" w:themeColor="text1"/>
          <w:sz w:val="16"/>
          <w:szCs w:val="16"/>
        </w:rPr>
        <w:t>г.Москву</w:t>
      </w:r>
      <w:proofErr w:type="spellEnd"/>
      <w:r w:rsidRPr="007122AB">
        <w:rPr>
          <w:rFonts w:ascii="Times New Roman" w:hAnsi="Times New Roman"/>
          <w:color w:val="000000" w:themeColor="text1"/>
          <w:sz w:val="16"/>
          <w:szCs w:val="16"/>
        </w:rPr>
        <w:t xml:space="preserve"> и вошла в состав вновь образованного ОКБ завода №43 НКАП (см. ОАО "Дукс"). </w:t>
      </w:r>
      <w:proofErr w:type="spellStart"/>
      <w:r w:rsidRPr="007122AB">
        <w:rPr>
          <w:rFonts w:ascii="Times New Roman" w:hAnsi="Times New Roman"/>
          <w:color w:val="000000" w:themeColor="text1"/>
          <w:sz w:val="16"/>
          <w:szCs w:val="16"/>
        </w:rPr>
        <w:t>А.И.Шульгин</w:t>
      </w:r>
      <w:proofErr w:type="spellEnd"/>
      <w:r w:rsidRPr="007122AB">
        <w:rPr>
          <w:rFonts w:ascii="Times New Roman" w:hAnsi="Times New Roman"/>
          <w:color w:val="000000" w:themeColor="text1"/>
          <w:sz w:val="16"/>
          <w:szCs w:val="16"/>
        </w:rPr>
        <w:t xml:space="preserve"> назначен </w:t>
      </w:r>
      <w:proofErr w:type="spellStart"/>
      <w:r w:rsidRPr="007122AB">
        <w:rPr>
          <w:rFonts w:ascii="Times New Roman" w:hAnsi="Times New Roman"/>
          <w:color w:val="000000" w:themeColor="text1"/>
          <w:sz w:val="16"/>
          <w:szCs w:val="16"/>
        </w:rPr>
        <w:t>Гл.к.Остальной</w:t>
      </w:r>
      <w:proofErr w:type="spellEnd"/>
      <w:r w:rsidRPr="007122AB">
        <w:rPr>
          <w:rFonts w:ascii="Times New Roman" w:hAnsi="Times New Roman"/>
          <w:color w:val="000000" w:themeColor="text1"/>
          <w:sz w:val="16"/>
          <w:szCs w:val="16"/>
        </w:rPr>
        <w:t xml:space="preserve"> состав ОКБ-1 передан заводу №32 (уже в Кирове). </w:t>
      </w:r>
    </w:p>
    <w:p w14:paraId="45D4F2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КБ-2 (сначала КБ-4) завода №32 НКАП (ОКБ-2-32) возглавляли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Г.М.Можаровского</w:t>
      </w:r>
      <w:proofErr w:type="spellEnd"/>
      <w:r w:rsidRPr="007122AB">
        <w:rPr>
          <w:rFonts w:ascii="Times New Roman" w:hAnsi="Times New Roman"/>
          <w:color w:val="000000" w:themeColor="text1"/>
          <w:sz w:val="16"/>
          <w:szCs w:val="16"/>
        </w:rPr>
        <w:t xml:space="preserve"> и начальник </w:t>
      </w:r>
      <w:proofErr w:type="spellStart"/>
      <w:r w:rsidRPr="007122AB">
        <w:rPr>
          <w:rFonts w:ascii="Times New Roman" w:hAnsi="Times New Roman"/>
          <w:color w:val="000000" w:themeColor="text1"/>
          <w:sz w:val="16"/>
          <w:szCs w:val="16"/>
        </w:rPr>
        <w:t>И.В.Веневидова</w:t>
      </w:r>
      <w:proofErr w:type="spellEnd"/>
      <w:r w:rsidRPr="007122AB">
        <w:rPr>
          <w:rFonts w:ascii="Times New Roman" w:hAnsi="Times New Roman"/>
          <w:color w:val="000000" w:themeColor="text1"/>
          <w:sz w:val="16"/>
          <w:szCs w:val="16"/>
        </w:rPr>
        <w:t xml:space="preserve">. Этот конструкторский коллектив по разработке унифицированных пулеметных установок и пушечной батареи переведен в 1936 г. из ВВА им. Жуковского для расширения работ по установкам пулеметно-пушечного вооружения самолетов. На заводе №32 КБ специализировалось на подвижных стрелковых установках. До .3.41 г. это КБ-4 в составе ОКО, потом - КБ-4 выделено в </w:t>
      </w:r>
      <w:proofErr w:type="spellStart"/>
      <w:r w:rsidRPr="007122AB">
        <w:rPr>
          <w:rFonts w:ascii="Times New Roman" w:hAnsi="Times New Roman"/>
          <w:color w:val="000000" w:themeColor="text1"/>
          <w:sz w:val="16"/>
          <w:szCs w:val="16"/>
        </w:rPr>
        <w:t>самостельное</w:t>
      </w:r>
      <w:proofErr w:type="spellEnd"/>
      <w:r w:rsidRPr="007122AB">
        <w:rPr>
          <w:rFonts w:ascii="Times New Roman" w:hAnsi="Times New Roman"/>
          <w:color w:val="000000" w:themeColor="text1"/>
          <w:sz w:val="16"/>
          <w:szCs w:val="16"/>
        </w:rPr>
        <w:t xml:space="preserve"> КБ-2 при заводе. Перед ВОВ создавало пулеметные установки МВ-3 и -5 под 12.7мм пулемет самолета Су-2. В н. ВОВ (еще в Москве) работало над установкой Б-12.7 для самолета ТБ-7. Создана турель ТАТ-УБ для самолета Ер-2, турель пушки ШКАС для самолета Пе-2. Кроме того предложен проект штурмовика МВ ("Комбайн", МоВ-2) в к. 1940 г. с мощным пушечным вооружением. В окт. 1941 г. КБ-2 </w:t>
      </w:r>
      <w:proofErr w:type="spellStart"/>
      <w:r w:rsidRPr="007122AB">
        <w:rPr>
          <w:rFonts w:ascii="Times New Roman" w:hAnsi="Times New Roman"/>
          <w:color w:val="000000" w:themeColor="text1"/>
          <w:sz w:val="16"/>
          <w:szCs w:val="16"/>
        </w:rPr>
        <w:t>Г.М.Можаровского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И.В.Веневидова</w:t>
      </w:r>
      <w:proofErr w:type="spellEnd"/>
      <w:r w:rsidRPr="007122AB">
        <w:rPr>
          <w:rFonts w:ascii="Times New Roman" w:hAnsi="Times New Roman"/>
          <w:color w:val="000000" w:themeColor="text1"/>
          <w:sz w:val="16"/>
          <w:szCs w:val="16"/>
        </w:rPr>
        <w:t xml:space="preserve"> вместе с заводом №32 было эвакуировано в </w:t>
      </w:r>
      <w:proofErr w:type="spellStart"/>
      <w:r w:rsidRPr="007122AB">
        <w:rPr>
          <w:rFonts w:ascii="Times New Roman" w:hAnsi="Times New Roman"/>
          <w:color w:val="000000" w:themeColor="text1"/>
          <w:sz w:val="16"/>
          <w:szCs w:val="16"/>
        </w:rPr>
        <w:t>г.Киров</w:t>
      </w:r>
      <w:proofErr w:type="spellEnd"/>
      <w:r w:rsidRPr="007122AB">
        <w:rPr>
          <w:rFonts w:ascii="Times New Roman" w:hAnsi="Times New Roman"/>
          <w:color w:val="000000" w:themeColor="text1"/>
          <w:sz w:val="16"/>
          <w:szCs w:val="16"/>
        </w:rPr>
        <w:t xml:space="preserve"> на завод №315 НКАП. В н. 1942 г. конструкторская бригада из ОКБ-2 вошла в состав ОКБ завода №43 НКАП. В .5.43 г. основная часть ОКБ-2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Г.М.Можаровского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И.В.Веневидова</w:t>
      </w:r>
      <w:proofErr w:type="spellEnd"/>
      <w:r w:rsidRPr="007122AB">
        <w:rPr>
          <w:rFonts w:ascii="Times New Roman" w:hAnsi="Times New Roman"/>
          <w:color w:val="000000" w:themeColor="text1"/>
          <w:sz w:val="16"/>
          <w:szCs w:val="16"/>
        </w:rPr>
        <w:t xml:space="preserve"> вместе с частью опытного цеха была переведена из </w:t>
      </w:r>
      <w:proofErr w:type="spellStart"/>
      <w:r w:rsidRPr="007122AB">
        <w:rPr>
          <w:rFonts w:ascii="Times New Roman" w:hAnsi="Times New Roman"/>
          <w:color w:val="000000" w:themeColor="text1"/>
          <w:sz w:val="16"/>
          <w:szCs w:val="16"/>
        </w:rPr>
        <w:t>г.Кирова</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г.Москву</w:t>
      </w:r>
      <w:proofErr w:type="spellEnd"/>
      <w:r w:rsidRPr="007122AB">
        <w:rPr>
          <w:rFonts w:ascii="Times New Roman" w:hAnsi="Times New Roman"/>
          <w:color w:val="000000" w:themeColor="text1"/>
          <w:sz w:val="16"/>
          <w:szCs w:val="16"/>
        </w:rPr>
        <w:t xml:space="preserve"> на территорию вновь образованного завода №140 НКАП. Тем же приказом ОКБ-2 было объединено с ОКБ завода №266 НКАП, в единое ОКБ-140 НКАП по электроавтоматике управления с., моторами и вооружением (фактически оба КБ были </w:t>
      </w:r>
      <w:proofErr w:type="spellStart"/>
      <w:r w:rsidRPr="007122AB">
        <w:rPr>
          <w:rFonts w:ascii="Times New Roman" w:hAnsi="Times New Roman"/>
          <w:color w:val="000000" w:themeColor="text1"/>
          <w:sz w:val="16"/>
          <w:szCs w:val="16"/>
        </w:rPr>
        <w:t>производственно</w:t>
      </w:r>
      <w:proofErr w:type="spellEnd"/>
      <w:r w:rsidRPr="007122AB">
        <w:rPr>
          <w:rFonts w:ascii="Times New Roman" w:hAnsi="Times New Roman"/>
          <w:color w:val="000000" w:themeColor="text1"/>
          <w:sz w:val="16"/>
          <w:szCs w:val="16"/>
        </w:rPr>
        <w:t xml:space="preserve"> объединены еще в </w:t>
      </w:r>
      <w:proofErr w:type="spellStart"/>
      <w:r w:rsidRPr="007122AB">
        <w:rPr>
          <w:rFonts w:ascii="Times New Roman" w:hAnsi="Times New Roman"/>
          <w:color w:val="000000" w:themeColor="text1"/>
          <w:sz w:val="16"/>
          <w:szCs w:val="16"/>
        </w:rPr>
        <w:t>г.Кирове</w:t>
      </w:r>
      <w:proofErr w:type="spellEnd"/>
      <w:r w:rsidRPr="007122AB">
        <w:rPr>
          <w:rFonts w:ascii="Times New Roman" w:hAnsi="Times New Roman"/>
          <w:color w:val="000000" w:themeColor="text1"/>
          <w:sz w:val="16"/>
          <w:szCs w:val="16"/>
        </w:rPr>
        <w:t xml:space="preserve"> в ~1942 г.). </w:t>
      </w:r>
    </w:p>
    <w:p w14:paraId="1571D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КБ-3 завода №32 НКАП (ОКБ-3-32, ОКБ-32 НКАП)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И.И.Торопова</w:t>
      </w:r>
      <w:proofErr w:type="spellEnd"/>
      <w:r w:rsidRPr="007122AB">
        <w:rPr>
          <w:rFonts w:ascii="Times New Roman" w:hAnsi="Times New Roman"/>
          <w:color w:val="000000" w:themeColor="text1"/>
          <w:sz w:val="16"/>
          <w:szCs w:val="16"/>
        </w:rPr>
        <w:t xml:space="preserve">. Небольшое КБ начало работать при заводе раньше других опытных бюро с сер. 1930-х. сначала по прицелам для установок пулеметного вооружения. Называлось КБ-4 (до перевода КБ </w:t>
      </w:r>
      <w:proofErr w:type="spellStart"/>
      <w:r w:rsidRPr="007122AB">
        <w:rPr>
          <w:rFonts w:ascii="Times New Roman" w:hAnsi="Times New Roman"/>
          <w:color w:val="000000" w:themeColor="text1"/>
          <w:sz w:val="16"/>
          <w:szCs w:val="16"/>
        </w:rPr>
        <w:t>И.П.Шебанова</w:t>
      </w:r>
      <w:proofErr w:type="spellEnd"/>
      <w:r w:rsidRPr="007122AB">
        <w:rPr>
          <w:rFonts w:ascii="Times New Roman" w:hAnsi="Times New Roman"/>
          <w:color w:val="000000" w:themeColor="text1"/>
          <w:sz w:val="16"/>
          <w:szCs w:val="16"/>
        </w:rPr>
        <w:t xml:space="preserve">), далее КБ-3 в составе ОКО завода. В .3.1941 г. выделено в </w:t>
      </w:r>
      <w:proofErr w:type="spellStart"/>
      <w:r w:rsidRPr="007122AB">
        <w:rPr>
          <w:rFonts w:ascii="Times New Roman" w:hAnsi="Times New Roman"/>
          <w:color w:val="000000" w:themeColor="text1"/>
          <w:sz w:val="16"/>
          <w:szCs w:val="16"/>
        </w:rPr>
        <w:t>самост</w:t>
      </w:r>
      <w:proofErr w:type="spellEnd"/>
      <w:r w:rsidRPr="007122AB">
        <w:rPr>
          <w:rFonts w:ascii="Times New Roman" w:hAnsi="Times New Roman"/>
          <w:color w:val="000000" w:themeColor="text1"/>
          <w:sz w:val="16"/>
          <w:szCs w:val="16"/>
        </w:rPr>
        <w:t xml:space="preserve">. КБ-3 при заводе. Перед ВОВ разработан ряд образцов стрелково-пушечных установок, прицелов. В н. ВОВ создана </w:t>
      </w:r>
      <w:proofErr w:type="spellStart"/>
      <w:r w:rsidRPr="007122AB">
        <w:rPr>
          <w:rFonts w:ascii="Times New Roman" w:hAnsi="Times New Roman"/>
          <w:color w:val="000000" w:themeColor="text1"/>
          <w:sz w:val="16"/>
          <w:szCs w:val="16"/>
        </w:rPr>
        <w:t>турельная</w:t>
      </w:r>
      <w:proofErr w:type="spellEnd"/>
      <w:r w:rsidRPr="007122AB">
        <w:rPr>
          <w:rFonts w:ascii="Times New Roman" w:hAnsi="Times New Roman"/>
          <w:color w:val="000000" w:themeColor="text1"/>
          <w:sz w:val="16"/>
          <w:szCs w:val="16"/>
        </w:rPr>
        <w:t xml:space="preserve"> установка под пулемет БТ для Пе-2. КБ-3 завода №32 НКАП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И.И.Торопова</w:t>
      </w:r>
      <w:proofErr w:type="spellEnd"/>
      <w:r w:rsidRPr="007122AB">
        <w:rPr>
          <w:rFonts w:ascii="Times New Roman" w:hAnsi="Times New Roman"/>
          <w:color w:val="000000" w:themeColor="text1"/>
          <w:sz w:val="16"/>
          <w:szCs w:val="16"/>
        </w:rPr>
        <w:t xml:space="preserve"> в .8.1941 г. было эвакуировано на завод №481 НКАП в </w:t>
      </w:r>
      <w:proofErr w:type="spellStart"/>
      <w:r w:rsidRPr="007122AB">
        <w:rPr>
          <w:rFonts w:ascii="Times New Roman" w:hAnsi="Times New Roman"/>
          <w:color w:val="000000" w:themeColor="text1"/>
          <w:sz w:val="16"/>
          <w:szCs w:val="16"/>
        </w:rPr>
        <w:t>г.Сызрань</w:t>
      </w:r>
      <w:proofErr w:type="spellEnd"/>
      <w:r w:rsidRPr="007122AB">
        <w:rPr>
          <w:rFonts w:ascii="Times New Roman" w:hAnsi="Times New Roman"/>
          <w:color w:val="000000" w:themeColor="text1"/>
          <w:sz w:val="16"/>
          <w:szCs w:val="16"/>
        </w:rPr>
        <w:t xml:space="preserve">. Далее </w:t>
      </w:r>
      <w:proofErr w:type="spellStart"/>
      <w:r w:rsidRPr="007122AB">
        <w:rPr>
          <w:rFonts w:ascii="Times New Roman" w:hAnsi="Times New Roman"/>
          <w:color w:val="000000" w:themeColor="text1"/>
          <w:sz w:val="16"/>
          <w:szCs w:val="16"/>
        </w:rPr>
        <w:t>И.И.Торопов</w:t>
      </w:r>
      <w:proofErr w:type="spellEnd"/>
      <w:r w:rsidRPr="007122AB">
        <w:rPr>
          <w:rFonts w:ascii="Times New Roman" w:hAnsi="Times New Roman"/>
          <w:color w:val="000000" w:themeColor="text1"/>
          <w:sz w:val="16"/>
          <w:szCs w:val="16"/>
        </w:rPr>
        <w:t xml:space="preserve"> был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ОКБ-3 завода №32 НКАП. После 1943 г. ОКБ-3 числилось просто как заводское ОКБ-32. В .8.44 г. ОКБ-32 НКАП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И.И.Торопова</w:t>
      </w:r>
      <w:proofErr w:type="spellEnd"/>
      <w:r w:rsidRPr="007122AB">
        <w:rPr>
          <w:rFonts w:ascii="Times New Roman" w:hAnsi="Times New Roman"/>
          <w:color w:val="000000" w:themeColor="text1"/>
          <w:sz w:val="16"/>
          <w:szCs w:val="16"/>
        </w:rPr>
        <w:t xml:space="preserve"> с оп. цехом в полном составе переведено из </w:t>
      </w:r>
      <w:proofErr w:type="spellStart"/>
      <w:r w:rsidRPr="007122AB">
        <w:rPr>
          <w:rFonts w:ascii="Times New Roman" w:hAnsi="Times New Roman"/>
          <w:color w:val="000000" w:themeColor="text1"/>
          <w:sz w:val="16"/>
          <w:szCs w:val="16"/>
        </w:rPr>
        <w:t>г.Кирова</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г.Москву</w:t>
      </w:r>
      <w:proofErr w:type="spellEnd"/>
      <w:r w:rsidRPr="007122AB">
        <w:rPr>
          <w:rFonts w:ascii="Times New Roman" w:hAnsi="Times New Roman"/>
          <w:color w:val="000000" w:themeColor="text1"/>
          <w:sz w:val="16"/>
          <w:szCs w:val="16"/>
        </w:rPr>
        <w:t xml:space="preserve"> на завод №43 НКАП и слито с ОКБ-43 в единое заводское ОКБ (см. ОАО "Дукс"). </w:t>
      </w:r>
    </w:p>
    <w:p w14:paraId="4C3A6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КБ-3 в ОКО завода №32 НКАП, </w:t>
      </w:r>
      <w:proofErr w:type="spellStart"/>
      <w:r w:rsidRPr="007122AB">
        <w:rPr>
          <w:rFonts w:ascii="Times New Roman" w:hAnsi="Times New Roman"/>
          <w:color w:val="000000" w:themeColor="text1"/>
          <w:sz w:val="16"/>
          <w:szCs w:val="16"/>
        </w:rPr>
        <w:t>ркеоводимое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И.П.Шебановым</w:t>
      </w:r>
      <w:proofErr w:type="spellEnd"/>
      <w:r w:rsidRPr="007122AB">
        <w:rPr>
          <w:rFonts w:ascii="Times New Roman" w:hAnsi="Times New Roman"/>
          <w:color w:val="000000" w:themeColor="text1"/>
          <w:sz w:val="16"/>
          <w:szCs w:val="16"/>
        </w:rPr>
        <w:t xml:space="preserve">. Сначала это бригада №12 КОСОС ЦАГИ по артиллерийско-стрелковым установкам, переведенная в сер. 1936 г. на завод №32. Работы по вооружению и неподвижным стрелковым установкам. В 6.40 г. на вновь принятом в НКАП из системы НКОМ заводе им. КПГ (далее - завод №487 НКАП им. КПГ) был образован Опытный Отдел по проектированию и изготовлению опытных образцов установок арт.-стрелкового вооружения. </w:t>
      </w:r>
      <w:proofErr w:type="spellStart"/>
      <w:r w:rsidRPr="007122AB">
        <w:rPr>
          <w:rFonts w:ascii="Times New Roman" w:hAnsi="Times New Roman"/>
          <w:color w:val="000000" w:themeColor="text1"/>
          <w:sz w:val="16"/>
          <w:szCs w:val="16"/>
        </w:rPr>
        <w:t>Туд</w:t>
      </w:r>
      <w:proofErr w:type="spellEnd"/>
      <w:r w:rsidRPr="007122AB">
        <w:rPr>
          <w:rFonts w:ascii="Times New Roman" w:hAnsi="Times New Roman"/>
          <w:color w:val="000000" w:themeColor="text1"/>
          <w:sz w:val="16"/>
          <w:szCs w:val="16"/>
        </w:rPr>
        <w:t xml:space="preserve"> было переведено в полном составе КБ </w:t>
      </w:r>
      <w:proofErr w:type="spellStart"/>
      <w:r w:rsidRPr="007122AB">
        <w:rPr>
          <w:rFonts w:ascii="Times New Roman" w:hAnsi="Times New Roman"/>
          <w:color w:val="000000" w:themeColor="text1"/>
          <w:sz w:val="16"/>
          <w:szCs w:val="16"/>
        </w:rPr>
        <w:t>И.П.Шебанова</w:t>
      </w:r>
      <w:proofErr w:type="spellEnd"/>
      <w:r w:rsidRPr="007122AB">
        <w:rPr>
          <w:rFonts w:ascii="Times New Roman" w:hAnsi="Times New Roman"/>
          <w:color w:val="000000" w:themeColor="text1"/>
          <w:sz w:val="16"/>
          <w:szCs w:val="16"/>
        </w:rPr>
        <w:t xml:space="preserve">, а также часть </w:t>
      </w:r>
      <w:proofErr w:type="spellStart"/>
      <w:r w:rsidRPr="007122AB">
        <w:rPr>
          <w:rFonts w:ascii="Times New Roman" w:hAnsi="Times New Roman"/>
          <w:color w:val="000000" w:themeColor="text1"/>
          <w:sz w:val="16"/>
          <w:szCs w:val="16"/>
        </w:rPr>
        <w:t>рабоч</w:t>
      </w:r>
      <w:proofErr w:type="spellEnd"/>
      <w:r w:rsidRPr="007122AB">
        <w:rPr>
          <w:rFonts w:ascii="Times New Roman" w:hAnsi="Times New Roman"/>
          <w:color w:val="000000" w:themeColor="text1"/>
          <w:sz w:val="16"/>
          <w:szCs w:val="16"/>
        </w:rPr>
        <w:t xml:space="preserve">., ИТР и необходимого оборудования с завода №32. </w:t>
      </w:r>
    </w:p>
    <w:p w14:paraId="779FD9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№32 под руководством </w:t>
      </w:r>
      <w:proofErr w:type="spellStart"/>
      <w:r w:rsidRPr="007122AB">
        <w:rPr>
          <w:rFonts w:ascii="Times New Roman" w:hAnsi="Times New Roman"/>
          <w:color w:val="000000" w:themeColor="text1"/>
          <w:sz w:val="16"/>
          <w:szCs w:val="16"/>
        </w:rPr>
        <w:t>А.А.Архангельского</w:t>
      </w:r>
      <w:proofErr w:type="spellEnd"/>
      <w:r w:rsidRPr="007122AB">
        <w:rPr>
          <w:rFonts w:ascii="Times New Roman" w:hAnsi="Times New Roman"/>
          <w:color w:val="000000" w:themeColor="text1"/>
          <w:sz w:val="16"/>
          <w:szCs w:val="16"/>
        </w:rPr>
        <w:t xml:space="preserve"> доводился и проход. завод. ЛИ (сер.41 г.) </w:t>
      </w:r>
      <w:proofErr w:type="spellStart"/>
      <w:r w:rsidRPr="007122AB">
        <w:rPr>
          <w:rFonts w:ascii="Times New Roman" w:hAnsi="Times New Roman"/>
          <w:color w:val="000000" w:themeColor="text1"/>
          <w:sz w:val="16"/>
          <w:szCs w:val="16"/>
        </w:rPr>
        <w:t>пикир</w:t>
      </w:r>
      <w:proofErr w:type="spellEnd"/>
      <w:r w:rsidRPr="007122AB">
        <w:rPr>
          <w:rFonts w:ascii="Times New Roman" w:hAnsi="Times New Roman"/>
          <w:color w:val="000000" w:themeColor="text1"/>
          <w:sz w:val="16"/>
          <w:szCs w:val="16"/>
        </w:rPr>
        <w:t xml:space="preserve">. б. СБ-Б1 ("Б"). В нач. ВОВ основная часть коллектива ОКБ </w:t>
      </w:r>
      <w:proofErr w:type="spellStart"/>
      <w:r w:rsidRPr="007122AB">
        <w:rPr>
          <w:rFonts w:ascii="Times New Roman" w:hAnsi="Times New Roman"/>
          <w:color w:val="000000" w:themeColor="text1"/>
          <w:sz w:val="16"/>
          <w:szCs w:val="16"/>
        </w:rPr>
        <w:t>А.А.Архангельского</w:t>
      </w:r>
      <w:proofErr w:type="spellEnd"/>
      <w:r w:rsidRPr="007122AB">
        <w:rPr>
          <w:rFonts w:ascii="Times New Roman" w:hAnsi="Times New Roman"/>
          <w:color w:val="000000" w:themeColor="text1"/>
          <w:sz w:val="16"/>
          <w:szCs w:val="16"/>
        </w:rPr>
        <w:t xml:space="preserve"> была переведена с завода №32 на завод №156 НКАП. </w:t>
      </w:r>
    </w:p>
    <w:p w14:paraId="4A6CE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.10.41 г. (приказ №1073(а) от 20.10.41 г.) было решено организовать на оставленной площади завода в Москве Ремонтные мастерские по установкам вооружения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НКАП. Уже с ноя. 1941 г. на старом месте в </w:t>
      </w:r>
      <w:proofErr w:type="spellStart"/>
      <w:r w:rsidRPr="007122AB">
        <w:rPr>
          <w:rFonts w:ascii="Times New Roman" w:hAnsi="Times New Roman"/>
          <w:color w:val="000000" w:themeColor="text1"/>
          <w:sz w:val="16"/>
          <w:szCs w:val="16"/>
        </w:rPr>
        <w:t>г.Москве</w:t>
      </w:r>
      <w:proofErr w:type="spellEnd"/>
      <w:r w:rsidRPr="007122AB">
        <w:rPr>
          <w:rFonts w:ascii="Times New Roman" w:hAnsi="Times New Roman"/>
          <w:color w:val="000000" w:themeColor="text1"/>
          <w:sz w:val="16"/>
          <w:szCs w:val="16"/>
        </w:rPr>
        <w:t xml:space="preserve"> начало восстанавливаться производство и образован новый завод №43 НКАП с ОКБ-43 (см. ОАО "Дукс"). Из </w:t>
      </w:r>
      <w:proofErr w:type="spellStart"/>
      <w:r w:rsidRPr="007122AB">
        <w:rPr>
          <w:rFonts w:ascii="Times New Roman" w:hAnsi="Times New Roman"/>
          <w:color w:val="000000" w:themeColor="text1"/>
          <w:sz w:val="16"/>
          <w:szCs w:val="16"/>
        </w:rPr>
        <w:t>г.Кирова</w:t>
      </w:r>
      <w:proofErr w:type="spellEnd"/>
      <w:r w:rsidRPr="007122AB">
        <w:rPr>
          <w:rFonts w:ascii="Times New Roman" w:hAnsi="Times New Roman"/>
          <w:color w:val="000000" w:themeColor="text1"/>
          <w:sz w:val="16"/>
          <w:szCs w:val="16"/>
        </w:rPr>
        <w:t xml:space="preserve"> для формирования московского завода была передана часть оборудования и часть личного состава. </w:t>
      </w:r>
    </w:p>
    <w:p w14:paraId="4EAA9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№32 2ГУ, продолжал работать в </w:t>
      </w:r>
      <w:proofErr w:type="spellStart"/>
      <w:r w:rsidRPr="007122AB">
        <w:rPr>
          <w:rFonts w:ascii="Times New Roman" w:hAnsi="Times New Roman"/>
          <w:color w:val="000000" w:themeColor="text1"/>
          <w:sz w:val="16"/>
          <w:szCs w:val="16"/>
        </w:rPr>
        <w:t>г.Кирове</w:t>
      </w:r>
      <w:proofErr w:type="spellEnd"/>
      <w:r w:rsidRPr="007122AB">
        <w:rPr>
          <w:rFonts w:ascii="Times New Roman" w:hAnsi="Times New Roman"/>
          <w:color w:val="000000" w:themeColor="text1"/>
          <w:sz w:val="16"/>
          <w:szCs w:val="16"/>
        </w:rPr>
        <w:t xml:space="preserve">. В годы ВОВ на заводе шло серийное производство держателей Дер-19, Дер-21 для Пе-2, замков МД-З-40 и установок ВУБ-1 для Пе-2, </w:t>
      </w:r>
      <w:proofErr w:type="spellStart"/>
      <w:r w:rsidRPr="007122AB">
        <w:rPr>
          <w:rFonts w:ascii="Times New Roman" w:hAnsi="Times New Roman"/>
          <w:color w:val="000000" w:themeColor="text1"/>
          <w:sz w:val="16"/>
          <w:szCs w:val="16"/>
        </w:rPr>
        <w:t>электросбрасывателей</w:t>
      </w:r>
      <w:proofErr w:type="spellEnd"/>
      <w:r w:rsidRPr="007122AB">
        <w:rPr>
          <w:rFonts w:ascii="Times New Roman" w:hAnsi="Times New Roman"/>
          <w:color w:val="000000" w:themeColor="text1"/>
          <w:sz w:val="16"/>
          <w:szCs w:val="16"/>
        </w:rPr>
        <w:t xml:space="preserve"> ЭСБР-3п, сбрасывателей АСШЛ-340, турелей МВ-3, балок для ракет РС-82, лебедок БЛ-4. </w:t>
      </w:r>
    </w:p>
    <w:p w14:paraId="012A1F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ВОВ продолжено производство установок вооружения, в т.ч. замков к держателям БД3-58-21, АПУ-19 и АПУ-20 под </w:t>
      </w:r>
      <w:proofErr w:type="spellStart"/>
      <w:r w:rsidRPr="007122AB">
        <w:rPr>
          <w:rFonts w:ascii="Times New Roman" w:hAnsi="Times New Roman"/>
          <w:color w:val="000000" w:themeColor="text1"/>
          <w:sz w:val="16"/>
          <w:szCs w:val="16"/>
        </w:rPr>
        <w:t>УРвв</w:t>
      </w:r>
      <w:proofErr w:type="spellEnd"/>
      <w:r w:rsidRPr="007122AB">
        <w:rPr>
          <w:rFonts w:ascii="Times New Roman" w:hAnsi="Times New Roman"/>
          <w:color w:val="000000" w:themeColor="text1"/>
          <w:sz w:val="16"/>
          <w:szCs w:val="16"/>
        </w:rPr>
        <w:t xml:space="preserve"> К-5М. Завод освоил и выпускал ряд новых изделий для авиации: лебёдки БЛ-47 для подъёмных грузов, </w:t>
      </w:r>
      <w:proofErr w:type="spellStart"/>
      <w:r w:rsidRPr="007122AB">
        <w:rPr>
          <w:rFonts w:ascii="Times New Roman" w:hAnsi="Times New Roman"/>
          <w:color w:val="000000" w:themeColor="text1"/>
          <w:sz w:val="16"/>
          <w:szCs w:val="16"/>
        </w:rPr>
        <w:t>турельную</w:t>
      </w:r>
      <w:proofErr w:type="spellEnd"/>
      <w:r w:rsidRPr="007122AB">
        <w:rPr>
          <w:rFonts w:ascii="Times New Roman" w:hAnsi="Times New Roman"/>
          <w:color w:val="000000" w:themeColor="text1"/>
          <w:sz w:val="16"/>
          <w:szCs w:val="16"/>
        </w:rPr>
        <w:t xml:space="preserve"> кормовую установку ИЛК-6 для самолётов ИЛ-28. </w:t>
      </w:r>
    </w:p>
    <w:p w14:paraId="480027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1960 г. развёртывается производство ракетной техники. Начат серийный выпуск зенитных управляемых ракет 5В24, 4К90, 5В27, 9МЗЗ, 9МЗЗМ2, 5В27Д, 9МЗЗО. К </w:t>
      </w:r>
      <w:proofErr w:type="spellStart"/>
      <w:r w:rsidRPr="007122AB">
        <w:rPr>
          <w:rFonts w:ascii="Times New Roman" w:hAnsi="Times New Roman"/>
          <w:color w:val="000000" w:themeColor="text1"/>
          <w:sz w:val="16"/>
          <w:szCs w:val="16"/>
        </w:rPr>
        <w:t>к</w:t>
      </w:r>
      <w:proofErr w:type="spellEnd"/>
      <w:r w:rsidRPr="007122AB">
        <w:rPr>
          <w:rFonts w:ascii="Times New Roman" w:hAnsi="Times New Roman"/>
          <w:color w:val="000000" w:themeColor="text1"/>
          <w:sz w:val="16"/>
          <w:szCs w:val="16"/>
        </w:rPr>
        <w:t>. 1990-х гг. число типов ЗУР находившихся и находящихся в производстве на предприятии составило 14.</w:t>
      </w:r>
    </w:p>
    <w:p w14:paraId="49052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Освоены стреляющие механизмы КСМ к катапультным креслам, поставлены на серийный выпуск кресла КМ-1. В 1971 г. запущены в серию унифицированные для всех боевых самолётов истребительной и штурмовой авиации СССР кресла К-36. Освоено производство грузоподъемного оборудования самолетов (лебедки, системы, комплексы грузоподъемностью 500-3000 кг), установок стрелково-пушечное вооружения, балочных держателей и замков для подвески и размещения бомбового вооружения и пусковых установок. </w:t>
      </w:r>
    </w:p>
    <w:p w14:paraId="668A69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Созданы имитаторы воздушной цели 9Ф841 "Саман" (на базе ЗУР "Оса-АКМ") и ракета-мишень РМ-5В27А. </w:t>
      </w:r>
    </w:p>
    <w:p w14:paraId="66F947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период 1960-90-х годов именовался - КМСЗ им. XX партсъезда и КМПО им. XX партсъезда. В структуре объединения появились филиалы и дочерними подразделениями: «Мураши», </w:t>
      </w:r>
      <w:proofErr w:type="spellStart"/>
      <w:r w:rsidRPr="007122AB">
        <w:rPr>
          <w:rFonts w:ascii="Times New Roman" w:hAnsi="Times New Roman"/>
          <w:color w:val="000000" w:themeColor="text1"/>
          <w:sz w:val="16"/>
          <w:szCs w:val="16"/>
        </w:rPr>
        <w:t>Гирсовский</w:t>
      </w:r>
      <w:proofErr w:type="spellEnd"/>
      <w:r w:rsidRPr="007122AB">
        <w:rPr>
          <w:rFonts w:ascii="Times New Roman" w:hAnsi="Times New Roman"/>
          <w:color w:val="000000" w:themeColor="text1"/>
          <w:sz w:val="16"/>
          <w:szCs w:val="16"/>
        </w:rPr>
        <w:t xml:space="preserve"> завод пиротехнических средств (ГЗПС). </w:t>
      </w:r>
    </w:p>
    <w:p w14:paraId="04272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 1990-х гг. названия КМПО им. XX партсъезда заменено на Вятское машиностроительное предприятие "АВИТЕК". </w:t>
      </w:r>
    </w:p>
    <w:p w14:paraId="6D641F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1999 году меняется название на ФГУП "ВМП "АВИТЕК" (Авиационные Технологии и Конструирование). В 2001 г. предприятие акционировано. </w:t>
      </w:r>
    </w:p>
    <w:p w14:paraId="351893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Сегодня предлагаются: ракетные зенитные модули 9М334 для комплекса «ТОР-М1», кресла К-36 и К-ЗбД-3,5, ракеты-мишени, услуги по обслуживанию и ремонту ранее поставленной военной техники. </w:t>
      </w:r>
    </w:p>
    <w:p w14:paraId="0AF23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Генеральный директор - Смердов Владимир Сергеевич. </w:t>
      </w:r>
    </w:p>
    <w:p w14:paraId="092AC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Авитек</w:t>
      </w:r>
      <w:proofErr w:type="spellEnd"/>
      <w:r w:rsidRPr="007122AB">
        <w:rPr>
          <w:rFonts w:ascii="Times New Roman" w:hAnsi="Times New Roman"/>
          <w:color w:val="000000" w:themeColor="text1"/>
          <w:sz w:val="16"/>
          <w:szCs w:val="16"/>
        </w:rPr>
        <w:t>, Вятское машиностроительное предприятие, ОАО</w:t>
      </w:r>
    </w:p>
    <w:p w14:paraId="48CA0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ранее - Завод №32, Кировский завод им. ХХ партсъезда, ГП Вятское машиностроительное предприятие "</w:t>
      </w:r>
      <w:proofErr w:type="spellStart"/>
      <w:r w:rsidRPr="007122AB">
        <w:rPr>
          <w:rFonts w:ascii="Times New Roman" w:hAnsi="Times New Roman"/>
          <w:color w:val="000000" w:themeColor="text1"/>
          <w:sz w:val="16"/>
          <w:szCs w:val="16"/>
        </w:rPr>
        <w:t>Авитек</w:t>
      </w:r>
      <w:proofErr w:type="spellEnd"/>
      <w:r w:rsidRPr="007122AB">
        <w:rPr>
          <w:rFonts w:ascii="Times New Roman" w:hAnsi="Times New Roman"/>
          <w:color w:val="000000" w:themeColor="text1"/>
          <w:sz w:val="16"/>
          <w:szCs w:val="16"/>
        </w:rPr>
        <w:t xml:space="preserve">" </w:t>
      </w:r>
    </w:p>
    <w:p w14:paraId="0A4031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адрес - 610047, Россия, </w:t>
      </w:r>
      <w:proofErr w:type="spellStart"/>
      <w:r w:rsidRPr="007122AB">
        <w:rPr>
          <w:rFonts w:ascii="Times New Roman" w:hAnsi="Times New Roman"/>
          <w:color w:val="000000" w:themeColor="text1"/>
          <w:sz w:val="16"/>
          <w:szCs w:val="16"/>
        </w:rPr>
        <w:t>г.Киров</w:t>
      </w:r>
      <w:proofErr w:type="spellEnd"/>
      <w:r w:rsidRPr="007122AB">
        <w:rPr>
          <w:rFonts w:ascii="Times New Roman" w:hAnsi="Times New Roman"/>
          <w:color w:val="000000" w:themeColor="text1"/>
          <w:sz w:val="16"/>
          <w:szCs w:val="16"/>
        </w:rPr>
        <w:t xml:space="preserve">, Октябрьский пр-т, 1а, тел/факс: (8332) 232-522, </w:t>
      </w:r>
      <w:proofErr w:type="spellStart"/>
      <w:r w:rsidRPr="007122AB">
        <w:rPr>
          <w:rFonts w:ascii="Times New Roman" w:hAnsi="Times New Roman"/>
          <w:color w:val="000000" w:themeColor="text1"/>
          <w:sz w:val="16"/>
          <w:szCs w:val="16"/>
        </w:rPr>
        <w:t>e-mail</w:t>
      </w:r>
      <w:proofErr w:type="spellEnd"/>
      <w:r w:rsidRPr="007122AB">
        <w:rPr>
          <w:rFonts w:ascii="Times New Roman" w:hAnsi="Times New Roman"/>
          <w:color w:val="000000" w:themeColor="text1"/>
          <w:sz w:val="16"/>
          <w:szCs w:val="16"/>
        </w:rPr>
        <w:t xml:space="preserve">: info@vmpavitec.ru, http://avitec.kirov.ru </w:t>
      </w:r>
    </w:p>
    <w:p w14:paraId="5BC310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5C59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w:t>
      </w:r>
      <w:proofErr w:type="spellStart"/>
      <w:r w:rsidRPr="007122AB">
        <w:rPr>
          <w:rFonts w:ascii="Times New Roman" w:hAnsi="Times New Roman"/>
          <w:color w:val="000000" w:themeColor="text1"/>
          <w:sz w:val="16"/>
          <w:szCs w:val="16"/>
        </w:rPr>
        <w:t>Авиахима</w:t>
      </w:r>
      <w:proofErr w:type="spellEnd"/>
      <w:r w:rsidRPr="007122AB">
        <w:rPr>
          <w:rFonts w:ascii="Times New Roman" w:hAnsi="Times New Roman"/>
          <w:color w:val="000000" w:themeColor="text1"/>
          <w:sz w:val="16"/>
          <w:szCs w:val="16"/>
        </w:rPr>
        <w:t xml:space="preserve">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22ED4D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CC4A50"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октября 1931 на за</w:t>
      </w:r>
      <w:r w:rsidRPr="007122AB">
        <w:rPr>
          <w:rFonts w:ascii="Times New Roman" w:hAnsi="Times New Roman"/>
          <w:color w:val="000000" w:themeColor="text1"/>
          <w:sz w:val="16"/>
          <w:szCs w:val="16"/>
        </w:rPr>
        <w:softHyphen/>
        <w:t>воде №39 БОК велось изготовление гон</w:t>
      </w:r>
      <w:r w:rsidRPr="007122AB">
        <w:rPr>
          <w:rFonts w:ascii="Times New Roman" w:hAnsi="Times New Roman"/>
          <w:color w:val="000000" w:themeColor="text1"/>
          <w:sz w:val="16"/>
          <w:szCs w:val="16"/>
        </w:rPr>
        <w:softHyphen/>
        <w:t>долы стратостата «СССР», а стратосферный самолет строился на заводе опытных конструкций (ЗОК) ЦАГИ, вступившем в строй 1 января 1932 г. При этом наиболее важным делом счи</w:t>
      </w:r>
      <w:r w:rsidRPr="007122AB">
        <w:rPr>
          <w:rFonts w:ascii="Times New Roman" w:hAnsi="Times New Roman"/>
          <w:color w:val="000000" w:themeColor="text1"/>
          <w:sz w:val="16"/>
          <w:szCs w:val="16"/>
        </w:rPr>
        <w:softHyphen/>
        <w:t>талось разрешение проблемы самолета, способного осуществлять длительные полеты на больших высотах. Полеты таких самолетов (стратопланов) предполагались на высотах 10—12 км, где разряженная атмосфера позволя</w:t>
      </w:r>
      <w:r w:rsidRPr="007122AB">
        <w:rPr>
          <w:rFonts w:ascii="Times New Roman" w:hAnsi="Times New Roman"/>
          <w:color w:val="000000" w:themeColor="text1"/>
          <w:sz w:val="16"/>
          <w:szCs w:val="16"/>
        </w:rPr>
        <w:softHyphen/>
        <w:t>ла развивать большие полетные скорости и не зависеть от капризов погоды, поэтому особенно заманчивыми они представлялись для военного применения.</w:t>
      </w:r>
    </w:p>
    <w:p w14:paraId="614BA39F"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создании стратоплана предстояло решить следую</w:t>
      </w:r>
      <w:r w:rsidRPr="007122AB">
        <w:rPr>
          <w:rFonts w:ascii="Times New Roman" w:hAnsi="Times New Roman"/>
          <w:color w:val="000000" w:themeColor="text1"/>
          <w:sz w:val="16"/>
          <w:szCs w:val="16"/>
        </w:rPr>
        <w:softHyphen/>
        <w:t>щие задачи:</w:t>
      </w:r>
    </w:p>
    <w:p w14:paraId="2DD0EC52"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исследование аэродинамики высотных аппаратов;</w:t>
      </w:r>
    </w:p>
    <w:p w14:paraId="4306CC4C"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 герметичной кабины экипажа;</w:t>
      </w:r>
    </w:p>
    <w:p w14:paraId="76D85686"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осуществление проводки органов управления из гер</w:t>
      </w:r>
      <w:r w:rsidRPr="007122AB">
        <w:rPr>
          <w:rFonts w:ascii="Times New Roman" w:hAnsi="Times New Roman"/>
          <w:color w:val="000000" w:themeColor="text1"/>
          <w:sz w:val="16"/>
          <w:szCs w:val="16"/>
        </w:rPr>
        <w:softHyphen/>
        <w:t>мокабины;</w:t>
      </w:r>
    </w:p>
    <w:p w14:paraId="647C477E"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обеспечение работы приборного оборудования в гер</w:t>
      </w:r>
      <w:r w:rsidRPr="007122AB">
        <w:rPr>
          <w:rFonts w:ascii="Times New Roman" w:hAnsi="Times New Roman"/>
          <w:color w:val="000000" w:themeColor="text1"/>
          <w:sz w:val="16"/>
          <w:szCs w:val="16"/>
        </w:rPr>
        <w:softHyphen/>
        <w:t>мокабине;</w:t>
      </w:r>
    </w:p>
    <w:p w14:paraId="0ECF8D82"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 комфортных условий работы экипажа;</w:t>
      </w:r>
    </w:p>
    <w:p w14:paraId="4B747ACF" w14:textId="77777777" w:rsidR="00C55371" w:rsidRPr="007122AB" w:rsidRDefault="00C553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создание специальной моторной установки, надежно работающей в условиях разреженного воздуха и низких температур (-55°...-70° С) (20363).</w:t>
      </w:r>
    </w:p>
    <w:p w14:paraId="4E983515" w14:textId="77777777" w:rsidR="00C55371" w:rsidRPr="007122AB" w:rsidRDefault="00C55371" w:rsidP="007122AB">
      <w:pPr>
        <w:shd w:val="clear" w:color="auto" w:fill="FFFFFF"/>
        <w:spacing w:after="0" w:line="240" w:lineRule="auto"/>
        <w:jc w:val="both"/>
        <w:rPr>
          <w:rFonts w:ascii="Times New Roman" w:hAnsi="Times New Roman"/>
          <w:color w:val="000000" w:themeColor="text1"/>
          <w:sz w:val="16"/>
          <w:szCs w:val="16"/>
        </w:rPr>
      </w:pPr>
    </w:p>
    <w:p w14:paraId="04CB02D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B3946D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5F00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года первый опытный образец 122-мм пушки, изготовленный в Перми, поступил на полигонные испытания на НИАП. Система поступила с двумя стволами скрепленным с дульным тормозом и </w:t>
      </w:r>
      <w:proofErr w:type="spellStart"/>
      <w:r w:rsidRPr="007122AB">
        <w:rPr>
          <w:rFonts w:ascii="Times New Roman" w:hAnsi="Times New Roman"/>
          <w:color w:val="000000" w:themeColor="text1"/>
          <w:sz w:val="16"/>
          <w:szCs w:val="16"/>
        </w:rPr>
        <w:t>лейнированным</w:t>
      </w:r>
      <w:proofErr w:type="spellEnd"/>
      <w:r w:rsidRPr="007122AB">
        <w:rPr>
          <w:rFonts w:ascii="Times New Roman" w:hAnsi="Times New Roman"/>
          <w:color w:val="000000" w:themeColor="text1"/>
          <w:sz w:val="16"/>
          <w:szCs w:val="16"/>
        </w:rPr>
        <w:t xml:space="preserve"> с дульным тормозом. </w:t>
      </w:r>
      <w:proofErr w:type="spellStart"/>
      <w:r w:rsidRPr="007122AB">
        <w:rPr>
          <w:rFonts w:ascii="Times New Roman" w:hAnsi="Times New Roman"/>
          <w:color w:val="000000" w:themeColor="text1"/>
          <w:sz w:val="16"/>
          <w:szCs w:val="16"/>
        </w:rPr>
        <w:t>Лейнированным</w:t>
      </w:r>
      <w:proofErr w:type="spellEnd"/>
      <w:r w:rsidRPr="007122AB">
        <w:rPr>
          <w:rFonts w:ascii="Times New Roman" w:hAnsi="Times New Roman"/>
          <w:color w:val="000000" w:themeColor="text1"/>
          <w:sz w:val="16"/>
          <w:szCs w:val="16"/>
        </w:rPr>
        <w:t xml:space="preserve"> ствол можно назвать лишь условно, так как кожух был надет в нагретом состоянии и </w:t>
      </w:r>
      <w:proofErr w:type="spellStart"/>
      <w:r w:rsidRPr="007122AB">
        <w:rPr>
          <w:rFonts w:ascii="Times New Roman" w:hAnsi="Times New Roman"/>
          <w:color w:val="000000" w:themeColor="text1"/>
          <w:sz w:val="16"/>
          <w:szCs w:val="16"/>
        </w:rPr>
        <w:t>лейнер</w:t>
      </w:r>
      <w:proofErr w:type="spellEnd"/>
      <w:r w:rsidRPr="007122AB">
        <w:rPr>
          <w:rFonts w:ascii="Times New Roman" w:hAnsi="Times New Roman"/>
          <w:color w:val="000000" w:themeColor="text1"/>
          <w:sz w:val="16"/>
          <w:szCs w:val="16"/>
        </w:rPr>
        <w:t xml:space="preserve"> нельзя было вынуть. Опытный образец пушки был испытан стрельбой в объеме 1525 выстрелов и возкой на дистанцию 500 км со скоростью до 17 км/час (3861).</w:t>
      </w:r>
    </w:p>
    <w:p w14:paraId="5AA2B4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FBD3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КБ № 3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разработало установку в Т-28 двенадцатицилиндрового двигателя М-17 (9527,135).</w:t>
      </w:r>
    </w:p>
    <w:p w14:paraId="0DF1B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E7BB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октября 1931 г. Завод «Красный Путиловец» изготавливал ка</w:t>
      </w:r>
      <w:r w:rsidRPr="007122AB">
        <w:rPr>
          <w:rFonts w:ascii="Times New Roman" w:hAnsi="Times New Roman"/>
          <w:color w:val="000000" w:themeColor="text1"/>
          <w:sz w:val="16"/>
          <w:szCs w:val="16"/>
        </w:rPr>
        <w:softHyphen/>
        <w:t>ретки подвески и бортовые редуктора танка Т-26, а в 1929 г. завод изготавливал шестерни для КПП танков Т-18 (10733,240).</w:t>
      </w:r>
    </w:p>
    <w:p w14:paraId="30FE3EE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0E5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заводом Большевик был изготовлен опытный образец САУ СУ-1 на базе Т-26. Поступил на испытания, которые проходили до декабря 1931 (9527,270).</w:t>
      </w:r>
    </w:p>
    <w:p w14:paraId="1742D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0CDF5B" w14:textId="77777777" w:rsidR="00193905" w:rsidRPr="007122AB" w:rsidRDefault="00193905" w:rsidP="007122AB">
      <w:pPr>
        <w:pStyle w:val="27"/>
        <w:shd w:val="clear" w:color="auto" w:fill="auto"/>
        <w:spacing w:after="0" w:line="240" w:lineRule="auto"/>
        <w:ind w:firstLine="0"/>
        <w:rPr>
          <w:rFonts w:ascii="Times New Roman" w:cs="Times New Roman"/>
          <w:color w:val="000000" w:themeColor="text1"/>
          <w:spacing w:val="0"/>
        </w:rPr>
      </w:pPr>
      <w:r w:rsidRPr="007122AB">
        <w:rPr>
          <w:rFonts w:ascii="Times New Roman" w:cs="Times New Roman"/>
          <w:color w:val="000000" w:themeColor="text1"/>
          <w:spacing w:val="0"/>
        </w:rPr>
        <w:t>В октябре 1931 года 76- мм пушка на шасси танка Т-26 поступила на НИАП для прохождения испытаний.</w:t>
      </w:r>
    </w:p>
    <w:p w14:paraId="37E1A4C3" w14:textId="77777777" w:rsidR="00193905" w:rsidRPr="007122AB" w:rsidRDefault="00193905" w:rsidP="007122AB">
      <w:pPr>
        <w:pStyle w:val="27"/>
        <w:shd w:val="clear" w:color="auto" w:fill="auto"/>
        <w:spacing w:after="0" w:line="240" w:lineRule="auto"/>
        <w:ind w:firstLine="0"/>
        <w:rPr>
          <w:rFonts w:ascii="Times New Roman" w:cs="Times New Roman"/>
          <w:color w:val="000000" w:themeColor="text1"/>
          <w:spacing w:val="0"/>
        </w:rPr>
      </w:pPr>
      <w:r w:rsidRPr="007122AB">
        <w:rPr>
          <w:rFonts w:ascii="Times New Roman" w:cs="Times New Roman"/>
          <w:color w:val="000000" w:themeColor="text1"/>
          <w:spacing w:val="0"/>
        </w:rPr>
        <w:t>Конструктивно СУ-1 относилась к ти</w:t>
      </w:r>
      <w:r w:rsidRPr="007122AB">
        <w:rPr>
          <w:rFonts w:ascii="Times New Roman" w:cs="Times New Roman"/>
          <w:color w:val="000000" w:themeColor="text1"/>
          <w:spacing w:val="0"/>
        </w:rPr>
        <w:softHyphen/>
        <w:t>пу закрытых самоходных установок. Над боевым отделением, совмещенным с от</w:t>
      </w:r>
      <w:r w:rsidRPr="007122AB">
        <w:rPr>
          <w:rFonts w:ascii="Times New Roman" w:cs="Times New Roman"/>
          <w:color w:val="000000" w:themeColor="text1"/>
          <w:spacing w:val="0"/>
        </w:rPr>
        <w:softHyphen/>
        <w:t xml:space="preserve">делением управления, была установлена клепаная рубка коробчатой формы. В бортах рубки имелись двери для посадки и высадки экипажа, а на крыше — </w:t>
      </w:r>
      <w:proofErr w:type="spellStart"/>
      <w:r w:rsidRPr="007122AB">
        <w:rPr>
          <w:rFonts w:ascii="Times New Roman" w:cs="Times New Roman"/>
          <w:color w:val="000000" w:themeColor="text1"/>
          <w:spacing w:val="0"/>
        </w:rPr>
        <w:t>невра</w:t>
      </w:r>
      <w:proofErr w:type="spellEnd"/>
      <w:r w:rsidRPr="007122AB">
        <w:rPr>
          <w:rFonts w:ascii="Times New Roman" w:cs="Times New Roman"/>
          <w:color w:val="000000" w:themeColor="text1"/>
          <w:spacing w:val="0"/>
        </w:rPr>
        <w:t xml:space="preserve">- </w:t>
      </w:r>
      <w:proofErr w:type="spellStart"/>
      <w:r w:rsidRPr="007122AB">
        <w:rPr>
          <w:rFonts w:ascii="Times New Roman" w:cs="Times New Roman"/>
          <w:color w:val="000000" w:themeColor="text1"/>
          <w:spacing w:val="0"/>
        </w:rPr>
        <w:t>щающаяся</w:t>
      </w:r>
      <w:proofErr w:type="spellEnd"/>
      <w:r w:rsidRPr="007122AB">
        <w:rPr>
          <w:rFonts w:ascii="Times New Roman" w:cs="Times New Roman"/>
          <w:color w:val="000000" w:themeColor="text1"/>
          <w:spacing w:val="0"/>
        </w:rPr>
        <w:t xml:space="preserve"> командирская башенка с круглым люком.</w:t>
      </w:r>
    </w:p>
    <w:p w14:paraId="667AACAC" w14:textId="77777777" w:rsidR="00193905" w:rsidRPr="007122AB" w:rsidRDefault="00193905" w:rsidP="007122AB">
      <w:pPr>
        <w:pStyle w:val="27"/>
        <w:shd w:val="clear" w:color="auto" w:fill="auto"/>
        <w:spacing w:after="0" w:line="240" w:lineRule="auto"/>
        <w:ind w:firstLine="0"/>
        <w:rPr>
          <w:rFonts w:ascii="Times New Roman" w:cs="Times New Roman"/>
          <w:color w:val="000000" w:themeColor="text1"/>
          <w:spacing w:val="0"/>
        </w:rPr>
      </w:pPr>
      <w:r w:rsidRPr="007122AB">
        <w:rPr>
          <w:rFonts w:ascii="Times New Roman" w:cs="Times New Roman"/>
          <w:color w:val="000000" w:themeColor="text1"/>
          <w:spacing w:val="0"/>
        </w:rPr>
        <w:lastRenderedPageBreak/>
        <w:t>76-мм полковая пушка обр. 1927 г. с укороченным до 500 — 550 мм откатом была установлена в боевом отделении на тумбе, заимствованной у противоштурмовой пушки обр. 1910 г. Последние со</w:t>
      </w:r>
      <w:r w:rsidRPr="007122AB">
        <w:rPr>
          <w:rFonts w:ascii="Times New Roman" w:cs="Times New Roman"/>
          <w:color w:val="000000" w:themeColor="text1"/>
          <w:spacing w:val="0"/>
        </w:rPr>
        <w:softHyphen/>
        <w:t>стояли на вооружении бронеавтомобилей «</w:t>
      </w:r>
      <w:proofErr w:type="spellStart"/>
      <w:r w:rsidRPr="007122AB">
        <w:rPr>
          <w:rFonts w:ascii="Times New Roman" w:cs="Times New Roman"/>
          <w:color w:val="000000" w:themeColor="text1"/>
          <w:spacing w:val="0"/>
        </w:rPr>
        <w:t>Гарфорд</w:t>
      </w:r>
      <w:proofErr w:type="spellEnd"/>
      <w:r w:rsidRPr="007122AB">
        <w:rPr>
          <w:rFonts w:ascii="Times New Roman" w:cs="Times New Roman"/>
          <w:color w:val="000000" w:themeColor="text1"/>
          <w:spacing w:val="0"/>
        </w:rPr>
        <w:t>» периода Первой мировой вой</w:t>
      </w:r>
      <w:r w:rsidRPr="007122AB">
        <w:rPr>
          <w:rFonts w:ascii="Times New Roman" w:cs="Times New Roman"/>
          <w:color w:val="000000" w:themeColor="text1"/>
          <w:spacing w:val="0"/>
        </w:rPr>
        <w:softHyphen/>
        <w:t>ны. Амбразуру для пушки прорезали в лобовом листе рубки по месту (благо рубка была изготовлена из простой ста</w:t>
      </w:r>
      <w:r w:rsidRPr="007122AB">
        <w:rPr>
          <w:rFonts w:ascii="Times New Roman" w:cs="Times New Roman"/>
          <w:color w:val="000000" w:themeColor="text1"/>
          <w:spacing w:val="0"/>
        </w:rPr>
        <w:softHyphen/>
        <w:t>ли), и она имела слишком большие раз</w:t>
      </w:r>
      <w:r w:rsidRPr="007122AB">
        <w:rPr>
          <w:rFonts w:ascii="Times New Roman" w:cs="Times New Roman"/>
          <w:color w:val="000000" w:themeColor="text1"/>
          <w:spacing w:val="0"/>
        </w:rPr>
        <w:softHyphen/>
        <w:t>меры.</w:t>
      </w:r>
    </w:p>
    <w:p w14:paraId="0B3F288A"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стрельбе из СУ-1 наблюдалась лучшая кучность, чем из полковой пуш</w:t>
      </w:r>
      <w:r w:rsidRPr="007122AB">
        <w:rPr>
          <w:rFonts w:ascii="Times New Roman" w:hAnsi="Times New Roman"/>
          <w:color w:val="000000" w:themeColor="text1"/>
          <w:sz w:val="16"/>
          <w:szCs w:val="16"/>
        </w:rPr>
        <w:softHyphen/>
        <w:t>ки на полевом лафете и бронеавтомобиля «</w:t>
      </w:r>
      <w:proofErr w:type="spellStart"/>
      <w:r w:rsidRPr="007122AB">
        <w:rPr>
          <w:rFonts w:ascii="Times New Roman" w:hAnsi="Times New Roman"/>
          <w:color w:val="000000" w:themeColor="text1"/>
          <w:sz w:val="16"/>
          <w:szCs w:val="16"/>
        </w:rPr>
        <w:t>Гарфорд</w:t>
      </w:r>
      <w:proofErr w:type="spellEnd"/>
      <w:r w:rsidRPr="007122AB">
        <w:rPr>
          <w:rFonts w:ascii="Times New Roman" w:hAnsi="Times New Roman"/>
          <w:color w:val="000000" w:themeColor="text1"/>
          <w:sz w:val="16"/>
          <w:szCs w:val="16"/>
        </w:rPr>
        <w:t>». Это объяснялось большей массой всей системы. Всего в ходе испытаний из САУ произвели 41 выстрел с места и три — с хода. При этом выясни</w:t>
      </w:r>
      <w:r w:rsidRPr="007122AB">
        <w:rPr>
          <w:rFonts w:ascii="Times New Roman" w:hAnsi="Times New Roman"/>
          <w:color w:val="000000" w:themeColor="text1"/>
          <w:sz w:val="16"/>
          <w:szCs w:val="16"/>
        </w:rPr>
        <w:softHyphen/>
        <w:t>лось, что прицельный огонь с хода вести невозможно — экипаж бросало по всей машине. Кроме того, работа заряжающего была крайне затруднена, так как боекомп</w:t>
      </w:r>
      <w:r w:rsidRPr="007122AB">
        <w:rPr>
          <w:rFonts w:ascii="Times New Roman" w:hAnsi="Times New Roman"/>
          <w:color w:val="000000" w:themeColor="text1"/>
          <w:sz w:val="16"/>
          <w:szCs w:val="16"/>
        </w:rPr>
        <w:softHyphen/>
        <w:t>лект перевозился в обычных ящиках.</w:t>
      </w:r>
    </w:p>
    <w:p w14:paraId="1102F8BF" w14:textId="77777777" w:rsidR="00193905" w:rsidRPr="007122AB" w:rsidRDefault="00193905" w:rsidP="007122AB">
      <w:pPr>
        <w:pStyle w:val="27"/>
        <w:shd w:val="clear" w:color="auto" w:fill="auto"/>
        <w:spacing w:after="0" w:line="240" w:lineRule="auto"/>
        <w:ind w:firstLine="0"/>
        <w:rPr>
          <w:rFonts w:ascii="Times New Roman" w:cs="Times New Roman"/>
          <w:color w:val="000000" w:themeColor="text1"/>
          <w:spacing w:val="0"/>
        </w:rPr>
      </w:pPr>
      <w:r w:rsidRPr="007122AB">
        <w:rPr>
          <w:rFonts w:ascii="Times New Roman" w:cs="Times New Roman"/>
          <w:color w:val="000000" w:themeColor="text1"/>
          <w:spacing w:val="0"/>
        </w:rPr>
        <w:t>По результатам испытаний члены ко</w:t>
      </w:r>
      <w:r w:rsidRPr="007122AB">
        <w:rPr>
          <w:rFonts w:ascii="Times New Roman" w:cs="Times New Roman"/>
          <w:color w:val="000000" w:themeColor="text1"/>
          <w:spacing w:val="0"/>
        </w:rPr>
        <w:softHyphen/>
        <w:t>миссии — представители НТК УММ и НТК ГАУ — приняли постановление, в котором констатировали, что СУ-1 ис</w:t>
      </w:r>
      <w:r w:rsidRPr="007122AB">
        <w:rPr>
          <w:rFonts w:ascii="Times New Roman" w:cs="Times New Roman"/>
          <w:color w:val="000000" w:themeColor="text1"/>
          <w:spacing w:val="0"/>
        </w:rPr>
        <w:softHyphen/>
        <w:t>пытания выдержала, но нуждается в целом ряде улучшений и изменений. Проект самоходной установки, усовер</w:t>
      </w:r>
      <w:r w:rsidRPr="007122AB">
        <w:rPr>
          <w:rFonts w:ascii="Times New Roman" w:cs="Times New Roman"/>
          <w:color w:val="000000" w:themeColor="text1"/>
          <w:spacing w:val="0"/>
        </w:rPr>
        <w:softHyphen/>
        <w:t>шенствованной в соответствии с этим постановлением, разработали к лету 1932 года. Но в это время уже было принято решение о вооружении 76-мм орудием артиллерийского танка Т-26 с увеличен</w:t>
      </w:r>
      <w:r w:rsidRPr="007122AB">
        <w:rPr>
          <w:rFonts w:ascii="Times New Roman" w:cs="Times New Roman"/>
          <w:color w:val="000000" w:themeColor="text1"/>
          <w:spacing w:val="0"/>
        </w:rPr>
        <w:softHyphen/>
        <w:t>ной вращающейся башней, и все работы по СУ-1 прекратили (15232).</w:t>
      </w:r>
    </w:p>
    <w:p w14:paraId="3A0D7D38" w14:textId="77777777" w:rsidR="00193905" w:rsidRPr="007122AB" w:rsidRDefault="00193905" w:rsidP="007122AB">
      <w:pPr>
        <w:pStyle w:val="27"/>
        <w:shd w:val="clear" w:color="auto" w:fill="auto"/>
        <w:spacing w:after="0" w:line="240" w:lineRule="auto"/>
        <w:ind w:firstLine="0"/>
        <w:rPr>
          <w:rFonts w:ascii="Times New Roman" w:cs="Times New Roman"/>
          <w:color w:val="000000" w:themeColor="text1"/>
          <w:spacing w:val="0"/>
        </w:rPr>
      </w:pPr>
    </w:p>
    <w:p w14:paraId="3289B24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опытный образец СУ-1 поступил на НИАП для прохождения опытно-исследовательских работ. Сегодня трудно сказать однозначно, чей именно про</w:t>
      </w:r>
      <w:r w:rsidRPr="007122AB">
        <w:rPr>
          <w:rFonts w:ascii="Times New Roman" w:hAnsi="Times New Roman"/>
          <w:color w:val="000000" w:themeColor="text1"/>
          <w:sz w:val="16"/>
          <w:szCs w:val="16"/>
        </w:rPr>
        <w:softHyphen/>
        <w:t>ект лег в основу машины, известной как СУ-1. Курировали ее создание 4-я секция НТК УММ и 2-я секция НТК АУ. Конструктивно САУ была изготовлена в кратчайшие сроки буквально «на коленке» и потому не могла претендо</w:t>
      </w:r>
      <w:r w:rsidRPr="007122AB">
        <w:rPr>
          <w:rFonts w:ascii="Times New Roman" w:hAnsi="Times New Roman"/>
          <w:color w:val="000000" w:themeColor="text1"/>
          <w:sz w:val="16"/>
          <w:szCs w:val="16"/>
        </w:rPr>
        <w:softHyphen/>
        <w:t>вать на высокий балл. Все в ней было приспособлено «из то</w:t>
      </w:r>
      <w:r w:rsidRPr="007122AB">
        <w:rPr>
          <w:rFonts w:ascii="Times New Roman" w:hAnsi="Times New Roman"/>
          <w:color w:val="000000" w:themeColor="text1"/>
          <w:sz w:val="16"/>
          <w:szCs w:val="16"/>
        </w:rPr>
        <w:softHyphen/>
        <w:t>го, что под руками». В частности, 76-мм полковая пушка обр. 1927 г. с укороченным до 750 мм откатом монтировалась в боевом отделении на тумбе, заимствованной от бронеавто</w:t>
      </w:r>
      <w:r w:rsidRPr="007122AB">
        <w:rPr>
          <w:rFonts w:ascii="Times New Roman" w:hAnsi="Times New Roman"/>
          <w:color w:val="000000" w:themeColor="text1"/>
          <w:sz w:val="16"/>
          <w:szCs w:val="16"/>
        </w:rPr>
        <w:softHyphen/>
        <w:t>мобиля времен Первой мировой войны. Амбразура для пуш</w:t>
      </w:r>
      <w:r w:rsidRPr="007122AB">
        <w:rPr>
          <w:rFonts w:ascii="Times New Roman" w:hAnsi="Times New Roman"/>
          <w:color w:val="000000" w:themeColor="text1"/>
          <w:sz w:val="16"/>
          <w:szCs w:val="16"/>
        </w:rPr>
        <w:softHyphen/>
        <w:t>ки была прорезана в лобовом листе корпуса (изготовленно</w:t>
      </w:r>
      <w:r w:rsidRPr="007122AB">
        <w:rPr>
          <w:rFonts w:ascii="Times New Roman" w:hAnsi="Times New Roman"/>
          <w:color w:val="000000" w:themeColor="text1"/>
          <w:sz w:val="16"/>
          <w:szCs w:val="16"/>
        </w:rPr>
        <w:softHyphen/>
        <w:t>го к тому же из сырой брони) «по месту» и имела столь боль</w:t>
      </w:r>
      <w:r w:rsidRPr="007122AB">
        <w:rPr>
          <w:rFonts w:ascii="Times New Roman" w:hAnsi="Times New Roman"/>
          <w:color w:val="000000" w:themeColor="text1"/>
          <w:sz w:val="16"/>
          <w:szCs w:val="16"/>
        </w:rPr>
        <w:softHyphen/>
        <w:t>шие размеры, что без труда улавливала пули, прицельно вы</w:t>
      </w:r>
      <w:r w:rsidRPr="007122AB">
        <w:rPr>
          <w:rFonts w:ascii="Times New Roman" w:hAnsi="Times New Roman"/>
          <w:color w:val="000000" w:themeColor="text1"/>
          <w:sz w:val="16"/>
          <w:szCs w:val="16"/>
        </w:rPr>
        <w:softHyphen/>
        <w:t>пущенные из пулемета Дегтярева с дистанции 150-200 м.</w:t>
      </w:r>
    </w:p>
    <w:p w14:paraId="6788F4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первых испытаниях орудие вообще вышло из строя после первого же выстрела и требовало большого ремонта. Пробег же машины без вооружения ничего нового не дал. Машина прошла по бездорожью около 30 км, причем на хо</w:t>
      </w:r>
      <w:r w:rsidRPr="007122AB">
        <w:rPr>
          <w:rFonts w:ascii="Times New Roman" w:hAnsi="Times New Roman"/>
          <w:color w:val="000000" w:themeColor="text1"/>
          <w:sz w:val="16"/>
          <w:szCs w:val="16"/>
        </w:rPr>
        <w:softHyphen/>
        <w:t>довой части это никак не отразилось. После ремонта орудия и усиления конструкции тумбы испытания были продолже</w:t>
      </w:r>
      <w:r w:rsidRPr="007122AB">
        <w:rPr>
          <w:rFonts w:ascii="Times New Roman" w:hAnsi="Times New Roman"/>
          <w:color w:val="000000" w:themeColor="text1"/>
          <w:sz w:val="16"/>
          <w:szCs w:val="16"/>
        </w:rPr>
        <w:softHyphen/>
        <w:t>ны. Во время второго этапа исследовательских работ из САУ были произведены 41 выстрел с места и 3 — с хода (один выстрел дал осечку). Испытания стрельбой должны были про</w:t>
      </w:r>
      <w:r w:rsidRPr="007122AB">
        <w:rPr>
          <w:rFonts w:ascii="Times New Roman" w:hAnsi="Times New Roman"/>
          <w:color w:val="000000" w:themeColor="text1"/>
          <w:sz w:val="16"/>
          <w:szCs w:val="16"/>
        </w:rPr>
        <w:softHyphen/>
        <w:t>должиться, но боеприпасов больше подано не было. При стрельбе из СУ-1 наблюдалась лучшая кучность стрельбы, чем из полковой пушки и бронеавтомобиля Гар-форда, что объяснялось лучшей жесткостью системы. Но прицельный огонь с ходу вести не удалось — членов экипа</w:t>
      </w:r>
      <w:r w:rsidRPr="007122AB">
        <w:rPr>
          <w:rFonts w:ascii="Times New Roman" w:hAnsi="Times New Roman"/>
          <w:color w:val="000000" w:themeColor="text1"/>
          <w:sz w:val="16"/>
          <w:szCs w:val="16"/>
        </w:rPr>
        <w:softHyphen/>
        <w:t>жа болтало по боевому отделению даже на самом медлен</w:t>
      </w:r>
      <w:r w:rsidRPr="007122AB">
        <w:rPr>
          <w:rFonts w:ascii="Times New Roman" w:hAnsi="Times New Roman"/>
          <w:color w:val="000000" w:themeColor="text1"/>
          <w:sz w:val="16"/>
          <w:szCs w:val="16"/>
        </w:rPr>
        <w:softHyphen/>
        <w:t>ном ходу. Кроме того, боезапас в машине перевозился в ящиках, что также затрудняло операции с заряжанием ору</w:t>
      </w:r>
      <w:r w:rsidRPr="007122AB">
        <w:rPr>
          <w:rFonts w:ascii="Times New Roman" w:hAnsi="Times New Roman"/>
          <w:color w:val="000000" w:themeColor="text1"/>
          <w:sz w:val="16"/>
          <w:szCs w:val="16"/>
        </w:rPr>
        <w:softHyphen/>
        <w:t>дия и проведением выстрелов в движении.</w:t>
      </w:r>
    </w:p>
    <w:p w14:paraId="0C1CBB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окончании исследований и испытаний, в декабре 1931 г., вышло постановление следующего содержания:</w:t>
      </w:r>
    </w:p>
    <w:p w14:paraId="4555958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«СУ-1 испытания выдержала и может быть допущена для проведения дальнейших работ по след, направлениям:</w:t>
      </w:r>
    </w:p>
    <w:p w14:paraId="7F5637A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1. Угол вертикального обстрела увеличить до 20 </w:t>
      </w:r>
      <w:proofErr w:type="spellStart"/>
      <w:r w:rsidRPr="007122AB">
        <w:rPr>
          <w:rFonts w:ascii="Times New Roman" w:hAnsi="Times New Roman"/>
          <w:iCs/>
          <w:color w:val="000000" w:themeColor="text1"/>
          <w:sz w:val="16"/>
          <w:szCs w:val="16"/>
        </w:rPr>
        <w:t>гр</w:t>
      </w:r>
      <w:proofErr w:type="spellEnd"/>
      <w:r w:rsidRPr="007122AB">
        <w:rPr>
          <w:rFonts w:ascii="Times New Roman" w:hAnsi="Times New Roman"/>
          <w:iCs/>
          <w:color w:val="000000" w:themeColor="text1"/>
          <w:sz w:val="16"/>
          <w:szCs w:val="16"/>
        </w:rPr>
        <w:t>, для чего повысить высоту цапф на 40мм.</w:t>
      </w:r>
    </w:p>
    <w:p w14:paraId="29A2E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2. Горизонтальный обстрел довести до +/- 20. В рубке иметь два открывающихся окна для наблюдения цели. Высоту рубки — увеличить, чтобы не мешалась наводчику.</w:t>
      </w:r>
    </w:p>
    <w:p w14:paraId="6A84A2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3. Расположение маховиков должно быть удобно для на</w:t>
      </w:r>
      <w:r w:rsidRPr="007122AB">
        <w:rPr>
          <w:rFonts w:ascii="Times New Roman" w:hAnsi="Times New Roman"/>
          <w:iCs/>
          <w:color w:val="000000" w:themeColor="text1"/>
          <w:sz w:val="16"/>
          <w:szCs w:val="16"/>
        </w:rPr>
        <w:softHyphen/>
        <w:t>водчика и не отрывать его от прицела.</w:t>
      </w:r>
    </w:p>
    <w:p w14:paraId="7D681D9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4. Предусмотреть возможность проведения спуска как рукой со шнура, так и ногой </w:t>
      </w:r>
      <w:r w:rsidRPr="007122AB">
        <w:rPr>
          <w:rFonts w:ascii="Times New Roman" w:hAnsi="Times New Roman"/>
          <w:color w:val="000000" w:themeColor="text1"/>
          <w:sz w:val="16"/>
          <w:szCs w:val="16"/>
        </w:rPr>
        <w:t xml:space="preserve">— </w:t>
      </w:r>
      <w:r w:rsidRPr="007122AB">
        <w:rPr>
          <w:rFonts w:ascii="Times New Roman" w:hAnsi="Times New Roman"/>
          <w:iCs/>
          <w:color w:val="000000" w:themeColor="text1"/>
          <w:sz w:val="16"/>
          <w:szCs w:val="16"/>
        </w:rPr>
        <w:t>педалью.</w:t>
      </w:r>
    </w:p>
    <w:p w14:paraId="1E453E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5. В бортах рубки предусмотреть шаровые яблоки для пу</w:t>
      </w:r>
      <w:r w:rsidRPr="007122AB">
        <w:rPr>
          <w:rFonts w:ascii="Times New Roman" w:hAnsi="Times New Roman"/>
          <w:iCs/>
          <w:color w:val="000000" w:themeColor="text1"/>
          <w:sz w:val="16"/>
          <w:szCs w:val="16"/>
        </w:rPr>
        <w:softHyphen/>
        <w:t>леметов Дегтярева. Заднее яблоко установить с расчетом пропуска через него троса для отката орудия.</w:t>
      </w:r>
    </w:p>
    <w:p w14:paraId="6188B5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6. Амбразура орудия должна прикрываться дополнитель</w:t>
      </w:r>
      <w:r w:rsidRPr="007122AB">
        <w:rPr>
          <w:rFonts w:ascii="Times New Roman" w:hAnsi="Times New Roman"/>
          <w:iCs/>
          <w:color w:val="000000" w:themeColor="text1"/>
          <w:sz w:val="16"/>
          <w:szCs w:val="16"/>
        </w:rPr>
        <w:softHyphen/>
        <w:t>ным щитком для защиты от пуль и осколков</w:t>
      </w:r>
    </w:p>
    <w:p w14:paraId="54A67D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7. Трубку-визир прямой наводки заменить прицелом-те</w:t>
      </w:r>
      <w:r w:rsidRPr="007122AB">
        <w:rPr>
          <w:rFonts w:ascii="Times New Roman" w:hAnsi="Times New Roman"/>
          <w:iCs/>
          <w:color w:val="000000" w:themeColor="text1"/>
          <w:sz w:val="16"/>
          <w:szCs w:val="16"/>
        </w:rPr>
        <w:softHyphen/>
        <w:t>лескопом с полем зрения 10 гр. и с резиновым наглазником... Наводчик также должен иметь собственное окно или люк для обзора поля боя...</w:t>
      </w:r>
    </w:p>
    <w:p w14:paraId="122E7C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8. Для предохранения номеров орудия от отката предус</w:t>
      </w:r>
      <w:r w:rsidRPr="007122AB">
        <w:rPr>
          <w:rFonts w:ascii="Times New Roman" w:hAnsi="Times New Roman"/>
          <w:iCs/>
          <w:color w:val="000000" w:themeColor="text1"/>
          <w:sz w:val="16"/>
          <w:szCs w:val="16"/>
        </w:rPr>
        <w:softHyphen/>
        <w:t>мотреть откидные щитки или иное ограждение.</w:t>
      </w:r>
    </w:p>
    <w:p w14:paraId="1C76B3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9. Должны быть предусмотрены специальные места для заряжающего и рации.</w:t>
      </w:r>
    </w:p>
    <w:p w14:paraId="10C630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10. Боекомплект разместить в гнездах.</w:t>
      </w:r>
    </w:p>
    <w:p w14:paraId="1E4551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11. Предусмотреть перевозимый пулемет Дегтярева и 10 магазинов к нему для обороны машины от пехоты.</w:t>
      </w:r>
    </w:p>
    <w:p w14:paraId="64483BB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12. Необходимо наличие переговорного устройства само</w:t>
      </w:r>
      <w:r w:rsidRPr="007122AB">
        <w:rPr>
          <w:rFonts w:ascii="Times New Roman" w:hAnsi="Times New Roman"/>
          <w:iCs/>
          <w:color w:val="000000" w:themeColor="text1"/>
          <w:sz w:val="16"/>
          <w:szCs w:val="16"/>
        </w:rPr>
        <w:softHyphen/>
        <w:t>летного типа.</w:t>
      </w:r>
    </w:p>
    <w:p w14:paraId="422875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13. Противооткатное приспособление прикрыть броне-кожухом.</w:t>
      </w:r>
    </w:p>
    <w:p w14:paraId="25422F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Переделанных таким образом самоходов необходима пар</w:t>
      </w:r>
      <w:r w:rsidRPr="007122AB">
        <w:rPr>
          <w:rFonts w:ascii="Times New Roman" w:hAnsi="Times New Roman"/>
          <w:iCs/>
          <w:color w:val="000000" w:themeColor="text1"/>
          <w:sz w:val="16"/>
          <w:szCs w:val="16"/>
        </w:rPr>
        <w:softHyphen/>
        <w:t>тия в количестве 100 шт. Подписи: председатель 4 секции УММ Павлов</w:t>
      </w:r>
    </w:p>
    <w:p w14:paraId="7736E9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Зам. Нач. 5 секции УММ Сакс</w:t>
      </w:r>
    </w:p>
    <w:p w14:paraId="109B4F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Cs/>
          <w:color w:val="000000" w:themeColor="text1"/>
          <w:sz w:val="16"/>
          <w:szCs w:val="16"/>
        </w:rPr>
        <w:t>Член НТК ГАУ Анисимов» (11417).</w:t>
      </w:r>
    </w:p>
    <w:p w14:paraId="314646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3F68B" w14:textId="77777777" w:rsidR="00E75A4A" w:rsidRPr="007122AB" w:rsidRDefault="00E75A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года, когда судьба танка и так была решена Фактически началась сдача Т-24. Всего сдали 24 танка, из которых, в лучшем случае, 5 штук получили вооружение. Вместе с Т-24 "умерла" и 45-мм пушка обр.1930 года. Вместо нее разрабатывали совсем иные орудия, которые поначалу имели калибр 37 мм (20203).</w:t>
      </w:r>
    </w:p>
    <w:p w14:paraId="59D60A9C" w14:textId="77777777" w:rsidR="00E75A4A" w:rsidRPr="007122AB" w:rsidRDefault="00E75A4A" w:rsidP="007122AB">
      <w:pPr>
        <w:spacing w:after="0" w:line="240" w:lineRule="auto"/>
        <w:jc w:val="both"/>
        <w:rPr>
          <w:rFonts w:ascii="Times New Roman" w:hAnsi="Times New Roman"/>
          <w:color w:val="000000" w:themeColor="text1"/>
          <w:sz w:val="16"/>
          <w:szCs w:val="16"/>
        </w:rPr>
      </w:pPr>
    </w:p>
    <w:p w14:paraId="0361F3E4" w14:textId="77777777" w:rsidR="00E75A4A" w:rsidRPr="007122AB" w:rsidRDefault="00E75A4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года, в самый разгар доработки Д-2, Н. И.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предложил военным очередной проект — тяжелого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получившего рабочий индекс Д-6. Вагон должен был вооружаться одной 107-мм пушкой образца 1910 года в орудийной башне, четырьмя пулеметами Максим, двумя пулеметами ДТ и спаренной зенитной установкой. На тот период одной аналогичной 107-мм пушкой вооружались и бронеплощадки тяжелых бронепоездов РККА. Бронирование корпуса Д-6 предусматривалось — борта 16 мм, днище и крыша 8 мм. Двигатель мощностью 90–100 л. с. должен был разгонять Д-6 до максимальной скорости движения в 60 км/час. Запас хода — до 500 км. В более-менее окончательном виде проект Д-6 был готов только к лету 1932 года, и в сентябре на заводе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началось его изготовление. Шло оно медленно и тяжело, в том числе из-за задержек в передаче рабочих чертежей из конструкторского бюро Н. 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Достроить опытный Д-6 удалось только в начале 1933 года, но в «усеченном» виде — 107-мм орудие заменили двумя 76-миллиметровками в башнях серийных Д-2 и уже без самого Н. 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(22743).</w:t>
      </w:r>
    </w:p>
    <w:p w14:paraId="5FD636E9" w14:textId="77777777" w:rsidR="00E75A4A" w:rsidRPr="007122AB" w:rsidRDefault="00E75A4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(22743).</w:t>
      </w:r>
    </w:p>
    <w:p w14:paraId="3805749E" w14:textId="77777777" w:rsidR="00E75A4A" w:rsidRPr="007122AB" w:rsidRDefault="00E75A4A" w:rsidP="007122AB">
      <w:pPr>
        <w:spacing w:after="0" w:line="240" w:lineRule="auto"/>
        <w:jc w:val="both"/>
        <w:rPr>
          <w:rFonts w:ascii="Times New Roman" w:hAnsi="Times New Roman"/>
          <w:color w:val="000000" w:themeColor="text1"/>
          <w:sz w:val="16"/>
          <w:szCs w:val="16"/>
        </w:rPr>
      </w:pPr>
    </w:p>
    <w:p w14:paraId="156719F5" w14:textId="77777777" w:rsidR="007024A0" w:rsidRPr="00441F34" w:rsidRDefault="007024A0" w:rsidP="007024A0">
      <w:pPr>
        <w:spacing w:after="0" w:line="240" w:lineRule="auto"/>
        <w:jc w:val="both"/>
        <w:rPr>
          <w:rFonts w:ascii="Times New Roman" w:hAnsi="Times New Roman"/>
          <w:color w:val="0070C0"/>
          <w:sz w:val="16"/>
          <w:szCs w:val="16"/>
        </w:rPr>
      </w:pPr>
      <w:hyperlink r:id="rId192" w:tgtFrame="_blank" w:history="1"/>
      <w:r w:rsidRPr="00441F34">
        <w:rPr>
          <w:rFonts w:ascii="Times New Roman" w:hAnsi="Times New Roman"/>
          <w:color w:val="0070C0"/>
          <w:sz w:val="16"/>
          <w:szCs w:val="16"/>
        </w:rPr>
        <w:t xml:space="preserve">В октябре 1931 г. В то время, когда в Москве на заседании Президиума ВСНХ СССР принималось постановление «О быстроходных дизелях», в Харькове на паровозостроительном заводе им. Коминтерна (далее – ХПЗ) работала Комиссия Военно-морской инспекции Центральной контрольной комиссии (ВМИ ЦКК) ВКП(б) НКРКИ СССР под руководством старшего инспектора К. Ченцова (24856). </w:t>
      </w:r>
    </w:p>
    <w:p w14:paraId="2F5B9B94" w14:textId="77777777" w:rsidR="007024A0" w:rsidRPr="00441F34" w:rsidRDefault="007024A0" w:rsidP="007024A0">
      <w:pPr>
        <w:spacing w:after="0" w:line="240" w:lineRule="auto"/>
        <w:jc w:val="both"/>
        <w:rPr>
          <w:rFonts w:ascii="Times New Roman" w:hAnsi="Times New Roman"/>
          <w:color w:val="0070C0"/>
          <w:sz w:val="16"/>
          <w:szCs w:val="16"/>
        </w:rPr>
      </w:pPr>
    </w:p>
    <w:p w14:paraId="4457A16C" w14:textId="77777777" w:rsidR="00E75A4A" w:rsidRPr="007122AB" w:rsidRDefault="00E75A4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начались испытания первого бескомпрессорного двухтактного дизеля мощностью 60 л.с., изготовленного на заводе «Красный Проле</w:t>
      </w:r>
      <w:r w:rsidRPr="007122AB">
        <w:rPr>
          <w:rFonts w:ascii="Times New Roman" w:hAnsi="Times New Roman"/>
          <w:color w:val="000000" w:themeColor="text1"/>
          <w:sz w:val="16"/>
          <w:szCs w:val="16"/>
        </w:rPr>
        <w:softHyphen/>
        <w:t>тарий» для трактора типа Катерпиллер (позже он ста</w:t>
      </w:r>
      <w:r w:rsidRPr="007122AB">
        <w:rPr>
          <w:rFonts w:ascii="Times New Roman" w:hAnsi="Times New Roman"/>
          <w:color w:val="000000" w:themeColor="text1"/>
          <w:sz w:val="16"/>
          <w:szCs w:val="16"/>
        </w:rPr>
        <w:softHyphen/>
        <w:t>нет трактором С-60). Разработку этого двигателя вело ОПБ в системе ОГПУ (22518).</w:t>
      </w:r>
    </w:p>
    <w:p w14:paraId="70D885C5" w14:textId="77777777" w:rsidR="00E75A4A" w:rsidRPr="007122AB" w:rsidRDefault="00E75A4A" w:rsidP="007122AB">
      <w:pPr>
        <w:spacing w:after="0" w:line="240" w:lineRule="auto"/>
        <w:jc w:val="both"/>
        <w:rPr>
          <w:rFonts w:ascii="Times New Roman" w:hAnsi="Times New Roman"/>
          <w:color w:val="000000" w:themeColor="text1"/>
          <w:sz w:val="16"/>
          <w:szCs w:val="16"/>
        </w:rPr>
      </w:pPr>
    </w:p>
    <w:p w14:paraId="7007DA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784C94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E054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октября 1931 г. на базе шасси АМО-4 Миусский завод стал строить новые пожарные автомобили. Миусский завод (до 1932 г. он назывался заводом № 6 ВАТО) с 1926 по 1929 г. выпустил 145 машин на шасси АМО-Ф-15. Но смонтированный на этих маломощных автомобилях насос не обеспечивал достаточную подачу воды. Их производство свернули, как только появились АМО-4. Они перевозили боевой расчет из 12 человек (на линейке), запас воды в 360 л, лестницы, 360 м пожарного рукава, и, главное, их центробежный насос мог подавать 1400 л воды в минуту. В конце 1932 г. завод развернул выпуск пожарных автомобилей ПМГ-1 на базе ГАЗ-АА, а в 1934 г. ПМЗ-1 на базе ЗИС-11. Для повышения надежности и боеготовности ПМЗ-1 оснащались зажиганием от магнето. На шасси ЗИС-11 монтировались также цистерны с расположенным в передней части рамы насосом для подачи воды - эти машины назывались ПМЗ-8, а также 45-метровые выдвижные лестницы типа "</w:t>
      </w:r>
      <w:proofErr w:type="spellStart"/>
      <w:r w:rsidRPr="007122AB">
        <w:rPr>
          <w:rFonts w:ascii="Times New Roman" w:hAnsi="Times New Roman"/>
          <w:color w:val="000000" w:themeColor="text1"/>
          <w:sz w:val="16"/>
          <w:szCs w:val="16"/>
        </w:rPr>
        <w:t>Метц</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длиннооб</w:t>
      </w:r>
      <w:proofErr w:type="spellEnd"/>
      <w:r w:rsidRPr="007122AB">
        <w:rPr>
          <w:rFonts w:ascii="Times New Roman" w:hAnsi="Times New Roman"/>
          <w:color w:val="000000" w:themeColor="text1"/>
          <w:sz w:val="16"/>
          <w:szCs w:val="16"/>
        </w:rPr>
        <w:t xml:space="preserve">-разном трехосном шасси ЗИС-6. Такие лестницы устанавливались и на автомобили ЯГ-6. Среди многочисленных специальных автомобилей предвоенных лет можно назвать стреловые поворотные автокраны и цистерны емкостью 5000 л на шасси ЯГ-4, оснащенные разбрызгивателями для поливки улиц. Существовали также изготовленные небольшими партиями подметальные и снегоуборочные машины на шасси ЗИС-5, </w:t>
      </w:r>
      <w:proofErr w:type="spellStart"/>
      <w:r w:rsidRPr="007122AB">
        <w:rPr>
          <w:rFonts w:ascii="Times New Roman" w:hAnsi="Times New Roman"/>
          <w:color w:val="000000" w:themeColor="text1"/>
          <w:sz w:val="16"/>
          <w:szCs w:val="16"/>
        </w:rPr>
        <w:t>автогудронаюры</w:t>
      </w:r>
      <w:proofErr w:type="spellEnd"/>
      <w:r w:rsidRPr="007122AB">
        <w:rPr>
          <w:rFonts w:ascii="Times New Roman" w:hAnsi="Times New Roman"/>
          <w:color w:val="000000" w:themeColor="text1"/>
          <w:sz w:val="16"/>
          <w:szCs w:val="16"/>
        </w:rPr>
        <w:t xml:space="preserve"> и автомобили с компрессорными установками (12098).</w:t>
      </w:r>
    </w:p>
    <w:p w14:paraId="351E8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4EA4A9"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 в </w:t>
      </w:r>
      <w:proofErr w:type="spellStart"/>
      <w:r w:rsidRPr="007122AB">
        <w:rPr>
          <w:rFonts w:ascii="Times New Roman" w:hAnsi="Times New Roman"/>
          <w:color w:val="000000" w:themeColor="text1"/>
          <w:sz w:val="16"/>
          <w:szCs w:val="16"/>
        </w:rPr>
        <w:t>Главмашпроме</w:t>
      </w:r>
      <w:proofErr w:type="spellEnd"/>
      <w:r w:rsidRPr="007122AB">
        <w:rPr>
          <w:rFonts w:ascii="Times New Roman" w:hAnsi="Times New Roman"/>
          <w:color w:val="000000" w:themeColor="text1"/>
          <w:sz w:val="16"/>
          <w:szCs w:val="16"/>
        </w:rPr>
        <w:t xml:space="preserve"> ВСНХ СССР прошло представительное совещание, которое 5 октября постановило целесообразным организацию выпуска мотоциклов в Харькове для нужд обороны и народного хозяйства. Завод предстояло реконструировать для реализации среднегодовой программы в 3000 мотоциклов. Помимо реконструкции, в счет части выделенных средств на заводе выполнили несколько проектов оригинальных мотоциклов. К октябрю следующего, 1932 г., был готов эталонный мотоцикл для серии. Рама этого мотоцикла состояла из 2-х боковин, прессованных из листового железа, толщиной 2,5 мм. Верхние полосы обеих </w:t>
      </w:r>
      <w:r w:rsidRPr="007122AB">
        <w:rPr>
          <w:rFonts w:ascii="Times New Roman" w:hAnsi="Times New Roman"/>
          <w:color w:val="000000" w:themeColor="text1"/>
          <w:sz w:val="16"/>
          <w:szCs w:val="16"/>
        </w:rPr>
        <w:lastRenderedPageBreak/>
        <w:t xml:space="preserve">боковин были сведены вместе и сварены. Мотоцикл имел электрооборудование Московского Электрозавода. Бак мотоцикла был комбинированным с загородкой, разделявшей его на емкости для бензина и масла. В стандартное оборудование мотоцикла входили: передняя и задняя подставка, щитки на колеса, сплошной щиток на моторную цепь, багажник. Дополнительно мотоцикл мог быть оснащен вторым седлом на багажнике и добавочными подножками для второго седока. 1 ноября 1932 г. мотоцикл модели «1М 350» был испытан заводской приемочной комиссией пробегом в 50 км, после чего отправлен в подарок Наркомвоенмору Клименту Ворошилову. Не приходится сомневаться в том, что получатель остался мотоциклом доволен. Нарком не мог не увидеть объективный рост завода, прошедшего всего за пару лет путь от кустарных мастерских до современного промышленного предприятия. Поэтому мотоциклы в Харькове решили не строить. В 1932 Харьковский Автосборочный завод получил </w:t>
      </w:r>
      <w:proofErr w:type="spellStart"/>
      <w:r w:rsidRPr="007122AB">
        <w:rPr>
          <w:rFonts w:ascii="Times New Roman" w:hAnsi="Times New Roman"/>
          <w:color w:val="000000" w:themeColor="text1"/>
          <w:sz w:val="16"/>
          <w:szCs w:val="16"/>
        </w:rPr>
        <w:t>мобзадание</w:t>
      </w:r>
      <w:proofErr w:type="spellEnd"/>
      <w:r w:rsidRPr="007122AB">
        <w:rPr>
          <w:rFonts w:ascii="Times New Roman" w:hAnsi="Times New Roman"/>
          <w:color w:val="000000" w:themeColor="text1"/>
          <w:sz w:val="16"/>
          <w:szCs w:val="16"/>
        </w:rPr>
        <w:t xml:space="preserve"> по организации Бронетанковой ремонтной базы с подачей в первый год войны 1454 машин. По понятным причинам в прессе было сообщено о том, что завод получил задание на выпуск с 1933 г. сельхозтехники и железнодорожных платформ. Предприятие завершило реконструкцию и, сменив подчиненность, было переименовано в Харьковский механический завод «Серп и Молот». К счастью выполнять в 1933 г. </w:t>
      </w:r>
      <w:proofErr w:type="spellStart"/>
      <w:r w:rsidRPr="007122AB">
        <w:rPr>
          <w:rFonts w:ascii="Times New Roman" w:hAnsi="Times New Roman"/>
          <w:color w:val="000000" w:themeColor="text1"/>
          <w:sz w:val="16"/>
          <w:szCs w:val="16"/>
        </w:rPr>
        <w:t>мобзадание</w:t>
      </w:r>
      <w:proofErr w:type="spellEnd"/>
      <w:r w:rsidRPr="007122AB">
        <w:rPr>
          <w:rFonts w:ascii="Times New Roman" w:hAnsi="Times New Roman"/>
          <w:color w:val="000000" w:themeColor="text1"/>
          <w:sz w:val="16"/>
          <w:szCs w:val="16"/>
        </w:rPr>
        <w:t xml:space="preserve"> заводу не пришлось. Заказ же мирного времени на 1933 г., поданный Управлением Механизации и Моторизации РККА, включал ремонт 165 танков Т-26 и Т-18, 10 БТ, 5 Т-24 и 35 танкеток Т-27. Но и вопрос организации производства мотоциклов в Харькове всерьез более не рассматривался и после смены профиля предприятия некоторая часть материалов была передана в г. Таганрог (19776).</w:t>
      </w:r>
    </w:p>
    <w:p w14:paraId="140FDC83" w14:textId="77777777" w:rsidR="006D0E5C" w:rsidRPr="007122AB" w:rsidRDefault="006D0E5C" w:rsidP="007122AB">
      <w:pPr>
        <w:spacing w:after="0" w:line="240" w:lineRule="auto"/>
        <w:jc w:val="both"/>
        <w:rPr>
          <w:rFonts w:ascii="Times New Roman" w:hAnsi="Times New Roman"/>
          <w:color w:val="000000" w:themeColor="text1"/>
          <w:sz w:val="16"/>
          <w:szCs w:val="16"/>
        </w:rPr>
      </w:pPr>
    </w:p>
    <w:p w14:paraId="3F8B3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г. по приказу ВСНХ при 1-й Ситценабивной фабрике была открыта мастерская по восстановлению перегоревших электроламп (Завод № 399 МОП, МПСС, МРТП, Московский электровакуумный завод «</w:t>
      </w:r>
      <w:proofErr w:type="spellStart"/>
      <w:r w:rsidRPr="007122AB">
        <w:rPr>
          <w:rFonts w:ascii="Times New Roman" w:hAnsi="Times New Roman"/>
          <w:color w:val="000000" w:themeColor="text1"/>
          <w:sz w:val="16"/>
          <w:szCs w:val="16"/>
        </w:rPr>
        <w:t>Кннолампа</w:t>
      </w:r>
      <w:proofErr w:type="spellEnd"/>
      <w:r w:rsidRPr="007122AB">
        <w:rPr>
          <w:rFonts w:ascii="Times New Roman" w:hAnsi="Times New Roman"/>
          <w:color w:val="000000" w:themeColor="text1"/>
          <w:sz w:val="16"/>
          <w:szCs w:val="16"/>
        </w:rPr>
        <w:t>», завод «Электролампа» МПСС, п/я 3843, Завод «</w:t>
      </w:r>
      <w:proofErr w:type="spellStart"/>
      <w:r w:rsidRPr="007122AB">
        <w:rPr>
          <w:rFonts w:ascii="Times New Roman" w:hAnsi="Times New Roman"/>
          <w:color w:val="000000" w:themeColor="text1"/>
          <w:sz w:val="16"/>
          <w:szCs w:val="16"/>
        </w:rPr>
        <w:t>Мосдеталь</w:t>
      </w:r>
      <w:proofErr w:type="spellEnd"/>
      <w:r w:rsidRPr="007122AB">
        <w:rPr>
          <w:rFonts w:ascii="Times New Roman" w:hAnsi="Times New Roman"/>
          <w:color w:val="000000" w:themeColor="text1"/>
          <w:sz w:val="16"/>
          <w:szCs w:val="16"/>
        </w:rPr>
        <w:t xml:space="preserve">» МОП, А-0018, ПО «Сапфир», ОАО «Московский завод «Сапфир» /117545  г. Москва Днепропетровский </w:t>
      </w:r>
      <w:proofErr w:type="spellStart"/>
      <w:r w:rsidRPr="007122AB">
        <w:rPr>
          <w:rFonts w:ascii="Times New Roman" w:hAnsi="Times New Roman"/>
          <w:color w:val="000000" w:themeColor="text1"/>
          <w:sz w:val="16"/>
          <w:szCs w:val="16"/>
        </w:rPr>
        <w:t>пр</w:t>
      </w:r>
      <w:proofErr w:type="spellEnd"/>
      <w:r w:rsidRPr="007122AB">
        <w:rPr>
          <w:rFonts w:ascii="Times New Roman" w:hAnsi="Times New Roman"/>
          <w:color w:val="000000" w:themeColor="text1"/>
          <w:sz w:val="16"/>
          <w:szCs w:val="16"/>
        </w:rPr>
        <w:t>-д, 4А тел. 312-02-03/). Затем мастерская преобразована в самостоятельную фабрику по производству кварцевых газосветных ламп в ведении НК текстильной промышленности. Затем фабрика передана в ведение Комитета по делам кинематографии при СНК и переименована в Московский электровакуумный завод «</w:t>
      </w:r>
      <w:proofErr w:type="spellStart"/>
      <w:r w:rsidRPr="007122AB">
        <w:rPr>
          <w:rFonts w:ascii="Times New Roman" w:hAnsi="Times New Roman"/>
          <w:color w:val="000000" w:themeColor="text1"/>
          <w:sz w:val="16"/>
          <w:szCs w:val="16"/>
        </w:rPr>
        <w:t>Кинолампа</w:t>
      </w:r>
      <w:proofErr w:type="spellEnd"/>
      <w:r w:rsidRPr="007122AB">
        <w:rPr>
          <w:rFonts w:ascii="Times New Roman" w:hAnsi="Times New Roman"/>
          <w:color w:val="000000" w:themeColor="text1"/>
          <w:sz w:val="16"/>
          <w:szCs w:val="16"/>
        </w:rPr>
        <w:t>», позднее- завод «Электролампа» МПСС.</w:t>
      </w:r>
    </w:p>
    <w:p w14:paraId="5BC201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годы войны выпускал </w:t>
      </w:r>
      <w:proofErr w:type="spellStart"/>
      <w:r w:rsidRPr="007122AB">
        <w:rPr>
          <w:rFonts w:ascii="Times New Roman" w:hAnsi="Times New Roman"/>
          <w:color w:val="000000" w:themeColor="text1"/>
          <w:sz w:val="16"/>
          <w:szCs w:val="16"/>
        </w:rPr>
        <w:t>ртутнокварцевые</w:t>
      </w:r>
      <w:proofErr w:type="spellEnd"/>
      <w:r w:rsidRPr="007122AB">
        <w:rPr>
          <w:rFonts w:ascii="Times New Roman" w:hAnsi="Times New Roman"/>
          <w:color w:val="000000" w:themeColor="text1"/>
          <w:sz w:val="16"/>
          <w:szCs w:val="16"/>
        </w:rPr>
        <w:t xml:space="preserve"> лампы сверхвысокого давления, газоразрядные лампы, газотроны и стабилизаторы напряжения для радиопередающей аппаратуры.</w:t>
      </w:r>
    </w:p>
    <w:p w14:paraId="3CAF55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399 в 1950-54 г.- в ведении МПСС, в 1955-65 г. - завод № 399 МРТП, «предприятие п/я 3843». В 1965 г. завод передан в ведение МОП и переименован в завод «</w:t>
      </w:r>
      <w:proofErr w:type="spellStart"/>
      <w:r w:rsidRPr="007122AB">
        <w:rPr>
          <w:rFonts w:ascii="Times New Roman" w:hAnsi="Times New Roman"/>
          <w:color w:val="000000" w:themeColor="text1"/>
          <w:sz w:val="16"/>
          <w:szCs w:val="16"/>
        </w:rPr>
        <w:t>Мосдеталь</w:t>
      </w:r>
      <w:proofErr w:type="spellEnd"/>
      <w:r w:rsidRPr="007122AB">
        <w:rPr>
          <w:rFonts w:ascii="Times New Roman" w:hAnsi="Times New Roman"/>
          <w:color w:val="000000" w:themeColor="text1"/>
          <w:sz w:val="16"/>
          <w:szCs w:val="16"/>
        </w:rPr>
        <w:t>». Имел наименование «п/я А-0010».</w:t>
      </w:r>
    </w:p>
    <w:p w14:paraId="2D6EB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1960-е  г. разработан и выпускался серийно фотоприемник ФС-24ДА для тепловых ГСН.</w:t>
      </w:r>
      <w:r w:rsidRPr="007122AB">
        <w:rPr>
          <w:rFonts w:ascii="Times New Roman" w:hAnsi="Times New Roman"/>
          <w:color w:val="000000" w:themeColor="text1"/>
          <w:sz w:val="16"/>
          <w:szCs w:val="16"/>
          <w:vertAlign w:val="superscript"/>
        </w:rPr>
        <w:t>1(Ь</w:t>
      </w:r>
    </w:p>
    <w:p w14:paraId="0CA9E2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приватизации ПО «Сапфир» в 1990-е  г. были созданы ОАО «Московский завод «Сапфир» и ОАО «Диод». По Указу Президента РФ № 1009 от 4.08.2004 г. ОАО «Сапфир» вошло в число стратегических оборонных предприятий.</w:t>
      </w:r>
    </w:p>
    <w:p w14:paraId="6C712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Гендиректор (2000 г.)- Д.А. Гиндин.</w:t>
      </w:r>
    </w:p>
    <w:p w14:paraId="4B3B2B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«Диод», А-0029 /г. Москва/</w:t>
      </w:r>
    </w:p>
    <w:p w14:paraId="380056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 наименование «п/я А-0029».</w:t>
      </w:r>
    </w:p>
    <w:p w14:paraId="0005D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ОАО «Диод» /г. Москва ул. Дербеневская, 11А тел. 235-77-80/</w:t>
      </w:r>
    </w:p>
    <w:p w14:paraId="7A4A45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в 1990-е  г. в результате разделения ПО «Сапфир» при приватизации.</w:t>
      </w:r>
    </w:p>
    <w:p w14:paraId="0E47BD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(2000 г.)- В.П. Тихонов (11982).</w:t>
      </w:r>
    </w:p>
    <w:p w14:paraId="714613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75AF5A"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45D4D9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1979AE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ТБ-1 с успехом продемонстрировали не</w:t>
      </w:r>
      <w:r w:rsidRPr="007122AB">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7122AB">
        <w:rPr>
          <w:rFonts w:ascii="Times New Roman" w:hAnsi="Times New Roman"/>
          <w:color w:val="000000" w:themeColor="text1"/>
          <w:sz w:val="16"/>
          <w:szCs w:val="16"/>
        </w:rPr>
        <w:softHyphen/>
        <w:t>евых частях достигло 155 экземпляров (11286).</w:t>
      </w:r>
    </w:p>
    <w:p w14:paraId="001E0E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E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года ТБ-1 продемонстрировали немецкой военной делегации в НИИ ВВС. Один из офицеров Рейхсвера, фон </w:t>
      </w:r>
      <w:proofErr w:type="spellStart"/>
      <w:r w:rsidRPr="007122AB">
        <w:rPr>
          <w:rFonts w:ascii="Times New Roman" w:hAnsi="Times New Roman"/>
          <w:color w:val="000000" w:themeColor="text1"/>
          <w:sz w:val="16"/>
          <w:szCs w:val="16"/>
        </w:rPr>
        <w:t>Масебах</w:t>
      </w:r>
      <w:proofErr w:type="spellEnd"/>
      <w:r w:rsidRPr="007122AB">
        <w:rPr>
          <w:rFonts w:ascii="Times New Roman" w:hAnsi="Times New Roman"/>
          <w:color w:val="000000" w:themeColor="text1"/>
          <w:sz w:val="16"/>
          <w:szCs w:val="16"/>
        </w:rPr>
        <w:t xml:space="preserve">, даже получил возможность </w:t>
      </w:r>
      <w:proofErr w:type="spellStart"/>
      <w:r w:rsidRPr="007122AB">
        <w:rPr>
          <w:rFonts w:ascii="Times New Roman" w:hAnsi="Times New Roman"/>
          <w:color w:val="000000" w:themeColor="text1"/>
          <w:sz w:val="16"/>
          <w:szCs w:val="16"/>
        </w:rPr>
        <w:t>попилотировать</w:t>
      </w:r>
      <w:proofErr w:type="spellEnd"/>
      <w:r w:rsidRPr="007122AB">
        <w:rPr>
          <w:rFonts w:ascii="Times New Roman" w:hAnsi="Times New Roman"/>
          <w:color w:val="000000" w:themeColor="text1"/>
          <w:sz w:val="16"/>
          <w:szCs w:val="16"/>
        </w:rPr>
        <w:t xml:space="preserve"> бомбардировщик с правого кресла под контролем советского инструктора. Машина получила очень высокую оценку - в Германии подобной техники тогда не было (12001).</w:t>
      </w:r>
    </w:p>
    <w:p w14:paraId="68840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355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после первой пробы 19 сентября 1931, когда в ходе имитации атаки ТБ-1 на л Парижская Коммуна, торпеду сбросили с 2000 м и она прошла мимо от цели, продолжились испытания высокой торпеды 10/15 На этот раз учебную атаку провела пара ТБ-1 во время учений флота. Сбросили 2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(1966,10).</w:t>
      </w:r>
    </w:p>
    <w:p w14:paraId="37DCEB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4F6C92"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F04E6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CB97C7D" w14:textId="77777777" w:rsidR="00346741" w:rsidRPr="007122AB" w:rsidRDefault="0034674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состоялся первый полет </w:t>
      </w:r>
      <w:proofErr w:type="spellStart"/>
      <w:r w:rsidRPr="007122AB">
        <w:rPr>
          <w:rFonts w:ascii="Times New Roman" w:hAnsi="Times New Roman"/>
          <w:color w:val="000000" w:themeColor="text1"/>
          <w:sz w:val="16"/>
          <w:szCs w:val="16"/>
        </w:rPr>
        <w:t>Авро</w:t>
      </w:r>
      <w:proofErr w:type="spellEnd"/>
      <w:r w:rsidRPr="007122AB">
        <w:rPr>
          <w:rFonts w:ascii="Times New Roman" w:hAnsi="Times New Roman"/>
          <w:color w:val="000000" w:themeColor="text1"/>
          <w:sz w:val="16"/>
          <w:szCs w:val="16"/>
        </w:rPr>
        <w:t xml:space="preserve"> 643 Кадет (20804).</w:t>
      </w:r>
    </w:p>
    <w:p w14:paraId="22E9B63B" w14:textId="77777777" w:rsidR="00346741" w:rsidRPr="007122AB" w:rsidRDefault="00346741" w:rsidP="007122AB">
      <w:pPr>
        <w:spacing w:after="0" w:line="240" w:lineRule="auto"/>
        <w:jc w:val="both"/>
        <w:rPr>
          <w:rFonts w:ascii="Times New Roman" w:hAnsi="Times New Roman"/>
          <w:color w:val="000000" w:themeColor="text1"/>
          <w:sz w:val="16"/>
          <w:szCs w:val="16"/>
        </w:rPr>
      </w:pPr>
    </w:p>
    <w:p w14:paraId="0A1E82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 1931 года были заказаны 6 серийных самолетов F9C-2 с условием, что первые 3 машины будут готовы в сентябре 1932 года. Существенным улучшением в стыковочном устройстве стала установка на ферме опускаемой стрелы с седлообразной втулкой на конце. Эта втулка садилась на хвостовую часть фюзеляжа самолета тогда, когда он уже висел под перекладиной, и прочно удерживала его в устойчивом положении. Стыковочное устройство самолета состояло из вынесенного на четырех наклонных стойках управляемого гака и предохранителя винта, смонтированных над центропланом. Было достигнуто приемлемое время 15 минут на взлет или посадку самолета с момента открытия ворот ангара до их полного закрытия. Ангар был рассчитан на пять самолетов — четыре подвешены на потолке, а пятый — на перекладине фермы, втянутой внутрь. Но в действительности в нем помещалось только 3 машины, так как внутренняя арматура каркаса дирижабля препятствовала их удобному обслуживанию и размещению в процессе интенсивной эксплуатации. На втянутой перекладине самолет также никогда не устанавливался из-за того, что в случае неисправности мотора было практически невозможно отправить в полет остальные машины. Самолеты оснащались радиооборудованием, с помощью которого летчики могли разыскать свой «воздушный аэродром» в случае потери визуального контакта с дирижаблем. В действительности, однако, полный комплект оборудования был установлен только в 1934 году. Тогда же ввели и должность </w:t>
      </w:r>
      <w:proofErr w:type="spellStart"/>
      <w:r w:rsidRPr="007122AB">
        <w:rPr>
          <w:rFonts w:ascii="Times New Roman" w:hAnsi="Times New Roman"/>
          <w:color w:val="000000" w:themeColor="text1"/>
          <w:sz w:val="16"/>
          <w:szCs w:val="16"/>
        </w:rPr>
        <w:t>радиоофицера</w:t>
      </w:r>
      <w:proofErr w:type="spellEnd"/>
      <w:r w:rsidRPr="007122AB">
        <w:rPr>
          <w:rFonts w:ascii="Times New Roman" w:hAnsi="Times New Roman"/>
          <w:color w:val="000000" w:themeColor="text1"/>
          <w:sz w:val="16"/>
          <w:szCs w:val="16"/>
        </w:rPr>
        <w:t xml:space="preserve">. Он постоянно контролировал положение отдельных самолетов, руководил действиями летчиков и следил одновременно за безопасностью полета с точки зрения запаса топлива, необходимого для возвращения. Предполагалось, что во время боевых действий самолеты должны были летать без шасси, которое над океаном было бесполезно, но на практике оно ни разу не демонтировалось. Техника посадки и взлета на дирижабль была отработана в достаточной степени, поэтому нет ничего удивительного в том, что планировалось увеличить парк используемых типов самолетов, в том числе и более тяжелых транспортных машин, способных доставить на борт воздушного корабля продовольствие, почту, топливо или постепенно заменить весь экипаж. Таким образом, воздушному [438] гиганту не обязательно было возвращаться на базу, так как транспортные самолеты могли обеспечить всем необходимым. На эту роль планировались самолеты </w:t>
      </w:r>
      <w:proofErr w:type="spellStart"/>
      <w:r w:rsidRPr="007122AB">
        <w:rPr>
          <w:rFonts w:ascii="Times New Roman" w:hAnsi="Times New Roman"/>
          <w:color w:val="000000" w:themeColor="text1"/>
          <w:sz w:val="16"/>
          <w:szCs w:val="16"/>
        </w:rPr>
        <w:t>Белланко</w:t>
      </w:r>
      <w:proofErr w:type="spellEnd"/>
      <w:r w:rsidRPr="007122AB">
        <w:rPr>
          <w:rFonts w:ascii="Times New Roman" w:hAnsi="Times New Roman"/>
          <w:color w:val="000000" w:themeColor="text1"/>
          <w:sz w:val="16"/>
          <w:szCs w:val="16"/>
        </w:rPr>
        <w:t xml:space="preserve"> «Эйрбас», но до практической реализации дело не дошло. За год эксплуатации «Акрона» был совершен 501 зацеп самолетов в разное время суток (11324).</w:t>
      </w:r>
    </w:p>
    <w:p w14:paraId="4F8DCF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CEE5AB" w14:textId="77777777" w:rsidR="007024A0" w:rsidRPr="00441F34" w:rsidRDefault="007024A0" w:rsidP="007024A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1931 года в строй вступил ZRS-4 «Акрон» (</w:t>
      </w:r>
      <w:proofErr w:type="spellStart"/>
      <w:r w:rsidRPr="00441F34">
        <w:rPr>
          <w:rFonts w:ascii="Times New Roman" w:hAnsi="Times New Roman"/>
          <w:color w:val="0070C0"/>
          <w:sz w:val="16"/>
          <w:szCs w:val="16"/>
        </w:rPr>
        <w:t>Akron</w:t>
      </w:r>
      <w:proofErr w:type="spellEnd"/>
      <w:r w:rsidRPr="00441F34">
        <w:rPr>
          <w:rFonts w:ascii="Times New Roman" w:hAnsi="Times New Roman"/>
          <w:color w:val="0070C0"/>
          <w:sz w:val="16"/>
          <w:szCs w:val="16"/>
        </w:rPr>
        <w:t>) объемом оболочки 194 000 куб. метров. Дирижабль был оснащен 8 двига</w:t>
      </w:r>
      <w:r w:rsidRPr="00441F34">
        <w:rPr>
          <w:rFonts w:ascii="Times New Roman" w:hAnsi="Times New Roman"/>
          <w:color w:val="0070C0"/>
          <w:sz w:val="16"/>
          <w:szCs w:val="16"/>
        </w:rPr>
        <w:softHyphen/>
        <w:t>телями «Майбах» мощностью по 560 л.с. каждый, от</w:t>
      </w:r>
      <w:r w:rsidRPr="00441F34">
        <w:rPr>
          <w:rFonts w:ascii="Times New Roman" w:hAnsi="Times New Roman"/>
          <w:color w:val="0070C0"/>
          <w:sz w:val="16"/>
          <w:szCs w:val="16"/>
        </w:rPr>
        <w:softHyphen/>
        <w:t>личался Т-образным вырезом (люком) в нижней по</w:t>
      </w:r>
      <w:r w:rsidRPr="00441F34">
        <w:rPr>
          <w:rFonts w:ascii="Times New Roman" w:hAnsi="Times New Roman"/>
          <w:color w:val="0070C0"/>
          <w:sz w:val="16"/>
          <w:szCs w:val="16"/>
        </w:rPr>
        <w:softHyphen/>
        <w:t>верхности для приема бортовых самолетов. Из указан</w:t>
      </w:r>
      <w:r w:rsidRPr="00441F34">
        <w:rPr>
          <w:rFonts w:ascii="Times New Roman" w:hAnsi="Times New Roman"/>
          <w:color w:val="0070C0"/>
          <w:sz w:val="16"/>
          <w:szCs w:val="16"/>
        </w:rPr>
        <w:softHyphen/>
        <w:t>ного люка выдвигалась причальная ферма с перекладиной, за которую зацеплялся причаливаю</w:t>
      </w:r>
      <w:r w:rsidRPr="00441F34">
        <w:rPr>
          <w:rFonts w:ascii="Times New Roman" w:hAnsi="Times New Roman"/>
          <w:color w:val="0070C0"/>
          <w:sz w:val="16"/>
          <w:szCs w:val="16"/>
        </w:rPr>
        <w:softHyphen/>
        <w:t>щий самолет. Внутри был оборудован ангар для раз</w:t>
      </w:r>
      <w:r w:rsidRPr="00441F34">
        <w:rPr>
          <w:rFonts w:ascii="Times New Roman" w:hAnsi="Times New Roman"/>
          <w:color w:val="0070C0"/>
          <w:sz w:val="16"/>
          <w:szCs w:val="16"/>
        </w:rPr>
        <w:softHyphen/>
        <w:t xml:space="preserve">мещения 5 самолетов F9C </w:t>
      </w:r>
      <w:proofErr w:type="spellStart"/>
      <w:r w:rsidRPr="00441F34">
        <w:rPr>
          <w:rFonts w:ascii="Times New Roman" w:hAnsi="Times New Roman"/>
          <w:color w:val="0070C0"/>
          <w:sz w:val="16"/>
          <w:szCs w:val="16"/>
        </w:rPr>
        <w:t>Curtiss</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Sparrowhawk</w:t>
      </w:r>
      <w:proofErr w:type="spellEnd"/>
      <w:r w:rsidRPr="00441F34">
        <w:rPr>
          <w:rFonts w:ascii="Times New Roman" w:hAnsi="Times New Roman"/>
          <w:color w:val="0070C0"/>
          <w:sz w:val="16"/>
          <w:szCs w:val="16"/>
        </w:rPr>
        <w:t>, нахо</w:t>
      </w:r>
      <w:r w:rsidRPr="00441F34">
        <w:rPr>
          <w:rFonts w:ascii="Times New Roman" w:hAnsi="Times New Roman"/>
          <w:color w:val="0070C0"/>
          <w:sz w:val="16"/>
          <w:szCs w:val="16"/>
        </w:rPr>
        <w:softHyphen/>
        <w:t xml:space="preserve">дящихся в подвешенном состоянии. Предполагалось, что </w:t>
      </w:r>
      <w:proofErr w:type="spellStart"/>
      <w:r w:rsidRPr="00441F34">
        <w:rPr>
          <w:rFonts w:ascii="Times New Roman" w:hAnsi="Times New Roman"/>
          <w:color w:val="0070C0"/>
          <w:sz w:val="16"/>
          <w:szCs w:val="16"/>
        </w:rPr>
        <w:t>Curtiss</w:t>
      </w:r>
      <w:proofErr w:type="spellEnd"/>
      <w:r w:rsidRPr="00441F34">
        <w:rPr>
          <w:rFonts w:ascii="Times New Roman" w:hAnsi="Times New Roman"/>
          <w:color w:val="0070C0"/>
          <w:sz w:val="16"/>
          <w:szCs w:val="16"/>
        </w:rPr>
        <w:t xml:space="preserve"> F9C будут защищать дирижабли от вражес</w:t>
      </w:r>
      <w:r w:rsidRPr="00441F34">
        <w:rPr>
          <w:rFonts w:ascii="Times New Roman" w:hAnsi="Times New Roman"/>
          <w:color w:val="0070C0"/>
          <w:sz w:val="16"/>
          <w:szCs w:val="16"/>
        </w:rPr>
        <w:softHyphen/>
        <w:t>кой авиации и выполнять воздушную разведку. Пона</w:t>
      </w:r>
      <w:r w:rsidRPr="00441F34">
        <w:rPr>
          <w:rFonts w:ascii="Times New Roman" w:hAnsi="Times New Roman"/>
          <w:color w:val="0070C0"/>
          <w:sz w:val="16"/>
          <w:szCs w:val="16"/>
        </w:rPr>
        <w:softHyphen/>
        <w:t>чалу «</w:t>
      </w:r>
      <w:proofErr w:type="spellStart"/>
      <w:r w:rsidRPr="00441F34">
        <w:rPr>
          <w:rFonts w:ascii="Times New Roman" w:hAnsi="Times New Roman"/>
          <w:color w:val="0070C0"/>
          <w:sz w:val="16"/>
          <w:szCs w:val="16"/>
        </w:rPr>
        <w:t>спарроухоук</w:t>
      </w:r>
      <w:proofErr w:type="spellEnd"/>
      <w:r w:rsidRPr="00441F34">
        <w:rPr>
          <w:rFonts w:ascii="Times New Roman" w:hAnsi="Times New Roman"/>
          <w:color w:val="0070C0"/>
          <w:sz w:val="16"/>
          <w:szCs w:val="16"/>
        </w:rPr>
        <w:t>» создавался как палубный самолет, однако благодаря малым размерам (размах верхнего крыла 9,2 м) он наиболее удачно подошел для базиро</w:t>
      </w:r>
      <w:r w:rsidRPr="00441F34">
        <w:rPr>
          <w:rFonts w:ascii="Times New Roman" w:hAnsi="Times New Roman"/>
          <w:color w:val="0070C0"/>
          <w:sz w:val="16"/>
          <w:szCs w:val="16"/>
        </w:rPr>
        <w:softHyphen/>
        <w:t>вания на дирижаблях. Самолет был оснащен двигате</w:t>
      </w:r>
      <w:r w:rsidRPr="00441F34">
        <w:rPr>
          <w:rFonts w:ascii="Times New Roman" w:hAnsi="Times New Roman"/>
          <w:color w:val="0070C0"/>
          <w:sz w:val="16"/>
          <w:szCs w:val="16"/>
        </w:rPr>
        <w:softHyphen/>
        <w:t>лем Райт Циклон R-975-C мощностью 420 л.с., двумя синхронными пулеметами и развивал скорость 283 км/ч. Всего построили 8 таких истребителей (вместе с двумя опытными экземплярами). Помимо F9C к при</w:t>
      </w:r>
      <w:r w:rsidRPr="00441F34">
        <w:rPr>
          <w:rFonts w:ascii="Times New Roman" w:hAnsi="Times New Roman"/>
          <w:color w:val="0070C0"/>
          <w:sz w:val="16"/>
          <w:szCs w:val="16"/>
        </w:rPr>
        <w:softHyphen/>
        <w:t>чальной ферме неоднократно прицеплялись двухмест</w:t>
      </w:r>
      <w:r w:rsidRPr="00441F34">
        <w:rPr>
          <w:rFonts w:ascii="Times New Roman" w:hAnsi="Times New Roman"/>
          <w:color w:val="0070C0"/>
          <w:sz w:val="16"/>
          <w:szCs w:val="16"/>
        </w:rPr>
        <w:softHyphen/>
        <w:t xml:space="preserve">ные </w:t>
      </w:r>
      <w:proofErr w:type="spellStart"/>
      <w:r w:rsidRPr="00441F34">
        <w:rPr>
          <w:rFonts w:ascii="Times New Roman" w:hAnsi="Times New Roman"/>
          <w:color w:val="0070C0"/>
          <w:sz w:val="16"/>
          <w:szCs w:val="16"/>
        </w:rPr>
        <w:t>Консолидейтед</w:t>
      </w:r>
      <w:proofErr w:type="spellEnd"/>
      <w:r w:rsidRPr="00441F34">
        <w:rPr>
          <w:rFonts w:ascii="Times New Roman" w:hAnsi="Times New Roman"/>
          <w:color w:val="0070C0"/>
          <w:sz w:val="16"/>
          <w:szCs w:val="16"/>
        </w:rPr>
        <w:t xml:space="preserve"> N2Y-1. Шесть таких бипланов ис</w:t>
      </w:r>
      <w:r w:rsidRPr="00441F34">
        <w:rPr>
          <w:rFonts w:ascii="Times New Roman" w:hAnsi="Times New Roman"/>
          <w:color w:val="0070C0"/>
          <w:sz w:val="16"/>
          <w:szCs w:val="16"/>
        </w:rPr>
        <w:softHyphen/>
        <w:t>пользовались в основном для тренировки и курьер</w:t>
      </w:r>
      <w:r w:rsidRPr="00441F34">
        <w:rPr>
          <w:rFonts w:ascii="Times New Roman" w:hAnsi="Times New Roman"/>
          <w:color w:val="0070C0"/>
          <w:sz w:val="16"/>
          <w:szCs w:val="16"/>
        </w:rPr>
        <w:softHyphen/>
        <w:t>ских полетов. Уже в полетах 1932 года на борту «Акрона» использовалось по одному F9C-2 и N2Y-1. За год эксплуатации «Акрона» указанные самолеты произвели ряд подцепок под дирижабль в разное вре</w:t>
      </w:r>
      <w:r w:rsidRPr="00441F34">
        <w:rPr>
          <w:rFonts w:ascii="Times New Roman" w:hAnsi="Times New Roman"/>
          <w:color w:val="0070C0"/>
          <w:sz w:val="16"/>
          <w:szCs w:val="16"/>
        </w:rPr>
        <w:softHyphen/>
        <w:t>мя суток. К сожалению, период эксплуатации «Акро</w:t>
      </w:r>
      <w:r w:rsidRPr="00441F34">
        <w:rPr>
          <w:rFonts w:ascii="Times New Roman" w:hAnsi="Times New Roman"/>
          <w:color w:val="0070C0"/>
          <w:sz w:val="16"/>
          <w:szCs w:val="16"/>
        </w:rPr>
        <w:softHyphen/>
        <w:t>на» оказался недолог. В ночь на 4 апреля 1933 года ди</w:t>
      </w:r>
      <w:r w:rsidRPr="00441F34">
        <w:rPr>
          <w:rFonts w:ascii="Times New Roman" w:hAnsi="Times New Roman"/>
          <w:color w:val="0070C0"/>
          <w:sz w:val="16"/>
          <w:szCs w:val="16"/>
        </w:rPr>
        <w:softHyphen/>
        <w:t>рижабль при проведении маневров в Атлантическом океане попал в мощный ураган и потерпел катастро</w:t>
      </w:r>
      <w:r w:rsidRPr="00441F34">
        <w:rPr>
          <w:rFonts w:ascii="Times New Roman" w:hAnsi="Times New Roman"/>
          <w:color w:val="0070C0"/>
          <w:sz w:val="16"/>
          <w:szCs w:val="16"/>
        </w:rPr>
        <w:softHyphen/>
        <w:t>фу. Из 76 членов экипажа выжили три человека. При рассмотрении причин катастрофы «Акрона», кроме прочего, указывались недостаточная прочность дири</w:t>
      </w:r>
      <w:r w:rsidRPr="00441F34">
        <w:rPr>
          <w:rFonts w:ascii="Times New Roman" w:hAnsi="Times New Roman"/>
          <w:color w:val="0070C0"/>
          <w:sz w:val="16"/>
          <w:szCs w:val="16"/>
        </w:rPr>
        <w:softHyphen/>
        <w:t>жабля и ошибки пилотирования (23378).</w:t>
      </w:r>
    </w:p>
    <w:p w14:paraId="464D9768" w14:textId="77777777" w:rsidR="007024A0" w:rsidRPr="00441F34" w:rsidRDefault="007024A0" w:rsidP="007024A0">
      <w:pPr>
        <w:spacing w:after="0" w:line="240" w:lineRule="auto"/>
        <w:jc w:val="both"/>
        <w:rPr>
          <w:rFonts w:ascii="Times New Roman" w:hAnsi="Times New Roman"/>
          <w:color w:val="0070C0"/>
          <w:sz w:val="16"/>
          <w:szCs w:val="16"/>
        </w:rPr>
      </w:pPr>
    </w:p>
    <w:p w14:paraId="0E666B0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A24092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8057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w:t>
      </w:r>
      <w:r w:rsidRPr="007122AB">
        <w:rPr>
          <w:rFonts w:ascii="Times New Roman" w:hAnsi="Times New Roman"/>
          <w:color w:val="000000" w:themeColor="text1"/>
          <w:sz w:val="16"/>
          <w:szCs w:val="16"/>
        </w:rPr>
        <w:softHyphen/>
        <w:t>ре и июне 1931 года грузовики, известные как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доставлялись в Советский Союз двумя партиями и собирались на заводе «Гудок Октября» (11284).</w:t>
      </w:r>
    </w:p>
    <w:p w14:paraId="0D9BD3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CA9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 ноябре 1931 года в окрестностях Ленинграда испытали БАД-1 (боевая автодрезина) ТО ЭКО ПП ОГПУ и она показала хорошие результаты. Броневой корпус для грузовика «Форд-АА» спроектиро</w:t>
      </w:r>
      <w:r w:rsidRPr="007122AB">
        <w:rPr>
          <w:rFonts w:ascii="Times New Roman" w:hAnsi="Times New Roman"/>
          <w:color w:val="000000" w:themeColor="text1"/>
          <w:sz w:val="16"/>
          <w:szCs w:val="16"/>
        </w:rPr>
        <w:softHyphen/>
        <w:t>вали и изготовили осенью 1931 года в ТО ЭКО ПП ОГПУ. С базового автомобиля сняли грузовой кузов, кабину и сиденья. Передние рессоры усилили пятью листами, а зад</w:t>
      </w:r>
      <w:r w:rsidRPr="007122AB">
        <w:rPr>
          <w:rFonts w:ascii="Times New Roman" w:hAnsi="Times New Roman"/>
          <w:color w:val="000000" w:themeColor="text1"/>
          <w:sz w:val="16"/>
          <w:szCs w:val="16"/>
        </w:rPr>
        <w:softHyphen/>
        <w:t>ние оставили безо всяких изменений. Для избежания пере</w:t>
      </w:r>
      <w:r w:rsidRPr="007122AB">
        <w:rPr>
          <w:rFonts w:ascii="Times New Roman" w:hAnsi="Times New Roman"/>
          <w:color w:val="000000" w:themeColor="text1"/>
          <w:sz w:val="16"/>
          <w:szCs w:val="16"/>
        </w:rPr>
        <w:softHyphen/>
        <w:t>грева машины при движении в водяную трубу над мотором встроили аэротермометр, а указатель со стрелкой установи</w:t>
      </w:r>
      <w:r w:rsidRPr="007122AB">
        <w:rPr>
          <w:rFonts w:ascii="Times New Roman" w:hAnsi="Times New Roman"/>
          <w:color w:val="000000" w:themeColor="text1"/>
          <w:sz w:val="16"/>
          <w:szCs w:val="16"/>
        </w:rPr>
        <w:softHyphen/>
        <w:t>ли на щитке водителя. В остальном шасси «Форд-АА» оста</w:t>
      </w:r>
      <w:r w:rsidRPr="007122AB">
        <w:rPr>
          <w:rFonts w:ascii="Times New Roman" w:hAnsi="Times New Roman"/>
          <w:color w:val="000000" w:themeColor="text1"/>
          <w:sz w:val="16"/>
          <w:szCs w:val="16"/>
        </w:rPr>
        <w:softHyphen/>
        <w:t>лось без изменений. Броневой корпус изготавливался из броневых лис</w:t>
      </w:r>
      <w:r w:rsidRPr="007122AB">
        <w:rPr>
          <w:rFonts w:ascii="Times New Roman" w:hAnsi="Times New Roman"/>
          <w:color w:val="000000" w:themeColor="text1"/>
          <w:sz w:val="16"/>
          <w:szCs w:val="16"/>
        </w:rPr>
        <w:softHyphen/>
        <w:t>тов, сваренных между собой. Изнутри сварные швы уси</w:t>
      </w:r>
      <w:r w:rsidRPr="007122AB">
        <w:rPr>
          <w:rFonts w:ascii="Times New Roman" w:hAnsi="Times New Roman"/>
          <w:color w:val="000000" w:themeColor="text1"/>
          <w:sz w:val="16"/>
          <w:szCs w:val="16"/>
        </w:rPr>
        <w:softHyphen/>
        <w:t>ливались дополнительными угольниками. Толщина бро</w:t>
      </w:r>
      <w:r w:rsidRPr="007122AB">
        <w:rPr>
          <w:rFonts w:ascii="Times New Roman" w:hAnsi="Times New Roman"/>
          <w:color w:val="000000" w:themeColor="text1"/>
          <w:sz w:val="16"/>
          <w:szCs w:val="16"/>
        </w:rPr>
        <w:softHyphen/>
        <w:t>ни составляла 10 (лобовой лист и задвижки смотровых окон), 6 (корпус и башни) и 4 мм (крыша и защита ходо</w:t>
      </w:r>
      <w:r w:rsidRPr="007122AB">
        <w:rPr>
          <w:rFonts w:ascii="Times New Roman" w:hAnsi="Times New Roman"/>
          <w:color w:val="000000" w:themeColor="text1"/>
          <w:sz w:val="16"/>
          <w:szCs w:val="16"/>
        </w:rPr>
        <w:softHyphen/>
        <w:t>вой части). Экипаж машины состоял из водителя и 3 пулеметчи</w:t>
      </w:r>
      <w:r w:rsidRPr="007122AB">
        <w:rPr>
          <w:rFonts w:ascii="Times New Roman" w:hAnsi="Times New Roman"/>
          <w:color w:val="000000" w:themeColor="text1"/>
          <w:sz w:val="16"/>
          <w:szCs w:val="16"/>
        </w:rPr>
        <w:softHyphen/>
        <w:t>ков, вооружение состояло из 3 пулеметов ДТ (в башнях и лобовом листе корпуса). Кроме того, в БАД-1 было 2 за</w:t>
      </w:r>
      <w:r w:rsidRPr="007122AB">
        <w:rPr>
          <w:rFonts w:ascii="Times New Roman" w:hAnsi="Times New Roman"/>
          <w:color w:val="000000" w:themeColor="text1"/>
          <w:sz w:val="16"/>
          <w:szCs w:val="16"/>
        </w:rPr>
        <w:softHyphen/>
        <w:t>пасных ДТ, уложенных на стойках за сиденьем водителя и переднего пулеметчика. На задней дверце корпуса имелся специальный броневой кожух, в котором крепились 2 бал</w:t>
      </w:r>
      <w:r w:rsidRPr="007122AB">
        <w:rPr>
          <w:rFonts w:ascii="Times New Roman" w:hAnsi="Times New Roman"/>
          <w:color w:val="000000" w:themeColor="text1"/>
          <w:sz w:val="16"/>
          <w:szCs w:val="16"/>
        </w:rPr>
        <w:softHyphen/>
        <w:t>лона емкостью на 15 л для постановки дымовых завес. Для растаскивания завалов на дороге на корме машины крепились стальные крюки. Переход на железнодорожный ход осуществлялся при помощи домкрата и стальных бан</w:t>
      </w:r>
      <w:r w:rsidRPr="007122AB">
        <w:rPr>
          <w:rFonts w:ascii="Times New Roman" w:hAnsi="Times New Roman"/>
          <w:color w:val="000000" w:themeColor="text1"/>
          <w:sz w:val="16"/>
          <w:szCs w:val="16"/>
        </w:rPr>
        <w:softHyphen/>
        <w:t>дажей, одеваемых вместо колес. Через месяц БАД-1 передали на вооружение частей управления погра</w:t>
      </w:r>
      <w:r w:rsidRPr="007122AB">
        <w:rPr>
          <w:rFonts w:ascii="Times New Roman" w:hAnsi="Times New Roman"/>
          <w:color w:val="000000" w:themeColor="text1"/>
          <w:sz w:val="16"/>
          <w:szCs w:val="16"/>
        </w:rPr>
        <w:softHyphen/>
        <w:t>ничной охраны постоянного представительства ОГПУ в ЛВО (11284).</w:t>
      </w:r>
    </w:p>
    <w:p w14:paraId="36C292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623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2166AD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0CCD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и октябре 1931 пленумы ЦК ВКП(б) обсуждал вопросы развития транспорта. Решили электрифицировать ж/д (226,417).</w:t>
      </w:r>
    </w:p>
    <w:p w14:paraId="4338B2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347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1931 журнал "Пролетарская революция" опубликовал статью И.В.С. "Некоторые вопросы истории большевизма" - начало формирования официальной концепции истории России и СССР (1348,269).</w:t>
      </w:r>
    </w:p>
    <w:p w14:paraId="056AE6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1D939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6B4B69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DCCA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октябре-ноябре 1931 прошли повторные испытания МДР-2 (АНТ-8) доработанного (увеличены площадь РП и водоизмещение поплавков). Улучшилась мореходность, но посадочная скорость была 115 км/час. Опробовал и </w:t>
      </w:r>
      <w:proofErr w:type="spellStart"/>
      <w:r w:rsidRPr="007122AB">
        <w:rPr>
          <w:rFonts w:ascii="Times New Roman" w:hAnsi="Times New Roman"/>
          <w:color w:val="000000" w:themeColor="text1"/>
          <w:sz w:val="16"/>
          <w:szCs w:val="16"/>
        </w:rPr>
        <w:t>Б.Л.Бухгольц</w:t>
      </w:r>
      <w:proofErr w:type="spellEnd"/>
      <w:r w:rsidRPr="007122AB">
        <w:rPr>
          <w:rFonts w:ascii="Times New Roman" w:hAnsi="Times New Roman"/>
          <w:color w:val="000000" w:themeColor="text1"/>
          <w:sz w:val="16"/>
          <w:szCs w:val="16"/>
        </w:rPr>
        <w:t xml:space="preserve">, М.М.Г. и л НИИ ВВС </w:t>
      </w:r>
      <w:proofErr w:type="spellStart"/>
      <w:r w:rsidRPr="007122AB">
        <w:rPr>
          <w:rFonts w:ascii="Times New Roman" w:hAnsi="Times New Roman"/>
          <w:color w:val="000000" w:themeColor="text1"/>
          <w:sz w:val="16"/>
          <w:szCs w:val="16"/>
        </w:rPr>
        <w:t>Н.Г.Кастанаев</w:t>
      </w:r>
      <w:proofErr w:type="spellEnd"/>
      <w:r w:rsidRPr="007122AB">
        <w:rPr>
          <w:rFonts w:ascii="Times New Roman" w:hAnsi="Times New Roman"/>
          <w:color w:val="000000" w:themeColor="text1"/>
          <w:sz w:val="16"/>
          <w:szCs w:val="16"/>
        </w:rPr>
        <w:t>. машина не была лучше Дорнье Валь (4269,19).</w:t>
      </w:r>
    </w:p>
    <w:p w14:paraId="1FEC4F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0B28FD" w14:textId="77777777" w:rsidR="004B5185" w:rsidRPr="007122AB" w:rsidRDefault="004B5185" w:rsidP="004B5185">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B304528" w14:textId="77777777" w:rsidR="004B5185" w:rsidRPr="007122AB" w:rsidRDefault="004B5185" w:rsidP="004B5185">
      <w:pPr>
        <w:autoSpaceDE w:val="0"/>
        <w:autoSpaceDN w:val="0"/>
        <w:adjustRightInd w:val="0"/>
        <w:spacing w:after="0" w:line="240" w:lineRule="auto"/>
        <w:jc w:val="both"/>
        <w:rPr>
          <w:rFonts w:ascii="Times New Roman" w:hAnsi="Times New Roman"/>
          <w:iCs/>
          <w:color w:val="000000" w:themeColor="text1"/>
          <w:sz w:val="16"/>
          <w:szCs w:val="16"/>
        </w:rPr>
      </w:pPr>
    </w:p>
    <w:p w14:paraId="15FB95A5" w14:textId="77777777" w:rsidR="004B5185" w:rsidRPr="00441F34" w:rsidRDefault="004B5185" w:rsidP="004B51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ноябрю 1931 г. была построена летающая лодка Четверикова МДР-3 (ЦКБ № 11). Это был лодочный гидросамолет с высоко</w:t>
      </w:r>
      <w:r w:rsidRPr="00441F34">
        <w:rPr>
          <w:rFonts w:ascii="Times New Roman" w:hAnsi="Times New Roman"/>
          <w:color w:val="0070C0"/>
          <w:sz w:val="16"/>
          <w:szCs w:val="16"/>
        </w:rPr>
        <w:softHyphen/>
        <w:t xml:space="preserve">расположенным подкосным крылом и </w:t>
      </w:r>
      <w:proofErr w:type="spellStart"/>
      <w:r w:rsidRPr="00441F34">
        <w:rPr>
          <w:rFonts w:ascii="Times New Roman" w:hAnsi="Times New Roman"/>
          <w:color w:val="0070C0"/>
          <w:sz w:val="16"/>
          <w:szCs w:val="16"/>
        </w:rPr>
        <w:t>двухкилевым</w:t>
      </w:r>
      <w:proofErr w:type="spellEnd"/>
      <w:r w:rsidRPr="00441F34">
        <w:rPr>
          <w:rFonts w:ascii="Times New Roman" w:hAnsi="Times New Roman"/>
          <w:color w:val="0070C0"/>
          <w:sz w:val="16"/>
          <w:szCs w:val="16"/>
        </w:rPr>
        <w:t xml:space="preserve"> вертикальным оперением. Он сохранил две тандемные силовые установки из четырех БМВ-VI, но не в крыле, а на стойках над центропланом. На два двигателя был общий радиатор под передним из них.</w:t>
      </w:r>
    </w:p>
    <w:p w14:paraId="6FA8A891" w14:textId="77777777" w:rsidR="004B5185" w:rsidRPr="00441F34" w:rsidRDefault="004B5185" w:rsidP="004B51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Стоит отметить, что работая в ОПО-3 (КБ </w:t>
      </w:r>
      <w:proofErr w:type="spellStart"/>
      <w:r w:rsidRPr="00441F34">
        <w:rPr>
          <w:rFonts w:ascii="Times New Roman" w:hAnsi="Times New Roman"/>
          <w:color w:val="0070C0"/>
          <w:sz w:val="16"/>
          <w:szCs w:val="16"/>
        </w:rPr>
        <w:t>гидроавиции</w:t>
      </w:r>
      <w:proofErr w:type="spellEnd"/>
      <w:r w:rsidRPr="00441F34">
        <w:rPr>
          <w:rFonts w:ascii="Times New Roman" w:hAnsi="Times New Roman"/>
          <w:color w:val="0070C0"/>
          <w:sz w:val="16"/>
          <w:szCs w:val="16"/>
        </w:rPr>
        <w:t xml:space="preserve">), Бартини выступил с проектом морского дальнего разведчика МДР-3 с четырьмя моторами БМВ VI Е=7,3, установленными в два тандема в крыле, с промежуточными валами к пропеллерам. Схема была та же - подкосное высокорасположенное крыло- парасоль и жабры остойчивости с поплавками на концах. Взлётный вес самолёта составлял 16 тонн. В своём отзыве представитель НТК ВВС отметил, что эскизный проект представляет интерес, однако требуется повысить коэффициент полезной нагрузки, а также провести экспериментальную проработку конструкции передаточных валов и исследования обводов лодки. Материалы по проекту МДР-3 от Бартини были переданы в конструкторскую группу </w:t>
      </w:r>
      <w:proofErr w:type="spellStart"/>
      <w:r w:rsidRPr="00441F34">
        <w:rPr>
          <w:rFonts w:ascii="Times New Roman" w:hAnsi="Times New Roman"/>
          <w:color w:val="0070C0"/>
          <w:sz w:val="16"/>
          <w:szCs w:val="16"/>
        </w:rPr>
        <w:t>И.В.Четверикова</w:t>
      </w:r>
      <w:proofErr w:type="spellEnd"/>
      <w:r w:rsidRPr="00441F34">
        <w:rPr>
          <w:rFonts w:ascii="Times New Roman" w:hAnsi="Times New Roman"/>
          <w:color w:val="0070C0"/>
          <w:sz w:val="16"/>
          <w:szCs w:val="16"/>
        </w:rPr>
        <w:t xml:space="preserve"> (бригада №5 в ЦКБ).</w:t>
      </w:r>
    </w:p>
    <w:p w14:paraId="3457A369" w14:textId="77777777" w:rsidR="004B5185" w:rsidRPr="00441F34" w:rsidRDefault="004B5185" w:rsidP="004B51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Лётные испытания, проходившие в Севастополе с 14 января по 25 марта 1932 г., показали, что гидросамолет не отвечал всем требованиям для такого класса машин. В полете были отмечены очень сильные колебания лодки. Самолет показал плохую скороподъемность и потолок всего 3000 м. Причиной этого была отчасти тандемная установка двигателей, но главное - плохая аэроди</w:t>
      </w:r>
      <w:r w:rsidRPr="00441F34">
        <w:rPr>
          <w:rFonts w:ascii="Times New Roman" w:hAnsi="Times New Roman"/>
          <w:color w:val="0070C0"/>
          <w:sz w:val="16"/>
          <w:szCs w:val="16"/>
        </w:rPr>
        <w:softHyphen/>
        <w:t>намика самолета. В частности, сказывалось располо</w:t>
      </w:r>
      <w:r w:rsidRPr="00441F34">
        <w:rPr>
          <w:rFonts w:ascii="Times New Roman" w:hAnsi="Times New Roman"/>
          <w:color w:val="0070C0"/>
          <w:sz w:val="16"/>
          <w:szCs w:val="16"/>
        </w:rPr>
        <w:softHyphen/>
        <w:t>жение радиаторов тандемных установок над крылом на небольшом от него расстоянии.</w:t>
      </w:r>
    </w:p>
    <w:p w14:paraId="2124B9CE" w14:textId="77777777" w:rsidR="004B5185" w:rsidRPr="00441F34" w:rsidRDefault="004B5185" w:rsidP="004B51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Устранить недостатки было поручено коллективу КОСОС ЦАГИ во главе с А.Н. Туполевым. Там машину основательно переделали и получили уже совсем другой гидросамолет - </w:t>
      </w:r>
      <w:proofErr w:type="spellStart"/>
      <w:r w:rsidRPr="00441F34">
        <w:rPr>
          <w:rFonts w:ascii="Times New Roman" w:hAnsi="Times New Roman"/>
          <w:color w:val="0070C0"/>
          <w:sz w:val="16"/>
          <w:szCs w:val="16"/>
        </w:rPr>
        <w:t>трёхдвигательный</w:t>
      </w:r>
      <w:proofErr w:type="spellEnd"/>
      <w:r w:rsidRPr="00441F34">
        <w:rPr>
          <w:rFonts w:ascii="Times New Roman" w:hAnsi="Times New Roman"/>
          <w:color w:val="0070C0"/>
          <w:sz w:val="16"/>
          <w:szCs w:val="16"/>
        </w:rPr>
        <w:t xml:space="preserve"> АНТ-27 (МДР-4). [7]</w:t>
      </w:r>
    </w:p>
    <w:p w14:paraId="18F8D254" w14:textId="77777777" w:rsidR="004B5185" w:rsidRPr="00441F34" w:rsidRDefault="004B5185" w:rsidP="004B5185">
      <w:pPr>
        <w:spacing w:after="0" w:line="240" w:lineRule="auto"/>
        <w:jc w:val="both"/>
        <w:rPr>
          <w:rFonts w:ascii="Times New Roman" w:hAnsi="Times New Roman"/>
          <w:color w:val="0070C0"/>
          <w:sz w:val="16"/>
          <w:szCs w:val="16"/>
        </w:rPr>
      </w:pPr>
    </w:p>
    <w:p w14:paraId="479FC42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734465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7B1F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ноября 1931 года в ВВА была закончена разработка эскизного проекта Г-1 и с этого числа цикл </w:t>
      </w:r>
      <w:proofErr w:type="spellStart"/>
      <w:r w:rsidRPr="007122AB">
        <w:rPr>
          <w:rFonts w:ascii="Times New Roman" w:hAnsi="Times New Roman"/>
          <w:color w:val="000000" w:themeColor="text1"/>
          <w:sz w:val="16"/>
          <w:szCs w:val="16"/>
        </w:rPr>
        <w:t>самолетоведения</w:t>
      </w:r>
      <w:proofErr w:type="spellEnd"/>
      <w:r w:rsidRPr="007122AB">
        <w:rPr>
          <w:rFonts w:ascii="Times New Roman" w:hAnsi="Times New Roman"/>
          <w:color w:val="000000" w:themeColor="text1"/>
          <w:sz w:val="16"/>
          <w:szCs w:val="16"/>
        </w:rPr>
        <w:t xml:space="preserve"> приступил к разработке предварительного проекта (3054).</w:t>
      </w:r>
    </w:p>
    <w:p w14:paraId="0D8729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4DA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ноября 1931 были завершены испытания М-34 750 </w:t>
      </w:r>
      <w:proofErr w:type="spellStart"/>
      <w:r w:rsidRPr="007122AB">
        <w:rPr>
          <w:rFonts w:ascii="Times New Roman" w:hAnsi="Times New Roman"/>
          <w:color w:val="000000" w:themeColor="text1"/>
          <w:sz w:val="16"/>
          <w:szCs w:val="16"/>
        </w:rPr>
        <w:t>нр</w:t>
      </w:r>
      <w:proofErr w:type="spellEnd"/>
      <w:r w:rsidRPr="007122AB">
        <w:rPr>
          <w:rFonts w:ascii="Times New Roman" w:hAnsi="Times New Roman"/>
          <w:color w:val="000000" w:themeColor="text1"/>
          <w:sz w:val="16"/>
          <w:szCs w:val="16"/>
        </w:rPr>
        <w:t xml:space="preserve"> А.А.М. (62,691).</w:t>
      </w:r>
    </w:p>
    <w:p w14:paraId="5F6E1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5B6B3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ноября 1931 г. завершились гос. испытания двигателя М-34 мощностью 588 кВт, положившего начало выпуска мощных отечественных авиадвигателей. (6395).</w:t>
      </w:r>
    </w:p>
    <w:p w14:paraId="342D954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C536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 ноября 1934 первый мотор М-34 успешно отработал 100 часов, хотя и с некоторыми по</w:t>
      </w:r>
      <w:r w:rsidRPr="007122AB">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7122AB">
        <w:rPr>
          <w:rFonts w:ascii="Times New Roman" w:hAnsi="Times New Roman"/>
          <w:color w:val="000000" w:themeColor="text1"/>
          <w:sz w:val="16"/>
          <w:szCs w:val="16"/>
        </w:rPr>
        <w:softHyphen/>
        <w:t>вить вопрос о внедрении в серий</w:t>
      </w:r>
      <w:r w:rsidRPr="007122AB">
        <w:rPr>
          <w:rFonts w:ascii="Times New Roman" w:hAnsi="Times New Roman"/>
          <w:color w:val="000000" w:themeColor="text1"/>
          <w:sz w:val="16"/>
          <w:szCs w:val="16"/>
        </w:rPr>
        <w:softHyphen/>
        <w:t>ное производство. В документе так</w:t>
      </w:r>
      <w:r w:rsidRPr="007122AB">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7122AB">
        <w:rPr>
          <w:rFonts w:ascii="Times New Roman" w:hAnsi="Times New Roman"/>
          <w:color w:val="000000" w:themeColor="text1"/>
          <w:sz w:val="16"/>
          <w:szCs w:val="16"/>
        </w:rPr>
        <w:softHyphen/>
        <w:t>ленности (ГУАП) поступило распоря</w:t>
      </w:r>
      <w:r w:rsidRPr="007122AB">
        <w:rPr>
          <w:rFonts w:ascii="Times New Roman" w:hAnsi="Times New Roman"/>
          <w:color w:val="000000" w:themeColor="text1"/>
          <w:sz w:val="16"/>
          <w:szCs w:val="16"/>
        </w:rPr>
        <w:softHyphen/>
        <w:t>жение остановиться на сборке двух моторов, сдать все уже готовые де</w:t>
      </w:r>
      <w:r w:rsidRPr="007122AB">
        <w:rPr>
          <w:rFonts w:ascii="Times New Roman" w:hAnsi="Times New Roman"/>
          <w:color w:val="000000" w:themeColor="text1"/>
          <w:sz w:val="16"/>
          <w:szCs w:val="16"/>
        </w:rPr>
        <w:softHyphen/>
        <w:t>тали ИАМ. В мастерских ИАМ к на</w:t>
      </w:r>
      <w:r w:rsidRPr="007122AB">
        <w:rPr>
          <w:rFonts w:ascii="Times New Roman" w:hAnsi="Times New Roman"/>
          <w:color w:val="000000" w:themeColor="text1"/>
          <w:sz w:val="16"/>
          <w:szCs w:val="16"/>
        </w:rPr>
        <w:softHyphen/>
        <w:t>чалу октября 1932 г. сделали пять М-34, из них один - макетный для ЦАГИ (11848).</w:t>
      </w:r>
    </w:p>
    <w:p w14:paraId="4FC638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2BA8F"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 ноября </w:t>
      </w:r>
      <w:r w:rsidRPr="007122AB">
        <w:rPr>
          <w:rFonts w:ascii="Times New Roman" w:hAnsi="Times New Roman"/>
          <w:color w:val="000000" w:themeColor="text1"/>
          <w:sz w:val="16"/>
          <w:szCs w:val="16"/>
        </w:rPr>
        <w:t xml:space="preserve">в 1931 году завершены государственные испытания двигателя «М-34» мощностью 588 кВт, положившего начало выпуску в СССР мощных отечественных авиадвигателей. Фактически только один серийный самолет оснащался «М-34» — тяжелый бомбардировщик «ТБ-3». Хлопот с этим было много: пришлось менять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радиаторы и многое другое. А результат оказался почти нулевым. Практически весь прирост мощности «съел» увеличившийся вес </w:t>
      </w:r>
      <w:proofErr w:type="spellStart"/>
      <w:r w:rsidRPr="007122AB">
        <w:rPr>
          <w:rFonts w:ascii="Times New Roman" w:hAnsi="Times New Roman"/>
          <w:color w:val="000000" w:themeColor="text1"/>
          <w:sz w:val="16"/>
          <w:szCs w:val="16"/>
        </w:rPr>
        <w:t>мотоустановки</w:t>
      </w:r>
      <w:proofErr w:type="spellEnd"/>
      <w:r w:rsidRPr="007122AB">
        <w:rPr>
          <w:rFonts w:ascii="Times New Roman" w:hAnsi="Times New Roman"/>
          <w:color w:val="000000" w:themeColor="text1"/>
          <w:sz w:val="16"/>
          <w:szCs w:val="16"/>
        </w:rPr>
        <w:t>. Управление ВВС потребовало установить на «М-34» редуктор. Он должен был повысить эффективность работы пропеллера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поднял вес двигателя примерно на 70 кг. Как отметили специалисты НИИ ВВС, это было примерно в полтора раза больше, чем у иностранных конструкций с той же мощностью. Первый опытный образец «М-34Р» завершили 6 ноября 1932 г., всего их сделали семь. Полгода продолжались заводские испытания и доводка, а в апреле-мае 1933 г. прошли государственные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разрешали замену и вторую попытку. В итоге - «</w:t>
      </w:r>
      <w:proofErr w:type="spellStart"/>
      <w:r w:rsidRPr="007122AB">
        <w:rPr>
          <w:rFonts w:ascii="Times New Roman" w:hAnsi="Times New Roman"/>
          <w:color w:val="000000" w:themeColor="text1"/>
          <w:sz w:val="16"/>
          <w:szCs w:val="16"/>
        </w:rPr>
        <w:t>удовлетворительно».С</w:t>
      </w:r>
      <w:proofErr w:type="spellEnd"/>
      <w:r w:rsidRPr="007122AB">
        <w:rPr>
          <w:rFonts w:ascii="Times New Roman" w:hAnsi="Times New Roman"/>
          <w:color w:val="000000" w:themeColor="text1"/>
          <w:sz w:val="16"/>
          <w:szCs w:val="16"/>
        </w:rPr>
        <w:t xml:space="preserve"> конца 1933 г. завод № 24 приступил к серийному выпуску «М-34Р», который был объявлен основной продукцией. К 1 марта 1934 г. собрали 27 штук, дюжина из которых прошла испытания. Но военной приемке первую партию из 50 двигателей предъявили в апреле. Приемщики зафиксировали превышение веса против технических условий и завышенный расход топлива, но моторы приняли. 23 мая на повторных стендовых испытаниях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этому времени изготовили 260 моторов этой модификации. До конца же года выпустили 830 штук (14817).</w:t>
      </w:r>
    </w:p>
    <w:p w14:paraId="066B9F93" w14:textId="77777777" w:rsidR="00193905" w:rsidRPr="007122AB" w:rsidRDefault="00193905" w:rsidP="007122AB">
      <w:pPr>
        <w:spacing w:after="0" w:line="240" w:lineRule="auto"/>
        <w:jc w:val="both"/>
        <w:rPr>
          <w:rFonts w:ascii="Times New Roman" w:hAnsi="Times New Roman"/>
          <w:color w:val="000000" w:themeColor="text1"/>
          <w:sz w:val="16"/>
          <w:szCs w:val="16"/>
        </w:rPr>
      </w:pPr>
    </w:p>
    <w:p w14:paraId="76BDF7FB" w14:textId="77777777" w:rsidR="00C36871" w:rsidRPr="009F5089" w:rsidRDefault="00C36871" w:rsidP="00C368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1 ноября</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w:t>
      </w:r>
      <w:r>
        <w:rPr>
          <w:rFonts w:ascii="Times New Roman" w:hAnsi="Times New Roman"/>
          <w:color w:val="0070C0"/>
          <w:sz w:val="16"/>
          <w:szCs w:val="16"/>
        </w:rPr>
        <w:t>з</w:t>
      </w:r>
      <w:r w:rsidRPr="009F5089">
        <w:rPr>
          <w:rFonts w:ascii="Times New Roman" w:hAnsi="Times New Roman"/>
          <w:color w:val="0070C0"/>
          <w:sz w:val="16"/>
          <w:szCs w:val="16"/>
        </w:rPr>
        <w:t>акончились государственные испытания первого совет</w:t>
      </w:r>
      <w:r>
        <w:rPr>
          <w:rFonts w:ascii="Times New Roman" w:hAnsi="Times New Roman"/>
          <w:color w:val="0070C0"/>
          <w:sz w:val="16"/>
          <w:szCs w:val="16"/>
        </w:rPr>
        <w:t xml:space="preserve">ского </w:t>
      </w:r>
      <w:r w:rsidRPr="009F5089">
        <w:rPr>
          <w:rFonts w:ascii="Times New Roman" w:hAnsi="Times New Roman"/>
          <w:color w:val="0070C0"/>
          <w:sz w:val="16"/>
          <w:szCs w:val="16"/>
        </w:rPr>
        <w:t xml:space="preserve">мощного авиадвигателя </w:t>
      </w:r>
      <w:r>
        <w:rPr>
          <w:rFonts w:ascii="Times New Roman" w:hAnsi="Times New Roman"/>
          <w:color w:val="0070C0"/>
          <w:sz w:val="16"/>
          <w:szCs w:val="16"/>
        </w:rPr>
        <w:t>М</w:t>
      </w:r>
      <w:r w:rsidRPr="009F5089">
        <w:rPr>
          <w:rFonts w:ascii="Times New Roman" w:hAnsi="Times New Roman"/>
          <w:color w:val="0070C0"/>
          <w:sz w:val="16"/>
          <w:szCs w:val="16"/>
        </w:rPr>
        <w:t xml:space="preserve">-34 конструкции Александра </w:t>
      </w:r>
      <w:r>
        <w:rPr>
          <w:rFonts w:ascii="Times New Roman" w:hAnsi="Times New Roman"/>
          <w:color w:val="0070C0"/>
          <w:sz w:val="16"/>
          <w:szCs w:val="16"/>
        </w:rPr>
        <w:t>А</w:t>
      </w:r>
      <w:r w:rsidRPr="009F5089">
        <w:rPr>
          <w:rFonts w:ascii="Times New Roman" w:hAnsi="Times New Roman"/>
          <w:color w:val="0070C0"/>
          <w:sz w:val="16"/>
          <w:szCs w:val="16"/>
        </w:rPr>
        <w:t>лексан</w:t>
      </w:r>
      <w:r>
        <w:rPr>
          <w:rFonts w:ascii="Times New Roman" w:hAnsi="Times New Roman"/>
          <w:color w:val="0070C0"/>
          <w:sz w:val="16"/>
          <w:szCs w:val="16"/>
        </w:rPr>
        <w:t>дровича М</w:t>
      </w:r>
      <w:r w:rsidRPr="009F5089">
        <w:rPr>
          <w:rFonts w:ascii="Times New Roman" w:hAnsi="Times New Roman"/>
          <w:color w:val="0070C0"/>
          <w:sz w:val="16"/>
          <w:szCs w:val="16"/>
        </w:rPr>
        <w:t>икулина.</w:t>
      </w:r>
      <w:r>
        <w:rPr>
          <w:rFonts w:ascii="Times New Roman" w:hAnsi="Times New Roman"/>
          <w:color w:val="0070C0"/>
          <w:sz w:val="16"/>
          <w:szCs w:val="16"/>
        </w:rPr>
        <w:t xml:space="preserve"> М</w:t>
      </w:r>
      <w:r w:rsidRPr="009F5089">
        <w:rPr>
          <w:rFonts w:ascii="Times New Roman" w:hAnsi="Times New Roman"/>
          <w:color w:val="0070C0"/>
          <w:sz w:val="16"/>
          <w:szCs w:val="16"/>
        </w:rPr>
        <w:t>-34 - 12-цилиндровый У-образный жидкостного</w:t>
      </w:r>
      <w:r>
        <w:rPr>
          <w:rFonts w:ascii="Times New Roman" w:hAnsi="Times New Roman"/>
          <w:color w:val="0070C0"/>
          <w:sz w:val="16"/>
          <w:szCs w:val="16"/>
        </w:rPr>
        <w:t xml:space="preserve"> охлаждения</w:t>
      </w:r>
      <w:r w:rsidRPr="009F5089">
        <w:rPr>
          <w:rFonts w:ascii="Times New Roman" w:hAnsi="Times New Roman"/>
          <w:color w:val="0070C0"/>
          <w:sz w:val="16"/>
          <w:szCs w:val="16"/>
        </w:rPr>
        <w:t xml:space="preserve"> мощностью 750 л. с.,</w:t>
      </w:r>
      <w:r>
        <w:rPr>
          <w:rFonts w:ascii="Times New Roman" w:hAnsi="Times New Roman"/>
          <w:color w:val="0070C0"/>
          <w:sz w:val="16"/>
          <w:szCs w:val="16"/>
        </w:rPr>
        <w:t xml:space="preserve"> </w:t>
      </w:r>
      <w:r w:rsidRPr="009F5089">
        <w:rPr>
          <w:rFonts w:ascii="Times New Roman" w:hAnsi="Times New Roman"/>
          <w:color w:val="0070C0"/>
          <w:sz w:val="16"/>
          <w:szCs w:val="16"/>
        </w:rPr>
        <w:t>весом 582 к</w:t>
      </w:r>
      <w:r>
        <w:rPr>
          <w:rFonts w:ascii="Times New Roman" w:hAnsi="Times New Roman"/>
          <w:color w:val="0070C0"/>
          <w:sz w:val="16"/>
          <w:szCs w:val="16"/>
        </w:rPr>
        <w:t>г</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С 1933 года выпускал</w:t>
      </w:r>
      <w:r>
        <w:rPr>
          <w:rFonts w:ascii="Times New Roman" w:hAnsi="Times New Roman"/>
          <w:color w:val="0070C0"/>
          <w:sz w:val="16"/>
          <w:szCs w:val="16"/>
        </w:rPr>
        <w:t>ся</w:t>
      </w:r>
      <w:r w:rsidRPr="009F5089">
        <w:rPr>
          <w:rFonts w:ascii="Times New Roman" w:hAnsi="Times New Roman"/>
          <w:color w:val="0070C0"/>
          <w:sz w:val="16"/>
          <w:szCs w:val="16"/>
        </w:rPr>
        <w:t xml:space="preserve"> с редуктором /М-34Р 800 л.с./ и с нагнетателем /</w:t>
      </w:r>
      <w:r>
        <w:rPr>
          <w:rFonts w:ascii="Times New Roman" w:hAnsi="Times New Roman"/>
          <w:color w:val="0070C0"/>
          <w:sz w:val="16"/>
          <w:szCs w:val="16"/>
        </w:rPr>
        <w:t>М</w:t>
      </w:r>
      <w:r w:rsidRPr="009F5089">
        <w:rPr>
          <w:rFonts w:ascii="Times New Roman" w:hAnsi="Times New Roman"/>
          <w:color w:val="0070C0"/>
          <w:sz w:val="16"/>
          <w:szCs w:val="16"/>
        </w:rPr>
        <w:t>-</w:t>
      </w:r>
      <w:r>
        <w:rPr>
          <w:rFonts w:ascii="Times New Roman" w:hAnsi="Times New Roman"/>
          <w:color w:val="0070C0"/>
          <w:sz w:val="16"/>
          <w:szCs w:val="16"/>
        </w:rPr>
        <w:t>3</w:t>
      </w:r>
      <w:r w:rsidRPr="009F5089">
        <w:rPr>
          <w:rFonts w:ascii="Times New Roman" w:hAnsi="Times New Roman"/>
          <w:color w:val="0070C0"/>
          <w:sz w:val="16"/>
          <w:szCs w:val="16"/>
        </w:rPr>
        <w:t>4</w:t>
      </w:r>
      <w:r>
        <w:rPr>
          <w:rFonts w:ascii="Times New Roman" w:hAnsi="Times New Roman"/>
          <w:color w:val="0070C0"/>
          <w:sz w:val="16"/>
          <w:szCs w:val="16"/>
        </w:rPr>
        <w:t>РН</w:t>
      </w:r>
      <w:r w:rsidRPr="009F5089">
        <w:rPr>
          <w:rFonts w:ascii="Times New Roman" w:hAnsi="Times New Roman"/>
          <w:color w:val="0070C0"/>
          <w:sz w:val="16"/>
          <w:szCs w:val="16"/>
        </w:rPr>
        <w:t xml:space="preserve"> 950 л. </w:t>
      </w:r>
      <w:r>
        <w:rPr>
          <w:rFonts w:ascii="Times New Roman" w:hAnsi="Times New Roman"/>
          <w:color w:val="0070C0"/>
          <w:sz w:val="16"/>
          <w:szCs w:val="16"/>
        </w:rPr>
        <w:t>Дв</w:t>
      </w:r>
      <w:r w:rsidRPr="009F5089">
        <w:rPr>
          <w:rFonts w:ascii="Times New Roman" w:hAnsi="Times New Roman"/>
          <w:color w:val="0070C0"/>
          <w:sz w:val="16"/>
          <w:szCs w:val="16"/>
        </w:rPr>
        <w:t>игатель М-34 стоял на уровне лучших иностранных двигателей и сыграл больную роль в развитии советской авиации.</w:t>
      </w:r>
      <w:r>
        <w:rPr>
          <w:rFonts w:ascii="Times New Roman" w:hAnsi="Times New Roman"/>
          <w:color w:val="0070C0"/>
          <w:sz w:val="16"/>
          <w:szCs w:val="16"/>
        </w:rPr>
        <w:t xml:space="preserve"> </w:t>
      </w:r>
      <w:r w:rsidRPr="009F5089">
        <w:rPr>
          <w:rFonts w:ascii="Times New Roman" w:hAnsi="Times New Roman"/>
          <w:color w:val="0070C0"/>
          <w:sz w:val="16"/>
          <w:szCs w:val="16"/>
        </w:rPr>
        <w:t>На самолетах</w:t>
      </w:r>
      <w:r>
        <w:rPr>
          <w:rFonts w:ascii="Times New Roman" w:hAnsi="Times New Roman"/>
          <w:color w:val="0070C0"/>
          <w:sz w:val="16"/>
          <w:szCs w:val="16"/>
        </w:rPr>
        <w:t xml:space="preserve"> </w:t>
      </w:r>
      <w:r w:rsidRPr="009F5089">
        <w:rPr>
          <w:rFonts w:ascii="Times New Roman" w:hAnsi="Times New Roman"/>
          <w:color w:val="0070C0"/>
          <w:sz w:val="16"/>
          <w:szCs w:val="16"/>
        </w:rPr>
        <w:t>с</w:t>
      </w:r>
      <w:r>
        <w:rPr>
          <w:rFonts w:ascii="Times New Roman" w:hAnsi="Times New Roman"/>
          <w:color w:val="0070C0"/>
          <w:sz w:val="16"/>
          <w:szCs w:val="16"/>
        </w:rPr>
        <w:t xml:space="preserve"> двига</w:t>
      </w:r>
      <w:r w:rsidRPr="009F5089">
        <w:rPr>
          <w:rFonts w:ascii="Times New Roman" w:hAnsi="Times New Roman"/>
          <w:color w:val="0070C0"/>
          <w:sz w:val="16"/>
          <w:szCs w:val="16"/>
        </w:rPr>
        <w:t>телями М-34 были установлены первые в СССР мировые и между</w:t>
      </w:r>
      <w:r>
        <w:rPr>
          <w:rFonts w:ascii="Times New Roman" w:hAnsi="Times New Roman"/>
          <w:color w:val="0070C0"/>
          <w:sz w:val="16"/>
          <w:szCs w:val="16"/>
        </w:rPr>
        <w:t>на</w:t>
      </w:r>
      <w:r w:rsidRPr="009F5089">
        <w:rPr>
          <w:rFonts w:ascii="Times New Roman" w:hAnsi="Times New Roman"/>
          <w:color w:val="0070C0"/>
          <w:sz w:val="16"/>
          <w:szCs w:val="16"/>
        </w:rPr>
        <w:t>род</w:t>
      </w:r>
      <w:r>
        <w:rPr>
          <w:rFonts w:ascii="Times New Roman" w:hAnsi="Times New Roman"/>
          <w:color w:val="0070C0"/>
          <w:sz w:val="16"/>
          <w:szCs w:val="16"/>
        </w:rPr>
        <w:t>ны</w:t>
      </w:r>
      <w:r w:rsidRPr="009F5089">
        <w:rPr>
          <w:rFonts w:ascii="Times New Roman" w:hAnsi="Times New Roman"/>
          <w:color w:val="0070C0"/>
          <w:sz w:val="16"/>
          <w:szCs w:val="16"/>
        </w:rPr>
        <w:t>е рекорды,</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совершены выдающиеся перелеты </w:t>
      </w:r>
      <w:proofErr w:type="spellStart"/>
      <w:r>
        <w:rPr>
          <w:rFonts w:ascii="Times New Roman" w:hAnsi="Times New Roman"/>
          <w:color w:val="0070C0"/>
          <w:sz w:val="16"/>
          <w:szCs w:val="16"/>
        </w:rPr>
        <w:t>М</w:t>
      </w:r>
      <w:r w:rsidRPr="009F5089">
        <w:rPr>
          <w:rFonts w:ascii="Times New Roman" w:hAnsi="Times New Roman"/>
          <w:color w:val="0070C0"/>
          <w:sz w:val="16"/>
          <w:szCs w:val="16"/>
        </w:rPr>
        <w:t>.М.Громова</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В</w:t>
      </w:r>
      <w:r>
        <w:rPr>
          <w:rFonts w:ascii="Times New Roman" w:hAnsi="Times New Roman"/>
          <w:color w:val="0070C0"/>
          <w:sz w:val="16"/>
          <w:szCs w:val="16"/>
        </w:rPr>
        <w:t>.</w:t>
      </w:r>
      <w:r w:rsidRPr="009F5089">
        <w:rPr>
          <w:rFonts w:ascii="Times New Roman" w:hAnsi="Times New Roman"/>
          <w:color w:val="0070C0"/>
          <w:sz w:val="16"/>
          <w:szCs w:val="16"/>
        </w:rPr>
        <w:t>П. Чкалова и др.</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В 1936 году двигателю </w:t>
      </w:r>
      <w:r>
        <w:rPr>
          <w:rFonts w:ascii="Times New Roman" w:hAnsi="Times New Roman"/>
          <w:color w:val="0070C0"/>
          <w:sz w:val="16"/>
          <w:szCs w:val="16"/>
        </w:rPr>
        <w:t>М</w:t>
      </w:r>
      <w:r w:rsidRPr="009F5089">
        <w:rPr>
          <w:rFonts w:ascii="Times New Roman" w:hAnsi="Times New Roman"/>
          <w:color w:val="0070C0"/>
          <w:sz w:val="16"/>
          <w:szCs w:val="16"/>
        </w:rPr>
        <w:t xml:space="preserve">-34 было присвоено название </w:t>
      </w:r>
      <w:r>
        <w:rPr>
          <w:rFonts w:ascii="Times New Roman" w:hAnsi="Times New Roman"/>
          <w:color w:val="0070C0"/>
          <w:sz w:val="16"/>
          <w:szCs w:val="16"/>
        </w:rPr>
        <w:t>А</w:t>
      </w:r>
      <w:r w:rsidRPr="009F5089">
        <w:rPr>
          <w:rFonts w:ascii="Times New Roman" w:hAnsi="Times New Roman"/>
          <w:color w:val="0070C0"/>
          <w:sz w:val="16"/>
          <w:szCs w:val="16"/>
        </w:rPr>
        <w:t xml:space="preserve">М-34 /Александр </w:t>
      </w:r>
      <w:r>
        <w:rPr>
          <w:rFonts w:ascii="Times New Roman" w:hAnsi="Times New Roman"/>
          <w:color w:val="0070C0"/>
          <w:sz w:val="16"/>
          <w:szCs w:val="16"/>
        </w:rPr>
        <w:t>М</w:t>
      </w:r>
      <w:r w:rsidRPr="009F5089">
        <w:rPr>
          <w:rFonts w:ascii="Times New Roman" w:hAnsi="Times New Roman"/>
          <w:color w:val="0070C0"/>
          <w:sz w:val="16"/>
          <w:szCs w:val="16"/>
        </w:rPr>
        <w:t>икулин/.</w:t>
      </w:r>
    </w:p>
    <w:p w14:paraId="70DF58FC" w14:textId="77777777" w:rsidR="00C36871" w:rsidRDefault="00C36871" w:rsidP="00C368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/ТВФ, 1941 № 2/</w:t>
      </w:r>
      <w:r>
        <w:rPr>
          <w:rFonts w:ascii="Times New Roman" w:hAnsi="Times New Roman"/>
          <w:color w:val="0070C0"/>
          <w:sz w:val="16"/>
          <w:szCs w:val="16"/>
        </w:rPr>
        <w:t xml:space="preserve"> (23370).</w:t>
      </w:r>
    </w:p>
    <w:p w14:paraId="43659EAD" w14:textId="77777777" w:rsidR="00C36871" w:rsidRPr="009F5089" w:rsidRDefault="00C36871" w:rsidP="00C36871">
      <w:pPr>
        <w:spacing w:after="0" w:line="240" w:lineRule="auto"/>
        <w:jc w:val="both"/>
        <w:rPr>
          <w:rFonts w:ascii="Times New Roman" w:hAnsi="Times New Roman"/>
          <w:color w:val="0070C0"/>
          <w:sz w:val="16"/>
          <w:szCs w:val="16"/>
        </w:rPr>
      </w:pPr>
    </w:p>
    <w:p w14:paraId="69D5708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C4B606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3584A9" w14:textId="77777777" w:rsidR="00346741" w:rsidRPr="007122AB" w:rsidRDefault="0034674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 1 ноября 1931 г. на ХПЗ были готовы первые три боевые машины, получившие обозначение БТ-2, а полномасштабный выпуск начался в следующем году. Внедрение БТ-2 в производство сопровождалось многочисленными проблемами. Конструкцию танка Кристи, по сути, являвшегося экспери</w:t>
      </w:r>
      <w:r w:rsidRPr="007122AB">
        <w:rPr>
          <w:rFonts w:ascii="Times New Roman" w:hAnsi="Times New Roman"/>
          <w:color w:val="000000" w:themeColor="text1"/>
          <w:sz w:val="16"/>
          <w:szCs w:val="16"/>
          <w:lang w:eastAsia="ru-RU" w:bidi="ru-RU"/>
        </w:rPr>
        <w:softHyphen/>
        <w:t xml:space="preserve">ментальной машиной, пришлось </w:t>
      </w:r>
      <w:r w:rsidRPr="007122AB">
        <w:rPr>
          <w:rFonts w:ascii="Times New Roman" w:hAnsi="Times New Roman"/>
          <w:color w:val="000000" w:themeColor="text1"/>
          <w:sz w:val="16"/>
          <w:szCs w:val="16"/>
          <w:lang w:eastAsia="ru-RU" w:bidi="ru-RU"/>
        </w:rPr>
        <w:lastRenderedPageBreak/>
        <w:t>приспосабливать к требованиям массового производства. Как следствие, из 600 танков, запланированных на 1932 г., завод сдал лишь 396. Всего же в те</w:t>
      </w:r>
      <w:r w:rsidRPr="007122AB">
        <w:rPr>
          <w:rFonts w:ascii="Times New Roman" w:hAnsi="Times New Roman"/>
          <w:color w:val="000000" w:themeColor="text1"/>
          <w:sz w:val="16"/>
          <w:szCs w:val="16"/>
          <w:lang w:eastAsia="ru-RU" w:bidi="ru-RU"/>
        </w:rPr>
        <w:softHyphen/>
        <w:t>чение 1932—1933 гг. ХПЗ изготовил 620 танков БТ-2 (23180).</w:t>
      </w:r>
    </w:p>
    <w:p w14:paraId="2C2F5336" w14:textId="77777777" w:rsidR="00346741" w:rsidRPr="007122AB" w:rsidRDefault="00346741" w:rsidP="007122AB">
      <w:pPr>
        <w:spacing w:after="0" w:line="240" w:lineRule="auto"/>
        <w:jc w:val="both"/>
        <w:rPr>
          <w:rFonts w:ascii="Times New Roman" w:hAnsi="Times New Roman"/>
          <w:color w:val="000000" w:themeColor="text1"/>
          <w:sz w:val="16"/>
          <w:szCs w:val="16"/>
        </w:rPr>
      </w:pPr>
    </w:p>
    <w:p w14:paraId="32BEFB48"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72. 10. О развертывании собственного морского судостроения в 1932/34 гг. (ПБ от 5 октября 1931, пр. № 67, п. 3) (Орджоникидзе, Янсон, </w:t>
      </w:r>
      <w:proofErr w:type="spellStart"/>
      <w:r w:rsidRPr="007122AB">
        <w:rPr>
          <w:rFonts w:ascii="Times New Roman" w:hAnsi="Times New Roman"/>
          <w:color w:val="000000" w:themeColor="text1"/>
          <w:sz w:val="16"/>
          <w:szCs w:val="16"/>
          <w:u w:color="002060"/>
        </w:rPr>
        <w:t>Розенгольц</w:t>
      </w:r>
      <w:proofErr w:type="spellEnd"/>
      <w:r w:rsidRPr="007122AB">
        <w:rPr>
          <w:rFonts w:ascii="Times New Roman" w:hAnsi="Times New Roman"/>
          <w:color w:val="000000" w:themeColor="text1"/>
          <w:sz w:val="16"/>
          <w:szCs w:val="16"/>
          <w:u w:color="002060"/>
        </w:rPr>
        <w:t>). (Политбюро... Т. 2. С. 236) (12416).</w:t>
      </w:r>
    </w:p>
    <w:p w14:paraId="63BAD025"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p>
    <w:p w14:paraId="10D0173A"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 ноября 1931 </w:t>
      </w:r>
      <w:r w:rsidRPr="007122AB">
        <w:rPr>
          <w:rFonts w:ascii="Times New Roman" w:hAnsi="Times New Roman"/>
          <w:color w:val="000000" w:themeColor="text1"/>
          <w:sz w:val="16"/>
          <w:szCs w:val="16"/>
        </w:rPr>
        <w:t>Политбюро ЦК ВКП (б) утвердило комиссию для приемки Магнитогорского и Кузнецкого заводов (12265).</w:t>
      </w:r>
    </w:p>
    <w:p w14:paraId="1A17C23F"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1C83AAE1"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 ноября </w:t>
      </w:r>
      <w:r w:rsidRPr="007122AB">
        <w:rPr>
          <w:rFonts w:ascii="Times New Roman" w:hAnsi="Times New Roman"/>
          <w:color w:val="000000" w:themeColor="text1"/>
          <w:sz w:val="16"/>
          <w:szCs w:val="16"/>
        </w:rPr>
        <w:t>в 1931 году на базе цеха Надеждинского металлургического завода на Урале был образован Всесоюзный государственный трест. Ныне ФГУП "Серовский механический завод" (Свердловская область) - одно из крупнейших современных предприятий Урала по производству противоаварийного инструмента для геолого-разведочных работ. Первой продукцией завода было выполнение заказов для наркоматов путей сообщения, авиации, земледелия. С 1946 года завод приступил к производству деталей бурового инструмента для геологоразведки, нефтяников, и газовиков и стал лидирующим предприятием в стране по производству бурового и противоаварийного инструмента для геологоразведочных работ. Сегодня ФГУП "Серовский механический завод" - крупное современное предприятие. Удачное расположение его в индустриальном центре севера Уральского региона - городе Серове с развитой сетью железных и автомобильных дорог - позволяет мобильно и продуктивно взаимодействовать с партнерами. В данный момент предприятие производит инструмент для нефтедобывающей и горнорудной промышленности, геологоразведки, электромонтажные изделия (14817).</w:t>
      </w:r>
    </w:p>
    <w:p w14:paraId="023F31DD" w14:textId="77777777" w:rsidR="00193905" w:rsidRPr="007122AB" w:rsidRDefault="00193905" w:rsidP="007122AB">
      <w:pPr>
        <w:spacing w:after="0" w:line="240" w:lineRule="auto"/>
        <w:jc w:val="both"/>
        <w:rPr>
          <w:rFonts w:ascii="Times New Roman" w:hAnsi="Times New Roman"/>
          <w:color w:val="000000" w:themeColor="text1"/>
          <w:sz w:val="16"/>
          <w:szCs w:val="16"/>
        </w:rPr>
      </w:pPr>
    </w:p>
    <w:p w14:paraId="4D68A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ноября 1931 г. в соответствии с пост. ВСНХ и приказом по снарядному тресту кузнечно-прессовый цех Надеждинского металлургического комбината «</w:t>
      </w:r>
      <w:proofErr w:type="spellStart"/>
      <w:r w:rsidRPr="007122AB">
        <w:rPr>
          <w:rFonts w:ascii="Times New Roman" w:hAnsi="Times New Roman"/>
          <w:color w:val="000000" w:themeColor="text1"/>
          <w:sz w:val="16"/>
          <w:szCs w:val="16"/>
        </w:rPr>
        <w:t>Востоксталь</w:t>
      </w:r>
      <w:proofErr w:type="spellEnd"/>
      <w:r w:rsidRPr="007122AB">
        <w:rPr>
          <w:rFonts w:ascii="Times New Roman" w:hAnsi="Times New Roman"/>
          <w:color w:val="000000" w:themeColor="text1"/>
          <w:sz w:val="16"/>
          <w:szCs w:val="16"/>
        </w:rPr>
        <w:t xml:space="preserve">» выделен в самостоятельный механический завод № 76 (Завод № 76 </w:t>
      </w:r>
      <w:r w:rsidRPr="007122AB">
        <w:rPr>
          <w:rFonts w:ascii="Times New Roman" w:hAnsi="Times New Roman"/>
          <w:color w:val="000000" w:themeColor="text1"/>
          <w:sz w:val="16"/>
          <w:szCs w:val="16"/>
          <w:lang w:val="en-US"/>
        </w:rPr>
        <w:t>BCHX</w:t>
      </w:r>
      <w:r w:rsidRPr="007122AB">
        <w:rPr>
          <w:rFonts w:ascii="Times New Roman" w:hAnsi="Times New Roman"/>
          <w:color w:val="000000" w:themeColor="text1"/>
          <w:sz w:val="16"/>
          <w:szCs w:val="16"/>
        </w:rPr>
        <w:t xml:space="preserve">, НКОП, НКБ, ФГУП «Серовский механический завод» </w:t>
      </w:r>
      <w:proofErr w:type="spellStart"/>
      <w:r w:rsidRPr="007122AB">
        <w:rPr>
          <w:rFonts w:ascii="Times New Roman" w:hAnsi="Times New Roman"/>
          <w:color w:val="000000" w:themeColor="text1"/>
          <w:sz w:val="16"/>
          <w:szCs w:val="16"/>
        </w:rPr>
        <w:t>Росбоеприпаса</w:t>
      </w:r>
      <w:proofErr w:type="spellEnd"/>
      <w:r w:rsidRPr="007122AB">
        <w:rPr>
          <w:rFonts w:ascii="Times New Roman" w:hAnsi="Times New Roman"/>
          <w:color w:val="000000" w:themeColor="text1"/>
          <w:sz w:val="16"/>
          <w:szCs w:val="16"/>
        </w:rPr>
        <w:t xml:space="preserve"> /г. </w:t>
      </w:r>
      <w:proofErr w:type="spellStart"/>
      <w:r w:rsidRPr="007122AB">
        <w:rPr>
          <w:rFonts w:ascii="Times New Roman" w:hAnsi="Times New Roman"/>
          <w:color w:val="000000" w:themeColor="text1"/>
          <w:sz w:val="16"/>
          <w:szCs w:val="16"/>
        </w:rPr>
        <w:t>Надеждинск</w:t>
      </w:r>
      <w:proofErr w:type="spellEnd"/>
      <w:r w:rsidRPr="007122AB">
        <w:rPr>
          <w:rFonts w:ascii="Times New Roman" w:hAnsi="Times New Roman"/>
          <w:color w:val="000000" w:themeColor="text1"/>
          <w:sz w:val="16"/>
          <w:szCs w:val="16"/>
        </w:rPr>
        <w:t>,  г. Серов Свердловской обл./ /624981  г. Серов Свердловской обл. ул. Агломератчиков, 5 тел. 22-444,22-566/).</w:t>
      </w:r>
    </w:p>
    <w:p w14:paraId="41E74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буферных тарелок, комплектов вагонной сцепки, заготовок </w:t>
      </w:r>
      <w:proofErr w:type="spellStart"/>
      <w:r w:rsidRPr="007122AB">
        <w:rPr>
          <w:rFonts w:ascii="Times New Roman" w:hAnsi="Times New Roman"/>
          <w:color w:val="000000" w:themeColor="text1"/>
          <w:sz w:val="16"/>
          <w:szCs w:val="16"/>
        </w:rPr>
        <w:t>авиацилиндров</w:t>
      </w:r>
      <w:proofErr w:type="spellEnd"/>
      <w:r w:rsidRPr="007122AB">
        <w:rPr>
          <w:rFonts w:ascii="Times New Roman" w:hAnsi="Times New Roman"/>
          <w:color w:val="000000" w:themeColor="text1"/>
          <w:sz w:val="16"/>
          <w:szCs w:val="16"/>
        </w:rPr>
        <w:t>, плугов, деталей к тракторам.</w:t>
      </w:r>
    </w:p>
    <w:p w14:paraId="618C99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91 от 13.03.1937 г. утвержден Устав ГС завода № 76 4ГУ НКОП, по пр. № 0180 от 15.08.1937 г. передан в новое 13ГУ. В 02.1939 г. завод № 76 13ГУ НКОП передан в ведение 13ГУ НКБ, в 12.1942-09.1944 г. - в ведении 4ГУНКБ.</w:t>
      </w:r>
    </w:p>
    <w:p w14:paraId="69DFF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НКОП № 0025 от 4.02.1937 г. заводу предписано к 1.01.1938 г. создать мощности по выпуску корпусов 122-мм снарядов - 600 тыс. шт. в год, химических - 1 млн. шт. Пр. № 95с от 16.03.1938 г. заводу поручено изготовить к 1.05.1938 г. </w:t>
      </w:r>
      <w:proofErr w:type="spellStart"/>
      <w:r w:rsidRPr="007122AB">
        <w:rPr>
          <w:rFonts w:ascii="Times New Roman" w:hAnsi="Times New Roman"/>
          <w:color w:val="000000" w:themeColor="text1"/>
          <w:sz w:val="16"/>
          <w:szCs w:val="16"/>
        </w:rPr>
        <w:t>опытныю</w:t>
      </w:r>
      <w:proofErr w:type="spellEnd"/>
      <w:r w:rsidRPr="007122AB">
        <w:rPr>
          <w:rFonts w:ascii="Times New Roman" w:hAnsi="Times New Roman"/>
          <w:color w:val="000000" w:themeColor="text1"/>
          <w:sz w:val="16"/>
          <w:szCs w:val="16"/>
        </w:rPr>
        <w:t xml:space="preserve"> партию корпусов 122-мм химических снарядов НОВ.</w:t>
      </w:r>
    </w:p>
    <w:p w14:paraId="50A46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годы войны - производство осколочных, фугасных и дымовых артиллерийских снарядов, деталей к БМ-13, </w:t>
      </w:r>
      <w:proofErr w:type="spellStart"/>
      <w:r w:rsidRPr="007122AB">
        <w:rPr>
          <w:rFonts w:ascii="Times New Roman" w:hAnsi="Times New Roman"/>
          <w:color w:val="000000" w:themeColor="text1"/>
          <w:sz w:val="16"/>
          <w:szCs w:val="16"/>
        </w:rPr>
        <w:t>авиацилиндров</w:t>
      </w:r>
      <w:proofErr w:type="spellEnd"/>
      <w:r w:rsidRPr="007122AB">
        <w:rPr>
          <w:rFonts w:ascii="Times New Roman" w:hAnsi="Times New Roman"/>
          <w:color w:val="000000" w:themeColor="text1"/>
          <w:sz w:val="16"/>
          <w:szCs w:val="16"/>
        </w:rPr>
        <w:t>.</w:t>
      </w:r>
    </w:p>
    <w:p w14:paraId="4DD8DA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выпуск оборонной продукции сокращен; освоено производство бурового инструмента (более 200 наименований). В 1955 г. создан новый механический цех для выпуска пилорам. В 1970 г. в цехе № 2 создан участок по выпуску бытовых светильников, который затем преобразован в цех ТНП. Имелись цеха № 11, № 14.</w:t>
      </w:r>
    </w:p>
    <w:p w14:paraId="13410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(1990-е)- буровой инструмент; (2000-е)- задвижки, вентили, фланцы.</w:t>
      </w:r>
    </w:p>
    <w:p w14:paraId="402D7F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9.07.1996 г. завод вошел во вновь созданную ФПГ «</w:t>
      </w:r>
      <w:proofErr w:type="spellStart"/>
      <w:r w:rsidRPr="007122AB">
        <w:rPr>
          <w:rFonts w:ascii="Times New Roman" w:hAnsi="Times New Roman"/>
          <w:color w:val="000000" w:themeColor="text1"/>
          <w:sz w:val="16"/>
          <w:szCs w:val="16"/>
        </w:rPr>
        <w:t>Оборонметхимпром</w:t>
      </w:r>
      <w:proofErr w:type="spellEnd"/>
      <w:r w:rsidRPr="007122AB">
        <w:rPr>
          <w:rFonts w:ascii="Times New Roman" w:hAnsi="Times New Roman"/>
          <w:color w:val="000000" w:themeColor="text1"/>
          <w:sz w:val="16"/>
          <w:szCs w:val="16"/>
        </w:rPr>
        <w:t>». По Указу Президента РФ № 1009 от 4.08.2004 г. вошел в число стратегических оборонных предприятий.</w:t>
      </w:r>
    </w:p>
    <w:p w14:paraId="2C8B0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(12.1942 г.)- 4689 чел.</w:t>
      </w:r>
      <w:r w:rsidRPr="007122AB">
        <w:rPr>
          <w:rFonts w:ascii="Times New Roman" w:hAnsi="Times New Roman"/>
          <w:color w:val="000000" w:themeColor="text1"/>
          <w:sz w:val="16"/>
          <w:szCs w:val="16"/>
          <w:vertAlign w:val="superscript"/>
        </w:rPr>
        <w:t>132</w:t>
      </w:r>
    </w:p>
    <w:p w14:paraId="6C5BF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И.О. директора (11.1931 г.-)- А.И. Миляев. Директор (-22.02.1937 г.)- К.П. </w:t>
      </w:r>
      <w:proofErr w:type="spellStart"/>
      <w:r w:rsidRPr="007122AB">
        <w:rPr>
          <w:rFonts w:ascii="Times New Roman" w:hAnsi="Times New Roman"/>
          <w:color w:val="000000" w:themeColor="text1"/>
          <w:sz w:val="16"/>
          <w:szCs w:val="16"/>
        </w:rPr>
        <w:t>Хотулев</w:t>
      </w:r>
      <w:proofErr w:type="spellEnd"/>
      <w:r w:rsidRPr="007122AB">
        <w:rPr>
          <w:rFonts w:ascii="Times New Roman" w:hAnsi="Times New Roman"/>
          <w:color w:val="000000" w:themeColor="text1"/>
          <w:sz w:val="16"/>
          <w:szCs w:val="16"/>
        </w:rPr>
        <w:t xml:space="preserve">, (22.02.1937-03.1938 г.-)- Д.А. </w:t>
      </w:r>
      <w:proofErr w:type="spellStart"/>
      <w:r w:rsidRPr="007122AB">
        <w:rPr>
          <w:rFonts w:ascii="Times New Roman" w:hAnsi="Times New Roman"/>
          <w:color w:val="000000" w:themeColor="text1"/>
          <w:sz w:val="16"/>
          <w:szCs w:val="16"/>
        </w:rPr>
        <w:t>Ирлин</w:t>
      </w:r>
      <w:proofErr w:type="spellEnd"/>
      <w:r w:rsidRPr="007122AB">
        <w:rPr>
          <w:rFonts w:ascii="Times New Roman" w:hAnsi="Times New Roman"/>
          <w:color w:val="000000" w:themeColor="text1"/>
          <w:sz w:val="16"/>
          <w:szCs w:val="16"/>
        </w:rPr>
        <w:t xml:space="preserve">, (1939-42 г.)- М.Н. Алексеев, (1942-43 г.)- В.Д. </w:t>
      </w:r>
      <w:proofErr w:type="spellStart"/>
      <w:r w:rsidRPr="007122AB">
        <w:rPr>
          <w:rFonts w:ascii="Times New Roman" w:hAnsi="Times New Roman"/>
          <w:color w:val="000000" w:themeColor="text1"/>
          <w:sz w:val="16"/>
          <w:szCs w:val="16"/>
        </w:rPr>
        <w:t>Кныш</w:t>
      </w:r>
      <w:proofErr w:type="spellEnd"/>
      <w:r w:rsidRPr="007122AB">
        <w:rPr>
          <w:rFonts w:ascii="Times New Roman" w:hAnsi="Times New Roman"/>
          <w:color w:val="000000" w:themeColor="text1"/>
          <w:sz w:val="16"/>
          <w:szCs w:val="16"/>
        </w:rPr>
        <w:t>, (1943-44 г.)- В.Я. Клименков, (1944-45 г.)-  Г.Ф. Черноус, (1990-е-2005 г.-)- А.А. Никитин.</w:t>
      </w:r>
    </w:p>
    <w:p w14:paraId="1F72C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(06.1938 г.)- С.П. Казаков.</w:t>
      </w:r>
    </w:p>
    <w:p w14:paraId="114575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(06.1938 г.)- С.П. Казаков, Ж.Н. Шуплецов.</w:t>
      </w:r>
    </w:p>
    <w:p w14:paraId="30B93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технолог- В.В. </w:t>
      </w:r>
      <w:proofErr w:type="spellStart"/>
      <w:r w:rsidRPr="007122AB">
        <w:rPr>
          <w:rFonts w:ascii="Times New Roman" w:hAnsi="Times New Roman"/>
          <w:color w:val="000000" w:themeColor="text1"/>
          <w:sz w:val="16"/>
          <w:szCs w:val="16"/>
        </w:rPr>
        <w:t>Пфлу</w:t>
      </w:r>
      <w:proofErr w:type="spellEnd"/>
      <w:r w:rsidRPr="007122AB">
        <w:rPr>
          <w:rFonts w:ascii="Times New Roman" w:hAnsi="Times New Roman"/>
          <w:color w:val="000000" w:themeColor="text1"/>
          <w:sz w:val="16"/>
          <w:szCs w:val="16"/>
        </w:rPr>
        <w:t xml:space="preserve"> г.</w:t>
      </w:r>
    </w:p>
    <w:p w14:paraId="4CF289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цилиндры авиационного мотора АМ-34 (1937); пилорамы ЛРМ-64 (1955-); буровой инструмент.</w:t>
      </w:r>
      <w:r w:rsidRPr="007122AB">
        <w:rPr>
          <w:rFonts w:ascii="Times New Roman" w:hAnsi="Times New Roman"/>
          <w:color w:val="000000" w:themeColor="text1"/>
          <w:sz w:val="16"/>
          <w:szCs w:val="16"/>
          <w:vertAlign w:val="superscript"/>
        </w:rPr>
        <w:t>101</w:t>
      </w:r>
    </w:p>
    <w:p w14:paraId="0F8792F9" w14:textId="77777777" w:rsidR="00193905" w:rsidRPr="007122AB" w:rsidRDefault="00193905"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Надеждинский металлургической завод, Надеждинский металлургический комбинат «</w:t>
      </w:r>
      <w:proofErr w:type="spellStart"/>
      <w:r w:rsidRPr="007122AB">
        <w:rPr>
          <w:rFonts w:ascii="Times New Roman" w:hAnsi="Times New Roman"/>
          <w:color w:val="000000" w:themeColor="text1"/>
          <w:sz w:val="16"/>
          <w:szCs w:val="16"/>
        </w:rPr>
        <w:t>Востоксталь</w:t>
      </w:r>
      <w:proofErr w:type="spellEnd"/>
      <w:r w:rsidRPr="007122AB">
        <w:rPr>
          <w:rFonts w:ascii="Times New Roman" w:hAnsi="Times New Roman"/>
          <w:color w:val="000000" w:themeColor="text1"/>
          <w:sz w:val="16"/>
          <w:szCs w:val="16"/>
        </w:rPr>
        <w:t xml:space="preserve">», Серовский металлургический комбинат, ОАО «Серовский металлургический завод» / г. </w:t>
      </w:r>
      <w:proofErr w:type="spellStart"/>
      <w:r w:rsidRPr="007122AB">
        <w:rPr>
          <w:rFonts w:ascii="Times New Roman" w:hAnsi="Times New Roman"/>
          <w:color w:val="000000" w:themeColor="text1"/>
          <w:sz w:val="16"/>
          <w:szCs w:val="16"/>
        </w:rPr>
        <w:t>Надеждинск</w:t>
      </w:r>
      <w:proofErr w:type="spellEnd"/>
      <w:r w:rsidRPr="007122AB">
        <w:rPr>
          <w:rFonts w:ascii="Times New Roman" w:hAnsi="Times New Roman"/>
          <w:color w:val="000000" w:themeColor="text1"/>
          <w:sz w:val="16"/>
          <w:szCs w:val="16"/>
        </w:rPr>
        <w:t>, г. Серов Свердловской обл./</w:t>
      </w:r>
    </w:p>
    <w:p w14:paraId="5F1E1B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Основан в 1894-96 г. как Надеждинский металлургический завод, самый крупный завод на Урале. До революции- производство проката, в основном, рельсов.</w:t>
      </w:r>
    </w:p>
    <w:p w14:paraId="211483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ВСНХ и приказом по снарядному тресту от 1.11.1931 г. кузнечно-прессовый цех Надеждинского металлургического комбината «</w:t>
      </w:r>
      <w:proofErr w:type="spellStart"/>
      <w:r w:rsidRPr="007122AB">
        <w:rPr>
          <w:rFonts w:ascii="Times New Roman" w:hAnsi="Times New Roman"/>
          <w:color w:val="000000" w:themeColor="text1"/>
          <w:sz w:val="16"/>
          <w:szCs w:val="16"/>
        </w:rPr>
        <w:t>Востоксталь</w:t>
      </w:r>
      <w:proofErr w:type="spellEnd"/>
      <w:r w:rsidRPr="007122AB">
        <w:rPr>
          <w:rFonts w:ascii="Times New Roman" w:hAnsi="Times New Roman"/>
          <w:color w:val="000000" w:themeColor="text1"/>
          <w:sz w:val="16"/>
          <w:szCs w:val="16"/>
        </w:rPr>
        <w:t>» выделен в самостоятельный механический завод № 76.</w:t>
      </w:r>
    </w:p>
    <w:p w14:paraId="2B1738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высококачественной стали (1960-е  г.).</w:t>
      </w:r>
    </w:p>
    <w:p w14:paraId="34E43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ОАО «Серовский металлургический завод» входит в УГМК (2003 г.) (11982).</w:t>
      </w:r>
    </w:p>
    <w:p w14:paraId="3331F4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8FF03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30030B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590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 2 ноября по 20 декабря 1931 более совершенный вариант ТШ-2 с улучшенным бронированием и условиями охлаждения мотора - ТШ-2 второй вариант (№ 21 по плану ЦКБ) прошел испытания.</w:t>
      </w:r>
    </w:p>
    <w:p w14:paraId="36D58E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 был вооружен двумя синхронными пулеметами ПВ-1 с боезапасом 1500 патронов. </w:t>
      </w:r>
      <w:proofErr w:type="spellStart"/>
      <w:r w:rsidRPr="007122AB">
        <w:rPr>
          <w:rFonts w:ascii="Times New Roman" w:hAnsi="Times New Roman"/>
          <w:color w:val="000000" w:themeColor="text1"/>
          <w:sz w:val="16"/>
          <w:szCs w:val="16"/>
        </w:rPr>
        <w:t>Подкрылье</w:t>
      </w:r>
      <w:proofErr w:type="spellEnd"/>
      <w:r w:rsidRPr="007122AB">
        <w:rPr>
          <w:rFonts w:ascii="Times New Roman" w:hAnsi="Times New Roman"/>
          <w:color w:val="000000" w:themeColor="text1"/>
          <w:sz w:val="16"/>
          <w:szCs w:val="16"/>
        </w:rPr>
        <w:t>-вые пулеметы с целью улучшения аэродинамики располагались в утолщенной части нижнего крыла. На турели ТУР-7 был установлен пулемет ПВ-1 с запасом 600 патронов.</w:t>
      </w:r>
    </w:p>
    <w:p w14:paraId="39D968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с использованием взлетного режима работы мотора возросла до 213 км/ч. Скороподъемность самолета оставалась, как и прежде, низкой - 3,5 м/с, а полное время набора высоты 3000 м составляло 24 минуты. Дальность полета -около 500 км. Время выполнения виража - 17-17,5 с. Разбег 160-180 м, пробег - 120-130 м. Взлетный вес -3225 кг. Вес брони - 532 кг.</w:t>
      </w:r>
    </w:p>
    <w:p w14:paraId="649A2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самолет представлял собой биплан с выносом вперед верхнего крыла. Коробка планов соединялась М-образными стойками и была расчалена стальными лентами. Элероны были на верхних и нижних плоскостях.</w:t>
      </w:r>
    </w:p>
    <w:p w14:paraId="08AFF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Задняя часть фюзеляжа выполнялась из стальных сварных труб с расчалками. Плоскости деревянные, покрытые полотном. Шасси из стальных труб. Амортизаторы из резиновых колец. Костыль управляемый.</w:t>
      </w:r>
    </w:p>
    <w:p w14:paraId="61228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служила остовом фюзеляжа. Забронированы были экипаж, основные бензобаки и маслобаки, мотор, радиатор.</w:t>
      </w:r>
    </w:p>
    <w:p w14:paraId="055A44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отмечалось в отчете по госиспытаниям, мотор в передней нижней части не был забронирован. В то же время радиатор был прикрыт регулируемыми жалюзи. Не был забронирован и пол кабины пилота.</w:t>
      </w:r>
    </w:p>
    <w:p w14:paraId="730803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Обзор вперед и вниз закрывался капотом мотора, вверх - верхним крылом, в стороны - </w:t>
      </w:r>
      <w:proofErr w:type="spellStart"/>
      <w:r w:rsidRPr="007122AB">
        <w:rPr>
          <w:rFonts w:ascii="Times New Roman" w:hAnsi="Times New Roman"/>
          <w:color w:val="000000" w:themeColor="text1"/>
          <w:sz w:val="16"/>
          <w:szCs w:val="16"/>
        </w:rPr>
        <w:t>боковинками</w:t>
      </w:r>
      <w:proofErr w:type="spellEnd"/>
      <w:r w:rsidRPr="007122AB">
        <w:rPr>
          <w:rFonts w:ascii="Times New Roman" w:hAnsi="Times New Roman"/>
          <w:color w:val="000000" w:themeColor="text1"/>
          <w:sz w:val="16"/>
          <w:szCs w:val="16"/>
        </w:rPr>
        <w:t xml:space="preserve"> брони у козырька. У летнаба был тоже плохой обзор.</w:t>
      </w:r>
    </w:p>
    <w:p w14:paraId="156D8B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как отмечали военные летчики, заход на цель для второй атаки был затруднителен.</w:t>
      </w:r>
    </w:p>
    <w:p w14:paraId="2698AD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Тепловой режим мотора при использовании этиленгликоля был в норме (9649).</w:t>
      </w:r>
    </w:p>
    <w:p w14:paraId="4A39A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утвержденной правительством программы для воронежского авиазавода № 16 последний в течение 1932 г. должен был изготовить 70 штурмовиков ТШ-2 с мотором М-17 (тот же BMW-6, но производства завода № 26 в г. Рыбинске по лицензии) для производства полномасштабных войсковых испытаний.</w:t>
      </w:r>
    </w:p>
    <w:p w14:paraId="21029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силу специфических особенностей мотора М-17 в серии возникли проблемы с его охлаждением, устранить которые быстро не удалось. Соответственно, заводские и государственные испытания первого ТШ-2 М-17 - эталона для серии, затянулись (9649).</w:t>
      </w:r>
    </w:p>
    <w:p w14:paraId="7B5E83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DEAC07" w14:textId="77777777" w:rsidR="006D0E5C" w:rsidRPr="007122AB" w:rsidRDefault="006D0E5C"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Cо</w:t>
      </w:r>
      <w:proofErr w:type="spellEnd"/>
      <w:r w:rsidRPr="007122AB">
        <w:rPr>
          <w:rFonts w:ascii="Times New Roman" w:hAnsi="Times New Roman"/>
          <w:color w:val="000000" w:themeColor="text1"/>
          <w:sz w:val="16"/>
          <w:szCs w:val="16"/>
        </w:rPr>
        <w:t xml:space="preserve"> 2-го ноября по 20-е декабря 1931 года два опытных ТШ-2, которые проходили испытания.</w:t>
      </w:r>
    </w:p>
    <w:p w14:paraId="407A9123"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w:t>
      </w:r>
    </w:p>
    <w:p w14:paraId="391ECAA6"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6D512176"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5C7D9FEE"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испытаниях штурмовика военные летчики отмечали, что обзор вперед и вниз закрывался капотом двигателя, вверх – верхним крылом, в стороны – </w:t>
      </w:r>
      <w:proofErr w:type="spellStart"/>
      <w:r w:rsidRPr="007122AB">
        <w:rPr>
          <w:rFonts w:ascii="Times New Roman" w:hAnsi="Times New Roman"/>
          <w:color w:val="000000" w:themeColor="text1"/>
          <w:sz w:val="16"/>
          <w:szCs w:val="16"/>
        </w:rPr>
        <w:t>боковинками</w:t>
      </w:r>
      <w:proofErr w:type="spellEnd"/>
      <w:r w:rsidRPr="007122AB">
        <w:rPr>
          <w:rFonts w:ascii="Times New Roman" w:hAnsi="Times New Roman"/>
          <w:color w:val="000000" w:themeColor="text1"/>
          <w:sz w:val="16"/>
          <w:szCs w:val="16"/>
        </w:rPr>
        <w:t xml:space="preserve"> брони у козырька. У летнаба тоже был плохой обзор. В результате заход штурмовика на цель для атаки был затруднителен.</w:t>
      </w:r>
    </w:p>
    <w:p w14:paraId="5A6D553C"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w:t>
      </w:r>
      <w:r w:rsidRPr="007122AB">
        <w:rPr>
          <w:rFonts w:ascii="Times New Roman" w:hAnsi="Times New Roman"/>
          <w:color w:val="000000" w:themeColor="text1"/>
          <w:sz w:val="16"/>
          <w:szCs w:val="16"/>
        </w:rPr>
        <w:lastRenderedPageBreak/>
        <w:t>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2F6BCE97"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схемы. Об этом штурмовике будет рассказано ниже.</w:t>
      </w:r>
    </w:p>
    <w:p w14:paraId="55E150FE" w14:textId="77777777" w:rsidR="006D0E5C" w:rsidRPr="007122AB" w:rsidRDefault="006D0E5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(18293).</w:t>
      </w:r>
    </w:p>
    <w:p w14:paraId="3FED0DD2" w14:textId="77777777" w:rsidR="006D0E5C" w:rsidRPr="007122AB" w:rsidRDefault="006D0E5C" w:rsidP="007122AB">
      <w:pPr>
        <w:spacing w:after="0" w:line="240" w:lineRule="auto"/>
        <w:jc w:val="both"/>
        <w:rPr>
          <w:rFonts w:ascii="Times New Roman" w:hAnsi="Times New Roman"/>
          <w:color w:val="000000" w:themeColor="text1"/>
          <w:sz w:val="16"/>
          <w:szCs w:val="16"/>
        </w:rPr>
      </w:pPr>
    </w:p>
    <w:p w14:paraId="0437FA33"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 2-го ноября по 20-е декабря 1931 года проходили испытания двух ТШ-2. На 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 Завод № 39 изготовил два опытных ТШ-2. 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72861FE3"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1E822B7F"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испытаниях штурмовика военные летчики отмечали, что обзор вперед и вниз закрывался капотом двигателя, вверх – верхним крылом, в стороны – </w:t>
      </w:r>
      <w:proofErr w:type="spellStart"/>
      <w:r w:rsidRPr="007122AB">
        <w:rPr>
          <w:rFonts w:ascii="Times New Roman" w:hAnsi="Times New Roman"/>
          <w:color w:val="000000" w:themeColor="text1"/>
          <w:sz w:val="16"/>
          <w:szCs w:val="16"/>
        </w:rPr>
        <w:t>боковинками</w:t>
      </w:r>
      <w:proofErr w:type="spellEnd"/>
      <w:r w:rsidRPr="007122AB">
        <w:rPr>
          <w:rFonts w:ascii="Times New Roman" w:hAnsi="Times New Roman"/>
          <w:color w:val="000000" w:themeColor="text1"/>
          <w:sz w:val="16"/>
          <w:szCs w:val="16"/>
        </w:rPr>
        <w:t xml:space="preserve"> брони у козырька. У летнаба тоже был плохой обзор. В результате заход штурмовика на цель для атаки был затруднителен.</w:t>
      </w:r>
    </w:p>
    <w:p w14:paraId="02CB6D80"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51346A1E"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схемы.</w:t>
      </w:r>
    </w:p>
    <w:p w14:paraId="62D7D797"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(15223).</w:t>
      </w:r>
    </w:p>
    <w:p w14:paraId="0D76B2C5"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p>
    <w:p w14:paraId="1DB4ED29" w14:textId="77777777" w:rsidR="00513C1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0FAFD36" w14:textId="77777777" w:rsidR="00513C11" w:rsidRPr="007122AB" w:rsidRDefault="00513C1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D0C6BF" w14:textId="77777777" w:rsidR="00193905" w:rsidRPr="007122AB" w:rsidRDefault="00193905"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ноября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на площадке против главной конторы, где ныне расположен прессовый корпус №2 состоялся митинг строителей, посвященный окончанию строительства автозавода. А 1 января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автозавод вступил в строй действующих гигантов страны. Одно из крупнейших в Европе предприятий по производству автомобилей выросло за 19 месяцев. Насколько был оправдан путь, по которому пошло наше автомобилестроение? Не лучше ли было использовать опыт отечественных производителей как в организации производства, так и в выборе моделей, экономя при этом миллионы валютных рублей? Наверное, второй путь был бы тоже возможен. Однако для его осуществления необходимо было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Этого не могли позволить ни международная ситуация, ни внутреннее положение в стране. Иностранный опыт, научные знания, производственное оборудование позволили в кратчайшие сроки наладить выпуск автомобилей «Форд», «</w:t>
      </w:r>
      <w:proofErr w:type="spellStart"/>
      <w:r w:rsidRPr="007122AB">
        <w:rPr>
          <w:rFonts w:ascii="Times New Roman" w:hAnsi="Times New Roman"/>
          <w:color w:val="000000" w:themeColor="text1"/>
          <w:sz w:val="16"/>
          <w:szCs w:val="16"/>
        </w:rPr>
        <w:t>Аутокар</w:t>
      </w:r>
      <w:proofErr w:type="spellEnd"/>
      <w:r w:rsidRPr="007122AB">
        <w:rPr>
          <w:rFonts w:ascii="Times New Roman" w:hAnsi="Times New Roman"/>
          <w:color w:val="000000" w:themeColor="text1"/>
          <w:sz w:val="16"/>
          <w:szCs w:val="16"/>
        </w:rPr>
        <w:t>», тракторов «Интернационал» (так тогда называли продукцию фирмы «</w:t>
      </w:r>
      <w:proofErr w:type="spellStart"/>
      <w:r w:rsidRPr="007122AB">
        <w:rPr>
          <w:rFonts w:ascii="Times New Roman" w:hAnsi="Times New Roman"/>
          <w:color w:val="000000" w:themeColor="text1"/>
          <w:sz w:val="16"/>
          <w:szCs w:val="16"/>
        </w:rPr>
        <w:t>Интернеэйшнл</w:t>
      </w:r>
      <w:proofErr w:type="spellEnd"/>
      <w:r w:rsidRPr="007122AB">
        <w:rPr>
          <w:rFonts w:ascii="Times New Roman" w:hAnsi="Times New Roman"/>
          <w:color w:val="000000" w:themeColor="text1"/>
          <w:sz w:val="16"/>
          <w:szCs w:val="16"/>
        </w:rPr>
        <w:t>»), «Фордзон», «Катерпиллер», танков «Виккерс», «Кристи» и другой техники (15218).</w:t>
      </w:r>
    </w:p>
    <w:p w14:paraId="1F658E31" w14:textId="77777777" w:rsidR="00193905" w:rsidRPr="007122AB" w:rsidRDefault="00193905" w:rsidP="007122AB">
      <w:pPr>
        <w:widowControl w:val="0"/>
        <w:spacing w:after="0" w:line="240" w:lineRule="auto"/>
        <w:jc w:val="both"/>
        <w:rPr>
          <w:rFonts w:ascii="Times New Roman" w:hAnsi="Times New Roman"/>
          <w:color w:val="000000" w:themeColor="text1"/>
          <w:sz w:val="16"/>
          <w:szCs w:val="16"/>
        </w:rPr>
      </w:pPr>
    </w:p>
    <w:p w14:paraId="160CAA92"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ноября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на площадке против главной конторы, где ныне расположен прессовый корпус №2 состоялся митинг строителей, посвященный окончанию строительства автозавода,.  А 1 января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автозавод вступил в строй действующих гигантов страны. Одно из крупнейших в Европе предприятий по производству автомобилей выросло за 19 месяцев (15218).</w:t>
      </w:r>
    </w:p>
    <w:p w14:paraId="7EF8626D" w14:textId="77777777" w:rsidR="00193905" w:rsidRPr="007122AB" w:rsidRDefault="00193905" w:rsidP="007122AB">
      <w:pPr>
        <w:spacing w:after="0" w:line="240" w:lineRule="auto"/>
        <w:jc w:val="both"/>
        <w:rPr>
          <w:rFonts w:ascii="Times New Roman" w:hAnsi="Times New Roman"/>
          <w:color w:val="000000" w:themeColor="text1"/>
          <w:sz w:val="16"/>
          <w:szCs w:val="16"/>
        </w:rPr>
      </w:pPr>
    </w:p>
    <w:p w14:paraId="19E4E311" w14:textId="77777777" w:rsidR="00513C11" w:rsidRPr="007122AB" w:rsidRDefault="00513C11" w:rsidP="007122AB">
      <w:pPr>
        <w:pStyle w:val="rtejustify"/>
        <w:spacing w:before="0" w:after="0"/>
        <w:rPr>
          <w:color w:val="000000" w:themeColor="text1"/>
          <w:sz w:val="16"/>
          <w:szCs w:val="16"/>
        </w:rPr>
      </w:pPr>
      <w:r w:rsidRPr="007122AB">
        <w:rPr>
          <w:rStyle w:val="af0"/>
          <w:i w:val="0"/>
          <w:color w:val="000000" w:themeColor="text1"/>
          <w:sz w:val="16"/>
          <w:szCs w:val="16"/>
        </w:rPr>
        <w:t>2 ноября 1931 г. Протокол Реввоенсовета № 37.</w:t>
      </w:r>
      <w:r w:rsidRPr="007122AB">
        <w:rPr>
          <w:color w:val="000000" w:themeColor="text1"/>
          <w:sz w:val="16"/>
          <w:szCs w:val="16"/>
        </w:rPr>
        <w:t xml:space="preserve"> 4. О введении дуплекса для войсковых радиостанций (Левичев). (РГВА. Ф. 4. Оп. 18. Д. 21. Л. 207</w:t>
      </w:r>
      <w:r w:rsidRPr="007122AB">
        <w:rPr>
          <w:color w:val="000000" w:themeColor="text1"/>
          <w:sz w:val="16"/>
          <w:szCs w:val="16"/>
        </w:rPr>
        <w:noBreakHyphen/>
        <w:t>208, 209) (12342).</w:t>
      </w:r>
    </w:p>
    <w:p w14:paraId="7CE7B334" w14:textId="77777777" w:rsidR="00513C11" w:rsidRPr="007122AB" w:rsidRDefault="00513C11" w:rsidP="007122AB">
      <w:pPr>
        <w:pStyle w:val="rtejustify"/>
        <w:spacing w:before="0" w:after="0"/>
        <w:rPr>
          <w:color w:val="000000" w:themeColor="text1"/>
          <w:sz w:val="16"/>
          <w:szCs w:val="16"/>
        </w:rPr>
      </w:pPr>
    </w:p>
    <w:p w14:paraId="5FD2BC4A"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 ноября 1931 г.</w:t>
      </w:r>
    </w:p>
    <w:p w14:paraId="328E3A07"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Докладная записка о завершении работы над проектом опытного образца прямоточного котла. 2 ноября 1931 г.</w:t>
      </w:r>
    </w:p>
    <w:p w14:paraId="1554DB8A"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376EB10" w14:textId="77777777" w:rsidR="000A615A" w:rsidRPr="007122AB" w:rsidRDefault="000A615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424ABEA"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7DE40772" w14:textId="77777777" w:rsidR="000A615A" w:rsidRPr="007122AB" w:rsidRDefault="000A615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109-108</w:t>
      </w:r>
    </w:p>
    <w:p w14:paraId="2FFE9FA5" w14:textId="77777777" w:rsidR="000A615A" w:rsidRPr="007122AB" w:rsidRDefault="000A615A" w:rsidP="007122AB">
      <w:pPr>
        <w:pStyle w:val="rteright"/>
        <w:spacing w:before="0" w:after="0"/>
        <w:jc w:val="both"/>
        <w:rPr>
          <w:color w:val="000000" w:themeColor="text1"/>
          <w:sz w:val="16"/>
          <w:szCs w:val="16"/>
        </w:rPr>
      </w:pPr>
      <w:r w:rsidRPr="007122AB">
        <w:rPr>
          <w:color w:val="000000" w:themeColor="text1"/>
          <w:sz w:val="16"/>
          <w:szCs w:val="16"/>
        </w:rPr>
        <w:t>2 ноября 1931 г.</w:t>
      </w:r>
    </w:p>
    <w:p w14:paraId="563F40E6"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НАЧАЛЬНИКУ ЭКУ ОГПУ тов. МИРОНОВУ</w:t>
      </w:r>
    </w:p>
    <w:p w14:paraId="53A9AE17"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РАПОРТ</w:t>
      </w:r>
    </w:p>
    <w:p w14:paraId="2F888FD5"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 xml:space="preserve">Доносим, что ОКБ №11 досрочно закончило рабочий проект опытного </w:t>
      </w:r>
      <w:proofErr w:type="spellStart"/>
      <w:r w:rsidRPr="007122AB">
        <w:rPr>
          <w:color w:val="000000" w:themeColor="text1"/>
          <w:sz w:val="16"/>
          <w:szCs w:val="16"/>
        </w:rPr>
        <w:t>безбарабанного</w:t>
      </w:r>
      <w:proofErr w:type="spellEnd"/>
      <w:r w:rsidRPr="007122AB">
        <w:rPr>
          <w:color w:val="000000" w:themeColor="text1"/>
          <w:sz w:val="16"/>
          <w:szCs w:val="16"/>
        </w:rPr>
        <w:t xml:space="preserve"> прямоточного котла системы РАМЗИНА на давление 140 атмосфер. Проверочный расчет котла дал еще более высокие показатели, чем намечалось предварительно. Съем пара с 1 кв. метра номинальной поверхности котла составляет 1780 кг/час против обычных 40-60 кг/час для советских котлов, превосходя последние в 30-45 раз, и слишком в 10 раз побивая мировой рекорд. Вес металла самого котла на 1 </w:t>
      </w:r>
      <w:proofErr w:type="spellStart"/>
      <w:r w:rsidRPr="007122AB">
        <w:rPr>
          <w:color w:val="000000" w:themeColor="text1"/>
          <w:sz w:val="16"/>
          <w:szCs w:val="16"/>
        </w:rPr>
        <w:t>тн</w:t>
      </w:r>
      <w:proofErr w:type="spellEnd"/>
      <w:r w:rsidRPr="007122AB">
        <w:rPr>
          <w:color w:val="000000" w:themeColor="text1"/>
          <w:sz w:val="16"/>
          <w:szCs w:val="16"/>
        </w:rPr>
        <w:t>/час производимого пара составляет у данного котла лишь 58 кг, давая при одинаковой паропроизводительности экономию металла в 30-40 раз против советских котлов и в 15 раз против мирового рекорда. Себестоимость котла при одинаковой паропроизводительности получается в 25-40 раз дешевле советских котлов и в 15 раз дешевле рекордного в мире котла.</w:t>
      </w:r>
    </w:p>
    <w:p w14:paraId="2502B24D"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Достигнуто одновременно громадное улучшение показателей — сокращение веса и себестоимости — и для перегревателя и экономайзера.</w:t>
      </w:r>
    </w:p>
    <w:p w14:paraId="737EF83B"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Таким образом наш котел очень далеко обгоняет мировую котельную технику.</w:t>
      </w:r>
    </w:p>
    <w:p w14:paraId="6905DB7A"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В процессе работы разрешен ряд серьезных вопросов — найдены советские материалы для изготовления котлов сверхвысокого давления, разрабатываются методы сварки и т. п. Благодаря исключительной простоте конструкции котел может немедленно строиться на советских заводах. совершенно не требуя импортных материалов.</w:t>
      </w:r>
    </w:p>
    <w:p w14:paraId="20C1D4D4"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Первый опытный котел уже строится и будет готов к 1 мая.</w:t>
      </w:r>
    </w:p>
    <w:p w14:paraId="470E8602"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 xml:space="preserve">Одновременно с постройкой опытного котла идет разработка проекта крупнейшего в мире котла сверхвысокого давления — на 20 </w:t>
      </w:r>
      <w:proofErr w:type="spellStart"/>
      <w:r w:rsidRPr="007122AB">
        <w:rPr>
          <w:color w:val="000000" w:themeColor="text1"/>
          <w:sz w:val="16"/>
          <w:szCs w:val="16"/>
        </w:rPr>
        <w:t>тн</w:t>
      </w:r>
      <w:proofErr w:type="spellEnd"/>
      <w:r w:rsidRPr="007122AB">
        <w:rPr>
          <w:color w:val="000000" w:themeColor="text1"/>
          <w:sz w:val="16"/>
          <w:szCs w:val="16"/>
        </w:rPr>
        <w:t>/час пара, при 140 атм. по системе РАМЗИНА для подмосковного угля.</w:t>
      </w:r>
    </w:p>
    <w:p w14:paraId="1337CF06"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НАЧАЛЬНИК ТЕХ. ОТД. ЭКУ ОГПУ (</w:t>
      </w:r>
      <w:proofErr w:type="spellStart"/>
      <w:r w:rsidRPr="007122AB">
        <w:rPr>
          <w:color w:val="000000" w:themeColor="text1"/>
          <w:sz w:val="16"/>
          <w:szCs w:val="16"/>
        </w:rPr>
        <w:t>Горянов</w:t>
      </w:r>
      <w:proofErr w:type="spellEnd"/>
      <w:r w:rsidRPr="007122AB">
        <w:rPr>
          <w:color w:val="000000" w:themeColor="text1"/>
          <w:sz w:val="16"/>
          <w:szCs w:val="16"/>
        </w:rPr>
        <w:t>)</w:t>
      </w:r>
    </w:p>
    <w:p w14:paraId="5F0DD9EB"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НАЧАЛЬНИК ОКБ № 11 (</w:t>
      </w:r>
      <w:proofErr w:type="spellStart"/>
      <w:r w:rsidRPr="007122AB">
        <w:rPr>
          <w:color w:val="000000" w:themeColor="text1"/>
          <w:sz w:val="16"/>
          <w:szCs w:val="16"/>
        </w:rPr>
        <w:t>Наумин</w:t>
      </w:r>
      <w:proofErr w:type="spellEnd"/>
      <w:r w:rsidRPr="007122AB">
        <w:rPr>
          <w:color w:val="000000" w:themeColor="text1"/>
          <w:sz w:val="16"/>
          <w:szCs w:val="16"/>
        </w:rPr>
        <w:t>)</w:t>
      </w:r>
    </w:p>
    <w:p w14:paraId="316DE3D0"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«2» ноября 1931 года</w:t>
      </w:r>
    </w:p>
    <w:p w14:paraId="5FC97B6D" w14:textId="77777777" w:rsidR="000A615A" w:rsidRPr="007122AB" w:rsidRDefault="000A615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109-108. Машинописная копия того времени. Число в дате вписано от руки. На Л. 109 в левом верхнем углу написано от руки «2/ХI» (19079).</w:t>
      </w:r>
    </w:p>
    <w:p w14:paraId="4F90EEC5" w14:textId="77777777" w:rsidR="000A615A" w:rsidRPr="007122AB" w:rsidRDefault="000A615A" w:rsidP="007122AB">
      <w:pPr>
        <w:spacing w:after="0" w:line="240" w:lineRule="auto"/>
        <w:jc w:val="both"/>
        <w:rPr>
          <w:rFonts w:ascii="Times New Roman" w:hAnsi="Times New Roman"/>
          <w:color w:val="000000" w:themeColor="text1"/>
          <w:sz w:val="16"/>
          <w:szCs w:val="16"/>
        </w:rPr>
      </w:pPr>
    </w:p>
    <w:p w14:paraId="0624E42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0520E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155F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ноября 1931 был принят в строй дирижабль Акрон.</w:t>
      </w:r>
    </w:p>
    <w:p w14:paraId="0A105E9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7107759" w14:textId="77777777" w:rsidR="00346741" w:rsidRPr="007122AB" w:rsidRDefault="0034674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ноября 1931 эскадрильи Корпуса морской пехоты США VS-15M и VS-14M садится на корабли USS </w:t>
      </w:r>
      <w:proofErr w:type="spellStart"/>
      <w:r w:rsidRPr="007122AB">
        <w:rPr>
          <w:rFonts w:ascii="Times New Roman" w:hAnsi="Times New Roman"/>
          <w:color w:val="000000" w:themeColor="text1"/>
          <w:sz w:val="16"/>
          <w:szCs w:val="16"/>
        </w:rPr>
        <w:t>Lexington</w:t>
      </w:r>
      <w:proofErr w:type="spellEnd"/>
      <w:r w:rsidRPr="007122AB">
        <w:rPr>
          <w:rFonts w:ascii="Times New Roman" w:hAnsi="Times New Roman"/>
          <w:color w:val="000000" w:themeColor="text1"/>
          <w:sz w:val="16"/>
          <w:szCs w:val="16"/>
        </w:rPr>
        <w:t xml:space="preserve"> (CV-2) и USS </w:t>
      </w:r>
      <w:proofErr w:type="spellStart"/>
      <w:r w:rsidRPr="007122AB">
        <w:rPr>
          <w:rFonts w:ascii="Times New Roman" w:hAnsi="Times New Roman"/>
          <w:color w:val="000000" w:themeColor="text1"/>
          <w:sz w:val="16"/>
          <w:szCs w:val="16"/>
        </w:rPr>
        <w:t>Saratoga</w:t>
      </w:r>
      <w:proofErr w:type="spellEnd"/>
      <w:r w:rsidRPr="007122AB">
        <w:rPr>
          <w:rFonts w:ascii="Times New Roman" w:hAnsi="Times New Roman"/>
          <w:color w:val="000000" w:themeColor="text1"/>
          <w:sz w:val="16"/>
          <w:szCs w:val="16"/>
        </w:rPr>
        <w:t xml:space="preserve"> (CV-3). Впервые эскадрильи корпуса морской пехоты базируется на авианосцы (20804).</w:t>
      </w:r>
    </w:p>
    <w:p w14:paraId="5DBF6028" w14:textId="77777777" w:rsidR="00346741" w:rsidRPr="007122AB" w:rsidRDefault="00346741" w:rsidP="007122AB">
      <w:pPr>
        <w:spacing w:after="0" w:line="240" w:lineRule="auto"/>
        <w:jc w:val="both"/>
        <w:rPr>
          <w:rFonts w:ascii="Times New Roman" w:hAnsi="Times New Roman"/>
          <w:color w:val="000000" w:themeColor="text1"/>
          <w:sz w:val="16"/>
          <w:szCs w:val="16"/>
        </w:rPr>
      </w:pPr>
    </w:p>
    <w:p w14:paraId="31091C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Авиапромышленность:</w:t>
      </w:r>
    </w:p>
    <w:p w14:paraId="459242B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16A7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ноября 1931 ПРОТОКОЛ</w:t>
      </w:r>
    </w:p>
    <w:p w14:paraId="5B2D28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Совещания в Секции 132-й по вопросу об улучшении самолета И-5 от З/Х1-31 г.</w:t>
      </w:r>
    </w:p>
    <w:p w14:paraId="6E8A68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ПРИСУТСТВУЮТ: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ПОЛИКАРПОВ, ГОНЧАРОВ, БЕЛЯЕВ, БЕРТОШ, ФОМИН, ГИММЕЛЬФАРБ.</w:t>
      </w:r>
    </w:p>
    <w:p w14:paraId="4ED2E5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Коробка крыльев</w:t>
      </w:r>
    </w:p>
    <w:p w14:paraId="0BA8C8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Ш дать заключение о пригодности и сравнительном ДВУХ вариантов коробок со следующими данными I</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41"/>
        <w:gridCol w:w="883"/>
        <w:gridCol w:w="893"/>
        <w:gridCol w:w="893"/>
        <w:gridCol w:w="893"/>
        <w:gridCol w:w="1027"/>
        <w:gridCol w:w="1411"/>
        <w:gridCol w:w="528"/>
        <w:gridCol w:w="269"/>
      </w:tblGrid>
      <w:tr w:rsidR="001002C3" w:rsidRPr="007122AB" w14:paraId="1C2B8999" w14:textId="77777777">
        <w:trPr>
          <w:trHeight w:val="624"/>
        </w:trPr>
        <w:tc>
          <w:tcPr>
            <w:tcW w:w="941" w:type="dxa"/>
            <w:tcBorders>
              <w:top w:val="single" w:sz="12" w:space="0" w:color="auto"/>
            </w:tcBorders>
          </w:tcPr>
          <w:p w14:paraId="652E63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вар</w:t>
            </w:r>
          </w:p>
        </w:tc>
        <w:tc>
          <w:tcPr>
            <w:tcW w:w="883" w:type="dxa"/>
            <w:tcBorders>
              <w:top w:val="single" w:sz="12" w:space="0" w:color="auto"/>
            </w:tcBorders>
          </w:tcPr>
          <w:p w14:paraId="3FB7C5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081CEC0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589728F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3A0CAC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134D4E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12" w:space="0" w:color="auto"/>
            </w:tcBorders>
          </w:tcPr>
          <w:p w14:paraId="17DA6F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12" w:space="0" w:color="auto"/>
            </w:tcBorders>
          </w:tcPr>
          <w:p w14:paraId="31E26CE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 w:type="dxa"/>
            <w:tcBorders>
              <w:top w:val="single" w:sz="12" w:space="0" w:color="auto"/>
            </w:tcBorders>
          </w:tcPr>
          <w:p w14:paraId="5679DD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F5E070C" w14:textId="77777777">
        <w:trPr>
          <w:trHeight w:val="307"/>
        </w:trPr>
        <w:tc>
          <w:tcPr>
            <w:tcW w:w="941" w:type="dxa"/>
          </w:tcPr>
          <w:p w14:paraId="4D4A76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tc>
        <w:tc>
          <w:tcPr>
            <w:tcW w:w="883" w:type="dxa"/>
          </w:tcPr>
          <w:p w14:paraId="3C9E63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9750</w:t>
            </w:r>
          </w:p>
        </w:tc>
        <w:tc>
          <w:tcPr>
            <w:tcW w:w="893" w:type="dxa"/>
          </w:tcPr>
          <w:p w14:paraId="235EDC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893" w:type="dxa"/>
          </w:tcPr>
          <w:p w14:paraId="0938AD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893" w:type="dxa"/>
          </w:tcPr>
          <w:p w14:paraId="5E54DB8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1100</w:t>
            </w:r>
          </w:p>
        </w:tc>
        <w:tc>
          <w:tcPr>
            <w:tcW w:w="1027" w:type="dxa"/>
          </w:tcPr>
          <w:p w14:paraId="78771F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13,72</w:t>
            </w:r>
          </w:p>
        </w:tc>
        <w:tc>
          <w:tcPr>
            <w:tcW w:w="1411" w:type="dxa"/>
          </w:tcPr>
          <w:p w14:paraId="0D1210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1б,82</w:t>
            </w:r>
          </w:p>
        </w:tc>
        <w:tc>
          <w:tcPr>
            <w:tcW w:w="528" w:type="dxa"/>
          </w:tcPr>
          <w:p w14:paraId="09140E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20,54</w:t>
            </w:r>
          </w:p>
        </w:tc>
        <w:tc>
          <w:tcPr>
            <w:tcW w:w="269" w:type="dxa"/>
          </w:tcPr>
          <w:p w14:paraId="61798E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r>
      <w:tr w:rsidR="001002C3" w:rsidRPr="007122AB" w14:paraId="70288D15" w14:textId="77777777">
        <w:trPr>
          <w:trHeight w:val="461"/>
        </w:trPr>
        <w:tc>
          <w:tcPr>
            <w:tcW w:w="941" w:type="dxa"/>
            <w:tcBorders>
              <w:bottom w:val="single" w:sz="12" w:space="0" w:color="auto"/>
            </w:tcBorders>
          </w:tcPr>
          <w:p w14:paraId="254112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w:t>
            </w:r>
          </w:p>
        </w:tc>
        <w:tc>
          <w:tcPr>
            <w:tcW w:w="883" w:type="dxa"/>
            <w:tcBorders>
              <w:bottom w:val="single" w:sz="12" w:space="0" w:color="auto"/>
            </w:tcBorders>
          </w:tcPr>
          <w:p w14:paraId="4C7757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893" w:type="dxa"/>
            <w:tcBorders>
              <w:bottom w:val="single" w:sz="12" w:space="0" w:color="auto"/>
            </w:tcBorders>
          </w:tcPr>
          <w:p w14:paraId="19717B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7050</w:t>
            </w:r>
          </w:p>
        </w:tc>
        <w:tc>
          <w:tcPr>
            <w:tcW w:w="893" w:type="dxa"/>
            <w:tcBorders>
              <w:bottom w:val="single" w:sz="12" w:space="0" w:color="auto"/>
            </w:tcBorders>
          </w:tcPr>
          <w:p w14:paraId="319887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1450</w:t>
            </w:r>
          </w:p>
        </w:tc>
        <w:tc>
          <w:tcPr>
            <w:tcW w:w="893" w:type="dxa"/>
            <w:tcBorders>
              <w:bottom w:val="single" w:sz="12" w:space="0" w:color="auto"/>
            </w:tcBorders>
          </w:tcPr>
          <w:p w14:paraId="438297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027" w:type="dxa"/>
            <w:tcBorders>
              <w:bottom w:val="single" w:sz="12" w:space="0" w:color="auto"/>
            </w:tcBorders>
          </w:tcPr>
          <w:p w14:paraId="03ED964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13,42</w:t>
            </w:r>
          </w:p>
        </w:tc>
        <w:tc>
          <w:tcPr>
            <w:tcW w:w="1411" w:type="dxa"/>
            <w:tcBorders>
              <w:bottom w:val="single" w:sz="12" w:space="0" w:color="auto"/>
            </w:tcBorders>
          </w:tcPr>
          <w:p w14:paraId="4CABC7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6,12</w:t>
            </w:r>
          </w:p>
        </w:tc>
        <w:tc>
          <w:tcPr>
            <w:tcW w:w="528" w:type="dxa"/>
            <w:tcBorders>
              <w:bottom w:val="single" w:sz="12" w:space="0" w:color="auto"/>
            </w:tcBorders>
          </w:tcPr>
          <w:p w14:paraId="750C07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9,54</w:t>
            </w:r>
          </w:p>
        </w:tc>
        <w:tc>
          <w:tcPr>
            <w:tcW w:w="269" w:type="dxa"/>
            <w:tcBorders>
              <w:bottom w:val="single" w:sz="12" w:space="0" w:color="auto"/>
            </w:tcBorders>
          </w:tcPr>
          <w:p w14:paraId="699765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w:t>
            </w:r>
          </w:p>
        </w:tc>
      </w:tr>
    </w:tbl>
    <w:p w14:paraId="5EB960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Секция 112 произвести продувки 2-х - 3-х вариантов коробки для выбора размерностей, и затем по выборе таковой, иссле</w:t>
      </w:r>
      <w:r w:rsidRPr="007122AB">
        <w:rPr>
          <w:rFonts w:ascii="Times New Roman" w:hAnsi="Times New Roman"/>
          <w:color w:val="000000" w:themeColor="text1"/>
          <w:sz w:val="16"/>
          <w:szCs w:val="16"/>
        </w:rPr>
        <w:softHyphen/>
        <w:t>довать 2-3-х коробки с разными профилями.</w:t>
      </w:r>
    </w:p>
    <w:p w14:paraId="08AE80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Весовой,секции</w:t>
      </w:r>
      <w:proofErr w:type="spellEnd"/>
      <w:r w:rsidRPr="007122AB">
        <w:rPr>
          <w:rFonts w:ascii="Times New Roman" w:hAnsi="Times New Roman"/>
          <w:color w:val="000000" w:themeColor="text1"/>
          <w:sz w:val="16"/>
          <w:szCs w:val="16"/>
        </w:rPr>
        <w:t xml:space="preserve"> дать момент инерции варианта с коробкой 5,8 /см. выше пункт I, </w:t>
      </w:r>
      <w:proofErr w:type="spellStart"/>
      <w:r w:rsidRPr="007122AB">
        <w:rPr>
          <w:rFonts w:ascii="Times New Roman" w:hAnsi="Times New Roman"/>
          <w:color w:val="000000" w:themeColor="text1"/>
          <w:sz w:val="16"/>
          <w:szCs w:val="16"/>
        </w:rPr>
        <w:t>вар.П</w:t>
      </w:r>
      <w:proofErr w:type="spellEnd"/>
      <w:r w:rsidRPr="007122AB">
        <w:rPr>
          <w:rFonts w:ascii="Times New Roman" w:hAnsi="Times New Roman"/>
          <w:color w:val="000000" w:themeColor="text1"/>
          <w:sz w:val="16"/>
          <w:szCs w:val="16"/>
        </w:rPr>
        <w:t>/ для секции 112.</w:t>
      </w:r>
    </w:p>
    <w:p w14:paraId="298DDEC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112 по получении данных от весовой секции сделать расчет виража</w:t>
      </w:r>
    </w:p>
    <w:p w14:paraId="42A845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Передний вырез лучше уничтожить, исказив профиль, желатель</w:t>
      </w:r>
      <w:r w:rsidRPr="007122AB">
        <w:rPr>
          <w:rFonts w:ascii="Times New Roman" w:hAnsi="Times New Roman"/>
          <w:color w:val="000000" w:themeColor="text1"/>
          <w:sz w:val="16"/>
          <w:szCs w:val="16"/>
        </w:rPr>
        <w:softHyphen/>
        <w:t xml:space="preserve">но произвести </w:t>
      </w:r>
      <w:proofErr w:type="spellStart"/>
      <w:r w:rsidRPr="007122AB">
        <w:rPr>
          <w:rFonts w:ascii="Times New Roman" w:hAnsi="Times New Roman"/>
          <w:color w:val="000000" w:themeColor="text1"/>
          <w:sz w:val="16"/>
          <w:szCs w:val="16"/>
        </w:rPr>
        <w:t>пподувку</w:t>
      </w:r>
      <w:proofErr w:type="spellEnd"/>
      <w:r w:rsidRPr="007122AB">
        <w:rPr>
          <w:rFonts w:ascii="Times New Roman" w:hAnsi="Times New Roman"/>
          <w:color w:val="000000" w:themeColor="text1"/>
          <w:sz w:val="16"/>
          <w:szCs w:val="16"/>
        </w:rPr>
        <w:t xml:space="preserve"> с вырезом и без него</w:t>
      </w:r>
    </w:p>
    <w:p w14:paraId="4C7B0A0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112 для учета влияния закрытой кабины произвести продувку полной модели в двух вариантах: с закрытой каби</w:t>
      </w:r>
      <w:r w:rsidRPr="007122AB">
        <w:rPr>
          <w:rFonts w:ascii="Times New Roman" w:hAnsi="Times New Roman"/>
          <w:color w:val="000000" w:themeColor="text1"/>
          <w:sz w:val="16"/>
          <w:szCs w:val="16"/>
        </w:rPr>
        <w:softHyphen/>
        <w:t>ной и с открытой</w:t>
      </w:r>
    </w:p>
    <w:p w14:paraId="273BD2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111 и секции 112. Дать сравнительную оценку двух вариантов расположения расчалок коробки в одной плоскости и в двух плоскостях.</w:t>
      </w:r>
    </w:p>
    <w:p w14:paraId="3CFA23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Ш дать суждение о возможности постановки одного ряда расчалок крыла в горизонтальной плоскости.</w:t>
      </w:r>
    </w:p>
    <w:p w14:paraId="633C05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Ф ю з е д я ж.</w:t>
      </w:r>
    </w:p>
    <w:p w14:paraId="10B488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Ш выбрать лучшую схему фюзеляжа из хромо-молиб</w:t>
      </w:r>
      <w:r w:rsidRPr="007122AB">
        <w:rPr>
          <w:rFonts w:ascii="Times New Roman" w:hAnsi="Times New Roman"/>
          <w:color w:val="000000" w:themeColor="text1"/>
          <w:sz w:val="16"/>
          <w:szCs w:val="16"/>
        </w:rPr>
        <w:softHyphen/>
        <w:t>деновых труб.</w:t>
      </w:r>
    </w:p>
    <w:p w14:paraId="78E1134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E934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ноября 1931 в НИИ ВВС закончились испытания серийного самолета Р6-2М17, которые проходили с 5 октября 1931.</w:t>
      </w:r>
    </w:p>
    <w:p w14:paraId="5D54825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головного серийного самолета Р6-2М17</w:t>
      </w:r>
    </w:p>
    <w:p w14:paraId="0E18964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5 октября 1931 года</w:t>
      </w:r>
    </w:p>
    <w:p w14:paraId="6049D96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закончено 3 ноября 1931 года</w:t>
      </w:r>
    </w:p>
    <w:p w14:paraId="0C25A2A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полетов – 21, число дней занятых полетами – 12</w:t>
      </w:r>
    </w:p>
    <w:p w14:paraId="1ADCB10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обусловленный протоколом заседания в ВАО 6 сентября 1931 года срок предъявления самолета Р6, для испытания в НИИ к 7 сентября 1931 года самолет был предъявлен лишь 3 октября 1931 года.</w:t>
      </w:r>
    </w:p>
    <w:p w14:paraId="1F80891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Постройка завода № 22, головной серийный (6931).</w:t>
      </w:r>
    </w:p>
    <w:p w14:paraId="2118745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371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ноября 1931 закончились гос. испытания головного АНТ-7 (Р-6) N 2201 22 завода N 2201 с М-17, которые начались 5 октября 1931. Серийный стал еще на 126 кг тяжелее, включая 60 кг </w:t>
      </w:r>
      <w:proofErr w:type="spellStart"/>
      <w:r w:rsidRPr="007122AB">
        <w:rPr>
          <w:rFonts w:ascii="Times New Roman" w:hAnsi="Times New Roman"/>
          <w:color w:val="000000" w:themeColor="text1"/>
          <w:sz w:val="16"/>
          <w:szCs w:val="16"/>
        </w:rPr>
        <w:t>потяжеления</w:t>
      </w:r>
      <w:proofErr w:type="spellEnd"/>
      <w:r w:rsidRPr="007122AB">
        <w:rPr>
          <w:rFonts w:ascii="Times New Roman" w:hAnsi="Times New Roman"/>
          <w:color w:val="000000" w:themeColor="text1"/>
          <w:sz w:val="16"/>
          <w:szCs w:val="16"/>
        </w:rPr>
        <w:t xml:space="preserve"> моторов. Отметили 46 дефектов, но общий отзыв был одобрительным (1017,200).</w:t>
      </w:r>
    </w:p>
    <w:p w14:paraId="4A9F34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Есть данные, что 3 декабря 1931</w:t>
      </w:r>
    </w:p>
    <w:p w14:paraId="58AD1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5E7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ноября 1931 г. закончились испытания головного серийного самолета Р6-2М17, которые шли с 5 октября 1931.</w:t>
      </w:r>
    </w:p>
    <w:p w14:paraId="37BC5D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дней занятых полетами - 12</w:t>
      </w:r>
    </w:p>
    <w:p w14:paraId="505C6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полетов - 21</w:t>
      </w:r>
    </w:p>
    <w:p w14:paraId="033AAD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7D295B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Р6 постройки зав. N 22 головной серии.</w:t>
      </w:r>
    </w:p>
    <w:p w14:paraId="36A423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51E1E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616D5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8711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ноября 1931 г. закончились госиспытания первого серийного Р-6 С, которые шли с 5 октября. От опытной машины он отличался моторами М-17 (советской копией BMW VI) и несколько измененными радиаторами. Серийный самолет был на 126 кг тяжелее опытного; основную лепту внесли моторы - 60 кг. Отечественные колеса вместо импортных добавили 28 кг. Оставшиеся 38 кг распределялись между различными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скороподъемность. Показатели горизонтального маневра практически не изменились. На снижение летных данных оказало влияние даже не столько </w:t>
      </w:r>
      <w:proofErr w:type="spellStart"/>
      <w:r w:rsidRPr="007122AB">
        <w:rPr>
          <w:rFonts w:ascii="Times New Roman" w:hAnsi="Times New Roman"/>
          <w:color w:val="000000" w:themeColor="text1"/>
          <w:sz w:val="16"/>
          <w:szCs w:val="16"/>
        </w:rPr>
        <w:t>перетяжеление</w:t>
      </w:r>
      <w:proofErr w:type="spellEnd"/>
      <w:r w:rsidRPr="007122AB">
        <w:rPr>
          <w:rFonts w:ascii="Times New Roman" w:hAnsi="Times New Roman"/>
          <w:color w:val="000000" w:themeColor="text1"/>
          <w:sz w:val="16"/>
          <w:szCs w:val="16"/>
        </w:rPr>
        <w:t xml:space="preserve"> самолета, сколько ненадежная работа двигателей. Хотя М-17 номинально должен был выдавать ту же мощность, что и немецкий мотор, на практике он постоянно недодавал обороты. Кроме того, двигатели перегревались, вынуждая летчика убирать газ.</w:t>
      </w:r>
    </w:p>
    <w:p w14:paraId="47B1C8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списке дефектов отмечалось в основном то, что ЦАГИ внес при доработке в опытный образец, а на серийной машине отсутствовало, поскольку и доработки, и изготовление головной машины фактически осуществлялись параллельно. </w:t>
      </w:r>
      <w:proofErr w:type="spellStart"/>
      <w:r w:rsidRPr="007122AB">
        <w:rPr>
          <w:rFonts w:ascii="Times New Roman" w:hAnsi="Times New Roman"/>
          <w:color w:val="000000" w:themeColor="text1"/>
          <w:sz w:val="16"/>
          <w:szCs w:val="16"/>
        </w:rPr>
        <w:t>Моторамы</w:t>
      </w:r>
      <w:proofErr w:type="spellEnd"/>
      <w:r w:rsidRPr="007122AB">
        <w:rPr>
          <w:rFonts w:ascii="Times New Roman" w:hAnsi="Times New Roman"/>
          <w:color w:val="000000" w:themeColor="text1"/>
          <w:sz w:val="16"/>
          <w:szCs w:val="16"/>
        </w:rPr>
        <w:t xml:space="preserve">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весьма низкое качество производства самолета...".</w:t>
      </w:r>
    </w:p>
    <w:p w14:paraId="0A72D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несмотря на все недостатки, общий отзыв о машине оказался одобрительным.</w:t>
      </w:r>
    </w:p>
    <w:p w14:paraId="72F495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 НИИ гласил: "Несмотря на некоторое понижение летных данных, головной серийный самолет Р6-М17 не хуже, а по некоторым показателям даже лучше самолетов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оборудование и вооружение (12036).</w:t>
      </w:r>
    </w:p>
    <w:p w14:paraId="2C10A0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F700F2" w14:textId="77777777" w:rsidR="00513C1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2EBF72A" w14:textId="77777777" w:rsidR="00513C11" w:rsidRPr="007122AB" w:rsidRDefault="00513C1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175E964"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228сс о строительстве хранилищ нефтепродуктов для обеспечения мобилизационной готовности РККА и залива выстроенных нефтепродуктами (ГА РФ. Ф. Р?8418. Оп. 28. Д. 14а. Л. 71?74) (12415).</w:t>
      </w:r>
    </w:p>
    <w:p w14:paraId="738760B7"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p>
    <w:p w14:paraId="2B963FF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E1FFD4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4583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ноября 1931 года Политбюро поручило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СССР организовать в магазинах Торгсина скупку бытового золота в обмен на товары. Специальная комиссия, куда вошли </w:t>
      </w:r>
      <w:proofErr w:type="spellStart"/>
      <w:r w:rsidRPr="007122AB">
        <w:rPr>
          <w:rFonts w:ascii="Times New Roman" w:hAnsi="Times New Roman"/>
          <w:color w:val="000000" w:themeColor="text1"/>
          <w:sz w:val="16"/>
          <w:szCs w:val="16"/>
        </w:rPr>
        <w:t>Розенгольц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Наркомвнешторг</w:t>
      </w:r>
      <w:proofErr w:type="spellEnd"/>
      <w:r w:rsidRPr="007122AB">
        <w:rPr>
          <w:rFonts w:ascii="Times New Roman" w:hAnsi="Times New Roman"/>
          <w:color w:val="000000" w:themeColor="text1"/>
          <w:sz w:val="16"/>
          <w:szCs w:val="16"/>
        </w:rPr>
        <w:t>), Гринько (Наркомфин), Серебровский (</w:t>
      </w:r>
      <w:proofErr w:type="spellStart"/>
      <w:r w:rsidRPr="007122AB">
        <w:rPr>
          <w:rFonts w:ascii="Times New Roman" w:hAnsi="Times New Roman"/>
          <w:color w:val="000000" w:themeColor="text1"/>
          <w:sz w:val="16"/>
          <w:szCs w:val="16"/>
        </w:rPr>
        <w:t>Союззолото</w:t>
      </w:r>
      <w:proofErr w:type="spellEnd"/>
      <w:r w:rsidRPr="007122AB">
        <w:rPr>
          <w:rFonts w:ascii="Times New Roman" w:hAnsi="Times New Roman"/>
          <w:color w:val="000000" w:themeColor="text1"/>
          <w:sz w:val="16"/>
          <w:szCs w:val="16"/>
        </w:rPr>
        <w:t xml:space="preserve">), Калманович, </w:t>
      </w:r>
      <w:proofErr w:type="spellStart"/>
      <w:r w:rsidRPr="007122AB">
        <w:rPr>
          <w:rFonts w:ascii="Times New Roman" w:hAnsi="Times New Roman"/>
          <w:color w:val="000000" w:themeColor="text1"/>
          <w:sz w:val="16"/>
          <w:szCs w:val="16"/>
        </w:rPr>
        <w:t>Дерибас</w:t>
      </w:r>
      <w:proofErr w:type="spellEnd"/>
      <w:r w:rsidRPr="007122AB">
        <w:rPr>
          <w:rFonts w:ascii="Times New Roman" w:hAnsi="Times New Roman"/>
          <w:color w:val="000000" w:themeColor="text1"/>
          <w:sz w:val="16"/>
          <w:szCs w:val="16"/>
        </w:rPr>
        <w:t xml:space="preserve">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41DB9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C09E1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87EC02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9EC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3 ноября 1931 года дирижабль поднялся в воздух с 207 пассажирами на борту, что было доселе невиданным делом. В январе 1932 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5366B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1B9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ноября 1931 жесткий дирижабль ВМС США Акрон установил рекорд, перевозя за один рейс 207 чел. (3481).</w:t>
      </w:r>
    </w:p>
    <w:p w14:paraId="0A9C0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D24D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1E87BA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EDBFB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ноября 1931 закончилась серия испытаний торпеды ВВС-15 в Крыму, в районе Севастополя, начатая в марте 1931.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Состоял отряд из двух ТБ-1.</w:t>
      </w:r>
    </w:p>
    <w:p w14:paraId="484A3F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6370DB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7BB488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57E464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6FF7D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2585A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6298BB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184D04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Поскольку в боевых условиях парашютная система безвозвратно терялась, то, как и у </w:t>
      </w:r>
      <w:proofErr w:type="spellStart"/>
      <w:r w:rsidRPr="007122AB">
        <w:rPr>
          <w:rFonts w:ascii="Times New Roman" w:hAnsi="Times New Roman"/>
          <w:color w:val="000000" w:themeColor="text1"/>
          <w:sz w:val="16"/>
          <w:szCs w:val="16"/>
        </w:rPr>
        <w:t>ВОМИЗы</w:t>
      </w:r>
      <w:proofErr w:type="spellEnd"/>
      <w:r w:rsidRPr="007122AB">
        <w:rPr>
          <w:rFonts w:ascii="Times New Roman" w:hAnsi="Times New Roman"/>
          <w:color w:val="000000" w:themeColor="text1"/>
          <w:sz w:val="16"/>
          <w:szCs w:val="16"/>
        </w:rPr>
        <w:t>,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5DB6F6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2A6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ноября 1931 г. Пост. ВСНХ завод «Сжатый газ», созданный в 1928 на базе советско-американское АО «РАГАЗ» (1926-27 гг.) преобразован в 1-й московский автогенный завод в ведении ВАТ. В 1934-04.1937 г. Автогенный завод № 1 - в ведении ВАТ НКТП,</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xml:space="preserve"> в 1941 г. - НКТМ.</w:t>
      </w:r>
    </w:p>
    <w:p w14:paraId="298AD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предложению академика П.Л. Капицы на заводе в 1939 г. организовано ОКБ по разработке турбомашин под руководством В.А. Гитиса и М.М. Левитина.</w:t>
      </w:r>
    </w:p>
    <w:p w14:paraId="4F04A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1943 г. организовано КБ для создания воздухоразделительных установок (начальник -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Горшков), в 12.1945 г. КБ </w:t>
      </w:r>
      <w:proofErr w:type="spellStart"/>
      <w:r w:rsidRPr="007122AB">
        <w:rPr>
          <w:rFonts w:ascii="Times New Roman" w:hAnsi="Times New Roman"/>
          <w:color w:val="000000" w:themeColor="text1"/>
          <w:sz w:val="16"/>
          <w:szCs w:val="16"/>
        </w:rPr>
        <w:t>Главкислорода</w:t>
      </w:r>
      <w:proofErr w:type="spellEnd"/>
      <w:r w:rsidRPr="007122AB">
        <w:rPr>
          <w:rFonts w:ascii="Times New Roman" w:hAnsi="Times New Roman"/>
          <w:color w:val="000000" w:themeColor="text1"/>
          <w:sz w:val="16"/>
          <w:szCs w:val="16"/>
        </w:rPr>
        <w:t xml:space="preserve"> вошло в состав созданного </w:t>
      </w:r>
      <w:proofErr w:type="spellStart"/>
      <w:r w:rsidRPr="007122AB">
        <w:rPr>
          <w:rFonts w:ascii="Times New Roman" w:hAnsi="Times New Roman"/>
          <w:color w:val="000000" w:themeColor="text1"/>
          <w:sz w:val="16"/>
          <w:szCs w:val="16"/>
        </w:rPr>
        <w:t>ВНИИКИМАШа</w:t>
      </w:r>
      <w:proofErr w:type="spellEnd"/>
      <w:r w:rsidRPr="007122AB">
        <w:rPr>
          <w:rFonts w:ascii="Times New Roman" w:hAnsi="Times New Roman"/>
          <w:color w:val="000000" w:themeColor="text1"/>
          <w:sz w:val="16"/>
          <w:szCs w:val="16"/>
        </w:rPr>
        <w:t>.</w:t>
      </w:r>
    </w:p>
    <w:p w14:paraId="7F7C2B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1955 г. завод - в ведении </w:t>
      </w:r>
      <w:proofErr w:type="spellStart"/>
      <w:r w:rsidRPr="007122AB">
        <w:rPr>
          <w:rFonts w:ascii="Times New Roman" w:hAnsi="Times New Roman"/>
          <w:color w:val="000000" w:themeColor="text1"/>
          <w:sz w:val="16"/>
          <w:szCs w:val="16"/>
        </w:rPr>
        <w:t>ММиП</w:t>
      </w:r>
      <w:proofErr w:type="spellEnd"/>
      <w:r w:rsidRPr="007122AB">
        <w:rPr>
          <w:rFonts w:ascii="Times New Roman" w:hAnsi="Times New Roman"/>
          <w:color w:val="000000" w:themeColor="text1"/>
          <w:sz w:val="16"/>
          <w:szCs w:val="16"/>
        </w:rPr>
        <w:t xml:space="preserve">, в 1956 г. - ММ, с 1965 г. - </w:t>
      </w:r>
      <w:proofErr w:type="spellStart"/>
      <w:r w:rsidRPr="007122AB">
        <w:rPr>
          <w:rFonts w:ascii="Times New Roman" w:hAnsi="Times New Roman"/>
          <w:color w:val="000000" w:themeColor="text1"/>
          <w:sz w:val="16"/>
          <w:szCs w:val="16"/>
        </w:rPr>
        <w:t>Минхимнефтемаша</w:t>
      </w:r>
      <w:proofErr w:type="spellEnd"/>
      <w:r w:rsidRPr="007122AB">
        <w:rPr>
          <w:rFonts w:ascii="Times New Roman" w:hAnsi="Times New Roman"/>
          <w:color w:val="000000" w:themeColor="text1"/>
          <w:sz w:val="16"/>
          <w:szCs w:val="16"/>
        </w:rPr>
        <w:t xml:space="preserve">. В 1960 г. завод переименован в Московский завод кислородного машиностроения. В 1971 г. на базе завода и </w:t>
      </w:r>
      <w:proofErr w:type="spellStart"/>
      <w:r w:rsidRPr="007122AB">
        <w:rPr>
          <w:rFonts w:ascii="Times New Roman" w:hAnsi="Times New Roman"/>
          <w:color w:val="000000" w:themeColor="text1"/>
          <w:sz w:val="16"/>
          <w:szCs w:val="16"/>
        </w:rPr>
        <w:t>ВНИИКриогенмаша</w:t>
      </w:r>
      <w:proofErr w:type="spellEnd"/>
      <w:r w:rsidRPr="007122AB">
        <w:rPr>
          <w:rFonts w:ascii="Times New Roman" w:hAnsi="Times New Roman"/>
          <w:color w:val="000000" w:themeColor="text1"/>
          <w:sz w:val="16"/>
          <w:szCs w:val="16"/>
        </w:rPr>
        <w:t xml:space="preserve"> создано НПО «</w:t>
      </w:r>
      <w:proofErr w:type="spellStart"/>
      <w:r w:rsidRPr="007122AB">
        <w:rPr>
          <w:rFonts w:ascii="Times New Roman" w:hAnsi="Times New Roman"/>
          <w:color w:val="000000" w:themeColor="text1"/>
          <w:sz w:val="16"/>
          <w:szCs w:val="16"/>
        </w:rPr>
        <w:t>Гелиймаш</w:t>
      </w:r>
      <w:proofErr w:type="spellEnd"/>
      <w:r w:rsidRPr="007122AB">
        <w:rPr>
          <w:rFonts w:ascii="Times New Roman" w:hAnsi="Times New Roman"/>
          <w:color w:val="000000" w:themeColor="text1"/>
          <w:sz w:val="16"/>
          <w:szCs w:val="16"/>
        </w:rPr>
        <w:t>». Завод переименован в МЭЗГМ.</w:t>
      </w:r>
    </w:p>
    <w:p w14:paraId="598E2F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криогенного оборудования.</w:t>
      </w:r>
    </w:p>
    <w:p w14:paraId="3ED098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(1931 г.)- Е.А. </w:t>
      </w:r>
      <w:proofErr w:type="spellStart"/>
      <w:r w:rsidRPr="007122AB">
        <w:rPr>
          <w:rFonts w:ascii="Times New Roman" w:hAnsi="Times New Roman"/>
          <w:color w:val="000000" w:themeColor="text1"/>
          <w:sz w:val="16"/>
          <w:szCs w:val="16"/>
        </w:rPr>
        <w:t>Дрейцер</w:t>
      </w:r>
      <w:proofErr w:type="spellEnd"/>
      <w:r w:rsidRPr="007122AB">
        <w:rPr>
          <w:rFonts w:ascii="Times New Roman" w:hAnsi="Times New Roman"/>
          <w:color w:val="000000" w:themeColor="text1"/>
          <w:sz w:val="16"/>
          <w:szCs w:val="16"/>
        </w:rPr>
        <w:t>, (1940 г.)- Филатов.</w:t>
      </w:r>
    </w:p>
    <w:p w14:paraId="636D6E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(1931 г.)- Л.Б. </w:t>
      </w:r>
      <w:proofErr w:type="spellStart"/>
      <w:r w:rsidRPr="007122AB">
        <w:rPr>
          <w:rFonts w:ascii="Times New Roman" w:hAnsi="Times New Roman"/>
          <w:color w:val="000000" w:themeColor="text1"/>
          <w:sz w:val="16"/>
          <w:szCs w:val="16"/>
        </w:rPr>
        <w:t>Фалькевич</w:t>
      </w:r>
      <w:proofErr w:type="spellEnd"/>
      <w:r w:rsidRPr="007122AB">
        <w:rPr>
          <w:rFonts w:ascii="Times New Roman" w:hAnsi="Times New Roman"/>
          <w:color w:val="000000" w:themeColor="text1"/>
          <w:sz w:val="16"/>
          <w:szCs w:val="16"/>
        </w:rPr>
        <w:t>.</w:t>
      </w:r>
    </w:p>
    <w:p w14:paraId="78432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генератор ВД-25, газгольдер, скруббер, химический очиститель, регулятор давления (1938) (11982).</w:t>
      </w:r>
    </w:p>
    <w:p w14:paraId="4435E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C1138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415EDC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4F50FD"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5 ноября 1931 г.</w:t>
      </w:r>
    </w:p>
    <w:p w14:paraId="15E3037B"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Приказ об изменении распорядка дня в ОКБ и АТТБ ЭКУ ОГПУ в дни празднования «XIV годовщины Октябрьской Революции». 5 ноября 1931 г.</w:t>
      </w:r>
    </w:p>
    <w:p w14:paraId="41094C0B"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1CB70AFB" w14:textId="77777777" w:rsidR="000A615A" w:rsidRPr="007122AB" w:rsidRDefault="000A615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2CEF83"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17ED5480" w14:textId="77777777" w:rsidR="000A615A" w:rsidRPr="007122AB" w:rsidRDefault="000A615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119</w:t>
      </w:r>
    </w:p>
    <w:p w14:paraId="06CF7929" w14:textId="77777777" w:rsidR="000A615A" w:rsidRPr="007122AB" w:rsidRDefault="000A615A" w:rsidP="007122AB">
      <w:pPr>
        <w:pStyle w:val="rteright"/>
        <w:spacing w:before="0" w:after="0"/>
        <w:jc w:val="both"/>
        <w:rPr>
          <w:color w:val="000000" w:themeColor="text1"/>
          <w:sz w:val="16"/>
          <w:szCs w:val="16"/>
        </w:rPr>
      </w:pPr>
      <w:r w:rsidRPr="007122AB">
        <w:rPr>
          <w:color w:val="000000" w:themeColor="text1"/>
          <w:sz w:val="16"/>
          <w:szCs w:val="16"/>
        </w:rPr>
        <w:t>[5] ноября 1931 г.</w:t>
      </w:r>
    </w:p>
    <w:p w14:paraId="6067D862"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ПРИКАЗАНИЕ</w:t>
      </w:r>
    </w:p>
    <w:p w14:paraId="0AE5142D"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ПО ТЕХНИЧЕСКОМУ ОТДЕЛЕНИЮ ЭКУ ОГПУ</w:t>
      </w:r>
    </w:p>
    <w:p w14:paraId="1143BD65"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На 7 и 8-ое ноября, дни празднества XIV годовщины Октябрьской Революции, всем НАЧАЛЬНИКАМ ОКБ и АТТБ по своему усмотрению в подведомственных им бюро разрешить внеочередные свидания заключенным.</w:t>
      </w:r>
    </w:p>
    <w:p w14:paraId="6EC58442"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7/XI свидания начать с 12 часов дня и до 10 час. вечера.</w:t>
      </w:r>
    </w:p>
    <w:p w14:paraId="2A6FDD80"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8/XI — с 10 час. утра и до 6 час. вечера.</w:t>
      </w:r>
    </w:p>
    <w:p w14:paraId="2091455A"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Кроме того за счет средств Отделения, всем заключенным дополнительно к обеду закупить на каждого по одной коробке консервов, одному кило фрукт[</w:t>
      </w:r>
      <w:proofErr w:type="spellStart"/>
      <w:r w:rsidRPr="007122AB">
        <w:rPr>
          <w:color w:val="000000" w:themeColor="text1"/>
          <w:sz w:val="16"/>
          <w:szCs w:val="16"/>
        </w:rPr>
        <w:t>ов</w:t>
      </w:r>
      <w:proofErr w:type="spellEnd"/>
      <w:r w:rsidRPr="007122AB">
        <w:rPr>
          <w:color w:val="000000" w:themeColor="text1"/>
          <w:sz w:val="16"/>
          <w:szCs w:val="16"/>
        </w:rPr>
        <w:t>] и 200 грамм печенья.</w:t>
      </w:r>
    </w:p>
    <w:p w14:paraId="001E5CF9"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Начиная с 9/XI свидания проходят обычным порядком.</w:t>
      </w:r>
    </w:p>
    <w:p w14:paraId="27E176AE"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 xml:space="preserve">Приказание в копии выдать под расписку всем Нач. ОКБ и АТТБ, а также </w:t>
      </w:r>
      <w:proofErr w:type="spellStart"/>
      <w:r w:rsidRPr="007122AB">
        <w:rPr>
          <w:color w:val="000000" w:themeColor="text1"/>
          <w:sz w:val="16"/>
          <w:szCs w:val="16"/>
        </w:rPr>
        <w:t>т.т</w:t>
      </w:r>
      <w:proofErr w:type="spellEnd"/>
      <w:r w:rsidRPr="007122AB">
        <w:rPr>
          <w:color w:val="000000" w:themeColor="text1"/>
          <w:sz w:val="16"/>
          <w:szCs w:val="16"/>
        </w:rPr>
        <w:t>. БУДРИС и ГОЛЬДА.</w:t>
      </w:r>
    </w:p>
    <w:p w14:paraId="0F92A9DD"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ПОМ. НАЧ. ТЕХ. ОТД. ЭКУ ОГПУ (Соколов)</w:t>
      </w:r>
    </w:p>
    <w:p w14:paraId="088B2B13" w14:textId="77777777" w:rsidR="000A615A" w:rsidRPr="007122AB" w:rsidRDefault="000A615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119. Машинописная копия того времени, дата «... ноября 1931 года» — вверху справа ниже заголовка (число отсутствует ).</w:t>
      </w:r>
    </w:p>
    <w:p w14:paraId="5E003CAF" w14:textId="77777777" w:rsidR="000A615A" w:rsidRPr="007122AB" w:rsidRDefault="000A615A" w:rsidP="007122AB">
      <w:pPr>
        <w:spacing w:after="0" w:line="240" w:lineRule="auto"/>
        <w:jc w:val="both"/>
        <w:rPr>
          <w:rFonts w:ascii="Times New Roman" w:hAnsi="Times New Roman"/>
          <w:color w:val="000000" w:themeColor="text1"/>
          <w:sz w:val="16"/>
          <w:szCs w:val="16"/>
        </w:rPr>
      </w:pPr>
    </w:p>
    <w:p w14:paraId="4A24F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ноября 1931 г. по приказу ВСНХ № 15с Ярославский механический завод треста «</w:t>
      </w:r>
      <w:proofErr w:type="spellStart"/>
      <w:r w:rsidRPr="007122AB">
        <w:rPr>
          <w:rFonts w:ascii="Times New Roman" w:hAnsi="Times New Roman"/>
          <w:color w:val="000000" w:themeColor="text1"/>
          <w:sz w:val="16"/>
          <w:szCs w:val="16"/>
        </w:rPr>
        <w:t>Госшвеймашина</w:t>
      </w:r>
      <w:proofErr w:type="spellEnd"/>
      <w:r w:rsidRPr="007122AB">
        <w:rPr>
          <w:rFonts w:ascii="Times New Roman" w:hAnsi="Times New Roman"/>
          <w:color w:val="000000" w:themeColor="text1"/>
          <w:sz w:val="16"/>
          <w:szCs w:val="16"/>
        </w:rPr>
        <w:t xml:space="preserve">», созданный в 1929, был преобразован в Государственный механический завод № 62 в ведении Всесоюзного снарядного треста и перепрофилирован на производство прессовальных штампов, прессформ, цепей Галя, втулок (Государственный механический завод № 62 ВСНХ, НКТП, Ярославский механический завод, ГС завод № 62 НКОП, НКБ, п/я 161, Челябинский завод </w:t>
      </w:r>
      <w:r w:rsidRPr="007122AB">
        <w:rPr>
          <w:rFonts w:ascii="Times New Roman" w:hAnsi="Times New Roman"/>
          <w:color w:val="000000" w:themeColor="text1"/>
          <w:sz w:val="16"/>
          <w:szCs w:val="16"/>
        </w:rPr>
        <w:lastRenderedPageBreak/>
        <w:t xml:space="preserve">электромонтажных механизмов, ГП, ФГУП «Челябинский автоматно-механический завод» (ЧАМЗ) МЭ, </w:t>
      </w:r>
      <w:proofErr w:type="spellStart"/>
      <w:r w:rsidRPr="007122AB">
        <w:rPr>
          <w:rFonts w:ascii="Times New Roman" w:hAnsi="Times New Roman"/>
          <w:color w:val="000000" w:themeColor="text1"/>
          <w:sz w:val="16"/>
          <w:szCs w:val="16"/>
        </w:rPr>
        <w:t>Росбоеприпаса</w:t>
      </w:r>
      <w:proofErr w:type="spellEnd"/>
      <w:r w:rsidRPr="007122AB">
        <w:rPr>
          <w:rFonts w:ascii="Times New Roman" w:hAnsi="Times New Roman"/>
          <w:color w:val="000000" w:themeColor="text1"/>
          <w:sz w:val="16"/>
          <w:szCs w:val="16"/>
        </w:rPr>
        <w:t>, ФАП / г. Ярославль;  г. Челябинск п/я 161 «Стрела» (1943 г.)/ /454028  г. Челябинск ул. Ярославская, 1 тел. (3512) 62-02-98/). В 1934 г. на его базе был создан специальный завод по производству авиационных снарядов.</w:t>
      </w:r>
    </w:p>
    <w:p w14:paraId="07E5C5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1932 г. - в ведении НКТП, в 02.1937 г. - в ведении 4ГУ. Приказом НКОП № 91 от 13.03.1937 г. утвержден Устав завода. По пр. № 0180 от 15.08.1937 г. передан в новое 13ГУ. В 02.1939 г. завод № 62 13ГУ НКОП передан в ведение 13ГУ НКБ.</w:t>
      </w:r>
    </w:p>
    <w:p w14:paraId="14E13B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1FAE16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 62 4ГУ НКБ (производство 20-мм, 25-мм и 37-мм снарядов, всего 1249 ед. оборудования, 1980 чел.) эвакуирован в 1941 г. в  г. Челябинск на площадку бывших складов УГМР </w:t>
      </w:r>
      <w:proofErr w:type="spellStart"/>
      <w:r w:rsidRPr="007122AB">
        <w:rPr>
          <w:rFonts w:ascii="Times New Roman" w:hAnsi="Times New Roman"/>
          <w:color w:val="000000" w:themeColor="text1"/>
          <w:sz w:val="16"/>
          <w:szCs w:val="16"/>
        </w:rPr>
        <w:t>Наркомзага</w:t>
      </w:r>
      <w:proofErr w:type="spellEnd"/>
      <w:r w:rsidRPr="007122AB">
        <w:rPr>
          <w:rFonts w:ascii="Times New Roman" w:hAnsi="Times New Roman"/>
          <w:color w:val="000000" w:themeColor="text1"/>
          <w:sz w:val="16"/>
          <w:szCs w:val="16"/>
        </w:rPr>
        <w:t>,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7493B9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62347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w:t>
      </w:r>
      <w:proofErr w:type="spellStart"/>
      <w:r w:rsidRPr="007122AB">
        <w:rPr>
          <w:rFonts w:ascii="Times New Roman" w:hAnsi="Times New Roman"/>
          <w:color w:val="000000" w:themeColor="text1"/>
          <w:sz w:val="16"/>
          <w:szCs w:val="16"/>
        </w:rPr>
        <w:t>Шихановым</w:t>
      </w:r>
      <w:proofErr w:type="spellEnd"/>
      <w:r w:rsidRPr="007122AB">
        <w:rPr>
          <w:rFonts w:ascii="Times New Roman" w:hAnsi="Times New Roman"/>
          <w:color w:val="000000" w:themeColor="text1"/>
          <w:sz w:val="16"/>
          <w:szCs w:val="16"/>
        </w:rPr>
        <w:t>.</w:t>
      </w:r>
    </w:p>
    <w:p w14:paraId="11FBB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составе завода цехи (1943 г.): основные: механические, прессовый, термический, кузница; вспомогательные: </w:t>
      </w:r>
      <w:proofErr w:type="spellStart"/>
      <w:r w:rsidRPr="007122AB">
        <w:rPr>
          <w:rFonts w:ascii="Times New Roman" w:hAnsi="Times New Roman"/>
          <w:color w:val="000000" w:themeColor="text1"/>
          <w:sz w:val="16"/>
          <w:szCs w:val="16"/>
        </w:rPr>
        <w:t>оксидировочный</w:t>
      </w:r>
      <w:proofErr w:type="spellEnd"/>
      <w:r w:rsidRPr="007122AB">
        <w:rPr>
          <w:rFonts w:ascii="Times New Roman" w:hAnsi="Times New Roman"/>
          <w:color w:val="000000" w:themeColor="text1"/>
          <w:sz w:val="16"/>
          <w:szCs w:val="16"/>
        </w:rPr>
        <w:t>.</w:t>
      </w:r>
    </w:p>
    <w:p w14:paraId="004C3F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налажен выпуск зерноочистительных машин, магнитных пускателей, баллонов высокого давления, цилиндров, бытовой техники.</w:t>
      </w:r>
    </w:p>
    <w:p w14:paraId="08359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20.11.1981 г. ЧАМЗ награжден Орденом Трудового Красного Знамени.</w:t>
      </w:r>
    </w:p>
    <w:p w14:paraId="0BCF7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имел (2001 г.) испытательный полигон.</w:t>
      </w:r>
    </w:p>
    <w:p w14:paraId="31636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15.06.1992 г. пост. Главы администрации  г. Челябинска № 1021 зарегистрировано ГП ЧАМЗ. 28.04.1999 г. утвержден Устав ФГУП ЧАМЗ МЭ, в 2003 г. - в ведении </w:t>
      </w:r>
      <w:proofErr w:type="spellStart"/>
      <w:r w:rsidRPr="007122AB">
        <w:rPr>
          <w:rFonts w:ascii="Times New Roman" w:hAnsi="Times New Roman"/>
          <w:color w:val="000000" w:themeColor="text1"/>
          <w:sz w:val="16"/>
          <w:szCs w:val="16"/>
        </w:rPr>
        <w:t>Росбоеприпаса</w:t>
      </w:r>
      <w:proofErr w:type="spellEnd"/>
      <w:r w:rsidRPr="007122AB">
        <w:rPr>
          <w:rFonts w:ascii="Times New Roman" w:hAnsi="Times New Roman"/>
          <w:color w:val="000000" w:themeColor="text1"/>
          <w:sz w:val="16"/>
          <w:szCs w:val="16"/>
        </w:rPr>
        <w:t>, в 2004 г. - ФАП. По Указу Президента РФ № 1009 от 4.08.2004 г. ФГУП вошло в число стратегических оборонных предприятий. В 2008 г. ФГУП являлось банкротом. 29.01.2009 г. на предприятии введена процедура внешнего управления сроком на 18 месяцев.</w:t>
      </w:r>
    </w:p>
    <w:p w14:paraId="4DE7BE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(1943 г.)- 1228 ед.</w:t>
      </w:r>
    </w:p>
    <w:p w14:paraId="4E72E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(1943 г.): производственная- 13292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вспомогательная- 5348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297168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(10.1941 г.)- 5000 чел., (12.1942 г.)- 4049 чел.</w:t>
      </w:r>
    </w:p>
    <w:p w14:paraId="7EC458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(-27.05.1937 г.)- Х.В. Давыдов (снят), (27.05-20.08.1937 г.)- И.Ф. </w:t>
      </w:r>
      <w:proofErr w:type="spellStart"/>
      <w:r w:rsidRPr="007122AB">
        <w:rPr>
          <w:rFonts w:ascii="Times New Roman" w:hAnsi="Times New Roman"/>
          <w:color w:val="000000" w:themeColor="text1"/>
          <w:sz w:val="16"/>
          <w:szCs w:val="16"/>
        </w:rPr>
        <w:t>Готовкин</w:t>
      </w:r>
      <w:proofErr w:type="spellEnd"/>
      <w:r w:rsidRPr="007122AB">
        <w:rPr>
          <w:rFonts w:ascii="Times New Roman" w:hAnsi="Times New Roman"/>
          <w:color w:val="000000" w:themeColor="text1"/>
          <w:sz w:val="16"/>
          <w:szCs w:val="16"/>
        </w:rPr>
        <w:t xml:space="preserve">, (20.08.1937 г.-)- С.С. </w:t>
      </w:r>
      <w:proofErr w:type="spellStart"/>
      <w:r w:rsidRPr="007122AB">
        <w:rPr>
          <w:rFonts w:ascii="Times New Roman" w:hAnsi="Times New Roman"/>
          <w:color w:val="000000" w:themeColor="text1"/>
          <w:sz w:val="16"/>
          <w:szCs w:val="16"/>
        </w:rPr>
        <w:t>Какунин</w:t>
      </w:r>
      <w:proofErr w:type="spellEnd"/>
      <w:r w:rsidRPr="007122AB">
        <w:rPr>
          <w:rFonts w:ascii="Times New Roman" w:hAnsi="Times New Roman"/>
          <w:color w:val="000000" w:themeColor="text1"/>
          <w:sz w:val="16"/>
          <w:szCs w:val="16"/>
        </w:rPr>
        <w:t xml:space="preserve">, (04.1943 г.)- М.С. Завражнов, (1946-47 г.)- С.С. </w:t>
      </w:r>
      <w:proofErr w:type="spellStart"/>
      <w:r w:rsidRPr="007122AB">
        <w:rPr>
          <w:rFonts w:ascii="Times New Roman" w:hAnsi="Times New Roman"/>
          <w:color w:val="000000" w:themeColor="text1"/>
          <w:sz w:val="16"/>
          <w:szCs w:val="16"/>
        </w:rPr>
        <w:t>Зарва</w:t>
      </w:r>
      <w:proofErr w:type="spellEnd"/>
      <w:r w:rsidRPr="007122AB">
        <w:rPr>
          <w:rFonts w:ascii="Times New Roman" w:hAnsi="Times New Roman"/>
          <w:color w:val="000000" w:themeColor="text1"/>
          <w:sz w:val="16"/>
          <w:szCs w:val="16"/>
        </w:rPr>
        <w:t xml:space="preserve">, (1947-53 г.)- С.А. Полянцев, (1953-58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Кононов, (1958-73 г.)- А.И. </w:t>
      </w:r>
      <w:proofErr w:type="spellStart"/>
      <w:r w:rsidRPr="007122AB">
        <w:rPr>
          <w:rFonts w:ascii="Times New Roman" w:hAnsi="Times New Roman"/>
          <w:color w:val="000000" w:themeColor="text1"/>
          <w:sz w:val="16"/>
          <w:szCs w:val="16"/>
        </w:rPr>
        <w:t>Бохонов</w:t>
      </w:r>
      <w:proofErr w:type="spellEnd"/>
      <w:r w:rsidRPr="007122AB">
        <w:rPr>
          <w:rFonts w:ascii="Times New Roman" w:hAnsi="Times New Roman"/>
          <w:color w:val="000000" w:themeColor="text1"/>
          <w:sz w:val="16"/>
          <w:szCs w:val="16"/>
        </w:rPr>
        <w:t>, (1973 г.-)- Н.А. Никитин, В.М. Злоказов, (-1979 г.)- А.А. Бобылев, (1979-95 г.)- Э.А. Останин. Гендиректор (-2008 г.)- Е. Пастушков (осужден), (2009 г.)- А.В. Никулин. Внешний управляющий (01.2009 г.-)- И.А. Золотухин, (15.04.2009 г.-)- В.Д. Коробов.</w:t>
      </w:r>
    </w:p>
    <w:p w14:paraId="4D876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(06.1937 г.)- А.П. Надеждин. Зам. гендиректора (2004 г.)- М. </w:t>
      </w:r>
      <w:proofErr w:type="spellStart"/>
      <w:r w:rsidRPr="007122AB">
        <w:rPr>
          <w:rFonts w:ascii="Times New Roman" w:hAnsi="Times New Roman"/>
          <w:color w:val="000000" w:themeColor="text1"/>
          <w:sz w:val="16"/>
          <w:szCs w:val="16"/>
        </w:rPr>
        <w:t>Гельфоид</w:t>
      </w:r>
      <w:proofErr w:type="spellEnd"/>
      <w:r w:rsidRPr="007122AB">
        <w:rPr>
          <w:rFonts w:ascii="Times New Roman" w:hAnsi="Times New Roman"/>
          <w:color w:val="000000" w:themeColor="text1"/>
          <w:sz w:val="16"/>
          <w:szCs w:val="16"/>
        </w:rPr>
        <w:t>.</w:t>
      </w:r>
    </w:p>
    <w:p w14:paraId="5E6ABD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(06.1937 г.)- А.П. Надеждин, (1946-66 г.)- Ф.Н. Рожков.</w:t>
      </w:r>
    </w:p>
    <w:p w14:paraId="40033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технолога (-11.1943 г.)- А.В. Шиханов.</w:t>
      </w:r>
    </w:p>
    <w:p w14:paraId="56EDF1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цеха: </w:t>
      </w:r>
      <w:proofErr w:type="spellStart"/>
      <w:r w:rsidRPr="007122AB">
        <w:rPr>
          <w:rFonts w:ascii="Times New Roman" w:hAnsi="Times New Roman"/>
          <w:color w:val="000000" w:themeColor="text1"/>
          <w:sz w:val="16"/>
          <w:szCs w:val="16"/>
        </w:rPr>
        <w:t>ремоятно</w:t>
      </w:r>
      <w:proofErr w:type="spellEnd"/>
      <w:r w:rsidRPr="007122AB">
        <w:rPr>
          <w:rFonts w:ascii="Times New Roman" w:hAnsi="Times New Roman"/>
          <w:color w:val="000000" w:themeColor="text1"/>
          <w:sz w:val="16"/>
          <w:szCs w:val="16"/>
        </w:rPr>
        <w:t>-механического (-11.1943 г.)- Н.В. Захаркин; инструментального (-11.1943 г.)- Н.Т. Сердюк; термического (-11.1943 г.)- Ф.М. Василенко.</w:t>
      </w:r>
    </w:p>
    <w:p w14:paraId="014F3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2-го (04.1943 г.)- Колодин.</w:t>
      </w:r>
    </w:p>
    <w:p w14:paraId="574950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снаряды 20-мм, 23-мм, 37-мм (1943);</w:t>
      </w:r>
      <w:r w:rsidRPr="007122AB">
        <w:rPr>
          <w:rFonts w:ascii="Times New Roman" w:hAnsi="Times New Roman"/>
          <w:color w:val="000000" w:themeColor="text1"/>
          <w:sz w:val="16"/>
          <w:szCs w:val="16"/>
          <w:vertAlign w:val="superscript"/>
        </w:rPr>
        <w:t>ш</w:t>
      </w:r>
      <w:r w:rsidRPr="007122AB">
        <w:rPr>
          <w:rFonts w:ascii="Times New Roman" w:hAnsi="Times New Roman"/>
          <w:color w:val="000000" w:themeColor="text1"/>
          <w:sz w:val="16"/>
          <w:szCs w:val="16"/>
        </w:rPr>
        <w:t xml:space="preserve"> снаряды (2001); задвижки для нефтегазовой промышленности ЗМС1; магнитные пускатели ПМА-3000; баллоны для огнетушителей; инструмент режущий; плита газовая «Рябинка» (1993-2007-), электроплита «Рябинка-10» (2001-07-); переключатель для электроплит ПМ-7 (2000-е) (11982).</w:t>
      </w:r>
    </w:p>
    <w:p w14:paraId="32A984E6" w14:textId="77777777" w:rsidR="00193905" w:rsidRPr="007122AB" w:rsidRDefault="00193905" w:rsidP="007122AB">
      <w:pPr>
        <w:spacing w:after="0" w:line="240" w:lineRule="auto"/>
        <w:jc w:val="both"/>
        <w:rPr>
          <w:rFonts w:ascii="Times New Roman" w:hAnsi="Times New Roman"/>
          <w:bCs/>
          <w:color w:val="000000" w:themeColor="text1"/>
          <w:sz w:val="16"/>
          <w:szCs w:val="16"/>
        </w:rPr>
      </w:pPr>
    </w:p>
    <w:p w14:paraId="2C5C2E64"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5 ноября</w:t>
      </w:r>
      <w:r w:rsidRPr="007122AB">
        <w:rPr>
          <w:rFonts w:ascii="Times New Roman" w:hAnsi="Times New Roman"/>
          <w:color w:val="000000" w:themeColor="text1"/>
          <w:sz w:val="16"/>
          <w:szCs w:val="16"/>
        </w:rPr>
        <w:t xml:space="preserve"> в 1931 году основан Челябинский автоматно-механический завод. Челябинский автоматно-механический завод (ФГУП ЧАМЗ), основан в городе Ярославле на базе небольшого предприятия по производству швейных машин треста «</w:t>
      </w:r>
      <w:proofErr w:type="spellStart"/>
      <w:r w:rsidRPr="007122AB">
        <w:rPr>
          <w:rFonts w:ascii="Times New Roman" w:hAnsi="Times New Roman"/>
          <w:color w:val="000000" w:themeColor="text1"/>
          <w:sz w:val="16"/>
          <w:szCs w:val="16"/>
        </w:rPr>
        <w:t>Госшвеймашина</w:t>
      </w:r>
      <w:proofErr w:type="spellEnd"/>
      <w:r w:rsidRPr="007122AB">
        <w:rPr>
          <w:rFonts w:ascii="Times New Roman" w:hAnsi="Times New Roman"/>
          <w:color w:val="000000" w:themeColor="text1"/>
          <w:sz w:val="16"/>
          <w:szCs w:val="16"/>
        </w:rPr>
        <w:t>». Приказом ВСНХ СССР от 17 октября 1931 завод передан в подчинение Всесоюзному снарядному тресту. 5 ноября 1931 ему было присвоено название «Ярославский механический завод № 62». В 1932 г. была произведена первая партия корпусов для снарядов. 7 ноября 1942 г. завод эвакуирован в Челябинск, и уже 12 декабря была выпущена первая партия снарядов. За годы войны завод увеличил объем выпускаемой продукции в 4 раза. С 1957 г. завод начал специализироваться на выпуске электротехнической продукции – магнитных пускателей, тепловых реле, установочных автоматов. В 1999 г. завод преобразован в ФГУП ЧАМЗ, производственный профиль которого – элементы боеприпасов, другие оборонные изделия, высокотехнологичная продукция машиностроения. Сегодня ЧАМЗ – комплексное механизированное производство. По тактико-техническим характеристикам продукция ЧАМЗ признана одной из лучших в мире. За успешное освоение новой техники и достигнутые производственные успехи Указом Президиума Верховного Совета СССР от 20 ноября 1981 г. Челябинский автоматно-механический завод награжден Орденом Трудового Красного Знамени (14821).</w:t>
      </w:r>
    </w:p>
    <w:p w14:paraId="676C8D10" w14:textId="77777777" w:rsidR="00193905" w:rsidRPr="007122AB" w:rsidRDefault="0019390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6C9DB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3EC505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BD252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ноября 1931 </w:t>
      </w:r>
      <w:proofErr w:type="spellStart"/>
      <w:r w:rsidRPr="007122AB">
        <w:rPr>
          <w:rFonts w:ascii="Times New Roman" w:hAnsi="Times New Roman"/>
          <w:color w:val="000000" w:themeColor="text1"/>
          <w:sz w:val="16"/>
          <w:szCs w:val="16"/>
        </w:rPr>
        <w:t>Р.Макдоналд</w:t>
      </w:r>
      <w:proofErr w:type="spellEnd"/>
      <w:r w:rsidRPr="007122AB">
        <w:rPr>
          <w:rFonts w:ascii="Times New Roman" w:hAnsi="Times New Roman"/>
          <w:color w:val="000000" w:themeColor="text1"/>
          <w:sz w:val="16"/>
          <w:szCs w:val="16"/>
        </w:rPr>
        <w:t xml:space="preserve"> в Англии сформировал второе национальное правительство с </w:t>
      </w:r>
      <w:proofErr w:type="spellStart"/>
      <w:r w:rsidRPr="007122AB">
        <w:rPr>
          <w:rFonts w:ascii="Times New Roman" w:hAnsi="Times New Roman"/>
          <w:color w:val="000000" w:themeColor="text1"/>
          <w:sz w:val="16"/>
          <w:szCs w:val="16"/>
        </w:rPr>
        <w:t>Н.Чемберленом</w:t>
      </w:r>
      <w:proofErr w:type="spellEnd"/>
      <w:r w:rsidRPr="007122AB">
        <w:rPr>
          <w:rFonts w:ascii="Times New Roman" w:hAnsi="Times New Roman"/>
          <w:color w:val="000000" w:themeColor="text1"/>
          <w:sz w:val="16"/>
          <w:szCs w:val="16"/>
        </w:rPr>
        <w:t xml:space="preserve"> в качестве министра финансов (3481).</w:t>
      </w:r>
    </w:p>
    <w:p w14:paraId="2EC223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CE6FB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9FAA4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2550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ноября 1931 с письмом НИИ ГВФ N 288 в ЦАГИ и АГОС были направлены материалы ко 2-й конференции ГВФ (Реконструкция ГВФ, планы опытного строительства, данные иностранных самолетов) (351).</w:t>
      </w:r>
    </w:p>
    <w:p w14:paraId="23E0F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личной с Вами договоренности пересылаю Вам материал для работ по подготовке ко 2-й конференции ГВФ. Материал из себя представляет те основные наметки по реконструкции ГВФ, на основании чего составляется план опытного строительства и анализ самолетного парка до 30 года зарубежных стран.</w:t>
      </w:r>
    </w:p>
    <w:p w14:paraId="08BEE3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наметкам самолетной секции желательно, чтобы Ваша группа проработала следующие вопросы:</w:t>
      </w:r>
    </w:p>
    <w:p w14:paraId="1E25C5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p w14:paraId="2A1866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w:t>
      </w:r>
      <w:proofErr w:type="spellStart"/>
      <w:r w:rsidRPr="007122AB">
        <w:rPr>
          <w:rFonts w:ascii="Times New Roman" w:hAnsi="Times New Roman"/>
          <w:color w:val="000000" w:themeColor="text1"/>
          <w:sz w:val="16"/>
          <w:szCs w:val="16"/>
        </w:rPr>
        <w:t>наивыгоднейшая</w:t>
      </w:r>
      <w:proofErr w:type="spellEnd"/>
      <w:r w:rsidRPr="007122AB">
        <w:rPr>
          <w:rFonts w:ascii="Times New Roman" w:hAnsi="Times New Roman"/>
          <w:color w:val="000000" w:themeColor="text1"/>
          <w:sz w:val="16"/>
          <w:szCs w:val="16"/>
        </w:rPr>
        <w:t xml:space="preserve"> тоннажность,</w:t>
      </w:r>
    </w:p>
    <w:p w14:paraId="051C34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дальность полета,</w:t>
      </w:r>
    </w:p>
    <w:p w14:paraId="261846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распределение по районам,</w:t>
      </w:r>
    </w:p>
    <w:p w14:paraId="0C52E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Группа т. </w:t>
      </w:r>
      <w:proofErr w:type="spellStart"/>
      <w:r w:rsidRPr="007122AB">
        <w:rPr>
          <w:rFonts w:ascii="Times New Roman" w:hAnsi="Times New Roman"/>
          <w:color w:val="000000" w:themeColor="text1"/>
          <w:sz w:val="16"/>
          <w:szCs w:val="16"/>
        </w:rPr>
        <w:t>Станклицкий</w:t>
      </w:r>
      <w:proofErr w:type="spellEnd"/>
      <w:r w:rsidRPr="007122AB">
        <w:rPr>
          <w:rFonts w:ascii="Times New Roman" w:hAnsi="Times New Roman"/>
          <w:color w:val="000000" w:themeColor="text1"/>
          <w:sz w:val="16"/>
          <w:szCs w:val="16"/>
        </w:rPr>
        <w:t xml:space="preserve">, т. Шавров и т. </w:t>
      </w:r>
      <w:proofErr w:type="spellStart"/>
      <w:r w:rsidRPr="007122AB">
        <w:rPr>
          <w:rFonts w:ascii="Times New Roman" w:hAnsi="Times New Roman"/>
          <w:color w:val="000000" w:themeColor="text1"/>
          <w:sz w:val="16"/>
          <w:szCs w:val="16"/>
        </w:rPr>
        <w:t>Погосский</w:t>
      </w:r>
      <w:proofErr w:type="spellEnd"/>
    </w:p>
    <w:p w14:paraId="62B1ED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типаж гидросамолетов по речным и..."(351).</w:t>
      </w:r>
    </w:p>
    <w:p w14:paraId="5EE3E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Получили в ЦАГИ 6 ноября и дали N 1852с (351).</w:t>
      </w:r>
    </w:p>
    <w:p w14:paraId="689028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Приложили октябрьское письмо N 200/1058с в ВАО Управление опытного самолетостроения/</w:t>
      </w:r>
    </w:p>
    <w:p w14:paraId="7D5FD6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октября 1931 было подготовлен письмо N 200/1058с от Члена Правления ВОГВФ </w:t>
      </w:r>
      <w:proofErr w:type="spellStart"/>
      <w:r w:rsidRPr="007122AB">
        <w:rPr>
          <w:rFonts w:ascii="Times New Roman" w:hAnsi="Times New Roman"/>
          <w:color w:val="000000" w:themeColor="text1"/>
          <w:sz w:val="16"/>
          <w:szCs w:val="16"/>
        </w:rPr>
        <w:t>А.П.Голубкова</w:t>
      </w:r>
      <w:proofErr w:type="spellEnd"/>
      <w:r w:rsidRPr="007122AB">
        <w:rPr>
          <w:rFonts w:ascii="Times New Roman" w:hAnsi="Times New Roman"/>
          <w:color w:val="000000" w:themeColor="text1"/>
          <w:sz w:val="16"/>
          <w:szCs w:val="16"/>
        </w:rPr>
        <w:t xml:space="preserve"> и Нач. Самолетного отдела НИИ ГВФ Дементьева в ВАО:</w:t>
      </w:r>
    </w:p>
    <w:p w14:paraId="60B0D6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пересылаем Вам план опытного самолетостроения ВОГ ГВФ на 1931-1932 годы с указанием желательных сроков готовности опытных экземпляров (351,37):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647"/>
      </w:tblGrid>
      <w:tr w:rsidR="001002C3" w:rsidRPr="007122AB" w14:paraId="0E857EA2" w14:textId="77777777">
        <w:tc>
          <w:tcPr>
            <w:tcW w:w="959" w:type="dxa"/>
          </w:tcPr>
          <w:p w14:paraId="7B1575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w:t>
            </w:r>
          </w:p>
        </w:tc>
        <w:tc>
          <w:tcPr>
            <w:tcW w:w="992" w:type="dxa"/>
          </w:tcPr>
          <w:p w14:paraId="01440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К-7</w:t>
            </w:r>
          </w:p>
        </w:tc>
        <w:tc>
          <w:tcPr>
            <w:tcW w:w="8647" w:type="dxa"/>
          </w:tcPr>
          <w:p w14:paraId="2A72B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опытный экз. должен поступить в ВОГФ в мае 1932 (инф. т.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w:t>
            </w:r>
          </w:p>
        </w:tc>
      </w:tr>
      <w:tr w:rsidR="001002C3" w:rsidRPr="007122AB" w14:paraId="14D0AC68" w14:textId="77777777">
        <w:tc>
          <w:tcPr>
            <w:tcW w:w="959" w:type="dxa"/>
          </w:tcPr>
          <w:p w14:paraId="3257D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
        </w:tc>
        <w:tc>
          <w:tcPr>
            <w:tcW w:w="992" w:type="dxa"/>
          </w:tcPr>
          <w:p w14:paraId="6E869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К-10</w:t>
            </w:r>
          </w:p>
        </w:tc>
        <w:tc>
          <w:tcPr>
            <w:tcW w:w="8647" w:type="dxa"/>
          </w:tcPr>
          <w:p w14:paraId="3C11E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Должен поступить не позднее 1 января 1932</w:t>
            </w:r>
          </w:p>
        </w:tc>
      </w:tr>
      <w:tr w:rsidR="001002C3" w:rsidRPr="007122AB" w14:paraId="128E07FA" w14:textId="77777777">
        <w:tc>
          <w:tcPr>
            <w:tcW w:w="959" w:type="dxa"/>
          </w:tcPr>
          <w:p w14:paraId="2472D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992" w:type="dxa"/>
          </w:tcPr>
          <w:p w14:paraId="64CC4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8647" w:type="dxa"/>
          </w:tcPr>
          <w:p w14:paraId="0BC152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модифицируется под пассажирский. Желательно опытную военную после специальных </w:t>
            </w:r>
          </w:p>
        </w:tc>
      </w:tr>
      <w:tr w:rsidR="001002C3" w:rsidRPr="007122AB" w14:paraId="615C71B2" w14:textId="77777777">
        <w:tc>
          <w:tcPr>
            <w:tcW w:w="959" w:type="dxa"/>
          </w:tcPr>
          <w:p w14:paraId="6DD4B3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FF99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4F9D51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испытаний оборудовать в гражданскую</w:t>
            </w:r>
          </w:p>
        </w:tc>
      </w:tr>
      <w:tr w:rsidR="001002C3" w:rsidRPr="007122AB" w14:paraId="72729429" w14:textId="77777777">
        <w:tc>
          <w:tcPr>
            <w:tcW w:w="959" w:type="dxa"/>
          </w:tcPr>
          <w:p w14:paraId="3282A4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
        </w:tc>
        <w:tc>
          <w:tcPr>
            <w:tcW w:w="992" w:type="dxa"/>
          </w:tcPr>
          <w:p w14:paraId="58FC6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ТБ-5</w:t>
            </w:r>
          </w:p>
        </w:tc>
        <w:tc>
          <w:tcPr>
            <w:tcW w:w="8647" w:type="dxa"/>
          </w:tcPr>
          <w:p w14:paraId="674F9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переделку имеющегося военного экземпляра в гражданский</w:t>
            </w:r>
          </w:p>
        </w:tc>
      </w:tr>
      <w:tr w:rsidR="001002C3" w:rsidRPr="007122AB" w14:paraId="2826360A" w14:textId="77777777">
        <w:tc>
          <w:tcPr>
            <w:tcW w:w="959" w:type="dxa"/>
          </w:tcPr>
          <w:p w14:paraId="30AACF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992" w:type="dxa"/>
          </w:tcPr>
          <w:p w14:paraId="23EBE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8647" w:type="dxa"/>
          </w:tcPr>
          <w:p w14:paraId="2B424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опытный экземпляр</w:t>
            </w:r>
          </w:p>
        </w:tc>
      </w:tr>
      <w:tr w:rsidR="001002C3" w:rsidRPr="007122AB" w14:paraId="6DA719C1" w14:textId="77777777">
        <w:tc>
          <w:tcPr>
            <w:tcW w:w="959" w:type="dxa"/>
          </w:tcPr>
          <w:p w14:paraId="5CF3F1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992" w:type="dxa"/>
          </w:tcPr>
          <w:p w14:paraId="159218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w:t>
            </w:r>
          </w:p>
        </w:tc>
        <w:tc>
          <w:tcPr>
            <w:tcW w:w="8647" w:type="dxa"/>
          </w:tcPr>
          <w:p w14:paraId="20BC2A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633A2819" w14:textId="77777777">
        <w:tc>
          <w:tcPr>
            <w:tcW w:w="959" w:type="dxa"/>
          </w:tcPr>
          <w:p w14:paraId="3E93EE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992" w:type="dxa"/>
          </w:tcPr>
          <w:p w14:paraId="4C3D5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8647" w:type="dxa"/>
          </w:tcPr>
          <w:p w14:paraId="67813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переделку в гражданскую машину. Срок готовности - март 1932</w:t>
            </w:r>
          </w:p>
        </w:tc>
      </w:tr>
      <w:tr w:rsidR="001002C3" w:rsidRPr="007122AB" w14:paraId="5DDC700B" w14:textId="77777777">
        <w:tc>
          <w:tcPr>
            <w:tcW w:w="959" w:type="dxa"/>
          </w:tcPr>
          <w:p w14:paraId="49212C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992" w:type="dxa"/>
          </w:tcPr>
          <w:p w14:paraId="18BC1B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p>
        </w:tc>
        <w:tc>
          <w:tcPr>
            <w:tcW w:w="8647" w:type="dxa"/>
          </w:tcPr>
          <w:p w14:paraId="036893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под переделку в самолет связи. Срок готовности - январь 1932</w:t>
            </w:r>
          </w:p>
        </w:tc>
      </w:tr>
      <w:tr w:rsidR="001002C3" w:rsidRPr="007122AB" w14:paraId="5D70A190" w14:textId="77777777">
        <w:tc>
          <w:tcPr>
            <w:tcW w:w="959" w:type="dxa"/>
          </w:tcPr>
          <w:p w14:paraId="6CC338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992" w:type="dxa"/>
          </w:tcPr>
          <w:p w14:paraId="1853C7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К-8</w:t>
            </w:r>
          </w:p>
        </w:tc>
        <w:tc>
          <w:tcPr>
            <w:tcW w:w="8647" w:type="dxa"/>
          </w:tcPr>
          <w:p w14:paraId="6124D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опытный экземпляр. Срок готовности - октябрь 1931</w:t>
            </w:r>
          </w:p>
        </w:tc>
      </w:tr>
      <w:tr w:rsidR="001002C3" w:rsidRPr="007122AB" w14:paraId="1D07BB2E" w14:textId="77777777">
        <w:tc>
          <w:tcPr>
            <w:tcW w:w="959" w:type="dxa"/>
          </w:tcPr>
          <w:p w14:paraId="44F2F0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992" w:type="dxa"/>
          </w:tcPr>
          <w:p w14:paraId="37143E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К-11</w:t>
            </w:r>
          </w:p>
        </w:tc>
        <w:tc>
          <w:tcPr>
            <w:tcW w:w="8647" w:type="dxa"/>
          </w:tcPr>
          <w:p w14:paraId="1EB83C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Срок готовности - январь 1932</w:t>
            </w:r>
          </w:p>
        </w:tc>
      </w:tr>
      <w:tr w:rsidR="001002C3" w:rsidRPr="007122AB" w14:paraId="29B5309C" w14:textId="77777777">
        <w:tc>
          <w:tcPr>
            <w:tcW w:w="959" w:type="dxa"/>
          </w:tcPr>
          <w:p w14:paraId="4CA49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992" w:type="dxa"/>
          </w:tcPr>
          <w:p w14:paraId="619AA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АНТ-8</w:t>
            </w:r>
          </w:p>
        </w:tc>
        <w:tc>
          <w:tcPr>
            <w:tcW w:w="8647" w:type="dxa"/>
          </w:tcPr>
          <w:p w14:paraId="06313B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Заключить договор на передачу черноморского экземпляра для переделки в пассажирский</w:t>
            </w:r>
          </w:p>
        </w:tc>
      </w:tr>
      <w:tr w:rsidR="001002C3" w:rsidRPr="007122AB" w14:paraId="25F88BBC" w14:textId="77777777">
        <w:tc>
          <w:tcPr>
            <w:tcW w:w="959" w:type="dxa"/>
          </w:tcPr>
          <w:p w14:paraId="271694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83F9B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2B48E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r>
      <w:tr w:rsidR="001002C3" w:rsidRPr="007122AB" w14:paraId="69AB4C11" w14:textId="77777777">
        <w:tc>
          <w:tcPr>
            <w:tcW w:w="959" w:type="dxa"/>
          </w:tcPr>
          <w:p w14:paraId="4B158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992" w:type="dxa"/>
          </w:tcPr>
          <w:p w14:paraId="13902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w:t>
            </w:r>
          </w:p>
        </w:tc>
        <w:tc>
          <w:tcPr>
            <w:tcW w:w="8647" w:type="dxa"/>
          </w:tcPr>
          <w:p w14:paraId="1B7B71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Договор на переделку под гражданскую машину</w:t>
            </w:r>
          </w:p>
        </w:tc>
      </w:tr>
      <w:tr w:rsidR="001002C3" w:rsidRPr="007122AB" w14:paraId="10EBD8BE" w14:textId="77777777">
        <w:tc>
          <w:tcPr>
            <w:tcW w:w="959" w:type="dxa"/>
          </w:tcPr>
          <w:p w14:paraId="6B9209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992" w:type="dxa"/>
          </w:tcPr>
          <w:p w14:paraId="5C725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МФС</w:t>
            </w:r>
          </w:p>
        </w:tc>
        <w:tc>
          <w:tcPr>
            <w:tcW w:w="8647" w:type="dxa"/>
          </w:tcPr>
          <w:p w14:paraId="29CBF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Амфибия конструкции т. Шаврова 39 завода с 2хМ26. Заключить договор на опытный экземпляр. </w:t>
            </w:r>
          </w:p>
        </w:tc>
      </w:tr>
      <w:tr w:rsidR="001002C3" w:rsidRPr="007122AB" w14:paraId="714B1281" w14:textId="77777777">
        <w:tc>
          <w:tcPr>
            <w:tcW w:w="959" w:type="dxa"/>
          </w:tcPr>
          <w:p w14:paraId="42E6A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475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3C6B09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готовности - май 1932</w:t>
            </w:r>
          </w:p>
        </w:tc>
      </w:tr>
      <w:tr w:rsidR="001002C3" w:rsidRPr="007122AB" w14:paraId="4804EFA4" w14:textId="77777777">
        <w:tc>
          <w:tcPr>
            <w:tcW w:w="959" w:type="dxa"/>
          </w:tcPr>
          <w:p w14:paraId="6811C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992" w:type="dxa"/>
          </w:tcPr>
          <w:p w14:paraId="0D7CC5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горн.</w:t>
            </w:r>
          </w:p>
        </w:tc>
        <w:tc>
          <w:tcPr>
            <w:tcW w:w="8647" w:type="dxa"/>
          </w:tcPr>
          <w:p w14:paraId="06AD78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Желательно изготовить специальный опытный экз.</w:t>
            </w:r>
          </w:p>
        </w:tc>
      </w:tr>
      <w:tr w:rsidR="001002C3" w:rsidRPr="007122AB" w14:paraId="748E0823" w14:textId="77777777">
        <w:tc>
          <w:tcPr>
            <w:tcW w:w="959" w:type="dxa"/>
          </w:tcPr>
          <w:p w14:paraId="006A54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411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Районов</w:t>
            </w:r>
          </w:p>
        </w:tc>
        <w:tc>
          <w:tcPr>
            <w:tcW w:w="8647" w:type="dxa"/>
          </w:tcPr>
          <w:p w14:paraId="7E2F3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w:t>
            </w:r>
            <w:proofErr w:type="spellStart"/>
            <w:r w:rsidRPr="007122AB">
              <w:rPr>
                <w:rFonts w:ascii="Times New Roman" w:hAnsi="Times New Roman"/>
                <w:color w:val="000000" w:themeColor="text1"/>
                <w:sz w:val="16"/>
                <w:szCs w:val="16"/>
              </w:rPr>
              <w:t>согл</w:t>
            </w:r>
            <w:proofErr w:type="spellEnd"/>
            <w:r w:rsidRPr="007122AB">
              <w:rPr>
                <w:rFonts w:ascii="Times New Roman" w:hAnsi="Times New Roman"/>
                <w:color w:val="000000" w:themeColor="text1"/>
                <w:sz w:val="16"/>
                <w:szCs w:val="16"/>
              </w:rPr>
              <w:t>. с НИИ ВОГФ или переделать имеющийся</w:t>
            </w:r>
          </w:p>
        </w:tc>
      </w:tr>
      <w:tr w:rsidR="001002C3" w:rsidRPr="007122AB" w14:paraId="274A8ED5" w14:textId="77777777">
        <w:tc>
          <w:tcPr>
            <w:tcW w:w="959" w:type="dxa"/>
          </w:tcPr>
          <w:p w14:paraId="07DB2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992" w:type="dxa"/>
          </w:tcPr>
          <w:p w14:paraId="7E3FC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w:t>
            </w:r>
          </w:p>
        </w:tc>
        <w:tc>
          <w:tcPr>
            <w:tcW w:w="8647" w:type="dxa"/>
          </w:tcPr>
          <w:p w14:paraId="70C742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(Арктический ОБВ) - заключить договор с НИИ</w:t>
            </w:r>
          </w:p>
        </w:tc>
      </w:tr>
      <w:tr w:rsidR="001002C3" w:rsidRPr="007122AB" w14:paraId="607E050E" w14:textId="77777777">
        <w:tc>
          <w:tcPr>
            <w:tcW w:w="959" w:type="dxa"/>
          </w:tcPr>
          <w:p w14:paraId="72564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80EC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примен</w:t>
            </w:r>
            <w:proofErr w:type="spellEnd"/>
            <w:r w:rsidRPr="007122AB">
              <w:rPr>
                <w:rFonts w:ascii="Times New Roman" w:hAnsi="Times New Roman"/>
                <w:color w:val="000000" w:themeColor="text1"/>
                <w:sz w:val="16"/>
                <w:szCs w:val="16"/>
              </w:rPr>
              <w:t>.</w:t>
            </w:r>
          </w:p>
        </w:tc>
        <w:tc>
          <w:tcPr>
            <w:tcW w:w="8647" w:type="dxa"/>
          </w:tcPr>
          <w:p w14:paraId="570B1D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ВОГФ (351)</w:t>
            </w:r>
          </w:p>
        </w:tc>
      </w:tr>
    </w:tbl>
    <w:p w14:paraId="5D94E5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Настоящим сообщаю, что на все указанные опытные экземпляры заключить договор от ВОГВФ уполномочен НИИ ГВФ, а также и за наблюдение за опытным строительством для ГВФ.</w:t>
      </w:r>
    </w:p>
    <w:p w14:paraId="343212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Моботдел</w:t>
      </w:r>
      <w:proofErr w:type="spellEnd"/>
      <w:r w:rsidRPr="007122AB">
        <w:rPr>
          <w:rFonts w:ascii="Times New Roman" w:hAnsi="Times New Roman"/>
          <w:color w:val="000000" w:themeColor="text1"/>
          <w:sz w:val="16"/>
          <w:szCs w:val="16"/>
        </w:rPr>
        <w:t xml:space="preserve"> ВОГВФ просит Вас перед заключением договора на все самолеты, имеющиеся в опытных экземплярах военного варианта, допустить к подробному с ними ознакомлению.</w:t>
      </w:r>
    </w:p>
    <w:p w14:paraId="000E40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Начальника самолетного отдела тов. Дементьева</w:t>
      </w:r>
    </w:p>
    <w:p w14:paraId="3DBD4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Инженеров самолетного отдела НИИ ГВФ тт. Бартини, Комарова, Гурьеву и Мясоедова.</w:t>
      </w:r>
    </w:p>
    <w:p w14:paraId="2094A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Моботдел</w:t>
      </w:r>
      <w:proofErr w:type="spellEnd"/>
      <w:r w:rsidRPr="007122AB">
        <w:rPr>
          <w:rFonts w:ascii="Times New Roman" w:hAnsi="Times New Roman"/>
          <w:color w:val="000000" w:themeColor="text1"/>
          <w:sz w:val="16"/>
          <w:szCs w:val="16"/>
        </w:rPr>
        <w:t xml:space="preserve"> ВОГВФ со своей стороны просит Вас срочно оформить договор на опытные самолеты ГВФ и прислать проект договора для юридического оформления (351).</w:t>
      </w:r>
    </w:p>
    <w:p w14:paraId="029C44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F267E5"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6 ноября</w:t>
      </w:r>
      <w:r w:rsidRPr="007122AB">
        <w:rPr>
          <w:rFonts w:ascii="Times New Roman" w:hAnsi="Times New Roman"/>
          <w:color w:val="000000" w:themeColor="text1"/>
          <w:sz w:val="16"/>
          <w:szCs w:val="16"/>
        </w:rPr>
        <w:t xml:space="preserve"> в 1931 году в Москве на центральном аэродроме имени </w:t>
      </w:r>
      <w:proofErr w:type="spellStart"/>
      <w:r w:rsidRPr="007122AB">
        <w:rPr>
          <w:rFonts w:ascii="Times New Roman" w:hAnsi="Times New Roman"/>
          <w:color w:val="000000" w:themeColor="text1"/>
          <w:sz w:val="16"/>
          <w:szCs w:val="16"/>
        </w:rPr>
        <w:t>М.В.Фрунзе</w:t>
      </w:r>
      <w:proofErr w:type="spellEnd"/>
      <w:r w:rsidRPr="007122AB">
        <w:rPr>
          <w:rFonts w:ascii="Times New Roman" w:hAnsi="Times New Roman"/>
          <w:color w:val="000000" w:themeColor="text1"/>
          <w:sz w:val="16"/>
          <w:szCs w:val="16"/>
        </w:rPr>
        <w:t xml:space="preserve"> открыт первый в Советском Союзе аэровокзал Гражданского воздушного флота (14822).</w:t>
      </w:r>
    </w:p>
    <w:p w14:paraId="51889B94" w14:textId="77777777" w:rsidR="00193905" w:rsidRPr="007122AB" w:rsidRDefault="00193905" w:rsidP="007122AB">
      <w:pPr>
        <w:spacing w:after="0" w:line="240" w:lineRule="auto"/>
        <w:jc w:val="both"/>
        <w:rPr>
          <w:rFonts w:ascii="Times New Roman" w:hAnsi="Times New Roman"/>
          <w:color w:val="000000" w:themeColor="text1"/>
          <w:sz w:val="16"/>
          <w:szCs w:val="16"/>
        </w:rPr>
      </w:pPr>
    </w:p>
    <w:p w14:paraId="00C550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ноября 1931 в Москве на ЦА открыли </w:t>
      </w:r>
      <w:proofErr w:type="spellStart"/>
      <w:r w:rsidRPr="007122AB">
        <w:rPr>
          <w:rFonts w:ascii="Times New Roman" w:hAnsi="Times New Roman"/>
          <w:color w:val="000000" w:themeColor="text1"/>
          <w:sz w:val="16"/>
          <w:szCs w:val="16"/>
        </w:rPr>
        <w:t>авиавокзал</w:t>
      </w:r>
      <w:proofErr w:type="spellEnd"/>
      <w:r w:rsidRPr="007122AB">
        <w:rPr>
          <w:rFonts w:ascii="Times New Roman" w:hAnsi="Times New Roman"/>
          <w:color w:val="000000" w:themeColor="text1"/>
          <w:sz w:val="16"/>
          <w:szCs w:val="16"/>
        </w:rPr>
        <w:t xml:space="preserve"> - первый в СССР (442,303).</w:t>
      </w:r>
    </w:p>
    <w:p w14:paraId="2C9B5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49F5C5" w14:textId="77777777" w:rsidR="00C36871" w:rsidRPr="009F5089" w:rsidRDefault="00C36871" w:rsidP="00C36871">
      <w:pPr>
        <w:spacing w:after="0" w:line="240" w:lineRule="auto"/>
        <w:jc w:val="both"/>
        <w:rPr>
          <w:rFonts w:ascii="Times New Roman" w:hAnsi="Times New Roman"/>
          <w:color w:val="0070C0"/>
          <w:sz w:val="16"/>
          <w:szCs w:val="16"/>
        </w:rPr>
      </w:pPr>
      <w:r>
        <w:rPr>
          <w:rFonts w:ascii="Times New Roman" w:hAnsi="Times New Roman"/>
          <w:color w:val="0070C0"/>
          <w:sz w:val="16"/>
          <w:szCs w:val="16"/>
        </w:rPr>
        <w:t>6</w:t>
      </w:r>
      <w:r w:rsidRPr="009F5089">
        <w:rPr>
          <w:rFonts w:ascii="Times New Roman" w:hAnsi="Times New Roman"/>
          <w:color w:val="0070C0"/>
          <w:sz w:val="16"/>
          <w:szCs w:val="16"/>
        </w:rPr>
        <w:t xml:space="preserve"> ноября </w:t>
      </w:r>
      <w:r>
        <w:rPr>
          <w:rFonts w:ascii="Times New Roman" w:hAnsi="Times New Roman"/>
          <w:color w:val="0070C0"/>
          <w:sz w:val="16"/>
          <w:szCs w:val="16"/>
        </w:rPr>
        <w:t>1931 г</w:t>
      </w:r>
      <w:r w:rsidRPr="009F5089">
        <w:rPr>
          <w:rFonts w:ascii="Times New Roman" w:hAnsi="Times New Roman"/>
          <w:color w:val="0070C0"/>
          <w:sz w:val="16"/>
          <w:szCs w:val="16"/>
        </w:rPr>
        <w:t>.</w:t>
      </w:r>
      <w:r>
        <w:rPr>
          <w:rFonts w:ascii="Times New Roman" w:hAnsi="Times New Roman"/>
          <w:color w:val="0070C0"/>
          <w:sz w:val="16"/>
          <w:szCs w:val="16"/>
        </w:rPr>
        <w:t xml:space="preserve"> в</w:t>
      </w:r>
      <w:r w:rsidRPr="009F5089">
        <w:rPr>
          <w:rFonts w:ascii="Times New Roman" w:hAnsi="Times New Roman"/>
          <w:color w:val="0070C0"/>
          <w:sz w:val="16"/>
          <w:szCs w:val="16"/>
        </w:rPr>
        <w:t xml:space="preserve"> Москве, на центральной аэродроме вмени </w:t>
      </w:r>
      <w:proofErr w:type="spellStart"/>
      <w:r>
        <w:rPr>
          <w:rFonts w:ascii="Times New Roman" w:hAnsi="Times New Roman"/>
          <w:color w:val="0070C0"/>
          <w:sz w:val="16"/>
          <w:szCs w:val="16"/>
        </w:rPr>
        <w:t>М</w:t>
      </w:r>
      <w:r w:rsidRPr="009F5089">
        <w:rPr>
          <w:rFonts w:ascii="Times New Roman" w:hAnsi="Times New Roman"/>
          <w:color w:val="0070C0"/>
          <w:sz w:val="16"/>
          <w:szCs w:val="16"/>
        </w:rPr>
        <w:t>.В.</w:t>
      </w:r>
      <w:r>
        <w:rPr>
          <w:rFonts w:ascii="Times New Roman" w:hAnsi="Times New Roman"/>
          <w:color w:val="0070C0"/>
          <w:sz w:val="16"/>
          <w:szCs w:val="16"/>
        </w:rPr>
        <w:t>Фр</w:t>
      </w:r>
      <w:r w:rsidRPr="009F5089">
        <w:rPr>
          <w:rFonts w:ascii="Times New Roman" w:hAnsi="Times New Roman"/>
          <w:color w:val="0070C0"/>
          <w:sz w:val="16"/>
          <w:szCs w:val="16"/>
        </w:rPr>
        <w:t>унзе</w:t>
      </w:r>
      <w:proofErr w:type="spellEnd"/>
      <w:r>
        <w:rPr>
          <w:rFonts w:ascii="Times New Roman" w:hAnsi="Times New Roman"/>
          <w:color w:val="0070C0"/>
          <w:sz w:val="16"/>
          <w:szCs w:val="16"/>
        </w:rPr>
        <w:t xml:space="preserve"> </w:t>
      </w:r>
      <w:r w:rsidRPr="009F5089">
        <w:rPr>
          <w:rFonts w:ascii="Times New Roman" w:hAnsi="Times New Roman"/>
          <w:color w:val="0070C0"/>
          <w:sz w:val="16"/>
          <w:szCs w:val="16"/>
        </w:rPr>
        <w:t>стоялось открытие центрального московского аэропорта Г</w:t>
      </w:r>
      <w:r>
        <w:rPr>
          <w:rFonts w:ascii="Times New Roman" w:hAnsi="Times New Roman"/>
          <w:color w:val="0070C0"/>
          <w:sz w:val="16"/>
          <w:szCs w:val="16"/>
        </w:rPr>
        <w:t>ВФ</w:t>
      </w:r>
      <w:r w:rsidRPr="009F5089">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Центтральный</w:t>
      </w:r>
      <w:proofErr w:type="spellEnd"/>
      <w:r w:rsidRPr="009F5089">
        <w:rPr>
          <w:rFonts w:ascii="Times New Roman" w:hAnsi="Times New Roman"/>
          <w:color w:val="0070C0"/>
          <w:sz w:val="16"/>
          <w:szCs w:val="16"/>
        </w:rPr>
        <w:t xml:space="preserve"> аэропорт - узел воздушных линий,</w:t>
      </w:r>
      <w:r>
        <w:rPr>
          <w:rFonts w:ascii="Times New Roman" w:hAnsi="Times New Roman"/>
          <w:color w:val="0070C0"/>
          <w:sz w:val="16"/>
          <w:szCs w:val="16"/>
        </w:rPr>
        <w:t xml:space="preserve"> </w:t>
      </w:r>
      <w:r w:rsidRPr="009F5089">
        <w:rPr>
          <w:rFonts w:ascii="Times New Roman" w:hAnsi="Times New Roman"/>
          <w:color w:val="0070C0"/>
          <w:sz w:val="16"/>
          <w:szCs w:val="16"/>
        </w:rPr>
        <w:t>связывающих столиц</w:t>
      </w:r>
      <w:r>
        <w:rPr>
          <w:rFonts w:ascii="Times New Roman" w:hAnsi="Times New Roman"/>
          <w:color w:val="0070C0"/>
          <w:sz w:val="16"/>
          <w:szCs w:val="16"/>
        </w:rPr>
        <w:t>у</w:t>
      </w:r>
      <w:r w:rsidRPr="009F5089">
        <w:rPr>
          <w:rFonts w:ascii="Times New Roman" w:hAnsi="Times New Roman"/>
          <w:color w:val="0070C0"/>
          <w:sz w:val="16"/>
          <w:szCs w:val="16"/>
        </w:rPr>
        <w:t xml:space="preserve"> с Периферией и заграницей. По</w:t>
      </w:r>
      <w:r>
        <w:rPr>
          <w:rFonts w:ascii="Times New Roman" w:hAnsi="Times New Roman"/>
          <w:color w:val="0070C0"/>
          <w:sz w:val="16"/>
          <w:szCs w:val="16"/>
        </w:rPr>
        <w:t>с</w:t>
      </w:r>
      <w:r w:rsidRPr="009F5089">
        <w:rPr>
          <w:rFonts w:ascii="Times New Roman" w:hAnsi="Times New Roman"/>
          <w:color w:val="0070C0"/>
          <w:sz w:val="16"/>
          <w:szCs w:val="16"/>
        </w:rPr>
        <w:t xml:space="preserve">ле войны аэропорт был переведен во </w:t>
      </w:r>
      <w:r>
        <w:rPr>
          <w:rFonts w:ascii="Times New Roman" w:hAnsi="Times New Roman"/>
          <w:color w:val="0070C0"/>
          <w:sz w:val="16"/>
          <w:szCs w:val="16"/>
        </w:rPr>
        <w:t>Вн</w:t>
      </w:r>
      <w:r w:rsidRPr="009F5089">
        <w:rPr>
          <w:rFonts w:ascii="Times New Roman" w:hAnsi="Times New Roman"/>
          <w:color w:val="0070C0"/>
          <w:sz w:val="16"/>
          <w:szCs w:val="16"/>
        </w:rPr>
        <w:t>уково Московской обл.</w:t>
      </w:r>
    </w:p>
    <w:p w14:paraId="7C665A55" w14:textId="77777777" w:rsidR="00C36871" w:rsidRDefault="00C36871" w:rsidP="00C36871">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/“Красная звезда” за 12 ноября 1931</w:t>
      </w:r>
      <w:r>
        <w:rPr>
          <w:rFonts w:ascii="Times New Roman" w:hAnsi="Times New Roman"/>
          <w:color w:val="0070C0"/>
          <w:sz w:val="16"/>
          <w:szCs w:val="16"/>
        </w:rPr>
        <w:t xml:space="preserve"> г.</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7DA471ED" w14:textId="77777777" w:rsidR="00C36871" w:rsidRDefault="00C36871" w:rsidP="00C36871">
      <w:pPr>
        <w:spacing w:after="0" w:line="240" w:lineRule="auto"/>
        <w:jc w:val="both"/>
        <w:rPr>
          <w:rFonts w:ascii="Times New Roman" w:hAnsi="Times New Roman"/>
          <w:color w:val="0070C0"/>
          <w:sz w:val="16"/>
          <w:szCs w:val="16"/>
        </w:rPr>
      </w:pPr>
    </w:p>
    <w:p w14:paraId="3D65B7AB" w14:textId="77777777" w:rsidR="00497275" w:rsidRPr="007122AB" w:rsidRDefault="0049727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ноября 1931 года на территории "Ходынки" открыт первый в СССР пассажирский аэровокзал - один из самых больших в мире. В здании площадью 4 тысячи кв. м. разместились билетные кассы, таможня, зал ожидания, почтовое отделение и служебная зона. Самолеты подавались под посадку непосредственно к аэровокзалу. В 1936-1937 годах аэродром реконструировали, построили бетонную взлетно-посадочную полосу, а в 38-м к аэропорту подвели линию метро с одноименной станцией «Аэропорт» (20540).</w:t>
      </w:r>
    </w:p>
    <w:p w14:paraId="0243FC28" w14:textId="77777777" w:rsidR="00497275" w:rsidRPr="007122AB" w:rsidRDefault="00497275" w:rsidP="007122AB">
      <w:pPr>
        <w:spacing w:after="0" w:line="240" w:lineRule="auto"/>
        <w:jc w:val="both"/>
        <w:rPr>
          <w:rFonts w:ascii="Times New Roman" w:hAnsi="Times New Roman"/>
          <w:color w:val="000000" w:themeColor="text1"/>
          <w:sz w:val="16"/>
          <w:szCs w:val="16"/>
        </w:rPr>
      </w:pPr>
    </w:p>
    <w:p w14:paraId="5E269532" w14:textId="77777777" w:rsidR="000A615A" w:rsidRPr="007122AB" w:rsidRDefault="000A615A"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9367E4A" w14:textId="77777777" w:rsidR="000A615A" w:rsidRPr="007122AB" w:rsidRDefault="000A615A"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CBEA7B"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p>
    <w:p w14:paraId="46EF4CD8"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высокую сложность технических задач, рабочий проект паровоза был завершен к 10 августа 1931 г. за рекордно короткий срок в 100 рабочих дней.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6563E457"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443BD0B2"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45C21681"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октября 1931 года новый паровоз ФД был представлен общественности.</w:t>
      </w:r>
    </w:p>
    <w:p w14:paraId="41E62489"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35147529"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6CDF741E"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53769503"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Служебный вес паровоза: 134,4 т</w:t>
      </w:r>
    </w:p>
    <w:p w14:paraId="073F8682"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до 3100 л. с.</w:t>
      </w:r>
    </w:p>
    <w:p w14:paraId="2B17EAB7" w14:textId="77777777" w:rsidR="00417AE0" w:rsidRPr="007122AB" w:rsidRDefault="00417A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Конструкционная скорость: 85 км/ч (21166).</w:t>
      </w:r>
    </w:p>
    <w:p w14:paraId="4F943EE1" w14:textId="77777777" w:rsidR="00417AE0" w:rsidRPr="007122AB" w:rsidRDefault="00417AE0" w:rsidP="007122AB">
      <w:pPr>
        <w:spacing w:after="0" w:line="240" w:lineRule="auto"/>
        <w:jc w:val="both"/>
        <w:rPr>
          <w:rFonts w:ascii="Times New Roman" w:hAnsi="Times New Roman"/>
          <w:color w:val="000000" w:themeColor="text1"/>
          <w:sz w:val="16"/>
          <w:szCs w:val="16"/>
        </w:rPr>
      </w:pPr>
    </w:p>
    <w:p w14:paraId="0A9793E2"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6 ноября 1931 г.</w:t>
      </w:r>
    </w:p>
    <w:p w14:paraId="74110503"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«Рапорт» о досрочной разработке «рабочего проекта» опытного образца прямоточного котла. 6 ноября 1931 г.</w:t>
      </w:r>
    </w:p>
    <w:p w14:paraId="4BFA41F8"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5AC1A6ED" w14:textId="77777777" w:rsidR="000A615A" w:rsidRPr="007122AB" w:rsidRDefault="000A615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2DB826" w14:textId="77777777" w:rsidR="000A615A" w:rsidRPr="007122AB" w:rsidRDefault="000A615A"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3EFE72C8" w14:textId="77777777" w:rsidR="000A615A" w:rsidRPr="007122AB" w:rsidRDefault="000A615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111</w:t>
      </w:r>
    </w:p>
    <w:p w14:paraId="4286287D" w14:textId="77777777" w:rsidR="000A615A" w:rsidRPr="007122AB" w:rsidRDefault="000A615A" w:rsidP="007122AB">
      <w:pPr>
        <w:pStyle w:val="rteright"/>
        <w:spacing w:before="0" w:after="0"/>
        <w:jc w:val="both"/>
        <w:rPr>
          <w:color w:val="000000" w:themeColor="text1"/>
          <w:sz w:val="16"/>
          <w:szCs w:val="16"/>
        </w:rPr>
      </w:pPr>
      <w:r w:rsidRPr="007122AB">
        <w:rPr>
          <w:color w:val="000000" w:themeColor="text1"/>
          <w:sz w:val="16"/>
          <w:szCs w:val="16"/>
        </w:rPr>
        <w:t>6 ноября 1931 г.</w:t>
      </w:r>
    </w:p>
    <w:p w14:paraId="2FCC2857"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НАЧ. ЭКУ ОГПУ тов. МИРОНОВУ</w:t>
      </w:r>
    </w:p>
    <w:p w14:paraId="46345EC8"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РАПОРТ</w:t>
      </w:r>
    </w:p>
    <w:p w14:paraId="6224FBF1"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 xml:space="preserve">ОКБ № 11 досрочно закончило рабочий проект опытного </w:t>
      </w:r>
      <w:proofErr w:type="spellStart"/>
      <w:r w:rsidRPr="007122AB">
        <w:rPr>
          <w:color w:val="000000" w:themeColor="text1"/>
          <w:sz w:val="16"/>
          <w:szCs w:val="16"/>
        </w:rPr>
        <w:t>безбарабанного</w:t>
      </w:r>
      <w:proofErr w:type="spellEnd"/>
      <w:r w:rsidRPr="007122AB">
        <w:rPr>
          <w:color w:val="000000" w:themeColor="text1"/>
          <w:sz w:val="16"/>
          <w:szCs w:val="16"/>
        </w:rPr>
        <w:t xml:space="preserve"> прямоточного котла системы РАМЗИНА на давление 140 атмосфер. Съем пара [с] 1 кв. метра номинальной поверхности составляет 1780 кг/час. Вес металла самого котла на 1 </w:t>
      </w:r>
      <w:proofErr w:type="spellStart"/>
      <w:r w:rsidRPr="007122AB">
        <w:rPr>
          <w:color w:val="000000" w:themeColor="text1"/>
          <w:sz w:val="16"/>
          <w:szCs w:val="16"/>
        </w:rPr>
        <w:t>тн</w:t>
      </w:r>
      <w:proofErr w:type="spellEnd"/>
      <w:r w:rsidRPr="007122AB">
        <w:rPr>
          <w:color w:val="000000" w:themeColor="text1"/>
          <w:sz w:val="16"/>
          <w:szCs w:val="16"/>
        </w:rPr>
        <w:t>/час производимого пара составляет 58 кг.</w:t>
      </w:r>
    </w:p>
    <w:p w14:paraId="3FE22BDC"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Себестоимость котла при одинаковой паропроизводительности получается в 25-40 раз дешевле советских котлов и в 15 раз дешевле рекордного в мире котла.</w:t>
      </w:r>
    </w:p>
    <w:p w14:paraId="62B9728F"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Достигнуто одновременно громадное улучшение показателей — сокращение веса и себестоимости — и для перегревателя и экономайзера.</w:t>
      </w:r>
    </w:p>
    <w:p w14:paraId="7F6CB768"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В процессе работы разрешен ряд серьезных вопросов — найдены советские материалы для изготовления котлов сверхвысокого давления, разрабатываются методы сварки и т. п. Благодаря исключительной простоте конструкции котел может немедленно строиться на советских заводах. совершенно не требуя импортных материалов.</w:t>
      </w:r>
    </w:p>
    <w:p w14:paraId="08C4FA5C"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Первый опытный котел уже строится и будет готов к 1 мая.</w:t>
      </w:r>
    </w:p>
    <w:p w14:paraId="07C54C5B"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 xml:space="preserve">Одновременно с постройкой опытного котла идет разработка проекта промышленного котла сверхвысокого давления — на 200 </w:t>
      </w:r>
      <w:proofErr w:type="spellStart"/>
      <w:r w:rsidRPr="007122AB">
        <w:rPr>
          <w:color w:val="000000" w:themeColor="text1"/>
          <w:sz w:val="16"/>
          <w:szCs w:val="16"/>
        </w:rPr>
        <w:t>тн</w:t>
      </w:r>
      <w:proofErr w:type="spellEnd"/>
      <w:r w:rsidRPr="007122AB">
        <w:rPr>
          <w:color w:val="000000" w:themeColor="text1"/>
          <w:sz w:val="16"/>
          <w:szCs w:val="16"/>
        </w:rPr>
        <w:t>/час пара, при 140 атм. По системе РАМЗИНА для подмосковного угля.</w:t>
      </w:r>
    </w:p>
    <w:p w14:paraId="370EE3A0"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Нач. ТЕХ. ОТД. ЭКУ ОГПУ (ГОРЯНОВ)</w:t>
      </w:r>
    </w:p>
    <w:p w14:paraId="513F3D2D" w14:textId="77777777" w:rsidR="000A615A" w:rsidRPr="007122AB" w:rsidRDefault="000A615A" w:rsidP="007122AB">
      <w:pPr>
        <w:pStyle w:val="rtejustify"/>
        <w:spacing w:before="0" w:after="0"/>
        <w:rPr>
          <w:color w:val="000000" w:themeColor="text1"/>
          <w:sz w:val="16"/>
          <w:szCs w:val="16"/>
        </w:rPr>
      </w:pPr>
      <w:r w:rsidRPr="007122AB">
        <w:rPr>
          <w:color w:val="000000" w:themeColor="text1"/>
          <w:sz w:val="16"/>
          <w:szCs w:val="16"/>
        </w:rPr>
        <w:t xml:space="preserve">НАЧ. ОКБ № 11 </w:t>
      </w:r>
      <w:proofErr w:type="spellStart"/>
      <w:r w:rsidRPr="007122AB">
        <w:rPr>
          <w:color w:val="000000" w:themeColor="text1"/>
          <w:sz w:val="16"/>
          <w:szCs w:val="16"/>
        </w:rPr>
        <w:t>Наумин</w:t>
      </w:r>
      <w:proofErr w:type="spellEnd"/>
    </w:p>
    <w:p w14:paraId="021ACF34" w14:textId="77777777" w:rsidR="000A615A" w:rsidRPr="007122AB" w:rsidRDefault="000A615A" w:rsidP="007122AB">
      <w:pPr>
        <w:pStyle w:val="ae"/>
        <w:spacing w:before="0" w:after="0"/>
        <w:jc w:val="both"/>
        <w:rPr>
          <w:color w:val="000000" w:themeColor="text1"/>
          <w:sz w:val="16"/>
          <w:szCs w:val="16"/>
        </w:rPr>
      </w:pPr>
      <w:r w:rsidRPr="007122AB">
        <w:rPr>
          <w:color w:val="000000" w:themeColor="text1"/>
          <w:sz w:val="16"/>
          <w:szCs w:val="16"/>
        </w:rPr>
        <w:t>«6» ноября 1931 г.</w:t>
      </w:r>
    </w:p>
    <w:p w14:paraId="598BA7ED" w14:textId="77777777" w:rsidR="000A615A" w:rsidRPr="007122AB" w:rsidRDefault="000A615A"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111. Машинописный подлинник, первая подпись отсутствует, вторая — автограф. Число в дате вписано от руки. В левом верхнем углу написано от руки «6/ХI» (19094).</w:t>
      </w:r>
    </w:p>
    <w:p w14:paraId="5DB6051E" w14:textId="77777777" w:rsidR="000A615A" w:rsidRPr="007122AB" w:rsidRDefault="000A615A" w:rsidP="007122AB">
      <w:pPr>
        <w:spacing w:after="0" w:line="240" w:lineRule="auto"/>
        <w:jc w:val="both"/>
        <w:rPr>
          <w:rFonts w:ascii="Times New Roman" w:hAnsi="Times New Roman"/>
          <w:color w:val="000000" w:themeColor="text1"/>
          <w:sz w:val="16"/>
          <w:szCs w:val="16"/>
        </w:rPr>
      </w:pPr>
    </w:p>
    <w:p w14:paraId="2AEF2E76" w14:textId="77777777" w:rsidR="005C4849" w:rsidRPr="007122AB" w:rsidRDefault="000A615A"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Жизнь и в</w:t>
      </w:r>
      <w:r w:rsidR="005C4849" w:rsidRPr="007122AB">
        <w:rPr>
          <w:rFonts w:ascii="Times New Roman" w:hAnsi="Times New Roman"/>
          <w:i/>
          <w:iCs/>
          <w:color w:val="000000" w:themeColor="text1"/>
          <w:sz w:val="16"/>
          <w:szCs w:val="16"/>
        </w:rPr>
        <w:t>нутренняя политика:</w:t>
      </w:r>
    </w:p>
    <w:p w14:paraId="34D6212F" w14:textId="77777777" w:rsidR="005C4849" w:rsidRPr="007122AB" w:rsidRDefault="005C4849"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5C3EA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6 и 12 ноября 1931. Из протокола заседания Политбюро № 73, 1931 г.</w:t>
      </w:r>
    </w:p>
    <w:p w14:paraId="180371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Торгсине </w:t>
      </w:r>
    </w:p>
    <w:p w14:paraId="57156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Поручить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организовать в магазинах Торгсина покупку золотых вещей, в уплату за которые Торгсин выдает свои товары (11652).</w:t>
      </w:r>
    </w:p>
    <w:p w14:paraId="6C0CDC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EEFDEA" w14:textId="77777777" w:rsidR="004B5185" w:rsidRPr="007122AB" w:rsidRDefault="004B5185" w:rsidP="004B5185">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8FB25A" w14:textId="77777777" w:rsidR="004B5185" w:rsidRPr="007122AB" w:rsidRDefault="004B5185" w:rsidP="004B5185">
      <w:pPr>
        <w:autoSpaceDE w:val="0"/>
        <w:autoSpaceDN w:val="0"/>
        <w:adjustRightInd w:val="0"/>
        <w:spacing w:after="0" w:line="240" w:lineRule="auto"/>
        <w:jc w:val="both"/>
        <w:rPr>
          <w:rFonts w:ascii="Times New Roman" w:hAnsi="Times New Roman"/>
          <w:iCs/>
          <w:color w:val="000000" w:themeColor="text1"/>
          <w:sz w:val="16"/>
          <w:szCs w:val="16"/>
        </w:rPr>
      </w:pPr>
    </w:p>
    <w:p w14:paraId="01F25DFB" w14:textId="77777777" w:rsidR="004B5185" w:rsidRPr="00441F34" w:rsidRDefault="004B5185" w:rsidP="004B51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ноября 1931 к октябрьским праздникам работы постройке и назем</w:t>
      </w:r>
      <w:r w:rsidRPr="00441F34">
        <w:rPr>
          <w:rFonts w:ascii="Times New Roman" w:hAnsi="Times New Roman"/>
          <w:color w:val="0070C0"/>
          <w:sz w:val="16"/>
          <w:szCs w:val="16"/>
        </w:rPr>
        <w:softHyphen/>
        <w:t xml:space="preserve">ной отладке в мастерских </w:t>
      </w:r>
      <w:proofErr w:type="spellStart"/>
      <w:r w:rsidRPr="00441F34">
        <w:rPr>
          <w:rFonts w:ascii="Times New Roman" w:hAnsi="Times New Roman"/>
          <w:color w:val="0070C0"/>
          <w:sz w:val="16"/>
          <w:szCs w:val="16"/>
        </w:rPr>
        <w:t>АГОСа</w:t>
      </w:r>
      <w:proofErr w:type="spellEnd"/>
      <w:r w:rsidRPr="00441F34">
        <w:rPr>
          <w:rFonts w:ascii="Times New Roman" w:hAnsi="Times New Roman"/>
          <w:color w:val="0070C0"/>
          <w:sz w:val="16"/>
          <w:szCs w:val="16"/>
        </w:rPr>
        <w:t xml:space="preserve"> 2ЭА а завершились, и вскоре 2ЭА перевезли на аэродром. В мире автожи</w:t>
      </w:r>
      <w:r w:rsidRPr="00441F34">
        <w:rPr>
          <w:rFonts w:ascii="Times New Roman" w:hAnsi="Times New Roman"/>
          <w:color w:val="0070C0"/>
          <w:sz w:val="16"/>
          <w:szCs w:val="16"/>
        </w:rPr>
        <w:softHyphen/>
        <w:t>ры хоть и не сумели как-то заметно потеснить самолеты, но диковинкой к началу 1930-х годов уже не были. Тем не менее, даже не</w:t>
      </w:r>
      <w:r w:rsidRPr="00441F34">
        <w:rPr>
          <w:rFonts w:ascii="Times New Roman" w:hAnsi="Times New Roman"/>
          <w:color w:val="0070C0"/>
          <w:sz w:val="16"/>
          <w:szCs w:val="16"/>
        </w:rPr>
        <w:softHyphen/>
        <w:t xml:space="preserve">смотря на то, что </w:t>
      </w:r>
      <w:r w:rsidRPr="00441F34">
        <w:rPr>
          <w:rFonts w:ascii="Times New Roman" w:hAnsi="Times New Roman"/>
          <w:color w:val="0070C0"/>
          <w:sz w:val="16"/>
          <w:szCs w:val="16"/>
        </w:rPr>
        <w:lastRenderedPageBreak/>
        <w:t>машина ЦАГИ была третьим летающим экземпляром этой разновидности летательных аппаратов, у нас нередко в по</w:t>
      </w:r>
      <w:r w:rsidRPr="00441F34">
        <w:rPr>
          <w:rFonts w:ascii="Times New Roman" w:hAnsi="Times New Roman"/>
          <w:color w:val="0070C0"/>
          <w:sz w:val="16"/>
          <w:szCs w:val="16"/>
        </w:rPr>
        <w:softHyphen/>
        <w:t>священных 2ЭА документах термин «Авто</w:t>
      </w:r>
      <w:r w:rsidRPr="00441F34">
        <w:rPr>
          <w:rFonts w:ascii="Times New Roman" w:hAnsi="Times New Roman"/>
          <w:color w:val="0070C0"/>
          <w:sz w:val="16"/>
          <w:szCs w:val="16"/>
        </w:rPr>
        <w:softHyphen/>
        <w:t>жир» использовали как имя собственное и писали с заглавной буквы.</w:t>
      </w:r>
    </w:p>
    <w:p w14:paraId="4A0C15FD" w14:textId="77777777" w:rsidR="004B5185" w:rsidRPr="00441F34" w:rsidRDefault="004B5185" w:rsidP="004B51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Интерес к новой машине был гораздо больше, чем просто академический. Военные настолько внимательно следили за ходом разработки, что автожир перевезли не на летную станцию АГОС, с 1932 года переиме</w:t>
      </w:r>
      <w:r w:rsidRPr="00441F34">
        <w:rPr>
          <w:rFonts w:ascii="Times New Roman" w:hAnsi="Times New Roman"/>
          <w:color w:val="0070C0"/>
          <w:sz w:val="16"/>
          <w:szCs w:val="16"/>
        </w:rPr>
        <w:softHyphen/>
        <w:t>нованную в отдел эксплуатации, летных ис</w:t>
      </w:r>
      <w:r w:rsidRPr="00441F34">
        <w:rPr>
          <w:rFonts w:ascii="Times New Roman" w:hAnsi="Times New Roman"/>
          <w:color w:val="0070C0"/>
          <w:sz w:val="16"/>
          <w:szCs w:val="16"/>
        </w:rPr>
        <w:softHyphen/>
        <w:t>пытаний и доводок (ОЭЛИД) ЦАГИ, а в НИИ ВВС, где включили в состав 2-й авиаэскад</w:t>
      </w:r>
      <w:r w:rsidRPr="00441F34">
        <w:rPr>
          <w:rFonts w:ascii="Times New Roman" w:hAnsi="Times New Roman"/>
          <w:color w:val="0070C0"/>
          <w:sz w:val="16"/>
          <w:szCs w:val="16"/>
        </w:rPr>
        <w:softHyphen/>
        <w:t>рильи авиабригады института. Испытания решили проводить совместно, соответствен</w:t>
      </w:r>
      <w:r w:rsidRPr="00441F34">
        <w:rPr>
          <w:rFonts w:ascii="Times New Roman" w:hAnsi="Times New Roman"/>
          <w:color w:val="0070C0"/>
          <w:sz w:val="16"/>
          <w:szCs w:val="16"/>
        </w:rPr>
        <w:softHyphen/>
        <w:t>но, были назначены два ведущих инженера: А.И. Филин - от НИИ ВВС и В.А. Кузнецов - от ЦАГИ. Первый полет на автожире ЦАГИ 2ЭА в конце ноября 1931 года выполнил инструк</w:t>
      </w:r>
      <w:r w:rsidRPr="00441F34">
        <w:rPr>
          <w:rFonts w:ascii="Times New Roman" w:hAnsi="Times New Roman"/>
          <w:color w:val="0070C0"/>
          <w:sz w:val="16"/>
          <w:szCs w:val="16"/>
        </w:rPr>
        <w:softHyphen/>
        <w:t>тор-летчик Сергей Александрович Корзин</w:t>
      </w:r>
      <w:r w:rsidRPr="00441F34">
        <w:rPr>
          <w:rFonts w:ascii="Times New Roman" w:hAnsi="Times New Roman"/>
          <w:color w:val="0070C0"/>
          <w:sz w:val="16"/>
          <w:szCs w:val="16"/>
        </w:rPr>
        <w:softHyphen/>
        <w:t>щиков, переведенный перед испытаниями из ЦАГИ в НИИ ВВС (23518).</w:t>
      </w:r>
    </w:p>
    <w:p w14:paraId="4CB46068" w14:textId="77777777" w:rsidR="004B5185" w:rsidRPr="00441F34" w:rsidRDefault="004B5185" w:rsidP="004B5185">
      <w:pPr>
        <w:spacing w:after="0" w:line="240" w:lineRule="auto"/>
        <w:jc w:val="both"/>
        <w:rPr>
          <w:rFonts w:ascii="Times New Roman" w:hAnsi="Times New Roman"/>
          <w:color w:val="0070C0"/>
          <w:sz w:val="16"/>
          <w:szCs w:val="16"/>
        </w:rPr>
      </w:pPr>
    </w:p>
    <w:p w14:paraId="4463F56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9CB7B1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3D098E"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ноября 1931 года заработал мотор опытного грузовика "Украина". Всего изготовили 2 машины. Они заняли небольшое помещение цеха так, что пришлось сломать стены, чтобы они смогли выехать "на люди". Обе машины были сделаны из </w:t>
      </w:r>
      <w:proofErr w:type="spellStart"/>
      <w:r w:rsidRPr="007122AB">
        <w:rPr>
          <w:rFonts w:ascii="Times New Roman" w:hAnsi="Times New Roman"/>
          <w:color w:val="000000" w:themeColor="text1"/>
          <w:sz w:val="16"/>
          <w:szCs w:val="16"/>
        </w:rPr>
        <w:t>отече-ственных</w:t>
      </w:r>
      <w:proofErr w:type="spellEnd"/>
      <w:r w:rsidRPr="007122AB">
        <w:rPr>
          <w:rFonts w:ascii="Times New Roman" w:hAnsi="Times New Roman"/>
          <w:color w:val="000000" w:themeColor="text1"/>
          <w:sz w:val="16"/>
          <w:szCs w:val="16"/>
        </w:rPr>
        <w:t xml:space="preserve"> материалов. Не просто собраны, а именно СДЕЛАНЫ. "У-4" делала бригада </w:t>
      </w:r>
      <w:proofErr w:type="spellStart"/>
      <w:r w:rsidRPr="007122AB">
        <w:rPr>
          <w:rFonts w:ascii="Times New Roman" w:hAnsi="Times New Roman"/>
          <w:color w:val="000000" w:themeColor="text1"/>
          <w:sz w:val="16"/>
          <w:szCs w:val="16"/>
        </w:rPr>
        <w:t>Михальского</w:t>
      </w:r>
      <w:proofErr w:type="spellEnd"/>
      <w:r w:rsidRPr="007122AB">
        <w:rPr>
          <w:rFonts w:ascii="Times New Roman" w:hAnsi="Times New Roman"/>
          <w:color w:val="000000" w:themeColor="text1"/>
          <w:sz w:val="16"/>
          <w:szCs w:val="16"/>
        </w:rPr>
        <w:t xml:space="preserve">, шофера-механика с 25-летним стажем. Бригада </w:t>
      </w:r>
      <w:proofErr w:type="spellStart"/>
      <w:r w:rsidRPr="007122AB">
        <w:rPr>
          <w:rFonts w:ascii="Times New Roman" w:hAnsi="Times New Roman"/>
          <w:color w:val="000000" w:themeColor="text1"/>
          <w:sz w:val="16"/>
          <w:szCs w:val="16"/>
        </w:rPr>
        <w:t>Кочегарова</w:t>
      </w:r>
      <w:proofErr w:type="spellEnd"/>
      <w:r w:rsidRPr="007122AB">
        <w:rPr>
          <w:rFonts w:ascii="Times New Roman" w:hAnsi="Times New Roman"/>
          <w:color w:val="000000" w:themeColor="text1"/>
          <w:sz w:val="16"/>
          <w:szCs w:val="16"/>
        </w:rPr>
        <w:t xml:space="preserve"> склепала радиатор. Большую работу провела брига-да модельщиков под руковод-</w:t>
      </w:r>
      <w:proofErr w:type="spellStart"/>
      <w:r w:rsidRPr="007122AB">
        <w:rPr>
          <w:rFonts w:ascii="Times New Roman" w:hAnsi="Times New Roman"/>
          <w:color w:val="000000" w:themeColor="text1"/>
          <w:sz w:val="16"/>
          <w:szCs w:val="16"/>
        </w:rPr>
        <w:t>ством</w:t>
      </w:r>
      <w:proofErr w:type="spellEnd"/>
      <w:r w:rsidRPr="007122AB">
        <w:rPr>
          <w:rFonts w:ascii="Times New Roman" w:hAnsi="Times New Roman"/>
          <w:color w:val="000000" w:themeColor="text1"/>
          <w:sz w:val="16"/>
          <w:szCs w:val="16"/>
        </w:rPr>
        <w:t xml:space="preserve"> Дмитренко (11602).</w:t>
      </w:r>
    </w:p>
    <w:p w14:paraId="26A43FE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4B7B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F79D5A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065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годовщине ОР 1931 на заводе 39 за три месяца начиная с конца июля построили АИР-5 А.С.Я. (3971,6).</w:t>
      </w:r>
    </w:p>
    <w:p w14:paraId="3EF15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8A7E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ноября 1931 был совершен первый полет самолета Г-8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xml:space="preserve"> (237,162).</w:t>
      </w:r>
    </w:p>
    <w:p w14:paraId="7813A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556E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в воздушном параде приняли участие 4 АНТ-9, которые шли за АНТ-14 (10542,30).</w:t>
      </w:r>
    </w:p>
    <w:p w14:paraId="598713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DF73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двигатель, получивший обозначение М-34, успешно прошел 100-часовые госиспытания, которые велись со 2 августа (9028).</w:t>
      </w:r>
    </w:p>
    <w:p w14:paraId="0096BC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BE33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ноября 1931 г. приказом ГВФ № 106 </w:t>
      </w:r>
      <w:proofErr w:type="spellStart"/>
      <w:r w:rsidRPr="007122AB">
        <w:rPr>
          <w:rFonts w:ascii="Times New Roman" w:hAnsi="Times New Roman"/>
          <w:color w:val="000000" w:themeColor="text1"/>
          <w:sz w:val="16"/>
          <w:szCs w:val="16"/>
        </w:rPr>
        <w:t>баыл</w:t>
      </w:r>
      <w:proofErr w:type="spellEnd"/>
      <w:r w:rsidRPr="007122AB">
        <w:rPr>
          <w:rFonts w:ascii="Times New Roman" w:hAnsi="Times New Roman"/>
          <w:color w:val="000000" w:themeColor="text1"/>
          <w:sz w:val="16"/>
          <w:szCs w:val="16"/>
        </w:rPr>
        <w:t xml:space="preserve"> образована АРБ (авиаремонтная база) № 402 ГВФ, АРЗ № 402 ГА, АООТ, ОАО «Быковский АРЗ» (БАРЗ) /140150 пос. Быково Московской обл. ул. Аэропортовская, 14 тел. 558-48-10/ как Ремонтные мастерские Московской Авиабазы сельхозавиации. С 1942 г.- АРБ № 402. В 05.1994 г. АРЗ преобразован в АООТ «Быковский АРЗ».</w:t>
      </w:r>
    </w:p>
    <w:p w14:paraId="68C62E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1990-е  г. велась подготовка к освоению ремонта Ил-114 и двигателя ТВ7-117С.</w:t>
      </w:r>
    </w:p>
    <w:p w14:paraId="15EF6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(2002 г.)- 1894 чел.</w:t>
      </w:r>
    </w:p>
    <w:p w14:paraId="1C8892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(1947-70 г.)- А.Н. Шахов. Гендиректор (1990-е)- В. Г. Черняев, (2002 г.)- А.А. Рыбин.</w:t>
      </w:r>
    </w:p>
    <w:p w14:paraId="3E7B3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Коммерческий директор (2002 г.)- А.В. </w:t>
      </w:r>
      <w:proofErr w:type="spellStart"/>
      <w:r w:rsidRPr="007122AB">
        <w:rPr>
          <w:rFonts w:ascii="Times New Roman" w:hAnsi="Times New Roman"/>
          <w:color w:val="000000" w:themeColor="text1"/>
          <w:sz w:val="16"/>
          <w:szCs w:val="16"/>
        </w:rPr>
        <w:t>Блюгер</w:t>
      </w:r>
      <w:proofErr w:type="spellEnd"/>
      <w:r w:rsidRPr="007122AB">
        <w:rPr>
          <w:rFonts w:ascii="Times New Roman" w:hAnsi="Times New Roman"/>
          <w:color w:val="000000" w:themeColor="text1"/>
          <w:sz w:val="16"/>
          <w:szCs w:val="16"/>
        </w:rPr>
        <w:t>.</w:t>
      </w:r>
    </w:p>
    <w:p w14:paraId="17B49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Ремонт: двигателей:</w:t>
      </w:r>
      <w:r w:rsidRPr="007122AB">
        <w:rPr>
          <w:rFonts w:ascii="Times New Roman" w:hAnsi="Times New Roman"/>
          <w:color w:val="000000" w:themeColor="text1"/>
          <w:sz w:val="16"/>
          <w:szCs w:val="16"/>
        </w:rPr>
        <w:t xml:space="preserve"> М-11(1932-), М-17 (1941-), АШ-62ИР (1945-), АШ-82В (1957-), РД-ЗМ (1958-), РД-ЗМ- 500 (1963-), ТГ-16 (1963-2002-), Д-30 (-1974-2003-);</w:t>
      </w:r>
      <w:r w:rsidRPr="007122AB">
        <w:rPr>
          <w:rFonts w:ascii="Times New Roman" w:hAnsi="Times New Roman"/>
          <w:iCs/>
          <w:color w:val="000000" w:themeColor="text1"/>
          <w:sz w:val="16"/>
          <w:szCs w:val="16"/>
        </w:rPr>
        <w:t xml:space="preserve"> самолетов:</w:t>
      </w:r>
      <w:r w:rsidRPr="007122AB">
        <w:rPr>
          <w:rFonts w:ascii="Times New Roman" w:hAnsi="Times New Roman"/>
          <w:color w:val="000000" w:themeColor="text1"/>
          <w:sz w:val="16"/>
          <w:szCs w:val="16"/>
        </w:rPr>
        <w:t xml:space="preserve"> Р-5, П-5, У-2 (1932-), Ли-2 (1945-), Ан-2 (1951-), Ил-18 (1960-2002-), Ил-76 (1980-2002-), Як-42 (1985-2002-), Ту-204 (2002); Ми-4 (1956-), Ми-6 (1965-), Ми-8 (1976-); переоборудование Ил-76МД в Ил-76ТД (2002).</w:t>
      </w:r>
      <w:r w:rsidRPr="007122AB">
        <w:rPr>
          <w:rFonts w:ascii="Times New Roman" w:hAnsi="Times New Roman"/>
          <w:color w:val="000000" w:themeColor="text1"/>
          <w:sz w:val="16"/>
          <w:szCs w:val="16"/>
          <w:vertAlign w:val="superscript"/>
        </w:rPr>
        <w:t>69</w:t>
      </w:r>
    </w:p>
    <w:p w14:paraId="062DAF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ООО «БАЗ» /пос. Быково Московской обл./</w:t>
      </w:r>
    </w:p>
    <w:p w14:paraId="21A863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Ремонт</w:t>
      </w:r>
      <w:r w:rsidRPr="007122AB">
        <w:rPr>
          <w:rFonts w:ascii="Times New Roman" w:hAnsi="Times New Roman"/>
          <w:color w:val="000000" w:themeColor="text1"/>
          <w:sz w:val="16"/>
          <w:szCs w:val="16"/>
        </w:rPr>
        <w:t xml:space="preserve"> (2003): ВСУ ТГ-16, в/винт АВ-68И; комплектующие изделия для Ил-76, Ил-18, Як-42, двигателей Д- 30, -КУ, -КП, НК-8-2 (11982).</w:t>
      </w:r>
    </w:p>
    <w:p w14:paraId="53FEAD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B44DD1" w14:textId="77777777" w:rsidR="00996191" w:rsidRPr="007122AB" w:rsidRDefault="009961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г. сильный туман помешал ди</w:t>
      </w:r>
      <w:r w:rsidRPr="007122AB">
        <w:rPr>
          <w:rFonts w:ascii="Times New Roman" w:hAnsi="Times New Roman"/>
          <w:color w:val="000000" w:themeColor="text1"/>
          <w:sz w:val="16"/>
          <w:szCs w:val="16"/>
        </w:rPr>
        <w:softHyphen/>
        <w:t xml:space="preserve">рижаблю Комсомольская </w:t>
      </w:r>
      <w:proofErr w:type="spellStart"/>
      <w:r w:rsidRPr="007122AB">
        <w:rPr>
          <w:rFonts w:ascii="Times New Roman" w:hAnsi="Times New Roman"/>
          <w:color w:val="000000" w:themeColor="text1"/>
          <w:sz w:val="16"/>
          <w:szCs w:val="16"/>
        </w:rPr>
        <w:t>правла</w:t>
      </w:r>
      <w:proofErr w:type="spellEnd"/>
      <w:r w:rsidRPr="007122AB">
        <w:rPr>
          <w:rFonts w:ascii="Times New Roman" w:hAnsi="Times New Roman"/>
          <w:color w:val="000000" w:themeColor="text1"/>
          <w:sz w:val="16"/>
          <w:szCs w:val="16"/>
        </w:rPr>
        <w:t xml:space="preserve"> принять участие в демонстрации на Красной площади. На следующий день, дождав</w:t>
      </w:r>
      <w:r w:rsidRPr="007122AB">
        <w:rPr>
          <w:rFonts w:ascii="Times New Roman" w:hAnsi="Times New Roman"/>
          <w:color w:val="000000" w:themeColor="text1"/>
          <w:sz w:val="16"/>
          <w:szCs w:val="16"/>
        </w:rPr>
        <w:softHyphen/>
        <w:t xml:space="preserve">шись прояснения, он выполнил два полёта над рабочими окраинами Москвы (20120). </w:t>
      </w:r>
    </w:p>
    <w:p w14:paraId="2C1A5578" w14:textId="77777777" w:rsidR="00996191" w:rsidRPr="007122AB" w:rsidRDefault="00996191" w:rsidP="007122AB">
      <w:pPr>
        <w:spacing w:after="0" w:line="240" w:lineRule="auto"/>
        <w:jc w:val="both"/>
        <w:rPr>
          <w:rFonts w:ascii="Times New Roman" w:hAnsi="Times New Roman"/>
          <w:color w:val="000000" w:themeColor="text1"/>
          <w:sz w:val="16"/>
          <w:szCs w:val="16"/>
        </w:rPr>
      </w:pPr>
    </w:p>
    <w:p w14:paraId="6C46523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0CDE58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EB0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15 первых машин Т-26 приняли участие в военном параде (3861).</w:t>
      </w:r>
    </w:p>
    <w:p w14:paraId="34706D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82BFD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в параде на Красной Площади участвовали первые серийные Т-26 - двухбашенные и по конструкции практически не отличавшиеся от английских прототипов. На протяжении первых двух лет танк Т-26 выпускался исключительно в двухбашенном варианте (позже, когда в частях Красной Армии появились танки разных модификаций, для них использовали соответствующие обозначения. Двухбашенные танки Т-26 известны как танки образца 1931 и 1932 годов. однобашенные с цилиндрической башней - как танки образца 1933-1937 годов, а однобашенные с конической башней - как танки образца 1938 и 1939 года (широко используемые в иностранной литературе обозначения Т-26А, Т-26В и Т-26С впервые использованы немцами в годы 2-й Мировой войны и совершенно неизвестны в СССР, тем более, что Т-26А означает артиллерийский вариант танка) (3862).</w:t>
      </w:r>
    </w:p>
    <w:p w14:paraId="2AA45E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C1E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7 ноября 1931 был предъявлен вариант </w:t>
      </w:r>
      <w:proofErr w:type="spellStart"/>
      <w:r w:rsidRPr="007122AB">
        <w:rPr>
          <w:rFonts w:ascii="Times New Roman" w:hAnsi="Times New Roman"/>
          <w:color w:val="000000" w:themeColor="text1"/>
          <w:sz w:val="16"/>
          <w:szCs w:val="16"/>
        </w:rPr>
        <w:t>арттанка</w:t>
      </w:r>
      <w:proofErr w:type="spellEnd"/>
      <w:r w:rsidRPr="007122AB">
        <w:rPr>
          <w:rFonts w:ascii="Times New Roman" w:hAnsi="Times New Roman"/>
          <w:color w:val="000000" w:themeColor="text1"/>
          <w:sz w:val="16"/>
          <w:szCs w:val="16"/>
        </w:rPr>
        <w:t xml:space="preserve"> на шасси Т-26 с пушкой в корпусе (СУ-1) АНИИ и Академии ВАММ, но в нем обнаружилось большое количество недоработок и слишком малый, по мнению военных, угол горизонтального наведения. Еще не видя варианта с вращающейся башней, многие отдали предпочтение именно ему, правда ни один из конструкторских коллективов, работавших над ним, с проектом в срок не уложился, хотя башенными артиллерийскими танками болели в то время все (6469, 12).</w:t>
      </w:r>
    </w:p>
    <w:p w14:paraId="70C190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BE79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года три первых серийных танка БТ-2 участвовали в военном параде на Красной площади в Москве (9154).</w:t>
      </w:r>
    </w:p>
    <w:p w14:paraId="423EE5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017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в Москве по КП прошли только два БТ, т.к. у третьего при подходе загорелся двигатель. Два остальных покинули КП с трудом из-за неполадок КПП (3879,12).</w:t>
      </w:r>
    </w:p>
    <w:p w14:paraId="0D0B8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120B92" w14:textId="77777777" w:rsidR="00193905" w:rsidRPr="007122AB" w:rsidRDefault="00193905"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ноября 1931 г. в параде на Красной площади вместе с первым полноценным танком БТ-2, несшим бутафорскую башню и макет пушки, участвовал двухбашенный БТ-ВТ. Потом два исправных танка из пяти построенных поступили на испытания на НИБТ полигон. Они очень понравились М.Н. Тухачевскому, который испытывал к </w:t>
      </w:r>
      <w:proofErr w:type="spellStart"/>
      <w:r w:rsidRPr="007122AB">
        <w:rPr>
          <w:rFonts w:ascii="Times New Roman" w:hAnsi="Times New Roman"/>
          <w:color w:val="000000" w:themeColor="text1"/>
          <w:sz w:val="16"/>
          <w:szCs w:val="16"/>
        </w:rPr>
        <w:t>многобашенным</w:t>
      </w:r>
      <w:proofErr w:type="spellEnd"/>
      <w:r w:rsidRPr="007122AB">
        <w:rPr>
          <w:rFonts w:ascii="Times New Roman" w:hAnsi="Times New Roman"/>
          <w:color w:val="000000" w:themeColor="text1"/>
          <w:sz w:val="16"/>
          <w:szCs w:val="16"/>
        </w:rPr>
        <w:t xml:space="preserve"> конструкциям большую симпатию. Эти два танка отличались не только своим необычным видом, но и более надежной работой, так как сотрудники СКБ-6 очень тщательно перебирали и регулировали все узлы и механизмы поступивших к ним на переоборудование танковых шасси и моторных агрегатов (15735).</w:t>
      </w:r>
    </w:p>
    <w:p w14:paraId="65528C3C" w14:textId="77777777" w:rsidR="00193905" w:rsidRPr="007122AB" w:rsidRDefault="00BE7680"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begin"/>
      </w:r>
      <w:r w:rsidR="00193905" w:rsidRPr="007122AB">
        <w:rPr>
          <w:rFonts w:ascii="Times New Roman" w:hAnsi="Times New Roman"/>
          <w:color w:val="000000" w:themeColor="text1"/>
          <w:sz w:val="16"/>
          <w:szCs w:val="16"/>
        </w:rPr>
        <w:instrText xml:space="preserve"> HYPERLINK "https://img-fotki.yandex.ru/get/26001/5684310.ab/0_151145_cbd7aa58_orig.jpg" \t "_blank" </w:instrText>
      </w:r>
      <w:r w:rsidRPr="007122AB">
        <w:rPr>
          <w:rFonts w:ascii="Times New Roman" w:hAnsi="Times New Roman"/>
          <w:color w:val="000000" w:themeColor="text1"/>
          <w:sz w:val="16"/>
          <w:szCs w:val="16"/>
        </w:rPr>
      </w:r>
      <w:r w:rsidRPr="007122AB">
        <w:rPr>
          <w:rFonts w:ascii="Times New Roman" w:hAnsi="Times New Roman"/>
          <w:color w:val="000000" w:themeColor="text1"/>
          <w:sz w:val="16"/>
          <w:szCs w:val="16"/>
        </w:rPr>
        <w:fldChar w:fldCharType="separate"/>
      </w:r>
    </w:p>
    <w:p w14:paraId="2ADAD132" w14:textId="77777777" w:rsidR="005C4849" w:rsidRPr="007122AB" w:rsidRDefault="00BE7680"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fldChar w:fldCharType="end"/>
      </w:r>
      <w:r w:rsidR="005C4849" w:rsidRPr="007122AB">
        <w:rPr>
          <w:rFonts w:ascii="Times New Roman" w:hAnsi="Times New Roman"/>
          <w:color w:val="000000" w:themeColor="text1"/>
          <w:sz w:val="16"/>
          <w:szCs w:val="16"/>
        </w:rPr>
        <w:t>7 ноября 1931 три танка БТ-2 (первый и два последующих танка выпущенные в сентябре 1931 года), приняли участие в параде войск на Красной площади. Они успешно, на макси</w:t>
      </w:r>
      <w:r w:rsidR="005C4849" w:rsidRPr="007122AB">
        <w:rPr>
          <w:rFonts w:ascii="Times New Roman" w:hAnsi="Times New Roman"/>
          <w:color w:val="000000" w:themeColor="text1"/>
          <w:sz w:val="16"/>
          <w:szCs w:val="16"/>
        </w:rPr>
        <w:softHyphen/>
        <w:t>мальной для гусеничного хода скорости — 52 км прошли Красную пло</w:t>
      </w:r>
      <w:r w:rsidR="005C4849" w:rsidRPr="007122AB">
        <w:rPr>
          <w:rFonts w:ascii="Times New Roman" w:hAnsi="Times New Roman"/>
          <w:color w:val="000000" w:themeColor="text1"/>
          <w:sz w:val="16"/>
          <w:szCs w:val="16"/>
        </w:rPr>
        <w:softHyphen/>
        <w:t>щадь, но на повороте у Москвы-реки один танк вдруг загорелся, у второго нарушилось управление переключением передач.</w:t>
      </w:r>
    </w:p>
    <w:p w14:paraId="279842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ноябрьский военный парад 1931 года три танка БТ-2 прибыли своим ходом, совершив пробег Харьков-Москва. С Красной площади машины проследовали в Кубинку и после испытаний на полигоне совершили вновь пробег в обратном направлении Москва-Харь</w:t>
      </w:r>
      <w:r w:rsidRPr="007122AB">
        <w:rPr>
          <w:rFonts w:ascii="Times New Roman" w:hAnsi="Times New Roman"/>
          <w:color w:val="000000" w:themeColor="text1"/>
          <w:sz w:val="16"/>
          <w:szCs w:val="16"/>
        </w:rPr>
        <w:softHyphen/>
        <w:t>ков, после чего танк был рекомендован к серийному производству.</w:t>
      </w:r>
    </w:p>
    <w:p w14:paraId="1748AC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полигоне в испытании БТ-2 принял непосредственное участие </w:t>
      </w:r>
      <w:proofErr w:type="spellStart"/>
      <w:r w:rsidRPr="007122AB">
        <w:rPr>
          <w:rFonts w:ascii="Times New Roman" w:hAnsi="Times New Roman"/>
          <w:color w:val="000000" w:themeColor="text1"/>
          <w:sz w:val="16"/>
          <w:szCs w:val="16"/>
        </w:rPr>
        <w:t>Е.А.Кульчицкий</w:t>
      </w:r>
      <w:proofErr w:type="spellEnd"/>
      <w:r w:rsidRPr="007122AB">
        <w:rPr>
          <w:rFonts w:ascii="Times New Roman" w:hAnsi="Times New Roman"/>
          <w:color w:val="000000" w:themeColor="text1"/>
          <w:sz w:val="16"/>
          <w:szCs w:val="16"/>
        </w:rPr>
        <w:t>, который влюбился в эту машину и дал ей высокую оценку (11504).</w:t>
      </w:r>
    </w:p>
    <w:p w14:paraId="5A1978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3D4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года на военном параде в честь 14-й годовщины Октябрьской социалистической революции в Москве среди новых образцов военной техники впервые были продемонстрированные маневренные, танки Т-24. Грозные боевые машины плавно двигались по Красной площади столицы. Присутствующие тогда на параде руководители оборонительной промышленности, командиры РККА, инженеры и конструкторы, которые принимали участие в создании этого танка, даже не подозревали о том, что всего через десять лет прямо с этой самой площади в бой пойдут всемирно известные харьковские средние танки Т-34 (10710).</w:t>
      </w:r>
    </w:p>
    <w:p w14:paraId="2FCFA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18FE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года на военном параде в честь 14-й годовщины Октябрьской социалистической революции в Москве. Среди новых образцов военной техники впервые были продемонстрированные маневренные, танки Т-24. Грозные боевые машины плавно двигались по Красной площади столицы. Присутствующие тогда на параде руководители оборонительной промышленности, командиры РККА, инженеры и конструкторы, которые принимали участие в создании этого танка, даже не подозревали о том, что всего через десять лет прямо с этой самой площади в бой пойдут всемирно известные харьковские средние танки Т-34 (10278).</w:t>
      </w:r>
    </w:p>
    <w:p w14:paraId="75EDD0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728EB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7 ноября 1931 в 14-ю годовщину Октябрьской революции два танка Т-24 участвовали в военном параде на Красной площади в Москве. После проверки танка Т-24 в условиях войсковой эксплуатации пред</w:t>
      </w:r>
      <w:r w:rsidRPr="007122AB">
        <w:rPr>
          <w:rFonts w:ascii="Times New Roman" w:hAnsi="Times New Roman"/>
          <w:color w:val="000000" w:themeColor="text1"/>
          <w:sz w:val="16"/>
          <w:szCs w:val="16"/>
        </w:rPr>
        <w:softHyphen/>
        <w:t>полагалось принять танк на вооружение Красной Армии и начать его серийное производство на ХПЗ. Однако этим намерениям не суждено было осуществиться, так как по решению правительства в 1931 году завод был ориентирован на крупносерийное производство быстроходных тан</w:t>
      </w:r>
      <w:r w:rsidRPr="007122AB">
        <w:rPr>
          <w:rFonts w:ascii="Times New Roman" w:hAnsi="Times New Roman"/>
          <w:color w:val="000000" w:themeColor="text1"/>
          <w:sz w:val="16"/>
          <w:szCs w:val="16"/>
        </w:rPr>
        <w:softHyphen/>
        <w:t>ков БТ, с прекращением работ по Т-24. При солидной мощности двигателя (250 л.с.) 18,5 тонный танк Т-24 с удельной мощностью в 13,5 л.с. на тонну веса мог двигаться с той же скоростью 22 км/час, что и танк МС-1. С большей скоростью танку Т-24 не позволяла двигаться несовер</w:t>
      </w:r>
      <w:r w:rsidRPr="007122AB">
        <w:rPr>
          <w:rFonts w:ascii="Times New Roman" w:hAnsi="Times New Roman"/>
          <w:color w:val="000000" w:themeColor="text1"/>
          <w:sz w:val="16"/>
          <w:szCs w:val="16"/>
        </w:rPr>
        <w:softHyphen/>
        <w:t>шенная конструкция ходовой части, в частности, подвеска ее к корпусу танка. Она была такой же, как и у МС-1, но усиленная на вес танка (11504).</w:t>
      </w:r>
    </w:p>
    <w:p w14:paraId="28D9F9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854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7 ноября 1931 года на ХПЗ под руководством </w:t>
      </w:r>
      <w:proofErr w:type="spellStart"/>
      <w:r w:rsidRPr="007122AB">
        <w:rPr>
          <w:rFonts w:ascii="Times New Roman" w:hAnsi="Times New Roman"/>
          <w:color w:val="000000" w:themeColor="text1"/>
          <w:sz w:val="16"/>
          <w:szCs w:val="16"/>
        </w:rPr>
        <w:t>Б.Н.Воронкова</w:t>
      </w:r>
      <w:proofErr w:type="spellEnd"/>
      <w:r w:rsidRPr="007122AB">
        <w:rPr>
          <w:rFonts w:ascii="Times New Roman" w:hAnsi="Times New Roman"/>
          <w:color w:val="000000" w:themeColor="text1"/>
          <w:sz w:val="16"/>
          <w:szCs w:val="16"/>
        </w:rPr>
        <w:t xml:space="preserve"> (ведущие конструкторы </w:t>
      </w:r>
      <w:proofErr w:type="spellStart"/>
      <w:r w:rsidRPr="007122AB">
        <w:rPr>
          <w:rFonts w:ascii="Times New Roman" w:hAnsi="Times New Roman"/>
          <w:color w:val="000000" w:themeColor="text1"/>
          <w:sz w:val="16"/>
          <w:szCs w:val="16"/>
        </w:rPr>
        <w:t>Д.М.Иванов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Д.Ф.Бобров</w:t>
      </w:r>
      <w:proofErr w:type="spellEnd"/>
      <w:r w:rsidRPr="007122AB">
        <w:rPr>
          <w:rFonts w:ascii="Times New Roman" w:hAnsi="Times New Roman"/>
          <w:color w:val="000000" w:themeColor="text1"/>
          <w:sz w:val="16"/>
          <w:szCs w:val="16"/>
        </w:rPr>
        <w:t xml:space="preserve">) построили три опытных образца быстроходного среднего гусеничного тягача для буксировки орудий массой до 10 т, а также для выполнения в войсках тяжелых транспортных работ. 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тракторно-конструкторском бюро (ТРК) бригада во главе с </w:t>
      </w:r>
      <w:proofErr w:type="spellStart"/>
      <w:r w:rsidRPr="007122AB">
        <w:rPr>
          <w:rFonts w:ascii="Times New Roman" w:hAnsi="Times New Roman"/>
          <w:color w:val="000000" w:themeColor="text1"/>
          <w:sz w:val="16"/>
          <w:szCs w:val="16"/>
        </w:rPr>
        <w:t>Н.Г.Зубаревым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Б.Н.воронков</w:t>
      </w:r>
      <w:proofErr w:type="spellEnd"/>
      <w:r w:rsidRPr="007122AB">
        <w:rPr>
          <w:rFonts w:ascii="Times New Roman" w:hAnsi="Times New Roman"/>
          <w:color w:val="000000" w:themeColor="text1"/>
          <w:sz w:val="16"/>
          <w:szCs w:val="16"/>
        </w:rPr>
        <w:t xml:space="preserve"> перешел на ХТЗ), куда также вошли инженеры </w:t>
      </w:r>
      <w:proofErr w:type="spellStart"/>
      <w:r w:rsidRPr="007122AB">
        <w:rPr>
          <w:rFonts w:ascii="Times New Roman" w:hAnsi="Times New Roman"/>
          <w:color w:val="000000" w:themeColor="text1"/>
          <w:sz w:val="16"/>
          <w:szCs w:val="16"/>
        </w:rPr>
        <w:t>А.Г.Гулита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В.П.Каплин</w:t>
      </w:r>
      <w:proofErr w:type="spellEnd"/>
      <w:r w:rsidRPr="007122AB">
        <w:rPr>
          <w:rFonts w:ascii="Times New Roman" w:hAnsi="Times New Roman"/>
          <w:color w:val="000000" w:themeColor="text1"/>
          <w:sz w:val="16"/>
          <w:szCs w:val="16"/>
        </w:rPr>
        <w:t>.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50A4DF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30A9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ЯГАЗ выпустил первый трехосный грузовой автомобиль ЯГ-10 грузоподъемностью 8 тонн, с двигателем мощностью 93,5 л.с. Директорами завода работали: с 26 февраля - Н.И. Милов, с 20 марта - Ф.И. Ильин. 28 декабря. Директором завода назначен В.А. Еленин. Главными инженерами работали: с 26 апреля - Н.И. Резванов, с 19 июля - А.Н. Жуков (11246).</w:t>
      </w:r>
    </w:p>
    <w:p w14:paraId="45E35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C4A3DF"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года на ярославском автозаводе была завершена постройка первого образца шестиколесного (как называли тогда «трехоски») автомобиля ЯГ-10. Диковинная по тем временам машина почти сразу же отбыла в Москву, где была передана в НАТИ для испытаний. Как отмечалось в отчете по ним, ЯГ-10 «...представлял собой серийный грузовик Я-5, поставленный на шестиколесный ход. Это увеличило тоннаж машины с 5 до 8 тонн и до 5 тонн по бездорожью». Этот автомобиль появился на свет в 1931 году и мелкосерийно производился в течение 8 лет. Он не обладал какими-то особо выдающимися характеристиками и даже не претендовал на статус оригинальной конструкции, фактически оставаясь лишь модификацией, к тому же так и не став полностью отечественным автомобилем (12201).</w:t>
      </w:r>
    </w:p>
    <w:p w14:paraId="5ECF696B"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560C0BAE"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ноября 1931 года оба грузовика У-4 ХАСЗ приняли участие в праздничной демонстрации трудящихся столицы Украины - города Харькова. В дальнейшем эти </w:t>
      </w:r>
      <w:proofErr w:type="spellStart"/>
      <w:r w:rsidRPr="007122AB">
        <w:rPr>
          <w:rFonts w:ascii="Times New Roman" w:hAnsi="Times New Roman"/>
          <w:color w:val="000000" w:themeColor="text1"/>
          <w:sz w:val="16"/>
          <w:szCs w:val="16"/>
        </w:rPr>
        <w:t>ав-томобили</w:t>
      </w:r>
      <w:proofErr w:type="spellEnd"/>
      <w:r w:rsidRPr="007122AB">
        <w:rPr>
          <w:rFonts w:ascii="Times New Roman" w:hAnsi="Times New Roman"/>
          <w:color w:val="000000" w:themeColor="text1"/>
          <w:sz w:val="16"/>
          <w:szCs w:val="16"/>
        </w:rPr>
        <w:t xml:space="preserve"> показывали свои </w:t>
      </w:r>
      <w:proofErr w:type="spellStart"/>
      <w:r w:rsidRPr="007122AB">
        <w:rPr>
          <w:rFonts w:ascii="Times New Roman" w:hAnsi="Times New Roman"/>
          <w:color w:val="000000" w:themeColor="text1"/>
          <w:sz w:val="16"/>
          <w:szCs w:val="16"/>
        </w:rPr>
        <w:t>рабо-чие</w:t>
      </w:r>
      <w:proofErr w:type="spellEnd"/>
      <w:r w:rsidRPr="007122AB">
        <w:rPr>
          <w:rFonts w:ascii="Times New Roman" w:hAnsi="Times New Roman"/>
          <w:color w:val="000000" w:themeColor="text1"/>
          <w:sz w:val="16"/>
          <w:szCs w:val="16"/>
        </w:rPr>
        <w:t xml:space="preserve"> качества в самых тяжелых условиях.</w:t>
      </w:r>
    </w:p>
    <w:p w14:paraId="2728FBF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грузовики были </w:t>
      </w:r>
      <w:proofErr w:type="spellStart"/>
      <w:r w:rsidRPr="007122AB">
        <w:rPr>
          <w:rFonts w:ascii="Times New Roman" w:hAnsi="Times New Roman"/>
          <w:color w:val="000000" w:themeColor="text1"/>
          <w:sz w:val="16"/>
          <w:szCs w:val="16"/>
        </w:rPr>
        <w:t>сдела-ны</w:t>
      </w:r>
      <w:proofErr w:type="spellEnd"/>
      <w:r w:rsidRPr="007122AB">
        <w:rPr>
          <w:rFonts w:ascii="Times New Roman" w:hAnsi="Times New Roman"/>
          <w:color w:val="000000" w:themeColor="text1"/>
          <w:sz w:val="16"/>
          <w:szCs w:val="16"/>
        </w:rPr>
        <w:t xml:space="preserve"> все рабочие чертежи, </w:t>
      </w:r>
      <w:proofErr w:type="spellStart"/>
      <w:r w:rsidRPr="007122AB">
        <w:rPr>
          <w:rFonts w:ascii="Times New Roman" w:hAnsi="Times New Roman"/>
          <w:color w:val="000000" w:themeColor="text1"/>
          <w:sz w:val="16"/>
          <w:szCs w:val="16"/>
        </w:rPr>
        <w:t>специ-фикации</w:t>
      </w:r>
      <w:proofErr w:type="spellEnd"/>
      <w:r w:rsidRPr="007122AB">
        <w:rPr>
          <w:rFonts w:ascii="Times New Roman" w:hAnsi="Times New Roman"/>
          <w:color w:val="000000" w:themeColor="text1"/>
          <w:sz w:val="16"/>
          <w:szCs w:val="16"/>
        </w:rPr>
        <w:t>, протоколы сборки и разборки, анализы применяемых материалов - отработан весь тех-</w:t>
      </w:r>
      <w:proofErr w:type="spellStart"/>
      <w:r w:rsidRPr="007122AB">
        <w:rPr>
          <w:rFonts w:ascii="Times New Roman" w:hAnsi="Times New Roman"/>
          <w:color w:val="000000" w:themeColor="text1"/>
          <w:sz w:val="16"/>
          <w:szCs w:val="16"/>
        </w:rPr>
        <w:t>нологический</w:t>
      </w:r>
      <w:proofErr w:type="spellEnd"/>
      <w:r w:rsidRPr="007122AB">
        <w:rPr>
          <w:rFonts w:ascii="Times New Roman" w:hAnsi="Times New Roman"/>
          <w:color w:val="000000" w:themeColor="text1"/>
          <w:sz w:val="16"/>
          <w:szCs w:val="16"/>
        </w:rPr>
        <w:t xml:space="preserve"> процесс. Все дета-ли были изготовлены только из отечественных материалов, часть - на месте, а особо сложные - в кооперации с другими </w:t>
      </w:r>
      <w:proofErr w:type="spellStart"/>
      <w:r w:rsidRPr="007122AB">
        <w:rPr>
          <w:rFonts w:ascii="Times New Roman" w:hAnsi="Times New Roman"/>
          <w:color w:val="000000" w:themeColor="text1"/>
          <w:sz w:val="16"/>
          <w:szCs w:val="16"/>
        </w:rPr>
        <w:t>отече-ственными</w:t>
      </w:r>
      <w:proofErr w:type="spellEnd"/>
      <w:r w:rsidRPr="007122AB">
        <w:rPr>
          <w:rFonts w:ascii="Times New Roman" w:hAnsi="Times New Roman"/>
          <w:color w:val="000000" w:themeColor="text1"/>
          <w:sz w:val="16"/>
          <w:szCs w:val="16"/>
        </w:rPr>
        <w:t xml:space="preserve"> заводами. Большую работу провели по выпуску каче-</w:t>
      </w:r>
      <w:proofErr w:type="spellStart"/>
      <w:r w:rsidRPr="007122AB">
        <w:rPr>
          <w:rFonts w:ascii="Times New Roman" w:hAnsi="Times New Roman"/>
          <w:color w:val="000000" w:themeColor="text1"/>
          <w:sz w:val="16"/>
          <w:szCs w:val="16"/>
        </w:rPr>
        <w:t>ственного</w:t>
      </w:r>
      <w:proofErr w:type="spellEnd"/>
      <w:r w:rsidRPr="007122AB">
        <w:rPr>
          <w:rFonts w:ascii="Times New Roman" w:hAnsi="Times New Roman"/>
          <w:color w:val="000000" w:themeColor="text1"/>
          <w:sz w:val="16"/>
          <w:szCs w:val="16"/>
        </w:rPr>
        <w:t xml:space="preserve"> алюминиевого литья, чугунных блоков. Наладили в условиях полукустарного </w:t>
      </w:r>
      <w:proofErr w:type="spellStart"/>
      <w:r w:rsidRPr="007122AB">
        <w:rPr>
          <w:rFonts w:ascii="Times New Roman" w:hAnsi="Times New Roman"/>
          <w:color w:val="000000" w:themeColor="text1"/>
          <w:sz w:val="16"/>
          <w:szCs w:val="16"/>
        </w:rPr>
        <w:t>произ-водства</w:t>
      </w:r>
      <w:proofErr w:type="spellEnd"/>
      <w:r w:rsidRPr="007122AB">
        <w:rPr>
          <w:rFonts w:ascii="Times New Roman" w:hAnsi="Times New Roman"/>
          <w:color w:val="000000" w:themeColor="text1"/>
          <w:sz w:val="16"/>
          <w:szCs w:val="16"/>
        </w:rPr>
        <w:t xml:space="preserve"> нормальную </w:t>
      </w:r>
      <w:proofErr w:type="spellStart"/>
      <w:r w:rsidRPr="007122AB">
        <w:rPr>
          <w:rFonts w:ascii="Times New Roman" w:hAnsi="Times New Roman"/>
          <w:color w:val="000000" w:themeColor="text1"/>
          <w:sz w:val="16"/>
          <w:szCs w:val="16"/>
        </w:rPr>
        <w:t>термообра-ботку</w:t>
      </w:r>
      <w:proofErr w:type="spellEnd"/>
      <w:r w:rsidRPr="007122AB">
        <w:rPr>
          <w:rFonts w:ascii="Times New Roman" w:hAnsi="Times New Roman"/>
          <w:color w:val="000000" w:themeColor="text1"/>
          <w:sz w:val="16"/>
          <w:szCs w:val="16"/>
        </w:rPr>
        <w:t xml:space="preserve"> деталей.</w:t>
      </w:r>
    </w:p>
    <w:p w14:paraId="6A55E4F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Краткая характеристика грузовика "У-4": </w:t>
      </w:r>
      <w:proofErr w:type="spellStart"/>
      <w:r w:rsidRPr="007122AB">
        <w:rPr>
          <w:rFonts w:ascii="Times New Roman" w:hAnsi="Times New Roman"/>
          <w:color w:val="000000" w:themeColor="text1"/>
          <w:sz w:val="16"/>
          <w:szCs w:val="16"/>
        </w:rPr>
        <w:t>грузоподъем-ность</w:t>
      </w:r>
      <w:proofErr w:type="spellEnd"/>
      <w:r w:rsidRPr="007122AB">
        <w:rPr>
          <w:rFonts w:ascii="Times New Roman" w:hAnsi="Times New Roman"/>
          <w:color w:val="000000" w:themeColor="text1"/>
          <w:sz w:val="16"/>
          <w:szCs w:val="16"/>
        </w:rPr>
        <w:t xml:space="preserve"> - 4 т; "мертвый" вес - 3750 кг; число цилиндров - 6; </w:t>
      </w:r>
      <w:proofErr w:type="spellStart"/>
      <w:r w:rsidRPr="007122AB">
        <w:rPr>
          <w:rFonts w:ascii="Times New Roman" w:hAnsi="Times New Roman"/>
          <w:color w:val="000000" w:themeColor="text1"/>
          <w:sz w:val="16"/>
          <w:szCs w:val="16"/>
        </w:rPr>
        <w:t>мощ-ность</w:t>
      </w:r>
      <w:proofErr w:type="spellEnd"/>
      <w:r w:rsidRPr="007122AB">
        <w:rPr>
          <w:rFonts w:ascii="Times New Roman" w:hAnsi="Times New Roman"/>
          <w:color w:val="000000" w:themeColor="text1"/>
          <w:sz w:val="16"/>
          <w:szCs w:val="16"/>
        </w:rPr>
        <w:t xml:space="preserve"> двигателя - 70 л/с; число скоростей - 4 вперед; 1 назад; база - 4,7 м; длина, ширина, вы-сота - соответственно 7,0 х 1,9 х 1,8 м; колея - 1,7 м; размер шин - 34"х 6"; запас топлива - на 4 часа работы; скорость - 50 км/час.</w:t>
      </w:r>
    </w:p>
    <w:p w14:paraId="7C3E2CE6"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добавить, что конструкторами ХАСЗ еще в 1929 году были разработаны:</w:t>
      </w:r>
    </w:p>
    <w:p w14:paraId="784D6AD6"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газогенератор на </w:t>
      </w:r>
      <w:proofErr w:type="spellStart"/>
      <w:r w:rsidRPr="007122AB">
        <w:rPr>
          <w:rFonts w:ascii="Times New Roman" w:hAnsi="Times New Roman"/>
          <w:color w:val="000000" w:themeColor="text1"/>
          <w:sz w:val="16"/>
          <w:szCs w:val="16"/>
        </w:rPr>
        <w:t>дровя-ных</w:t>
      </w:r>
      <w:proofErr w:type="spellEnd"/>
      <w:r w:rsidRPr="007122AB">
        <w:rPr>
          <w:rFonts w:ascii="Times New Roman" w:hAnsi="Times New Roman"/>
          <w:color w:val="000000" w:themeColor="text1"/>
          <w:sz w:val="16"/>
          <w:szCs w:val="16"/>
        </w:rPr>
        <w:t xml:space="preserve"> (березовых) чурках;</w:t>
      </w:r>
    </w:p>
    <w:p w14:paraId="4D089A8A"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автобусный кузов для пе-</w:t>
      </w:r>
      <w:proofErr w:type="spellStart"/>
      <w:r w:rsidRPr="007122AB">
        <w:rPr>
          <w:rFonts w:ascii="Times New Roman" w:hAnsi="Times New Roman"/>
          <w:color w:val="000000" w:themeColor="text1"/>
          <w:sz w:val="16"/>
          <w:szCs w:val="16"/>
        </w:rPr>
        <w:t>ревозки</w:t>
      </w:r>
      <w:proofErr w:type="spellEnd"/>
      <w:r w:rsidRPr="007122AB">
        <w:rPr>
          <w:rFonts w:ascii="Times New Roman" w:hAnsi="Times New Roman"/>
          <w:color w:val="000000" w:themeColor="text1"/>
          <w:sz w:val="16"/>
          <w:szCs w:val="16"/>
        </w:rPr>
        <w:t xml:space="preserve"> 40 пассажиров.</w:t>
      </w:r>
    </w:p>
    <w:p w14:paraId="5E1D7147"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были </w:t>
      </w:r>
      <w:proofErr w:type="spellStart"/>
      <w:r w:rsidRPr="007122AB">
        <w:rPr>
          <w:rFonts w:ascii="Times New Roman" w:hAnsi="Times New Roman"/>
          <w:color w:val="000000" w:themeColor="text1"/>
          <w:sz w:val="16"/>
          <w:szCs w:val="16"/>
        </w:rPr>
        <w:t>разрабо-таны</w:t>
      </w:r>
      <w:proofErr w:type="spellEnd"/>
      <w:r w:rsidRPr="007122AB">
        <w:rPr>
          <w:rFonts w:ascii="Times New Roman" w:hAnsi="Times New Roman"/>
          <w:color w:val="000000" w:themeColor="text1"/>
          <w:sz w:val="16"/>
          <w:szCs w:val="16"/>
        </w:rPr>
        <w:t xml:space="preserve"> проекты и рабочие черте-</w:t>
      </w:r>
      <w:proofErr w:type="spellStart"/>
      <w:r w:rsidRPr="007122AB">
        <w:rPr>
          <w:rFonts w:ascii="Times New Roman" w:hAnsi="Times New Roman"/>
          <w:color w:val="000000" w:themeColor="text1"/>
          <w:sz w:val="16"/>
          <w:szCs w:val="16"/>
        </w:rPr>
        <w:t>жи</w:t>
      </w:r>
      <w:proofErr w:type="spellEnd"/>
      <w:r w:rsidRPr="007122AB">
        <w:rPr>
          <w:rFonts w:ascii="Times New Roman" w:hAnsi="Times New Roman"/>
          <w:color w:val="000000" w:themeColor="text1"/>
          <w:sz w:val="16"/>
          <w:szCs w:val="16"/>
        </w:rPr>
        <w:t>:</w:t>
      </w:r>
    </w:p>
    <w:p w14:paraId="2A8FA622"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мотоцикла с объемом двигателя 375 </w:t>
      </w:r>
      <w:proofErr w:type="spellStart"/>
      <w:r w:rsidRPr="007122AB">
        <w:rPr>
          <w:rFonts w:ascii="Times New Roman" w:hAnsi="Times New Roman"/>
          <w:color w:val="000000" w:themeColor="text1"/>
          <w:sz w:val="16"/>
          <w:szCs w:val="16"/>
        </w:rPr>
        <w:t>куб.см</w:t>
      </w:r>
      <w:proofErr w:type="spellEnd"/>
      <w:r w:rsidRPr="007122AB">
        <w:rPr>
          <w:rFonts w:ascii="Times New Roman" w:hAnsi="Times New Roman"/>
          <w:color w:val="000000" w:themeColor="text1"/>
          <w:sz w:val="16"/>
          <w:szCs w:val="16"/>
        </w:rPr>
        <w:t>. и карданной передачей;</w:t>
      </w:r>
    </w:p>
    <w:p w14:paraId="63E52B0F"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мотоцикла с объемом </w:t>
      </w:r>
      <w:proofErr w:type="spellStart"/>
      <w:r w:rsidRPr="007122AB">
        <w:rPr>
          <w:rFonts w:ascii="Times New Roman" w:hAnsi="Times New Roman"/>
          <w:color w:val="000000" w:themeColor="text1"/>
          <w:sz w:val="16"/>
          <w:szCs w:val="16"/>
        </w:rPr>
        <w:t>дви-гателя</w:t>
      </w:r>
      <w:proofErr w:type="spellEnd"/>
      <w:r w:rsidRPr="007122AB">
        <w:rPr>
          <w:rFonts w:ascii="Times New Roman" w:hAnsi="Times New Roman"/>
          <w:color w:val="000000" w:themeColor="text1"/>
          <w:sz w:val="16"/>
          <w:szCs w:val="16"/>
        </w:rPr>
        <w:t xml:space="preserve"> 750 </w:t>
      </w:r>
      <w:proofErr w:type="spellStart"/>
      <w:r w:rsidRPr="007122AB">
        <w:rPr>
          <w:rFonts w:ascii="Times New Roman" w:hAnsi="Times New Roman"/>
          <w:color w:val="000000" w:themeColor="text1"/>
          <w:sz w:val="16"/>
          <w:szCs w:val="16"/>
        </w:rPr>
        <w:t>куб.см</w:t>
      </w:r>
      <w:proofErr w:type="spellEnd"/>
      <w:r w:rsidRPr="007122AB">
        <w:rPr>
          <w:rFonts w:ascii="Times New Roman" w:hAnsi="Times New Roman"/>
          <w:color w:val="000000" w:themeColor="text1"/>
          <w:sz w:val="16"/>
          <w:szCs w:val="16"/>
        </w:rPr>
        <w:t>. и карданной передачей;</w:t>
      </w:r>
    </w:p>
    <w:p w14:paraId="69B1CDF1"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мотоцикла с объемом </w:t>
      </w:r>
      <w:proofErr w:type="spellStart"/>
      <w:r w:rsidRPr="007122AB">
        <w:rPr>
          <w:rFonts w:ascii="Times New Roman" w:hAnsi="Times New Roman"/>
          <w:color w:val="000000" w:themeColor="text1"/>
          <w:sz w:val="16"/>
          <w:szCs w:val="16"/>
        </w:rPr>
        <w:t>дви-гателя</w:t>
      </w:r>
      <w:proofErr w:type="spellEnd"/>
      <w:r w:rsidRPr="007122AB">
        <w:rPr>
          <w:rFonts w:ascii="Times New Roman" w:hAnsi="Times New Roman"/>
          <w:color w:val="000000" w:themeColor="text1"/>
          <w:sz w:val="16"/>
          <w:szCs w:val="16"/>
        </w:rPr>
        <w:t xml:space="preserve"> 1200 </w:t>
      </w:r>
      <w:proofErr w:type="spellStart"/>
      <w:r w:rsidRPr="007122AB">
        <w:rPr>
          <w:rFonts w:ascii="Times New Roman" w:hAnsi="Times New Roman"/>
          <w:color w:val="000000" w:themeColor="text1"/>
          <w:sz w:val="16"/>
          <w:szCs w:val="16"/>
        </w:rPr>
        <w:t>куб.см</w:t>
      </w:r>
      <w:proofErr w:type="spellEnd"/>
      <w:r w:rsidRPr="007122AB">
        <w:rPr>
          <w:rFonts w:ascii="Times New Roman" w:hAnsi="Times New Roman"/>
          <w:color w:val="000000" w:themeColor="text1"/>
          <w:sz w:val="16"/>
          <w:szCs w:val="16"/>
        </w:rPr>
        <w:t>. и цепной пе-</w:t>
      </w:r>
      <w:proofErr w:type="spellStart"/>
      <w:r w:rsidRPr="007122AB">
        <w:rPr>
          <w:rFonts w:ascii="Times New Roman" w:hAnsi="Times New Roman"/>
          <w:color w:val="000000" w:themeColor="text1"/>
          <w:sz w:val="16"/>
          <w:szCs w:val="16"/>
        </w:rPr>
        <w:t>редачей</w:t>
      </w:r>
      <w:proofErr w:type="spellEnd"/>
      <w:r w:rsidRPr="007122AB">
        <w:rPr>
          <w:rFonts w:ascii="Times New Roman" w:hAnsi="Times New Roman"/>
          <w:color w:val="000000" w:themeColor="text1"/>
          <w:sz w:val="16"/>
          <w:szCs w:val="16"/>
        </w:rPr>
        <w:t>.</w:t>
      </w:r>
    </w:p>
    <w:p w14:paraId="65367B2D"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Наконец, на ХАСЗ был раз-</w:t>
      </w:r>
      <w:proofErr w:type="spellStart"/>
      <w:r w:rsidRPr="007122AB">
        <w:rPr>
          <w:rFonts w:ascii="Times New Roman" w:hAnsi="Times New Roman"/>
          <w:color w:val="000000" w:themeColor="text1"/>
          <w:sz w:val="16"/>
          <w:szCs w:val="16"/>
        </w:rPr>
        <w:t>работан</w:t>
      </w:r>
      <w:proofErr w:type="spellEnd"/>
      <w:r w:rsidRPr="007122AB">
        <w:rPr>
          <w:rFonts w:ascii="Times New Roman" w:hAnsi="Times New Roman"/>
          <w:color w:val="000000" w:themeColor="text1"/>
          <w:sz w:val="16"/>
          <w:szCs w:val="16"/>
        </w:rPr>
        <w:t xml:space="preserve"> проект малолитражного автомобиля с 4-хцилиндровым двигателем рабочим объемом 1000 </w:t>
      </w:r>
      <w:proofErr w:type="spellStart"/>
      <w:r w:rsidRPr="007122AB">
        <w:rPr>
          <w:rFonts w:ascii="Times New Roman" w:hAnsi="Times New Roman"/>
          <w:color w:val="000000" w:themeColor="text1"/>
          <w:sz w:val="16"/>
          <w:szCs w:val="16"/>
        </w:rPr>
        <w:t>куб.см</w:t>
      </w:r>
      <w:proofErr w:type="spellEnd"/>
      <w:r w:rsidRPr="007122AB">
        <w:rPr>
          <w:rFonts w:ascii="Times New Roman" w:hAnsi="Times New Roman"/>
          <w:color w:val="000000" w:themeColor="text1"/>
          <w:sz w:val="16"/>
          <w:szCs w:val="16"/>
        </w:rPr>
        <w:t xml:space="preserve">. воздушного охлаждения, расположенным у задней разрезной оси. Коробка </w:t>
      </w:r>
      <w:proofErr w:type="spellStart"/>
      <w:r w:rsidRPr="007122AB">
        <w:rPr>
          <w:rFonts w:ascii="Times New Roman" w:hAnsi="Times New Roman"/>
          <w:color w:val="000000" w:themeColor="text1"/>
          <w:sz w:val="16"/>
          <w:szCs w:val="16"/>
        </w:rPr>
        <w:t>скорос-тей</w:t>
      </w:r>
      <w:proofErr w:type="spellEnd"/>
      <w:r w:rsidRPr="007122AB">
        <w:rPr>
          <w:rFonts w:ascii="Times New Roman" w:hAnsi="Times New Roman"/>
          <w:color w:val="000000" w:themeColor="text1"/>
          <w:sz w:val="16"/>
          <w:szCs w:val="16"/>
        </w:rPr>
        <w:t xml:space="preserve"> - трехступенчатая (3 вперед, 1 назад). Вес автомобиля - 550 кг. Предполагаемая скорость -100 км/час. Двигатель </w:t>
      </w:r>
      <w:proofErr w:type="spellStart"/>
      <w:r w:rsidRPr="007122AB">
        <w:rPr>
          <w:rFonts w:ascii="Times New Roman" w:hAnsi="Times New Roman"/>
          <w:color w:val="000000" w:themeColor="text1"/>
          <w:sz w:val="16"/>
          <w:szCs w:val="16"/>
        </w:rPr>
        <w:t>спроекти-рован</w:t>
      </w:r>
      <w:proofErr w:type="spellEnd"/>
      <w:r w:rsidRPr="007122AB">
        <w:rPr>
          <w:rFonts w:ascii="Times New Roman" w:hAnsi="Times New Roman"/>
          <w:color w:val="000000" w:themeColor="text1"/>
          <w:sz w:val="16"/>
          <w:szCs w:val="16"/>
        </w:rPr>
        <w:t xml:space="preserve"> с верхним кулачковым </w:t>
      </w:r>
      <w:proofErr w:type="spellStart"/>
      <w:r w:rsidRPr="007122AB">
        <w:rPr>
          <w:rFonts w:ascii="Times New Roman" w:hAnsi="Times New Roman"/>
          <w:color w:val="000000" w:themeColor="text1"/>
          <w:sz w:val="16"/>
          <w:szCs w:val="16"/>
        </w:rPr>
        <w:t>ва</w:t>
      </w:r>
      <w:proofErr w:type="spellEnd"/>
      <w:r w:rsidRPr="007122AB">
        <w:rPr>
          <w:rFonts w:ascii="Times New Roman" w:hAnsi="Times New Roman"/>
          <w:color w:val="000000" w:themeColor="text1"/>
          <w:sz w:val="16"/>
          <w:szCs w:val="16"/>
        </w:rPr>
        <w:t>-лом, непосредственно действую-</w:t>
      </w:r>
      <w:proofErr w:type="spellStart"/>
      <w:r w:rsidRPr="007122AB">
        <w:rPr>
          <w:rFonts w:ascii="Times New Roman" w:hAnsi="Times New Roman"/>
          <w:color w:val="000000" w:themeColor="text1"/>
          <w:sz w:val="16"/>
          <w:szCs w:val="16"/>
        </w:rPr>
        <w:t>щим</w:t>
      </w:r>
      <w:proofErr w:type="spellEnd"/>
      <w:r w:rsidRPr="007122AB">
        <w:rPr>
          <w:rFonts w:ascii="Times New Roman" w:hAnsi="Times New Roman"/>
          <w:color w:val="000000" w:themeColor="text1"/>
          <w:sz w:val="16"/>
          <w:szCs w:val="16"/>
        </w:rPr>
        <w:t xml:space="preserve"> на клапаны. Кузов </w:t>
      </w:r>
      <w:proofErr w:type="spellStart"/>
      <w:r w:rsidRPr="007122AB">
        <w:rPr>
          <w:rFonts w:ascii="Times New Roman" w:hAnsi="Times New Roman"/>
          <w:color w:val="000000" w:themeColor="text1"/>
          <w:sz w:val="16"/>
          <w:szCs w:val="16"/>
        </w:rPr>
        <w:t>рассчи-тан</w:t>
      </w:r>
      <w:proofErr w:type="spellEnd"/>
      <w:r w:rsidRPr="007122AB">
        <w:rPr>
          <w:rFonts w:ascii="Times New Roman" w:hAnsi="Times New Roman"/>
          <w:color w:val="000000" w:themeColor="text1"/>
          <w:sz w:val="16"/>
          <w:szCs w:val="16"/>
        </w:rPr>
        <w:t xml:space="preserve"> на 4 места.</w:t>
      </w:r>
    </w:p>
    <w:p w14:paraId="76206B60"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сожалению, из-за малой мощности завода, отсутствия средств и оборудования, </w:t>
      </w:r>
      <w:proofErr w:type="spellStart"/>
      <w:r w:rsidRPr="007122AB">
        <w:rPr>
          <w:rFonts w:ascii="Times New Roman" w:hAnsi="Times New Roman"/>
          <w:color w:val="000000" w:themeColor="text1"/>
          <w:sz w:val="16"/>
          <w:szCs w:val="16"/>
        </w:rPr>
        <w:t>произ-водство</w:t>
      </w:r>
      <w:proofErr w:type="spellEnd"/>
      <w:r w:rsidRPr="007122AB">
        <w:rPr>
          <w:rFonts w:ascii="Times New Roman" w:hAnsi="Times New Roman"/>
          <w:color w:val="000000" w:themeColor="text1"/>
          <w:sz w:val="16"/>
          <w:szCs w:val="16"/>
        </w:rPr>
        <w:t xml:space="preserve"> грузовиков, мотоциклов и малолитражек так и не было налажено. Мотоциклы малыми сериями 'выпускали в 1931-1933 годах, а затем производство </w:t>
      </w:r>
      <w:proofErr w:type="spellStart"/>
      <w:r w:rsidRPr="007122AB">
        <w:rPr>
          <w:rFonts w:ascii="Times New Roman" w:hAnsi="Times New Roman"/>
          <w:color w:val="000000" w:themeColor="text1"/>
          <w:sz w:val="16"/>
          <w:szCs w:val="16"/>
        </w:rPr>
        <w:t>мо</w:t>
      </w:r>
      <w:proofErr w:type="spellEnd"/>
      <w:r w:rsidRPr="007122AB">
        <w:rPr>
          <w:rFonts w:ascii="Times New Roman" w:hAnsi="Times New Roman"/>
          <w:color w:val="000000" w:themeColor="text1"/>
          <w:sz w:val="16"/>
          <w:szCs w:val="16"/>
        </w:rPr>
        <w:t>-дели "М" было передано в Таганрог (11602).</w:t>
      </w:r>
    </w:p>
    <w:p w14:paraId="54C42FA5" w14:textId="77777777" w:rsidR="005C4849" w:rsidRPr="007122AB" w:rsidRDefault="005C4849" w:rsidP="007122A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4AAD5" w14:textId="77777777" w:rsidR="0019390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1FA5159" w14:textId="77777777" w:rsidR="00193905" w:rsidRPr="007122AB" w:rsidRDefault="0019390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0F7DFF" w14:textId="77777777" w:rsidR="00193905" w:rsidRPr="007122AB" w:rsidRDefault="0019390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7 ноября</w:t>
      </w:r>
      <w:r w:rsidRPr="007122AB">
        <w:rPr>
          <w:rFonts w:ascii="Times New Roman" w:hAnsi="Times New Roman"/>
          <w:color w:val="000000" w:themeColor="text1"/>
          <w:sz w:val="16"/>
          <w:szCs w:val="16"/>
        </w:rPr>
        <w:t xml:space="preserve"> в 1931 году наркомом просвещения Анатолием Васильевичем Луначарским был открыт кинотеатр "Ударник", открытие приурочили к 14-й годовщине Октябрьской революции. Кинотеатр был оснащён самой современной техникой того времени, а его архитектура и знаменитый раздвижной потолок-купол сделали «Ударник» уникальным. Купол разводили всего один раз, в день открытия. Восторженные гости увидели звёздное небо, но потом механизм заклинило и тогда для проветривания зала начали использовать обычные в то время способы кондиционирования. Кинотеатр «Ударник» построен вместе с Домом на набережной по проекту Бориса Михайловича Иофана</w:t>
      </w:r>
    </w:p>
    <w:p w14:paraId="1C61A876" w14:textId="77777777" w:rsidR="00193905" w:rsidRPr="007122AB" w:rsidRDefault="00193905" w:rsidP="007122AB">
      <w:pPr>
        <w:spacing w:after="0" w:line="240" w:lineRule="auto"/>
        <w:jc w:val="both"/>
        <w:rPr>
          <w:rFonts w:ascii="Times New Roman" w:hAnsi="Times New Roman"/>
          <w:color w:val="000000" w:themeColor="text1"/>
          <w:sz w:val="16"/>
          <w:szCs w:val="16"/>
        </w:rPr>
      </w:pPr>
    </w:p>
    <w:p w14:paraId="698874FB"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Открылся звуковой кинотеатр "Ударник" (18724).</w:t>
      </w:r>
    </w:p>
    <w:p w14:paraId="32FCB147" w14:textId="77777777" w:rsidR="00357876" w:rsidRPr="007122AB" w:rsidRDefault="00357876" w:rsidP="007122AB">
      <w:pPr>
        <w:spacing w:after="0" w:line="240" w:lineRule="auto"/>
        <w:jc w:val="both"/>
        <w:rPr>
          <w:rFonts w:ascii="Times New Roman" w:hAnsi="Times New Roman"/>
          <w:color w:val="000000" w:themeColor="text1"/>
          <w:sz w:val="16"/>
          <w:szCs w:val="16"/>
        </w:rPr>
      </w:pPr>
    </w:p>
    <w:p w14:paraId="2329C07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3C88C1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B3FE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в провинции Гуанси китайские коммунисты провозгласили Китайскую советскую республику (3186). Прошел первый Всекитайский съезд советов. Избрал правительство во главе с Мао Цзе-</w:t>
      </w:r>
      <w:proofErr w:type="spellStart"/>
      <w:r w:rsidRPr="007122AB">
        <w:rPr>
          <w:rFonts w:ascii="Times New Roman" w:hAnsi="Times New Roman"/>
          <w:color w:val="000000" w:themeColor="text1"/>
          <w:sz w:val="16"/>
          <w:szCs w:val="16"/>
        </w:rPr>
        <w:t>дуном</w:t>
      </w:r>
      <w:proofErr w:type="spellEnd"/>
      <w:r w:rsidRPr="007122AB">
        <w:rPr>
          <w:rFonts w:ascii="Times New Roman" w:hAnsi="Times New Roman"/>
          <w:color w:val="000000" w:themeColor="text1"/>
          <w:sz w:val="16"/>
          <w:szCs w:val="16"/>
        </w:rPr>
        <w:t>, утвердил проект конституции, проекты законов о земле, о труде, о советском строительстве (3878,3).</w:t>
      </w:r>
    </w:p>
    <w:p w14:paraId="074825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C780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ноября 1931 основано информационное агентство «Красный Китай» (теперь Синьхуа) (4962).</w:t>
      </w:r>
    </w:p>
    <w:p w14:paraId="01A3F9B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AF5D3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497ACE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D0AF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ноября 1931 из ЦАГИ взяли гидравлический отдел - переименован в Гидроэнергетический НИИ (ВИГМ) и передан Энергоцентру (71,243).</w:t>
      </w:r>
    </w:p>
    <w:p w14:paraId="65D9B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8211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ноября 1931 Открылся первый в стране аэровокзал на Центральном аэродроме (274).</w:t>
      </w:r>
    </w:p>
    <w:p w14:paraId="77E0F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481F87" w14:textId="77777777" w:rsidR="00F12FE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2EE47B3" w14:textId="77777777" w:rsidR="00F12FE0" w:rsidRPr="007122AB" w:rsidRDefault="00F12FE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4166B6"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8 ноября</w:t>
      </w:r>
      <w:r w:rsidRPr="007122AB">
        <w:rPr>
          <w:rFonts w:ascii="Times New Roman" w:hAnsi="Times New Roman"/>
          <w:color w:val="000000" w:themeColor="text1"/>
          <w:sz w:val="16"/>
          <w:szCs w:val="16"/>
        </w:rPr>
        <w:t xml:space="preserve"> в 1931 году было основано на Урале радиопредприятие - Егоршинский радиозавод. Ныне ОАО "ЕРЗ" (Свердловская область). В том же году заводом была выпущена первая радиопередвижка. За годы Великой отечественной войны переговорными устройствами производства Егоршинского радиозавода были оснащены сто две тысячи танков. В послевоенные годы радиозавод освоил выпуск средств радиосвязи КВ и УКВ диапазонов, завоевавших многочисленные премии на различных выставках, включая и всемирные. В настоящее время предприятие выпускает разнообразную продукцию военного и гражданского назначения. ОАО «Егоршинский радиозавод» производит и осуществляет поставки различной промышленной электроники для Министерства путей сообщения, предприятий транспорта и топливно- энергетического комплекса. В 2001 году завод освоил выпуск узлов, используемых в производстве холодильников. С 2002 г. нашим предприятием осуществляются поставки комплектующих для акционерного общества «АвтоВАЗ». Открытое акционерное общество «Егоршинский радиозавод» является предприятием, занимающим устойчивое лидирующее положение на российском рынке профессиональных средств радиосвязи. Радиостанции производства нашего предприятия находятся в эксплуатации практически во всех регионах Российской Федерации и стран СНГ. Более двух тысяч радиостанций производства ОАО «Егоршинский радиозавод» было экспортировано в страны Европы, Азии, Африки, Латинской Америки (14824).</w:t>
      </w:r>
    </w:p>
    <w:p w14:paraId="2A0E0EF0"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785FD737" w14:textId="77777777" w:rsidR="00513C1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FD04481" w14:textId="77777777" w:rsidR="00513C11" w:rsidRPr="007122AB" w:rsidRDefault="00513C1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FF211D" w14:textId="77777777" w:rsidR="00996191" w:rsidRPr="007122AB" w:rsidRDefault="009961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9 ноября 1931 вышло решение КО (№ 878/ко от 9.11.1931 г.) - О порядке постройки нового образца танка типа Гроте (21563).</w:t>
      </w:r>
    </w:p>
    <w:p w14:paraId="58A654C3" w14:textId="77777777" w:rsidR="00996191" w:rsidRPr="007122AB" w:rsidRDefault="00996191" w:rsidP="007122AB">
      <w:pPr>
        <w:spacing w:after="0" w:line="240" w:lineRule="auto"/>
        <w:jc w:val="both"/>
        <w:rPr>
          <w:rFonts w:ascii="Times New Roman" w:hAnsi="Times New Roman"/>
          <w:color w:val="000000" w:themeColor="text1"/>
          <w:sz w:val="16"/>
          <w:szCs w:val="16"/>
        </w:rPr>
      </w:pPr>
    </w:p>
    <w:p w14:paraId="43E0D584"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9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СНК СССР № 230н/о </w:t>
      </w:r>
      <w:proofErr w:type="spellStart"/>
      <w:r w:rsidRPr="007122AB">
        <w:rPr>
          <w:rFonts w:ascii="Times New Roman" w:hAnsi="Times New Roman"/>
          <w:color w:val="000000" w:themeColor="text1"/>
          <w:sz w:val="16"/>
          <w:szCs w:val="16"/>
          <w:u w:color="002060"/>
        </w:rPr>
        <w:t>о</w:t>
      </w:r>
      <w:proofErr w:type="spellEnd"/>
      <w:r w:rsidRPr="007122AB">
        <w:rPr>
          <w:rFonts w:ascii="Times New Roman" w:hAnsi="Times New Roman"/>
          <w:color w:val="000000" w:themeColor="text1"/>
          <w:sz w:val="16"/>
          <w:szCs w:val="16"/>
          <w:u w:color="002060"/>
        </w:rPr>
        <w:t xml:space="preserve"> продовольственном и промтоварном снабжении </w:t>
      </w:r>
      <w:proofErr w:type="spellStart"/>
      <w:r w:rsidRPr="007122AB">
        <w:rPr>
          <w:rFonts w:ascii="Times New Roman" w:hAnsi="Times New Roman"/>
          <w:color w:val="000000" w:themeColor="text1"/>
          <w:sz w:val="16"/>
          <w:szCs w:val="16"/>
          <w:u w:color="002060"/>
        </w:rPr>
        <w:t>мобработников</w:t>
      </w:r>
      <w:proofErr w:type="spellEnd"/>
      <w:r w:rsidRPr="007122AB">
        <w:rPr>
          <w:rFonts w:ascii="Times New Roman" w:hAnsi="Times New Roman"/>
          <w:color w:val="000000" w:themeColor="text1"/>
          <w:sz w:val="16"/>
          <w:szCs w:val="16"/>
          <w:u w:color="002060"/>
        </w:rPr>
        <w:t xml:space="preserve"> (ГА РФ. Ф. Р?8418. Оп. 28. Д. 14а. Л. 75?76) (12415).</w:t>
      </w:r>
    </w:p>
    <w:p w14:paraId="236BFBD3"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Постановление СТО СССР № 229сс о выполнении заказов НКВМ по 1931 г. (ГА РФ. Ф. Р?8418. Оп. 28. Д. 1а. Л. 78?84) (12415).</w:t>
      </w:r>
    </w:p>
    <w:p w14:paraId="00A8A373"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p>
    <w:p w14:paraId="6093256D"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80FBEB6"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141193"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ноября 1932 г. новый начальник 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 Адам, который сменил в 1930 г. генерал-полковника </w:t>
      </w:r>
      <w:proofErr w:type="spellStart"/>
      <w:r w:rsidRPr="007122AB">
        <w:rPr>
          <w:rFonts w:ascii="Times New Roman" w:hAnsi="Times New Roman"/>
          <w:color w:val="000000" w:themeColor="text1"/>
          <w:sz w:val="16"/>
          <w:szCs w:val="16"/>
        </w:rPr>
        <w:t>Хаммерштайна</w:t>
      </w:r>
      <w:proofErr w:type="spellEnd"/>
      <w:r w:rsidRPr="007122AB">
        <w:rPr>
          <w:rFonts w:ascii="Times New Roman" w:hAnsi="Times New Roman"/>
          <w:color w:val="000000" w:themeColor="text1"/>
          <w:sz w:val="16"/>
          <w:szCs w:val="16"/>
        </w:rPr>
        <w:t xml:space="preserve"> вел переговоры с высшим военным руководством СССР. В связи с начавшимися к тому времени переговорами СССР с Францией и предполагавшимися переговорами с Польшей, а также предстоявшей Всеобщей конференцией по разоружению в Женеве в начале 1932 г. стороны много внимания уделили этим международным проблемам. Немцы были обеспокоены франко-советскими переговорами и тем фактом, что переговоры между СССР и Польшей начнутся «под давлением Франции».</w:t>
      </w:r>
    </w:p>
    <w:p w14:paraId="1FF31CDB"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армии было бы очень неприятно, если бы при этих переговорах с Польшей были бы подтверждены наши существующие границы, которые мы не можем признать за Польшей», — заявил Ворошилову Адам.</w:t>
      </w:r>
    </w:p>
    <w:p w14:paraId="4CA6B8FA"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Ворошилов принялся уверять немецкого генерала в советско-германской дружбе. Он говорил, что «в переговорах с Францией нет и не может быть ничего, направленного против Германии», что если с Польшей будут вестись переговоры по пакту о ненападении, то, во всяком случае, дальше этого, мол, дело не пойдет, и «разговоров о границах и вообще о Германии» с поляками не будет. В немецкой записи беседы, пересланной затем </w:t>
      </w:r>
      <w:proofErr w:type="spellStart"/>
      <w:r w:rsidRPr="007122AB">
        <w:rPr>
          <w:rFonts w:ascii="Times New Roman" w:hAnsi="Times New Roman"/>
          <w:color w:val="000000" w:themeColor="text1"/>
          <w:sz w:val="16"/>
          <w:szCs w:val="16"/>
        </w:rPr>
        <w:t>Дирксеном</w:t>
      </w:r>
      <w:proofErr w:type="spellEnd"/>
      <w:r w:rsidRPr="007122AB">
        <w:rPr>
          <w:rFonts w:ascii="Times New Roman" w:hAnsi="Times New Roman"/>
          <w:color w:val="000000" w:themeColor="text1"/>
          <w:sz w:val="16"/>
          <w:szCs w:val="16"/>
        </w:rPr>
        <w:t xml:space="preserve"> в германский МИД, констатируется, что, «по словам Ворошилова, переговоры с Польшей о заключении пакта о ненападении ведутся уже давно» (18265).</w:t>
      </w:r>
    </w:p>
    <w:p w14:paraId="33132A3C" w14:textId="77777777" w:rsidR="00357876" w:rsidRPr="007122AB" w:rsidRDefault="00357876" w:rsidP="007122AB">
      <w:pPr>
        <w:spacing w:after="0" w:line="240" w:lineRule="auto"/>
        <w:jc w:val="both"/>
        <w:rPr>
          <w:rFonts w:ascii="Times New Roman" w:hAnsi="Times New Roman"/>
          <w:color w:val="000000" w:themeColor="text1"/>
          <w:sz w:val="16"/>
          <w:szCs w:val="16"/>
        </w:rPr>
      </w:pPr>
    </w:p>
    <w:p w14:paraId="01480A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3C1EE4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1DEA32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ноября 1931 года начальник Авто-танко-тракторного бюро эконо</w:t>
      </w:r>
      <w:r w:rsidRPr="007122AB">
        <w:rPr>
          <w:rFonts w:ascii="Times New Roman" w:hAnsi="Times New Roman"/>
          <w:color w:val="000000" w:themeColor="text1"/>
          <w:sz w:val="16"/>
          <w:szCs w:val="16"/>
        </w:rPr>
        <w:softHyphen/>
        <w:t xml:space="preserve">мического управления (АТТБ ЭКУ) ОГПУ </w:t>
      </w:r>
      <w:proofErr w:type="spellStart"/>
      <w:r w:rsidRPr="007122AB">
        <w:rPr>
          <w:rFonts w:ascii="Times New Roman" w:hAnsi="Times New Roman"/>
          <w:color w:val="000000" w:themeColor="text1"/>
          <w:sz w:val="16"/>
          <w:szCs w:val="16"/>
        </w:rPr>
        <w:t>Вунштейн</w:t>
      </w:r>
      <w:proofErr w:type="spellEnd"/>
      <w:r w:rsidRPr="007122AB">
        <w:rPr>
          <w:rFonts w:ascii="Times New Roman" w:hAnsi="Times New Roman"/>
          <w:color w:val="000000" w:themeColor="text1"/>
          <w:sz w:val="16"/>
          <w:szCs w:val="16"/>
        </w:rPr>
        <w:t xml:space="preserve"> на</w:t>
      </w:r>
      <w:r w:rsidRPr="007122AB">
        <w:rPr>
          <w:rFonts w:ascii="Times New Roman" w:hAnsi="Times New Roman"/>
          <w:color w:val="000000" w:themeColor="text1"/>
          <w:sz w:val="16"/>
          <w:szCs w:val="16"/>
        </w:rPr>
        <w:softHyphen/>
        <w:t>правил в УММ РККА два эскизных проекта бронеавтомобиля под обозначением «ФВВ». Проекты представляли со</w:t>
      </w:r>
      <w:r w:rsidRPr="007122AB">
        <w:rPr>
          <w:rFonts w:ascii="Times New Roman" w:hAnsi="Times New Roman"/>
          <w:color w:val="000000" w:themeColor="text1"/>
          <w:sz w:val="16"/>
          <w:szCs w:val="16"/>
        </w:rPr>
        <w:softHyphen/>
        <w:t>бой броневики на шасси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со следующими характеристиками:</w:t>
      </w:r>
    </w:p>
    <w:p w14:paraId="552635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обеих вариантах следующая толщина брони:</w:t>
      </w:r>
    </w:p>
    <w:p w14:paraId="35EDFE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радиатор спереди — 7 мм,</w:t>
      </w:r>
    </w:p>
    <w:p w14:paraId="0651744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с боков — 6 мм,</w:t>
      </w:r>
    </w:p>
    <w:p w14:paraId="7DE640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бок корпуса - 7 мм,</w:t>
      </w:r>
    </w:p>
    <w:p w14:paraId="05577C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лист перед водителем и башня — 7 мм,</w:t>
      </w:r>
    </w:p>
    <w:p w14:paraId="084A781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крыша — 4 мм,</w:t>
      </w:r>
    </w:p>
    <w:p w14:paraId="2BEECE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задняя стенка - 5 мм.</w:t>
      </w:r>
    </w:p>
    <w:p w14:paraId="03692F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первого варианта - 37-мм пушка образца 1930 года и 7,62-мм пулемет ДТУ в башне, 1 ДТУ в перед</w:t>
      </w:r>
      <w:r w:rsidRPr="007122AB">
        <w:rPr>
          <w:rFonts w:ascii="Times New Roman" w:hAnsi="Times New Roman"/>
          <w:color w:val="000000" w:themeColor="text1"/>
          <w:sz w:val="16"/>
          <w:szCs w:val="16"/>
        </w:rPr>
        <w:softHyphen/>
        <w:t>нем листе корпуса (угол снижения 6-8 градусов), 1 ДТУ для зенитной стрельбы впереди башни на специальном вра</w:t>
      </w:r>
      <w:r w:rsidRPr="007122AB">
        <w:rPr>
          <w:rFonts w:ascii="Times New Roman" w:hAnsi="Times New Roman"/>
          <w:color w:val="000000" w:themeColor="text1"/>
          <w:sz w:val="16"/>
          <w:szCs w:val="16"/>
        </w:rPr>
        <w:softHyphen/>
        <w:t>щающемся круге.</w:t>
      </w:r>
    </w:p>
    <w:p w14:paraId="75616AA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Второй вариант - все то же самое, только вместо зенит</w:t>
      </w:r>
      <w:r w:rsidRPr="007122AB">
        <w:rPr>
          <w:rFonts w:ascii="Times New Roman" w:hAnsi="Times New Roman"/>
          <w:color w:val="000000" w:themeColor="text1"/>
          <w:sz w:val="16"/>
          <w:szCs w:val="16"/>
        </w:rPr>
        <w:softHyphen/>
        <w:t>ного ДТУ установлена спарка авиационных пулеметов ДА.</w:t>
      </w:r>
    </w:p>
    <w:p w14:paraId="354629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Боекомплект обоих вариантов состоит из 5985 патро</w:t>
      </w:r>
      <w:r w:rsidRPr="007122AB">
        <w:rPr>
          <w:rFonts w:ascii="Times New Roman" w:hAnsi="Times New Roman"/>
          <w:color w:val="000000" w:themeColor="text1"/>
          <w:sz w:val="16"/>
          <w:szCs w:val="16"/>
        </w:rPr>
        <w:softHyphen/>
        <w:t>нов, 80 снарядов, экипаж 3 человека, запас горючего 70 ли</w:t>
      </w:r>
      <w:r w:rsidRPr="007122AB">
        <w:rPr>
          <w:rFonts w:ascii="Times New Roman" w:hAnsi="Times New Roman"/>
          <w:color w:val="000000" w:themeColor="text1"/>
          <w:sz w:val="16"/>
          <w:szCs w:val="16"/>
        </w:rPr>
        <w:softHyphen/>
        <w:t>тров, приблизительный вес 4210 — 4237 кг» (11284).</w:t>
      </w:r>
    </w:p>
    <w:p w14:paraId="5FBF0E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E03F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1DB7D6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662A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ноября 1931 г. и заместитель Ворошилова Тухачевский (РГВА, ф. 33987, оп. 3, д. 375, л. 22-40,162-163.) разговаривал с Адамом об отсутствии в Липецке современной техники. 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w:t>
      </w:r>
      <w:proofErr w:type="spellStart"/>
      <w:r w:rsidRPr="007122AB">
        <w:rPr>
          <w:rFonts w:ascii="Times New Roman" w:hAnsi="Times New Roman"/>
          <w:color w:val="000000" w:themeColor="text1"/>
          <w:sz w:val="16"/>
          <w:szCs w:val="16"/>
        </w:rPr>
        <w:t>Грелер</w:t>
      </w:r>
      <w:proofErr w:type="spellEnd"/>
      <w:r w:rsidRPr="007122AB">
        <w:rPr>
          <w:rFonts w:ascii="Times New Roman" w:hAnsi="Times New Roman"/>
          <w:color w:val="000000" w:themeColor="text1"/>
          <w:sz w:val="16"/>
          <w:szCs w:val="16"/>
        </w:rPr>
        <w:t xml:space="preserve"> считает, что в Липецке прошли испытания следующие типы самолетов: Хе-45, Хе-46, Хе-51, «</w:t>
      </w:r>
      <w:proofErr w:type="spellStart"/>
      <w:r w:rsidRPr="007122AB">
        <w:rPr>
          <w:rFonts w:ascii="Times New Roman" w:hAnsi="Times New Roman"/>
          <w:color w:val="000000" w:themeColor="text1"/>
          <w:sz w:val="16"/>
          <w:szCs w:val="16"/>
        </w:rPr>
        <w:t>Арадо</w:t>
      </w:r>
      <w:proofErr w:type="spellEnd"/>
      <w:r w:rsidRPr="007122AB">
        <w:rPr>
          <w:rFonts w:ascii="Times New Roman" w:hAnsi="Times New Roman"/>
          <w:color w:val="000000" w:themeColor="text1"/>
          <w:sz w:val="16"/>
          <w:szCs w:val="16"/>
        </w:rPr>
        <w:t xml:space="preserve"> 64-65», «Юнкере К-47», До-11 (</w:t>
      </w:r>
      <w:proofErr w:type="spellStart"/>
      <w:r w:rsidRPr="007122AB">
        <w:rPr>
          <w:rFonts w:ascii="Times New Roman" w:hAnsi="Times New Roman"/>
          <w:color w:val="000000" w:themeColor="text1"/>
          <w:sz w:val="16"/>
          <w:szCs w:val="16"/>
        </w:rPr>
        <w:t>Groehler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Olaf</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xml:space="preserve">. S. 45.). По-настоящему интерес к научно-техническому опыту и испытательным работам немцев в Липецке у советской стороны проснулся где-то на рубеже 1927 — 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летчики испытывали немецкие самолеты в воздухе. Советская сторона в 1930 — 1932гг. также устраивала показ своей авиационной техники и вооружений (например, авиационный пулемет Дегтярева в июле 1930 г. ), но лишь в сентябре 1931 г. в Тушине под Москвой была устроена широкая демонстрация советской авиатехники. Правда, по мнению немецких участников (Ф. </w:t>
      </w:r>
      <w:proofErr w:type="spellStart"/>
      <w:r w:rsidRPr="007122AB">
        <w:rPr>
          <w:rFonts w:ascii="Times New Roman" w:hAnsi="Times New Roman"/>
          <w:color w:val="000000" w:themeColor="text1"/>
          <w:sz w:val="16"/>
          <w:szCs w:val="16"/>
        </w:rPr>
        <w:t>Фельми</w:t>
      </w:r>
      <w:proofErr w:type="spellEnd"/>
      <w:r w:rsidRPr="007122AB">
        <w:rPr>
          <w:rFonts w:ascii="Times New Roman" w:hAnsi="Times New Roman"/>
          <w:color w:val="000000" w:themeColor="text1"/>
          <w:sz w:val="16"/>
          <w:szCs w:val="16"/>
        </w:rPr>
        <w:t xml:space="preserve">, Х. </w:t>
      </w:r>
      <w:proofErr w:type="spellStart"/>
      <w:r w:rsidRPr="007122AB">
        <w:rPr>
          <w:rFonts w:ascii="Times New Roman" w:hAnsi="Times New Roman"/>
          <w:color w:val="000000" w:themeColor="text1"/>
          <w:sz w:val="16"/>
          <w:szCs w:val="16"/>
        </w:rPr>
        <w:t>Шпайдель</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Друм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Виммер</w:t>
      </w:r>
      <w:proofErr w:type="spellEnd"/>
      <w:r w:rsidRPr="007122AB">
        <w:rPr>
          <w:rFonts w:ascii="Times New Roman" w:hAnsi="Times New Roman"/>
          <w:color w:val="000000" w:themeColor="text1"/>
          <w:sz w:val="16"/>
          <w:szCs w:val="16"/>
        </w:rPr>
        <w:t xml:space="preserve">),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w:t>
      </w:r>
      <w:proofErr w:type="spellStart"/>
      <w:r w:rsidRPr="007122AB">
        <w:rPr>
          <w:rFonts w:ascii="Times New Roman" w:hAnsi="Times New Roman"/>
          <w:color w:val="000000" w:themeColor="text1"/>
          <w:sz w:val="16"/>
          <w:szCs w:val="16"/>
        </w:rPr>
        <w:t>Фельми</w:t>
      </w:r>
      <w:proofErr w:type="spellEnd"/>
      <w:r w:rsidRPr="007122AB">
        <w:rPr>
          <w:rFonts w:ascii="Times New Roman" w:hAnsi="Times New Roman"/>
          <w:color w:val="000000" w:themeColor="text1"/>
          <w:sz w:val="16"/>
          <w:szCs w:val="16"/>
        </w:rPr>
        <w:t xml:space="preserve">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w:t>
      </w:r>
      <w:proofErr w:type="spellStart"/>
      <w:r w:rsidRPr="007122AB">
        <w:rPr>
          <w:rFonts w:ascii="Times New Roman" w:hAnsi="Times New Roman"/>
          <w:color w:val="000000" w:themeColor="text1"/>
          <w:sz w:val="16"/>
          <w:szCs w:val="16"/>
        </w:rPr>
        <w:t>Шпайделя</w:t>
      </w:r>
      <w:proofErr w:type="spellEnd"/>
      <w:r w:rsidRPr="007122AB">
        <w:rPr>
          <w:rFonts w:ascii="Times New Roman" w:hAnsi="Times New Roman"/>
          <w:color w:val="000000" w:themeColor="text1"/>
          <w:sz w:val="16"/>
          <w:szCs w:val="16"/>
        </w:rPr>
        <w:t>, к 1933 г. благодаря Липецку было подготовлено около 450 немецких летчиков различной квалификации (</w:t>
      </w:r>
      <w:proofErr w:type="spellStart"/>
      <w:r w:rsidRPr="007122AB">
        <w:rPr>
          <w:rFonts w:ascii="Times New Roman" w:hAnsi="Times New Roman"/>
          <w:color w:val="000000" w:themeColor="text1"/>
          <w:sz w:val="16"/>
          <w:szCs w:val="16"/>
        </w:rPr>
        <w:t>Helm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Speidel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xml:space="preserve">. S. 29, 30, 44; </w:t>
      </w:r>
      <w:proofErr w:type="spellStart"/>
      <w:r w:rsidRPr="007122AB">
        <w:rPr>
          <w:rFonts w:ascii="Times New Roman" w:hAnsi="Times New Roman"/>
          <w:color w:val="000000" w:themeColor="text1"/>
          <w:sz w:val="16"/>
          <w:szCs w:val="16"/>
        </w:rPr>
        <w:t>Manfred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Zeidler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cit.с</w:t>
      </w:r>
      <w:proofErr w:type="spellEnd"/>
      <w:r w:rsidRPr="007122AB">
        <w:rPr>
          <w:rFonts w:ascii="Times New Roman" w:hAnsi="Times New Roman"/>
          <w:color w:val="000000" w:themeColor="text1"/>
          <w:sz w:val="16"/>
          <w:szCs w:val="16"/>
        </w:rPr>
        <w:t xml:space="preserve">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w:t>
      </w:r>
      <w:proofErr w:type="spellStart"/>
      <w:r w:rsidRPr="007122AB">
        <w:rPr>
          <w:rFonts w:ascii="Times New Roman" w:hAnsi="Times New Roman"/>
          <w:color w:val="000000" w:themeColor="text1"/>
          <w:sz w:val="16"/>
          <w:szCs w:val="16"/>
        </w:rPr>
        <w:t>Шпайдель</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Штудент</w:t>
      </w:r>
      <w:proofErr w:type="spellEnd"/>
      <w:r w:rsidRPr="007122AB">
        <w:rPr>
          <w:rFonts w:ascii="Times New Roman" w:hAnsi="Times New Roman"/>
          <w:color w:val="000000" w:themeColor="text1"/>
          <w:sz w:val="16"/>
          <w:szCs w:val="16"/>
        </w:rPr>
        <w:t xml:space="preserve">, X. </w:t>
      </w:r>
      <w:proofErr w:type="spellStart"/>
      <w:r w:rsidRPr="007122AB">
        <w:rPr>
          <w:rFonts w:ascii="Times New Roman" w:hAnsi="Times New Roman"/>
          <w:color w:val="000000" w:themeColor="text1"/>
          <w:sz w:val="16"/>
          <w:szCs w:val="16"/>
        </w:rPr>
        <w:t>Ешонек</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Виммер</w:t>
      </w:r>
      <w:proofErr w:type="spellEnd"/>
      <w:r w:rsidRPr="007122AB">
        <w:rPr>
          <w:rFonts w:ascii="Times New Roman" w:hAnsi="Times New Roman"/>
          <w:color w:val="000000" w:themeColor="text1"/>
          <w:sz w:val="16"/>
          <w:szCs w:val="16"/>
        </w:rPr>
        <w:t xml:space="preserve">, Э. </w:t>
      </w:r>
      <w:proofErr w:type="spellStart"/>
      <w:r w:rsidRPr="007122AB">
        <w:rPr>
          <w:rFonts w:ascii="Times New Roman" w:hAnsi="Times New Roman"/>
          <w:color w:val="000000" w:themeColor="text1"/>
          <w:sz w:val="16"/>
          <w:szCs w:val="16"/>
        </w:rPr>
        <w:t>Кваде</w:t>
      </w:r>
      <w:proofErr w:type="spellEnd"/>
      <w:r w:rsidRPr="007122AB">
        <w:rPr>
          <w:rFonts w:ascii="Times New Roman" w:hAnsi="Times New Roman"/>
          <w:color w:val="000000" w:themeColor="text1"/>
          <w:sz w:val="16"/>
          <w:szCs w:val="16"/>
        </w:rPr>
        <w:t xml:space="preserve">, Г. </w:t>
      </w:r>
      <w:proofErr w:type="spellStart"/>
      <w:r w:rsidRPr="007122AB">
        <w:rPr>
          <w:rFonts w:ascii="Times New Roman" w:hAnsi="Times New Roman"/>
          <w:color w:val="000000" w:themeColor="text1"/>
          <w:sz w:val="16"/>
          <w:szCs w:val="16"/>
        </w:rPr>
        <w:t>Кастнер</w:t>
      </w:r>
      <w:proofErr w:type="spellEnd"/>
      <w:r w:rsidRPr="007122AB">
        <w:rPr>
          <w:rFonts w:ascii="Times New Roman" w:hAnsi="Times New Roman"/>
          <w:color w:val="000000" w:themeColor="text1"/>
          <w:sz w:val="16"/>
          <w:szCs w:val="16"/>
        </w:rPr>
        <w:t xml:space="preserve">, О. </w:t>
      </w:r>
      <w:proofErr w:type="spellStart"/>
      <w:r w:rsidRPr="007122AB">
        <w:rPr>
          <w:rFonts w:ascii="Times New Roman" w:hAnsi="Times New Roman"/>
          <w:color w:val="000000" w:themeColor="text1"/>
          <w:sz w:val="16"/>
          <w:szCs w:val="16"/>
        </w:rPr>
        <w:t>Деслох</w:t>
      </w:r>
      <w:proofErr w:type="spellEnd"/>
      <w:r w:rsidRPr="007122AB">
        <w:rPr>
          <w:rFonts w:ascii="Times New Roman" w:hAnsi="Times New Roman"/>
          <w:color w:val="000000" w:themeColor="text1"/>
          <w:sz w:val="16"/>
          <w:szCs w:val="16"/>
        </w:rPr>
        <w:t xml:space="preserve"> и др. (11784).</w:t>
      </w:r>
    </w:p>
    <w:p w14:paraId="667BA9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3024B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EFCE7A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50D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ноября 1931 года на аэродроме Монино была проведена стрельба на земле с самолет И-12 с двумя пушками ДРП. Всего было сделано 8 выстрелов. Повреждений как артсистемы, так и самого самолета после стрельбы не было. При перелете на Октябрьский аэродром самолет вновь подломал костыли (7416, 58-59).</w:t>
      </w:r>
    </w:p>
    <w:p w14:paraId="22C824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2EB8F7" w14:textId="77777777" w:rsidR="00357876" w:rsidRPr="007122AB" w:rsidRDefault="00357876" w:rsidP="007122AB">
      <w:pPr>
        <w:pStyle w:val="rtejustify"/>
        <w:shd w:val="clear" w:color="auto" w:fill="FFFFFF"/>
        <w:spacing w:before="0" w:after="0"/>
        <w:rPr>
          <w:color w:val="000000" w:themeColor="text1"/>
          <w:sz w:val="16"/>
          <w:szCs w:val="16"/>
        </w:rPr>
      </w:pPr>
      <w:r w:rsidRPr="007122AB">
        <w:rPr>
          <w:color w:val="000000" w:themeColor="text1"/>
          <w:sz w:val="16"/>
          <w:szCs w:val="16"/>
        </w:rPr>
        <w:t xml:space="preserve">11 ноября 1931 на </w:t>
      </w:r>
      <w:proofErr w:type="spellStart"/>
      <w:r w:rsidRPr="007122AB">
        <w:rPr>
          <w:color w:val="000000" w:themeColor="text1"/>
          <w:sz w:val="16"/>
          <w:szCs w:val="16"/>
        </w:rPr>
        <w:t>Монинском</w:t>
      </w:r>
      <w:proofErr w:type="spellEnd"/>
      <w:r w:rsidRPr="007122AB">
        <w:rPr>
          <w:color w:val="000000" w:themeColor="text1"/>
          <w:sz w:val="16"/>
          <w:szCs w:val="16"/>
        </w:rPr>
        <w:t xml:space="preserve"> аэродроме выполнили наземные стрельбы из ДРП на И-12. Восемь выстрелов никаких повреждений самолету и артсистеме не принесли. Однако при перелете на Центральный аэродром, при посадке были сломаны костыли. Самолет нуждался в ремонте, к которому приступили лишь во второй половине января 1932 года (19172).</w:t>
      </w:r>
    </w:p>
    <w:p w14:paraId="627ADF14" w14:textId="77777777" w:rsidR="00357876" w:rsidRPr="007122AB" w:rsidRDefault="00357876" w:rsidP="007122AB">
      <w:pPr>
        <w:pStyle w:val="rtejustify"/>
        <w:shd w:val="clear" w:color="auto" w:fill="FFFFFF"/>
        <w:spacing w:before="0" w:after="0"/>
        <w:rPr>
          <w:color w:val="000000" w:themeColor="text1"/>
          <w:sz w:val="16"/>
          <w:szCs w:val="16"/>
        </w:rPr>
      </w:pPr>
    </w:p>
    <w:p w14:paraId="1ECCEC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ноября 1931 состоялись первые наземные стрельбы И-12 (АНТ-23) на аэродроме НИИ ВВС. Отстрелялись успешно, но при возвращении в Москву подломили костыли. Чинили 3 месяца. Вообще эта машина совершила первый полет еще 29 августа 1931, но ее пришлось доделывать и переделывать до осени. </w:t>
      </w:r>
      <w:proofErr w:type="spellStart"/>
      <w:r w:rsidRPr="007122AB">
        <w:rPr>
          <w:rFonts w:ascii="Times New Roman" w:hAnsi="Times New Roman"/>
          <w:color w:val="000000" w:themeColor="text1"/>
          <w:sz w:val="16"/>
          <w:szCs w:val="16"/>
        </w:rPr>
        <w:t>Двухкилевое</w:t>
      </w:r>
      <w:proofErr w:type="spellEnd"/>
      <w:r w:rsidRPr="007122AB">
        <w:rPr>
          <w:rFonts w:ascii="Times New Roman" w:hAnsi="Times New Roman"/>
          <w:color w:val="000000" w:themeColor="text1"/>
          <w:sz w:val="16"/>
          <w:szCs w:val="16"/>
        </w:rPr>
        <w:t xml:space="preserve"> оперение заменили на однокилевое. Меняли капотирование переднего двигателя (2693,14).</w:t>
      </w:r>
    </w:p>
    <w:p w14:paraId="368BE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2ED1AD"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ноября 1931 на </w:t>
      </w:r>
      <w:proofErr w:type="spellStart"/>
      <w:r w:rsidRPr="007122AB">
        <w:rPr>
          <w:rFonts w:ascii="Times New Roman" w:hAnsi="Times New Roman"/>
          <w:color w:val="000000" w:themeColor="text1"/>
          <w:sz w:val="16"/>
          <w:szCs w:val="16"/>
        </w:rPr>
        <w:t>Монинском</w:t>
      </w:r>
      <w:proofErr w:type="spellEnd"/>
      <w:r w:rsidRPr="007122AB">
        <w:rPr>
          <w:rFonts w:ascii="Times New Roman" w:hAnsi="Times New Roman"/>
          <w:color w:val="000000" w:themeColor="text1"/>
          <w:sz w:val="16"/>
          <w:szCs w:val="16"/>
        </w:rPr>
        <w:t xml:space="preserve"> аэродроме с И-12 выполнили наземные стрельбы. Восемь выстре</w:t>
      </w:r>
      <w:r w:rsidRPr="007122AB">
        <w:rPr>
          <w:rFonts w:ascii="Times New Roman" w:hAnsi="Times New Roman"/>
          <w:color w:val="000000" w:themeColor="text1"/>
          <w:sz w:val="16"/>
          <w:szCs w:val="16"/>
        </w:rPr>
        <w:softHyphen/>
        <w:t>лов никаких повреждений самолёту и артсистеме не принесли. Однако при перелете на Центральный аэродром, при посадке были сломаны костыли. Самолёт нуждался в ре</w:t>
      </w:r>
      <w:r w:rsidRPr="007122AB">
        <w:rPr>
          <w:rFonts w:ascii="Times New Roman" w:hAnsi="Times New Roman"/>
          <w:color w:val="000000" w:themeColor="text1"/>
          <w:sz w:val="16"/>
          <w:szCs w:val="16"/>
        </w:rPr>
        <w:softHyphen/>
        <w:t>монте, к которому приступили лишь во второй половине января 1932 г. (15823).</w:t>
      </w:r>
    </w:p>
    <w:p w14:paraId="6C2EAB84"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5576E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11 ноября 1931 г. на аэродроме НИИ ВВС состоялись первые наземные стрельбы И-12 с АПК-5. 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4D7D7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DC5170" w14:textId="77777777" w:rsidR="00996191" w:rsidRPr="007122AB" w:rsidRDefault="009961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ноября 1931 г. на аэродроме Монино был проведен первый наземный отстрел пушек АПК-4 на И-12 (АНТ-23) – было сделано 8 выстрелов без повреждений самолета и пушек.   При перелете на аэродром Октябрьский самолет сломал костыли шасси (видимо, уже не в первый раз).   08.02.32 г. летчик Козлов перегнал самолет на аэродром Монино, где в тот же день был проведен повторный отстрел пушек на земле – сделано 26 выстрелов. Были отказы </w:t>
      </w:r>
      <w:proofErr w:type="spellStart"/>
      <w:r w:rsidRPr="007122AB">
        <w:rPr>
          <w:rFonts w:ascii="Times New Roman" w:hAnsi="Times New Roman"/>
          <w:color w:val="000000" w:themeColor="text1"/>
          <w:sz w:val="16"/>
          <w:szCs w:val="16"/>
        </w:rPr>
        <w:t>пневмомеханизма</w:t>
      </w:r>
      <w:proofErr w:type="spellEnd"/>
      <w:r w:rsidRPr="007122AB">
        <w:rPr>
          <w:rFonts w:ascii="Times New Roman" w:hAnsi="Times New Roman"/>
          <w:color w:val="000000" w:themeColor="text1"/>
          <w:sz w:val="16"/>
          <w:szCs w:val="16"/>
        </w:rPr>
        <w:t xml:space="preserve"> полуавтоматического перезаряжания пушек (неподача снаряда из магазина в ствол – задержка выстрела устранялась повторной перезарядкой) и на этот раз были повреждения –деформация обшивки и нервюр стабилизатора (23136).</w:t>
      </w:r>
    </w:p>
    <w:p w14:paraId="6B2D173E" w14:textId="77777777" w:rsidR="00996191" w:rsidRPr="007122AB" w:rsidRDefault="00996191" w:rsidP="007122AB">
      <w:pPr>
        <w:spacing w:after="0" w:line="240" w:lineRule="auto"/>
        <w:jc w:val="both"/>
        <w:rPr>
          <w:rFonts w:ascii="Times New Roman" w:hAnsi="Times New Roman"/>
          <w:color w:val="000000" w:themeColor="text1"/>
          <w:sz w:val="16"/>
          <w:szCs w:val="16"/>
        </w:rPr>
      </w:pPr>
    </w:p>
    <w:p w14:paraId="3754334C"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11 ноября 1931 г. на </w:t>
      </w:r>
      <w:proofErr w:type="spellStart"/>
      <w:r w:rsidRPr="00441F34">
        <w:rPr>
          <w:rFonts w:ascii="Times New Roman" w:hAnsi="Times New Roman"/>
          <w:color w:val="0070C0"/>
          <w:sz w:val="16"/>
          <w:szCs w:val="16"/>
        </w:rPr>
        <w:t>монинском</w:t>
      </w:r>
      <w:proofErr w:type="spellEnd"/>
      <w:r w:rsidRPr="00441F34">
        <w:rPr>
          <w:rFonts w:ascii="Times New Roman" w:hAnsi="Times New Roman"/>
          <w:color w:val="0070C0"/>
          <w:sz w:val="16"/>
          <w:szCs w:val="16"/>
        </w:rPr>
        <w:t xml:space="preserve"> полигоне на земле опробо</w:t>
      </w:r>
      <w:r w:rsidRPr="00441F34">
        <w:rPr>
          <w:rFonts w:ascii="Times New Roman" w:hAnsi="Times New Roman"/>
          <w:color w:val="0070C0"/>
          <w:sz w:val="16"/>
          <w:szCs w:val="16"/>
        </w:rPr>
        <w:softHyphen/>
        <w:t>вали установленные на машине АНТ-23 пушки АПК—4 калибра 76 мм. После восьми вы</w:t>
      </w:r>
      <w:r w:rsidRPr="00441F34">
        <w:rPr>
          <w:rFonts w:ascii="Times New Roman" w:hAnsi="Times New Roman"/>
          <w:color w:val="0070C0"/>
          <w:sz w:val="16"/>
          <w:szCs w:val="16"/>
        </w:rPr>
        <w:softHyphen/>
        <w:t>стрелов никаких повреждений конструк</w:t>
      </w:r>
      <w:r w:rsidRPr="00441F34">
        <w:rPr>
          <w:rFonts w:ascii="Times New Roman" w:hAnsi="Times New Roman"/>
          <w:color w:val="0070C0"/>
          <w:sz w:val="16"/>
          <w:szCs w:val="16"/>
        </w:rPr>
        <w:softHyphen/>
        <w:t>ции не обнаружили. В феврале 1932 г. провели повторные испытания, выпустив 26 снарядов. Они выявили необходи</w:t>
      </w:r>
      <w:r w:rsidRPr="00441F34">
        <w:rPr>
          <w:rFonts w:ascii="Times New Roman" w:hAnsi="Times New Roman"/>
          <w:color w:val="0070C0"/>
          <w:sz w:val="16"/>
          <w:szCs w:val="16"/>
        </w:rPr>
        <w:softHyphen/>
        <w:t>мость переделки хвостового оперения, требовалась и регулировка механизма ле</w:t>
      </w:r>
      <w:r w:rsidRPr="00441F34">
        <w:rPr>
          <w:rFonts w:ascii="Times New Roman" w:hAnsi="Times New Roman"/>
          <w:color w:val="0070C0"/>
          <w:sz w:val="16"/>
          <w:szCs w:val="16"/>
        </w:rPr>
        <w:softHyphen/>
        <w:t>вой пушки.</w:t>
      </w:r>
    </w:p>
    <w:p w14:paraId="3440CC9E"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доработок, 21 марта 1932 г., И—12 поднялся в воздух для проведения боевых стрельб. Каждую пушку зарядили двумя снарядами массой по 0,56 кг. На заводские испытания, высоте 1000 м И.Ф. Козлов выстрелил из левой пушки. В последующие минуты ему пришлось применить все свое мастерство, чтобы посадить поврежденную машину. При осмотре обнаружили, что разорвало диффузор, сорваны обтекатели, оборва</w:t>
      </w:r>
      <w:r w:rsidRPr="00441F34">
        <w:rPr>
          <w:rFonts w:ascii="Times New Roman" w:hAnsi="Times New Roman"/>
          <w:color w:val="0070C0"/>
          <w:sz w:val="16"/>
          <w:szCs w:val="16"/>
        </w:rPr>
        <w:softHyphen/>
        <w:t>лись тросы управления стабилизатором. За спасение опытного самолета летчика наградили орденом Красной Звезды.</w:t>
      </w:r>
    </w:p>
    <w:p w14:paraId="34F6935B"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отремонтировали, и испы</w:t>
      </w:r>
      <w:r w:rsidRPr="00441F34">
        <w:rPr>
          <w:rFonts w:ascii="Times New Roman" w:hAnsi="Times New Roman"/>
          <w:color w:val="0070C0"/>
          <w:sz w:val="16"/>
          <w:szCs w:val="16"/>
        </w:rPr>
        <w:softHyphen/>
        <w:t>тания продолжились до 28 сентября 1932 г. Затем И—12 разобрали и перевез</w:t>
      </w:r>
      <w:r w:rsidRPr="00441F34">
        <w:rPr>
          <w:rFonts w:ascii="Times New Roman" w:hAnsi="Times New Roman"/>
          <w:color w:val="0070C0"/>
          <w:sz w:val="16"/>
          <w:szCs w:val="16"/>
        </w:rPr>
        <w:softHyphen/>
        <w:t>ли на завод для укрепления стыков в тру</w:t>
      </w:r>
      <w:r w:rsidRPr="00441F34">
        <w:rPr>
          <w:rFonts w:ascii="Times New Roman" w:hAnsi="Times New Roman"/>
          <w:color w:val="0070C0"/>
          <w:sz w:val="16"/>
          <w:szCs w:val="16"/>
        </w:rPr>
        <w:softHyphen/>
        <w:t>бах-балках и доводки АПК. Больше на испытания самолет не передавался.</w:t>
      </w:r>
    </w:p>
    <w:p w14:paraId="727FC83F"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 (23474).</w:t>
      </w:r>
    </w:p>
    <w:p w14:paraId="2B320FF3" w14:textId="77777777" w:rsidR="00723FFB" w:rsidRPr="00441F34" w:rsidRDefault="00723FFB" w:rsidP="00723FFB">
      <w:pPr>
        <w:spacing w:after="0" w:line="240" w:lineRule="auto"/>
        <w:jc w:val="both"/>
        <w:rPr>
          <w:rFonts w:ascii="Times New Roman" w:hAnsi="Times New Roman"/>
          <w:color w:val="0070C0"/>
          <w:sz w:val="16"/>
          <w:szCs w:val="16"/>
        </w:rPr>
      </w:pPr>
    </w:p>
    <w:p w14:paraId="620CF7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ноября 1931 года секретным приказом по </w:t>
      </w:r>
      <w:proofErr w:type="spellStart"/>
      <w:r w:rsidRPr="007122AB">
        <w:rPr>
          <w:rFonts w:ascii="Times New Roman" w:hAnsi="Times New Roman"/>
          <w:color w:val="000000" w:themeColor="text1"/>
          <w:sz w:val="16"/>
          <w:szCs w:val="16"/>
        </w:rPr>
        <w:t>ВВАкадемии</w:t>
      </w:r>
      <w:proofErr w:type="spellEnd"/>
      <w:r w:rsidRPr="007122AB">
        <w:rPr>
          <w:rFonts w:ascii="Times New Roman" w:hAnsi="Times New Roman"/>
          <w:color w:val="000000" w:themeColor="text1"/>
          <w:sz w:val="16"/>
          <w:szCs w:val="16"/>
        </w:rPr>
        <w:t xml:space="preserve"> было организовано Особое конструкторское бюро для проектирования самолета Г-1 (3054).</w:t>
      </w:r>
    </w:p>
    <w:p w14:paraId="268B88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EF6258" w14:textId="77777777" w:rsidR="00513C11" w:rsidRPr="007122AB" w:rsidRDefault="00513C11" w:rsidP="007122AB">
      <w:pPr>
        <w:pStyle w:val="rtejustify"/>
        <w:spacing w:before="0" w:after="0"/>
        <w:rPr>
          <w:color w:val="000000" w:themeColor="text1"/>
          <w:sz w:val="16"/>
          <w:szCs w:val="16"/>
        </w:rPr>
      </w:pPr>
      <w:r w:rsidRPr="007122AB">
        <w:rPr>
          <w:rStyle w:val="af0"/>
          <w:i w:val="0"/>
          <w:color w:val="000000" w:themeColor="text1"/>
          <w:sz w:val="16"/>
          <w:szCs w:val="16"/>
        </w:rPr>
        <w:t xml:space="preserve">11 ноября 1931 г. Протокол Реввоенсовета №38. </w:t>
      </w:r>
      <w:r w:rsidRPr="007122AB">
        <w:rPr>
          <w:color w:val="000000" w:themeColor="text1"/>
          <w:sz w:val="16"/>
          <w:szCs w:val="16"/>
        </w:rPr>
        <w:t>15. Планы заданий Осоавиахиму на ближайшие 2</w:t>
      </w:r>
      <w:r w:rsidRPr="007122AB">
        <w:rPr>
          <w:color w:val="000000" w:themeColor="text1"/>
          <w:sz w:val="16"/>
          <w:szCs w:val="16"/>
        </w:rPr>
        <w:noBreakHyphen/>
        <w:t>3 года (Фельдман). (РГВА. Ф. 4. Оп. 18. Д. 21. Л. 228) (12342).</w:t>
      </w:r>
    </w:p>
    <w:p w14:paraId="679C9AF7" w14:textId="77777777" w:rsidR="00513C11" w:rsidRPr="007122AB" w:rsidRDefault="00513C11" w:rsidP="007122AB">
      <w:pPr>
        <w:pStyle w:val="rtejustify"/>
        <w:spacing w:before="0" w:after="0"/>
        <w:rPr>
          <w:color w:val="000000" w:themeColor="text1"/>
          <w:sz w:val="16"/>
          <w:szCs w:val="16"/>
        </w:rPr>
      </w:pPr>
    </w:p>
    <w:p w14:paraId="7DF1DD2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2BD2E4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62C25FF" w14:textId="77777777" w:rsidR="00996191" w:rsidRPr="007122AB" w:rsidRDefault="009961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ноября 1931 ВСНХ принял решение провести дизельный конкурс в июне 1932 г. НАТИ должен был в двухнедельный срок разработать все необходи</w:t>
      </w:r>
      <w:r w:rsidRPr="007122AB">
        <w:rPr>
          <w:rFonts w:ascii="Times New Roman" w:hAnsi="Times New Roman"/>
          <w:color w:val="000000" w:themeColor="text1"/>
          <w:sz w:val="16"/>
          <w:szCs w:val="16"/>
        </w:rPr>
        <w:softHyphen/>
        <w:t>мые документы (22518).</w:t>
      </w:r>
    </w:p>
    <w:p w14:paraId="36BA5DD0" w14:textId="77777777" w:rsidR="00996191" w:rsidRPr="007122AB" w:rsidRDefault="00996191" w:rsidP="007122AB">
      <w:pPr>
        <w:spacing w:after="0" w:line="240" w:lineRule="auto"/>
        <w:jc w:val="both"/>
        <w:rPr>
          <w:rFonts w:ascii="Times New Roman" w:hAnsi="Times New Roman"/>
          <w:color w:val="000000" w:themeColor="text1"/>
          <w:sz w:val="16"/>
          <w:szCs w:val="16"/>
        </w:rPr>
      </w:pPr>
    </w:p>
    <w:p w14:paraId="6EA62E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ноября 1931 решением ПБ ЦК РКП(б) по вопросу освоения Северо-востока организовали трест по промышленному и дорожному строительству в районе Верхней Колымы (Дальстрой - ОГПУ выделил </w:t>
      </w:r>
      <w:proofErr w:type="spellStart"/>
      <w:r w:rsidRPr="007122AB">
        <w:rPr>
          <w:rFonts w:ascii="Times New Roman" w:hAnsi="Times New Roman"/>
          <w:color w:val="000000" w:themeColor="text1"/>
          <w:sz w:val="16"/>
          <w:szCs w:val="16"/>
        </w:rPr>
        <w:t>Э.П.Берзина</w:t>
      </w:r>
      <w:proofErr w:type="spellEnd"/>
      <w:r w:rsidRPr="007122AB">
        <w:rPr>
          <w:rFonts w:ascii="Times New Roman" w:hAnsi="Times New Roman"/>
          <w:color w:val="000000" w:themeColor="text1"/>
          <w:sz w:val="16"/>
          <w:szCs w:val="16"/>
        </w:rPr>
        <w:t xml:space="preserve">). К концу 1932 получил 10 тыс. заключенных. В марте 1938 реорганизовали в </w:t>
      </w:r>
      <w:proofErr w:type="spellStart"/>
      <w:r w:rsidRPr="007122AB">
        <w:rPr>
          <w:rFonts w:ascii="Times New Roman" w:hAnsi="Times New Roman"/>
          <w:color w:val="000000" w:themeColor="text1"/>
          <w:sz w:val="16"/>
          <w:szCs w:val="16"/>
        </w:rPr>
        <w:t>ГУСтроительства</w:t>
      </w:r>
      <w:proofErr w:type="spellEnd"/>
      <w:r w:rsidRPr="007122AB">
        <w:rPr>
          <w:rFonts w:ascii="Times New Roman" w:hAnsi="Times New Roman"/>
          <w:color w:val="000000" w:themeColor="text1"/>
          <w:sz w:val="16"/>
          <w:szCs w:val="16"/>
        </w:rPr>
        <w:t xml:space="preserve"> Дальнего Севера и передали в НКВД (3398,392).</w:t>
      </w:r>
    </w:p>
    <w:p w14:paraId="785DE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8132B9"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11 ноября </w:t>
      </w:r>
      <w:r w:rsidRPr="007122AB">
        <w:rPr>
          <w:rFonts w:ascii="Times New Roman" w:hAnsi="Times New Roman"/>
          <w:color w:val="000000" w:themeColor="text1"/>
          <w:sz w:val="16"/>
          <w:szCs w:val="16"/>
        </w:rPr>
        <w:t>в 1931 году решением Политбюро ЦК ВКП(б) по вопросу освоения северо-востока страны организован трест по промышленному и дорожному строительству в районе верхней Колымы («Дальстрой»). Непосредственное руководство работой осуществляло ОГПУ (</w:t>
      </w:r>
      <w:proofErr w:type="spellStart"/>
      <w:r w:rsidRPr="007122AB">
        <w:rPr>
          <w:rFonts w:ascii="Times New Roman" w:hAnsi="Times New Roman"/>
          <w:color w:val="000000" w:themeColor="text1"/>
          <w:sz w:val="16"/>
          <w:szCs w:val="16"/>
        </w:rPr>
        <w:t>Э.П.Берзин</w:t>
      </w:r>
      <w:proofErr w:type="spellEnd"/>
      <w:r w:rsidRPr="007122AB">
        <w:rPr>
          <w:rFonts w:ascii="Times New Roman" w:hAnsi="Times New Roman"/>
          <w:color w:val="000000" w:themeColor="text1"/>
          <w:sz w:val="16"/>
          <w:szCs w:val="16"/>
        </w:rPr>
        <w:t>). Трест ориентировался на использование труда заключенных, которых к концу 1932 г. насчитывалось около 10 тыс. человек, В марте 1938 г. реорганизован в Главное управление строительства Дальнего Севера и передан в ведение НКВД (14827).</w:t>
      </w:r>
    </w:p>
    <w:p w14:paraId="6583B540"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08CD54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ноября 1931 года ЦК ВКП(б) принял постановление «О Колыме», которым предусматривалось образование специального треста в подчинении ЦК ВКП(б). Задачей новой организации (в будущем получившего название « Дальстрой») являлась форсированная добыча золота в верховьях Колымы (9043).</w:t>
      </w:r>
    </w:p>
    <w:p w14:paraId="482ED2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54B7BF"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819FB1F"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7C39AD8"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ноября 1931 Ворошилов в препроводительной записке Сталину писал:</w:t>
      </w:r>
    </w:p>
    <w:p w14:paraId="66182E5A"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«Дорогой Коба! Направляю запись разговора с Адамом. Все сказанное Адамом застенографировано. Свои слова записал с возможной точностью. Личные впечатления сообщу при встрече. Привет. Ворошилов».</w:t>
      </w:r>
    </w:p>
    <w:p w14:paraId="48B72363"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ноября 1931 г. на обеде, устроенном в Кремле в честь генерала Адама (присутствовали Енукидзе, Крестинский, Тухачевский, Егоров, </w:t>
      </w:r>
      <w:proofErr w:type="spellStart"/>
      <w:r w:rsidRPr="007122AB">
        <w:rPr>
          <w:rFonts w:ascii="Times New Roman" w:hAnsi="Times New Roman"/>
          <w:color w:val="000000" w:themeColor="text1"/>
          <w:sz w:val="16"/>
          <w:szCs w:val="16"/>
        </w:rPr>
        <w:t>Корк</w:t>
      </w:r>
      <w:proofErr w:type="spellEnd"/>
      <w:r w:rsidRPr="007122AB">
        <w:rPr>
          <w:rFonts w:ascii="Times New Roman" w:hAnsi="Times New Roman"/>
          <w:color w:val="000000" w:themeColor="text1"/>
          <w:sz w:val="16"/>
          <w:szCs w:val="16"/>
        </w:rPr>
        <w:t xml:space="preserve"> с женами, а также посол </w:t>
      </w:r>
      <w:proofErr w:type="spellStart"/>
      <w:r w:rsidRPr="007122AB">
        <w:rPr>
          <w:rFonts w:ascii="Times New Roman" w:hAnsi="Times New Roman"/>
          <w:color w:val="000000" w:themeColor="text1"/>
          <w:sz w:val="16"/>
          <w:szCs w:val="16"/>
        </w:rPr>
        <w:t>Дирксен</w:t>
      </w:r>
      <w:proofErr w:type="spellEnd"/>
      <w:r w:rsidRPr="007122AB">
        <w:rPr>
          <w:rFonts w:ascii="Times New Roman" w:hAnsi="Times New Roman"/>
          <w:color w:val="000000" w:themeColor="text1"/>
          <w:sz w:val="16"/>
          <w:szCs w:val="16"/>
        </w:rPr>
        <w:t xml:space="preserve">, советники </w:t>
      </w:r>
      <w:proofErr w:type="spellStart"/>
      <w:r w:rsidRPr="007122AB">
        <w:rPr>
          <w:rFonts w:ascii="Times New Roman" w:hAnsi="Times New Roman"/>
          <w:color w:val="000000" w:themeColor="text1"/>
          <w:sz w:val="16"/>
          <w:szCs w:val="16"/>
        </w:rPr>
        <w:t>Хильгер</w:t>
      </w:r>
      <w:proofErr w:type="spellEnd"/>
      <w:r w:rsidRPr="007122AB">
        <w:rPr>
          <w:rFonts w:ascii="Times New Roman" w:hAnsi="Times New Roman"/>
          <w:color w:val="000000" w:themeColor="text1"/>
          <w:sz w:val="16"/>
          <w:szCs w:val="16"/>
        </w:rPr>
        <w:t xml:space="preserve"> и Твардовский, полковник </w:t>
      </w:r>
      <w:proofErr w:type="spellStart"/>
      <w:r w:rsidRPr="007122AB">
        <w:rPr>
          <w:rFonts w:ascii="Times New Roman" w:hAnsi="Times New Roman"/>
          <w:color w:val="000000" w:themeColor="text1"/>
          <w:sz w:val="16"/>
          <w:szCs w:val="16"/>
        </w:rPr>
        <w:t>Кестринг</w:t>
      </w:r>
      <w:proofErr w:type="spellEnd"/>
      <w:r w:rsidRPr="007122AB">
        <w:rPr>
          <w:rFonts w:ascii="Times New Roman" w:hAnsi="Times New Roman"/>
          <w:color w:val="000000" w:themeColor="text1"/>
          <w:sz w:val="16"/>
          <w:szCs w:val="16"/>
        </w:rPr>
        <w:t xml:space="preserve"> с женами, подполковник </w:t>
      </w:r>
      <w:proofErr w:type="spellStart"/>
      <w:r w:rsidRPr="007122AB">
        <w:rPr>
          <w:rFonts w:ascii="Times New Roman" w:hAnsi="Times New Roman"/>
          <w:color w:val="000000" w:themeColor="text1"/>
          <w:sz w:val="16"/>
          <w:szCs w:val="16"/>
        </w:rPr>
        <w:t>Манштайн</w:t>
      </w:r>
      <w:proofErr w:type="spellEnd"/>
      <w:r w:rsidRPr="007122AB">
        <w:rPr>
          <w:rFonts w:ascii="Times New Roman" w:hAnsi="Times New Roman"/>
          <w:color w:val="000000" w:themeColor="text1"/>
          <w:sz w:val="16"/>
          <w:szCs w:val="16"/>
        </w:rPr>
        <w:t xml:space="preserve"> и капитан </w:t>
      </w:r>
      <w:proofErr w:type="spellStart"/>
      <w:r w:rsidRPr="007122AB">
        <w:rPr>
          <w:rFonts w:ascii="Times New Roman" w:hAnsi="Times New Roman"/>
          <w:color w:val="000000" w:themeColor="text1"/>
          <w:sz w:val="16"/>
          <w:szCs w:val="16"/>
        </w:rPr>
        <w:t>Хофмайстер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Дирксен</w:t>
      </w:r>
      <w:proofErr w:type="spellEnd"/>
      <w:r w:rsidRPr="007122AB">
        <w:rPr>
          <w:rFonts w:ascii="Times New Roman" w:hAnsi="Times New Roman"/>
          <w:color w:val="000000" w:themeColor="text1"/>
          <w:sz w:val="16"/>
          <w:szCs w:val="16"/>
        </w:rPr>
        <w:t xml:space="preserve"> в соответствии с инструкцией из Берлина убеждал Ворошилова в том, чтобы СССР ни прямо, ни косвенно не давал гарантий западной польской границы. А самое лучшее для германо-советских отношений это чтобы советско-польский договор не был заключен вообще.</w:t>
      </w:r>
    </w:p>
    <w:p w14:paraId="34D56DFF"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Ворошилов, дав понять, что подписание договора о ненападении с Польшей состоится, заявил, что «ни при каких обстоятельствах» СССР не даст никакой гарантии западной границы Польши. Он указал, что</w:t>
      </w:r>
    </w:p>
    <w:p w14:paraId="7AE9B217"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«советское правительство — принципиальный противник Версальского договора, оно никогда не предпримет чего-либо такого, что могло бы каким-либо образом укрепить Данцигский коридор или </w:t>
      </w:r>
      <w:proofErr w:type="spellStart"/>
      <w:r w:rsidRPr="007122AB">
        <w:rPr>
          <w:rFonts w:ascii="Times New Roman" w:hAnsi="Times New Roman"/>
          <w:color w:val="000000" w:themeColor="text1"/>
          <w:sz w:val="16"/>
          <w:szCs w:val="16"/>
        </w:rPr>
        <w:t>Мемельскую</w:t>
      </w:r>
      <w:proofErr w:type="spellEnd"/>
      <w:r w:rsidRPr="007122AB">
        <w:rPr>
          <w:rFonts w:ascii="Times New Roman" w:hAnsi="Times New Roman"/>
          <w:color w:val="000000" w:themeColor="text1"/>
          <w:sz w:val="16"/>
          <w:szCs w:val="16"/>
        </w:rPr>
        <w:t xml:space="preserve"> границу».</w:t>
      </w:r>
    </w:p>
    <w:p w14:paraId="7262101E"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обеде </w:t>
      </w:r>
      <w:proofErr w:type="spellStart"/>
      <w:r w:rsidRPr="007122AB">
        <w:rPr>
          <w:rFonts w:ascii="Times New Roman" w:hAnsi="Times New Roman"/>
          <w:color w:val="000000" w:themeColor="text1"/>
          <w:sz w:val="16"/>
          <w:szCs w:val="16"/>
        </w:rPr>
        <w:t>Дирксен</w:t>
      </w:r>
      <w:proofErr w:type="spellEnd"/>
      <w:r w:rsidRPr="007122AB">
        <w:rPr>
          <w:rFonts w:ascii="Times New Roman" w:hAnsi="Times New Roman"/>
          <w:color w:val="000000" w:themeColor="text1"/>
          <w:sz w:val="16"/>
          <w:szCs w:val="16"/>
        </w:rPr>
        <w:t xml:space="preserve"> имел продолжительный разговор с Тухачевским. Тухачевский высказал ряд различных претензий по неудовлетворительному снабжению школ, упомянув о танках новой конструкции и авиационном </w:t>
      </w:r>
      <w:proofErr w:type="spellStart"/>
      <w:r w:rsidRPr="007122AB">
        <w:rPr>
          <w:rFonts w:ascii="Times New Roman" w:hAnsi="Times New Roman"/>
          <w:color w:val="000000" w:themeColor="text1"/>
          <w:sz w:val="16"/>
          <w:szCs w:val="16"/>
        </w:rPr>
        <w:t>нефтемоторе</w:t>
      </w:r>
      <w:proofErr w:type="spellEnd"/>
      <w:r w:rsidRPr="007122AB">
        <w:rPr>
          <w:rFonts w:ascii="Times New Roman" w:hAnsi="Times New Roman"/>
          <w:color w:val="000000" w:themeColor="text1"/>
          <w:sz w:val="16"/>
          <w:szCs w:val="16"/>
        </w:rPr>
        <w:t xml:space="preserve"> фирмы «Юнкерс», которые Германия держит в секрете. Он указал, что гораздо полнее Москву о новинках военной техники информируют англичане и итальянцы (18265).</w:t>
      </w:r>
    </w:p>
    <w:p w14:paraId="3711412A" w14:textId="77777777" w:rsidR="00357876" w:rsidRPr="007122AB" w:rsidRDefault="00357876" w:rsidP="007122AB">
      <w:pPr>
        <w:spacing w:after="0" w:line="240" w:lineRule="auto"/>
        <w:jc w:val="both"/>
        <w:rPr>
          <w:rFonts w:ascii="Times New Roman" w:hAnsi="Times New Roman"/>
          <w:color w:val="000000" w:themeColor="text1"/>
          <w:sz w:val="16"/>
          <w:szCs w:val="16"/>
        </w:rPr>
      </w:pPr>
    </w:p>
    <w:p w14:paraId="2BFDC24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111CA7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923B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ноября 1931 года начальник 1 отдела НИИ ВВС писал письмо N 625 с в 8 сектор 3-го Управления ВВС.</w:t>
      </w:r>
    </w:p>
    <w:p w14:paraId="1EF92E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сем препровождается сводка результатов испытания головного серийного самолета Р6-2М17.</w:t>
      </w:r>
    </w:p>
    <w:p w14:paraId="587982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начато 5.10.1931 г.</w:t>
      </w:r>
    </w:p>
    <w:p w14:paraId="489D87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дней занятых полетами - 12</w:t>
      </w:r>
    </w:p>
    <w:p w14:paraId="5E75C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полетов - 21</w:t>
      </w:r>
    </w:p>
    <w:p w14:paraId="68462A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закончены 3.11.1931 г.</w:t>
      </w:r>
    </w:p>
    <w:p w14:paraId="66D1B9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16CF8B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Р6 постройки зав. N 22 головной серии.</w:t>
      </w:r>
    </w:p>
    <w:p w14:paraId="33345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798B4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705325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D8BBC1"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12 ноября </w:t>
      </w:r>
      <w:r w:rsidRPr="007122AB">
        <w:rPr>
          <w:rFonts w:ascii="Times New Roman" w:hAnsi="Times New Roman"/>
          <w:color w:val="000000" w:themeColor="text1"/>
          <w:sz w:val="16"/>
          <w:szCs w:val="16"/>
        </w:rPr>
        <w:t>в 1931 году в Ленинграде при ОСОАВИАХИМе создана Ленинградская группа изучения реактивного движения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xml:space="preserve">), председатель </w:t>
      </w:r>
      <w:proofErr w:type="spellStart"/>
      <w:r w:rsidRPr="007122AB">
        <w:rPr>
          <w:rFonts w:ascii="Times New Roman" w:hAnsi="Times New Roman"/>
          <w:color w:val="000000" w:themeColor="text1"/>
          <w:sz w:val="16"/>
          <w:szCs w:val="16"/>
        </w:rPr>
        <w:t>В.В.Разумов</w:t>
      </w:r>
      <w:proofErr w:type="spellEnd"/>
      <w:r w:rsidRPr="007122AB">
        <w:rPr>
          <w:rFonts w:ascii="Times New Roman" w:hAnsi="Times New Roman"/>
          <w:color w:val="000000" w:themeColor="text1"/>
          <w:sz w:val="16"/>
          <w:szCs w:val="16"/>
        </w:rPr>
        <w:t xml:space="preserve"> (14828).</w:t>
      </w:r>
    </w:p>
    <w:p w14:paraId="55A7C297"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1FE0EEC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3350C8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52F69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ноября 1931 г. начальник УММ РККА доложил заместителю наркома Я.Б. Гамарнику о состоянии работ по механизации и моторизации артиллерии АРГК, а также дивизионной и корпусной артиллерии:</w:t>
      </w:r>
    </w:p>
    <w:p w14:paraId="36E653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тяжелых систем АРГК применяется в качестве тягача трактор Коммунар, при чем в 1931 г. завод выпустил трактор в 90л.с. со скоростью 15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xml:space="preserve"> в час под маркой 3-90 вместо выпускавшегося в прошлом году и в первой половине настоящего года трактора в 75л.с. со скоростью 9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xml:space="preserve"> в час под маркой 9-ГУ.</w:t>
      </w:r>
    </w:p>
    <w:p w14:paraId="3D0D3B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 Октябрьским торжествам сего года ХПЗ приготовил три опытных образца более мощного трактора "Коминтерн" с мощностью мотора свыше 110 л.с. Скорость трактора предположено довести до 20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xml:space="preserve"> в час".</w:t>
      </w:r>
    </w:p>
    <w:p w14:paraId="3FC17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вариант "Коминтерна", по сути, представлял собой модернизацию трактора БНВ в направлении повышения мощности двигателя и унификации гусеничного хода с танком Т-24. Следует отметить, что с самого начала на "Коминтерне" предполагалось использовать новый двигатель марки КИН мощностью около 130 л.с., поэтому в некоторых документах и сам трактор именовался так же.</w:t>
      </w:r>
    </w:p>
    <w:p w14:paraId="7AF4A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Многочисленные доработки привели к серьезному пересмотру конструкции трактора. Принципиальная схема (как и основные габариты) осталась прежней, но элементы подвески унифицировали с аналогичными элементами подвески танка Т-24. Устройство тележек повторяло устройство тележек трактора БНВ, но производственное исполнение и размеры (в частности, диаметр опорных катков) отличались. В результате новый трактор получил три тележки на борт. Соответственно, доработкам подверглись трансмиссия и некоторые другие агрегаты (12008).</w:t>
      </w:r>
    </w:p>
    <w:p w14:paraId="175D21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8A0E48" w14:textId="77777777" w:rsidR="004F04A7" w:rsidRPr="007122AB" w:rsidRDefault="004F04A7"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12 ноября 1931 года состоялось рассмотрение проекта "4-тонного танка с мотором "Геркулес" в 60 HP". Работы по танку изначально вело танковое КБ завода "Большевик" под руководством М.В. </w:t>
      </w:r>
      <w:proofErr w:type="spellStart"/>
      <w:r w:rsidRPr="007122AB">
        <w:rPr>
          <w:rFonts w:ascii="Times New Roman" w:hAnsi="Times New Roman"/>
          <w:color w:val="000000" w:themeColor="text1"/>
          <w:sz w:val="16"/>
          <w:szCs w:val="16"/>
          <w:shd w:val="clear" w:color="auto" w:fill="FFFFFF"/>
        </w:rPr>
        <w:t>Симского</w:t>
      </w:r>
      <w:proofErr w:type="spellEnd"/>
      <w:r w:rsidRPr="007122AB">
        <w:rPr>
          <w:rFonts w:ascii="Times New Roman" w:hAnsi="Times New Roman"/>
          <w:color w:val="000000" w:themeColor="text1"/>
          <w:sz w:val="16"/>
          <w:szCs w:val="16"/>
          <w:shd w:val="clear" w:color="auto" w:fill="FFFFFF"/>
        </w:rPr>
        <w:t xml:space="preserve">. Изначальная идея танка предполагалась как максимальное копирование идей </w:t>
      </w:r>
      <w:proofErr w:type="spellStart"/>
      <w:r w:rsidRPr="007122AB">
        <w:rPr>
          <w:rFonts w:ascii="Times New Roman" w:hAnsi="Times New Roman"/>
          <w:color w:val="000000" w:themeColor="text1"/>
          <w:sz w:val="16"/>
          <w:szCs w:val="16"/>
          <w:shd w:val="clear" w:color="auto" w:fill="FFFFFF"/>
        </w:rPr>
        <w:t>Carden-Loyd</w:t>
      </w:r>
      <w:proofErr w:type="spellEnd"/>
      <w:r w:rsidRPr="007122AB">
        <w:rPr>
          <w:rFonts w:ascii="Times New Roman" w:hAnsi="Times New Roman"/>
          <w:color w:val="000000" w:themeColor="text1"/>
          <w:sz w:val="16"/>
          <w:szCs w:val="16"/>
          <w:shd w:val="clear" w:color="auto" w:fill="FFFFFF"/>
        </w:rPr>
        <w:t xml:space="preserve">, но, в отличие от плавающего Т-33, разработка которого велась под руководством С.А. Гинзбурга, сухопутный вариант машины изначально выглядел совсем иначе. Это главная причина, почему их обычно не рассматривают в комплексе. От </w:t>
      </w:r>
      <w:proofErr w:type="spellStart"/>
      <w:r w:rsidRPr="007122AB">
        <w:rPr>
          <w:rFonts w:ascii="Times New Roman" w:hAnsi="Times New Roman"/>
          <w:color w:val="000000" w:themeColor="text1"/>
          <w:sz w:val="16"/>
          <w:szCs w:val="16"/>
          <w:shd w:val="clear" w:color="auto" w:fill="FFFFFF"/>
        </w:rPr>
        <w:t>Carden-Loyd</w:t>
      </w:r>
      <w:proofErr w:type="spellEnd"/>
      <w:r w:rsidRPr="007122AB">
        <w:rPr>
          <w:rFonts w:ascii="Times New Roman" w:hAnsi="Times New Roman"/>
          <w:color w:val="000000" w:themeColor="text1"/>
          <w:sz w:val="16"/>
          <w:szCs w:val="16"/>
          <w:shd w:val="clear" w:color="auto" w:fill="FFFFFF"/>
        </w:rPr>
        <w:t xml:space="preserve"> бралась общая компоновка, но уже на этом этапе пошли отличия. Если у английских патрульных танков мотор стоял сбоку от боевого отделения, то Т-34 получал силовую установку, размещавшуюся сзади, слева по ходу движения. Слева находилось место механика-водителя, а боевое отделение сместили вправо. Корпус и башня к английской машине не имели ровно никакого отношения. Что же касается ходовой части, то она предлагалась в двух вариантах. Первый из них представлял собой вариацию на тему Т-26, но с опорными катками диаметром 500 мм. Такая ходовая часть позволяла развивать более высокую скорость. Второй вариант также имел 4 катка на борт, но с 2 тележками, а также горизонтально расположенной пружиной как упругий элемент. Фактически в Ленинграде изобрели подвеску </w:t>
      </w:r>
      <w:proofErr w:type="spellStart"/>
      <w:r w:rsidRPr="007122AB">
        <w:rPr>
          <w:rFonts w:ascii="Times New Roman" w:hAnsi="Times New Roman"/>
          <w:color w:val="000000" w:themeColor="text1"/>
          <w:sz w:val="16"/>
          <w:szCs w:val="16"/>
          <w:shd w:val="clear" w:color="auto" w:fill="FFFFFF"/>
        </w:rPr>
        <w:t>Хостманна</w:t>
      </w:r>
      <w:proofErr w:type="spellEnd"/>
      <w:r w:rsidRPr="007122AB">
        <w:rPr>
          <w:rFonts w:ascii="Times New Roman" w:hAnsi="Times New Roman"/>
          <w:color w:val="000000" w:themeColor="text1"/>
          <w:sz w:val="16"/>
          <w:szCs w:val="16"/>
          <w:shd w:val="clear" w:color="auto" w:fill="FFFFFF"/>
        </w:rPr>
        <w:t>, даже не видя исходник.</w:t>
      </w:r>
    </w:p>
    <w:p w14:paraId="4752AC49"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 xml:space="preserve">По итогам рассмотрения проекта 4-тонного танка с максимальной скоростью 40 км/ч НТК (научно-техническая комиссия) УММ КА постановила проект утвердить. При этом предполагалось строить танк с двумя вариантами ходовой части, дабы выбрать из них оптимальный. Оба варианта, к слову, разделялись еще на два типа - с одинарными и двойными опорными катками. Выбрали одинарный, под два гребня на трак. Также был поднят вопрос о постройке советского варианта быстроходного трактора по типу </w:t>
      </w:r>
      <w:proofErr w:type="spellStart"/>
      <w:r w:rsidRPr="007122AB">
        <w:rPr>
          <w:rFonts w:ascii="Times New Roman" w:eastAsia="Times New Roman" w:hAnsi="Times New Roman"/>
          <w:color w:val="000000" w:themeColor="text1"/>
          <w:sz w:val="16"/>
          <w:szCs w:val="16"/>
          <w:lang w:eastAsia="ru-RU"/>
        </w:rPr>
        <w:t>Carden-Loyd</w:t>
      </w:r>
      <w:proofErr w:type="spellEnd"/>
      <w:r w:rsidRPr="007122AB">
        <w:rPr>
          <w:rFonts w:ascii="Times New Roman" w:eastAsia="Times New Roman" w:hAnsi="Times New Roman"/>
          <w:color w:val="000000" w:themeColor="text1"/>
          <w:sz w:val="16"/>
          <w:szCs w:val="16"/>
          <w:lang w:eastAsia="ru-RU"/>
        </w:rPr>
        <w:t xml:space="preserve"> и мотором АМО-3. Эта тема позже вылилась в трактор "Комсомолец", но не тот, о котором все подумали. Создавали его на СТЗ, несмотря на то, что вроде бы это была наиболее простая задача, в Сталинграде ее завалили. Отчасти наследником того "</w:t>
      </w:r>
      <w:proofErr w:type="spellStart"/>
      <w:r w:rsidRPr="007122AB">
        <w:rPr>
          <w:rFonts w:ascii="Times New Roman" w:eastAsia="Times New Roman" w:hAnsi="Times New Roman"/>
          <w:color w:val="000000" w:themeColor="text1"/>
          <w:sz w:val="16"/>
          <w:szCs w:val="16"/>
          <w:lang w:eastAsia="ru-RU"/>
        </w:rPr>
        <w:t>Космомольца</w:t>
      </w:r>
      <w:proofErr w:type="spellEnd"/>
      <w:r w:rsidRPr="007122AB">
        <w:rPr>
          <w:rFonts w:ascii="Times New Roman" w:eastAsia="Times New Roman" w:hAnsi="Times New Roman"/>
          <w:color w:val="000000" w:themeColor="text1"/>
          <w:sz w:val="16"/>
          <w:szCs w:val="16"/>
          <w:lang w:eastAsia="ru-RU"/>
        </w:rPr>
        <w:t xml:space="preserve">" можно назвать СТЗ-5 (те же задачи). Что же касается трактора Т-20, то он стал развитием совсем иной темы - советского аналога </w:t>
      </w:r>
      <w:proofErr w:type="spellStart"/>
      <w:r w:rsidRPr="007122AB">
        <w:rPr>
          <w:rFonts w:ascii="Times New Roman" w:eastAsia="Times New Roman" w:hAnsi="Times New Roman"/>
          <w:color w:val="000000" w:themeColor="text1"/>
          <w:sz w:val="16"/>
          <w:szCs w:val="16"/>
          <w:lang w:eastAsia="ru-RU"/>
        </w:rPr>
        <w:t>Vickers</w:t>
      </w:r>
      <w:proofErr w:type="spellEnd"/>
      <w:r w:rsidRPr="007122AB">
        <w:rPr>
          <w:rFonts w:ascii="Times New Roman" w:eastAsia="Times New Roman" w:hAnsi="Times New Roman"/>
          <w:color w:val="000000" w:themeColor="text1"/>
          <w:sz w:val="16"/>
          <w:szCs w:val="16"/>
          <w:lang w:eastAsia="ru-RU"/>
        </w:rPr>
        <w:t xml:space="preserve"> Utility </w:t>
      </w:r>
      <w:proofErr w:type="spellStart"/>
      <w:r w:rsidRPr="007122AB">
        <w:rPr>
          <w:rFonts w:ascii="Times New Roman" w:eastAsia="Times New Roman" w:hAnsi="Times New Roman"/>
          <w:color w:val="000000" w:themeColor="text1"/>
          <w:sz w:val="16"/>
          <w:szCs w:val="16"/>
          <w:lang w:eastAsia="ru-RU"/>
        </w:rPr>
        <w:t>Tractor</w:t>
      </w:r>
      <w:proofErr w:type="spellEnd"/>
      <w:r w:rsidRPr="007122AB">
        <w:rPr>
          <w:rFonts w:ascii="Times New Roman" w:hAnsi="Times New Roman"/>
          <w:color w:val="000000" w:themeColor="text1"/>
          <w:sz w:val="16"/>
          <w:szCs w:val="16"/>
          <w:shd w:val="clear" w:color="auto" w:fill="FFFFFF"/>
        </w:rPr>
        <w:t xml:space="preserve"> (22724).</w:t>
      </w:r>
    </w:p>
    <w:p w14:paraId="49A834FA" w14:textId="77777777" w:rsidR="004F04A7" w:rsidRPr="007122AB" w:rsidRDefault="004F04A7" w:rsidP="007122AB">
      <w:pPr>
        <w:spacing w:after="0" w:line="240" w:lineRule="auto"/>
        <w:jc w:val="both"/>
        <w:rPr>
          <w:rFonts w:ascii="Times New Roman" w:hAnsi="Times New Roman"/>
          <w:color w:val="000000" w:themeColor="text1"/>
          <w:sz w:val="16"/>
          <w:szCs w:val="16"/>
        </w:rPr>
      </w:pPr>
    </w:p>
    <w:p w14:paraId="6AD2C5DC"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12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242с об организации Военно-экономического факультета при Всесоюзной плановой академии (ГА РФ. Ф. Р?8418. Оп. 28. Д. 14а. Л. 77) (12415).</w:t>
      </w:r>
    </w:p>
    <w:p w14:paraId="32FD68AE"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p>
    <w:p w14:paraId="3EA5BA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ноября 1931 утвердили ТЗ на два типа бронекатеров: большой (для р. Амур) с 2х76-мм и малый с 1х76-мм (4305,30).</w:t>
      </w:r>
    </w:p>
    <w:p w14:paraId="76EE7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1B15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ноября 1931 г. в тактическом задании на новые катера, утвержденном </w:t>
      </w:r>
      <w:proofErr w:type="spellStart"/>
      <w:r w:rsidRPr="007122AB">
        <w:rPr>
          <w:rFonts w:ascii="Times New Roman" w:hAnsi="Times New Roman"/>
          <w:color w:val="000000" w:themeColor="text1"/>
          <w:sz w:val="16"/>
          <w:szCs w:val="16"/>
        </w:rPr>
        <w:t>наморси</w:t>
      </w:r>
      <w:proofErr w:type="spellEnd"/>
      <w:r w:rsidRPr="007122AB">
        <w:rPr>
          <w:rFonts w:ascii="Times New Roman" w:hAnsi="Times New Roman"/>
          <w:color w:val="000000" w:themeColor="text1"/>
          <w:sz w:val="16"/>
          <w:szCs w:val="16"/>
        </w:rPr>
        <w:t xml:space="preserve"> В. М. Орловым, </w:t>
      </w:r>
      <w:proofErr w:type="spellStart"/>
      <w:r w:rsidRPr="007122AB">
        <w:rPr>
          <w:rFonts w:ascii="Times New Roman" w:hAnsi="Times New Roman"/>
          <w:color w:val="000000" w:themeColor="text1"/>
          <w:sz w:val="16"/>
          <w:szCs w:val="16"/>
        </w:rPr>
        <w:t>бьши</w:t>
      </w:r>
      <w:proofErr w:type="spellEnd"/>
      <w:r w:rsidRPr="007122AB">
        <w:rPr>
          <w:rFonts w:ascii="Times New Roman" w:hAnsi="Times New Roman"/>
          <w:color w:val="000000" w:themeColor="text1"/>
          <w:sz w:val="16"/>
          <w:szCs w:val="16"/>
        </w:rPr>
        <w:t xml:space="preserve"> предусмотрены два типа бронекатеров — для действий на Амуре (более крупный) и на Днепре (малый). Большой катер водоизмещением около 50 т предполагалось вооружить двумя 76-мм орудиями образца 1927 г. в двух башнях танкового типа, малый, водоизмещением 15—20 т, одним таким же орудием. Главное вооружение обоих катеров дополнялось двумя легкими башенками с 7,62-мм пулеметами. Осадка большого катера — не более 70 см, малого — 45 см (3898).</w:t>
      </w:r>
    </w:p>
    <w:p w14:paraId="48097B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D4CBC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499593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FFA1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ноября 1931 закончились дополнительные гос. испытания АНТ-8 МДР-2, которые проходили с 21 октября 1931. Решили, что серия нецелесообразна, так как первые будут через год-два, а тогда понадобится новая машина (1017,213).</w:t>
      </w:r>
    </w:p>
    <w:p w14:paraId="5EF08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107E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ноября 1931 года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Анвельт</w:t>
      </w:r>
      <w:proofErr w:type="spellEnd"/>
      <w:r w:rsidRPr="007122AB">
        <w:rPr>
          <w:rFonts w:ascii="Times New Roman" w:hAnsi="Times New Roman"/>
          <w:color w:val="000000" w:themeColor="text1"/>
          <w:sz w:val="16"/>
          <w:szCs w:val="16"/>
        </w:rPr>
        <w:t xml:space="preserve"> и Березин писали письмо № 10/1321с Сталину, Молотову</w:t>
      </w:r>
    </w:p>
    <w:p w14:paraId="2FBF9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октября 1931 года КО внесла постановление, обязывающее нас построить в 1932 году 100 самолетов из нержавеющей стали посредством применения метода электросварки по типу недавно выпущенного нами первого в мире самолета "Сталь-2".</w:t>
      </w:r>
    </w:p>
    <w:p w14:paraId="63F50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исполнение этого решения, нами к настоящему моменту разработан проект постройки упрощенного завода (в барачных помещениях); проект технологического процесса этого завода и схема его оборудования; найдено место для постройки в с. Тушино под Москвой. Это место закреплено за нами. Нами представлен в СТО проект ряда мероприятий, направленных к обеспечению строительства и пуска в ход этого завода в апреле 1932 года.</w:t>
      </w:r>
    </w:p>
    <w:p w14:paraId="49913A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данный момент нам стало известно, что некоторые ведомства возбуждают вопрос о пересмотре упомянутого выше постановления КО. Так, например, Госплан в своей докладной записке от 10 ноября за подписью </w:t>
      </w:r>
      <w:proofErr w:type="spellStart"/>
      <w:r w:rsidRPr="007122AB">
        <w:rPr>
          <w:rFonts w:ascii="Times New Roman" w:hAnsi="Times New Roman"/>
          <w:color w:val="000000" w:themeColor="text1"/>
          <w:sz w:val="16"/>
          <w:szCs w:val="16"/>
        </w:rPr>
        <w:t>Уншлихта</w:t>
      </w:r>
      <w:proofErr w:type="spellEnd"/>
      <w:r w:rsidRPr="007122AB">
        <w:rPr>
          <w:rFonts w:ascii="Times New Roman" w:hAnsi="Times New Roman"/>
          <w:color w:val="000000" w:themeColor="text1"/>
          <w:sz w:val="16"/>
          <w:szCs w:val="16"/>
        </w:rPr>
        <w:t xml:space="preserve"> пишет: "Госплан считает необходимым отменить принятое решение СТО о постройке ВОГВФ завода стальных самолетов и высказывается за передачу постройки этого завода ВСНХ". Мотив Госплана заключается в том, что наши предложения "противоречат основным плановым установкам в отношении развития авиапромышленности".</w:t>
      </w:r>
    </w:p>
    <w:p w14:paraId="636DBD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 совершенно неизвестны "основные плановые установки" Госплана и мы считаем невозможным поэтому с ними полемизировать. Считаем, однако, необходимым отметить, что в данном случае речь идет не о принципиальной схеме, а о фактически сложившимся положении вещей. Самолет из нержавеющей стали целиком сконструирован и построен нашими работниками. Необходимые для этого технологические процессы выплавки особых сортов нержавеющей стали (так называемой НР-6; прокатки тончайших профилей этой стали до 0,1 мм в поперечном сечении; размещение и применение сварочных приспособлений – все это от начала до конца разработано и применено на опыте работниками НИИГА в стенах своей мастерской. Поэтому, передача теперь всего этого сложного комплекса работ, находящегося к тому же еще в стадии опытной разработки, в какие бы то ни было другие руки, неизбежно за собой повлечет задержку стального самолетостроения по крайней мере на один год.</w:t>
      </w:r>
    </w:p>
    <w:p w14:paraId="04134A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 были свидетелями того, как на КО представители ВСНХ отказывались от постройки стальных самолетов в 1932 году, вследствие чего Сталин, вследствие чего Сталин вынужден был внести предложение о том, чтобы обязать нас приступить немедленно к постройке 100 стальных самолетов.</w:t>
      </w:r>
    </w:p>
    <w:p w14:paraId="732B6A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…………………………………(7752, 73).</w:t>
      </w:r>
    </w:p>
    <w:p w14:paraId="639B1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CB4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ноября 1931 в Ленинграде при Осоавиахиме была создана Ленинградская группа изучения реактивного движения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(2990).</w:t>
      </w:r>
    </w:p>
    <w:p w14:paraId="6813CF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09E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ноября 1931 г. была создана Ленинградская группа изучения реактивного движения -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организаторами которой были Н.А. Рынин</w:t>
      </w:r>
      <w:r w:rsidRPr="007122AB">
        <w:rPr>
          <w:rFonts w:ascii="Times New Roman" w:hAnsi="Times New Roman"/>
          <w:color w:val="000000" w:themeColor="text1"/>
          <w:sz w:val="16"/>
          <w:szCs w:val="16"/>
          <w:vertAlign w:val="superscript"/>
        </w:rPr>
        <w:t>84</w:t>
      </w:r>
      <w:r w:rsidRPr="007122AB">
        <w:rPr>
          <w:rFonts w:ascii="Times New Roman" w:hAnsi="Times New Roman"/>
          <w:color w:val="000000" w:themeColor="text1"/>
          <w:sz w:val="16"/>
          <w:szCs w:val="16"/>
        </w:rPr>
        <w:t xml:space="preserve"> и В.В. Разумов (председатель); располагалась в </w:t>
      </w:r>
      <w:proofErr w:type="spellStart"/>
      <w:r w:rsidRPr="007122AB">
        <w:rPr>
          <w:rFonts w:ascii="Times New Roman" w:hAnsi="Times New Roman"/>
          <w:color w:val="000000" w:themeColor="text1"/>
          <w:sz w:val="16"/>
          <w:szCs w:val="16"/>
        </w:rPr>
        <w:t>Иоанновском</w:t>
      </w:r>
      <w:proofErr w:type="spellEnd"/>
      <w:r w:rsidRPr="007122AB">
        <w:rPr>
          <w:rFonts w:ascii="Times New Roman" w:hAnsi="Times New Roman"/>
          <w:color w:val="000000" w:themeColor="text1"/>
          <w:sz w:val="16"/>
          <w:szCs w:val="16"/>
        </w:rPr>
        <w:t xml:space="preserve"> равелине Петропавловской крепости (11982).</w:t>
      </w:r>
    </w:p>
    <w:p w14:paraId="257F14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C19634"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ноября 1931 г. была </w:t>
      </w:r>
      <w:proofErr w:type="spellStart"/>
      <w:r w:rsidRPr="007122AB">
        <w:rPr>
          <w:rFonts w:ascii="Times New Roman" w:hAnsi="Times New Roman"/>
          <w:color w:val="000000" w:themeColor="text1"/>
          <w:sz w:val="16"/>
          <w:szCs w:val="16"/>
        </w:rPr>
        <w:t>основане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xml:space="preserve"> и ее работа практически с самого основания была тесно связана с деятельностью ГДЛ. Первым председателем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xml:space="preserve"> был В.В. Разумов (1890-1967), с ним работали популяризаторы науки - H.A. </w:t>
      </w:r>
      <w:proofErr w:type="spellStart"/>
      <w:r w:rsidRPr="007122AB">
        <w:rPr>
          <w:rFonts w:ascii="Times New Roman" w:hAnsi="Times New Roman"/>
          <w:color w:val="000000" w:themeColor="text1"/>
          <w:sz w:val="16"/>
          <w:szCs w:val="16"/>
        </w:rPr>
        <w:t>Рынин</w:t>
      </w:r>
      <w:proofErr w:type="spellEnd"/>
      <w:r w:rsidRPr="007122AB">
        <w:rPr>
          <w:rFonts w:ascii="Times New Roman" w:hAnsi="Times New Roman"/>
          <w:color w:val="000000" w:themeColor="text1"/>
          <w:sz w:val="16"/>
          <w:szCs w:val="16"/>
        </w:rPr>
        <w:t xml:space="preserve">, Я.И. Перельман, инженеры - А.Н. Штерн, Е.Е. Чертовский, физики - М.В. </w:t>
      </w:r>
      <w:proofErr w:type="spellStart"/>
      <w:r w:rsidRPr="007122AB">
        <w:rPr>
          <w:rFonts w:ascii="Times New Roman" w:hAnsi="Times New Roman"/>
          <w:color w:val="000000" w:themeColor="text1"/>
          <w:sz w:val="16"/>
          <w:szCs w:val="16"/>
        </w:rPr>
        <w:t>Гажала</w:t>
      </w:r>
      <w:proofErr w:type="spellEnd"/>
      <w:r w:rsidRPr="007122AB">
        <w:rPr>
          <w:rFonts w:ascii="Times New Roman" w:hAnsi="Times New Roman"/>
          <w:color w:val="000000" w:themeColor="text1"/>
          <w:sz w:val="16"/>
          <w:szCs w:val="16"/>
        </w:rPr>
        <w:t xml:space="preserve">, И.Н. Самарин, М.В. </w:t>
      </w:r>
      <w:proofErr w:type="spellStart"/>
      <w:r w:rsidRPr="007122AB">
        <w:rPr>
          <w:rFonts w:ascii="Times New Roman" w:hAnsi="Times New Roman"/>
          <w:color w:val="000000" w:themeColor="text1"/>
          <w:sz w:val="16"/>
          <w:szCs w:val="16"/>
        </w:rPr>
        <w:t>Мачинский</w:t>
      </w:r>
      <w:proofErr w:type="spellEnd"/>
      <w:r w:rsidRPr="007122AB">
        <w:rPr>
          <w:rFonts w:ascii="Times New Roman" w:hAnsi="Times New Roman"/>
          <w:color w:val="000000" w:themeColor="text1"/>
          <w:sz w:val="16"/>
          <w:szCs w:val="16"/>
        </w:rPr>
        <w:t xml:space="preserve"> и др.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xml:space="preserve"> в отличие от Московской Группы всегда носила массовый характер, к 1932 г. в ней уже насчитывались более 400 членов. Были и другие отличия: она не столько конструировала ракеты, сколько занималась пропагандистской работой, устраивались </w:t>
      </w:r>
      <w:proofErr w:type="spellStart"/>
      <w:r w:rsidRPr="007122AB">
        <w:rPr>
          <w:rFonts w:ascii="Times New Roman" w:hAnsi="Times New Roman"/>
          <w:color w:val="000000" w:themeColor="text1"/>
          <w:sz w:val="16"/>
          <w:szCs w:val="16"/>
        </w:rPr>
        <w:t>небольпхие</w:t>
      </w:r>
      <w:proofErr w:type="spellEnd"/>
      <w:r w:rsidRPr="007122AB">
        <w:rPr>
          <w:rFonts w:ascii="Times New Roman" w:hAnsi="Times New Roman"/>
          <w:color w:val="000000" w:themeColor="text1"/>
          <w:sz w:val="16"/>
          <w:szCs w:val="16"/>
        </w:rPr>
        <w:t xml:space="preserve"> показательные пуски пороховых ракет, читались курсы по теории реактивного движения. Правда, ряд оригинальных разработок все же был, в частности проект экспериментальной фоторакеты и метеорологической ракеты.</w:t>
      </w:r>
    </w:p>
    <w:p w14:paraId="33AC05E2"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фонде ОСОАВИАХИМ сохранилась переписка </w:t>
      </w:r>
      <w:proofErr w:type="spellStart"/>
      <w:r w:rsidRPr="007122AB">
        <w:rPr>
          <w:rFonts w:ascii="Times New Roman" w:hAnsi="Times New Roman"/>
          <w:color w:val="000000" w:themeColor="text1"/>
          <w:sz w:val="16"/>
          <w:szCs w:val="16"/>
        </w:rPr>
        <w:t>С.П.Королева</w:t>
      </w:r>
      <w:proofErr w:type="spellEnd"/>
      <w:r w:rsidRPr="007122AB">
        <w:rPr>
          <w:rFonts w:ascii="Times New Roman" w:hAnsi="Times New Roman"/>
          <w:color w:val="000000" w:themeColor="text1"/>
          <w:sz w:val="16"/>
          <w:szCs w:val="16"/>
        </w:rPr>
        <w:t xml:space="preserve"> с начальником Сектора авиапромышленности и авиации ОСОАВИАХИМ т. Раскиным (№ 98с от 27.04.33) и Начальником авиации ЦС ОСОАВИАХИМ т. </w:t>
      </w:r>
      <w:proofErr w:type="spellStart"/>
      <w:r w:rsidRPr="007122AB">
        <w:rPr>
          <w:rFonts w:ascii="Times New Roman" w:hAnsi="Times New Roman"/>
          <w:color w:val="000000" w:themeColor="text1"/>
          <w:sz w:val="16"/>
          <w:szCs w:val="16"/>
        </w:rPr>
        <w:t>Гельфером</w:t>
      </w:r>
      <w:proofErr w:type="spellEnd"/>
      <w:r w:rsidRPr="007122AB">
        <w:rPr>
          <w:rFonts w:ascii="Times New Roman" w:hAnsi="Times New Roman"/>
          <w:color w:val="000000" w:themeColor="text1"/>
          <w:sz w:val="16"/>
          <w:szCs w:val="16"/>
        </w:rPr>
        <w:t xml:space="preserve"> (№ 170с от 9.07.33) о работе по </w:t>
      </w:r>
      <w:proofErr w:type="spellStart"/>
      <w:r w:rsidRPr="007122AB">
        <w:rPr>
          <w:rFonts w:ascii="Times New Roman" w:hAnsi="Times New Roman"/>
          <w:color w:val="000000" w:themeColor="text1"/>
          <w:sz w:val="16"/>
          <w:szCs w:val="16"/>
        </w:rPr>
        <w:t>снарядуракете</w:t>
      </w:r>
      <w:proofErr w:type="spellEnd"/>
      <w:r w:rsidRPr="007122AB">
        <w:rPr>
          <w:rFonts w:ascii="Times New Roman" w:hAnsi="Times New Roman"/>
          <w:color w:val="000000" w:themeColor="text1"/>
          <w:sz w:val="16"/>
          <w:szCs w:val="16"/>
        </w:rPr>
        <w:t xml:space="preserve"> тт. Штерн и Разумова (оба из </w:t>
      </w:r>
      <w:proofErr w:type="spellStart"/>
      <w:r w:rsidRPr="007122AB">
        <w:rPr>
          <w:rFonts w:ascii="Times New Roman" w:hAnsi="Times New Roman"/>
          <w:color w:val="000000" w:themeColor="text1"/>
          <w:sz w:val="16"/>
          <w:szCs w:val="16"/>
        </w:rPr>
        <w:t>ЛенГИРД</w:t>
      </w:r>
      <w:proofErr w:type="spellEnd"/>
      <w:r w:rsidRPr="007122AB">
        <w:rPr>
          <w:rFonts w:ascii="Times New Roman" w:hAnsi="Times New Roman"/>
          <w:color w:val="000000" w:themeColor="text1"/>
          <w:sz w:val="16"/>
          <w:szCs w:val="16"/>
        </w:rPr>
        <w:t>). Они разработали оригинальный ротативный ЖРД. Королев требует: «Снаряд разработан в рабочих чертежах и начался монтаж. Согласно договору с ОСОАВИАХИМ, требую сумму 5000 руб. на завершение проекта» (ГА РФ. Фонд Р-8355. Оп. 1. Д. № 374. Л. 20, 38.). Деньги перечислили, но до объекта они дошли не сразу, и весь июль 1933 г. идут отписки ученого секретаря Постоянного военно-научного Совещания (Комитета - по другим документам) ОСОАВИАХИМ Ленинградской области т. Шорина, что деньги еще не получены (№ 5/У11/2 от 2.07.33 и № 5/УП/5 от 5.07.33)1 С деньгами в Ленинградской ГИРД так же плохо, как и в Московской. Ракете Разумова-Штерна еще повезло, она была доработана до стадии монтажа. (22685).</w:t>
      </w:r>
    </w:p>
    <w:p w14:paraId="696A8365" w14:textId="77777777" w:rsidR="004F04A7" w:rsidRPr="007122AB" w:rsidRDefault="004F04A7" w:rsidP="007122AB">
      <w:pPr>
        <w:spacing w:after="0" w:line="240" w:lineRule="auto"/>
        <w:jc w:val="both"/>
        <w:rPr>
          <w:rFonts w:ascii="Times New Roman" w:hAnsi="Times New Roman"/>
          <w:color w:val="000000" w:themeColor="text1"/>
          <w:sz w:val="16"/>
          <w:szCs w:val="16"/>
        </w:rPr>
      </w:pPr>
    </w:p>
    <w:p w14:paraId="5E7B2B43"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ноября 1931 года со</w:t>
      </w:r>
      <w:r w:rsidRPr="00441F34">
        <w:rPr>
          <w:rFonts w:ascii="Times New Roman" w:hAnsi="Times New Roman"/>
          <w:color w:val="0070C0"/>
          <w:sz w:val="16"/>
          <w:szCs w:val="16"/>
        </w:rPr>
        <w:softHyphen/>
        <w:t>брание активистов приняло решение о создании Ленин</w:t>
      </w:r>
      <w:r w:rsidRPr="00441F34">
        <w:rPr>
          <w:rFonts w:ascii="Times New Roman" w:hAnsi="Times New Roman"/>
          <w:color w:val="0070C0"/>
          <w:sz w:val="16"/>
          <w:szCs w:val="16"/>
        </w:rPr>
        <w:softHyphen/>
        <w:t>градской группы изучения ре</w:t>
      </w:r>
      <w:r w:rsidRPr="00441F34">
        <w:rPr>
          <w:rFonts w:ascii="Times New Roman" w:hAnsi="Times New Roman"/>
          <w:color w:val="0070C0"/>
          <w:sz w:val="16"/>
          <w:szCs w:val="16"/>
        </w:rPr>
        <w:softHyphen/>
        <w:t>активного движения (</w:t>
      </w:r>
      <w:proofErr w:type="spellStart"/>
      <w:r w:rsidRPr="00441F34">
        <w:rPr>
          <w:rFonts w:ascii="Times New Roman" w:hAnsi="Times New Roman"/>
          <w:color w:val="0070C0"/>
          <w:sz w:val="16"/>
          <w:szCs w:val="16"/>
        </w:rPr>
        <w:t>ЛенГИРД</w:t>
      </w:r>
      <w:proofErr w:type="spellEnd"/>
      <w:r w:rsidRPr="00441F34">
        <w:rPr>
          <w:rFonts w:ascii="Times New Roman" w:hAnsi="Times New Roman"/>
          <w:color w:val="0070C0"/>
          <w:sz w:val="16"/>
          <w:szCs w:val="16"/>
        </w:rPr>
        <w:t>) при Бюро воздушной техни</w:t>
      </w:r>
      <w:r w:rsidRPr="00441F34">
        <w:rPr>
          <w:rFonts w:ascii="Times New Roman" w:hAnsi="Times New Roman"/>
          <w:color w:val="0070C0"/>
          <w:sz w:val="16"/>
          <w:szCs w:val="16"/>
        </w:rPr>
        <w:softHyphen/>
        <w:t>ки Ленинградского областно</w:t>
      </w:r>
      <w:r w:rsidRPr="00441F34">
        <w:rPr>
          <w:rFonts w:ascii="Times New Roman" w:hAnsi="Times New Roman"/>
          <w:color w:val="0070C0"/>
          <w:sz w:val="16"/>
          <w:szCs w:val="16"/>
        </w:rPr>
        <w:softHyphen/>
        <w:t xml:space="preserve">го совета Осоавиахима. В инициативную группу вошли </w:t>
      </w:r>
      <w:proofErr w:type="spellStart"/>
      <w:r w:rsidRPr="00441F34">
        <w:rPr>
          <w:rFonts w:ascii="Times New Roman" w:hAnsi="Times New Roman"/>
          <w:color w:val="0070C0"/>
          <w:sz w:val="16"/>
          <w:szCs w:val="16"/>
        </w:rPr>
        <w:t>В.В.Разумов</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Н.А.Рынин</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М.В.Гажала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А.Н.Штерн</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Я.И.Перель</w:t>
      </w:r>
      <w:proofErr w:type="spellEnd"/>
      <w:r w:rsidRPr="00441F34">
        <w:rPr>
          <w:rFonts w:ascii="Times New Roman" w:hAnsi="Times New Roman"/>
          <w:color w:val="0070C0"/>
          <w:sz w:val="16"/>
          <w:szCs w:val="16"/>
        </w:rPr>
        <w:t xml:space="preserve">- ман, </w:t>
      </w:r>
      <w:proofErr w:type="spellStart"/>
      <w:r w:rsidRPr="00441F34">
        <w:rPr>
          <w:rFonts w:ascii="Times New Roman" w:hAnsi="Times New Roman"/>
          <w:color w:val="0070C0"/>
          <w:sz w:val="16"/>
          <w:szCs w:val="16"/>
        </w:rPr>
        <w:t>П.Ф.Федосеенко</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М.В.Мачинский</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С.Н.Лоцманов</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Е.Е.Чер</w:t>
      </w:r>
      <w:r w:rsidRPr="00441F34">
        <w:rPr>
          <w:rFonts w:ascii="Times New Roman" w:hAnsi="Times New Roman"/>
          <w:color w:val="0070C0"/>
          <w:sz w:val="16"/>
          <w:szCs w:val="16"/>
        </w:rPr>
        <w:softHyphen/>
        <w:t>товской</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И.Н.Самарин</w:t>
      </w:r>
      <w:proofErr w:type="spellEnd"/>
      <w:r w:rsidRPr="00441F34">
        <w:rPr>
          <w:rFonts w:ascii="Times New Roman" w:hAnsi="Times New Roman"/>
          <w:color w:val="0070C0"/>
          <w:sz w:val="16"/>
          <w:szCs w:val="16"/>
        </w:rPr>
        <w:t xml:space="preserve">, а также сотрудники ГДЛ </w:t>
      </w:r>
      <w:proofErr w:type="spellStart"/>
      <w:r w:rsidRPr="00441F34">
        <w:rPr>
          <w:rFonts w:ascii="Times New Roman" w:hAnsi="Times New Roman"/>
          <w:color w:val="0070C0"/>
          <w:sz w:val="16"/>
          <w:szCs w:val="16"/>
        </w:rPr>
        <w:t>Б.С.Петропав</w:t>
      </w:r>
      <w:r w:rsidRPr="00441F34">
        <w:rPr>
          <w:rFonts w:ascii="Times New Roman" w:hAnsi="Times New Roman"/>
          <w:color w:val="0070C0"/>
          <w:sz w:val="16"/>
          <w:szCs w:val="16"/>
        </w:rPr>
        <w:softHyphen/>
        <w:t>ловский</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В.А.Артемьев</w:t>
      </w:r>
      <w:proofErr w:type="spellEnd"/>
      <w:r w:rsidRPr="00441F34">
        <w:rPr>
          <w:rFonts w:ascii="Times New Roman" w:hAnsi="Times New Roman"/>
          <w:color w:val="0070C0"/>
          <w:sz w:val="16"/>
          <w:szCs w:val="16"/>
        </w:rPr>
        <w:t xml:space="preserve">. Председателем </w:t>
      </w:r>
      <w:proofErr w:type="spellStart"/>
      <w:r w:rsidRPr="00441F34">
        <w:rPr>
          <w:rFonts w:ascii="Times New Roman" w:hAnsi="Times New Roman"/>
          <w:color w:val="0070C0"/>
          <w:sz w:val="16"/>
          <w:szCs w:val="16"/>
        </w:rPr>
        <w:t>ЛенГИРДа</w:t>
      </w:r>
      <w:proofErr w:type="spellEnd"/>
      <w:r w:rsidRPr="00441F34">
        <w:rPr>
          <w:rFonts w:ascii="Times New Roman" w:hAnsi="Times New Roman"/>
          <w:color w:val="0070C0"/>
          <w:sz w:val="16"/>
          <w:szCs w:val="16"/>
        </w:rPr>
        <w:t xml:space="preserve"> был избран </w:t>
      </w:r>
      <w:proofErr w:type="spellStart"/>
      <w:r w:rsidRPr="00441F34">
        <w:rPr>
          <w:rFonts w:ascii="Times New Roman" w:hAnsi="Times New Roman"/>
          <w:color w:val="0070C0"/>
          <w:sz w:val="16"/>
          <w:szCs w:val="16"/>
        </w:rPr>
        <w:t>В.В.Разумов</w:t>
      </w:r>
      <w:proofErr w:type="spellEnd"/>
      <w:r w:rsidRPr="00441F34">
        <w:rPr>
          <w:rFonts w:ascii="Times New Roman" w:hAnsi="Times New Roman"/>
          <w:color w:val="0070C0"/>
          <w:sz w:val="16"/>
          <w:szCs w:val="16"/>
        </w:rPr>
        <w:t xml:space="preserve">, его заместителем - </w:t>
      </w:r>
      <w:proofErr w:type="spellStart"/>
      <w:r w:rsidRPr="00441F34">
        <w:rPr>
          <w:rFonts w:ascii="Times New Roman" w:hAnsi="Times New Roman"/>
          <w:color w:val="0070C0"/>
          <w:sz w:val="16"/>
          <w:szCs w:val="16"/>
        </w:rPr>
        <w:t>Я.И.Перельман</w:t>
      </w:r>
      <w:proofErr w:type="spellEnd"/>
      <w:r w:rsidRPr="00441F34">
        <w:rPr>
          <w:rFonts w:ascii="Times New Roman" w:hAnsi="Times New Roman"/>
          <w:color w:val="0070C0"/>
          <w:sz w:val="16"/>
          <w:szCs w:val="16"/>
        </w:rPr>
        <w:t>.</w:t>
      </w:r>
    </w:p>
    <w:p w14:paraId="363794F0"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Второе собрание, состоявшееся 21 ноября, утвердило по</w:t>
      </w:r>
      <w:r w:rsidRPr="00441F34">
        <w:rPr>
          <w:rFonts w:ascii="Times New Roman" w:hAnsi="Times New Roman"/>
          <w:color w:val="0070C0"/>
          <w:sz w:val="16"/>
          <w:szCs w:val="16"/>
        </w:rPr>
        <w:softHyphen/>
        <w:t xml:space="preserve">ложение о </w:t>
      </w:r>
      <w:proofErr w:type="spellStart"/>
      <w:r w:rsidRPr="00441F34">
        <w:rPr>
          <w:rFonts w:ascii="Times New Roman" w:hAnsi="Times New Roman"/>
          <w:color w:val="0070C0"/>
          <w:sz w:val="16"/>
          <w:szCs w:val="16"/>
        </w:rPr>
        <w:t>ЛенГИРДе</w:t>
      </w:r>
      <w:proofErr w:type="spellEnd"/>
      <w:r w:rsidRPr="00441F34">
        <w:rPr>
          <w:rFonts w:ascii="Times New Roman" w:hAnsi="Times New Roman"/>
          <w:color w:val="0070C0"/>
          <w:sz w:val="16"/>
          <w:szCs w:val="16"/>
        </w:rPr>
        <w:t xml:space="preserve"> и план работы. Организационно в состав </w:t>
      </w:r>
      <w:proofErr w:type="spellStart"/>
      <w:r w:rsidRPr="00441F34">
        <w:rPr>
          <w:rFonts w:ascii="Times New Roman" w:hAnsi="Times New Roman"/>
          <w:color w:val="0070C0"/>
          <w:sz w:val="16"/>
          <w:szCs w:val="16"/>
        </w:rPr>
        <w:t>ЛенГИРДа</w:t>
      </w:r>
      <w:proofErr w:type="spellEnd"/>
      <w:r w:rsidRPr="00441F34">
        <w:rPr>
          <w:rFonts w:ascii="Times New Roman" w:hAnsi="Times New Roman"/>
          <w:color w:val="0070C0"/>
          <w:sz w:val="16"/>
          <w:szCs w:val="16"/>
        </w:rPr>
        <w:t xml:space="preserve"> вошли пять групп: научно-исследовательская, про</w:t>
      </w:r>
      <w:r w:rsidRPr="00441F34">
        <w:rPr>
          <w:rFonts w:ascii="Times New Roman" w:hAnsi="Times New Roman"/>
          <w:color w:val="0070C0"/>
          <w:sz w:val="16"/>
          <w:szCs w:val="16"/>
        </w:rPr>
        <w:softHyphen/>
        <w:t>ектно-конструкторская, лабораторная, ракетодромная и груп</w:t>
      </w:r>
      <w:r w:rsidRPr="00441F34">
        <w:rPr>
          <w:rFonts w:ascii="Times New Roman" w:hAnsi="Times New Roman"/>
          <w:color w:val="0070C0"/>
          <w:sz w:val="16"/>
          <w:szCs w:val="16"/>
        </w:rPr>
        <w:softHyphen/>
        <w:t>па научной пропаганды. Уже в следующем году численность членов организации достигла более 400 человек.</w:t>
      </w:r>
    </w:p>
    <w:p w14:paraId="0D598EBC"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1932-1934 годах в </w:t>
      </w:r>
      <w:proofErr w:type="spellStart"/>
      <w:r w:rsidRPr="00441F34">
        <w:rPr>
          <w:rFonts w:ascii="Times New Roman" w:hAnsi="Times New Roman"/>
          <w:color w:val="0070C0"/>
          <w:sz w:val="16"/>
          <w:szCs w:val="16"/>
        </w:rPr>
        <w:t>ЛенГИРДе</w:t>
      </w:r>
      <w:proofErr w:type="spellEnd"/>
      <w:r w:rsidRPr="00441F34">
        <w:rPr>
          <w:rFonts w:ascii="Times New Roman" w:hAnsi="Times New Roman"/>
          <w:color w:val="0070C0"/>
          <w:sz w:val="16"/>
          <w:szCs w:val="16"/>
        </w:rPr>
        <w:t xml:space="preserve"> под руководством </w:t>
      </w:r>
      <w:proofErr w:type="spellStart"/>
      <w:r w:rsidRPr="00441F34">
        <w:rPr>
          <w:rFonts w:ascii="Times New Roman" w:hAnsi="Times New Roman"/>
          <w:color w:val="0070C0"/>
          <w:sz w:val="16"/>
          <w:szCs w:val="16"/>
        </w:rPr>
        <w:t>В.В.Разумова</w:t>
      </w:r>
      <w:proofErr w:type="spellEnd"/>
      <w:r w:rsidRPr="00441F34">
        <w:rPr>
          <w:rFonts w:ascii="Times New Roman" w:hAnsi="Times New Roman"/>
          <w:color w:val="0070C0"/>
          <w:sz w:val="16"/>
          <w:szCs w:val="16"/>
        </w:rPr>
        <w:t xml:space="preserve"> были спроектированы три пороховых ракеты — осветительная для подъема на высоту 5 километров, фотора</w:t>
      </w:r>
      <w:r w:rsidRPr="00441F34">
        <w:rPr>
          <w:rFonts w:ascii="Times New Roman" w:hAnsi="Times New Roman"/>
          <w:color w:val="0070C0"/>
          <w:sz w:val="16"/>
          <w:szCs w:val="16"/>
        </w:rPr>
        <w:softHyphen/>
        <w:t xml:space="preserve">кета для подъема на высоту 10 километров, регистрирующая ракета для подъема на высоту 10 километров. Осветительная ракета </w:t>
      </w:r>
    </w:p>
    <w:p w14:paraId="3FC58A14"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предназначалась для ослепления самолетов противника как дополнительное средство к прожекторам. Была изготовле</w:t>
      </w:r>
      <w:r w:rsidRPr="00441F34">
        <w:rPr>
          <w:rFonts w:ascii="Times New Roman" w:hAnsi="Times New Roman"/>
          <w:color w:val="0070C0"/>
          <w:sz w:val="16"/>
          <w:szCs w:val="16"/>
        </w:rPr>
        <w:softHyphen/>
        <w:t>на опытная партия этих ракет. Фоторакета предназначалась для фотосъемок местности. Ракета не изготовлялась. Регистрирующая ракета предназначалась для измерения давления, темпе</w:t>
      </w:r>
      <w:r w:rsidRPr="00441F34">
        <w:rPr>
          <w:rFonts w:ascii="Times New Roman" w:hAnsi="Times New Roman"/>
          <w:color w:val="0070C0"/>
          <w:sz w:val="16"/>
          <w:szCs w:val="16"/>
        </w:rPr>
        <w:softHyphen/>
        <w:t>ратуры и плотности воздуха на высоте до 10 километров и раз</w:t>
      </w:r>
      <w:r w:rsidRPr="00441F34">
        <w:rPr>
          <w:rFonts w:ascii="Times New Roman" w:hAnsi="Times New Roman"/>
          <w:color w:val="0070C0"/>
          <w:sz w:val="16"/>
          <w:szCs w:val="16"/>
        </w:rPr>
        <w:softHyphen/>
        <w:t xml:space="preserve">рабатывалась для Ленинградского географического института. Первоначально для регистрирующей ракеты под руководством </w:t>
      </w:r>
      <w:proofErr w:type="spellStart"/>
      <w:r w:rsidRPr="00441F34">
        <w:rPr>
          <w:rFonts w:ascii="Times New Roman" w:hAnsi="Times New Roman"/>
          <w:color w:val="0070C0"/>
          <w:sz w:val="16"/>
          <w:szCs w:val="16"/>
        </w:rPr>
        <w:t>А.Н.Штерна</w:t>
      </w:r>
      <w:proofErr w:type="spellEnd"/>
      <w:r w:rsidRPr="00441F34">
        <w:rPr>
          <w:rFonts w:ascii="Times New Roman" w:hAnsi="Times New Roman"/>
          <w:color w:val="0070C0"/>
          <w:sz w:val="16"/>
          <w:szCs w:val="16"/>
        </w:rPr>
        <w:t xml:space="preserve"> создавался жидкостной двигатель ЛРД-Д-1. Но до</w:t>
      </w:r>
      <w:r w:rsidRPr="00441F34">
        <w:rPr>
          <w:rFonts w:ascii="Times New Roman" w:hAnsi="Times New Roman"/>
          <w:color w:val="0070C0"/>
          <w:sz w:val="16"/>
          <w:szCs w:val="16"/>
        </w:rPr>
        <w:softHyphen/>
        <w:t xml:space="preserve">вести его не удалось, и в конце 1934 года ракета была запущена с пороховым двигателем </w:t>
      </w:r>
      <w:proofErr w:type="spellStart"/>
      <w:r w:rsidRPr="00441F34">
        <w:rPr>
          <w:rFonts w:ascii="Times New Roman" w:hAnsi="Times New Roman"/>
          <w:color w:val="0070C0"/>
          <w:sz w:val="16"/>
          <w:szCs w:val="16"/>
        </w:rPr>
        <w:t>В.А.Артемьева</w:t>
      </w:r>
      <w:proofErr w:type="spellEnd"/>
      <w:r w:rsidRPr="00441F34">
        <w:rPr>
          <w:rFonts w:ascii="Times New Roman" w:hAnsi="Times New Roman"/>
          <w:color w:val="0070C0"/>
          <w:sz w:val="16"/>
          <w:szCs w:val="16"/>
        </w:rPr>
        <w:t>.</w:t>
      </w:r>
    </w:p>
    <w:p w14:paraId="184EFB8F" w14:textId="77777777" w:rsidR="00723FFB" w:rsidRPr="00441F34" w:rsidRDefault="00723FFB" w:rsidP="00723FFB">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ЛенГИРД</w:t>
      </w:r>
      <w:proofErr w:type="spellEnd"/>
      <w:r w:rsidRPr="00441F34">
        <w:rPr>
          <w:rFonts w:ascii="Times New Roman" w:hAnsi="Times New Roman"/>
          <w:color w:val="0070C0"/>
          <w:sz w:val="16"/>
          <w:szCs w:val="16"/>
        </w:rPr>
        <w:t xml:space="preserve"> просуществовал до 1934 года, после чего часть его членов переехали в Москву и поступили в РНИИ, а сам </w:t>
      </w:r>
      <w:proofErr w:type="spellStart"/>
      <w:r w:rsidRPr="00441F34">
        <w:rPr>
          <w:rFonts w:ascii="Times New Roman" w:hAnsi="Times New Roman"/>
          <w:color w:val="0070C0"/>
          <w:sz w:val="16"/>
          <w:szCs w:val="16"/>
        </w:rPr>
        <w:t>ЛенГИРД</w:t>
      </w:r>
      <w:proofErr w:type="spellEnd"/>
      <w:r w:rsidRPr="00441F34">
        <w:rPr>
          <w:rFonts w:ascii="Times New Roman" w:hAnsi="Times New Roman"/>
          <w:color w:val="0070C0"/>
          <w:sz w:val="16"/>
          <w:szCs w:val="16"/>
        </w:rPr>
        <w:t xml:space="preserve"> был преобразован в Секцию реактивного движения при аэроклубе Ленинградского облсовета Осоавиахима, кото</w:t>
      </w:r>
      <w:r w:rsidRPr="00441F34">
        <w:rPr>
          <w:rFonts w:ascii="Times New Roman" w:hAnsi="Times New Roman"/>
          <w:color w:val="0070C0"/>
          <w:sz w:val="16"/>
          <w:szCs w:val="16"/>
        </w:rPr>
        <w:softHyphen/>
        <w:t xml:space="preserve">рая под руководством </w:t>
      </w:r>
      <w:proofErr w:type="spellStart"/>
      <w:r w:rsidRPr="00441F34">
        <w:rPr>
          <w:rFonts w:ascii="Times New Roman" w:hAnsi="Times New Roman"/>
          <w:color w:val="0070C0"/>
          <w:sz w:val="16"/>
          <w:szCs w:val="16"/>
        </w:rPr>
        <w:t>М.В.Мачинского</w:t>
      </w:r>
      <w:proofErr w:type="spellEnd"/>
      <w:r w:rsidRPr="00441F34">
        <w:rPr>
          <w:rFonts w:ascii="Times New Roman" w:hAnsi="Times New Roman"/>
          <w:color w:val="0070C0"/>
          <w:sz w:val="16"/>
          <w:szCs w:val="16"/>
        </w:rPr>
        <w:t xml:space="preserve"> занималась пропаган</w:t>
      </w:r>
      <w:r w:rsidRPr="00441F34">
        <w:rPr>
          <w:rFonts w:ascii="Times New Roman" w:hAnsi="Times New Roman"/>
          <w:color w:val="0070C0"/>
          <w:sz w:val="16"/>
          <w:szCs w:val="16"/>
        </w:rPr>
        <w:softHyphen/>
        <w:t>дистской работой вплоть до 1939 года (23510).</w:t>
      </w:r>
    </w:p>
    <w:p w14:paraId="29154BB5" w14:textId="77777777" w:rsidR="00723FFB" w:rsidRPr="00441F34" w:rsidRDefault="00723FFB" w:rsidP="00723FFB">
      <w:pPr>
        <w:spacing w:after="0" w:line="240" w:lineRule="auto"/>
        <w:jc w:val="both"/>
        <w:rPr>
          <w:rFonts w:ascii="Times New Roman" w:hAnsi="Times New Roman"/>
          <w:color w:val="0070C0"/>
          <w:sz w:val="16"/>
          <w:szCs w:val="16"/>
        </w:rPr>
      </w:pPr>
    </w:p>
    <w:p w14:paraId="31061F6B"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ноября 1931 г. на собрании активистов была учреждена Ле</w:t>
      </w:r>
      <w:r w:rsidRPr="00441F34">
        <w:rPr>
          <w:rFonts w:ascii="Times New Roman" w:hAnsi="Times New Roman"/>
          <w:color w:val="0070C0"/>
          <w:sz w:val="16"/>
          <w:szCs w:val="16"/>
        </w:rPr>
        <w:softHyphen/>
        <w:t xml:space="preserve">нинградская группа реактивного движения — </w:t>
      </w:r>
      <w:proofErr w:type="spellStart"/>
      <w:r w:rsidRPr="00441F34">
        <w:rPr>
          <w:rFonts w:ascii="Times New Roman" w:hAnsi="Times New Roman"/>
          <w:color w:val="0070C0"/>
          <w:sz w:val="16"/>
          <w:szCs w:val="16"/>
        </w:rPr>
        <w:t>ЛенГИРД</w:t>
      </w:r>
      <w:proofErr w:type="spellEnd"/>
      <w:r w:rsidRPr="00441F34">
        <w:rPr>
          <w:rFonts w:ascii="Times New Roman" w:hAnsi="Times New Roman"/>
          <w:color w:val="0070C0"/>
          <w:sz w:val="16"/>
          <w:szCs w:val="16"/>
        </w:rPr>
        <w:t>. Её пред</w:t>
      </w:r>
      <w:r w:rsidRPr="00441F34">
        <w:rPr>
          <w:rFonts w:ascii="Times New Roman" w:hAnsi="Times New Roman"/>
          <w:color w:val="0070C0"/>
          <w:sz w:val="16"/>
          <w:szCs w:val="16"/>
        </w:rPr>
        <w:softHyphen/>
        <w:t>седателем избрали инженера-кораблестроителя Владимира Разу</w:t>
      </w:r>
      <w:r w:rsidRPr="00441F34">
        <w:rPr>
          <w:rFonts w:ascii="Times New Roman" w:hAnsi="Times New Roman"/>
          <w:color w:val="0070C0"/>
          <w:sz w:val="16"/>
          <w:szCs w:val="16"/>
        </w:rPr>
        <w:softHyphen/>
        <w:t xml:space="preserve">мова (1890-1967), заместителем — профессора Института путей сообщения Николая </w:t>
      </w:r>
      <w:proofErr w:type="spellStart"/>
      <w:r w:rsidRPr="00441F34">
        <w:rPr>
          <w:rFonts w:ascii="Times New Roman" w:hAnsi="Times New Roman"/>
          <w:color w:val="0070C0"/>
          <w:sz w:val="16"/>
          <w:szCs w:val="16"/>
        </w:rPr>
        <w:t>Рынина</w:t>
      </w:r>
      <w:proofErr w:type="spellEnd"/>
      <w:r w:rsidRPr="00441F34">
        <w:rPr>
          <w:rFonts w:ascii="Times New Roman" w:hAnsi="Times New Roman"/>
          <w:color w:val="0070C0"/>
          <w:sz w:val="16"/>
          <w:szCs w:val="16"/>
        </w:rPr>
        <w:t xml:space="preserve"> (1877-1942).</w:t>
      </w:r>
    </w:p>
    <w:p w14:paraId="52F01C58"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Среди активистов </w:t>
      </w:r>
      <w:proofErr w:type="spellStart"/>
      <w:r w:rsidRPr="00441F34">
        <w:rPr>
          <w:rFonts w:ascii="Times New Roman" w:hAnsi="Times New Roman"/>
          <w:color w:val="0070C0"/>
          <w:sz w:val="16"/>
          <w:szCs w:val="16"/>
        </w:rPr>
        <w:t>ЛенГИРД</w:t>
      </w:r>
      <w:proofErr w:type="spellEnd"/>
      <w:r w:rsidRPr="00441F34">
        <w:rPr>
          <w:rFonts w:ascii="Times New Roman" w:hAnsi="Times New Roman"/>
          <w:color w:val="0070C0"/>
          <w:sz w:val="16"/>
          <w:szCs w:val="16"/>
        </w:rPr>
        <w:t xml:space="preserve"> были инженеры А. Н. Штерн и Е. Е. Чертовской, математик М. В. </w:t>
      </w:r>
      <w:proofErr w:type="spellStart"/>
      <w:r w:rsidRPr="00441F34">
        <w:rPr>
          <w:rFonts w:ascii="Times New Roman" w:hAnsi="Times New Roman"/>
          <w:color w:val="0070C0"/>
          <w:sz w:val="16"/>
          <w:szCs w:val="16"/>
        </w:rPr>
        <w:t>Гажала</w:t>
      </w:r>
      <w:proofErr w:type="spellEnd"/>
      <w:r w:rsidRPr="00441F34">
        <w:rPr>
          <w:rFonts w:ascii="Times New Roman" w:hAnsi="Times New Roman"/>
          <w:color w:val="0070C0"/>
          <w:sz w:val="16"/>
          <w:szCs w:val="16"/>
        </w:rPr>
        <w:t>, физик И. Н. Самарин, популяризатор науки Я. И. Перельман, другие известные в Ле</w:t>
      </w:r>
      <w:r w:rsidRPr="00441F34">
        <w:rPr>
          <w:rFonts w:ascii="Times New Roman" w:hAnsi="Times New Roman"/>
          <w:color w:val="0070C0"/>
          <w:sz w:val="16"/>
          <w:szCs w:val="16"/>
        </w:rPr>
        <w:softHyphen/>
        <w:t>нинграде специалисты различных отраслей науки и техники.</w:t>
      </w:r>
    </w:p>
    <w:p w14:paraId="607C38F4"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 концу 1932 г. численность </w:t>
      </w:r>
      <w:proofErr w:type="spellStart"/>
      <w:r w:rsidRPr="00441F34">
        <w:rPr>
          <w:rFonts w:ascii="Times New Roman" w:hAnsi="Times New Roman"/>
          <w:color w:val="0070C0"/>
          <w:sz w:val="16"/>
          <w:szCs w:val="16"/>
        </w:rPr>
        <w:t>ЛенГИРД</w:t>
      </w:r>
      <w:proofErr w:type="spellEnd"/>
      <w:r w:rsidRPr="00441F34">
        <w:rPr>
          <w:rFonts w:ascii="Times New Roman" w:hAnsi="Times New Roman"/>
          <w:color w:val="0070C0"/>
          <w:sz w:val="16"/>
          <w:szCs w:val="16"/>
        </w:rPr>
        <w:t xml:space="preserve"> превысила 400 человек.</w:t>
      </w:r>
    </w:p>
    <w:p w14:paraId="18A1D271"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Согласно докладной записке Пе</w:t>
      </w:r>
      <w:r w:rsidRPr="00441F34">
        <w:rPr>
          <w:rFonts w:ascii="Times New Roman" w:hAnsi="Times New Roman"/>
          <w:color w:val="0070C0"/>
          <w:sz w:val="16"/>
          <w:szCs w:val="16"/>
        </w:rPr>
        <w:softHyphen/>
        <w:t>рельмана, составленной в декабре 1931 г., группа состояла из 4-х отделов:</w:t>
      </w:r>
    </w:p>
    <w:p w14:paraId="1312FED0"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проектного (руководитель В. В. Разумов);</w:t>
      </w:r>
    </w:p>
    <w:p w14:paraId="5AC62928"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лабораторного (А. Н. Штерн);</w:t>
      </w:r>
    </w:p>
    <w:p w14:paraId="7F25DB30"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исследовательского (М. В. Га- жала);</w:t>
      </w:r>
    </w:p>
    <w:p w14:paraId="6A56C3B6"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пропагандистского (Я. И. Пе</w:t>
      </w:r>
      <w:r w:rsidRPr="00441F34">
        <w:rPr>
          <w:rFonts w:ascii="Times New Roman" w:hAnsi="Times New Roman"/>
          <w:color w:val="0070C0"/>
          <w:sz w:val="16"/>
          <w:szCs w:val="16"/>
        </w:rPr>
        <w:softHyphen/>
        <w:t>рельман).</w:t>
      </w:r>
    </w:p>
    <w:p w14:paraId="1D9EFFF3"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Проектный отдел разрабатывал, в общей сложности, 7 проектов ракет.</w:t>
      </w:r>
    </w:p>
    <w:p w14:paraId="77CDD727" w14:textId="77777777" w:rsidR="00723FFB" w:rsidRPr="00441F34" w:rsidRDefault="00723FFB" w:rsidP="00723FFB">
      <w:pPr>
        <w:spacing w:after="0" w:line="240" w:lineRule="auto"/>
        <w:jc w:val="both"/>
        <w:rPr>
          <w:rFonts w:ascii="Times New Roman" w:hAnsi="Times New Roman"/>
          <w:color w:val="0070C0"/>
          <w:sz w:val="16"/>
          <w:szCs w:val="16"/>
        </w:rPr>
      </w:pPr>
    </w:p>
    <w:p w14:paraId="17471DA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E49A69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8828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ноября 1931 после рассмотрения проектов ФВВ на заседании научно-техни</w:t>
      </w:r>
      <w:r w:rsidRPr="007122AB">
        <w:rPr>
          <w:rFonts w:ascii="Times New Roman" w:hAnsi="Times New Roman"/>
          <w:color w:val="000000" w:themeColor="text1"/>
          <w:sz w:val="16"/>
          <w:szCs w:val="16"/>
        </w:rPr>
        <w:softHyphen/>
        <w:t>ческого комитета (НТК) УММ РККА, предсе</w:t>
      </w:r>
      <w:r w:rsidRPr="007122AB">
        <w:rPr>
          <w:rFonts w:ascii="Times New Roman" w:hAnsi="Times New Roman"/>
          <w:color w:val="000000" w:themeColor="text1"/>
          <w:sz w:val="16"/>
          <w:szCs w:val="16"/>
        </w:rPr>
        <w:softHyphen/>
        <w:t>датель НТК Лебедев направил в АТТБ ЭКУ ОГПУ письмо следующего содержания: «Ваши проекты бронеавтомобиля на трехосном шасси «Форд-</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утверждаются со сле</w:t>
      </w:r>
      <w:r w:rsidRPr="007122AB">
        <w:rPr>
          <w:rFonts w:ascii="Times New Roman" w:hAnsi="Times New Roman"/>
          <w:color w:val="000000" w:themeColor="text1"/>
          <w:sz w:val="16"/>
          <w:szCs w:val="16"/>
        </w:rPr>
        <w:softHyphen/>
        <w:t>дующими изменениями:</w:t>
      </w:r>
    </w:p>
    <w:p w14:paraId="24867A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Устранить зенитный пулемет,</w:t>
      </w:r>
    </w:p>
    <w:p w14:paraId="562330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Сдвинуть вперед башню, а заднюю стенку сделать наклонной.</w:t>
      </w:r>
    </w:p>
    <w:p w14:paraId="1F04659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Прошу срочно принять заказ на изготовление макета и опытного образца» (11284).</w:t>
      </w:r>
    </w:p>
    <w:p w14:paraId="06B91B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30987"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ноября 1931 г. в соответствии с приказом по ВСНХ СССР № 185/с изготовление опытного образца дизеля ПГЕ и проведение его испытаний было поручено ленинградскому заводу «Большевик». 4 декабря 1931 г. председатель 2-й секции НТК УММ РККА В.Д. Свиридов с препроводительным письмом № 9031309 направил директору завода «Большевик» опытный заказ № Ц09031309 на изготовление опытного образца дизеля ПГЕ. Согласно этому документу, завод «Большевик» должен был изготовить и предъявить заказчику опытный образец танкового дизеля в марте 1932 г., при этом стоимость заказа ориентировочно была определена в сумме 100.000 рублей (24856).</w:t>
      </w:r>
    </w:p>
    <w:p w14:paraId="6F3138D6" w14:textId="77777777" w:rsidR="00723FFB" w:rsidRPr="00441F34" w:rsidRDefault="00723FFB" w:rsidP="00723FFB">
      <w:pPr>
        <w:spacing w:after="0" w:line="240" w:lineRule="auto"/>
        <w:jc w:val="both"/>
        <w:rPr>
          <w:rFonts w:ascii="Times New Roman" w:hAnsi="Times New Roman"/>
          <w:color w:val="0070C0"/>
          <w:sz w:val="16"/>
          <w:szCs w:val="16"/>
        </w:rPr>
      </w:pPr>
    </w:p>
    <w:p w14:paraId="0651B3D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076C776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2D6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ноября 1931-го постановлением СТО № 516 для добычи золота в верховьях реки Колымы был образован Государственный трест по дорожному и промышленному строительству в районе Верхней Колымы, сокращенно - «Дальстрой». Хотя с момента организации Дальстрой подчинялся непосредственно СТО, а затем СНК СССР (формально в ведение НКВД его передали только в марте 1938-го), директором нового треста сразу же назначили чекиста Э. П. Берзина, ранее возглавлявшего </w:t>
      </w:r>
      <w:proofErr w:type="spellStart"/>
      <w:r w:rsidRPr="007122AB">
        <w:rPr>
          <w:rFonts w:ascii="Times New Roman" w:hAnsi="Times New Roman"/>
          <w:color w:val="000000" w:themeColor="text1"/>
          <w:sz w:val="16"/>
          <w:szCs w:val="16"/>
        </w:rPr>
        <w:t>Вишерлаг</w:t>
      </w:r>
      <w:proofErr w:type="spellEnd"/>
      <w:r w:rsidRPr="007122AB">
        <w:rPr>
          <w:rFonts w:ascii="Times New Roman" w:hAnsi="Times New Roman"/>
          <w:color w:val="000000" w:themeColor="text1"/>
          <w:sz w:val="16"/>
          <w:szCs w:val="16"/>
        </w:rPr>
        <w:t xml:space="preserve"> ОГПУ, а наблюдение и контроль за деятельность Дальстроя возложили за зампреда ОГПУ Г. Г. Ягоду (7560).</w:t>
      </w:r>
    </w:p>
    <w:p w14:paraId="53720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8E5329" w14:textId="77777777" w:rsidR="00F12FE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A193AB8" w14:textId="77777777" w:rsidR="00F12FE0" w:rsidRPr="007122AB" w:rsidRDefault="00F12FE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EE4AC3"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13 ноября </w:t>
      </w:r>
      <w:r w:rsidRPr="007122AB">
        <w:rPr>
          <w:rFonts w:ascii="Times New Roman" w:hAnsi="Times New Roman"/>
          <w:color w:val="000000" w:themeColor="text1"/>
          <w:sz w:val="16"/>
          <w:szCs w:val="16"/>
        </w:rPr>
        <w:t>в 1931 году американец русского происхождения Владимир Зворыкин (1889-1981) создает иконоскоп — первую в мире электронно-лучевую трубку для телевизионного передатчика. Он эмигрировал в 1918 г., с 1919 — в США (свыше 120 патентов и более 80 научных работ) (14829).</w:t>
      </w:r>
    </w:p>
    <w:p w14:paraId="44B6CADE"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3391910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276508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FB21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ноября 1931 окончились повторные гос. испытания МДР-2, которые начались с 8 октября 1931. Хорошая мореходность. Признан неперспективным - устарел (92,355).</w:t>
      </w:r>
    </w:p>
    <w:p w14:paraId="204EA3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гос. испытания начались только 15 февраля 1932.</w:t>
      </w:r>
    </w:p>
    <w:p w14:paraId="03D02C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364AD5"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14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233сс о производственной программе моторостроительных заводов ВАО на 1932 г. (ГА РФ. Ф. Р?8418. Оп. 28. Д. 1а. Л. 85) (12415).</w:t>
      </w:r>
    </w:p>
    <w:p w14:paraId="11E1A6FF"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p>
    <w:p w14:paraId="56D2014D" w14:textId="77777777" w:rsidR="004F04A7" w:rsidRPr="007122AB" w:rsidRDefault="004F04A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14 ноября 1931 вышло постановление № 233сс РЗ СТО или КО (№ 921/ко от 16.11.1931 г.) - 0 производственной программе моторостроительных заводов Всесоюзного </w:t>
      </w:r>
      <w:proofErr w:type="spellStart"/>
      <w:r w:rsidRPr="007122AB">
        <w:rPr>
          <w:rFonts w:ascii="Times New Roman" w:eastAsia="Times New Roman" w:hAnsi="Times New Roman"/>
          <w:color w:val="000000" w:themeColor="text1"/>
          <w:sz w:val="16"/>
          <w:szCs w:val="16"/>
          <w:lang w:eastAsia="ru-RU"/>
        </w:rPr>
        <w:t>авиообъединения</w:t>
      </w:r>
      <w:proofErr w:type="spellEnd"/>
      <w:r w:rsidRPr="007122AB">
        <w:rPr>
          <w:rFonts w:ascii="Times New Roman" w:eastAsia="Times New Roman" w:hAnsi="Times New Roman"/>
          <w:color w:val="000000" w:themeColor="text1"/>
          <w:sz w:val="16"/>
          <w:szCs w:val="16"/>
          <w:lang w:eastAsia="ru-RU"/>
        </w:rPr>
        <w:t xml:space="preserve"> на 1932 год (21565).</w:t>
      </w:r>
    </w:p>
    <w:p w14:paraId="5188D125" w14:textId="77777777" w:rsidR="004F04A7" w:rsidRPr="007122AB" w:rsidRDefault="004F04A7" w:rsidP="007122AB">
      <w:pPr>
        <w:spacing w:after="0" w:line="240" w:lineRule="auto"/>
        <w:jc w:val="both"/>
        <w:rPr>
          <w:rFonts w:ascii="Times New Roman" w:hAnsi="Times New Roman"/>
          <w:color w:val="000000" w:themeColor="text1"/>
          <w:sz w:val="16"/>
          <w:szCs w:val="16"/>
        </w:rPr>
      </w:pPr>
    </w:p>
    <w:p w14:paraId="18D041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ноября 1931 закончились войсковые испытания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В октябре 1931 учебную атаку провела пара ТБ-1 во время учений флота. Сбросили 2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(1966,10).</w:t>
      </w:r>
    </w:p>
    <w:p w14:paraId="0869F2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7C4F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ноября 1931 началась организация широкой сети планерных школ без отрыва от производства. Потом стали парашютно-планерными клубами (271,127).</w:t>
      </w:r>
    </w:p>
    <w:p w14:paraId="32F2D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EE1B21" w14:textId="77777777" w:rsidR="00F12FE0"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1939C40" w14:textId="77777777" w:rsidR="00F12FE0" w:rsidRPr="007122AB" w:rsidRDefault="00F12FE0"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DE263B" w14:textId="77777777" w:rsidR="00F12FE0" w:rsidRPr="007122AB" w:rsidRDefault="00F12FE0" w:rsidP="007122AB">
      <w:pPr>
        <w:pStyle w:val="rtejustify"/>
        <w:spacing w:before="0" w:after="0"/>
        <w:rPr>
          <w:color w:val="000000" w:themeColor="text1"/>
          <w:sz w:val="16"/>
          <w:szCs w:val="16"/>
        </w:rPr>
      </w:pPr>
      <w:r w:rsidRPr="007122AB">
        <w:rPr>
          <w:color w:val="000000" w:themeColor="text1"/>
          <w:sz w:val="16"/>
          <w:szCs w:val="16"/>
        </w:rPr>
        <w:t>14 ноября 1931 г. состоялось заседание Комиссии обороны СССР, которое постановило принять за основу программу строительства морских сил, предложенную Наркомвоенмором (ГА РФ. Ф. 8418. Оп. 28. Д. 125. Л. 92</w:t>
      </w:r>
      <w:r w:rsidRPr="007122AB">
        <w:rPr>
          <w:color w:val="000000" w:themeColor="text1"/>
          <w:sz w:val="16"/>
          <w:szCs w:val="16"/>
        </w:rPr>
        <w:noBreakHyphen/>
        <w:t>94) (15253).</w:t>
      </w:r>
    </w:p>
    <w:p w14:paraId="336D7D40" w14:textId="77777777" w:rsidR="00F12FE0" w:rsidRPr="007122AB" w:rsidRDefault="00F12FE0" w:rsidP="007122AB">
      <w:pPr>
        <w:pStyle w:val="rtejustify"/>
        <w:spacing w:before="0" w:after="0"/>
        <w:rPr>
          <w:color w:val="000000" w:themeColor="text1"/>
          <w:sz w:val="16"/>
          <w:szCs w:val="16"/>
        </w:rPr>
      </w:pPr>
    </w:p>
    <w:p w14:paraId="0A6AD59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F90FDC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864F2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ноября 1931-го </w:t>
      </w:r>
      <w:proofErr w:type="spellStart"/>
      <w:r w:rsidRPr="007122AB">
        <w:rPr>
          <w:rFonts w:ascii="Times New Roman" w:hAnsi="Times New Roman"/>
          <w:color w:val="000000" w:themeColor="text1"/>
          <w:sz w:val="16"/>
          <w:szCs w:val="16"/>
        </w:rPr>
        <w:t>Л.П.Берия</w:t>
      </w:r>
      <w:proofErr w:type="spellEnd"/>
      <w:r w:rsidRPr="007122AB">
        <w:rPr>
          <w:rFonts w:ascii="Times New Roman" w:hAnsi="Times New Roman"/>
          <w:color w:val="000000" w:themeColor="text1"/>
          <w:sz w:val="16"/>
          <w:szCs w:val="16"/>
        </w:rPr>
        <w:t xml:space="preserve"> стал первым секретарем ЦК КП(б) Грузии и в связи с переходом на партийную работу был 3 декабря освобожден от должностей полпреда ОГПУ в ЗСФСР и члена Коллегии ОГПУ (7557).</w:t>
      </w:r>
    </w:p>
    <w:p w14:paraId="13B7A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FD225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51B11E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8AFB39"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ноября 1931 г. Протокол ПБ № 75 п.59/27: О самолетостроении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 ОП. Решено подтвердить постановление Комиссии обороны о производстве ВОГВФ 100 стальных самолетов в 1932 году (15897).</w:t>
      </w:r>
    </w:p>
    <w:p w14:paraId="50D4A2E8"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087A7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15 ноября 1931 по 17 февраля 1932 проходили испытания самолета Р-5 N 4629 (эталон на 1932 год) с мотором М-17 Е=6 N 26494 с испытанием на штопор при разных центровках.</w:t>
      </w:r>
    </w:p>
    <w:p w14:paraId="5D818D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Отв. исполнители:</w:t>
      </w:r>
    </w:p>
    <w:p w14:paraId="4E19B6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 ведущий самолет Жемчужин</w:t>
      </w:r>
    </w:p>
    <w:p w14:paraId="4B8A8E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Байдуков</w:t>
      </w:r>
    </w:p>
    <w:p w14:paraId="1D8EF1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испытания:</w:t>
      </w:r>
    </w:p>
    <w:p w14:paraId="0FD110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6275F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w:t>
      </w:r>
    </w:p>
    <w:p w14:paraId="6249B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Фактически испытания начались 25 декабря 1931 (3064).</w:t>
      </w:r>
    </w:p>
    <w:p w14:paraId="408C3D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1FF9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15 ноября 1931 по 17 февраля 1932 проходили гос. испытания Р-5 М-17 эталон 1932 (6778).</w:t>
      </w:r>
    </w:p>
    <w:p w14:paraId="68B4289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875C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ноября 1931 в ходе испытания самолета Р5 N 4629 с испытанием на штопор при разных центровках самолет получен с завода N 1 с недоведенным оборудованием для определения центровки. 22.09.31 - составлен совместно с заводом протокол необходимых доделок и самолет сдан на завод N 1. 7.12.31 г. - самолет получен с завода для испытания. 7.12-18.12 - работы не производились. 20.12-23.12 - во 2-й эскадрильи не было летчика для проведения испытания (3064).</w:t>
      </w:r>
    </w:p>
    <w:p w14:paraId="7DF9C3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C3D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15 ноября 1931 г. по 17 февраля 1932 г. эталон Р-5 на 1932 год, которым стал самолет № 4629 проходила испытания в НИИ ВВС; летал Г.Ф. Байдуков.</w:t>
      </w:r>
    </w:p>
    <w:p w14:paraId="00EED1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 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w:t>
      </w:r>
    </w:p>
    <w:p w14:paraId="64E416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от установки Дер-13 под крылом отказались. Переход на комплект из двух Дер-7 и двух Дер-13 резко уменьшал бомбовую нагрузку при подвеске мелких бомб: на балки Дер-13 они вообще не могли подвешиваться. Кроме того, неудачная конструкция проводки тросиков привела к очень большому усилию на ручке механического сбрасывателя. Летнабу приходилось тянуть ее двумя руками. Остальные нововведения были одобрены.</w:t>
      </w:r>
    </w:p>
    <w:p w14:paraId="1D3F8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w:t>
      </w:r>
      <w:proofErr w:type="spellStart"/>
      <w:r w:rsidRPr="007122AB">
        <w:rPr>
          <w:rFonts w:ascii="Times New Roman" w:hAnsi="Times New Roman"/>
          <w:color w:val="000000" w:themeColor="text1"/>
          <w:sz w:val="16"/>
          <w:szCs w:val="16"/>
        </w:rPr>
        <w:t>подфюзеляжные</w:t>
      </w:r>
      <w:proofErr w:type="spellEnd"/>
      <w:r w:rsidRPr="007122AB">
        <w:rPr>
          <w:rFonts w:ascii="Times New Roman" w:hAnsi="Times New Roman"/>
          <w:color w:val="000000" w:themeColor="text1"/>
          <w:sz w:val="16"/>
          <w:szCs w:val="16"/>
        </w:rPr>
        <w:t xml:space="preserve">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29B08A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74BED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5769BD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93C6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ноября 1931 ПРОТОКОЛ совещания по вопросу о программе летных испытаний сам. И-5 от 15/Х1-31 г.</w:t>
      </w:r>
    </w:p>
    <w:p w14:paraId="563E6A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ПРИСУТСТВУЮТ: от 132 секции Поликарпов, Фомин, Гиммельфарб,</w:t>
      </w:r>
    </w:p>
    <w:p w14:paraId="338E94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 112 Гончаров, </w:t>
      </w:r>
      <w:proofErr w:type="spellStart"/>
      <w:r w:rsidRPr="007122AB">
        <w:rPr>
          <w:rFonts w:ascii="Times New Roman" w:hAnsi="Times New Roman"/>
          <w:color w:val="000000" w:themeColor="text1"/>
          <w:sz w:val="16"/>
          <w:szCs w:val="16"/>
        </w:rPr>
        <w:t>Остославский</w:t>
      </w:r>
      <w:proofErr w:type="spellEnd"/>
      <w:r w:rsidRPr="007122AB">
        <w:rPr>
          <w:rFonts w:ascii="Times New Roman" w:hAnsi="Times New Roman"/>
          <w:color w:val="000000" w:themeColor="text1"/>
          <w:sz w:val="16"/>
          <w:szCs w:val="16"/>
        </w:rPr>
        <w:t>.</w:t>
      </w:r>
    </w:p>
    <w:p w14:paraId="7FD4D1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Установить полную программу испытаний для данного самолета в следующем объеме:</w:t>
      </w:r>
    </w:p>
    <w:p w14:paraId="226DB29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Километраж</w:t>
      </w:r>
    </w:p>
    <w:p w14:paraId="65681E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w:t>
      </w:r>
      <w:proofErr w:type="spellStart"/>
      <w:r w:rsidRPr="007122AB">
        <w:rPr>
          <w:rFonts w:ascii="Times New Roman" w:hAnsi="Times New Roman"/>
          <w:color w:val="000000" w:themeColor="text1"/>
          <w:sz w:val="16"/>
          <w:szCs w:val="16"/>
        </w:rPr>
        <w:t>Скоропод"емность</w:t>
      </w:r>
      <w:proofErr w:type="spellEnd"/>
      <w:r w:rsidRPr="007122AB">
        <w:rPr>
          <w:rFonts w:ascii="Times New Roman" w:hAnsi="Times New Roman"/>
          <w:color w:val="000000" w:themeColor="text1"/>
          <w:sz w:val="16"/>
          <w:szCs w:val="16"/>
        </w:rPr>
        <w:t xml:space="preserve"> на 5000 м.</w:t>
      </w:r>
    </w:p>
    <w:p w14:paraId="6664D6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Маневренности вираж, восьмерка, бочка, штопор.</w:t>
      </w:r>
    </w:p>
    <w:p w14:paraId="45980D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Замер посадочной скорости, разбега и пробега.</w:t>
      </w:r>
    </w:p>
    <w:p w14:paraId="75437D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Снятие поляры в полете.</w:t>
      </w:r>
    </w:p>
    <w:p w14:paraId="392E628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Считать необходимым произвести испытание по полной про</w:t>
      </w:r>
      <w:r w:rsidRPr="007122AB">
        <w:rPr>
          <w:rFonts w:ascii="Times New Roman" w:hAnsi="Times New Roman"/>
          <w:color w:val="000000" w:themeColor="text1"/>
          <w:sz w:val="16"/>
          <w:szCs w:val="16"/>
        </w:rPr>
        <w:softHyphen/>
        <w:t>грамме для нормального серийного самолета, каковой в дальнейшем выделить в распоряжение 132 секции на все- время испытаний.</w:t>
      </w:r>
    </w:p>
    <w:p w14:paraId="4386E95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Для учета и исчерпывающей оценки влияния отдельных фак</w:t>
      </w:r>
      <w:r w:rsidRPr="007122AB">
        <w:rPr>
          <w:rFonts w:ascii="Times New Roman" w:hAnsi="Times New Roman"/>
          <w:color w:val="000000" w:themeColor="text1"/>
          <w:sz w:val="16"/>
          <w:szCs w:val="16"/>
        </w:rPr>
        <w:softHyphen/>
        <w:t xml:space="preserve">торов считать необходимым произвести испытания только на </w:t>
      </w:r>
      <w:proofErr w:type="spellStart"/>
      <w:r w:rsidRPr="007122AB">
        <w:rPr>
          <w:rFonts w:ascii="Times New Roman" w:hAnsi="Times New Roman"/>
          <w:color w:val="000000" w:themeColor="text1"/>
          <w:sz w:val="16"/>
          <w:szCs w:val="16"/>
        </w:rPr>
        <w:t>километ</w:t>
      </w:r>
      <w:proofErr w:type="spellEnd"/>
      <w:r w:rsidRPr="007122AB">
        <w:rPr>
          <w:rFonts w:ascii="Times New Roman" w:hAnsi="Times New Roman"/>
          <w:color w:val="000000" w:themeColor="text1"/>
          <w:sz w:val="16"/>
          <w:szCs w:val="16"/>
        </w:rPr>
        <w:t xml:space="preserve"> раж- самолета со следующими изменениями /с каждым в отдельности/.</w:t>
      </w:r>
    </w:p>
    <w:p w14:paraId="29B200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 новыми колесами 700x100»</w:t>
      </w:r>
    </w:p>
    <w:p w14:paraId="2CD9590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То же с обтекателями на колесах.</w:t>
      </w:r>
    </w:p>
    <w:p w14:paraId="293994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То же с улучшенным обтекателем оси.</w:t>
      </w:r>
    </w:p>
    <w:p w14:paraId="20F637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С заделанным щелями и неровностями фюзеляжа /дверцы, уступы и т.д./</w:t>
      </w:r>
    </w:p>
    <w:p w14:paraId="20A9AF4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С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для чего взять лучший из продутых в трубе Т-2 /хорда 350 мм, угол атаки - 4°/.</w:t>
      </w:r>
    </w:p>
    <w:p w14:paraId="28B534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То те с добавлением новых индивидуальных обтекателей.</w:t>
      </w:r>
    </w:p>
    <w:p w14:paraId="4AB723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С кольцом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xml:space="preserve"> с коллектором.</w:t>
      </w:r>
    </w:p>
    <w:p w14:paraId="6EEB9A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С закрытыми- пулеметными желобами и с трубами для стрель</w:t>
      </w:r>
      <w:r w:rsidRPr="007122AB">
        <w:rPr>
          <w:rFonts w:ascii="Times New Roman" w:hAnsi="Times New Roman"/>
          <w:color w:val="000000" w:themeColor="text1"/>
          <w:sz w:val="16"/>
          <w:szCs w:val="16"/>
        </w:rPr>
        <w:softHyphen/>
        <w:t>бы.</w:t>
      </w:r>
    </w:p>
    <w:p w14:paraId="5FA0EBD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 закрытыми щелями между оперением и фюзеляжем.</w:t>
      </w:r>
    </w:p>
    <w:p w14:paraId="3B84BC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С измененным носовым уступом /щель между коком винта и капотом мотора/.</w:t>
      </w:r>
    </w:p>
    <w:p w14:paraId="6E3F43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 С улучшенным обтеканием пилотского места.</w:t>
      </w:r>
    </w:p>
    <w:p w14:paraId="0C02D6A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С улучшенным воздуховсасывающим патрубком.</w:t>
      </w:r>
    </w:p>
    <w:p w14:paraId="63F24C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С другими винтами /в том числе с металлическим/</w:t>
      </w:r>
    </w:p>
    <w:p w14:paraId="6178C6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После отдельных испытаний произвести испытание по пол</w:t>
      </w:r>
      <w:r w:rsidRPr="007122AB">
        <w:rPr>
          <w:rFonts w:ascii="Times New Roman" w:hAnsi="Times New Roman"/>
          <w:color w:val="000000" w:themeColor="text1"/>
          <w:sz w:val="16"/>
          <w:szCs w:val="16"/>
        </w:rPr>
        <w:softHyphen/>
        <w:t>юй программе со всеми изменениями пунктов 4-16 одновременно.</w:t>
      </w:r>
    </w:p>
    <w:p w14:paraId="715418A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Испытать по полной программе самолет с крыльями из</w:t>
      </w:r>
      <w:r w:rsidRPr="007122AB">
        <w:rPr>
          <w:rFonts w:ascii="Times New Roman" w:hAnsi="Times New Roman"/>
          <w:color w:val="000000" w:themeColor="text1"/>
          <w:sz w:val="16"/>
          <w:szCs w:val="16"/>
        </w:rPr>
        <w:softHyphen/>
        <w:t>мененного профиля и со всеми изменениями пунктов 4-16.</w:t>
      </w:r>
    </w:p>
    <w:p w14:paraId="42419BC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Для успешного проведения испытаний и переделок орга</w:t>
      </w:r>
      <w:r w:rsidRPr="007122AB">
        <w:rPr>
          <w:rFonts w:ascii="Times New Roman" w:hAnsi="Times New Roman"/>
          <w:color w:val="000000" w:themeColor="text1"/>
          <w:sz w:val="16"/>
          <w:szCs w:val="16"/>
        </w:rPr>
        <w:softHyphen/>
        <w:t>низовать сквозную бригаду в составе представителей от 132 сек</w:t>
      </w:r>
      <w:r w:rsidRPr="007122AB">
        <w:rPr>
          <w:rFonts w:ascii="Times New Roman" w:hAnsi="Times New Roman"/>
          <w:color w:val="000000" w:themeColor="text1"/>
          <w:sz w:val="16"/>
          <w:szCs w:val="16"/>
        </w:rPr>
        <w:softHyphen/>
        <w:t xml:space="preserve">ции Поликарпов, Фомин, Гиммельфарб, от 112 секции: Гончаров, </w:t>
      </w:r>
      <w:proofErr w:type="spellStart"/>
      <w:r w:rsidRPr="007122AB">
        <w:rPr>
          <w:rFonts w:ascii="Times New Roman" w:hAnsi="Times New Roman"/>
          <w:color w:val="000000" w:themeColor="text1"/>
          <w:sz w:val="16"/>
          <w:szCs w:val="16"/>
        </w:rPr>
        <w:t>Остославский</w:t>
      </w:r>
      <w:proofErr w:type="spellEnd"/>
      <w:r w:rsidRPr="007122AB">
        <w:rPr>
          <w:rFonts w:ascii="Times New Roman" w:hAnsi="Times New Roman"/>
          <w:color w:val="000000" w:themeColor="text1"/>
          <w:sz w:val="16"/>
          <w:szCs w:val="16"/>
        </w:rPr>
        <w:t>, от ЛИС, от секции испытаний в натуру Тайц и от производства</w:t>
      </w:r>
    </w:p>
    <w:p w14:paraId="6A01D94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Все испытания вести на одном и тон же полетном весе.</w:t>
      </w:r>
    </w:p>
    <w:p w14:paraId="63F8D37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5DDFD"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15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Протокол заседания Политбюро ЦК ВКП(б) № 75. Опросом членов ПБ от 15 ноября 1931 г. 59/27. О самолетостроении (</w:t>
      </w:r>
      <w:proofErr w:type="spellStart"/>
      <w:r w:rsidRPr="007122AB">
        <w:rPr>
          <w:rFonts w:ascii="Times New Roman" w:hAnsi="Times New Roman"/>
          <w:color w:val="000000" w:themeColor="text1"/>
          <w:sz w:val="16"/>
          <w:szCs w:val="16"/>
          <w:u w:color="002060"/>
        </w:rPr>
        <w:t>Гольцман</w:t>
      </w:r>
      <w:proofErr w:type="spellEnd"/>
      <w:r w:rsidRPr="007122AB">
        <w:rPr>
          <w:rFonts w:ascii="Times New Roman" w:hAnsi="Times New Roman"/>
          <w:color w:val="000000" w:themeColor="text1"/>
          <w:sz w:val="16"/>
          <w:szCs w:val="16"/>
          <w:u w:color="002060"/>
        </w:rPr>
        <w:t>). — ОП. Постановили: подтвердить постановление Комиссии обороны о производстве ВОГВФ 100 стальных самолетов в 1932 г. (Политбюро... Т. 2. С. 240, 242; РГАСПИ. Ф. 17. Оп. 162. Д. 11. Л. 48) (12416).</w:t>
      </w:r>
    </w:p>
    <w:p w14:paraId="36B2179D" w14:textId="77777777" w:rsidR="00513C11" w:rsidRPr="007122AB" w:rsidRDefault="00513C11" w:rsidP="007122AB">
      <w:pPr>
        <w:spacing w:after="0" w:line="240" w:lineRule="auto"/>
        <w:jc w:val="both"/>
        <w:rPr>
          <w:rFonts w:ascii="Times New Roman" w:hAnsi="Times New Roman"/>
          <w:color w:val="000000" w:themeColor="text1"/>
          <w:sz w:val="16"/>
          <w:szCs w:val="16"/>
          <w:u w:color="002060"/>
        </w:rPr>
      </w:pPr>
    </w:p>
    <w:p w14:paraId="6940C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ноября 1931 года начальник бомбардировочного отделения НИИ ВВС Карташев подготовил Сведения о бомбах и взрывателях прошедших испытания в 4-м отделе НИИ ВВС с 20 ноября 1930 года по 15 ноября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4484"/>
        <w:gridCol w:w="2887"/>
      </w:tblGrid>
      <w:tr w:rsidR="001002C3" w:rsidRPr="007122AB" w14:paraId="2DFD8810" w14:textId="77777777">
        <w:tc>
          <w:tcPr>
            <w:tcW w:w="3652" w:type="dxa"/>
          </w:tcPr>
          <w:p w14:paraId="742C49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Объект испытания</w:t>
            </w:r>
          </w:p>
        </w:tc>
        <w:tc>
          <w:tcPr>
            <w:tcW w:w="4484" w:type="dxa"/>
          </w:tcPr>
          <w:p w14:paraId="6216E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Дата испытания</w:t>
            </w:r>
          </w:p>
        </w:tc>
        <w:tc>
          <w:tcPr>
            <w:tcW w:w="2887" w:type="dxa"/>
          </w:tcPr>
          <w:p w14:paraId="23EBF4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испытания</w:t>
            </w:r>
          </w:p>
        </w:tc>
      </w:tr>
      <w:tr w:rsidR="001002C3" w:rsidRPr="007122AB" w14:paraId="0ECB6216" w14:textId="77777777">
        <w:tc>
          <w:tcPr>
            <w:tcW w:w="3652" w:type="dxa"/>
          </w:tcPr>
          <w:p w14:paraId="72598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Сравнительные испытания 50 и 48 кг бомб</w:t>
            </w:r>
          </w:p>
        </w:tc>
        <w:tc>
          <w:tcPr>
            <w:tcW w:w="4484" w:type="dxa"/>
          </w:tcPr>
          <w:p w14:paraId="6FA7BB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10C5C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Обе бомбы годятся для бомбометания по легким</w:t>
            </w:r>
          </w:p>
        </w:tc>
      </w:tr>
      <w:tr w:rsidR="001002C3" w:rsidRPr="007122AB" w14:paraId="65810581" w14:textId="77777777">
        <w:tc>
          <w:tcPr>
            <w:tcW w:w="3652" w:type="dxa"/>
          </w:tcPr>
          <w:p w14:paraId="2B7EA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344AF1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A18D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деревянным перекрытиям</w:t>
            </w:r>
          </w:p>
        </w:tc>
      </w:tr>
      <w:tr w:rsidR="001002C3" w:rsidRPr="007122AB" w14:paraId="59B4492D" w14:textId="77777777">
        <w:tc>
          <w:tcPr>
            <w:tcW w:w="3652" w:type="dxa"/>
          </w:tcPr>
          <w:p w14:paraId="21BD1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кг фуг. Бомба марки "Д"</w:t>
            </w:r>
          </w:p>
        </w:tc>
        <w:tc>
          <w:tcPr>
            <w:tcW w:w="4484" w:type="dxa"/>
          </w:tcPr>
          <w:p w14:paraId="6E2865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1ED7D9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Неудовлетворительна</w:t>
            </w:r>
          </w:p>
        </w:tc>
      </w:tr>
      <w:tr w:rsidR="001002C3" w:rsidRPr="007122AB" w14:paraId="4F67A620" w14:textId="77777777">
        <w:tc>
          <w:tcPr>
            <w:tcW w:w="3652" w:type="dxa"/>
          </w:tcPr>
          <w:p w14:paraId="746820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 кг фуг. Бомба</w:t>
            </w:r>
          </w:p>
        </w:tc>
        <w:tc>
          <w:tcPr>
            <w:tcW w:w="4484" w:type="dxa"/>
          </w:tcPr>
          <w:p w14:paraId="59B02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55C3B0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3384B0F2" w14:textId="77777777">
        <w:tc>
          <w:tcPr>
            <w:tcW w:w="3652" w:type="dxa"/>
          </w:tcPr>
          <w:p w14:paraId="565D09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1000 кг фуг. Бомба с широк. </w:t>
            </w:r>
            <w:proofErr w:type="spellStart"/>
            <w:r w:rsidRPr="007122AB">
              <w:rPr>
                <w:rFonts w:ascii="Times New Roman" w:hAnsi="Times New Roman"/>
                <w:color w:val="000000" w:themeColor="text1"/>
                <w:sz w:val="16"/>
                <w:szCs w:val="16"/>
              </w:rPr>
              <w:t>Стабилиз</w:t>
            </w:r>
            <w:proofErr w:type="spellEnd"/>
            <w:r w:rsidRPr="007122AB">
              <w:rPr>
                <w:rFonts w:ascii="Times New Roman" w:hAnsi="Times New Roman"/>
                <w:color w:val="000000" w:themeColor="text1"/>
                <w:sz w:val="16"/>
                <w:szCs w:val="16"/>
              </w:rPr>
              <w:t>.</w:t>
            </w:r>
          </w:p>
        </w:tc>
        <w:tc>
          <w:tcPr>
            <w:tcW w:w="4484" w:type="dxa"/>
          </w:tcPr>
          <w:p w14:paraId="4A47C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3EC1FF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3351D07B" w14:textId="77777777">
        <w:tc>
          <w:tcPr>
            <w:tcW w:w="3652" w:type="dxa"/>
          </w:tcPr>
          <w:p w14:paraId="0484F9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Подбор </w:t>
            </w:r>
            <w:proofErr w:type="spellStart"/>
            <w:r w:rsidRPr="007122AB">
              <w:rPr>
                <w:rFonts w:ascii="Times New Roman" w:hAnsi="Times New Roman"/>
                <w:color w:val="000000" w:themeColor="text1"/>
                <w:sz w:val="16"/>
                <w:szCs w:val="16"/>
              </w:rPr>
              <w:t>наивыгоднейшего</w:t>
            </w:r>
            <w:proofErr w:type="spellEnd"/>
            <w:r w:rsidRPr="007122AB">
              <w:rPr>
                <w:rFonts w:ascii="Times New Roman" w:hAnsi="Times New Roman"/>
                <w:color w:val="000000" w:themeColor="text1"/>
                <w:sz w:val="16"/>
                <w:szCs w:val="16"/>
              </w:rPr>
              <w:t xml:space="preserve"> замедления к</w:t>
            </w:r>
          </w:p>
        </w:tc>
        <w:tc>
          <w:tcPr>
            <w:tcW w:w="4484" w:type="dxa"/>
          </w:tcPr>
          <w:p w14:paraId="7C541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4188AC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5345FB" w14:textId="77777777">
        <w:tc>
          <w:tcPr>
            <w:tcW w:w="3652" w:type="dxa"/>
          </w:tcPr>
          <w:p w14:paraId="64B7DE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фуг. бомбе 20 кг</w:t>
            </w:r>
          </w:p>
        </w:tc>
        <w:tc>
          <w:tcPr>
            <w:tcW w:w="4484" w:type="dxa"/>
          </w:tcPr>
          <w:p w14:paraId="7CD7B4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7A3055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 хороша для действия против полевых бетонных</w:t>
            </w:r>
          </w:p>
        </w:tc>
      </w:tr>
      <w:tr w:rsidR="001002C3" w:rsidRPr="007122AB" w14:paraId="361B4C7E" w14:textId="77777777">
        <w:tc>
          <w:tcPr>
            <w:tcW w:w="3652" w:type="dxa"/>
          </w:tcPr>
          <w:p w14:paraId="34B08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72F7A4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16EE3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сооружений</w:t>
            </w:r>
          </w:p>
        </w:tc>
      </w:tr>
      <w:tr w:rsidR="001002C3" w:rsidRPr="007122AB" w14:paraId="17D1B60A" w14:textId="77777777">
        <w:tc>
          <w:tcPr>
            <w:tcW w:w="3652" w:type="dxa"/>
          </w:tcPr>
          <w:p w14:paraId="50525C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Головные взрыватели Вишнев. С замедлен.</w:t>
            </w:r>
          </w:p>
        </w:tc>
        <w:tc>
          <w:tcPr>
            <w:tcW w:w="4484" w:type="dxa"/>
          </w:tcPr>
          <w:p w14:paraId="02A74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67147B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Неудовлетворительна</w:t>
            </w:r>
          </w:p>
        </w:tc>
      </w:tr>
      <w:tr w:rsidR="001002C3" w:rsidRPr="007122AB" w14:paraId="247B32D8" w14:textId="77777777">
        <w:tc>
          <w:tcPr>
            <w:tcW w:w="3652" w:type="dxa"/>
          </w:tcPr>
          <w:p w14:paraId="634169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Головн</w:t>
            </w:r>
            <w:proofErr w:type="spellEnd"/>
            <w:r w:rsidRPr="007122AB">
              <w:rPr>
                <w:rFonts w:ascii="Times New Roman" w:hAnsi="Times New Roman"/>
                <w:color w:val="000000" w:themeColor="text1"/>
                <w:sz w:val="16"/>
                <w:szCs w:val="16"/>
              </w:rPr>
              <w:t>. Взрыватели с переменным до 30</w:t>
            </w:r>
          </w:p>
        </w:tc>
        <w:tc>
          <w:tcPr>
            <w:tcW w:w="4484" w:type="dxa"/>
          </w:tcPr>
          <w:p w14:paraId="5F74C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мая - 8 июня 1931 г.</w:t>
            </w:r>
          </w:p>
        </w:tc>
        <w:tc>
          <w:tcPr>
            <w:tcW w:w="2887" w:type="dxa"/>
          </w:tcPr>
          <w:p w14:paraId="1E00EC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Необходимо доработать</w:t>
            </w:r>
          </w:p>
        </w:tc>
      </w:tr>
      <w:tr w:rsidR="001002C3" w:rsidRPr="007122AB" w14:paraId="302A53CA" w14:textId="77777777">
        <w:tc>
          <w:tcPr>
            <w:tcW w:w="3652" w:type="dxa"/>
          </w:tcPr>
          <w:p w14:paraId="255A5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 Замедлением типа АГП</w:t>
            </w:r>
          </w:p>
        </w:tc>
        <w:tc>
          <w:tcPr>
            <w:tcW w:w="4484" w:type="dxa"/>
          </w:tcPr>
          <w:p w14:paraId="16D94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8E9E6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1C2CB32" w14:textId="77777777">
        <w:tc>
          <w:tcPr>
            <w:tcW w:w="3652" w:type="dxa"/>
          </w:tcPr>
          <w:p w14:paraId="62DD3D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Мины </w:t>
            </w:r>
            <w:proofErr w:type="spellStart"/>
            <w:r w:rsidRPr="007122AB">
              <w:rPr>
                <w:rFonts w:ascii="Times New Roman" w:hAnsi="Times New Roman"/>
                <w:color w:val="000000" w:themeColor="text1"/>
                <w:sz w:val="16"/>
                <w:szCs w:val="16"/>
              </w:rPr>
              <w:t>Батинваля</w:t>
            </w:r>
            <w:proofErr w:type="spellEnd"/>
          </w:p>
        </w:tc>
        <w:tc>
          <w:tcPr>
            <w:tcW w:w="4484" w:type="dxa"/>
          </w:tcPr>
          <w:p w14:paraId="5C8E59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августа 1931 года</w:t>
            </w:r>
          </w:p>
        </w:tc>
        <w:tc>
          <w:tcPr>
            <w:tcW w:w="2887" w:type="dxa"/>
          </w:tcPr>
          <w:p w14:paraId="5C07C9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Допустить на войсковые испытания при условии</w:t>
            </w:r>
          </w:p>
        </w:tc>
      </w:tr>
      <w:tr w:rsidR="001002C3" w:rsidRPr="007122AB" w14:paraId="79282C00" w14:textId="77777777">
        <w:tc>
          <w:tcPr>
            <w:tcW w:w="3652" w:type="dxa"/>
          </w:tcPr>
          <w:p w14:paraId="18F9FB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492F82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EB32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удлинения </w:t>
            </w:r>
            <w:proofErr w:type="spellStart"/>
            <w:r w:rsidRPr="007122AB">
              <w:rPr>
                <w:rFonts w:ascii="Times New Roman" w:hAnsi="Times New Roman"/>
                <w:color w:val="000000" w:themeColor="text1"/>
                <w:sz w:val="16"/>
                <w:szCs w:val="16"/>
              </w:rPr>
              <w:t>стабил</w:t>
            </w:r>
            <w:proofErr w:type="spellEnd"/>
            <w:r w:rsidRPr="007122AB">
              <w:rPr>
                <w:rFonts w:ascii="Times New Roman" w:hAnsi="Times New Roman"/>
                <w:color w:val="000000" w:themeColor="text1"/>
                <w:sz w:val="16"/>
                <w:szCs w:val="16"/>
              </w:rPr>
              <w:t>. на 30 мм</w:t>
            </w:r>
          </w:p>
        </w:tc>
      </w:tr>
      <w:tr w:rsidR="001002C3" w:rsidRPr="007122AB" w14:paraId="44CB35D4" w14:textId="77777777">
        <w:tc>
          <w:tcPr>
            <w:tcW w:w="3652" w:type="dxa"/>
          </w:tcPr>
          <w:p w14:paraId="152CE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Снаряжение 250 кг фуг. бомб. (50%</w:t>
            </w:r>
          </w:p>
        </w:tc>
        <w:tc>
          <w:tcPr>
            <w:tcW w:w="4484" w:type="dxa"/>
          </w:tcPr>
          <w:p w14:paraId="7675C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0A3B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86CB3A1" w14:textId="77777777">
        <w:tc>
          <w:tcPr>
            <w:tcW w:w="3652" w:type="dxa"/>
          </w:tcPr>
          <w:p w14:paraId="42DCCE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аммиачн</w:t>
            </w:r>
            <w:proofErr w:type="spellEnd"/>
            <w:r w:rsidRPr="007122AB">
              <w:rPr>
                <w:rFonts w:ascii="Times New Roman" w:hAnsi="Times New Roman"/>
                <w:color w:val="000000" w:themeColor="text1"/>
                <w:sz w:val="16"/>
                <w:szCs w:val="16"/>
              </w:rPr>
              <w:t>. селитры и 50% тротила)</w:t>
            </w:r>
          </w:p>
        </w:tc>
        <w:tc>
          <w:tcPr>
            <w:tcW w:w="4484" w:type="dxa"/>
          </w:tcPr>
          <w:p w14:paraId="2BE6E4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августа 1931 года</w:t>
            </w:r>
          </w:p>
        </w:tc>
        <w:tc>
          <w:tcPr>
            <w:tcW w:w="2887" w:type="dxa"/>
          </w:tcPr>
          <w:p w14:paraId="53D39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Неудовлетворительна</w:t>
            </w:r>
          </w:p>
        </w:tc>
      </w:tr>
      <w:tr w:rsidR="001002C3" w:rsidRPr="007122AB" w14:paraId="0AEE6FF1" w14:textId="77777777">
        <w:tc>
          <w:tcPr>
            <w:tcW w:w="3652" w:type="dxa"/>
          </w:tcPr>
          <w:p w14:paraId="7D342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кг фуг. Бомба</w:t>
            </w:r>
          </w:p>
        </w:tc>
        <w:tc>
          <w:tcPr>
            <w:tcW w:w="4484" w:type="dxa"/>
          </w:tcPr>
          <w:p w14:paraId="550321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января 1931 года</w:t>
            </w:r>
          </w:p>
        </w:tc>
        <w:tc>
          <w:tcPr>
            <w:tcW w:w="2887" w:type="dxa"/>
          </w:tcPr>
          <w:p w14:paraId="7430B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67D19F71" w14:textId="77777777">
        <w:tc>
          <w:tcPr>
            <w:tcW w:w="3652" w:type="dxa"/>
          </w:tcPr>
          <w:p w14:paraId="784938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кг хим. Бомба</w:t>
            </w:r>
          </w:p>
        </w:tc>
        <w:tc>
          <w:tcPr>
            <w:tcW w:w="4484" w:type="dxa"/>
          </w:tcPr>
          <w:p w14:paraId="2C114E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апреля 1931 года</w:t>
            </w:r>
          </w:p>
        </w:tc>
        <w:tc>
          <w:tcPr>
            <w:tcW w:w="2887" w:type="dxa"/>
          </w:tcPr>
          <w:p w14:paraId="2EFE2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6A413F91" w14:textId="77777777">
        <w:tc>
          <w:tcPr>
            <w:tcW w:w="3652" w:type="dxa"/>
          </w:tcPr>
          <w:p w14:paraId="6FDE8F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Полнота взрыва бомбы валового</w:t>
            </w:r>
          </w:p>
        </w:tc>
        <w:tc>
          <w:tcPr>
            <w:tcW w:w="4484" w:type="dxa"/>
          </w:tcPr>
          <w:p w14:paraId="482236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638116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EF61E0" w14:textId="77777777">
        <w:tc>
          <w:tcPr>
            <w:tcW w:w="3652" w:type="dxa"/>
          </w:tcPr>
          <w:p w14:paraId="643095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изготовления марки АО8-М2 с </w:t>
            </w:r>
          </w:p>
        </w:tc>
        <w:tc>
          <w:tcPr>
            <w:tcW w:w="4484" w:type="dxa"/>
          </w:tcPr>
          <w:p w14:paraId="36DDE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91377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40998EE" w14:textId="77777777">
        <w:tc>
          <w:tcPr>
            <w:tcW w:w="3652" w:type="dxa"/>
          </w:tcPr>
          <w:p w14:paraId="4C8AD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взрыват</w:t>
            </w:r>
            <w:proofErr w:type="spellEnd"/>
            <w:r w:rsidRPr="007122AB">
              <w:rPr>
                <w:rFonts w:ascii="Times New Roman" w:hAnsi="Times New Roman"/>
                <w:color w:val="000000" w:themeColor="text1"/>
                <w:sz w:val="16"/>
                <w:szCs w:val="16"/>
              </w:rPr>
              <w:t>. АГМ-1</w:t>
            </w:r>
          </w:p>
        </w:tc>
        <w:tc>
          <w:tcPr>
            <w:tcW w:w="4484" w:type="dxa"/>
          </w:tcPr>
          <w:p w14:paraId="04B94E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апреля 1931 года</w:t>
            </w:r>
          </w:p>
        </w:tc>
        <w:tc>
          <w:tcPr>
            <w:tcW w:w="2887" w:type="dxa"/>
          </w:tcPr>
          <w:p w14:paraId="541065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2F56ABB4" w14:textId="77777777">
        <w:tc>
          <w:tcPr>
            <w:tcW w:w="3652" w:type="dxa"/>
          </w:tcPr>
          <w:p w14:paraId="4F3C90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кг светящие бомбы</w:t>
            </w:r>
          </w:p>
        </w:tc>
        <w:tc>
          <w:tcPr>
            <w:tcW w:w="4484" w:type="dxa"/>
          </w:tcPr>
          <w:p w14:paraId="61905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сентября 1931 года</w:t>
            </w:r>
          </w:p>
        </w:tc>
        <w:tc>
          <w:tcPr>
            <w:tcW w:w="2887" w:type="dxa"/>
          </w:tcPr>
          <w:p w14:paraId="78BABF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Неудовлетворительна</w:t>
            </w:r>
          </w:p>
        </w:tc>
      </w:tr>
      <w:tr w:rsidR="001002C3" w:rsidRPr="007122AB" w14:paraId="525F9873" w14:textId="77777777">
        <w:tc>
          <w:tcPr>
            <w:tcW w:w="3652" w:type="dxa"/>
          </w:tcPr>
          <w:p w14:paraId="2B05E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Осветительные горящие на земле бомбы</w:t>
            </w:r>
          </w:p>
        </w:tc>
        <w:tc>
          <w:tcPr>
            <w:tcW w:w="4484" w:type="dxa"/>
          </w:tcPr>
          <w:p w14:paraId="1CEE61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1930 года</w:t>
            </w:r>
          </w:p>
        </w:tc>
        <w:tc>
          <w:tcPr>
            <w:tcW w:w="2887" w:type="dxa"/>
          </w:tcPr>
          <w:p w14:paraId="0018C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Неудовлетворительна</w:t>
            </w:r>
          </w:p>
        </w:tc>
      </w:tr>
      <w:tr w:rsidR="001002C3" w:rsidRPr="007122AB" w14:paraId="6D003BCD" w14:textId="77777777">
        <w:tc>
          <w:tcPr>
            <w:tcW w:w="3652" w:type="dxa"/>
          </w:tcPr>
          <w:p w14:paraId="386843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 кг фуг. бомбы снаряженные</w:t>
            </w:r>
          </w:p>
        </w:tc>
        <w:tc>
          <w:tcPr>
            <w:tcW w:w="4484" w:type="dxa"/>
          </w:tcPr>
          <w:p w14:paraId="12E9D7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FFF3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0061BFB" w14:textId="77777777">
        <w:tc>
          <w:tcPr>
            <w:tcW w:w="3652" w:type="dxa"/>
          </w:tcPr>
          <w:p w14:paraId="3D032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82% </w:t>
            </w:r>
            <w:proofErr w:type="spellStart"/>
            <w:r w:rsidRPr="007122AB">
              <w:rPr>
                <w:rFonts w:ascii="Times New Roman" w:hAnsi="Times New Roman"/>
                <w:color w:val="000000" w:themeColor="text1"/>
                <w:sz w:val="16"/>
                <w:szCs w:val="16"/>
              </w:rPr>
              <w:t>амселитры</w:t>
            </w:r>
            <w:proofErr w:type="spellEnd"/>
            <w:r w:rsidRPr="007122AB">
              <w:rPr>
                <w:rFonts w:ascii="Times New Roman" w:hAnsi="Times New Roman"/>
                <w:color w:val="000000" w:themeColor="text1"/>
                <w:sz w:val="16"/>
                <w:szCs w:val="16"/>
              </w:rPr>
              <w:t xml:space="preserve"> и 18% </w:t>
            </w:r>
            <w:proofErr w:type="spellStart"/>
            <w:r w:rsidRPr="007122AB">
              <w:rPr>
                <w:rFonts w:ascii="Times New Roman" w:hAnsi="Times New Roman"/>
                <w:color w:val="000000" w:themeColor="text1"/>
                <w:sz w:val="16"/>
                <w:szCs w:val="16"/>
              </w:rPr>
              <w:t>кселила</w:t>
            </w:r>
            <w:proofErr w:type="spellEnd"/>
          </w:p>
        </w:tc>
        <w:tc>
          <w:tcPr>
            <w:tcW w:w="4484" w:type="dxa"/>
          </w:tcPr>
          <w:p w14:paraId="3D88E4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47AFD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Неудовлетворительна</w:t>
            </w:r>
          </w:p>
        </w:tc>
      </w:tr>
      <w:tr w:rsidR="001002C3" w:rsidRPr="007122AB" w14:paraId="157896AE" w14:textId="77777777">
        <w:tc>
          <w:tcPr>
            <w:tcW w:w="3652" w:type="dxa"/>
          </w:tcPr>
          <w:p w14:paraId="456C44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80% </w:t>
            </w:r>
            <w:proofErr w:type="spellStart"/>
            <w:r w:rsidRPr="007122AB">
              <w:rPr>
                <w:rFonts w:ascii="Times New Roman" w:hAnsi="Times New Roman"/>
                <w:color w:val="000000" w:themeColor="text1"/>
                <w:sz w:val="16"/>
                <w:szCs w:val="16"/>
              </w:rPr>
              <w:t>амселитры</w:t>
            </w:r>
            <w:proofErr w:type="spellEnd"/>
            <w:r w:rsidRPr="007122AB">
              <w:rPr>
                <w:rFonts w:ascii="Times New Roman" w:hAnsi="Times New Roman"/>
                <w:color w:val="000000" w:themeColor="text1"/>
                <w:sz w:val="16"/>
                <w:szCs w:val="16"/>
              </w:rPr>
              <w:t xml:space="preserve"> и 20% тротила</w:t>
            </w:r>
          </w:p>
        </w:tc>
        <w:tc>
          <w:tcPr>
            <w:tcW w:w="4484" w:type="dxa"/>
          </w:tcPr>
          <w:p w14:paraId="659C0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октября 1931 года</w:t>
            </w:r>
          </w:p>
        </w:tc>
        <w:tc>
          <w:tcPr>
            <w:tcW w:w="2887" w:type="dxa"/>
          </w:tcPr>
          <w:p w14:paraId="2DE3C1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0882A40E" w14:textId="77777777">
        <w:tc>
          <w:tcPr>
            <w:tcW w:w="3652" w:type="dxa"/>
          </w:tcPr>
          <w:p w14:paraId="4E394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Флегматизация</w:t>
            </w:r>
            <w:proofErr w:type="spellEnd"/>
            <w:r w:rsidRPr="007122AB">
              <w:rPr>
                <w:rFonts w:ascii="Times New Roman" w:hAnsi="Times New Roman"/>
                <w:color w:val="000000" w:themeColor="text1"/>
                <w:sz w:val="16"/>
                <w:szCs w:val="16"/>
              </w:rPr>
              <w:t xml:space="preserve"> ВВ бомб</w:t>
            </w:r>
          </w:p>
        </w:tc>
        <w:tc>
          <w:tcPr>
            <w:tcW w:w="4484" w:type="dxa"/>
          </w:tcPr>
          <w:p w14:paraId="061B44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октября 1931 года</w:t>
            </w:r>
          </w:p>
        </w:tc>
        <w:tc>
          <w:tcPr>
            <w:tcW w:w="2887" w:type="dxa"/>
          </w:tcPr>
          <w:p w14:paraId="5F317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Работу нельзя считать законченной</w:t>
            </w:r>
          </w:p>
        </w:tc>
      </w:tr>
      <w:tr w:rsidR="001002C3" w:rsidRPr="007122AB" w14:paraId="70238075" w14:textId="77777777">
        <w:tc>
          <w:tcPr>
            <w:tcW w:w="3652" w:type="dxa"/>
          </w:tcPr>
          <w:p w14:paraId="16DC6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Взрыватель АГМ-1 из черн. металла</w:t>
            </w:r>
          </w:p>
        </w:tc>
        <w:tc>
          <w:tcPr>
            <w:tcW w:w="4484" w:type="dxa"/>
          </w:tcPr>
          <w:p w14:paraId="20711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сентября 1931 года</w:t>
            </w:r>
          </w:p>
        </w:tc>
        <w:tc>
          <w:tcPr>
            <w:tcW w:w="2887" w:type="dxa"/>
          </w:tcPr>
          <w:p w14:paraId="2E117E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Удовлетворительна</w:t>
            </w:r>
          </w:p>
        </w:tc>
      </w:tr>
      <w:tr w:rsidR="001002C3" w:rsidRPr="007122AB" w14:paraId="2C43A760" w14:textId="77777777">
        <w:tc>
          <w:tcPr>
            <w:tcW w:w="3652" w:type="dxa"/>
          </w:tcPr>
          <w:p w14:paraId="1D03F4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Взрыватель АГПВ (авиац. головы</w:t>
            </w:r>
          </w:p>
        </w:tc>
        <w:tc>
          <w:tcPr>
            <w:tcW w:w="4484" w:type="dxa"/>
          </w:tcPr>
          <w:p w14:paraId="3BB85C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AD444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F9DFD67" w14:textId="77777777">
        <w:tc>
          <w:tcPr>
            <w:tcW w:w="3652" w:type="dxa"/>
          </w:tcPr>
          <w:p w14:paraId="3A78E2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перемен. </w:t>
            </w:r>
            <w:proofErr w:type="spellStart"/>
            <w:r w:rsidRPr="007122AB">
              <w:rPr>
                <w:rFonts w:ascii="Times New Roman" w:hAnsi="Times New Roman"/>
                <w:color w:val="000000" w:themeColor="text1"/>
                <w:sz w:val="16"/>
                <w:szCs w:val="16"/>
              </w:rPr>
              <w:t>замедл</w:t>
            </w:r>
            <w:proofErr w:type="spellEnd"/>
            <w:r w:rsidRPr="007122AB">
              <w:rPr>
                <w:rFonts w:ascii="Times New Roman" w:hAnsi="Times New Roman"/>
                <w:color w:val="000000" w:themeColor="text1"/>
                <w:sz w:val="16"/>
                <w:szCs w:val="16"/>
              </w:rPr>
              <w:t>. Вишневского)</w:t>
            </w:r>
          </w:p>
        </w:tc>
        <w:tc>
          <w:tcPr>
            <w:tcW w:w="4484" w:type="dxa"/>
          </w:tcPr>
          <w:p w14:paraId="4AA91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августа 1931 года</w:t>
            </w:r>
          </w:p>
        </w:tc>
        <w:tc>
          <w:tcPr>
            <w:tcW w:w="2887" w:type="dxa"/>
          </w:tcPr>
          <w:p w14:paraId="53098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Проверить на большем количестве образцов</w:t>
            </w:r>
          </w:p>
        </w:tc>
      </w:tr>
      <w:tr w:rsidR="001002C3" w:rsidRPr="007122AB" w14:paraId="27011A6A" w14:textId="77777777">
        <w:tc>
          <w:tcPr>
            <w:tcW w:w="3652" w:type="dxa"/>
          </w:tcPr>
          <w:p w14:paraId="5B0F1B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Взрыватели АДЗ </w:t>
            </w:r>
            <w:proofErr w:type="spellStart"/>
            <w:r w:rsidRPr="007122AB">
              <w:rPr>
                <w:rFonts w:ascii="Times New Roman" w:hAnsi="Times New Roman"/>
                <w:color w:val="000000" w:themeColor="text1"/>
                <w:sz w:val="16"/>
                <w:szCs w:val="16"/>
              </w:rPr>
              <w:t>упрощ</w:t>
            </w:r>
            <w:proofErr w:type="spellEnd"/>
            <w:r w:rsidRPr="007122AB">
              <w:rPr>
                <w:rFonts w:ascii="Times New Roman" w:hAnsi="Times New Roman"/>
                <w:color w:val="000000" w:themeColor="text1"/>
                <w:sz w:val="16"/>
                <w:szCs w:val="16"/>
              </w:rPr>
              <w:t>. конструкции</w:t>
            </w:r>
          </w:p>
        </w:tc>
        <w:tc>
          <w:tcPr>
            <w:tcW w:w="4484" w:type="dxa"/>
          </w:tcPr>
          <w:p w14:paraId="6DAC66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09DE0F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7A7416C" w14:textId="77777777">
        <w:tc>
          <w:tcPr>
            <w:tcW w:w="3652" w:type="dxa"/>
          </w:tcPr>
          <w:p w14:paraId="705F1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Стафеева</w:t>
            </w:r>
          </w:p>
        </w:tc>
        <w:tc>
          <w:tcPr>
            <w:tcW w:w="4484" w:type="dxa"/>
          </w:tcPr>
          <w:p w14:paraId="0B4EA2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августа 1931 года</w:t>
            </w:r>
          </w:p>
        </w:tc>
        <w:tc>
          <w:tcPr>
            <w:tcW w:w="2887" w:type="dxa"/>
          </w:tcPr>
          <w:p w14:paraId="62CAC2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на вооружение</w:t>
            </w:r>
          </w:p>
        </w:tc>
      </w:tr>
      <w:tr w:rsidR="001002C3" w:rsidRPr="007122AB" w14:paraId="167F3188" w14:textId="77777777">
        <w:tc>
          <w:tcPr>
            <w:tcW w:w="3652" w:type="dxa"/>
          </w:tcPr>
          <w:p w14:paraId="06859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Главный взрыв. Вишневского без</w:t>
            </w:r>
          </w:p>
        </w:tc>
        <w:tc>
          <w:tcPr>
            <w:tcW w:w="4484" w:type="dxa"/>
          </w:tcPr>
          <w:p w14:paraId="4E750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B8ACA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DA9645" w14:textId="77777777">
        <w:tc>
          <w:tcPr>
            <w:tcW w:w="3652" w:type="dxa"/>
          </w:tcPr>
          <w:p w14:paraId="289BEE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замедл</w:t>
            </w:r>
            <w:proofErr w:type="spellEnd"/>
            <w:r w:rsidRPr="007122AB">
              <w:rPr>
                <w:rFonts w:ascii="Times New Roman" w:hAnsi="Times New Roman"/>
                <w:color w:val="000000" w:themeColor="text1"/>
                <w:sz w:val="16"/>
                <w:szCs w:val="16"/>
              </w:rPr>
              <w:t>. и с замедлит.</w:t>
            </w:r>
          </w:p>
        </w:tc>
        <w:tc>
          <w:tcPr>
            <w:tcW w:w="4484" w:type="dxa"/>
          </w:tcPr>
          <w:p w14:paraId="010CD7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мая 1931 года</w:t>
            </w:r>
          </w:p>
        </w:tc>
        <w:tc>
          <w:tcPr>
            <w:tcW w:w="2887" w:type="dxa"/>
          </w:tcPr>
          <w:p w14:paraId="64B697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Допустить к войсковым испытаниям</w:t>
            </w:r>
          </w:p>
        </w:tc>
      </w:tr>
      <w:tr w:rsidR="001002C3" w:rsidRPr="007122AB" w14:paraId="7B15295B" w14:textId="77777777">
        <w:tc>
          <w:tcPr>
            <w:tcW w:w="3652" w:type="dxa"/>
          </w:tcPr>
          <w:p w14:paraId="1BC3A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Предвар</w:t>
            </w:r>
            <w:proofErr w:type="spellEnd"/>
            <w:r w:rsidRPr="007122AB">
              <w:rPr>
                <w:rFonts w:ascii="Times New Roman" w:hAnsi="Times New Roman"/>
                <w:color w:val="000000" w:themeColor="text1"/>
                <w:sz w:val="16"/>
                <w:szCs w:val="16"/>
              </w:rPr>
              <w:t>. испытания головного</w:t>
            </w:r>
          </w:p>
        </w:tc>
        <w:tc>
          <w:tcPr>
            <w:tcW w:w="4484" w:type="dxa"/>
          </w:tcPr>
          <w:p w14:paraId="3C64B4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E5E19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B12A40" w14:textId="77777777">
        <w:tc>
          <w:tcPr>
            <w:tcW w:w="3652" w:type="dxa"/>
          </w:tcPr>
          <w:p w14:paraId="75E071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взрывателя Вишневского</w:t>
            </w:r>
          </w:p>
        </w:tc>
        <w:tc>
          <w:tcPr>
            <w:tcW w:w="4484" w:type="dxa"/>
          </w:tcPr>
          <w:p w14:paraId="3E7FAA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апреля 1931 года</w:t>
            </w:r>
          </w:p>
        </w:tc>
        <w:tc>
          <w:tcPr>
            <w:tcW w:w="2887" w:type="dxa"/>
          </w:tcPr>
          <w:p w14:paraId="42C19D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Доработать</w:t>
            </w:r>
          </w:p>
        </w:tc>
      </w:tr>
      <w:tr w:rsidR="001002C3" w:rsidRPr="007122AB" w14:paraId="0F23BFE2" w14:textId="77777777">
        <w:tc>
          <w:tcPr>
            <w:tcW w:w="3652" w:type="dxa"/>
          </w:tcPr>
          <w:p w14:paraId="5FAE8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Взрыватели:</w:t>
            </w:r>
          </w:p>
        </w:tc>
        <w:tc>
          <w:tcPr>
            <w:tcW w:w="4484" w:type="dxa"/>
          </w:tcPr>
          <w:p w14:paraId="45B894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55253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414AF8" w14:textId="77777777">
        <w:tc>
          <w:tcPr>
            <w:tcW w:w="3652" w:type="dxa"/>
          </w:tcPr>
          <w:p w14:paraId="6984EB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АГД-1.П. с ветрянкой</w:t>
            </w:r>
          </w:p>
        </w:tc>
        <w:tc>
          <w:tcPr>
            <w:tcW w:w="4484" w:type="dxa"/>
          </w:tcPr>
          <w:p w14:paraId="2B5A32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E4DDD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Доработать</w:t>
            </w:r>
          </w:p>
        </w:tc>
      </w:tr>
      <w:tr w:rsidR="001002C3" w:rsidRPr="007122AB" w14:paraId="043D4E36" w14:textId="77777777">
        <w:tc>
          <w:tcPr>
            <w:tcW w:w="3652" w:type="dxa"/>
          </w:tcPr>
          <w:p w14:paraId="7FE5F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АГД-1.П. с </w:t>
            </w:r>
            <w:proofErr w:type="spellStart"/>
            <w:r w:rsidRPr="007122AB">
              <w:rPr>
                <w:rFonts w:ascii="Times New Roman" w:hAnsi="Times New Roman"/>
                <w:color w:val="000000" w:themeColor="text1"/>
                <w:sz w:val="16"/>
                <w:szCs w:val="16"/>
              </w:rPr>
              <w:t>электрозапалом</w:t>
            </w:r>
            <w:proofErr w:type="spellEnd"/>
          </w:p>
        </w:tc>
        <w:tc>
          <w:tcPr>
            <w:tcW w:w="4484" w:type="dxa"/>
          </w:tcPr>
          <w:p w14:paraId="3350C0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апреля 1931 года</w:t>
            </w:r>
          </w:p>
        </w:tc>
        <w:tc>
          <w:tcPr>
            <w:tcW w:w="2887" w:type="dxa"/>
          </w:tcPr>
          <w:p w14:paraId="3C041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Доработать</w:t>
            </w:r>
          </w:p>
        </w:tc>
      </w:tr>
      <w:tr w:rsidR="001002C3" w:rsidRPr="007122AB" w14:paraId="51DE95C0" w14:textId="77777777">
        <w:tc>
          <w:tcPr>
            <w:tcW w:w="3652" w:type="dxa"/>
          </w:tcPr>
          <w:p w14:paraId="3EEE2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Взрыватель АДД-0 (авиац. </w:t>
            </w:r>
            <w:proofErr w:type="spellStart"/>
            <w:r w:rsidRPr="007122AB">
              <w:rPr>
                <w:rFonts w:ascii="Times New Roman" w:hAnsi="Times New Roman"/>
                <w:color w:val="000000" w:themeColor="text1"/>
                <w:sz w:val="16"/>
                <w:szCs w:val="16"/>
              </w:rPr>
              <w:t>данн</w:t>
            </w:r>
            <w:proofErr w:type="spellEnd"/>
            <w:r w:rsidRPr="007122AB">
              <w:rPr>
                <w:rFonts w:ascii="Times New Roman" w:hAnsi="Times New Roman"/>
                <w:color w:val="000000" w:themeColor="text1"/>
                <w:sz w:val="16"/>
                <w:szCs w:val="16"/>
              </w:rPr>
              <w:t>.</w:t>
            </w:r>
          </w:p>
        </w:tc>
        <w:tc>
          <w:tcPr>
            <w:tcW w:w="4484" w:type="dxa"/>
          </w:tcPr>
          <w:p w14:paraId="519D9A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6317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BEE329B" w14:textId="77777777">
        <w:tc>
          <w:tcPr>
            <w:tcW w:w="3652" w:type="dxa"/>
          </w:tcPr>
          <w:p w14:paraId="6323C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дистанц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w:t>
            </w:r>
          </w:p>
        </w:tc>
        <w:tc>
          <w:tcPr>
            <w:tcW w:w="4484" w:type="dxa"/>
          </w:tcPr>
          <w:p w14:paraId="6F2CE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апреля 1931 года</w:t>
            </w:r>
          </w:p>
        </w:tc>
        <w:tc>
          <w:tcPr>
            <w:tcW w:w="2887" w:type="dxa"/>
          </w:tcPr>
          <w:p w14:paraId="27B45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Доработать</w:t>
            </w:r>
          </w:p>
        </w:tc>
      </w:tr>
      <w:tr w:rsidR="007122AB" w:rsidRPr="007122AB" w14:paraId="7BE1A18C" w14:textId="77777777">
        <w:tc>
          <w:tcPr>
            <w:tcW w:w="3652" w:type="dxa"/>
          </w:tcPr>
          <w:p w14:paraId="0C184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Взрыватель АДП (с </w:t>
            </w:r>
            <w:proofErr w:type="spellStart"/>
            <w:r w:rsidRPr="007122AB">
              <w:rPr>
                <w:rFonts w:ascii="Times New Roman" w:hAnsi="Times New Roman"/>
                <w:color w:val="000000" w:themeColor="text1"/>
                <w:sz w:val="16"/>
                <w:szCs w:val="16"/>
              </w:rPr>
              <w:t>перем</w:t>
            </w:r>
            <w:proofErr w:type="spellEnd"/>
            <w:r w:rsidRPr="007122AB">
              <w:rPr>
                <w:rFonts w:ascii="Times New Roman" w:hAnsi="Times New Roman"/>
                <w:color w:val="000000" w:themeColor="text1"/>
                <w:sz w:val="16"/>
                <w:szCs w:val="16"/>
              </w:rPr>
              <w:t>. зам.)</w:t>
            </w:r>
          </w:p>
        </w:tc>
        <w:tc>
          <w:tcPr>
            <w:tcW w:w="4484" w:type="dxa"/>
          </w:tcPr>
          <w:p w14:paraId="19EC9F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апреля 1931 года</w:t>
            </w:r>
          </w:p>
        </w:tc>
        <w:tc>
          <w:tcPr>
            <w:tcW w:w="2887" w:type="dxa"/>
          </w:tcPr>
          <w:p w14:paraId="25BA6C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Доработать (3505,203-204)</w:t>
            </w:r>
          </w:p>
        </w:tc>
      </w:tr>
    </w:tbl>
    <w:p w14:paraId="19FF6E6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3B005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D88054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3F7DB0"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ранее 15 ноября 1931 г. — Справка Комиссии обороны о выполнении постановления СТО СССР № 213сс от 14 октября 1931 г. о состоянии военно-химического дела</w:t>
      </w:r>
    </w:p>
    <w:p w14:paraId="5CC59D4E"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Совершенно секретно.</w:t>
      </w:r>
    </w:p>
    <w:p w14:paraId="2430A768"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Сырьевая база</w:t>
      </w:r>
    </w:p>
    <w:p w14:paraId="7993141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Правительством было предложено обеспечить сырьевую базу внутри страны без завоза из-за границы. В частности, по хлору было предложено предусмотреть в контрольных цифрах 1932 г. новое строительство мощностью 175 тыс. т к весне 1933 г.; по фосфору — довести к 1 января 1933 г. производство до 3 тыс. т; по синильной кислоте — к 1 октября 1932 г. 1,5 тыс. т; по хлористому алюминию — к 1 октября 1932 г. мощностью на 5 тыс. т.</w:t>
      </w:r>
    </w:p>
    <w:p w14:paraId="1A7702B0"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справке НКВМ все эти строительства контрольными цифрами ВСНХ на 1932 г. не предусмотрены. МПС ВСНХ (т. </w:t>
      </w:r>
      <w:hyperlink r:id="rId193" w:history="1">
        <w:r w:rsidRPr="007122AB">
          <w:rPr>
            <w:rStyle w:val="a5"/>
            <w:rFonts w:ascii="Times New Roman" w:hAnsi="Times New Roman"/>
            <w:color w:val="000000" w:themeColor="text1"/>
            <w:sz w:val="16"/>
            <w:szCs w:val="16"/>
            <w:u w:val="none"/>
          </w:rPr>
          <w:t>Березницкий</w:t>
        </w:r>
      </w:hyperlink>
      <w:r w:rsidRPr="007122AB">
        <w:rPr>
          <w:rFonts w:ascii="Times New Roman" w:hAnsi="Times New Roman"/>
          <w:color w:val="000000" w:themeColor="text1"/>
          <w:sz w:val="16"/>
          <w:szCs w:val="16"/>
        </w:rPr>
        <w:t>) подтвердил этот факт. По его словам, для обеспечения заданий правительства на 1932 г. по военной химии требуется дополнительно предусмотреть к контрольным цифрам 40 млн. руб. и 2,18 млн. импорта.</w:t>
      </w:r>
    </w:p>
    <w:p w14:paraId="62AEDA4D"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мышьяку — программа 1931 г. сорвана, в частности по </w:t>
      </w:r>
      <w:proofErr w:type="spellStart"/>
      <w:r w:rsidRPr="007122AB">
        <w:rPr>
          <w:rFonts w:ascii="Times New Roman" w:hAnsi="Times New Roman"/>
          <w:color w:val="000000" w:themeColor="text1"/>
          <w:sz w:val="16"/>
          <w:szCs w:val="16"/>
        </w:rPr>
        <w:t>Такелийскому</w:t>
      </w:r>
      <w:proofErr w:type="spellEnd"/>
      <w:r w:rsidRPr="007122AB">
        <w:rPr>
          <w:rFonts w:ascii="Times New Roman" w:hAnsi="Times New Roman"/>
          <w:color w:val="000000" w:themeColor="text1"/>
          <w:sz w:val="16"/>
          <w:szCs w:val="16"/>
        </w:rPr>
        <w:t xml:space="preserve"> месторождению работы не начинались совершенно (справка НКВМ). По сере — добыча выполнения не более 25</w:t>
      </w:r>
      <w:r w:rsidRPr="007122AB">
        <w:rPr>
          <w:rFonts w:ascii="Times New Roman" w:hAnsi="Times New Roman"/>
          <w:color w:val="000000" w:themeColor="text1"/>
          <w:sz w:val="16"/>
          <w:szCs w:val="16"/>
        </w:rPr>
        <w:noBreakHyphen/>
        <w:t xml:space="preserve">30%. В Каракумах лежит не вывезенных 700 т серы. Транспорт отсутствует (несмотря на специальное указание в постановлении правительства), интенсификация разведок по </w:t>
      </w:r>
      <w:proofErr w:type="spellStart"/>
      <w:r w:rsidRPr="007122AB">
        <w:rPr>
          <w:rFonts w:ascii="Times New Roman" w:hAnsi="Times New Roman"/>
          <w:color w:val="000000" w:themeColor="text1"/>
          <w:sz w:val="16"/>
          <w:szCs w:val="16"/>
        </w:rPr>
        <w:t>Гаурданскому</w:t>
      </w:r>
      <w:proofErr w:type="spellEnd"/>
      <w:r w:rsidRPr="007122AB">
        <w:rPr>
          <w:rFonts w:ascii="Times New Roman" w:hAnsi="Times New Roman"/>
          <w:color w:val="000000" w:themeColor="text1"/>
          <w:sz w:val="16"/>
          <w:szCs w:val="16"/>
        </w:rPr>
        <w:t xml:space="preserve"> месторождению не осуществлена. Технология получения серы в Средней Азии не разработана (справка НКВМ).</w:t>
      </w:r>
    </w:p>
    <w:p w14:paraId="68F996EF"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решение об обеспечении независимой сырьевой базы по военной линии ни в какой мере не обеспечено.</w:t>
      </w:r>
    </w:p>
    <w:p w14:paraId="4A203C4B"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Конструкторские бюро</w:t>
      </w:r>
    </w:p>
    <w:p w14:paraId="51B5F18C"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НКВМ указывает на невыполнение и здесь решений правительства об организации конструкторских бюро и лабораторий в 2</w:t>
      </w:r>
      <w:r w:rsidRPr="007122AB">
        <w:rPr>
          <w:rFonts w:ascii="Times New Roman" w:hAnsi="Times New Roman"/>
          <w:color w:val="000000" w:themeColor="text1"/>
          <w:sz w:val="16"/>
          <w:szCs w:val="16"/>
        </w:rPr>
        <w:noBreakHyphen/>
        <w:t>месячный срок. По справке ВСНХ формально бюро созданы. Однако практическое выполнение решения правительства срывается отсутствием конструкторских кадров. НКВМ не выполнил постановления правительства о передаче 15 инженеров (срок истек 15 ноября 1931 г.).</w:t>
      </w:r>
    </w:p>
    <w:p w14:paraId="4C005BB4"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ВСНХ указывает, что задержки в выполнении заказов НКВМ вызываются несовершенством образцов и чертежей, поступающих от НКВМ. В частности, это отразилось на выполнении в срок заказа по осколочно-</w:t>
      </w:r>
      <w:proofErr w:type="spellStart"/>
      <w:r w:rsidRPr="007122AB">
        <w:rPr>
          <w:rFonts w:ascii="Times New Roman" w:hAnsi="Times New Roman"/>
          <w:color w:val="000000" w:themeColor="text1"/>
          <w:sz w:val="16"/>
          <w:szCs w:val="16"/>
        </w:rPr>
        <w:t>хим</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ическим</w:t>
      </w:r>
      <w:proofErr w:type="spellEnd"/>
      <w:r w:rsidRPr="007122AB">
        <w:rPr>
          <w:rFonts w:ascii="Times New Roman" w:hAnsi="Times New Roman"/>
          <w:color w:val="000000" w:themeColor="text1"/>
          <w:sz w:val="16"/>
          <w:szCs w:val="16"/>
        </w:rPr>
        <w:t>] снарядам (чертеж футляра оказался негодным; снаряды даются без футляров). Постановление правительства о передаче ВСНХ рецептуры по осколочно-</w:t>
      </w:r>
      <w:proofErr w:type="spellStart"/>
      <w:r w:rsidRPr="007122AB">
        <w:rPr>
          <w:rFonts w:ascii="Times New Roman" w:hAnsi="Times New Roman"/>
          <w:color w:val="000000" w:themeColor="text1"/>
          <w:sz w:val="16"/>
          <w:szCs w:val="16"/>
        </w:rPr>
        <w:t>хим</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ическим</w:t>
      </w:r>
      <w:proofErr w:type="spellEnd"/>
      <w:r w:rsidRPr="007122AB">
        <w:rPr>
          <w:rFonts w:ascii="Times New Roman" w:hAnsi="Times New Roman"/>
          <w:color w:val="000000" w:themeColor="text1"/>
          <w:sz w:val="16"/>
          <w:szCs w:val="16"/>
        </w:rPr>
        <w:t>] снарядам к 14 ноября 1931 г.²* НКВМ в срок не выполнено. Рецептура уже утверждена РВСС³*.</w:t>
      </w:r>
    </w:p>
    <w:p w14:paraId="44CAEC0C"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w:t>
      </w:r>
      <w:proofErr w:type="spellStart"/>
      <w:r w:rsidRPr="007122AB">
        <w:rPr>
          <w:rFonts w:ascii="Times New Roman" w:hAnsi="Times New Roman"/>
          <w:color w:val="000000" w:themeColor="text1"/>
          <w:sz w:val="16"/>
          <w:szCs w:val="16"/>
        </w:rPr>
        <w:t>ентральная</w:t>
      </w:r>
      <w:proofErr w:type="spellEnd"/>
      <w:r w:rsidRPr="007122AB">
        <w:rPr>
          <w:rFonts w:ascii="Times New Roman" w:hAnsi="Times New Roman"/>
          <w:color w:val="000000" w:themeColor="text1"/>
          <w:sz w:val="16"/>
          <w:szCs w:val="16"/>
        </w:rPr>
        <w:t>] лаборатория по ОВ дезорганизующего, деморализующего и коррозирующего действия создана при 1 заводе.</w:t>
      </w:r>
    </w:p>
    <w:p w14:paraId="37CE522A"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w:t>
      </w:r>
      <w:proofErr w:type="spellStart"/>
      <w:r w:rsidRPr="007122AB">
        <w:rPr>
          <w:rFonts w:ascii="Times New Roman" w:hAnsi="Times New Roman"/>
          <w:color w:val="000000" w:themeColor="text1"/>
          <w:sz w:val="16"/>
          <w:szCs w:val="16"/>
        </w:rPr>
        <w:t>приравнении</w:t>
      </w:r>
      <w:proofErr w:type="spellEnd"/>
      <w:r w:rsidRPr="007122AB">
        <w:rPr>
          <w:rFonts w:ascii="Times New Roman" w:hAnsi="Times New Roman"/>
          <w:color w:val="000000" w:themeColor="text1"/>
          <w:sz w:val="16"/>
          <w:szCs w:val="16"/>
        </w:rPr>
        <w:t xml:space="preserve"> строек по военной химии к ударным</w:t>
      </w:r>
    </w:p>
    <w:p w14:paraId="0132EBE1"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 xml:space="preserve">Никакого сдвига во исполнение решения правительства по справке МПС ВСНХ нет (справка МПС ВСНХ). </w:t>
      </w:r>
      <w:proofErr w:type="spellStart"/>
      <w:r w:rsidRPr="007122AB">
        <w:rPr>
          <w:color w:val="000000" w:themeColor="text1"/>
          <w:sz w:val="16"/>
          <w:szCs w:val="16"/>
        </w:rPr>
        <w:t>НКСнаб</w:t>
      </w:r>
      <w:proofErr w:type="spellEnd"/>
      <w:r w:rsidRPr="007122AB">
        <w:rPr>
          <w:color w:val="000000" w:themeColor="text1"/>
          <w:sz w:val="16"/>
          <w:szCs w:val="16"/>
        </w:rPr>
        <w:t>, в частности, ничего по указанному решению не сделал (справка т. </w:t>
      </w:r>
      <w:proofErr w:type="spellStart"/>
      <w:r w:rsidR="00000000">
        <w:fldChar w:fldCharType="begin"/>
      </w:r>
      <w:r w:rsidR="00000000">
        <w:instrText>HYPERLINK "http://1937god.info/node/1074"</w:instrText>
      </w:r>
      <w:r w:rsidR="00000000">
        <w:fldChar w:fldCharType="separate"/>
      </w:r>
      <w:r w:rsidRPr="007122AB">
        <w:rPr>
          <w:color w:val="000000" w:themeColor="text1"/>
          <w:sz w:val="16"/>
          <w:szCs w:val="16"/>
        </w:rPr>
        <w:t>Лоос</w:t>
      </w:r>
      <w:proofErr w:type="spellEnd"/>
      <w:r w:rsidR="00000000">
        <w:rPr>
          <w:color w:val="000000" w:themeColor="text1"/>
          <w:sz w:val="16"/>
          <w:szCs w:val="16"/>
        </w:rPr>
        <w:fldChar w:fldCharType="end"/>
      </w:r>
      <w:r w:rsidRPr="007122AB">
        <w:rPr>
          <w:color w:val="000000" w:themeColor="text1"/>
          <w:sz w:val="16"/>
          <w:szCs w:val="16"/>
        </w:rPr>
        <w:t>). Не выполнены также решения правительства о производстве тары и проведении опытных проверок по 2</w:t>
      </w:r>
      <w:r w:rsidRPr="007122AB">
        <w:rPr>
          <w:color w:val="000000" w:themeColor="text1"/>
          <w:sz w:val="16"/>
          <w:szCs w:val="16"/>
        </w:rPr>
        <w:noBreakHyphen/>
        <w:t>3 заводам (справка НКВМ).</w:t>
      </w:r>
    </w:p>
    <w:p w14:paraId="198FC951" w14:textId="77777777" w:rsidR="00513C11" w:rsidRPr="007122AB" w:rsidRDefault="00513C11"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3C2AF335"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Датируется по содержанию.</w:t>
      </w:r>
    </w:p>
    <w:p w14:paraId="56C101DF"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xml:space="preserve">* В </w:t>
      </w:r>
      <w:r w:rsidRPr="007122AB">
        <w:rPr>
          <w:rStyle w:val="af0"/>
          <w:i w:val="0"/>
          <w:color w:val="000000" w:themeColor="text1"/>
          <w:sz w:val="16"/>
          <w:szCs w:val="16"/>
        </w:rPr>
        <w:t>постановлении СТО СССР № 213сс от 14 октября 1931 г. «О состоянии военно-химического дела»</w:t>
      </w:r>
      <w:r w:rsidRPr="007122AB">
        <w:rPr>
          <w:color w:val="000000" w:themeColor="text1"/>
          <w:sz w:val="16"/>
          <w:szCs w:val="16"/>
        </w:rPr>
        <w:t xml:space="preserve"> отмечалось неудовлетворительное состояние военно-химического вооружения РККА и его промышленного обеспечения, что было вызвано следующими причинами: недостаточное развертывание научно-исследовательской работы; отсутствие конструкторской работы; неудовлетворительное выполнение текущих опытных заказов и плохое качество поставляемых приборов; невыполнение сроков строительства основных объектов военно-химического вооружения, а также недостаточное внимание к военно-химическому делу со стороны НКВМ и ВСНХ СССР.</w:t>
      </w:r>
    </w:p>
    <w:p w14:paraId="4571A06D"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Для улучшения положения в военно-химической промышленности ВСНХ предлагалось в двухмесячный срок: а) организовать конструкторские бюро по предметам военно-химического вооружения; б) организовать центральные научно-исследовательские лаборатории по химии и технологии отравляющих веществ и по противогазам и дымовым шашкам; в) выполнение заданий НКВМ по конструкторским и исследовательским работам проводить в ударном порядке, обеспечив эти работы необходимыми кадрами, финансированием и оборудованием. На НКВМ возлагались следующие обязательства: а) в двухмесячный срок организовать конструкторское бюро по средствам коллективной защиты; б) в месячный срок передать ВСНХ для работы в конструкторском бюро и лабораториях 15 инженеров.</w:t>
      </w:r>
    </w:p>
    <w:p w14:paraId="33245C53"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По средствам противохимической защиты постановлением предусматривались следующие мероприятия: 1. ВСНХ и НКВМ в течение 1931 г. закончить разработку улучшенного типа противогаза и после испытаний ввести на вооружение РККА. 2</w:t>
      </w:r>
      <w:r w:rsidRPr="007122AB">
        <w:rPr>
          <w:rStyle w:val="af0"/>
          <w:i w:val="0"/>
          <w:color w:val="000000" w:themeColor="text1"/>
          <w:sz w:val="16"/>
          <w:szCs w:val="16"/>
        </w:rPr>
        <w:t>. </w:t>
      </w:r>
      <w:r w:rsidRPr="007122AB">
        <w:rPr>
          <w:color w:val="000000" w:themeColor="text1"/>
          <w:sz w:val="16"/>
          <w:szCs w:val="16"/>
        </w:rPr>
        <w:t xml:space="preserve">В 1932 г. ВСНХ закончить строительство производства гопкалита против окиси </w:t>
      </w:r>
      <w:r w:rsidRPr="007122AB">
        <w:rPr>
          <w:color w:val="000000" w:themeColor="text1"/>
          <w:sz w:val="16"/>
          <w:szCs w:val="16"/>
        </w:rPr>
        <w:lastRenderedPageBreak/>
        <w:t>углерода. 3. НКВМ и ВСНХ в 1931 г. закончить конструирование и испытание изолирующего противогаза. По средствам химического нападения: 1. Предложить ВСНХ и НКВМ предусмотреть в контрольных цифрах 1932 г. «решительный сдвиг в сторону увеличения производства дымовых веществ». 2. Обязать ВСНХ в 1932 г. закончить постройку и монтаж мощного завода иприта. 3. ВСНХ не позднее 1 января 1932 г. организовать полузаводское производство хлористого алюминия на 1000 тонн.</w:t>
      </w:r>
    </w:p>
    <w:p w14:paraId="14F6B71E"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rPr>
        <w:t>Выполнение текущих и опытных заказов и «капитальное строительство по средствам противохимической защиты, по отравляющим веществам, хлору, сере и мышьяку» приравнивались к ударным наравне со строительством военной промышленности. Для укрепления сырьевой базы постановлением предусматривалось строительство заводов по производству угля-сырца, хлора, серы газовой; увеличение добычи мышьяка, брома и серы. (ГА РФ. Ф. Р</w:t>
      </w:r>
      <w:r w:rsidRPr="007122AB">
        <w:rPr>
          <w:color w:val="000000" w:themeColor="text1"/>
          <w:sz w:val="16"/>
          <w:szCs w:val="16"/>
        </w:rPr>
        <w:noBreakHyphen/>
        <w:t>8418. Оп. 28. Д. 1а. Л. 61</w:t>
      </w:r>
      <w:r w:rsidRPr="007122AB">
        <w:rPr>
          <w:color w:val="000000" w:themeColor="text1"/>
          <w:sz w:val="16"/>
          <w:szCs w:val="16"/>
        </w:rPr>
        <w:noBreakHyphen/>
        <w:t>72).</w:t>
      </w:r>
    </w:p>
    <w:p w14:paraId="57DBC101" w14:textId="77777777" w:rsidR="00513C11" w:rsidRPr="007122AB" w:rsidRDefault="00513C11"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Предложение дописано от руки.</w:t>
      </w:r>
    </w:p>
    <w:p w14:paraId="24882BAA" w14:textId="77777777" w:rsidR="00513C11" w:rsidRPr="007122AB" w:rsidRDefault="00513C11" w:rsidP="007122AB">
      <w:pPr>
        <w:pStyle w:val="ae"/>
        <w:spacing w:before="0" w:after="0"/>
        <w:jc w:val="both"/>
        <w:rPr>
          <w:color w:val="000000" w:themeColor="text1"/>
          <w:sz w:val="16"/>
          <w:szCs w:val="16"/>
        </w:rPr>
      </w:pPr>
      <w:r w:rsidRPr="007122AB">
        <w:rPr>
          <w:color w:val="000000" w:themeColor="text1"/>
          <w:sz w:val="16"/>
          <w:szCs w:val="16"/>
        </w:rPr>
        <w:t>ГА РФ. Ф. Р-8418. Оп. 5. Д. 55. Л. 144—145. Копия.</w:t>
      </w:r>
    </w:p>
    <w:p w14:paraId="16FFEC9B"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5. Д. 55. Л. 144—145. Копия. </w:t>
      </w:r>
    </w:p>
    <w:p w14:paraId="7324B39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574-575 (12538).</w:t>
      </w:r>
    </w:p>
    <w:p w14:paraId="620AE4BF"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56F670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ноября 1931 г. постановлением Президиума ВСНХ СССР был создан Научно-исследовательский институт органических полупродуктов и красителей (НИОПИК) на базе ЦНОЛ и Экспериментального завода им. К. Е. Ворошилова. В 1931 - 1958 гг. назывался Научно-исследовательский институт органических полупродуктов и красителей (НИОПИК) им. К. Е. Ворошилова. В 1941 - 1943 гг. институт находился в эвакуации в г. Кемерово. 10 декабря 1981 г. награжден орденом Трудового Красного Знамени (12102).</w:t>
      </w:r>
    </w:p>
    <w:p w14:paraId="47447E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C76A07"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15 ноября </w:t>
      </w:r>
      <w:r w:rsidRPr="007122AB">
        <w:rPr>
          <w:rFonts w:ascii="Times New Roman" w:hAnsi="Times New Roman"/>
          <w:color w:val="000000" w:themeColor="text1"/>
          <w:sz w:val="16"/>
          <w:szCs w:val="16"/>
        </w:rPr>
        <w:t xml:space="preserve">в 1931 году в Москве основан Институт органических полупродуктов и красителей (ныне - Государственный научный центр Российской Федерации - </w:t>
      </w:r>
      <w:proofErr w:type="spellStart"/>
      <w:r w:rsidRPr="007122AB">
        <w:rPr>
          <w:rFonts w:ascii="Times New Roman" w:hAnsi="Times New Roman"/>
          <w:color w:val="000000" w:themeColor="text1"/>
          <w:sz w:val="16"/>
          <w:szCs w:val="16"/>
        </w:rPr>
        <w:t>НИИОПиК</w:t>
      </w:r>
      <w:proofErr w:type="spellEnd"/>
      <w:r w:rsidRPr="007122AB">
        <w:rPr>
          <w:rFonts w:ascii="Times New Roman" w:hAnsi="Times New Roman"/>
          <w:color w:val="000000" w:themeColor="text1"/>
          <w:sz w:val="16"/>
          <w:szCs w:val="16"/>
        </w:rPr>
        <w:t>). Ведет исследования в области создания и разработки технологии органических красителей, текстильно-вспомогательных и оптически отбеливающих веществ</w:t>
      </w:r>
    </w:p>
    <w:p w14:paraId="623B4D08"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61016FB4" w14:textId="77777777" w:rsidR="004F04A7" w:rsidRPr="007122AB" w:rsidRDefault="004F04A7"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F273751" w14:textId="77777777" w:rsidR="004F04A7" w:rsidRPr="007122AB" w:rsidRDefault="004F04A7"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EE7CBDE" w14:textId="77777777" w:rsidR="004F04A7" w:rsidRPr="007122AB" w:rsidRDefault="004F04A7"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середине ноября 1931 вопрос о морской программе был возвращен в Комиссию обороны, причем с докладом по нему выступил начальник Штаба РККА Егоров. 14 ноября КО постановила "принять за основу программу строительства морских сил, предложенную </w:t>
      </w:r>
      <w:proofErr w:type="spellStart"/>
      <w:r w:rsidRPr="007122AB">
        <w:rPr>
          <w:rFonts w:ascii="Times New Roman" w:eastAsia="Times New Roman" w:hAnsi="Times New Roman"/>
          <w:color w:val="000000" w:themeColor="text1"/>
          <w:sz w:val="16"/>
          <w:szCs w:val="16"/>
          <w:lang w:eastAsia="ru-RU"/>
        </w:rPr>
        <w:t>НКВМором</w:t>
      </w:r>
      <w:proofErr w:type="spellEnd"/>
      <w:r w:rsidRPr="007122AB">
        <w:rPr>
          <w:rFonts w:ascii="Times New Roman" w:eastAsia="Times New Roman" w:hAnsi="Times New Roman"/>
          <w:color w:val="000000" w:themeColor="text1"/>
          <w:sz w:val="16"/>
          <w:szCs w:val="16"/>
          <w:lang w:eastAsia="ru-RU"/>
        </w:rPr>
        <w:t xml:space="preserve">", и создала новую комиссию под председательством Куйбышева (члены комиссии: Тухачевский, Орлов, </w:t>
      </w:r>
      <w:proofErr w:type="spellStart"/>
      <w:r w:rsidRPr="007122AB">
        <w:rPr>
          <w:rFonts w:ascii="Times New Roman" w:eastAsia="Times New Roman" w:hAnsi="Times New Roman"/>
          <w:color w:val="000000" w:themeColor="text1"/>
          <w:sz w:val="16"/>
          <w:szCs w:val="16"/>
          <w:lang w:eastAsia="ru-RU"/>
        </w:rPr>
        <w:t>Муклевич</w:t>
      </w:r>
      <w:proofErr w:type="spellEnd"/>
      <w:r w:rsidRPr="007122AB">
        <w:rPr>
          <w:rFonts w:ascii="Times New Roman" w:eastAsia="Times New Roman" w:hAnsi="Times New Roman"/>
          <w:color w:val="000000" w:themeColor="text1"/>
          <w:sz w:val="16"/>
          <w:szCs w:val="16"/>
          <w:lang w:eastAsia="ru-RU"/>
        </w:rPr>
        <w:t xml:space="preserve">, Егоров, Алкснис, </w:t>
      </w:r>
      <w:proofErr w:type="spellStart"/>
      <w:r w:rsidRPr="007122AB">
        <w:rPr>
          <w:rFonts w:ascii="Times New Roman" w:eastAsia="Times New Roman" w:hAnsi="Times New Roman"/>
          <w:color w:val="000000" w:themeColor="text1"/>
          <w:sz w:val="16"/>
          <w:szCs w:val="16"/>
          <w:lang w:eastAsia="ru-RU"/>
        </w:rPr>
        <w:t>Павлуновский</w:t>
      </w:r>
      <w:proofErr w:type="spellEnd"/>
      <w:r w:rsidRPr="007122AB">
        <w:rPr>
          <w:rFonts w:ascii="Times New Roman" w:eastAsia="Times New Roman" w:hAnsi="Times New Roman"/>
          <w:color w:val="000000" w:themeColor="text1"/>
          <w:sz w:val="16"/>
          <w:szCs w:val="16"/>
          <w:lang w:eastAsia="ru-RU"/>
        </w:rPr>
        <w:t xml:space="preserve">, Баранов, </w:t>
      </w:r>
      <w:proofErr w:type="spellStart"/>
      <w:r w:rsidRPr="007122AB">
        <w:rPr>
          <w:rFonts w:ascii="Times New Roman" w:eastAsia="Times New Roman" w:hAnsi="Times New Roman"/>
          <w:color w:val="000000" w:themeColor="text1"/>
          <w:sz w:val="16"/>
          <w:szCs w:val="16"/>
          <w:lang w:eastAsia="ru-RU"/>
        </w:rPr>
        <w:t>Маргинович</w:t>
      </w:r>
      <w:proofErr w:type="spellEnd"/>
      <w:r w:rsidRPr="007122AB">
        <w:rPr>
          <w:rFonts w:ascii="Times New Roman" w:eastAsia="Times New Roman" w:hAnsi="Times New Roman"/>
          <w:color w:val="000000" w:themeColor="text1"/>
          <w:sz w:val="16"/>
          <w:szCs w:val="16"/>
          <w:lang w:eastAsia="ru-RU"/>
        </w:rPr>
        <w:t xml:space="preserve"> и Смирнов). Задачей этой комиссии являлась разработка проекта постановления КО исходя из необходимости "программу строительства осуществить в четыре года"; построить 75 больших подводных лодок, 20 малых и 75 лодок типа "Щука"; "2 крейсера строить, отодвинув начало постройки к 1933 г.", "в 1932 г. уложиться в ранее определенный лимит 25 млн руб. для всех заказов НКВМ" (Выписка из протокола № 15 заседания Комиссии Обороны СССР от 14.11.1931 (заверенная копия) // Там же. Д. 497. Л. 69). Постройка двух крейсеров и модернизация линкора "Фрунзе" были отложены до 1933-1934 гг. (</w:t>
      </w:r>
      <w:proofErr w:type="spellStart"/>
      <w:r w:rsidRPr="007122AB">
        <w:rPr>
          <w:rFonts w:ascii="Times New Roman" w:eastAsia="Times New Roman" w:hAnsi="Times New Roman"/>
          <w:color w:val="000000" w:themeColor="text1"/>
          <w:sz w:val="16"/>
          <w:szCs w:val="16"/>
          <w:lang w:eastAsia="ru-RU"/>
        </w:rPr>
        <w:t>Гривовекий</w:t>
      </w:r>
      <w:proofErr w:type="spellEnd"/>
      <w:r w:rsidRPr="007122AB">
        <w:rPr>
          <w:rFonts w:ascii="Times New Roman" w:eastAsia="Times New Roman" w:hAnsi="Times New Roman"/>
          <w:color w:val="000000" w:themeColor="text1"/>
          <w:sz w:val="16"/>
          <w:szCs w:val="16"/>
          <w:lang w:eastAsia="ru-RU"/>
        </w:rPr>
        <w:t xml:space="preserve"> В. Ю. и др. Указ. соч. С. 25) (22725).</w:t>
      </w:r>
    </w:p>
    <w:p w14:paraId="5D84CEF3" w14:textId="77777777" w:rsidR="004F04A7" w:rsidRPr="007122AB" w:rsidRDefault="004F04A7" w:rsidP="007122AB">
      <w:pPr>
        <w:spacing w:after="0" w:line="240" w:lineRule="auto"/>
        <w:jc w:val="both"/>
        <w:rPr>
          <w:rFonts w:ascii="Times New Roman" w:hAnsi="Times New Roman"/>
          <w:color w:val="000000" w:themeColor="text1"/>
          <w:sz w:val="16"/>
          <w:szCs w:val="16"/>
        </w:rPr>
      </w:pPr>
    </w:p>
    <w:p w14:paraId="1807187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342E1B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DA7B8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ноября 1931 года начальник 12 отдела НИИ ВВС Гроховский П.И. писал письмо № 31 начальнику НИИ ВВС:</w:t>
      </w:r>
    </w:p>
    <w:p w14:paraId="33C0E3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Рапорт</w:t>
      </w:r>
    </w:p>
    <w:p w14:paraId="09D22AE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Настоящим доношу, что работа по оборудованию самолета ТБ1 № 48 аппаратурой для переливки бензина в воздухе находится в следующем состоянии:</w:t>
      </w:r>
    </w:p>
    <w:p w14:paraId="5EC3E17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самолете установлены все десять баков, установлены масляные баки. Задержка оборудования произошла по следующим причинам: для установки аппаратуры представлен самолет ТБ1 № 48, в то время как детали для указанной установки изготавливались под самолет ТБ1 № 693 (самолеты разных серий), последний был взят по Вашему распоряжению на несколько дней и до сего времени не прибыл, в силу чего пришлось изготавливать или переделывать детали для соединения системы.</w:t>
      </w:r>
    </w:p>
    <w:p w14:paraId="1BAC6E8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Последнее время мастерские НИИ не представляют для работ по установке необходимое число рабочей силы.</w:t>
      </w:r>
    </w:p>
    <w:p w14:paraId="411875D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Резолюция: «Гроховскому. Ваши объяснения неубедительны. Примите меры к скорейшему оборудованию самолета ТБ1 № 48. 17 ноября 1931 года. Аузан» (6770, 39).</w:t>
      </w:r>
    </w:p>
    <w:p w14:paraId="626DF30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1039C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C85DEB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BDC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ноября 1931 г. нарядом НТК АУ от заводу "Красный Путиловец" было заказано 4 опытных образца 76-мм универсальной пушки общей стоимостью 1,6 млн. рублей. Пушка, спроектированная в КБ завода "Красный Путиловец", стала первой универсальной пушкой. До этого АУ были разработаны ТТТ на универсальную пушку с круговым обстрелом и </w:t>
      </w:r>
      <w:proofErr w:type="spellStart"/>
      <w:r w:rsidRPr="007122AB">
        <w:rPr>
          <w:rFonts w:ascii="Times New Roman" w:hAnsi="Times New Roman"/>
          <w:color w:val="000000" w:themeColor="text1"/>
          <w:sz w:val="16"/>
          <w:szCs w:val="16"/>
        </w:rPr>
        <w:t>полууниверсальную</w:t>
      </w:r>
      <w:proofErr w:type="spellEnd"/>
      <w:r w:rsidRPr="007122AB">
        <w:rPr>
          <w:rFonts w:ascii="Times New Roman" w:hAnsi="Times New Roman"/>
          <w:color w:val="000000" w:themeColor="text1"/>
          <w:sz w:val="16"/>
          <w:szCs w:val="16"/>
        </w:rPr>
        <w:t xml:space="preserve"> без кругового обстрела. Последняя предназначалась "для ведения заградительного огня". Заводского индекса пушка, видимо, не имела, по крайней мере в актах испытаний его нет, там она так и называется "76-мм универсальная пушка завода "Красный Путиловец". Ради универсальной пушки АУ решилась на изменение гильзы обр. 1900 г. и для новой пушки была разработана специальная гильза, заряд которой составлял 2,25 кг. Согласно расчетам снаряд весом 7,1 кг должен был иметь начальную скорость 900 м/с (3861).</w:t>
      </w:r>
    </w:p>
    <w:p w14:paraId="4A9F2B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4DC51A"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ноября 1931 г. Нарядом НТК АУ заводу «Красный путиловец» было заказано 4 опытных образца 76-мм универсальной пушки общей стоимостью 1,6 млн. рублей. Ради такого чуда АУ посягнуло даже на «священную корову» — гильзу обр. 1900 г., и для новой пушки была разработана специальная гильза, заряд которой составлял 2,25 кг. Согласно расчетам снаряд весом 7Д кг должен был иметь начальную скорость 900 м/с.</w:t>
      </w:r>
    </w:p>
    <w:p w14:paraId="5D8F47E4"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образец пушки был собран 23 февраля 1932 г. и испытан на заводском полигоне 29 февраля и 1 марта 1932 г.</w:t>
      </w:r>
    </w:p>
    <w:p w14:paraId="5CC5E0AD"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2E492770"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477ABE51"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4AE3FFF8"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Снаряд …… Вес снаряда, кг — Начальная скорость, м/с — Длина отката при: 25° / 30° / 75°</w:t>
      </w:r>
    </w:p>
    <w:p w14:paraId="27DF9F11"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Черт. 3809 …… 7,1 — 875 — 1193 / 1242 /830</w:t>
      </w:r>
    </w:p>
    <w:p w14:paraId="48E61E13" w14:textId="77777777" w:rsidR="00F12FE0" w:rsidRPr="007122AB" w:rsidRDefault="00F12FE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3F1CA302" w14:textId="77777777" w:rsidR="00F12FE0" w:rsidRPr="007122AB" w:rsidRDefault="00F12FE0" w:rsidP="007122AB">
      <w:pPr>
        <w:spacing w:after="0" w:line="240" w:lineRule="auto"/>
        <w:jc w:val="both"/>
        <w:rPr>
          <w:rFonts w:ascii="Times New Roman" w:hAnsi="Times New Roman"/>
          <w:color w:val="000000" w:themeColor="text1"/>
          <w:sz w:val="16"/>
          <w:szCs w:val="16"/>
        </w:rPr>
      </w:pPr>
    </w:p>
    <w:p w14:paraId="48A650FA"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ноября 1931 года в 12 часов дня первый образец ЯГ-10 поступил в НАТИ для испытаний, в то время как образцы Я-НАТИ-9 и -9Д были построены на том же Ярославском автозаводе только к лету 1933 года, и лишь в июне месяце впервые появились в НАТИ.</w:t>
      </w:r>
    </w:p>
    <w:p w14:paraId="2F7D6B13"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этой связи обычно пишут, что перед ЯГАЗ № 3 стоял выбор: какой вариант «трехоски» выбрать для выпуска – с червячной или двойной (цилиндрические и конические шестерни) главной передачей. И ярославцы, дескать, предпочли все же двойную шестеренчатую, уже освоенную на Я-5. Однако более чем полуторагодичная разница во времени между появлением ЯГ-10 и Я-НАТИ-9Д ясно дает понять, что никакого особого выбора перед заводом не стояло. На </w:t>
      </w:r>
      <w:proofErr w:type="spellStart"/>
      <w:r w:rsidRPr="007122AB">
        <w:rPr>
          <w:rFonts w:ascii="Times New Roman" w:hAnsi="Times New Roman"/>
          <w:color w:val="000000" w:themeColor="text1"/>
          <w:sz w:val="16"/>
          <w:szCs w:val="16"/>
        </w:rPr>
        <w:t>ЯГАЗе</w:t>
      </w:r>
      <w:proofErr w:type="spellEnd"/>
      <w:r w:rsidRPr="007122AB">
        <w:rPr>
          <w:rFonts w:ascii="Times New Roman" w:hAnsi="Times New Roman"/>
          <w:color w:val="000000" w:themeColor="text1"/>
          <w:sz w:val="16"/>
          <w:szCs w:val="16"/>
        </w:rPr>
        <w:t xml:space="preserve"> оперативно сделали то, что смогли сделать, взяв все необходимое с зарубежных моделей, причем задолго до появления образцов, разработанных в НАТИ. Это диктовалось срочностью заказа на шестиколесный грузовик, видимо, под нажимом РККА. Хотя надо признать, что «на бумаге» Я-9 и Я-9Д (буква «Д» - означает наличие демультипликатора) появились параллельно ЯГ-10. Вот только ЯГАЗ, занятый весь следующий год созданием четырехосного ЯГ-12 и шасси для автобуса-гиганта ЯА-2, смог построить образцы Я-НАТИ только в 1933 году (12201).</w:t>
      </w:r>
    </w:p>
    <w:p w14:paraId="79819316"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7AF4B55D"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16 по 27 ноября 1931 года по заданию ВАТО проводились испытания ЯГ-10 в целях экономии времени в сокращенном виде. Уже 16-го после осмотра и заправки машину отправили в пробный пробег по Ленинградскому шоссе для знакомства с ней и выявления неисправностей (пройдено 102 км с нагрузкой 4,2 тонны). На следующий день после осмотра и устранения течи воды в сальнике помпы грузовик проделал тот же маршрут еще раз. Средние скорости машины равнялись 20,2 – 25,4 км/ч при расходах топлива 42,2 – 45,9 л/100 км. Было замечено, что трансмиссия, особенно задние мосты, при движении издают сильный шум (неточная регулировка зацепления шестерен). 18-го ноября был произведен детальный осмотр и проверка действия всех механизмов машины. Были обнаружены подвижность задней левой рессоры (сорвало центральный болт крепления) и «забоины» на крестовинах карданных шарниров (из-за работы под углом, превышающим предельный).</w:t>
      </w:r>
    </w:p>
    <w:p w14:paraId="18DEB317"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19-го состоялся 195-километровый пробег по Ярославскому шоссе трех автомобилей: ЯГ-10 с нагрузкой 8 тонн, трехосного FWD с нагрузкой 5 тонн и трехосного Ford-НАТИ-30 (предшественник ГАЗ-ААА).</w:t>
      </w:r>
    </w:p>
    <w:p w14:paraId="3289280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ходе пробега у ЯГ-10 выявились: обрыв трех болтов (из четырех) крепления картера карданного вала (на задний мост), «биение» самого вала, поломка двух пальцев шарнира заднего моста, большой люфт валов конических шестерен (причина шума), плохое удерживание смазки в шаровых опорах рессор. После ремонта ЯГ-10 совершил пробег по Москве (три круга по Садовому кольцу) с 8-ю тоннами груза, а 23 ноября состоялся еще один пробег по грунтовым дорогам Подмосковья. Кроме FWD (нагрузка 4 тонны) и Ford-30 (нагрузка 1,5 тонны) «компанию» ЯГ-10 (с нагрузкой в 5 тонн) составил серийный Я-5, груженный 3,7 тоннами. В районе с. Никольского на глине с глубокими колеями, заполненными грязью, ЯГ-10 три раза застревал, но выходил за 1 - 4 мин. без посторонней помощи (под колеса кидали ветки).</w:t>
      </w:r>
    </w:p>
    <w:p w14:paraId="52D1C154"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FWD (6х6) застреваний не было. Ford застревал дважды, причем во второй раз редукторами задних мостов намертво «сел» на «</w:t>
      </w:r>
      <w:proofErr w:type="spellStart"/>
      <w:r w:rsidRPr="007122AB">
        <w:rPr>
          <w:rFonts w:ascii="Times New Roman" w:hAnsi="Times New Roman"/>
          <w:color w:val="000000" w:themeColor="text1"/>
          <w:sz w:val="16"/>
          <w:szCs w:val="16"/>
        </w:rPr>
        <w:t>копытник</w:t>
      </w:r>
      <w:proofErr w:type="spellEnd"/>
      <w:r w:rsidRPr="007122AB">
        <w:rPr>
          <w:rFonts w:ascii="Times New Roman" w:hAnsi="Times New Roman"/>
          <w:color w:val="000000" w:themeColor="text1"/>
          <w:sz w:val="16"/>
          <w:szCs w:val="16"/>
        </w:rPr>
        <w:t>» дороги, и был вызволен только с помощью FWD.</w:t>
      </w:r>
    </w:p>
    <w:p w14:paraId="53F2881C"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ЯГ-10 показал примерно равные с FWD показатели средних скоростей по грунту (10,5 – 11 км/ч) и расходы топлива (92,5 – 99,7 л/100 км), значительно отличавшиеся от расходов по шоссе (50,8 – 60,8 л/100 км).</w:t>
      </w:r>
    </w:p>
    <w:p w14:paraId="1A5C76C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эту же поездку был предпринят также штурм грунтового подъема в 26 град. FWD взял его с первой попытки, Ford – только со второй на первой передаче, а Я-5 подъем вообще не взял. Не смог одолеть его и ЯГ-10, как выяснилось, из-за поломки сцепления.</w:t>
      </w:r>
    </w:p>
    <w:p w14:paraId="6845C3F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25 - 27 ноября проводилось определение кинематических свойств задней тележки, а так же – испытания на устойчивость, скорость и приемистость.</w:t>
      </w:r>
    </w:p>
    <w:p w14:paraId="577C282F"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 специалистов НАТИ сводились к следующему: давление на грунт у ЯГ-10 значительно выше, чем у зарубежных образцов, но по клиренсу он им не уступает; при подъеме заднего левого и среднего правого колес максимальный перекос составляет 25 град.; машина может двигаться по окружности внутри цилиндра радиусом всего 6,5 - 7 м, что вполне удовлетворяет требованиям военного ведомства. Однако по сравнению с Я-5 тяговые свойства ЯГ-10 с тем же двигателем несколько ниже. Соответственно – ниже скорости движения. В целом динамика ЯГ-10 – невысокая. Вместе с тем, ЯГ-10 с полной нагрузкой получается экономичнее прочих испытуемых машин. Проходимость может считаться хорошей при движении по неровной, но твердой поверхности. Для мягкой поверхности она недостаточна. Маневренность удовлетворительна (радиус разворота – 9,5 - 9,7 м). В сравнении с Я-5 центр тяжести повышен, а значит – устойчивость хуже (высота ЯГ-10 значительно выше, чем у зарубежных образцов). Легкость управления и мягкость подвески – те же, что и у Я-5. Определить надежность конструкции ввиду краткости испытаний невозможно.</w:t>
      </w:r>
    </w:p>
    <w:p w14:paraId="511E6F2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Недостатки конструкции: отсутствие демультипликатора, что уменьшает проходимость; отсутствуют ограничители перекосов мостов тележки; шаровые соединения не защищены от грязи; неправильная кинематика тормозов среднего моста (наблюдался неоднократный их «захват» при езде по неровностям).</w:t>
      </w:r>
    </w:p>
    <w:p w14:paraId="179B5ACD"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Основным же недостатком ЯГ-10, по мнению НАТИ, была шестеренчатая двойная главная передача – с дорогостоящими и ненадежными переборами. Однако, последующие поломки червяков на испытаниях образцов трехосных Я-НАТИ-9Д с одной стороны и усовершенствования ходовой части серийных ЯГ-10 с другой окончательно утвердили «жизнь» заводскому варианту.</w:t>
      </w:r>
    </w:p>
    <w:p w14:paraId="3DF73B52"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 и вправду, вполне естественно, что построенный «ударными» методами первый образец ЯГ-10 имел ощутимые конструктивные огрехи и недоработки. Главный конструктор </w:t>
      </w:r>
      <w:proofErr w:type="spellStart"/>
      <w:r w:rsidRPr="007122AB">
        <w:rPr>
          <w:rFonts w:ascii="Times New Roman" w:hAnsi="Times New Roman"/>
          <w:color w:val="000000" w:themeColor="text1"/>
          <w:sz w:val="16"/>
          <w:szCs w:val="16"/>
        </w:rPr>
        <w:t>ЯГАЗа</w:t>
      </w:r>
      <w:proofErr w:type="spellEnd"/>
      <w:r w:rsidRPr="007122AB">
        <w:rPr>
          <w:rFonts w:ascii="Times New Roman" w:hAnsi="Times New Roman"/>
          <w:color w:val="000000" w:themeColor="text1"/>
          <w:sz w:val="16"/>
          <w:szCs w:val="16"/>
        </w:rPr>
        <w:t xml:space="preserve"> Литвинов в «Замечаниях завода», адресованных тогда же испытателям НАТИ, прямо указывал:</w:t>
      </w:r>
    </w:p>
    <w:p w14:paraId="50AB9241"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конструкции ЯГ-10 есть следующие дефекты, подлежащие устранению. Надлежит:</w:t>
      </w:r>
    </w:p>
    <w:p w14:paraId="61169CCE"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Переставить реактивные штанги;</w:t>
      </w:r>
    </w:p>
    <w:p w14:paraId="3B8A78D5"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Установить 2-й опорный подшипник конической ведущей шестерни заднего моста;</w:t>
      </w:r>
    </w:p>
    <w:p w14:paraId="4A4A4FBB"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Установить ограничители перекоса осей;</w:t>
      </w:r>
    </w:p>
    <w:p w14:paraId="1FE1964C"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Поставить карданы типа «</w:t>
      </w:r>
      <w:proofErr w:type="spellStart"/>
      <w:r w:rsidRPr="007122AB">
        <w:rPr>
          <w:rFonts w:ascii="Times New Roman" w:hAnsi="Times New Roman"/>
          <w:color w:val="000000" w:themeColor="text1"/>
          <w:sz w:val="16"/>
          <w:szCs w:val="16"/>
        </w:rPr>
        <w:t>Мехеник</w:t>
      </w:r>
      <w:proofErr w:type="spellEnd"/>
      <w:r w:rsidRPr="007122AB">
        <w:rPr>
          <w:rFonts w:ascii="Times New Roman" w:hAnsi="Times New Roman"/>
          <w:color w:val="000000" w:themeColor="text1"/>
          <w:sz w:val="16"/>
          <w:szCs w:val="16"/>
        </w:rPr>
        <w:t>» с автомобиля «</w:t>
      </w:r>
      <w:proofErr w:type="spellStart"/>
      <w:r w:rsidRPr="007122AB">
        <w:rPr>
          <w:rFonts w:ascii="Times New Roman" w:hAnsi="Times New Roman"/>
          <w:color w:val="000000" w:themeColor="text1"/>
          <w:sz w:val="16"/>
          <w:szCs w:val="16"/>
        </w:rPr>
        <w:t>Хеншель</w:t>
      </w:r>
      <w:proofErr w:type="spellEnd"/>
      <w:r w:rsidRPr="007122AB">
        <w:rPr>
          <w:rFonts w:ascii="Times New Roman" w:hAnsi="Times New Roman"/>
          <w:color w:val="000000" w:themeColor="text1"/>
          <w:sz w:val="16"/>
          <w:szCs w:val="16"/>
        </w:rPr>
        <w:t>» вместо валов «Кливленд» с «</w:t>
      </w:r>
      <w:proofErr w:type="spellStart"/>
      <w:r w:rsidRPr="007122AB">
        <w:rPr>
          <w:rFonts w:ascii="Times New Roman" w:hAnsi="Times New Roman"/>
          <w:color w:val="000000" w:themeColor="text1"/>
          <w:sz w:val="16"/>
          <w:szCs w:val="16"/>
        </w:rPr>
        <w:t>Мореленда</w:t>
      </w:r>
      <w:proofErr w:type="spellEnd"/>
      <w:r w:rsidRPr="007122AB">
        <w:rPr>
          <w:rFonts w:ascii="Times New Roman" w:hAnsi="Times New Roman"/>
          <w:color w:val="000000" w:themeColor="text1"/>
          <w:sz w:val="16"/>
          <w:szCs w:val="16"/>
        </w:rPr>
        <w:t>»;</w:t>
      </w:r>
    </w:p>
    <w:p w14:paraId="2C4FA186"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Удлинить дополнительные швеллеры сзади машины до конца платформы;</w:t>
      </w:r>
    </w:p>
    <w:p w14:paraId="05F46933"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Заменить однорядные шарикоподшипники в переборах на двухрядные качающиеся».</w:t>
      </w:r>
    </w:p>
    <w:p w14:paraId="0C748300"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ноября первенец ЯГ-10 был отправлен обратно на завод для доработок и создания первой партии таких машин. А уже ко 2 февраля 1932 года в подарок к XVII всесоюзной партконференции, была выпущена первая партия серийных ЯГ-10. Колонна из пяти машин тоже отправилась в Москву, где 8 февраля расположилась в ряд на Красной площади.</w:t>
      </w:r>
    </w:p>
    <w:p w14:paraId="6CD256B0"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Делегаты в перерывах между заседаниями с интересом разглядывали необычные машины. На следующий день эти грузовики были осмотрены высшими военными чинами СССР. Тогдашний наркомвоенмор К. Е. Ворошилов остался очень доволен ими. Вот что писал он заводчанам: «9 февраля мне удалось лично осмотреть первую колонну изготовленных вами трехосных грузовиков. Хотя они не прошли всех испытаний, но, по свидетельству военных работников, по своим техническим данным и, наконец, по внешнему виду и результатам пробега в трудных зимних условиях, они полностью удовлетворяют предъявляемые к ним требования. Значение трехосной большегрузной машины велико не только для народного хозяйства, но и для обороны страны. Поздравляю вас с несомненным и очень важным техническим достижением. Важно, чтобы оно возможно скорее вышло из стадии опытных образцов в массовое производство».</w:t>
      </w:r>
    </w:p>
    <w:p w14:paraId="5C5486E9"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том же году машины совершили испытательный пробег по маршруту «Ярославль - Минск - Ярославль». Серьезную проверку в различных дорожных условиях прошел ЯГ-10 и на испытательном полигоне УММ РККА.</w:t>
      </w:r>
    </w:p>
    <w:p w14:paraId="31C884EB" w14:textId="77777777" w:rsidR="00513C11" w:rsidRPr="007122AB" w:rsidRDefault="00513C1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Многочисленные прогоны и проверки помогли устранить некоторые конструктивные недостатки и оперативно провести работы по модернизации. Так, серийный ЯГ-10 уже имел демультипликатор, позволявший понижать скорость, а значит – увеличивать силу тяги в 1,4 раза на любой передаче. При грузоподъемности 8000 кг и массе в снаряженном состоянии 5430 - 6000 кг мог преодолевать подъем с полной нагрузкой до 25 град. При наибольшей скорости 42 - 45 км/ч (а не 52, как ошибочно указано в ряде современных публикаций), ЯГ-10 имел эксплуатационный расход топлива 45 - 55 л на 100 км пути. Объем бензобака равнялся 177 л. Длина машины составляла 6990 мм, ширина – 2340 мм, высота – 2580 мм, база (до среднего моста) – 3600. Размер шин высокого давления – 40х8 дюймов. Для повышения проходимости предусматривались съемные гусеничные цепи типа «</w:t>
      </w:r>
      <w:proofErr w:type="spellStart"/>
      <w:r w:rsidRPr="007122AB">
        <w:rPr>
          <w:rFonts w:ascii="Times New Roman" w:hAnsi="Times New Roman"/>
          <w:color w:val="000000" w:themeColor="text1"/>
          <w:sz w:val="16"/>
          <w:szCs w:val="16"/>
        </w:rPr>
        <w:t>Оверол</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Оverall</w:t>
      </w:r>
      <w:proofErr w:type="spellEnd"/>
      <w:r w:rsidRPr="007122AB">
        <w:rPr>
          <w:rFonts w:ascii="Times New Roman" w:hAnsi="Times New Roman"/>
          <w:color w:val="000000" w:themeColor="text1"/>
          <w:sz w:val="16"/>
          <w:szCs w:val="16"/>
        </w:rPr>
        <w:t>») (12201).</w:t>
      </w:r>
    </w:p>
    <w:p w14:paraId="749FF0E7" w14:textId="77777777" w:rsidR="00513C11" w:rsidRPr="007122AB" w:rsidRDefault="00513C11" w:rsidP="007122AB">
      <w:pPr>
        <w:spacing w:after="0" w:line="240" w:lineRule="auto"/>
        <w:jc w:val="both"/>
        <w:rPr>
          <w:rFonts w:ascii="Times New Roman" w:hAnsi="Times New Roman"/>
          <w:color w:val="000000" w:themeColor="text1"/>
          <w:sz w:val="16"/>
          <w:szCs w:val="16"/>
        </w:rPr>
      </w:pPr>
    </w:p>
    <w:p w14:paraId="36E9BD5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0116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1B7E93" w14:textId="77777777" w:rsidR="0069380D" w:rsidRPr="007122AB" w:rsidRDefault="0069380D" w:rsidP="007122AB">
      <w:pPr>
        <w:pStyle w:val="ae"/>
        <w:spacing w:before="0" w:after="0"/>
        <w:jc w:val="both"/>
        <w:rPr>
          <w:color w:val="000000" w:themeColor="text1"/>
          <w:sz w:val="16"/>
          <w:szCs w:val="16"/>
        </w:rPr>
      </w:pPr>
      <w:r w:rsidRPr="007122AB">
        <w:rPr>
          <w:color w:val="000000" w:themeColor="text1"/>
          <w:sz w:val="16"/>
          <w:szCs w:val="16"/>
        </w:rPr>
        <w:t xml:space="preserve">16 ноября 1931 года в Сталина пытался выстрелить Огарёв — белый офицер и секретный сотрудник английской разведки, работавший по линии РОВС (Русского общевоинского союза) и по линии нефтяной секции </w:t>
      </w:r>
      <w:proofErr w:type="spellStart"/>
      <w:r w:rsidRPr="007122AB">
        <w:rPr>
          <w:color w:val="000000" w:themeColor="text1"/>
          <w:sz w:val="16"/>
          <w:szCs w:val="16"/>
        </w:rPr>
        <w:t>Торгпрома</w:t>
      </w:r>
      <w:proofErr w:type="spellEnd"/>
      <w:r w:rsidRPr="007122AB">
        <w:rPr>
          <w:color w:val="000000" w:themeColor="text1"/>
          <w:sz w:val="16"/>
          <w:szCs w:val="16"/>
        </w:rPr>
        <w:t xml:space="preserve">. Он случайно встретил И. В. Сталина на улице Ильинка около д. 5/2 и попытался выхватить револьвер. Следивший за ним сотрудник ОГПУ помешал покушению. После этого инцидента на записке зам. председателя ОГПУ Акулова по поводу произошедшего была наложена резолюция: «Членам Политбюро. Пешее хождение т. Сталину по Москве надо прекратить. В. Молотов» (подписались также Каганович, Калинин, Куйбышев) (17371). </w:t>
      </w:r>
    </w:p>
    <w:p w14:paraId="74D3B6AC" w14:textId="77777777" w:rsidR="0069380D" w:rsidRPr="007122AB" w:rsidRDefault="0069380D" w:rsidP="007122AB">
      <w:pPr>
        <w:pStyle w:val="ae"/>
        <w:spacing w:before="0" w:after="0"/>
        <w:jc w:val="both"/>
        <w:rPr>
          <w:color w:val="000000" w:themeColor="text1"/>
          <w:sz w:val="16"/>
          <w:szCs w:val="16"/>
        </w:rPr>
      </w:pPr>
    </w:p>
    <w:p w14:paraId="7913EC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ноября 1931 приказом ОГПУ № 667/359 «О строительстве Беломорско-Балтийского водного пути» все работы по каналу перешли к вновь созданному Управлению строительства Беломорско-Балтийского водного пути ОГПУ во главе с Л. И. Коганом (по совместительству с должностью начальника Гулага), чьим заместителем также по совместительству стал помощник начальника ГУЛАГа Я. Д. Рапопорт. Они должны были лично руководить строительством, поочередно находясь непосредственно на месте работ. В составе ГУЛАГа была создана специальная группа по снабжению </w:t>
      </w:r>
      <w:proofErr w:type="spellStart"/>
      <w:r w:rsidRPr="007122AB">
        <w:rPr>
          <w:rFonts w:ascii="Times New Roman" w:hAnsi="Times New Roman"/>
          <w:color w:val="000000" w:themeColor="text1"/>
          <w:sz w:val="16"/>
          <w:szCs w:val="16"/>
        </w:rPr>
        <w:t>Беломорстроя</w:t>
      </w:r>
      <w:proofErr w:type="spellEnd"/>
      <w:r w:rsidRPr="007122AB">
        <w:rPr>
          <w:rFonts w:ascii="Times New Roman" w:hAnsi="Times New Roman"/>
          <w:color w:val="000000" w:themeColor="text1"/>
          <w:sz w:val="16"/>
          <w:szCs w:val="16"/>
        </w:rPr>
        <w:t xml:space="preserve"> (7560). Этим же приказом для строительства канала создавался Беломорско-Балтийский лагерь, который возглавил Э. И. Сенкевич, ранее бывший начальником Свирского ИТЛ ОГПУ (созданного незадолго перед тем в городе Лодейное Поле на базе отделений Соловецкого лагеря и снабжавшего дровами Ленинград) (7560).</w:t>
      </w:r>
    </w:p>
    <w:p w14:paraId="0C69B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C3C3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ноября 1931 г. на базе Соловецких и Карело-Мурманских лагерей был сформирован Беломорско-Балтийский исправительно-трудовой лагерь, задачей которого и являлось осуществление строительства канала. Число заключенных в лагере постепенно росло. Согласно имеющимся данным, на 1.01.1931 в Соловецком лагере числилось 71 800 чел. В дальнейшем данные выглядят следующим образом: 1.04.31–72 000 чел.; 1.07.31–83 700 чел.; 1.10.31–64 100 чел; 1.01.32 уже в </w:t>
      </w:r>
      <w:proofErr w:type="spellStart"/>
      <w:r w:rsidRPr="007122AB">
        <w:rPr>
          <w:rFonts w:ascii="Times New Roman" w:hAnsi="Times New Roman"/>
          <w:color w:val="000000" w:themeColor="text1"/>
          <w:sz w:val="16"/>
          <w:szCs w:val="16"/>
        </w:rPr>
        <w:t>Белбалтлаге</w:t>
      </w:r>
      <w:proofErr w:type="spellEnd"/>
      <w:r w:rsidRPr="007122AB">
        <w:rPr>
          <w:rFonts w:ascii="Times New Roman" w:hAnsi="Times New Roman"/>
          <w:color w:val="000000" w:themeColor="text1"/>
          <w:sz w:val="16"/>
          <w:szCs w:val="16"/>
        </w:rPr>
        <w:t xml:space="preserve"> - 64 400 чел; 1.04.32–80 200 чел; 1.07.32 - 122 800 чел; 1.10.32 - 125 000 чел; 1.01.33 - 107 900 чел; 104.33 - 119 660 чел; 1.07.33–66 971 чел. (началась переброска заключенных на строительство канала Москва - Волга и освобождение наиболее отличившихся). </w:t>
      </w:r>
    </w:p>
    <w:p w14:paraId="472CB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Колебание численности зависело как от интенсивности движения спецконтингента (переводы в другие места, освобождения, побеги), так и от уровня смертности. За годы строительства уровень смертности в Беломорско-Балтийском ИТЛ колебался. В 1931 г. умерло 1438 чел., что составило 2,24 % от среднегодовой численности заключенных. В 1932 г. умерло 2010 чел., или 2,03 % среднегодовой численности. При этом наблюдается увеличение числа умерших к концу года. Вот как выглядела динамика смертности по месяцам: январь - 64 умерших; февраль - 42; март - 36; апрель - 75; май - 69; июнь - 89; июль - 116; август - 244; сентябрь - 331; октябрь - 313; ноябрь - 315; декабрь - 312. Повышение уровня смертности можно объяснить как возросшим уровнем производственных потерь (именно 1932 г. предусматривал выполнение наибольшего объема тяжелых работ), так и ухудшением продовольственной ситуации в стране, что сказывалось на состоянии прибывавших в лагерь пополнений и на питании заключенных. </w:t>
      </w:r>
    </w:p>
    <w:p w14:paraId="18C0B9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Здесь целесообразно привести таблицу 2, показывающую характер изменений норм питания заключенных в 1933 году по сравнению с 1932 г. </w:t>
      </w:r>
    </w:p>
    <w:p w14:paraId="349CC7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Таблица 2. Нормы питания заключенных </w:t>
      </w:r>
      <w:proofErr w:type="spellStart"/>
      <w:r w:rsidRPr="007122AB">
        <w:rPr>
          <w:rFonts w:ascii="Times New Roman" w:hAnsi="Times New Roman"/>
          <w:color w:val="000000" w:themeColor="text1"/>
          <w:sz w:val="16"/>
          <w:szCs w:val="16"/>
        </w:rPr>
        <w:t>Белбалтлага</w:t>
      </w:r>
      <w:proofErr w:type="spellEnd"/>
      <w:r w:rsidRPr="007122AB">
        <w:rPr>
          <w:rFonts w:ascii="Times New Roman" w:hAnsi="Times New Roman"/>
          <w:color w:val="000000" w:themeColor="text1"/>
          <w:sz w:val="16"/>
          <w:szCs w:val="16"/>
        </w:rPr>
        <w:t xml:space="preserve"> в 1932–1933 г. г. (на одного человека) Наименование продуктов Нормы 1932 г. (месячные) Нормы 1933 г. (месячные) Мука (кг) 23,5 17,16 Крупа (кг) 5,75 2,25 Макароны (кг) 0,5 0.4 Масло растительное (в литрах) 1,0 0,3 Жиры животные (кг) 0,15 Нет Сахар (кг) 0,95 0,6 Кондитерские изделия (кг) 0.5 0,5 Консервы разные 2 банки 1,5 банки </w:t>
      </w:r>
    </w:p>
    <w:p w14:paraId="7DA20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условиях, когда ручной труд являлся основным, многое зависело от организации работы масс заключенных. На </w:t>
      </w:r>
      <w:proofErr w:type="spellStart"/>
      <w:r w:rsidRPr="007122AB">
        <w:rPr>
          <w:rFonts w:ascii="Times New Roman" w:hAnsi="Times New Roman"/>
          <w:color w:val="000000" w:themeColor="text1"/>
          <w:sz w:val="16"/>
          <w:szCs w:val="16"/>
        </w:rPr>
        <w:t>Беломорстрое</w:t>
      </w:r>
      <w:proofErr w:type="spellEnd"/>
      <w:r w:rsidRPr="007122AB">
        <w:rPr>
          <w:rFonts w:ascii="Times New Roman" w:hAnsi="Times New Roman"/>
          <w:color w:val="000000" w:themeColor="text1"/>
          <w:sz w:val="16"/>
          <w:szCs w:val="16"/>
        </w:rPr>
        <w:t xml:space="preserve"> сформировалось два основных вида производственных объединений: бригады и фаланги. Бригадой называлось объединение, состоявшее из 25–30 человек и специализирующееся на выполнении определенного вида работ (землекопы, арматурщики, тачечники и др.). Фаланга состояла из 250–300 человек и выполняла полный комплекс работ на закрепленном за ней участке. Оба эти типа объединений существовали параллельно. </w:t>
      </w:r>
    </w:p>
    <w:p w14:paraId="4C1CDC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Важную роль играло стимулирование заключенных на выполнение и перевыполнение норм выработки (на земляных работах эта норма составляла 2,5 кубометра в день). Помимо моральных стимулов (вручение бригаде или фаланге почетного знамени, благодарности и грамоты, помещение имен отличившихся на доску почета) применялись и материальные стимулы. Выполнявшие и перевыполнявшие нормы получали усиленный хлебный паек (до 1200 г), </w:t>
      </w:r>
      <w:proofErr w:type="spellStart"/>
      <w:r w:rsidRPr="007122AB">
        <w:rPr>
          <w:rFonts w:ascii="Times New Roman" w:hAnsi="Times New Roman"/>
          <w:color w:val="000000" w:themeColor="text1"/>
          <w:sz w:val="16"/>
          <w:szCs w:val="16"/>
        </w:rPr>
        <w:t>премблюдо</w:t>
      </w:r>
      <w:proofErr w:type="spellEnd"/>
      <w:r w:rsidRPr="007122AB">
        <w:rPr>
          <w:rFonts w:ascii="Times New Roman" w:hAnsi="Times New Roman"/>
          <w:color w:val="000000" w:themeColor="text1"/>
          <w:sz w:val="16"/>
          <w:szCs w:val="16"/>
        </w:rPr>
        <w:t xml:space="preserve"> (обычно 75-граммовые пирожки с капустой или картофелем), денежное вознаграждение. Но самым желанным стимулом был зачет рабочих дней Перевыполняющие нормы выработки могли рассчитывать на зачет трех рабочих дней за 5 дней срока, а для ударников зачет составлял "день за два". В то же время в случае нарушения дисциплины либо фальсификации производственных показателей применялись наказания в виде урезания пайка, помещения в роту усиленного режима, отмены зачетов, предания суду (12107).</w:t>
      </w:r>
    </w:p>
    <w:p w14:paraId="0A4DA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9CBBB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7DAB3F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F1D2B2F"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 ноября 1931 г. на заседании в ВАО по выполнению плана опытного самолетостроения ЦАГИ по программе 1932 г. в присутствии начальника УВВС П.И. Баранова выяснилось отсутствие в планах Института работ по совершенствованию самолета И-7 – начальнику ЦАГИ Н.М. Харламову поручили выяснить их целесообразность (24331).</w:t>
      </w:r>
    </w:p>
    <w:p w14:paraId="0D0E887D" w14:textId="77777777" w:rsidR="00723FFB" w:rsidRPr="00441F34" w:rsidRDefault="00723FFB" w:rsidP="00723FFB">
      <w:pPr>
        <w:spacing w:after="0" w:line="240" w:lineRule="auto"/>
        <w:jc w:val="both"/>
        <w:rPr>
          <w:rFonts w:ascii="Times New Roman" w:hAnsi="Times New Roman"/>
          <w:color w:val="0070C0"/>
          <w:sz w:val="16"/>
          <w:szCs w:val="16"/>
        </w:rPr>
      </w:pPr>
    </w:p>
    <w:p w14:paraId="1C364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ноября 1931 состоялся первый полет автожира ЦАГИ-2ЭА (237,162). Летал </w:t>
      </w:r>
      <w:proofErr w:type="spellStart"/>
      <w:r w:rsidRPr="007122AB">
        <w:rPr>
          <w:rFonts w:ascii="Times New Roman" w:hAnsi="Times New Roman"/>
          <w:color w:val="000000" w:themeColor="text1"/>
          <w:sz w:val="16"/>
          <w:szCs w:val="16"/>
        </w:rPr>
        <w:t>С.А.Корзинщиков</w:t>
      </w:r>
      <w:proofErr w:type="spellEnd"/>
      <w:r w:rsidRPr="007122AB">
        <w:rPr>
          <w:rFonts w:ascii="Times New Roman" w:hAnsi="Times New Roman"/>
          <w:color w:val="000000" w:themeColor="text1"/>
          <w:sz w:val="16"/>
          <w:szCs w:val="16"/>
        </w:rPr>
        <w:t xml:space="preserve"> (391,51).</w:t>
      </w:r>
    </w:p>
    <w:p w14:paraId="688AF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77CC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ноября 1931 г. на Центральном аэродроме летчи</w:t>
      </w:r>
      <w:r w:rsidRPr="007122AB">
        <w:rPr>
          <w:rFonts w:ascii="Times New Roman" w:hAnsi="Times New Roman"/>
          <w:color w:val="000000" w:themeColor="text1"/>
          <w:sz w:val="16"/>
          <w:szCs w:val="16"/>
        </w:rPr>
        <w:softHyphen/>
        <w:t>к-испытатель С. А. Корзинщиков выполнил первый успешный полет на автожире ЦАГИ-2ЭА. Позже был совершен ряд полетов, в результате которых непрерывно модифицировалась кон</w:t>
      </w:r>
      <w:r w:rsidRPr="007122AB">
        <w:rPr>
          <w:rFonts w:ascii="Times New Roman" w:hAnsi="Times New Roman"/>
          <w:color w:val="000000" w:themeColor="text1"/>
          <w:sz w:val="16"/>
          <w:szCs w:val="16"/>
        </w:rPr>
        <w:softHyphen/>
        <w:t>струкция автожира. В одном из полетов при демонстрации авто</w:t>
      </w:r>
      <w:r w:rsidRPr="007122AB">
        <w:rPr>
          <w:rFonts w:ascii="Times New Roman" w:hAnsi="Times New Roman"/>
          <w:color w:val="000000" w:themeColor="text1"/>
          <w:sz w:val="16"/>
          <w:szCs w:val="16"/>
        </w:rPr>
        <w:softHyphen/>
        <w:t>жира начальнику ВВС Я. Н. Алкснису произошла авария. При за</w:t>
      </w:r>
      <w:r w:rsidRPr="007122AB">
        <w:rPr>
          <w:rFonts w:ascii="Times New Roman" w:hAnsi="Times New Roman"/>
          <w:color w:val="000000" w:themeColor="text1"/>
          <w:sz w:val="16"/>
          <w:szCs w:val="16"/>
        </w:rPr>
        <w:softHyphen/>
        <w:t>вершении полета уже при посадке с пробегом произошел неуправ</w:t>
      </w:r>
      <w:r w:rsidRPr="007122AB">
        <w:rPr>
          <w:rFonts w:ascii="Times New Roman" w:hAnsi="Times New Roman"/>
          <w:color w:val="000000" w:themeColor="text1"/>
          <w:sz w:val="16"/>
          <w:szCs w:val="16"/>
        </w:rPr>
        <w:softHyphen/>
        <w:t>ляемый разворот, автожир скапотировал и был поврежден (10736).</w:t>
      </w:r>
    </w:p>
    <w:p w14:paraId="09FB9A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CEF1DF"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ноября 1931 г. автожир ЦАГИ 2-ЭА впер</w:t>
      </w:r>
      <w:r w:rsidRPr="007122AB">
        <w:rPr>
          <w:rFonts w:ascii="Times New Roman" w:hAnsi="Times New Roman"/>
          <w:color w:val="000000" w:themeColor="text1"/>
          <w:sz w:val="16"/>
          <w:szCs w:val="16"/>
        </w:rPr>
        <w:softHyphen/>
        <w:t xml:space="preserve">вые поднялся в воздух. Практически с началом полетов ЦАГИ 2-ЭА </w:t>
      </w:r>
      <w:proofErr w:type="spellStart"/>
      <w:r w:rsidRPr="007122AB">
        <w:rPr>
          <w:rFonts w:ascii="Times New Roman" w:hAnsi="Times New Roman"/>
          <w:color w:val="000000" w:themeColor="text1"/>
          <w:sz w:val="16"/>
          <w:szCs w:val="16"/>
        </w:rPr>
        <w:t>автожирная</w:t>
      </w:r>
      <w:proofErr w:type="spellEnd"/>
      <w:r w:rsidRPr="007122AB">
        <w:rPr>
          <w:rFonts w:ascii="Times New Roman" w:hAnsi="Times New Roman"/>
          <w:color w:val="000000" w:themeColor="text1"/>
          <w:sz w:val="16"/>
          <w:szCs w:val="16"/>
        </w:rPr>
        <w:t xml:space="preserve"> тематика в ЦАГИ начала набирать обороты. Для расшире</w:t>
      </w:r>
      <w:r w:rsidRPr="007122AB">
        <w:rPr>
          <w:rFonts w:ascii="Times New Roman" w:hAnsi="Times New Roman"/>
          <w:color w:val="000000" w:themeColor="text1"/>
          <w:sz w:val="16"/>
          <w:szCs w:val="16"/>
        </w:rPr>
        <w:softHyphen/>
        <w:t>ния фронта работ сюда пригласили авторов КАСКР, кон</w:t>
      </w:r>
      <w:r w:rsidRPr="007122AB">
        <w:rPr>
          <w:rFonts w:ascii="Times New Roman" w:hAnsi="Times New Roman"/>
          <w:color w:val="000000" w:themeColor="text1"/>
          <w:sz w:val="16"/>
          <w:szCs w:val="16"/>
        </w:rPr>
        <w:softHyphen/>
        <w:t xml:space="preserve">структоров Камова и </w:t>
      </w:r>
      <w:proofErr w:type="spellStart"/>
      <w:r w:rsidRPr="007122AB">
        <w:rPr>
          <w:rFonts w:ascii="Times New Roman" w:hAnsi="Times New Roman"/>
          <w:color w:val="000000" w:themeColor="text1"/>
          <w:sz w:val="16"/>
          <w:szCs w:val="16"/>
        </w:rPr>
        <w:t>Скржинского</w:t>
      </w:r>
      <w:proofErr w:type="spellEnd"/>
      <w:r w:rsidRPr="007122AB">
        <w:rPr>
          <w:rFonts w:ascii="Times New Roman" w:hAnsi="Times New Roman"/>
          <w:color w:val="000000" w:themeColor="text1"/>
          <w:sz w:val="16"/>
          <w:szCs w:val="16"/>
        </w:rPr>
        <w:t>. С ноября 1931 г. Камов является начальником конструкторской бригады № 2 СОК ЦАГИ и первоначально предполагает дальнейшее совер</w:t>
      </w:r>
      <w:r w:rsidRPr="007122AB">
        <w:rPr>
          <w:rFonts w:ascii="Times New Roman" w:hAnsi="Times New Roman"/>
          <w:color w:val="000000" w:themeColor="text1"/>
          <w:sz w:val="16"/>
          <w:szCs w:val="16"/>
        </w:rPr>
        <w:softHyphen/>
        <w:t>шенствование автожира под обозначением КАСКР-4. В дальнейшем на основе этого проекта появился автожир А- 7, предназначенный для использования в качестве артил</w:t>
      </w:r>
      <w:r w:rsidRPr="007122AB">
        <w:rPr>
          <w:rFonts w:ascii="Times New Roman" w:hAnsi="Times New Roman"/>
          <w:color w:val="000000" w:themeColor="text1"/>
          <w:sz w:val="16"/>
          <w:szCs w:val="16"/>
        </w:rPr>
        <w:softHyphen/>
        <w:t>лерийского корректировщика.</w:t>
      </w:r>
    </w:p>
    <w:p w14:paraId="0521AE30"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не только будущий А-7 занимал голову конструк</w:t>
      </w:r>
      <w:r w:rsidRPr="007122AB">
        <w:rPr>
          <w:rFonts w:ascii="Times New Roman" w:hAnsi="Times New Roman"/>
          <w:color w:val="000000" w:themeColor="text1"/>
          <w:sz w:val="16"/>
          <w:szCs w:val="16"/>
        </w:rPr>
        <w:softHyphen/>
        <w:t xml:space="preserve">тора Камова, он буквально генерировал идеи, связанные с автожирами. Одним из первых он предложил сбрасывать торпеды с самолетов при помощи складных </w:t>
      </w:r>
      <w:proofErr w:type="spellStart"/>
      <w:r w:rsidRPr="007122AB">
        <w:rPr>
          <w:rFonts w:ascii="Times New Roman" w:hAnsi="Times New Roman"/>
          <w:color w:val="000000" w:themeColor="text1"/>
          <w:sz w:val="16"/>
          <w:szCs w:val="16"/>
        </w:rPr>
        <w:t>авторотиру</w:t>
      </w:r>
      <w:r w:rsidRPr="007122AB">
        <w:rPr>
          <w:rFonts w:ascii="Times New Roman" w:hAnsi="Times New Roman"/>
          <w:color w:val="000000" w:themeColor="text1"/>
          <w:sz w:val="16"/>
          <w:szCs w:val="16"/>
        </w:rPr>
        <w:softHyphen/>
        <w:t>ющих</w:t>
      </w:r>
      <w:proofErr w:type="spellEnd"/>
      <w:r w:rsidRPr="007122AB">
        <w:rPr>
          <w:rFonts w:ascii="Times New Roman" w:hAnsi="Times New Roman"/>
          <w:color w:val="000000" w:themeColor="text1"/>
          <w:sz w:val="16"/>
          <w:szCs w:val="16"/>
        </w:rPr>
        <w:t xml:space="preserve"> устройств (высотная торпеда Камова - ВТК). После сброса торпеды лопасти ротора переводились из транс</w:t>
      </w:r>
      <w:r w:rsidRPr="007122AB">
        <w:rPr>
          <w:rFonts w:ascii="Times New Roman" w:hAnsi="Times New Roman"/>
          <w:color w:val="000000" w:themeColor="text1"/>
          <w:sz w:val="16"/>
          <w:szCs w:val="16"/>
        </w:rPr>
        <w:softHyphen/>
        <w:t>портного положения в рабочее и раскручивались порохо</w:t>
      </w:r>
      <w:r w:rsidRPr="007122AB">
        <w:rPr>
          <w:rFonts w:ascii="Times New Roman" w:hAnsi="Times New Roman"/>
          <w:color w:val="000000" w:themeColor="text1"/>
          <w:sz w:val="16"/>
          <w:szCs w:val="16"/>
        </w:rPr>
        <w:softHyphen/>
        <w:t>выми ракетами, установленными на их концах. В 1933 г. в ЦАГИ провели испытания моделей таких торпед, которые показали безотказное раскрытие лопастей и раскручива</w:t>
      </w:r>
      <w:r w:rsidRPr="007122AB">
        <w:rPr>
          <w:rFonts w:ascii="Times New Roman" w:hAnsi="Times New Roman"/>
          <w:color w:val="000000" w:themeColor="text1"/>
          <w:sz w:val="16"/>
          <w:szCs w:val="16"/>
        </w:rPr>
        <w:softHyphen/>
        <w:t>ние ротора до полных оборотов. Признавалось, что про</w:t>
      </w:r>
      <w:r w:rsidRPr="007122AB">
        <w:rPr>
          <w:rFonts w:ascii="Times New Roman" w:hAnsi="Times New Roman"/>
          <w:color w:val="000000" w:themeColor="text1"/>
          <w:sz w:val="16"/>
          <w:szCs w:val="16"/>
        </w:rPr>
        <w:softHyphen/>
        <w:t>екты Камова грамотны и своевременны, однако до прак</w:t>
      </w:r>
      <w:r w:rsidRPr="007122AB">
        <w:rPr>
          <w:rFonts w:ascii="Times New Roman" w:hAnsi="Times New Roman"/>
          <w:color w:val="000000" w:themeColor="text1"/>
          <w:sz w:val="16"/>
          <w:szCs w:val="16"/>
        </w:rPr>
        <w:softHyphen/>
        <w:t>тического использования они не доводились. (20361).</w:t>
      </w:r>
    </w:p>
    <w:p w14:paraId="7824276C" w14:textId="77777777" w:rsidR="004F04A7" w:rsidRPr="007122AB" w:rsidRDefault="004F04A7" w:rsidP="007122AB">
      <w:pPr>
        <w:shd w:val="clear" w:color="auto" w:fill="FFFFFF"/>
        <w:spacing w:after="0" w:line="240" w:lineRule="auto"/>
        <w:jc w:val="both"/>
        <w:rPr>
          <w:rFonts w:ascii="Times New Roman" w:hAnsi="Times New Roman"/>
          <w:color w:val="000000" w:themeColor="text1"/>
          <w:sz w:val="16"/>
          <w:szCs w:val="16"/>
        </w:rPr>
      </w:pPr>
    </w:p>
    <w:p w14:paraId="7EF630F7"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ноя</w:t>
      </w:r>
      <w:r w:rsidRPr="007122AB">
        <w:rPr>
          <w:rFonts w:ascii="Times New Roman" w:hAnsi="Times New Roman"/>
          <w:color w:val="000000" w:themeColor="text1"/>
          <w:sz w:val="16"/>
          <w:szCs w:val="16"/>
        </w:rPr>
        <w:softHyphen/>
        <w:t>бря 1931 г. ранним утром первый полет на автожире ЦАГИ 2-ЭА совершил летчик С.А. Корзинщиков. Присутствовали А.М. Черемухин, И.П. Братухин, М.Л. Миль, В.А. Кузнецов, М.А. Тайц. После раскрутки ротора автожир взлетел, сделал несколько кругов над Ходынкой и благо</w:t>
      </w:r>
      <w:r w:rsidRPr="007122AB">
        <w:rPr>
          <w:rFonts w:ascii="Times New Roman" w:hAnsi="Times New Roman"/>
          <w:color w:val="000000" w:themeColor="text1"/>
          <w:sz w:val="16"/>
          <w:szCs w:val="16"/>
        </w:rPr>
        <w:softHyphen/>
        <w:t>получно приземлился. Через несколько дней 2-ЭА произ</w:t>
      </w:r>
      <w:r w:rsidRPr="007122AB">
        <w:rPr>
          <w:rFonts w:ascii="Times New Roman" w:hAnsi="Times New Roman"/>
          <w:color w:val="000000" w:themeColor="text1"/>
          <w:sz w:val="16"/>
          <w:szCs w:val="16"/>
        </w:rPr>
        <w:softHyphen/>
        <w:t>вел облет Москвы в районе ЦАГИ в сопровождении само</w:t>
      </w:r>
      <w:r w:rsidRPr="007122AB">
        <w:rPr>
          <w:rFonts w:ascii="Times New Roman" w:hAnsi="Times New Roman"/>
          <w:color w:val="000000" w:themeColor="text1"/>
          <w:sz w:val="16"/>
          <w:szCs w:val="16"/>
        </w:rPr>
        <w:softHyphen/>
        <w:t>лета Р-5. Все сотрудники ЦАГИ и опытного завода высы</w:t>
      </w:r>
      <w:r w:rsidRPr="007122AB">
        <w:rPr>
          <w:rFonts w:ascii="Times New Roman" w:hAnsi="Times New Roman"/>
          <w:color w:val="000000" w:themeColor="text1"/>
          <w:sz w:val="16"/>
          <w:szCs w:val="16"/>
        </w:rPr>
        <w:softHyphen/>
        <w:t>пали на улицу, чтобы посмотреть летящий в небе автожир, созданный при их участии.</w:t>
      </w:r>
    </w:p>
    <w:p w14:paraId="45C17249"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удачное начало испы</w:t>
      </w:r>
      <w:r w:rsidRPr="007122AB">
        <w:rPr>
          <w:rFonts w:ascii="Times New Roman" w:hAnsi="Times New Roman"/>
          <w:color w:val="000000" w:themeColor="text1"/>
          <w:sz w:val="16"/>
          <w:szCs w:val="16"/>
        </w:rPr>
        <w:softHyphen/>
        <w:t>таний, скоро проявились недостатки, особо присущие ав</w:t>
      </w:r>
      <w:r w:rsidRPr="007122AB">
        <w:rPr>
          <w:rFonts w:ascii="Times New Roman" w:hAnsi="Times New Roman"/>
          <w:color w:val="000000" w:themeColor="text1"/>
          <w:sz w:val="16"/>
          <w:szCs w:val="16"/>
        </w:rPr>
        <w:softHyphen/>
        <w:t>тожирам крыльевой схемы. На пробеге, на малой скорости автожир становился практически неуправляемым, его силь</w:t>
      </w:r>
      <w:r w:rsidRPr="007122AB">
        <w:rPr>
          <w:rFonts w:ascii="Times New Roman" w:hAnsi="Times New Roman"/>
          <w:color w:val="000000" w:themeColor="text1"/>
          <w:sz w:val="16"/>
          <w:szCs w:val="16"/>
        </w:rPr>
        <w:softHyphen/>
        <w:t xml:space="preserve">но раскачивало. Достаточно было небольшого бокового ветерка, чтобы завалить аппарат на бок. Инженер </w:t>
      </w:r>
      <w:proofErr w:type="spellStart"/>
      <w:r w:rsidRPr="007122AB">
        <w:rPr>
          <w:rFonts w:ascii="Times New Roman" w:hAnsi="Times New Roman"/>
          <w:color w:val="000000" w:themeColor="text1"/>
          <w:sz w:val="16"/>
          <w:szCs w:val="16"/>
        </w:rPr>
        <w:t>Изаксон</w:t>
      </w:r>
      <w:proofErr w:type="spellEnd"/>
      <w:r w:rsidRPr="007122AB">
        <w:rPr>
          <w:rFonts w:ascii="Times New Roman" w:hAnsi="Times New Roman"/>
          <w:color w:val="000000" w:themeColor="text1"/>
          <w:sz w:val="16"/>
          <w:szCs w:val="16"/>
        </w:rPr>
        <w:t xml:space="preserve"> так описал один из эпизодов испытания ЦАГИ 2-ЭА:</w:t>
      </w:r>
    </w:p>
    <w:p w14:paraId="294A2C6B"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«Машина, которая подвергалась испытаниям, вообще бы</w:t>
      </w:r>
      <w:r w:rsidRPr="007122AB">
        <w:rPr>
          <w:rFonts w:ascii="Times New Roman" w:hAnsi="Times New Roman"/>
          <w:color w:val="000000" w:themeColor="text1"/>
          <w:sz w:val="16"/>
          <w:szCs w:val="16"/>
        </w:rPr>
        <w:softHyphen/>
        <w:t>ла очень удачна, поэтому однажды ее решили показать На</w:t>
      </w:r>
      <w:r w:rsidRPr="007122AB">
        <w:rPr>
          <w:rFonts w:ascii="Times New Roman" w:hAnsi="Times New Roman"/>
          <w:color w:val="000000" w:themeColor="text1"/>
          <w:sz w:val="16"/>
          <w:szCs w:val="16"/>
        </w:rPr>
        <w:softHyphen/>
        <w:t>чальнику ВВС Якову Алкснису. Пригласили его на Цент</w:t>
      </w:r>
      <w:r w:rsidRPr="007122AB">
        <w:rPr>
          <w:rFonts w:ascii="Times New Roman" w:hAnsi="Times New Roman"/>
          <w:color w:val="000000" w:themeColor="text1"/>
          <w:sz w:val="16"/>
          <w:szCs w:val="16"/>
        </w:rPr>
        <w:softHyphen/>
        <w:t>ральный аэродром, туда, где нынешний «Аэропорт», стан</w:t>
      </w:r>
      <w:r w:rsidRPr="007122AB">
        <w:rPr>
          <w:rFonts w:ascii="Times New Roman" w:hAnsi="Times New Roman"/>
          <w:color w:val="000000" w:themeColor="text1"/>
          <w:sz w:val="16"/>
          <w:szCs w:val="16"/>
        </w:rPr>
        <w:softHyphen/>
        <w:t xml:space="preserve">ция метро. Он приехал с группой своих офицеров. Наш испытатель летчик Корзинщиков поднялся в воздух. Это было очень эффектно. Он поднялся с очень маленького разбега, летал на двух тысячах, потом показал скорость очень </w:t>
      </w:r>
      <w:proofErr w:type="spellStart"/>
      <w:r w:rsidRPr="007122AB">
        <w:rPr>
          <w:rFonts w:ascii="Times New Roman" w:hAnsi="Times New Roman"/>
          <w:color w:val="000000" w:themeColor="text1"/>
          <w:sz w:val="16"/>
          <w:szCs w:val="16"/>
        </w:rPr>
        <w:t>маёенькую</w:t>
      </w:r>
      <w:proofErr w:type="spellEnd"/>
      <w:r w:rsidRPr="007122AB">
        <w:rPr>
          <w:rFonts w:ascii="Times New Roman" w:hAnsi="Times New Roman"/>
          <w:color w:val="000000" w:themeColor="text1"/>
          <w:sz w:val="16"/>
          <w:szCs w:val="16"/>
        </w:rPr>
        <w:t xml:space="preserve">, скорость большую. Сел прекрасно и в этот момент его </w:t>
      </w:r>
      <w:proofErr w:type="spellStart"/>
      <w:r w:rsidRPr="007122AB">
        <w:rPr>
          <w:rFonts w:ascii="Times New Roman" w:hAnsi="Times New Roman"/>
          <w:color w:val="000000" w:themeColor="text1"/>
          <w:sz w:val="16"/>
          <w:szCs w:val="16"/>
        </w:rPr>
        <w:t>развернуёо</w:t>
      </w:r>
      <w:proofErr w:type="spellEnd"/>
      <w:r w:rsidRPr="007122AB">
        <w:rPr>
          <w:rFonts w:ascii="Times New Roman" w:hAnsi="Times New Roman"/>
          <w:color w:val="000000" w:themeColor="text1"/>
          <w:sz w:val="16"/>
          <w:szCs w:val="16"/>
        </w:rPr>
        <w:t xml:space="preserve">, он завалился на бок, </w:t>
      </w:r>
      <w:proofErr w:type="spellStart"/>
      <w:r w:rsidRPr="007122AB">
        <w:rPr>
          <w:rFonts w:ascii="Times New Roman" w:hAnsi="Times New Roman"/>
          <w:color w:val="000000" w:themeColor="text1"/>
          <w:sz w:val="16"/>
          <w:szCs w:val="16"/>
        </w:rPr>
        <w:t>сломаё</w:t>
      </w:r>
      <w:proofErr w:type="spellEnd"/>
      <w:r w:rsidRPr="007122AB">
        <w:rPr>
          <w:rFonts w:ascii="Times New Roman" w:hAnsi="Times New Roman"/>
          <w:color w:val="000000" w:themeColor="text1"/>
          <w:sz w:val="16"/>
          <w:szCs w:val="16"/>
        </w:rPr>
        <w:t xml:space="preserve"> ротор, так, что вся «обедня» </w:t>
      </w:r>
      <w:proofErr w:type="spellStart"/>
      <w:r w:rsidRPr="007122AB">
        <w:rPr>
          <w:rFonts w:ascii="Times New Roman" w:hAnsi="Times New Roman"/>
          <w:color w:val="000000" w:themeColor="text1"/>
          <w:sz w:val="16"/>
          <w:szCs w:val="16"/>
        </w:rPr>
        <w:t>оказаёась</w:t>
      </w:r>
      <w:proofErr w:type="spellEnd"/>
      <w:r w:rsidRPr="007122AB">
        <w:rPr>
          <w:rFonts w:ascii="Times New Roman" w:hAnsi="Times New Roman"/>
          <w:color w:val="000000" w:themeColor="text1"/>
          <w:sz w:val="16"/>
          <w:szCs w:val="16"/>
        </w:rPr>
        <w:t xml:space="preserve"> испорчена.</w:t>
      </w:r>
    </w:p>
    <w:p w14:paraId="1D96CCCE"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Конечно, Алкснис не знал истинной причины и решил, что стартер (т.е. дежурный, указывающий </w:t>
      </w:r>
      <w:proofErr w:type="spellStart"/>
      <w:r w:rsidRPr="007122AB">
        <w:rPr>
          <w:rFonts w:ascii="Times New Roman" w:hAnsi="Times New Roman"/>
          <w:color w:val="000000" w:themeColor="text1"/>
          <w:sz w:val="16"/>
          <w:szCs w:val="16"/>
        </w:rPr>
        <w:t>направёение</w:t>
      </w:r>
      <w:proofErr w:type="spellEnd"/>
      <w:r w:rsidRPr="007122AB">
        <w:rPr>
          <w:rFonts w:ascii="Times New Roman" w:hAnsi="Times New Roman"/>
          <w:color w:val="000000" w:themeColor="text1"/>
          <w:sz w:val="16"/>
          <w:szCs w:val="16"/>
        </w:rPr>
        <w:t xml:space="preserve"> стар</w:t>
      </w:r>
      <w:r w:rsidRPr="007122AB">
        <w:rPr>
          <w:rFonts w:ascii="Times New Roman" w:hAnsi="Times New Roman"/>
          <w:color w:val="000000" w:themeColor="text1"/>
          <w:sz w:val="16"/>
          <w:szCs w:val="16"/>
        </w:rPr>
        <w:softHyphen/>
        <w:t xml:space="preserve">та в соответствии с </w:t>
      </w:r>
      <w:proofErr w:type="spellStart"/>
      <w:r w:rsidRPr="007122AB">
        <w:rPr>
          <w:rFonts w:ascii="Times New Roman" w:hAnsi="Times New Roman"/>
          <w:color w:val="000000" w:themeColor="text1"/>
          <w:sz w:val="16"/>
          <w:szCs w:val="16"/>
        </w:rPr>
        <w:t>направёением</w:t>
      </w:r>
      <w:proofErr w:type="spellEnd"/>
      <w:r w:rsidRPr="007122AB">
        <w:rPr>
          <w:rFonts w:ascii="Times New Roman" w:hAnsi="Times New Roman"/>
          <w:color w:val="000000" w:themeColor="text1"/>
          <w:sz w:val="16"/>
          <w:szCs w:val="16"/>
        </w:rPr>
        <w:t xml:space="preserve"> ветра) </w:t>
      </w:r>
      <w:proofErr w:type="spellStart"/>
      <w:r w:rsidRPr="007122AB">
        <w:rPr>
          <w:rFonts w:ascii="Times New Roman" w:hAnsi="Times New Roman"/>
          <w:color w:val="000000" w:themeColor="text1"/>
          <w:sz w:val="16"/>
          <w:szCs w:val="16"/>
        </w:rPr>
        <w:t>непра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виёьно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даё</w:t>
      </w:r>
      <w:proofErr w:type="spellEnd"/>
      <w:r w:rsidRPr="007122AB">
        <w:rPr>
          <w:rFonts w:ascii="Times New Roman" w:hAnsi="Times New Roman"/>
          <w:color w:val="000000" w:themeColor="text1"/>
          <w:sz w:val="16"/>
          <w:szCs w:val="16"/>
        </w:rPr>
        <w:t xml:space="preserve"> старт, поэтому посадка </w:t>
      </w:r>
      <w:proofErr w:type="spellStart"/>
      <w:r w:rsidRPr="007122AB">
        <w:rPr>
          <w:rFonts w:ascii="Times New Roman" w:hAnsi="Times New Roman"/>
          <w:color w:val="000000" w:themeColor="text1"/>
          <w:sz w:val="16"/>
          <w:szCs w:val="16"/>
        </w:rPr>
        <w:t>быёа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выпоёнена</w:t>
      </w:r>
      <w:proofErr w:type="spellEnd"/>
      <w:r w:rsidRPr="007122AB">
        <w:rPr>
          <w:rFonts w:ascii="Times New Roman" w:hAnsi="Times New Roman"/>
          <w:color w:val="000000" w:themeColor="text1"/>
          <w:sz w:val="16"/>
          <w:szCs w:val="16"/>
        </w:rPr>
        <w:t xml:space="preserve"> с боковиком. И даже </w:t>
      </w:r>
      <w:proofErr w:type="spellStart"/>
      <w:r w:rsidRPr="007122AB">
        <w:rPr>
          <w:rFonts w:ascii="Times New Roman" w:hAnsi="Times New Roman"/>
          <w:color w:val="000000" w:themeColor="text1"/>
          <w:sz w:val="16"/>
          <w:szCs w:val="16"/>
        </w:rPr>
        <w:t>даё</w:t>
      </w:r>
      <w:proofErr w:type="spellEnd"/>
      <w:r w:rsidRPr="007122AB">
        <w:rPr>
          <w:rFonts w:ascii="Times New Roman" w:hAnsi="Times New Roman"/>
          <w:color w:val="000000" w:themeColor="text1"/>
          <w:sz w:val="16"/>
          <w:szCs w:val="16"/>
        </w:rPr>
        <w:t xml:space="preserve"> этому стартеру 10 суток гауптвах</w:t>
      </w:r>
      <w:r w:rsidRPr="007122AB">
        <w:rPr>
          <w:rFonts w:ascii="Times New Roman" w:hAnsi="Times New Roman"/>
          <w:color w:val="000000" w:themeColor="text1"/>
          <w:sz w:val="16"/>
          <w:szCs w:val="16"/>
        </w:rPr>
        <w:softHyphen/>
        <w:t xml:space="preserve">ты. Но мы-то </w:t>
      </w:r>
      <w:proofErr w:type="spellStart"/>
      <w:r w:rsidRPr="007122AB">
        <w:rPr>
          <w:rFonts w:ascii="Times New Roman" w:hAnsi="Times New Roman"/>
          <w:color w:val="000000" w:themeColor="text1"/>
          <w:sz w:val="16"/>
          <w:szCs w:val="16"/>
        </w:rPr>
        <w:t>поняёи</w:t>
      </w:r>
      <w:proofErr w:type="spellEnd"/>
      <w:r w:rsidRPr="007122AB">
        <w:rPr>
          <w:rFonts w:ascii="Times New Roman" w:hAnsi="Times New Roman"/>
          <w:color w:val="000000" w:themeColor="text1"/>
          <w:sz w:val="16"/>
          <w:szCs w:val="16"/>
        </w:rPr>
        <w:t>, что стартер не причем, что это ор</w:t>
      </w:r>
      <w:r w:rsidRPr="007122AB">
        <w:rPr>
          <w:rFonts w:ascii="Times New Roman" w:hAnsi="Times New Roman"/>
          <w:color w:val="000000" w:themeColor="text1"/>
          <w:sz w:val="16"/>
          <w:szCs w:val="16"/>
        </w:rPr>
        <w:softHyphen/>
        <w:t xml:space="preserve">ганический порок этих машин: </w:t>
      </w:r>
      <w:proofErr w:type="spellStart"/>
      <w:r w:rsidRPr="007122AB">
        <w:rPr>
          <w:rFonts w:ascii="Times New Roman" w:hAnsi="Times New Roman"/>
          <w:color w:val="000000" w:themeColor="text1"/>
          <w:sz w:val="16"/>
          <w:szCs w:val="16"/>
        </w:rPr>
        <w:t>неуправёяемый</w:t>
      </w:r>
      <w:proofErr w:type="spellEnd"/>
      <w:r w:rsidRPr="007122AB">
        <w:rPr>
          <w:rFonts w:ascii="Times New Roman" w:hAnsi="Times New Roman"/>
          <w:color w:val="000000" w:themeColor="text1"/>
          <w:sz w:val="16"/>
          <w:szCs w:val="16"/>
        </w:rPr>
        <w:t xml:space="preserve"> разворот </w:t>
      </w:r>
      <w:proofErr w:type="spellStart"/>
      <w:r w:rsidRPr="007122AB">
        <w:rPr>
          <w:rFonts w:ascii="Times New Roman" w:hAnsi="Times New Roman"/>
          <w:color w:val="000000" w:themeColor="text1"/>
          <w:sz w:val="16"/>
          <w:szCs w:val="16"/>
        </w:rPr>
        <w:t>посёе</w:t>
      </w:r>
      <w:proofErr w:type="spellEnd"/>
      <w:r w:rsidRPr="007122AB">
        <w:rPr>
          <w:rFonts w:ascii="Times New Roman" w:hAnsi="Times New Roman"/>
          <w:color w:val="000000" w:themeColor="text1"/>
          <w:sz w:val="16"/>
          <w:szCs w:val="16"/>
        </w:rPr>
        <w:t xml:space="preserve"> посадки».</w:t>
      </w:r>
    </w:p>
    <w:p w14:paraId="3D3BBCB3"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 после указанного случая авария повторилась. Начали искать причину, наиболее активно этим вопро</w:t>
      </w:r>
      <w:r w:rsidRPr="007122AB">
        <w:rPr>
          <w:rFonts w:ascii="Times New Roman" w:hAnsi="Times New Roman"/>
          <w:color w:val="000000" w:themeColor="text1"/>
          <w:sz w:val="16"/>
          <w:szCs w:val="16"/>
        </w:rPr>
        <w:softHyphen/>
        <w:t>сом занимался М.Л. Миль, который провел исследование «О неуправляемых разворотах автожиров при посадке». Это была его первая научная работа, посвященная проблемам винтокрылых аппаратов.</w:t>
      </w:r>
    </w:p>
    <w:p w14:paraId="37C2EBE8"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продолжении летных испытаний ЦАГИ 2-ЭА на ско</w:t>
      </w:r>
      <w:r w:rsidRPr="007122AB">
        <w:rPr>
          <w:rFonts w:ascii="Times New Roman" w:hAnsi="Times New Roman"/>
          <w:color w:val="000000" w:themeColor="text1"/>
          <w:sz w:val="16"/>
          <w:szCs w:val="16"/>
        </w:rPr>
        <w:softHyphen/>
        <w:t>ростях 120—130 км/ч отмечалось биение ротора, причиной которого считалась недостаточная жесткость лопастей, ведущая к различной их закрутке в полете. В основном проблему удалось решить, используя в лонжеронах лопа</w:t>
      </w:r>
      <w:r w:rsidRPr="007122AB">
        <w:rPr>
          <w:rFonts w:ascii="Times New Roman" w:hAnsi="Times New Roman"/>
          <w:color w:val="000000" w:themeColor="text1"/>
          <w:sz w:val="16"/>
          <w:szCs w:val="16"/>
        </w:rPr>
        <w:softHyphen/>
        <w:t>стей стальные хромомолибденовые трубы взамен ранее используемых труб из углеродистой стали.</w:t>
      </w:r>
    </w:p>
    <w:p w14:paraId="4BE0E4B1"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одном из полетов, по причине остановки двигателя, ав</w:t>
      </w:r>
      <w:r w:rsidRPr="007122AB">
        <w:rPr>
          <w:rFonts w:ascii="Times New Roman" w:hAnsi="Times New Roman"/>
          <w:color w:val="000000" w:themeColor="text1"/>
          <w:sz w:val="16"/>
          <w:szCs w:val="16"/>
        </w:rPr>
        <w:softHyphen/>
        <w:t>тожир совершил вполне благополучный планирующий спуск с высоты 70 м. В ходе испытаний, продолжающих</w:t>
      </w:r>
      <w:r w:rsidRPr="007122AB">
        <w:rPr>
          <w:rFonts w:ascii="Times New Roman" w:hAnsi="Times New Roman"/>
          <w:color w:val="000000" w:themeColor="text1"/>
          <w:sz w:val="16"/>
          <w:szCs w:val="16"/>
        </w:rPr>
        <w:softHyphen/>
        <w:t>ся в течение 1932 г., ЦАГИ 2-ЭА совершил 48 полетов об</w:t>
      </w:r>
      <w:r w:rsidRPr="007122AB">
        <w:rPr>
          <w:rFonts w:ascii="Times New Roman" w:hAnsi="Times New Roman"/>
          <w:color w:val="000000" w:themeColor="text1"/>
          <w:sz w:val="16"/>
          <w:szCs w:val="16"/>
        </w:rPr>
        <w:softHyphen/>
        <w:t>щей продолжительностью 17 ч 46 мин. Эти первые поле</w:t>
      </w:r>
      <w:r w:rsidRPr="007122AB">
        <w:rPr>
          <w:rFonts w:ascii="Times New Roman" w:hAnsi="Times New Roman"/>
          <w:color w:val="000000" w:themeColor="text1"/>
          <w:sz w:val="16"/>
          <w:szCs w:val="16"/>
        </w:rPr>
        <w:softHyphen/>
        <w:t>ты и проведение необходимых усовершенствований поз</w:t>
      </w:r>
      <w:r w:rsidRPr="007122AB">
        <w:rPr>
          <w:rFonts w:ascii="Times New Roman" w:hAnsi="Times New Roman"/>
          <w:color w:val="000000" w:themeColor="text1"/>
          <w:sz w:val="16"/>
          <w:szCs w:val="16"/>
        </w:rPr>
        <w:softHyphen/>
        <w:t>волили получить необходимый опыт для создания следующих конструкций.</w:t>
      </w:r>
    </w:p>
    <w:p w14:paraId="0DB24A19"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ЦАГИ 2-ЭА передали в </w:t>
      </w:r>
      <w:proofErr w:type="spellStart"/>
      <w:r w:rsidRPr="007122AB">
        <w:rPr>
          <w:rFonts w:ascii="Times New Roman" w:hAnsi="Times New Roman"/>
          <w:color w:val="000000" w:themeColor="text1"/>
          <w:sz w:val="16"/>
          <w:szCs w:val="16"/>
        </w:rPr>
        <w:t>агитэскадрилью</w:t>
      </w:r>
      <w:proofErr w:type="spellEnd"/>
      <w:r w:rsidRPr="007122AB">
        <w:rPr>
          <w:rFonts w:ascii="Times New Roman" w:hAnsi="Times New Roman"/>
          <w:color w:val="000000" w:themeColor="text1"/>
          <w:sz w:val="16"/>
          <w:szCs w:val="16"/>
        </w:rPr>
        <w:t xml:space="preserve"> им. Максима Горького, где он использовался для агитацион</w:t>
      </w:r>
      <w:r w:rsidRPr="007122AB">
        <w:rPr>
          <w:rFonts w:ascii="Times New Roman" w:hAnsi="Times New Roman"/>
          <w:color w:val="000000" w:themeColor="text1"/>
          <w:sz w:val="16"/>
          <w:szCs w:val="16"/>
        </w:rPr>
        <w:softHyphen/>
        <w:t>ных полетов в течение года. В 1934 г. после израсходова</w:t>
      </w:r>
      <w:r w:rsidRPr="007122AB">
        <w:rPr>
          <w:rFonts w:ascii="Times New Roman" w:hAnsi="Times New Roman"/>
          <w:color w:val="000000" w:themeColor="text1"/>
          <w:sz w:val="16"/>
          <w:szCs w:val="16"/>
        </w:rPr>
        <w:softHyphen/>
        <w:t xml:space="preserve">ния ресурса двигателя автожир передали в музей </w:t>
      </w:r>
      <w:proofErr w:type="spellStart"/>
      <w:r w:rsidRPr="007122AB">
        <w:rPr>
          <w:rFonts w:ascii="Times New Roman" w:hAnsi="Times New Roman"/>
          <w:color w:val="000000" w:themeColor="text1"/>
          <w:sz w:val="16"/>
          <w:szCs w:val="16"/>
        </w:rPr>
        <w:t>Осоави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ахима</w:t>
      </w:r>
      <w:proofErr w:type="spellEnd"/>
      <w:r w:rsidRPr="007122AB">
        <w:rPr>
          <w:rFonts w:ascii="Times New Roman" w:hAnsi="Times New Roman"/>
          <w:color w:val="000000" w:themeColor="text1"/>
          <w:sz w:val="16"/>
          <w:szCs w:val="16"/>
        </w:rPr>
        <w:t>. Дальнейшая его судьба неизвестна.</w:t>
      </w:r>
    </w:p>
    <w:p w14:paraId="0BD154DC"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Данные и характеристики ЦАГИ 2-ЭА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03"/>
        <w:gridCol w:w="1080"/>
      </w:tblGrid>
      <w:tr w:rsidR="001002C3" w:rsidRPr="007122AB" w14:paraId="0E61DB48" w14:textId="77777777" w:rsidTr="00027DFA">
        <w:trPr>
          <w:trHeight w:hRule="exact" w:val="298"/>
          <w:jc w:val="center"/>
        </w:trPr>
        <w:tc>
          <w:tcPr>
            <w:tcW w:w="4003" w:type="dxa"/>
            <w:tcBorders>
              <w:top w:val="single" w:sz="4" w:space="0" w:color="auto"/>
              <w:left w:val="single" w:sz="4" w:space="0" w:color="auto"/>
              <w:bottom w:val="nil"/>
              <w:right w:val="nil"/>
            </w:tcBorders>
            <w:vAlign w:val="bottom"/>
            <w:hideMark/>
          </w:tcPr>
          <w:p w14:paraId="78B1431A"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ротора (м)</w:t>
            </w:r>
          </w:p>
        </w:tc>
        <w:tc>
          <w:tcPr>
            <w:tcW w:w="1080" w:type="dxa"/>
            <w:tcBorders>
              <w:top w:val="single" w:sz="4" w:space="0" w:color="auto"/>
              <w:left w:val="nil"/>
              <w:bottom w:val="nil"/>
              <w:right w:val="single" w:sz="4" w:space="0" w:color="auto"/>
            </w:tcBorders>
            <w:vAlign w:val="bottom"/>
            <w:hideMark/>
          </w:tcPr>
          <w:p w14:paraId="43682BB7"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tc>
      </w:tr>
      <w:tr w:rsidR="001002C3" w:rsidRPr="007122AB" w14:paraId="39E2CB08" w14:textId="77777777" w:rsidTr="00027DFA">
        <w:trPr>
          <w:trHeight w:hRule="exact" w:val="197"/>
          <w:jc w:val="center"/>
        </w:trPr>
        <w:tc>
          <w:tcPr>
            <w:tcW w:w="4003" w:type="dxa"/>
            <w:tcBorders>
              <w:top w:val="nil"/>
              <w:left w:val="single" w:sz="4" w:space="0" w:color="auto"/>
              <w:bottom w:val="nil"/>
              <w:right w:val="nil"/>
            </w:tcBorders>
            <w:hideMark/>
          </w:tcPr>
          <w:p w14:paraId="5B261DCA"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без ротора (м)</w:t>
            </w:r>
          </w:p>
        </w:tc>
        <w:tc>
          <w:tcPr>
            <w:tcW w:w="1080" w:type="dxa"/>
            <w:tcBorders>
              <w:top w:val="nil"/>
              <w:left w:val="nil"/>
              <w:bottom w:val="nil"/>
              <w:right w:val="single" w:sz="4" w:space="0" w:color="auto"/>
            </w:tcBorders>
            <w:hideMark/>
          </w:tcPr>
          <w:p w14:paraId="6051B6E8"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6,295</w:t>
            </w:r>
          </w:p>
        </w:tc>
      </w:tr>
      <w:tr w:rsidR="001002C3" w:rsidRPr="007122AB" w14:paraId="2C72788F" w14:textId="77777777" w:rsidTr="00027DFA">
        <w:trPr>
          <w:trHeight w:hRule="exact" w:val="192"/>
          <w:jc w:val="center"/>
        </w:trPr>
        <w:tc>
          <w:tcPr>
            <w:tcW w:w="4003" w:type="dxa"/>
            <w:tcBorders>
              <w:top w:val="nil"/>
              <w:left w:val="single" w:sz="4" w:space="0" w:color="auto"/>
              <w:bottom w:val="nil"/>
              <w:right w:val="nil"/>
            </w:tcBorders>
            <w:vAlign w:val="bottom"/>
            <w:hideMark/>
          </w:tcPr>
          <w:p w14:paraId="4C93C933"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в линии полета (м)</w:t>
            </w:r>
          </w:p>
        </w:tc>
        <w:tc>
          <w:tcPr>
            <w:tcW w:w="1080" w:type="dxa"/>
            <w:tcBorders>
              <w:top w:val="nil"/>
              <w:left w:val="nil"/>
              <w:bottom w:val="nil"/>
              <w:right w:val="single" w:sz="4" w:space="0" w:color="auto"/>
            </w:tcBorders>
            <w:vAlign w:val="bottom"/>
            <w:hideMark/>
          </w:tcPr>
          <w:p w14:paraId="5C9A7474"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3,291</w:t>
            </w:r>
          </w:p>
        </w:tc>
      </w:tr>
      <w:tr w:rsidR="001002C3" w:rsidRPr="007122AB" w14:paraId="290CF603" w14:textId="77777777" w:rsidTr="00027DFA">
        <w:trPr>
          <w:trHeight w:hRule="exact" w:val="206"/>
          <w:jc w:val="center"/>
        </w:trPr>
        <w:tc>
          <w:tcPr>
            <w:tcW w:w="4003" w:type="dxa"/>
            <w:tcBorders>
              <w:top w:val="nil"/>
              <w:left w:val="single" w:sz="4" w:space="0" w:color="auto"/>
              <w:bottom w:val="nil"/>
              <w:right w:val="nil"/>
            </w:tcBorders>
            <w:vAlign w:val="bottom"/>
            <w:hideMark/>
          </w:tcPr>
          <w:p w14:paraId="3E87C770"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крыла (м)</w:t>
            </w:r>
          </w:p>
        </w:tc>
        <w:tc>
          <w:tcPr>
            <w:tcW w:w="1080" w:type="dxa"/>
            <w:tcBorders>
              <w:top w:val="nil"/>
              <w:left w:val="nil"/>
              <w:bottom w:val="nil"/>
              <w:right w:val="single" w:sz="4" w:space="0" w:color="auto"/>
            </w:tcBorders>
            <w:vAlign w:val="bottom"/>
            <w:hideMark/>
          </w:tcPr>
          <w:p w14:paraId="79FAE415"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6,726</w:t>
            </w:r>
          </w:p>
        </w:tc>
      </w:tr>
      <w:tr w:rsidR="001002C3" w:rsidRPr="007122AB" w14:paraId="04F78A93" w14:textId="77777777" w:rsidTr="00027DFA">
        <w:trPr>
          <w:trHeight w:hRule="exact" w:val="202"/>
          <w:jc w:val="center"/>
        </w:trPr>
        <w:tc>
          <w:tcPr>
            <w:tcW w:w="4003" w:type="dxa"/>
            <w:tcBorders>
              <w:top w:val="nil"/>
              <w:left w:val="single" w:sz="4" w:space="0" w:color="auto"/>
              <w:bottom w:val="nil"/>
              <w:right w:val="nil"/>
            </w:tcBorders>
            <w:hideMark/>
          </w:tcPr>
          <w:p w14:paraId="714698A5"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1080" w:type="dxa"/>
            <w:tcBorders>
              <w:top w:val="nil"/>
              <w:left w:val="nil"/>
              <w:bottom w:val="nil"/>
              <w:right w:val="single" w:sz="4" w:space="0" w:color="auto"/>
            </w:tcBorders>
            <w:hideMark/>
          </w:tcPr>
          <w:p w14:paraId="3C5ADDB0"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765</w:t>
            </w:r>
          </w:p>
        </w:tc>
      </w:tr>
      <w:tr w:rsidR="001002C3" w:rsidRPr="007122AB" w14:paraId="4233D693" w14:textId="77777777" w:rsidTr="00027DFA">
        <w:trPr>
          <w:trHeight w:hRule="exact" w:val="192"/>
          <w:jc w:val="center"/>
        </w:trPr>
        <w:tc>
          <w:tcPr>
            <w:tcW w:w="4003" w:type="dxa"/>
            <w:tcBorders>
              <w:top w:val="nil"/>
              <w:left w:val="single" w:sz="4" w:space="0" w:color="auto"/>
              <w:bottom w:val="nil"/>
              <w:right w:val="nil"/>
            </w:tcBorders>
            <w:hideMark/>
          </w:tcPr>
          <w:p w14:paraId="278BD084"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1080" w:type="dxa"/>
            <w:tcBorders>
              <w:top w:val="nil"/>
              <w:left w:val="nil"/>
              <w:bottom w:val="nil"/>
              <w:right w:val="single" w:sz="4" w:space="0" w:color="auto"/>
            </w:tcBorders>
            <w:hideMark/>
          </w:tcPr>
          <w:p w14:paraId="39CB2AC0"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1032</w:t>
            </w:r>
          </w:p>
        </w:tc>
      </w:tr>
      <w:tr w:rsidR="001002C3" w:rsidRPr="007122AB" w14:paraId="48118DBE" w14:textId="77777777" w:rsidTr="00027DFA">
        <w:trPr>
          <w:trHeight w:hRule="exact" w:val="211"/>
          <w:jc w:val="center"/>
        </w:trPr>
        <w:tc>
          <w:tcPr>
            <w:tcW w:w="4003" w:type="dxa"/>
            <w:tcBorders>
              <w:top w:val="nil"/>
              <w:left w:val="single" w:sz="4" w:space="0" w:color="auto"/>
              <w:bottom w:val="nil"/>
              <w:right w:val="nil"/>
            </w:tcBorders>
            <w:hideMark/>
          </w:tcPr>
          <w:p w14:paraId="59BBA289"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максимальная у земли (км/ч)</w:t>
            </w:r>
          </w:p>
        </w:tc>
        <w:tc>
          <w:tcPr>
            <w:tcW w:w="1080" w:type="dxa"/>
            <w:tcBorders>
              <w:top w:val="nil"/>
              <w:left w:val="nil"/>
              <w:bottom w:val="nil"/>
              <w:right w:val="single" w:sz="4" w:space="0" w:color="auto"/>
            </w:tcBorders>
            <w:hideMark/>
          </w:tcPr>
          <w:p w14:paraId="0E575982"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r>
      <w:tr w:rsidR="001002C3" w:rsidRPr="007122AB" w14:paraId="24B7694A" w14:textId="77777777" w:rsidTr="00027DFA">
        <w:trPr>
          <w:trHeight w:hRule="exact" w:val="192"/>
          <w:jc w:val="center"/>
        </w:trPr>
        <w:tc>
          <w:tcPr>
            <w:tcW w:w="4003" w:type="dxa"/>
            <w:tcBorders>
              <w:top w:val="nil"/>
              <w:left w:val="single" w:sz="4" w:space="0" w:color="auto"/>
              <w:bottom w:val="nil"/>
              <w:right w:val="nil"/>
            </w:tcBorders>
            <w:hideMark/>
          </w:tcPr>
          <w:p w14:paraId="647790BB"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минимальная у земли (км/ч)</w:t>
            </w:r>
          </w:p>
        </w:tc>
        <w:tc>
          <w:tcPr>
            <w:tcW w:w="1080" w:type="dxa"/>
            <w:tcBorders>
              <w:top w:val="nil"/>
              <w:left w:val="nil"/>
              <w:bottom w:val="nil"/>
              <w:right w:val="single" w:sz="4" w:space="0" w:color="auto"/>
            </w:tcBorders>
            <w:hideMark/>
          </w:tcPr>
          <w:p w14:paraId="59F8468D"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r>
      <w:tr w:rsidR="001002C3" w:rsidRPr="007122AB" w14:paraId="39EBB986" w14:textId="77777777" w:rsidTr="00027DFA">
        <w:trPr>
          <w:trHeight w:hRule="exact" w:val="250"/>
          <w:jc w:val="center"/>
        </w:trPr>
        <w:tc>
          <w:tcPr>
            <w:tcW w:w="4003" w:type="dxa"/>
            <w:tcBorders>
              <w:top w:val="nil"/>
              <w:left w:val="single" w:sz="4" w:space="0" w:color="auto"/>
              <w:bottom w:val="single" w:sz="4" w:space="0" w:color="auto"/>
              <w:right w:val="nil"/>
            </w:tcBorders>
            <w:hideMark/>
          </w:tcPr>
          <w:p w14:paraId="2B4EFC19"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Потолок(м)</w:t>
            </w:r>
          </w:p>
        </w:tc>
        <w:tc>
          <w:tcPr>
            <w:tcW w:w="1080" w:type="dxa"/>
            <w:tcBorders>
              <w:top w:val="nil"/>
              <w:left w:val="nil"/>
              <w:bottom w:val="single" w:sz="4" w:space="0" w:color="auto"/>
              <w:right w:val="single" w:sz="4" w:space="0" w:color="auto"/>
            </w:tcBorders>
            <w:hideMark/>
          </w:tcPr>
          <w:p w14:paraId="102A181D"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4200</w:t>
            </w:r>
          </w:p>
        </w:tc>
      </w:tr>
    </w:tbl>
    <w:p w14:paraId="23390ADF"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(20361).</w:t>
      </w:r>
    </w:p>
    <w:p w14:paraId="5E62C189" w14:textId="77777777" w:rsidR="004F04A7" w:rsidRPr="007122AB" w:rsidRDefault="004F04A7" w:rsidP="007122AB">
      <w:pPr>
        <w:shd w:val="clear" w:color="auto" w:fill="FFFFFF"/>
        <w:spacing w:after="0" w:line="240" w:lineRule="auto"/>
        <w:jc w:val="both"/>
        <w:rPr>
          <w:rFonts w:ascii="Times New Roman" w:hAnsi="Times New Roman"/>
          <w:color w:val="000000" w:themeColor="text1"/>
          <w:sz w:val="16"/>
          <w:szCs w:val="16"/>
        </w:rPr>
      </w:pPr>
    </w:p>
    <w:p w14:paraId="14593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ноября 1931 состоялось заседание в ВАО по выполнению плана опытного самолетостроения ЦАГИ по программе 1932 (351). Присутствовала куча народу: П.И.Б., </w:t>
      </w:r>
      <w:proofErr w:type="spellStart"/>
      <w:r w:rsidRPr="007122AB">
        <w:rPr>
          <w:rFonts w:ascii="Times New Roman" w:hAnsi="Times New Roman"/>
          <w:color w:val="000000" w:themeColor="text1"/>
          <w:sz w:val="16"/>
          <w:szCs w:val="16"/>
        </w:rPr>
        <w:t>И.И.Повережский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Н.М.Харламов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А.Некрасов</w:t>
      </w:r>
      <w:proofErr w:type="spellEnd"/>
      <w:r w:rsidRPr="007122AB">
        <w:rPr>
          <w:rFonts w:ascii="Times New Roman" w:hAnsi="Times New Roman"/>
          <w:color w:val="000000" w:themeColor="text1"/>
          <w:sz w:val="16"/>
          <w:szCs w:val="16"/>
        </w:rPr>
        <w:t xml:space="preserve">, А.Н.Т., С.В.И., </w:t>
      </w:r>
      <w:proofErr w:type="spellStart"/>
      <w:r w:rsidRPr="007122AB">
        <w:rPr>
          <w:rFonts w:ascii="Times New Roman" w:hAnsi="Times New Roman"/>
          <w:color w:val="000000" w:themeColor="text1"/>
          <w:sz w:val="16"/>
          <w:szCs w:val="16"/>
        </w:rPr>
        <w:t>Рафаэлянц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Пурвин</w:t>
      </w:r>
      <w:proofErr w:type="spellEnd"/>
      <w:r w:rsidRPr="007122AB">
        <w:rPr>
          <w:rFonts w:ascii="Times New Roman" w:hAnsi="Times New Roman"/>
          <w:color w:val="000000" w:themeColor="text1"/>
          <w:sz w:val="16"/>
          <w:szCs w:val="16"/>
        </w:rPr>
        <w:t>, К-</w:t>
      </w:r>
      <w:proofErr w:type="spellStart"/>
      <w:r w:rsidRPr="007122AB">
        <w:rPr>
          <w:rFonts w:ascii="Times New Roman" w:hAnsi="Times New Roman"/>
          <w:color w:val="000000" w:themeColor="text1"/>
          <w:sz w:val="16"/>
          <w:szCs w:val="16"/>
        </w:rPr>
        <w:t>цов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Извоччиков</w:t>
      </w:r>
      <w:proofErr w:type="spellEnd"/>
      <w:r w:rsidRPr="007122AB">
        <w:rPr>
          <w:rFonts w:ascii="Times New Roman" w:hAnsi="Times New Roman"/>
          <w:color w:val="000000" w:themeColor="text1"/>
          <w:sz w:val="16"/>
          <w:szCs w:val="16"/>
        </w:rPr>
        <w:t xml:space="preserve">, Берг, Генин, </w:t>
      </w:r>
      <w:proofErr w:type="spellStart"/>
      <w:r w:rsidRPr="007122AB">
        <w:rPr>
          <w:rFonts w:ascii="Times New Roman" w:hAnsi="Times New Roman"/>
          <w:color w:val="000000" w:themeColor="text1"/>
          <w:sz w:val="16"/>
          <w:szCs w:val="16"/>
        </w:rPr>
        <w:t>Удольс</w:t>
      </w:r>
      <w:proofErr w:type="spellEnd"/>
      <w:r w:rsidRPr="007122AB">
        <w:rPr>
          <w:rFonts w:ascii="Times New Roman" w:hAnsi="Times New Roman"/>
          <w:color w:val="000000" w:themeColor="text1"/>
          <w:sz w:val="16"/>
          <w:szCs w:val="16"/>
        </w:rPr>
        <w:t xml:space="preserve">..., Марьямов, Беляевский, </w:t>
      </w:r>
      <w:proofErr w:type="spellStart"/>
      <w:r w:rsidRPr="007122AB">
        <w:rPr>
          <w:rFonts w:ascii="Times New Roman" w:hAnsi="Times New Roman"/>
          <w:color w:val="000000" w:themeColor="text1"/>
          <w:sz w:val="16"/>
          <w:szCs w:val="16"/>
        </w:rPr>
        <w:t>Райн</w:t>
      </w:r>
      <w:proofErr w:type="spellEnd"/>
      <w:r w:rsidRPr="007122AB">
        <w:rPr>
          <w:rFonts w:ascii="Times New Roman" w:hAnsi="Times New Roman"/>
          <w:color w:val="000000" w:themeColor="text1"/>
          <w:sz w:val="16"/>
          <w:szCs w:val="16"/>
        </w:rPr>
        <w:t xml:space="preserve">, Мальцев, </w:t>
      </w:r>
      <w:proofErr w:type="spellStart"/>
      <w:r w:rsidRPr="007122AB">
        <w:rPr>
          <w:rFonts w:ascii="Times New Roman" w:hAnsi="Times New Roman"/>
          <w:color w:val="000000" w:themeColor="text1"/>
          <w:sz w:val="16"/>
          <w:szCs w:val="16"/>
        </w:rPr>
        <w:t>Кевич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И.И.Погосский</w:t>
      </w:r>
      <w:proofErr w:type="spellEnd"/>
      <w:r w:rsidRPr="007122AB">
        <w:rPr>
          <w:rFonts w:ascii="Times New Roman" w:hAnsi="Times New Roman"/>
          <w:color w:val="000000" w:themeColor="text1"/>
          <w:sz w:val="16"/>
          <w:szCs w:val="16"/>
        </w:rPr>
        <w:t xml:space="preserve">, Чернышев, Осин...,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xml:space="preserve">, Машкевич, Терехов, Четвериков, Петров, </w:t>
      </w:r>
      <w:proofErr w:type="spellStart"/>
      <w:r w:rsidRPr="007122AB">
        <w:rPr>
          <w:rFonts w:ascii="Times New Roman" w:hAnsi="Times New Roman"/>
          <w:color w:val="000000" w:themeColor="text1"/>
          <w:sz w:val="16"/>
          <w:szCs w:val="16"/>
        </w:rPr>
        <w:t>Донскер</w:t>
      </w:r>
      <w:proofErr w:type="spellEnd"/>
      <w:r w:rsidRPr="007122AB">
        <w:rPr>
          <w:rFonts w:ascii="Times New Roman" w:hAnsi="Times New Roman"/>
          <w:color w:val="000000" w:themeColor="text1"/>
          <w:sz w:val="16"/>
          <w:szCs w:val="16"/>
        </w:rPr>
        <w:t xml:space="preserve">, Пчелинцев, </w:t>
      </w:r>
      <w:proofErr w:type="spellStart"/>
      <w:r w:rsidRPr="007122AB">
        <w:rPr>
          <w:rFonts w:ascii="Times New Roman" w:hAnsi="Times New Roman"/>
          <w:color w:val="000000" w:themeColor="text1"/>
          <w:sz w:val="16"/>
          <w:szCs w:val="16"/>
        </w:rPr>
        <w:t>Кливцов</w:t>
      </w:r>
      <w:proofErr w:type="spellEnd"/>
      <w:r w:rsidRPr="007122AB">
        <w:rPr>
          <w:rFonts w:ascii="Times New Roman" w:hAnsi="Times New Roman"/>
          <w:color w:val="000000" w:themeColor="text1"/>
          <w:sz w:val="16"/>
          <w:szCs w:val="16"/>
        </w:rPr>
        <w:t xml:space="preserve">,...нов, Мороз, </w:t>
      </w:r>
      <w:proofErr w:type="spellStart"/>
      <w:r w:rsidRPr="007122AB">
        <w:rPr>
          <w:rFonts w:ascii="Times New Roman" w:hAnsi="Times New Roman"/>
          <w:color w:val="000000" w:themeColor="text1"/>
          <w:sz w:val="16"/>
          <w:szCs w:val="16"/>
        </w:rPr>
        <w:t>Башан</w:t>
      </w:r>
      <w:proofErr w:type="spellEnd"/>
      <w:r w:rsidRPr="007122AB">
        <w:rPr>
          <w:rFonts w:ascii="Times New Roman" w:hAnsi="Times New Roman"/>
          <w:color w:val="000000" w:themeColor="text1"/>
          <w:sz w:val="16"/>
          <w:szCs w:val="16"/>
        </w:rPr>
        <w:t xml:space="preserve">, Царев, </w:t>
      </w:r>
      <w:proofErr w:type="spellStart"/>
      <w:r w:rsidRPr="007122AB">
        <w:rPr>
          <w:rFonts w:ascii="Times New Roman" w:hAnsi="Times New Roman"/>
          <w:color w:val="000000" w:themeColor="text1"/>
          <w:sz w:val="16"/>
          <w:szCs w:val="16"/>
        </w:rPr>
        <w:t>В.М.Петляков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Шпенцер</w:t>
      </w:r>
      <w:proofErr w:type="spellEnd"/>
      <w:r w:rsidRPr="007122AB">
        <w:rPr>
          <w:rFonts w:ascii="Times New Roman" w:hAnsi="Times New Roman"/>
          <w:color w:val="000000" w:themeColor="text1"/>
          <w:sz w:val="16"/>
          <w:szCs w:val="16"/>
        </w:rPr>
        <w:t xml:space="preserve">, Косткин, Сидельников, </w:t>
      </w:r>
      <w:proofErr w:type="spellStart"/>
      <w:r w:rsidRPr="007122AB">
        <w:rPr>
          <w:rFonts w:ascii="Times New Roman" w:hAnsi="Times New Roman"/>
          <w:color w:val="000000" w:themeColor="text1"/>
          <w:sz w:val="16"/>
          <w:szCs w:val="16"/>
        </w:rPr>
        <w:t>Скржинский</w:t>
      </w:r>
      <w:proofErr w:type="spellEnd"/>
      <w:r w:rsidRPr="007122AB">
        <w:rPr>
          <w:rFonts w:ascii="Times New Roman" w:hAnsi="Times New Roman"/>
          <w:color w:val="000000" w:themeColor="text1"/>
          <w:sz w:val="16"/>
          <w:szCs w:val="16"/>
        </w:rPr>
        <w:t xml:space="preserve">, Виганд, Бородач, </w:t>
      </w:r>
      <w:proofErr w:type="spellStart"/>
      <w:r w:rsidRPr="007122AB">
        <w:rPr>
          <w:rFonts w:ascii="Times New Roman" w:hAnsi="Times New Roman"/>
          <w:color w:val="000000" w:themeColor="text1"/>
          <w:sz w:val="16"/>
          <w:szCs w:val="16"/>
        </w:rPr>
        <w:t>Благонадежден</w:t>
      </w:r>
      <w:proofErr w:type="spellEnd"/>
      <w:r w:rsidRPr="007122AB">
        <w:rPr>
          <w:rFonts w:ascii="Times New Roman" w:hAnsi="Times New Roman"/>
          <w:color w:val="000000" w:themeColor="text1"/>
          <w:sz w:val="16"/>
          <w:szCs w:val="16"/>
        </w:rPr>
        <w:t xml:space="preserve">, Гор..., Меерсон, Савичев, </w:t>
      </w:r>
      <w:proofErr w:type="spellStart"/>
      <w:r w:rsidRPr="007122AB">
        <w:rPr>
          <w:rFonts w:ascii="Times New Roman" w:hAnsi="Times New Roman"/>
          <w:color w:val="000000" w:themeColor="text1"/>
          <w:sz w:val="16"/>
          <w:szCs w:val="16"/>
        </w:rPr>
        <w:t>С.И.Кочеригин</w:t>
      </w:r>
      <w:proofErr w:type="spellEnd"/>
      <w:r w:rsidRPr="007122AB">
        <w:rPr>
          <w:rFonts w:ascii="Times New Roman" w:hAnsi="Times New Roman"/>
          <w:color w:val="000000" w:themeColor="text1"/>
          <w:sz w:val="16"/>
          <w:szCs w:val="16"/>
        </w:rPr>
        <w:t>, Мороз, А.А.А.</w:t>
      </w:r>
    </w:p>
    <w:p w14:paraId="3E0B62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Говорили об И-5 М-22 (Д.П.Г. и многие другие), И-5 М-15, И-7 М-17 (сняли и поручили </w:t>
      </w:r>
      <w:proofErr w:type="spellStart"/>
      <w:r w:rsidRPr="007122AB">
        <w:rPr>
          <w:rFonts w:ascii="Times New Roman" w:hAnsi="Times New Roman"/>
          <w:color w:val="000000" w:themeColor="text1"/>
          <w:sz w:val="16"/>
          <w:szCs w:val="16"/>
        </w:rPr>
        <w:t>Н.М.Харламову</w:t>
      </w:r>
      <w:proofErr w:type="spellEnd"/>
      <w:r w:rsidRPr="007122AB">
        <w:rPr>
          <w:rFonts w:ascii="Times New Roman" w:hAnsi="Times New Roman"/>
          <w:color w:val="000000" w:themeColor="text1"/>
          <w:sz w:val="16"/>
          <w:szCs w:val="16"/>
        </w:rPr>
        <w:t xml:space="preserve"> выяснить), Р-5 М-17, У-2 М-11, К-5 М-15, Савойя - АССО, АП М-11, АШ М-11, ТШ-М17</w:t>
      </w:r>
    </w:p>
    <w:p w14:paraId="55C66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380A83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Заказ может быть принят только на машину под мотор М-17,</w:t>
      </w:r>
    </w:p>
    <w:p w14:paraId="065CE9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Охлаждение гликолевое,</w:t>
      </w:r>
    </w:p>
    <w:p w14:paraId="356993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Безусловно - вооружение бомбардировочное,</w:t>
      </w:r>
    </w:p>
    <w:p w14:paraId="2E59D0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Вооружение пулеметное, гранатное и химическое доводится нами и испытывается НИИ и принимается в качестве отдельного заказа,</w:t>
      </w:r>
    </w:p>
    <w:p w14:paraId="469C3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5. В 7-ми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начальнику ЦАГИ проработать планировку изготовления двух ТШ под М-17 с возможностью установления вооружения пулеметного, химического, гранатного и бомбового и представить на утверждение,</w:t>
      </w:r>
    </w:p>
    <w:p w14:paraId="71E9E3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Признать обязательным, чтобы вторые экз. машин проходили эксплуатационные испытания для выявления дефектов внутри самого Института,</w:t>
      </w:r>
    </w:p>
    <w:p w14:paraId="34C144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Поручить т. </w:t>
      </w:r>
      <w:proofErr w:type="spellStart"/>
      <w:r w:rsidRPr="007122AB">
        <w:rPr>
          <w:rFonts w:ascii="Times New Roman" w:hAnsi="Times New Roman"/>
          <w:color w:val="000000" w:themeColor="text1"/>
          <w:sz w:val="16"/>
          <w:szCs w:val="16"/>
        </w:rPr>
        <w:t>Н.М.Харламову</w:t>
      </w:r>
      <w:proofErr w:type="spellEnd"/>
      <w:r w:rsidRPr="007122AB">
        <w:rPr>
          <w:rFonts w:ascii="Times New Roman" w:hAnsi="Times New Roman"/>
          <w:color w:val="000000" w:themeColor="text1"/>
          <w:sz w:val="16"/>
          <w:szCs w:val="16"/>
        </w:rPr>
        <w:t xml:space="preserve"> заявить, что левых приемников нет и тем самым задерживается работа по всем самолетам и механизмам </w:t>
      </w:r>
      <w:proofErr w:type="spellStart"/>
      <w:r w:rsidRPr="007122AB">
        <w:rPr>
          <w:rFonts w:ascii="Times New Roman" w:hAnsi="Times New Roman"/>
          <w:color w:val="000000" w:themeColor="text1"/>
          <w:sz w:val="16"/>
          <w:szCs w:val="16"/>
        </w:rPr>
        <w:t>перезяряжания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спареммум</w:t>
      </w:r>
      <w:proofErr w:type="spellEnd"/>
      <w:r w:rsidRPr="007122AB">
        <w:rPr>
          <w:rFonts w:ascii="Times New Roman" w:hAnsi="Times New Roman"/>
          <w:color w:val="000000" w:themeColor="text1"/>
          <w:sz w:val="16"/>
          <w:szCs w:val="16"/>
        </w:rPr>
        <w:t xml:space="preserve"> вилкам и ручкам перезаряжания,</w:t>
      </w:r>
    </w:p>
    <w:p w14:paraId="757F3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Поручить ЦАГИ выработать технические условия и чертежи для заблаговременного заказа брони;</w:t>
      </w:r>
    </w:p>
    <w:p w14:paraId="2BAC8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с сведению заявление ЦАГИ, что приостановлено изготовление ТШ-М-27,</w:t>
      </w:r>
    </w:p>
    <w:p w14:paraId="146CD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Поручить т. </w:t>
      </w:r>
      <w:proofErr w:type="spellStart"/>
      <w:r w:rsidRPr="007122AB">
        <w:rPr>
          <w:rFonts w:ascii="Times New Roman" w:hAnsi="Times New Roman"/>
          <w:color w:val="000000" w:themeColor="text1"/>
          <w:sz w:val="16"/>
          <w:szCs w:val="16"/>
        </w:rPr>
        <w:t>Н.М.Харламову</w:t>
      </w:r>
      <w:proofErr w:type="spellEnd"/>
      <w:r w:rsidRPr="007122AB">
        <w:rPr>
          <w:rFonts w:ascii="Times New Roman" w:hAnsi="Times New Roman"/>
          <w:color w:val="000000" w:themeColor="text1"/>
          <w:sz w:val="16"/>
          <w:szCs w:val="16"/>
        </w:rPr>
        <w:t>, совместно с Самолетным сектором выяснить вопрос организации производства ТШ на 16-м заводе, с выездом туда на место, и этот вопрос решить Нач. ВАО. Срок - до 15 декабря" (531).</w:t>
      </w:r>
    </w:p>
    <w:p w14:paraId="2E6120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 ТБ3, МДР3, АНТ9, ТБ5, АНТ-14, Z (351).</w:t>
      </w:r>
    </w:p>
    <w:p w14:paraId="5F273D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w:t>
      </w:r>
    </w:p>
    <w:p w14:paraId="7F7C14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ЗАСЕДАНИЯ ПО ВЫПОЛНЕНИЮ ПЛАНА ОПЫТНОГО САМОЛЕТОСТРОЕНИЯ ЦАГИ ПО ПРОГРАММЕ 1932 года</w:t>
      </w:r>
    </w:p>
    <w:p w14:paraId="563CC9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17 ноября 1931 г.</w:t>
      </w:r>
    </w:p>
    <w:p w14:paraId="74FDC8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Присутствуют: П.И.Б., </w:t>
      </w:r>
      <w:proofErr w:type="spellStart"/>
      <w:r w:rsidRPr="007122AB">
        <w:rPr>
          <w:rFonts w:ascii="Times New Roman" w:hAnsi="Times New Roman"/>
          <w:color w:val="000000" w:themeColor="text1"/>
          <w:sz w:val="16"/>
          <w:szCs w:val="16"/>
        </w:rPr>
        <w:t>И.И.Побережский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Н.М.Харламов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Н.Е.Пауфлер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А.Некрасов</w:t>
      </w:r>
      <w:proofErr w:type="spellEnd"/>
      <w:r w:rsidRPr="007122AB">
        <w:rPr>
          <w:rFonts w:ascii="Times New Roman" w:hAnsi="Times New Roman"/>
          <w:color w:val="000000" w:themeColor="text1"/>
          <w:sz w:val="16"/>
          <w:szCs w:val="16"/>
        </w:rPr>
        <w:t xml:space="preserve">, А.Н.Т., С.В.И., </w:t>
      </w:r>
      <w:proofErr w:type="spellStart"/>
      <w:r w:rsidRPr="007122AB">
        <w:rPr>
          <w:rFonts w:ascii="Times New Roman" w:hAnsi="Times New Roman"/>
          <w:color w:val="000000" w:themeColor="text1"/>
          <w:sz w:val="16"/>
          <w:szCs w:val="16"/>
        </w:rPr>
        <w:t>Рафаэлянц</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Пурвин</w:t>
      </w:r>
      <w:proofErr w:type="spellEnd"/>
      <w:r w:rsidRPr="007122AB">
        <w:rPr>
          <w:rFonts w:ascii="Times New Roman" w:hAnsi="Times New Roman"/>
          <w:color w:val="000000" w:themeColor="text1"/>
          <w:sz w:val="16"/>
          <w:szCs w:val="16"/>
        </w:rPr>
        <w:t>, К-</w:t>
      </w:r>
      <w:proofErr w:type="spellStart"/>
      <w:r w:rsidRPr="007122AB">
        <w:rPr>
          <w:rFonts w:ascii="Times New Roman" w:hAnsi="Times New Roman"/>
          <w:color w:val="000000" w:themeColor="text1"/>
          <w:sz w:val="16"/>
          <w:szCs w:val="16"/>
        </w:rPr>
        <w:t>цов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Извоччиков</w:t>
      </w:r>
      <w:proofErr w:type="spellEnd"/>
      <w:r w:rsidRPr="007122AB">
        <w:rPr>
          <w:rFonts w:ascii="Times New Roman" w:hAnsi="Times New Roman"/>
          <w:color w:val="000000" w:themeColor="text1"/>
          <w:sz w:val="16"/>
          <w:szCs w:val="16"/>
        </w:rPr>
        <w:t xml:space="preserve">, Берг, Генин, </w:t>
      </w:r>
      <w:proofErr w:type="spellStart"/>
      <w:r w:rsidRPr="007122AB">
        <w:rPr>
          <w:rFonts w:ascii="Times New Roman" w:hAnsi="Times New Roman"/>
          <w:color w:val="000000" w:themeColor="text1"/>
          <w:sz w:val="16"/>
          <w:szCs w:val="16"/>
        </w:rPr>
        <w:t>Удольс</w:t>
      </w:r>
      <w:proofErr w:type="spellEnd"/>
      <w:r w:rsidRPr="007122AB">
        <w:rPr>
          <w:rFonts w:ascii="Times New Roman" w:hAnsi="Times New Roman"/>
          <w:color w:val="000000" w:themeColor="text1"/>
          <w:sz w:val="16"/>
          <w:szCs w:val="16"/>
        </w:rPr>
        <w:t xml:space="preserve">..., Марьямов, Беляевский, </w:t>
      </w:r>
      <w:proofErr w:type="spellStart"/>
      <w:r w:rsidRPr="007122AB">
        <w:rPr>
          <w:rFonts w:ascii="Times New Roman" w:hAnsi="Times New Roman"/>
          <w:color w:val="000000" w:themeColor="text1"/>
          <w:sz w:val="16"/>
          <w:szCs w:val="16"/>
        </w:rPr>
        <w:t>Райн</w:t>
      </w:r>
      <w:proofErr w:type="spellEnd"/>
      <w:r w:rsidRPr="007122AB">
        <w:rPr>
          <w:rFonts w:ascii="Times New Roman" w:hAnsi="Times New Roman"/>
          <w:color w:val="000000" w:themeColor="text1"/>
          <w:sz w:val="16"/>
          <w:szCs w:val="16"/>
        </w:rPr>
        <w:t xml:space="preserve">, Мальцев, </w:t>
      </w:r>
      <w:proofErr w:type="spellStart"/>
      <w:r w:rsidRPr="007122AB">
        <w:rPr>
          <w:rFonts w:ascii="Times New Roman" w:hAnsi="Times New Roman"/>
          <w:color w:val="000000" w:themeColor="text1"/>
          <w:sz w:val="16"/>
          <w:szCs w:val="16"/>
        </w:rPr>
        <w:t>Кевич</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И.И.Погосский</w:t>
      </w:r>
      <w:proofErr w:type="spellEnd"/>
      <w:r w:rsidRPr="007122AB">
        <w:rPr>
          <w:rFonts w:ascii="Times New Roman" w:hAnsi="Times New Roman"/>
          <w:color w:val="000000" w:themeColor="text1"/>
          <w:sz w:val="16"/>
          <w:szCs w:val="16"/>
        </w:rPr>
        <w:t xml:space="preserve">, Чернышев, Осин...,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xml:space="preserve">, Машкевич, Терехов, Четвериков, Петров, </w:t>
      </w:r>
      <w:proofErr w:type="spellStart"/>
      <w:r w:rsidRPr="007122AB">
        <w:rPr>
          <w:rFonts w:ascii="Times New Roman" w:hAnsi="Times New Roman"/>
          <w:color w:val="000000" w:themeColor="text1"/>
          <w:sz w:val="16"/>
          <w:szCs w:val="16"/>
        </w:rPr>
        <w:t>Донскер</w:t>
      </w:r>
      <w:proofErr w:type="spellEnd"/>
      <w:r w:rsidRPr="007122AB">
        <w:rPr>
          <w:rFonts w:ascii="Times New Roman" w:hAnsi="Times New Roman"/>
          <w:color w:val="000000" w:themeColor="text1"/>
          <w:sz w:val="16"/>
          <w:szCs w:val="16"/>
        </w:rPr>
        <w:t xml:space="preserve">, Пчелинцев, </w:t>
      </w:r>
      <w:proofErr w:type="spellStart"/>
      <w:r w:rsidRPr="007122AB">
        <w:rPr>
          <w:rFonts w:ascii="Times New Roman" w:hAnsi="Times New Roman"/>
          <w:color w:val="000000" w:themeColor="text1"/>
          <w:sz w:val="16"/>
          <w:szCs w:val="16"/>
        </w:rPr>
        <w:t>Кливцов</w:t>
      </w:r>
      <w:proofErr w:type="spellEnd"/>
      <w:r w:rsidRPr="007122AB">
        <w:rPr>
          <w:rFonts w:ascii="Times New Roman" w:hAnsi="Times New Roman"/>
          <w:color w:val="000000" w:themeColor="text1"/>
          <w:sz w:val="16"/>
          <w:szCs w:val="16"/>
        </w:rPr>
        <w:t xml:space="preserve">,...нов, Мороз, </w:t>
      </w:r>
      <w:proofErr w:type="spellStart"/>
      <w:r w:rsidRPr="007122AB">
        <w:rPr>
          <w:rFonts w:ascii="Times New Roman" w:hAnsi="Times New Roman"/>
          <w:color w:val="000000" w:themeColor="text1"/>
          <w:sz w:val="16"/>
          <w:szCs w:val="16"/>
        </w:rPr>
        <w:t>Башан</w:t>
      </w:r>
      <w:proofErr w:type="spellEnd"/>
      <w:r w:rsidRPr="007122AB">
        <w:rPr>
          <w:rFonts w:ascii="Times New Roman" w:hAnsi="Times New Roman"/>
          <w:color w:val="000000" w:themeColor="text1"/>
          <w:sz w:val="16"/>
          <w:szCs w:val="16"/>
        </w:rPr>
        <w:t xml:space="preserve">, Царев, </w:t>
      </w:r>
      <w:proofErr w:type="spellStart"/>
      <w:r w:rsidRPr="007122AB">
        <w:rPr>
          <w:rFonts w:ascii="Times New Roman" w:hAnsi="Times New Roman"/>
          <w:color w:val="000000" w:themeColor="text1"/>
          <w:sz w:val="16"/>
          <w:szCs w:val="16"/>
        </w:rPr>
        <w:t>В.М.Петляков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Шпенцер</w:t>
      </w:r>
      <w:proofErr w:type="spellEnd"/>
      <w:r w:rsidRPr="007122AB">
        <w:rPr>
          <w:rFonts w:ascii="Times New Roman" w:hAnsi="Times New Roman"/>
          <w:color w:val="000000" w:themeColor="text1"/>
          <w:sz w:val="16"/>
          <w:szCs w:val="16"/>
        </w:rPr>
        <w:t xml:space="preserve">, Косткин, Сидельников, </w:t>
      </w:r>
      <w:proofErr w:type="spellStart"/>
      <w:r w:rsidRPr="007122AB">
        <w:rPr>
          <w:rFonts w:ascii="Times New Roman" w:hAnsi="Times New Roman"/>
          <w:color w:val="000000" w:themeColor="text1"/>
          <w:sz w:val="16"/>
          <w:szCs w:val="16"/>
        </w:rPr>
        <w:t>Скржинский</w:t>
      </w:r>
      <w:proofErr w:type="spellEnd"/>
      <w:r w:rsidRPr="007122AB">
        <w:rPr>
          <w:rFonts w:ascii="Times New Roman" w:hAnsi="Times New Roman"/>
          <w:color w:val="000000" w:themeColor="text1"/>
          <w:sz w:val="16"/>
          <w:szCs w:val="16"/>
        </w:rPr>
        <w:t xml:space="preserve">, Виганд, Бородач, </w:t>
      </w:r>
      <w:proofErr w:type="spellStart"/>
      <w:r w:rsidRPr="007122AB">
        <w:rPr>
          <w:rFonts w:ascii="Times New Roman" w:hAnsi="Times New Roman"/>
          <w:color w:val="000000" w:themeColor="text1"/>
          <w:sz w:val="16"/>
          <w:szCs w:val="16"/>
        </w:rPr>
        <w:t>Благонадежден</w:t>
      </w:r>
      <w:proofErr w:type="spellEnd"/>
      <w:r w:rsidRPr="007122AB">
        <w:rPr>
          <w:rFonts w:ascii="Times New Roman" w:hAnsi="Times New Roman"/>
          <w:color w:val="000000" w:themeColor="text1"/>
          <w:sz w:val="16"/>
          <w:szCs w:val="16"/>
        </w:rPr>
        <w:t xml:space="preserve">, Горб, Меерсон, Савичев, </w:t>
      </w:r>
      <w:proofErr w:type="spellStart"/>
      <w:r w:rsidRPr="007122AB">
        <w:rPr>
          <w:rFonts w:ascii="Times New Roman" w:hAnsi="Times New Roman"/>
          <w:color w:val="000000" w:themeColor="text1"/>
          <w:sz w:val="16"/>
          <w:szCs w:val="16"/>
        </w:rPr>
        <w:t>С.И.Кочеригин</w:t>
      </w:r>
      <w:proofErr w:type="spellEnd"/>
      <w:r w:rsidRPr="007122AB">
        <w:rPr>
          <w:rFonts w:ascii="Times New Roman" w:hAnsi="Times New Roman"/>
          <w:color w:val="000000" w:themeColor="text1"/>
          <w:sz w:val="16"/>
          <w:szCs w:val="16"/>
        </w:rPr>
        <w:t>, Мороз, А.А.А.</w:t>
      </w:r>
    </w:p>
    <w:p w14:paraId="46FD7B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Подготовка образцов к производству 1932 г, загрузка мастерских ЦАГИ и 30-го завода</w:t>
      </w:r>
    </w:p>
    <w:p w14:paraId="0573AE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По машине легкого типа И-5 с М-22.</w:t>
      </w:r>
    </w:p>
    <w:p w14:paraId="41EFCD6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(Заявление ГРИГОРОВИЧА)</w:t>
      </w:r>
    </w:p>
    <w:p w14:paraId="27A886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10 декабря И-5 с М-22 со </w:t>
      </w:r>
      <w:proofErr w:type="spellStart"/>
      <w:r w:rsidRPr="007122AB">
        <w:rPr>
          <w:rFonts w:ascii="Times New Roman" w:hAnsi="Times New Roman"/>
          <w:color w:val="000000" w:themeColor="text1"/>
          <w:sz w:val="16"/>
          <w:szCs w:val="16"/>
        </w:rPr>
        <w:t>внесеннием</w:t>
      </w:r>
      <w:proofErr w:type="spellEnd"/>
      <w:r w:rsidRPr="007122AB">
        <w:rPr>
          <w:rFonts w:ascii="Times New Roman" w:hAnsi="Times New Roman"/>
          <w:color w:val="000000" w:themeColor="text1"/>
          <w:sz w:val="16"/>
          <w:szCs w:val="16"/>
        </w:rPr>
        <w:t xml:space="preserve"> в него всех изменений, выявившихся в результате </w:t>
      </w:r>
      <w:proofErr w:type="spellStart"/>
      <w:r w:rsidRPr="007122AB">
        <w:rPr>
          <w:rFonts w:ascii="Times New Roman" w:hAnsi="Times New Roman"/>
          <w:color w:val="000000" w:themeColor="text1"/>
          <w:sz w:val="16"/>
          <w:szCs w:val="16"/>
        </w:rPr>
        <w:t>эксплоатации</w:t>
      </w:r>
      <w:proofErr w:type="spellEnd"/>
      <w:r w:rsidRPr="007122AB">
        <w:rPr>
          <w:rFonts w:ascii="Times New Roman" w:hAnsi="Times New Roman"/>
          <w:color w:val="000000" w:themeColor="text1"/>
          <w:sz w:val="16"/>
          <w:szCs w:val="16"/>
        </w:rPr>
        <w:t xml:space="preserve"> машины в строевых частя и, в частности, во время маневров в Украинском Военной Округе, в качестве эталона, могущего служить образцов для производства на заводе № 21, будет изготовлена.</w:t>
      </w:r>
    </w:p>
    <w:p w14:paraId="07451C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 1о до 15 декабря з-дом будут проведены испытания и стрельбы и 15 декабря машина будет передана в НИИ ВВС в законченном виде для испытаний.</w:t>
      </w:r>
    </w:p>
    <w:p w14:paraId="01655A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Поручить </w:t>
      </w:r>
      <w:proofErr w:type="spellStart"/>
      <w:r w:rsidRPr="007122AB">
        <w:rPr>
          <w:rFonts w:ascii="Times New Roman" w:hAnsi="Times New Roman"/>
          <w:color w:val="000000" w:themeColor="text1"/>
          <w:sz w:val="16"/>
          <w:szCs w:val="16"/>
        </w:rPr>
        <w:t>Т.т</w:t>
      </w:r>
      <w:proofErr w:type="spellEnd"/>
      <w:r w:rsidRPr="007122AB">
        <w:rPr>
          <w:rFonts w:ascii="Times New Roman" w:hAnsi="Times New Roman"/>
          <w:color w:val="000000" w:themeColor="text1"/>
          <w:sz w:val="16"/>
          <w:szCs w:val="16"/>
        </w:rPr>
        <w:t xml:space="preserve"> ИЛЬЮШИНУ, КОСТКИНУ и БОРОДАЧУ в 10-ти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составить график передачи чертежей 21 заводу.</w:t>
      </w:r>
    </w:p>
    <w:p w14:paraId="283B0A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т.ПАУФЛЕРУ</w:t>
      </w:r>
      <w:proofErr w:type="spellEnd"/>
      <w:r w:rsidRPr="007122AB">
        <w:rPr>
          <w:rFonts w:ascii="Times New Roman" w:hAnsi="Times New Roman"/>
          <w:color w:val="000000" w:themeColor="text1"/>
          <w:sz w:val="16"/>
          <w:szCs w:val="16"/>
        </w:rPr>
        <w:t xml:space="preserve"> в 3-х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разработать и доложить мне (Нач. ВАО) мероприятия по обеспечению выпуска чертежей для 211 з-да по самолету И-5 с М-22 в наикратчайший срок.</w:t>
      </w:r>
    </w:p>
    <w:p w14:paraId="7C104E1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4.Технические условия должны при заключении договора определять точное описание самолета и комплекта рабочих чертежей.</w:t>
      </w:r>
    </w:p>
    <w:p w14:paraId="189094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Поручить ЦАГИ подготовить, с </w:t>
      </w:r>
      <w:proofErr w:type="spellStart"/>
      <w:r w:rsidRPr="007122AB">
        <w:rPr>
          <w:rFonts w:ascii="Times New Roman" w:hAnsi="Times New Roman"/>
          <w:color w:val="000000" w:themeColor="text1"/>
          <w:sz w:val="16"/>
          <w:szCs w:val="16"/>
        </w:rPr>
        <w:t>призлечением</w:t>
      </w:r>
      <w:proofErr w:type="spellEnd"/>
      <w:r w:rsidRPr="007122AB">
        <w:rPr>
          <w:rFonts w:ascii="Times New Roman" w:hAnsi="Times New Roman"/>
          <w:color w:val="000000" w:themeColor="text1"/>
          <w:sz w:val="16"/>
          <w:szCs w:val="16"/>
        </w:rPr>
        <w:t xml:space="preserve"> з-да № 22 технические условия на самолет И-5 с М-22 на предмет заключения договора с ВВС. Через 15 дней после заключения НИИ эти </w:t>
      </w:r>
      <w:proofErr w:type="spellStart"/>
      <w:r w:rsidRPr="007122AB">
        <w:rPr>
          <w:rFonts w:ascii="Times New Roman" w:hAnsi="Times New Roman"/>
          <w:color w:val="000000" w:themeColor="text1"/>
          <w:sz w:val="16"/>
          <w:szCs w:val="16"/>
        </w:rPr>
        <w:t>технич</w:t>
      </w:r>
      <w:proofErr w:type="spellEnd"/>
      <w:r w:rsidRPr="007122AB">
        <w:rPr>
          <w:rFonts w:ascii="Times New Roman" w:hAnsi="Times New Roman"/>
          <w:color w:val="000000" w:themeColor="text1"/>
          <w:sz w:val="16"/>
          <w:szCs w:val="16"/>
        </w:rPr>
        <w:t>. условия должны быть готовы.</w:t>
      </w:r>
    </w:p>
    <w:p w14:paraId="7D95F1D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Заключение договора между зав. № 21 и ЦАГИ по изготовлению раб. чертежей и разработки </w:t>
      </w:r>
      <w:proofErr w:type="spellStart"/>
      <w:r w:rsidRPr="007122AB">
        <w:rPr>
          <w:rFonts w:ascii="Times New Roman" w:hAnsi="Times New Roman"/>
          <w:color w:val="000000" w:themeColor="text1"/>
          <w:sz w:val="16"/>
          <w:szCs w:val="16"/>
        </w:rPr>
        <w:t>технологичемкого</w:t>
      </w:r>
      <w:proofErr w:type="spellEnd"/>
      <w:r w:rsidRPr="007122AB">
        <w:rPr>
          <w:rFonts w:ascii="Times New Roman" w:hAnsi="Times New Roman"/>
          <w:color w:val="000000" w:themeColor="text1"/>
          <w:sz w:val="16"/>
          <w:szCs w:val="16"/>
        </w:rPr>
        <w:t xml:space="preserve"> процесса И5-М22 признать </w:t>
      </w:r>
      <w:proofErr w:type="spellStart"/>
      <w:r w:rsidRPr="007122AB">
        <w:rPr>
          <w:rFonts w:ascii="Times New Roman" w:hAnsi="Times New Roman"/>
          <w:color w:val="000000" w:themeColor="text1"/>
          <w:sz w:val="16"/>
          <w:szCs w:val="16"/>
        </w:rPr>
        <w:t>цслесообразным</w:t>
      </w:r>
      <w:proofErr w:type="spellEnd"/>
      <w:r w:rsidRPr="007122AB">
        <w:rPr>
          <w:rFonts w:ascii="Times New Roman" w:hAnsi="Times New Roman"/>
          <w:color w:val="000000" w:themeColor="text1"/>
          <w:sz w:val="16"/>
          <w:szCs w:val="16"/>
        </w:rPr>
        <w:t>.</w:t>
      </w:r>
    </w:p>
    <w:p w14:paraId="7C6C85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Потребовать объяснения от Самолетного сектора, на каком основании заказ, выданный в начале года на приспособления и детали к И5-М22 заводу № 22 и др. з-дам, </w:t>
      </w:r>
      <w:proofErr w:type="spellStart"/>
      <w:r w:rsidRPr="007122AB">
        <w:rPr>
          <w:rFonts w:ascii="Times New Roman" w:hAnsi="Times New Roman"/>
          <w:color w:val="000000" w:themeColor="text1"/>
          <w:sz w:val="16"/>
          <w:szCs w:val="16"/>
        </w:rPr>
        <w:t>изготозлялся</w:t>
      </w:r>
      <w:proofErr w:type="spellEnd"/>
      <w:r w:rsidRPr="007122AB">
        <w:rPr>
          <w:rFonts w:ascii="Times New Roman" w:hAnsi="Times New Roman"/>
          <w:color w:val="000000" w:themeColor="text1"/>
          <w:sz w:val="16"/>
          <w:szCs w:val="16"/>
        </w:rPr>
        <w:t xml:space="preserve"> без всяких изменений как в отношении количества, так и качества.</w:t>
      </w:r>
    </w:p>
    <w:p w14:paraId="6A448E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Предложить т. КОСТКИНУ проверить на заводе № 22 какие из деталей и приспособлений могут быть использованы при производстве самолетов на 21-м заводе.</w:t>
      </w:r>
    </w:p>
    <w:p w14:paraId="630AB0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Поручить т. ХАЛАМОВУ проект серийных заводов с Отделом ЦАГИ по Внедрению машин разослать заводам для ознакомления и представления заключения. Утвердить по получения заключение от завода № 22. Срок рассылки 2-х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Заключение представить к 1 декабря.</w:t>
      </w:r>
    </w:p>
    <w:p w14:paraId="2C2179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Применение шарикоподшипников на И5-М22 допустить в виде исключения, в том случае, если нельзя избежать таковых. И только в том случае, если </w:t>
      </w:r>
      <w:proofErr w:type="spellStart"/>
      <w:r w:rsidRPr="007122AB">
        <w:rPr>
          <w:rFonts w:ascii="Times New Roman" w:hAnsi="Times New Roman"/>
          <w:color w:val="000000" w:themeColor="text1"/>
          <w:sz w:val="16"/>
          <w:szCs w:val="16"/>
        </w:rPr>
        <w:t>констртрукторское</w:t>
      </w:r>
      <w:proofErr w:type="spellEnd"/>
      <w:r w:rsidRPr="007122AB">
        <w:rPr>
          <w:rFonts w:ascii="Times New Roman" w:hAnsi="Times New Roman"/>
          <w:color w:val="000000" w:themeColor="text1"/>
          <w:sz w:val="16"/>
          <w:szCs w:val="16"/>
        </w:rPr>
        <w:t xml:space="preserve"> бюро будет иметь документ от снабженческих органов, подтверждающий возможность обеспечения </w:t>
      </w:r>
      <w:proofErr w:type="spellStart"/>
      <w:r w:rsidRPr="007122AB">
        <w:rPr>
          <w:rFonts w:ascii="Times New Roman" w:hAnsi="Times New Roman"/>
          <w:color w:val="000000" w:themeColor="text1"/>
          <w:sz w:val="16"/>
          <w:szCs w:val="16"/>
        </w:rPr>
        <w:t>снасбжением</w:t>
      </w:r>
      <w:proofErr w:type="spellEnd"/>
      <w:r w:rsidRPr="007122AB">
        <w:rPr>
          <w:rFonts w:ascii="Times New Roman" w:hAnsi="Times New Roman"/>
          <w:color w:val="000000" w:themeColor="text1"/>
          <w:sz w:val="16"/>
          <w:szCs w:val="16"/>
        </w:rPr>
        <w:t xml:space="preserve"> серийного производства </w:t>
      </w:r>
      <w:proofErr w:type="spellStart"/>
      <w:r w:rsidRPr="007122AB">
        <w:rPr>
          <w:rFonts w:ascii="Times New Roman" w:hAnsi="Times New Roman"/>
          <w:color w:val="000000" w:themeColor="text1"/>
          <w:sz w:val="16"/>
          <w:szCs w:val="16"/>
        </w:rPr>
        <w:t>смолетостроительного</w:t>
      </w:r>
      <w:proofErr w:type="spellEnd"/>
      <w:r w:rsidRPr="007122AB">
        <w:rPr>
          <w:rFonts w:ascii="Times New Roman" w:hAnsi="Times New Roman"/>
          <w:color w:val="000000" w:themeColor="text1"/>
          <w:sz w:val="16"/>
          <w:szCs w:val="16"/>
        </w:rPr>
        <w:t xml:space="preserve"> завода № 21.</w:t>
      </w:r>
    </w:p>
    <w:p w14:paraId="1B3E6E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И5-М15</w:t>
      </w:r>
    </w:p>
    <w:p w14:paraId="45177B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30E1A6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2 машины И5-М15 изготовляется к 15 февраля.</w:t>
      </w:r>
    </w:p>
    <w:p w14:paraId="5BAAC3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15 февраля до 1 апреля должны быть закончены внутризаводские испытания и испытания вооружений путем стрельбы, как на земле, так и в воздухе и доводка. 1 апреля машины в законченном виде подлежат передаче в НИИ. При этом добиваться </w:t>
      </w:r>
      <w:proofErr w:type="spellStart"/>
      <w:r w:rsidRPr="007122AB">
        <w:rPr>
          <w:rFonts w:ascii="Times New Roman" w:hAnsi="Times New Roman"/>
          <w:color w:val="000000" w:themeColor="text1"/>
          <w:sz w:val="16"/>
          <w:szCs w:val="16"/>
        </w:rPr>
        <w:t>всеиерно</w:t>
      </w:r>
      <w:proofErr w:type="spellEnd"/>
      <w:r w:rsidRPr="007122AB">
        <w:rPr>
          <w:rFonts w:ascii="Times New Roman" w:hAnsi="Times New Roman"/>
          <w:color w:val="000000" w:themeColor="text1"/>
          <w:sz w:val="16"/>
          <w:szCs w:val="16"/>
        </w:rPr>
        <w:t>, возможно большего совмещения отдельных деталей и аггрегатов.</w:t>
      </w:r>
    </w:p>
    <w:p w14:paraId="410848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Желательно самолет И5-М15 получить в таком виде, чтобы на него можно было бы устанавливать и мотор М-22.</w:t>
      </w:r>
    </w:p>
    <w:p w14:paraId="75E333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вопросы, связанные с внедрением в про</w:t>
      </w:r>
      <w:r w:rsidRPr="007122AB">
        <w:rPr>
          <w:rFonts w:ascii="Times New Roman" w:hAnsi="Times New Roman"/>
          <w:color w:val="000000" w:themeColor="text1"/>
          <w:sz w:val="16"/>
          <w:szCs w:val="16"/>
        </w:rPr>
        <w:softHyphen/>
        <w:t>изводство возложить на завод № 21 и Отдел по внедрению в производство при ЦАГИ.</w:t>
      </w:r>
    </w:p>
    <w:p w14:paraId="2831CE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М7-М17</w:t>
      </w:r>
    </w:p>
    <w:p w14:paraId="19D4A3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Вопрос снимается</w:t>
      </w:r>
    </w:p>
    <w:p w14:paraId="0D90DE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 ХАРЛАМОВУ поручить вопрос с самолетом И7-М17 выяснить с зав. № 1 и доложить.</w:t>
      </w:r>
    </w:p>
    <w:p w14:paraId="09A786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Р5-М17</w:t>
      </w:r>
    </w:p>
    <w:p w14:paraId="7ACD06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1. Машину изготовлять в серийном произ</w:t>
      </w:r>
      <w:r w:rsidRPr="007122AB">
        <w:rPr>
          <w:rFonts w:ascii="Times New Roman" w:hAnsi="Times New Roman"/>
          <w:color w:val="000000" w:themeColor="text1"/>
          <w:sz w:val="16"/>
          <w:szCs w:val="16"/>
        </w:rPr>
        <w:softHyphen/>
        <w:t>водстве, но беря на себя обязательств по изменению.</w:t>
      </w:r>
    </w:p>
    <w:p w14:paraId="269219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Изменения, производимое в машине к 1 декабря могут быть внесены в серийное производство лишь по со</w:t>
      </w:r>
      <w:r w:rsidRPr="007122AB">
        <w:rPr>
          <w:rFonts w:ascii="Times New Roman" w:hAnsi="Times New Roman"/>
          <w:color w:val="000000" w:themeColor="text1"/>
          <w:sz w:val="16"/>
          <w:szCs w:val="16"/>
        </w:rPr>
        <w:softHyphen/>
        <w:t>гласованию заказчика с заводом.</w:t>
      </w:r>
    </w:p>
    <w:p w14:paraId="4DE1E03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Поручить т. ХАРЛАМОВУ договориться с ВВС о том, чтобы, поплавковая машина испытывалась с имеющимся вооружением и оборудованием. Всякое изме</w:t>
      </w:r>
      <w:r w:rsidRPr="007122AB">
        <w:rPr>
          <w:rFonts w:ascii="Times New Roman" w:hAnsi="Times New Roman"/>
          <w:color w:val="000000" w:themeColor="text1"/>
          <w:sz w:val="16"/>
          <w:szCs w:val="16"/>
        </w:rPr>
        <w:softHyphen/>
        <w:t>нение в вооружении и оборудовании может быть произведено в качество особого заказа по окончании испытания машины (</w:t>
      </w:r>
      <w:proofErr w:type="spellStart"/>
      <w:r w:rsidRPr="007122AB">
        <w:rPr>
          <w:rFonts w:ascii="Times New Roman" w:hAnsi="Times New Roman"/>
          <w:color w:val="000000" w:themeColor="text1"/>
          <w:sz w:val="16"/>
          <w:szCs w:val="16"/>
        </w:rPr>
        <w:t>подлавковой</w:t>
      </w:r>
      <w:proofErr w:type="spellEnd"/>
      <w:r w:rsidRPr="007122AB">
        <w:rPr>
          <w:rFonts w:ascii="Times New Roman" w:hAnsi="Times New Roman"/>
          <w:color w:val="000000" w:themeColor="text1"/>
          <w:sz w:val="16"/>
          <w:szCs w:val="16"/>
        </w:rPr>
        <w:t>).</w:t>
      </w:r>
    </w:p>
    <w:p w14:paraId="6D6362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Обязать ЦАГИ добиться возможно скорейшей отправки этой машины в Севастополь и проведения испытаний.</w:t>
      </w:r>
    </w:p>
    <w:p w14:paraId="18D0C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У2-М11</w:t>
      </w:r>
    </w:p>
    <w:p w14:paraId="1CC76F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У2-М11 производится в 1932 без всяких изменений по </w:t>
      </w:r>
      <w:proofErr w:type="spellStart"/>
      <w:r w:rsidRPr="007122AB">
        <w:rPr>
          <w:rFonts w:ascii="Times New Roman" w:hAnsi="Times New Roman"/>
          <w:color w:val="000000" w:themeColor="text1"/>
          <w:sz w:val="16"/>
          <w:szCs w:val="16"/>
        </w:rPr>
        <w:t>сразнению</w:t>
      </w:r>
      <w:proofErr w:type="spellEnd"/>
      <w:r w:rsidRPr="007122AB">
        <w:rPr>
          <w:rFonts w:ascii="Times New Roman" w:hAnsi="Times New Roman"/>
          <w:color w:val="000000" w:themeColor="text1"/>
          <w:sz w:val="16"/>
          <w:szCs w:val="16"/>
        </w:rPr>
        <w:t xml:space="preserve"> с </w:t>
      </w:r>
      <w:proofErr w:type="spellStart"/>
      <w:r w:rsidRPr="007122AB">
        <w:rPr>
          <w:rFonts w:ascii="Times New Roman" w:hAnsi="Times New Roman"/>
          <w:color w:val="000000" w:themeColor="text1"/>
          <w:sz w:val="16"/>
          <w:szCs w:val="16"/>
        </w:rPr>
        <w:t>производзтвои</w:t>
      </w:r>
      <w:proofErr w:type="spellEnd"/>
      <w:r w:rsidRPr="007122AB">
        <w:rPr>
          <w:rFonts w:ascii="Times New Roman" w:hAnsi="Times New Roman"/>
          <w:color w:val="000000" w:themeColor="text1"/>
          <w:sz w:val="16"/>
          <w:szCs w:val="16"/>
        </w:rPr>
        <w:t xml:space="preserve"> 1931 г.</w:t>
      </w:r>
    </w:p>
    <w:p w14:paraId="2A0F79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К5-М15</w:t>
      </w:r>
    </w:p>
    <w:p w14:paraId="2EB8A2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p w14:paraId="7C38F9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w:t>
      </w:r>
      <w:proofErr w:type="spellStart"/>
      <w:r w:rsidRPr="007122AB">
        <w:rPr>
          <w:rFonts w:ascii="Times New Roman" w:hAnsi="Times New Roman"/>
          <w:color w:val="000000" w:themeColor="text1"/>
          <w:sz w:val="16"/>
          <w:szCs w:val="16"/>
        </w:rPr>
        <w:t>же,что</w:t>
      </w:r>
      <w:proofErr w:type="spellEnd"/>
      <w:r w:rsidRPr="007122AB">
        <w:rPr>
          <w:rFonts w:ascii="Times New Roman" w:hAnsi="Times New Roman"/>
          <w:color w:val="000000" w:themeColor="text1"/>
          <w:sz w:val="16"/>
          <w:szCs w:val="16"/>
        </w:rPr>
        <w:t xml:space="preserve"> по У2-М11</w:t>
      </w:r>
    </w:p>
    <w:p w14:paraId="30D847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Савойя - АССО</w:t>
      </w:r>
    </w:p>
    <w:p w14:paraId="744443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По возвращении т. БЕРИЕВА с 31-го з-да вопрос, относительно изготовления, испытания и вне</w:t>
      </w:r>
      <w:r w:rsidRPr="007122AB">
        <w:rPr>
          <w:rFonts w:ascii="Times New Roman" w:hAnsi="Times New Roman"/>
          <w:color w:val="000000" w:themeColor="text1"/>
          <w:sz w:val="16"/>
          <w:szCs w:val="16"/>
        </w:rPr>
        <w:softHyphen/>
        <w:t>дрения в серийное производство рам для моторных установок под моторы М21 и М34, разрешить т. ХАРЛАМОВУ.</w:t>
      </w:r>
    </w:p>
    <w:p w14:paraId="79D3B25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АП-М11</w:t>
      </w:r>
    </w:p>
    <w:p w14:paraId="496D2B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(Никаких недоразумений по АП-М11 нет)</w:t>
      </w:r>
    </w:p>
    <w:p w14:paraId="7C28495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АШ-М11</w:t>
      </w:r>
    </w:p>
    <w:p w14:paraId="30919C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1. По этой машине решить вопрос т. ХАРЛАМОВУ по возвращении т. ИЛЮШИНА.</w:t>
      </w:r>
    </w:p>
    <w:p w14:paraId="5D24AFA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Поручить ЦАГИ послать представителя на 23 завод, с целью выяснения всех вопросов, </w:t>
      </w:r>
      <w:proofErr w:type="spellStart"/>
      <w:r w:rsidRPr="007122AB">
        <w:rPr>
          <w:rFonts w:ascii="Times New Roman" w:hAnsi="Times New Roman"/>
          <w:color w:val="000000" w:themeColor="text1"/>
          <w:sz w:val="16"/>
          <w:szCs w:val="16"/>
        </w:rPr>
        <w:t>сзязанных</w:t>
      </w:r>
      <w:proofErr w:type="spellEnd"/>
      <w:r w:rsidRPr="007122AB">
        <w:rPr>
          <w:rFonts w:ascii="Times New Roman" w:hAnsi="Times New Roman"/>
          <w:color w:val="000000" w:themeColor="text1"/>
          <w:sz w:val="16"/>
          <w:szCs w:val="16"/>
        </w:rPr>
        <w:t xml:space="preserve"> с организацией серийного производства этой машины на 31-м заводе.</w:t>
      </w:r>
    </w:p>
    <w:p w14:paraId="6373501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ТШ-М17</w:t>
      </w:r>
    </w:p>
    <w:p w14:paraId="59D371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ПОСТАНОВИЛИ: 1. Заказ может быть принят только на машину под </w:t>
      </w:r>
      <w:proofErr w:type="spellStart"/>
      <w:r w:rsidRPr="007122AB">
        <w:rPr>
          <w:rFonts w:ascii="Times New Roman" w:hAnsi="Times New Roman"/>
          <w:color w:val="000000" w:themeColor="text1"/>
          <w:sz w:val="16"/>
          <w:szCs w:val="16"/>
        </w:rPr>
        <w:t>моторои</w:t>
      </w:r>
      <w:proofErr w:type="spellEnd"/>
      <w:r w:rsidRPr="007122AB">
        <w:rPr>
          <w:rFonts w:ascii="Times New Roman" w:hAnsi="Times New Roman"/>
          <w:color w:val="000000" w:themeColor="text1"/>
          <w:sz w:val="16"/>
          <w:szCs w:val="16"/>
        </w:rPr>
        <w:t xml:space="preserve"> М17.</w:t>
      </w:r>
    </w:p>
    <w:p w14:paraId="1FA591A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Охлаждение гликолевое.</w:t>
      </w:r>
    </w:p>
    <w:p w14:paraId="2DD1DD3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Безусловно - вооружение бомбардировочное.</w:t>
      </w:r>
    </w:p>
    <w:p w14:paraId="6720F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Вооружение пулеметное гранатное и хи</w:t>
      </w:r>
      <w:r w:rsidRPr="007122AB">
        <w:rPr>
          <w:rFonts w:ascii="Times New Roman" w:hAnsi="Times New Roman"/>
          <w:color w:val="000000" w:themeColor="text1"/>
          <w:sz w:val="16"/>
          <w:szCs w:val="16"/>
        </w:rPr>
        <w:softHyphen/>
        <w:t>мическое доводится нами и испытывается в НИИ и принимается в качестве отдельного заказа.</w:t>
      </w:r>
    </w:p>
    <w:p w14:paraId="777BBD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В 7-ми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Начальнику ЦАГИ доработать планировку изготовления двух ТШ под М17 с возможностью установления во</w:t>
      </w:r>
      <w:r w:rsidRPr="007122AB">
        <w:rPr>
          <w:rFonts w:ascii="Times New Roman" w:hAnsi="Times New Roman"/>
          <w:color w:val="000000" w:themeColor="text1"/>
          <w:sz w:val="16"/>
          <w:szCs w:val="16"/>
        </w:rPr>
        <w:softHyphen/>
        <w:t>оружения пулеметного, химического, гранатного и бомбового и представить на утверждение.</w:t>
      </w:r>
    </w:p>
    <w:p w14:paraId="6125E6E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w:t>
      </w:r>
      <w:proofErr w:type="spellStart"/>
      <w:r w:rsidRPr="007122AB">
        <w:rPr>
          <w:rFonts w:ascii="Times New Roman" w:hAnsi="Times New Roman"/>
          <w:color w:val="000000" w:themeColor="text1"/>
          <w:sz w:val="16"/>
          <w:szCs w:val="16"/>
        </w:rPr>
        <w:t>Признатъ</w:t>
      </w:r>
      <w:proofErr w:type="spellEnd"/>
      <w:r w:rsidRPr="007122AB">
        <w:rPr>
          <w:rFonts w:ascii="Times New Roman" w:hAnsi="Times New Roman"/>
          <w:color w:val="000000" w:themeColor="text1"/>
          <w:sz w:val="16"/>
          <w:szCs w:val="16"/>
        </w:rPr>
        <w:t xml:space="preserve"> обязательным, чтобы вторые экземпляры машин проходили </w:t>
      </w:r>
      <w:proofErr w:type="spellStart"/>
      <w:r w:rsidRPr="007122AB">
        <w:rPr>
          <w:rFonts w:ascii="Times New Roman" w:hAnsi="Times New Roman"/>
          <w:color w:val="000000" w:themeColor="text1"/>
          <w:sz w:val="16"/>
          <w:szCs w:val="16"/>
        </w:rPr>
        <w:t>эксплоатационные</w:t>
      </w:r>
      <w:proofErr w:type="spellEnd"/>
      <w:r w:rsidRPr="007122AB">
        <w:rPr>
          <w:rFonts w:ascii="Times New Roman" w:hAnsi="Times New Roman"/>
          <w:color w:val="000000" w:themeColor="text1"/>
          <w:sz w:val="16"/>
          <w:szCs w:val="16"/>
        </w:rPr>
        <w:t xml:space="preserve"> испытания, для выявления дефектов внутри са</w:t>
      </w:r>
      <w:r w:rsidRPr="007122AB">
        <w:rPr>
          <w:rFonts w:ascii="Times New Roman" w:hAnsi="Times New Roman"/>
          <w:color w:val="000000" w:themeColor="text1"/>
          <w:sz w:val="16"/>
          <w:szCs w:val="16"/>
        </w:rPr>
        <w:softHyphen/>
        <w:t>мого Института.</w:t>
      </w:r>
    </w:p>
    <w:p w14:paraId="0617447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Поручить т. ХАРЛАМОВУ заявить, что </w:t>
      </w:r>
      <w:proofErr w:type="spellStart"/>
      <w:r w:rsidRPr="007122AB">
        <w:rPr>
          <w:rFonts w:ascii="Times New Roman" w:hAnsi="Times New Roman"/>
          <w:color w:val="000000" w:themeColor="text1"/>
          <w:sz w:val="16"/>
          <w:szCs w:val="16"/>
        </w:rPr>
        <w:t>левыхх</w:t>
      </w:r>
      <w:proofErr w:type="spellEnd"/>
      <w:r w:rsidRPr="007122AB">
        <w:rPr>
          <w:rFonts w:ascii="Times New Roman" w:hAnsi="Times New Roman"/>
          <w:color w:val="000000" w:themeColor="text1"/>
          <w:sz w:val="16"/>
          <w:szCs w:val="16"/>
        </w:rPr>
        <w:t xml:space="preserve"> приемников нет и тем самым задерживается ра</w:t>
      </w:r>
      <w:r w:rsidRPr="007122AB">
        <w:rPr>
          <w:rFonts w:ascii="Times New Roman" w:hAnsi="Times New Roman"/>
          <w:color w:val="000000" w:themeColor="text1"/>
          <w:sz w:val="16"/>
          <w:szCs w:val="16"/>
        </w:rPr>
        <w:softHyphen/>
        <w:t xml:space="preserve">бота по всем самолетам и механизмам перезарядки, спаренным вилкам и ручкам </w:t>
      </w:r>
      <w:proofErr w:type="spellStart"/>
      <w:r w:rsidRPr="007122AB">
        <w:rPr>
          <w:rFonts w:ascii="Times New Roman" w:hAnsi="Times New Roman"/>
          <w:color w:val="000000" w:themeColor="text1"/>
          <w:sz w:val="16"/>
          <w:szCs w:val="16"/>
        </w:rPr>
        <w:t>перезаряжения</w:t>
      </w:r>
      <w:proofErr w:type="spellEnd"/>
      <w:r w:rsidRPr="007122AB">
        <w:rPr>
          <w:rFonts w:ascii="Times New Roman" w:hAnsi="Times New Roman"/>
          <w:color w:val="000000" w:themeColor="text1"/>
          <w:sz w:val="16"/>
          <w:szCs w:val="16"/>
        </w:rPr>
        <w:t>.</w:t>
      </w:r>
    </w:p>
    <w:p w14:paraId="45A982C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Поручить ЦАГИ выработать технические условия и чертежи для заблаговременного заказа брони.</w:t>
      </w:r>
    </w:p>
    <w:p w14:paraId="130C1E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Принять к сведению заявление </w:t>
      </w:r>
      <w:proofErr w:type="spellStart"/>
      <w:r w:rsidRPr="007122AB">
        <w:rPr>
          <w:rFonts w:ascii="Times New Roman" w:hAnsi="Times New Roman"/>
          <w:color w:val="000000" w:themeColor="text1"/>
          <w:sz w:val="16"/>
          <w:szCs w:val="16"/>
        </w:rPr>
        <w:t>ЦАГИ,что</w:t>
      </w:r>
      <w:proofErr w:type="spellEnd"/>
      <w:r w:rsidRPr="007122AB">
        <w:rPr>
          <w:rFonts w:ascii="Times New Roman" w:hAnsi="Times New Roman"/>
          <w:color w:val="000000" w:themeColor="text1"/>
          <w:sz w:val="16"/>
          <w:szCs w:val="16"/>
        </w:rPr>
        <w:t xml:space="preserve"> при</w:t>
      </w:r>
      <w:r w:rsidRPr="007122AB">
        <w:rPr>
          <w:rFonts w:ascii="Times New Roman" w:hAnsi="Times New Roman"/>
          <w:color w:val="000000" w:themeColor="text1"/>
          <w:sz w:val="16"/>
          <w:szCs w:val="16"/>
        </w:rPr>
        <w:softHyphen/>
        <w:t>остановлено изготовление ТШ-4Л27.</w:t>
      </w:r>
    </w:p>
    <w:p w14:paraId="52F29D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Поручить т. ХАРЛАМОВУ, совместно с Само</w:t>
      </w:r>
      <w:r w:rsidRPr="007122AB">
        <w:rPr>
          <w:rFonts w:ascii="Times New Roman" w:hAnsi="Times New Roman"/>
          <w:color w:val="000000" w:themeColor="text1"/>
          <w:sz w:val="16"/>
          <w:szCs w:val="16"/>
        </w:rPr>
        <w:softHyphen/>
        <w:t xml:space="preserve">летным сектором выяснить вопрос организации производства ТШ на 16-м заводе, с выездом туда на место, и этот вопрос доложить </w:t>
      </w:r>
      <w:proofErr w:type="spellStart"/>
      <w:r w:rsidRPr="007122AB">
        <w:rPr>
          <w:rFonts w:ascii="Times New Roman" w:hAnsi="Times New Roman"/>
          <w:color w:val="000000" w:themeColor="text1"/>
          <w:sz w:val="16"/>
          <w:szCs w:val="16"/>
        </w:rPr>
        <w:t>Нач.ВАО</w:t>
      </w:r>
      <w:proofErr w:type="spellEnd"/>
      <w:r w:rsidRPr="007122AB">
        <w:rPr>
          <w:rFonts w:ascii="Times New Roman" w:hAnsi="Times New Roman"/>
          <w:color w:val="000000" w:themeColor="text1"/>
          <w:sz w:val="16"/>
          <w:szCs w:val="16"/>
        </w:rPr>
        <w:t>. Срок до 15 декабря.</w:t>
      </w:r>
    </w:p>
    <w:p w14:paraId="40878C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Труппа тяжелых самолетов</w:t>
      </w:r>
    </w:p>
    <w:p w14:paraId="2B1576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Р6, ТБ3, МДР3, АНТ9, ТБ5, АНТ-14, </w:t>
      </w:r>
      <w:r w:rsidRPr="007122AB">
        <w:rPr>
          <w:rFonts w:ascii="Times New Roman" w:hAnsi="Times New Roman"/>
          <w:color w:val="000000" w:themeColor="text1"/>
          <w:sz w:val="16"/>
          <w:szCs w:val="16"/>
          <w:lang w:val="en-US"/>
        </w:rPr>
        <w:t>Z</w:t>
      </w:r>
    </w:p>
    <w:p w14:paraId="7182A9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Р-6</w:t>
      </w:r>
    </w:p>
    <w:p w14:paraId="3CB4C6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ПОСТАНОВИЛИ: 1. Работы по Р-6 по изменениям и улучшениям оборудования и вооружения срочно закончить.</w:t>
      </w:r>
    </w:p>
    <w:p w14:paraId="7E3825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декабря проводится внутризаводская проверка и испытания всех этих изменений. 1 декабря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машина сдается в НИИ ВВС.</w:t>
      </w:r>
    </w:p>
    <w:p w14:paraId="4AF199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Относительно порядка внесения этих переделок в серийные машины - сроки устанавливаются директором завода при заключении договора.</w:t>
      </w:r>
    </w:p>
    <w:p w14:paraId="31A7C9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Поручить т. ХАРЛАМОВУ разрешить с з-дом № 1 вопрос о передаче одной фото-установки.</w:t>
      </w:r>
    </w:p>
    <w:p w14:paraId="0CF227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ТБ-3</w:t>
      </w:r>
    </w:p>
    <w:p w14:paraId="40E538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Принять к сведений заявление т. НАДАШКЕВИЧА.</w:t>
      </w:r>
    </w:p>
    <w:p w14:paraId="34A7EC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Самолет ТБ-3 со всем оборудованием и </w:t>
      </w:r>
      <w:proofErr w:type="spellStart"/>
      <w:r w:rsidRPr="007122AB">
        <w:rPr>
          <w:rFonts w:ascii="Times New Roman" w:hAnsi="Times New Roman"/>
          <w:color w:val="000000" w:themeColor="text1"/>
          <w:sz w:val="16"/>
          <w:szCs w:val="16"/>
        </w:rPr>
        <w:t>вооружени</w:t>
      </w:r>
      <w:proofErr w:type="spellEnd"/>
      <w:r w:rsidRPr="007122AB">
        <w:rPr>
          <w:rFonts w:ascii="Times New Roman" w:hAnsi="Times New Roman"/>
          <w:color w:val="000000" w:themeColor="text1"/>
          <w:sz w:val="16"/>
          <w:szCs w:val="16"/>
        </w:rPr>
        <w:t xml:space="preserve"> ем, кроме башен, будет подготовлен к 25 декабря.</w:t>
      </w:r>
    </w:p>
    <w:p w14:paraId="292553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Башни будут изготовлены к 1 февраля и смонтированы на самолете.</w:t>
      </w:r>
    </w:p>
    <w:p w14:paraId="18007FA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производства летных испытаний на машине не будут установлены макеты башен. От 25 ноября по 5 декабря ЦАГИ производит внутризаводские </w:t>
      </w:r>
      <w:proofErr w:type="spellStart"/>
      <w:r w:rsidRPr="007122AB">
        <w:rPr>
          <w:rFonts w:ascii="Times New Roman" w:hAnsi="Times New Roman"/>
          <w:color w:val="000000" w:themeColor="text1"/>
          <w:sz w:val="16"/>
          <w:szCs w:val="16"/>
        </w:rPr>
        <w:t>испыьания</w:t>
      </w:r>
      <w:proofErr w:type="spellEnd"/>
    </w:p>
    <w:p w14:paraId="662D3D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декабря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машина сдается в НИИ ВВС.</w:t>
      </w:r>
    </w:p>
    <w:p w14:paraId="709EF9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При заключении договора директору завода № 22 руководствоваться вооружением и оборудование, разработанным ЦАГИ и утвержденная НИИ ВВС и поэтому образцу подлежат сдаче все машины, про</w:t>
      </w:r>
      <w:r w:rsidRPr="007122AB">
        <w:rPr>
          <w:rFonts w:ascii="Times New Roman" w:hAnsi="Times New Roman"/>
          <w:color w:val="000000" w:themeColor="text1"/>
          <w:sz w:val="16"/>
          <w:szCs w:val="16"/>
        </w:rPr>
        <w:softHyphen/>
        <w:t>изводства 1932 г.</w:t>
      </w:r>
    </w:p>
    <w:p w14:paraId="1DD974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Что-же касается башенных установок, то таковые вводятся в серийное изготовление, по договоренности с директором завода № 22.</w:t>
      </w:r>
    </w:p>
    <w:p w14:paraId="3A6325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 части возможности выдачи заказа ди</w:t>
      </w:r>
      <w:r w:rsidRPr="007122AB">
        <w:rPr>
          <w:rFonts w:ascii="Times New Roman" w:hAnsi="Times New Roman"/>
          <w:color w:val="000000" w:themeColor="text1"/>
          <w:sz w:val="16"/>
          <w:szCs w:val="16"/>
        </w:rPr>
        <w:softHyphen/>
        <w:t xml:space="preserve">ректором з-да № 22 директору з-да № 32, </w:t>
      </w:r>
      <w:proofErr w:type="spellStart"/>
      <w:r w:rsidRPr="007122AB">
        <w:rPr>
          <w:rFonts w:ascii="Times New Roman" w:hAnsi="Times New Roman"/>
          <w:color w:val="000000" w:themeColor="text1"/>
          <w:sz w:val="16"/>
          <w:szCs w:val="16"/>
        </w:rPr>
        <w:t>т.ГОРБУНОВУ</w:t>
      </w:r>
      <w:proofErr w:type="spellEnd"/>
      <w:r w:rsidRPr="007122AB">
        <w:rPr>
          <w:rFonts w:ascii="Times New Roman" w:hAnsi="Times New Roman"/>
          <w:color w:val="000000" w:themeColor="text1"/>
          <w:sz w:val="16"/>
          <w:szCs w:val="16"/>
        </w:rPr>
        <w:t xml:space="preserve"> вопрос уточнить с Отделом Вооружения ЦАГИ в 3-х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и результаты доложить т. ХАРЛАМОВУ.</w:t>
      </w:r>
    </w:p>
    <w:p w14:paraId="08A2AC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МДР3</w:t>
      </w:r>
    </w:p>
    <w:p w14:paraId="63CC97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1. Не позже 10 декабря машина должна быть отправлена в Севастополь.</w:t>
      </w:r>
    </w:p>
    <w:p w14:paraId="3ADA38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Начальнику -ЦАГИ установить календарные сроки доставки неотправленных с самолетом пред</w:t>
      </w:r>
      <w:r w:rsidRPr="007122AB">
        <w:rPr>
          <w:rFonts w:ascii="Times New Roman" w:hAnsi="Times New Roman"/>
          <w:color w:val="000000" w:themeColor="text1"/>
          <w:sz w:val="16"/>
          <w:szCs w:val="16"/>
        </w:rPr>
        <w:softHyphen/>
        <w:t>метов вооружения и оборудования с таким расче</w:t>
      </w:r>
      <w:r w:rsidRPr="007122AB">
        <w:rPr>
          <w:rFonts w:ascii="Times New Roman" w:hAnsi="Times New Roman"/>
          <w:color w:val="000000" w:themeColor="text1"/>
          <w:sz w:val="16"/>
          <w:szCs w:val="16"/>
        </w:rPr>
        <w:softHyphen/>
        <w:t>том, чтобы все это было получено к моменту начала производства заводских испытаний.</w:t>
      </w:r>
    </w:p>
    <w:p w14:paraId="60A5CD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Поставить в известность Нач. ВВС, что при испытании МДР-3 ЦАГИ будет базироваться на 45 завод, что вызовет необходимость измене</w:t>
      </w:r>
      <w:r w:rsidRPr="007122AB">
        <w:rPr>
          <w:rFonts w:ascii="Times New Roman" w:hAnsi="Times New Roman"/>
          <w:color w:val="000000" w:themeColor="text1"/>
          <w:sz w:val="16"/>
          <w:szCs w:val="16"/>
        </w:rPr>
        <w:softHyphen/>
        <w:t>ния сроков выпуска машин, находящихся на ре</w:t>
      </w:r>
      <w:r w:rsidRPr="007122AB">
        <w:rPr>
          <w:rFonts w:ascii="Times New Roman" w:hAnsi="Times New Roman"/>
          <w:color w:val="000000" w:themeColor="text1"/>
          <w:sz w:val="16"/>
          <w:szCs w:val="16"/>
        </w:rPr>
        <w:softHyphen/>
        <w:t>монте.</w:t>
      </w:r>
    </w:p>
    <w:p w14:paraId="53CD56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 виду особой важности в срочном про</w:t>
      </w:r>
      <w:r w:rsidRPr="007122AB">
        <w:rPr>
          <w:rFonts w:ascii="Times New Roman" w:hAnsi="Times New Roman"/>
          <w:color w:val="000000" w:themeColor="text1"/>
          <w:sz w:val="16"/>
          <w:szCs w:val="16"/>
        </w:rPr>
        <w:softHyphen/>
        <w:t xml:space="preserve">изводстве испытания МДР-3, ВВС должен взять на себя обязательство обеспечить эти испытания, как </w:t>
      </w:r>
      <w:proofErr w:type="spellStart"/>
      <w:r w:rsidRPr="007122AB">
        <w:rPr>
          <w:rFonts w:ascii="Times New Roman" w:hAnsi="Times New Roman"/>
          <w:color w:val="000000" w:themeColor="text1"/>
          <w:sz w:val="16"/>
          <w:szCs w:val="16"/>
        </w:rPr>
        <w:t>зазодские</w:t>
      </w:r>
      <w:proofErr w:type="spellEnd"/>
      <w:r w:rsidRPr="007122AB">
        <w:rPr>
          <w:rFonts w:ascii="Times New Roman" w:hAnsi="Times New Roman"/>
          <w:color w:val="000000" w:themeColor="text1"/>
          <w:sz w:val="16"/>
          <w:szCs w:val="16"/>
        </w:rPr>
        <w:t>, так и сдаточные необходимым го</w:t>
      </w:r>
      <w:r w:rsidRPr="007122AB">
        <w:rPr>
          <w:rFonts w:ascii="Times New Roman" w:hAnsi="Times New Roman"/>
          <w:color w:val="000000" w:themeColor="text1"/>
          <w:sz w:val="16"/>
          <w:szCs w:val="16"/>
        </w:rPr>
        <w:softHyphen/>
        <w:t>рючим.</w:t>
      </w:r>
    </w:p>
    <w:p w14:paraId="0771BB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Подготовка к </w:t>
      </w:r>
      <w:proofErr w:type="spellStart"/>
      <w:r w:rsidRPr="007122AB">
        <w:rPr>
          <w:rFonts w:ascii="Times New Roman" w:hAnsi="Times New Roman"/>
          <w:color w:val="000000" w:themeColor="text1"/>
          <w:sz w:val="16"/>
          <w:szCs w:val="16"/>
        </w:rPr>
        <w:t>сериному</w:t>
      </w:r>
      <w:proofErr w:type="spellEnd"/>
      <w:r w:rsidRPr="007122AB">
        <w:rPr>
          <w:rFonts w:ascii="Times New Roman" w:hAnsi="Times New Roman"/>
          <w:color w:val="000000" w:themeColor="text1"/>
          <w:sz w:val="16"/>
          <w:szCs w:val="16"/>
        </w:rPr>
        <w:t xml:space="preserve"> производству этой шины должна быть начата в ЦАГИ немедленно. Точный план и график этой подготовки будет составлен по возвращении из Таганрога т. БЕРИЕВА. Наблюдать за этим т. ХАРЛАМОВУ</w:t>
      </w:r>
    </w:p>
    <w:p w14:paraId="312A3BD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АНТ-9</w:t>
      </w:r>
    </w:p>
    <w:p w14:paraId="3C4708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ПОСТАНОВИЛИ: 1. Принять к сведению заявление директора завода о том, что АНТ-9 с мотором М26 сдан в НИИ ВОГВФ для испытания и к </w:t>
      </w:r>
      <w:r w:rsidRPr="007122AB">
        <w:rPr>
          <w:rFonts w:ascii="Times New Roman" w:hAnsi="Times New Roman"/>
          <w:color w:val="000000" w:themeColor="text1"/>
          <w:sz w:val="16"/>
          <w:szCs w:val="16"/>
          <w:lang w:val="en-US"/>
        </w:rPr>
        <w:t>I</w:t>
      </w:r>
      <w:r w:rsidRPr="007122AB">
        <w:rPr>
          <w:rFonts w:ascii="Times New Roman" w:hAnsi="Times New Roman"/>
          <w:color w:val="000000" w:themeColor="text1"/>
          <w:sz w:val="16"/>
          <w:szCs w:val="16"/>
        </w:rPr>
        <w:t xml:space="preserve"> декабря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 xml:space="preserve">. испытания будут закончены. После чего поручить т. ХАРЛАМОВУ рассмотреть все вопросы, </w:t>
      </w:r>
      <w:proofErr w:type="spellStart"/>
      <w:r w:rsidRPr="007122AB">
        <w:rPr>
          <w:rFonts w:ascii="Times New Roman" w:hAnsi="Times New Roman"/>
          <w:color w:val="000000" w:themeColor="text1"/>
          <w:sz w:val="16"/>
          <w:szCs w:val="16"/>
        </w:rPr>
        <w:t>связаннее</w:t>
      </w:r>
      <w:proofErr w:type="spellEnd"/>
      <w:r w:rsidRPr="007122AB">
        <w:rPr>
          <w:rFonts w:ascii="Times New Roman" w:hAnsi="Times New Roman"/>
          <w:color w:val="000000" w:themeColor="text1"/>
          <w:sz w:val="16"/>
          <w:szCs w:val="16"/>
        </w:rPr>
        <w:t xml:space="preserve"> с результатами испытания, с привлечением 24 завода для обсуждения вопросов, связанных с мотором.</w:t>
      </w:r>
    </w:p>
    <w:p w14:paraId="0C262B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Серийный заказ 1932 г. будет состоять из машин пассажирского типа с М26.</w:t>
      </w:r>
    </w:p>
    <w:p w14:paraId="2F55F6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ТБ-5</w:t>
      </w:r>
    </w:p>
    <w:p w14:paraId="0FE87F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ПОСТАНОВИЛИ: 1. Принять к сведению что </w:t>
      </w:r>
      <w:proofErr w:type="spellStart"/>
      <w:r w:rsidRPr="007122AB">
        <w:rPr>
          <w:rFonts w:ascii="Times New Roman" w:hAnsi="Times New Roman"/>
          <w:color w:val="000000" w:themeColor="text1"/>
          <w:sz w:val="16"/>
          <w:szCs w:val="16"/>
        </w:rPr>
        <w:t>исоолнение</w:t>
      </w:r>
      <w:proofErr w:type="spellEnd"/>
      <w:r w:rsidRPr="007122AB">
        <w:rPr>
          <w:rFonts w:ascii="Times New Roman" w:hAnsi="Times New Roman"/>
          <w:color w:val="000000" w:themeColor="text1"/>
          <w:sz w:val="16"/>
          <w:szCs w:val="16"/>
        </w:rPr>
        <w:t xml:space="preserve"> ре</w:t>
      </w:r>
      <w:r w:rsidRPr="007122AB">
        <w:rPr>
          <w:rFonts w:ascii="Times New Roman" w:hAnsi="Times New Roman"/>
          <w:color w:val="000000" w:themeColor="text1"/>
          <w:sz w:val="16"/>
          <w:szCs w:val="16"/>
        </w:rPr>
        <w:softHyphen/>
        <w:t>шения правительства по изготовлению пяти штук ТБ-5 явилось результатом:</w:t>
      </w:r>
    </w:p>
    <w:p w14:paraId="65795AE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Отсутсвия</w:t>
      </w:r>
      <w:proofErr w:type="spellEnd"/>
      <w:r w:rsidRPr="007122AB">
        <w:rPr>
          <w:rFonts w:ascii="Times New Roman" w:hAnsi="Times New Roman"/>
          <w:color w:val="000000" w:themeColor="text1"/>
          <w:sz w:val="16"/>
          <w:szCs w:val="16"/>
        </w:rPr>
        <w:t xml:space="preserve"> моторов.</w:t>
      </w:r>
    </w:p>
    <w:p w14:paraId="7BA09F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Невыполнения всех тех требования, которые были выдвинуты для осуществления этого задания.</w:t>
      </w:r>
    </w:p>
    <w:p w14:paraId="5C1457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к сведению заявление конструктора ГРИГОРОВИЧА о том, что он считает нецелесообразным закладку по новому решению правительства пять машин в серию, ввиду того, что моторе Юпитер не обладает достаточной мощностью и не дает расчетных данных, вследствие установки тандем, моторы же М-34 не обладают достаточной мощ</w:t>
      </w:r>
      <w:r w:rsidRPr="007122AB">
        <w:rPr>
          <w:rFonts w:ascii="Times New Roman" w:hAnsi="Times New Roman"/>
          <w:color w:val="000000" w:themeColor="text1"/>
          <w:sz w:val="16"/>
          <w:szCs w:val="16"/>
        </w:rPr>
        <w:softHyphen/>
        <w:t>ностью.</w:t>
      </w:r>
    </w:p>
    <w:p w14:paraId="1377680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 касается моторов ФЭД, то ввиду снятия этих моторов с производства, решением пра</w:t>
      </w:r>
      <w:r w:rsidRPr="007122AB">
        <w:rPr>
          <w:rFonts w:ascii="Times New Roman" w:hAnsi="Times New Roman"/>
          <w:color w:val="000000" w:themeColor="text1"/>
          <w:sz w:val="16"/>
          <w:szCs w:val="16"/>
        </w:rPr>
        <w:softHyphen/>
        <w:t xml:space="preserve">вительства о прекращении их производства, таковые не могут быть даны. (Самолет </w:t>
      </w:r>
      <w:proofErr w:type="spellStart"/>
      <w:r w:rsidRPr="007122AB">
        <w:rPr>
          <w:rFonts w:ascii="Times New Roman" w:hAnsi="Times New Roman"/>
          <w:color w:val="000000" w:themeColor="text1"/>
          <w:sz w:val="16"/>
          <w:szCs w:val="16"/>
        </w:rPr>
        <w:t>расчиты</w:t>
      </w:r>
      <w:r w:rsidRPr="007122AB">
        <w:rPr>
          <w:rFonts w:ascii="Times New Roman" w:hAnsi="Times New Roman"/>
          <w:color w:val="000000" w:themeColor="text1"/>
          <w:sz w:val="16"/>
          <w:szCs w:val="16"/>
        </w:rPr>
        <w:softHyphen/>
        <w:t>вался</w:t>
      </w:r>
      <w:proofErr w:type="spellEnd"/>
      <w:r w:rsidRPr="007122AB">
        <w:rPr>
          <w:rFonts w:ascii="Times New Roman" w:hAnsi="Times New Roman"/>
          <w:color w:val="000000" w:themeColor="text1"/>
          <w:sz w:val="16"/>
          <w:szCs w:val="16"/>
        </w:rPr>
        <w:t xml:space="preserve"> с мотором ФЭД с редукторами).</w:t>
      </w:r>
    </w:p>
    <w:p w14:paraId="66DD762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Принимая во внимание заявление т. ПАУФЛЕРА и ГРИГОРОВИЧА, возбудить еще раз перед правительством запрос о снятии заказа 1931 г. и заказа 1932 г., ввиду нецелесообразности, необеспечения машины соответствующими моторами, или войти с ходатайством о разрешении закупить за границей соответствующие по ти</w:t>
      </w:r>
      <w:r w:rsidRPr="007122AB">
        <w:rPr>
          <w:rFonts w:ascii="Times New Roman" w:hAnsi="Times New Roman"/>
          <w:color w:val="000000" w:themeColor="text1"/>
          <w:sz w:val="16"/>
          <w:szCs w:val="16"/>
        </w:rPr>
        <w:softHyphen/>
        <w:t>пу моторы для этой серии.</w:t>
      </w:r>
    </w:p>
    <w:p w14:paraId="590AB22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Что касается 1-го экземпляра, признать целесообразным производство испытания этой машины с установкой мотора ФЭД без редукторов.</w:t>
      </w:r>
    </w:p>
    <w:p w14:paraId="0A6233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Машина должна быть доведена до конца в отношении вооружения с целью производства всестороннего испытания.</w:t>
      </w:r>
    </w:p>
    <w:p w14:paraId="745BB6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СЛУШАЛИ: О машине </w:t>
      </w:r>
      <w:r w:rsidRPr="007122AB">
        <w:rPr>
          <w:rFonts w:ascii="Times New Roman" w:hAnsi="Times New Roman"/>
          <w:color w:val="000000" w:themeColor="text1"/>
          <w:sz w:val="16"/>
          <w:szCs w:val="16"/>
          <w:lang w:val="en-US"/>
        </w:rPr>
        <w:t>Z</w:t>
      </w:r>
    </w:p>
    <w:p w14:paraId="7D787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После производства внутризаводских испы</w:t>
      </w:r>
      <w:r w:rsidRPr="007122AB">
        <w:rPr>
          <w:rFonts w:ascii="Times New Roman" w:hAnsi="Times New Roman"/>
          <w:color w:val="000000" w:themeColor="text1"/>
          <w:sz w:val="16"/>
          <w:szCs w:val="16"/>
        </w:rPr>
        <w:softHyphen/>
        <w:t>таний машины, таковую передать НИИ ВВС.</w:t>
      </w:r>
    </w:p>
    <w:p w14:paraId="11A44E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Поручить </w:t>
      </w:r>
      <w:proofErr w:type="spellStart"/>
      <w:r w:rsidRPr="007122AB">
        <w:rPr>
          <w:rFonts w:ascii="Times New Roman" w:hAnsi="Times New Roman"/>
          <w:color w:val="000000" w:themeColor="text1"/>
          <w:sz w:val="16"/>
          <w:szCs w:val="16"/>
        </w:rPr>
        <w:t>т.ХАРЛАМОВУ</w:t>
      </w:r>
      <w:proofErr w:type="spellEnd"/>
      <w:r w:rsidRPr="007122AB">
        <w:rPr>
          <w:rFonts w:ascii="Times New Roman" w:hAnsi="Times New Roman"/>
          <w:color w:val="000000" w:themeColor="text1"/>
          <w:sz w:val="16"/>
          <w:szCs w:val="16"/>
        </w:rPr>
        <w:t xml:space="preserve"> собрать все материалы и подготовить докладную записку в Правительство и в Реввоенсовет, а также принят все </w:t>
      </w:r>
      <w:proofErr w:type="spellStart"/>
      <w:r w:rsidRPr="007122AB">
        <w:rPr>
          <w:rFonts w:ascii="Times New Roman" w:hAnsi="Times New Roman"/>
          <w:color w:val="000000" w:themeColor="text1"/>
          <w:sz w:val="16"/>
          <w:szCs w:val="16"/>
        </w:rPr>
        <w:t>нообходимые</w:t>
      </w:r>
      <w:proofErr w:type="spellEnd"/>
      <w:r w:rsidRPr="007122AB">
        <w:rPr>
          <w:rFonts w:ascii="Times New Roman" w:hAnsi="Times New Roman"/>
          <w:color w:val="000000" w:themeColor="text1"/>
          <w:sz w:val="16"/>
          <w:szCs w:val="16"/>
        </w:rPr>
        <w:t xml:space="preserve"> меры к обеспечению выпуска этих машин.</w:t>
      </w:r>
    </w:p>
    <w:p w14:paraId="6767EC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АНТ-14</w:t>
      </w:r>
    </w:p>
    <w:p w14:paraId="18DFDEB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1. Предложить ВВС выстроить несколько экземпляров военного варианта АНТ-14 за счет программы ТБ-3, с мотором М-34.</w:t>
      </w:r>
    </w:p>
    <w:p w14:paraId="5F710A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том случае, если ВВС от этого </w:t>
      </w:r>
      <w:proofErr w:type="spellStart"/>
      <w:r w:rsidRPr="007122AB">
        <w:rPr>
          <w:rFonts w:ascii="Times New Roman" w:hAnsi="Times New Roman"/>
          <w:color w:val="000000" w:themeColor="text1"/>
          <w:sz w:val="16"/>
          <w:szCs w:val="16"/>
        </w:rPr>
        <w:t>продложения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откакется</w:t>
      </w:r>
      <w:proofErr w:type="spellEnd"/>
      <w:r w:rsidRPr="007122AB">
        <w:rPr>
          <w:rFonts w:ascii="Times New Roman" w:hAnsi="Times New Roman"/>
          <w:color w:val="000000" w:themeColor="text1"/>
          <w:sz w:val="16"/>
          <w:szCs w:val="16"/>
        </w:rPr>
        <w:t xml:space="preserve">, то в порядке кооперации строить ТБ-3, </w:t>
      </w:r>
      <w:proofErr w:type="spellStart"/>
      <w:r w:rsidRPr="007122AB">
        <w:rPr>
          <w:rFonts w:ascii="Times New Roman" w:hAnsi="Times New Roman"/>
          <w:color w:val="000000" w:themeColor="text1"/>
          <w:sz w:val="16"/>
          <w:szCs w:val="16"/>
        </w:rPr>
        <w:t>кооперпровав</w:t>
      </w:r>
      <w:proofErr w:type="spellEnd"/>
      <w:r w:rsidRPr="007122AB">
        <w:rPr>
          <w:rFonts w:ascii="Times New Roman" w:hAnsi="Times New Roman"/>
          <w:color w:val="000000" w:themeColor="text1"/>
          <w:sz w:val="16"/>
          <w:szCs w:val="16"/>
        </w:rPr>
        <w:t xml:space="preserve"> завод № 22, завод № 18 (где </w:t>
      </w:r>
      <w:proofErr w:type="spellStart"/>
      <w:r w:rsidRPr="007122AB">
        <w:rPr>
          <w:rFonts w:ascii="Times New Roman" w:hAnsi="Times New Roman"/>
          <w:color w:val="000000" w:themeColor="text1"/>
          <w:sz w:val="16"/>
          <w:szCs w:val="16"/>
        </w:rPr>
        <w:t>органнзовать</w:t>
      </w:r>
      <w:proofErr w:type="spellEnd"/>
      <w:r w:rsidRPr="007122AB">
        <w:rPr>
          <w:rFonts w:ascii="Times New Roman" w:hAnsi="Times New Roman"/>
          <w:color w:val="000000" w:themeColor="text1"/>
          <w:sz w:val="16"/>
          <w:szCs w:val="16"/>
        </w:rPr>
        <w:t xml:space="preserve"> производство) и </w:t>
      </w:r>
      <w:proofErr w:type="spellStart"/>
      <w:r w:rsidRPr="007122AB">
        <w:rPr>
          <w:rFonts w:ascii="Times New Roman" w:hAnsi="Times New Roman"/>
          <w:color w:val="000000" w:themeColor="text1"/>
          <w:sz w:val="16"/>
          <w:szCs w:val="16"/>
        </w:rPr>
        <w:t>торриторию</w:t>
      </w:r>
      <w:proofErr w:type="spellEnd"/>
      <w:r w:rsidRPr="007122AB">
        <w:rPr>
          <w:rFonts w:ascii="Times New Roman" w:hAnsi="Times New Roman"/>
          <w:color w:val="000000" w:themeColor="text1"/>
          <w:sz w:val="16"/>
          <w:szCs w:val="16"/>
        </w:rPr>
        <w:t xml:space="preserve"> 39-го завода.</w:t>
      </w:r>
    </w:p>
    <w:p w14:paraId="0EA8A9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Осуществление этой кооперации возложить персонально на А.Н.Т.</w:t>
      </w:r>
    </w:p>
    <w:p w14:paraId="7782E5C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Вопрос остается открытым до выяснения Военным Ведомством вопроса о замене ТБ—3.</w:t>
      </w:r>
    </w:p>
    <w:p w14:paraId="73B70F5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 ближайшее время т. КЛЕВЦОВУ договориться с т. ГОРБУНОВЫМ о том, какие заказы т. КЛЕВЦОВ незамедлительно может принять (по вопросу о недогрузке мастерских ЦАГИ).</w:t>
      </w:r>
    </w:p>
    <w:p w14:paraId="50D54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(БАРАНОВ), СЕКРЕТАРЬ (БЕРГ) (351,45).</w:t>
      </w:r>
    </w:p>
    <w:p w14:paraId="20698D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B008E2" w14:textId="77777777" w:rsidR="004F04A7" w:rsidRPr="007122AB" w:rsidRDefault="004F04A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ноября 1931 дири</w:t>
      </w:r>
      <w:r w:rsidRPr="007122AB">
        <w:rPr>
          <w:rFonts w:ascii="Times New Roman" w:hAnsi="Times New Roman"/>
          <w:color w:val="000000" w:themeColor="text1"/>
          <w:sz w:val="16"/>
          <w:szCs w:val="16"/>
        </w:rPr>
        <w:softHyphen/>
        <w:t xml:space="preserve">жабль Комсомольская правда совершил свой последний полёт, в ходе которого под руководством инженера ЦАГИ К.К. </w:t>
      </w:r>
      <w:proofErr w:type="spellStart"/>
      <w:r w:rsidRPr="007122AB">
        <w:rPr>
          <w:rFonts w:ascii="Times New Roman" w:hAnsi="Times New Roman"/>
          <w:color w:val="000000" w:themeColor="text1"/>
          <w:sz w:val="16"/>
          <w:szCs w:val="16"/>
        </w:rPr>
        <w:t>Федяевского</w:t>
      </w:r>
      <w:proofErr w:type="spellEnd"/>
      <w:r w:rsidRPr="007122AB">
        <w:rPr>
          <w:rFonts w:ascii="Times New Roman" w:hAnsi="Times New Roman"/>
          <w:color w:val="000000" w:themeColor="text1"/>
          <w:sz w:val="16"/>
          <w:szCs w:val="16"/>
        </w:rPr>
        <w:t xml:space="preserve"> определялись связь между числом оборотов мотора и скоростью полёта дирижабля. Частично провели и другие иссле</w:t>
      </w:r>
      <w:r w:rsidRPr="007122AB">
        <w:rPr>
          <w:rFonts w:ascii="Times New Roman" w:hAnsi="Times New Roman"/>
          <w:color w:val="000000" w:themeColor="text1"/>
          <w:sz w:val="16"/>
          <w:szCs w:val="16"/>
        </w:rPr>
        <w:softHyphen/>
        <w:t>дования: определение радиусов поворота дири</w:t>
      </w:r>
      <w:r w:rsidRPr="007122AB">
        <w:rPr>
          <w:rFonts w:ascii="Times New Roman" w:hAnsi="Times New Roman"/>
          <w:color w:val="000000" w:themeColor="text1"/>
          <w:sz w:val="16"/>
          <w:szCs w:val="16"/>
        </w:rPr>
        <w:softHyphen/>
        <w:t>жабля при разных углах отклонения руля на</w:t>
      </w:r>
      <w:r w:rsidRPr="007122AB">
        <w:rPr>
          <w:rFonts w:ascii="Times New Roman" w:hAnsi="Times New Roman"/>
          <w:color w:val="000000" w:themeColor="text1"/>
          <w:sz w:val="16"/>
          <w:szCs w:val="16"/>
        </w:rPr>
        <w:softHyphen/>
        <w:t>правления, падения скорости при движении ди</w:t>
      </w:r>
      <w:r w:rsidRPr="007122AB">
        <w:rPr>
          <w:rFonts w:ascii="Times New Roman" w:hAnsi="Times New Roman"/>
          <w:color w:val="000000" w:themeColor="text1"/>
          <w:sz w:val="16"/>
          <w:szCs w:val="16"/>
        </w:rPr>
        <w:softHyphen/>
        <w:t>рижабля по кругу, поворотного коэффициента дирижабля. В 1931 г. за два месяца эксплуатации дири</w:t>
      </w:r>
      <w:r w:rsidRPr="007122AB">
        <w:rPr>
          <w:rFonts w:ascii="Times New Roman" w:hAnsi="Times New Roman"/>
          <w:color w:val="000000" w:themeColor="text1"/>
          <w:sz w:val="16"/>
          <w:szCs w:val="16"/>
        </w:rPr>
        <w:softHyphen/>
        <w:t>жабль выполнил 25 полётов общей продолжи</w:t>
      </w:r>
      <w:r w:rsidRPr="007122AB">
        <w:rPr>
          <w:rFonts w:ascii="Times New Roman" w:hAnsi="Times New Roman"/>
          <w:color w:val="000000" w:themeColor="text1"/>
          <w:sz w:val="16"/>
          <w:szCs w:val="16"/>
        </w:rPr>
        <w:softHyphen/>
        <w:t>тельностью 29 ч 40 мин, пройдя 1716 км (20120).</w:t>
      </w:r>
    </w:p>
    <w:p w14:paraId="4D518710" w14:textId="77777777" w:rsidR="004F04A7" w:rsidRPr="007122AB" w:rsidRDefault="004F04A7" w:rsidP="007122AB">
      <w:pPr>
        <w:spacing w:after="0" w:line="240" w:lineRule="auto"/>
        <w:jc w:val="both"/>
        <w:rPr>
          <w:rFonts w:ascii="Times New Roman" w:hAnsi="Times New Roman"/>
          <w:color w:val="000000" w:themeColor="text1"/>
          <w:sz w:val="16"/>
          <w:szCs w:val="16"/>
        </w:rPr>
      </w:pPr>
    </w:p>
    <w:p w14:paraId="0C673DA0"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FB3E4D6"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5ECB0B"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ноября 1931 г. в письме статс-секретарю МИД Германии фон </w:t>
      </w:r>
      <w:proofErr w:type="spellStart"/>
      <w:r w:rsidRPr="007122AB">
        <w:rPr>
          <w:rFonts w:ascii="Times New Roman" w:hAnsi="Times New Roman"/>
          <w:color w:val="000000" w:themeColor="text1"/>
          <w:sz w:val="16"/>
          <w:szCs w:val="16"/>
        </w:rPr>
        <w:t>Бюлову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Дирксен</w:t>
      </w:r>
      <w:proofErr w:type="spellEnd"/>
      <w:r w:rsidRPr="007122AB">
        <w:rPr>
          <w:rFonts w:ascii="Times New Roman" w:hAnsi="Times New Roman"/>
          <w:color w:val="000000" w:themeColor="text1"/>
          <w:sz w:val="16"/>
          <w:szCs w:val="16"/>
        </w:rPr>
        <w:t xml:space="preserve"> сообщал о высказываниях Ворошилова:</w:t>
      </w:r>
    </w:p>
    <w:p w14:paraId="46A05504"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переговоры с Францией, так и переговоры с Польшей представляют из себя явления чисто политического и тактического характера, которые диктуются разумом. В особенности же ясно отдают себе здесь отчет об отсутствии внутренней ценности договора о ненападении с Польшей».</w:t>
      </w:r>
    </w:p>
    <w:p w14:paraId="0FEA4323"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Границы с Польшей Ворошилов считал «неокончательными». Этот документ был добыт ОГПУ и представлен Ворошилову.</w:t>
      </w:r>
    </w:p>
    <w:p w14:paraId="291E5089"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Ворошилов высказал недовольство деятельностью объектов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в СССР.</w:t>
      </w:r>
    </w:p>
    <w:p w14:paraId="0B0461CD"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авиационной школе в Липецке:</w:t>
      </w:r>
    </w:p>
    <w:p w14:paraId="4228BAA2"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«Липецкая школа пока технически плохо обставлена».</w:t>
      </w:r>
    </w:p>
    <w:p w14:paraId="2F8CA56E"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танковой школе:</w:t>
      </w:r>
    </w:p>
    <w:p w14:paraId="41B338DD"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«Что-то в ней неладно. Если бы я не знал немецкой армии, то я прямо сказал бы, что здесь вредительство».</w:t>
      </w:r>
    </w:p>
    <w:p w14:paraId="13995034"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«Томке»:</w:t>
      </w:r>
    </w:p>
    <w:p w14:paraId="7BA68D2A"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«Томке» дело обстоит несколько лучше, чем в Казани».</w:t>
      </w:r>
    </w:p>
    <w:p w14:paraId="3F827FE4"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«школа не дает необходимого и возможного эффекта».</w:t>
      </w:r>
    </w:p>
    <w:p w14:paraId="0C711C95"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Предложив «как следует» использовать все три школы и отметив факт военного сотрудничества Германии с третьими государствами (Испания, Турция, Швеция, США, Голландия и т. д.), нарком прямо заявил Адаму:</w:t>
      </w:r>
    </w:p>
    <w:p w14:paraId="6A622FEE"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нас Вы можете гораздо лучше расположиться, чем где-либо. Тут и наш, и Ваш прямой расчет. Давайте совместно подберем обоюдно надежных людей — хороших конструкторов и специалистов. А то теперь и Вы не полностью, а мы ничего не получаем».</w:t>
      </w:r>
    </w:p>
    <w:p w14:paraId="53D5B951"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Впрочем, Ворошилов здесь слегка лукавил. Все три школы немцы использовали по назначению и практически на полную мощность, немалой была и отдача от них для РККА. Она, конечно же, могла бы быть и большей, но немцы не считали необходимым интенсифицировать деятельность школ.</w:t>
      </w:r>
    </w:p>
    <w:p w14:paraId="49333BEE"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Адам пообещал, что «как и прежде» командиры РККА будут допущены на последний академический курс для обучения, несколько командиров пройдут курс обучения военному железнодорожному делу и курс экономической мобилизации («Они могут все посмотреть и поучиться»). Предусматривалось, что в СССР затем приедут </w:t>
      </w:r>
      <w:r w:rsidRPr="007122AB">
        <w:rPr>
          <w:rFonts w:ascii="Times New Roman" w:hAnsi="Times New Roman"/>
          <w:color w:val="000000" w:themeColor="text1"/>
          <w:sz w:val="16"/>
          <w:szCs w:val="16"/>
        </w:rPr>
        <w:lastRenderedPageBreak/>
        <w:t>германские эксперты! Причем немцы отмечали, что обучение советских специалистов имеет смысл для немцев лишь в том случае, если инструкторы-немцы смогут «на практических примерах на советских предприятиях дать русским практические советы».</w:t>
      </w:r>
    </w:p>
    <w:p w14:paraId="4D8EFBB1"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Относительно предстоящей в Женеве конференции по разоружению Адам заявил, что цели Германии на ней —</w:t>
      </w:r>
    </w:p>
    <w:p w14:paraId="015A942A"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«равная для всех безопасность, единство методов, единство запретов. &lt;…&gt; Если этого нельзя достигнуть, надо уходить с конференции».</w:t>
      </w:r>
    </w:p>
    <w:p w14:paraId="0AF2C117"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этом немец подчеркнул, что не верит в успех Женевской конференции.</w:t>
      </w:r>
    </w:p>
    <w:p w14:paraId="1DE63AD1"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Ворошилов также был настроен скептически:</w:t>
      </w:r>
    </w:p>
    <w:p w14:paraId="246B3064"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 тоже не верю в эту комедию и считаю, что все это затевается для общественного мнения. Но мы к этой комедии относимся серьезно».</w:t>
      </w:r>
    </w:p>
    <w:p w14:paraId="3F2C40F6"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Он заявил, что СССР не уйдет с Конференции и будет до конца «бороться за разоружение». Подобное заявление имело для немцев большое значение, поскольку, как отмечал </w:t>
      </w:r>
      <w:proofErr w:type="spellStart"/>
      <w:r w:rsidRPr="007122AB">
        <w:rPr>
          <w:rFonts w:ascii="Times New Roman" w:hAnsi="Times New Roman"/>
          <w:color w:val="000000" w:themeColor="text1"/>
          <w:sz w:val="16"/>
          <w:szCs w:val="16"/>
        </w:rPr>
        <w:t>Дирксен</w:t>
      </w:r>
      <w:proofErr w:type="spellEnd"/>
      <w:r w:rsidRPr="007122AB">
        <w:rPr>
          <w:rFonts w:ascii="Times New Roman" w:hAnsi="Times New Roman"/>
          <w:color w:val="000000" w:themeColor="text1"/>
          <w:sz w:val="16"/>
          <w:szCs w:val="16"/>
        </w:rPr>
        <w:t>, Ворошилов являлся не только председателем Реввоенсовета и наркомвоенмором СССР, но еще и членом Политбюро и одним из ближайших друзей Сталина. Тем самым беседа с ним означала непосредственный контакт с «центром принятия политических решений СССР» (18265).</w:t>
      </w:r>
    </w:p>
    <w:p w14:paraId="1FC4EA49" w14:textId="77777777" w:rsidR="00357876" w:rsidRPr="007122AB" w:rsidRDefault="00357876" w:rsidP="007122AB">
      <w:pPr>
        <w:spacing w:after="0" w:line="240" w:lineRule="auto"/>
        <w:jc w:val="both"/>
        <w:rPr>
          <w:rFonts w:ascii="Times New Roman" w:hAnsi="Times New Roman"/>
          <w:color w:val="000000" w:themeColor="text1"/>
          <w:sz w:val="16"/>
          <w:szCs w:val="16"/>
        </w:rPr>
      </w:pPr>
    </w:p>
    <w:p w14:paraId="605CA44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D16DC4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0DA1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ноября 1931 </w:t>
      </w:r>
      <w:proofErr w:type="spellStart"/>
      <w:r w:rsidRPr="007122AB">
        <w:rPr>
          <w:rFonts w:ascii="Times New Roman" w:hAnsi="Times New Roman"/>
          <w:color w:val="000000" w:themeColor="text1"/>
          <w:sz w:val="16"/>
          <w:szCs w:val="16"/>
        </w:rPr>
        <w:t>Ч.Линдберг</w:t>
      </w:r>
      <w:proofErr w:type="spellEnd"/>
      <w:r w:rsidRPr="007122AB">
        <w:rPr>
          <w:rFonts w:ascii="Times New Roman" w:hAnsi="Times New Roman"/>
          <w:color w:val="000000" w:themeColor="text1"/>
          <w:sz w:val="16"/>
          <w:szCs w:val="16"/>
        </w:rPr>
        <w:t xml:space="preserve"> открыл авиалинию Пан </w:t>
      </w:r>
      <w:proofErr w:type="spellStart"/>
      <w:r w:rsidRPr="007122AB">
        <w:rPr>
          <w:rFonts w:ascii="Times New Roman" w:hAnsi="Times New Roman"/>
          <w:color w:val="000000" w:themeColor="text1"/>
          <w:sz w:val="16"/>
          <w:szCs w:val="16"/>
        </w:rPr>
        <w:t>Америкен</w:t>
      </w:r>
      <w:proofErr w:type="spellEnd"/>
      <w:r w:rsidRPr="007122AB">
        <w:rPr>
          <w:rFonts w:ascii="Times New Roman" w:hAnsi="Times New Roman"/>
          <w:color w:val="000000" w:themeColor="text1"/>
          <w:sz w:val="16"/>
          <w:szCs w:val="16"/>
        </w:rPr>
        <w:t xml:space="preserve"> от Кубы до Южной Америки с использованием </w:t>
      </w:r>
      <w:proofErr w:type="spellStart"/>
      <w:r w:rsidRPr="007122AB">
        <w:rPr>
          <w:rFonts w:ascii="Times New Roman" w:hAnsi="Times New Roman"/>
          <w:color w:val="000000" w:themeColor="text1"/>
          <w:sz w:val="16"/>
          <w:szCs w:val="16"/>
        </w:rPr>
        <w:t>лл</w:t>
      </w:r>
      <w:proofErr w:type="spellEnd"/>
      <w:r w:rsidRPr="007122AB">
        <w:rPr>
          <w:rFonts w:ascii="Times New Roman" w:hAnsi="Times New Roman"/>
          <w:color w:val="000000" w:themeColor="text1"/>
          <w:sz w:val="16"/>
          <w:szCs w:val="16"/>
        </w:rPr>
        <w:t xml:space="preserve"> Сикорского American </w:t>
      </w:r>
      <w:proofErr w:type="spellStart"/>
      <w:r w:rsidRPr="007122AB">
        <w:rPr>
          <w:rFonts w:ascii="Times New Roman" w:hAnsi="Times New Roman"/>
          <w:color w:val="000000" w:themeColor="text1"/>
          <w:sz w:val="16"/>
          <w:szCs w:val="16"/>
        </w:rPr>
        <w:t>Clipper</w:t>
      </w:r>
      <w:proofErr w:type="spellEnd"/>
      <w:r w:rsidRPr="007122AB">
        <w:rPr>
          <w:rFonts w:ascii="Times New Roman" w:hAnsi="Times New Roman"/>
          <w:color w:val="000000" w:themeColor="text1"/>
          <w:sz w:val="16"/>
          <w:szCs w:val="16"/>
        </w:rPr>
        <w:t>) (2100).</w:t>
      </w:r>
    </w:p>
    <w:p w14:paraId="12FD7C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AE136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E2AE33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E5C2A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ноября 1931 Б.И.Ч. получил от Осоавиахима заказ на постройку двух бесхвостых планера с трапециевидным крылом БИЧ-11 (один потом был на планерных состязаниях 1933) (2544,59).</w:t>
      </w:r>
    </w:p>
    <w:p w14:paraId="70DAF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ACAC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ноября 1931 </w:t>
      </w:r>
      <w:proofErr w:type="spellStart"/>
      <w:r w:rsidRPr="007122AB">
        <w:rPr>
          <w:rFonts w:ascii="Times New Roman" w:hAnsi="Times New Roman"/>
          <w:color w:val="000000" w:themeColor="text1"/>
          <w:sz w:val="16"/>
          <w:szCs w:val="16"/>
        </w:rPr>
        <w:t>Ф.А.Цандер</w:t>
      </w:r>
      <w:proofErr w:type="spellEnd"/>
      <w:r w:rsidRPr="007122AB">
        <w:rPr>
          <w:rFonts w:ascii="Times New Roman" w:hAnsi="Times New Roman"/>
          <w:color w:val="000000" w:themeColor="text1"/>
          <w:sz w:val="16"/>
          <w:szCs w:val="16"/>
        </w:rPr>
        <w:t xml:space="preserve"> как представитель ГИРД и председатель Бюро воздушной техники Военно-технической секции НИО ЦС Осоавиахима </w:t>
      </w:r>
      <w:proofErr w:type="spellStart"/>
      <w:r w:rsidRPr="007122AB">
        <w:rPr>
          <w:rFonts w:ascii="Times New Roman" w:hAnsi="Times New Roman"/>
          <w:color w:val="000000" w:themeColor="text1"/>
          <w:sz w:val="16"/>
          <w:szCs w:val="16"/>
        </w:rPr>
        <w:t>Я.Е.Афанасьева</w:t>
      </w:r>
      <w:proofErr w:type="spellEnd"/>
      <w:r w:rsidRPr="007122AB">
        <w:rPr>
          <w:rFonts w:ascii="Times New Roman" w:hAnsi="Times New Roman"/>
          <w:color w:val="000000" w:themeColor="text1"/>
          <w:sz w:val="16"/>
          <w:szCs w:val="16"/>
        </w:rPr>
        <w:t xml:space="preserve"> был заключен "Социалистический договор на укрепление обороны СССР", согласно которому Цандер брал на себя проектирование и разработку чертежей и производство опытов по опытному реактивному двигателю ОР-2 и реактивному самолету РП-1 за счет Осоавиахима (371,47).</w:t>
      </w:r>
    </w:p>
    <w:p w14:paraId="6D606B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FF6E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ноября 1931 был подписан:</w:t>
      </w:r>
    </w:p>
    <w:p w14:paraId="3036C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подлежит оглашению.</w:t>
      </w:r>
    </w:p>
    <w:p w14:paraId="3F72DB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«СОЮЗ ОСОАВИАХИМА СССР И ОСОАВИАХИМА РСФСР</w:t>
      </w:r>
    </w:p>
    <w:p w14:paraId="345FD9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Социалистический договор по укреплению обороны СССР № 228/10 от 18 ноября 1931 года</w:t>
      </w:r>
    </w:p>
    <w:p w14:paraId="5C299C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Мы, нижеподписавшиеся с одной стороны, Председатель Бюро Воздушной техники научно-исследовательского отдела Центрального совета Союза Осоавиахима СССР т. Афанасьев Яков Емельянович, именуемый в дальнейшем "Бюро", и старший инженер 1-й лаборатории отдела бензиновых двигателей "ИАМ" т. Цандер Фридрих Артурович, именуемый в дальнейшем т. Цандер, с другой стороны, заключили настоящий договор в том, что т. Цандер берет на себя: </w:t>
      </w:r>
    </w:p>
    <w:p w14:paraId="436900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Проектирование и разработку рабочих чертежей и производство по опытному реактивному двигателю ОР-2 к реактивному самолету РП-1, а именно: камеру сгорания с соплом де Лаваля, бачки для топлива с предохранительным клапаном, бак для бензина в срок к 25 ноября 1931 года. </w:t>
      </w:r>
    </w:p>
    <w:p w14:paraId="2E3E8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Компенсатор для охлаждения сопла и подогревания кислорода в срок к 3 декабря 1931 года. </w:t>
      </w:r>
    </w:p>
    <w:p w14:paraId="30EF9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Расчет температур сгорания, скоростей истечения, осевого давления струи при разных давлениях в пространстве, вес деталей, длительность полета при разном содержании кислорода, расчет системы подогрева, охлаждения, приблизительный расчет температуры стенок камеры сгорания в сроки, соответствующие срокам подачи чертежей. </w:t>
      </w:r>
    </w:p>
    <w:p w14:paraId="718BA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Изготовление и испытания сопла и камеры сгорания к 2 декабря 1931 года. Испытание баков для жидкого кислорода и бензина к 1 января 1932 года, испытание собранного прибора к 10 января 1932 года. Установка на самолет и испытание в полете к концу января 1932 года. </w:t>
      </w:r>
    </w:p>
    <w:p w14:paraId="154FC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Примечание: В случае, если запроектированное улучшение даст прямой и обратный конус, то расчет и чертежи прямого и обратного конуса представить к 15 января 1932 года. </w:t>
      </w:r>
    </w:p>
    <w:p w14:paraId="3095A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 проведенную работу т. Цандер получает вознаграждение 1 000 рублей с уплатой их (в случае выполнения работ) в начале срока приема 20 ноября 1931 года и по окончании работ по 500 рублей. </w:t>
      </w:r>
    </w:p>
    <w:p w14:paraId="798500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Договор составлен в 2-х экземплярах. Один в Центральном совете Союза Осоавиахима, а другой в ячейке Осоавиахима "ИАМ".</w:t>
      </w:r>
    </w:p>
    <w:p w14:paraId="7E6DD9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Председатель Бюро Я. Афанасьев. </w:t>
      </w:r>
    </w:p>
    <w:p w14:paraId="57350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XI 1931 г.</w:t>
      </w:r>
    </w:p>
    <w:p w14:paraId="27A0AD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Ответственный исполнитель</w:t>
      </w:r>
    </w:p>
    <w:p w14:paraId="5A2CA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Ф.Цандер</w:t>
      </w:r>
      <w:proofErr w:type="spellEnd"/>
      <w:r w:rsidRPr="007122AB">
        <w:rPr>
          <w:rFonts w:ascii="Times New Roman" w:hAnsi="Times New Roman"/>
          <w:color w:val="000000" w:themeColor="text1"/>
          <w:sz w:val="16"/>
          <w:szCs w:val="16"/>
        </w:rPr>
        <w:t>.» (11143).</w:t>
      </w:r>
    </w:p>
    <w:p w14:paraId="7E6A5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E0B8DB"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18 ноября 1931 г. идея ракетного планера </w:t>
      </w:r>
      <w:proofErr w:type="spellStart"/>
      <w:r w:rsidRPr="007122AB">
        <w:rPr>
          <w:rFonts w:ascii="Times New Roman" w:eastAsia="Times New Roman" w:hAnsi="Times New Roman"/>
          <w:color w:val="000000" w:themeColor="text1"/>
          <w:sz w:val="16"/>
          <w:szCs w:val="16"/>
          <w:lang w:eastAsia="ru-RU"/>
        </w:rPr>
        <w:t>С.П.Королева</w:t>
      </w:r>
      <w:proofErr w:type="spellEnd"/>
      <w:r w:rsidRPr="007122AB">
        <w:rPr>
          <w:rFonts w:ascii="Times New Roman" w:eastAsia="Times New Roman" w:hAnsi="Times New Roman"/>
          <w:color w:val="000000" w:themeColor="text1"/>
          <w:sz w:val="16"/>
          <w:szCs w:val="16"/>
          <w:lang w:eastAsia="ru-RU"/>
        </w:rPr>
        <w:t xml:space="preserve"> получила юридическое обоснование — был подписан следующий документ:</w:t>
      </w:r>
    </w:p>
    <w:p w14:paraId="582092FB"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«Мы, нижеподписавшиеся, с одной стороны Председатель Бюро Воздушной техники научно-исследовательского отдела Центрального совета Союза Осоавиахима СССР т. Афанасьев Яков Емельянович, именуемый в дальнейшем „Бюро“, и старший инженер 1-й лаборатории отдела бензиновых двигателей „ИАМ“ т. Цандер Фридрих Артурович, именуемый в дальнейшем т. Цандер, с другой стороны, заключили настоящий договор в том, что т. Цандер берёт на себя:</w:t>
      </w:r>
    </w:p>
    <w:p w14:paraId="74B396D3"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1. Проектирование и разработку рабочих чертежей и производство по опытному реактивному двигателю ОР-2 к реактивному самолёту РП-1, а именно: камеру сгорания с соплом Де Лаваля, бачки для топлива с предохранительным клапаном, бак для бензина в срок к 25 ноября 1931 года.</w:t>
      </w:r>
    </w:p>
    <w:p w14:paraId="28AE0F38"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2. Компенсатор для охлаждения сопла и подогревания кислорода в срок к 3 декабря 1931 года.</w:t>
      </w:r>
    </w:p>
    <w:p w14:paraId="388AA6D8"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Расчёт температур сгорания, скоростей истечения, осевого давления струи при разных давлениях в пространстве, вес деталей, длительность полёта при разном содержании кислорода, расчёт системы подогрева, охлаждения, приблизительный расчёт температуры стенок камеры сгорания в сроки, соответствующие срокам подачи чертежей.</w:t>
      </w:r>
    </w:p>
    <w:p w14:paraId="3A2F7B98"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Изготовление и испытания сопла и камеры сгорания — к 2 декабря 1931 года. Испытание баков для жидкого кислорода и бензина — к 1 января 1932 года, испытание собранного прибора — к 10 января 1932 года. Установка на самолёт и испытание в полёте — к концу января 1932 года.</w:t>
      </w:r>
    </w:p>
    <w:p w14:paraId="4AA548DD"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…За проведённую работу т. Цандер получает вознаграждение 1000 рублей с уплатой их (в случае выполнения работ) в начале срока приёма 20 ноября 1931 года и по окончании работ по 500 рублей» </w:t>
      </w:r>
      <w:hyperlink r:id="rId194" w:history="1">
        <w:r w:rsidRPr="007122AB">
          <w:rPr>
            <w:rFonts w:ascii="Times New Roman" w:eastAsia="Times New Roman" w:hAnsi="Times New Roman"/>
            <w:color w:val="000000" w:themeColor="text1"/>
            <w:sz w:val="16"/>
            <w:szCs w:val="16"/>
            <w:lang w:eastAsia="ru-RU"/>
          </w:rPr>
          <w:t>[258]</w:t>
        </w:r>
      </w:hyperlink>
      <w:r w:rsidRPr="007122AB">
        <w:rPr>
          <w:rFonts w:ascii="Times New Roman" w:eastAsia="Times New Roman" w:hAnsi="Times New Roman"/>
          <w:color w:val="000000" w:themeColor="text1"/>
          <w:sz w:val="16"/>
          <w:szCs w:val="16"/>
          <w:lang w:eastAsia="ru-RU"/>
        </w:rPr>
        <w:t>.</w:t>
      </w:r>
    </w:p>
    <w:p w14:paraId="41E92D89"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Аналогичный договор был заключён с Б.И. </w:t>
      </w:r>
      <w:proofErr w:type="spellStart"/>
      <w:r w:rsidRPr="007122AB">
        <w:rPr>
          <w:rFonts w:ascii="Times New Roman" w:eastAsia="Times New Roman" w:hAnsi="Times New Roman"/>
          <w:color w:val="000000" w:themeColor="text1"/>
          <w:sz w:val="16"/>
          <w:szCs w:val="16"/>
          <w:lang w:eastAsia="ru-RU"/>
        </w:rPr>
        <w:t>Черановским</w:t>
      </w:r>
      <w:proofErr w:type="spellEnd"/>
      <w:r w:rsidRPr="007122AB">
        <w:rPr>
          <w:rFonts w:ascii="Times New Roman" w:eastAsia="Times New Roman" w:hAnsi="Times New Roman"/>
          <w:color w:val="000000" w:themeColor="text1"/>
          <w:sz w:val="16"/>
          <w:szCs w:val="16"/>
          <w:lang w:eastAsia="ru-RU"/>
        </w:rPr>
        <w:t xml:space="preserve"> на постройку двух бесхвостых планеров БИЧ-11 по типу БИЧ-8; последний был уже изрядно изношен и не годился для серьёзных испытаний (17489).</w:t>
      </w:r>
    </w:p>
    <w:p w14:paraId="2984C626" w14:textId="77777777" w:rsidR="0020231B" w:rsidRPr="007122AB" w:rsidRDefault="0020231B" w:rsidP="007122AB">
      <w:pPr>
        <w:spacing w:after="0" w:line="240" w:lineRule="auto"/>
        <w:jc w:val="both"/>
        <w:rPr>
          <w:rFonts w:ascii="Times New Roman" w:eastAsia="Times New Roman" w:hAnsi="Times New Roman"/>
          <w:color w:val="000000" w:themeColor="text1"/>
          <w:sz w:val="16"/>
          <w:szCs w:val="16"/>
          <w:lang w:eastAsia="ru-RU"/>
        </w:rPr>
      </w:pPr>
    </w:p>
    <w:p w14:paraId="26528FD2"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ноября 1931 г. появился первый и единственный договор Ф.А. Цандера с ОСОАВИАХИМ о конструировании реактивного двигателя, который Цандер назвал ОР-2 (опытный реактивный второй). До этого договора Цандер два года работал на «птичьих правах», совершенно бесплатно в пустующем подвале заброшенной немецкой кирхи, где раньше размещалась лаборатория по наддуву авиационных двигателей ЦАГИ. Без электричества и без какого-либо специального оборудования он умудрился создать из старой паяльной лампы первый опытный образец своего двигателя ОР-1 и провести свыше пятидесяти испытаний, доказывающих, что двигатель может работать. Работу над двигателем Цандер совмещал с основной работой в Институте авиационного моторостроения (ЦИАМ), куда он перешел в декабре 1930 г. (22685).</w:t>
      </w:r>
    </w:p>
    <w:p w14:paraId="48643CA9" w14:textId="77777777" w:rsidR="00043DC3" w:rsidRPr="007122AB" w:rsidRDefault="00043DC3" w:rsidP="007122AB">
      <w:pPr>
        <w:shd w:val="clear" w:color="auto" w:fill="FFFFFF"/>
        <w:spacing w:after="0" w:line="240" w:lineRule="auto"/>
        <w:jc w:val="both"/>
        <w:rPr>
          <w:rFonts w:ascii="Times New Roman" w:hAnsi="Times New Roman"/>
          <w:color w:val="000000" w:themeColor="text1"/>
          <w:sz w:val="16"/>
          <w:szCs w:val="16"/>
        </w:rPr>
      </w:pPr>
    </w:p>
    <w:p w14:paraId="48780346"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ноября 1931 г. появился договор, который начал финансирование работы ГИРД. Текст этого договора, составленный в двух экземплярах (для обеих сторон) был опубликован полностью в книге Я.К. Голованова «Королев: факты и мифы». Договор имел гриф «Не подлежит оглашению», полное название документа «Союз ОСОАВИАХИМа СССР и </w:t>
      </w:r>
      <w:proofErr w:type="spellStart"/>
      <w:r w:rsidRPr="007122AB">
        <w:rPr>
          <w:rFonts w:ascii="Times New Roman" w:hAnsi="Times New Roman"/>
          <w:color w:val="000000" w:themeColor="text1"/>
          <w:sz w:val="16"/>
          <w:szCs w:val="16"/>
        </w:rPr>
        <w:t>ОСОВИАХИМа</w:t>
      </w:r>
      <w:proofErr w:type="spellEnd"/>
      <w:r w:rsidRPr="007122AB">
        <w:rPr>
          <w:rFonts w:ascii="Times New Roman" w:hAnsi="Times New Roman"/>
          <w:color w:val="000000" w:themeColor="text1"/>
          <w:sz w:val="16"/>
          <w:szCs w:val="16"/>
        </w:rPr>
        <w:t xml:space="preserve"> РСФСР. Социалистический договор по укреплению обороны страны № 228/10 от 18 ноября 1931 г.» Договор заключался между Председателем Бюро воздушной техники </w:t>
      </w:r>
      <w:proofErr w:type="spellStart"/>
      <w:r w:rsidRPr="007122AB">
        <w:rPr>
          <w:rFonts w:ascii="Times New Roman" w:hAnsi="Times New Roman"/>
          <w:color w:val="000000" w:themeColor="text1"/>
          <w:sz w:val="16"/>
          <w:szCs w:val="16"/>
        </w:rPr>
        <w:t>Научноисследовательского</w:t>
      </w:r>
      <w:proofErr w:type="spellEnd"/>
      <w:r w:rsidRPr="007122AB">
        <w:rPr>
          <w:rFonts w:ascii="Times New Roman" w:hAnsi="Times New Roman"/>
          <w:color w:val="000000" w:themeColor="text1"/>
          <w:sz w:val="16"/>
          <w:szCs w:val="16"/>
        </w:rPr>
        <w:t xml:space="preserve"> отдела Центрального Совета Союза ОСОАВИАХИМа СССР т. Афанасьевым Яковом Емельяновичем и старшим инженером первой лаборатории отдела бензиновых двигателей «ИАМ» т. Цандером Фридрихом Артуровичем.</w:t>
      </w:r>
    </w:p>
    <w:p w14:paraId="3F227324"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договору Цандер брал на себя:</w:t>
      </w:r>
    </w:p>
    <w:p w14:paraId="27A7F655"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Проектирование и разработку рабочих чертежей и производство по опытному реактивному двигателю ОР-2 к реактивному самолету РП-1, а именно - камеру сгорания с соплом де Лаваля, баки для топлива с предохранительными клапанами и бак для бензина (срок 25 ноября 1931 г.).</w:t>
      </w:r>
    </w:p>
    <w:p w14:paraId="71A1F4F1"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Компенсатор для охлаждения сопла и подогревания кислорода (срок 3 декабря 1931 г.).</w:t>
      </w:r>
    </w:p>
    <w:p w14:paraId="6D3EA820"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Расчет температур сгорания, скоростей истечения, осевого давления струи при разных давлениях в пространстве, вес деталей, расчет системы </w:t>
      </w:r>
      <w:proofErr w:type="spellStart"/>
      <w:r w:rsidRPr="007122AB">
        <w:rPr>
          <w:rFonts w:ascii="Times New Roman" w:hAnsi="Times New Roman"/>
          <w:color w:val="000000" w:themeColor="text1"/>
          <w:sz w:val="16"/>
          <w:szCs w:val="16"/>
        </w:rPr>
        <w:t>подофева</w:t>
      </w:r>
      <w:proofErr w:type="spellEnd"/>
      <w:r w:rsidRPr="007122AB">
        <w:rPr>
          <w:rFonts w:ascii="Times New Roman" w:hAnsi="Times New Roman"/>
          <w:color w:val="000000" w:themeColor="text1"/>
          <w:sz w:val="16"/>
          <w:szCs w:val="16"/>
        </w:rPr>
        <w:t xml:space="preserve"> и охлаждения, приблизительный расчет температур и стенок камеры сгорания.</w:t>
      </w:r>
    </w:p>
    <w:p w14:paraId="17C4C718"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4. Изготовление и испытание сопла и камеры сгорания (срок 2 декабря 1931 г.); испытание баков для жидкого кислорода и бензина (срок 1 января 1932 г.); испытание собранного двигателя (срок 10 января 1932 г.); установка на самолет и испытание в полете (срок конец января 1932 г.)... </w:t>
      </w:r>
    </w:p>
    <w:p w14:paraId="731693BF" w14:textId="77777777" w:rsidR="00043DC3" w:rsidRPr="007122AB" w:rsidRDefault="00043DC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проведенную работу т. Цандер получает вознаграждение 1000 руб. с уплатой их (в случае выполнения работы) в начале срока приема 20 ноября 1931 г. и по окончании работ по 500 руб.» (22685).</w:t>
      </w:r>
    </w:p>
    <w:p w14:paraId="442EF0C9" w14:textId="77777777" w:rsidR="00043DC3" w:rsidRPr="007122AB" w:rsidRDefault="00043DC3" w:rsidP="007122AB">
      <w:pPr>
        <w:spacing w:after="0" w:line="240" w:lineRule="auto"/>
        <w:jc w:val="both"/>
        <w:rPr>
          <w:rFonts w:ascii="Times New Roman" w:hAnsi="Times New Roman"/>
          <w:color w:val="000000" w:themeColor="text1"/>
          <w:sz w:val="16"/>
          <w:szCs w:val="16"/>
        </w:rPr>
      </w:pPr>
    </w:p>
    <w:p w14:paraId="65B27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ноября 1931 была создана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при ЦС Осоавиахим и ее нач. стал </w:t>
      </w:r>
      <w:proofErr w:type="spellStart"/>
      <w:r w:rsidRPr="007122AB">
        <w:rPr>
          <w:rFonts w:ascii="Times New Roman" w:hAnsi="Times New Roman"/>
          <w:color w:val="000000" w:themeColor="text1"/>
          <w:sz w:val="16"/>
          <w:szCs w:val="16"/>
        </w:rPr>
        <w:t>Ф.А.Цандер</w:t>
      </w:r>
      <w:proofErr w:type="spellEnd"/>
      <w:r w:rsidRPr="007122AB">
        <w:rPr>
          <w:rFonts w:ascii="Times New Roman" w:hAnsi="Times New Roman"/>
          <w:color w:val="000000" w:themeColor="text1"/>
          <w:sz w:val="16"/>
          <w:szCs w:val="16"/>
        </w:rPr>
        <w:t>. заключили договор (2990).</w:t>
      </w:r>
    </w:p>
    <w:p w14:paraId="098FF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0AFFD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18 ноября</w:t>
      </w:r>
      <w:r w:rsidRPr="007122AB">
        <w:rPr>
          <w:rFonts w:ascii="Times New Roman" w:hAnsi="Times New Roman"/>
          <w:color w:val="000000" w:themeColor="text1"/>
          <w:sz w:val="16"/>
          <w:szCs w:val="16"/>
        </w:rPr>
        <w:t xml:space="preserve"> в 1931 году в Москве при Центральном Совете ОСОАВИАХИМа создана Группа изучения реактивного движения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Начальником </w:t>
      </w:r>
      <w:proofErr w:type="spellStart"/>
      <w:r w:rsidRPr="007122AB">
        <w:rPr>
          <w:rFonts w:ascii="Times New Roman" w:hAnsi="Times New Roman"/>
          <w:color w:val="000000" w:themeColor="text1"/>
          <w:sz w:val="16"/>
          <w:szCs w:val="16"/>
        </w:rPr>
        <w:t>МосГИРД</w:t>
      </w:r>
      <w:proofErr w:type="spellEnd"/>
      <w:r w:rsidRPr="007122AB">
        <w:rPr>
          <w:rFonts w:ascii="Times New Roman" w:hAnsi="Times New Roman"/>
          <w:color w:val="000000" w:themeColor="text1"/>
          <w:sz w:val="16"/>
          <w:szCs w:val="16"/>
        </w:rPr>
        <w:t xml:space="preserve"> стал Фридрих Артурович Цандер. Заключен договор с </w:t>
      </w:r>
      <w:proofErr w:type="spellStart"/>
      <w:r w:rsidRPr="007122AB">
        <w:rPr>
          <w:rFonts w:ascii="Times New Roman" w:hAnsi="Times New Roman"/>
          <w:color w:val="000000" w:themeColor="text1"/>
          <w:sz w:val="16"/>
          <w:szCs w:val="16"/>
        </w:rPr>
        <w:t>ОСОАВИАХИМОм</w:t>
      </w:r>
      <w:proofErr w:type="spellEnd"/>
      <w:r w:rsidRPr="007122AB">
        <w:rPr>
          <w:rFonts w:ascii="Times New Roman" w:hAnsi="Times New Roman"/>
          <w:color w:val="000000" w:themeColor="text1"/>
          <w:sz w:val="16"/>
          <w:szCs w:val="16"/>
        </w:rPr>
        <w:t xml:space="preserve"> на проектирование и постройку жидкостного ракетного двигателя для ракетоплана (14834).</w:t>
      </w:r>
    </w:p>
    <w:p w14:paraId="2B06FAE2" w14:textId="77777777" w:rsidR="00C54992" w:rsidRPr="007122AB" w:rsidRDefault="00C54992" w:rsidP="007122AB">
      <w:pPr>
        <w:spacing w:after="0" w:line="240" w:lineRule="auto"/>
        <w:jc w:val="both"/>
        <w:rPr>
          <w:rFonts w:ascii="Times New Roman" w:hAnsi="Times New Roman"/>
          <w:color w:val="000000" w:themeColor="text1"/>
          <w:sz w:val="16"/>
          <w:szCs w:val="16"/>
        </w:rPr>
      </w:pPr>
    </w:p>
    <w:p w14:paraId="2E72909B"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 18 ноября 1931 г. члены </w:t>
      </w:r>
      <w:proofErr w:type="spellStart"/>
      <w:r w:rsidRPr="00441F34">
        <w:rPr>
          <w:rFonts w:ascii="Times New Roman" w:hAnsi="Times New Roman"/>
          <w:color w:val="0070C0"/>
          <w:sz w:val="16"/>
          <w:szCs w:val="16"/>
        </w:rPr>
        <w:t>МосГИРД</w:t>
      </w:r>
      <w:proofErr w:type="spellEnd"/>
      <w:r w:rsidRPr="00441F34">
        <w:rPr>
          <w:rFonts w:ascii="Times New Roman" w:hAnsi="Times New Roman"/>
          <w:color w:val="0070C0"/>
          <w:sz w:val="16"/>
          <w:szCs w:val="16"/>
        </w:rPr>
        <w:t xml:space="preserve"> приступила к проектно-кон</w:t>
      </w:r>
      <w:r w:rsidRPr="00441F34">
        <w:rPr>
          <w:rFonts w:ascii="Times New Roman" w:hAnsi="Times New Roman"/>
          <w:color w:val="0070C0"/>
          <w:sz w:val="16"/>
          <w:szCs w:val="16"/>
        </w:rPr>
        <w:softHyphen/>
        <w:t>структорской работе. Первой своей целью они поставили созда</w:t>
      </w:r>
      <w:r w:rsidRPr="00441F34">
        <w:rPr>
          <w:rFonts w:ascii="Times New Roman" w:hAnsi="Times New Roman"/>
          <w:color w:val="0070C0"/>
          <w:sz w:val="16"/>
          <w:szCs w:val="16"/>
        </w:rPr>
        <w:softHyphen/>
        <w:t>ние ракетоплана РП-1 (руководитель проекта С. Королев) и двига</w:t>
      </w:r>
      <w:r w:rsidRPr="00441F34">
        <w:rPr>
          <w:rFonts w:ascii="Times New Roman" w:hAnsi="Times New Roman"/>
          <w:color w:val="0070C0"/>
          <w:sz w:val="16"/>
          <w:szCs w:val="16"/>
        </w:rPr>
        <w:softHyphen/>
        <w:t>теля для него ОР-2 (руководитель Ф. Цандер) (23550).</w:t>
      </w:r>
    </w:p>
    <w:p w14:paraId="7C225BE7" w14:textId="77777777" w:rsidR="00723FFB" w:rsidRPr="00441F34" w:rsidRDefault="00723FFB" w:rsidP="00723FFB">
      <w:pPr>
        <w:spacing w:after="0" w:line="240" w:lineRule="auto"/>
        <w:jc w:val="both"/>
        <w:rPr>
          <w:rFonts w:ascii="Times New Roman" w:hAnsi="Times New Roman"/>
          <w:color w:val="0070C0"/>
          <w:sz w:val="16"/>
          <w:szCs w:val="16"/>
        </w:rPr>
      </w:pPr>
    </w:p>
    <w:p w14:paraId="4D2CA5B4"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ноября 1931 года Центральный Со</w:t>
      </w:r>
      <w:r w:rsidRPr="00441F34">
        <w:rPr>
          <w:rFonts w:ascii="Times New Roman" w:hAnsi="Times New Roman"/>
          <w:color w:val="0070C0"/>
          <w:sz w:val="16"/>
          <w:szCs w:val="16"/>
        </w:rPr>
        <w:softHyphen/>
        <w:t xml:space="preserve">вет Осоавиахима заключил с </w:t>
      </w:r>
      <w:proofErr w:type="spellStart"/>
      <w:r w:rsidRPr="00441F34">
        <w:rPr>
          <w:rFonts w:ascii="Times New Roman" w:hAnsi="Times New Roman"/>
          <w:color w:val="0070C0"/>
          <w:sz w:val="16"/>
          <w:szCs w:val="16"/>
        </w:rPr>
        <w:t>ГИРДом</w:t>
      </w:r>
      <w:proofErr w:type="spellEnd"/>
      <w:r w:rsidRPr="00441F34">
        <w:rPr>
          <w:rFonts w:ascii="Times New Roman" w:hAnsi="Times New Roman"/>
          <w:color w:val="0070C0"/>
          <w:sz w:val="16"/>
          <w:szCs w:val="16"/>
        </w:rPr>
        <w:t xml:space="preserve"> договор на разработку и постройку жидкостного двигателя ОР-2. Двигатель проектиро</w:t>
      </w:r>
      <w:r w:rsidRPr="00441F34">
        <w:rPr>
          <w:rFonts w:ascii="Times New Roman" w:hAnsi="Times New Roman"/>
          <w:color w:val="0070C0"/>
          <w:sz w:val="16"/>
          <w:szCs w:val="16"/>
        </w:rPr>
        <w:softHyphen/>
        <w:t>вался простым и маломощным. Полет планера с ним был воз</w:t>
      </w:r>
      <w:r w:rsidRPr="00441F34">
        <w:rPr>
          <w:rFonts w:ascii="Times New Roman" w:hAnsi="Times New Roman"/>
          <w:color w:val="0070C0"/>
          <w:sz w:val="16"/>
          <w:szCs w:val="16"/>
        </w:rPr>
        <w:softHyphen/>
        <w:t>можен только после буксировки последнего на определенную высоту. Работа не представлялась сложной, а потому Цандер, не имея ни помещения, ни штатных сотрудников, подписал до</w:t>
      </w:r>
      <w:r w:rsidRPr="00441F34">
        <w:rPr>
          <w:rFonts w:ascii="Times New Roman" w:hAnsi="Times New Roman"/>
          <w:color w:val="0070C0"/>
          <w:sz w:val="16"/>
          <w:szCs w:val="16"/>
        </w:rPr>
        <w:softHyphen/>
        <w:t>говор, определив для работы сжатые сроки (23510).</w:t>
      </w:r>
    </w:p>
    <w:p w14:paraId="44DDBCBD" w14:textId="77777777" w:rsidR="00723FFB" w:rsidRPr="00441F34" w:rsidRDefault="00723FFB" w:rsidP="00723FFB">
      <w:pPr>
        <w:spacing w:after="0" w:line="240" w:lineRule="auto"/>
        <w:jc w:val="both"/>
        <w:rPr>
          <w:rFonts w:ascii="Times New Roman" w:hAnsi="Times New Roman"/>
          <w:color w:val="0070C0"/>
          <w:sz w:val="16"/>
          <w:szCs w:val="16"/>
        </w:rPr>
      </w:pPr>
    </w:p>
    <w:p w14:paraId="099E6A0B"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18 ноября 1931 года Королев, </w:t>
      </w:r>
      <w:proofErr w:type="spellStart"/>
      <w:r w:rsidRPr="00441F34">
        <w:rPr>
          <w:rFonts w:ascii="Times New Roman" w:hAnsi="Times New Roman"/>
          <w:color w:val="0070C0"/>
          <w:sz w:val="16"/>
          <w:szCs w:val="16"/>
        </w:rPr>
        <w:t>Черановский</w:t>
      </w:r>
      <w:proofErr w:type="spellEnd"/>
      <w:r w:rsidRPr="00441F34">
        <w:rPr>
          <w:rFonts w:ascii="Times New Roman" w:hAnsi="Times New Roman"/>
          <w:color w:val="0070C0"/>
          <w:sz w:val="16"/>
          <w:szCs w:val="16"/>
        </w:rPr>
        <w:t xml:space="preserve"> и Цандер заключили с </w:t>
      </w:r>
      <w:proofErr w:type="spellStart"/>
      <w:r w:rsidRPr="00441F34">
        <w:rPr>
          <w:rFonts w:ascii="Times New Roman" w:hAnsi="Times New Roman"/>
          <w:color w:val="0070C0"/>
          <w:sz w:val="16"/>
          <w:szCs w:val="16"/>
        </w:rPr>
        <w:t>ОСОВИАХИМом</w:t>
      </w:r>
      <w:proofErr w:type="spellEnd"/>
      <w:r w:rsidRPr="00441F34">
        <w:rPr>
          <w:rFonts w:ascii="Times New Roman" w:hAnsi="Times New Roman"/>
          <w:color w:val="0070C0"/>
          <w:sz w:val="16"/>
          <w:szCs w:val="16"/>
        </w:rPr>
        <w:t xml:space="preserve"> «Социалистический договор по укреплению обороны СССР № 228/10».</w:t>
      </w:r>
    </w:p>
    <w:p w14:paraId="1D56D122" w14:textId="77777777" w:rsidR="00723FFB" w:rsidRPr="00441F34" w:rsidRDefault="00723FFB" w:rsidP="00723FFB">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Т..к</w:t>
      </w:r>
      <w:proofErr w:type="spellEnd"/>
      <w:r w:rsidRPr="00441F34">
        <w:rPr>
          <w:rFonts w:ascii="Times New Roman" w:hAnsi="Times New Roman"/>
          <w:color w:val="0070C0"/>
          <w:sz w:val="16"/>
          <w:szCs w:val="16"/>
        </w:rPr>
        <w:t>. БИЧ-8 в результате многочислен</w:t>
      </w:r>
      <w:r w:rsidRPr="00441F34">
        <w:rPr>
          <w:rFonts w:ascii="Times New Roman" w:hAnsi="Times New Roman"/>
          <w:color w:val="0070C0"/>
          <w:sz w:val="16"/>
          <w:szCs w:val="16"/>
        </w:rPr>
        <w:softHyphen/>
        <w:t>ных летных испытаний пришёл в негодность, решили пере</w:t>
      </w:r>
      <w:r w:rsidRPr="00441F34">
        <w:rPr>
          <w:rFonts w:ascii="Times New Roman" w:hAnsi="Times New Roman"/>
          <w:color w:val="0070C0"/>
          <w:sz w:val="16"/>
          <w:szCs w:val="16"/>
        </w:rPr>
        <w:softHyphen/>
        <w:t>делать в ракетоплан планёр БИЧ-11, установив на нем двигатель ОР-2.</w:t>
      </w:r>
    </w:p>
    <w:p w14:paraId="26A1D47A"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Ракетопланом в ГИРД занялись две бригады: 1-я и 4-я. Первая работала с двигателем, 4-я — с планёром. Суть переделки заклю</w:t>
      </w:r>
      <w:r w:rsidRPr="00441F34">
        <w:rPr>
          <w:rFonts w:ascii="Times New Roman" w:hAnsi="Times New Roman"/>
          <w:color w:val="0070C0"/>
          <w:sz w:val="16"/>
          <w:szCs w:val="16"/>
        </w:rPr>
        <w:softHyphen/>
        <w:t>чалась в том, чтобы установить двигатель позади кабины пилота, а баки для топлива и окислителя разместить по бокам фюзеляжа. Соответственно, требовалось изменить распределение масс и по</w:t>
      </w:r>
      <w:r w:rsidRPr="00441F34">
        <w:rPr>
          <w:rFonts w:ascii="Times New Roman" w:hAnsi="Times New Roman"/>
          <w:color w:val="0070C0"/>
          <w:sz w:val="16"/>
          <w:szCs w:val="16"/>
        </w:rPr>
        <w:softHyphen/>
        <w:t>высить прочность всей конструкции планёра.</w:t>
      </w:r>
    </w:p>
    <w:p w14:paraId="29611EF8"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проекту, характеристики РП-1 были таковы: стартовый вес 470 кг; длина 3,2 м, размах крыла 12,5 м, высота 1,3 м; скорость в полете до 140 км/ч, посадочная скорость не более 55 км/ч; про</w:t>
      </w:r>
      <w:r w:rsidRPr="00441F34">
        <w:rPr>
          <w:rFonts w:ascii="Times New Roman" w:hAnsi="Times New Roman"/>
          <w:color w:val="0070C0"/>
          <w:sz w:val="16"/>
          <w:szCs w:val="16"/>
        </w:rPr>
        <w:softHyphen/>
        <w:t>должительность полёта с работающим РД до 7 минут. Двигатель ОР-2 весил 18 кг.</w:t>
      </w:r>
    </w:p>
    <w:p w14:paraId="0DEDD0FC"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Королёв, опытный планерист, сам провёл лётные испытания БИЧ-11, начавшиеся 22 февраля 1932 г. Он совершил на нём 29 па</w:t>
      </w:r>
      <w:r w:rsidRPr="00441F34">
        <w:rPr>
          <w:rFonts w:ascii="Times New Roman" w:hAnsi="Times New Roman"/>
          <w:color w:val="0070C0"/>
          <w:sz w:val="16"/>
          <w:szCs w:val="16"/>
        </w:rPr>
        <w:softHyphen/>
        <w:t>рящих полётов и еще 5 — с поршневым мотором «</w:t>
      </w:r>
      <w:proofErr w:type="spellStart"/>
      <w:r w:rsidRPr="00441F34">
        <w:rPr>
          <w:rFonts w:ascii="Times New Roman" w:hAnsi="Times New Roman"/>
          <w:color w:val="0070C0"/>
          <w:sz w:val="16"/>
          <w:szCs w:val="16"/>
        </w:rPr>
        <w:t>Scorpion</w:t>
      </w:r>
      <w:proofErr w:type="spellEnd"/>
      <w:r w:rsidRPr="00441F34">
        <w:rPr>
          <w:rFonts w:ascii="Times New Roman" w:hAnsi="Times New Roman"/>
          <w:color w:val="0070C0"/>
          <w:sz w:val="16"/>
          <w:szCs w:val="16"/>
        </w:rPr>
        <w:t>».</w:t>
      </w:r>
    </w:p>
    <w:p w14:paraId="7777128F"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Цандер спроектировал два двигателя: ОР-2 — для ракетопла</w:t>
      </w:r>
      <w:r w:rsidRPr="00441F34">
        <w:rPr>
          <w:rFonts w:ascii="Times New Roman" w:hAnsi="Times New Roman"/>
          <w:color w:val="0070C0"/>
          <w:sz w:val="16"/>
          <w:szCs w:val="16"/>
        </w:rPr>
        <w:softHyphen/>
        <w:t>на, ОР-10 — для ракеты. С ОР-2 вышла заминка: в декабре 1932 г. его неоднократно запускали на стенде, но безуспешно.</w:t>
      </w:r>
    </w:p>
    <w:p w14:paraId="2E0FEEF0"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Несмотря на это, Королёв параллельно готовил два новых проекта: РП-2 под ракетный двигатель РД-А (с насосной подачей топлива) и двухместный РП-3, на котором хотел поставить порш</w:t>
      </w:r>
      <w:r w:rsidRPr="00441F34">
        <w:rPr>
          <w:rFonts w:ascii="Times New Roman" w:hAnsi="Times New Roman"/>
          <w:color w:val="0070C0"/>
          <w:sz w:val="16"/>
          <w:szCs w:val="16"/>
        </w:rPr>
        <w:softHyphen/>
        <w:t>невой мотор вместе с ракетным двигателем тягой 300 кг/сек. На РП-3 он хотел достигнуть высоты 40 км (!), не понимая, что в силу «букета» причин это абсолютно невозможно (23550).</w:t>
      </w:r>
    </w:p>
    <w:p w14:paraId="344E31BF" w14:textId="77777777" w:rsidR="00723FFB" w:rsidRPr="00441F34" w:rsidRDefault="00723FFB" w:rsidP="00723FFB">
      <w:pPr>
        <w:spacing w:after="0" w:line="240" w:lineRule="auto"/>
        <w:jc w:val="both"/>
        <w:rPr>
          <w:rFonts w:ascii="Times New Roman" w:hAnsi="Times New Roman"/>
          <w:color w:val="0070C0"/>
          <w:sz w:val="16"/>
          <w:szCs w:val="16"/>
        </w:rPr>
      </w:pPr>
    </w:p>
    <w:p w14:paraId="36D74DF2" w14:textId="77777777" w:rsidR="00723FFB" w:rsidRPr="00441F34" w:rsidRDefault="00723FFB" w:rsidP="00723FF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18 ноября 1931 г. </w:t>
      </w:r>
      <w:proofErr w:type="spellStart"/>
      <w:r w:rsidRPr="00441F34">
        <w:rPr>
          <w:rFonts w:ascii="Times New Roman" w:hAnsi="Times New Roman"/>
          <w:color w:val="0070C0"/>
          <w:sz w:val="16"/>
          <w:szCs w:val="16"/>
        </w:rPr>
        <w:t>Черановский</w:t>
      </w:r>
      <w:proofErr w:type="spellEnd"/>
      <w:r w:rsidRPr="00441F34">
        <w:rPr>
          <w:rFonts w:ascii="Times New Roman" w:hAnsi="Times New Roman"/>
          <w:color w:val="0070C0"/>
          <w:sz w:val="16"/>
          <w:szCs w:val="16"/>
        </w:rPr>
        <w:t xml:space="preserve"> получил заказ на постройку двух бесхвостых планеров с трапециевидным крылом БИЧ-11 (один из них потом летал на планерных состязаниях 1933 г.), а Цандер — на разработку ЖРД ОР-2 с тягой 50 кгс.</w:t>
      </w:r>
    </w:p>
    <w:p w14:paraId="7CD6036B" w14:textId="77777777" w:rsidR="00723FFB" w:rsidRPr="00441F34" w:rsidRDefault="00723FFB" w:rsidP="00723FFB">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Черановский</w:t>
      </w:r>
      <w:proofErr w:type="spellEnd"/>
      <w:r w:rsidRPr="00441F34">
        <w:rPr>
          <w:rFonts w:ascii="Times New Roman" w:hAnsi="Times New Roman"/>
          <w:color w:val="0070C0"/>
          <w:sz w:val="16"/>
          <w:szCs w:val="16"/>
        </w:rPr>
        <w:t xml:space="preserve"> выполнил задание быстро: первый БИЧ-11 был готов в начале 1932 г.</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 (24253).</w:t>
      </w:r>
    </w:p>
    <w:p w14:paraId="394E1D27" w14:textId="77777777" w:rsidR="00723FFB" w:rsidRPr="00441F34" w:rsidRDefault="00723FFB" w:rsidP="00723FFB">
      <w:pPr>
        <w:spacing w:after="0" w:line="240" w:lineRule="auto"/>
        <w:jc w:val="both"/>
        <w:rPr>
          <w:rFonts w:ascii="Times New Roman" w:hAnsi="Times New Roman"/>
          <w:color w:val="0070C0"/>
          <w:sz w:val="16"/>
          <w:szCs w:val="16"/>
        </w:rPr>
      </w:pPr>
    </w:p>
    <w:p w14:paraId="45D38718"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EF27923" w14:textId="77777777" w:rsidR="00357876" w:rsidRPr="007122AB" w:rsidRDefault="00357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1E10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ноября 1931 г. комиссия предъявила отчет, в котором, в частности, говорилось:</w:t>
      </w:r>
    </w:p>
    <w:p w14:paraId="77624D9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«Специальная Комиссия в составе председателя т. БОКИС — Начальник ТУУММ, и членов: т. ЛЕБЕДЕВА - Председателя НТК УММ, ДЕРЕВЦОВА -Начальника УСУ УММ, тт. БЕГУНОВА, БРАВЕРМАН и РОЖКОВА, членов НТК УММ, т ГИНЗБУРГ - Нач. КБ № 3 ОРПО, т. ЗАСЛАВСКОГО - Зам нач. КБ № 3 ОРПО, т. ИВАНОВА - </w:t>
      </w:r>
      <w:proofErr w:type="spellStart"/>
      <w:r w:rsidRPr="007122AB">
        <w:rPr>
          <w:rFonts w:ascii="Times New Roman" w:hAnsi="Times New Roman"/>
          <w:color w:val="000000" w:themeColor="text1"/>
          <w:sz w:val="16"/>
          <w:szCs w:val="16"/>
        </w:rPr>
        <w:t>пом</w:t>
      </w:r>
      <w:proofErr w:type="spellEnd"/>
      <w:r w:rsidRPr="007122AB">
        <w:rPr>
          <w:rFonts w:ascii="Times New Roman" w:hAnsi="Times New Roman"/>
          <w:color w:val="000000" w:themeColor="text1"/>
          <w:sz w:val="16"/>
          <w:szCs w:val="16"/>
        </w:rPr>
        <w:t xml:space="preserve"> начальника КБ № 3 ОРПО, т СИМСКОГО - Нач. ГКБ Завода Большевик, т. ТОСКИНА - Нач. Т2 ГХПЗ, орга</w:t>
      </w:r>
      <w:r w:rsidRPr="007122AB">
        <w:rPr>
          <w:rFonts w:ascii="Times New Roman" w:hAnsi="Times New Roman"/>
          <w:color w:val="000000" w:themeColor="text1"/>
          <w:sz w:val="16"/>
          <w:szCs w:val="16"/>
        </w:rPr>
        <w:softHyphen/>
        <w:t>низованная согласно приказания Зам. Председателя РВС СССР т. ТУХАЧЕВСКОГО, после рассмотрения чертежей, расчетов по ма</w:t>
      </w:r>
      <w:r w:rsidRPr="007122AB">
        <w:rPr>
          <w:rFonts w:ascii="Times New Roman" w:hAnsi="Times New Roman"/>
          <w:color w:val="000000" w:themeColor="text1"/>
          <w:sz w:val="16"/>
          <w:szCs w:val="16"/>
        </w:rPr>
        <w:softHyphen/>
        <w:t xml:space="preserve">шинам Д-4, Д-5 и Д-38, а также после ознакомления с макетом машины Д-5 и с макетом боевого отделения машины Д-38 и после доклада и </w:t>
      </w:r>
      <w:proofErr w:type="spellStart"/>
      <w:r w:rsidRPr="007122AB">
        <w:rPr>
          <w:rFonts w:ascii="Times New Roman" w:hAnsi="Times New Roman"/>
          <w:color w:val="000000" w:themeColor="text1"/>
          <w:sz w:val="16"/>
          <w:szCs w:val="16"/>
        </w:rPr>
        <w:t>раз»яснений</w:t>
      </w:r>
      <w:proofErr w:type="spellEnd"/>
      <w:r w:rsidRPr="007122AB">
        <w:rPr>
          <w:rFonts w:ascii="Times New Roman" w:hAnsi="Times New Roman"/>
          <w:color w:val="000000" w:themeColor="text1"/>
          <w:sz w:val="16"/>
          <w:szCs w:val="16"/>
        </w:rPr>
        <w:t xml:space="preserve"> по указанным машинам конструктора их т. ДЫРЕНКОВА пришла к следующим выводам:</w:t>
      </w:r>
    </w:p>
    <w:p w14:paraId="1147EB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Конструкция танка Д-4 имеющего колесный, гусеничный и </w:t>
      </w:r>
      <w:proofErr w:type="spellStart"/>
      <w:r w:rsidRPr="007122AB">
        <w:rPr>
          <w:rFonts w:ascii="Times New Roman" w:hAnsi="Times New Roman"/>
          <w:color w:val="000000" w:themeColor="text1"/>
          <w:sz w:val="16"/>
          <w:szCs w:val="16"/>
        </w:rPr>
        <w:t>жел.дор</w:t>
      </w:r>
      <w:proofErr w:type="spellEnd"/>
      <w:r w:rsidRPr="007122AB">
        <w:rPr>
          <w:rFonts w:ascii="Times New Roman" w:hAnsi="Times New Roman"/>
          <w:color w:val="000000" w:themeColor="text1"/>
          <w:sz w:val="16"/>
          <w:szCs w:val="16"/>
        </w:rPr>
        <w:t>.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w:t>
      </w:r>
      <w:r w:rsidRPr="007122AB">
        <w:rPr>
          <w:rFonts w:ascii="Times New Roman" w:hAnsi="Times New Roman"/>
          <w:color w:val="000000" w:themeColor="text1"/>
          <w:sz w:val="16"/>
          <w:szCs w:val="16"/>
        </w:rPr>
        <w:softHyphen/>
        <w:t>ность применить автомобильный колесный ход и использовать два мотора Геркулес мощностью 106 сил.</w:t>
      </w:r>
    </w:p>
    <w:p w14:paraId="0F1FB6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Комиссия констатирует, что тов. ДЫРЕНКОВ с заданием по конструированию танка Д-4 не справился и был вынужден на ос</w:t>
      </w:r>
      <w:r w:rsidRPr="007122AB">
        <w:rPr>
          <w:rFonts w:ascii="Times New Roman" w:hAnsi="Times New Roman"/>
          <w:color w:val="000000" w:themeColor="text1"/>
          <w:sz w:val="16"/>
          <w:szCs w:val="16"/>
        </w:rPr>
        <w:softHyphen/>
        <w:t>нове своей конструкции Д-4 приступить к разработке и построй</w:t>
      </w:r>
      <w:r w:rsidRPr="007122AB">
        <w:rPr>
          <w:rFonts w:ascii="Times New Roman" w:hAnsi="Times New Roman"/>
          <w:color w:val="000000" w:themeColor="text1"/>
          <w:sz w:val="16"/>
          <w:szCs w:val="16"/>
        </w:rPr>
        <w:softHyphen/>
        <w:t>ке нового танка Д-5 с мотором М-17мощностью 500л.с. В конст</w:t>
      </w:r>
      <w:r w:rsidRPr="007122AB">
        <w:rPr>
          <w:rFonts w:ascii="Times New Roman" w:hAnsi="Times New Roman"/>
          <w:color w:val="000000" w:themeColor="text1"/>
          <w:sz w:val="16"/>
          <w:szCs w:val="16"/>
        </w:rPr>
        <w:softHyphen/>
        <w:t>рукции оставлены: гусеничный и железно-дорожный ход и подвод</w:t>
      </w:r>
      <w:r w:rsidRPr="007122AB">
        <w:rPr>
          <w:rFonts w:ascii="Times New Roman" w:hAnsi="Times New Roman"/>
          <w:color w:val="000000" w:themeColor="text1"/>
          <w:sz w:val="16"/>
          <w:szCs w:val="16"/>
        </w:rPr>
        <w:softHyphen/>
        <w:t xml:space="preserve">ная проходимость. Автомобильный колесный ход, </w:t>
      </w:r>
      <w:proofErr w:type="spellStart"/>
      <w:r w:rsidRPr="007122AB">
        <w:rPr>
          <w:rFonts w:ascii="Times New Roman" w:hAnsi="Times New Roman"/>
          <w:color w:val="000000" w:themeColor="text1"/>
          <w:sz w:val="16"/>
          <w:szCs w:val="16"/>
        </w:rPr>
        <w:t>запроэктирован-ный</w:t>
      </w:r>
      <w:proofErr w:type="spellEnd"/>
      <w:r w:rsidRPr="007122AB">
        <w:rPr>
          <w:rFonts w:ascii="Times New Roman" w:hAnsi="Times New Roman"/>
          <w:color w:val="000000" w:themeColor="text1"/>
          <w:sz w:val="16"/>
          <w:szCs w:val="16"/>
        </w:rPr>
        <w:t xml:space="preserve"> для машины в 12 тонн, снят за невозможностью его выполне</w:t>
      </w:r>
      <w:r w:rsidRPr="007122AB">
        <w:rPr>
          <w:rFonts w:ascii="Times New Roman" w:hAnsi="Times New Roman"/>
          <w:color w:val="000000" w:themeColor="text1"/>
          <w:sz w:val="16"/>
          <w:szCs w:val="16"/>
        </w:rPr>
        <w:softHyphen/>
        <w:t>ния для машины Д-5 весом 25 тонн.</w:t>
      </w:r>
    </w:p>
    <w:p w14:paraId="4EB2AAC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Конструкция танка Д-5, предусматривающая изжитие дефектов и конструктивных неполадок, выявленных т. ДЫРЕНКОВЫМ во время работы с танком Д-4, имеет, по мне</w:t>
      </w:r>
      <w:r w:rsidRPr="007122AB">
        <w:rPr>
          <w:rFonts w:ascii="Times New Roman" w:hAnsi="Times New Roman"/>
          <w:color w:val="000000" w:themeColor="text1"/>
          <w:sz w:val="16"/>
          <w:szCs w:val="16"/>
        </w:rPr>
        <w:softHyphen/>
        <w:t xml:space="preserve">нию </w:t>
      </w:r>
      <w:proofErr w:type="spellStart"/>
      <w:r w:rsidRPr="007122AB">
        <w:rPr>
          <w:rFonts w:ascii="Times New Roman" w:hAnsi="Times New Roman"/>
          <w:color w:val="000000" w:themeColor="text1"/>
          <w:sz w:val="16"/>
          <w:szCs w:val="16"/>
        </w:rPr>
        <w:t>омиссии</w:t>
      </w:r>
      <w:proofErr w:type="spellEnd"/>
      <w:r w:rsidRPr="007122AB">
        <w:rPr>
          <w:rFonts w:ascii="Times New Roman" w:hAnsi="Times New Roman"/>
          <w:color w:val="000000" w:themeColor="text1"/>
          <w:sz w:val="16"/>
          <w:szCs w:val="16"/>
        </w:rPr>
        <w:t>, следующие крупные недостатки:</w:t>
      </w:r>
    </w:p>
    <w:p w14:paraId="374E9B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а/Носовая часть корпуса неудачна, так как вследствие </w:t>
      </w:r>
      <w:proofErr w:type="spellStart"/>
      <w:r w:rsidRPr="007122AB">
        <w:rPr>
          <w:rFonts w:ascii="Times New Roman" w:hAnsi="Times New Roman"/>
          <w:color w:val="000000" w:themeColor="text1"/>
          <w:sz w:val="16"/>
          <w:szCs w:val="16"/>
        </w:rPr>
        <w:t>налиния</w:t>
      </w:r>
      <w:proofErr w:type="spellEnd"/>
      <w:r w:rsidRPr="007122AB">
        <w:rPr>
          <w:rFonts w:ascii="Times New Roman" w:hAnsi="Times New Roman"/>
          <w:color w:val="000000" w:themeColor="text1"/>
          <w:sz w:val="16"/>
          <w:szCs w:val="16"/>
        </w:rPr>
        <w:t xml:space="preserve"> больших мертвых пространств наблюдение за дорогой за</w:t>
      </w:r>
      <w:r w:rsidRPr="007122AB">
        <w:rPr>
          <w:rFonts w:ascii="Times New Roman" w:hAnsi="Times New Roman"/>
          <w:color w:val="000000" w:themeColor="text1"/>
          <w:sz w:val="16"/>
          <w:szCs w:val="16"/>
        </w:rPr>
        <w:softHyphen/>
        <w:t>труднительно для водителя.</w:t>
      </w:r>
    </w:p>
    <w:p w14:paraId="5DC310E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1F6B44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в/В</w:t>
      </w:r>
      <w:proofErr w:type="spellEnd"/>
      <w:r w:rsidRPr="007122AB">
        <w:rPr>
          <w:rFonts w:ascii="Times New Roman" w:hAnsi="Times New Roman"/>
          <w:color w:val="000000" w:themeColor="text1"/>
          <w:sz w:val="16"/>
          <w:szCs w:val="16"/>
        </w:rPr>
        <w:t xml:space="preserve"> машине Д-5 поверхность охлаждения радиатора взята избыточной против Кристи и поставлен более мощный вентиля</w:t>
      </w:r>
      <w:r w:rsidRPr="007122AB">
        <w:rPr>
          <w:rFonts w:ascii="Times New Roman" w:hAnsi="Times New Roman"/>
          <w:color w:val="000000" w:themeColor="text1"/>
          <w:sz w:val="16"/>
          <w:szCs w:val="16"/>
        </w:rPr>
        <w:softHyphen/>
        <w:t xml:space="preserve">тор. Однако, по мнению </w:t>
      </w:r>
      <w:proofErr w:type="spellStart"/>
      <w:r w:rsidRPr="007122AB">
        <w:rPr>
          <w:rFonts w:ascii="Times New Roman" w:hAnsi="Times New Roman"/>
          <w:color w:val="000000" w:themeColor="text1"/>
          <w:sz w:val="16"/>
          <w:szCs w:val="16"/>
        </w:rPr>
        <w:t>омиссии</w:t>
      </w:r>
      <w:proofErr w:type="spellEnd"/>
      <w:r w:rsidRPr="007122AB">
        <w:rPr>
          <w:rFonts w:ascii="Times New Roman" w:hAnsi="Times New Roman"/>
          <w:color w:val="000000" w:themeColor="text1"/>
          <w:sz w:val="16"/>
          <w:szCs w:val="16"/>
        </w:rPr>
        <w:t xml:space="preserve">, надежность охлаждения не является достаточно </w:t>
      </w:r>
      <w:proofErr w:type="spellStart"/>
      <w:r w:rsidRPr="007122AB">
        <w:rPr>
          <w:rFonts w:ascii="Times New Roman" w:hAnsi="Times New Roman"/>
          <w:color w:val="000000" w:themeColor="text1"/>
          <w:sz w:val="16"/>
          <w:szCs w:val="16"/>
        </w:rPr>
        <w:t>обезпеченной</w:t>
      </w:r>
      <w:proofErr w:type="spellEnd"/>
      <w:r w:rsidRPr="007122AB">
        <w:rPr>
          <w:rFonts w:ascii="Times New Roman" w:hAnsi="Times New Roman"/>
          <w:color w:val="000000" w:themeColor="text1"/>
          <w:sz w:val="16"/>
          <w:szCs w:val="16"/>
        </w:rPr>
        <w:t>, так как затрудненные про</w:t>
      </w:r>
      <w:r w:rsidRPr="007122AB">
        <w:rPr>
          <w:rFonts w:ascii="Times New Roman" w:hAnsi="Times New Roman"/>
          <w:color w:val="000000" w:themeColor="text1"/>
          <w:sz w:val="16"/>
          <w:szCs w:val="16"/>
        </w:rPr>
        <w:softHyphen/>
        <w:t>ходы потоков воздуха потребуют специальный мощный вентиля</w:t>
      </w:r>
      <w:r w:rsidRPr="007122AB">
        <w:rPr>
          <w:rFonts w:ascii="Times New Roman" w:hAnsi="Times New Roman"/>
          <w:color w:val="000000" w:themeColor="text1"/>
          <w:sz w:val="16"/>
          <w:szCs w:val="16"/>
        </w:rPr>
        <w:softHyphen/>
        <w:t>тор повышенным давлением, что трудно осуществимо в отве</w:t>
      </w:r>
      <w:r w:rsidRPr="007122AB">
        <w:rPr>
          <w:rFonts w:ascii="Times New Roman" w:hAnsi="Times New Roman"/>
          <w:color w:val="000000" w:themeColor="text1"/>
          <w:sz w:val="16"/>
          <w:szCs w:val="16"/>
        </w:rPr>
        <w:softHyphen/>
        <w:t>денных для него габаритах.</w:t>
      </w:r>
    </w:p>
    <w:p w14:paraId="7135AE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г/Трансмиссия, состоящая из двух коробок скоростей, име</w:t>
      </w:r>
      <w:r w:rsidRPr="007122AB">
        <w:rPr>
          <w:rFonts w:ascii="Times New Roman" w:hAnsi="Times New Roman"/>
          <w:color w:val="000000" w:themeColor="text1"/>
          <w:sz w:val="16"/>
          <w:szCs w:val="16"/>
        </w:rPr>
        <w:softHyphen/>
        <w:t>ет избыточный запас прочности в своих основных деталях, о-миссия считает эту конструкцию нецелесообразной и полага</w:t>
      </w:r>
      <w:r w:rsidRPr="007122AB">
        <w:rPr>
          <w:rFonts w:ascii="Times New Roman" w:hAnsi="Times New Roman"/>
          <w:color w:val="000000" w:themeColor="text1"/>
          <w:sz w:val="16"/>
          <w:szCs w:val="16"/>
        </w:rPr>
        <w:softHyphen/>
        <w:t>ет, что обычная конструкция коробки скоростей даст значи</w:t>
      </w:r>
      <w:r w:rsidRPr="007122AB">
        <w:rPr>
          <w:rFonts w:ascii="Times New Roman" w:hAnsi="Times New Roman"/>
          <w:color w:val="000000" w:themeColor="text1"/>
          <w:sz w:val="16"/>
          <w:szCs w:val="16"/>
        </w:rPr>
        <w:softHyphen/>
        <w:t>тельную экономию в размерах машинного отделения, а, следо</w:t>
      </w:r>
      <w:r w:rsidRPr="007122AB">
        <w:rPr>
          <w:rFonts w:ascii="Times New Roman" w:hAnsi="Times New Roman"/>
          <w:color w:val="000000" w:themeColor="text1"/>
          <w:sz w:val="16"/>
          <w:szCs w:val="16"/>
        </w:rPr>
        <w:softHyphen/>
        <w:t>вательно, и в весе танка.</w:t>
      </w:r>
    </w:p>
    <w:p w14:paraId="336EC44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д/бортовые фрикционы по своим размерам достаточны для обеспечения работы танка. Однако, конструктивное выполнение их неудачно, так как размешенные вне корпуса бортовые фрик</w:t>
      </w:r>
      <w:r w:rsidRPr="007122AB">
        <w:rPr>
          <w:rFonts w:ascii="Times New Roman" w:hAnsi="Times New Roman"/>
          <w:color w:val="000000" w:themeColor="text1"/>
          <w:sz w:val="16"/>
          <w:szCs w:val="16"/>
        </w:rPr>
        <w:softHyphen/>
        <w:t>ционы, не имеют достаточной герметизации, предохраняющей от попадания в них грязи, воды и снега, что повлечет за собой не</w:t>
      </w:r>
      <w:r w:rsidRPr="007122AB">
        <w:rPr>
          <w:rFonts w:ascii="Times New Roman" w:hAnsi="Times New Roman"/>
          <w:color w:val="000000" w:themeColor="text1"/>
          <w:sz w:val="16"/>
          <w:szCs w:val="16"/>
        </w:rPr>
        <w:softHyphen/>
        <w:t>нормальный износ их и отказ в работе...</w:t>
      </w:r>
    </w:p>
    <w:p w14:paraId="3B6CD5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е/система подвески поддерживающих колес с весьма ограни</w:t>
      </w:r>
      <w:r w:rsidRPr="007122AB">
        <w:rPr>
          <w:rFonts w:ascii="Times New Roman" w:hAnsi="Times New Roman"/>
          <w:color w:val="000000" w:themeColor="text1"/>
          <w:sz w:val="16"/>
          <w:szCs w:val="16"/>
        </w:rPr>
        <w:softHyphen/>
        <w:t>ченным ходом их вниз не приемлема, вследствие ненадежности работы ее на пересеченной местности.</w:t>
      </w:r>
    </w:p>
    <w:p w14:paraId="593FA7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ж/конструкция механизмов для подводного хождения нуж</w:t>
      </w:r>
      <w:r w:rsidRPr="007122AB">
        <w:rPr>
          <w:rFonts w:ascii="Times New Roman" w:hAnsi="Times New Roman"/>
          <w:color w:val="000000" w:themeColor="text1"/>
          <w:sz w:val="16"/>
          <w:szCs w:val="16"/>
        </w:rPr>
        <w:softHyphen/>
        <w:t>дается во всесторонней проверке.</w:t>
      </w:r>
    </w:p>
    <w:p w14:paraId="7A1B83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На основании вышеизложенных соображений Комиссия считает танк Д-5 экспериментальной машиной для проверки работы железно-дорожного и гусеничного хода, который моет быть использован для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-броне-вагонов и мощных танков и подводной проходимости. Танк не может служить образцом для серийного производства...» (10733,117).</w:t>
      </w:r>
    </w:p>
    <w:p w14:paraId="0C7E64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9F59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ноября 1931 г. комиссия предъявила отчет, в котором, в частности, говорилось:</w:t>
      </w:r>
    </w:p>
    <w:p w14:paraId="2FAFC77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w:t>
      </w:r>
      <w:proofErr w:type="spellStart"/>
      <w:r w:rsidRPr="007122AB">
        <w:rPr>
          <w:rFonts w:ascii="Times New Roman" w:hAnsi="Times New Roman"/>
          <w:color w:val="000000" w:themeColor="text1"/>
          <w:sz w:val="16"/>
          <w:szCs w:val="16"/>
        </w:rPr>
        <w:t>пом</w:t>
      </w:r>
      <w:proofErr w:type="spellEnd"/>
      <w:r w:rsidRPr="007122AB">
        <w:rPr>
          <w:rFonts w:ascii="Times New Roman" w:hAnsi="Times New Roman"/>
          <w:color w:val="000000" w:themeColor="text1"/>
          <w:sz w:val="16"/>
          <w:szCs w:val="16"/>
        </w:rPr>
        <w:t xml:space="preserve"> начальника КБ № 3 ОРПО, т СИМСКОГО – Нач. ГКБ Завода Большевик, т. ТОСКИНА – Нач. Т2 ГХПЗ, организованная согласно приказания Зам. 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05834A9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Конструкция </w:t>
      </w:r>
      <w:hyperlink r:id="rId19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Д-4 имеющего колесный, гусеничный и </w:t>
      </w:r>
      <w:proofErr w:type="spellStart"/>
      <w:r w:rsidRPr="007122AB">
        <w:rPr>
          <w:rFonts w:ascii="Times New Roman" w:hAnsi="Times New Roman"/>
          <w:color w:val="000000" w:themeColor="text1"/>
          <w:sz w:val="16"/>
          <w:szCs w:val="16"/>
        </w:rPr>
        <w:t>жел.дор</w:t>
      </w:r>
      <w:proofErr w:type="spellEnd"/>
      <w:r w:rsidRPr="007122AB">
        <w:rPr>
          <w:rFonts w:ascii="Times New Roman" w:hAnsi="Times New Roman"/>
          <w:color w:val="000000" w:themeColor="text1"/>
          <w:sz w:val="16"/>
          <w:szCs w:val="16"/>
        </w:rPr>
        <w:t>.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18D1451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Комиссия констатирует, что тов. ДЫРЕНКОВ с заданием по конструированию </w:t>
      </w:r>
      <w:hyperlink r:id="rId19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Д-4 не справился и был вынужден на основе своей конструкции Д-4 приступить к разработке и постройке нового </w:t>
      </w:r>
      <w:hyperlink r:id="rId19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Д-5 с мотором М-17 мощностью 500 л.с. В конструкции оставлены: гусеничный и железно-дорожный ход и подводная проходимость. Автомобильный колесный ход, </w:t>
      </w:r>
      <w:proofErr w:type="spellStart"/>
      <w:r w:rsidRPr="007122AB">
        <w:rPr>
          <w:rFonts w:ascii="Times New Roman" w:hAnsi="Times New Roman"/>
          <w:color w:val="000000" w:themeColor="text1"/>
          <w:sz w:val="16"/>
          <w:szCs w:val="16"/>
        </w:rPr>
        <w:t>запроэктированный</w:t>
      </w:r>
      <w:proofErr w:type="spellEnd"/>
      <w:r w:rsidRPr="007122AB">
        <w:rPr>
          <w:rFonts w:ascii="Times New Roman" w:hAnsi="Times New Roman"/>
          <w:color w:val="000000" w:themeColor="text1"/>
          <w:sz w:val="16"/>
          <w:szCs w:val="16"/>
        </w:rPr>
        <w:t xml:space="preserve"> для машины в 12 тонн, снят за невозможностью его выполнения для машины Д-5 весом 25 тонн.</w:t>
      </w:r>
    </w:p>
    <w:p w14:paraId="2F54731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3. Конструкция </w:t>
      </w:r>
      <w:hyperlink r:id="rId19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Д-5, предусматривающая изжитие дефектов и конструктивных неполадок, выявленных т. ДЫРЕНКОВЫМ во время работы с </w:t>
      </w:r>
      <w:hyperlink r:id="rId19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ом Д-4, имеет, по мнению комиссии, следующие крупные недостатки:</w:t>
      </w:r>
    </w:p>
    <w:p w14:paraId="55CF731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127E6B35"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16E398C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34692A4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w:t>
      </w:r>
      <w:hyperlink r:id="rId20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w:t>
      </w:r>
    </w:p>
    <w:p w14:paraId="418744F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 бортовые фрикционы по своим размерам достаточны для обеспечения работы </w:t>
      </w:r>
      <w:hyperlink r:id="rId20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7D6DEF3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7D7F7E0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ж) конструкция механизмов для подводного хождения нуждается во всесторонней проверке.</w:t>
      </w:r>
    </w:p>
    <w:p w14:paraId="1F13ADD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На основании вышеизложенных соображений Комиссия считает </w:t>
      </w:r>
      <w:hyperlink r:id="rId20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Д-5 экспериментальной машиной для проверки работы железно-дорожного и гусеничного хода, который моет быть использован для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 xml:space="preserve">-броне-вагонов и мощных </w:t>
      </w:r>
      <w:hyperlink r:id="rId20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 и подводной проходимости. Танк не может служить образцом для серийного производства…».</w:t>
      </w:r>
    </w:p>
    <w:p w14:paraId="5100C0F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Д-5, запланированные в 1932 г., были отменены, а сам </w:t>
      </w:r>
      <w:hyperlink r:id="rId20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больше не рассматривался для принятия на вооружение.</w:t>
      </w:r>
    </w:p>
    <w:p w14:paraId="24F8600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ТАКТИКО-ТЕХНИЧЕСКИЕ ХАРАКТЕРИСТИКИ КОЛЕСНО-ГУСЕНИЧНЫХ ТАНКОВ</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1246"/>
        <w:gridCol w:w="679"/>
        <w:gridCol w:w="1925"/>
        <w:gridCol w:w="3736"/>
        <w:gridCol w:w="3736"/>
      </w:tblGrid>
      <w:tr w:rsidR="001002C3" w:rsidRPr="007122AB" w14:paraId="4A88D370" w14:textId="77777777" w:rsidTr="00360440">
        <w:trPr>
          <w:tblCellSpacing w:w="0" w:type="dxa"/>
        </w:trPr>
        <w:tc>
          <w:tcPr>
            <w:tcW w:w="1700" w:type="pct"/>
            <w:gridSpan w:val="3"/>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7880C1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Тип </w:t>
            </w:r>
            <w:hyperlink r:id="rId20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w:t>
            </w:r>
          </w:p>
        </w:tc>
        <w:tc>
          <w:tcPr>
            <w:tcW w:w="16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4570C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Т-25</w:t>
            </w:r>
          </w:p>
        </w:tc>
        <w:tc>
          <w:tcPr>
            <w:tcW w:w="16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28045DA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Д-4</w:t>
            </w:r>
          </w:p>
        </w:tc>
      </w:tr>
      <w:tr w:rsidR="001002C3" w:rsidRPr="007122AB" w14:paraId="3264AAA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E24436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Боевая масса, кг</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039DC5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около 3000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6C607D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12000 (проектная)</w:t>
            </w:r>
          </w:p>
          <w:p w14:paraId="0627729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21000 (фактическая)</w:t>
            </w:r>
          </w:p>
        </w:tc>
      </w:tr>
      <w:tr w:rsidR="001002C3" w:rsidRPr="007122AB" w14:paraId="7C144EE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F3BCA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чел.</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39959C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D157AC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r>
      <w:tr w:rsidR="001002C3" w:rsidRPr="007122AB" w14:paraId="260615B5"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223E49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Габаритные размеры, мм</w:t>
            </w:r>
          </w:p>
        </w:tc>
      </w:tr>
      <w:tr w:rsidR="001002C3" w:rsidRPr="007122AB" w14:paraId="714DA011"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7B7CD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715E3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638EFA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≈7800 </w:t>
            </w:r>
          </w:p>
        </w:tc>
      </w:tr>
      <w:tr w:rsidR="001002C3" w:rsidRPr="007122AB" w14:paraId="7D9780AF"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A02AF4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0BF20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50638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C066D2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2700</w:t>
            </w:r>
          </w:p>
        </w:tc>
      </w:tr>
      <w:tr w:rsidR="001002C3" w:rsidRPr="007122AB" w14:paraId="5C335A61"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3830A6E5"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D7F79A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колёсах</w:t>
            </w:r>
          </w:p>
        </w:tc>
        <w:tc>
          <w:tcPr>
            <w:tcW w:w="0" w:type="auto"/>
            <w:vMerge/>
            <w:tcBorders>
              <w:top w:val="nil"/>
              <w:left w:val="single" w:sz="6" w:space="0" w:color="BDBDBD"/>
              <w:bottom w:val="single" w:sz="6" w:space="0" w:color="BDBDBD"/>
              <w:right w:val="nil"/>
            </w:tcBorders>
            <w:shd w:val="clear" w:color="auto" w:fill="FFFFFF"/>
            <w:hideMark/>
          </w:tcPr>
          <w:p w14:paraId="5E69F88B"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270CB4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≈2350</w:t>
            </w:r>
          </w:p>
        </w:tc>
      </w:tr>
      <w:tr w:rsidR="001002C3" w:rsidRPr="007122AB" w14:paraId="7806B0B5"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1F112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E2F8A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96A5B4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1750*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3BFA85"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≈2600</w:t>
            </w:r>
          </w:p>
        </w:tc>
      </w:tr>
      <w:tr w:rsidR="001002C3" w:rsidRPr="007122AB" w14:paraId="67670713"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33B5FB47"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759F7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колёсах</w:t>
            </w:r>
          </w:p>
        </w:tc>
        <w:tc>
          <w:tcPr>
            <w:tcW w:w="0" w:type="auto"/>
            <w:vMerge/>
            <w:tcBorders>
              <w:top w:val="nil"/>
              <w:left w:val="single" w:sz="6" w:space="0" w:color="BDBDBD"/>
              <w:bottom w:val="single" w:sz="6" w:space="0" w:color="BDBDBD"/>
              <w:right w:val="nil"/>
            </w:tcBorders>
            <w:shd w:val="clear" w:color="auto" w:fill="FFFFFF"/>
            <w:hideMark/>
          </w:tcPr>
          <w:p w14:paraId="2672AB49"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821E55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≈2300</w:t>
            </w:r>
          </w:p>
        </w:tc>
      </w:tr>
      <w:tr w:rsidR="001002C3" w:rsidRPr="007122AB" w14:paraId="07B5DDAD"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875C0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Клиренс</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E1BF7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C7A690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650" w:type="pct"/>
            <w:vMerge w:val="restar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1C31F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4B78545C"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6705DC82"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E95CF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колёсах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9F4AB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240</w:t>
            </w:r>
          </w:p>
        </w:tc>
        <w:tc>
          <w:tcPr>
            <w:tcW w:w="0" w:type="auto"/>
            <w:vMerge/>
            <w:tcBorders>
              <w:top w:val="nil"/>
              <w:left w:val="single" w:sz="6" w:space="0" w:color="BDBDBD"/>
              <w:bottom w:val="single" w:sz="6" w:space="0" w:color="BDBDBD"/>
              <w:right w:val="single" w:sz="6" w:space="0" w:color="BDBDBD"/>
            </w:tcBorders>
            <w:shd w:val="clear" w:color="auto" w:fill="FFFFFF"/>
            <w:vAlign w:val="center"/>
            <w:hideMark/>
          </w:tcPr>
          <w:p w14:paraId="77030F8C"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r>
      <w:tr w:rsidR="001002C3" w:rsidRPr="007122AB" w14:paraId="2E3CE6F1"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4939D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r>
      <w:tr w:rsidR="001002C3" w:rsidRPr="007122AB" w14:paraId="698552D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746C5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 мм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6E0A3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89F4E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х 45 обр. 1925/30 гг.</w:t>
            </w:r>
          </w:p>
        </w:tc>
      </w:tr>
      <w:tr w:rsidR="001002C3" w:rsidRPr="007122AB" w14:paraId="65355E4A"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C7741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Пулеметы, мм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0BD97D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х 7,62 ДТ</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4769B6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х 7,62 ДТ</w:t>
            </w:r>
          </w:p>
        </w:tc>
      </w:tr>
      <w:tr w:rsidR="001002C3" w:rsidRPr="007122AB" w14:paraId="04BE0FB9"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B6F37D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Боекомплект</w:t>
            </w:r>
          </w:p>
        </w:tc>
      </w:tr>
      <w:tr w:rsidR="001002C3" w:rsidRPr="007122AB" w14:paraId="33315EEC"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A6DCCC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Пушки</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156AED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7E23D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180C4F2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13549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Пулеметы</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8A0B19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(2142)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C9E96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228E28B2"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B44E46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Приборы прицеливания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CFC2D5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163891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3EAB7468"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2BBEE2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Бронирование, мм</w:t>
            </w:r>
          </w:p>
        </w:tc>
      </w:tr>
      <w:tr w:rsidR="001002C3" w:rsidRPr="007122AB" w14:paraId="303936ED"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9D7C6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Лоб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EB9F485"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EE69D9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1002C3" w:rsidRPr="007122AB" w14:paraId="2990CBA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FCDFF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Борт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929C81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2EE431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r>
      <w:tr w:rsidR="001002C3" w:rsidRPr="007122AB" w14:paraId="6B98F3C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2E1C10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Корма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B5F61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4AEA91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r>
      <w:tr w:rsidR="001002C3" w:rsidRPr="007122AB" w14:paraId="3B9D0BCB"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CCE3D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Башня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4DCB7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840AB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[8 — корма башни]</w:t>
            </w:r>
          </w:p>
        </w:tc>
      </w:tr>
      <w:tr w:rsidR="001002C3" w:rsidRPr="007122AB" w14:paraId="199AB7F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DA3AC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Крыша </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90D711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3B8F4F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2C48EAFD"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9071E5"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Днище</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6E3F0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73B08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334F424A"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46BB6C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Силовая установка</w:t>
            </w:r>
          </w:p>
        </w:tc>
      </w:tr>
      <w:tr w:rsidR="001002C3" w:rsidRPr="007122AB" w14:paraId="32F6D97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2AED67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двигателя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676FC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карбюраторный, 2-цилинровый (6-цилиндровый бензиновый двигатель воздушного охлаждения Д-25-70)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338BEA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4-цилиндровый бензиновый </w:t>
            </w:r>
            <w:proofErr w:type="spellStart"/>
            <w:r w:rsidRPr="007122AB">
              <w:rPr>
                <w:rFonts w:ascii="Times New Roman" w:hAnsi="Times New Roman"/>
                <w:color w:val="000000" w:themeColor="text1"/>
                <w:sz w:val="16"/>
                <w:szCs w:val="16"/>
              </w:rPr>
              <w:t>Hercules</w:t>
            </w:r>
            <w:proofErr w:type="spellEnd"/>
          </w:p>
        </w:tc>
      </w:tr>
      <w:tr w:rsidR="001002C3" w:rsidRPr="007122AB" w14:paraId="3DF81960"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01556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л.с.</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536D3B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 (70)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66131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w:t>
            </w:r>
          </w:p>
        </w:tc>
      </w:tr>
      <w:tr w:rsidR="001002C3" w:rsidRPr="007122AB" w14:paraId="6619860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F2498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 мощность, л.с.</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FC593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 (70)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9F8BA8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w:t>
            </w:r>
          </w:p>
        </w:tc>
      </w:tr>
      <w:tr w:rsidR="001002C3" w:rsidRPr="007122AB" w14:paraId="7DE5B40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C373CA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Трансмиссия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E1E3CB6" w14:textId="77777777" w:rsidR="00C54992" w:rsidRPr="007122AB" w:rsidRDefault="00C54992"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механическаяс</w:t>
            </w:r>
            <w:proofErr w:type="spellEnd"/>
            <w:r w:rsidRPr="007122AB">
              <w:rPr>
                <w:rFonts w:ascii="Times New Roman" w:hAnsi="Times New Roman"/>
                <w:color w:val="000000" w:themeColor="text1"/>
                <w:sz w:val="16"/>
                <w:szCs w:val="16"/>
              </w:rPr>
              <w:t xml:space="preserve"> 5-скоростной КПП [4+1]</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90C09E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механическая с 4-скоростной КПП [3+1]</w:t>
            </w:r>
          </w:p>
        </w:tc>
      </w:tr>
      <w:tr w:rsidR="001002C3" w:rsidRPr="007122AB" w14:paraId="3032FA89"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038055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Ходовая часть</w:t>
            </w:r>
          </w:p>
        </w:tc>
      </w:tr>
      <w:tr w:rsidR="001002C3" w:rsidRPr="007122AB" w14:paraId="215C13D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EC2185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Гусеничная часть</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2C686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опорных катка диаметром 880 мм, переднее направляющее колесо</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AEAE2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сдвоенных опорных катка</w:t>
            </w:r>
          </w:p>
        </w:tc>
      </w:tr>
      <w:tr w:rsidR="001002C3" w:rsidRPr="007122AB" w14:paraId="2D81AD32"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71FAB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Колесная часть</w:t>
            </w:r>
          </w:p>
        </w:tc>
        <w:tc>
          <w:tcPr>
            <w:tcW w:w="0" w:type="auto"/>
            <w:vMerge/>
            <w:tcBorders>
              <w:top w:val="nil"/>
              <w:left w:val="single" w:sz="6" w:space="0" w:color="BDBDBD"/>
              <w:bottom w:val="single" w:sz="6" w:space="0" w:color="BDBDBD"/>
              <w:right w:val="nil"/>
            </w:tcBorders>
            <w:shd w:val="clear" w:color="auto" w:fill="FFFFFF"/>
            <w:hideMark/>
          </w:tcPr>
          <w:p w14:paraId="03AD2A7C"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5439A4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переднее направляющее и заднее ведущее колесо</w:t>
            </w:r>
          </w:p>
        </w:tc>
      </w:tr>
      <w:tr w:rsidR="001002C3" w:rsidRPr="007122AB" w14:paraId="7DC36ACB"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DE1B1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км/ч</w:t>
            </w:r>
          </w:p>
        </w:tc>
      </w:tr>
      <w:tr w:rsidR="001002C3" w:rsidRPr="007122AB" w14:paraId="7A5C2823"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CE4FB9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7947D7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 (52)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69EEFA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r>
      <w:tr w:rsidR="001002C3" w:rsidRPr="007122AB" w14:paraId="676C334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7CC47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колесах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891B7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 (75)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BEF53B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15C1BF64"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CF81EC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Запас хода, км</w:t>
            </w:r>
          </w:p>
        </w:tc>
      </w:tr>
      <w:tr w:rsidR="001002C3" w:rsidRPr="007122AB" w14:paraId="6DE46D5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4D825E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333398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32E0B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33A43D6C"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4311F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колесах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B154B0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AEB659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14EBC932"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ED538A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Преодолеваемые препятствия</w:t>
            </w:r>
          </w:p>
        </w:tc>
      </w:tr>
      <w:tr w:rsidR="001002C3" w:rsidRPr="007122AB" w14:paraId="7E58498F" w14:textId="77777777" w:rsidTr="00360440">
        <w:trPr>
          <w:tblCellSpacing w:w="0" w:type="dxa"/>
        </w:trPr>
        <w:tc>
          <w:tcPr>
            <w:tcW w:w="850" w:type="pct"/>
            <w:gridSpan w:val="2"/>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924B2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подъема, град</w:t>
            </w:r>
          </w:p>
        </w:tc>
        <w:tc>
          <w:tcPr>
            <w:tcW w:w="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5A9FD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EB1DDA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892446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r w:rsidR="001002C3" w:rsidRPr="007122AB" w14:paraId="2A7F2814" w14:textId="77777777" w:rsidTr="00360440">
        <w:trPr>
          <w:tblCellSpacing w:w="0" w:type="dxa"/>
        </w:trPr>
        <w:tc>
          <w:tcPr>
            <w:tcW w:w="0" w:type="auto"/>
            <w:gridSpan w:val="2"/>
            <w:vMerge/>
            <w:tcBorders>
              <w:top w:val="nil"/>
              <w:left w:val="single" w:sz="6" w:space="0" w:color="BDBDBD"/>
              <w:bottom w:val="single" w:sz="6" w:space="0" w:color="BDBDBD"/>
              <w:right w:val="nil"/>
            </w:tcBorders>
            <w:shd w:val="clear" w:color="auto" w:fill="FFFFFF"/>
            <w:hideMark/>
          </w:tcPr>
          <w:p w14:paraId="1C0B0117" w14:textId="77777777" w:rsidR="00C54992" w:rsidRPr="007122AB" w:rsidRDefault="00C54992" w:rsidP="007122AB">
            <w:pPr>
              <w:spacing w:after="0" w:line="240" w:lineRule="auto"/>
              <w:jc w:val="both"/>
              <w:rPr>
                <w:rFonts w:ascii="Times New Roman" w:hAnsi="Times New Roman"/>
                <w:color w:val="000000" w:themeColor="text1"/>
                <w:sz w:val="16"/>
                <w:szCs w:val="16"/>
              </w:rPr>
            </w:pPr>
          </w:p>
        </w:tc>
        <w:tc>
          <w:tcPr>
            <w:tcW w:w="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D3598D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колёсах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36110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13822F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p w14:paraId="61A24D5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7D6E9BF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31622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Высота стенки,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08F58A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49848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w:t>
            </w:r>
          </w:p>
        </w:tc>
      </w:tr>
      <w:tr w:rsidR="001002C3" w:rsidRPr="007122AB" w14:paraId="522EF8D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7623A0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рва,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E5A178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144A9B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w:t>
            </w:r>
          </w:p>
        </w:tc>
      </w:tr>
      <w:tr w:rsidR="001002C3" w:rsidRPr="007122AB" w14:paraId="7DDC1990"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0D2E8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Глубина брода,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BE52B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77614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н/д</w:t>
            </w:r>
          </w:p>
        </w:tc>
      </w:tr>
    </w:tbl>
    <w:p w14:paraId="7FCDA6A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(15618).</w:t>
      </w:r>
    </w:p>
    <w:p w14:paraId="0F7FC39E" w14:textId="77777777" w:rsidR="00C54992" w:rsidRPr="007122AB" w:rsidRDefault="00C54992" w:rsidP="007122AB">
      <w:pPr>
        <w:spacing w:after="0" w:line="240" w:lineRule="auto"/>
        <w:jc w:val="both"/>
        <w:rPr>
          <w:rFonts w:ascii="Times New Roman" w:hAnsi="Times New Roman"/>
          <w:color w:val="000000" w:themeColor="text1"/>
          <w:sz w:val="16"/>
          <w:szCs w:val="16"/>
        </w:rPr>
      </w:pPr>
    </w:p>
    <w:p w14:paraId="5193587E"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ноября 1931 г. руководству ХПЗ с препроводительным письмом № 710с были направлены выводы, сделанные Комиссией Военно-морской инспекции Центральной контрольной комиссии (ВМИ ЦКК) ВКП(б) НКРКИ СССР по результатам проведенного обследования. В заключительной части этого документа заводоуправлению под личную ответственность директора ХПЗ Л.С. Владимирова предлагалось провести в жизнь ряд мероприятий, среди которых было и такое:</w:t>
      </w:r>
    </w:p>
    <w:p w14:paraId="1CB6C5AC"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виду острой необходимости перехода мощных танков с авиационного типа моторов на дизельный, предложить ХПЗ немедленно приступить к разработке проекта легкого дизеля, могущего быть использованным для среднего танка, а также и для тракторов».</w:t>
      </w:r>
    </w:p>
    <w:p w14:paraId="2ACA208B"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этом же документе Комиссией предлагалось проработать к 1 января 1932 г. по линии ВСНХ СССР вопрос о возможности перехода еще в 1932 г. средних танков "БТ" с авиационного типа мотора на дизельный.</w:t>
      </w:r>
    </w:p>
    <w:p w14:paraId="274F2BCC"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Отметим, что острая необходимость перехода мощных танков с авиационного типа моторов на дизельный была вызвана тем, что программа по выпуску танков БТ в 1932 г. не была обеспечена двигателями. Авиационный двигатель М-5 (аналог американского двигателя «Либерти»), в СССР был снят с производства как устаревший, а двигателей М-17, которые УММ РККА предложило устанавливать в танки БТ в 1932 г., не хватало даже для нужд авиации. Учитывая, что на тот момент на ХПЗ имелся дизельный отдел, располагавший большим опытом в производстве стационарных и судовых дизелей, и имевший собственное конструкторское бюро, предложение Комиссии ВМИ о разработке на ХПЗ танкового дизеля было вполне оправданным (24856).</w:t>
      </w:r>
    </w:p>
    <w:p w14:paraId="234FE689" w14:textId="77777777" w:rsidR="001C4D6B" w:rsidRPr="00441F34" w:rsidRDefault="001C4D6B" w:rsidP="001C4D6B">
      <w:pPr>
        <w:spacing w:after="0" w:line="240" w:lineRule="auto"/>
        <w:jc w:val="both"/>
        <w:rPr>
          <w:rFonts w:ascii="Times New Roman" w:hAnsi="Times New Roman"/>
          <w:color w:val="0070C0"/>
          <w:sz w:val="16"/>
          <w:szCs w:val="16"/>
        </w:rPr>
      </w:pPr>
    </w:p>
    <w:p w14:paraId="3380419E" w14:textId="77777777" w:rsidR="00C54992" w:rsidRPr="007122AB" w:rsidRDefault="00C54992"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Жизнь и внутре</w:t>
      </w:r>
      <w:r w:rsidR="00357876" w:rsidRPr="007122AB">
        <w:rPr>
          <w:rFonts w:ascii="Times New Roman" w:hAnsi="Times New Roman"/>
          <w:i/>
          <w:iCs/>
          <w:color w:val="000000" w:themeColor="text1"/>
          <w:sz w:val="16"/>
          <w:szCs w:val="16"/>
        </w:rPr>
        <w:t>н</w:t>
      </w:r>
      <w:r w:rsidRPr="007122AB">
        <w:rPr>
          <w:rFonts w:ascii="Times New Roman" w:hAnsi="Times New Roman"/>
          <w:i/>
          <w:iCs/>
          <w:color w:val="000000" w:themeColor="text1"/>
          <w:sz w:val="16"/>
          <w:szCs w:val="16"/>
        </w:rPr>
        <w:t>няя политика:</w:t>
      </w:r>
    </w:p>
    <w:p w14:paraId="5A620D3C" w14:textId="77777777" w:rsidR="00C54992" w:rsidRPr="007122AB" w:rsidRDefault="00C54992"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7EA291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ноября 1931 новообразованный трест (в будущем получившего название « Дальстрой») получил « на образование основного капитала» 20 млн. рублей с целью немедленно развернуть интенсивные работы по освоению района (9043).</w:t>
      </w:r>
    </w:p>
    <w:p w14:paraId="3DB60D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2A6AB2" w14:textId="77777777" w:rsidR="00357876" w:rsidRPr="007122AB" w:rsidRDefault="0035787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ноября 1931. Служащий МГК ВКП(б) А. Г. Соловьев записывает: "Большие трудности с продовольствием. В магазинах ничего нет. </w:t>
      </w:r>
      <w:proofErr w:type="spellStart"/>
      <w:r w:rsidRPr="007122AB">
        <w:rPr>
          <w:rFonts w:ascii="Times New Roman" w:hAnsi="Times New Roman"/>
          <w:color w:val="000000" w:themeColor="text1"/>
          <w:sz w:val="16"/>
          <w:szCs w:val="16"/>
        </w:rPr>
        <w:t>Продкарточки</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промкарточки</w:t>
      </w:r>
      <w:proofErr w:type="spellEnd"/>
      <w:r w:rsidRPr="007122AB">
        <w:rPr>
          <w:rFonts w:ascii="Times New Roman" w:hAnsi="Times New Roman"/>
          <w:color w:val="000000" w:themeColor="text1"/>
          <w:sz w:val="16"/>
          <w:szCs w:val="16"/>
        </w:rPr>
        <w:t xml:space="preserve"> не отовариваются. Базары замерли. Колоссальные очереди в ожидании, что-нибудь появится. Городской транспорт - трамвай совсем перестал работать. Вагоны на улицах стоят без движения. Ходим пешком. Везде опоздания на работу. Население настроено мрачно" (18724).</w:t>
      </w:r>
    </w:p>
    <w:p w14:paraId="524BE8F5" w14:textId="77777777" w:rsidR="00357876" w:rsidRPr="007122AB" w:rsidRDefault="00357876" w:rsidP="007122AB">
      <w:pPr>
        <w:spacing w:after="0" w:line="240" w:lineRule="auto"/>
        <w:jc w:val="both"/>
        <w:rPr>
          <w:rFonts w:ascii="Times New Roman" w:hAnsi="Times New Roman"/>
          <w:color w:val="000000" w:themeColor="text1"/>
          <w:sz w:val="16"/>
          <w:szCs w:val="16"/>
        </w:rPr>
      </w:pPr>
    </w:p>
    <w:p w14:paraId="4534E4F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941533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2148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ноября 1931 специальным постановлением ЦК ВКП(б) было создано АВИАВНИТО (553,156).</w:t>
      </w:r>
    </w:p>
    <w:p w14:paraId="69F0F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808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ноября 1931 г. вышло постановление «Об организации научных инженерно-технических обществ (НИТО)» Всесоюзным авиационным научным инженерно-техническим обществом </w:t>
      </w:r>
      <w:proofErr w:type="spellStart"/>
      <w:r w:rsidRPr="007122AB">
        <w:rPr>
          <w:rFonts w:ascii="Times New Roman" w:hAnsi="Times New Roman"/>
          <w:color w:val="000000" w:themeColor="text1"/>
          <w:sz w:val="16"/>
          <w:szCs w:val="16"/>
        </w:rPr>
        <w:t>Авиавнито</w:t>
      </w:r>
      <w:proofErr w:type="spellEnd"/>
      <w:r w:rsidRPr="007122AB">
        <w:rPr>
          <w:rFonts w:ascii="Times New Roman" w:hAnsi="Times New Roman"/>
          <w:color w:val="000000" w:themeColor="text1"/>
          <w:sz w:val="16"/>
          <w:szCs w:val="16"/>
        </w:rPr>
        <w:t xml:space="preserve"> (сокращенно — АНИТО). В MAИ АНИТО, которое возглавили Н. С. </w:t>
      </w:r>
      <w:proofErr w:type="spellStart"/>
      <w:r w:rsidRPr="007122AB">
        <w:rPr>
          <w:rFonts w:ascii="Times New Roman" w:hAnsi="Times New Roman"/>
          <w:color w:val="000000" w:themeColor="text1"/>
          <w:sz w:val="16"/>
          <w:szCs w:val="16"/>
        </w:rPr>
        <w:t>Аржаников</w:t>
      </w:r>
      <w:proofErr w:type="spellEnd"/>
      <w:r w:rsidRPr="007122AB">
        <w:rPr>
          <w:rFonts w:ascii="Times New Roman" w:hAnsi="Times New Roman"/>
          <w:color w:val="000000" w:themeColor="text1"/>
          <w:sz w:val="16"/>
          <w:szCs w:val="16"/>
        </w:rPr>
        <w:t xml:space="preserve"> и Н. Л. Ган (заместитель — студент А. Агарков), оказало большое влияние на развитие проектно-конструкторской работы студентов. АНИТО-МАИ вошло в состав Всесоюзного авиационного научного инженерно-технического общества, председателем которого был П. И. Баранов. С 1931 по 1933 гг. заместителем П. И. Баранова в </w:t>
      </w:r>
      <w:proofErr w:type="spellStart"/>
      <w:r w:rsidRPr="007122AB">
        <w:rPr>
          <w:rFonts w:ascii="Times New Roman" w:hAnsi="Times New Roman"/>
          <w:color w:val="000000" w:themeColor="text1"/>
          <w:sz w:val="16"/>
          <w:szCs w:val="16"/>
        </w:rPr>
        <w:t>Авиавнито</w:t>
      </w:r>
      <w:proofErr w:type="spellEnd"/>
      <w:r w:rsidRPr="007122AB">
        <w:rPr>
          <w:rFonts w:ascii="Times New Roman" w:hAnsi="Times New Roman"/>
          <w:color w:val="000000" w:themeColor="text1"/>
          <w:sz w:val="16"/>
          <w:szCs w:val="16"/>
        </w:rPr>
        <w:t xml:space="preserve"> был Н. С. </w:t>
      </w:r>
      <w:proofErr w:type="spellStart"/>
      <w:r w:rsidRPr="007122AB">
        <w:rPr>
          <w:rFonts w:ascii="Times New Roman" w:hAnsi="Times New Roman"/>
          <w:color w:val="000000" w:themeColor="text1"/>
          <w:sz w:val="16"/>
          <w:szCs w:val="16"/>
        </w:rPr>
        <w:t>Аржаников</w:t>
      </w:r>
      <w:proofErr w:type="spellEnd"/>
      <w:r w:rsidRPr="007122AB">
        <w:rPr>
          <w:rFonts w:ascii="Times New Roman" w:hAnsi="Times New Roman"/>
          <w:color w:val="000000" w:themeColor="text1"/>
          <w:sz w:val="16"/>
          <w:szCs w:val="16"/>
        </w:rPr>
        <w:t xml:space="preserve">, с сентября 1933 г. президиум общества возглавил И. С. </w:t>
      </w:r>
      <w:proofErr w:type="spellStart"/>
      <w:r w:rsidRPr="007122AB">
        <w:rPr>
          <w:rFonts w:ascii="Times New Roman" w:hAnsi="Times New Roman"/>
          <w:color w:val="000000" w:themeColor="text1"/>
          <w:sz w:val="16"/>
          <w:szCs w:val="16"/>
        </w:rPr>
        <w:t>Уншлихт</w:t>
      </w:r>
      <w:proofErr w:type="spellEnd"/>
      <w:r w:rsidRPr="007122AB">
        <w:rPr>
          <w:rFonts w:ascii="Times New Roman" w:hAnsi="Times New Roman"/>
          <w:color w:val="000000" w:themeColor="text1"/>
          <w:sz w:val="16"/>
          <w:szCs w:val="16"/>
        </w:rPr>
        <w:t>. АНИТО занималось научно-технической пропагандой и популяризацией авиационной науки и техники, оказывало помощь в проектно-</w:t>
      </w:r>
      <w:proofErr w:type="spellStart"/>
      <w:r w:rsidRPr="007122AB">
        <w:rPr>
          <w:rFonts w:ascii="Times New Roman" w:hAnsi="Times New Roman"/>
          <w:color w:val="000000" w:themeColor="text1"/>
          <w:sz w:val="16"/>
          <w:szCs w:val="16"/>
        </w:rPr>
        <w:t>конст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рукторских</w:t>
      </w:r>
      <w:proofErr w:type="spellEnd"/>
      <w:r w:rsidRPr="007122AB">
        <w:rPr>
          <w:rFonts w:ascii="Times New Roman" w:hAnsi="Times New Roman"/>
          <w:color w:val="000000" w:themeColor="text1"/>
          <w:sz w:val="16"/>
          <w:szCs w:val="16"/>
        </w:rPr>
        <w:t xml:space="preserve"> работах. Активисты АНИТО читали лекции в МАИ, в подшефных школах и ФЗУ. В АНИТО-МАИ имелась глиссерная бригада по проектированию и строительству </w:t>
      </w:r>
      <w:proofErr w:type="spellStart"/>
      <w:r w:rsidRPr="007122AB">
        <w:rPr>
          <w:rFonts w:ascii="Times New Roman" w:hAnsi="Times New Roman"/>
          <w:color w:val="000000" w:themeColor="text1"/>
          <w:sz w:val="16"/>
          <w:szCs w:val="16"/>
        </w:rPr>
        <w:t>аэроглиссеров</w:t>
      </w:r>
      <w:proofErr w:type="spellEnd"/>
      <w:r w:rsidRPr="007122AB">
        <w:rPr>
          <w:rFonts w:ascii="Times New Roman" w:hAnsi="Times New Roman"/>
          <w:color w:val="000000" w:themeColor="text1"/>
          <w:sz w:val="16"/>
          <w:szCs w:val="16"/>
        </w:rPr>
        <w:t>, в бригаде было несколько групп (12075).</w:t>
      </w:r>
    </w:p>
    <w:p w14:paraId="4A136B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12222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ноября 1931 г. постановлением «Об организации научных инженерно-технических обществ (НИТО)» было создано Всесоюзное авиационное научно-инженерно-техническое общество </w:t>
      </w:r>
      <w:proofErr w:type="spellStart"/>
      <w:r w:rsidRPr="007122AB">
        <w:rPr>
          <w:rFonts w:ascii="Times New Roman" w:hAnsi="Times New Roman"/>
          <w:color w:val="000000" w:themeColor="text1"/>
          <w:sz w:val="16"/>
          <w:szCs w:val="16"/>
        </w:rPr>
        <w:t>Авиавнито</w:t>
      </w:r>
      <w:proofErr w:type="spellEnd"/>
      <w:r w:rsidRPr="007122AB">
        <w:rPr>
          <w:rFonts w:ascii="Times New Roman" w:hAnsi="Times New Roman"/>
          <w:color w:val="000000" w:themeColor="text1"/>
          <w:sz w:val="16"/>
          <w:szCs w:val="16"/>
        </w:rPr>
        <w:t xml:space="preserve"> (сокращенно — АНИТО). Председателем АНИТО был П. И. Баранов. С 1931 по 1933 гг. заместителем П. И. Баранова в </w:t>
      </w:r>
      <w:proofErr w:type="spellStart"/>
      <w:r w:rsidRPr="007122AB">
        <w:rPr>
          <w:rFonts w:ascii="Times New Roman" w:hAnsi="Times New Roman"/>
          <w:color w:val="000000" w:themeColor="text1"/>
          <w:sz w:val="16"/>
          <w:szCs w:val="16"/>
        </w:rPr>
        <w:t>Авиавнито</w:t>
      </w:r>
      <w:proofErr w:type="spellEnd"/>
      <w:r w:rsidRPr="007122AB">
        <w:rPr>
          <w:rFonts w:ascii="Times New Roman" w:hAnsi="Times New Roman"/>
          <w:color w:val="000000" w:themeColor="text1"/>
          <w:sz w:val="16"/>
          <w:szCs w:val="16"/>
        </w:rPr>
        <w:t xml:space="preserve"> был Н. С. </w:t>
      </w:r>
      <w:proofErr w:type="spellStart"/>
      <w:r w:rsidRPr="007122AB">
        <w:rPr>
          <w:rFonts w:ascii="Times New Roman" w:hAnsi="Times New Roman"/>
          <w:color w:val="000000" w:themeColor="text1"/>
          <w:sz w:val="16"/>
          <w:szCs w:val="16"/>
        </w:rPr>
        <w:t>Аржаников</w:t>
      </w:r>
      <w:proofErr w:type="spellEnd"/>
      <w:r w:rsidRPr="007122AB">
        <w:rPr>
          <w:rFonts w:ascii="Times New Roman" w:hAnsi="Times New Roman"/>
          <w:color w:val="000000" w:themeColor="text1"/>
          <w:sz w:val="16"/>
          <w:szCs w:val="16"/>
        </w:rPr>
        <w:t xml:space="preserve">, с сентября 1933 г. президиум общества возглавил И. С. </w:t>
      </w:r>
      <w:proofErr w:type="spellStart"/>
      <w:r w:rsidRPr="007122AB">
        <w:rPr>
          <w:rFonts w:ascii="Times New Roman" w:hAnsi="Times New Roman"/>
          <w:color w:val="000000" w:themeColor="text1"/>
          <w:sz w:val="16"/>
          <w:szCs w:val="16"/>
        </w:rPr>
        <w:t>Уншлихт</w:t>
      </w:r>
      <w:proofErr w:type="spellEnd"/>
      <w:r w:rsidRPr="007122AB">
        <w:rPr>
          <w:rFonts w:ascii="Times New Roman" w:hAnsi="Times New Roman"/>
          <w:color w:val="000000" w:themeColor="text1"/>
          <w:sz w:val="16"/>
          <w:szCs w:val="16"/>
        </w:rPr>
        <w:t>. АНИТО занималось научно-технической пропагандой и популяризацией авиационной науки и техники, оказывало помощь в проектно-</w:t>
      </w:r>
      <w:proofErr w:type="spellStart"/>
      <w:r w:rsidRPr="007122AB">
        <w:rPr>
          <w:rFonts w:ascii="Times New Roman" w:hAnsi="Times New Roman"/>
          <w:color w:val="000000" w:themeColor="text1"/>
          <w:sz w:val="16"/>
          <w:szCs w:val="16"/>
        </w:rPr>
        <w:t>конст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рукторских</w:t>
      </w:r>
      <w:proofErr w:type="spellEnd"/>
      <w:r w:rsidRPr="007122AB">
        <w:rPr>
          <w:rFonts w:ascii="Times New Roman" w:hAnsi="Times New Roman"/>
          <w:color w:val="000000" w:themeColor="text1"/>
          <w:sz w:val="16"/>
          <w:szCs w:val="16"/>
        </w:rPr>
        <w:t xml:space="preserve"> работах (15730).</w:t>
      </w:r>
    </w:p>
    <w:p w14:paraId="60B4AD12" w14:textId="77777777" w:rsidR="00C54992" w:rsidRPr="007122AB" w:rsidRDefault="00C54992" w:rsidP="007122AB">
      <w:pPr>
        <w:spacing w:after="0" w:line="240" w:lineRule="auto"/>
        <w:jc w:val="both"/>
        <w:rPr>
          <w:rFonts w:ascii="Times New Roman" w:hAnsi="Times New Roman"/>
          <w:color w:val="000000" w:themeColor="text1"/>
          <w:sz w:val="16"/>
          <w:szCs w:val="16"/>
        </w:rPr>
      </w:pPr>
    </w:p>
    <w:p w14:paraId="494EA523" w14:textId="77777777" w:rsidR="00B26A86" w:rsidRPr="007122AB" w:rsidRDefault="00B26A86"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922195D" w14:textId="77777777" w:rsidR="00B26A86" w:rsidRPr="007122AB" w:rsidRDefault="00B26A8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75C8C3B" w14:textId="77777777" w:rsidR="00B26A86" w:rsidRPr="007122AB" w:rsidRDefault="00B26A8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ноября 1931 г. Сталин совершенно неожиданно позвонил начальнику УММ РККА И.А. </w:t>
      </w:r>
      <w:proofErr w:type="spellStart"/>
      <w:r w:rsidRPr="007122AB">
        <w:rPr>
          <w:rFonts w:ascii="Times New Roman" w:hAnsi="Times New Roman"/>
          <w:color w:val="000000" w:themeColor="text1"/>
          <w:sz w:val="16"/>
          <w:szCs w:val="16"/>
        </w:rPr>
        <w:t>Халепскому</w:t>
      </w:r>
      <w:proofErr w:type="spellEnd"/>
      <w:r w:rsidRPr="007122AB">
        <w:rPr>
          <w:rFonts w:ascii="Times New Roman" w:hAnsi="Times New Roman"/>
          <w:color w:val="000000" w:themeColor="text1"/>
          <w:sz w:val="16"/>
          <w:szCs w:val="16"/>
        </w:rPr>
        <w:t xml:space="preserve">, находившемуся в больнице из-за обострения язвы, и в жестком тоне потребовал объяснений по поводу его отказа от покупки плавающего танка Кристи во время нахождения в США закупочной комиссии. Не на шутку взволновавшийся </w:t>
      </w:r>
      <w:proofErr w:type="spellStart"/>
      <w:r w:rsidRPr="007122AB">
        <w:rPr>
          <w:rFonts w:ascii="Times New Roman" w:hAnsi="Times New Roman"/>
          <w:color w:val="000000" w:themeColor="text1"/>
          <w:sz w:val="16"/>
          <w:szCs w:val="16"/>
        </w:rPr>
        <w:t>Халепский</w:t>
      </w:r>
      <w:proofErr w:type="spellEnd"/>
      <w:r w:rsidRPr="007122AB">
        <w:rPr>
          <w:rFonts w:ascii="Times New Roman" w:hAnsi="Times New Roman"/>
          <w:color w:val="000000" w:themeColor="text1"/>
          <w:sz w:val="16"/>
          <w:szCs w:val="16"/>
        </w:rPr>
        <w:t xml:space="preserve"> немедленно направил Сталину подробнейшее письмо, в котором уверял, что в действительности такого танка у Кристи никогда не было, существовал лишь макет (РГВА. Ф. 31811. Оп. 2. Д. 55. Л. 1.). </w:t>
      </w:r>
    </w:p>
    <w:p w14:paraId="147CA793" w14:textId="77777777" w:rsidR="00B26A86" w:rsidRPr="007122AB" w:rsidRDefault="00B26A86" w:rsidP="007122AB">
      <w:pPr>
        <w:spacing w:after="0" w:line="240" w:lineRule="auto"/>
        <w:jc w:val="both"/>
        <w:rPr>
          <w:rFonts w:ascii="Times New Roman" w:hAnsi="Times New Roman"/>
          <w:color w:val="000000" w:themeColor="text1"/>
          <w:sz w:val="16"/>
          <w:szCs w:val="16"/>
        </w:rPr>
      </w:pPr>
    </w:p>
    <w:p w14:paraId="0E607E4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6D860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60D16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ноября 1931 вышел новый приказ N 229 по ЦКБ в ЦАГИ. Во изменение п. 3 приказа N 174 от 25 сентября 1931, прибывший из ВАО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назначается заместителем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и Начальником ЦКБ, </w:t>
      </w:r>
      <w:proofErr w:type="spellStart"/>
      <w:r w:rsidRPr="007122AB">
        <w:rPr>
          <w:rFonts w:ascii="Times New Roman" w:hAnsi="Times New Roman"/>
          <w:color w:val="000000" w:themeColor="text1"/>
          <w:sz w:val="16"/>
          <w:szCs w:val="16"/>
        </w:rPr>
        <w:t>А.Н.Рафаэлянц</w:t>
      </w:r>
      <w:proofErr w:type="spellEnd"/>
      <w:r w:rsidRPr="007122AB">
        <w:rPr>
          <w:rFonts w:ascii="Times New Roman" w:hAnsi="Times New Roman"/>
          <w:color w:val="000000" w:themeColor="text1"/>
          <w:sz w:val="16"/>
          <w:szCs w:val="16"/>
        </w:rPr>
        <w:t xml:space="preserve"> - с 25 сентября 1931 числится в отпуске, а </w:t>
      </w:r>
      <w:proofErr w:type="spellStart"/>
      <w:r w:rsidRPr="007122AB">
        <w:rPr>
          <w:rFonts w:ascii="Times New Roman" w:hAnsi="Times New Roman"/>
          <w:color w:val="000000" w:themeColor="text1"/>
          <w:sz w:val="16"/>
          <w:szCs w:val="16"/>
        </w:rPr>
        <w:t>А.Н.Туполев</w:t>
      </w:r>
      <w:proofErr w:type="spellEnd"/>
      <w:r w:rsidRPr="007122AB">
        <w:rPr>
          <w:rFonts w:ascii="Times New Roman" w:hAnsi="Times New Roman"/>
          <w:color w:val="000000" w:themeColor="text1"/>
          <w:sz w:val="16"/>
          <w:szCs w:val="16"/>
        </w:rPr>
        <w:t xml:space="preserve"> назначается Зам. начальника ЦКБ (61,128).</w:t>
      </w:r>
    </w:p>
    <w:p w14:paraId="4F2E0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Оценка ЦКБ самого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"Считаю, что благодаря слиянию двух опытных самолетных организаций, наличные конструкторские силы и производственные возможности ЦАГИ вполне обеспечивают успешное и своевременное решение задач, поставленных правительством в области опытного строительства самолетов, вооружения и внедрения их в серию. С целью создания более гибкой и четкой организации, способной быстро разрешить поставленные задачи, начальнику ЦКБ тов. </w:t>
      </w:r>
      <w:proofErr w:type="spellStart"/>
      <w:r w:rsidRPr="007122AB">
        <w:rPr>
          <w:rFonts w:ascii="Times New Roman" w:hAnsi="Times New Roman"/>
          <w:color w:val="000000" w:themeColor="text1"/>
          <w:sz w:val="16"/>
          <w:szCs w:val="16"/>
        </w:rPr>
        <w:t>С.В.Ильюшину</w:t>
      </w:r>
      <w:proofErr w:type="spellEnd"/>
      <w:r w:rsidRPr="007122AB">
        <w:rPr>
          <w:rFonts w:ascii="Times New Roman" w:hAnsi="Times New Roman"/>
          <w:color w:val="000000" w:themeColor="text1"/>
          <w:sz w:val="16"/>
          <w:szCs w:val="16"/>
        </w:rPr>
        <w:t xml:space="preserve"> предлагаю пересмотреть существующую схему организации ЦКБ и завода и свои соображения представить мне в 3 </w:t>
      </w:r>
      <w:proofErr w:type="spellStart"/>
      <w:r w:rsidRPr="007122AB">
        <w:rPr>
          <w:rFonts w:ascii="Times New Roman" w:hAnsi="Times New Roman"/>
          <w:color w:val="000000" w:themeColor="text1"/>
          <w:sz w:val="16"/>
          <w:szCs w:val="16"/>
        </w:rPr>
        <w:t>дневный</w:t>
      </w:r>
      <w:proofErr w:type="spellEnd"/>
      <w:r w:rsidRPr="007122AB">
        <w:rPr>
          <w:rFonts w:ascii="Times New Roman" w:hAnsi="Times New Roman"/>
          <w:color w:val="000000" w:themeColor="text1"/>
          <w:sz w:val="16"/>
          <w:szCs w:val="16"/>
        </w:rPr>
        <w:t xml:space="preserve"> срок (61,128).</w:t>
      </w:r>
    </w:p>
    <w:p w14:paraId="33086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Осенью 1931 г., когда в ЦКБ пришел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штат ЦКБ составлял 500 чел. специалистов (92,408). Создание самолетов велось централизовано, при этом каждый отдел или бригада выполняли определенную часть работы по нескольким самолетам (24,52).</w:t>
      </w:r>
    </w:p>
    <w:p w14:paraId="6499D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Тут Пономарев подчеркивает, что А.Н.Т. был </w:t>
      </w:r>
      <w:proofErr w:type="spellStart"/>
      <w:r w:rsidRPr="007122AB">
        <w:rPr>
          <w:rFonts w:ascii="Times New Roman" w:hAnsi="Times New Roman"/>
          <w:color w:val="000000" w:themeColor="text1"/>
          <w:sz w:val="16"/>
          <w:szCs w:val="16"/>
        </w:rPr>
        <w:t>дурачек</w:t>
      </w:r>
      <w:proofErr w:type="spellEnd"/>
      <w:r w:rsidRPr="007122AB">
        <w:rPr>
          <w:rFonts w:ascii="Times New Roman" w:hAnsi="Times New Roman"/>
          <w:color w:val="000000" w:themeColor="text1"/>
          <w:sz w:val="16"/>
          <w:szCs w:val="16"/>
        </w:rPr>
        <w:t xml:space="preserve"> и понадобился С.В.И., чтобы сделать комплексные бригады. Ни одна из книг не говорит прямо о дружеских отношениях с </w:t>
      </w:r>
      <w:proofErr w:type="spellStart"/>
      <w:r w:rsidRPr="007122AB">
        <w:rPr>
          <w:rFonts w:ascii="Times New Roman" w:hAnsi="Times New Roman"/>
          <w:color w:val="000000" w:themeColor="text1"/>
          <w:sz w:val="16"/>
          <w:szCs w:val="16"/>
        </w:rPr>
        <w:t>А.Н.Туполевым</w:t>
      </w:r>
      <w:proofErr w:type="spellEnd"/>
      <w:r w:rsidRPr="007122AB">
        <w:rPr>
          <w:rFonts w:ascii="Times New Roman" w:hAnsi="Times New Roman"/>
          <w:color w:val="000000" w:themeColor="text1"/>
          <w:sz w:val="16"/>
          <w:szCs w:val="16"/>
        </w:rPr>
        <w:t xml:space="preserve">, который был зам.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Явно с </w:t>
      </w:r>
      <w:proofErr w:type="spellStart"/>
      <w:r w:rsidRPr="007122AB">
        <w:rPr>
          <w:rFonts w:ascii="Times New Roman" w:hAnsi="Times New Roman"/>
          <w:color w:val="000000" w:themeColor="text1"/>
          <w:sz w:val="16"/>
          <w:szCs w:val="16"/>
        </w:rPr>
        <w:t>А.Н.Туполевым</w:t>
      </w:r>
      <w:proofErr w:type="spellEnd"/>
      <w:r w:rsidRPr="007122AB">
        <w:rPr>
          <w:rFonts w:ascii="Times New Roman" w:hAnsi="Times New Roman"/>
          <w:color w:val="000000" w:themeColor="text1"/>
          <w:sz w:val="16"/>
          <w:szCs w:val="16"/>
        </w:rPr>
        <w:t xml:space="preserve"> дружить было трудно, да и роль его потом в качестве </w:t>
      </w:r>
      <w:proofErr w:type="spellStart"/>
      <w:r w:rsidRPr="007122AB">
        <w:rPr>
          <w:rFonts w:ascii="Times New Roman" w:hAnsi="Times New Roman"/>
          <w:color w:val="000000" w:themeColor="text1"/>
          <w:sz w:val="16"/>
          <w:szCs w:val="16"/>
        </w:rPr>
        <w:t>помошника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М.М.Кагановича</w:t>
      </w:r>
      <w:proofErr w:type="spellEnd"/>
      <w:r w:rsidRPr="007122AB">
        <w:rPr>
          <w:rFonts w:ascii="Times New Roman" w:hAnsi="Times New Roman"/>
          <w:color w:val="000000" w:themeColor="text1"/>
          <w:sz w:val="16"/>
          <w:szCs w:val="16"/>
        </w:rPr>
        <w:t xml:space="preserve">, например в отношении К.А.К., пожалуй не лучше, чем у </w:t>
      </w:r>
      <w:proofErr w:type="spellStart"/>
      <w:r w:rsidRPr="007122AB">
        <w:rPr>
          <w:rFonts w:ascii="Times New Roman" w:hAnsi="Times New Roman"/>
          <w:color w:val="000000" w:themeColor="text1"/>
          <w:sz w:val="16"/>
          <w:szCs w:val="16"/>
        </w:rPr>
        <w:t>А.С.Яковлева</w:t>
      </w:r>
      <w:proofErr w:type="spellEnd"/>
      <w:r w:rsidRPr="007122AB">
        <w:rPr>
          <w:rFonts w:ascii="Times New Roman" w:hAnsi="Times New Roman"/>
          <w:color w:val="000000" w:themeColor="text1"/>
          <w:sz w:val="16"/>
          <w:szCs w:val="16"/>
        </w:rPr>
        <w:t xml:space="preserve"> в дальнейшем.</w:t>
      </w:r>
    </w:p>
    <w:p w14:paraId="7BE9F1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Пономарев считает, что </w:t>
      </w: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видел в </w:t>
      </w:r>
      <w:proofErr w:type="spellStart"/>
      <w:r w:rsidRPr="007122AB">
        <w:rPr>
          <w:rFonts w:ascii="Times New Roman" w:hAnsi="Times New Roman"/>
          <w:color w:val="000000" w:themeColor="text1"/>
          <w:sz w:val="16"/>
          <w:szCs w:val="16"/>
        </w:rPr>
        <w:t>Н.Н.Поликарпове</w:t>
      </w:r>
      <w:proofErr w:type="spellEnd"/>
      <w:r w:rsidRPr="007122AB">
        <w:rPr>
          <w:rFonts w:ascii="Times New Roman" w:hAnsi="Times New Roman"/>
          <w:color w:val="000000" w:themeColor="text1"/>
          <w:sz w:val="16"/>
          <w:szCs w:val="16"/>
        </w:rPr>
        <w:t xml:space="preserve"> своего ближайшего </w:t>
      </w:r>
      <w:proofErr w:type="spellStart"/>
      <w:r w:rsidRPr="007122AB">
        <w:rPr>
          <w:rFonts w:ascii="Times New Roman" w:hAnsi="Times New Roman"/>
          <w:color w:val="000000" w:themeColor="text1"/>
          <w:sz w:val="16"/>
          <w:szCs w:val="16"/>
        </w:rPr>
        <w:t>помошника</w:t>
      </w:r>
      <w:proofErr w:type="spellEnd"/>
      <w:r w:rsidRPr="007122AB">
        <w:rPr>
          <w:rFonts w:ascii="Times New Roman" w:hAnsi="Times New Roman"/>
          <w:color w:val="000000" w:themeColor="text1"/>
          <w:sz w:val="16"/>
          <w:szCs w:val="16"/>
        </w:rPr>
        <w:t xml:space="preserve"> и единомышленника в конструкторских, организационных и хозяйственных делах (24,62). Они познакомились во время работы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в НТК. Отношения были дружескими (24,62).</w:t>
      </w:r>
    </w:p>
    <w:p w14:paraId="58F5AF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Возможно это правда, некоторые считали, что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xml:space="preserve"> был благодарен </w:t>
      </w:r>
      <w:proofErr w:type="spellStart"/>
      <w:r w:rsidRPr="007122AB">
        <w:rPr>
          <w:rFonts w:ascii="Times New Roman" w:hAnsi="Times New Roman"/>
          <w:color w:val="000000" w:themeColor="text1"/>
          <w:sz w:val="16"/>
          <w:szCs w:val="16"/>
        </w:rPr>
        <w:t>С.В.Ильюшину</w:t>
      </w:r>
      <w:proofErr w:type="spellEnd"/>
      <w:r w:rsidRPr="007122AB">
        <w:rPr>
          <w:rFonts w:ascii="Times New Roman" w:hAnsi="Times New Roman"/>
          <w:color w:val="000000" w:themeColor="text1"/>
          <w:sz w:val="16"/>
          <w:szCs w:val="16"/>
        </w:rPr>
        <w:t xml:space="preserve"> за участие и прежде всего в борьбе против </w:t>
      </w:r>
      <w:proofErr w:type="spellStart"/>
      <w:r w:rsidRPr="007122AB">
        <w:rPr>
          <w:rFonts w:ascii="Times New Roman" w:hAnsi="Times New Roman"/>
          <w:color w:val="000000" w:themeColor="text1"/>
          <w:sz w:val="16"/>
          <w:szCs w:val="16"/>
        </w:rPr>
        <w:t>А.Н.Туполева</w:t>
      </w:r>
      <w:proofErr w:type="spellEnd"/>
      <w:r w:rsidRPr="007122AB">
        <w:rPr>
          <w:rFonts w:ascii="Times New Roman" w:hAnsi="Times New Roman"/>
          <w:color w:val="000000" w:themeColor="text1"/>
          <w:sz w:val="16"/>
          <w:szCs w:val="16"/>
        </w:rPr>
        <w:t xml:space="preserve"> (Маслов).</w:t>
      </w:r>
    </w:p>
    <w:p w14:paraId="646763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ЦКБ было более 10 специализированных по операциям бригад (24,53) - отделов. Эскизные проекты делались в отделе общих видов, и далее они рассматривались и утверждались Техсоветом ЦКБ. Чертежи разрабатывались конструкторским отделом. Параллельно работали группы, бригады, отделы аэродинамики, прочности, подготовки производства, </w:t>
      </w:r>
      <w:proofErr w:type="spellStart"/>
      <w:r w:rsidRPr="007122AB">
        <w:rPr>
          <w:rFonts w:ascii="Times New Roman" w:hAnsi="Times New Roman"/>
          <w:color w:val="000000" w:themeColor="text1"/>
          <w:sz w:val="16"/>
          <w:szCs w:val="16"/>
        </w:rPr>
        <w:t>статиспытаний</w:t>
      </w:r>
      <w:proofErr w:type="spellEnd"/>
      <w:r w:rsidRPr="007122AB">
        <w:rPr>
          <w:rFonts w:ascii="Times New Roman" w:hAnsi="Times New Roman"/>
          <w:color w:val="000000" w:themeColor="text1"/>
          <w:sz w:val="16"/>
          <w:szCs w:val="16"/>
        </w:rPr>
        <w:t xml:space="preserve"> и др.</w:t>
      </w:r>
    </w:p>
    <w:p w14:paraId="6D599A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потребовал организационной перестройки ЦКБ, отказа от методики централизованного проектирования и перехода к созданию специализированных сквозных бригад.</w:t>
      </w:r>
    </w:p>
    <w:p w14:paraId="219760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всяком случае представляется целесообразным дать эти бригады в том виде, как их дает В.Б.Ш.:</w:t>
      </w:r>
    </w:p>
    <w:p w14:paraId="47641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истребителям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w:t>
      </w:r>
    </w:p>
    <w:p w14:paraId="65313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штурмовикам (</w:t>
      </w:r>
      <w:proofErr w:type="spellStart"/>
      <w:r w:rsidRPr="007122AB">
        <w:rPr>
          <w:rFonts w:ascii="Times New Roman" w:hAnsi="Times New Roman"/>
          <w:color w:val="000000" w:themeColor="text1"/>
          <w:sz w:val="16"/>
          <w:szCs w:val="16"/>
        </w:rPr>
        <w:t>С.А.Кочеригин</w:t>
      </w:r>
      <w:proofErr w:type="spellEnd"/>
      <w:r w:rsidRPr="007122AB">
        <w:rPr>
          <w:rFonts w:ascii="Times New Roman" w:hAnsi="Times New Roman"/>
          <w:color w:val="000000" w:themeColor="text1"/>
          <w:sz w:val="16"/>
          <w:szCs w:val="16"/>
        </w:rPr>
        <w:t>);</w:t>
      </w:r>
    </w:p>
    <w:p w14:paraId="2D46D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дальним бомбардировщикам (</w:t>
      </w:r>
      <w:proofErr w:type="spellStart"/>
      <w:r w:rsidRPr="007122AB">
        <w:rPr>
          <w:rFonts w:ascii="Times New Roman" w:hAnsi="Times New Roman"/>
          <w:color w:val="000000" w:themeColor="text1"/>
          <w:sz w:val="16"/>
          <w:szCs w:val="16"/>
        </w:rPr>
        <w:t>П.О.Сухой</w:t>
      </w:r>
      <w:proofErr w:type="spellEnd"/>
      <w:r w:rsidRPr="007122AB">
        <w:rPr>
          <w:rFonts w:ascii="Times New Roman" w:hAnsi="Times New Roman"/>
          <w:color w:val="000000" w:themeColor="text1"/>
          <w:sz w:val="16"/>
          <w:szCs w:val="16"/>
        </w:rPr>
        <w:t>);</w:t>
      </w:r>
    </w:p>
    <w:p w14:paraId="11FB8C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морским самолетам (</w:t>
      </w:r>
      <w:proofErr w:type="spellStart"/>
      <w:r w:rsidRPr="007122AB">
        <w:rPr>
          <w:rFonts w:ascii="Times New Roman" w:hAnsi="Times New Roman"/>
          <w:color w:val="000000" w:themeColor="text1"/>
          <w:sz w:val="16"/>
          <w:szCs w:val="16"/>
        </w:rPr>
        <w:t>И.И.Погосский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И.В.Четвериков</w:t>
      </w:r>
      <w:proofErr w:type="spellEnd"/>
      <w:r w:rsidRPr="007122AB">
        <w:rPr>
          <w:rFonts w:ascii="Times New Roman" w:hAnsi="Times New Roman"/>
          <w:color w:val="000000" w:themeColor="text1"/>
          <w:sz w:val="16"/>
          <w:szCs w:val="16"/>
        </w:rPr>
        <w:t xml:space="preserve">, позднее </w:t>
      </w:r>
      <w:proofErr w:type="spellStart"/>
      <w:r w:rsidRPr="007122AB">
        <w:rPr>
          <w:rFonts w:ascii="Times New Roman" w:hAnsi="Times New Roman"/>
          <w:color w:val="000000" w:themeColor="text1"/>
          <w:sz w:val="16"/>
          <w:szCs w:val="16"/>
        </w:rPr>
        <w:t>Г.М.Бериев</w:t>
      </w:r>
      <w:proofErr w:type="spellEnd"/>
      <w:r w:rsidRPr="007122AB">
        <w:rPr>
          <w:rFonts w:ascii="Times New Roman" w:hAnsi="Times New Roman"/>
          <w:color w:val="000000" w:themeColor="text1"/>
          <w:sz w:val="16"/>
          <w:szCs w:val="16"/>
        </w:rPr>
        <w:t>);</w:t>
      </w:r>
    </w:p>
    <w:p w14:paraId="7A5481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по винтокрылым аппаратам </w:t>
      </w:r>
      <w:proofErr w:type="spellStart"/>
      <w:r w:rsidRPr="007122AB">
        <w:rPr>
          <w:rFonts w:ascii="Times New Roman" w:hAnsi="Times New Roman"/>
          <w:color w:val="000000" w:themeColor="text1"/>
          <w:sz w:val="16"/>
          <w:szCs w:val="16"/>
        </w:rPr>
        <w:t>А.М.Изаксон</w:t>
      </w:r>
      <w:proofErr w:type="spellEnd"/>
      <w:r w:rsidRPr="007122AB">
        <w:rPr>
          <w:rFonts w:ascii="Times New Roman" w:hAnsi="Times New Roman"/>
          <w:color w:val="000000" w:themeColor="text1"/>
          <w:sz w:val="16"/>
          <w:szCs w:val="16"/>
        </w:rPr>
        <w:t>);</w:t>
      </w:r>
    </w:p>
    <w:p w14:paraId="170B9C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вооружению (</w:t>
      </w:r>
      <w:proofErr w:type="spellStart"/>
      <w:r w:rsidRPr="007122AB">
        <w:rPr>
          <w:rFonts w:ascii="Times New Roman" w:hAnsi="Times New Roman"/>
          <w:color w:val="000000" w:themeColor="text1"/>
          <w:sz w:val="16"/>
          <w:szCs w:val="16"/>
        </w:rPr>
        <w:t>А.В.Надашкевич</w:t>
      </w:r>
      <w:proofErr w:type="spellEnd"/>
      <w:r w:rsidRPr="007122AB">
        <w:rPr>
          <w:rFonts w:ascii="Times New Roman" w:hAnsi="Times New Roman"/>
          <w:color w:val="000000" w:themeColor="text1"/>
          <w:sz w:val="16"/>
          <w:szCs w:val="16"/>
        </w:rPr>
        <w:t>);</w:t>
      </w:r>
    </w:p>
    <w:p w14:paraId="33849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винтам (</w:t>
      </w:r>
      <w:proofErr w:type="spellStart"/>
      <w:r w:rsidRPr="007122AB">
        <w:rPr>
          <w:rFonts w:ascii="Times New Roman" w:hAnsi="Times New Roman"/>
          <w:color w:val="000000" w:themeColor="text1"/>
          <w:sz w:val="16"/>
          <w:szCs w:val="16"/>
        </w:rPr>
        <w:t>В.Л.Александров</w:t>
      </w:r>
      <w:proofErr w:type="spellEnd"/>
      <w:r w:rsidRPr="007122AB">
        <w:rPr>
          <w:rFonts w:ascii="Times New Roman" w:hAnsi="Times New Roman"/>
          <w:color w:val="000000" w:themeColor="text1"/>
          <w:sz w:val="16"/>
          <w:szCs w:val="16"/>
        </w:rPr>
        <w:t>);</w:t>
      </w:r>
    </w:p>
    <w:p w14:paraId="01C2C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колесам и лыжам (</w:t>
      </w:r>
      <w:proofErr w:type="spellStart"/>
      <w:r w:rsidRPr="007122AB">
        <w:rPr>
          <w:rFonts w:ascii="Times New Roman" w:hAnsi="Times New Roman"/>
          <w:color w:val="000000" w:themeColor="text1"/>
          <w:sz w:val="16"/>
          <w:szCs w:val="16"/>
        </w:rPr>
        <w:t>А.И.Машкевич</w:t>
      </w:r>
      <w:proofErr w:type="spellEnd"/>
      <w:r w:rsidRPr="007122AB">
        <w:rPr>
          <w:rFonts w:ascii="Times New Roman" w:hAnsi="Times New Roman"/>
          <w:color w:val="000000" w:themeColor="text1"/>
          <w:sz w:val="16"/>
          <w:szCs w:val="16"/>
        </w:rPr>
        <w:t>);</w:t>
      </w:r>
    </w:p>
    <w:p w14:paraId="27D824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 стандартам и нормалям (</w:t>
      </w:r>
      <w:proofErr w:type="spellStart"/>
      <w:r w:rsidRPr="007122AB">
        <w:rPr>
          <w:rFonts w:ascii="Times New Roman" w:hAnsi="Times New Roman"/>
          <w:color w:val="000000" w:themeColor="text1"/>
          <w:sz w:val="16"/>
          <w:szCs w:val="16"/>
        </w:rPr>
        <w:t>П.А.Дудукалов</w:t>
      </w:r>
      <w:proofErr w:type="spellEnd"/>
      <w:r w:rsidRPr="007122AB">
        <w:rPr>
          <w:rFonts w:ascii="Times New Roman" w:hAnsi="Times New Roman"/>
          <w:color w:val="000000" w:themeColor="text1"/>
          <w:sz w:val="16"/>
          <w:szCs w:val="16"/>
        </w:rPr>
        <w:t>).</w:t>
      </w:r>
    </w:p>
    <w:p w14:paraId="29F186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Н.Н.П. приступив в ЦКБ к разработке И-13 с М-32 - </w:t>
      </w:r>
      <w:proofErr w:type="spellStart"/>
      <w:r w:rsidRPr="007122AB">
        <w:rPr>
          <w:rFonts w:ascii="Times New Roman" w:hAnsi="Times New Roman"/>
          <w:color w:val="000000" w:themeColor="text1"/>
          <w:sz w:val="16"/>
          <w:szCs w:val="16"/>
        </w:rPr>
        <w:t>полутороплана</w:t>
      </w:r>
      <w:proofErr w:type="spellEnd"/>
      <w:r w:rsidRPr="007122AB">
        <w:rPr>
          <w:rFonts w:ascii="Times New Roman" w:hAnsi="Times New Roman"/>
          <w:color w:val="000000" w:themeColor="text1"/>
          <w:sz w:val="16"/>
          <w:szCs w:val="16"/>
        </w:rPr>
        <w:t xml:space="preserve"> смешанной конструкции - в ноябре </w:t>
      </w:r>
      <w:proofErr w:type="spellStart"/>
      <w:r w:rsidRPr="007122AB">
        <w:rPr>
          <w:rFonts w:ascii="Times New Roman" w:hAnsi="Times New Roman"/>
          <w:color w:val="000000" w:themeColor="text1"/>
          <w:sz w:val="16"/>
          <w:szCs w:val="16"/>
        </w:rPr>
        <w:t>законфликтовал</w:t>
      </w:r>
      <w:proofErr w:type="spellEnd"/>
      <w:r w:rsidRPr="007122AB">
        <w:rPr>
          <w:rFonts w:ascii="Times New Roman" w:hAnsi="Times New Roman"/>
          <w:color w:val="000000" w:themeColor="text1"/>
          <w:sz w:val="16"/>
          <w:szCs w:val="16"/>
        </w:rPr>
        <w:t xml:space="preserve"> с руководством и прежде всего А.Н.Т. "Мои расхождения с </w:t>
      </w:r>
      <w:proofErr w:type="spellStart"/>
      <w:r w:rsidRPr="007122AB">
        <w:rPr>
          <w:rFonts w:ascii="Times New Roman" w:hAnsi="Times New Roman"/>
          <w:color w:val="000000" w:themeColor="text1"/>
          <w:sz w:val="16"/>
          <w:szCs w:val="16"/>
        </w:rPr>
        <w:t>А.Н.Туполевым</w:t>
      </w:r>
      <w:proofErr w:type="spellEnd"/>
      <w:r w:rsidRPr="007122AB">
        <w:rPr>
          <w:rFonts w:ascii="Times New Roman" w:hAnsi="Times New Roman"/>
          <w:color w:val="000000" w:themeColor="text1"/>
          <w:sz w:val="16"/>
          <w:szCs w:val="16"/>
        </w:rPr>
        <w:t xml:space="preserve"> принципиальные...Жесткий контроль и безответственность". Был отстранен в ноябре 1931 - то есть при С.В.И. - и с бригады 5 перевели в инженера по проверке проектов. Сам Н.Н.П. считал - вынужденное безделье до июля 1932 (167,20). В любом случае все это утвердил С.В.И. (129,2).</w:t>
      </w:r>
    </w:p>
    <w:p w14:paraId="31B47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Пожалуй, это было до прихода С.В.И.</w:t>
      </w:r>
    </w:p>
    <w:p w14:paraId="744EE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38D71E"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20 ноября 1931 г. во изменение п. 3 приказа №174 от 25.09.31 г. выпущен новый приказ №229 по ЦКБ-ЦАГИ, которым переведенный из аппарата ВАО С.В. Ильюшин назначается заместителем начальника ЦКБ-ЦАГИ </w:t>
      </w:r>
      <w:proofErr w:type="spellStart"/>
      <w:r w:rsidRPr="00441F34">
        <w:rPr>
          <w:rFonts w:ascii="Times New Roman" w:hAnsi="Times New Roman"/>
          <w:color w:val="0070C0"/>
          <w:sz w:val="16"/>
          <w:szCs w:val="16"/>
        </w:rPr>
        <w:t>Пауфлера</w:t>
      </w:r>
      <w:proofErr w:type="spellEnd"/>
      <w:r w:rsidRPr="00441F34">
        <w:rPr>
          <w:rFonts w:ascii="Times New Roman" w:hAnsi="Times New Roman"/>
          <w:color w:val="0070C0"/>
          <w:sz w:val="16"/>
          <w:szCs w:val="16"/>
        </w:rPr>
        <w:t xml:space="preserve"> и Начальником ЦКБ, а А.Н. Туполев назначается Зам. начальника ЦКБ. Ильюшину также было поручено пересмотреть и в трехдневный срок представить свои соображения относительно дальнейшей целесообразности ведения работ в ЦКБ по </w:t>
      </w:r>
      <w:proofErr w:type="spellStart"/>
      <w:r w:rsidRPr="00441F34">
        <w:rPr>
          <w:rFonts w:ascii="Times New Roman" w:hAnsi="Times New Roman"/>
          <w:color w:val="0070C0"/>
          <w:sz w:val="16"/>
          <w:szCs w:val="16"/>
        </w:rPr>
        <w:t>постадийному</w:t>
      </w:r>
      <w:proofErr w:type="spellEnd"/>
      <w:r w:rsidRPr="00441F34">
        <w:rPr>
          <w:rFonts w:ascii="Times New Roman" w:hAnsi="Times New Roman"/>
          <w:color w:val="0070C0"/>
          <w:sz w:val="16"/>
          <w:szCs w:val="16"/>
        </w:rPr>
        <w:t xml:space="preserve"> принципу с учетом проявившихся недостатков (т.е. руководство ЦКБ-ЦАГИ и лично </w:t>
      </w:r>
      <w:proofErr w:type="spellStart"/>
      <w:r w:rsidRPr="00441F34">
        <w:rPr>
          <w:rFonts w:ascii="Times New Roman" w:hAnsi="Times New Roman"/>
          <w:color w:val="0070C0"/>
          <w:sz w:val="16"/>
          <w:szCs w:val="16"/>
        </w:rPr>
        <w:t>Пауфлер</w:t>
      </w:r>
      <w:proofErr w:type="spellEnd"/>
      <w:r w:rsidRPr="00441F34">
        <w:rPr>
          <w:rFonts w:ascii="Times New Roman" w:hAnsi="Times New Roman"/>
          <w:color w:val="0070C0"/>
          <w:sz w:val="16"/>
          <w:szCs w:val="16"/>
        </w:rPr>
        <w:t xml:space="preserve"> их видели). Это было Ильюшиным сделано, однако много позже – только в 1933 г.</w:t>
      </w:r>
    </w:p>
    <w:p w14:paraId="38A19CB9"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Сергей Владимирович Ильюшин – пролетарского происхождения, член ВКП(б) с большим стажем, окончил Военно-воздушную академию им. Жуковского в мае 1926 г., имел большой опыт службы в военной авиации на должностях от рядовых до штабных.</w:t>
      </w:r>
    </w:p>
    <w:p w14:paraId="2B0644BE"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 имея пока достаточного опыта самостоятельной конструкторской работы и будучи занят административными делами, на первых порах он совершенно не вмешивался в техническую политику, проводимую руководителями бригад ЦКБ, как и </w:t>
      </w:r>
      <w:proofErr w:type="spellStart"/>
      <w:r w:rsidRPr="00441F34">
        <w:rPr>
          <w:rFonts w:ascii="Times New Roman" w:hAnsi="Times New Roman"/>
          <w:color w:val="0070C0"/>
          <w:sz w:val="16"/>
          <w:szCs w:val="16"/>
        </w:rPr>
        <w:t>Пацфлер</w:t>
      </w:r>
      <w:proofErr w:type="spellEnd"/>
      <w:r w:rsidRPr="00441F34">
        <w:rPr>
          <w:rFonts w:ascii="Times New Roman" w:hAnsi="Times New Roman"/>
          <w:color w:val="0070C0"/>
          <w:sz w:val="16"/>
          <w:szCs w:val="16"/>
        </w:rPr>
        <w:t>, предоставляя им все возможности для самостоятельного предложения разработки новых проектов. Однако Ильюшин, имея уже инженерное авиационное образование и (в отличие ото всех начальников бригад) опыт службы в строевых частях авиации и действующее пилотское удостоверение, начал постепенно вникать во все этапы работ с целью накопления необходимого для самостоятельной конструкторской деятельности опыта.</w:t>
      </w:r>
    </w:p>
    <w:p w14:paraId="2A87F734"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своем становлении как конструктора С.В. Ильюшин опирался на помощь Н.Н. Поликарпова, с которым у него установились хорошие деловые и личные дружеские отношения. В то же время Ильюшин не использовал для помощи Поликарпову свои связи в ВАО и общем руководстве промышленностью, когда в 1932 г. после разногласий с ЦАГИ по вопросу о проектировании скоростного истребителя-моноплана того сняли с должности руководителя бригады, которой этот проект был поручен – см. ниже.</w:t>
      </w:r>
    </w:p>
    <w:p w14:paraId="3D2358FD"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плане повышения своей личной инженерной квалификации Ильюшин также поддерживал постоянные контакты с ЦАГИ через его начальника Харламова, и с НИИ ВВС РККА (в то время формально эта организация еще именовалась НОА – Научно-опытный аэродром).</w:t>
      </w:r>
    </w:p>
    <w:p w14:paraId="1019A63F"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Отношения же руководства ЦКБ, включая Ильюшина и Поликарпова, с руководством ЦАГИ и АГОС / КОСОС и лично с Туполевым и Сухим оставались сложными – по сути, нормальный деловой контакт так и не был установлен в силу разногласий по техническим вопросам. Не было и личных дружеских отношений, что могло бы помочь в работе, как это было в случае с Ильюшиным и Поликарповым (23559).</w:t>
      </w:r>
    </w:p>
    <w:p w14:paraId="430B8B8A" w14:textId="77777777" w:rsidR="001C4D6B" w:rsidRPr="00441F34" w:rsidRDefault="001C4D6B" w:rsidP="001C4D6B">
      <w:pPr>
        <w:spacing w:after="0" w:line="240" w:lineRule="auto"/>
        <w:jc w:val="both"/>
        <w:rPr>
          <w:rFonts w:ascii="Times New Roman" w:hAnsi="Times New Roman"/>
          <w:color w:val="0070C0"/>
          <w:sz w:val="16"/>
          <w:szCs w:val="16"/>
        </w:rPr>
      </w:pPr>
    </w:p>
    <w:p w14:paraId="129272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1931 года закончились предварительные испытания самолета ТБ3 4 Кертис-</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по 600 НР - тяжелый бомбардировщик, опытный экземпляр, постройки ЦАГИ с целью выявления основных летных данных самолета и его эксплуатационных свойств для суждения о допущении к серийной постройке, которые проходили с 20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72989686" w14:textId="77777777">
        <w:tc>
          <w:tcPr>
            <w:tcW w:w="5636" w:type="dxa"/>
          </w:tcPr>
          <w:p w14:paraId="174BA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дней испытания</w:t>
            </w:r>
          </w:p>
        </w:tc>
        <w:tc>
          <w:tcPr>
            <w:tcW w:w="5636" w:type="dxa"/>
          </w:tcPr>
          <w:p w14:paraId="4D272A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 дня</w:t>
            </w:r>
          </w:p>
        </w:tc>
      </w:tr>
      <w:tr w:rsidR="001002C3" w:rsidRPr="007122AB" w14:paraId="78F8FF03" w14:textId="77777777">
        <w:tc>
          <w:tcPr>
            <w:tcW w:w="5636" w:type="dxa"/>
          </w:tcPr>
          <w:p w14:paraId="62D386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полетов</w:t>
            </w:r>
          </w:p>
        </w:tc>
        <w:tc>
          <w:tcPr>
            <w:tcW w:w="5636" w:type="dxa"/>
          </w:tcPr>
          <w:p w14:paraId="67CB2F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1002C3" w:rsidRPr="007122AB" w14:paraId="1669171A" w14:textId="77777777">
        <w:tc>
          <w:tcPr>
            <w:tcW w:w="5636" w:type="dxa"/>
          </w:tcPr>
          <w:p w14:paraId="035C1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Полетных дней </w:t>
            </w:r>
          </w:p>
        </w:tc>
        <w:tc>
          <w:tcPr>
            <w:tcW w:w="5636" w:type="dxa"/>
          </w:tcPr>
          <w:p w14:paraId="7EF84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r>
      <w:tr w:rsidR="001002C3" w:rsidRPr="007122AB" w14:paraId="482E2C7F" w14:textId="77777777">
        <w:tc>
          <w:tcPr>
            <w:tcW w:w="5636" w:type="dxa"/>
          </w:tcPr>
          <w:p w14:paraId="58A80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Устранение неисправностей</w:t>
            </w:r>
          </w:p>
        </w:tc>
        <w:tc>
          <w:tcPr>
            <w:tcW w:w="5636" w:type="dxa"/>
          </w:tcPr>
          <w:p w14:paraId="4272C6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57</w:t>
            </w:r>
          </w:p>
        </w:tc>
      </w:tr>
      <w:tr w:rsidR="001002C3" w:rsidRPr="007122AB" w14:paraId="32FB4FB0" w14:textId="77777777">
        <w:tc>
          <w:tcPr>
            <w:tcW w:w="5636" w:type="dxa"/>
          </w:tcPr>
          <w:p w14:paraId="2E6DEA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лыж</w:t>
            </w:r>
          </w:p>
        </w:tc>
        <w:tc>
          <w:tcPr>
            <w:tcW w:w="5636" w:type="dxa"/>
          </w:tcPr>
          <w:p w14:paraId="49CF5B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1002C3" w:rsidRPr="007122AB" w14:paraId="2D8438A4" w14:textId="77777777">
        <w:tc>
          <w:tcPr>
            <w:tcW w:w="5636" w:type="dxa"/>
          </w:tcPr>
          <w:p w14:paraId="6E2CD3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Нелетных дней</w:t>
            </w:r>
          </w:p>
        </w:tc>
        <w:tc>
          <w:tcPr>
            <w:tcW w:w="5636" w:type="dxa"/>
          </w:tcPr>
          <w:p w14:paraId="48C44B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(3214)</w:t>
            </w:r>
          </w:p>
        </w:tc>
      </w:tr>
    </w:tbl>
    <w:p w14:paraId="447DA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w:t>
      </w:r>
    </w:p>
    <w:p w14:paraId="24CCB0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Считать, что самолет ТБ3 4 Кертис </w:t>
      </w:r>
      <w:proofErr w:type="spellStart"/>
      <w:r w:rsidRPr="007122AB">
        <w:rPr>
          <w:rFonts w:ascii="Times New Roman" w:hAnsi="Times New Roman"/>
          <w:color w:val="000000" w:themeColor="text1"/>
          <w:sz w:val="16"/>
          <w:szCs w:val="16"/>
        </w:rPr>
        <w:t>Конкверор</w:t>
      </w:r>
      <w:proofErr w:type="spellEnd"/>
      <w:r w:rsidRPr="007122AB">
        <w:rPr>
          <w:rFonts w:ascii="Times New Roman" w:hAnsi="Times New Roman"/>
          <w:color w:val="000000" w:themeColor="text1"/>
          <w:sz w:val="16"/>
          <w:szCs w:val="16"/>
        </w:rPr>
        <w:t xml:space="preserve"> является по своим летным данным вполне современным тяжелым бомбардировщиком, стоящим на уровне лучших заграничных самолетов.</w:t>
      </w:r>
    </w:p>
    <w:p w14:paraId="5BAC02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Считать необходимым пустить самолет в серийную постройку с заменой импортных моторов </w:t>
      </w:r>
      <w:proofErr w:type="spellStart"/>
      <w:r w:rsidRPr="007122AB">
        <w:rPr>
          <w:rFonts w:ascii="Times New Roman" w:hAnsi="Times New Roman"/>
          <w:color w:val="000000" w:themeColor="text1"/>
          <w:sz w:val="16"/>
          <w:szCs w:val="16"/>
        </w:rPr>
        <w:t>Керти-Конкверор</w:t>
      </w:r>
      <w:proofErr w:type="spellEnd"/>
      <w:r w:rsidRPr="007122AB">
        <w:rPr>
          <w:rFonts w:ascii="Times New Roman" w:hAnsi="Times New Roman"/>
          <w:color w:val="000000" w:themeColor="text1"/>
          <w:sz w:val="16"/>
          <w:szCs w:val="16"/>
        </w:rPr>
        <w:t xml:space="preserve"> моторами М-17 (3214).</w:t>
      </w:r>
    </w:p>
    <w:p w14:paraId="70E824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 есть с ТБ-7, который был задуман якобы в 1931, что то не вяжется.</w:t>
      </w:r>
    </w:p>
    <w:p w14:paraId="14BD666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0EC541" w14:textId="77777777" w:rsidR="00CB6D91" w:rsidRPr="007122AB" w:rsidRDefault="00CB6D91" w:rsidP="007122AB">
      <w:pPr>
        <w:pStyle w:val="103"/>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1931 года было введено в действие согласно приказу №331 по Военно-Воздушным силам РККА техническое описание И-3:</w:t>
      </w:r>
    </w:p>
    <w:p w14:paraId="6EB212CC"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И-3 одноместный полутораплан, предназначенный к службе в качестве истре</w:t>
      </w:r>
      <w:r w:rsidRPr="007122AB">
        <w:rPr>
          <w:rFonts w:ascii="Times New Roman" w:hAnsi="Times New Roman"/>
          <w:color w:val="000000" w:themeColor="text1"/>
          <w:sz w:val="16"/>
          <w:szCs w:val="16"/>
        </w:rPr>
        <w:softHyphen/>
        <w:t>бителя. Самолет смешанной деревянно-ме</w:t>
      </w:r>
      <w:r w:rsidRPr="007122AB">
        <w:rPr>
          <w:rFonts w:ascii="Times New Roman" w:hAnsi="Times New Roman"/>
          <w:color w:val="000000" w:themeColor="text1"/>
          <w:sz w:val="16"/>
          <w:szCs w:val="16"/>
        </w:rPr>
        <w:softHyphen/>
        <w:t>таллической конструкции, с фюзеляжем ве</w:t>
      </w:r>
      <w:r w:rsidRPr="007122AB">
        <w:rPr>
          <w:rFonts w:ascii="Times New Roman" w:hAnsi="Times New Roman"/>
          <w:color w:val="000000" w:themeColor="text1"/>
          <w:sz w:val="16"/>
          <w:szCs w:val="16"/>
        </w:rPr>
        <w:softHyphen/>
        <w:t>ретенообразной формы. Планер самолета со</w:t>
      </w:r>
      <w:r w:rsidRPr="007122AB">
        <w:rPr>
          <w:rFonts w:ascii="Times New Roman" w:hAnsi="Times New Roman"/>
          <w:color w:val="000000" w:themeColor="text1"/>
          <w:sz w:val="16"/>
          <w:szCs w:val="16"/>
        </w:rPr>
        <w:softHyphen/>
        <w:t>стоит из фюзеляжа, крыльев, хвостового опе</w:t>
      </w:r>
      <w:r w:rsidRPr="007122AB">
        <w:rPr>
          <w:rFonts w:ascii="Times New Roman" w:hAnsi="Times New Roman"/>
          <w:color w:val="000000" w:themeColor="text1"/>
          <w:sz w:val="16"/>
          <w:szCs w:val="16"/>
        </w:rPr>
        <w:softHyphen/>
        <w:t>рения, шасси и двигателя.</w:t>
      </w:r>
    </w:p>
    <w:p w14:paraId="40880130"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Остов фюзеляжа состоит из четырех лон</w:t>
      </w:r>
      <w:r w:rsidRPr="007122AB">
        <w:rPr>
          <w:rFonts w:ascii="Times New Roman" w:hAnsi="Times New Roman"/>
          <w:color w:val="000000" w:themeColor="text1"/>
          <w:sz w:val="16"/>
          <w:szCs w:val="16"/>
        </w:rPr>
        <w:softHyphen/>
        <w:t>жеронов, четырех стрингеров в качестве продольного конструктивного набора и 13шпангоутов, составляющих поперечный на</w:t>
      </w:r>
      <w:r w:rsidRPr="007122AB">
        <w:rPr>
          <w:rFonts w:ascii="Times New Roman" w:hAnsi="Times New Roman"/>
          <w:color w:val="000000" w:themeColor="text1"/>
          <w:sz w:val="16"/>
          <w:szCs w:val="16"/>
        </w:rPr>
        <w:softHyphen/>
        <w:t>бор. Лонжероны прямоугольные, из цель</w:t>
      </w:r>
      <w:r w:rsidRPr="007122AB">
        <w:rPr>
          <w:rFonts w:ascii="Times New Roman" w:hAnsi="Times New Roman"/>
          <w:color w:val="000000" w:themeColor="text1"/>
          <w:sz w:val="16"/>
          <w:szCs w:val="16"/>
        </w:rPr>
        <w:softHyphen/>
        <w:t>ных сосновых брусьев, склеены подлине «на ус». К хвосту сечение лонжеронов уменьша</w:t>
      </w:r>
      <w:r w:rsidRPr="007122AB">
        <w:rPr>
          <w:rFonts w:ascii="Times New Roman" w:hAnsi="Times New Roman"/>
          <w:color w:val="000000" w:themeColor="text1"/>
          <w:sz w:val="16"/>
          <w:szCs w:val="16"/>
        </w:rPr>
        <w:softHyphen/>
        <w:t>ется, с внутренней стороны в отрезках между шпангоутами они облегчены и имеют форму швеллера.</w:t>
      </w:r>
    </w:p>
    <w:p w14:paraId="3CA269A0"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Шпангоуты носовой части склеены из 2,5- мм фанеры общей толщиной 25-27 мм. В хво</w:t>
      </w:r>
      <w:r w:rsidRPr="007122AB">
        <w:rPr>
          <w:rFonts w:ascii="Times New Roman" w:hAnsi="Times New Roman"/>
          <w:color w:val="000000" w:themeColor="text1"/>
          <w:sz w:val="16"/>
          <w:szCs w:val="16"/>
        </w:rPr>
        <w:softHyphen/>
        <w:t>стовой части шпангоуты собираются из гну</w:t>
      </w:r>
      <w:r w:rsidRPr="007122AB">
        <w:rPr>
          <w:rFonts w:ascii="Times New Roman" w:hAnsi="Times New Roman"/>
          <w:color w:val="000000" w:themeColor="text1"/>
          <w:sz w:val="16"/>
          <w:szCs w:val="16"/>
        </w:rPr>
        <w:softHyphen/>
        <w:t>тых ясеневых ободков, обшиты фанерой тол</w:t>
      </w:r>
      <w:r w:rsidRPr="007122AB">
        <w:rPr>
          <w:rFonts w:ascii="Times New Roman" w:hAnsi="Times New Roman"/>
          <w:color w:val="000000" w:themeColor="text1"/>
          <w:sz w:val="16"/>
          <w:szCs w:val="16"/>
        </w:rPr>
        <w:softHyphen/>
        <w:t>щиной 1,5-4 мм. Два первых шпангоута об</w:t>
      </w:r>
      <w:r w:rsidRPr="007122AB">
        <w:rPr>
          <w:rFonts w:ascii="Times New Roman" w:hAnsi="Times New Roman"/>
          <w:color w:val="000000" w:themeColor="text1"/>
          <w:sz w:val="16"/>
          <w:szCs w:val="16"/>
        </w:rPr>
        <w:softHyphen/>
        <w:t>шиты листовым дюралюминием, играющим роль противопожарной перегородки.</w:t>
      </w:r>
    </w:p>
    <w:p w14:paraId="3DBAFB23"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Собранный каркас фюзеляжа покрывается сверху специальной, выклеенной на болван</w:t>
      </w:r>
      <w:r w:rsidRPr="007122AB">
        <w:rPr>
          <w:rFonts w:ascii="Times New Roman" w:hAnsi="Times New Roman"/>
          <w:color w:val="000000" w:themeColor="text1"/>
          <w:sz w:val="16"/>
          <w:szCs w:val="16"/>
        </w:rPr>
        <w:softHyphen/>
        <w:t>ке фанерной обшивкой (скорлупой). Скор</w:t>
      </w:r>
      <w:r w:rsidRPr="007122AB">
        <w:rPr>
          <w:rFonts w:ascii="Times New Roman" w:hAnsi="Times New Roman"/>
          <w:color w:val="000000" w:themeColor="text1"/>
          <w:sz w:val="16"/>
          <w:szCs w:val="16"/>
        </w:rPr>
        <w:softHyphen/>
        <w:t>лупа выклеивается из двух половин — левой и правой. Технология изготовления фюзеля</w:t>
      </w:r>
      <w:r w:rsidRPr="007122AB">
        <w:rPr>
          <w:rFonts w:ascii="Times New Roman" w:hAnsi="Times New Roman"/>
          <w:color w:val="000000" w:themeColor="text1"/>
          <w:sz w:val="16"/>
          <w:szCs w:val="16"/>
        </w:rPr>
        <w:softHyphen/>
        <w:t>жа была следующая: макет (болван) фюзеля</w:t>
      </w:r>
      <w:r w:rsidRPr="007122AB">
        <w:rPr>
          <w:rFonts w:ascii="Times New Roman" w:hAnsi="Times New Roman"/>
          <w:color w:val="000000" w:themeColor="text1"/>
          <w:sz w:val="16"/>
          <w:szCs w:val="16"/>
        </w:rPr>
        <w:softHyphen/>
        <w:t>жа, покрытый тавотом и обклеенный бума</w:t>
      </w:r>
      <w:r w:rsidRPr="007122AB">
        <w:rPr>
          <w:rFonts w:ascii="Times New Roman" w:hAnsi="Times New Roman"/>
          <w:color w:val="000000" w:themeColor="text1"/>
          <w:sz w:val="16"/>
          <w:szCs w:val="16"/>
        </w:rPr>
        <w:softHyphen/>
        <w:t>гой, закрывается сверху полосами березового шпона (толщина 0,5 мм, ширина 70 мм) под углом 45 градусов к продольной оси самоле</w:t>
      </w:r>
      <w:r w:rsidRPr="007122AB">
        <w:rPr>
          <w:rFonts w:ascii="Times New Roman" w:hAnsi="Times New Roman"/>
          <w:color w:val="000000" w:themeColor="text1"/>
          <w:sz w:val="16"/>
          <w:szCs w:val="16"/>
        </w:rPr>
        <w:softHyphen/>
        <w:t>та, с зазором между полосами шпона 2 мм по ширине. Для обеспечения прилегания к бол</w:t>
      </w:r>
      <w:r w:rsidRPr="007122AB">
        <w:rPr>
          <w:rFonts w:ascii="Times New Roman" w:hAnsi="Times New Roman"/>
          <w:color w:val="000000" w:themeColor="text1"/>
          <w:sz w:val="16"/>
          <w:szCs w:val="16"/>
        </w:rPr>
        <w:softHyphen/>
        <w:t>вану используются обойные гвозди, которые слегка прибиваются, а потом вытаскивают</w:t>
      </w:r>
      <w:r w:rsidRPr="007122AB">
        <w:rPr>
          <w:rFonts w:ascii="Times New Roman" w:hAnsi="Times New Roman"/>
          <w:color w:val="000000" w:themeColor="text1"/>
          <w:sz w:val="16"/>
          <w:szCs w:val="16"/>
        </w:rPr>
        <w:softHyphen/>
        <w:t>ся. Прежде чем наклеить второй слой шпона, первый слой слегка смачивают сырой тряп</w:t>
      </w:r>
      <w:r w:rsidRPr="007122AB">
        <w:rPr>
          <w:rFonts w:ascii="Times New Roman" w:hAnsi="Times New Roman"/>
          <w:color w:val="000000" w:themeColor="text1"/>
          <w:sz w:val="16"/>
          <w:szCs w:val="16"/>
        </w:rPr>
        <w:softHyphen/>
        <w:t>кой, отчего шпон разбухает и зазоры уничто</w:t>
      </w:r>
      <w:r w:rsidRPr="007122AB">
        <w:rPr>
          <w:rFonts w:ascii="Times New Roman" w:hAnsi="Times New Roman"/>
          <w:color w:val="000000" w:themeColor="text1"/>
          <w:sz w:val="16"/>
          <w:szCs w:val="16"/>
        </w:rPr>
        <w:softHyphen/>
        <w:t>жаются.</w:t>
      </w:r>
    </w:p>
    <w:p w14:paraId="494149A7"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Второй и последующие ряды наклеивают</w:t>
      </w:r>
      <w:r w:rsidRPr="007122AB">
        <w:rPr>
          <w:rFonts w:ascii="Times New Roman" w:hAnsi="Times New Roman"/>
          <w:color w:val="000000" w:themeColor="text1"/>
          <w:sz w:val="16"/>
          <w:szCs w:val="16"/>
        </w:rPr>
        <w:softHyphen/>
        <w:t>ся казеиновым клеем и также слегка прико</w:t>
      </w:r>
      <w:r w:rsidRPr="007122AB">
        <w:rPr>
          <w:rFonts w:ascii="Times New Roman" w:hAnsi="Times New Roman"/>
          <w:color w:val="000000" w:themeColor="text1"/>
          <w:sz w:val="16"/>
          <w:szCs w:val="16"/>
        </w:rPr>
        <w:softHyphen/>
        <w:t>лачиваются гвоздями, интервал сушки меж</w:t>
      </w:r>
      <w:r w:rsidRPr="007122AB">
        <w:rPr>
          <w:rFonts w:ascii="Times New Roman" w:hAnsi="Times New Roman"/>
          <w:color w:val="000000" w:themeColor="text1"/>
          <w:sz w:val="16"/>
          <w:szCs w:val="16"/>
        </w:rPr>
        <w:softHyphen/>
        <w:t>ду рядами 6-7 часов. Каждый ряд после про</w:t>
      </w:r>
      <w:r w:rsidRPr="007122AB">
        <w:rPr>
          <w:rFonts w:ascii="Times New Roman" w:hAnsi="Times New Roman"/>
          <w:color w:val="000000" w:themeColor="text1"/>
          <w:sz w:val="16"/>
          <w:szCs w:val="16"/>
        </w:rPr>
        <w:softHyphen/>
        <w:t>сушки зачищается шкуркой. После наклейки всех слоев (носовая часть до пятого шпанго</w:t>
      </w:r>
      <w:r w:rsidRPr="007122AB">
        <w:rPr>
          <w:rFonts w:ascii="Times New Roman" w:hAnsi="Times New Roman"/>
          <w:color w:val="000000" w:themeColor="text1"/>
          <w:sz w:val="16"/>
          <w:szCs w:val="16"/>
        </w:rPr>
        <w:softHyphen/>
        <w:t>ута пять слоев, хвостовая часть четыре слоя), скорлупа снимается с макета и выдержива</w:t>
      </w:r>
      <w:r w:rsidRPr="007122AB">
        <w:rPr>
          <w:rFonts w:ascii="Times New Roman" w:hAnsi="Times New Roman"/>
          <w:color w:val="000000" w:themeColor="text1"/>
          <w:sz w:val="16"/>
          <w:szCs w:val="16"/>
        </w:rPr>
        <w:softHyphen/>
        <w:t>ется в течение 10-12 суток. Согласно завод</w:t>
      </w:r>
      <w:r w:rsidRPr="007122AB">
        <w:rPr>
          <w:rFonts w:ascii="Times New Roman" w:hAnsi="Times New Roman"/>
          <w:color w:val="000000" w:themeColor="text1"/>
          <w:sz w:val="16"/>
          <w:szCs w:val="16"/>
        </w:rPr>
        <w:softHyphen/>
        <w:t xml:space="preserve">ским нормам, для изготовления одного </w:t>
      </w:r>
      <w:proofErr w:type="spellStart"/>
      <w:r w:rsidRPr="007122AB">
        <w:rPr>
          <w:rFonts w:ascii="Times New Roman" w:hAnsi="Times New Roman"/>
          <w:color w:val="000000" w:themeColor="text1"/>
          <w:sz w:val="16"/>
          <w:szCs w:val="16"/>
        </w:rPr>
        <w:t>фю</w:t>
      </w:r>
      <w:proofErr w:type="spellEnd"/>
      <w:r w:rsidRPr="007122AB">
        <w:rPr>
          <w:rFonts w:ascii="Times New Roman" w:hAnsi="Times New Roman"/>
          <w:color w:val="000000" w:themeColor="text1"/>
          <w:sz w:val="16"/>
          <w:szCs w:val="16"/>
        </w:rPr>
        <w:t>-</w:t>
      </w:r>
    </w:p>
    <w:p w14:paraId="68B360A2" w14:textId="77777777" w:rsidR="00CB6D91" w:rsidRPr="007122AB" w:rsidRDefault="00CB6D91"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зеляжа</w:t>
      </w:r>
      <w:proofErr w:type="spellEnd"/>
      <w:r w:rsidRPr="007122AB">
        <w:rPr>
          <w:rFonts w:ascii="Times New Roman" w:hAnsi="Times New Roman"/>
          <w:color w:val="000000" w:themeColor="text1"/>
          <w:sz w:val="16"/>
          <w:szCs w:val="16"/>
        </w:rPr>
        <w:t xml:space="preserve"> И-3 требовалось 175 квадратных ме</w:t>
      </w:r>
      <w:r w:rsidRPr="007122AB">
        <w:rPr>
          <w:rFonts w:ascii="Times New Roman" w:hAnsi="Times New Roman"/>
          <w:color w:val="000000" w:themeColor="text1"/>
          <w:sz w:val="16"/>
          <w:szCs w:val="16"/>
        </w:rPr>
        <w:softHyphen/>
        <w:t>тров березового шпона толщиной 0,5 мм. Пе</w:t>
      </w:r>
      <w:r w:rsidRPr="007122AB">
        <w:rPr>
          <w:rFonts w:ascii="Times New Roman" w:hAnsi="Times New Roman"/>
          <w:color w:val="000000" w:themeColor="text1"/>
          <w:sz w:val="16"/>
          <w:szCs w:val="16"/>
        </w:rPr>
        <w:softHyphen/>
        <w:t>ред установкой скорлупы на каркасе, в месте стыка половин, ставятся на клею и гвоздях полоски фанеры толщиной до 50 мм. Правая половина обшивки накладывается на каркас фюзеляжа, находящийся на стапеле. В это время устанавливается большая часть вну</w:t>
      </w:r>
      <w:r w:rsidRPr="007122AB">
        <w:rPr>
          <w:rFonts w:ascii="Times New Roman" w:hAnsi="Times New Roman"/>
          <w:color w:val="000000" w:themeColor="text1"/>
          <w:sz w:val="16"/>
          <w:szCs w:val="16"/>
        </w:rPr>
        <w:softHyphen/>
        <w:t>тренних узлов и основной металлической ар</w:t>
      </w:r>
      <w:r w:rsidRPr="007122AB">
        <w:rPr>
          <w:rFonts w:ascii="Times New Roman" w:hAnsi="Times New Roman"/>
          <w:color w:val="000000" w:themeColor="text1"/>
          <w:sz w:val="16"/>
          <w:szCs w:val="16"/>
        </w:rPr>
        <w:softHyphen/>
        <w:t>матуры. Левая половина скорлупы устанав</w:t>
      </w:r>
      <w:r w:rsidRPr="007122AB">
        <w:rPr>
          <w:rFonts w:ascii="Times New Roman" w:hAnsi="Times New Roman"/>
          <w:color w:val="000000" w:themeColor="text1"/>
          <w:sz w:val="16"/>
          <w:szCs w:val="16"/>
        </w:rPr>
        <w:softHyphen/>
        <w:t>ливается на специальных козелках, уже по</w:t>
      </w:r>
      <w:r w:rsidRPr="007122AB">
        <w:rPr>
          <w:rFonts w:ascii="Times New Roman" w:hAnsi="Times New Roman"/>
          <w:color w:val="000000" w:themeColor="text1"/>
          <w:sz w:val="16"/>
          <w:szCs w:val="16"/>
        </w:rPr>
        <w:softHyphen/>
        <w:t>сле снятия со стапеля. К лонжеронам, шпан</w:t>
      </w:r>
      <w:r w:rsidRPr="007122AB">
        <w:rPr>
          <w:rFonts w:ascii="Times New Roman" w:hAnsi="Times New Roman"/>
          <w:color w:val="000000" w:themeColor="text1"/>
          <w:sz w:val="16"/>
          <w:szCs w:val="16"/>
        </w:rPr>
        <w:softHyphen/>
        <w:t>гоутам и стрингерам обшивка крепится на клею при помощи омедненных шурупов и гвоздей. После высыхания фюзеляж покры</w:t>
      </w:r>
      <w:r w:rsidRPr="007122AB">
        <w:rPr>
          <w:rFonts w:ascii="Times New Roman" w:hAnsi="Times New Roman"/>
          <w:color w:val="000000" w:themeColor="text1"/>
          <w:sz w:val="16"/>
          <w:szCs w:val="16"/>
        </w:rPr>
        <w:softHyphen/>
        <w:t>вается грунтом, шпаклевкой и красится ма</w:t>
      </w:r>
      <w:r w:rsidRPr="007122AB">
        <w:rPr>
          <w:rFonts w:ascii="Times New Roman" w:hAnsi="Times New Roman"/>
          <w:color w:val="000000" w:themeColor="text1"/>
          <w:sz w:val="16"/>
          <w:szCs w:val="16"/>
        </w:rPr>
        <w:softHyphen/>
        <w:t>сляной краской в два слоя. Носовая часть фюзеляжа в месте установки двигателя имеет полностью дюралюминиевую обшивку. Ка</w:t>
      </w:r>
      <w:r w:rsidRPr="007122AB">
        <w:rPr>
          <w:rFonts w:ascii="Times New Roman" w:hAnsi="Times New Roman"/>
          <w:color w:val="000000" w:themeColor="text1"/>
          <w:sz w:val="16"/>
          <w:szCs w:val="16"/>
        </w:rPr>
        <w:softHyphen/>
        <w:t>поты двигателя крепятся на формообразую</w:t>
      </w:r>
      <w:r w:rsidRPr="007122AB">
        <w:rPr>
          <w:rFonts w:ascii="Times New Roman" w:hAnsi="Times New Roman"/>
          <w:color w:val="000000" w:themeColor="text1"/>
          <w:sz w:val="16"/>
          <w:szCs w:val="16"/>
        </w:rPr>
        <w:softHyphen/>
        <w:t>щий каркас при помощи шомполов или ан</w:t>
      </w:r>
      <w:r w:rsidRPr="007122AB">
        <w:rPr>
          <w:rFonts w:ascii="Times New Roman" w:hAnsi="Times New Roman"/>
          <w:color w:val="000000" w:themeColor="text1"/>
          <w:sz w:val="16"/>
          <w:szCs w:val="16"/>
        </w:rPr>
        <w:softHyphen/>
        <w:t xml:space="preserve">глийских булавок. Подобным образом </w:t>
      </w:r>
      <w:proofErr w:type="spellStart"/>
      <w:r w:rsidRPr="007122AB">
        <w:rPr>
          <w:rFonts w:ascii="Times New Roman" w:hAnsi="Times New Roman"/>
          <w:color w:val="000000" w:themeColor="text1"/>
          <w:sz w:val="16"/>
          <w:szCs w:val="16"/>
        </w:rPr>
        <w:t>зака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потирована</w:t>
      </w:r>
      <w:proofErr w:type="spellEnd"/>
      <w:r w:rsidRPr="007122AB">
        <w:rPr>
          <w:rFonts w:ascii="Times New Roman" w:hAnsi="Times New Roman"/>
          <w:color w:val="000000" w:themeColor="text1"/>
          <w:sz w:val="16"/>
          <w:szCs w:val="16"/>
        </w:rPr>
        <w:t xml:space="preserve"> верхняя часть фюзеляжа над пу</w:t>
      </w:r>
      <w:r w:rsidRPr="007122AB">
        <w:rPr>
          <w:rFonts w:ascii="Times New Roman" w:hAnsi="Times New Roman"/>
          <w:color w:val="000000" w:themeColor="text1"/>
          <w:sz w:val="16"/>
          <w:szCs w:val="16"/>
        </w:rPr>
        <w:softHyphen/>
        <w:t>леметами до козырька пилота. Заканчивает</w:t>
      </w:r>
      <w:r w:rsidRPr="007122AB">
        <w:rPr>
          <w:rFonts w:ascii="Times New Roman" w:hAnsi="Times New Roman"/>
          <w:color w:val="000000" w:themeColor="text1"/>
          <w:sz w:val="16"/>
          <w:szCs w:val="16"/>
        </w:rPr>
        <w:softHyphen/>
        <w:t>ся фюзеляж дюралевым съемным обтекате</w:t>
      </w:r>
      <w:r w:rsidRPr="007122AB">
        <w:rPr>
          <w:rFonts w:ascii="Times New Roman" w:hAnsi="Times New Roman"/>
          <w:color w:val="000000" w:themeColor="text1"/>
          <w:sz w:val="16"/>
          <w:szCs w:val="16"/>
        </w:rPr>
        <w:softHyphen/>
        <w:t>лем, имеющим в верхней части каплеобраз</w:t>
      </w:r>
      <w:r w:rsidRPr="007122AB">
        <w:rPr>
          <w:rFonts w:ascii="Times New Roman" w:hAnsi="Times New Roman"/>
          <w:color w:val="000000" w:themeColor="text1"/>
          <w:sz w:val="16"/>
          <w:szCs w:val="16"/>
        </w:rPr>
        <w:softHyphen/>
        <w:t>ные выколотки для качалок управления ру</w:t>
      </w:r>
      <w:r w:rsidRPr="007122AB">
        <w:rPr>
          <w:rFonts w:ascii="Times New Roman" w:hAnsi="Times New Roman"/>
          <w:color w:val="000000" w:themeColor="text1"/>
          <w:sz w:val="16"/>
          <w:szCs w:val="16"/>
        </w:rPr>
        <w:softHyphen/>
        <w:t>лем поворота.</w:t>
      </w:r>
    </w:p>
    <w:p w14:paraId="448F264E" w14:textId="77777777" w:rsidR="00CB6D91" w:rsidRPr="007122AB" w:rsidRDefault="00CB6D91" w:rsidP="007122AB">
      <w:pPr>
        <w:pStyle w:val="121"/>
        <w:shd w:val="clear" w:color="auto" w:fill="auto"/>
        <w:spacing w:line="240" w:lineRule="auto"/>
        <w:jc w:val="both"/>
        <w:rPr>
          <w:rFonts w:ascii="Times New Roman" w:hAnsi="Times New Roman" w:cs="Times New Roman"/>
          <w:b w:val="0"/>
          <w:color w:val="000000" w:themeColor="text1"/>
          <w:sz w:val="16"/>
          <w:szCs w:val="16"/>
        </w:rPr>
      </w:pPr>
      <w:r w:rsidRPr="007122AB">
        <w:rPr>
          <w:rFonts w:ascii="Times New Roman" w:hAnsi="Times New Roman" w:cs="Times New Roman"/>
          <w:b w:val="0"/>
          <w:color w:val="000000" w:themeColor="text1"/>
          <w:sz w:val="16"/>
          <w:szCs w:val="16"/>
        </w:rPr>
        <w:t>Центральная часть воздушного вин</w:t>
      </w:r>
      <w:r w:rsidRPr="007122AB">
        <w:rPr>
          <w:rFonts w:ascii="Times New Roman" w:hAnsi="Times New Roman" w:cs="Times New Roman"/>
          <w:b w:val="0"/>
          <w:color w:val="000000" w:themeColor="text1"/>
          <w:sz w:val="16"/>
          <w:szCs w:val="16"/>
        </w:rPr>
        <w:softHyphen/>
        <w:t>та со ступицей, оборудованной храповиком для запуска двигателя от автомобильного стартера</w:t>
      </w:r>
    </w:p>
    <w:p w14:paraId="42BD570D"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Крылья самолета И-3 представляют собой </w:t>
      </w:r>
      <w:proofErr w:type="spellStart"/>
      <w:r w:rsidRPr="007122AB">
        <w:rPr>
          <w:rFonts w:ascii="Times New Roman" w:hAnsi="Times New Roman"/>
          <w:color w:val="000000" w:themeColor="text1"/>
          <w:sz w:val="16"/>
          <w:szCs w:val="16"/>
        </w:rPr>
        <w:t>полуторапланную</w:t>
      </w:r>
      <w:proofErr w:type="spellEnd"/>
      <w:r w:rsidRPr="007122AB">
        <w:rPr>
          <w:rFonts w:ascii="Times New Roman" w:hAnsi="Times New Roman"/>
          <w:color w:val="000000" w:themeColor="text1"/>
          <w:sz w:val="16"/>
          <w:szCs w:val="16"/>
        </w:rPr>
        <w:t xml:space="preserve"> коробку с И-образными стойками из профилированных дюралевых труб. Для крепления все стойки имеют на наконечниках болты с вилками. При помо</w:t>
      </w:r>
      <w:r w:rsidRPr="007122AB">
        <w:rPr>
          <w:rFonts w:ascii="Times New Roman" w:hAnsi="Times New Roman"/>
          <w:color w:val="000000" w:themeColor="text1"/>
          <w:sz w:val="16"/>
          <w:szCs w:val="16"/>
        </w:rPr>
        <w:softHyphen/>
        <w:t>щи этих болтов осуществляется регулировка крыльев после сборки. Конструктивно вер</w:t>
      </w:r>
      <w:r w:rsidRPr="007122AB">
        <w:rPr>
          <w:rFonts w:ascii="Times New Roman" w:hAnsi="Times New Roman"/>
          <w:color w:val="000000" w:themeColor="text1"/>
          <w:sz w:val="16"/>
          <w:szCs w:val="16"/>
        </w:rPr>
        <w:softHyphen/>
        <w:t>хние и нижние крылья одинаковы — деревян</w:t>
      </w:r>
      <w:r w:rsidRPr="007122AB">
        <w:rPr>
          <w:rFonts w:ascii="Times New Roman" w:hAnsi="Times New Roman"/>
          <w:color w:val="000000" w:themeColor="text1"/>
          <w:sz w:val="16"/>
          <w:szCs w:val="16"/>
        </w:rPr>
        <w:softHyphen/>
        <w:t xml:space="preserve">ные, </w:t>
      </w:r>
      <w:proofErr w:type="spellStart"/>
      <w:r w:rsidRPr="007122AB">
        <w:rPr>
          <w:rFonts w:ascii="Times New Roman" w:hAnsi="Times New Roman"/>
          <w:color w:val="000000" w:themeColor="text1"/>
          <w:sz w:val="16"/>
          <w:szCs w:val="16"/>
        </w:rPr>
        <w:t>двухлонжеронные</w:t>
      </w:r>
      <w:proofErr w:type="spellEnd"/>
      <w:r w:rsidRPr="007122AB">
        <w:rPr>
          <w:rFonts w:ascii="Times New Roman" w:hAnsi="Times New Roman"/>
          <w:color w:val="000000" w:themeColor="text1"/>
          <w:sz w:val="16"/>
          <w:szCs w:val="16"/>
        </w:rPr>
        <w:t>, с зашивкой лобовой части до первого лонжерона фанерой. Ни</w:t>
      </w:r>
      <w:r w:rsidRPr="007122AB">
        <w:rPr>
          <w:rFonts w:ascii="Times New Roman" w:hAnsi="Times New Roman"/>
          <w:color w:val="000000" w:themeColor="text1"/>
          <w:sz w:val="16"/>
          <w:szCs w:val="16"/>
        </w:rPr>
        <w:softHyphen/>
        <w:t>жнее крыло в районе фюзеляжа между тор</w:t>
      </w:r>
      <w:r w:rsidRPr="007122AB">
        <w:rPr>
          <w:rFonts w:ascii="Times New Roman" w:hAnsi="Times New Roman"/>
          <w:color w:val="000000" w:themeColor="text1"/>
          <w:sz w:val="16"/>
          <w:szCs w:val="16"/>
        </w:rPr>
        <w:softHyphen/>
        <w:t>цевой и второй нервюрой зашито фанерой. В этом месте на крыло можно было становить</w:t>
      </w:r>
      <w:r w:rsidRPr="007122AB">
        <w:rPr>
          <w:rFonts w:ascii="Times New Roman" w:hAnsi="Times New Roman"/>
          <w:color w:val="000000" w:themeColor="text1"/>
          <w:sz w:val="16"/>
          <w:szCs w:val="16"/>
        </w:rPr>
        <w:softHyphen/>
        <w:t>ся ногами. На верхнем крыле устанавлива</w:t>
      </w:r>
      <w:r w:rsidRPr="007122AB">
        <w:rPr>
          <w:rFonts w:ascii="Times New Roman" w:hAnsi="Times New Roman"/>
          <w:color w:val="000000" w:themeColor="text1"/>
          <w:sz w:val="16"/>
          <w:szCs w:val="16"/>
        </w:rPr>
        <w:softHyphen/>
        <w:t>ются элероны, выполненные из дюралюми</w:t>
      </w:r>
      <w:r w:rsidRPr="007122AB">
        <w:rPr>
          <w:rFonts w:ascii="Times New Roman" w:hAnsi="Times New Roman"/>
          <w:color w:val="000000" w:themeColor="text1"/>
          <w:sz w:val="16"/>
          <w:szCs w:val="16"/>
        </w:rPr>
        <w:softHyphen/>
        <w:t>ния. Для крепления элеронов верхнее кры</w:t>
      </w:r>
      <w:r w:rsidRPr="007122AB">
        <w:rPr>
          <w:rFonts w:ascii="Times New Roman" w:hAnsi="Times New Roman"/>
          <w:color w:val="000000" w:themeColor="text1"/>
          <w:sz w:val="16"/>
          <w:szCs w:val="16"/>
        </w:rPr>
        <w:softHyphen/>
        <w:t>ло имеет третий добавочный лонжерон. Цен</w:t>
      </w:r>
      <w:r w:rsidRPr="007122AB">
        <w:rPr>
          <w:rFonts w:ascii="Times New Roman" w:hAnsi="Times New Roman"/>
          <w:color w:val="000000" w:themeColor="text1"/>
          <w:sz w:val="16"/>
          <w:szCs w:val="16"/>
        </w:rPr>
        <w:softHyphen/>
        <w:t>троплан верхних крыльев в передней части вмещает две профилированные емкости — для топлива и воды. Малая емкость — бен</w:t>
      </w:r>
      <w:r w:rsidRPr="007122AB">
        <w:rPr>
          <w:rFonts w:ascii="Times New Roman" w:hAnsi="Times New Roman"/>
          <w:color w:val="000000" w:themeColor="text1"/>
          <w:sz w:val="16"/>
          <w:szCs w:val="16"/>
        </w:rPr>
        <w:softHyphen/>
        <w:t>зиновый пусковой бачок емкостью 2,5 ли</w:t>
      </w:r>
      <w:r w:rsidRPr="007122AB">
        <w:rPr>
          <w:rFonts w:ascii="Times New Roman" w:hAnsi="Times New Roman"/>
          <w:color w:val="000000" w:themeColor="text1"/>
          <w:sz w:val="16"/>
          <w:szCs w:val="16"/>
        </w:rPr>
        <w:softHyphen/>
        <w:t>тра, предназначается для запуска двигателя. За счет высокого поднятия пускового бачка бензин к двигателю при этом поступает са</w:t>
      </w:r>
      <w:r w:rsidRPr="007122AB">
        <w:rPr>
          <w:rFonts w:ascii="Times New Roman" w:hAnsi="Times New Roman"/>
          <w:color w:val="000000" w:themeColor="text1"/>
          <w:sz w:val="16"/>
          <w:szCs w:val="16"/>
        </w:rPr>
        <w:softHyphen/>
        <w:t>мотеком. Второй бачок — расширительный, является частью водяной системы охлажде</w:t>
      </w:r>
      <w:r w:rsidRPr="007122AB">
        <w:rPr>
          <w:rFonts w:ascii="Times New Roman" w:hAnsi="Times New Roman"/>
          <w:color w:val="000000" w:themeColor="text1"/>
          <w:sz w:val="16"/>
          <w:szCs w:val="16"/>
        </w:rPr>
        <w:softHyphen/>
        <w:t>ния двигателя. При нагревании и расшире</w:t>
      </w:r>
      <w:r w:rsidRPr="007122AB">
        <w:rPr>
          <w:rFonts w:ascii="Times New Roman" w:hAnsi="Times New Roman"/>
          <w:color w:val="000000" w:themeColor="text1"/>
          <w:sz w:val="16"/>
          <w:szCs w:val="16"/>
        </w:rPr>
        <w:softHyphen/>
        <w:t>нии охлаждающей жидкости ее пары подни</w:t>
      </w:r>
      <w:r w:rsidRPr="007122AB">
        <w:rPr>
          <w:rFonts w:ascii="Times New Roman" w:hAnsi="Times New Roman"/>
          <w:color w:val="000000" w:themeColor="text1"/>
          <w:sz w:val="16"/>
          <w:szCs w:val="16"/>
        </w:rPr>
        <w:softHyphen/>
        <w:t>маются в этот бачок. Основным элементом системы охлаждения является выдвижной сотовый радиатор, который снабжен зубча</w:t>
      </w:r>
      <w:r w:rsidRPr="007122AB">
        <w:rPr>
          <w:rFonts w:ascii="Times New Roman" w:hAnsi="Times New Roman"/>
          <w:color w:val="000000" w:themeColor="text1"/>
          <w:sz w:val="16"/>
          <w:szCs w:val="16"/>
        </w:rPr>
        <w:softHyphen/>
        <w:t>той рейкой, связанной с шестерней. Шестер</w:t>
      </w:r>
      <w:r w:rsidRPr="007122AB">
        <w:rPr>
          <w:rFonts w:ascii="Times New Roman" w:hAnsi="Times New Roman"/>
          <w:color w:val="000000" w:themeColor="text1"/>
          <w:sz w:val="16"/>
          <w:szCs w:val="16"/>
        </w:rPr>
        <w:softHyphen/>
        <w:t>ня цепной передачей связана со штурвалом в кабине летчика. Пилот, при помощи это</w:t>
      </w:r>
      <w:r w:rsidRPr="007122AB">
        <w:rPr>
          <w:rFonts w:ascii="Times New Roman" w:hAnsi="Times New Roman"/>
          <w:color w:val="000000" w:themeColor="text1"/>
          <w:sz w:val="16"/>
          <w:szCs w:val="16"/>
        </w:rPr>
        <w:softHyphen/>
        <w:t>го штурвала, размещенного слева от сиденья, управляет перемещением радиатора, подни</w:t>
      </w:r>
      <w:r w:rsidRPr="007122AB">
        <w:rPr>
          <w:rFonts w:ascii="Times New Roman" w:hAnsi="Times New Roman"/>
          <w:color w:val="000000" w:themeColor="text1"/>
          <w:sz w:val="16"/>
          <w:szCs w:val="16"/>
        </w:rPr>
        <w:softHyphen/>
        <w:t>мает или опускает его и, тем самым, обеспе</w:t>
      </w:r>
      <w:r w:rsidRPr="007122AB">
        <w:rPr>
          <w:rFonts w:ascii="Times New Roman" w:hAnsi="Times New Roman"/>
          <w:color w:val="000000" w:themeColor="text1"/>
          <w:sz w:val="16"/>
          <w:szCs w:val="16"/>
        </w:rPr>
        <w:softHyphen/>
        <w:t>чивает приемлемую температуру жидкости в системе охлаждения. Охлаждение цилиндров двигателя производится водой, которая под</w:t>
      </w:r>
      <w:r w:rsidRPr="007122AB">
        <w:rPr>
          <w:rFonts w:ascii="Times New Roman" w:hAnsi="Times New Roman"/>
          <w:color w:val="000000" w:themeColor="text1"/>
          <w:sz w:val="16"/>
          <w:szCs w:val="16"/>
        </w:rPr>
        <w:softHyphen/>
        <w:t>ается в систему центробежной помпой. По</w:t>
      </w:r>
      <w:r w:rsidRPr="007122AB">
        <w:rPr>
          <w:rFonts w:ascii="Times New Roman" w:hAnsi="Times New Roman"/>
          <w:color w:val="000000" w:themeColor="text1"/>
          <w:sz w:val="16"/>
          <w:szCs w:val="16"/>
        </w:rPr>
        <w:softHyphen/>
        <w:t xml:space="preserve">мпа находится в нижней части картера </w:t>
      </w:r>
      <w:proofErr w:type="spellStart"/>
      <w:r w:rsidRPr="007122AB">
        <w:rPr>
          <w:rFonts w:ascii="Times New Roman" w:hAnsi="Times New Roman"/>
          <w:color w:val="000000" w:themeColor="text1"/>
          <w:sz w:val="16"/>
          <w:szCs w:val="16"/>
        </w:rPr>
        <w:t>дви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гателя</w:t>
      </w:r>
      <w:proofErr w:type="spellEnd"/>
      <w:r w:rsidRPr="007122AB">
        <w:rPr>
          <w:rFonts w:ascii="Times New Roman" w:hAnsi="Times New Roman"/>
          <w:color w:val="000000" w:themeColor="text1"/>
          <w:sz w:val="16"/>
          <w:szCs w:val="16"/>
        </w:rPr>
        <w:t>, приводится в движение от вертикаль</w:t>
      </w:r>
      <w:r w:rsidRPr="007122AB">
        <w:rPr>
          <w:rFonts w:ascii="Times New Roman" w:hAnsi="Times New Roman"/>
          <w:color w:val="000000" w:themeColor="text1"/>
          <w:sz w:val="16"/>
          <w:szCs w:val="16"/>
        </w:rPr>
        <w:softHyphen/>
        <w:t>ного передаточного вала. Питание двигателя после запуска осуществляется из основного фюзеляжного бензинового бака. Подача то</w:t>
      </w:r>
      <w:r w:rsidRPr="007122AB">
        <w:rPr>
          <w:rFonts w:ascii="Times New Roman" w:hAnsi="Times New Roman"/>
          <w:color w:val="000000" w:themeColor="text1"/>
          <w:sz w:val="16"/>
          <w:szCs w:val="16"/>
        </w:rPr>
        <w:softHyphen/>
        <w:t>плива принудительная, при помощи бензи</w:t>
      </w:r>
      <w:r w:rsidRPr="007122AB">
        <w:rPr>
          <w:rFonts w:ascii="Times New Roman" w:hAnsi="Times New Roman"/>
          <w:color w:val="000000" w:themeColor="text1"/>
          <w:sz w:val="16"/>
          <w:szCs w:val="16"/>
        </w:rPr>
        <w:softHyphen/>
        <w:t>новых помп типа АМ, начинающих работать после запуска двигателя.</w:t>
      </w:r>
    </w:p>
    <w:p w14:paraId="74C169F5"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Хвостовое оперение истребителя И-3 кле</w:t>
      </w:r>
      <w:r w:rsidRPr="007122AB">
        <w:rPr>
          <w:rFonts w:ascii="Times New Roman" w:hAnsi="Times New Roman"/>
          <w:color w:val="000000" w:themeColor="text1"/>
          <w:sz w:val="16"/>
          <w:szCs w:val="16"/>
        </w:rPr>
        <w:softHyphen/>
        <w:t>панной дюралюминиевой конструкции. Киль самолета — деревянный, выполнен за</w:t>
      </w:r>
      <w:r w:rsidRPr="007122AB">
        <w:rPr>
          <w:rFonts w:ascii="Times New Roman" w:hAnsi="Times New Roman"/>
          <w:color w:val="000000" w:themeColor="text1"/>
          <w:sz w:val="16"/>
          <w:szCs w:val="16"/>
        </w:rPr>
        <w:softHyphen/>
        <w:t>одно со скорлупой фюзеляжа.</w:t>
      </w:r>
    </w:p>
    <w:p w14:paraId="3B0ACCD9"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Первоначально самолет имел горизонталь</w:t>
      </w:r>
      <w:r w:rsidRPr="007122AB">
        <w:rPr>
          <w:rFonts w:ascii="Times New Roman" w:hAnsi="Times New Roman"/>
          <w:color w:val="000000" w:themeColor="text1"/>
          <w:sz w:val="16"/>
          <w:szCs w:val="16"/>
        </w:rPr>
        <w:softHyphen/>
        <w:t>ное оперение эллиптической формы. В целях улучшения управляемости машины с №4027 имели горизонтальное оперение увеличен</w:t>
      </w:r>
      <w:r w:rsidRPr="007122AB">
        <w:rPr>
          <w:rFonts w:ascii="Times New Roman" w:hAnsi="Times New Roman"/>
          <w:color w:val="000000" w:themeColor="text1"/>
          <w:sz w:val="16"/>
          <w:szCs w:val="16"/>
        </w:rPr>
        <w:softHyphen/>
        <w:t>ной площади, измененной формы с роговы</w:t>
      </w:r>
      <w:r w:rsidRPr="007122AB">
        <w:rPr>
          <w:rFonts w:ascii="Times New Roman" w:hAnsi="Times New Roman"/>
          <w:color w:val="000000" w:themeColor="text1"/>
          <w:sz w:val="16"/>
          <w:szCs w:val="16"/>
        </w:rPr>
        <w:softHyphen/>
        <w:t>ми компенсаторами руля высоты. Для облег</w:t>
      </w:r>
      <w:r w:rsidRPr="007122AB">
        <w:rPr>
          <w:rFonts w:ascii="Times New Roman" w:hAnsi="Times New Roman"/>
          <w:color w:val="000000" w:themeColor="text1"/>
          <w:sz w:val="16"/>
          <w:szCs w:val="16"/>
        </w:rPr>
        <w:softHyphen/>
        <w:t>чения управления самолетом на различных ре</w:t>
      </w:r>
      <w:r w:rsidRPr="007122AB">
        <w:rPr>
          <w:rFonts w:ascii="Times New Roman" w:hAnsi="Times New Roman"/>
          <w:color w:val="000000" w:themeColor="text1"/>
          <w:sz w:val="16"/>
          <w:szCs w:val="16"/>
        </w:rPr>
        <w:softHyphen/>
        <w:t>жимах полета стабилизатор имеет переменный угол установки от -4°40' до +2°40\ Управление перестановкой стабилизатора осуществляет</w:t>
      </w:r>
      <w:r w:rsidRPr="007122AB">
        <w:rPr>
          <w:rFonts w:ascii="Times New Roman" w:hAnsi="Times New Roman"/>
          <w:color w:val="000000" w:themeColor="text1"/>
          <w:sz w:val="16"/>
          <w:szCs w:val="16"/>
        </w:rPr>
        <w:softHyphen/>
        <w:t>ся летчиком из кабины при помощи рукоятки, расположенной справа от сиденья.</w:t>
      </w:r>
    </w:p>
    <w:p w14:paraId="28616997"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Шасси истребителя И-3 — стальная фер</w:t>
      </w:r>
      <w:r w:rsidRPr="007122AB">
        <w:rPr>
          <w:rFonts w:ascii="Times New Roman" w:hAnsi="Times New Roman"/>
          <w:color w:val="000000" w:themeColor="text1"/>
          <w:sz w:val="16"/>
          <w:szCs w:val="16"/>
        </w:rPr>
        <w:softHyphen/>
        <w:t>ма с рифлеными обтекателями из дюралю</w:t>
      </w:r>
      <w:r w:rsidRPr="007122AB">
        <w:rPr>
          <w:rFonts w:ascii="Times New Roman" w:hAnsi="Times New Roman"/>
          <w:color w:val="000000" w:themeColor="text1"/>
          <w:sz w:val="16"/>
          <w:szCs w:val="16"/>
        </w:rPr>
        <w:softHyphen/>
        <w:t>миния. Основные опоры шасси выполнены в виде плоских рам, внутри которых находится пластинчатый резиновый амортизатор.</w:t>
      </w:r>
    </w:p>
    <w:p w14:paraId="3C1C87A5"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Полуоси шасси в центральной части име</w:t>
      </w:r>
      <w:r w:rsidRPr="007122AB">
        <w:rPr>
          <w:rFonts w:ascii="Times New Roman" w:hAnsi="Times New Roman"/>
          <w:color w:val="000000" w:themeColor="text1"/>
          <w:sz w:val="16"/>
          <w:szCs w:val="16"/>
        </w:rPr>
        <w:softHyphen/>
        <w:t>ют общую ось вращения, подкрепленную в этой точке для большей жесткости дополни</w:t>
      </w:r>
      <w:r w:rsidRPr="007122AB">
        <w:rPr>
          <w:rFonts w:ascii="Times New Roman" w:hAnsi="Times New Roman"/>
          <w:color w:val="000000" w:themeColor="text1"/>
          <w:sz w:val="16"/>
          <w:szCs w:val="16"/>
        </w:rPr>
        <w:softHyphen/>
        <w:t>тельными подкосами. Вся система шасси бы</w:t>
      </w:r>
      <w:r w:rsidRPr="007122AB">
        <w:rPr>
          <w:rFonts w:ascii="Times New Roman" w:hAnsi="Times New Roman"/>
          <w:color w:val="000000" w:themeColor="text1"/>
          <w:sz w:val="16"/>
          <w:szCs w:val="16"/>
        </w:rPr>
        <w:softHyphen/>
        <w:t>ла достаточно простой и надежной, да и не</w:t>
      </w:r>
      <w:r w:rsidRPr="007122AB">
        <w:rPr>
          <w:rFonts w:ascii="Times New Roman" w:hAnsi="Times New Roman"/>
          <w:color w:val="000000" w:themeColor="text1"/>
          <w:sz w:val="16"/>
          <w:szCs w:val="16"/>
        </w:rPr>
        <w:softHyphen/>
        <w:t>мудрено, эта схема была отработана еще в Первую мировую войну.</w:t>
      </w:r>
    </w:p>
    <w:p w14:paraId="2D8C8ADA"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Колеса с жестким ободом размером 750x125 мм, применяемые на первых маши</w:t>
      </w:r>
      <w:r w:rsidRPr="007122AB">
        <w:rPr>
          <w:rFonts w:ascii="Times New Roman" w:hAnsi="Times New Roman"/>
          <w:color w:val="000000" w:themeColor="text1"/>
          <w:sz w:val="16"/>
          <w:szCs w:val="16"/>
        </w:rPr>
        <w:softHyphen/>
        <w:t xml:space="preserve">нах, скоро были заменены на </w:t>
      </w:r>
      <w:proofErr w:type="spellStart"/>
      <w:r w:rsidRPr="007122AB">
        <w:rPr>
          <w:rFonts w:ascii="Times New Roman" w:hAnsi="Times New Roman"/>
          <w:color w:val="000000" w:themeColor="text1"/>
          <w:sz w:val="16"/>
          <w:szCs w:val="16"/>
        </w:rPr>
        <w:t>спицевые</w:t>
      </w:r>
      <w:proofErr w:type="spellEnd"/>
      <w:r w:rsidRPr="007122AB">
        <w:rPr>
          <w:rFonts w:ascii="Times New Roman" w:hAnsi="Times New Roman"/>
          <w:color w:val="000000" w:themeColor="text1"/>
          <w:sz w:val="16"/>
          <w:szCs w:val="16"/>
        </w:rPr>
        <w:t xml:space="preserve"> ко</w:t>
      </w:r>
      <w:r w:rsidRPr="007122AB">
        <w:rPr>
          <w:rFonts w:ascii="Times New Roman" w:hAnsi="Times New Roman"/>
          <w:color w:val="000000" w:themeColor="text1"/>
          <w:sz w:val="16"/>
          <w:szCs w:val="16"/>
        </w:rPr>
        <w:softHyphen/>
        <w:t>леса размером 800x150 мм. Спицы обычно закрывались дюралевыми ободами-обтека</w:t>
      </w:r>
      <w:r w:rsidRPr="007122AB">
        <w:rPr>
          <w:rFonts w:ascii="Times New Roman" w:hAnsi="Times New Roman"/>
          <w:color w:val="000000" w:themeColor="text1"/>
          <w:sz w:val="16"/>
          <w:szCs w:val="16"/>
        </w:rPr>
        <w:softHyphen/>
        <w:t xml:space="preserve">телями с концентрическими </w:t>
      </w:r>
      <w:proofErr w:type="spellStart"/>
      <w:r w:rsidRPr="007122AB">
        <w:rPr>
          <w:rFonts w:ascii="Times New Roman" w:hAnsi="Times New Roman"/>
          <w:color w:val="000000" w:themeColor="text1"/>
          <w:sz w:val="16"/>
          <w:szCs w:val="16"/>
        </w:rPr>
        <w:t>зигованными</w:t>
      </w:r>
      <w:proofErr w:type="spellEnd"/>
      <w:r w:rsidRPr="007122AB">
        <w:rPr>
          <w:rFonts w:ascii="Times New Roman" w:hAnsi="Times New Roman"/>
          <w:color w:val="000000" w:themeColor="text1"/>
          <w:sz w:val="16"/>
          <w:szCs w:val="16"/>
        </w:rPr>
        <w:t xml:space="preserve"> выколотками для обеспечения жесткости. В случае, когда таких ободов не было, они вы</w:t>
      </w:r>
      <w:r w:rsidRPr="007122AB">
        <w:rPr>
          <w:rFonts w:ascii="Times New Roman" w:hAnsi="Times New Roman"/>
          <w:color w:val="000000" w:themeColor="text1"/>
          <w:sz w:val="16"/>
          <w:szCs w:val="16"/>
        </w:rPr>
        <w:softHyphen/>
        <w:t>резались из мягкого алюминиевого листа, после чего для более плотного прилегания обжимались по форме спиц.</w:t>
      </w:r>
    </w:p>
    <w:p w14:paraId="03B792BC"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зимнее время колеса заменялись лыжа</w:t>
      </w:r>
      <w:r w:rsidRPr="007122AB">
        <w:rPr>
          <w:rFonts w:ascii="Times New Roman" w:hAnsi="Times New Roman"/>
          <w:color w:val="000000" w:themeColor="text1"/>
          <w:sz w:val="16"/>
          <w:szCs w:val="16"/>
        </w:rPr>
        <w:softHyphen/>
        <w:t>ми типа Р-1, размерами 2730x340 мм, освоен</w:t>
      </w:r>
      <w:r w:rsidRPr="007122AB">
        <w:rPr>
          <w:rFonts w:ascii="Times New Roman" w:hAnsi="Times New Roman"/>
          <w:color w:val="000000" w:themeColor="text1"/>
          <w:sz w:val="16"/>
          <w:szCs w:val="16"/>
        </w:rPr>
        <w:softHyphen/>
        <w:t>ной деревянной конструкции с ясеневой по</w:t>
      </w:r>
      <w:r w:rsidRPr="007122AB">
        <w:rPr>
          <w:rFonts w:ascii="Times New Roman" w:hAnsi="Times New Roman"/>
          <w:color w:val="000000" w:themeColor="text1"/>
          <w:sz w:val="16"/>
          <w:szCs w:val="16"/>
        </w:rPr>
        <w:softHyphen/>
        <w:t>дошвой.</w:t>
      </w:r>
    </w:p>
    <w:p w14:paraId="3484D8FD"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Дополняет систему шасси хвостовой ко</w:t>
      </w:r>
      <w:r w:rsidRPr="007122AB">
        <w:rPr>
          <w:rFonts w:ascii="Times New Roman" w:hAnsi="Times New Roman"/>
          <w:color w:val="000000" w:themeColor="text1"/>
          <w:sz w:val="16"/>
          <w:szCs w:val="16"/>
        </w:rPr>
        <w:softHyphen/>
        <w:t>стыль, склепанный из дюралевых швеллеров и листа. Амортизатор костыля — стандартный резиновый шнур диаметром 12 мм. Костыль поворачивался одновременно с рулем поворо</w:t>
      </w:r>
      <w:r w:rsidRPr="007122AB">
        <w:rPr>
          <w:rFonts w:ascii="Times New Roman" w:hAnsi="Times New Roman"/>
          <w:color w:val="000000" w:themeColor="text1"/>
          <w:sz w:val="16"/>
          <w:szCs w:val="16"/>
        </w:rPr>
        <w:softHyphen/>
        <w:t>та. Соединение рычага костыля с рулем пово</w:t>
      </w:r>
      <w:r w:rsidRPr="007122AB">
        <w:rPr>
          <w:rFonts w:ascii="Times New Roman" w:hAnsi="Times New Roman"/>
          <w:color w:val="000000" w:themeColor="text1"/>
          <w:sz w:val="16"/>
          <w:szCs w:val="16"/>
        </w:rPr>
        <w:softHyphen/>
        <w:t>рота осуществляется специальной буферной тягой, призванной смягчить боковые переме</w:t>
      </w:r>
      <w:r w:rsidRPr="007122AB">
        <w:rPr>
          <w:rFonts w:ascii="Times New Roman" w:hAnsi="Times New Roman"/>
          <w:color w:val="000000" w:themeColor="text1"/>
          <w:sz w:val="16"/>
          <w:szCs w:val="16"/>
        </w:rPr>
        <w:softHyphen/>
        <w:t>щения костыля во время руления по земле.</w:t>
      </w:r>
    </w:p>
    <w:p w14:paraId="67853F92"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Оборудование кабины самолета и управле</w:t>
      </w:r>
      <w:r w:rsidRPr="007122AB">
        <w:rPr>
          <w:rFonts w:ascii="Times New Roman" w:hAnsi="Times New Roman"/>
          <w:color w:val="000000" w:themeColor="text1"/>
          <w:sz w:val="16"/>
          <w:szCs w:val="16"/>
        </w:rPr>
        <w:softHyphen/>
        <w:t>ние обычное для истребителей этого перио</w:t>
      </w:r>
      <w:r w:rsidRPr="007122AB">
        <w:rPr>
          <w:rFonts w:ascii="Times New Roman" w:hAnsi="Times New Roman"/>
          <w:color w:val="000000" w:themeColor="text1"/>
          <w:sz w:val="16"/>
          <w:szCs w:val="16"/>
        </w:rPr>
        <w:softHyphen/>
        <w:t>да. Следует отметить громоздкую установку компаса типа «АД» на подставке (нактоузе) под приборной доской между ног пилота.</w:t>
      </w:r>
    </w:p>
    <w:p w14:paraId="7DE49FD3"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Шпангоут №9, находящийся сразу за кре</w:t>
      </w:r>
      <w:r w:rsidRPr="007122AB">
        <w:rPr>
          <w:rFonts w:ascii="Times New Roman" w:hAnsi="Times New Roman"/>
          <w:color w:val="000000" w:themeColor="text1"/>
          <w:sz w:val="16"/>
          <w:szCs w:val="16"/>
        </w:rPr>
        <w:softHyphen/>
        <w:t>слом пилота, зашивался парусиновой пере</w:t>
      </w:r>
      <w:r w:rsidRPr="007122AB">
        <w:rPr>
          <w:rFonts w:ascii="Times New Roman" w:hAnsi="Times New Roman"/>
          <w:color w:val="000000" w:themeColor="text1"/>
          <w:sz w:val="16"/>
          <w:szCs w:val="16"/>
        </w:rPr>
        <w:softHyphen/>
        <w:t xml:space="preserve">боркой. Она представляла собой сшитый по габариту шпангоута щиток с отверстиями для труб управления. Переборка по периметру имела ряд крючков, которыми закреплялась при помощи </w:t>
      </w:r>
      <w:proofErr w:type="spellStart"/>
      <w:r w:rsidRPr="007122AB">
        <w:rPr>
          <w:rFonts w:ascii="Times New Roman" w:hAnsi="Times New Roman"/>
          <w:color w:val="000000" w:themeColor="text1"/>
          <w:sz w:val="16"/>
          <w:szCs w:val="16"/>
        </w:rPr>
        <w:t>киперной</w:t>
      </w:r>
      <w:proofErr w:type="spellEnd"/>
      <w:r w:rsidRPr="007122AB">
        <w:rPr>
          <w:rFonts w:ascii="Times New Roman" w:hAnsi="Times New Roman"/>
          <w:color w:val="000000" w:themeColor="text1"/>
          <w:sz w:val="16"/>
          <w:szCs w:val="16"/>
        </w:rPr>
        <w:t xml:space="preserve"> ленты на шпангоуте.</w:t>
      </w:r>
    </w:p>
    <w:p w14:paraId="46D44F0C"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Стрелковое вооружение И-3 состояло из двух пулеметов ПВ-1 калибра 7,62 мм. Пер</w:t>
      </w:r>
      <w:r w:rsidRPr="007122AB">
        <w:rPr>
          <w:rFonts w:ascii="Times New Roman" w:hAnsi="Times New Roman"/>
          <w:color w:val="000000" w:themeColor="text1"/>
          <w:sz w:val="16"/>
          <w:szCs w:val="16"/>
        </w:rPr>
        <w:softHyphen/>
        <w:t>вые 75 истребителей оснащались пулемета</w:t>
      </w:r>
      <w:r w:rsidRPr="007122AB">
        <w:rPr>
          <w:rFonts w:ascii="Times New Roman" w:hAnsi="Times New Roman"/>
          <w:color w:val="000000" w:themeColor="text1"/>
          <w:sz w:val="16"/>
          <w:szCs w:val="16"/>
        </w:rPr>
        <w:softHyphen/>
        <w:t>ми типа «Виккерс» снятыми с ранее эксплу</w:t>
      </w:r>
      <w:r w:rsidRPr="007122AB">
        <w:rPr>
          <w:rFonts w:ascii="Times New Roman" w:hAnsi="Times New Roman"/>
          <w:color w:val="000000" w:themeColor="text1"/>
          <w:sz w:val="16"/>
          <w:szCs w:val="16"/>
        </w:rPr>
        <w:softHyphen/>
        <w:t>атировавшихся самолетов и прошедшими ре</w:t>
      </w:r>
      <w:r w:rsidRPr="007122AB">
        <w:rPr>
          <w:rFonts w:ascii="Times New Roman" w:hAnsi="Times New Roman"/>
          <w:color w:val="000000" w:themeColor="text1"/>
          <w:sz w:val="16"/>
          <w:szCs w:val="16"/>
        </w:rPr>
        <w:softHyphen/>
        <w:t>монт. Прицеливание при стрельбе осуществ</w:t>
      </w:r>
      <w:r w:rsidRPr="007122AB">
        <w:rPr>
          <w:rFonts w:ascii="Times New Roman" w:hAnsi="Times New Roman"/>
          <w:color w:val="000000" w:themeColor="text1"/>
          <w:sz w:val="16"/>
          <w:szCs w:val="16"/>
        </w:rPr>
        <w:softHyphen/>
        <w:t>лялось оптическим прицелом ОП-1, разме</w:t>
      </w:r>
      <w:r w:rsidRPr="007122AB">
        <w:rPr>
          <w:rFonts w:ascii="Times New Roman" w:hAnsi="Times New Roman"/>
          <w:color w:val="000000" w:themeColor="text1"/>
          <w:sz w:val="16"/>
          <w:szCs w:val="16"/>
        </w:rPr>
        <w:softHyphen/>
        <w:t xml:space="preserve">щенного в центре козырька пилота. В </w:t>
      </w:r>
      <w:proofErr w:type="spellStart"/>
      <w:r w:rsidRPr="007122AB">
        <w:rPr>
          <w:rFonts w:ascii="Times New Roman" w:hAnsi="Times New Roman"/>
          <w:color w:val="000000" w:themeColor="text1"/>
          <w:sz w:val="16"/>
          <w:szCs w:val="16"/>
        </w:rPr>
        <w:t>допол</w:t>
      </w:r>
      <w:proofErr w:type="spellEnd"/>
      <w:r w:rsidRPr="007122AB">
        <w:rPr>
          <w:rFonts w:ascii="Times New Roman" w:hAnsi="Times New Roman"/>
          <w:color w:val="000000" w:themeColor="text1"/>
          <w:sz w:val="16"/>
          <w:szCs w:val="16"/>
        </w:rPr>
        <w:t xml:space="preserve"> нении к оптическому прицелу на правой сто</w:t>
      </w:r>
      <w:r w:rsidRPr="007122AB">
        <w:rPr>
          <w:rFonts w:ascii="Times New Roman" w:hAnsi="Times New Roman"/>
          <w:color w:val="000000" w:themeColor="text1"/>
          <w:sz w:val="16"/>
          <w:szCs w:val="16"/>
        </w:rPr>
        <w:softHyphen/>
        <w:t>роне фюзеляжа в районе козырька пилота размешался механический кольцевой прицел типа КП-5. Часть самолетов И-3 могла не</w:t>
      </w:r>
      <w:r w:rsidRPr="007122AB">
        <w:rPr>
          <w:rFonts w:ascii="Times New Roman" w:hAnsi="Times New Roman"/>
          <w:color w:val="000000" w:themeColor="text1"/>
          <w:sz w:val="16"/>
          <w:szCs w:val="16"/>
        </w:rPr>
        <w:softHyphen/>
        <w:t>сти бомбовое вооружение. Бомбодержатели для двух 25-фунтовых бомб устанавливались в районе пятой нервюры нижнего крыла.</w:t>
      </w:r>
    </w:p>
    <w:p w14:paraId="59E960B1"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Красились серийные самолеты сверху (а фюзеляж полностью) в защитный зеленый цвет. Нижняя поверхность крыльев и гори</w:t>
      </w:r>
      <w:r w:rsidRPr="007122AB">
        <w:rPr>
          <w:rFonts w:ascii="Times New Roman" w:hAnsi="Times New Roman"/>
          <w:color w:val="000000" w:themeColor="text1"/>
          <w:sz w:val="16"/>
          <w:szCs w:val="16"/>
        </w:rPr>
        <w:softHyphen/>
        <w:t xml:space="preserve">зонтального оперения окрашивались в свет- </w:t>
      </w:r>
      <w:proofErr w:type="spellStart"/>
      <w:r w:rsidRPr="007122AB">
        <w:rPr>
          <w:rFonts w:ascii="Times New Roman" w:hAnsi="Times New Roman"/>
          <w:color w:val="000000" w:themeColor="text1"/>
          <w:sz w:val="16"/>
          <w:szCs w:val="16"/>
        </w:rPr>
        <w:t>ло</w:t>
      </w:r>
      <w:proofErr w:type="spellEnd"/>
      <w:r w:rsidRPr="007122AB">
        <w:rPr>
          <w:rFonts w:ascii="Times New Roman" w:hAnsi="Times New Roman"/>
          <w:color w:val="000000" w:themeColor="text1"/>
          <w:sz w:val="16"/>
          <w:szCs w:val="16"/>
        </w:rPr>
        <w:t>-голубой цвет. Начиная с четвертой се</w:t>
      </w:r>
      <w:r w:rsidRPr="007122AB">
        <w:rPr>
          <w:rFonts w:ascii="Times New Roman" w:hAnsi="Times New Roman"/>
          <w:color w:val="000000" w:themeColor="text1"/>
          <w:sz w:val="16"/>
          <w:szCs w:val="16"/>
        </w:rPr>
        <w:softHyphen/>
        <w:t>рии, нижняя часть фюзеляжа в районе шпан</w:t>
      </w:r>
      <w:r w:rsidRPr="007122AB">
        <w:rPr>
          <w:rFonts w:ascii="Times New Roman" w:hAnsi="Times New Roman"/>
          <w:color w:val="000000" w:themeColor="text1"/>
          <w:sz w:val="16"/>
          <w:szCs w:val="16"/>
        </w:rPr>
        <w:softHyphen/>
        <w:t>гоута №9 имела поперечную красную поло</w:t>
      </w:r>
      <w:r w:rsidRPr="007122AB">
        <w:rPr>
          <w:rFonts w:ascii="Times New Roman" w:hAnsi="Times New Roman"/>
          <w:color w:val="000000" w:themeColor="text1"/>
          <w:sz w:val="16"/>
          <w:szCs w:val="16"/>
        </w:rPr>
        <w:softHyphen/>
        <w:t>су, обозначающую место установки козелка. В районе вырезов-поручней для рук наноси</w:t>
      </w:r>
      <w:r w:rsidRPr="007122AB">
        <w:rPr>
          <w:rFonts w:ascii="Times New Roman" w:hAnsi="Times New Roman"/>
          <w:color w:val="000000" w:themeColor="text1"/>
          <w:sz w:val="16"/>
          <w:szCs w:val="16"/>
        </w:rPr>
        <w:softHyphen/>
        <w:t xml:space="preserve">лась красная надпись «Брать здесь». Участок нижнего крыла у фюзеляжа, в том месте, где разрешалось ступать ногами, окрашивался красной краской. Дюралюминиевые капоты носовой части фюзеляжа И-3 не красились. Иногда </w:t>
      </w:r>
      <w:proofErr w:type="spellStart"/>
      <w:r w:rsidRPr="007122AB">
        <w:rPr>
          <w:rFonts w:ascii="Times New Roman" w:hAnsi="Times New Roman"/>
          <w:color w:val="000000" w:themeColor="text1"/>
          <w:sz w:val="16"/>
          <w:szCs w:val="16"/>
        </w:rPr>
        <w:t>техсостав</w:t>
      </w:r>
      <w:proofErr w:type="spellEnd"/>
      <w:r w:rsidRPr="007122AB">
        <w:rPr>
          <w:rFonts w:ascii="Times New Roman" w:hAnsi="Times New Roman"/>
          <w:color w:val="000000" w:themeColor="text1"/>
          <w:sz w:val="16"/>
          <w:szCs w:val="16"/>
        </w:rPr>
        <w:t xml:space="preserve"> полировал их «под мороз», что отдаленно напоминало чешую рыбы.</w:t>
      </w:r>
    </w:p>
    <w:p w14:paraId="692F3E44"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Авиационный двигатель жидкостного ох</w:t>
      </w:r>
      <w:r w:rsidRPr="007122AB">
        <w:rPr>
          <w:rFonts w:ascii="Times New Roman" w:hAnsi="Times New Roman"/>
          <w:color w:val="000000" w:themeColor="text1"/>
          <w:sz w:val="16"/>
          <w:szCs w:val="16"/>
        </w:rPr>
        <w:softHyphen/>
        <w:t>лаждения М-17 номинальной мощностью 500 л.с. и максимальной 680—730 л.с. относился к так называемым высотным авиадвигателям, сохраняющим номинальную мощность до бо</w:t>
      </w:r>
      <w:r w:rsidRPr="007122AB">
        <w:rPr>
          <w:rFonts w:ascii="Times New Roman" w:hAnsi="Times New Roman"/>
          <w:color w:val="000000" w:themeColor="text1"/>
          <w:sz w:val="16"/>
          <w:szCs w:val="16"/>
        </w:rPr>
        <w:softHyphen/>
        <w:t>евой высоты (у М-17 до 2500—2700 м). Запуск двигателя на И-3 производился от пятилитро</w:t>
      </w:r>
      <w:r w:rsidRPr="007122AB">
        <w:rPr>
          <w:rFonts w:ascii="Times New Roman" w:hAnsi="Times New Roman"/>
          <w:color w:val="000000" w:themeColor="text1"/>
          <w:sz w:val="16"/>
          <w:szCs w:val="16"/>
        </w:rPr>
        <w:softHyphen/>
        <w:t>вого баллона со сжатым воздухом до 150 ат</w:t>
      </w:r>
      <w:r w:rsidRPr="007122AB">
        <w:rPr>
          <w:rFonts w:ascii="Times New Roman" w:hAnsi="Times New Roman"/>
          <w:color w:val="000000" w:themeColor="text1"/>
          <w:sz w:val="16"/>
          <w:szCs w:val="16"/>
        </w:rPr>
        <w:softHyphen/>
        <w:t>мосфер. В случае неудовлетворительной рабо</w:t>
      </w:r>
      <w:r w:rsidRPr="007122AB">
        <w:rPr>
          <w:rFonts w:ascii="Times New Roman" w:hAnsi="Times New Roman"/>
          <w:color w:val="000000" w:themeColor="text1"/>
          <w:sz w:val="16"/>
          <w:szCs w:val="16"/>
        </w:rPr>
        <w:softHyphen/>
        <w:t>ты воздушной системы запуск двигателя осу</w:t>
      </w:r>
      <w:r w:rsidRPr="007122AB">
        <w:rPr>
          <w:rFonts w:ascii="Times New Roman" w:hAnsi="Times New Roman"/>
          <w:color w:val="000000" w:themeColor="text1"/>
          <w:sz w:val="16"/>
          <w:szCs w:val="16"/>
        </w:rPr>
        <w:softHyphen/>
        <w:t>ществлялся от автостартера.</w:t>
      </w:r>
    </w:p>
    <w:p w14:paraId="547499FB" w14:textId="77777777" w:rsidR="00CB6D91" w:rsidRPr="007122AB" w:rsidRDefault="00CB6D91" w:rsidP="007122AB">
      <w:pPr>
        <w:pStyle w:val="67"/>
        <w:shd w:val="clear" w:color="auto" w:fill="auto"/>
        <w:spacing w:line="240" w:lineRule="auto"/>
        <w:jc w:val="both"/>
        <w:rPr>
          <w:rFonts w:ascii="Times New Roman" w:hAnsi="Times New Roman"/>
          <w:color w:val="000000" w:themeColor="text1"/>
          <w:sz w:val="16"/>
          <w:szCs w:val="16"/>
        </w:rPr>
      </w:pPr>
      <w:r w:rsidRPr="007122AB">
        <w:rPr>
          <w:rStyle w:val="68"/>
          <w:rFonts w:ascii="Times New Roman" w:eastAsia="Arial Unicode MS" w:hAnsi="Times New Roman"/>
          <w:b w:val="0"/>
          <w:color w:val="000000" w:themeColor="text1"/>
          <w:sz w:val="16"/>
          <w:szCs w:val="16"/>
        </w:rPr>
        <w:t>Технические и летные характеристики И-3 М-17 в сравнении с И-7 М-17</w:t>
      </w:r>
      <w:r w:rsidRPr="007122AB">
        <w:rPr>
          <w:rFonts w:ascii="Times New Roman" w:hAnsi="Times New Roman"/>
          <w:color w:val="000000" w:themeColor="text1"/>
          <w:sz w:val="16"/>
          <w:szCs w:val="16"/>
        </w:rPr>
        <w:t>(приведены значения для серийных истребителей по данным технических описаний)</w:t>
      </w:r>
    </w:p>
    <w:tbl>
      <w:tblPr>
        <w:tblW w:w="0" w:type="auto"/>
        <w:tblLayout w:type="fixed"/>
        <w:tblCellMar>
          <w:left w:w="10" w:type="dxa"/>
          <w:right w:w="10" w:type="dxa"/>
        </w:tblCellMar>
        <w:tblLook w:val="0000" w:firstRow="0" w:lastRow="0" w:firstColumn="0" w:lastColumn="0" w:noHBand="0" w:noVBand="0"/>
      </w:tblPr>
      <w:tblGrid>
        <w:gridCol w:w="3139"/>
        <w:gridCol w:w="2214"/>
        <w:gridCol w:w="2221"/>
      </w:tblGrid>
      <w:tr w:rsidR="001002C3" w:rsidRPr="007122AB" w14:paraId="1BB03DAD" w14:textId="77777777" w:rsidTr="004F5DFE">
        <w:trPr>
          <w:trHeight w:val="256"/>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84425E0" w14:textId="77777777" w:rsidR="00CB6D91" w:rsidRPr="007122AB" w:rsidRDefault="00CB6D91" w:rsidP="007122AB">
            <w:pPr>
              <w:spacing w:after="0" w:line="240" w:lineRule="auto"/>
              <w:jc w:val="both"/>
              <w:rPr>
                <w:rFonts w:ascii="Times New Roman" w:hAnsi="Times New Roman"/>
                <w:color w:val="000000" w:themeColor="text1"/>
                <w:sz w:val="16"/>
                <w:szCs w:val="16"/>
              </w:rPr>
            </w:pP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096DC73D"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811FDD"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r>
      <w:tr w:rsidR="001002C3" w:rsidRPr="007122AB" w14:paraId="785B0E5E" w14:textId="77777777" w:rsidTr="004F5DFE">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33AC7E6"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 линии полета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1113A949"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8,08</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3A520A1F"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6,95</w:t>
            </w:r>
          </w:p>
        </w:tc>
      </w:tr>
      <w:tr w:rsidR="001002C3" w:rsidRPr="007122AB" w14:paraId="343978AD"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8431473"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в линии полета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07453A0"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3,360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9B8DE6B"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3,100</w:t>
            </w:r>
          </w:p>
        </w:tc>
      </w:tr>
      <w:tr w:rsidR="001002C3" w:rsidRPr="007122AB" w14:paraId="609A1C51"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BD75B78"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верхнего крыла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FDCBD2C"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11,080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42520BC3"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05313627" w14:textId="77777777" w:rsidTr="004F5DFE">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33D3F86"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нижнего крыла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FBAA0F7"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5BE00CB"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w:t>
            </w:r>
          </w:p>
        </w:tc>
      </w:tr>
      <w:tr w:rsidR="001002C3" w:rsidRPr="007122AB" w14:paraId="68E02A25"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BF737CE"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крыльев (м</w:t>
            </w:r>
            <w:r w:rsidRPr="007122AB">
              <w:rPr>
                <w:rFonts w:ascii="Times New Roman" w:hAnsi="Times New Roman"/>
                <w:color w:val="000000" w:themeColor="text1"/>
                <w:sz w:val="16"/>
                <w:szCs w:val="16"/>
                <w:vertAlign w:val="superscript"/>
              </w:rPr>
              <w:t>:</w:t>
            </w:r>
            <w:r w:rsidRPr="007122AB">
              <w:rPr>
                <w:rFonts w:ascii="Times New Roman" w:hAnsi="Times New Roman"/>
                <w:color w:val="000000" w:themeColor="text1"/>
                <w:sz w:val="16"/>
                <w:szCs w:val="16"/>
              </w:rPr>
              <w:t>)</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624B82B"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27,86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9BA3DC3"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25,87</w:t>
            </w:r>
          </w:p>
        </w:tc>
      </w:tr>
      <w:tr w:rsidR="001002C3" w:rsidRPr="007122AB" w14:paraId="05260D48"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ABDB224"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5A681413"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65D706A0"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1419</w:t>
            </w:r>
          </w:p>
        </w:tc>
      </w:tr>
      <w:tr w:rsidR="001002C3" w:rsidRPr="007122AB" w14:paraId="6A655311"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FD83EE0"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45F0E84C"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1846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460C8C0B"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1792</w:t>
            </w:r>
          </w:p>
        </w:tc>
      </w:tr>
      <w:tr w:rsidR="001002C3" w:rsidRPr="007122AB" w14:paraId="3344F43D"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C30A18B"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 на крыло (кг/м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00B240B2"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67,4»</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1688F0E"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69,3</w:t>
            </w:r>
          </w:p>
        </w:tc>
      </w:tr>
      <w:tr w:rsidR="001002C3" w:rsidRPr="007122AB" w14:paraId="0AD5DE90"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75A9987"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у земли (км/ч)</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9C0DA49"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683014E"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291</w:t>
            </w:r>
          </w:p>
        </w:tc>
      </w:tr>
      <w:tr w:rsidR="001002C3" w:rsidRPr="007122AB" w14:paraId="42D86600"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9C7E9E4"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на 2000-3000 м (км/ч)</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1564B6C8"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C4E029"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286</w:t>
            </w:r>
          </w:p>
        </w:tc>
      </w:tr>
      <w:tr w:rsidR="001002C3" w:rsidRPr="007122AB" w14:paraId="1988FBFB"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2CDF76E"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набора 5000 м (мин.)</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3299D9E1"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4858F1"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11,4</w:t>
            </w:r>
          </w:p>
        </w:tc>
      </w:tr>
      <w:tr w:rsidR="001002C3" w:rsidRPr="007122AB" w14:paraId="697E5154" w14:textId="77777777" w:rsidTr="004F5DFE">
        <w:trPr>
          <w:trHeight w:val="263"/>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37378B46"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виража (сек.)</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8E6D405"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11,35</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7A60AA9D" w14:textId="77777777" w:rsidR="00CB6D91" w:rsidRPr="007122AB" w:rsidRDefault="00CB6D91" w:rsidP="007122AB">
            <w:pPr>
              <w:pStyle w:val="130"/>
              <w:shd w:val="clear" w:color="auto" w:fill="auto"/>
              <w:spacing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tc>
      </w:tr>
    </w:tbl>
    <w:p w14:paraId="2E02ECF1"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Согласно технического описания 1931 г. По приведенным значениям нагрузка на крыш равняется 66.3 кг/м (12295).</w:t>
      </w:r>
    </w:p>
    <w:p w14:paraId="4148A2D5" w14:textId="77777777" w:rsidR="00CB6D91" w:rsidRPr="007122AB" w:rsidRDefault="00CB6D91" w:rsidP="007122AB">
      <w:pPr>
        <w:spacing w:after="0" w:line="240" w:lineRule="auto"/>
        <w:jc w:val="both"/>
        <w:rPr>
          <w:rFonts w:ascii="Times New Roman" w:hAnsi="Times New Roman"/>
          <w:color w:val="000000" w:themeColor="text1"/>
          <w:sz w:val="16"/>
          <w:szCs w:val="16"/>
        </w:rPr>
      </w:pPr>
    </w:p>
    <w:p w14:paraId="69B03AB9" w14:textId="77777777" w:rsidR="00B26A86" w:rsidRPr="007122AB" w:rsidRDefault="00B26A8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20 ноября 1931 после ряда корректиро</w:t>
      </w:r>
      <w:r w:rsidRPr="007122AB">
        <w:rPr>
          <w:rFonts w:ascii="Times New Roman" w:hAnsi="Times New Roman"/>
          <w:color w:val="000000" w:themeColor="text1"/>
          <w:sz w:val="16"/>
          <w:szCs w:val="16"/>
          <w:lang w:eastAsia="ru-RU" w:bidi="ru-RU"/>
        </w:rPr>
        <w:softHyphen/>
        <w:t>вок план опытного самолетостроения на 1932-34 гг. все же утвердили. В план вошли самолеты ТШ-2 с М-27 и М-34, ТШ-3 с М-34 и ЛШ-4 с М-22.</w:t>
      </w:r>
    </w:p>
    <w:p w14:paraId="28C9B7B4" w14:textId="77777777" w:rsidR="00B26A86" w:rsidRPr="007122AB" w:rsidRDefault="00B26A8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Согласно производственной про</w:t>
      </w:r>
      <w:r w:rsidRPr="007122AB">
        <w:rPr>
          <w:rFonts w:ascii="Times New Roman" w:hAnsi="Times New Roman"/>
          <w:color w:val="000000" w:themeColor="text1"/>
          <w:sz w:val="16"/>
          <w:szCs w:val="16"/>
          <w:lang w:eastAsia="ru-RU" w:bidi="ru-RU"/>
        </w:rPr>
        <w:softHyphen/>
        <w:t>грамме завод №16 до апреля 1932 г. дол</w:t>
      </w:r>
      <w:r w:rsidRPr="007122AB">
        <w:rPr>
          <w:rFonts w:ascii="Times New Roman" w:hAnsi="Times New Roman"/>
          <w:color w:val="000000" w:themeColor="text1"/>
          <w:sz w:val="16"/>
          <w:szCs w:val="16"/>
          <w:lang w:eastAsia="ru-RU" w:bidi="ru-RU"/>
        </w:rPr>
        <w:softHyphen/>
        <w:t>жен был изготовить 70 серийных само</w:t>
      </w:r>
      <w:r w:rsidRPr="007122AB">
        <w:rPr>
          <w:rFonts w:ascii="Times New Roman" w:hAnsi="Times New Roman"/>
          <w:color w:val="000000" w:themeColor="text1"/>
          <w:sz w:val="16"/>
          <w:szCs w:val="16"/>
          <w:lang w:eastAsia="ru-RU" w:bidi="ru-RU"/>
        </w:rPr>
        <w:softHyphen/>
        <w:t xml:space="preserve">летов ТШ-2, в том числе: 6 машин - под </w:t>
      </w:r>
      <w:proofErr w:type="spellStart"/>
      <w:r w:rsidRPr="007122AB">
        <w:rPr>
          <w:rFonts w:ascii="Times New Roman" w:hAnsi="Times New Roman"/>
          <w:color w:val="000000" w:themeColor="text1"/>
          <w:sz w:val="16"/>
          <w:szCs w:val="16"/>
          <w:lang w:eastAsia="ru-RU" w:bidi="ru-RU"/>
        </w:rPr>
        <w:t>гранатницу</w:t>
      </w:r>
      <w:proofErr w:type="spellEnd"/>
      <w:r w:rsidRPr="007122AB">
        <w:rPr>
          <w:rFonts w:ascii="Times New Roman" w:hAnsi="Times New Roman"/>
          <w:color w:val="000000" w:themeColor="text1"/>
          <w:sz w:val="16"/>
          <w:szCs w:val="16"/>
          <w:lang w:eastAsia="ru-RU" w:bidi="ru-RU"/>
        </w:rPr>
        <w:t xml:space="preserve">, 9 - под </w:t>
      </w:r>
      <w:proofErr w:type="spellStart"/>
      <w:r w:rsidRPr="007122AB">
        <w:rPr>
          <w:rFonts w:ascii="Times New Roman" w:hAnsi="Times New Roman"/>
          <w:color w:val="000000" w:themeColor="text1"/>
          <w:sz w:val="16"/>
          <w:szCs w:val="16"/>
          <w:lang w:eastAsia="ru-RU" w:bidi="ru-RU"/>
        </w:rPr>
        <w:t>пульбатарею</w:t>
      </w:r>
      <w:proofErr w:type="spellEnd"/>
      <w:r w:rsidRPr="007122AB">
        <w:rPr>
          <w:rFonts w:ascii="Times New Roman" w:hAnsi="Times New Roman"/>
          <w:color w:val="000000" w:themeColor="text1"/>
          <w:sz w:val="16"/>
          <w:szCs w:val="16"/>
          <w:lang w:eastAsia="ru-RU" w:bidi="ru-RU"/>
        </w:rPr>
        <w:t xml:space="preserve">, 6 - под бомбодержатели, 25 - под </w:t>
      </w:r>
      <w:proofErr w:type="spellStart"/>
      <w:r w:rsidRPr="007122AB">
        <w:rPr>
          <w:rFonts w:ascii="Times New Roman" w:hAnsi="Times New Roman"/>
          <w:color w:val="000000" w:themeColor="text1"/>
          <w:sz w:val="16"/>
          <w:szCs w:val="16"/>
          <w:lang w:eastAsia="ru-RU" w:bidi="ru-RU"/>
        </w:rPr>
        <w:t>пульбатарею</w:t>
      </w:r>
      <w:proofErr w:type="spellEnd"/>
      <w:r w:rsidRPr="007122AB">
        <w:rPr>
          <w:rFonts w:ascii="Times New Roman" w:hAnsi="Times New Roman"/>
          <w:color w:val="000000" w:themeColor="text1"/>
          <w:sz w:val="16"/>
          <w:szCs w:val="16"/>
          <w:lang w:eastAsia="ru-RU" w:bidi="ru-RU"/>
        </w:rPr>
        <w:t xml:space="preserve"> и бомбодержатели, 24 самолета - под </w:t>
      </w:r>
      <w:proofErr w:type="spellStart"/>
      <w:r w:rsidRPr="007122AB">
        <w:rPr>
          <w:rFonts w:ascii="Times New Roman" w:hAnsi="Times New Roman"/>
          <w:color w:val="000000" w:themeColor="text1"/>
          <w:sz w:val="16"/>
          <w:szCs w:val="16"/>
          <w:lang w:eastAsia="ru-RU" w:bidi="ru-RU"/>
        </w:rPr>
        <w:t>гра</w:t>
      </w:r>
      <w:proofErr w:type="spellEnd"/>
      <w:r w:rsidRPr="007122AB">
        <w:rPr>
          <w:rFonts w:ascii="Times New Roman" w:hAnsi="Times New Roman"/>
          <w:color w:val="000000" w:themeColor="text1"/>
          <w:sz w:val="16"/>
          <w:szCs w:val="16"/>
          <w:lang w:eastAsia="ru-RU" w:bidi="ru-RU"/>
        </w:rPr>
        <w:t xml:space="preserve">- </w:t>
      </w:r>
      <w:proofErr w:type="spellStart"/>
      <w:r w:rsidRPr="007122AB">
        <w:rPr>
          <w:rFonts w:ascii="Times New Roman" w:hAnsi="Times New Roman"/>
          <w:color w:val="000000" w:themeColor="text1"/>
          <w:sz w:val="16"/>
          <w:szCs w:val="16"/>
          <w:lang w:eastAsia="ru-RU" w:bidi="ru-RU"/>
        </w:rPr>
        <w:t>натницу</w:t>
      </w:r>
      <w:proofErr w:type="spellEnd"/>
      <w:r w:rsidRPr="007122AB">
        <w:rPr>
          <w:rFonts w:ascii="Times New Roman" w:hAnsi="Times New Roman"/>
          <w:color w:val="000000" w:themeColor="text1"/>
          <w:sz w:val="16"/>
          <w:szCs w:val="16"/>
          <w:lang w:eastAsia="ru-RU" w:bidi="ru-RU"/>
        </w:rPr>
        <w:t xml:space="preserve"> и </w:t>
      </w:r>
      <w:proofErr w:type="spellStart"/>
      <w:r w:rsidRPr="007122AB">
        <w:rPr>
          <w:rFonts w:ascii="Times New Roman" w:hAnsi="Times New Roman"/>
          <w:color w:val="000000" w:themeColor="text1"/>
          <w:sz w:val="16"/>
          <w:szCs w:val="16"/>
          <w:lang w:eastAsia="ru-RU" w:bidi="ru-RU"/>
        </w:rPr>
        <w:t>пульбатарею</w:t>
      </w:r>
      <w:proofErr w:type="spellEnd"/>
      <w:r w:rsidRPr="007122AB">
        <w:rPr>
          <w:rFonts w:ascii="Times New Roman" w:hAnsi="Times New Roman"/>
          <w:color w:val="000000" w:themeColor="text1"/>
          <w:sz w:val="16"/>
          <w:szCs w:val="16"/>
          <w:lang w:eastAsia="ru-RU" w:bidi="ru-RU"/>
        </w:rPr>
        <w:t>.</w:t>
      </w:r>
    </w:p>
    <w:p w14:paraId="5D994ED4" w14:textId="77777777" w:rsidR="00B26A86" w:rsidRPr="007122AB" w:rsidRDefault="00B26A86"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Предполагалось на заказанных ВВС самолетах ТШ-2 установить тормозные колеса шасси, разрезное крыло и макси</w:t>
      </w:r>
      <w:r w:rsidRPr="007122AB">
        <w:rPr>
          <w:rFonts w:ascii="Times New Roman" w:hAnsi="Times New Roman"/>
          <w:color w:val="000000" w:themeColor="text1"/>
          <w:sz w:val="16"/>
          <w:szCs w:val="16"/>
          <w:lang w:eastAsia="ru-RU" w:bidi="ru-RU"/>
        </w:rPr>
        <w:softHyphen/>
        <w:t>мально их облегчить (21062).</w:t>
      </w:r>
    </w:p>
    <w:p w14:paraId="5D71FE12" w14:textId="77777777" w:rsidR="00B26A86" w:rsidRPr="007122AB" w:rsidRDefault="00B26A86" w:rsidP="007122AB">
      <w:pPr>
        <w:spacing w:after="0" w:line="240" w:lineRule="auto"/>
        <w:jc w:val="both"/>
        <w:rPr>
          <w:rFonts w:ascii="Times New Roman" w:hAnsi="Times New Roman"/>
          <w:color w:val="000000" w:themeColor="text1"/>
          <w:sz w:val="16"/>
          <w:szCs w:val="16"/>
        </w:rPr>
      </w:pPr>
    </w:p>
    <w:p w14:paraId="1A9B91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ноября 1931 Нач. ВВС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подписал План опытного строительство по моторам и самолетам на 1932-1934 ВВС РККА (351).</w:t>
      </w:r>
    </w:p>
    <w:p w14:paraId="5D2CD0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ОПЫТНОГО СТРОИТЕЛЬСТВА ПО МОТОРАМ И САМОЛЕТАМ НА 1932/34 гг.</w:t>
      </w:r>
    </w:p>
    <w:p w14:paraId="1B499F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МОТОРЫ</w:t>
      </w:r>
    </w:p>
    <w:p w14:paraId="72821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Новые опытные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25"/>
        <w:gridCol w:w="1525"/>
        <w:gridCol w:w="1525"/>
        <w:gridCol w:w="1525"/>
        <w:gridCol w:w="1525"/>
        <w:gridCol w:w="1525"/>
        <w:gridCol w:w="1525"/>
      </w:tblGrid>
      <w:tr w:rsidR="001002C3" w:rsidRPr="007122AB" w14:paraId="3F5B6372" w14:textId="77777777">
        <w:tc>
          <w:tcPr>
            <w:tcW w:w="534" w:type="dxa"/>
            <w:tcBorders>
              <w:top w:val="single" w:sz="12" w:space="0" w:color="auto"/>
            </w:tcBorders>
          </w:tcPr>
          <w:p w14:paraId="0317B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п/п</w:t>
            </w:r>
          </w:p>
        </w:tc>
        <w:tc>
          <w:tcPr>
            <w:tcW w:w="1525" w:type="dxa"/>
            <w:tcBorders>
              <w:top w:val="single" w:sz="12" w:space="0" w:color="auto"/>
            </w:tcBorders>
          </w:tcPr>
          <w:p w14:paraId="3FB7EA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Марка мотора</w:t>
            </w:r>
          </w:p>
        </w:tc>
        <w:tc>
          <w:tcPr>
            <w:tcW w:w="1525" w:type="dxa"/>
            <w:tcBorders>
              <w:top w:val="single" w:sz="12" w:space="0" w:color="auto"/>
            </w:tcBorders>
          </w:tcPr>
          <w:p w14:paraId="0DBD5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Охлаждение</w:t>
            </w:r>
          </w:p>
        </w:tc>
        <w:tc>
          <w:tcPr>
            <w:tcW w:w="1525" w:type="dxa"/>
            <w:tcBorders>
              <w:top w:val="single" w:sz="12" w:space="0" w:color="auto"/>
            </w:tcBorders>
          </w:tcPr>
          <w:p w14:paraId="33F815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в л.с.</w:t>
            </w:r>
          </w:p>
        </w:tc>
        <w:tc>
          <w:tcPr>
            <w:tcW w:w="1525" w:type="dxa"/>
            <w:tcBorders>
              <w:top w:val="single" w:sz="12" w:space="0" w:color="auto"/>
            </w:tcBorders>
          </w:tcPr>
          <w:p w14:paraId="4F6C8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 кг</w:t>
            </w:r>
          </w:p>
        </w:tc>
        <w:tc>
          <w:tcPr>
            <w:tcW w:w="1525" w:type="dxa"/>
            <w:tcBorders>
              <w:top w:val="single" w:sz="12" w:space="0" w:color="auto"/>
            </w:tcBorders>
          </w:tcPr>
          <w:p w14:paraId="12DAC8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Высотность в м</w:t>
            </w:r>
          </w:p>
        </w:tc>
        <w:tc>
          <w:tcPr>
            <w:tcW w:w="1525" w:type="dxa"/>
            <w:tcBorders>
              <w:top w:val="single" w:sz="12" w:space="0" w:color="auto"/>
            </w:tcBorders>
          </w:tcPr>
          <w:p w14:paraId="6E42E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между переборками</w:t>
            </w:r>
          </w:p>
        </w:tc>
        <w:tc>
          <w:tcPr>
            <w:tcW w:w="1525" w:type="dxa"/>
            <w:tcBorders>
              <w:top w:val="single" w:sz="12" w:space="0" w:color="auto"/>
            </w:tcBorders>
          </w:tcPr>
          <w:p w14:paraId="183835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Расход горючего</w:t>
            </w:r>
          </w:p>
        </w:tc>
      </w:tr>
      <w:tr w:rsidR="001002C3" w:rsidRPr="007122AB" w14:paraId="79D4CDD6" w14:textId="77777777">
        <w:tc>
          <w:tcPr>
            <w:tcW w:w="534" w:type="dxa"/>
          </w:tcPr>
          <w:p w14:paraId="3002D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525" w:type="dxa"/>
          </w:tcPr>
          <w:p w14:paraId="78EC4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М-35</w:t>
            </w:r>
          </w:p>
        </w:tc>
        <w:tc>
          <w:tcPr>
            <w:tcW w:w="1525" w:type="dxa"/>
          </w:tcPr>
          <w:p w14:paraId="1C504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4E9F9A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1200-1500</w:t>
            </w:r>
          </w:p>
        </w:tc>
        <w:tc>
          <w:tcPr>
            <w:tcW w:w="1525" w:type="dxa"/>
          </w:tcPr>
          <w:p w14:paraId="5BF0A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w:t>
            </w:r>
          </w:p>
        </w:tc>
        <w:tc>
          <w:tcPr>
            <w:tcW w:w="1525" w:type="dxa"/>
          </w:tcPr>
          <w:p w14:paraId="39FB3B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762681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525" w:type="dxa"/>
          </w:tcPr>
          <w:p w14:paraId="3E5264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9535858" w14:textId="77777777">
        <w:tc>
          <w:tcPr>
            <w:tcW w:w="534" w:type="dxa"/>
          </w:tcPr>
          <w:p w14:paraId="73E99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525" w:type="dxa"/>
          </w:tcPr>
          <w:p w14:paraId="62FCC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М-38</w:t>
            </w:r>
          </w:p>
        </w:tc>
        <w:tc>
          <w:tcPr>
            <w:tcW w:w="1525" w:type="dxa"/>
          </w:tcPr>
          <w:p w14:paraId="16633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c>
          <w:tcPr>
            <w:tcW w:w="1525" w:type="dxa"/>
          </w:tcPr>
          <w:p w14:paraId="785CC0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19535B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525" w:type="dxa"/>
          </w:tcPr>
          <w:p w14:paraId="2DF98A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594EC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525" w:type="dxa"/>
          </w:tcPr>
          <w:p w14:paraId="3ED4E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4D3A36B" w14:textId="77777777">
        <w:tc>
          <w:tcPr>
            <w:tcW w:w="534" w:type="dxa"/>
          </w:tcPr>
          <w:p w14:paraId="5D70CF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525" w:type="dxa"/>
          </w:tcPr>
          <w:p w14:paraId="4BC24B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М-44</w:t>
            </w:r>
          </w:p>
        </w:tc>
        <w:tc>
          <w:tcPr>
            <w:tcW w:w="1525" w:type="dxa"/>
          </w:tcPr>
          <w:p w14:paraId="77D95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684C93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w:t>
            </w:r>
          </w:p>
        </w:tc>
        <w:tc>
          <w:tcPr>
            <w:tcW w:w="1525" w:type="dxa"/>
          </w:tcPr>
          <w:p w14:paraId="5CB6A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1525" w:type="dxa"/>
          </w:tcPr>
          <w:p w14:paraId="673132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1525" w:type="dxa"/>
          </w:tcPr>
          <w:p w14:paraId="657750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525" w:type="dxa"/>
          </w:tcPr>
          <w:p w14:paraId="2D58D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56DC88B" w14:textId="77777777">
        <w:tc>
          <w:tcPr>
            <w:tcW w:w="534" w:type="dxa"/>
          </w:tcPr>
          <w:p w14:paraId="06311A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1525" w:type="dxa"/>
          </w:tcPr>
          <w:p w14:paraId="24C84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М-32</w:t>
            </w:r>
          </w:p>
        </w:tc>
        <w:tc>
          <w:tcPr>
            <w:tcW w:w="1525" w:type="dxa"/>
          </w:tcPr>
          <w:p w14:paraId="331400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21511D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3FE869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525" w:type="dxa"/>
          </w:tcPr>
          <w:p w14:paraId="52323E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6CA1AC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525" w:type="dxa"/>
          </w:tcPr>
          <w:p w14:paraId="11542D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28F1E26" w14:textId="77777777">
        <w:tc>
          <w:tcPr>
            <w:tcW w:w="534" w:type="dxa"/>
          </w:tcPr>
          <w:p w14:paraId="3FB369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1525" w:type="dxa"/>
          </w:tcPr>
          <w:p w14:paraId="60EC71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М-53</w:t>
            </w:r>
          </w:p>
        </w:tc>
        <w:tc>
          <w:tcPr>
            <w:tcW w:w="1525" w:type="dxa"/>
          </w:tcPr>
          <w:p w14:paraId="69C7F6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37383F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525" w:type="dxa"/>
          </w:tcPr>
          <w:p w14:paraId="03F449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2200</w:t>
            </w:r>
          </w:p>
        </w:tc>
        <w:tc>
          <w:tcPr>
            <w:tcW w:w="1525" w:type="dxa"/>
          </w:tcPr>
          <w:p w14:paraId="4DB3B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0328BE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525" w:type="dxa"/>
          </w:tcPr>
          <w:p w14:paraId="4D26BF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0B004E5" w14:textId="77777777">
        <w:tc>
          <w:tcPr>
            <w:tcW w:w="534" w:type="dxa"/>
          </w:tcPr>
          <w:p w14:paraId="27848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1525" w:type="dxa"/>
          </w:tcPr>
          <w:p w14:paraId="219ADB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М-52</w:t>
            </w:r>
          </w:p>
        </w:tc>
        <w:tc>
          <w:tcPr>
            <w:tcW w:w="1525" w:type="dxa"/>
          </w:tcPr>
          <w:p w14:paraId="4CD05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6ECF1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w:t>
            </w:r>
          </w:p>
        </w:tc>
        <w:tc>
          <w:tcPr>
            <w:tcW w:w="1525" w:type="dxa"/>
          </w:tcPr>
          <w:p w14:paraId="1A2F20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275</w:t>
            </w:r>
          </w:p>
        </w:tc>
        <w:tc>
          <w:tcPr>
            <w:tcW w:w="1525" w:type="dxa"/>
          </w:tcPr>
          <w:p w14:paraId="1D0E30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25" w:type="dxa"/>
          </w:tcPr>
          <w:p w14:paraId="44611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525" w:type="dxa"/>
          </w:tcPr>
          <w:p w14:paraId="5B651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65E1A46" w14:textId="77777777">
        <w:tc>
          <w:tcPr>
            <w:tcW w:w="534" w:type="dxa"/>
          </w:tcPr>
          <w:p w14:paraId="0BB8B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1525" w:type="dxa"/>
          </w:tcPr>
          <w:p w14:paraId="47BC2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М-54</w:t>
            </w:r>
          </w:p>
        </w:tc>
        <w:tc>
          <w:tcPr>
            <w:tcW w:w="1525" w:type="dxa"/>
          </w:tcPr>
          <w:p w14:paraId="17E12C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34828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c>
          <w:tcPr>
            <w:tcW w:w="1525" w:type="dxa"/>
          </w:tcPr>
          <w:p w14:paraId="0F6BD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368F1A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525" w:type="dxa"/>
          </w:tcPr>
          <w:p w14:paraId="2AF23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Pr>
          <w:p w14:paraId="2991B8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027F653" w14:textId="77777777">
        <w:tc>
          <w:tcPr>
            <w:tcW w:w="534" w:type="dxa"/>
          </w:tcPr>
          <w:p w14:paraId="7322CA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525" w:type="dxa"/>
          </w:tcPr>
          <w:p w14:paraId="18D24A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Н-1 (нефть)</w:t>
            </w:r>
          </w:p>
        </w:tc>
        <w:tc>
          <w:tcPr>
            <w:tcW w:w="1525" w:type="dxa"/>
          </w:tcPr>
          <w:p w14:paraId="568B08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2ED626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688F26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56C148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525" w:type="dxa"/>
          </w:tcPr>
          <w:p w14:paraId="5017D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Pr>
          <w:p w14:paraId="3E35C7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E6D8C30" w14:textId="77777777">
        <w:tc>
          <w:tcPr>
            <w:tcW w:w="534" w:type="dxa"/>
          </w:tcPr>
          <w:p w14:paraId="08219F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1525" w:type="dxa"/>
          </w:tcPr>
          <w:p w14:paraId="0CE63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Н-2</w:t>
            </w:r>
          </w:p>
        </w:tc>
        <w:tc>
          <w:tcPr>
            <w:tcW w:w="1525" w:type="dxa"/>
          </w:tcPr>
          <w:p w14:paraId="779B9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268D4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525" w:type="dxa"/>
          </w:tcPr>
          <w:p w14:paraId="15A33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1525" w:type="dxa"/>
          </w:tcPr>
          <w:p w14:paraId="31CD4E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2C5B6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525" w:type="dxa"/>
          </w:tcPr>
          <w:p w14:paraId="49AC9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A6661F" w14:textId="77777777">
        <w:tc>
          <w:tcPr>
            <w:tcW w:w="534" w:type="dxa"/>
          </w:tcPr>
          <w:p w14:paraId="4BA7FA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525" w:type="dxa"/>
          </w:tcPr>
          <w:p w14:paraId="06545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Н-3</w:t>
            </w:r>
          </w:p>
        </w:tc>
        <w:tc>
          <w:tcPr>
            <w:tcW w:w="1525" w:type="dxa"/>
          </w:tcPr>
          <w:p w14:paraId="6DBE1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309C71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1525" w:type="dxa"/>
          </w:tcPr>
          <w:p w14:paraId="7CAB93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5D3A80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2869A6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Pr>
          <w:p w14:paraId="78258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5276D02" w14:textId="77777777">
        <w:tc>
          <w:tcPr>
            <w:tcW w:w="534" w:type="dxa"/>
          </w:tcPr>
          <w:p w14:paraId="54A88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1525" w:type="dxa"/>
          </w:tcPr>
          <w:p w14:paraId="60C13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Н-4</w:t>
            </w:r>
          </w:p>
        </w:tc>
        <w:tc>
          <w:tcPr>
            <w:tcW w:w="1525" w:type="dxa"/>
          </w:tcPr>
          <w:p w14:paraId="6F3028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259D24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w:t>
            </w:r>
          </w:p>
        </w:tc>
        <w:tc>
          <w:tcPr>
            <w:tcW w:w="1525" w:type="dxa"/>
          </w:tcPr>
          <w:p w14:paraId="1891A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2500</w:t>
            </w:r>
          </w:p>
        </w:tc>
        <w:tc>
          <w:tcPr>
            <w:tcW w:w="1525" w:type="dxa"/>
          </w:tcPr>
          <w:p w14:paraId="25F073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14953D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525" w:type="dxa"/>
          </w:tcPr>
          <w:p w14:paraId="3C5508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442F579" w14:textId="77777777">
        <w:tc>
          <w:tcPr>
            <w:tcW w:w="534" w:type="dxa"/>
            <w:tcBorders>
              <w:bottom w:val="single" w:sz="12" w:space="0" w:color="auto"/>
            </w:tcBorders>
          </w:tcPr>
          <w:p w14:paraId="748DA4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1525" w:type="dxa"/>
            <w:tcBorders>
              <w:bottom w:val="single" w:sz="12" w:space="0" w:color="auto"/>
            </w:tcBorders>
          </w:tcPr>
          <w:p w14:paraId="78E1B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Н-5</w:t>
            </w:r>
          </w:p>
        </w:tc>
        <w:tc>
          <w:tcPr>
            <w:tcW w:w="1525" w:type="dxa"/>
            <w:tcBorders>
              <w:bottom w:val="single" w:sz="12" w:space="0" w:color="auto"/>
            </w:tcBorders>
          </w:tcPr>
          <w:p w14:paraId="075808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Borders>
              <w:bottom w:val="single" w:sz="12" w:space="0" w:color="auto"/>
            </w:tcBorders>
          </w:tcPr>
          <w:p w14:paraId="5752C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Borders>
              <w:bottom w:val="single" w:sz="12" w:space="0" w:color="auto"/>
            </w:tcBorders>
          </w:tcPr>
          <w:p w14:paraId="1DB74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Borders>
              <w:bottom w:val="single" w:sz="12" w:space="0" w:color="auto"/>
            </w:tcBorders>
          </w:tcPr>
          <w:p w14:paraId="1A981F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w:t>
            </w:r>
          </w:p>
        </w:tc>
        <w:tc>
          <w:tcPr>
            <w:tcW w:w="1525" w:type="dxa"/>
            <w:tcBorders>
              <w:bottom w:val="single" w:sz="12" w:space="0" w:color="auto"/>
            </w:tcBorders>
          </w:tcPr>
          <w:p w14:paraId="58FCB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Borders>
              <w:bottom w:val="single" w:sz="12" w:space="0" w:color="auto"/>
            </w:tcBorders>
          </w:tcPr>
          <w:p w14:paraId="72DC30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17CFDA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(351,117).</w:t>
      </w:r>
    </w:p>
    <w:p w14:paraId="1BEC2B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Модификации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25"/>
        <w:gridCol w:w="1525"/>
        <w:gridCol w:w="1525"/>
        <w:gridCol w:w="1525"/>
        <w:gridCol w:w="1525"/>
        <w:gridCol w:w="1525"/>
        <w:gridCol w:w="1525"/>
      </w:tblGrid>
      <w:tr w:rsidR="001002C3" w:rsidRPr="007122AB" w14:paraId="6DF662A9" w14:textId="77777777">
        <w:tc>
          <w:tcPr>
            <w:tcW w:w="534" w:type="dxa"/>
            <w:tcBorders>
              <w:top w:val="single" w:sz="12" w:space="0" w:color="auto"/>
            </w:tcBorders>
          </w:tcPr>
          <w:p w14:paraId="4E58B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1525" w:type="dxa"/>
            <w:tcBorders>
              <w:top w:val="single" w:sz="12" w:space="0" w:color="auto"/>
            </w:tcBorders>
          </w:tcPr>
          <w:p w14:paraId="3C8F2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w:t>
            </w:r>
          </w:p>
        </w:tc>
        <w:tc>
          <w:tcPr>
            <w:tcW w:w="1525" w:type="dxa"/>
            <w:tcBorders>
              <w:top w:val="single" w:sz="12" w:space="0" w:color="auto"/>
            </w:tcBorders>
          </w:tcPr>
          <w:p w14:paraId="5BD16A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Borders>
              <w:top w:val="single" w:sz="12" w:space="0" w:color="auto"/>
            </w:tcBorders>
          </w:tcPr>
          <w:p w14:paraId="0BDD8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525" w:type="dxa"/>
            <w:tcBorders>
              <w:top w:val="single" w:sz="12" w:space="0" w:color="auto"/>
            </w:tcBorders>
          </w:tcPr>
          <w:p w14:paraId="4CE830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580</w:t>
            </w:r>
          </w:p>
        </w:tc>
        <w:tc>
          <w:tcPr>
            <w:tcW w:w="1525" w:type="dxa"/>
            <w:tcBorders>
              <w:top w:val="single" w:sz="12" w:space="0" w:color="auto"/>
            </w:tcBorders>
          </w:tcPr>
          <w:p w14:paraId="029971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Borders>
              <w:top w:val="single" w:sz="12" w:space="0" w:color="auto"/>
            </w:tcBorders>
          </w:tcPr>
          <w:p w14:paraId="53B05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Borders>
              <w:top w:val="single" w:sz="12" w:space="0" w:color="auto"/>
            </w:tcBorders>
          </w:tcPr>
          <w:p w14:paraId="302747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7D43E29" w14:textId="77777777">
        <w:tc>
          <w:tcPr>
            <w:tcW w:w="534" w:type="dxa"/>
          </w:tcPr>
          <w:p w14:paraId="2033D5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1525" w:type="dxa"/>
          </w:tcPr>
          <w:p w14:paraId="7FA28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w:t>
            </w:r>
          </w:p>
        </w:tc>
        <w:tc>
          <w:tcPr>
            <w:tcW w:w="1525" w:type="dxa"/>
          </w:tcPr>
          <w:p w14:paraId="184339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65FED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525" w:type="dxa"/>
          </w:tcPr>
          <w:p w14:paraId="7BBA0E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580</w:t>
            </w:r>
          </w:p>
        </w:tc>
        <w:tc>
          <w:tcPr>
            <w:tcW w:w="1525" w:type="dxa"/>
          </w:tcPr>
          <w:p w14:paraId="2BDC5C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525" w:type="dxa"/>
          </w:tcPr>
          <w:p w14:paraId="3FD03E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Pr>
          <w:p w14:paraId="3304B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AAB8B8C" w14:textId="77777777">
        <w:tc>
          <w:tcPr>
            <w:tcW w:w="534" w:type="dxa"/>
          </w:tcPr>
          <w:p w14:paraId="046180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1525" w:type="dxa"/>
          </w:tcPr>
          <w:p w14:paraId="2B8A1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М-34НР</w:t>
            </w:r>
          </w:p>
        </w:tc>
        <w:tc>
          <w:tcPr>
            <w:tcW w:w="1525" w:type="dxa"/>
          </w:tcPr>
          <w:p w14:paraId="6BFAFC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16BDD7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525" w:type="dxa"/>
          </w:tcPr>
          <w:p w14:paraId="0C095C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620</w:t>
            </w:r>
          </w:p>
        </w:tc>
        <w:tc>
          <w:tcPr>
            <w:tcW w:w="1525" w:type="dxa"/>
          </w:tcPr>
          <w:p w14:paraId="5E23E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21855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525" w:type="dxa"/>
          </w:tcPr>
          <w:p w14:paraId="14B4E4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57E38D" w14:textId="77777777">
        <w:tc>
          <w:tcPr>
            <w:tcW w:w="534" w:type="dxa"/>
          </w:tcPr>
          <w:p w14:paraId="221580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w:t>
            </w:r>
          </w:p>
        </w:tc>
        <w:tc>
          <w:tcPr>
            <w:tcW w:w="1525" w:type="dxa"/>
          </w:tcPr>
          <w:p w14:paraId="2DE71E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М-55</w:t>
            </w:r>
          </w:p>
        </w:tc>
        <w:tc>
          <w:tcPr>
            <w:tcW w:w="1525" w:type="dxa"/>
          </w:tcPr>
          <w:p w14:paraId="16994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Pr>
          <w:p w14:paraId="116FF2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w:t>
            </w:r>
          </w:p>
        </w:tc>
        <w:tc>
          <w:tcPr>
            <w:tcW w:w="1525" w:type="dxa"/>
          </w:tcPr>
          <w:p w14:paraId="0EB7D9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3E2B15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1525" w:type="dxa"/>
          </w:tcPr>
          <w:p w14:paraId="15EFC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525" w:type="dxa"/>
          </w:tcPr>
          <w:p w14:paraId="2A9CB1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DA63EB" w14:textId="77777777">
        <w:tc>
          <w:tcPr>
            <w:tcW w:w="534" w:type="dxa"/>
          </w:tcPr>
          <w:p w14:paraId="3EC185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w:t>
            </w:r>
          </w:p>
        </w:tc>
        <w:tc>
          <w:tcPr>
            <w:tcW w:w="1525" w:type="dxa"/>
          </w:tcPr>
          <w:p w14:paraId="212CFF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М-56</w:t>
            </w:r>
          </w:p>
        </w:tc>
        <w:tc>
          <w:tcPr>
            <w:tcW w:w="1525" w:type="dxa"/>
          </w:tcPr>
          <w:p w14:paraId="566077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Воздушное</w:t>
            </w:r>
          </w:p>
        </w:tc>
        <w:tc>
          <w:tcPr>
            <w:tcW w:w="1525" w:type="dxa"/>
          </w:tcPr>
          <w:p w14:paraId="4DC26A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c>
          <w:tcPr>
            <w:tcW w:w="1525" w:type="dxa"/>
          </w:tcPr>
          <w:p w14:paraId="368199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c>
          <w:tcPr>
            <w:tcW w:w="1525" w:type="dxa"/>
          </w:tcPr>
          <w:p w14:paraId="24F241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525" w:type="dxa"/>
          </w:tcPr>
          <w:p w14:paraId="7CC753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525" w:type="dxa"/>
          </w:tcPr>
          <w:p w14:paraId="05ED1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F4A138" w14:textId="77777777">
        <w:tc>
          <w:tcPr>
            <w:tcW w:w="534" w:type="dxa"/>
            <w:tcBorders>
              <w:bottom w:val="single" w:sz="12" w:space="0" w:color="auto"/>
            </w:tcBorders>
          </w:tcPr>
          <w:p w14:paraId="1C3832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w:t>
            </w:r>
          </w:p>
        </w:tc>
        <w:tc>
          <w:tcPr>
            <w:tcW w:w="1525" w:type="dxa"/>
            <w:tcBorders>
              <w:bottom w:val="single" w:sz="12" w:space="0" w:color="auto"/>
            </w:tcBorders>
          </w:tcPr>
          <w:p w14:paraId="32E6A9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М-57</w:t>
            </w:r>
          </w:p>
        </w:tc>
        <w:tc>
          <w:tcPr>
            <w:tcW w:w="1525" w:type="dxa"/>
            <w:tcBorders>
              <w:bottom w:val="single" w:sz="12" w:space="0" w:color="auto"/>
            </w:tcBorders>
          </w:tcPr>
          <w:p w14:paraId="55F3D5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Водяное</w:t>
            </w:r>
          </w:p>
        </w:tc>
        <w:tc>
          <w:tcPr>
            <w:tcW w:w="1525" w:type="dxa"/>
            <w:tcBorders>
              <w:bottom w:val="single" w:sz="12" w:space="0" w:color="auto"/>
            </w:tcBorders>
          </w:tcPr>
          <w:p w14:paraId="06618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1200-1500</w:t>
            </w:r>
          </w:p>
        </w:tc>
        <w:tc>
          <w:tcPr>
            <w:tcW w:w="1525" w:type="dxa"/>
            <w:tcBorders>
              <w:bottom w:val="single" w:sz="12" w:space="0" w:color="auto"/>
            </w:tcBorders>
          </w:tcPr>
          <w:p w14:paraId="66EFA4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w:t>
            </w:r>
          </w:p>
        </w:tc>
        <w:tc>
          <w:tcPr>
            <w:tcW w:w="1525" w:type="dxa"/>
            <w:tcBorders>
              <w:bottom w:val="single" w:sz="12" w:space="0" w:color="auto"/>
            </w:tcBorders>
          </w:tcPr>
          <w:p w14:paraId="1284F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525" w:type="dxa"/>
            <w:tcBorders>
              <w:bottom w:val="single" w:sz="12" w:space="0" w:color="auto"/>
            </w:tcBorders>
          </w:tcPr>
          <w:p w14:paraId="1321D1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525" w:type="dxa"/>
            <w:tcBorders>
              <w:bottom w:val="single" w:sz="12" w:space="0" w:color="auto"/>
            </w:tcBorders>
          </w:tcPr>
          <w:p w14:paraId="13759C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40D9B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(351,117).</w:t>
      </w:r>
    </w:p>
    <w:p w14:paraId="7A50D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Экспериментальные работы</w:t>
      </w:r>
    </w:p>
    <w:p w14:paraId="0B6FA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 Газовая турбина</w:t>
      </w:r>
    </w:p>
    <w:p w14:paraId="557A7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Паросиловая установка</w:t>
      </w:r>
    </w:p>
    <w:p w14:paraId="574FC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Бензиновый 2-х тактный двигатель</w:t>
      </w:r>
    </w:p>
    <w:p w14:paraId="2A178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Реактивный двигатель</w:t>
      </w:r>
    </w:p>
    <w:p w14:paraId="6437B9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Двигатель двойного действия</w:t>
      </w:r>
    </w:p>
    <w:p w14:paraId="48DF9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Авиационный </w:t>
      </w:r>
      <w:proofErr w:type="spellStart"/>
      <w:r w:rsidRPr="007122AB">
        <w:rPr>
          <w:rFonts w:ascii="Times New Roman" w:hAnsi="Times New Roman"/>
          <w:color w:val="000000" w:themeColor="text1"/>
          <w:sz w:val="16"/>
          <w:szCs w:val="16"/>
        </w:rPr>
        <w:t>электроческий</w:t>
      </w:r>
      <w:proofErr w:type="spellEnd"/>
      <w:r w:rsidRPr="007122AB">
        <w:rPr>
          <w:rFonts w:ascii="Times New Roman" w:hAnsi="Times New Roman"/>
          <w:color w:val="000000" w:themeColor="text1"/>
          <w:sz w:val="16"/>
          <w:szCs w:val="16"/>
        </w:rPr>
        <w:t xml:space="preserve"> двигатель</w:t>
      </w:r>
    </w:p>
    <w:p w14:paraId="456525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Винт переменного шага</w:t>
      </w:r>
    </w:p>
    <w:p w14:paraId="54495E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Удлиненные валы</w:t>
      </w:r>
    </w:p>
    <w:p w14:paraId="1DB44A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Рекорд высоты (351,117).</w:t>
      </w:r>
    </w:p>
    <w:p w14:paraId="288D9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 самолеты на 1932-1934 (по плану опытного строительства на 1932-1934)</w:t>
      </w:r>
    </w:p>
    <w:p w14:paraId="5ACA1E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САМОЛЕТЫ</w:t>
      </w:r>
    </w:p>
    <w:p w14:paraId="1701A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992"/>
        <w:gridCol w:w="834"/>
        <w:gridCol w:w="1009"/>
        <w:gridCol w:w="581"/>
        <w:gridCol w:w="912"/>
        <w:gridCol w:w="914"/>
        <w:gridCol w:w="907"/>
        <w:gridCol w:w="831"/>
        <w:gridCol w:w="763"/>
        <w:gridCol w:w="763"/>
      </w:tblGrid>
      <w:tr w:rsidR="001002C3" w:rsidRPr="007122AB" w14:paraId="0BB79F95" w14:textId="77777777">
        <w:tc>
          <w:tcPr>
            <w:tcW w:w="1668" w:type="dxa"/>
          </w:tcPr>
          <w:p w14:paraId="352A15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2A902F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Литер</w:t>
            </w:r>
          </w:p>
        </w:tc>
        <w:tc>
          <w:tcPr>
            <w:tcW w:w="992" w:type="dxa"/>
          </w:tcPr>
          <w:p w14:paraId="78774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w:t>
            </w:r>
          </w:p>
        </w:tc>
        <w:tc>
          <w:tcPr>
            <w:tcW w:w="834" w:type="dxa"/>
          </w:tcPr>
          <w:p w14:paraId="1360A1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Скорость на высоте применения</w:t>
            </w:r>
          </w:p>
        </w:tc>
        <w:tc>
          <w:tcPr>
            <w:tcW w:w="1009" w:type="dxa"/>
          </w:tcPr>
          <w:p w14:paraId="7D1033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применения/потолок/время подъема</w:t>
            </w:r>
          </w:p>
        </w:tc>
        <w:tc>
          <w:tcPr>
            <w:tcW w:w="581" w:type="dxa"/>
          </w:tcPr>
          <w:p w14:paraId="718E57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Посадочная скорость</w:t>
            </w:r>
          </w:p>
        </w:tc>
        <w:tc>
          <w:tcPr>
            <w:tcW w:w="912" w:type="dxa"/>
          </w:tcPr>
          <w:p w14:paraId="7CBF2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действия/перегрузка</w:t>
            </w:r>
          </w:p>
        </w:tc>
        <w:tc>
          <w:tcPr>
            <w:tcW w:w="914" w:type="dxa"/>
          </w:tcPr>
          <w:p w14:paraId="4CB96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Сбрасываемый груз</w:t>
            </w:r>
          </w:p>
        </w:tc>
        <w:tc>
          <w:tcPr>
            <w:tcW w:w="907" w:type="dxa"/>
          </w:tcPr>
          <w:p w14:paraId="7F38D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w:t>
            </w:r>
          </w:p>
        </w:tc>
        <w:tc>
          <w:tcPr>
            <w:tcW w:w="831" w:type="dxa"/>
          </w:tcPr>
          <w:p w14:paraId="419A25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Материал</w:t>
            </w:r>
          </w:p>
        </w:tc>
        <w:tc>
          <w:tcPr>
            <w:tcW w:w="763" w:type="dxa"/>
          </w:tcPr>
          <w:p w14:paraId="51A082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Заменяет</w:t>
            </w:r>
          </w:p>
        </w:tc>
        <w:tc>
          <w:tcPr>
            <w:tcW w:w="763" w:type="dxa"/>
          </w:tcPr>
          <w:p w14:paraId="15AF93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Примечания</w:t>
            </w:r>
          </w:p>
        </w:tc>
      </w:tr>
      <w:tr w:rsidR="001002C3" w:rsidRPr="007122AB" w14:paraId="586B58E6" w14:textId="77777777">
        <w:tc>
          <w:tcPr>
            <w:tcW w:w="1668" w:type="dxa"/>
          </w:tcPr>
          <w:p w14:paraId="1E71C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Опытные:</w:t>
            </w:r>
          </w:p>
        </w:tc>
        <w:tc>
          <w:tcPr>
            <w:tcW w:w="850" w:type="dxa"/>
          </w:tcPr>
          <w:p w14:paraId="0E28D1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F8E4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D63D3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9A85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B0F4C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E47D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CA464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9A4BB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B4B9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3E22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B499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56C8531" w14:textId="77777777">
        <w:tc>
          <w:tcPr>
            <w:tcW w:w="1668" w:type="dxa"/>
          </w:tcPr>
          <w:p w14:paraId="293E55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Тяжелый бомбардировщик</w:t>
            </w:r>
          </w:p>
        </w:tc>
        <w:tc>
          <w:tcPr>
            <w:tcW w:w="850" w:type="dxa"/>
          </w:tcPr>
          <w:p w14:paraId="57642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ТБ6-М44/35</w:t>
            </w:r>
          </w:p>
        </w:tc>
        <w:tc>
          <w:tcPr>
            <w:tcW w:w="992" w:type="dxa"/>
          </w:tcPr>
          <w:p w14:paraId="37D5C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01.05.1933</w:t>
            </w:r>
          </w:p>
        </w:tc>
        <w:tc>
          <w:tcPr>
            <w:tcW w:w="834" w:type="dxa"/>
          </w:tcPr>
          <w:p w14:paraId="1E455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09" w:type="dxa"/>
          </w:tcPr>
          <w:p w14:paraId="649E26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5000/7000/-</w:t>
            </w:r>
          </w:p>
        </w:tc>
        <w:tc>
          <w:tcPr>
            <w:tcW w:w="581" w:type="dxa"/>
          </w:tcPr>
          <w:p w14:paraId="22486A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70-80</w:t>
            </w:r>
          </w:p>
        </w:tc>
        <w:tc>
          <w:tcPr>
            <w:tcW w:w="912" w:type="dxa"/>
          </w:tcPr>
          <w:p w14:paraId="4F24D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1500/2000</w:t>
            </w:r>
          </w:p>
        </w:tc>
        <w:tc>
          <w:tcPr>
            <w:tcW w:w="914" w:type="dxa"/>
          </w:tcPr>
          <w:p w14:paraId="541DCB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c>
          <w:tcPr>
            <w:tcW w:w="907" w:type="dxa"/>
          </w:tcPr>
          <w:p w14:paraId="160A90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 пул. и пушки</w:t>
            </w:r>
          </w:p>
        </w:tc>
        <w:tc>
          <w:tcPr>
            <w:tcW w:w="831" w:type="dxa"/>
          </w:tcPr>
          <w:p w14:paraId="2E4A88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7C5097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ТБ4-К7</w:t>
            </w:r>
          </w:p>
        </w:tc>
        <w:tc>
          <w:tcPr>
            <w:tcW w:w="763" w:type="dxa"/>
          </w:tcPr>
          <w:p w14:paraId="3AC79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8E2635F" w14:textId="77777777">
        <w:tc>
          <w:tcPr>
            <w:tcW w:w="1668" w:type="dxa"/>
          </w:tcPr>
          <w:p w14:paraId="7F3E63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 и груз.)</w:t>
            </w:r>
          </w:p>
        </w:tc>
        <w:tc>
          <w:tcPr>
            <w:tcW w:w="850" w:type="dxa"/>
          </w:tcPr>
          <w:p w14:paraId="17837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91F5E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38764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C37E9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7F5B6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86DE1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A838A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35C27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150E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87089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0488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BFA28E1" w14:textId="77777777">
        <w:tc>
          <w:tcPr>
            <w:tcW w:w="1668" w:type="dxa"/>
          </w:tcPr>
          <w:p w14:paraId="500B2A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Сверхтяжелый бомбардировщик</w:t>
            </w:r>
          </w:p>
        </w:tc>
        <w:tc>
          <w:tcPr>
            <w:tcW w:w="850" w:type="dxa"/>
          </w:tcPr>
          <w:p w14:paraId="577444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ТБ7-М44</w:t>
            </w:r>
          </w:p>
        </w:tc>
        <w:tc>
          <w:tcPr>
            <w:tcW w:w="992" w:type="dxa"/>
          </w:tcPr>
          <w:p w14:paraId="227764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01.05.1934</w:t>
            </w:r>
          </w:p>
        </w:tc>
        <w:tc>
          <w:tcPr>
            <w:tcW w:w="834" w:type="dxa"/>
          </w:tcPr>
          <w:p w14:paraId="595E90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009" w:type="dxa"/>
          </w:tcPr>
          <w:p w14:paraId="1BED77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5000/7000/-</w:t>
            </w:r>
          </w:p>
        </w:tc>
        <w:tc>
          <w:tcPr>
            <w:tcW w:w="581" w:type="dxa"/>
          </w:tcPr>
          <w:p w14:paraId="000A92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70-80</w:t>
            </w:r>
          </w:p>
        </w:tc>
        <w:tc>
          <w:tcPr>
            <w:tcW w:w="912" w:type="dxa"/>
          </w:tcPr>
          <w:p w14:paraId="309FF1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2000/2500</w:t>
            </w:r>
          </w:p>
        </w:tc>
        <w:tc>
          <w:tcPr>
            <w:tcW w:w="914" w:type="dxa"/>
          </w:tcPr>
          <w:p w14:paraId="02F54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30000</w:t>
            </w:r>
          </w:p>
        </w:tc>
        <w:tc>
          <w:tcPr>
            <w:tcW w:w="907" w:type="dxa"/>
          </w:tcPr>
          <w:p w14:paraId="1772A4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 пул. и пушки</w:t>
            </w:r>
          </w:p>
        </w:tc>
        <w:tc>
          <w:tcPr>
            <w:tcW w:w="831" w:type="dxa"/>
          </w:tcPr>
          <w:p w14:paraId="242AFF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20A3A2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ТБ4-К7</w:t>
            </w:r>
          </w:p>
        </w:tc>
        <w:tc>
          <w:tcPr>
            <w:tcW w:w="763" w:type="dxa"/>
          </w:tcPr>
          <w:p w14:paraId="409EE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0B99E7" w14:textId="77777777">
        <w:tc>
          <w:tcPr>
            <w:tcW w:w="1668" w:type="dxa"/>
          </w:tcPr>
          <w:p w14:paraId="36FF0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(пас. и груз.)</w:t>
            </w:r>
          </w:p>
        </w:tc>
        <w:tc>
          <w:tcPr>
            <w:tcW w:w="850" w:type="dxa"/>
          </w:tcPr>
          <w:p w14:paraId="7106F1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25E12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DF2CE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46EAD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A7FB7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B675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2CAD4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A59B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EB320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F4D9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4399B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DB9F1D2" w14:textId="77777777">
        <w:tc>
          <w:tcPr>
            <w:tcW w:w="1668" w:type="dxa"/>
          </w:tcPr>
          <w:p w14:paraId="651C2A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Тяжелый десантный (груз.)</w:t>
            </w:r>
          </w:p>
        </w:tc>
        <w:tc>
          <w:tcPr>
            <w:tcW w:w="850" w:type="dxa"/>
          </w:tcPr>
          <w:p w14:paraId="04A2E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Д1-10М34</w:t>
            </w:r>
          </w:p>
        </w:tc>
        <w:tc>
          <w:tcPr>
            <w:tcW w:w="992" w:type="dxa"/>
          </w:tcPr>
          <w:p w14:paraId="794FA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01.10.1932</w:t>
            </w:r>
          </w:p>
        </w:tc>
        <w:tc>
          <w:tcPr>
            <w:tcW w:w="834" w:type="dxa"/>
          </w:tcPr>
          <w:p w14:paraId="0020AC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215/3000</w:t>
            </w:r>
          </w:p>
        </w:tc>
        <w:tc>
          <w:tcPr>
            <w:tcW w:w="1009" w:type="dxa"/>
          </w:tcPr>
          <w:p w14:paraId="008E22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581" w:type="dxa"/>
          </w:tcPr>
          <w:p w14:paraId="67BFE9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912" w:type="dxa"/>
          </w:tcPr>
          <w:p w14:paraId="487F5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c>
          <w:tcPr>
            <w:tcW w:w="914" w:type="dxa"/>
          </w:tcPr>
          <w:p w14:paraId="592EAE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15000</w:t>
            </w:r>
          </w:p>
        </w:tc>
        <w:tc>
          <w:tcPr>
            <w:tcW w:w="907" w:type="dxa"/>
          </w:tcPr>
          <w:p w14:paraId="6EE48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831" w:type="dxa"/>
          </w:tcPr>
          <w:p w14:paraId="50DD3C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52648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3" w:type="dxa"/>
          </w:tcPr>
          <w:p w14:paraId="75D955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ВВА</w:t>
            </w:r>
          </w:p>
        </w:tc>
      </w:tr>
      <w:tr w:rsidR="001002C3" w:rsidRPr="007122AB" w14:paraId="75FA5FC7" w14:textId="77777777">
        <w:tc>
          <w:tcPr>
            <w:tcW w:w="1668" w:type="dxa"/>
          </w:tcPr>
          <w:p w14:paraId="517EE2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Тяжелый бомбовоз</w:t>
            </w:r>
          </w:p>
        </w:tc>
        <w:tc>
          <w:tcPr>
            <w:tcW w:w="850" w:type="dxa"/>
          </w:tcPr>
          <w:p w14:paraId="0BD280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ТБ4-6М34</w:t>
            </w:r>
          </w:p>
        </w:tc>
        <w:tc>
          <w:tcPr>
            <w:tcW w:w="992" w:type="dxa"/>
          </w:tcPr>
          <w:p w14:paraId="258CC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01.05.1932</w:t>
            </w:r>
          </w:p>
        </w:tc>
        <w:tc>
          <w:tcPr>
            <w:tcW w:w="834" w:type="dxa"/>
          </w:tcPr>
          <w:p w14:paraId="25140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200/3000</w:t>
            </w:r>
          </w:p>
        </w:tc>
        <w:tc>
          <w:tcPr>
            <w:tcW w:w="1009" w:type="dxa"/>
          </w:tcPr>
          <w:p w14:paraId="0CB8D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-/5000-6000</w:t>
            </w:r>
          </w:p>
        </w:tc>
        <w:tc>
          <w:tcPr>
            <w:tcW w:w="581" w:type="dxa"/>
          </w:tcPr>
          <w:p w14:paraId="2913D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12" w:type="dxa"/>
          </w:tcPr>
          <w:p w14:paraId="78B42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914" w:type="dxa"/>
          </w:tcPr>
          <w:p w14:paraId="32C370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907" w:type="dxa"/>
          </w:tcPr>
          <w:p w14:paraId="0EB6D2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пул, 2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831" w:type="dxa"/>
          </w:tcPr>
          <w:p w14:paraId="16AB8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c>
          <w:tcPr>
            <w:tcW w:w="763" w:type="dxa"/>
          </w:tcPr>
          <w:p w14:paraId="4EA558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763" w:type="dxa"/>
          </w:tcPr>
          <w:p w14:paraId="383F78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плана № 1</w:t>
            </w:r>
          </w:p>
        </w:tc>
      </w:tr>
      <w:tr w:rsidR="001002C3" w:rsidRPr="007122AB" w14:paraId="4F44125D" w14:textId="77777777">
        <w:tc>
          <w:tcPr>
            <w:tcW w:w="1668" w:type="dxa"/>
          </w:tcPr>
          <w:p w14:paraId="21395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Тяжелый бомбовоз</w:t>
            </w:r>
          </w:p>
        </w:tc>
        <w:tc>
          <w:tcPr>
            <w:tcW w:w="850" w:type="dxa"/>
          </w:tcPr>
          <w:p w14:paraId="2F1060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ТБ4бис-6М34</w:t>
            </w:r>
          </w:p>
        </w:tc>
        <w:tc>
          <w:tcPr>
            <w:tcW w:w="992" w:type="dxa"/>
          </w:tcPr>
          <w:p w14:paraId="225D93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01.08.1932</w:t>
            </w:r>
          </w:p>
        </w:tc>
        <w:tc>
          <w:tcPr>
            <w:tcW w:w="834" w:type="dxa"/>
          </w:tcPr>
          <w:p w14:paraId="7AE6D9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009" w:type="dxa"/>
          </w:tcPr>
          <w:p w14:paraId="053BF9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81" w:type="dxa"/>
          </w:tcPr>
          <w:p w14:paraId="68D34B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12" w:type="dxa"/>
          </w:tcPr>
          <w:p w14:paraId="0D0550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914" w:type="dxa"/>
          </w:tcPr>
          <w:p w14:paraId="1FEE7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907" w:type="dxa"/>
          </w:tcPr>
          <w:p w14:paraId="1B2EA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пул, 2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831" w:type="dxa"/>
          </w:tcPr>
          <w:p w14:paraId="67AC5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5967DC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763" w:type="dxa"/>
          </w:tcPr>
          <w:p w14:paraId="0086D2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плана № 1</w:t>
            </w:r>
          </w:p>
        </w:tc>
      </w:tr>
      <w:tr w:rsidR="001002C3" w:rsidRPr="007122AB" w14:paraId="15F106BE" w14:textId="77777777">
        <w:tc>
          <w:tcPr>
            <w:tcW w:w="1668" w:type="dxa"/>
          </w:tcPr>
          <w:p w14:paraId="018167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Тяж. хим. боевик (для горючего</w:t>
            </w:r>
          </w:p>
        </w:tc>
        <w:tc>
          <w:tcPr>
            <w:tcW w:w="850" w:type="dxa"/>
          </w:tcPr>
          <w:p w14:paraId="5C68D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Х1-2М34</w:t>
            </w:r>
          </w:p>
        </w:tc>
        <w:tc>
          <w:tcPr>
            <w:tcW w:w="992" w:type="dxa"/>
          </w:tcPr>
          <w:p w14:paraId="3DD154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01.09.1932</w:t>
            </w:r>
          </w:p>
        </w:tc>
        <w:tc>
          <w:tcPr>
            <w:tcW w:w="834" w:type="dxa"/>
          </w:tcPr>
          <w:p w14:paraId="22B0E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250/3000</w:t>
            </w:r>
          </w:p>
        </w:tc>
        <w:tc>
          <w:tcPr>
            <w:tcW w:w="1009" w:type="dxa"/>
          </w:tcPr>
          <w:p w14:paraId="77C0C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81" w:type="dxa"/>
          </w:tcPr>
          <w:p w14:paraId="39EAE0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w:t>
            </w:r>
          </w:p>
        </w:tc>
        <w:tc>
          <w:tcPr>
            <w:tcW w:w="912" w:type="dxa"/>
          </w:tcPr>
          <w:p w14:paraId="02A64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450/600</w:t>
            </w:r>
          </w:p>
        </w:tc>
        <w:tc>
          <w:tcPr>
            <w:tcW w:w="914" w:type="dxa"/>
          </w:tcPr>
          <w:p w14:paraId="400C4C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2000/3000</w:t>
            </w:r>
          </w:p>
        </w:tc>
        <w:tc>
          <w:tcPr>
            <w:tcW w:w="907" w:type="dxa"/>
          </w:tcPr>
          <w:p w14:paraId="32D8AC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D624D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7F3147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763" w:type="dxa"/>
          </w:tcPr>
          <w:p w14:paraId="208B2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019BE5" w14:textId="77777777">
        <w:tc>
          <w:tcPr>
            <w:tcW w:w="1668" w:type="dxa"/>
          </w:tcPr>
          <w:p w14:paraId="5A9C5C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пассажирский)</w:t>
            </w:r>
          </w:p>
        </w:tc>
        <w:tc>
          <w:tcPr>
            <w:tcW w:w="850" w:type="dxa"/>
          </w:tcPr>
          <w:p w14:paraId="3BA78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FBC1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6455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D1F74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AC05D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0CCA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5B944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F7BB8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859F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7AED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F87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E8E46C3" w14:textId="77777777">
        <w:tc>
          <w:tcPr>
            <w:tcW w:w="1668" w:type="dxa"/>
          </w:tcPr>
          <w:p w14:paraId="5DC68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Крейсер </w:t>
            </w:r>
            <w:proofErr w:type="spellStart"/>
            <w:r w:rsidRPr="007122AB">
              <w:rPr>
                <w:rFonts w:ascii="Times New Roman" w:hAnsi="Times New Roman"/>
                <w:color w:val="000000" w:themeColor="text1"/>
                <w:sz w:val="16"/>
                <w:szCs w:val="16"/>
              </w:rPr>
              <w:t>сухоп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средн</w:t>
            </w:r>
            <w:proofErr w:type="spellEnd"/>
            <w:r w:rsidRPr="007122AB">
              <w:rPr>
                <w:rFonts w:ascii="Times New Roman" w:hAnsi="Times New Roman"/>
                <w:color w:val="000000" w:themeColor="text1"/>
                <w:sz w:val="16"/>
                <w:szCs w:val="16"/>
              </w:rPr>
              <w:t xml:space="preserve">. </w:t>
            </w:r>
          </w:p>
        </w:tc>
        <w:tc>
          <w:tcPr>
            <w:tcW w:w="850" w:type="dxa"/>
          </w:tcPr>
          <w:p w14:paraId="24BCBA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К1-2М34</w:t>
            </w:r>
          </w:p>
        </w:tc>
        <w:tc>
          <w:tcPr>
            <w:tcW w:w="992" w:type="dxa"/>
          </w:tcPr>
          <w:p w14:paraId="773D45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01.11.1932</w:t>
            </w:r>
          </w:p>
        </w:tc>
        <w:tc>
          <w:tcPr>
            <w:tcW w:w="834" w:type="dxa"/>
          </w:tcPr>
          <w:p w14:paraId="0490CA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c>
          <w:tcPr>
            <w:tcW w:w="1009" w:type="dxa"/>
          </w:tcPr>
          <w:p w14:paraId="41B03C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581" w:type="dxa"/>
          </w:tcPr>
          <w:p w14:paraId="210A4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w:t>
            </w:r>
          </w:p>
        </w:tc>
        <w:tc>
          <w:tcPr>
            <w:tcW w:w="912" w:type="dxa"/>
          </w:tcPr>
          <w:p w14:paraId="235895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1000/1250</w:t>
            </w:r>
          </w:p>
        </w:tc>
        <w:tc>
          <w:tcPr>
            <w:tcW w:w="914" w:type="dxa"/>
          </w:tcPr>
          <w:p w14:paraId="185943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907" w:type="dxa"/>
          </w:tcPr>
          <w:p w14:paraId="3371BE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тяж. и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2DB863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Сталь/дюраль</w:t>
            </w:r>
          </w:p>
        </w:tc>
        <w:tc>
          <w:tcPr>
            <w:tcW w:w="763" w:type="dxa"/>
          </w:tcPr>
          <w:p w14:paraId="15C16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Р6-МИ3</w:t>
            </w:r>
          </w:p>
        </w:tc>
        <w:tc>
          <w:tcPr>
            <w:tcW w:w="763" w:type="dxa"/>
          </w:tcPr>
          <w:p w14:paraId="38917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плана № 1</w:t>
            </w:r>
          </w:p>
        </w:tc>
      </w:tr>
      <w:tr w:rsidR="001002C3" w:rsidRPr="007122AB" w14:paraId="31868905" w14:textId="77777777">
        <w:tc>
          <w:tcPr>
            <w:tcW w:w="1668" w:type="dxa"/>
          </w:tcPr>
          <w:p w14:paraId="733D8C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бомб. </w:t>
            </w: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разведч</w:t>
            </w:r>
            <w:proofErr w:type="spellEnd"/>
            <w:r w:rsidRPr="007122AB">
              <w:rPr>
                <w:rFonts w:ascii="Times New Roman" w:hAnsi="Times New Roman"/>
                <w:color w:val="000000" w:themeColor="text1"/>
                <w:sz w:val="16"/>
                <w:szCs w:val="16"/>
              </w:rPr>
              <w:t>.</w:t>
            </w:r>
          </w:p>
        </w:tc>
        <w:tc>
          <w:tcPr>
            <w:tcW w:w="850" w:type="dxa"/>
          </w:tcPr>
          <w:p w14:paraId="1B3BF0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932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98A1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2B92E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546B0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3F928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8956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61D6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0ABF4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FC60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ADF3F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497BE32" w14:textId="77777777">
        <w:tc>
          <w:tcPr>
            <w:tcW w:w="1668" w:type="dxa"/>
          </w:tcPr>
          <w:p w14:paraId="114354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Многоместный истребитель</w:t>
            </w:r>
          </w:p>
        </w:tc>
        <w:tc>
          <w:tcPr>
            <w:tcW w:w="850" w:type="dxa"/>
          </w:tcPr>
          <w:p w14:paraId="5EFDD6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МИ3-2М34</w:t>
            </w:r>
          </w:p>
        </w:tc>
        <w:tc>
          <w:tcPr>
            <w:tcW w:w="992" w:type="dxa"/>
          </w:tcPr>
          <w:p w14:paraId="4B2B94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01.01.1932</w:t>
            </w:r>
          </w:p>
        </w:tc>
        <w:tc>
          <w:tcPr>
            <w:tcW w:w="834" w:type="dxa"/>
          </w:tcPr>
          <w:p w14:paraId="61E12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c>
          <w:tcPr>
            <w:tcW w:w="1009" w:type="dxa"/>
          </w:tcPr>
          <w:p w14:paraId="15D38E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5000/7000-8000/15-18</w:t>
            </w:r>
          </w:p>
        </w:tc>
        <w:tc>
          <w:tcPr>
            <w:tcW w:w="581" w:type="dxa"/>
          </w:tcPr>
          <w:p w14:paraId="701B1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12" w:type="dxa"/>
          </w:tcPr>
          <w:p w14:paraId="5B29F0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p w14:paraId="730A8B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 штабом РККА </w:t>
            </w:r>
            <w:proofErr w:type="spellStart"/>
            <w:r w:rsidRPr="007122AB">
              <w:rPr>
                <w:rFonts w:ascii="Times New Roman" w:hAnsi="Times New Roman"/>
                <w:color w:val="000000" w:themeColor="text1"/>
                <w:sz w:val="16"/>
                <w:szCs w:val="16"/>
              </w:rPr>
              <w:t>согл</w:t>
            </w:r>
            <w:proofErr w:type="spellEnd"/>
            <w:r w:rsidRPr="007122AB">
              <w:rPr>
                <w:rFonts w:ascii="Times New Roman" w:hAnsi="Times New Roman"/>
                <w:color w:val="000000" w:themeColor="text1"/>
                <w:sz w:val="16"/>
                <w:szCs w:val="16"/>
              </w:rPr>
              <w:t>. Уменьш. До 500</w:t>
            </w:r>
          </w:p>
        </w:tc>
        <w:tc>
          <w:tcPr>
            <w:tcW w:w="914" w:type="dxa"/>
          </w:tcPr>
          <w:p w14:paraId="76847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535FA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 пул, 1 пушка</w:t>
            </w:r>
          </w:p>
        </w:tc>
        <w:tc>
          <w:tcPr>
            <w:tcW w:w="831" w:type="dxa"/>
          </w:tcPr>
          <w:p w14:paraId="189C4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c>
          <w:tcPr>
            <w:tcW w:w="763" w:type="dxa"/>
          </w:tcPr>
          <w:p w14:paraId="3FAA2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3" w:type="dxa"/>
          </w:tcPr>
          <w:p w14:paraId="7D22A1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плана № 1</w:t>
            </w:r>
          </w:p>
        </w:tc>
      </w:tr>
      <w:tr w:rsidR="001002C3" w:rsidRPr="007122AB" w14:paraId="58979739" w14:textId="77777777">
        <w:tc>
          <w:tcPr>
            <w:tcW w:w="1668" w:type="dxa"/>
          </w:tcPr>
          <w:p w14:paraId="3C685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Двухместный истребитель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850" w:type="dxa"/>
          </w:tcPr>
          <w:p w14:paraId="09F9A8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ДИП1-М34</w:t>
            </w:r>
          </w:p>
        </w:tc>
        <w:tc>
          <w:tcPr>
            <w:tcW w:w="992" w:type="dxa"/>
          </w:tcPr>
          <w:p w14:paraId="49D15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01.08.1932</w:t>
            </w:r>
          </w:p>
        </w:tc>
        <w:tc>
          <w:tcPr>
            <w:tcW w:w="834" w:type="dxa"/>
          </w:tcPr>
          <w:p w14:paraId="7F7088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325/5000</w:t>
            </w:r>
          </w:p>
        </w:tc>
        <w:tc>
          <w:tcPr>
            <w:tcW w:w="1009" w:type="dxa"/>
          </w:tcPr>
          <w:p w14:paraId="1B34C9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5000/8000/10-12</w:t>
            </w:r>
          </w:p>
        </w:tc>
        <w:tc>
          <w:tcPr>
            <w:tcW w:w="581" w:type="dxa"/>
          </w:tcPr>
          <w:p w14:paraId="5323C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90-100</w:t>
            </w:r>
          </w:p>
        </w:tc>
        <w:tc>
          <w:tcPr>
            <w:tcW w:w="912" w:type="dxa"/>
          </w:tcPr>
          <w:p w14:paraId="1E1DD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300/600</w:t>
            </w:r>
          </w:p>
        </w:tc>
        <w:tc>
          <w:tcPr>
            <w:tcW w:w="914" w:type="dxa"/>
          </w:tcPr>
          <w:p w14:paraId="7A23DE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907" w:type="dxa"/>
          </w:tcPr>
          <w:p w14:paraId="4D28A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ДРП и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2B319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c>
          <w:tcPr>
            <w:tcW w:w="763" w:type="dxa"/>
          </w:tcPr>
          <w:p w14:paraId="27D1DA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И12</w:t>
            </w:r>
          </w:p>
        </w:tc>
        <w:tc>
          <w:tcPr>
            <w:tcW w:w="763" w:type="dxa"/>
          </w:tcPr>
          <w:p w14:paraId="38BD7E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E80B88" w14:textId="77777777">
        <w:tc>
          <w:tcPr>
            <w:tcW w:w="1668" w:type="dxa"/>
          </w:tcPr>
          <w:p w14:paraId="4A913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Двухместный истребитель,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850" w:type="dxa"/>
          </w:tcPr>
          <w:p w14:paraId="40AA36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992" w:type="dxa"/>
          </w:tcPr>
          <w:p w14:paraId="5CF04B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01.07.1932</w:t>
            </w:r>
          </w:p>
        </w:tc>
        <w:tc>
          <w:tcPr>
            <w:tcW w:w="834" w:type="dxa"/>
          </w:tcPr>
          <w:p w14:paraId="098C8E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375/5000</w:t>
            </w:r>
          </w:p>
        </w:tc>
        <w:tc>
          <w:tcPr>
            <w:tcW w:w="1009" w:type="dxa"/>
          </w:tcPr>
          <w:p w14:paraId="704EC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5000/9000/9</w:t>
            </w:r>
          </w:p>
        </w:tc>
        <w:tc>
          <w:tcPr>
            <w:tcW w:w="581" w:type="dxa"/>
          </w:tcPr>
          <w:p w14:paraId="18E102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90-100</w:t>
            </w:r>
          </w:p>
        </w:tc>
        <w:tc>
          <w:tcPr>
            <w:tcW w:w="912" w:type="dxa"/>
          </w:tcPr>
          <w:p w14:paraId="0B28F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400/700</w:t>
            </w:r>
          </w:p>
        </w:tc>
        <w:tc>
          <w:tcPr>
            <w:tcW w:w="914" w:type="dxa"/>
          </w:tcPr>
          <w:p w14:paraId="3D4D3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907" w:type="dxa"/>
          </w:tcPr>
          <w:p w14:paraId="565C0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или тяж. пул.</w:t>
            </w:r>
          </w:p>
        </w:tc>
        <w:tc>
          <w:tcPr>
            <w:tcW w:w="831" w:type="dxa"/>
          </w:tcPr>
          <w:p w14:paraId="22BC93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 Трубы/дер.</w:t>
            </w:r>
          </w:p>
        </w:tc>
        <w:tc>
          <w:tcPr>
            <w:tcW w:w="763" w:type="dxa"/>
          </w:tcPr>
          <w:p w14:paraId="377BD9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ДИ4-Р5</w:t>
            </w:r>
          </w:p>
        </w:tc>
        <w:tc>
          <w:tcPr>
            <w:tcW w:w="763" w:type="dxa"/>
          </w:tcPr>
          <w:p w14:paraId="255AA7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98DF256" w14:textId="77777777">
        <w:tc>
          <w:tcPr>
            <w:tcW w:w="1668" w:type="dxa"/>
          </w:tcPr>
          <w:p w14:paraId="5E0F2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пикир</w:t>
            </w:r>
            <w:proofErr w:type="spellEnd"/>
            <w:r w:rsidRPr="007122AB">
              <w:rPr>
                <w:rFonts w:ascii="Times New Roman" w:hAnsi="Times New Roman"/>
                <w:color w:val="000000" w:themeColor="text1"/>
                <w:sz w:val="16"/>
                <w:szCs w:val="16"/>
              </w:rPr>
              <w:t xml:space="preserve">. бомбард., </w:t>
            </w: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 (скор.</w:t>
            </w:r>
          </w:p>
        </w:tc>
        <w:tc>
          <w:tcPr>
            <w:tcW w:w="850" w:type="dxa"/>
          </w:tcPr>
          <w:p w14:paraId="063AD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5A5A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74FF0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0D19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3655D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2B97F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152E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50D4B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A263A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A6FE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C7AA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B4E66F2" w14:textId="77777777">
        <w:tc>
          <w:tcPr>
            <w:tcW w:w="1668" w:type="dxa"/>
          </w:tcPr>
          <w:p w14:paraId="75967B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Почтовый)</w:t>
            </w:r>
          </w:p>
        </w:tc>
        <w:tc>
          <w:tcPr>
            <w:tcW w:w="850" w:type="dxa"/>
          </w:tcPr>
          <w:p w14:paraId="29172D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92828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4A8D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B85E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AF0B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0E66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18F8F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B9368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1123D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BC2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4F3E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2B8B626" w14:textId="77777777">
        <w:tc>
          <w:tcPr>
            <w:tcW w:w="1668" w:type="dxa"/>
          </w:tcPr>
          <w:p w14:paraId="49D01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Одноместный </w:t>
            </w:r>
            <w:proofErr w:type="spellStart"/>
            <w:r w:rsidRPr="007122AB">
              <w:rPr>
                <w:rFonts w:ascii="Times New Roman" w:hAnsi="Times New Roman"/>
                <w:color w:val="000000" w:themeColor="text1"/>
                <w:sz w:val="16"/>
                <w:szCs w:val="16"/>
              </w:rPr>
              <w:t>истреб</w:t>
            </w:r>
            <w:proofErr w:type="spellEnd"/>
            <w:r w:rsidRPr="007122AB">
              <w:rPr>
                <w:rFonts w:ascii="Times New Roman" w:hAnsi="Times New Roman"/>
                <w:color w:val="000000" w:themeColor="text1"/>
                <w:sz w:val="16"/>
                <w:szCs w:val="16"/>
              </w:rPr>
              <w:t>.</w:t>
            </w:r>
          </w:p>
        </w:tc>
        <w:tc>
          <w:tcPr>
            <w:tcW w:w="850" w:type="dxa"/>
          </w:tcPr>
          <w:p w14:paraId="4EEF82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И13-М32</w:t>
            </w:r>
          </w:p>
        </w:tc>
        <w:tc>
          <w:tcPr>
            <w:tcW w:w="992" w:type="dxa"/>
          </w:tcPr>
          <w:p w14:paraId="555C4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01.10.1932</w:t>
            </w:r>
          </w:p>
        </w:tc>
        <w:tc>
          <w:tcPr>
            <w:tcW w:w="834" w:type="dxa"/>
          </w:tcPr>
          <w:p w14:paraId="4FA5A3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425/5000</w:t>
            </w:r>
          </w:p>
        </w:tc>
        <w:tc>
          <w:tcPr>
            <w:tcW w:w="1009" w:type="dxa"/>
          </w:tcPr>
          <w:p w14:paraId="20906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8000/11000/6 на 5000</w:t>
            </w:r>
          </w:p>
        </w:tc>
        <w:tc>
          <w:tcPr>
            <w:tcW w:w="581" w:type="dxa"/>
          </w:tcPr>
          <w:p w14:paraId="5E58ED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90-100</w:t>
            </w:r>
          </w:p>
        </w:tc>
        <w:tc>
          <w:tcPr>
            <w:tcW w:w="912" w:type="dxa"/>
          </w:tcPr>
          <w:p w14:paraId="14A0F1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914" w:type="dxa"/>
          </w:tcPr>
          <w:p w14:paraId="7D61C9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tc>
        <w:tc>
          <w:tcPr>
            <w:tcW w:w="907" w:type="dxa"/>
          </w:tcPr>
          <w:p w14:paraId="2B779B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или тяж. пул.</w:t>
            </w:r>
          </w:p>
        </w:tc>
        <w:tc>
          <w:tcPr>
            <w:tcW w:w="831" w:type="dxa"/>
          </w:tcPr>
          <w:p w14:paraId="268341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 трубы/дер.</w:t>
            </w:r>
          </w:p>
        </w:tc>
        <w:tc>
          <w:tcPr>
            <w:tcW w:w="763" w:type="dxa"/>
          </w:tcPr>
          <w:p w14:paraId="14642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763" w:type="dxa"/>
          </w:tcPr>
          <w:p w14:paraId="62495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0659BC6" w14:textId="77777777">
        <w:tc>
          <w:tcPr>
            <w:tcW w:w="1668" w:type="dxa"/>
          </w:tcPr>
          <w:p w14:paraId="73308F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скоростн</w:t>
            </w:r>
            <w:proofErr w:type="spellEnd"/>
            <w:r w:rsidRPr="007122AB">
              <w:rPr>
                <w:rFonts w:ascii="Times New Roman" w:hAnsi="Times New Roman"/>
                <w:color w:val="000000" w:themeColor="text1"/>
                <w:sz w:val="16"/>
                <w:szCs w:val="16"/>
              </w:rPr>
              <w:t>.)</w:t>
            </w:r>
          </w:p>
        </w:tc>
        <w:tc>
          <w:tcPr>
            <w:tcW w:w="850" w:type="dxa"/>
          </w:tcPr>
          <w:p w14:paraId="28F51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91F7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0BFEC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DD4E3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B20D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DC21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C06C3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A9614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A9EBE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709F7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477BB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3578DA4" w14:textId="77777777">
        <w:tc>
          <w:tcPr>
            <w:tcW w:w="1668" w:type="dxa"/>
          </w:tcPr>
          <w:p w14:paraId="3515F3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Одноместный </w:t>
            </w:r>
            <w:proofErr w:type="spellStart"/>
            <w:r w:rsidRPr="007122AB">
              <w:rPr>
                <w:rFonts w:ascii="Times New Roman" w:hAnsi="Times New Roman"/>
                <w:color w:val="000000" w:themeColor="text1"/>
                <w:sz w:val="16"/>
                <w:szCs w:val="16"/>
              </w:rPr>
              <w:t>истреб</w:t>
            </w:r>
            <w:proofErr w:type="spellEnd"/>
            <w:r w:rsidRPr="007122AB">
              <w:rPr>
                <w:rFonts w:ascii="Times New Roman" w:hAnsi="Times New Roman"/>
                <w:color w:val="000000" w:themeColor="text1"/>
                <w:sz w:val="16"/>
                <w:szCs w:val="16"/>
              </w:rPr>
              <w:t>.</w:t>
            </w:r>
          </w:p>
        </w:tc>
        <w:tc>
          <w:tcPr>
            <w:tcW w:w="850" w:type="dxa"/>
          </w:tcPr>
          <w:p w14:paraId="2619A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И14-М38</w:t>
            </w:r>
          </w:p>
        </w:tc>
        <w:tc>
          <w:tcPr>
            <w:tcW w:w="992" w:type="dxa"/>
          </w:tcPr>
          <w:p w14:paraId="412828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01.08.1933</w:t>
            </w:r>
          </w:p>
        </w:tc>
        <w:tc>
          <w:tcPr>
            <w:tcW w:w="834" w:type="dxa"/>
          </w:tcPr>
          <w:p w14:paraId="3CA1DD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400/5000</w:t>
            </w:r>
          </w:p>
        </w:tc>
        <w:tc>
          <w:tcPr>
            <w:tcW w:w="1009" w:type="dxa"/>
          </w:tcPr>
          <w:p w14:paraId="28B627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8000/12000/5 на 5000</w:t>
            </w:r>
          </w:p>
        </w:tc>
        <w:tc>
          <w:tcPr>
            <w:tcW w:w="581" w:type="dxa"/>
          </w:tcPr>
          <w:p w14:paraId="6F1A31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90-100</w:t>
            </w:r>
          </w:p>
        </w:tc>
        <w:tc>
          <w:tcPr>
            <w:tcW w:w="912" w:type="dxa"/>
          </w:tcPr>
          <w:p w14:paraId="5AED1D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914" w:type="dxa"/>
          </w:tcPr>
          <w:p w14:paraId="55A051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026652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или тяж. пул.</w:t>
            </w:r>
          </w:p>
        </w:tc>
        <w:tc>
          <w:tcPr>
            <w:tcW w:w="831" w:type="dxa"/>
          </w:tcPr>
          <w:p w14:paraId="2A784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 трубы/дер.</w:t>
            </w:r>
          </w:p>
        </w:tc>
        <w:tc>
          <w:tcPr>
            <w:tcW w:w="763" w:type="dxa"/>
          </w:tcPr>
          <w:p w14:paraId="63DB55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763" w:type="dxa"/>
          </w:tcPr>
          <w:p w14:paraId="706525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86FD115" w14:textId="77777777">
        <w:tc>
          <w:tcPr>
            <w:tcW w:w="1668" w:type="dxa"/>
          </w:tcPr>
          <w:p w14:paraId="00E1CE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скоропод</w:t>
            </w:r>
            <w:proofErr w:type="spellEnd"/>
            <w:r w:rsidRPr="007122AB">
              <w:rPr>
                <w:rFonts w:ascii="Times New Roman" w:hAnsi="Times New Roman"/>
                <w:color w:val="000000" w:themeColor="text1"/>
                <w:sz w:val="16"/>
                <w:szCs w:val="16"/>
              </w:rPr>
              <w:t>.)</w:t>
            </w:r>
          </w:p>
        </w:tc>
        <w:tc>
          <w:tcPr>
            <w:tcW w:w="850" w:type="dxa"/>
          </w:tcPr>
          <w:p w14:paraId="71BEE3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22CB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8D875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32C23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F4C3A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A6B0D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7F636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BA6C5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801BB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57C4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6EF9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EF149A" w14:textId="77777777">
        <w:tc>
          <w:tcPr>
            <w:tcW w:w="1668" w:type="dxa"/>
          </w:tcPr>
          <w:p w14:paraId="64B4CB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Войсковой самолет,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w:t>
            </w:r>
          </w:p>
        </w:tc>
        <w:tc>
          <w:tcPr>
            <w:tcW w:w="850" w:type="dxa"/>
          </w:tcPr>
          <w:p w14:paraId="06DE82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ВC2-2М33</w:t>
            </w:r>
          </w:p>
        </w:tc>
        <w:tc>
          <w:tcPr>
            <w:tcW w:w="992" w:type="dxa"/>
          </w:tcPr>
          <w:p w14:paraId="21525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01.07.1932</w:t>
            </w:r>
          </w:p>
        </w:tc>
        <w:tc>
          <w:tcPr>
            <w:tcW w:w="834" w:type="dxa"/>
          </w:tcPr>
          <w:p w14:paraId="6E67D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250/3000</w:t>
            </w:r>
          </w:p>
        </w:tc>
        <w:tc>
          <w:tcPr>
            <w:tcW w:w="1009" w:type="dxa"/>
          </w:tcPr>
          <w:p w14:paraId="21F66E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581" w:type="dxa"/>
          </w:tcPr>
          <w:p w14:paraId="05EA6F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50-60</w:t>
            </w:r>
          </w:p>
        </w:tc>
        <w:tc>
          <w:tcPr>
            <w:tcW w:w="912" w:type="dxa"/>
          </w:tcPr>
          <w:p w14:paraId="0DD3B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350/600</w:t>
            </w:r>
          </w:p>
        </w:tc>
        <w:tc>
          <w:tcPr>
            <w:tcW w:w="914" w:type="dxa"/>
          </w:tcPr>
          <w:p w14:paraId="0EB7C1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w:t>
            </w:r>
          </w:p>
        </w:tc>
        <w:tc>
          <w:tcPr>
            <w:tcW w:w="907" w:type="dxa"/>
          </w:tcPr>
          <w:p w14:paraId="3A84B2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0FB7A6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 трубы/дер.</w:t>
            </w:r>
          </w:p>
        </w:tc>
        <w:tc>
          <w:tcPr>
            <w:tcW w:w="763" w:type="dxa"/>
          </w:tcPr>
          <w:p w14:paraId="137F62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 К5</w:t>
            </w:r>
          </w:p>
        </w:tc>
        <w:tc>
          <w:tcPr>
            <w:tcW w:w="763" w:type="dxa"/>
          </w:tcPr>
          <w:p w14:paraId="18E7FD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Вместо Р9</w:t>
            </w:r>
          </w:p>
        </w:tc>
      </w:tr>
      <w:tr w:rsidR="001002C3" w:rsidRPr="007122AB" w14:paraId="79074D91" w14:textId="77777777">
        <w:tc>
          <w:tcPr>
            <w:tcW w:w="1668" w:type="dxa"/>
          </w:tcPr>
          <w:p w14:paraId="6CF626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хим. боевик, (сам. борьбы с </w:t>
            </w:r>
          </w:p>
        </w:tc>
        <w:tc>
          <w:tcPr>
            <w:tcW w:w="850" w:type="dxa"/>
          </w:tcPr>
          <w:p w14:paraId="3A3191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97FD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3D53E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BCA1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D8A74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3959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DCFF7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56E6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6C396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86DAA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23512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D8EFFDE" w14:textId="77777777">
        <w:tc>
          <w:tcPr>
            <w:tcW w:w="1668" w:type="dxa"/>
          </w:tcPr>
          <w:p w14:paraId="2837B2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вред. с/х и лесов, </w:t>
            </w:r>
            <w:proofErr w:type="spellStart"/>
            <w:r w:rsidRPr="007122AB">
              <w:rPr>
                <w:rFonts w:ascii="Times New Roman" w:hAnsi="Times New Roman"/>
                <w:color w:val="000000" w:themeColor="text1"/>
                <w:sz w:val="16"/>
                <w:szCs w:val="16"/>
              </w:rPr>
              <w:t>фотосъем</w:t>
            </w:r>
            <w:proofErr w:type="spellEnd"/>
            <w:r w:rsidRPr="007122AB">
              <w:rPr>
                <w:rFonts w:ascii="Times New Roman" w:hAnsi="Times New Roman"/>
                <w:color w:val="000000" w:themeColor="text1"/>
                <w:sz w:val="16"/>
                <w:szCs w:val="16"/>
              </w:rPr>
              <w:t>,</w:t>
            </w:r>
          </w:p>
        </w:tc>
        <w:tc>
          <w:tcPr>
            <w:tcW w:w="850" w:type="dxa"/>
          </w:tcPr>
          <w:p w14:paraId="7BC31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BF7F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E8EAC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28EE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0252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CAF4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BA14A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5ABFB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E42E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9D097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242F3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214B86F" w14:textId="77777777">
        <w:tc>
          <w:tcPr>
            <w:tcW w:w="1668" w:type="dxa"/>
          </w:tcPr>
          <w:p w14:paraId="71FADB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санит</w:t>
            </w:r>
            <w:proofErr w:type="spellEnd"/>
            <w:r w:rsidRPr="007122AB">
              <w:rPr>
                <w:rFonts w:ascii="Times New Roman" w:hAnsi="Times New Roman"/>
                <w:color w:val="000000" w:themeColor="text1"/>
                <w:sz w:val="16"/>
                <w:szCs w:val="16"/>
              </w:rPr>
              <w:t>, пас.)</w:t>
            </w:r>
          </w:p>
        </w:tc>
        <w:tc>
          <w:tcPr>
            <w:tcW w:w="850" w:type="dxa"/>
          </w:tcPr>
          <w:p w14:paraId="3FB1DD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9DCD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1ED6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A8ADB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C1251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5BB49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CFF3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47C5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A671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F20C3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6E59F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91DD2AB" w14:textId="77777777">
        <w:tc>
          <w:tcPr>
            <w:tcW w:w="1668" w:type="dxa"/>
          </w:tcPr>
          <w:p w14:paraId="6FF418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w:t>
            </w:r>
            <w:proofErr w:type="spellStart"/>
            <w:r w:rsidRPr="007122AB">
              <w:rPr>
                <w:rFonts w:ascii="Times New Roman" w:hAnsi="Times New Roman"/>
                <w:color w:val="000000" w:themeColor="text1"/>
                <w:sz w:val="16"/>
                <w:szCs w:val="16"/>
              </w:rPr>
              <w:t>Переходн</w:t>
            </w:r>
            <w:proofErr w:type="spellEnd"/>
            <w:r w:rsidRPr="007122AB">
              <w:rPr>
                <w:rFonts w:ascii="Times New Roman" w:hAnsi="Times New Roman"/>
                <w:color w:val="000000" w:themeColor="text1"/>
                <w:sz w:val="16"/>
                <w:szCs w:val="16"/>
              </w:rPr>
              <w:t>. для школ и корп.</w:t>
            </w:r>
          </w:p>
        </w:tc>
        <w:tc>
          <w:tcPr>
            <w:tcW w:w="850" w:type="dxa"/>
          </w:tcPr>
          <w:p w14:paraId="026067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П3-М52</w:t>
            </w:r>
          </w:p>
        </w:tc>
        <w:tc>
          <w:tcPr>
            <w:tcW w:w="992" w:type="dxa"/>
          </w:tcPr>
          <w:p w14:paraId="4778E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01.05.1933</w:t>
            </w:r>
          </w:p>
        </w:tc>
        <w:tc>
          <w:tcPr>
            <w:tcW w:w="834" w:type="dxa"/>
          </w:tcPr>
          <w:p w14:paraId="03C71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250/3000</w:t>
            </w:r>
          </w:p>
        </w:tc>
        <w:tc>
          <w:tcPr>
            <w:tcW w:w="1009" w:type="dxa"/>
          </w:tcPr>
          <w:p w14:paraId="07DE2C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3000/5000/-</w:t>
            </w:r>
          </w:p>
        </w:tc>
        <w:tc>
          <w:tcPr>
            <w:tcW w:w="581" w:type="dxa"/>
          </w:tcPr>
          <w:p w14:paraId="714D9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70-80</w:t>
            </w:r>
          </w:p>
        </w:tc>
        <w:tc>
          <w:tcPr>
            <w:tcW w:w="912" w:type="dxa"/>
          </w:tcPr>
          <w:p w14:paraId="48C5E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914" w:type="dxa"/>
          </w:tcPr>
          <w:p w14:paraId="6B6C7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3A9837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7C8CFB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63" w:type="dxa"/>
          </w:tcPr>
          <w:p w14:paraId="47880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3" w:type="dxa"/>
          </w:tcPr>
          <w:p w14:paraId="48D89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AD10B9F" w14:textId="77777777">
        <w:tc>
          <w:tcPr>
            <w:tcW w:w="1668" w:type="dxa"/>
          </w:tcPr>
          <w:p w14:paraId="4827C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 xml:space="preserve">., (самолет </w:t>
            </w: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 авиации)</w:t>
            </w:r>
          </w:p>
        </w:tc>
        <w:tc>
          <w:tcPr>
            <w:tcW w:w="850" w:type="dxa"/>
          </w:tcPr>
          <w:p w14:paraId="3A223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D391B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2F17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5175D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C6918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6EAA0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21F6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8FE7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4714D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9B32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9025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FA5BBA" w14:textId="77777777">
        <w:tc>
          <w:tcPr>
            <w:tcW w:w="1668" w:type="dxa"/>
          </w:tcPr>
          <w:p w14:paraId="30B78E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Учебный сам., связи и </w:t>
            </w:r>
            <w:proofErr w:type="spellStart"/>
            <w:r w:rsidRPr="007122AB">
              <w:rPr>
                <w:rFonts w:ascii="Times New Roman" w:hAnsi="Times New Roman"/>
                <w:color w:val="000000" w:themeColor="text1"/>
                <w:sz w:val="16"/>
                <w:szCs w:val="16"/>
              </w:rPr>
              <w:t>сопров</w:t>
            </w:r>
            <w:proofErr w:type="spellEnd"/>
            <w:r w:rsidRPr="007122AB">
              <w:rPr>
                <w:rFonts w:ascii="Times New Roman" w:hAnsi="Times New Roman"/>
                <w:color w:val="000000" w:themeColor="text1"/>
                <w:sz w:val="16"/>
                <w:szCs w:val="16"/>
              </w:rPr>
              <w:t>.</w:t>
            </w:r>
          </w:p>
        </w:tc>
        <w:tc>
          <w:tcPr>
            <w:tcW w:w="850" w:type="dxa"/>
          </w:tcPr>
          <w:p w14:paraId="0CEA75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У3-М48</w:t>
            </w:r>
          </w:p>
        </w:tc>
        <w:tc>
          <w:tcPr>
            <w:tcW w:w="992" w:type="dxa"/>
          </w:tcPr>
          <w:p w14:paraId="199FB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01.08.1932</w:t>
            </w:r>
          </w:p>
        </w:tc>
        <w:tc>
          <w:tcPr>
            <w:tcW w:w="834" w:type="dxa"/>
          </w:tcPr>
          <w:p w14:paraId="1F98E9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180/1000</w:t>
            </w:r>
          </w:p>
        </w:tc>
        <w:tc>
          <w:tcPr>
            <w:tcW w:w="1009" w:type="dxa"/>
          </w:tcPr>
          <w:p w14:paraId="484A82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1000/5000/-</w:t>
            </w:r>
          </w:p>
        </w:tc>
        <w:tc>
          <w:tcPr>
            <w:tcW w:w="581" w:type="dxa"/>
          </w:tcPr>
          <w:p w14:paraId="6D718F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50-60</w:t>
            </w:r>
          </w:p>
        </w:tc>
        <w:tc>
          <w:tcPr>
            <w:tcW w:w="912" w:type="dxa"/>
          </w:tcPr>
          <w:p w14:paraId="38AA85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360/-</w:t>
            </w:r>
          </w:p>
        </w:tc>
        <w:tc>
          <w:tcPr>
            <w:tcW w:w="914" w:type="dxa"/>
          </w:tcPr>
          <w:p w14:paraId="00D65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39F5D7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 фото или радио</w:t>
            </w:r>
          </w:p>
        </w:tc>
        <w:tc>
          <w:tcPr>
            <w:tcW w:w="831" w:type="dxa"/>
          </w:tcPr>
          <w:p w14:paraId="27602D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63" w:type="dxa"/>
          </w:tcPr>
          <w:p w14:paraId="2FD036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w:t>
            </w:r>
          </w:p>
        </w:tc>
        <w:tc>
          <w:tcPr>
            <w:tcW w:w="763" w:type="dxa"/>
          </w:tcPr>
          <w:p w14:paraId="61C49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63E11E5" w14:textId="77777777">
        <w:tc>
          <w:tcPr>
            <w:tcW w:w="1668" w:type="dxa"/>
          </w:tcPr>
          <w:p w14:paraId="3B9DBC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(туризм, спорт,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санит</w:t>
            </w:r>
            <w:proofErr w:type="spellEnd"/>
            <w:r w:rsidRPr="007122AB">
              <w:rPr>
                <w:rFonts w:ascii="Times New Roman" w:hAnsi="Times New Roman"/>
                <w:color w:val="000000" w:themeColor="text1"/>
                <w:sz w:val="16"/>
                <w:szCs w:val="16"/>
              </w:rPr>
              <w:t>.,</w:t>
            </w:r>
          </w:p>
        </w:tc>
        <w:tc>
          <w:tcPr>
            <w:tcW w:w="850" w:type="dxa"/>
          </w:tcPr>
          <w:p w14:paraId="2D43EB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A12C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F2F7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BBC5B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4107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73E11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31F9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FF49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8BFB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ED5CA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AD55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915173D" w14:textId="77777777">
        <w:tc>
          <w:tcPr>
            <w:tcW w:w="1668" w:type="dxa"/>
          </w:tcPr>
          <w:p w14:paraId="46417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местн</w:t>
            </w:r>
            <w:proofErr w:type="spellEnd"/>
            <w:r w:rsidRPr="007122AB">
              <w:rPr>
                <w:rFonts w:ascii="Times New Roman" w:hAnsi="Times New Roman"/>
                <w:color w:val="000000" w:themeColor="text1"/>
                <w:sz w:val="16"/>
                <w:szCs w:val="16"/>
              </w:rPr>
              <w:t>. авиация)</w:t>
            </w:r>
          </w:p>
        </w:tc>
        <w:tc>
          <w:tcPr>
            <w:tcW w:w="850" w:type="dxa"/>
          </w:tcPr>
          <w:p w14:paraId="59C2F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C90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5E568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CDF39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AAEA4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8EC35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8C0EB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C21B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49E18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01CAB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6F892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39881C9" w14:textId="77777777">
        <w:tc>
          <w:tcPr>
            <w:tcW w:w="1668" w:type="dxa"/>
          </w:tcPr>
          <w:p w14:paraId="49296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Гидросамолеты</w:t>
            </w:r>
          </w:p>
        </w:tc>
        <w:tc>
          <w:tcPr>
            <w:tcW w:w="850" w:type="dxa"/>
          </w:tcPr>
          <w:p w14:paraId="53F753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2427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B3AF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0232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FEA8D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45550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7FAD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DBA4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EC003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76619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2F45C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89B2D53" w14:textId="77777777">
        <w:tc>
          <w:tcPr>
            <w:tcW w:w="1668" w:type="dxa"/>
          </w:tcPr>
          <w:p w14:paraId="0CB7AB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16. Морской крейсер</w:t>
            </w:r>
          </w:p>
        </w:tc>
        <w:tc>
          <w:tcPr>
            <w:tcW w:w="850" w:type="dxa"/>
          </w:tcPr>
          <w:p w14:paraId="7D41D3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МК1-4М34</w:t>
            </w:r>
          </w:p>
        </w:tc>
        <w:tc>
          <w:tcPr>
            <w:tcW w:w="992" w:type="dxa"/>
          </w:tcPr>
          <w:p w14:paraId="615802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01.10.1932</w:t>
            </w:r>
          </w:p>
        </w:tc>
        <w:tc>
          <w:tcPr>
            <w:tcW w:w="834" w:type="dxa"/>
          </w:tcPr>
          <w:p w14:paraId="0857E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215/4000</w:t>
            </w:r>
          </w:p>
        </w:tc>
        <w:tc>
          <w:tcPr>
            <w:tcW w:w="1009" w:type="dxa"/>
          </w:tcPr>
          <w:p w14:paraId="2F4186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4000/5000/-</w:t>
            </w:r>
          </w:p>
        </w:tc>
        <w:tc>
          <w:tcPr>
            <w:tcW w:w="581" w:type="dxa"/>
          </w:tcPr>
          <w:p w14:paraId="7FCA31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108</w:t>
            </w:r>
          </w:p>
        </w:tc>
        <w:tc>
          <w:tcPr>
            <w:tcW w:w="912" w:type="dxa"/>
          </w:tcPr>
          <w:p w14:paraId="0ACBB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750/1200</w:t>
            </w:r>
          </w:p>
        </w:tc>
        <w:tc>
          <w:tcPr>
            <w:tcW w:w="914" w:type="dxa"/>
          </w:tcPr>
          <w:p w14:paraId="43CBFF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500-1800/3600</w:t>
            </w:r>
          </w:p>
        </w:tc>
        <w:tc>
          <w:tcPr>
            <w:tcW w:w="907" w:type="dxa"/>
          </w:tcPr>
          <w:p w14:paraId="04150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военное снаряжение на 1850/2230 кг</w:t>
            </w:r>
          </w:p>
        </w:tc>
        <w:tc>
          <w:tcPr>
            <w:tcW w:w="831" w:type="dxa"/>
          </w:tcPr>
          <w:p w14:paraId="36173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DC7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Переходн</w:t>
            </w:r>
            <w:proofErr w:type="spellEnd"/>
            <w:r w:rsidRPr="007122AB">
              <w:rPr>
                <w:rFonts w:ascii="Times New Roman" w:hAnsi="Times New Roman"/>
                <w:color w:val="000000" w:themeColor="text1"/>
                <w:sz w:val="16"/>
                <w:szCs w:val="16"/>
              </w:rPr>
              <w:t xml:space="preserve">. К МТБ-3. Использование по линии ВОГВФ не </w:t>
            </w:r>
            <w:proofErr w:type="spellStart"/>
            <w:r w:rsidRPr="007122AB">
              <w:rPr>
                <w:rFonts w:ascii="Times New Roman" w:hAnsi="Times New Roman"/>
                <w:color w:val="000000" w:themeColor="text1"/>
                <w:sz w:val="16"/>
                <w:szCs w:val="16"/>
              </w:rPr>
              <w:t>предусматр</w:t>
            </w:r>
            <w:proofErr w:type="spellEnd"/>
            <w:r w:rsidRPr="007122AB">
              <w:rPr>
                <w:rFonts w:ascii="Times New Roman" w:hAnsi="Times New Roman"/>
                <w:color w:val="000000" w:themeColor="text1"/>
                <w:sz w:val="16"/>
                <w:szCs w:val="16"/>
              </w:rPr>
              <w:t>.</w:t>
            </w:r>
          </w:p>
        </w:tc>
        <w:tc>
          <w:tcPr>
            <w:tcW w:w="763" w:type="dxa"/>
          </w:tcPr>
          <w:p w14:paraId="4DF986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пост. РВС от 5/УШ-31</w:t>
            </w:r>
          </w:p>
        </w:tc>
      </w:tr>
      <w:tr w:rsidR="001002C3" w:rsidRPr="007122AB" w14:paraId="391D68D2" w14:textId="77777777">
        <w:tc>
          <w:tcPr>
            <w:tcW w:w="1668" w:type="dxa"/>
          </w:tcPr>
          <w:p w14:paraId="7426AF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Морской крейсер</w:t>
            </w:r>
          </w:p>
        </w:tc>
        <w:tc>
          <w:tcPr>
            <w:tcW w:w="850" w:type="dxa"/>
          </w:tcPr>
          <w:p w14:paraId="0B3066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МДР4-4М34</w:t>
            </w:r>
          </w:p>
        </w:tc>
        <w:tc>
          <w:tcPr>
            <w:tcW w:w="992" w:type="dxa"/>
          </w:tcPr>
          <w:p w14:paraId="5AC73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01.08.1934</w:t>
            </w:r>
          </w:p>
        </w:tc>
        <w:tc>
          <w:tcPr>
            <w:tcW w:w="834" w:type="dxa"/>
          </w:tcPr>
          <w:p w14:paraId="289566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300/5000</w:t>
            </w:r>
          </w:p>
        </w:tc>
        <w:tc>
          <w:tcPr>
            <w:tcW w:w="1009" w:type="dxa"/>
          </w:tcPr>
          <w:p w14:paraId="069550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5000/7000</w:t>
            </w:r>
          </w:p>
        </w:tc>
        <w:tc>
          <w:tcPr>
            <w:tcW w:w="581" w:type="dxa"/>
          </w:tcPr>
          <w:p w14:paraId="294CF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90-100</w:t>
            </w:r>
          </w:p>
        </w:tc>
        <w:tc>
          <w:tcPr>
            <w:tcW w:w="912" w:type="dxa"/>
          </w:tcPr>
          <w:p w14:paraId="08CC0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1500-2500/-</w:t>
            </w:r>
          </w:p>
        </w:tc>
        <w:tc>
          <w:tcPr>
            <w:tcW w:w="914" w:type="dxa"/>
          </w:tcPr>
          <w:p w14:paraId="164BC6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907" w:type="dxa"/>
          </w:tcPr>
          <w:p w14:paraId="74009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и тяж. пул. и пушки</w:t>
            </w:r>
          </w:p>
        </w:tc>
        <w:tc>
          <w:tcPr>
            <w:tcW w:w="831" w:type="dxa"/>
          </w:tcPr>
          <w:p w14:paraId="568F16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4A550C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w:t>
            </w:r>
          </w:p>
        </w:tc>
        <w:tc>
          <w:tcPr>
            <w:tcW w:w="763" w:type="dxa"/>
          </w:tcPr>
          <w:p w14:paraId="3BCCC1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504F6B3" w14:textId="77777777">
        <w:tc>
          <w:tcPr>
            <w:tcW w:w="1668" w:type="dxa"/>
          </w:tcPr>
          <w:p w14:paraId="384B14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531F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или 2М35</w:t>
            </w:r>
          </w:p>
        </w:tc>
        <w:tc>
          <w:tcPr>
            <w:tcW w:w="992" w:type="dxa"/>
          </w:tcPr>
          <w:p w14:paraId="16FAC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CB4C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E2574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DF2B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42119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4D324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325E0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F3169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дюраль</w:t>
            </w:r>
          </w:p>
        </w:tc>
        <w:tc>
          <w:tcPr>
            <w:tcW w:w="763" w:type="dxa"/>
          </w:tcPr>
          <w:p w14:paraId="45967E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МК1</w:t>
            </w:r>
          </w:p>
        </w:tc>
        <w:tc>
          <w:tcPr>
            <w:tcW w:w="763" w:type="dxa"/>
          </w:tcPr>
          <w:p w14:paraId="3977D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0DEC89E" w14:textId="77777777">
        <w:tc>
          <w:tcPr>
            <w:tcW w:w="1668" w:type="dxa"/>
          </w:tcPr>
          <w:p w14:paraId="6A7916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Морской тяжелый </w:t>
            </w:r>
            <w:proofErr w:type="spellStart"/>
            <w:r w:rsidRPr="007122AB">
              <w:rPr>
                <w:rFonts w:ascii="Times New Roman" w:hAnsi="Times New Roman"/>
                <w:color w:val="000000" w:themeColor="text1"/>
                <w:sz w:val="16"/>
                <w:szCs w:val="16"/>
              </w:rPr>
              <w:t>бомбарди</w:t>
            </w:r>
            <w:proofErr w:type="spellEnd"/>
            <w:r w:rsidRPr="007122AB">
              <w:rPr>
                <w:rFonts w:ascii="Times New Roman" w:hAnsi="Times New Roman"/>
                <w:color w:val="000000" w:themeColor="text1"/>
                <w:sz w:val="16"/>
                <w:szCs w:val="16"/>
              </w:rPr>
              <w:t>-</w:t>
            </w:r>
          </w:p>
        </w:tc>
        <w:tc>
          <w:tcPr>
            <w:tcW w:w="850" w:type="dxa"/>
          </w:tcPr>
          <w:p w14:paraId="4268E3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МТБ3-М34/35</w:t>
            </w:r>
          </w:p>
        </w:tc>
        <w:tc>
          <w:tcPr>
            <w:tcW w:w="992" w:type="dxa"/>
          </w:tcPr>
          <w:p w14:paraId="4CFB55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01.05.1933</w:t>
            </w:r>
          </w:p>
        </w:tc>
        <w:tc>
          <w:tcPr>
            <w:tcW w:w="834" w:type="dxa"/>
          </w:tcPr>
          <w:p w14:paraId="611B6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250/5000</w:t>
            </w:r>
          </w:p>
        </w:tc>
        <w:tc>
          <w:tcPr>
            <w:tcW w:w="1009" w:type="dxa"/>
          </w:tcPr>
          <w:p w14:paraId="728A6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w:t>
            </w:r>
          </w:p>
        </w:tc>
        <w:tc>
          <w:tcPr>
            <w:tcW w:w="581" w:type="dxa"/>
          </w:tcPr>
          <w:p w14:paraId="43675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12" w:type="dxa"/>
          </w:tcPr>
          <w:p w14:paraId="6E9E10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c>
          <w:tcPr>
            <w:tcW w:w="914" w:type="dxa"/>
          </w:tcPr>
          <w:p w14:paraId="40E54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907" w:type="dxa"/>
          </w:tcPr>
          <w:p w14:paraId="37D9B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тяж. пул. и пушки</w:t>
            </w:r>
          </w:p>
        </w:tc>
        <w:tc>
          <w:tcPr>
            <w:tcW w:w="831" w:type="dxa"/>
          </w:tcPr>
          <w:p w14:paraId="376465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w:t>
            </w:r>
            <w:proofErr w:type="spellStart"/>
            <w:r w:rsidRPr="007122AB">
              <w:rPr>
                <w:rFonts w:ascii="Times New Roman" w:hAnsi="Times New Roman"/>
                <w:color w:val="000000" w:themeColor="text1"/>
                <w:sz w:val="16"/>
                <w:szCs w:val="16"/>
              </w:rPr>
              <w:t>дюр</w:t>
            </w:r>
            <w:proofErr w:type="spellEnd"/>
            <w:r w:rsidRPr="007122AB">
              <w:rPr>
                <w:rFonts w:ascii="Times New Roman" w:hAnsi="Times New Roman"/>
                <w:color w:val="000000" w:themeColor="text1"/>
                <w:sz w:val="16"/>
                <w:szCs w:val="16"/>
              </w:rPr>
              <w:t>.</w:t>
            </w:r>
          </w:p>
        </w:tc>
        <w:tc>
          <w:tcPr>
            <w:tcW w:w="763" w:type="dxa"/>
          </w:tcPr>
          <w:p w14:paraId="21A73C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CE4F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плану</w:t>
            </w:r>
          </w:p>
        </w:tc>
      </w:tr>
      <w:tr w:rsidR="001002C3" w:rsidRPr="007122AB" w14:paraId="124B9840" w14:textId="77777777">
        <w:tc>
          <w:tcPr>
            <w:tcW w:w="1668" w:type="dxa"/>
          </w:tcPr>
          <w:p w14:paraId="6DC32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ровщик</w:t>
            </w:r>
            <w:proofErr w:type="spellEnd"/>
            <w:r w:rsidRPr="007122AB">
              <w:rPr>
                <w:rFonts w:ascii="Times New Roman" w:hAnsi="Times New Roman"/>
                <w:color w:val="000000" w:themeColor="text1"/>
                <w:sz w:val="16"/>
                <w:szCs w:val="16"/>
              </w:rPr>
              <w:t xml:space="preserve"> (пас., груз.)</w:t>
            </w:r>
          </w:p>
        </w:tc>
        <w:tc>
          <w:tcPr>
            <w:tcW w:w="850" w:type="dxa"/>
          </w:tcPr>
          <w:p w14:paraId="71FB3F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C876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B6B3B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BE3C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D13F4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18981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376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01C1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003AA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7AC9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AF9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59C5BE7" w14:textId="77777777">
        <w:tc>
          <w:tcPr>
            <w:tcW w:w="1668" w:type="dxa"/>
          </w:tcPr>
          <w:p w14:paraId="791C82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Морской </w:t>
            </w:r>
            <w:proofErr w:type="spellStart"/>
            <w:r w:rsidRPr="007122AB">
              <w:rPr>
                <w:rFonts w:ascii="Times New Roman" w:hAnsi="Times New Roman"/>
                <w:color w:val="000000" w:themeColor="text1"/>
                <w:sz w:val="16"/>
                <w:szCs w:val="16"/>
              </w:rPr>
              <w:t>бл</w:t>
            </w:r>
            <w:proofErr w:type="spellEnd"/>
            <w:r w:rsidRPr="007122AB">
              <w:rPr>
                <w:rFonts w:ascii="Times New Roman" w:hAnsi="Times New Roman"/>
                <w:color w:val="000000" w:themeColor="text1"/>
                <w:sz w:val="16"/>
                <w:szCs w:val="16"/>
              </w:rPr>
              <w:t xml:space="preserve">. Разведчик </w:t>
            </w:r>
            <w:proofErr w:type="spellStart"/>
            <w:r w:rsidRPr="007122AB">
              <w:rPr>
                <w:rFonts w:ascii="Times New Roman" w:hAnsi="Times New Roman"/>
                <w:color w:val="000000" w:themeColor="text1"/>
                <w:sz w:val="16"/>
                <w:szCs w:val="16"/>
              </w:rPr>
              <w:t>амфиб</w:t>
            </w:r>
            <w:proofErr w:type="spellEnd"/>
            <w:r w:rsidRPr="007122AB">
              <w:rPr>
                <w:rFonts w:ascii="Times New Roman" w:hAnsi="Times New Roman"/>
                <w:color w:val="000000" w:themeColor="text1"/>
                <w:sz w:val="16"/>
                <w:szCs w:val="16"/>
              </w:rPr>
              <w:t>.</w:t>
            </w:r>
          </w:p>
        </w:tc>
        <w:tc>
          <w:tcPr>
            <w:tcW w:w="850" w:type="dxa"/>
          </w:tcPr>
          <w:p w14:paraId="55CFEB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МБР5-М35</w:t>
            </w:r>
          </w:p>
        </w:tc>
        <w:tc>
          <w:tcPr>
            <w:tcW w:w="992" w:type="dxa"/>
          </w:tcPr>
          <w:p w14:paraId="24808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01.03.1933</w:t>
            </w:r>
          </w:p>
        </w:tc>
        <w:tc>
          <w:tcPr>
            <w:tcW w:w="834" w:type="dxa"/>
          </w:tcPr>
          <w:p w14:paraId="7130D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300/3000</w:t>
            </w:r>
          </w:p>
        </w:tc>
        <w:tc>
          <w:tcPr>
            <w:tcW w:w="1009" w:type="dxa"/>
          </w:tcPr>
          <w:p w14:paraId="7A00B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3000/6000</w:t>
            </w:r>
          </w:p>
        </w:tc>
        <w:tc>
          <w:tcPr>
            <w:tcW w:w="581" w:type="dxa"/>
          </w:tcPr>
          <w:p w14:paraId="07C633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w:t>
            </w:r>
          </w:p>
        </w:tc>
        <w:tc>
          <w:tcPr>
            <w:tcW w:w="912" w:type="dxa"/>
          </w:tcPr>
          <w:p w14:paraId="59B97B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500/800</w:t>
            </w:r>
          </w:p>
        </w:tc>
        <w:tc>
          <w:tcPr>
            <w:tcW w:w="914" w:type="dxa"/>
          </w:tcPr>
          <w:p w14:paraId="3BB41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100/600</w:t>
            </w:r>
          </w:p>
        </w:tc>
        <w:tc>
          <w:tcPr>
            <w:tcW w:w="907" w:type="dxa"/>
          </w:tcPr>
          <w:p w14:paraId="07AC25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и тяж. пул.</w:t>
            </w:r>
          </w:p>
        </w:tc>
        <w:tc>
          <w:tcPr>
            <w:tcW w:w="831" w:type="dxa"/>
          </w:tcPr>
          <w:p w14:paraId="72331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63" w:type="dxa"/>
          </w:tcPr>
          <w:p w14:paraId="2D9C5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С62б</w:t>
            </w:r>
          </w:p>
        </w:tc>
        <w:tc>
          <w:tcPr>
            <w:tcW w:w="763" w:type="dxa"/>
          </w:tcPr>
          <w:p w14:paraId="62A882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55ED6B5" w14:textId="77777777">
        <w:tc>
          <w:tcPr>
            <w:tcW w:w="1668" w:type="dxa"/>
          </w:tcPr>
          <w:p w14:paraId="0A7E9E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санит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фотосъемщ</w:t>
            </w:r>
            <w:proofErr w:type="spellEnd"/>
            <w:r w:rsidRPr="007122AB">
              <w:rPr>
                <w:rFonts w:ascii="Times New Roman" w:hAnsi="Times New Roman"/>
                <w:color w:val="000000" w:themeColor="text1"/>
                <w:sz w:val="16"/>
                <w:szCs w:val="16"/>
              </w:rPr>
              <w:t>., опылит.)</w:t>
            </w:r>
          </w:p>
        </w:tc>
        <w:tc>
          <w:tcPr>
            <w:tcW w:w="850" w:type="dxa"/>
          </w:tcPr>
          <w:p w14:paraId="36856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3B82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11B9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6B2C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C939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264F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CCFD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437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240F2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0A754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E704D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67F99FD" w14:textId="77777777">
        <w:tc>
          <w:tcPr>
            <w:tcW w:w="1668" w:type="dxa"/>
          </w:tcPr>
          <w:p w14:paraId="125FA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Модификации:</w:t>
            </w:r>
          </w:p>
        </w:tc>
        <w:tc>
          <w:tcPr>
            <w:tcW w:w="850" w:type="dxa"/>
          </w:tcPr>
          <w:p w14:paraId="79A37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C45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A8AB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18CA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26FD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2D3D6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3E31D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AF76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18E1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27F4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9178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5BC3503" w14:textId="77777777">
        <w:tc>
          <w:tcPr>
            <w:tcW w:w="1668" w:type="dxa"/>
          </w:tcPr>
          <w:p w14:paraId="584347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850" w:type="dxa"/>
          </w:tcPr>
          <w:p w14:paraId="2829CC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c>
          <w:tcPr>
            <w:tcW w:w="992" w:type="dxa"/>
          </w:tcPr>
          <w:p w14:paraId="6697E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0179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М34 и </w:t>
            </w:r>
            <w:proofErr w:type="spellStart"/>
            <w:r w:rsidRPr="007122AB">
              <w:rPr>
                <w:rFonts w:ascii="Times New Roman" w:hAnsi="Times New Roman"/>
                <w:color w:val="000000" w:themeColor="text1"/>
                <w:sz w:val="16"/>
                <w:szCs w:val="16"/>
              </w:rPr>
              <w:t>торм</w:t>
            </w:r>
            <w:proofErr w:type="spellEnd"/>
            <w:r w:rsidRPr="007122AB">
              <w:rPr>
                <w:rFonts w:ascii="Times New Roman" w:hAnsi="Times New Roman"/>
                <w:color w:val="000000" w:themeColor="text1"/>
                <w:sz w:val="16"/>
                <w:szCs w:val="16"/>
              </w:rPr>
              <w:t>. колес</w:t>
            </w:r>
          </w:p>
        </w:tc>
        <w:tc>
          <w:tcPr>
            <w:tcW w:w="1009" w:type="dxa"/>
          </w:tcPr>
          <w:p w14:paraId="6CA7B9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98150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10B90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A26D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94386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E9B3C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FCE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A8119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2FF244" w14:textId="77777777">
        <w:tc>
          <w:tcPr>
            <w:tcW w:w="1668" w:type="dxa"/>
          </w:tcPr>
          <w:p w14:paraId="504ABB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850" w:type="dxa"/>
          </w:tcPr>
          <w:p w14:paraId="5E0486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ТБ3-4М17</w:t>
            </w:r>
          </w:p>
        </w:tc>
        <w:tc>
          <w:tcPr>
            <w:tcW w:w="992" w:type="dxa"/>
          </w:tcPr>
          <w:p w14:paraId="6EB386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82CF0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Совмещение назначения пассажирского</w:t>
            </w:r>
          </w:p>
        </w:tc>
        <w:tc>
          <w:tcPr>
            <w:tcW w:w="1009" w:type="dxa"/>
          </w:tcPr>
          <w:p w14:paraId="6F0439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01D5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5BB1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8C462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104A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9BBF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BD3E9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BB412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3DEC8E2" w14:textId="77777777">
        <w:tc>
          <w:tcPr>
            <w:tcW w:w="1668" w:type="dxa"/>
          </w:tcPr>
          <w:p w14:paraId="486DD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850" w:type="dxa"/>
          </w:tcPr>
          <w:p w14:paraId="3885A1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ТШ2-М27</w:t>
            </w:r>
          </w:p>
        </w:tc>
        <w:tc>
          <w:tcPr>
            <w:tcW w:w="992" w:type="dxa"/>
          </w:tcPr>
          <w:p w14:paraId="798361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03F74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М-34, облегчение, уст. тормозных колес и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крыло</w:t>
            </w:r>
          </w:p>
        </w:tc>
        <w:tc>
          <w:tcPr>
            <w:tcW w:w="1009" w:type="dxa"/>
          </w:tcPr>
          <w:p w14:paraId="5D575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A753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E4B42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8325D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F440F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035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CD3F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50961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BBFB77" w14:textId="77777777">
        <w:tc>
          <w:tcPr>
            <w:tcW w:w="1668" w:type="dxa"/>
          </w:tcPr>
          <w:p w14:paraId="74CD6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w:t>
            </w:r>
          </w:p>
        </w:tc>
        <w:tc>
          <w:tcPr>
            <w:tcW w:w="850" w:type="dxa"/>
          </w:tcPr>
          <w:p w14:paraId="06F1C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c>
          <w:tcPr>
            <w:tcW w:w="992" w:type="dxa"/>
          </w:tcPr>
          <w:p w14:paraId="044D46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38366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М-34,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xml:space="preserve">. крыльев и </w:t>
            </w:r>
            <w:proofErr w:type="spellStart"/>
            <w:r w:rsidRPr="007122AB">
              <w:rPr>
                <w:rFonts w:ascii="Times New Roman" w:hAnsi="Times New Roman"/>
                <w:color w:val="000000" w:themeColor="text1"/>
                <w:sz w:val="16"/>
                <w:szCs w:val="16"/>
              </w:rPr>
              <w:t>торм</w:t>
            </w:r>
            <w:proofErr w:type="spellEnd"/>
            <w:r w:rsidRPr="007122AB">
              <w:rPr>
                <w:rFonts w:ascii="Times New Roman" w:hAnsi="Times New Roman"/>
                <w:color w:val="000000" w:themeColor="text1"/>
                <w:sz w:val="16"/>
                <w:szCs w:val="16"/>
              </w:rPr>
              <w:t>. колес</w:t>
            </w:r>
          </w:p>
        </w:tc>
        <w:tc>
          <w:tcPr>
            <w:tcW w:w="1009" w:type="dxa"/>
          </w:tcPr>
          <w:p w14:paraId="02EE40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93361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334D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DFC96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36C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709C5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CF564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D166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75ED75" w14:textId="77777777">
        <w:tc>
          <w:tcPr>
            <w:tcW w:w="1668" w:type="dxa"/>
          </w:tcPr>
          <w:p w14:paraId="16AAB7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c>
          <w:tcPr>
            <w:tcW w:w="850" w:type="dxa"/>
          </w:tcPr>
          <w:p w14:paraId="2E452D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992" w:type="dxa"/>
          </w:tcPr>
          <w:p w14:paraId="2EE3E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96D58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М-34,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xml:space="preserve">. крыльев и </w:t>
            </w:r>
            <w:proofErr w:type="spellStart"/>
            <w:r w:rsidRPr="007122AB">
              <w:rPr>
                <w:rFonts w:ascii="Times New Roman" w:hAnsi="Times New Roman"/>
                <w:color w:val="000000" w:themeColor="text1"/>
                <w:sz w:val="16"/>
                <w:szCs w:val="16"/>
              </w:rPr>
              <w:t>торм</w:t>
            </w:r>
            <w:proofErr w:type="spellEnd"/>
            <w:r w:rsidRPr="007122AB">
              <w:rPr>
                <w:rFonts w:ascii="Times New Roman" w:hAnsi="Times New Roman"/>
                <w:color w:val="000000" w:themeColor="text1"/>
                <w:sz w:val="16"/>
                <w:szCs w:val="16"/>
              </w:rPr>
              <w:t>. колес</w:t>
            </w:r>
          </w:p>
        </w:tc>
        <w:tc>
          <w:tcPr>
            <w:tcW w:w="1009" w:type="dxa"/>
          </w:tcPr>
          <w:p w14:paraId="72F910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F16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5167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80D56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2BB5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8DADC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5477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6721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7E09875" w14:textId="77777777">
        <w:tc>
          <w:tcPr>
            <w:tcW w:w="1668" w:type="dxa"/>
          </w:tcPr>
          <w:p w14:paraId="11238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850" w:type="dxa"/>
          </w:tcPr>
          <w:p w14:paraId="1BA9B4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И7-М17</w:t>
            </w:r>
          </w:p>
        </w:tc>
        <w:tc>
          <w:tcPr>
            <w:tcW w:w="992" w:type="dxa"/>
          </w:tcPr>
          <w:p w14:paraId="588B4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2DABF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М-34,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xml:space="preserve">. крыльев и </w:t>
            </w:r>
            <w:proofErr w:type="spellStart"/>
            <w:r w:rsidRPr="007122AB">
              <w:rPr>
                <w:rFonts w:ascii="Times New Roman" w:hAnsi="Times New Roman"/>
                <w:color w:val="000000" w:themeColor="text1"/>
                <w:sz w:val="16"/>
                <w:szCs w:val="16"/>
              </w:rPr>
              <w:t>торм</w:t>
            </w:r>
            <w:proofErr w:type="spellEnd"/>
            <w:r w:rsidRPr="007122AB">
              <w:rPr>
                <w:rFonts w:ascii="Times New Roman" w:hAnsi="Times New Roman"/>
                <w:color w:val="000000" w:themeColor="text1"/>
                <w:sz w:val="16"/>
                <w:szCs w:val="16"/>
              </w:rPr>
              <w:t>. колес</w:t>
            </w:r>
          </w:p>
        </w:tc>
        <w:tc>
          <w:tcPr>
            <w:tcW w:w="1009" w:type="dxa"/>
          </w:tcPr>
          <w:p w14:paraId="4D014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57BF6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FACB4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FA08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BA335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F5037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371B0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B7C3A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FC7F0F2" w14:textId="77777777">
        <w:tc>
          <w:tcPr>
            <w:tcW w:w="1668" w:type="dxa"/>
          </w:tcPr>
          <w:p w14:paraId="5E45A6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w:t>
            </w:r>
          </w:p>
        </w:tc>
        <w:tc>
          <w:tcPr>
            <w:tcW w:w="850" w:type="dxa"/>
          </w:tcPr>
          <w:p w14:paraId="30FF5F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w:t>
            </w:r>
          </w:p>
        </w:tc>
        <w:tc>
          <w:tcPr>
            <w:tcW w:w="992" w:type="dxa"/>
          </w:tcPr>
          <w:p w14:paraId="4FFE3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726DE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Установка М-34, </w:t>
            </w:r>
            <w:proofErr w:type="spellStart"/>
            <w:r w:rsidRPr="007122AB">
              <w:rPr>
                <w:rFonts w:ascii="Times New Roman" w:hAnsi="Times New Roman"/>
                <w:color w:val="000000" w:themeColor="text1"/>
                <w:sz w:val="16"/>
                <w:szCs w:val="16"/>
              </w:rPr>
              <w:t>разр</w:t>
            </w:r>
            <w:proofErr w:type="spellEnd"/>
            <w:r w:rsidRPr="007122AB">
              <w:rPr>
                <w:rFonts w:ascii="Times New Roman" w:hAnsi="Times New Roman"/>
                <w:color w:val="000000" w:themeColor="text1"/>
                <w:sz w:val="16"/>
                <w:szCs w:val="16"/>
              </w:rPr>
              <w:t xml:space="preserve">. крыльев и </w:t>
            </w:r>
            <w:proofErr w:type="spellStart"/>
            <w:r w:rsidRPr="007122AB">
              <w:rPr>
                <w:rFonts w:ascii="Times New Roman" w:hAnsi="Times New Roman"/>
                <w:color w:val="000000" w:themeColor="text1"/>
                <w:sz w:val="16"/>
                <w:szCs w:val="16"/>
              </w:rPr>
              <w:t>торм</w:t>
            </w:r>
            <w:proofErr w:type="spellEnd"/>
            <w:r w:rsidRPr="007122AB">
              <w:rPr>
                <w:rFonts w:ascii="Times New Roman" w:hAnsi="Times New Roman"/>
                <w:color w:val="000000" w:themeColor="text1"/>
                <w:sz w:val="16"/>
                <w:szCs w:val="16"/>
              </w:rPr>
              <w:t>. колес</w:t>
            </w:r>
          </w:p>
        </w:tc>
        <w:tc>
          <w:tcPr>
            <w:tcW w:w="1009" w:type="dxa"/>
          </w:tcPr>
          <w:p w14:paraId="5943F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F453D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E63B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1D45E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1B3F1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778B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83B5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88DB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0EC838B" w14:textId="77777777">
        <w:tc>
          <w:tcPr>
            <w:tcW w:w="1668" w:type="dxa"/>
          </w:tcPr>
          <w:p w14:paraId="547341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850" w:type="dxa"/>
          </w:tcPr>
          <w:p w14:paraId="64A06C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И5-М22</w:t>
            </w:r>
          </w:p>
        </w:tc>
        <w:tc>
          <w:tcPr>
            <w:tcW w:w="992" w:type="dxa"/>
          </w:tcPr>
          <w:p w14:paraId="7960D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30FD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Приспособление под легкий </w:t>
            </w:r>
            <w:proofErr w:type="spellStart"/>
            <w:r w:rsidRPr="007122AB">
              <w:rPr>
                <w:rFonts w:ascii="Times New Roman" w:hAnsi="Times New Roman"/>
                <w:color w:val="000000" w:themeColor="text1"/>
                <w:sz w:val="16"/>
                <w:szCs w:val="16"/>
              </w:rPr>
              <w:t>небронир</w:t>
            </w:r>
            <w:proofErr w:type="spellEnd"/>
            <w:r w:rsidRPr="007122AB">
              <w:rPr>
                <w:rFonts w:ascii="Times New Roman" w:hAnsi="Times New Roman"/>
                <w:color w:val="000000" w:themeColor="text1"/>
                <w:sz w:val="16"/>
                <w:szCs w:val="16"/>
              </w:rPr>
              <w:t>. штурмовик</w:t>
            </w:r>
          </w:p>
        </w:tc>
        <w:tc>
          <w:tcPr>
            <w:tcW w:w="1009" w:type="dxa"/>
          </w:tcPr>
          <w:p w14:paraId="61B4A0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97C6C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56E0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815F9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033D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D5C5C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50C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48156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A7500A" w14:textId="77777777">
        <w:tc>
          <w:tcPr>
            <w:tcW w:w="1668" w:type="dxa"/>
          </w:tcPr>
          <w:p w14:paraId="2C7F29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w:t>
            </w:r>
          </w:p>
        </w:tc>
        <w:tc>
          <w:tcPr>
            <w:tcW w:w="850" w:type="dxa"/>
          </w:tcPr>
          <w:p w14:paraId="256676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МДР3-4М34</w:t>
            </w:r>
          </w:p>
        </w:tc>
        <w:tc>
          <w:tcPr>
            <w:tcW w:w="992" w:type="dxa"/>
          </w:tcPr>
          <w:p w14:paraId="66CA9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5D23A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Увел. </w:t>
            </w: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приспос</w:t>
            </w:r>
            <w:proofErr w:type="spellEnd"/>
            <w:r w:rsidRPr="007122AB">
              <w:rPr>
                <w:rFonts w:ascii="Times New Roman" w:hAnsi="Times New Roman"/>
                <w:color w:val="000000" w:themeColor="text1"/>
                <w:sz w:val="16"/>
                <w:szCs w:val="16"/>
              </w:rPr>
              <w:t xml:space="preserve">. под уст. мин, </w:t>
            </w:r>
            <w:proofErr w:type="spellStart"/>
            <w:r w:rsidRPr="007122AB">
              <w:rPr>
                <w:rFonts w:ascii="Times New Roman" w:hAnsi="Times New Roman"/>
                <w:color w:val="000000" w:themeColor="text1"/>
                <w:sz w:val="16"/>
                <w:szCs w:val="16"/>
              </w:rPr>
              <w:t>снабж</w:t>
            </w:r>
            <w:proofErr w:type="spellEnd"/>
            <w:r w:rsidRPr="007122AB">
              <w:rPr>
                <w:rFonts w:ascii="Times New Roman" w:hAnsi="Times New Roman"/>
                <w:color w:val="000000" w:themeColor="text1"/>
                <w:sz w:val="16"/>
                <w:szCs w:val="16"/>
              </w:rPr>
              <w:t xml:space="preserve">. рак. </w:t>
            </w:r>
            <w:proofErr w:type="spellStart"/>
            <w:r w:rsidRPr="007122AB">
              <w:rPr>
                <w:rFonts w:ascii="Times New Roman" w:hAnsi="Times New Roman"/>
                <w:color w:val="000000" w:themeColor="text1"/>
                <w:sz w:val="16"/>
                <w:szCs w:val="16"/>
              </w:rPr>
              <w:t>ускор</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rPr>
              <w:lastRenderedPageBreak/>
              <w:t xml:space="preserve">хим. </w:t>
            </w:r>
            <w:proofErr w:type="spellStart"/>
            <w:r w:rsidRPr="007122AB">
              <w:rPr>
                <w:rFonts w:ascii="Times New Roman" w:hAnsi="Times New Roman"/>
                <w:color w:val="000000" w:themeColor="text1"/>
                <w:sz w:val="16"/>
                <w:szCs w:val="16"/>
              </w:rPr>
              <w:t>оруж</w:t>
            </w:r>
            <w:proofErr w:type="spellEnd"/>
            <w:r w:rsidRPr="007122AB">
              <w:rPr>
                <w:rFonts w:ascii="Times New Roman" w:hAnsi="Times New Roman"/>
                <w:color w:val="000000" w:themeColor="text1"/>
                <w:sz w:val="16"/>
                <w:szCs w:val="16"/>
              </w:rPr>
              <w:t>.</w:t>
            </w:r>
          </w:p>
        </w:tc>
        <w:tc>
          <w:tcPr>
            <w:tcW w:w="1009" w:type="dxa"/>
          </w:tcPr>
          <w:p w14:paraId="6D288E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F514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01D74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504D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70AD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5D3BF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5BB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136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C50ABEF" w14:textId="77777777">
        <w:tc>
          <w:tcPr>
            <w:tcW w:w="1668" w:type="dxa"/>
          </w:tcPr>
          <w:p w14:paraId="3FB65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850" w:type="dxa"/>
          </w:tcPr>
          <w:p w14:paraId="5041A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МДР3-4М34</w:t>
            </w:r>
          </w:p>
        </w:tc>
        <w:tc>
          <w:tcPr>
            <w:tcW w:w="992" w:type="dxa"/>
          </w:tcPr>
          <w:p w14:paraId="0127C8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E331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Приспособл</w:t>
            </w:r>
            <w:proofErr w:type="spellEnd"/>
            <w:r w:rsidRPr="007122AB">
              <w:rPr>
                <w:rFonts w:ascii="Times New Roman" w:hAnsi="Times New Roman"/>
                <w:color w:val="000000" w:themeColor="text1"/>
                <w:sz w:val="16"/>
                <w:szCs w:val="16"/>
              </w:rPr>
              <w:t xml:space="preserve">. для Сев. и ДВ, </w:t>
            </w:r>
            <w:proofErr w:type="spellStart"/>
            <w:r w:rsidRPr="007122AB">
              <w:rPr>
                <w:rFonts w:ascii="Times New Roman" w:hAnsi="Times New Roman"/>
                <w:color w:val="000000" w:themeColor="text1"/>
                <w:sz w:val="16"/>
                <w:szCs w:val="16"/>
              </w:rPr>
              <w:t>устр</w:t>
            </w:r>
            <w:proofErr w:type="spellEnd"/>
            <w:r w:rsidRPr="007122AB">
              <w:rPr>
                <w:rFonts w:ascii="Times New Roman" w:hAnsi="Times New Roman"/>
                <w:color w:val="000000" w:themeColor="text1"/>
                <w:sz w:val="16"/>
                <w:szCs w:val="16"/>
              </w:rPr>
              <w:t xml:space="preserve">. посад. </w:t>
            </w:r>
            <w:proofErr w:type="spellStart"/>
            <w:r w:rsidRPr="007122AB">
              <w:rPr>
                <w:rFonts w:ascii="Times New Roman" w:hAnsi="Times New Roman"/>
                <w:color w:val="000000" w:themeColor="text1"/>
                <w:sz w:val="16"/>
                <w:szCs w:val="16"/>
              </w:rPr>
              <w:t>приспособл</w:t>
            </w:r>
            <w:proofErr w:type="spellEnd"/>
            <w:r w:rsidRPr="007122AB">
              <w:rPr>
                <w:rFonts w:ascii="Times New Roman" w:hAnsi="Times New Roman"/>
                <w:color w:val="000000" w:themeColor="text1"/>
                <w:sz w:val="16"/>
                <w:szCs w:val="16"/>
              </w:rPr>
              <w:t>.</w:t>
            </w:r>
          </w:p>
        </w:tc>
        <w:tc>
          <w:tcPr>
            <w:tcW w:w="1009" w:type="dxa"/>
          </w:tcPr>
          <w:p w14:paraId="3A59A2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BB5F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018DE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50A4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69D51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C52D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18A93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373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74F39FF" w14:textId="77777777">
        <w:tc>
          <w:tcPr>
            <w:tcW w:w="1668" w:type="dxa"/>
          </w:tcPr>
          <w:p w14:paraId="4DE0D2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850" w:type="dxa"/>
          </w:tcPr>
          <w:p w14:paraId="450400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К1-2М34 </w:t>
            </w:r>
            <w:proofErr w:type="spellStart"/>
            <w:r w:rsidRPr="007122AB">
              <w:rPr>
                <w:rFonts w:ascii="Times New Roman" w:hAnsi="Times New Roman"/>
                <w:color w:val="000000" w:themeColor="text1"/>
                <w:sz w:val="16"/>
                <w:szCs w:val="16"/>
              </w:rPr>
              <w:t>торп</w:t>
            </w:r>
            <w:proofErr w:type="spellEnd"/>
            <w:r w:rsidRPr="007122AB">
              <w:rPr>
                <w:rFonts w:ascii="Times New Roman" w:hAnsi="Times New Roman"/>
                <w:color w:val="000000" w:themeColor="text1"/>
                <w:sz w:val="16"/>
                <w:szCs w:val="16"/>
              </w:rPr>
              <w:t>.</w:t>
            </w:r>
          </w:p>
        </w:tc>
        <w:tc>
          <w:tcPr>
            <w:tcW w:w="992" w:type="dxa"/>
          </w:tcPr>
          <w:p w14:paraId="4599DC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9A34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 </w:t>
            </w:r>
            <w:proofErr w:type="spellStart"/>
            <w:r w:rsidRPr="007122AB">
              <w:rPr>
                <w:rFonts w:ascii="Times New Roman" w:hAnsi="Times New Roman"/>
                <w:color w:val="000000" w:themeColor="text1"/>
                <w:sz w:val="16"/>
                <w:szCs w:val="16"/>
              </w:rPr>
              <w:t>сухоп</w:t>
            </w:r>
            <w:proofErr w:type="spellEnd"/>
            <w:r w:rsidRPr="007122AB">
              <w:rPr>
                <w:rFonts w:ascii="Times New Roman" w:hAnsi="Times New Roman"/>
                <w:color w:val="000000" w:themeColor="text1"/>
                <w:sz w:val="16"/>
                <w:szCs w:val="16"/>
              </w:rPr>
              <w:t xml:space="preserve">. на поплавки и </w:t>
            </w:r>
            <w:proofErr w:type="spellStart"/>
            <w:r w:rsidRPr="007122AB">
              <w:rPr>
                <w:rFonts w:ascii="Times New Roman" w:hAnsi="Times New Roman"/>
                <w:color w:val="000000" w:themeColor="text1"/>
                <w:sz w:val="16"/>
                <w:szCs w:val="16"/>
              </w:rPr>
              <w:t>воор</w:t>
            </w:r>
            <w:proofErr w:type="spellEnd"/>
            <w:r w:rsidRPr="007122AB">
              <w:rPr>
                <w:rFonts w:ascii="Times New Roman" w:hAnsi="Times New Roman"/>
                <w:color w:val="000000" w:themeColor="text1"/>
                <w:sz w:val="16"/>
                <w:szCs w:val="16"/>
              </w:rPr>
              <w:t xml:space="preserve"> как крейсера для БМ и ДВ</w:t>
            </w:r>
          </w:p>
        </w:tc>
        <w:tc>
          <w:tcPr>
            <w:tcW w:w="1009" w:type="dxa"/>
          </w:tcPr>
          <w:p w14:paraId="48E2F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6D761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FD66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0149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0F08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2B2E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EADAA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766A1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E77EDE" w14:textId="77777777">
        <w:tc>
          <w:tcPr>
            <w:tcW w:w="1668" w:type="dxa"/>
          </w:tcPr>
          <w:p w14:paraId="057094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tc>
        <w:tc>
          <w:tcPr>
            <w:tcW w:w="850" w:type="dxa"/>
          </w:tcPr>
          <w:p w14:paraId="4AFCB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ДИ6-М34</w:t>
            </w:r>
          </w:p>
        </w:tc>
        <w:tc>
          <w:tcPr>
            <w:tcW w:w="992" w:type="dxa"/>
          </w:tcPr>
          <w:p w14:paraId="5D4E27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A4182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 </w:t>
            </w:r>
            <w:proofErr w:type="spellStart"/>
            <w:r w:rsidRPr="007122AB">
              <w:rPr>
                <w:rFonts w:ascii="Times New Roman" w:hAnsi="Times New Roman"/>
                <w:color w:val="000000" w:themeColor="text1"/>
                <w:sz w:val="16"/>
                <w:szCs w:val="16"/>
              </w:rPr>
              <w:t>сухоп</w:t>
            </w:r>
            <w:proofErr w:type="spellEnd"/>
            <w:r w:rsidRPr="007122AB">
              <w:rPr>
                <w:rFonts w:ascii="Times New Roman" w:hAnsi="Times New Roman"/>
                <w:color w:val="000000" w:themeColor="text1"/>
                <w:sz w:val="16"/>
                <w:szCs w:val="16"/>
              </w:rPr>
              <w:t xml:space="preserve">. на поплавки, </w:t>
            </w:r>
            <w:proofErr w:type="spellStart"/>
            <w:r w:rsidRPr="007122AB">
              <w:rPr>
                <w:rFonts w:ascii="Times New Roman" w:hAnsi="Times New Roman"/>
                <w:color w:val="000000" w:themeColor="text1"/>
                <w:sz w:val="16"/>
                <w:szCs w:val="16"/>
              </w:rPr>
              <w:t>пикир</w:t>
            </w:r>
            <w:proofErr w:type="spellEnd"/>
            <w:r w:rsidRPr="007122AB">
              <w:rPr>
                <w:rFonts w:ascii="Times New Roman" w:hAnsi="Times New Roman"/>
                <w:color w:val="000000" w:themeColor="text1"/>
                <w:sz w:val="16"/>
                <w:szCs w:val="16"/>
              </w:rPr>
              <w:t>. бомб. и штурм.</w:t>
            </w:r>
          </w:p>
        </w:tc>
        <w:tc>
          <w:tcPr>
            <w:tcW w:w="1009" w:type="dxa"/>
          </w:tcPr>
          <w:p w14:paraId="5E336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57572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5A88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E1542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0AFB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EF3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7E60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E8365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BFF91F" w14:textId="77777777">
        <w:tc>
          <w:tcPr>
            <w:tcW w:w="1668" w:type="dxa"/>
          </w:tcPr>
          <w:p w14:paraId="48FACB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w:t>
            </w:r>
          </w:p>
        </w:tc>
        <w:tc>
          <w:tcPr>
            <w:tcW w:w="850" w:type="dxa"/>
          </w:tcPr>
          <w:p w14:paraId="5853AC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С62б-М35</w:t>
            </w:r>
          </w:p>
        </w:tc>
        <w:tc>
          <w:tcPr>
            <w:tcW w:w="992" w:type="dxa"/>
          </w:tcPr>
          <w:p w14:paraId="1D13D6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D26C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Увел. </w:t>
            </w:r>
            <w:proofErr w:type="spellStart"/>
            <w:r w:rsidRPr="007122AB">
              <w:rPr>
                <w:rFonts w:ascii="Times New Roman" w:hAnsi="Times New Roman"/>
                <w:color w:val="000000" w:themeColor="text1"/>
                <w:sz w:val="16"/>
                <w:szCs w:val="16"/>
              </w:rPr>
              <w:t>мощн</w:t>
            </w:r>
            <w:proofErr w:type="spellEnd"/>
            <w:r w:rsidRPr="007122AB">
              <w:rPr>
                <w:rFonts w:ascii="Times New Roman" w:hAnsi="Times New Roman"/>
                <w:color w:val="000000" w:themeColor="text1"/>
                <w:sz w:val="16"/>
                <w:szCs w:val="16"/>
              </w:rPr>
              <w:t xml:space="preserve">., постройка </w:t>
            </w:r>
            <w:proofErr w:type="spellStart"/>
            <w:r w:rsidRPr="007122AB">
              <w:rPr>
                <w:rFonts w:ascii="Times New Roman" w:hAnsi="Times New Roman"/>
                <w:color w:val="000000" w:themeColor="text1"/>
                <w:sz w:val="16"/>
                <w:szCs w:val="16"/>
              </w:rPr>
              <w:t>килеватой</w:t>
            </w:r>
            <w:proofErr w:type="spellEnd"/>
            <w:r w:rsidRPr="007122AB">
              <w:rPr>
                <w:rFonts w:ascii="Times New Roman" w:hAnsi="Times New Roman"/>
                <w:color w:val="000000" w:themeColor="text1"/>
                <w:sz w:val="16"/>
                <w:szCs w:val="16"/>
              </w:rPr>
              <w:t xml:space="preserve"> лодки </w:t>
            </w:r>
            <w:proofErr w:type="spellStart"/>
            <w:r w:rsidRPr="007122AB">
              <w:rPr>
                <w:rFonts w:ascii="Times New Roman" w:hAnsi="Times New Roman"/>
                <w:color w:val="000000" w:themeColor="text1"/>
                <w:sz w:val="16"/>
                <w:szCs w:val="16"/>
              </w:rPr>
              <w:t>лучш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морех</w:t>
            </w:r>
            <w:proofErr w:type="spellEnd"/>
            <w:r w:rsidRPr="007122AB">
              <w:rPr>
                <w:rFonts w:ascii="Times New Roman" w:hAnsi="Times New Roman"/>
                <w:color w:val="000000" w:themeColor="text1"/>
                <w:sz w:val="16"/>
                <w:szCs w:val="16"/>
              </w:rPr>
              <w:t>.</w:t>
            </w:r>
          </w:p>
        </w:tc>
        <w:tc>
          <w:tcPr>
            <w:tcW w:w="1009" w:type="dxa"/>
          </w:tcPr>
          <w:p w14:paraId="737BA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8C535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098F4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6E7BB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30ED7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B5D41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3AE5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150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DEBA4F0" w14:textId="77777777">
        <w:tc>
          <w:tcPr>
            <w:tcW w:w="1668" w:type="dxa"/>
          </w:tcPr>
          <w:p w14:paraId="3EC4FC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w:t>
            </w:r>
          </w:p>
        </w:tc>
        <w:tc>
          <w:tcPr>
            <w:tcW w:w="850" w:type="dxa"/>
          </w:tcPr>
          <w:p w14:paraId="261A2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Р6-2М34</w:t>
            </w:r>
          </w:p>
        </w:tc>
        <w:tc>
          <w:tcPr>
            <w:tcW w:w="992" w:type="dxa"/>
          </w:tcPr>
          <w:p w14:paraId="552A24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CD7B7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 </w:t>
            </w:r>
            <w:proofErr w:type="spellStart"/>
            <w:r w:rsidRPr="007122AB">
              <w:rPr>
                <w:rFonts w:ascii="Times New Roman" w:hAnsi="Times New Roman"/>
                <w:color w:val="000000" w:themeColor="text1"/>
                <w:sz w:val="16"/>
                <w:szCs w:val="16"/>
              </w:rPr>
              <w:t>сухоп</w:t>
            </w:r>
            <w:proofErr w:type="spellEnd"/>
            <w:r w:rsidRPr="007122AB">
              <w:rPr>
                <w:rFonts w:ascii="Times New Roman" w:hAnsi="Times New Roman"/>
                <w:color w:val="000000" w:themeColor="text1"/>
                <w:sz w:val="16"/>
                <w:szCs w:val="16"/>
              </w:rPr>
              <w:t xml:space="preserve">. на поплавки, </w:t>
            </w:r>
            <w:proofErr w:type="spellStart"/>
            <w:r w:rsidRPr="007122AB">
              <w:rPr>
                <w:rFonts w:ascii="Times New Roman" w:hAnsi="Times New Roman"/>
                <w:color w:val="000000" w:themeColor="text1"/>
                <w:sz w:val="16"/>
                <w:szCs w:val="16"/>
              </w:rPr>
              <w:t>пов</w:t>
            </w:r>
            <w:proofErr w:type="spellEnd"/>
            <w:r w:rsidRPr="007122AB">
              <w:rPr>
                <w:rFonts w:ascii="Times New Roman" w:hAnsi="Times New Roman"/>
                <w:color w:val="000000" w:themeColor="text1"/>
                <w:sz w:val="16"/>
                <w:szCs w:val="16"/>
              </w:rPr>
              <w:t>. мощности</w:t>
            </w:r>
          </w:p>
        </w:tc>
        <w:tc>
          <w:tcPr>
            <w:tcW w:w="1009" w:type="dxa"/>
          </w:tcPr>
          <w:p w14:paraId="0A951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5C491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10ED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0578D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9E9A7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3DC37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23A6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4AF8E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2BC1A9" w14:textId="77777777">
        <w:tc>
          <w:tcPr>
            <w:tcW w:w="1668" w:type="dxa"/>
          </w:tcPr>
          <w:p w14:paraId="242339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850" w:type="dxa"/>
          </w:tcPr>
          <w:p w14:paraId="766FD9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У3-М48</w:t>
            </w:r>
          </w:p>
        </w:tc>
        <w:tc>
          <w:tcPr>
            <w:tcW w:w="992" w:type="dxa"/>
          </w:tcPr>
          <w:p w14:paraId="3BFFC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EDC38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Уст. </w:t>
            </w:r>
            <w:proofErr w:type="spellStart"/>
            <w:r w:rsidRPr="007122AB">
              <w:rPr>
                <w:rFonts w:ascii="Times New Roman" w:hAnsi="Times New Roman"/>
                <w:color w:val="000000" w:themeColor="text1"/>
                <w:sz w:val="16"/>
                <w:szCs w:val="16"/>
              </w:rPr>
              <w:t>сухоп</w:t>
            </w:r>
            <w:proofErr w:type="spellEnd"/>
            <w:r w:rsidRPr="007122AB">
              <w:rPr>
                <w:rFonts w:ascii="Times New Roman" w:hAnsi="Times New Roman"/>
                <w:color w:val="000000" w:themeColor="text1"/>
                <w:sz w:val="16"/>
                <w:szCs w:val="16"/>
              </w:rPr>
              <w:t>. на поплавки</w:t>
            </w:r>
          </w:p>
        </w:tc>
        <w:tc>
          <w:tcPr>
            <w:tcW w:w="1009" w:type="dxa"/>
          </w:tcPr>
          <w:p w14:paraId="415DE5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A4380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A9C8D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2E063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55B6D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F787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BCE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4EDE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34E5280" w14:textId="77777777">
        <w:tc>
          <w:tcPr>
            <w:tcW w:w="1668" w:type="dxa"/>
          </w:tcPr>
          <w:p w14:paraId="17B142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Экспериментальные</w:t>
            </w:r>
          </w:p>
        </w:tc>
        <w:tc>
          <w:tcPr>
            <w:tcW w:w="850" w:type="dxa"/>
          </w:tcPr>
          <w:p w14:paraId="064BDF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B8B3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3C9A9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77B7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DD84D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E22F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E82AF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8D33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201B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70DBF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5882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E105BF0" w14:textId="77777777">
        <w:tc>
          <w:tcPr>
            <w:tcW w:w="1668" w:type="dxa"/>
          </w:tcPr>
          <w:p w14:paraId="6EBF9D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Двухместный истребитель </w:t>
            </w:r>
            <w:proofErr w:type="spellStart"/>
            <w:r w:rsidRPr="007122AB">
              <w:rPr>
                <w:rFonts w:ascii="Times New Roman" w:hAnsi="Times New Roman"/>
                <w:color w:val="000000" w:themeColor="text1"/>
                <w:sz w:val="16"/>
                <w:szCs w:val="16"/>
              </w:rPr>
              <w:t>пуш</w:t>
            </w:r>
            <w:proofErr w:type="spellEnd"/>
            <w:r w:rsidRPr="007122AB">
              <w:rPr>
                <w:rFonts w:ascii="Times New Roman" w:hAnsi="Times New Roman"/>
                <w:color w:val="000000" w:themeColor="text1"/>
                <w:sz w:val="16"/>
                <w:szCs w:val="16"/>
              </w:rPr>
              <w:t>.</w:t>
            </w:r>
          </w:p>
        </w:tc>
        <w:tc>
          <w:tcPr>
            <w:tcW w:w="850" w:type="dxa"/>
          </w:tcPr>
          <w:p w14:paraId="4818F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ДИП2-М34</w:t>
            </w:r>
          </w:p>
        </w:tc>
        <w:tc>
          <w:tcPr>
            <w:tcW w:w="992" w:type="dxa"/>
          </w:tcPr>
          <w:p w14:paraId="021A79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01.05.1932</w:t>
            </w:r>
          </w:p>
        </w:tc>
        <w:tc>
          <w:tcPr>
            <w:tcW w:w="834" w:type="dxa"/>
          </w:tcPr>
          <w:p w14:paraId="4CBF5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350/5000</w:t>
            </w:r>
          </w:p>
        </w:tc>
        <w:tc>
          <w:tcPr>
            <w:tcW w:w="1009" w:type="dxa"/>
          </w:tcPr>
          <w:p w14:paraId="63DA88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5000/8000/8</w:t>
            </w:r>
          </w:p>
        </w:tc>
        <w:tc>
          <w:tcPr>
            <w:tcW w:w="581" w:type="dxa"/>
          </w:tcPr>
          <w:p w14:paraId="51BD36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90-100</w:t>
            </w:r>
          </w:p>
        </w:tc>
        <w:tc>
          <w:tcPr>
            <w:tcW w:w="912" w:type="dxa"/>
          </w:tcPr>
          <w:p w14:paraId="62E06C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300/600</w:t>
            </w:r>
          </w:p>
        </w:tc>
        <w:tc>
          <w:tcPr>
            <w:tcW w:w="914" w:type="dxa"/>
          </w:tcPr>
          <w:p w14:paraId="56B1EC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907" w:type="dxa"/>
          </w:tcPr>
          <w:p w14:paraId="02DD7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пушка и пулеметы</w:t>
            </w:r>
          </w:p>
        </w:tc>
        <w:tc>
          <w:tcPr>
            <w:tcW w:w="831" w:type="dxa"/>
          </w:tcPr>
          <w:p w14:paraId="0563E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 трубы/дер.</w:t>
            </w:r>
          </w:p>
        </w:tc>
        <w:tc>
          <w:tcPr>
            <w:tcW w:w="763" w:type="dxa"/>
          </w:tcPr>
          <w:p w14:paraId="64A07B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3" w:type="dxa"/>
          </w:tcPr>
          <w:p w14:paraId="7BA46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77598A65" w14:textId="77777777">
        <w:tc>
          <w:tcPr>
            <w:tcW w:w="1668" w:type="dxa"/>
          </w:tcPr>
          <w:p w14:paraId="04A3FB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Армейский скор. Разведчик</w:t>
            </w:r>
          </w:p>
        </w:tc>
        <w:tc>
          <w:tcPr>
            <w:tcW w:w="850" w:type="dxa"/>
          </w:tcPr>
          <w:p w14:paraId="21E6CF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Р10</w:t>
            </w:r>
          </w:p>
        </w:tc>
        <w:tc>
          <w:tcPr>
            <w:tcW w:w="992" w:type="dxa"/>
          </w:tcPr>
          <w:p w14:paraId="2EB239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01.12.1932</w:t>
            </w:r>
          </w:p>
        </w:tc>
        <w:tc>
          <w:tcPr>
            <w:tcW w:w="834" w:type="dxa"/>
          </w:tcPr>
          <w:p w14:paraId="065AE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450-500/4000</w:t>
            </w:r>
          </w:p>
        </w:tc>
        <w:tc>
          <w:tcPr>
            <w:tcW w:w="1009" w:type="dxa"/>
          </w:tcPr>
          <w:p w14:paraId="685DE1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3000-4000/-</w:t>
            </w:r>
          </w:p>
        </w:tc>
        <w:tc>
          <w:tcPr>
            <w:tcW w:w="581" w:type="dxa"/>
          </w:tcPr>
          <w:p w14:paraId="7494F2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w:t>
            </w:r>
          </w:p>
        </w:tc>
        <w:tc>
          <w:tcPr>
            <w:tcW w:w="912" w:type="dxa"/>
          </w:tcPr>
          <w:p w14:paraId="113A9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750/1000</w:t>
            </w:r>
          </w:p>
        </w:tc>
        <w:tc>
          <w:tcPr>
            <w:tcW w:w="914" w:type="dxa"/>
          </w:tcPr>
          <w:p w14:paraId="0F42FD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17FC3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40DFE9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3" w:type="dxa"/>
          </w:tcPr>
          <w:p w14:paraId="69207B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763" w:type="dxa"/>
          </w:tcPr>
          <w:p w14:paraId="1E2B1F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r w:rsidR="001002C3" w:rsidRPr="007122AB" w14:paraId="3CCECFA9" w14:textId="77777777">
        <w:tc>
          <w:tcPr>
            <w:tcW w:w="1668" w:type="dxa"/>
          </w:tcPr>
          <w:p w14:paraId="411F4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w:t>
            </w:r>
            <w:proofErr w:type="spellStart"/>
            <w:r w:rsidRPr="007122AB">
              <w:rPr>
                <w:rFonts w:ascii="Times New Roman" w:hAnsi="Times New Roman"/>
                <w:color w:val="000000" w:themeColor="text1"/>
                <w:sz w:val="16"/>
                <w:szCs w:val="16"/>
              </w:rPr>
              <w:t>Высотн</w:t>
            </w:r>
            <w:proofErr w:type="spellEnd"/>
            <w:r w:rsidRPr="007122AB">
              <w:rPr>
                <w:rFonts w:ascii="Times New Roman" w:hAnsi="Times New Roman"/>
                <w:color w:val="000000" w:themeColor="text1"/>
                <w:sz w:val="16"/>
                <w:szCs w:val="16"/>
              </w:rPr>
              <w:t xml:space="preserve">. самолет, рекорд </w:t>
            </w:r>
            <w:proofErr w:type="spellStart"/>
            <w:r w:rsidRPr="007122AB">
              <w:rPr>
                <w:rFonts w:ascii="Times New Roman" w:hAnsi="Times New Roman"/>
                <w:color w:val="000000" w:themeColor="text1"/>
                <w:sz w:val="16"/>
                <w:szCs w:val="16"/>
              </w:rPr>
              <w:t>выс</w:t>
            </w:r>
            <w:proofErr w:type="spellEnd"/>
            <w:r w:rsidRPr="007122AB">
              <w:rPr>
                <w:rFonts w:ascii="Times New Roman" w:hAnsi="Times New Roman"/>
                <w:color w:val="000000" w:themeColor="text1"/>
                <w:sz w:val="16"/>
                <w:szCs w:val="16"/>
              </w:rPr>
              <w:t>.</w:t>
            </w:r>
          </w:p>
        </w:tc>
        <w:tc>
          <w:tcPr>
            <w:tcW w:w="850" w:type="dxa"/>
          </w:tcPr>
          <w:p w14:paraId="68608E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B43E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64E93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применения 10000-12000, потолок 15000, 2-местный с гермокабиной</w:t>
            </w:r>
          </w:p>
        </w:tc>
        <w:tc>
          <w:tcPr>
            <w:tcW w:w="1009" w:type="dxa"/>
          </w:tcPr>
          <w:p w14:paraId="1F7787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8B00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A939F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C62D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763C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0E98D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AECA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B47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обеспечения повышения </w:t>
            </w:r>
            <w:proofErr w:type="spellStart"/>
            <w:r w:rsidRPr="007122AB">
              <w:rPr>
                <w:rFonts w:ascii="Times New Roman" w:hAnsi="Times New Roman"/>
                <w:color w:val="000000" w:themeColor="text1"/>
                <w:sz w:val="16"/>
                <w:szCs w:val="16"/>
              </w:rPr>
              <w:t>летн</w:t>
            </w:r>
            <w:proofErr w:type="spellEnd"/>
            <w:r w:rsidRPr="007122AB">
              <w:rPr>
                <w:rFonts w:ascii="Times New Roman" w:hAnsi="Times New Roman"/>
                <w:color w:val="000000" w:themeColor="text1"/>
                <w:sz w:val="16"/>
                <w:szCs w:val="16"/>
              </w:rPr>
              <w:t>. Данных с-</w:t>
            </w:r>
            <w:proofErr w:type="spellStart"/>
            <w:r w:rsidRPr="007122AB">
              <w:rPr>
                <w:rFonts w:ascii="Times New Roman" w:hAnsi="Times New Roman"/>
                <w:color w:val="000000" w:themeColor="text1"/>
                <w:sz w:val="16"/>
                <w:szCs w:val="16"/>
              </w:rPr>
              <w:t>тов</w:t>
            </w:r>
            <w:proofErr w:type="spellEnd"/>
          </w:p>
        </w:tc>
      </w:tr>
      <w:tr w:rsidR="001002C3" w:rsidRPr="007122AB" w14:paraId="2116DF1C" w14:textId="77777777">
        <w:tc>
          <w:tcPr>
            <w:tcW w:w="1668" w:type="dxa"/>
          </w:tcPr>
          <w:p w14:paraId="65016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w:t>
            </w:r>
            <w:proofErr w:type="spellStart"/>
            <w:r w:rsidRPr="007122AB">
              <w:rPr>
                <w:rFonts w:ascii="Times New Roman" w:hAnsi="Times New Roman"/>
                <w:color w:val="000000" w:themeColor="text1"/>
                <w:sz w:val="16"/>
                <w:szCs w:val="16"/>
              </w:rPr>
              <w:t>Рекордн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Скоростн</w:t>
            </w:r>
            <w:proofErr w:type="spellEnd"/>
            <w:r w:rsidRPr="007122AB">
              <w:rPr>
                <w:rFonts w:ascii="Times New Roman" w:hAnsi="Times New Roman"/>
                <w:color w:val="000000" w:themeColor="text1"/>
                <w:sz w:val="16"/>
                <w:szCs w:val="16"/>
              </w:rPr>
              <w:t>.</w:t>
            </w:r>
          </w:p>
        </w:tc>
        <w:tc>
          <w:tcPr>
            <w:tcW w:w="850" w:type="dxa"/>
          </w:tcPr>
          <w:p w14:paraId="00CE7F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0ACF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2BB69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C01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201D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060E3D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B4E7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FA1D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24D46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9A4DB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47B81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7F26D30" w14:textId="77777777">
        <w:tc>
          <w:tcPr>
            <w:tcW w:w="1668" w:type="dxa"/>
          </w:tcPr>
          <w:p w14:paraId="0579E7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Рекордн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дальн</w:t>
            </w:r>
            <w:proofErr w:type="spellEnd"/>
            <w:r w:rsidRPr="007122AB">
              <w:rPr>
                <w:rFonts w:ascii="Times New Roman" w:hAnsi="Times New Roman"/>
                <w:color w:val="000000" w:themeColor="text1"/>
                <w:sz w:val="16"/>
                <w:szCs w:val="16"/>
              </w:rPr>
              <w:t>.</w:t>
            </w:r>
          </w:p>
        </w:tc>
        <w:tc>
          <w:tcPr>
            <w:tcW w:w="850" w:type="dxa"/>
          </w:tcPr>
          <w:p w14:paraId="30A57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A87F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62C3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8A53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4E904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A637D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5C864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3C281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7DE5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6C97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904CB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23EAC5E" w14:textId="77777777">
        <w:tc>
          <w:tcPr>
            <w:tcW w:w="1668" w:type="dxa"/>
          </w:tcPr>
          <w:p w14:paraId="1A5391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Летающее крыло</w:t>
            </w:r>
          </w:p>
        </w:tc>
        <w:tc>
          <w:tcPr>
            <w:tcW w:w="850" w:type="dxa"/>
          </w:tcPr>
          <w:p w14:paraId="1314A9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A506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7EF77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48C8B7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3969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939D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A0DBE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C64F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84DCF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C183B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8ADE5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накопления опыта для гиганта</w:t>
            </w:r>
          </w:p>
        </w:tc>
      </w:tr>
      <w:tr w:rsidR="001002C3" w:rsidRPr="007122AB" w14:paraId="79569B29" w14:textId="77777777">
        <w:tc>
          <w:tcPr>
            <w:tcW w:w="1668" w:type="dxa"/>
          </w:tcPr>
          <w:p w14:paraId="49677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Раздвижное крыло</w:t>
            </w:r>
          </w:p>
        </w:tc>
        <w:tc>
          <w:tcPr>
            <w:tcW w:w="850" w:type="dxa"/>
          </w:tcPr>
          <w:p w14:paraId="22A61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У3бис-М48</w:t>
            </w:r>
          </w:p>
        </w:tc>
        <w:tc>
          <w:tcPr>
            <w:tcW w:w="992" w:type="dxa"/>
          </w:tcPr>
          <w:p w14:paraId="58F590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01.10.1932</w:t>
            </w:r>
          </w:p>
        </w:tc>
        <w:tc>
          <w:tcPr>
            <w:tcW w:w="834" w:type="dxa"/>
          </w:tcPr>
          <w:p w14:paraId="5FAEA5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180/1000</w:t>
            </w:r>
          </w:p>
        </w:tc>
        <w:tc>
          <w:tcPr>
            <w:tcW w:w="1009" w:type="dxa"/>
          </w:tcPr>
          <w:p w14:paraId="4A16E2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1000/5000</w:t>
            </w:r>
          </w:p>
        </w:tc>
        <w:tc>
          <w:tcPr>
            <w:tcW w:w="581" w:type="dxa"/>
          </w:tcPr>
          <w:p w14:paraId="6B068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w:t>
            </w:r>
          </w:p>
        </w:tc>
        <w:tc>
          <w:tcPr>
            <w:tcW w:w="912" w:type="dxa"/>
          </w:tcPr>
          <w:p w14:paraId="73BF8D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360/-</w:t>
            </w:r>
          </w:p>
        </w:tc>
        <w:tc>
          <w:tcPr>
            <w:tcW w:w="914" w:type="dxa"/>
          </w:tcPr>
          <w:p w14:paraId="16987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720BD2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4A9C6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Дерево</w:t>
            </w:r>
          </w:p>
        </w:tc>
        <w:tc>
          <w:tcPr>
            <w:tcW w:w="763" w:type="dxa"/>
          </w:tcPr>
          <w:p w14:paraId="6D9BF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4040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Низк</w:t>
            </w:r>
            <w:proofErr w:type="spellEnd"/>
            <w:r w:rsidRPr="007122AB">
              <w:rPr>
                <w:rFonts w:ascii="Times New Roman" w:hAnsi="Times New Roman"/>
                <w:color w:val="000000" w:themeColor="text1"/>
                <w:sz w:val="16"/>
                <w:szCs w:val="16"/>
              </w:rPr>
              <w:t>. пос. скор.</w:t>
            </w:r>
          </w:p>
        </w:tc>
      </w:tr>
      <w:tr w:rsidR="001002C3" w:rsidRPr="007122AB" w14:paraId="4F3057C7" w14:textId="77777777">
        <w:tc>
          <w:tcPr>
            <w:tcW w:w="1668" w:type="dxa"/>
          </w:tcPr>
          <w:p w14:paraId="0A8B6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Сам. с особым типом </w:t>
            </w:r>
            <w:proofErr w:type="spellStart"/>
            <w:r w:rsidRPr="007122AB">
              <w:rPr>
                <w:rFonts w:ascii="Times New Roman" w:hAnsi="Times New Roman"/>
                <w:color w:val="000000" w:themeColor="text1"/>
                <w:sz w:val="16"/>
                <w:szCs w:val="16"/>
              </w:rPr>
              <w:t>раздв</w:t>
            </w:r>
            <w:proofErr w:type="spellEnd"/>
            <w:r w:rsidRPr="007122AB">
              <w:rPr>
                <w:rFonts w:ascii="Times New Roman" w:hAnsi="Times New Roman"/>
                <w:color w:val="000000" w:themeColor="text1"/>
                <w:sz w:val="16"/>
                <w:szCs w:val="16"/>
              </w:rPr>
              <w:t>.</w:t>
            </w:r>
          </w:p>
        </w:tc>
        <w:tc>
          <w:tcPr>
            <w:tcW w:w="850" w:type="dxa"/>
          </w:tcPr>
          <w:p w14:paraId="2208D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6E68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B9C7B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D38A1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9D4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DFE67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3E834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E254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6B2C9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F2B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0F12B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FAB170B" w14:textId="77777777">
        <w:tc>
          <w:tcPr>
            <w:tcW w:w="1668" w:type="dxa"/>
          </w:tcPr>
          <w:p w14:paraId="0CA45E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крыла (</w:t>
            </w:r>
            <w:proofErr w:type="spellStart"/>
            <w:r w:rsidRPr="007122AB">
              <w:rPr>
                <w:rFonts w:ascii="Times New Roman" w:hAnsi="Times New Roman"/>
                <w:color w:val="000000" w:themeColor="text1"/>
                <w:sz w:val="16"/>
                <w:szCs w:val="16"/>
              </w:rPr>
              <w:t>сист</w:t>
            </w:r>
            <w:proofErr w:type="spellEnd"/>
            <w:r w:rsidRPr="007122AB">
              <w:rPr>
                <w:rFonts w:ascii="Times New Roman" w:hAnsi="Times New Roman"/>
                <w:color w:val="000000" w:themeColor="text1"/>
                <w:sz w:val="16"/>
                <w:szCs w:val="16"/>
              </w:rPr>
              <w:t>. Кричевского)</w:t>
            </w:r>
          </w:p>
        </w:tc>
        <w:tc>
          <w:tcPr>
            <w:tcW w:w="850" w:type="dxa"/>
          </w:tcPr>
          <w:p w14:paraId="18BF0D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469E6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DCBA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9D42D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BD34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034ACA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7398D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5F6A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2F95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F34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AB653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0BFA70D0" w14:textId="77777777">
        <w:tc>
          <w:tcPr>
            <w:tcW w:w="1668" w:type="dxa"/>
          </w:tcPr>
          <w:p w14:paraId="61A005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Геликоптер</w:t>
            </w:r>
          </w:p>
        </w:tc>
        <w:tc>
          <w:tcPr>
            <w:tcW w:w="850" w:type="dxa"/>
          </w:tcPr>
          <w:p w14:paraId="530A2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2C6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97535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0A41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36676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CDD5F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AB37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A8C4F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3C5EB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AEB67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E03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6302DCD" w14:textId="77777777">
        <w:tc>
          <w:tcPr>
            <w:tcW w:w="1668" w:type="dxa"/>
          </w:tcPr>
          <w:p w14:paraId="21C686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Автожир</w:t>
            </w:r>
          </w:p>
        </w:tc>
        <w:tc>
          <w:tcPr>
            <w:tcW w:w="850" w:type="dxa"/>
          </w:tcPr>
          <w:p w14:paraId="581153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C99A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0463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1D727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6165C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E9ED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34B5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D5C2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F871A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D1EFE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90740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EF679D2" w14:textId="77777777">
        <w:tc>
          <w:tcPr>
            <w:tcW w:w="1668" w:type="dxa"/>
          </w:tcPr>
          <w:p w14:paraId="4159E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Сам. типа Утка</w:t>
            </w:r>
          </w:p>
        </w:tc>
        <w:tc>
          <w:tcPr>
            <w:tcW w:w="850" w:type="dxa"/>
          </w:tcPr>
          <w:p w14:paraId="3051F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4638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A885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C4755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A6B7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1CB70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4B476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A2155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BDD7A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AB6B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EBAC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BA114D4" w14:textId="77777777">
        <w:tc>
          <w:tcPr>
            <w:tcW w:w="1668" w:type="dxa"/>
          </w:tcPr>
          <w:p w14:paraId="60AC3C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12. Сам. с реакт. </w:t>
            </w:r>
            <w:proofErr w:type="spellStart"/>
            <w:r w:rsidRPr="007122AB">
              <w:rPr>
                <w:rFonts w:ascii="Times New Roman" w:hAnsi="Times New Roman"/>
                <w:color w:val="000000" w:themeColor="text1"/>
                <w:sz w:val="16"/>
                <w:szCs w:val="16"/>
              </w:rPr>
              <w:t>двиг</w:t>
            </w:r>
            <w:proofErr w:type="spellEnd"/>
            <w:r w:rsidRPr="007122AB">
              <w:rPr>
                <w:rFonts w:ascii="Times New Roman" w:hAnsi="Times New Roman"/>
                <w:color w:val="000000" w:themeColor="text1"/>
                <w:sz w:val="16"/>
                <w:szCs w:val="16"/>
              </w:rPr>
              <w:t>.</w:t>
            </w:r>
          </w:p>
        </w:tc>
        <w:tc>
          <w:tcPr>
            <w:tcW w:w="850" w:type="dxa"/>
          </w:tcPr>
          <w:p w14:paraId="4A968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E59C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5AE9A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6059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964AA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5FE7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DC39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3FBFB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4DC6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7BA12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8645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F921234" w14:textId="77777777">
        <w:tc>
          <w:tcPr>
            <w:tcW w:w="1668" w:type="dxa"/>
          </w:tcPr>
          <w:p w14:paraId="6DA900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Сам. с </w:t>
            </w:r>
            <w:proofErr w:type="spellStart"/>
            <w:r w:rsidRPr="007122AB">
              <w:rPr>
                <w:rFonts w:ascii="Times New Roman" w:hAnsi="Times New Roman"/>
                <w:color w:val="000000" w:themeColor="text1"/>
                <w:sz w:val="16"/>
                <w:szCs w:val="16"/>
              </w:rPr>
              <w:t>нефт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двиг</w:t>
            </w:r>
            <w:proofErr w:type="spellEnd"/>
            <w:r w:rsidRPr="007122AB">
              <w:rPr>
                <w:rFonts w:ascii="Times New Roman" w:hAnsi="Times New Roman"/>
                <w:color w:val="000000" w:themeColor="text1"/>
                <w:sz w:val="16"/>
                <w:szCs w:val="16"/>
              </w:rPr>
              <w:t>. Паккард</w:t>
            </w:r>
          </w:p>
        </w:tc>
        <w:tc>
          <w:tcPr>
            <w:tcW w:w="850" w:type="dxa"/>
          </w:tcPr>
          <w:p w14:paraId="077D6A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67E8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5FC1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68CA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D779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F72C7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15BB8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6C06D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F393B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1A04C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A93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B6CB633" w14:textId="77777777">
        <w:tc>
          <w:tcPr>
            <w:tcW w:w="1668" w:type="dxa"/>
          </w:tcPr>
          <w:p w14:paraId="21D14B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Сам. из новых мат. и их </w:t>
            </w:r>
            <w:proofErr w:type="spellStart"/>
            <w:r w:rsidRPr="007122AB">
              <w:rPr>
                <w:rFonts w:ascii="Times New Roman" w:hAnsi="Times New Roman"/>
                <w:color w:val="000000" w:themeColor="text1"/>
                <w:sz w:val="16"/>
                <w:szCs w:val="16"/>
              </w:rPr>
              <w:t>комб</w:t>
            </w:r>
            <w:proofErr w:type="spellEnd"/>
            <w:r w:rsidRPr="007122AB">
              <w:rPr>
                <w:rFonts w:ascii="Times New Roman" w:hAnsi="Times New Roman"/>
                <w:color w:val="000000" w:themeColor="text1"/>
                <w:sz w:val="16"/>
                <w:szCs w:val="16"/>
              </w:rPr>
              <w:t>.</w:t>
            </w:r>
          </w:p>
        </w:tc>
        <w:tc>
          <w:tcPr>
            <w:tcW w:w="850" w:type="dxa"/>
          </w:tcPr>
          <w:p w14:paraId="754A5C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0B902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4A4F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75DD0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50193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87EA7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DDE8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D3ED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E834A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DD39F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A92C3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58E634B" w14:textId="77777777">
        <w:tc>
          <w:tcPr>
            <w:tcW w:w="1668" w:type="dxa"/>
          </w:tcPr>
          <w:p w14:paraId="4496C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Сам. из новых мат. и их </w:t>
            </w:r>
            <w:proofErr w:type="spellStart"/>
            <w:r w:rsidRPr="007122AB">
              <w:rPr>
                <w:rFonts w:ascii="Times New Roman" w:hAnsi="Times New Roman"/>
                <w:color w:val="000000" w:themeColor="text1"/>
                <w:sz w:val="16"/>
                <w:szCs w:val="16"/>
              </w:rPr>
              <w:t>комб</w:t>
            </w:r>
            <w:proofErr w:type="spellEnd"/>
            <w:r w:rsidRPr="007122AB">
              <w:rPr>
                <w:rFonts w:ascii="Times New Roman" w:hAnsi="Times New Roman"/>
                <w:color w:val="000000" w:themeColor="text1"/>
                <w:sz w:val="16"/>
                <w:szCs w:val="16"/>
              </w:rPr>
              <w:t>.</w:t>
            </w:r>
          </w:p>
        </w:tc>
        <w:tc>
          <w:tcPr>
            <w:tcW w:w="850" w:type="dxa"/>
          </w:tcPr>
          <w:p w14:paraId="66B951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7F6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7A88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7EED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AD47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297A9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F46EC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EDF68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BAD0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7958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E79E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C574A43" w14:textId="77777777">
        <w:tc>
          <w:tcPr>
            <w:tcW w:w="1668" w:type="dxa"/>
          </w:tcPr>
          <w:p w14:paraId="72843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Гидросамолеты</w:t>
            </w:r>
          </w:p>
        </w:tc>
        <w:tc>
          <w:tcPr>
            <w:tcW w:w="850" w:type="dxa"/>
          </w:tcPr>
          <w:p w14:paraId="563E81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0242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CBF56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363E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B1F1B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38127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CD63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18E9C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06C7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A1A3C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8585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61B22EC" w14:textId="77777777">
        <w:tc>
          <w:tcPr>
            <w:tcW w:w="1668" w:type="dxa"/>
          </w:tcPr>
          <w:p w14:paraId="1BC8D9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w:t>
            </w:r>
            <w:proofErr w:type="spellStart"/>
            <w:r w:rsidRPr="007122AB">
              <w:rPr>
                <w:rFonts w:ascii="Times New Roman" w:hAnsi="Times New Roman"/>
                <w:color w:val="000000" w:themeColor="text1"/>
                <w:sz w:val="16"/>
                <w:szCs w:val="16"/>
              </w:rPr>
              <w:t>Морск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ближн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амфиб</w:t>
            </w:r>
            <w:proofErr w:type="spellEnd"/>
            <w:r w:rsidRPr="007122AB">
              <w:rPr>
                <w:rFonts w:ascii="Times New Roman" w:hAnsi="Times New Roman"/>
                <w:color w:val="000000" w:themeColor="text1"/>
                <w:sz w:val="16"/>
                <w:szCs w:val="16"/>
              </w:rPr>
              <w:t>.</w:t>
            </w:r>
          </w:p>
        </w:tc>
        <w:tc>
          <w:tcPr>
            <w:tcW w:w="850" w:type="dxa"/>
          </w:tcPr>
          <w:p w14:paraId="033EE3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МБР3-М34</w:t>
            </w:r>
          </w:p>
        </w:tc>
        <w:tc>
          <w:tcPr>
            <w:tcW w:w="992" w:type="dxa"/>
          </w:tcPr>
          <w:p w14:paraId="1EB0C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01.06.1932</w:t>
            </w:r>
          </w:p>
        </w:tc>
        <w:tc>
          <w:tcPr>
            <w:tcW w:w="834" w:type="dxa"/>
          </w:tcPr>
          <w:p w14:paraId="7E424D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225/3000</w:t>
            </w:r>
          </w:p>
        </w:tc>
        <w:tc>
          <w:tcPr>
            <w:tcW w:w="1009" w:type="dxa"/>
          </w:tcPr>
          <w:p w14:paraId="50AF8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581" w:type="dxa"/>
          </w:tcPr>
          <w:p w14:paraId="798BCD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w:t>
            </w:r>
          </w:p>
        </w:tc>
        <w:tc>
          <w:tcPr>
            <w:tcW w:w="912" w:type="dxa"/>
          </w:tcPr>
          <w:p w14:paraId="034F8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 час.</w:t>
            </w:r>
          </w:p>
        </w:tc>
        <w:tc>
          <w:tcPr>
            <w:tcW w:w="914" w:type="dxa"/>
          </w:tcPr>
          <w:p w14:paraId="1CD91F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w:t>
            </w:r>
          </w:p>
        </w:tc>
        <w:tc>
          <w:tcPr>
            <w:tcW w:w="907" w:type="dxa"/>
          </w:tcPr>
          <w:p w14:paraId="5087A8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7F557B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Дюр</w:t>
            </w:r>
            <w:proofErr w:type="spellEnd"/>
            <w:r w:rsidRPr="007122AB">
              <w:rPr>
                <w:rFonts w:ascii="Times New Roman" w:hAnsi="Times New Roman"/>
                <w:color w:val="000000" w:themeColor="text1"/>
                <w:sz w:val="16"/>
                <w:szCs w:val="16"/>
              </w:rPr>
              <w:t>./дер.</w:t>
            </w:r>
          </w:p>
        </w:tc>
        <w:tc>
          <w:tcPr>
            <w:tcW w:w="763" w:type="dxa"/>
          </w:tcPr>
          <w:p w14:paraId="0D7CF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5A6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Перех. к МБР5</w:t>
            </w:r>
          </w:p>
          <w:p w14:paraId="1AA3B9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 ВОГВФ не пред.</w:t>
            </w:r>
          </w:p>
        </w:tc>
      </w:tr>
      <w:tr w:rsidR="001002C3" w:rsidRPr="007122AB" w14:paraId="0B3DFEFB" w14:textId="77777777">
        <w:tc>
          <w:tcPr>
            <w:tcW w:w="1668" w:type="dxa"/>
          </w:tcPr>
          <w:p w14:paraId="2A1775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17. Кор. </w:t>
            </w:r>
            <w:proofErr w:type="spellStart"/>
            <w:r w:rsidRPr="007122AB">
              <w:rPr>
                <w:rFonts w:ascii="Times New Roman" w:hAnsi="Times New Roman"/>
                <w:color w:val="000000" w:themeColor="text1"/>
                <w:sz w:val="16"/>
                <w:szCs w:val="16"/>
              </w:rPr>
              <w:t>разв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коррект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катап</w:t>
            </w:r>
            <w:proofErr w:type="spellEnd"/>
            <w:r w:rsidRPr="007122AB">
              <w:rPr>
                <w:rFonts w:ascii="Times New Roman" w:hAnsi="Times New Roman"/>
                <w:color w:val="000000" w:themeColor="text1"/>
                <w:sz w:val="16"/>
                <w:szCs w:val="16"/>
              </w:rPr>
              <w:t>.</w:t>
            </w:r>
          </w:p>
        </w:tc>
        <w:tc>
          <w:tcPr>
            <w:tcW w:w="850" w:type="dxa"/>
          </w:tcPr>
          <w:p w14:paraId="61029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КР2-М34</w:t>
            </w:r>
          </w:p>
        </w:tc>
        <w:tc>
          <w:tcPr>
            <w:tcW w:w="992" w:type="dxa"/>
          </w:tcPr>
          <w:p w14:paraId="3B5743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01.07.1932</w:t>
            </w:r>
          </w:p>
        </w:tc>
        <w:tc>
          <w:tcPr>
            <w:tcW w:w="834" w:type="dxa"/>
          </w:tcPr>
          <w:p w14:paraId="1DBD6F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300/3000</w:t>
            </w:r>
          </w:p>
        </w:tc>
        <w:tc>
          <w:tcPr>
            <w:tcW w:w="1009" w:type="dxa"/>
          </w:tcPr>
          <w:p w14:paraId="0768D1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3000/6000</w:t>
            </w:r>
          </w:p>
        </w:tc>
        <w:tc>
          <w:tcPr>
            <w:tcW w:w="581" w:type="dxa"/>
          </w:tcPr>
          <w:p w14:paraId="5B33AC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w:t>
            </w:r>
          </w:p>
        </w:tc>
        <w:tc>
          <w:tcPr>
            <w:tcW w:w="912" w:type="dxa"/>
          </w:tcPr>
          <w:p w14:paraId="68613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350/550</w:t>
            </w:r>
          </w:p>
        </w:tc>
        <w:tc>
          <w:tcPr>
            <w:tcW w:w="914" w:type="dxa"/>
          </w:tcPr>
          <w:p w14:paraId="74552D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907" w:type="dxa"/>
          </w:tcPr>
          <w:p w14:paraId="02B7BB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5DA82B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Сталь</w:t>
            </w:r>
          </w:p>
        </w:tc>
        <w:tc>
          <w:tcPr>
            <w:tcW w:w="763" w:type="dxa"/>
          </w:tcPr>
          <w:p w14:paraId="178D27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3DCF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КР1-ЮУГ</w:t>
            </w:r>
          </w:p>
          <w:p w14:paraId="6752FE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 должен иметь варианты крыльев:</w:t>
            </w:r>
          </w:p>
          <w:p w14:paraId="75F192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разрезные и в </w:t>
            </w:r>
            <w:proofErr w:type="spellStart"/>
            <w:r w:rsidRPr="007122AB">
              <w:rPr>
                <w:rFonts w:ascii="Times New Roman" w:hAnsi="Times New Roman"/>
                <w:color w:val="000000" w:themeColor="text1"/>
                <w:sz w:val="16"/>
                <w:szCs w:val="16"/>
              </w:rPr>
              <w:t>т.ж</w:t>
            </w:r>
            <w:proofErr w:type="spellEnd"/>
            <w:r w:rsidRPr="007122AB">
              <w:rPr>
                <w:rFonts w:ascii="Times New Roman" w:hAnsi="Times New Roman"/>
                <w:color w:val="000000" w:themeColor="text1"/>
                <w:sz w:val="16"/>
                <w:szCs w:val="16"/>
              </w:rPr>
              <w:t>. время складываемые</w:t>
            </w:r>
          </w:p>
          <w:p w14:paraId="4F8A64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выдвижные</w:t>
            </w:r>
          </w:p>
        </w:tc>
      </w:tr>
      <w:tr w:rsidR="001002C3" w:rsidRPr="007122AB" w14:paraId="033ED67A" w14:textId="77777777">
        <w:tc>
          <w:tcPr>
            <w:tcW w:w="1668" w:type="dxa"/>
          </w:tcPr>
          <w:p w14:paraId="646BA8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 Самолет подлодок</w:t>
            </w:r>
          </w:p>
        </w:tc>
        <w:tc>
          <w:tcPr>
            <w:tcW w:w="850" w:type="dxa"/>
          </w:tcPr>
          <w:p w14:paraId="1128E4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СПЛ</w:t>
            </w:r>
          </w:p>
        </w:tc>
        <w:tc>
          <w:tcPr>
            <w:tcW w:w="992" w:type="dxa"/>
          </w:tcPr>
          <w:p w14:paraId="68CFA4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Требования устанавливаются отдельно</w:t>
            </w:r>
          </w:p>
        </w:tc>
        <w:tc>
          <w:tcPr>
            <w:tcW w:w="834" w:type="dxa"/>
          </w:tcPr>
          <w:p w14:paraId="00EC74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A4FB0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E247C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8C0F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EFE0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1CD5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DDE1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B3C3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16463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D508BE9" w14:textId="77777777">
        <w:tc>
          <w:tcPr>
            <w:tcW w:w="1668" w:type="dxa"/>
          </w:tcPr>
          <w:p w14:paraId="1CB6C1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Самолеты особой группы:</w:t>
            </w:r>
          </w:p>
        </w:tc>
        <w:tc>
          <w:tcPr>
            <w:tcW w:w="850" w:type="dxa"/>
          </w:tcPr>
          <w:p w14:paraId="2A1F3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A022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534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1C77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C189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7138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2C56E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B3C84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BA41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043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9D64C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1243E9A" w14:textId="77777777">
        <w:tc>
          <w:tcPr>
            <w:tcW w:w="1668" w:type="dxa"/>
          </w:tcPr>
          <w:p w14:paraId="761455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w:t>
            </w:r>
            <w:proofErr w:type="spellStart"/>
            <w:r w:rsidRPr="007122AB">
              <w:rPr>
                <w:rFonts w:ascii="Times New Roman" w:hAnsi="Times New Roman"/>
                <w:color w:val="000000" w:themeColor="text1"/>
                <w:sz w:val="16"/>
                <w:szCs w:val="16"/>
              </w:rPr>
              <w:t>Истреб</w:t>
            </w:r>
            <w:proofErr w:type="spellEnd"/>
            <w:r w:rsidRPr="007122AB">
              <w:rPr>
                <w:rFonts w:ascii="Times New Roman" w:hAnsi="Times New Roman"/>
                <w:color w:val="000000" w:themeColor="text1"/>
                <w:sz w:val="16"/>
                <w:szCs w:val="16"/>
              </w:rPr>
              <w:t>. для перевозки на тяж.</w:t>
            </w:r>
          </w:p>
        </w:tc>
        <w:tc>
          <w:tcPr>
            <w:tcW w:w="850" w:type="dxa"/>
          </w:tcPr>
          <w:p w14:paraId="05255E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A42E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6A33E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F91E2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AA0B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3AC0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93E71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BA710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33033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2BD0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ADE6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57225D1" w14:textId="77777777">
        <w:tc>
          <w:tcPr>
            <w:tcW w:w="1668" w:type="dxa"/>
          </w:tcPr>
          <w:p w14:paraId="16829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w:t>
            </w:r>
          </w:p>
        </w:tc>
        <w:tc>
          <w:tcPr>
            <w:tcW w:w="850" w:type="dxa"/>
          </w:tcPr>
          <w:p w14:paraId="2A973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498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BE26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80ADE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3F71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A4AAE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E040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1B1C9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3D20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B2E76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07F7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217114F7" w14:textId="77777777">
        <w:tc>
          <w:tcPr>
            <w:tcW w:w="1668" w:type="dxa"/>
          </w:tcPr>
          <w:p w14:paraId="57218E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Самолет Таран</w:t>
            </w:r>
          </w:p>
        </w:tc>
        <w:tc>
          <w:tcPr>
            <w:tcW w:w="850" w:type="dxa"/>
          </w:tcPr>
          <w:p w14:paraId="3D5D15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ТА1</w:t>
            </w:r>
          </w:p>
        </w:tc>
        <w:tc>
          <w:tcPr>
            <w:tcW w:w="992" w:type="dxa"/>
          </w:tcPr>
          <w:p w14:paraId="371B81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551F4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400/5000</w:t>
            </w:r>
          </w:p>
        </w:tc>
        <w:tc>
          <w:tcPr>
            <w:tcW w:w="1009" w:type="dxa"/>
          </w:tcPr>
          <w:p w14:paraId="2415C8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5000/8000/6</w:t>
            </w:r>
          </w:p>
        </w:tc>
        <w:tc>
          <w:tcPr>
            <w:tcW w:w="581" w:type="dxa"/>
          </w:tcPr>
          <w:p w14:paraId="72B995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12" w:type="dxa"/>
          </w:tcPr>
          <w:p w14:paraId="54A9B9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час</w:t>
            </w:r>
          </w:p>
        </w:tc>
        <w:tc>
          <w:tcPr>
            <w:tcW w:w="914" w:type="dxa"/>
          </w:tcPr>
          <w:p w14:paraId="0E4127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907" w:type="dxa"/>
          </w:tcPr>
          <w:p w14:paraId="748E7C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95318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3E489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6D1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62BEDE51" w14:textId="77777777">
        <w:tc>
          <w:tcPr>
            <w:tcW w:w="1668" w:type="dxa"/>
          </w:tcPr>
          <w:p w14:paraId="0A3E07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Самолет Таран</w:t>
            </w:r>
          </w:p>
        </w:tc>
        <w:tc>
          <w:tcPr>
            <w:tcW w:w="850" w:type="dxa"/>
          </w:tcPr>
          <w:p w14:paraId="08BAF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ТА2</w:t>
            </w:r>
          </w:p>
        </w:tc>
        <w:tc>
          <w:tcPr>
            <w:tcW w:w="992" w:type="dxa"/>
          </w:tcPr>
          <w:p w14:paraId="086EFE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51BDD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400/5000</w:t>
            </w:r>
          </w:p>
        </w:tc>
        <w:tc>
          <w:tcPr>
            <w:tcW w:w="1009" w:type="dxa"/>
          </w:tcPr>
          <w:p w14:paraId="390D3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5000/8000/6</w:t>
            </w:r>
          </w:p>
        </w:tc>
        <w:tc>
          <w:tcPr>
            <w:tcW w:w="581" w:type="dxa"/>
          </w:tcPr>
          <w:p w14:paraId="4AF41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12" w:type="dxa"/>
          </w:tcPr>
          <w:p w14:paraId="110DFA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час</w:t>
            </w:r>
          </w:p>
        </w:tc>
        <w:tc>
          <w:tcPr>
            <w:tcW w:w="914" w:type="dxa"/>
          </w:tcPr>
          <w:p w14:paraId="6044F1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907" w:type="dxa"/>
          </w:tcPr>
          <w:p w14:paraId="500160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F2D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279B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C58C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Радиоупр</w:t>
            </w:r>
            <w:proofErr w:type="spellEnd"/>
            <w:r w:rsidRPr="007122AB">
              <w:rPr>
                <w:rFonts w:ascii="Times New Roman" w:hAnsi="Times New Roman"/>
                <w:color w:val="000000" w:themeColor="text1"/>
                <w:sz w:val="16"/>
                <w:szCs w:val="16"/>
              </w:rPr>
              <w:t>.</w:t>
            </w:r>
          </w:p>
        </w:tc>
      </w:tr>
      <w:tr w:rsidR="001002C3" w:rsidRPr="007122AB" w14:paraId="4BF7258F" w14:textId="77777777">
        <w:tc>
          <w:tcPr>
            <w:tcW w:w="1668" w:type="dxa"/>
          </w:tcPr>
          <w:p w14:paraId="4F63A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Сам. для перевозки пушки</w:t>
            </w:r>
          </w:p>
        </w:tc>
        <w:tc>
          <w:tcPr>
            <w:tcW w:w="850" w:type="dxa"/>
          </w:tcPr>
          <w:p w14:paraId="3CCE95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4EF0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B5DA1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2155A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84D9F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4E2F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3452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EA59A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2146A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448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6E5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072E3E4" w14:textId="77777777">
        <w:tc>
          <w:tcPr>
            <w:tcW w:w="1668" w:type="dxa"/>
          </w:tcPr>
          <w:p w14:paraId="6368BA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w:t>
            </w:r>
            <w:proofErr w:type="spellStart"/>
            <w:r w:rsidRPr="007122AB">
              <w:rPr>
                <w:rFonts w:ascii="Times New Roman" w:hAnsi="Times New Roman"/>
                <w:color w:val="000000" w:themeColor="text1"/>
                <w:sz w:val="16"/>
                <w:szCs w:val="16"/>
              </w:rPr>
              <w:t>Бронир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истр</w:t>
            </w:r>
            <w:proofErr w:type="spellEnd"/>
            <w:r w:rsidRPr="007122AB">
              <w:rPr>
                <w:rFonts w:ascii="Times New Roman" w:hAnsi="Times New Roman"/>
                <w:color w:val="000000" w:themeColor="text1"/>
                <w:sz w:val="16"/>
                <w:szCs w:val="16"/>
              </w:rPr>
              <w:t>. Миноносец</w:t>
            </w:r>
          </w:p>
        </w:tc>
        <w:tc>
          <w:tcPr>
            <w:tcW w:w="850" w:type="dxa"/>
          </w:tcPr>
          <w:p w14:paraId="43D0AB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w:t>
            </w:r>
          </w:p>
        </w:tc>
        <w:tc>
          <w:tcPr>
            <w:tcW w:w="992" w:type="dxa"/>
          </w:tcPr>
          <w:p w14:paraId="375786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3D4CC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325-350/5000</w:t>
            </w:r>
          </w:p>
        </w:tc>
        <w:tc>
          <w:tcPr>
            <w:tcW w:w="1009" w:type="dxa"/>
          </w:tcPr>
          <w:p w14:paraId="05C251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5000/8000/10</w:t>
            </w:r>
          </w:p>
        </w:tc>
        <w:tc>
          <w:tcPr>
            <w:tcW w:w="581" w:type="dxa"/>
          </w:tcPr>
          <w:p w14:paraId="0AB22B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912" w:type="dxa"/>
          </w:tcPr>
          <w:p w14:paraId="703EB7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час.</w:t>
            </w:r>
          </w:p>
        </w:tc>
        <w:tc>
          <w:tcPr>
            <w:tcW w:w="914" w:type="dxa"/>
          </w:tcPr>
          <w:p w14:paraId="31253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907" w:type="dxa"/>
          </w:tcPr>
          <w:p w14:paraId="7C7AC2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легк</w:t>
            </w:r>
            <w:proofErr w:type="spellEnd"/>
            <w:r w:rsidRPr="007122AB">
              <w:rPr>
                <w:rFonts w:ascii="Times New Roman" w:hAnsi="Times New Roman"/>
                <w:color w:val="000000" w:themeColor="text1"/>
                <w:sz w:val="16"/>
                <w:szCs w:val="16"/>
              </w:rPr>
              <w:t>. пул.</w:t>
            </w:r>
          </w:p>
        </w:tc>
        <w:tc>
          <w:tcPr>
            <w:tcW w:w="831" w:type="dxa"/>
          </w:tcPr>
          <w:p w14:paraId="0C7F03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FB2B1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55B08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3A3A765A" w14:textId="77777777">
        <w:tc>
          <w:tcPr>
            <w:tcW w:w="1668" w:type="dxa"/>
          </w:tcPr>
          <w:p w14:paraId="229D4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w:t>
            </w:r>
            <w:proofErr w:type="spellStart"/>
            <w:r w:rsidRPr="007122AB">
              <w:rPr>
                <w:rFonts w:ascii="Times New Roman" w:hAnsi="Times New Roman"/>
                <w:color w:val="000000" w:themeColor="text1"/>
                <w:sz w:val="16"/>
                <w:szCs w:val="16"/>
              </w:rPr>
              <w:t>Летающ</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торп</w:t>
            </w:r>
            <w:proofErr w:type="spellEnd"/>
            <w:r w:rsidRPr="007122AB">
              <w:rPr>
                <w:rFonts w:ascii="Times New Roman" w:hAnsi="Times New Roman"/>
                <w:color w:val="000000" w:themeColor="text1"/>
                <w:sz w:val="16"/>
                <w:szCs w:val="16"/>
              </w:rPr>
              <w:t>. катер</w:t>
            </w:r>
          </w:p>
        </w:tc>
        <w:tc>
          <w:tcPr>
            <w:tcW w:w="850" w:type="dxa"/>
          </w:tcPr>
          <w:p w14:paraId="070F97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ЛТК</w:t>
            </w:r>
          </w:p>
        </w:tc>
        <w:tc>
          <w:tcPr>
            <w:tcW w:w="992" w:type="dxa"/>
          </w:tcPr>
          <w:p w14:paraId="7C408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23065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5B1E3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46002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3F4D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19BCE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1498C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D9BF6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33E17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02B5A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bl>
    <w:p w14:paraId="6FDB1C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РККА в мирное время не предполагаются.</w:t>
      </w:r>
    </w:p>
    <w:p w14:paraId="43E086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Интересно, что нет АНТ-20, Р7 (АНТ-10), Ш2, ДИ3, ТОМ, ТШ1, ТБ-7 (ЦАГИ), ШОН, МУ3, ИZ, МБР-2, Сталь-2.</w:t>
      </w:r>
    </w:p>
    <w:p w14:paraId="17A62A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FB8C1FB"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 ноября 1931 г. Начальник ВВС Я.И. Алкснис подписал предложенный ВВС РККА План опытного строительство по моторам и самолетам на 1932-1934 гг., в котором к 01.10.32 г. ВАО должно было представить на испытания новый истребитель И13-М32 для замены самолетов И-7 в скором будущем – подобной смешанной конструкции, но с улучшенными летными данными. Тем же документом предполагалось до замены самолетов И-7 новыми внедрить на них двигатели М-34, предкрылки (патент закупался у английской фирмы «</w:t>
      </w:r>
      <w:proofErr w:type="spellStart"/>
      <w:r w:rsidRPr="00441F34">
        <w:rPr>
          <w:rFonts w:ascii="Times New Roman" w:hAnsi="Times New Roman"/>
          <w:color w:val="0070C0"/>
          <w:sz w:val="16"/>
          <w:szCs w:val="16"/>
        </w:rPr>
        <w:t>Хэндли</w:t>
      </w:r>
      <w:proofErr w:type="spellEnd"/>
      <w:r w:rsidRPr="00441F34">
        <w:rPr>
          <w:rFonts w:ascii="Times New Roman" w:hAnsi="Times New Roman"/>
          <w:color w:val="0070C0"/>
          <w:sz w:val="16"/>
          <w:szCs w:val="16"/>
        </w:rPr>
        <w:t xml:space="preserve"> Пейдж») и тормозные колеса шасси.</w:t>
      </w:r>
    </w:p>
    <w:p w14:paraId="6DF6AE2C"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ВАО предложение поддержано, однако, по-видимому, никакие практические работы не выполнялись, т.к. задание не было внесено в планы.</w:t>
      </w:r>
    </w:p>
    <w:p w14:paraId="2B84AEB8" w14:textId="77777777" w:rsidR="001C4D6B" w:rsidRPr="00441F34" w:rsidRDefault="001C4D6B" w:rsidP="001C4D6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Вопрос внедрения предкрылков на самолет И-7 М-34, как имеющий в серийном исполнении с мотором М-17 проблемы со штопором, поручен ЦАГИ, но Институт им не занимался, будучи перегружен в т.ч. и подобной темой по истребителю И-4 (АНТ-5) его собственной разработки (24331).</w:t>
      </w:r>
    </w:p>
    <w:p w14:paraId="1C2F8F81" w14:textId="77777777" w:rsidR="001C4D6B" w:rsidRPr="00441F34" w:rsidRDefault="001C4D6B" w:rsidP="001C4D6B">
      <w:pPr>
        <w:spacing w:after="0" w:line="240" w:lineRule="auto"/>
        <w:jc w:val="both"/>
        <w:rPr>
          <w:rFonts w:ascii="Times New Roman" w:hAnsi="Times New Roman"/>
          <w:color w:val="0070C0"/>
          <w:sz w:val="16"/>
          <w:szCs w:val="16"/>
        </w:rPr>
      </w:pPr>
    </w:p>
    <w:p w14:paraId="5CBD990F" w14:textId="77777777" w:rsidR="00C54992"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0A5ADFC" w14:textId="77777777" w:rsidR="00C54992" w:rsidRPr="007122AB" w:rsidRDefault="00C5499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F109F13" w14:textId="77777777" w:rsidR="00C54992" w:rsidRPr="007122AB" w:rsidRDefault="00C54992"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ноября 1931 года рабочие чертежи 82-мм миномета были отправлены Н.А. </w:t>
      </w:r>
      <w:proofErr w:type="spellStart"/>
      <w:r w:rsidRPr="007122AB">
        <w:rPr>
          <w:rFonts w:ascii="Times New Roman" w:hAnsi="Times New Roman"/>
          <w:color w:val="000000" w:themeColor="text1"/>
          <w:sz w:val="16"/>
          <w:szCs w:val="16"/>
        </w:rPr>
        <w:t>Доровлевым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Первый 82-мм миномет был спроектирован группой Д на базе 81-мм трофейного миномета Стокса-Брандта. Почему у минометов группы </w:t>
      </w:r>
      <w:proofErr w:type="spellStart"/>
      <w:r w:rsidRPr="007122AB">
        <w:rPr>
          <w:rFonts w:ascii="Times New Roman" w:hAnsi="Times New Roman"/>
          <w:color w:val="000000" w:themeColor="text1"/>
          <w:sz w:val="16"/>
          <w:szCs w:val="16"/>
        </w:rPr>
        <w:t>Доровлева</w:t>
      </w:r>
      <w:proofErr w:type="spellEnd"/>
      <w:r w:rsidRPr="007122AB">
        <w:rPr>
          <w:rFonts w:ascii="Times New Roman" w:hAnsi="Times New Roman"/>
          <w:color w:val="000000" w:themeColor="text1"/>
          <w:sz w:val="16"/>
          <w:szCs w:val="16"/>
        </w:rPr>
        <w:t xml:space="preserve"> калибр был 82, а не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81,4 мм</w:t>
        </w:r>
      </w:smartTag>
      <w:r w:rsidRPr="007122AB">
        <w:rPr>
          <w:rFonts w:ascii="Times New Roman" w:hAnsi="Times New Roman"/>
          <w:color w:val="000000" w:themeColor="text1"/>
          <w:sz w:val="16"/>
          <w:szCs w:val="16"/>
        </w:rPr>
        <w:t xml:space="preserve">, как у минометов Стокса-Брандта в остальных государствах мира? </w:t>
      </w:r>
      <w:proofErr w:type="spellStart"/>
      <w:r w:rsidRPr="007122AB">
        <w:rPr>
          <w:rFonts w:ascii="Times New Roman" w:hAnsi="Times New Roman"/>
          <w:color w:val="000000" w:themeColor="text1"/>
          <w:sz w:val="16"/>
          <w:szCs w:val="16"/>
        </w:rPr>
        <w:t>Доровлев</w:t>
      </w:r>
      <w:proofErr w:type="spellEnd"/>
      <w:r w:rsidRPr="007122AB">
        <w:rPr>
          <w:rFonts w:ascii="Times New Roman" w:hAnsi="Times New Roman"/>
          <w:color w:val="000000" w:themeColor="text1"/>
          <w:sz w:val="16"/>
          <w:szCs w:val="16"/>
        </w:rPr>
        <w:t xml:space="preserve"> обосновывал разницу в калибрах так: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 Рассмотрев рабочие чертежи,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утвердило их и дало 7 января 1932 года опытный заказ на пять 82-мм минометов заводу «Красный Октябрь». Полигонные испытания 82-мм минометов, изготовленных на заводе «Красный Октябрь», начались 17 июня 1933 года. Вес минометов с колесным ходом составлял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81 кг</w:t>
        </w:r>
      </w:smartTag>
      <w:r w:rsidRPr="007122AB">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80 метров</w:t>
        </w:r>
      </w:smartTag>
      <w:r w:rsidRPr="007122AB">
        <w:rPr>
          <w:rFonts w:ascii="Times New Roman" w:hAnsi="Times New Roman"/>
          <w:color w:val="000000" w:themeColor="text1"/>
          <w:sz w:val="16"/>
          <w:szCs w:val="16"/>
        </w:rPr>
        <w:t xml:space="preserve"> (15218).</w:t>
      </w:r>
    </w:p>
    <w:p w14:paraId="5BB35F90" w14:textId="77777777" w:rsidR="00C54992" w:rsidRPr="007122AB" w:rsidRDefault="00C54992" w:rsidP="007122AB">
      <w:pPr>
        <w:widowControl w:val="0"/>
        <w:spacing w:after="0" w:line="240" w:lineRule="auto"/>
        <w:jc w:val="both"/>
        <w:rPr>
          <w:rFonts w:ascii="Times New Roman" w:hAnsi="Times New Roman"/>
          <w:color w:val="000000" w:themeColor="text1"/>
          <w:sz w:val="16"/>
          <w:szCs w:val="16"/>
        </w:rPr>
      </w:pPr>
    </w:p>
    <w:p w14:paraId="0B65F1F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100D56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8083C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1931 Президиум ВЦИК постановил переименовать Тверь МО в Калинин. Указ подписал сам М.К. (3263,667).</w:t>
      </w:r>
    </w:p>
    <w:p w14:paraId="6EFDDB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E0EDEA" w14:textId="77777777" w:rsidR="00A73FA4" w:rsidRPr="007122AB" w:rsidRDefault="00A73FA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1931 года Президиум ЦИК Союза СССР постановил: «Ходатайство Президиума ВЦИК и Московского облисполкома удовлетворить и переименовать город Тверь Московской области в город Калинин» (21166).</w:t>
      </w:r>
    </w:p>
    <w:p w14:paraId="3313F34A" w14:textId="77777777" w:rsidR="00A73FA4" w:rsidRPr="007122AB" w:rsidRDefault="00A73FA4" w:rsidP="007122AB">
      <w:pPr>
        <w:spacing w:after="0" w:line="240" w:lineRule="auto"/>
        <w:jc w:val="both"/>
        <w:rPr>
          <w:rFonts w:ascii="Times New Roman" w:hAnsi="Times New Roman"/>
          <w:color w:val="000000" w:themeColor="text1"/>
          <w:sz w:val="16"/>
          <w:szCs w:val="16"/>
        </w:rPr>
      </w:pPr>
    </w:p>
    <w:p w14:paraId="1BDE21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ноября и 3 декабря 1931. Из протокола заседания Политбюро № 75, 1931 г.</w:t>
      </w:r>
    </w:p>
    <w:p w14:paraId="33BE9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порядке представления материалов к заседаниям Политбюро </w:t>
      </w:r>
    </w:p>
    <w:p w14:paraId="3227D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изменение постановления Политбюро от 5 ноября с. г. ограничить представляемые в ЦК к заседаниям Политбюро материалы (объяснительная записка и проект постановления вместе) максимум 8 страницами (11652).</w:t>
      </w:r>
    </w:p>
    <w:p w14:paraId="3C7726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1A5D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ноября и 3 декабря 1931. Из протокола заседания Политбюро № 75, 1931 г.</w:t>
      </w:r>
    </w:p>
    <w:p w14:paraId="087A20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Вопрос тов. Элиавы </w:t>
      </w:r>
    </w:p>
    <w:p w14:paraId="50330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"Антиквариату" продать находящуюся в Эрмитаже картину Рембрандта "Аман в гневе" (11652). </w:t>
      </w:r>
    </w:p>
    <w:p w14:paraId="51D1CE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EDF9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ноября и 3 декабря 1931. Из протокола заседания Политбюро № 75, 1931 г.</w:t>
      </w:r>
    </w:p>
    <w:p w14:paraId="5C8D3E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Ставки для коммунистов-хозяйственников и инженерно-технического персонала </w:t>
      </w:r>
    </w:p>
    <w:p w14:paraId="31A44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Распространить получение заработка выше партмаксимума на следующие категории работников-коммунистов: директоров (управляющих) на производстве (строительстве), начальников депо, станций и дистанций железной дороги и соответствующих им должностей водного транспорта; специалистов, работающих по специальности как в производстве, так и в учреждениях, в том числе и в научно-исследовательских институтах. </w:t>
      </w:r>
    </w:p>
    <w:p w14:paraId="069F2E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Установить отчисления членских взносов для коммунистов, получающих зарплату свыше партмаксимума, в размере 5%. </w:t>
      </w:r>
    </w:p>
    <w:p w14:paraId="23C6F9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Установить для коммунистов, получающих сверх партмаксимума, три категории оплаты труда: 400-500 руб., 600-700 руб. и 800-900 рублей (11652).</w:t>
      </w:r>
    </w:p>
    <w:p w14:paraId="2355F5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B45DBD" w14:textId="77777777" w:rsidR="00CB6D9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97CF606" w14:textId="77777777" w:rsidR="00CB6D91" w:rsidRPr="007122AB" w:rsidRDefault="00CB6D9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9F72044"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20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243с о подготовке квалифицированных рабочих и специалистов в системе наркоматов для РККА (ГА РФ. Ф. Р?8418. Оп. 28. Д. 1а. Л. 86) (12415).</w:t>
      </w:r>
    </w:p>
    <w:p w14:paraId="589DB39B"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p>
    <w:p w14:paraId="3500388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4851F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2110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20 и 26 ноября 1931. Из протокола заседания Политбюро № 74, 1931 г.</w:t>
      </w:r>
    </w:p>
    <w:p w14:paraId="299042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закупке сельдей в Англии </w:t>
      </w:r>
    </w:p>
    <w:p w14:paraId="1E608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Послать Торгпредству в Англии следующую телеграмму: "Хотя мы в сельдях не очень нуждаемся, так как своих сельдей у нас в настоящее время несравненно больше, чем в прошлом году, однако, учитывая настоятельную просьбу известных политических кругов Англии, мы согласны импортировать 50 тыс. бочек сельдей по цене максимум 28 шиллингов за бочку. Желательно дальнейшее снижение цены и, если возможно, увеличение срока кредита" (11652).</w:t>
      </w:r>
    </w:p>
    <w:p w14:paraId="78CF72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68CB8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453EB7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8C9A06" w14:textId="77777777" w:rsidR="00A73FA4" w:rsidRPr="007122AB" w:rsidRDefault="00A73FA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1931 правительство Филиппин создает офис при Министерстве торговли и коммуникаций для решения авиационных вопросов на Филиппинах, в частности, обеспечения соблюдения правил и положений, регулирующих коммерческую авиацию и частные полеты (20804).</w:t>
      </w:r>
    </w:p>
    <w:p w14:paraId="67FDD54F" w14:textId="77777777" w:rsidR="00A73FA4" w:rsidRPr="007122AB" w:rsidRDefault="00A73FA4" w:rsidP="007122AB">
      <w:pPr>
        <w:spacing w:after="0" w:line="240" w:lineRule="auto"/>
        <w:jc w:val="both"/>
        <w:rPr>
          <w:rFonts w:ascii="Times New Roman" w:hAnsi="Times New Roman"/>
          <w:color w:val="000000" w:themeColor="text1"/>
          <w:sz w:val="16"/>
          <w:szCs w:val="16"/>
        </w:rPr>
      </w:pPr>
    </w:p>
    <w:p w14:paraId="327CA7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ноября 1931 Япония и Китай отклонили условия урегулирования в Манчжурии, предложенные Лигой наций в Женеве (2100).</w:t>
      </w:r>
    </w:p>
    <w:p w14:paraId="7343A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F01A09" w14:textId="77777777" w:rsidR="00996162" w:rsidRPr="007122AB" w:rsidRDefault="0099616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7238DBB" w14:textId="77777777" w:rsidR="00996162" w:rsidRPr="007122AB" w:rsidRDefault="0099616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011D31" w14:textId="77777777" w:rsidR="00996162" w:rsidRPr="007122AB" w:rsidRDefault="00996162" w:rsidP="007122AB">
      <w:pPr>
        <w:spacing w:after="0" w:line="240" w:lineRule="auto"/>
        <w:jc w:val="both"/>
        <w:rPr>
          <w:rFonts w:ascii="Times New Roman" w:eastAsia="Times New Roman" w:hAnsi="Times New Roman"/>
          <w:bCs/>
          <w:iCs/>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21 ноября 1931</w:t>
      </w:r>
    </w:p>
    <w:p w14:paraId="77C9CDF8"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3 Дело 28 лист 91</w:t>
      </w:r>
    </w:p>
    <w:p w14:paraId="13EF95E3"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iCs/>
          <w:color w:val="000000" w:themeColor="text1"/>
          <w:sz w:val="16"/>
          <w:szCs w:val="16"/>
          <w:lang w:eastAsia="ru-RU"/>
        </w:rPr>
        <w:t>[Документ напечатан на бланке Отдела внешних заказов при уполномоченном НКВМД в НКВТ СССР]</w:t>
      </w:r>
      <w:r w:rsidRPr="007122AB">
        <w:rPr>
          <w:rFonts w:ascii="Times New Roman" w:eastAsia="Times New Roman" w:hAnsi="Times New Roman"/>
          <w:color w:val="000000" w:themeColor="text1"/>
          <w:sz w:val="16"/>
          <w:szCs w:val="16"/>
          <w:lang w:eastAsia="ru-RU"/>
        </w:rPr>
        <w:t xml:space="preserve"> </w:t>
      </w:r>
    </w:p>
    <w:p w14:paraId="6955E36E"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Не подлежит оглашению</w:t>
      </w:r>
    </w:p>
    <w:p w14:paraId="1F02D51F"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21/XI-1931 г. </w:t>
      </w:r>
    </w:p>
    <w:p w14:paraId="4AB6B7CA"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 8592 </w:t>
      </w:r>
    </w:p>
    <w:p w14:paraId="5EB59CB1"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Начальнику Управления Механизации и Моторизации</w:t>
      </w:r>
    </w:p>
    <w:p w14:paraId="78492A1C"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Препровождается информация т. </w:t>
      </w:r>
      <w:proofErr w:type="spellStart"/>
      <w:r w:rsidRPr="007122AB">
        <w:rPr>
          <w:rFonts w:ascii="Times New Roman" w:eastAsia="Times New Roman" w:hAnsi="Times New Roman"/>
          <w:color w:val="000000" w:themeColor="text1"/>
          <w:sz w:val="16"/>
          <w:szCs w:val="16"/>
          <w:lang w:eastAsia="ru-RU"/>
        </w:rPr>
        <w:t>Гобар</w:t>
      </w:r>
      <w:proofErr w:type="spellEnd"/>
      <w:r w:rsidRPr="007122AB">
        <w:rPr>
          <w:rFonts w:ascii="Times New Roman" w:eastAsia="Times New Roman" w:hAnsi="Times New Roman"/>
          <w:color w:val="000000" w:themeColor="text1"/>
          <w:sz w:val="16"/>
          <w:szCs w:val="16"/>
          <w:lang w:eastAsia="ru-RU"/>
        </w:rPr>
        <w:t xml:space="preserve"> по делу Кристи. </w:t>
      </w:r>
    </w:p>
    <w:p w14:paraId="29E15F05"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Приложение на 4 листах. </w:t>
      </w:r>
    </w:p>
    <w:p w14:paraId="46071D8E"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Отв. Исп. подпись В.М. Гиттиса</w:t>
      </w:r>
    </w:p>
    <w:p w14:paraId="1A05A927"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3 Дело 28 лист 92 – 93</w:t>
      </w:r>
      <w:r w:rsidRPr="007122AB">
        <w:rPr>
          <w:rFonts w:ascii="Times New Roman" w:eastAsia="Times New Roman" w:hAnsi="Times New Roman"/>
          <w:color w:val="000000" w:themeColor="text1"/>
          <w:sz w:val="16"/>
          <w:szCs w:val="16"/>
          <w:lang w:eastAsia="ru-RU"/>
        </w:rPr>
        <w:t xml:space="preserve"> </w:t>
      </w:r>
    </w:p>
    <w:p w14:paraId="66370B77"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Нью-</w:t>
      </w:r>
      <w:proofErr w:type="spellStart"/>
      <w:r w:rsidRPr="007122AB">
        <w:rPr>
          <w:rFonts w:ascii="Times New Roman" w:eastAsia="Times New Roman" w:hAnsi="Times New Roman"/>
          <w:color w:val="000000" w:themeColor="text1"/>
          <w:sz w:val="16"/>
          <w:szCs w:val="16"/>
          <w:lang w:eastAsia="ru-RU"/>
        </w:rPr>
        <w:t>Иорк</w:t>
      </w:r>
      <w:proofErr w:type="spellEnd"/>
      <w:r w:rsidRPr="007122AB">
        <w:rPr>
          <w:rFonts w:ascii="Times New Roman" w:eastAsia="Times New Roman" w:hAnsi="Times New Roman"/>
          <w:color w:val="000000" w:themeColor="text1"/>
          <w:sz w:val="16"/>
          <w:szCs w:val="16"/>
          <w:lang w:eastAsia="ru-RU"/>
        </w:rPr>
        <w:t xml:space="preserve"> "30" Октября 1931 г. </w:t>
      </w:r>
    </w:p>
    <w:p w14:paraId="68BFCD50"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 227 лит "А/о" </w:t>
      </w:r>
    </w:p>
    <w:p w14:paraId="21346449"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u w:val="single"/>
          <w:lang w:eastAsia="ru-RU"/>
        </w:rPr>
        <w:t>Москва, ОВЗ тов. Гиттису.</w:t>
      </w:r>
      <w:r w:rsidRPr="007122AB">
        <w:rPr>
          <w:rFonts w:ascii="Times New Roman" w:eastAsia="Times New Roman" w:hAnsi="Times New Roman"/>
          <w:color w:val="000000" w:themeColor="text1"/>
          <w:sz w:val="16"/>
          <w:szCs w:val="16"/>
          <w:lang w:eastAsia="ru-RU"/>
        </w:rPr>
        <w:t xml:space="preserve"> </w:t>
      </w:r>
    </w:p>
    <w:p w14:paraId="71F7FF69"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Тов. </w:t>
      </w:r>
      <w:proofErr w:type="spellStart"/>
      <w:r w:rsidRPr="007122AB">
        <w:rPr>
          <w:rFonts w:ascii="Times New Roman" w:eastAsia="Times New Roman" w:hAnsi="Times New Roman"/>
          <w:color w:val="000000" w:themeColor="text1"/>
          <w:sz w:val="16"/>
          <w:szCs w:val="16"/>
          <w:lang w:eastAsia="ru-RU"/>
        </w:rPr>
        <w:t>Халепский</w:t>
      </w:r>
      <w:proofErr w:type="spellEnd"/>
      <w:r w:rsidRPr="007122AB">
        <w:rPr>
          <w:rFonts w:ascii="Times New Roman" w:eastAsia="Times New Roman" w:hAnsi="Times New Roman"/>
          <w:color w:val="000000" w:themeColor="text1"/>
          <w:sz w:val="16"/>
          <w:szCs w:val="16"/>
          <w:lang w:eastAsia="ru-RU"/>
        </w:rPr>
        <w:t xml:space="preserve"> прислал телеграмму с просьбой информировать его о положении тут дел с Кристи. </w:t>
      </w:r>
    </w:p>
    <w:p w14:paraId="520E5681"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6-го Ноября выезжает в Союз тов. Свиридов, который даст подробную информацию. </w:t>
      </w:r>
    </w:p>
    <w:p w14:paraId="0B197A58"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основном положение такое: Кристи целиком поглощен выполнением контракта для американской армии на 7 машин, которые он должен сдать в течение Ноября, и занят с утра до ночи в мастерской. </w:t>
      </w:r>
    </w:p>
    <w:p w14:paraId="6B772F86"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Никакой конструкторской работы в отношении новых машин не производится и посланная тов. Свиридовым картинка 10-ти колесной машины с мотором </w:t>
      </w:r>
      <w:proofErr w:type="spellStart"/>
      <w:r w:rsidRPr="007122AB">
        <w:rPr>
          <w:rFonts w:ascii="Times New Roman" w:eastAsia="Times New Roman" w:hAnsi="Times New Roman"/>
          <w:color w:val="000000" w:themeColor="text1"/>
          <w:sz w:val="16"/>
          <w:szCs w:val="16"/>
          <w:lang w:eastAsia="ru-RU"/>
        </w:rPr>
        <w:t>Конквера</w:t>
      </w:r>
      <w:proofErr w:type="spellEnd"/>
      <w:r w:rsidRPr="007122AB">
        <w:rPr>
          <w:rFonts w:ascii="Times New Roman" w:eastAsia="Times New Roman" w:hAnsi="Times New Roman"/>
          <w:color w:val="000000" w:themeColor="text1"/>
          <w:sz w:val="16"/>
          <w:szCs w:val="16"/>
          <w:lang w:eastAsia="ru-RU"/>
        </w:rPr>
        <w:t xml:space="preserve">, никакого конструктивного оформления не получила. </w:t>
      </w:r>
    </w:p>
    <w:p w14:paraId="5667124D"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Американские машины строятся по типу машин, купленных нами с теми небольшими изменениями, которые были еще известны тов. </w:t>
      </w:r>
      <w:proofErr w:type="spellStart"/>
      <w:r w:rsidRPr="007122AB">
        <w:rPr>
          <w:rFonts w:ascii="Times New Roman" w:eastAsia="Times New Roman" w:hAnsi="Times New Roman"/>
          <w:color w:val="000000" w:themeColor="text1"/>
          <w:sz w:val="16"/>
          <w:szCs w:val="16"/>
          <w:lang w:eastAsia="ru-RU"/>
        </w:rPr>
        <w:t>Тоскину</w:t>
      </w:r>
      <w:proofErr w:type="spellEnd"/>
      <w:r w:rsidRPr="007122AB">
        <w:rPr>
          <w:rFonts w:ascii="Times New Roman" w:eastAsia="Times New Roman" w:hAnsi="Times New Roman"/>
          <w:color w:val="000000" w:themeColor="text1"/>
          <w:sz w:val="16"/>
          <w:szCs w:val="16"/>
          <w:lang w:eastAsia="ru-RU"/>
        </w:rPr>
        <w:t xml:space="preserve">. Кристи продолжает заканчивать детальные чертежи на эту машину, однако, полный их комплект еще не готов. </w:t>
      </w:r>
    </w:p>
    <w:p w14:paraId="4B360018"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Финансовое его положение </w:t>
      </w:r>
      <w:proofErr w:type="spellStart"/>
      <w:r w:rsidRPr="007122AB">
        <w:rPr>
          <w:rFonts w:ascii="Times New Roman" w:eastAsia="Times New Roman" w:hAnsi="Times New Roman"/>
          <w:color w:val="000000" w:themeColor="text1"/>
          <w:sz w:val="16"/>
          <w:szCs w:val="16"/>
          <w:lang w:eastAsia="ru-RU"/>
        </w:rPr>
        <w:t>попрежнему</w:t>
      </w:r>
      <w:proofErr w:type="spellEnd"/>
      <w:r w:rsidRPr="007122AB">
        <w:rPr>
          <w:rFonts w:ascii="Times New Roman" w:eastAsia="Times New Roman" w:hAnsi="Times New Roman"/>
          <w:color w:val="000000" w:themeColor="text1"/>
          <w:sz w:val="16"/>
          <w:szCs w:val="16"/>
          <w:lang w:eastAsia="ru-RU"/>
        </w:rPr>
        <w:t xml:space="preserve"> очень плохо. Он одалживает деньги, где может, и по сведениям заслуживающим полного доверия, тех денег, которые он получит за 7 машин ему не хватит для покрытия даже половины имеющихся долгов. </w:t>
      </w:r>
    </w:p>
    <w:p w14:paraId="71AE76AD"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При получении последнего заказа Кристи принужден был связаться с неким </w:t>
      </w:r>
      <w:proofErr w:type="spellStart"/>
      <w:r w:rsidRPr="007122AB">
        <w:rPr>
          <w:rFonts w:ascii="Times New Roman" w:eastAsia="Times New Roman" w:hAnsi="Times New Roman"/>
          <w:color w:val="000000" w:themeColor="text1"/>
          <w:sz w:val="16"/>
          <w:szCs w:val="16"/>
          <w:lang w:eastAsia="ru-RU"/>
        </w:rPr>
        <w:t>Мр</w:t>
      </w:r>
      <w:proofErr w:type="spellEnd"/>
      <w:r w:rsidRPr="007122AB">
        <w:rPr>
          <w:rFonts w:ascii="Times New Roman" w:eastAsia="Times New Roman" w:hAnsi="Times New Roman"/>
          <w:color w:val="000000" w:themeColor="text1"/>
          <w:sz w:val="16"/>
          <w:szCs w:val="16"/>
          <w:lang w:eastAsia="ru-RU"/>
        </w:rPr>
        <w:t xml:space="preserve">. Холден, который выдал в обеспечение заказа бонд, и сейчас пытается выяснить вопрос о выгодности повести дело постройки самостоятельно, или вовсе без участия Кристи или с использованием его лишь в качестве сотрудника. Сам Кристи этому всячески противится и во что выльется это все – пока неизвестно. </w:t>
      </w:r>
    </w:p>
    <w:p w14:paraId="4D0BC282"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отношении нас, как видно из прилагаемого письма, он продолжает занимать твердую позицию и договора не выполняет на том основании, что мы не доплатили якобы ему 25 тысяч долларов. </w:t>
      </w:r>
    </w:p>
    <w:p w14:paraId="5731D236"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Единственное, что может быть, нам нужно было бы от него получить это его новые чертежи. Однако, т.к. по существу ничего нового они в себе не заключают, изменения, внесенные в конструкцию в общем нам известны и сами машины у нас уже есть – стоит ли нам платить за них какие-либо деньги – сомнительно. Нужно кроме того думать, что после того как он закончит контракт, заплатит частично свои долги и опять останется у разбитого корыта – он станет сговорчивей. </w:t>
      </w:r>
    </w:p>
    <w:p w14:paraId="2D5A4B6B"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Отношения у нас, в общем, не испортились и мы их не заостряем т.к. мы на юридическую точку зрения в вопросе о невыполнении им договора – встать практически не можем. </w:t>
      </w:r>
    </w:p>
    <w:p w14:paraId="7C0C0DA0"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Относительно поездки Кристи в Союз, предполагаю, что после окончания заказа армии, если не будет новых заказов (а при общей обстановке тут они маловероятны), поездка его будет реальной. </w:t>
      </w:r>
    </w:p>
    <w:p w14:paraId="7573B772"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Относительно приглашения к нам одного из работавших у него инженеров конструкторов, то подробное сообщение сделает тов. Свиридов. </w:t>
      </w:r>
    </w:p>
    <w:p w14:paraId="73518839"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прилагаемом письме Кристи сроки, относящиеся к приезду </w:t>
      </w:r>
      <w:proofErr w:type="spellStart"/>
      <w:r w:rsidRPr="007122AB">
        <w:rPr>
          <w:rFonts w:ascii="Times New Roman" w:eastAsia="Times New Roman" w:hAnsi="Times New Roman"/>
          <w:color w:val="000000" w:themeColor="text1"/>
          <w:sz w:val="16"/>
          <w:szCs w:val="16"/>
          <w:lang w:eastAsia="ru-RU"/>
        </w:rPr>
        <w:t>Тоскина</w:t>
      </w:r>
      <w:proofErr w:type="spellEnd"/>
      <w:r w:rsidRPr="007122AB">
        <w:rPr>
          <w:rFonts w:ascii="Times New Roman" w:eastAsia="Times New Roman" w:hAnsi="Times New Roman"/>
          <w:color w:val="000000" w:themeColor="text1"/>
          <w:sz w:val="16"/>
          <w:szCs w:val="16"/>
          <w:lang w:eastAsia="ru-RU"/>
        </w:rPr>
        <w:t xml:space="preserve"> в Америку, конечно, пустая болтовня, ставящая себе целью нас заинтриговать и получить какие-нибудь деньги. </w:t>
      </w:r>
    </w:p>
    <w:p w14:paraId="19E3DDA2"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Копию настоящего письма прошу направить тов. </w:t>
      </w:r>
      <w:proofErr w:type="spellStart"/>
      <w:r w:rsidRPr="007122AB">
        <w:rPr>
          <w:rFonts w:ascii="Times New Roman" w:eastAsia="Times New Roman" w:hAnsi="Times New Roman"/>
          <w:color w:val="000000" w:themeColor="text1"/>
          <w:sz w:val="16"/>
          <w:szCs w:val="16"/>
          <w:lang w:eastAsia="ru-RU"/>
        </w:rPr>
        <w:t>Халепскому</w:t>
      </w:r>
      <w:proofErr w:type="spellEnd"/>
      <w:r w:rsidRPr="007122AB">
        <w:rPr>
          <w:rFonts w:ascii="Times New Roman" w:eastAsia="Times New Roman" w:hAnsi="Times New Roman"/>
          <w:color w:val="000000" w:themeColor="text1"/>
          <w:sz w:val="16"/>
          <w:szCs w:val="16"/>
          <w:lang w:eastAsia="ru-RU"/>
        </w:rPr>
        <w:t xml:space="preserve">. </w:t>
      </w:r>
    </w:p>
    <w:p w14:paraId="55BA4B1E"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(Г. </w:t>
      </w:r>
      <w:proofErr w:type="spellStart"/>
      <w:r w:rsidRPr="007122AB">
        <w:rPr>
          <w:rFonts w:ascii="Times New Roman" w:eastAsia="Times New Roman" w:hAnsi="Times New Roman"/>
          <w:color w:val="000000" w:themeColor="text1"/>
          <w:sz w:val="16"/>
          <w:szCs w:val="16"/>
          <w:lang w:eastAsia="ru-RU"/>
        </w:rPr>
        <w:t>Гобар</w:t>
      </w:r>
      <w:proofErr w:type="spellEnd"/>
      <w:r w:rsidRPr="007122AB">
        <w:rPr>
          <w:rFonts w:ascii="Times New Roman" w:eastAsia="Times New Roman" w:hAnsi="Times New Roman"/>
          <w:color w:val="000000" w:themeColor="text1"/>
          <w:sz w:val="16"/>
          <w:szCs w:val="16"/>
          <w:lang w:eastAsia="ru-RU"/>
        </w:rPr>
        <w:t>)</w:t>
      </w:r>
    </w:p>
    <w:p w14:paraId="66E0B1BC"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Отп</w:t>
      </w:r>
      <w:proofErr w:type="spellEnd"/>
      <w:r w:rsidRPr="007122AB">
        <w:rPr>
          <w:rFonts w:ascii="Times New Roman" w:eastAsia="Times New Roman" w:hAnsi="Times New Roman"/>
          <w:color w:val="000000" w:themeColor="text1"/>
          <w:sz w:val="16"/>
          <w:szCs w:val="16"/>
          <w:lang w:eastAsia="ru-RU"/>
        </w:rPr>
        <w:t xml:space="preserve">. 3 экз. </w:t>
      </w:r>
    </w:p>
    <w:p w14:paraId="550F7274"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Т.М. </w:t>
      </w:r>
    </w:p>
    <w:p w14:paraId="4CA6C154"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30.Х-31 г. </w:t>
      </w:r>
    </w:p>
    <w:p w14:paraId="345390A7"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3 Дело 28 лист 95</w:t>
      </w:r>
      <w:r w:rsidRPr="007122AB">
        <w:rPr>
          <w:rFonts w:ascii="Times New Roman" w:eastAsia="Times New Roman" w:hAnsi="Times New Roman"/>
          <w:color w:val="000000" w:themeColor="text1"/>
          <w:sz w:val="16"/>
          <w:szCs w:val="16"/>
          <w:lang w:eastAsia="ru-RU"/>
        </w:rPr>
        <w:t xml:space="preserve"> </w:t>
      </w:r>
    </w:p>
    <w:p w14:paraId="04E1280B"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u w:val="single"/>
          <w:lang w:eastAsia="ru-RU"/>
        </w:rPr>
        <w:lastRenderedPageBreak/>
        <w:t>КОПИЯ.</w:t>
      </w:r>
      <w:r w:rsidRPr="007122AB">
        <w:rPr>
          <w:rFonts w:ascii="Times New Roman" w:eastAsia="Times New Roman" w:hAnsi="Times New Roman"/>
          <w:color w:val="000000" w:themeColor="text1"/>
          <w:sz w:val="16"/>
          <w:szCs w:val="16"/>
          <w:lang w:eastAsia="ru-RU"/>
        </w:rPr>
        <w:t xml:space="preserve"> </w:t>
      </w:r>
    </w:p>
    <w:p w14:paraId="4CC9EB83"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7 октября 1931 г. </w:t>
      </w:r>
    </w:p>
    <w:p w14:paraId="795CDF4C"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Уиль</w:t>
      </w:r>
      <w:proofErr w:type="spellEnd"/>
      <w:r w:rsidRPr="007122AB">
        <w:rPr>
          <w:rFonts w:ascii="Times New Roman" w:eastAsia="Times New Roman" w:hAnsi="Times New Roman"/>
          <w:color w:val="000000" w:themeColor="text1"/>
          <w:sz w:val="16"/>
          <w:szCs w:val="16"/>
          <w:lang w:eastAsia="ru-RU"/>
        </w:rPr>
        <w:t xml:space="preserve"> Трек </w:t>
      </w:r>
      <w:proofErr w:type="spellStart"/>
      <w:r w:rsidRPr="007122AB">
        <w:rPr>
          <w:rFonts w:ascii="Times New Roman" w:eastAsia="Times New Roman" w:hAnsi="Times New Roman"/>
          <w:color w:val="000000" w:themeColor="text1"/>
          <w:sz w:val="16"/>
          <w:szCs w:val="16"/>
          <w:lang w:eastAsia="ru-RU"/>
        </w:rPr>
        <w:t>Лайер</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Корпорешион</w:t>
      </w:r>
      <w:proofErr w:type="spellEnd"/>
      <w:r w:rsidRPr="007122AB">
        <w:rPr>
          <w:rFonts w:ascii="Times New Roman" w:eastAsia="Times New Roman" w:hAnsi="Times New Roman"/>
          <w:color w:val="000000" w:themeColor="text1"/>
          <w:sz w:val="16"/>
          <w:szCs w:val="16"/>
          <w:lang w:eastAsia="ru-RU"/>
        </w:rPr>
        <w:t xml:space="preserve"> </w:t>
      </w:r>
    </w:p>
    <w:p w14:paraId="7AEF5739"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Амторгу – т. </w:t>
      </w:r>
      <w:proofErr w:type="spellStart"/>
      <w:r w:rsidRPr="007122AB">
        <w:rPr>
          <w:rFonts w:ascii="Times New Roman" w:eastAsia="Times New Roman" w:hAnsi="Times New Roman"/>
          <w:color w:val="000000" w:themeColor="text1"/>
          <w:sz w:val="16"/>
          <w:szCs w:val="16"/>
          <w:lang w:eastAsia="ru-RU"/>
        </w:rPr>
        <w:t>Гобару</w:t>
      </w:r>
      <w:proofErr w:type="spellEnd"/>
    </w:p>
    <w:p w14:paraId="4AF22635"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Ваш представитель инженер т. Свиридов только что посетил нас в целях осмотра, что как я уверен, окажется полезным для нас обеих. Однако, как мне кажется, Ваше правительство было бы вполне удовлетворено, если г. </w:t>
      </w:r>
      <w:proofErr w:type="spellStart"/>
      <w:r w:rsidRPr="007122AB">
        <w:rPr>
          <w:rFonts w:ascii="Times New Roman" w:eastAsia="Times New Roman" w:hAnsi="Times New Roman"/>
          <w:color w:val="000000" w:themeColor="text1"/>
          <w:sz w:val="16"/>
          <w:szCs w:val="16"/>
          <w:lang w:eastAsia="ru-RU"/>
        </w:rPr>
        <w:t>Тоскин</w:t>
      </w:r>
      <w:proofErr w:type="spellEnd"/>
      <w:r w:rsidRPr="007122AB">
        <w:rPr>
          <w:rFonts w:ascii="Times New Roman" w:eastAsia="Times New Roman" w:hAnsi="Times New Roman"/>
          <w:color w:val="000000" w:themeColor="text1"/>
          <w:sz w:val="16"/>
          <w:szCs w:val="16"/>
          <w:lang w:eastAsia="ru-RU"/>
        </w:rPr>
        <w:t xml:space="preserve">, назначенный сюда в качестве приемщика, мог бы вернуться сюда для беглого осмотра, привезя с собой требования и пожелания Ваших военных органов, будучи осведомленным относительно каких-либо затруднений, возникших у Ваших комитентов в отношении двух шасси, закупленных у нас. С развитием работ, которые почти что завершены в виде законченных чертежей с допусками и всеми указаниями, необходимыми для успешного изготовления этих машин, наши разногласия могут быть скоро разрешены. </w:t>
      </w:r>
    </w:p>
    <w:p w14:paraId="46B0ACE0"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этом письме обращаю в последний раз Ваше внимание на достигнутое лично соглашение между т. </w:t>
      </w:r>
      <w:proofErr w:type="spellStart"/>
      <w:r w:rsidRPr="007122AB">
        <w:rPr>
          <w:rFonts w:ascii="Times New Roman" w:eastAsia="Times New Roman" w:hAnsi="Times New Roman"/>
          <w:color w:val="000000" w:themeColor="text1"/>
          <w:sz w:val="16"/>
          <w:szCs w:val="16"/>
          <w:lang w:eastAsia="ru-RU"/>
        </w:rPr>
        <w:t>Халепским</w:t>
      </w:r>
      <w:proofErr w:type="spellEnd"/>
      <w:r w:rsidRPr="007122AB">
        <w:rPr>
          <w:rFonts w:ascii="Times New Roman" w:eastAsia="Times New Roman" w:hAnsi="Times New Roman"/>
          <w:color w:val="000000" w:themeColor="text1"/>
          <w:sz w:val="16"/>
          <w:szCs w:val="16"/>
          <w:lang w:eastAsia="ru-RU"/>
        </w:rPr>
        <w:t xml:space="preserve">, Вами, автором этого письма и другими членами Вашей комиссии, которые были свидетелями того, что контракт, заключенный со мной устно, должен быть выполнен независимо от легальных технических требований и изменений. Поэтому сообщаю Вам, что контрактная цена в размере </w:t>
      </w:r>
      <w:proofErr w:type="spellStart"/>
      <w:r w:rsidRPr="007122AB">
        <w:rPr>
          <w:rFonts w:ascii="Times New Roman" w:eastAsia="Times New Roman" w:hAnsi="Times New Roman"/>
          <w:color w:val="000000" w:themeColor="text1"/>
          <w:sz w:val="16"/>
          <w:szCs w:val="16"/>
          <w:lang w:eastAsia="ru-RU"/>
        </w:rPr>
        <w:t>ам</w:t>
      </w:r>
      <w:proofErr w:type="spellEnd"/>
      <w:r w:rsidRPr="007122AB">
        <w:rPr>
          <w:rFonts w:ascii="Times New Roman" w:eastAsia="Times New Roman" w:hAnsi="Times New Roman"/>
          <w:color w:val="000000" w:themeColor="text1"/>
          <w:sz w:val="16"/>
          <w:szCs w:val="16"/>
          <w:lang w:eastAsia="ru-RU"/>
        </w:rPr>
        <w:t xml:space="preserve">. долл.160.000 за две машины и права на изготовление с усовершенствованиями, которые мы вводим день за днем, должна быть выдержана и мы должны удержать остаток от </w:t>
      </w:r>
      <w:proofErr w:type="spellStart"/>
      <w:r w:rsidRPr="007122AB">
        <w:rPr>
          <w:rFonts w:ascii="Times New Roman" w:eastAsia="Times New Roman" w:hAnsi="Times New Roman"/>
          <w:color w:val="000000" w:themeColor="text1"/>
          <w:sz w:val="16"/>
          <w:szCs w:val="16"/>
          <w:lang w:eastAsia="ru-RU"/>
        </w:rPr>
        <w:t>ам</w:t>
      </w:r>
      <w:proofErr w:type="spellEnd"/>
      <w:r w:rsidRPr="007122AB">
        <w:rPr>
          <w:rFonts w:ascii="Times New Roman" w:eastAsia="Times New Roman" w:hAnsi="Times New Roman"/>
          <w:color w:val="000000" w:themeColor="text1"/>
          <w:sz w:val="16"/>
          <w:szCs w:val="16"/>
          <w:lang w:eastAsia="ru-RU"/>
        </w:rPr>
        <w:t xml:space="preserve">. долл. 160.000 для продолжения наших дружеских отношений, в целях как наших, так и Ваших успехов. </w:t>
      </w:r>
    </w:p>
    <w:p w14:paraId="02E4DD41"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Письмо, подписанное г. Тиффани и мною под давлением нужды и крайней необходимости денежных средств, не было санкционированно нашим правлением. Г. Тиффани и я оба мы были нашей компанией осуждены и принуждены возместить ей </w:t>
      </w:r>
      <w:proofErr w:type="spellStart"/>
      <w:r w:rsidRPr="007122AB">
        <w:rPr>
          <w:rFonts w:ascii="Times New Roman" w:eastAsia="Times New Roman" w:hAnsi="Times New Roman"/>
          <w:color w:val="000000" w:themeColor="text1"/>
          <w:sz w:val="16"/>
          <w:szCs w:val="16"/>
          <w:lang w:eastAsia="ru-RU"/>
        </w:rPr>
        <w:t>ам</w:t>
      </w:r>
      <w:proofErr w:type="spellEnd"/>
      <w:r w:rsidRPr="007122AB">
        <w:rPr>
          <w:rFonts w:ascii="Times New Roman" w:eastAsia="Times New Roman" w:hAnsi="Times New Roman"/>
          <w:color w:val="000000" w:themeColor="text1"/>
          <w:sz w:val="16"/>
          <w:szCs w:val="16"/>
          <w:lang w:eastAsia="ru-RU"/>
        </w:rPr>
        <w:t xml:space="preserve">. долл. 25.000, следуемые нам по контракту. </w:t>
      </w:r>
    </w:p>
    <w:p w14:paraId="2108ABDB"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следствие этого прошу серьезно рассмотреть это дело совместно с т. </w:t>
      </w:r>
      <w:proofErr w:type="spellStart"/>
      <w:r w:rsidRPr="007122AB">
        <w:rPr>
          <w:rFonts w:ascii="Times New Roman" w:eastAsia="Times New Roman" w:hAnsi="Times New Roman"/>
          <w:color w:val="000000" w:themeColor="text1"/>
          <w:sz w:val="16"/>
          <w:szCs w:val="16"/>
          <w:lang w:eastAsia="ru-RU"/>
        </w:rPr>
        <w:t>Халепским</w:t>
      </w:r>
      <w:proofErr w:type="spellEnd"/>
      <w:r w:rsidRPr="007122AB">
        <w:rPr>
          <w:rFonts w:ascii="Times New Roman" w:eastAsia="Times New Roman" w:hAnsi="Times New Roman"/>
          <w:color w:val="000000" w:themeColor="text1"/>
          <w:sz w:val="16"/>
          <w:szCs w:val="16"/>
          <w:lang w:eastAsia="ru-RU"/>
        </w:rPr>
        <w:t xml:space="preserve"> и Вашей комиссией, пользуясь теми сведениями, которые у Вас без сомнения имеются. </w:t>
      </w:r>
    </w:p>
    <w:p w14:paraId="64B5AE9A"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Я не являюсь спекулянтом или капиталистом, я – рабочий и заслуживаю быть оплаченным полностью за все то, что я делаю, что является только оплатой за годы учения и личные мои труды в данной области. </w:t>
      </w:r>
    </w:p>
    <w:p w14:paraId="28F823B6"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Благодарю Вас за Ваше внимание и остаюсь </w:t>
      </w:r>
    </w:p>
    <w:p w14:paraId="527EC7D2"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И. Вальтер Кристи (Председатель)</w:t>
      </w:r>
    </w:p>
    <w:p w14:paraId="64C4A0CC"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подпись</w:t>
      </w:r>
    </w:p>
    <w:p w14:paraId="6659A652"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proofErr w:type="spellStart"/>
      <w:r w:rsidRPr="007122AB">
        <w:rPr>
          <w:rFonts w:ascii="Times New Roman" w:eastAsia="Times New Roman" w:hAnsi="Times New Roman"/>
          <w:color w:val="000000" w:themeColor="text1"/>
          <w:sz w:val="16"/>
          <w:szCs w:val="16"/>
          <w:lang w:eastAsia="ru-RU"/>
        </w:rPr>
        <w:t>Отп</w:t>
      </w:r>
      <w:proofErr w:type="spellEnd"/>
      <w:r w:rsidRPr="007122AB">
        <w:rPr>
          <w:rFonts w:ascii="Times New Roman" w:eastAsia="Times New Roman" w:hAnsi="Times New Roman"/>
          <w:color w:val="000000" w:themeColor="text1"/>
          <w:sz w:val="16"/>
          <w:szCs w:val="16"/>
          <w:lang w:eastAsia="ru-RU"/>
        </w:rPr>
        <w:t xml:space="preserve">. 3 экз. </w:t>
      </w:r>
    </w:p>
    <w:p w14:paraId="184E8D6E"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НК/ФК 21/XI-31 г. </w:t>
      </w:r>
    </w:p>
    <w:p w14:paraId="18946F2F"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Перев. К. </w:t>
      </w:r>
      <w:proofErr w:type="spellStart"/>
      <w:r w:rsidRPr="007122AB">
        <w:rPr>
          <w:rFonts w:ascii="Times New Roman" w:eastAsia="Times New Roman" w:hAnsi="Times New Roman"/>
          <w:color w:val="000000" w:themeColor="text1"/>
          <w:sz w:val="16"/>
          <w:szCs w:val="16"/>
          <w:lang w:eastAsia="ru-RU"/>
        </w:rPr>
        <w:t>Фрейган</w:t>
      </w:r>
      <w:proofErr w:type="spellEnd"/>
      <w:r w:rsidRPr="007122AB">
        <w:rPr>
          <w:rFonts w:ascii="Times New Roman" w:eastAsia="Times New Roman" w:hAnsi="Times New Roman"/>
          <w:color w:val="000000" w:themeColor="text1"/>
          <w:sz w:val="16"/>
          <w:szCs w:val="16"/>
          <w:lang w:eastAsia="ru-RU"/>
        </w:rPr>
        <w:t xml:space="preserve"> (19766).</w:t>
      </w:r>
    </w:p>
    <w:p w14:paraId="117A16B9" w14:textId="77777777" w:rsidR="00996162" w:rsidRPr="007122AB" w:rsidRDefault="00996162" w:rsidP="007122AB">
      <w:pPr>
        <w:spacing w:after="0" w:line="240" w:lineRule="auto"/>
        <w:jc w:val="both"/>
        <w:rPr>
          <w:rFonts w:ascii="Times New Roman" w:eastAsia="Times New Roman" w:hAnsi="Times New Roman"/>
          <w:color w:val="000000" w:themeColor="text1"/>
          <w:sz w:val="16"/>
          <w:szCs w:val="16"/>
          <w:lang w:eastAsia="ru-RU"/>
        </w:rPr>
      </w:pPr>
    </w:p>
    <w:p w14:paraId="13C676F9" w14:textId="77777777" w:rsidR="00996162" w:rsidRPr="007122AB" w:rsidRDefault="0099616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FCEF809" w14:textId="77777777" w:rsidR="00996162" w:rsidRPr="007122AB" w:rsidRDefault="0099616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0E5959"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ноября 1931. Введена шестидневная рабочая неделя (отменена в 1940 году) (18724).</w:t>
      </w:r>
    </w:p>
    <w:p w14:paraId="7B866A45" w14:textId="77777777" w:rsidR="00996162" w:rsidRPr="007122AB" w:rsidRDefault="00996162" w:rsidP="007122AB">
      <w:pPr>
        <w:spacing w:after="0" w:line="240" w:lineRule="auto"/>
        <w:jc w:val="both"/>
        <w:rPr>
          <w:rFonts w:ascii="Times New Roman" w:hAnsi="Times New Roman"/>
          <w:color w:val="000000" w:themeColor="text1"/>
          <w:sz w:val="16"/>
          <w:szCs w:val="16"/>
        </w:rPr>
      </w:pPr>
    </w:p>
    <w:p w14:paraId="6EA7C916" w14:textId="77777777" w:rsidR="00C54992"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35DA30AD" w14:textId="77777777" w:rsidR="00C54992" w:rsidRPr="007122AB" w:rsidRDefault="00C5499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E8A350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ноября 1931 (Назаров догнал их 27-го) экипажи советских самолетов для Китая прибыли в Алма-Ату, и на месте вы</w:t>
      </w:r>
      <w:r w:rsidRPr="007122AB">
        <w:rPr>
          <w:rFonts w:ascii="Times New Roman" w:hAnsi="Times New Roman"/>
          <w:color w:val="000000" w:themeColor="text1"/>
          <w:sz w:val="16"/>
          <w:szCs w:val="16"/>
        </w:rPr>
        <w:softHyphen/>
        <w:t>яснилось, что ни самому Берестецкому, ни лётчикам жилья просто не полагалось. Они «</w:t>
      </w:r>
      <w:r w:rsidRPr="007122AB">
        <w:rPr>
          <w:rFonts w:ascii="Times New Roman" w:eastAsia="Arial" w:hAnsi="Times New Roman"/>
          <w:color w:val="000000" w:themeColor="text1"/>
          <w:sz w:val="16"/>
          <w:szCs w:val="16"/>
        </w:rPr>
        <w:t>не имели даже кроватей</w:t>
      </w:r>
      <w:r w:rsidRPr="007122AB">
        <w:rPr>
          <w:rFonts w:ascii="Times New Roman" w:hAnsi="Times New Roman"/>
          <w:color w:val="000000" w:themeColor="text1"/>
          <w:sz w:val="16"/>
          <w:szCs w:val="16"/>
        </w:rPr>
        <w:t>, подушек и одеял, спали на полу, покрываясь шинелями, толь</w:t>
      </w:r>
      <w:r w:rsidRPr="007122AB">
        <w:rPr>
          <w:rFonts w:ascii="Times New Roman" w:hAnsi="Times New Roman"/>
          <w:color w:val="000000" w:themeColor="text1"/>
          <w:sz w:val="16"/>
          <w:szCs w:val="16"/>
        </w:rPr>
        <w:softHyphen/>
        <w:t xml:space="preserve">ко с огромным трудом и </w:t>
      </w:r>
      <w:r w:rsidRPr="007122AB">
        <w:rPr>
          <w:rFonts w:ascii="Times New Roman" w:eastAsia="Arial" w:hAnsi="Times New Roman"/>
          <w:color w:val="000000" w:themeColor="text1"/>
          <w:sz w:val="16"/>
          <w:szCs w:val="16"/>
        </w:rPr>
        <w:t>за большие деньги... удалось достать для лётчиков средства передвижения для поездок за 18 км на аэродром</w:t>
      </w:r>
      <w:r w:rsidRPr="007122AB">
        <w:rPr>
          <w:rFonts w:ascii="Times New Roman" w:hAnsi="Times New Roman"/>
          <w:color w:val="000000" w:themeColor="text1"/>
          <w:sz w:val="16"/>
          <w:szCs w:val="16"/>
        </w:rPr>
        <w:t xml:space="preserve">, лётчики все время питались из рук вон плохо, только ОГПУ подкармливало их...», пуская в столовую на завтраки и обеды. В Алма-Ате достать хлеб было почти невозможно, авиаторы всё время оставались без ужина, а нередко и без обеда при тяжёлой работе на аэродроме. </w:t>
      </w:r>
      <w:r w:rsidRPr="007122AB">
        <w:rPr>
          <w:rFonts w:ascii="Times New Roman" w:eastAsia="Arial" w:hAnsi="Times New Roman"/>
          <w:color w:val="000000" w:themeColor="text1"/>
          <w:sz w:val="16"/>
          <w:szCs w:val="16"/>
        </w:rPr>
        <w:t>За целый месяц эки</w:t>
      </w:r>
      <w:r w:rsidRPr="007122AB">
        <w:rPr>
          <w:rFonts w:ascii="Times New Roman" w:eastAsia="Arial" w:hAnsi="Times New Roman"/>
          <w:color w:val="000000" w:themeColor="text1"/>
          <w:sz w:val="16"/>
          <w:szCs w:val="16"/>
        </w:rPr>
        <w:softHyphen/>
        <w:t>пажи ни разу не имели ни ванны, ни бани, им ни разу не выдали чистое белье</w:t>
      </w:r>
      <w:r w:rsidRPr="007122AB">
        <w:rPr>
          <w:rFonts w:ascii="Times New Roman" w:hAnsi="Times New Roman"/>
          <w:color w:val="000000" w:themeColor="text1"/>
          <w:sz w:val="16"/>
          <w:szCs w:val="16"/>
        </w:rPr>
        <w:t>».</w:t>
      </w:r>
    </w:p>
    <w:p w14:paraId="6721927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Трудно сказать, организовали ли такое безобразие намеренно, с целью побыстрее «вытолкнуть» самолёты в Китай, или же оно явилось следствием обычной чиновной не</w:t>
      </w:r>
      <w:r w:rsidRPr="007122AB">
        <w:rPr>
          <w:rFonts w:ascii="Times New Roman" w:hAnsi="Times New Roman"/>
          <w:color w:val="000000" w:themeColor="text1"/>
          <w:sz w:val="16"/>
          <w:szCs w:val="16"/>
        </w:rPr>
        <w:softHyphen/>
        <w:t>разберихи. Берестецкий писал, что «всё это отражалось на настроении и работоспо</w:t>
      </w:r>
      <w:r w:rsidRPr="007122AB">
        <w:rPr>
          <w:rFonts w:ascii="Times New Roman" w:hAnsi="Times New Roman"/>
          <w:color w:val="000000" w:themeColor="text1"/>
          <w:sz w:val="16"/>
          <w:szCs w:val="16"/>
        </w:rPr>
        <w:softHyphen/>
        <w:t xml:space="preserve">собности лётчиков». По прилёте в </w:t>
      </w:r>
      <w:proofErr w:type="spellStart"/>
      <w:r w:rsidRPr="007122AB">
        <w:rPr>
          <w:rFonts w:ascii="Times New Roman" w:hAnsi="Times New Roman"/>
          <w:color w:val="000000" w:themeColor="text1"/>
          <w:sz w:val="16"/>
          <w:szCs w:val="16"/>
        </w:rPr>
        <w:t>Бахты</w:t>
      </w:r>
      <w:proofErr w:type="spellEnd"/>
      <w:r w:rsidRPr="007122AB">
        <w:rPr>
          <w:rFonts w:ascii="Times New Roman" w:hAnsi="Times New Roman"/>
          <w:color w:val="000000" w:themeColor="text1"/>
          <w:sz w:val="16"/>
          <w:szCs w:val="16"/>
        </w:rPr>
        <w:t xml:space="preserve"> экипажи по предварительной договоренности ещё в Москве разместили в доме консульства. </w:t>
      </w:r>
      <w:r w:rsidRPr="007122AB">
        <w:rPr>
          <w:rFonts w:ascii="Times New Roman" w:eastAsia="Arial" w:hAnsi="Times New Roman"/>
          <w:color w:val="000000" w:themeColor="text1"/>
          <w:sz w:val="16"/>
          <w:szCs w:val="16"/>
        </w:rPr>
        <w:t>Впервые за месяц лётчики, наконец-то. смогли помыться и переночевать в нормальных человеческих условиях</w:t>
      </w:r>
      <w:r w:rsidRPr="007122AB">
        <w:rPr>
          <w:rFonts w:ascii="Times New Roman" w:hAnsi="Times New Roman"/>
          <w:color w:val="000000" w:themeColor="text1"/>
          <w:sz w:val="16"/>
          <w:szCs w:val="16"/>
        </w:rPr>
        <w:t>. Однако Управ</w:t>
      </w:r>
      <w:r w:rsidRPr="007122AB">
        <w:rPr>
          <w:rFonts w:ascii="Times New Roman" w:hAnsi="Times New Roman"/>
          <w:color w:val="000000" w:themeColor="text1"/>
          <w:sz w:val="16"/>
          <w:szCs w:val="16"/>
        </w:rPr>
        <w:softHyphen/>
        <w:t xml:space="preserve">ляющий местной конторой </w:t>
      </w:r>
      <w:proofErr w:type="spellStart"/>
      <w:r w:rsidRPr="007122AB">
        <w:rPr>
          <w:rFonts w:ascii="Times New Roman" w:hAnsi="Times New Roman"/>
          <w:color w:val="000000" w:themeColor="text1"/>
          <w:sz w:val="16"/>
          <w:szCs w:val="16"/>
        </w:rPr>
        <w:t>Совсинторга</w:t>
      </w:r>
      <w:proofErr w:type="spellEnd"/>
      <w:r w:rsidRPr="007122AB">
        <w:rPr>
          <w:rFonts w:ascii="Times New Roman" w:hAnsi="Times New Roman"/>
          <w:color w:val="000000" w:themeColor="text1"/>
          <w:sz w:val="16"/>
          <w:szCs w:val="16"/>
        </w:rPr>
        <w:t xml:space="preserve"> (Советская торговля с иностранцами — А.Д.), ко</w:t>
      </w:r>
      <w:r w:rsidRPr="007122AB">
        <w:rPr>
          <w:rFonts w:ascii="Times New Roman" w:hAnsi="Times New Roman"/>
          <w:color w:val="000000" w:themeColor="text1"/>
          <w:sz w:val="16"/>
          <w:szCs w:val="16"/>
        </w:rPr>
        <w:softHyphen/>
        <w:t xml:space="preserve">торый «давно считал консульскую квартиру своей», </w:t>
      </w:r>
      <w:r w:rsidRPr="007122AB">
        <w:rPr>
          <w:rFonts w:ascii="Times New Roman" w:eastAsia="Arial" w:hAnsi="Times New Roman"/>
          <w:color w:val="000000" w:themeColor="text1"/>
          <w:sz w:val="16"/>
          <w:szCs w:val="16"/>
        </w:rPr>
        <w:t>устроил скандал и выгнал авиаторов оттуда уже на следующую ночь</w:t>
      </w:r>
      <w:r w:rsidRPr="007122AB">
        <w:rPr>
          <w:rFonts w:ascii="Times New Roman" w:hAnsi="Times New Roman"/>
          <w:color w:val="000000" w:themeColor="text1"/>
          <w:sz w:val="16"/>
          <w:szCs w:val="16"/>
        </w:rPr>
        <w:t>.</w:t>
      </w:r>
    </w:p>
    <w:p w14:paraId="0DFC537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 лучше обстояло дело со сборкой самолётов и отправкой грузов. Несмотря на то, что две платформы с самолётами и вагон с запчастями отправили «как военный груз» из Таганрога в Алма-Ату и Аягуз «большой скоростью» ещё 2 ноября, платформы при</w:t>
      </w:r>
      <w:r w:rsidRPr="007122AB">
        <w:rPr>
          <w:rFonts w:ascii="Times New Roman" w:hAnsi="Times New Roman"/>
          <w:color w:val="000000" w:themeColor="text1"/>
          <w:sz w:val="16"/>
          <w:szCs w:val="16"/>
        </w:rPr>
        <w:softHyphen/>
        <w:t xml:space="preserve">были лишь 29 ноября. На следующий день их подали на площадку кирпичного завода </w:t>
      </w:r>
      <w:proofErr w:type="spellStart"/>
      <w:r w:rsidRPr="007122AB">
        <w:rPr>
          <w:rFonts w:ascii="Times New Roman" w:hAnsi="Times New Roman"/>
          <w:color w:val="000000" w:themeColor="text1"/>
          <w:sz w:val="16"/>
          <w:szCs w:val="16"/>
        </w:rPr>
        <w:t>Турксиба</w:t>
      </w:r>
      <w:proofErr w:type="spellEnd"/>
      <w:r w:rsidRPr="007122AB">
        <w:rPr>
          <w:rFonts w:ascii="Times New Roman" w:hAnsi="Times New Roman"/>
          <w:color w:val="000000" w:themeColor="text1"/>
          <w:sz w:val="16"/>
          <w:szCs w:val="16"/>
        </w:rPr>
        <w:t>, примерно в 1,5 км от аэродрома. Берестецкий докладывал, что перемеще</w:t>
      </w:r>
      <w:r w:rsidRPr="007122AB">
        <w:rPr>
          <w:rFonts w:ascii="Times New Roman" w:hAnsi="Times New Roman"/>
          <w:color w:val="000000" w:themeColor="text1"/>
          <w:sz w:val="16"/>
          <w:szCs w:val="16"/>
        </w:rPr>
        <w:softHyphen/>
        <w:t xml:space="preserve">нию самолётов на аэродром мешали «технические причины (грязь и неблагоприятная погода)», а из рапорта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следовало, что разгрузка началась лишь 3 декабря, на пятый (!?) день «из-за отсутствия необходимых приспособлений для разгрузки са</w:t>
      </w:r>
      <w:r w:rsidRPr="007122AB">
        <w:rPr>
          <w:rFonts w:ascii="Times New Roman" w:hAnsi="Times New Roman"/>
          <w:color w:val="000000" w:themeColor="text1"/>
          <w:sz w:val="16"/>
          <w:szCs w:val="16"/>
        </w:rPr>
        <w:softHyphen/>
        <w:t>молётов и переброски их на аэродром».</w:t>
      </w:r>
    </w:p>
    <w:p w14:paraId="241AE89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Самолёты собирали, регулировали и промывали баки в течение недели. Длитель</w:t>
      </w:r>
      <w:r w:rsidRPr="007122AB">
        <w:rPr>
          <w:rFonts w:ascii="Times New Roman" w:hAnsi="Times New Roman"/>
          <w:color w:val="000000" w:themeColor="text1"/>
          <w:sz w:val="16"/>
          <w:szCs w:val="16"/>
        </w:rPr>
        <w:softHyphen/>
        <w:t>ность работы лётчик в рапорте из Китая объяснял, «во-первых, отсутствием козелков, стремянок и других необходимых для сборки приспособлений; во-вторых, непредоста</w:t>
      </w:r>
      <w:r w:rsidRPr="007122AB">
        <w:rPr>
          <w:rFonts w:ascii="Times New Roman" w:hAnsi="Times New Roman"/>
          <w:color w:val="000000" w:themeColor="text1"/>
          <w:sz w:val="16"/>
          <w:szCs w:val="16"/>
        </w:rPr>
        <w:softHyphen/>
        <w:t xml:space="preserve">влением нам достаточной помощи рабочей силой со стороны </w:t>
      </w:r>
      <w:proofErr w:type="spellStart"/>
      <w:r w:rsidRPr="007122AB">
        <w:rPr>
          <w:rFonts w:ascii="Times New Roman" w:hAnsi="Times New Roman"/>
          <w:color w:val="000000" w:themeColor="text1"/>
          <w:sz w:val="16"/>
          <w:szCs w:val="16"/>
        </w:rPr>
        <w:t>граждвоздухфлота</w:t>
      </w:r>
      <w:proofErr w:type="spellEnd"/>
      <w:r w:rsidRPr="007122AB">
        <w:rPr>
          <w:rFonts w:ascii="Times New Roman" w:hAnsi="Times New Roman"/>
          <w:color w:val="000000" w:themeColor="text1"/>
          <w:sz w:val="16"/>
          <w:szCs w:val="16"/>
        </w:rPr>
        <w:t>».</w:t>
      </w:r>
    </w:p>
    <w:p w14:paraId="37594245"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Ещё хуже обстояло дело с доставкой авиа</w:t>
      </w:r>
      <w:r w:rsidRPr="007122AB">
        <w:rPr>
          <w:rFonts w:ascii="Times New Roman" w:hAnsi="Times New Roman"/>
          <w:color w:val="000000" w:themeColor="text1"/>
          <w:sz w:val="16"/>
          <w:szCs w:val="16"/>
        </w:rPr>
        <w:softHyphen/>
        <w:t xml:space="preserve">ционного имущества до границы. Вагон с запчастями застрял в пути, не доехав даже до Самары, и в Аягуз </w:t>
      </w:r>
      <w:r w:rsidRPr="007122AB">
        <w:rPr>
          <w:rStyle w:val="105pt0pt"/>
          <w:rFonts w:ascii="Times New Roman" w:hAnsi="Times New Roman" w:cs="Times New Roman"/>
          <w:color w:val="000000" w:themeColor="text1"/>
          <w:spacing w:val="0"/>
          <w:sz w:val="16"/>
          <w:szCs w:val="16"/>
        </w:rPr>
        <w:t>прибыл лишь в сере</w:t>
      </w:r>
      <w:r w:rsidRPr="007122AB">
        <w:rPr>
          <w:rStyle w:val="105pt0pt"/>
          <w:rFonts w:ascii="Times New Roman" w:hAnsi="Times New Roman" w:cs="Times New Roman"/>
          <w:color w:val="000000" w:themeColor="text1"/>
          <w:spacing w:val="0"/>
          <w:sz w:val="16"/>
          <w:szCs w:val="16"/>
        </w:rPr>
        <w:softHyphen/>
      </w:r>
      <w:r w:rsidRPr="007122AB">
        <w:rPr>
          <w:rFonts w:ascii="Times New Roman" w:hAnsi="Times New Roman"/>
          <w:color w:val="000000" w:themeColor="text1"/>
          <w:sz w:val="16"/>
          <w:szCs w:val="16"/>
        </w:rPr>
        <w:t>дине декабря. Однако даже спустя две неде</w:t>
      </w:r>
      <w:r w:rsidRPr="007122AB">
        <w:rPr>
          <w:rFonts w:ascii="Times New Roman" w:hAnsi="Times New Roman"/>
          <w:color w:val="000000" w:themeColor="text1"/>
          <w:sz w:val="16"/>
          <w:szCs w:val="16"/>
        </w:rPr>
        <w:softHyphen/>
        <w:t xml:space="preserve">ли некий «ответственный» чиновник местного </w:t>
      </w:r>
      <w:proofErr w:type="spellStart"/>
      <w:r w:rsidRPr="007122AB">
        <w:rPr>
          <w:rFonts w:ascii="Times New Roman" w:hAnsi="Times New Roman"/>
          <w:color w:val="000000" w:themeColor="text1"/>
          <w:sz w:val="16"/>
          <w:szCs w:val="16"/>
        </w:rPr>
        <w:t>Союзтранса</w:t>
      </w:r>
      <w:proofErr w:type="spellEnd"/>
      <w:r w:rsidRPr="007122AB">
        <w:rPr>
          <w:rFonts w:ascii="Times New Roman" w:hAnsi="Times New Roman"/>
          <w:color w:val="000000" w:themeColor="text1"/>
          <w:sz w:val="16"/>
          <w:szCs w:val="16"/>
        </w:rPr>
        <w:t xml:space="preserve"> уверял Берестецкого, что груз ещё не дошёл. Лишь с помощью сотрудников его конторы выяснилось, что груз прибыл 14.12, пролежал на скла</w:t>
      </w:r>
      <w:r w:rsidRPr="007122AB">
        <w:rPr>
          <w:rFonts w:ascii="Times New Roman" w:hAnsi="Times New Roman"/>
          <w:color w:val="000000" w:themeColor="text1"/>
          <w:sz w:val="16"/>
          <w:szCs w:val="16"/>
        </w:rPr>
        <w:softHyphen/>
        <w:t xml:space="preserve">дах до 28.12 и отправлен в </w:t>
      </w:r>
      <w:proofErr w:type="spellStart"/>
      <w:r w:rsidRPr="007122AB">
        <w:rPr>
          <w:rFonts w:ascii="Times New Roman" w:hAnsi="Times New Roman"/>
          <w:color w:val="000000" w:themeColor="text1"/>
          <w:sz w:val="16"/>
          <w:szCs w:val="16"/>
        </w:rPr>
        <w:t>Бахты</w:t>
      </w:r>
      <w:proofErr w:type="spellEnd"/>
      <w:r w:rsidRPr="007122AB">
        <w:rPr>
          <w:rFonts w:ascii="Times New Roman" w:hAnsi="Times New Roman"/>
          <w:color w:val="000000" w:themeColor="text1"/>
          <w:sz w:val="16"/>
          <w:szCs w:val="16"/>
        </w:rPr>
        <w:t>. Но даже эти сведения чиновника ни в чем не убедили!</w:t>
      </w:r>
    </w:p>
    <w:p w14:paraId="765015FF"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proofErr w:type="spellStart"/>
      <w:r w:rsidRPr="007122AB">
        <w:rPr>
          <w:rFonts w:ascii="Times New Roman" w:hAnsi="Times New Roman"/>
          <w:color w:val="000000" w:themeColor="text1"/>
          <w:sz w:val="16"/>
          <w:szCs w:val="16"/>
        </w:rPr>
        <w:t>Союзтрансе</w:t>
      </w:r>
      <w:proofErr w:type="spellEnd"/>
      <w:r w:rsidRPr="007122AB">
        <w:rPr>
          <w:rFonts w:ascii="Times New Roman" w:hAnsi="Times New Roman"/>
          <w:color w:val="000000" w:themeColor="text1"/>
          <w:sz w:val="16"/>
          <w:szCs w:val="16"/>
        </w:rPr>
        <w:t xml:space="preserve"> Берестецкого клятвенно заверили, что авиабомбы, бензин и масло хра</w:t>
      </w:r>
      <w:r w:rsidRPr="007122AB">
        <w:rPr>
          <w:rFonts w:ascii="Times New Roman" w:hAnsi="Times New Roman"/>
          <w:color w:val="000000" w:themeColor="text1"/>
          <w:sz w:val="16"/>
          <w:szCs w:val="16"/>
        </w:rPr>
        <w:softHyphen/>
        <w:t>нятся в Вахтах в полном порядке. После окончания сборки самолётов руководитель экс</w:t>
      </w:r>
      <w:r w:rsidRPr="007122AB">
        <w:rPr>
          <w:rFonts w:ascii="Times New Roman" w:hAnsi="Times New Roman"/>
          <w:color w:val="000000" w:themeColor="text1"/>
          <w:sz w:val="16"/>
          <w:szCs w:val="16"/>
        </w:rPr>
        <w:softHyphen/>
        <w:t>педиции выехал туда для передачи китайцам авиационного имущества. Трижды преодо</w:t>
      </w:r>
      <w:r w:rsidRPr="007122AB">
        <w:rPr>
          <w:rFonts w:ascii="Times New Roman" w:hAnsi="Times New Roman"/>
          <w:color w:val="000000" w:themeColor="text1"/>
          <w:sz w:val="16"/>
          <w:szCs w:val="16"/>
        </w:rPr>
        <w:softHyphen/>
        <w:t>левая буран, на машинах и подводах он добирался семь суток. На месте выяснилось, что на складе из 122 бочек с бензином в наличии имелись всего 111, не хватало и одной из 10 бочек масла. Рядом стояли 35 бочек с бензином для комендатуры, 12-13 из них по</w:t>
      </w:r>
      <w:r w:rsidRPr="007122AB">
        <w:rPr>
          <w:rFonts w:ascii="Times New Roman" w:hAnsi="Times New Roman"/>
          <w:color w:val="000000" w:themeColor="text1"/>
          <w:sz w:val="16"/>
          <w:szCs w:val="16"/>
        </w:rPr>
        <w:softHyphen/>
        <w:t>ходили на «китайские». Стояло много бочек без пломб, хотя начальник погранотряда ут</w:t>
      </w:r>
      <w:r w:rsidRPr="007122AB">
        <w:rPr>
          <w:rFonts w:ascii="Times New Roman" w:hAnsi="Times New Roman"/>
          <w:color w:val="000000" w:themeColor="text1"/>
          <w:sz w:val="16"/>
          <w:szCs w:val="16"/>
        </w:rPr>
        <w:softHyphen/>
        <w:t xml:space="preserve">верждал, что по прибытии не хватало всего лишь двух пломб. (Однако ещё в Алма-Ате Берестецкого проинформировали, что шоферы </w:t>
      </w:r>
      <w:proofErr w:type="spellStart"/>
      <w:r w:rsidRPr="007122AB">
        <w:rPr>
          <w:rFonts w:ascii="Times New Roman" w:hAnsi="Times New Roman"/>
          <w:color w:val="000000" w:themeColor="text1"/>
          <w:sz w:val="16"/>
          <w:szCs w:val="16"/>
        </w:rPr>
        <w:t>Совсинторга</w:t>
      </w:r>
      <w:proofErr w:type="spellEnd"/>
      <w:r w:rsidRPr="007122AB">
        <w:rPr>
          <w:rFonts w:ascii="Times New Roman" w:hAnsi="Times New Roman"/>
          <w:color w:val="000000" w:themeColor="text1"/>
          <w:sz w:val="16"/>
          <w:szCs w:val="16"/>
        </w:rPr>
        <w:t xml:space="preserve"> по дороге бензин исполь</w:t>
      </w:r>
      <w:r w:rsidRPr="007122AB">
        <w:rPr>
          <w:rFonts w:ascii="Times New Roman" w:hAnsi="Times New Roman"/>
          <w:color w:val="000000" w:themeColor="text1"/>
          <w:sz w:val="16"/>
          <w:szCs w:val="16"/>
        </w:rPr>
        <w:softHyphen/>
        <w:t>зуют для себя, доливая бочки водой.)</w:t>
      </w:r>
    </w:p>
    <w:p w14:paraId="7968DC0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Чтобы «не терять лицо» перед китайцами, руководитель экспедиции опломбировал не</w:t>
      </w:r>
      <w:r w:rsidRPr="007122AB">
        <w:rPr>
          <w:rFonts w:ascii="Times New Roman" w:hAnsi="Times New Roman"/>
          <w:color w:val="000000" w:themeColor="text1"/>
          <w:sz w:val="16"/>
          <w:szCs w:val="16"/>
        </w:rPr>
        <w:softHyphen/>
        <w:t>достающие бочки с «бог знает чем» и присоединил их к 111, особо пометив и предупре</w:t>
      </w:r>
      <w:r w:rsidRPr="007122AB">
        <w:rPr>
          <w:rFonts w:ascii="Times New Roman" w:hAnsi="Times New Roman"/>
          <w:color w:val="000000" w:themeColor="text1"/>
          <w:sz w:val="16"/>
          <w:szCs w:val="16"/>
        </w:rPr>
        <w:softHyphen/>
        <w:t>див лётчиков, чтобы предварительно проверяли качество горючего. Остальные похожие бочки на складе спрятали подальше от глаз китайцев, а отсутствующую 10-ю бочку с маслом накануне якобы «залили в моторы» (15802).</w:t>
      </w:r>
    </w:p>
    <w:p w14:paraId="46CE1D9C" w14:textId="77777777" w:rsidR="00C54992" w:rsidRPr="007122AB" w:rsidRDefault="00C54992" w:rsidP="007122AB">
      <w:pPr>
        <w:spacing w:after="0" w:line="240" w:lineRule="auto"/>
        <w:jc w:val="both"/>
        <w:rPr>
          <w:rFonts w:ascii="Times New Roman" w:hAnsi="Times New Roman"/>
          <w:color w:val="000000" w:themeColor="text1"/>
          <w:sz w:val="16"/>
          <w:szCs w:val="16"/>
        </w:rPr>
      </w:pPr>
    </w:p>
    <w:p w14:paraId="6C52C98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F093FE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E5DD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 ноября 1931 был принят Вестминстерский статут, доминионы получили суверенные права и было создано Британское содружество (2443,406).</w:t>
      </w:r>
    </w:p>
    <w:p w14:paraId="6D6135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3FC2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A26B24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922B00"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ноября 1931 г. планом на 1932 г., утверждёнными начальником УВВС Я.И. Алкснисом, предусматривалось формирование шести эскадрилий многоместных истребителей Р-6: 96-й, 98-й и 100-й в Московском военном округе (соответственно - Монино, Воронеж и Иваново-Вознесенск), одной в Белорусском - 102-й во Ржеве, одной на Украине - 104-й в Запорожье и одной в Ленинградском округе - 92-й в Кречевицах. Первоочередными считались 92-я, 96-я и 98-я эскадрильи, которые должны были получить новую технику ещё в январе, а к декабрю располагать полным комплектом из дюжины Р-6 в каждой. Три другие эскадрильи собирались обеспечить к концу года самолётами на 50% (12264).</w:t>
      </w:r>
    </w:p>
    <w:p w14:paraId="77889DB3" w14:textId="77777777" w:rsidR="00CB6D91" w:rsidRPr="007122AB" w:rsidRDefault="00CB6D91" w:rsidP="007122AB">
      <w:pPr>
        <w:spacing w:after="0" w:line="240" w:lineRule="auto"/>
        <w:jc w:val="both"/>
        <w:rPr>
          <w:rFonts w:ascii="Times New Roman" w:hAnsi="Times New Roman"/>
          <w:color w:val="000000" w:themeColor="text1"/>
          <w:sz w:val="16"/>
          <w:szCs w:val="16"/>
        </w:rPr>
      </w:pPr>
    </w:p>
    <w:p w14:paraId="4F16E2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ноября 1931 г. ВОГВФ за подписью тов. Гольцмана4, препровождая письмо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3BF18A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3C67FD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Уже после этого, в декабре 1931 г., Томас А. Морган, президент Северо-американской авиационной корпорации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корпорэйшн</w:t>
      </w:r>
      <w:proofErr w:type="spellEnd"/>
      <w:r w:rsidRPr="007122AB">
        <w:rPr>
          <w:rFonts w:ascii="Times New Roman" w:hAnsi="Times New Roman"/>
          <w:color w:val="000000" w:themeColor="text1"/>
          <w:sz w:val="16"/>
          <w:szCs w:val="16"/>
        </w:rPr>
        <w:t>»), являющийся одновременно и президентом Американских авиационных ко[</w:t>
      </w:r>
      <w:proofErr w:type="spellStart"/>
      <w:r w:rsidRPr="007122AB">
        <w:rPr>
          <w:rFonts w:ascii="Times New Roman" w:hAnsi="Times New Roman"/>
          <w:color w:val="000000" w:themeColor="text1"/>
          <w:sz w:val="16"/>
          <w:szCs w:val="16"/>
        </w:rPr>
        <w:t>мпаний</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Сперри</w:t>
      </w:r>
      <w:proofErr w:type="spellEnd"/>
      <w:r w:rsidRPr="007122AB">
        <w:rPr>
          <w:rFonts w:ascii="Times New Roman" w:hAnsi="Times New Roman"/>
          <w:color w:val="000000" w:themeColor="text1"/>
          <w:sz w:val="16"/>
          <w:szCs w:val="16"/>
        </w:rPr>
        <w:t>-гироскоп» и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w:t>
      </w:r>
      <w:r w:rsidRPr="007122AB">
        <w:rPr>
          <w:rFonts w:ascii="Times New Roman" w:hAnsi="Times New Roman"/>
          <w:color w:val="000000" w:themeColor="text1"/>
          <w:sz w:val="16"/>
          <w:szCs w:val="16"/>
        </w:rPr>
        <w:lastRenderedPageBreak/>
        <w:t>Аляски, с воздушными путями в Китае, эксплуатируемыми фирмой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7C6E1A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w:t>
      </w:r>
      <w:proofErr w:type="spellStart"/>
      <w:r w:rsidRPr="007122AB">
        <w:rPr>
          <w:rFonts w:ascii="Times New Roman" w:hAnsi="Times New Roman"/>
          <w:color w:val="000000" w:themeColor="text1"/>
          <w:sz w:val="16"/>
          <w:szCs w:val="16"/>
        </w:rPr>
        <w:t>Рубинина</w:t>
      </w:r>
      <w:proofErr w:type="spellEnd"/>
      <w:r w:rsidRPr="007122AB">
        <w:rPr>
          <w:rFonts w:ascii="Times New Roman" w:hAnsi="Times New Roman"/>
          <w:color w:val="000000" w:themeColor="text1"/>
          <w:sz w:val="16"/>
          <w:szCs w:val="16"/>
        </w:rPr>
        <w:t xml:space="preserve">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7097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г[-н] </w:t>
      </w:r>
      <w:proofErr w:type="spellStart"/>
      <w:r w:rsidRPr="007122AB">
        <w:rPr>
          <w:rFonts w:ascii="Times New Roman" w:hAnsi="Times New Roman"/>
          <w:color w:val="000000" w:themeColor="text1"/>
          <w:sz w:val="16"/>
          <w:szCs w:val="16"/>
        </w:rPr>
        <w:t>Тальбот</w:t>
      </w:r>
      <w:proofErr w:type="spellEnd"/>
      <w:r w:rsidRPr="007122AB">
        <w:rPr>
          <w:rFonts w:ascii="Times New Roman" w:hAnsi="Times New Roman"/>
          <w:color w:val="000000" w:themeColor="text1"/>
          <w:sz w:val="16"/>
          <w:szCs w:val="16"/>
        </w:rPr>
        <w:t xml:space="preserve"> с письмом, в котором, ссылаясь на вышеупомянутые предложения Томаса Моргана и на последующие их беседы с тт. Силиным и </w:t>
      </w:r>
      <w:proofErr w:type="spellStart"/>
      <w:r w:rsidRPr="007122AB">
        <w:rPr>
          <w:rFonts w:ascii="Times New Roman" w:hAnsi="Times New Roman"/>
          <w:color w:val="000000" w:themeColor="text1"/>
          <w:sz w:val="16"/>
          <w:szCs w:val="16"/>
        </w:rPr>
        <w:t>Ангеловым</w:t>
      </w:r>
      <w:proofErr w:type="spellEnd"/>
      <w:r w:rsidRPr="007122AB">
        <w:rPr>
          <w:rFonts w:ascii="Times New Roman" w:hAnsi="Times New Roman"/>
          <w:color w:val="000000" w:themeColor="text1"/>
          <w:sz w:val="16"/>
          <w:szCs w:val="16"/>
        </w:rPr>
        <w:t xml:space="preserve">,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w:t>
      </w:r>
      <w:proofErr w:type="spellStart"/>
      <w:r w:rsidRPr="007122AB">
        <w:rPr>
          <w:rFonts w:ascii="Times New Roman" w:hAnsi="Times New Roman"/>
          <w:color w:val="000000" w:themeColor="text1"/>
          <w:sz w:val="16"/>
          <w:szCs w:val="16"/>
        </w:rPr>
        <w:t>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анцию</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Рухлово</w:t>
      </w:r>
      <w:proofErr w:type="spellEnd"/>
      <w:r w:rsidRPr="007122AB">
        <w:rPr>
          <w:rFonts w:ascii="Times New Roman" w:hAnsi="Times New Roman"/>
          <w:color w:val="000000" w:themeColor="text1"/>
          <w:sz w:val="16"/>
          <w:szCs w:val="16"/>
        </w:rPr>
        <w:t xml:space="preserve">). </w:t>
      </w:r>
    </w:p>
    <w:p w14:paraId="30F0E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Богданов и Петров тогда сообщили нам, что хотя они с фирмой подробностей не обсуждали, но с ее слов можно было понять, что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xml:space="preserve">]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2587C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15.XII. 33 г., уже после установления дипотношений с США, вице-президент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65413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3-й Западный отдел направил это последнее обращение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тов. </w:t>
      </w:r>
      <w:proofErr w:type="spellStart"/>
      <w:r w:rsidRPr="007122AB">
        <w:rPr>
          <w:rFonts w:ascii="Times New Roman" w:hAnsi="Times New Roman"/>
          <w:color w:val="000000" w:themeColor="text1"/>
          <w:sz w:val="16"/>
          <w:szCs w:val="16"/>
        </w:rPr>
        <w:t>Уншлихту</w:t>
      </w:r>
      <w:proofErr w:type="spellEnd"/>
      <w:r w:rsidRPr="007122AB">
        <w:rPr>
          <w:rFonts w:ascii="Times New Roman" w:hAnsi="Times New Roman"/>
          <w:color w:val="000000" w:themeColor="text1"/>
          <w:sz w:val="16"/>
          <w:szCs w:val="16"/>
        </w:rPr>
        <w:t xml:space="preserve">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12D78A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Примечание: </w:t>
      </w:r>
    </w:p>
    <w:p w14:paraId="71E0B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 фирме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w:t>
      </w:r>
      <w:proofErr w:type="spellStart"/>
      <w:r w:rsidRPr="007122AB">
        <w:rPr>
          <w:rFonts w:ascii="Times New Roman" w:hAnsi="Times New Roman"/>
          <w:color w:val="000000" w:themeColor="text1"/>
          <w:sz w:val="16"/>
          <w:szCs w:val="16"/>
        </w:rPr>
        <w:t>транстихоокеанских</w:t>
      </w:r>
      <w:proofErr w:type="spellEnd"/>
      <w:r w:rsidRPr="007122AB">
        <w:rPr>
          <w:rFonts w:ascii="Times New Roman" w:hAnsi="Times New Roman"/>
          <w:color w:val="000000" w:themeColor="text1"/>
          <w:sz w:val="16"/>
          <w:szCs w:val="16"/>
        </w:rPr>
        <w:t xml:space="preserve"> планах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которая через свое дочернее предприятие «Чайна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владеет 45% акций американо-китайской ко[</w:t>
      </w:r>
      <w:proofErr w:type="spellStart"/>
      <w:r w:rsidRPr="007122AB">
        <w:rPr>
          <w:rFonts w:ascii="Times New Roman" w:hAnsi="Times New Roman"/>
          <w:color w:val="000000" w:themeColor="text1"/>
          <w:sz w:val="16"/>
          <w:szCs w:val="16"/>
        </w:rPr>
        <w:t>мпании</w:t>
      </w:r>
      <w:proofErr w:type="spellEnd"/>
      <w:r w:rsidRPr="007122AB">
        <w:rPr>
          <w:rFonts w:ascii="Times New Roman" w:hAnsi="Times New Roman"/>
          <w:color w:val="000000" w:themeColor="text1"/>
          <w:sz w:val="16"/>
          <w:szCs w:val="16"/>
        </w:rPr>
        <w:t xml:space="preserve">] «Чайна </w:t>
      </w:r>
      <w:proofErr w:type="spellStart"/>
      <w:r w:rsidRPr="007122AB">
        <w:rPr>
          <w:rFonts w:ascii="Times New Roman" w:hAnsi="Times New Roman"/>
          <w:color w:val="000000" w:themeColor="text1"/>
          <w:sz w:val="16"/>
          <w:szCs w:val="16"/>
        </w:rPr>
        <w:t>нэшнл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Следующим шагом будет связь линии Шанхай — Кантон с Гонконгом, откуда, в свою очередь, пойдет линия на Филиппинские острова. В дальнейшем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«Пасифик-</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приступит к установлению линий протяжением примерно в 6000 миль от Сан-Франциско до Манилы. </w:t>
      </w:r>
    </w:p>
    <w:p w14:paraId="53FF3D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 фирме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известно (по ее собственной информации), что она владеет целиком и активно руководит: </w:t>
      </w:r>
    </w:p>
    <w:p w14:paraId="01D41B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фирмой «</w:t>
      </w:r>
      <w:proofErr w:type="spellStart"/>
      <w:r w:rsidRPr="007122AB">
        <w:rPr>
          <w:rFonts w:ascii="Times New Roman" w:hAnsi="Times New Roman"/>
          <w:color w:val="000000" w:themeColor="text1"/>
          <w:sz w:val="16"/>
          <w:szCs w:val="16"/>
        </w:rPr>
        <w:t>Сперри</w:t>
      </w:r>
      <w:proofErr w:type="spellEnd"/>
      <w:r w:rsidRPr="007122AB">
        <w:rPr>
          <w:rFonts w:ascii="Times New Roman" w:hAnsi="Times New Roman"/>
          <w:color w:val="000000" w:themeColor="text1"/>
          <w:sz w:val="16"/>
          <w:szCs w:val="16"/>
        </w:rPr>
        <w:t xml:space="preserve"> гироскоп», производящей гироскопические аппараты для пароходов и других навигационных целей, а также контрольную аппаратуру для аэропланов; </w:t>
      </w:r>
    </w:p>
    <w:p w14:paraId="412C9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«Форд инструмент Ко»; </w:t>
      </w:r>
    </w:p>
    <w:p w14:paraId="67042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«Берлинер — Джойс </w:t>
      </w:r>
      <w:proofErr w:type="spellStart"/>
      <w:r w:rsidRPr="007122AB">
        <w:rPr>
          <w:rFonts w:ascii="Times New Roman" w:hAnsi="Times New Roman"/>
          <w:color w:val="000000" w:themeColor="text1"/>
          <w:sz w:val="16"/>
          <w:szCs w:val="16"/>
        </w:rPr>
        <w:t>эркрафт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производящей быстроходные военные самолеты и </w:t>
      </w:r>
    </w:p>
    <w:p w14:paraId="26851B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5B758A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владеет солидным пакетом акций фирмы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и «Дуглас </w:t>
      </w:r>
      <w:proofErr w:type="spellStart"/>
      <w:r w:rsidRPr="007122AB">
        <w:rPr>
          <w:rFonts w:ascii="Times New Roman" w:hAnsi="Times New Roman"/>
          <w:color w:val="000000" w:themeColor="text1"/>
          <w:sz w:val="16"/>
          <w:szCs w:val="16"/>
        </w:rPr>
        <w:t>эркрафт</w:t>
      </w:r>
      <w:proofErr w:type="spellEnd"/>
      <w:r w:rsidRPr="007122AB">
        <w:rPr>
          <w:rFonts w:ascii="Times New Roman" w:hAnsi="Times New Roman"/>
          <w:color w:val="000000" w:themeColor="text1"/>
          <w:sz w:val="16"/>
          <w:szCs w:val="16"/>
        </w:rPr>
        <w:t xml:space="preserve"> Ко» (два выдающихся производителя самолетов в США) и является активным участником фирмы «</w:t>
      </w:r>
      <w:proofErr w:type="spellStart"/>
      <w:r w:rsidRPr="007122AB">
        <w:rPr>
          <w:rFonts w:ascii="Times New Roman" w:hAnsi="Times New Roman"/>
          <w:color w:val="000000" w:themeColor="text1"/>
          <w:sz w:val="16"/>
          <w:szCs w:val="16"/>
        </w:rPr>
        <w:t>Трансконтинентл-уэстерн</w:t>
      </w:r>
      <w:proofErr w:type="spellEnd"/>
      <w:r w:rsidRPr="007122AB">
        <w:rPr>
          <w:rFonts w:ascii="Times New Roman" w:hAnsi="Times New Roman"/>
          <w:color w:val="000000" w:themeColor="text1"/>
          <w:sz w:val="16"/>
          <w:szCs w:val="16"/>
        </w:rPr>
        <w:t xml:space="preserve"> эр». </w:t>
      </w:r>
    </w:p>
    <w:p w14:paraId="47512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Она также активно участвует в «</w:t>
      </w:r>
      <w:proofErr w:type="spellStart"/>
      <w:r w:rsidRPr="007122AB">
        <w:rPr>
          <w:rFonts w:ascii="Times New Roman" w:hAnsi="Times New Roman"/>
          <w:color w:val="000000" w:themeColor="text1"/>
          <w:sz w:val="16"/>
          <w:szCs w:val="16"/>
        </w:rPr>
        <w:t>Интерконтинентл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через которую она инвестирует капиталы в авиационных предприятиях за границей. </w:t>
      </w:r>
    </w:p>
    <w:p w14:paraId="10A360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 3-м Западным отделом Е. РУБИНИН </w:t>
      </w:r>
    </w:p>
    <w:p w14:paraId="66AC97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Отв. референт С. СТОЛЯР </w:t>
      </w:r>
    </w:p>
    <w:p w14:paraId="062D9F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 Оп. 14. П. 101. Д. 84. Л. 1—3. Подлинник (11430).</w:t>
      </w:r>
    </w:p>
    <w:p w14:paraId="1F50CB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B34DD14"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ноября 1931 г. ПИСЬМО НАЧАЛЬНИКА ВОГВФ А.З. ГОЛЬЦМАНА В НКИД СССР О ПРЕДЛОЖЕНИИ ОБЪЕДИНЕНИЯ ПАНАМЕРИКАНСКИХ ВОЗДУШНЫХ ЛИНИЙ ОТНОСИТЕЛЬНО СОВМЕСТНОЙ ОРГАНИЗАЦИИ И ЭКСПЛУАТАЦИИ ТРАНСТИХООКЕАНСКОГО ВОЗДУШНОГО СООБЩЕНИЯ</w:t>
      </w:r>
    </w:p>
    <w:p w14:paraId="16123D4E"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Секретно</w:t>
      </w:r>
    </w:p>
    <w:p w14:paraId="54C6A889"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Объединение панамериканских воздушных линий' обратилось к Всесоюзному объединению гражданского воздушного флота с предложением о совместной организации и эксплуатации </w:t>
      </w:r>
      <w:proofErr w:type="spellStart"/>
      <w:r w:rsidRPr="00441F34">
        <w:rPr>
          <w:rFonts w:ascii="Times New Roman" w:hAnsi="Times New Roman"/>
          <w:color w:val="0070C0"/>
          <w:sz w:val="16"/>
          <w:szCs w:val="16"/>
        </w:rPr>
        <w:t>Транстихоокеанского</w:t>
      </w:r>
      <w:proofErr w:type="spellEnd"/>
      <w:r w:rsidRPr="00441F34">
        <w:rPr>
          <w:rFonts w:ascii="Times New Roman" w:hAnsi="Times New Roman"/>
          <w:color w:val="0070C0"/>
          <w:sz w:val="16"/>
          <w:szCs w:val="16"/>
        </w:rPr>
        <w:t xml:space="preserve"> воздушного сообщения.</w:t>
      </w:r>
    </w:p>
    <w:p w14:paraId="643C6962"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Считая, что это предложение могло бы быть осуществлено на первых порах путем организации воздушного сообщения, примерно по маршруту через Аляску - Камчатку, я прошу Народный комиссариат по иностранным делам высказать свое принципиальное мнение по затронутым в письме Панамериканского объединения вопросам.</w:t>
      </w:r>
    </w:p>
    <w:p w14:paraId="7CA3B7BA"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Приложение: письмо с переводом.</w:t>
      </w:r>
    </w:p>
    <w:p w14:paraId="2FCC66B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Начальник Всесоюзного объединения ГВФ ГОЛЬЦМАН</w:t>
      </w:r>
    </w:p>
    <w:p w14:paraId="4F8C3B3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АВП РФ. Ф. 0129. Он. 14. П. 127. Д. 325. Л. 54. Подлинник (23884).</w:t>
      </w:r>
    </w:p>
    <w:p w14:paraId="51C784B1" w14:textId="77777777" w:rsidR="002739C9" w:rsidRPr="00441F34" w:rsidRDefault="002739C9" w:rsidP="002739C9">
      <w:pPr>
        <w:spacing w:after="0" w:line="240" w:lineRule="auto"/>
        <w:jc w:val="both"/>
        <w:rPr>
          <w:rFonts w:ascii="Times New Roman" w:hAnsi="Times New Roman"/>
          <w:color w:val="0070C0"/>
          <w:sz w:val="16"/>
          <w:szCs w:val="16"/>
        </w:rPr>
      </w:pPr>
    </w:p>
    <w:p w14:paraId="7988F36D" w14:textId="77777777" w:rsidR="00CB6D9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5EF856D" w14:textId="77777777" w:rsidR="00CB6D91" w:rsidRPr="007122AB" w:rsidRDefault="00CB6D9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DE5E92"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22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Постановление СТО СССР № 244сс о ценах </w:t>
      </w:r>
      <w:proofErr w:type="spellStart"/>
      <w:r w:rsidRPr="007122AB">
        <w:rPr>
          <w:rFonts w:ascii="Times New Roman" w:hAnsi="Times New Roman"/>
          <w:color w:val="000000" w:themeColor="text1"/>
          <w:sz w:val="16"/>
          <w:szCs w:val="16"/>
          <w:u w:color="002060"/>
        </w:rPr>
        <w:t>Патрубвзрыва</w:t>
      </w:r>
      <w:proofErr w:type="spellEnd"/>
      <w:r w:rsidRPr="007122AB">
        <w:rPr>
          <w:rFonts w:ascii="Times New Roman" w:hAnsi="Times New Roman"/>
          <w:color w:val="000000" w:themeColor="text1"/>
          <w:sz w:val="16"/>
          <w:szCs w:val="16"/>
          <w:u w:color="002060"/>
        </w:rPr>
        <w:t xml:space="preserve"> на военные изделия (ГА РФ. Ф. Р?8418. Оп. 28. Д. 1а. Л. 87) (12415).</w:t>
      </w:r>
    </w:p>
    <w:p w14:paraId="0DDED4D1"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p>
    <w:p w14:paraId="0B2FFA0F" w14:textId="77777777" w:rsidR="00480CB7" w:rsidRPr="007122AB" w:rsidRDefault="00480C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ноября 1931 фирма «Виккерс-Армстронг» обратилась к советским представителям с предложением продать партию из 20–25 танков-амфибий (РГВА. Ф. 31811. Оп. 2. Д. 55. Л. 4.). Сталин буквально ухватился за это предложение, о чем 9 декабря 1931 г. сообщил М.Н. Тухачевский в письме К.Е. Ворошилову: «Показали мы т[</w:t>
      </w:r>
      <w:proofErr w:type="spellStart"/>
      <w:r w:rsidRPr="007122AB">
        <w:rPr>
          <w:rFonts w:ascii="Times New Roman" w:hAnsi="Times New Roman"/>
          <w:color w:val="000000" w:themeColor="text1"/>
          <w:sz w:val="16"/>
          <w:szCs w:val="16"/>
        </w:rPr>
        <w:t>оварищу</w:t>
      </w:r>
      <w:proofErr w:type="spellEnd"/>
      <w:r w:rsidRPr="007122AB">
        <w:rPr>
          <w:rFonts w:ascii="Times New Roman" w:hAnsi="Times New Roman"/>
          <w:color w:val="000000" w:themeColor="text1"/>
          <w:sz w:val="16"/>
          <w:szCs w:val="16"/>
        </w:rPr>
        <w:t>]. Сталину и т[</w:t>
      </w:r>
      <w:proofErr w:type="spellStart"/>
      <w:r w:rsidRPr="007122AB">
        <w:rPr>
          <w:rFonts w:ascii="Times New Roman" w:hAnsi="Times New Roman"/>
          <w:color w:val="000000" w:themeColor="text1"/>
          <w:sz w:val="16"/>
          <w:szCs w:val="16"/>
        </w:rPr>
        <w:t>оварищу</w:t>
      </w:r>
      <w:proofErr w:type="spellEnd"/>
      <w:r w:rsidRPr="007122AB">
        <w:rPr>
          <w:rFonts w:ascii="Times New Roman" w:hAnsi="Times New Roman"/>
          <w:color w:val="000000" w:themeColor="text1"/>
          <w:sz w:val="16"/>
          <w:szCs w:val="16"/>
        </w:rPr>
        <w:t>]. Молотову фильм: испытания танка-амфибии Карден-Ллойда. Это чрезвычайно интересно и т[</w:t>
      </w:r>
      <w:proofErr w:type="spellStart"/>
      <w:r w:rsidRPr="007122AB">
        <w:rPr>
          <w:rFonts w:ascii="Times New Roman" w:hAnsi="Times New Roman"/>
          <w:color w:val="000000" w:themeColor="text1"/>
          <w:sz w:val="16"/>
          <w:szCs w:val="16"/>
        </w:rPr>
        <w:t>оварищ</w:t>
      </w:r>
      <w:proofErr w:type="spellEnd"/>
      <w:r w:rsidRPr="007122AB">
        <w:rPr>
          <w:rFonts w:ascii="Times New Roman" w:hAnsi="Times New Roman"/>
          <w:color w:val="000000" w:themeColor="text1"/>
          <w:sz w:val="16"/>
          <w:szCs w:val="16"/>
        </w:rPr>
        <w:t>]. Сталин предложил купить десять штук по 25 тыс. руб. (Виккерс просит по 34 тыс. руб.) Через Темзу этот танк плавает шутя» (РГВА. Ф. 33987. Оп. 3 с. Д. 155. Л. 184). «Высочайшее внимание» сыграло свою роль, и замнаркома обороны М.Н. Тухачевский распорядился немедленно начать переговоры о покупке, и, не дожидаясь их результатов, приступить к созданию собственного плавающего танка, используя имевшиеся фотографии английского образца (РГВА. Ф. 31811. Оп. 2. Д. 55. Л. 4). Работы развернулись небывалыми темпами, и уже в апреле 1932 г. советский танк-амфибия Т-33 вышел на испытания (21522).</w:t>
      </w:r>
    </w:p>
    <w:p w14:paraId="4A98D602" w14:textId="77777777" w:rsidR="00480CB7" w:rsidRPr="007122AB" w:rsidRDefault="00480CB7" w:rsidP="007122AB">
      <w:pPr>
        <w:spacing w:after="0" w:line="240" w:lineRule="auto"/>
        <w:jc w:val="both"/>
        <w:rPr>
          <w:rFonts w:ascii="Times New Roman" w:hAnsi="Times New Roman"/>
          <w:color w:val="000000" w:themeColor="text1"/>
          <w:sz w:val="16"/>
          <w:szCs w:val="16"/>
        </w:rPr>
      </w:pPr>
    </w:p>
    <w:p w14:paraId="5DF39F6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22 ноября 1931 г. отправленным членом коллегии НКРКИ СССР и начальником ВМИ Н.В. Куйбышевым заместителю председателя ВСНХ СССР И.П. </w:t>
      </w:r>
      <w:proofErr w:type="spellStart"/>
      <w:r w:rsidRPr="00441F34">
        <w:rPr>
          <w:rFonts w:ascii="Times New Roman" w:hAnsi="Times New Roman"/>
          <w:color w:val="0070C0"/>
          <w:sz w:val="16"/>
          <w:szCs w:val="16"/>
        </w:rPr>
        <w:t>Павлуновскому</w:t>
      </w:r>
      <w:proofErr w:type="spellEnd"/>
      <w:r w:rsidRPr="00441F34">
        <w:rPr>
          <w:rFonts w:ascii="Times New Roman" w:hAnsi="Times New Roman"/>
          <w:color w:val="0070C0"/>
          <w:sz w:val="16"/>
          <w:szCs w:val="16"/>
        </w:rPr>
        <w:t xml:space="preserve"> и заместителю председателя Реввоенсовета СССР М.Н. Тухачевскому относительно обеспечения выпуска танков БТ двигателями было написано:</w:t>
      </w:r>
    </w:p>
    <w:p w14:paraId="6637E4DF"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 настоящего времени остается неразрешенным вопрос какими заводами в 1932 г. будут поставляться моторы и броня для танкового производства ХПЗ. В виду острого недостатка у нас в авиационных моторах, на очередь дня стает вопрос о переходе средних танков и «БТ» с авиационного типа мотора на дизельный».</w:t>
      </w:r>
    </w:p>
    <w:p w14:paraId="09543BC5"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[РГВА. Ф. 31811. Оп. 2. Д. 54. Л. 41]</w:t>
      </w:r>
    </w:p>
    <w:p w14:paraId="7F85B899"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Практически одновременно с этим, вопрос о проблеме с обеспечением выпуска танков БТ двигателями был поднят и руководством Государственного Всесоюзного Локомотивного объединения «Локомотив» (далее – объединение «Локомотив»), в ведении которого в то время находился ХПЗ (24856).</w:t>
      </w:r>
    </w:p>
    <w:p w14:paraId="4807C316" w14:textId="77777777" w:rsidR="002739C9" w:rsidRPr="00441F34" w:rsidRDefault="002739C9" w:rsidP="002739C9">
      <w:pPr>
        <w:spacing w:after="0" w:line="240" w:lineRule="auto"/>
        <w:jc w:val="both"/>
        <w:rPr>
          <w:rFonts w:ascii="Times New Roman" w:hAnsi="Times New Roman"/>
          <w:color w:val="0070C0"/>
          <w:sz w:val="16"/>
          <w:szCs w:val="16"/>
        </w:rPr>
      </w:pPr>
    </w:p>
    <w:p w14:paraId="6CD4066B"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ноября 1931 г.</w:t>
      </w:r>
    </w:p>
    <w:p w14:paraId="1D07388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РГВА Фонд 31811 Опись 2 Дело 54 лист 40 – 41 </w:t>
      </w:r>
    </w:p>
    <w:p w14:paraId="390F4345"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Сов. Секретно. </w:t>
      </w:r>
    </w:p>
    <w:p w14:paraId="19946D75"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Копия.</w:t>
      </w:r>
    </w:p>
    <w:p w14:paraId="6E37EE9A"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22 ноября 1931 г. </w:t>
      </w:r>
    </w:p>
    <w:p w14:paraId="72C986A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728с</w:t>
      </w:r>
    </w:p>
    <w:p w14:paraId="383E8B8E"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ЗАМ. ПРЕДСЕДАТЕЛЯ ВСНХ СССР тов. ПАВЛУНОВСКОМУ </w:t>
      </w:r>
    </w:p>
    <w:p w14:paraId="527CA1E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Копия:</w:t>
      </w:r>
      <w:r>
        <w:rPr>
          <w:rFonts w:ascii="Times New Roman" w:hAnsi="Times New Roman"/>
          <w:color w:val="0070C0"/>
          <w:sz w:val="16"/>
          <w:szCs w:val="16"/>
        </w:rPr>
        <w:t xml:space="preserve"> </w:t>
      </w:r>
      <w:r w:rsidRPr="00441F34">
        <w:rPr>
          <w:rFonts w:ascii="Times New Roman" w:hAnsi="Times New Roman"/>
          <w:color w:val="0070C0"/>
          <w:sz w:val="16"/>
          <w:szCs w:val="16"/>
        </w:rPr>
        <w:t>ЗАМ. ПРЕД. РВС СССР – тов. ТУХАЧЕВСКОМУ</w:t>
      </w:r>
    </w:p>
    <w:p w14:paraId="125CC4B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октябре месяце </w:t>
      </w:r>
      <w:proofErr w:type="spellStart"/>
      <w:r w:rsidRPr="00441F34">
        <w:rPr>
          <w:rFonts w:ascii="Times New Roman" w:hAnsi="Times New Roman"/>
          <w:color w:val="0070C0"/>
          <w:sz w:val="16"/>
          <w:szCs w:val="16"/>
        </w:rPr>
        <w:t>т.г</w:t>
      </w:r>
      <w:proofErr w:type="spellEnd"/>
      <w:r w:rsidRPr="00441F34">
        <w:rPr>
          <w:rFonts w:ascii="Times New Roman" w:hAnsi="Times New Roman"/>
          <w:color w:val="0070C0"/>
          <w:sz w:val="16"/>
          <w:szCs w:val="16"/>
        </w:rPr>
        <w:t xml:space="preserve">. происходило обследование танко-тракторного производства и состояния </w:t>
      </w:r>
      <w:proofErr w:type="spellStart"/>
      <w:r w:rsidRPr="00441F34">
        <w:rPr>
          <w:rFonts w:ascii="Times New Roman" w:hAnsi="Times New Roman"/>
          <w:color w:val="0070C0"/>
          <w:sz w:val="16"/>
          <w:szCs w:val="16"/>
        </w:rPr>
        <w:t>мобплана</w:t>
      </w:r>
      <w:proofErr w:type="spellEnd"/>
      <w:r w:rsidRPr="00441F34">
        <w:rPr>
          <w:rFonts w:ascii="Times New Roman" w:hAnsi="Times New Roman"/>
          <w:color w:val="0070C0"/>
          <w:sz w:val="16"/>
          <w:szCs w:val="16"/>
        </w:rPr>
        <w:t xml:space="preserve"> по Харьковскому Паровозостроительному заводу им. Коминтерна Комиссией Военно-Морской Инспекции. Сообщение комиссии ВМИ и доклад Директора ХПЗ т. Владимирова были заслушаны на с/президиуме ЦКК КП(б)У 30.X-31 г., где было постановлено с выводами ВМИ в основном согласиться. </w:t>
      </w:r>
    </w:p>
    <w:p w14:paraId="0BF24146"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При обследовании выявлено: </w:t>
      </w:r>
    </w:p>
    <w:p w14:paraId="67BEC9C8"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тракторному производству:</w:t>
      </w:r>
    </w:p>
    <w:p w14:paraId="1D4FF612"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Мощность. </w:t>
      </w:r>
    </w:p>
    <w:p w14:paraId="1F9FC00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Пропускная способность действующего ныне мех. оборудования в 516 станков </w:t>
      </w:r>
      <w:proofErr w:type="spellStart"/>
      <w:r w:rsidRPr="00441F34">
        <w:rPr>
          <w:rFonts w:ascii="Times New Roman" w:hAnsi="Times New Roman"/>
          <w:color w:val="0070C0"/>
          <w:sz w:val="16"/>
          <w:szCs w:val="16"/>
        </w:rPr>
        <w:t>ТрО</w:t>
      </w:r>
      <w:proofErr w:type="spellEnd"/>
      <w:r w:rsidRPr="00441F34">
        <w:rPr>
          <w:rFonts w:ascii="Times New Roman" w:hAnsi="Times New Roman"/>
          <w:color w:val="0070C0"/>
          <w:sz w:val="16"/>
          <w:szCs w:val="16"/>
        </w:rPr>
        <w:t xml:space="preserve"> – тракторного отдела – исчислена заводом в 100 тракторов "Коммунар" с нормальным комплектом запчастей в месяц – при максимальной работе станков по узкому месту – 450 час/мес., взятии в резерв на необходимый ремонт 47 станков, и существующем технологическом процессе и нормах выработки. При добавлении лишь 5 станков (2 токарных, 2 продольно строгальных и 1 шлифов. </w:t>
      </w:r>
      <w:proofErr w:type="spellStart"/>
      <w:r w:rsidRPr="00441F34">
        <w:rPr>
          <w:rFonts w:ascii="Times New Roman" w:hAnsi="Times New Roman"/>
          <w:color w:val="0070C0"/>
          <w:sz w:val="16"/>
          <w:szCs w:val="16"/>
        </w:rPr>
        <w:t>безцентр</w:t>
      </w:r>
      <w:proofErr w:type="spellEnd"/>
      <w:r w:rsidRPr="00441F34">
        <w:rPr>
          <w:rFonts w:ascii="Times New Roman" w:hAnsi="Times New Roman"/>
          <w:color w:val="0070C0"/>
          <w:sz w:val="16"/>
          <w:szCs w:val="16"/>
        </w:rPr>
        <w:t xml:space="preserve">.), пропускная способность </w:t>
      </w:r>
      <w:proofErr w:type="spellStart"/>
      <w:r w:rsidRPr="00441F34">
        <w:rPr>
          <w:rFonts w:ascii="Times New Roman" w:hAnsi="Times New Roman"/>
          <w:color w:val="0070C0"/>
          <w:sz w:val="16"/>
          <w:szCs w:val="16"/>
        </w:rPr>
        <w:t>ТрО</w:t>
      </w:r>
      <w:proofErr w:type="spellEnd"/>
      <w:r w:rsidRPr="00441F34">
        <w:rPr>
          <w:rFonts w:ascii="Times New Roman" w:hAnsi="Times New Roman"/>
          <w:color w:val="0070C0"/>
          <w:sz w:val="16"/>
          <w:szCs w:val="16"/>
        </w:rPr>
        <w:t xml:space="preserve"> увеличивается до 125 тракторов, при добавлении 65 станков – до 190 тракторов с запчастями в месяц (2280 тракторов в год). </w:t>
      </w:r>
    </w:p>
    <w:p w14:paraId="4E9745FB"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Выполнение программы 1931 г. </w:t>
      </w:r>
    </w:p>
    <w:p w14:paraId="1C647BD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 последнее время завод обнаружил тенденцию выйти из бывшего в 1-м полугодии прорыва в выполнении программы по тракторам "Коммунар" и успешно закончить их годовую программу. Так программа 3-го квартала была выполнена по тракторам на 104%, при выполнении программы за 9 месяцев лишь на 84,5%. При этом программа по запасным частям трактора "Коммунар", имеющая такое важное значение для обеспечения нормальной работы уже работающего парка тракторов, из месяца в месяц все ухудшается и заводом игнорируется. </w:t>
      </w:r>
    </w:p>
    <w:p w14:paraId="55EE94EE"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 этом сокращение программы </w:t>
      </w:r>
      <w:proofErr w:type="spellStart"/>
      <w:r w:rsidRPr="00441F34">
        <w:rPr>
          <w:rFonts w:ascii="Times New Roman" w:hAnsi="Times New Roman"/>
          <w:color w:val="0070C0"/>
          <w:sz w:val="16"/>
          <w:szCs w:val="16"/>
        </w:rPr>
        <w:t>ТрО</w:t>
      </w:r>
      <w:proofErr w:type="spellEnd"/>
      <w:r w:rsidRPr="00441F34">
        <w:rPr>
          <w:rFonts w:ascii="Times New Roman" w:hAnsi="Times New Roman"/>
          <w:color w:val="0070C0"/>
          <w:sz w:val="16"/>
          <w:szCs w:val="16"/>
        </w:rPr>
        <w:t xml:space="preserve"> в июне месяце на 175 танков Т-24 по трудоемкости равным 393 тракторам "Коммунар" (</w:t>
      </w:r>
      <w:proofErr w:type="spellStart"/>
      <w:r w:rsidRPr="00441F34">
        <w:rPr>
          <w:rFonts w:ascii="Times New Roman" w:hAnsi="Times New Roman"/>
          <w:color w:val="0070C0"/>
          <w:sz w:val="16"/>
          <w:szCs w:val="16"/>
        </w:rPr>
        <w:t>коэф</w:t>
      </w:r>
      <w:proofErr w:type="spellEnd"/>
      <w:r w:rsidRPr="00441F34">
        <w:rPr>
          <w:rFonts w:ascii="Times New Roman" w:hAnsi="Times New Roman"/>
          <w:color w:val="0070C0"/>
          <w:sz w:val="16"/>
          <w:szCs w:val="16"/>
        </w:rPr>
        <w:t xml:space="preserve">. 2,25) не отразилось на увеличении основной тракторной программы в сторону ее увеличения. Программа по изготовлению запчастей к машинам Т-24 на 2 мил. рублей не обеспечена заготовками и к выполнению ее завод еще не приступал. </w:t>
      </w:r>
    </w:p>
    <w:p w14:paraId="3CD45B68"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Объяснение </w:t>
      </w:r>
      <w:proofErr w:type="spellStart"/>
      <w:r w:rsidRPr="00441F34">
        <w:rPr>
          <w:rFonts w:ascii="Times New Roman" w:hAnsi="Times New Roman"/>
          <w:color w:val="0070C0"/>
          <w:sz w:val="16"/>
          <w:szCs w:val="16"/>
        </w:rPr>
        <w:t>Локомотивообъединения</w:t>
      </w:r>
      <w:proofErr w:type="spellEnd"/>
      <w:r w:rsidRPr="00441F34">
        <w:rPr>
          <w:rFonts w:ascii="Times New Roman" w:hAnsi="Times New Roman"/>
          <w:color w:val="0070C0"/>
          <w:sz w:val="16"/>
          <w:szCs w:val="16"/>
        </w:rPr>
        <w:t xml:space="preserve">, что задание заводу не было увеличено в то время из-за большого прорыва в выполнении программы по тракторам и запчастям к ним и необходимости обработки ряда деталей машины "БТ" до полного пуска танкового цеха Т-2, – нельзя считать удовлетворительным. </w:t>
      </w:r>
    </w:p>
    <w:p w14:paraId="39C382AB"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Брак и отходы. </w:t>
      </w:r>
    </w:p>
    <w:p w14:paraId="1C78A474"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Выполнение качественных показателей по тракторно-танковому производству до сих пор не обеспечено. Брак велик, особенно по ответственным деталям. Так, по данным за 3-й квартал: </w:t>
      </w:r>
    </w:p>
    <w:p w14:paraId="5B49B0CF"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 поршням брак достигал 75%, по цилиндрам – 28%, по коленчатому валу – 44% и т.п., при этом 55% всего брака падает по вине заготовительных цехов и 45% по вине самого тракторного отдела, главным образом по механической обработке. Общие потери на браке </w:t>
      </w:r>
      <w:proofErr w:type="spellStart"/>
      <w:r w:rsidRPr="00441F34">
        <w:rPr>
          <w:rFonts w:ascii="Times New Roman" w:hAnsi="Times New Roman"/>
          <w:color w:val="0070C0"/>
          <w:sz w:val="16"/>
          <w:szCs w:val="16"/>
        </w:rPr>
        <w:t>ТрО</w:t>
      </w:r>
      <w:proofErr w:type="spellEnd"/>
      <w:r w:rsidRPr="00441F34">
        <w:rPr>
          <w:rFonts w:ascii="Times New Roman" w:hAnsi="Times New Roman"/>
          <w:color w:val="0070C0"/>
          <w:sz w:val="16"/>
          <w:szCs w:val="16"/>
        </w:rPr>
        <w:t xml:space="preserve"> достигают до 7% от стоимости выпущенной продукции. </w:t>
      </w:r>
    </w:p>
    <w:p w14:paraId="3510D7A8"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Отход материала также ненормально высок. По коленчатому валу он достигает 235% по отношению к чистому весу; по клапану (дет. 401), по муфте сцепления (дет. 2580), по кулаку сцепления (дет. 2583) и некоторым другим – отход также больше 200%. </w:t>
      </w:r>
    </w:p>
    <w:p w14:paraId="622E156E"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Программа 1932 г. </w:t>
      </w:r>
    </w:p>
    <w:p w14:paraId="1CF90F27"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Проектируемый дирекцией завода на 1932 г. выпуск тракторов "3-90" Коммунар – 730 шт. и 200 одиночных (десятикратных) запчастей без гусениц – явно недостаточен и не превышает достигнутых уже заводом темпов и фактический выпуск 62 тракторов с нормальным комплектом запчастей на 38 тыс. рублей одиночных запчастей в августе месяце, без учета освобождения площадей и оборудования </w:t>
      </w:r>
      <w:proofErr w:type="spellStart"/>
      <w:r w:rsidRPr="00441F34">
        <w:rPr>
          <w:rFonts w:ascii="Times New Roman" w:hAnsi="Times New Roman"/>
          <w:color w:val="0070C0"/>
          <w:sz w:val="16"/>
          <w:szCs w:val="16"/>
        </w:rPr>
        <w:t>ТрО</w:t>
      </w:r>
      <w:proofErr w:type="spellEnd"/>
      <w:r w:rsidRPr="00441F34">
        <w:rPr>
          <w:rFonts w:ascii="Times New Roman" w:hAnsi="Times New Roman"/>
          <w:color w:val="0070C0"/>
          <w:sz w:val="16"/>
          <w:szCs w:val="16"/>
        </w:rPr>
        <w:t xml:space="preserve"> от производства машин Т-24 с 1932 г., без учета рационализации производственного процесса, роста производительности труда и полной загрузки 2 и 3 смены. </w:t>
      </w:r>
    </w:p>
    <w:p w14:paraId="19C71E1E"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 коэффициенте сменности 1,74 в августе, оборудование имело 45,4% (126584 станко-часов) простоя. </w:t>
      </w:r>
    </w:p>
    <w:p w14:paraId="06DB1B4D"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 заявлению дирекции, программа 1932 г. по тракторам упирается в узкое место завода – изготовление гусеницы, поковкам и стальному литью. Кооперирование по изготовлению деталей гусеницы с заводом им. "Марти" в Николаеве не дало результатов. По заявлению гл. инженера завода т. Бондаренко, завод в настоящее время проводит упрощение конструкции щеки гусеницы – наиболее трудную по обработке. </w:t>
      </w:r>
    </w:p>
    <w:p w14:paraId="1EB30781"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Военно-Морская Инспекция считает, что при разрешении вопроса, со стороны ВСНХ СССР, с размещением заказа на детали гусеницы и необходимые поковки трактора "Коммунар" 3-90 путем кооперирования с другими заводами, – программа ХПЗ по тракторам на 1932 г., исходя из пропускной способности </w:t>
      </w:r>
      <w:proofErr w:type="spellStart"/>
      <w:r w:rsidRPr="00441F34">
        <w:rPr>
          <w:rFonts w:ascii="Times New Roman" w:hAnsi="Times New Roman"/>
          <w:color w:val="0070C0"/>
          <w:sz w:val="16"/>
          <w:szCs w:val="16"/>
        </w:rPr>
        <w:t>ТрО</w:t>
      </w:r>
      <w:proofErr w:type="spellEnd"/>
      <w:r w:rsidRPr="00441F34">
        <w:rPr>
          <w:rFonts w:ascii="Times New Roman" w:hAnsi="Times New Roman"/>
          <w:color w:val="0070C0"/>
          <w:sz w:val="16"/>
          <w:szCs w:val="16"/>
        </w:rPr>
        <w:t xml:space="preserve"> завода, может быть увеличена до 2000 единиц с запчастями в год. </w:t>
      </w:r>
    </w:p>
    <w:p w14:paraId="5533B1F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танковому производству.</w:t>
      </w:r>
    </w:p>
    <w:p w14:paraId="3B3FED62"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Обеспеченность выполнения текущей программы. </w:t>
      </w:r>
    </w:p>
    <w:p w14:paraId="1E82A477"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Организация серийного производства машин "БТ" запаздывает против намеченных заводом сроков. Так, на 1 сентября, по принятому заводом плану, должно было быть подано в Т-2 заготовок на 63 машины БТ и укомплектована полностью первая смена рабочими. По данным завода на 26/X заготовки деталей поступают в отдел Т-2 некомплектно, в количестве на 2 до 50 машин, не обеспечивая полностью имеющегося оборудования и рабочей силы. Отдел Т-2 в настоящее время не обеспечен рабсилой (особенно станковыми рабочими) еще и на первую смену полностью. </w:t>
      </w:r>
    </w:p>
    <w:p w14:paraId="14EC373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Ссылаясь на некомплектность станков в цехе Т-2 и недостачу инструмента, заводом выдвигается перед Объединением [предложение] о сокращении программы 1931 г. по танкам "БТ" вместо 25 машин по выпуску и 25 машин по первому испытанию к 1.I-32 г. только 6 машин по сдаче и 19 машин по первому испытанию, меняя этим Правительственное задание. По имеющимся материалам в ВМИ, предложение завода о сокращении текущей программы по "БТ" находит поддержку со стороны Управляющего Локомотивного Объединения тов. Курицына. </w:t>
      </w:r>
    </w:p>
    <w:p w14:paraId="450FAFA5"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Недостающие до комплекта по выполнению текущей программы 18 станков в танковом отделе Т-2 для производства машин "БТ", могут быть восполнены путем кооперирования обработки деталей с другими цехами завода. </w:t>
      </w:r>
    </w:p>
    <w:p w14:paraId="05D22549"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Танки типа Т-24. </w:t>
      </w:r>
    </w:p>
    <w:p w14:paraId="69ED1AEA"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Выпущенные заводом последние образцы танка Т-24 имеют уже меньше дефектов, чем первые образцы. Военно-Морская Инспекция считает необходимым продолжением опытных работ по среднему танку типа Т-24 на ХПЗ, с целью доработки его конструкции на основе полученного опыта по его изготовлению и </w:t>
      </w:r>
      <w:proofErr w:type="spellStart"/>
      <w:r w:rsidRPr="00441F34">
        <w:rPr>
          <w:rFonts w:ascii="Times New Roman" w:hAnsi="Times New Roman"/>
          <w:color w:val="0070C0"/>
          <w:sz w:val="16"/>
          <w:szCs w:val="16"/>
        </w:rPr>
        <w:t>эксплоатации</w:t>
      </w:r>
      <w:proofErr w:type="spellEnd"/>
      <w:r w:rsidRPr="00441F34">
        <w:rPr>
          <w:rFonts w:ascii="Times New Roman" w:hAnsi="Times New Roman"/>
          <w:color w:val="0070C0"/>
          <w:sz w:val="16"/>
          <w:szCs w:val="16"/>
        </w:rPr>
        <w:t xml:space="preserve">. </w:t>
      </w:r>
    </w:p>
    <w:p w14:paraId="482E6217"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Опытный цех гусеничных машин. </w:t>
      </w:r>
    </w:p>
    <w:p w14:paraId="3675F974"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Т.к. ХПЗ готовится к производству танков в крупно-серийных размерах и является единственной базой среднего танкостроения и производства мощных гусеничных тракторов, считаем необходимым создание опытного цеха гусеничных машин (танки, трактора), с необходимым конструкторским и минимально необходимым оборудованием и площадями. Такие опытные ячейки имеются уже на ХПЗ по выпуску 3-х опытных танков "БТ" и 3-х опытных тракторов "Коминтерн". </w:t>
      </w:r>
    </w:p>
    <w:p w14:paraId="66EF9C99"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Очередные вопросы танкостроения. </w:t>
      </w:r>
    </w:p>
    <w:p w14:paraId="11578209"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До настоящего времени остается неразрешенным вопрос какими заводами в 1932 г. будут поставляться моторы и броня для танкового производства ХПЗ. В виду острого недостатка у нас в авиационных моторах, на очередь дня стает вопрос о переходе средних танков и "БТ" с авиационного типа моторов на дизельный. </w:t>
      </w:r>
    </w:p>
    <w:p w14:paraId="65244EB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До настоящего времени не разрешен вопрос с созданием радиаторной мастерской для машин "БТ". Дирекция ХПЗ, которой поручено практически проработать этот вопрос, от постройки радиаторной мастерской, не требующей сложного и большого оборудования, упорно и необоснованно отказывается. Необходимо обязать директора завода немедленно приступить к проектированию этой мастерской, с расчетом пуска ее в эксплуатацию на позднее 1 мая 1932 г. </w:t>
      </w:r>
    </w:p>
    <w:p w14:paraId="3CEB915A"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Состояние </w:t>
      </w:r>
      <w:proofErr w:type="spellStart"/>
      <w:r w:rsidRPr="00441F34">
        <w:rPr>
          <w:rFonts w:ascii="Times New Roman" w:hAnsi="Times New Roman"/>
          <w:color w:val="0070C0"/>
          <w:sz w:val="16"/>
          <w:szCs w:val="16"/>
        </w:rPr>
        <w:t>мобплана</w:t>
      </w:r>
      <w:proofErr w:type="spellEnd"/>
      <w:r w:rsidRPr="00441F34">
        <w:rPr>
          <w:rFonts w:ascii="Times New Roman" w:hAnsi="Times New Roman"/>
          <w:color w:val="0070C0"/>
          <w:sz w:val="16"/>
          <w:szCs w:val="16"/>
        </w:rPr>
        <w:t>.</w:t>
      </w:r>
    </w:p>
    <w:p w14:paraId="3433F440"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Проработка </w:t>
      </w:r>
      <w:proofErr w:type="spellStart"/>
      <w:r w:rsidRPr="00441F34">
        <w:rPr>
          <w:rFonts w:ascii="Times New Roman" w:hAnsi="Times New Roman"/>
          <w:color w:val="0070C0"/>
          <w:sz w:val="16"/>
          <w:szCs w:val="16"/>
        </w:rPr>
        <w:t>мобплана</w:t>
      </w:r>
      <w:proofErr w:type="spellEnd"/>
      <w:r w:rsidRPr="00441F34">
        <w:rPr>
          <w:rFonts w:ascii="Times New Roman" w:hAnsi="Times New Roman"/>
          <w:color w:val="0070C0"/>
          <w:sz w:val="16"/>
          <w:szCs w:val="16"/>
        </w:rPr>
        <w:t xml:space="preserve"> на ХПЗ не обеспечена. </w:t>
      </w:r>
    </w:p>
    <w:p w14:paraId="482E0AD3"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Несмотря на наличие ряда </w:t>
      </w:r>
      <w:proofErr w:type="spellStart"/>
      <w:r w:rsidRPr="00441F34">
        <w:rPr>
          <w:rFonts w:ascii="Times New Roman" w:hAnsi="Times New Roman"/>
          <w:color w:val="0070C0"/>
          <w:sz w:val="16"/>
          <w:szCs w:val="16"/>
        </w:rPr>
        <w:t>мобзаданий</w:t>
      </w:r>
      <w:proofErr w:type="spellEnd"/>
      <w:r w:rsidRPr="00441F34">
        <w:rPr>
          <w:rFonts w:ascii="Times New Roman" w:hAnsi="Times New Roman"/>
          <w:color w:val="0070C0"/>
          <w:sz w:val="16"/>
          <w:szCs w:val="16"/>
        </w:rPr>
        <w:t xml:space="preserve"> по военной продукции как в прошлом, так и в настоящее время, заводоуправление не приступило к документальной обработке имеющих </w:t>
      </w:r>
      <w:proofErr w:type="spellStart"/>
      <w:r w:rsidRPr="00441F34">
        <w:rPr>
          <w:rFonts w:ascii="Times New Roman" w:hAnsi="Times New Roman"/>
          <w:color w:val="0070C0"/>
          <w:sz w:val="16"/>
          <w:szCs w:val="16"/>
        </w:rPr>
        <w:t>мобзаданий</w:t>
      </w:r>
      <w:proofErr w:type="spellEnd"/>
      <w:r w:rsidRPr="00441F34">
        <w:rPr>
          <w:rFonts w:ascii="Times New Roman" w:hAnsi="Times New Roman"/>
          <w:color w:val="0070C0"/>
          <w:sz w:val="16"/>
          <w:szCs w:val="16"/>
        </w:rPr>
        <w:t xml:space="preserve">. Завод считает выданное задание не полным и вместо деловой проработки занимается бесконечной бюрократической перепиской. </w:t>
      </w:r>
      <w:proofErr w:type="spellStart"/>
      <w:r w:rsidRPr="00441F34">
        <w:rPr>
          <w:rFonts w:ascii="Times New Roman" w:hAnsi="Times New Roman"/>
          <w:color w:val="0070C0"/>
          <w:sz w:val="16"/>
          <w:szCs w:val="16"/>
        </w:rPr>
        <w:t>Мобзадание</w:t>
      </w:r>
      <w:proofErr w:type="spellEnd"/>
      <w:r w:rsidRPr="00441F34">
        <w:rPr>
          <w:rFonts w:ascii="Times New Roman" w:hAnsi="Times New Roman"/>
          <w:color w:val="0070C0"/>
          <w:sz w:val="16"/>
          <w:szCs w:val="16"/>
        </w:rPr>
        <w:t xml:space="preserve"> по этому не доведено до цеха, не составляются расчеты потребного оборудования, снабжения и рабсилы, не разработана система кооперирования и план развертывания производства в военное время. На ХПЗ до последнего времени практическое руководство по спецпроизводству не было выделено, отсутствовал Зам. Директора завода по спецпроизводству. Во главе спецотдела завода находился Н-к т. </w:t>
      </w:r>
      <w:proofErr w:type="spellStart"/>
      <w:r w:rsidRPr="00441F34">
        <w:rPr>
          <w:rFonts w:ascii="Times New Roman" w:hAnsi="Times New Roman"/>
          <w:color w:val="0070C0"/>
          <w:sz w:val="16"/>
          <w:szCs w:val="16"/>
        </w:rPr>
        <w:t>Федосиенко</w:t>
      </w:r>
      <w:proofErr w:type="spellEnd"/>
      <w:r w:rsidRPr="00441F34">
        <w:rPr>
          <w:rFonts w:ascii="Times New Roman" w:hAnsi="Times New Roman"/>
          <w:color w:val="0070C0"/>
          <w:sz w:val="16"/>
          <w:szCs w:val="16"/>
        </w:rPr>
        <w:t xml:space="preserve">, канд. ВКП(б), техник, без военного образования и опыта, и неавторитетный человек. </w:t>
      </w:r>
    </w:p>
    <w:p w14:paraId="296216BF"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Нами выдвинут вопрос о немедленном выделении специального Зам. Директора по спецпроизводству и качественного укрепления спецотдела завода. </w:t>
      </w:r>
    </w:p>
    <w:p w14:paraId="330F6BEA"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 стороны </w:t>
      </w:r>
      <w:proofErr w:type="spellStart"/>
      <w:r w:rsidRPr="00441F34">
        <w:rPr>
          <w:rFonts w:ascii="Times New Roman" w:hAnsi="Times New Roman"/>
          <w:color w:val="0070C0"/>
          <w:sz w:val="16"/>
          <w:szCs w:val="16"/>
        </w:rPr>
        <w:t>спецсектора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Локомотивобъединения</w:t>
      </w:r>
      <w:proofErr w:type="spellEnd"/>
      <w:r w:rsidRPr="00441F34">
        <w:rPr>
          <w:rFonts w:ascii="Times New Roman" w:hAnsi="Times New Roman"/>
          <w:color w:val="0070C0"/>
          <w:sz w:val="16"/>
          <w:szCs w:val="16"/>
        </w:rPr>
        <w:t xml:space="preserve"> отмечаются отдельные факты нечеткого руководства </w:t>
      </w:r>
      <w:proofErr w:type="spellStart"/>
      <w:r w:rsidRPr="00441F34">
        <w:rPr>
          <w:rFonts w:ascii="Times New Roman" w:hAnsi="Times New Roman"/>
          <w:color w:val="0070C0"/>
          <w:sz w:val="16"/>
          <w:szCs w:val="16"/>
        </w:rPr>
        <w:t>мобработой</w:t>
      </w:r>
      <w:proofErr w:type="spellEnd"/>
      <w:r w:rsidRPr="00441F34">
        <w:rPr>
          <w:rFonts w:ascii="Times New Roman" w:hAnsi="Times New Roman"/>
          <w:color w:val="0070C0"/>
          <w:sz w:val="16"/>
          <w:szCs w:val="16"/>
        </w:rPr>
        <w:t xml:space="preserve">. Между спецотделом завода и </w:t>
      </w:r>
      <w:proofErr w:type="spellStart"/>
      <w:r w:rsidRPr="00441F34">
        <w:rPr>
          <w:rFonts w:ascii="Times New Roman" w:hAnsi="Times New Roman"/>
          <w:color w:val="0070C0"/>
          <w:sz w:val="16"/>
          <w:szCs w:val="16"/>
        </w:rPr>
        <w:t>спецсектором</w:t>
      </w:r>
      <w:proofErr w:type="spellEnd"/>
      <w:r w:rsidRPr="00441F34">
        <w:rPr>
          <w:rFonts w:ascii="Times New Roman" w:hAnsi="Times New Roman"/>
          <w:color w:val="0070C0"/>
          <w:sz w:val="16"/>
          <w:szCs w:val="16"/>
        </w:rPr>
        <w:t xml:space="preserve"> Объединения в настоящее время имеются нездоровые отношения, сводящиеся к прямым невыполнениям заводом распоряжений Объединения. </w:t>
      </w:r>
    </w:p>
    <w:p w14:paraId="71ABB145"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Сообщая Вам факты, полученные при обследовании и наши предложения, прошу о принятых Вами мерах по устранению отмеченных выше недостатков сообщить в ВМИ.</w:t>
      </w:r>
    </w:p>
    <w:p w14:paraId="62BC85E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п/п ЧЛЕН КОЛЛЕГИИ НК РКИ СССР и НАЧАЛЬНИК ВМИ (КУЙБЫШЕВ) </w:t>
      </w:r>
    </w:p>
    <w:p w14:paraId="756A9143"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Ст. Инспектор – ЧЕНЦОВ </w:t>
      </w:r>
    </w:p>
    <w:p w14:paraId="1453B213"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верно: подпись</w:t>
      </w:r>
    </w:p>
    <w:p w14:paraId="69E34AC2"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ЕК. 1 – экз. </w:t>
      </w:r>
    </w:p>
    <w:p w14:paraId="4FB7D5BC"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т. Тухачевского. </w:t>
      </w:r>
    </w:p>
    <w:p w14:paraId="5A8F5E4B"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Допечатано на машинке:</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«Резолюция т. Тухачевского в контр. листе 8.XII.31 г. "Доложить результаты совещания у т. </w:t>
      </w:r>
      <w:proofErr w:type="spellStart"/>
      <w:r w:rsidRPr="00441F34">
        <w:rPr>
          <w:rFonts w:ascii="Times New Roman" w:hAnsi="Times New Roman"/>
          <w:color w:val="0070C0"/>
          <w:sz w:val="16"/>
          <w:szCs w:val="16"/>
        </w:rPr>
        <w:t>Павлуновского</w:t>
      </w:r>
      <w:proofErr w:type="spellEnd"/>
      <w:r w:rsidRPr="00441F34">
        <w:rPr>
          <w:rFonts w:ascii="Times New Roman" w:hAnsi="Times New Roman"/>
          <w:color w:val="0070C0"/>
          <w:sz w:val="16"/>
          <w:szCs w:val="16"/>
        </w:rPr>
        <w:t xml:space="preserve">"». </w:t>
      </w:r>
    </w:p>
    <w:p w14:paraId="49214AA6" w14:textId="77777777" w:rsidR="002739C9" w:rsidRPr="00441F34" w:rsidRDefault="002739C9" w:rsidP="002739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Дописано от руки:</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«тов. </w:t>
      </w:r>
      <w:proofErr w:type="spellStart"/>
      <w:r w:rsidRPr="00441F34">
        <w:rPr>
          <w:rFonts w:ascii="Times New Roman" w:hAnsi="Times New Roman"/>
          <w:color w:val="0070C0"/>
          <w:sz w:val="16"/>
          <w:szCs w:val="16"/>
        </w:rPr>
        <w:t>Бокису</w:t>
      </w:r>
      <w:proofErr w:type="spellEnd"/>
      <w:r w:rsidRPr="00441F34">
        <w:rPr>
          <w:rFonts w:ascii="Times New Roman" w:hAnsi="Times New Roman"/>
          <w:color w:val="0070C0"/>
          <w:sz w:val="16"/>
          <w:szCs w:val="16"/>
        </w:rPr>
        <w:t xml:space="preserve">. Нужно дать еще наше заключение с конкретными предложениями. 30/XI подпись И.А. </w:t>
      </w:r>
      <w:proofErr w:type="spellStart"/>
      <w:r w:rsidRPr="00441F34">
        <w:rPr>
          <w:rFonts w:ascii="Times New Roman" w:hAnsi="Times New Roman"/>
          <w:color w:val="0070C0"/>
          <w:sz w:val="16"/>
          <w:szCs w:val="16"/>
        </w:rPr>
        <w:t>Халепского</w:t>
      </w:r>
      <w:proofErr w:type="spellEnd"/>
      <w:r w:rsidRPr="00441F34">
        <w:rPr>
          <w:rFonts w:ascii="Times New Roman" w:hAnsi="Times New Roman"/>
          <w:color w:val="0070C0"/>
          <w:sz w:val="16"/>
          <w:szCs w:val="16"/>
        </w:rPr>
        <w:t>» (24867).</w:t>
      </w:r>
    </w:p>
    <w:p w14:paraId="1D398F42" w14:textId="77777777" w:rsidR="002739C9" w:rsidRPr="00441F34" w:rsidRDefault="002739C9" w:rsidP="002739C9">
      <w:pPr>
        <w:spacing w:after="0" w:line="240" w:lineRule="auto"/>
        <w:jc w:val="both"/>
        <w:rPr>
          <w:rFonts w:ascii="Times New Roman" w:hAnsi="Times New Roman"/>
          <w:color w:val="0070C0"/>
          <w:sz w:val="16"/>
          <w:szCs w:val="16"/>
        </w:rPr>
      </w:pPr>
    </w:p>
    <w:p w14:paraId="38971E3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22 ноября </w:t>
      </w:r>
      <w:r w:rsidRPr="007122AB">
        <w:rPr>
          <w:rFonts w:ascii="Times New Roman" w:hAnsi="Times New Roman"/>
          <w:color w:val="000000" w:themeColor="text1"/>
          <w:sz w:val="16"/>
          <w:szCs w:val="16"/>
        </w:rPr>
        <w:t>в 1931 году образовано ФГУП "Государственный научный центр "Научно-исследовательский институт органических полупродуктов и красителей", Москва - одно из старейших научных учреждений России. Предшественниками института были: «Акционерное общество химической промышленности 1914 года» – «</w:t>
      </w:r>
      <w:proofErr w:type="spellStart"/>
      <w:r w:rsidRPr="007122AB">
        <w:rPr>
          <w:rFonts w:ascii="Times New Roman" w:hAnsi="Times New Roman"/>
          <w:color w:val="000000" w:themeColor="text1"/>
          <w:sz w:val="16"/>
          <w:szCs w:val="16"/>
        </w:rPr>
        <w:t>Русско</w:t>
      </w:r>
      <w:proofErr w:type="spellEnd"/>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lastRenderedPageBreak/>
        <w:t xml:space="preserve">Краска» (1915-1918), Центральная лаборатория </w:t>
      </w:r>
      <w:proofErr w:type="spellStart"/>
      <w:r w:rsidRPr="007122AB">
        <w:rPr>
          <w:rFonts w:ascii="Times New Roman" w:hAnsi="Times New Roman"/>
          <w:color w:val="000000" w:themeColor="text1"/>
          <w:sz w:val="16"/>
          <w:szCs w:val="16"/>
        </w:rPr>
        <w:t>Анилтреста</w:t>
      </w:r>
      <w:proofErr w:type="spellEnd"/>
      <w:r w:rsidRPr="007122AB">
        <w:rPr>
          <w:rFonts w:ascii="Times New Roman" w:hAnsi="Times New Roman"/>
          <w:color w:val="000000" w:themeColor="text1"/>
          <w:sz w:val="16"/>
          <w:szCs w:val="16"/>
        </w:rPr>
        <w:t xml:space="preserve"> (ЦЛАТ) (1918-1928), Экспериментальный завод </w:t>
      </w:r>
      <w:proofErr w:type="spellStart"/>
      <w:r w:rsidRPr="007122AB">
        <w:rPr>
          <w:rFonts w:ascii="Times New Roman" w:hAnsi="Times New Roman"/>
          <w:color w:val="000000" w:themeColor="text1"/>
          <w:sz w:val="16"/>
          <w:szCs w:val="16"/>
        </w:rPr>
        <w:t>Анилтреста</w:t>
      </w:r>
      <w:proofErr w:type="spellEnd"/>
      <w:r w:rsidRPr="007122AB">
        <w:rPr>
          <w:rFonts w:ascii="Times New Roman" w:hAnsi="Times New Roman"/>
          <w:color w:val="000000" w:themeColor="text1"/>
          <w:sz w:val="16"/>
          <w:szCs w:val="16"/>
        </w:rPr>
        <w:t xml:space="preserve"> (1921-1928), Центральная научно-опытная лаборатория (ЦНОЛ, 1928-1931) - после объединения Центральной лаборатории и Экспериментального завода </w:t>
      </w:r>
      <w:proofErr w:type="spellStart"/>
      <w:r w:rsidRPr="007122AB">
        <w:rPr>
          <w:rFonts w:ascii="Times New Roman" w:hAnsi="Times New Roman"/>
          <w:color w:val="000000" w:themeColor="text1"/>
          <w:sz w:val="16"/>
          <w:szCs w:val="16"/>
        </w:rPr>
        <w:t>Анилтреста</w:t>
      </w:r>
      <w:proofErr w:type="spellEnd"/>
      <w:r w:rsidRPr="007122AB">
        <w:rPr>
          <w:rFonts w:ascii="Times New Roman" w:hAnsi="Times New Roman"/>
          <w:color w:val="000000" w:themeColor="text1"/>
          <w:sz w:val="16"/>
          <w:szCs w:val="16"/>
        </w:rPr>
        <w:t xml:space="preserve">. Известные ученые: профессор </w:t>
      </w:r>
      <w:proofErr w:type="spellStart"/>
      <w:r w:rsidRPr="007122AB">
        <w:rPr>
          <w:rFonts w:ascii="Times New Roman" w:hAnsi="Times New Roman"/>
          <w:color w:val="000000" w:themeColor="text1"/>
          <w:sz w:val="16"/>
          <w:szCs w:val="16"/>
        </w:rPr>
        <w:t>Н.Н.Ворожцов</w:t>
      </w:r>
      <w:proofErr w:type="spellEnd"/>
      <w:r w:rsidRPr="007122AB">
        <w:rPr>
          <w:rFonts w:ascii="Times New Roman" w:hAnsi="Times New Roman"/>
          <w:color w:val="000000" w:themeColor="text1"/>
          <w:sz w:val="16"/>
          <w:szCs w:val="16"/>
        </w:rPr>
        <w:t xml:space="preserve"> (старший), профессор </w:t>
      </w:r>
      <w:proofErr w:type="spellStart"/>
      <w:r w:rsidRPr="007122AB">
        <w:rPr>
          <w:rFonts w:ascii="Times New Roman" w:hAnsi="Times New Roman"/>
          <w:color w:val="000000" w:themeColor="text1"/>
          <w:sz w:val="16"/>
          <w:szCs w:val="16"/>
        </w:rPr>
        <w:t>В.А.Измаильский</w:t>
      </w:r>
      <w:proofErr w:type="spellEnd"/>
      <w:r w:rsidRPr="007122AB">
        <w:rPr>
          <w:rFonts w:ascii="Times New Roman" w:hAnsi="Times New Roman"/>
          <w:color w:val="000000" w:themeColor="text1"/>
          <w:sz w:val="16"/>
          <w:szCs w:val="16"/>
        </w:rPr>
        <w:t xml:space="preserve">, почетный академик </w:t>
      </w:r>
      <w:proofErr w:type="spellStart"/>
      <w:r w:rsidRPr="007122AB">
        <w:rPr>
          <w:rFonts w:ascii="Times New Roman" w:hAnsi="Times New Roman"/>
          <w:color w:val="000000" w:themeColor="text1"/>
          <w:sz w:val="16"/>
          <w:szCs w:val="16"/>
        </w:rPr>
        <w:t>М.А.Ильинский</w:t>
      </w:r>
      <w:proofErr w:type="spellEnd"/>
      <w:r w:rsidRPr="007122AB">
        <w:rPr>
          <w:rFonts w:ascii="Times New Roman" w:hAnsi="Times New Roman"/>
          <w:color w:val="000000" w:themeColor="text1"/>
          <w:sz w:val="16"/>
          <w:szCs w:val="16"/>
        </w:rPr>
        <w:t xml:space="preserve">, академик </w:t>
      </w:r>
      <w:proofErr w:type="spellStart"/>
      <w:r w:rsidRPr="007122AB">
        <w:rPr>
          <w:rFonts w:ascii="Times New Roman" w:hAnsi="Times New Roman"/>
          <w:color w:val="000000" w:themeColor="text1"/>
          <w:sz w:val="16"/>
          <w:szCs w:val="16"/>
        </w:rPr>
        <w:t>А.Е.Порай</w:t>
      </w:r>
      <w:proofErr w:type="spellEnd"/>
      <w:r w:rsidRPr="007122AB">
        <w:rPr>
          <w:rFonts w:ascii="Times New Roman" w:hAnsi="Times New Roman"/>
          <w:color w:val="000000" w:themeColor="text1"/>
          <w:sz w:val="16"/>
          <w:szCs w:val="16"/>
        </w:rPr>
        <w:t xml:space="preserve">-Кошиц, академик </w:t>
      </w:r>
      <w:proofErr w:type="spellStart"/>
      <w:r w:rsidRPr="007122AB">
        <w:rPr>
          <w:rFonts w:ascii="Times New Roman" w:hAnsi="Times New Roman"/>
          <w:color w:val="000000" w:themeColor="text1"/>
          <w:sz w:val="16"/>
          <w:szCs w:val="16"/>
        </w:rPr>
        <w:t>Н.М.Кижнер</w:t>
      </w:r>
      <w:proofErr w:type="spellEnd"/>
      <w:r w:rsidRPr="007122AB">
        <w:rPr>
          <w:rFonts w:ascii="Times New Roman" w:hAnsi="Times New Roman"/>
          <w:color w:val="000000" w:themeColor="text1"/>
          <w:sz w:val="16"/>
          <w:szCs w:val="16"/>
        </w:rPr>
        <w:t xml:space="preserve">, академик </w:t>
      </w:r>
      <w:proofErr w:type="spellStart"/>
      <w:r w:rsidRPr="007122AB">
        <w:rPr>
          <w:rFonts w:ascii="Times New Roman" w:hAnsi="Times New Roman"/>
          <w:color w:val="000000" w:themeColor="text1"/>
          <w:sz w:val="16"/>
          <w:szCs w:val="16"/>
        </w:rPr>
        <w:t>В.М.Родионов</w:t>
      </w:r>
      <w:proofErr w:type="spellEnd"/>
      <w:r w:rsidRPr="007122AB">
        <w:rPr>
          <w:rFonts w:ascii="Times New Roman" w:hAnsi="Times New Roman"/>
          <w:color w:val="000000" w:themeColor="text1"/>
          <w:sz w:val="16"/>
          <w:szCs w:val="16"/>
        </w:rPr>
        <w:t xml:space="preserve">, профессор </w:t>
      </w:r>
      <w:proofErr w:type="spellStart"/>
      <w:r w:rsidRPr="007122AB">
        <w:rPr>
          <w:rFonts w:ascii="Times New Roman" w:hAnsi="Times New Roman"/>
          <w:color w:val="000000" w:themeColor="text1"/>
          <w:sz w:val="16"/>
          <w:szCs w:val="16"/>
        </w:rPr>
        <w:t>В.В.Шарвин</w:t>
      </w:r>
      <w:proofErr w:type="spellEnd"/>
      <w:r w:rsidRPr="007122AB">
        <w:rPr>
          <w:rFonts w:ascii="Times New Roman" w:hAnsi="Times New Roman"/>
          <w:color w:val="000000" w:themeColor="text1"/>
          <w:sz w:val="16"/>
          <w:szCs w:val="16"/>
        </w:rPr>
        <w:t xml:space="preserve"> и другие - были первыми основоположниками НИОПИК и научной школы по химии ароматических и гетероциклических соединений – фундамента отечественной анилинокрасочной промышленности. 1931 год. Образование «Научно-</w:t>
      </w:r>
      <w:proofErr w:type="spellStart"/>
      <w:r w:rsidRPr="007122AB">
        <w:rPr>
          <w:rFonts w:ascii="Times New Roman" w:hAnsi="Times New Roman"/>
          <w:color w:val="000000" w:themeColor="text1"/>
          <w:sz w:val="16"/>
          <w:szCs w:val="16"/>
        </w:rPr>
        <w:t>исследовательскго</w:t>
      </w:r>
      <w:proofErr w:type="spellEnd"/>
      <w:r w:rsidRPr="007122AB">
        <w:rPr>
          <w:rFonts w:ascii="Times New Roman" w:hAnsi="Times New Roman"/>
          <w:color w:val="000000" w:themeColor="text1"/>
          <w:sz w:val="16"/>
          <w:szCs w:val="16"/>
        </w:rPr>
        <w:t xml:space="preserve"> института полупродуктов и красителей» имени </w:t>
      </w:r>
      <w:proofErr w:type="spellStart"/>
      <w:r w:rsidRPr="007122AB">
        <w:rPr>
          <w:rFonts w:ascii="Times New Roman" w:hAnsi="Times New Roman"/>
          <w:color w:val="000000" w:themeColor="text1"/>
          <w:sz w:val="16"/>
          <w:szCs w:val="16"/>
        </w:rPr>
        <w:t>К.Е.Ворошилова</w:t>
      </w:r>
      <w:proofErr w:type="spellEnd"/>
      <w:r w:rsidRPr="007122AB">
        <w:rPr>
          <w:rFonts w:ascii="Times New Roman" w:hAnsi="Times New Roman"/>
          <w:color w:val="000000" w:themeColor="text1"/>
          <w:sz w:val="16"/>
          <w:szCs w:val="16"/>
        </w:rPr>
        <w:t xml:space="preserve"> и его филиала в Ленинграде. 1931-1940 годы. Создание основной сырьевой базы (</w:t>
      </w:r>
      <w:proofErr w:type="spellStart"/>
      <w:r w:rsidRPr="007122AB">
        <w:rPr>
          <w:rFonts w:ascii="Times New Roman" w:hAnsi="Times New Roman"/>
          <w:color w:val="000000" w:themeColor="text1"/>
          <w:sz w:val="16"/>
          <w:szCs w:val="16"/>
        </w:rPr>
        <w:t>коксохимиической</w:t>
      </w:r>
      <w:proofErr w:type="spellEnd"/>
      <w:r w:rsidRPr="007122AB">
        <w:rPr>
          <w:rFonts w:ascii="Times New Roman" w:hAnsi="Times New Roman"/>
          <w:color w:val="000000" w:themeColor="text1"/>
          <w:sz w:val="16"/>
          <w:szCs w:val="16"/>
        </w:rPr>
        <w:t xml:space="preserve"> промышленности) и мощностей важнейших, в том числе многотоннажных, промежуточных продуктов для производства красителей. Увеличение масштаба выработки отечественных полупродуктов до 102 наименований (48000т. в год), что целиком обеспечивает ассортимент красителей (148 марок, 25200т. в 1935 г. и 186 марок 33936 т. в 1940 году). Впервые в стране организовано производство прочных кубовых, кислотных и хромовых красителей, </w:t>
      </w:r>
      <w:proofErr w:type="spellStart"/>
      <w:r w:rsidRPr="007122AB">
        <w:rPr>
          <w:rFonts w:ascii="Times New Roman" w:hAnsi="Times New Roman"/>
          <w:color w:val="000000" w:themeColor="text1"/>
          <w:sz w:val="16"/>
          <w:szCs w:val="16"/>
        </w:rPr>
        <w:t>азотолов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азоаминов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диазолей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трифенилметанов</w:t>
      </w:r>
      <w:proofErr w:type="spellEnd"/>
      <w:r w:rsidRPr="007122AB">
        <w:rPr>
          <w:rFonts w:ascii="Times New Roman" w:hAnsi="Times New Roman"/>
          <w:color w:val="000000" w:themeColor="text1"/>
          <w:sz w:val="16"/>
          <w:szCs w:val="16"/>
        </w:rPr>
        <w:t xml:space="preserve"> и других видов красящих веществ, а также ускорителей вулканизации каучука и антиоксидантов на Дорогомиловском (14837).</w:t>
      </w:r>
    </w:p>
    <w:p w14:paraId="186FA224" w14:textId="77777777" w:rsidR="00C54992" w:rsidRPr="007122AB" w:rsidRDefault="00C54992" w:rsidP="007122AB">
      <w:pPr>
        <w:spacing w:after="0" w:line="240" w:lineRule="auto"/>
        <w:jc w:val="both"/>
        <w:rPr>
          <w:rFonts w:ascii="Times New Roman" w:hAnsi="Times New Roman"/>
          <w:color w:val="000000" w:themeColor="text1"/>
          <w:sz w:val="16"/>
          <w:szCs w:val="16"/>
        </w:rPr>
      </w:pPr>
    </w:p>
    <w:p w14:paraId="0DABF75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93CFAF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3754D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ноября 1931 г. Алкснис утвердил план на 1932, которым предусматривалось формирование шести эскадрилий многоместных истребителей (позднее переименованных в крейсерские): трех - 96-й,98-й и 100-й в Московском военном округе (Монино, Воронеж и Иваново-Вознесенск), одной в Белорусском (102-я во Ржеве), одной на Украине (104-й в Запорожье) и одной в Ленинградском округе (92-й в Кречевицах). Все они должны были войти в состав тяжелобомбардировочных бригад - по одной на бригаду. Приоритет отдавался 92-й, 96-й и 98-й эскадрильям. Первые самолеты поступали гуда по плану уже в январе 1932 г. К концу декабря от них требовалось дойти до штатного состава - 12 машин в эскадрилье. Три другие эскадрильи к этому сроку предполагалось обеспечить техникой наполовину (12036).</w:t>
      </w:r>
    </w:p>
    <w:p w14:paraId="5625F5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424E3F" w14:textId="77777777" w:rsidR="00CB6D9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FC0847A" w14:textId="77777777" w:rsidR="00CB6D91" w:rsidRPr="007122AB" w:rsidRDefault="00CB6D9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A83F51" w14:textId="77777777" w:rsidR="00480CB7" w:rsidRPr="007122AB" w:rsidRDefault="00480C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ноября 1931 г. успешно завершены войсковые испытания катеров волнового управления системы ЦЛПС образца 1930 – 1931 гг. (22288).</w:t>
      </w:r>
    </w:p>
    <w:p w14:paraId="1E91E716" w14:textId="77777777" w:rsidR="00480CB7" w:rsidRPr="007122AB" w:rsidRDefault="00480CB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w:t>
      </w:r>
      <w:proofErr w:type="spellStart"/>
      <w:r w:rsidRPr="007122AB">
        <w:rPr>
          <w:rFonts w:ascii="Times New Roman" w:hAnsi="Times New Roman"/>
          <w:color w:val="000000" w:themeColor="text1"/>
          <w:sz w:val="16"/>
          <w:szCs w:val="16"/>
          <w:shd w:val="clear" w:color="auto" w:fill="FFFFFF"/>
        </w:rPr>
        <w:t>Бекаури</w:t>
      </w:r>
      <w:proofErr w:type="spellEnd"/>
      <w:r w:rsidRPr="007122AB">
        <w:rPr>
          <w:rFonts w:ascii="Times New Roman" w:hAnsi="Times New Roman"/>
          <w:color w:val="000000" w:themeColor="text1"/>
          <w:sz w:val="16"/>
          <w:szCs w:val="16"/>
          <w:shd w:val="clear" w:color="auto" w:fill="FFFFFF"/>
        </w:rPr>
        <w:t xml:space="preserve">), по </w:t>
      </w:r>
      <w:proofErr w:type="spellStart"/>
      <w:r w:rsidRPr="007122AB">
        <w:rPr>
          <w:rFonts w:ascii="Times New Roman" w:hAnsi="Times New Roman"/>
          <w:color w:val="000000" w:themeColor="text1"/>
          <w:sz w:val="16"/>
          <w:szCs w:val="16"/>
          <w:shd w:val="clear" w:color="auto" w:fill="FFFFFF"/>
        </w:rPr>
        <w:t>радиокомандамотходили</w:t>
      </w:r>
      <w:proofErr w:type="spellEnd"/>
      <w:r w:rsidRPr="007122AB">
        <w:rPr>
          <w:rFonts w:ascii="Times New Roman" w:hAnsi="Times New Roman"/>
          <w:color w:val="000000" w:themeColor="text1"/>
          <w:sz w:val="16"/>
          <w:szCs w:val="16"/>
          <w:shd w:val="clear" w:color="auto" w:fill="FFFFFF"/>
        </w:rPr>
        <w:t xml:space="preserve">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w:t>
      </w:r>
      <w:proofErr w:type="spellStart"/>
      <w:r w:rsidRPr="007122AB">
        <w:rPr>
          <w:rFonts w:ascii="Times New Roman" w:hAnsi="Times New Roman"/>
          <w:color w:val="000000" w:themeColor="text1"/>
          <w:sz w:val="16"/>
          <w:szCs w:val="16"/>
          <w:shd w:val="clear" w:color="auto" w:fill="FFFFFF"/>
        </w:rPr>
        <w:t>Остехбюро</w:t>
      </w:r>
      <w:proofErr w:type="spellEnd"/>
      <w:r w:rsidRPr="007122AB">
        <w:rPr>
          <w:rFonts w:ascii="Times New Roman" w:hAnsi="Times New Roman"/>
          <w:color w:val="000000" w:themeColor="text1"/>
          <w:sz w:val="16"/>
          <w:szCs w:val="16"/>
          <w:shd w:val="clear" w:color="auto" w:fill="FFFFFF"/>
        </w:rPr>
        <w:t xml:space="preserve"> предложили доработать свою аппаратуру» (22290).</w:t>
      </w:r>
    </w:p>
    <w:p w14:paraId="5E5B04FE" w14:textId="77777777" w:rsidR="00480CB7" w:rsidRPr="007122AB" w:rsidRDefault="00480CB7" w:rsidP="007122AB">
      <w:pPr>
        <w:spacing w:after="0" w:line="240" w:lineRule="auto"/>
        <w:jc w:val="both"/>
        <w:rPr>
          <w:rFonts w:ascii="Times New Roman" w:hAnsi="Times New Roman"/>
          <w:color w:val="000000" w:themeColor="text1"/>
          <w:sz w:val="16"/>
          <w:szCs w:val="16"/>
        </w:rPr>
      </w:pPr>
    </w:p>
    <w:p w14:paraId="27A72200"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23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СТО СССР № 245с о составе финансово-технической арбитражной комиссии НК РКИ СССР по заказам НКВМ (ГА РФ. Ф. Р?8418. Оп. 28. Д. 1а. Л. 88) (12415).</w:t>
      </w:r>
    </w:p>
    <w:p w14:paraId="51D02022"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p>
    <w:p w14:paraId="386D92C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EA5327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8CD17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25 ноября по 23 декабря 1931 в НИИ ВВС проходили контрольные испытания опытного самолета И-5 № 4372 постройки завода № 1 с мотором М-15 № 24104</w:t>
      </w:r>
    </w:p>
    <w:p w14:paraId="6F4CE02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контрольных испытаний опытного самолета И-5 № 4372 постройки завода № 1 с мотором М-15 № 24104</w:t>
      </w:r>
    </w:p>
    <w:p w14:paraId="73411AA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самолет прибыл 25 ноября 1931 года.</w:t>
      </w:r>
    </w:p>
    <w:p w14:paraId="23A876A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контрольный полет был произведен 19 декабря 1931 года, второй – 23 декабря 1931 года. После второго полета самолет передан на Экспедицию для окончательной отделки (6964, 26-29).</w:t>
      </w:r>
    </w:p>
    <w:p w14:paraId="10DB98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B8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но</w:t>
      </w:r>
      <w:r w:rsidRPr="007122AB">
        <w:rPr>
          <w:rFonts w:ascii="Times New Roman" w:hAnsi="Times New Roman"/>
          <w:color w:val="000000" w:themeColor="text1"/>
          <w:sz w:val="16"/>
          <w:szCs w:val="16"/>
        </w:rPr>
        <w:softHyphen/>
        <w:t>ября 1931 г. на аэродром прибыл еще один И-5 с двигателем М-15. Было ре</w:t>
      </w:r>
      <w:r w:rsidRPr="007122AB">
        <w:rPr>
          <w:rFonts w:ascii="Times New Roman" w:hAnsi="Times New Roman"/>
          <w:color w:val="000000" w:themeColor="text1"/>
          <w:sz w:val="16"/>
          <w:szCs w:val="16"/>
        </w:rPr>
        <w:softHyphen/>
        <w:t xml:space="preserve">шено, что в числе первой сотни серийных истребителей должны быть 10 машин с М-15, поэтому еще один самолет оснастили таким двигателем. Далее доводился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готовили чертежи для серийного производства. Впрочем, уже в конце 1931 г. от использования М-15 отказа</w:t>
      </w:r>
      <w:r w:rsidRPr="007122AB">
        <w:rPr>
          <w:rFonts w:ascii="Times New Roman" w:hAnsi="Times New Roman"/>
          <w:color w:val="000000" w:themeColor="text1"/>
          <w:sz w:val="16"/>
          <w:szCs w:val="16"/>
        </w:rPr>
        <w:softHyphen/>
        <w:t>лись и более И-5 с этими двигателями не строились (11974).</w:t>
      </w:r>
    </w:p>
    <w:p w14:paraId="4607D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53C8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ноября 1931 г. в НИИ ВВС прибыл истребитель И-5 М-15 № 4372 постройки завода № 1.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Первый выполнил лётчик </w:t>
      </w:r>
      <w:proofErr w:type="spellStart"/>
      <w:r w:rsidRPr="007122AB">
        <w:rPr>
          <w:rFonts w:ascii="Times New Roman" w:hAnsi="Times New Roman"/>
          <w:color w:val="000000" w:themeColor="text1"/>
          <w:sz w:val="16"/>
          <w:szCs w:val="16"/>
        </w:rPr>
        <w:t>Калиншин</w:t>
      </w:r>
      <w:proofErr w:type="spellEnd"/>
      <w:r w:rsidRPr="007122AB">
        <w:rPr>
          <w:rFonts w:ascii="Times New Roman" w:hAnsi="Times New Roman"/>
          <w:color w:val="000000" w:themeColor="text1"/>
          <w:sz w:val="16"/>
          <w:szCs w:val="16"/>
        </w:rPr>
        <w:t xml:space="preserve"> 19 декабря. Длился он всего 18 минут. При наборе высоты началась сильная тряска, вдобавок пилот обнаружил, что альтиметр не работает. На посадке он с трудом справился с тягой машины влево. Поскольку на аэродроме лежал снег, то полёт проходил на лыжном шасси. После посадки обнаружили, что неудачно ориентированные патрубки привели к тому, что горячая струя выхлопа била прямо на тросы-оттяжки лыж.</w:t>
      </w:r>
    </w:p>
    <w:p w14:paraId="6A4E9F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устранения ряда выявленных дефектов 23 декабря </w:t>
      </w:r>
      <w:proofErr w:type="spellStart"/>
      <w:r w:rsidRPr="007122AB">
        <w:rPr>
          <w:rFonts w:ascii="Times New Roman" w:hAnsi="Times New Roman"/>
          <w:color w:val="000000" w:themeColor="text1"/>
          <w:sz w:val="16"/>
          <w:szCs w:val="16"/>
        </w:rPr>
        <w:t>Калиншин</w:t>
      </w:r>
      <w:proofErr w:type="spellEnd"/>
      <w:r w:rsidRPr="007122AB">
        <w:rPr>
          <w:rFonts w:ascii="Times New Roman" w:hAnsi="Times New Roman"/>
          <w:color w:val="000000" w:themeColor="text1"/>
          <w:sz w:val="16"/>
          <w:szCs w:val="16"/>
        </w:rPr>
        <w:t xml:space="preserve"> совершил второй полёт. Видимо, он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654EC4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19CD6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AEAFA8"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ноября 1931 года на аэродром прибыл один самолет И-5, который осна</w:t>
      </w:r>
      <w:r w:rsidRPr="007122AB">
        <w:rPr>
          <w:rFonts w:ascii="Times New Roman" w:hAnsi="Times New Roman"/>
          <w:color w:val="000000" w:themeColor="text1"/>
          <w:sz w:val="16"/>
          <w:szCs w:val="16"/>
        </w:rPr>
        <w:softHyphen/>
        <w:t>стили двигателем М-15, далее доводил</w:t>
      </w:r>
      <w:r w:rsidRPr="007122AB">
        <w:rPr>
          <w:rFonts w:ascii="Times New Roman" w:hAnsi="Times New Roman"/>
          <w:color w:val="000000" w:themeColor="text1"/>
          <w:sz w:val="16"/>
          <w:szCs w:val="16"/>
        </w:rPr>
        <w:softHyphen/>
        <w:t xml:space="preserve">ся в бригаде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в которой го</w:t>
      </w:r>
      <w:r w:rsidRPr="007122AB">
        <w:rPr>
          <w:rFonts w:ascii="Times New Roman" w:hAnsi="Times New Roman"/>
          <w:color w:val="000000" w:themeColor="text1"/>
          <w:sz w:val="16"/>
          <w:szCs w:val="16"/>
        </w:rPr>
        <w:softHyphen/>
        <w:t>товили чертежи для серийного производства. Впрочем, уже в конце 1931 года от использо</w:t>
      </w:r>
      <w:r w:rsidRPr="007122AB">
        <w:rPr>
          <w:rFonts w:ascii="Times New Roman" w:hAnsi="Times New Roman"/>
          <w:color w:val="000000" w:themeColor="text1"/>
          <w:sz w:val="16"/>
          <w:szCs w:val="16"/>
        </w:rPr>
        <w:softHyphen/>
        <w:t>вания М-15 на истребителях отказались и бо</w:t>
      </w:r>
      <w:r w:rsidRPr="007122AB">
        <w:rPr>
          <w:rFonts w:ascii="Times New Roman" w:hAnsi="Times New Roman"/>
          <w:color w:val="000000" w:themeColor="text1"/>
          <w:sz w:val="16"/>
          <w:szCs w:val="16"/>
        </w:rPr>
        <w:softHyphen/>
        <w:t>лее И-5 с этими двигателями не строились (12295).</w:t>
      </w:r>
    </w:p>
    <w:p w14:paraId="0395B11A" w14:textId="77777777" w:rsidR="00CB6D91" w:rsidRPr="007122AB" w:rsidRDefault="00CB6D91" w:rsidP="007122AB">
      <w:pPr>
        <w:spacing w:after="0" w:line="240" w:lineRule="auto"/>
        <w:jc w:val="both"/>
        <w:rPr>
          <w:rFonts w:ascii="Times New Roman" w:hAnsi="Times New Roman"/>
          <w:color w:val="000000" w:themeColor="text1"/>
          <w:sz w:val="16"/>
          <w:szCs w:val="16"/>
        </w:rPr>
      </w:pPr>
    </w:p>
    <w:p w14:paraId="20B7E9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ноября 1931 Директором серийного завода (ХАЗ) назначен В. И. Ситников (10674).</w:t>
      </w:r>
    </w:p>
    <w:p w14:paraId="4A8C19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CBFDB3" w14:textId="77777777" w:rsidR="00CB6D9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BD0C359" w14:textId="77777777" w:rsidR="00CB6D91" w:rsidRPr="007122AB" w:rsidRDefault="00CB6D9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E308F7"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 77. Опросом членов ПБ от 23 ноября 1931 г. 26/4. О Сталинградском тракторном заводе (ПБ от 10 декабря 1930 г., пр. № 20, п. 4/10). От 25 ноября 1931 г. 55/34. О развертывании собственного морского судостроения в 1932/34 гг. (ПБ от 1 ноября 1931., пр. № 72, п. 10) (Петровский). (Политбюро... Т. 2. С. 245, 246) (12416).</w:t>
      </w:r>
    </w:p>
    <w:p w14:paraId="0ADBF18E" w14:textId="65193B74" w:rsidR="00CB6D91" w:rsidRPr="007122AB" w:rsidRDefault="00CB6D91" w:rsidP="007122AB">
      <w:pPr>
        <w:spacing w:after="0" w:line="240" w:lineRule="auto"/>
        <w:jc w:val="both"/>
        <w:rPr>
          <w:rFonts w:ascii="Times New Roman" w:hAnsi="Times New Roman"/>
          <w:color w:val="000000" w:themeColor="text1"/>
          <w:sz w:val="16"/>
          <w:szCs w:val="16"/>
          <w:u w:color="002060"/>
        </w:rPr>
      </w:pPr>
    </w:p>
    <w:p w14:paraId="140AC26F" w14:textId="4E15FF24" w:rsidR="00AE643E" w:rsidRPr="007122AB" w:rsidRDefault="00AE643E" w:rsidP="007122AB">
      <w:pPr>
        <w:spacing w:after="0" w:line="240" w:lineRule="auto"/>
        <w:jc w:val="both"/>
        <w:rPr>
          <w:rFonts w:ascii="Times New Roman" w:hAnsi="Times New Roman"/>
          <w:i/>
          <w:iCs/>
          <w:color w:val="000000" w:themeColor="text1"/>
          <w:sz w:val="16"/>
          <w:szCs w:val="16"/>
          <w:u w:color="002060"/>
        </w:rPr>
      </w:pPr>
      <w:r w:rsidRPr="007122AB">
        <w:rPr>
          <w:rFonts w:ascii="Times New Roman" w:hAnsi="Times New Roman"/>
          <w:i/>
          <w:iCs/>
          <w:color w:val="000000" w:themeColor="text1"/>
          <w:sz w:val="16"/>
          <w:szCs w:val="16"/>
          <w:u w:color="002060"/>
        </w:rPr>
        <w:t>За рубежом:</w:t>
      </w:r>
    </w:p>
    <w:p w14:paraId="3ECC92BA" w14:textId="77777777" w:rsidR="00AE643E" w:rsidRPr="007122AB" w:rsidRDefault="00AE643E" w:rsidP="007122AB">
      <w:pPr>
        <w:spacing w:after="0" w:line="240" w:lineRule="auto"/>
        <w:jc w:val="both"/>
        <w:rPr>
          <w:rFonts w:ascii="Times New Roman" w:hAnsi="Times New Roman"/>
          <w:i/>
          <w:iCs/>
          <w:color w:val="000000" w:themeColor="text1"/>
          <w:sz w:val="16"/>
          <w:szCs w:val="16"/>
          <w:u w:color="002060"/>
        </w:rPr>
      </w:pPr>
    </w:p>
    <w:p w14:paraId="656D901A" w14:textId="77777777" w:rsidR="00AE643E" w:rsidRPr="007122AB" w:rsidRDefault="00AE643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ноября 1931 состоялся первый полет </w:t>
      </w:r>
      <w:proofErr w:type="spellStart"/>
      <w:r w:rsidRPr="007122AB">
        <w:rPr>
          <w:rFonts w:ascii="Times New Roman" w:hAnsi="Times New Roman"/>
          <w:color w:val="000000" w:themeColor="text1"/>
          <w:sz w:val="16"/>
          <w:szCs w:val="16"/>
        </w:rPr>
        <w:t>Couzinet</w:t>
      </w:r>
      <w:proofErr w:type="spellEnd"/>
      <w:r w:rsidRPr="007122AB">
        <w:rPr>
          <w:rFonts w:ascii="Times New Roman" w:hAnsi="Times New Roman"/>
          <w:color w:val="000000" w:themeColor="text1"/>
          <w:sz w:val="16"/>
          <w:szCs w:val="16"/>
        </w:rPr>
        <w:t xml:space="preserve"> 33 </w:t>
      </w:r>
      <w:proofErr w:type="spellStart"/>
      <w:r w:rsidRPr="007122AB">
        <w:rPr>
          <w:rFonts w:ascii="Times New Roman" w:hAnsi="Times New Roman"/>
          <w:color w:val="000000" w:themeColor="text1"/>
          <w:sz w:val="16"/>
          <w:szCs w:val="16"/>
        </w:rPr>
        <w:t>Biarritz</w:t>
      </w:r>
      <w:proofErr w:type="spellEnd"/>
      <w:r w:rsidRPr="007122AB">
        <w:rPr>
          <w:rFonts w:ascii="Times New Roman" w:hAnsi="Times New Roman"/>
          <w:color w:val="000000" w:themeColor="text1"/>
          <w:sz w:val="16"/>
          <w:szCs w:val="16"/>
        </w:rPr>
        <w:t xml:space="preserve"> (20804). </w:t>
      </w:r>
    </w:p>
    <w:p w14:paraId="373E1E32" w14:textId="77777777" w:rsidR="00AE643E" w:rsidRPr="007122AB" w:rsidRDefault="00AE643E" w:rsidP="007122AB">
      <w:pPr>
        <w:spacing w:after="0" w:line="240" w:lineRule="auto"/>
        <w:jc w:val="both"/>
        <w:rPr>
          <w:rFonts w:ascii="Times New Roman" w:hAnsi="Times New Roman"/>
          <w:color w:val="000000" w:themeColor="text1"/>
          <w:sz w:val="16"/>
          <w:szCs w:val="16"/>
        </w:rPr>
      </w:pPr>
    </w:p>
    <w:p w14:paraId="32CE97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AA8041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B0E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ноября 1931 года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Анвельт</w:t>
      </w:r>
      <w:proofErr w:type="spellEnd"/>
      <w:r w:rsidRPr="007122AB">
        <w:rPr>
          <w:rFonts w:ascii="Times New Roman" w:hAnsi="Times New Roman"/>
          <w:color w:val="000000" w:themeColor="text1"/>
          <w:sz w:val="16"/>
          <w:szCs w:val="16"/>
        </w:rPr>
        <w:t xml:space="preserve"> и Березин писали письмо № 10/1419сс Сталину</w:t>
      </w:r>
    </w:p>
    <w:p w14:paraId="4EE4CE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AE22D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Авиапромышленность переживает состояние длительного и глубокого прорыва. Вместо 100 трехмоторных самолетов (АНТ-9) она сдала нам 12 штук. Вместо 200 одномоторных пассажирских самолетов (К-5) нам сдано 38 штук. Хуже всего, однако, то, что качество этих самолетов и моторов к ним таково, что фактически ни один из них не летает. О качестве самолетов К-5 лучше всего свидетельствует телеграмма, полученная нами от его конструктора Калинина:</w:t>
      </w:r>
    </w:p>
    <w:p w14:paraId="120B1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новых крыльях К-5, выпущенных Харьковским заводом, обнаружена опасная гниль, следствие небрежного изготовления и преступного хранения. Прошу распоряжения во избежание катастроф немедленно выпущенные крылья самолетов изъять для капитального осмотра и ремонта и назначить расследование."</w:t>
      </w:r>
    </w:p>
    <w:p w14:paraId="4E0A72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качестве моторов для этого типа самолетов можно судить по выдержке из письма к нам УВВС:</w:t>
      </w:r>
    </w:p>
    <w:p w14:paraId="01D97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"УВВС слагает с себя всякую ответственность за принимаемые Вами моторы и могущие быть последствия в виде аварий и катастроф. Одновременно еще раз подтверждается непригодность моторов М-15 без исправлений для эксплуатации". Это же подтверждается результатами только что закончившегося госиспытания в НИИ".</w:t>
      </w:r>
    </w:p>
    <w:p w14:paraId="0F3A2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Не лучше обстоит дело с качеством моторов для трехмоторного АНТ-9. Не было ни одного случая вылета самолета с этими моторами, который бы обошелся без вынужденной посадки.</w:t>
      </w:r>
    </w:p>
    <w:p w14:paraId="44759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6E8615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Вместо 340 учебных машин мы получили от ВАО 39 единиц.</w:t>
      </w:r>
    </w:p>
    <w:p w14:paraId="28FB7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…………………………….(7752, 74).</w:t>
      </w:r>
    </w:p>
    <w:p w14:paraId="52FFB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1BE0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0919AF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F334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26–28 ноября 1931 г. на бронекатере Н-5 Днепровской флотилии КПК была впервые испытана в корабельных условиях. Пушку установили на расстоянии 1,5 м от кормового среза. Всего было произведено 33 выстрела.</w:t>
      </w:r>
    </w:p>
    <w:p w14:paraId="692C17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До начала стрельб лодка с ДРП находилась под водой около трех часов. По расчетам, 47-мм пушка с боекомплектом могла быть заменена без весовых нарушений 76-мм КПК с боекомплектом 70 патронов.</w:t>
      </w:r>
    </w:p>
    <w:p w14:paraId="5B98A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76-мм КПК (катерная пушка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Качающаяся часть для нее была взята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от 76-мм БПК (батальонной пушки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с небольшими изменениями. Заряжание КПК производилось с казенной части при помощи сдвижного затвора, соединенного с соплом. Стрельба велась унитарными патронами. Гильзы латунные с донными отверстиями диаметром около 60 мм (рис. 7.5).</w:t>
      </w:r>
    </w:p>
    <w:p w14:paraId="0A5CBA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КПК была установлена на легкой конической тумбе. Подъемный механизм имел винт, действующий на рычаг, связанный с левой цапфой. Поворотный механизм имел зубчатый обод и червяк.</w:t>
      </w:r>
    </w:p>
    <w:p w14:paraId="225F0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КПК могла стрелять штатными гранатами и шрапнелями весом 6,5 кг от 3-дюймовой полевой пушки обр. 1902 г., а также специально созданными легкими снарядами: осколочным весом 4,7 кг и бронебойным весом 4 кг (12091).</w:t>
      </w:r>
    </w:p>
    <w:p w14:paraId="3316D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0F7D4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26—28 ноября 1931 г. на бронекатере Н-5 Днепровской флотилии впервые была испытана в корабельных условиях КПК. Пушку установили на расстоянии 1,5 м от кормового среза. Всего было произведено 33 выстрелов.</w:t>
      </w:r>
    </w:p>
    <w:p w14:paraId="6044C7F4"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По расчетам, 47-мм пушка с боекомплектом могла быть заменена без весовых нарушений 76-мм КПК с боекомплектом 70 патронов. До начала стрельб лодка с ДРП находилась под водой около трех часов.</w:t>
      </w:r>
    </w:p>
    <w:p w14:paraId="49B7D55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было сделано 12 выстрелов. Первые три прошли успешно, но после четвертого выстрела на лодке появились первые повреждения. Однако стрельбу решили все равно продолжить. После седьмого, восьмого и девятого выстрела на лодке появились новые повреждения. Во время последнего выстрела произошел прорыв газов через затвор, и лишь по счастливой случайности наводчик пушки не пострадал.</w:t>
      </w:r>
    </w:p>
    <w:p w14:paraId="2C7FAA65"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провели девять выстрелов по щиту. На пятом выстреле начались осечки, после седьмого выстрела перекосило болт затвора, а после девятого он перестал закрываться. Испытания пришлось прекратить. Повреждения лодки были незначительные — кое-где обгорела краска, были разбиты колпаки и перегорело несколько лампочек.</w:t>
      </w:r>
    </w:p>
    <w:p w14:paraId="38B8A4FB"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 (</w:t>
      </w:r>
      <w:proofErr w:type="spellStart"/>
      <w:r w:rsidRPr="007122AB">
        <w:rPr>
          <w:rFonts w:ascii="Times New Roman" w:hAnsi="Times New Roman"/>
          <w:color w:val="000000" w:themeColor="text1"/>
          <w:sz w:val="16"/>
          <w:szCs w:val="16"/>
        </w:rPr>
        <w:t>Сх</w:t>
      </w:r>
      <w:proofErr w:type="spellEnd"/>
      <w:r w:rsidRPr="007122AB">
        <w:rPr>
          <w:rFonts w:ascii="Times New Roman" w:hAnsi="Times New Roman"/>
          <w:color w:val="000000" w:themeColor="text1"/>
          <w:sz w:val="16"/>
          <w:szCs w:val="16"/>
        </w:rPr>
        <w:t>. 6)</w:t>
      </w:r>
    </w:p>
    <w:p w14:paraId="1E9E052E"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наводка КПК возможна лили»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2F3980F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Следует отметить, что стрельбы из КПК на кораблях проходили относительно успешно. Это в значительной степени объясняется </w:t>
      </w:r>
      <w:proofErr w:type="spellStart"/>
      <w:r w:rsidRPr="007122AB">
        <w:rPr>
          <w:rFonts w:ascii="Times New Roman" w:hAnsi="Times New Roman"/>
          <w:color w:val="000000" w:themeColor="text1"/>
          <w:sz w:val="16"/>
          <w:szCs w:val="16"/>
        </w:rPr>
        <w:t>отработанностью</w:t>
      </w:r>
      <w:proofErr w:type="spellEnd"/>
      <w:r w:rsidRPr="007122AB">
        <w:rPr>
          <w:rFonts w:ascii="Times New Roman" w:hAnsi="Times New Roman"/>
          <w:color w:val="000000" w:themeColor="text1"/>
          <w:sz w:val="16"/>
          <w:szCs w:val="16"/>
        </w:rPr>
        <w:t xml:space="preserve">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4C145F1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КПК официально приняли на вооружение в 1934 г. В 1932— 1935 гг. на заводах № 7 и № 8 было изготовлено около 250 КПК.</w:t>
      </w:r>
    </w:p>
    <w:p w14:paraId="4491B2E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октября 1934 г. на Дальний Восток отправили 50 КПК, из них 25 — на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248919D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Интересно, что КПК продержались на вооружении дольше других пушек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и были сняты с вооружения лишь в конце 1938 г.</w:t>
      </w:r>
    </w:p>
    <w:p w14:paraId="3AB02EDC"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была произведена попытка использовать 76-мм КПК в береговой обороне. Так, под Владивостоком на острове Русский на мысе Створный были установлены три пушки КПК. Батарея устанавливалась в течение 6 часов. Расстояние между орудиями составляло 50 м, сектор обстрела —130° из всех орудий или 360° из одного.</w:t>
      </w:r>
    </w:p>
    <w:p w14:paraId="14026FC9"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проведения испытаний комиссия сделала следующие выводы: «Комиссия считает размещение и использование систем КПК-75 на береговой обороне технически возможным и тактически целесообразным в смысле усиления огневых средств против вероятного противника в условиях ТОФ».</w:t>
      </w:r>
    </w:p>
    <w:p w14:paraId="3C873EE6" w14:textId="77777777" w:rsidR="00C54992" w:rsidRPr="007122AB" w:rsidRDefault="00C54992" w:rsidP="007122AB">
      <w:pPr>
        <w:spacing w:after="0" w:line="240" w:lineRule="auto"/>
        <w:jc w:val="both"/>
        <w:rPr>
          <w:rFonts w:ascii="Times New Roman" w:hAnsi="Times New Roman"/>
          <w:bCs/>
          <w:color w:val="000000" w:themeColor="text1"/>
          <w:sz w:val="16"/>
          <w:szCs w:val="16"/>
        </w:rPr>
      </w:pPr>
      <w:bookmarkStart w:id="35" w:name="label68"/>
      <w:bookmarkEnd w:id="35"/>
      <w:r w:rsidRPr="007122AB">
        <w:rPr>
          <w:rFonts w:ascii="Times New Roman" w:hAnsi="Times New Roman"/>
          <w:bCs/>
          <w:color w:val="000000" w:themeColor="text1"/>
          <w:sz w:val="16"/>
          <w:szCs w:val="16"/>
        </w:rPr>
        <w:t>Данные 76-мм КПК</w:t>
      </w:r>
    </w:p>
    <w:p w14:paraId="2B84BEF8"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w:t>
      </w:r>
    </w:p>
    <w:p w14:paraId="1E9EF98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w:t>
      </w:r>
    </w:p>
    <w:p w14:paraId="53D763D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воронкой …… 2780/36,6</w:t>
      </w:r>
    </w:p>
    <w:p w14:paraId="091D367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 воронки …… 2080/27,3</w:t>
      </w:r>
    </w:p>
    <w:p w14:paraId="40BF88DD"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мм …… 784</w:t>
      </w:r>
    </w:p>
    <w:p w14:paraId="0EF2560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BH, град …… -10°; +60°</w:t>
      </w:r>
    </w:p>
    <w:p w14:paraId="01DA6EC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360°</w:t>
      </w:r>
    </w:p>
    <w:p w14:paraId="33D7CEC3"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оси цапф от основания тумбы, мм …… 1278</w:t>
      </w:r>
    </w:p>
    <w:p w14:paraId="7923D0DA"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ствола, кг …… 80</w:t>
      </w:r>
    </w:p>
    <w:p w14:paraId="6E102D02"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сопла, кг …… 8</w:t>
      </w:r>
    </w:p>
    <w:p w14:paraId="7D9BA2A1"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тумбы, кг …… 75</w:t>
      </w:r>
    </w:p>
    <w:p w14:paraId="56BAF2E6"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всей системы, кг …… 165</w:t>
      </w:r>
    </w:p>
    <w:p w14:paraId="5D05377F" w14:textId="77777777" w:rsidR="00C54992" w:rsidRPr="007122AB" w:rsidRDefault="00C54992"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Скорсчлрельность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./мин …… 6</w:t>
      </w:r>
    </w:p>
    <w:p w14:paraId="2C2EEA17" w14:textId="77777777" w:rsidR="00C54992" w:rsidRPr="007122AB" w:rsidRDefault="00C54992" w:rsidP="007122AB">
      <w:pPr>
        <w:spacing w:after="0" w:line="240" w:lineRule="auto"/>
        <w:jc w:val="both"/>
        <w:rPr>
          <w:rFonts w:ascii="Times New Roman" w:hAnsi="Times New Roman"/>
          <w:bCs/>
          <w:color w:val="000000" w:themeColor="text1"/>
          <w:sz w:val="16"/>
          <w:szCs w:val="16"/>
        </w:rPr>
      </w:pPr>
      <w:bookmarkStart w:id="36" w:name="label69"/>
      <w:bookmarkStart w:id="37" w:name="label70"/>
      <w:bookmarkEnd w:id="36"/>
      <w:bookmarkEnd w:id="37"/>
      <w:r w:rsidRPr="007122AB">
        <w:rPr>
          <w:rFonts w:ascii="Times New Roman" w:hAnsi="Times New Roman"/>
          <w:bCs/>
          <w:color w:val="000000" w:themeColor="text1"/>
          <w:sz w:val="16"/>
          <w:szCs w:val="16"/>
        </w:rPr>
        <w:t>Боеприпасы и баллистика 76-мм КПК</w:t>
      </w:r>
    </w:p>
    <w:p w14:paraId="1ED73DDD" w14:textId="77777777" w:rsidR="00C54992" w:rsidRPr="007122AB" w:rsidRDefault="00C54992" w:rsidP="007122AB">
      <w:pPr>
        <w:spacing w:after="0" w:line="240" w:lineRule="auto"/>
        <w:jc w:val="both"/>
        <w:rPr>
          <w:rFonts w:ascii="Times New Roman" w:hAnsi="Times New Roman"/>
          <w:bCs/>
          <w:color w:val="000000" w:themeColor="text1"/>
          <w:sz w:val="16"/>
          <w:szCs w:val="16"/>
        </w:rPr>
      </w:pPr>
      <w:bookmarkStart w:id="38" w:name="label71"/>
      <w:bookmarkStart w:id="39" w:name="label72"/>
      <w:bookmarkEnd w:id="38"/>
      <w:bookmarkEnd w:id="39"/>
      <w:r w:rsidRPr="007122AB">
        <w:rPr>
          <w:rFonts w:ascii="Times New Roman" w:hAnsi="Times New Roman"/>
          <w:bCs/>
          <w:color w:val="000000" w:themeColor="text1"/>
          <w:sz w:val="16"/>
          <w:szCs w:val="16"/>
        </w:rPr>
        <w:t>Стрельба на полигоне из КПК 10 мая 1934 г.</w:t>
      </w:r>
    </w:p>
    <w:p w14:paraId="426D0207" w14:textId="77777777" w:rsidR="00C54992" w:rsidRPr="007122AB" w:rsidRDefault="00C54992" w:rsidP="007122AB">
      <w:pPr>
        <w:spacing w:after="0" w:line="240" w:lineRule="auto"/>
        <w:jc w:val="both"/>
        <w:rPr>
          <w:rFonts w:ascii="Times New Roman" w:hAnsi="Times New Roman"/>
          <w:bCs/>
          <w:color w:val="000000" w:themeColor="text1"/>
          <w:sz w:val="16"/>
          <w:szCs w:val="16"/>
        </w:rPr>
      </w:pPr>
      <w:bookmarkStart w:id="40" w:name="label73"/>
      <w:bookmarkEnd w:id="40"/>
      <w:r w:rsidRPr="007122AB">
        <w:rPr>
          <w:rFonts w:ascii="Times New Roman" w:hAnsi="Times New Roman"/>
          <w:bCs/>
          <w:color w:val="000000" w:themeColor="text1"/>
          <w:sz w:val="16"/>
          <w:szCs w:val="16"/>
          <w:vertAlign w:val="superscript"/>
        </w:rPr>
        <w:t>Вес снаряда, кг …… Заряд — Начальная скорость, м/с — Давление в канале, кг/см2</w:t>
      </w:r>
    </w:p>
    <w:p w14:paraId="6AF3AFF7"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4,69 …… 0,98 кг ПКО 1/11К — 354 — 1270</w:t>
      </w:r>
    </w:p>
    <w:p w14:paraId="21B28660" w14:textId="77777777" w:rsidR="00C54992" w:rsidRPr="007122AB" w:rsidRDefault="00C5499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4,72 …… 0,98 кг ПКО 1/11К — 353 — — (15117).</w:t>
      </w:r>
    </w:p>
    <w:p w14:paraId="58D9DD3A" w14:textId="77777777" w:rsidR="00C54992" w:rsidRPr="007122AB" w:rsidRDefault="00C54992" w:rsidP="007122AB">
      <w:pPr>
        <w:spacing w:after="0" w:line="240" w:lineRule="auto"/>
        <w:jc w:val="both"/>
        <w:rPr>
          <w:rFonts w:ascii="Times New Roman" w:hAnsi="Times New Roman"/>
          <w:color w:val="000000" w:themeColor="text1"/>
          <w:sz w:val="16"/>
          <w:szCs w:val="16"/>
        </w:rPr>
      </w:pPr>
    </w:p>
    <w:p w14:paraId="4244EB86"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ноября 1931 г. На имя начальника Мобилизационно-планового сектора ВСНХ СССР К.Ф. Мартиновича было отправлено письмо № 291/3799с, в котором, в частности, было указано, что:</w:t>
      </w:r>
    </w:p>
    <w:p w14:paraId="690C504A"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«Для танкового производства ХПЗ необходимо получить со стороны в 1932 г. 400 моторов "ЛИБЕРТИ" в совершенно готовом и отрегулированном виде.</w:t>
      </w:r>
    </w:p>
    <w:p w14:paraId="18711435"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текущую программу 1931 г. н/ХПЗ получает моторы от УММ РККА, который обязался поставить в IV кв.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100 импортных моторов. Поставлять же моторы на программу 1932 г. УММ РККА отказался, мотивируя свой отказ отсутствием надлежащих средств. Наши попытки получить моторы от ВАО не увенчались успехом, т.к. единственный для нас пригодный мотор "М-17" является узким местом в авиапромышленности.</w:t>
      </w:r>
    </w:p>
    <w:p w14:paraId="4520E941"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Ввиду того, что вопрос об удовлетворении ХПЗ моторами на сегодняшний день остается совершенно открытым, а нам не известно кто-же будет поставщиком моторов для текущей программы ХПЗ 1932 г., не говоря уже о плане МВ-10, согласно которого ХПЗ необходимо будет получить 2000 моторов, просим Вас разрешить вопрос обеспечения ХПЗ моторами и указать нам поставщика их».</w:t>
      </w:r>
    </w:p>
    <w:p w14:paraId="1AA13EB4"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8122. Оп. 1. Д. 31. Л. 599 с об.]</w:t>
      </w:r>
    </w:p>
    <w:p w14:paraId="36EF3BEF"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Забегая вперед скажем, что в 1932 г. выпуск танков БТ был обеспечен главным образом за счет закупленных заграницей двигателей «Либерти», а также за счет переданных из авиации бывших в эксплуатации и требовавших ремонта отечественных двигателей М-5. Но в целом эти мероприятия не снимали вопроса о выборе типа двигателя для танков БТ (24856). </w:t>
      </w:r>
    </w:p>
    <w:p w14:paraId="12DB10AD" w14:textId="77777777" w:rsidR="008935EF" w:rsidRPr="00441F34" w:rsidRDefault="008935EF" w:rsidP="008935EF">
      <w:pPr>
        <w:spacing w:after="0" w:line="240" w:lineRule="auto"/>
        <w:jc w:val="both"/>
        <w:rPr>
          <w:rFonts w:ascii="Times New Roman" w:hAnsi="Times New Roman"/>
          <w:color w:val="0070C0"/>
          <w:sz w:val="16"/>
          <w:szCs w:val="16"/>
        </w:rPr>
      </w:pPr>
    </w:p>
    <w:p w14:paraId="791B6FF2"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ноября 1931 г.</w:t>
      </w:r>
    </w:p>
    <w:p w14:paraId="2CA29279"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РГАЭ Фонд 8122 Опись 1 Дело 31 лист 599 с об. </w:t>
      </w:r>
    </w:p>
    <w:p w14:paraId="73D9F3A9"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СОВ.СЕКРЕТНО. </w:t>
      </w:r>
    </w:p>
    <w:p w14:paraId="0B659415"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26/XI-1931 г. </w:t>
      </w:r>
    </w:p>
    <w:p w14:paraId="52EE9C81"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291/3799c</w:t>
      </w:r>
    </w:p>
    <w:p w14:paraId="26F6E784"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 МПС ВСНХ СССР тов. МАРТИНОВИЧУ </w:t>
      </w:r>
    </w:p>
    <w:p w14:paraId="691C86F2"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н/исп. </w:t>
      </w:r>
      <w:proofErr w:type="spellStart"/>
      <w:r w:rsidRPr="00441F34">
        <w:rPr>
          <w:rFonts w:ascii="Times New Roman" w:hAnsi="Times New Roman"/>
          <w:color w:val="0070C0"/>
          <w:sz w:val="16"/>
          <w:szCs w:val="16"/>
        </w:rPr>
        <w:t>Расколин</w:t>
      </w:r>
      <w:proofErr w:type="spellEnd"/>
      <w:r w:rsidRPr="00441F34">
        <w:rPr>
          <w:rFonts w:ascii="Times New Roman" w:hAnsi="Times New Roman"/>
          <w:color w:val="0070C0"/>
          <w:sz w:val="16"/>
          <w:szCs w:val="16"/>
        </w:rPr>
        <w:t xml:space="preserve"> </w:t>
      </w:r>
    </w:p>
    <w:p w14:paraId="0671E382"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 4-53-87</w:t>
      </w:r>
    </w:p>
    <w:p w14:paraId="5A31B3CA"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ВОПРОСУ:</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моторов для танков "БТ". </w:t>
      </w:r>
    </w:p>
    <w:p w14:paraId="3FCB23C0"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танкового производства ХПЗ необходимо получить со стороны в 1932 г. 400 моторов "ЛИБЕРТИ" в совершенно готовом и отрегулированном виде. </w:t>
      </w:r>
    </w:p>
    <w:p w14:paraId="6F274EA5"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текущую программу 1931 г. н/ХПЗ получает моторы от УММ РККА, который обязался поставить в IV кв. </w:t>
      </w:r>
      <w:proofErr w:type="spellStart"/>
      <w:r w:rsidRPr="00441F34">
        <w:rPr>
          <w:rFonts w:ascii="Times New Roman" w:hAnsi="Times New Roman"/>
          <w:color w:val="0070C0"/>
          <w:sz w:val="16"/>
          <w:szCs w:val="16"/>
        </w:rPr>
        <w:t>с.г</w:t>
      </w:r>
      <w:proofErr w:type="spellEnd"/>
      <w:r w:rsidRPr="00441F34">
        <w:rPr>
          <w:rFonts w:ascii="Times New Roman" w:hAnsi="Times New Roman"/>
          <w:color w:val="0070C0"/>
          <w:sz w:val="16"/>
          <w:szCs w:val="16"/>
        </w:rPr>
        <w:t xml:space="preserve">. 100 импортных моторов. Поставлять же моторы на программу 1932 г. УММ РККА отказался, мотивируя свой отказ отсутствием надлежащих средств. Наши попытки получить моторы от ВАО не увенчались успехом, т.к. единственный для нас пригодный мотор "М-17" является узким местом в авиапромышленности. </w:t>
      </w:r>
    </w:p>
    <w:p w14:paraId="5200FE3C"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Ввиду того, что вопрос об удовлетворении ХПЗ моторами на сегодняшний день остается совершенно открытым, а нам не известно кто-же будет поставщиком моторов для текущей программы ХПЗ 1932 г., не говоря уже о плане МВ-10, согласно которого ХПЗ необходимо будет получить 2000 моторов, просим Вас разрешить вопрос обеспечения ХПЗ моторами и указать нам поставщика их.</w:t>
      </w:r>
    </w:p>
    <w:p w14:paraId="0B262C07"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ЗАМ. УПРАВЛЯЮЩЕГО ОБЪЕДИНЕНИЕМ (Богданов) </w:t>
      </w:r>
    </w:p>
    <w:p w14:paraId="5273AF0E"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ЗАМ. НАЧ. СПЕЦСЕКТОРА (</w:t>
      </w:r>
      <w:proofErr w:type="spellStart"/>
      <w:r w:rsidRPr="00441F34">
        <w:rPr>
          <w:rFonts w:ascii="Times New Roman" w:hAnsi="Times New Roman"/>
          <w:color w:val="0070C0"/>
          <w:sz w:val="16"/>
          <w:szCs w:val="16"/>
        </w:rPr>
        <w:t>Валейчик</w:t>
      </w:r>
      <w:proofErr w:type="spellEnd"/>
      <w:r w:rsidRPr="00441F34">
        <w:rPr>
          <w:rFonts w:ascii="Times New Roman" w:hAnsi="Times New Roman"/>
          <w:color w:val="0070C0"/>
          <w:sz w:val="16"/>
          <w:szCs w:val="16"/>
        </w:rPr>
        <w:t>)</w:t>
      </w:r>
    </w:p>
    <w:p w14:paraId="3B0F93DD"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ВАХ. № 5133 </w:t>
      </w:r>
    </w:p>
    <w:p w14:paraId="5FA84EB7" w14:textId="77777777" w:rsidR="008935EF" w:rsidRPr="00441F34" w:rsidRDefault="008935EF" w:rsidP="008935E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25.11.31 г. </w:t>
      </w:r>
    </w:p>
    <w:p w14:paraId="56E09C9E" w14:textId="77777777" w:rsidR="008935EF" w:rsidRPr="00441F34" w:rsidRDefault="008935EF" w:rsidP="008935EF">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w:t>
      </w:r>
      <w:proofErr w:type="spellEnd"/>
      <w:r w:rsidRPr="00441F34">
        <w:rPr>
          <w:rFonts w:ascii="Times New Roman" w:hAnsi="Times New Roman"/>
          <w:color w:val="0070C0"/>
          <w:sz w:val="16"/>
          <w:szCs w:val="16"/>
        </w:rPr>
        <w:t>. 2 экз. (24868).</w:t>
      </w:r>
    </w:p>
    <w:p w14:paraId="01E546F3" w14:textId="77777777" w:rsidR="008935EF" w:rsidRPr="00441F34" w:rsidRDefault="008935EF" w:rsidP="008935EF">
      <w:pPr>
        <w:spacing w:after="0" w:line="240" w:lineRule="auto"/>
        <w:jc w:val="both"/>
        <w:rPr>
          <w:rFonts w:ascii="Times New Roman" w:hAnsi="Times New Roman"/>
          <w:color w:val="0070C0"/>
          <w:sz w:val="16"/>
          <w:szCs w:val="16"/>
        </w:rPr>
      </w:pPr>
    </w:p>
    <w:p w14:paraId="3908D76F"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ноября 1931</w:t>
      </w:r>
    </w:p>
    <w:p w14:paraId="233D7D3D"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Опросом членов Политбюро от 26.XI.1931 г.</w:t>
      </w:r>
    </w:p>
    <w:p w14:paraId="08FA64AE"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30/2: О радиевой промышленности</w:t>
      </w:r>
    </w:p>
    <w:p w14:paraId="08F520AF"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Принять следующие предложения ВСНХ:</w:t>
      </w:r>
    </w:p>
    <w:p w14:paraId="3EF39943"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w:t>
      </w:r>
      <w:proofErr w:type="spellStart"/>
      <w:r w:rsidRPr="007122AB">
        <w:rPr>
          <w:rFonts w:ascii="Times New Roman" w:hAnsi="Times New Roman"/>
          <w:color w:val="000000" w:themeColor="text1"/>
          <w:sz w:val="16"/>
          <w:szCs w:val="16"/>
        </w:rPr>
        <w:t>Тюя-Муюнский</w:t>
      </w:r>
      <w:proofErr w:type="spellEnd"/>
      <w:r w:rsidRPr="007122AB">
        <w:rPr>
          <w:rFonts w:ascii="Times New Roman" w:hAnsi="Times New Roman"/>
          <w:color w:val="000000" w:themeColor="text1"/>
          <w:sz w:val="16"/>
          <w:szCs w:val="16"/>
        </w:rPr>
        <w:t xml:space="preserve"> радиевый рудник.</w:t>
      </w:r>
    </w:p>
    <w:p w14:paraId="224B8851"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в 1932 г. развернуть полностью глубинные разведки, изучение геологии </w:t>
      </w:r>
      <w:proofErr w:type="spellStart"/>
      <w:r w:rsidRPr="007122AB">
        <w:rPr>
          <w:rFonts w:ascii="Times New Roman" w:hAnsi="Times New Roman"/>
          <w:color w:val="000000" w:themeColor="text1"/>
          <w:sz w:val="16"/>
          <w:szCs w:val="16"/>
        </w:rPr>
        <w:t>Тюя-Муюна</w:t>
      </w:r>
      <w:proofErr w:type="spellEnd"/>
      <w:r w:rsidRPr="007122AB">
        <w:rPr>
          <w:rFonts w:ascii="Times New Roman" w:hAnsi="Times New Roman"/>
          <w:color w:val="000000" w:themeColor="text1"/>
          <w:sz w:val="16"/>
          <w:szCs w:val="16"/>
        </w:rPr>
        <w:t xml:space="preserve"> и его района.</w:t>
      </w:r>
    </w:p>
    <w:p w14:paraId="46B95142"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Академию Наук и “</w:t>
      </w:r>
      <w:proofErr w:type="spellStart"/>
      <w:r w:rsidRPr="007122AB">
        <w:rPr>
          <w:rFonts w:ascii="Times New Roman" w:hAnsi="Times New Roman"/>
          <w:color w:val="000000" w:themeColor="text1"/>
          <w:sz w:val="16"/>
          <w:szCs w:val="16"/>
        </w:rPr>
        <w:t>Союзгеологоразведку</w:t>
      </w:r>
      <w:proofErr w:type="spellEnd"/>
      <w:r w:rsidRPr="007122AB">
        <w:rPr>
          <w:rFonts w:ascii="Times New Roman" w:hAnsi="Times New Roman"/>
          <w:color w:val="000000" w:themeColor="text1"/>
          <w:sz w:val="16"/>
          <w:szCs w:val="16"/>
        </w:rPr>
        <w:t xml:space="preserve">” принять непосредственное участие в разведочных работах, выделив для этого в распоряжение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 xml:space="preserve"> одного геолога (Щербакова Д. И. — Академия Наук), одного радиолога (Государственный Радиевый Институт) и двух геологов (</w:t>
      </w:r>
      <w:proofErr w:type="spellStart"/>
      <w:r w:rsidRPr="007122AB">
        <w:rPr>
          <w:rFonts w:ascii="Times New Roman" w:hAnsi="Times New Roman"/>
          <w:color w:val="000000" w:themeColor="text1"/>
          <w:sz w:val="16"/>
          <w:szCs w:val="16"/>
        </w:rPr>
        <w:t>Союзгеологоразведка</w:t>
      </w:r>
      <w:proofErr w:type="spellEnd"/>
      <w:r w:rsidRPr="007122AB">
        <w:rPr>
          <w:rFonts w:ascii="Times New Roman" w:hAnsi="Times New Roman"/>
          <w:color w:val="000000" w:themeColor="text1"/>
          <w:sz w:val="16"/>
          <w:szCs w:val="16"/>
        </w:rPr>
        <w:t>).</w:t>
      </w:r>
    </w:p>
    <w:p w14:paraId="4E6F35E8"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Обязать ВСНХ СССР обеспечить эти работы необходимым техническим снабжением и средствами.</w:t>
      </w:r>
    </w:p>
    <w:p w14:paraId="1B73D276"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Государственному Гидро-Геологическому Институту к концу II квартала 1932 г. разрешить проблему водоснабжения обогатительной фабрики и поселка в </w:t>
      </w:r>
      <w:proofErr w:type="spellStart"/>
      <w:r w:rsidRPr="007122AB">
        <w:rPr>
          <w:rFonts w:ascii="Times New Roman" w:hAnsi="Times New Roman"/>
          <w:color w:val="000000" w:themeColor="text1"/>
          <w:sz w:val="16"/>
          <w:szCs w:val="16"/>
        </w:rPr>
        <w:t>Тюя-Муюне</w:t>
      </w:r>
      <w:proofErr w:type="spellEnd"/>
      <w:r w:rsidRPr="007122AB">
        <w:rPr>
          <w:rFonts w:ascii="Times New Roman" w:hAnsi="Times New Roman"/>
          <w:color w:val="000000" w:themeColor="text1"/>
          <w:sz w:val="16"/>
          <w:szCs w:val="16"/>
        </w:rPr>
        <w:t>, приступив к работе немедленно.</w:t>
      </w:r>
    </w:p>
    <w:p w14:paraId="455DAFCA"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По </w:t>
      </w:r>
      <w:proofErr w:type="spellStart"/>
      <w:r w:rsidRPr="007122AB">
        <w:rPr>
          <w:rFonts w:ascii="Times New Roman" w:hAnsi="Times New Roman"/>
          <w:color w:val="000000" w:themeColor="text1"/>
          <w:sz w:val="16"/>
          <w:szCs w:val="16"/>
        </w:rPr>
        <w:t>Табашарскому</w:t>
      </w:r>
      <w:proofErr w:type="spellEnd"/>
      <w:r w:rsidRPr="007122AB">
        <w:rPr>
          <w:rFonts w:ascii="Times New Roman" w:hAnsi="Times New Roman"/>
          <w:color w:val="000000" w:themeColor="text1"/>
          <w:sz w:val="16"/>
          <w:szCs w:val="16"/>
        </w:rPr>
        <w:t xml:space="preserve"> месторождению.</w:t>
      </w:r>
    </w:p>
    <w:p w14:paraId="362DB7B1"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САРГРУ форсировать окончание разведочных работ на </w:t>
      </w:r>
      <w:proofErr w:type="spellStart"/>
      <w:r w:rsidRPr="007122AB">
        <w:rPr>
          <w:rFonts w:ascii="Times New Roman" w:hAnsi="Times New Roman"/>
          <w:color w:val="000000" w:themeColor="text1"/>
          <w:sz w:val="16"/>
          <w:szCs w:val="16"/>
        </w:rPr>
        <w:t>Табашарском</w:t>
      </w:r>
      <w:proofErr w:type="spellEnd"/>
      <w:r w:rsidRPr="007122AB">
        <w:rPr>
          <w:rFonts w:ascii="Times New Roman" w:hAnsi="Times New Roman"/>
          <w:color w:val="000000" w:themeColor="text1"/>
          <w:sz w:val="16"/>
          <w:szCs w:val="16"/>
        </w:rPr>
        <w:t xml:space="preserve"> месторождении и передать их в 1932 г.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для промышленного освоения.</w:t>
      </w:r>
    </w:p>
    <w:p w14:paraId="12ECDCF1"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организовать быстрое технологическое изучение руд с расчетом организации производства, начиная с 1933 года.</w:t>
      </w:r>
    </w:p>
    <w:p w14:paraId="23E4C2A6"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 </w:t>
      </w:r>
      <w:proofErr w:type="spellStart"/>
      <w:r w:rsidRPr="007122AB">
        <w:rPr>
          <w:rFonts w:ascii="Times New Roman" w:hAnsi="Times New Roman"/>
          <w:color w:val="000000" w:themeColor="text1"/>
          <w:sz w:val="16"/>
          <w:szCs w:val="16"/>
        </w:rPr>
        <w:t>Берекейским</w:t>
      </w:r>
      <w:proofErr w:type="spellEnd"/>
      <w:r w:rsidRPr="007122AB">
        <w:rPr>
          <w:rFonts w:ascii="Times New Roman" w:hAnsi="Times New Roman"/>
          <w:color w:val="000000" w:themeColor="text1"/>
          <w:sz w:val="16"/>
          <w:szCs w:val="16"/>
        </w:rPr>
        <w:t xml:space="preserve"> йодным источникам.</w:t>
      </w:r>
    </w:p>
    <w:p w14:paraId="1A0C1D85" w14:textId="77777777" w:rsidR="00996162" w:rsidRPr="007122AB" w:rsidRDefault="00996162"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немедленно приступить и окончить в 1932 г. изучение радиоактивности вод и технологии извлечения из них радия.</w:t>
      </w:r>
    </w:p>
    <w:p w14:paraId="5DD5282B"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Общие мероприятия.</w:t>
      </w:r>
    </w:p>
    <w:p w14:paraId="5572E3F1"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Радиевому Отделению Научно-Исследовательского Института Редких Элементов в целях окончания работ по поискам новых месторождений радиоактивных минералов провести исследование на радиоактивность коллекции руд и минералов, находящихся в научно-исследовательских институтах и </w:t>
      </w:r>
      <w:proofErr w:type="spellStart"/>
      <w:r w:rsidRPr="007122AB">
        <w:rPr>
          <w:rFonts w:ascii="Times New Roman" w:hAnsi="Times New Roman"/>
          <w:color w:val="000000" w:themeColor="text1"/>
          <w:sz w:val="16"/>
          <w:szCs w:val="16"/>
        </w:rPr>
        <w:t>Союзгеологоразведке</w:t>
      </w:r>
      <w:proofErr w:type="spellEnd"/>
      <w:r w:rsidRPr="007122AB">
        <w:rPr>
          <w:rFonts w:ascii="Times New Roman" w:hAnsi="Times New Roman"/>
          <w:color w:val="000000" w:themeColor="text1"/>
          <w:sz w:val="16"/>
          <w:szCs w:val="16"/>
        </w:rPr>
        <w:t xml:space="preserve"> в течение 1932 г.</w:t>
      </w:r>
    </w:p>
    <w:p w14:paraId="339F8B17"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Для надлежащего руководства научно-исследовательскими работами в области радиоактивности и применения радия и в целях концентрации всей научно-исследовательской работы по радию передать Государственный Радиевый Институт в Ленинграде в ведение Института Редких Элементов на правах его филиала, пересмотрев его тематический план в сторону большего приближения к запросам промышленности.</w:t>
      </w:r>
    </w:p>
    <w:p w14:paraId="0AA7B279"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Отделу Кадров ЦК ВКП(б) выделить для руководящей работы на Средне-Азиатских предприятиях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 xml:space="preserve"> не менее 3</w:t>
      </w:r>
      <w:r w:rsidRPr="007122AB">
        <w:rPr>
          <w:rFonts w:ascii="Times New Roman" w:hAnsi="Times New Roman"/>
          <w:color w:val="000000" w:themeColor="text1"/>
          <w:sz w:val="16"/>
          <w:szCs w:val="16"/>
        </w:rPr>
        <w:noBreakHyphen/>
        <w:t>х ответственных работников со стажем не менее 4 лет.</w:t>
      </w:r>
    </w:p>
    <w:p w14:paraId="5E767983"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Сектору Кадров ВСНХ СССР выделить для той же цели горных инженеров — 5, из них один с большим стажем, горных техников — 5, геологов-разведчиков — 4, маркшейдеров — 2, работников ОЭТ — 2, работников ТНБ — 2.</w:t>
      </w:r>
    </w:p>
    <w:p w14:paraId="02208138"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ВСНХ СССР командировать заграницу в IV квартале 1931 г. на </w:t>
      </w:r>
      <w:proofErr w:type="spellStart"/>
      <w:r w:rsidRPr="007122AB">
        <w:rPr>
          <w:rFonts w:ascii="Times New Roman" w:hAnsi="Times New Roman"/>
          <w:color w:val="000000" w:themeColor="text1"/>
          <w:sz w:val="16"/>
          <w:szCs w:val="16"/>
        </w:rPr>
        <w:t>cрок</w:t>
      </w:r>
      <w:proofErr w:type="spellEnd"/>
      <w:r w:rsidRPr="007122AB">
        <w:rPr>
          <w:rFonts w:ascii="Times New Roman" w:hAnsi="Times New Roman"/>
          <w:color w:val="000000" w:themeColor="text1"/>
          <w:sz w:val="16"/>
          <w:szCs w:val="16"/>
        </w:rPr>
        <w:t xml:space="preserve"> 6 месяцев трех работников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 xml:space="preserve"> для изучения состояния и техники по радиевому делу.</w:t>
      </w:r>
    </w:p>
    <w:p w14:paraId="3409E0AA"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Все предприятия по добыче радиевых руд, разведки радиевых месторождений, радиевый завод и Институт Редких Элементов по снабжению и строительству приравнять к группе ударных предприятий, установив нормы снабжения прод. и промтоварами рабочих рудников и фабрик в соответствии с нормами “</w:t>
      </w:r>
      <w:proofErr w:type="spellStart"/>
      <w:r w:rsidRPr="007122AB">
        <w:rPr>
          <w:rFonts w:ascii="Times New Roman" w:hAnsi="Times New Roman"/>
          <w:color w:val="000000" w:themeColor="text1"/>
          <w:sz w:val="16"/>
          <w:szCs w:val="16"/>
        </w:rPr>
        <w:t>Цветметзолото</w:t>
      </w:r>
      <w:proofErr w:type="spellEnd"/>
      <w:r w:rsidRPr="007122AB">
        <w:rPr>
          <w:rFonts w:ascii="Times New Roman" w:hAnsi="Times New Roman"/>
          <w:color w:val="000000" w:themeColor="text1"/>
          <w:sz w:val="16"/>
          <w:szCs w:val="16"/>
        </w:rPr>
        <w:t>”.</w:t>
      </w:r>
    </w:p>
    <w:p w14:paraId="79FCB0C0"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Отделу Кадров ЦК ВКП(б) и сектору кадров ВСНХ СССР принять меры к обеспечению радиевых предприятий необходимыми инженерно-техническими кадрами, возвратив в эту отрасль промышленности всех, ранее работавших в ней, в частности, инженера Александрова С. П. (</w:t>
      </w:r>
      <w:proofErr w:type="spellStart"/>
      <w:r w:rsidRPr="007122AB">
        <w:rPr>
          <w:rFonts w:ascii="Times New Roman" w:hAnsi="Times New Roman"/>
          <w:color w:val="000000" w:themeColor="text1"/>
          <w:sz w:val="16"/>
          <w:szCs w:val="16"/>
        </w:rPr>
        <w:t>Гинцветмет</w:t>
      </w:r>
      <w:proofErr w:type="spellEnd"/>
      <w:r w:rsidRPr="007122AB">
        <w:rPr>
          <w:rFonts w:ascii="Times New Roman" w:hAnsi="Times New Roman"/>
          <w:color w:val="000000" w:themeColor="text1"/>
          <w:sz w:val="16"/>
          <w:szCs w:val="16"/>
        </w:rPr>
        <w:t>), Щербакова Д. И. (Академия Наук).</w:t>
      </w:r>
    </w:p>
    <w:p w14:paraId="6E15A22B"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ОГПУ разработать вопрос о целесообразности обеспечения </w:t>
      </w:r>
      <w:proofErr w:type="spellStart"/>
      <w:r w:rsidRPr="007122AB">
        <w:rPr>
          <w:rFonts w:ascii="Times New Roman" w:hAnsi="Times New Roman"/>
          <w:color w:val="000000" w:themeColor="text1"/>
          <w:sz w:val="16"/>
          <w:szCs w:val="16"/>
        </w:rPr>
        <w:t>Тюя-Муюнского</w:t>
      </w:r>
      <w:proofErr w:type="spellEnd"/>
      <w:r w:rsidRPr="007122AB">
        <w:rPr>
          <w:rFonts w:ascii="Times New Roman" w:hAnsi="Times New Roman"/>
          <w:color w:val="000000" w:themeColor="text1"/>
          <w:sz w:val="16"/>
          <w:szCs w:val="16"/>
        </w:rPr>
        <w:t xml:space="preserve"> рудника рабочей силой в порядке организации при руднике Лагеря Особого назначения.</w:t>
      </w:r>
    </w:p>
    <w:p w14:paraId="4EFB4587"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Признать возможным увеличение партмаксимума на 50% </w:t>
      </w:r>
      <w:proofErr w:type="spellStart"/>
      <w:r w:rsidRPr="007122AB">
        <w:rPr>
          <w:rFonts w:ascii="Times New Roman" w:hAnsi="Times New Roman"/>
          <w:color w:val="000000" w:themeColor="text1"/>
          <w:sz w:val="16"/>
          <w:szCs w:val="16"/>
        </w:rPr>
        <w:t>ответработникам</w:t>
      </w:r>
      <w:proofErr w:type="spellEnd"/>
      <w:r w:rsidRPr="007122AB">
        <w:rPr>
          <w:rFonts w:ascii="Times New Roman" w:hAnsi="Times New Roman"/>
          <w:color w:val="000000" w:themeColor="text1"/>
          <w:sz w:val="16"/>
          <w:szCs w:val="16"/>
        </w:rPr>
        <w:t xml:space="preserve">, работающим в отдаленных предприятиях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w:t>
      </w:r>
    </w:p>
    <w:p w14:paraId="18A73A44"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Комиссии т. Краснопольского одновременно с докладом о проделанной на рудниках работе, представить список выявившихся конкретных мероприятий, обеспечивающих дальнейшее развертывание радиевой промышленности.</w:t>
      </w:r>
    </w:p>
    <w:p w14:paraId="6272FD98"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(18118).</w:t>
      </w:r>
    </w:p>
    <w:p w14:paraId="7077A794" w14:textId="77777777" w:rsidR="00996162" w:rsidRPr="007122AB" w:rsidRDefault="00996162" w:rsidP="007122AB">
      <w:pPr>
        <w:spacing w:after="0" w:line="240" w:lineRule="auto"/>
        <w:jc w:val="both"/>
        <w:rPr>
          <w:rFonts w:ascii="Times New Roman" w:hAnsi="Times New Roman"/>
          <w:color w:val="000000" w:themeColor="text1"/>
          <w:sz w:val="16"/>
          <w:szCs w:val="16"/>
        </w:rPr>
      </w:pPr>
    </w:p>
    <w:p w14:paraId="3964C02B" w14:textId="77777777" w:rsidR="00996162" w:rsidRPr="007122AB" w:rsidRDefault="009961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26 ноября 1931 г.</w:t>
      </w:r>
    </w:p>
    <w:p w14:paraId="692CFE92" w14:textId="77777777" w:rsidR="00996162" w:rsidRPr="007122AB" w:rsidRDefault="009961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Доклад председателя ВЦСПС Н. М. Шверника на пленуме Всесоюзного </w:t>
      </w:r>
      <w:proofErr w:type="spellStart"/>
      <w:r w:rsidRPr="007122AB">
        <w:rPr>
          <w:rFonts w:ascii="Times New Roman" w:hAnsi="Times New Roman"/>
          <w:color w:val="000000" w:themeColor="text1"/>
          <w:sz w:val="16"/>
          <w:szCs w:val="16"/>
        </w:rPr>
        <w:t>межсекционного</w:t>
      </w:r>
      <w:proofErr w:type="spellEnd"/>
      <w:r w:rsidRPr="007122AB">
        <w:rPr>
          <w:rFonts w:ascii="Times New Roman" w:hAnsi="Times New Roman"/>
          <w:color w:val="000000" w:themeColor="text1"/>
          <w:sz w:val="16"/>
          <w:szCs w:val="16"/>
        </w:rPr>
        <w:t xml:space="preserve"> бюро инженерно-технических секций. 26 ноября 1931 г.</w:t>
      </w:r>
    </w:p>
    <w:p w14:paraId="7E2F15C8" w14:textId="77777777" w:rsidR="00996162" w:rsidRPr="007122AB" w:rsidRDefault="009961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6F638553"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FEC21A" w14:textId="77777777" w:rsidR="00996162" w:rsidRPr="007122AB" w:rsidRDefault="00996162"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63695083" w14:textId="77777777" w:rsidR="00996162" w:rsidRPr="007122AB" w:rsidRDefault="0099616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Опубликовано в: Инженерный труд. 1931. № 22-23. С. 658-664. («Доклад генерального секретаря ВПСПС тов. Н. М, Шверника ВРЕДИТЕЛЬСТВО И ЗАДАЧИ ИТС»)</w:t>
      </w:r>
    </w:p>
    <w:p w14:paraId="5A428F19" w14:textId="77777777" w:rsidR="00996162" w:rsidRPr="007122AB" w:rsidRDefault="00996162" w:rsidP="007122AB">
      <w:pPr>
        <w:pStyle w:val="rteright"/>
        <w:spacing w:before="0" w:after="0"/>
        <w:jc w:val="both"/>
        <w:rPr>
          <w:color w:val="000000" w:themeColor="text1"/>
          <w:sz w:val="16"/>
          <w:szCs w:val="16"/>
        </w:rPr>
      </w:pPr>
      <w:r w:rsidRPr="007122AB">
        <w:rPr>
          <w:color w:val="000000" w:themeColor="text1"/>
          <w:sz w:val="16"/>
          <w:szCs w:val="16"/>
        </w:rPr>
        <w:t>26 ноября 1931 г.</w:t>
      </w:r>
    </w:p>
    <w:p w14:paraId="4678A64C" w14:textId="77777777" w:rsidR="00996162" w:rsidRPr="007122AB" w:rsidRDefault="00996162" w:rsidP="007122AB">
      <w:pPr>
        <w:pStyle w:val="ae"/>
        <w:spacing w:before="0" w:after="0"/>
        <w:jc w:val="both"/>
        <w:rPr>
          <w:color w:val="000000" w:themeColor="text1"/>
          <w:sz w:val="16"/>
          <w:szCs w:val="16"/>
        </w:rPr>
      </w:pPr>
      <w:r w:rsidRPr="007122AB">
        <w:rPr>
          <w:color w:val="000000" w:themeColor="text1"/>
          <w:sz w:val="16"/>
          <w:szCs w:val="16"/>
        </w:rPr>
        <w:t>ДОКЛАД ТОВ. ШВЕРНИКА НА IV-м ПЛЕНУМЕ ВМБИТ</w:t>
      </w:r>
    </w:p>
    <w:p w14:paraId="1D9080E3" w14:textId="77777777" w:rsidR="00996162" w:rsidRPr="007122AB" w:rsidRDefault="00996162" w:rsidP="007122AB">
      <w:pPr>
        <w:pStyle w:val="ae"/>
        <w:spacing w:before="0" w:after="0"/>
        <w:jc w:val="both"/>
        <w:rPr>
          <w:color w:val="000000" w:themeColor="text1"/>
          <w:sz w:val="16"/>
          <w:szCs w:val="16"/>
        </w:rPr>
      </w:pPr>
      <w:r w:rsidRPr="007122AB">
        <w:rPr>
          <w:color w:val="000000" w:themeColor="text1"/>
          <w:sz w:val="16"/>
          <w:szCs w:val="16"/>
        </w:rPr>
        <w:t>«ВРЕДИТЕЛЬСТВО И ЗАДАЧИ ИТС»</w:t>
      </w:r>
    </w:p>
    <w:p w14:paraId="4BAD3EA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Товарищи, IV-й расширенный Пленум ВМБИТ происходит в момент, когда внутреннее положение СССР и международная обстановка характеризуются усилением социалистических позиций пролетариата. Не случайно, что именно теперь обостряется классовая борьба внутри страны и идет лихорадочная подготовка международного империализма к интервенции против нашей страны строящегося социализма. Наглядным показателем этого является происходящий сейчас в Москве процесс Промышленной вредительской партии, отражающий борьбу наших внешних и внутренних врагов, направленную против социалистического строительства.</w:t>
      </w:r>
    </w:p>
    <w:p w14:paraId="504A9E9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СССР уже вступил в полосу развернутого наступления социализма по всему фронту, сопровождающегося выкорчевыванием остатков капитализма в нашей стране. Нелепо было бы думать, что умирающие классы будут без боя сдавать свои позиции.</w:t>
      </w:r>
    </w:p>
    <w:p w14:paraId="59B2A041"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 каждом участке социалистического строительства и в области промышленности и в области сельского хозяйства, мы встречаем ощетинившегося врага, открыто или замаскировано подрывающего это строительство.</w:t>
      </w:r>
    </w:p>
    <w:p w14:paraId="34BACD8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Рабочий класс в союзе с основными массами крестьянства, под руководством Коммунистической партии, ломая все преграды на своем пути, с успехом осуществляет свое наступление на всех участках социалистического строительства. Красноречивым доказательством наших успехов является осуществление планов первых двух лет пятилетки, осуществление величайшей экономической и политической программы, намеченной нашей партией.</w:t>
      </w:r>
    </w:p>
    <w:p w14:paraId="7D6CA8A8"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Первые два года пятилетки показали, что этап пройден пролетариатом и трудящимися СССР, несмотря на все трудности, с хорошим результатом. Сейчас нет ни одной страны в мире, которая могла бы похвастаться такими же темпами, которых достигли пролетариат и трудящиеся Советского Союза в области развертывания промышленности и сельского хозяйства.</w:t>
      </w:r>
    </w:p>
    <w:p w14:paraId="4C8F40B2"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lastRenderedPageBreak/>
        <w:t xml:space="preserve">Успехи первых двух лет пятилетки обязывают нас обеспечить дальнейшее победоносное наступление пролетариата СССР, создав необходимые условия для осуществления 3-го года пятилетки. 3-й год будет решающим. В [19]31 г. должны вступить в </w:t>
      </w:r>
      <w:proofErr w:type="spellStart"/>
      <w:r w:rsidRPr="007122AB">
        <w:rPr>
          <w:color w:val="000000" w:themeColor="text1"/>
          <w:sz w:val="16"/>
          <w:szCs w:val="16"/>
        </w:rPr>
        <w:t>эксплоатацию</w:t>
      </w:r>
      <w:proofErr w:type="spellEnd"/>
      <w:r w:rsidRPr="007122AB">
        <w:rPr>
          <w:color w:val="000000" w:themeColor="text1"/>
          <w:sz w:val="16"/>
          <w:szCs w:val="16"/>
        </w:rPr>
        <w:t xml:space="preserve"> ряд крупнейших предприятий тяжелой индустрии, которые подведут новую мощную базу дальнейшего развертывания промышленности. Работа новых предприятий даст возможность значительного освобождения нашего строительства в техническом и экономическом отношении от зависимости капиталистических стран.</w:t>
      </w:r>
    </w:p>
    <w:p w14:paraId="2EB1DCA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Мы уже вплотную подошли к ликвидации последнего оплота капитализма, класса кулаков, на базе сплошной коллективизации. Огромны наши достижения (я не буду здесь приводить цифр потому, что аудитория совершенно достаточно квалифицированная) и в области перестройки сельского хозяйства. Не отметить этих достижений мы не можем потому, что именно вокруг перестройки сельского хозяйства на базе коллективизации больше всего было проявлено неверия как со стороны правых и «левых» оппортунистов, внутри партии.</w:t>
      </w:r>
    </w:p>
    <w:p w14:paraId="786BEE4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Однако успехи наши в области развертывания коллективизации сельского хозяйства, когда уже свыше 40 % индивидуальных бедняцко-середняцких хозяйств охвачено колхозами, опрокидывают надежды наших врагов. У нас уже имеется целый ряд районов сплошной коллективизации, ряд прекраснейших отдельных колхозов и коммун, которые являются в глазах широких крестьянских масс лучшими агитаторами преимущества крупного хозяйства перед мелким, индивидуальным крестьянским хозяйством. У нас налицо все стимулы для того, чтобы решительнее развивать дальнейшую работу в области коллективизации.</w:t>
      </w:r>
    </w:p>
    <w:p w14:paraId="5FA014C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Наши успехи достигнуты исключительно потому, что рабочий класс и трудящиеся СССР с огромным энтузиазмом осуществляют на практике генеральную линию нашей партии. Успехами нашего наступательного движения опрокидываются все кривотолки врагов пролетариата и «пророческие» предсказания правых и левых оппортунистов о «высоких» темпах развертывания промышленности и об осторожности, которую они рекомендуют проявлять в отношении развертывания коллективизации и ликвидации кулачества, как класса.</w:t>
      </w:r>
    </w:p>
    <w:p w14:paraId="1B4AA03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Наше наступательное движение сопровождается ожесточенной классовой борьбой. В деревне против нас выступает кулак. Лучшей же иллюстрацией классовой борьбы &lt;на предприятии&gt; является происходящий ныне процесс Промышленной вредительской партии, держащей ответ перед судом пролетариата за разрушительную работу, которую они в течении ряда лет совершали.</w:t>
      </w:r>
    </w:p>
    <w:p w14:paraId="18F12A1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Размах вредительской деятельности был огромен. Все их мероприятия были направлены к тому, чтобы довести нашу страну до полной экономической катастрофы. Не удалось им это только потому, что наше социалистическое строительство осуществляется миллионными массами рабочих и трудящихся СССР, которые несмотря на все трудности, самоотверженно и с огромным энтузиазмом </w:t>
      </w:r>
      <w:proofErr w:type="spellStart"/>
      <w:r w:rsidRPr="007122AB">
        <w:rPr>
          <w:color w:val="000000" w:themeColor="text1"/>
          <w:sz w:val="16"/>
          <w:szCs w:val="16"/>
        </w:rPr>
        <w:t>борятся</w:t>
      </w:r>
      <w:proofErr w:type="spellEnd"/>
      <w:r w:rsidRPr="007122AB">
        <w:rPr>
          <w:color w:val="000000" w:themeColor="text1"/>
          <w:sz w:val="16"/>
          <w:szCs w:val="16"/>
        </w:rPr>
        <w:t xml:space="preserve"> на всех участках социалистического строительства. Только благодаря этим обстоятельствам последствия вредительства не нанесли и не могли нанести того вреда, который пытались причинить Промпартия и др. вредительские организации. На процессе сами вредители говорят, что их работа наталкивалась на величайшую активность и энтузиазм рабочего класса, железными тисками пролетарских рук парализовавших маневры и ухищрения вредителей.</w:t>
      </w:r>
    </w:p>
    <w:p w14:paraId="76E93CA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Все надежды вредителей на внутренние силы </w:t>
      </w:r>
      <w:proofErr w:type="spellStart"/>
      <w:r w:rsidRPr="007122AB">
        <w:rPr>
          <w:color w:val="000000" w:themeColor="text1"/>
          <w:sz w:val="16"/>
          <w:szCs w:val="16"/>
        </w:rPr>
        <w:t>контр-революции</w:t>
      </w:r>
      <w:proofErr w:type="spellEnd"/>
      <w:r w:rsidRPr="007122AB">
        <w:rPr>
          <w:color w:val="000000" w:themeColor="text1"/>
          <w:sz w:val="16"/>
          <w:szCs w:val="16"/>
        </w:rPr>
        <w:t xml:space="preserve"> постоянно сметались сопротивлением широчайших рабочих масс. Не случайно поэтому поставлен вопрос об интервенции империалистических государств. “Внутренних к/p сил недостаточно, для них необходима интервенция, чтобы при ее посредстве сорвать социалистическое строительство.</w:t>
      </w:r>
    </w:p>
    <w:p w14:paraId="6CC7B8C3"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Бешенная ненависть, которую питают к нам капиталистические государства толкает последние на всякие авантюры, на всевозможные ухищрения, чтобы сорвать наше социалистическое строительство, в успехе которого они видят гибель капиталистического строя. Вам из газет известно, что сейчас ведется </w:t>
      </w:r>
      <w:proofErr w:type="spellStart"/>
      <w:r w:rsidRPr="007122AB">
        <w:rPr>
          <w:color w:val="000000" w:themeColor="text1"/>
          <w:sz w:val="16"/>
          <w:szCs w:val="16"/>
        </w:rPr>
        <w:t>ожесточеннейшая</w:t>
      </w:r>
      <w:proofErr w:type="spellEnd"/>
      <w:r w:rsidRPr="007122AB">
        <w:rPr>
          <w:color w:val="000000" w:themeColor="text1"/>
          <w:sz w:val="16"/>
          <w:szCs w:val="16"/>
        </w:rPr>
        <w:t xml:space="preserve"> кампания во всех капиталистических странах против так называемого нашего советского демпинга. Не случайно, что кампания эта наиболее широко развернулась именно во Франции, где во главе правительства стоят и стояли наиболее матерые империалисты и враги Советского Союза, вроде Пуанкаре и </w:t>
      </w:r>
      <w:proofErr w:type="spellStart"/>
      <w:r w:rsidRPr="007122AB">
        <w:rPr>
          <w:color w:val="000000" w:themeColor="text1"/>
          <w:sz w:val="16"/>
          <w:szCs w:val="16"/>
        </w:rPr>
        <w:t>Бриана</w:t>
      </w:r>
      <w:proofErr w:type="spellEnd"/>
      <w:r w:rsidRPr="007122AB">
        <w:rPr>
          <w:color w:val="000000" w:themeColor="text1"/>
          <w:sz w:val="16"/>
          <w:szCs w:val="16"/>
        </w:rPr>
        <w:t xml:space="preserve">. Для чего им понадобилась история с «советским демпингом»? Для того, чтобы подготовить общественное мнение к необходимости интервенции в страну Советов. Они понимают, что говорить открыто об интервенции против Советского Союза невозможно и пытаются Подготовиться к ней путем соответствующего общественного мнения и накопления сил. В средствах же они не стесняются. Страх перед успехами социалистического строительства настолько велик, что все средства, которые только имеются в распоряжении капитализма пущены в ход. Центр внимания всех прикован к тому, чтобы помешать выполнению пятилетки, чтобы подорвать экономическую базу строительства социализма. В осуществлении пятилетки капитализм видит неимоверный рост экономической мощи народного хозяйства СССР, а следовательно и укрепление ее обороноспособности. С осуществлением пятилетки уже трудно будет задушить Советский Союз. В этом можно достаточно убедиться, взглянув лишь на страницы газет и показания, которые даны проф. Рамзиным на процессе. Из них видно, что интервенция намечалась на 1930 г., когда результаты вредительской деятельности будут наиболее ощутимы. Когда же осуществлению этого помешало усиление темпов </w:t>
      </w:r>
      <w:proofErr w:type="spellStart"/>
      <w:r w:rsidRPr="007122AB">
        <w:rPr>
          <w:color w:val="000000" w:themeColor="text1"/>
          <w:sz w:val="16"/>
          <w:szCs w:val="16"/>
        </w:rPr>
        <w:t>соцстроительства</w:t>
      </w:r>
      <w:proofErr w:type="spellEnd"/>
      <w:r w:rsidRPr="007122AB">
        <w:rPr>
          <w:color w:val="000000" w:themeColor="text1"/>
          <w:sz w:val="16"/>
          <w:szCs w:val="16"/>
        </w:rPr>
        <w:t>, срок интервенции переносится на 1931 г. К этому времени господа капиталисты, путем распространения всяких сплетен о Советском Союзе, собирались подготовить первоначально экономическую блокаду против Советского Союза, чтоб сорвать пятилетку, а затем уже и обеспечить путь для интервенции. Вот отчего так усиленно развернулась пропаганда о так называемом советском демпинге. Они хотят лишить нас возможности продавать наши товары за границу, и тем самым приобретать необходимое для соц. строительства оборудование. Другими словами, объявляют нам экономическую блокаду. Сами же под шумок осуществляют 100 % демпинг. Франция, например, продает железо по цене на 10-70 % ниже против цен внутри страны. Америка на мировом рынке продает проволоку по цене 117 марок, а внутри страны по 190 марок за тонну. В Бельгии гвозди на внутреннем рынке стоят 212 марок, а в других странах 117 марок. Такое же положение в Англии, Германии и целом ряде других капиталистических стран. И об этом молчат господа капиталисты. Никто не пытается обвинять капиталистические страны, когда они осуществляют настоящий демпинг. Острие же целиком направлено против Советского Союза. Говорить же всерьез о советском демпинге не приходится, ибо всем очевидна вздорность таких рассуждений.</w:t>
      </w:r>
    </w:p>
    <w:p w14:paraId="45080DB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Но дело одним демпингом не ограничивается. За последнее время совершенно открыто происходит сговор фашистов Германии и Франции, за создание военного союза, острие которого целиком направлено против СССР. Французские фашисты обещают фашистам Германии огромные уступки лишь для того, чтобы еще больше усилить блок империалистических государств против Советского Союза.</w:t>
      </w:r>
    </w:p>
    <w:p w14:paraId="61042A6E"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Твердолобые в английском парламенте опять начали атаки, направленные к срыву торговых и дипломатических отношений с Советским Союзом.</w:t>
      </w:r>
    </w:p>
    <w:p w14:paraId="77DCBA3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Не случайно заворочались и подозрительно путешествуют друг с другом генеральные штабы Польши и Румынии.</w:t>
      </w:r>
    </w:p>
    <w:p w14:paraId="69DFC9C8"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И все это пытаются замаскировать пустой болтовней о разоружении. Наш представитель на сессии подготовительной комиссии Нарком Иностранных Дел тов. Литвинов сорвал маски с представителей капиталистических стран. В штыки встретили они предложения тов. Литвинова об установлении пределов вооружений. Этим лишний раз было подчеркнуто нежелание капиталистических стран действительно разоружиться и разоблачены фашистские разговорчики о разоружении. Ведь ни для кого не секрет, что под шумок о </w:t>
      </w:r>
      <w:proofErr w:type="spellStart"/>
      <w:r w:rsidRPr="007122AB">
        <w:rPr>
          <w:color w:val="000000" w:themeColor="text1"/>
          <w:sz w:val="16"/>
          <w:szCs w:val="16"/>
        </w:rPr>
        <w:t>разоружительных</w:t>
      </w:r>
      <w:proofErr w:type="spellEnd"/>
      <w:r w:rsidRPr="007122AB">
        <w:rPr>
          <w:color w:val="000000" w:themeColor="text1"/>
          <w:sz w:val="16"/>
          <w:szCs w:val="16"/>
        </w:rPr>
        <w:t xml:space="preserve"> конференциях идет лихорадочное вооружение, растут военные бюджеты Англии, Франции, Польши и других капиталистических стран. Острие всех этих приготовлений, главным образом, направляется против Советского Союза.</w:t>
      </w:r>
    </w:p>
    <w:p w14:paraId="494CF1B8"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 свете этих международных событий особенно должна быть отмечена огромная заслуга нашего верного и славного стража революции ОГПУ. (Аплодисменты). Своевременное раскрытие вредительских организаций, произведенное ОГПУ[,] вовремя прекратило разрушительную деятельность вредителей и отрубило лапы международного империализма внутри нашей страны.</w:t>
      </w:r>
    </w:p>
    <w:p w14:paraId="27E2078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Не случайно, товарищи, злейший враг Советского Союза Пуанкаре выступил в последнее время с несколькими статьями, направленными против СССР. Пуанкаре взял на себя «благородную» миссию подготовить общественное мнение буржуазии и призыв капиталистических стран к войне против Советского Союза. Он прямо говорит об опасности, которую представляет для капиталистических стран дальнейшее укрепление Советского Союза. Особенно он проявляет большое недовольство постановлением Советского правительства в связи с ликвидацией безработицы. Он мечет гром и молнии против страны советов. Пуанкаре пишет, что декрет устанавливает принудительный труд на огромном протяжении советской территории. Пуанкаре считает, что декрет советского правительства должен быть известен всему «цивилизованному миру» для того чтобы все «цивилизованные народы знали, как понимают советы личную свободу».</w:t>
      </w:r>
    </w:p>
    <w:p w14:paraId="25484853"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 этой части статьи мы должны согласиться с Пуанкаре. Мир действительно должен знать, что в СССР — стране диктатуры пролетариата, безработица ликвидирована. В первую очередь это должны знать 25 мил. безработных Англии, Германии, С. Штатов, Франции, Польши и др. «цивилизованных» стран. Об этом же должен знать и весь рабочий класс «цивилизованных» стран и пролетариат колоний, находящихся под гнетом капитализма.</w:t>
      </w:r>
    </w:p>
    <w:p w14:paraId="610B500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Почему же недоволен Пуанкаре? Да потому, что он видит, как СССР успешно осуществляет свое социалистическое строительство, в то время, как в «цивилизованных» странах жесточайший экономический кризис.</w:t>
      </w:r>
    </w:p>
    <w:p w14:paraId="0A0AC98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Он наглядно убеждается в преимуществах социалистической системы над капиталистической. Он видит, что в то время как капиталистические страны переживают жесточайший экономический кризис, в связи с чем падает производство продукции, увеличивается безработица, снижается зарплата, в СССР огромный размах строительства, повышается жизненный уровень трудящихся, ликвидирована безработица.</w:t>
      </w:r>
    </w:p>
    <w:p w14:paraId="5AE232D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 Германии напр. выработка стали в сентябре т. г. упала на 34 % против прошлого года, в Америке на 36 %.</w:t>
      </w:r>
    </w:p>
    <w:p w14:paraId="32C4F9B6"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Производственные механизмы капиталистических стран не используются с полной нагрузкой. В Америке напр. домны используются лишь на 60 % их производительности. Вы видите, что даже такая передовая в смысле капиталистической организованности страна, каковой является Америка, не в состоянии расправить производственные крылья и полностью использовать свои технические возможности.</w:t>
      </w:r>
    </w:p>
    <w:p w14:paraId="49AC76E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А что происходит в Советском Союзе? Как раз обратное явление. В первые два года пятилетки мы достигли колоссальных успехов. Несмотря на все трудности из года в год увеличивается выпуск продукции, растет основной капитал промышленности, перестраивается сельское хозяйство, ликвидирован[а] безработица, улучшается культурно-бытовое и материальное положение рабочих, миллионные массы пролетариата и трудящихся практически изо дня в день ведут борьбу на всех фронтах социалистического строительства.</w:t>
      </w:r>
    </w:p>
    <w:p w14:paraId="785AA088"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lastRenderedPageBreak/>
        <w:t>Экономический кризис[,] переживаемый калит[</w:t>
      </w:r>
      <w:proofErr w:type="spellStart"/>
      <w:r w:rsidRPr="007122AB">
        <w:rPr>
          <w:color w:val="000000" w:themeColor="text1"/>
          <w:sz w:val="16"/>
          <w:szCs w:val="16"/>
        </w:rPr>
        <w:t>алистическими</w:t>
      </w:r>
      <w:proofErr w:type="spellEnd"/>
      <w:r w:rsidRPr="007122AB">
        <w:rPr>
          <w:color w:val="000000" w:themeColor="text1"/>
          <w:sz w:val="16"/>
          <w:szCs w:val="16"/>
        </w:rPr>
        <w:t>] странами, сопровождающийся увеличением безработицы, ухудшение материального положения пролетариата, начинает перерастать в кризис политический. В последнее время мы уже видим целый ряд ярких политических выступлений пролетариата в отдельных капиталистических странах.</w:t>
      </w:r>
    </w:p>
    <w:p w14:paraId="47CD841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Всем очевидно памятна последняя стачка металлистов Германии, в которой участвовало до 1340 тыс. рабочих. Из-за предательства социал- фашистских лакеев буржуазии, стачка была сорвана, но пролетариат Берлина ответил на это созданием своих красных революционных союзов металлистов. Памятны вам и выборы в Германский рейхстаг, когда берлинский пролетариат отдав свои голоса компартии, проголосовал тем самым за Советскую Германию. Мы наблюдаем огромный подъем революционной волны в Китае, Индии и др. полуколониальных странах.</w:t>
      </w:r>
    </w:p>
    <w:p w14:paraId="3250EB14"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Страх перед грядущей революцией и заставляет кричать о «фанатиках из СССР» таких ярых империалистов, как Пуанкаре.</w:t>
      </w:r>
    </w:p>
    <w:p w14:paraId="655722C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Отсюда и та лихорадочная подготовка, которую ведут они против нашей страны Советов. Капитализм желая разрешить кризис ищет выхода. И единственный путь он находит в интервенции в наш Советский Союз. Капитализм торопится, ибо он видит что успешное осуществление социалистического строительства отнимает у них последние надежды удушения единственной в мире социалистической республики?</w:t>
      </w:r>
    </w:p>
    <w:p w14:paraId="5ADCFA56"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Зараза, про которую пишет в своих статьях Пуанкаре распространяется изо дня в день, несмотря на все ухищрения империализма. Пролетариат всего мира на своей спине убеждается в «прелестях» капиталистической системы и видит свое спасение только в свержении капитализма.</w:t>
      </w:r>
    </w:p>
    <w:p w14:paraId="6A7CA63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Но в предсмертной агонии враг идет на всякие авантюры, лишь бы найти выход и спасение.</w:t>
      </w:r>
    </w:p>
    <w:p w14:paraId="4B02225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Поэтому мы должны быть бдительны.</w:t>
      </w:r>
    </w:p>
    <w:p w14:paraId="2BEC3594"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Поэтому нам необходимо с особой внимательностью отнестись к происходящему сейчас процессу «</w:t>
      </w:r>
      <w:proofErr w:type="spellStart"/>
      <w:r w:rsidRPr="007122AB">
        <w:rPr>
          <w:color w:val="000000" w:themeColor="text1"/>
          <w:sz w:val="16"/>
          <w:szCs w:val="16"/>
        </w:rPr>
        <w:t>Пром</w:t>
      </w:r>
      <w:proofErr w:type="spellEnd"/>
      <w:r w:rsidRPr="007122AB">
        <w:rPr>
          <w:color w:val="000000" w:themeColor="text1"/>
          <w:sz w:val="16"/>
          <w:szCs w:val="16"/>
        </w:rPr>
        <w:t>. партии», надо внимательно изучить все их планы, чтобы впредь предупредить всякую возможность вредительства.</w:t>
      </w:r>
    </w:p>
    <w:p w14:paraId="1FD03DA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Промышленная партия ставила своей задачей создать почву для интервенции путем создания экономических кризисов в отдельных отраслях промышленности и народного хозяйства, подготовив тем самым, предпосылки для интервенции международного империализма в СССР.</w:t>
      </w:r>
    </w:p>
    <w:p w14:paraId="12DA86DD"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Промышленная партия, состоя в связи с международным капитализмом^] деятельность свою[,] главным образом, распространяла на отрасли промышленности, связанные в прошлом с международным капиталом. Объектами вредительской деятельности были все области промышленности и земледелия. Нет[,] кажется, ни одной отрасли народного хозяйства, где верхушка буржуазной, технической интеллигенции, связанная корнями с бывшими капиталистами, не вела своей разрушительной работы. Эта верхушка, состоявшая из бывш. акционеров и людей[,] бывших в </w:t>
      </w:r>
      <w:proofErr w:type="spellStart"/>
      <w:r w:rsidRPr="007122AB">
        <w:rPr>
          <w:color w:val="000000" w:themeColor="text1"/>
          <w:sz w:val="16"/>
          <w:szCs w:val="16"/>
        </w:rPr>
        <w:t>прив</w:t>
      </w:r>
      <w:proofErr w:type="spellEnd"/>
      <w:r w:rsidRPr="007122AB">
        <w:rPr>
          <w:color w:val="000000" w:themeColor="text1"/>
          <w:sz w:val="16"/>
          <w:szCs w:val="16"/>
        </w:rPr>
        <w:t>[и]л[е]</w:t>
      </w:r>
      <w:proofErr w:type="spellStart"/>
      <w:r w:rsidRPr="007122AB">
        <w:rPr>
          <w:color w:val="000000" w:themeColor="text1"/>
          <w:sz w:val="16"/>
          <w:szCs w:val="16"/>
        </w:rPr>
        <w:t>гированном</w:t>
      </w:r>
      <w:proofErr w:type="spellEnd"/>
      <w:r w:rsidRPr="007122AB">
        <w:rPr>
          <w:color w:val="000000" w:themeColor="text1"/>
          <w:sz w:val="16"/>
          <w:szCs w:val="16"/>
        </w:rPr>
        <w:t xml:space="preserve"> положении у своих хозяев, установили связь с ними и генеральными штабами некоторых империалистических стран, стремясь подорвать мощь Советского Союза и свергнуть диктатуру пролетариата. Не случайно поэтому центр своей деятельности вредители сосредоточили, главным образом, в нефтяной промышленности, где хозяйствовал англо-французский капитал, в черной металлургии и угле, где хозяйствовал франко-бельгийский капитал.</w:t>
      </w:r>
    </w:p>
    <w:p w14:paraId="6474998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Какие же методы борьбы применялись вредительскими элементами. Основной задачей они ставили длительное омертвление капиталовложений, путем создания диспропорции между отдельными отраслями народного хозяйства, а также замедление развертывания основных отраслей промышленности, без которых невозможно формировать производство средств производства.</w:t>
      </w:r>
    </w:p>
    <w:p w14:paraId="6833010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Возьмем выработку чугуна. Вредители предполагали к концу пятилетки ограничить добычу 7 мил. тонн чугуна.</w:t>
      </w:r>
    </w:p>
    <w:p w14:paraId="07BB1E5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 результате борьбы с вредителями, в результате непосредственного практического руководства Центрального Комитета партии цифра производства чугуна к концу пятилетки увеличена до 17 мил. тонн. Разница в два с половиной раза против первоначальной наметки, которую выдвигали вредители, как максимальную.</w:t>
      </w:r>
    </w:p>
    <w:p w14:paraId="3088D82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Такая же картина и по нефти. По пятилетнему плану принятому съездом Советов цифра добычи нефти была определена в размере 2223 мил. тонн. Цифра в 22-23 мил. тонн, как заявляют целый ряд работников нефтяной промышленности, принята при ожесточенной борьбе против вредителей, которые настаивали на 16-17 мил. тонн добычи, как максимальном количестве.</w:t>
      </w:r>
    </w:p>
    <w:p w14:paraId="0CD978D6"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Теперь же получается, что пятилетний план по добыче нефти, утвержденный съездом Советов выполнен в 2</w:t>
      </w:r>
      <w:r w:rsidRPr="007122AB">
        <w:rPr>
          <w:color w:val="000000" w:themeColor="text1"/>
          <w:sz w:val="16"/>
          <w:szCs w:val="16"/>
          <w:vertAlign w:val="superscript"/>
        </w:rPr>
        <w:t>1</w:t>
      </w:r>
      <w:r w:rsidRPr="007122AB">
        <w:rPr>
          <w:color w:val="000000" w:themeColor="text1"/>
          <w:sz w:val="16"/>
          <w:szCs w:val="16"/>
        </w:rPr>
        <w:t>/</w:t>
      </w:r>
      <w:r w:rsidRPr="007122AB">
        <w:rPr>
          <w:color w:val="000000" w:themeColor="text1"/>
          <w:sz w:val="16"/>
          <w:szCs w:val="16"/>
          <w:vertAlign w:val="subscript"/>
        </w:rPr>
        <w:t>2</w:t>
      </w:r>
      <w:r w:rsidRPr="007122AB">
        <w:rPr>
          <w:color w:val="000000" w:themeColor="text1"/>
          <w:sz w:val="16"/>
          <w:szCs w:val="16"/>
        </w:rPr>
        <w:t>–3 года. Недавно правительство рассмотрев вопрос по существу наметило цифру добычи к концу пятилетки в 46 мил. тонн, т. е. в 2 раза больше против первоначальной цифры, утвержденной съездом Советов.</w:t>
      </w:r>
    </w:p>
    <w:p w14:paraId="0DFD585A"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По углю деятельность вредителей была направлена по линии замедления добычи особенно в районах Подмосковном, Кузнецком и в Донбассе. С этой целью увеличивали количество бездействующих шахт, медленно развертывали строительство новых и задерживали капитальные ремонты старых, искусственно ухудшали жилищные условия, создавали кризис в электроснабжении Донбасса, Кузбасса и др. угольных районов.</w:t>
      </w:r>
    </w:p>
    <w:p w14:paraId="4B33276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Особое внимание я хотел бы обратить на строительство </w:t>
      </w:r>
      <w:proofErr w:type="spellStart"/>
      <w:r w:rsidRPr="007122AB">
        <w:rPr>
          <w:color w:val="000000" w:themeColor="text1"/>
          <w:sz w:val="16"/>
          <w:szCs w:val="16"/>
        </w:rPr>
        <w:t>Штеровской</w:t>
      </w:r>
      <w:proofErr w:type="spellEnd"/>
      <w:r w:rsidRPr="007122AB">
        <w:rPr>
          <w:color w:val="000000" w:themeColor="text1"/>
          <w:sz w:val="16"/>
          <w:szCs w:val="16"/>
        </w:rPr>
        <w:t xml:space="preserve"> станции. Смотрите, сколько лет она строилась. Ведь делалось это на глазах у всех. Как реагировали на это явление специалисты? Мы к сожалению не слышали своевременно сигнализации от специалистов во время строительства. Сейчас, когда факты вредительской работы раскрыты, некоторые делают хорошую мину при плохой игре, заявляя: «а я тогда говорил и т. д.» Грош цена тому, что они говорили. Не важно то, что они говорили, а важно то, что они сделали, чтобы предупредить вредительство.</w:t>
      </w:r>
    </w:p>
    <w:p w14:paraId="047C32F4"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Огромный размер вредительство приняло на транспорте, в текстильной промышленности, электропромышленности и др. отраслях народного хозяйства.</w:t>
      </w:r>
    </w:p>
    <w:p w14:paraId="2BBB7084"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Анализируя непосредственную работу вредительской организации, нам надо усилить нашу классовую бдительность и наметить такие практические мероприятия в работе, которые бы укрепили на всех участках классовые позиции пролетариата и таким образом исключили возможность малейшего развития вредительской работы.</w:t>
      </w:r>
    </w:p>
    <w:p w14:paraId="50D8426E"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Классовый враг не сдаст своих позиций без боя, а будет изыскивать пути, чтобы завуалировать свою борьбу, и наносить удар за ударом нашему социалистическому строительству. В этом вся механика классовой борьбы. Никакими инструкциями, никакими контрольными] цифрами не ликвидируем вредительства. Если была бы хоть какая[-]</w:t>
      </w:r>
      <w:proofErr w:type="spellStart"/>
      <w:r w:rsidRPr="007122AB">
        <w:rPr>
          <w:color w:val="000000" w:themeColor="text1"/>
          <w:sz w:val="16"/>
          <w:szCs w:val="16"/>
        </w:rPr>
        <w:t>нибудь</w:t>
      </w:r>
      <w:proofErr w:type="spellEnd"/>
      <w:r w:rsidRPr="007122AB">
        <w:rPr>
          <w:color w:val="000000" w:themeColor="text1"/>
          <w:sz w:val="16"/>
          <w:szCs w:val="16"/>
        </w:rPr>
        <w:t xml:space="preserve"> возможность написать документ, который гарантировал бы от вредительской работы, то поверьте, мы сумели бы и очень хорошо написали бы такой документ. Но бумагой и словами не ликвидируешь вредительства. Только делом, непосредственной работой каждого на своем участке можно будет ликвидировать последствия и предупредить возможность дальнейшего вредительства. Классовый враг будет сражаться не на жизнь, а на смерть. Корни вредительства в промышленности и в сельском хозяйстве еще не выкорчеваны и классовые бои предстоят нам еще, как внутри страны, так и с зарубежным капитализмом.</w:t>
      </w:r>
    </w:p>
    <w:p w14:paraId="137964E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Чем же объяснить тот факт, что вредительство протекавшее значительный промежуток времени оставалось так долго нераскрытым? Объяснить тем что мы проглядели, было бы совершенно неправильным. Объяснять так, это значит не понимать переживаемой нами эпохи реконструктивного периода, не понимать того, что новое[,] приходящее на смену отживающему, внедряется путем «кровавой и бескровной борьбы».</w:t>
      </w:r>
    </w:p>
    <w:p w14:paraId="3321D8AD"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Кто виноват в том, что своевременно не сигнализировал о наличии вредительства? Некоторые товарищи говорят «ВМБИТ виноват» и тут же делают вывод: «распустить ВМБИТ». Я считаю, что такая постановка в корне неправильна. Если бы так стоял вопрос, что роспуском ВМБИТ был бы разрешен вопрос о полной ликвидации вредительства, то поверьте мы бы ВМБИТ распустили, ни минуту об этом не задумываясь. Но еще раз повторяю, что не в роспуске </w:t>
      </w:r>
      <w:proofErr w:type="spellStart"/>
      <w:r w:rsidRPr="007122AB">
        <w:rPr>
          <w:color w:val="000000" w:themeColor="text1"/>
          <w:sz w:val="16"/>
          <w:szCs w:val="16"/>
        </w:rPr>
        <w:t>ВМБИТа</w:t>
      </w:r>
      <w:proofErr w:type="spellEnd"/>
      <w:r w:rsidRPr="007122AB">
        <w:rPr>
          <w:color w:val="000000" w:themeColor="text1"/>
          <w:sz w:val="16"/>
          <w:szCs w:val="16"/>
        </w:rPr>
        <w:t xml:space="preserve">, </w:t>
      </w:r>
      <w:proofErr w:type="spellStart"/>
      <w:r w:rsidRPr="007122AB">
        <w:rPr>
          <w:color w:val="000000" w:themeColor="text1"/>
          <w:sz w:val="16"/>
          <w:szCs w:val="16"/>
        </w:rPr>
        <w:t>ОМБИТов</w:t>
      </w:r>
      <w:proofErr w:type="spellEnd"/>
      <w:r w:rsidRPr="007122AB">
        <w:rPr>
          <w:color w:val="000000" w:themeColor="text1"/>
          <w:sz w:val="16"/>
          <w:szCs w:val="16"/>
        </w:rPr>
        <w:t xml:space="preserve"> и ИТС дело. Надо глубже смотреть — прямо в корень зла. Надо понять сущность дела и ту механику классовой борьбы, которая сейчас ведется на всех участках социалистического строительства. В реконструктивный период, когда мы создаем новую социалистическую базу, когда мы пересматриваем и уничтожаем последние устои капитализма, ставя своей задачей «догнать и перегнать в технико-экономическом отношении» передовые капиталистические страны, все враждебные нам классы ощетиниваются, отчаянно сопротивляются, ибо в успешном осуществлении нашего строительства они теряют окончательную надежду на возврат старого. Отсюда понятны должны быть для каждого причины вредительства, отсюда понятны для каждого обострение классовой борьбы. «Объяснять все зевком — это значит не понять сути дела», как правильно сказал тов. Сталин. Надо понять те взаимоотношения, которые создаются на почве экономического роста нашего Советского Союза[,] и причины классовой борьбы и тогда станет совершенно ясным вопрос и о причинах вредительства.</w:t>
      </w:r>
    </w:p>
    <w:p w14:paraId="3482330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Товарищи, прав был тов. Сталин, когда он после </w:t>
      </w:r>
      <w:proofErr w:type="spellStart"/>
      <w:r w:rsidRPr="007122AB">
        <w:rPr>
          <w:color w:val="000000" w:themeColor="text1"/>
          <w:sz w:val="16"/>
          <w:szCs w:val="16"/>
        </w:rPr>
        <w:t>шахтинского</w:t>
      </w:r>
      <w:proofErr w:type="spellEnd"/>
      <w:r w:rsidRPr="007122AB">
        <w:rPr>
          <w:color w:val="000000" w:themeColor="text1"/>
          <w:sz w:val="16"/>
          <w:szCs w:val="16"/>
        </w:rPr>
        <w:t xml:space="preserve"> процесса, на пленуме ЦК сделал такой вывод[:] «Было бы глупо предполагать, что международный капитал оставит нас в покое. Классы существуют, международный капитал существует и он не может спокойно смотреть на развитие страны строящегося социализма. Он будет стараться впредь ослабить нашу хозяйственную мощь путем невиданной, не всегда заметной, но довольно внушительной экономической интервенции, организуя вредительство, подготовляя всякие кризисы в тех или иных отраслях промышленности и облегчая тем самым возможность будущей военной интервенции» (Сталин).</w:t>
      </w:r>
    </w:p>
    <w:p w14:paraId="01EB4BCA"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И этот вывод в полной мере подтверждается происходящими ныне событиями. Классовый враг[,] не брезгуя никакими средствами и прикрываясь лицемерием, влезает в доверие рабочего класса и массы инженерно-технических работников. Вредители пробрались даже в составы руководящих органов инженерно-технических секций. На одном из таких вредителей, всем вам известном бывшем председателе </w:t>
      </w:r>
      <w:proofErr w:type="spellStart"/>
      <w:r w:rsidRPr="007122AB">
        <w:rPr>
          <w:color w:val="000000" w:themeColor="text1"/>
          <w:sz w:val="16"/>
          <w:szCs w:val="16"/>
        </w:rPr>
        <w:t>ВМБИТа</w:t>
      </w:r>
      <w:proofErr w:type="spellEnd"/>
      <w:r w:rsidRPr="007122AB">
        <w:rPr>
          <w:color w:val="000000" w:themeColor="text1"/>
          <w:sz w:val="16"/>
          <w:szCs w:val="16"/>
        </w:rPr>
        <w:t xml:space="preserve"> Шеине, я хочу несколько остановиться. Как выяснилось на процессе Шеин выступал в качестве общественного обвинителя </w:t>
      </w:r>
      <w:proofErr w:type="spellStart"/>
      <w:r w:rsidRPr="007122AB">
        <w:rPr>
          <w:color w:val="000000" w:themeColor="text1"/>
          <w:sz w:val="16"/>
          <w:szCs w:val="16"/>
        </w:rPr>
        <w:t>шахтинцев</w:t>
      </w:r>
      <w:proofErr w:type="spellEnd"/>
      <w:r w:rsidRPr="007122AB">
        <w:rPr>
          <w:color w:val="000000" w:themeColor="text1"/>
          <w:sz w:val="16"/>
          <w:szCs w:val="16"/>
        </w:rPr>
        <w:t xml:space="preserve"> по поручению «Промпартии». Как низко пал этот представитель вредительской верхушки специалистов, связанный с буржуазией, видно по отдельным цитатам его речи на процессе. В обвинительной речи на </w:t>
      </w:r>
      <w:proofErr w:type="spellStart"/>
      <w:r w:rsidRPr="007122AB">
        <w:rPr>
          <w:color w:val="000000" w:themeColor="text1"/>
          <w:sz w:val="16"/>
          <w:szCs w:val="16"/>
        </w:rPr>
        <w:t>шахтинском</w:t>
      </w:r>
      <w:proofErr w:type="spellEnd"/>
      <w:r w:rsidRPr="007122AB">
        <w:rPr>
          <w:color w:val="000000" w:themeColor="text1"/>
          <w:sz w:val="16"/>
          <w:szCs w:val="16"/>
        </w:rPr>
        <w:t xml:space="preserve"> процессе он заявил: «Сидящие здесь на скамье подсудимых продавали интересы народа, среди которого они выросли и из недр которого они вышли. Они были цепными собаками капитализма. Они хотели обезобразить лицо нашей промышленности, они хотели вызвать смерть рабочего класса».</w:t>
      </w:r>
    </w:p>
    <w:p w14:paraId="3AC72E1E"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Скажите, можно ли придумать какое-нибудь название этому факту? (С мест — провокация). Это еще слабо. Вот на что способен враг лишь-бы остаться незамеченным. Здесь спрашивают, почему </w:t>
      </w:r>
      <w:proofErr w:type="spellStart"/>
      <w:r w:rsidRPr="007122AB">
        <w:rPr>
          <w:color w:val="000000" w:themeColor="text1"/>
          <w:sz w:val="16"/>
          <w:szCs w:val="16"/>
        </w:rPr>
        <w:t>шахтинцы</w:t>
      </w:r>
      <w:proofErr w:type="spellEnd"/>
      <w:r w:rsidRPr="007122AB">
        <w:rPr>
          <w:color w:val="000000" w:themeColor="text1"/>
          <w:sz w:val="16"/>
          <w:szCs w:val="16"/>
        </w:rPr>
        <w:t xml:space="preserve"> его не выдали? Да потому, что принцип построения промышленной партии был цепочечным, т. е. по каждой отдельной отрасли промышленности существовала своя самостоятельная вредительская цепь организаций, при чем одна отрасль промышленности не знала участников вредительской работы другой отрасли. Поэтому вредитель химической промышленности Шеин выступал не боясь быть разоблаченным на процессе вредителей </w:t>
      </w:r>
      <w:proofErr w:type="spellStart"/>
      <w:r w:rsidRPr="007122AB">
        <w:rPr>
          <w:color w:val="000000" w:themeColor="text1"/>
          <w:sz w:val="16"/>
          <w:szCs w:val="16"/>
        </w:rPr>
        <w:t>шахтинцев</w:t>
      </w:r>
      <w:proofErr w:type="spellEnd"/>
      <w:r w:rsidRPr="007122AB">
        <w:rPr>
          <w:color w:val="000000" w:themeColor="text1"/>
          <w:sz w:val="16"/>
          <w:szCs w:val="16"/>
        </w:rPr>
        <w:t>.</w:t>
      </w:r>
    </w:p>
    <w:p w14:paraId="0641156A"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Принцип построения организации был таким, что одна цепочка людей делала свою вредительскую работу, другая свою и лишь небольшое количество членов Центрального Комитета координировали всю вредительскую деятельность.</w:t>
      </w:r>
    </w:p>
    <w:p w14:paraId="09DF25D4"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lastRenderedPageBreak/>
        <w:t>Поэтому так легко Шеин мог говорить: «если бы мне задали вопрос — какой худший вид преступника можно вообразить себе? Не зная процесса, я бы задумался, но теперь скажу: смотрите на них, контрреволюционеров Донбасса».</w:t>
      </w:r>
    </w:p>
    <w:p w14:paraId="50BAF0D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Как ловко этот классовый враг не стесняясь в выражениях в отношении своих соучастников </w:t>
      </w:r>
      <w:proofErr w:type="spellStart"/>
      <w:r w:rsidRPr="007122AB">
        <w:rPr>
          <w:color w:val="000000" w:themeColor="text1"/>
          <w:sz w:val="16"/>
          <w:szCs w:val="16"/>
        </w:rPr>
        <w:t>искуссно</w:t>
      </w:r>
      <w:proofErr w:type="spellEnd"/>
      <w:r w:rsidRPr="007122AB">
        <w:rPr>
          <w:color w:val="000000" w:themeColor="text1"/>
          <w:sz w:val="16"/>
          <w:szCs w:val="16"/>
        </w:rPr>
        <w:t xml:space="preserve"> прикрываясь именем честного специалистов, в тоге общественного обвинителя смог обмануть всех и вся, чтоб втереться в доверие рабочего класса и основной массы инженерно-технических работников.</w:t>
      </w:r>
    </w:p>
    <w:p w14:paraId="2EB60BC6"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Я думаю, что это чрезвычайно важный эпизод, мимо которого мы не можем пройти.</w:t>
      </w:r>
    </w:p>
    <w:p w14:paraId="18EE701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Мне пришлось слышать много разговоров о том: как же ВМБИТ терпел такого руководителя, как Шеин, как он его не разоблачил? Сейчас нужно распустить весь ВМБИТ.</w:t>
      </w:r>
    </w:p>
    <w:p w14:paraId="0E4EEEE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Товарищи, такая постановка, как я уже говорил, в корне неправильна. Ведь ВМБИТ организация непосредственно связанная с широкими массами инженерно-технических работников. Так вот, кто[-]либо из вас в течении всего этого времени давал ли хоть какой[-]то повод или намек руководителям ВМБИТ или профсоюзам, что Шеин является вредителем? К сожалению у нас никаких данных об этом не было. И лишь после того как Шеина арестовали и факт о вредительстве сделался достоянием широких рабочих масс, тогда находятся одиночки, которые говорят, что ВМБИТ проглядел историю с Шейном, надо его распустить.</w:t>
      </w:r>
    </w:p>
    <w:p w14:paraId="053112B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Если бы мы стали на этот путь, то нам пришлось бы распустить большинство хозяйственных аппаратов, в которых свили себе гнезда вредители. Конечно вина и </w:t>
      </w:r>
      <w:proofErr w:type="spellStart"/>
      <w:r w:rsidRPr="007122AB">
        <w:rPr>
          <w:color w:val="000000" w:themeColor="text1"/>
          <w:sz w:val="16"/>
          <w:szCs w:val="16"/>
        </w:rPr>
        <w:t>ВМБИТа</w:t>
      </w:r>
      <w:proofErr w:type="spellEnd"/>
      <w:r w:rsidRPr="007122AB">
        <w:rPr>
          <w:color w:val="000000" w:themeColor="text1"/>
          <w:sz w:val="16"/>
          <w:szCs w:val="16"/>
        </w:rPr>
        <w:t xml:space="preserve"> и хозяйственных органов огромна.</w:t>
      </w:r>
    </w:p>
    <w:p w14:paraId="46A8437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Однако выводов о роспуске всех их мы не делаем потому, что не только в этом существе вопроса, а дело в обострении классовой борьбы и тех формах, которые она принимает.</w:t>
      </w:r>
    </w:p>
    <w:p w14:paraId="4031C4B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Работа всех наших профсоюзных, секционных организаций и хозяйственных органов не поставлена еще так, чтобы можно было во время обнаружить вредителей, разоблачить и парализовать из деятельность.</w:t>
      </w:r>
    </w:p>
    <w:p w14:paraId="5053693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Поэтому я считаю, что говорить о роспуске </w:t>
      </w:r>
      <w:proofErr w:type="spellStart"/>
      <w:r w:rsidRPr="007122AB">
        <w:rPr>
          <w:color w:val="000000" w:themeColor="text1"/>
          <w:sz w:val="16"/>
          <w:szCs w:val="16"/>
        </w:rPr>
        <w:t>ВМБИТа</w:t>
      </w:r>
      <w:proofErr w:type="spellEnd"/>
      <w:r w:rsidRPr="007122AB">
        <w:rPr>
          <w:color w:val="000000" w:themeColor="text1"/>
          <w:sz w:val="16"/>
          <w:szCs w:val="16"/>
        </w:rPr>
        <w:t>, как конкретного носителя зла, совершенно неправильно.</w:t>
      </w:r>
    </w:p>
    <w:p w14:paraId="2AF7E4D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История с Шеиным и ему подобными является результатом обострившейся классовой борьбы и обнаруживает слабость работы инженерно-технических секций, отсутствие общественного контроля и пролетарской самокритики среди специалистов. Слабость работы ИТС не дала возможность использовать творческую инициативу массы инженерно-технических работников.</w:t>
      </w:r>
    </w:p>
    <w:p w14:paraId="03136DC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Было бы в высшей степени неправильно[,] </w:t>
      </w:r>
      <w:proofErr w:type="spellStart"/>
      <w:r w:rsidRPr="007122AB">
        <w:rPr>
          <w:color w:val="000000" w:themeColor="text1"/>
          <w:sz w:val="16"/>
          <w:szCs w:val="16"/>
        </w:rPr>
        <w:t>посколько</w:t>
      </w:r>
      <w:proofErr w:type="spellEnd"/>
      <w:r w:rsidRPr="007122AB">
        <w:rPr>
          <w:color w:val="000000" w:themeColor="text1"/>
          <w:sz w:val="16"/>
          <w:szCs w:val="16"/>
        </w:rPr>
        <w:t xml:space="preserve"> верхушечная часть специалистов, связанная в прошлом с буржуазией, замешана во вредительстве, подозревать в этом всю массу инженерно-технических работников. Основная масса специалистов честно и преданно работает на стройке социализма и у нас нет никаких оснований ставить такой вопрос. Но самая постановка работы среди специалистов не гарантирует нам своевременное выявление слабых мест и определения — кто твердо и безраздельно с нами и кто против нас. Поэтому вредительская верхушка специалистов имела возможность срывать нашу работу, не получив должного и своевременного отпора с нашей стороны. Сейчас надо перестать разговаривать о самокритике, а нанести сокрушительный удар чинопочитанию, отчужденности инженерно-технических работников от рабочих масс.</w:t>
      </w:r>
    </w:p>
    <w:p w14:paraId="1B67BC1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В инженерно-технических кругах, несмотря на </w:t>
      </w:r>
      <w:proofErr w:type="spellStart"/>
      <w:r w:rsidRPr="007122AB">
        <w:rPr>
          <w:color w:val="000000" w:themeColor="text1"/>
          <w:sz w:val="16"/>
          <w:szCs w:val="16"/>
        </w:rPr>
        <w:t>безконечные</w:t>
      </w:r>
      <w:proofErr w:type="spellEnd"/>
      <w:r w:rsidRPr="007122AB">
        <w:rPr>
          <w:color w:val="000000" w:themeColor="text1"/>
          <w:sz w:val="16"/>
          <w:szCs w:val="16"/>
        </w:rPr>
        <w:t xml:space="preserve"> разговоры, сильно развиты кастовость, чинопочитание. Молодежь вливающуюся в большом количестве за последнее время в среду инженеров, еще очень часто встречают в штыки. Нередко, когда о предложениях молодежи приходится слышать такие разговоры: «Ну, что, стоит ли обращать на них внимание? Ведь это горячие головы». Между тем эти «горячие головы» очень часто и своевременно выдвигают серьезнейшие вопросы. И лишь из-за какого[-]то, подчас совершенно непонятного упорства, а иногда из-за вредительских целей, предпочитают отделываться </w:t>
      </w:r>
      <w:proofErr w:type="spellStart"/>
      <w:r w:rsidRPr="007122AB">
        <w:rPr>
          <w:color w:val="000000" w:themeColor="text1"/>
          <w:sz w:val="16"/>
          <w:szCs w:val="16"/>
        </w:rPr>
        <w:t>отговорочками</w:t>
      </w:r>
      <w:proofErr w:type="spellEnd"/>
      <w:r w:rsidRPr="007122AB">
        <w:rPr>
          <w:color w:val="000000" w:themeColor="text1"/>
          <w:sz w:val="16"/>
          <w:szCs w:val="16"/>
        </w:rPr>
        <w:t>: «у тебя на губах молоко не обсохло». С указаниями рабочих подчас также совершенно не считаются. Таким явлениям должна быть объявлена самая беспощадная борьба.</w:t>
      </w:r>
    </w:p>
    <w:p w14:paraId="75A8ADA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Самокритика не на словах, а на деле, должна быть развернута и направлена главным образом на разрешение производственных задач. Решительно надо также покончить с отчужденностью инженерно-технических работников от обще-профессиональной работы и тех вопросов, которые выдвигаются рабочими. </w:t>
      </w:r>
      <w:proofErr w:type="spellStart"/>
      <w:r w:rsidRPr="007122AB">
        <w:rPr>
          <w:color w:val="000000" w:themeColor="text1"/>
          <w:sz w:val="16"/>
          <w:szCs w:val="16"/>
        </w:rPr>
        <w:t>Инж</w:t>
      </w:r>
      <w:proofErr w:type="spellEnd"/>
      <w:r w:rsidRPr="007122AB">
        <w:rPr>
          <w:color w:val="000000" w:themeColor="text1"/>
          <w:sz w:val="16"/>
          <w:szCs w:val="16"/>
        </w:rPr>
        <w:t xml:space="preserve">.[-]техн. работники очень часто говорят, что у них времени не хватает, они слишком загружены непосредственной работой на предприятии и поэтому мол не могут установить необходимой связи и принять участие в работе обще-профессиональных организаций. Это вреднейшие разговоры, которыми пытаются оправдать отчужденность. Мы считаем, что инженер должен основное свое внимание уделять делу, которое он выполняет на производстве. Но это не только не исключает, а наоборот обязывает инженера, вместе с рабочей массой — принимать участие в разрешении всех производственных вопросов и вопросов, стоящих перед профдвижением в целом. Так этот вопрос был поставлен XVI съездом — это лозунг «лицом к производству». Конкретное же осуществление его это борьба за выполнение и перевыполнение </w:t>
      </w:r>
      <w:proofErr w:type="spellStart"/>
      <w:r w:rsidRPr="007122AB">
        <w:rPr>
          <w:color w:val="000000" w:themeColor="text1"/>
          <w:sz w:val="16"/>
          <w:szCs w:val="16"/>
        </w:rPr>
        <w:t>промфинплана</w:t>
      </w:r>
      <w:proofErr w:type="spellEnd"/>
      <w:r w:rsidRPr="007122AB">
        <w:rPr>
          <w:color w:val="000000" w:themeColor="text1"/>
          <w:sz w:val="16"/>
          <w:szCs w:val="16"/>
        </w:rPr>
        <w:t>, путем развертывания соц. соревнования, ударничества и высших ступеней их, — сквозных ударных бригад, общественного буксира, планово-оперативных групп и пр.</w:t>
      </w:r>
    </w:p>
    <w:p w14:paraId="631ADFF2"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До сих пор инженерно-технические силы в области промышленности и области сельского хозяйства не включились по[-]настоящему в эти новые, действительно социалистические формы труда рабочего класса и не оказывают содействия делу развития их. Мы вступили сейчас в период, когда активность рабочего класса не может мириться с такими явлениями и требует немедленной перестройки органов ИТР, чтоб обеспечить активное участие инженерно-технических работников в разрешении задач, стоящих перед пролетариатом по осуществлению лозунга «пятилетки в 4 года» и в частности программы 3-го решающего года пятилетки.</w:t>
      </w:r>
    </w:p>
    <w:p w14:paraId="190E1F8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Нам необходимо особенно подчеркнуть, что судить о перестройке работы инженерно-технических секций сверху донизу мы будем прежде всего по выполнению и перевыполнению производственных планов нашей промышленности.</w:t>
      </w:r>
    </w:p>
    <w:p w14:paraId="4DDD5FD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Инженерно-технические работники должны также активизировать свою работу в области рационализации производства и в особенности изобретательства и проведения рабочих предложений, улучшающих наше производство и оказать непосредственную техническую помощь осуществлению наших предложений, обеспечив быстрое их проведение, чтобы максимально стимулировать творческую энергию и инициативу широких рабочих масс. ИТР должны стать фактическими проводниками производственной инициативы рабочих масс и оформления их технической мысли.</w:t>
      </w:r>
    </w:p>
    <w:p w14:paraId="40B3232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Вместе с тем ИТС должны обеспечить участие ИТР в развертывании соц. соревнования и ударных бригад, обеспечить помощь рабочих ударниками и соревнующимися.</w:t>
      </w:r>
    </w:p>
    <w:p w14:paraId="3358A42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Перестройка работы секций должна обеспечить действительную борьбу инженерно-технической массы за генеральную линию партии, за дело рабочего класса, только тогда, когда каждый день на практической работе каждый ИТР будет конкретно участвовать в творческой работе широких масс пролетариата, мы сможем сказать, что перестройка ИТС действительно завершена.</w:t>
      </w:r>
    </w:p>
    <w:p w14:paraId="6A9D3D5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Самое активное участие должны принять инженерно-технические работники, в деле разработки встречных </w:t>
      </w:r>
      <w:proofErr w:type="spellStart"/>
      <w:r w:rsidRPr="007122AB">
        <w:rPr>
          <w:color w:val="000000" w:themeColor="text1"/>
          <w:sz w:val="16"/>
          <w:szCs w:val="16"/>
        </w:rPr>
        <w:t>промфинпланов</w:t>
      </w:r>
      <w:proofErr w:type="spellEnd"/>
      <w:r w:rsidRPr="007122AB">
        <w:rPr>
          <w:color w:val="000000" w:themeColor="text1"/>
          <w:sz w:val="16"/>
          <w:szCs w:val="16"/>
        </w:rPr>
        <w:t xml:space="preserve"> и обеспечению мероприятий к их выполнению. Из обвинительного акта по делу Промпартии вам уже известно, что вредители стремились сокращать программу отдельных отраслей промышленности и лишь ЦК партии вовремя это предусмотрел и внес соответствующие коррективы. Однако ни профсоюзы, ни инженерно-технические работники не смогли этого делать. Почему? Да потому что работа наша не была поставлена как следует. Плохо участвовали основные массы ИТР в составлении </w:t>
      </w:r>
      <w:proofErr w:type="spellStart"/>
      <w:r w:rsidRPr="007122AB">
        <w:rPr>
          <w:color w:val="000000" w:themeColor="text1"/>
          <w:sz w:val="16"/>
          <w:szCs w:val="16"/>
        </w:rPr>
        <w:t>промфинпланов</w:t>
      </w:r>
      <w:proofErr w:type="spellEnd"/>
      <w:r w:rsidRPr="007122AB">
        <w:rPr>
          <w:color w:val="000000" w:themeColor="text1"/>
          <w:sz w:val="16"/>
          <w:szCs w:val="16"/>
        </w:rPr>
        <w:t>, проходили очень часто иногда и мимо вредительских предложений, предпочитая соблюдать «нейтралитет», не желая вступать в пререкания с «начальством». Встречные же планы, составляемые самой рабочей массой, на основе действительного учета опыта повседневной работы и рационализаторских мероприятий, могущих улучшить процессы производства, являются действительным залогом предупреждения планового вредительства, которое осуществлялось Промпартией и ее агентурой. Включение же ИТР в практическую проработку этих планов и разработка мероприятий по выполнению, будет обеспечивать действительную реальность их.</w:t>
      </w:r>
    </w:p>
    <w:p w14:paraId="2D47D52E"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То положение, которое имеет сейчас в области выполнения планов, заставляет бить тревогу. Я получил сведения о ходе выполнения программы в особый квартал в южной металлургии. Что же мы там имеем? Южная металлургия в октябре мес. особого ударного квартала, вместо снижения себестоимости на 6,1 % повысила ее на 0,93 %. Я задам вопрос тов. Прокофьеву и др., которые сидят в </w:t>
      </w:r>
      <w:proofErr w:type="spellStart"/>
      <w:r w:rsidRPr="007122AB">
        <w:rPr>
          <w:color w:val="000000" w:themeColor="text1"/>
          <w:sz w:val="16"/>
          <w:szCs w:val="16"/>
        </w:rPr>
        <w:t>ВМБИТе</w:t>
      </w:r>
      <w:proofErr w:type="spellEnd"/>
      <w:r w:rsidRPr="007122AB">
        <w:rPr>
          <w:color w:val="000000" w:themeColor="text1"/>
          <w:sz w:val="16"/>
          <w:szCs w:val="16"/>
        </w:rPr>
        <w:t>. Сигнализировал ли вам кто-либо из ИТР с южной металлургии о неблагополучии с выполнением программы за октябрь. (Прокофьев — Нет, не сигнализировал. С места — он наверно забыл). Я знаю, что у Прокофьева хорошая память, да притом такие вещи не забываются.</w:t>
      </w:r>
    </w:p>
    <w:p w14:paraId="37CA089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Производственная программа по чугуну выполнена в размере 88 % месячного плана, по стали 84 %. Я думаю, что кое-какую и не малую ответственность за этот прорыв несут инженерно-технические работники. Сейчас надо уже побеспокоится и забить тревогу и начать перестраивать работу так, чтобы в ноябре и декабре мес. были покрыты прорывы октября. К сожалению ИТР пока находятся в сладком неведении. Не слыхать еще про их мероприятия к ликвидации этого прорыва. А ведь в таких мероприятиях и заключается весь смысл поворота профсоюзов и ИТР «лицом к производству».</w:t>
      </w:r>
    </w:p>
    <w:p w14:paraId="5CB99D7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Отсутствие сигнализаций показывает, что несмотря на наши успехи в области развертывания соцсоревнования и ударничества, все же у нас из рук вон плохо обстоит дело с практическим осуществлением лозунга «лицом к производству». А прорывы у нас не только в одной металлургии. Данные о других отраслях промышленности также заставляют бить тревогу. ИТР сейчас должны напрячь всю энергию к тому, чтобы план особого квартала являющийся залогом успешного осуществления 3-го года пятилетки, был выполнен на 100 %.</w:t>
      </w:r>
    </w:p>
    <w:p w14:paraId="57DAD90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Имеющиеся у нас факты отношения инженерства к работе говорят о совершенно недопустимых явлениях. Напр., главный инженер </w:t>
      </w:r>
      <w:proofErr w:type="spellStart"/>
      <w:r w:rsidRPr="007122AB">
        <w:rPr>
          <w:color w:val="000000" w:themeColor="text1"/>
          <w:sz w:val="16"/>
          <w:szCs w:val="16"/>
        </w:rPr>
        <w:t>Чулковского</w:t>
      </w:r>
      <w:proofErr w:type="spellEnd"/>
      <w:r w:rsidRPr="007122AB">
        <w:rPr>
          <w:color w:val="000000" w:themeColor="text1"/>
          <w:sz w:val="16"/>
          <w:szCs w:val="16"/>
        </w:rPr>
        <w:t xml:space="preserve"> шахтоуправления заявляет: «Нам врубовые машины не нужны. Мы будем больше добывать угля вручную». Или вот еще факт: помощник </w:t>
      </w:r>
      <w:proofErr w:type="spellStart"/>
      <w:r w:rsidRPr="007122AB">
        <w:rPr>
          <w:color w:val="000000" w:themeColor="text1"/>
          <w:sz w:val="16"/>
          <w:szCs w:val="16"/>
        </w:rPr>
        <w:t>завед</w:t>
      </w:r>
      <w:proofErr w:type="spellEnd"/>
      <w:r w:rsidRPr="007122AB">
        <w:rPr>
          <w:color w:val="000000" w:themeColor="text1"/>
          <w:sz w:val="16"/>
          <w:szCs w:val="16"/>
        </w:rPr>
        <w:t xml:space="preserve">. шахтой «Иван» заявляет: «зачем вводят механизацию, это лишнее». А на заседании </w:t>
      </w:r>
      <w:proofErr w:type="spellStart"/>
      <w:r w:rsidRPr="007122AB">
        <w:rPr>
          <w:color w:val="000000" w:themeColor="text1"/>
          <w:sz w:val="16"/>
          <w:szCs w:val="16"/>
        </w:rPr>
        <w:t>шахткома</w:t>
      </w:r>
      <w:proofErr w:type="spellEnd"/>
      <w:r w:rsidRPr="007122AB">
        <w:rPr>
          <w:color w:val="000000" w:themeColor="text1"/>
          <w:sz w:val="16"/>
          <w:szCs w:val="16"/>
        </w:rPr>
        <w:t xml:space="preserve"> марганцевого рудника инженер </w:t>
      </w:r>
      <w:proofErr w:type="spellStart"/>
      <w:r w:rsidRPr="007122AB">
        <w:rPr>
          <w:color w:val="000000" w:themeColor="text1"/>
          <w:sz w:val="16"/>
          <w:szCs w:val="16"/>
        </w:rPr>
        <w:t>Клауман</w:t>
      </w:r>
      <w:proofErr w:type="spellEnd"/>
      <w:r w:rsidRPr="007122AB">
        <w:rPr>
          <w:color w:val="000000" w:themeColor="text1"/>
          <w:sz w:val="16"/>
          <w:szCs w:val="16"/>
        </w:rPr>
        <w:t xml:space="preserve"> заявляет: «зачем участвовать в соц. соревновании, мы работаем и так как следует. Впрочем написать договор не трудно, все равно это ни к чему не обязывает».</w:t>
      </w:r>
    </w:p>
    <w:p w14:paraId="01C52350"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Я задаю вопрос — как называть эти явления? Здесь, конечно, скажут, что отвечать за отдельные проявления настроений инженеров идущих в явный разрез с установками в области развертывания нашей профсоюзной работы, никто не может. Но такие факты, товарищи, являются весьма показательными. Ведь это же действительно вредительство. Когда мы кричим о механизации добычи угля и мобилизуем вокруг этого рабочие массы, а главный инженер говорит: «зачем это, лучше работать вручную». Я спрашиваю, кто говорит голосом инженера </w:t>
      </w:r>
      <w:proofErr w:type="spellStart"/>
      <w:r w:rsidRPr="007122AB">
        <w:rPr>
          <w:color w:val="000000" w:themeColor="text1"/>
          <w:sz w:val="16"/>
          <w:szCs w:val="16"/>
        </w:rPr>
        <w:t>Чулковского</w:t>
      </w:r>
      <w:proofErr w:type="spellEnd"/>
      <w:r w:rsidRPr="007122AB">
        <w:rPr>
          <w:color w:val="000000" w:themeColor="text1"/>
          <w:sz w:val="16"/>
          <w:szCs w:val="16"/>
        </w:rPr>
        <w:t xml:space="preserve"> шахтоуправления? Классовый враг, вредитель, агент капитализма. Только враг может </w:t>
      </w:r>
      <w:r w:rsidRPr="007122AB">
        <w:rPr>
          <w:color w:val="000000" w:themeColor="text1"/>
          <w:sz w:val="16"/>
          <w:szCs w:val="16"/>
        </w:rPr>
        <w:lastRenderedPageBreak/>
        <w:t>выступить против механизации, только враг может говорить о снижении добычи. Иначе нельзя на 14-м году Октябрьской Революции назвать такого главного инженера. Разве можно рас[с]читывать, что он обеспечит высокие темпы работы, высокую производительность труда, наилучшее использованием механического оборудования, правильную расстановку машин и рабочей силы.</w:t>
      </w:r>
    </w:p>
    <w:p w14:paraId="02E85CE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Какой бы маской он не прикрывался, классовый враг виден в его действиях.</w:t>
      </w:r>
    </w:p>
    <w:p w14:paraId="2740BD2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Сейчас, когда уже достаточно ясна для всех деятельность вредителей, являющаяся результатом обострения классовой борьбы, совершенно недопустимы всякие разговоры о нейтральности инженерства. В то время, когда рабочий класс наступает по всему фронту социалистического строительства, ни о каком нейтралитете инженерства не может быть и речи. Обстановка сейчас такова, что мы ставим перед инженерством вопрос: либо целиком и полностью с рабочим классом против вредителей, против капиталистов, либо против рабочего класса. Другого выхода и пути нет, нейтралитета быть не может (аплодисменты). Рабочий класс не может больше терпеть, чтобы люди[,] вооруженные техническими знаниями, соблюдали нейтралитет в то время, когда на глазах у них совершаются действия, направленные против интересов рабочего класса, на срыв социалист, строительства. Мы вовсе не требуем от инженерства обязательного вступления в коммунистическую партию. Но мы потребуем от специалистов связать свою судьбу с рабочим классом и вместе с ним бороться за осуществление генеральной линии нашей коммунистической партии, направленной на социалистическую перестройку всего народного хозяйства страны. Надо прекратить всякую болтологию об аполитичности и плеч[о]м к плечу, вместе с рабочим классом, быть в первых рядах строителей социализма. Вот почему я думаю сейчас оценку ИТР надо производить не с точки зрения того, кто какую речь сказал, а с точки зрения практической, повседневной работы[,] вернее результатов ее.</w:t>
      </w:r>
    </w:p>
    <w:p w14:paraId="79A614B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Решительную борьбу надо повести с право-оппортунистическими настроениями работников, повседневно разоблачать нытиков, маловеров, плетущихся в хвосте активности рабочего класса. Мы должны работу построить таким образом, чтобы действительно повернуться лицом к производству и вовлечь ИТР в действительное участие в социалистическом соревновании и ударничестве. Мы должны добиться, чтобы </w:t>
      </w:r>
      <w:proofErr w:type="spellStart"/>
      <w:r w:rsidRPr="007122AB">
        <w:rPr>
          <w:color w:val="000000" w:themeColor="text1"/>
          <w:sz w:val="16"/>
          <w:szCs w:val="16"/>
        </w:rPr>
        <w:t>инженернотехнические</w:t>
      </w:r>
      <w:proofErr w:type="spellEnd"/>
      <w:r w:rsidRPr="007122AB">
        <w:rPr>
          <w:color w:val="000000" w:themeColor="text1"/>
          <w:sz w:val="16"/>
          <w:szCs w:val="16"/>
        </w:rPr>
        <w:t xml:space="preserve"> работники способствовали повышению технического уровня знаний рабочих, так как без этого нам трудно будет продвигаться вперед.</w:t>
      </w:r>
    </w:p>
    <w:p w14:paraId="7376DECA"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Вопрос о кадрах приобретает в наших условиях чрезвычайно важное значение. Перед нами колоссальная задача в 3 или 4 раза увеличить число имеющихся у нас специалистов. Мы уже по деятельности вредительских организаций можем судить, какую остроту приобретает проблема кадров в социалистическом строительстве. К проблеме кадров необходимо подходить не только с хозяйственно-технической точки зрения, но как к сугубо классовой политической проблеме. Поэтому наша задача новые кадры специалистов готовить из рабочего класса. Побольше выдвигать молодежи и технически грамотных рабочих на руководящие должности. Однако мы не собираемся делать вывод о том, что старое инженерство нам не нужно. Это вредная, антипролетарская философия. Старый, преданно работающий специалист должен быть на ответственнейших участках строительства. Судить о его преданности будем по активному участию в соц. соревновании и ударничестве, по участию в составлении встречных </w:t>
      </w:r>
      <w:proofErr w:type="spellStart"/>
      <w:r w:rsidRPr="007122AB">
        <w:rPr>
          <w:color w:val="000000" w:themeColor="text1"/>
          <w:sz w:val="16"/>
          <w:szCs w:val="16"/>
        </w:rPr>
        <w:t>промфинпланов</w:t>
      </w:r>
      <w:proofErr w:type="spellEnd"/>
      <w:r w:rsidRPr="007122AB">
        <w:rPr>
          <w:color w:val="000000" w:themeColor="text1"/>
          <w:sz w:val="16"/>
          <w:szCs w:val="16"/>
        </w:rPr>
        <w:t>, по помощи проведению рабочих предложений и изобретений.</w:t>
      </w:r>
    </w:p>
    <w:p w14:paraId="324DF1E1"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Серьезное внимание следует обратить и на участие ИТР в подготовке квалифицированных рабочих. Без активной помощи специалистов мы не справимся с задачей подготовки квалифицированных рабочих, которых требует наша социалистическая промышленность. Каждый инженер должен активно участвовать в руководстве кружками </w:t>
      </w:r>
      <w:proofErr w:type="spellStart"/>
      <w:r w:rsidRPr="007122AB">
        <w:rPr>
          <w:color w:val="000000" w:themeColor="text1"/>
          <w:sz w:val="16"/>
          <w:szCs w:val="16"/>
        </w:rPr>
        <w:t>технич</w:t>
      </w:r>
      <w:proofErr w:type="spellEnd"/>
      <w:r w:rsidRPr="007122AB">
        <w:rPr>
          <w:color w:val="000000" w:themeColor="text1"/>
          <w:sz w:val="16"/>
          <w:szCs w:val="16"/>
        </w:rPr>
        <w:t>. знаний, в продвижении способных рабочих на более квалифицированную работу и др. мероприятиях, способствующих повышению квалификации рабочих. Максимум внимания и профсоюзы и ИТС должны уделить вопросам продвижения молодых, преданных делу соц. строительства инженеров, техников и рабочих[,] выдвинувшихся в процессе работы производственных совещаний, ВКК и ударных бригад. Должны быть установлены постоянная помощь и организованное шефство инженеров над отдельными группами рабочих по вопросам повышения уровня их производственно-технических знаний.</w:t>
      </w:r>
    </w:p>
    <w:p w14:paraId="7345205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Еще вопрос, на который я хотел бы обратить внимание — это о правильной расстановке квалифицированной рабочей силы на предприятиях. Мне недавно рассказали товарищи, вернувшиеся из Донбасса, что им пришлось встретиться с случаями, когда быв. бандиты работали в качестве десятников в шахтах. Был обнаружен один десятник, который в [19]21 г. руководил бандой. Естественно этот тип под кличкой «Ангел» и подбирал соответствующих людей в свою бригаду. Скажите, разве это случайное явление, что до последнего времени этот «Ангел» остался неразоблаченным? Разве этот самый бандит, которого недавно разоблачили, не является представителем ЦК </w:t>
      </w:r>
      <w:proofErr w:type="spellStart"/>
      <w:r w:rsidRPr="007122AB">
        <w:rPr>
          <w:color w:val="000000" w:themeColor="text1"/>
          <w:sz w:val="16"/>
          <w:szCs w:val="16"/>
        </w:rPr>
        <w:t>промпартии</w:t>
      </w:r>
      <w:proofErr w:type="spellEnd"/>
      <w:r w:rsidRPr="007122AB">
        <w:rPr>
          <w:color w:val="000000" w:themeColor="text1"/>
          <w:sz w:val="16"/>
          <w:szCs w:val="16"/>
        </w:rPr>
        <w:t xml:space="preserve"> на предприятии? Это их низовое звено. Он в течении ряда лет работал и подбирал себе людей, и лишь по случайности его разоблачили. Это вынуждает нас быть бдительными. Ведь вот через таких типов и осуществляют центральные вредительские организации свою деятельность.</w:t>
      </w:r>
    </w:p>
    <w:p w14:paraId="3DF7E256"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Вопрос о проверке и правильной расстановке кадров на важнейших участках имеет огромное значение и для подъема производительности труда и для выполнения в срок директив административно-технического персонала и в целом тех задач, которые стоят перед рабочим классом.</w:t>
      </w:r>
    </w:p>
    <w:p w14:paraId="69B2C09A"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Сейчас перед инженерно-техническими секциями стоит важнейшая задача о перестройке всех форм, методов и темпов работы, чтоб на деле осуществить лозунг «лицом к производству». Осуществление этого возможно только путем мобилизации масс инженерства на борьбу вместе с рабочим классом, за осуществление темпов социалистического строительства и выполнения пятилетки в четыре года. Мы должны добиться того, чтобы перестройка работы секций гарантировала бы выполнение задач, поставленных перед профсоюзами.</w:t>
      </w:r>
    </w:p>
    <w:p w14:paraId="0993B91A"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IV-й Пленум </w:t>
      </w:r>
      <w:proofErr w:type="spellStart"/>
      <w:r w:rsidRPr="007122AB">
        <w:rPr>
          <w:color w:val="000000" w:themeColor="text1"/>
          <w:sz w:val="16"/>
          <w:szCs w:val="16"/>
        </w:rPr>
        <w:t>ВМБИТа</w:t>
      </w:r>
      <w:proofErr w:type="spellEnd"/>
      <w:r w:rsidRPr="007122AB">
        <w:rPr>
          <w:color w:val="000000" w:themeColor="text1"/>
          <w:sz w:val="16"/>
          <w:szCs w:val="16"/>
        </w:rPr>
        <w:t xml:space="preserve"> должен не на словах, а на деле обеспечить организацию основной массы специалистов для большевистского наступления на всех фронтах социалистического строительства и на борьбу с вредительством. Решительно нужно улучшить и качество руководства профсоюзов.</w:t>
      </w:r>
    </w:p>
    <w:p w14:paraId="0330D62B"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В порядке самокритики, я несколько слов хочу сказать и о профсоюзах. Долго такое явление, когда профсоюзы будут так относиться, как они относятся по сей день к руководству инженерно-техническими секциями, продолжаться не может. Я считаю, что дальше терпеть этого невозможно (аплодисменты). На этом пленуме мы со всей силой и энергией должны подчеркнуть всю важность и значение руководства </w:t>
      </w:r>
      <w:proofErr w:type="spellStart"/>
      <w:r w:rsidRPr="007122AB">
        <w:rPr>
          <w:color w:val="000000" w:themeColor="text1"/>
          <w:sz w:val="16"/>
          <w:szCs w:val="16"/>
        </w:rPr>
        <w:t>инжсекциями</w:t>
      </w:r>
      <w:proofErr w:type="spellEnd"/>
      <w:r w:rsidRPr="007122AB">
        <w:rPr>
          <w:color w:val="000000" w:themeColor="text1"/>
          <w:sz w:val="16"/>
          <w:szCs w:val="16"/>
        </w:rPr>
        <w:t xml:space="preserve"> со стороны профсоюзов, начиная от ВЦСПС и кончая низовыми профсоюзными звеньями. (</w:t>
      </w:r>
      <w:proofErr w:type="spellStart"/>
      <w:r w:rsidRPr="007122AB">
        <w:rPr>
          <w:color w:val="000000" w:themeColor="text1"/>
          <w:sz w:val="16"/>
          <w:szCs w:val="16"/>
        </w:rPr>
        <w:t>Апл</w:t>
      </w:r>
      <w:proofErr w:type="spellEnd"/>
      <w:r w:rsidRPr="007122AB">
        <w:rPr>
          <w:color w:val="000000" w:themeColor="text1"/>
          <w:sz w:val="16"/>
          <w:szCs w:val="16"/>
        </w:rPr>
        <w:t>[</w:t>
      </w:r>
      <w:proofErr w:type="spellStart"/>
      <w:r w:rsidRPr="007122AB">
        <w:rPr>
          <w:color w:val="000000" w:themeColor="text1"/>
          <w:sz w:val="16"/>
          <w:szCs w:val="16"/>
        </w:rPr>
        <w:t>одисменты</w:t>
      </w:r>
      <w:proofErr w:type="spellEnd"/>
      <w:r w:rsidRPr="007122AB">
        <w:rPr>
          <w:color w:val="000000" w:themeColor="text1"/>
          <w:sz w:val="16"/>
          <w:szCs w:val="16"/>
        </w:rPr>
        <w:t>]; с места — не на словах, а на деле).</w:t>
      </w:r>
    </w:p>
    <w:p w14:paraId="0394DA2F"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Нам надо наметить целый ряд организационных мероприятий, которые дали бы нам возможность увязать работу инженерно-технических секций с обще-профсоюзной работой Это чрезвычайно важная задача.</w:t>
      </w:r>
    </w:p>
    <w:p w14:paraId="0082F726"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Некоторые товарищи поднимали и поднимают вопрос о том, не пора ли ликвидировать инженерно-технические секции, не пора ли в порядке </w:t>
      </w:r>
      <w:proofErr w:type="spellStart"/>
      <w:r w:rsidRPr="007122AB">
        <w:rPr>
          <w:color w:val="000000" w:themeColor="text1"/>
          <w:sz w:val="16"/>
          <w:szCs w:val="16"/>
        </w:rPr>
        <w:t>общепрофсоюзной</w:t>
      </w:r>
      <w:proofErr w:type="spellEnd"/>
      <w:r w:rsidRPr="007122AB">
        <w:rPr>
          <w:color w:val="000000" w:themeColor="text1"/>
          <w:sz w:val="16"/>
          <w:szCs w:val="16"/>
        </w:rPr>
        <w:t xml:space="preserve"> работы осуществлять и работу среди </w:t>
      </w:r>
      <w:proofErr w:type="spellStart"/>
      <w:r w:rsidRPr="007122AB">
        <w:rPr>
          <w:color w:val="000000" w:themeColor="text1"/>
          <w:sz w:val="16"/>
          <w:szCs w:val="16"/>
        </w:rPr>
        <w:t>инж</w:t>
      </w:r>
      <w:proofErr w:type="spellEnd"/>
      <w:r w:rsidRPr="007122AB">
        <w:rPr>
          <w:color w:val="000000" w:themeColor="text1"/>
          <w:sz w:val="16"/>
          <w:szCs w:val="16"/>
        </w:rPr>
        <w:t>.[-]техн. работников. Этот вопрос уже достаточно продуман, разрешен в отрицательном смысле и надо со всей решительностью заявить, что пора прекратить разговоры о ликвидации инженерно-технических секций. (Аплодисменты])</w:t>
      </w:r>
    </w:p>
    <w:p w14:paraId="3B502E82"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Надо браться за работу по[-]настоящему и прекратить эти вредные разговоры о ликвидации.</w:t>
      </w:r>
    </w:p>
    <w:p w14:paraId="0E150747"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В ближайшее время мы предполагаем созвать Всесоюзную конференцию инженерно-технических работников для разрешения целого ряда узловых вопросов.</w:t>
      </w:r>
    </w:p>
    <w:p w14:paraId="57C4E2DE"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Но не дожидаясь конференции, мы должны теперь же наметить целый ряд организационных мероприятий, которые дали бы возможность начать работу по[-]настоящему, с тем, чтобы к Всесоюзной конференции </w:t>
      </w:r>
      <w:proofErr w:type="spellStart"/>
      <w:r w:rsidRPr="007122AB">
        <w:rPr>
          <w:color w:val="000000" w:themeColor="text1"/>
          <w:sz w:val="16"/>
          <w:szCs w:val="16"/>
        </w:rPr>
        <w:t>придти</w:t>
      </w:r>
      <w:proofErr w:type="spellEnd"/>
      <w:r w:rsidRPr="007122AB">
        <w:rPr>
          <w:color w:val="000000" w:themeColor="text1"/>
          <w:sz w:val="16"/>
          <w:szCs w:val="16"/>
        </w:rPr>
        <w:t xml:space="preserve"> с опытом работы по новому.</w:t>
      </w:r>
    </w:p>
    <w:p w14:paraId="374041B4"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Руководство секциями должно быть поручено ИТР ударникам, на деле доказавшим свою преданность интересам пролетариата.</w:t>
      </w:r>
    </w:p>
    <w:p w14:paraId="3725752D"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Мы рекомендуем пленуму в целях укрепления инженерно-технических секций и для усиления влияния их на производственную жизнь заводов, обсудить вопрос о включении в состав инженерно-технических секций помощников директоров — председателей производственно-технических совещаний, всех начальников цехов, служб, отделов и их помощников и мастеров.</w:t>
      </w:r>
    </w:p>
    <w:p w14:paraId="330D1092"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Кроме того надо, чтобы профсоюзы и инженерно-техн. секции вовлекали широкие массы рабочих в работу секций, путем приглашения их на собрания и совещания, вовлечения в деятельность различных обществ, в совместную работу ИТР в рабочих клубах, кружках и т. д.</w:t>
      </w:r>
    </w:p>
    <w:p w14:paraId="174186FC"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Мы также рекомендуем выбирать в состав ИТС представителей профорганизаций от низовых ячеек до </w:t>
      </w:r>
      <w:proofErr w:type="spellStart"/>
      <w:r w:rsidRPr="007122AB">
        <w:rPr>
          <w:color w:val="000000" w:themeColor="text1"/>
          <w:sz w:val="16"/>
          <w:szCs w:val="16"/>
        </w:rPr>
        <w:t>ВМБИта</w:t>
      </w:r>
      <w:proofErr w:type="spellEnd"/>
      <w:r w:rsidRPr="007122AB">
        <w:rPr>
          <w:color w:val="000000" w:themeColor="text1"/>
          <w:sz w:val="16"/>
          <w:szCs w:val="16"/>
        </w:rPr>
        <w:t>, включительно. Сейчас мы все время говорим об усилении руководства. Я думаю, что таким путем мы обяжем и ВЦСПС, президиумы союзных организаций принять непосредственное участие в работе ИТС и отвечать на ряду с бюро ИТС за состояние работы среди инженеров. (С мест — правильно, аплодисменты]).</w:t>
      </w:r>
    </w:p>
    <w:p w14:paraId="47E43223"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 xml:space="preserve">Я считаю также необходимым, чтобы и члены Президиума ВЦСПС участвовали непосредственно в работе ВМБИТ, а освобожденные руководящие работники </w:t>
      </w:r>
      <w:proofErr w:type="spellStart"/>
      <w:r w:rsidRPr="007122AB">
        <w:rPr>
          <w:color w:val="000000" w:themeColor="text1"/>
          <w:sz w:val="16"/>
          <w:szCs w:val="16"/>
        </w:rPr>
        <w:t>ВМБИТа</w:t>
      </w:r>
      <w:proofErr w:type="spellEnd"/>
      <w:r w:rsidRPr="007122AB">
        <w:rPr>
          <w:color w:val="000000" w:themeColor="text1"/>
          <w:sz w:val="16"/>
          <w:szCs w:val="16"/>
        </w:rPr>
        <w:t xml:space="preserve"> в повседневной работе ВЦСПС. Таким образом мы сумеем наладить контакт в работе и настоящую взаимопомощь союзных и секционных организаций друг другу.</w:t>
      </w:r>
    </w:p>
    <w:p w14:paraId="18643239"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 этом пленуме вскрыв в порядке самокритики все больные места нашей работы, надо наметить конкретные мероприятия, которые сдвинули бы работу профсоюзов и самих секций.</w:t>
      </w:r>
    </w:p>
    <w:p w14:paraId="56E76F73"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Надо добиться такого положения, чтобы настоящий пленум был действительно переломным в деле перестройки работы инженерно-технических секций.</w:t>
      </w:r>
    </w:p>
    <w:p w14:paraId="07AB7835" w14:textId="77777777" w:rsidR="00996162" w:rsidRPr="007122AB" w:rsidRDefault="00996162" w:rsidP="007122AB">
      <w:pPr>
        <w:pStyle w:val="rtejustify"/>
        <w:spacing w:before="0" w:after="0"/>
        <w:rPr>
          <w:color w:val="000000" w:themeColor="text1"/>
          <w:sz w:val="16"/>
          <w:szCs w:val="16"/>
        </w:rPr>
      </w:pPr>
      <w:r w:rsidRPr="007122AB">
        <w:rPr>
          <w:color w:val="000000" w:themeColor="text1"/>
          <w:sz w:val="16"/>
          <w:szCs w:val="16"/>
        </w:rPr>
        <w:t>Заканчивая, товарищи, я должен сказать, что социалистическое строительство требует развития большевистского наступления на капитализм по всему фронту. Это развитие наступления несомненно еще более обострит классовую борьбу и внутри и вне страны. Нелепо было бы думать, что классовый враг сдаст свои позиции без боя. В этих условиях как никогда надо напрячь все усилия в борьбе за победу социализма. Инженеры, специалисты, техники не могут быть в стороне от этой борьбы. Лучшим ответом будет непосредственное участие специалистов в борьбе за генеральную линию партии, в борьбе за осуществление пятилетки в 4 года. ВЦСПС убежден, что этот пленум положит начало активной творческой работы основной массы специалистов за дело укрепления диктатуры пролетариата. (</w:t>
      </w:r>
      <w:proofErr w:type="spellStart"/>
      <w:r w:rsidRPr="007122AB">
        <w:rPr>
          <w:color w:val="000000" w:themeColor="text1"/>
          <w:sz w:val="16"/>
          <w:szCs w:val="16"/>
        </w:rPr>
        <w:t>Апл</w:t>
      </w:r>
      <w:proofErr w:type="spellEnd"/>
      <w:r w:rsidRPr="007122AB">
        <w:rPr>
          <w:color w:val="000000" w:themeColor="text1"/>
          <w:sz w:val="16"/>
          <w:szCs w:val="16"/>
        </w:rPr>
        <w:t>[</w:t>
      </w:r>
      <w:proofErr w:type="spellStart"/>
      <w:r w:rsidRPr="007122AB">
        <w:rPr>
          <w:color w:val="000000" w:themeColor="text1"/>
          <w:sz w:val="16"/>
          <w:szCs w:val="16"/>
        </w:rPr>
        <w:t>одисменты</w:t>
      </w:r>
      <w:proofErr w:type="spellEnd"/>
      <w:r w:rsidRPr="007122AB">
        <w:rPr>
          <w:color w:val="000000" w:themeColor="text1"/>
          <w:sz w:val="16"/>
          <w:szCs w:val="16"/>
        </w:rPr>
        <w:t>]).</w:t>
      </w:r>
    </w:p>
    <w:p w14:paraId="582F2C2B" w14:textId="77777777" w:rsidR="00996162" w:rsidRPr="007122AB" w:rsidRDefault="00996162" w:rsidP="007122AB">
      <w:pPr>
        <w:pStyle w:val="ae"/>
        <w:spacing w:before="0" w:after="0"/>
        <w:jc w:val="both"/>
        <w:rPr>
          <w:color w:val="000000" w:themeColor="text1"/>
          <w:sz w:val="16"/>
          <w:szCs w:val="16"/>
        </w:rPr>
      </w:pPr>
      <w:r w:rsidRPr="007122AB">
        <w:rPr>
          <w:rStyle w:val="af0"/>
          <w:i w:val="0"/>
          <w:color w:val="000000" w:themeColor="text1"/>
          <w:sz w:val="16"/>
          <w:szCs w:val="16"/>
        </w:rPr>
        <w:t>ГА РФ. Ф. P-5548. On. 9. Д. 6. Л. 1-21. (А) Машинописный экземпляр того времени с рукописной правкой Н. М. Шверника.</w:t>
      </w:r>
    </w:p>
    <w:p w14:paraId="24BE6030" w14:textId="77777777" w:rsidR="00996162" w:rsidRPr="007122AB" w:rsidRDefault="00996162" w:rsidP="007122AB">
      <w:pPr>
        <w:pStyle w:val="ae"/>
        <w:spacing w:before="0" w:after="0"/>
        <w:jc w:val="both"/>
        <w:rPr>
          <w:color w:val="000000" w:themeColor="text1"/>
          <w:sz w:val="16"/>
          <w:szCs w:val="16"/>
        </w:rPr>
      </w:pPr>
      <w:r w:rsidRPr="007122AB">
        <w:rPr>
          <w:rStyle w:val="af0"/>
          <w:i w:val="0"/>
          <w:color w:val="000000" w:themeColor="text1"/>
          <w:sz w:val="16"/>
          <w:szCs w:val="16"/>
        </w:rPr>
        <w:t>ГА</w:t>
      </w:r>
      <w:r w:rsidRPr="007122AB">
        <w:rPr>
          <w:rStyle w:val="af0"/>
          <w:i w:val="0"/>
          <w:color w:val="000000" w:themeColor="text1"/>
          <w:sz w:val="16"/>
          <w:szCs w:val="16"/>
          <w:lang w:val="en-US"/>
        </w:rPr>
        <w:t xml:space="preserve"> </w:t>
      </w:r>
      <w:r w:rsidRPr="007122AB">
        <w:rPr>
          <w:rStyle w:val="af0"/>
          <w:i w:val="0"/>
          <w:color w:val="000000" w:themeColor="text1"/>
          <w:sz w:val="16"/>
          <w:szCs w:val="16"/>
        </w:rPr>
        <w:t>РФ</w:t>
      </w:r>
      <w:r w:rsidRPr="007122AB">
        <w:rPr>
          <w:rStyle w:val="af0"/>
          <w:i w:val="0"/>
          <w:color w:val="000000" w:themeColor="text1"/>
          <w:sz w:val="16"/>
          <w:szCs w:val="16"/>
          <w:lang w:val="en-US"/>
        </w:rPr>
        <w:t xml:space="preserve">. </w:t>
      </w:r>
      <w:r w:rsidRPr="007122AB">
        <w:rPr>
          <w:rStyle w:val="af0"/>
          <w:i w:val="0"/>
          <w:color w:val="000000" w:themeColor="text1"/>
          <w:sz w:val="16"/>
          <w:szCs w:val="16"/>
        </w:rPr>
        <w:t>Ф</w:t>
      </w:r>
      <w:r w:rsidRPr="007122AB">
        <w:rPr>
          <w:rStyle w:val="af0"/>
          <w:i w:val="0"/>
          <w:color w:val="000000" w:themeColor="text1"/>
          <w:sz w:val="16"/>
          <w:szCs w:val="16"/>
          <w:lang w:val="en-US"/>
        </w:rPr>
        <w:t>. P-5548. On. 9.</w:t>
      </w:r>
      <w:r w:rsidRPr="007122AB">
        <w:rPr>
          <w:rStyle w:val="af0"/>
          <w:i w:val="0"/>
          <w:color w:val="000000" w:themeColor="text1"/>
          <w:sz w:val="16"/>
          <w:szCs w:val="16"/>
        </w:rPr>
        <w:t>Д</w:t>
      </w:r>
      <w:r w:rsidRPr="007122AB">
        <w:rPr>
          <w:rStyle w:val="af0"/>
          <w:i w:val="0"/>
          <w:color w:val="000000" w:themeColor="text1"/>
          <w:sz w:val="16"/>
          <w:szCs w:val="16"/>
          <w:lang w:val="en-US"/>
        </w:rPr>
        <w:t xml:space="preserve">. 5. </w:t>
      </w:r>
      <w:r w:rsidRPr="007122AB">
        <w:rPr>
          <w:rStyle w:val="af0"/>
          <w:i w:val="0"/>
          <w:color w:val="000000" w:themeColor="text1"/>
          <w:sz w:val="16"/>
          <w:szCs w:val="16"/>
        </w:rPr>
        <w:t>Л</w:t>
      </w:r>
      <w:r w:rsidRPr="007122AB">
        <w:rPr>
          <w:rStyle w:val="af0"/>
          <w:i w:val="0"/>
          <w:color w:val="000000" w:themeColor="text1"/>
          <w:sz w:val="16"/>
          <w:szCs w:val="16"/>
          <w:lang w:val="en-US"/>
        </w:rPr>
        <w:t xml:space="preserve">. 2-7,9 -40. </w:t>
      </w:r>
      <w:r w:rsidRPr="007122AB">
        <w:rPr>
          <w:rStyle w:val="af0"/>
          <w:i w:val="0"/>
          <w:color w:val="000000" w:themeColor="text1"/>
          <w:sz w:val="16"/>
          <w:szCs w:val="16"/>
        </w:rPr>
        <w:t>(Б) Машинописный экземпляр того времени из стенограммы заседания пленума ВМБИТ (устное выступление).</w:t>
      </w:r>
    </w:p>
    <w:p w14:paraId="367CE0DD" w14:textId="77777777" w:rsidR="00996162" w:rsidRPr="007122AB" w:rsidRDefault="00996162" w:rsidP="007122AB">
      <w:pPr>
        <w:pStyle w:val="ae"/>
        <w:spacing w:before="0" w:after="0"/>
        <w:jc w:val="both"/>
        <w:rPr>
          <w:color w:val="000000" w:themeColor="text1"/>
          <w:sz w:val="16"/>
          <w:szCs w:val="16"/>
        </w:rPr>
      </w:pPr>
      <w:r w:rsidRPr="007122AB">
        <w:rPr>
          <w:rStyle w:val="af0"/>
          <w:i w:val="0"/>
          <w:color w:val="000000" w:themeColor="text1"/>
          <w:sz w:val="16"/>
          <w:szCs w:val="16"/>
        </w:rPr>
        <w:t>ГА</w:t>
      </w:r>
      <w:r w:rsidRPr="007122AB">
        <w:rPr>
          <w:rStyle w:val="af0"/>
          <w:i w:val="0"/>
          <w:color w:val="000000" w:themeColor="text1"/>
          <w:sz w:val="16"/>
          <w:szCs w:val="16"/>
          <w:lang w:val="en-US"/>
        </w:rPr>
        <w:t xml:space="preserve"> </w:t>
      </w:r>
      <w:r w:rsidRPr="007122AB">
        <w:rPr>
          <w:rStyle w:val="af0"/>
          <w:i w:val="0"/>
          <w:color w:val="000000" w:themeColor="text1"/>
          <w:sz w:val="16"/>
          <w:szCs w:val="16"/>
        </w:rPr>
        <w:t>РФ</w:t>
      </w:r>
      <w:r w:rsidRPr="007122AB">
        <w:rPr>
          <w:rStyle w:val="af0"/>
          <w:i w:val="0"/>
          <w:color w:val="000000" w:themeColor="text1"/>
          <w:sz w:val="16"/>
          <w:szCs w:val="16"/>
          <w:lang w:val="en-US"/>
        </w:rPr>
        <w:t xml:space="preserve">. </w:t>
      </w:r>
      <w:r w:rsidRPr="007122AB">
        <w:rPr>
          <w:rStyle w:val="af0"/>
          <w:i w:val="0"/>
          <w:color w:val="000000" w:themeColor="text1"/>
          <w:sz w:val="16"/>
          <w:szCs w:val="16"/>
        </w:rPr>
        <w:t>Ф</w:t>
      </w:r>
      <w:r w:rsidRPr="007122AB">
        <w:rPr>
          <w:rStyle w:val="af0"/>
          <w:i w:val="0"/>
          <w:color w:val="000000" w:themeColor="text1"/>
          <w:sz w:val="16"/>
          <w:szCs w:val="16"/>
          <w:lang w:val="en-US"/>
        </w:rPr>
        <w:t xml:space="preserve">. P-5548. On. 9. </w:t>
      </w:r>
      <w:r w:rsidRPr="007122AB">
        <w:rPr>
          <w:rStyle w:val="af0"/>
          <w:i w:val="0"/>
          <w:color w:val="000000" w:themeColor="text1"/>
          <w:sz w:val="16"/>
          <w:szCs w:val="16"/>
        </w:rPr>
        <w:t>Д</w:t>
      </w:r>
      <w:r w:rsidRPr="007122AB">
        <w:rPr>
          <w:rStyle w:val="af0"/>
          <w:i w:val="0"/>
          <w:color w:val="000000" w:themeColor="text1"/>
          <w:sz w:val="16"/>
          <w:szCs w:val="16"/>
          <w:lang w:val="en-US"/>
        </w:rPr>
        <w:t xml:space="preserve">. 64. </w:t>
      </w:r>
      <w:r w:rsidRPr="007122AB">
        <w:rPr>
          <w:rStyle w:val="af0"/>
          <w:i w:val="0"/>
          <w:color w:val="000000" w:themeColor="text1"/>
          <w:sz w:val="16"/>
          <w:szCs w:val="16"/>
        </w:rPr>
        <w:t>Л</w:t>
      </w:r>
      <w:r w:rsidRPr="00911712">
        <w:rPr>
          <w:rStyle w:val="af0"/>
          <w:i w:val="0"/>
          <w:color w:val="000000" w:themeColor="text1"/>
          <w:sz w:val="16"/>
          <w:szCs w:val="16"/>
          <w:lang w:val="en-US"/>
        </w:rPr>
        <w:t xml:space="preserve">. 2-38. </w:t>
      </w:r>
      <w:r w:rsidRPr="007122AB">
        <w:rPr>
          <w:rStyle w:val="af0"/>
          <w:i w:val="0"/>
          <w:color w:val="000000" w:themeColor="text1"/>
          <w:sz w:val="16"/>
          <w:szCs w:val="16"/>
        </w:rPr>
        <w:t>(В) Экземпляр машинописной закладки, идентичный Б. Имеется большая рукописная правка Н. М. Шверника, воспроизведенная в экземпляре А.</w:t>
      </w:r>
    </w:p>
    <w:p w14:paraId="6FCB4670" w14:textId="77777777" w:rsidR="00996162" w:rsidRPr="007122AB" w:rsidRDefault="00996162" w:rsidP="007122AB">
      <w:pPr>
        <w:pStyle w:val="rtejustify"/>
        <w:spacing w:before="0" w:after="0"/>
        <w:rPr>
          <w:color w:val="000000" w:themeColor="text1"/>
          <w:sz w:val="16"/>
          <w:szCs w:val="16"/>
        </w:rPr>
      </w:pPr>
      <w:r w:rsidRPr="007122AB">
        <w:rPr>
          <w:rStyle w:val="af0"/>
          <w:i w:val="0"/>
          <w:color w:val="000000" w:themeColor="text1"/>
          <w:sz w:val="16"/>
          <w:szCs w:val="16"/>
        </w:rPr>
        <w:t>Опубликовано в: Инженерный труд. 1931. № 22-23. С. 658-664. («Доклад генерального секретаря ВПСПС тов. Н. М, Шверника ВРЕДИТЕЛЬСТВО И ЗАДАЧИ ИТС») (19051).</w:t>
      </w:r>
    </w:p>
    <w:p w14:paraId="645A33D1" w14:textId="77777777" w:rsidR="00996162" w:rsidRPr="007122AB" w:rsidRDefault="00996162" w:rsidP="007122AB">
      <w:pPr>
        <w:spacing w:after="0" w:line="240" w:lineRule="auto"/>
        <w:jc w:val="both"/>
        <w:rPr>
          <w:rFonts w:ascii="Times New Roman" w:hAnsi="Times New Roman"/>
          <w:color w:val="000000" w:themeColor="text1"/>
          <w:sz w:val="16"/>
          <w:szCs w:val="16"/>
        </w:rPr>
      </w:pPr>
    </w:p>
    <w:p w14:paraId="7382BFF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Авиапромышленность:</w:t>
      </w:r>
    </w:p>
    <w:p w14:paraId="7A0AC41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A126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27 ноября 1931 г. завод № 22 изготовил 91 бомбардировщик из 146 заложенных в план. К новому году задание было выполнено полностью. Производство уже сворачивалось. На смену ТБ-1 шел четырехмоторный ТБ-3. Последние две машины прошли военную приемку в начале 1932 г. Всего выпустили 216 серийных самолетов.</w:t>
      </w:r>
    </w:p>
    <w:p w14:paraId="7F6CBC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пошло массовое производство ТБ-1. Головным самолетом года, на котором внесли целый ряд важных изменений, считался бомбардировщик № 670. В носовой части фюзеляжа он имел усиленную раму с вваренной в нее стальной трубой. К ней крепились ушки торпедной подвески. Противопожарная перегородка в </w:t>
      </w:r>
      <w:proofErr w:type="spellStart"/>
      <w:r w:rsidRPr="007122AB">
        <w:rPr>
          <w:rFonts w:ascii="Times New Roman" w:hAnsi="Times New Roman"/>
          <w:color w:val="000000" w:themeColor="text1"/>
          <w:sz w:val="16"/>
          <w:szCs w:val="16"/>
        </w:rPr>
        <w:t>мотогондолах</w:t>
      </w:r>
      <w:proofErr w:type="spellEnd"/>
      <w:r w:rsidRPr="007122AB">
        <w:rPr>
          <w:rFonts w:ascii="Times New Roman" w:hAnsi="Times New Roman"/>
          <w:color w:val="000000" w:themeColor="text1"/>
          <w:sz w:val="16"/>
          <w:szCs w:val="16"/>
        </w:rPr>
        <w:t xml:space="preserve"> стала трехслойной: между двумя листами кольчугалюминия находился асбест. Верхнюю обшивку фюзеляжа за пилотской кабиной подкрепили дополнительным профилем. На правом борту сделали люк, облегчавший подвеску нижних бомб на Дер-9. Поворот жалюзи радиаторов стал осуществляться не секторами, а штурвалами. Управление рулями высоты перевели на смешанную схему: в хвостовой части тросы заменили трубчатыми тягами. Заднюю часть глушителей начали делать из стали - железные слишком быстро прогорали. Баллон сжатого воздуха, ранее стоявший вертикально, положили на бок в деревянную коробку, обитую изнутри войлоком.</w:t>
      </w:r>
    </w:p>
    <w:p w14:paraId="0998E1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Машины выпуска 1931 г. отличались также по комплектации. Некоторое время предусматривалась установка двух радиостанций: коротковолновой 14СК - у штурмана и длинноволновой 11С - у стрелков. Затем перешли на комплект из станции 11СК и маячного приемника 13ПС. Все они пользовались одними и теми же антеннами и запитывались от генератора РМ-9, стоявшего с ветрянкой на фюзеляже.</w:t>
      </w:r>
    </w:p>
    <w:p w14:paraId="49086E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первых ТБ-1 предполагалась система внутренней связи для трех абонентов, состоявшая из микрофонов и "</w:t>
      </w:r>
      <w:proofErr w:type="spellStart"/>
      <w:r w:rsidRPr="007122AB">
        <w:rPr>
          <w:rFonts w:ascii="Times New Roman" w:hAnsi="Times New Roman"/>
          <w:color w:val="000000" w:themeColor="text1"/>
          <w:sz w:val="16"/>
          <w:szCs w:val="16"/>
        </w:rPr>
        <w:t>дву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ухих</w:t>
      </w:r>
      <w:proofErr w:type="spellEnd"/>
      <w:r w:rsidRPr="007122AB">
        <w:rPr>
          <w:rFonts w:ascii="Times New Roman" w:hAnsi="Times New Roman"/>
          <w:color w:val="000000" w:themeColor="text1"/>
          <w:sz w:val="16"/>
          <w:szCs w:val="16"/>
        </w:rPr>
        <w:t xml:space="preserve"> телефонов". Но наладить ее не смогли. Из-за помех и шума моторов услышать что-либо из наушников было невозможно. Поэтому перешли к цветовой сигнализации. Комплект из трех лампочек, загоравшихся в разных сочетаниях и последовательности, передавал набор кодовых сообщений.</w:t>
      </w:r>
    </w:p>
    <w:p w14:paraId="63819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Неподвижную фотоустановку заменили </w:t>
      </w:r>
      <w:proofErr w:type="spellStart"/>
      <w:r w:rsidRPr="007122AB">
        <w:rPr>
          <w:rFonts w:ascii="Times New Roman" w:hAnsi="Times New Roman"/>
          <w:color w:val="000000" w:themeColor="text1"/>
          <w:sz w:val="16"/>
          <w:szCs w:val="16"/>
        </w:rPr>
        <w:t>турельной</w:t>
      </w:r>
      <w:proofErr w:type="spellEnd"/>
      <w:r w:rsidRPr="007122AB">
        <w:rPr>
          <w:rFonts w:ascii="Times New Roman" w:hAnsi="Times New Roman"/>
          <w:color w:val="000000" w:themeColor="text1"/>
          <w:sz w:val="16"/>
          <w:szCs w:val="16"/>
        </w:rPr>
        <w:t xml:space="preserve"> с отечественным аппаратом "Фото-1бис", позволявшей вести и перспективную съемку. На самолетах последних серий фары убрали в переднюю кромку крыла. Сверху в хвостовой части фюзеляжа смонтировали еще одну пару кодовых огней, дополняющую нижнюю.</w:t>
      </w:r>
    </w:p>
    <w:p w14:paraId="7D946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Модернизировали стрелковое вооружение. Устаревшие пулеметы "Льюис" заменили более скорострельными отечественными ДА. Они также стояли парами на тех же турелях, но боезапас изменился. Если к "</w:t>
      </w:r>
      <w:proofErr w:type="spellStart"/>
      <w:r w:rsidRPr="007122AB">
        <w:rPr>
          <w:rFonts w:ascii="Times New Roman" w:hAnsi="Times New Roman"/>
          <w:color w:val="000000" w:themeColor="text1"/>
          <w:sz w:val="16"/>
          <w:szCs w:val="16"/>
        </w:rPr>
        <w:t>льюисам</w:t>
      </w:r>
      <w:proofErr w:type="spellEnd"/>
      <w:r w:rsidRPr="007122AB">
        <w:rPr>
          <w:rFonts w:ascii="Times New Roman" w:hAnsi="Times New Roman"/>
          <w:color w:val="000000" w:themeColor="text1"/>
          <w:sz w:val="16"/>
          <w:szCs w:val="16"/>
        </w:rPr>
        <w:t xml:space="preserve">" в носовой установке придавали по 10 дисков, а в двух остальных по 12, то для ДА, соответственно, - 22 и 24 диска. Пулемет ДА впервые опробовали еще на "дублере" в марте 1929 г., заменив пару "лью- </w:t>
      </w:r>
      <w:proofErr w:type="spellStart"/>
      <w:r w:rsidRPr="007122AB">
        <w:rPr>
          <w:rFonts w:ascii="Times New Roman" w:hAnsi="Times New Roman"/>
          <w:color w:val="000000" w:themeColor="text1"/>
          <w:sz w:val="16"/>
          <w:szCs w:val="16"/>
        </w:rPr>
        <w:t>исов</w:t>
      </w:r>
      <w:proofErr w:type="spellEnd"/>
      <w:r w:rsidRPr="007122AB">
        <w:rPr>
          <w:rFonts w:ascii="Times New Roman" w:hAnsi="Times New Roman"/>
          <w:color w:val="000000" w:themeColor="text1"/>
          <w:sz w:val="16"/>
          <w:szCs w:val="16"/>
        </w:rPr>
        <w:t>" на носовой турели Тур-6. Но нехватка нового оружия привела к тому, что массово этот пулемет стали монтировать только в 1931 г.</w:t>
      </w:r>
    </w:p>
    <w:p w14:paraId="413CF1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лета того же года возле носовой турели появилась откидная дужка-ограни- </w:t>
      </w:r>
      <w:proofErr w:type="spellStart"/>
      <w:r w:rsidRPr="007122AB">
        <w:rPr>
          <w:rFonts w:ascii="Times New Roman" w:hAnsi="Times New Roman"/>
          <w:color w:val="000000" w:themeColor="text1"/>
          <w:sz w:val="16"/>
          <w:szCs w:val="16"/>
        </w:rPr>
        <w:t>читель</w:t>
      </w:r>
      <w:proofErr w:type="spellEnd"/>
      <w:r w:rsidRPr="007122AB">
        <w:rPr>
          <w:rFonts w:ascii="Times New Roman" w:hAnsi="Times New Roman"/>
          <w:color w:val="000000" w:themeColor="text1"/>
          <w:sz w:val="16"/>
          <w:szCs w:val="16"/>
        </w:rPr>
        <w:t xml:space="preserve">. Она не давала стрелку пальнуть по собственному самолету. Опасность этого выявилась еще при испытаниях вооружения "дублера", но дужку испытали и одобрили лишь в июле 1930 г. На серийных же бомбардировщиках ее ввели еще позже, поскольку потребовалось дополнительное соглашение с </w:t>
      </w:r>
      <w:proofErr w:type="spellStart"/>
      <w:r w:rsidRPr="007122AB">
        <w:rPr>
          <w:rFonts w:ascii="Times New Roman" w:hAnsi="Times New Roman"/>
          <w:color w:val="000000" w:themeColor="text1"/>
          <w:sz w:val="16"/>
          <w:szCs w:val="16"/>
        </w:rPr>
        <w:t>Авиатрестом</w:t>
      </w:r>
      <w:proofErr w:type="spellEnd"/>
      <w:r w:rsidRPr="007122AB">
        <w:rPr>
          <w:rFonts w:ascii="Times New Roman" w:hAnsi="Times New Roman"/>
          <w:color w:val="000000" w:themeColor="text1"/>
          <w:sz w:val="16"/>
          <w:szCs w:val="16"/>
        </w:rPr>
        <w:t>. Ограничители изготавливались в больших количествах и досылались к ранее выпущенным ТБ-1 (12001).</w:t>
      </w:r>
    </w:p>
    <w:p w14:paraId="5A125A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31D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27 ноября 1931 на заводе № 1 сдали всего 44 истребителя И-5. За 1931 г. завод изготовил 66 машин, из которых военную приёмку прошли 53. Например, за октябрь и первую половину ноября из цеха вообще не вышло ни одного И-5. В отчёте военной приёмки причины этого сформулированы следующим образом: "Пуск в производство недоработанной конструкции. Ряд серьёзных дефектов, выявившихся в процессе </w:t>
      </w:r>
      <w:proofErr w:type="spellStart"/>
      <w:r w:rsidRPr="007122AB">
        <w:rPr>
          <w:rFonts w:ascii="Times New Roman" w:hAnsi="Times New Roman"/>
          <w:color w:val="000000" w:themeColor="text1"/>
          <w:sz w:val="16"/>
          <w:szCs w:val="16"/>
        </w:rPr>
        <w:t>эксплоатации</w:t>
      </w:r>
      <w:proofErr w:type="spellEnd"/>
      <w:r w:rsidRPr="007122AB">
        <w:rPr>
          <w:rFonts w:ascii="Times New Roman" w:hAnsi="Times New Roman"/>
          <w:color w:val="000000" w:themeColor="text1"/>
          <w:sz w:val="16"/>
          <w:szCs w:val="16"/>
        </w:rPr>
        <w:t>, что потребовало значительных переделок конструкции. Отсутствие моторов". По сути, так оно и было (11997).</w:t>
      </w:r>
    </w:p>
    <w:p w14:paraId="4C50DC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2ADAC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818DDC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015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ноября 1931 КБ-1 Орудийно-Арсенального объединения получило заказ на проектирование и изготовление опытного образца спаренной 20 мм пушки обр. 1930 на лафете и тумбе. Параллельно спроектировали установку на трехосном Форде и хотели ставить на Т-37 (1116,43).</w:t>
      </w:r>
    </w:p>
    <w:p w14:paraId="576A62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521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ноября 1931 года КБ № 1 Орудийно-Арсенального объединения получило заказ на проектирование и изготовление опытного образца спаренной 20-мм пушки обр. 1930 г. Спаренная установка проектировалась в двух вариантах: на колесном лафете и на тумбе для стационарной установки. Вес установки на колесном лафете - 550 кг, угол ВН 0°, +80°, угол ГН - 360°. Установка имела съемный щит толщиной около 4 мм. Параллельно была спроектирована самоходная 20-мм установка на шасси трехосного автомобиля типа "Форд" для оснащения </w:t>
      </w:r>
      <w:proofErr w:type="spellStart"/>
      <w:r w:rsidRPr="007122AB">
        <w:rPr>
          <w:rFonts w:ascii="Times New Roman" w:hAnsi="Times New Roman"/>
          <w:color w:val="000000" w:themeColor="text1"/>
          <w:sz w:val="16"/>
          <w:szCs w:val="16"/>
        </w:rPr>
        <w:t>мото</w:t>
      </w:r>
      <w:proofErr w:type="spellEnd"/>
      <w:r w:rsidRPr="007122AB">
        <w:rPr>
          <w:rFonts w:ascii="Times New Roman" w:hAnsi="Times New Roman"/>
          <w:color w:val="000000" w:themeColor="text1"/>
          <w:sz w:val="16"/>
          <w:szCs w:val="16"/>
        </w:rPr>
        <w:t>-механизированных бригад РККА. В ходе переоборудования платформа и кабина машины не менялась. Угол ГН по воздушным целям составлял 360°, а по наземным - 270° (из-за кабины). Расчет 4 человека. На платформе размещался боекомплект 1000 патронов, из них 200 в обоймах. Установка легко снималась с платформы и устанавливалась на грунт. Кроме того, проектировалось установить 20-мм пушку обр. 1930 г. в танкетку Т-27. Справа на месте пулемета устанавливалась качающаяся часть 20-мм автомата. Угол ГН составлял +15°, максимальный угол возвышения +10°. Таким образом установка не была приспособлена для зенитной стрельбы (3861).</w:t>
      </w:r>
    </w:p>
    <w:p w14:paraId="1326CD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A54F42" w14:textId="77777777" w:rsidR="005D6F9D" w:rsidRPr="007122AB" w:rsidRDefault="005D6F9D"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27 ноября 1931 г.</w:t>
      </w:r>
      <w:r w:rsidRPr="007122AB">
        <w:rPr>
          <w:rFonts w:ascii="Times New Roman" w:hAnsi="Times New Roman"/>
          <w:color w:val="000000" w:themeColor="text1"/>
          <w:sz w:val="16"/>
          <w:szCs w:val="16"/>
        </w:rPr>
        <w:t xml:space="preserve"> Демонстрация членам РВС СССР новых средств химического вооружения на военно-химическом полигоне в Кузьминках (Москва). Во время демонстрации командир химической роты распорядился «</w:t>
      </w:r>
      <w:r w:rsidRPr="007122AB">
        <w:rPr>
          <w:rFonts w:ascii="Times New Roman" w:hAnsi="Times New Roman"/>
          <w:iCs/>
          <w:color w:val="000000" w:themeColor="text1"/>
          <w:sz w:val="16"/>
          <w:szCs w:val="16"/>
        </w:rPr>
        <w:t>разогреть на костре бочку иприта</w:t>
      </w:r>
      <w:r w:rsidRPr="007122AB">
        <w:rPr>
          <w:rFonts w:ascii="Times New Roman" w:hAnsi="Times New Roman"/>
          <w:color w:val="000000" w:themeColor="text1"/>
          <w:sz w:val="16"/>
          <w:szCs w:val="16"/>
        </w:rPr>
        <w:t>» с завинченной пробкой, она взорвалась, три рядовых красноармейца, облитых ипритом, получили поражение (17133).</w:t>
      </w:r>
    </w:p>
    <w:p w14:paraId="2ADE6893" w14:textId="77777777" w:rsidR="005D6F9D" w:rsidRPr="007122AB" w:rsidRDefault="005D6F9D" w:rsidP="007122AB">
      <w:pPr>
        <w:shd w:val="clear" w:color="auto" w:fill="FFFFFF"/>
        <w:spacing w:after="0" w:line="240" w:lineRule="auto"/>
        <w:jc w:val="both"/>
        <w:rPr>
          <w:rFonts w:ascii="Times New Roman" w:hAnsi="Times New Roman"/>
          <w:color w:val="000000" w:themeColor="text1"/>
          <w:sz w:val="16"/>
          <w:szCs w:val="16"/>
        </w:rPr>
      </w:pPr>
    </w:p>
    <w:p w14:paraId="315EA1D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1672EE0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22141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ноября и 3 декабря 1931. Из протокола заседания Политбюро № 78, 1931 г.</w:t>
      </w:r>
    </w:p>
    <w:p w14:paraId="60D5F5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Вопрос РВС </w:t>
      </w:r>
    </w:p>
    <w:p w14:paraId="0B4122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Утвердить решение Оргбюро о мобилизации 10 тыс. коммунистов для набора в военные школы. </w:t>
      </w:r>
    </w:p>
    <w:p w14:paraId="5CE04B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Проведение мобилизации возложить на тт. Постышева, Гамарника, Ежова (11652). </w:t>
      </w:r>
    </w:p>
    <w:p w14:paraId="23C3A0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DE521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600A66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1FDB4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ноября и 3 декабря 1931. Из протокола заседания Политбюро № 77, 1931 г.</w:t>
      </w:r>
    </w:p>
    <w:p w14:paraId="1D112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плане отгрузок хлеба </w:t>
      </w:r>
    </w:p>
    <w:p w14:paraId="3591D0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w:t>
      </w:r>
      <w:proofErr w:type="spellStart"/>
      <w:r w:rsidRPr="007122AB">
        <w:rPr>
          <w:rFonts w:ascii="Times New Roman" w:hAnsi="Times New Roman"/>
          <w:color w:val="000000" w:themeColor="text1"/>
          <w:sz w:val="16"/>
          <w:szCs w:val="16"/>
        </w:rPr>
        <w:t>Наркомснаб</w:t>
      </w:r>
      <w:proofErr w:type="spellEnd"/>
      <w:r w:rsidRPr="007122AB">
        <w:rPr>
          <w:rFonts w:ascii="Times New Roman" w:hAnsi="Times New Roman"/>
          <w:color w:val="000000" w:themeColor="text1"/>
          <w:sz w:val="16"/>
          <w:szCs w:val="16"/>
        </w:rPr>
        <w:t xml:space="preserve"> (тов. Микоян) выполнить полностью установленный план отгрузок хлеба на экспорт в ноябре месяце, заменив недостающее количество кукурузы, бобовых и ячменя отгрузкой в остающиеся дни ноября месяца ржи в количестве 100 тыс. тонн и пшеницы в количестве 30 тыс. тонн (11652). </w:t>
      </w:r>
    </w:p>
    <w:p w14:paraId="36080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AE5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ноября и 3 декабря 1931. Из протокола заседания Политбюро № 77, 1931 г.</w:t>
      </w:r>
    </w:p>
    <w:p w14:paraId="76E0BC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железнодорожной катастрофе с колхозниками, перевозимыми на Дальний Восток </w:t>
      </w:r>
    </w:p>
    <w:p w14:paraId="26AABA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НКПС (Народный комиссариат путей сообщения.— "Власть") представить в Политбюро исчерпывающие данные о железнодорожной катастрофе с колхозниками, перевозимыми на Дальний Восток, указав </w:t>
      </w:r>
      <w:proofErr w:type="spellStart"/>
      <w:r w:rsidRPr="007122AB">
        <w:rPr>
          <w:rFonts w:ascii="Times New Roman" w:hAnsi="Times New Roman"/>
          <w:color w:val="000000" w:themeColor="text1"/>
          <w:sz w:val="16"/>
          <w:szCs w:val="16"/>
        </w:rPr>
        <w:t>НКПСу</w:t>
      </w:r>
      <w:proofErr w:type="spellEnd"/>
      <w:r w:rsidRPr="007122AB">
        <w:rPr>
          <w:rFonts w:ascii="Times New Roman" w:hAnsi="Times New Roman"/>
          <w:color w:val="000000" w:themeColor="text1"/>
          <w:sz w:val="16"/>
          <w:szCs w:val="16"/>
        </w:rPr>
        <w:t xml:space="preserve"> на недопустимость того, что им до сих пор ничего не было сообщено в ЦК об этой катастрофе (11652).</w:t>
      </w:r>
    </w:p>
    <w:p w14:paraId="7EC6A2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551D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ноября и 3 декабря 1931. Из протокола заседания Политбюро № 77, 1931 г.</w:t>
      </w:r>
    </w:p>
    <w:p w14:paraId="4D692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продовольственном снабжении районных руководящих работников </w:t>
      </w:r>
    </w:p>
    <w:p w14:paraId="572E15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Нормы снабжения районных работников (с членами их семей), подлежащих снабжению в централизованном порядке. </w:t>
      </w:r>
    </w:p>
    <w:p w14:paraId="1DE884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продовольствию на одно лицо: хлеба — 800 г в день, крупы — 2,5 кг в месяц, рыбы — 2 кг в месяц, сахара — 1,5 кг в месяц, растительного масла — 400 г в месяц, чая — 25 г в месяц, мыла хозяйственного — 500 г в месяц, мыла туалетного — 1 кусок в месяц, консервов разных — 3 банки в месяц. </w:t>
      </w:r>
    </w:p>
    <w:p w14:paraId="7C278B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промтоварам: хлопчатобумажной ткани, готовое платье, обувь, галоши, трикотаж, папиросы, нитки — на 10 руб. в месяц на человека (11652).</w:t>
      </w:r>
    </w:p>
    <w:p w14:paraId="141ED8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74136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4619F99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88E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ноября 1931 СССР и Финляндия подписали соглашение о ненападении (2242,1).</w:t>
      </w:r>
    </w:p>
    <w:p w14:paraId="38915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B4F6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ноября 1931 И.В.С в письме к К.Е.В. рассмотрел последствия японского вторжения в Манчжурию (сентябрь) (9089,149).</w:t>
      </w:r>
    </w:p>
    <w:p w14:paraId="6F622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20DE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Между 27 ноября и 3 декабря 1931. Из протокола заседания Политбюро № 77, 1931 г.</w:t>
      </w:r>
    </w:p>
    <w:p w14:paraId="1BFA64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столкновении пароходов в </w:t>
      </w:r>
      <w:proofErr w:type="spellStart"/>
      <w:r w:rsidRPr="007122AB">
        <w:rPr>
          <w:rFonts w:ascii="Times New Roman" w:hAnsi="Times New Roman"/>
          <w:color w:val="000000" w:themeColor="text1"/>
          <w:sz w:val="16"/>
          <w:szCs w:val="16"/>
        </w:rPr>
        <w:t>Кильском</w:t>
      </w:r>
      <w:proofErr w:type="spellEnd"/>
      <w:r w:rsidRPr="007122AB">
        <w:rPr>
          <w:rFonts w:ascii="Times New Roman" w:hAnsi="Times New Roman"/>
          <w:color w:val="000000" w:themeColor="text1"/>
          <w:sz w:val="16"/>
          <w:szCs w:val="16"/>
        </w:rPr>
        <w:t xml:space="preserve"> канале </w:t>
      </w:r>
    </w:p>
    <w:p w14:paraId="6FDB9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Обязать </w:t>
      </w:r>
      <w:proofErr w:type="spellStart"/>
      <w:r w:rsidRPr="007122AB">
        <w:rPr>
          <w:rFonts w:ascii="Times New Roman" w:hAnsi="Times New Roman"/>
          <w:color w:val="000000" w:themeColor="text1"/>
          <w:sz w:val="16"/>
          <w:szCs w:val="16"/>
        </w:rPr>
        <w:t>Наркомвод</w:t>
      </w:r>
      <w:proofErr w:type="spellEnd"/>
      <w:r w:rsidRPr="007122AB">
        <w:rPr>
          <w:rFonts w:ascii="Times New Roman" w:hAnsi="Times New Roman"/>
          <w:color w:val="000000" w:themeColor="text1"/>
          <w:sz w:val="16"/>
          <w:szCs w:val="16"/>
        </w:rPr>
        <w:t xml:space="preserve"> представить в Политбюро исчерпывающие данные о затоплении нашим теплоходом голландского теплохода в </w:t>
      </w:r>
      <w:proofErr w:type="spellStart"/>
      <w:r w:rsidRPr="007122AB">
        <w:rPr>
          <w:rFonts w:ascii="Times New Roman" w:hAnsi="Times New Roman"/>
          <w:color w:val="000000" w:themeColor="text1"/>
          <w:sz w:val="16"/>
          <w:szCs w:val="16"/>
        </w:rPr>
        <w:t>Кильском</w:t>
      </w:r>
      <w:proofErr w:type="spellEnd"/>
      <w:r w:rsidRPr="007122AB">
        <w:rPr>
          <w:rFonts w:ascii="Times New Roman" w:hAnsi="Times New Roman"/>
          <w:color w:val="000000" w:themeColor="text1"/>
          <w:sz w:val="16"/>
          <w:szCs w:val="16"/>
        </w:rPr>
        <w:t xml:space="preserve"> канале, указав </w:t>
      </w:r>
      <w:proofErr w:type="spellStart"/>
      <w:r w:rsidRPr="007122AB">
        <w:rPr>
          <w:rFonts w:ascii="Times New Roman" w:hAnsi="Times New Roman"/>
          <w:color w:val="000000" w:themeColor="text1"/>
          <w:sz w:val="16"/>
          <w:szCs w:val="16"/>
        </w:rPr>
        <w:t>Наркомводу</w:t>
      </w:r>
      <w:proofErr w:type="spellEnd"/>
      <w:r w:rsidRPr="007122AB">
        <w:rPr>
          <w:rFonts w:ascii="Times New Roman" w:hAnsi="Times New Roman"/>
          <w:color w:val="000000" w:themeColor="text1"/>
          <w:sz w:val="16"/>
          <w:szCs w:val="16"/>
        </w:rPr>
        <w:t xml:space="preserve"> на недопустимость того, что им до сих пор ничего не было сообщено в ЦК об этом случае (11652).</w:t>
      </w:r>
    </w:p>
    <w:p w14:paraId="55CE1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D9EE2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27 ноября и 3 декабря 1931. Из протокола заседания Политбюро № 78, 1931 г.</w:t>
      </w:r>
    </w:p>
    <w:p w14:paraId="33649D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конвенции по борьбе с наркотиками </w:t>
      </w:r>
    </w:p>
    <w:p w14:paraId="35F900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Считать нежелательным подписание конвенции о борьбе с наркотиками от 13 июля 1931 года (11652).</w:t>
      </w:r>
    </w:p>
    <w:p w14:paraId="2CA0588B" w14:textId="5F72B97E"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4306B7" w14:textId="4150D7E9" w:rsidR="00AE643E" w:rsidRPr="007122AB" w:rsidRDefault="00AE643E" w:rsidP="007122AB">
      <w:pPr>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264E66E4" w14:textId="77777777" w:rsidR="00AE643E" w:rsidRPr="007122AB" w:rsidRDefault="00AE643E"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3302A717" w14:textId="77777777" w:rsidR="00AE643E" w:rsidRPr="007122AB" w:rsidRDefault="00AE643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27 ноября 1931 состоялся первый полет Фейри Сил (20804). </w:t>
      </w:r>
    </w:p>
    <w:p w14:paraId="07D0DD46" w14:textId="77777777" w:rsidR="00AE643E" w:rsidRPr="007122AB" w:rsidRDefault="00AE643E" w:rsidP="007122AB">
      <w:pPr>
        <w:spacing w:after="0" w:line="240" w:lineRule="auto"/>
        <w:jc w:val="both"/>
        <w:rPr>
          <w:rFonts w:ascii="Times New Roman" w:hAnsi="Times New Roman"/>
          <w:color w:val="000000" w:themeColor="text1"/>
          <w:sz w:val="16"/>
          <w:szCs w:val="16"/>
        </w:rPr>
      </w:pPr>
    </w:p>
    <w:p w14:paraId="72C57794" w14:textId="77777777" w:rsidR="00AE643E" w:rsidRPr="007122AB" w:rsidRDefault="00AE643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 ноября 1931 состоялся первый полет Fokker D.XVII (20804).</w:t>
      </w:r>
    </w:p>
    <w:p w14:paraId="1C896EF7" w14:textId="77777777" w:rsidR="00AE643E" w:rsidRPr="007122AB" w:rsidRDefault="00AE643E" w:rsidP="007122AB">
      <w:pPr>
        <w:spacing w:after="0" w:line="240" w:lineRule="auto"/>
        <w:jc w:val="both"/>
        <w:rPr>
          <w:rFonts w:ascii="Times New Roman" w:hAnsi="Times New Roman"/>
          <w:color w:val="000000" w:themeColor="text1"/>
          <w:sz w:val="16"/>
          <w:szCs w:val="16"/>
        </w:rPr>
      </w:pPr>
    </w:p>
    <w:p w14:paraId="069F88EF" w14:textId="77777777" w:rsidR="00793DC8" w:rsidRPr="007122AB" w:rsidRDefault="00793DC8"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154F152" w14:textId="77777777" w:rsidR="00793DC8" w:rsidRPr="007122AB" w:rsidRDefault="00793DC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945E8DE" w14:textId="77777777" w:rsidR="00793DC8" w:rsidRPr="007122AB" w:rsidRDefault="00793DC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28 ноября 1931 заводчане завода № 31 отрапортовали «наверх», что машина почти готова, не успели только обтянуть плоскости полотном и смонтировать оборудование. Но уже на следующий день кто-то из рабочих по ошибке оставил на ночь открытым паровой вентиль в цехе (гнутые деревян</w:t>
      </w:r>
      <w:r w:rsidRPr="007122AB">
        <w:rPr>
          <w:rFonts w:ascii="Times New Roman" w:hAnsi="Times New Roman"/>
          <w:color w:val="000000" w:themeColor="text1"/>
          <w:sz w:val="16"/>
          <w:szCs w:val="16"/>
          <w:lang w:eastAsia="ru-RU" w:bidi="ru-RU"/>
        </w:rPr>
        <w:softHyphen/>
        <w:t xml:space="preserve">ные детали предварительно распаривали). К утру все </w:t>
      </w:r>
      <w:proofErr w:type="spellStart"/>
      <w:r w:rsidRPr="007122AB">
        <w:rPr>
          <w:rFonts w:ascii="Times New Roman" w:hAnsi="Times New Roman"/>
          <w:color w:val="000000" w:themeColor="text1"/>
          <w:sz w:val="16"/>
          <w:szCs w:val="16"/>
          <w:lang w:eastAsia="ru-RU" w:bidi="ru-RU"/>
        </w:rPr>
        <w:t>межкрыльевые</w:t>
      </w:r>
      <w:proofErr w:type="spellEnd"/>
      <w:r w:rsidRPr="007122AB">
        <w:rPr>
          <w:rFonts w:ascii="Times New Roman" w:hAnsi="Times New Roman"/>
          <w:color w:val="000000" w:themeColor="text1"/>
          <w:sz w:val="16"/>
          <w:szCs w:val="16"/>
          <w:lang w:eastAsia="ru-RU" w:bidi="ru-RU"/>
        </w:rPr>
        <w:t xml:space="preserve"> стойки и </w:t>
      </w:r>
      <w:proofErr w:type="spellStart"/>
      <w:r w:rsidRPr="007122AB">
        <w:rPr>
          <w:rFonts w:ascii="Times New Roman" w:hAnsi="Times New Roman"/>
          <w:color w:val="000000" w:themeColor="text1"/>
          <w:sz w:val="16"/>
          <w:szCs w:val="16"/>
          <w:lang w:eastAsia="ru-RU" w:bidi="ru-RU"/>
        </w:rPr>
        <w:t>подмоторные</w:t>
      </w:r>
      <w:proofErr w:type="spellEnd"/>
      <w:r w:rsidRPr="007122AB">
        <w:rPr>
          <w:rFonts w:ascii="Times New Roman" w:hAnsi="Times New Roman"/>
          <w:color w:val="000000" w:themeColor="text1"/>
          <w:sz w:val="16"/>
          <w:szCs w:val="16"/>
          <w:lang w:eastAsia="ru-RU" w:bidi="ru-RU"/>
        </w:rPr>
        <w:t xml:space="preserve"> брусья перекосились и растрескались.</w:t>
      </w:r>
    </w:p>
    <w:p w14:paraId="1A037242" w14:textId="77777777" w:rsidR="00793DC8" w:rsidRPr="007122AB" w:rsidRDefault="00793DC8"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попытке спасти ситуацию завод обратился в ВАО с просьбой уменьшить план до 30 самолетов, а пять первых считать опытными. Эта маленькая хитрость позволяла су</w:t>
      </w:r>
      <w:r w:rsidRPr="007122AB">
        <w:rPr>
          <w:rFonts w:ascii="Times New Roman" w:hAnsi="Times New Roman"/>
          <w:color w:val="000000" w:themeColor="text1"/>
          <w:sz w:val="16"/>
          <w:szCs w:val="16"/>
          <w:lang w:eastAsia="ru-RU" w:bidi="ru-RU"/>
        </w:rPr>
        <w:softHyphen/>
        <w:t>щественно отклоняться от требований к серийным ма</w:t>
      </w:r>
      <w:r w:rsidRPr="007122AB">
        <w:rPr>
          <w:rFonts w:ascii="Times New Roman" w:hAnsi="Times New Roman"/>
          <w:color w:val="000000" w:themeColor="text1"/>
          <w:sz w:val="16"/>
          <w:szCs w:val="16"/>
          <w:lang w:eastAsia="ru-RU" w:bidi="ru-RU"/>
        </w:rPr>
        <w:softHyphen/>
        <w:t>шинам. ВАО с предложением завода согласился, но зато на следующий, 1932 г., от предприятия потребовали вы</w:t>
      </w:r>
      <w:r w:rsidRPr="007122AB">
        <w:rPr>
          <w:rFonts w:ascii="Times New Roman" w:hAnsi="Times New Roman"/>
          <w:color w:val="000000" w:themeColor="text1"/>
          <w:sz w:val="16"/>
          <w:szCs w:val="16"/>
          <w:lang w:eastAsia="ru-RU" w:bidi="ru-RU"/>
        </w:rPr>
        <w:softHyphen/>
        <w:t>пустить уже 110 лодок. При этом первые 50 машин долж</w:t>
      </w:r>
      <w:r w:rsidRPr="007122AB">
        <w:rPr>
          <w:rFonts w:ascii="Times New Roman" w:hAnsi="Times New Roman"/>
          <w:color w:val="000000" w:themeColor="text1"/>
          <w:sz w:val="16"/>
          <w:szCs w:val="16"/>
          <w:lang w:eastAsia="ru-RU" w:bidi="ru-RU"/>
        </w:rPr>
        <w:softHyphen/>
        <w:t>ны были оснащаться двигателями «Ассо», 10-20 следую</w:t>
      </w:r>
      <w:r w:rsidRPr="007122AB">
        <w:rPr>
          <w:rFonts w:ascii="Times New Roman" w:hAnsi="Times New Roman"/>
          <w:color w:val="000000" w:themeColor="text1"/>
          <w:sz w:val="16"/>
          <w:szCs w:val="16"/>
          <w:lang w:eastAsia="ru-RU" w:bidi="ru-RU"/>
        </w:rPr>
        <w:softHyphen/>
        <w:t>щих — новыми отечественными моторами М-27 (тоже 18-ци</w:t>
      </w:r>
      <w:r w:rsidRPr="007122AB">
        <w:rPr>
          <w:rFonts w:ascii="Times New Roman" w:hAnsi="Times New Roman"/>
          <w:color w:val="000000" w:themeColor="text1"/>
          <w:sz w:val="16"/>
          <w:szCs w:val="16"/>
          <w:lang w:eastAsia="ru-RU" w:bidi="ru-RU"/>
        </w:rPr>
        <w:softHyphen/>
        <w:t xml:space="preserve">линдровыми, </w:t>
      </w:r>
      <w:r w:rsidRPr="007122AB">
        <w:rPr>
          <w:rFonts w:ascii="Times New Roman" w:hAnsi="Times New Roman"/>
          <w:color w:val="000000" w:themeColor="text1"/>
          <w:sz w:val="16"/>
          <w:szCs w:val="16"/>
          <w:lang w:val="en-US" w:bidi="en-US"/>
        </w:rPr>
        <w:t>W</w:t>
      </w:r>
      <w:r w:rsidRPr="007122AB">
        <w:rPr>
          <w:rFonts w:ascii="Times New Roman" w:hAnsi="Times New Roman"/>
          <w:color w:val="000000" w:themeColor="text1"/>
          <w:sz w:val="16"/>
          <w:szCs w:val="16"/>
          <w:lang w:eastAsia="ru-RU" w:bidi="ru-RU"/>
        </w:rPr>
        <w:t>-образными, как «Ассо»), а все остальные — двигателями М-34. Машины с М-27 предназначались для гражданской авиации, с М-34 — для ВВС. Проектирование вариантов с М-27 и М-34 начали на заводе №31, но с кон</w:t>
      </w:r>
      <w:r w:rsidRPr="007122AB">
        <w:rPr>
          <w:rFonts w:ascii="Times New Roman" w:hAnsi="Times New Roman"/>
          <w:color w:val="000000" w:themeColor="text1"/>
          <w:sz w:val="16"/>
          <w:szCs w:val="16"/>
          <w:lang w:eastAsia="ru-RU" w:bidi="ru-RU"/>
        </w:rPr>
        <w:softHyphen/>
        <w:t>ца года все материалы передали в ЦАГИ (20325).</w:t>
      </w:r>
    </w:p>
    <w:p w14:paraId="1142FDC9" w14:textId="77777777" w:rsidR="00793DC8" w:rsidRPr="007122AB" w:rsidRDefault="00793DC8" w:rsidP="007122AB">
      <w:pPr>
        <w:spacing w:after="0" w:line="240" w:lineRule="auto"/>
        <w:jc w:val="both"/>
        <w:rPr>
          <w:rFonts w:ascii="Times New Roman" w:hAnsi="Times New Roman"/>
          <w:color w:val="000000" w:themeColor="text1"/>
          <w:sz w:val="16"/>
          <w:szCs w:val="16"/>
        </w:rPr>
      </w:pPr>
    </w:p>
    <w:p w14:paraId="1E719C7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78B93F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B90A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ноября 1931 года Н.А. </w:t>
      </w:r>
      <w:proofErr w:type="spellStart"/>
      <w:r w:rsidRPr="007122AB">
        <w:rPr>
          <w:rFonts w:ascii="Times New Roman" w:hAnsi="Times New Roman"/>
          <w:color w:val="000000" w:themeColor="text1"/>
          <w:sz w:val="16"/>
          <w:szCs w:val="16"/>
        </w:rPr>
        <w:t>Доровлевым</w:t>
      </w:r>
      <w:proofErr w:type="spellEnd"/>
      <w:r w:rsidRPr="007122AB">
        <w:rPr>
          <w:rFonts w:ascii="Times New Roman" w:hAnsi="Times New Roman"/>
          <w:color w:val="000000" w:themeColor="text1"/>
          <w:sz w:val="16"/>
          <w:szCs w:val="16"/>
        </w:rPr>
        <w:t xml:space="preserve"> в Артиллерийское управление были отправлены рабочие чертежи 82-мм миномета. Первый 82-мм миномет был спроектирован группой Д на базе 81-мм трофейного миномета Стокса-</w:t>
      </w:r>
      <w:proofErr w:type="spellStart"/>
      <w:r w:rsidRPr="007122AB">
        <w:rPr>
          <w:rFonts w:ascii="Times New Roman" w:hAnsi="Times New Roman"/>
          <w:color w:val="000000" w:themeColor="text1"/>
          <w:sz w:val="16"/>
          <w:szCs w:val="16"/>
        </w:rPr>
        <w:t>Браундта</w:t>
      </w:r>
      <w:proofErr w:type="spellEnd"/>
      <w:r w:rsidRPr="007122AB">
        <w:rPr>
          <w:rFonts w:ascii="Times New Roman" w:hAnsi="Times New Roman"/>
          <w:color w:val="000000" w:themeColor="text1"/>
          <w:sz w:val="16"/>
          <w:szCs w:val="16"/>
        </w:rPr>
        <w:t>. У минометов группы Д калибр был 82 мм, а не 81,4 мм, как у минометов Стокса-</w:t>
      </w:r>
      <w:proofErr w:type="spellStart"/>
      <w:r w:rsidRPr="007122AB">
        <w:rPr>
          <w:rFonts w:ascii="Times New Roman" w:hAnsi="Times New Roman"/>
          <w:color w:val="000000" w:themeColor="text1"/>
          <w:sz w:val="16"/>
          <w:szCs w:val="16"/>
        </w:rPr>
        <w:t>Браундта</w:t>
      </w:r>
      <w:proofErr w:type="spellEnd"/>
      <w:r w:rsidRPr="007122AB">
        <w:rPr>
          <w:rFonts w:ascii="Times New Roman" w:hAnsi="Times New Roman"/>
          <w:color w:val="000000" w:themeColor="text1"/>
          <w:sz w:val="16"/>
          <w:szCs w:val="16"/>
        </w:rPr>
        <w:t xml:space="preserve"> в остальных государствах мира для того, чтобы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w:t>
      </w:r>
    </w:p>
    <w:p w14:paraId="25E150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Cогласно</w:t>
      </w:r>
      <w:proofErr w:type="spellEnd"/>
      <w:r w:rsidRPr="007122AB">
        <w:rPr>
          <w:rFonts w:ascii="Times New Roman" w:hAnsi="Times New Roman"/>
          <w:color w:val="000000" w:themeColor="text1"/>
          <w:sz w:val="16"/>
          <w:szCs w:val="16"/>
        </w:rPr>
        <w:t xml:space="preserve"> проекту ствол миномета был гладкий. На конец трубы навинчен казенник с шаровой пятой для упора в плиту. На ствол надета обойма, связывающая ствол со станком. Обойма снабжена амортизаторными пружинами.</w:t>
      </w:r>
    </w:p>
    <w:p w14:paraId="4FDAA8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Станок двухколесный с механизмами вертикального и горизонтального наведения. Колеса в боевом положении вывешиваются. На поле боя станок перекатывался вручную с помощью двух оглобель.</w:t>
      </w:r>
    </w:p>
    <w:p w14:paraId="12739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Число зарядов пять, вес их от 6 до 62 </w:t>
      </w:r>
      <w:proofErr w:type="spellStart"/>
      <w:r w:rsidRPr="007122AB">
        <w:rPr>
          <w:rFonts w:ascii="Times New Roman" w:hAnsi="Times New Roman"/>
          <w:color w:val="000000" w:themeColor="text1"/>
          <w:sz w:val="16"/>
          <w:szCs w:val="16"/>
        </w:rPr>
        <w:t>гр</w:t>
      </w:r>
      <w:proofErr w:type="spellEnd"/>
      <w:r w:rsidRPr="007122AB">
        <w:rPr>
          <w:rFonts w:ascii="Times New Roman" w:hAnsi="Times New Roman"/>
          <w:color w:val="000000" w:themeColor="text1"/>
          <w:sz w:val="16"/>
          <w:szCs w:val="16"/>
        </w:rPr>
        <w:t xml:space="preserve"> (3861).</w:t>
      </w:r>
    </w:p>
    <w:p w14:paraId="780D1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82329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ноября 1931 года в резолюции по докладу директора ХПЗ </w:t>
      </w:r>
      <w:proofErr w:type="spellStart"/>
      <w:r w:rsidRPr="007122AB">
        <w:rPr>
          <w:rFonts w:ascii="Times New Roman" w:hAnsi="Times New Roman"/>
          <w:color w:val="000000" w:themeColor="text1"/>
          <w:sz w:val="16"/>
          <w:szCs w:val="16"/>
        </w:rPr>
        <w:t>Л.С.Владимирова</w:t>
      </w:r>
      <w:proofErr w:type="spellEnd"/>
      <w:r w:rsidRPr="007122AB">
        <w:rPr>
          <w:rFonts w:ascii="Times New Roman" w:hAnsi="Times New Roman"/>
          <w:color w:val="000000" w:themeColor="text1"/>
          <w:sz w:val="16"/>
          <w:szCs w:val="16"/>
        </w:rPr>
        <w:t xml:space="preserve"> на заседа</w:t>
      </w:r>
      <w:r w:rsidRPr="007122AB">
        <w:rPr>
          <w:rFonts w:ascii="Times New Roman" w:hAnsi="Times New Roman"/>
          <w:color w:val="000000" w:themeColor="text1"/>
          <w:sz w:val="16"/>
          <w:szCs w:val="16"/>
        </w:rPr>
        <w:softHyphen/>
        <w:t>нии бюро парткома завода отмечалось: «Разработан</w:t>
      </w:r>
      <w:r w:rsidRPr="007122AB">
        <w:rPr>
          <w:rFonts w:ascii="Times New Roman" w:hAnsi="Times New Roman"/>
          <w:color w:val="000000" w:themeColor="text1"/>
          <w:sz w:val="16"/>
          <w:szCs w:val="16"/>
        </w:rPr>
        <w:softHyphen/>
        <w:t>ная конструкторскими силами ХПЗ новая конструкция дизеля марки Д-40 сможет заменить строящиеся на заводе заграничные типы дизелей и тем самым освободить СССР в этой части от иностранной зависимости. В на</w:t>
      </w:r>
      <w:r w:rsidRPr="007122AB">
        <w:rPr>
          <w:rFonts w:ascii="Times New Roman" w:hAnsi="Times New Roman"/>
          <w:color w:val="000000" w:themeColor="text1"/>
          <w:sz w:val="16"/>
          <w:szCs w:val="16"/>
        </w:rPr>
        <w:softHyphen/>
        <w:t>стоящее время на заводе строится опытный образец этой машины».</w:t>
      </w:r>
    </w:p>
    <w:p w14:paraId="25DC73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началось изготовление дизеля Д-40. Его испыта</w:t>
      </w:r>
      <w:r w:rsidRPr="007122AB">
        <w:rPr>
          <w:rFonts w:ascii="Times New Roman" w:hAnsi="Times New Roman"/>
          <w:color w:val="000000" w:themeColor="text1"/>
          <w:sz w:val="16"/>
          <w:szCs w:val="16"/>
        </w:rPr>
        <w:softHyphen/>
        <w:t>ния дали удовлетворительные результаты. В апреле 1932 года «Комсо</w:t>
      </w:r>
      <w:r w:rsidRPr="007122AB">
        <w:rPr>
          <w:rFonts w:ascii="Times New Roman" w:hAnsi="Times New Roman"/>
          <w:color w:val="000000" w:themeColor="text1"/>
          <w:sz w:val="16"/>
          <w:szCs w:val="16"/>
        </w:rPr>
        <w:softHyphen/>
        <w:t>мольский» — так назвали заводчане своего первенца — был сдан в эксплу</w:t>
      </w:r>
      <w:r w:rsidRPr="007122AB">
        <w:rPr>
          <w:rFonts w:ascii="Times New Roman" w:hAnsi="Times New Roman"/>
          <w:color w:val="000000" w:themeColor="text1"/>
          <w:sz w:val="16"/>
          <w:szCs w:val="16"/>
        </w:rPr>
        <w:softHyphen/>
        <w:t>атацию. Настал конец зависимости нашего дизелестроения от иностран</w:t>
      </w:r>
      <w:r w:rsidRPr="007122AB">
        <w:rPr>
          <w:rFonts w:ascii="Times New Roman" w:hAnsi="Times New Roman"/>
          <w:color w:val="000000" w:themeColor="text1"/>
          <w:sz w:val="16"/>
          <w:szCs w:val="16"/>
        </w:rPr>
        <w:softHyphen/>
        <w:t>ной фирмы «</w:t>
      </w:r>
      <w:proofErr w:type="spellStart"/>
      <w:r w:rsidRPr="007122AB">
        <w:rPr>
          <w:rFonts w:ascii="Times New Roman" w:hAnsi="Times New Roman"/>
          <w:color w:val="000000" w:themeColor="text1"/>
          <w:sz w:val="16"/>
          <w:szCs w:val="16"/>
        </w:rPr>
        <w:t>Зульцер</w:t>
      </w:r>
      <w:proofErr w:type="spellEnd"/>
      <w:r w:rsidRPr="007122AB">
        <w:rPr>
          <w:rFonts w:ascii="Times New Roman" w:hAnsi="Times New Roman"/>
          <w:color w:val="000000" w:themeColor="text1"/>
          <w:sz w:val="16"/>
          <w:szCs w:val="16"/>
        </w:rPr>
        <w:t xml:space="preserve">». А уже в начале 1933 года коллектив </w:t>
      </w:r>
      <w:proofErr w:type="spellStart"/>
      <w:r w:rsidRPr="007122AB">
        <w:rPr>
          <w:rFonts w:ascii="Times New Roman" w:hAnsi="Times New Roman"/>
          <w:color w:val="000000" w:themeColor="text1"/>
          <w:sz w:val="16"/>
          <w:szCs w:val="16"/>
        </w:rPr>
        <w:t>паровозостроителей</w:t>
      </w:r>
      <w:proofErr w:type="spellEnd"/>
      <w:r w:rsidRPr="007122AB">
        <w:rPr>
          <w:rFonts w:ascii="Times New Roman" w:hAnsi="Times New Roman"/>
          <w:color w:val="000000" w:themeColor="text1"/>
          <w:sz w:val="16"/>
          <w:szCs w:val="16"/>
        </w:rPr>
        <w:t xml:space="preserve"> работал над проблемой изготовления дизеля для тепловозов (11504).</w:t>
      </w:r>
    </w:p>
    <w:p w14:paraId="153C2DEB" w14:textId="6551AD54"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3557F" w14:textId="789B5DB6" w:rsidR="009F41D1" w:rsidRPr="007122AB" w:rsidRDefault="009F41D1" w:rsidP="007122AB">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8F5569D" w14:textId="77777777" w:rsidR="009F41D1" w:rsidRPr="007122AB" w:rsidRDefault="009F41D1" w:rsidP="007122AB">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3EB9E4C7" w14:textId="77777777" w:rsidR="009F41D1" w:rsidRPr="007122AB" w:rsidRDefault="009F41D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ноября 1931 г. Поста</w:t>
      </w:r>
      <w:r w:rsidRPr="007122AB">
        <w:rPr>
          <w:rFonts w:ascii="Times New Roman" w:hAnsi="Times New Roman"/>
          <w:color w:val="000000" w:themeColor="text1"/>
          <w:sz w:val="16"/>
          <w:szCs w:val="16"/>
        </w:rPr>
        <w:softHyphen/>
        <w:t xml:space="preserve">новлением СТО при Наркомате </w:t>
      </w:r>
      <w:proofErr w:type="spellStart"/>
      <w:r w:rsidRPr="007122AB">
        <w:rPr>
          <w:rFonts w:ascii="Times New Roman" w:hAnsi="Times New Roman"/>
          <w:color w:val="000000" w:themeColor="text1"/>
          <w:sz w:val="16"/>
          <w:szCs w:val="16"/>
        </w:rPr>
        <w:t>рабоче</w:t>
      </w:r>
      <w:r w:rsidRPr="007122AB">
        <w:rPr>
          <w:rFonts w:ascii="Times New Roman" w:hAnsi="Times New Roman"/>
          <w:color w:val="000000" w:themeColor="text1"/>
          <w:sz w:val="16"/>
          <w:szCs w:val="16"/>
        </w:rPr>
        <w:softHyphen/>
        <w:t>крестьянской</w:t>
      </w:r>
      <w:proofErr w:type="spellEnd"/>
      <w:r w:rsidRPr="007122AB">
        <w:rPr>
          <w:rFonts w:ascii="Times New Roman" w:hAnsi="Times New Roman"/>
          <w:color w:val="000000" w:themeColor="text1"/>
          <w:sz w:val="16"/>
          <w:szCs w:val="16"/>
        </w:rPr>
        <w:t xml:space="preserve"> инспекции (НКРКИ) была создана специальная финансово-техническая арбитражная комиссия для разбора споров по военным заказам. В 1934 г. арбитражная комиссия была ликвидирована вместе с НКРКИ, — взамен была установ</w:t>
      </w:r>
      <w:r w:rsidRPr="007122AB">
        <w:rPr>
          <w:rFonts w:ascii="Times New Roman" w:hAnsi="Times New Roman"/>
          <w:color w:val="000000" w:themeColor="text1"/>
          <w:sz w:val="16"/>
          <w:szCs w:val="16"/>
        </w:rPr>
        <w:softHyphen/>
        <w:t>лена новая специальная процедура. Споры по военным заказам не подлежали рассмотрению местных органов арбитража, а мог</w:t>
      </w:r>
      <w:r w:rsidRPr="007122AB">
        <w:rPr>
          <w:rFonts w:ascii="Times New Roman" w:hAnsi="Times New Roman"/>
          <w:color w:val="000000" w:themeColor="text1"/>
          <w:sz w:val="16"/>
          <w:szCs w:val="16"/>
        </w:rPr>
        <w:softHyphen/>
        <w:t>ли разбираться только в центре, главным арбитром «вне зависи</w:t>
      </w:r>
      <w:r w:rsidRPr="007122AB">
        <w:rPr>
          <w:rFonts w:ascii="Times New Roman" w:hAnsi="Times New Roman"/>
          <w:color w:val="000000" w:themeColor="text1"/>
          <w:sz w:val="16"/>
          <w:szCs w:val="16"/>
        </w:rPr>
        <w:softHyphen/>
        <w:t>мости от цены иска» (ГАРФ. Ф. 5446. On. 15a. Д. 1101. Л. 1. Постановление CHK 561/92-c от 18.03.1934). Так как главный арбитр сразу же оказал</w:t>
      </w:r>
      <w:r w:rsidRPr="007122AB">
        <w:rPr>
          <w:rFonts w:ascii="Times New Roman" w:hAnsi="Times New Roman"/>
          <w:color w:val="000000" w:themeColor="text1"/>
          <w:sz w:val="16"/>
          <w:szCs w:val="16"/>
        </w:rPr>
        <w:softHyphen/>
        <w:t>ся перегружен работой по спорам вокруг военных заказов, то уже в 1936 г. был установлен ценз — сначала в 10 тыс. руб., а чуть позже в 25 тыс. руб. — для исков, которые он должен был рассматривать. Иски по несекретным военным заказам на меньшие суммы подлежали рассмотрению в общем порядке (ГАРФ. Ф. 5446. On. 18a. Д. 893. Л. 1. Письмо CHK в Госарбитраж от 16.12.1936.) (22647).94.</w:t>
      </w:r>
    </w:p>
    <w:p w14:paraId="7C8A6BAC" w14:textId="77777777" w:rsidR="009F41D1" w:rsidRPr="007122AB" w:rsidRDefault="009F41D1" w:rsidP="007122AB">
      <w:pPr>
        <w:spacing w:after="0" w:line="240" w:lineRule="auto"/>
        <w:jc w:val="both"/>
        <w:rPr>
          <w:rFonts w:ascii="Times New Roman" w:hAnsi="Times New Roman"/>
          <w:color w:val="000000" w:themeColor="text1"/>
          <w:sz w:val="16"/>
          <w:szCs w:val="16"/>
        </w:rPr>
      </w:pPr>
    </w:p>
    <w:p w14:paraId="40BA41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4467F1E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B7F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ноября 1931 испанское правительство конфисковало крупные поместья с целью перераспределения земли (2100).</w:t>
      </w:r>
    </w:p>
    <w:p w14:paraId="468A6F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F56750" w14:textId="77777777" w:rsidR="005D6F9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C893E15" w14:textId="77777777" w:rsidR="005D6F9D" w:rsidRPr="007122AB" w:rsidRDefault="005D6F9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81F7330" w14:textId="77777777" w:rsidR="005D6F9D" w:rsidRPr="007122AB" w:rsidRDefault="005D6F9D"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ноября 1931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 </w:t>
      </w:r>
      <w:proofErr w:type="spellStart"/>
      <w:r w:rsidRPr="007122AB">
        <w:rPr>
          <w:rFonts w:ascii="Times New Roman" w:hAnsi="Times New Roman"/>
          <w:color w:val="000000" w:themeColor="text1"/>
          <w:sz w:val="16"/>
          <w:szCs w:val="16"/>
        </w:rPr>
        <w:t>Бронекоробка</w:t>
      </w:r>
      <w:proofErr w:type="spellEnd"/>
      <w:r w:rsidRPr="007122AB">
        <w:rPr>
          <w:rFonts w:ascii="Times New Roman" w:hAnsi="Times New Roman"/>
          <w:color w:val="000000" w:themeColor="text1"/>
          <w:sz w:val="16"/>
          <w:szCs w:val="16"/>
        </w:rPr>
        <w:t xml:space="preserve">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w:t>
      </w:r>
      <w:proofErr w:type="spellStart"/>
      <w:r w:rsidRPr="007122AB">
        <w:rPr>
          <w:rFonts w:ascii="Times New Roman" w:hAnsi="Times New Roman"/>
          <w:color w:val="000000" w:themeColor="text1"/>
          <w:sz w:val="16"/>
          <w:szCs w:val="16"/>
        </w:rPr>
        <w:t>бронекоробки</w:t>
      </w:r>
      <w:proofErr w:type="spellEnd"/>
      <w:r w:rsidRPr="007122AB">
        <w:rPr>
          <w:rFonts w:ascii="Times New Roman" w:hAnsi="Times New Roman"/>
          <w:color w:val="000000" w:themeColor="text1"/>
          <w:sz w:val="16"/>
          <w:szCs w:val="16"/>
        </w:rPr>
        <w:t xml:space="preserve">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 Сварка брони (автогенная) оказалась не простым делом. При ее выполнении нарушалась строгая геометрия </w:t>
      </w:r>
      <w:proofErr w:type="spellStart"/>
      <w:r w:rsidRPr="007122AB">
        <w:rPr>
          <w:rFonts w:ascii="Times New Roman" w:hAnsi="Times New Roman"/>
          <w:color w:val="000000" w:themeColor="text1"/>
          <w:sz w:val="16"/>
          <w:szCs w:val="16"/>
        </w:rPr>
        <w:t>бронекоробки</w:t>
      </w:r>
      <w:proofErr w:type="spellEnd"/>
      <w:r w:rsidRPr="007122AB">
        <w:rPr>
          <w:rFonts w:ascii="Times New Roman" w:hAnsi="Times New Roman"/>
          <w:color w:val="000000" w:themeColor="text1"/>
          <w:sz w:val="16"/>
          <w:szCs w:val="16"/>
        </w:rPr>
        <w:t xml:space="preserve">, иногда появлялись трещины. После изготовления первого экземпляра самолета со сварной </w:t>
      </w:r>
      <w:proofErr w:type="spellStart"/>
      <w:r w:rsidRPr="007122AB">
        <w:rPr>
          <w:rFonts w:ascii="Times New Roman" w:hAnsi="Times New Roman"/>
          <w:color w:val="000000" w:themeColor="text1"/>
          <w:sz w:val="16"/>
          <w:szCs w:val="16"/>
        </w:rPr>
        <w:t>бронекоробкой</w:t>
      </w:r>
      <w:proofErr w:type="spellEnd"/>
      <w:r w:rsidRPr="007122AB">
        <w:rPr>
          <w:rFonts w:ascii="Times New Roman" w:hAnsi="Times New Roman"/>
          <w:color w:val="000000" w:themeColor="text1"/>
          <w:sz w:val="16"/>
          <w:szCs w:val="16"/>
        </w:rPr>
        <w:t xml:space="preserve">,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w:t>
      </w:r>
      <w:proofErr w:type="spellStart"/>
      <w:r w:rsidRPr="007122AB">
        <w:rPr>
          <w:rFonts w:ascii="Times New Roman" w:hAnsi="Times New Roman"/>
          <w:color w:val="000000" w:themeColor="text1"/>
          <w:sz w:val="16"/>
          <w:szCs w:val="16"/>
        </w:rPr>
        <w:t>бронекоробку</w:t>
      </w:r>
      <w:proofErr w:type="spellEnd"/>
      <w:r w:rsidRPr="007122AB">
        <w:rPr>
          <w:rFonts w:ascii="Times New Roman" w:hAnsi="Times New Roman"/>
          <w:color w:val="000000" w:themeColor="text1"/>
          <w:sz w:val="16"/>
          <w:szCs w:val="16"/>
        </w:rPr>
        <w:t xml:space="preserve"> на 6-мм болтах с потайной головкой и шагом 25-30 мм. На болтах (винтах) крепились и все узлы </w:t>
      </w:r>
      <w:proofErr w:type="spellStart"/>
      <w:r w:rsidRPr="007122AB">
        <w:rPr>
          <w:rFonts w:ascii="Times New Roman" w:hAnsi="Times New Roman"/>
          <w:color w:val="000000" w:themeColor="text1"/>
          <w:sz w:val="16"/>
          <w:szCs w:val="16"/>
        </w:rPr>
        <w:t>бронекоробки</w:t>
      </w:r>
      <w:proofErr w:type="spellEnd"/>
      <w:r w:rsidRPr="007122AB">
        <w:rPr>
          <w:rFonts w:ascii="Times New Roman" w:hAnsi="Times New Roman"/>
          <w:color w:val="000000" w:themeColor="text1"/>
          <w:sz w:val="16"/>
          <w:szCs w:val="16"/>
        </w:rPr>
        <w:t xml:space="preserve">. Масса </w:t>
      </w:r>
      <w:proofErr w:type="spellStart"/>
      <w:r w:rsidRPr="007122AB">
        <w:rPr>
          <w:rFonts w:ascii="Times New Roman" w:hAnsi="Times New Roman"/>
          <w:color w:val="000000" w:themeColor="text1"/>
          <w:sz w:val="16"/>
          <w:szCs w:val="16"/>
        </w:rPr>
        <w:t>бронекоробки</w:t>
      </w:r>
      <w:proofErr w:type="spellEnd"/>
      <w:r w:rsidRPr="007122AB">
        <w:rPr>
          <w:rFonts w:ascii="Times New Roman" w:hAnsi="Times New Roman"/>
          <w:color w:val="000000" w:themeColor="text1"/>
          <w:sz w:val="16"/>
          <w:szCs w:val="16"/>
        </w:rPr>
        <w:t xml:space="preserve"> составляла около 520 кг. Конструкция ТШ-1 была смешанной. В </w:t>
      </w:r>
      <w:proofErr w:type="spellStart"/>
      <w:r w:rsidRPr="007122AB">
        <w:rPr>
          <w:rFonts w:ascii="Times New Roman" w:hAnsi="Times New Roman"/>
          <w:color w:val="000000" w:themeColor="text1"/>
          <w:sz w:val="16"/>
          <w:szCs w:val="16"/>
        </w:rPr>
        <w:t>бронекоробке</w:t>
      </w:r>
      <w:proofErr w:type="spellEnd"/>
      <w:r w:rsidRPr="007122AB">
        <w:rPr>
          <w:rFonts w:ascii="Times New Roman" w:hAnsi="Times New Roman"/>
          <w:color w:val="000000" w:themeColor="text1"/>
          <w:sz w:val="16"/>
          <w:szCs w:val="16"/>
        </w:rPr>
        <w:t xml:space="preserve"> размещались кабины летчика и стрелка, двигатель ВМW-6, радиатор и основной бензобак. К </w:t>
      </w:r>
      <w:proofErr w:type="spellStart"/>
      <w:r w:rsidRPr="007122AB">
        <w:rPr>
          <w:rFonts w:ascii="Times New Roman" w:hAnsi="Times New Roman"/>
          <w:color w:val="000000" w:themeColor="text1"/>
          <w:sz w:val="16"/>
          <w:szCs w:val="16"/>
        </w:rPr>
        <w:t>бронекоробке</w:t>
      </w:r>
      <w:proofErr w:type="spellEnd"/>
      <w:r w:rsidRPr="007122AB">
        <w:rPr>
          <w:rFonts w:ascii="Times New Roman" w:hAnsi="Times New Roman"/>
          <w:color w:val="000000" w:themeColor="text1"/>
          <w:sz w:val="16"/>
          <w:szCs w:val="16"/>
        </w:rPr>
        <w:t xml:space="preserve">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w:t>
      </w:r>
      <w:proofErr w:type="spellStart"/>
      <w:r w:rsidRPr="007122AB">
        <w:rPr>
          <w:rFonts w:ascii="Times New Roman" w:hAnsi="Times New Roman"/>
          <w:color w:val="000000" w:themeColor="text1"/>
          <w:sz w:val="16"/>
          <w:szCs w:val="16"/>
        </w:rPr>
        <w:t>пулемеметов</w:t>
      </w:r>
      <w:proofErr w:type="spellEnd"/>
      <w:r w:rsidRPr="007122AB">
        <w:rPr>
          <w:rFonts w:ascii="Times New Roman" w:hAnsi="Times New Roman"/>
          <w:color w:val="000000" w:themeColor="text1"/>
          <w:sz w:val="16"/>
          <w:szCs w:val="16"/>
        </w:rPr>
        <w:t xml:space="preserve"> ПВ-1 под нижним крылом. Вместо этих пулеметов могла подвешиваться «</w:t>
      </w:r>
      <w:proofErr w:type="spellStart"/>
      <w:r w:rsidRPr="007122AB">
        <w:rPr>
          <w:rFonts w:ascii="Times New Roman" w:hAnsi="Times New Roman"/>
          <w:color w:val="000000" w:themeColor="text1"/>
          <w:sz w:val="16"/>
          <w:szCs w:val="16"/>
        </w:rPr>
        <w:t>гранатница</w:t>
      </w:r>
      <w:proofErr w:type="spellEnd"/>
      <w:r w:rsidRPr="007122AB">
        <w:rPr>
          <w:rFonts w:ascii="Times New Roman" w:hAnsi="Times New Roman"/>
          <w:color w:val="000000" w:themeColor="text1"/>
          <w:sz w:val="16"/>
          <w:szCs w:val="16"/>
        </w:rPr>
        <w:t xml:space="preserve">»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отличавшийся творческим подходом, изобретательностью и достижением хороших результатов работ (15223).</w:t>
      </w:r>
    </w:p>
    <w:p w14:paraId="5992BDD2" w14:textId="77777777" w:rsidR="005D6F9D" w:rsidRPr="007122AB" w:rsidRDefault="005D6F9D" w:rsidP="007122AB">
      <w:pPr>
        <w:shd w:val="clear" w:color="auto" w:fill="FFFFFF"/>
        <w:spacing w:after="0" w:line="240" w:lineRule="auto"/>
        <w:jc w:val="both"/>
        <w:rPr>
          <w:rFonts w:ascii="Times New Roman" w:hAnsi="Times New Roman"/>
          <w:color w:val="000000" w:themeColor="text1"/>
          <w:sz w:val="16"/>
          <w:szCs w:val="16"/>
        </w:rPr>
      </w:pPr>
    </w:p>
    <w:p w14:paraId="6D8902C5" w14:textId="77777777" w:rsidR="00CB6D91"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C3C2578" w14:textId="77777777" w:rsidR="00CB6D91" w:rsidRPr="007122AB" w:rsidRDefault="00CB6D9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7647A1"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30 ноября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 257сс об утверждении плана вывоза на 1931 г. по Западной приграничной полосе, Крымской АССР, Северному Кавказу, ЗСФСР, Дальневосточному и Восточносибирскому краю (ГА РФ. Ф. Р?8418. Оп. 28. Д. 14а. Л. 79?89) (12415).</w:t>
      </w:r>
    </w:p>
    <w:p w14:paraId="56A6DFED" w14:textId="77777777" w:rsidR="00CB6D91" w:rsidRPr="007122AB" w:rsidRDefault="00CB6D91" w:rsidP="007122AB">
      <w:pPr>
        <w:spacing w:after="0" w:line="240" w:lineRule="auto"/>
        <w:jc w:val="both"/>
        <w:rPr>
          <w:rFonts w:ascii="Times New Roman" w:hAnsi="Times New Roman"/>
          <w:color w:val="000000" w:themeColor="text1"/>
          <w:sz w:val="16"/>
          <w:szCs w:val="16"/>
          <w:u w:color="002060"/>
        </w:rPr>
      </w:pPr>
    </w:p>
    <w:p w14:paraId="5AE96B4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7C5570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F5063A" w14:textId="77777777" w:rsidR="0058334C" w:rsidRPr="007122AB" w:rsidRDefault="005833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К концу ноября 1931 заводу №39 удалось завершить постройку ТШ-2 № 2 с М-17 и довести самолет до летного состояния. Собственно доводился не столько са</w:t>
      </w:r>
      <w:r w:rsidRPr="007122AB">
        <w:rPr>
          <w:rFonts w:ascii="Times New Roman" w:hAnsi="Times New Roman"/>
          <w:color w:val="000000" w:themeColor="text1"/>
          <w:sz w:val="16"/>
          <w:szCs w:val="16"/>
          <w:lang w:eastAsia="ru-RU" w:bidi="ru-RU"/>
        </w:rPr>
        <w:softHyphen/>
        <w:t>молет, сколько система охлаждения мо</w:t>
      </w:r>
      <w:r w:rsidRPr="007122AB">
        <w:rPr>
          <w:rFonts w:ascii="Times New Roman" w:hAnsi="Times New Roman"/>
          <w:color w:val="000000" w:themeColor="text1"/>
          <w:sz w:val="16"/>
          <w:szCs w:val="16"/>
          <w:lang w:eastAsia="ru-RU" w:bidi="ru-RU"/>
        </w:rPr>
        <w:softHyphen/>
        <w:t>тора. Несколько раз переделывалась маслосистема. Долго подбирались сорта резины и металлов, стойкие к воздей</w:t>
      </w:r>
      <w:r w:rsidRPr="007122AB">
        <w:rPr>
          <w:rFonts w:ascii="Times New Roman" w:hAnsi="Times New Roman"/>
          <w:color w:val="000000" w:themeColor="text1"/>
          <w:sz w:val="16"/>
          <w:szCs w:val="16"/>
          <w:lang w:eastAsia="ru-RU" w:bidi="ru-RU"/>
        </w:rPr>
        <w:softHyphen/>
        <w:t>ствию этиленгликоля. В конечном итоге, удалось добиться вполне устойчивой ра</w:t>
      </w:r>
      <w:r w:rsidRPr="007122AB">
        <w:rPr>
          <w:rFonts w:ascii="Times New Roman" w:hAnsi="Times New Roman"/>
          <w:color w:val="000000" w:themeColor="text1"/>
          <w:sz w:val="16"/>
          <w:szCs w:val="16"/>
          <w:lang w:eastAsia="ru-RU" w:bidi="ru-RU"/>
        </w:rPr>
        <w:softHyphen/>
        <w:t>боты системы охлаждения - «тепловой режим мотора при использовании эти</w:t>
      </w:r>
      <w:r w:rsidRPr="007122AB">
        <w:rPr>
          <w:rFonts w:ascii="Times New Roman" w:hAnsi="Times New Roman"/>
          <w:color w:val="000000" w:themeColor="text1"/>
          <w:sz w:val="16"/>
          <w:szCs w:val="16"/>
          <w:lang w:eastAsia="ru-RU" w:bidi="ru-RU"/>
        </w:rPr>
        <w:softHyphen/>
        <w:t>ленгликоля в норме».</w:t>
      </w:r>
    </w:p>
    <w:p w14:paraId="40FCA966" w14:textId="77777777" w:rsidR="0058334C" w:rsidRPr="007122AB" w:rsidRDefault="005833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Испытания продолжались до конца 1931 г. Были получены в целом те же ре</w:t>
      </w:r>
      <w:r w:rsidRPr="007122AB">
        <w:rPr>
          <w:rFonts w:ascii="Times New Roman" w:hAnsi="Times New Roman"/>
          <w:color w:val="000000" w:themeColor="text1"/>
          <w:sz w:val="16"/>
          <w:szCs w:val="16"/>
          <w:lang w:eastAsia="ru-RU" w:bidi="ru-RU"/>
        </w:rPr>
        <w:softHyphen/>
        <w:t>зультаты, что и годом ранее. Летные данные - скорость, вертикальная и го</w:t>
      </w:r>
      <w:r w:rsidRPr="007122AB">
        <w:rPr>
          <w:rFonts w:ascii="Times New Roman" w:hAnsi="Times New Roman"/>
          <w:color w:val="000000" w:themeColor="text1"/>
          <w:sz w:val="16"/>
          <w:szCs w:val="16"/>
          <w:lang w:eastAsia="ru-RU" w:bidi="ru-RU"/>
        </w:rPr>
        <w:softHyphen/>
        <w:t>ризонтальная маневренность, радиус действия, признавались недостаточными для штурмовика. Боевые качества также оставляли желать лучшего. К тому же производственное исполнение самолета оказалось неважным. Вопросы надеж</w:t>
      </w:r>
      <w:r w:rsidRPr="007122AB">
        <w:rPr>
          <w:rFonts w:ascii="Times New Roman" w:hAnsi="Times New Roman"/>
          <w:color w:val="000000" w:themeColor="text1"/>
          <w:sz w:val="16"/>
          <w:szCs w:val="16"/>
          <w:lang w:eastAsia="ru-RU" w:bidi="ru-RU"/>
        </w:rPr>
        <w:softHyphen/>
        <w:t>ной эксплуатации системы охлаждения на основе гликоля в полной мере разре</w:t>
      </w:r>
      <w:r w:rsidRPr="007122AB">
        <w:rPr>
          <w:rFonts w:ascii="Times New Roman" w:hAnsi="Times New Roman"/>
          <w:color w:val="000000" w:themeColor="text1"/>
          <w:sz w:val="16"/>
          <w:szCs w:val="16"/>
          <w:lang w:eastAsia="ru-RU" w:bidi="ru-RU"/>
        </w:rPr>
        <w:softHyphen/>
        <w:t>шить все же не удалось.</w:t>
      </w:r>
    </w:p>
    <w:p w14:paraId="37FB8F16" w14:textId="77777777" w:rsidR="0058334C" w:rsidRPr="007122AB" w:rsidRDefault="0058334C"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итоге решили довести самолет в части вооружения (главным образом, бомбардировочного и химического) и качества внешней отделки, после чего вновь испытать. Все улучшения предла</w:t>
      </w:r>
      <w:r w:rsidRPr="007122AB">
        <w:rPr>
          <w:rFonts w:ascii="Times New Roman" w:hAnsi="Times New Roman"/>
          <w:color w:val="000000" w:themeColor="text1"/>
          <w:sz w:val="16"/>
          <w:szCs w:val="16"/>
          <w:lang w:eastAsia="ru-RU" w:bidi="ru-RU"/>
        </w:rPr>
        <w:softHyphen/>
        <w:t>галось использовать при постройке эта</w:t>
      </w:r>
      <w:r w:rsidRPr="007122AB">
        <w:rPr>
          <w:rFonts w:ascii="Times New Roman" w:hAnsi="Times New Roman"/>
          <w:color w:val="000000" w:themeColor="text1"/>
          <w:sz w:val="16"/>
          <w:szCs w:val="16"/>
          <w:lang w:eastAsia="ru-RU" w:bidi="ru-RU"/>
        </w:rPr>
        <w:softHyphen/>
        <w:t>лонного (для серии) образца ТШ-2 М-17, срок предъявления которого на государ</w:t>
      </w:r>
      <w:r w:rsidRPr="007122AB">
        <w:rPr>
          <w:rFonts w:ascii="Times New Roman" w:hAnsi="Times New Roman"/>
          <w:color w:val="000000" w:themeColor="text1"/>
          <w:sz w:val="16"/>
          <w:szCs w:val="16"/>
          <w:lang w:eastAsia="ru-RU" w:bidi="ru-RU"/>
        </w:rPr>
        <w:softHyphen/>
        <w:t>ственные испытания устанавливался 1 марта 1932 г.</w:t>
      </w:r>
    </w:p>
    <w:p w14:paraId="48AD2173" w14:textId="77777777" w:rsidR="0058334C" w:rsidRPr="007122AB" w:rsidRDefault="005833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 связи с объединением ЦКБ и АГОС ЦАГИ с обра</w:t>
      </w:r>
      <w:r w:rsidRPr="007122AB">
        <w:rPr>
          <w:rFonts w:ascii="Times New Roman" w:hAnsi="Times New Roman"/>
          <w:color w:val="000000" w:themeColor="text1"/>
          <w:sz w:val="16"/>
          <w:szCs w:val="16"/>
          <w:lang w:eastAsia="ru-RU" w:bidi="ru-RU"/>
        </w:rPr>
        <w:softHyphen/>
        <w:t>зованием единого конструкторского бюро - ЦКБ ЦАГИ, и переездом ЦКБ в ЦАГИ туда же старались передать и все работы по постройке опытных самоле</w:t>
      </w:r>
      <w:r w:rsidRPr="007122AB">
        <w:rPr>
          <w:rFonts w:ascii="Times New Roman" w:hAnsi="Times New Roman"/>
          <w:color w:val="000000" w:themeColor="text1"/>
          <w:sz w:val="16"/>
          <w:szCs w:val="16"/>
          <w:lang w:eastAsia="ru-RU" w:bidi="ru-RU"/>
        </w:rPr>
        <w:softHyphen/>
        <w:t>тов. В частности, в случае невозможности обеспечить на заводе №39 постройку к установленному сроку образцового само</w:t>
      </w:r>
      <w:r w:rsidRPr="007122AB">
        <w:rPr>
          <w:rFonts w:ascii="Times New Roman" w:hAnsi="Times New Roman"/>
          <w:color w:val="000000" w:themeColor="text1"/>
          <w:sz w:val="16"/>
          <w:szCs w:val="16"/>
          <w:lang w:eastAsia="ru-RU" w:bidi="ru-RU"/>
        </w:rPr>
        <w:softHyphen/>
        <w:t>лета ТШ-2 М-17 предполагалось достро</w:t>
      </w:r>
      <w:r w:rsidRPr="007122AB">
        <w:rPr>
          <w:rFonts w:ascii="Times New Roman" w:hAnsi="Times New Roman"/>
          <w:color w:val="000000" w:themeColor="text1"/>
          <w:sz w:val="16"/>
          <w:szCs w:val="16"/>
          <w:lang w:eastAsia="ru-RU" w:bidi="ru-RU"/>
        </w:rPr>
        <w:softHyphen/>
        <w:t>ить машину на заводе опытных конструк</w:t>
      </w:r>
      <w:r w:rsidRPr="007122AB">
        <w:rPr>
          <w:rFonts w:ascii="Times New Roman" w:hAnsi="Times New Roman"/>
          <w:color w:val="000000" w:themeColor="text1"/>
          <w:sz w:val="16"/>
          <w:szCs w:val="16"/>
          <w:lang w:eastAsia="ru-RU" w:bidi="ru-RU"/>
        </w:rPr>
        <w:softHyphen/>
        <w:t>ций ЦАГИ. В то же время уже построен</w:t>
      </w:r>
      <w:r w:rsidRPr="007122AB">
        <w:rPr>
          <w:rFonts w:ascii="Times New Roman" w:hAnsi="Times New Roman"/>
          <w:color w:val="000000" w:themeColor="text1"/>
          <w:sz w:val="16"/>
          <w:szCs w:val="16"/>
          <w:lang w:eastAsia="ru-RU" w:bidi="ru-RU"/>
        </w:rPr>
        <w:softHyphen/>
        <w:t>ные экземпляры ТШ-2 М-17 должны были пройти на заводе №39 контрольные по</w:t>
      </w:r>
      <w:r w:rsidRPr="007122AB">
        <w:rPr>
          <w:rFonts w:ascii="Times New Roman" w:hAnsi="Times New Roman"/>
          <w:color w:val="000000" w:themeColor="text1"/>
          <w:sz w:val="16"/>
          <w:szCs w:val="16"/>
          <w:lang w:eastAsia="ru-RU" w:bidi="ru-RU"/>
        </w:rPr>
        <w:softHyphen/>
        <w:t>леты, после чего их следовало передать в ЦАГИ для окончательной доводки.</w:t>
      </w:r>
    </w:p>
    <w:p w14:paraId="34E9062E" w14:textId="77777777" w:rsidR="0058334C" w:rsidRPr="007122AB" w:rsidRDefault="0058334C"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Кроме того, сочли возможным начать изготовление серийных ТШ-2 М-17 на за</w:t>
      </w:r>
      <w:r w:rsidRPr="007122AB">
        <w:rPr>
          <w:rFonts w:ascii="Times New Roman" w:hAnsi="Times New Roman"/>
          <w:color w:val="000000" w:themeColor="text1"/>
          <w:sz w:val="16"/>
          <w:szCs w:val="16"/>
          <w:lang w:eastAsia="ru-RU" w:bidi="ru-RU"/>
        </w:rPr>
        <w:softHyphen/>
        <w:t>воде №16, не дожидаясь результатов го</w:t>
      </w:r>
      <w:r w:rsidRPr="007122AB">
        <w:rPr>
          <w:rFonts w:ascii="Times New Roman" w:hAnsi="Times New Roman"/>
          <w:color w:val="000000" w:themeColor="text1"/>
          <w:sz w:val="16"/>
          <w:szCs w:val="16"/>
          <w:lang w:eastAsia="ru-RU" w:bidi="ru-RU"/>
        </w:rPr>
        <w:softHyphen/>
        <w:t>сударственных контрольных испытаний эталонных образцов самолета (21062)</w:t>
      </w:r>
    </w:p>
    <w:p w14:paraId="6A9EDE89" w14:textId="77777777" w:rsidR="0058334C" w:rsidRPr="007122AB" w:rsidRDefault="0058334C" w:rsidP="007122AB">
      <w:pPr>
        <w:spacing w:after="0" w:line="240" w:lineRule="auto"/>
        <w:jc w:val="both"/>
        <w:rPr>
          <w:rFonts w:ascii="Times New Roman" w:hAnsi="Times New Roman"/>
          <w:color w:val="000000" w:themeColor="text1"/>
          <w:sz w:val="16"/>
          <w:szCs w:val="16"/>
        </w:rPr>
      </w:pPr>
    </w:p>
    <w:p w14:paraId="6BCC2713" w14:textId="77777777" w:rsidR="0058334C" w:rsidRPr="007122AB" w:rsidRDefault="0058334C"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С конца ноября 1931 г. раз</w:t>
      </w:r>
      <w:r w:rsidRPr="007122AB">
        <w:rPr>
          <w:rFonts w:ascii="Times New Roman" w:hAnsi="Times New Roman"/>
          <w:color w:val="000000" w:themeColor="text1"/>
          <w:sz w:val="16"/>
          <w:szCs w:val="16"/>
          <w:lang w:eastAsia="ru-RU" w:bidi="ru-RU"/>
        </w:rPr>
        <w:softHyphen/>
        <w:t>вернулись работы по перепроектированию завода №16 в Воронеже под выпуск самолетов с годо</w:t>
      </w:r>
      <w:r w:rsidRPr="007122AB">
        <w:rPr>
          <w:rFonts w:ascii="Times New Roman" w:hAnsi="Times New Roman"/>
          <w:color w:val="000000" w:themeColor="text1"/>
          <w:sz w:val="16"/>
          <w:szCs w:val="16"/>
          <w:lang w:eastAsia="ru-RU" w:bidi="ru-RU"/>
        </w:rPr>
        <w:softHyphen/>
        <w:t>вой производственной мощностью в 1600 легких штурмовиков типа ЛШ-4 и 200 тя</w:t>
      </w:r>
      <w:r w:rsidRPr="007122AB">
        <w:rPr>
          <w:rFonts w:ascii="Times New Roman" w:hAnsi="Times New Roman"/>
          <w:color w:val="000000" w:themeColor="text1"/>
          <w:sz w:val="16"/>
          <w:szCs w:val="16"/>
          <w:lang w:eastAsia="ru-RU" w:bidi="ru-RU"/>
        </w:rPr>
        <w:softHyphen/>
        <w:t>желых штурмовиков типа ТШ-2 и ТШ-3 (21062).</w:t>
      </w:r>
    </w:p>
    <w:p w14:paraId="12040708" w14:textId="77777777" w:rsidR="0058334C" w:rsidRPr="007122AB" w:rsidRDefault="0058334C" w:rsidP="007122AB">
      <w:pPr>
        <w:spacing w:after="0" w:line="240" w:lineRule="auto"/>
        <w:jc w:val="both"/>
        <w:rPr>
          <w:rFonts w:ascii="Times New Roman" w:hAnsi="Times New Roman"/>
          <w:color w:val="000000" w:themeColor="text1"/>
          <w:sz w:val="16"/>
          <w:szCs w:val="16"/>
        </w:rPr>
      </w:pPr>
    </w:p>
    <w:p w14:paraId="78A7EE3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ноября 1931 года состоялся первый полет аппарата 2-ЭА, который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5D6ADC45"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31167A4" w14:textId="77777777" w:rsidR="00E50D5F" w:rsidRPr="00441F34" w:rsidRDefault="00E50D5F" w:rsidP="00E50D5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ноября 1931 года первый полет на автожире ЦАГИ 2ЭА выполнил инструк</w:t>
      </w:r>
      <w:r w:rsidRPr="00441F34">
        <w:rPr>
          <w:rFonts w:ascii="Times New Roman" w:hAnsi="Times New Roman"/>
          <w:color w:val="0070C0"/>
          <w:sz w:val="16"/>
          <w:szCs w:val="16"/>
        </w:rPr>
        <w:softHyphen/>
        <w:t>тор-летчик Сергей Александрович Корзин</w:t>
      </w:r>
      <w:r w:rsidRPr="00441F34">
        <w:rPr>
          <w:rFonts w:ascii="Times New Roman" w:hAnsi="Times New Roman"/>
          <w:color w:val="0070C0"/>
          <w:sz w:val="16"/>
          <w:szCs w:val="16"/>
        </w:rPr>
        <w:softHyphen/>
        <w:t>щиков, переведенный перед испытаниями из ЦАГИ в НИИ ВВС.</w:t>
      </w:r>
    </w:p>
    <w:p w14:paraId="5DC1F14B" w14:textId="77777777" w:rsidR="00E50D5F" w:rsidRPr="00441F34" w:rsidRDefault="00E50D5F" w:rsidP="00E50D5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А. М. </w:t>
      </w:r>
      <w:proofErr w:type="spellStart"/>
      <w:r w:rsidRPr="00441F34">
        <w:rPr>
          <w:rFonts w:ascii="Times New Roman" w:hAnsi="Times New Roman"/>
          <w:color w:val="0070C0"/>
          <w:sz w:val="16"/>
          <w:szCs w:val="16"/>
        </w:rPr>
        <w:t>Изаксон</w:t>
      </w:r>
      <w:proofErr w:type="spellEnd"/>
      <w:r w:rsidRPr="00441F34">
        <w:rPr>
          <w:rFonts w:ascii="Times New Roman" w:hAnsi="Times New Roman"/>
          <w:color w:val="0070C0"/>
          <w:sz w:val="16"/>
          <w:szCs w:val="16"/>
        </w:rPr>
        <w:t xml:space="preserve"> в своей книге «Советское вертолетостроение» писал, что во время пер</w:t>
      </w:r>
      <w:r w:rsidRPr="00441F34">
        <w:rPr>
          <w:rFonts w:ascii="Times New Roman" w:hAnsi="Times New Roman"/>
          <w:color w:val="0070C0"/>
          <w:sz w:val="16"/>
          <w:szCs w:val="16"/>
        </w:rPr>
        <w:softHyphen/>
        <w:t>вого этапа летных испытаний пришлось столкнуться с рядом неизвестных ранее про</w:t>
      </w:r>
      <w:r w:rsidRPr="00441F34">
        <w:rPr>
          <w:rFonts w:ascii="Times New Roman" w:hAnsi="Times New Roman"/>
          <w:color w:val="0070C0"/>
          <w:sz w:val="16"/>
          <w:szCs w:val="16"/>
        </w:rPr>
        <w:softHyphen/>
        <w:t xml:space="preserve">блем: </w:t>
      </w:r>
      <w:proofErr w:type="spellStart"/>
      <w:r w:rsidRPr="00441F34">
        <w:rPr>
          <w:rFonts w:ascii="Times New Roman" w:hAnsi="Times New Roman"/>
          <w:color w:val="0070C0"/>
          <w:sz w:val="16"/>
          <w:szCs w:val="16"/>
        </w:rPr>
        <w:t>поддувом</w:t>
      </w:r>
      <w:proofErr w:type="spellEnd"/>
      <w:r w:rsidRPr="00441F34">
        <w:rPr>
          <w:rFonts w:ascii="Times New Roman" w:hAnsi="Times New Roman"/>
          <w:color w:val="0070C0"/>
          <w:sz w:val="16"/>
          <w:szCs w:val="16"/>
        </w:rPr>
        <w:t xml:space="preserve"> лопастей ротора при его рас</w:t>
      </w:r>
      <w:r w:rsidRPr="00441F34">
        <w:rPr>
          <w:rFonts w:ascii="Times New Roman" w:hAnsi="Times New Roman"/>
          <w:color w:val="0070C0"/>
          <w:sz w:val="16"/>
          <w:szCs w:val="16"/>
        </w:rPr>
        <w:softHyphen/>
        <w:t>крутке от случайных порывов ветра; труд</w:t>
      </w:r>
      <w:r w:rsidRPr="00441F34">
        <w:rPr>
          <w:rFonts w:ascii="Times New Roman" w:hAnsi="Times New Roman"/>
          <w:color w:val="0070C0"/>
          <w:sz w:val="16"/>
          <w:szCs w:val="16"/>
        </w:rPr>
        <w:softHyphen/>
        <w:t>ностью раскрутки ротора до нужной частоты вращения перед взлетом ввиду невозможно</w:t>
      </w:r>
      <w:r w:rsidRPr="00441F34">
        <w:rPr>
          <w:rFonts w:ascii="Times New Roman" w:hAnsi="Times New Roman"/>
          <w:color w:val="0070C0"/>
          <w:sz w:val="16"/>
          <w:szCs w:val="16"/>
        </w:rPr>
        <w:softHyphen/>
        <w:t>сти удержать автожир на месте из-за отсут</w:t>
      </w:r>
      <w:r w:rsidRPr="00441F34">
        <w:rPr>
          <w:rFonts w:ascii="Times New Roman" w:hAnsi="Times New Roman"/>
          <w:color w:val="0070C0"/>
          <w:sz w:val="16"/>
          <w:szCs w:val="16"/>
        </w:rPr>
        <w:softHyphen/>
        <w:t>ствия тормозов на колесах; потряхиванием автожира вследствие биения ротора, лопасти которого чрезмерно деформировались из-за недостаточной жесткости лонжеронов; тен</w:t>
      </w:r>
      <w:r w:rsidRPr="00441F34">
        <w:rPr>
          <w:rFonts w:ascii="Times New Roman" w:hAnsi="Times New Roman"/>
          <w:color w:val="0070C0"/>
          <w:sz w:val="16"/>
          <w:szCs w:val="16"/>
        </w:rPr>
        <w:softHyphen/>
        <w:t>денцией автожира к боковому неуправляе</w:t>
      </w:r>
      <w:r w:rsidRPr="00441F34">
        <w:rPr>
          <w:rFonts w:ascii="Times New Roman" w:hAnsi="Times New Roman"/>
          <w:color w:val="0070C0"/>
          <w:sz w:val="16"/>
          <w:szCs w:val="16"/>
        </w:rPr>
        <w:softHyphen/>
        <w:t>мому развороту при посадке (23518).</w:t>
      </w:r>
    </w:p>
    <w:p w14:paraId="7452A79B" w14:textId="77777777" w:rsidR="00E50D5F" w:rsidRPr="00441F34" w:rsidRDefault="00E50D5F" w:rsidP="00E50D5F">
      <w:pPr>
        <w:spacing w:after="0" w:line="240" w:lineRule="auto"/>
        <w:jc w:val="both"/>
        <w:rPr>
          <w:rFonts w:ascii="Times New Roman" w:hAnsi="Times New Roman"/>
          <w:color w:val="0070C0"/>
          <w:sz w:val="16"/>
          <w:szCs w:val="16"/>
        </w:rPr>
      </w:pPr>
    </w:p>
    <w:p w14:paraId="67911B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ноября 1931 г. начальником ЦКБ и одновре</w:t>
      </w:r>
      <w:r w:rsidRPr="007122AB">
        <w:rPr>
          <w:rFonts w:ascii="Times New Roman" w:hAnsi="Times New Roman"/>
          <w:color w:val="000000" w:themeColor="text1"/>
          <w:sz w:val="16"/>
          <w:szCs w:val="16"/>
        </w:rPr>
        <w:softHyphen/>
        <w:t xml:space="preserve">менно заместителем начальника ЦАГИ стал </w:t>
      </w:r>
      <w:proofErr w:type="spellStart"/>
      <w:r w:rsidRPr="007122AB">
        <w:rPr>
          <w:rFonts w:ascii="Times New Roman" w:hAnsi="Times New Roman"/>
          <w:color w:val="000000" w:themeColor="text1"/>
          <w:sz w:val="16"/>
          <w:szCs w:val="16"/>
        </w:rPr>
        <w:t>С.В.Илью</w:t>
      </w:r>
      <w:r w:rsidRPr="007122AB">
        <w:rPr>
          <w:rFonts w:ascii="Times New Roman" w:hAnsi="Times New Roman"/>
          <w:color w:val="000000" w:themeColor="text1"/>
          <w:sz w:val="16"/>
          <w:szCs w:val="16"/>
        </w:rPr>
        <w:softHyphen/>
        <w:t>шин</w:t>
      </w:r>
      <w:proofErr w:type="spellEnd"/>
      <w:r w:rsidRPr="007122AB">
        <w:rPr>
          <w:rFonts w:ascii="Times New Roman" w:hAnsi="Times New Roman"/>
          <w:color w:val="000000" w:themeColor="text1"/>
          <w:sz w:val="16"/>
          <w:szCs w:val="16"/>
        </w:rPr>
        <w:t>. Николай Николаевич познакомился с Сергеем Владимировичем еще в 1919 г. на заводе «Дукс», куда красноармеец Ильюшин доставил захваченный у белых в районе Петрозаводска самолет Авро-504К. Они были друзьями и не случайно, поэтому, на столе в рабочем ка</w:t>
      </w:r>
      <w:r w:rsidRPr="007122AB">
        <w:rPr>
          <w:rFonts w:ascii="Times New Roman" w:hAnsi="Times New Roman"/>
          <w:color w:val="000000" w:themeColor="text1"/>
          <w:sz w:val="16"/>
          <w:szCs w:val="16"/>
        </w:rPr>
        <w:softHyphen/>
        <w:t xml:space="preserve">бинете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всегда стоял барельеф </w:t>
      </w:r>
      <w:proofErr w:type="spellStart"/>
      <w:r w:rsidRPr="007122AB">
        <w:rPr>
          <w:rFonts w:ascii="Times New Roman" w:hAnsi="Times New Roman"/>
          <w:color w:val="000000" w:themeColor="text1"/>
          <w:sz w:val="16"/>
          <w:szCs w:val="16"/>
        </w:rPr>
        <w:t>Н.Н.По</w:t>
      </w:r>
      <w:r w:rsidRPr="007122AB">
        <w:rPr>
          <w:rFonts w:ascii="Times New Roman" w:hAnsi="Times New Roman"/>
          <w:color w:val="000000" w:themeColor="text1"/>
          <w:sz w:val="16"/>
          <w:szCs w:val="16"/>
        </w:rPr>
        <w:softHyphen/>
        <w:t>ликарпова</w:t>
      </w:r>
      <w:proofErr w:type="spellEnd"/>
      <w:r w:rsidRPr="007122AB">
        <w:rPr>
          <w:rFonts w:ascii="Times New Roman" w:hAnsi="Times New Roman"/>
          <w:color w:val="000000" w:themeColor="text1"/>
          <w:sz w:val="16"/>
          <w:szCs w:val="16"/>
        </w:rPr>
        <w:t>. Вступив в должность начальника ЦКБ, Сергей Вла</w:t>
      </w:r>
      <w:r w:rsidRPr="007122AB">
        <w:rPr>
          <w:rFonts w:ascii="Times New Roman" w:hAnsi="Times New Roman"/>
          <w:color w:val="000000" w:themeColor="text1"/>
          <w:sz w:val="16"/>
          <w:szCs w:val="16"/>
        </w:rPr>
        <w:softHyphen/>
        <w:t>димирович ознакомился с работой всех подразделений, попытался выяснить достоинства и недостатки сущест</w:t>
      </w:r>
      <w:r w:rsidRPr="007122AB">
        <w:rPr>
          <w:rFonts w:ascii="Times New Roman" w:hAnsi="Times New Roman"/>
          <w:color w:val="000000" w:themeColor="text1"/>
          <w:sz w:val="16"/>
          <w:szCs w:val="16"/>
        </w:rPr>
        <w:softHyphen/>
        <w:t>вующей организации, чтобы затем выработать пра</w:t>
      </w:r>
      <w:r w:rsidRPr="007122AB">
        <w:rPr>
          <w:rFonts w:ascii="Times New Roman" w:hAnsi="Times New Roman"/>
          <w:color w:val="000000" w:themeColor="text1"/>
          <w:sz w:val="16"/>
          <w:szCs w:val="16"/>
        </w:rPr>
        <w:softHyphen/>
        <w:t>вильную техническую политику, увязывая ее с запросами авиапромышленности (10667).</w:t>
      </w:r>
    </w:p>
    <w:p w14:paraId="44E0C40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65BB4" w14:textId="77777777" w:rsidR="00E50D5F" w:rsidRPr="00441F34" w:rsidRDefault="00E50D5F" w:rsidP="00E50D5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ноября 1931 г. началь</w:t>
      </w:r>
      <w:r w:rsidRPr="00441F34">
        <w:rPr>
          <w:rFonts w:ascii="Times New Roman" w:hAnsi="Times New Roman"/>
          <w:color w:val="0070C0"/>
          <w:sz w:val="16"/>
          <w:szCs w:val="16"/>
        </w:rPr>
        <w:softHyphen/>
        <w:t>ником ЦКБ и одновременно заме</w:t>
      </w:r>
      <w:r w:rsidRPr="00441F34">
        <w:rPr>
          <w:rFonts w:ascii="Times New Roman" w:hAnsi="Times New Roman"/>
          <w:color w:val="0070C0"/>
          <w:sz w:val="16"/>
          <w:szCs w:val="16"/>
        </w:rPr>
        <w:softHyphen/>
        <w:t>стителем начальника ЦАГИ стал С.В. Ильюшин, до этого возглавляв</w:t>
      </w:r>
      <w:r w:rsidRPr="00441F34">
        <w:rPr>
          <w:rFonts w:ascii="Times New Roman" w:hAnsi="Times New Roman"/>
          <w:color w:val="0070C0"/>
          <w:sz w:val="16"/>
          <w:szCs w:val="16"/>
        </w:rPr>
        <w:softHyphen/>
        <w:t>ший НТК ВВС. Николай Николаевич познакомился с Сергеем Владими</w:t>
      </w:r>
      <w:r w:rsidRPr="00441F34">
        <w:rPr>
          <w:rFonts w:ascii="Times New Roman" w:hAnsi="Times New Roman"/>
          <w:color w:val="0070C0"/>
          <w:sz w:val="16"/>
          <w:szCs w:val="16"/>
        </w:rPr>
        <w:softHyphen/>
        <w:t>ровичем еще в 1919 г. на заводе «Дукс», куда красноармеец Илью</w:t>
      </w:r>
      <w:r w:rsidRPr="00441F34">
        <w:rPr>
          <w:rFonts w:ascii="Times New Roman" w:hAnsi="Times New Roman"/>
          <w:color w:val="0070C0"/>
          <w:sz w:val="16"/>
          <w:szCs w:val="16"/>
        </w:rPr>
        <w:softHyphen/>
        <w:t xml:space="preserve">шин доставил захваченный у белых в районе Петрозаводска самолет </w:t>
      </w:r>
      <w:proofErr w:type="spellStart"/>
      <w:r w:rsidRPr="00441F34">
        <w:rPr>
          <w:rFonts w:ascii="Times New Roman" w:hAnsi="Times New Roman"/>
          <w:color w:val="0070C0"/>
          <w:sz w:val="16"/>
          <w:szCs w:val="16"/>
        </w:rPr>
        <w:t>Авро</w:t>
      </w:r>
      <w:proofErr w:type="spellEnd"/>
      <w:r w:rsidRPr="00441F34">
        <w:rPr>
          <w:rFonts w:ascii="Times New Roman" w:hAnsi="Times New Roman"/>
          <w:color w:val="0070C0"/>
          <w:sz w:val="16"/>
          <w:szCs w:val="16"/>
        </w:rPr>
        <w:t xml:space="preserve"> 504К. Не исключено, что они встречались еще раньше, в 1916</w:t>
      </w:r>
      <w:r w:rsidRPr="00441F34">
        <w:rPr>
          <w:rFonts w:ascii="Times New Roman" w:hAnsi="Times New Roman"/>
          <w:color w:val="0070C0"/>
          <w:sz w:val="16"/>
          <w:szCs w:val="16"/>
        </w:rPr>
        <w:softHyphen/>
        <w:t>1917 гг., когда Ильюшин проходил службу авиамехаником на Комен</w:t>
      </w:r>
      <w:r w:rsidRPr="00441F34">
        <w:rPr>
          <w:rFonts w:ascii="Times New Roman" w:hAnsi="Times New Roman"/>
          <w:color w:val="0070C0"/>
          <w:sz w:val="16"/>
          <w:szCs w:val="16"/>
        </w:rPr>
        <w:softHyphen/>
        <w:t>дантском аэродроме Петрограда (впоследствии они стали друзьями и не случайно на столе в рабочем кабинете С.В. Ильюшина всегда стоял барельеф Н.Н. Поликарпова).</w:t>
      </w:r>
    </w:p>
    <w:p w14:paraId="2338BA12" w14:textId="77777777" w:rsidR="00E50D5F" w:rsidRPr="00441F34" w:rsidRDefault="00E50D5F" w:rsidP="00E50D5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Вступив в должность начальника ЦКБ, Сергей Владимирович ознако</w:t>
      </w:r>
      <w:r w:rsidRPr="00441F34">
        <w:rPr>
          <w:rFonts w:ascii="Times New Roman" w:hAnsi="Times New Roman"/>
          <w:color w:val="0070C0"/>
          <w:sz w:val="16"/>
          <w:szCs w:val="16"/>
        </w:rPr>
        <w:softHyphen/>
        <w:t>мился с работой всех подразделе</w:t>
      </w:r>
      <w:r w:rsidRPr="00441F34">
        <w:rPr>
          <w:rFonts w:ascii="Times New Roman" w:hAnsi="Times New Roman"/>
          <w:color w:val="0070C0"/>
          <w:sz w:val="16"/>
          <w:szCs w:val="16"/>
        </w:rPr>
        <w:softHyphen/>
        <w:t>ний, попытался выяснить достоин</w:t>
      </w:r>
      <w:r w:rsidRPr="00441F34">
        <w:rPr>
          <w:rFonts w:ascii="Times New Roman" w:hAnsi="Times New Roman"/>
          <w:color w:val="0070C0"/>
          <w:sz w:val="16"/>
          <w:szCs w:val="16"/>
        </w:rPr>
        <w:softHyphen/>
        <w:t>ства и недостатки существующей организации, чтобы затем выра</w:t>
      </w:r>
      <w:r w:rsidRPr="00441F34">
        <w:rPr>
          <w:rFonts w:ascii="Times New Roman" w:hAnsi="Times New Roman"/>
          <w:color w:val="0070C0"/>
          <w:sz w:val="16"/>
          <w:szCs w:val="16"/>
        </w:rPr>
        <w:softHyphen/>
        <w:t>ботать правильную техническую политику, увязывая ее с запросами авиапромышленности (23406).</w:t>
      </w:r>
    </w:p>
    <w:p w14:paraId="5247086C" w14:textId="77777777" w:rsidR="00E50D5F" w:rsidRPr="00441F34" w:rsidRDefault="00E50D5F" w:rsidP="00E50D5F">
      <w:pPr>
        <w:spacing w:after="0" w:line="240" w:lineRule="auto"/>
        <w:jc w:val="both"/>
        <w:rPr>
          <w:rFonts w:ascii="Times New Roman" w:hAnsi="Times New Roman"/>
          <w:color w:val="0070C0"/>
          <w:sz w:val="16"/>
          <w:szCs w:val="16"/>
        </w:rPr>
      </w:pPr>
    </w:p>
    <w:p w14:paraId="7DCCE8C7" w14:textId="77777777" w:rsidR="00E66CC9" w:rsidRPr="007122AB" w:rsidRDefault="00E66CC9"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90B08E3" w14:textId="77777777" w:rsidR="00E66CC9" w:rsidRPr="007122AB" w:rsidRDefault="00E66CC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760CA32"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ноября 1931 г. </w:t>
      </w:r>
      <w:proofErr w:type="spellStart"/>
      <w:r w:rsidRPr="007122AB">
        <w:rPr>
          <w:rFonts w:ascii="Times New Roman" w:hAnsi="Times New Roman"/>
          <w:color w:val="000000" w:themeColor="text1"/>
          <w:sz w:val="16"/>
          <w:szCs w:val="16"/>
        </w:rPr>
        <w:t>Ротерт</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Финкель</w:t>
      </w:r>
      <w:proofErr w:type="spellEnd"/>
      <w:r w:rsidRPr="007122AB">
        <w:rPr>
          <w:rFonts w:ascii="Times New Roman" w:hAnsi="Times New Roman"/>
          <w:color w:val="000000" w:themeColor="text1"/>
          <w:sz w:val="16"/>
          <w:szCs w:val="16"/>
        </w:rPr>
        <w:t xml:space="preserve"> представили горкому партии набросок схемы линий метрополитена. Инженер </w:t>
      </w:r>
      <w:proofErr w:type="spellStart"/>
      <w:r w:rsidRPr="007122AB">
        <w:rPr>
          <w:rFonts w:ascii="Times New Roman" w:hAnsi="Times New Roman"/>
          <w:color w:val="000000" w:themeColor="text1"/>
          <w:sz w:val="16"/>
          <w:szCs w:val="16"/>
        </w:rPr>
        <w:t>Катцен</w:t>
      </w:r>
      <w:proofErr w:type="spellEnd"/>
      <w:r w:rsidRPr="007122AB">
        <w:rPr>
          <w:rFonts w:ascii="Times New Roman" w:hAnsi="Times New Roman"/>
          <w:color w:val="000000" w:themeColor="text1"/>
          <w:sz w:val="16"/>
          <w:szCs w:val="16"/>
        </w:rPr>
        <w:t>, принимавший участие в обсуждении, припоминал позднее, как Каганович подвел черту под длительной дискуссией: «Помню, встает Лазарь Моисеевич, рядом с ним находились Рындин, Булганин, кажется, Хрущев. Лазарь Моисеевич так слушает, слушает, встает, подходит к схеме и начинает развивать опять-таки строение Москвы, где город будет развиваться, где будет промышленность, где сейчас перегрузка движения. И говорит: мы тут думать много не будем, строим первую линию от Сокольников до Дворца Советов, и вторую линию — как это постановлено — от Смоленской площади до библиотеки Ленина. Правильно, говорит Рындин»{404}.Разработанная Метростроем схема линий в варианте, представленном ниже, включала 5 диаметральных маршрутов (10 радиальных) общей протяженностью 80,3 км с 86 станциями, из них 17 пересадочных (см. рис. 19)[39].</w:t>
      </w:r>
    </w:p>
    <w:p w14:paraId="5739E948"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Станции пересадки намечались на пл. Дзержинского, у Ильинских ворот и на пл. Ногина, куда должна была подойти проведенная к центру города линия пригородной железной дороги. На Красной пл. пересекались три диаметральные линии и предусматривалась общая пересадочная станция. Помимо того думали и о кольцевой линии, но ее трассу предстояло еще уточнить. Сквозные линии в центре города должны были проходить по подземным тоннелям и лишь при пересечении Москвы-реки выходить на эстакады. За пределами Московской окружной железной дороги движение на линиях метро предусматривалось наземным путем в направлении пригородов, которые не обслуживались пригородными железнодорожными поездами. </w:t>
      </w:r>
    </w:p>
    <w:p w14:paraId="63B75894"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 Метростроя, ноябрь 1931 г.{405}Радиус ... Протяженность (км)</w:t>
      </w:r>
    </w:p>
    <w:p w14:paraId="0BCE156A"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1.Мясницкий (Черкизово — библиотека Ленина) ... 10,0</w:t>
      </w:r>
    </w:p>
    <w:p w14:paraId="7C182958"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2.Усачевский (</w:t>
      </w:r>
      <w:proofErr w:type="spellStart"/>
      <w:r w:rsidRPr="007122AB">
        <w:rPr>
          <w:rFonts w:ascii="Times New Roman" w:hAnsi="Times New Roman"/>
          <w:color w:val="000000" w:themeColor="text1"/>
          <w:sz w:val="16"/>
          <w:szCs w:val="16"/>
        </w:rPr>
        <w:t>Усачевка</w:t>
      </w:r>
      <w:proofErr w:type="spellEnd"/>
      <w:r w:rsidRPr="007122AB">
        <w:rPr>
          <w:rFonts w:ascii="Times New Roman" w:hAnsi="Times New Roman"/>
          <w:color w:val="000000" w:themeColor="text1"/>
          <w:sz w:val="16"/>
          <w:szCs w:val="16"/>
        </w:rPr>
        <w:t xml:space="preserve"> — библиотека Ленина) ... 6,0</w:t>
      </w:r>
    </w:p>
    <w:p w14:paraId="45F70AC2"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3.Арбатский (ст. </w:t>
      </w:r>
      <w:proofErr w:type="spellStart"/>
      <w:r w:rsidRPr="007122AB">
        <w:rPr>
          <w:rFonts w:ascii="Times New Roman" w:hAnsi="Times New Roman"/>
          <w:color w:val="000000" w:themeColor="text1"/>
          <w:sz w:val="16"/>
          <w:szCs w:val="16"/>
        </w:rPr>
        <w:t>Кутузово</w:t>
      </w:r>
      <w:proofErr w:type="spellEnd"/>
      <w:r w:rsidRPr="007122AB">
        <w:rPr>
          <w:rFonts w:ascii="Times New Roman" w:hAnsi="Times New Roman"/>
          <w:color w:val="000000" w:themeColor="text1"/>
          <w:sz w:val="16"/>
          <w:szCs w:val="16"/>
        </w:rPr>
        <w:t xml:space="preserve"> — библиотека Ленина) ... 5,0</w:t>
      </w:r>
    </w:p>
    <w:p w14:paraId="31647CA2"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4.Тверской (ст. </w:t>
      </w:r>
      <w:proofErr w:type="spellStart"/>
      <w:r w:rsidRPr="007122AB">
        <w:rPr>
          <w:rFonts w:ascii="Times New Roman" w:hAnsi="Times New Roman"/>
          <w:color w:val="000000" w:themeColor="text1"/>
          <w:sz w:val="16"/>
          <w:szCs w:val="16"/>
        </w:rPr>
        <w:t>Всехсвятское</w:t>
      </w:r>
      <w:proofErr w:type="spellEnd"/>
      <w:r w:rsidRPr="007122AB">
        <w:rPr>
          <w:rFonts w:ascii="Times New Roman" w:hAnsi="Times New Roman"/>
          <w:color w:val="000000" w:themeColor="text1"/>
          <w:sz w:val="16"/>
          <w:szCs w:val="16"/>
        </w:rPr>
        <w:t xml:space="preserve"> — Охотный ряд) ... 9,5</w:t>
      </w:r>
    </w:p>
    <w:p w14:paraId="770E299E"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5.Таганский (завод АМО — Охотный ряд) ... 10,6</w:t>
      </w:r>
    </w:p>
    <w:p w14:paraId="755F7946"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6.Покровский (Измайлово — библиотека Ленина) ... 9,3</w:t>
      </w:r>
    </w:p>
    <w:p w14:paraId="6ABC5B67"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7.Замоскворецкий (ст. Нижние Котлы — пл. Свердлова) ... 8,0</w:t>
      </w:r>
    </w:p>
    <w:p w14:paraId="570B6AB0"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8.Рогожский (Перово — Арбат) ... 9,6</w:t>
      </w:r>
    </w:p>
    <w:p w14:paraId="6C08CDD5"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9.Краснопресненский (Красная Пресня — Арбат) ... 4,5</w:t>
      </w:r>
    </w:p>
    <w:p w14:paraId="28CD53CD"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10.Дзержинский (Останкино — пл. Свердлова) ... 7,8</w:t>
      </w:r>
    </w:p>
    <w:p w14:paraId="681496D8"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Всего ... 80,3* * * </w:t>
      </w:r>
    </w:p>
    <w:p w14:paraId="78EBBF39" w14:textId="77777777" w:rsidR="00E66CC9" w:rsidRPr="007122AB" w:rsidRDefault="00E66CC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Цель заключалась в том, чтобы из любого пункта достичь места назначения только с одной пересадкой{406}.На отдельных линиях поезда метро должны были следовать по окружной железной дороге{407} (18299).</w:t>
      </w:r>
    </w:p>
    <w:p w14:paraId="0713D6FC" w14:textId="77777777" w:rsidR="00E66CC9" w:rsidRPr="007122AB" w:rsidRDefault="00E66CC9" w:rsidP="007122AB">
      <w:pPr>
        <w:spacing w:after="0" w:line="240" w:lineRule="auto"/>
        <w:jc w:val="both"/>
        <w:rPr>
          <w:rFonts w:ascii="Times New Roman" w:hAnsi="Times New Roman"/>
          <w:color w:val="000000" w:themeColor="text1"/>
          <w:sz w:val="16"/>
          <w:szCs w:val="16"/>
        </w:rPr>
      </w:pPr>
    </w:p>
    <w:p w14:paraId="1F2B3CF8" w14:textId="77777777" w:rsidR="001A30F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8CEAB24" w14:textId="77777777" w:rsidR="001A30FC" w:rsidRPr="007122AB" w:rsidRDefault="001A30F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887500" w14:textId="77777777" w:rsidR="001A30FC" w:rsidRPr="007122AB" w:rsidRDefault="001A30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второй половине ноября 1931 по заданию ВАТО специалисты НАТИ провели испытания трехосного автомобиля ЯГ-10 (15764).</w:t>
      </w:r>
    </w:p>
    <w:p w14:paraId="0CFD2A37" w14:textId="77777777" w:rsidR="001A30FC" w:rsidRPr="007122AB" w:rsidRDefault="001A30FC" w:rsidP="007122AB">
      <w:pPr>
        <w:spacing w:after="0" w:line="240" w:lineRule="auto"/>
        <w:jc w:val="both"/>
        <w:rPr>
          <w:rFonts w:ascii="Times New Roman" w:hAnsi="Times New Roman"/>
          <w:color w:val="000000" w:themeColor="text1"/>
          <w:sz w:val="16"/>
          <w:szCs w:val="16"/>
        </w:rPr>
      </w:pPr>
    </w:p>
    <w:p w14:paraId="67492FB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DB827A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5905AD" w14:textId="77777777" w:rsidR="00C71A6E" w:rsidRPr="007122AB" w:rsidRDefault="00C71A6E"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В ноябре месяце 1931 при согласовании плана опытного строительства на 1932-1934 гг. было принято оконча</w:t>
      </w:r>
      <w:r w:rsidRPr="007122AB">
        <w:rPr>
          <w:rFonts w:ascii="Times New Roman" w:hAnsi="Times New Roman"/>
          <w:color w:val="000000" w:themeColor="text1"/>
          <w:sz w:val="16"/>
          <w:szCs w:val="16"/>
          <w:lang w:eastAsia="ru-RU" w:bidi="ru-RU"/>
        </w:rPr>
        <w:softHyphen/>
        <w:t>тельное решение о прекращении всяких работ по самолету ТШ-1. Соответственно, из плана самолет исключили (21062).</w:t>
      </w:r>
    </w:p>
    <w:p w14:paraId="2E3BAF11" w14:textId="77777777" w:rsidR="00C71A6E" w:rsidRPr="007122AB" w:rsidRDefault="00C71A6E" w:rsidP="007122AB">
      <w:pPr>
        <w:spacing w:after="0" w:line="240" w:lineRule="auto"/>
        <w:jc w:val="both"/>
        <w:rPr>
          <w:rFonts w:ascii="Times New Roman" w:hAnsi="Times New Roman"/>
          <w:color w:val="000000" w:themeColor="text1"/>
          <w:sz w:val="16"/>
          <w:szCs w:val="16"/>
        </w:rPr>
      </w:pPr>
    </w:p>
    <w:p w14:paraId="1CD5A6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УВВС сообщило, что хочет получить Р-5 в варианте штурмовика. Он должен был нести 30 балок Дер-5 под мелкие бомбы (шестью блоками-"</w:t>
      </w:r>
      <w:proofErr w:type="spellStart"/>
      <w:r w:rsidRPr="007122AB">
        <w:rPr>
          <w:rFonts w:ascii="Times New Roman" w:hAnsi="Times New Roman"/>
          <w:color w:val="000000" w:themeColor="text1"/>
          <w:sz w:val="16"/>
          <w:szCs w:val="16"/>
        </w:rPr>
        <w:t>агре</w:t>
      </w:r>
      <w:proofErr w:type="spellEnd"/>
      <w:r w:rsidRPr="007122AB">
        <w:rPr>
          <w:rFonts w:ascii="Times New Roman" w:hAnsi="Times New Roman"/>
          <w:color w:val="000000" w:themeColor="text1"/>
          <w:sz w:val="16"/>
          <w:szCs w:val="16"/>
        </w:rPr>
        <w:t xml:space="preserve">- гатами") и две Дер-6. По взглядам того времени, основная цель для штурмовой авиации - живая сила противника, а также обозы в ближнем тылу, передвигавшиеся в основном на конной тяге. Их собирались поражать с малых высот пулеметным огнем, мелкими осколочными бомбами и о (равняющими веществами. Но завод не захотел взять на себя дополнительные обязательства. В итоге легкий штурмовик Р-5Ш (именуемый также иногда ЛШ-5, Р-5Шт или Р-5ЛШ) появился в результате импровизации строевых летчиков. Летом 1932 г. в 252-й авиабригаде в Гомеле по инициативе комбрига А.А. </w:t>
      </w:r>
      <w:proofErr w:type="spellStart"/>
      <w:r w:rsidRPr="007122AB">
        <w:rPr>
          <w:rFonts w:ascii="Times New Roman" w:hAnsi="Times New Roman"/>
          <w:color w:val="000000" w:themeColor="text1"/>
          <w:sz w:val="16"/>
          <w:szCs w:val="16"/>
        </w:rPr>
        <w:t>Туржанского</w:t>
      </w:r>
      <w:proofErr w:type="spellEnd"/>
      <w:r w:rsidRPr="007122AB">
        <w:rPr>
          <w:rFonts w:ascii="Times New Roman" w:hAnsi="Times New Roman"/>
          <w:color w:val="000000" w:themeColor="text1"/>
          <w:sz w:val="16"/>
          <w:szCs w:val="16"/>
        </w:rPr>
        <w:t xml:space="preserve"> и инженера Павлова доработали один Р-5, смонтировав дополнительные неподвижные пулеметы ПВ-1 сверху нижнего крыла (по два с каждой стороны). Испытывал машину сам </w:t>
      </w:r>
      <w:proofErr w:type="spellStart"/>
      <w:r w:rsidRPr="007122AB">
        <w:rPr>
          <w:rFonts w:ascii="Times New Roman" w:hAnsi="Times New Roman"/>
          <w:color w:val="000000" w:themeColor="text1"/>
          <w:sz w:val="16"/>
          <w:szCs w:val="16"/>
        </w:rPr>
        <w:t>Туржанский</w:t>
      </w:r>
      <w:proofErr w:type="spellEnd"/>
      <w:r w:rsidRPr="007122AB">
        <w:rPr>
          <w:rFonts w:ascii="Times New Roman" w:hAnsi="Times New Roman"/>
          <w:color w:val="000000" w:themeColor="text1"/>
          <w:sz w:val="16"/>
          <w:szCs w:val="16"/>
        </w:rPr>
        <w:t xml:space="preserve">. С одного захода пулеметным огнем удалось поразить до половины мишеней, причем в некоторых было по 4-5 пробоин. После демонстрации штурмовика представителю УВВС А.В. </w:t>
      </w:r>
      <w:proofErr w:type="spellStart"/>
      <w:r w:rsidRPr="007122AB">
        <w:rPr>
          <w:rFonts w:ascii="Times New Roman" w:hAnsi="Times New Roman"/>
          <w:color w:val="000000" w:themeColor="text1"/>
          <w:sz w:val="16"/>
          <w:szCs w:val="16"/>
        </w:rPr>
        <w:t>Хрипину</w:t>
      </w:r>
      <w:proofErr w:type="spellEnd"/>
      <w:r w:rsidRPr="007122AB">
        <w:rPr>
          <w:rFonts w:ascii="Times New Roman" w:hAnsi="Times New Roman"/>
          <w:color w:val="000000" w:themeColor="text1"/>
          <w:sz w:val="16"/>
          <w:szCs w:val="16"/>
        </w:rPr>
        <w:t xml:space="preserve"> последовало распоряжение отправить его в Москву (11936).</w:t>
      </w:r>
    </w:p>
    <w:p w14:paraId="4B55FA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8433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УВВС сообщило заводу № 1, что хочет получать Р-5 также в варианте штурмовика, отличающемся бомбовым вооружением. Штурмовик должен был нести 30 балок Дер-5 под мелкие бомбы (шестью блоками - "агрегатами") и две Дер-6. Но завод не мог обеспечить даже плановый выпуск уже существовавших модификаций. Взять на себя дополнительные обязательства его руководству не хотелось. Решение вопроса благополучно утопили в переписке, выясняя, кто должен вести проектирование.</w:t>
      </w:r>
    </w:p>
    <w:p w14:paraId="36BDDC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итоге легкий небронированный штурмовик Р-5Ш (именовавшийся также иногда ДШ-5, Р-5Шт или Р- 5ЛШ) появился в результате удачной импровизации строевых летчиков. По взглядам того времени, основная цель для штурмовой авиации - живая сила противника (пехота, кавалерия и артиллерийские расчеты), а также обозы в ближнем тылу, передвигавшиеся в основном на конной тяге. Их собирались поражать с малых высот мощным пулеметным огнем, мелкими осколочными бомбами и разбрызгиванием отравляющих веществ (12034).</w:t>
      </w:r>
    </w:p>
    <w:p w14:paraId="2CCFE7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E392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было создано КБ ВВА Жуковского (66,168) под руководством </w:t>
      </w:r>
      <w:proofErr w:type="spellStart"/>
      <w:r w:rsidRPr="007122AB">
        <w:rPr>
          <w:rFonts w:ascii="Times New Roman" w:hAnsi="Times New Roman"/>
          <w:color w:val="000000" w:themeColor="text1"/>
          <w:sz w:val="16"/>
          <w:szCs w:val="16"/>
        </w:rPr>
        <w:t>С.Г.Козлова</w:t>
      </w:r>
      <w:proofErr w:type="spellEnd"/>
      <w:r w:rsidRPr="007122AB">
        <w:rPr>
          <w:rFonts w:ascii="Times New Roman" w:hAnsi="Times New Roman"/>
          <w:color w:val="000000" w:themeColor="text1"/>
          <w:sz w:val="16"/>
          <w:szCs w:val="16"/>
        </w:rPr>
        <w:t xml:space="preserve"> для разработки 12 моторного Гиганта - крыла (80,323) с 12 М-17 в носке толстого крыла. Оперение - на двух балках - 6 винтов. Финансирование закрыли из-за неудачи испытаний спарки двигателей (92,435).</w:t>
      </w:r>
    </w:p>
    <w:p w14:paraId="3B6D3A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Якобы проект поддерживал М.Н.Т., который надеялся, что машина с крылом площадью 600 кв. м сможет перевозить танки (предусматривалась опускающаяся платформа). В работе участвовал и С.А.Л., который в то время работал в ВНК у </w:t>
      </w:r>
      <w:proofErr w:type="spellStart"/>
      <w:r w:rsidRPr="007122AB">
        <w:rPr>
          <w:rFonts w:ascii="Times New Roman" w:hAnsi="Times New Roman"/>
          <w:color w:val="000000" w:themeColor="text1"/>
          <w:sz w:val="16"/>
          <w:szCs w:val="16"/>
        </w:rPr>
        <w:t>Лавиля</w:t>
      </w:r>
      <w:proofErr w:type="spellEnd"/>
      <w:r w:rsidRPr="007122AB">
        <w:rPr>
          <w:rFonts w:ascii="Times New Roman" w:hAnsi="Times New Roman"/>
          <w:color w:val="000000" w:themeColor="text1"/>
          <w:sz w:val="16"/>
          <w:szCs w:val="16"/>
        </w:rPr>
        <w:t xml:space="preserve"> и подрабатывал у </w:t>
      </w:r>
      <w:proofErr w:type="spellStart"/>
      <w:r w:rsidRPr="007122AB">
        <w:rPr>
          <w:rFonts w:ascii="Times New Roman" w:hAnsi="Times New Roman"/>
          <w:color w:val="000000" w:themeColor="text1"/>
          <w:sz w:val="16"/>
          <w:szCs w:val="16"/>
        </w:rPr>
        <w:t>С.Г.Козлова</w:t>
      </w:r>
      <w:proofErr w:type="spellEnd"/>
      <w:r w:rsidRPr="007122AB">
        <w:rPr>
          <w:rFonts w:ascii="Times New Roman" w:hAnsi="Times New Roman"/>
          <w:color w:val="000000" w:themeColor="text1"/>
          <w:sz w:val="16"/>
          <w:szCs w:val="16"/>
        </w:rPr>
        <w:t xml:space="preserve"> (78,37).</w:t>
      </w:r>
    </w:p>
    <w:p w14:paraId="6857B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901BF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в воздух поднялся АИР-5 А.С.Я. (3971,6).</w:t>
      </w:r>
    </w:p>
    <w:p w14:paraId="231A2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382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состоялся первый полет АИР-5 (210,11).</w:t>
      </w:r>
    </w:p>
    <w:p w14:paraId="2DFCE7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3E67A4" w14:textId="77777777" w:rsidR="006813D3" w:rsidRPr="007122AB" w:rsidRDefault="006813D3"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 ноябре 1931 г. АИР-5 впервые поднялся в воздух. Самолет продемонстрировал хорошие летные данные, устойчивость и управляемость. После кратких заводских испытаний его передали в НИИ ГВФ на государственные. Там на машину нанесли обозначение «СССР-Э8».</w:t>
      </w:r>
    </w:p>
    <w:p w14:paraId="271AEFCC" w14:textId="77777777" w:rsidR="006813D3" w:rsidRPr="007122AB" w:rsidRDefault="006813D3" w:rsidP="007122AB">
      <w:pPr>
        <w:pStyle w:val="a8"/>
        <w:jc w:val="both"/>
        <w:rPr>
          <w:rFonts w:ascii="Times New Roman" w:hAnsi="Times New Roman" w:cs="Times New Roman"/>
          <w:color w:val="000000" w:themeColor="text1"/>
        </w:rPr>
      </w:pPr>
    </w:p>
    <w:p w14:paraId="4F6E2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начались отстрелы пушек на АНТ-23 (И-12) на земле (2072,70).</w:t>
      </w:r>
    </w:p>
    <w:p w14:paraId="505585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F9CC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на основании данных по опытному самолету АНТ-16 ЦАГИ составил требования к головному серийному ТБ-4. Предназначался для уничтожения крупных военно-промышленных объектов в тылу (7388, 9).</w:t>
      </w:r>
    </w:p>
    <w:p w14:paraId="393886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2966E1"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1931 г. решили, что КБ А.Н.Т. будет строить головной самолет АНТ-16 (дуб</w:t>
      </w:r>
      <w:r w:rsidRPr="00441F34">
        <w:rPr>
          <w:rFonts w:ascii="Times New Roman" w:hAnsi="Times New Roman"/>
          <w:color w:val="0070C0"/>
          <w:sz w:val="16"/>
          <w:szCs w:val="16"/>
        </w:rPr>
        <w:softHyphen/>
        <w:t>лер) — эталон для серии — по новым ТТТ. При этом в проект внесли ряд конструк</w:t>
      </w:r>
      <w:r w:rsidRPr="00441F34">
        <w:rPr>
          <w:rFonts w:ascii="Times New Roman" w:hAnsi="Times New Roman"/>
          <w:color w:val="0070C0"/>
          <w:sz w:val="16"/>
          <w:szCs w:val="16"/>
        </w:rPr>
        <w:softHyphen/>
        <w:t>тивных изменений, предусматривавших возможность быстрого переоборудова</w:t>
      </w:r>
      <w:r w:rsidRPr="00441F34">
        <w:rPr>
          <w:rFonts w:ascii="Times New Roman" w:hAnsi="Times New Roman"/>
          <w:color w:val="0070C0"/>
          <w:sz w:val="16"/>
          <w:szCs w:val="16"/>
        </w:rPr>
        <w:softHyphen/>
        <w:t>ния машины в транспортный или пасса</w:t>
      </w:r>
      <w:r w:rsidRPr="00441F34">
        <w:rPr>
          <w:rFonts w:ascii="Times New Roman" w:hAnsi="Times New Roman"/>
          <w:color w:val="0070C0"/>
          <w:sz w:val="16"/>
          <w:szCs w:val="16"/>
        </w:rPr>
        <w:softHyphen/>
        <w:t>жирский варианты. Головная машина должна была отличаться переделанной носовой частью фюзеляжа: кроме откры</w:t>
      </w:r>
      <w:r w:rsidRPr="00441F34">
        <w:rPr>
          <w:rFonts w:ascii="Times New Roman" w:hAnsi="Times New Roman"/>
          <w:color w:val="0070C0"/>
          <w:sz w:val="16"/>
          <w:szCs w:val="16"/>
        </w:rPr>
        <w:softHyphen/>
        <w:t>той турели, которую сместили ближе к кабине летчиков, предполагалось устано</w:t>
      </w:r>
      <w:r w:rsidRPr="00441F34">
        <w:rPr>
          <w:rFonts w:ascii="Times New Roman" w:hAnsi="Times New Roman"/>
          <w:color w:val="0070C0"/>
          <w:sz w:val="16"/>
          <w:szCs w:val="16"/>
        </w:rPr>
        <w:softHyphen/>
        <w:t>вить башню с тремя пулеметами или пушкой.</w:t>
      </w:r>
    </w:p>
    <w:p w14:paraId="2A5C95D7"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Постройка дублера началась в августе 1932 г. К 1 января 1933 г. техническая го</w:t>
      </w:r>
      <w:r w:rsidRPr="00441F34">
        <w:rPr>
          <w:rFonts w:ascii="Times New Roman" w:hAnsi="Times New Roman"/>
          <w:color w:val="0070C0"/>
          <w:sz w:val="16"/>
          <w:szCs w:val="16"/>
        </w:rPr>
        <w:softHyphen/>
        <w:t>товность самолета составила 17% (23474).</w:t>
      </w:r>
    </w:p>
    <w:p w14:paraId="3CED1340" w14:textId="77777777" w:rsidR="00D82FF1" w:rsidRPr="00441F34" w:rsidRDefault="00D82FF1" w:rsidP="00D82FF1">
      <w:pPr>
        <w:spacing w:after="0" w:line="240" w:lineRule="auto"/>
        <w:jc w:val="both"/>
        <w:rPr>
          <w:rFonts w:ascii="Times New Roman" w:hAnsi="Times New Roman"/>
          <w:color w:val="0070C0"/>
          <w:sz w:val="16"/>
          <w:szCs w:val="16"/>
        </w:rPr>
      </w:pPr>
    </w:p>
    <w:p w14:paraId="48806E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состоялся первый полет самолета Г-8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xml:space="preserve"> (9080).</w:t>
      </w:r>
    </w:p>
    <w:p w14:paraId="022D2A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CE1D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Н.Н.П., по причине разногласий (прежде всего с </w:t>
      </w:r>
      <w:proofErr w:type="spellStart"/>
      <w:r w:rsidRPr="007122AB">
        <w:rPr>
          <w:rFonts w:ascii="Times New Roman" w:hAnsi="Times New Roman"/>
          <w:color w:val="000000" w:themeColor="text1"/>
          <w:sz w:val="16"/>
          <w:szCs w:val="16"/>
        </w:rPr>
        <w:t>А.Н.Туполевым</w:t>
      </w:r>
      <w:proofErr w:type="spellEnd"/>
      <w:r w:rsidRPr="007122AB">
        <w:rPr>
          <w:rFonts w:ascii="Times New Roman" w:hAnsi="Times New Roman"/>
          <w:color w:val="000000" w:themeColor="text1"/>
          <w:sz w:val="16"/>
          <w:szCs w:val="16"/>
        </w:rPr>
        <w:t xml:space="preserve">), становится «не ко двору» организации ЦКБ-ЦАГИ и с должности начальника бригады снимается. Затем следуют более чем полгода вынужденного бездействия, работа на второстепенных должностях, явно не </w:t>
      </w:r>
      <w:proofErr w:type="spellStart"/>
      <w:r w:rsidRPr="007122AB">
        <w:rPr>
          <w:rFonts w:ascii="Times New Roman" w:hAnsi="Times New Roman"/>
          <w:color w:val="000000" w:themeColor="text1"/>
          <w:sz w:val="16"/>
          <w:szCs w:val="16"/>
        </w:rPr>
        <w:t>сооветствую-щих</w:t>
      </w:r>
      <w:proofErr w:type="spellEnd"/>
      <w:r w:rsidRPr="007122AB">
        <w:rPr>
          <w:rFonts w:ascii="Times New Roman" w:hAnsi="Times New Roman"/>
          <w:color w:val="000000" w:themeColor="text1"/>
          <w:sz w:val="16"/>
          <w:szCs w:val="16"/>
        </w:rPr>
        <w:t xml:space="preserve"> квалификации конструктора (6593).</w:t>
      </w:r>
    </w:p>
    <w:p w14:paraId="133E88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14AB9F"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же года приказом №229 Н. Е. 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назначил своим заместителем и начальником ЦКБ С. В. Ильюшина. В заключительной части приказа говорилось: «Считаю, что благодаря слиянию двух опытных самолетных организаций, наличные конструкторские силы и производственные возможности ЦАГИ вполне обеспечивают успешное и своевременное разрешение задач, поставленных правительством в области опытного строительства самолетов, вооружения и внедрения их в серии» (19727).</w:t>
      </w:r>
    </w:p>
    <w:p w14:paraId="7108D4D7"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7ADA33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на сове</w:t>
      </w:r>
      <w:r w:rsidRPr="007122AB">
        <w:rPr>
          <w:rFonts w:ascii="Times New Roman" w:hAnsi="Times New Roman"/>
          <w:color w:val="000000" w:themeColor="text1"/>
          <w:sz w:val="16"/>
          <w:szCs w:val="16"/>
        </w:rPr>
        <w:softHyphen/>
        <w:t>щании в кабинете Туполева начавшийся было спокой</w:t>
      </w:r>
      <w:r w:rsidRPr="007122AB">
        <w:rPr>
          <w:rFonts w:ascii="Times New Roman" w:hAnsi="Times New Roman"/>
          <w:color w:val="000000" w:themeColor="text1"/>
          <w:sz w:val="16"/>
          <w:szCs w:val="16"/>
        </w:rPr>
        <w:softHyphen/>
        <w:t>ным разговор по работам бригады №3 дошел до высшей точки кипения. Туполев выразил свое мнение, что зада</w:t>
      </w:r>
      <w:r w:rsidRPr="007122AB">
        <w:rPr>
          <w:rFonts w:ascii="Times New Roman" w:hAnsi="Times New Roman"/>
          <w:color w:val="000000" w:themeColor="text1"/>
          <w:sz w:val="16"/>
          <w:szCs w:val="16"/>
        </w:rPr>
        <w:softHyphen/>
        <w:t>ние на истребитель И-13 бригада № 3 смогла бы быстро выполнить, взяв за основу И-8 (АНТ-13), который про</w:t>
      </w:r>
      <w:r w:rsidRPr="007122AB">
        <w:rPr>
          <w:rFonts w:ascii="Times New Roman" w:hAnsi="Times New Roman"/>
          <w:color w:val="000000" w:themeColor="text1"/>
          <w:sz w:val="16"/>
          <w:szCs w:val="16"/>
        </w:rPr>
        <w:softHyphen/>
        <w:t>ходил в то время испытания, соответственно усилив его конструкцию и улучшив аэродинамику самолета, и дал указания о немедленном проведении этой работы. Ни</w:t>
      </w:r>
      <w:r w:rsidRPr="007122AB">
        <w:rPr>
          <w:rFonts w:ascii="Times New Roman" w:hAnsi="Times New Roman"/>
          <w:color w:val="000000" w:themeColor="text1"/>
          <w:sz w:val="16"/>
          <w:szCs w:val="16"/>
        </w:rPr>
        <w:softHyphen/>
        <w:t>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 Самолюбивый Андрей Николаевич был бук</w:t>
      </w:r>
      <w:r w:rsidRPr="007122AB">
        <w:rPr>
          <w:rFonts w:ascii="Times New Roman" w:hAnsi="Times New Roman"/>
          <w:color w:val="000000" w:themeColor="text1"/>
          <w:sz w:val="16"/>
          <w:szCs w:val="16"/>
        </w:rPr>
        <w:softHyphen/>
        <w:t>вально взбешен отказом Поликарпова. По воспомина</w:t>
      </w:r>
      <w:r w:rsidRPr="007122AB">
        <w:rPr>
          <w:rFonts w:ascii="Times New Roman" w:hAnsi="Times New Roman"/>
          <w:color w:val="000000" w:themeColor="text1"/>
          <w:sz w:val="16"/>
          <w:szCs w:val="16"/>
        </w:rPr>
        <w:softHyphen/>
        <w:t>ниям инженера Тарасова, Туполев вскочил, опрокинув стулья. «Я этого сукина сына навек в рядовых инженерах сгною, он у меня забудет, как самолеты проектируются», - в ярости кричал Андрей Николаевич. Немедленно по</w:t>
      </w:r>
      <w:r w:rsidRPr="007122AB">
        <w:rPr>
          <w:rFonts w:ascii="Times New Roman" w:hAnsi="Times New Roman"/>
          <w:color w:val="000000" w:themeColor="text1"/>
          <w:sz w:val="16"/>
          <w:szCs w:val="16"/>
        </w:rPr>
        <w:softHyphen/>
        <w:t xml:space="preserve">следовал приказ о смещении </w:t>
      </w:r>
      <w:proofErr w:type="spellStart"/>
      <w:r w:rsidRPr="007122AB">
        <w:rPr>
          <w:rFonts w:ascii="Times New Roman" w:hAnsi="Times New Roman"/>
          <w:color w:val="000000" w:themeColor="text1"/>
          <w:sz w:val="16"/>
          <w:szCs w:val="16"/>
        </w:rPr>
        <w:t>Н.Н.Поликарпова</w:t>
      </w:r>
      <w:proofErr w:type="spellEnd"/>
      <w:r w:rsidRPr="007122AB">
        <w:rPr>
          <w:rFonts w:ascii="Times New Roman" w:hAnsi="Times New Roman"/>
          <w:color w:val="000000" w:themeColor="text1"/>
          <w:sz w:val="16"/>
          <w:szCs w:val="16"/>
        </w:rPr>
        <w:t xml:space="preserve"> с долж</w:t>
      </w:r>
      <w:r w:rsidRPr="007122AB">
        <w:rPr>
          <w:rFonts w:ascii="Times New Roman" w:hAnsi="Times New Roman"/>
          <w:color w:val="000000" w:themeColor="text1"/>
          <w:sz w:val="16"/>
          <w:szCs w:val="16"/>
        </w:rPr>
        <w:softHyphen/>
        <w:t>ности начальника бригады № 3. Ему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(10667).</w:t>
      </w:r>
    </w:p>
    <w:p w14:paraId="1FF263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345FE1"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1931 г. на совещании в кабинете Туполева на</w:t>
      </w:r>
      <w:r w:rsidRPr="00441F34">
        <w:rPr>
          <w:rFonts w:ascii="Times New Roman" w:hAnsi="Times New Roman"/>
          <w:color w:val="0070C0"/>
          <w:sz w:val="16"/>
          <w:szCs w:val="16"/>
        </w:rPr>
        <w:softHyphen/>
        <w:t>чавшийся было спокойным разговор по работам бригады №3, дошел до высшей точки кипения. Туполев вы</w:t>
      </w:r>
      <w:r w:rsidRPr="00441F34">
        <w:rPr>
          <w:rFonts w:ascii="Times New Roman" w:hAnsi="Times New Roman"/>
          <w:color w:val="0070C0"/>
          <w:sz w:val="16"/>
          <w:szCs w:val="16"/>
        </w:rPr>
        <w:softHyphen/>
        <w:t>разил свое мнение, что задание на истребитель И-13 бригада №3 смогла бы быстро выполнить, взяв за основу спроектированный ранее П.О. Сухим истребитель И-8 (АНТ-13), который проходил в то время испытания. Он считал, что требовалось лишь немного усилить его конструкцию и улучшить аэродинамику самолета, а потому дал указания о немедленном проведении этой работы.</w:t>
      </w:r>
    </w:p>
    <w:p w14:paraId="784F1D31"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w:t>
      </w:r>
    </w:p>
    <w:p w14:paraId="0E1FD492"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Самолюбивый Андрей Нико</w:t>
      </w:r>
      <w:r w:rsidRPr="00441F34">
        <w:rPr>
          <w:rFonts w:ascii="Times New Roman" w:hAnsi="Times New Roman"/>
          <w:color w:val="0070C0"/>
          <w:sz w:val="16"/>
          <w:szCs w:val="16"/>
        </w:rPr>
        <w:softHyphen/>
        <w:t>лаевич был буквально взбешен отказом Н.Н. Поликарпова. По воспоминаниям инженера Тара</w:t>
      </w:r>
      <w:r w:rsidRPr="00441F34">
        <w:rPr>
          <w:rFonts w:ascii="Times New Roman" w:hAnsi="Times New Roman"/>
          <w:color w:val="0070C0"/>
          <w:sz w:val="16"/>
          <w:szCs w:val="16"/>
        </w:rPr>
        <w:softHyphen/>
        <w:t>сова, Туполев вскочил, опрокинув стулья. «Я этого (мат) сукина сына навек в рядовых инженерах сгною, он у меня забудет, как самолеты проектируются», - в ярости кричал Андрей Николаевич. Немедленно последовал приказ о смещении Н.Н. Поликарпова с должности начальника бригады №3. Его перевели в рядовые инженеры и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Нес</w:t>
      </w:r>
      <w:r w:rsidRPr="00441F34">
        <w:rPr>
          <w:rFonts w:ascii="Times New Roman" w:hAnsi="Times New Roman"/>
          <w:color w:val="0070C0"/>
          <w:sz w:val="16"/>
          <w:szCs w:val="16"/>
        </w:rPr>
        <w:softHyphen/>
        <w:t>праведливо. Обидно...</w:t>
      </w:r>
    </w:p>
    <w:p w14:paraId="762A8A93"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написанных Поликарповым заметках несколькими скупыми словами дана его оценка произо</w:t>
      </w:r>
      <w:r w:rsidRPr="00441F34">
        <w:rPr>
          <w:rFonts w:ascii="Times New Roman" w:hAnsi="Times New Roman"/>
          <w:color w:val="0070C0"/>
          <w:sz w:val="16"/>
          <w:szCs w:val="16"/>
        </w:rPr>
        <w:softHyphen/>
        <w:t>шедшим событиям: «Мои разногла</w:t>
      </w:r>
      <w:r w:rsidRPr="00441F34">
        <w:rPr>
          <w:rFonts w:ascii="Times New Roman" w:hAnsi="Times New Roman"/>
          <w:color w:val="0070C0"/>
          <w:sz w:val="16"/>
          <w:szCs w:val="16"/>
        </w:rPr>
        <w:softHyphen/>
        <w:t xml:space="preserve">сия с Туполевым принципиальные, захват ЦАГИ, проверка проектов, проверка </w:t>
      </w:r>
      <w:proofErr w:type="spellStart"/>
      <w:r w:rsidRPr="00441F34">
        <w:rPr>
          <w:rFonts w:ascii="Times New Roman" w:hAnsi="Times New Roman"/>
          <w:color w:val="0070C0"/>
          <w:sz w:val="16"/>
          <w:szCs w:val="16"/>
        </w:rPr>
        <w:t>статиспытаний</w:t>
      </w:r>
      <w:proofErr w:type="spellEnd"/>
      <w:r w:rsidRPr="00441F34">
        <w:rPr>
          <w:rFonts w:ascii="Times New Roman" w:hAnsi="Times New Roman"/>
          <w:color w:val="0070C0"/>
          <w:sz w:val="16"/>
          <w:szCs w:val="16"/>
        </w:rPr>
        <w:t>, жесткий контроль и безответственность. Наше переселение в ЦАГИ «для оздо</w:t>
      </w:r>
      <w:r w:rsidRPr="00441F34">
        <w:rPr>
          <w:rFonts w:ascii="Times New Roman" w:hAnsi="Times New Roman"/>
          <w:color w:val="0070C0"/>
          <w:sz w:val="16"/>
          <w:szCs w:val="16"/>
        </w:rPr>
        <w:softHyphen/>
        <w:t>ровления». Перелом и гонения.</w:t>
      </w:r>
    </w:p>
    <w:p w14:paraId="591329AE"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Зажим в ЦАГИ: смещение в ноябре 1931 года, снятие программы (раз</w:t>
      </w:r>
      <w:r w:rsidRPr="00441F34">
        <w:rPr>
          <w:rFonts w:ascii="Times New Roman" w:hAnsi="Times New Roman"/>
          <w:color w:val="0070C0"/>
          <w:sz w:val="16"/>
          <w:szCs w:val="16"/>
        </w:rPr>
        <w:softHyphen/>
        <w:t>ведчики и истребители), вынужден</w:t>
      </w:r>
      <w:r w:rsidRPr="00441F34">
        <w:rPr>
          <w:rFonts w:ascii="Times New Roman" w:hAnsi="Times New Roman"/>
          <w:color w:val="0070C0"/>
          <w:sz w:val="16"/>
          <w:szCs w:val="16"/>
        </w:rPr>
        <w:softHyphen/>
        <w:t>ное безделье до июля 1932 года...».</w:t>
      </w:r>
    </w:p>
    <w:p w14:paraId="4F32D0DA"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Конечно же, Николай Николае</w:t>
      </w:r>
      <w:r w:rsidRPr="00441F34">
        <w:rPr>
          <w:rFonts w:ascii="Times New Roman" w:hAnsi="Times New Roman"/>
          <w:color w:val="0070C0"/>
          <w:sz w:val="16"/>
          <w:szCs w:val="16"/>
        </w:rPr>
        <w:softHyphen/>
        <w:t>вич не сидел, сложа руки, однако отрыв от любимого дела он воспри</w:t>
      </w:r>
      <w:r w:rsidRPr="00441F34">
        <w:rPr>
          <w:rFonts w:ascii="Times New Roman" w:hAnsi="Times New Roman"/>
          <w:color w:val="0070C0"/>
          <w:sz w:val="16"/>
          <w:szCs w:val="16"/>
        </w:rPr>
        <w:softHyphen/>
        <w:t>нимал очень тяжело.</w:t>
      </w:r>
    </w:p>
    <w:p w14:paraId="6B831076"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Вместо него бригаду возглавил инженер </w:t>
      </w:r>
      <w:proofErr w:type="spellStart"/>
      <w:r w:rsidRPr="00441F34">
        <w:rPr>
          <w:rFonts w:ascii="Times New Roman" w:hAnsi="Times New Roman"/>
          <w:color w:val="0070C0"/>
          <w:sz w:val="16"/>
          <w:szCs w:val="16"/>
        </w:rPr>
        <w:t>Бертош</w:t>
      </w:r>
      <w:proofErr w:type="spellEnd"/>
      <w:r w:rsidRPr="00441F34">
        <w:rPr>
          <w:rFonts w:ascii="Times New Roman" w:hAnsi="Times New Roman"/>
          <w:color w:val="0070C0"/>
          <w:sz w:val="16"/>
          <w:szCs w:val="16"/>
        </w:rPr>
        <w:t>, один из участни</w:t>
      </w:r>
      <w:r w:rsidRPr="00441F34">
        <w:rPr>
          <w:rFonts w:ascii="Times New Roman" w:hAnsi="Times New Roman"/>
          <w:color w:val="0070C0"/>
          <w:sz w:val="16"/>
          <w:szCs w:val="16"/>
        </w:rPr>
        <w:softHyphen/>
        <w:t>ков проектирования И-8, который взялся за разработку конструкции истребителя И-13 в соответствии с указаниями А.Н. Туполева (23406).</w:t>
      </w:r>
    </w:p>
    <w:p w14:paraId="1E1B73D5" w14:textId="77777777" w:rsidR="00D82FF1" w:rsidRPr="00441F34" w:rsidRDefault="00D82FF1" w:rsidP="00D82FF1">
      <w:pPr>
        <w:spacing w:after="0" w:line="240" w:lineRule="auto"/>
        <w:jc w:val="both"/>
        <w:rPr>
          <w:rFonts w:ascii="Times New Roman" w:hAnsi="Times New Roman"/>
          <w:color w:val="0070C0"/>
          <w:sz w:val="16"/>
          <w:szCs w:val="16"/>
        </w:rPr>
      </w:pPr>
    </w:p>
    <w:p w14:paraId="30EA00FD"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состоялся первый полет самолета Г-8.</w:t>
      </w:r>
    </w:p>
    <w:p w14:paraId="1C34B8E3"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1930 г. Грибовского переводят на должность начальника Московской школы летчиков. Эта школа, принадлежащая </w:t>
      </w:r>
      <w:proofErr w:type="spellStart"/>
      <w:r w:rsidRPr="007122AB">
        <w:rPr>
          <w:rFonts w:ascii="Times New Roman" w:hAnsi="Times New Roman"/>
          <w:color w:val="000000" w:themeColor="text1"/>
          <w:sz w:val="16"/>
          <w:szCs w:val="16"/>
        </w:rPr>
        <w:t>Осоавиахиму,поначалу</w:t>
      </w:r>
      <w:proofErr w:type="spellEnd"/>
      <w:r w:rsidRPr="007122AB">
        <w:rPr>
          <w:rFonts w:ascii="Times New Roman" w:hAnsi="Times New Roman"/>
          <w:color w:val="000000" w:themeColor="text1"/>
          <w:sz w:val="16"/>
          <w:szCs w:val="16"/>
        </w:rPr>
        <w:t xml:space="preserve"> располагалась на Центральном аэродроме им. Фрунзе, где ее существование к тому моменту уже ощутимо затруднялось соседством других, более «весомых» организаций. Поэтому вновь прибывший начальник свою деятельность начал с поисков нового места базирования.</w:t>
      </w:r>
    </w:p>
    <w:p w14:paraId="2DA5A12D"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пойме реки Москвы, у деревни Тушино он обнаружил с воздуха приличную площадку, на которую школу перевели в 1931 г. Впоследствии, здесь оборудовали хороший аэродром и образовали Центральный аэроклуб Осоавиахима, которые стали центром спортивной авиации СССР.</w:t>
      </w:r>
    </w:p>
    <w:p w14:paraId="4625047A"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должности начальника школы Грибовский находился до середины 1932 г., по-прежнему не прекращая своей конструкторской деятельности. Здесь он спроектировал и построил легкий спортивный самолет Г-8.</w:t>
      </w:r>
    </w:p>
    <w:p w14:paraId="1529A0F4"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791061F1"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Крыло </w:t>
      </w:r>
      <w:proofErr w:type="spellStart"/>
      <w:r w:rsidRPr="007122AB">
        <w:rPr>
          <w:rFonts w:ascii="Times New Roman" w:hAnsi="Times New Roman"/>
          <w:color w:val="000000" w:themeColor="text1"/>
          <w:sz w:val="16"/>
          <w:szCs w:val="16"/>
        </w:rPr>
        <w:t>двухлонжеронное</w:t>
      </w:r>
      <w:proofErr w:type="spellEnd"/>
      <w:r w:rsidRPr="007122AB">
        <w:rPr>
          <w:rFonts w:ascii="Times New Roman" w:hAnsi="Times New Roman"/>
          <w:color w:val="000000" w:themeColor="text1"/>
          <w:sz w:val="16"/>
          <w:szCs w:val="16"/>
        </w:rPr>
        <w:t>, обшивка лобовой части из фанеры, вся остальная поверхность обтянута полотном. Хвостовое оперение деревянное с полотняной обшивкой.</w:t>
      </w:r>
    </w:p>
    <w:p w14:paraId="048A4853"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Веретенообразный фюзеляж типа </w:t>
      </w:r>
      <w:proofErr w:type="spellStart"/>
      <w:r w:rsidRPr="007122AB">
        <w:rPr>
          <w:rFonts w:ascii="Times New Roman" w:hAnsi="Times New Roman"/>
          <w:color w:val="000000" w:themeColor="text1"/>
          <w:sz w:val="16"/>
          <w:szCs w:val="16"/>
        </w:rPr>
        <w:t>полумонокок</w:t>
      </w:r>
      <w:proofErr w:type="spellEnd"/>
      <w:r w:rsidRPr="007122AB">
        <w:rPr>
          <w:rFonts w:ascii="Times New Roman" w:hAnsi="Times New Roman"/>
          <w:color w:val="000000" w:themeColor="text1"/>
          <w:sz w:val="16"/>
          <w:szCs w:val="16"/>
        </w:rPr>
        <w:t>, обшит фанерой. Кабина открытая, с небольшим козырьком и обтекателем-</w:t>
      </w:r>
      <w:proofErr w:type="spellStart"/>
      <w:r w:rsidRPr="007122AB">
        <w:rPr>
          <w:rFonts w:ascii="Times New Roman" w:hAnsi="Times New Roman"/>
          <w:color w:val="000000" w:themeColor="text1"/>
          <w:sz w:val="16"/>
          <w:szCs w:val="16"/>
        </w:rPr>
        <w:t>заголовником</w:t>
      </w:r>
      <w:proofErr w:type="spellEnd"/>
      <w:r w:rsidRPr="007122AB">
        <w:rPr>
          <w:rFonts w:ascii="Times New Roman" w:hAnsi="Times New Roman"/>
          <w:color w:val="000000" w:themeColor="text1"/>
          <w:sz w:val="16"/>
          <w:szCs w:val="16"/>
        </w:rPr>
        <w:t>.</w:t>
      </w:r>
    </w:p>
    <w:p w14:paraId="48054FAD"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Двигатель «Вальтер» 60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пятицилиндровый, звездообразный, воздушного охлаждения.</w:t>
      </w:r>
    </w:p>
    <w:p w14:paraId="0ECE6A2E" w14:textId="77777777" w:rsidR="0075269A" w:rsidRPr="007122AB" w:rsidRDefault="0075269A"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1932 г. самолет прошел весь цикл летных испытаний с положительной оценкой устойчивости и управляемости, после чего было решено испытать его в длительном перелете, назначенном на сентябрь.</w:t>
      </w:r>
    </w:p>
    <w:p w14:paraId="1FCC2162"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декабря 1931 г. опытный образец 203-мм мортиры «Ж» на НИАП после двух выстрелов мортира получила повреждения и была возвращена на завод для исправления, а затем вновь направлена на НИАП.</w:t>
      </w:r>
    </w:p>
    <w:p w14:paraId="752968B1"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Советскими конструкторами был успешно выполнен и пункт обеих артиллерийских программ по 203-мм корпусной мортире. Так, КБ завода «Красный Путиловец» (после переименованного в Кировский завод) начало проектирование 203-мм корпусной мортиры «Ж» еще в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Путиловец».[102]</w:t>
      </w:r>
    </w:p>
    <w:p w14:paraId="50A24210"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7BCD5213"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(12705).</w:t>
      </w:r>
    </w:p>
    <w:p w14:paraId="0ED2A32F" w14:textId="77777777" w:rsidR="0075269A" w:rsidRPr="007122AB" w:rsidRDefault="0075269A" w:rsidP="007122AB">
      <w:pPr>
        <w:spacing w:after="0" w:line="240" w:lineRule="auto"/>
        <w:jc w:val="both"/>
        <w:rPr>
          <w:rFonts w:ascii="Times New Roman" w:hAnsi="Times New Roman"/>
          <w:color w:val="000000" w:themeColor="text1"/>
          <w:sz w:val="16"/>
          <w:szCs w:val="16"/>
        </w:rPr>
      </w:pPr>
    </w:p>
    <w:p w14:paraId="41CAF45A" w14:textId="77777777" w:rsidR="00F82CCC" w:rsidRPr="007122AB" w:rsidRDefault="00F82CC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w:t>
      </w:r>
      <w:bookmarkStart w:id="41" w:name="YANDEX_2"/>
      <w:bookmarkEnd w:id="41"/>
      <w:r w:rsidRPr="007122AB">
        <w:rPr>
          <w:rStyle w:val="highlight"/>
          <w:rFonts w:ascii="Times New Roman" w:hAnsi="Times New Roman"/>
          <w:color w:val="000000" w:themeColor="text1"/>
          <w:sz w:val="16"/>
          <w:szCs w:val="16"/>
        </w:rPr>
        <w:t> ноябре </w:t>
      </w:r>
      <w:bookmarkStart w:id="42" w:name="YANDEX_3"/>
      <w:bookmarkEnd w:id="42"/>
      <w:r w:rsidRPr="007122AB">
        <w:rPr>
          <w:rStyle w:val="highlight"/>
          <w:rFonts w:ascii="Times New Roman" w:hAnsi="Times New Roman"/>
          <w:color w:val="000000" w:themeColor="text1"/>
          <w:sz w:val="16"/>
          <w:szCs w:val="16"/>
        </w:rPr>
        <w:t> 1931 </w:t>
      </w:r>
      <w:r w:rsidRPr="007122AB">
        <w:rPr>
          <w:rFonts w:ascii="Times New Roman" w:hAnsi="Times New Roman"/>
          <w:color w:val="000000" w:themeColor="text1"/>
          <w:sz w:val="16"/>
          <w:szCs w:val="16"/>
        </w:rPr>
        <w:t xml:space="preserve"> года началось строительство ТМЗ (как завода № 62) и уже 5 мая 1932 г. </w:t>
      </w:r>
      <w:bookmarkStart w:id="43" w:name="YANDEX_4"/>
      <w:bookmarkEnd w:id="43"/>
      <w:r w:rsidRPr="007122AB">
        <w:rPr>
          <w:rStyle w:val="highlight"/>
          <w:rFonts w:ascii="Times New Roman" w:hAnsi="Times New Roman"/>
          <w:color w:val="000000" w:themeColor="text1"/>
          <w:sz w:val="16"/>
          <w:szCs w:val="16"/>
        </w:rPr>
        <w:t> завод </w:t>
      </w:r>
      <w:bookmarkStart w:id="44" w:name="YANDEX_LAST"/>
      <w:bookmarkEnd w:id="44"/>
      <w:r w:rsidRPr="007122AB">
        <w:rPr>
          <w:rFonts w:ascii="Times New Roman" w:hAnsi="Times New Roman"/>
          <w:color w:val="000000" w:themeColor="text1"/>
          <w:sz w:val="16"/>
          <w:szCs w:val="16"/>
        </w:rPr>
        <w:t xml:space="preserve"> вступил в строй, а с июня 1933-го был начат серийный выпуск самолетов СТАЛЬ-2 с двигателем М-26 в 300 л.с. (17245). В двенадцати километрах от Москвы, вблизи бывшего поселка Тушино появились первые строители. В то время на месте строительства было болото, поросшее кустарником, а на будущей улице Спортивная (ныне -Лодочная) шумел сосновый лес.</w:t>
      </w:r>
    </w:p>
    <w:p w14:paraId="220CF5F7" w14:textId="77777777" w:rsidR="00F82CCC" w:rsidRPr="007122AB" w:rsidRDefault="00F82CCC"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Строительство </w:t>
      </w:r>
      <w:r w:rsidRPr="007122AB">
        <w:rPr>
          <w:rStyle w:val="highlight"/>
          <w:rFonts w:ascii="Times New Roman" w:hAnsi="Times New Roman"/>
          <w:color w:val="000000" w:themeColor="text1"/>
          <w:sz w:val="16"/>
          <w:szCs w:val="16"/>
        </w:rPr>
        <w:t> завода </w:t>
      </w:r>
      <w:r w:rsidRPr="007122AB">
        <w:rPr>
          <w:rFonts w:ascii="Times New Roman" w:hAnsi="Times New Roman"/>
          <w:color w:val="000000" w:themeColor="text1"/>
          <w:sz w:val="16"/>
          <w:szCs w:val="16"/>
        </w:rPr>
        <w:t xml:space="preserve"> началось 11 января 1932 г. С 1932 г. на заводе начали работать </w:t>
      </w:r>
      <w:proofErr w:type="spellStart"/>
      <w:r w:rsidRPr="007122AB">
        <w:rPr>
          <w:rFonts w:ascii="Times New Roman" w:hAnsi="Times New Roman"/>
          <w:color w:val="000000" w:themeColor="text1"/>
          <w:sz w:val="16"/>
          <w:szCs w:val="16"/>
        </w:rPr>
        <w:t>Е.Г.Глебов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И.В.Азаров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В.И.Батов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А.Ф.Александрова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А.В.Колпикова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А.С.Олейник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АА.Павлова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А.В.Сибиркина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Л.Д.Шевченко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И.Л.Чинников</w:t>
      </w:r>
      <w:proofErr w:type="spellEnd"/>
      <w:r w:rsidRPr="007122AB">
        <w:rPr>
          <w:rFonts w:ascii="Times New Roman" w:hAnsi="Times New Roman"/>
          <w:color w:val="000000" w:themeColor="text1"/>
          <w:sz w:val="16"/>
          <w:szCs w:val="16"/>
        </w:rPr>
        <w:t xml:space="preserve">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w:t>
      </w:r>
      <w:proofErr w:type="spellStart"/>
      <w:r w:rsidRPr="007122AB">
        <w:rPr>
          <w:rFonts w:ascii="Times New Roman" w:hAnsi="Times New Roman"/>
          <w:color w:val="000000" w:themeColor="text1"/>
          <w:sz w:val="16"/>
          <w:szCs w:val="16"/>
        </w:rPr>
        <w:t>В.В.Горошкин</w:t>
      </w:r>
      <w:proofErr w:type="spellEnd"/>
      <w:r w:rsidRPr="007122AB">
        <w:rPr>
          <w:rFonts w:ascii="Times New Roman" w:hAnsi="Times New Roman"/>
          <w:color w:val="000000" w:themeColor="text1"/>
          <w:sz w:val="16"/>
          <w:szCs w:val="16"/>
        </w:rPr>
        <w:t xml:space="preserve">, секретарем комитета комсомола - </w:t>
      </w:r>
      <w:proofErr w:type="spellStart"/>
      <w:r w:rsidRPr="007122AB">
        <w:rPr>
          <w:rFonts w:ascii="Times New Roman" w:hAnsi="Times New Roman"/>
          <w:color w:val="000000" w:themeColor="text1"/>
          <w:sz w:val="16"/>
          <w:szCs w:val="16"/>
        </w:rPr>
        <w:t>И.В.Дорошенко</w:t>
      </w:r>
      <w:proofErr w:type="spellEnd"/>
      <w:r w:rsidRPr="007122AB">
        <w:rPr>
          <w:rFonts w:ascii="Times New Roman" w:hAnsi="Times New Roman"/>
          <w:color w:val="000000" w:themeColor="text1"/>
          <w:sz w:val="16"/>
          <w:szCs w:val="16"/>
        </w:rPr>
        <w:t xml:space="preserve"> (17246).</w:t>
      </w:r>
    </w:p>
    <w:p w14:paraId="6644D354" w14:textId="77777777" w:rsidR="00F82CCC" w:rsidRPr="007122AB" w:rsidRDefault="00F82CCC" w:rsidP="007122AB">
      <w:pPr>
        <w:autoSpaceDE w:val="0"/>
        <w:autoSpaceDN w:val="0"/>
        <w:adjustRightInd w:val="0"/>
        <w:spacing w:after="0" w:line="240" w:lineRule="auto"/>
        <w:jc w:val="both"/>
        <w:rPr>
          <w:rFonts w:ascii="Times New Roman" w:hAnsi="Times New Roman"/>
          <w:color w:val="000000" w:themeColor="text1"/>
          <w:sz w:val="16"/>
          <w:szCs w:val="16"/>
        </w:rPr>
      </w:pPr>
    </w:p>
    <w:p w14:paraId="796C2C1B" w14:textId="77777777" w:rsidR="0096546D" w:rsidRPr="007122AB" w:rsidRDefault="0096546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ноябре 1931 г. Центральный совет Осоавиахима объявил конкурс на лучший проект легкомоторного самолёта. Самая большая премия (25 тыс. рублей) предусматривалась для самолёта из электрона. Среди участников конкурса был начинающий авиаконструктор Сергей Павлович Королёв. Он разработал двухместный </w:t>
      </w:r>
      <w:proofErr w:type="spellStart"/>
      <w:r w:rsidRPr="007122AB">
        <w:rPr>
          <w:rFonts w:ascii="Times New Roman" w:eastAsia="Times New Roman" w:hAnsi="Times New Roman"/>
          <w:color w:val="000000" w:themeColor="text1"/>
          <w:sz w:val="16"/>
          <w:szCs w:val="16"/>
          <w:lang w:eastAsia="ru-RU"/>
        </w:rPr>
        <w:t>безфюзеляжный</w:t>
      </w:r>
      <w:proofErr w:type="spellEnd"/>
      <w:r w:rsidRPr="007122AB">
        <w:rPr>
          <w:rFonts w:ascii="Times New Roman" w:eastAsia="Times New Roman" w:hAnsi="Times New Roman"/>
          <w:color w:val="000000" w:themeColor="text1"/>
          <w:sz w:val="16"/>
          <w:szCs w:val="16"/>
          <w:lang w:eastAsia="ru-RU"/>
        </w:rPr>
        <w:t xml:space="preserve"> самолёт «Электрон-1» с двухбалочным хвостовым оперением, а также построил аналогичный по схеме планер СК-6 с применением электрона. Но вскоре Королёв коренным образом переработал проект. Новый самолёт «Высокий путь» обычной схемы с мотором М-11 должен был иметь складывающееся на земле крыло. Основным конструкционным материалом по-прежнему оставался сплав электрон, но обшивку крыла и оперения планировалось сделать полотняной.</w:t>
      </w:r>
    </w:p>
    <w:p w14:paraId="45E50BE8" w14:textId="77777777" w:rsidR="0096546D" w:rsidRPr="007122AB" w:rsidRDefault="0096546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октябре 1932 г. были подведены итоги конкурса. «6-ю тысячами рублей премирован инженер Королёв С.П. — автор проекта лёгкого электронного (клёпаного) самолёта», — отмечалось в решении жюри </w:t>
      </w:r>
      <w:hyperlink r:id="rId206" w:history="1">
        <w:r w:rsidRPr="007122AB">
          <w:rPr>
            <w:rFonts w:ascii="Times New Roman" w:eastAsia="Times New Roman" w:hAnsi="Times New Roman"/>
            <w:color w:val="000000" w:themeColor="text1"/>
            <w:sz w:val="16"/>
            <w:szCs w:val="16"/>
            <w:lang w:eastAsia="ru-RU"/>
          </w:rPr>
          <w:t>[144]</w:t>
        </w:r>
      </w:hyperlink>
      <w:r w:rsidRPr="007122AB">
        <w:rPr>
          <w:rFonts w:ascii="Times New Roman" w:eastAsia="Times New Roman" w:hAnsi="Times New Roman"/>
          <w:color w:val="000000" w:themeColor="text1"/>
          <w:sz w:val="16"/>
          <w:szCs w:val="16"/>
          <w:lang w:eastAsia="ru-RU"/>
        </w:rPr>
        <w:t xml:space="preserve"> .</w:t>
      </w:r>
    </w:p>
    <w:p w14:paraId="7F06A61C" w14:textId="77777777" w:rsidR="0096546D" w:rsidRPr="007122AB" w:rsidRDefault="0096546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Королёв был убежден в перспективности магниевого сплава. В рукописи «Лёгкий электронный самолёт „Высокий путь“» (1932 г.) он писал: «Количество сырья в СССР для производства „электрона“ огромно; целый ряд заводов освоил выпуск этого сплава, и тем самым могут быть обеспечены постройка и ремонт „электронных“ самолётов; опасность коррозии „электрона“, его воспламеняемость и прочее следует считать сильно преувеличенными и не представляющими на сегодняшний день особой опасности для опытного самолётостроения, а в самом ближайшем будущем — и для значительных серий» </w:t>
      </w:r>
      <w:hyperlink r:id="rId207" w:history="1">
        <w:r w:rsidRPr="007122AB">
          <w:rPr>
            <w:rFonts w:ascii="Times New Roman" w:eastAsia="Times New Roman" w:hAnsi="Times New Roman"/>
            <w:color w:val="000000" w:themeColor="text1"/>
            <w:sz w:val="16"/>
            <w:szCs w:val="16"/>
            <w:lang w:eastAsia="ru-RU"/>
          </w:rPr>
          <w:t>[145]</w:t>
        </w:r>
      </w:hyperlink>
      <w:r w:rsidRPr="007122AB">
        <w:rPr>
          <w:rFonts w:ascii="Times New Roman" w:eastAsia="Times New Roman" w:hAnsi="Times New Roman"/>
          <w:color w:val="000000" w:themeColor="text1"/>
          <w:sz w:val="16"/>
          <w:szCs w:val="16"/>
          <w:lang w:eastAsia="ru-RU"/>
        </w:rPr>
        <w:t xml:space="preserve"> (17489).</w:t>
      </w:r>
    </w:p>
    <w:p w14:paraId="3D1F706A" w14:textId="77777777" w:rsidR="0096546D" w:rsidRPr="007122AB" w:rsidRDefault="0096546D" w:rsidP="007122AB">
      <w:pPr>
        <w:spacing w:after="0" w:line="240" w:lineRule="auto"/>
        <w:jc w:val="both"/>
        <w:rPr>
          <w:rFonts w:ascii="Times New Roman" w:eastAsia="Times New Roman" w:hAnsi="Times New Roman"/>
          <w:color w:val="000000" w:themeColor="text1"/>
          <w:sz w:val="16"/>
          <w:szCs w:val="16"/>
          <w:lang w:eastAsia="ru-RU"/>
        </w:rPr>
      </w:pPr>
    </w:p>
    <w:p w14:paraId="01356940"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1931 года научно</w:t>
      </w:r>
      <w:r w:rsidRPr="00441F34">
        <w:rPr>
          <w:rFonts w:ascii="Times New Roman" w:hAnsi="Times New Roman"/>
          <w:color w:val="0070C0"/>
          <w:sz w:val="16"/>
          <w:szCs w:val="16"/>
        </w:rPr>
        <w:noBreakHyphen/>
        <w:t>исследовательский сектор центрального совета Осоавиахима объявил конкурс на разработку легкомоторного самолета. Первая премия этого конкурса, составлявшая 25 тысяч рублей, предназначалась автору лучшего проекта стандартного легкомоторного самолета, изготавливаемого из «электрона». Так назывался новейший по тем временам, исключительно легкий сплав на основе магния, который одновременно отличался чрезвычайными трудностями в обработке. За лучший конкурсный проект легкомоторного самолета из стали полагалась премия 20 тысяч рублей. Предусматривались, кроме того, и премии за частичное выполнение требований конкурса – в виде проекта в чертежах или в натуре, за проекты отдельных узлов самолета, глубокую проработку его компоновочной схемы. Условиями конкурса предусматривалось также изготовление макетов спроектированных самолетов.</w:t>
      </w:r>
    </w:p>
    <w:p w14:paraId="79137438"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Последним днем приема материалов на конкурс было объявлено 31 января 1932 года. Правда, в дальнейшем этот крайне жесткий срок был продлен до июня 1932 года. (24213).</w:t>
      </w:r>
    </w:p>
    <w:p w14:paraId="7A5E7C7B" w14:textId="77777777" w:rsidR="00D82FF1" w:rsidRPr="00441F34" w:rsidRDefault="00D82FF1" w:rsidP="00D82FF1">
      <w:pPr>
        <w:spacing w:after="0" w:line="240" w:lineRule="auto"/>
        <w:jc w:val="both"/>
        <w:rPr>
          <w:rFonts w:ascii="Times New Roman" w:hAnsi="Times New Roman"/>
          <w:color w:val="0070C0"/>
          <w:sz w:val="16"/>
          <w:szCs w:val="16"/>
        </w:rPr>
      </w:pPr>
    </w:p>
    <w:p w14:paraId="7A2870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С.П.К. опубликовал дополненный и переработанный вариант анализа планера БИЧ-8 (журн. "Самолет". 1931. № 11/12) (10676).</w:t>
      </w:r>
    </w:p>
    <w:p w14:paraId="7C66DD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43D6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начались летные испытания автожи</w:t>
      </w:r>
      <w:r w:rsidRPr="007122AB">
        <w:rPr>
          <w:rFonts w:ascii="Times New Roman" w:hAnsi="Times New Roman"/>
          <w:color w:val="000000" w:themeColor="text1"/>
          <w:sz w:val="16"/>
          <w:szCs w:val="16"/>
        </w:rPr>
        <w:softHyphen/>
        <w:t>ра 2-ЭА, также созданного под руководством Черемухина (10224,30).</w:t>
      </w:r>
    </w:p>
    <w:p w14:paraId="727DEB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C805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автожир 2-ЭА поднялся в воздух и летал </w:t>
      </w:r>
      <w:proofErr w:type="spellStart"/>
      <w:r w:rsidRPr="007122AB">
        <w:rPr>
          <w:rFonts w:ascii="Times New Roman" w:hAnsi="Times New Roman"/>
          <w:color w:val="000000" w:themeColor="text1"/>
          <w:sz w:val="16"/>
          <w:szCs w:val="16"/>
        </w:rPr>
        <w:t>С.А.Корзинщиков</w:t>
      </w:r>
      <w:proofErr w:type="spellEnd"/>
      <w:r w:rsidRPr="007122AB">
        <w:rPr>
          <w:rFonts w:ascii="Times New Roman" w:hAnsi="Times New Roman"/>
          <w:color w:val="000000" w:themeColor="text1"/>
          <w:sz w:val="16"/>
          <w:szCs w:val="16"/>
        </w:rPr>
        <w:t xml:space="preserve"> (2666,93).</w:t>
      </w:r>
    </w:p>
    <w:p w14:paraId="0B7C40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FF27C6" w14:textId="77777777" w:rsidR="000306D2" w:rsidRPr="007122AB" w:rsidRDefault="000306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ноября 1931 г. Камов является начальником конструкторской бригады № 2 СОК ЦАГИ и первоначально предполагает дальнейшее совер</w:t>
      </w:r>
      <w:r w:rsidRPr="007122AB">
        <w:rPr>
          <w:rFonts w:ascii="Times New Roman" w:hAnsi="Times New Roman"/>
          <w:color w:val="000000" w:themeColor="text1"/>
          <w:sz w:val="16"/>
          <w:szCs w:val="16"/>
        </w:rPr>
        <w:softHyphen/>
        <w:t>шенствование автожира под обозначением КАСКР-4. В дальнейшем на основе этого проекта появился автожир А- 7, предназначенный для использования в качестве артил</w:t>
      </w:r>
      <w:r w:rsidRPr="007122AB">
        <w:rPr>
          <w:rFonts w:ascii="Times New Roman" w:hAnsi="Times New Roman"/>
          <w:color w:val="000000" w:themeColor="text1"/>
          <w:sz w:val="16"/>
          <w:szCs w:val="16"/>
        </w:rPr>
        <w:softHyphen/>
        <w:t>лерийского корректировщика.</w:t>
      </w:r>
    </w:p>
    <w:p w14:paraId="44A5B364" w14:textId="77777777" w:rsidR="000306D2" w:rsidRPr="007122AB" w:rsidRDefault="000306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не только будущий А-7 занимал голову конструк</w:t>
      </w:r>
      <w:r w:rsidRPr="007122AB">
        <w:rPr>
          <w:rFonts w:ascii="Times New Roman" w:hAnsi="Times New Roman"/>
          <w:color w:val="000000" w:themeColor="text1"/>
          <w:sz w:val="16"/>
          <w:szCs w:val="16"/>
        </w:rPr>
        <w:softHyphen/>
        <w:t xml:space="preserve">тора Камова, он буквально генерировал идеи, связанные с автожирами. Одним из первых он предложил сбрасывать торпеды с самолетов при помощи складных </w:t>
      </w:r>
      <w:proofErr w:type="spellStart"/>
      <w:r w:rsidRPr="007122AB">
        <w:rPr>
          <w:rFonts w:ascii="Times New Roman" w:hAnsi="Times New Roman"/>
          <w:color w:val="000000" w:themeColor="text1"/>
          <w:sz w:val="16"/>
          <w:szCs w:val="16"/>
        </w:rPr>
        <w:t>авторотиру</w:t>
      </w:r>
      <w:r w:rsidRPr="007122AB">
        <w:rPr>
          <w:rFonts w:ascii="Times New Roman" w:hAnsi="Times New Roman"/>
          <w:color w:val="000000" w:themeColor="text1"/>
          <w:sz w:val="16"/>
          <w:szCs w:val="16"/>
        </w:rPr>
        <w:softHyphen/>
        <w:t>ющих</w:t>
      </w:r>
      <w:proofErr w:type="spellEnd"/>
      <w:r w:rsidRPr="007122AB">
        <w:rPr>
          <w:rFonts w:ascii="Times New Roman" w:hAnsi="Times New Roman"/>
          <w:color w:val="000000" w:themeColor="text1"/>
          <w:sz w:val="16"/>
          <w:szCs w:val="16"/>
        </w:rPr>
        <w:t xml:space="preserve"> устройств (высотная торпеда Камова - ВТК). После сброса торпеды лопасти ротора переводились из транс</w:t>
      </w:r>
      <w:r w:rsidRPr="007122AB">
        <w:rPr>
          <w:rFonts w:ascii="Times New Roman" w:hAnsi="Times New Roman"/>
          <w:color w:val="000000" w:themeColor="text1"/>
          <w:sz w:val="16"/>
          <w:szCs w:val="16"/>
        </w:rPr>
        <w:softHyphen/>
        <w:t>портного положения в рабочее и раскручивались порохо</w:t>
      </w:r>
      <w:r w:rsidRPr="007122AB">
        <w:rPr>
          <w:rFonts w:ascii="Times New Roman" w:hAnsi="Times New Roman"/>
          <w:color w:val="000000" w:themeColor="text1"/>
          <w:sz w:val="16"/>
          <w:szCs w:val="16"/>
        </w:rPr>
        <w:softHyphen/>
        <w:t>выми ракетами, установленными на их концах. В 1933 г. в ЦАГИ провели испытания моделей таких торпед, которые показали безотказное раскрытие лопастей и раскручива</w:t>
      </w:r>
      <w:r w:rsidRPr="007122AB">
        <w:rPr>
          <w:rFonts w:ascii="Times New Roman" w:hAnsi="Times New Roman"/>
          <w:color w:val="000000" w:themeColor="text1"/>
          <w:sz w:val="16"/>
          <w:szCs w:val="16"/>
        </w:rPr>
        <w:softHyphen/>
        <w:t>ние ротора до полных оборотов. Признавалось, что про</w:t>
      </w:r>
      <w:r w:rsidRPr="007122AB">
        <w:rPr>
          <w:rFonts w:ascii="Times New Roman" w:hAnsi="Times New Roman"/>
          <w:color w:val="000000" w:themeColor="text1"/>
          <w:sz w:val="16"/>
          <w:szCs w:val="16"/>
        </w:rPr>
        <w:softHyphen/>
        <w:t>екты Камова грамотны и своевременны, однако до прак</w:t>
      </w:r>
      <w:r w:rsidRPr="007122AB">
        <w:rPr>
          <w:rFonts w:ascii="Times New Roman" w:hAnsi="Times New Roman"/>
          <w:color w:val="000000" w:themeColor="text1"/>
          <w:sz w:val="16"/>
          <w:szCs w:val="16"/>
        </w:rPr>
        <w:softHyphen/>
        <w:t>тического использования они не доводились. (20361).</w:t>
      </w:r>
    </w:p>
    <w:p w14:paraId="23DFE2B7" w14:textId="77777777" w:rsidR="000306D2" w:rsidRPr="007122AB" w:rsidRDefault="000306D2" w:rsidP="007122AB">
      <w:pPr>
        <w:shd w:val="clear" w:color="auto" w:fill="FFFFFF"/>
        <w:spacing w:after="0" w:line="240" w:lineRule="auto"/>
        <w:jc w:val="both"/>
        <w:rPr>
          <w:rFonts w:ascii="Times New Roman" w:hAnsi="Times New Roman"/>
          <w:color w:val="000000" w:themeColor="text1"/>
          <w:sz w:val="16"/>
          <w:szCs w:val="16"/>
        </w:rPr>
      </w:pPr>
    </w:p>
    <w:p w14:paraId="38D5B3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закончились испытания М-34 (80,72). Это были 100 час. испытания (2310,130).</w:t>
      </w:r>
    </w:p>
    <w:p w14:paraId="7959D8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100 часовые испытания закончились в конце 1931.</w:t>
      </w:r>
    </w:p>
    <w:p w14:paraId="06DA11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DE6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М-34 прошел государственные испытания с импортными карбюраторами и магнето, а в следующем году - с отечественными агрегатами (7668).</w:t>
      </w:r>
    </w:p>
    <w:p w14:paraId="4CEC48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B90A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двигатель М-34 прошел Государственные испытания. М-34 являлся в значительной степени развитием М-17, его выпуск в 1932 году начал осваивать моторный завод №24 в Москве. Первые два серийных новых двигателя летом того же года были установлены на разведчики Р-5. Хотя целью данной установки являлась доводка и совершенствование двигателей, предполагалось, что в ближайшем будущем эти мощные моторы займут место М-17 и на серийных Р-5. В жизни этого, однако, не произошло. М-34 был признан предпочтительным для установки на тяжелые бомбардировщики ТБ-3 и с 1933 года действительно стал в первую очередь поставляться заводом-изготовителем на эти «летающие крепости» (5016).</w:t>
      </w:r>
    </w:p>
    <w:p w14:paraId="18E4C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BE79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ноября 1931 г. после наработки на стенде 38 ч велись государственные испыта</w:t>
      </w:r>
      <w:r w:rsidRPr="007122AB">
        <w:rPr>
          <w:rFonts w:ascii="Times New Roman" w:hAnsi="Times New Roman"/>
          <w:color w:val="000000" w:themeColor="text1"/>
          <w:sz w:val="16"/>
          <w:szCs w:val="16"/>
        </w:rPr>
        <w:softHyphen/>
        <w:t xml:space="preserve">ния М-34.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w:t>
      </w:r>
      <w:r w:rsidRPr="007122AB">
        <w:rPr>
          <w:rFonts w:ascii="Times New Roman" w:hAnsi="Times New Roman"/>
          <w:color w:val="000000" w:themeColor="text1"/>
          <w:sz w:val="16"/>
          <w:szCs w:val="16"/>
        </w:rPr>
        <w:lastRenderedPageBreak/>
        <w:t>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7122AB">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7122AB">
        <w:rPr>
          <w:rFonts w:ascii="Times New Roman" w:hAnsi="Times New Roman"/>
          <w:color w:val="000000" w:themeColor="text1"/>
          <w:sz w:val="16"/>
          <w:szCs w:val="16"/>
        </w:rPr>
        <w:softHyphen/>
        <w:t>кратно пытались восстановить вплоть до 1946 г., но этому мешала боль</w:t>
      </w:r>
      <w:r w:rsidRPr="007122AB">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7122AB">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7122AB">
        <w:rPr>
          <w:rFonts w:ascii="Times New Roman" w:hAnsi="Times New Roman"/>
          <w:color w:val="000000" w:themeColor="text1"/>
          <w:sz w:val="16"/>
          <w:szCs w:val="16"/>
        </w:rPr>
        <w:softHyphen/>
        <w:t>катерах.</w:t>
      </w:r>
    </w:p>
    <w:p w14:paraId="183A2A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0A84FFF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12-цилиндровый, рядный У-образный, четырехтактный, водяного охлаждения;</w:t>
      </w:r>
    </w:p>
    <w:p w14:paraId="2B5BEED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w:t>
      </w:r>
    </w:p>
    <w:p w14:paraId="00E64E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 (у всех массовых модификаций);</w:t>
      </w:r>
    </w:p>
    <w:p w14:paraId="1E54C4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4F6741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полный рабочий объем у ранних модификаций 45,82 л, начиная с</w:t>
      </w:r>
    </w:p>
    <w:p w14:paraId="6DCFC2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ФРН — 46,66 л. М-34 выпускался в следующих модификациях:</w:t>
      </w:r>
    </w:p>
    <w:p w14:paraId="566D1B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 первая серийная модификация двигателя, </w:t>
      </w:r>
      <w:proofErr w:type="spellStart"/>
      <w:r w:rsidRPr="007122AB">
        <w:rPr>
          <w:rFonts w:ascii="Times New Roman" w:hAnsi="Times New Roman"/>
          <w:color w:val="000000" w:themeColor="text1"/>
          <w:sz w:val="16"/>
          <w:szCs w:val="16"/>
        </w:rPr>
        <w:t>безредукторная</w:t>
      </w:r>
      <w:proofErr w:type="spellEnd"/>
      <w:r w:rsidRPr="007122AB">
        <w:rPr>
          <w:rFonts w:ascii="Times New Roman" w:hAnsi="Times New Roman"/>
          <w:color w:val="000000" w:themeColor="text1"/>
          <w:sz w:val="16"/>
          <w:szCs w:val="16"/>
        </w:rPr>
        <w:t>, 750/800 л.с., 608 кг. Первые серии комплектовались импортными карбюраторами «Зенит 90Р», далее отечественными К-34. Эта моди</w:t>
      </w:r>
      <w:r w:rsidRPr="007122AB">
        <w:rPr>
          <w:rFonts w:ascii="Times New Roman" w:hAnsi="Times New Roman"/>
          <w:color w:val="000000" w:themeColor="text1"/>
          <w:sz w:val="16"/>
          <w:szCs w:val="16"/>
        </w:rPr>
        <w:softHyphen/>
        <w:t>фикация выпускалась до конца 1939 г.</w:t>
      </w:r>
    </w:p>
    <w:p w14:paraId="32BCC8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0F615EE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 малая серия М-34 с форсированием по оборотам без вне</w:t>
      </w:r>
      <w:r w:rsidRPr="007122AB">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581A5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 редукторный вариант, вес 677 кг, 750/800 л.с. Опытный об</w:t>
      </w:r>
      <w:r w:rsidRPr="007122AB">
        <w:rPr>
          <w:rFonts w:ascii="Times New Roman" w:hAnsi="Times New Roman"/>
          <w:color w:val="000000" w:themeColor="text1"/>
          <w:sz w:val="16"/>
          <w:szCs w:val="16"/>
        </w:rPr>
        <w:softHyphen/>
        <w:t>разец сделали в ноябре 1932 г. Государственные испытания успешно</w:t>
      </w:r>
    </w:p>
    <w:p w14:paraId="79B4D9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2A11DA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М-34РД (он же М-34РСп), двигатель типа М-34Р специального за</w:t>
      </w:r>
      <w:r w:rsidRPr="007122AB">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7122AB">
        <w:rPr>
          <w:rFonts w:ascii="Times New Roman" w:hAnsi="Times New Roman"/>
          <w:color w:val="000000" w:themeColor="text1"/>
          <w:sz w:val="16"/>
          <w:szCs w:val="16"/>
        </w:rPr>
        <w:softHyphen/>
        <w:t>ляными и водяными насосами, распредвалами, конструкцией хво</w:t>
      </w:r>
      <w:r w:rsidRPr="007122AB">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7122AB">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7122AB">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7122AB">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7122AB">
        <w:rPr>
          <w:rFonts w:ascii="Times New Roman" w:hAnsi="Times New Roman"/>
          <w:color w:val="000000" w:themeColor="text1"/>
          <w:sz w:val="16"/>
          <w:szCs w:val="16"/>
        </w:rPr>
        <w:softHyphen/>
        <w:t>дарств.</w:t>
      </w:r>
    </w:p>
    <w:p w14:paraId="09F9A0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М-34Н,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 xml:space="preserve">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7122AB">
        <w:rPr>
          <w:rFonts w:ascii="Times New Roman" w:hAnsi="Times New Roman"/>
          <w:color w:val="000000" w:themeColor="text1"/>
          <w:sz w:val="16"/>
          <w:szCs w:val="16"/>
        </w:rPr>
        <w:softHyphen/>
        <w:t>рованный П.И. Орловым, А.А. Микулиным и А.Н. Данилевским, ока</w:t>
      </w:r>
      <w:r w:rsidRPr="007122AB">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7122AB">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и «Фарман» о проектировании нового ПЦН для М-34Н. Пытались также приобрести нагнетатели «</w:t>
      </w:r>
      <w:proofErr w:type="spellStart"/>
      <w:r w:rsidRPr="007122AB">
        <w:rPr>
          <w:rFonts w:ascii="Times New Roman" w:hAnsi="Times New Roman"/>
          <w:color w:val="000000" w:themeColor="text1"/>
          <w:sz w:val="16"/>
          <w:szCs w:val="16"/>
        </w:rPr>
        <w:t>Рато</w:t>
      </w:r>
      <w:proofErr w:type="spellEnd"/>
      <w:r w:rsidRPr="007122AB">
        <w:rPr>
          <w:rFonts w:ascii="Times New Roman" w:hAnsi="Times New Roman"/>
          <w:color w:val="000000" w:themeColor="text1"/>
          <w:sz w:val="16"/>
          <w:szCs w:val="16"/>
        </w:rPr>
        <w:t>» (М-34РАТО).</w:t>
      </w:r>
    </w:p>
    <w:p w14:paraId="488F031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 с паротурбинным нагнетателем ПТК; нагнетатель ПТК спро</w:t>
      </w:r>
      <w:r w:rsidRPr="007122AB">
        <w:rPr>
          <w:rFonts w:ascii="Times New Roman" w:hAnsi="Times New Roman"/>
          <w:color w:val="000000" w:themeColor="text1"/>
          <w:sz w:val="16"/>
          <w:szCs w:val="16"/>
        </w:rPr>
        <w:softHyphen/>
        <w:t xml:space="preserve">ектирован в ХАЙ в 1938 г., доводился в Центральном </w:t>
      </w:r>
      <w:proofErr w:type="spellStart"/>
      <w:r w:rsidRPr="007122AB">
        <w:rPr>
          <w:rFonts w:ascii="Times New Roman" w:hAnsi="Times New Roman"/>
          <w:color w:val="000000" w:themeColor="text1"/>
          <w:sz w:val="16"/>
          <w:szCs w:val="16"/>
        </w:rPr>
        <w:t>котлотурбин</w:t>
      </w:r>
      <w:proofErr w:type="spellEnd"/>
      <w:r w:rsidRPr="007122AB">
        <w:rPr>
          <w:rFonts w:ascii="Times New Roman" w:hAnsi="Times New Roman"/>
          <w:color w:val="000000" w:themeColor="text1"/>
          <w:sz w:val="16"/>
          <w:szCs w:val="16"/>
        </w:rPr>
        <w:t>-ном институте с 1939 г., в 1940 г. двигатель проходил стендовые и летные испытания; серийно не выпускался.</w:t>
      </w:r>
    </w:p>
    <w:p w14:paraId="3176C3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М-34Н с нагнетателем</w:t>
      </w:r>
    </w:p>
    <w:p w14:paraId="3438E08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7122AB">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50A4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М-34РНА, редукторный с ПЦН, включал все мелкие усовер</w:t>
      </w:r>
      <w:r w:rsidRPr="007122AB">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768D205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7122AB">
        <w:rPr>
          <w:rFonts w:ascii="Times New Roman" w:hAnsi="Times New Roman"/>
          <w:color w:val="000000" w:themeColor="text1"/>
          <w:sz w:val="16"/>
          <w:szCs w:val="16"/>
        </w:rPr>
        <w:softHyphen/>
        <w:t>танным ПЦН, 750/820 л.с., вес 638 кг.</w:t>
      </w:r>
    </w:p>
    <w:p w14:paraId="1F1E4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7122AB">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7122AB">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7122AB">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7122AB">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7122AB">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7122AB">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7122AB">
        <w:rPr>
          <w:rFonts w:ascii="Times New Roman" w:hAnsi="Times New Roman"/>
          <w:color w:val="000000" w:themeColor="text1"/>
          <w:sz w:val="16"/>
          <w:szCs w:val="16"/>
        </w:rPr>
        <w:softHyphen/>
        <w:t xml:space="preserve">шанным охлаждением: гильзы — воздухом, головки — </w:t>
      </w:r>
      <w:proofErr w:type="spellStart"/>
      <w:r w:rsidRPr="007122AB">
        <w:rPr>
          <w:rFonts w:ascii="Times New Roman" w:hAnsi="Times New Roman"/>
          <w:color w:val="000000" w:themeColor="text1"/>
          <w:sz w:val="16"/>
          <w:szCs w:val="16"/>
        </w:rPr>
        <w:t>этиленглико-лем</w:t>
      </w:r>
      <w:proofErr w:type="spellEnd"/>
      <w:r w:rsidRPr="007122AB">
        <w:rPr>
          <w:rFonts w:ascii="Times New Roman" w:hAnsi="Times New Roman"/>
          <w:color w:val="000000" w:themeColor="text1"/>
          <w:sz w:val="16"/>
          <w:szCs w:val="16"/>
        </w:rPr>
        <w:t>. На испытаниях получена мощность 1050 л.с. М-34РСО, проект 1937 г., развитие преды</w:t>
      </w:r>
      <w:r w:rsidRPr="007122AB">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7122AB">
        <w:rPr>
          <w:rFonts w:ascii="Times New Roman" w:hAnsi="Times New Roman"/>
          <w:color w:val="000000" w:themeColor="text1"/>
          <w:sz w:val="16"/>
          <w:szCs w:val="16"/>
        </w:rPr>
        <w:softHyphen/>
        <w:t xml:space="preserve">ска создана С.А. </w:t>
      </w:r>
      <w:proofErr w:type="spellStart"/>
      <w:r w:rsidRPr="007122AB">
        <w:rPr>
          <w:rFonts w:ascii="Times New Roman" w:hAnsi="Times New Roman"/>
          <w:color w:val="000000" w:themeColor="text1"/>
          <w:sz w:val="16"/>
          <w:szCs w:val="16"/>
        </w:rPr>
        <w:t>Косбергом</w:t>
      </w:r>
      <w:proofErr w:type="spellEnd"/>
      <w:r w:rsidRPr="007122AB">
        <w:rPr>
          <w:rFonts w:ascii="Times New Roman" w:hAnsi="Times New Roman"/>
          <w:color w:val="000000" w:themeColor="text1"/>
          <w:sz w:val="16"/>
          <w:szCs w:val="16"/>
        </w:rPr>
        <w:t xml:space="preserve"> и Н.П. Сер-</w:t>
      </w:r>
      <w:proofErr w:type="spellStart"/>
      <w:r w:rsidRPr="007122AB">
        <w:rPr>
          <w:rFonts w:ascii="Times New Roman" w:hAnsi="Times New Roman"/>
          <w:color w:val="000000" w:themeColor="text1"/>
          <w:sz w:val="16"/>
          <w:szCs w:val="16"/>
        </w:rPr>
        <w:t>дюковым</w:t>
      </w:r>
      <w:proofErr w:type="spellEnd"/>
      <w:r w:rsidRPr="007122AB">
        <w:rPr>
          <w:rFonts w:ascii="Times New Roman" w:hAnsi="Times New Roman"/>
          <w:color w:val="000000" w:themeColor="text1"/>
          <w:sz w:val="16"/>
          <w:szCs w:val="16"/>
        </w:rPr>
        <w:t xml:space="preserve">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7122AB">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87E9C0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 для привода агрегата центрального наддува АЦН-1, сконструи</w:t>
      </w:r>
      <w:r w:rsidRPr="007122AB">
        <w:rPr>
          <w:rFonts w:ascii="Times New Roman" w:hAnsi="Times New Roman"/>
          <w:color w:val="000000" w:themeColor="text1"/>
          <w:sz w:val="16"/>
          <w:szCs w:val="16"/>
        </w:rPr>
        <w:softHyphen/>
        <w:t>рованного под руководством С.А. Трескина в 1935 г. Проходил лет</w:t>
      </w:r>
      <w:r w:rsidRPr="007122AB">
        <w:rPr>
          <w:rFonts w:ascii="Times New Roman" w:hAnsi="Times New Roman"/>
          <w:color w:val="000000" w:themeColor="text1"/>
          <w:sz w:val="16"/>
          <w:szCs w:val="16"/>
        </w:rPr>
        <w:softHyphen/>
        <w:t>ные испытания на ТБ-3.</w:t>
      </w:r>
    </w:p>
    <w:p w14:paraId="5C357EA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7122AB">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7122AB">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B47D3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М-34ФРНУ, проект форсированного до 900 л.с. М-34РН с удлинен</w:t>
      </w:r>
      <w:r w:rsidRPr="007122AB">
        <w:rPr>
          <w:rFonts w:ascii="Times New Roman" w:hAnsi="Times New Roman"/>
          <w:color w:val="000000" w:themeColor="text1"/>
          <w:sz w:val="16"/>
          <w:szCs w:val="16"/>
        </w:rPr>
        <w:softHyphen/>
        <w:t>ным валом, 1933 г.</w:t>
      </w:r>
    </w:p>
    <w:p w14:paraId="5D8A07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М-34ФРНА, массовая серия на базе типа ФРН с четырьмя карбюра</w:t>
      </w:r>
      <w:r w:rsidRPr="007122AB">
        <w:rPr>
          <w:rFonts w:ascii="Times New Roman" w:hAnsi="Times New Roman"/>
          <w:color w:val="000000" w:themeColor="text1"/>
          <w:sz w:val="16"/>
          <w:szCs w:val="16"/>
        </w:rPr>
        <w:softHyphen/>
        <w:t>торами.</w:t>
      </w:r>
    </w:p>
    <w:p w14:paraId="133E7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М-34ФРНБ, массовая серия на базе типа ФРН с шестью карбюрато</w:t>
      </w:r>
      <w:r w:rsidRPr="007122AB">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7122AB">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w:t>
      </w:r>
      <w:proofErr w:type="spellStart"/>
      <w:r w:rsidRPr="007122AB">
        <w:rPr>
          <w:rFonts w:ascii="Times New Roman" w:hAnsi="Times New Roman"/>
          <w:color w:val="000000" w:themeColor="text1"/>
          <w:sz w:val="16"/>
          <w:szCs w:val="16"/>
        </w:rPr>
        <w:t>Минк-нера</w:t>
      </w:r>
      <w:proofErr w:type="spellEnd"/>
      <w:r w:rsidRPr="007122AB">
        <w:rPr>
          <w:rFonts w:ascii="Times New Roman" w:hAnsi="Times New Roman"/>
          <w:color w:val="000000" w:themeColor="text1"/>
          <w:sz w:val="16"/>
          <w:szCs w:val="16"/>
        </w:rPr>
        <w:t xml:space="preserve">. АЦН-2 приводился в действие дополнительным мотором М-100 и обеспечивал наддув одновременно четырех М-34ФРНБ; </w:t>
      </w:r>
      <w:proofErr w:type="spellStart"/>
      <w:r w:rsidRPr="007122AB">
        <w:rPr>
          <w:rFonts w:ascii="Times New Roman" w:hAnsi="Times New Roman"/>
          <w:color w:val="000000" w:themeColor="text1"/>
          <w:sz w:val="16"/>
          <w:szCs w:val="16"/>
        </w:rPr>
        <w:t>мотоуста</w:t>
      </w:r>
      <w:r w:rsidRPr="007122AB">
        <w:rPr>
          <w:rFonts w:ascii="Times New Roman" w:hAnsi="Times New Roman"/>
          <w:color w:val="000000" w:themeColor="text1"/>
          <w:sz w:val="16"/>
          <w:szCs w:val="16"/>
        </w:rPr>
        <w:softHyphen/>
        <w:t>новка</w:t>
      </w:r>
      <w:proofErr w:type="spellEnd"/>
      <w:r w:rsidRPr="007122AB">
        <w:rPr>
          <w:rFonts w:ascii="Times New Roman" w:hAnsi="Times New Roman"/>
          <w:color w:val="000000" w:themeColor="text1"/>
          <w:sz w:val="16"/>
          <w:szCs w:val="16"/>
        </w:rPr>
        <w:t xml:space="preserve">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7122AB">
        <w:rPr>
          <w:rFonts w:ascii="Times New Roman" w:hAnsi="Times New Roman"/>
          <w:color w:val="000000" w:themeColor="text1"/>
          <w:sz w:val="16"/>
          <w:szCs w:val="16"/>
        </w:rPr>
        <w:softHyphen/>
        <w:t>тирован с тремя вариантами редуктора и двумя типами ПЦН. Впер</w:t>
      </w:r>
      <w:r w:rsidRPr="007122AB">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5E61D12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7122AB">
        <w:rPr>
          <w:rFonts w:ascii="Times New Roman" w:hAnsi="Times New Roman"/>
          <w:color w:val="000000" w:themeColor="text1"/>
          <w:sz w:val="16"/>
          <w:szCs w:val="16"/>
        </w:rPr>
        <w:softHyphen/>
        <w:t>тов, удлиненный носок редуктора, усиленный коленвал с измененной схе</w:t>
      </w:r>
      <w:r w:rsidRPr="007122AB">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69A17D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М-34НФ, опытный вариант с блоками от модификации ФРНВ, допол</w:t>
      </w:r>
      <w:r w:rsidRPr="007122AB">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73619A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М-34ФРНВ-ТК, вариант предыдущего типа. Имел два турбонагнетате</w:t>
      </w:r>
      <w:r w:rsidRPr="007122AB">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027D37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М-34ФРГН, подробности неизвестны.</w:t>
      </w:r>
    </w:p>
    <w:p w14:paraId="18D9CCB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М-34РБ, в 1938-1939 гг. переделывались из М-34РНБ путем демон</w:t>
      </w:r>
      <w:r w:rsidRPr="007122AB">
        <w:rPr>
          <w:rFonts w:ascii="Times New Roman" w:hAnsi="Times New Roman"/>
          <w:color w:val="000000" w:themeColor="text1"/>
          <w:sz w:val="16"/>
          <w:szCs w:val="16"/>
        </w:rPr>
        <w:softHyphen/>
        <w:t xml:space="preserve">тажа ПЦН для повышения надежности и увеличения </w:t>
      </w:r>
      <w:proofErr w:type="spellStart"/>
      <w:r w:rsidRPr="007122AB">
        <w:rPr>
          <w:rFonts w:ascii="Times New Roman" w:hAnsi="Times New Roman"/>
          <w:color w:val="000000" w:themeColor="text1"/>
          <w:sz w:val="16"/>
          <w:szCs w:val="16"/>
        </w:rPr>
        <w:t>реечрса</w:t>
      </w:r>
      <w:proofErr w:type="spellEnd"/>
      <w:r w:rsidRPr="007122AB">
        <w:rPr>
          <w:rFonts w:ascii="Times New Roman" w:hAnsi="Times New Roman"/>
          <w:color w:val="000000" w:themeColor="text1"/>
          <w:sz w:val="16"/>
          <w:szCs w:val="16"/>
        </w:rPr>
        <w:t>.</w:t>
      </w:r>
    </w:p>
    <w:p w14:paraId="768E455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М-34РБ</w:t>
      </w:r>
    </w:p>
    <w:p w14:paraId="4B08184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Катерный мотор ГМ-34 (ГАМ-34)</w:t>
      </w:r>
    </w:p>
    <w:p w14:paraId="1098B3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ГМ-34, двигатель для торпедных катеров с реверс-редуктором, муф</w:t>
      </w:r>
      <w:r w:rsidRPr="007122AB">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4D2B804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1932 г. пару опытных двигателей установили на торпед</w:t>
      </w:r>
      <w:r w:rsidRPr="007122AB">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18E42B6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4612C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7122AB">
        <w:rPr>
          <w:rFonts w:ascii="Times New Roman" w:hAnsi="Times New Roman"/>
          <w:color w:val="000000" w:themeColor="text1"/>
          <w:sz w:val="16"/>
          <w:szCs w:val="16"/>
        </w:rPr>
        <w:softHyphen/>
        <w:t>ность 1200 л.с., вес 1110 кг. Работал на бензин-спиртовой смеси. Се</w:t>
      </w:r>
      <w:r w:rsidRPr="007122AB">
        <w:rPr>
          <w:rFonts w:ascii="Times New Roman" w:hAnsi="Times New Roman"/>
          <w:color w:val="000000" w:themeColor="text1"/>
          <w:sz w:val="16"/>
          <w:szCs w:val="16"/>
        </w:rPr>
        <w:softHyphen/>
        <w:t>рийно выпускался с августа 1939 г.</w:t>
      </w:r>
    </w:p>
    <w:p w14:paraId="1EF1A1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36DBA6C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239AE8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ГМ-34БТ. вариант для танков на базе катерного с измененной си</w:t>
      </w:r>
      <w:r w:rsidRPr="007122AB">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08D8608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7122AB">
        <w:rPr>
          <w:rFonts w:ascii="Times New Roman" w:hAnsi="Times New Roman"/>
          <w:color w:val="000000" w:themeColor="text1"/>
          <w:sz w:val="16"/>
          <w:szCs w:val="16"/>
        </w:rPr>
        <w:softHyphen/>
        <w:t>строен), К-13, МК-1, «Сталь-МАИ», МИ-3. Их применение также предусма</w:t>
      </w:r>
      <w:r w:rsidRPr="007122AB">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7122AB">
        <w:rPr>
          <w:rFonts w:ascii="Times New Roman" w:hAnsi="Times New Roman"/>
          <w:color w:val="000000" w:themeColor="text1"/>
          <w:sz w:val="16"/>
          <w:szCs w:val="16"/>
        </w:rPr>
        <w:softHyphen/>
        <w:t>ского на гусеничном ходу (на базе ТШ-2), танка-вертолета Камова.</w:t>
      </w:r>
    </w:p>
    <w:p w14:paraId="6FFB3B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42C93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D222AC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CEDE8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ноября 1931 г. работники ГВФ стали принимать двигатели М-15 самостоятельно. 15 моторов М-26 1-й серии собрали к 27 марта 1931 г. Но выпускались М-15 и М-26 недолго. 5 августа 1931 г. вышло постановление Реввоен</w:t>
      </w:r>
      <w:r w:rsidRPr="007122AB">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053B54D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503231F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9-цилиндровый, звездообразный, четырехтактный, воздушного охлаж</w:t>
      </w:r>
      <w:r w:rsidRPr="007122AB">
        <w:rPr>
          <w:rFonts w:ascii="Times New Roman" w:hAnsi="Times New Roman"/>
          <w:color w:val="000000" w:themeColor="text1"/>
          <w:sz w:val="16"/>
          <w:szCs w:val="16"/>
        </w:rPr>
        <w:softHyphen/>
        <w:t>дения;</w:t>
      </w:r>
    </w:p>
    <w:p w14:paraId="30B4A31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450/660 л.с.;</w:t>
      </w:r>
    </w:p>
    <w:p w14:paraId="1CE227B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150/170 мм;</w:t>
      </w:r>
    </w:p>
    <w:p w14:paraId="2B1B4A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27,02 л;</w:t>
      </w:r>
    </w:p>
    <w:p w14:paraId="5112D1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5,4 (фактически 5,5-5,7);</w:t>
      </w:r>
    </w:p>
    <w:p w14:paraId="59E9D8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безредукторный</w:t>
      </w:r>
      <w:proofErr w:type="spellEnd"/>
      <w:r w:rsidRPr="007122AB">
        <w:rPr>
          <w:rFonts w:ascii="Times New Roman" w:hAnsi="Times New Roman"/>
          <w:color w:val="000000" w:themeColor="text1"/>
          <w:sz w:val="16"/>
          <w:szCs w:val="16"/>
        </w:rPr>
        <w:t>;</w:t>
      </w:r>
    </w:p>
    <w:p w14:paraId="7B30FED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и вес в зависимости от модификации и серии;</w:t>
      </w:r>
    </w:p>
    <w:p w14:paraId="21AD10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имел ПЦН и синхронизатор. Известны варианты:</w:t>
      </w:r>
    </w:p>
    <w:p w14:paraId="076BCB7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М-15, первоначальный вариант. Изготовлен в двух опытных экзем</w:t>
      </w:r>
      <w:r w:rsidRPr="007122AB">
        <w:rPr>
          <w:rFonts w:ascii="Times New Roman" w:hAnsi="Times New Roman"/>
          <w:color w:val="000000" w:themeColor="text1"/>
          <w:sz w:val="16"/>
          <w:szCs w:val="16"/>
        </w:rPr>
        <w:softHyphen/>
        <w:t>плярах. Мощность по проекту 500/600 л.с., вес 420 кг.</w:t>
      </w:r>
    </w:p>
    <w:p w14:paraId="4D69796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2М-15, второй вариант конструкции с усиленными головками цилин</w:t>
      </w:r>
      <w:r w:rsidRPr="007122AB">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122AB">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626286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устанавливался на самолетах К-5, И-5 (опытные образцы), пред</w:t>
      </w:r>
      <w:r w:rsidRPr="007122AB">
        <w:rPr>
          <w:rFonts w:ascii="Times New Roman" w:hAnsi="Times New Roman"/>
          <w:color w:val="000000" w:themeColor="text1"/>
          <w:sz w:val="16"/>
          <w:szCs w:val="16"/>
        </w:rPr>
        <w:softHyphen/>
        <w:t>лагался для установки на И-4 (11852).</w:t>
      </w:r>
    </w:p>
    <w:p w14:paraId="78D5B87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13C092"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в двенадцати километрах от Москвы, вблизи бывшего поселка Тушино появились первые строители завода № 62. В то время на месте строительства было болото, поросшее кустарником, а на будущей улице Спортивная (ныне -Лодочная) шумел сосновый лес.</w:t>
      </w:r>
    </w:p>
    <w:p w14:paraId="22CF7230"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Строительство завода началось 11 января 1932 г. С 1932 г. на заводе начали работать </w:t>
      </w:r>
      <w:proofErr w:type="spellStart"/>
      <w:r w:rsidRPr="007122AB">
        <w:rPr>
          <w:rFonts w:ascii="Times New Roman" w:hAnsi="Times New Roman"/>
          <w:color w:val="000000" w:themeColor="text1"/>
          <w:sz w:val="16"/>
          <w:szCs w:val="16"/>
        </w:rPr>
        <w:t>Е.Г.Глебов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И.В.Азаров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В.И.Батов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А.Ф.Александрова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А.В.Колпикова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А.С.Олейник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АА.Павлова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А.В.Сибиркина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Л.Д.Шевченко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И.Л.Чинников</w:t>
      </w:r>
      <w:proofErr w:type="spellEnd"/>
      <w:r w:rsidRPr="007122AB">
        <w:rPr>
          <w:rFonts w:ascii="Times New Roman" w:hAnsi="Times New Roman"/>
          <w:color w:val="000000" w:themeColor="text1"/>
          <w:sz w:val="16"/>
          <w:szCs w:val="16"/>
        </w:rPr>
        <w:t xml:space="preserve"> и др. Руководил строительством директор будущего завода Антон Дмитриевич Вяль-</w:t>
      </w:r>
      <w:proofErr w:type="spellStart"/>
      <w:r w:rsidRPr="007122AB">
        <w:rPr>
          <w:rFonts w:ascii="Times New Roman" w:hAnsi="Times New Roman"/>
          <w:color w:val="000000" w:themeColor="text1"/>
          <w:sz w:val="16"/>
          <w:szCs w:val="16"/>
        </w:rPr>
        <w:t>цев</w:t>
      </w:r>
      <w:proofErr w:type="spellEnd"/>
      <w:r w:rsidRPr="007122AB">
        <w:rPr>
          <w:rFonts w:ascii="Times New Roman" w:hAnsi="Times New Roman"/>
          <w:color w:val="000000" w:themeColor="text1"/>
          <w:sz w:val="16"/>
          <w:szCs w:val="16"/>
        </w:rPr>
        <w:t xml:space="preserve">. Секретарем комитета ВКП(б) был Павлинов, председателем заводского комитета профсоюзов - </w:t>
      </w:r>
      <w:proofErr w:type="spellStart"/>
      <w:r w:rsidRPr="007122AB">
        <w:rPr>
          <w:rFonts w:ascii="Times New Roman" w:hAnsi="Times New Roman"/>
          <w:color w:val="000000" w:themeColor="text1"/>
          <w:sz w:val="16"/>
          <w:szCs w:val="16"/>
        </w:rPr>
        <w:t>В.В.Горошкин</w:t>
      </w:r>
      <w:proofErr w:type="spellEnd"/>
      <w:r w:rsidRPr="007122AB">
        <w:rPr>
          <w:rFonts w:ascii="Times New Roman" w:hAnsi="Times New Roman"/>
          <w:color w:val="000000" w:themeColor="text1"/>
          <w:sz w:val="16"/>
          <w:szCs w:val="16"/>
        </w:rPr>
        <w:t xml:space="preserve">, секретарем комитета комсомола - </w:t>
      </w:r>
      <w:proofErr w:type="spellStart"/>
      <w:r w:rsidRPr="007122AB">
        <w:rPr>
          <w:rFonts w:ascii="Times New Roman" w:hAnsi="Times New Roman"/>
          <w:color w:val="000000" w:themeColor="text1"/>
          <w:sz w:val="16"/>
          <w:szCs w:val="16"/>
        </w:rPr>
        <w:t>И.В.Дорошенко</w:t>
      </w:r>
      <w:proofErr w:type="spellEnd"/>
      <w:r w:rsidRPr="007122AB">
        <w:rPr>
          <w:rFonts w:ascii="Times New Roman" w:hAnsi="Times New Roman"/>
          <w:color w:val="000000" w:themeColor="text1"/>
          <w:sz w:val="16"/>
          <w:szCs w:val="16"/>
        </w:rPr>
        <w:t xml:space="preserve"> (19602).</w:t>
      </w:r>
    </w:p>
    <w:p w14:paraId="0B5C6A6A"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736B29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УВВС выдало тех. задание на проектирование авиаторпеды СУ с радиоуправлением и светосигнализацией. Хотели две модификации - 450 с 320 кг и 533 мм с 500 кг. В НИМТИ работали и над РУТ калибром 450, но все ограничилось проектами и опытными образцами (561,8).</w:t>
      </w:r>
    </w:p>
    <w:p w14:paraId="711912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E690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УВВС выдало техническое задание на проектирование радиоуправляемой торпеды СУ со световой сигнализацией о местоположении. Предусматривались две ее разновидности - 24-дюймовая с зарядом 320 кг и 27-дюймовая с зарядом 500 кг. Последняя могла нанести серьезные повреждения даже линкору. В НИМТИ работали и еще над одним типом радиоуправляемой торпеды - РУТ калибром 18 дюймов.</w:t>
      </w:r>
    </w:p>
    <w:p w14:paraId="4D45A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 дошла до воплощения и оригинальная ВТК - "высотная торпеда Камова", в которой система парашютов была заменена </w:t>
      </w:r>
      <w:proofErr w:type="spellStart"/>
      <w:r w:rsidRPr="007122AB">
        <w:rPr>
          <w:rFonts w:ascii="Times New Roman" w:hAnsi="Times New Roman"/>
          <w:color w:val="000000" w:themeColor="text1"/>
          <w:sz w:val="16"/>
          <w:szCs w:val="16"/>
        </w:rPr>
        <w:t>авторотирующим</w:t>
      </w:r>
      <w:proofErr w:type="spellEnd"/>
      <w:r w:rsidRPr="007122AB">
        <w:rPr>
          <w:rFonts w:ascii="Times New Roman" w:hAnsi="Times New Roman"/>
          <w:color w:val="000000" w:themeColor="text1"/>
          <w:sz w:val="16"/>
          <w:szCs w:val="16"/>
        </w:rPr>
        <w:t xml:space="preserve"> винтом. По расчетам, такое устройство при сохранении низкой скорости приводнения могло сократить общее время спуска и тем самым увеличить шансы на поражение цели. В сентябре 1932 г. изготовили модель ВТК, но на этом все приостановилось. Эта тема значилась в планах до 1936 г., но не привела даже к постройке опытного образца (12002).</w:t>
      </w:r>
    </w:p>
    <w:p w14:paraId="036DA6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E6C4BE"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1931 г. УВВС выдало техническое задание на проектирование радио</w:t>
      </w:r>
      <w:r w:rsidRPr="00441F34">
        <w:rPr>
          <w:rFonts w:ascii="Times New Roman" w:hAnsi="Times New Roman"/>
          <w:color w:val="0070C0"/>
          <w:sz w:val="16"/>
          <w:szCs w:val="16"/>
        </w:rPr>
        <w:softHyphen/>
        <w:t>управляемой торпеды СУ со световой сигнализацией о местоположении. Предусматри</w:t>
      </w:r>
      <w:r w:rsidRPr="00441F34">
        <w:rPr>
          <w:rFonts w:ascii="Times New Roman" w:hAnsi="Times New Roman"/>
          <w:color w:val="0070C0"/>
          <w:sz w:val="16"/>
          <w:szCs w:val="16"/>
        </w:rPr>
        <w:softHyphen/>
        <w:t>вались две ее разновидности - 24-дюймовая с зарядом 320 кг и 27-дюймовая с зарядом 500 кг. Последняя могла нанести серьезные повреждения даже линкору. В НИМТИ работали и еще над одним типом радиоуправляемой торпеды - РУТ калибром 18 дюймов (23464).</w:t>
      </w:r>
    </w:p>
    <w:p w14:paraId="2B167D33" w14:textId="77777777" w:rsidR="00D82FF1" w:rsidRPr="00441F34" w:rsidRDefault="00D82FF1" w:rsidP="00D82FF1">
      <w:pPr>
        <w:spacing w:after="0" w:line="240" w:lineRule="auto"/>
        <w:jc w:val="both"/>
        <w:rPr>
          <w:rFonts w:ascii="Times New Roman" w:hAnsi="Times New Roman"/>
          <w:color w:val="0070C0"/>
          <w:sz w:val="16"/>
          <w:szCs w:val="16"/>
        </w:rPr>
      </w:pPr>
    </w:p>
    <w:p w14:paraId="208CBF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на ЧМ в районе Качи закончились гос. испытания высотной торпеды ТАВ-15, которые начались в мае 1931. Председателем комиссии был Командующий ЧФ </w:t>
      </w:r>
      <w:proofErr w:type="spellStart"/>
      <w:r w:rsidRPr="007122AB">
        <w:rPr>
          <w:rFonts w:ascii="Times New Roman" w:hAnsi="Times New Roman"/>
          <w:color w:val="000000" w:themeColor="text1"/>
          <w:sz w:val="16"/>
          <w:szCs w:val="16"/>
        </w:rPr>
        <w:t>В.К.Лавров</w:t>
      </w:r>
      <w:proofErr w:type="spellEnd"/>
      <w:r w:rsidRPr="007122AB">
        <w:rPr>
          <w:rFonts w:ascii="Times New Roman" w:hAnsi="Times New Roman"/>
          <w:color w:val="000000" w:themeColor="text1"/>
          <w:sz w:val="16"/>
          <w:szCs w:val="16"/>
        </w:rPr>
        <w:t xml:space="preserve"> (1085,126).</w:t>
      </w:r>
    </w:p>
    <w:p w14:paraId="52A213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D61C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было подготовлено Постановление СТО (проект)</w:t>
      </w:r>
    </w:p>
    <w:p w14:paraId="671A32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строительстве Всесоюзным объединением ГВФ стальных самолетов и завода стальных самолетов "</w:t>
      </w:r>
      <w:proofErr w:type="spellStart"/>
      <w:r w:rsidRPr="007122AB">
        <w:rPr>
          <w:rFonts w:ascii="Times New Roman" w:hAnsi="Times New Roman"/>
          <w:color w:val="000000" w:themeColor="text1"/>
          <w:sz w:val="16"/>
          <w:szCs w:val="16"/>
        </w:rPr>
        <w:t>Авиасталь</w:t>
      </w:r>
      <w:proofErr w:type="spellEnd"/>
      <w:r w:rsidRPr="007122AB">
        <w:rPr>
          <w:rFonts w:ascii="Times New Roman" w:hAnsi="Times New Roman"/>
          <w:color w:val="000000" w:themeColor="text1"/>
          <w:sz w:val="16"/>
          <w:szCs w:val="16"/>
        </w:rPr>
        <w:t>"</w:t>
      </w:r>
    </w:p>
    <w:p w14:paraId="730920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Учитывая огромное значение для авиации Союза широкое применение цельностальных самолетов из нержавеющей стали, СТО постановляет:</w:t>
      </w:r>
    </w:p>
    <w:p w14:paraId="4025F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Обязать Всесоюзное объединение ГВФ изготовить и сдать на эксплуатацию в 1932 году сто стальных самолетов из нержавеющей стали типа "Сталь 2".</w:t>
      </w:r>
    </w:p>
    <w:p w14:paraId="0BE2B3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выполнения этого задания обязать ВОГВФ не позднее 15 ноября 1931 года приступить к постройке завода стальных самолетов "</w:t>
      </w:r>
      <w:proofErr w:type="spellStart"/>
      <w:r w:rsidRPr="007122AB">
        <w:rPr>
          <w:rFonts w:ascii="Times New Roman" w:hAnsi="Times New Roman"/>
          <w:color w:val="000000" w:themeColor="text1"/>
          <w:sz w:val="16"/>
          <w:szCs w:val="16"/>
        </w:rPr>
        <w:t>Авиасталь</w:t>
      </w:r>
      <w:proofErr w:type="spellEnd"/>
      <w:r w:rsidRPr="007122AB">
        <w:rPr>
          <w:rFonts w:ascii="Times New Roman" w:hAnsi="Times New Roman"/>
          <w:color w:val="000000" w:themeColor="text1"/>
          <w:sz w:val="16"/>
          <w:szCs w:val="16"/>
        </w:rPr>
        <w:t>", обеспечив пуск завода не позднее 1 апреля 1932 года. Стоимость строительства завода определить суммой порядка 9 млн. рублей.</w:t>
      </w:r>
    </w:p>
    <w:p w14:paraId="130EAC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…………………………..(7772, 65-69).</w:t>
      </w:r>
    </w:p>
    <w:p w14:paraId="350AA4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56AD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года, в двенадцати километрах от Москвы, вблизи бывшего поселка Тушино появились первые строители. В то время на месте строительства было болото, поросшее кустарником, а на будущей улице Спортивная (ныне -Лодочная) шумел сосновый лес. Строительство завода началось 11 января 1932 г. С 1932 г. на заводе начали работать </w:t>
      </w:r>
      <w:proofErr w:type="spellStart"/>
      <w:r w:rsidRPr="007122AB">
        <w:rPr>
          <w:rFonts w:ascii="Times New Roman" w:hAnsi="Times New Roman"/>
          <w:color w:val="000000" w:themeColor="text1"/>
          <w:sz w:val="16"/>
          <w:szCs w:val="16"/>
        </w:rPr>
        <w:t>Е.Г.Глебов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И.В.Азаров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В.И.Батов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А.Ф.Александрова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А.В.Колпикова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А.С.Олейник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АА.Павлова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А.В.Сибиркина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Л.Д.Шевченко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lastRenderedPageBreak/>
        <w:t>И.Л.Чинников</w:t>
      </w:r>
      <w:proofErr w:type="spellEnd"/>
      <w:r w:rsidRPr="007122AB">
        <w:rPr>
          <w:rFonts w:ascii="Times New Roman" w:hAnsi="Times New Roman"/>
          <w:color w:val="000000" w:themeColor="text1"/>
          <w:sz w:val="16"/>
          <w:szCs w:val="16"/>
        </w:rPr>
        <w:t xml:space="preserve">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w:t>
      </w:r>
      <w:proofErr w:type="spellStart"/>
      <w:r w:rsidRPr="007122AB">
        <w:rPr>
          <w:rFonts w:ascii="Times New Roman" w:hAnsi="Times New Roman"/>
          <w:color w:val="000000" w:themeColor="text1"/>
          <w:sz w:val="16"/>
          <w:szCs w:val="16"/>
        </w:rPr>
        <w:t>В.В.Горошкин</w:t>
      </w:r>
      <w:proofErr w:type="spellEnd"/>
      <w:r w:rsidRPr="007122AB">
        <w:rPr>
          <w:rFonts w:ascii="Times New Roman" w:hAnsi="Times New Roman"/>
          <w:color w:val="000000" w:themeColor="text1"/>
          <w:sz w:val="16"/>
          <w:szCs w:val="16"/>
        </w:rPr>
        <w:t xml:space="preserve">, секретарем комитета комсомола - </w:t>
      </w:r>
      <w:proofErr w:type="spellStart"/>
      <w:r w:rsidRPr="007122AB">
        <w:rPr>
          <w:rFonts w:ascii="Times New Roman" w:hAnsi="Times New Roman"/>
          <w:color w:val="000000" w:themeColor="text1"/>
          <w:sz w:val="16"/>
          <w:szCs w:val="16"/>
        </w:rPr>
        <w:t>И.В.Дорошенко</w:t>
      </w:r>
      <w:proofErr w:type="spellEnd"/>
      <w:r w:rsidRPr="007122AB">
        <w:rPr>
          <w:rFonts w:ascii="Times New Roman" w:hAnsi="Times New Roman"/>
          <w:color w:val="000000" w:themeColor="text1"/>
          <w:sz w:val="16"/>
          <w:szCs w:val="16"/>
        </w:rPr>
        <w:t xml:space="preserve"> (11200).</w:t>
      </w:r>
    </w:p>
    <w:p w14:paraId="3C548F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0CE3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в Москве состоялись переговоры </w:t>
      </w:r>
      <w:proofErr w:type="spellStart"/>
      <w:r w:rsidRPr="007122AB">
        <w:rPr>
          <w:rFonts w:ascii="Times New Roman" w:hAnsi="Times New Roman"/>
          <w:color w:val="000000" w:themeColor="text1"/>
          <w:sz w:val="16"/>
          <w:szCs w:val="16"/>
        </w:rPr>
        <w:t>М.Тухачевского</w:t>
      </w:r>
      <w:proofErr w:type="spellEnd"/>
      <w:r w:rsidRPr="007122AB">
        <w:rPr>
          <w:rFonts w:ascii="Times New Roman" w:hAnsi="Times New Roman"/>
          <w:color w:val="000000" w:themeColor="text1"/>
          <w:sz w:val="16"/>
          <w:szCs w:val="16"/>
        </w:rPr>
        <w:t xml:space="preserve"> и нач. УВВС </w:t>
      </w:r>
      <w:proofErr w:type="spellStart"/>
      <w:r w:rsidRPr="007122AB">
        <w:rPr>
          <w:rFonts w:ascii="Times New Roman" w:hAnsi="Times New Roman"/>
          <w:color w:val="000000" w:themeColor="text1"/>
          <w:sz w:val="16"/>
          <w:szCs w:val="16"/>
        </w:rPr>
        <w:t>Я.Алксниса</w:t>
      </w:r>
      <w:proofErr w:type="spellEnd"/>
      <w:r w:rsidRPr="007122AB">
        <w:rPr>
          <w:rFonts w:ascii="Times New Roman" w:hAnsi="Times New Roman"/>
          <w:color w:val="000000" w:themeColor="text1"/>
          <w:sz w:val="16"/>
          <w:szCs w:val="16"/>
        </w:rPr>
        <w:t xml:space="preserve"> с г Адамом (нач. войскового управления рейхсвера), но немцы отказались превращать Липецкую школу в совместный НИ центр. Ма предлагали изучать </w:t>
      </w:r>
      <w:proofErr w:type="spellStart"/>
      <w:r w:rsidRPr="007122AB">
        <w:rPr>
          <w:rFonts w:ascii="Times New Roman" w:hAnsi="Times New Roman"/>
          <w:color w:val="000000" w:themeColor="text1"/>
          <w:sz w:val="16"/>
          <w:szCs w:val="16"/>
        </w:rPr>
        <w:t>стратосфорный</w:t>
      </w:r>
      <w:proofErr w:type="spellEnd"/>
      <w:r w:rsidRPr="007122AB">
        <w:rPr>
          <w:rFonts w:ascii="Times New Roman" w:hAnsi="Times New Roman"/>
          <w:color w:val="000000" w:themeColor="text1"/>
          <w:sz w:val="16"/>
          <w:szCs w:val="16"/>
        </w:rPr>
        <w:t xml:space="preserve"> самолет, нефтяные двигатели, автоматическую стабилизацию машины в полете и т.п. рассчитывая на германские достижения (1131,32).</w:t>
      </w:r>
    </w:p>
    <w:p w14:paraId="707855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643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w:t>
      </w:r>
      <w:proofErr w:type="spellStart"/>
      <w:r w:rsidRPr="007122AB">
        <w:rPr>
          <w:rFonts w:ascii="Times New Roman" w:hAnsi="Times New Roman"/>
          <w:color w:val="000000" w:themeColor="text1"/>
          <w:sz w:val="16"/>
          <w:szCs w:val="16"/>
        </w:rPr>
        <w:t>С.Н.Анохин</w:t>
      </w:r>
      <w:proofErr w:type="spellEnd"/>
      <w:r w:rsidRPr="007122AB">
        <w:rPr>
          <w:rFonts w:ascii="Times New Roman" w:hAnsi="Times New Roman"/>
          <w:color w:val="000000" w:themeColor="text1"/>
          <w:sz w:val="16"/>
          <w:szCs w:val="16"/>
        </w:rPr>
        <w:t xml:space="preserve"> закончил и, как один из лучших выпускников, был оставлен в ней командиром учебного летного отряда. В 1932-м Сергей Николаевич заканчивает Центральную лётную школу Осоавиахима в Тушино, а в 1933-м - Высшую парашютную школу. Таким образом, Анохин стал универсалом: освоил прыжки с парашютом и полёты как на планерах, так и на самолётах (5996).</w:t>
      </w:r>
    </w:p>
    <w:p w14:paraId="467B93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D3A79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BD15AB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9931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СТО принял специальное постановление о развитии оборонных отраслей промышленности (5484,324).</w:t>
      </w:r>
    </w:p>
    <w:p w14:paraId="1A6A6A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D65472" w14:textId="38135CF2" w:rsidR="000306D2" w:rsidRPr="007122AB" w:rsidRDefault="000306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на основе конструкции трофейного 81-мм батальонного миномета инженерами группы «Д» были разработаны и представлены на рассмотрение II секции НТК АУ рабочие чертежи и ведомость деталей 82-мм батальонного миномета (82-БМ). Помимо возможности стрельбы из окопа, для увеличения маневренности системы предполагалось использование колесного хода (по системе военного инженера А. А. Соколова). Миномет предназначался для применения в качестве орудия сопровождения для непосредственной огневой поддержки пехоты. Вес системы в боевом положении составлял 75 кг. Проектируемая наибольшая дальность стрельбы - 2 500 м, наименьшая дальность – около 150 м (при угле возвышения 70°), скорострельность – 15-18 выстрелов в минуту. Вес мины – 3,6 кг. Система включала в себя гладкий стальной ствол, снабженный с казенной части шаровой пятой для упора в плиту, опорную плиту с шаровым гнездом и двухколесный станок, оснащенный механизмом для вертикальной и горизонтальной наводки. После рассмотрения чертежей II секцией НТК АУ было принято решение о целесообразности изготовления 5 шт. опытных образцов 82-мм батальонных минометов и выдаче заказа на изготовление стволов на заводе «Большевик», а станков и проведение окончательной сборки – на заводе №7 в срок до 1 мая 1932 г. После проведения испытаний и внесения в чертежи необходимых изменений, предполагалось начать их серийный выпуск в том же 1932 г. (Журнал НТК АУ РККА №360с от 29 декабря 1931 г.).189 (20074)</w:t>
      </w:r>
    </w:p>
    <w:p w14:paraId="29726D1D" w14:textId="77777777" w:rsidR="000306D2" w:rsidRPr="007122AB" w:rsidRDefault="000306D2" w:rsidP="007122AB">
      <w:pPr>
        <w:spacing w:after="0" w:line="240" w:lineRule="auto"/>
        <w:jc w:val="both"/>
        <w:rPr>
          <w:rFonts w:ascii="Times New Roman" w:hAnsi="Times New Roman"/>
          <w:color w:val="000000" w:themeColor="text1"/>
          <w:sz w:val="16"/>
          <w:szCs w:val="16"/>
        </w:rPr>
      </w:pPr>
    </w:p>
    <w:p w14:paraId="7F79D7B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в ходе беседы с Нач. Генштаба рейхсвера </w:t>
      </w:r>
      <w:proofErr w:type="spellStart"/>
      <w:r w:rsidRPr="007122AB">
        <w:rPr>
          <w:rFonts w:ascii="Times New Roman" w:hAnsi="Times New Roman"/>
          <w:color w:val="000000" w:themeColor="text1"/>
          <w:sz w:val="16"/>
          <w:szCs w:val="16"/>
        </w:rPr>
        <w:t>В.Адамом</w:t>
      </w:r>
      <w:proofErr w:type="spellEnd"/>
      <w:r w:rsidRPr="007122AB">
        <w:rPr>
          <w:rFonts w:ascii="Times New Roman" w:hAnsi="Times New Roman"/>
          <w:color w:val="000000" w:themeColor="text1"/>
          <w:sz w:val="16"/>
          <w:szCs w:val="16"/>
        </w:rPr>
        <w:t xml:space="preserve"> НК ВМД К.Е.В. сказал: “Мы предоставили немецкой стороне, как нигде в Европе, возможность заниматься экспериментальными химическими разработками, поэтому дайте нам конкретную материальную компенсацию в виде опытных результатов. Дайте на Томку больше оборудования </w:t>
      </w:r>
      <w:proofErr w:type="spellStart"/>
      <w:r w:rsidRPr="007122AB">
        <w:rPr>
          <w:rFonts w:ascii="Times New Roman" w:hAnsi="Times New Roman"/>
          <w:color w:val="000000" w:themeColor="text1"/>
          <w:sz w:val="16"/>
          <w:szCs w:val="16"/>
        </w:rPr>
        <w:t>ип</w:t>
      </w:r>
      <w:proofErr w:type="spellEnd"/>
      <w:r w:rsidRPr="007122AB">
        <w:rPr>
          <w:rFonts w:ascii="Times New Roman" w:hAnsi="Times New Roman"/>
          <w:color w:val="000000" w:themeColor="text1"/>
          <w:sz w:val="16"/>
          <w:szCs w:val="16"/>
        </w:rPr>
        <w:t xml:space="preserve"> всяких средств.” Просил новый газ, но Адам ответил: “не верьте...Наша задача по химии - сделать </w:t>
      </w:r>
      <w:proofErr w:type="spellStart"/>
      <w:r w:rsidRPr="007122AB">
        <w:rPr>
          <w:rFonts w:ascii="Times New Roman" w:hAnsi="Times New Roman"/>
          <w:color w:val="000000" w:themeColor="text1"/>
          <w:sz w:val="16"/>
          <w:szCs w:val="16"/>
        </w:rPr>
        <w:t>иптир</w:t>
      </w:r>
      <w:proofErr w:type="spellEnd"/>
      <w:r w:rsidRPr="007122AB">
        <w:rPr>
          <w:rFonts w:ascii="Times New Roman" w:hAnsi="Times New Roman"/>
          <w:color w:val="000000" w:themeColor="text1"/>
          <w:sz w:val="16"/>
          <w:szCs w:val="16"/>
        </w:rPr>
        <w:t xml:space="preserve"> технически более устойчивым”(6221).</w:t>
      </w:r>
    </w:p>
    <w:p w14:paraId="0055342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E06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поскольку вопрос создания быстроходного танка был решен, Н.М. </w:t>
      </w:r>
      <w:proofErr w:type="spellStart"/>
      <w:r w:rsidRPr="007122AB">
        <w:rPr>
          <w:rFonts w:ascii="Times New Roman" w:hAnsi="Times New Roman"/>
          <w:color w:val="000000" w:themeColor="text1"/>
          <w:sz w:val="16"/>
          <w:szCs w:val="16"/>
        </w:rPr>
        <w:t>Тоскин</w:t>
      </w:r>
      <w:proofErr w:type="spellEnd"/>
      <w:r w:rsidRPr="007122AB">
        <w:rPr>
          <w:rFonts w:ascii="Times New Roman" w:hAnsi="Times New Roman"/>
          <w:color w:val="000000" w:themeColor="text1"/>
          <w:sz w:val="16"/>
          <w:szCs w:val="16"/>
        </w:rPr>
        <w:t xml:space="preserve"> (как кадровый военный инженер) был отозван из ХПЗ в Управление механизации и моторизации КА для продолжения своей основной службы (9154).</w:t>
      </w:r>
    </w:p>
    <w:p w14:paraId="180A14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B556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КБ № 3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разработало проект модернизированного Т-24 с использованием трансмиссии Т-28. Хотели сделать опытный образец на заводе Большевик, но так и не сделали (9527,117).</w:t>
      </w:r>
    </w:p>
    <w:p w14:paraId="28BD5C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8B1859" w14:textId="77777777" w:rsidR="00CB6D91" w:rsidRPr="007122AB" w:rsidRDefault="00CB6D9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КБ №3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0A31B30D" w14:textId="77777777" w:rsidR="00CB6D91" w:rsidRPr="007122AB" w:rsidRDefault="00CB6D91" w:rsidP="007122AB">
      <w:pPr>
        <w:spacing w:after="0" w:line="240" w:lineRule="auto"/>
        <w:jc w:val="both"/>
        <w:rPr>
          <w:rFonts w:ascii="Times New Roman" w:hAnsi="Times New Roman"/>
          <w:color w:val="000000" w:themeColor="text1"/>
          <w:sz w:val="16"/>
          <w:szCs w:val="16"/>
        </w:rPr>
      </w:pPr>
    </w:p>
    <w:p w14:paraId="2FAEA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ОКМО завода Большевик по ТТТ УММ РККА был выдан заказ на проектирование и изготовление двух опытных тяжелых танков со сроком сдачи в июле 1932 (9527,119).</w:t>
      </w:r>
    </w:p>
    <w:p w14:paraId="5B3D0E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07304B3" w14:textId="77777777" w:rsidR="001A30FC" w:rsidRPr="007122AB" w:rsidRDefault="001A30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ОКМО завода "Большевик" по ТТТ, разработанным УММ РККА, был выдан заказ на проектирование и изготовление двух опытных тяжелых </w:t>
      </w:r>
      <w:hyperlink r:id="rId20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ов. Срок сдачи готовых образцов был намечен на июль 1932 г. Проект нового </w:t>
      </w:r>
      <w:hyperlink r:id="rId20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был утвержден УММ 8 февраля 1932 г. Эти работы привели к созданию тяжелого </w:t>
      </w:r>
      <w:hyperlink r:id="rId21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Т-35.</w:t>
      </w:r>
    </w:p>
    <w:p w14:paraId="67881600" w14:textId="77777777" w:rsidR="001A30FC" w:rsidRPr="007122AB" w:rsidRDefault="001A30FC" w:rsidP="007122AB">
      <w:pPr>
        <w:spacing w:after="0" w:line="240" w:lineRule="auto"/>
        <w:jc w:val="both"/>
        <w:rPr>
          <w:rFonts w:ascii="Times New Roman" w:hAnsi="Times New Roman"/>
          <w:color w:val="000000" w:themeColor="text1"/>
          <w:sz w:val="16"/>
          <w:szCs w:val="16"/>
        </w:rPr>
      </w:pPr>
    </w:p>
    <w:p w14:paraId="6AC0E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чертежи танка Т-28 КБ-3 ВОАО были переданы на завод Большевик (9527,134).</w:t>
      </w:r>
    </w:p>
    <w:p w14:paraId="05BA47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43E2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СТО утвердил ТТТ к химическому танку, предназначенному для дымопуска и распылению ОВ. В качестве базы предлагали использовать Т-26 (9527,179).</w:t>
      </w:r>
    </w:p>
    <w:p w14:paraId="05567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7D85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на заводе Большевик совместно с КБ ОАТ разрабатывалась гусеничная танкетка с пушечным вооружением (20 мм) для борьбы с танками. На базе Т-27 (9527,254).</w:t>
      </w:r>
    </w:p>
    <w:p w14:paraId="2767C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5E6F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ноября 1931 г. корпус Т-26 склепывался целиком. Передний и задний наклон</w:t>
      </w:r>
      <w:r w:rsidRPr="007122AB">
        <w:rPr>
          <w:rFonts w:ascii="Times New Roman" w:hAnsi="Times New Roman"/>
          <w:color w:val="000000" w:themeColor="text1"/>
          <w:sz w:val="16"/>
          <w:szCs w:val="16"/>
        </w:rPr>
        <w:softHyphen/>
        <w:t>ные листы корпуса (крыши) в танке выполнялись съемны</w:t>
      </w:r>
      <w:r w:rsidRPr="007122AB">
        <w:rPr>
          <w:rFonts w:ascii="Times New Roman" w:hAnsi="Times New Roman"/>
          <w:color w:val="000000" w:themeColor="text1"/>
          <w:sz w:val="16"/>
          <w:szCs w:val="16"/>
        </w:rPr>
        <w:softHyphen/>
        <w:t>ми для удобства доступа к двигателю и механизмам транс</w:t>
      </w:r>
      <w:r w:rsidRPr="007122AB">
        <w:rPr>
          <w:rFonts w:ascii="Times New Roman" w:hAnsi="Times New Roman"/>
          <w:color w:val="000000" w:themeColor="text1"/>
          <w:sz w:val="16"/>
          <w:szCs w:val="16"/>
        </w:rPr>
        <w:softHyphen/>
        <w:t>миссии. Однако для этого требовалось отвернуть такое ко</w:t>
      </w:r>
      <w:r w:rsidRPr="007122AB">
        <w:rPr>
          <w:rFonts w:ascii="Times New Roman" w:hAnsi="Times New Roman"/>
          <w:color w:val="000000" w:themeColor="text1"/>
          <w:sz w:val="16"/>
          <w:szCs w:val="16"/>
        </w:rPr>
        <w:softHyphen/>
        <w:t xml:space="preserve">личество винтов, что только </w:t>
      </w:r>
      <w:proofErr w:type="spellStart"/>
      <w:r w:rsidRPr="007122AB">
        <w:rPr>
          <w:rFonts w:ascii="Times New Roman" w:hAnsi="Times New Roman"/>
          <w:color w:val="000000" w:themeColor="text1"/>
          <w:sz w:val="16"/>
          <w:szCs w:val="16"/>
        </w:rPr>
        <w:t>разбронировка</w:t>
      </w:r>
      <w:proofErr w:type="spellEnd"/>
      <w:r w:rsidRPr="007122AB">
        <w:rPr>
          <w:rFonts w:ascii="Times New Roman" w:hAnsi="Times New Roman"/>
          <w:color w:val="000000" w:themeColor="text1"/>
          <w:sz w:val="16"/>
          <w:szCs w:val="16"/>
        </w:rPr>
        <w:t xml:space="preserve"> первых Т-26 перед ремонтом занимала несколько часов (10733,180).</w:t>
      </w:r>
    </w:p>
    <w:p w14:paraId="68F2975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A560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но</w:t>
      </w:r>
      <w:r w:rsidRPr="007122AB">
        <w:rPr>
          <w:rFonts w:ascii="Times New Roman" w:hAnsi="Times New Roman"/>
          <w:color w:val="000000" w:themeColor="text1"/>
          <w:sz w:val="16"/>
          <w:szCs w:val="16"/>
        </w:rPr>
        <w:softHyphen/>
        <w:t>ября 1931 г. не разрешали даже осваивать в производстве башни Т-26, по форме отличавшиеся от оригинала. Всякие рационализации категорически пресекались в пользу точного копирования. Нетрудно догадаться, что все, казавшееся высшему руководству наиболее простым, оказалось на поверку куда более сложным. Никак не желали нормально подходить друг другу цилиндры, поршни и кольца новых двигателей. Не ладилось с закалкой коленчатого вала, рассыпались прокладки, при пробных пусках из мотора бесследно исче</w:t>
      </w:r>
      <w:r w:rsidRPr="007122AB">
        <w:rPr>
          <w:rFonts w:ascii="Times New Roman" w:hAnsi="Times New Roman"/>
          <w:color w:val="000000" w:themeColor="text1"/>
          <w:sz w:val="16"/>
          <w:szCs w:val="16"/>
        </w:rPr>
        <w:softHyphen/>
        <w:t>зало масло, рвались клапана... Вообще сначала считалось нормальным, если брак в двигателях составлял до 65% от поданного количества. Корпуса, поступавшие с Ижорского завода, тоже не ра</w:t>
      </w:r>
      <w:r w:rsidRPr="007122AB">
        <w:rPr>
          <w:rFonts w:ascii="Times New Roman" w:hAnsi="Times New Roman"/>
          <w:color w:val="000000" w:themeColor="text1"/>
          <w:sz w:val="16"/>
          <w:szCs w:val="16"/>
        </w:rPr>
        <w:softHyphen/>
        <w:t>довали. Они неизменно имели большое число сквозных трещин в броневых листах, особенно у отверстий под за</w:t>
      </w:r>
      <w:r w:rsidRPr="007122AB">
        <w:rPr>
          <w:rFonts w:ascii="Times New Roman" w:hAnsi="Times New Roman"/>
          <w:color w:val="000000" w:themeColor="text1"/>
          <w:sz w:val="16"/>
          <w:szCs w:val="16"/>
        </w:rPr>
        <w:softHyphen/>
        <w:t>клепочные или болтовые соединения. Броневые листы толщиной 10 мм первоначально пробивались винтовочной бронебойной пулей с дистанции 150-200 м, хотя это счита</w:t>
      </w:r>
      <w:r w:rsidRPr="007122AB">
        <w:rPr>
          <w:rFonts w:ascii="Times New Roman" w:hAnsi="Times New Roman"/>
          <w:color w:val="000000" w:themeColor="text1"/>
          <w:sz w:val="16"/>
          <w:szCs w:val="16"/>
        </w:rPr>
        <w:softHyphen/>
        <w:t>лось невероятным. Положение усугублялось еще и тем, что спешка с осво</w:t>
      </w:r>
      <w:r w:rsidRPr="007122AB">
        <w:rPr>
          <w:rFonts w:ascii="Times New Roman" w:hAnsi="Times New Roman"/>
          <w:color w:val="000000" w:themeColor="text1"/>
          <w:sz w:val="16"/>
          <w:szCs w:val="16"/>
        </w:rPr>
        <w:softHyphen/>
        <w:t>ением танка неизбежно привела к прописке кустарщины, которая процветала фактически до 1934 г. Стоимость первых серийных Т-26 почти вдвое превы</w:t>
      </w:r>
      <w:r w:rsidRPr="007122AB">
        <w:rPr>
          <w:rFonts w:ascii="Times New Roman" w:hAnsi="Times New Roman"/>
          <w:color w:val="000000" w:themeColor="text1"/>
          <w:sz w:val="16"/>
          <w:szCs w:val="16"/>
        </w:rPr>
        <w:softHyphen/>
        <w:t xml:space="preserve">шала таковую у «Виккерс» </w:t>
      </w:r>
      <w:proofErr w:type="spellStart"/>
      <w:r w:rsidRPr="007122AB">
        <w:rPr>
          <w:rFonts w:ascii="Times New Roman" w:hAnsi="Times New Roman"/>
          <w:color w:val="000000" w:themeColor="text1"/>
          <w:sz w:val="16"/>
          <w:szCs w:val="16"/>
        </w:rPr>
        <w:t>Мк.Е</w:t>
      </w:r>
      <w:proofErr w:type="spellEnd"/>
      <w:r w:rsidRPr="007122AB">
        <w:rPr>
          <w:rFonts w:ascii="Times New Roman" w:hAnsi="Times New Roman"/>
          <w:color w:val="000000" w:themeColor="text1"/>
          <w:sz w:val="16"/>
          <w:szCs w:val="16"/>
        </w:rPr>
        <w:t>., тем более что в танке еще было большое число покупных импортных деталей и узлов. Проблемы с освоением Т-26 в 1931 г. реанимировали было свернутые работы по сборке Т-18 и возродили интерес к оригинальным отечественным проек</w:t>
      </w:r>
      <w:r w:rsidRPr="007122AB">
        <w:rPr>
          <w:rFonts w:ascii="Times New Roman" w:hAnsi="Times New Roman"/>
          <w:color w:val="000000" w:themeColor="text1"/>
          <w:sz w:val="16"/>
          <w:szCs w:val="16"/>
        </w:rPr>
        <w:softHyphen/>
        <w:t xml:space="preserve">там танка сопровождения. Первые десять Т-26 были изготовлены по временной технологии из </w:t>
      </w:r>
      <w:proofErr w:type="spellStart"/>
      <w:r w:rsidRPr="007122AB">
        <w:rPr>
          <w:rFonts w:ascii="Times New Roman" w:hAnsi="Times New Roman"/>
          <w:color w:val="000000" w:themeColor="text1"/>
          <w:sz w:val="16"/>
          <w:szCs w:val="16"/>
        </w:rPr>
        <w:t>неброневой</w:t>
      </w:r>
      <w:proofErr w:type="spellEnd"/>
      <w:r w:rsidRPr="007122AB">
        <w:rPr>
          <w:rFonts w:ascii="Times New Roman" w:hAnsi="Times New Roman"/>
          <w:color w:val="000000" w:themeColor="text1"/>
          <w:sz w:val="16"/>
          <w:szCs w:val="16"/>
        </w:rPr>
        <w:t xml:space="preserve"> стали в четком соответствии с ан</w:t>
      </w:r>
      <w:r w:rsidRPr="007122AB">
        <w:rPr>
          <w:rFonts w:ascii="Times New Roman" w:hAnsi="Times New Roman"/>
          <w:color w:val="000000" w:themeColor="text1"/>
          <w:sz w:val="16"/>
          <w:szCs w:val="16"/>
        </w:rPr>
        <w:softHyphen/>
        <w:t>глийскими чертежами с широким использованием специ</w:t>
      </w:r>
      <w:r w:rsidRPr="007122AB">
        <w:rPr>
          <w:rFonts w:ascii="Times New Roman" w:hAnsi="Times New Roman"/>
          <w:color w:val="000000" w:themeColor="text1"/>
          <w:sz w:val="16"/>
          <w:szCs w:val="16"/>
        </w:rPr>
        <w:softHyphen/>
        <w:t>ально закупленных импортных деталей и запасных частей. Но двигатели на них работать отказались. Следующие пят</w:t>
      </w:r>
      <w:r w:rsidRPr="007122AB">
        <w:rPr>
          <w:rFonts w:ascii="Times New Roman" w:hAnsi="Times New Roman"/>
          <w:color w:val="000000" w:themeColor="text1"/>
          <w:sz w:val="16"/>
          <w:szCs w:val="16"/>
        </w:rPr>
        <w:softHyphen/>
        <w:t>надцать танков первой серии также не смогли двигаться сво</w:t>
      </w:r>
      <w:r w:rsidRPr="007122AB">
        <w:rPr>
          <w:rFonts w:ascii="Times New Roman" w:hAnsi="Times New Roman"/>
          <w:color w:val="000000" w:themeColor="text1"/>
          <w:sz w:val="16"/>
          <w:szCs w:val="16"/>
        </w:rPr>
        <w:softHyphen/>
        <w:t>им ходом и приобретали подвижность только при переста</w:t>
      </w:r>
      <w:r w:rsidRPr="007122AB">
        <w:rPr>
          <w:rFonts w:ascii="Times New Roman" w:hAnsi="Times New Roman"/>
          <w:color w:val="000000" w:themeColor="text1"/>
          <w:sz w:val="16"/>
          <w:szCs w:val="16"/>
        </w:rPr>
        <w:softHyphen/>
        <w:t>новке в них мотора с эталонного «Виккерса» (10733,176).</w:t>
      </w:r>
    </w:p>
    <w:p w14:paraId="0C66160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6DE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новый состав КБ АВО-5 приступил к ра</w:t>
      </w:r>
      <w:r w:rsidRPr="007122AB">
        <w:rPr>
          <w:rFonts w:ascii="Times New Roman" w:hAnsi="Times New Roman"/>
          <w:color w:val="000000" w:themeColor="text1"/>
          <w:sz w:val="16"/>
          <w:szCs w:val="16"/>
        </w:rPr>
        <w:softHyphen/>
        <w:t>ботам над Т-35, а уже 28 февраля 1932 г. за</w:t>
      </w:r>
      <w:r w:rsidRPr="007122AB">
        <w:rPr>
          <w:rFonts w:ascii="Times New Roman" w:hAnsi="Times New Roman"/>
          <w:color w:val="000000" w:themeColor="text1"/>
          <w:sz w:val="16"/>
          <w:szCs w:val="16"/>
        </w:rPr>
        <w:softHyphen/>
        <w:t xml:space="preserve">меститель начальника УММ РККА Г. </w:t>
      </w:r>
      <w:proofErr w:type="spellStart"/>
      <w:r w:rsidRPr="007122AB">
        <w:rPr>
          <w:rFonts w:ascii="Times New Roman" w:hAnsi="Times New Roman"/>
          <w:color w:val="000000" w:themeColor="text1"/>
          <w:sz w:val="16"/>
          <w:szCs w:val="16"/>
        </w:rPr>
        <w:t>Бокис</w:t>
      </w:r>
      <w:proofErr w:type="spellEnd"/>
      <w:r w:rsidRPr="007122AB">
        <w:rPr>
          <w:rFonts w:ascii="Times New Roman" w:hAnsi="Times New Roman"/>
          <w:color w:val="000000" w:themeColor="text1"/>
          <w:sz w:val="16"/>
          <w:szCs w:val="16"/>
        </w:rPr>
        <w:t xml:space="preserve"> докладывал М. Тухачевскому, что работы по Т-35 идут ударными темпами и срыва сроков их окончания не намечается. Однако по срокам все-таки опоздали. Первый прототип Т-35 был по</w:t>
      </w:r>
      <w:r w:rsidRPr="007122AB">
        <w:rPr>
          <w:rFonts w:ascii="Times New Roman" w:hAnsi="Times New Roman"/>
          <w:color w:val="000000" w:themeColor="text1"/>
          <w:sz w:val="16"/>
          <w:szCs w:val="16"/>
        </w:rPr>
        <w:softHyphen/>
        <w:t xml:space="preserve">казан представителям Заказчика - УММ РККА во главе с </w:t>
      </w:r>
      <w:proofErr w:type="spellStart"/>
      <w:r w:rsidRPr="007122AB">
        <w:rPr>
          <w:rFonts w:ascii="Times New Roman" w:hAnsi="Times New Roman"/>
          <w:color w:val="000000" w:themeColor="text1"/>
          <w:sz w:val="16"/>
          <w:szCs w:val="16"/>
        </w:rPr>
        <w:t>Бокисом</w:t>
      </w:r>
      <w:proofErr w:type="spellEnd"/>
      <w:r w:rsidRPr="007122AB">
        <w:rPr>
          <w:rFonts w:ascii="Times New Roman" w:hAnsi="Times New Roman"/>
          <w:color w:val="000000" w:themeColor="text1"/>
          <w:sz w:val="16"/>
          <w:szCs w:val="16"/>
        </w:rPr>
        <w:t xml:space="preserve"> только 1 сентября, тогда как первоначально в сен</w:t>
      </w:r>
      <w:r w:rsidRPr="007122AB">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w:t>
      </w:r>
      <w:proofErr w:type="spellStart"/>
      <w:r w:rsidRPr="007122AB">
        <w:rPr>
          <w:rFonts w:ascii="Times New Roman" w:hAnsi="Times New Roman"/>
          <w:color w:val="000000" w:themeColor="text1"/>
          <w:sz w:val="16"/>
          <w:szCs w:val="16"/>
        </w:rPr>
        <w:t>Гросстрактор</w:t>
      </w:r>
      <w:proofErr w:type="spellEnd"/>
      <w:r w:rsidRPr="007122AB">
        <w:rPr>
          <w:rFonts w:ascii="Times New Roman" w:hAnsi="Times New Roman"/>
          <w:color w:val="000000" w:themeColor="text1"/>
          <w:sz w:val="16"/>
          <w:szCs w:val="16"/>
        </w:rPr>
        <w:t>» и ТГ, новый танк, несомненно, поразил:</w:t>
      </w:r>
    </w:p>
    <w:p w14:paraId="5C70196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«Танк оставляет самое благоприятное впечатление... Он имеет пять </w:t>
      </w:r>
      <w:proofErr w:type="spellStart"/>
      <w:r w:rsidRPr="007122AB">
        <w:rPr>
          <w:rFonts w:ascii="Times New Roman" w:hAnsi="Times New Roman"/>
          <w:color w:val="000000" w:themeColor="text1"/>
          <w:sz w:val="16"/>
          <w:szCs w:val="16"/>
        </w:rPr>
        <w:t>башенъ</w:t>
      </w:r>
      <w:proofErr w:type="spellEnd"/>
      <w:r w:rsidRPr="007122AB">
        <w:rPr>
          <w:rFonts w:ascii="Times New Roman" w:hAnsi="Times New Roman"/>
          <w:color w:val="000000" w:themeColor="text1"/>
          <w:sz w:val="16"/>
          <w:szCs w:val="16"/>
        </w:rPr>
        <w:t>,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7122AB">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7122AB">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7122AB">
        <w:rPr>
          <w:rFonts w:ascii="Times New Roman" w:hAnsi="Times New Roman"/>
          <w:color w:val="000000" w:themeColor="text1"/>
          <w:sz w:val="16"/>
          <w:szCs w:val="16"/>
        </w:rPr>
        <w:softHyphen/>
        <w:t>венного усиления стрелковых (в обороне) и броневых (в на</w:t>
      </w:r>
      <w:r w:rsidRPr="007122AB">
        <w:rPr>
          <w:rFonts w:ascii="Times New Roman" w:hAnsi="Times New Roman"/>
          <w:color w:val="000000" w:themeColor="text1"/>
          <w:sz w:val="16"/>
          <w:szCs w:val="16"/>
        </w:rPr>
        <w:softHyphen/>
        <w:t>ступлении) сил республики...» - делился своими впечатле</w:t>
      </w:r>
      <w:r w:rsidRPr="007122AB">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7122AB">
        <w:rPr>
          <w:rFonts w:ascii="Times New Roman" w:hAnsi="Times New Roman"/>
          <w:color w:val="000000" w:themeColor="text1"/>
          <w:sz w:val="16"/>
          <w:szCs w:val="16"/>
        </w:rPr>
        <w:softHyphen/>
        <w:t>приятных неожиданностей. Хоть в управлении танк ока</w:t>
      </w:r>
      <w:r w:rsidRPr="007122AB">
        <w:rPr>
          <w:rFonts w:ascii="Times New Roman" w:hAnsi="Times New Roman"/>
          <w:color w:val="000000" w:themeColor="text1"/>
          <w:sz w:val="16"/>
          <w:szCs w:val="16"/>
        </w:rPr>
        <w:softHyphen/>
        <w:t>зался чрезвычайно легким даже на пересеченной местнос</w:t>
      </w:r>
      <w:r w:rsidRPr="007122AB">
        <w:rPr>
          <w:rFonts w:ascii="Times New Roman" w:hAnsi="Times New Roman"/>
          <w:color w:val="000000" w:themeColor="text1"/>
          <w:sz w:val="16"/>
          <w:szCs w:val="16"/>
        </w:rPr>
        <w:softHyphen/>
        <w:t xml:space="preserve">ти, но постоянно отказывала система </w:t>
      </w:r>
      <w:proofErr w:type="spellStart"/>
      <w:r w:rsidRPr="007122AB">
        <w:rPr>
          <w:rFonts w:ascii="Times New Roman" w:hAnsi="Times New Roman"/>
          <w:color w:val="000000" w:themeColor="text1"/>
          <w:sz w:val="16"/>
          <w:szCs w:val="16"/>
        </w:rPr>
        <w:t>пневмоуправления</w:t>
      </w:r>
      <w:proofErr w:type="spellEnd"/>
      <w:r w:rsidRPr="007122AB">
        <w:rPr>
          <w:rFonts w:ascii="Times New Roman" w:hAnsi="Times New Roman"/>
          <w:color w:val="000000" w:themeColor="text1"/>
          <w:sz w:val="16"/>
          <w:szCs w:val="16"/>
        </w:rPr>
        <w:t>, перегревался двигатель, подтекала топливная система, не работало 76-мм орудие ПС-3. Танк ремонтировался, дора</w:t>
      </w:r>
      <w:r w:rsidRPr="007122AB">
        <w:rPr>
          <w:rFonts w:ascii="Times New Roman" w:hAnsi="Times New Roman"/>
          <w:color w:val="000000" w:themeColor="text1"/>
          <w:sz w:val="16"/>
          <w:szCs w:val="16"/>
        </w:rPr>
        <w:softHyphen/>
        <w:t xml:space="preserve">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w:t>
      </w:r>
      <w:r w:rsidRPr="007122AB">
        <w:rPr>
          <w:rFonts w:ascii="Times New Roman" w:hAnsi="Times New Roman"/>
          <w:color w:val="000000" w:themeColor="text1"/>
          <w:sz w:val="16"/>
          <w:szCs w:val="16"/>
        </w:rPr>
        <w:lastRenderedPageBreak/>
        <w:t>мощного двигателя водяного охлаждения, «как обеспечивающего более надежную работу в малом забро</w:t>
      </w:r>
      <w:r w:rsidRPr="007122AB">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7122AB">
        <w:rPr>
          <w:rFonts w:ascii="Times New Roman" w:hAnsi="Times New Roman"/>
          <w:color w:val="000000" w:themeColor="text1"/>
          <w:sz w:val="16"/>
          <w:szCs w:val="16"/>
        </w:rPr>
        <w:softHyphen/>
        <w:t>ленную к серийному производству (10733,261).</w:t>
      </w:r>
    </w:p>
    <w:p w14:paraId="538B26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FFCA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все дальнейшие работы по колес</w:t>
      </w:r>
      <w:r w:rsidRPr="007122AB">
        <w:rPr>
          <w:rFonts w:ascii="Times New Roman" w:hAnsi="Times New Roman"/>
          <w:color w:val="000000" w:themeColor="text1"/>
          <w:sz w:val="16"/>
          <w:szCs w:val="16"/>
        </w:rPr>
        <w:softHyphen/>
        <w:t>ным танкеткам прекратили. Обе машины передали на воен</w:t>
      </w:r>
      <w:r w:rsidRPr="007122AB">
        <w:rPr>
          <w:rFonts w:ascii="Times New Roman" w:hAnsi="Times New Roman"/>
          <w:color w:val="000000" w:themeColor="text1"/>
          <w:sz w:val="16"/>
          <w:szCs w:val="16"/>
        </w:rPr>
        <w:softHyphen/>
        <w:t>ный склад № 37 в Москве, а позднее их разбронировали (11284).</w:t>
      </w:r>
    </w:p>
    <w:p w14:paraId="5DCC0EB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5CA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проходил испытания ба БАД-1, разработанный ТО ЭКО ПП ОГПУ ЛВО в 1931 на базе Форд А. Передали в Управление Погранохраны ПП ОГПУ в ЛВО (9527,306).</w:t>
      </w:r>
    </w:p>
    <w:p w14:paraId="1611D9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DEAC5A" w14:textId="77777777" w:rsidR="001A30FC" w:rsidRPr="007122AB" w:rsidRDefault="001A30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 декабре 1931 года в конструкцию </w:t>
      </w:r>
      <w:proofErr w:type="spellStart"/>
      <w:r w:rsidRPr="007122AB">
        <w:rPr>
          <w:rFonts w:ascii="Times New Roman" w:hAnsi="Times New Roman"/>
          <w:color w:val="000000" w:themeColor="text1"/>
          <w:sz w:val="16"/>
          <w:szCs w:val="16"/>
        </w:rPr>
        <w:t>бронемотовагона</w:t>
      </w:r>
      <w:proofErr w:type="spellEnd"/>
      <w:r w:rsidRPr="007122AB">
        <w:rPr>
          <w:rFonts w:ascii="Times New Roman" w:hAnsi="Times New Roman"/>
          <w:color w:val="000000" w:themeColor="text1"/>
          <w:sz w:val="16"/>
          <w:szCs w:val="16"/>
        </w:rPr>
        <w:t xml:space="preserve"> Д-2 </w:t>
      </w:r>
      <w:proofErr w:type="spellStart"/>
      <w:r w:rsidRPr="007122AB">
        <w:rPr>
          <w:rFonts w:ascii="Times New Roman" w:hAnsi="Times New Roman"/>
          <w:color w:val="000000" w:themeColor="text1"/>
          <w:sz w:val="16"/>
          <w:szCs w:val="16"/>
        </w:rPr>
        <w:t>кнструкции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w:t>
      </w:r>
    </w:p>
    <w:p w14:paraId="0A86C8B9" w14:textId="77777777" w:rsidR="001A30FC" w:rsidRPr="007122AB" w:rsidRDefault="001A30F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Разработанный вариант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(15624).</w:t>
      </w:r>
    </w:p>
    <w:p w14:paraId="6FCF1461" w14:textId="77777777" w:rsidR="001A30FC" w:rsidRPr="007122AB" w:rsidRDefault="001A30FC" w:rsidP="007122AB">
      <w:pPr>
        <w:spacing w:after="0" w:line="240" w:lineRule="auto"/>
        <w:jc w:val="both"/>
        <w:rPr>
          <w:rFonts w:ascii="Times New Roman" w:hAnsi="Times New Roman"/>
          <w:color w:val="000000" w:themeColor="text1"/>
          <w:sz w:val="16"/>
          <w:szCs w:val="16"/>
        </w:rPr>
      </w:pPr>
    </w:p>
    <w:p w14:paraId="509F62AC" w14:textId="77777777" w:rsidR="00E3153B" w:rsidRPr="007122AB" w:rsidRDefault="00E3153B"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 xml:space="preserve">В ноябре 1931 г. на ХПЗ были готовы два опытных образца тягача «Коминтерн». </w:t>
      </w:r>
    </w:p>
    <w:p w14:paraId="0D994185" w14:textId="77777777" w:rsidR="00E3153B" w:rsidRPr="007122AB" w:rsidRDefault="00E3153B"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Проектирование этой машины ХПЗ осуществлял по заказу Главного артиллерийского управления с 1930 г. Конструкторский коллектив возглавил Борис Воронков. Для тягача соз</w:t>
      </w:r>
      <w:r w:rsidRPr="007122AB">
        <w:rPr>
          <w:rFonts w:ascii="Times New Roman" w:hAnsi="Times New Roman"/>
          <w:color w:val="000000" w:themeColor="text1"/>
          <w:sz w:val="16"/>
          <w:szCs w:val="16"/>
          <w:lang w:eastAsia="ru-RU" w:bidi="ru-RU"/>
        </w:rPr>
        <w:softHyphen/>
        <w:t>дали специальный четырехцилиндровый карбюраторный двигатель — на</w:t>
      </w:r>
      <w:r w:rsidRPr="007122AB">
        <w:rPr>
          <w:rFonts w:ascii="Times New Roman" w:hAnsi="Times New Roman"/>
          <w:color w:val="000000" w:themeColor="text1"/>
          <w:sz w:val="16"/>
          <w:szCs w:val="16"/>
          <w:lang w:eastAsia="ru-RU" w:bidi="ru-RU"/>
        </w:rPr>
        <w:softHyphen/>
        <w:t>дежный и неприхотливый, способный работать на низкосортном горючем. При собственной массе 10,5 т «Коминтерн» мог буксировать орудия (или другие прицепы) массой до 12 т. Кроме того, в кузове тягач мог перевозить 2 т груза (или 12 человек расчета орудия).</w:t>
      </w:r>
    </w:p>
    <w:p w14:paraId="4B734769" w14:textId="77777777" w:rsidR="00E3153B" w:rsidRPr="007122AB" w:rsidRDefault="00E315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По итогам ис</w:t>
      </w:r>
      <w:r w:rsidRPr="007122AB">
        <w:rPr>
          <w:rFonts w:ascii="Times New Roman" w:hAnsi="Times New Roman"/>
          <w:color w:val="000000" w:themeColor="text1"/>
          <w:sz w:val="16"/>
          <w:szCs w:val="16"/>
          <w:lang w:eastAsia="ru-RU" w:bidi="ru-RU"/>
        </w:rPr>
        <w:softHyphen/>
        <w:t>пытаний «Коминтерн» в 1933 г. был принят на вооружение. На следующий год ХПЗ изготовил первую партию тягачей (50 экземпляров), а с 1935 г. началось массовое производство. До 1940 г. завод выпустил 1798 машин. «Коминтерн» стал первым советским специально спроектированным ар</w:t>
      </w:r>
      <w:r w:rsidRPr="007122AB">
        <w:rPr>
          <w:rFonts w:ascii="Times New Roman" w:hAnsi="Times New Roman"/>
          <w:color w:val="000000" w:themeColor="text1"/>
          <w:sz w:val="16"/>
          <w:szCs w:val="16"/>
          <w:lang w:eastAsia="ru-RU" w:bidi="ru-RU"/>
        </w:rPr>
        <w:softHyphen/>
        <w:t>тиллерийским тягачом. Он применялся для буксировки тяжелых систем корпусной артиллерии — главным образом, 152-мм пушек (23180).</w:t>
      </w:r>
    </w:p>
    <w:p w14:paraId="2087548C" w14:textId="77777777" w:rsidR="00E3153B" w:rsidRPr="007122AB" w:rsidRDefault="00E3153B" w:rsidP="007122AB">
      <w:pPr>
        <w:spacing w:after="0" w:line="240" w:lineRule="auto"/>
        <w:jc w:val="both"/>
        <w:rPr>
          <w:rFonts w:ascii="Times New Roman" w:hAnsi="Times New Roman"/>
          <w:color w:val="000000" w:themeColor="text1"/>
          <w:sz w:val="16"/>
          <w:szCs w:val="16"/>
        </w:rPr>
      </w:pPr>
    </w:p>
    <w:p w14:paraId="02C34AB1" w14:textId="77777777" w:rsidR="00E3153B" w:rsidRPr="007122AB" w:rsidRDefault="00E315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изготавливается разработанный в институте трехосный автомобиль повышенной про</w:t>
      </w:r>
      <w:r w:rsidRPr="007122AB">
        <w:rPr>
          <w:rFonts w:ascii="Times New Roman" w:hAnsi="Times New Roman"/>
          <w:color w:val="000000" w:themeColor="text1"/>
          <w:sz w:val="16"/>
          <w:szCs w:val="16"/>
        </w:rPr>
        <w:softHyphen/>
        <w:t>ходимости Я-НАТИ-10 (Я-НАТИ-Х) грузоподъемнос</w:t>
      </w:r>
      <w:r w:rsidRPr="007122AB">
        <w:rPr>
          <w:rFonts w:ascii="Times New Roman" w:hAnsi="Times New Roman"/>
          <w:color w:val="000000" w:themeColor="text1"/>
          <w:sz w:val="16"/>
          <w:szCs w:val="16"/>
        </w:rPr>
        <w:softHyphen/>
        <w:t>тью 8 т. При его проектировании широко использова</w:t>
      </w:r>
      <w:r w:rsidRPr="007122AB">
        <w:rPr>
          <w:rFonts w:ascii="Times New Roman" w:hAnsi="Times New Roman"/>
          <w:color w:val="000000" w:themeColor="text1"/>
          <w:sz w:val="16"/>
          <w:szCs w:val="16"/>
        </w:rPr>
        <w:softHyphen/>
        <w:t>ли узлы и агрегаты серийно выпускаемых автомо</w:t>
      </w:r>
      <w:r w:rsidRPr="007122AB">
        <w:rPr>
          <w:rFonts w:ascii="Times New Roman" w:hAnsi="Times New Roman"/>
          <w:color w:val="000000" w:themeColor="text1"/>
          <w:sz w:val="16"/>
          <w:szCs w:val="16"/>
        </w:rPr>
        <w:softHyphen/>
        <w:t>билей. Радиатор, капот, переднюю ось, руль, каби</w:t>
      </w:r>
      <w:r w:rsidRPr="007122AB">
        <w:rPr>
          <w:rFonts w:ascii="Times New Roman" w:hAnsi="Times New Roman"/>
          <w:color w:val="000000" w:themeColor="text1"/>
          <w:sz w:val="16"/>
          <w:szCs w:val="16"/>
        </w:rPr>
        <w:softHyphen/>
        <w:t>ну, бензиновый бак, крылья и подножки, но, главное, двигатель позаимствовали со стандартного пятитонного грузовика ЯГ-5.</w:t>
      </w:r>
    </w:p>
    <w:p w14:paraId="191514E3" w14:textId="77777777" w:rsidR="00E3153B" w:rsidRPr="007122AB" w:rsidRDefault="00E3153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Наиболее интересной частью конструкции автомобиля являлась задняя двухосная тележка. Тележка эта была устроена так, что каждое из колес могло независимо от других преодолеть препятствия высотой до 45 см. Такая подвижность позволяла трехоске проходить по дорогам, непреодолимым для двухосных машин. Двойная шестеренчатая главная передача по сравнению с червячными редукторами большинства заграничных автомобилей давала более высокий коэффициент полезного действия, простоту монтажа, меньший износ и возможность изготовления почти на каждом ремонтном или машиностроительном заводе (22518)</w:t>
      </w:r>
    </w:p>
    <w:p w14:paraId="58CEFEDD" w14:textId="77777777" w:rsidR="00E3153B" w:rsidRPr="007122AB" w:rsidRDefault="00E3153B" w:rsidP="007122AB">
      <w:pPr>
        <w:spacing w:after="0" w:line="240" w:lineRule="auto"/>
        <w:jc w:val="both"/>
        <w:rPr>
          <w:rFonts w:ascii="Times New Roman" w:hAnsi="Times New Roman"/>
          <w:color w:val="000000" w:themeColor="text1"/>
          <w:sz w:val="16"/>
          <w:szCs w:val="16"/>
        </w:rPr>
      </w:pPr>
    </w:p>
    <w:p w14:paraId="764DC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ноября 1931 г. на смену АМО-2 (их собрано 1715 штук) пришли грузовики АМО-3, целиком изготовленные у нас в стране. От АМО-2 они отличались отдельными элементами конструкции. Среди них - модернизированный задний мост, форма передних крыльев, размеры боковых бортов грузовой платформы, батарейное зажигание (вместо магнето), форма кронштейнов фар. Разумеется, пришлось пересмотреть многие размеры, допуски на них, а главное, перевести все размеры из дюймов в миллиметры. Эту кропотливую и невидную работу главный конструктор завода АМО Е. И. </w:t>
      </w:r>
      <w:proofErr w:type="spellStart"/>
      <w:r w:rsidRPr="007122AB">
        <w:rPr>
          <w:rFonts w:ascii="Times New Roman" w:hAnsi="Times New Roman"/>
          <w:color w:val="000000" w:themeColor="text1"/>
          <w:sz w:val="16"/>
          <w:szCs w:val="16"/>
        </w:rPr>
        <w:t>Важинский</w:t>
      </w:r>
      <w:proofErr w:type="spellEnd"/>
      <w:r w:rsidRPr="007122AB">
        <w:rPr>
          <w:rFonts w:ascii="Times New Roman" w:hAnsi="Times New Roman"/>
          <w:color w:val="000000" w:themeColor="text1"/>
          <w:sz w:val="16"/>
          <w:szCs w:val="16"/>
        </w:rPr>
        <w:t xml:space="preserve"> и другие инженеры выполнили быстро и хорошо. Изменили материалы, термообработку, конфигурацию некоторых деталей. Но несмотря на мелкие усовершенствования, машина оказалась перетяжеленной, а многие узлы </w:t>
      </w:r>
      <w:proofErr w:type="spellStart"/>
      <w:r w:rsidRPr="007122AB">
        <w:rPr>
          <w:rFonts w:ascii="Times New Roman" w:hAnsi="Times New Roman"/>
          <w:color w:val="000000" w:themeColor="text1"/>
          <w:sz w:val="16"/>
          <w:szCs w:val="16"/>
        </w:rPr>
        <w:t>неравнопрочными</w:t>
      </w:r>
      <w:proofErr w:type="spellEnd"/>
      <w:r w:rsidRPr="007122AB">
        <w:rPr>
          <w:rFonts w:ascii="Times New Roman" w:hAnsi="Times New Roman"/>
          <w:color w:val="000000" w:themeColor="text1"/>
          <w:sz w:val="16"/>
          <w:szCs w:val="16"/>
        </w:rPr>
        <w:t xml:space="preserve">. Что было хорошо в 1928 г. для американских условий эксплуатации, оказалось </w:t>
      </w:r>
      <w:proofErr w:type="spellStart"/>
      <w:r w:rsidRPr="007122AB">
        <w:rPr>
          <w:rFonts w:ascii="Times New Roman" w:hAnsi="Times New Roman"/>
          <w:color w:val="000000" w:themeColor="text1"/>
          <w:sz w:val="16"/>
          <w:szCs w:val="16"/>
        </w:rPr>
        <w:t>малоприемлемым</w:t>
      </w:r>
      <w:proofErr w:type="spellEnd"/>
      <w:r w:rsidRPr="007122AB">
        <w:rPr>
          <w:rFonts w:ascii="Times New Roman" w:hAnsi="Times New Roman"/>
          <w:color w:val="000000" w:themeColor="text1"/>
          <w:sz w:val="16"/>
          <w:szCs w:val="16"/>
        </w:rPr>
        <w:t xml:space="preserve"> для наших уже в 1931 г. Однако несмотря на необходимость ревизии отдельных инженерных решений, АМО-2 и АМО-3 в нашем автомобилестроении сыграли роль пионеров. В 1930-1931 гг. они явились первыми отечественными моделями, снабженными гидравлическим приводом тормозов, батарейной системой зажигания, ди-</w:t>
      </w:r>
      <w:proofErr w:type="spellStart"/>
      <w:r w:rsidRPr="007122AB">
        <w:rPr>
          <w:rFonts w:ascii="Times New Roman" w:hAnsi="Times New Roman"/>
          <w:color w:val="000000" w:themeColor="text1"/>
          <w:sz w:val="16"/>
          <w:szCs w:val="16"/>
        </w:rPr>
        <w:t>афрагенным</w:t>
      </w:r>
      <w:proofErr w:type="spellEnd"/>
      <w:r w:rsidRPr="007122AB">
        <w:rPr>
          <w:rFonts w:ascii="Times New Roman" w:hAnsi="Times New Roman"/>
          <w:color w:val="000000" w:themeColor="text1"/>
          <w:sz w:val="16"/>
          <w:szCs w:val="16"/>
        </w:rPr>
        <w:t xml:space="preserve"> бензонасосом, приводимым от коробки передач компрессором для накачки шин. Оценивая конструкцию с позиций современного развития автомобильной техники, мы вряд ли обратим внимание на то, что АМО-3 имел тормоза на всех четырех колесах. Первым среди отечественных моделей! Да и немалое количество зарубежных грузовиков того времени еще обходилось тормозами только задних колес. Надо сказать, что все эти новинки, непривычные тогда для наших автомобилистов, не остались техническим курьезом. Большая их часть получила дальнейшее развитие (12098).</w:t>
      </w:r>
    </w:p>
    <w:p w14:paraId="222855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72D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был основан Егоршинский радиозавод (ГС завод № 626 НКЭП, Егоршинский радиозавод НКЭП, Свердловский радиозавод, Свердловский завод автоматики /г. Егоршино Свердловской обл./). В 1941 г. после начала войны на площадку Егоршинского радиозавода НКЭП был эвакуирован Киевский радиозавод НКЭП. По пр. НКЭП № 264с от 5.09.1941 г. на базе Киевского и Егоршинского заводов организован объединенный ГС завод № 625 в ведении </w:t>
      </w:r>
      <w:proofErr w:type="spellStart"/>
      <w:r w:rsidRPr="007122AB">
        <w:rPr>
          <w:rFonts w:ascii="Times New Roman" w:hAnsi="Times New Roman"/>
          <w:color w:val="000000" w:themeColor="text1"/>
          <w:sz w:val="16"/>
          <w:szCs w:val="16"/>
        </w:rPr>
        <w:t>Главрадиопрома</w:t>
      </w:r>
      <w:proofErr w:type="spellEnd"/>
      <w:r w:rsidRPr="007122AB">
        <w:rPr>
          <w:rFonts w:ascii="Times New Roman" w:hAnsi="Times New Roman"/>
          <w:color w:val="000000" w:themeColor="text1"/>
          <w:sz w:val="16"/>
          <w:szCs w:val="16"/>
        </w:rPr>
        <w:t xml:space="preserve"> НКЭП.</w:t>
      </w:r>
    </w:p>
    <w:p w14:paraId="5122F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Выпускал танковые переговорные устройства. В 1946 г. завод получил оборудование, вывезенное из Германии, которое было размещено на новой площадке Дома промышленности. Новое производство вступило в строй 4.04.1946 г. Освоено производство самолетных и танковых переговорных устройств, приемных буквопечатающих аппаратов, измерителей помех, бытовой радиоаппаратуры (репродукторов, радиоприемников, радиол «Урал»).</w:t>
      </w:r>
    </w:p>
    <w:p w14:paraId="447A9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1952 г. при заводе организовано СКБ-626, в 1953 г. СКБ и завод преобразованы в НИИ-592 с опытным заводом. В 1965 г. опытный завод получил название Свердловский завод автоматики.</w:t>
      </w:r>
    </w:p>
    <w:p w14:paraId="2F0047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СКБ-626 /г. Свердловск/</w:t>
      </w:r>
    </w:p>
    <w:p w14:paraId="38B556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СКБ-626 создано в 1952 г. для разработки и изготовления систем управления для БРТ, ОТРК и БРПЛ. Из СКБ- 385 сюда переведена группа конструкторов, в т.ч. Н.А. Семихатов.</w:t>
      </w:r>
    </w:p>
    <w:p w14:paraId="1FC2E3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1953(6) г. СКБ и завод преобразованы в НИИ-592 с опытным заводом.</w:t>
      </w:r>
    </w:p>
    <w:p w14:paraId="12A92D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(1953 г.)- Н.А. Семихатов.</w:t>
      </w:r>
    </w:p>
    <w:p w14:paraId="7F39AF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(1953 г.)- Н.А. Семихатов.</w:t>
      </w:r>
    </w:p>
    <w:p w14:paraId="63111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Егоршинский радиозавод (ЕРЗ), Р-6693, ОАО «ЕРЗ» /623750 (623782)  г. Артемовский Свердловской обл. ул. Заводская, 40 тел. 33-086/</w:t>
      </w:r>
    </w:p>
    <w:p w14:paraId="2131C6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ЕРЗ имел наименование «п/я Р-6693».</w:t>
      </w:r>
    </w:p>
    <w:p w14:paraId="0D9E3E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AC7BB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Гендиректор- И. Губанов, (2002 г.)- В. Одесских, (2009 г.)- В. Елькин.</w:t>
      </w:r>
    </w:p>
    <w:p w14:paraId="2B7E6B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финансовый (-2007-08 г.-)- А. Собакин.</w:t>
      </w:r>
    </w:p>
    <w:p w14:paraId="2BEBBD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комплекс средств радиосвязи «Акватория» (2002); радиостанции: </w:t>
      </w:r>
      <w:r w:rsidRPr="007122AB">
        <w:rPr>
          <w:rFonts w:ascii="Times New Roman" w:hAnsi="Times New Roman"/>
          <w:color w:val="000000" w:themeColor="text1"/>
          <w:sz w:val="16"/>
          <w:szCs w:val="16"/>
          <w:lang w:val="en-US"/>
        </w:rPr>
        <w:t>KB</w:t>
      </w:r>
      <w:r w:rsidRPr="007122AB">
        <w:rPr>
          <w:rFonts w:ascii="Times New Roman" w:hAnsi="Times New Roman"/>
          <w:color w:val="000000" w:themeColor="text1"/>
          <w:sz w:val="16"/>
          <w:szCs w:val="16"/>
        </w:rPr>
        <w:t xml:space="preserve"> «Ангара-1», «Ангара РП», 17Р10 «Ангара РБ» (2002); УКВ «Спрут» (2002); «Ласточка»; РТ-20У, РТ-50; радиоустановка «Баркас» (2002);</w:t>
      </w:r>
      <w:r w:rsidRPr="007122AB">
        <w:rPr>
          <w:rFonts w:ascii="Times New Roman" w:hAnsi="Times New Roman"/>
          <w:color w:val="000000" w:themeColor="text1"/>
          <w:sz w:val="16"/>
          <w:szCs w:val="16"/>
          <w:vertAlign w:val="superscript"/>
        </w:rPr>
        <w:t>69</w:t>
      </w:r>
      <w:r w:rsidRPr="007122AB">
        <w:rPr>
          <w:rFonts w:ascii="Times New Roman" w:hAnsi="Times New Roman"/>
          <w:color w:val="000000" w:themeColor="text1"/>
          <w:sz w:val="16"/>
          <w:szCs w:val="16"/>
        </w:rPr>
        <w:t xml:space="preserve"> передвижной пункт управления на базе автомобиля «Баргузин» (2003); телевизор «Аметист» 27ТЦ-5205.</w:t>
      </w:r>
    </w:p>
    <w:p w14:paraId="0DDDBB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Союзный НИИ-592 ГКРЭ, НИИ автоматики (НИИА)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НПО автоматики (НПОА), ФГУП «НПОА им. академика Н.А. Семихатова» /620075  г. Свердловск,  г. Екатеринбург ул. Мамина-Сибиряка, 145 тел. 55-95-25/</w:t>
      </w:r>
    </w:p>
    <w:p w14:paraId="0E6F8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1953(6) г. СКБ-626 и завод № 626 преобразованы в Союзный НИИ-592 с опытным заводом. В 1965 г. НИИ- 592 ГКРЭ передано в ведение 4ГУ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xml:space="preserve"> и по приказу от 6.03.1966 г. преобразовано в НИИА.</w:t>
      </w:r>
      <w:r w:rsidRPr="007122AB">
        <w:rPr>
          <w:rFonts w:ascii="Times New Roman" w:hAnsi="Times New Roman"/>
          <w:color w:val="000000" w:themeColor="text1"/>
          <w:sz w:val="16"/>
          <w:szCs w:val="16"/>
          <w:vertAlign w:val="superscript"/>
        </w:rPr>
        <w:t>77</w:t>
      </w:r>
      <w:r w:rsidRPr="007122AB">
        <w:rPr>
          <w:rFonts w:ascii="Times New Roman" w:hAnsi="Times New Roman"/>
          <w:color w:val="000000" w:themeColor="text1"/>
          <w:sz w:val="16"/>
          <w:szCs w:val="16"/>
        </w:rPr>
        <w:t xml:space="preserve"> В 1973(7) г. на базе института и Опытного завода создано НПОА.</w:t>
      </w:r>
    </w:p>
    <w:p w14:paraId="669FE9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Разработка и изготовление систем управления для БРПЛ, БРТ и ОТРК. В 1959 г. создана СУ для первого в мире РК для ПЛ. На ракете Р-29 впервые в мире реализована СУ с </w:t>
      </w:r>
      <w:proofErr w:type="spellStart"/>
      <w:r w:rsidRPr="007122AB">
        <w:rPr>
          <w:rFonts w:ascii="Times New Roman" w:hAnsi="Times New Roman"/>
          <w:color w:val="000000" w:themeColor="text1"/>
          <w:sz w:val="16"/>
          <w:szCs w:val="16"/>
        </w:rPr>
        <w:t>асгрокоррекцией</w:t>
      </w:r>
      <w:proofErr w:type="spellEnd"/>
      <w:r w:rsidRPr="007122AB">
        <w:rPr>
          <w:rFonts w:ascii="Times New Roman" w:hAnsi="Times New Roman"/>
          <w:color w:val="000000" w:themeColor="text1"/>
          <w:sz w:val="16"/>
          <w:szCs w:val="16"/>
        </w:rPr>
        <w:t xml:space="preserve"> и принципиально новыми способами автономного управления. На Р-29РМУ впервые в мире наряду с </w:t>
      </w:r>
      <w:proofErr w:type="spellStart"/>
      <w:r w:rsidRPr="007122AB">
        <w:rPr>
          <w:rFonts w:ascii="Times New Roman" w:hAnsi="Times New Roman"/>
          <w:color w:val="000000" w:themeColor="text1"/>
          <w:sz w:val="16"/>
          <w:szCs w:val="16"/>
        </w:rPr>
        <w:t>астрокоррекцией</w:t>
      </w:r>
      <w:proofErr w:type="spellEnd"/>
      <w:r w:rsidRPr="007122AB">
        <w:rPr>
          <w:rFonts w:ascii="Times New Roman" w:hAnsi="Times New Roman"/>
          <w:color w:val="000000" w:themeColor="text1"/>
          <w:sz w:val="16"/>
          <w:szCs w:val="16"/>
        </w:rPr>
        <w:t xml:space="preserve"> была введена коррекция траектории по космической системе ГЛОНАСС.</w:t>
      </w:r>
    </w:p>
    <w:p w14:paraId="1FD1EF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3CE5B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Имело филиалы (2002 г.): ОКБ «Автоматика», ГУП НПОА-РЦЭ, «Криптон».</w:t>
      </w:r>
    </w:p>
    <w:p w14:paraId="2E93CA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w:t>
      </w:r>
      <w:proofErr w:type="spellStart"/>
      <w:r w:rsidRPr="007122AB">
        <w:rPr>
          <w:rFonts w:ascii="Times New Roman" w:hAnsi="Times New Roman"/>
          <w:color w:val="000000" w:themeColor="text1"/>
          <w:sz w:val="16"/>
          <w:szCs w:val="16"/>
        </w:rPr>
        <w:t>теплэнергетики</w:t>
      </w:r>
      <w:proofErr w:type="spellEnd"/>
      <w:r w:rsidRPr="007122AB">
        <w:rPr>
          <w:rFonts w:ascii="Times New Roman" w:hAnsi="Times New Roman"/>
          <w:color w:val="000000" w:themeColor="text1"/>
          <w:sz w:val="16"/>
          <w:szCs w:val="16"/>
        </w:rPr>
        <w:t>, нефтегазовой, металлургической, легкой промышленности, связи, транспорта.</w:t>
      </w:r>
    </w:p>
    <w:p w14:paraId="76DF1B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(2002 г.)- 3400 чел.</w:t>
      </w:r>
    </w:p>
    <w:p w14:paraId="68287A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(1953-92 г.)- академик (1990 г.) Н.А. Семихатов {10.12.1918-}, (-2002-04 г.-)- С.Ф. Дерюгин, (2005 г.)- Л.И. Шалимов.</w:t>
      </w:r>
    </w:p>
    <w:p w14:paraId="73EC71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Гендиректор (-2002-05 г.-)- Л.И. Шалимов.</w:t>
      </w:r>
    </w:p>
    <w:p w14:paraId="50DA4C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гендиректора по науке (2002 г.)- С.Ф. Дерюгин. Зам. Гендиректора: по РКТ (-2002-06 г.-)- Л.Н. Вельский; по конверсии (2002 г.)- Н. Г. Манько; по экономике и финансам (2002 г.)- В.В. </w:t>
      </w:r>
      <w:proofErr w:type="spellStart"/>
      <w:r w:rsidRPr="007122AB">
        <w:rPr>
          <w:rFonts w:ascii="Times New Roman" w:hAnsi="Times New Roman"/>
          <w:color w:val="000000" w:themeColor="text1"/>
          <w:sz w:val="16"/>
          <w:szCs w:val="16"/>
        </w:rPr>
        <w:t>Микотин</w:t>
      </w:r>
      <w:proofErr w:type="spellEnd"/>
      <w:r w:rsidRPr="007122AB">
        <w:rPr>
          <w:rFonts w:ascii="Times New Roman" w:hAnsi="Times New Roman"/>
          <w:color w:val="000000" w:themeColor="text1"/>
          <w:sz w:val="16"/>
          <w:szCs w:val="16"/>
        </w:rPr>
        <w:t>.</w:t>
      </w:r>
    </w:p>
    <w:p w14:paraId="61A3D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Гл. инженер (1953 г.-)- Н.А. Семихатов, (2002 г.)- В.А. Костромин.</w:t>
      </w:r>
      <w:r w:rsidRPr="007122AB">
        <w:rPr>
          <w:rFonts w:ascii="Times New Roman" w:hAnsi="Times New Roman"/>
          <w:color w:val="000000" w:themeColor="text1"/>
          <w:sz w:val="16"/>
          <w:szCs w:val="16"/>
          <w:vertAlign w:val="superscript"/>
        </w:rPr>
        <w:t>69</w:t>
      </w:r>
    </w:p>
    <w:p w14:paraId="65F6A3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Создано: </w:t>
      </w:r>
      <w:proofErr w:type="spellStart"/>
      <w:r w:rsidRPr="007122AB">
        <w:rPr>
          <w:rFonts w:ascii="Times New Roman" w:hAnsi="Times New Roman"/>
          <w:color w:val="000000" w:themeColor="text1"/>
          <w:sz w:val="16"/>
          <w:szCs w:val="16"/>
        </w:rPr>
        <w:t>инерциальныс</w:t>
      </w:r>
      <w:proofErr w:type="spellEnd"/>
      <w:r w:rsidRPr="007122AB">
        <w:rPr>
          <w:rFonts w:ascii="Times New Roman" w:hAnsi="Times New Roman"/>
          <w:color w:val="000000" w:themeColor="text1"/>
          <w:sz w:val="16"/>
          <w:szCs w:val="16"/>
        </w:rPr>
        <w:t xml:space="preserve"> системы управления БРПЛ: Р-11ФМ, Р-13 (1950-е), Р-21, Р-27 комплекса Д-5 (1968), Р-29 комплекса Д-9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1974 г.), Р-29РМУ, Р-39 комплекса Д-19, «Булава-30»; БРТ: Р-17 «Скад» (1961); ОТРК: 8К14, «Темп-С» (1960-е).</w:t>
      </w:r>
      <w:r w:rsidRPr="007122AB">
        <w:rPr>
          <w:rFonts w:ascii="Times New Roman" w:hAnsi="Times New Roman"/>
          <w:color w:val="000000" w:themeColor="text1"/>
          <w:sz w:val="16"/>
          <w:szCs w:val="16"/>
          <w:vertAlign w:val="superscript"/>
        </w:rPr>
        <w:t>102</w:t>
      </w:r>
    </w:p>
    <w:p w14:paraId="41F30D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радиоприемники: «Москвич-В», «Искра», «Свердловск»; радиолы: «Урал-49, -50, -52», «Амур-2» (11982).</w:t>
      </w:r>
    </w:p>
    <w:p w14:paraId="24608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E12B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рассмотрев проект комплексного плана строительства ВМС РККА га 1932-35 </w:t>
      </w:r>
      <w:proofErr w:type="spellStart"/>
      <w:r w:rsidRPr="007122AB">
        <w:rPr>
          <w:rFonts w:ascii="Times New Roman" w:hAnsi="Times New Roman"/>
          <w:color w:val="000000" w:themeColor="text1"/>
          <w:sz w:val="16"/>
          <w:szCs w:val="16"/>
        </w:rPr>
        <w:t>гг</w:t>
      </w:r>
      <w:proofErr w:type="spellEnd"/>
      <w:r w:rsidRPr="007122AB">
        <w:rPr>
          <w:rFonts w:ascii="Times New Roman" w:hAnsi="Times New Roman"/>
          <w:color w:val="000000" w:themeColor="text1"/>
          <w:sz w:val="16"/>
          <w:szCs w:val="16"/>
        </w:rPr>
        <w:t>, Комиссия обороны, ввиду нападения Японии на Китай и выхода японских войск к границам СССР, рекомендовала усилить оборону Дальнего Востока путем пе</w:t>
      </w:r>
      <w:r w:rsidRPr="007122AB">
        <w:rPr>
          <w:rFonts w:ascii="Times New Roman" w:hAnsi="Times New Roman"/>
          <w:color w:val="000000" w:themeColor="text1"/>
          <w:sz w:val="16"/>
          <w:szCs w:val="16"/>
        </w:rPr>
        <w:softHyphen/>
        <w:t>рераспределения кораблей и типов подводных лодок — строить большие, средние и малые лодки — 75, 75 и 20 единиц соответст</w:t>
      </w:r>
      <w:r w:rsidRPr="007122AB">
        <w:rPr>
          <w:rFonts w:ascii="Times New Roman" w:hAnsi="Times New Roman"/>
          <w:color w:val="000000" w:themeColor="text1"/>
          <w:sz w:val="16"/>
          <w:szCs w:val="16"/>
        </w:rPr>
        <w:softHyphen/>
        <w:t>венно. Намеченное на 1932 г. начало постройки двух крейсеров и модернизации линкора "Фрунзе" временно отложили до 1933— 1934 гг. (3898).</w:t>
      </w:r>
    </w:p>
    <w:p w14:paraId="4A41F0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A418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в беседе с начальником генштаба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генералом Адамом Ворошилов неоднократно подчеркивал, что «и здесь немецкая сторона могла бы шире поставить исследовательские работы, ввезти для испытания больше всяких средств и активных, и пассивных- &lt;„. &gt; В «Томке» есть возможность Вам заниматься опытной работой, как нигде в Европе. Давайте и Вы, и мы этим пользоваться. Мы даем Вам необходимые условия и просим взамен также конкретную материальную компенсацию» (РГВА, ф. 33987, оп. 3, 375, л. 32.) (11784).</w:t>
      </w:r>
    </w:p>
    <w:p w14:paraId="5859C7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407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Решением ВСНХ СССР Контора по проектированию речных и морских судов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преобразована в Проектное бюро металлических судов речного, внутреннего морского и озерного флотов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В марте 1934 г. разделено на Сормовское государственное всесоюзное проектно-конструкторское бюро речного судостроения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(Сормовский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xml:space="preserve">") и Проектное бюро "Горьковский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xml:space="preserve">". В апреле 1938 г. Проектная контора "Горьковский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и Сормовский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xml:space="preserve">" объединены в Государственное всесоюзное проектное бюро по проектированию речных и морских судов "Горьковский </w:t>
      </w:r>
      <w:proofErr w:type="spellStart"/>
      <w:r w:rsidRPr="007122AB">
        <w:rPr>
          <w:rFonts w:ascii="Times New Roman" w:hAnsi="Times New Roman"/>
          <w:color w:val="000000" w:themeColor="text1"/>
          <w:sz w:val="16"/>
          <w:szCs w:val="16"/>
        </w:rPr>
        <w:t>Речсудопроект</w:t>
      </w:r>
      <w:proofErr w:type="spellEnd"/>
      <w:r w:rsidRPr="007122AB">
        <w:rPr>
          <w:rFonts w:ascii="Times New Roman" w:hAnsi="Times New Roman"/>
          <w:color w:val="000000" w:themeColor="text1"/>
          <w:sz w:val="16"/>
          <w:szCs w:val="16"/>
        </w:rPr>
        <w:t>",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w:t>
      </w:r>
      <w:proofErr w:type="spellStart"/>
      <w:r w:rsidRPr="007122AB">
        <w:rPr>
          <w:rFonts w:ascii="Times New Roman" w:hAnsi="Times New Roman"/>
          <w:color w:val="000000" w:themeColor="text1"/>
          <w:sz w:val="16"/>
          <w:szCs w:val="16"/>
        </w:rPr>
        <w:t>Волгобалтсудопроект</w:t>
      </w:r>
      <w:proofErr w:type="spellEnd"/>
      <w:r w:rsidRPr="007122AB">
        <w:rPr>
          <w:rFonts w:ascii="Times New Roman" w:hAnsi="Times New Roman"/>
          <w:color w:val="000000" w:themeColor="text1"/>
          <w:sz w:val="16"/>
          <w:szCs w:val="16"/>
        </w:rPr>
        <w:t>" (ЦКБ "</w:t>
      </w:r>
      <w:proofErr w:type="spellStart"/>
      <w:r w:rsidRPr="007122AB">
        <w:rPr>
          <w:rFonts w:ascii="Times New Roman" w:hAnsi="Times New Roman"/>
          <w:color w:val="000000" w:themeColor="text1"/>
          <w:sz w:val="16"/>
          <w:szCs w:val="16"/>
        </w:rPr>
        <w:t>Волгобалтсудопроект</w:t>
      </w:r>
      <w:proofErr w:type="spellEnd"/>
      <w:r w:rsidRPr="007122AB">
        <w:rPr>
          <w:rFonts w:ascii="Times New Roman" w:hAnsi="Times New Roman"/>
          <w:color w:val="000000" w:themeColor="text1"/>
          <w:sz w:val="16"/>
          <w:szCs w:val="16"/>
        </w:rPr>
        <w:t>"),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0594BB5" w14:textId="77777777" w:rsidR="00497B38" w:rsidRPr="007122AB" w:rsidRDefault="00497B3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BA463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6125195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4A7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в ходе визита в СССР нового начальника генштаба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генерала В. Адама Ворошилов, как и в беседе с </w:t>
      </w:r>
      <w:proofErr w:type="spellStart"/>
      <w:r w:rsidRPr="007122AB">
        <w:rPr>
          <w:rFonts w:ascii="Times New Roman" w:hAnsi="Times New Roman"/>
          <w:color w:val="000000" w:themeColor="text1"/>
          <w:sz w:val="16"/>
          <w:szCs w:val="16"/>
        </w:rPr>
        <w:t>Хаммерштайном</w:t>
      </w:r>
      <w:proofErr w:type="spellEnd"/>
      <w:r w:rsidRPr="007122AB">
        <w:rPr>
          <w:rFonts w:ascii="Times New Roman" w:hAnsi="Times New Roman"/>
          <w:color w:val="000000" w:themeColor="text1"/>
          <w:sz w:val="16"/>
          <w:szCs w:val="16"/>
        </w:rPr>
        <w:t xml:space="preserve"> в 1929 г., вновь жаловался на отсутствие в Липецке более современной техники. Он говорил Адаму: «Мне известно, что в Германии уже есть моторы, работающие на тяжелом топливе, новые высотные измерительные приспособления, пушки и пулеметные установки на самолетах, усовершенствованные средства связи между самолетами и землей, высококачественная специальная аппаратура и т. п. » Дабы сильней заинтересовать немцев, он поставил на повестку дня такие совместные работы как бомбометание и фотографирование с больших высот, стрельбы из крупнокалиберных пулеметов на различных высотах по земле и по воздушному противнику, использование осветительной службы при ночных полетах и т. д. Адам же, сославшись на ограниченность финансовых средств, признал справедливость упреков и пообещал... камеру-панораму со многими объективами, изготовленную на фирме «К. </w:t>
      </w:r>
      <w:proofErr w:type="spellStart"/>
      <w:r w:rsidRPr="007122AB">
        <w:rPr>
          <w:rFonts w:ascii="Times New Roman" w:hAnsi="Times New Roman"/>
          <w:color w:val="000000" w:themeColor="text1"/>
          <w:sz w:val="16"/>
          <w:szCs w:val="16"/>
        </w:rPr>
        <w:t>Цайсс</w:t>
      </w:r>
      <w:proofErr w:type="spellEnd"/>
      <w:r w:rsidRPr="007122AB">
        <w:rPr>
          <w:rFonts w:ascii="Times New Roman" w:hAnsi="Times New Roman"/>
          <w:color w:val="000000" w:themeColor="text1"/>
          <w:sz w:val="16"/>
          <w:szCs w:val="16"/>
        </w:rPr>
        <w:t xml:space="preserve">», а также крупнокалиберные пулеметы. На ту же тему разговаривал с Адамом 10 ноября 1931 г. и заместитель Ворошилова Тухачевский (РГВА, ф. 33987, оп. 3, д. 375, л. 22-40,162-163.). 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w:t>
      </w:r>
      <w:proofErr w:type="spellStart"/>
      <w:r w:rsidRPr="007122AB">
        <w:rPr>
          <w:rFonts w:ascii="Times New Roman" w:hAnsi="Times New Roman"/>
          <w:color w:val="000000" w:themeColor="text1"/>
          <w:sz w:val="16"/>
          <w:szCs w:val="16"/>
        </w:rPr>
        <w:t>Грелер</w:t>
      </w:r>
      <w:proofErr w:type="spellEnd"/>
      <w:r w:rsidRPr="007122AB">
        <w:rPr>
          <w:rFonts w:ascii="Times New Roman" w:hAnsi="Times New Roman"/>
          <w:color w:val="000000" w:themeColor="text1"/>
          <w:sz w:val="16"/>
          <w:szCs w:val="16"/>
        </w:rPr>
        <w:t xml:space="preserve"> считает, что в Липецке прошли испытания следующие типы самолетов: Хе-45, Хе-46, Хе-51, «</w:t>
      </w:r>
      <w:proofErr w:type="spellStart"/>
      <w:r w:rsidRPr="007122AB">
        <w:rPr>
          <w:rFonts w:ascii="Times New Roman" w:hAnsi="Times New Roman"/>
          <w:color w:val="000000" w:themeColor="text1"/>
          <w:sz w:val="16"/>
          <w:szCs w:val="16"/>
        </w:rPr>
        <w:t>Арадо</w:t>
      </w:r>
      <w:proofErr w:type="spellEnd"/>
      <w:r w:rsidRPr="007122AB">
        <w:rPr>
          <w:rFonts w:ascii="Times New Roman" w:hAnsi="Times New Roman"/>
          <w:color w:val="000000" w:themeColor="text1"/>
          <w:sz w:val="16"/>
          <w:szCs w:val="16"/>
        </w:rPr>
        <w:t xml:space="preserve"> 64-65», «Юнкере К-47», До-11 (</w:t>
      </w:r>
      <w:proofErr w:type="spellStart"/>
      <w:r w:rsidRPr="007122AB">
        <w:rPr>
          <w:rFonts w:ascii="Times New Roman" w:hAnsi="Times New Roman"/>
          <w:color w:val="000000" w:themeColor="text1"/>
          <w:sz w:val="16"/>
          <w:szCs w:val="16"/>
        </w:rPr>
        <w:t>Groehler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Olaf</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xml:space="preserve">. S. 45.). По-настоящему интерес к научно-техническому опыту и испытательным работам немцев в Липецке у советской стороны проснулся где-то на рубеже 1927 — 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летчики испытывали немецкие самолеты в воздухе. Советская сторона в 1930 — 1932гг. также устраивала показ своей авиационной техники и вооружений (например, авиационный пулемет Дегтярева в июле 1930 г. ), но лишь в сентябре 1931 г. в Тушине под Москвой была устроена широкая демонстрация советской авиатехники. Правда, по мнению немецких участников (Ф. </w:t>
      </w:r>
      <w:proofErr w:type="spellStart"/>
      <w:r w:rsidRPr="007122AB">
        <w:rPr>
          <w:rFonts w:ascii="Times New Roman" w:hAnsi="Times New Roman"/>
          <w:color w:val="000000" w:themeColor="text1"/>
          <w:sz w:val="16"/>
          <w:szCs w:val="16"/>
        </w:rPr>
        <w:t>Фельми</w:t>
      </w:r>
      <w:proofErr w:type="spellEnd"/>
      <w:r w:rsidRPr="007122AB">
        <w:rPr>
          <w:rFonts w:ascii="Times New Roman" w:hAnsi="Times New Roman"/>
          <w:color w:val="000000" w:themeColor="text1"/>
          <w:sz w:val="16"/>
          <w:szCs w:val="16"/>
        </w:rPr>
        <w:t xml:space="preserve">, Х. </w:t>
      </w:r>
      <w:proofErr w:type="spellStart"/>
      <w:r w:rsidRPr="007122AB">
        <w:rPr>
          <w:rFonts w:ascii="Times New Roman" w:hAnsi="Times New Roman"/>
          <w:color w:val="000000" w:themeColor="text1"/>
          <w:sz w:val="16"/>
          <w:szCs w:val="16"/>
        </w:rPr>
        <w:t>Шпайдель</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Друм</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Виммер</w:t>
      </w:r>
      <w:proofErr w:type="spellEnd"/>
      <w:r w:rsidRPr="007122AB">
        <w:rPr>
          <w:rFonts w:ascii="Times New Roman" w:hAnsi="Times New Roman"/>
          <w:color w:val="000000" w:themeColor="text1"/>
          <w:sz w:val="16"/>
          <w:szCs w:val="16"/>
        </w:rPr>
        <w:t xml:space="preserve">),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w:t>
      </w:r>
      <w:proofErr w:type="spellStart"/>
      <w:r w:rsidRPr="007122AB">
        <w:rPr>
          <w:rFonts w:ascii="Times New Roman" w:hAnsi="Times New Roman"/>
          <w:color w:val="000000" w:themeColor="text1"/>
          <w:sz w:val="16"/>
          <w:szCs w:val="16"/>
        </w:rPr>
        <w:t>Фельми</w:t>
      </w:r>
      <w:proofErr w:type="spellEnd"/>
      <w:r w:rsidRPr="007122AB">
        <w:rPr>
          <w:rFonts w:ascii="Times New Roman" w:hAnsi="Times New Roman"/>
          <w:color w:val="000000" w:themeColor="text1"/>
          <w:sz w:val="16"/>
          <w:szCs w:val="16"/>
        </w:rPr>
        <w:t xml:space="preserve">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w:t>
      </w:r>
      <w:proofErr w:type="spellStart"/>
      <w:r w:rsidRPr="007122AB">
        <w:rPr>
          <w:rFonts w:ascii="Times New Roman" w:hAnsi="Times New Roman"/>
          <w:color w:val="000000" w:themeColor="text1"/>
          <w:sz w:val="16"/>
          <w:szCs w:val="16"/>
        </w:rPr>
        <w:t>Шпайделя</w:t>
      </w:r>
      <w:proofErr w:type="spellEnd"/>
      <w:r w:rsidRPr="007122AB">
        <w:rPr>
          <w:rFonts w:ascii="Times New Roman" w:hAnsi="Times New Roman"/>
          <w:color w:val="000000" w:themeColor="text1"/>
          <w:sz w:val="16"/>
          <w:szCs w:val="16"/>
        </w:rPr>
        <w:t>, к 1933 г. благодаря Липецку было подготовлено около 450 немецких летчиков различной квалификации (</w:t>
      </w:r>
      <w:proofErr w:type="spellStart"/>
      <w:r w:rsidRPr="007122AB">
        <w:rPr>
          <w:rFonts w:ascii="Times New Roman" w:hAnsi="Times New Roman"/>
          <w:color w:val="000000" w:themeColor="text1"/>
          <w:sz w:val="16"/>
          <w:szCs w:val="16"/>
        </w:rPr>
        <w:t>Helm</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Speidel</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w:t>
      </w:r>
      <w:proofErr w:type="spellEnd"/>
      <w:r w:rsidRPr="007122AB">
        <w:rPr>
          <w:rFonts w:ascii="Times New Roman" w:hAnsi="Times New Roman"/>
          <w:color w:val="000000" w:themeColor="text1"/>
          <w:sz w:val="16"/>
          <w:szCs w:val="16"/>
        </w:rPr>
        <w:t xml:space="preserve">. S. 29, 30, 44; </w:t>
      </w:r>
      <w:proofErr w:type="spellStart"/>
      <w:r w:rsidRPr="007122AB">
        <w:rPr>
          <w:rFonts w:ascii="Times New Roman" w:hAnsi="Times New Roman"/>
          <w:color w:val="000000" w:themeColor="text1"/>
          <w:sz w:val="16"/>
          <w:szCs w:val="16"/>
        </w:rPr>
        <w:t>Manfred</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Zeidler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Op</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cit.с</w:t>
      </w:r>
      <w:proofErr w:type="spellEnd"/>
      <w:r w:rsidRPr="007122AB">
        <w:rPr>
          <w:rFonts w:ascii="Times New Roman" w:hAnsi="Times New Roman"/>
          <w:color w:val="000000" w:themeColor="text1"/>
          <w:sz w:val="16"/>
          <w:szCs w:val="16"/>
        </w:rPr>
        <w:t xml:space="preserve">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w:t>
      </w:r>
      <w:proofErr w:type="spellStart"/>
      <w:r w:rsidRPr="007122AB">
        <w:rPr>
          <w:rFonts w:ascii="Times New Roman" w:hAnsi="Times New Roman"/>
          <w:color w:val="000000" w:themeColor="text1"/>
          <w:sz w:val="16"/>
          <w:szCs w:val="16"/>
        </w:rPr>
        <w:t>Шпайдель</w:t>
      </w:r>
      <w:proofErr w:type="spellEnd"/>
      <w:r w:rsidRPr="007122AB">
        <w:rPr>
          <w:rFonts w:ascii="Times New Roman" w:hAnsi="Times New Roman"/>
          <w:color w:val="000000" w:themeColor="text1"/>
          <w:sz w:val="16"/>
          <w:szCs w:val="16"/>
        </w:rPr>
        <w:t xml:space="preserve">, К. </w:t>
      </w:r>
      <w:proofErr w:type="spellStart"/>
      <w:r w:rsidRPr="007122AB">
        <w:rPr>
          <w:rFonts w:ascii="Times New Roman" w:hAnsi="Times New Roman"/>
          <w:color w:val="000000" w:themeColor="text1"/>
          <w:sz w:val="16"/>
          <w:szCs w:val="16"/>
        </w:rPr>
        <w:t>Штудент</w:t>
      </w:r>
      <w:proofErr w:type="spellEnd"/>
      <w:r w:rsidRPr="007122AB">
        <w:rPr>
          <w:rFonts w:ascii="Times New Roman" w:hAnsi="Times New Roman"/>
          <w:color w:val="000000" w:themeColor="text1"/>
          <w:sz w:val="16"/>
          <w:szCs w:val="16"/>
        </w:rPr>
        <w:t xml:space="preserve">, X. </w:t>
      </w:r>
      <w:proofErr w:type="spellStart"/>
      <w:r w:rsidRPr="007122AB">
        <w:rPr>
          <w:rFonts w:ascii="Times New Roman" w:hAnsi="Times New Roman"/>
          <w:color w:val="000000" w:themeColor="text1"/>
          <w:sz w:val="16"/>
          <w:szCs w:val="16"/>
        </w:rPr>
        <w:t>Ешонек</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Виммер</w:t>
      </w:r>
      <w:proofErr w:type="spellEnd"/>
      <w:r w:rsidRPr="007122AB">
        <w:rPr>
          <w:rFonts w:ascii="Times New Roman" w:hAnsi="Times New Roman"/>
          <w:color w:val="000000" w:themeColor="text1"/>
          <w:sz w:val="16"/>
          <w:szCs w:val="16"/>
        </w:rPr>
        <w:t xml:space="preserve">, Э. </w:t>
      </w:r>
      <w:proofErr w:type="spellStart"/>
      <w:r w:rsidRPr="007122AB">
        <w:rPr>
          <w:rFonts w:ascii="Times New Roman" w:hAnsi="Times New Roman"/>
          <w:color w:val="000000" w:themeColor="text1"/>
          <w:sz w:val="16"/>
          <w:szCs w:val="16"/>
        </w:rPr>
        <w:t>Кваде</w:t>
      </w:r>
      <w:proofErr w:type="spellEnd"/>
      <w:r w:rsidRPr="007122AB">
        <w:rPr>
          <w:rFonts w:ascii="Times New Roman" w:hAnsi="Times New Roman"/>
          <w:color w:val="000000" w:themeColor="text1"/>
          <w:sz w:val="16"/>
          <w:szCs w:val="16"/>
        </w:rPr>
        <w:t xml:space="preserve">, Г. </w:t>
      </w:r>
      <w:proofErr w:type="spellStart"/>
      <w:r w:rsidRPr="007122AB">
        <w:rPr>
          <w:rFonts w:ascii="Times New Roman" w:hAnsi="Times New Roman"/>
          <w:color w:val="000000" w:themeColor="text1"/>
          <w:sz w:val="16"/>
          <w:szCs w:val="16"/>
        </w:rPr>
        <w:t>Кастнер</w:t>
      </w:r>
      <w:proofErr w:type="spellEnd"/>
      <w:r w:rsidRPr="007122AB">
        <w:rPr>
          <w:rFonts w:ascii="Times New Roman" w:hAnsi="Times New Roman"/>
          <w:color w:val="000000" w:themeColor="text1"/>
          <w:sz w:val="16"/>
          <w:szCs w:val="16"/>
        </w:rPr>
        <w:t xml:space="preserve">, О. </w:t>
      </w:r>
      <w:proofErr w:type="spellStart"/>
      <w:r w:rsidRPr="007122AB">
        <w:rPr>
          <w:rFonts w:ascii="Times New Roman" w:hAnsi="Times New Roman"/>
          <w:color w:val="000000" w:themeColor="text1"/>
          <w:sz w:val="16"/>
          <w:szCs w:val="16"/>
        </w:rPr>
        <w:t>Деслох</w:t>
      </w:r>
      <w:proofErr w:type="spellEnd"/>
      <w:r w:rsidRPr="007122AB">
        <w:rPr>
          <w:rFonts w:ascii="Times New Roman" w:hAnsi="Times New Roman"/>
          <w:color w:val="000000" w:themeColor="text1"/>
          <w:sz w:val="16"/>
          <w:szCs w:val="16"/>
        </w:rPr>
        <w:t xml:space="preserve"> и др. (11784).</w:t>
      </w:r>
    </w:p>
    <w:p w14:paraId="2F901B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7AC7F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переговоры К. Во</w:t>
      </w:r>
      <w:r w:rsidRPr="007122AB">
        <w:rPr>
          <w:rFonts w:ascii="Times New Roman" w:hAnsi="Times New Roman"/>
          <w:color w:val="000000" w:themeColor="text1"/>
          <w:sz w:val="16"/>
          <w:szCs w:val="16"/>
        </w:rPr>
        <w:softHyphen/>
        <w:t>рошилова с генералом Адамом показали, что последний стоит на позиции вспомогательной роли танков в грядущей войне и потому в 1932 г. новых типов немецких танков ожи</w:t>
      </w:r>
      <w:r w:rsidRPr="007122AB">
        <w:rPr>
          <w:rFonts w:ascii="Times New Roman" w:hAnsi="Times New Roman"/>
          <w:color w:val="000000" w:themeColor="text1"/>
          <w:sz w:val="16"/>
          <w:szCs w:val="16"/>
        </w:rPr>
        <w:softHyphen/>
        <w:t>дать не приходилось. Более того, 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6F558AB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6AB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начальник генштаба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 Адам в ходе своего визита в СССР благодарил Ворошилова за </w:t>
      </w:r>
      <w:proofErr w:type="spellStart"/>
      <w:r w:rsidRPr="007122AB">
        <w:rPr>
          <w:rFonts w:ascii="Times New Roman" w:hAnsi="Times New Roman"/>
          <w:color w:val="000000" w:themeColor="text1"/>
          <w:sz w:val="16"/>
          <w:szCs w:val="16"/>
        </w:rPr>
        <w:t>разведматериалы</w:t>
      </w:r>
      <w:proofErr w:type="spellEnd"/>
      <w:r w:rsidRPr="007122AB">
        <w:rPr>
          <w:rFonts w:ascii="Times New Roman" w:hAnsi="Times New Roman"/>
          <w:color w:val="000000" w:themeColor="text1"/>
          <w:sz w:val="16"/>
          <w:szCs w:val="16"/>
        </w:rPr>
        <w:t xml:space="preserve"> по Польше и просил «способствовать их получению и в дальнейшем», высоко оценив качество переданных советской разведкой материалов. Ворошилов обещал «продолжить взаимный обмен, так как нет оснований к пересмотру существующих в этом деле решений». Он заверил, что «все наиболее ценное и важное передается немецкой стороне». Можно предположить, что обмен разведданными продолжался, — как и все активное военное сотрудничество между СССР и Германией, — вплоть до середины 1933 г. Своеобразным гарантом этого было то, что главнокомандующим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вплоть до конца января 1934 г. был сторонник «восточной ориентации» Германии </w:t>
      </w:r>
      <w:proofErr w:type="spellStart"/>
      <w:r w:rsidRPr="007122AB">
        <w:rPr>
          <w:rFonts w:ascii="Times New Roman" w:hAnsi="Times New Roman"/>
          <w:color w:val="000000" w:themeColor="text1"/>
          <w:sz w:val="16"/>
          <w:szCs w:val="16"/>
        </w:rPr>
        <w:t>Хаммерштайн</w:t>
      </w:r>
      <w:proofErr w:type="spellEnd"/>
      <w:r w:rsidRPr="007122AB">
        <w:rPr>
          <w:rFonts w:ascii="Times New Roman" w:hAnsi="Times New Roman"/>
          <w:color w:val="000000" w:themeColor="text1"/>
          <w:sz w:val="16"/>
          <w:szCs w:val="16"/>
        </w:rPr>
        <w:t xml:space="preserve">, и поддерживавший эту же линию генерал </w:t>
      </w:r>
      <w:proofErr w:type="spellStart"/>
      <w:r w:rsidRPr="007122AB">
        <w:rPr>
          <w:rFonts w:ascii="Times New Roman" w:hAnsi="Times New Roman"/>
          <w:color w:val="000000" w:themeColor="text1"/>
          <w:sz w:val="16"/>
          <w:szCs w:val="16"/>
        </w:rPr>
        <w:t>Шляйхер</w:t>
      </w:r>
      <w:proofErr w:type="spellEnd"/>
      <w:r w:rsidRPr="007122AB">
        <w:rPr>
          <w:rFonts w:ascii="Times New Roman" w:hAnsi="Times New Roman"/>
          <w:color w:val="000000" w:themeColor="text1"/>
          <w:sz w:val="16"/>
          <w:szCs w:val="16"/>
        </w:rPr>
        <w:t>, военный министр в кабинете Палена (июнь — декабрь 1932 г. ) и затем последний канцлер Германии накануне прихода к власти Гитлера (11784).</w:t>
      </w:r>
    </w:p>
    <w:p w14:paraId="5DD2A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5CEDB17"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в СССР с официальным визитом прибыл новый начальник 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 Адам. Он сменил в 1930 г. генерал-полковника </w:t>
      </w:r>
      <w:proofErr w:type="spellStart"/>
      <w:r w:rsidRPr="007122AB">
        <w:rPr>
          <w:rFonts w:ascii="Times New Roman" w:hAnsi="Times New Roman"/>
          <w:color w:val="000000" w:themeColor="text1"/>
          <w:sz w:val="16"/>
          <w:szCs w:val="16"/>
        </w:rPr>
        <w:t>Хаммерштайна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Хаммерштайн</w:t>
      </w:r>
      <w:proofErr w:type="spellEnd"/>
      <w:r w:rsidRPr="007122AB">
        <w:rPr>
          <w:rFonts w:ascii="Times New Roman" w:hAnsi="Times New Roman"/>
          <w:color w:val="000000" w:themeColor="text1"/>
          <w:sz w:val="16"/>
          <w:szCs w:val="16"/>
        </w:rPr>
        <w:t xml:space="preserve"> стал главнокомандующим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и находился на это посту почти четыре года до конца января 1934 г. Адама сопровождали подполковник Э. фон </w:t>
      </w:r>
      <w:proofErr w:type="spellStart"/>
      <w:r w:rsidRPr="007122AB">
        <w:rPr>
          <w:rFonts w:ascii="Times New Roman" w:hAnsi="Times New Roman"/>
          <w:color w:val="000000" w:themeColor="text1"/>
          <w:sz w:val="16"/>
          <w:szCs w:val="16"/>
        </w:rPr>
        <w:t>Манштайн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Манштейн</w:t>
      </w:r>
      <w:proofErr w:type="spellEnd"/>
      <w:r w:rsidRPr="007122AB">
        <w:rPr>
          <w:rFonts w:ascii="Times New Roman" w:hAnsi="Times New Roman"/>
          <w:color w:val="000000" w:themeColor="text1"/>
          <w:sz w:val="16"/>
          <w:szCs w:val="16"/>
        </w:rPr>
        <w:t xml:space="preserve">) и капитан </w:t>
      </w:r>
      <w:proofErr w:type="spellStart"/>
      <w:r w:rsidRPr="007122AB">
        <w:rPr>
          <w:rFonts w:ascii="Times New Roman" w:hAnsi="Times New Roman"/>
          <w:color w:val="000000" w:themeColor="text1"/>
          <w:sz w:val="16"/>
          <w:szCs w:val="16"/>
        </w:rPr>
        <w:t>Хофмайстер</w:t>
      </w:r>
      <w:proofErr w:type="spellEnd"/>
      <w:r w:rsidRPr="007122AB">
        <w:rPr>
          <w:rFonts w:ascii="Times New Roman" w:hAnsi="Times New Roman"/>
          <w:color w:val="000000" w:themeColor="text1"/>
          <w:sz w:val="16"/>
          <w:szCs w:val="16"/>
        </w:rPr>
        <w:t>. Адам посетил в Москве Военную Академию, школу ВЦИК, военную школу им. Каменева в Харькове, ряд войсковых подразделений РККА (кавалерийский и танковый полки), харьковскую воздушную бригаду, моторизованный разведотряд в Киеве, к осмотру которого он проявил повышенный интерес. 9 ноября 1932 г. он вел переговоры с высшим военным руководством СССР. В связи с начавшимися к тому времени переговорами СССР с Францией и предполагавшимися переговорами с Польшей, а также предстоявшей Всеобщей конференцией по разоружению в Женеве в начале 1932 г. стороны много внимания уделили этим международным проблемам. Немцы были обеспокоены франко-советскими переговорами и тем фактом, что переговоры между СССР и Польшей начнутся «под давлением Франции».</w:t>
      </w:r>
    </w:p>
    <w:p w14:paraId="1BB7FF50"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армии было бы очень неприятно, если бы при этих переговорах с Польшей были бы подтверждены наши существующие границы, которые мы не можем признать за Польшей», — заявил Ворошилову Адам.</w:t>
      </w:r>
    </w:p>
    <w:p w14:paraId="7CCA6093"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Ворошилов принялся уверять немецкого генерала в советско-германской дружбе. Он говорил, что «в переговорах с Францией нет и не может быть ничего, направленного против Германии», что если с Польшей будут вестись переговоры по пакту о ненападении, то, во всяком случае, дальше этого, мол, дело не пойдет, и </w:t>
      </w:r>
      <w:r w:rsidRPr="007122AB">
        <w:rPr>
          <w:rFonts w:ascii="Times New Roman" w:hAnsi="Times New Roman"/>
          <w:color w:val="000000" w:themeColor="text1"/>
          <w:sz w:val="16"/>
          <w:szCs w:val="16"/>
        </w:rPr>
        <w:lastRenderedPageBreak/>
        <w:t xml:space="preserve">«разговоров о границах и вообще о Германии» с поляками не будет. В немецкой записи беседы, пересланной затем </w:t>
      </w:r>
      <w:proofErr w:type="spellStart"/>
      <w:r w:rsidRPr="007122AB">
        <w:rPr>
          <w:rFonts w:ascii="Times New Roman" w:hAnsi="Times New Roman"/>
          <w:color w:val="000000" w:themeColor="text1"/>
          <w:sz w:val="16"/>
          <w:szCs w:val="16"/>
        </w:rPr>
        <w:t>Дирксеном</w:t>
      </w:r>
      <w:proofErr w:type="spellEnd"/>
      <w:r w:rsidRPr="007122AB">
        <w:rPr>
          <w:rFonts w:ascii="Times New Roman" w:hAnsi="Times New Roman"/>
          <w:color w:val="000000" w:themeColor="text1"/>
          <w:sz w:val="16"/>
          <w:szCs w:val="16"/>
        </w:rPr>
        <w:t xml:space="preserve"> в германский МИД, констатируется, что, «по словам Ворошилова, переговоры с Польшей о заключении пакта о ненападении ведутся уже давно» (18265).</w:t>
      </w:r>
    </w:p>
    <w:p w14:paraId="7AE7D04C"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2A2EFF34"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в ходе визита в СССР нового начальника генштаба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генерала В. Адама Ворошилов, как и в беседе с </w:t>
      </w:r>
      <w:proofErr w:type="spellStart"/>
      <w:r w:rsidRPr="007122AB">
        <w:rPr>
          <w:rFonts w:ascii="Times New Roman" w:hAnsi="Times New Roman"/>
          <w:color w:val="000000" w:themeColor="text1"/>
          <w:sz w:val="16"/>
          <w:szCs w:val="16"/>
        </w:rPr>
        <w:t>Хаммерштайном</w:t>
      </w:r>
      <w:proofErr w:type="spellEnd"/>
      <w:r w:rsidRPr="007122AB">
        <w:rPr>
          <w:rFonts w:ascii="Times New Roman" w:hAnsi="Times New Roman"/>
          <w:color w:val="000000" w:themeColor="text1"/>
          <w:sz w:val="16"/>
          <w:szCs w:val="16"/>
        </w:rPr>
        <w:t xml:space="preserve"> в 1929 г., вновь жаловался на отсутствие в Липецке более современной техники. Он говорил Адаму:</w:t>
      </w:r>
    </w:p>
    <w:p w14:paraId="680130A6"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«Мне известно, что в Германии уже есть моторы, работающие на тяжелом топливе, новые высотные измерительные приспособления, пушки и пулеметные установки на самолетах, усовершенствованные средства связи между самолетами и землей, высококачественная специальная аппаратура и т. п.»</w:t>
      </w:r>
    </w:p>
    <w:p w14:paraId="10B44A71" w14:textId="77777777" w:rsidR="006813D3" w:rsidRPr="007122AB" w:rsidRDefault="00000000" w:rsidP="007122AB">
      <w:pPr>
        <w:spacing w:after="0" w:line="240" w:lineRule="auto"/>
        <w:jc w:val="both"/>
        <w:rPr>
          <w:rFonts w:ascii="Times New Roman" w:hAnsi="Times New Roman"/>
          <w:color w:val="000000" w:themeColor="text1"/>
          <w:sz w:val="16"/>
          <w:szCs w:val="16"/>
        </w:rPr>
      </w:pPr>
      <w:hyperlink r:id="rId211" w:anchor="n_314" w:history="1">
        <w:r w:rsidR="006813D3" w:rsidRPr="007122AB">
          <w:rPr>
            <w:rStyle w:val="a5"/>
            <w:rFonts w:ascii="Times New Roman" w:hAnsi="Times New Roman"/>
            <w:color w:val="000000" w:themeColor="text1"/>
            <w:sz w:val="16"/>
            <w:szCs w:val="16"/>
            <w:u w:val="none"/>
          </w:rPr>
          <w:t xml:space="preserve">Дабы сильней заинтересовать немцев, он поставил на повестку дня такие совместные работы как бомбометание и фотографирование с больших высот, стрельбы из крупнокалиберных пулеметов на различных высотах по земле и по воздушному противнику, использование осветительной службы при ночных полетах и т. д. Адам же, сославшись на ограниченность финансовых средств, признал справедливость упреков и пообещал… камеру-панораму со многими объективами, изготовленную на фирме «К. </w:t>
        </w:r>
        <w:proofErr w:type="spellStart"/>
        <w:r w:rsidR="006813D3" w:rsidRPr="007122AB">
          <w:rPr>
            <w:rStyle w:val="a5"/>
            <w:rFonts w:ascii="Times New Roman" w:hAnsi="Times New Roman"/>
            <w:color w:val="000000" w:themeColor="text1"/>
            <w:sz w:val="16"/>
            <w:szCs w:val="16"/>
            <w:u w:val="none"/>
          </w:rPr>
          <w:t>Цайсс</w:t>
        </w:r>
        <w:proofErr w:type="spellEnd"/>
        <w:r w:rsidR="006813D3" w:rsidRPr="007122AB">
          <w:rPr>
            <w:rStyle w:val="a5"/>
            <w:rFonts w:ascii="Times New Roman" w:hAnsi="Times New Roman"/>
            <w:color w:val="000000" w:themeColor="text1"/>
            <w:sz w:val="16"/>
            <w:szCs w:val="16"/>
            <w:u w:val="none"/>
          </w:rPr>
          <w:t>», а также крупнокалиберные пулеметы. На ту же тему разговаривал с Адамом 10 ноября 1931 г. и заместитель Ворошилова Тухачевский</w:t>
        </w:r>
      </w:hyperlink>
      <w:r w:rsidR="006813D3" w:rsidRPr="007122AB">
        <w:rPr>
          <w:rFonts w:ascii="Times New Roman" w:hAnsi="Times New Roman"/>
          <w:color w:val="000000" w:themeColor="text1"/>
          <w:sz w:val="16"/>
          <w:szCs w:val="16"/>
        </w:rPr>
        <w:t xml:space="preserve"> (18265).</w:t>
      </w:r>
    </w:p>
    <w:p w14:paraId="6F98875F"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498E3BCD"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в беседе с начальником генштаба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генералом Адамом Ворошилов по </w:t>
      </w:r>
      <w:proofErr w:type="spellStart"/>
      <w:r w:rsidRPr="007122AB">
        <w:rPr>
          <w:rFonts w:ascii="Times New Roman" w:hAnsi="Times New Roman"/>
          <w:color w:val="000000" w:themeColor="text1"/>
          <w:sz w:val="16"/>
          <w:szCs w:val="16"/>
        </w:rPr>
        <w:t>поволу</w:t>
      </w:r>
      <w:proofErr w:type="spellEnd"/>
      <w:r w:rsidRPr="007122AB">
        <w:rPr>
          <w:rFonts w:ascii="Times New Roman" w:hAnsi="Times New Roman"/>
          <w:color w:val="000000" w:themeColor="text1"/>
          <w:sz w:val="16"/>
          <w:szCs w:val="16"/>
        </w:rPr>
        <w:t xml:space="preserve"> химических вооружений неоднократно подчеркивал, что «и здесь немецкая сторона могла бы шире поставить исследовательские работы, ввезти для испытания больше всяких средств и активных, и пассивных- &lt;…&gt; В «Томке» есть возможность Вам заниматься опытной работой, как нигде в Европе. Давайте и Вы, и мы этим пользоваться. Мы даем Вам необходимые условия и просим взамен также конкретную материальную компенсацию» (18265).</w:t>
      </w:r>
    </w:p>
    <w:p w14:paraId="7098FDB6"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384A31F1"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беседа К.Е. Ворошилова с начальником генштаба рейхсвера генералом В. Адамом, посетившим Россию, стала последней попыткой побудить немцев к продуктивной отдаче в области разработок и испытания 0В. Касаясь объекта «Томка», К.Е. Ворошилов поставил вопрос ребром: «Мы предоставили немецкой стороне, как нигде в Европе, возможность заниматься экспериментальными химическими разработками, поэтому дайте нам конкретную материальную компенсацию в виде опытных результатов. Давайте на «Томку» больше оборудования и всяких средств» Алимов Н.И. Химическая оборона России: К 70-летию Центр, науч.-испытательского ин-та </w:t>
      </w:r>
      <w:proofErr w:type="spellStart"/>
      <w:r w:rsidRPr="007122AB">
        <w:rPr>
          <w:rFonts w:ascii="Times New Roman" w:hAnsi="Times New Roman"/>
          <w:color w:val="000000" w:themeColor="text1"/>
          <w:sz w:val="16"/>
          <w:szCs w:val="16"/>
        </w:rPr>
        <w:t>радиац</w:t>
      </w:r>
      <w:proofErr w:type="spellEnd"/>
      <w:r w:rsidRPr="007122AB">
        <w:rPr>
          <w:rFonts w:ascii="Times New Roman" w:hAnsi="Times New Roman"/>
          <w:color w:val="000000" w:themeColor="text1"/>
          <w:sz w:val="16"/>
          <w:szCs w:val="16"/>
        </w:rPr>
        <w:t>., хим. и биол. защиты. // http://himvoiska.narod.ru/tomka.html.</w:t>
      </w:r>
    </w:p>
    <w:p w14:paraId="116ACA16"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Адам был очень немногословен. В оправдание пассивности немецких химиков на объекте он заявил, что промышленность Германии этим делом мало интересуется. Отвергая настойчивые предположения о том, что в Германии изобретен какой-то особый газ, генерал заверил Наркома: «Не верьте... Наша задача по химии - сделать иприт технически более устойчивым» Там же..</w:t>
      </w:r>
    </w:p>
    <w:p w14:paraId="48D7782C"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руководство РККА все больше склонялось к мысли о нецелесообразности дальнейшего пребывания немцев в Шиханах. «Ввиду развертывания наших собственных работ в 1932 году «друзей» желательно перевести с территории ЦВХП в другое место»,- докладывал К.Е. Ворошилову начальник разведуправления РККА Я.К. Берзин Там же (18271).</w:t>
      </w:r>
    </w:p>
    <w:p w14:paraId="0D2A0315"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1FC500F7"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 начальник генштаба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генерал Адам в ходе своего визита в СССР благодарил Ворошилова за </w:t>
      </w:r>
      <w:proofErr w:type="spellStart"/>
      <w:r w:rsidRPr="007122AB">
        <w:rPr>
          <w:rFonts w:ascii="Times New Roman" w:hAnsi="Times New Roman"/>
          <w:color w:val="000000" w:themeColor="text1"/>
          <w:sz w:val="16"/>
          <w:szCs w:val="16"/>
        </w:rPr>
        <w:t>разведматериалы</w:t>
      </w:r>
      <w:proofErr w:type="spellEnd"/>
      <w:r w:rsidRPr="007122AB">
        <w:rPr>
          <w:rFonts w:ascii="Times New Roman" w:hAnsi="Times New Roman"/>
          <w:color w:val="000000" w:themeColor="text1"/>
          <w:sz w:val="16"/>
          <w:szCs w:val="16"/>
        </w:rPr>
        <w:t xml:space="preserve"> по Польше и просил «способствовать их получению и в дальнейшем», высоко оценив качество переданных советской разведкой материалов. Ворошилов обещал «продолжить взаимный обмен, так как нет оснований к пересмотру существующих в этом деле решений». Он заверил, что «все наиболее ценное и важное передается немецкой стороне». Можно предположить, что обмен разведданными продолжался, — как и все активное военное сотрудничество между СССР и Германией, — вплоть до середины 1933 г. Своеобразным гарантом этого было то, что главнокомандующим </w:t>
      </w:r>
      <w:proofErr w:type="spellStart"/>
      <w:r w:rsidRPr="007122AB">
        <w:rPr>
          <w:rFonts w:ascii="Times New Roman" w:hAnsi="Times New Roman"/>
          <w:color w:val="000000" w:themeColor="text1"/>
          <w:sz w:val="16"/>
          <w:szCs w:val="16"/>
        </w:rPr>
        <w:t>райхсвера</w:t>
      </w:r>
      <w:proofErr w:type="spellEnd"/>
      <w:r w:rsidRPr="007122AB">
        <w:rPr>
          <w:rFonts w:ascii="Times New Roman" w:hAnsi="Times New Roman"/>
          <w:color w:val="000000" w:themeColor="text1"/>
          <w:sz w:val="16"/>
          <w:szCs w:val="16"/>
        </w:rPr>
        <w:t xml:space="preserve"> вплоть до конца января 1934 г. был сторонник «восточной ориентации» Германии </w:t>
      </w:r>
      <w:proofErr w:type="spellStart"/>
      <w:r w:rsidRPr="007122AB">
        <w:rPr>
          <w:rFonts w:ascii="Times New Roman" w:hAnsi="Times New Roman"/>
          <w:color w:val="000000" w:themeColor="text1"/>
          <w:sz w:val="16"/>
          <w:szCs w:val="16"/>
        </w:rPr>
        <w:t>Хаммерштайн</w:t>
      </w:r>
      <w:proofErr w:type="spellEnd"/>
      <w:r w:rsidRPr="007122AB">
        <w:rPr>
          <w:rFonts w:ascii="Times New Roman" w:hAnsi="Times New Roman"/>
          <w:color w:val="000000" w:themeColor="text1"/>
          <w:sz w:val="16"/>
          <w:szCs w:val="16"/>
        </w:rPr>
        <w:t xml:space="preserve">, и поддерживавший эту же линию генерал </w:t>
      </w:r>
      <w:proofErr w:type="spellStart"/>
      <w:r w:rsidRPr="007122AB">
        <w:rPr>
          <w:rFonts w:ascii="Times New Roman" w:hAnsi="Times New Roman"/>
          <w:color w:val="000000" w:themeColor="text1"/>
          <w:sz w:val="16"/>
          <w:szCs w:val="16"/>
        </w:rPr>
        <w:t>Шляйхер</w:t>
      </w:r>
      <w:proofErr w:type="spellEnd"/>
      <w:r w:rsidRPr="007122AB">
        <w:rPr>
          <w:rFonts w:ascii="Times New Roman" w:hAnsi="Times New Roman"/>
          <w:color w:val="000000" w:themeColor="text1"/>
          <w:sz w:val="16"/>
          <w:szCs w:val="16"/>
        </w:rPr>
        <w:t>, военный министр в кабинете Палена (июнь — декабрь 1932 г.) и затем последний канцлер Германии накануне прихода к власти Гитлера (18265).</w:t>
      </w:r>
    </w:p>
    <w:p w14:paraId="63C2D061"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43C11279"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года состоялась встреча Тухачевского с делегацией немецких военных, в которую входил, кстати, и </w:t>
      </w:r>
      <w:proofErr w:type="spellStart"/>
      <w:r w:rsidRPr="007122AB">
        <w:rPr>
          <w:rFonts w:ascii="Times New Roman" w:hAnsi="Times New Roman"/>
          <w:color w:val="000000" w:themeColor="text1"/>
          <w:sz w:val="16"/>
          <w:szCs w:val="16"/>
        </w:rPr>
        <w:t>Манштейн</w:t>
      </w:r>
      <w:proofErr w:type="spellEnd"/>
      <w:r w:rsidRPr="007122AB">
        <w:rPr>
          <w:rFonts w:ascii="Times New Roman" w:hAnsi="Times New Roman"/>
          <w:color w:val="000000" w:themeColor="text1"/>
          <w:sz w:val="16"/>
          <w:szCs w:val="16"/>
        </w:rPr>
        <w:t>. В ходе встречи Тухачевский сетовал по поводу медленных темпов развития совместных «предприятий» и считал необходимым ускорить их с целью извлечения максимальной пользы (18270).</w:t>
      </w:r>
    </w:p>
    <w:p w14:paraId="60EE81C0"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38F47BC4" w14:textId="77777777" w:rsidR="00B03615"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63CDFF4" w14:textId="77777777" w:rsidR="00B03615" w:rsidRPr="007122AB" w:rsidRDefault="00B03615"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8684DA3" w14:textId="77777777" w:rsidR="00B03615" w:rsidRPr="007122AB" w:rsidRDefault="00B036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было покушение на Сталина. Покушался боевик РОВС, белогвардейский офицер. Задержан ребятами из ОГПУ. Политбюро обязало прекратить «пешие хождения т. Сталина по Москве». До этого Сталин не в бронированном лимузине проносился по улицам, а ходил пешком в сопровождении минимума охраны…(12629).</w:t>
      </w:r>
    </w:p>
    <w:p w14:paraId="14773052" w14:textId="77777777" w:rsidR="00B03615" w:rsidRPr="007122AB" w:rsidRDefault="00B03615"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B8585EB"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 Моссовет перевел 500 тыс. руб. из фонда на непредвиденные расходы и пообещал еще 1,4 млн. руб. из государственного бюджета{574}. Правительство, впрочем, выделило до конца года только 500 тыс. руб. из резервного фонда Совнаркома{575}.</w:t>
      </w:r>
    </w:p>
    <w:p w14:paraId="0C6F50D5"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Финансирование Метростроя велось сначала через Центральный Коммунальный банк (</w:t>
      </w:r>
      <w:proofErr w:type="spellStart"/>
      <w:r w:rsidRPr="007122AB">
        <w:rPr>
          <w:rFonts w:ascii="Times New Roman" w:hAnsi="Times New Roman"/>
          <w:color w:val="000000" w:themeColor="text1"/>
          <w:sz w:val="16"/>
          <w:szCs w:val="16"/>
        </w:rPr>
        <w:t>Цекомбанк</w:t>
      </w:r>
      <w:proofErr w:type="spellEnd"/>
      <w:r w:rsidRPr="007122AB">
        <w:rPr>
          <w:rFonts w:ascii="Times New Roman" w:hAnsi="Times New Roman"/>
          <w:color w:val="000000" w:themeColor="text1"/>
          <w:sz w:val="16"/>
          <w:szCs w:val="16"/>
        </w:rPr>
        <w:t>), с марта 1932 г. — через Московский Коммунальный банк (</w:t>
      </w:r>
      <w:proofErr w:type="spellStart"/>
      <w:r w:rsidRPr="007122AB">
        <w:rPr>
          <w:rFonts w:ascii="Times New Roman" w:hAnsi="Times New Roman"/>
          <w:color w:val="000000" w:themeColor="text1"/>
          <w:sz w:val="16"/>
          <w:szCs w:val="16"/>
        </w:rPr>
        <w:t>Москомбанк</w:t>
      </w:r>
      <w:proofErr w:type="spellEnd"/>
      <w:r w:rsidRPr="007122AB">
        <w:rPr>
          <w:rFonts w:ascii="Times New Roman" w:hAnsi="Times New Roman"/>
          <w:color w:val="000000" w:themeColor="text1"/>
          <w:sz w:val="16"/>
          <w:szCs w:val="16"/>
        </w:rPr>
        <w:t>). Последний осуществлял также финансовый контроль. Метрострой обязан был регулярно представлять в Моссовет отчеты о ходе строительных работ{576}.</w:t>
      </w:r>
    </w:p>
    <w:p w14:paraId="257CA14B"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январе 1932 г. Политбюро утвердило выделение 40 млн. руб. на строительство метро по финплану 1932 г. Сумма предоставлялась пополам из союзного бюджета и средств Московской области{577}.Причитающиеся на Москву расходы в сумме 20 млн. руб. были относительно невелики. Инвестиционный план Москвы на 1932 г. предусматривал гораздо большие затраты по другим статьям (жилищное строительство — 100 млн. руб., трамвайная сеть — 56 млн., дорожное и подземное строительство — 35,5 млн. руб.){578}.У организаций, ответственных за жилищное строительство и городские коммуникации, Моссовет изъял из бюджета 12 млн. руб. и перевел их Метрострою. В качестве </w:t>
      </w:r>
      <w:proofErr w:type="spellStart"/>
      <w:r w:rsidRPr="007122AB">
        <w:rPr>
          <w:rFonts w:ascii="Times New Roman" w:hAnsi="Times New Roman"/>
          <w:color w:val="000000" w:themeColor="text1"/>
          <w:sz w:val="16"/>
          <w:szCs w:val="16"/>
        </w:rPr>
        <w:t>ответноймеры</w:t>
      </w:r>
      <w:proofErr w:type="spellEnd"/>
      <w:r w:rsidRPr="007122AB">
        <w:rPr>
          <w:rFonts w:ascii="Times New Roman" w:hAnsi="Times New Roman"/>
          <w:color w:val="000000" w:themeColor="text1"/>
          <w:sz w:val="16"/>
          <w:szCs w:val="16"/>
        </w:rPr>
        <w:t xml:space="preserve"> Метрострой заключил с этими организациями договоры на выполнение работ, за которые расплачивался этими деньгами. На работы, выполняемые самостоятельно, в 1932 г. Метрострой потратил только 8 млн. руб.{579}Осенью 1932 г. коммунальные учреждения Москвы перечислили Метрострою еще 5 млн. руб.{580}</w:t>
      </w:r>
    </w:p>
    <w:p w14:paraId="394490A4"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1933 финансовый год Моссовет выделил метростроевцам 110 млн. руб. Кроме того, на баланс Метростроя были переведены бараки, склады, каменоломни и вспомогательные предприятия общей стоимостью 20 млн. руб.{581}Метрострой первоначально представил на 1933 г. финансовый план на сумму свыше 125 млн. руб., но после сокращения выделенных средств вынужден был его урезать{582}.Политбюро и правительство в марте 1933 г. утвердили инвестиции на строительство метро в сумме 110 млн. руб. Предварительно правительство намечало выделить на 1933 г. только 80 млн. Недостающие 30 млн. перевели из бюджета строительства канала Москва — Волга{583}.Из этого факта можно заключить, что финансирование Метростроя в 1933 г. осуществлялось уже не из городского, а из союзного бюджета. Бюджет Москвы был бы переобременен такой крупной статьей расходов[58].</w:t>
      </w:r>
    </w:p>
    <w:p w14:paraId="166DA79E"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1932 г. Метрострой перерасходовал свой бюджет, так как полностью потратил выделенные средства, но годовой план выполнил всего на треть. Когда осенью 1933 г. наметилась подобная тенденция, в дело вмешалась городская комиссия партийного контроля [МГКК ВКП(б)] и дала </w:t>
      </w:r>
      <w:proofErr w:type="spellStart"/>
      <w:r w:rsidRPr="007122AB">
        <w:rPr>
          <w:rFonts w:ascii="Times New Roman" w:hAnsi="Times New Roman"/>
          <w:color w:val="000000" w:themeColor="text1"/>
          <w:sz w:val="16"/>
          <w:szCs w:val="16"/>
        </w:rPr>
        <w:t>Ротерту</w:t>
      </w:r>
      <w:proofErr w:type="spellEnd"/>
      <w:r w:rsidRPr="007122AB">
        <w:rPr>
          <w:rFonts w:ascii="Times New Roman" w:hAnsi="Times New Roman"/>
          <w:color w:val="000000" w:themeColor="text1"/>
          <w:sz w:val="16"/>
          <w:szCs w:val="16"/>
        </w:rPr>
        <w:t xml:space="preserve"> указание ввести строгую финансовую дисциплину. Его заместитель Рошаль получил строгий выговор, главный бухгалтер и начальник финансового отдела были уволены и отданы под суд, поскольку игнорировали указания контрольной комиссии. Объектом критики являлись завышенные товарные запасы на складах при одновременном дефиците важных материалов, превышение лимита фонда заработной платы и премиального фонда и отсутствие какой-либо бережливости в расходовании средств{584}.</w:t>
      </w:r>
    </w:p>
    <w:p w14:paraId="07C4092E"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1934 г. правительство утвердило объем инвестиций на строительство метро в размере 348,8 млн. руб.{585}По распоряжению Московского комитета партии шахты и дистанции с 1 февраля 1934 г. перешли к составлению собственных балансов. Этой мерой рассчитывали укрепить финансовую дисциплину{586}.Кроме того, немедленно вводилась система финансирования не по плановым цифрам, а по фактически выполненной работе, чтобы поощрить тех, кто экономил средства, и привлечь к ответственности тех, кто расточительно хозяйничал. Ежемесячно, поквартально и в конце года следовало составлять баланс расходов и выполненных работ, а также проводить ревизию кассы{587}.</w:t>
      </w:r>
    </w:p>
    <w:p w14:paraId="06A0E6B5"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Призывы к бережливости и соблюдению финансовой дисциплины не имели особого воздействия, поскольку одновременно партия и правительство повышали темпы строительства метро, объявляли объект стройкой высшего значения, и, как заявил Булганин в январе 1934 г., первая линия должна быть пущена к 17-й годовщине Октябрьской революции, «чего бы это ни стоило»{588}.В таких условиях угрозы приостановить финансирование при несоблюдении плана расходов{589}выглядели явно надуманными.</w:t>
      </w:r>
    </w:p>
    <w:p w14:paraId="65BF5BAF"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Вместо предназначенных на 1934 г. 348,8 млн. руб. было выделено в конечном итоге 457-458 млн. Впрочем, это вовсе не означало, что Метрострой мог произвольно тратить любые суммы. Политбюро и Совнарком хотя и одобряли дополнительные ассигнования, но все же не в желаемом Метростроем объеме. В мае 1934 г. Хрущев напрасно пытался убедить Сталина и Политбюро помимо выделенных на второй квартал 100 млн. руб. предоставить еще 23 млн. Несмотря на его предостережения, что работы могут быть приостановлены, Политбюро одобрило только 10 млн. руб., запретив Метрострою в дальнейшем увеличивать число рабочих{590}.И в четвертом квартале вместо запрошенных 18 млн. руб. Метрострой получил только 10 млн. За счет «мобилизации внутренних ресурсов» руководству организации удалось раздобыть еще 3 млн., остальные 5 млн. были получены благодаря банковскому кредиту, который перешел в бюджет 1935 г.{591} (18299).</w:t>
      </w:r>
    </w:p>
    <w:p w14:paraId="792D2FAC"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558AD74A"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За рубежом:</w:t>
      </w:r>
    </w:p>
    <w:p w14:paraId="4A720AD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92146AE" w14:textId="77777777" w:rsidR="000306D2" w:rsidRPr="007122AB" w:rsidRDefault="000306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1931 основана </w:t>
      </w:r>
      <w:proofErr w:type="spellStart"/>
      <w:r w:rsidRPr="007122AB">
        <w:rPr>
          <w:rFonts w:ascii="Times New Roman" w:hAnsi="Times New Roman"/>
          <w:color w:val="000000" w:themeColor="text1"/>
          <w:sz w:val="16"/>
          <w:szCs w:val="16"/>
        </w:rPr>
        <w:t>Hillman's</w:t>
      </w:r>
      <w:proofErr w:type="spellEnd"/>
      <w:r w:rsidRPr="007122AB">
        <w:rPr>
          <w:rFonts w:ascii="Times New Roman" w:hAnsi="Times New Roman"/>
          <w:color w:val="000000" w:themeColor="text1"/>
          <w:sz w:val="16"/>
          <w:szCs w:val="16"/>
        </w:rPr>
        <w:t xml:space="preserve"> Airways. Она начнет чартерные рейсы в декабре 1931 года, а запланированные - в апреле 1932 года (20804).</w:t>
      </w:r>
    </w:p>
    <w:p w14:paraId="2CA137AF" w14:textId="77777777" w:rsidR="000306D2" w:rsidRPr="007122AB" w:rsidRDefault="000306D2" w:rsidP="007122AB">
      <w:pPr>
        <w:spacing w:after="0" w:line="240" w:lineRule="auto"/>
        <w:jc w:val="both"/>
        <w:rPr>
          <w:rFonts w:ascii="Times New Roman" w:hAnsi="Times New Roman"/>
          <w:color w:val="000000" w:themeColor="text1"/>
          <w:sz w:val="16"/>
          <w:szCs w:val="16"/>
        </w:rPr>
      </w:pPr>
    </w:p>
    <w:p w14:paraId="3FE21070" w14:textId="77777777" w:rsidR="000306D2" w:rsidRPr="007122AB" w:rsidRDefault="000306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фирма «Фейри» представила на испытания свой ночной тяжелый бом</w:t>
      </w:r>
      <w:r w:rsidRPr="007122AB">
        <w:rPr>
          <w:rFonts w:ascii="Times New Roman" w:hAnsi="Times New Roman"/>
          <w:color w:val="000000" w:themeColor="text1"/>
          <w:sz w:val="16"/>
          <w:szCs w:val="16"/>
        </w:rPr>
        <w:softHyphen/>
        <w:t>бардировщик-моноплан «</w:t>
      </w:r>
      <w:proofErr w:type="spellStart"/>
      <w:r w:rsidRPr="007122AB">
        <w:rPr>
          <w:rFonts w:ascii="Times New Roman" w:hAnsi="Times New Roman"/>
          <w:color w:val="000000" w:themeColor="text1"/>
          <w:sz w:val="16"/>
          <w:szCs w:val="16"/>
        </w:rPr>
        <w:t>Хендон</w:t>
      </w:r>
      <w:proofErr w:type="spellEnd"/>
      <w:r w:rsidRPr="007122AB">
        <w:rPr>
          <w:rFonts w:ascii="Times New Roman" w:hAnsi="Times New Roman"/>
          <w:color w:val="000000" w:themeColor="text1"/>
          <w:sz w:val="16"/>
          <w:szCs w:val="16"/>
        </w:rPr>
        <w:t>», командование Королевских ВВС и Министерство авиации встретили его весьма холодно.</w:t>
      </w:r>
    </w:p>
    <w:p w14:paraId="5E9D66B0" w14:textId="77777777" w:rsidR="000306D2" w:rsidRPr="007122AB" w:rsidRDefault="000306D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тем проект был не так уж плох — самолет имел относитель</w:t>
      </w:r>
      <w:r w:rsidRPr="007122AB">
        <w:rPr>
          <w:rFonts w:ascii="Times New Roman" w:hAnsi="Times New Roman"/>
          <w:color w:val="000000" w:themeColor="text1"/>
          <w:sz w:val="16"/>
          <w:szCs w:val="16"/>
        </w:rPr>
        <w:softHyphen/>
        <w:t>но небольшое лобовое сопротивле</w:t>
      </w:r>
      <w:r w:rsidRPr="007122AB">
        <w:rPr>
          <w:rFonts w:ascii="Times New Roman" w:hAnsi="Times New Roman"/>
          <w:color w:val="000000" w:themeColor="text1"/>
          <w:sz w:val="16"/>
          <w:szCs w:val="16"/>
        </w:rPr>
        <w:softHyphen/>
        <w:t>ние благодаря скругленным формам фюзеляжа, зализам в зоне стыка су</w:t>
      </w:r>
      <w:r w:rsidRPr="007122AB">
        <w:rPr>
          <w:rFonts w:ascii="Times New Roman" w:hAnsi="Times New Roman"/>
          <w:color w:val="000000" w:themeColor="text1"/>
          <w:sz w:val="16"/>
          <w:szCs w:val="16"/>
        </w:rPr>
        <w:softHyphen/>
        <w:t>жающегося крыла и стабилизатора, а также обтекателям шасси. Каркас был цельнометаллический, обшив</w:t>
      </w:r>
      <w:r w:rsidRPr="007122AB">
        <w:rPr>
          <w:rFonts w:ascii="Times New Roman" w:hAnsi="Times New Roman"/>
          <w:color w:val="000000" w:themeColor="text1"/>
          <w:sz w:val="16"/>
          <w:szCs w:val="16"/>
        </w:rPr>
        <w:softHyphen/>
        <w:t>ка, правда, местами осталась полот</w:t>
      </w:r>
      <w:r w:rsidRPr="007122AB">
        <w:rPr>
          <w:rFonts w:ascii="Times New Roman" w:hAnsi="Times New Roman"/>
          <w:color w:val="000000" w:themeColor="text1"/>
          <w:sz w:val="16"/>
          <w:szCs w:val="16"/>
        </w:rPr>
        <w:softHyphen/>
        <w:t>няная. Силовую установку состав</w:t>
      </w:r>
      <w:r w:rsidRPr="007122AB">
        <w:rPr>
          <w:rFonts w:ascii="Times New Roman" w:hAnsi="Times New Roman"/>
          <w:color w:val="000000" w:themeColor="text1"/>
          <w:sz w:val="16"/>
          <w:szCs w:val="16"/>
        </w:rPr>
        <w:softHyphen/>
        <w:t>ляли два звездообразных Бристоль «Юпитера» по 460 л.с. на взлете. Вся бомбовая нагрузка помещалась в закрытых отсеках мощного крыла, а оборону должны были обеспечивать носовая и хвостовая экранированные (т.е. полностью закрытые от набегаю</w:t>
      </w:r>
      <w:r w:rsidRPr="007122AB">
        <w:rPr>
          <w:rFonts w:ascii="Times New Roman" w:hAnsi="Times New Roman"/>
          <w:color w:val="000000" w:themeColor="text1"/>
          <w:sz w:val="16"/>
          <w:szCs w:val="16"/>
        </w:rPr>
        <w:softHyphen/>
        <w:t>щего потока) турели, в каждой из ко</w:t>
      </w:r>
      <w:r w:rsidRPr="007122AB">
        <w:rPr>
          <w:rFonts w:ascii="Times New Roman" w:hAnsi="Times New Roman"/>
          <w:color w:val="000000" w:themeColor="text1"/>
          <w:sz w:val="16"/>
          <w:szCs w:val="16"/>
        </w:rPr>
        <w:softHyphen/>
        <w:t>торых было по спаренному «</w:t>
      </w:r>
      <w:proofErr w:type="spellStart"/>
      <w:r w:rsidRPr="007122AB">
        <w:rPr>
          <w:rFonts w:ascii="Times New Roman" w:hAnsi="Times New Roman"/>
          <w:color w:val="000000" w:themeColor="text1"/>
          <w:sz w:val="16"/>
          <w:szCs w:val="16"/>
        </w:rPr>
        <w:t>льюису</w:t>
      </w:r>
      <w:proofErr w:type="spellEnd"/>
      <w:r w:rsidRPr="007122AB">
        <w:rPr>
          <w:rFonts w:ascii="Times New Roman" w:hAnsi="Times New Roman"/>
          <w:color w:val="000000" w:themeColor="text1"/>
          <w:sz w:val="16"/>
          <w:szCs w:val="16"/>
        </w:rPr>
        <w:t>». Все кабины соединялись между собой единым проходом. Опытный само</w:t>
      </w:r>
      <w:r w:rsidRPr="007122AB">
        <w:rPr>
          <w:rFonts w:ascii="Times New Roman" w:hAnsi="Times New Roman"/>
          <w:color w:val="000000" w:themeColor="text1"/>
          <w:sz w:val="16"/>
          <w:szCs w:val="16"/>
        </w:rPr>
        <w:softHyphen/>
        <w:t>лет совершил первый полет в ноябре 1931 года, а в следующем году был на</w:t>
      </w:r>
      <w:r w:rsidRPr="007122AB">
        <w:rPr>
          <w:rFonts w:ascii="Times New Roman" w:hAnsi="Times New Roman"/>
          <w:color w:val="000000" w:themeColor="text1"/>
          <w:sz w:val="16"/>
          <w:szCs w:val="16"/>
        </w:rPr>
        <w:softHyphen/>
        <w:t>чат его выпуск. Серийный «</w:t>
      </w:r>
      <w:proofErr w:type="spellStart"/>
      <w:r w:rsidRPr="007122AB">
        <w:rPr>
          <w:rFonts w:ascii="Times New Roman" w:hAnsi="Times New Roman"/>
          <w:color w:val="000000" w:themeColor="text1"/>
          <w:sz w:val="16"/>
          <w:szCs w:val="16"/>
        </w:rPr>
        <w:t>Хендон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Mk.I</w:t>
      </w:r>
      <w:proofErr w:type="spellEnd"/>
      <w:r w:rsidRPr="007122AB">
        <w:rPr>
          <w:rFonts w:ascii="Times New Roman" w:hAnsi="Times New Roman"/>
          <w:color w:val="000000" w:themeColor="text1"/>
          <w:sz w:val="16"/>
          <w:szCs w:val="16"/>
        </w:rPr>
        <w:t xml:space="preserve"> получил новейшие высотные мо</w:t>
      </w:r>
      <w:r w:rsidRPr="007122AB">
        <w:rPr>
          <w:rFonts w:ascii="Times New Roman" w:hAnsi="Times New Roman"/>
          <w:color w:val="000000" w:themeColor="text1"/>
          <w:sz w:val="16"/>
          <w:szCs w:val="16"/>
        </w:rPr>
        <w:softHyphen/>
        <w:t>торы «Кестрел» IIIS (480 л.с.), но зна</w:t>
      </w:r>
      <w:r w:rsidRPr="007122AB">
        <w:rPr>
          <w:rFonts w:ascii="Times New Roman" w:hAnsi="Times New Roman"/>
          <w:color w:val="000000" w:themeColor="text1"/>
          <w:sz w:val="16"/>
          <w:szCs w:val="16"/>
        </w:rPr>
        <w:softHyphen/>
        <w:t>чительных преимуществ перед бипла</w:t>
      </w:r>
      <w:r w:rsidRPr="007122AB">
        <w:rPr>
          <w:rFonts w:ascii="Times New Roman" w:hAnsi="Times New Roman"/>
          <w:color w:val="000000" w:themeColor="text1"/>
          <w:sz w:val="16"/>
          <w:szCs w:val="16"/>
        </w:rPr>
        <w:softHyphen/>
        <w:t xml:space="preserve">ном </w:t>
      </w:r>
      <w:proofErr w:type="spellStart"/>
      <w:r w:rsidRPr="007122AB">
        <w:rPr>
          <w:rFonts w:ascii="Times New Roman" w:hAnsi="Times New Roman"/>
          <w:color w:val="000000" w:themeColor="text1"/>
          <w:sz w:val="16"/>
          <w:szCs w:val="16"/>
        </w:rPr>
        <w:t>Хендли</w:t>
      </w:r>
      <w:proofErr w:type="spellEnd"/>
      <w:r w:rsidRPr="007122AB">
        <w:rPr>
          <w:rFonts w:ascii="Times New Roman" w:hAnsi="Times New Roman"/>
          <w:color w:val="000000" w:themeColor="text1"/>
          <w:sz w:val="16"/>
          <w:szCs w:val="16"/>
        </w:rPr>
        <w:t>-Пейдж «</w:t>
      </w:r>
      <w:proofErr w:type="spellStart"/>
      <w:r w:rsidRPr="007122AB">
        <w:rPr>
          <w:rFonts w:ascii="Times New Roman" w:hAnsi="Times New Roman"/>
          <w:color w:val="000000" w:themeColor="text1"/>
          <w:sz w:val="16"/>
          <w:szCs w:val="16"/>
        </w:rPr>
        <w:t>Хейфорд</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Mk.I</w:t>
      </w:r>
      <w:proofErr w:type="spellEnd"/>
      <w:r w:rsidRPr="007122AB">
        <w:rPr>
          <w:rFonts w:ascii="Times New Roman" w:hAnsi="Times New Roman"/>
          <w:color w:val="000000" w:themeColor="text1"/>
          <w:sz w:val="16"/>
          <w:szCs w:val="16"/>
        </w:rPr>
        <w:t xml:space="preserve"> с такой же силовой установкой не имел, проигрывая ему в вооружении. Потому выпуск «</w:t>
      </w:r>
      <w:proofErr w:type="spellStart"/>
      <w:r w:rsidRPr="007122AB">
        <w:rPr>
          <w:rFonts w:ascii="Times New Roman" w:hAnsi="Times New Roman"/>
          <w:color w:val="000000" w:themeColor="text1"/>
          <w:sz w:val="16"/>
          <w:szCs w:val="16"/>
        </w:rPr>
        <w:t>Хендона</w:t>
      </w:r>
      <w:proofErr w:type="spellEnd"/>
      <w:r w:rsidRPr="007122AB">
        <w:rPr>
          <w:rFonts w:ascii="Times New Roman" w:hAnsi="Times New Roman"/>
          <w:color w:val="000000" w:themeColor="text1"/>
          <w:sz w:val="16"/>
          <w:szCs w:val="16"/>
        </w:rPr>
        <w:t>» был оста</w:t>
      </w:r>
      <w:r w:rsidRPr="007122AB">
        <w:rPr>
          <w:rFonts w:ascii="Times New Roman" w:hAnsi="Times New Roman"/>
          <w:color w:val="000000" w:themeColor="text1"/>
          <w:sz w:val="16"/>
          <w:szCs w:val="16"/>
        </w:rPr>
        <w:softHyphen/>
        <w:t>новлен после приемки 14-й машины, а фирме было поручено улучшить ха</w:t>
      </w:r>
      <w:r w:rsidRPr="007122AB">
        <w:rPr>
          <w:rFonts w:ascii="Times New Roman" w:hAnsi="Times New Roman"/>
          <w:color w:val="000000" w:themeColor="text1"/>
          <w:sz w:val="16"/>
          <w:szCs w:val="16"/>
        </w:rPr>
        <w:softHyphen/>
        <w:t>рактеристики самолета (22799).</w:t>
      </w:r>
    </w:p>
    <w:p w14:paraId="57794B26" w14:textId="77777777" w:rsidR="000306D2" w:rsidRPr="007122AB" w:rsidRDefault="000306D2" w:rsidP="007122AB">
      <w:pPr>
        <w:spacing w:after="0" w:line="240" w:lineRule="auto"/>
        <w:jc w:val="both"/>
        <w:rPr>
          <w:rFonts w:ascii="Times New Roman" w:hAnsi="Times New Roman"/>
          <w:color w:val="000000" w:themeColor="text1"/>
          <w:sz w:val="16"/>
          <w:szCs w:val="16"/>
        </w:rPr>
      </w:pPr>
    </w:p>
    <w:p w14:paraId="14160B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 1931 года фюзеляж R.100 продали на металлолом. Оценка британского участия в послевоенном развитии воздухоплавательной техники весьма противоречива. С технической стороны появились интересные конструкции — R.100 и R.101, между тем как более ранние дирижабли являлись лишь развитием военных конструкций. С другой стороны, более грамотное и целенаправленное управление воздухоплавательными исследованиями и производством могло привести к меньшим расходам и лучшему конечному результату. [305] (11324).</w:t>
      </w:r>
    </w:p>
    <w:p w14:paraId="2CC15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792BE1"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 ноября 1931 г. гидроплан второй прототип, Ju-52bi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Nr</w:t>
      </w:r>
      <w:proofErr w:type="spellEnd"/>
      <w:r w:rsidRPr="00441F34">
        <w:rPr>
          <w:rFonts w:ascii="Times New Roman" w:hAnsi="Times New Roman"/>
          <w:color w:val="0070C0"/>
          <w:sz w:val="16"/>
          <w:szCs w:val="16"/>
        </w:rPr>
        <w:t xml:space="preserve">. 4002, D-2133), который после установки на поплавки именовался Ju-52ci, проходил испытания на Балтике в </w:t>
      </w:r>
      <w:proofErr w:type="spellStart"/>
      <w:r w:rsidRPr="00441F34">
        <w:rPr>
          <w:rFonts w:ascii="Times New Roman" w:hAnsi="Times New Roman"/>
          <w:color w:val="0070C0"/>
          <w:sz w:val="16"/>
          <w:szCs w:val="16"/>
        </w:rPr>
        <w:t>Травемюнде</w:t>
      </w:r>
      <w:proofErr w:type="spellEnd"/>
      <w:r w:rsidRPr="00441F34">
        <w:rPr>
          <w:rFonts w:ascii="Times New Roman" w:hAnsi="Times New Roman"/>
          <w:color w:val="0070C0"/>
          <w:sz w:val="16"/>
          <w:szCs w:val="16"/>
        </w:rPr>
        <w:t xml:space="preserve"> (24200).</w:t>
      </w:r>
    </w:p>
    <w:p w14:paraId="05952052" w14:textId="77777777" w:rsidR="00D82FF1" w:rsidRPr="00441F34" w:rsidRDefault="00D82FF1" w:rsidP="00D82FF1">
      <w:pPr>
        <w:spacing w:after="0" w:line="240" w:lineRule="auto"/>
        <w:jc w:val="both"/>
        <w:rPr>
          <w:rFonts w:ascii="Times New Roman" w:hAnsi="Times New Roman"/>
          <w:color w:val="0070C0"/>
          <w:sz w:val="16"/>
          <w:szCs w:val="16"/>
        </w:rPr>
      </w:pPr>
    </w:p>
    <w:p w14:paraId="4505AB80"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ноябре 1931 г. авиакомпания Canadian Airways Ltd. приобрела Ju-52ce (CF-ARM, </w:t>
      </w:r>
      <w:proofErr w:type="spellStart"/>
      <w:r w:rsidRPr="00441F34">
        <w:rPr>
          <w:rFonts w:ascii="Times New Roman" w:hAnsi="Times New Roman"/>
          <w:color w:val="0070C0"/>
          <w:sz w:val="16"/>
          <w:szCs w:val="16"/>
        </w:rPr>
        <w:t>Werk</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Nr</w:t>
      </w:r>
      <w:proofErr w:type="spellEnd"/>
      <w:r w:rsidRPr="00441F34">
        <w:rPr>
          <w:rFonts w:ascii="Times New Roman" w:hAnsi="Times New Roman"/>
          <w:color w:val="0070C0"/>
          <w:sz w:val="16"/>
          <w:szCs w:val="16"/>
        </w:rPr>
        <w:t>. 4006). Самолет Ju-52ce мог быть оснащен колесным, лыжным или поплавковым шасси, что было очень важным для эксплуатации машины в разнообразных климатических условиях Канады. Авиакомпания Canadian Airways Ltd. использовала Ju-52ce для перевозки грузов с конца 1931 г. по 1943 г.</w:t>
      </w:r>
    </w:p>
    <w:p w14:paraId="059132CF"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Перед погрузкой на судно «BEAVERBRAE» машину разобрали. Судно доставило самолет в порт </w:t>
      </w:r>
      <w:proofErr w:type="spellStart"/>
      <w:r w:rsidRPr="00441F34">
        <w:rPr>
          <w:rFonts w:ascii="Times New Roman" w:hAnsi="Times New Roman"/>
          <w:color w:val="0070C0"/>
          <w:sz w:val="16"/>
          <w:szCs w:val="16"/>
        </w:rPr>
        <w:t>Лонгуил</w:t>
      </w:r>
      <w:proofErr w:type="spellEnd"/>
      <w:r w:rsidRPr="00441F34">
        <w:rPr>
          <w:rFonts w:ascii="Times New Roman" w:hAnsi="Times New Roman"/>
          <w:color w:val="0070C0"/>
          <w:sz w:val="16"/>
          <w:szCs w:val="16"/>
        </w:rPr>
        <w:t xml:space="preserve">, Квебек, расположенный недалеко от Монреаля. Сборка самолета осуществлялась в Монреале на заводе фирмы </w:t>
      </w:r>
      <w:proofErr w:type="spellStart"/>
      <w:r w:rsidRPr="00441F34">
        <w:rPr>
          <w:rFonts w:ascii="Times New Roman" w:hAnsi="Times New Roman"/>
          <w:color w:val="0070C0"/>
          <w:sz w:val="16"/>
          <w:szCs w:val="16"/>
        </w:rPr>
        <w:t>Фэйрчайльд</w:t>
      </w:r>
      <w:proofErr w:type="spellEnd"/>
      <w:r w:rsidRPr="00441F34">
        <w:rPr>
          <w:rFonts w:ascii="Times New Roman" w:hAnsi="Times New Roman"/>
          <w:color w:val="0070C0"/>
          <w:sz w:val="16"/>
          <w:szCs w:val="16"/>
        </w:rPr>
        <w:t xml:space="preserve"> Авиэйшн Компани. 26 октября 1931 г машине присвоили канадский гражданский регистрационный номер «CF-ARM». Первый полет в Канаде выполнил летчик Алекс Шнейдер 28 ноября 1931 г. Самолет получил собственное имя «White </w:t>
      </w:r>
      <w:proofErr w:type="spellStart"/>
      <w:r w:rsidRPr="00441F34">
        <w:rPr>
          <w:rFonts w:ascii="Times New Roman" w:hAnsi="Times New Roman"/>
          <w:color w:val="0070C0"/>
          <w:sz w:val="16"/>
          <w:szCs w:val="16"/>
        </w:rPr>
        <w:t>Elephant</w:t>
      </w:r>
      <w:proofErr w:type="spellEnd"/>
      <w:r w:rsidRPr="00441F34">
        <w:rPr>
          <w:rFonts w:ascii="Times New Roman" w:hAnsi="Times New Roman"/>
          <w:color w:val="0070C0"/>
          <w:sz w:val="16"/>
          <w:szCs w:val="16"/>
        </w:rPr>
        <w:t xml:space="preserve">». «Белый слон» совершил рекламный тур по восточным провинциям Канады и северным штатам США. Двигатель BMW </w:t>
      </w:r>
      <w:proofErr w:type="spellStart"/>
      <w:r w:rsidRPr="00441F34">
        <w:rPr>
          <w:rFonts w:ascii="Times New Roman" w:hAnsi="Times New Roman"/>
          <w:color w:val="0070C0"/>
          <w:sz w:val="16"/>
          <w:szCs w:val="16"/>
        </w:rPr>
        <w:t>VIIaU</w:t>
      </w:r>
      <w:proofErr w:type="spellEnd"/>
      <w:r w:rsidRPr="00441F34">
        <w:rPr>
          <w:rFonts w:ascii="Times New Roman" w:hAnsi="Times New Roman"/>
          <w:color w:val="0070C0"/>
          <w:sz w:val="16"/>
          <w:szCs w:val="16"/>
        </w:rPr>
        <w:t xml:space="preserve"> не выдержал испытания суровой канадской зимой — в январе 1936 г. мотор пришлось заменить на 825-сильный 12-цилиндровый двигатель жидкостного охлаждения Роллс-Ройс «</w:t>
      </w:r>
      <w:proofErr w:type="spellStart"/>
      <w:r w:rsidRPr="00441F34">
        <w:rPr>
          <w:rFonts w:ascii="Times New Roman" w:hAnsi="Times New Roman"/>
          <w:color w:val="0070C0"/>
          <w:sz w:val="16"/>
          <w:szCs w:val="16"/>
        </w:rPr>
        <w:t>Баззард</w:t>
      </w:r>
      <w:proofErr w:type="spellEnd"/>
      <w:r w:rsidRPr="00441F34">
        <w:rPr>
          <w:rFonts w:ascii="Times New Roman" w:hAnsi="Times New Roman"/>
          <w:color w:val="0070C0"/>
          <w:sz w:val="16"/>
          <w:szCs w:val="16"/>
        </w:rPr>
        <w:t>». После замены двигателя самолет стал обозначаться Ju-52cao.</w:t>
      </w:r>
    </w:p>
    <w:p w14:paraId="2E56D27E"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Самолет довольно напряженного эксплуатировался в северных районах Канады, доставляя самые различные грузы: от рыбы до строительных материалов. В 1941 г. компанию Canadian Airways Ltd купила железнодорожная компания Canadian </w:t>
      </w:r>
      <w:proofErr w:type="spellStart"/>
      <w:r w:rsidRPr="00441F34">
        <w:rPr>
          <w:rFonts w:ascii="Times New Roman" w:hAnsi="Times New Roman"/>
          <w:color w:val="0070C0"/>
          <w:sz w:val="16"/>
          <w:szCs w:val="16"/>
        </w:rPr>
        <w:t>Pasific</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Railway</w:t>
      </w:r>
      <w:proofErr w:type="spellEnd"/>
      <w:r w:rsidRPr="00441F34">
        <w:rPr>
          <w:rFonts w:ascii="Times New Roman" w:hAnsi="Times New Roman"/>
          <w:color w:val="0070C0"/>
          <w:sz w:val="16"/>
          <w:szCs w:val="16"/>
        </w:rPr>
        <w:t>, a Ju-52cao оказался в компании Canadian Air Services Ltd. К этому времени почти истек ресурс двигателя «</w:t>
      </w:r>
      <w:proofErr w:type="spellStart"/>
      <w:r w:rsidRPr="00441F34">
        <w:rPr>
          <w:rFonts w:ascii="Times New Roman" w:hAnsi="Times New Roman"/>
          <w:color w:val="0070C0"/>
          <w:sz w:val="16"/>
          <w:szCs w:val="16"/>
        </w:rPr>
        <w:t>Баззард</w:t>
      </w:r>
      <w:proofErr w:type="spellEnd"/>
      <w:r w:rsidRPr="00441F34">
        <w:rPr>
          <w:rFonts w:ascii="Times New Roman" w:hAnsi="Times New Roman"/>
          <w:color w:val="0070C0"/>
          <w:sz w:val="16"/>
          <w:szCs w:val="16"/>
        </w:rPr>
        <w:t>». Мотор следовало менять, но германская субмарина потопила судно, которое везло из Европы в Канаду такой же. но новый мотор. Тем не менее, самолет летал в Canadian Air Services Ltd до 1943 г. В 1943 г. машину передали на консервацию в Виннипег, Манитоба. Здесь он находился до разделки на металлолом в 1947 г. (24200).</w:t>
      </w:r>
    </w:p>
    <w:p w14:paraId="53D5F474" w14:textId="77777777" w:rsidR="00D82FF1" w:rsidRPr="00441F34" w:rsidRDefault="00D82FF1" w:rsidP="00D82FF1">
      <w:pPr>
        <w:spacing w:after="0" w:line="240" w:lineRule="auto"/>
        <w:jc w:val="both"/>
        <w:rPr>
          <w:rFonts w:ascii="Times New Roman" w:hAnsi="Times New Roman"/>
          <w:color w:val="0070C0"/>
          <w:sz w:val="16"/>
          <w:szCs w:val="16"/>
        </w:rPr>
      </w:pPr>
    </w:p>
    <w:p w14:paraId="685BCADF" w14:textId="77777777" w:rsidR="00BF6E52" w:rsidRPr="007122AB" w:rsidRDefault="00BF6E52"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482AB80" w14:textId="77777777" w:rsidR="00BF6E52" w:rsidRPr="007122AB" w:rsidRDefault="00BF6E52"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B9486F" w14:textId="77777777" w:rsidR="00BF6E52" w:rsidRPr="007122AB" w:rsidRDefault="00BF6E52"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rPr>
        <w:t>В ноябре — декабре 1931 г. испытания доработанного ТШ-2 показали повышение летных качеств (максимальная скорость возросла до 213 км/ч), и самолет решили внедрить в серийное производство на воронежском авиазаводе № 16. Согласно утвержденной программе в 1932 г. завод № 16 должен был сдать 70 самолетов ТШ-2 с двигателями М-17. Но вот тут-то и начались проблемы. Несмотря на то что М-17 представлял собой лицензионную копию ВМ</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 xml:space="preserve"> VI, на ТШ-2 он упорно перегревался. В итоге все ограничилось выпуском малой серии ТШ-2 из 10 единиц, и на вооружение ВВС РККА первый бронированный штурмовик так и не попал (21241).</w:t>
      </w:r>
    </w:p>
    <w:p w14:paraId="5E1C8A76" w14:textId="77777777" w:rsidR="00BF6E52" w:rsidRPr="007122AB" w:rsidRDefault="00BF6E52" w:rsidP="007122AB">
      <w:pPr>
        <w:spacing w:after="0" w:line="240" w:lineRule="auto"/>
        <w:jc w:val="both"/>
        <w:rPr>
          <w:rFonts w:ascii="Times New Roman" w:hAnsi="Times New Roman"/>
          <w:color w:val="000000" w:themeColor="text1"/>
          <w:sz w:val="16"/>
          <w:szCs w:val="16"/>
          <w:lang w:eastAsia="ru-RU" w:bidi="ru-RU"/>
        </w:rPr>
      </w:pPr>
    </w:p>
    <w:p w14:paraId="11773BC9" w14:textId="77777777" w:rsidR="006813D3" w:rsidRPr="007122AB" w:rsidRDefault="006813D3"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263D374F" w14:textId="77777777" w:rsidR="006813D3" w:rsidRPr="007122AB" w:rsidRDefault="006813D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7F8866"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 декабре 1931 года в конструкцию Д-2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w:t>
      </w:r>
    </w:p>
    <w:p w14:paraId="58A07B75"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Разработанный вариант </w:t>
      </w:r>
      <w:proofErr w:type="spellStart"/>
      <w:r w:rsidRPr="007122AB">
        <w:rPr>
          <w:rFonts w:ascii="Times New Roman" w:hAnsi="Times New Roman"/>
          <w:color w:val="000000" w:themeColor="text1"/>
          <w:sz w:val="16"/>
          <w:szCs w:val="16"/>
        </w:rPr>
        <w:t>мотоброневагона</w:t>
      </w:r>
      <w:proofErr w:type="spellEnd"/>
      <w:r w:rsidRPr="007122AB">
        <w:rPr>
          <w:rFonts w:ascii="Times New Roman" w:hAnsi="Times New Roman"/>
          <w:color w:val="000000" w:themeColor="text1"/>
          <w:sz w:val="16"/>
          <w:szCs w:val="16"/>
        </w:rPr>
        <w:t xml:space="preserve">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В результате этого 31 декабря 1931 года на совещании у заместителя председателя Высшего совета народного хозяйства (ВСНХ) СССР было принято решение об изготовлении </w:t>
      </w:r>
      <w:proofErr w:type="spellStart"/>
      <w:r w:rsidRPr="007122AB">
        <w:rPr>
          <w:rFonts w:ascii="Times New Roman" w:hAnsi="Times New Roman"/>
          <w:color w:val="000000" w:themeColor="text1"/>
          <w:sz w:val="16"/>
          <w:szCs w:val="16"/>
        </w:rPr>
        <w:t>Главмашпромом</w:t>
      </w:r>
      <w:proofErr w:type="spellEnd"/>
      <w:r w:rsidRPr="007122AB">
        <w:rPr>
          <w:rFonts w:ascii="Times New Roman" w:hAnsi="Times New Roman"/>
          <w:color w:val="000000" w:themeColor="text1"/>
          <w:sz w:val="16"/>
          <w:szCs w:val="16"/>
        </w:rPr>
        <w:t xml:space="preserve"> в течение двух месяцев 60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w:t>
      </w:r>
      <w:proofErr w:type="spellStart"/>
      <w:r w:rsidRPr="007122AB">
        <w:rPr>
          <w:rFonts w:ascii="Times New Roman" w:hAnsi="Times New Roman"/>
          <w:color w:val="000000" w:themeColor="text1"/>
          <w:sz w:val="16"/>
          <w:szCs w:val="16"/>
        </w:rPr>
        <w:t>Профин</w:t>
      </w:r>
      <w:proofErr w:type="spellEnd"/>
      <w:r w:rsidRPr="007122AB">
        <w:rPr>
          <w:rFonts w:ascii="Times New Roman" w:hAnsi="Times New Roman"/>
          <w:color w:val="000000" w:themeColor="text1"/>
          <w:sz w:val="16"/>
          <w:szCs w:val="16"/>
        </w:rPr>
        <w:t>-терн» в Брянске, заводу № 1 транспортного отдела ОПТУ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комплектующие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 </w:t>
      </w:r>
    </w:p>
    <w:p w14:paraId="1FAD1F82" w14:textId="77777777" w:rsidR="006813D3" w:rsidRPr="007122AB" w:rsidRDefault="006813D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(18626).</w:t>
      </w:r>
    </w:p>
    <w:p w14:paraId="4F9E7633" w14:textId="77777777" w:rsidR="006813D3" w:rsidRPr="007122AB" w:rsidRDefault="006813D3" w:rsidP="007122AB">
      <w:pPr>
        <w:spacing w:after="0" w:line="240" w:lineRule="auto"/>
        <w:jc w:val="both"/>
        <w:rPr>
          <w:rFonts w:ascii="Times New Roman" w:hAnsi="Times New Roman"/>
          <w:color w:val="000000" w:themeColor="text1"/>
          <w:sz w:val="16"/>
          <w:szCs w:val="16"/>
        </w:rPr>
      </w:pPr>
    </w:p>
    <w:p w14:paraId="0D29504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04FA88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A58E04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ноябре-декабре 1931 г. для усиления авиации Отдельной краснознаменной дальневосточной армии (ОКДВА) из Моск</w:t>
      </w:r>
      <w:r w:rsidRPr="007122AB">
        <w:rPr>
          <w:rFonts w:ascii="Times New Roman" w:hAnsi="Times New Roman"/>
          <w:color w:val="000000" w:themeColor="text1"/>
          <w:sz w:val="16"/>
          <w:szCs w:val="16"/>
        </w:rPr>
        <w:softHyphen/>
        <w:t>вы в Омск перебросили 51-ю отдельную тя</w:t>
      </w:r>
      <w:r w:rsidRPr="007122AB">
        <w:rPr>
          <w:rFonts w:ascii="Times New Roman" w:hAnsi="Times New Roman"/>
          <w:color w:val="000000" w:themeColor="text1"/>
          <w:sz w:val="16"/>
          <w:szCs w:val="16"/>
        </w:rPr>
        <w:softHyphen/>
        <w:t>желобомбардировочную авиаэскадрилью (ТБАЭ), включавшую 12 ТБ-1 (завод. №№ 612, 620, 626, 635, 647, 648, 656, 662, 670, 701, 703, 718). Опасаясь аварий при перелете, самолеты перевезли разобран</w:t>
      </w:r>
      <w:r w:rsidRPr="007122AB">
        <w:rPr>
          <w:rFonts w:ascii="Times New Roman" w:hAnsi="Times New Roman"/>
          <w:color w:val="000000" w:themeColor="text1"/>
          <w:sz w:val="16"/>
          <w:szCs w:val="16"/>
        </w:rPr>
        <w:softHyphen/>
        <w:t>ными по железной дороге. Уже 25 декабря эскадрилья разместилась на Ново-Омском аэродроме и, согласно докладу командова</w:t>
      </w:r>
      <w:r w:rsidRPr="007122AB">
        <w:rPr>
          <w:rFonts w:ascii="Times New Roman" w:hAnsi="Times New Roman"/>
          <w:color w:val="000000" w:themeColor="text1"/>
          <w:sz w:val="16"/>
          <w:szCs w:val="16"/>
        </w:rPr>
        <w:softHyphen/>
        <w:t>ния, приступила к работе. Весной 1932 г. 51-ю ТБАЭ перебросили под Хабаровск и в апреле передали Морским силам Дальнего Востока, где самолеты предполагали ис</w:t>
      </w:r>
      <w:r w:rsidRPr="007122AB">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7122AB">
        <w:rPr>
          <w:rFonts w:ascii="Times New Roman" w:hAnsi="Times New Roman"/>
          <w:color w:val="000000" w:themeColor="text1"/>
          <w:sz w:val="16"/>
          <w:szCs w:val="16"/>
        </w:rPr>
        <w:softHyphen/>
        <w:t xml:space="preserve">педными мостами, выпуск которых только осваивала промышленность. В 1933 г. отряд ТБ-1 под командованием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вхо</w:t>
      </w:r>
      <w:r w:rsidRPr="007122AB">
        <w:rPr>
          <w:rFonts w:ascii="Times New Roman" w:hAnsi="Times New Roman"/>
          <w:color w:val="000000" w:themeColor="text1"/>
          <w:sz w:val="16"/>
          <w:szCs w:val="16"/>
        </w:rPr>
        <w:softHyphen/>
        <w:t>дивший в то время в 28-ю ТБАБ, начал осво</w:t>
      </w:r>
      <w:r w:rsidRPr="007122AB">
        <w:rPr>
          <w:rFonts w:ascii="Times New Roman" w:hAnsi="Times New Roman"/>
          <w:color w:val="000000" w:themeColor="text1"/>
          <w:sz w:val="16"/>
          <w:szCs w:val="16"/>
        </w:rPr>
        <w:softHyphen/>
        <w:t>ение высотного торпедометания (11286).</w:t>
      </w:r>
    </w:p>
    <w:p w14:paraId="5EA108C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4B207"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ноябре-декабре 1931 г. 12 ТБ-1 51-й </w:t>
      </w:r>
      <w:proofErr w:type="spellStart"/>
      <w:r w:rsidRPr="00441F34">
        <w:rPr>
          <w:rFonts w:ascii="Times New Roman" w:hAnsi="Times New Roman"/>
          <w:color w:val="0070C0"/>
          <w:sz w:val="16"/>
          <w:szCs w:val="16"/>
        </w:rPr>
        <w:t>тбаэ</w:t>
      </w:r>
      <w:proofErr w:type="spellEnd"/>
      <w:r w:rsidRPr="00441F34">
        <w:rPr>
          <w:rFonts w:ascii="Times New Roman" w:hAnsi="Times New Roman"/>
          <w:color w:val="0070C0"/>
          <w:sz w:val="16"/>
          <w:szCs w:val="16"/>
        </w:rPr>
        <w:t xml:space="preserve"> перевезли на ДВ по железной дороге. Летом 1932 г. поближе к Тихому океану решили перевести еще несколько эскадрилий из Центральной России. Однако главным событием летнего сезона должна была стать перегонка 24 самолетов ТБ-3 (две эскад</w:t>
      </w:r>
      <w:r w:rsidRPr="00441F34">
        <w:rPr>
          <w:rFonts w:ascii="Times New Roman" w:hAnsi="Times New Roman"/>
          <w:color w:val="0070C0"/>
          <w:sz w:val="16"/>
          <w:szCs w:val="16"/>
        </w:rPr>
        <w:softHyphen/>
        <w:t>рильи) вновь сформированной 19-й тяжелой бомбардировочной авиабригады (</w:t>
      </w:r>
      <w:proofErr w:type="spellStart"/>
      <w:r w:rsidRPr="00441F34">
        <w:rPr>
          <w:rFonts w:ascii="Times New Roman" w:hAnsi="Times New Roman"/>
          <w:color w:val="0070C0"/>
          <w:sz w:val="16"/>
          <w:szCs w:val="16"/>
        </w:rPr>
        <w:t>тбаб</w:t>
      </w:r>
      <w:proofErr w:type="spellEnd"/>
      <w:r w:rsidRPr="00441F34">
        <w:rPr>
          <w:rFonts w:ascii="Times New Roman" w:hAnsi="Times New Roman"/>
          <w:color w:val="0070C0"/>
          <w:sz w:val="16"/>
          <w:szCs w:val="16"/>
        </w:rPr>
        <w:t>). Задуманная понача</w:t>
      </w:r>
      <w:r w:rsidRPr="00441F34">
        <w:rPr>
          <w:rFonts w:ascii="Times New Roman" w:hAnsi="Times New Roman"/>
          <w:color w:val="0070C0"/>
          <w:sz w:val="16"/>
          <w:szCs w:val="16"/>
        </w:rPr>
        <w:softHyphen/>
        <w:t>лу перевозка по железной дороге представлялась чрезвычайно сложной и долгой, поэтому выбран был все-таки перелет группы самолетов. Для решения задуманного планировалось не позд</w:t>
      </w:r>
      <w:r w:rsidRPr="00441F34">
        <w:rPr>
          <w:rFonts w:ascii="Times New Roman" w:hAnsi="Times New Roman"/>
          <w:color w:val="0070C0"/>
          <w:sz w:val="16"/>
          <w:szCs w:val="16"/>
        </w:rPr>
        <w:softHyphen/>
        <w:t>нее августа 1932 г. создать одну тяжелую бомбарди</w:t>
      </w:r>
      <w:r w:rsidRPr="00441F34">
        <w:rPr>
          <w:rFonts w:ascii="Times New Roman" w:hAnsi="Times New Roman"/>
          <w:color w:val="0070C0"/>
          <w:sz w:val="16"/>
          <w:szCs w:val="16"/>
        </w:rPr>
        <w:softHyphen/>
        <w:t>ровочную авиабригаду для ОКДВА в составе двух эс</w:t>
      </w:r>
      <w:r w:rsidRPr="00441F34">
        <w:rPr>
          <w:rFonts w:ascii="Times New Roman" w:hAnsi="Times New Roman"/>
          <w:color w:val="0070C0"/>
          <w:sz w:val="16"/>
          <w:szCs w:val="16"/>
        </w:rPr>
        <w:softHyphen/>
        <w:t>кадрилий ТБ-1 и двух эскадрилий ТБ-3 (23378).</w:t>
      </w:r>
    </w:p>
    <w:p w14:paraId="66AEBFCF" w14:textId="77777777" w:rsidR="00D82FF1" w:rsidRPr="00441F34" w:rsidRDefault="00D82FF1" w:rsidP="00D82FF1">
      <w:pPr>
        <w:spacing w:after="0" w:line="240" w:lineRule="auto"/>
        <w:jc w:val="both"/>
        <w:rPr>
          <w:rFonts w:ascii="Times New Roman" w:hAnsi="Times New Roman"/>
          <w:color w:val="0070C0"/>
          <w:sz w:val="16"/>
          <w:szCs w:val="16"/>
        </w:rPr>
      </w:pPr>
    </w:p>
    <w:p w14:paraId="62DB170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A0F6C1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B294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декабрю 1931 на 39 заводе был закончен МБР-2 М-17 и к весне 1932 был доставлен на </w:t>
      </w:r>
      <w:proofErr w:type="spellStart"/>
      <w:r w:rsidRPr="007122AB">
        <w:rPr>
          <w:rFonts w:ascii="Times New Roman" w:hAnsi="Times New Roman"/>
          <w:color w:val="000000" w:themeColor="text1"/>
          <w:sz w:val="16"/>
          <w:szCs w:val="16"/>
        </w:rPr>
        <w:t>гидробазу</w:t>
      </w:r>
      <w:proofErr w:type="spellEnd"/>
      <w:r w:rsidRPr="007122AB">
        <w:rPr>
          <w:rFonts w:ascii="Times New Roman" w:hAnsi="Times New Roman"/>
          <w:color w:val="000000" w:themeColor="text1"/>
          <w:sz w:val="16"/>
          <w:szCs w:val="16"/>
        </w:rPr>
        <w:t xml:space="preserve"> 45 завода в Севастополь (2555,14).</w:t>
      </w:r>
    </w:p>
    <w:p w14:paraId="39FA02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3EA61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976A60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CC6D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 декабря 1931 на испытания в НИИ ВВС был предъявлен для специальных испытаний самолет типа ТБ-1, серии N 8, построенный на заводе N 22 с мотором 2хМ-17, 500НР NN 26427, 26430, степень сжатия 1:6 постройки завода N 26 серии 4 с воздушными винтами </w:t>
      </w:r>
      <w:proofErr w:type="spellStart"/>
      <w:r w:rsidRPr="007122AB">
        <w:rPr>
          <w:rFonts w:ascii="Times New Roman" w:hAnsi="Times New Roman"/>
          <w:color w:val="000000" w:themeColor="text1"/>
          <w:sz w:val="16"/>
          <w:szCs w:val="16"/>
        </w:rPr>
        <w:t>диам</w:t>
      </w:r>
      <w:proofErr w:type="spellEnd"/>
      <w:r w:rsidRPr="007122AB">
        <w:rPr>
          <w:rFonts w:ascii="Times New Roman" w:hAnsi="Times New Roman"/>
          <w:color w:val="000000" w:themeColor="text1"/>
          <w:sz w:val="16"/>
          <w:szCs w:val="16"/>
        </w:rPr>
        <w:t>. 3,3, шаг 2,42 м (2995).</w:t>
      </w:r>
    </w:p>
    <w:p w14:paraId="288DE2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44CE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 опытный экземпляр звена ТБ-1 + И-4 был готов. Все три самолета раздельно в целях соблюдения секретности, были перегнаны в Монино, где был проведен пробный полет в составе следующего экипажа:</w:t>
      </w:r>
    </w:p>
    <w:p w14:paraId="78B73B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летчик на ТБ1 - </w:t>
      </w:r>
      <w:proofErr w:type="spellStart"/>
      <w:r w:rsidRPr="007122AB">
        <w:rPr>
          <w:rFonts w:ascii="Times New Roman" w:hAnsi="Times New Roman"/>
          <w:color w:val="000000" w:themeColor="text1"/>
          <w:sz w:val="16"/>
          <w:szCs w:val="16"/>
        </w:rPr>
        <w:t>Залевский</w:t>
      </w:r>
      <w:proofErr w:type="spellEnd"/>
    </w:p>
    <w:p w14:paraId="287EB8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второй летчик на ТБ1 - Шарапов</w:t>
      </w:r>
    </w:p>
    <w:p w14:paraId="20794F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наблюдатель - Вахмистров</w:t>
      </w:r>
    </w:p>
    <w:p w14:paraId="68ECFB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второй летчик наблюдатель - Морозов</w:t>
      </w:r>
    </w:p>
    <w:p w14:paraId="6673C1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на И4 - Анисимов</w:t>
      </w:r>
    </w:p>
    <w:p w14:paraId="01E38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на втором И4 - Чекалов</w:t>
      </w:r>
    </w:p>
    <w:p w14:paraId="1006EE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звено легко оторвался в воздух, быстро набрал высоту в 1000 м, на которой по сигналу оба истребителя были освобождены. Они благополучно отделились от Тб1. По окончании полета все три самолета приземлились в Монино (3788).</w:t>
      </w:r>
    </w:p>
    <w:p w14:paraId="74F162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649CF5"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декабря 1931 г. ТБ-1 и два И-4 перелетели на аэродром Монино, для испытаний были выделены самые опытные лётчики. Пилотировать бомбардировщик должны были А.И. </w:t>
      </w:r>
      <w:proofErr w:type="spellStart"/>
      <w:r w:rsidRPr="007122AB">
        <w:rPr>
          <w:rFonts w:ascii="Times New Roman" w:eastAsia="Times New Roman" w:hAnsi="Times New Roman"/>
          <w:color w:val="000000" w:themeColor="text1"/>
          <w:sz w:val="16"/>
          <w:szCs w:val="16"/>
          <w:lang w:eastAsia="ru-RU"/>
        </w:rPr>
        <w:t>Залевский</w:t>
      </w:r>
      <w:proofErr w:type="spellEnd"/>
      <w:r w:rsidRPr="007122AB">
        <w:rPr>
          <w:rFonts w:ascii="Times New Roman" w:eastAsia="Times New Roman" w:hAnsi="Times New Roman"/>
          <w:color w:val="000000" w:themeColor="text1"/>
          <w:sz w:val="16"/>
          <w:szCs w:val="16"/>
          <w:lang w:eastAsia="ru-RU"/>
        </w:rPr>
        <w:t xml:space="preserve"> (командир корабля) и А.Р. Шарапов, в задней кабине находились В.С. Вахмистров и бортинженер В.В. Морозов. Лётчиком левого И-4 назначили B.П. Чкалова, правого — А.Ф. Анисимова.</w:t>
      </w:r>
    </w:p>
    <w:p w14:paraId="0DE64FBA"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Полёт самолёта-звена состоялся 3 декабря. Шарапов слишком рано освободил передние замки истребителя Анисимова, который не успел увеличить угол атаки, что едва не привело к трагедии.</w:t>
      </w:r>
    </w:p>
    <w:p w14:paraId="578D5BA0"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Описание опасного эксперимента содержится в докладе Валерия Чкалова, написанном сразу после полёта: «Самолёты И4 после прогрева моторов на земле были закатаны на самолёт ТБ1, где сразу же установлены на замки… После запуска всех моторов были даны разные режимы моторов на месте, никаких вибраций нет. После вторичного осмотра замков и креплений „самолёт-звено“ начал рулёжку, сначала на моторах ТБ1.</w:t>
      </w:r>
    </w:p>
    <w:p w14:paraId="6500E6C9"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Я наблюдал за правым самолётом И4 и заметил, что в креплении замков у шасси имеется качание. После рулёжки на одних моторах ТБ1 была произведена рулёжка с поднятым хвостом на всех четырёх моторах. Обороты И4 1000 об/мин. Никаких ненормальностей нет. Качания правого И4 при 1000 об/мин отсутствовало.</w:t>
      </w:r>
    </w:p>
    <w:p w14:paraId="6EA288CE"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После этого был произведен тщательный осмотр замков и креплений и был дан старт. Моторы ТБ1 имели обороты для взлёта, а моторы И4 — 1450 об/мин. Взлёт нормальный, отрыв быстрее, чем у одного ТБ, набор высоты производился на небольшой скорости — 145–150 км/ч. Вибраций никаких не заметно.</w:t>
      </w:r>
    </w:p>
    <w:p w14:paraId="6C67343B"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высоте 1000 м произведено отцепление самолётов И4, сначала правого, затем меня. После дачи сигнала „отцепи хвост“ правому И4 таковое произошло, но тренога ещё не опустилась, в этот момент произведено было отцепление передних замков. Самолёт И4 оторвался на полметра вверх от замков, ударился за ними о плоскость ТБ1, поломал себе винт и пробил обшивку крыла ТБ1, и низко над плоскостью сошёл вправо.</w:t>
      </w:r>
    </w:p>
    <w:p w14:paraId="4E4B9CC4"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момент удара правого И4 о плоскость ТБ1 произвели сбрасывание меня (левого). Как только были освобождены замки моего самолёта, я немного взял ручку рулей на себя и мой самолёт был уже метров на десять выше ТБ1. Пройдя над ТБ1, посмотрел за его правой плоскостью и после этого посмотрел шасси правого И4, они были исправны, после всего этого пошёл на посадку. Весь полёт, как в звене, так и одиночку, нормален… Полёт длился 12 минут» </w:t>
      </w:r>
      <w:hyperlink r:id="rId212" w:history="1">
        <w:r w:rsidRPr="007122AB">
          <w:rPr>
            <w:rFonts w:ascii="Times New Roman" w:eastAsia="Times New Roman" w:hAnsi="Times New Roman"/>
            <w:color w:val="000000" w:themeColor="text1"/>
            <w:sz w:val="16"/>
            <w:szCs w:val="16"/>
            <w:lang w:eastAsia="ru-RU"/>
          </w:rPr>
          <w:t>[75]</w:t>
        </w:r>
      </w:hyperlink>
      <w:r w:rsidRPr="007122AB">
        <w:rPr>
          <w:rFonts w:ascii="Times New Roman" w:eastAsia="Times New Roman" w:hAnsi="Times New Roman"/>
          <w:color w:val="000000" w:themeColor="text1"/>
          <w:sz w:val="16"/>
          <w:szCs w:val="16"/>
          <w:lang w:eastAsia="ru-RU"/>
        </w:rPr>
        <w:t xml:space="preserve"> .</w:t>
      </w:r>
    </w:p>
    <w:p w14:paraId="45C9E33E"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докладе Вахмистрова содержится похожее, но не идентичное описание ЧП при разъединении «звена»: «На высоте 1000 м при скорости 160 км/час было произведено отцепление самолётов почти одновременное, причём ввиду того, что правый самолёт был отцеплен в тот момент, когда у него был поднят хвост, при срыве, не имея достаточной подъемной силы, он ударился колесом о 3-й лонжерон ТБ1, пробил гофр и лопастью винта помял ногу правого паука (треноги. — Д.С.) установки, отбив концы лопастей винта. Посадка всех трёх самолётов по одиночке произведена благополучно на </w:t>
      </w:r>
      <w:proofErr w:type="spellStart"/>
      <w:r w:rsidRPr="007122AB">
        <w:rPr>
          <w:rFonts w:ascii="Times New Roman" w:eastAsia="Times New Roman" w:hAnsi="Times New Roman"/>
          <w:color w:val="000000" w:themeColor="text1"/>
          <w:sz w:val="16"/>
          <w:szCs w:val="16"/>
          <w:lang w:eastAsia="ru-RU"/>
        </w:rPr>
        <w:t>Монинском</w:t>
      </w:r>
      <w:proofErr w:type="spellEnd"/>
      <w:r w:rsidRPr="007122AB">
        <w:rPr>
          <w:rFonts w:ascii="Times New Roman" w:eastAsia="Times New Roman" w:hAnsi="Times New Roman"/>
          <w:color w:val="000000" w:themeColor="text1"/>
          <w:sz w:val="16"/>
          <w:szCs w:val="16"/>
          <w:lang w:eastAsia="ru-RU"/>
        </w:rPr>
        <w:t xml:space="preserve"> аэродроме» </w:t>
      </w:r>
      <w:hyperlink r:id="rId213" w:history="1">
        <w:r w:rsidRPr="007122AB">
          <w:rPr>
            <w:rFonts w:ascii="Times New Roman" w:eastAsia="Times New Roman" w:hAnsi="Times New Roman"/>
            <w:color w:val="000000" w:themeColor="text1"/>
            <w:sz w:val="16"/>
            <w:szCs w:val="16"/>
            <w:lang w:eastAsia="ru-RU"/>
          </w:rPr>
          <w:t>[76]</w:t>
        </w:r>
      </w:hyperlink>
      <w:r w:rsidRPr="007122AB">
        <w:rPr>
          <w:rFonts w:ascii="Times New Roman" w:eastAsia="Times New Roman" w:hAnsi="Times New Roman"/>
          <w:color w:val="000000" w:themeColor="text1"/>
          <w:sz w:val="16"/>
          <w:szCs w:val="16"/>
          <w:lang w:eastAsia="ru-RU"/>
        </w:rPr>
        <w:t xml:space="preserve"> .</w:t>
      </w:r>
    </w:p>
    <w:p w14:paraId="6D1FABC5"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Как бы то ни было, всё закончилось хорошо, идея самолёта-звена доказала жизнеспособность. Не вдаваясь в подробности, руководство НИИ ВВС подготовило высшему командованию письмо о первом в мире успешном испытании самолёта-звена и получило указание продолжить испытания (17489).</w:t>
      </w:r>
    </w:p>
    <w:p w14:paraId="730D9422" w14:textId="77777777" w:rsidR="00D52B7D" w:rsidRPr="007122AB" w:rsidRDefault="00D52B7D" w:rsidP="007122AB">
      <w:pPr>
        <w:spacing w:after="0" w:line="240" w:lineRule="auto"/>
        <w:jc w:val="both"/>
        <w:rPr>
          <w:rFonts w:ascii="Times New Roman" w:eastAsia="Times New Roman" w:hAnsi="Times New Roman"/>
          <w:color w:val="000000" w:themeColor="text1"/>
          <w:sz w:val="16"/>
          <w:szCs w:val="16"/>
          <w:lang w:eastAsia="ru-RU"/>
        </w:rPr>
      </w:pPr>
    </w:p>
    <w:p w14:paraId="6AF8C805" w14:textId="77777777" w:rsidR="001D0400" w:rsidRPr="007122AB" w:rsidRDefault="001D0400" w:rsidP="007122AB">
      <w:pPr>
        <w:pStyle w:val="rtejustify"/>
        <w:spacing w:before="0" w:after="0"/>
        <w:rPr>
          <w:color w:val="000000" w:themeColor="text1"/>
          <w:sz w:val="16"/>
          <w:szCs w:val="16"/>
        </w:rPr>
      </w:pPr>
      <w:r w:rsidRPr="007122AB">
        <w:rPr>
          <w:color w:val="000000" w:themeColor="text1"/>
          <w:sz w:val="16"/>
          <w:szCs w:val="16"/>
        </w:rPr>
        <w:t xml:space="preserve">По состоянию на 1 декабря 1931 г. в справке НК РКИ о </w:t>
      </w:r>
      <w:r w:rsidRPr="007122AB">
        <w:rPr>
          <w:rStyle w:val="af0"/>
          <w:i w:val="0"/>
          <w:color w:val="000000" w:themeColor="text1"/>
          <w:sz w:val="16"/>
          <w:szCs w:val="16"/>
        </w:rPr>
        <w:t>выполнении постановления СТО СССР 25 июля 1931 г.</w:t>
      </w:r>
      <w:r w:rsidRPr="007122AB">
        <w:rPr>
          <w:color w:val="000000" w:themeColor="text1"/>
          <w:sz w:val="16"/>
          <w:szCs w:val="16"/>
        </w:rPr>
        <w:t xml:space="preserve"> указывалось, что сделано: I. По опытному строительству: п. 1, 11, 12 и 17 не выполнены; п. 14 и 18 выполнены частично; п. 13, 15 и 16 выполняются с запозданием. Пункт 2: отмечены достижения по Институту авиационных моторов — успешно завершены работы по мотору М</w:t>
      </w:r>
      <w:r w:rsidRPr="007122AB">
        <w:rPr>
          <w:color w:val="000000" w:themeColor="text1"/>
          <w:sz w:val="16"/>
          <w:szCs w:val="16"/>
        </w:rPr>
        <w:noBreakHyphen/>
        <w:t xml:space="preserve">34, отмечены удовлетворительные результаты в области исследования и применения новых авиационных сплавов. Пункт о привлечении иностранной помощи выполняется неудовлетворительно. Пункт 3: моторостроение — «при </w:t>
      </w:r>
      <w:proofErr w:type="spellStart"/>
      <w:r w:rsidRPr="007122AB">
        <w:rPr>
          <w:color w:val="000000" w:themeColor="text1"/>
          <w:sz w:val="16"/>
          <w:szCs w:val="16"/>
        </w:rPr>
        <w:t>ИАМе</w:t>
      </w:r>
      <w:proofErr w:type="spellEnd"/>
      <w:r w:rsidRPr="007122AB">
        <w:rPr>
          <w:color w:val="000000" w:themeColor="text1"/>
          <w:sz w:val="16"/>
          <w:szCs w:val="16"/>
        </w:rPr>
        <w:t xml:space="preserve"> создан специальный отдел серийного производства, разработано положение о его работе и порядок введения опытных образцов в серию», начато изучение методики «</w:t>
      </w:r>
      <w:proofErr w:type="spellStart"/>
      <w:r w:rsidRPr="007122AB">
        <w:rPr>
          <w:color w:val="000000" w:themeColor="text1"/>
          <w:sz w:val="16"/>
          <w:szCs w:val="16"/>
        </w:rPr>
        <w:t>Гипроспецмета</w:t>
      </w:r>
      <w:proofErr w:type="spellEnd"/>
      <w:r w:rsidRPr="007122AB">
        <w:rPr>
          <w:color w:val="000000" w:themeColor="text1"/>
          <w:sz w:val="16"/>
          <w:szCs w:val="16"/>
        </w:rPr>
        <w:t xml:space="preserve"> по проектированию технологических процессов и оборудованию заводов серийного производства». Самолетостроение, специальный отдел ЦАГИ по внедрению опытных образцов в серийное производство не ведет работы должными темпами из-за отсутствия достаточно квалифицированных инженеров. Пункт 4: ИАМ распределил свои опытные моторы по заводам серийного производства, учтя их производственные возможности и опыт. Однако по самолетам полная увязка отсутствует: АНТ</w:t>
      </w:r>
      <w:r w:rsidRPr="007122AB">
        <w:rPr>
          <w:color w:val="000000" w:themeColor="text1"/>
          <w:sz w:val="16"/>
          <w:szCs w:val="16"/>
        </w:rPr>
        <w:noBreakHyphen/>
        <w:t xml:space="preserve">14 выпуска 1930 г. до этого момента полностью не испытан и не включен в серийное производство 1932 г. Пункт 5: в </w:t>
      </w:r>
      <w:proofErr w:type="spellStart"/>
      <w:r w:rsidRPr="007122AB">
        <w:rPr>
          <w:color w:val="000000" w:themeColor="text1"/>
          <w:sz w:val="16"/>
          <w:szCs w:val="16"/>
        </w:rPr>
        <w:t>ИАМе</w:t>
      </w:r>
      <w:proofErr w:type="spellEnd"/>
      <w:r w:rsidRPr="007122AB">
        <w:rPr>
          <w:color w:val="000000" w:themeColor="text1"/>
          <w:sz w:val="16"/>
          <w:szCs w:val="16"/>
        </w:rPr>
        <w:t xml:space="preserve"> активизирован процесс по созданию технологического отдела; в ЦАГИ проведены большие работы по хромомолибденовым трубам. Пункт 6: запроектированы самолеты ТШ и ТБ-4 стальной конструкции; на 1932 г. в серийное производство включены тяжелые самолеты ТБ</w:t>
      </w:r>
      <w:r w:rsidRPr="007122AB">
        <w:rPr>
          <w:color w:val="000000" w:themeColor="text1"/>
          <w:sz w:val="16"/>
          <w:szCs w:val="16"/>
        </w:rPr>
        <w:noBreakHyphen/>
        <w:t>3, ТБ</w:t>
      </w:r>
      <w:r w:rsidRPr="007122AB">
        <w:rPr>
          <w:color w:val="000000" w:themeColor="text1"/>
          <w:sz w:val="16"/>
          <w:szCs w:val="16"/>
        </w:rPr>
        <w:noBreakHyphen/>
        <w:t>1, АНТ</w:t>
      </w:r>
      <w:r w:rsidRPr="007122AB">
        <w:rPr>
          <w:color w:val="000000" w:themeColor="text1"/>
          <w:sz w:val="16"/>
          <w:szCs w:val="16"/>
        </w:rPr>
        <w:noBreakHyphen/>
        <w:t>9. Пункт 7: ИАМ создал нефтяной отдел, где проводятся эксперименты с одноцилиндровыми установками, начаты работы по проектированию дизель-моторов. Однако в части привлечения иностранной технической помощи для постройки 5 дизелей и по вопросам остановки мотора в воздухе постановление не выполнено. Пункт 8: успешно проведены испытания и начато серийное производство мотора 65 НР. В ЦАГИ запроектированы и будут построены в 1932 г. 2 маломощных самолета, однако массовый выпуск маломощных самолетов на повестку дня не поставлен. Пункт 9 выполнен полностью. Пункт 10: капитальное строительство опытных организаций идет неудовлетворительно; Президиум ВСНХ специальных указаний не дал и не контролировал выполнение этого решения трестами и объединениями. II. По иностранной технической помощи: ВАО был разработан план реализации постановления по привлечению иностранной технической помощи и представлена смета. Однако иностранный отдел ВСНХ не оформил командировок и не перевел необходимые средства. Все пункты этого раздела не выполнены. III. По выполнению плана строительства и программы 1931 г.: выполнены только пункты 4“в”, 5, 8, 11 и 12. V. По кадрам: не выполнены пункты 6“б”, 7“в”, 8, 11</w:t>
      </w:r>
      <w:r w:rsidRPr="007122AB">
        <w:rPr>
          <w:color w:val="000000" w:themeColor="text1"/>
          <w:sz w:val="16"/>
          <w:szCs w:val="16"/>
        </w:rPr>
        <w:noBreakHyphen/>
        <w:t>14, 17, 18. Разделы VI</w:t>
      </w:r>
      <w:r w:rsidRPr="007122AB">
        <w:rPr>
          <w:color w:val="000000" w:themeColor="text1"/>
          <w:sz w:val="16"/>
          <w:szCs w:val="16"/>
        </w:rPr>
        <w:noBreakHyphen/>
        <w:t>VIII выполнены полностью. (ГА РФ. Ф. Р</w:t>
      </w:r>
      <w:r w:rsidRPr="007122AB">
        <w:rPr>
          <w:color w:val="000000" w:themeColor="text1"/>
          <w:sz w:val="16"/>
          <w:szCs w:val="16"/>
        </w:rPr>
        <w:noBreakHyphen/>
        <w:t>8418. Оп. 5. Д. 163. Л. 123</w:t>
      </w:r>
      <w:r w:rsidRPr="007122AB">
        <w:rPr>
          <w:color w:val="000000" w:themeColor="text1"/>
          <w:sz w:val="16"/>
          <w:szCs w:val="16"/>
        </w:rPr>
        <w:noBreakHyphen/>
        <w:t>136 (12535).</w:t>
      </w:r>
    </w:p>
    <w:p w14:paraId="651E68C4" w14:textId="77777777" w:rsidR="001D0400" w:rsidRPr="007122AB" w:rsidRDefault="001D0400" w:rsidP="007122AB">
      <w:pPr>
        <w:spacing w:after="0" w:line="240" w:lineRule="auto"/>
        <w:jc w:val="both"/>
        <w:rPr>
          <w:rFonts w:ascii="Times New Roman" w:hAnsi="Times New Roman"/>
          <w:color w:val="000000" w:themeColor="text1"/>
          <w:sz w:val="16"/>
          <w:szCs w:val="16"/>
          <w:u w:color="002060"/>
        </w:rPr>
      </w:pPr>
    </w:p>
    <w:p w14:paraId="5AA61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 приказ ВВС № 317/143</w:t>
      </w:r>
    </w:p>
    <w:p w14:paraId="30FDEC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исполнение приказа зам. наркомвоенмора Тухачевского за № 113/3 КБ, назначенная мною комиссия по выявлению дела постановки и использования изобретательства и реализации рационализаторских предложений в НИИ ВВС установила:</w:t>
      </w:r>
    </w:p>
    <w:p w14:paraId="1869B79E"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Несмотря на ряд партийных и правительственных постановлений, приказов РВС и моих, о максимальном внимании к изобретательским и рационализаторским предложениям, как одному из рычагов, увеличивающих боеготовность Воздушного Флота – командование НИИ, </w:t>
      </w:r>
      <w:proofErr w:type="spellStart"/>
      <w:r w:rsidRPr="007122AB">
        <w:rPr>
          <w:rFonts w:ascii="Times New Roman" w:hAnsi="Times New Roman"/>
          <w:color w:val="000000" w:themeColor="text1"/>
          <w:sz w:val="16"/>
          <w:szCs w:val="16"/>
        </w:rPr>
        <w:t>Политорганизация</w:t>
      </w:r>
      <w:proofErr w:type="spellEnd"/>
      <w:r w:rsidRPr="007122AB">
        <w:rPr>
          <w:rFonts w:ascii="Times New Roman" w:hAnsi="Times New Roman"/>
          <w:color w:val="000000" w:themeColor="text1"/>
          <w:sz w:val="16"/>
          <w:szCs w:val="16"/>
        </w:rPr>
        <w:t xml:space="preserve"> и Парторганизация не уделяли этому вопросу внимания. Огромный творческий коллектив изобретателей и рационализаторов со стороны НИИ не только не получал помощь, содействие и руководство, нов силу невнимательного отношения, часто тормозил реализацию ценнейших предложений для ВВС. До 50% всех полученных предложений хранится в "Секторе изобретений" и в отделы НИИ для заключения не направлялись. До 10% предложений еще вообще не прочитаны и с ними никто не ознакомился.</w:t>
      </w:r>
    </w:p>
    <w:p w14:paraId="2AB5F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последнего месяца было рассмотрено начальником "Сектора изобретений" по его заявлению 306 дел. Рассмотрение такого большого количества изобретений и рационализаторских предложений в один месяц вызывает сомнение в достаточно внимательном изучении и полноте оценки последних. Отсутствует учет предложений по видам изобретений, не разграничены крупные изобретения от мелких предложений и негодных, "живые" дела хранятся в общей куче с архивными. Предложения, идущие от работников авиачастей рассматриваются чрезвычайно медленно. Авторы предложений, несмотря на настойчивые запросы, ответов в большинстве случаев не получают. Некоторые изобретения совершенно утеряны.</w:t>
      </w:r>
    </w:p>
    <w:p w14:paraId="21EB62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Даже то небольшое количество усовершенствований и изобретений, которое проходя через "рогатки" получило наконец одобрение и признано подлежащим реализации, остается в бумагах и в лучшем случае, автор получает премию. Как правило, до внедрения в серийное производство и принятия на вооружение (снабжение) дело не доводится, а погибает в бумагах, так как никто за это дело персонально не отвечает.</w:t>
      </w:r>
    </w:p>
    <w:p w14:paraId="5E1E0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Рационализаторские предложения не доводятся до сведения строевых частей. Одобренные специальной выездной бригадой НИИ 240 предложений не </w:t>
      </w:r>
      <w:proofErr w:type="spellStart"/>
      <w:r w:rsidRPr="007122AB">
        <w:rPr>
          <w:rFonts w:ascii="Times New Roman" w:hAnsi="Times New Roman"/>
          <w:color w:val="000000" w:themeColor="text1"/>
          <w:sz w:val="16"/>
          <w:szCs w:val="16"/>
        </w:rPr>
        <w:t>име.т</w:t>
      </w:r>
      <w:proofErr w:type="spellEnd"/>
      <w:r w:rsidRPr="007122AB">
        <w:rPr>
          <w:rFonts w:ascii="Times New Roman" w:hAnsi="Times New Roman"/>
          <w:color w:val="000000" w:themeColor="text1"/>
          <w:sz w:val="16"/>
          <w:szCs w:val="16"/>
        </w:rPr>
        <w:t xml:space="preserve"> окончательного решения, хотя многие из них имеют крупное значение. По 14-ти ценным предложениям 6 Авиабригады решений не принято. Предложения 7-й авиабригады и Липецкой Авиагруппы не рассмотрены. Ни одно из изобретений не испытано и не оформлено принятием на вооружение ВВС. Только немногим отличается судьба изобретательских предложений Гроховского. Построенные им образцы испытывались только им же. Никаких программ и протоколов испытания нет. Даже после демонстрации образцов на специальных учениях и маневрах – их испытание в НИИ и принятие на вооружение (снабжение) не проведено до последнего времени.</w:t>
      </w:r>
    </w:p>
    <w:p w14:paraId="40B9C2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Дальше такое положение вещей терпимо быть не может.</w:t>
      </w:r>
    </w:p>
    <w:p w14:paraId="315C0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Приказываю:</w:t>
      </w:r>
    </w:p>
    <w:p w14:paraId="33A3F9A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Начальнику НИИ ВВС немедленно реорганизовать конструкторский отдел НИИ, возложив на него задачи организации, руководства и планирования изобретательского и рационализаторского дела в ВВС с реализацией полезных изобретений и усовершенствований. Отдел несет ответственность от начала прохождения предложений до момента окончания испытания построенного образца, принятия его на снабжение ВВС и внедрения в серийное производство.</w:t>
      </w:r>
    </w:p>
    <w:p w14:paraId="34ADFA6D"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Конструкторскому отделу объединить в своей работе изобретателей и рационализаторов ВВС, давая им на разработку определенно наиболее актуальные для ВВС задания, всячески обеспечивая реализацию их предложений.</w:t>
      </w:r>
    </w:p>
    <w:p w14:paraId="116CF141"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Существующий "Сектор изобретения" НИИ как ненужную и беспомощную организацию – ликвидировать. Находящиеся в секторе дела рассмотреть вторично; предложения разбить по важности, актуальности и роду изобретения. В двух декадный срок сообщить всем авторам заключение НИИ по рассмотренным предложениям.</w:t>
      </w:r>
    </w:p>
    <w:p w14:paraId="1B70134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Начальнику НИИ не позднее февраля организовать совещание с изобретателями и рационализаторами. Состав участников совещания и повестку совещаний доложить мне не позднее 15 января 1932 года.</w:t>
      </w:r>
    </w:p>
    <w:p w14:paraId="35A1056E"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Конструкторскую группу Гроховского вместе с мастерскими НИИ ВВС выделить в самостоятельную организацию. Группу эту перевести на строгий хозрасчет, предоставив ……………………. аналогичные других конструкторских бюро,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Руководство Конструкторским бюро Гроховского и контроль выполнения плана работ возлагаю на начальника НИИ ВВС. Испытание всех построенных образцов производить НИИ на общих основаниях.</w:t>
      </w:r>
    </w:p>
    <w:p w14:paraId="7D5A16FD"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Начальнику НИИ не позднее 25 декабря 1931 года доложить мне о выполнении настоящего приказа.</w:t>
      </w:r>
    </w:p>
    <w:p w14:paraId="0430D3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ВВС Наумов) (7427, 42-44).</w:t>
      </w:r>
    </w:p>
    <w:p w14:paraId="602C15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4ADF6B" w14:textId="77777777" w:rsidR="000D04DE" w:rsidRPr="007122AB" w:rsidRDefault="000D04D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 Приказом начальника ВВС № 317/143 конструкторская группа П. Гроховского вместе с мастерскими НИИ ВВС выделялась в самостоятельную организацию – Особое конструкторское бюро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которая была переведена на строгий хозрасчет. Ей были предоставлены такие же права, как и другим конструкторским бюро (КБ) (РГВА. Ф. 29. Оп. 71. Д. 1. </w:t>
      </w:r>
      <w:proofErr w:type="spellStart"/>
      <w:r w:rsidRPr="007122AB">
        <w:rPr>
          <w:rFonts w:ascii="Times New Roman" w:hAnsi="Times New Roman"/>
          <w:color w:val="000000" w:themeColor="text1"/>
          <w:sz w:val="16"/>
          <w:szCs w:val="16"/>
        </w:rPr>
        <w:t>Лл</w:t>
      </w:r>
      <w:proofErr w:type="spellEnd"/>
      <w:r w:rsidRPr="007122AB">
        <w:rPr>
          <w:rFonts w:ascii="Times New Roman" w:hAnsi="Times New Roman"/>
          <w:color w:val="000000" w:themeColor="text1"/>
          <w:sz w:val="16"/>
          <w:szCs w:val="16"/>
        </w:rPr>
        <w:t>. 340-341.) (21402).</w:t>
      </w:r>
    </w:p>
    <w:p w14:paraId="1B69F539" w14:textId="77777777" w:rsidR="000D04DE" w:rsidRPr="007122AB" w:rsidRDefault="000D04DE" w:rsidP="007122AB">
      <w:pPr>
        <w:spacing w:after="0" w:line="240" w:lineRule="auto"/>
        <w:jc w:val="both"/>
        <w:rPr>
          <w:rFonts w:ascii="Times New Roman" w:hAnsi="Times New Roman"/>
          <w:color w:val="000000" w:themeColor="text1"/>
          <w:sz w:val="16"/>
          <w:szCs w:val="16"/>
        </w:rPr>
      </w:pPr>
    </w:p>
    <w:p w14:paraId="1653E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 декабря 1931 года по 15 января 1932 года на полигоне НИИ ВВС проходили испытания бомб - корпус железный, насыпные осколки - бомба осколочная и осколочно-химическая (3326).</w:t>
      </w:r>
    </w:p>
    <w:p w14:paraId="2C5F5E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A997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 зам. председателя РВС Тухачевский писал письмо N 5/3200сс в комиссию обороны СНК.</w:t>
      </w:r>
    </w:p>
    <w:p w14:paraId="422ED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Доклад о состоянии </w:t>
      </w:r>
      <w:proofErr w:type="spellStart"/>
      <w:r w:rsidRPr="007122AB">
        <w:rPr>
          <w:rFonts w:ascii="Times New Roman" w:hAnsi="Times New Roman"/>
          <w:color w:val="000000" w:themeColor="text1"/>
          <w:sz w:val="16"/>
          <w:szCs w:val="16"/>
        </w:rPr>
        <w:t>авиабомбостроительства</w:t>
      </w:r>
      <w:proofErr w:type="spellEnd"/>
    </w:p>
    <w:p w14:paraId="1A495B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Опытное строительство</w:t>
      </w:r>
    </w:p>
    <w:p w14:paraId="0B427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Оснащение армии новыми образцами авиабомб началось с 1931 года. До этого времени на вооружении имелось и установлено было производством 4 типа авиабомб мелкого калибра (8 кг, 16 кг, 32 кг и 82 кг фугасных бомб). Не существовало также и базы для проектирования и изготовления новых опытных образцов.</w:t>
      </w:r>
    </w:p>
    <w:p w14:paraId="10A223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втором квартале 1930 года было приступлено к организации КБ и опытной мастерской на заводе </w:t>
      </w:r>
      <w:proofErr w:type="spellStart"/>
      <w:r w:rsidRPr="007122AB">
        <w:rPr>
          <w:rFonts w:ascii="Times New Roman" w:hAnsi="Times New Roman"/>
          <w:color w:val="000000" w:themeColor="text1"/>
          <w:sz w:val="16"/>
          <w:szCs w:val="16"/>
        </w:rPr>
        <w:t>Мастяжарт</w:t>
      </w:r>
      <w:proofErr w:type="spellEnd"/>
      <w:r w:rsidRPr="007122AB">
        <w:rPr>
          <w:rFonts w:ascii="Times New Roman" w:hAnsi="Times New Roman"/>
          <w:color w:val="000000" w:themeColor="text1"/>
          <w:sz w:val="16"/>
          <w:szCs w:val="16"/>
        </w:rPr>
        <w:t xml:space="preserve"> (ныне Снарядного треста).</w:t>
      </w:r>
    </w:p>
    <w:p w14:paraId="37345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Научно-исследовательская работа и конструирование новых образцов фактически начались лишь в 1 квартале 1931 года, однако, ограниченные производственные возможности этой опытной мастерской (невозможность изготовления бомб крупных калибров), некомплект КБ специалистами инженерами чувствительно отражается на сроках изготовления опытной партии.</w:t>
      </w:r>
    </w:p>
    <w:p w14:paraId="6DBDD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 декабря 1931 года состояние работ по реализации системы вооружения представляется в следующем виде:</w:t>
      </w:r>
    </w:p>
    <w:p w14:paraId="27C163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Осколочные бомбы</w:t>
      </w:r>
    </w:p>
    <w:p w14:paraId="41257E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Предусмотрено системой вооружения 3 калибра бомб: 2, 10 и 25 кг.</w:t>
      </w:r>
    </w:p>
    <w:p w14:paraId="5678D1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 2 кг испытаны; в виду малой эффективности ее в валовое производство не передана и работа по ней прекращена.</w:t>
      </w:r>
    </w:p>
    <w:p w14:paraId="73FC31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кг пущена в валовое производство со второго квартала 1931 года, как осколочная и осколочно-химическая бомба.</w:t>
      </w:r>
    </w:p>
    <w:p w14:paraId="2CFC9E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кг в стадии испытания, окончательное решение 1 января 1932 года.</w:t>
      </w:r>
    </w:p>
    <w:p w14:paraId="72624F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Фугасные бомбы</w:t>
      </w:r>
    </w:p>
    <w:p w14:paraId="4096FD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Предусмотрено 7 калибров: 25, 50, 100, 250,500, 1000 и 2000 кг бомба.</w:t>
      </w:r>
    </w:p>
    <w:p w14:paraId="7B891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 25 кг бомба в виду малой эффективности в валовое производство не передана и дальнейшие работы прекращены.</w:t>
      </w:r>
    </w:p>
    <w:p w14:paraId="562C62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кг, 250, 500 и 1000 кг испытания окончены и передано в валовое производство.</w:t>
      </w:r>
    </w:p>
    <w:p w14:paraId="7FDDCF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 кг находится в стадии испытания; окончательное решение к 1 февраля 1932 года.</w:t>
      </w:r>
    </w:p>
    <w:p w14:paraId="7B80D5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2000 кг бомба - ввиду неподачи промышленностью опытной партии в 1931 г. испытания перенесены на 2-й квартал 1932 года.</w:t>
      </w:r>
    </w:p>
    <w:p w14:paraId="187C4F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АУ считает возможным передать в валовое производство изготовления их не дожидаясь опытной партии.</w:t>
      </w:r>
    </w:p>
    <w:p w14:paraId="74081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Бронебойные бомбы</w:t>
      </w:r>
    </w:p>
    <w:p w14:paraId="746F15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Предусмотрены 3 калибра: 250, 500 и 1000 кг.</w:t>
      </w:r>
    </w:p>
    <w:p w14:paraId="64AA4F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Промышленностью опытные партии не поданы, изготовление их предполагается лишь в III квартале 1932 года.</w:t>
      </w:r>
    </w:p>
    <w:p w14:paraId="74ADC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мнению АУ 500 и 1000 кг могут быть спущены в валовое производство не дожидаясь этих опытных партий.</w:t>
      </w:r>
    </w:p>
    <w:p w14:paraId="4A3F2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Химические бомбы</w:t>
      </w:r>
    </w:p>
    <w:p w14:paraId="749A2E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Предусмотрено 2 калибра: 25, со стойким ОВ, 100 кг со стойким и не стойким ОВ.</w:t>
      </w:r>
    </w:p>
    <w:p w14:paraId="59F0C0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них 25 кг испытана и передается в производство, 100 кг находится в стадии изготовления опытной партии. В валовое производство может быть спущена в 1932 году.</w:t>
      </w:r>
    </w:p>
    <w:p w14:paraId="041AD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Светящие бомбы</w:t>
      </w:r>
    </w:p>
    <w:p w14:paraId="14F44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Предусмотрено 4 калибра: 5, 10, 25 кг и 25 кг для ночной фотосъемки.</w:t>
      </w:r>
    </w:p>
    <w:p w14:paraId="7A2BF8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Изготовлены опытной партией, окончательное решение для валового производства по 5 кг - 1 января 1932 года и 10 кг и 25 кг светящимися к 1 февраля 1932 года и по 25 кг бомба для ночной фотосъемки к 1 июля 1932 года.</w:t>
      </w:r>
    </w:p>
    <w:p w14:paraId="03EF11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Зажигательные бомбы</w:t>
      </w:r>
    </w:p>
    <w:p w14:paraId="05721A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кг электронная бомба находится в стадии испытания. К 1 января 1932 года передается в валовое производство.</w:t>
      </w:r>
    </w:p>
    <w:p w14:paraId="0569B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Дымовые бомбы</w:t>
      </w:r>
    </w:p>
    <w:p w14:paraId="4436B8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кг фосфорные испытания не выдержали. Калибр в 25 кг невелик. Разработан новый образец. Испытания январь-февраль.</w:t>
      </w:r>
    </w:p>
    <w:p w14:paraId="025E47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Гидростатические бомбы</w:t>
      </w:r>
    </w:p>
    <w:p w14:paraId="75DF79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 и 100 кг бомбы изготовлены - опытные партии. Образцы для введения на вооружение будут готовы в III кв. 1932 года.</w:t>
      </w:r>
    </w:p>
    <w:p w14:paraId="1947DF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Полигона для испытания с соответствующим штатом личного состава, пока еще не имеется и испытания ведутся весьма примитивно.</w:t>
      </w:r>
    </w:p>
    <w:p w14:paraId="756000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Одновременно Артиллерийским управлением проводится работа по подбору рецептуры взрывчатых веществ, обеспечивающих мощное фугасное действие </w:t>
      </w:r>
      <w:proofErr w:type="spellStart"/>
      <w:r w:rsidRPr="007122AB">
        <w:rPr>
          <w:rFonts w:ascii="Times New Roman" w:hAnsi="Times New Roman"/>
          <w:color w:val="000000" w:themeColor="text1"/>
          <w:sz w:val="16"/>
          <w:szCs w:val="16"/>
        </w:rPr>
        <w:t>аэробомб</w:t>
      </w:r>
      <w:proofErr w:type="spellEnd"/>
      <w:r w:rsidRPr="007122AB">
        <w:rPr>
          <w:rFonts w:ascii="Times New Roman" w:hAnsi="Times New Roman"/>
          <w:color w:val="000000" w:themeColor="text1"/>
          <w:sz w:val="16"/>
          <w:szCs w:val="16"/>
        </w:rPr>
        <w:t xml:space="preserve"> при минимальной их чувствительности к удару пули.</w:t>
      </w:r>
    </w:p>
    <w:p w14:paraId="7F0D6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Большое количество испытаний различных рецептур взрыв. веществ не дало удовлетворительных результатов и показало, что добиться резкого снижения чувствительности к пуле без снижения фугасного действия на 15-20% не удается.</w:t>
      </w:r>
    </w:p>
    <w:p w14:paraId="40A20A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Обеспечение безопасности </w:t>
      </w:r>
      <w:proofErr w:type="spellStart"/>
      <w:r w:rsidRPr="007122AB">
        <w:rPr>
          <w:rFonts w:ascii="Times New Roman" w:hAnsi="Times New Roman"/>
          <w:color w:val="000000" w:themeColor="text1"/>
          <w:sz w:val="16"/>
          <w:szCs w:val="16"/>
        </w:rPr>
        <w:t>аэробомб</w:t>
      </w:r>
      <w:proofErr w:type="spellEnd"/>
      <w:r w:rsidRPr="007122AB">
        <w:rPr>
          <w:rFonts w:ascii="Times New Roman" w:hAnsi="Times New Roman"/>
          <w:color w:val="000000" w:themeColor="text1"/>
          <w:sz w:val="16"/>
          <w:szCs w:val="16"/>
        </w:rPr>
        <w:t xml:space="preserve"> может быть также достигнуто утолщением стенок корпуса до 12 мм. Однако, это потребует </w:t>
      </w:r>
      <w:proofErr w:type="spellStart"/>
      <w:r w:rsidRPr="007122AB">
        <w:rPr>
          <w:rFonts w:ascii="Times New Roman" w:hAnsi="Times New Roman"/>
          <w:color w:val="000000" w:themeColor="text1"/>
          <w:sz w:val="16"/>
          <w:szCs w:val="16"/>
        </w:rPr>
        <w:t>переконструирования</w:t>
      </w:r>
      <w:proofErr w:type="spellEnd"/>
      <w:r w:rsidRPr="007122AB">
        <w:rPr>
          <w:rFonts w:ascii="Times New Roman" w:hAnsi="Times New Roman"/>
          <w:color w:val="000000" w:themeColor="text1"/>
          <w:sz w:val="16"/>
          <w:szCs w:val="16"/>
        </w:rPr>
        <w:t xml:space="preserve"> всех типов существующих </w:t>
      </w:r>
      <w:proofErr w:type="spellStart"/>
      <w:r w:rsidRPr="007122AB">
        <w:rPr>
          <w:rFonts w:ascii="Times New Roman" w:hAnsi="Times New Roman"/>
          <w:color w:val="000000" w:themeColor="text1"/>
          <w:sz w:val="16"/>
          <w:szCs w:val="16"/>
        </w:rPr>
        <w:t>аэробомб</w:t>
      </w:r>
      <w:proofErr w:type="spellEnd"/>
      <w:r w:rsidRPr="007122AB">
        <w:rPr>
          <w:rFonts w:ascii="Times New Roman" w:hAnsi="Times New Roman"/>
          <w:color w:val="000000" w:themeColor="text1"/>
          <w:sz w:val="16"/>
          <w:szCs w:val="16"/>
        </w:rPr>
        <w:t xml:space="preserve"> и не обеспечит безопасность их бронебойной пуле и к пуль крупнокалиберного пулемета.</w:t>
      </w:r>
    </w:p>
    <w:p w14:paraId="23887F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Следует отметить, что рецептура военного времени (суррогаты взрыв. веществ) обладают еще большей чувствительностью к пуле.</w:t>
      </w:r>
    </w:p>
    <w:p w14:paraId="469803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других странах эта задача по-видимому также не разрешена...</w:t>
      </w:r>
    </w:p>
    <w:p w14:paraId="50B99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Научно-исследовательская и опытная работа продолжаются рядом институтов по линии:</w:t>
      </w:r>
    </w:p>
    <w:p w14:paraId="79FC2B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максимальной </w:t>
      </w:r>
      <w:proofErr w:type="spellStart"/>
      <w:r w:rsidRPr="007122AB">
        <w:rPr>
          <w:rFonts w:ascii="Times New Roman" w:hAnsi="Times New Roman"/>
          <w:color w:val="000000" w:themeColor="text1"/>
          <w:sz w:val="16"/>
          <w:szCs w:val="16"/>
        </w:rPr>
        <w:t>флегматизации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в.в</w:t>
      </w:r>
      <w:proofErr w:type="spellEnd"/>
      <w:r w:rsidRPr="007122AB">
        <w:rPr>
          <w:rFonts w:ascii="Times New Roman" w:hAnsi="Times New Roman"/>
          <w:color w:val="000000" w:themeColor="text1"/>
          <w:sz w:val="16"/>
          <w:szCs w:val="16"/>
        </w:rPr>
        <w:t>. при усилении детонатора и устройства пластичных прослоек.</w:t>
      </w:r>
    </w:p>
    <w:p w14:paraId="5A1DB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Выводы:</w:t>
      </w:r>
    </w:p>
    <w:p w14:paraId="40C5E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Обязать промышленность крупные калибры авиабомб, по которым выданы заказы (2000 кг фугасная, 500 и 1000 кг бронебойные бомбы) подать на испытания в первой половине II квартала 1932 года (3535,3-10).</w:t>
      </w:r>
    </w:p>
    <w:p w14:paraId="0449CE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83C85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0A8674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78FBE55"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 декабря 1931 г ХПЗ сдал 17 танков Т-24 и подготовил к сдаче еще три машины. </w:t>
      </w:r>
      <w:proofErr w:type="spellStart"/>
      <w:r w:rsidRPr="007122AB">
        <w:rPr>
          <w:rFonts w:ascii="Times New Roman" w:hAnsi="Times New Roman"/>
          <w:color w:val="000000" w:themeColor="text1"/>
          <w:sz w:val="16"/>
          <w:szCs w:val="16"/>
        </w:rPr>
        <w:t>Ещетри</w:t>
      </w:r>
      <w:proofErr w:type="spellEnd"/>
      <w:r w:rsidRPr="007122AB">
        <w:rPr>
          <w:rFonts w:ascii="Times New Roman" w:hAnsi="Times New Roman"/>
          <w:color w:val="000000" w:themeColor="text1"/>
          <w:sz w:val="16"/>
          <w:szCs w:val="16"/>
        </w:rPr>
        <w:t xml:space="preserve"> танка находились </w:t>
      </w:r>
      <w:proofErr w:type="spellStart"/>
      <w:r w:rsidRPr="007122AB">
        <w:rPr>
          <w:rFonts w:ascii="Times New Roman" w:hAnsi="Times New Roman"/>
          <w:color w:val="000000" w:themeColor="text1"/>
          <w:sz w:val="16"/>
          <w:szCs w:val="16"/>
        </w:rPr>
        <w:t>всборке</w:t>
      </w:r>
      <w:proofErr w:type="spellEnd"/>
      <w:r w:rsidRPr="007122AB">
        <w:rPr>
          <w:rFonts w:ascii="Times New Roman" w:hAnsi="Times New Roman"/>
          <w:color w:val="000000" w:themeColor="text1"/>
          <w:sz w:val="16"/>
          <w:szCs w:val="16"/>
        </w:rPr>
        <w:t xml:space="preserve">. По состоянию на 22 декабря 1931 г., 16 танков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Т-24.Компоновочная схема танка Т-24 отличалась от классической трехъярусным размещением оружия и представляла собой улучшенный вариант схемы компоновки танка Т-12. По сравнению с предшественником новая машина имела меньшую толщину броневых листов и измененную конструкцию корпуса и башни. В лобовом листе корпуса слева появилась установка курсового пулемета. В корпусе была также произведена перекомпоновка оборудования с увеличением жесткости </w:t>
      </w:r>
      <w:r w:rsidRPr="007122AB">
        <w:rPr>
          <w:rFonts w:ascii="Times New Roman" w:hAnsi="Times New Roman"/>
          <w:color w:val="000000" w:themeColor="text1"/>
          <w:sz w:val="16"/>
          <w:szCs w:val="16"/>
        </w:rPr>
        <w:lastRenderedPageBreak/>
        <w:t xml:space="preserve">днища моторно-трансмиссионного отделения и переносом топливных баков из отделения управления в боковые ниши. Кроме того, в носовой части предусмотрели место для </w:t>
      </w:r>
      <w:proofErr w:type="spellStart"/>
      <w:r w:rsidRPr="007122AB">
        <w:rPr>
          <w:rFonts w:ascii="Times New Roman" w:hAnsi="Times New Roman"/>
          <w:color w:val="000000" w:themeColor="text1"/>
          <w:sz w:val="16"/>
          <w:szCs w:val="16"/>
        </w:rPr>
        <w:t>радиостанции.Экипаж</w:t>
      </w:r>
      <w:proofErr w:type="spellEnd"/>
      <w:r w:rsidRPr="007122AB">
        <w:rPr>
          <w:rFonts w:ascii="Times New Roman" w:hAnsi="Times New Roman"/>
          <w:color w:val="000000" w:themeColor="text1"/>
          <w:sz w:val="16"/>
          <w:szCs w:val="16"/>
        </w:rPr>
        <w:t xml:space="preserve"> состоял из пяти—шести человек. Механик-водитель располагался у правого борта корпуса и осуществлял управление машиной с помощью рулевой колонки. Слева от механика-водителя размещался пулеметчик. Командир танка находился в главной башне и выполнял одновременно функции наводчика и пулеметчика. Справа от него было место заряжающего, который также выполнял обязанности стрелка из лобового башенного пулемета. В малой башне имелось рабочее место пулеметчика (12303).</w:t>
      </w:r>
    </w:p>
    <w:p w14:paraId="00856FB1" w14:textId="77777777" w:rsidR="001D0400" w:rsidRPr="007122AB" w:rsidRDefault="001D0400" w:rsidP="007122AB">
      <w:pPr>
        <w:spacing w:after="0" w:line="240" w:lineRule="auto"/>
        <w:jc w:val="both"/>
        <w:rPr>
          <w:rFonts w:ascii="Times New Roman" w:hAnsi="Times New Roman"/>
          <w:color w:val="000000" w:themeColor="text1"/>
          <w:sz w:val="16"/>
          <w:szCs w:val="16"/>
        </w:rPr>
      </w:pPr>
    </w:p>
    <w:p w14:paraId="1A1A7E3E"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 декабря 1931 </w:t>
      </w:r>
      <w:r w:rsidRPr="007122AB">
        <w:rPr>
          <w:rFonts w:ascii="Times New Roman" w:hAnsi="Times New Roman"/>
          <w:color w:val="000000" w:themeColor="text1"/>
          <w:sz w:val="16"/>
          <w:szCs w:val="16"/>
        </w:rPr>
        <w:t>Политбюро ЦК ВКП (б) одобрило решение ВСНХ о развитии радиевой промышленности; утвердило проект постановления ЦК ВКП (б) о сахарной промышленности (12265).</w:t>
      </w:r>
    </w:p>
    <w:p w14:paraId="0569D90F"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8B8CC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1 декабря 1931 г. хозрасчёт на Электрозаводе стал повсеместным: </w:t>
      </w:r>
    </w:p>
    <w:p w14:paraId="7496E8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Охваченность Электрозавода хозрасчётными отношениями на 1 декабря 1931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211"/>
        <w:gridCol w:w="728"/>
        <w:gridCol w:w="6245"/>
      </w:tblGrid>
      <w:tr w:rsidR="001002C3" w:rsidRPr="007122AB" w14:paraId="1465E178" w14:textId="77777777">
        <w:trPr>
          <w:jc w:val="center"/>
        </w:trPr>
        <w:tc>
          <w:tcPr>
            <w:tcW w:w="3211" w:type="dxa"/>
            <w:tcBorders>
              <w:top w:val="single" w:sz="12" w:space="0" w:color="auto"/>
            </w:tcBorders>
          </w:tcPr>
          <w:p w14:paraId="5C5A96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хозрасчётных бригадах работало:</w:t>
            </w:r>
          </w:p>
        </w:tc>
        <w:tc>
          <w:tcPr>
            <w:tcW w:w="728" w:type="dxa"/>
            <w:tcBorders>
              <w:top w:val="single" w:sz="12" w:space="0" w:color="auto"/>
            </w:tcBorders>
          </w:tcPr>
          <w:p w14:paraId="1A5660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человек</w:t>
            </w:r>
          </w:p>
        </w:tc>
        <w:tc>
          <w:tcPr>
            <w:tcW w:w="6245" w:type="dxa"/>
            <w:tcBorders>
              <w:top w:val="single" w:sz="12" w:space="0" w:color="auto"/>
            </w:tcBorders>
          </w:tcPr>
          <w:p w14:paraId="7EC987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охвата по отношению ко всем работникам данной категории на заводе</w:t>
            </w:r>
          </w:p>
        </w:tc>
      </w:tr>
      <w:tr w:rsidR="001002C3" w:rsidRPr="007122AB" w14:paraId="35A67697" w14:textId="77777777">
        <w:trPr>
          <w:jc w:val="center"/>
        </w:trPr>
        <w:tc>
          <w:tcPr>
            <w:tcW w:w="3211" w:type="dxa"/>
          </w:tcPr>
          <w:p w14:paraId="23877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Рабочих</w:t>
            </w:r>
          </w:p>
        </w:tc>
        <w:tc>
          <w:tcPr>
            <w:tcW w:w="728" w:type="dxa"/>
          </w:tcPr>
          <w:p w14:paraId="1FDEE2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13581</w:t>
            </w:r>
          </w:p>
        </w:tc>
        <w:tc>
          <w:tcPr>
            <w:tcW w:w="6245" w:type="dxa"/>
          </w:tcPr>
          <w:p w14:paraId="44A2D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93,3</w:t>
            </w:r>
          </w:p>
        </w:tc>
      </w:tr>
      <w:tr w:rsidR="001002C3" w:rsidRPr="007122AB" w14:paraId="697AF532" w14:textId="77777777">
        <w:trPr>
          <w:jc w:val="center"/>
        </w:trPr>
        <w:tc>
          <w:tcPr>
            <w:tcW w:w="3211" w:type="dxa"/>
          </w:tcPr>
          <w:p w14:paraId="4E2046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ИТР</w:t>
            </w:r>
          </w:p>
        </w:tc>
        <w:tc>
          <w:tcPr>
            <w:tcW w:w="728" w:type="dxa"/>
          </w:tcPr>
          <w:p w14:paraId="47345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1949</w:t>
            </w:r>
          </w:p>
        </w:tc>
        <w:tc>
          <w:tcPr>
            <w:tcW w:w="6245" w:type="dxa"/>
          </w:tcPr>
          <w:p w14:paraId="3DD9D9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82,8</w:t>
            </w:r>
          </w:p>
        </w:tc>
      </w:tr>
      <w:tr w:rsidR="001002C3" w:rsidRPr="007122AB" w14:paraId="77E636EC" w14:textId="77777777">
        <w:trPr>
          <w:jc w:val="center"/>
        </w:trPr>
        <w:tc>
          <w:tcPr>
            <w:tcW w:w="3211" w:type="dxa"/>
          </w:tcPr>
          <w:p w14:paraId="2D1D6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Прочие</w:t>
            </w:r>
          </w:p>
        </w:tc>
        <w:tc>
          <w:tcPr>
            <w:tcW w:w="728" w:type="dxa"/>
          </w:tcPr>
          <w:p w14:paraId="5B287E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4266</w:t>
            </w:r>
          </w:p>
        </w:tc>
        <w:tc>
          <w:tcPr>
            <w:tcW w:w="6245" w:type="dxa"/>
          </w:tcPr>
          <w:p w14:paraId="3B95AB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73,1</w:t>
            </w:r>
          </w:p>
        </w:tc>
      </w:tr>
      <w:tr w:rsidR="001002C3" w:rsidRPr="007122AB" w14:paraId="745280EB" w14:textId="77777777">
        <w:trPr>
          <w:jc w:val="center"/>
        </w:trPr>
        <w:tc>
          <w:tcPr>
            <w:tcW w:w="3211" w:type="dxa"/>
            <w:tcBorders>
              <w:bottom w:val="single" w:sz="12" w:space="0" w:color="auto"/>
            </w:tcBorders>
          </w:tcPr>
          <w:p w14:paraId="55D5EA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728" w:type="dxa"/>
            <w:tcBorders>
              <w:bottom w:val="single" w:sz="12" w:space="0" w:color="auto"/>
            </w:tcBorders>
          </w:tcPr>
          <w:p w14:paraId="0A82D6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19796</w:t>
            </w:r>
          </w:p>
        </w:tc>
        <w:tc>
          <w:tcPr>
            <w:tcW w:w="6245" w:type="dxa"/>
            <w:tcBorders>
              <w:bottom w:val="single" w:sz="12" w:space="0" w:color="auto"/>
            </w:tcBorders>
          </w:tcPr>
          <w:p w14:paraId="5873FA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87,8</w:t>
            </w:r>
          </w:p>
        </w:tc>
      </w:tr>
    </w:tbl>
    <w:p w14:paraId="1C28A4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Впечатляюще так же выглядит и рост числа собственно хозрасчётных бригад: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300"/>
        <w:gridCol w:w="908"/>
        <w:gridCol w:w="908"/>
        <w:gridCol w:w="979"/>
        <w:gridCol w:w="908"/>
      </w:tblGrid>
      <w:tr w:rsidR="001002C3" w:rsidRPr="007122AB" w14:paraId="18F8031A" w14:textId="77777777">
        <w:trPr>
          <w:jc w:val="center"/>
        </w:trPr>
        <w:tc>
          <w:tcPr>
            <w:tcW w:w="3300" w:type="dxa"/>
            <w:tcBorders>
              <w:top w:val="single" w:sz="12" w:space="0" w:color="auto"/>
            </w:tcBorders>
          </w:tcPr>
          <w:p w14:paraId="5E291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Дата</w:t>
            </w:r>
          </w:p>
        </w:tc>
        <w:tc>
          <w:tcPr>
            <w:tcW w:w="908" w:type="dxa"/>
            <w:tcBorders>
              <w:top w:val="single" w:sz="12" w:space="0" w:color="auto"/>
            </w:tcBorders>
          </w:tcPr>
          <w:p w14:paraId="693D00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1.10.1931</w:t>
            </w:r>
          </w:p>
        </w:tc>
        <w:tc>
          <w:tcPr>
            <w:tcW w:w="908" w:type="dxa"/>
            <w:tcBorders>
              <w:top w:val="single" w:sz="12" w:space="0" w:color="auto"/>
            </w:tcBorders>
          </w:tcPr>
          <w:p w14:paraId="644BB8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1.11.1031</w:t>
            </w:r>
          </w:p>
        </w:tc>
        <w:tc>
          <w:tcPr>
            <w:tcW w:w="979" w:type="dxa"/>
            <w:tcBorders>
              <w:top w:val="single" w:sz="12" w:space="0" w:color="auto"/>
            </w:tcBorders>
          </w:tcPr>
          <w:p w14:paraId="47EB5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1.12.1931.</w:t>
            </w:r>
          </w:p>
        </w:tc>
        <w:tc>
          <w:tcPr>
            <w:tcW w:w="908" w:type="dxa"/>
            <w:tcBorders>
              <w:top w:val="single" w:sz="12" w:space="0" w:color="auto"/>
            </w:tcBorders>
          </w:tcPr>
          <w:p w14:paraId="2BC75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1.01.1932</w:t>
            </w:r>
          </w:p>
        </w:tc>
      </w:tr>
      <w:tr w:rsidR="001002C3" w:rsidRPr="007122AB" w14:paraId="24480474" w14:textId="77777777">
        <w:trPr>
          <w:jc w:val="center"/>
        </w:trPr>
        <w:tc>
          <w:tcPr>
            <w:tcW w:w="3300" w:type="dxa"/>
          </w:tcPr>
          <w:p w14:paraId="7D9BCC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Хозрасчетных бригад</w:t>
            </w:r>
          </w:p>
        </w:tc>
        <w:tc>
          <w:tcPr>
            <w:tcW w:w="908" w:type="dxa"/>
          </w:tcPr>
          <w:p w14:paraId="5D0E50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254</w:t>
            </w:r>
          </w:p>
        </w:tc>
        <w:tc>
          <w:tcPr>
            <w:tcW w:w="908" w:type="dxa"/>
          </w:tcPr>
          <w:p w14:paraId="09329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321</w:t>
            </w:r>
          </w:p>
        </w:tc>
        <w:tc>
          <w:tcPr>
            <w:tcW w:w="979" w:type="dxa"/>
          </w:tcPr>
          <w:p w14:paraId="743CF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418</w:t>
            </w:r>
          </w:p>
        </w:tc>
        <w:tc>
          <w:tcPr>
            <w:tcW w:w="908" w:type="dxa"/>
          </w:tcPr>
          <w:p w14:paraId="623B9E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420</w:t>
            </w:r>
          </w:p>
        </w:tc>
      </w:tr>
      <w:tr w:rsidR="001002C3" w:rsidRPr="007122AB" w14:paraId="58993148" w14:textId="77777777">
        <w:trPr>
          <w:jc w:val="center"/>
        </w:trPr>
        <w:tc>
          <w:tcPr>
            <w:tcW w:w="3300" w:type="dxa"/>
            <w:tcBorders>
              <w:bottom w:val="single" w:sz="12" w:space="0" w:color="auto"/>
            </w:tcBorders>
          </w:tcPr>
          <w:p w14:paraId="79DF9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Рабочих, охваченных хозрасчетными бригадами</w:t>
            </w:r>
          </w:p>
        </w:tc>
        <w:tc>
          <w:tcPr>
            <w:tcW w:w="908" w:type="dxa"/>
            <w:tcBorders>
              <w:bottom w:val="single" w:sz="12" w:space="0" w:color="auto"/>
            </w:tcBorders>
          </w:tcPr>
          <w:p w14:paraId="10E89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w:t>
            </w:r>
          </w:p>
        </w:tc>
        <w:tc>
          <w:tcPr>
            <w:tcW w:w="908" w:type="dxa"/>
            <w:tcBorders>
              <w:bottom w:val="single" w:sz="12" w:space="0" w:color="auto"/>
            </w:tcBorders>
          </w:tcPr>
          <w:p w14:paraId="45CE5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3733</w:t>
            </w:r>
          </w:p>
        </w:tc>
        <w:tc>
          <w:tcPr>
            <w:tcW w:w="979" w:type="dxa"/>
            <w:tcBorders>
              <w:bottom w:val="single" w:sz="12" w:space="0" w:color="auto"/>
            </w:tcBorders>
          </w:tcPr>
          <w:p w14:paraId="17C961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5068</w:t>
            </w:r>
          </w:p>
        </w:tc>
        <w:tc>
          <w:tcPr>
            <w:tcW w:w="908" w:type="dxa"/>
            <w:tcBorders>
              <w:bottom w:val="single" w:sz="12" w:space="0" w:color="auto"/>
            </w:tcBorders>
          </w:tcPr>
          <w:p w14:paraId="23B457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5823</w:t>
            </w:r>
          </w:p>
        </w:tc>
      </w:tr>
    </w:tbl>
    <w:p w14:paraId="080480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не смотря на все вышеприведённые показатели, свидетельствующие о, якобы, победной поступи хозрасчёта по заводу, на деле 1931 г. стал годом полного провала хозрасчёта как средства интенсификации труда. Напомним, что одной из основных целей хозрасчёта было снижение себестоимости продукции. Видимо, в расчёте на благотворное влияние распространения хозрасчёта, на 1931 г. по заводу было запланировано снижение себестоимости на 25,4%. На деле всё оказалось много хуже. </w:t>
      </w:r>
    </w:p>
    <w:p w14:paraId="2FD11C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Выполнение плана по снижению себестоимости на Электрозаводе за 3 квартала 1931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613"/>
        <w:gridCol w:w="1358"/>
        <w:gridCol w:w="1631"/>
        <w:gridCol w:w="1395"/>
        <w:gridCol w:w="965"/>
        <w:gridCol w:w="1042"/>
      </w:tblGrid>
      <w:tr w:rsidR="001002C3" w:rsidRPr="007122AB" w14:paraId="6B4F1DB7" w14:textId="77777777">
        <w:trPr>
          <w:jc w:val="center"/>
        </w:trPr>
        <w:tc>
          <w:tcPr>
            <w:tcW w:w="613" w:type="dxa"/>
            <w:tcBorders>
              <w:top w:val="single" w:sz="12" w:space="0" w:color="auto"/>
            </w:tcBorders>
          </w:tcPr>
          <w:p w14:paraId="044E38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квартал</w:t>
            </w:r>
          </w:p>
        </w:tc>
        <w:tc>
          <w:tcPr>
            <w:tcW w:w="1358" w:type="dxa"/>
            <w:tcBorders>
              <w:top w:val="single" w:sz="12" w:space="0" w:color="auto"/>
            </w:tcBorders>
          </w:tcPr>
          <w:p w14:paraId="47EA13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снижение стоимости по плану</w:t>
            </w:r>
          </w:p>
        </w:tc>
        <w:tc>
          <w:tcPr>
            <w:tcW w:w="1631" w:type="dxa"/>
            <w:tcBorders>
              <w:top w:val="single" w:sz="12" w:space="0" w:color="auto"/>
            </w:tcBorders>
          </w:tcPr>
          <w:p w14:paraId="79FD82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фактическая динамика себестоимости</w:t>
            </w:r>
          </w:p>
        </w:tc>
        <w:tc>
          <w:tcPr>
            <w:tcW w:w="1395" w:type="dxa"/>
            <w:tcBorders>
              <w:top w:val="single" w:sz="12" w:space="0" w:color="auto"/>
            </w:tcBorders>
          </w:tcPr>
          <w:p w14:paraId="0D753D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экономия по плану, тыс. руб.</w:t>
            </w:r>
          </w:p>
        </w:tc>
        <w:tc>
          <w:tcPr>
            <w:tcW w:w="965" w:type="dxa"/>
            <w:tcBorders>
              <w:top w:val="single" w:sz="12" w:space="0" w:color="auto"/>
            </w:tcBorders>
          </w:tcPr>
          <w:p w14:paraId="65BB6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убыток, тыс. руб.</w:t>
            </w:r>
          </w:p>
        </w:tc>
        <w:tc>
          <w:tcPr>
            <w:tcW w:w="1042" w:type="dxa"/>
            <w:tcBorders>
              <w:top w:val="single" w:sz="12" w:space="0" w:color="auto"/>
            </w:tcBorders>
          </w:tcPr>
          <w:p w14:paraId="60AD1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Экономия, тыс. руб.</w:t>
            </w:r>
          </w:p>
        </w:tc>
      </w:tr>
      <w:tr w:rsidR="001002C3" w:rsidRPr="007122AB" w14:paraId="4739C660" w14:textId="77777777">
        <w:trPr>
          <w:jc w:val="center"/>
        </w:trPr>
        <w:tc>
          <w:tcPr>
            <w:tcW w:w="613" w:type="dxa"/>
          </w:tcPr>
          <w:p w14:paraId="5533DE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w:t>
            </w:r>
          </w:p>
        </w:tc>
        <w:tc>
          <w:tcPr>
            <w:tcW w:w="1358" w:type="dxa"/>
          </w:tcPr>
          <w:p w14:paraId="41E71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17,2%</w:t>
            </w:r>
          </w:p>
        </w:tc>
        <w:tc>
          <w:tcPr>
            <w:tcW w:w="1631" w:type="dxa"/>
          </w:tcPr>
          <w:p w14:paraId="590902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6%</w:t>
            </w:r>
          </w:p>
        </w:tc>
        <w:tc>
          <w:tcPr>
            <w:tcW w:w="1395" w:type="dxa"/>
          </w:tcPr>
          <w:p w14:paraId="49A950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2103,3</w:t>
            </w:r>
          </w:p>
        </w:tc>
        <w:tc>
          <w:tcPr>
            <w:tcW w:w="965" w:type="dxa"/>
          </w:tcPr>
          <w:p w14:paraId="7F93A7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
        </w:tc>
        <w:tc>
          <w:tcPr>
            <w:tcW w:w="1042" w:type="dxa"/>
          </w:tcPr>
          <w:p w14:paraId="5E99A4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513</w:t>
            </w:r>
          </w:p>
        </w:tc>
      </w:tr>
      <w:tr w:rsidR="001002C3" w:rsidRPr="007122AB" w14:paraId="15E51EE6" w14:textId="77777777">
        <w:trPr>
          <w:jc w:val="center"/>
        </w:trPr>
        <w:tc>
          <w:tcPr>
            <w:tcW w:w="613" w:type="dxa"/>
          </w:tcPr>
          <w:p w14:paraId="0E7C22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w:t>
            </w:r>
          </w:p>
        </w:tc>
        <w:tc>
          <w:tcPr>
            <w:tcW w:w="1358" w:type="dxa"/>
          </w:tcPr>
          <w:p w14:paraId="4B462E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22,1%</w:t>
            </w:r>
          </w:p>
        </w:tc>
        <w:tc>
          <w:tcPr>
            <w:tcW w:w="1631" w:type="dxa"/>
          </w:tcPr>
          <w:p w14:paraId="5E691B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+ 4,3%</w:t>
            </w:r>
          </w:p>
        </w:tc>
        <w:tc>
          <w:tcPr>
            <w:tcW w:w="1395" w:type="dxa"/>
          </w:tcPr>
          <w:p w14:paraId="014FE3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2936,9</w:t>
            </w:r>
          </w:p>
        </w:tc>
        <w:tc>
          <w:tcPr>
            <w:tcW w:w="965" w:type="dxa"/>
          </w:tcPr>
          <w:p w14:paraId="70C71B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405,5</w:t>
            </w:r>
          </w:p>
        </w:tc>
        <w:tc>
          <w:tcPr>
            <w:tcW w:w="1042" w:type="dxa"/>
          </w:tcPr>
          <w:p w14:paraId="218567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w:t>
            </w:r>
          </w:p>
        </w:tc>
      </w:tr>
      <w:tr w:rsidR="001002C3" w:rsidRPr="007122AB" w14:paraId="707775A7" w14:textId="77777777">
        <w:trPr>
          <w:jc w:val="center"/>
        </w:trPr>
        <w:tc>
          <w:tcPr>
            <w:tcW w:w="613" w:type="dxa"/>
            <w:tcBorders>
              <w:bottom w:val="single" w:sz="12" w:space="0" w:color="auto"/>
            </w:tcBorders>
          </w:tcPr>
          <w:p w14:paraId="11DF12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III</w:t>
            </w:r>
          </w:p>
        </w:tc>
        <w:tc>
          <w:tcPr>
            <w:tcW w:w="1358" w:type="dxa"/>
            <w:tcBorders>
              <w:bottom w:val="single" w:sz="12" w:space="0" w:color="auto"/>
            </w:tcBorders>
          </w:tcPr>
          <w:p w14:paraId="35DF4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26,2%</w:t>
            </w:r>
          </w:p>
        </w:tc>
        <w:tc>
          <w:tcPr>
            <w:tcW w:w="1631" w:type="dxa"/>
            <w:tcBorders>
              <w:bottom w:val="single" w:sz="12" w:space="0" w:color="auto"/>
            </w:tcBorders>
          </w:tcPr>
          <w:p w14:paraId="52D757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+ 3,1%</w:t>
            </w:r>
          </w:p>
        </w:tc>
        <w:tc>
          <w:tcPr>
            <w:tcW w:w="1395" w:type="dxa"/>
            <w:tcBorders>
              <w:bottom w:val="single" w:sz="12" w:space="0" w:color="auto"/>
            </w:tcBorders>
          </w:tcPr>
          <w:p w14:paraId="2A4A0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4051,7</w:t>
            </w:r>
          </w:p>
        </w:tc>
        <w:tc>
          <w:tcPr>
            <w:tcW w:w="965" w:type="dxa"/>
            <w:tcBorders>
              <w:bottom w:val="single" w:sz="12" w:space="0" w:color="auto"/>
            </w:tcBorders>
          </w:tcPr>
          <w:p w14:paraId="74BEC7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295,4</w:t>
            </w:r>
          </w:p>
        </w:tc>
        <w:tc>
          <w:tcPr>
            <w:tcW w:w="1042" w:type="dxa"/>
            <w:tcBorders>
              <w:bottom w:val="single" w:sz="12" w:space="0" w:color="auto"/>
            </w:tcBorders>
          </w:tcPr>
          <w:p w14:paraId="56009C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31E974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Таким образом, хозрасчёт рос, а себестоимость не только не сокращалась, но и нарастала. Это требовало каких-то новых решений в области организации хозрасчётного движения.</w:t>
      </w:r>
    </w:p>
    <w:p w14:paraId="641A4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Следующим этапом развития хозрасчёта стало его слияние с ударным движением. Как уже говорилось выше, на этом этапе хозрасчёт рассматривался как новая, высшая стадия развития ударничества. В практической плоскости это мнение выразилось в массовом переводе ударных бригад на хозрасчёт. Так в 1931 г. на хозрасчёт перешло 338 ударных бригад с охватом 4733 человек. Однако, по мнению парткома, этого было недостаточно, поэтому на 1932 г. было запланировано перевести на хозрасчёт все ударные бригады поголовно. Видимо, не последнюю роль в успехе этого начинания сыграло то, что ударные книжки нового образца, появившиеся в 1932 г., вручались только «истинным» ударникам. Соответственно, ударники, не желающие переходить на хозрасчёт, объявлялись «</w:t>
      </w:r>
      <w:proofErr w:type="spellStart"/>
      <w:r w:rsidRPr="007122AB">
        <w:rPr>
          <w:rFonts w:ascii="Times New Roman" w:hAnsi="Times New Roman"/>
          <w:color w:val="000000" w:themeColor="text1"/>
          <w:sz w:val="16"/>
          <w:szCs w:val="16"/>
        </w:rPr>
        <w:t>лжеударниками</w:t>
      </w:r>
      <w:proofErr w:type="spellEnd"/>
      <w:r w:rsidRPr="007122AB">
        <w:rPr>
          <w:rFonts w:ascii="Times New Roman" w:hAnsi="Times New Roman"/>
          <w:color w:val="000000" w:themeColor="text1"/>
          <w:sz w:val="16"/>
          <w:szCs w:val="16"/>
        </w:rPr>
        <w:t>» и теряли права на привилегированное снабжение (11564).</w:t>
      </w:r>
    </w:p>
    <w:p w14:paraId="5F8A14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49B5A1" w14:textId="77777777" w:rsidR="00EF159B" w:rsidRPr="007122AB" w:rsidRDefault="00EF159B"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декабря 1931 ПБ вернулось к вопросу о закупке сторожевых судов и предложило </w:t>
      </w:r>
      <w:proofErr w:type="spellStart"/>
      <w:r w:rsidRPr="007122AB">
        <w:rPr>
          <w:rFonts w:ascii="Times New Roman" w:hAnsi="Times New Roman"/>
          <w:color w:val="000000" w:themeColor="text1"/>
          <w:sz w:val="16"/>
          <w:szCs w:val="16"/>
        </w:rPr>
        <w:t>Наркомвнешторгу</w:t>
      </w:r>
      <w:proofErr w:type="spellEnd"/>
      <w:r w:rsidRPr="007122AB">
        <w:rPr>
          <w:rFonts w:ascii="Times New Roman" w:hAnsi="Times New Roman"/>
          <w:color w:val="000000" w:themeColor="text1"/>
          <w:sz w:val="16"/>
          <w:szCs w:val="16"/>
        </w:rPr>
        <w:t xml:space="preserve"> «реализовать заказ в Италии двух сторожевых судов для ОГПУ» (РГАСПИ. Ф. 17. Оп. 162. Д. П. Л. 71). 8 декабря ПБ пересмотрело свое решение и разрешило закупку для ОГПУ трех сторожевых судов при условии сохранения прежнего валютного лимита (Там же. Л. 84) (17281).</w:t>
      </w:r>
    </w:p>
    <w:p w14:paraId="59C9B2B6" w14:textId="77777777" w:rsidR="00EF159B" w:rsidRPr="007122AB" w:rsidRDefault="00EF159B" w:rsidP="007122AB">
      <w:pPr>
        <w:autoSpaceDE w:val="0"/>
        <w:autoSpaceDN w:val="0"/>
        <w:adjustRightInd w:val="0"/>
        <w:spacing w:after="0" w:line="240" w:lineRule="auto"/>
        <w:jc w:val="both"/>
        <w:rPr>
          <w:rFonts w:ascii="Times New Roman" w:hAnsi="Times New Roman"/>
          <w:color w:val="000000" w:themeColor="text1"/>
          <w:sz w:val="16"/>
          <w:szCs w:val="16"/>
        </w:rPr>
      </w:pPr>
    </w:p>
    <w:p w14:paraId="29D9C610" w14:textId="77777777" w:rsidR="00497B38" w:rsidRPr="007122AB" w:rsidRDefault="00497B38" w:rsidP="007122AB">
      <w:pPr>
        <w:spacing w:after="0" w:line="240" w:lineRule="auto"/>
        <w:jc w:val="both"/>
        <w:rPr>
          <w:rFonts w:ascii="Times New Roman" w:hAnsi="Times New Roman"/>
          <w:iCs/>
          <w:color w:val="000000" w:themeColor="text1"/>
          <w:sz w:val="16"/>
          <w:szCs w:val="16"/>
        </w:rPr>
      </w:pPr>
      <w:r w:rsidRPr="007122AB">
        <w:rPr>
          <w:rFonts w:ascii="Times New Roman" w:hAnsi="Times New Roman"/>
          <w:color w:val="000000" w:themeColor="text1"/>
          <w:sz w:val="16"/>
          <w:szCs w:val="16"/>
        </w:rPr>
        <w:t xml:space="preserve">1 декабря 1931 г. Протокол ПБ № 78 п.30/2: О радиевой промышленности. Решено принять следующие предложения ВСНХ: А. </w:t>
      </w:r>
      <w:proofErr w:type="spellStart"/>
      <w:r w:rsidRPr="007122AB">
        <w:rPr>
          <w:rFonts w:ascii="Times New Roman" w:hAnsi="Times New Roman"/>
          <w:color w:val="000000" w:themeColor="text1"/>
          <w:sz w:val="16"/>
          <w:szCs w:val="16"/>
        </w:rPr>
        <w:t>Тюя-Муюнский</w:t>
      </w:r>
      <w:proofErr w:type="spellEnd"/>
      <w:r w:rsidRPr="007122AB">
        <w:rPr>
          <w:rFonts w:ascii="Times New Roman" w:hAnsi="Times New Roman"/>
          <w:color w:val="000000" w:themeColor="text1"/>
          <w:sz w:val="16"/>
          <w:szCs w:val="16"/>
        </w:rPr>
        <w:t xml:space="preserve"> радиевый рудник. 1.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в 1932 году развернуть полностью глубинные разведки, изучение геологии </w:t>
      </w:r>
      <w:proofErr w:type="spellStart"/>
      <w:r w:rsidRPr="007122AB">
        <w:rPr>
          <w:rFonts w:ascii="Times New Roman" w:hAnsi="Times New Roman"/>
          <w:color w:val="000000" w:themeColor="text1"/>
          <w:sz w:val="16"/>
          <w:szCs w:val="16"/>
        </w:rPr>
        <w:t>Тюя-Муюна</w:t>
      </w:r>
      <w:proofErr w:type="spellEnd"/>
      <w:r w:rsidRPr="007122AB">
        <w:rPr>
          <w:rFonts w:ascii="Times New Roman" w:hAnsi="Times New Roman"/>
          <w:color w:val="000000" w:themeColor="text1"/>
          <w:sz w:val="16"/>
          <w:szCs w:val="16"/>
        </w:rPr>
        <w:t xml:space="preserve"> и его района. Обязать АН СССР и </w:t>
      </w:r>
      <w:proofErr w:type="spellStart"/>
      <w:r w:rsidRPr="007122AB">
        <w:rPr>
          <w:rFonts w:ascii="Times New Roman" w:hAnsi="Times New Roman"/>
          <w:color w:val="000000" w:themeColor="text1"/>
          <w:sz w:val="16"/>
          <w:szCs w:val="16"/>
        </w:rPr>
        <w:t>Союзгеологоразведку</w:t>
      </w:r>
      <w:proofErr w:type="spellEnd"/>
      <w:r w:rsidRPr="007122AB">
        <w:rPr>
          <w:rFonts w:ascii="Times New Roman" w:hAnsi="Times New Roman"/>
          <w:color w:val="000000" w:themeColor="text1"/>
          <w:sz w:val="16"/>
          <w:szCs w:val="16"/>
        </w:rPr>
        <w:t xml:space="preserve"> принять участие в разведочных работах. 2. Обязать ВСНХ СССР обеспечить эти работы техническим снабжением и средствами. 3. Государственному Гидрогеологическому институту разрешить проблему водоснабжения обогатительной фабрики и поселка в </w:t>
      </w:r>
      <w:proofErr w:type="spellStart"/>
      <w:r w:rsidRPr="007122AB">
        <w:rPr>
          <w:rFonts w:ascii="Times New Roman" w:hAnsi="Times New Roman"/>
          <w:color w:val="000000" w:themeColor="text1"/>
          <w:sz w:val="16"/>
          <w:szCs w:val="16"/>
        </w:rPr>
        <w:t>Тюя-Муюне</w:t>
      </w:r>
      <w:proofErr w:type="spellEnd"/>
      <w:r w:rsidRPr="007122AB">
        <w:rPr>
          <w:rFonts w:ascii="Times New Roman" w:hAnsi="Times New Roman"/>
          <w:color w:val="000000" w:themeColor="text1"/>
          <w:sz w:val="16"/>
          <w:szCs w:val="16"/>
        </w:rPr>
        <w:t xml:space="preserve">. Б. По </w:t>
      </w:r>
      <w:proofErr w:type="spellStart"/>
      <w:r w:rsidRPr="007122AB">
        <w:rPr>
          <w:rFonts w:ascii="Times New Roman" w:hAnsi="Times New Roman"/>
          <w:color w:val="000000" w:themeColor="text1"/>
          <w:sz w:val="16"/>
          <w:szCs w:val="16"/>
        </w:rPr>
        <w:t>Табашарскому</w:t>
      </w:r>
      <w:proofErr w:type="spellEnd"/>
      <w:r w:rsidRPr="007122AB">
        <w:rPr>
          <w:rFonts w:ascii="Times New Roman" w:hAnsi="Times New Roman"/>
          <w:color w:val="000000" w:themeColor="text1"/>
          <w:sz w:val="16"/>
          <w:szCs w:val="16"/>
        </w:rPr>
        <w:t xml:space="preserve"> месторождению 1. САРГРУ форсировать окончание разведочных работ на </w:t>
      </w:r>
      <w:proofErr w:type="spellStart"/>
      <w:r w:rsidRPr="007122AB">
        <w:rPr>
          <w:rFonts w:ascii="Times New Roman" w:hAnsi="Times New Roman"/>
          <w:color w:val="000000" w:themeColor="text1"/>
          <w:sz w:val="16"/>
          <w:szCs w:val="16"/>
        </w:rPr>
        <w:t>Табашарском</w:t>
      </w:r>
      <w:proofErr w:type="spellEnd"/>
      <w:r w:rsidRPr="007122AB">
        <w:rPr>
          <w:rFonts w:ascii="Times New Roman" w:hAnsi="Times New Roman"/>
          <w:color w:val="000000" w:themeColor="text1"/>
          <w:sz w:val="16"/>
          <w:szCs w:val="16"/>
        </w:rPr>
        <w:t xml:space="preserve"> месторождении и передать их в 1932 году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для промышленного освоения. 2.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организовать быстрое изучение руд с расчетом организации производства с 1933 г. В. По </w:t>
      </w:r>
      <w:proofErr w:type="spellStart"/>
      <w:r w:rsidRPr="007122AB">
        <w:rPr>
          <w:rFonts w:ascii="Times New Roman" w:hAnsi="Times New Roman"/>
          <w:color w:val="000000" w:themeColor="text1"/>
          <w:sz w:val="16"/>
          <w:szCs w:val="16"/>
        </w:rPr>
        <w:t>Берекейским</w:t>
      </w:r>
      <w:proofErr w:type="spellEnd"/>
      <w:r w:rsidRPr="007122AB">
        <w:rPr>
          <w:rFonts w:ascii="Times New Roman" w:hAnsi="Times New Roman"/>
          <w:color w:val="000000" w:themeColor="text1"/>
          <w:sz w:val="16"/>
          <w:szCs w:val="16"/>
        </w:rPr>
        <w:t xml:space="preserve"> йодным источникам. </w:t>
      </w:r>
      <w:proofErr w:type="spellStart"/>
      <w:r w:rsidRPr="007122AB">
        <w:rPr>
          <w:rFonts w:ascii="Times New Roman" w:hAnsi="Times New Roman"/>
          <w:color w:val="000000" w:themeColor="text1"/>
          <w:sz w:val="16"/>
          <w:szCs w:val="16"/>
        </w:rPr>
        <w:t>Союзредмету</w:t>
      </w:r>
      <w:proofErr w:type="spellEnd"/>
      <w:r w:rsidRPr="007122AB">
        <w:rPr>
          <w:rFonts w:ascii="Times New Roman" w:hAnsi="Times New Roman"/>
          <w:color w:val="000000" w:themeColor="text1"/>
          <w:sz w:val="16"/>
          <w:szCs w:val="16"/>
        </w:rPr>
        <w:t xml:space="preserve"> немедленно приступить и окончить в 1932 году изучение радиоактивности вод и технологии извлечения из них радия. Г. Общие мероприятия. 1. Радиевому отделению НИИ редких элементов провести исследование на радиоактивность коллекции руд и минералов, находящихся в научно-исследовательских институтах и </w:t>
      </w:r>
      <w:proofErr w:type="spellStart"/>
      <w:r w:rsidRPr="007122AB">
        <w:rPr>
          <w:rFonts w:ascii="Times New Roman" w:hAnsi="Times New Roman"/>
          <w:color w:val="000000" w:themeColor="text1"/>
          <w:sz w:val="16"/>
          <w:szCs w:val="16"/>
        </w:rPr>
        <w:t>Союзгеологоразведке</w:t>
      </w:r>
      <w:proofErr w:type="spellEnd"/>
      <w:r w:rsidRPr="007122AB">
        <w:rPr>
          <w:rFonts w:ascii="Times New Roman" w:hAnsi="Times New Roman"/>
          <w:color w:val="000000" w:themeColor="text1"/>
          <w:sz w:val="16"/>
          <w:szCs w:val="16"/>
        </w:rPr>
        <w:t xml:space="preserve">. 2. Передать Государственный радиевый институт в Ленинграде в ведение Института редких элементов на правах его филиала. 3. Отделу кадров ЦК ВКП(б) выделить для руководящей работы на среднеазиатских предприятиях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 xml:space="preserve"> не менее трех ответственных работников. 4. Сектору кадров ВСНХ СССР выделить горных инженеров, техников, геологов, маркшейдеров, работников ОЭТ, работников ТНБ. 5. ВСНХ СССР командировать заграницу в IV квартале 1931 года трех работников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 xml:space="preserve"> для изучения состояния радиевого дела. 6. Все предприятия по добыче радиевых руд, их разведке, радиевый завод и Институт редких элементов по снабжению и строительству приравнять к группе ударных предприятий, установив нормы снабжения продовольствием и промтоварами рабочих рудников и фабрик в соответствии с нормами </w:t>
      </w:r>
      <w:proofErr w:type="spellStart"/>
      <w:r w:rsidRPr="007122AB">
        <w:rPr>
          <w:rFonts w:ascii="Times New Roman" w:hAnsi="Times New Roman"/>
          <w:color w:val="000000" w:themeColor="text1"/>
          <w:sz w:val="16"/>
          <w:szCs w:val="16"/>
        </w:rPr>
        <w:t>Цветметзолото</w:t>
      </w:r>
      <w:proofErr w:type="spellEnd"/>
      <w:r w:rsidRPr="007122AB">
        <w:rPr>
          <w:rFonts w:ascii="Times New Roman" w:hAnsi="Times New Roman"/>
          <w:color w:val="000000" w:themeColor="text1"/>
          <w:sz w:val="16"/>
          <w:szCs w:val="16"/>
        </w:rPr>
        <w:t xml:space="preserve">. 7. Принять меры к обеспечению радиевых предприятий инженерно-техническими кадрами, возвратив в эту отрасль всех, ранее работавших в ней. 8. ОГПУ разработать вопрос о целесообразности обеспечения </w:t>
      </w:r>
      <w:proofErr w:type="spellStart"/>
      <w:r w:rsidRPr="007122AB">
        <w:rPr>
          <w:rFonts w:ascii="Times New Roman" w:hAnsi="Times New Roman"/>
          <w:color w:val="000000" w:themeColor="text1"/>
          <w:sz w:val="16"/>
          <w:szCs w:val="16"/>
        </w:rPr>
        <w:t>Тюя-Муюнского</w:t>
      </w:r>
      <w:proofErr w:type="spellEnd"/>
      <w:r w:rsidRPr="007122AB">
        <w:rPr>
          <w:rFonts w:ascii="Times New Roman" w:hAnsi="Times New Roman"/>
          <w:color w:val="000000" w:themeColor="text1"/>
          <w:sz w:val="16"/>
          <w:szCs w:val="16"/>
        </w:rPr>
        <w:t xml:space="preserve"> рудника рабочей силой в порядке организации при руднике Лагеря особого назначения. 9. Признать возможным увеличение партмаксимума на 50 % ответственным работникам, работающим в отделанных предприятиях </w:t>
      </w:r>
      <w:proofErr w:type="spellStart"/>
      <w:r w:rsidRPr="007122AB">
        <w:rPr>
          <w:rFonts w:ascii="Times New Roman" w:hAnsi="Times New Roman"/>
          <w:color w:val="000000" w:themeColor="text1"/>
          <w:sz w:val="16"/>
          <w:szCs w:val="16"/>
        </w:rPr>
        <w:t>Союзредмета</w:t>
      </w:r>
      <w:proofErr w:type="spellEnd"/>
      <w:r w:rsidRPr="007122AB">
        <w:rPr>
          <w:rFonts w:ascii="Times New Roman" w:hAnsi="Times New Roman"/>
          <w:color w:val="000000" w:themeColor="text1"/>
          <w:sz w:val="16"/>
          <w:szCs w:val="16"/>
        </w:rPr>
        <w:t>. 10. Комиссии Краснопольского, одновременно с докладом, представить список конкретных мероприятий для дальнейшего развития радиевой промышленности (15870).</w:t>
      </w:r>
    </w:p>
    <w:p w14:paraId="22901467" w14:textId="77777777" w:rsidR="00497B38" w:rsidRPr="007122AB" w:rsidRDefault="00497B38" w:rsidP="007122AB">
      <w:pPr>
        <w:spacing w:after="0" w:line="240" w:lineRule="auto"/>
        <w:jc w:val="both"/>
        <w:rPr>
          <w:rFonts w:ascii="Times New Roman" w:hAnsi="Times New Roman"/>
          <w:iCs/>
          <w:color w:val="000000" w:themeColor="text1"/>
          <w:sz w:val="16"/>
          <w:szCs w:val="16"/>
        </w:rPr>
      </w:pPr>
    </w:p>
    <w:p w14:paraId="0C6B7CE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2A44AD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3D80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была создана комиссия Совета Лиги наций (комиссия Литтона) по расследованию инцидента в Манчжурии - оккупации ее Японией (3186).</w:t>
      </w:r>
    </w:p>
    <w:p w14:paraId="510C41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40C92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671398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0B7D2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декабря 1931 года вышел Приказ ВВС № 327/143 [О постановке и использовании изобретательства и реализации рацпредложений в НИИ]</w:t>
      </w:r>
    </w:p>
    <w:p w14:paraId="5700E0A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(Дело поставлено плохо).</w:t>
      </w:r>
    </w:p>
    <w:p w14:paraId="57B77AF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4F4A80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Приказываю:</w:t>
      </w:r>
    </w:p>
    <w:p w14:paraId="28DECFAA"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Начальнику НИИ ВВС немедленно организовать Конструкторский отдел НИИ, возложив на него задачи организации, руководства и планирования изобретательского и рационализаторского дела в ВВС с реализацией полезных изобретений и усовершенствований. Отдел несет ответственность от начала прохождения предложения до момента окончания испытания построенного образца, принятия его на снабжение ВВС и внедрения в серийное производство.</w:t>
      </w:r>
    </w:p>
    <w:p w14:paraId="06D16C4D"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Конструкторскому отделу объединить в своей работе изобретателей и рационализаторов ВВС, давая им на разработку определенные, наиболее актуальные для ВВС задания, всячески обеспечивая реализацию их предложений.</w:t>
      </w:r>
    </w:p>
    <w:p w14:paraId="2B347AA6"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Существующий «Сектор изобретений» НИИ как ненужную и беспомощную организацию – ликвидировать.</w:t>
      </w:r>
    </w:p>
    <w:p w14:paraId="1752006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3FE56D6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Конструкторскую группу Гроховского вместе с мастерскими по НИИ ВВС выделить в самостоятельную организацию. Группу эту перевести на строгий хозрасчет, предоставив ей права, аналогичные другим КБ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Руководство КБ Гроховского и контроль выполнения плана работ возлагаю на начальника НИИ ВВС. Испытания всех построенных образцов проводить НИИ на общих основаниях (6770, 187-190).</w:t>
      </w:r>
    </w:p>
    <w:p w14:paraId="5FA37617"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F630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декабря 1931 Зам. наркома по военным и морским делам и председатель РВС Тухачевский писал письмо № 11/37общ. начальнику ВВС Алкснису (6769):</w:t>
      </w:r>
    </w:p>
    <w:p w14:paraId="2BAF06F9"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выявившимися результатами демонстрации технических средств Гроховского для высадки десантов с воздуха предлагаю:</w:t>
      </w:r>
    </w:p>
    <w:p w14:paraId="74AB56F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Немедленно дать заказ на массовую партию образцов, давших положительные результаты:</w:t>
      </w:r>
    </w:p>
    <w:p w14:paraId="6C336F9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Автоматическая кабина (люлька Г39).</w:t>
      </w:r>
    </w:p>
    <w:p w14:paraId="0C4D8A8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Десантные парашюты к автоматическим кабинам (Г5).</w:t>
      </w:r>
    </w:p>
    <w:p w14:paraId="15C7B18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Авиабусы</w:t>
      </w:r>
      <w:proofErr w:type="spellEnd"/>
      <w:r w:rsidRPr="007122AB">
        <w:rPr>
          <w:rFonts w:ascii="Times New Roman" w:hAnsi="Times New Roman"/>
          <w:color w:val="000000" w:themeColor="text1"/>
          <w:sz w:val="16"/>
          <w:szCs w:val="16"/>
        </w:rPr>
        <w:t xml:space="preserve"> грузовые на 1 тонну (Г45).</w:t>
      </w:r>
    </w:p>
    <w:p w14:paraId="28F1B3FA"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Авиабусы</w:t>
      </w:r>
      <w:proofErr w:type="spellEnd"/>
      <w:r w:rsidRPr="007122AB">
        <w:rPr>
          <w:rFonts w:ascii="Times New Roman" w:hAnsi="Times New Roman"/>
          <w:color w:val="000000" w:themeColor="text1"/>
          <w:sz w:val="16"/>
          <w:szCs w:val="16"/>
        </w:rPr>
        <w:t xml:space="preserve"> трехместные.</w:t>
      </w:r>
    </w:p>
    <w:p w14:paraId="5B9238F0"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установка для сбрасывания мотоцикла.</w:t>
      </w:r>
    </w:p>
    <w:p w14:paraId="139F3518"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площадка для сбрасывания велосипедов.</w:t>
      </w:r>
    </w:p>
    <w:p w14:paraId="5DC48E6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Картонажный сбрасыватель винтовок (Г52).</w:t>
      </w:r>
    </w:p>
    <w:p w14:paraId="589786C4"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Транспортные мешки для деформирующих грузов (Г3).</w:t>
      </w:r>
    </w:p>
    <w:p w14:paraId="4819F162"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Транспортный парашют (Г2).</w:t>
      </w:r>
    </w:p>
    <w:p w14:paraId="264E10D3"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Продолжать дальнейшую работу по:</w:t>
      </w:r>
    </w:p>
    <w:p w14:paraId="1BE8286D"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Парашютная установка для сбрасывания автомобиля (Г38).</w:t>
      </w:r>
    </w:p>
    <w:p w14:paraId="346392CC"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Установка орудия сбрасываемого с бреющего полета (Г49) (6769, 9).</w:t>
      </w:r>
    </w:p>
    <w:p w14:paraId="6B037499"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9CFF46"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декабря 1931 г. Тухачевский распорядился запустить </w:t>
      </w:r>
      <w:proofErr w:type="spellStart"/>
      <w:r w:rsidRPr="007122AB">
        <w:rPr>
          <w:rFonts w:ascii="Times New Roman" w:hAnsi="Times New Roman"/>
          <w:color w:val="000000" w:themeColor="text1"/>
          <w:sz w:val="16"/>
          <w:szCs w:val="16"/>
        </w:rPr>
        <w:t>авиабус</w:t>
      </w:r>
      <w:proofErr w:type="spellEnd"/>
      <w:r w:rsidRPr="007122AB">
        <w:rPr>
          <w:rFonts w:ascii="Times New Roman" w:hAnsi="Times New Roman"/>
          <w:color w:val="000000" w:themeColor="text1"/>
          <w:sz w:val="16"/>
          <w:szCs w:val="16"/>
        </w:rPr>
        <w:t xml:space="preserve"> Г- 45 в серийное производство, при этом в документе указано, что грузоподъемность аппарата составляет 1 т. (12253).</w:t>
      </w:r>
    </w:p>
    <w:p w14:paraId="67FA1DA2" w14:textId="77777777" w:rsidR="001D0400" w:rsidRPr="007122AB" w:rsidRDefault="001D0400" w:rsidP="007122AB">
      <w:pPr>
        <w:spacing w:after="0" w:line="240" w:lineRule="auto"/>
        <w:jc w:val="both"/>
        <w:rPr>
          <w:rFonts w:ascii="Times New Roman" w:hAnsi="Times New Roman"/>
          <w:color w:val="000000" w:themeColor="text1"/>
          <w:sz w:val="16"/>
          <w:szCs w:val="16"/>
        </w:rPr>
      </w:pPr>
    </w:p>
    <w:p w14:paraId="014FBDC7" w14:textId="77777777" w:rsidR="009E377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B301A50" w14:textId="77777777" w:rsidR="009E3773" w:rsidRPr="007122AB" w:rsidRDefault="009E377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F6E508C"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 декабря 1931 </w:t>
      </w:r>
      <w:r w:rsidRPr="007122AB">
        <w:rPr>
          <w:rFonts w:ascii="Times New Roman" w:hAnsi="Times New Roman"/>
          <w:color w:val="000000" w:themeColor="text1"/>
          <w:sz w:val="16"/>
          <w:szCs w:val="16"/>
        </w:rPr>
        <w:t>Политбюро ЦК ВКП (б) утвердило проект постановления ЦК ВКП (б) о черной металлургии (12265).</w:t>
      </w:r>
    </w:p>
    <w:p w14:paraId="3614D603"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СТО принял постановление «О прибылях предприятий, входящих в объединения и тресты» (12265).</w:t>
      </w:r>
    </w:p>
    <w:p w14:paraId="5863120C" w14:textId="77777777" w:rsidR="001D0400" w:rsidRPr="007122AB" w:rsidRDefault="001D040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BB831D8" w14:textId="77777777" w:rsidR="002D2823" w:rsidRPr="007122AB" w:rsidRDefault="002D282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декабря 1931 г. было завершено строительство завода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им. К.Е. Ворошилова в Ленинграде на Сампсониевской набережной, 5. Сейчас это главный корпус ЦНИИ «Гидроприбор».</w:t>
      </w:r>
    </w:p>
    <w:p w14:paraId="145D235B" w14:textId="77777777" w:rsidR="002D2823" w:rsidRPr="007122AB" w:rsidRDefault="002D2823" w:rsidP="007122AB">
      <w:pPr>
        <w:spacing w:after="0" w:line="240" w:lineRule="auto"/>
        <w:jc w:val="both"/>
        <w:rPr>
          <w:rFonts w:ascii="Times New Roman" w:hAnsi="Times New Roman"/>
          <w:color w:val="000000" w:themeColor="text1"/>
          <w:sz w:val="16"/>
          <w:szCs w:val="16"/>
        </w:rPr>
      </w:pPr>
    </w:p>
    <w:p w14:paraId="226BC221" w14:textId="77777777" w:rsidR="000D04DE" w:rsidRPr="007122AB" w:rsidRDefault="000D04D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декабря 1931 г. завершено строительство завода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НКВМ, получившего имя К.Е. Ворошилова. Директором назначен И.А. </w:t>
      </w:r>
      <w:proofErr w:type="spellStart"/>
      <w:r w:rsidRPr="007122AB">
        <w:rPr>
          <w:rFonts w:ascii="Times New Roman" w:hAnsi="Times New Roman"/>
          <w:color w:val="000000" w:themeColor="text1"/>
          <w:sz w:val="16"/>
          <w:szCs w:val="16"/>
        </w:rPr>
        <w:t>Муравкин</w:t>
      </w:r>
      <w:proofErr w:type="spellEnd"/>
      <w:r w:rsidRPr="007122AB">
        <w:rPr>
          <w:rFonts w:ascii="Times New Roman" w:hAnsi="Times New Roman"/>
          <w:color w:val="000000" w:themeColor="text1"/>
          <w:sz w:val="16"/>
          <w:szCs w:val="16"/>
        </w:rPr>
        <w:t xml:space="preserve"> (22288).</w:t>
      </w:r>
    </w:p>
    <w:p w14:paraId="1B0337AB" w14:textId="77777777" w:rsidR="000D04DE" w:rsidRPr="007122AB" w:rsidRDefault="000D04DE" w:rsidP="007122AB">
      <w:pPr>
        <w:spacing w:after="0" w:line="240" w:lineRule="auto"/>
        <w:jc w:val="both"/>
        <w:rPr>
          <w:rFonts w:ascii="Times New Roman" w:hAnsi="Times New Roman"/>
          <w:color w:val="000000" w:themeColor="text1"/>
          <w:sz w:val="16"/>
          <w:szCs w:val="16"/>
        </w:rPr>
      </w:pPr>
    </w:p>
    <w:p w14:paraId="5422258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05E90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CAAF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закончились гос. испытания головного серийного АНТ-7 Р-6 производства 22 завода N 2201, которые начались 5 октября 1931 (1017,198). Решили, что может быть эталоном на 1932 (1017,204).</w:t>
      </w:r>
    </w:p>
    <w:p w14:paraId="48B9C8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это было 3 ноября 1931</w:t>
      </w:r>
    </w:p>
    <w:p w14:paraId="1A40B0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C4BA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на заседании РВС (</w:t>
      </w:r>
      <w:proofErr w:type="spellStart"/>
      <w:r w:rsidRPr="007122AB">
        <w:rPr>
          <w:rFonts w:ascii="Times New Roman" w:hAnsi="Times New Roman"/>
          <w:color w:val="000000" w:themeColor="text1"/>
          <w:sz w:val="16"/>
          <w:szCs w:val="16"/>
        </w:rPr>
        <w:t>прот</w:t>
      </w:r>
      <w:proofErr w:type="spellEnd"/>
      <w:r w:rsidRPr="007122AB">
        <w:rPr>
          <w:rFonts w:ascii="Times New Roman" w:hAnsi="Times New Roman"/>
          <w:color w:val="000000" w:themeColor="text1"/>
          <w:sz w:val="16"/>
          <w:szCs w:val="16"/>
        </w:rPr>
        <w:t xml:space="preserve">. 40) по докладу </w:t>
      </w:r>
      <w:proofErr w:type="spellStart"/>
      <w:r w:rsidRPr="007122AB">
        <w:rPr>
          <w:rFonts w:ascii="Times New Roman" w:hAnsi="Times New Roman"/>
          <w:color w:val="000000" w:themeColor="text1"/>
          <w:sz w:val="16"/>
          <w:szCs w:val="16"/>
        </w:rPr>
        <w:t>Я.И.Алксниса</w:t>
      </w:r>
      <w:proofErr w:type="spellEnd"/>
      <w:r w:rsidRPr="007122AB">
        <w:rPr>
          <w:rFonts w:ascii="Times New Roman" w:hAnsi="Times New Roman"/>
          <w:color w:val="000000" w:themeColor="text1"/>
          <w:sz w:val="16"/>
          <w:szCs w:val="16"/>
        </w:rPr>
        <w:t xml:space="preserve"> рассмотрели вопрос "О конструировании машины для полетов на предельную дальность" Хотели организовать летом 1932 на 13 тыс. км на самолете советской конструкции с мотором советской конструкции. Утвердили предложения нач. ВВС о постройке специального рекордного самолета по проекту А.Н.Т. (2 экз. АНТ-25 под М-34). Организацию перелета возложили на нач. ВВС, а постройку - на ВАО (1028,147).</w:t>
      </w:r>
    </w:p>
    <w:p w14:paraId="1C42DC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конструировании машины для полетов на предельную дальность.</w:t>
      </w:r>
    </w:p>
    <w:p w14:paraId="4C00B8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Признать необходимым организовать летом 1932 года (не позже августа) полет на дальность 13000 км на самолете и моторе советской конструкции и производства.</w:t>
      </w:r>
    </w:p>
    <w:p w14:paraId="52A11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Утвердить предложение начальника ВВС о постройке для этой цели специального рекордного самолета на дальность 13000 км по проекту Туполева (2 экз. АНТ-25) под мотор М-34 с редуктором (3531,4).</w:t>
      </w:r>
    </w:p>
    <w:p w14:paraId="0A2AE0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FB24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года выписка из протокола № 40 заседания РВС</w:t>
      </w:r>
    </w:p>
    <w:p w14:paraId="22C708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О конструировании машины для полетов на предельную дальность.</w:t>
      </w:r>
    </w:p>
    <w:p w14:paraId="48A4B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Докл</w:t>
      </w:r>
      <w:proofErr w:type="spellEnd"/>
      <w:r w:rsidRPr="007122AB">
        <w:rPr>
          <w:rFonts w:ascii="Times New Roman" w:hAnsi="Times New Roman"/>
          <w:color w:val="000000" w:themeColor="text1"/>
          <w:sz w:val="16"/>
          <w:szCs w:val="16"/>
        </w:rPr>
        <w:t>. Алкснис.</w:t>
      </w:r>
    </w:p>
    <w:p w14:paraId="7318CD39"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Признать необходимым организовать летом 1932 года (не позже августа) полет на </w:t>
      </w:r>
      <w:proofErr w:type="spellStart"/>
      <w:r w:rsidRPr="007122AB">
        <w:rPr>
          <w:rFonts w:ascii="Times New Roman" w:hAnsi="Times New Roman"/>
          <w:color w:val="000000" w:themeColor="text1"/>
          <w:sz w:val="16"/>
          <w:szCs w:val="16"/>
        </w:rPr>
        <w:t>адльность</w:t>
      </w:r>
      <w:proofErr w:type="spellEnd"/>
      <w:r w:rsidRPr="007122AB">
        <w:rPr>
          <w:rFonts w:ascii="Times New Roman" w:hAnsi="Times New Roman"/>
          <w:color w:val="000000" w:themeColor="text1"/>
          <w:sz w:val="16"/>
          <w:szCs w:val="16"/>
        </w:rPr>
        <w:t xml:space="preserve"> 13 тыс. км на самолете и моторе советской конструкции и производства.</w:t>
      </w:r>
    </w:p>
    <w:p w14:paraId="198606C2"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Утвердить предложение начальника ВВС о постройке для этой цели специального рекордного самолета на дальность 13 тыс. км по проекту А.Н. Туполева (2 экз. АНТ-25) под мотор М-34 с редуктором.</w:t>
      </w:r>
    </w:p>
    <w:p w14:paraId="45BE0E7A"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Организацию и подготовку полета возложить на начальника ВВС, а постройку специального рекордного самолета – на ВАО.</w:t>
      </w:r>
    </w:p>
    <w:p w14:paraId="273E3B8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Настоящее постановление внести на утверждение Комиссии обороны (3432, 7).</w:t>
      </w:r>
    </w:p>
    <w:p w14:paraId="197EA8C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89FB4D8" w14:textId="77777777" w:rsidR="00181C0F" w:rsidRPr="007122AB" w:rsidRDefault="00181C0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3 декабря 1931 года Реввоенсовет СССР по докладу Я.И. Алксниса, незадолго перед тем сменившего П.И. Баранова на посту начальника ВВС РККА, выдвинул предложение создать самолет, способный преодолеть без посадки 13 тысяч километров (мировой рекорд дальности тогда составлял чуть более 9 тысяч километров). Расстояние, названное Алкснисом, было не случайным, сопоставимым с протяженностью морского пути из Архангельска во Владивосток — свыше 12 тысяч километров.</w:t>
      </w:r>
    </w:p>
    <w:p w14:paraId="11E99C29" w14:textId="77777777" w:rsidR="00181C0F" w:rsidRPr="007122AB" w:rsidRDefault="00181C0F"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следующий день приглашенный на продолжение обсуждения вопроса авиаконструктор и заместитель директора ЦАГИ А.Н. Туполев стал доказывать, что проектируемый им самолет АНТ-25 рассчитывается на беспосадочный полет в 9—10 тысяч километров. Однако председательствовавший на заседании Я.Б. Гамарник, лишь полтора года назад сменивший работу профессионального партийного руководителя на должность начальника Политуправления армии и флота — заместителя председателя Реввоенсовета, оказался глух к доводам конструктора и потребовал в кратчайший срок довести дальность полета до 13 тысяч километров. А заодно предложил назвать новую машину не иначе как РД — рекорд дальности. 7 декабря предложение Реввоенсовета утвердила комиссия обороны, назначив завершение всех работ и испытательный полет на лето 1932 года (20467).</w:t>
      </w:r>
    </w:p>
    <w:p w14:paraId="4A1894A1" w14:textId="77777777" w:rsidR="00181C0F" w:rsidRPr="007122AB" w:rsidRDefault="00181C0F" w:rsidP="007122AB">
      <w:pPr>
        <w:spacing w:after="0" w:line="240" w:lineRule="auto"/>
        <w:jc w:val="both"/>
        <w:rPr>
          <w:rFonts w:ascii="Times New Roman" w:hAnsi="Times New Roman"/>
          <w:color w:val="000000" w:themeColor="text1"/>
          <w:sz w:val="16"/>
          <w:szCs w:val="16"/>
        </w:rPr>
      </w:pPr>
    </w:p>
    <w:p w14:paraId="2B1C8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3 декабря 1931 по 25 февраля 1932 проходили специальные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w:t>
      </w:r>
      <w:proofErr w:type="spellStart"/>
      <w:r w:rsidRPr="007122AB">
        <w:rPr>
          <w:rFonts w:ascii="Times New Roman" w:hAnsi="Times New Roman"/>
          <w:color w:val="000000" w:themeColor="text1"/>
          <w:sz w:val="16"/>
          <w:szCs w:val="16"/>
        </w:rPr>
        <w:t>диам</w:t>
      </w:r>
      <w:proofErr w:type="spellEnd"/>
      <w:r w:rsidRPr="007122AB">
        <w:rPr>
          <w:rFonts w:ascii="Times New Roman" w:hAnsi="Times New Roman"/>
          <w:color w:val="000000" w:themeColor="text1"/>
          <w:sz w:val="16"/>
          <w:szCs w:val="16"/>
        </w:rPr>
        <w:t>. 3,3, шаг 2,42 м.</w:t>
      </w:r>
    </w:p>
    <w:p w14:paraId="007975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проводили летчики-сдатчики Лозовский и Моисеев.</w:t>
      </w:r>
    </w:p>
    <w:p w14:paraId="4E9E82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Серия N 8 состоит из 35 самолетов с N 725 по N 760 включительно.</w:t>
      </w:r>
    </w:p>
    <w:p w14:paraId="320BD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0A7AA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1E58A1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В воздухе испытано 35 самолетов.</w:t>
      </w:r>
    </w:p>
    <w:p w14:paraId="49395C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Из них на высоту - 13 самолетов.</w:t>
      </w:r>
    </w:p>
    <w:p w14:paraId="3899F9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 На продолжительность - 22 самолета</w:t>
      </w:r>
    </w:p>
    <w:p w14:paraId="05F69B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 (2995).</w:t>
      </w:r>
    </w:p>
    <w:p w14:paraId="60B3F4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ADA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(3 - 91,35) декабре 1931 состоялся полет звена </w:t>
      </w:r>
      <w:proofErr w:type="spellStart"/>
      <w:r w:rsidRPr="007122AB">
        <w:rPr>
          <w:rFonts w:ascii="Times New Roman" w:hAnsi="Times New Roman"/>
          <w:color w:val="000000" w:themeColor="text1"/>
          <w:sz w:val="16"/>
          <w:szCs w:val="16"/>
        </w:rPr>
        <w:t>В.С.Вахмистрова</w:t>
      </w:r>
      <w:proofErr w:type="spellEnd"/>
      <w:r w:rsidRPr="007122AB">
        <w:rPr>
          <w:rFonts w:ascii="Times New Roman" w:hAnsi="Times New Roman"/>
          <w:color w:val="000000" w:themeColor="text1"/>
          <w:sz w:val="16"/>
          <w:szCs w:val="16"/>
        </w:rPr>
        <w:t xml:space="preserve">: ТБ-1 плюс 2 И-4 снизу (85,38) Пилотировали </w:t>
      </w:r>
      <w:proofErr w:type="spellStart"/>
      <w:r w:rsidRPr="007122AB">
        <w:rPr>
          <w:rFonts w:ascii="Times New Roman" w:hAnsi="Times New Roman"/>
          <w:color w:val="000000" w:themeColor="text1"/>
          <w:sz w:val="16"/>
          <w:szCs w:val="16"/>
        </w:rPr>
        <w:t>В.П.Чкалов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А.Р.Шарапов</w:t>
      </w:r>
      <w:proofErr w:type="spellEnd"/>
      <w:r w:rsidRPr="007122AB">
        <w:rPr>
          <w:rFonts w:ascii="Times New Roman" w:hAnsi="Times New Roman"/>
          <w:color w:val="000000" w:themeColor="text1"/>
          <w:sz w:val="16"/>
          <w:szCs w:val="16"/>
        </w:rPr>
        <w:t xml:space="preserve"> (88,106). И-4 был с нижним крылом, укороченным на 0.5 м с каждой стороны (92,344).</w:t>
      </w:r>
    </w:p>
    <w:p w14:paraId="0B2F60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проходили до 8 апреля 1932 (372,38).</w:t>
      </w:r>
    </w:p>
    <w:p w14:paraId="3383F9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это было на год раньше.</w:t>
      </w:r>
    </w:p>
    <w:p w14:paraId="68F597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Видел фото с И-5 - много на ТБ-3 (АНТ-6).</w:t>
      </w:r>
    </w:p>
    <w:p w14:paraId="30CF47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Резолюция </w:t>
      </w:r>
      <w:proofErr w:type="spellStart"/>
      <w:r w:rsidRPr="007122AB">
        <w:rPr>
          <w:rFonts w:ascii="Times New Roman" w:hAnsi="Times New Roman"/>
          <w:color w:val="000000" w:themeColor="text1"/>
          <w:sz w:val="16"/>
          <w:szCs w:val="16"/>
        </w:rPr>
        <w:t>М.Н.Тухачевского</w:t>
      </w:r>
      <w:proofErr w:type="spellEnd"/>
      <w:r w:rsidRPr="007122AB">
        <w:rPr>
          <w:rFonts w:ascii="Times New Roman" w:hAnsi="Times New Roman"/>
          <w:color w:val="000000" w:themeColor="text1"/>
          <w:sz w:val="16"/>
          <w:szCs w:val="16"/>
        </w:rPr>
        <w:t xml:space="preserve"> (от 19 декабря 1931 - 375,37) на отчете об испытаниях "т. Алкснис. Это крупное изобретение. Надо сделать расчет на полет ТБ-1 и ТБ-3 (АНТ-6) с радиусом 800-1200 км с тем, чтобы учесть общую эффективность звена" (237,162).</w:t>
      </w:r>
    </w:p>
    <w:p w14:paraId="1B0674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B368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г. на аэродроме 17-й авиабригады в Монино состоялось первое испытание системы «СЗ-1» Вахмистрова. После того, как аэродромная команда закатила на крыло ТБ-1 истребители и закрепила их, провели тщательную проверку всех соединений и пе</w:t>
      </w:r>
      <w:r w:rsidRPr="007122AB">
        <w:rPr>
          <w:rFonts w:ascii="Times New Roman" w:hAnsi="Times New Roman"/>
          <w:color w:val="000000" w:themeColor="text1"/>
          <w:sz w:val="16"/>
          <w:szCs w:val="16"/>
        </w:rPr>
        <w:softHyphen/>
        <w:t>решли к пробежкам на различных режимах работы всех двигателей. В 14 ч 30 мин был произведен первый взлет СЗ-1, стартовая масса которого составила 8180 кг (ТБ-1 — 5640 кг + два И-4 по 1270 кг). На командир</w:t>
      </w:r>
      <w:r w:rsidRPr="007122AB">
        <w:rPr>
          <w:rFonts w:ascii="Times New Roman" w:hAnsi="Times New Roman"/>
          <w:color w:val="000000" w:themeColor="text1"/>
          <w:sz w:val="16"/>
          <w:szCs w:val="16"/>
        </w:rPr>
        <w:softHyphen/>
        <w:t xml:space="preserve">ском кресле ТБ-1 находился летчик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правое сиденье занимал Андрей Шарапов, Вахмистров и инженер Морозов разместились на местах стрелков. Левый И-4 пилотировал Валерий Чкалов, правый — Александр Анисимов. Взлет СЗ-1 произо</w:t>
      </w:r>
      <w:r w:rsidRPr="007122AB">
        <w:rPr>
          <w:rFonts w:ascii="Times New Roman" w:hAnsi="Times New Roman"/>
          <w:color w:val="000000" w:themeColor="text1"/>
          <w:sz w:val="16"/>
          <w:szCs w:val="16"/>
        </w:rPr>
        <w:softHyphen/>
        <w:t>шел на скорости 140 км/ч без осложнений, вибраций и излишних нагрузок на органы уп</w:t>
      </w:r>
      <w:r w:rsidRPr="007122AB">
        <w:rPr>
          <w:rFonts w:ascii="Times New Roman" w:hAnsi="Times New Roman"/>
          <w:color w:val="000000" w:themeColor="text1"/>
          <w:sz w:val="16"/>
          <w:szCs w:val="16"/>
        </w:rPr>
        <w:softHyphen/>
        <w:t>равления испытатели не отметили. На высо</w:t>
      </w:r>
      <w:r w:rsidRPr="007122AB">
        <w:rPr>
          <w:rFonts w:ascii="Times New Roman" w:hAnsi="Times New Roman"/>
          <w:color w:val="000000" w:themeColor="text1"/>
          <w:sz w:val="16"/>
          <w:szCs w:val="16"/>
        </w:rPr>
        <w:softHyphen/>
        <w:t>те 1000 м при скорости 160 км/ч было произ</w:t>
      </w:r>
      <w:r w:rsidRPr="007122AB">
        <w:rPr>
          <w:rFonts w:ascii="Times New Roman" w:hAnsi="Times New Roman"/>
          <w:color w:val="000000" w:themeColor="text1"/>
          <w:sz w:val="16"/>
          <w:szCs w:val="16"/>
        </w:rPr>
        <w:softHyphen/>
        <w:t>ведено первое разделение истребителей и носителя. И-4 Анисимова отцепился с под</w:t>
      </w:r>
      <w:r w:rsidRPr="007122AB">
        <w:rPr>
          <w:rFonts w:ascii="Times New Roman" w:hAnsi="Times New Roman"/>
          <w:color w:val="000000" w:themeColor="text1"/>
          <w:sz w:val="16"/>
          <w:szCs w:val="16"/>
        </w:rPr>
        <w:softHyphen/>
        <w:t>нятым хвостом, не имея достаточной по</w:t>
      </w:r>
      <w:r w:rsidRPr="007122AB">
        <w:rPr>
          <w:rFonts w:ascii="Times New Roman" w:hAnsi="Times New Roman"/>
          <w:color w:val="000000" w:themeColor="text1"/>
          <w:sz w:val="16"/>
          <w:szCs w:val="16"/>
        </w:rPr>
        <w:softHyphen/>
        <w:t>дъемной силы, поэтому соскочил с пирамид, ударился колесом о крыло ТБ-1 в районе третьего лонжерона и пробил обшивку. При этом воздушный винт зацепил пирамиду, в результате чего и лопасть винта, и пирамида оказались повреждены. Тем не менее, экс</w:t>
      </w:r>
      <w:r w:rsidRPr="007122AB">
        <w:rPr>
          <w:rFonts w:ascii="Times New Roman" w:hAnsi="Times New Roman"/>
          <w:color w:val="000000" w:themeColor="text1"/>
          <w:sz w:val="16"/>
          <w:szCs w:val="16"/>
        </w:rPr>
        <w:softHyphen/>
        <w:t xml:space="preserve">перимент завершился благополучно — все 3 самолета приземлились на </w:t>
      </w:r>
      <w:proofErr w:type="spellStart"/>
      <w:r w:rsidRPr="007122AB">
        <w:rPr>
          <w:rFonts w:ascii="Times New Roman" w:hAnsi="Times New Roman"/>
          <w:color w:val="000000" w:themeColor="text1"/>
          <w:sz w:val="16"/>
          <w:szCs w:val="16"/>
        </w:rPr>
        <w:t>Монинском</w:t>
      </w:r>
      <w:proofErr w:type="spellEnd"/>
      <w:r w:rsidRPr="007122AB">
        <w:rPr>
          <w:rFonts w:ascii="Times New Roman" w:hAnsi="Times New Roman"/>
          <w:color w:val="000000" w:themeColor="text1"/>
          <w:sz w:val="16"/>
          <w:szCs w:val="16"/>
        </w:rPr>
        <w:t xml:space="preserve"> аэ</w:t>
      </w:r>
      <w:r w:rsidRPr="007122AB">
        <w:rPr>
          <w:rFonts w:ascii="Times New Roman" w:hAnsi="Times New Roman"/>
          <w:color w:val="000000" w:themeColor="text1"/>
          <w:sz w:val="16"/>
          <w:szCs w:val="16"/>
        </w:rPr>
        <w:softHyphen/>
        <w:t>родроме. Именно так событие представили в официальном отчете по испытаниям СЗ-1, подписанном лично Вахмистровым.</w:t>
      </w:r>
    </w:p>
    <w:p w14:paraId="3AAF42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Летчик-испытатель П.М. Стефановский несколько по-иному описал произошед</w:t>
      </w:r>
      <w:r w:rsidRPr="007122AB">
        <w:rPr>
          <w:rFonts w:ascii="Times New Roman" w:hAnsi="Times New Roman"/>
          <w:color w:val="000000" w:themeColor="text1"/>
          <w:sz w:val="16"/>
          <w:szCs w:val="16"/>
        </w:rPr>
        <w:softHyphen/>
        <w:t>шее. «Соединенные самолеты взлетели хо</w:t>
      </w:r>
      <w:r w:rsidRPr="007122AB">
        <w:rPr>
          <w:rFonts w:ascii="Times New Roman" w:hAnsi="Times New Roman"/>
          <w:color w:val="000000" w:themeColor="text1"/>
          <w:sz w:val="16"/>
          <w:szCs w:val="16"/>
        </w:rPr>
        <w:softHyphen/>
        <w:t>рошо и перешли в набор. На расчетной вы</w:t>
      </w:r>
      <w:r w:rsidRPr="007122AB">
        <w:rPr>
          <w:rFonts w:ascii="Times New Roman" w:hAnsi="Times New Roman"/>
          <w:color w:val="000000" w:themeColor="text1"/>
          <w:sz w:val="16"/>
          <w:szCs w:val="16"/>
        </w:rPr>
        <w:softHyphen/>
        <w:t xml:space="preserve">соте в строго установленное время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подал Шарапову сигнал — отцепить истребители. Следовало сначала открыть задние замки, чтобы освободить хвост И-4, затем — передние: дать им возможность обрести самостоятельную подъемную силу и отделиться от бомбардировщика. Рукоят</w:t>
      </w:r>
      <w:r w:rsidRPr="007122AB">
        <w:rPr>
          <w:rFonts w:ascii="Times New Roman" w:hAnsi="Times New Roman"/>
          <w:color w:val="000000" w:themeColor="text1"/>
          <w:sz w:val="16"/>
          <w:szCs w:val="16"/>
        </w:rPr>
        <w:softHyphen/>
        <w:t>ки, с помощью которых открывались перед</w:t>
      </w:r>
      <w:r w:rsidRPr="007122AB">
        <w:rPr>
          <w:rFonts w:ascii="Times New Roman" w:hAnsi="Times New Roman"/>
          <w:color w:val="000000" w:themeColor="text1"/>
          <w:sz w:val="16"/>
          <w:szCs w:val="16"/>
        </w:rPr>
        <w:softHyphen/>
        <w:t>ние замки, располагались внизу, в проходе между первым и вторым летчиками. И Анд</w:t>
      </w:r>
      <w:r w:rsidRPr="007122AB">
        <w:rPr>
          <w:rFonts w:ascii="Times New Roman" w:hAnsi="Times New Roman"/>
          <w:color w:val="000000" w:themeColor="text1"/>
          <w:sz w:val="16"/>
          <w:szCs w:val="16"/>
        </w:rPr>
        <w:softHyphen/>
        <w:t>рей поторопился: на самолете Чкалова он раньше заднего замка открыл передние.</w:t>
      </w:r>
    </w:p>
    <w:p w14:paraId="7096703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Чкалов тут же почувствовал: хотя шасси и освобождено, хвост по-прежнему «на при</w:t>
      </w:r>
      <w:r w:rsidRPr="007122AB">
        <w:rPr>
          <w:rFonts w:ascii="Times New Roman" w:hAnsi="Times New Roman"/>
          <w:color w:val="000000" w:themeColor="text1"/>
          <w:sz w:val="16"/>
          <w:szCs w:val="16"/>
        </w:rPr>
        <w:softHyphen/>
        <w:t>вязи». Стремительно растет подъемная си</w:t>
      </w:r>
      <w:r w:rsidRPr="007122AB">
        <w:rPr>
          <w:rFonts w:ascii="Times New Roman" w:hAnsi="Times New Roman"/>
          <w:color w:val="000000" w:themeColor="text1"/>
          <w:sz w:val="16"/>
          <w:szCs w:val="16"/>
        </w:rPr>
        <w:softHyphen/>
        <w:t>ла. Сейчас последует петля вокруг закреп</w:t>
      </w:r>
      <w:r w:rsidRPr="007122AB">
        <w:rPr>
          <w:rFonts w:ascii="Times New Roman" w:hAnsi="Times New Roman"/>
          <w:color w:val="000000" w:themeColor="text1"/>
          <w:sz w:val="16"/>
          <w:szCs w:val="16"/>
        </w:rPr>
        <w:softHyphen/>
        <w:t>ленного хвоста и... Валерий Павлович мгно</w:t>
      </w:r>
      <w:r w:rsidRPr="007122AB">
        <w:rPr>
          <w:rFonts w:ascii="Times New Roman" w:hAnsi="Times New Roman"/>
          <w:color w:val="000000" w:themeColor="text1"/>
          <w:sz w:val="16"/>
          <w:szCs w:val="16"/>
        </w:rPr>
        <w:softHyphen/>
        <w:t>венно оценил создавшееся положение и немедленно среагировал. Он резко дал ру</w:t>
      </w:r>
      <w:r w:rsidRPr="007122AB">
        <w:rPr>
          <w:rFonts w:ascii="Times New Roman" w:hAnsi="Times New Roman"/>
          <w:color w:val="000000" w:themeColor="text1"/>
          <w:sz w:val="16"/>
          <w:szCs w:val="16"/>
        </w:rPr>
        <w:softHyphen/>
        <w:t>ля, открыл крепление заднего замка и, силь</w:t>
      </w:r>
      <w:r w:rsidRPr="007122AB">
        <w:rPr>
          <w:rFonts w:ascii="Times New Roman" w:hAnsi="Times New Roman"/>
          <w:color w:val="000000" w:themeColor="text1"/>
          <w:sz w:val="16"/>
          <w:szCs w:val="16"/>
        </w:rPr>
        <w:softHyphen/>
        <w:t>но вогнув колесами верхнюю обшивку бом</w:t>
      </w:r>
      <w:r w:rsidRPr="007122AB">
        <w:rPr>
          <w:rFonts w:ascii="Times New Roman" w:hAnsi="Times New Roman"/>
          <w:color w:val="000000" w:themeColor="text1"/>
          <w:sz w:val="16"/>
          <w:szCs w:val="16"/>
        </w:rPr>
        <w:softHyphen/>
        <w:t>бардировщика, унесся в свободный полет.</w:t>
      </w:r>
    </w:p>
    <w:p w14:paraId="565C51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Анисимова все еще нахо</w:t>
      </w:r>
      <w:r w:rsidRPr="007122AB">
        <w:rPr>
          <w:rFonts w:ascii="Times New Roman" w:hAnsi="Times New Roman"/>
          <w:color w:val="000000" w:themeColor="text1"/>
          <w:sz w:val="16"/>
          <w:szCs w:val="16"/>
        </w:rPr>
        <w:softHyphen/>
        <w:t>дился на крыле бомбардировщика. Вопре</w:t>
      </w:r>
      <w:r w:rsidRPr="007122AB">
        <w:rPr>
          <w:rFonts w:ascii="Times New Roman" w:hAnsi="Times New Roman"/>
          <w:color w:val="000000" w:themeColor="text1"/>
          <w:sz w:val="16"/>
          <w:szCs w:val="16"/>
        </w:rPr>
        <w:softHyphen/>
        <w:t>ки ранее высказанным опасениям, ТБ-1 сохранял вполне достаточную управляе</w:t>
      </w:r>
      <w:r w:rsidRPr="007122AB">
        <w:rPr>
          <w:rFonts w:ascii="Times New Roman" w:hAnsi="Times New Roman"/>
          <w:color w:val="000000" w:themeColor="text1"/>
          <w:sz w:val="16"/>
          <w:szCs w:val="16"/>
        </w:rPr>
        <w:softHyphen/>
        <w:t>мость. Поэтому последняя задача испыта</w:t>
      </w:r>
      <w:r w:rsidRPr="007122AB">
        <w:rPr>
          <w:rFonts w:ascii="Times New Roman" w:hAnsi="Times New Roman"/>
          <w:color w:val="000000" w:themeColor="text1"/>
          <w:sz w:val="16"/>
          <w:szCs w:val="16"/>
        </w:rPr>
        <w:softHyphen/>
        <w:t>ний оказалась выполненной в числе пер</w:t>
      </w:r>
      <w:r w:rsidRPr="007122AB">
        <w:rPr>
          <w:rFonts w:ascii="Times New Roman" w:hAnsi="Times New Roman"/>
          <w:color w:val="000000" w:themeColor="text1"/>
          <w:sz w:val="16"/>
          <w:szCs w:val="16"/>
        </w:rPr>
        <w:softHyphen/>
        <w:t>вых. При отцеплении самолета Анисимова Шарапов действовал уже хладнокровно. Разъединение прошло благополучно.</w:t>
      </w:r>
    </w:p>
    <w:p w14:paraId="2EAE076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Владимир Сергеевич Вахмистров после этого полета затаил некоторую неприязнь к Андрею Шарапову. Хотя сам убедился, что в конструкции нужно произвести ряд переде</w:t>
      </w:r>
      <w:r w:rsidRPr="007122AB">
        <w:rPr>
          <w:rFonts w:ascii="Times New Roman" w:hAnsi="Times New Roman"/>
          <w:color w:val="000000" w:themeColor="text1"/>
          <w:sz w:val="16"/>
          <w:szCs w:val="16"/>
        </w:rPr>
        <w:softHyphen/>
        <w:t>лок. Прежде всего, механизм разъедине</w:t>
      </w:r>
      <w:r w:rsidRPr="007122AB">
        <w:rPr>
          <w:rFonts w:ascii="Times New Roman" w:hAnsi="Times New Roman"/>
          <w:color w:val="000000" w:themeColor="text1"/>
          <w:sz w:val="16"/>
          <w:szCs w:val="16"/>
        </w:rPr>
        <w:softHyphen/>
        <w:t>ния самолетов он перенес в кабины истребителя. Стоило только взять на себя ручку управления. Пе</w:t>
      </w:r>
      <w:r w:rsidRPr="007122AB">
        <w:rPr>
          <w:rFonts w:ascii="Times New Roman" w:hAnsi="Times New Roman"/>
          <w:color w:val="000000" w:themeColor="text1"/>
          <w:sz w:val="16"/>
          <w:szCs w:val="16"/>
        </w:rPr>
        <w:softHyphen/>
        <w:t>редние крепления сразу размыкались, и истребители, оторвавшись от плоскости ТБ-1, поднимались метров на десять вверх, несколько отставая от бомбардировщика» (11286).</w:t>
      </w:r>
    </w:p>
    <w:p w14:paraId="655E53E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5B72E" w14:textId="77777777" w:rsidR="00484B32" w:rsidRPr="007122AB" w:rsidRDefault="00484B32"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3 декабря 1931 г. в Монино состоялся первый полет «Звена-1». Перед накаткой на крыло моторы И-4 предварительно прогрели. Командиром ТБ-1 являлся А.И. </w:t>
      </w:r>
      <w:proofErr w:type="spellStart"/>
      <w:r w:rsidRPr="007122AB">
        <w:rPr>
          <w:rFonts w:ascii="Times New Roman" w:hAnsi="Times New Roman" w:cs="Times New Roman"/>
          <w:color w:val="000000" w:themeColor="text1"/>
        </w:rPr>
        <w:t>Залевский</w:t>
      </w:r>
      <w:proofErr w:type="spellEnd"/>
      <w:r w:rsidRPr="007122AB">
        <w:rPr>
          <w:rFonts w:ascii="Times New Roman" w:hAnsi="Times New Roman" w:cs="Times New Roman"/>
          <w:color w:val="000000" w:themeColor="text1"/>
        </w:rPr>
        <w:t>, вторым пилотом - А.Р. Шарапов. На месте бортмеханика находился инженер В.В. Морозов. В документах Вахмистров записан оператором расцепки, но сидел он в кабине стрелков и мог только наблюдать за процессом. Левый истребитель пилотировал В.П. Чкалов, правый - А.Ф. Анисимов.</w:t>
      </w:r>
    </w:p>
    <w:p w14:paraId="32115FFD" w14:textId="77777777" w:rsidR="00484B32" w:rsidRPr="007122AB" w:rsidRDefault="00484B32"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Бомбардировщик сначала немного порулил только на своих двигателях. Затем еще раз все проверили и, наконец, «звено» двинулось к линии старта при всех работающих моторах. Взлетели нормально и постепенно набрали высоту 1000 м. Здесь истребителям предстояло отделиться. Их летчики открыли задние замки и постарались придать самолетам необходимое для старта горизонтальное положение, работая рулями. Шарапов открыл замки на «пауке» левого И-4. Чкалов успешно отделился от носителя и ушел вверх и во внешнюю сторону, как и намечалось. У Анисимова операция прошла не столь благополучно. Когда замки «паука» сработали, у его машины хвост оказался приподнят. Истребитель ударил колесами по крылу в районе третьего лонжерона, пробил гофрированную обшивку, а винтом ударил по «пауку». Одна из стоек последнего помялась, а пропеллер лишился кончиков лопастей. Но все обошлось благополучно. Второй И-4 тоже успешно отделился от носителя. Вся группа сделала круг и зашла на посадку.</w:t>
      </w:r>
    </w:p>
    <w:p w14:paraId="5F9C458C" w14:textId="77777777" w:rsidR="00484B32" w:rsidRPr="007122AB" w:rsidRDefault="00484B32"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 xml:space="preserve">На земле летчиков встречали как победителей. Из НИИ ВВС отправили рапорт наркому по военным и морским делам К.Е. Ворошилову. В нем принятыми в те годы цветистыми выражениями говорилось: «САМОЛЕТ-ЗВЕНО построен под общим руководством инженера Вахмистрова совместными силами работников НИИ ВВС и КОСОС ЦАГИ к 14-й годовщине Октябрьской Революции... Отмечая с великой радостью эту победу советской авиационной техники, мы шлем пламенный привет вождю Красной Армии </w:t>
      </w:r>
      <w:proofErr w:type="spellStart"/>
      <w:r w:rsidRPr="007122AB">
        <w:rPr>
          <w:rFonts w:ascii="Times New Roman" w:hAnsi="Times New Roman" w:cs="Times New Roman"/>
          <w:color w:val="000000" w:themeColor="text1"/>
        </w:rPr>
        <w:t>Климен</w:t>
      </w:r>
      <w:proofErr w:type="spellEnd"/>
      <w:r w:rsidRPr="007122AB">
        <w:rPr>
          <w:rFonts w:ascii="Times New Roman" w:hAnsi="Times New Roman" w:cs="Times New Roman"/>
          <w:color w:val="000000" w:themeColor="text1"/>
        </w:rPr>
        <w:t xml:space="preserve">- </w:t>
      </w:r>
      <w:proofErr w:type="spellStart"/>
      <w:r w:rsidRPr="007122AB">
        <w:rPr>
          <w:rFonts w:ascii="Times New Roman" w:hAnsi="Times New Roman" w:cs="Times New Roman"/>
          <w:color w:val="000000" w:themeColor="text1"/>
        </w:rPr>
        <w:t>тию</w:t>
      </w:r>
      <w:proofErr w:type="spellEnd"/>
      <w:r w:rsidRPr="007122AB">
        <w:rPr>
          <w:rFonts w:ascii="Times New Roman" w:hAnsi="Times New Roman" w:cs="Times New Roman"/>
          <w:color w:val="000000" w:themeColor="text1"/>
        </w:rPr>
        <w:t xml:space="preserve"> Ефремовичу Ворошилову и Революционному Военному Совету СССР и просим принять от нас подарок Воздушному Флоту — САМОЛЕТ-ЗВЕНО» (19100).</w:t>
      </w:r>
    </w:p>
    <w:p w14:paraId="0925077F" w14:textId="77777777" w:rsidR="00484B32" w:rsidRPr="007122AB" w:rsidRDefault="00484B32" w:rsidP="007122AB">
      <w:pPr>
        <w:pStyle w:val="a8"/>
        <w:jc w:val="both"/>
        <w:rPr>
          <w:rFonts w:ascii="Times New Roman" w:hAnsi="Times New Roman" w:cs="Times New Roman"/>
          <w:color w:val="000000" w:themeColor="text1"/>
        </w:rPr>
      </w:pPr>
    </w:p>
    <w:p w14:paraId="7AE11FDE"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декабря 1931 года на аэродроме 17-й авиа</w:t>
      </w:r>
      <w:r w:rsidRPr="00441F34">
        <w:rPr>
          <w:rFonts w:ascii="Times New Roman" w:hAnsi="Times New Roman"/>
          <w:color w:val="0070C0"/>
          <w:sz w:val="16"/>
          <w:szCs w:val="16"/>
        </w:rPr>
        <w:softHyphen/>
        <w:t>бригады в подмосковном Монино со</w:t>
      </w:r>
      <w:r w:rsidRPr="00441F34">
        <w:rPr>
          <w:rFonts w:ascii="Times New Roman" w:hAnsi="Times New Roman"/>
          <w:color w:val="0070C0"/>
          <w:sz w:val="16"/>
          <w:szCs w:val="16"/>
        </w:rPr>
        <w:softHyphen/>
        <w:t>стоялось первое испытание воздушного соединения, полу</w:t>
      </w:r>
      <w:r w:rsidRPr="00441F34">
        <w:rPr>
          <w:rFonts w:ascii="Times New Roman" w:hAnsi="Times New Roman"/>
          <w:color w:val="0070C0"/>
          <w:sz w:val="16"/>
          <w:szCs w:val="16"/>
        </w:rPr>
        <w:softHyphen/>
        <w:t>чившего наименование «Самолет-Звено-1» (СЗ-1). Первым делом при стоянке на земле были запущены и прогреты двигате</w:t>
      </w:r>
      <w:r w:rsidRPr="00441F34">
        <w:rPr>
          <w:rFonts w:ascii="Times New Roman" w:hAnsi="Times New Roman"/>
          <w:color w:val="0070C0"/>
          <w:sz w:val="16"/>
          <w:szCs w:val="16"/>
        </w:rPr>
        <w:softHyphen/>
        <w:t>ли обоих истребителей И-4, после чего аэродромная команда по наклонной рампе закатила их на крыло ТБ-1. После соединения всех систем и последующей их тщательной проверки начались пробежки по аэро</w:t>
      </w:r>
      <w:r w:rsidRPr="00441F34">
        <w:rPr>
          <w:rFonts w:ascii="Times New Roman" w:hAnsi="Times New Roman"/>
          <w:color w:val="0070C0"/>
          <w:sz w:val="16"/>
          <w:szCs w:val="16"/>
        </w:rPr>
        <w:softHyphen/>
        <w:t xml:space="preserve">дрому на различных режимах работы двигателей. В 14 часов 30 минут был произведен первый взлет СЗ-1, стартовый вес которого составил 8180 кг (ТБ-1 5640 кг + 2 И-4 2х1270 кг). В ТБ-1 на левом командирском кресле находился летчик Адам </w:t>
      </w:r>
      <w:proofErr w:type="spellStart"/>
      <w:r w:rsidRPr="00441F34">
        <w:rPr>
          <w:rFonts w:ascii="Times New Roman" w:hAnsi="Times New Roman"/>
          <w:color w:val="0070C0"/>
          <w:sz w:val="16"/>
          <w:szCs w:val="16"/>
        </w:rPr>
        <w:t>Залевский</w:t>
      </w:r>
      <w:proofErr w:type="spellEnd"/>
      <w:r w:rsidRPr="00441F34">
        <w:rPr>
          <w:rFonts w:ascii="Times New Roman" w:hAnsi="Times New Roman"/>
          <w:color w:val="0070C0"/>
          <w:sz w:val="16"/>
          <w:szCs w:val="16"/>
        </w:rPr>
        <w:t>, летчик Ан</w:t>
      </w:r>
      <w:r w:rsidRPr="00441F34">
        <w:rPr>
          <w:rFonts w:ascii="Times New Roman" w:hAnsi="Times New Roman"/>
          <w:color w:val="0070C0"/>
          <w:sz w:val="16"/>
          <w:szCs w:val="16"/>
        </w:rPr>
        <w:softHyphen/>
        <w:t>дрей Шарапов занимал правое сиденье носителя, кон</w:t>
      </w:r>
      <w:r w:rsidRPr="00441F34">
        <w:rPr>
          <w:rFonts w:ascii="Times New Roman" w:hAnsi="Times New Roman"/>
          <w:color w:val="0070C0"/>
          <w:sz w:val="16"/>
          <w:szCs w:val="16"/>
        </w:rPr>
        <w:softHyphen/>
        <w:t>структор Вахмистров — в 1-м люке кормовых стрел</w:t>
      </w:r>
      <w:r w:rsidRPr="00441F34">
        <w:rPr>
          <w:rFonts w:ascii="Times New Roman" w:hAnsi="Times New Roman"/>
          <w:color w:val="0070C0"/>
          <w:sz w:val="16"/>
          <w:szCs w:val="16"/>
        </w:rPr>
        <w:softHyphen/>
        <w:t>ков, инженер Морозов — во 2-м люке. Левым И-4 уп</w:t>
      </w:r>
      <w:r w:rsidRPr="00441F34">
        <w:rPr>
          <w:rFonts w:ascii="Times New Roman" w:hAnsi="Times New Roman"/>
          <w:color w:val="0070C0"/>
          <w:sz w:val="16"/>
          <w:szCs w:val="16"/>
        </w:rPr>
        <w:softHyphen/>
        <w:t>равлял летчик Валерий Чкалов, правым — Александр Анисимов. Взлет СЗ-1 с аэродрома произошел на ско</w:t>
      </w:r>
      <w:r w:rsidRPr="00441F34">
        <w:rPr>
          <w:rFonts w:ascii="Times New Roman" w:hAnsi="Times New Roman"/>
          <w:color w:val="0070C0"/>
          <w:sz w:val="16"/>
          <w:szCs w:val="16"/>
        </w:rPr>
        <w:softHyphen/>
        <w:t xml:space="preserve">рости 140 км/ч без осложнений. Адам </w:t>
      </w:r>
      <w:proofErr w:type="spellStart"/>
      <w:r w:rsidRPr="00441F34">
        <w:rPr>
          <w:rFonts w:ascii="Times New Roman" w:hAnsi="Times New Roman"/>
          <w:color w:val="0070C0"/>
          <w:sz w:val="16"/>
          <w:szCs w:val="16"/>
        </w:rPr>
        <w:t>Залевский</w:t>
      </w:r>
      <w:proofErr w:type="spellEnd"/>
      <w:r w:rsidRPr="00441F34">
        <w:rPr>
          <w:rFonts w:ascii="Times New Roman" w:hAnsi="Times New Roman"/>
          <w:color w:val="0070C0"/>
          <w:sz w:val="16"/>
          <w:szCs w:val="16"/>
        </w:rPr>
        <w:t xml:space="preserve"> виб</w:t>
      </w:r>
      <w:r w:rsidRPr="00441F34">
        <w:rPr>
          <w:rFonts w:ascii="Times New Roman" w:hAnsi="Times New Roman"/>
          <w:color w:val="0070C0"/>
          <w:sz w:val="16"/>
          <w:szCs w:val="16"/>
        </w:rPr>
        <w:softHyphen/>
        <w:t>раций и излишних давлений на органы управления при выполнении старта и наборе высоты не отметил. На высоте 1000 м при скорости 160 км/ч был произве</w:t>
      </w:r>
      <w:r w:rsidRPr="00441F34">
        <w:rPr>
          <w:rFonts w:ascii="Times New Roman" w:hAnsi="Times New Roman"/>
          <w:color w:val="0070C0"/>
          <w:sz w:val="16"/>
          <w:szCs w:val="16"/>
        </w:rPr>
        <w:softHyphen/>
        <w:t>ден первый отрыв самолетов от носителя. При этом И-4 Анисимова отцепился с поднятым хвостом, не имея достаточной подъемной силы, поэтому соскочил с пирамид, ударился колесом о 3-й лонжерон крыла ТБ-1 и пробил гофрированную обшивку. Воздушный винт истребителя в ходе этого нештатного отцепления задел пирамиду крепления, в результате чего лопасть винта и сама пирамида оказались повреждены. Тем не менее неприятность не помешала благополучному за</w:t>
      </w:r>
      <w:r w:rsidRPr="00441F34">
        <w:rPr>
          <w:rFonts w:ascii="Times New Roman" w:hAnsi="Times New Roman"/>
          <w:color w:val="0070C0"/>
          <w:sz w:val="16"/>
          <w:szCs w:val="16"/>
        </w:rPr>
        <w:softHyphen/>
        <w:t xml:space="preserve">вершению эксперимента — все три самолета успешно приземлились на </w:t>
      </w:r>
      <w:proofErr w:type="spellStart"/>
      <w:r w:rsidRPr="00441F34">
        <w:rPr>
          <w:rFonts w:ascii="Times New Roman" w:hAnsi="Times New Roman"/>
          <w:color w:val="0070C0"/>
          <w:sz w:val="16"/>
          <w:szCs w:val="16"/>
        </w:rPr>
        <w:t>Монинском</w:t>
      </w:r>
      <w:proofErr w:type="spellEnd"/>
      <w:r w:rsidRPr="00441F34">
        <w:rPr>
          <w:rFonts w:ascii="Times New Roman" w:hAnsi="Times New Roman"/>
          <w:color w:val="0070C0"/>
          <w:sz w:val="16"/>
          <w:szCs w:val="16"/>
        </w:rPr>
        <w:t xml:space="preserve"> аэродроме. Именно так выглядели произошедшие события согласно офици</w:t>
      </w:r>
      <w:r w:rsidRPr="00441F34">
        <w:rPr>
          <w:rFonts w:ascii="Times New Roman" w:hAnsi="Times New Roman"/>
          <w:color w:val="0070C0"/>
          <w:sz w:val="16"/>
          <w:szCs w:val="16"/>
        </w:rPr>
        <w:softHyphen/>
        <w:t>альному отчету по испытаниям СЗ-1, подписанному лично Вахмистровым.</w:t>
      </w:r>
    </w:p>
    <w:p w14:paraId="29908348"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позднейших воспоминаниях Владимир Сергее</w:t>
      </w:r>
      <w:r w:rsidRPr="00441F34">
        <w:rPr>
          <w:rFonts w:ascii="Times New Roman" w:hAnsi="Times New Roman"/>
          <w:color w:val="0070C0"/>
          <w:sz w:val="16"/>
          <w:szCs w:val="16"/>
        </w:rPr>
        <w:softHyphen/>
        <w:t>вич несколько иначе описал первые испытания: «Предполагалось, что я полечу на правом месте ря</w:t>
      </w:r>
      <w:r w:rsidRPr="00441F34">
        <w:rPr>
          <w:rFonts w:ascii="Times New Roman" w:hAnsi="Times New Roman"/>
          <w:color w:val="0070C0"/>
          <w:sz w:val="16"/>
          <w:szCs w:val="16"/>
        </w:rPr>
        <w:softHyphen/>
        <w:t xml:space="preserve">дом с командиром ТБ-1 </w:t>
      </w:r>
      <w:proofErr w:type="spellStart"/>
      <w:r w:rsidRPr="00441F34">
        <w:rPr>
          <w:rFonts w:ascii="Times New Roman" w:hAnsi="Times New Roman"/>
          <w:color w:val="0070C0"/>
          <w:sz w:val="16"/>
          <w:szCs w:val="16"/>
        </w:rPr>
        <w:t>Залевским</w:t>
      </w:r>
      <w:proofErr w:type="spellEnd"/>
      <w:r w:rsidRPr="00441F34">
        <w:rPr>
          <w:rFonts w:ascii="Times New Roman" w:hAnsi="Times New Roman"/>
          <w:color w:val="0070C0"/>
          <w:sz w:val="16"/>
          <w:szCs w:val="16"/>
        </w:rPr>
        <w:t>. По первому ва</w:t>
      </w:r>
      <w:r w:rsidRPr="00441F34">
        <w:rPr>
          <w:rFonts w:ascii="Times New Roman" w:hAnsi="Times New Roman"/>
          <w:color w:val="0070C0"/>
          <w:sz w:val="16"/>
          <w:szCs w:val="16"/>
        </w:rPr>
        <w:softHyphen/>
        <w:t>рианту проекта предусматривалось, что замки, осво</w:t>
      </w:r>
      <w:r w:rsidRPr="00441F34">
        <w:rPr>
          <w:rFonts w:ascii="Times New Roman" w:hAnsi="Times New Roman"/>
          <w:color w:val="0070C0"/>
          <w:sz w:val="16"/>
          <w:szCs w:val="16"/>
        </w:rPr>
        <w:softHyphen/>
        <w:t>бождающие истребители, буду открывать я. Во время тренировки всё так и делали, однако в самый послед</w:t>
      </w:r>
      <w:r w:rsidRPr="00441F34">
        <w:rPr>
          <w:rFonts w:ascii="Times New Roman" w:hAnsi="Times New Roman"/>
          <w:color w:val="0070C0"/>
          <w:sz w:val="16"/>
          <w:szCs w:val="16"/>
        </w:rPr>
        <w:softHyphen/>
        <w:t>ний момент начальство распорядилось, чтобы на правом месте сидел тоже летчик. Посадили туда лет</w:t>
      </w:r>
      <w:r w:rsidRPr="00441F34">
        <w:rPr>
          <w:rFonts w:ascii="Times New Roman" w:hAnsi="Times New Roman"/>
          <w:color w:val="0070C0"/>
          <w:sz w:val="16"/>
          <w:szCs w:val="16"/>
        </w:rPr>
        <w:softHyphen/>
        <w:t>чика Шарапова, а мне с инженером Морозовым при</w:t>
      </w:r>
      <w:r w:rsidRPr="00441F34">
        <w:rPr>
          <w:rFonts w:ascii="Times New Roman" w:hAnsi="Times New Roman"/>
          <w:color w:val="0070C0"/>
          <w:sz w:val="16"/>
          <w:szCs w:val="16"/>
        </w:rPr>
        <w:softHyphen/>
        <w:t>шлось сесть в задние кабины.</w:t>
      </w:r>
    </w:p>
    <w:p w14:paraId="28092FE8"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результате такой замены, сделанной в самый по</w:t>
      </w:r>
      <w:r w:rsidRPr="00441F34">
        <w:rPr>
          <w:rFonts w:ascii="Times New Roman" w:hAnsi="Times New Roman"/>
          <w:color w:val="0070C0"/>
          <w:sz w:val="16"/>
          <w:szCs w:val="16"/>
        </w:rPr>
        <w:softHyphen/>
        <w:t>следний момент, чуть не случилось беда Поднимаясь в воздух, мы не знали, как поведет себя система, ес</w:t>
      </w:r>
      <w:r w:rsidRPr="00441F34">
        <w:rPr>
          <w:rFonts w:ascii="Times New Roman" w:hAnsi="Times New Roman"/>
          <w:color w:val="0070C0"/>
          <w:sz w:val="16"/>
          <w:szCs w:val="16"/>
        </w:rPr>
        <w:softHyphen/>
        <w:t>ли самолеты отцепятся не одновременно. Естествен</w:t>
      </w:r>
      <w:r w:rsidRPr="00441F34">
        <w:rPr>
          <w:rFonts w:ascii="Times New Roman" w:hAnsi="Times New Roman"/>
          <w:color w:val="0070C0"/>
          <w:sz w:val="16"/>
          <w:szCs w:val="16"/>
        </w:rPr>
        <w:softHyphen/>
        <w:t>но, что нам хотелось добиться наибольшей одновре</w:t>
      </w:r>
      <w:r w:rsidRPr="00441F34">
        <w:rPr>
          <w:rFonts w:ascii="Times New Roman" w:hAnsi="Times New Roman"/>
          <w:color w:val="0070C0"/>
          <w:sz w:val="16"/>
          <w:szCs w:val="16"/>
        </w:rPr>
        <w:softHyphen/>
        <w:t xml:space="preserve">менности. Когда </w:t>
      </w:r>
      <w:proofErr w:type="spellStart"/>
      <w:r w:rsidRPr="00441F34">
        <w:rPr>
          <w:rFonts w:ascii="Times New Roman" w:hAnsi="Times New Roman"/>
          <w:color w:val="0070C0"/>
          <w:sz w:val="16"/>
          <w:szCs w:val="16"/>
        </w:rPr>
        <w:t>Залевский</w:t>
      </w:r>
      <w:proofErr w:type="spellEnd"/>
      <w:r w:rsidRPr="00441F34">
        <w:rPr>
          <w:rFonts w:ascii="Times New Roman" w:hAnsi="Times New Roman"/>
          <w:color w:val="0070C0"/>
          <w:sz w:val="16"/>
          <w:szCs w:val="16"/>
        </w:rPr>
        <w:t xml:space="preserve"> подал команду к отцеп</w:t>
      </w:r>
      <w:r w:rsidRPr="00441F34">
        <w:rPr>
          <w:rFonts w:ascii="Times New Roman" w:hAnsi="Times New Roman"/>
          <w:color w:val="0070C0"/>
          <w:sz w:val="16"/>
          <w:szCs w:val="16"/>
        </w:rPr>
        <w:softHyphen/>
        <w:t>лению, Шарапов растерялся. Не дождавшись, пока Чкалов освободит хвост своего самолета (этот замок истребители отпирали сами), он освободил колеса. Чкалов завис на одной хвостовой точке. Однако он быстро оценил обстановку, рванул машину вправо и влево, оторвался и улетел. Не растерялся и Аниси</w:t>
      </w:r>
      <w:r w:rsidRPr="00441F34">
        <w:rPr>
          <w:rFonts w:ascii="Times New Roman" w:hAnsi="Times New Roman"/>
          <w:color w:val="0070C0"/>
          <w:sz w:val="16"/>
          <w:szCs w:val="16"/>
        </w:rPr>
        <w:softHyphen/>
        <w:t>мов. Быстро освободив хвост, он взлетел, как поло</w:t>
      </w:r>
      <w:r w:rsidRPr="00441F34">
        <w:rPr>
          <w:rFonts w:ascii="Times New Roman" w:hAnsi="Times New Roman"/>
          <w:color w:val="0070C0"/>
          <w:sz w:val="16"/>
          <w:szCs w:val="16"/>
        </w:rPr>
        <w:softHyphen/>
        <w:t>жено. Разумеется, после такого происшествия замки были заменены новыми, предусматривавшими авто</w:t>
      </w:r>
      <w:r w:rsidRPr="00441F34">
        <w:rPr>
          <w:rFonts w:ascii="Times New Roman" w:hAnsi="Times New Roman"/>
          <w:color w:val="0070C0"/>
          <w:sz w:val="16"/>
          <w:szCs w:val="16"/>
        </w:rPr>
        <w:softHyphen/>
        <w:t>матическое отцепление».</w:t>
      </w:r>
    </w:p>
    <w:p w14:paraId="037FAD74"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Летчик-испытатель </w:t>
      </w:r>
      <w:proofErr w:type="spellStart"/>
      <w:r w:rsidRPr="00441F34">
        <w:rPr>
          <w:rFonts w:ascii="Times New Roman" w:hAnsi="Times New Roman"/>
          <w:color w:val="0070C0"/>
          <w:sz w:val="16"/>
          <w:szCs w:val="16"/>
        </w:rPr>
        <w:t>П.М.Стефановский</w:t>
      </w:r>
      <w:proofErr w:type="spellEnd"/>
      <w:r w:rsidRPr="00441F34">
        <w:rPr>
          <w:rFonts w:ascii="Times New Roman" w:hAnsi="Times New Roman"/>
          <w:color w:val="0070C0"/>
          <w:sz w:val="16"/>
          <w:szCs w:val="16"/>
        </w:rPr>
        <w:t xml:space="preserve"> по-своему описал произошедшее событие: «Перед самым выле</w:t>
      </w:r>
      <w:r w:rsidRPr="00441F34">
        <w:rPr>
          <w:rFonts w:ascii="Times New Roman" w:hAnsi="Times New Roman"/>
          <w:color w:val="0070C0"/>
          <w:sz w:val="16"/>
          <w:szCs w:val="16"/>
        </w:rPr>
        <w:softHyphen/>
        <w:t>том — он производился с подмосковного аэродрома — неожиданно поступило распоряжение: инженера Вахмистрова поместить в кабине переднего стрелка, обязанности второго пилота будет выполнять коман</w:t>
      </w:r>
      <w:r w:rsidRPr="00441F34">
        <w:rPr>
          <w:rFonts w:ascii="Times New Roman" w:hAnsi="Times New Roman"/>
          <w:color w:val="0070C0"/>
          <w:sz w:val="16"/>
          <w:szCs w:val="16"/>
        </w:rPr>
        <w:softHyphen/>
        <w:t>дир эскадрильи Андрей Родионович Шарапов.</w:t>
      </w:r>
    </w:p>
    <w:p w14:paraId="542DEA45"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Соединенные самолеты взлетели хорошо и пере</w:t>
      </w:r>
      <w:r w:rsidRPr="00441F34">
        <w:rPr>
          <w:rFonts w:ascii="Times New Roman" w:hAnsi="Times New Roman"/>
          <w:color w:val="0070C0"/>
          <w:sz w:val="16"/>
          <w:szCs w:val="16"/>
        </w:rPr>
        <w:softHyphen/>
        <w:t>шли в набор. На расчетной высоте в строго установ</w:t>
      </w:r>
      <w:r w:rsidRPr="00441F34">
        <w:rPr>
          <w:rFonts w:ascii="Times New Roman" w:hAnsi="Times New Roman"/>
          <w:color w:val="0070C0"/>
          <w:sz w:val="16"/>
          <w:szCs w:val="16"/>
        </w:rPr>
        <w:softHyphen/>
        <w:t xml:space="preserve">ленное время </w:t>
      </w:r>
      <w:proofErr w:type="spellStart"/>
      <w:r w:rsidRPr="00441F34">
        <w:rPr>
          <w:rFonts w:ascii="Times New Roman" w:hAnsi="Times New Roman"/>
          <w:color w:val="0070C0"/>
          <w:sz w:val="16"/>
          <w:szCs w:val="16"/>
        </w:rPr>
        <w:t>Залевский</w:t>
      </w:r>
      <w:proofErr w:type="spellEnd"/>
      <w:r w:rsidRPr="00441F34">
        <w:rPr>
          <w:rFonts w:ascii="Times New Roman" w:hAnsi="Times New Roman"/>
          <w:color w:val="0070C0"/>
          <w:sz w:val="16"/>
          <w:szCs w:val="16"/>
        </w:rPr>
        <w:t xml:space="preserve"> подал Шарапову сигнал — отцепить истребители. Следовало сначала открыть задние замки, чтобы освободить хвост И-4, затем — передние: дать им возможность обрести самостоя</w:t>
      </w:r>
      <w:r w:rsidRPr="00441F34">
        <w:rPr>
          <w:rFonts w:ascii="Times New Roman" w:hAnsi="Times New Roman"/>
          <w:color w:val="0070C0"/>
          <w:sz w:val="16"/>
          <w:szCs w:val="16"/>
        </w:rPr>
        <w:softHyphen/>
        <w:t>тельную подъемную силу и отделиться от бомбарди</w:t>
      </w:r>
      <w:r w:rsidRPr="00441F34">
        <w:rPr>
          <w:rFonts w:ascii="Times New Roman" w:hAnsi="Times New Roman"/>
          <w:color w:val="0070C0"/>
          <w:sz w:val="16"/>
          <w:szCs w:val="16"/>
        </w:rPr>
        <w:softHyphen/>
        <w:t>ровщика. Рукоятки, с помощью которых открыва</w:t>
      </w:r>
      <w:r w:rsidRPr="00441F34">
        <w:rPr>
          <w:rFonts w:ascii="Times New Roman" w:hAnsi="Times New Roman"/>
          <w:color w:val="0070C0"/>
          <w:sz w:val="16"/>
          <w:szCs w:val="16"/>
        </w:rPr>
        <w:softHyphen/>
        <w:t>лись передние замки, располагались внизу, в проходе между первым и вторым летчиком. И Андрей пото</w:t>
      </w:r>
      <w:r w:rsidRPr="00441F34">
        <w:rPr>
          <w:rFonts w:ascii="Times New Roman" w:hAnsi="Times New Roman"/>
          <w:color w:val="0070C0"/>
          <w:sz w:val="16"/>
          <w:szCs w:val="16"/>
        </w:rPr>
        <w:softHyphen/>
        <w:t>ропился: на самолете Чкалова он раньше заднего замка открыл передние.</w:t>
      </w:r>
    </w:p>
    <w:p w14:paraId="00813C93"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Чкалов тут же почувствовал: хотя шасси и осво</w:t>
      </w:r>
      <w:r w:rsidRPr="00441F34">
        <w:rPr>
          <w:rFonts w:ascii="Times New Roman" w:hAnsi="Times New Roman"/>
          <w:color w:val="0070C0"/>
          <w:sz w:val="16"/>
          <w:szCs w:val="16"/>
        </w:rPr>
        <w:softHyphen/>
        <w:t>бождено, хвост по-прежнему «на привязи». Стремительно растет подъемная сила. Сейчас последует пет</w:t>
      </w:r>
      <w:r w:rsidRPr="00441F34">
        <w:rPr>
          <w:rFonts w:ascii="Times New Roman" w:hAnsi="Times New Roman"/>
          <w:color w:val="0070C0"/>
          <w:sz w:val="16"/>
          <w:szCs w:val="16"/>
        </w:rPr>
        <w:softHyphen/>
        <w:t>ля вокруг закрепленного хвоста и... Валерий Павло</w:t>
      </w:r>
      <w:r w:rsidRPr="00441F34">
        <w:rPr>
          <w:rFonts w:ascii="Times New Roman" w:hAnsi="Times New Roman"/>
          <w:color w:val="0070C0"/>
          <w:sz w:val="16"/>
          <w:szCs w:val="16"/>
        </w:rPr>
        <w:softHyphen/>
        <w:t>вич мгновенно оценил создавшееся положение и не</w:t>
      </w:r>
      <w:r w:rsidRPr="00441F34">
        <w:rPr>
          <w:rFonts w:ascii="Times New Roman" w:hAnsi="Times New Roman"/>
          <w:color w:val="0070C0"/>
          <w:sz w:val="16"/>
          <w:szCs w:val="16"/>
        </w:rPr>
        <w:softHyphen/>
        <w:t>медленно отреагировал. Он резко дал руля, открыл крепление заднего замка и, сильно вогнув колесами верхнюю обшивку бомбардировщика, унесся в сво</w:t>
      </w:r>
      <w:r w:rsidRPr="00441F34">
        <w:rPr>
          <w:rFonts w:ascii="Times New Roman" w:hAnsi="Times New Roman"/>
          <w:color w:val="0070C0"/>
          <w:sz w:val="16"/>
          <w:szCs w:val="16"/>
        </w:rPr>
        <w:softHyphen/>
        <w:t>бодный полет.</w:t>
      </w:r>
    </w:p>
    <w:p w14:paraId="78FD8F44"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Истребитель Анисимова все еще находился на крыле бомбардировщика. Вопреки ранее высказан</w:t>
      </w:r>
      <w:r w:rsidRPr="00441F34">
        <w:rPr>
          <w:rFonts w:ascii="Times New Roman" w:hAnsi="Times New Roman"/>
          <w:color w:val="0070C0"/>
          <w:sz w:val="16"/>
          <w:szCs w:val="16"/>
        </w:rPr>
        <w:softHyphen/>
        <w:t>ным опасениям, ТБ-1 сохранял вполне достаточную управляемость. Поэтому последняя задача испыта</w:t>
      </w:r>
      <w:r w:rsidRPr="00441F34">
        <w:rPr>
          <w:rFonts w:ascii="Times New Roman" w:hAnsi="Times New Roman"/>
          <w:color w:val="0070C0"/>
          <w:sz w:val="16"/>
          <w:szCs w:val="16"/>
        </w:rPr>
        <w:softHyphen/>
        <w:t>ний оказалась выполненной в числе первых.</w:t>
      </w:r>
    </w:p>
    <w:p w14:paraId="326E28EE"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отцеплении самолета Анисимова Шарапов действовал уже хладнокровно. Разъединение прошло благополучно.</w:t>
      </w:r>
    </w:p>
    <w:p w14:paraId="4724EFD4" w14:textId="77777777" w:rsidR="00D82FF1" w:rsidRPr="00441F34" w:rsidRDefault="00D82FF1" w:rsidP="00D82FF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Владимир Сергеевич Вахмистров после этого поле</w:t>
      </w:r>
      <w:r w:rsidRPr="00441F34">
        <w:rPr>
          <w:rFonts w:ascii="Times New Roman" w:hAnsi="Times New Roman"/>
          <w:color w:val="0070C0"/>
          <w:sz w:val="16"/>
          <w:szCs w:val="16"/>
        </w:rPr>
        <w:softHyphen/>
        <w:t>та затаил некоторую неприязнь к Андрею Шарапову. Хотя сам убедился, что в конструкции нужно произвести ряд переделок. Прежде всего, механизм разъе</w:t>
      </w:r>
      <w:r w:rsidRPr="00441F34">
        <w:rPr>
          <w:rFonts w:ascii="Times New Roman" w:hAnsi="Times New Roman"/>
          <w:color w:val="0070C0"/>
          <w:sz w:val="16"/>
          <w:szCs w:val="16"/>
        </w:rPr>
        <w:softHyphen/>
        <w:t>динения самолетов он перенес в кабины истребите</w:t>
      </w:r>
      <w:r w:rsidRPr="00441F34">
        <w:rPr>
          <w:rFonts w:ascii="Times New Roman" w:hAnsi="Times New Roman"/>
          <w:color w:val="0070C0"/>
          <w:sz w:val="16"/>
          <w:szCs w:val="16"/>
        </w:rPr>
        <w:softHyphen/>
        <w:t>лей. Теперь летчики носимых машин, получив ко</w:t>
      </w:r>
      <w:r w:rsidRPr="00441F34">
        <w:rPr>
          <w:rFonts w:ascii="Times New Roman" w:hAnsi="Times New Roman"/>
          <w:color w:val="0070C0"/>
          <w:sz w:val="16"/>
          <w:szCs w:val="16"/>
        </w:rPr>
        <w:softHyphen/>
        <w:t>манду на отрыв, сами открывали хвостовые замки и с помощью руля глубины удерживали самолеты на двух передних точках. Для полного отрыва им надо было только - взять на себя ручку управления. Перед</w:t>
      </w:r>
      <w:r w:rsidRPr="00441F34">
        <w:rPr>
          <w:rFonts w:ascii="Times New Roman" w:hAnsi="Times New Roman"/>
          <w:color w:val="0070C0"/>
          <w:sz w:val="16"/>
          <w:szCs w:val="16"/>
        </w:rPr>
        <w:softHyphen/>
        <w:t>ние крепления сразу размыкались, и истребители, оторвавшись от плоскости ТБ-1, поднимались мет</w:t>
      </w:r>
      <w:r w:rsidRPr="00441F34">
        <w:rPr>
          <w:rFonts w:ascii="Times New Roman" w:hAnsi="Times New Roman"/>
          <w:color w:val="0070C0"/>
          <w:sz w:val="16"/>
          <w:szCs w:val="16"/>
        </w:rPr>
        <w:softHyphen/>
        <w:t>ров на десять вверх, несколько отставая от бомбарди</w:t>
      </w:r>
      <w:r w:rsidRPr="00441F34">
        <w:rPr>
          <w:rFonts w:ascii="Times New Roman" w:hAnsi="Times New Roman"/>
          <w:color w:val="0070C0"/>
          <w:sz w:val="16"/>
          <w:szCs w:val="16"/>
        </w:rPr>
        <w:softHyphen/>
        <w:t>ровщика» (23378).</w:t>
      </w:r>
    </w:p>
    <w:p w14:paraId="6F1168C9" w14:textId="77777777" w:rsidR="00D82FF1" w:rsidRPr="00441F34" w:rsidRDefault="00D82FF1" w:rsidP="00D82FF1">
      <w:pPr>
        <w:spacing w:after="0" w:line="240" w:lineRule="auto"/>
        <w:jc w:val="both"/>
        <w:rPr>
          <w:rFonts w:ascii="Times New Roman" w:hAnsi="Times New Roman"/>
          <w:color w:val="0070C0"/>
          <w:sz w:val="16"/>
          <w:szCs w:val="16"/>
        </w:rPr>
      </w:pPr>
    </w:p>
    <w:p w14:paraId="6C9D3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3 декабря 1931 г. состоялся первый полет "Звена". Носитель (ТБ-1) пилотировали А.И.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и B.C. Вахмистров, в кабине левого И-4 сидел В.П. Чкалов, правого- А.Ф. Анисимов.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w:t>
      </w:r>
    </w:p>
    <w:p w14:paraId="66FB9A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 стал первым самолетом, использованным в программе "Звено". По проекту B.C. Вахмистрова он стал "летающим авианосцем". На его крыльях размещались два истребителя И-4, которые могли отделяться от носителя в воздухе. Таким образом, группа тяжелых бомбардировщиков позволяла обеспечить собственное прикрытие за пределами дальности истребителей того времени.</w:t>
      </w:r>
    </w:p>
    <w:p w14:paraId="5D53DB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Самолет-носитель получил усиленное шасси, на крыле установили стержневые пирамиды с замками. Каждый истребитель крепился в трех точках. Задний замок открывался первым.</w:t>
      </w:r>
    </w:p>
    <w:p w14:paraId="751A46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земле истребители закатывали на крыло вручную, по деревянным помостам. Это была довольно трудоемкая операция. Взлет осуществлялся при работе моторов всех трех самолетов. Бензин для истребителей подавался из баков ТБ-1.</w:t>
      </w:r>
    </w:p>
    <w:p w14:paraId="0C05E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некоторой доработки конструкции провели повторные испытания. Они шли с 1 по 8 апреля 1932 г.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5A9C6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DF9C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г. состоялся первый полет “</w:t>
      </w:r>
      <w:proofErr w:type="spellStart"/>
      <w:r w:rsidRPr="007122AB">
        <w:rPr>
          <w:rFonts w:ascii="Times New Roman" w:hAnsi="Times New Roman"/>
          <w:color w:val="000000" w:themeColor="text1"/>
          <w:sz w:val="16"/>
          <w:szCs w:val="16"/>
        </w:rPr>
        <w:t>завена</w:t>
      </w:r>
      <w:proofErr w:type="spellEnd"/>
      <w:r w:rsidRPr="007122AB">
        <w:rPr>
          <w:rFonts w:ascii="Times New Roman" w:hAnsi="Times New Roman"/>
          <w:color w:val="000000" w:themeColor="text1"/>
          <w:sz w:val="16"/>
          <w:szCs w:val="16"/>
        </w:rPr>
        <w:t xml:space="preserve">”. Носитель пилотировали А.И.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и B.C. Вахмистров, в кабине левого И-4 сидел В.П. Чкалов, правого - А.Ф. Ани- </w:t>
      </w:r>
      <w:proofErr w:type="spellStart"/>
      <w:r w:rsidRPr="007122AB">
        <w:rPr>
          <w:rFonts w:ascii="Times New Roman" w:hAnsi="Times New Roman"/>
          <w:color w:val="000000" w:themeColor="text1"/>
          <w:sz w:val="16"/>
          <w:szCs w:val="16"/>
        </w:rPr>
        <w:t>симов</w:t>
      </w:r>
      <w:proofErr w:type="spellEnd"/>
      <w:r w:rsidRPr="007122AB">
        <w:rPr>
          <w:rFonts w:ascii="Times New Roman" w:hAnsi="Times New Roman"/>
          <w:color w:val="000000" w:themeColor="text1"/>
          <w:sz w:val="16"/>
          <w:szCs w:val="16"/>
        </w:rPr>
        <w:t>.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w:t>
      </w:r>
    </w:p>
    <w:p w14:paraId="32388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некоторой доработки конструкции провели повторные испытания. Они шли с 1 по 8 апреля 1932 г. По их завершении НИИ ВВС дал заключение о том, что полеты на "авианосце" и его истребителях доступны для летчиков со среднем уровнем подготовки. Управление ВВС приняло решение о постройке небольшой серии "Звеньев". В июле 1932 г. ЦАГИ получил от военных заказ на разработку чертежей серийного варианта подвески.</w:t>
      </w:r>
    </w:p>
    <w:p w14:paraId="3CFB4F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войсковых испытаний "Звена" оно совершило учебный налет на Киев. На подходе к городу бомбардировщик выпустил истребители сопровождения и под их прикрытием долетел до пригородного полигона, где произвел бомбометание.</w:t>
      </w:r>
    </w:p>
    <w:p w14:paraId="102D0F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ноябре 1932 г. планировалось сформировать в Забайкальском военном округе эскадрилью, вооруженную системой "Звено-1". </w:t>
      </w:r>
      <w:proofErr w:type="spellStart"/>
      <w:r w:rsidRPr="007122AB">
        <w:rPr>
          <w:rFonts w:ascii="Times New Roman" w:hAnsi="Times New Roman"/>
          <w:color w:val="000000" w:themeColor="text1"/>
          <w:sz w:val="16"/>
          <w:szCs w:val="16"/>
        </w:rPr>
        <w:t>Bee</w:t>
      </w:r>
      <w:proofErr w:type="spellEnd"/>
      <w:r w:rsidRPr="007122AB">
        <w:rPr>
          <w:rFonts w:ascii="Times New Roman" w:hAnsi="Times New Roman"/>
          <w:color w:val="000000" w:themeColor="text1"/>
          <w:sz w:val="16"/>
          <w:szCs w:val="16"/>
        </w:rPr>
        <w:t xml:space="preserve"> штат должны были войти шесть носителей и 12 истребителей И-4.</w:t>
      </w:r>
    </w:p>
    <w:p w14:paraId="2BB464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техника развивалась быстро. И-4 скоро устарели. Следующий вариант "авиаматки", "Звено-1 А", нес вместо И-4 пару истребителей И-5. Его испытывали в сентябре 1933 г. ТБ-1 пилотировал Стефановский, истребители - Коккинаки и Лагутин (12036).</w:t>
      </w:r>
    </w:p>
    <w:p w14:paraId="42757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C7112B" w14:textId="77777777" w:rsidR="002D2823" w:rsidRPr="007122AB" w:rsidRDefault="002D2823" w:rsidP="007122AB">
      <w:pPr>
        <w:pStyle w:val="a3"/>
        <w:rPr>
          <w:color w:val="000000" w:themeColor="text1"/>
          <w:lang w:val="ru-RU"/>
        </w:rPr>
      </w:pPr>
      <w:r w:rsidRPr="007122AB">
        <w:rPr>
          <w:color w:val="000000" w:themeColor="text1"/>
          <w:lang w:val="ru-RU"/>
        </w:rPr>
        <w:t>3 декабря 1931 г. состоялся первый полёт «Звена». Впервые в мире поднялся в воз</w:t>
      </w:r>
      <w:r w:rsidRPr="007122AB">
        <w:rPr>
          <w:color w:val="000000" w:themeColor="text1"/>
          <w:lang w:val="ru-RU"/>
        </w:rPr>
        <w:softHyphen/>
        <w:t>дух самолёт, составленный из трёх самолётов: тяжёлого бомбардировщика ТБ-1 и двух истребителей И-4 (АНТ-5), установленных на его крыле. Масса «Звена» достигала 12 т. На высоте 1000 м при скорости 160 км/ч оба И-4 отцепились от крыльев ТБ-1, при этом левый И-4 ударился колесом о 3-й лонжерон крыла ТБ-1, пробил гофр обшивки и смял ногу «паука» установки. Но приземлились все три самолёта нормально.</w:t>
      </w:r>
    </w:p>
    <w:p w14:paraId="02EA5AA5" w14:textId="77777777" w:rsidR="002D2823" w:rsidRPr="007122AB" w:rsidRDefault="002D2823" w:rsidP="007122AB">
      <w:pPr>
        <w:pStyle w:val="a3"/>
        <w:rPr>
          <w:color w:val="000000" w:themeColor="text1"/>
          <w:lang w:val="ru-RU"/>
        </w:rPr>
      </w:pPr>
      <w:r w:rsidRPr="007122AB">
        <w:rPr>
          <w:color w:val="000000" w:themeColor="text1"/>
          <w:lang w:val="ru-RU"/>
        </w:rPr>
        <w:t>При разборе полёта установили, что задний замок на левом истребителе не был своевременно открыт. Схема отцепки допускала несогласованность действий экипажа. Её срочно переделали и для исключения возможности аналогичных случаев передали управление открыванием замков в руки самих лётчиков-истребителей (15821).</w:t>
      </w:r>
    </w:p>
    <w:p w14:paraId="73A40C02" w14:textId="77777777" w:rsidR="002D2823" w:rsidRPr="007122AB" w:rsidRDefault="002D2823" w:rsidP="007122AB">
      <w:pPr>
        <w:spacing w:after="0" w:line="240" w:lineRule="auto"/>
        <w:jc w:val="both"/>
        <w:rPr>
          <w:rFonts w:ascii="Times New Roman" w:hAnsi="Times New Roman"/>
          <w:color w:val="000000" w:themeColor="text1"/>
          <w:sz w:val="16"/>
          <w:szCs w:val="16"/>
        </w:rPr>
      </w:pPr>
    </w:p>
    <w:p w14:paraId="776D9F0A"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декабря 1931 в НИИ ВВС состоялся первый полёт самолёта-звена. Пилотировать бомбардировщик должны были А.И. </w:t>
      </w:r>
      <w:proofErr w:type="spellStart"/>
      <w:r w:rsidRPr="007122AB">
        <w:rPr>
          <w:rFonts w:ascii="Times New Roman" w:eastAsia="Times New Roman" w:hAnsi="Times New Roman"/>
          <w:color w:val="000000" w:themeColor="text1"/>
          <w:sz w:val="16"/>
          <w:szCs w:val="16"/>
          <w:lang w:eastAsia="ru-RU"/>
        </w:rPr>
        <w:t>Залевский</w:t>
      </w:r>
      <w:proofErr w:type="spellEnd"/>
      <w:r w:rsidRPr="007122AB">
        <w:rPr>
          <w:rFonts w:ascii="Times New Roman" w:eastAsia="Times New Roman" w:hAnsi="Times New Roman"/>
          <w:color w:val="000000" w:themeColor="text1"/>
          <w:sz w:val="16"/>
          <w:szCs w:val="16"/>
          <w:lang w:eastAsia="ru-RU"/>
        </w:rPr>
        <w:t xml:space="preserve"> (командир корабля) и А.Р. Шарапов, в задней кабине находились В.С. Вахмистров и бортинженер В.В. Морозов. Лётчиком левого И-4 назначили B.П. Чкалова, правого — А.Ф. Анисимова.</w:t>
      </w:r>
    </w:p>
    <w:p w14:paraId="437B2C35"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Шарапов слишком рано освободил передние замки истребителя Анисимова, который не успел увеличить угол атаки, что едва не привело к трагедии.</w:t>
      </w:r>
    </w:p>
    <w:p w14:paraId="675BC48B"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Описание опасного эксперимента содержится в докладе Валерия Чкалова, написанном сразу после полёта: «Самолёты И4 после прогрева моторов на земле были закатаны на самолёт ТБ1, где сразу же установлены на замки… После запуска всех моторов были даны разные режимы моторов на месте, никаких вибраций нет. После вторичного осмотра замков и креплений „самолёт-звено“ начал рулёжку, сначала на моторах ТБ1.</w:t>
      </w:r>
    </w:p>
    <w:p w14:paraId="468FF9CA"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Я наблюдал за правым самолётом И4 и заметил, что в креплении замков у шасси имеется качание. После рулёжки на одних моторах ТБ1 была произведена рулёжка с поднятым хвостом на всех четырёх моторах. Обороты И4 1000 об/мин. Никаких ненормальностей нет. Качания правого И4 при 1000 об/мин отсутствовало.</w:t>
      </w:r>
    </w:p>
    <w:p w14:paraId="1C6E8670"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После этого был произведен тщательный осмотр замков и креплений и был дан старт. Моторы ТБ1 имели обороты для взлёта, а моторы И4 — 1450 об/мин. Взлёт нормальный, отрыв быстрее, чем у одного ТБ, набор высоты производился на небольшой скорости — 145–150 км/ч. Вибраций никаких не заметно.</w:t>
      </w:r>
    </w:p>
    <w:p w14:paraId="5728382C"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На высоте 1000 м произведено отцепление самолётов И4, сначала правого, затем меня. После дачи сигнала „отцепи хвост“ правому И4 таковое произошло, но тренога ещё не опустилась, в этот момент произведено было отцепление передних замков. Самолёт И4 оторвался на полметра вверх от замков, ударился за ними о плоскость ТБ1, поломал себе винт и пробил обшивку крыла ТБ1, и низко над плоскостью сошёл вправо.</w:t>
      </w:r>
    </w:p>
    <w:p w14:paraId="3CFFE6BF"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момент удара правого И4 о плоскость ТБ1 произвели сбрасывание меня (левого). Как только были освобождены замки моего самолёта, я немного взял ручку рулей на себя и мой самолёт был уже метров на десять выше ТБ1. Пройдя над ТБ1, посмотрел за его правой плоскостью и после этого посмотрел шасси правого И4, они были исправны, после всего этого пошёл на посадку. Весь полёт, как в звене, так и одиночку, нормален… Полёт длился 12 минут» </w:t>
      </w:r>
      <w:hyperlink r:id="rId214" w:history="1">
        <w:r w:rsidRPr="007122AB">
          <w:rPr>
            <w:rFonts w:ascii="Times New Roman" w:eastAsia="Times New Roman" w:hAnsi="Times New Roman"/>
            <w:color w:val="000000" w:themeColor="text1"/>
            <w:sz w:val="16"/>
            <w:szCs w:val="16"/>
            <w:lang w:eastAsia="ru-RU"/>
          </w:rPr>
          <w:t>[75]</w:t>
        </w:r>
      </w:hyperlink>
      <w:r w:rsidRPr="007122AB">
        <w:rPr>
          <w:rFonts w:ascii="Times New Roman" w:eastAsia="Times New Roman" w:hAnsi="Times New Roman"/>
          <w:color w:val="000000" w:themeColor="text1"/>
          <w:sz w:val="16"/>
          <w:szCs w:val="16"/>
          <w:lang w:eastAsia="ru-RU"/>
        </w:rPr>
        <w:t xml:space="preserve"> .</w:t>
      </w:r>
    </w:p>
    <w:p w14:paraId="40440368"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докладе Вахмистрова содержится похожее, но не идентичное описание ЧП при разъединении «звена»: «На высоте 1000 м при скорости 160 км/час было произведено отцепление самолётов почти одновременное, причём ввиду того, что правый самолёт был отцеплен в тот момент, когда у него был поднят хвост, при срыве, не имея достаточной подъемной силы, он ударился колесом о 3-й лонжерон ТБ1, пробил гофр и лопастью винта помял ногу правого паука (треноги) установки, отбив концы лопастей винта. Посадка всех трёх самолётов по одиночке произведена благополучно на </w:t>
      </w:r>
      <w:proofErr w:type="spellStart"/>
      <w:r w:rsidRPr="007122AB">
        <w:rPr>
          <w:rFonts w:ascii="Times New Roman" w:eastAsia="Times New Roman" w:hAnsi="Times New Roman"/>
          <w:color w:val="000000" w:themeColor="text1"/>
          <w:sz w:val="16"/>
          <w:szCs w:val="16"/>
          <w:lang w:eastAsia="ru-RU"/>
        </w:rPr>
        <w:t>Монинском</w:t>
      </w:r>
      <w:proofErr w:type="spellEnd"/>
      <w:r w:rsidRPr="007122AB">
        <w:rPr>
          <w:rFonts w:ascii="Times New Roman" w:eastAsia="Times New Roman" w:hAnsi="Times New Roman"/>
          <w:color w:val="000000" w:themeColor="text1"/>
          <w:sz w:val="16"/>
          <w:szCs w:val="16"/>
          <w:lang w:eastAsia="ru-RU"/>
        </w:rPr>
        <w:t xml:space="preserve"> аэродроме» </w:t>
      </w:r>
      <w:hyperlink r:id="rId215" w:history="1">
        <w:r w:rsidRPr="007122AB">
          <w:rPr>
            <w:rFonts w:ascii="Times New Roman" w:eastAsia="Times New Roman" w:hAnsi="Times New Roman"/>
            <w:color w:val="000000" w:themeColor="text1"/>
            <w:sz w:val="16"/>
            <w:szCs w:val="16"/>
            <w:lang w:eastAsia="ru-RU"/>
          </w:rPr>
          <w:t>[76]</w:t>
        </w:r>
      </w:hyperlink>
      <w:r w:rsidRPr="007122AB">
        <w:rPr>
          <w:rFonts w:ascii="Times New Roman" w:eastAsia="Times New Roman" w:hAnsi="Times New Roman"/>
          <w:color w:val="000000" w:themeColor="text1"/>
          <w:sz w:val="16"/>
          <w:szCs w:val="16"/>
          <w:lang w:eastAsia="ru-RU"/>
        </w:rPr>
        <w:t xml:space="preserve"> .</w:t>
      </w:r>
    </w:p>
    <w:p w14:paraId="0C437457"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Как бы то ни было, всё закончилось хорошо, идея самолёта-звена доказала жизнеспособность. Не вдаваясь в подробности, руководство НИИ ВВС подготовило высшему командованию письмо о первом в мире успешном испытании самолёта-звена и получило указание продолжить испытания (17489).</w:t>
      </w:r>
    </w:p>
    <w:p w14:paraId="12D2F2FE"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p>
    <w:p w14:paraId="41C0B564"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hAnsi="Times New Roman"/>
          <w:color w:val="000000" w:themeColor="text1"/>
          <w:sz w:val="16"/>
          <w:szCs w:val="16"/>
        </w:rPr>
        <w:t>3 декабря 1931 г. в Монино состоялся первый полет «Звена-1». Перед на</w:t>
      </w:r>
      <w:r w:rsidRPr="007122AB">
        <w:rPr>
          <w:rFonts w:ascii="Times New Roman" w:hAnsi="Times New Roman"/>
          <w:color w:val="000000" w:themeColor="text1"/>
          <w:sz w:val="16"/>
          <w:szCs w:val="16"/>
        </w:rPr>
        <w:softHyphen/>
        <w:t>каткой на крыло моторы И-4 предва</w:t>
      </w:r>
      <w:r w:rsidRPr="007122AB">
        <w:rPr>
          <w:rFonts w:ascii="Times New Roman" w:hAnsi="Times New Roman"/>
          <w:color w:val="000000" w:themeColor="text1"/>
          <w:sz w:val="16"/>
          <w:szCs w:val="16"/>
        </w:rPr>
        <w:softHyphen/>
        <w:t xml:space="preserve">рительно прогрели. Командиром ТБ-1 являлся А.И.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вторым пило</w:t>
      </w:r>
      <w:r w:rsidRPr="007122AB">
        <w:rPr>
          <w:rFonts w:ascii="Times New Roman" w:hAnsi="Times New Roman"/>
          <w:color w:val="000000" w:themeColor="text1"/>
          <w:sz w:val="16"/>
          <w:szCs w:val="16"/>
        </w:rPr>
        <w:softHyphen/>
        <w:t>том - А.Р. Шарапов. На месте бортмеха</w:t>
      </w:r>
      <w:r w:rsidRPr="007122AB">
        <w:rPr>
          <w:rFonts w:ascii="Times New Roman" w:hAnsi="Times New Roman"/>
          <w:color w:val="000000" w:themeColor="text1"/>
          <w:sz w:val="16"/>
          <w:szCs w:val="16"/>
        </w:rPr>
        <w:softHyphen/>
        <w:t>ника находился инженер В.В. Морозов. В документах Вахмистров записан опе</w:t>
      </w:r>
      <w:r w:rsidRPr="007122AB">
        <w:rPr>
          <w:rFonts w:ascii="Times New Roman" w:hAnsi="Times New Roman"/>
          <w:color w:val="000000" w:themeColor="text1"/>
          <w:sz w:val="16"/>
          <w:szCs w:val="16"/>
        </w:rPr>
        <w:softHyphen/>
        <w:t>ратором расцепки, но сидел он в кабине стрелков и мог только наблюдать за про</w:t>
      </w:r>
      <w:r w:rsidRPr="007122AB">
        <w:rPr>
          <w:rFonts w:ascii="Times New Roman" w:hAnsi="Times New Roman"/>
          <w:color w:val="000000" w:themeColor="text1"/>
          <w:sz w:val="16"/>
          <w:szCs w:val="16"/>
        </w:rPr>
        <w:softHyphen/>
        <w:t>цессом. Левый истребитель пилотировал В.П. Чкалов, правый - А.Ф. Анисимов.</w:t>
      </w:r>
    </w:p>
    <w:p w14:paraId="18FBA33C" w14:textId="77777777" w:rsidR="0034103F" w:rsidRPr="007122AB" w:rsidRDefault="0034103F" w:rsidP="007122AB">
      <w:pPr>
        <w:pStyle w:val="a3"/>
        <w:rPr>
          <w:color w:val="000000" w:themeColor="text1"/>
          <w:lang w:val="ru-RU"/>
        </w:rPr>
      </w:pPr>
      <w:r w:rsidRPr="007122AB">
        <w:rPr>
          <w:color w:val="000000" w:themeColor="text1"/>
          <w:lang w:val="ru-RU"/>
        </w:rPr>
        <w:t>Бомбардировщик сначала немного порулил только на своих двигателях. За</w:t>
      </w:r>
      <w:r w:rsidRPr="007122AB">
        <w:rPr>
          <w:color w:val="000000" w:themeColor="text1"/>
          <w:lang w:val="ru-RU"/>
        </w:rPr>
        <w:softHyphen/>
        <w:t>тем еще раз все проверили и, наконец, «звено» двинулось к линии старта при всех работающих моторах. Взлетели нормально и постепенно набрали высоту 1000 м. Здесь истребителям предстояло отделиться. Их летчики открыли задние замки и постарались придать самолетам необходимое для старта горизонтальное положение, работая рулями. Шарапов от</w:t>
      </w:r>
      <w:r w:rsidRPr="007122AB">
        <w:rPr>
          <w:color w:val="000000" w:themeColor="text1"/>
          <w:lang w:val="ru-RU"/>
        </w:rPr>
        <w:softHyphen/>
        <w:t>крыл замки на «пауке» левого И-4. Чкалов успешно отделился от носителя и ушел вверх и во внешнюю сторону, как и наме</w:t>
      </w:r>
      <w:r w:rsidRPr="007122AB">
        <w:rPr>
          <w:color w:val="000000" w:themeColor="text1"/>
          <w:lang w:val="ru-RU"/>
        </w:rPr>
        <w:softHyphen/>
        <w:t>чалось. У Анисимова операция прошла не столь благополучно. Когда замки «паука» сработали, у его машины хвост оказался приподнят. Истребитель ударил колесами по крылу в районе третьего лонжерона, пробил гофрированную обшивку, а вин</w:t>
      </w:r>
      <w:r w:rsidRPr="007122AB">
        <w:rPr>
          <w:color w:val="000000" w:themeColor="text1"/>
          <w:lang w:val="ru-RU"/>
        </w:rPr>
        <w:softHyphen/>
        <w:t>том ударил по «пауку». Одна из стоек по</w:t>
      </w:r>
      <w:r w:rsidRPr="007122AB">
        <w:rPr>
          <w:color w:val="000000" w:themeColor="text1"/>
          <w:lang w:val="ru-RU"/>
        </w:rPr>
        <w:softHyphen/>
        <w:t>следнего помялась, а пропеллер лишился кончиков лопастей. Но все обошлось бла</w:t>
      </w:r>
      <w:r w:rsidRPr="007122AB">
        <w:rPr>
          <w:color w:val="000000" w:themeColor="text1"/>
          <w:lang w:val="ru-RU"/>
        </w:rPr>
        <w:softHyphen/>
        <w:t>гополучно. Второй И-4 тоже успешно от</w:t>
      </w:r>
      <w:r w:rsidRPr="007122AB">
        <w:rPr>
          <w:color w:val="000000" w:themeColor="text1"/>
          <w:lang w:val="ru-RU"/>
        </w:rPr>
        <w:softHyphen/>
        <w:t>делился от носителя. Вся группа сделала круг и зашла на посадку.</w:t>
      </w:r>
    </w:p>
    <w:p w14:paraId="08B1E97A" w14:textId="77777777" w:rsidR="0034103F" w:rsidRPr="007122AB" w:rsidRDefault="0034103F" w:rsidP="007122AB">
      <w:pPr>
        <w:pStyle w:val="a3"/>
        <w:rPr>
          <w:color w:val="000000" w:themeColor="text1"/>
          <w:lang w:val="ru-RU"/>
        </w:rPr>
      </w:pPr>
      <w:r w:rsidRPr="007122AB">
        <w:rPr>
          <w:color w:val="000000" w:themeColor="text1"/>
          <w:lang w:val="ru-RU"/>
        </w:rPr>
        <w:t>На земле летчиков встречали, как победителей. Из НИИ ВВС отправили рапорт наркому по военным и морским делам К.Е. Ворошилову. В нем приняты</w:t>
      </w:r>
      <w:r w:rsidRPr="007122AB">
        <w:rPr>
          <w:color w:val="000000" w:themeColor="text1"/>
          <w:lang w:val="ru-RU"/>
        </w:rPr>
        <w:softHyphen/>
        <w:t>ми в те годы цветистыми выражениями говорилось: «САМОЛЕТ-ЗВЕНО постро</w:t>
      </w:r>
      <w:r w:rsidRPr="007122AB">
        <w:rPr>
          <w:color w:val="000000" w:themeColor="text1"/>
          <w:lang w:val="ru-RU"/>
        </w:rPr>
        <w:softHyphen/>
        <w:t>ен под общим руководством инженера Вахмистрова совместными силами ра</w:t>
      </w:r>
      <w:r w:rsidRPr="007122AB">
        <w:rPr>
          <w:color w:val="000000" w:themeColor="text1"/>
          <w:lang w:val="ru-RU"/>
        </w:rPr>
        <w:softHyphen/>
        <w:t>ботников НИИ ВВС и КОСОС ЦАГИ к 14-й годовщине Октябрьской Революции... От</w:t>
      </w:r>
      <w:r w:rsidRPr="007122AB">
        <w:rPr>
          <w:color w:val="000000" w:themeColor="text1"/>
          <w:lang w:val="ru-RU"/>
        </w:rPr>
        <w:softHyphen/>
        <w:t>мечая с великой радостью эту победу со</w:t>
      </w:r>
      <w:r w:rsidRPr="007122AB">
        <w:rPr>
          <w:color w:val="000000" w:themeColor="text1"/>
          <w:lang w:val="ru-RU"/>
        </w:rPr>
        <w:softHyphen/>
        <w:t>ветской авиационной техники, мы шлем пламенный привет вождю Красной Армии Климентию Ефремовичу Ворошилову и Революционному Военному Совету СССР и просим принять от нас подарок Воздуш</w:t>
      </w:r>
      <w:r w:rsidRPr="007122AB">
        <w:rPr>
          <w:color w:val="000000" w:themeColor="text1"/>
          <w:lang w:val="ru-RU"/>
        </w:rPr>
        <w:softHyphen/>
        <w:t>ному Флоту - САМОЛЕТ-ЗВЕНО».</w:t>
      </w:r>
    </w:p>
    <w:p w14:paraId="2C569509" w14:textId="77777777" w:rsidR="0034103F" w:rsidRPr="007122AB" w:rsidRDefault="0034103F" w:rsidP="007122AB">
      <w:pPr>
        <w:pStyle w:val="a3"/>
        <w:rPr>
          <w:color w:val="000000" w:themeColor="text1"/>
          <w:lang w:val="ru-RU"/>
        </w:rPr>
      </w:pPr>
      <w:r w:rsidRPr="007122AB">
        <w:rPr>
          <w:color w:val="000000" w:themeColor="text1"/>
          <w:lang w:val="ru-RU"/>
        </w:rPr>
        <w:t>Интересно, что среди подписавших рапорт никого из работников ЦАГИ нет. Похоже, что в НИИ вообще старались представить их вклад как сугубо второ</w:t>
      </w:r>
      <w:r w:rsidRPr="007122AB">
        <w:rPr>
          <w:color w:val="000000" w:themeColor="text1"/>
          <w:lang w:val="ru-RU"/>
        </w:rPr>
        <w:softHyphen/>
        <w:t>степенный. Это, например, четко следует из представления по награждению участ</w:t>
      </w:r>
      <w:r w:rsidRPr="007122AB">
        <w:rPr>
          <w:color w:val="000000" w:themeColor="text1"/>
          <w:lang w:val="ru-RU"/>
        </w:rPr>
        <w:softHyphen/>
        <w:t>ников работы. Вахмистрова предлагалось наградить орденом Ленина, выделить ему легковой «Форд А» и назначить персо</w:t>
      </w:r>
      <w:r w:rsidRPr="007122AB">
        <w:rPr>
          <w:color w:val="000000" w:themeColor="text1"/>
          <w:lang w:val="ru-RU"/>
        </w:rPr>
        <w:softHyphen/>
        <w:t xml:space="preserve">нальный оклад в 500 рублей. </w:t>
      </w:r>
      <w:proofErr w:type="spellStart"/>
      <w:r w:rsidRPr="007122AB">
        <w:rPr>
          <w:color w:val="000000" w:themeColor="text1"/>
          <w:lang w:val="ru-RU"/>
        </w:rPr>
        <w:t>Залевского</w:t>
      </w:r>
      <w:proofErr w:type="spellEnd"/>
      <w:r w:rsidRPr="007122AB">
        <w:rPr>
          <w:color w:val="000000" w:themeColor="text1"/>
          <w:lang w:val="ru-RU"/>
        </w:rPr>
        <w:t xml:space="preserve"> и Чкалова представили к ордену Красной звезды, причем «в довесок» первому по</w:t>
      </w:r>
      <w:r w:rsidRPr="007122AB">
        <w:rPr>
          <w:color w:val="000000" w:themeColor="text1"/>
          <w:lang w:val="ru-RU"/>
        </w:rPr>
        <w:softHyphen/>
        <w:t>лагался «форд», а второму - мотоцикл. Анисимову ни ордена, ни медали не за</w:t>
      </w:r>
      <w:r w:rsidRPr="007122AB">
        <w:rPr>
          <w:color w:val="000000" w:themeColor="text1"/>
          <w:lang w:val="ru-RU"/>
        </w:rPr>
        <w:softHyphen/>
        <w:t>писали, но тоже пообещали мотоцикл. Двухколесными «конями» предлагали также наградить инженера Морозова и старшего техника ТБ-1 М.И. Панюшкина. Кроме того, «форд» хотел получить и начальник 1-го отдела НИИ ВВС, прав</w:t>
      </w:r>
      <w:r w:rsidRPr="007122AB">
        <w:rPr>
          <w:color w:val="000000" w:themeColor="text1"/>
          <w:lang w:val="ru-RU"/>
        </w:rPr>
        <w:softHyphen/>
        <w:t>да, как служебный. А всем сотрудникам КОСОС записали только благодарности! (17741)</w:t>
      </w:r>
    </w:p>
    <w:p w14:paraId="10A03817" w14:textId="77777777" w:rsidR="0034103F" w:rsidRPr="007122AB" w:rsidRDefault="0034103F" w:rsidP="007122AB">
      <w:pPr>
        <w:spacing w:after="0" w:line="240" w:lineRule="auto"/>
        <w:jc w:val="both"/>
        <w:rPr>
          <w:rFonts w:ascii="Times New Roman" w:eastAsia="Times New Roman" w:hAnsi="Times New Roman"/>
          <w:color w:val="000000" w:themeColor="text1"/>
          <w:sz w:val="16"/>
          <w:szCs w:val="16"/>
          <w:lang w:eastAsia="ru-RU"/>
        </w:rPr>
      </w:pPr>
    </w:p>
    <w:p w14:paraId="34C0D225"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г. на аэродроме 17-й авиабригады в подмосковном Монино состоялось первое испытание системы, получившей наименование «Самолет-Звено-1» (СЗ-1). Первым делом при стоянке на земле были запущены и про</w:t>
      </w:r>
      <w:r w:rsidRPr="007122AB">
        <w:rPr>
          <w:rFonts w:ascii="Times New Roman" w:hAnsi="Times New Roman"/>
          <w:color w:val="000000" w:themeColor="text1"/>
          <w:sz w:val="16"/>
          <w:szCs w:val="16"/>
        </w:rPr>
        <w:softHyphen/>
        <w:t>греты двигатели обоих истребителей И-4, после чего аэ</w:t>
      </w:r>
      <w:r w:rsidRPr="007122AB">
        <w:rPr>
          <w:rFonts w:ascii="Times New Roman" w:hAnsi="Times New Roman"/>
          <w:color w:val="000000" w:themeColor="text1"/>
          <w:sz w:val="16"/>
          <w:szCs w:val="16"/>
        </w:rPr>
        <w:softHyphen/>
        <w:t>родромная команда по наклонной рампе закатила их на крыло ТБ-1. После соединения всех систем и последую</w:t>
      </w:r>
      <w:r w:rsidRPr="007122AB">
        <w:rPr>
          <w:rFonts w:ascii="Times New Roman" w:hAnsi="Times New Roman"/>
          <w:color w:val="000000" w:themeColor="text1"/>
          <w:sz w:val="16"/>
          <w:szCs w:val="16"/>
        </w:rPr>
        <w:softHyphen/>
        <w:t>щей их тщательной проверки начались пробежки по аэро</w:t>
      </w:r>
      <w:r w:rsidRPr="007122AB">
        <w:rPr>
          <w:rFonts w:ascii="Times New Roman" w:hAnsi="Times New Roman"/>
          <w:color w:val="000000" w:themeColor="text1"/>
          <w:sz w:val="16"/>
          <w:szCs w:val="16"/>
        </w:rPr>
        <w:softHyphen/>
        <w:t>дрому на различных режимах работы двигателей. В 14 ча</w:t>
      </w:r>
      <w:r w:rsidRPr="007122AB">
        <w:rPr>
          <w:rFonts w:ascii="Times New Roman" w:hAnsi="Times New Roman"/>
          <w:color w:val="000000" w:themeColor="text1"/>
          <w:sz w:val="16"/>
          <w:szCs w:val="16"/>
        </w:rPr>
        <w:softHyphen/>
        <w:t>сов 30 минут был произведен первый взлет СЗ-1, старто</w:t>
      </w:r>
      <w:r w:rsidRPr="007122AB">
        <w:rPr>
          <w:rFonts w:ascii="Times New Roman" w:hAnsi="Times New Roman"/>
          <w:color w:val="000000" w:themeColor="text1"/>
          <w:sz w:val="16"/>
          <w:szCs w:val="16"/>
        </w:rPr>
        <w:softHyphen/>
        <w:t>вый вес которого составил 8180 кг (ТБ-1 5640 кг + 2 И-4 2х1270 кг). В ТБ-1 на левом командирском кресле находил</w:t>
      </w:r>
      <w:r w:rsidRPr="007122AB">
        <w:rPr>
          <w:rFonts w:ascii="Times New Roman" w:hAnsi="Times New Roman"/>
          <w:color w:val="000000" w:themeColor="text1"/>
          <w:sz w:val="16"/>
          <w:szCs w:val="16"/>
        </w:rPr>
        <w:softHyphen/>
        <w:t xml:space="preserve">ся летчик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Андрей Шарапов занимал пра</w:t>
      </w:r>
      <w:r w:rsidRPr="007122AB">
        <w:rPr>
          <w:rFonts w:ascii="Times New Roman" w:hAnsi="Times New Roman"/>
          <w:color w:val="000000" w:themeColor="text1"/>
          <w:sz w:val="16"/>
          <w:szCs w:val="16"/>
        </w:rPr>
        <w:softHyphen/>
        <w:t>вое сидение носителя, конструктор Вахмистров - в 1-м лю</w:t>
      </w:r>
      <w:r w:rsidRPr="007122AB">
        <w:rPr>
          <w:rFonts w:ascii="Times New Roman" w:hAnsi="Times New Roman"/>
          <w:color w:val="000000" w:themeColor="text1"/>
          <w:sz w:val="16"/>
          <w:szCs w:val="16"/>
        </w:rPr>
        <w:softHyphen/>
        <w:t xml:space="preserve">ке кормовых стрелков, инженер Морозов - во 2-м люке. Левым И-4 управлял летчик Валерий Чкалов, правым - Александр Анисимов. Взлет СЗ-1 с аэродрома произошел на скорости 140 км/ч без </w:t>
      </w:r>
      <w:r w:rsidRPr="007122AB">
        <w:rPr>
          <w:rFonts w:ascii="Times New Roman" w:hAnsi="Times New Roman"/>
          <w:color w:val="000000" w:themeColor="text1"/>
          <w:sz w:val="16"/>
          <w:szCs w:val="16"/>
        </w:rPr>
        <w:lastRenderedPageBreak/>
        <w:t xml:space="preserve">осложнений.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ви</w:t>
      </w:r>
      <w:r w:rsidRPr="007122AB">
        <w:rPr>
          <w:rFonts w:ascii="Times New Roman" w:hAnsi="Times New Roman"/>
          <w:color w:val="000000" w:themeColor="text1"/>
          <w:sz w:val="16"/>
          <w:szCs w:val="16"/>
        </w:rPr>
        <w:softHyphen/>
        <w:t>браций и излишнего давления на органы управления при выполнении старта и наборе высоты не отметил. На высо</w:t>
      </w:r>
      <w:r w:rsidRPr="007122AB">
        <w:rPr>
          <w:rFonts w:ascii="Times New Roman" w:hAnsi="Times New Roman"/>
          <w:color w:val="000000" w:themeColor="text1"/>
          <w:sz w:val="16"/>
          <w:szCs w:val="16"/>
        </w:rPr>
        <w:softHyphen/>
        <w:t>те 1000 м при скорости 160 км/ч был произведен первый отрыв самолетов от носителя. При этом И-4 Анисимова от</w:t>
      </w:r>
      <w:r w:rsidRPr="007122AB">
        <w:rPr>
          <w:rFonts w:ascii="Times New Roman" w:hAnsi="Times New Roman"/>
          <w:color w:val="000000" w:themeColor="text1"/>
          <w:sz w:val="16"/>
          <w:szCs w:val="16"/>
        </w:rPr>
        <w:softHyphen/>
        <w:t>цепился с поднятым хвостом, не имея достаточной подъ</w:t>
      </w:r>
      <w:r w:rsidRPr="007122AB">
        <w:rPr>
          <w:rFonts w:ascii="Times New Roman" w:hAnsi="Times New Roman"/>
          <w:color w:val="000000" w:themeColor="text1"/>
          <w:sz w:val="16"/>
          <w:szCs w:val="16"/>
        </w:rPr>
        <w:softHyphen/>
        <w:t>емной силы, поэтому соскочил с пирамид, ударился коле</w:t>
      </w:r>
      <w:r w:rsidRPr="007122AB">
        <w:rPr>
          <w:rFonts w:ascii="Times New Roman" w:hAnsi="Times New Roman"/>
          <w:color w:val="000000" w:themeColor="text1"/>
          <w:sz w:val="16"/>
          <w:szCs w:val="16"/>
        </w:rPr>
        <w:softHyphen/>
        <w:t>сом о 3-й лонжерон крыла ТБ-1 и пробил гофрированную обшивку. Воздушный винт истребителя в ходе этого не</w:t>
      </w:r>
      <w:r w:rsidRPr="007122AB">
        <w:rPr>
          <w:rFonts w:ascii="Times New Roman" w:hAnsi="Times New Roman"/>
          <w:color w:val="000000" w:themeColor="text1"/>
          <w:sz w:val="16"/>
          <w:szCs w:val="16"/>
        </w:rPr>
        <w:softHyphen/>
        <w:t>штатного отцепления задел пирамиду крепления, в резуль</w:t>
      </w:r>
      <w:r w:rsidRPr="007122AB">
        <w:rPr>
          <w:rFonts w:ascii="Times New Roman" w:hAnsi="Times New Roman"/>
          <w:color w:val="000000" w:themeColor="text1"/>
          <w:sz w:val="16"/>
          <w:szCs w:val="16"/>
        </w:rPr>
        <w:softHyphen/>
        <w:t>тате чего лопасть винта и сама пирамида оказались по</w:t>
      </w:r>
      <w:r w:rsidRPr="007122AB">
        <w:rPr>
          <w:rFonts w:ascii="Times New Roman" w:hAnsi="Times New Roman"/>
          <w:color w:val="000000" w:themeColor="text1"/>
          <w:sz w:val="16"/>
          <w:szCs w:val="16"/>
        </w:rPr>
        <w:softHyphen/>
        <w:t xml:space="preserve">вреждены. Тем не менее, эта небольшая неприятность не помешала благополучному завершению эксперимента - все три самолета успешно приземлились на </w:t>
      </w:r>
      <w:proofErr w:type="spellStart"/>
      <w:r w:rsidRPr="007122AB">
        <w:rPr>
          <w:rFonts w:ascii="Times New Roman" w:hAnsi="Times New Roman"/>
          <w:color w:val="000000" w:themeColor="text1"/>
          <w:sz w:val="16"/>
          <w:szCs w:val="16"/>
        </w:rPr>
        <w:t>Монинском</w:t>
      </w:r>
      <w:proofErr w:type="spellEnd"/>
      <w:r w:rsidRPr="007122AB">
        <w:rPr>
          <w:rFonts w:ascii="Times New Roman" w:hAnsi="Times New Roman"/>
          <w:color w:val="000000" w:themeColor="text1"/>
          <w:sz w:val="16"/>
          <w:szCs w:val="16"/>
        </w:rPr>
        <w:t xml:space="preserve"> аэ</w:t>
      </w:r>
      <w:r w:rsidRPr="007122AB">
        <w:rPr>
          <w:rFonts w:ascii="Times New Roman" w:hAnsi="Times New Roman"/>
          <w:color w:val="000000" w:themeColor="text1"/>
          <w:sz w:val="16"/>
          <w:szCs w:val="16"/>
        </w:rPr>
        <w:softHyphen/>
        <w:t>родроме. Именно так выглядели произошедшие события согласно официальному отчету по испытаниям СЗ-1, под</w:t>
      </w:r>
      <w:r w:rsidRPr="007122AB">
        <w:rPr>
          <w:rFonts w:ascii="Times New Roman" w:hAnsi="Times New Roman"/>
          <w:color w:val="000000" w:themeColor="text1"/>
          <w:sz w:val="16"/>
          <w:szCs w:val="16"/>
        </w:rPr>
        <w:softHyphen/>
        <w:t>писанному лично Вахмистровым.</w:t>
      </w:r>
    </w:p>
    <w:p w14:paraId="644AA95C"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позднейших воспоминаниях Владимир Сергеевич не</w:t>
      </w:r>
      <w:r w:rsidRPr="007122AB">
        <w:rPr>
          <w:rFonts w:ascii="Times New Roman" w:hAnsi="Times New Roman"/>
          <w:color w:val="000000" w:themeColor="text1"/>
          <w:sz w:val="16"/>
          <w:szCs w:val="16"/>
        </w:rPr>
        <w:softHyphen/>
        <w:t xml:space="preserve">сколько иначе описал первые испытания: «Предполагалось, что я полечу на правом месте рядом с командиром ТБ-1 </w:t>
      </w:r>
      <w:proofErr w:type="spellStart"/>
      <w:r w:rsidRPr="007122AB">
        <w:rPr>
          <w:rFonts w:ascii="Times New Roman" w:hAnsi="Times New Roman"/>
          <w:color w:val="000000" w:themeColor="text1"/>
          <w:sz w:val="16"/>
          <w:szCs w:val="16"/>
        </w:rPr>
        <w:t>Залевским</w:t>
      </w:r>
      <w:proofErr w:type="spellEnd"/>
      <w:r w:rsidRPr="007122AB">
        <w:rPr>
          <w:rFonts w:ascii="Times New Roman" w:hAnsi="Times New Roman"/>
          <w:color w:val="000000" w:themeColor="text1"/>
          <w:sz w:val="16"/>
          <w:szCs w:val="16"/>
        </w:rPr>
        <w:t>. По первому варианту проекта предусматрива</w:t>
      </w:r>
      <w:r w:rsidRPr="007122AB">
        <w:rPr>
          <w:rFonts w:ascii="Times New Roman" w:hAnsi="Times New Roman"/>
          <w:color w:val="000000" w:themeColor="text1"/>
          <w:sz w:val="16"/>
          <w:szCs w:val="16"/>
        </w:rPr>
        <w:softHyphen/>
        <w:t>лось, что замки, освобождающие истребители, буду откры</w:t>
      </w:r>
      <w:r w:rsidRPr="007122AB">
        <w:rPr>
          <w:rFonts w:ascii="Times New Roman" w:hAnsi="Times New Roman"/>
          <w:color w:val="000000" w:themeColor="text1"/>
          <w:sz w:val="16"/>
          <w:szCs w:val="16"/>
        </w:rPr>
        <w:softHyphen/>
        <w:t>вать я. Во время тренировки все так и делали, однако в самый последний момент начальство распорядилось, что</w:t>
      </w:r>
      <w:r w:rsidRPr="007122AB">
        <w:rPr>
          <w:rFonts w:ascii="Times New Roman" w:hAnsi="Times New Roman"/>
          <w:color w:val="000000" w:themeColor="text1"/>
          <w:sz w:val="16"/>
          <w:szCs w:val="16"/>
        </w:rPr>
        <w:softHyphen/>
        <w:t>бы на правом месте сидел тоже летчик. Посадили туда лет</w:t>
      </w:r>
      <w:r w:rsidRPr="007122AB">
        <w:rPr>
          <w:rFonts w:ascii="Times New Roman" w:hAnsi="Times New Roman"/>
          <w:color w:val="000000" w:themeColor="text1"/>
          <w:sz w:val="16"/>
          <w:szCs w:val="16"/>
        </w:rPr>
        <w:softHyphen/>
        <w:t>чика Шарапова, а мне с инженером Морозовым при</w:t>
      </w:r>
      <w:r w:rsidRPr="007122AB">
        <w:rPr>
          <w:rFonts w:ascii="Times New Roman" w:hAnsi="Times New Roman"/>
          <w:color w:val="000000" w:themeColor="text1"/>
          <w:sz w:val="16"/>
          <w:szCs w:val="16"/>
        </w:rPr>
        <w:softHyphen/>
        <w:t>шлось сесть в задние кабины.</w:t>
      </w:r>
    </w:p>
    <w:p w14:paraId="1F50190C"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такой замены, сделанной в самый по</w:t>
      </w:r>
      <w:r w:rsidRPr="007122AB">
        <w:rPr>
          <w:rFonts w:ascii="Times New Roman" w:hAnsi="Times New Roman"/>
          <w:color w:val="000000" w:themeColor="text1"/>
          <w:sz w:val="16"/>
          <w:szCs w:val="16"/>
        </w:rPr>
        <w:softHyphen/>
        <w:t>следний момент, чуть не случилось беда. Поднимаясь в воздух, мы не знали, как поведет себя система, если са</w:t>
      </w:r>
      <w:r w:rsidRPr="007122AB">
        <w:rPr>
          <w:rFonts w:ascii="Times New Roman" w:hAnsi="Times New Roman"/>
          <w:color w:val="000000" w:themeColor="text1"/>
          <w:sz w:val="16"/>
          <w:szCs w:val="16"/>
        </w:rPr>
        <w:softHyphen/>
        <w:t xml:space="preserve">молеты отцепятся неодновременно. Естественно, что нам хотелось добиться наибольшей одновременности. Когда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подал команду к отцеплению, Шарапов расте</w:t>
      </w:r>
      <w:r w:rsidRPr="007122AB">
        <w:rPr>
          <w:rFonts w:ascii="Times New Roman" w:hAnsi="Times New Roman"/>
          <w:color w:val="000000" w:themeColor="text1"/>
          <w:sz w:val="16"/>
          <w:szCs w:val="16"/>
        </w:rPr>
        <w:softHyphen/>
        <w:t>рялся. Не дождавшись, пока Чкалов освободит хвост сво</w:t>
      </w:r>
      <w:r w:rsidRPr="007122AB">
        <w:rPr>
          <w:rFonts w:ascii="Times New Roman" w:hAnsi="Times New Roman"/>
          <w:color w:val="000000" w:themeColor="text1"/>
          <w:sz w:val="16"/>
          <w:szCs w:val="16"/>
        </w:rPr>
        <w:softHyphen/>
        <w:t>его самолета (этот замок истребители отпирали сами), он освободил колеса. Чкалов завис на одной хвостовой точ</w:t>
      </w:r>
      <w:r w:rsidRPr="007122AB">
        <w:rPr>
          <w:rFonts w:ascii="Times New Roman" w:hAnsi="Times New Roman"/>
          <w:color w:val="000000" w:themeColor="text1"/>
          <w:sz w:val="16"/>
          <w:szCs w:val="16"/>
        </w:rPr>
        <w:softHyphen/>
        <w:t>ке. Однако, он быстро оценил обстановку, рванул маши</w:t>
      </w:r>
      <w:r w:rsidRPr="007122AB">
        <w:rPr>
          <w:rFonts w:ascii="Times New Roman" w:hAnsi="Times New Roman"/>
          <w:color w:val="000000" w:themeColor="text1"/>
          <w:sz w:val="16"/>
          <w:szCs w:val="16"/>
        </w:rPr>
        <w:softHyphen/>
        <w:t>ну вправо и влево, оторвался и улетел. Не растерялся и Анисимов. Быстро освободив хвост, он взлетел, как поло</w:t>
      </w:r>
      <w:r w:rsidRPr="007122AB">
        <w:rPr>
          <w:rFonts w:ascii="Times New Roman" w:hAnsi="Times New Roman"/>
          <w:color w:val="000000" w:themeColor="text1"/>
          <w:sz w:val="16"/>
          <w:szCs w:val="16"/>
        </w:rPr>
        <w:softHyphen/>
        <w:t>жено. Разумеется, после такого происшествия замки бы</w:t>
      </w:r>
      <w:r w:rsidRPr="007122AB">
        <w:rPr>
          <w:rFonts w:ascii="Times New Roman" w:hAnsi="Times New Roman"/>
          <w:color w:val="000000" w:themeColor="text1"/>
          <w:sz w:val="16"/>
          <w:szCs w:val="16"/>
        </w:rPr>
        <w:softHyphen/>
        <w:t>ли заменены новыми, предусматривавшими автомати</w:t>
      </w:r>
      <w:r w:rsidRPr="007122AB">
        <w:rPr>
          <w:rFonts w:ascii="Times New Roman" w:hAnsi="Times New Roman"/>
          <w:color w:val="000000" w:themeColor="text1"/>
          <w:sz w:val="16"/>
          <w:szCs w:val="16"/>
        </w:rPr>
        <w:softHyphen/>
        <w:t>ческое отцепление».</w:t>
      </w:r>
    </w:p>
    <w:p w14:paraId="5EDDA70B"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Летчик-испытатель </w:t>
      </w:r>
      <w:proofErr w:type="spellStart"/>
      <w:r w:rsidRPr="007122AB">
        <w:rPr>
          <w:rFonts w:ascii="Times New Roman" w:hAnsi="Times New Roman"/>
          <w:color w:val="000000" w:themeColor="text1"/>
          <w:sz w:val="16"/>
          <w:szCs w:val="16"/>
        </w:rPr>
        <w:t>П.М.Стефановский</w:t>
      </w:r>
      <w:proofErr w:type="spellEnd"/>
      <w:r w:rsidRPr="007122AB">
        <w:rPr>
          <w:rFonts w:ascii="Times New Roman" w:hAnsi="Times New Roman"/>
          <w:color w:val="000000" w:themeColor="text1"/>
          <w:sz w:val="16"/>
          <w:szCs w:val="16"/>
        </w:rPr>
        <w:t xml:space="preserve"> по-своему описал произошедшее событие: «Перед самым вылетом - он производился с подмосковного аэродрома - неожиданно поступило распоряжение: инженера Вахмистрова помес</w:t>
      </w:r>
      <w:r w:rsidRPr="007122AB">
        <w:rPr>
          <w:rFonts w:ascii="Times New Roman" w:hAnsi="Times New Roman"/>
          <w:color w:val="000000" w:themeColor="text1"/>
          <w:sz w:val="16"/>
          <w:szCs w:val="16"/>
        </w:rPr>
        <w:softHyphen/>
        <w:t>тить в кабине переднего стрелка, обязанности второго пи</w:t>
      </w:r>
      <w:r w:rsidRPr="007122AB">
        <w:rPr>
          <w:rFonts w:ascii="Times New Roman" w:hAnsi="Times New Roman"/>
          <w:color w:val="000000" w:themeColor="text1"/>
          <w:sz w:val="16"/>
          <w:szCs w:val="16"/>
        </w:rPr>
        <w:softHyphen/>
        <w:t>лота будет выполнять командир эскадрильи Андрей Роди</w:t>
      </w:r>
      <w:r w:rsidRPr="007122AB">
        <w:rPr>
          <w:rFonts w:ascii="Times New Roman" w:hAnsi="Times New Roman"/>
          <w:color w:val="000000" w:themeColor="text1"/>
          <w:sz w:val="16"/>
          <w:szCs w:val="16"/>
        </w:rPr>
        <w:softHyphen/>
        <w:t>онович Шарапов.</w:t>
      </w:r>
    </w:p>
    <w:p w14:paraId="785E27FC"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Соединенные самолеты взлетели хорошо и перешли в набор. На расчетной высоте в строго установленное вре</w:t>
      </w:r>
      <w:r w:rsidRPr="007122AB">
        <w:rPr>
          <w:rFonts w:ascii="Times New Roman" w:hAnsi="Times New Roman"/>
          <w:color w:val="000000" w:themeColor="text1"/>
          <w:sz w:val="16"/>
          <w:szCs w:val="16"/>
        </w:rPr>
        <w:softHyphen/>
        <w:t xml:space="preserve">мя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подал Шарапову сигнал - отцепить истре</w:t>
      </w:r>
      <w:r w:rsidRPr="007122AB">
        <w:rPr>
          <w:rFonts w:ascii="Times New Roman" w:hAnsi="Times New Roman"/>
          <w:color w:val="000000" w:themeColor="text1"/>
          <w:sz w:val="16"/>
          <w:szCs w:val="16"/>
        </w:rPr>
        <w:softHyphen/>
        <w:t>бители. Следовало сначала открыть задние замки, чтобы освободить хвост И-4, затем - передние: дать им возмож</w:t>
      </w:r>
      <w:r w:rsidRPr="007122AB">
        <w:rPr>
          <w:rFonts w:ascii="Times New Roman" w:hAnsi="Times New Roman"/>
          <w:color w:val="000000" w:themeColor="text1"/>
          <w:sz w:val="16"/>
          <w:szCs w:val="16"/>
        </w:rPr>
        <w:softHyphen/>
        <w:t>ность обрести самостоятельную подъемную силу и отде</w:t>
      </w:r>
      <w:r w:rsidRPr="007122AB">
        <w:rPr>
          <w:rFonts w:ascii="Times New Roman" w:hAnsi="Times New Roman"/>
          <w:color w:val="000000" w:themeColor="text1"/>
          <w:sz w:val="16"/>
          <w:szCs w:val="16"/>
        </w:rPr>
        <w:softHyphen/>
        <w:t>литься от бомбардировщика. Рукоятки, с помощью кото</w:t>
      </w:r>
      <w:r w:rsidRPr="007122AB">
        <w:rPr>
          <w:rFonts w:ascii="Times New Roman" w:hAnsi="Times New Roman"/>
          <w:color w:val="000000" w:themeColor="text1"/>
          <w:sz w:val="16"/>
          <w:szCs w:val="16"/>
        </w:rPr>
        <w:softHyphen/>
        <w:t>рых открывались передние замки, располагались внизу, в проходе между первым и вторым летчиками. И Андрей по</w:t>
      </w:r>
      <w:r w:rsidRPr="007122AB">
        <w:rPr>
          <w:rFonts w:ascii="Times New Roman" w:hAnsi="Times New Roman"/>
          <w:color w:val="000000" w:themeColor="text1"/>
          <w:sz w:val="16"/>
          <w:szCs w:val="16"/>
        </w:rPr>
        <w:softHyphen/>
        <w:t>торопился: на самолете Чкалова он раньше заднего зам</w:t>
      </w:r>
      <w:r w:rsidRPr="007122AB">
        <w:rPr>
          <w:rFonts w:ascii="Times New Roman" w:hAnsi="Times New Roman"/>
          <w:color w:val="000000" w:themeColor="text1"/>
          <w:sz w:val="16"/>
          <w:szCs w:val="16"/>
        </w:rPr>
        <w:softHyphen/>
        <w:t>ка открыл передние.</w:t>
      </w:r>
    </w:p>
    <w:p w14:paraId="4F30EA54"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Чкалов тут же почувствовал: хотя шасси и освобождено, хвост по-прежнему «на привязи». Стремительно растет подъемная сила. Сейчас последует петля вокруг закреп</w:t>
      </w:r>
      <w:r w:rsidRPr="007122AB">
        <w:rPr>
          <w:rFonts w:ascii="Times New Roman" w:hAnsi="Times New Roman"/>
          <w:color w:val="000000" w:themeColor="text1"/>
          <w:sz w:val="16"/>
          <w:szCs w:val="16"/>
        </w:rPr>
        <w:softHyphen/>
        <w:t>ленного хвоста и... Валерий Павлович мгновенно оценил создавшееся положение и немедленно отреагировал. Он резко дал руля, открыл крепление заднего замка и, силь</w:t>
      </w:r>
      <w:r w:rsidRPr="007122AB">
        <w:rPr>
          <w:rFonts w:ascii="Times New Roman" w:hAnsi="Times New Roman"/>
          <w:color w:val="000000" w:themeColor="text1"/>
          <w:sz w:val="16"/>
          <w:szCs w:val="16"/>
        </w:rPr>
        <w:softHyphen/>
        <w:t>но вогнув колесами верхнюю обшивку бомбардировщика, унесся в свободный полет.</w:t>
      </w:r>
    </w:p>
    <w:p w14:paraId="229A750E"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Истребитель Анисимова все еще находился на крыле бомбардировщика. Вопреки ранее высказанным опасени</w:t>
      </w:r>
      <w:r w:rsidRPr="007122AB">
        <w:rPr>
          <w:rFonts w:ascii="Times New Roman" w:hAnsi="Times New Roman"/>
          <w:color w:val="000000" w:themeColor="text1"/>
          <w:sz w:val="16"/>
          <w:szCs w:val="16"/>
        </w:rPr>
        <w:softHyphen/>
        <w:t>ям ТБ-1 сохранял вполне достаточную управляемость. Поэтому последняя задача испытаний оказалась выполнен</w:t>
      </w:r>
      <w:r w:rsidRPr="007122AB">
        <w:rPr>
          <w:rFonts w:ascii="Times New Roman" w:hAnsi="Times New Roman"/>
          <w:color w:val="000000" w:themeColor="text1"/>
          <w:sz w:val="16"/>
          <w:szCs w:val="16"/>
        </w:rPr>
        <w:softHyphen/>
        <w:t>ной в числе первых.</w:t>
      </w:r>
    </w:p>
    <w:p w14:paraId="1A895A14"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отцеплении самолета Анисимова Шарапов действо</w:t>
      </w:r>
      <w:r w:rsidRPr="007122AB">
        <w:rPr>
          <w:rFonts w:ascii="Times New Roman" w:hAnsi="Times New Roman"/>
          <w:color w:val="000000" w:themeColor="text1"/>
          <w:sz w:val="16"/>
          <w:szCs w:val="16"/>
        </w:rPr>
        <w:softHyphen/>
        <w:t>вал уже хладнокровно. Разъединение прошло благо</w:t>
      </w:r>
      <w:r w:rsidRPr="007122AB">
        <w:rPr>
          <w:rFonts w:ascii="Times New Roman" w:hAnsi="Times New Roman"/>
          <w:color w:val="000000" w:themeColor="text1"/>
          <w:sz w:val="16"/>
          <w:szCs w:val="16"/>
        </w:rPr>
        <w:softHyphen/>
        <w:t>получно.</w:t>
      </w:r>
    </w:p>
    <w:p w14:paraId="22516964"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Владимир Сергеевич Вахмистров после этого полета за</w:t>
      </w:r>
      <w:r w:rsidRPr="007122AB">
        <w:rPr>
          <w:rFonts w:ascii="Times New Roman" w:hAnsi="Times New Roman"/>
          <w:color w:val="000000" w:themeColor="text1"/>
          <w:sz w:val="16"/>
          <w:szCs w:val="16"/>
        </w:rPr>
        <w:softHyphen/>
        <w:t>таил некоторую неприязнь к Андрею Шарапову. Хотя сам убедился, что в конструкции нужно произвести ряд пере</w:t>
      </w:r>
      <w:r w:rsidRPr="007122AB">
        <w:rPr>
          <w:rFonts w:ascii="Times New Roman" w:hAnsi="Times New Roman"/>
          <w:color w:val="000000" w:themeColor="text1"/>
          <w:sz w:val="16"/>
          <w:szCs w:val="16"/>
        </w:rPr>
        <w:softHyphen/>
        <w:t>делок. Прежде всего, механизм разъединения самолетов он перенес в кабины истребителей. Теперь летчики носи</w:t>
      </w:r>
      <w:r w:rsidRPr="007122AB">
        <w:rPr>
          <w:rFonts w:ascii="Times New Roman" w:hAnsi="Times New Roman"/>
          <w:color w:val="000000" w:themeColor="text1"/>
          <w:sz w:val="16"/>
          <w:szCs w:val="16"/>
        </w:rPr>
        <w:softHyphen/>
        <w:t>мых машин, получив команду на отрыв, сами открывали хвостовые замки и с помощью руля глубины удерживали самолеты на двух передних точках. Для полного отрыва им надо было только взять на себя ручку управления. Перед</w:t>
      </w:r>
      <w:r w:rsidRPr="007122AB">
        <w:rPr>
          <w:rFonts w:ascii="Times New Roman" w:hAnsi="Times New Roman"/>
          <w:color w:val="000000" w:themeColor="text1"/>
          <w:sz w:val="16"/>
          <w:szCs w:val="16"/>
        </w:rPr>
        <w:softHyphen/>
        <w:t>ние крепления сразу размыкались, и истребители, оторвав</w:t>
      </w:r>
      <w:r w:rsidRPr="007122AB">
        <w:rPr>
          <w:rFonts w:ascii="Times New Roman" w:hAnsi="Times New Roman"/>
          <w:color w:val="000000" w:themeColor="text1"/>
          <w:sz w:val="16"/>
          <w:szCs w:val="16"/>
        </w:rPr>
        <w:softHyphen/>
        <w:t>шись от плоскости ТБ-1, поднимались метров на десять вверх, несколько отставая от бомбардировщика» (20345).</w:t>
      </w:r>
    </w:p>
    <w:p w14:paraId="2844D6AE" w14:textId="77777777" w:rsidR="00181C0F" w:rsidRPr="007122AB" w:rsidRDefault="00181C0F" w:rsidP="007122AB">
      <w:pPr>
        <w:spacing w:after="0" w:line="240" w:lineRule="auto"/>
        <w:jc w:val="both"/>
        <w:rPr>
          <w:rFonts w:ascii="Times New Roman" w:hAnsi="Times New Roman"/>
          <w:color w:val="000000" w:themeColor="text1"/>
          <w:sz w:val="16"/>
          <w:szCs w:val="16"/>
        </w:rPr>
      </w:pPr>
    </w:p>
    <w:p w14:paraId="3D512854"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в Монино состоялось первое испытание составного авианосца. На его крыльях были специальными замками закреплены два истребителя И-4, нижние плоскости которых были удалены в целях защиты от вращающихся винтов тяжёлого бомбардировщика.</w:t>
      </w:r>
    </w:p>
    <w:p w14:paraId="6D84FBA6" w14:textId="77777777" w:rsidR="00181C0F" w:rsidRPr="007122AB" w:rsidRDefault="00181C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испытательный полёт прошёл успешно и все 3 самолёта благополучно совершили посадку (21535).</w:t>
      </w:r>
    </w:p>
    <w:p w14:paraId="21B7070B" w14:textId="77777777" w:rsidR="00181C0F" w:rsidRPr="007122AB" w:rsidRDefault="00181C0F" w:rsidP="007122AB">
      <w:pPr>
        <w:spacing w:after="0" w:line="240" w:lineRule="auto"/>
        <w:jc w:val="both"/>
        <w:rPr>
          <w:rFonts w:ascii="Times New Roman" w:hAnsi="Times New Roman"/>
          <w:color w:val="000000" w:themeColor="text1"/>
          <w:sz w:val="16"/>
          <w:szCs w:val="16"/>
        </w:rPr>
      </w:pPr>
    </w:p>
    <w:p w14:paraId="0C86BF77" w14:textId="77777777" w:rsidR="00033D69" w:rsidRPr="009F5089" w:rsidRDefault="00033D69" w:rsidP="00033D69">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3 </w:t>
      </w:r>
      <w:r w:rsidRPr="009F5089">
        <w:rPr>
          <w:rFonts w:ascii="Times New Roman" w:hAnsi="Times New Roman"/>
          <w:color w:val="0070C0"/>
          <w:sz w:val="16"/>
          <w:szCs w:val="16"/>
        </w:rPr>
        <w:t>де</w:t>
      </w:r>
      <w:r>
        <w:rPr>
          <w:rFonts w:ascii="Times New Roman" w:hAnsi="Times New Roman"/>
          <w:color w:val="0070C0"/>
          <w:sz w:val="16"/>
          <w:szCs w:val="16"/>
        </w:rPr>
        <w:t>ка</w:t>
      </w:r>
      <w:r w:rsidRPr="009F5089">
        <w:rPr>
          <w:rFonts w:ascii="Times New Roman" w:hAnsi="Times New Roman"/>
          <w:color w:val="0070C0"/>
          <w:sz w:val="16"/>
          <w:szCs w:val="16"/>
        </w:rPr>
        <w:t>б</w:t>
      </w:r>
      <w:r>
        <w:rPr>
          <w:rFonts w:ascii="Times New Roman" w:hAnsi="Times New Roman"/>
          <w:color w:val="0070C0"/>
          <w:sz w:val="16"/>
          <w:szCs w:val="16"/>
        </w:rPr>
        <w:t>р</w:t>
      </w:r>
      <w:r w:rsidRPr="009F5089">
        <w:rPr>
          <w:rFonts w:ascii="Times New Roman" w:hAnsi="Times New Roman"/>
          <w:color w:val="0070C0"/>
          <w:sz w:val="16"/>
          <w:szCs w:val="16"/>
        </w:rPr>
        <w:t>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с</w:t>
      </w:r>
      <w:r w:rsidRPr="009F5089">
        <w:rPr>
          <w:rFonts w:ascii="Times New Roman" w:hAnsi="Times New Roman"/>
          <w:color w:val="0070C0"/>
          <w:sz w:val="16"/>
          <w:szCs w:val="16"/>
        </w:rPr>
        <w:t>остоялся первый в мире опытный полет са</w:t>
      </w:r>
      <w:r>
        <w:rPr>
          <w:rFonts w:ascii="Times New Roman" w:hAnsi="Times New Roman"/>
          <w:color w:val="0070C0"/>
          <w:sz w:val="16"/>
          <w:szCs w:val="16"/>
        </w:rPr>
        <w:t>м</w:t>
      </w:r>
      <w:r w:rsidRPr="009F5089">
        <w:rPr>
          <w:rFonts w:ascii="Times New Roman" w:hAnsi="Times New Roman"/>
          <w:color w:val="0070C0"/>
          <w:sz w:val="16"/>
          <w:szCs w:val="16"/>
        </w:rPr>
        <w:t>олет</w:t>
      </w:r>
      <w:r>
        <w:rPr>
          <w:rFonts w:ascii="Times New Roman" w:hAnsi="Times New Roman"/>
          <w:color w:val="0070C0"/>
          <w:sz w:val="16"/>
          <w:szCs w:val="16"/>
        </w:rPr>
        <w:t>а</w:t>
      </w:r>
      <w:r w:rsidRPr="009F5089">
        <w:rPr>
          <w:rFonts w:ascii="Times New Roman" w:hAnsi="Times New Roman"/>
          <w:color w:val="0070C0"/>
          <w:sz w:val="16"/>
          <w:szCs w:val="16"/>
        </w:rPr>
        <w:t>-ави</w:t>
      </w:r>
      <w:r>
        <w:rPr>
          <w:rFonts w:ascii="Times New Roman" w:hAnsi="Times New Roman"/>
          <w:color w:val="0070C0"/>
          <w:sz w:val="16"/>
          <w:szCs w:val="16"/>
        </w:rPr>
        <w:t>а</w:t>
      </w:r>
      <w:r w:rsidRPr="009F5089">
        <w:rPr>
          <w:rFonts w:ascii="Times New Roman" w:hAnsi="Times New Roman"/>
          <w:color w:val="0070C0"/>
          <w:sz w:val="16"/>
          <w:szCs w:val="16"/>
        </w:rPr>
        <w:t>нос</w:t>
      </w:r>
      <w:r>
        <w:rPr>
          <w:rFonts w:ascii="Times New Roman" w:hAnsi="Times New Roman"/>
          <w:color w:val="0070C0"/>
          <w:sz w:val="16"/>
          <w:szCs w:val="16"/>
        </w:rPr>
        <w:t>ца с двумя</w:t>
      </w:r>
      <w:r w:rsidRPr="009F5089">
        <w:rPr>
          <w:rFonts w:ascii="Times New Roman" w:hAnsi="Times New Roman"/>
          <w:color w:val="0070C0"/>
          <w:sz w:val="16"/>
          <w:szCs w:val="16"/>
        </w:rPr>
        <w:t xml:space="preserve"> </w:t>
      </w:r>
      <w:r>
        <w:rPr>
          <w:rFonts w:ascii="Times New Roman" w:hAnsi="Times New Roman"/>
          <w:color w:val="0070C0"/>
          <w:sz w:val="16"/>
          <w:szCs w:val="16"/>
        </w:rPr>
        <w:t>и</w:t>
      </w:r>
      <w:r w:rsidRPr="009F5089">
        <w:rPr>
          <w:rFonts w:ascii="Times New Roman" w:hAnsi="Times New Roman"/>
          <w:color w:val="0070C0"/>
          <w:sz w:val="16"/>
          <w:szCs w:val="16"/>
        </w:rPr>
        <w:t>стр</w:t>
      </w:r>
      <w:r>
        <w:rPr>
          <w:rFonts w:ascii="Times New Roman" w:hAnsi="Times New Roman"/>
          <w:color w:val="0070C0"/>
          <w:sz w:val="16"/>
          <w:szCs w:val="16"/>
        </w:rPr>
        <w:t>е</w:t>
      </w:r>
      <w:r w:rsidRPr="009F5089">
        <w:rPr>
          <w:rFonts w:ascii="Times New Roman" w:hAnsi="Times New Roman"/>
          <w:color w:val="0070C0"/>
          <w:sz w:val="16"/>
          <w:szCs w:val="16"/>
        </w:rPr>
        <w:t>б</w:t>
      </w:r>
      <w:r>
        <w:rPr>
          <w:rFonts w:ascii="Times New Roman" w:hAnsi="Times New Roman"/>
          <w:color w:val="0070C0"/>
          <w:sz w:val="16"/>
          <w:szCs w:val="16"/>
        </w:rPr>
        <w:t>и</w:t>
      </w:r>
      <w:r w:rsidRPr="009F5089">
        <w:rPr>
          <w:rFonts w:ascii="Times New Roman" w:hAnsi="Times New Roman"/>
          <w:color w:val="0070C0"/>
          <w:sz w:val="16"/>
          <w:szCs w:val="16"/>
        </w:rPr>
        <w:t>телям</w:t>
      </w:r>
      <w:r>
        <w:rPr>
          <w:rFonts w:ascii="Times New Roman" w:hAnsi="Times New Roman"/>
          <w:color w:val="0070C0"/>
          <w:sz w:val="16"/>
          <w:szCs w:val="16"/>
        </w:rPr>
        <w:t>и</w:t>
      </w:r>
      <w:r w:rsidRPr="009F5089">
        <w:rPr>
          <w:rFonts w:ascii="Times New Roman" w:hAnsi="Times New Roman"/>
          <w:color w:val="0070C0"/>
          <w:sz w:val="16"/>
          <w:szCs w:val="16"/>
        </w:rPr>
        <w:t xml:space="preserve"> на крыльях.</w:t>
      </w:r>
      <w:r>
        <w:rPr>
          <w:rFonts w:ascii="Times New Roman" w:hAnsi="Times New Roman"/>
          <w:color w:val="0070C0"/>
          <w:sz w:val="16"/>
          <w:szCs w:val="16"/>
        </w:rPr>
        <w:t xml:space="preserve"> С</w:t>
      </w:r>
      <w:r w:rsidRPr="009F5089">
        <w:rPr>
          <w:rFonts w:ascii="Times New Roman" w:hAnsi="Times New Roman"/>
          <w:color w:val="0070C0"/>
          <w:sz w:val="16"/>
          <w:szCs w:val="16"/>
        </w:rPr>
        <w:t xml:space="preserve">амолетом ТБ-1 управляли летчики </w:t>
      </w:r>
      <w:r>
        <w:rPr>
          <w:rFonts w:ascii="Times New Roman" w:hAnsi="Times New Roman"/>
          <w:color w:val="0070C0"/>
          <w:sz w:val="16"/>
          <w:szCs w:val="16"/>
        </w:rPr>
        <w:t xml:space="preserve">НИИ ВВС </w:t>
      </w:r>
      <w:proofErr w:type="spellStart"/>
      <w:r w:rsidRPr="009F5089">
        <w:rPr>
          <w:rFonts w:ascii="Times New Roman" w:hAnsi="Times New Roman"/>
          <w:color w:val="0070C0"/>
          <w:sz w:val="16"/>
          <w:szCs w:val="16"/>
        </w:rPr>
        <w:t>А</w:t>
      </w:r>
      <w:r>
        <w:rPr>
          <w:rFonts w:ascii="Times New Roman" w:hAnsi="Times New Roman"/>
          <w:color w:val="0070C0"/>
          <w:sz w:val="16"/>
          <w:szCs w:val="16"/>
        </w:rPr>
        <w:t>.И</w:t>
      </w:r>
      <w:r w:rsidRPr="009F5089">
        <w:rPr>
          <w:rFonts w:ascii="Times New Roman" w:hAnsi="Times New Roman"/>
          <w:color w:val="0070C0"/>
          <w:sz w:val="16"/>
          <w:szCs w:val="16"/>
        </w:rPr>
        <w:t>.Заленский</w:t>
      </w:r>
      <w:proofErr w:type="spellEnd"/>
      <w:r w:rsidRPr="009F5089">
        <w:rPr>
          <w:rFonts w:ascii="Times New Roman" w:hAnsi="Times New Roman"/>
          <w:color w:val="0070C0"/>
          <w:sz w:val="16"/>
          <w:szCs w:val="16"/>
        </w:rPr>
        <w:t xml:space="preserve"> я </w:t>
      </w:r>
      <w:proofErr w:type="spellStart"/>
      <w:r w:rsidRPr="009F5089">
        <w:rPr>
          <w:rFonts w:ascii="Times New Roman" w:hAnsi="Times New Roman"/>
          <w:color w:val="0070C0"/>
          <w:sz w:val="16"/>
          <w:szCs w:val="16"/>
        </w:rPr>
        <w:t>А.Р.Шарапов</w:t>
      </w:r>
      <w:proofErr w:type="spellEnd"/>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истребителями И-4 - </w:t>
      </w:r>
      <w:proofErr w:type="spellStart"/>
      <w:r w:rsidRPr="009F5089">
        <w:rPr>
          <w:rFonts w:ascii="Times New Roman" w:hAnsi="Times New Roman"/>
          <w:color w:val="0070C0"/>
          <w:sz w:val="16"/>
          <w:szCs w:val="16"/>
        </w:rPr>
        <w:t>А.</w:t>
      </w:r>
      <w:r>
        <w:rPr>
          <w:rFonts w:ascii="Times New Roman" w:hAnsi="Times New Roman"/>
          <w:color w:val="0070C0"/>
          <w:sz w:val="16"/>
          <w:szCs w:val="16"/>
        </w:rPr>
        <w:t>А</w:t>
      </w:r>
      <w:r w:rsidRPr="009F5089">
        <w:rPr>
          <w:rFonts w:ascii="Times New Roman" w:hAnsi="Times New Roman"/>
          <w:color w:val="0070C0"/>
          <w:sz w:val="16"/>
          <w:szCs w:val="16"/>
        </w:rPr>
        <w:t>.Анисимов</w:t>
      </w:r>
      <w:proofErr w:type="spellEnd"/>
      <w:r>
        <w:rPr>
          <w:rFonts w:ascii="Times New Roman" w:hAnsi="Times New Roman"/>
          <w:color w:val="0070C0"/>
          <w:sz w:val="16"/>
          <w:szCs w:val="16"/>
        </w:rPr>
        <w:t xml:space="preserve"> и </w:t>
      </w:r>
      <w:proofErr w:type="spellStart"/>
      <w:r>
        <w:rPr>
          <w:rFonts w:ascii="Times New Roman" w:hAnsi="Times New Roman"/>
          <w:color w:val="0070C0"/>
          <w:sz w:val="16"/>
          <w:szCs w:val="16"/>
        </w:rPr>
        <w:t>В.П.</w:t>
      </w:r>
      <w:r w:rsidRPr="009F5089">
        <w:rPr>
          <w:rFonts w:ascii="Times New Roman" w:hAnsi="Times New Roman"/>
          <w:color w:val="0070C0"/>
          <w:sz w:val="16"/>
          <w:szCs w:val="16"/>
        </w:rPr>
        <w:t>Чкалов</w:t>
      </w:r>
      <w:proofErr w:type="spellEnd"/>
      <w:r w:rsidRPr="009F5089">
        <w:rPr>
          <w:rFonts w:ascii="Times New Roman" w:hAnsi="Times New Roman"/>
          <w:color w:val="0070C0"/>
          <w:sz w:val="16"/>
          <w:szCs w:val="16"/>
        </w:rPr>
        <w:t xml:space="preserve">. Авианосец удачно взлетел, и оба истребителя на </w:t>
      </w:r>
      <w:proofErr w:type="spellStart"/>
      <w:r w:rsidRPr="009F5089">
        <w:rPr>
          <w:rFonts w:ascii="Times New Roman" w:hAnsi="Times New Roman"/>
          <w:color w:val="0070C0"/>
          <w:sz w:val="16"/>
          <w:szCs w:val="16"/>
        </w:rPr>
        <w:t>внсоте</w:t>
      </w:r>
      <w:proofErr w:type="spellEnd"/>
      <w:r w:rsidRPr="009F5089">
        <w:rPr>
          <w:rFonts w:ascii="Times New Roman" w:hAnsi="Times New Roman"/>
          <w:color w:val="0070C0"/>
          <w:sz w:val="16"/>
          <w:szCs w:val="16"/>
        </w:rPr>
        <w:t xml:space="preserve"> </w:t>
      </w:r>
      <w:r>
        <w:rPr>
          <w:rFonts w:ascii="Times New Roman" w:hAnsi="Times New Roman"/>
          <w:color w:val="0070C0"/>
          <w:sz w:val="16"/>
          <w:szCs w:val="16"/>
        </w:rPr>
        <w:t>1000</w:t>
      </w:r>
      <w:r w:rsidRPr="009F5089">
        <w:rPr>
          <w:rFonts w:ascii="Times New Roman" w:hAnsi="Times New Roman"/>
          <w:color w:val="0070C0"/>
          <w:sz w:val="16"/>
          <w:szCs w:val="16"/>
        </w:rPr>
        <w:t xml:space="preserve"> м бы</w:t>
      </w:r>
      <w:r>
        <w:rPr>
          <w:rFonts w:ascii="Times New Roman" w:hAnsi="Times New Roman"/>
          <w:color w:val="0070C0"/>
          <w:sz w:val="16"/>
          <w:szCs w:val="16"/>
        </w:rPr>
        <w:t>ли</w:t>
      </w:r>
      <w:r w:rsidRPr="009F5089">
        <w:rPr>
          <w:rFonts w:ascii="Times New Roman" w:hAnsi="Times New Roman"/>
          <w:color w:val="0070C0"/>
          <w:sz w:val="16"/>
          <w:szCs w:val="16"/>
        </w:rPr>
        <w:t xml:space="preserve"> отцеплены. Приспособил самолет под авианосец инженер НИИ </w:t>
      </w:r>
      <w:r>
        <w:rPr>
          <w:rFonts w:ascii="Times New Roman" w:hAnsi="Times New Roman"/>
          <w:color w:val="0070C0"/>
          <w:sz w:val="16"/>
          <w:szCs w:val="16"/>
        </w:rPr>
        <w:t xml:space="preserve">ВВС Владимир </w:t>
      </w:r>
      <w:r w:rsidRPr="009F5089">
        <w:rPr>
          <w:rFonts w:ascii="Times New Roman" w:hAnsi="Times New Roman"/>
          <w:color w:val="0070C0"/>
          <w:sz w:val="16"/>
          <w:szCs w:val="16"/>
        </w:rPr>
        <w:t>Сергеевич Вахмистров,</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почему авианосец и назывался “звеном </w:t>
      </w:r>
      <w:r>
        <w:rPr>
          <w:rFonts w:ascii="Times New Roman" w:hAnsi="Times New Roman"/>
          <w:color w:val="0070C0"/>
          <w:sz w:val="16"/>
          <w:szCs w:val="16"/>
        </w:rPr>
        <w:t>Вахмистрова</w:t>
      </w:r>
      <w:r w:rsidRPr="009F5089">
        <w:rPr>
          <w:rFonts w:ascii="Times New Roman" w:hAnsi="Times New Roman"/>
          <w:color w:val="0070C0"/>
          <w:sz w:val="16"/>
          <w:szCs w:val="16"/>
        </w:rPr>
        <w:t xml:space="preserve"> “</w:t>
      </w:r>
      <w:r>
        <w:rPr>
          <w:rFonts w:ascii="Times New Roman" w:hAnsi="Times New Roman"/>
          <w:color w:val="0070C0"/>
          <w:sz w:val="16"/>
          <w:szCs w:val="16"/>
        </w:rPr>
        <w:t xml:space="preserve">ю </w:t>
      </w:r>
      <w:r w:rsidRPr="009F5089">
        <w:rPr>
          <w:rFonts w:ascii="Times New Roman" w:hAnsi="Times New Roman"/>
          <w:color w:val="0070C0"/>
          <w:sz w:val="16"/>
          <w:szCs w:val="16"/>
        </w:rPr>
        <w:t>В проведенном опыт</w:t>
      </w:r>
      <w:r>
        <w:rPr>
          <w:rFonts w:ascii="Times New Roman" w:hAnsi="Times New Roman"/>
          <w:color w:val="0070C0"/>
          <w:sz w:val="16"/>
          <w:szCs w:val="16"/>
        </w:rPr>
        <w:t>е</w:t>
      </w:r>
      <w:r w:rsidRPr="009F5089">
        <w:rPr>
          <w:rFonts w:ascii="Times New Roman" w:hAnsi="Times New Roman"/>
          <w:color w:val="0070C0"/>
          <w:sz w:val="16"/>
          <w:szCs w:val="16"/>
        </w:rPr>
        <w:t xml:space="preserve"> осуществлена идея транспортировки</w:t>
      </w:r>
      <w:r>
        <w:rPr>
          <w:rFonts w:ascii="Times New Roman" w:hAnsi="Times New Roman"/>
          <w:color w:val="0070C0"/>
          <w:sz w:val="16"/>
          <w:szCs w:val="16"/>
        </w:rPr>
        <w:t xml:space="preserve"> ист</w:t>
      </w:r>
      <w:r w:rsidRPr="009F5089">
        <w:rPr>
          <w:rFonts w:ascii="Times New Roman" w:hAnsi="Times New Roman"/>
          <w:color w:val="0070C0"/>
          <w:sz w:val="16"/>
          <w:szCs w:val="16"/>
        </w:rPr>
        <w:t>реб</w:t>
      </w:r>
      <w:r>
        <w:rPr>
          <w:rFonts w:ascii="Times New Roman" w:hAnsi="Times New Roman"/>
          <w:color w:val="0070C0"/>
          <w:sz w:val="16"/>
          <w:szCs w:val="16"/>
        </w:rPr>
        <w:t>и</w:t>
      </w:r>
      <w:r w:rsidRPr="009F5089">
        <w:rPr>
          <w:rFonts w:ascii="Times New Roman" w:hAnsi="Times New Roman"/>
          <w:color w:val="0070C0"/>
          <w:sz w:val="16"/>
          <w:szCs w:val="16"/>
        </w:rPr>
        <w:t>теле</w:t>
      </w:r>
      <w:r>
        <w:rPr>
          <w:rFonts w:ascii="Times New Roman" w:hAnsi="Times New Roman"/>
          <w:color w:val="0070C0"/>
          <w:sz w:val="16"/>
          <w:szCs w:val="16"/>
        </w:rPr>
        <w:t>й</w:t>
      </w:r>
      <w:r w:rsidRPr="009F5089">
        <w:rPr>
          <w:rFonts w:ascii="Times New Roman" w:hAnsi="Times New Roman"/>
          <w:color w:val="0070C0"/>
          <w:sz w:val="16"/>
          <w:szCs w:val="16"/>
        </w:rPr>
        <w:t xml:space="preserve"> тяжелым самолетом, что весьма важно для бомбардировщиков </w:t>
      </w:r>
      <w:r>
        <w:rPr>
          <w:rFonts w:ascii="Times New Roman" w:hAnsi="Times New Roman"/>
          <w:color w:val="0070C0"/>
          <w:sz w:val="16"/>
          <w:szCs w:val="16"/>
        </w:rPr>
        <w:t>и</w:t>
      </w:r>
      <w:r w:rsidRPr="009F5089">
        <w:rPr>
          <w:rFonts w:ascii="Times New Roman" w:hAnsi="Times New Roman"/>
          <w:color w:val="0070C0"/>
          <w:sz w:val="16"/>
          <w:szCs w:val="16"/>
        </w:rPr>
        <w:t xml:space="preserve"> </w:t>
      </w:r>
      <w:r>
        <w:rPr>
          <w:rFonts w:ascii="Times New Roman" w:hAnsi="Times New Roman"/>
          <w:color w:val="0070C0"/>
          <w:sz w:val="16"/>
          <w:szCs w:val="16"/>
        </w:rPr>
        <w:t>охраняющих</w:t>
      </w:r>
      <w:r w:rsidRPr="009F5089">
        <w:rPr>
          <w:rFonts w:ascii="Times New Roman" w:hAnsi="Times New Roman"/>
          <w:color w:val="0070C0"/>
          <w:sz w:val="16"/>
          <w:szCs w:val="16"/>
        </w:rPr>
        <w:t xml:space="preserve"> их истребителей сопровождения. В 1933-35 гг.</w:t>
      </w:r>
      <w:r>
        <w:rPr>
          <w:rFonts w:ascii="Times New Roman" w:hAnsi="Times New Roman"/>
          <w:color w:val="0070C0"/>
          <w:sz w:val="16"/>
          <w:szCs w:val="16"/>
        </w:rPr>
        <w:t xml:space="preserve"> </w:t>
      </w:r>
      <w:r w:rsidRPr="009F5089">
        <w:rPr>
          <w:rFonts w:ascii="Times New Roman" w:hAnsi="Times New Roman"/>
          <w:color w:val="0070C0"/>
          <w:sz w:val="16"/>
          <w:szCs w:val="16"/>
        </w:rPr>
        <w:t>оп</w:t>
      </w:r>
      <w:r>
        <w:rPr>
          <w:rFonts w:ascii="Times New Roman" w:hAnsi="Times New Roman"/>
          <w:color w:val="0070C0"/>
          <w:sz w:val="16"/>
          <w:szCs w:val="16"/>
        </w:rPr>
        <w:t>ы</w:t>
      </w:r>
      <w:r w:rsidRPr="009F5089">
        <w:rPr>
          <w:rFonts w:ascii="Times New Roman" w:hAnsi="Times New Roman"/>
          <w:color w:val="0070C0"/>
          <w:sz w:val="16"/>
          <w:szCs w:val="16"/>
        </w:rPr>
        <w:t>т Вахми</w:t>
      </w:r>
      <w:r>
        <w:rPr>
          <w:rFonts w:ascii="Times New Roman" w:hAnsi="Times New Roman"/>
          <w:color w:val="0070C0"/>
          <w:sz w:val="16"/>
          <w:szCs w:val="16"/>
        </w:rPr>
        <w:t>строва</w:t>
      </w:r>
      <w:r w:rsidRPr="009F5089">
        <w:rPr>
          <w:rFonts w:ascii="Times New Roman" w:hAnsi="Times New Roman"/>
          <w:color w:val="0070C0"/>
          <w:sz w:val="16"/>
          <w:szCs w:val="16"/>
        </w:rPr>
        <w:t xml:space="preserve"> был повторен в усложненной обстановке: авианосец ТБ—</w:t>
      </w:r>
      <w:r>
        <w:rPr>
          <w:rFonts w:ascii="Times New Roman" w:hAnsi="Times New Roman"/>
          <w:color w:val="0070C0"/>
          <w:sz w:val="16"/>
          <w:szCs w:val="16"/>
        </w:rPr>
        <w:t>3</w:t>
      </w:r>
      <w:r w:rsidRPr="009F5089">
        <w:rPr>
          <w:rFonts w:ascii="Times New Roman" w:hAnsi="Times New Roman"/>
          <w:color w:val="0070C0"/>
          <w:sz w:val="16"/>
          <w:szCs w:val="16"/>
        </w:rPr>
        <w:t xml:space="preserve"> взлетал  с четырьмя истребителями.</w:t>
      </w:r>
    </w:p>
    <w:p w14:paraId="286BED48" w14:textId="77777777" w:rsidR="00033D69" w:rsidRDefault="00033D69" w:rsidP="00033D69">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w:t>
      </w:r>
      <w:r w:rsidRPr="009F5089">
        <w:rPr>
          <w:rFonts w:ascii="Times New Roman" w:hAnsi="Times New Roman"/>
          <w:color w:val="0070C0"/>
          <w:sz w:val="16"/>
          <w:szCs w:val="16"/>
        </w:rPr>
        <w:t>Крылья род</w:t>
      </w:r>
      <w:r>
        <w:rPr>
          <w:rFonts w:ascii="Times New Roman" w:hAnsi="Times New Roman"/>
          <w:color w:val="0070C0"/>
          <w:sz w:val="16"/>
          <w:szCs w:val="16"/>
        </w:rPr>
        <w:t>ины»</w:t>
      </w:r>
      <w:r w:rsidRPr="009F5089">
        <w:rPr>
          <w:rFonts w:ascii="Times New Roman" w:hAnsi="Times New Roman"/>
          <w:color w:val="0070C0"/>
          <w:sz w:val="16"/>
          <w:szCs w:val="16"/>
        </w:rPr>
        <w:t xml:space="preserve">, 1951 </w:t>
      </w:r>
      <w:r>
        <w:rPr>
          <w:rFonts w:ascii="Times New Roman" w:hAnsi="Times New Roman"/>
          <w:color w:val="0070C0"/>
          <w:sz w:val="16"/>
          <w:szCs w:val="16"/>
        </w:rPr>
        <w:t>№</w:t>
      </w:r>
      <w:r w:rsidRPr="009F5089">
        <w:rPr>
          <w:rFonts w:ascii="Times New Roman" w:hAnsi="Times New Roman"/>
          <w:color w:val="0070C0"/>
          <w:sz w:val="16"/>
          <w:szCs w:val="16"/>
        </w:rPr>
        <w:t xml:space="preserve"> 11;</w:t>
      </w:r>
      <w:r>
        <w:rPr>
          <w:rFonts w:ascii="Times New Roman" w:hAnsi="Times New Roman"/>
          <w:color w:val="0070C0"/>
          <w:sz w:val="16"/>
          <w:szCs w:val="16"/>
        </w:rPr>
        <w:t xml:space="preserve"> «С</w:t>
      </w:r>
      <w:r w:rsidRPr="009F5089">
        <w:rPr>
          <w:rFonts w:ascii="Times New Roman" w:hAnsi="Times New Roman"/>
          <w:color w:val="0070C0"/>
          <w:sz w:val="16"/>
          <w:szCs w:val="16"/>
        </w:rPr>
        <w:t>оветская</w:t>
      </w:r>
      <w:r>
        <w:rPr>
          <w:rFonts w:ascii="Times New Roman" w:hAnsi="Times New Roman"/>
          <w:color w:val="0070C0"/>
          <w:sz w:val="16"/>
          <w:szCs w:val="16"/>
        </w:rPr>
        <w:t xml:space="preserve"> </w:t>
      </w:r>
      <w:r w:rsidRPr="009F5089">
        <w:rPr>
          <w:rFonts w:ascii="Times New Roman" w:hAnsi="Times New Roman"/>
          <w:color w:val="0070C0"/>
          <w:sz w:val="16"/>
          <w:szCs w:val="16"/>
        </w:rPr>
        <w:t>авиация</w:t>
      </w:r>
      <w:r>
        <w:rPr>
          <w:rFonts w:ascii="Times New Roman" w:hAnsi="Times New Roman"/>
          <w:color w:val="0070C0"/>
          <w:sz w:val="16"/>
          <w:szCs w:val="16"/>
        </w:rPr>
        <w:t>»</w:t>
      </w:r>
      <w:r w:rsidRPr="009F5089">
        <w:rPr>
          <w:rFonts w:ascii="Times New Roman" w:hAnsi="Times New Roman"/>
          <w:color w:val="0070C0"/>
          <w:sz w:val="16"/>
          <w:szCs w:val="16"/>
        </w:rPr>
        <w:t xml:space="preserve"> за 2 декабря 1956/</w:t>
      </w:r>
      <w:r>
        <w:rPr>
          <w:rFonts w:ascii="Times New Roman" w:hAnsi="Times New Roman"/>
          <w:color w:val="0070C0"/>
          <w:sz w:val="16"/>
          <w:szCs w:val="16"/>
        </w:rPr>
        <w:t xml:space="preserve"> (23370).</w:t>
      </w:r>
    </w:p>
    <w:p w14:paraId="4F7AADB6" w14:textId="77777777" w:rsidR="00033D69" w:rsidRPr="009F5089" w:rsidRDefault="00033D69" w:rsidP="00033D69">
      <w:pPr>
        <w:spacing w:after="0" w:line="240" w:lineRule="auto"/>
        <w:jc w:val="both"/>
        <w:rPr>
          <w:rFonts w:ascii="Times New Roman" w:hAnsi="Times New Roman"/>
          <w:color w:val="0070C0"/>
          <w:sz w:val="16"/>
          <w:szCs w:val="16"/>
        </w:rPr>
      </w:pPr>
    </w:p>
    <w:p w14:paraId="6D947836" w14:textId="77777777" w:rsidR="009E377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3D48FBF" w14:textId="77777777" w:rsidR="009E3773" w:rsidRPr="007122AB" w:rsidRDefault="009E377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C9B9463"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3 декабря 1931 г. Протокол Реввоенсовета № 40.</w:t>
      </w:r>
      <w:r w:rsidRPr="007122AB">
        <w:rPr>
          <w:color w:val="000000" w:themeColor="text1"/>
          <w:sz w:val="16"/>
          <w:szCs w:val="16"/>
        </w:rPr>
        <w:t xml:space="preserve"> 10. О работе МПС, мобилизационной подготовке и готовности промышленности. (Левичев). 11. Организация службы ПВО (Медведев). 14. Выполнение постановления РВСС о снарядах с волосовиной (Симонов). 17. О прекращении постройки сторожевых кораблей типа «Ураган». (Каменев). 19. О награждении за электрический бомбодержатель </w:t>
      </w:r>
      <w:proofErr w:type="spellStart"/>
      <w:r w:rsidRPr="007122AB">
        <w:rPr>
          <w:color w:val="000000" w:themeColor="text1"/>
          <w:sz w:val="16"/>
          <w:szCs w:val="16"/>
        </w:rPr>
        <w:t>Китенко</w:t>
      </w:r>
      <w:proofErr w:type="spellEnd"/>
      <w:r w:rsidRPr="007122AB">
        <w:rPr>
          <w:color w:val="000000" w:themeColor="text1"/>
          <w:sz w:val="16"/>
          <w:szCs w:val="16"/>
        </w:rPr>
        <w:t xml:space="preserve"> и </w:t>
      </w:r>
      <w:proofErr w:type="spellStart"/>
      <w:r w:rsidRPr="007122AB">
        <w:rPr>
          <w:color w:val="000000" w:themeColor="text1"/>
          <w:sz w:val="16"/>
          <w:szCs w:val="16"/>
        </w:rPr>
        <w:t>Спатареля</w:t>
      </w:r>
      <w:proofErr w:type="spellEnd"/>
      <w:r w:rsidRPr="007122AB">
        <w:rPr>
          <w:color w:val="000000" w:themeColor="text1"/>
          <w:sz w:val="16"/>
          <w:szCs w:val="16"/>
        </w:rPr>
        <w:t xml:space="preserve"> (Алкснис). 20. О введении на вооружение самолетов Р</w:t>
      </w:r>
      <w:r w:rsidRPr="007122AB">
        <w:rPr>
          <w:color w:val="000000" w:themeColor="text1"/>
          <w:sz w:val="16"/>
          <w:szCs w:val="16"/>
        </w:rPr>
        <w:noBreakHyphen/>
        <w:t>6 и ТБ</w:t>
      </w:r>
      <w:r w:rsidRPr="007122AB">
        <w:rPr>
          <w:color w:val="000000" w:themeColor="text1"/>
          <w:sz w:val="16"/>
          <w:szCs w:val="16"/>
        </w:rPr>
        <w:noBreakHyphen/>
        <w:t>3. (Меженинов). 29. О конструировании машины для полетов на предельную дальность. (Алкснис). 32. О «Выстреле». (Лапин). (РГВА. Ф. 4. Оп. 18. Д. 21. Л. 279</w:t>
      </w:r>
      <w:r w:rsidRPr="007122AB">
        <w:rPr>
          <w:color w:val="000000" w:themeColor="text1"/>
          <w:sz w:val="16"/>
          <w:szCs w:val="16"/>
        </w:rPr>
        <w:noBreakHyphen/>
        <w:t>280, 281, 283) (12342).</w:t>
      </w:r>
    </w:p>
    <w:p w14:paraId="37987980" w14:textId="77777777" w:rsidR="009E3773" w:rsidRPr="007122AB" w:rsidRDefault="009E3773" w:rsidP="007122AB">
      <w:pPr>
        <w:pStyle w:val="rtejustify"/>
        <w:spacing w:before="0" w:after="0"/>
        <w:rPr>
          <w:color w:val="000000" w:themeColor="text1"/>
          <w:sz w:val="16"/>
          <w:szCs w:val="16"/>
        </w:rPr>
      </w:pPr>
    </w:p>
    <w:p w14:paraId="6F79EDAD"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года на аэродроме 17-й авиабригады в подмосков</w:t>
      </w:r>
      <w:r w:rsidRPr="007122AB">
        <w:rPr>
          <w:rFonts w:ascii="Times New Roman" w:hAnsi="Times New Roman"/>
          <w:color w:val="000000" w:themeColor="text1"/>
          <w:sz w:val="16"/>
          <w:szCs w:val="16"/>
        </w:rPr>
        <w:softHyphen/>
        <w:t>ном Монино состоялось первое испытание системы «Самолет-звено-1» (СЗ-1). Первым делом при стоянке на земле были запущены и прогреты двигате</w:t>
      </w:r>
      <w:r w:rsidRPr="007122AB">
        <w:rPr>
          <w:rFonts w:ascii="Times New Roman" w:hAnsi="Times New Roman"/>
          <w:color w:val="000000" w:themeColor="text1"/>
          <w:sz w:val="16"/>
          <w:szCs w:val="16"/>
        </w:rPr>
        <w:softHyphen/>
        <w:t>ли обоих истребителей И-4, после чего аэ</w:t>
      </w:r>
      <w:r w:rsidRPr="007122AB">
        <w:rPr>
          <w:rFonts w:ascii="Times New Roman" w:hAnsi="Times New Roman"/>
          <w:color w:val="000000" w:themeColor="text1"/>
          <w:sz w:val="16"/>
          <w:szCs w:val="16"/>
        </w:rPr>
        <w:softHyphen/>
        <w:t>родромная команда по наклонной рампе за</w:t>
      </w:r>
      <w:r w:rsidRPr="007122AB">
        <w:rPr>
          <w:rFonts w:ascii="Times New Roman" w:hAnsi="Times New Roman"/>
          <w:color w:val="000000" w:themeColor="text1"/>
          <w:sz w:val="16"/>
          <w:szCs w:val="16"/>
        </w:rPr>
        <w:softHyphen/>
        <w:t>катила их на крыло ТБ-1. После соединения всех систем и последующей их тщательной проверки начались пробежки по аэродрому на различных режимах работы двигателей. В 14 часов 30 минут был произведен первый взлет СЗ-1, стартовый вес которого составил 8180 кг (ТБ-1 5640 кг + 2 И-4 2x1270 кг). В ТБ-1 на левом командирском кресле нахо</w:t>
      </w:r>
      <w:r w:rsidRPr="007122AB">
        <w:rPr>
          <w:rFonts w:ascii="Times New Roman" w:hAnsi="Times New Roman"/>
          <w:color w:val="000000" w:themeColor="text1"/>
          <w:sz w:val="16"/>
          <w:szCs w:val="16"/>
        </w:rPr>
        <w:softHyphen/>
        <w:t xml:space="preserve">дился летчик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Андрей Шара</w:t>
      </w:r>
      <w:r w:rsidRPr="007122AB">
        <w:rPr>
          <w:rFonts w:ascii="Times New Roman" w:hAnsi="Times New Roman"/>
          <w:color w:val="000000" w:themeColor="text1"/>
          <w:sz w:val="16"/>
          <w:szCs w:val="16"/>
        </w:rPr>
        <w:softHyphen/>
        <w:t>пов занимал правое сидение носителя, кон</w:t>
      </w:r>
      <w:r w:rsidRPr="007122AB">
        <w:rPr>
          <w:rFonts w:ascii="Times New Roman" w:hAnsi="Times New Roman"/>
          <w:color w:val="000000" w:themeColor="text1"/>
          <w:sz w:val="16"/>
          <w:szCs w:val="16"/>
        </w:rPr>
        <w:softHyphen/>
        <w:t xml:space="preserve">структор Вахмистров — в 1-м люке кормовых стрелков, инженер Морозов - во 2-м люке. Левым И-4 управлял летчик Валерий Чкалов, правым— Александр Анисимов. Взлет СЗ-1 с аэродрома произошел на скорости 140 км/ч без осложнений. Адам </w:t>
      </w:r>
      <w:proofErr w:type="spellStart"/>
      <w:r w:rsidRPr="007122AB">
        <w:rPr>
          <w:rFonts w:ascii="Times New Roman" w:hAnsi="Times New Roman"/>
          <w:color w:val="000000" w:themeColor="text1"/>
          <w:sz w:val="16"/>
          <w:szCs w:val="16"/>
        </w:rPr>
        <w:t>Залевский</w:t>
      </w:r>
      <w:proofErr w:type="spellEnd"/>
      <w:r w:rsidRPr="007122AB">
        <w:rPr>
          <w:rFonts w:ascii="Times New Roman" w:hAnsi="Times New Roman"/>
          <w:color w:val="000000" w:themeColor="text1"/>
          <w:sz w:val="16"/>
          <w:szCs w:val="16"/>
        </w:rPr>
        <w:t xml:space="preserve"> вибраций и излишних давлений на органы управле</w:t>
      </w:r>
      <w:r w:rsidRPr="007122AB">
        <w:rPr>
          <w:rFonts w:ascii="Times New Roman" w:hAnsi="Times New Roman"/>
          <w:color w:val="000000" w:themeColor="text1"/>
          <w:sz w:val="16"/>
          <w:szCs w:val="16"/>
        </w:rPr>
        <w:softHyphen/>
        <w:t>ния при выполнении старта и наборе высо</w:t>
      </w:r>
      <w:r w:rsidRPr="007122AB">
        <w:rPr>
          <w:rFonts w:ascii="Times New Roman" w:hAnsi="Times New Roman"/>
          <w:color w:val="000000" w:themeColor="text1"/>
          <w:sz w:val="16"/>
          <w:szCs w:val="16"/>
        </w:rPr>
        <w:softHyphen/>
        <w:t>ты не отметил. На высоте 1000 м при скоро</w:t>
      </w:r>
      <w:r w:rsidRPr="007122AB">
        <w:rPr>
          <w:rFonts w:ascii="Times New Roman" w:hAnsi="Times New Roman"/>
          <w:color w:val="000000" w:themeColor="text1"/>
          <w:sz w:val="16"/>
          <w:szCs w:val="16"/>
        </w:rPr>
        <w:softHyphen/>
        <w:t xml:space="preserve">сти 160 км/ч был произведен первый отрыв самолетов от носителя. При этом И-4 Ани </w:t>
      </w:r>
      <w:proofErr w:type="spellStart"/>
      <w:r w:rsidRPr="007122AB">
        <w:rPr>
          <w:rFonts w:ascii="Times New Roman" w:hAnsi="Times New Roman"/>
          <w:color w:val="000000" w:themeColor="text1"/>
          <w:sz w:val="16"/>
          <w:szCs w:val="16"/>
        </w:rPr>
        <w:t>симова</w:t>
      </w:r>
      <w:proofErr w:type="spellEnd"/>
      <w:r w:rsidRPr="007122AB">
        <w:rPr>
          <w:rFonts w:ascii="Times New Roman" w:hAnsi="Times New Roman"/>
          <w:color w:val="000000" w:themeColor="text1"/>
          <w:sz w:val="16"/>
          <w:szCs w:val="16"/>
        </w:rPr>
        <w:t xml:space="preserve"> отцепился с поднятым хвостом, не имея достаточной </w:t>
      </w:r>
      <w:proofErr w:type="spellStart"/>
      <w:r w:rsidRPr="007122AB">
        <w:rPr>
          <w:rFonts w:ascii="Times New Roman" w:hAnsi="Times New Roman"/>
          <w:color w:val="000000" w:themeColor="text1"/>
          <w:sz w:val="16"/>
          <w:szCs w:val="16"/>
        </w:rPr>
        <w:t>одъемной</w:t>
      </w:r>
      <w:proofErr w:type="spellEnd"/>
      <w:r w:rsidRPr="007122AB">
        <w:rPr>
          <w:rFonts w:ascii="Times New Roman" w:hAnsi="Times New Roman"/>
          <w:color w:val="000000" w:themeColor="text1"/>
          <w:sz w:val="16"/>
          <w:szCs w:val="16"/>
        </w:rPr>
        <w:t xml:space="preserve"> силы, поэто</w:t>
      </w:r>
      <w:r w:rsidRPr="007122AB">
        <w:rPr>
          <w:rFonts w:ascii="Times New Roman" w:hAnsi="Times New Roman"/>
          <w:color w:val="000000" w:themeColor="text1"/>
          <w:sz w:val="16"/>
          <w:szCs w:val="16"/>
        </w:rPr>
        <w:softHyphen/>
        <w:t>му соскочил с пирамид, ударился колесом о 3-й лонжерон крыла ТБ-1 и пробил гофри</w:t>
      </w:r>
      <w:r w:rsidRPr="007122AB">
        <w:rPr>
          <w:rFonts w:ascii="Times New Roman" w:hAnsi="Times New Roman"/>
          <w:color w:val="000000" w:themeColor="text1"/>
          <w:sz w:val="16"/>
          <w:szCs w:val="16"/>
        </w:rPr>
        <w:softHyphen/>
        <w:t>рованную обшивку. Воздушный винт истре</w:t>
      </w:r>
      <w:r w:rsidRPr="007122AB">
        <w:rPr>
          <w:rFonts w:ascii="Times New Roman" w:hAnsi="Times New Roman"/>
          <w:color w:val="000000" w:themeColor="text1"/>
          <w:sz w:val="16"/>
          <w:szCs w:val="16"/>
        </w:rPr>
        <w:softHyphen/>
        <w:t>бителя в ходе этого нештатного отцепления задел пирамиду крепления, в результате че</w:t>
      </w:r>
      <w:r w:rsidRPr="007122AB">
        <w:rPr>
          <w:rFonts w:ascii="Times New Roman" w:hAnsi="Times New Roman"/>
          <w:color w:val="000000" w:themeColor="text1"/>
          <w:sz w:val="16"/>
          <w:szCs w:val="16"/>
        </w:rPr>
        <w:softHyphen/>
        <w:t>го лопасть винта и сама пирамида оказались повреждены. Тем не менее эта небольшая не</w:t>
      </w:r>
      <w:r w:rsidRPr="007122AB">
        <w:rPr>
          <w:rFonts w:ascii="Times New Roman" w:hAnsi="Times New Roman"/>
          <w:color w:val="000000" w:themeColor="text1"/>
          <w:sz w:val="16"/>
          <w:szCs w:val="16"/>
        </w:rPr>
        <w:softHyphen/>
        <w:t>приятность не помешала благополучному за</w:t>
      </w:r>
      <w:r w:rsidRPr="007122AB">
        <w:rPr>
          <w:rFonts w:ascii="Times New Roman" w:hAnsi="Times New Roman"/>
          <w:color w:val="000000" w:themeColor="text1"/>
          <w:sz w:val="16"/>
          <w:szCs w:val="16"/>
        </w:rPr>
        <w:softHyphen/>
        <w:t xml:space="preserve">вершению эксперимента — все три самолета успешно приземлились на </w:t>
      </w:r>
      <w:proofErr w:type="spellStart"/>
      <w:r w:rsidRPr="007122AB">
        <w:rPr>
          <w:rFonts w:ascii="Times New Roman" w:hAnsi="Times New Roman"/>
          <w:color w:val="000000" w:themeColor="text1"/>
          <w:sz w:val="16"/>
          <w:szCs w:val="16"/>
        </w:rPr>
        <w:t>Монинском</w:t>
      </w:r>
      <w:proofErr w:type="spellEnd"/>
      <w:r w:rsidRPr="007122AB">
        <w:rPr>
          <w:rFonts w:ascii="Times New Roman" w:hAnsi="Times New Roman"/>
          <w:color w:val="000000" w:themeColor="text1"/>
          <w:sz w:val="16"/>
          <w:szCs w:val="16"/>
        </w:rPr>
        <w:t xml:space="preserve"> аэро</w:t>
      </w:r>
      <w:r w:rsidRPr="007122AB">
        <w:rPr>
          <w:rFonts w:ascii="Times New Roman" w:hAnsi="Times New Roman"/>
          <w:color w:val="000000" w:themeColor="text1"/>
          <w:sz w:val="16"/>
          <w:szCs w:val="16"/>
        </w:rPr>
        <w:softHyphen/>
        <w:t>дроме (12295).</w:t>
      </w:r>
    </w:p>
    <w:p w14:paraId="339FFF4F" w14:textId="77777777" w:rsidR="009E3773" w:rsidRPr="007122AB" w:rsidRDefault="009E3773" w:rsidP="007122AB">
      <w:pPr>
        <w:spacing w:after="0" w:line="240" w:lineRule="auto"/>
        <w:jc w:val="both"/>
        <w:rPr>
          <w:rFonts w:ascii="Times New Roman" w:hAnsi="Times New Roman"/>
          <w:color w:val="000000" w:themeColor="text1"/>
          <w:sz w:val="16"/>
          <w:szCs w:val="16"/>
        </w:rPr>
      </w:pPr>
    </w:p>
    <w:p w14:paraId="1C123E1C"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декабря 1931 г. отчет по предварительным испытаниям поступил в НТК </w:t>
      </w:r>
      <w:proofErr w:type="spellStart"/>
      <w:r w:rsidRPr="007122AB">
        <w:rPr>
          <w:rFonts w:ascii="Times New Roman" w:hAnsi="Times New Roman"/>
          <w:color w:val="000000" w:themeColor="text1"/>
          <w:sz w:val="16"/>
          <w:szCs w:val="16"/>
        </w:rPr>
        <w:t>Вохиму</w:t>
      </w:r>
      <w:proofErr w:type="spellEnd"/>
      <w:r w:rsidRPr="007122AB">
        <w:rPr>
          <w:rFonts w:ascii="Times New Roman" w:hAnsi="Times New Roman"/>
          <w:color w:val="000000" w:themeColor="text1"/>
          <w:sz w:val="16"/>
          <w:szCs w:val="16"/>
        </w:rPr>
        <w:t>. По итогам заводских испытаний химизированную танкетку Т-27 признали пригодной для решения основных поставленных перед ней задач.</w:t>
      </w:r>
    </w:p>
    <w:p w14:paraId="02E58BCC"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не обошлось без потерь. В ходе испытаний </w:t>
      </w:r>
      <w:proofErr w:type="spellStart"/>
      <w:r w:rsidRPr="007122AB">
        <w:rPr>
          <w:rFonts w:ascii="Times New Roman" w:hAnsi="Times New Roman"/>
          <w:color w:val="000000" w:themeColor="text1"/>
          <w:sz w:val="16"/>
          <w:szCs w:val="16"/>
        </w:rPr>
        <w:t>Кратиров</w:t>
      </w:r>
      <w:proofErr w:type="spellEnd"/>
      <w:r w:rsidRPr="007122AB">
        <w:rPr>
          <w:rFonts w:ascii="Times New Roman" w:hAnsi="Times New Roman"/>
          <w:color w:val="000000" w:themeColor="text1"/>
          <w:sz w:val="16"/>
          <w:szCs w:val="16"/>
        </w:rPr>
        <w:t xml:space="preserve"> сжег и порвал свой кожаный реглан. Изобретатель обратился в НТК ВОХИМУ с заявлением, в котором писал: «Т.к.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 Рассмотрев материалы по испытаниям и заявление </w:t>
      </w:r>
      <w:proofErr w:type="spellStart"/>
      <w:r w:rsidRPr="007122AB">
        <w:rPr>
          <w:rFonts w:ascii="Times New Roman" w:hAnsi="Times New Roman"/>
          <w:color w:val="000000" w:themeColor="text1"/>
          <w:sz w:val="16"/>
          <w:szCs w:val="16"/>
        </w:rPr>
        <w:t>Кратирова</w:t>
      </w:r>
      <w:proofErr w:type="spellEnd"/>
      <w:r w:rsidRPr="007122AB">
        <w:rPr>
          <w:rFonts w:ascii="Times New Roman" w:hAnsi="Times New Roman"/>
          <w:color w:val="000000" w:themeColor="text1"/>
          <w:sz w:val="16"/>
          <w:szCs w:val="16"/>
        </w:rPr>
        <w:t xml:space="preserve">, председатель и управделами НТК ВОХИМУ 14 декабря 1931 г. решили: «Тов. </w:t>
      </w:r>
      <w:proofErr w:type="spellStart"/>
      <w:r w:rsidRPr="007122AB">
        <w:rPr>
          <w:rFonts w:ascii="Times New Roman" w:hAnsi="Times New Roman"/>
          <w:color w:val="000000" w:themeColor="text1"/>
          <w:sz w:val="16"/>
          <w:szCs w:val="16"/>
        </w:rPr>
        <w:t>Кратиров</w:t>
      </w:r>
      <w:proofErr w:type="spellEnd"/>
      <w:r w:rsidRPr="007122AB">
        <w:rPr>
          <w:rFonts w:ascii="Times New Roman" w:hAnsi="Times New Roman"/>
          <w:color w:val="000000" w:themeColor="text1"/>
          <w:sz w:val="16"/>
          <w:szCs w:val="16"/>
        </w:rPr>
        <w:t xml:space="preserve">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w:t>
      </w:r>
      <w:proofErr w:type="spellStart"/>
      <w:r w:rsidRPr="007122AB">
        <w:rPr>
          <w:rFonts w:ascii="Times New Roman" w:hAnsi="Times New Roman"/>
          <w:color w:val="000000" w:themeColor="text1"/>
          <w:sz w:val="16"/>
          <w:szCs w:val="16"/>
        </w:rPr>
        <w:t>Кратиро-ва</w:t>
      </w:r>
      <w:proofErr w:type="spellEnd"/>
      <w:r w:rsidRPr="007122AB">
        <w:rPr>
          <w:rFonts w:ascii="Times New Roman" w:hAnsi="Times New Roman"/>
          <w:color w:val="000000" w:themeColor="text1"/>
          <w:sz w:val="16"/>
          <w:szCs w:val="16"/>
        </w:rPr>
        <w:t xml:space="preserve"> отпустить кожаное пальто, стоимость будет НТК </w:t>
      </w:r>
      <w:proofErr w:type="spellStart"/>
      <w:r w:rsidRPr="007122AB">
        <w:rPr>
          <w:rFonts w:ascii="Times New Roman" w:hAnsi="Times New Roman"/>
          <w:color w:val="000000" w:themeColor="text1"/>
          <w:sz w:val="16"/>
          <w:szCs w:val="16"/>
        </w:rPr>
        <w:t>Вохиму</w:t>
      </w:r>
      <w:proofErr w:type="spellEnd"/>
      <w:r w:rsidRPr="007122AB">
        <w:rPr>
          <w:rFonts w:ascii="Times New Roman" w:hAnsi="Times New Roman"/>
          <w:color w:val="000000" w:themeColor="text1"/>
          <w:sz w:val="16"/>
          <w:szCs w:val="16"/>
        </w:rPr>
        <w:t xml:space="preserve"> оплачена» (12253).</w:t>
      </w:r>
    </w:p>
    <w:p w14:paraId="3B30B97F"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время испытаний по дымопуску на танкетке были опробованы распылители четырех типов: аппарат «</w:t>
      </w:r>
      <w:proofErr w:type="spellStart"/>
      <w:r w:rsidRPr="007122AB">
        <w:rPr>
          <w:rFonts w:ascii="Times New Roman" w:hAnsi="Times New Roman"/>
          <w:color w:val="000000" w:themeColor="text1"/>
          <w:sz w:val="16"/>
          <w:szCs w:val="16"/>
        </w:rPr>
        <w:t>Ганзеатише</w:t>
      </w:r>
      <w:proofErr w:type="spellEnd"/>
      <w:r w:rsidRPr="007122AB">
        <w:rPr>
          <w:rFonts w:ascii="Times New Roman" w:hAnsi="Times New Roman"/>
          <w:color w:val="000000" w:themeColor="text1"/>
          <w:sz w:val="16"/>
          <w:szCs w:val="16"/>
        </w:rPr>
        <w:t>», К-К, НПЗ-З и аппарат завода «</w:t>
      </w:r>
      <w:proofErr w:type="spellStart"/>
      <w:r w:rsidRPr="007122AB">
        <w:rPr>
          <w:rFonts w:ascii="Times New Roman" w:hAnsi="Times New Roman"/>
          <w:color w:val="000000" w:themeColor="text1"/>
          <w:sz w:val="16"/>
          <w:szCs w:val="16"/>
        </w:rPr>
        <w:t>Промет</w:t>
      </w:r>
      <w:proofErr w:type="spellEnd"/>
      <w:r w:rsidRPr="007122AB">
        <w:rPr>
          <w:rFonts w:ascii="Times New Roman" w:hAnsi="Times New Roman"/>
          <w:color w:val="000000" w:themeColor="text1"/>
          <w:sz w:val="16"/>
          <w:szCs w:val="16"/>
        </w:rPr>
        <w:t>» (аналогичный применяемому на боевой машине БХМ-Форд-</w:t>
      </w:r>
      <w:proofErr w:type="spellStart"/>
      <w:r w:rsidRPr="007122AB">
        <w:rPr>
          <w:rFonts w:ascii="Times New Roman" w:hAnsi="Times New Roman"/>
          <w:color w:val="000000" w:themeColor="text1"/>
          <w:sz w:val="16"/>
          <w:szCs w:val="16"/>
        </w:rPr>
        <w:t>Промет</w:t>
      </w:r>
      <w:proofErr w:type="spellEnd"/>
      <w:r w:rsidRPr="007122AB">
        <w:rPr>
          <w:rFonts w:ascii="Times New Roman" w:hAnsi="Times New Roman"/>
          <w:color w:val="000000" w:themeColor="text1"/>
          <w:sz w:val="16"/>
          <w:szCs w:val="16"/>
        </w:rPr>
        <w:t>). Последний представлял из себя полушаровидную насадку с приемным отверстием диаметром 4 мм, переходящим в щель шириной 2 мм с раствором на выходе 120' и углом выхода смеси 45' к горизонту. Управление дымопуском производилось изнутри машины при помощи тросовой проводки.</w:t>
      </w:r>
    </w:p>
    <w:p w14:paraId="5749134E"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w:t>
      </w:r>
      <w:proofErr w:type="spellStart"/>
      <w:r w:rsidRPr="007122AB">
        <w:rPr>
          <w:rFonts w:ascii="Times New Roman" w:hAnsi="Times New Roman"/>
          <w:color w:val="000000" w:themeColor="text1"/>
          <w:sz w:val="16"/>
          <w:szCs w:val="16"/>
        </w:rPr>
        <w:t>Промет</w:t>
      </w:r>
      <w:proofErr w:type="spellEnd"/>
      <w:r w:rsidRPr="007122AB">
        <w:rPr>
          <w:rFonts w:ascii="Times New Roman" w:hAnsi="Times New Roman"/>
          <w:color w:val="000000" w:themeColor="text1"/>
          <w:sz w:val="16"/>
          <w:szCs w:val="16"/>
        </w:rPr>
        <w:t xml:space="preserve"> более рентабелен, т.к. оставляет некоторое количество вещества на земле, продолжающее дымопуск, что выгодно при ходе машины свыше 25 </w:t>
      </w:r>
      <w:proofErr w:type="spellStart"/>
      <w:r w:rsidRPr="007122AB">
        <w:rPr>
          <w:rFonts w:ascii="Times New Roman" w:hAnsi="Times New Roman"/>
          <w:color w:val="000000" w:themeColor="text1"/>
          <w:sz w:val="16"/>
          <w:szCs w:val="16"/>
        </w:rPr>
        <w:t>клм</w:t>
      </w:r>
      <w:proofErr w:type="spellEnd"/>
      <w:r w:rsidRPr="007122AB">
        <w:rPr>
          <w:rFonts w:ascii="Times New Roman" w:hAnsi="Times New Roman"/>
          <w:color w:val="000000" w:themeColor="text1"/>
          <w:sz w:val="16"/>
          <w:szCs w:val="16"/>
        </w:rPr>
        <w:t>. - час.». 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297683D5"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Резервуары наполнялись с помощью мерного ведра и лейки за 14 мин. Давление 5 </w:t>
      </w:r>
      <w:proofErr w:type="spellStart"/>
      <w:r w:rsidRPr="007122AB">
        <w:rPr>
          <w:rFonts w:ascii="Times New Roman" w:hAnsi="Times New Roman"/>
          <w:color w:val="000000" w:themeColor="text1"/>
          <w:sz w:val="16"/>
          <w:szCs w:val="16"/>
        </w:rPr>
        <w:t>атм</w:t>
      </w:r>
      <w:proofErr w:type="spellEnd"/>
      <w:r w:rsidRPr="007122AB">
        <w:rPr>
          <w:rFonts w:ascii="Times New Roman" w:hAnsi="Times New Roman"/>
          <w:color w:val="000000" w:themeColor="text1"/>
          <w:sz w:val="16"/>
          <w:szCs w:val="16"/>
        </w:rPr>
        <w:t xml:space="preserve"> в резервуарах создавалось тремя воздушными баллонами емкостью 0,7 л каждый с давлением 120 атм. Танкетка отправлялась на задание без давления в резервуарах. При дымопуске предварительное давление в 5 </w:t>
      </w:r>
      <w:proofErr w:type="spellStart"/>
      <w:r w:rsidRPr="007122AB">
        <w:rPr>
          <w:rFonts w:ascii="Times New Roman" w:hAnsi="Times New Roman"/>
          <w:color w:val="000000" w:themeColor="text1"/>
          <w:sz w:val="16"/>
          <w:szCs w:val="16"/>
        </w:rPr>
        <w:t>атм</w:t>
      </w:r>
      <w:proofErr w:type="spellEnd"/>
      <w:r w:rsidRPr="007122AB">
        <w:rPr>
          <w:rFonts w:ascii="Times New Roman" w:hAnsi="Times New Roman"/>
          <w:color w:val="000000" w:themeColor="text1"/>
          <w:sz w:val="16"/>
          <w:szCs w:val="16"/>
        </w:rPr>
        <w:t xml:space="preserve"> должно было подаваться перед началом боя с помощью первого баллончика, затем при падении давления до 2,5 </w:t>
      </w:r>
      <w:proofErr w:type="spellStart"/>
      <w:r w:rsidRPr="007122AB">
        <w:rPr>
          <w:rFonts w:ascii="Times New Roman" w:hAnsi="Times New Roman"/>
          <w:color w:val="000000" w:themeColor="text1"/>
          <w:sz w:val="16"/>
          <w:szCs w:val="16"/>
        </w:rPr>
        <w:t>атм</w:t>
      </w:r>
      <w:proofErr w:type="spellEnd"/>
      <w:r w:rsidRPr="007122AB">
        <w:rPr>
          <w:rFonts w:ascii="Times New Roman" w:hAnsi="Times New Roman"/>
          <w:color w:val="000000" w:themeColor="text1"/>
          <w:sz w:val="16"/>
          <w:szCs w:val="16"/>
        </w:rPr>
        <w:t xml:space="preserve"> открывался второй баллончик, а третий баллончик использовался как запасной. В ходе испытаний обнаружилось протекание смеси через выпускные краники из-за их плохой герметизации.</w:t>
      </w:r>
    </w:p>
    <w:p w14:paraId="42AC5CD1"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Непосредственной опасности экипажу танкетки при работе с </w:t>
      </w:r>
      <w:proofErr w:type="spellStart"/>
      <w:r w:rsidRPr="007122AB">
        <w:rPr>
          <w:rFonts w:ascii="Times New Roman" w:hAnsi="Times New Roman"/>
          <w:color w:val="000000" w:themeColor="text1"/>
          <w:sz w:val="16"/>
          <w:szCs w:val="16"/>
        </w:rPr>
        <w:t>дымосмесью</w:t>
      </w:r>
      <w:proofErr w:type="spellEnd"/>
      <w:r w:rsidRPr="007122AB">
        <w:rPr>
          <w:rFonts w:ascii="Times New Roman" w:hAnsi="Times New Roman"/>
          <w:color w:val="000000" w:themeColor="text1"/>
          <w:sz w:val="16"/>
          <w:szCs w:val="16"/>
        </w:rPr>
        <w:t xml:space="preserve"> 5-1У не было, так как элементы системы </w:t>
      </w:r>
      <w:proofErr w:type="spellStart"/>
      <w:r w:rsidRPr="007122AB">
        <w:rPr>
          <w:rFonts w:ascii="Times New Roman" w:hAnsi="Times New Roman"/>
          <w:color w:val="000000" w:themeColor="text1"/>
          <w:sz w:val="16"/>
          <w:szCs w:val="16"/>
        </w:rPr>
        <w:t>газопуска</w:t>
      </w:r>
      <w:proofErr w:type="spellEnd"/>
      <w:r w:rsidRPr="007122AB">
        <w:rPr>
          <w:rFonts w:ascii="Times New Roman" w:hAnsi="Times New Roman"/>
          <w:color w:val="000000" w:themeColor="text1"/>
          <w:sz w:val="16"/>
          <w:szCs w:val="16"/>
        </w:rPr>
        <w:t xml:space="preserve"> располагались снаружи машины. На случай возможного попадания газов в машину имелись противогазы (12253).</w:t>
      </w:r>
    </w:p>
    <w:p w14:paraId="6971A0FB" w14:textId="77777777" w:rsidR="009E3773" w:rsidRPr="007122AB" w:rsidRDefault="009E3773" w:rsidP="007122AB">
      <w:pPr>
        <w:spacing w:after="0" w:line="240" w:lineRule="auto"/>
        <w:jc w:val="both"/>
        <w:rPr>
          <w:rFonts w:ascii="Times New Roman" w:hAnsi="Times New Roman"/>
          <w:color w:val="000000" w:themeColor="text1"/>
          <w:sz w:val="16"/>
          <w:szCs w:val="16"/>
        </w:rPr>
      </w:pPr>
    </w:p>
    <w:p w14:paraId="47399BF8"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3 декабря 1931 </w:t>
      </w:r>
      <w:r w:rsidRPr="007122AB">
        <w:rPr>
          <w:rFonts w:ascii="Times New Roman" w:hAnsi="Times New Roman"/>
          <w:color w:val="000000" w:themeColor="text1"/>
          <w:sz w:val="16"/>
          <w:szCs w:val="16"/>
        </w:rPr>
        <w:t>Комиссия исполнения при СНК приняла постановление «О выполнении директив партии и правительства о развитии инструментальной промышленности» (12265).</w:t>
      </w:r>
    </w:p>
    <w:p w14:paraId="08214A52"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02CDB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3E88C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538AF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декабря 1931 Вестминстерский устав закрепил равные права британских доминионов Канада, </w:t>
      </w:r>
      <w:proofErr w:type="spellStart"/>
      <w:r w:rsidRPr="007122AB">
        <w:rPr>
          <w:rFonts w:ascii="Times New Roman" w:hAnsi="Times New Roman"/>
          <w:color w:val="000000" w:themeColor="text1"/>
          <w:sz w:val="16"/>
          <w:szCs w:val="16"/>
        </w:rPr>
        <w:t>Ньюфаундлен</w:t>
      </w:r>
      <w:proofErr w:type="spellEnd"/>
      <w:r w:rsidRPr="007122AB">
        <w:rPr>
          <w:rFonts w:ascii="Times New Roman" w:hAnsi="Times New Roman"/>
          <w:color w:val="000000" w:themeColor="text1"/>
          <w:sz w:val="16"/>
          <w:szCs w:val="16"/>
        </w:rPr>
        <w:t>, Австралия, Новая Зеландия, Южная Африка (4962).</w:t>
      </w:r>
    </w:p>
    <w:p w14:paraId="6F067BC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7193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декабря 1931 начался выпуск средства против тошноты «</w:t>
      </w:r>
      <w:proofErr w:type="spellStart"/>
      <w:r w:rsidRPr="007122AB">
        <w:rPr>
          <w:rFonts w:ascii="Times New Roman" w:hAnsi="Times New Roman"/>
          <w:color w:val="000000" w:themeColor="text1"/>
          <w:sz w:val="16"/>
          <w:szCs w:val="16"/>
        </w:rPr>
        <w:t>Алка</w:t>
      </w:r>
      <w:proofErr w:type="spellEnd"/>
      <w:r w:rsidRPr="007122AB">
        <w:rPr>
          <w:rFonts w:ascii="Times New Roman" w:hAnsi="Times New Roman"/>
          <w:color w:val="000000" w:themeColor="text1"/>
          <w:sz w:val="16"/>
          <w:szCs w:val="16"/>
        </w:rPr>
        <w:t>-Зельцер» (4962).</w:t>
      </w:r>
    </w:p>
    <w:p w14:paraId="7F1E6AE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814A8"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3 декабря </w:t>
      </w:r>
      <w:r w:rsidRPr="007122AB">
        <w:rPr>
          <w:rFonts w:ascii="Times New Roman" w:hAnsi="Times New Roman"/>
          <w:color w:val="000000" w:themeColor="text1"/>
          <w:sz w:val="16"/>
          <w:szCs w:val="16"/>
        </w:rPr>
        <w:t>в 1931 году начался выпуск средства против тошноты "</w:t>
      </w:r>
      <w:proofErr w:type="spellStart"/>
      <w:r w:rsidRPr="007122AB">
        <w:rPr>
          <w:rFonts w:ascii="Times New Roman" w:hAnsi="Times New Roman"/>
          <w:color w:val="000000" w:themeColor="text1"/>
          <w:sz w:val="16"/>
          <w:szCs w:val="16"/>
        </w:rPr>
        <w:t>Алка</w:t>
      </w:r>
      <w:proofErr w:type="spellEnd"/>
      <w:r w:rsidRPr="007122AB">
        <w:rPr>
          <w:rFonts w:ascii="Times New Roman" w:hAnsi="Times New Roman"/>
          <w:color w:val="000000" w:themeColor="text1"/>
          <w:sz w:val="16"/>
          <w:szCs w:val="16"/>
        </w:rPr>
        <w:t>-Зельцер". "</w:t>
      </w:r>
      <w:proofErr w:type="spellStart"/>
      <w:r w:rsidRPr="007122AB">
        <w:rPr>
          <w:rFonts w:ascii="Times New Roman" w:hAnsi="Times New Roman"/>
          <w:color w:val="000000" w:themeColor="text1"/>
          <w:sz w:val="16"/>
          <w:szCs w:val="16"/>
        </w:rPr>
        <w:t>Алка</w:t>
      </w:r>
      <w:proofErr w:type="spellEnd"/>
      <w:r w:rsidRPr="007122AB">
        <w:rPr>
          <w:rFonts w:ascii="Times New Roman" w:hAnsi="Times New Roman"/>
          <w:color w:val="000000" w:themeColor="text1"/>
          <w:sz w:val="16"/>
          <w:szCs w:val="16"/>
        </w:rPr>
        <w:t xml:space="preserve">-Зельцер" хорошо разрекламирован как </w:t>
      </w:r>
      <w:proofErr w:type="spellStart"/>
      <w:r w:rsidRPr="007122AB">
        <w:rPr>
          <w:rFonts w:ascii="Times New Roman" w:hAnsi="Times New Roman"/>
          <w:color w:val="000000" w:themeColor="text1"/>
          <w:sz w:val="16"/>
          <w:szCs w:val="16"/>
        </w:rPr>
        <w:t>антипохмельное</w:t>
      </w:r>
      <w:proofErr w:type="spellEnd"/>
      <w:r w:rsidRPr="007122AB">
        <w:rPr>
          <w:rFonts w:ascii="Times New Roman" w:hAnsi="Times New Roman"/>
          <w:color w:val="000000" w:themeColor="text1"/>
          <w:sz w:val="16"/>
          <w:szCs w:val="16"/>
        </w:rPr>
        <w:t xml:space="preserve"> средство, известен в народе и продается по цене бутылки дешевой водки. Учитывая все это, разумно считать его решением всех вопросов. Однако, чтобы развеять эти иллюзии, достаточно взглянуть на состав шипучей таблетки: лимонная кислота плюс бикарбонат натрия (для вкуса и "шипения") и аспирин. Так что если "</w:t>
      </w:r>
      <w:proofErr w:type="spellStart"/>
      <w:r w:rsidRPr="007122AB">
        <w:rPr>
          <w:rFonts w:ascii="Times New Roman" w:hAnsi="Times New Roman"/>
          <w:color w:val="000000" w:themeColor="text1"/>
          <w:sz w:val="16"/>
          <w:szCs w:val="16"/>
        </w:rPr>
        <w:t>Алка</w:t>
      </w:r>
      <w:proofErr w:type="spellEnd"/>
      <w:r w:rsidRPr="007122AB">
        <w:rPr>
          <w:rFonts w:ascii="Times New Roman" w:hAnsi="Times New Roman"/>
          <w:color w:val="000000" w:themeColor="text1"/>
          <w:sz w:val="16"/>
          <w:szCs w:val="16"/>
        </w:rPr>
        <w:t>-Зельцера" под рукой не оказалось, то обычный аспирин и раствор пищевой соды (либо любая "щелочная" вода типа "Боржоми" или "Ессентуки") - вполне достойная замена (14849).</w:t>
      </w:r>
    </w:p>
    <w:p w14:paraId="643D4ADE"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1E6E1EB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19BF8F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8E9CAC" w14:textId="77777777" w:rsidR="00E048DE" w:rsidRPr="007122AB" w:rsidRDefault="00E048DE" w:rsidP="007122AB">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4 декабря 1931 года, рассмотрев и всесторонне обсудив предложение Алксниса и Туполева по проекту самолета для установления мирового рекорда дальности полета, председатель РВС СССР К.Е. Ворошилов обратился в правительство с докладом о постройке рекордного самолета и об организации дальнего перелета. 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 (21249).</w:t>
      </w:r>
    </w:p>
    <w:p w14:paraId="361D534B" w14:textId="77777777" w:rsidR="00E048DE" w:rsidRPr="007122AB" w:rsidRDefault="00E048DE" w:rsidP="007122AB">
      <w:pPr>
        <w:shd w:val="clear" w:color="auto" w:fill="FFFFFF"/>
        <w:spacing w:after="0" w:line="240" w:lineRule="auto"/>
        <w:jc w:val="both"/>
        <w:rPr>
          <w:rFonts w:ascii="Times New Roman" w:hAnsi="Times New Roman"/>
          <w:color w:val="000000" w:themeColor="text1"/>
          <w:sz w:val="16"/>
          <w:szCs w:val="16"/>
          <w:shd w:val="clear" w:color="auto" w:fill="FFFFFF"/>
        </w:rPr>
      </w:pPr>
    </w:p>
    <w:p w14:paraId="57AAE9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декабря 1931 года зам. Наркомвоенмора и председатель РВС Гамарник писал письмо N 02340 Сталину и Молотову.</w:t>
      </w:r>
    </w:p>
    <w:p w14:paraId="52DE27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созданием нашего нового советского мотора М-34 мощностью в 750-900 л.с., показавшего на гос. испытаниях небывалую экономичность в расходе горючего (в среднем 202 грамма против 222-230 грамм на силу-час наиболее экономичных современных заграничных авиационных бензиновых двигателей) начальник ВВС Алкснис и гл. конструктор ЦАГИ Туполев предварительно проработали и внесли на утверждение Реввоенсовета предложение об организации в 1932 году полета на предельную дальность.</w:t>
      </w:r>
    </w:p>
    <w:p w14:paraId="2FA81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этой цели они предложили построить в ЦАГИ в 2-х экз. специальный одномоторный рекордный самолет по проекту Туполева (АНТ-25) под наш новый мотор М-34 с редуктором.</w:t>
      </w:r>
    </w:p>
    <w:p w14:paraId="5E3754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расчетам ЦАГИ этот самолет будет иметь: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7122AB" w14:paraId="00760306" w14:textId="77777777">
        <w:tc>
          <w:tcPr>
            <w:tcW w:w="5636" w:type="dxa"/>
          </w:tcPr>
          <w:p w14:paraId="0BA76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при взлете</w:t>
            </w:r>
          </w:p>
        </w:tc>
        <w:tc>
          <w:tcPr>
            <w:tcW w:w="5636" w:type="dxa"/>
          </w:tcPr>
          <w:p w14:paraId="30E5F1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 кг</w:t>
            </w:r>
          </w:p>
        </w:tc>
      </w:tr>
      <w:tr w:rsidR="001002C3" w:rsidRPr="007122AB" w14:paraId="617683F9" w14:textId="77777777">
        <w:tc>
          <w:tcPr>
            <w:tcW w:w="5636" w:type="dxa"/>
          </w:tcPr>
          <w:p w14:paraId="4A5EA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 без посадки</w:t>
            </w:r>
          </w:p>
        </w:tc>
        <w:tc>
          <w:tcPr>
            <w:tcW w:w="5636" w:type="dxa"/>
          </w:tcPr>
          <w:p w14:paraId="2CAC1A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 час.</w:t>
            </w:r>
          </w:p>
        </w:tc>
      </w:tr>
      <w:tr w:rsidR="001002C3" w:rsidRPr="007122AB" w14:paraId="47FF8CE3" w14:textId="77777777">
        <w:tc>
          <w:tcPr>
            <w:tcW w:w="5636" w:type="dxa"/>
          </w:tcPr>
          <w:p w14:paraId="1AB1D9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Горизонтальная скорость:</w:t>
            </w:r>
          </w:p>
        </w:tc>
        <w:tc>
          <w:tcPr>
            <w:tcW w:w="5636" w:type="dxa"/>
          </w:tcPr>
          <w:p w14:paraId="33E089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722891B4" w14:textId="77777777">
        <w:tc>
          <w:tcPr>
            <w:tcW w:w="5636" w:type="dxa"/>
          </w:tcPr>
          <w:p w14:paraId="31CCB2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 начале полета</w:t>
            </w:r>
          </w:p>
        </w:tc>
        <w:tc>
          <w:tcPr>
            <w:tcW w:w="5636" w:type="dxa"/>
          </w:tcPr>
          <w:p w14:paraId="14E36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188 км/час</w:t>
            </w:r>
          </w:p>
        </w:tc>
      </w:tr>
      <w:tr w:rsidR="001002C3" w:rsidRPr="007122AB" w14:paraId="4567C2E0" w14:textId="77777777">
        <w:tc>
          <w:tcPr>
            <w:tcW w:w="5636" w:type="dxa"/>
          </w:tcPr>
          <w:p w14:paraId="196A99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 конце полета</w:t>
            </w:r>
          </w:p>
        </w:tc>
        <w:tc>
          <w:tcPr>
            <w:tcW w:w="5636" w:type="dxa"/>
          </w:tcPr>
          <w:p w14:paraId="29949D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128 км/час</w:t>
            </w:r>
          </w:p>
        </w:tc>
      </w:tr>
      <w:tr w:rsidR="001002C3" w:rsidRPr="007122AB" w14:paraId="2AE647A6" w14:textId="77777777">
        <w:tc>
          <w:tcPr>
            <w:tcW w:w="5636" w:type="dxa"/>
          </w:tcPr>
          <w:p w14:paraId="38ABDD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w:t>
            </w:r>
          </w:p>
        </w:tc>
        <w:tc>
          <w:tcPr>
            <w:tcW w:w="5636" w:type="dxa"/>
          </w:tcPr>
          <w:p w14:paraId="34548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58DDD8D7" w14:textId="77777777">
        <w:tc>
          <w:tcPr>
            <w:tcW w:w="5636" w:type="dxa"/>
          </w:tcPr>
          <w:p w14:paraId="5F577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теоретическая (расчетная)</w:t>
            </w:r>
          </w:p>
        </w:tc>
        <w:tc>
          <w:tcPr>
            <w:tcW w:w="5636" w:type="dxa"/>
          </w:tcPr>
          <w:p w14:paraId="39AA64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12000 км</w:t>
            </w:r>
          </w:p>
        </w:tc>
      </w:tr>
      <w:tr w:rsidR="001002C3" w:rsidRPr="007122AB" w14:paraId="5E342D71" w14:textId="77777777">
        <w:tc>
          <w:tcPr>
            <w:tcW w:w="5636" w:type="dxa"/>
          </w:tcPr>
          <w:p w14:paraId="51D48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практическая</w:t>
            </w:r>
          </w:p>
        </w:tc>
        <w:tc>
          <w:tcPr>
            <w:tcW w:w="5636" w:type="dxa"/>
          </w:tcPr>
          <w:p w14:paraId="61C85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10000 км</w:t>
            </w:r>
          </w:p>
        </w:tc>
      </w:tr>
      <w:tr w:rsidR="001002C3" w:rsidRPr="007122AB" w14:paraId="0A826DAC" w14:textId="77777777">
        <w:tc>
          <w:tcPr>
            <w:tcW w:w="5636" w:type="dxa"/>
          </w:tcPr>
          <w:p w14:paraId="12C03E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самолета</w:t>
            </w:r>
          </w:p>
        </w:tc>
        <w:tc>
          <w:tcPr>
            <w:tcW w:w="5636" w:type="dxa"/>
          </w:tcPr>
          <w:p w14:paraId="741CA8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чел.</w:t>
            </w:r>
          </w:p>
        </w:tc>
      </w:tr>
    </w:tbl>
    <w:p w14:paraId="48B621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Туполев, вызванный нами вчера на заседание РВС настаивал, чтобы РВС пока определил дальность полета проектируемого АНТ-25 в 9-10 тыс. км. Реввоенсовет все же решил определить дальность полета в 13000 км (3531,2-3).</w:t>
      </w:r>
    </w:p>
    <w:p w14:paraId="0E359F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A3C20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декабря 1931 года зам. наркомвоенмора и председатель РВС Гамарник писал письмо № 02340 в Комиссию обороны Сталину, Молотову</w:t>
      </w:r>
    </w:p>
    <w:p w14:paraId="2FBB32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созданием нашего нового советского мотора М-34 мощностью в 750-900 л.с., показавшего на госиспытаниях небывалую экономичность в расходе горючего (в среднем 202 грамма против 222-230 грамм на силу-час наиболее экономичных современных заграничных авиационных бензиновых двигателей), начальник ВВС Алкснис и гл. конструктор ЦАГИ А.Н. Туполев предварительно проработали и внесли на утверждение Реввоенсовета Союза предложение об организации в 1932 году полета на предельную дальность.</w:t>
      </w:r>
    </w:p>
    <w:p w14:paraId="3B7FA7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этой цели они предложили построить в ЦАГИ в двух экземплярах специальный одномоторный рекордный самолет по проекту А.Н. Туполева (АНТ-25) под наш новый мотор М-34 с редуктором.</w:t>
      </w:r>
    </w:p>
    <w:p w14:paraId="2B576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расчетам ЦАГИ этот самолет будет иметь:</w:t>
      </w:r>
    </w:p>
    <w:p w14:paraId="52B3E0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при взлете – 10000 кг</w:t>
      </w:r>
    </w:p>
    <w:p w14:paraId="59BA0A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 без посадки – 80 часов</w:t>
      </w:r>
    </w:p>
    <w:p w14:paraId="513231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Горизонтальная скорость:</w:t>
      </w:r>
    </w:p>
    <w:p w14:paraId="0DA233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 начале полета – 188 км/час</w:t>
      </w:r>
    </w:p>
    <w:p w14:paraId="22B0B8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 конце полета – 128 км/час</w:t>
      </w:r>
    </w:p>
    <w:p w14:paraId="70B3B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w:t>
      </w:r>
    </w:p>
    <w:p w14:paraId="39370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теоретическая (расчетная) – 12000 км</w:t>
      </w:r>
    </w:p>
    <w:p w14:paraId="103006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практическая – 10000 км</w:t>
      </w:r>
    </w:p>
    <w:p w14:paraId="1D8351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Экипаж самолета – 3 человека</w:t>
      </w:r>
    </w:p>
    <w:p w14:paraId="51D0FA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Мировые рекорды, установленные в 1931 году на предельную дальность и продолжительность полета без посадки и без пополнения горючим в воздухе следующие:</w:t>
      </w:r>
    </w:p>
    <w:p w14:paraId="592EF8A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кругу над аэродромом французским летчиками </w:t>
      </w:r>
      <w:proofErr w:type="spellStart"/>
      <w:r w:rsidRPr="007122AB">
        <w:rPr>
          <w:rFonts w:ascii="Times New Roman" w:hAnsi="Times New Roman"/>
          <w:color w:val="000000" w:themeColor="text1"/>
          <w:sz w:val="16"/>
          <w:szCs w:val="16"/>
        </w:rPr>
        <w:t>Дорэ</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Лебри</w:t>
      </w:r>
      <w:proofErr w:type="spellEnd"/>
      <w:r w:rsidRPr="007122AB">
        <w:rPr>
          <w:rFonts w:ascii="Times New Roman" w:hAnsi="Times New Roman"/>
          <w:color w:val="000000" w:themeColor="text1"/>
          <w:sz w:val="16"/>
          <w:szCs w:val="16"/>
        </w:rPr>
        <w:t xml:space="preserve"> на специальном рекордном самолете Девуатин-33 под мотор </w:t>
      </w: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650 л.с. 7-10 июня 1931 года – 70 часов 11 минут, что при средней полученной ими скорости 150 км/час должно было составить по прямой около 10500 км (без учета ветра и пути).</w:t>
      </w:r>
    </w:p>
    <w:p w14:paraId="7A04EA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Дважды предпринятый этими же летчиками в этом году полет по прямой на предельную дальность на том же самолете из Парижа на Восток через территорию СССР, как Вы помните, кончился авариями: 1-й раз в районе Иркутска, 2-й раз в районе Уфы из-за отказа мотора.</w:t>
      </w:r>
    </w:p>
    <w:p w14:paraId="29983782"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прямой из Нью-Йорка в Стамбул 28-30 июля 1931 года американскими летчиками </w:t>
      </w:r>
      <w:proofErr w:type="spellStart"/>
      <w:r w:rsidRPr="007122AB">
        <w:rPr>
          <w:rFonts w:ascii="Times New Roman" w:hAnsi="Times New Roman"/>
          <w:color w:val="000000" w:themeColor="text1"/>
          <w:sz w:val="16"/>
          <w:szCs w:val="16"/>
        </w:rPr>
        <w:t>Бортманом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Поландо</w:t>
      </w:r>
      <w:proofErr w:type="spellEnd"/>
      <w:r w:rsidRPr="007122AB">
        <w:rPr>
          <w:rFonts w:ascii="Times New Roman" w:hAnsi="Times New Roman"/>
          <w:color w:val="000000" w:themeColor="text1"/>
          <w:sz w:val="16"/>
          <w:szCs w:val="16"/>
        </w:rPr>
        <w:t xml:space="preserve"> на специально приспособленном самолете </w:t>
      </w:r>
      <w:proofErr w:type="spellStart"/>
      <w:r w:rsidRPr="007122AB">
        <w:rPr>
          <w:rFonts w:ascii="Times New Roman" w:hAnsi="Times New Roman"/>
          <w:color w:val="000000" w:themeColor="text1"/>
          <w:sz w:val="16"/>
          <w:szCs w:val="16"/>
        </w:rPr>
        <w:t>Белланка</w:t>
      </w:r>
      <w:proofErr w:type="spellEnd"/>
      <w:r w:rsidRPr="007122AB">
        <w:rPr>
          <w:rFonts w:ascii="Times New Roman" w:hAnsi="Times New Roman"/>
          <w:color w:val="000000" w:themeColor="text1"/>
          <w:sz w:val="16"/>
          <w:szCs w:val="16"/>
        </w:rPr>
        <w:t xml:space="preserve"> с мотором </w:t>
      </w:r>
      <w:proofErr w:type="spellStart"/>
      <w:r w:rsidRPr="007122AB">
        <w:rPr>
          <w:rFonts w:ascii="Times New Roman" w:hAnsi="Times New Roman"/>
          <w:color w:val="000000" w:themeColor="text1"/>
          <w:sz w:val="16"/>
          <w:szCs w:val="16"/>
        </w:rPr>
        <w:t>Уосп</w:t>
      </w:r>
      <w:proofErr w:type="spellEnd"/>
      <w:r w:rsidRPr="007122AB">
        <w:rPr>
          <w:rFonts w:ascii="Times New Roman" w:hAnsi="Times New Roman"/>
          <w:color w:val="000000" w:themeColor="text1"/>
          <w:sz w:val="16"/>
          <w:szCs w:val="16"/>
        </w:rPr>
        <w:t xml:space="preserve"> 450 л.с. при средней путевой скорости 175 км/час – 8065 км, оставив тем самым позади рекорд на предельную дальность, установленный летчиком Кост в сентябре 1929 года на самолете Бреге-19 "</w:t>
      </w:r>
      <w:proofErr w:type="spellStart"/>
      <w:r w:rsidRPr="007122AB">
        <w:rPr>
          <w:rFonts w:ascii="Times New Roman" w:hAnsi="Times New Roman"/>
          <w:color w:val="000000" w:themeColor="text1"/>
          <w:sz w:val="16"/>
          <w:szCs w:val="16"/>
        </w:rPr>
        <w:t>Супербидон</w:t>
      </w:r>
      <w:proofErr w:type="spellEnd"/>
      <w:r w:rsidRPr="007122AB">
        <w:rPr>
          <w:rFonts w:ascii="Times New Roman" w:hAnsi="Times New Roman"/>
          <w:color w:val="000000" w:themeColor="text1"/>
          <w:sz w:val="16"/>
          <w:szCs w:val="16"/>
        </w:rPr>
        <w:t xml:space="preserve">" с мотором </w:t>
      </w: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760 л.с., покрывшим 7905 км при перелете через СССР из Парижа в </w:t>
      </w:r>
      <w:proofErr w:type="spellStart"/>
      <w:r w:rsidRPr="007122AB">
        <w:rPr>
          <w:rFonts w:ascii="Times New Roman" w:hAnsi="Times New Roman"/>
          <w:color w:val="000000" w:themeColor="text1"/>
          <w:sz w:val="16"/>
          <w:szCs w:val="16"/>
        </w:rPr>
        <w:t>Цицикар</w:t>
      </w:r>
      <w:proofErr w:type="spellEnd"/>
      <w:r w:rsidRPr="007122AB">
        <w:rPr>
          <w:rFonts w:ascii="Times New Roman" w:hAnsi="Times New Roman"/>
          <w:color w:val="000000" w:themeColor="text1"/>
          <w:sz w:val="16"/>
          <w:szCs w:val="16"/>
        </w:rPr>
        <w:t>.</w:t>
      </w:r>
    </w:p>
    <w:p w14:paraId="4F963F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Туполев, вызванный нами вчера на заседание РВС, настаивал, чтобы РВСС пока определил дальность полета проектируемого АНТ-25 в 9-10000 км. Реввоенсовет все же решил определить дальность полета в 13000 км.</w:t>
      </w:r>
    </w:p>
    <w:p w14:paraId="52120A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Прилагая при сем постановление РВСС, прошу рассмотреть этот вопрос на заседании КО 7 декабря 1931 года.</w:t>
      </w:r>
    </w:p>
    <w:p w14:paraId="1921F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Приложение: упомянутое (7432, 8-9).</w:t>
      </w:r>
    </w:p>
    <w:p w14:paraId="471827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A96E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декабря 1931 г. Народный комиссар обороны </w:t>
      </w:r>
      <w:proofErr w:type="spellStart"/>
      <w:r w:rsidRPr="007122AB">
        <w:rPr>
          <w:rFonts w:ascii="Times New Roman" w:hAnsi="Times New Roman"/>
          <w:color w:val="000000" w:themeColor="text1"/>
          <w:sz w:val="16"/>
          <w:szCs w:val="16"/>
        </w:rPr>
        <w:t>К.Е.Ворошилов</w:t>
      </w:r>
      <w:proofErr w:type="spellEnd"/>
      <w:r w:rsidRPr="007122AB">
        <w:rPr>
          <w:rFonts w:ascii="Times New Roman" w:hAnsi="Times New Roman"/>
          <w:color w:val="000000" w:themeColor="text1"/>
          <w:sz w:val="16"/>
          <w:szCs w:val="16"/>
        </w:rPr>
        <w:t xml:space="preserve"> обратился в Правительство со следующим докладом:</w:t>
      </w:r>
    </w:p>
    <w:p w14:paraId="72FD11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созданием нашего нового советского мотора М-34 мощностью 750-900 </w:t>
      </w:r>
      <w:proofErr w:type="spellStart"/>
      <w:r w:rsidRPr="007122AB">
        <w:rPr>
          <w:rFonts w:ascii="Times New Roman" w:hAnsi="Times New Roman"/>
          <w:color w:val="000000" w:themeColor="text1"/>
          <w:sz w:val="16"/>
          <w:szCs w:val="16"/>
        </w:rPr>
        <w:t>л.е</w:t>
      </w:r>
      <w:proofErr w:type="spellEnd"/>
      <w:r w:rsidRPr="007122AB">
        <w:rPr>
          <w:rFonts w:ascii="Times New Roman" w:hAnsi="Times New Roman"/>
          <w:color w:val="000000" w:themeColor="text1"/>
          <w:sz w:val="16"/>
          <w:szCs w:val="16"/>
        </w:rPr>
        <w:t xml:space="preserve">., показавшего на государственных испытаниях небывалую экономичность в расходе горючего (в среднем 202 грамма против 222-230 г/л.с./час у наиболее экономичных современных заграничных авиационных бензиновых двигателей), Начальник ВВС РККА т. Алкснис и главный конструктор ЦАГИ </w:t>
      </w:r>
      <w:proofErr w:type="spellStart"/>
      <w:r w:rsidRPr="007122AB">
        <w:rPr>
          <w:rFonts w:ascii="Times New Roman" w:hAnsi="Times New Roman"/>
          <w:color w:val="000000" w:themeColor="text1"/>
          <w:sz w:val="16"/>
          <w:szCs w:val="16"/>
        </w:rPr>
        <w:t>А.Н.Туполев</w:t>
      </w:r>
      <w:proofErr w:type="spellEnd"/>
      <w:r w:rsidRPr="007122AB">
        <w:rPr>
          <w:rFonts w:ascii="Times New Roman" w:hAnsi="Times New Roman"/>
          <w:color w:val="000000" w:themeColor="text1"/>
          <w:sz w:val="16"/>
          <w:szCs w:val="16"/>
        </w:rPr>
        <w:t xml:space="preserve"> предварительно проработали и внесли на утверждение РВС Союза предложение об организации в 1932 г. полета на предельную дальность".</w:t>
      </w:r>
    </w:p>
    <w:p w14:paraId="718E8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Предложение утвердили, после чего конструкторский отдел ЦАГИ получил задание построить в 2-х экземплярах специальный одномоторный рекордный самолет АНТ-25 с </w:t>
      </w:r>
      <w:proofErr w:type="spellStart"/>
      <w:r w:rsidRPr="007122AB">
        <w:rPr>
          <w:rFonts w:ascii="Times New Roman" w:hAnsi="Times New Roman"/>
          <w:color w:val="000000" w:themeColor="text1"/>
          <w:sz w:val="16"/>
          <w:szCs w:val="16"/>
        </w:rPr>
        <w:t>редук</w:t>
      </w:r>
      <w:proofErr w:type="spellEnd"/>
      <w:r w:rsidRPr="007122AB">
        <w:rPr>
          <w:rFonts w:ascii="Times New Roman" w:hAnsi="Times New Roman"/>
          <w:color w:val="000000" w:themeColor="text1"/>
          <w:sz w:val="16"/>
          <w:szCs w:val="16"/>
        </w:rPr>
        <w:t>- торным двигателем М-34.</w:t>
      </w:r>
    </w:p>
    <w:p w14:paraId="040162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расчетам ЦАГИ самолет с экипажем из трех человек должен был обладать следующими характеристиками:</w:t>
      </w:r>
    </w:p>
    <w:p w14:paraId="4437DB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Полетный вес при взлете (кг) </w:t>
      </w:r>
      <w:r w:rsidRPr="007122AB">
        <w:rPr>
          <w:rFonts w:ascii="Times New Roman" w:hAnsi="Times New Roman"/>
          <w:color w:val="000000" w:themeColor="text1"/>
          <w:sz w:val="16"/>
          <w:szCs w:val="16"/>
        </w:rPr>
        <w:tab/>
        <w:t>10000</w:t>
      </w:r>
    </w:p>
    <w:p w14:paraId="2DEE1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w:t>
      </w:r>
    </w:p>
    <w:p w14:paraId="21D481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без посадки (час)</w:t>
      </w:r>
      <w:r w:rsidRPr="007122AB">
        <w:rPr>
          <w:rFonts w:ascii="Times New Roman" w:hAnsi="Times New Roman"/>
          <w:color w:val="000000" w:themeColor="text1"/>
          <w:sz w:val="16"/>
          <w:szCs w:val="16"/>
        </w:rPr>
        <w:tab/>
        <w:t>80</w:t>
      </w:r>
    </w:p>
    <w:p w14:paraId="707ADE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Скорости полета (км/ч)</w:t>
      </w:r>
      <w:r w:rsidRPr="007122AB">
        <w:rPr>
          <w:rFonts w:ascii="Times New Roman" w:hAnsi="Times New Roman"/>
          <w:color w:val="000000" w:themeColor="text1"/>
          <w:sz w:val="16"/>
          <w:szCs w:val="16"/>
        </w:rPr>
        <w:tab/>
        <w:t>128-188</w:t>
      </w:r>
    </w:p>
    <w:p w14:paraId="34B9C4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Дальность полета расчетная (км) </w:t>
      </w:r>
      <w:r w:rsidRPr="007122AB">
        <w:rPr>
          <w:rFonts w:ascii="Times New Roman" w:hAnsi="Times New Roman"/>
          <w:color w:val="000000" w:themeColor="text1"/>
          <w:sz w:val="16"/>
          <w:szCs w:val="16"/>
        </w:rPr>
        <w:tab/>
        <w:t>12000</w:t>
      </w:r>
    </w:p>
    <w:p w14:paraId="55A9FD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w:t>
      </w:r>
    </w:p>
    <w:p w14:paraId="758215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практическая (км) </w:t>
      </w:r>
      <w:r w:rsidRPr="007122AB">
        <w:rPr>
          <w:rFonts w:ascii="Times New Roman" w:hAnsi="Times New Roman"/>
          <w:color w:val="000000" w:themeColor="text1"/>
          <w:sz w:val="16"/>
          <w:szCs w:val="16"/>
        </w:rPr>
        <w:tab/>
        <w:t>10000</w:t>
      </w:r>
    </w:p>
    <w:p w14:paraId="1A7CB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ходе обсуждения технических характеристик Туполев настаивал на реальном значении максимальной дальности 9000 км. Однако такая цифра не могла удовлетворить амбиции высшего руководства, в котором считали, что самолеты, способные преодолеть 10 тысяч километров без посадки, в Европе уже имеются. Именно поэтому на заседании Реввоенсовета максимальную дальность полета, которую требовалось получить, определили в 13000 км.</w:t>
      </w:r>
    </w:p>
    <w:p w14:paraId="3EAEC8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Задуманный самолет во всех последующих документах, за немногими исключениями, обозначался как РД - "Рекорд Дальности", его проектирование вела конструкторская бригада под руководством </w:t>
      </w:r>
      <w:proofErr w:type="spellStart"/>
      <w:r w:rsidRPr="007122AB">
        <w:rPr>
          <w:rFonts w:ascii="Times New Roman" w:hAnsi="Times New Roman"/>
          <w:color w:val="000000" w:themeColor="text1"/>
          <w:sz w:val="16"/>
          <w:szCs w:val="16"/>
        </w:rPr>
        <w:t>П.О.Сухого</w:t>
      </w:r>
      <w:proofErr w:type="spellEnd"/>
      <w:r w:rsidRPr="007122AB">
        <w:rPr>
          <w:rFonts w:ascii="Times New Roman" w:hAnsi="Times New Roman"/>
          <w:color w:val="000000" w:themeColor="text1"/>
          <w:sz w:val="16"/>
          <w:szCs w:val="16"/>
        </w:rPr>
        <w:t xml:space="preserve"> (11940).</w:t>
      </w:r>
    </w:p>
    <w:p w14:paraId="526026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B147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декабря 1931 состоялся первый полет на ЦА самолета-звена </w:t>
      </w:r>
      <w:proofErr w:type="spellStart"/>
      <w:r w:rsidRPr="007122AB">
        <w:rPr>
          <w:rFonts w:ascii="Times New Roman" w:hAnsi="Times New Roman"/>
          <w:color w:val="000000" w:themeColor="text1"/>
          <w:sz w:val="16"/>
          <w:szCs w:val="16"/>
        </w:rPr>
        <w:t>В.С.Вахмистрова</w:t>
      </w:r>
      <w:proofErr w:type="spellEnd"/>
      <w:r w:rsidRPr="007122AB">
        <w:rPr>
          <w:rFonts w:ascii="Times New Roman" w:hAnsi="Times New Roman"/>
          <w:color w:val="000000" w:themeColor="text1"/>
          <w:sz w:val="16"/>
          <w:szCs w:val="16"/>
        </w:rPr>
        <w:t xml:space="preserve"> из ТБ-1 и 4хИ-4 (АНТ-5) на плоскостях (2668).</w:t>
      </w:r>
    </w:p>
    <w:p w14:paraId="251D4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76562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декабря 1931 г. был выполнен первый полет на ЦА им. </w:t>
      </w:r>
      <w:proofErr w:type="spellStart"/>
      <w:r w:rsidRPr="007122AB">
        <w:rPr>
          <w:rFonts w:ascii="Times New Roman" w:hAnsi="Times New Roman"/>
          <w:color w:val="000000" w:themeColor="text1"/>
          <w:sz w:val="16"/>
          <w:szCs w:val="16"/>
        </w:rPr>
        <w:t>М.В.Фрунзе</w:t>
      </w:r>
      <w:proofErr w:type="spellEnd"/>
      <w:r w:rsidRPr="007122AB">
        <w:rPr>
          <w:rFonts w:ascii="Times New Roman" w:hAnsi="Times New Roman"/>
          <w:color w:val="000000" w:themeColor="text1"/>
          <w:sz w:val="16"/>
          <w:szCs w:val="16"/>
        </w:rPr>
        <w:t xml:space="preserve"> самолета-"звена" </w:t>
      </w:r>
      <w:proofErr w:type="spellStart"/>
      <w:r w:rsidRPr="007122AB">
        <w:rPr>
          <w:rFonts w:ascii="Times New Roman" w:hAnsi="Times New Roman"/>
          <w:color w:val="000000" w:themeColor="text1"/>
          <w:sz w:val="16"/>
          <w:szCs w:val="16"/>
        </w:rPr>
        <w:t>В.С.Вахмистрова</w:t>
      </w:r>
      <w:proofErr w:type="spellEnd"/>
      <w:r w:rsidRPr="007122AB">
        <w:rPr>
          <w:rFonts w:ascii="Times New Roman" w:hAnsi="Times New Roman"/>
          <w:color w:val="000000" w:themeColor="text1"/>
          <w:sz w:val="16"/>
          <w:szCs w:val="16"/>
        </w:rPr>
        <w:t>: бомбардировщик ТБ-1 с двумя истребителями И-4 (АНТ-5) на плоскостях (6395).</w:t>
      </w:r>
    </w:p>
    <w:p w14:paraId="06D381A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12D0B"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4 декабря </w:t>
      </w:r>
      <w:r w:rsidRPr="007122AB">
        <w:rPr>
          <w:rFonts w:ascii="Times New Roman" w:hAnsi="Times New Roman"/>
          <w:color w:val="000000" w:themeColor="text1"/>
          <w:sz w:val="16"/>
          <w:szCs w:val="16"/>
        </w:rPr>
        <w:t xml:space="preserve">в 1931 году первый полет самолета-"звена" </w:t>
      </w:r>
      <w:proofErr w:type="spellStart"/>
      <w:r w:rsidRPr="007122AB">
        <w:rPr>
          <w:rFonts w:ascii="Times New Roman" w:hAnsi="Times New Roman"/>
          <w:color w:val="000000" w:themeColor="text1"/>
          <w:sz w:val="16"/>
          <w:szCs w:val="16"/>
        </w:rPr>
        <w:t>В.С.Вахмистрова</w:t>
      </w:r>
      <w:proofErr w:type="spellEnd"/>
      <w:r w:rsidRPr="007122AB">
        <w:rPr>
          <w:rFonts w:ascii="Times New Roman" w:hAnsi="Times New Roman"/>
          <w:color w:val="000000" w:themeColor="text1"/>
          <w:sz w:val="16"/>
          <w:szCs w:val="16"/>
        </w:rPr>
        <w:t>: бомбардировщик «ТБ-1» (</w:t>
      </w:r>
      <w:proofErr w:type="spellStart"/>
      <w:r w:rsidRPr="007122AB">
        <w:rPr>
          <w:rFonts w:ascii="Times New Roman" w:hAnsi="Times New Roman"/>
          <w:color w:val="000000" w:themeColor="text1"/>
          <w:sz w:val="16"/>
          <w:szCs w:val="16"/>
        </w:rPr>
        <w:t>А.И.Залевский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В.С.Вахмистров</w:t>
      </w:r>
      <w:proofErr w:type="spellEnd"/>
      <w:r w:rsidRPr="007122AB">
        <w:rPr>
          <w:rFonts w:ascii="Times New Roman" w:hAnsi="Times New Roman"/>
          <w:color w:val="000000" w:themeColor="text1"/>
          <w:sz w:val="16"/>
          <w:szCs w:val="16"/>
        </w:rPr>
        <w:t>) с двумя истребителями «И-4» («АНТ-5») на плоскостях (</w:t>
      </w:r>
      <w:proofErr w:type="spellStart"/>
      <w:r w:rsidRPr="007122AB">
        <w:rPr>
          <w:rFonts w:ascii="Times New Roman" w:hAnsi="Times New Roman"/>
          <w:color w:val="000000" w:themeColor="text1"/>
          <w:sz w:val="16"/>
          <w:szCs w:val="16"/>
        </w:rPr>
        <w:t>В.П.Чкалов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w:t>
      </w:r>
    </w:p>
    <w:p w14:paraId="42C9EF3D"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57EBD4E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D5337F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962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декабря 1931 года АУ выдало заводу № 8 опытный заказ на изготовление одного 45-мм ствола для наложения на лафет 37-мм ПТП обр. 1930 г. Сам лафет должен быть взят из валовой партии. Срок выполнения заказа 1 марта 1932 года. Для 45-мм пушки была изготовлена новая труба. Кожух был сделан из поковки 37-мм пушки. Поковка оказалась коротка, и потребовался дополнительный надульник. Серийные пушки изготавливались уже без надульника. Казенник такой же, как и у 37-мм ПТП. Клиновой затвор взят также от 37-мм ПТП, только пришлось увеличить лоток - вырез для заряжания. Затвор по прежнему был горизонтальным. В лафете был произведен ряд изменений:</w:t>
      </w:r>
    </w:p>
    <w:p w14:paraId="37909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Удлинены шток и цилиндр тормоза отката.</w:t>
      </w:r>
    </w:p>
    <w:p w14:paraId="419CAE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Люлька удлинена и сварена из двух кусков. У заднего среза люльки снизу подвешен груз 6,65 кг для уравновешивания качающейся части. В дальнейшем цапфы будут перенесены вперед и надобность в грузе отпадет.</w:t>
      </w:r>
    </w:p>
    <w:p w14:paraId="32EE09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Станины удлинены на 300 мм.</w:t>
      </w:r>
    </w:p>
    <w:p w14:paraId="70E17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Щит взят без изменений, только увеличено окно (3861).</w:t>
      </w:r>
    </w:p>
    <w:p w14:paraId="14F672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3CBA17"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декабря 1931 г. председатель 2-й секции НТК УММ РККА В.Д. Свиридов с препроводительным письмом № 9031309 направил директору завода «Большевик» опытный заказ № Ц09031309 на изготовление опытного образца дизеля ПГЕ. Согласно этому документу, завод «Большевик» должен был изготовить и предъявить заказчику опытный образец танкового дизеля в марте 1932 г., при этом стоимость заказа ориентировочно была определена в сумме 100.000 рублей (24856).</w:t>
      </w:r>
    </w:p>
    <w:p w14:paraId="24BBCC10" w14:textId="77777777" w:rsidR="000674C1" w:rsidRPr="00441F34" w:rsidRDefault="000674C1" w:rsidP="000674C1">
      <w:pPr>
        <w:spacing w:after="0" w:line="240" w:lineRule="auto"/>
        <w:jc w:val="both"/>
        <w:rPr>
          <w:rFonts w:ascii="Times New Roman" w:hAnsi="Times New Roman"/>
          <w:color w:val="0070C0"/>
          <w:sz w:val="16"/>
          <w:szCs w:val="16"/>
        </w:rPr>
      </w:pPr>
    </w:p>
    <w:p w14:paraId="4D8FE2E9"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4 декабря 1931 </w:t>
      </w:r>
      <w:r w:rsidRPr="007122AB">
        <w:rPr>
          <w:rFonts w:ascii="Times New Roman" w:hAnsi="Times New Roman"/>
          <w:color w:val="000000" w:themeColor="text1"/>
          <w:sz w:val="16"/>
          <w:szCs w:val="16"/>
        </w:rPr>
        <w:t>Политбюро ЦК ВКП (б) одобрило директивы по народнохозяйственному плану на 1932 г (12265).</w:t>
      </w:r>
    </w:p>
    <w:p w14:paraId="2400EA66"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2FBBD12" w14:textId="77777777" w:rsidR="00E048DE" w:rsidRPr="007122AB" w:rsidRDefault="00E048DE"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4 декабря 1931Председатель СО Госплана Мехоношин "с полной определенностью" докладывал руководству Госплана, что "</w:t>
      </w:r>
      <w:proofErr w:type="spellStart"/>
      <w:r w:rsidRPr="007122AB">
        <w:rPr>
          <w:rFonts w:ascii="Times New Roman" w:eastAsia="Times New Roman" w:hAnsi="Times New Roman"/>
          <w:color w:val="000000" w:themeColor="text1"/>
          <w:sz w:val="16"/>
          <w:szCs w:val="16"/>
          <w:lang w:eastAsia="ru-RU"/>
        </w:rPr>
        <w:t>мобвариант</w:t>
      </w:r>
      <w:proofErr w:type="spellEnd"/>
      <w:r w:rsidRPr="007122AB">
        <w:rPr>
          <w:rFonts w:ascii="Times New Roman" w:eastAsia="Times New Roman" w:hAnsi="Times New Roman"/>
          <w:color w:val="000000" w:themeColor="text1"/>
          <w:sz w:val="16"/>
          <w:szCs w:val="16"/>
          <w:lang w:eastAsia="ru-RU"/>
        </w:rPr>
        <w:t xml:space="preserve"> № 10 к весне 1932 г. обеспечен не будет". "При энергичном и умелом проведении такой работы", заявлял Мехоношин, остается надежда "обеспечить производственные мощности промышленности на уровне варианта "МВ-10" к началу 1933 года". В этом случае "выполнение ряда постановлений Правительства будет отсрочено": артиллерийские заводы и к 1933 г. не достигнут заданных мощностей; авиапромышленность сможет дать не более 30 тыс. моторов и 10 тыс. самолетов (вместо предписанных 37 тыс. и 12,5 тыс. соответственно); "не будет на Урале броневой базы и мощностей на 8 тыс. танков сопровождения; не обеспечены моторы для средних танков"; "отставание по иприту, фосфору, цианистым солям и синильной кислоте" (Доклад Председателя СО Госплана СССР Мехоношина Председателю Госплана СССР Куйбышеву, 4.12.1931 // РГАЭ.Ф.4372.0п.91.Д 1272. Л. 10-18. T STONE D. </w:t>
      </w:r>
      <w:proofErr w:type="spellStart"/>
      <w:r w:rsidRPr="007122AB">
        <w:rPr>
          <w:rFonts w:ascii="Times New Roman" w:eastAsia="Times New Roman" w:hAnsi="Times New Roman"/>
          <w:color w:val="000000" w:themeColor="text1"/>
          <w:sz w:val="16"/>
          <w:szCs w:val="16"/>
          <w:lang w:eastAsia="ru-RU"/>
        </w:rPr>
        <w:t>Hammer</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and</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Rifle</w:t>
      </w:r>
      <w:proofErr w:type="spellEnd"/>
      <w:r w:rsidRPr="007122AB">
        <w:rPr>
          <w:rFonts w:ascii="Times New Roman" w:eastAsia="Times New Roman" w:hAnsi="Times New Roman"/>
          <w:color w:val="000000" w:themeColor="text1"/>
          <w:sz w:val="16"/>
          <w:szCs w:val="16"/>
          <w:lang w:eastAsia="ru-RU"/>
        </w:rPr>
        <w:t>. P. 181-182.) (22725).</w:t>
      </w:r>
    </w:p>
    <w:p w14:paraId="0E911FE1" w14:textId="77777777" w:rsidR="00E048DE" w:rsidRPr="007122AB" w:rsidRDefault="00E048DE" w:rsidP="007122AB">
      <w:pPr>
        <w:spacing w:after="0" w:line="240" w:lineRule="auto"/>
        <w:jc w:val="both"/>
        <w:rPr>
          <w:rFonts w:ascii="Times New Roman" w:hAnsi="Times New Roman"/>
          <w:color w:val="000000" w:themeColor="text1"/>
          <w:sz w:val="16"/>
          <w:szCs w:val="16"/>
        </w:rPr>
      </w:pPr>
    </w:p>
    <w:p w14:paraId="522D182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7048CD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49C44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4 и 10 декабря 1931. Из протокола заседания Политбюро № 79, 1931 г.</w:t>
      </w:r>
    </w:p>
    <w:p w14:paraId="29F39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 охране электростанций и заводов </w:t>
      </w:r>
    </w:p>
    <w:p w14:paraId="01588C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Констатируя, что на промышленных предприятиях дело охраны, как наружной, так и внутренней, поставлено неудовлетворительно, ЦК обязывает ВСНХ, НКПС, </w:t>
      </w:r>
      <w:proofErr w:type="spellStart"/>
      <w:r w:rsidRPr="007122AB">
        <w:rPr>
          <w:rFonts w:ascii="Times New Roman" w:hAnsi="Times New Roman"/>
          <w:color w:val="000000" w:themeColor="text1"/>
          <w:sz w:val="16"/>
          <w:szCs w:val="16"/>
        </w:rPr>
        <w:t>НКСнаб</w:t>
      </w:r>
      <w:proofErr w:type="spellEnd"/>
      <w:r w:rsidRPr="007122AB">
        <w:rPr>
          <w:rFonts w:ascii="Times New Roman" w:hAnsi="Times New Roman"/>
          <w:color w:val="000000" w:themeColor="text1"/>
          <w:sz w:val="16"/>
          <w:szCs w:val="16"/>
        </w:rPr>
        <w:t xml:space="preserve"> и органы ОГПУ (к которым перешла военизированная охрана) организовать охрану предприятий таким образом, чтобы в первую очередь устранить такие вопиющие недостатки, как пропуск на заводы непроверенных людей, лиц, не имеющих к ним отношения, хождение из цеха в цех без деловой необходимости, самовольное распоряжение соответствующей аппаратурой, допуск к агрегатам рабочих, не имеющих к ним никакого отношения, самовольное демонстрирование производственных процессов отдельными рабочими своим друзьям, приятелям, что зачастую приводит к авариям, к порче и остановке станков. Основное внимание должно быть обращено на борьбу, выявление и преду</w:t>
      </w:r>
      <w:r w:rsidRPr="007122AB">
        <w:rPr>
          <w:rFonts w:ascii="Times New Roman" w:hAnsi="Times New Roman"/>
          <w:color w:val="000000" w:themeColor="text1"/>
          <w:sz w:val="16"/>
          <w:szCs w:val="16"/>
        </w:rPr>
        <w:softHyphen/>
        <w:t xml:space="preserve">преждение повреждения агрегатов и машин и т. д. </w:t>
      </w:r>
    </w:p>
    <w:p w14:paraId="3D029A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Осуществление вышеуказанных задач требует: </w:t>
      </w:r>
    </w:p>
    <w:p w14:paraId="27F3EC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улучшения и постановки на должную высоту караульной службы наружной охраны предприятий; б) разработки точных и строгих правил внутреннего распорядка, в том числе обязанностей рабочих в отношении к машинам, агрегатам, специального технического надзора предупредительного ремонта во избежание аварий, а также обучение рабочих обращению с машинами; в) изменение порядка допуска на предприятия и в цеха; г) улучшение проверки личного состава и контроля при приеме на важнейшие предприятия и стройки; д) улучшение дела противопожарной охраны. </w:t>
      </w:r>
    </w:p>
    <w:p w14:paraId="53B6B6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Все предприятия должны быть разделены на несколько категорий по степени своей важности. В первую категорию должны быть выделены важнейшие электростанции и линии передачи, военные заводы, крупнейшие водопроводы и крупнейшие транспортные узлы, важнейшие предприятия основных отраслей промышленности. Обязать ОГПУ совместно с соответствующими хозяйственными органами в 2-недельный срок составить список предприятий 1-й категории (11652).</w:t>
      </w:r>
    </w:p>
    <w:p w14:paraId="237611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945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декабря 1931 г. СНК СССР возлагает на войска ОГПУ охрану и оборону железнодорожных объектов (10303).</w:t>
      </w:r>
    </w:p>
    <w:p w14:paraId="6CD12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DC768D1" w14:textId="77777777" w:rsidR="000F17FB" w:rsidRPr="007122AB" w:rsidRDefault="000F17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декабря 1931 Г. </w:t>
      </w:r>
      <w:proofErr w:type="spellStart"/>
      <w:r w:rsidRPr="007122AB">
        <w:rPr>
          <w:rFonts w:ascii="Times New Roman" w:hAnsi="Times New Roman"/>
          <w:color w:val="000000" w:themeColor="text1"/>
          <w:sz w:val="16"/>
          <w:szCs w:val="16"/>
        </w:rPr>
        <w:t>Бокис</w:t>
      </w:r>
      <w:proofErr w:type="spellEnd"/>
      <w:r w:rsidRPr="007122AB">
        <w:rPr>
          <w:rFonts w:ascii="Times New Roman" w:hAnsi="Times New Roman"/>
          <w:color w:val="000000" w:themeColor="text1"/>
          <w:sz w:val="16"/>
          <w:szCs w:val="16"/>
        </w:rPr>
        <w:t xml:space="preserve"> докладывал заместителю наркома по военным и морским делам Н. Тухачевскому о ходе работ в КБ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среди которых фигурировала и Д-37: </w:t>
      </w:r>
    </w:p>
    <w:p w14:paraId="560CE886" w14:textId="77777777" w:rsidR="000F17FB" w:rsidRPr="007122AB" w:rsidRDefault="000F17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Д-37 - бронедрезина с мотором Форд-АА, срок изготовления 15 ноября. Состояние работ - первый опытный образец находится в сборке и будет готов в середине января </w:t>
      </w:r>
    </w:p>
    <w:p w14:paraId="48414B46" w14:textId="77777777" w:rsidR="000F17FB" w:rsidRPr="007122AB" w:rsidRDefault="000F17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1932 года. Рабочих чертежей не имеется» (18626).</w:t>
      </w:r>
    </w:p>
    <w:p w14:paraId="0BF19A2B" w14:textId="77777777" w:rsidR="000F17FB" w:rsidRPr="007122AB" w:rsidRDefault="000F17FB" w:rsidP="007122AB">
      <w:pPr>
        <w:spacing w:after="0" w:line="240" w:lineRule="auto"/>
        <w:jc w:val="both"/>
        <w:rPr>
          <w:rFonts w:ascii="Times New Roman" w:hAnsi="Times New Roman"/>
          <w:color w:val="000000" w:themeColor="text1"/>
          <w:sz w:val="16"/>
          <w:szCs w:val="16"/>
        </w:rPr>
      </w:pPr>
    </w:p>
    <w:p w14:paraId="4EB420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4 и 10 декабря 1931. Из протокола заседания Политбюро № 79, 1931 г.</w:t>
      </w:r>
    </w:p>
    <w:p w14:paraId="6F3CFC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Телеграмма тов. </w:t>
      </w:r>
      <w:proofErr w:type="spellStart"/>
      <w:r w:rsidRPr="007122AB">
        <w:rPr>
          <w:rFonts w:ascii="Times New Roman" w:hAnsi="Times New Roman"/>
          <w:color w:val="000000" w:themeColor="text1"/>
          <w:sz w:val="16"/>
          <w:szCs w:val="16"/>
        </w:rPr>
        <w:t>Певзняка</w:t>
      </w:r>
      <w:proofErr w:type="spellEnd"/>
      <w:r w:rsidRPr="007122AB">
        <w:rPr>
          <w:rFonts w:ascii="Times New Roman" w:hAnsi="Times New Roman"/>
          <w:color w:val="000000" w:themeColor="text1"/>
          <w:sz w:val="16"/>
          <w:szCs w:val="16"/>
        </w:rPr>
        <w:t xml:space="preserve"> от 4 декабря 1931 г. </w:t>
      </w:r>
    </w:p>
    <w:p w14:paraId="11AA5D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Согласиться со следующим постановлением бюро Якутского обкома: "За отсутствием всякого частного рынка в северных туземных районах кулаков при выполнении твердых заданий по пушным и рыбным заготовкам и второстепенному экспорту снабжать </w:t>
      </w:r>
      <w:proofErr w:type="spellStart"/>
      <w:r w:rsidRPr="007122AB">
        <w:rPr>
          <w:rFonts w:ascii="Times New Roman" w:hAnsi="Times New Roman"/>
          <w:color w:val="000000" w:themeColor="text1"/>
          <w:sz w:val="16"/>
          <w:szCs w:val="16"/>
        </w:rPr>
        <w:t>товаропродуктами</w:t>
      </w:r>
      <w:proofErr w:type="spellEnd"/>
      <w:r w:rsidRPr="007122AB">
        <w:rPr>
          <w:rFonts w:ascii="Times New Roman" w:hAnsi="Times New Roman"/>
          <w:color w:val="000000" w:themeColor="text1"/>
          <w:sz w:val="16"/>
          <w:szCs w:val="16"/>
        </w:rPr>
        <w:t xml:space="preserve"> в размерах потребительской нормы семей. В южных районах кулаков по </w:t>
      </w:r>
      <w:proofErr w:type="spellStart"/>
      <w:r w:rsidRPr="007122AB">
        <w:rPr>
          <w:rFonts w:ascii="Times New Roman" w:hAnsi="Times New Roman"/>
          <w:color w:val="000000" w:themeColor="text1"/>
          <w:sz w:val="16"/>
          <w:szCs w:val="16"/>
        </w:rPr>
        <w:t>сельхоззаготовкам</w:t>
      </w:r>
      <w:proofErr w:type="spellEnd"/>
      <w:r w:rsidRPr="007122AB">
        <w:rPr>
          <w:rFonts w:ascii="Times New Roman" w:hAnsi="Times New Roman"/>
          <w:color w:val="000000" w:themeColor="text1"/>
          <w:sz w:val="16"/>
          <w:szCs w:val="16"/>
        </w:rPr>
        <w:t xml:space="preserve"> не фондировать, по </w:t>
      </w:r>
      <w:proofErr w:type="spellStart"/>
      <w:r w:rsidRPr="007122AB">
        <w:rPr>
          <w:rFonts w:ascii="Times New Roman" w:hAnsi="Times New Roman"/>
          <w:color w:val="000000" w:themeColor="text1"/>
          <w:sz w:val="16"/>
          <w:szCs w:val="16"/>
        </w:rPr>
        <w:t>лесодровозаготовкам</w:t>
      </w:r>
      <w:proofErr w:type="spellEnd"/>
      <w:r w:rsidRPr="007122AB">
        <w:rPr>
          <w:rFonts w:ascii="Times New Roman" w:hAnsi="Times New Roman"/>
          <w:color w:val="000000" w:themeColor="text1"/>
          <w:sz w:val="16"/>
          <w:szCs w:val="16"/>
        </w:rPr>
        <w:t>, перевозкам грузов снабжать по продовольственной группе товарами при условии выполнения твердых заданий. Зажиточная часть населения, сдающая товарную продукцию сельского хозяйства в порядке выполнения твердого задания, фондируется не более 15% заготовительной стоимости сданной продукции" (11652).</w:t>
      </w:r>
    </w:p>
    <w:p w14:paraId="4FD17F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0A5605"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4 декабря </w:t>
      </w:r>
      <w:r w:rsidRPr="007122AB">
        <w:rPr>
          <w:rFonts w:ascii="Times New Roman" w:hAnsi="Times New Roman"/>
          <w:color w:val="000000" w:themeColor="text1"/>
          <w:sz w:val="16"/>
          <w:szCs w:val="16"/>
        </w:rPr>
        <w:t>в 1931 году Политбюро ЦК ВКП(б) принимает постановление о том, чтобы наказать должностных лиц Амторга, "Растративших 25 тысяч долларов в пользу дезертировавшего из СССР Сергея Эйзенштейна. Речь идет о финансировании фильма о мексиканской революции, который Эйзенштейн собирался снимать в Мексике (14850).</w:t>
      </w:r>
    </w:p>
    <w:p w14:paraId="2E92CD04"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50CFEC1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Авиапромышленность:</w:t>
      </w:r>
    </w:p>
    <w:p w14:paraId="53A02B4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F06DC0"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декабря 1931 г. в письме №453/489 от зам. начальника НИИ ВВС Аузана председателю РВС Ворошилову сказано, что (цитата)</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«Самолет И7-БМВVI Е-7,3 превосходит И5-ЮVI горизонтальными скоростями и уступает ему в отношении </w:t>
      </w:r>
      <w:proofErr w:type="spellStart"/>
      <w:r w:rsidRPr="00441F34">
        <w:rPr>
          <w:rFonts w:ascii="Times New Roman" w:hAnsi="Times New Roman"/>
          <w:color w:val="0070C0"/>
          <w:sz w:val="16"/>
          <w:szCs w:val="16"/>
        </w:rPr>
        <w:t>скороподъемн</w:t>
      </w:r>
      <w:proofErr w:type="spellEnd"/>
      <w:r w:rsidRPr="00441F34">
        <w:rPr>
          <w:rFonts w:ascii="Times New Roman" w:hAnsi="Times New Roman"/>
          <w:color w:val="0070C0"/>
          <w:sz w:val="16"/>
          <w:szCs w:val="16"/>
        </w:rPr>
        <w:t>. и маневренности» (24331).</w:t>
      </w:r>
    </w:p>
    <w:p w14:paraId="6FAF2BC6" w14:textId="77777777" w:rsidR="000674C1" w:rsidRPr="00441F34" w:rsidRDefault="000674C1" w:rsidP="000674C1">
      <w:pPr>
        <w:spacing w:after="0" w:line="240" w:lineRule="auto"/>
        <w:jc w:val="both"/>
        <w:rPr>
          <w:rFonts w:ascii="Times New Roman" w:hAnsi="Times New Roman"/>
          <w:color w:val="0070C0"/>
          <w:sz w:val="16"/>
          <w:szCs w:val="16"/>
        </w:rPr>
      </w:pPr>
    </w:p>
    <w:p w14:paraId="42AA351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декабря 1931 г. , согласно поста</w:t>
      </w:r>
      <w:r w:rsidRPr="007122AB">
        <w:rPr>
          <w:rFonts w:ascii="Times New Roman" w:hAnsi="Times New Roman"/>
          <w:color w:val="000000" w:themeColor="text1"/>
          <w:sz w:val="16"/>
          <w:szCs w:val="16"/>
        </w:rPr>
        <w:softHyphen/>
        <w:t>новлению СТО, 1,5 млн руб. выделялось на строитель</w:t>
      </w:r>
      <w:r w:rsidRPr="007122AB">
        <w:rPr>
          <w:rFonts w:ascii="Times New Roman" w:hAnsi="Times New Roman"/>
          <w:color w:val="000000" w:themeColor="text1"/>
          <w:sz w:val="16"/>
          <w:szCs w:val="16"/>
        </w:rPr>
        <w:softHyphen/>
        <w:t>ство завода № 63 ГВФ. Он начал функционировать в 1933 г., но уже под № 82 НКОП (11852).</w:t>
      </w:r>
    </w:p>
    <w:p w14:paraId="16C380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402043" w14:textId="2E2A6F77" w:rsidR="000674C1" w:rsidRDefault="000674C1"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5C699390" w14:textId="77777777" w:rsidR="000674C1" w:rsidRDefault="000674C1"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594EECC1"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 декабря 1931 г., пытаясь внести ясность в разрешение вопроса двигателей для производства танков на ХПЗ, заместитель начальника специального сектора объединения «Локомотив» П.Л. </w:t>
      </w:r>
      <w:proofErr w:type="spellStart"/>
      <w:r w:rsidRPr="00441F34">
        <w:rPr>
          <w:rFonts w:ascii="Times New Roman" w:hAnsi="Times New Roman"/>
          <w:color w:val="0070C0"/>
          <w:sz w:val="16"/>
          <w:szCs w:val="16"/>
        </w:rPr>
        <w:t>Валейчик</w:t>
      </w:r>
      <w:proofErr w:type="spellEnd"/>
      <w:r w:rsidRPr="00441F34">
        <w:rPr>
          <w:rFonts w:ascii="Times New Roman" w:hAnsi="Times New Roman"/>
          <w:color w:val="0070C0"/>
          <w:sz w:val="16"/>
          <w:szCs w:val="16"/>
        </w:rPr>
        <w:t xml:space="preserve"> направил начальнику УММ РККА И.А. </w:t>
      </w:r>
      <w:proofErr w:type="spellStart"/>
      <w:r w:rsidRPr="00441F34">
        <w:rPr>
          <w:rFonts w:ascii="Times New Roman" w:hAnsi="Times New Roman"/>
          <w:color w:val="0070C0"/>
          <w:sz w:val="16"/>
          <w:szCs w:val="16"/>
        </w:rPr>
        <w:t>Халепскому</w:t>
      </w:r>
      <w:proofErr w:type="spellEnd"/>
      <w:r w:rsidRPr="00441F34">
        <w:rPr>
          <w:rFonts w:ascii="Times New Roman" w:hAnsi="Times New Roman"/>
          <w:color w:val="0070C0"/>
          <w:sz w:val="16"/>
          <w:szCs w:val="16"/>
        </w:rPr>
        <w:t xml:space="preserve"> письмо № 291/3850с следующего содержания:</w:t>
      </w:r>
    </w:p>
    <w:p w14:paraId="43DD821A"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выводах Военно-Морской Инспекции ЦКК ВКП(б) – НК РКИ СССР предусмотрена проработка вопроса о возможности перехода танков «БТ» с авиамотора на дизельный мотор, просим дать задание НТК УММ с тем, чтобы последний проработал этот вопрос и в случае возможности такой замены, необходимо выдать заказ на разработку конструкции дизельного мотора».</w:t>
      </w:r>
    </w:p>
    <w:p w14:paraId="23D4FF0E"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[РГВА. Ф. 31811. Оп. 3. Д. 19. Л. 16 с об.]</w:t>
      </w:r>
    </w:p>
    <w:p w14:paraId="3D498D3C" w14:textId="77777777" w:rsidR="000674C1" w:rsidRPr="00441F34" w:rsidRDefault="000674C1" w:rsidP="000674C1">
      <w:pPr>
        <w:spacing w:after="0" w:line="240" w:lineRule="auto"/>
        <w:jc w:val="both"/>
        <w:rPr>
          <w:rFonts w:ascii="Times New Roman" w:hAnsi="Times New Roman"/>
          <w:color w:val="0070C0"/>
          <w:sz w:val="16"/>
          <w:szCs w:val="16"/>
        </w:rPr>
      </w:pPr>
    </w:p>
    <w:p w14:paraId="49BC05C5"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декабря 1931 г.</w:t>
      </w:r>
    </w:p>
    <w:p w14:paraId="4D3641A3"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РГВА Фонд 31811 Опись 3 Дело 19 лист 16 с об. </w:t>
      </w:r>
    </w:p>
    <w:p w14:paraId="3580F9B6"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СЕКРЕТНО </w:t>
      </w:r>
    </w:p>
    <w:p w14:paraId="2FF87962"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5/XII-1931 г. </w:t>
      </w:r>
    </w:p>
    <w:p w14:paraId="6A557C44"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291/3850с</w:t>
      </w:r>
    </w:p>
    <w:p w14:paraId="6C8D2A78"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НАЧАЛЬНИКУ УММ РККА </w:t>
      </w:r>
    </w:p>
    <w:p w14:paraId="7EA341C4"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н/исп. </w:t>
      </w:r>
      <w:proofErr w:type="spellStart"/>
      <w:r w:rsidRPr="00441F34">
        <w:rPr>
          <w:rFonts w:ascii="Times New Roman" w:hAnsi="Times New Roman"/>
          <w:color w:val="0070C0"/>
          <w:sz w:val="16"/>
          <w:szCs w:val="16"/>
        </w:rPr>
        <w:t>Расколин</w:t>
      </w:r>
      <w:proofErr w:type="spellEnd"/>
      <w:r w:rsidRPr="00441F34">
        <w:rPr>
          <w:rFonts w:ascii="Times New Roman" w:hAnsi="Times New Roman"/>
          <w:color w:val="0070C0"/>
          <w:sz w:val="16"/>
          <w:szCs w:val="16"/>
        </w:rPr>
        <w:t>, тел. 4-53-87</w:t>
      </w:r>
    </w:p>
    <w:p w14:paraId="581EE5ED"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ВОПРОСУ:</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Моторов для танков "БТ". </w:t>
      </w:r>
    </w:p>
    <w:p w14:paraId="34679A54"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выводах Военно-Морской Инспекции ЦКК ВКП(б) – НК РКИ СССР предусмотрена проработка вопроса о возможности перехода танков "БТ" с авиамотора на дизельный мотор, просим дать задание НТК УММ с тем, чтобы последний проработал этот вопрос и в случае возможности такой замены, необходимо выдать заказ на разработку конструкции дизельного мотора.</w:t>
      </w:r>
    </w:p>
    <w:p w14:paraId="05984B35"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ЗАМ. НАЧ. СПЕЦСЕКТОРА подпись (</w:t>
      </w:r>
      <w:proofErr w:type="spellStart"/>
      <w:r w:rsidRPr="00441F34">
        <w:rPr>
          <w:rFonts w:ascii="Times New Roman" w:hAnsi="Times New Roman"/>
          <w:color w:val="0070C0"/>
          <w:sz w:val="16"/>
          <w:szCs w:val="16"/>
        </w:rPr>
        <w:t>Валейчик</w:t>
      </w:r>
      <w:proofErr w:type="spellEnd"/>
      <w:r w:rsidRPr="00441F34">
        <w:rPr>
          <w:rFonts w:ascii="Times New Roman" w:hAnsi="Times New Roman"/>
          <w:color w:val="0070C0"/>
          <w:sz w:val="16"/>
          <w:szCs w:val="16"/>
        </w:rPr>
        <w:t xml:space="preserve">) </w:t>
      </w:r>
    </w:p>
    <w:p w14:paraId="3E89D6B1"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Исполнитель подпись (</w:t>
      </w:r>
      <w:proofErr w:type="spellStart"/>
      <w:r w:rsidRPr="00441F34">
        <w:rPr>
          <w:rFonts w:ascii="Times New Roman" w:hAnsi="Times New Roman"/>
          <w:color w:val="0070C0"/>
          <w:sz w:val="16"/>
          <w:szCs w:val="16"/>
        </w:rPr>
        <w:t>Расколин</w:t>
      </w:r>
      <w:proofErr w:type="spellEnd"/>
      <w:r w:rsidRPr="00441F34">
        <w:rPr>
          <w:rFonts w:ascii="Times New Roman" w:hAnsi="Times New Roman"/>
          <w:color w:val="0070C0"/>
          <w:sz w:val="16"/>
          <w:szCs w:val="16"/>
        </w:rPr>
        <w:t>)</w:t>
      </w:r>
    </w:p>
    <w:p w14:paraId="48FE251C"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ЕЕ № 5181 </w:t>
      </w:r>
    </w:p>
    <w:p w14:paraId="58E270B9" w14:textId="77777777" w:rsidR="000674C1" w:rsidRPr="00441F34" w:rsidRDefault="000674C1" w:rsidP="000674C1">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w:t>
      </w:r>
      <w:proofErr w:type="spellEnd"/>
      <w:r w:rsidRPr="00441F34">
        <w:rPr>
          <w:rFonts w:ascii="Times New Roman" w:hAnsi="Times New Roman"/>
          <w:color w:val="0070C0"/>
          <w:sz w:val="16"/>
          <w:szCs w:val="16"/>
        </w:rPr>
        <w:t xml:space="preserve">. 2 экз. </w:t>
      </w:r>
    </w:p>
    <w:p w14:paraId="020B42FA"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3.XII-1931 г. </w:t>
      </w:r>
    </w:p>
    <w:p w14:paraId="0515152A"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обороте листа написано от руки: </w:t>
      </w:r>
    </w:p>
    <w:p w14:paraId="14D9A369"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9 декабря 1931 г. </w:t>
      </w:r>
    </w:p>
    <w:p w14:paraId="7C5EB19F"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9031343 </w:t>
      </w:r>
    </w:p>
    <w:p w14:paraId="57D12472"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Вопрос о переходе с </w:t>
      </w:r>
      <w:proofErr w:type="spellStart"/>
      <w:r w:rsidRPr="00441F34">
        <w:rPr>
          <w:rFonts w:ascii="Times New Roman" w:hAnsi="Times New Roman"/>
          <w:color w:val="0070C0"/>
          <w:sz w:val="16"/>
          <w:szCs w:val="16"/>
        </w:rPr>
        <w:t>авио</w:t>
      </w:r>
      <w:proofErr w:type="spellEnd"/>
      <w:r w:rsidRPr="00441F34">
        <w:rPr>
          <w:rFonts w:ascii="Times New Roman" w:hAnsi="Times New Roman"/>
          <w:color w:val="0070C0"/>
          <w:sz w:val="16"/>
          <w:szCs w:val="16"/>
        </w:rPr>
        <w:t xml:space="preserve">-моторов на дизель-моторы в танках БТ нами предусмотрен. </w:t>
      </w:r>
    </w:p>
    <w:p w14:paraId="0D701F6E"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Готовится опытный образец 400-сильного дизель-мотора. По окончании испытаний этого мотора выяснится возможность установки дизель-моторов в танки Б-Т.</w:t>
      </w:r>
    </w:p>
    <w:p w14:paraId="217275A9"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Председатель 1-й секции подпись В.М. Бегунова</w:t>
      </w:r>
    </w:p>
    <w:p w14:paraId="3F189ECC" w14:textId="77777777" w:rsidR="000674C1" w:rsidRPr="00441F34" w:rsidRDefault="000674C1" w:rsidP="000674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Верно: Секретарь подпись (24869).</w:t>
      </w:r>
    </w:p>
    <w:p w14:paraId="2E90E01C" w14:textId="77777777" w:rsidR="000674C1" w:rsidRPr="00441F34" w:rsidRDefault="000674C1" w:rsidP="000674C1">
      <w:pPr>
        <w:spacing w:after="0" w:line="240" w:lineRule="auto"/>
        <w:jc w:val="both"/>
        <w:rPr>
          <w:rFonts w:ascii="Times New Roman" w:hAnsi="Times New Roman"/>
          <w:color w:val="0070C0"/>
          <w:sz w:val="16"/>
          <w:szCs w:val="16"/>
        </w:rPr>
      </w:pPr>
    </w:p>
    <w:p w14:paraId="6523DED2" w14:textId="0E227EDD"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C2801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D6CB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декабря 1931 в Москве был взорван храм Христа Спасителя (3263,708) - в 12:00 - взорвали один из четырех центральных пилонов и за 45 минут разрушили остальные 3 (3481).</w:t>
      </w:r>
    </w:p>
    <w:p w14:paraId="6C3AAD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29F633" w14:textId="77777777" w:rsidR="000F17FB" w:rsidRPr="007122AB" w:rsidRDefault="000F17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декабря 1931. Взорвали строившийся всей Россией в течение полувека храм Христа Спасителя. "Чудо советской пиротехники", -так назывался фильм об уничтожении этой святыни (18724).</w:t>
      </w:r>
    </w:p>
    <w:p w14:paraId="3ED6D7DF" w14:textId="77777777" w:rsidR="000F17FB" w:rsidRPr="007122AB" w:rsidRDefault="000F17FB" w:rsidP="007122AB">
      <w:pPr>
        <w:spacing w:after="0" w:line="240" w:lineRule="auto"/>
        <w:jc w:val="both"/>
        <w:rPr>
          <w:rFonts w:ascii="Times New Roman" w:hAnsi="Times New Roman"/>
          <w:color w:val="000000" w:themeColor="text1"/>
          <w:sz w:val="16"/>
          <w:szCs w:val="16"/>
        </w:rPr>
      </w:pPr>
    </w:p>
    <w:p w14:paraId="0E19BEF0" w14:textId="77777777" w:rsidR="00827C42" w:rsidRPr="007122AB" w:rsidRDefault="00827C4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5 декабря 1931 года — день сноса храма Христа Спасителя (21166).</w:t>
      </w:r>
    </w:p>
    <w:p w14:paraId="0CBEB1B7" w14:textId="77777777" w:rsidR="00827C42" w:rsidRPr="007122AB" w:rsidRDefault="00827C42" w:rsidP="007122AB">
      <w:pPr>
        <w:spacing w:after="0" w:line="240" w:lineRule="auto"/>
        <w:jc w:val="both"/>
        <w:rPr>
          <w:rFonts w:ascii="Times New Roman" w:hAnsi="Times New Roman"/>
          <w:color w:val="000000" w:themeColor="text1"/>
          <w:sz w:val="16"/>
          <w:szCs w:val="16"/>
        </w:rPr>
      </w:pPr>
    </w:p>
    <w:p w14:paraId="53245B94" w14:textId="77777777" w:rsidR="000C5145" w:rsidRPr="007122AB" w:rsidRDefault="000C5145"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5 декабря</w:t>
      </w:r>
      <w:r w:rsidRPr="007122AB">
        <w:rPr>
          <w:rFonts w:ascii="Times New Roman" w:hAnsi="Times New Roman"/>
          <w:color w:val="000000" w:themeColor="text1"/>
          <w:sz w:val="16"/>
          <w:szCs w:val="16"/>
        </w:rPr>
        <w:t xml:space="preserve"> в 1931 году в 12 часов дня производится первый взрыв, в результате которого рушится один из четырех центральных пилонов Храма Христа Спасителя в Москве, построенного в 1881 на народные деньги в память избавления России от нашествия Наполеона. В течение 45 минут будут обрушены остальные пилоны. На его месте должны выстроить Дворец Советов, но построят лишь бассейн "Москва". Храм Христа Спасителя, идея строительства которого возникла сразу по окончании Отечественной войны 1812 года, закладывался трижды. Трижды на протяжении почти двух столетий освящался его первый камень. В 1832 году император Николай I утвердил проект Храма Христа Спасителя, представленный архитектором Константином Тоном.</w:t>
      </w:r>
    </w:p>
    <w:p w14:paraId="34DA273D"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Закладка храма состоялась в 1839 году. Величественный храм на берегу реки Москвы, на Волхонке, строился более 40 лет. В праздник Вознесения Господня, 26 мая 1883 года, с необыкновенной торжественностью Храм Христа Спасителя был освящен. Специально ко дню освящения </w:t>
      </w:r>
      <w:proofErr w:type="spellStart"/>
      <w:r w:rsidRPr="007122AB">
        <w:rPr>
          <w:rFonts w:ascii="Times New Roman" w:hAnsi="Times New Roman"/>
          <w:color w:val="000000" w:themeColor="text1"/>
          <w:sz w:val="16"/>
          <w:szCs w:val="16"/>
        </w:rPr>
        <w:t>П.И.Чайковский</w:t>
      </w:r>
      <w:proofErr w:type="spellEnd"/>
      <w:r w:rsidRPr="007122AB">
        <w:rPr>
          <w:rFonts w:ascii="Times New Roman" w:hAnsi="Times New Roman"/>
          <w:color w:val="000000" w:themeColor="text1"/>
          <w:sz w:val="16"/>
          <w:szCs w:val="16"/>
        </w:rPr>
        <w:t xml:space="preserve"> написал вдохновенную увертюру «1812 год», исполненную храмовым хором. Над созданием Храма трудились лучшие архитекторы, строители, художники того времени. Уникальная роспись создавалась русскими живописцами </w:t>
      </w:r>
      <w:proofErr w:type="spellStart"/>
      <w:r w:rsidRPr="007122AB">
        <w:rPr>
          <w:rFonts w:ascii="Times New Roman" w:hAnsi="Times New Roman"/>
          <w:color w:val="000000" w:themeColor="text1"/>
          <w:sz w:val="16"/>
          <w:szCs w:val="16"/>
        </w:rPr>
        <w:t>В.Суриковым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Н.Кошелевым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И.Крамским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Г.Семирадским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В.Верещагиным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В.Маковским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В.Васнецовым</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В.Марковым</w:t>
      </w:r>
      <w:proofErr w:type="spellEnd"/>
      <w:r w:rsidRPr="007122AB">
        <w:rPr>
          <w:rFonts w:ascii="Times New Roman" w:hAnsi="Times New Roman"/>
          <w:color w:val="000000" w:themeColor="text1"/>
          <w:sz w:val="16"/>
          <w:szCs w:val="16"/>
        </w:rPr>
        <w:t xml:space="preserve">, И. Прянишниковым, </w:t>
      </w:r>
      <w:proofErr w:type="spellStart"/>
      <w:r w:rsidRPr="007122AB">
        <w:rPr>
          <w:rFonts w:ascii="Times New Roman" w:hAnsi="Times New Roman"/>
          <w:color w:val="000000" w:themeColor="text1"/>
          <w:sz w:val="16"/>
          <w:szCs w:val="16"/>
        </w:rPr>
        <w:t>Ф.Бруни</w:t>
      </w:r>
      <w:proofErr w:type="spellEnd"/>
      <w:r w:rsidRPr="007122AB">
        <w:rPr>
          <w:rFonts w:ascii="Times New Roman" w:hAnsi="Times New Roman"/>
          <w:color w:val="000000" w:themeColor="text1"/>
          <w:sz w:val="16"/>
          <w:szCs w:val="16"/>
        </w:rPr>
        <w:t xml:space="preserve">, др. Авторами фасадных скульптур стали барон </w:t>
      </w:r>
      <w:proofErr w:type="spellStart"/>
      <w:r w:rsidRPr="007122AB">
        <w:rPr>
          <w:rFonts w:ascii="Times New Roman" w:hAnsi="Times New Roman"/>
          <w:color w:val="000000" w:themeColor="text1"/>
          <w:sz w:val="16"/>
          <w:szCs w:val="16"/>
        </w:rPr>
        <w:t>П.Клодт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Н.Рамазанов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А.Логановский</w:t>
      </w:r>
      <w:proofErr w:type="spellEnd"/>
      <w:r w:rsidRPr="007122AB">
        <w:rPr>
          <w:rFonts w:ascii="Times New Roman" w:hAnsi="Times New Roman"/>
          <w:color w:val="000000" w:themeColor="text1"/>
          <w:sz w:val="16"/>
          <w:szCs w:val="16"/>
        </w:rPr>
        <w:t xml:space="preserve">. Врата Храма были исполнены в технике гальванопластики по моделям графа </w:t>
      </w:r>
      <w:proofErr w:type="spellStart"/>
      <w:r w:rsidRPr="007122AB">
        <w:rPr>
          <w:rFonts w:ascii="Times New Roman" w:hAnsi="Times New Roman"/>
          <w:color w:val="000000" w:themeColor="text1"/>
          <w:sz w:val="16"/>
          <w:szCs w:val="16"/>
        </w:rPr>
        <w:t>Ф.Толстого</w:t>
      </w:r>
      <w:proofErr w:type="spellEnd"/>
      <w:r w:rsidRPr="007122AB">
        <w:rPr>
          <w:rFonts w:ascii="Times New Roman" w:hAnsi="Times New Roman"/>
          <w:color w:val="000000" w:themeColor="text1"/>
          <w:sz w:val="16"/>
          <w:szCs w:val="16"/>
        </w:rPr>
        <w:t xml:space="preserve">. Храм Христа Спасителя был памятником не только религиозным, но и историческим, «свидетельствующим о божественном заступлении за русский народ в Отечественную войну 1812 года» и запечатлевшим его ратный подвиг. На стенах Храма были изображены военные события, установлены 177 мраморных плит с описанием сражений и именами награжденных орденом святого Георгия, увековечена была и память воинов, проливших кровь за веру и Отечество. Летом 1931 года правительство СССР приняло решение снести храм, а на его месте воздвигнуть грандиозный ансамбль Дворца Советов, на вершине которого поместить фигуру </w:t>
      </w:r>
      <w:proofErr w:type="spellStart"/>
      <w:r w:rsidRPr="007122AB">
        <w:rPr>
          <w:rFonts w:ascii="Times New Roman" w:hAnsi="Times New Roman"/>
          <w:color w:val="000000" w:themeColor="text1"/>
          <w:sz w:val="16"/>
          <w:szCs w:val="16"/>
        </w:rPr>
        <w:t>В.И.Ленина</w:t>
      </w:r>
      <w:proofErr w:type="spellEnd"/>
      <w:r w:rsidRPr="007122AB">
        <w:rPr>
          <w:rFonts w:ascii="Times New Roman" w:hAnsi="Times New Roman"/>
          <w:color w:val="000000" w:themeColor="text1"/>
          <w:sz w:val="16"/>
          <w:szCs w:val="16"/>
        </w:rPr>
        <w:t>. 5 декабря 1931 года в 12 часов всего за 45 минут храм был взорван. Начавшаяся Великая Отечественная война не дала довести проект строительства Дворца до конца, и с 1960 по 1994 год на месте христианской святыни находился открытый плавательный бассейн «Москва» (14851).</w:t>
      </w:r>
    </w:p>
    <w:p w14:paraId="30202D45" w14:textId="06F2B658" w:rsidR="000C5145" w:rsidRPr="007122AB" w:rsidRDefault="000C5145" w:rsidP="007122AB">
      <w:pPr>
        <w:spacing w:after="0" w:line="240" w:lineRule="auto"/>
        <w:jc w:val="both"/>
        <w:rPr>
          <w:rFonts w:ascii="Times New Roman" w:hAnsi="Times New Roman"/>
          <w:color w:val="000000" w:themeColor="text1"/>
          <w:sz w:val="16"/>
          <w:szCs w:val="16"/>
        </w:rPr>
      </w:pPr>
    </w:p>
    <w:p w14:paraId="2849FCA7" w14:textId="0BC147AD" w:rsidR="00827C42" w:rsidRPr="007122AB" w:rsidRDefault="00827C42"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За рубежом:</w:t>
      </w:r>
    </w:p>
    <w:p w14:paraId="57746061" w14:textId="77777777" w:rsidR="00827C42" w:rsidRPr="007122AB" w:rsidRDefault="00827C42" w:rsidP="007122AB">
      <w:pPr>
        <w:spacing w:after="0" w:line="240" w:lineRule="auto"/>
        <w:jc w:val="both"/>
        <w:rPr>
          <w:rFonts w:ascii="Times New Roman" w:hAnsi="Times New Roman"/>
          <w:i/>
          <w:iCs/>
          <w:color w:val="000000" w:themeColor="text1"/>
          <w:sz w:val="16"/>
          <w:szCs w:val="16"/>
        </w:rPr>
      </w:pPr>
    </w:p>
    <w:p w14:paraId="66C60313" w14:textId="77777777" w:rsidR="00827C42" w:rsidRPr="007122AB" w:rsidRDefault="00827C4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декабря 1931 Лоуэлл </w:t>
      </w:r>
      <w:proofErr w:type="spellStart"/>
      <w:r w:rsidRPr="007122AB">
        <w:rPr>
          <w:rFonts w:ascii="Times New Roman" w:hAnsi="Times New Roman"/>
          <w:color w:val="000000" w:themeColor="text1"/>
          <w:sz w:val="16"/>
          <w:szCs w:val="16"/>
        </w:rPr>
        <w:t>Бейлс</w:t>
      </w:r>
      <w:proofErr w:type="spellEnd"/>
      <w:r w:rsidRPr="007122AB">
        <w:rPr>
          <w:rFonts w:ascii="Times New Roman" w:hAnsi="Times New Roman"/>
          <w:color w:val="000000" w:themeColor="text1"/>
          <w:sz w:val="16"/>
          <w:szCs w:val="16"/>
        </w:rPr>
        <w:t xml:space="preserve">, обладатель трофея Томпсона 1931 года, погибает, когда пилотируемый им гоночный самолет </w:t>
      </w:r>
      <w:proofErr w:type="spellStart"/>
      <w:r w:rsidRPr="007122AB">
        <w:rPr>
          <w:rFonts w:ascii="Times New Roman" w:hAnsi="Times New Roman"/>
          <w:color w:val="000000" w:themeColor="text1"/>
          <w:sz w:val="16"/>
          <w:szCs w:val="16"/>
        </w:rPr>
        <w:t>Gee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Bee</w:t>
      </w:r>
      <w:proofErr w:type="spellEnd"/>
      <w:r w:rsidRPr="007122AB">
        <w:rPr>
          <w:rFonts w:ascii="Times New Roman" w:hAnsi="Times New Roman"/>
          <w:color w:val="000000" w:themeColor="text1"/>
          <w:sz w:val="16"/>
          <w:szCs w:val="16"/>
        </w:rPr>
        <w:t xml:space="preserve"> Model Z разбивается во время скоростного полета в аэропорту Уэйн </w:t>
      </w:r>
      <w:proofErr w:type="spellStart"/>
      <w:r w:rsidRPr="007122AB">
        <w:rPr>
          <w:rFonts w:ascii="Times New Roman" w:hAnsi="Times New Roman"/>
          <w:color w:val="000000" w:themeColor="text1"/>
          <w:sz w:val="16"/>
          <w:szCs w:val="16"/>
        </w:rPr>
        <w:t>Каунти</w:t>
      </w:r>
      <w:proofErr w:type="spellEnd"/>
      <w:r w:rsidRPr="007122AB">
        <w:rPr>
          <w:rFonts w:ascii="Times New Roman" w:hAnsi="Times New Roman"/>
          <w:color w:val="000000" w:themeColor="text1"/>
          <w:sz w:val="16"/>
          <w:szCs w:val="16"/>
        </w:rPr>
        <w:t xml:space="preserve"> в Детройте, штат Мичиган (20804).</w:t>
      </w:r>
    </w:p>
    <w:p w14:paraId="5570EB02" w14:textId="77777777" w:rsidR="00827C42" w:rsidRPr="007122AB" w:rsidRDefault="00827C42" w:rsidP="007122AB">
      <w:pPr>
        <w:spacing w:after="0" w:line="240" w:lineRule="auto"/>
        <w:jc w:val="both"/>
        <w:rPr>
          <w:rFonts w:ascii="Times New Roman" w:hAnsi="Times New Roman"/>
          <w:color w:val="000000" w:themeColor="text1"/>
          <w:sz w:val="16"/>
          <w:szCs w:val="16"/>
        </w:rPr>
      </w:pPr>
    </w:p>
    <w:p w14:paraId="67F49646" w14:textId="77777777" w:rsidR="00827C42" w:rsidRPr="007122AB" w:rsidRDefault="00827C4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декабря 1931 </w:t>
      </w:r>
      <w:proofErr w:type="spellStart"/>
      <w:r w:rsidRPr="007122AB">
        <w:rPr>
          <w:rFonts w:ascii="Times New Roman" w:hAnsi="Times New Roman"/>
          <w:color w:val="000000" w:themeColor="text1"/>
          <w:sz w:val="16"/>
          <w:szCs w:val="16"/>
        </w:rPr>
        <w:t>Hillman's</w:t>
      </w:r>
      <w:proofErr w:type="spellEnd"/>
      <w:r w:rsidRPr="007122AB">
        <w:rPr>
          <w:rFonts w:ascii="Times New Roman" w:hAnsi="Times New Roman"/>
          <w:color w:val="000000" w:themeColor="text1"/>
          <w:sz w:val="16"/>
          <w:szCs w:val="16"/>
        </w:rPr>
        <w:t xml:space="preserve"> Airways начинает полеты с чартерного рейса. Она начнет плановые работы в апреле 1932 года (20804).</w:t>
      </w:r>
    </w:p>
    <w:p w14:paraId="2D35E082" w14:textId="77777777" w:rsidR="00827C42" w:rsidRPr="007122AB" w:rsidRDefault="00827C42" w:rsidP="007122AB">
      <w:pPr>
        <w:spacing w:after="0" w:line="240" w:lineRule="auto"/>
        <w:jc w:val="both"/>
        <w:rPr>
          <w:rFonts w:ascii="Times New Roman" w:hAnsi="Times New Roman"/>
          <w:color w:val="000000" w:themeColor="text1"/>
          <w:sz w:val="16"/>
          <w:szCs w:val="16"/>
        </w:rPr>
      </w:pPr>
    </w:p>
    <w:p w14:paraId="5D758F4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20751A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D3E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6 декабря 1931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говорил о АНТ-14 в присутствии В.Б.Ш., что страна не может строить гражданские машины, так как заводы полностью загружены военными машинами. Когда сказали, что военные машины тесные и не годятся </w:t>
      </w: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сказал - складывайтесь как перочинные ножики, но летайте на них (1076,693).</w:t>
      </w:r>
    </w:p>
    <w:p w14:paraId="74E4BB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02E6C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85B2A4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C725138" w14:textId="77777777" w:rsidR="000C5145" w:rsidRPr="007122AB" w:rsidRDefault="000C5145" w:rsidP="007122AB">
      <w:pPr>
        <w:pStyle w:val="a3"/>
        <w:rPr>
          <w:color w:val="000000" w:themeColor="text1"/>
          <w:lang w:val="ru-RU"/>
        </w:rPr>
      </w:pPr>
      <w:r w:rsidRPr="007122AB">
        <w:rPr>
          <w:color w:val="000000" w:themeColor="text1"/>
          <w:lang w:val="ru-RU"/>
        </w:rPr>
        <w:t xml:space="preserve">6 декабря 1930 г. в письме Бегунова на имя </w:t>
      </w:r>
      <w:proofErr w:type="spellStart"/>
      <w:r w:rsidRPr="007122AB">
        <w:rPr>
          <w:color w:val="000000" w:themeColor="text1"/>
          <w:lang w:val="ru-RU"/>
        </w:rPr>
        <w:t>Халепского</w:t>
      </w:r>
      <w:proofErr w:type="spellEnd"/>
      <w:r w:rsidRPr="007122AB">
        <w:rPr>
          <w:color w:val="000000" w:themeColor="text1"/>
          <w:lang w:val="ru-RU"/>
        </w:rPr>
        <w:t xml:space="preserve"> отме</w:t>
      </w:r>
      <w:r w:rsidRPr="007122AB">
        <w:rPr>
          <w:color w:val="000000" w:themeColor="text1"/>
          <w:lang w:val="ru-RU"/>
        </w:rPr>
        <w:softHyphen/>
        <w:t>чалось:</w:t>
      </w:r>
    </w:p>
    <w:p w14:paraId="68A2A03E" w14:textId="77777777" w:rsidR="000C5145" w:rsidRPr="007122AB" w:rsidRDefault="000C514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lastRenderedPageBreak/>
        <w:t>«1) Весьма затруднительна регулировка эпициклической коробки передач</w:t>
      </w:r>
      <w:r w:rsidRPr="007122AB">
        <w:rPr>
          <w:rStyle w:val="1028"/>
          <w:rFonts w:ascii="Times New Roman" w:eastAsia="Arial Unicode MS" w:hAnsi="Times New Roman" w:cs="Times New Roman"/>
          <w:i w:val="0"/>
          <w:iCs w:val="0"/>
          <w:color w:val="000000" w:themeColor="text1"/>
          <w:sz w:val="16"/>
          <w:szCs w:val="16"/>
        </w:rPr>
        <w:t xml:space="preserve"> (демультипликатора</w:t>
      </w:r>
      <w:r w:rsidRPr="007122AB">
        <w:rPr>
          <w:rFonts w:ascii="Times New Roman" w:hAnsi="Times New Roman" w:cs="Times New Roman"/>
          <w:i w:val="0"/>
          <w:color w:val="000000" w:themeColor="text1"/>
          <w:sz w:val="16"/>
          <w:szCs w:val="16"/>
        </w:rPr>
        <w:t>). Это мнение завода. Со сво</w:t>
      </w:r>
      <w:r w:rsidRPr="007122AB">
        <w:rPr>
          <w:rFonts w:ascii="Times New Roman" w:hAnsi="Times New Roman" w:cs="Times New Roman"/>
          <w:i w:val="0"/>
          <w:color w:val="000000" w:themeColor="text1"/>
          <w:sz w:val="16"/>
          <w:szCs w:val="16"/>
        </w:rPr>
        <w:softHyphen/>
        <w:t>ей стороны считаю, что это мнение весьма вероятно, но утвердительно сказать не могу, так как испытание не дало мне полностью установить причину дефекта (</w:t>
      </w:r>
      <w:proofErr w:type="spellStart"/>
      <w:r w:rsidRPr="007122AB">
        <w:rPr>
          <w:rFonts w:ascii="Times New Roman" w:hAnsi="Times New Roman" w:cs="Times New Roman"/>
          <w:i w:val="0"/>
          <w:color w:val="000000" w:themeColor="text1"/>
          <w:sz w:val="16"/>
          <w:szCs w:val="16"/>
        </w:rPr>
        <w:t>пробуксовывание</w:t>
      </w:r>
      <w:proofErr w:type="spellEnd"/>
      <w:r w:rsidRPr="007122AB">
        <w:rPr>
          <w:rFonts w:ascii="Times New Roman" w:hAnsi="Times New Roman" w:cs="Times New Roman"/>
          <w:i w:val="0"/>
          <w:color w:val="000000" w:themeColor="text1"/>
          <w:sz w:val="16"/>
          <w:szCs w:val="16"/>
        </w:rPr>
        <w:t xml:space="preserve"> дисков сцепления).</w:t>
      </w:r>
    </w:p>
    <w:p w14:paraId="41EA4EA1" w14:textId="77777777" w:rsidR="000C5145" w:rsidRPr="007122AB" w:rsidRDefault="000C514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2) Прошу обратить внимание на металлический стук (удар), который получается при пользовании рычагами фрикционов при поворотах тан</w:t>
      </w:r>
      <w:r w:rsidRPr="007122AB">
        <w:rPr>
          <w:rFonts w:ascii="Times New Roman" w:hAnsi="Times New Roman" w:cs="Times New Roman"/>
          <w:i w:val="0"/>
          <w:color w:val="000000" w:themeColor="text1"/>
          <w:sz w:val="16"/>
          <w:szCs w:val="16"/>
        </w:rPr>
        <w:softHyphen/>
        <w:t>ка. Обусловливается этот стук конструкцией сцепления.</w:t>
      </w:r>
    </w:p>
    <w:p w14:paraId="54D743BD" w14:textId="77777777" w:rsidR="000C5145" w:rsidRPr="007122AB" w:rsidRDefault="000C5145" w:rsidP="007122AB">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3) При испытании танка на преодоление подъема в 45' на сыром, разрыхленном грунте танк не показал удовлетворительных результатов.</w:t>
      </w:r>
    </w:p>
    <w:p w14:paraId="614E8DEA" w14:textId="77777777" w:rsidR="000C5145" w:rsidRPr="007122AB" w:rsidRDefault="000C5145" w:rsidP="007122AB">
      <w:pPr>
        <w:pStyle w:val="1010"/>
        <w:shd w:val="clear" w:color="auto" w:fill="auto"/>
        <w:tabs>
          <w:tab w:val="left" w:pos="490"/>
        </w:tabs>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4) При преодолении вертикального препятствия высотой 0,8 м., об</w:t>
      </w:r>
      <w:r w:rsidRPr="007122AB">
        <w:rPr>
          <w:rFonts w:ascii="Times New Roman" w:hAnsi="Times New Roman" w:cs="Times New Roman"/>
          <w:i w:val="0"/>
          <w:color w:val="000000" w:themeColor="text1"/>
          <w:sz w:val="16"/>
          <w:szCs w:val="16"/>
        </w:rPr>
        <w:softHyphen/>
        <w:t>условленной техническими требованиями по нашему договору и являю</w:t>
      </w:r>
      <w:r w:rsidRPr="007122AB">
        <w:rPr>
          <w:rFonts w:ascii="Times New Roman" w:hAnsi="Times New Roman" w:cs="Times New Roman"/>
          <w:i w:val="0"/>
          <w:color w:val="000000" w:themeColor="text1"/>
          <w:sz w:val="16"/>
          <w:szCs w:val="16"/>
        </w:rPr>
        <w:softHyphen/>
        <w:t>щиеся стандартными, по</w:t>
      </w:r>
      <w:r w:rsidRPr="007122AB">
        <w:rPr>
          <w:rStyle w:val="1028"/>
          <w:rFonts w:ascii="Times New Roman" w:eastAsia="Arial Unicode MS" w:hAnsi="Times New Roman" w:cs="Times New Roman"/>
          <w:i w:val="0"/>
          <w:iCs w:val="0"/>
          <w:color w:val="000000" w:themeColor="text1"/>
          <w:sz w:val="16"/>
          <w:szCs w:val="16"/>
        </w:rPr>
        <w:t xml:space="preserve"> заявлению</w:t>
      </w:r>
      <w:r w:rsidRPr="007122AB">
        <w:rPr>
          <w:rFonts w:ascii="Times New Roman" w:hAnsi="Times New Roman" w:cs="Times New Roman"/>
          <w:i w:val="0"/>
          <w:color w:val="000000" w:themeColor="text1"/>
          <w:sz w:val="16"/>
          <w:szCs w:val="16"/>
        </w:rPr>
        <w:t xml:space="preserve"> фирмы, танк также не преодолел. Препятствие было представлено в виде бетонной стенки, совершенно вертикальной, с острым углом.</w:t>
      </w:r>
    </w:p>
    <w:p w14:paraId="1DA72533" w14:textId="77777777" w:rsidR="000C5145" w:rsidRPr="007122AB" w:rsidRDefault="000C514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В момент преодоления препятствия наблюдалось </w:t>
      </w:r>
      <w:proofErr w:type="spellStart"/>
      <w:r w:rsidRPr="007122AB">
        <w:rPr>
          <w:rFonts w:ascii="Times New Roman" w:hAnsi="Times New Roman" w:cs="Times New Roman"/>
          <w:i w:val="0"/>
          <w:color w:val="000000" w:themeColor="text1"/>
          <w:sz w:val="16"/>
          <w:szCs w:val="16"/>
        </w:rPr>
        <w:t>пробуксовывание</w:t>
      </w:r>
      <w:proofErr w:type="spellEnd"/>
      <w:r w:rsidRPr="007122AB">
        <w:rPr>
          <w:rFonts w:ascii="Times New Roman" w:hAnsi="Times New Roman" w:cs="Times New Roman"/>
          <w:i w:val="0"/>
          <w:color w:val="000000" w:themeColor="text1"/>
          <w:sz w:val="16"/>
          <w:szCs w:val="16"/>
        </w:rPr>
        <w:t xml:space="preserve"> траков».</w:t>
      </w:r>
    </w:p>
    <w:p w14:paraId="304ACB2D" w14:textId="77777777" w:rsidR="000C5145" w:rsidRPr="007122AB" w:rsidRDefault="000C5145" w:rsidP="007122AB">
      <w:pPr>
        <w:pStyle w:val="a3"/>
        <w:rPr>
          <w:color w:val="000000" w:themeColor="text1"/>
          <w:lang w:val="ru-RU"/>
        </w:rPr>
      </w:pPr>
      <w:r w:rsidRPr="007122AB">
        <w:rPr>
          <w:rStyle w:val="1028"/>
          <w:rFonts w:ascii="Times New Roman" w:eastAsia="Arial Unicode MS" w:hAnsi="Times New Roman" w:cs="Times New Roman"/>
          <w:iCs/>
          <w:color w:val="000000" w:themeColor="text1"/>
          <w:sz w:val="16"/>
          <w:szCs w:val="16"/>
          <w:lang w:val="ru-RU"/>
        </w:rPr>
        <w:t>Задержка со сдачей первой машины объяснялась, по мнению Бегу</w:t>
      </w:r>
      <w:r w:rsidRPr="007122AB">
        <w:rPr>
          <w:rStyle w:val="1028"/>
          <w:rFonts w:ascii="Times New Roman" w:eastAsia="Arial Unicode MS" w:hAnsi="Times New Roman" w:cs="Times New Roman"/>
          <w:iCs/>
          <w:color w:val="000000" w:themeColor="text1"/>
          <w:sz w:val="16"/>
          <w:szCs w:val="16"/>
          <w:lang w:val="ru-RU"/>
        </w:rPr>
        <w:softHyphen/>
        <w:t>нова, главным образом тем, что</w:t>
      </w:r>
      <w:r w:rsidRPr="007122AB">
        <w:rPr>
          <w:color w:val="000000" w:themeColor="text1"/>
          <w:lang w:val="ru-RU"/>
        </w:rPr>
        <w:t xml:space="preserve"> «...завод в Нью-Кастеле до выдачи на</w:t>
      </w:r>
      <w:r w:rsidRPr="007122AB">
        <w:rPr>
          <w:color w:val="000000" w:themeColor="text1"/>
          <w:lang w:val="ru-RU"/>
        </w:rPr>
        <w:softHyphen/>
        <w:t xml:space="preserve">шего заказа сборкой этих танков не занимался. Производство танков происходило в другом месте: в Шеффилде на заводе «Инглиш </w:t>
      </w:r>
      <w:proofErr w:type="spellStart"/>
      <w:r w:rsidRPr="007122AB">
        <w:rPr>
          <w:color w:val="000000" w:themeColor="text1"/>
          <w:lang w:val="ru-RU"/>
        </w:rPr>
        <w:t>Стеел</w:t>
      </w:r>
      <w:proofErr w:type="spellEnd"/>
      <w:r w:rsidRPr="007122AB">
        <w:rPr>
          <w:color w:val="000000" w:themeColor="text1"/>
          <w:lang w:val="ru-RU"/>
        </w:rPr>
        <w:t xml:space="preserve"> Корпорейшн». Отсутствие опыта у завода в Нью-Кастеле является ос</w:t>
      </w:r>
      <w:r w:rsidRPr="007122AB">
        <w:rPr>
          <w:color w:val="000000" w:themeColor="text1"/>
          <w:lang w:val="ru-RU"/>
        </w:rPr>
        <w:softHyphen/>
        <w:t>новным мотивом для предъявления танков в срок, обусловленный на</w:t>
      </w:r>
      <w:r w:rsidRPr="007122AB">
        <w:rPr>
          <w:color w:val="000000" w:themeColor="text1"/>
          <w:lang w:val="ru-RU"/>
        </w:rPr>
        <w:softHyphen/>
        <w:t>шим договором».</w:t>
      </w:r>
      <w:r w:rsidRPr="007122AB">
        <w:rPr>
          <w:rStyle w:val="1028"/>
          <w:rFonts w:ascii="Times New Roman" w:eastAsia="Arial Unicode MS" w:hAnsi="Times New Roman" w:cs="Times New Roman"/>
          <w:iCs/>
          <w:color w:val="000000" w:themeColor="text1"/>
          <w:sz w:val="16"/>
          <w:szCs w:val="16"/>
          <w:lang w:val="ru-RU"/>
        </w:rPr>
        <w:t xml:space="preserve"> Кроме того, выяснилось, что производство отдельных деталей и комплектующих фирма разместила на целом ряде предприя</w:t>
      </w:r>
      <w:r w:rsidRPr="007122AB">
        <w:rPr>
          <w:rStyle w:val="1028"/>
          <w:rFonts w:ascii="Times New Roman" w:eastAsia="Arial Unicode MS" w:hAnsi="Times New Roman" w:cs="Times New Roman"/>
          <w:iCs/>
          <w:color w:val="000000" w:themeColor="text1"/>
          <w:sz w:val="16"/>
          <w:szCs w:val="16"/>
          <w:lang w:val="ru-RU"/>
        </w:rPr>
        <w:softHyphen/>
        <w:t>тий, разбросанных по всей Англии. Эти заводы также постоянно срыва</w:t>
      </w:r>
      <w:r w:rsidRPr="007122AB">
        <w:rPr>
          <w:rStyle w:val="1028"/>
          <w:rFonts w:ascii="Times New Roman" w:eastAsia="Arial Unicode MS" w:hAnsi="Times New Roman" w:cs="Times New Roman"/>
          <w:iCs/>
          <w:color w:val="000000" w:themeColor="text1"/>
          <w:sz w:val="16"/>
          <w:szCs w:val="16"/>
          <w:lang w:val="ru-RU"/>
        </w:rPr>
        <w:softHyphen/>
        <w:t>ли сроки поставок. Немаловажным являлось и то, что танки предъявля</w:t>
      </w:r>
      <w:r w:rsidRPr="007122AB">
        <w:rPr>
          <w:rStyle w:val="1028"/>
          <w:rFonts w:ascii="Times New Roman" w:eastAsia="Arial Unicode MS" w:hAnsi="Times New Roman" w:cs="Times New Roman"/>
          <w:iCs/>
          <w:color w:val="000000" w:themeColor="text1"/>
          <w:sz w:val="16"/>
          <w:szCs w:val="16"/>
          <w:lang w:val="ru-RU"/>
        </w:rPr>
        <w:softHyphen/>
        <w:t>лись для приемки зачастую недоукомплектованными. Это вызывало с нашей стороны вполне справедливые нарекания и задерживало оконча</w:t>
      </w:r>
      <w:r w:rsidRPr="007122AB">
        <w:rPr>
          <w:rStyle w:val="1028"/>
          <w:rFonts w:ascii="Times New Roman" w:eastAsia="Arial Unicode MS" w:hAnsi="Times New Roman" w:cs="Times New Roman"/>
          <w:iCs/>
          <w:color w:val="000000" w:themeColor="text1"/>
          <w:sz w:val="16"/>
          <w:szCs w:val="16"/>
          <w:lang w:val="ru-RU"/>
        </w:rPr>
        <w:softHyphen/>
        <w:t xml:space="preserve">тельную приемку танков. </w:t>
      </w:r>
      <w:r w:rsidRPr="007122AB">
        <w:rPr>
          <w:color w:val="000000" w:themeColor="text1"/>
          <w:lang w:val="ru-RU"/>
        </w:rPr>
        <w:t>Однако, несмотря на ряд отклонений от технических требований, танк №229 был принят советской стороной, учитывая острую необходи</w:t>
      </w:r>
      <w:r w:rsidRPr="007122AB">
        <w:rPr>
          <w:color w:val="000000" w:themeColor="text1"/>
          <w:lang w:val="ru-RU"/>
        </w:rPr>
        <w:softHyphen/>
        <w:t>мость проведения испытаний в СССР для скорейшего изучения и совер</w:t>
      </w:r>
      <w:r w:rsidRPr="007122AB">
        <w:rPr>
          <w:color w:val="000000" w:themeColor="text1"/>
          <w:lang w:val="ru-RU"/>
        </w:rPr>
        <w:softHyphen/>
        <w:t>шенствования конструкции современного типа танка (15745).</w:t>
      </w:r>
    </w:p>
    <w:p w14:paraId="40615949"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71AB1A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6 декабря 1931 </w:t>
      </w:r>
      <w:proofErr w:type="spellStart"/>
      <w:r w:rsidRPr="007122AB">
        <w:rPr>
          <w:rFonts w:ascii="Times New Roman" w:hAnsi="Times New Roman"/>
          <w:color w:val="000000" w:themeColor="text1"/>
          <w:sz w:val="16"/>
          <w:szCs w:val="16"/>
        </w:rPr>
        <w:t>Н.М.Тоскин</w:t>
      </w:r>
      <w:proofErr w:type="spellEnd"/>
      <w:r w:rsidRPr="007122AB">
        <w:rPr>
          <w:rFonts w:ascii="Times New Roman" w:hAnsi="Times New Roman"/>
          <w:color w:val="000000" w:themeColor="text1"/>
          <w:sz w:val="16"/>
          <w:szCs w:val="16"/>
        </w:rPr>
        <w:t xml:space="preserve"> был отозван в Москву и специальное танковое КБ ХПЗ возглавил </w:t>
      </w:r>
      <w:proofErr w:type="spellStart"/>
      <w:r w:rsidRPr="007122AB">
        <w:rPr>
          <w:rFonts w:ascii="Times New Roman" w:hAnsi="Times New Roman"/>
          <w:color w:val="000000" w:themeColor="text1"/>
          <w:sz w:val="16"/>
          <w:szCs w:val="16"/>
        </w:rPr>
        <w:t>А.О.Фирсов</w:t>
      </w:r>
      <w:proofErr w:type="spellEnd"/>
      <w:r w:rsidRPr="007122AB">
        <w:rPr>
          <w:rFonts w:ascii="Times New Roman" w:hAnsi="Times New Roman"/>
          <w:color w:val="000000" w:themeColor="text1"/>
          <w:sz w:val="16"/>
          <w:szCs w:val="16"/>
        </w:rPr>
        <w:t>. Завод выпустил всего 3 БТ за 1931, т.к. Ижорский завод подвел с башнями (3879,12).</w:t>
      </w:r>
    </w:p>
    <w:p w14:paraId="4C240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1A3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декабря 1931 года руководителем танкового КБ на ХПЗ был назначен А.О. Фирсов (9154).</w:t>
      </w:r>
    </w:p>
    <w:p w14:paraId="117B3B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96A7B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1ACE07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02BE5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декабря 1931 принят Вестминстерский устав, определяющий роль доминионов (Канады, Австралии, Новой Зеландии и др.) в создающемся Британском содружестве (4962).</w:t>
      </w:r>
    </w:p>
    <w:p w14:paraId="1F127ED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98495" w14:textId="77777777" w:rsidR="009E377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380069E" w14:textId="77777777" w:rsidR="009E3773" w:rsidRPr="007122AB" w:rsidRDefault="009E377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18AC7F8"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декабря 1931 г. начальник ЦАГИ Н.Е.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7426567F"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связи с этим в структуре ЦКБ были образованы семь секторов: сектор тяжелых самолетов — руководитель А.Н. Туполев; сектор легких самолетов — руководитель Д.П. Григорович; сектор особых конструкций — руководитель В.Н. Чернышев; сектор вооружений — руководитель А.В.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xml:space="preserve">; сектор общих работ — руководитель А.И. </w:t>
      </w:r>
      <w:proofErr w:type="spellStart"/>
      <w:r w:rsidRPr="007122AB">
        <w:rPr>
          <w:rFonts w:ascii="Times New Roman" w:hAnsi="Times New Roman"/>
          <w:color w:val="000000" w:themeColor="text1"/>
          <w:sz w:val="16"/>
          <w:szCs w:val="16"/>
        </w:rPr>
        <w:t>Рафаэлянц</w:t>
      </w:r>
      <w:proofErr w:type="spellEnd"/>
      <w:r w:rsidRPr="007122AB">
        <w:rPr>
          <w:rFonts w:ascii="Times New Roman" w:hAnsi="Times New Roman"/>
          <w:color w:val="000000" w:themeColor="text1"/>
          <w:sz w:val="16"/>
          <w:szCs w:val="16"/>
        </w:rPr>
        <w:t>; планово-технический сектор и административно-хозяйственный сектор.</w:t>
      </w:r>
    </w:p>
    <w:p w14:paraId="7DD14B6E"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сектор легких самолетов вошли: бригада №4 П.О. Сухого (заместитель Н.Н. Поликарпов) и бригада №5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(заместитель Петров). Сектор особых конструкций включал: бригаду №3 В.Н. Чернышева (заместитель Г.О. </w:t>
      </w:r>
      <w:proofErr w:type="spellStart"/>
      <w:r w:rsidRPr="007122AB">
        <w:rPr>
          <w:rFonts w:ascii="Times New Roman" w:hAnsi="Times New Roman"/>
          <w:color w:val="000000" w:themeColor="text1"/>
          <w:sz w:val="16"/>
          <w:szCs w:val="16"/>
        </w:rPr>
        <w:t>Бертош</w:t>
      </w:r>
      <w:proofErr w:type="spellEnd"/>
      <w:r w:rsidRPr="007122AB">
        <w:rPr>
          <w:rFonts w:ascii="Times New Roman" w:hAnsi="Times New Roman"/>
          <w:color w:val="000000" w:themeColor="text1"/>
          <w:sz w:val="16"/>
          <w:szCs w:val="16"/>
        </w:rPr>
        <w:t>) и бригаду №6 В.А. Чижевского.</w:t>
      </w:r>
    </w:p>
    <w:p w14:paraId="6147C08E"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Уместно отметить, что полностью специализация бригад по типам самолетов завершилась лишь в 1935 г. (12230).</w:t>
      </w:r>
    </w:p>
    <w:p w14:paraId="18B302B2" w14:textId="77777777" w:rsidR="009E3773" w:rsidRPr="007122AB" w:rsidRDefault="009E3773" w:rsidP="007122AB">
      <w:pPr>
        <w:spacing w:after="0" w:line="240" w:lineRule="auto"/>
        <w:jc w:val="both"/>
        <w:rPr>
          <w:rFonts w:ascii="Times New Roman" w:hAnsi="Times New Roman"/>
          <w:color w:val="000000" w:themeColor="text1"/>
          <w:sz w:val="16"/>
          <w:szCs w:val="16"/>
        </w:rPr>
      </w:pPr>
    </w:p>
    <w:p w14:paraId="267B2ADA" w14:textId="77777777" w:rsidR="000F17FB" w:rsidRPr="007122AB" w:rsidRDefault="000F17FB" w:rsidP="007122AB">
      <w:pPr>
        <w:pStyle w:val="rtejustify"/>
        <w:shd w:val="clear" w:color="auto" w:fill="FFFFFF"/>
        <w:spacing w:before="0" w:after="0"/>
        <w:rPr>
          <w:color w:val="000000" w:themeColor="text1"/>
          <w:sz w:val="16"/>
          <w:szCs w:val="16"/>
        </w:rPr>
      </w:pPr>
      <w:r w:rsidRPr="007122AB">
        <w:rPr>
          <w:color w:val="000000" w:themeColor="text1"/>
          <w:sz w:val="16"/>
          <w:szCs w:val="16"/>
        </w:rPr>
        <w:t xml:space="preserve">В начале декабря 1931 года начальник ЦАГИ Н. Е. </w:t>
      </w:r>
      <w:proofErr w:type="spellStart"/>
      <w:r w:rsidRPr="007122AB">
        <w:rPr>
          <w:color w:val="000000" w:themeColor="text1"/>
          <w:sz w:val="16"/>
          <w:szCs w:val="16"/>
        </w:rPr>
        <w:t>Пауфлер</w:t>
      </w:r>
      <w:proofErr w:type="spellEnd"/>
      <w:r w:rsidRPr="007122AB">
        <w:rPr>
          <w:color w:val="000000" w:themeColor="text1"/>
          <w:sz w:val="16"/>
          <w:szCs w:val="16"/>
        </w:rPr>
        <w:t xml:space="preserve">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5E27ABE9" w14:textId="77777777" w:rsidR="000F17FB" w:rsidRPr="007122AB" w:rsidRDefault="000F17FB" w:rsidP="007122AB">
      <w:pPr>
        <w:pStyle w:val="rtejustify"/>
        <w:shd w:val="clear" w:color="auto" w:fill="FFFFFF"/>
        <w:spacing w:before="0" w:after="0"/>
        <w:rPr>
          <w:color w:val="000000" w:themeColor="text1"/>
          <w:sz w:val="16"/>
          <w:szCs w:val="16"/>
        </w:rPr>
      </w:pPr>
      <w:r w:rsidRPr="007122AB">
        <w:rPr>
          <w:color w:val="000000" w:themeColor="text1"/>
          <w:sz w:val="16"/>
          <w:szCs w:val="16"/>
        </w:rPr>
        <w:t xml:space="preserve">В связи с этим в структуре ЦКБ были образованы семь секторов: сектор тяжелых самолетов – руководитель А. Н. Туполев; сектор легких самолетов – руководитель Д. П. Григорович; сектор особых конструкций – руководитель В. Н. Чернышев; сектор вооружений – руководитель A. В. </w:t>
      </w:r>
      <w:proofErr w:type="spellStart"/>
      <w:r w:rsidRPr="007122AB">
        <w:rPr>
          <w:color w:val="000000" w:themeColor="text1"/>
          <w:sz w:val="16"/>
          <w:szCs w:val="16"/>
        </w:rPr>
        <w:t>Надашкевич</w:t>
      </w:r>
      <w:proofErr w:type="spellEnd"/>
      <w:r w:rsidRPr="007122AB">
        <w:rPr>
          <w:color w:val="000000" w:themeColor="text1"/>
          <w:sz w:val="16"/>
          <w:szCs w:val="16"/>
        </w:rPr>
        <w:t xml:space="preserve">; сектор общих работ – руководитель А. И. </w:t>
      </w:r>
      <w:proofErr w:type="spellStart"/>
      <w:r w:rsidRPr="007122AB">
        <w:rPr>
          <w:color w:val="000000" w:themeColor="text1"/>
          <w:sz w:val="16"/>
          <w:szCs w:val="16"/>
        </w:rPr>
        <w:t>Рафаэлянц</w:t>
      </w:r>
      <w:proofErr w:type="spellEnd"/>
      <w:r w:rsidRPr="007122AB">
        <w:rPr>
          <w:color w:val="000000" w:themeColor="text1"/>
          <w:sz w:val="16"/>
          <w:szCs w:val="16"/>
        </w:rPr>
        <w:t>; планово-технический сектор и административно-хозяйственный сектор.</w:t>
      </w:r>
    </w:p>
    <w:p w14:paraId="32FAE4C2" w14:textId="77777777" w:rsidR="000F17FB" w:rsidRPr="007122AB" w:rsidRDefault="000F17FB" w:rsidP="007122AB">
      <w:pPr>
        <w:pStyle w:val="rtejustify"/>
        <w:shd w:val="clear" w:color="auto" w:fill="FFFFFF"/>
        <w:spacing w:before="0" w:after="0"/>
        <w:rPr>
          <w:color w:val="000000" w:themeColor="text1"/>
          <w:sz w:val="16"/>
          <w:szCs w:val="16"/>
        </w:rPr>
      </w:pPr>
      <w:r w:rsidRPr="007122AB">
        <w:rPr>
          <w:color w:val="000000" w:themeColor="text1"/>
          <w:sz w:val="16"/>
          <w:szCs w:val="16"/>
        </w:rPr>
        <w:t xml:space="preserve">В сектор легких самолетов вошли: бригада №4 П. О. Сухого (заместитель Н. Н. Поликарпов) и бригада №5 С. А. </w:t>
      </w:r>
      <w:proofErr w:type="spellStart"/>
      <w:r w:rsidRPr="007122AB">
        <w:rPr>
          <w:color w:val="000000" w:themeColor="text1"/>
          <w:sz w:val="16"/>
          <w:szCs w:val="16"/>
        </w:rPr>
        <w:t>Кочеригина</w:t>
      </w:r>
      <w:proofErr w:type="spellEnd"/>
      <w:r w:rsidRPr="007122AB">
        <w:rPr>
          <w:color w:val="000000" w:themeColor="text1"/>
          <w:sz w:val="16"/>
          <w:szCs w:val="16"/>
        </w:rPr>
        <w:t xml:space="preserve"> (заместитель Петров). Сектор особых конструкций включал: бригаду №3 В. Н. Чернышева (заместитель Г. О. </w:t>
      </w:r>
      <w:proofErr w:type="spellStart"/>
      <w:r w:rsidRPr="007122AB">
        <w:rPr>
          <w:color w:val="000000" w:themeColor="text1"/>
          <w:sz w:val="16"/>
          <w:szCs w:val="16"/>
        </w:rPr>
        <w:t>Бертош</w:t>
      </w:r>
      <w:proofErr w:type="spellEnd"/>
      <w:r w:rsidRPr="007122AB">
        <w:rPr>
          <w:color w:val="000000" w:themeColor="text1"/>
          <w:sz w:val="16"/>
          <w:szCs w:val="16"/>
        </w:rPr>
        <w:t>) и бригаду №6 B. А. Чижевского (19171).</w:t>
      </w:r>
    </w:p>
    <w:p w14:paraId="5E26BB85" w14:textId="77777777" w:rsidR="000F17FB" w:rsidRPr="007122AB" w:rsidRDefault="000F17FB" w:rsidP="007122AB">
      <w:pPr>
        <w:pStyle w:val="rtejustify"/>
        <w:shd w:val="clear" w:color="auto" w:fill="FFFFFF"/>
        <w:spacing w:before="0" w:after="0"/>
        <w:rPr>
          <w:color w:val="000000" w:themeColor="text1"/>
          <w:sz w:val="16"/>
          <w:szCs w:val="16"/>
        </w:rPr>
      </w:pPr>
    </w:p>
    <w:p w14:paraId="0EF4BD61" w14:textId="77777777" w:rsidR="009E377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E11E078" w14:textId="77777777" w:rsidR="009E3773" w:rsidRPr="007122AB" w:rsidRDefault="009E377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EDD3834" w14:textId="77777777" w:rsidR="009E3773" w:rsidRPr="007122AB" w:rsidRDefault="009E3773" w:rsidP="007122AB">
      <w:pPr>
        <w:pStyle w:val="a3"/>
        <w:rPr>
          <w:color w:val="000000" w:themeColor="text1"/>
          <w:lang w:val="ru-RU"/>
        </w:rPr>
      </w:pPr>
      <w:r w:rsidRPr="007122AB">
        <w:rPr>
          <w:color w:val="000000" w:themeColor="text1"/>
          <w:lang w:val="ru-RU"/>
        </w:rPr>
        <w:t>В начале декабря 1931 Техническое бюро на СТЗ начало функционировать (12622).</w:t>
      </w:r>
    </w:p>
    <w:p w14:paraId="37C21036" w14:textId="77777777" w:rsidR="009E3773" w:rsidRPr="007122AB" w:rsidRDefault="009E3773" w:rsidP="007122AB">
      <w:pPr>
        <w:pStyle w:val="152"/>
        <w:shd w:val="clear" w:color="auto" w:fill="auto"/>
        <w:spacing w:line="240" w:lineRule="auto"/>
        <w:rPr>
          <w:rFonts w:ascii="Times New Roman" w:hAnsi="Times New Roman" w:cs="Times New Roman"/>
          <w:color w:val="000000" w:themeColor="text1"/>
          <w:sz w:val="16"/>
          <w:szCs w:val="16"/>
        </w:rPr>
      </w:pPr>
    </w:p>
    <w:p w14:paraId="2AF4C20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AC5762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45221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Правительство приняло решение об изготовлении 20 самолетов перехватчиков типа Z на заводе 39 (2286,21).</w:t>
      </w:r>
    </w:p>
    <w:p w14:paraId="6DE9EC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2230D2B"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декабря 1931 Зам. Пред. РВС и Зам НКВМД </w:t>
      </w:r>
      <w:proofErr w:type="spellStart"/>
      <w:r w:rsidRPr="007122AB">
        <w:rPr>
          <w:rFonts w:ascii="Times New Roman" w:hAnsi="Times New Roman"/>
          <w:color w:val="000000" w:themeColor="text1"/>
          <w:sz w:val="16"/>
          <w:szCs w:val="16"/>
        </w:rPr>
        <w:t>Я.Б.Гамарник</w:t>
      </w:r>
      <w:proofErr w:type="spellEnd"/>
      <w:r w:rsidRPr="007122AB">
        <w:rPr>
          <w:rFonts w:ascii="Times New Roman" w:hAnsi="Times New Roman"/>
          <w:color w:val="000000" w:themeColor="text1"/>
          <w:sz w:val="16"/>
          <w:szCs w:val="16"/>
        </w:rPr>
        <w:t xml:space="preserve"> писал, что на вооружение КА предполагается ввести У-2 М-11 качестве самолета-сопроводителя для пехоты, кавалерии, моточастей на марше с целью разведки впереди лежащей местности. Хотели возить в боевых порядках на буксире или в кузове полуторки. </w:t>
      </w:r>
      <w:proofErr w:type="spellStart"/>
      <w:r w:rsidRPr="007122AB">
        <w:rPr>
          <w:rFonts w:ascii="Times New Roman" w:hAnsi="Times New Roman"/>
          <w:color w:val="000000" w:themeColor="text1"/>
          <w:sz w:val="16"/>
          <w:szCs w:val="16"/>
        </w:rPr>
        <w:t>Я.И.Алкснис</w:t>
      </w:r>
      <w:proofErr w:type="spellEnd"/>
      <w:r w:rsidRPr="007122AB">
        <w:rPr>
          <w:rFonts w:ascii="Times New Roman" w:hAnsi="Times New Roman"/>
          <w:color w:val="000000" w:themeColor="text1"/>
          <w:sz w:val="16"/>
          <w:szCs w:val="16"/>
        </w:rPr>
        <w:t xml:space="preserve"> согласился с этим предложением, но отметил, что надо поставить вооружение. Поэтому в 1932 Н.Н.П. разработал У-2ВС (4542).</w:t>
      </w:r>
    </w:p>
    <w:p w14:paraId="55BD11A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ADDC7"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г. Заместитель Председателя РВС, Заместитель Наркома по Военным и Морским делам Я. Б. Гамарник сообщал, что на вооружение Красной Армии предлагается ввести самолет У-2 М-11 в качестве самолета-сопроводителя. Сопровождать предполагалось пехоту, кавалерию и моторизованные части на марше с целью разведки впереди лежащей местности. При этом рассчитывалось, что самолет-сопроводитель можно будет перевозить в боевых порядках походных колонн на буксире или в кузове полуторки.</w:t>
      </w:r>
    </w:p>
    <w:p w14:paraId="25FAF848"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ВВС РККА Я. И. Алкснис согласился с этим предложением, но отметил, что при этом на У-2 необходимо установить вооружение. Такой вариант самолета У-2 — У-2ВС — был создан в ОКБ Поликарпова в 1932 г., а в 1933 г. успешно прошел государственные испытания и был принят на вооружение. 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2813A598"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Стандарт определял основные геометрические размеры самолета У-2 М-11(</w:t>
      </w:r>
      <w:proofErr w:type="spellStart"/>
      <w:r w:rsidRPr="007122AB">
        <w:rPr>
          <w:rFonts w:ascii="Times New Roman" w:hAnsi="Times New Roman"/>
          <w:color w:val="000000" w:themeColor="text1"/>
          <w:sz w:val="16"/>
          <w:szCs w:val="16"/>
        </w:rPr>
        <w:t>воор</w:t>
      </w:r>
      <w:proofErr w:type="spellEnd"/>
      <w:r w:rsidRPr="007122AB">
        <w:rPr>
          <w:rFonts w:ascii="Times New Roman" w:hAnsi="Times New Roman"/>
          <w:color w:val="000000" w:themeColor="text1"/>
          <w:sz w:val="16"/>
          <w:szCs w:val="16"/>
        </w:rPr>
        <w:t>) — У-2ВС.</w:t>
      </w:r>
    </w:p>
    <w:p w14:paraId="14C47DFB"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Весовые характеристики: полетный вес — 1064,00 кг.</w:t>
      </w:r>
    </w:p>
    <w:p w14:paraId="5121BDC8"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самолета — 726,22 кг,</w:t>
      </w:r>
    </w:p>
    <w:p w14:paraId="167A72F5"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полной нагрузки — 237,76 кг.</w:t>
      </w:r>
    </w:p>
    <w:p w14:paraId="7298D78D"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6C921F0D"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3CBE260A"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65C63242"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7F830C01"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61707022"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318AA63D"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2F183C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7 декабря 1931 вышло постановление СТО, а 28 декабря 1931 вышел приказ ВСНХ о реорганизации ВАО в ГУАП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 с подчинением ему вновь созданных трестов:</w:t>
      </w:r>
    </w:p>
    <w:p w14:paraId="4FD568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Самолетостроительного</w:t>
      </w:r>
    </w:p>
    <w:p w14:paraId="491499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Авиамоторостроительного</w:t>
      </w:r>
    </w:p>
    <w:p w14:paraId="3651D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Треста подсобных предприятий</w:t>
      </w:r>
    </w:p>
    <w:p w14:paraId="7DB035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Треста ремонтно-запасного производства (1647,5).</w:t>
      </w:r>
    </w:p>
    <w:p w14:paraId="6BFA3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2B14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декабря 1931 правительство (приказ Наркома обороны </w:t>
      </w:r>
      <w:proofErr w:type="spellStart"/>
      <w:r w:rsidRPr="007122AB">
        <w:rPr>
          <w:rFonts w:ascii="Times New Roman" w:hAnsi="Times New Roman"/>
          <w:color w:val="000000" w:themeColor="text1"/>
          <w:sz w:val="16"/>
          <w:szCs w:val="16"/>
        </w:rPr>
        <w:t>В.Е.Ворошилова</w:t>
      </w:r>
      <w:proofErr w:type="spellEnd"/>
      <w:r w:rsidRPr="007122AB">
        <w:rPr>
          <w:rFonts w:ascii="Times New Roman" w:hAnsi="Times New Roman"/>
          <w:color w:val="000000" w:themeColor="text1"/>
          <w:sz w:val="16"/>
          <w:szCs w:val="16"/>
        </w:rPr>
        <w:t xml:space="preserve"> - 84,27) утвердило предложения Реввоенсовета об организации перелета на предельную дальность и о постройке двух рекордных самолетов АНТ-25 с проектной 13 тыс. и гарантированной - 10 тыс. для М-34Р - к лету 1932 на 13000 км (92,484). Тут и было принято решение об образовании спец. комиссии - ее стали называть Комитетом по дальним перелетам - Комитет РД. Спецкомитет был под председательством К.Е.В. (92,484). Он опирался на ТК по РД, который возглавил А.Н.Т. (80,332).</w:t>
      </w:r>
    </w:p>
    <w:p w14:paraId="04B876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другим данным комиссия была создана еще в августе 1931 по результатам докладной </w:t>
      </w:r>
      <w:proofErr w:type="spellStart"/>
      <w:r w:rsidRPr="007122AB">
        <w:rPr>
          <w:rFonts w:ascii="Times New Roman" w:hAnsi="Times New Roman"/>
          <w:color w:val="000000" w:themeColor="text1"/>
          <w:sz w:val="16"/>
          <w:szCs w:val="16"/>
        </w:rPr>
        <w:t>Я.И.Алксниса</w:t>
      </w:r>
      <w:proofErr w:type="spellEnd"/>
      <w:r w:rsidRPr="007122AB">
        <w:rPr>
          <w:rFonts w:ascii="Times New Roman" w:hAnsi="Times New Roman"/>
          <w:color w:val="000000" w:themeColor="text1"/>
          <w:sz w:val="16"/>
          <w:szCs w:val="16"/>
        </w:rPr>
        <w:t xml:space="preserve"> и А.Н.Т.</w:t>
      </w:r>
    </w:p>
    <w:p w14:paraId="339E0A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Текст: "Утвердить предложение РВС СССР об организации летом 1932 полета на предельную дальность и о постройке для этой цели самолета конструкции А.Н.Т. АНТ-25 под мотор М-34 с проектной дальностью 13000 км, при гарантированной ЦАГИ дальности 9000 км с мотором без редуктора и 10000 км - с редуктором" (2072,71).</w:t>
      </w:r>
    </w:p>
    <w:p w14:paraId="50F6B4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6D1008" w14:textId="77777777" w:rsidR="0078004B" w:rsidRPr="007122AB" w:rsidRDefault="007800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года постановление СНК о полете на пре</w:t>
      </w:r>
      <w:r w:rsidRPr="007122AB">
        <w:rPr>
          <w:rFonts w:ascii="Times New Roman" w:hAnsi="Times New Roman"/>
          <w:color w:val="000000" w:themeColor="text1"/>
          <w:sz w:val="16"/>
          <w:szCs w:val="16"/>
        </w:rPr>
        <w:softHyphen/>
        <w:t>дельную дальность 13 000 км и о постройке самолета РД (рекордный дальний) с мото</w:t>
      </w:r>
      <w:r w:rsidRPr="007122AB">
        <w:rPr>
          <w:rFonts w:ascii="Times New Roman" w:hAnsi="Times New Roman"/>
          <w:color w:val="000000" w:themeColor="text1"/>
          <w:sz w:val="16"/>
          <w:szCs w:val="16"/>
        </w:rPr>
        <w:softHyphen/>
        <w:t>ром М-34 стало итогом работы комиссии Ворошилова (12725).</w:t>
      </w:r>
    </w:p>
    <w:p w14:paraId="2A0CB928" w14:textId="77777777" w:rsidR="0078004B" w:rsidRPr="007122AB" w:rsidRDefault="0078004B" w:rsidP="007122AB">
      <w:pPr>
        <w:spacing w:after="0" w:line="240" w:lineRule="auto"/>
        <w:jc w:val="both"/>
        <w:rPr>
          <w:rFonts w:ascii="Times New Roman" w:hAnsi="Times New Roman"/>
          <w:color w:val="000000" w:themeColor="text1"/>
          <w:sz w:val="16"/>
          <w:szCs w:val="16"/>
        </w:rPr>
      </w:pPr>
    </w:p>
    <w:p w14:paraId="4527FA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г. Начало производства авиационного вооружения на авиазаводе №32 (6395).</w:t>
      </w:r>
    </w:p>
    <w:p w14:paraId="29C167C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ABD229" w14:textId="77777777" w:rsidR="00162C5B" w:rsidRPr="007122AB" w:rsidRDefault="00162C5B" w:rsidP="007122AB">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w:t>
      </w:r>
    </w:p>
    <w:p w14:paraId="4DAA2298" w14:textId="77777777" w:rsidR="00162C5B" w:rsidRPr="007122AB" w:rsidRDefault="00162C5B" w:rsidP="007122AB">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Для координации работ по созданию самолета и проведению предстоящих дальних перелетов при СНК СССР была организована правительственная комиссия во главе с Ворошиловым. Комиссия получила название «Комитет по дальним перелетам». Ничего принципиально нового по сравнению с «Комиссиями по большим советским перелетам», действовавшим в 20-х годах, в работе нового Комитета не было. Однако масштабная цель, поставленная перед ним – достижение рекордов мирового уровня, несоизмеримо усложняла и задачи, которые требовалось решить в ходе реализации планов. Для этого требовалось объединить усилия десятков предприятий и организаций авиапрома и множества других ведомств. Так, например, кроме создания самолета АНТ-25, специально для рекордных перелетов на Щелковском аэродроме под Москвой была построена взлетная полоса с бетонированным покрытием длиной 1800 метров и 12-ти метровой горкой в ее начале (21249).</w:t>
      </w:r>
    </w:p>
    <w:p w14:paraId="12FE07CC" w14:textId="77777777" w:rsidR="00162C5B" w:rsidRPr="007122AB" w:rsidRDefault="00162C5B" w:rsidP="007122AB">
      <w:pPr>
        <w:shd w:val="clear" w:color="auto" w:fill="FFFFFF"/>
        <w:spacing w:after="0" w:line="240" w:lineRule="auto"/>
        <w:jc w:val="both"/>
        <w:rPr>
          <w:rFonts w:ascii="Times New Roman" w:hAnsi="Times New Roman"/>
          <w:color w:val="000000" w:themeColor="text1"/>
          <w:sz w:val="16"/>
          <w:szCs w:val="16"/>
          <w:shd w:val="clear" w:color="auto" w:fill="FFFFFF"/>
        </w:rPr>
      </w:pPr>
    </w:p>
    <w:p w14:paraId="7D305C68" w14:textId="77777777" w:rsidR="00162C5B" w:rsidRPr="007122AB" w:rsidRDefault="00162C5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7 декабря 1931 предложение Реввоенсовета по РД утвердила комиссия обороны, назначив завершение всех работ и испытательный полет на лето 1932 года.</w:t>
      </w:r>
    </w:p>
    <w:p w14:paraId="4355F70B" w14:textId="77777777" w:rsidR="00162C5B" w:rsidRPr="007122AB" w:rsidRDefault="00162C5B"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Такая поспешность вызывалась не предощущением надвигающейся войны, а стремлением во что бы то ни стало опередить «конкурентов», Британскую авиакомпанию «Бритиш </w:t>
      </w:r>
      <w:proofErr w:type="spellStart"/>
      <w:r w:rsidRPr="007122AB">
        <w:rPr>
          <w:color w:val="000000" w:themeColor="text1"/>
          <w:sz w:val="16"/>
          <w:szCs w:val="16"/>
        </w:rPr>
        <w:t>эйруейс</w:t>
      </w:r>
      <w:proofErr w:type="spellEnd"/>
      <w:r w:rsidRPr="007122AB">
        <w:rPr>
          <w:color w:val="000000" w:themeColor="text1"/>
          <w:sz w:val="16"/>
          <w:szCs w:val="16"/>
        </w:rPr>
        <w:t xml:space="preserve">» и американскую «Пан </w:t>
      </w:r>
      <w:proofErr w:type="spellStart"/>
      <w:r w:rsidRPr="007122AB">
        <w:rPr>
          <w:color w:val="000000" w:themeColor="text1"/>
          <w:sz w:val="16"/>
          <w:szCs w:val="16"/>
        </w:rPr>
        <w:t>Америкен</w:t>
      </w:r>
      <w:proofErr w:type="spellEnd"/>
      <w:r w:rsidRPr="007122AB">
        <w:rPr>
          <w:color w:val="000000" w:themeColor="text1"/>
          <w:sz w:val="16"/>
          <w:szCs w:val="16"/>
        </w:rPr>
        <w:t>», завершавших прокладку воздушной трассы Европа — Северная Америка. Отказавшись окончательно от использования дирижаблей, Великобритания и США решили независимо друг от друга добиться в самое ближайшее время открытия регулярных рейсов через заполярные районы Северной Атлантики. Но с промежуточными посадками на Лабрадоре, в Гренландии и Исландии.</w:t>
      </w:r>
    </w:p>
    <w:p w14:paraId="53F3452D" w14:textId="77777777" w:rsidR="00162C5B" w:rsidRPr="007122AB" w:rsidRDefault="00162C5B"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Сама авиация уже доказала возможность, даже простоту такой трассы. Дважды, в 1931 и 1932 годах, по ней с востока на запад, и не в первый раз, пролетал немецкий летчик Вольфганг фон </w:t>
      </w:r>
      <w:proofErr w:type="spellStart"/>
      <w:r w:rsidRPr="007122AB">
        <w:rPr>
          <w:color w:val="000000" w:themeColor="text1"/>
          <w:sz w:val="16"/>
          <w:szCs w:val="16"/>
        </w:rPr>
        <w:t>Гронау</w:t>
      </w:r>
      <w:proofErr w:type="spellEnd"/>
      <w:r w:rsidRPr="007122AB">
        <w:rPr>
          <w:color w:val="000000" w:themeColor="text1"/>
          <w:sz w:val="16"/>
          <w:szCs w:val="16"/>
        </w:rPr>
        <w:t xml:space="preserve">. Одновременно с ним опробовали маршрут, только с запада на восток, датские пилоты Кремер и </w:t>
      </w:r>
      <w:proofErr w:type="spellStart"/>
      <w:r w:rsidRPr="007122AB">
        <w:rPr>
          <w:color w:val="000000" w:themeColor="text1"/>
          <w:sz w:val="16"/>
          <w:szCs w:val="16"/>
        </w:rPr>
        <w:t>Покетт</w:t>
      </w:r>
      <w:proofErr w:type="spellEnd"/>
      <w:r w:rsidRPr="007122AB">
        <w:rPr>
          <w:color w:val="000000" w:themeColor="text1"/>
          <w:sz w:val="16"/>
          <w:szCs w:val="16"/>
        </w:rPr>
        <w:t xml:space="preserve">, английский Хатчинсон, норвежский Ли </w:t>
      </w:r>
      <w:proofErr w:type="spellStart"/>
      <w:r w:rsidRPr="007122AB">
        <w:rPr>
          <w:color w:val="000000" w:themeColor="text1"/>
          <w:sz w:val="16"/>
          <w:szCs w:val="16"/>
        </w:rPr>
        <w:t>Брокхоп</w:t>
      </w:r>
      <w:proofErr w:type="spellEnd"/>
      <w:r w:rsidRPr="007122AB">
        <w:rPr>
          <w:color w:val="000000" w:themeColor="text1"/>
          <w:sz w:val="16"/>
          <w:szCs w:val="16"/>
        </w:rPr>
        <w:t xml:space="preserve">. Все они не проявляли торопливости. Подолгу сидели в разных поселках Гренландии — в </w:t>
      </w:r>
      <w:proofErr w:type="spellStart"/>
      <w:r w:rsidRPr="007122AB">
        <w:rPr>
          <w:color w:val="000000" w:themeColor="text1"/>
          <w:sz w:val="16"/>
          <w:szCs w:val="16"/>
        </w:rPr>
        <w:t>Скорбисунне</w:t>
      </w:r>
      <w:proofErr w:type="spellEnd"/>
      <w:r w:rsidRPr="007122AB">
        <w:rPr>
          <w:color w:val="000000" w:themeColor="text1"/>
          <w:sz w:val="16"/>
          <w:szCs w:val="16"/>
        </w:rPr>
        <w:t xml:space="preserve">, </w:t>
      </w:r>
      <w:proofErr w:type="spellStart"/>
      <w:r w:rsidRPr="007122AB">
        <w:rPr>
          <w:color w:val="000000" w:themeColor="text1"/>
          <w:sz w:val="16"/>
          <w:szCs w:val="16"/>
        </w:rPr>
        <w:t>Суккертопплене</w:t>
      </w:r>
      <w:proofErr w:type="spellEnd"/>
      <w:r w:rsidRPr="007122AB">
        <w:rPr>
          <w:color w:val="000000" w:themeColor="text1"/>
          <w:sz w:val="16"/>
          <w:szCs w:val="16"/>
        </w:rPr>
        <w:t xml:space="preserve">, </w:t>
      </w:r>
      <w:proofErr w:type="spellStart"/>
      <w:r w:rsidRPr="007122AB">
        <w:rPr>
          <w:color w:val="000000" w:themeColor="text1"/>
          <w:sz w:val="16"/>
          <w:szCs w:val="16"/>
        </w:rPr>
        <w:t>Готхобе</w:t>
      </w:r>
      <w:proofErr w:type="spellEnd"/>
      <w:r w:rsidRPr="007122AB">
        <w:rPr>
          <w:color w:val="000000" w:themeColor="text1"/>
          <w:sz w:val="16"/>
          <w:szCs w:val="16"/>
        </w:rPr>
        <w:t xml:space="preserve">, в Исландии, тщательно выбирая наилучшие места для будущих аэродромов. Тем же занималась и сухопутная экспедиция «Пан </w:t>
      </w:r>
      <w:proofErr w:type="spellStart"/>
      <w:r w:rsidRPr="007122AB">
        <w:rPr>
          <w:color w:val="000000" w:themeColor="text1"/>
          <w:sz w:val="16"/>
          <w:szCs w:val="16"/>
        </w:rPr>
        <w:t>Америкен</w:t>
      </w:r>
      <w:proofErr w:type="spellEnd"/>
      <w:r w:rsidRPr="007122AB">
        <w:rPr>
          <w:color w:val="000000" w:themeColor="text1"/>
          <w:sz w:val="16"/>
          <w:szCs w:val="16"/>
        </w:rPr>
        <w:t>». Все лето 1932 года на западном и восточном побережье арктического острова вели картографирование, изучали погоду, иные аэронавигационные условия (20467).</w:t>
      </w:r>
    </w:p>
    <w:p w14:paraId="36B1A391" w14:textId="77777777" w:rsidR="00162C5B" w:rsidRPr="007122AB" w:rsidRDefault="00162C5B" w:rsidP="007122AB">
      <w:pPr>
        <w:spacing w:after="0" w:line="240" w:lineRule="auto"/>
        <w:jc w:val="both"/>
        <w:rPr>
          <w:rFonts w:ascii="Times New Roman" w:hAnsi="Times New Roman"/>
          <w:color w:val="000000" w:themeColor="text1"/>
          <w:sz w:val="16"/>
          <w:szCs w:val="16"/>
        </w:rPr>
      </w:pPr>
    </w:p>
    <w:p w14:paraId="66B4E4E8" w14:textId="77777777" w:rsidR="00C534F7" w:rsidRPr="00441F34" w:rsidRDefault="00C534F7" w:rsidP="00C534F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декабря 1931 г. правительство поста</w:t>
      </w:r>
      <w:r w:rsidRPr="00441F34">
        <w:rPr>
          <w:rFonts w:ascii="Times New Roman" w:hAnsi="Times New Roman"/>
          <w:color w:val="0070C0"/>
          <w:sz w:val="16"/>
          <w:szCs w:val="16"/>
        </w:rPr>
        <w:softHyphen/>
        <w:t>новило: «Утвердить предложение РВС СССР об организации летом 1932 г. полета на предельную дальность и о постройке для этой цели самолета конструкции А.Н. Туполева АНТ—25 под мотор М—34 с проектной дальностью 13000 км, при га</w:t>
      </w:r>
      <w:r w:rsidRPr="00441F34">
        <w:rPr>
          <w:rFonts w:ascii="Times New Roman" w:hAnsi="Times New Roman"/>
          <w:color w:val="0070C0"/>
          <w:sz w:val="16"/>
          <w:szCs w:val="16"/>
        </w:rPr>
        <w:softHyphen/>
        <w:t>рантированной ЦАГИ дальности — 9000 км с мотором без редуктора и 10000 км — с ре</w:t>
      </w:r>
      <w:r w:rsidRPr="00441F34">
        <w:rPr>
          <w:rFonts w:ascii="Times New Roman" w:hAnsi="Times New Roman"/>
          <w:color w:val="0070C0"/>
          <w:sz w:val="16"/>
          <w:szCs w:val="16"/>
        </w:rPr>
        <w:softHyphen/>
        <w:t>дуктором» (23474).</w:t>
      </w:r>
    </w:p>
    <w:p w14:paraId="44BE7DCF" w14:textId="77777777" w:rsidR="00C534F7" w:rsidRPr="00441F34" w:rsidRDefault="00C534F7" w:rsidP="00C534F7">
      <w:pPr>
        <w:spacing w:after="0" w:line="240" w:lineRule="auto"/>
        <w:jc w:val="both"/>
        <w:rPr>
          <w:rFonts w:ascii="Times New Roman" w:hAnsi="Times New Roman"/>
          <w:color w:val="0070C0"/>
          <w:sz w:val="16"/>
          <w:szCs w:val="16"/>
        </w:rPr>
      </w:pPr>
    </w:p>
    <w:p w14:paraId="5AED4CC2" w14:textId="77777777" w:rsidR="00C534F7" w:rsidRPr="00441F34" w:rsidRDefault="00C534F7" w:rsidP="00C534F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декабря 1931 г. в СССР был образован правительственный «Комитет по дальним перелётам» или «Комитет РД» (РД - рекорд дальности) во гла</w:t>
      </w:r>
      <w:r w:rsidRPr="00441F34">
        <w:rPr>
          <w:rFonts w:ascii="Times New Roman" w:hAnsi="Times New Roman"/>
          <w:color w:val="0070C0"/>
          <w:sz w:val="16"/>
          <w:szCs w:val="16"/>
        </w:rPr>
        <w:softHyphen/>
        <w:t>ве с председателем Революционного Во</w:t>
      </w:r>
      <w:r w:rsidRPr="00441F34">
        <w:rPr>
          <w:rFonts w:ascii="Times New Roman" w:hAnsi="Times New Roman"/>
          <w:color w:val="0070C0"/>
          <w:sz w:val="16"/>
          <w:szCs w:val="16"/>
        </w:rPr>
        <w:softHyphen/>
        <w:t>енного Совета СССР (РВС) К.Е. Ворошило</w:t>
      </w:r>
      <w:r w:rsidRPr="00441F34">
        <w:rPr>
          <w:rFonts w:ascii="Times New Roman" w:hAnsi="Times New Roman"/>
          <w:color w:val="0070C0"/>
          <w:sz w:val="16"/>
          <w:szCs w:val="16"/>
        </w:rPr>
        <w:softHyphen/>
        <w:t>вым. В стране развернулась активная под</w:t>
      </w:r>
      <w:r w:rsidRPr="00441F34">
        <w:rPr>
          <w:rFonts w:ascii="Times New Roman" w:hAnsi="Times New Roman"/>
          <w:color w:val="0070C0"/>
          <w:sz w:val="16"/>
          <w:szCs w:val="16"/>
        </w:rPr>
        <w:softHyphen/>
        <w:t xml:space="preserve">готовка к штурму мировых </w:t>
      </w:r>
      <w:proofErr w:type="spellStart"/>
      <w:r w:rsidRPr="00441F34">
        <w:rPr>
          <w:rFonts w:ascii="Times New Roman" w:hAnsi="Times New Roman"/>
          <w:color w:val="0070C0"/>
          <w:sz w:val="16"/>
          <w:szCs w:val="16"/>
        </w:rPr>
        <w:t>авиарекордов</w:t>
      </w:r>
      <w:proofErr w:type="spellEnd"/>
      <w:r w:rsidRPr="00441F34">
        <w:rPr>
          <w:rFonts w:ascii="Times New Roman" w:hAnsi="Times New Roman"/>
          <w:color w:val="0070C0"/>
          <w:sz w:val="16"/>
          <w:szCs w:val="16"/>
        </w:rPr>
        <w:t>.</w:t>
      </w:r>
    </w:p>
    <w:p w14:paraId="5CA69128" w14:textId="77777777" w:rsidR="00C534F7" w:rsidRPr="00441F34" w:rsidRDefault="00C534F7" w:rsidP="00C534F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Забегая вперёд, отметим, что «Коми</w:t>
      </w:r>
      <w:r w:rsidRPr="00441F34">
        <w:rPr>
          <w:rFonts w:ascii="Times New Roman" w:hAnsi="Times New Roman"/>
          <w:color w:val="0070C0"/>
          <w:sz w:val="16"/>
          <w:szCs w:val="16"/>
        </w:rPr>
        <w:softHyphen/>
        <w:t>тету РД» в СССР предшествовала деятель</w:t>
      </w:r>
      <w:r w:rsidRPr="00441F34">
        <w:rPr>
          <w:rFonts w:ascii="Times New Roman" w:hAnsi="Times New Roman"/>
          <w:color w:val="0070C0"/>
          <w:sz w:val="16"/>
          <w:szCs w:val="16"/>
        </w:rPr>
        <w:softHyphen/>
        <w:t xml:space="preserve">ность в 1925-1930 гг. Комиссии </w:t>
      </w:r>
      <w:proofErr w:type="spellStart"/>
      <w:r w:rsidRPr="00441F34">
        <w:rPr>
          <w:rFonts w:ascii="Times New Roman" w:hAnsi="Times New Roman"/>
          <w:color w:val="0070C0"/>
          <w:sz w:val="16"/>
          <w:szCs w:val="16"/>
        </w:rPr>
        <w:t>Осоавиа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хима</w:t>
      </w:r>
      <w:proofErr w:type="spellEnd"/>
      <w:r w:rsidRPr="00441F34">
        <w:rPr>
          <w:rFonts w:ascii="Times New Roman" w:hAnsi="Times New Roman"/>
          <w:color w:val="0070C0"/>
          <w:sz w:val="16"/>
          <w:szCs w:val="16"/>
        </w:rPr>
        <w:t xml:space="preserve"> по организации больших советских перелётов сначала во главе с С.С. Камене</w:t>
      </w:r>
      <w:r w:rsidRPr="00441F34">
        <w:rPr>
          <w:rFonts w:ascii="Times New Roman" w:hAnsi="Times New Roman"/>
          <w:color w:val="0070C0"/>
          <w:sz w:val="16"/>
          <w:szCs w:val="16"/>
        </w:rPr>
        <w:softHyphen/>
        <w:t>вым, а затем с С.А. Межениновым.</w:t>
      </w:r>
    </w:p>
    <w:p w14:paraId="7D1B8DD5" w14:textId="77777777" w:rsidR="00C534F7" w:rsidRPr="00441F34" w:rsidRDefault="00C534F7" w:rsidP="00C534F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Справедливости ради, следует под</w:t>
      </w:r>
      <w:r w:rsidRPr="00441F34">
        <w:rPr>
          <w:rFonts w:ascii="Times New Roman" w:hAnsi="Times New Roman"/>
          <w:color w:val="0070C0"/>
          <w:sz w:val="16"/>
          <w:szCs w:val="16"/>
        </w:rPr>
        <w:softHyphen/>
        <w:t>черкнуть, что погоня за авиационны</w:t>
      </w:r>
      <w:r w:rsidRPr="00441F34">
        <w:rPr>
          <w:rFonts w:ascii="Times New Roman" w:hAnsi="Times New Roman"/>
          <w:color w:val="0070C0"/>
          <w:sz w:val="16"/>
          <w:szCs w:val="16"/>
        </w:rPr>
        <w:softHyphen/>
        <w:t>ми рекордами дальности наблюдалась во всём мире, причём практически с мо</w:t>
      </w:r>
      <w:r w:rsidRPr="00441F34">
        <w:rPr>
          <w:rFonts w:ascii="Times New Roman" w:hAnsi="Times New Roman"/>
          <w:color w:val="0070C0"/>
          <w:sz w:val="16"/>
          <w:szCs w:val="16"/>
        </w:rPr>
        <w:softHyphen/>
        <w:t>мента зарождения авиации (24309).</w:t>
      </w:r>
    </w:p>
    <w:p w14:paraId="251D3092" w14:textId="77777777" w:rsidR="00C534F7" w:rsidRPr="00441F34" w:rsidRDefault="00C534F7" w:rsidP="00C534F7">
      <w:pPr>
        <w:spacing w:after="0" w:line="240" w:lineRule="auto"/>
        <w:jc w:val="both"/>
        <w:rPr>
          <w:rFonts w:ascii="Times New Roman" w:hAnsi="Times New Roman"/>
          <w:color w:val="0070C0"/>
          <w:sz w:val="16"/>
          <w:szCs w:val="16"/>
        </w:rPr>
      </w:pPr>
    </w:p>
    <w:p w14:paraId="6BDD252E" w14:textId="77777777" w:rsidR="00C534F7" w:rsidRPr="00441F34" w:rsidRDefault="00C534F7" w:rsidP="00C534F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декабря 1931 г., одновременно с со</w:t>
      </w:r>
      <w:r w:rsidRPr="00441F34">
        <w:rPr>
          <w:rFonts w:ascii="Times New Roman" w:hAnsi="Times New Roman"/>
          <w:color w:val="0070C0"/>
          <w:sz w:val="16"/>
          <w:szCs w:val="16"/>
        </w:rPr>
        <w:softHyphen/>
        <w:t>зданием «Комитета РД», вышло поста</w:t>
      </w:r>
      <w:r w:rsidRPr="00441F34">
        <w:rPr>
          <w:rFonts w:ascii="Times New Roman" w:hAnsi="Times New Roman"/>
          <w:color w:val="0070C0"/>
          <w:sz w:val="16"/>
          <w:szCs w:val="16"/>
        </w:rPr>
        <w:softHyphen/>
        <w:t>новление правительства, утвердившее предложение РВС об организации летом 1932 г. полёта на предельную дальность и о постройке для этой цели самолёта кон</w:t>
      </w:r>
      <w:r w:rsidRPr="00441F34">
        <w:rPr>
          <w:rFonts w:ascii="Times New Roman" w:hAnsi="Times New Roman"/>
          <w:color w:val="0070C0"/>
          <w:sz w:val="16"/>
          <w:szCs w:val="16"/>
        </w:rPr>
        <w:softHyphen/>
        <w:t>струкции А.Н. Туполева, получившего на</w:t>
      </w:r>
      <w:r w:rsidRPr="00441F34">
        <w:rPr>
          <w:rFonts w:ascii="Times New Roman" w:hAnsi="Times New Roman"/>
          <w:color w:val="0070C0"/>
          <w:sz w:val="16"/>
          <w:szCs w:val="16"/>
        </w:rPr>
        <w:softHyphen/>
        <w:t>звание РД или АНТ-25, с проектной даль</w:t>
      </w:r>
      <w:r w:rsidRPr="00441F34">
        <w:rPr>
          <w:rFonts w:ascii="Times New Roman" w:hAnsi="Times New Roman"/>
          <w:color w:val="0070C0"/>
          <w:sz w:val="16"/>
          <w:szCs w:val="16"/>
        </w:rPr>
        <w:softHyphen/>
        <w:t>ностью 13000 км (24309).</w:t>
      </w:r>
    </w:p>
    <w:p w14:paraId="1DE8553E" w14:textId="77777777" w:rsidR="00C534F7" w:rsidRPr="00441F34" w:rsidRDefault="00C534F7" w:rsidP="00C534F7">
      <w:pPr>
        <w:spacing w:after="0" w:line="240" w:lineRule="auto"/>
        <w:jc w:val="both"/>
        <w:rPr>
          <w:rFonts w:ascii="Times New Roman" w:hAnsi="Times New Roman"/>
          <w:color w:val="0070C0"/>
          <w:sz w:val="16"/>
          <w:szCs w:val="16"/>
        </w:rPr>
      </w:pPr>
    </w:p>
    <w:p w14:paraId="751AE4FE" w14:textId="77777777" w:rsidR="00C534F7" w:rsidRPr="00441F34" w:rsidRDefault="00C534F7" w:rsidP="00C534F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декабря 1931 года вышло правительственное решение о строительстве самолета РД, способного выполнить беспосадочный полет на дальность до 13 000 км. Одновременно началось рассмотрение и возможных трасс для будущих сверхдальних перелетов, поскольку для получения рекордного результата не хватало даже огромных размеров СССР. Не хватало и опыта организации и проведения столь дальних перелетов, в связи с чем этой комиссией был поставлен вопрос о необходимости создания меньшего по размерам самолета с дальностью беспосадочного полета до 5000 км. За такой «промежуточный» самолет и взялся известный авиаконструктор Дмитрий Павлович Григорович, возглавлявший тогда кафедру конструкции и проектирования самолетов МАИ (24213).</w:t>
      </w:r>
    </w:p>
    <w:p w14:paraId="23CFCA54" w14:textId="77777777" w:rsidR="00C534F7" w:rsidRPr="00441F34" w:rsidRDefault="00C534F7" w:rsidP="00C534F7">
      <w:pPr>
        <w:spacing w:after="0" w:line="240" w:lineRule="auto"/>
        <w:jc w:val="both"/>
        <w:rPr>
          <w:rFonts w:ascii="Times New Roman" w:hAnsi="Times New Roman"/>
          <w:color w:val="0070C0"/>
          <w:sz w:val="16"/>
          <w:szCs w:val="16"/>
        </w:rPr>
      </w:pPr>
    </w:p>
    <w:p w14:paraId="367DEA23" w14:textId="77777777" w:rsidR="00162C5B" w:rsidRPr="007122AB" w:rsidRDefault="00162C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г. приказом начальника ВО ГВФ № 462 БОСЭД преобразовали в Научно-исследо</w:t>
      </w:r>
      <w:r w:rsidRPr="007122AB">
        <w:rPr>
          <w:rFonts w:ascii="Times New Roman" w:hAnsi="Times New Roman"/>
          <w:color w:val="000000" w:themeColor="text1"/>
          <w:sz w:val="16"/>
          <w:szCs w:val="16"/>
        </w:rPr>
        <w:softHyphen/>
        <w:t>вательский комбинат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основ</w:t>
      </w:r>
      <w:r w:rsidRPr="007122AB">
        <w:rPr>
          <w:rFonts w:ascii="Times New Roman" w:hAnsi="Times New Roman"/>
          <w:color w:val="000000" w:themeColor="text1"/>
          <w:sz w:val="16"/>
          <w:szCs w:val="16"/>
        </w:rPr>
        <w:softHyphen/>
        <w:t>ной задачей которого стала координация работ по опытному строительству и эксплуатации ди</w:t>
      </w:r>
      <w:r w:rsidRPr="007122AB">
        <w:rPr>
          <w:rFonts w:ascii="Times New Roman" w:hAnsi="Times New Roman"/>
          <w:color w:val="000000" w:themeColor="text1"/>
          <w:sz w:val="16"/>
          <w:szCs w:val="16"/>
        </w:rPr>
        <w:softHyphen/>
        <w:t>рижаблей. Он подчинялся ВО ГВФ (с 1932 г. — Главное управление ГВФ (ГУ ГВФ)).</w:t>
      </w:r>
    </w:p>
    <w:p w14:paraId="178C1011" w14:textId="77777777" w:rsidR="00162C5B" w:rsidRPr="007122AB" w:rsidRDefault="00162C5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Москве коллективу КБ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поручили срочно спроектировать, изготовить и собрать учебно-тренировочные дирижаб</w:t>
      </w:r>
      <w:r w:rsidRPr="007122AB">
        <w:rPr>
          <w:rFonts w:ascii="Times New Roman" w:hAnsi="Times New Roman"/>
          <w:color w:val="000000" w:themeColor="text1"/>
          <w:sz w:val="16"/>
          <w:szCs w:val="16"/>
        </w:rPr>
        <w:softHyphen/>
        <w:t>ли мягкого типа «СССР В-2» (5000 м3) и «СССР В-3» (6500 м3) с закрытыми гондолами, а за</w:t>
      </w:r>
      <w:r w:rsidRPr="007122AB">
        <w:rPr>
          <w:rFonts w:ascii="Times New Roman" w:hAnsi="Times New Roman"/>
          <w:color w:val="000000" w:themeColor="text1"/>
          <w:sz w:val="16"/>
          <w:szCs w:val="16"/>
        </w:rPr>
        <w:softHyphen/>
        <w:t>тем модернизировать дирижабль «Комсо</w:t>
      </w:r>
      <w:r w:rsidRPr="007122AB">
        <w:rPr>
          <w:rFonts w:ascii="Times New Roman" w:hAnsi="Times New Roman"/>
          <w:color w:val="000000" w:themeColor="text1"/>
          <w:sz w:val="16"/>
          <w:szCs w:val="16"/>
        </w:rPr>
        <w:softHyphen/>
        <w:t>мольская правда». Коллектив КБ, состоявший в основном из молодых специалистов — вы</w:t>
      </w:r>
      <w:r w:rsidRPr="007122AB">
        <w:rPr>
          <w:rFonts w:ascii="Times New Roman" w:hAnsi="Times New Roman"/>
          <w:color w:val="000000" w:themeColor="text1"/>
          <w:sz w:val="16"/>
          <w:szCs w:val="16"/>
        </w:rPr>
        <w:softHyphen/>
        <w:t>пускников вузов Москвы и Ленинграда и сту</w:t>
      </w:r>
      <w:r w:rsidRPr="007122AB">
        <w:rPr>
          <w:rFonts w:ascii="Times New Roman" w:hAnsi="Times New Roman"/>
          <w:color w:val="000000" w:themeColor="text1"/>
          <w:sz w:val="16"/>
          <w:szCs w:val="16"/>
        </w:rPr>
        <w:softHyphen/>
        <w:t>дентов-практикантов МАИ и МГУ, пользуясь консультациями А.Н. Туполева, В.Н. Беляева, А.И. Путилова и ряда других специалистов, бы</w:t>
      </w:r>
      <w:r w:rsidRPr="007122AB">
        <w:rPr>
          <w:rFonts w:ascii="Times New Roman" w:hAnsi="Times New Roman"/>
          <w:color w:val="000000" w:themeColor="text1"/>
          <w:sz w:val="16"/>
          <w:szCs w:val="16"/>
        </w:rPr>
        <w:softHyphen/>
        <w:t>стро и успешно справился с порученной рабо</w:t>
      </w:r>
      <w:r w:rsidRPr="007122AB">
        <w:rPr>
          <w:rFonts w:ascii="Times New Roman" w:hAnsi="Times New Roman"/>
          <w:color w:val="000000" w:themeColor="text1"/>
          <w:sz w:val="16"/>
          <w:szCs w:val="16"/>
        </w:rPr>
        <w:softHyphen/>
        <w:t>той (20120).</w:t>
      </w:r>
    </w:p>
    <w:p w14:paraId="73511D5C" w14:textId="77777777" w:rsidR="00162C5B" w:rsidRPr="007122AB" w:rsidRDefault="00162C5B" w:rsidP="007122AB">
      <w:pPr>
        <w:spacing w:after="0" w:line="240" w:lineRule="auto"/>
        <w:jc w:val="both"/>
        <w:rPr>
          <w:rFonts w:ascii="Times New Roman" w:hAnsi="Times New Roman"/>
          <w:color w:val="000000" w:themeColor="text1"/>
          <w:sz w:val="16"/>
          <w:szCs w:val="16"/>
        </w:rPr>
      </w:pPr>
    </w:p>
    <w:p w14:paraId="7BB6F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декабря 1931 приказом № 462 начальника ВОГВФ </w:t>
      </w:r>
      <w:proofErr w:type="spellStart"/>
      <w:r w:rsidRPr="007122AB">
        <w:rPr>
          <w:rFonts w:ascii="Times New Roman" w:hAnsi="Times New Roman"/>
          <w:color w:val="000000" w:themeColor="text1"/>
          <w:sz w:val="16"/>
          <w:szCs w:val="16"/>
        </w:rPr>
        <w:t>Гольцмана</w:t>
      </w:r>
      <w:proofErr w:type="spellEnd"/>
      <w:r w:rsidRPr="007122AB">
        <w:rPr>
          <w:rFonts w:ascii="Times New Roman" w:hAnsi="Times New Roman"/>
          <w:color w:val="000000" w:themeColor="text1"/>
          <w:sz w:val="16"/>
          <w:szCs w:val="16"/>
        </w:rPr>
        <w:t xml:space="preserve"> БОСЭД был преобразован в НИ комбинат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или в Производственно-эксплуатационное предприятие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который получил завод дирижаблей, учебно-опытную эскадру, воздухоплавательную группу свободных аэростатов и водородный завод. В том числе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получил деньги (25 млн.) и все функции по постройке эскадры дирижаблей Ленин (61).</w:t>
      </w:r>
    </w:p>
    <w:p w14:paraId="3495C3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747144"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г. Приказом № 462 ВОГВФ была переименована в производственно-эксплуатационное предприятие строительства и эксплуатации дирижаблей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(15797).</w:t>
      </w:r>
    </w:p>
    <w:p w14:paraId="3E2A3D88"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75875FBF" w14:textId="77777777" w:rsidR="0078004B" w:rsidRPr="007122AB" w:rsidRDefault="007800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7декабря 1931 БОСЭД переименовыва</w:t>
      </w:r>
      <w:r w:rsidRPr="007122AB">
        <w:rPr>
          <w:rFonts w:ascii="Times New Roman" w:hAnsi="Times New Roman"/>
          <w:color w:val="000000" w:themeColor="text1"/>
          <w:sz w:val="16"/>
          <w:szCs w:val="16"/>
        </w:rPr>
        <w:softHyphen/>
        <w:t>ется в Производственно-эксплуатационное предприятие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(12732).</w:t>
      </w:r>
    </w:p>
    <w:p w14:paraId="65711E51" w14:textId="77777777" w:rsidR="0078004B" w:rsidRPr="007122AB" w:rsidRDefault="0078004B" w:rsidP="007122AB">
      <w:pPr>
        <w:spacing w:after="0" w:line="240" w:lineRule="auto"/>
        <w:jc w:val="both"/>
        <w:rPr>
          <w:rFonts w:ascii="Times New Roman" w:hAnsi="Times New Roman"/>
          <w:color w:val="000000" w:themeColor="text1"/>
          <w:sz w:val="16"/>
          <w:szCs w:val="16"/>
        </w:rPr>
      </w:pPr>
    </w:p>
    <w:p w14:paraId="3FA4F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г. по приказу начальника ВО ГВФ № 462 БОСЭД преобразована в Научно- исследовательский комбинат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(Завод № 207 НКОП, НКАП, База опытного строительства и эксплуатации дирижаблей (БОСЭД), Комбинат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ГВФ, НКТП /пос.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ст.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xml:space="preserve"> Северных ж/д,  г. Долгопрудный Московской обл. ст. Водники/). Перед ним поставлена задача координации всех работ в стране по дирижаблестроению. Ему были подчинены завод по проектированию и строительству дирижаблей, </w:t>
      </w:r>
      <w:proofErr w:type="spellStart"/>
      <w:r w:rsidRPr="007122AB">
        <w:rPr>
          <w:rFonts w:ascii="Times New Roman" w:hAnsi="Times New Roman"/>
          <w:color w:val="000000" w:themeColor="text1"/>
          <w:sz w:val="16"/>
          <w:szCs w:val="16"/>
        </w:rPr>
        <w:t>учеЬн</w:t>
      </w:r>
      <w:proofErr w:type="spellEnd"/>
      <w:r w:rsidRPr="007122AB">
        <w:rPr>
          <w:rFonts w:ascii="Times New Roman" w:hAnsi="Times New Roman"/>
          <w:color w:val="000000" w:themeColor="text1"/>
          <w:sz w:val="16"/>
          <w:szCs w:val="16"/>
        </w:rPr>
        <w:t>^ опытная эскадра по эксплуатации дирижаблей, газовый завод. В 1932 г. ему также передана территория Центральной воздухоплавательной базы Осоавиахима в  г. Долгопрудный, куда и был переведен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Строительство базы начато в 1930-31 г. в 18 км от Москвы с помощью итальянцев (с 05.1932 г. работал У. Нобиле). Для этого в 05.1931 г. был отведен пустующий участок земли. В 05.1931 г. началось строительство дирижаблестроительной верфи, Газового завода и поселка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xml:space="preserve">. 5.05.1932 г. база частично введена в строй, а уже к 7.11.1932 г. построен </w:t>
      </w:r>
      <w:r w:rsidRPr="007122AB">
        <w:rPr>
          <w:rFonts w:ascii="Times New Roman" w:hAnsi="Times New Roman"/>
          <w:color w:val="000000" w:themeColor="text1"/>
          <w:sz w:val="16"/>
          <w:szCs w:val="16"/>
        </w:rPr>
        <w:lastRenderedPageBreak/>
        <w:t>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36335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от 31.05.1933 г. членами НТС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утверждены: А.Н. Туполев (председатель расчетно-конструкторской секции),  Г.А. Озеров (председатель научно-исследовательской секции), И.И. </w:t>
      </w:r>
      <w:proofErr w:type="spellStart"/>
      <w:r w:rsidRPr="007122AB">
        <w:rPr>
          <w:rFonts w:ascii="Times New Roman" w:hAnsi="Times New Roman"/>
          <w:color w:val="000000" w:themeColor="text1"/>
          <w:sz w:val="16"/>
          <w:szCs w:val="16"/>
        </w:rPr>
        <w:t>Погосский</w:t>
      </w:r>
      <w:proofErr w:type="spellEnd"/>
      <w:r w:rsidRPr="007122AB">
        <w:rPr>
          <w:rFonts w:ascii="Times New Roman" w:hAnsi="Times New Roman"/>
          <w:color w:val="000000" w:themeColor="text1"/>
          <w:sz w:val="16"/>
          <w:szCs w:val="16"/>
        </w:rPr>
        <w:t>.</w:t>
      </w:r>
    </w:p>
    <w:p w14:paraId="6B6CD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со всеми сооружениями и личным составом передана из ГВФ в ГУАП НКТП, в 12.1936 г. - в 1ГУ НКОП. 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49C4F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249EA7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09.1937 г. был пущен в эксплуатацию Газовый завод для заправки дирижаблей.</w:t>
      </w:r>
    </w:p>
    <w:p w14:paraId="759AD5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50109C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28501C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246F04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w:t>
      </w:r>
      <w:proofErr w:type="spellStart"/>
      <w:r w:rsidRPr="007122AB">
        <w:rPr>
          <w:rFonts w:ascii="Times New Roman" w:hAnsi="Times New Roman"/>
          <w:color w:val="000000" w:themeColor="text1"/>
          <w:sz w:val="16"/>
          <w:szCs w:val="16"/>
        </w:rPr>
        <w:t>дирижабельно</w:t>
      </w:r>
      <w:proofErr w:type="spellEnd"/>
      <w:r w:rsidRPr="007122AB">
        <w:rPr>
          <w:rFonts w:ascii="Times New Roman" w:hAnsi="Times New Roman"/>
          <w:color w:val="000000" w:themeColor="text1"/>
          <w:sz w:val="16"/>
          <w:szCs w:val="16"/>
        </w:rPr>
        <w:t>-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521701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57983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08.1941 г. на завод № 207 с завода № 156 НКАП переведена конструкторская группа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w:t>
      </w:r>
    </w:p>
    <w:p w14:paraId="06C176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46F058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приказам № 1073с от 20.10.1941 г. и № 93с от 2.02.1942 г. на площадке эвакуированного завода № 207 с 10.1941 г. образовались самолетные Ремонтные мастерские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далее- при </w:t>
      </w:r>
      <w:proofErr w:type="spellStart"/>
      <w:r w:rsidRPr="007122AB">
        <w:rPr>
          <w:rFonts w:ascii="Times New Roman" w:hAnsi="Times New Roman"/>
          <w:color w:val="000000" w:themeColor="text1"/>
          <w:sz w:val="16"/>
          <w:szCs w:val="16"/>
        </w:rPr>
        <w:t>Главремуправлении</w:t>
      </w:r>
      <w:proofErr w:type="spellEnd"/>
      <w:r w:rsidRPr="007122AB">
        <w:rPr>
          <w:rFonts w:ascii="Times New Roman" w:hAnsi="Times New Roman"/>
          <w:color w:val="000000" w:themeColor="text1"/>
          <w:sz w:val="16"/>
          <w:szCs w:val="16"/>
        </w:rPr>
        <w:t xml:space="preserve"> НКАП. Начальник с 01.1942 г.- М.П. </w:t>
      </w:r>
      <w:proofErr w:type="spellStart"/>
      <w:r w:rsidRPr="007122AB">
        <w:rPr>
          <w:rFonts w:ascii="Times New Roman" w:hAnsi="Times New Roman"/>
          <w:color w:val="000000" w:themeColor="text1"/>
          <w:sz w:val="16"/>
          <w:szCs w:val="16"/>
        </w:rPr>
        <w:t>Озимков</w:t>
      </w:r>
      <w:proofErr w:type="spellEnd"/>
      <w:r w:rsidRPr="007122AB">
        <w:rPr>
          <w:rFonts w:ascii="Times New Roman" w:hAnsi="Times New Roman"/>
          <w:color w:val="000000" w:themeColor="text1"/>
          <w:sz w:val="16"/>
          <w:szCs w:val="16"/>
        </w:rPr>
        <w:t xml:space="preserve"> (с завода № 487). Сюда возвращены кадры, ранее отправленные на завод № 156. Ремонт ЛаГГ-1, Ла-5, МиГ-3, Як-3, Як-9, Ил-2.</w:t>
      </w:r>
    </w:p>
    <w:p w14:paraId="0D889C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4CE5FF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(11.1940 г.)- 198 металлорежущих станков.</w:t>
      </w:r>
    </w:p>
    <w:p w14:paraId="2E758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(1932 г.)- П. Пурмаль,</w:t>
      </w:r>
      <w:r w:rsidRPr="007122AB">
        <w:rPr>
          <w:rFonts w:ascii="Times New Roman" w:hAnsi="Times New Roman"/>
          <w:color w:val="000000" w:themeColor="text1"/>
          <w:sz w:val="16"/>
          <w:szCs w:val="16"/>
          <w:vertAlign w:val="superscript"/>
        </w:rPr>
        <w:t>104</w:t>
      </w:r>
      <w:r w:rsidRPr="007122AB">
        <w:rPr>
          <w:rFonts w:ascii="Times New Roman" w:hAnsi="Times New Roman"/>
          <w:color w:val="000000" w:themeColor="text1"/>
          <w:sz w:val="16"/>
          <w:szCs w:val="16"/>
        </w:rPr>
        <w:t xml:space="preserve"> (1932 г.)- И. </w:t>
      </w:r>
      <w:proofErr w:type="spellStart"/>
      <w:r w:rsidRPr="007122AB">
        <w:rPr>
          <w:rFonts w:ascii="Times New Roman" w:hAnsi="Times New Roman"/>
          <w:color w:val="000000" w:themeColor="text1"/>
          <w:sz w:val="16"/>
          <w:szCs w:val="16"/>
        </w:rPr>
        <w:t>Фильдман</w:t>
      </w:r>
      <w:proofErr w:type="spellEnd"/>
      <w:r w:rsidRPr="007122AB">
        <w:rPr>
          <w:rFonts w:ascii="Times New Roman" w:hAnsi="Times New Roman"/>
          <w:color w:val="000000" w:themeColor="text1"/>
          <w:sz w:val="16"/>
          <w:szCs w:val="16"/>
        </w:rPr>
        <w:t xml:space="preserve">, (-06.193 7-11.04.193 8 г.)- С. Г. Хорьков (арестован), (19.06-09.1938 г.-)- С.В. Житенев, (1938-05.1941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II</w:t>
      </w:r>
      <w:r w:rsidRPr="007122AB">
        <w:rPr>
          <w:rFonts w:ascii="Times New Roman" w:hAnsi="Times New Roman"/>
          <w:color w:val="000000" w:themeColor="text1"/>
          <w:sz w:val="16"/>
          <w:szCs w:val="16"/>
        </w:rPr>
        <w:t>. Горин.</w:t>
      </w:r>
    </w:p>
    <w:p w14:paraId="6E8601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(-06-20.12.1937 г.)- П.Б. </w:t>
      </w:r>
      <w:proofErr w:type="spellStart"/>
      <w:r w:rsidRPr="007122AB">
        <w:rPr>
          <w:rFonts w:ascii="Times New Roman" w:hAnsi="Times New Roman"/>
          <w:color w:val="000000" w:themeColor="text1"/>
          <w:sz w:val="16"/>
          <w:szCs w:val="16"/>
        </w:rPr>
        <w:t>Рудини</w:t>
      </w:r>
      <w:proofErr w:type="spellEnd"/>
      <w:r w:rsidRPr="007122AB">
        <w:rPr>
          <w:rFonts w:ascii="Times New Roman" w:hAnsi="Times New Roman"/>
          <w:color w:val="000000" w:themeColor="text1"/>
          <w:sz w:val="16"/>
          <w:szCs w:val="16"/>
        </w:rPr>
        <w:t xml:space="preserve"> (снят); по строительству (28.02.1937 г.-)- И.П. Афанасьев.</w:t>
      </w:r>
    </w:p>
    <w:p w14:paraId="2602D5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(01.1937-39 г.)- А.И. Путилов (репрессирован), (-06-20.12.1937 г.)- П.Б. Рудини,</w:t>
      </w:r>
      <w:r w:rsidRPr="007122AB">
        <w:rPr>
          <w:rFonts w:ascii="Times New Roman" w:hAnsi="Times New Roman"/>
          <w:color w:val="000000" w:themeColor="text1"/>
          <w:sz w:val="16"/>
          <w:szCs w:val="16"/>
          <w:vertAlign w:val="superscript"/>
        </w:rPr>
        <w:t>139</w:t>
      </w:r>
      <w:r w:rsidRPr="007122AB">
        <w:rPr>
          <w:rFonts w:ascii="Times New Roman" w:hAnsi="Times New Roman"/>
          <w:color w:val="000000" w:themeColor="text1"/>
          <w:sz w:val="16"/>
          <w:szCs w:val="16"/>
        </w:rPr>
        <w:t xml:space="preserve"> (10.1941 г.)- В.К. Таиров.</w:t>
      </w:r>
    </w:p>
    <w:p w14:paraId="55B621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(1932 г.-)- Умберто Нобиле.</w:t>
      </w:r>
      <w:r w:rsidRPr="007122AB">
        <w:rPr>
          <w:rFonts w:ascii="Times New Roman" w:hAnsi="Times New Roman"/>
          <w:color w:val="000000" w:themeColor="text1"/>
          <w:sz w:val="16"/>
          <w:szCs w:val="16"/>
          <w:vertAlign w:val="superscript"/>
        </w:rPr>
        <w:t>104</w:t>
      </w:r>
    </w:p>
    <w:p w14:paraId="472F60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КБ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(1938-46 г.)- Умберто Нобиле.</w:t>
      </w:r>
    </w:p>
    <w:p w14:paraId="7F8769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08E4E8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завода № 207 НКАП гл. конструкторов А.А. Боровкова и И.Ф. Флорова</w:t>
      </w:r>
    </w:p>
    <w:p w14:paraId="50AF7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77AFA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281081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СЖБ-207 НКАП гл. конструктора С.А. </w:t>
      </w:r>
      <w:proofErr w:type="spellStart"/>
      <w:r w:rsidRPr="007122AB">
        <w:rPr>
          <w:rFonts w:ascii="Times New Roman" w:hAnsi="Times New Roman"/>
          <w:color w:val="000000" w:themeColor="text1"/>
          <w:sz w:val="16"/>
          <w:szCs w:val="16"/>
        </w:rPr>
        <w:t>Кочеригина</w:t>
      </w:r>
      <w:proofErr w:type="spellEnd"/>
    </w:p>
    <w:p w14:paraId="1C5229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08.1941 г. конструкторская группа С.А. </w:t>
      </w:r>
      <w:proofErr w:type="spellStart"/>
      <w:r w:rsidRPr="007122AB">
        <w:rPr>
          <w:rFonts w:ascii="Times New Roman" w:hAnsi="Times New Roman"/>
          <w:color w:val="000000" w:themeColor="text1"/>
          <w:sz w:val="16"/>
          <w:szCs w:val="16"/>
        </w:rPr>
        <w:t>Кочеригина</w:t>
      </w:r>
      <w:proofErr w:type="spellEnd"/>
      <w:r w:rsidRPr="007122AB">
        <w:rPr>
          <w:rFonts w:ascii="Times New Roman" w:hAnsi="Times New Roman"/>
          <w:color w:val="000000" w:themeColor="text1"/>
          <w:sz w:val="16"/>
          <w:szCs w:val="16"/>
        </w:rPr>
        <w:t xml:space="preserve">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 xml:space="preserve"> назначен гл. редактором БНТ НКАП (11982).</w:t>
      </w:r>
    </w:p>
    <w:p w14:paraId="1704E6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1DA1D2" w14:textId="77777777" w:rsidR="009E3773"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5D5B414" w14:textId="77777777" w:rsidR="009E3773" w:rsidRPr="007122AB" w:rsidRDefault="009E3773"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6A4558"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7 декабря 1931 г. Протокол Реввоенсовета № 41.</w:t>
      </w:r>
      <w:r w:rsidRPr="007122AB">
        <w:rPr>
          <w:color w:val="000000" w:themeColor="text1"/>
          <w:sz w:val="16"/>
          <w:szCs w:val="16"/>
        </w:rPr>
        <w:t xml:space="preserve"> 1. О состоянии торпедно-минного вооружения РККА (Орлов). 3. О введении на вооружение самолета сопровождения (Алкснис). 5. Организация службы ПВО (Егоров). 8. О бронемашине «Форд АА» (</w:t>
      </w:r>
      <w:proofErr w:type="spellStart"/>
      <w:r w:rsidRPr="007122AB">
        <w:rPr>
          <w:color w:val="000000" w:themeColor="text1"/>
          <w:sz w:val="16"/>
          <w:szCs w:val="16"/>
        </w:rPr>
        <w:t>Бокис</w:t>
      </w:r>
      <w:proofErr w:type="spellEnd"/>
      <w:r w:rsidRPr="007122AB">
        <w:rPr>
          <w:color w:val="000000" w:themeColor="text1"/>
          <w:sz w:val="16"/>
          <w:szCs w:val="16"/>
        </w:rPr>
        <w:t>). 19. Об отпуске 12 млн. руб. авансом для изготовления дополнительных винтовочных патронов (Хрулев). (РГВА. Ф. 4. Оп. 18. Д. 21. Л. 209, 310</w:t>
      </w:r>
      <w:r w:rsidRPr="007122AB">
        <w:rPr>
          <w:color w:val="000000" w:themeColor="text1"/>
          <w:sz w:val="16"/>
          <w:szCs w:val="16"/>
        </w:rPr>
        <w:noBreakHyphen/>
        <w:t>311, 313) (12342).</w:t>
      </w:r>
    </w:p>
    <w:p w14:paraId="21F33842" w14:textId="77777777" w:rsidR="009E3773" w:rsidRPr="007122AB" w:rsidRDefault="009E3773" w:rsidP="007122AB">
      <w:pPr>
        <w:pStyle w:val="rtejustify"/>
        <w:spacing w:before="0" w:after="0"/>
        <w:rPr>
          <w:color w:val="000000" w:themeColor="text1"/>
          <w:sz w:val="16"/>
          <w:szCs w:val="16"/>
        </w:rPr>
      </w:pPr>
    </w:p>
    <w:p w14:paraId="0AC1F60D" w14:textId="77777777" w:rsidR="009E3773" w:rsidRPr="007122AB" w:rsidRDefault="009E3773"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7 декабря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ЦИК и СНК СССР об использовании труда граждан, состоящих в тыловом ополчении (РГАЭ. Ф. 3429. Оп. 1. Д. 5265. Л. 224?226. Заверенная копия) (12415).</w:t>
      </w:r>
    </w:p>
    <w:p w14:paraId="4E08FB6E" w14:textId="77777777" w:rsidR="009E3773" w:rsidRPr="007122AB" w:rsidRDefault="009E3773" w:rsidP="007122AB">
      <w:pPr>
        <w:spacing w:after="0" w:line="240" w:lineRule="auto"/>
        <w:jc w:val="both"/>
        <w:rPr>
          <w:rFonts w:ascii="Times New Roman" w:hAnsi="Times New Roman"/>
          <w:color w:val="000000" w:themeColor="text1"/>
          <w:sz w:val="16"/>
          <w:szCs w:val="16"/>
          <w:u w:color="002060"/>
        </w:rPr>
      </w:pPr>
    </w:p>
    <w:p w14:paraId="49A2995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DE11AB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FCA80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появились сведения о том, что нацисты ратуют за стерилизацию определенных рас (2100).</w:t>
      </w:r>
    </w:p>
    <w:p w14:paraId="56BED3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BA98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E67790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9B8A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 декабря 1931 года и был рассмотрен первый вариант проекта 180-мм двухорудийной башенной установки в НТК УВМС. Он был принят за основу для дальнейших разработок, с учетом внесенных НТК изменений (3861).</w:t>
      </w:r>
    </w:p>
    <w:p w14:paraId="242B21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5ACE2C2" w14:textId="77777777" w:rsidR="000C5145" w:rsidRPr="007122AB" w:rsidRDefault="000C5145"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8 декабря 1931 г. — Доклад заместителя наркома по военным и морским делам и председателя Реввоенсовета СССР М. Н. Тухачевского председателю Комиссии обороны В. М. Молотову о выполнении решений комиссии по танкостроению</w:t>
      </w:r>
    </w:p>
    <w:p w14:paraId="7483E665"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032A9A32"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1 августа с. г. КО приняла важнейшие решения о танкостроении¹*. В порядке контроля за выполнением этих решений докладываю:</w:t>
      </w:r>
    </w:p>
    <w:p w14:paraId="146A1A0D"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 По Ижорскому заводу.</w:t>
      </w:r>
    </w:p>
    <w:p w14:paraId="45762CCE"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1. ВСНХ и </w:t>
      </w:r>
      <w:proofErr w:type="spellStart"/>
      <w:r w:rsidRPr="007122AB">
        <w:rPr>
          <w:color w:val="000000" w:themeColor="text1"/>
          <w:sz w:val="16"/>
          <w:szCs w:val="16"/>
        </w:rPr>
        <w:t>ВОМТу</w:t>
      </w:r>
      <w:proofErr w:type="spellEnd"/>
      <w:r w:rsidRPr="007122AB">
        <w:rPr>
          <w:color w:val="000000" w:themeColor="text1"/>
          <w:sz w:val="16"/>
          <w:szCs w:val="16"/>
        </w:rPr>
        <w:t xml:space="preserve"> в течение 1931 г. подготовить Ижорский завод к подаче 12 тыс. т </w:t>
      </w:r>
      <w:proofErr w:type="spellStart"/>
      <w:r w:rsidRPr="007122AB">
        <w:rPr>
          <w:color w:val="000000" w:themeColor="text1"/>
          <w:sz w:val="16"/>
          <w:szCs w:val="16"/>
        </w:rPr>
        <w:t>цементованных</w:t>
      </w:r>
      <w:proofErr w:type="spellEnd"/>
      <w:r w:rsidRPr="007122AB">
        <w:rPr>
          <w:color w:val="000000" w:themeColor="text1"/>
          <w:sz w:val="16"/>
          <w:szCs w:val="16"/>
        </w:rPr>
        <w:t xml:space="preserve"> броневых листов или 6 тыс. т в весе готовых </w:t>
      </w:r>
      <w:proofErr w:type="spellStart"/>
      <w:r w:rsidRPr="007122AB">
        <w:rPr>
          <w:color w:val="000000" w:themeColor="text1"/>
          <w:sz w:val="16"/>
          <w:szCs w:val="16"/>
        </w:rPr>
        <w:t>бронеизделий</w:t>
      </w:r>
      <w:proofErr w:type="spellEnd"/>
      <w:r w:rsidRPr="007122AB">
        <w:rPr>
          <w:color w:val="000000" w:themeColor="text1"/>
          <w:sz w:val="16"/>
          <w:szCs w:val="16"/>
        </w:rPr>
        <w:t>.</w:t>
      </w:r>
    </w:p>
    <w:p w14:paraId="61A1C1A3"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2. Исходя из указанной программы, помимо восстановленных уже на Ижорском заводе 4 цементационных печей, восстановить еще 6 печей и построить новые цементационные печи.</w:t>
      </w:r>
    </w:p>
    <w:p w14:paraId="158E6C26"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3. С 1 октября 1931 г. ввести в эксплуатацию новый цех бронетанковых корпусов (цех № 6).</w:t>
      </w:r>
    </w:p>
    <w:p w14:paraId="13D7B0CB"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1. Задание полностью не выполнено. Вместо требуемых 6 тыс. т подготовлено к производству танковых </w:t>
      </w:r>
      <w:proofErr w:type="spellStart"/>
      <w:r w:rsidRPr="007122AB">
        <w:rPr>
          <w:color w:val="000000" w:themeColor="text1"/>
          <w:sz w:val="16"/>
          <w:szCs w:val="16"/>
        </w:rPr>
        <w:t>бронеизделий</w:t>
      </w:r>
      <w:proofErr w:type="spellEnd"/>
      <w:r w:rsidRPr="007122AB">
        <w:rPr>
          <w:color w:val="000000" w:themeColor="text1"/>
          <w:sz w:val="16"/>
          <w:szCs w:val="16"/>
        </w:rPr>
        <w:t xml:space="preserve"> 3,5</w:t>
      </w:r>
      <w:r w:rsidRPr="007122AB">
        <w:rPr>
          <w:color w:val="000000" w:themeColor="text1"/>
          <w:sz w:val="16"/>
          <w:szCs w:val="16"/>
        </w:rPr>
        <w:noBreakHyphen/>
        <w:t>4 тыс. т в весе готовых бронеизделий²*.</w:t>
      </w:r>
    </w:p>
    <w:p w14:paraId="54A61E0F"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2. Восстановлено 5 печей, к постройке новых цементационных печей не приступлено.</w:t>
      </w:r>
    </w:p>
    <w:p w14:paraId="03DBF5C7"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3. Цех № 6 введен в эксплуатацию частично, не обеспечен оборудованием на 75%. Главным образом прессы³*.</w:t>
      </w:r>
    </w:p>
    <w:p w14:paraId="28707BFB"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II. По Кулебакскому заводу.</w:t>
      </w:r>
    </w:p>
    <w:p w14:paraId="7E5117DC"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1. Обязать ВСНХ СССР и объединение </w:t>
      </w:r>
      <w:proofErr w:type="spellStart"/>
      <w:r w:rsidRPr="007122AB">
        <w:rPr>
          <w:color w:val="000000" w:themeColor="text1"/>
          <w:sz w:val="16"/>
          <w:szCs w:val="16"/>
        </w:rPr>
        <w:t>Парвагдиз</w:t>
      </w:r>
      <w:proofErr w:type="spellEnd"/>
      <w:r w:rsidRPr="007122AB">
        <w:rPr>
          <w:color w:val="000000" w:themeColor="text1"/>
          <w:sz w:val="16"/>
          <w:szCs w:val="16"/>
        </w:rPr>
        <w:t xml:space="preserve"> в течение второго полугодия 1931 г. приступить к строительству на Кулебакском заводе цементационного цеха с таким расчетом, чтобы еще в 1931 г. установить в этом цеху цементационные печи.</w:t>
      </w:r>
    </w:p>
    <w:p w14:paraId="080D3E4C"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2. Подготовку механизмов и печей на Кулебакском заводе в 1931 г. вести с таким расчетом, чтобы на 1932 г. обеспечить текущий заказ по подаче 5 тыс. т </w:t>
      </w:r>
      <w:proofErr w:type="spellStart"/>
      <w:r w:rsidRPr="007122AB">
        <w:rPr>
          <w:color w:val="000000" w:themeColor="text1"/>
          <w:sz w:val="16"/>
          <w:szCs w:val="16"/>
        </w:rPr>
        <w:t>цементованного</w:t>
      </w:r>
      <w:proofErr w:type="spellEnd"/>
      <w:r w:rsidRPr="007122AB">
        <w:rPr>
          <w:color w:val="000000" w:themeColor="text1"/>
          <w:sz w:val="16"/>
          <w:szCs w:val="16"/>
        </w:rPr>
        <w:t xml:space="preserve"> листа.</w:t>
      </w:r>
    </w:p>
    <w:p w14:paraId="7F1BA852"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3. Подготовить к концу 1931 г. завод к возможности выпуска 57 тыс. т </w:t>
      </w:r>
      <w:proofErr w:type="spellStart"/>
      <w:r w:rsidRPr="007122AB">
        <w:rPr>
          <w:color w:val="000000" w:themeColor="text1"/>
          <w:sz w:val="16"/>
          <w:szCs w:val="16"/>
        </w:rPr>
        <w:t>цементованного</w:t>
      </w:r>
      <w:proofErr w:type="spellEnd"/>
      <w:r w:rsidRPr="007122AB">
        <w:rPr>
          <w:color w:val="000000" w:themeColor="text1"/>
          <w:sz w:val="16"/>
          <w:szCs w:val="16"/>
        </w:rPr>
        <w:t xml:space="preserve"> листа.</w:t>
      </w:r>
    </w:p>
    <w:p w14:paraId="63155343"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lastRenderedPageBreak/>
        <w:t>4. Отпустить в 1931 г. на приспособления Кулебакского завода к выпуску брони 2,5 млн. руб. и обеспечить строительство завода необходимым фондом стройматериалов.</w:t>
      </w:r>
    </w:p>
    <w:p w14:paraId="44282CBF"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ничего не сделано. </w:t>
      </w:r>
      <w:proofErr w:type="spellStart"/>
      <w:r w:rsidRPr="007122AB">
        <w:rPr>
          <w:color w:val="000000" w:themeColor="text1"/>
          <w:sz w:val="16"/>
          <w:szCs w:val="16"/>
        </w:rPr>
        <w:t>ВОВАТом</w:t>
      </w:r>
      <w:proofErr w:type="spellEnd"/>
      <w:r w:rsidRPr="007122AB">
        <w:rPr>
          <w:color w:val="000000" w:themeColor="text1"/>
          <w:sz w:val="16"/>
          <w:szCs w:val="16"/>
        </w:rPr>
        <w:t xml:space="preserve"> дано только </w:t>
      </w:r>
      <w:proofErr w:type="spellStart"/>
      <w:r w:rsidRPr="007122AB">
        <w:rPr>
          <w:color w:val="000000" w:themeColor="text1"/>
          <w:sz w:val="16"/>
          <w:szCs w:val="16"/>
        </w:rPr>
        <w:t>промзадание</w:t>
      </w:r>
      <w:proofErr w:type="spellEnd"/>
      <w:r w:rsidRPr="007122AB">
        <w:rPr>
          <w:color w:val="000000" w:themeColor="text1"/>
          <w:sz w:val="16"/>
          <w:szCs w:val="16"/>
        </w:rPr>
        <w:t xml:space="preserve"> </w:t>
      </w:r>
      <w:proofErr w:type="spellStart"/>
      <w:r w:rsidRPr="007122AB">
        <w:rPr>
          <w:color w:val="000000" w:themeColor="text1"/>
          <w:sz w:val="16"/>
          <w:szCs w:val="16"/>
        </w:rPr>
        <w:t>Гипроспецмету</w:t>
      </w:r>
      <w:proofErr w:type="spellEnd"/>
      <w:r w:rsidRPr="007122AB">
        <w:rPr>
          <w:color w:val="000000" w:themeColor="text1"/>
          <w:sz w:val="16"/>
          <w:szCs w:val="16"/>
        </w:rPr>
        <w:t xml:space="preserve"> на реконструкцию завода, куда включено и строительство цементационного цеха. Ассигнованные на </w:t>
      </w:r>
      <w:proofErr w:type="spellStart"/>
      <w:r w:rsidRPr="007122AB">
        <w:rPr>
          <w:color w:val="000000" w:themeColor="text1"/>
          <w:sz w:val="16"/>
          <w:szCs w:val="16"/>
        </w:rPr>
        <w:t>спецстроительство</w:t>
      </w:r>
      <w:proofErr w:type="spellEnd"/>
      <w:r w:rsidRPr="007122AB">
        <w:rPr>
          <w:color w:val="000000" w:themeColor="text1"/>
          <w:sz w:val="16"/>
          <w:szCs w:val="16"/>
        </w:rPr>
        <w:t xml:space="preserve"> 200 тыс. руб. не израсходованы.</w:t>
      </w:r>
    </w:p>
    <w:p w14:paraId="54497B72"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III. По Мариупольскому заводу.</w:t>
      </w:r>
    </w:p>
    <w:p w14:paraId="22119903"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1. Обязать ВСНХ СССР и объединение «Сталь» в течение 1931 г. отремонтировать и оборудовать в броневом цеху 9 имеющихся цементационных печей.</w:t>
      </w:r>
    </w:p>
    <w:p w14:paraId="1827BE57"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2. Работы по заводу в 1931 г. провести с таким расчетом, чтобы уже на 1932 г. завод обеспечил текущий заказ в 10</w:t>
      </w:r>
      <w:r w:rsidRPr="007122AB">
        <w:rPr>
          <w:color w:val="000000" w:themeColor="text1"/>
          <w:sz w:val="16"/>
          <w:szCs w:val="16"/>
        </w:rPr>
        <w:noBreakHyphen/>
        <w:t xml:space="preserve">11 тыс. т </w:t>
      </w:r>
      <w:proofErr w:type="spellStart"/>
      <w:r w:rsidRPr="007122AB">
        <w:rPr>
          <w:color w:val="000000" w:themeColor="text1"/>
          <w:sz w:val="16"/>
          <w:szCs w:val="16"/>
        </w:rPr>
        <w:t>цементованного</w:t>
      </w:r>
      <w:proofErr w:type="spellEnd"/>
      <w:r w:rsidRPr="007122AB">
        <w:rPr>
          <w:color w:val="000000" w:themeColor="text1"/>
          <w:sz w:val="16"/>
          <w:szCs w:val="16"/>
        </w:rPr>
        <w:t xml:space="preserve"> листа.</w:t>
      </w:r>
    </w:p>
    <w:p w14:paraId="47BDD690"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3. Подготовить Мариупольский завод к концу 1932 г. к подаче на нем 62 тыс. т </w:t>
      </w:r>
      <w:proofErr w:type="spellStart"/>
      <w:r w:rsidRPr="007122AB">
        <w:rPr>
          <w:color w:val="000000" w:themeColor="text1"/>
          <w:sz w:val="16"/>
          <w:szCs w:val="16"/>
        </w:rPr>
        <w:t>цементованного</w:t>
      </w:r>
      <w:proofErr w:type="spellEnd"/>
      <w:r w:rsidRPr="007122AB">
        <w:rPr>
          <w:color w:val="000000" w:themeColor="text1"/>
          <w:sz w:val="16"/>
          <w:szCs w:val="16"/>
        </w:rPr>
        <w:t xml:space="preserve"> броневого листа.</w:t>
      </w:r>
    </w:p>
    <w:p w14:paraId="58DD2CAD"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4. Отпустить в 1931 г. для приспособления завода к выпуску брони 1 млн. руб.</w:t>
      </w:r>
    </w:p>
    <w:p w14:paraId="3807C4EF"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1. Ремонт одной печи заканчивается, ремонт 2</w:t>
      </w:r>
      <w:r w:rsidRPr="007122AB">
        <w:rPr>
          <w:color w:val="000000" w:themeColor="text1"/>
          <w:sz w:val="16"/>
          <w:szCs w:val="16"/>
        </w:rPr>
        <w:noBreakHyphen/>
        <w:t>й печи предполагается закончить к 15 декабря 1931 г.</w:t>
      </w:r>
      <w:r w:rsidRPr="007122AB">
        <w:rPr>
          <w:rStyle w:val="a7"/>
          <w:b w:val="0"/>
          <w:color w:val="000000" w:themeColor="text1"/>
          <w:sz w:val="16"/>
          <w:szCs w:val="16"/>
        </w:rPr>
        <w:t xml:space="preserve">, </w:t>
      </w:r>
      <w:r w:rsidRPr="007122AB">
        <w:rPr>
          <w:color w:val="000000" w:themeColor="text1"/>
          <w:sz w:val="16"/>
          <w:szCs w:val="16"/>
        </w:rPr>
        <w:t>ремонт 3</w:t>
      </w:r>
      <w:r w:rsidRPr="007122AB">
        <w:rPr>
          <w:color w:val="000000" w:themeColor="text1"/>
          <w:sz w:val="16"/>
          <w:szCs w:val="16"/>
        </w:rPr>
        <w:noBreakHyphen/>
        <w:t>й, 4</w:t>
      </w:r>
      <w:r w:rsidRPr="007122AB">
        <w:rPr>
          <w:color w:val="000000" w:themeColor="text1"/>
          <w:sz w:val="16"/>
          <w:szCs w:val="16"/>
        </w:rPr>
        <w:noBreakHyphen/>
        <w:t>й, 5</w:t>
      </w:r>
      <w:r w:rsidRPr="007122AB">
        <w:rPr>
          <w:color w:val="000000" w:themeColor="text1"/>
          <w:sz w:val="16"/>
          <w:szCs w:val="16"/>
        </w:rPr>
        <w:noBreakHyphen/>
        <w:t>й и 6</w:t>
      </w:r>
      <w:r w:rsidRPr="007122AB">
        <w:rPr>
          <w:color w:val="000000" w:themeColor="text1"/>
          <w:sz w:val="16"/>
          <w:szCs w:val="16"/>
        </w:rPr>
        <w:noBreakHyphen/>
        <w:t>й печей предполагается закончить к 15 января 1932 г., на восстановление 7</w:t>
      </w:r>
      <w:r w:rsidRPr="007122AB">
        <w:rPr>
          <w:color w:val="000000" w:themeColor="text1"/>
          <w:sz w:val="16"/>
          <w:szCs w:val="16"/>
        </w:rPr>
        <w:noBreakHyphen/>
        <w:t>й, 8</w:t>
      </w:r>
      <w:r w:rsidRPr="007122AB">
        <w:rPr>
          <w:color w:val="000000" w:themeColor="text1"/>
          <w:sz w:val="16"/>
          <w:szCs w:val="16"/>
        </w:rPr>
        <w:noBreakHyphen/>
        <w:t>й и 9</w:t>
      </w:r>
      <w:r w:rsidRPr="007122AB">
        <w:rPr>
          <w:color w:val="000000" w:themeColor="text1"/>
          <w:sz w:val="16"/>
          <w:szCs w:val="16"/>
        </w:rPr>
        <w:noBreakHyphen/>
        <w:t>й печей требуется двухмесячный срок с момента получения 2 тыс. т шамота, которого на заводе не имеется.</w:t>
      </w:r>
    </w:p>
    <w:p w14:paraId="1D1AE7BB"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2. Для выполнения задания требуется, кроме 9 печей, еще 8 печей, для которых нет и площадей.</w:t>
      </w:r>
    </w:p>
    <w:p w14:paraId="2C38C1C8"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3. На заводе нет ни производственной базы, ни проекта на нее, выполнение военной программы на 1932 г. не обеспечено.</w:t>
      </w:r>
    </w:p>
    <w:p w14:paraId="186EEF20"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4. По заявке завода отпущено 465 тыс. руб., которые полностью не израсходованы.</w:t>
      </w:r>
    </w:p>
    <w:p w14:paraId="72D84D74"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IV. По Подольскому крекинг заводу.</w:t>
      </w:r>
    </w:p>
    <w:p w14:paraId="6F204922"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1. Обязать ВСНХ СССР и ВОМТ в 1931 г. приступить к строительству термической мастерской с таким расчетом, чтобы еще в 1931 г. на заводе было построено 4 термические печи.</w:t>
      </w:r>
    </w:p>
    <w:p w14:paraId="44A29011"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2. Работы по заводу вести с таким расчетом, чтобы завод был подготовлен на подачу по текущему заказу </w:t>
      </w:r>
      <w:proofErr w:type="spellStart"/>
      <w:r w:rsidRPr="007122AB">
        <w:rPr>
          <w:color w:val="000000" w:themeColor="text1"/>
          <w:sz w:val="16"/>
          <w:szCs w:val="16"/>
        </w:rPr>
        <w:t>НКВМора</w:t>
      </w:r>
      <w:proofErr w:type="spellEnd"/>
      <w:r w:rsidRPr="007122AB">
        <w:rPr>
          <w:color w:val="000000" w:themeColor="text1"/>
          <w:sz w:val="16"/>
          <w:szCs w:val="16"/>
        </w:rPr>
        <w:t xml:space="preserve"> 4 тыс. т в весе готовых </w:t>
      </w:r>
      <w:proofErr w:type="spellStart"/>
      <w:r w:rsidRPr="007122AB">
        <w:rPr>
          <w:color w:val="000000" w:themeColor="text1"/>
          <w:sz w:val="16"/>
          <w:szCs w:val="16"/>
        </w:rPr>
        <w:t>бронеизделий</w:t>
      </w:r>
      <w:proofErr w:type="spellEnd"/>
      <w:r w:rsidRPr="007122AB">
        <w:rPr>
          <w:color w:val="000000" w:themeColor="text1"/>
          <w:sz w:val="16"/>
          <w:szCs w:val="16"/>
        </w:rPr>
        <w:t xml:space="preserve"> к 1 января 1932 г.</w:t>
      </w:r>
    </w:p>
    <w:p w14:paraId="2B7DB99D"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3. Подготовить к концу 1932 г. завод к изготовлению на нем в военное время 28,5 тыс. т в весе готовых </w:t>
      </w:r>
      <w:proofErr w:type="spellStart"/>
      <w:r w:rsidRPr="007122AB">
        <w:rPr>
          <w:color w:val="000000" w:themeColor="text1"/>
          <w:sz w:val="16"/>
          <w:szCs w:val="16"/>
        </w:rPr>
        <w:t>бронеизделий</w:t>
      </w:r>
      <w:proofErr w:type="spellEnd"/>
      <w:r w:rsidRPr="007122AB">
        <w:rPr>
          <w:color w:val="000000" w:themeColor="text1"/>
          <w:sz w:val="16"/>
          <w:szCs w:val="16"/>
        </w:rPr>
        <w:t>.</w:t>
      </w:r>
    </w:p>
    <w:p w14:paraId="114682EC"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4. Отпустить в 1931 г. на приспособления завода к производству броневых корпусов 2,5 млн. руб. и обеспечить строительство необходимым фондом стройматериалов.</w:t>
      </w:r>
    </w:p>
    <w:p w14:paraId="591944C4"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1. Термическая мастерская не построена, сделана только одна пристройка, в которой и построена одна термическая печь.</w:t>
      </w:r>
    </w:p>
    <w:p w14:paraId="396FF369"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2. Завод не подготовлен начиная с 1 января 1932 г. к подаче 4 тыс. т </w:t>
      </w:r>
      <w:proofErr w:type="spellStart"/>
      <w:r w:rsidRPr="007122AB">
        <w:rPr>
          <w:color w:val="000000" w:themeColor="text1"/>
          <w:sz w:val="16"/>
          <w:szCs w:val="16"/>
        </w:rPr>
        <w:t>бронеизделий</w:t>
      </w:r>
      <w:proofErr w:type="spellEnd"/>
      <w:r w:rsidRPr="007122AB">
        <w:rPr>
          <w:color w:val="000000" w:themeColor="text1"/>
          <w:sz w:val="16"/>
          <w:szCs w:val="16"/>
        </w:rPr>
        <w:t>.</w:t>
      </w:r>
    </w:p>
    <w:p w14:paraId="16D9E5AE"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V. По Уральской броневой базе.</w:t>
      </w:r>
    </w:p>
    <w:p w14:paraId="404CF238"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Поручить Президиуму ВСНХ СССР в двухмесячный срок проработать мероприятия о создании броневой базы на Урале.</w:t>
      </w:r>
    </w:p>
    <w:p w14:paraId="62F5160C"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вопрос не проработан.</w:t>
      </w:r>
    </w:p>
    <w:p w14:paraId="6F5BC40A"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VI. О создании бюро по цементации брони.</w:t>
      </w:r>
    </w:p>
    <w:p w14:paraId="2E7CB33D"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Обязать ВСНХ СССР немедленно организовать на Ижорском заводе бюро по цементации брони, поставить перед ним задачу практической разработки вопросов наилучших способов цементации брони и внедрения этих способов в массовое производство на Ижорском, Мариупольском и Кулебакском заводах.</w:t>
      </w:r>
    </w:p>
    <w:p w14:paraId="00F4EB87"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бюро создано, но на сегодняшний день не проработаны наилучшие способы цементации брони в массовое производство.</w:t>
      </w:r>
    </w:p>
    <w:p w14:paraId="4EFC4EA4"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VII. По сборке корпусов для ХПЗ и СТЗ.</w:t>
      </w:r>
    </w:p>
    <w:p w14:paraId="4061D70D"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МПС ВСНХ СССР 17 октября 1931 г. дал следующую директиву таганрогскому заводу «Красный котельщик» — подготовить завод к концу 1932 г. к выпуску бронекорпусов. Т</w:t>
      </w:r>
      <w:r w:rsidRPr="007122AB">
        <w:rPr>
          <w:color w:val="000000" w:themeColor="text1"/>
          <w:sz w:val="16"/>
          <w:szCs w:val="16"/>
        </w:rPr>
        <w:noBreakHyphen/>
        <w:t>26 — 12,5 тыс., БТ — 2 тыс.</w:t>
      </w:r>
    </w:p>
    <w:p w14:paraId="0483DB21"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заводом совместно с КТО составлена ориентировочная смета по </w:t>
      </w:r>
      <w:proofErr w:type="spellStart"/>
      <w:r w:rsidRPr="007122AB">
        <w:rPr>
          <w:color w:val="000000" w:themeColor="text1"/>
          <w:sz w:val="16"/>
          <w:szCs w:val="16"/>
        </w:rPr>
        <w:t>спецстроительству</w:t>
      </w:r>
      <w:proofErr w:type="spellEnd"/>
      <w:r w:rsidRPr="007122AB">
        <w:rPr>
          <w:color w:val="000000" w:themeColor="text1"/>
          <w:sz w:val="16"/>
          <w:szCs w:val="16"/>
        </w:rPr>
        <w:t xml:space="preserve"> на 1932 г. и препровождена в МПС 23 октября 1931 г.; указаний по смете завод не имеет.</w:t>
      </w:r>
    </w:p>
    <w:p w14:paraId="517A2674"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По осуществлению программы танкостроения за первое полугодие 1931 г.</w:t>
      </w:r>
    </w:p>
    <w:p w14:paraId="56220316"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 По Нижегородскому, «АМО» и Ярославскому заводам.</w:t>
      </w:r>
    </w:p>
    <w:p w14:paraId="71DD3FC0"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Предложить Президиуму ВСНХ СССР и объединению ВАТО осуществить все мероприятия по подготовке к концу 1932 г. Нижегородского автозавода к подаче в военное время 12 тыс. танкеток и заводов АМО и Ярославского к подаче к тому же сроку 8,2 тыс. танков 2</w:t>
      </w:r>
      <w:r w:rsidRPr="007122AB">
        <w:rPr>
          <w:color w:val="000000" w:themeColor="text1"/>
          <w:sz w:val="16"/>
          <w:szCs w:val="16"/>
        </w:rPr>
        <w:noBreakHyphen/>
        <w:t>го эшелона сопровождения пехоты.</w:t>
      </w:r>
    </w:p>
    <w:p w14:paraId="4FE3A402"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к подготовительным работам по выполнению задания...⁴* По предложению ВАТО исключены из контрольных цифр ассигнования на подготовку производственной базы танков 2</w:t>
      </w:r>
      <w:r w:rsidRPr="007122AB">
        <w:rPr>
          <w:color w:val="000000" w:themeColor="text1"/>
          <w:sz w:val="16"/>
          <w:szCs w:val="16"/>
        </w:rPr>
        <w:noBreakHyphen/>
        <w:t>го эшелона, несмотря на то что чертежи первого изготовленного образца означенного танка переданы ВАТО, а второй образец находится в стадии изготовления на заводе «Большевик»</w:t>
      </w:r>
    </w:p>
    <w:p w14:paraId="6B17B2EC"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II. По Сталинградскому опытному заводу и по 2</w:t>
      </w:r>
      <w:r w:rsidRPr="007122AB">
        <w:rPr>
          <w:color w:val="000000" w:themeColor="text1"/>
          <w:sz w:val="16"/>
          <w:szCs w:val="16"/>
        </w:rPr>
        <w:noBreakHyphen/>
        <w:t>му заводу.</w:t>
      </w:r>
    </w:p>
    <w:p w14:paraId="0737EB8B"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Отмечая недостаточные темпы строительства по Сталинградскому заводу по обеспечению программы танкостроения и неудовлетворительное выполнение плана заказов по 2</w:t>
      </w:r>
      <w:r w:rsidRPr="007122AB">
        <w:rPr>
          <w:color w:val="000000" w:themeColor="text1"/>
          <w:sz w:val="16"/>
          <w:szCs w:val="16"/>
        </w:rPr>
        <w:noBreakHyphen/>
        <w:t>му заводу ВАТО, обязать Президиум ВСНХ СССР и объединение ВАТО: а) обеспечить пуск Сталинградского цеха мелкого фасонного литья с весны 1932 г. из расчета на подачу 55 тыс. т литья; б) развернуть работу по строительству опытного цеха для ассимиляции танкового производства на СТЗ с тем, чтобы к весне 1932 г. была обеспечена подача в мирное время 100 танков по опытному заводу, а к концу 1932 г. по основному заводу в военное время 12 тыс. танков плюс запасные части; в) принять все меры по выполнению программы текущего года по 2</w:t>
      </w:r>
      <w:r w:rsidRPr="007122AB">
        <w:rPr>
          <w:color w:val="000000" w:themeColor="text1"/>
          <w:sz w:val="16"/>
          <w:szCs w:val="16"/>
        </w:rPr>
        <w:noBreakHyphen/>
        <w:t>му заводу ВАТО в количестве 400 танкеток Т</w:t>
      </w:r>
      <w:r w:rsidRPr="007122AB">
        <w:rPr>
          <w:color w:val="000000" w:themeColor="text1"/>
          <w:sz w:val="16"/>
          <w:szCs w:val="16"/>
        </w:rPr>
        <w:noBreakHyphen/>
        <w:t xml:space="preserve">27 и подготовке этого завода к выполнению </w:t>
      </w:r>
      <w:proofErr w:type="spellStart"/>
      <w:r w:rsidRPr="007122AB">
        <w:rPr>
          <w:color w:val="000000" w:themeColor="text1"/>
          <w:sz w:val="16"/>
          <w:szCs w:val="16"/>
        </w:rPr>
        <w:t>мобзадания</w:t>
      </w:r>
      <w:proofErr w:type="spellEnd"/>
      <w:r w:rsidRPr="007122AB">
        <w:rPr>
          <w:color w:val="000000" w:themeColor="text1"/>
          <w:sz w:val="16"/>
          <w:szCs w:val="16"/>
        </w:rPr>
        <w:t xml:space="preserve"> на 4 тыс. танкеток с весны 1932 г.</w:t>
      </w:r>
    </w:p>
    <w:p w14:paraId="0753E4E1"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а) цех мелкого фасонного литья не построен и к весне 1932 г. пущен не будет; б) опытный цех построен, но не приступлено к монтажу оборудования, так как последнее не было импортировано, что ставит под угрозу выполнение программы б[</w:t>
      </w:r>
      <w:proofErr w:type="spellStart"/>
      <w:r w:rsidRPr="007122AB">
        <w:rPr>
          <w:color w:val="000000" w:themeColor="text1"/>
          <w:sz w:val="16"/>
          <w:szCs w:val="16"/>
        </w:rPr>
        <w:t>удущего</w:t>
      </w:r>
      <w:proofErr w:type="spellEnd"/>
      <w:r w:rsidRPr="007122AB">
        <w:rPr>
          <w:color w:val="000000" w:themeColor="text1"/>
          <w:sz w:val="16"/>
          <w:szCs w:val="16"/>
        </w:rPr>
        <w:t xml:space="preserve">] года в количестве 100 танков. По основному заводу ведется разработка технологического процесса; в) программа будет выполнена в количестве 300 танкеток. Подготовка к выполнению </w:t>
      </w:r>
      <w:proofErr w:type="spellStart"/>
      <w:r w:rsidRPr="007122AB">
        <w:rPr>
          <w:color w:val="000000" w:themeColor="text1"/>
          <w:sz w:val="16"/>
          <w:szCs w:val="16"/>
        </w:rPr>
        <w:t>мобзадания</w:t>
      </w:r>
      <w:proofErr w:type="spellEnd"/>
      <w:r w:rsidRPr="007122AB">
        <w:rPr>
          <w:color w:val="000000" w:themeColor="text1"/>
          <w:sz w:val="16"/>
          <w:szCs w:val="16"/>
        </w:rPr>
        <w:t xml:space="preserve"> идет неудовлетворительно из-за необеспеченности строительства стройматериалами и несвоевременного ввоза оборудования.</w:t>
      </w:r>
    </w:p>
    <w:p w14:paraId="388033C0"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III. По Ижорскому заводу.</w:t>
      </w:r>
    </w:p>
    <w:p w14:paraId="294E2671"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Предложить ВСНХ и объединению ВОМТ обеспечить по Ижорскому заводу программу заказов текущего года по броневым корпусам для танкеток в количестве 480 шт., для малого танка 200 готовых корпусов Т</w:t>
      </w:r>
      <w:r w:rsidRPr="007122AB">
        <w:rPr>
          <w:color w:val="000000" w:themeColor="text1"/>
          <w:sz w:val="16"/>
          <w:szCs w:val="16"/>
        </w:rPr>
        <w:noBreakHyphen/>
        <w:t>26 и на 100 корпусов Т</w:t>
      </w:r>
      <w:r w:rsidRPr="007122AB">
        <w:rPr>
          <w:color w:val="000000" w:themeColor="text1"/>
          <w:sz w:val="16"/>
          <w:szCs w:val="16"/>
        </w:rPr>
        <w:noBreakHyphen/>
        <w:t>26 комплектов брони для завода «Большевик», 100 комплектов для быстроходного танка («Кристи») для ХПЗ. Закончить постройку инструментальной мастерской Ижорского завода к 1 января 1932 г.</w:t>
      </w:r>
    </w:p>
    <w:p w14:paraId="362580C9"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изготовлено корпусов для танкеток 298 шт., по Т</w:t>
      </w:r>
      <w:r w:rsidRPr="007122AB">
        <w:rPr>
          <w:color w:val="000000" w:themeColor="text1"/>
          <w:sz w:val="16"/>
          <w:szCs w:val="16"/>
        </w:rPr>
        <w:noBreakHyphen/>
        <w:t>26 изготовлено 12 корпусов, по БТ — 3 корпуса. Такое выполнение сорвало программу по Т</w:t>
      </w:r>
      <w:r w:rsidRPr="007122AB">
        <w:rPr>
          <w:color w:val="000000" w:themeColor="text1"/>
          <w:sz w:val="16"/>
          <w:szCs w:val="16"/>
        </w:rPr>
        <w:noBreakHyphen/>
        <w:t>26 и по БТ. К постройке инструментальной мастерской не приступлено.</w:t>
      </w:r>
    </w:p>
    <w:p w14:paraId="57CA80A6"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IV. По ХПЗ.</w:t>
      </w:r>
    </w:p>
    <w:p w14:paraId="0EB65426"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Обязать Президиум ВСНХ СССР и объединение </w:t>
      </w:r>
      <w:proofErr w:type="spellStart"/>
      <w:r w:rsidRPr="007122AB">
        <w:rPr>
          <w:color w:val="000000" w:themeColor="text1"/>
          <w:sz w:val="16"/>
          <w:szCs w:val="16"/>
        </w:rPr>
        <w:t>Парвагдиз</w:t>
      </w:r>
      <w:proofErr w:type="spellEnd"/>
      <w:r w:rsidRPr="007122AB">
        <w:rPr>
          <w:color w:val="000000" w:themeColor="text1"/>
          <w:sz w:val="16"/>
          <w:szCs w:val="16"/>
        </w:rPr>
        <w:t xml:space="preserve"> обеспечить выполнение программы текущего года по быстроходному танку «Кристи»: 25 танков сдать к 1 января 1932 г., 25 танков предъявить к приемке к тому же сроку, 25 танков иметь в виде собранных механизмов и на 25 танков механически обработанных деталей к 1 января 1932 г.</w:t>
      </w:r>
    </w:p>
    <w:p w14:paraId="03C6E23E"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...⁴*в количестве 100 шт. ...⁴*к 15 февраля 1932 г.</w:t>
      </w:r>
    </w:p>
    <w:p w14:paraId="7FE20CFB"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По Харьковскому паровозостроительному заводу подготовить к концу 1932 г. танковое производство по типу танка БТ в количестве 2 тыс. шт. на военное время. Обеспечить в текущем году постройку и пуск термического и инструментального цехов не позднее 1 января 1932 г.</w:t>
      </w:r>
    </w:p>
    <w:p w14:paraId="1E18FCAF"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задание не выполнено. Директор завода и председатель Локомотивного объединения т. </w:t>
      </w:r>
      <w:hyperlink r:id="rId216" w:history="1">
        <w:r w:rsidRPr="007122AB">
          <w:rPr>
            <w:color w:val="000000" w:themeColor="text1"/>
            <w:sz w:val="16"/>
            <w:szCs w:val="16"/>
          </w:rPr>
          <w:t>Курицын</w:t>
        </w:r>
      </w:hyperlink>
      <w:r w:rsidRPr="007122AB">
        <w:rPr>
          <w:color w:val="000000" w:themeColor="text1"/>
          <w:sz w:val="16"/>
          <w:szCs w:val="16"/>
        </w:rPr>
        <w:t xml:space="preserve"> самовольно снизили программу сдачи с 25 танков до 6 танков. На сегодняшний день положение таково, что к 1 января 1932 г. даже и 6 танков сдано не будет. Работы по инструментальному и термическому готовы на 50%, по механическому не хватает 140 станков. Крановым хозяйством цех не обеспечен.</w:t>
      </w:r>
    </w:p>
    <w:p w14:paraId="3FA29706"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V. По моторной базе.</w:t>
      </w:r>
    </w:p>
    <w:p w14:paraId="5B8885AA"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Отметить, что ВСНХ до сих пор не принял конкретных решений по вопросу о моторной базе для среднего танка как по заказу мирного времени, так и военного времени. Обязать Президиум ВСНХ СССР ускорить практическое разрешение вопроса о моторной базе для среднего танка с тем, чтобы программа танкостроения по танку БТ была обеспечена по программе мирного времени к началу 1932 г., а по программе военного времени к концу 1932 г.</w:t>
      </w:r>
    </w:p>
    <w:p w14:paraId="1F7CA559"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НКВМ внес в КО доклад о расширении базы по моторостроению, необходимую для обеспечения танковой программы. Со стороны ВСНХ СССР по этому вопросу ничего не сделано.</w:t>
      </w:r>
    </w:p>
    <w:p w14:paraId="0BE011F7"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VI. Президиуму ВСНХ СССР о принятых решениях и конкретных мероприятиях по программе танкостроения на основе данного постановления доложить через месяц КО и впредь ежемесячно докладывать о ходе выполнения программы танкостроения.</w:t>
      </w:r>
    </w:p>
    <w:p w14:paraId="2E1DE0E9"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Президиум ВСНХ СССР этого постановления не выполнил. НКВМ вторично докладывает о срыве ВСНХ СССР программы по танкостроению.</w:t>
      </w:r>
    </w:p>
    <w:p w14:paraId="4B4A1C9E"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Принятые решения:</w:t>
      </w:r>
      <w:r w:rsidRPr="007122AB">
        <w:rPr>
          <w:color w:val="000000" w:themeColor="text1"/>
          <w:sz w:val="16"/>
          <w:szCs w:val="16"/>
        </w:rPr>
        <w:t xml:space="preserve"> VII. О покупке моторов.</w:t>
      </w:r>
    </w:p>
    <w:p w14:paraId="7538A84C"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t xml:space="preserve">Поручить </w:t>
      </w:r>
      <w:proofErr w:type="spellStart"/>
      <w:r w:rsidRPr="007122AB">
        <w:rPr>
          <w:color w:val="000000" w:themeColor="text1"/>
          <w:sz w:val="16"/>
          <w:szCs w:val="16"/>
        </w:rPr>
        <w:t>НКВМору</w:t>
      </w:r>
      <w:proofErr w:type="spellEnd"/>
      <w:r w:rsidRPr="007122AB">
        <w:rPr>
          <w:color w:val="000000" w:themeColor="text1"/>
          <w:sz w:val="16"/>
          <w:szCs w:val="16"/>
        </w:rPr>
        <w:t xml:space="preserve"> для обеспечения программы текущих заказов по БТ закупить за границей 100 моторов «Либерти» со сроком поставки 50 шт. в октябре и 50 шт. в декабре 1931 г. Одновременно обязать </w:t>
      </w:r>
      <w:proofErr w:type="spellStart"/>
      <w:r w:rsidRPr="007122AB">
        <w:rPr>
          <w:color w:val="000000" w:themeColor="text1"/>
          <w:sz w:val="16"/>
          <w:szCs w:val="16"/>
        </w:rPr>
        <w:t>Наркомвнешторг</w:t>
      </w:r>
      <w:proofErr w:type="spellEnd"/>
      <w:r w:rsidRPr="007122AB">
        <w:rPr>
          <w:color w:val="000000" w:themeColor="text1"/>
          <w:sz w:val="16"/>
          <w:szCs w:val="16"/>
        </w:rPr>
        <w:t xml:space="preserve"> и Наркомфин обеспечить эту покупку моторов соответствующими лицензионными контингентами и валютным ассигнованием.</w:t>
      </w:r>
    </w:p>
    <w:p w14:paraId="199D4FB7" w14:textId="77777777" w:rsidR="009E3773" w:rsidRPr="007122AB" w:rsidRDefault="009E3773" w:rsidP="007122AB">
      <w:pPr>
        <w:pStyle w:val="rtejustify"/>
        <w:spacing w:before="0" w:after="0"/>
        <w:rPr>
          <w:color w:val="000000" w:themeColor="text1"/>
          <w:sz w:val="16"/>
          <w:szCs w:val="16"/>
        </w:rPr>
      </w:pPr>
      <w:r w:rsidRPr="007122AB">
        <w:rPr>
          <w:rStyle w:val="af0"/>
          <w:i w:val="0"/>
          <w:color w:val="000000" w:themeColor="text1"/>
          <w:sz w:val="16"/>
          <w:szCs w:val="16"/>
        </w:rPr>
        <w:t>Что сделано:</w:t>
      </w:r>
      <w:r w:rsidRPr="007122AB">
        <w:rPr>
          <w:color w:val="000000" w:themeColor="text1"/>
          <w:sz w:val="16"/>
          <w:szCs w:val="16"/>
        </w:rPr>
        <w:t xml:space="preserve"> НКВМ вторично вошел в правительство о покупке в Америке 500 моторов для обеспечения ими БТ.</w:t>
      </w:r>
    </w:p>
    <w:p w14:paraId="4307ECBB"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rPr>
        <w:lastRenderedPageBreak/>
        <w:t>Изложенное показывает, что важнейшие решения инстанции и КО о танкостроении не выполняются. Поэтому настоятельно считаю необходимым заслушать в порядке контроля доклад ВСНХ СССР и РВС СССР о выполнении постановления КО от 1 августа с. г. на ближайшем заседании КО.</w:t>
      </w:r>
    </w:p>
    <w:p w14:paraId="2211A631" w14:textId="77777777" w:rsidR="009E3773" w:rsidRPr="007122AB" w:rsidRDefault="009E3773" w:rsidP="007122AB">
      <w:pPr>
        <w:pStyle w:val="rteright"/>
        <w:spacing w:before="0" w:after="0"/>
        <w:jc w:val="both"/>
        <w:rPr>
          <w:color w:val="000000" w:themeColor="text1"/>
          <w:sz w:val="16"/>
          <w:szCs w:val="16"/>
        </w:rPr>
      </w:pPr>
      <w:r w:rsidRPr="007122AB">
        <w:rPr>
          <w:rStyle w:val="af0"/>
          <w:i w:val="0"/>
          <w:color w:val="000000" w:themeColor="text1"/>
          <w:sz w:val="16"/>
          <w:szCs w:val="16"/>
        </w:rPr>
        <w:t xml:space="preserve">Зам. народного комиссара по военным и морским делам и председателя РВС СССР </w:t>
      </w:r>
      <w:hyperlink r:id="rId217" w:history="1">
        <w:r w:rsidRPr="007122AB">
          <w:rPr>
            <w:rStyle w:val="af0"/>
            <w:i w:val="0"/>
            <w:color w:val="000000" w:themeColor="text1"/>
            <w:sz w:val="16"/>
            <w:szCs w:val="16"/>
          </w:rPr>
          <w:t>Тухачевский</w:t>
        </w:r>
      </w:hyperlink>
    </w:p>
    <w:p w14:paraId="1A215AA1" w14:textId="77777777" w:rsidR="009E3773" w:rsidRPr="007122AB" w:rsidRDefault="009E3773"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0C9E8824"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В постановлении Комиссии обороны по программе танкостроения и по броне, принятом 1 августа 1931 г., говорилось: «I. По программе танкостроения: в развитие постановления инстанции от 20 февраля 1931 г. по программе танкостроения в военное время установить к концу 1932 г. реально обеспеченную мощность по годовой подаче танков: по танкам I эшелона: танкеток Т</w:t>
      </w:r>
      <w:r w:rsidRPr="007122AB">
        <w:rPr>
          <w:color w:val="000000" w:themeColor="text1"/>
          <w:sz w:val="16"/>
          <w:szCs w:val="16"/>
        </w:rPr>
        <w:noBreakHyphen/>
        <w:t>27 — 16 тыс., танков малых Т</w:t>
      </w:r>
      <w:r w:rsidRPr="007122AB">
        <w:rPr>
          <w:color w:val="000000" w:themeColor="text1"/>
          <w:sz w:val="16"/>
          <w:szCs w:val="16"/>
        </w:rPr>
        <w:noBreakHyphen/>
        <w:t xml:space="preserve">26 — 13,8 тыс., танков средних (БТ типа «Кристи») — 2 тыс.; по танкам II эшелона: сопровождения пехоты — 8,2 тыс. II. По броне: 1. В соответствии с утвержденной программой танкостроения промышленности обеспечить потребность брони: для танков I эшелона — 46 тыс. т, для танков II эшелона — 16,5 тыс. т, для бронемашин, бронепоездов — 2,5 тыс. т; итого — 65 тыс. т». Для обеспечения потребности в броне планировалось подготовить броневые базы на Ижорском, Кулебакском, Мариупольском заводах и Подольском </w:t>
      </w:r>
      <w:proofErr w:type="spellStart"/>
      <w:r w:rsidRPr="007122AB">
        <w:rPr>
          <w:color w:val="000000" w:themeColor="text1"/>
          <w:sz w:val="16"/>
          <w:szCs w:val="16"/>
        </w:rPr>
        <w:t>крекингзаводе</w:t>
      </w:r>
      <w:proofErr w:type="spellEnd"/>
      <w:r w:rsidRPr="007122AB">
        <w:rPr>
          <w:color w:val="000000" w:themeColor="text1"/>
          <w:sz w:val="16"/>
          <w:szCs w:val="16"/>
        </w:rPr>
        <w:t>. Президиуму ВСНХ СССР было поручено в двухмесячный срок проработать мероприятия о создании броневой базы на Урале, а также организовать на Ижорском заводе бюро по цементации брони. (ГА РФ. Ф. Р</w:t>
      </w:r>
      <w:r w:rsidRPr="007122AB">
        <w:rPr>
          <w:color w:val="000000" w:themeColor="text1"/>
          <w:sz w:val="16"/>
          <w:szCs w:val="16"/>
        </w:rPr>
        <w:noBreakHyphen/>
        <w:t>8418. Оп. 5. Д. 59. Л. 1</w:t>
      </w:r>
      <w:r w:rsidRPr="007122AB">
        <w:rPr>
          <w:color w:val="000000" w:themeColor="text1"/>
          <w:sz w:val="16"/>
          <w:szCs w:val="16"/>
        </w:rPr>
        <w:noBreakHyphen/>
        <w:t>3).</w:t>
      </w:r>
    </w:p>
    <w:p w14:paraId="38D982A7"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Дописано от руки со слов «в весе».</w:t>
      </w:r>
    </w:p>
    <w:p w14:paraId="0B7615A4"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Последнее предложение дописано от руки.</w:t>
      </w:r>
    </w:p>
    <w:p w14:paraId="4C28E74E" w14:textId="77777777" w:rsidR="009E3773" w:rsidRPr="007122AB" w:rsidRDefault="009E3773" w:rsidP="007122AB">
      <w:pPr>
        <w:pStyle w:val="rtejustify"/>
        <w:spacing w:before="0" w:after="0"/>
        <w:rPr>
          <w:color w:val="000000" w:themeColor="text1"/>
          <w:sz w:val="16"/>
          <w:szCs w:val="16"/>
        </w:rPr>
      </w:pPr>
      <w:r w:rsidRPr="007122AB">
        <w:rPr>
          <w:color w:val="000000" w:themeColor="text1"/>
          <w:sz w:val="16"/>
          <w:szCs w:val="16"/>
          <w:vertAlign w:val="superscript"/>
        </w:rPr>
        <w:t>4</w:t>
      </w:r>
      <w:r w:rsidRPr="007122AB">
        <w:rPr>
          <w:color w:val="000000" w:themeColor="text1"/>
          <w:sz w:val="16"/>
          <w:szCs w:val="16"/>
        </w:rPr>
        <w:t>* Текст поврежден.</w:t>
      </w:r>
    </w:p>
    <w:p w14:paraId="583E740D" w14:textId="77777777" w:rsidR="009E3773" w:rsidRPr="007122AB" w:rsidRDefault="009E3773" w:rsidP="007122AB">
      <w:pPr>
        <w:pStyle w:val="ae"/>
        <w:spacing w:before="0" w:after="0"/>
        <w:jc w:val="both"/>
        <w:rPr>
          <w:color w:val="000000" w:themeColor="text1"/>
          <w:sz w:val="16"/>
          <w:szCs w:val="16"/>
        </w:rPr>
      </w:pPr>
      <w:r w:rsidRPr="007122AB">
        <w:rPr>
          <w:color w:val="000000" w:themeColor="text1"/>
          <w:sz w:val="16"/>
          <w:szCs w:val="16"/>
        </w:rPr>
        <w:t>РГВА. Ф. 31811. Оп. 2. Д. 54. Л. 65—66 об. Копия.</w:t>
      </w:r>
    </w:p>
    <w:p w14:paraId="6EF6F2F5"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РГВА. Ф. 31811. Оп. 2. Д. 54. Л. 65—66 об. Копия. </w:t>
      </w:r>
    </w:p>
    <w:p w14:paraId="12D391D9" w14:textId="77777777" w:rsidR="009E3773" w:rsidRPr="007122AB" w:rsidRDefault="009E377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575-578 (12539).</w:t>
      </w:r>
    </w:p>
    <w:p w14:paraId="598EFA96" w14:textId="77777777" w:rsidR="009E3773" w:rsidRPr="007122AB" w:rsidRDefault="009E3773" w:rsidP="007122AB">
      <w:pPr>
        <w:spacing w:after="0" w:line="240" w:lineRule="auto"/>
        <w:jc w:val="both"/>
        <w:rPr>
          <w:rFonts w:ascii="Times New Roman" w:hAnsi="Times New Roman"/>
          <w:color w:val="000000" w:themeColor="text1"/>
          <w:sz w:val="16"/>
          <w:szCs w:val="16"/>
        </w:rPr>
      </w:pPr>
    </w:p>
    <w:p w14:paraId="5D3034A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декабря 1931 года начальник КБ Ижорского завода направил в управление механизации и моторизации Крас</w:t>
      </w:r>
      <w:r w:rsidRPr="007122AB">
        <w:rPr>
          <w:rFonts w:ascii="Times New Roman" w:hAnsi="Times New Roman"/>
          <w:color w:val="000000" w:themeColor="text1"/>
          <w:sz w:val="16"/>
          <w:szCs w:val="16"/>
        </w:rPr>
        <w:softHyphen/>
        <w:t>ной Армии письмо, в котором сообщал следующее:</w:t>
      </w:r>
    </w:p>
    <w:p w14:paraId="1D6063D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задания НТК УММ РККА КБ Ижорского завода выполнило проект бронеавтомобиля ФАИ-2 на 3-ос-ном шасси «Форд-А». Теоретический вес брони приблизи</w:t>
      </w:r>
      <w:r w:rsidRPr="007122AB">
        <w:rPr>
          <w:rFonts w:ascii="Times New Roman" w:hAnsi="Times New Roman"/>
          <w:color w:val="000000" w:themeColor="text1"/>
          <w:sz w:val="16"/>
          <w:szCs w:val="16"/>
        </w:rPr>
        <w:softHyphen/>
        <w:t>тельно 500 кг, броня 4-6 мм. Вооружение - 2 пулемета ДТ, экипаж 3 человека. Корпус удлинен против корпуса обыч</w:t>
      </w:r>
      <w:r w:rsidRPr="007122AB">
        <w:rPr>
          <w:rFonts w:ascii="Times New Roman" w:hAnsi="Times New Roman"/>
          <w:color w:val="000000" w:themeColor="text1"/>
          <w:sz w:val="16"/>
          <w:szCs w:val="16"/>
        </w:rPr>
        <w:softHyphen/>
        <w:t>ного ФАЙ на 500 мм...» Однако производство трехосных «Форд-А» так и не бы</w:t>
      </w:r>
      <w:r w:rsidRPr="007122AB">
        <w:rPr>
          <w:rFonts w:ascii="Times New Roman" w:hAnsi="Times New Roman"/>
          <w:color w:val="000000" w:themeColor="text1"/>
          <w:sz w:val="16"/>
          <w:szCs w:val="16"/>
        </w:rPr>
        <w:softHyphen/>
        <w:t>ло развернуто, и проект ФАИ-2 остался только на бумаге (11284).</w:t>
      </w:r>
    </w:p>
    <w:p w14:paraId="15E367B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0F39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декабря 1931 г. приказом ВСНХ СССР на базе гидравлической лаборатории ЦАГИ был создан Гидроэнергетический научно-исследовательский институт (ГЭИ)  В декабре 1934 г. преобразован во Всесоюзный научно-исследовательский институт гидромашиностроения (ВИГМ). Приказом Госкомитета химического и нефтяного машиностроения при Госплане СССР от 12 июня 1964 г. ВИГМ и Государственное центральное конструкторское бюро гидромашиностроения (ЦКБ ГМ) были объединены во Всесоюзный научно-исследовательский, конструкторский и технологический институт гидромашиностроения "</w:t>
      </w:r>
      <w:proofErr w:type="spellStart"/>
      <w:r w:rsidRPr="007122AB">
        <w:rPr>
          <w:rFonts w:ascii="Times New Roman" w:hAnsi="Times New Roman"/>
          <w:color w:val="000000" w:themeColor="text1"/>
          <w:sz w:val="16"/>
          <w:szCs w:val="16"/>
        </w:rPr>
        <w:t>ВНИИгидромаш</w:t>
      </w:r>
      <w:proofErr w:type="spellEnd"/>
      <w:r w:rsidRPr="007122AB">
        <w:rPr>
          <w:rFonts w:ascii="Times New Roman" w:hAnsi="Times New Roman"/>
          <w:color w:val="000000" w:themeColor="text1"/>
          <w:sz w:val="16"/>
          <w:szCs w:val="16"/>
        </w:rPr>
        <w:t>" (12102).</w:t>
      </w:r>
    </w:p>
    <w:p w14:paraId="73307C91" w14:textId="77777777" w:rsidR="000C5145" w:rsidRPr="007122AB" w:rsidRDefault="000C514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27C8D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F50341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EC7190" w14:textId="77777777" w:rsidR="00EF159B" w:rsidRPr="007122AB" w:rsidRDefault="00EF159B"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декабря ПБ пересмотрело свое решение и разрешило закупку для ОГПУ в Италии трех сторожевых судов при условии сохранения прежнего валютного лимита (17281).</w:t>
      </w:r>
    </w:p>
    <w:p w14:paraId="63CD7528" w14:textId="77777777" w:rsidR="00EF159B" w:rsidRPr="007122AB" w:rsidRDefault="00EF159B" w:rsidP="007122AB">
      <w:pPr>
        <w:autoSpaceDE w:val="0"/>
        <w:autoSpaceDN w:val="0"/>
        <w:adjustRightInd w:val="0"/>
        <w:spacing w:after="0" w:line="240" w:lineRule="auto"/>
        <w:jc w:val="both"/>
        <w:rPr>
          <w:rFonts w:ascii="Times New Roman" w:hAnsi="Times New Roman"/>
          <w:color w:val="000000" w:themeColor="text1"/>
          <w:sz w:val="16"/>
          <w:szCs w:val="16"/>
        </w:rPr>
      </w:pPr>
    </w:p>
    <w:p w14:paraId="78D6FB9C" w14:textId="77777777" w:rsidR="00203904" w:rsidRPr="007122AB" w:rsidRDefault="0020390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A7F75A6" w14:textId="77777777" w:rsidR="00203904" w:rsidRPr="007122AB" w:rsidRDefault="002039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8D3D30" w14:textId="77777777" w:rsidR="00203904" w:rsidRPr="007122AB" w:rsidRDefault="00203904"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9 декабря 1931 года случилось событие, которое стало началом конца КБ-3 ВОАО в его текущем виде. Дело в том, что 3 декабря был рассмотрен проект 30-тонного танка ТГ-3 конструкции Эдварда Гроте. Проект забраковали, но еще 9 ноября возникла идея создания похожей машины. Она первоначально носила обозначение ТГ, но 9 декабря 1931 года прозвучал и другой индекс - Т-35. Под задачу разработки данной машины к декабрю 1931 года на заводе "Большевик" был создан опытный отдел, он же ОКМО (опытно-конструкторский машиностроительный отдел). Официально его организовали 16 февраля 1932 года, но на самом деле всё решили еще раньше. Начальником ОКМО стал Н.В. Барыков, до того курировавший работы по ТГ-1. А заместителем Барыкова назначили Гинзбурга. Таким образом, теперь начальник КБ-3 ВОАО оказался между Ленинградом и Москвой. Приказом НКТП №35 от 15 февраля 1932 года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2C71163B" w14:textId="77777777" w:rsidR="00203904" w:rsidRPr="007122AB" w:rsidRDefault="00203904" w:rsidP="007122AB">
      <w:pPr>
        <w:shd w:val="clear" w:color="auto" w:fill="FFFFFF"/>
        <w:spacing w:after="0" w:line="240" w:lineRule="auto"/>
        <w:jc w:val="both"/>
        <w:rPr>
          <w:rFonts w:ascii="Times New Roman" w:hAnsi="Times New Roman"/>
          <w:color w:val="000000" w:themeColor="text1"/>
          <w:sz w:val="16"/>
          <w:szCs w:val="16"/>
        </w:rPr>
      </w:pPr>
    </w:p>
    <w:p w14:paraId="096EAD54" w14:textId="77777777" w:rsidR="00203904" w:rsidRPr="007122AB" w:rsidRDefault="0020390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декабря 1931 г. М.Н. Тухачевский в письме К.Е. Ворошилову писал: «Показали мы т[</w:t>
      </w:r>
      <w:proofErr w:type="spellStart"/>
      <w:r w:rsidRPr="007122AB">
        <w:rPr>
          <w:rFonts w:ascii="Times New Roman" w:hAnsi="Times New Roman"/>
          <w:color w:val="000000" w:themeColor="text1"/>
          <w:sz w:val="16"/>
          <w:szCs w:val="16"/>
        </w:rPr>
        <w:t>оварищу</w:t>
      </w:r>
      <w:proofErr w:type="spellEnd"/>
      <w:r w:rsidRPr="007122AB">
        <w:rPr>
          <w:rFonts w:ascii="Times New Roman" w:hAnsi="Times New Roman"/>
          <w:color w:val="000000" w:themeColor="text1"/>
          <w:sz w:val="16"/>
          <w:szCs w:val="16"/>
        </w:rPr>
        <w:t>]. Сталину и т[</w:t>
      </w:r>
      <w:proofErr w:type="spellStart"/>
      <w:r w:rsidRPr="007122AB">
        <w:rPr>
          <w:rFonts w:ascii="Times New Roman" w:hAnsi="Times New Roman"/>
          <w:color w:val="000000" w:themeColor="text1"/>
          <w:sz w:val="16"/>
          <w:szCs w:val="16"/>
        </w:rPr>
        <w:t>оварищу</w:t>
      </w:r>
      <w:proofErr w:type="spellEnd"/>
      <w:r w:rsidRPr="007122AB">
        <w:rPr>
          <w:rFonts w:ascii="Times New Roman" w:hAnsi="Times New Roman"/>
          <w:color w:val="000000" w:themeColor="text1"/>
          <w:sz w:val="16"/>
          <w:szCs w:val="16"/>
        </w:rPr>
        <w:t>]. Молотову фильм: испытания танка-амфибии Карден-Ллойда. Это чрезвычайно интересно и т[</w:t>
      </w:r>
      <w:proofErr w:type="spellStart"/>
      <w:r w:rsidRPr="007122AB">
        <w:rPr>
          <w:rFonts w:ascii="Times New Roman" w:hAnsi="Times New Roman"/>
          <w:color w:val="000000" w:themeColor="text1"/>
          <w:sz w:val="16"/>
          <w:szCs w:val="16"/>
        </w:rPr>
        <w:t>оварищ</w:t>
      </w:r>
      <w:proofErr w:type="spellEnd"/>
      <w:r w:rsidRPr="007122AB">
        <w:rPr>
          <w:rFonts w:ascii="Times New Roman" w:hAnsi="Times New Roman"/>
          <w:color w:val="000000" w:themeColor="text1"/>
          <w:sz w:val="16"/>
          <w:szCs w:val="16"/>
        </w:rPr>
        <w:t>]. Сталин предложил купить десять штук по 25 тыс. руб. (Виккерс просит по 34 тыс. руб.) Через Темзу этот танк плавает шутя» (РГВА. Ф. 33987. Оп. 3 с. Д. 155. Л. 184). «Высочайшее внимание» сыграло свою роль, и замнаркома обороны М.Н. Тухачевский распорядился немедленно начать переговоры о покупке, и, не дожидаясь их результатов, приступить к созданию собственного плавающего танка, используя имевшиеся фотографии английского образца (РГВА. Ф. 31811. Оп. 2. Д. 55. Л. 4). Работы развернулись небывалыми темпами, и уже в апреле 1932 г. советский танк-амфибия Т-33 вышел на испытания (21522).</w:t>
      </w:r>
    </w:p>
    <w:p w14:paraId="75FC2576" w14:textId="77777777" w:rsidR="00203904" w:rsidRPr="007122AB" w:rsidRDefault="00203904" w:rsidP="007122AB">
      <w:pPr>
        <w:spacing w:after="0" w:line="240" w:lineRule="auto"/>
        <w:jc w:val="both"/>
        <w:rPr>
          <w:rFonts w:ascii="Times New Roman" w:hAnsi="Times New Roman"/>
          <w:color w:val="000000" w:themeColor="text1"/>
          <w:sz w:val="16"/>
          <w:szCs w:val="16"/>
        </w:rPr>
      </w:pPr>
    </w:p>
    <w:p w14:paraId="3E37CC10"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декабря 1931 г. председатель 1-й секции НТК УММ РККА В.М. Бегунов в письме № 9031343 уведомил руководство объединения «Локомотив» о том, что:</w:t>
      </w:r>
    </w:p>
    <w:p w14:paraId="7D9C61F1"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«Вопрос о переходе с </w:t>
      </w:r>
      <w:proofErr w:type="spellStart"/>
      <w:r w:rsidRPr="00441F34">
        <w:rPr>
          <w:rFonts w:ascii="Times New Roman" w:hAnsi="Times New Roman"/>
          <w:color w:val="0070C0"/>
          <w:sz w:val="16"/>
          <w:szCs w:val="16"/>
        </w:rPr>
        <w:t>авио</w:t>
      </w:r>
      <w:proofErr w:type="spellEnd"/>
      <w:r w:rsidRPr="00441F34">
        <w:rPr>
          <w:rFonts w:ascii="Times New Roman" w:hAnsi="Times New Roman"/>
          <w:color w:val="0070C0"/>
          <w:sz w:val="16"/>
          <w:szCs w:val="16"/>
        </w:rPr>
        <w:t>-моторов на дизель-моторы в танках БТ нами предусмотрен. Готовится опытный образец 400-сильного дизель-мотора. По окончании испытаний этого мотора выяснится возможность установки дизель-моторов в танки Б-Т»</w:t>
      </w:r>
    </w:p>
    <w:p w14:paraId="73665C79"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8122. Оп. 1. Д. 31. Л. 621]</w:t>
      </w:r>
    </w:p>
    <w:p w14:paraId="38F68CF6"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данном письме В.М. Бегунова речь шла о дизеле ПГЕ, разработка которого была завершена в ТО ЭКУ ОГПУ. Как уже было написано выше, двигатель ПГЕ предназначался для установки в плавающий колесно-гусеничный танк ПТ-1. Это был двухтактный шестицилиндровый жидкостного охлаждения дизель с рядным (вертикальным) расположением цилиндров. Заявленная максимальная мощность дизеля ПГЕ составляла 400 л.с. при частоте вращения коленчатого вала 1500 об/мин, диаметр и ход поршня – 170 мм, степень сжатия – 15 (94856).</w:t>
      </w:r>
    </w:p>
    <w:p w14:paraId="658A8EB5" w14:textId="77777777" w:rsidR="00560FA4" w:rsidRPr="00441F34" w:rsidRDefault="00560FA4" w:rsidP="00560FA4">
      <w:pPr>
        <w:spacing w:after="0" w:line="240" w:lineRule="auto"/>
        <w:jc w:val="both"/>
        <w:rPr>
          <w:rFonts w:ascii="Times New Roman" w:hAnsi="Times New Roman"/>
          <w:color w:val="0070C0"/>
          <w:sz w:val="16"/>
          <w:szCs w:val="16"/>
        </w:rPr>
      </w:pPr>
    </w:p>
    <w:p w14:paraId="0F91B1B0"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декабря 1931 г.</w:t>
      </w:r>
    </w:p>
    <w:p w14:paraId="635A710C"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РГАЭ Фонд 8122 Опись 1 Дело 31 лист 621 </w:t>
      </w:r>
    </w:p>
    <w:p w14:paraId="1FAFB779"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СЕКРЕТНО </w:t>
      </w:r>
    </w:p>
    <w:p w14:paraId="331E55D4"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9 декабря 1931 г. </w:t>
      </w:r>
    </w:p>
    <w:p w14:paraId="2DCF7AB0"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9031343</w:t>
      </w:r>
    </w:p>
    <w:p w14:paraId="0BA26F28"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НАЧАЛЬНИКУ СПЕЦСЕКТОРА ГОС </w:t>
      </w:r>
    </w:p>
    <w:p w14:paraId="718F145D"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ВСЕСОЮЗНОГО ЛОКОМОТИВНОГО ОБЪЕДИНЕНИЯ – ЛОКОМОТИВ </w:t>
      </w:r>
    </w:p>
    <w:p w14:paraId="190D34E4"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Здесь, Никольская 1/5</w:t>
      </w:r>
    </w:p>
    <w:p w14:paraId="2AB2C11B"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В/№ 291/3859с</w:t>
      </w:r>
    </w:p>
    <w:p w14:paraId="26A6FE14"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Вопрос о переходе с </w:t>
      </w:r>
      <w:proofErr w:type="spellStart"/>
      <w:r w:rsidRPr="00441F34">
        <w:rPr>
          <w:rFonts w:ascii="Times New Roman" w:hAnsi="Times New Roman"/>
          <w:color w:val="0070C0"/>
          <w:sz w:val="16"/>
          <w:szCs w:val="16"/>
        </w:rPr>
        <w:t>авио</w:t>
      </w:r>
      <w:proofErr w:type="spellEnd"/>
      <w:r w:rsidRPr="00441F34">
        <w:rPr>
          <w:rFonts w:ascii="Times New Roman" w:hAnsi="Times New Roman"/>
          <w:color w:val="0070C0"/>
          <w:sz w:val="16"/>
          <w:szCs w:val="16"/>
        </w:rPr>
        <w:t xml:space="preserve"> моторов на дизель-моторы в танках Б-Т нами предусмотрен. Готовится опытный образец 400-сильного дизель-мотора. По окончании испытаний этого мотора выяснится возможность установки дизель-моторов в танках Б-Т.</w:t>
      </w:r>
    </w:p>
    <w:p w14:paraId="6F6E13DD" w14:textId="77777777" w:rsidR="00560FA4" w:rsidRPr="00441F34" w:rsidRDefault="00560FA4" w:rsidP="00560F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 I СЕКЦИИ НТК УММ подпись В.М. Бегунова</w:t>
      </w:r>
    </w:p>
    <w:p w14:paraId="6CFCF3E0" w14:textId="77777777" w:rsidR="00560FA4" w:rsidRPr="00441F34" w:rsidRDefault="00560FA4" w:rsidP="00560FA4">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Отпеч</w:t>
      </w:r>
      <w:proofErr w:type="spellEnd"/>
      <w:r w:rsidRPr="00441F34">
        <w:rPr>
          <w:rFonts w:ascii="Times New Roman" w:hAnsi="Times New Roman"/>
          <w:color w:val="0070C0"/>
          <w:sz w:val="16"/>
          <w:szCs w:val="16"/>
        </w:rPr>
        <w:t>. в 2 экз. (24870).</w:t>
      </w:r>
    </w:p>
    <w:p w14:paraId="3F24DC79" w14:textId="77777777" w:rsidR="00560FA4" w:rsidRPr="00441F34" w:rsidRDefault="00560FA4" w:rsidP="00560FA4">
      <w:pPr>
        <w:spacing w:after="0" w:line="240" w:lineRule="auto"/>
        <w:jc w:val="both"/>
        <w:rPr>
          <w:rFonts w:ascii="Times New Roman" w:hAnsi="Times New Roman"/>
          <w:color w:val="0070C0"/>
          <w:sz w:val="16"/>
          <w:szCs w:val="16"/>
        </w:rPr>
      </w:pPr>
    </w:p>
    <w:p w14:paraId="4BA3911F" w14:textId="77777777" w:rsidR="00203904" w:rsidRPr="007122AB" w:rsidRDefault="00203904"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D033F22" w14:textId="77777777" w:rsidR="00203904" w:rsidRPr="007122AB" w:rsidRDefault="0020390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1463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декабря 1931 в Испании была принята республиканская конституция (2443,406).</w:t>
      </w:r>
    </w:p>
    <w:p w14:paraId="152DF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B30B2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декабря 1931 Испания провозглашена республикой (4962).</w:t>
      </w:r>
    </w:p>
    <w:p w14:paraId="55BF3D0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4B39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7BAB2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06646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10 декабря 1931 должен был быть готов И-5 М-22 со внесением в него всех изменений по результатам войсковых испытаний, который должен был стать эталоном для 21 завода. 10-15 планировались заводские испытания и с 15 - гос. испытания (352).</w:t>
      </w:r>
    </w:p>
    <w:p w14:paraId="7EB550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CFB8B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7ED027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856B58" w14:textId="77777777" w:rsidR="000F17FB" w:rsidRPr="007122AB" w:rsidRDefault="000F17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декабря 1931 г. Московский горком партии одобрил предложения Метростроя выстроить в качестве первой линии Мясницкий и </w:t>
      </w:r>
      <w:proofErr w:type="spellStart"/>
      <w:r w:rsidRPr="007122AB">
        <w:rPr>
          <w:rFonts w:ascii="Times New Roman" w:hAnsi="Times New Roman"/>
          <w:color w:val="000000" w:themeColor="text1"/>
          <w:sz w:val="16"/>
          <w:szCs w:val="16"/>
        </w:rPr>
        <w:t>Усачевский</w:t>
      </w:r>
      <w:proofErr w:type="spellEnd"/>
      <w:r w:rsidRPr="007122AB">
        <w:rPr>
          <w:rFonts w:ascii="Times New Roman" w:hAnsi="Times New Roman"/>
          <w:color w:val="000000" w:themeColor="text1"/>
          <w:sz w:val="16"/>
          <w:szCs w:val="16"/>
        </w:rPr>
        <w:t xml:space="preserve"> радиусы от Сокольников до Дворца Советов (7 км) и на двух коротких участках начать изыскательские работы открытого и закрытого типа. Собственно строительные работы предстояло развернуть в апреле 1932 г.{408}В середине декабря 1931 г.[40]на ул. Русакова, 13 у Митьковского виадука был заложен опытный участок строительства тоннеля по парижскому способу, позднее известный как шахта № 29. Даже если Каганович лично присутствовал при закладке, как об этом позже упоминал Николаи{409},начало метростроительства выглядело довольно буднично: «Тут достали первых семь рабочих. Где-то им купили полушубки и валенки, </w:t>
      </w:r>
      <w:proofErr w:type="spellStart"/>
      <w:r w:rsidRPr="007122AB">
        <w:rPr>
          <w:rFonts w:ascii="Times New Roman" w:hAnsi="Times New Roman"/>
          <w:color w:val="000000" w:themeColor="text1"/>
          <w:sz w:val="16"/>
          <w:szCs w:val="16"/>
        </w:rPr>
        <w:t>Метроснаба</w:t>
      </w:r>
      <w:proofErr w:type="spellEnd"/>
      <w:r w:rsidRPr="007122AB">
        <w:rPr>
          <w:rFonts w:ascii="Times New Roman" w:hAnsi="Times New Roman"/>
          <w:color w:val="000000" w:themeColor="text1"/>
          <w:sz w:val="16"/>
          <w:szCs w:val="16"/>
        </w:rPr>
        <w:t xml:space="preserve"> (организации снабжения при Метрострое. —Д.Н.)еще не было. Значит, отправили их копать. Жители прилегающих домов смотрели, что тут делается. Какой-то странный наклонный ход во дворе одного дома»{410}.</w:t>
      </w:r>
    </w:p>
    <w:p w14:paraId="6B740B6C" w14:textId="77777777" w:rsidR="000F17FB" w:rsidRPr="007122AB" w:rsidRDefault="000F17F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недостаточных средствах и отсутствии квалифицированной рабочей силы была начата проходка шахты с деревянными крепями и забутовкой стен камнем. Когда вскоре Каганович нанес визит на строительный объект, он задал много скептических вопросов и выразил сомнение в осуществимости замысла столь примитивными методами{411} (18299).</w:t>
      </w:r>
    </w:p>
    <w:p w14:paraId="5DE72332" w14:textId="77777777" w:rsidR="000F17FB" w:rsidRPr="007122AB" w:rsidRDefault="000F17FB" w:rsidP="007122AB">
      <w:pPr>
        <w:spacing w:after="0" w:line="240" w:lineRule="auto"/>
        <w:jc w:val="both"/>
        <w:rPr>
          <w:rFonts w:ascii="Times New Roman" w:hAnsi="Times New Roman"/>
          <w:color w:val="000000" w:themeColor="text1"/>
          <w:sz w:val="16"/>
          <w:szCs w:val="16"/>
        </w:rPr>
      </w:pPr>
    </w:p>
    <w:p w14:paraId="073E23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w:t>
      </w:r>
    </w:p>
    <w:p w14:paraId="75F187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Золото в Торгсине принималось во всех видах: в ломе, ювелирных, художественных, бытовых изделиях, монетах, слитках, песке (шлихт), самородках, утиле, даже в отходах, за исключением церковной утвари. Имущество церкви было национализировано, церковные предметы в частном владении считались краденными у государства и подлежали конфискации.</w:t>
      </w:r>
    </w:p>
    <w:p w14:paraId="4DD80F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это разнообразие форм золота уничтожалось. Приемщик-оценщик выламывал драгоценные камни, часовые и другие механизмы, эмаль, дерево, ткань, кость и любые другие вставки, самородки разбивал молотком. О технике приемки говорит и набор инструментов работников Торгсина: плоскогубцы (</w:t>
      </w:r>
      <w:proofErr w:type="spellStart"/>
      <w:r w:rsidRPr="007122AB">
        <w:rPr>
          <w:rFonts w:ascii="Times New Roman" w:hAnsi="Times New Roman"/>
          <w:color w:val="000000" w:themeColor="text1"/>
          <w:sz w:val="16"/>
          <w:szCs w:val="16"/>
        </w:rPr>
        <w:t>флахцанг</w:t>
      </w:r>
      <w:proofErr w:type="spellEnd"/>
      <w:r w:rsidRPr="007122AB">
        <w:rPr>
          <w:rFonts w:ascii="Times New Roman" w:hAnsi="Times New Roman"/>
          <w:color w:val="000000" w:themeColor="text1"/>
          <w:sz w:val="16"/>
          <w:szCs w:val="16"/>
        </w:rPr>
        <w:t>), круглогубцы (</w:t>
      </w:r>
      <w:proofErr w:type="spellStart"/>
      <w:r w:rsidRPr="007122AB">
        <w:rPr>
          <w:rFonts w:ascii="Times New Roman" w:hAnsi="Times New Roman"/>
          <w:color w:val="000000" w:themeColor="text1"/>
          <w:sz w:val="16"/>
          <w:szCs w:val="16"/>
        </w:rPr>
        <w:t>бихцанг</w:t>
      </w:r>
      <w:proofErr w:type="spellEnd"/>
      <w:r w:rsidRPr="007122AB">
        <w:rPr>
          <w:rFonts w:ascii="Times New Roman" w:hAnsi="Times New Roman"/>
          <w:color w:val="000000" w:themeColor="text1"/>
          <w:sz w:val="16"/>
          <w:szCs w:val="16"/>
        </w:rPr>
        <w:t>), кусачки (</w:t>
      </w:r>
      <w:proofErr w:type="spellStart"/>
      <w:r w:rsidRPr="007122AB">
        <w:rPr>
          <w:rFonts w:ascii="Times New Roman" w:hAnsi="Times New Roman"/>
          <w:color w:val="000000" w:themeColor="text1"/>
          <w:sz w:val="16"/>
          <w:szCs w:val="16"/>
        </w:rPr>
        <w:t>кнайфцанг</w:t>
      </w:r>
      <w:proofErr w:type="spellEnd"/>
      <w:r w:rsidRPr="007122AB">
        <w:rPr>
          <w:rFonts w:ascii="Times New Roman" w:hAnsi="Times New Roman"/>
          <w:color w:val="000000" w:themeColor="text1"/>
          <w:sz w:val="16"/>
          <w:szCs w:val="16"/>
        </w:rPr>
        <w:t>), магнит, отвертка часовая, напильники - треугольный и плоский (шабер), штихель, лупа, ножницы для металла и, наконец, - внимание! - наковальня, зубило и молоток на 4-6 кг веса для рубки больших слитков.</w:t>
      </w:r>
    </w:p>
    <w:p w14:paraId="74CE67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обезличенной куче лома уже не было семейных напутствий, передававшихся с кольцом прабабки от матери дочери или невестке, воспоминаний о последних беззаботных довоенных именинах, что навевало подаренное тогда мужем золотое колечко, или историй о подвигах прадедов в минувших войнах, рассказанных в их орденах. Отторгнутый от своих семей, золотой лом был свободен от человеческой памяти. Официально и вполне символично "лом" стал главной категорией в статистике учета золота в Торгсине, второй группой были монеты царского чекана ("чекан"). В кладовых Госбанка все переплавлялось в слитки, которые затем переправляли в Европу, главным образом в Германию, для продажи на мировом рынке. Взамен изымаемых из частного владения дореволюционных изделий из драгоценных металлов Ювелирное объединение </w:t>
      </w:r>
      <w:proofErr w:type="spellStart"/>
      <w:r w:rsidRPr="007122AB">
        <w:rPr>
          <w:rFonts w:ascii="Times New Roman" w:hAnsi="Times New Roman"/>
          <w:color w:val="000000" w:themeColor="text1"/>
          <w:sz w:val="16"/>
          <w:szCs w:val="16"/>
        </w:rPr>
        <w:t>Наркомвнуторга</w:t>
      </w:r>
      <w:proofErr w:type="spellEnd"/>
      <w:r w:rsidRPr="007122AB">
        <w:rPr>
          <w:rFonts w:ascii="Times New Roman" w:hAnsi="Times New Roman"/>
          <w:color w:val="000000" w:themeColor="text1"/>
          <w:sz w:val="16"/>
          <w:szCs w:val="16"/>
        </w:rPr>
        <w:t xml:space="preserve"> заполняло внутренний рынок современными советскими поделками из мельхиора, биметалла, легковесного серебра, искусственных и низкокачественных драгоценных камней.</w:t>
      </w:r>
    </w:p>
    <w:p w14:paraId="2D54B5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Процесс приемки ценностей был долгим, трудоемким и ответственным. Металл должен был пройти испытание. Для этого приемщик делал надрез напильником или глубокую царапину шилом или иглой. На место пореза капал азотной кислотой. Если реакции не было, то предмет золотой, если появлялось потемневшее пятно - серебряный, а если на месте разреза кислота начинала кипеть и показывалась зелень - медный. Убедившись, что предмет золотой, оценщик устанавливал его пробу, то есть содержание чистого золота в металле.</w:t>
      </w:r>
    </w:p>
    <w:p w14:paraId="25D5A6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Следующий этап - взвешивание. Инструкция предписывала тщательно выверить и очистить от пыли весы. Запрещалось в качестве разновеса использовать - видимо, в практике таких случаев хватало - монеты, спички и другие предметы, а только клейменые гирьки. Перед взвешиванием оценщик должен был удалить из изделия все постороннее, что не являлось драгоценным металлом: механизмы, всевозможные вставки, впайки других металлов. Из выломанных </w:t>
      </w:r>
      <w:proofErr w:type="spellStart"/>
      <w:r w:rsidRPr="007122AB">
        <w:rPr>
          <w:rFonts w:ascii="Times New Roman" w:hAnsi="Times New Roman"/>
          <w:color w:val="000000" w:themeColor="text1"/>
          <w:sz w:val="16"/>
          <w:szCs w:val="16"/>
        </w:rPr>
        <w:t>незолотых</w:t>
      </w:r>
      <w:proofErr w:type="spellEnd"/>
      <w:r w:rsidRPr="007122AB">
        <w:rPr>
          <w:rFonts w:ascii="Times New Roman" w:hAnsi="Times New Roman"/>
          <w:color w:val="000000" w:themeColor="text1"/>
          <w:sz w:val="16"/>
          <w:szCs w:val="16"/>
        </w:rPr>
        <w:t xml:space="preserve"> предметов государство также пыталось извлечь пользу. На совещании Ленинградской областной конторы Торгсина один из работников, например, советовал "обратить внимание на сбор мелких драгоценных камней и часовых механизмов, от которых отказываются сдатчики золота, необходимых для нашей промышленности".</w:t>
      </w:r>
    </w:p>
    <w:p w14:paraId="10730A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золота было и испытанием для пробирера, который за ошибки отвечал кошельком. "На днях я убедился, насколько сложно идет процесс приемки, - говорил на совещании у управляющего Ленинградской конторой один из директоров скупочного пункта. - Одна знакомая попросила меня принять ее без очереди, я дал пробиреру (кольцо) и остался посмотреть, что он делает. Он в семи местах пробовал пробированное обручальное кольцо - и на камне поскоблил, и по-всякому. Я спросил его - почему вы так смотрите, он отвечает: "Нам банк столько наговорил, что мы за все отвечаем, мы так напуганы, что иначе не можем принимать". Впрочем, попытка перестраховаться и отказ принять подозрительное золото могли стоить оценщику самого дорогого - продовольственного пайка.</w:t>
      </w:r>
    </w:p>
    <w:p w14:paraId="285C2B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Испытание золота было и испытанием для сдатчика. Можно только догадываться, что чувствовали люди, глядя на изрезанные, исколотые, разломанные семейные реликвии. Документы описывают случаи, когда люди, не доверившись одному оценщику, несли золото в другой скупочный пункт, и нередко оценки одного и того же предмета разными приемщиками расходились. Да и неудивительно: плохие весы, отсутствие гирь, просроченные реактивы. Приблизительность оценки и количество ошибок увеличивались при продвижении в глубинку, где не хватало инвентаря, реактивов и специалистов.</w:t>
      </w:r>
    </w:p>
    <w:p w14:paraId="72F47B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Инструкции по приему золота свидетельствуют, что государство боялось потерять даже пылинку золота. Стол приемщика по бокам имел бортики, "предохраняющие от возможного отскакивания на пол камней, пружин и др. предметов при взломе (так в инструкции) изделий", а также раструски золотой пыли. Со стороны клиента он был защищен стеклянной перегородкой, через которую сдатчик наблюдал работу оценщика. В правой плоскости крышки стола следовало вырезать отверстия, каждое для определенной пробы золота. Приняв золото, оценщик опускал его в соответствующее отверстие ящика, из которого уже не мог его достать. Ящик был опломбирован в течение всего рабочего дня. С левой стороны в крышке стола предписывалось сделать еще одно отверстие и под ним аналогичный опломбированный ящик, но для утиля (драгоценных и полудрагоценных камней, металлических отходов, бумаги от обтираемых реактивов, металлической пыли и других предметов без цены). Спиливание нужно было производить над специальным ящиком, дно которого покрывалось плотной белой бумагой. В конце рабочего дня оценщик должен был собрать золотую пыль, распыленную в результате испытания золота: смести со стола весь мусор в специальный ящик в столе, очистить щеткой все пылинки с рабочей одежды, "указать уборщику, от какого и до какого места самым аккуратным образом подмести пол и куда убрать весь собирающийся мусор", и даже тщательно вымыть руки в особом рукомойнике - </w:t>
      </w:r>
      <w:proofErr w:type="spellStart"/>
      <w:r w:rsidRPr="007122AB">
        <w:rPr>
          <w:rFonts w:ascii="Times New Roman" w:hAnsi="Times New Roman"/>
          <w:color w:val="000000" w:themeColor="text1"/>
          <w:sz w:val="16"/>
          <w:szCs w:val="16"/>
        </w:rPr>
        <w:t>вашбанке</w:t>
      </w:r>
      <w:proofErr w:type="spellEnd"/>
      <w:r w:rsidRPr="007122AB">
        <w:rPr>
          <w:rFonts w:ascii="Times New Roman" w:hAnsi="Times New Roman"/>
          <w:color w:val="000000" w:themeColor="text1"/>
          <w:sz w:val="16"/>
          <w:szCs w:val="16"/>
        </w:rPr>
        <w:t xml:space="preserve">. </w:t>
      </w:r>
    </w:p>
    <w:p w14:paraId="2825BB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Поверхность стола покрывалась стеклом, линолеумом или металлическим листом - материалами, не позволяющими застрять ни одной пылинке золота, а оценщик должен был работать в нарукавниках из клеенки. Золотоносный и другой ценный утиль сдавался старшему приемщику или заведующему, тот хранил его в несгораемом шкафу и раз в два месяца, предварительно взвесив и опломбировав ящик, сдавал в Управление драгоценных металлов и инвалюты Госбанка. Для того чтобы оценщик собирал утиль не за страх, а за совесть, ему полагалась премия - 10 рублей за каждый грамм выделенного из отходов чистого золота.</w:t>
      </w:r>
    </w:p>
    <w:p w14:paraId="4A8C3F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огромной стране "распыление" неоплаченного золота было значительным. Например, в 1933 году "припек", образовавшийся из неоплаченных людям излишков и отходов золота и серебра, составил 9 миллионов рублей, по курсу приемки это почти 7 тонн чистого золота!</w:t>
      </w:r>
    </w:p>
    <w:p w14:paraId="017715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погоне за золотом появился "скользящий пробирер" - приемщик-оценщик, выезжавший скупать золото у населения в районы, где не было Торгсина. В начальный период золото и серебро "против товаров Торгсина" скупали </w:t>
      </w:r>
      <w:proofErr w:type="spellStart"/>
      <w:r w:rsidRPr="007122AB">
        <w:rPr>
          <w:rFonts w:ascii="Times New Roman" w:hAnsi="Times New Roman"/>
          <w:color w:val="000000" w:themeColor="text1"/>
          <w:sz w:val="16"/>
          <w:szCs w:val="16"/>
        </w:rPr>
        <w:t>Мосторг</w:t>
      </w:r>
      <w:proofErr w:type="spellEnd"/>
      <w:r w:rsidRPr="007122AB">
        <w:rPr>
          <w:rFonts w:ascii="Times New Roman" w:hAnsi="Times New Roman"/>
          <w:color w:val="000000" w:themeColor="text1"/>
          <w:sz w:val="16"/>
          <w:szCs w:val="16"/>
        </w:rPr>
        <w:t xml:space="preserve"> и отделения Госбанка. Сам Торгсин имел сеть агентов, которые забирались в глухие районы частной старательской добычи в Сибири и Казахстане. Наживался на этом и частный капитал. Предприимчивые люди скупали золото в глухих деревнях и от своего имени сдавали в Торгсин. По признанию правления, обороты таких частников превышали обороты некоторых торговых точек Торгсина. Чтобы защитить себя от ОГПУ, частные скупщики порой легализовывали свою деятельность, заключив договор и став официальными агентами Торгсина по скупке с обязательством ежемесячно сдавать оговоренную сумму ценностей.</w:t>
      </w:r>
    </w:p>
    <w:p w14:paraId="50874E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скупке постоянно толпились очереди. Из Ленинграда, например, писали: "Золотая касса не может в короткий восьмичасовой срок пропустить всех желающих сдать золото. Больше 70-80 человек не пропустить, а желающих 100 человек, приходится их разбивать по дням. Многие говорят: "Я больше не приду". В крупных городах оценщики работали в две смены и практиковали "запись на сдачу". Со сдачей ценностей мытарства сдатчиков, однако, не кончались.</w:t>
      </w:r>
    </w:p>
    <w:p w14:paraId="71E18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Приняв ценности, оценщик в трех копиях выписывал квитанцию. Одну оставлял у себя, две другие посылал для проверки контролеру по приемке ценностей. Сдатчик же получал квиток - номерной ярлык, в народе прозванный "собачкой". Этимология этого слова потерялась.</w:t>
      </w:r>
    </w:p>
    <w:p w14:paraId="7423CA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Пока сдатчик "с собачкой" ждал в тесном и душном коридоре, контролер проверял, правильно ли назначена цена и произведен расчет. Затем вызывал притомившегося сдатчика, отбирал у него "собачку", а взамен вручал... квитанцию. Усталому сдатчику предстояло отправляться в третью очередь - в кассу, куда контролер под расписку отдавал оставшуюся у него копию квитанции. И только тогда сдатчик наконец-то получал деньги Торгсина. Форма "денег" с годами менялась. Вначале это были боны, или товарные ордера, коротко "ТОТ". Подделать ТОТ было несложно, поэтому в 1933 году ввели именные товарные книжки, именуемые заборными, которые состояли из отрывных талонов. При оплате кассир магазина срезал талоны на сумму совершенной покупки. Полностью отоваренные книжки оставались в магазине в "мертвой картотеке". В 1934 году товарные книжки образца 1933 года, так называемые купюрные, были аннулированы. Вместо них ввели товарные книжки нового образца и новый порядок отоваривания, при котором покупатели прикреплялись к определенному магазину.</w:t>
      </w:r>
    </w:p>
    <w:p w14:paraId="1C0AE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конце зимы - весной 1934 года в разных городах СССР на скупочных пунктах Торгсина появилось значительное количество крупных поддельных слитков золота низкой пробы. Боясь, что известие о фальсификации слитков вызовет массовый отказ оценщиков принимать золото, - видимо, сигналы об отказах уже начали поступать с мест, - Правление Торгсина спешно разослало на места письмо, в котором призывало оценщиков не избегать ответственности в определении пробы слитков. За необоснованный отказ принимать золото правление грозило оценщикам полным или частичным лишением пайка. РГАЭ. Ф. 4433. Оп. 1.</w:t>
      </w:r>
    </w:p>
    <w:p w14:paraId="69D411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1933 года двухсменная работа, например, была введена в 10 скупочных пунктах Ленинграда. ЛОГАВ. Ф. 1154. Оп. 3. Д. 59. Л. 261.</w:t>
      </w:r>
    </w:p>
    <w:p w14:paraId="07AFB7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Наибольший паек в размере 12 золотых рублей полагался приемщикам при обслуживании 4200 сдатчиков в месяц.</w:t>
      </w:r>
    </w:p>
    <w:p w14:paraId="7B0F96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Контролеры же, чтобы получить наибольший для них паек стоимостью 10 рублей, должны были "обработать" в 2 раза больше - 8400 сдатчиков в месяц (до 350 человек в день). При превышении высшей нормы оценщики и контролеры получали прибавку к зарплате. Наименьший паек стоимостью 6 золотых рублей должны были получать оценщики при обслуживании 2400 и меньше сдатчиков в месяц и контролеры при обслуживании 275 сдатчиков в день.</w:t>
      </w:r>
    </w:p>
    <w:p w14:paraId="2001AF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Вот, например, данные по Ленинградской конторе. Скупка бытового золота началась в конце декабря 1931 года. В январе 1932 года контора скупила золота на 61 тыс., в феврале на 147 тыс., в марте на 173 тыс., в апреле на 207 тыс. рублей. Директивный план скупки золота на апрель был выполнен на 244%! ЛОГАВ. Ф. 1154. Оп. 2. Д. 19. Л. 34, 55.</w:t>
      </w:r>
    </w:p>
    <w:p w14:paraId="7BB35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 Более трети этого плана - 14 миллионов рублей - должно было быть обеспечено скупкой бытового золота. Начальный план на 1932 год также предусматривал получение Торгсином чекана и инвалюты на сумму 13 миллионов, переводов на сумму 10 миллионов и приход от портовой торговли в размере 3 миллионов рублей. РГАЭ. Ф. 4433. Оп. 1. Д. 19. Л. 135.</w:t>
      </w:r>
    </w:p>
    <w:p w14:paraId="2A5C4A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том, что золото старого чекана в значительной степени поступало из "глубинных пунктов" от крестьян, например, говорится в "Объяснительной записке к плану привлечения ценностей на 1935 год" ( РГАЭ. Ф. 4433. Оп. 1. Д. 140. Л. 76), а также в "Анализе каналов притока валюты в Торгсин", подготовленном в феврале 1934 года И. </w:t>
      </w:r>
      <w:proofErr w:type="spellStart"/>
      <w:r w:rsidRPr="007122AB">
        <w:rPr>
          <w:rFonts w:ascii="Times New Roman" w:hAnsi="Times New Roman"/>
          <w:color w:val="000000" w:themeColor="text1"/>
          <w:sz w:val="16"/>
          <w:szCs w:val="16"/>
        </w:rPr>
        <w:t>Орбеловым</w:t>
      </w:r>
      <w:proofErr w:type="spellEnd"/>
      <w:r w:rsidRPr="007122AB">
        <w:rPr>
          <w:rFonts w:ascii="Times New Roman" w:hAnsi="Times New Roman"/>
          <w:color w:val="000000" w:themeColor="text1"/>
          <w:sz w:val="16"/>
          <w:szCs w:val="16"/>
        </w:rPr>
        <w:t xml:space="preserve"> (РГАЭ.</w:t>
      </w:r>
    </w:p>
    <w:p w14:paraId="31B4D9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9 месяцев 1932 года Торгсин скупил золота на 17,148 млн рублей. РГАЭ. Ф. 4433. Оп. 1. Д. 66.</w:t>
      </w:r>
    </w:p>
    <w:p w14:paraId="0202E9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общей сложности украинские конторы (Харьковская, Киевская, Днепропетровская, Одесская, Мариупольская и Винницкая) за 9 месяцев 1932 года скупили золота на 3,5 млн рублей, в том числе лома на 2,3 и чекана на 1,2 млн рублей. Украина обеспечила более пятой части скупки золота по стране за этот период. РГАЭ. Ф. 4433. Оп. 1. Д. 66.</w:t>
      </w:r>
    </w:p>
    <w:p w14:paraId="44BA0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РГАЭ. Ф. 4433. Оп. 1. Д. 66. Л. 98.</w:t>
      </w:r>
    </w:p>
    <w:p w14:paraId="3040CF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гражданские отрасли золотодобывающей промышленности намыли 36,3 т чистого золота. Гулаговский Дальстрой, который только становился на ноги, дал еще 0,5 т. Гражданская золотодобыча высчитана мной на основе следующих данных: добыча золота в 1932 году составила 129,1% от добычи 1930 года (28,1 т). РГАЭ. Ф. 8153. Оп. 1. Д. 53. Л. 16; Ф. 8154. Оп. 1. Д. 266. Л. 5. Данные по Дальстрою: Широков А. И. Дальстрой: Предыстория и первое десятилетие. Магадан. 2000.</w:t>
      </w:r>
    </w:p>
    <w:p w14:paraId="4159F0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скупки ценностей на 1933 год по остальным конторам: Восточная Сибирь - 3 млн; Западная Сибирь - 2,7 млн; Дальневосточная - 2,5 млн; Западная - 2,4 млн; Уральская, ЦЧО - по 2,3 млн; Нижегородская, Башкирская, Казахская - по 2 млн; Нижняя Волга - 1,8 млн; Северная, Татарская, Средняя Волга, Крым, Узбекская - по 1,5 млн; Туркменская - 1 млн; Якутия - 0,5 млн руб. РГАЭ. Ф. 4433. Оп. 1. Д. 66. Л. 134,146 (11458).</w:t>
      </w:r>
    </w:p>
    <w:p w14:paraId="3278E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4D8F12"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10 декабря </w:t>
      </w:r>
      <w:r w:rsidRPr="007122AB">
        <w:rPr>
          <w:rFonts w:ascii="Times New Roman" w:hAnsi="Times New Roman"/>
          <w:color w:val="000000" w:themeColor="text1"/>
          <w:sz w:val="16"/>
          <w:szCs w:val="16"/>
        </w:rPr>
        <w:t>в 1931 году ОГПУ докладывало руководству страны: "1931 год характеризуется... выявлением нового типа контрреволюционных формирований интеллигенции, для которых характерна... сознательная, глубокая зашифровка антисоветской деятельности под маской "идеологической нетерпимости". Режиссер Берсенев говорил: "Подумайте, какие темы в кино, в искусстве - тракторостроение, дизелестроение и подобная гадость" (14856).</w:t>
      </w:r>
    </w:p>
    <w:p w14:paraId="31767E2E"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29D37FFB" w14:textId="77777777" w:rsidR="000C514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1E18EC9" w14:textId="77777777" w:rsidR="000C5145" w:rsidRPr="007122AB" w:rsidRDefault="000C514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2F7D40"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 xml:space="preserve">10 декабря </w:t>
      </w:r>
      <w:r w:rsidRPr="007122AB">
        <w:rPr>
          <w:rFonts w:ascii="Times New Roman" w:hAnsi="Times New Roman"/>
          <w:color w:val="000000" w:themeColor="text1"/>
          <w:sz w:val="16"/>
          <w:szCs w:val="16"/>
        </w:rPr>
        <w:t>в 1931 году первый полёт учебного «</w:t>
      </w:r>
      <w:proofErr w:type="spellStart"/>
      <w:r w:rsidRPr="007122AB">
        <w:rPr>
          <w:rFonts w:ascii="Times New Roman" w:hAnsi="Times New Roman"/>
          <w:color w:val="000000" w:themeColor="text1"/>
          <w:sz w:val="16"/>
          <w:szCs w:val="16"/>
        </w:rPr>
        <w:t>Blackburn</w:t>
      </w:r>
      <w:proofErr w:type="spellEnd"/>
      <w:r w:rsidRPr="007122AB">
        <w:rPr>
          <w:rFonts w:ascii="Times New Roman" w:hAnsi="Times New Roman"/>
          <w:color w:val="000000" w:themeColor="text1"/>
          <w:sz w:val="16"/>
          <w:szCs w:val="16"/>
        </w:rPr>
        <w:t>» «B-2» (14856).</w:t>
      </w:r>
    </w:p>
    <w:p w14:paraId="79E4DDFB"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1F736FDA" w14:textId="77777777" w:rsidR="00A244C1" w:rsidRPr="007122AB" w:rsidRDefault="00A244C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 декабря 1931 - Первый полёт в Великобритании учебного </w:t>
      </w:r>
      <w:proofErr w:type="spellStart"/>
      <w:r w:rsidRPr="007122AB">
        <w:rPr>
          <w:rFonts w:ascii="Times New Roman" w:hAnsi="Times New Roman"/>
          <w:color w:val="000000" w:themeColor="text1"/>
          <w:sz w:val="16"/>
          <w:szCs w:val="16"/>
        </w:rPr>
        <w:t>Blackburn</w:t>
      </w:r>
      <w:proofErr w:type="spellEnd"/>
      <w:r w:rsidRPr="007122AB">
        <w:rPr>
          <w:rFonts w:ascii="Times New Roman" w:hAnsi="Times New Roman"/>
          <w:color w:val="000000" w:themeColor="text1"/>
          <w:sz w:val="16"/>
          <w:szCs w:val="16"/>
        </w:rPr>
        <w:t xml:space="preserve"> B-2 (22710).</w:t>
      </w:r>
    </w:p>
    <w:p w14:paraId="2A96C00F" w14:textId="77777777" w:rsidR="00A244C1" w:rsidRPr="007122AB" w:rsidRDefault="00A244C1" w:rsidP="007122AB">
      <w:pPr>
        <w:spacing w:after="0" w:line="240" w:lineRule="auto"/>
        <w:jc w:val="both"/>
        <w:rPr>
          <w:rFonts w:ascii="Times New Roman" w:hAnsi="Times New Roman"/>
          <w:color w:val="000000" w:themeColor="text1"/>
          <w:sz w:val="16"/>
          <w:szCs w:val="16"/>
        </w:rPr>
      </w:pPr>
    </w:p>
    <w:p w14:paraId="0D835D20" w14:textId="77777777" w:rsidR="00A244C1" w:rsidRPr="007122AB" w:rsidRDefault="00A244C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3983DC4" w14:textId="77777777" w:rsidR="00A244C1" w:rsidRPr="007122AB" w:rsidRDefault="00A244C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ED3AF7" w14:textId="77777777" w:rsidR="00A244C1" w:rsidRPr="007122AB" w:rsidRDefault="00A244C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11 декабря 1931 г. Де </w:t>
      </w:r>
      <w:proofErr w:type="spellStart"/>
      <w:r w:rsidRPr="007122AB">
        <w:rPr>
          <w:rFonts w:ascii="Times New Roman" w:hAnsi="Times New Roman"/>
          <w:color w:val="000000" w:themeColor="text1"/>
          <w:sz w:val="16"/>
          <w:szCs w:val="16"/>
        </w:rPr>
        <w:t>Бернарди</w:t>
      </w:r>
      <w:proofErr w:type="spellEnd"/>
      <w:r w:rsidRPr="007122AB">
        <w:rPr>
          <w:rFonts w:ascii="Times New Roman" w:hAnsi="Times New Roman"/>
          <w:color w:val="000000" w:themeColor="text1"/>
          <w:sz w:val="16"/>
          <w:szCs w:val="16"/>
        </w:rPr>
        <w:t xml:space="preserve"> писал советскому военному атташе в Италии В.С. </w:t>
      </w:r>
      <w:proofErr w:type="spellStart"/>
      <w:r w:rsidRPr="007122AB">
        <w:rPr>
          <w:rFonts w:ascii="Times New Roman" w:hAnsi="Times New Roman"/>
          <w:color w:val="000000" w:themeColor="text1"/>
          <w:sz w:val="16"/>
          <w:szCs w:val="16"/>
        </w:rPr>
        <w:t>Трудолюбову</w:t>
      </w:r>
      <w:proofErr w:type="spellEnd"/>
      <w:r w:rsidRPr="007122AB">
        <w:rPr>
          <w:rFonts w:ascii="Times New Roman" w:hAnsi="Times New Roman"/>
          <w:color w:val="000000" w:themeColor="text1"/>
          <w:sz w:val="16"/>
          <w:szCs w:val="16"/>
        </w:rPr>
        <w:t>, где приводит смету по перелету в СССР на Ca.97 на 4.950 лир, а также предполагаемый маршрут180: Милан-Инсбрук-</w:t>
      </w:r>
      <w:proofErr w:type="spellStart"/>
      <w:r w:rsidRPr="007122AB">
        <w:rPr>
          <w:rFonts w:ascii="Times New Roman" w:hAnsi="Times New Roman"/>
          <w:color w:val="000000" w:themeColor="text1"/>
          <w:sz w:val="16"/>
          <w:szCs w:val="16"/>
        </w:rPr>
        <w:t>ПрагаВроцлав</w:t>
      </w:r>
      <w:proofErr w:type="spellEnd"/>
      <w:r w:rsidRPr="007122AB">
        <w:rPr>
          <w:rFonts w:ascii="Times New Roman" w:hAnsi="Times New Roman"/>
          <w:color w:val="000000" w:themeColor="text1"/>
          <w:sz w:val="16"/>
          <w:szCs w:val="16"/>
        </w:rPr>
        <w:t xml:space="preserve">-Варшава-Минск-Смоленск-Москва, всего 2340 км. В экипаж должны были входить, помимо Де </w:t>
      </w:r>
      <w:proofErr w:type="spellStart"/>
      <w:r w:rsidRPr="007122AB">
        <w:rPr>
          <w:rFonts w:ascii="Times New Roman" w:hAnsi="Times New Roman"/>
          <w:color w:val="000000" w:themeColor="text1"/>
          <w:sz w:val="16"/>
          <w:szCs w:val="16"/>
        </w:rPr>
        <w:t>Бернарди</w:t>
      </w:r>
      <w:proofErr w:type="spellEnd"/>
      <w:r w:rsidRPr="007122AB">
        <w:rPr>
          <w:rFonts w:ascii="Times New Roman" w:hAnsi="Times New Roman"/>
          <w:color w:val="000000" w:themeColor="text1"/>
          <w:sz w:val="16"/>
          <w:szCs w:val="16"/>
        </w:rPr>
        <w:t>, коммерческий представитель фирмы «</w:t>
      </w:r>
      <w:proofErr w:type="spellStart"/>
      <w:r w:rsidRPr="007122AB">
        <w:rPr>
          <w:rFonts w:ascii="Times New Roman" w:hAnsi="Times New Roman"/>
          <w:color w:val="000000" w:themeColor="text1"/>
          <w:sz w:val="16"/>
          <w:szCs w:val="16"/>
        </w:rPr>
        <w:t>Caproni</w:t>
      </w:r>
      <w:proofErr w:type="spellEnd"/>
      <w:r w:rsidRPr="007122AB">
        <w:rPr>
          <w:rFonts w:ascii="Times New Roman" w:hAnsi="Times New Roman"/>
          <w:color w:val="000000" w:themeColor="text1"/>
          <w:sz w:val="16"/>
          <w:szCs w:val="16"/>
        </w:rPr>
        <w:t>» и механик (21410).</w:t>
      </w:r>
    </w:p>
    <w:p w14:paraId="2AFBF6D7" w14:textId="77777777" w:rsidR="00A244C1" w:rsidRPr="007122AB" w:rsidRDefault="00A244C1" w:rsidP="007122AB">
      <w:pPr>
        <w:spacing w:after="0" w:line="240" w:lineRule="auto"/>
        <w:jc w:val="both"/>
        <w:rPr>
          <w:rFonts w:ascii="Times New Roman" w:hAnsi="Times New Roman"/>
          <w:color w:val="000000" w:themeColor="text1"/>
          <w:sz w:val="16"/>
          <w:szCs w:val="16"/>
        </w:rPr>
      </w:pPr>
    </w:p>
    <w:p w14:paraId="5C24EF4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FFD466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828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декабря 1931 г. постановлением СНК было утверждено Положение о Регистре СССР (3898).</w:t>
      </w:r>
    </w:p>
    <w:p w14:paraId="63822F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62F7D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3CAD24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6F14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декабря 1931 г. Главное управление рабоче-крестьянской милиции НКВД РСФСР впервые утверждает типовые "Правила уличного движения", на основе которых местные Советы разработали и ввели правила уличного движения на своей территории (10303).</w:t>
      </w:r>
    </w:p>
    <w:p w14:paraId="71737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E08A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декабря 1931 приказом начальника Главного управления рабоче-крестьянской милиции в СССР утверждены типовые Правила уличного движения (11275).</w:t>
      </w:r>
    </w:p>
    <w:p w14:paraId="1F36B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78D75A" w14:textId="77777777" w:rsidR="000C5145" w:rsidRPr="007122AB" w:rsidRDefault="000C5145"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11 декабря</w:t>
      </w:r>
      <w:r w:rsidRPr="007122AB">
        <w:rPr>
          <w:rFonts w:ascii="Times New Roman" w:hAnsi="Times New Roman"/>
          <w:color w:val="000000" w:themeColor="text1"/>
          <w:sz w:val="16"/>
          <w:szCs w:val="16"/>
        </w:rPr>
        <w:t xml:space="preserve"> в 1931 году в СССР для обеспечения безопасности пешеходов и автомобилистов принимаются первые правила уличного движения (14857).</w:t>
      </w:r>
    </w:p>
    <w:p w14:paraId="63EA409B" w14:textId="77777777" w:rsidR="000C5145" w:rsidRPr="007122AB" w:rsidRDefault="000C5145" w:rsidP="007122AB">
      <w:pPr>
        <w:spacing w:after="0" w:line="240" w:lineRule="auto"/>
        <w:jc w:val="both"/>
        <w:rPr>
          <w:rFonts w:ascii="Times New Roman" w:hAnsi="Times New Roman"/>
          <w:color w:val="000000" w:themeColor="text1"/>
          <w:sz w:val="16"/>
          <w:szCs w:val="16"/>
        </w:rPr>
      </w:pPr>
    </w:p>
    <w:p w14:paraId="2CBD5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11 и 17 декабря 1931. Из протокола заседания Политбюро № 79, 1931 г.</w:t>
      </w:r>
    </w:p>
    <w:p w14:paraId="7754BB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затоваривании и перевозке товаров без надлежащей тары и упаковки</w:t>
      </w:r>
    </w:p>
    <w:p w14:paraId="08B6E6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По текстильному объединению Центросоюза: </w:t>
      </w:r>
    </w:p>
    <w:p w14:paraId="6BC3C2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имеется затоваривание по платкам на 536 тыс. руб.; </w:t>
      </w:r>
    </w:p>
    <w:p w14:paraId="500FE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отправка платков на периферию в массовом порядке производилась без тары, путем простой навалки в вагоны, что привело к хищению и порче платков. </w:t>
      </w:r>
    </w:p>
    <w:p w14:paraId="0C7CB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По кондитерскому объединению </w:t>
      </w:r>
      <w:proofErr w:type="spellStart"/>
      <w:r w:rsidRPr="007122AB">
        <w:rPr>
          <w:rFonts w:ascii="Times New Roman" w:hAnsi="Times New Roman"/>
          <w:color w:val="000000" w:themeColor="text1"/>
          <w:sz w:val="16"/>
          <w:szCs w:val="16"/>
        </w:rPr>
        <w:t>Наркомснаба</w:t>
      </w:r>
      <w:proofErr w:type="spellEnd"/>
      <w:r w:rsidRPr="007122AB">
        <w:rPr>
          <w:rFonts w:ascii="Times New Roman" w:hAnsi="Times New Roman"/>
          <w:color w:val="000000" w:themeColor="text1"/>
          <w:sz w:val="16"/>
          <w:szCs w:val="16"/>
        </w:rPr>
        <w:t xml:space="preserve"> РСФСР. Констатировать, что с июля 1931 года перевозка кондитерских изделий кондитерским объединением </w:t>
      </w:r>
      <w:proofErr w:type="spellStart"/>
      <w:r w:rsidRPr="007122AB">
        <w:rPr>
          <w:rFonts w:ascii="Times New Roman" w:hAnsi="Times New Roman"/>
          <w:color w:val="000000" w:themeColor="text1"/>
          <w:sz w:val="16"/>
          <w:szCs w:val="16"/>
        </w:rPr>
        <w:t>Наркомснаба</w:t>
      </w:r>
      <w:proofErr w:type="spellEnd"/>
      <w:r w:rsidRPr="007122AB">
        <w:rPr>
          <w:rFonts w:ascii="Times New Roman" w:hAnsi="Times New Roman"/>
          <w:color w:val="000000" w:themeColor="text1"/>
          <w:sz w:val="16"/>
          <w:szCs w:val="16"/>
        </w:rPr>
        <w:t xml:space="preserve"> производилась в мягкой таре (мешках) и даже в порядке простой навалки в вагоны, в результате чего печенье превращалось в труху и вновь отправлялось на фабрики для переработки, а конфеты превращались в сплошную массу... Поручить т. </w:t>
      </w:r>
      <w:proofErr w:type="spellStart"/>
      <w:r w:rsidRPr="007122AB">
        <w:rPr>
          <w:rFonts w:ascii="Times New Roman" w:hAnsi="Times New Roman"/>
          <w:color w:val="000000" w:themeColor="text1"/>
          <w:sz w:val="16"/>
          <w:szCs w:val="16"/>
        </w:rPr>
        <w:t>Анцеловичу</w:t>
      </w:r>
      <w:proofErr w:type="spellEnd"/>
      <w:r w:rsidRPr="007122AB">
        <w:rPr>
          <w:rFonts w:ascii="Times New Roman" w:hAnsi="Times New Roman"/>
          <w:color w:val="000000" w:themeColor="text1"/>
          <w:sz w:val="16"/>
          <w:szCs w:val="16"/>
        </w:rPr>
        <w:t xml:space="preserve"> дополнительно расследовать факт отгрузки кондитерских изделий без тары фабрикой "Красный Октябрь" (Москва). </w:t>
      </w:r>
    </w:p>
    <w:p w14:paraId="270AB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По объединению </w:t>
      </w:r>
      <w:proofErr w:type="spellStart"/>
      <w:r w:rsidRPr="007122AB">
        <w:rPr>
          <w:rFonts w:ascii="Times New Roman" w:hAnsi="Times New Roman"/>
          <w:color w:val="000000" w:themeColor="text1"/>
          <w:sz w:val="16"/>
          <w:szCs w:val="16"/>
        </w:rPr>
        <w:t>Наркомснаба</w:t>
      </w:r>
      <w:proofErr w:type="spellEnd"/>
      <w:r w:rsidRPr="007122AB">
        <w:rPr>
          <w:rFonts w:ascii="Times New Roman" w:hAnsi="Times New Roman"/>
          <w:color w:val="000000" w:themeColor="text1"/>
          <w:sz w:val="16"/>
          <w:szCs w:val="16"/>
        </w:rPr>
        <w:t xml:space="preserve"> СССР "</w:t>
      </w:r>
      <w:proofErr w:type="spellStart"/>
      <w:r w:rsidRPr="007122AB">
        <w:rPr>
          <w:rFonts w:ascii="Times New Roman" w:hAnsi="Times New Roman"/>
          <w:color w:val="000000" w:themeColor="text1"/>
          <w:sz w:val="16"/>
          <w:szCs w:val="16"/>
        </w:rPr>
        <w:t>Союзконсерв</w:t>
      </w:r>
      <w:proofErr w:type="spellEnd"/>
      <w:r w:rsidRPr="007122AB">
        <w:rPr>
          <w:rFonts w:ascii="Times New Roman" w:hAnsi="Times New Roman"/>
          <w:color w:val="000000" w:themeColor="text1"/>
          <w:sz w:val="16"/>
          <w:szCs w:val="16"/>
        </w:rPr>
        <w:t xml:space="preserve">". Констатировать: </w:t>
      </w:r>
    </w:p>
    <w:p w14:paraId="622044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затоваривание на складах "</w:t>
      </w:r>
      <w:proofErr w:type="spellStart"/>
      <w:r w:rsidRPr="007122AB">
        <w:rPr>
          <w:rFonts w:ascii="Times New Roman" w:hAnsi="Times New Roman"/>
          <w:color w:val="000000" w:themeColor="text1"/>
          <w:sz w:val="16"/>
          <w:szCs w:val="16"/>
        </w:rPr>
        <w:t>Союзконсерва</w:t>
      </w:r>
      <w:proofErr w:type="spellEnd"/>
      <w:r w:rsidRPr="007122AB">
        <w:rPr>
          <w:rFonts w:ascii="Times New Roman" w:hAnsi="Times New Roman"/>
          <w:color w:val="000000" w:themeColor="text1"/>
          <w:sz w:val="16"/>
          <w:szCs w:val="16"/>
        </w:rPr>
        <w:t xml:space="preserve">" в размере 25 млн банок; </w:t>
      </w:r>
    </w:p>
    <w:p w14:paraId="0AFA6D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преступно-небрежную задержку разнарядок по консервным заводам для отправки консервов на периферию; </w:t>
      </w:r>
    </w:p>
    <w:p w14:paraId="44454C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погрузку и перевозку консервов без надлежащей тары в порядке простой навалки в вагоны, что привело к массовому хищению и порче консервов. </w:t>
      </w:r>
    </w:p>
    <w:p w14:paraId="31A45D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По мыловаренному парфюмерному объединению ВСНХ РСФСР. Констатировать затоваривание парфюмерных изделий на 25 млн руб. сверх лимита, основными причинами которого являются высокие цены, недоброкачественная упаковка (большая, грубая посуда и т. п.) и отсутствие надлежащей работы по продвижению этих товаров... </w:t>
      </w:r>
    </w:p>
    <w:p w14:paraId="09ABEB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По швейному объединению Центросоюза. Констатировать, что на московской базе швейного объединения Центросоюза имеется затоваривание в 4 млн руб. Наряду с этим считать установленными массовые случаи перевозки готового платья как по железной дороге, так и в порядке внутригородских перевозок без тары, простым навалом в вагоны и грузовики... (11652).</w:t>
      </w:r>
    </w:p>
    <w:p w14:paraId="23768C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F066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Между 11 и 17 декабря 1931. Из протокола заседания Политбюро № 79, 1931 г.</w:t>
      </w:r>
    </w:p>
    <w:p w14:paraId="4299D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развитии коммунально-жилищного хозяйства Ленинграда </w:t>
      </w:r>
    </w:p>
    <w:p w14:paraId="22E4AC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Утвердить принятую комиссией тов. Молотова основную директиву о подтягивании развития коммунального и жилищного строительства Ленинграда к Москве с отнесением Москвы и Ленинграда в особую первоочередную группу... </w:t>
      </w:r>
    </w:p>
    <w:p w14:paraId="39B16E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Разрешить ЛК (Ленинградский комитет ВКП(б).— "Власть") для нужд коммунально-жилищного хозяйства привлечь из-за границы иностранных инженеров, техников и рабочих на началах безвалютного расчета, до 100 человек... </w:t>
      </w:r>
    </w:p>
    <w:p w14:paraId="66EE5D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Канализация. </w:t>
      </w:r>
    </w:p>
    <w:p w14:paraId="6182D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Учитывая техническую устарелость (47% деревянной), изношенность и недостаточность канализационной сети, считать необходимым: </w:t>
      </w:r>
    </w:p>
    <w:p w14:paraId="743A83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 Закончить сооружение основной магистрали и присоединение к домам Василеостровской канализации. </w:t>
      </w:r>
    </w:p>
    <w:p w14:paraId="03D8B4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 Произвести прокладку бетонной канализации взамен пришедшей в негодность деревянной и проложить новую в районах жилстроительства. </w:t>
      </w:r>
    </w:p>
    <w:p w14:paraId="2B9038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Бани и прачечные. </w:t>
      </w:r>
    </w:p>
    <w:p w14:paraId="56D5AA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Признавая недостаточность банно-прачечного хозяйства, предложить ЛК и Ленсовету осуществить в 1932 году строительство пяти бань и трех банно-прачечных комбинатов с пропускной способностью бань до 400 человек каждая, а также привести в надлежащее состояние имеющееся банное хозяйство. Одновременно принять меры к развитию домовых прачечных в старом жилфонде, и особенно при осуществлении нового жилого строительства (11652).</w:t>
      </w:r>
    </w:p>
    <w:p w14:paraId="5DFCA1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C6505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604C2E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B58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декабря 1931 Британский парламент принял Вестминстерский статут, провозгласивший суверенитет доминионов во внутренних и внешних делах (3186).</w:t>
      </w:r>
    </w:p>
    <w:p w14:paraId="2144D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4209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декабря 1931 Япония отказалась от золотого обеспечения свой валюты (3907,168).</w:t>
      </w:r>
    </w:p>
    <w:p w14:paraId="4873A5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7A21C10" w14:textId="77777777" w:rsidR="00987BB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11B5A7E" w14:textId="77777777" w:rsidR="00987BB5" w:rsidRPr="007122AB" w:rsidRDefault="00987BB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16B74F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12 декабря 1931 </w:t>
      </w:r>
      <w:r w:rsidRPr="007122AB">
        <w:rPr>
          <w:rFonts w:ascii="Times New Roman" w:hAnsi="Times New Roman"/>
          <w:color w:val="000000" w:themeColor="text1"/>
          <w:sz w:val="16"/>
          <w:szCs w:val="16"/>
        </w:rPr>
        <w:t>СНК принял постановление «О Всесоюзном комитете по стандартизации» (12265).</w:t>
      </w:r>
    </w:p>
    <w:p w14:paraId="2272A50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3320F6E" w14:textId="77777777" w:rsidR="00332C4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5286BB89" w14:textId="77777777" w:rsidR="00332C4C" w:rsidRPr="007122AB" w:rsidRDefault="00332C4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D5690A"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декабря 1931 г. в Алма-Ате прошел предпоследний этап оформления поступления советских лётчиков на службу в китайскую авиацию. Представителю Синьцзянского Пра</w:t>
      </w:r>
      <w:r w:rsidRPr="007122AB">
        <w:rPr>
          <w:rFonts w:ascii="Times New Roman" w:hAnsi="Times New Roman"/>
          <w:color w:val="000000" w:themeColor="text1"/>
          <w:sz w:val="16"/>
          <w:szCs w:val="16"/>
        </w:rPr>
        <w:softHyphen/>
        <w:t xml:space="preserve">вительства — Генеральному консулу в Ташкенте Моу </w:t>
      </w:r>
      <w:proofErr w:type="spellStart"/>
      <w:r w:rsidRPr="007122AB">
        <w:rPr>
          <w:rFonts w:ascii="Times New Roman" w:hAnsi="Times New Roman"/>
          <w:color w:val="000000" w:themeColor="text1"/>
          <w:sz w:val="16"/>
          <w:szCs w:val="16"/>
        </w:rPr>
        <w:t>Вейтуну</w:t>
      </w:r>
      <w:proofErr w:type="spellEnd"/>
      <w:r w:rsidRPr="007122AB">
        <w:rPr>
          <w:rFonts w:ascii="Times New Roman" w:hAnsi="Times New Roman"/>
          <w:color w:val="000000" w:themeColor="text1"/>
          <w:sz w:val="16"/>
          <w:szCs w:val="16"/>
        </w:rPr>
        <w:t xml:space="preserve"> передали заявления авиа</w:t>
      </w:r>
      <w:r w:rsidRPr="007122AB">
        <w:rPr>
          <w:rFonts w:ascii="Times New Roman" w:hAnsi="Times New Roman"/>
          <w:color w:val="000000" w:themeColor="text1"/>
          <w:sz w:val="16"/>
          <w:szCs w:val="16"/>
        </w:rPr>
        <w:softHyphen/>
        <w:t>торов с условиями приёма. Вместе с вышеупомянутыми там фигурировали: оплата транспортных расходов Москва — Урумчи и обратно (билеты, суточные, гостиницы), подъёмные (по месячному окладу), оплаченный месячный отпуск с полной компенсаци</w:t>
      </w:r>
      <w:r w:rsidRPr="007122AB">
        <w:rPr>
          <w:rFonts w:ascii="Times New Roman" w:hAnsi="Times New Roman"/>
          <w:color w:val="000000" w:themeColor="text1"/>
          <w:sz w:val="16"/>
          <w:szCs w:val="16"/>
        </w:rPr>
        <w:softHyphen/>
        <w:t>ей при невозможности его предоставить. Местные власти также обеспечивали лётчиков соответствующими помещениями и транспортом по служебным делам, предоставляли комплект лётной одежды (кожаное пальто на меху, шлем, перчатки, очки и сапоги). Окон</w:t>
      </w:r>
      <w:r w:rsidRPr="007122AB">
        <w:rPr>
          <w:rFonts w:ascii="Times New Roman" w:hAnsi="Times New Roman"/>
          <w:color w:val="000000" w:themeColor="text1"/>
          <w:sz w:val="16"/>
          <w:szCs w:val="16"/>
        </w:rPr>
        <w:softHyphen/>
        <w:t>чательно подписать контракты планировали в Урумчи. Генконсулу в Алма-Ате сообщи</w:t>
      </w:r>
      <w:r w:rsidRPr="007122AB">
        <w:rPr>
          <w:rFonts w:ascii="Times New Roman" w:hAnsi="Times New Roman"/>
          <w:color w:val="000000" w:themeColor="text1"/>
          <w:sz w:val="16"/>
          <w:szCs w:val="16"/>
        </w:rPr>
        <w:softHyphen/>
        <w:t>ли адреса семей для пересылки жалованья в советской валюте (это была его обязан</w:t>
      </w:r>
      <w:r w:rsidRPr="007122AB">
        <w:rPr>
          <w:rFonts w:ascii="Times New Roman" w:hAnsi="Times New Roman"/>
          <w:color w:val="000000" w:themeColor="text1"/>
          <w:sz w:val="16"/>
          <w:szCs w:val="16"/>
        </w:rPr>
        <w:softHyphen/>
        <w:t xml:space="preserve">ность), а он передал лётчикам подъемные (2950 руб.), в том числе и на экипировку. Но за деньги в СССР ничего не продавали, и НКИД запросил четыре комплекта лётной спецодежды в УВВС, особо подчеркнув, «что </w:t>
      </w:r>
      <w:proofErr w:type="spellStart"/>
      <w:r w:rsidRPr="007122AB">
        <w:rPr>
          <w:rFonts w:ascii="Times New Roman" w:hAnsi="Times New Roman"/>
          <w:color w:val="000000" w:themeColor="text1"/>
          <w:sz w:val="16"/>
          <w:szCs w:val="16"/>
        </w:rPr>
        <w:t>Наркоминдел</w:t>
      </w:r>
      <w:proofErr w:type="spellEnd"/>
      <w:r w:rsidRPr="007122AB">
        <w:rPr>
          <w:rFonts w:ascii="Times New Roman" w:hAnsi="Times New Roman"/>
          <w:color w:val="000000" w:themeColor="text1"/>
          <w:sz w:val="16"/>
          <w:szCs w:val="16"/>
        </w:rPr>
        <w:t>... не имеет возможности оп</w:t>
      </w:r>
      <w:r w:rsidRPr="007122AB">
        <w:rPr>
          <w:rFonts w:ascii="Times New Roman" w:hAnsi="Times New Roman"/>
          <w:color w:val="000000" w:themeColor="text1"/>
          <w:sz w:val="16"/>
          <w:szCs w:val="16"/>
        </w:rPr>
        <w:softHyphen/>
        <w:t>латить [его] стоимость... Поэтому прошу Вас выяснить возможность удовлетворения лётчиков обмундированием за счет УВВС... считая обмундирование 1-м сроком носки». Дошли ли до лётчиков деньги «на экипировку» — неизвестно.</w:t>
      </w:r>
    </w:p>
    <w:p w14:paraId="372B582F"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Срочному и качественному выполнению Синьцзянского «</w:t>
      </w:r>
      <w:proofErr w:type="spellStart"/>
      <w:r w:rsidRPr="007122AB">
        <w:rPr>
          <w:rFonts w:ascii="Times New Roman" w:hAnsi="Times New Roman"/>
          <w:color w:val="000000" w:themeColor="text1"/>
          <w:sz w:val="16"/>
          <w:szCs w:val="16"/>
        </w:rPr>
        <w:t>аэрозаказа</w:t>
      </w:r>
      <w:proofErr w:type="spellEnd"/>
      <w:r w:rsidRPr="007122AB">
        <w:rPr>
          <w:rFonts w:ascii="Times New Roman" w:hAnsi="Times New Roman"/>
          <w:color w:val="000000" w:themeColor="text1"/>
          <w:sz w:val="16"/>
          <w:szCs w:val="16"/>
        </w:rPr>
        <w:t>» на правительст</w:t>
      </w:r>
      <w:r w:rsidRPr="007122AB">
        <w:rPr>
          <w:rFonts w:ascii="Times New Roman" w:hAnsi="Times New Roman"/>
          <w:color w:val="000000" w:themeColor="text1"/>
          <w:sz w:val="16"/>
          <w:szCs w:val="16"/>
        </w:rPr>
        <w:softHyphen/>
        <w:t xml:space="preserve">венном уровне придавали </w:t>
      </w:r>
      <w:r w:rsidRPr="007122AB">
        <w:rPr>
          <w:rStyle w:val="84"/>
          <w:rFonts w:eastAsia="Arial"/>
          <w:color w:val="000000" w:themeColor="text1"/>
          <w:sz w:val="16"/>
          <w:szCs w:val="16"/>
        </w:rPr>
        <w:t>очень большое значение</w:t>
      </w:r>
      <w:r w:rsidRPr="007122AB">
        <w:rPr>
          <w:rFonts w:ascii="Times New Roman" w:hAnsi="Times New Roman"/>
          <w:color w:val="000000" w:themeColor="text1"/>
          <w:sz w:val="16"/>
          <w:szCs w:val="16"/>
        </w:rPr>
        <w:t xml:space="preserve"> (это были одни из первых советских самолётов, продаваемых за рубеж. Вся сделка находилась под личным контролем у руководства Реввоенсовета СССР, Совета Труда и Обороны (СТО) и Наркома Внешней торговли. Ко всему, Ответственный секретарь Восточной Комиссии СТО Б.Н. Иванов строго предупредил Я.И. Алксниса, что «по требованию Зам. </w:t>
      </w:r>
      <w:proofErr w:type="spellStart"/>
      <w:r w:rsidRPr="007122AB">
        <w:rPr>
          <w:rFonts w:ascii="Times New Roman" w:hAnsi="Times New Roman"/>
          <w:color w:val="000000" w:themeColor="text1"/>
          <w:sz w:val="16"/>
          <w:szCs w:val="16"/>
        </w:rPr>
        <w:t>Нарко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миндела</w:t>
      </w:r>
      <w:proofErr w:type="spellEnd"/>
      <w:r w:rsidRPr="007122AB">
        <w:rPr>
          <w:rFonts w:ascii="Times New Roman" w:hAnsi="Times New Roman"/>
          <w:color w:val="000000" w:themeColor="text1"/>
          <w:sz w:val="16"/>
          <w:szCs w:val="16"/>
        </w:rPr>
        <w:t xml:space="preserve"> т. Карахана, заказ Синьцзяна должен быть выполнен в сверхсрочном порядке...».</w:t>
      </w:r>
    </w:p>
    <w:p w14:paraId="14E2DBB8"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Однако уже в Алма-Ате авиаторы сразу же почувствовали, каково же на самом деле за рубежом представлять Республику Советов. Из рапортов начальника экспедиции И.Г. Берестецкого (ответственного представителя БОП ВСНХ) и лётчика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выясни</w:t>
      </w:r>
      <w:r w:rsidRPr="007122AB">
        <w:rPr>
          <w:rFonts w:ascii="Times New Roman" w:hAnsi="Times New Roman"/>
          <w:color w:val="000000" w:themeColor="text1"/>
          <w:sz w:val="16"/>
          <w:szCs w:val="16"/>
        </w:rPr>
        <w:softHyphen/>
        <w:t>лись более чем «живописные» детали «должного» выполнения местными властями «сверхсрочного» заказа, имеющего «исключительно важное» значение (15802).</w:t>
      </w:r>
    </w:p>
    <w:p w14:paraId="5E13D0BF" w14:textId="77777777" w:rsidR="00332C4C" w:rsidRPr="007122AB" w:rsidRDefault="00332C4C" w:rsidP="007122AB">
      <w:pPr>
        <w:spacing w:after="0" w:line="240" w:lineRule="auto"/>
        <w:jc w:val="both"/>
        <w:rPr>
          <w:rFonts w:ascii="Times New Roman" w:hAnsi="Times New Roman"/>
          <w:color w:val="000000" w:themeColor="text1"/>
          <w:sz w:val="16"/>
          <w:szCs w:val="16"/>
        </w:rPr>
      </w:pPr>
    </w:p>
    <w:p w14:paraId="393C245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34B58E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C9F59D6"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12 декабря </w:t>
      </w:r>
      <w:r w:rsidRPr="007122AB">
        <w:rPr>
          <w:rFonts w:ascii="Times New Roman" w:hAnsi="Times New Roman"/>
          <w:color w:val="000000" w:themeColor="text1"/>
          <w:sz w:val="16"/>
          <w:szCs w:val="16"/>
        </w:rPr>
        <w:t>в 1931 году первый полёт модернизированного варианта самолета «SPCA 40T», получивший обозначение «SPCA 41T». Основным отличием нового самолета стала силовая установка, состоящая из трех двигателей «</w:t>
      </w:r>
      <w:proofErr w:type="spellStart"/>
      <w:r w:rsidRPr="007122AB">
        <w:rPr>
          <w:rFonts w:ascii="Times New Roman" w:hAnsi="Times New Roman"/>
          <w:color w:val="000000" w:themeColor="text1"/>
          <w:sz w:val="16"/>
          <w:szCs w:val="16"/>
        </w:rPr>
        <w:t>Salmson</w:t>
      </w:r>
      <w:proofErr w:type="spellEnd"/>
      <w:r w:rsidRPr="007122AB">
        <w:rPr>
          <w:rFonts w:ascii="Times New Roman" w:hAnsi="Times New Roman"/>
          <w:color w:val="000000" w:themeColor="text1"/>
          <w:sz w:val="16"/>
          <w:szCs w:val="16"/>
        </w:rPr>
        <w:t xml:space="preserve"> 9Nc» мощностью 135 л.с. Благодаря этому «SPCA 41T» мог развивать максимальную скорость в 190 км/ч и имел практическую дальность в 750 километров (14858).</w:t>
      </w:r>
    </w:p>
    <w:p w14:paraId="58462322" w14:textId="77777777" w:rsidR="00332C4C" w:rsidRPr="007122AB" w:rsidRDefault="00332C4C" w:rsidP="007122AB">
      <w:pPr>
        <w:spacing w:after="0" w:line="240" w:lineRule="auto"/>
        <w:jc w:val="both"/>
        <w:rPr>
          <w:rFonts w:ascii="Times New Roman" w:hAnsi="Times New Roman"/>
          <w:color w:val="000000" w:themeColor="text1"/>
          <w:sz w:val="16"/>
          <w:szCs w:val="16"/>
        </w:rPr>
      </w:pPr>
    </w:p>
    <w:p w14:paraId="5C0B649A" w14:textId="77777777" w:rsidR="00A244C1" w:rsidRPr="007122AB" w:rsidRDefault="00A244C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декабря 1931 - Первый полёт летающей лодки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110S. Два экземпляра лодки, оборудованной двигателем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12Nbr мощностью 650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xml:space="preserve"> и пропеллером толкающего типа, были переданы Морской авиации Франции в 1932 году.</w:t>
      </w:r>
    </w:p>
    <w:p w14:paraId="3C1F4A54" w14:textId="77777777" w:rsidR="00A244C1" w:rsidRPr="007122AB" w:rsidRDefault="00A244C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проведения испытаний был заказаны еще два экземпляра самолета. Эти варианты были модернизированы - фюзеляж стал полностью металлическим, установили новый двигатель  </w:t>
      </w:r>
      <w:proofErr w:type="spellStart"/>
      <w:r w:rsidRPr="007122AB">
        <w:rPr>
          <w:rFonts w:ascii="Times New Roman" w:hAnsi="Times New Roman"/>
          <w:color w:val="000000" w:themeColor="text1"/>
          <w:sz w:val="16"/>
          <w:szCs w:val="16"/>
        </w:rPr>
        <w:t>Hispano-Suiza</w:t>
      </w:r>
      <w:proofErr w:type="spellEnd"/>
      <w:r w:rsidRPr="007122AB">
        <w:rPr>
          <w:rFonts w:ascii="Times New Roman" w:hAnsi="Times New Roman"/>
          <w:color w:val="000000" w:themeColor="text1"/>
          <w:sz w:val="16"/>
          <w:szCs w:val="16"/>
        </w:rPr>
        <w:t xml:space="preserve"> 12Ydrs мощностью 860 л.с. с тянущим винтом. Оба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110S </w:t>
      </w:r>
      <w:proofErr w:type="spellStart"/>
      <w:r w:rsidRPr="007122AB">
        <w:rPr>
          <w:rFonts w:ascii="Times New Roman" w:hAnsi="Times New Roman"/>
          <w:color w:val="000000" w:themeColor="text1"/>
          <w:sz w:val="16"/>
          <w:szCs w:val="16"/>
        </w:rPr>
        <w:t>modifie</w:t>
      </w:r>
      <w:proofErr w:type="spellEnd"/>
      <w:r w:rsidRPr="007122AB">
        <w:rPr>
          <w:rFonts w:ascii="Times New Roman" w:hAnsi="Times New Roman"/>
          <w:color w:val="000000" w:themeColor="text1"/>
          <w:sz w:val="16"/>
          <w:szCs w:val="16"/>
        </w:rPr>
        <w:t xml:space="preserve"> были переданы в 1935 году (22706).</w:t>
      </w:r>
    </w:p>
    <w:p w14:paraId="17733EF3" w14:textId="77777777" w:rsidR="00A244C1" w:rsidRPr="007122AB" w:rsidRDefault="00A244C1" w:rsidP="007122AB">
      <w:pPr>
        <w:spacing w:after="0" w:line="240" w:lineRule="auto"/>
        <w:jc w:val="both"/>
        <w:rPr>
          <w:rFonts w:ascii="Times New Roman" w:hAnsi="Times New Roman"/>
          <w:color w:val="000000" w:themeColor="text1"/>
          <w:sz w:val="16"/>
          <w:szCs w:val="16"/>
        </w:rPr>
      </w:pPr>
    </w:p>
    <w:p w14:paraId="15BEB8A1"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12 декабря </w:t>
      </w:r>
      <w:r w:rsidRPr="007122AB">
        <w:rPr>
          <w:rFonts w:ascii="Times New Roman" w:hAnsi="Times New Roman"/>
          <w:color w:val="000000" w:themeColor="text1"/>
          <w:sz w:val="16"/>
          <w:szCs w:val="16"/>
        </w:rPr>
        <w:t>в 1931 году первый полёт летающей лодки «</w:t>
      </w:r>
      <w:proofErr w:type="spellStart"/>
      <w:r w:rsidRPr="007122AB">
        <w:rPr>
          <w:rFonts w:ascii="Times New Roman" w:hAnsi="Times New Roman"/>
          <w:color w:val="000000" w:themeColor="text1"/>
          <w:sz w:val="16"/>
          <w:szCs w:val="16"/>
        </w:rPr>
        <w:t>Amiot</w:t>
      </w:r>
      <w:proofErr w:type="spellEnd"/>
      <w:r w:rsidRPr="007122AB">
        <w:rPr>
          <w:rFonts w:ascii="Times New Roman" w:hAnsi="Times New Roman"/>
          <w:color w:val="000000" w:themeColor="text1"/>
          <w:sz w:val="16"/>
          <w:szCs w:val="16"/>
        </w:rPr>
        <w:t xml:space="preserve"> 110S» (14858).</w:t>
      </w:r>
    </w:p>
    <w:p w14:paraId="50BDB3D5" w14:textId="77777777" w:rsidR="00332C4C" w:rsidRPr="007122AB" w:rsidRDefault="00332C4C" w:rsidP="007122AB">
      <w:pPr>
        <w:spacing w:after="0" w:line="240" w:lineRule="auto"/>
        <w:jc w:val="both"/>
        <w:rPr>
          <w:rFonts w:ascii="Times New Roman" w:hAnsi="Times New Roman"/>
          <w:color w:val="000000" w:themeColor="text1"/>
          <w:sz w:val="16"/>
          <w:szCs w:val="16"/>
        </w:rPr>
      </w:pPr>
    </w:p>
    <w:p w14:paraId="18A8C6D3"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 xml:space="preserve">12 декабря </w:t>
      </w:r>
      <w:r w:rsidRPr="007122AB">
        <w:rPr>
          <w:rFonts w:ascii="Times New Roman" w:hAnsi="Times New Roman"/>
          <w:color w:val="000000" w:themeColor="text1"/>
          <w:sz w:val="16"/>
          <w:szCs w:val="16"/>
        </w:rPr>
        <w:t>в 1931 году начало одиночного перелёта лётчицы Мари Басти. Она стартовала на самолет «</w:t>
      </w:r>
      <w:proofErr w:type="spellStart"/>
      <w:r w:rsidRPr="007122AB">
        <w:rPr>
          <w:rFonts w:ascii="Times New Roman" w:hAnsi="Times New Roman"/>
          <w:color w:val="000000" w:themeColor="text1"/>
          <w:sz w:val="16"/>
          <w:szCs w:val="16"/>
        </w:rPr>
        <w:t>Caudron</w:t>
      </w:r>
      <w:proofErr w:type="spellEnd"/>
      <w:r w:rsidRPr="007122AB">
        <w:rPr>
          <w:rFonts w:ascii="Times New Roman" w:hAnsi="Times New Roman"/>
          <w:color w:val="000000" w:themeColor="text1"/>
          <w:sz w:val="16"/>
          <w:szCs w:val="16"/>
        </w:rPr>
        <w:t>» «С.635» «</w:t>
      </w:r>
      <w:proofErr w:type="spellStart"/>
      <w:r w:rsidRPr="007122AB">
        <w:rPr>
          <w:rFonts w:ascii="Times New Roman" w:hAnsi="Times New Roman"/>
          <w:color w:val="000000" w:themeColor="text1"/>
          <w:sz w:val="16"/>
          <w:szCs w:val="16"/>
        </w:rPr>
        <w:t>Simoun</w:t>
      </w:r>
      <w:proofErr w:type="spellEnd"/>
      <w:r w:rsidRPr="007122AB">
        <w:rPr>
          <w:rFonts w:ascii="Times New Roman" w:hAnsi="Times New Roman"/>
          <w:color w:val="000000" w:themeColor="text1"/>
          <w:sz w:val="16"/>
          <w:szCs w:val="16"/>
        </w:rPr>
        <w:t xml:space="preserve">», носящем имя "Джин </w:t>
      </w:r>
      <w:proofErr w:type="spellStart"/>
      <w:r w:rsidRPr="007122AB">
        <w:rPr>
          <w:rFonts w:ascii="Times New Roman" w:hAnsi="Times New Roman"/>
          <w:color w:val="000000" w:themeColor="text1"/>
          <w:sz w:val="16"/>
          <w:szCs w:val="16"/>
        </w:rPr>
        <w:t>Мермоз</w:t>
      </w:r>
      <w:proofErr w:type="spellEnd"/>
      <w:r w:rsidRPr="007122AB">
        <w:rPr>
          <w:rFonts w:ascii="Times New Roman" w:hAnsi="Times New Roman"/>
          <w:color w:val="000000" w:themeColor="text1"/>
          <w:sz w:val="16"/>
          <w:szCs w:val="16"/>
        </w:rPr>
        <w:t>" в Орли и 19 декабря достигла Дакара в Западной Африке. Затем она пересекла Южную Атлантику и приземлилась в Бразилии, в Натале, покрыв расстояние в 3100 км. со средней скоростью 264км/ч. Это превысило рекорд, установленный ранее Джин Баттен из Новой Зеландии. Модель «</w:t>
      </w:r>
      <w:proofErr w:type="spellStart"/>
      <w:r w:rsidRPr="007122AB">
        <w:rPr>
          <w:rFonts w:ascii="Times New Roman" w:hAnsi="Times New Roman"/>
          <w:color w:val="000000" w:themeColor="text1"/>
          <w:sz w:val="16"/>
          <w:szCs w:val="16"/>
        </w:rPr>
        <w:t>Caudron</w:t>
      </w:r>
      <w:proofErr w:type="spellEnd"/>
      <w:r w:rsidRPr="007122AB">
        <w:rPr>
          <w:rFonts w:ascii="Times New Roman" w:hAnsi="Times New Roman"/>
          <w:color w:val="000000" w:themeColor="text1"/>
          <w:sz w:val="16"/>
          <w:szCs w:val="16"/>
        </w:rPr>
        <w:t>» «С.635» «</w:t>
      </w:r>
      <w:proofErr w:type="spellStart"/>
      <w:r w:rsidRPr="007122AB">
        <w:rPr>
          <w:rFonts w:ascii="Times New Roman" w:hAnsi="Times New Roman"/>
          <w:color w:val="000000" w:themeColor="text1"/>
          <w:sz w:val="16"/>
          <w:szCs w:val="16"/>
        </w:rPr>
        <w:t>Simoun</w:t>
      </w:r>
      <w:proofErr w:type="spellEnd"/>
      <w:r w:rsidRPr="007122AB">
        <w:rPr>
          <w:rFonts w:ascii="Times New Roman" w:hAnsi="Times New Roman"/>
          <w:color w:val="000000" w:themeColor="text1"/>
          <w:sz w:val="16"/>
          <w:szCs w:val="16"/>
        </w:rPr>
        <w:t>» отличалась от базовой модели «</w:t>
      </w:r>
      <w:proofErr w:type="spellStart"/>
      <w:r w:rsidRPr="007122AB">
        <w:rPr>
          <w:rFonts w:ascii="Times New Roman" w:hAnsi="Times New Roman"/>
          <w:color w:val="000000" w:themeColor="text1"/>
          <w:sz w:val="16"/>
          <w:szCs w:val="16"/>
        </w:rPr>
        <w:t>Caudron</w:t>
      </w:r>
      <w:proofErr w:type="spellEnd"/>
      <w:r w:rsidRPr="007122AB">
        <w:rPr>
          <w:rFonts w:ascii="Times New Roman" w:hAnsi="Times New Roman"/>
          <w:color w:val="000000" w:themeColor="text1"/>
          <w:sz w:val="16"/>
          <w:szCs w:val="16"/>
        </w:rPr>
        <w:t>» «С.630» «</w:t>
      </w:r>
      <w:proofErr w:type="spellStart"/>
      <w:r w:rsidRPr="007122AB">
        <w:rPr>
          <w:rFonts w:ascii="Times New Roman" w:hAnsi="Times New Roman"/>
          <w:color w:val="000000" w:themeColor="text1"/>
          <w:sz w:val="16"/>
          <w:szCs w:val="16"/>
        </w:rPr>
        <w:t>Simoun</w:t>
      </w:r>
      <w:proofErr w:type="spellEnd"/>
      <w:r w:rsidRPr="007122AB">
        <w:rPr>
          <w:rFonts w:ascii="Times New Roman" w:hAnsi="Times New Roman"/>
          <w:color w:val="000000" w:themeColor="text1"/>
          <w:sz w:val="16"/>
          <w:szCs w:val="16"/>
        </w:rPr>
        <w:t xml:space="preserve">» двигателем «Renault </w:t>
      </w:r>
      <w:proofErr w:type="spellStart"/>
      <w:r w:rsidRPr="007122AB">
        <w:rPr>
          <w:rFonts w:ascii="Times New Roman" w:hAnsi="Times New Roman"/>
          <w:color w:val="000000" w:themeColor="text1"/>
          <w:sz w:val="16"/>
          <w:szCs w:val="16"/>
        </w:rPr>
        <w:t>Bengali</w:t>
      </w:r>
      <w:proofErr w:type="spellEnd"/>
      <w:r w:rsidRPr="007122AB">
        <w:rPr>
          <w:rFonts w:ascii="Times New Roman" w:hAnsi="Times New Roman"/>
          <w:color w:val="000000" w:themeColor="text1"/>
          <w:sz w:val="16"/>
          <w:szCs w:val="16"/>
        </w:rPr>
        <w:t>» «6Q-09» или «6Q-15» мощностью 220 л. с. и строилась в достаточно больших количествах (14858).</w:t>
      </w:r>
    </w:p>
    <w:p w14:paraId="1DE05B54" w14:textId="77777777" w:rsidR="00332C4C" w:rsidRPr="007122AB" w:rsidRDefault="00332C4C" w:rsidP="007122AB">
      <w:pPr>
        <w:spacing w:after="0" w:line="240" w:lineRule="auto"/>
        <w:jc w:val="both"/>
        <w:rPr>
          <w:rFonts w:ascii="Times New Roman" w:hAnsi="Times New Roman"/>
          <w:color w:val="000000" w:themeColor="text1"/>
          <w:sz w:val="16"/>
          <w:szCs w:val="16"/>
        </w:rPr>
      </w:pPr>
    </w:p>
    <w:p w14:paraId="431C7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12 декабря 1931 под давлением коммунистов из Кантона </w:t>
      </w:r>
      <w:proofErr w:type="spellStart"/>
      <w:r w:rsidRPr="007122AB">
        <w:rPr>
          <w:rFonts w:ascii="Times New Roman" w:hAnsi="Times New Roman"/>
          <w:color w:val="000000" w:themeColor="text1"/>
          <w:sz w:val="16"/>
          <w:szCs w:val="16"/>
        </w:rPr>
        <w:t>Чапн</w:t>
      </w:r>
      <w:proofErr w:type="spellEnd"/>
      <w:r w:rsidRPr="007122AB">
        <w:rPr>
          <w:rFonts w:ascii="Times New Roman" w:hAnsi="Times New Roman"/>
          <w:color w:val="000000" w:themeColor="text1"/>
          <w:sz w:val="16"/>
          <w:szCs w:val="16"/>
        </w:rPr>
        <w:t xml:space="preserve">-Кай-Ши подал в отставку с поста президента </w:t>
      </w:r>
      <w:proofErr w:type="spellStart"/>
      <w:r w:rsidRPr="007122AB">
        <w:rPr>
          <w:rFonts w:ascii="Times New Roman" w:hAnsi="Times New Roman"/>
          <w:color w:val="000000" w:themeColor="text1"/>
          <w:sz w:val="16"/>
          <w:szCs w:val="16"/>
        </w:rPr>
        <w:t>Нанкинского</w:t>
      </w:r>
      <w:proofErr w:type="spellEnd"/>
      <w:r w:rsidRPr="007122AB">
        <w:rPr>
          <w:rFonts w:ascii="Times New Roman" w:hAnsi="Times New Roman"/>
          <w:color w:val="000000" w:themeColor="text1"/>
          <w:sz w:val="16"/>
          <w:szCs w:val="16"/>
        </w:rPr>
        <w:t xml:space="preserve"> правительства, но остался главой националистического правительства, которое номинально управляло Китаем (2100).</w:t>
      </w:r>
    </w:p>
    <w:p w14:paraId="35B66A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3F4BCF" w14:textId="77777777" w:rsidR="005E3256" w:rsidRPr="007122AB" w:rsidRDefault="005E3256" w:rsidP="005E3256">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94C314B" w14:textId="77777777" w:rsidR="005E3256" w:rsidRPr="007122AB" w:rsidRDefault="005E3256" w:rsidP="005E3256">
      <w:pPr>
        <w:autoSpaceDE w:val="0"/>
        <w:autoSpaceDN w:val="0"/>
        <w:adjustRightInd w:val="0"/>
        <w:spacing w:after="0" w:line="240" w:lineRule="auto"/>
        <w:jc w:val="both"/>
        <w:rPr>
          <w:rFonts w:ascii="Times New Roman" w:hAnsi="Times New Roman"/>
          <w:iCs/>
          <w:color w:val="000000" w:themeColor="text1"/>
          <w:sz w:val="16"/>
          <w:szCs w:val="16"/>
        </w:rPr>
      </w:pPr>
    </w:p>
    <w:p w14:paraId="557E6E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декабря 1931 года </w:t>
      </w:r>
      <w:proofErr w:type="spellStart"/>
      <w:r w:rsidRPr="007122AB">
        <w:rPr>
          <w:rFonts w:ascii="Times New Roman" w:hAnsi="Times New Roman"/>
          <w:color w:val="000000" w:themeColor="text1"/>
          <w:sz w:val="16"/>
          <w:szCs w:val="16"/>
        </w:rPr>
        <w:t>врид</w:t>
      </w:r>
      <w:proofErr w:type="spellEnd"/>
      <w:r w:rsidRPr="007122AB">
        <w:rPr>
          <w:rFonts w:ascii="Times New Roman" w:hAnsi="Times New Roman"/>
          <w:color w:val="000000" w:themeColor="text1"/>
          <w:sz w:val="16"/>
          <w:szCs w:val="16"/>
        </w:rPr>
        <w:t xml:space="preserve">. нач. ЦКБ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 xml:space="preserve"> и нач. бриг. 5 Бериев писали письмо N 466 c начальнику ВВС Алкснису и начальнику НИИ ВВС </w:t>
      </w:r>
      <w:proofErr w:type="spellStart"/>
      <w:r w:rsidRPr="007122AB">
        <w:rPr>
          <w:rFonts w:ascii="Times New Roman" w:hAnsi="Times New Roman"/>
          <w:color w:val="000000" w:themeColor="text1"/>
          <w:sz w:val="16"/>
          <w:szCs w:val="16"/>
        </w:rPr>
        <w:t>Зильберту</w:t>
      </w:r>
      <w:proofErr w:type="spellEnd"/>
      <w:r w:rsidRPr="007122AB">
        <w:rPr>
          <w:rFonts w:ascii="Times New Roman" w:hAnsi="Times New Roman"/>
          <w:color w:val="000000" w:themeColor="text1"/>
          <w:sz w:val="16"/>
          <w:szCs w:val="16"/>
        </w:rPr>
        <w:t>.</w:t>
      </w:r>
    </w:p>
    <w:p w14:paraId="6E6593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Сравнительная таблица летных данных вариантов</w:t>
      </w:r>
    </w:p>
    <w:p w14:paraId="49D9D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 МБР-5 с моторами НS12Ybrs, Райт-Циклон,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877"/>
        <w:gridCol w:w="1816"/>
        <w:gridCol w:w="4678"/>
      </w:tblGrid>
      <w:tr w:rsidR="001002C3" w:rsidRPr="007122AB" w14:paraId="5B1A68B0" w14:textId="77777777">
        <w:tc>
          <w:tcPr>
            <w:tcW w:w="3227" w:type="dxa"/>
          </w:tcPr>
          <w:p w14:paraId="4461C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68A0D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НS12Ybrs</w:t>
            </w:r>
          </w:p>
        </w:tc>
        <w:tc>
          <w:tcPr>
            <w:tcW w:w="1816" w:type="dxa"/>
          </w:tcPr>
          <w:p w14:paraId="292A8A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Райт-Циклон FIII</w:t>
            </w:r>
          </w:p>
        </w:tc>
        <w:tc>
          <w:tcPr>
            <w:tcW w:w="4678" w:type="dxa"/>
          </w:tcPr>
          <w:p w14:paraId="600FD9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 М-34 с импеллер.</w:t>
            </w:r>
          </w:p>
        </w:tc>
      </w:tr>
      <w:tr w:rsidR="001002C3" w:rsidRPr="007122AB" w14:paraId="39A2941C" w14:textId="77777777">
        <w:tc>
          <w:tcPr>
            <w:tcW w:w="3227" w:type="dxa"/>
          </w:tcPr>
          <w:p w14:paraId="1F2F20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w:t>
            </w:r>
          </w:p>
        </w:tc>
        <w:tc>
          <w:tcPr>
            <w:tcW w:w="877" w:type="dxa"/>
          </w:tcPr>
          <w:p w14:paraId="6DED4C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2900 кг</w:t>
            </w:r>
          </w:p>
        </w:tc>
        <w:tc>
          <w:tcPr>
            <w:tcW w:w="1816" w:type="dxa"/>
          </w:tcPr>
          <w:p w14:paraId="43A4F8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2600 кг</w:t>
            </w:r>
          </w:p>
        </w:tc>
        <w:tc>
          <w:tcPr>
            <w:tcW w:w="4678" w:type="dxa"/>
          </w:tcPr>
          <w:p w14:paraId="2AEF4E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3500 кг</w:t>
            </w:r>
          </w:p>
        </w:tc>
      </w:tr>
      <w:tr w:rsidR="001002C3" w:rsidRPr="007122AB" w14:paraId="1AE0CB11" w14:textId="77777777">
        <w:tc>
          <w:tcPr>
            <w:tcW w:w="3227" w:type="dxa"/>
          </w:tcPr>
          <w:p w14:paraId="2D18BE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Несущая </w:t>
            </w:r>
            <w:proofErr w:type="spellStart"/>
            <w:r w:rsidRPr="007122AB">
              <w:rPr>
                <w:rFonts w:ascii="Times New Roman" w:hAnsi="Times New Roman"/>
                <w:color w:val="000000" w:themeColor="text1"/>
                <w:sz w:val="16"/>
                <w:szCs w:val="16"/>
              </w:rPr>
              <w:t>поверхн</w:t>
            </w:r>
            <w:proofErr w:type="spellEnd"/>
            <w:r w:rsidRPr="007122AB">
              <w:rPr>
                <w:rFonts w:ascii="Times New Roman" w:hAnsi="Times New Roman"/>
                <w:color w:val="000000" w:themeColor="text1"/>
                <w:sz w:val="16"/>
                <w:szCs w:val="16"/>
              </w:rPr>
              <w:t>.</w:t>
            </w:r>
          </w:p>
        </w:tc>
        <w:tc>
          <w:tcPr>
            <w:tcW w:w="877" w:type="dxa"/>
          </w:tcPr>
          <w:p w14:paraId="294A7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 м кв.</w:t>
            </w:r>
          </w:p>
        </w:tc>
        <w:tc>
          <w:tcPr>
            <w:tcW w:w="1816" w:type="dxa"/>
          </w:tcPr>
          <w:p w14:paraId="283578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32,5 м кв.</w:t>
            </w:r>
          </w:p>
        </w:tc>
        <w:tc>
          <w:tcPr>
            <w:tcW w:w="4678" w:type="dxa"/>
          </w:tcPr>
          <w:p w14:paraId="264AB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43,75 м кв.</w:t>
            </w:r>
          </w:p>
        </w:tc>
      </w:tr>
      <w:tr w:rsidR="001002C3" w:rsidRPr="007122AB" w14:paraId="7D7E2E04" w14:textId="77777777">
        <w:tc>
          <w:tcPr>
            <w:tcW w:w="3227" w:type="dxa"/>
          </w:tcPr>
          <w:p w14:paraId="3CDB0D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Номинальн</w:t>
            </w:r>
            <w:proofErr w:type="spellEnd"/>
            <w:r w:rsidRPr="007122AB">
              <w:rPr>
                <w:rFonts w:ascii="Times New Roman" w:hAnsi="Times New Roman"/>
                <w:color w:val="000000" w:themeColor="text1"/>
                <w:sz w:val="16"/>
                <w:szCs w:val="16"/>
              </w:rPr>
              <w:t>. мощность</w:t>
            </w:r>
          </w:p>
        </w:tc>
        <w:tc>
          <w:tcPr>
            <w:tcW w:w="877" w:type="dxa"/>
          </w:tcPr>
          <w:p w14:paraId="3AAFA4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760 л.с.</w:t>
            </w:r>
          </w:p>
        </w:tc>
        <w:tc>
          <w:tcPr>
            <w:tcW w:w="1816" w:type="dxa"/>
          </w:tcPr>
          <w:p w14:paraId="7F36C0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640 л.с.</w:t>
            </w:r>
          </w:p>
        </w:tc>
        <w:tc>
          <w:tcPr>
            <w:tcW w:w="4678" w:type="dxa"/>
          </w:tcPr>
          <w:p w14:paraId="728F46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 л.с.</w:t>
            </w:r>
          </w:p>
        </w:tc>
      </w:tr>
      <w:tr w:rsidR="001002C3" w:rsidRPr="007122AB" w14:paraId="3994AD0B" w14:textId="77777777">
        <w:tc>
          <w:tcPr>
            <w:tcW w:w="3227" w:type="dxa"/>
          </w:tcPr>
          <w:p w14:paraId="6CB847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V посад.</w:t>
            </w:r>
          </w:p>
        </w:tc>
        <w:tc>
          <w:tcPr>
            <w:tcW w:w="877" w:type="dxa"/>
          </w:tcPr>
          <w:p w14:paraId="749E3F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w:t>
            </w:r>
          </w:p>
        </w:tc>
        <w:tc>
          <w:tcPr>
            <w:tcW w:w="1816" w:type="dxa"/>
          </w:tcPr>
          <w:p w14:paraId="760053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w:t>
            </w:r>
          </w:p>
        </w:tc>
        <w:tc>
          <w:tcPr>
            <w:tcW w:w="4678" w:type="dxa"/>
          </w:tcPr>
          <w:p w14:paraId="05917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87</w:t>
            </w:r>
          </w:p>
        </w:tc>
      </w:tr>
      <w:tr w:rsidR="001002C3" w:rsidRPr="007122AB" w14:paraId="4BCE4C25" w14:textId="77777777">
        <w:tc>
          <w:tcPr>
            <w:tcW w:w="3227" w:type="dxa"/>
          </w:tcPr>
          <w:p w14:paraId="17BF4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Потолок </w:t>
            </w:r>
            <w:proofErr w:type="spellStart"/>
            <w:r w:rsidRPr="007122AB">
              <w:rPr>
                <w:rFonts w:ascii="Times New Roman" w:hAnsi="Times New Roman"/>
                <w:color w:val="000000" w:themeColor="text1"/>
                <w:sz w:val="16"/>
                <w:szCs w:val="16"/>
              </w:rPr>
              <w:t>практ</w:t>
            </w:r>
            <w:proofErr w:type="spellEnd"/>
            <w:r w:rsidRPr="007122AB">
              <w:rPr>
                <w:rFonts w:ascii="Times New Roman" w:hAnsi="Times New Roman"/>
                <w:color w:val="000000" w:themeColor="text1"/>
                <w:sz w:val="16"/>
                <w:szCs w:val="16"/>
              </w:rPr>
              <w:t>.</w:t>
            </w:r>
          </w:p>
        </w:tc>
        <w:tc>
          <w:tcPr>
            <w:tcW w:w="877" w:type="dxa"/>
          </w:tcPr>
          <w:p w14:paraId="20AC13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6500 м</w:t>
            </w:r>
          </w:p>
        </w:tc>
        <w:tc>
          <w:tcPr>
            <w:tcW w:w="1816" w:type="dxa"/>
          </w:tcPr>
          <w:p w14:paraId="046EC5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6200 м</w:t>
            </w:r>
          </w:p>
        </w:tc>
        <w:tc>
          <w:tcPr>
            <w:tcW w:w="4678" w:type="dxa"/>
          </w:tcPr>
          <w:p w14:paraId="288D32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 м</w:t>
            </w:r>
          </w:p>
        </w:tc>
      </w:tr>
      <w:tr w:rsidR="001002C3" w:rsidRPr="007122AB" w14:paraId="11270138" w14:textId="77777777">
        <w:tc>
          <w:tcPr>
            <w:tcW w:w="3227" w:type="dxa"/>
          </w:tcPr>
          <w:p w14:paraId="444C01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Скороподъемн</w:t>
            </w:r>
            <w:proofErr w:type="spellEnd"/>
            <w:r w:rsidRPr="007122AB">
              <w:rPr>
                <w:rFonts w:ascii="Times New Roman" w:hAnsi="Times New Roman"/>
                <w:color w:val="000000" w:themeColor="text1"/>
                <w:sz w:val="16"/>
                <w:szCs w:val="16"/>
              </w:rPr>
              <w:t>. на 1000 м</w:t>
            </w:r>
          </w:p>
        </w:tc>
        <w:tc>
          <w:tcPr>
            <w:tcW w:w="877" w:type="dxa"/>
          </w:tcPr>
          <w:p w14:paraId="32DFB8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мин.</w:t>
            </w:r>
          </w:p>
        </w:tc>
        <w:tc>
          <w:tcPr>
            <w:tcW w:w="1816" w:type="dxa"/>
          </w:tcPr>
          <w:p w14:paraId="4BB88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 мин.</w:t>
            </w:r>
          </w:p>
        </w:tc>
        <w:tc>
          <w:tcPr>
            <w:tcW w:w="4678" w:type="dxa"/>
          </w:tcPr>
          <w:p w14:paraId="019A2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 мин.</w:t>
            </w:r>
          </w:p>
        </w:tc>
      </w:tr>
      <w:tr w:rsidR="001002C3" w:rsidRPr="007122AB" w14:paraId="360F64E9" w14:textId="77777777">
        <w:tc>
          <w:tcPr>
            <w:tcW w:w="3227" w:type="dxa"/>
          </w:tcPr>
          <w:p w14:paraId="20668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Скороподъемн</w:t>
            </w:r>
            <w:proofErr w:type="spellEnd"/>
            <w:r w:rsidRPr="007122AB">
              <w:rPr>
                <w:rFonts w:ascii="Times New Roman" w:hAnsi="Times New Roman"/>
                <w:color w:val="000000" w:themeColor="text1"/>
                <w:sz w:val="16"/>
                <w:szCs w:val="16"/>
              </w:rPr>
              <w:t>. на 3000 м</w:t>
            </w:r>
          </w:p>
        </w:tc>
        <w:tc>
          <w:tcPr>
            <w:tcW w:w="877" w:type="dxa"/>
          </w:tcPr>
          <w:p w14:paraId="18DB34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 м</w:t>
            </w:r>
          </w:p>
        </w:tc>
        <w:tc>
          <w:tcPr>
            <w:tcW w:w="1816" w:type="dxa"/>
          </w:tcPr>
          <w:p w14:paraId="2C6A16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 м</w:t>
            </w:r>
          </w:p>
        </w:tc>
        <w:tc>
          <w:tcPr>
            <w:tcW w:w="4678" w:type="dxa"/>
          </w:tcPr>
          <w:p w14:paraId="7CE69C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9,5 м</w:t>
            </w:r>
          </w:p>
        </w:tc>
      </w:tr>
      <w:tr w:rsidR="001002C3" w:rsidRPr="007122AB" w14:paraId="5430FA34" w14:textId="77777777">
        <w:tc>
          <w:tcPr>
            <w:tcW w:w="3227" w:type="dxa"/>
          </w:tcPr>
          <w:p w14:paraId="079EFE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норм.</w:t>
            </w:r>
          </w:p>
        </w:tc>
        <w:tc>
          <w:tcPr>
            <w:tcW w:w="877" w:type="dxa"/>
          </w:tcPr>
          <w:p w14:paraId="79988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 км</w:t>
            </w:r>
          </w:p>
        </w:tc>
        <w:tc>
          <w:tcPr>
            <w:tcW w:w="1816" w:type="dxa"/>
          </w:tcPr>
          <w:p w14:paraId="6C2B3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 км</w:t>
            </w:r>
          </w:p>
        </w:tc>
        <w:tc>
          <w:tcPr>
            <w:tcW w:w="4678" w:type="dxa"/>
          </w:tcPr>
          <w:p w14:paraId="50792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850 км</w:t>
            </w:r>
          </w:p>
        </w:tc>
      </w:tr>
      <w:tr w:rsidR="001002C3" w:rsidRPr="007122AB" w14:paraId="1E59F9AF" w14:textId="77777777">
        <w:tc>
          <w:tcPr>
            <w:tcW w:w="3227" w:type="dxa"/>
          </w:tcPr>
          <w:p w14:paraId="75FB8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Дальность при </w:t>
            </w:r>
            <w:proofErr w:type="spellStart"/>
            <w:r w:rsidRPr="007122AB">
              <w:rPr>
                <w:rFonts w:ascii="Times New Roman" w:hAnsi="Times New Roman"/>
                <w:color w:val="000000" w:themeColor="text1"/>
                <w:sz w:val="16"/>
                <w:szCs w:val="16"/>
              </w:rPr>
              <w:t>max</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перегр</w:t>
            </w:r>
            <w:proofErr w:type="spellEnd"/>
            <w:r w:rsidRPr="007122AB">
              <w:rPr>
                <w:rFonts w:ascii="Times New Roman" w:hAnsi="Times New Roman"/>
                <w:color w:val="000000" w:themeColor="text1"/>
                <w:sz w:val="16"/>
                <w:szCs w:val="16"/>
              </w:rPr>
              <w:t>.</w:t>
            </w:r>
          </w:p>
        </w:tc>
        <w:tc>
          <w:tcPr>
            <w:tcW w:w="877" w:type="dxa"/>
          </w:tcPr>
          <w:p w14:paraId="4E3431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1400 км</w:t>
            </w:r>
          </w:p>
        </w:tc>
        <w:tc>
          <w:tcPr>
            <w:tcW w:w="1816" w:type="dxa"/>
          </w:tcPr>
          <w:p w14:paraId="4348E3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1400 км</w:t>
            </w:r>
          </w:p>
        </w:tc>
        <w:tc>
          <w:tcPr>
            <w:tcW w:w="4678" w:type="dxa"/>
          </w:tcPr>
          <w:p w14:paraId="5E592E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 км (3558,1-2)</w:t>
            </w:r>
          </w:p>
        </w:tc>
      </w:tr>
    </w:tbl>
    <w:p w14:paraId="7CCC7A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Краткое описание проекта</w:t>
      </w:r>
    </w:p>
    <w:p w14:paraId="4B91D3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 МБР-5 с мотором НS12Ybrs</w:t>
      </w:r>
    </w:p>
    <w:p w14:paraId="346F0B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 береговой разведчик</w:t>
      </w:r>
    </w:p>
    <w:p w14:paraId="232AE0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Свободнонесущий лодочный моноплан-амфибия с убирающимся шасси</w:t>
      </w:r>
    </w:p>
    <w:p w14:paraId="3F007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Мотор - </w:t>
      </w:r>
      <w:proofErr w:type="spellStart"/>
      <w:r w:rsidRPr="007122AB">
        <w:rPr>
          <w:rFonts w:ascii="Times New Roman" w:hAnsi="Times New Roman"/>
          <w:color w:val="000000" w:themeColor="text1"/>
          <w:sz w:val="16"/>
          <w:szCs w:val="16"/>
        </w:rPr>
        <w:t>Испано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xml:space="preserve"> 12Ybrs</w:t>
      </w:r>
    </w:p>
    <w:p w14:paraId="0FEF19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 стрелковое - 2 пулемета ШКАС (один пулемет в перегрузку).</w:t>
      </w:r>
    </w:p>
    <w:p w14:paraId="62A976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(в перегрузку) - 500 кг</w:t>
      </w:r>
    </w:p>
    <w:p w14:paraId="1A211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Краткие данные конструкции самолета</w:t>
      </w:r>
    </w:p>
    <w:p w14:paraId="020645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Лодка средней </w:t>
      </w:r>
      <w:proofErr w:type="spellStart"/>
      <w:r w:rsidRPr="007122AB">
        <w:rPr>
          <w:rFonts w:ascii="Times New Roman" w:hAnsi="Times New Roman"/>
          <w:color w:val="000000" w:themeColor="text1"/>
          <w:sz w:val="16"/>
          <w:szCs w:val="16"/>
        </w:rPr>
        <w:t>килеватости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однореданная</w:t>
      </w:r>
      <w:proofErr w:type="spellEnd"/>
      <w:r w:rsidRPr="007122AB">
        <w:rPr>
          <w:rFonts w:ascii="Times New Roman" w:hAnsi="Times New Roman"/>
          <w:color w:val="000000" w:themeColor="text1"/>
          <w:sz w:val="16"/>
          <w:szCs w:val="16"/>
        </w:rPr>
        <w:t>, деревянной конструкции.</w:t>
      </w:r>
    </w:p>
    <w:p w14:paraId="45B1F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Крыло -свободнонесущий моноплан - лонжероны хромомолибденовой стали</w:t>
      </w:r>
    </w:p>
    <w:p w14:paraId="5802D4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нервюры </w:t>
      </w:r>
      <w:proofErr w:type="spellStart"/>
      <w:r w:rsidRPr="007122AB">
        <w:rPr>
          <w:rFonts w:ascii="Times New Roman" w:hAnsi="Times New Roman"/>
          <w:color w:val="000000" w:themeColor="text1"/>
          <w:sz w:val="16"/>
          <w:szCs w:val="16"/>
        </w:rPr>
        <w:t>Альтмаг</w:t>
      </w:r>
      <w:proofErr w:type="spellEnd"/>
      <w:r w:rsidRPr="007122AB">
        <w:rPr>
          <w:rFonts w:ascii="Times New Roman" w:hAnsi="Times New Roman"/>
          <w:color w:val="000000" w:themeColor="text1"/>
          <w:sz w:val="16"/>
          <w:szCs w:val="16"/>
        </w:rPr>
        <w:t xml:space="preserve"> - обшивка полотняная</w:t>
      </w:r>
    </w:p>
    <w:p w14:paraId="7F8BE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Мотоустановка</w:t>
      </w:r>
      <w:proofErr w:type="spellEnd"/>
      <w:r w:rsidRPr="007122AB">
        <w:rPr>
          <w:rFonts w:ascii="Times New Roman" w:hAnsi="Times New Roman"/>
          <w:color w:val="000000" w:themeColor="text1"/>
          <w:sz w:val="16"/>
          <w:szCs w:val="16"/>
        </w:rPr>
        <w:t xml:space="preserve"> из хромомолибденовых труб</w:t>
      </w:r>
    </w:p>
    <w:p w14:paraId="362BB7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Оперение - конструкция из </w:t>
      </w:r>
      <w:proofErr w:type="spellStart"/>
      <w:r w:rsidRPr="007122AB">
        <w:rPr>
          <w:rFonts w:ascii="Times New Roman" w:hAnsi="Times New Roman"/>
          <w:color w:val="000000" w:themeColor="text1"/>
          <w:sz w:val="16"/>
          <w:szCs w:val="16"/>
        </w:rPr>
        <w:t>альтмага</w:t>
      </w:r>
      <w:proofErr w:type="spellEnd"/>
    </w:p>
    <w:p w14:paraId="46262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Шасси - убирающееся в полете</w:t>
      </w:r>
    </w:p>
    <w:p w14:paraId="40A5B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Амортизация - масляно-пневматическая (3558,3).</w:t>
      </w:r>
    </w:p>
    <w:p w14:paraId="2FE51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Краткое описание проекта</w:t>
      </w:r>
    </w:p>
    <w:p w14:paraId="032C4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 МБР-5 с мотором Райт-Циклон F III</w:t>
      </w:r>
    </w:p>
    <w:p w14:paraId="53DE31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0E2672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 стрелковое - 2 пулемета ШКАС</w:t>
      </w:r>
    </w:p>
    <w:p w14:paraId="740595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(в перегрузку) - 500 кг</w:t>
      </w:r>
    </w:p>
    <w:p w14:paraId="153575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Краткие данные конструкции самолета</w:t>
      </w:r>
    </w:p>
    <w:p w14:paraId="3EECD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p w14:paraId="1F8466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Шасси - из </w:t>
      </w:r>
      <w:proofErr w:type="spellStart"/>
      <w:r w:rsidRPr="007122AB">
        <w:rPr>
          <w:rFonts w:ascii="Times New Roman" w:hAnsi="Times New Roman"/>
          <w:color w:val="000000" w:themeColor="text1"/>
          <w:sz w:val="16"/>
          <w:szCs w:val="16"/>
        </w:rPr>
        <w:t>хромомолибден</w:t>
      </w:r>
      <w:proofErr w:type="spellEnd"/>
      <w:r w:rsidRPr="007122AB">
        <w:rPr>
          <w:rFonts w:ascii="Times New Roman" w:hAnsi="Times New Roman"/>
          <w:color w:val="000000" w:themeColor="text1"/>
          <w:sz w:val="16"/>
          <w:szCs w:val="16"/>
        </w:rPr>
        <w:t>. труб (3558,9).</w:t>
      </w:r>
    </w:p>
    <w:p w14:paraId="3566E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Краткое описание проекта</w:t>
      </w:r>
    </w:p>
    <w:p w14:paraId="48CC1C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самолета МБР-5 с мотором М34 (с импеллером).</w:t>
      </w:r>
    </w:p>
    <w:p w14:paraId="595CE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Вооружение - стрелковое - 2 пулемета ШКАС (один пулемет в перегрузку).</w:t>
      </w:r>
    </w:p>
    <w:p w14:paraId="5B37A6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бомбовая нагрузка (в перегрузку) - 500 кг</w:t>
      </w:r>
    </w:p>
    <w:p w14:paraId="00F4F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Краткие данные конструкции самолета</w:t>
      </w:r>
    </w:p>
    <w:p w14:paraId="50DCD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Лодка умеренной </w:t>
      </w:r>
      <w:proofErr w:type="spellStart"/>
      <w:r w:rsidRPr="007122AB">
        <w:rPr>
          <w:rFonts w:ascii="Times New Roman" w:hAnsi="Times New Roman"/>
          <w:color w:val="000000" w:themeColor="text1"/>
          <w:sz w:val="16"/>
          <w:szCs w:val="16"/>
        </w:rPr>
        <w:t>килеватости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однореданная</w:t>
      </w:r>
      <w:proofErr w:type="spellEnd"/>
      <w:r w:rsidRPr="007122AB">
        <w:rPr>
          <w:rFonts w:ascii="Times New Roman" w:hAnsi="Times New Roman"/>
          <w:color w:val="000000" w:themeColor="text1"/>
          <w:sz w:val="16"/>
          <w:szCs w:val="16"/>
        </w:rPr>
        <w:t>, металлической конструкции (3558,11).</w:t>
      </w:r>
    </w:p>
    <w:p w14:paraId="4336B1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3652F9"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13 декабря 1931 г. Протокол Реввоенсовета № 42.</w:t>
      </w:r>
      <w:r w:rsidRPr="007122AB">
        <w:rPr>
          <w:color w:val="000000" w:themeColor="text1"/>
          <w:sz w:val="16"/>
          <w:szCs w:val="16"/>
        </w:rPr>
        <w:t xml:space="preserve"> 1. О выполнении плана авиационного строительства за 1931 г. и об аэродромном строительстве на 1932 г. (Зиновьев). 7. О разрешении Особому конструкторскому бюро и заводу Протокол Реввоенсовета № 1 </w:t>
      </w:r>
      <w:proofErr w:type="spellStart"/>
      <w:r w:rsidRPr="007122AB">
        <w:rPr>
          <w:color w:val="000000" w:themeColor="text1"/>
          <w:sz w:val="16"/>
          <w:szCs w:val="16"/>
        </w:rPr>
        <w:t>Вирджили</w:t>
      </w:r>
      <w:proofErr w:type="spellEnd"/>
      <w:r w:rsidRPr="007122AB">
        <w:rPr>
          <w:color w:val="000000" w:themeColor="text1"/>
          <w:sz w:val="16"/>
          <w:szCs w:val="16"/>
        </w:rPr>
        <w:t xml:space="preserve"> проектировать и строить заводы по производству ветрянок (металлических винтов и оптических приборов) (Алкснис). 9. О выполнении постановления правительства по </w:t>
      </w:r>
      <w:proofErr w:type="spellStart"/>
      <w:r w:rsidRPr="007122AB">
        <w:rPr>
          <w:color w:val="000000" w:themeColor="text1"/>
          <w:sz w:val="16"/>
          <w:szCs w:val="16"/>
        </w:rPr>
        <w:t>артвооружению</w:t>
      </w:r>
      <w:proofErr w:type="spellEnd"/>
      <w:r w:rsidRPr="007122AB">
        <w:rPr>
          <w:color w:val="000000" w:themeColor="text1"/>
          <w:sz w:val="16"/>
          <w:szCs w:val="16"/>
        </w:rPr>
        <w:t xml:space="preserve"> (Симонов). 10. О состоянии изобретательства (в том числе реализация важнейших изобретений за 1931 г.) (Тухачевский). 11. Проведение оргмероприятий в 1931 г. и состояние новых формирований 1931 г. (Левичев). 12. О состоянии работ по системе железнодорожного вооружения. 21. Сообщение всех довольствующих управлений о ходе заключения ими договоров с промышленностью на 1932 г. (РГВА. Ф. 4. Оп. 18. Д. 21. Л. 330, 331</w:t>
      </w:r>
      <w:r w:rsidRPr="007122AB">
        <w:rPr>
          <w:color w:val="000000" w:themeColor="text1"/>
          <w:sz w:val="16"/>
          <w:szCs w:val="16"/>
        </w:rPr>
        <w:noBreakHyphen/>
        <w:t>334, 335) (12342).</w:t>
      </w:r>
    </w:p>
    <w:p w14:paraId="5319EA54" w14:textId="77777777" w:rsidR="00987BB5" w:rsidRPr="007122AB" w:rsidRDefault="00987BB5" w:rsidP="007122AB">
      <w:pPr>
        <w:pStyle w:val="rtejustify"/>
        <w:spacing w:before="0" w:after="0"/>
        <w:rPr>
          <w:color w:val="000000" w:themeColor="text1"/>
          <w:sz w:val="16"/>
          <w:szCs w:val="16"/>
        </w:rPr>
      </w:pPr>
    </w:p>
    <w:p w14:paraId="6E412EEB" w14:textId="77777777" w:rsidR="005E3256" w:rsidRPr="009F5089" w:rsidRDefault="005E3256" w:rsidP="005E3256">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13 декабря</w:t>
      </w:r>
      <w:r>
        <w:rPr>
          <w:rFonts w:ascii="Times New Roman" w:hAnsi="Times New Roman"/>
          <w:color w:val="0070C0"/>
          <w:sz w:val="16"/>
          <w:szCs w:val="16"/>
        </w:rPr>
        <w:t xml:space="preserve"> 1931 г</w:t>
      </w:r>
      <w:r w:rsidRPr="009F5089">
        <w:rPr>
          <w:rFonts w:ascii="Times New Roman" w:hAnsi="Times New Roman"/>
          <w:color w:val="0070C0"/>
          <w:sz w:val="16"/>
          <w:szCs w:val="16"/>
        </w:rPr>
        <w:t xml:space="preserve">. Реввоенсовет </w:t>
      </w:r>
      <w:r>
        <w:rPr>
          <w:rFonts w:ascii="Times New Roman" w:hAnsi="Times New Roman"/>
          <w:color w:val="0070C0"/>
          <w:sz w:val="16"/>
          <w:szCs w:val="16"/>
        </w:rPr>
        <w:t xml:space="preserve">вынес </w:t>
      </w:r>
      <w:r w:rsidRPr="009F5089">
        <w:rPr>
          <w:rFonts w:ascii="Times New Roman" w:hAnsi="Times New Roman"/>
          <w:color w:val="0070C0"/>
          <w:sz w:val="16"/>
          <w:szCs w:val="16"/>
        </w:rPr>
        <w:t xml:space="preserve">постановление о постройке </w:t>
      </w:r>
      <w:r>
        <w:rPr>
          <w:rFonts w:ascii="Times New Roman" w:hAnsi="Times New Roman"/>
          <w:color w:val="0070C0"/>
          <w:sz w:val="16"/>
          <w:szCs w:val="16"/>
        </w:rPr>
        <w:t>«</w:t>
      </w:r>
      <w:r w:rsidRPr="009F5089">
        <w:rPr>
          <w:rFonts w:ascii="Times New Roman" w:hAnsi="Times New Roman"/>
          <w:color w:val="0070C0"/>
          <w:sz w:val="16"/>
          <w:szCs w:val="16"/>
        </w:rPr>
        <w:t>сверх</w:t>
      </w:r>
      <w:r>
        <w:rPr>
          <w:rFonts w:ascii="Times New Roman" w:hAnsi="Times New Roman"/>
          <w:color w:val="0070C0"/>
          <w:sz w:val="16"/>
          <w:szCs w:val="16"/>
        </w:rPr>
        <w:t xml:space="preserve">высотного» </w:t>
      </w:r>
      <w:r w:rsidRPr="009F5089">
        <w:rPr>
          <w:rFonts w:ascii="Times New Roman" w:hAnsi="Times New Roman"/>
          <w:color w:val="0070C0"/>
          <w:sz w:val="16"/>
          <w:szCs w:val="16"/>
        </w:rPr>
        <w:t xml:space="preserve">самолета под мотор </w:t>
      </w:r>
      <w:r>
        <w:rPr>
          <w:rFonts w:ascii="Times New Roman" w:hAnsi="Times New Roman"/>
          <w:color w:val="0070C0"/>
          <w:sz w:val="16"/>
          <w:szCs w:val="16"/>
        </w:rPr>
        <w:t>М</w:t>
      </w:r>
      <w:r w:rsidRPr="009F5089">
        <w:rPr>
          <w:rFonts w:ascii="Times New Roman" w:hAnsi="Times New Roman"/>
          <w:color w:val="0070C0"/>
          <w:sz w:val="16"/>
          <w:szCs w:val="16"/>
        </w:rPr>
        <w:t>-34 с кислородным питанием экипажа.</w:t>
      </w:r>
    </w:p>
    <w:p w14:paraId="55B1EED9" w14:textId="77777777" w:rsidR="005E3256" w:rsidRPr="009F5089" w:rsidRDefault="005E3256" w:rsidP="005E3256">
      <w:pPr>
        <w:spacing w:after="0" w:line="240" w:lineRule="auto"/>
        <w:jc w:val="both"/>
        <w:rPr>
          <w:rFonts w:ascii="Times New Roman" w:hAnsi="Times New Roman"/>
          <w:color w:val="0070C0"/>
          <w:sz w:val="16"/>
          <w:szCs w:val="16"/>
        </w:rPr>
      </w:pPr>
      <w:r>
        <w:rPr>
          <w:rFonts w:ascii="Times New Roman" w:hAnsi="Times New Roman"/>
          <w:color w:val="0070C0"/>
          <w:sz w:val="16"/>
          <w:szCs w:val="16"/>
        </w:rPr>
        <w:t>В</w:t>
      </w:r>
      <w:r w:rsidRPr="009F5089">
        <w:rPr>
          <w:rFonts w:ascii="Times New Roman" w:hAnsi="Times New Roman"/>
          <w:color w:val="0070C0"/>
          <w:sz w:val="16"/>
          <w:szCs w:val="16"/>
        </w:rPr>
        <w:t xml:space="preserve"> связи с </w:t>
      </w:r>
      <w:r>
        <w:rPr>
          <w:rFonts w:ascii="Times New Roman" w:hAnsi="Times New Roman"/>
          <w:color w:val="0070C0"/>
          <w:sz w:val="16"/>
          <w:szCs w:val="16"/>
        </w:rPr>
        <w:t>этим</w:t>
      </w:r>
      <w:r w:rsidRPr="009F5089">
        <w:rPr>
          <w:rFonts w:ascii="Times New Roman" w:hAnsi="Times New Roman"/>
          <w:color w:val="0070C0"/>
          <w:sz w:val="16"/>
          <w:szCs w:val="16"/>
        </w:rPr>
        <w:t xml:space="preserve"> поручалось н</w:t>
      </w:r>
      <w:r>
        <w:rPr>
          <w:rFonts w:ascii="Times New Roman" w:hAnsi="Times New Roman"/>
          <w:color w:val="0070C0"/>
          <w:sz w:val="16"/>
          <w:szCs w:val="16"/>
        </w:rPr>
        <w:t>е</w:t>
      </w:r>
      <w:r w:rsidRPr="009F5089">
        <w:rPr>
          <w:rFonts w:ascii="Times New Roman" w:hAnsi="Times New Roman"/>
          <w:color w:val="0070C0"/>
          <w:sz w:val="16"/>
          <w:szCs w:val="16"/>
        </w:rPr>
        <w:t>скольким</w:t>
      </w:r>
      <w:r>
        <w:rPr>
          <w:rFonts w:ascii="Times New Roman" w:hAnsi="Times New Roman"/>
          <w:color w:val="0070C0"/>
          <w:sz w:val="16"/>
          <w:szCs w:val="16"/>
        </w:rPr>
        <w:t xml:space="preserve"> предприятиям </w:t>
      </w:r>
      <w:r w:rsidRPr="009F5089">
        <w:rPr>
          <w:rFonts w:ascii="Times New Roman" w:hAnsi="Times New Roman"/>
          <w:color w:val="0070C0"/>
          <w:sz w:val="16"/>
          <w:szCs w:val="16"/>
        </w:rPr>
        <w:t>изготовить кисло</w:t>
      </w:r>
      <w:r>
        <w:rPr>
          <w:rFonts w:ascii="Times New Roman" w:hAnsi="Times New Roman"/>
          <w:color w:val="0070C0"/>
          <w:sz w:val="16"/>
          <w:szCs w:val="16"/>
        </w:rPr>
        <w:t>родную аппаратуры для высотных самолетов. П</w:t>
      </w:r>
      <w:r w:rsidRPr="009F5089">
        <w:rPr>
          <w:rFonts w:ascii="Times New Roman" w:hAnsi="Times New Roman"/>
          <w:color w:val="0070C0"/>
          <w:sz w:val="16"/>
          <w:szCs w:val="16"/>
        </w:rPr>
        <w:t xml:space="preserve">остановление PBC положило </w:t>
      </w:r>
      <w:r>
        <w:rPr>
          <w:rFonts w:ascii="Times New Roman" w:hAnsi="Times New Roman"/>
          <w:color w:val="0070C0"/>
          <w:sz w:val="16"/>
          <w:szCs w:val="16"/>
        </w:rPr>
        <w:t xml:space="preserve">начало высотной </w:t>
      </w:r>
      <w:r w:rsidRPr="009F5089">
        <w:rPr>
          <w:rFonts w:ascii="Times New Roman" w:hAnsi="Times New Roman"/>
          <w:color w:val="0070C0"/>
          <w:sz w:val="16"/>
          <w:szCs w:val="16"/>
        </w:rPr>
        <w:t>авиации в на</w:t>
      </w:r>
      <w:r>
        <w:rPr>
          <w:rFonts w:ascii="Times New Roman" w:hAnsi="Times New Roman"/>
          <w:color w:val="0070C0"/>
          <w:sz w:val="16"/>
          <w:szCs w:val="16"/>
        </w:rPr>
        <w:t>ш</w:t>
      </w:r>
      <w:r w:rsidRPr="009F5089">
        <w:rPr>
          <w:rFonts w:ascii="Times New Roman" w:hAnsi="Times New Roman"/>
          <w:color w:val="0070C0"/>
          <w:sz w:val="16"/>
          <w:szCs w:val="16"/>
        </w:rPr>
        <w:t>ей стране.</w:t>
      </w:r>
    </w:p>
    <w:p w14:paraId="2624CFE1" w14:textId="77777777" w:rsidR="005E3256" w:rsidRDefault="005E3256" w:rsidP="005E3256">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/ЦГАСА,</w:t>
      </w:r>
      <w:r>
        <w:rPr>
          <w:rFonts w:ascii="Times New Roman" w:hAnsi="Times New Roman"/>
          <w:color w:val="0070C0"/>
          <w:sz w:val="16"/>
          <w:szCs w:val="16"/>
        </w:rPr>
        <w:t xml:space="preserve"> </w:t>
      </w:r>
      <w:r w:rsidRPr="009F5089">
        <w:rPr>
          <w:rFonts w:ascii="Times New Roman" w:hAnsi="Times New Roman"/>
          <w:color w:val="0070C0"/>
          <w:sz w:val="16"/>
          <w:szCs w:val="16"/>
        </w:rPr>
        <w:t>ф.</w:t>
      </w:r>
      <w:r>
        <w:rPr>
          <w:rFonts w:ascii="Times New Roman" w:hAnsi="Times New Roman"/>
          <w:color w:val="0070C0"/>
          <w:sz w:val="16"/>
          <w:szCs w:val="16"/>
        </w:rPr>
        <w:t xml:space="preserve"> </w:t>
      </w:r>
      <w:r w:rsidRPr="009F5089">
        <w:rPr>
          <w:rFonts w:ascii="Times New Roman" w:hAnsi="Times New Roman"/>
          <w:color w:val="0070C0"/>
          <w:sz w:val="16"/>
          <w:szCs w:val="16"/>
        </w:rPr>
        <w:t>4</w:t>
      </w:r>
      <w:r>
        <w:rPr>
          <w:rFonts w:ascii="Times New Roman" w:hAnsi="Times New Roman"/>
          <w:color w:val="0070C0"/>
          <w:sz w:val="16"/>
          <w:szCs w:val="16"/>
        </w:rPr>
        <w:t>, оп</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1,</w:t>
      </w:r>
      <w:r>
        <w:rPr>
          <w:rFonts w:ascii="Times New Roman" w:hAnsi="Times New Roman"/>
          <w:color w:val="0070C0"/>
          <w:sz w:val="16"/>
          <w:szCs w:val="16"/>
        </w:rPr>
        <w:t xml:space="preserve"> д</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1217, </w:t>
      </w:r>
      <w:r>
        <w:rPr>
          <w:rFonts w:ascii="Times New Roman" w:hAnsi="Times New Roman"/>
          <w:color w:val="0070C0"/>
          <w:sz w:val="16"/>
          <w:szCs w:val="16"/>
        </w:rPr>
        <w:t>л</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23</w:t>
      </w:r>
      <w:r>
        <w:rPr>
          <w:rFonts w:ascii="Times New Roman" w:hAnsi="Times New Roman"/>
          <w:color w:val="0070C0"/>
          <w:sz w:val="16"/>
          <w:szCs w:val="16"/>
        </w:rPr>
        <w:t>0</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6D47A46E" w14:textId="77777777" w:rsidR="005E3256" w:rsidRDefault="005E3256" w:rsidP="005E3256">
      <w:pPr>
        <w:spacing w:after="0" w:line="240" w:lineRule="auto"/>
        <w:jc w:val="both"/>
        <w:rPr>
          <w:rFonts w:ascii="Times New Roman" w:hAnsi="Times New Roman"/>
          <w:color w:val="0070C0"/>
          <w:sz w:val="16"/>
          <w:szCs w:val="16"/>
        </w:rPr>
      </w:pPr>
    </w:p>
    <w:p w14:paraId="7088B61D" w14:textId="77777777" w:rsidR="00C2063C" w:rsidRPr="007122AB" w:rsidRDefault="00C2063C" w:rsidP="007122AB">
      <w:pPr>
        <w:pStyle w:val="rtejustify"/>
        <w:spacing w:before="0" w:after="0"/>
        <w:rPr>
          <w:bCs/>
          <w:color w:val="000000" w:themeColor="text1"/>
          <w:sz w:val="16"/>
          <w:szCs w:val="16"/>
        </w:rPr>
      </w:pPr>
      <w:r w:rsidRPr="007122AB">
        <w:rPr>
          <w:bCs/>
          <w:color w:val="000000" w:themeColor="text1"/>
          <w:sz w:val="16"/>
          <w:szCs w:val="16"/>
        </w:rPr>
        <w:t>13 декабря 1931 г. — Справка комиссии ЦК ВКП(б) по обследованию работы авиационного завода № 1</w:t>
      </w:r>
    </w:p>
    <w:p w14:paraId="47BF70AB" w14:textId="77777777" w:rsidR="00C2063C" w:rsidRPr="007122AB" w:rsidRDefault="00C2063C" w:rsidP="007122AB">
      <w:pPr>
        <w:pStyle w:val="rtejustify"/>
        <w:spacing w:before="0" w:after="0"/>
        <w:rPr>
          <w:color w:val="000000" w:themeColor="text1"/>
          <w:sz w:val="16"/>
          <w:szCs w:val="16"/>
        </w:rPr>
      </w:pPr>
      <w:r w:rsidRPr="007122AB">
        <w:rPr>
          <w:rStyle w:val="af0"/>
          <w:i w:val="0"/>
          <w:color w:val="000000" w:themeColor="text1"/>
          <w:sz w:val="16"/>
          <w:szCs w:val="16"/>
        </w:rPr>
        <w:t>Секретно.</w:t>
      </w:r>
    </w:p>
    <w:p w14:paraId="16522CF6" w14:textId="77777777" w:rsidR="00C2063C" w:rsidRPr="007122AB" w:rsidRDefault="00C2063C" w:rsidP="007122AB">
      <w:pPr>
        <w:pStyle w:val="rtejustify"/>
        <w:spacing w:before="0" w:after="0"/>
        <w:rPr>
          <w:color w:val="000000" w:themeColor="text1"/>
          <w:sz w:val="16"/>
          <w:szCs w:val="16"/>
        </w:rPr>
      </w:pPr>
      <w:r w:rsidRPr="007122AB">
        <w:rPr>
          <w:rStyle w:val="a7"/>
          <w:b w:val="0"/>
          <w:bCs w:val="0"/>
          <w:color w:val="000000" w:themeColor="text1"/>
          <w:sz w:val="16"/>
          <w:szCs w:val="16"/>
        </w:rPr>
        <w:t>1. Краткая характеристика завода № 1</w:t>
      </w:r>
    </w:p>
    <w:p w14:paraId="69938ED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Авиационный завод № 1 имени Осоавиахима к началу 1931 г. представлял из себя, по сути дела, комбинат, в который входило самолетостроение, специальное металлургическое производство, предметы вооружения, колеса, расчалки и прочие подсобные детали. Во второй половине 1931 г. завод разделился на 3 самостоятельных завода: завод № 1 — самолетостроительный, завод № 32 — вооружение, колеса, радиаторы, расчалки и пр. и завод № 34 — металлургический (литье и прокатка специальных авиационных материалов).</w:t>
      </w:r>
    </w:p>
    <w:p w14:paraId="5CDCA8A6"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начале 1931 г. завод находился на одной территории, так называемой старой территории завода. В течение 1931 г. был построен ряд корпусов на новой территории завода около центрального аэродрома, куда была перенесена часть производства самолетного завода. Всего за 1931 г. освоено новой площади около 15 тыс. м².</w:t>
      </w:r>
    </w:p>
    <w:p w14:paraId="183EC585"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В настоящее время на старой территории завода остались цеха: заготовительный, слесарный, механический, сварочный, паяльный, штамповочный, ремонтный и инструментальный. На новую территорию переведены: столярный, сборочный, малярный и обойный цеха и вновь организован на новой территории </w:t>
      </w:r>
      <w:proofErr w:type="spellStart"/>
      <w:r w:rsidRPr="007122AB">
        <w:rPr>
          <w:color w:val="000000" w:themeColor="text1"/>
          <w:sz w:val="16"/>
          <w:szCs w:val="16"/>
        </w:rPr>
        <w:t>фюзеляжно</w:t>
      </w:r>
      <w:proofErr w:type="spellEnd"/>
      <w:r w:rsidRPr="007122AB">
        <w:rPr>
          <w:color w:val="000000" w:themeColor="text1"/>
          <w:sz w:val="16"/>
          <w:szCs w:val="16"/>
        </w:rPr>
        <w:t>-сварочный цех. Наконец, на новой территории находятся также экспедиция, тир и летно-испытательная станция. На старой территории, помимо перечисленной части цехов самолетного завода, целиком находятся выделенные в самостоятельные единицы заводы № 32 и 34.</w:t>
      </w:r>
    </w:p>
    <w:p w14:paraId="3B2C314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По линии внутризаводской работы 1931 г. ушел на значительную реорганизацию цехов, их перемещение по территории, расширение некоторых цехов, их переоборудование и пр. Разделение первоначально единого завода на 3 завода до конца пока что не доведено, и в современном состоянии организации этих 3 заводов таятся еще возможности для больших неполадок и внутренних трений.</w:t>
      </w:r>
    </w:p>
    <w:p w14:paraId="296BEA0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В настоящее время </w:t>
      </w:r>
      <w:proofErr w:type="spellStart"/>
      <w:r w:rsidRPr="007122AB">
        <w:rPr>
          <w:color w:val="000000" w:themeColor="text1"/>
          <w:sz w:val="16"/>
          <w:szCs w:val="16"/>
        </w:rPr>
        <w:t>Гипроспецмет</w:t>
      </w:r>
      <w:proofErr w:type="spellEnd"/>
      <w:r w:rsidRPr="007122AB">
        <w:rPr>
          <w:color w:val="000000" w:themeColor="text1"/>
          <w:sz w:val="16"/>
          <w:szCs w:val="16"/>
        </w:rPr>
        <w:t xml:space="preserve"> ведет разработку большой реконструкции завода № 1, ориентируясь на пропускную способность завода примерно 5 тыс. самолетов в год. Проект этой реконструкции в настоящее время разрабатывается, и реконструкцию эту намечено проводить начиная с начала 1933 г.</w:t>
      </w:r>
    </w:p>
    <w:p w14:paraId="2BFD0773"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Для обеспечения выполнения программы 1932 г. на заводе разрабатывается так называемая малая реконструкция завода, исходя из программы примерно 1,2 тыс. самолетов в год при односменной работе сборочного цеха. Эта малая реконструкция, не внося какого-либо кардинального изменения в техническую структуру завода, предусматривает в основном техническое упорядочение дела сборки самолетов, их прохождение по определенной системе и частичное введение поточной системы их сборки. Малая реконструкция, проводимая в настоящее время на заводе, потребует изготовления целого ряда приспособлений, стапелей и пр. Календарная программа на выполнение всего этого на заводе составлена и в основном намечена к проведению на заводе в течении I квартала 1932 г. с тем, чтобы начиная со II квартала сборка машин шла уже по новой системе.</w:t>
      </w:r>
    </w:p>
    <w:p w14:paraId="25138D83"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К началу 1931 г. на заводе существовал централизованный метод планирования производства, что не давало достаточно четкой картины выполнения отдельных конструктивных узлов и деталей в процессе их прохождения по цехам и влекло за собой целый ряд неожиданных остановок при окончательном монтаже машины. В течение 1931 г. завод перешел на новый метод планирования по конструктивным узлам и комплектам, что дало возможность значительно удобнее вести учет производства и обеспечивало строго комплектную подачу деталей. Это мероприятие, совместно с перенесением детального планирования и учета в цеха, внесло несомненные улучшения в общую постановку планирования завода.</w:t>
      </w:r>
    </w:p>
    <w:p w14:paraId="7A28A00C" w14:textId="77777777" w:rsidR="00C2063C" w:rsidRPr="007122AB" w:rsidRDefault="00C2063C" w:rsidP="007122AB">
      <w:pPr>
        <w:pStyle w:val="rtejustify"/>
        <w:spacing w:before="0" w:after="0"/>
        <w:rPr>
          <w:color w:val="000000" w:themeColor="text1"/>
          <w:sz w:val="16"/>
          <w:szCs w:val="16"/>
        </w:rPr>
      </w:pPr>
      <w:r w:rsidRPr="007122AB">
        <w:rPr>
          <w:rStyle w:val="a7"/>
          <w:b w:val="0"/>
          <w:bCs w:val="0"/>
          <w:color w:val="000000" w:themeColor="text1"/>
          <w:sz w:val="16"/>
          <w:szCs w:val="16"/>
        </w:rPr>
        <w:t>2. Характеристика программы 1931 г.</w:t>
      </w:r>
    </w:p>
    <w:p w14:paraId="0390D4D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Программа на 1931 г. в течение года менялась 4 раза. Первый вариант программы был дан 10 декабря 1930 г., второй вариант — 27 марта 1931 г., третий вариант — 22 июля 1931 г. и, наконец, четвертый вариант был утвержден 22 октября 1931 г. Изменения, вносившиеся в программу от одного варианта к другому, были столь существенны, что крайне неблагоприятно отражалось на всем ходе хозяйственной жизни завода, так как каждое изменение программы связано с изменением общей планировки по заводу и по цехам, с изменением методов изготовления тех или иных деталей и разработки приспособлений к ним, с изменением графика прохождения деталей по заводу и ломало всю ранее согласованную систему подачи материала, подачи инструмента, выхода деталей, количества рабочей силы и пр. и пр. Совершенно очевидно, что ломка программы в течение года 4 раза — вещь совершенно не допустимая, дезорганизующая работу завода и вносящая туда полнейшую деморализацию.</w:t>
      </w:r>
    </w:p>
    <w:p w14:paraId="6640EB2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основном, если брать только по самолетам и откинуть вопрос о групповых комплектах, который не является решающим и подвергался сравнительно малым изменениям, программа 1931 г. имела такой характер.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97"/>
        <w:gridCol w:w="1841"/>
        <w:gridCol w:w="1428"/>
        <w:gridCol w:w="1428"/>
        <w:gridCol w:w="1428"/>
      </w:tblGrid>
      <w:tr w:rsidR="001002C3" w:rsidRPr="007122AB" w14:paraId="399464E7"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3893A5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FDDE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150B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8BB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B72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вариант</w:t>
            </w:r>
          </w:p>
        </w:tc>
      </w:tr>
      <w:tr w:rsidR="001002C3" w:rsidRPr="007122AB" w14:paraId="545F00A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CEFD6ED"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w:t>
            </w:r>
            <w:r w:rsidRPr="007122AB">
              <w:rPr>
                <w:rFonts w:ascii="Times New Roman" w:hAnsi="Times New Roman"/>
                <w:color w:val="000000" w:themeColor="text1"/>
                <w:sz w:val="16"/>
                <w:szCs w:val="16"/>
              </w:rPr>
              <w:noBreakHyphen/>
              <w:t>5 (разведчик) 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4EFE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760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63E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C749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101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610</w:t>
            </w:r>
          </w:p>
        </w:tc>
      </w:tr>
      <w:tr w:rsidR="001002C3" w:rsidRPr="007122AB" w14:paraId="336020A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BA9653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5 (истребитель)³*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67D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9594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053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D15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w:t>
            </w:r>
          </w:p>
        </w:tc>
      </w:tr>
      <w:tr w:rsidR="001002C3" w:rsidRPr="007122AB" w14:paraId="10B5190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9D1E67D"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7 (истребитель)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FCE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9622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6B21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B840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r>
      <w:tr w:rsidR="001002C3" w:rsidRPr="007122AB" w14:paraId="3B997CF1"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E8DC72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ТШ (тяжелый штурмовик)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E2A6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DF907"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7572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8978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42D5A861"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A5B092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3 (истребитель)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B3B0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4E3F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A8C2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16C1"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r>
    </w:tbl>
    <w:p w14:paraId="19A968E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Помимо этого, по данной программе нужно отметить, что некоторые самолеты включались в план и держались в плане почти в течение всего года, не имея законченным даже первого экземпляра аппарата этого типа. Так обстоит дело с самолетом ТШ (тяжелый штурмовик), заказ на который в количестве 100 шт. был дан в начале года на основании «парадного» вылета аппарата без какого бы то ни было серьезного анализа его летных данных и висел на плечах завода до июля месяца. </w:t>
      </w:r>
      <w:r w:rsidRPr="007122AB">
        <w:rPr>
          <w:color w:val="000000" w:themeColor="text1"/>
          <w:sz w:val="16"/>
          <w:szCs w:val="16"/>
        </w:rPr>
        <w:lastRenderedPageBreak/>
        <w:t>Этот самолет даже сейчас, спустя год после включения этой машины в план завода, готового образца для серийного производства не имеет, и он появится не раньше, как через несколько месяцев (порядка 4</w:t>
      </w:r>
      <w:r w:rsidRPr="007122AB">
        <w:rPr>
          <w:color w:val="000000" w:themeColor="text1"/>
          <w:sz w:val="16"/>
          <w:szCs w:val="16"/>
        </w:rPr>
        <w:noBreakHyphen/>
        <w:t>6 месяцев).</w:t>
      </w:r>
    </w:p>
    <w:p w14:paraId="132A53B1" w14:textId="77777777" w:rsidR="00C2063C" w:rsidRPr="007122AB" w:rsidRDefault="00C2063C" w:rsidP="007122AB">
      <w:pPr>
        <w:pStyle w:val="rtejustify"/>
        <w:spacing w:before="0" w:after="0"/>
        <w:rPr>
          <w:color w:val="000000" w:themeColor="text1"/>
          <w:sz w:val="16"/>
          <w:szCs w:val="16"/>
        </w:rPr>
      </w:pPr>
      <w:r w:rsidRPr="007122AB">
        <w:rPr>
          <w:rStyle w:val="a7"/>
          <w:b w:val="0"/>
          <w:bCs w:val="0"/>
          <w:color w:val="000000" w:themeColor="text1"/>
          <w:sz w:val="16"/>
          <w:szCs w:val="16"/>
        </w:rPr>
        <w:t>3. Состояние выполнения программы 1931 г.</w:t>
      </w:r>
    </w:p>
    <w:p w14:paraId="59D964B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Фактическая сторона выполнения программы выпуска самолетов на I квартал 1931 г. рисуется в таком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98"/>
        <w:gridCol w:w="2334"/>
        <w:gridCol w:w="2131"/>
        <w:gridCol w:w="2259"/>
      </w:tblGrid>
      <w:tr w:rsidR="001002C3" w:rsidRPr="007122AB" w14:paraId="675DF3F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3FADD1D"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1605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Задано 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323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8F8B7"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Проценты</w:t>
            </w:r>
          </w:p>
          <w:p w14:paraId="7A1A8B4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выполнения</w:t>
            </w:r>
          </w:p>
        </w:tc>
      </w:tr>
      <w:tr w:rsidR="001002C3" w:rsidRPr="007122AB" w14:paraId="254C5534"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A64339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w:t>
            </w:r>
            <w:r w:rsidRPr="007122AB">
              <w:rPr>
                <w:rFonts w:ascii="Times New Roman" w:hAnsi="Times New Roman"/>
                <w:color w:val="000000" w:themeColor="text1"/>
                <w:sz w:val="16"/>
                <w:szCs w:val="16"/>
              </w:rPr>
              <w:noBreakHyphen/>
              <w:t>5 с моторами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C66A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9CD2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F765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74,1</w:t>
            </w:r>
          </w:p>
        </w:tc>
      </w:tr>
      <w:tr w:rsidR="001002C3" w:rsidRPr="007122AB" w14:paraId="0AF2D233"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C6D852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w:t>
            </w:r>
            <w:r w:rsidRPr="007122AB">
              <w:rPr>
                <w:rFonts w:ascii="Times New Roman" w:hAnsi="Times New Roman"/>
                <w:color w:val="000000" w:themeColor="text1"/>
                <w:sz w:val="16"/>
                <w:szCs w:val="16"/>
              </w:rPr>
              <w:noBreakHyphen/>
              <w:t>5 без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929A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F4CB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F2E5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w:t>
            </w:r>
          </w:p>
        </w:tc>
      </w:tr>
      <w:tr w:rsidR="001002C3" w:rsidRPr="007122AB" w14:paraId="1C89B608"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076A04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5 с мотором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B50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FF92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F8F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65,5</w:t>
            </w:r>
          </w:p>
        </w:tc>
      </w:tr>
      <w:tr w:rsidR="001002C3" w:rsidRPr="007122AB" w14:paraId="488ABBE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A19217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5 без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5431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D56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6703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7BC7910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D56636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7 с мотором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51B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9DD9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77F9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49102B52"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214E34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w:t>
            </w:r>
            <w:r w:rsidRPr="007122AB">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044A7"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6B26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6FD4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bl>
    <w:p w14:paraId="0C5AB30C"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Нужно отметить, что в графе «Задано» фигурируют цифры по последнему варианту программы от 22 октября с. г. Если выполнение программы отнести к первому варианту программы, то процент выполнения получается весьма мизерный, и картина достаточна мрачная. Нужно отметить, что, помимо выпуска готовых самолетов согласно приведенной только что таблицы, на заводе имеется так называемого незавершенного производства на общую сумму, считая на 1 ноября 1931 г., 13 339 174 [руб.] 27 коп. при годовом бюджете завода примерно 21 млн. Это незавершенное производство состоит в основном из 250 сваренных фюзеляжей для самолета И</w:t>
      </w:r>
      <w:r w:rsidRPr="007122AB">
        <w:rPr>
          <w:color w:val="000000" w:themeColor="text1"/>
          <w:sz w:val="16"/>
          <w:szCs w:val="16"/>
        </w:rPr>
        <w:noBreakHyphen/>
        <w:t>5, из огромного количества баков для самолета И</w:t>
      </w:r>
      <w:r w:rsidRPr="007122AB">
        <w:rPr>
          <w:color w:val="000000" w:themeColor="text1"/>
          <w:sz w:val="16"/>
          <w:szCs w:val="16"/>
        </w:rPr>
        <w:noBreakHyphen/>
        <w:t>5 и Р</w:t>
      </w:r>
      <w:r w:rsidRPr="007122AB">
        <w:rPr>
          <w:color w:val="000000" w:themeColor="text1"/>
          <w:sz w:val="16"/>
          <w:szCs w:val="16"/>
        </w:rPr>
        <w:noBreakHyphen/>
        <w:t>5 (все заготовительные помещения и цеха забиты баками, крыльями и другими крупными деталями самолета). Это незавершенное производство загромоздило все складочные помещения и основные цеха, внесло полнейшую дезорганизацию во всю систему выполнения программы и фактически заморозило около 65%⁴* годового бюджета завода. Помимо этого, незавершенное производство, принужденное лежать в течение нескольких месяцев на заводе, подвержено влиянию атмосферных условий и всяких случайных причин, в результате чего при окончательной сборке машины приходится встречаться с чрезвычайно большим количеством дефектов и недостатков, которые нужно срочно устранять, затрачивая на это дело много сил, денег и времени. Приводимые несколько фотографий (4 шт.) дают примерную картину загрузки цехов элементами незавершенной продукций.</w:t>
      </w:r>
    </w:p>
    <w:p w14:paraId="0E938710" w14:textId="77777777" w:rsidR="00C2063C" w:rsidRPr="007122AB" w:rsidRDefault="00C2063C" w:rsidP="007122AB">
      <w:pPr>
        <w:pStyle w:val="rtejustify"/>
        <w:spacing w:before="0" w:after="0"/>
        <w:rPr>
          <w:color w:val="000000" w:themeColor="text1"/>
          <w:sz w:val="16"/>
          <w:szCs w:val="16"/>
        </w:rPr>
      </w:pPr>
      <w:r w:rsidRPr="007122AB">
        <w:rPr>
          <w:rStyle w:val="a7"/>
          <w:b w:val="0"/>
          <w:bCs w:val="0"/>
          <w:color w:val="000000" w:themeColor="text1"/>
          <w:sz w:val="16"/>
          <w:szCs w:val="16"/>
        </w:rPr>
        <w:t>4. Основные причины невыполнения программы 1931 г.</w:t>
      </w:r>
    </w:p>
    <w:p w14:paraId="4CB1310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Основными причинами невыполнения программы являются:</w:t>
      </w:r>
    </w:p>
    <w:p w14:paraId="44B2A69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1. Указанная выше неразбериха и лихорадка в изменениях программы.</w:t>
      </w:r>
    </w:p>
    <w:p w14:paraId="14ACFE6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2. Совершенно неудовлетворительное и ненормальное поступление авиационных моторов, предназначенных к постановке на самолеты. Картина поступления моторов рисуется в таком виде: на 1 декабря 1931 г. должно было поступить моторов М</w:t>
      </w:r>
      <w:r w:rsidRPr="007122AB">
        <w:rPr>
          <w:color w:val="000000" w:themeColor="text1"/>
          <w:sz w:val="16"/>
          <w:szCs w:val="16"/>
        </w:rPr>
        <w:noBreakHyphen/>
        <w:t>17 для самолета Р</w:t>
      </w:r>
      <w:r w:rsidRPr="007122AB">
        <w:rPr>
          <w:color w:val="000000" w:themeColor="text1"/>
          <w:sz w:val="16"/>
          <w:szCs w:val="16"/>
        </w:rPr>
        <w:noBreakHyphen/>
        <w:t>5 594 поступило на завод 273. Моторов М</w:t>
      </w:r>
      <w:r w:rsidRPr="007122AB">
        <w:rPr>
          <w:color w:val="000000" w:themeColor="text1"/>
          <w:sz w:val="16"/>
          <w:szCs w:val="16"/>
        </w:rPr>
        <w:noBreakHyphen/>
        <w:t>22 для самолета И</w:t>
      </w:r>
      <w:r w:rsidRPr="007122AB">
        <w:rPr>
          <w:color w:val="000000" w:themeColor="text1"/>
          <w:sz w:val="16"/>
          <w:szCs w:val="16"/>
        </w:rPr>
        <w:noBreakHyphen/>
        <w:t>5 должно было быть 130, поступило на 1 декабря 52.</w:t>
      </w:r>
    </w:p>
    <w:p w14:paraId="4BA8038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Помимо суммарной недодачи моторов, чрезвычайно отражалось лихорадочное поступление моторов по месяцам. Прилагаемые графики 1, 2 и 3 отчетливо показывают всю ненормальность в снабжении завода авиационными моторами. Совершенно очевидно, что при такой подаче моторов говорить о нормальном выпуске самолетов не приходится.</w:t>
      </w:r>
    </w:p>
    <w:p w14:paraId="079BB9D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3. Третьим фактором, срывающим выполнение программы является пуск в серийное производство конструкций самолетов, весьма мало продуманных с точки зрения производственной и эксплуатационной, что неизбежно влекло за собой очень значительное количество конструктивных изменений как в чертежах, так и в отдельных деталях и комплектах. Достаточно сказать, что за год по самолету И</w:t>
      </w:r>
      <w:r w:rsidRPr="007122AB">
        <w:rPr>
          <w:color w:val="000000" w:themeColor="text1"/>
          <w:sz w:val="16"/>
          <w:szCs w:val="16"/>
        </w:rPr>
        <w:noBreakHyphen/>
        <w:t>5 было 914 изменений (общее количество чертежей — 2,7 тыс.). Особенно нужно отметить чрезвычайно болезненное прохождение в серию самолета И</w:t>
      </w:r>
      <w:r w:rsidRPr="007122AB">
        <w:rPr>
          <w:color w:val="000000" w:themeColor="text1"/>
          <w:sz w:val="16"/>
          <w:szCs w:val="16"/>
        </w:rPr>
        <w:noBreakHyphen/>
        <w:t xml:space="preserve">5, так как этот аппарат при подаче в серию не прошел нормальных государственных испытаний, а тем более войсковых испытаний. Отсюда громадное количество переделок и мелких и очень крупных было вызвано постепенным ознакомлением </w:t>
      </w:r>
      <w:r w:rsidRPr="007122AB">
        <w:rPr>
          <w:rStyle w:val="af0"/>
          <w:i w:val="0"/>
          <w:color w:val="000000" w:themeColor="text1"/>
          <w:sz w:val="16"/>
          <w:szCs w:val="16"/>
        </w:rPr>
        <w:t>с</w:t>
      </w:r>
      <w:r w:rsidRPr="007122AB">
        <w:rPr>
          <w:color w:val="000000" w:themeColor="text1"/>
          <w:sz w:val="16"/>
          <w:szCs w:val="16"/>
        </w:rPr>
        <w:t xml:space="preserve"> аппаратом в летных частях. Даже в настоящий момент, спустя год после начала производства самолетов И</w:t>
      </w:r>
      <w:r w:rsidRPr="007122AB">
        <w:rPr>
          <w:color w:val="000000" w:themeColor="text1"/>
          <w:sz w:val="16"/>
          <w:szCs w:val="16"/>
        </w:rPr>
        <w:noBreakHyphen/>
        <w:t>5, выяснилась необходимость чрезвычайно серьезной переделки наиболее крупных частей самолетов. Достаточно сказать, что должны подвергнуться полным переделкам капот, обтекатели и обшивка фюзеляжа, обводка кабины летчика, педаль, костыли, хвостовой отсек фюзеляжа, шасси, бензиновый бак, коробка пулеметной ленты, крепление пулемета, задний шкворень пулемета, кольцевой прицел, козырек и под вопросом стоит переделка крыльев самолета.</w:t>
      </w:r>
    </w:p>
    <w:p w14:paraId="7C35539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Источником всех этих многочисленных переделок является передача в серию аппаратов, не доведенных до конца с точки зрения конструктивной, производственно-эксплуатационной и отсутствие твердо фиксированного эталонного образца, по которому завод должен был бы производить серию машин.</w:t>
      </w:r>
    </w:p>
    <w:p w14:paraId="24D54DB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4. Снабжение завода материалами для производства протекало в ненормальных условиях. По целому ряду материалов поставщики не выполняли своих обязательств. Как правило, большинство материала, поступающего от поставщиков (завод «Серп и молот», завод в Мотовилихе, завод в Сталинграде и пр.), не соответствует кондиционным условиям и имеет ряд пороков (раковины, неровная поверхность и пр.) Помимо этого, </w:t>
      </w:r>
      <w:proofErr w:type="spellStart"/>
      <w:r w:rsidRPr="007122AB">
        <w:rPr>
          <w:color w:val="000000" w:themeColor="text1"/>
          <w:sz w:val="16"/>
          <w:szCs w:val="16"/>
        </w:rPr>
        <w:t>поступаемый</w:t>
      </w:r>
      <w:proofErr w:type="spellEnd"/>
      <w:r w:rsidRPr="007122AB">
        <w:rPr>
          <w:color w:val="000000" w:themeColor="text1"/>
          <w:sz w:val="16"/>
          <w:szCs w:val="16"/>
        </w:rPr>
        <w:t xml:space="preserve"> материал сплошь и рядом не соответствует его паспортизации и вынуждает завод производить испытание чуть ли не каждого листа из </w:t>
      </w:r>
      <w:proofErr w:type="spellStart"/>
      <w:r w:rsidRPr="007122AB">
        <w:rPr>
          <w:color w:val="000000" w:themeColor="text1"/>
          <w:sz w:val="16"/>
          <w:szCs w:val="16"/>
        </w:rPr>
        <w:t>поступаемого</w:t>
      </w:r>
      <w:proofErr w:type="spellEnd"/>
      <w:r w:rsidRPr="007122AB">
        <w:rPr>
          <w:color w:val="000000" w:themeColor="text1"/>
          <w:sz w:val="16"/>
          <w:szCs w:val="16"/>
        </w:rPr>
        <w:t xml:space="preserve"> материала. Этим самым завод обращается в громадного масштаба лабораторию испытания материалов, что, естественно, влечет за собой задержку в производстве, загрузку оборудования и людей. Поставка недоброкачественного материала вызвала, например, такой случай, когда пришлось из всех цехов изъять свыше 50 тыс. готовых деталей, все их испытывать в лаборатории на твердость и только таким путем отобрать оттуда детали из негодного материала. Затем поставка материалов не соответствующего размера влекла за собой исключительную загрузку оборудования и громадный перерасход материала. Достаточно сказать, что за 4 месяца (с июля по октябрь) было перерасходовано материала около 3,5 т только за счет несоответствующих размеров поставленных материалов.</w:t>
      </w:r>
    </w:p>
    <w:p w14:paraId="2613D27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5. На невыполнение программы 1931 г. большое влияние, помимо указанных выше причин, имели причины внутризаводского порядка. Эти причины сводятся к следующему: а) неудовлетворительная система </w:t>
      </w:r>
      <w:proofErr w:type="spellStart"/>
      <w:r w:rsidRPr="007122AB">
        <w:rPr>
          <w:color w:val="000000" w:themeColor="text1"/>
          <w:sz w:val="16"/>
          <w:szCs w:val="16"/>
        </w:rPr>
        <w:t>подетального</w:t>
      </w:r>
      <w:proofErr w:type="spellEnd"/>
      <w:r w:rsidRPr="007122AB">
        <w:rPr>
          <w:color w:val="000000" w:themeColor="text1"/>
          <w:sz w:val="16"/>
          <w:szCs w:val="16"/>
        </w:rPr>
        <w:t xml:space="preserve"> планирования, имевшая место на заводе в начале года. Реорганизация системы планирования в достаточной мере затянулась и по всем деталям целиком еще не внедрена и не дает надлежащего эффекта; б) наличие огромной потери в производстве, недостаточно рациональное использование мощности цехов, ненормально высокий процент простоев и в то же время непомерно большое количество сверхурочных работ в некоторые месяцы. Количество простоев доходило в сентябре месяце до 60 тыс. рабочих часов (11% [от] полной мощности), Количество сверхурочных часов доходило в марте месяце до 45 тыс. часов (11%⁵*) (см. график № 4); в) при преобладании на заводе ручных работ (около 60%) слишком мало сделано для механизации процесса производства. Большое количество брака и совершенно неудовлетворительная постановка дела технического контроля; г) чрезвычайно частая смена руководящего технического персонала. Достаточно сказать, что из руководящего технического персонала завода почти нет людей, работающих на заводе больше года. За 1931 г. сменилось 3 начальника механического цеха, 3 начальника слесарного цеха и 4 начальника сборочного цеха. Такая же примерно картина наблюдается по линии частой сменяемости начальников основных отделов завода; д) крайне неудовлетворительная работа инструментального цеха из-за большого брака, плохого снабжения материалами, слабой организации цеха и плохого состояния термической.</w:t>
      </w:r>
    </w:p>
    <w:p w14:paraId="617E8077" w14:textId="77777777" w:rsidR="00C2063C" w:rsidRPr="007122AB" w:rsidRDefault="00C2063C" w:rsidP="007122AB">
      <w:pPr>
        <w:pStyle w:val="rtejustify"/>
        <w:spacing w:before="0" w:after="0"/>
        <w:rPr>
          <w:color w:val="000000" w:themeColor="text1"/>
          <w:sz w:val="16"/>
          <w:szCs w:val="16"/>
        </w:rPr>
      </w:pPr>
      <w:r w:rsidRPr="007122AB">
        <w:rPr>
          <w:rStyle w:val="a7"/>
          <w:b w:val="0"/>
          <w:bCs w:val="0"/>
          <w:color w:val="000000" w:themeColor="text1"/>
          <w:sz w:val="16"/>
          <w:szCs w:val="16"/>
        </w:rPr>
        <w:t>5. Программа завода на 1932 г.</w:t>
      </w:r>
    </w:p>
    <w:p w14:paraId="4D132F85"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Программа завода на 1932 г. намечается: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20"/>
        <w:gridCol w:w="2848"/>
        <w:gridCol w:w="2793"/>
        <w:gridCol w:w="3761"/>
      </w:tblGrid>
      <w:tr w:rsidR="001002C3" w:rsidRPr="007122AB" w14:paraId="7F97BBF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412D66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9475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Намечено на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3183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Переходит с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E67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Вновь изготовить с 1932 г.</w:t>
            </w:r>
          </w:p>
        </w:tc>
      </w:tr>
      <w:tr w:rsidR="001002C3" w:rsidRPr="007122AB" w14:paraId="2469DC3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B141221"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Р</w:t>
            </w:r>
            <w:r w:rsidRPr="007122AB">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87CC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348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36B57"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900</w:t>
            </w:r>
          </w:p>
        </w:tc>
      </w:tr>
      <w:tr w:rsidR="001002C3" w:rsidRPr="007122AB" w14:paraId="22F6985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C32349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8ACC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DD9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952B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r w:rsidR="001002C3" w:rsidRPr="007122AB" w14:paraId="4E45DBB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93FDA8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EAC4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089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6B9E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tc>
      </w:tr>
    </w:tbl>
    <w:p w14:paraId="690A88F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Для выполнения этой программы завод в основном имеет все возможности. Прилагаемый график 5 показывает пропускную способность по рабсиле на 1 декабря 1931 г. в количествах самолетов (отнеся к самолету Р</w:t>
      </w:r>
      <w:r w:rsidRPr="007122AB">
        <w:rPr>
          <w:color w:val="000000" w:themeColor="text1"/>
          <w:sz w:val="16"/>
          <w:szCs w:val="16"/>
        </w:rPr>
        <w:noBreakHyphen/>
        <w:t>5) по отдельным цехам.</w:t>
      </w:r>
    </w:p>
    <w:p w14:paraId="5435773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части оборудования завод обеспечен всеми необходимыми станками для выполнения указанной выше программы. График 6 показывает пропускную способность цехов по оборудованию в количествах самолета (отнеся к самолету Р</w:t>
      </w:r>
      <w:r w:rsidRPr="007122AB">
        <w:rPr>
          <w:color w:val="000000" w:themeColor="text1"/>
          <w:sz w:val="16"/>
          <w:szCs w:val="16"/>
        </w:rPr>
        <w:noBreakHyphen/>
        <w:t>5). Из этого графика можно видеть подготовленность завода по оборудованию для осуществления намеченной на 1932 г. программы. Вместе с тем этот же график показывает, что при небольшом увеличении оборудования и при известной перегруппировке его можно достаточно реально ставить вопрос о возможности увеличить пропускную способность завода до 170</w:t>
      </w:r>
      <w:r w:rsidRPr="007122AB">
        <w:rPr>
          <w:color w:val="000000" w:themeColor="text1"/>
          <w:sz w:val="16"/>
          <w:szCs w:val="16"/>
        </w:rPr>
        <w:noBreakHyphen/>
        <w:t>190 самолетов в месяц (2040</w:t>
      </w:r>
      <w:r w:rsidRPr="007122AB">
        <w:rPr>
          <w:color w:val="000000" w:themeColor="text1"/>
          <w:sz w:val="16"/>
          <w:szCs w:val="16"/>
        </w:rPr>
        <w:noBreakHyphen/>
        <w:t>2280 аппаратов в год).</w:t>
      </w:r>
    </w:p>
    <w:p w14:paraId="222C8DF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Что касается пропускной способности завода по линии рабочих площадей, то нужно отметить, что малая внутренняя реконструкция завода рассчитана на выпуск 1,2 тыс. самолетов в год при условии односменной работы сборочного цеха и трехсменной работы заготовительных цехов. В случае установления повышенного количества смен в сборочном цехе и усиления по линии оборудования и по линии рабочей силы заготовительных цехов, пропускную способность завода можно без особых трудностей довести примерно до 2</w:t>
      </w:r>
      <w:r w:rsidRPr="007122AB">
        <w:rPr>
          <w:color w:val="000000" w:themeColor="text1"/>
          <w:sz w:val="16"/>
          <w:szCs w:val="16"/>
        </w:rPr>
        <w:noBreakHyphen/>
        <w:t>2,4 тыс. самолетов в год.</w:t>
      </w:r>
    </w:p>
    <w:p w14:paraId="224F340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Кадры</w:t>
      </w:r>
    </w:p>
    <w:p w14:paraId="538B5DE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в течение 1931 г. был полностью обеспечен рабочими и инженерно-техническим составом. На заводе рабочих имеется на 1 декабря всего 5856 чел., инженеров — 126 чел., экономистов — 14, практиков — 441 и техников — 180 чел. Полностью удовлетворенный количественно кадрами, завод страдает от громадного недостатка квалифицированной рабочей силы. Основная масса рабочих, т. е. 3236 чел., работает на заводе до года, от 1 года до 3 лет — 1253 чел., от 3 до </w:t>
      </w:r>
      <w:r w:rsidRPr="007122AB">
        <w:rPr>
          <w:rFonts w:ascii="Times New Roman" w:hAnsi="Times New Roman"/>
          <w:color w:val="000000" w:themeColor="text1"/>
          <w:sz w:val="16"/>
          <w:szCs w:val="16"/>
        </w:rPr>
        <w:lastRenderedPageBreak/>
        <w:t>5 лет — 241 чел., от 5 до 10 лет — 363 чел. Это говорит за то, что рабочие кадры не имеют достаточной специализации в специфических особенностях самолетной промышленности. Инженерно-технический персонал в основном является молодняком недавних выпусков авиационных институтов.</w:t>
      </w:r>
    </w:p>
    <w:p w14:paraId="249D9E8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Дополнительная потребность рабочих кадров на 1932 г. определяется в 1491 чел. Эту потребность завод покрывает собственной сетью подготовки рабочих кадров. По инженерно-техническому персоналу и экономистам на 1932 г. потребуется: инженеров разных специальностей — 16 чел., техников-планировщиков — 16 чел. и инженеров-экономистов — 20 чел., и 15 чел. квалифицированных счетных работников.</w:t>
      </w:r>
    </w:p>
    <w:p w14:paraId="4DD7DC2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Вопросы труда</w:t>
      </w:r>
    </w:p>
    <w:p w14:paraId="6D2519E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Состояние вопросов труда характеризуется нижеследующими данными. Охвачено сдельщиной примерно около 70%. Производительность труда в сравнении с 1930 г. пала на 21,3%. Простои поквартально возрастают: за I квартал 1931 г. — 52 220 часов, за II квартал — 32 483 часа и III квартал — 122 047 часов. В среднем ежедневно по заводу простаивало в I квартале — 81, во II — 58, в III — 223 рабочих.</w:t>
      </w:r>
    </w:p>
    <w:p w14:paraId="435FC86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Соцсоревнованием и ударничеством охвачено: рабочих — 76%, коммунистов — 93,1%, комсомольцев — 89,1%. Состояние с проведением хозрасчета по цехам и по бригадам до сего дня является крайне неудовлетворительным. Только 2 декабря приказом по заводу эта работа возложена на зам. директора завода т. Горбунова и по сегодняшний день по существу еще не развернута. Средние показатели хозрасчета не выработаны и до цехов не доведены.</w:t>
      </w:r>
    </w:p>
    <w:p w14:paraId="4C97D94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Зарплата рабочих высока и недостаточно </w:t>
      </w:r>
      <w:proofErr w:type="spellStart"/>
      <w:r w:rsidRPr="007122AB">
        <w:rPr>
          <w:rFonts w:ascii="Times New Roman" w:hAnsi="Times New Roman"/>
          <w:color w:val="000000" w:themeColor="text1"/>
          <w:sz w:val="16"/>
          <w:szCs w:val="16"/>
        </w:rPr>
        <w:t>протарифицирована</w:t>
      </w:r>
      <w:proofErr w:type="spellEnd"/>
      <w:r w:rsidRPr="007122AB">
        <w:rPr>
          <w:rFonts w:ascii="Times New Roman" w:hAnsi="Times New Roman"/>
          <w:color w:val="000000" w:themeColor="text1"/>
          <w:sz w:val="16"/>
          <w:szCs w:val="16"/>
        </w:rPr>
        <w:t xml:space="preserve"> между отдельными цехами и между отдельными группами внутри цехов. Так, например, по сварочному цеху рабочий 6</w:t>
      </w:r>
      <w:r w:rsidRPr="007122AB">
        <w:rPr>
          <w:rFonts w:ascii="Times New Roman" w:hAnsi="Times New Roman"/>
          <w:color w:val="000000" w:themeColor="text1"/>
          <w:sz w:val="16"/>
          <w:szCs w:val="16"/>
        </w:rPr>
        <w:noBreakHyphen/>
        <w:t>го разряда получает от 350 руб. до 638 руб. Рабочие 6</w:t>
      </w:r>
      <w:r w:rsidRPr="007122AB">
        <w:rPr>
          <w:rFonts w:ascii="Times New Roman" w:hAnsi="Times New Roman"/>
          <w:color w:val="000000" w:themeColor="text1"/>
          <w:sz w:val="16"/>
          <w:szCs w:val="16"/>
        </w:rPr>
        <w:noBreakHyphen/>
        <w:t>го разряда, тоже достаточно квалифицированные, винтомоторного цеха получают от 200 до 300 руб. 6</w:t>
      </w:r>
      <w:r w:rsidRPr="007122AB">
        <w:rPr>
          <w:rFonts w:ascii="Times New Roman" w:hAnsi="Times New Roman"/>
          <w:color w:val="000000" w:themeColor="text1"/>
          <w:sz w:val="16"/>
          <w:szCs w:val="16"/>
        </w:rPr>
        <w:noBreakHyphen/>
        <w:t>й разряд самолетно-сборочного цеха получает до 200 руб. Инженерно-технический персонал имеет чрезвычайно низкую зарплату. Так, начальник цеха в среднем получает от 360 до 390 руб., зам. начальника цеха в среднем 330 руб. Примерно такие же ставки начальников отделов завода. Технический директор завода получает всего 554 руб.</w:t>
      </w:r>
    </w:p>
    <w:p w14:paraId="78776C0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Состояние парторганизаций</w:t>
      </w:r>
    </w:p>
    <w:p w14:paraId="187856A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Парторганизация завода на 1 декабря с. г. насчитывает в своем составе 1581 чел., из коих 876 — членов партии и 705 — кандидатов; служащих в составе членов партии 4,2%. Комсомольская организация насчитывает в своем составе 2240 членов, из коих служащих 200 чел. Следовательно, общий процент партийцев и комсомольцев к составу рабочих и инженерно-технических работников составляет 55%.</w:t>
      </w:r>
    </w:p>
    <w:p w14:paraId="5BA2411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Партийная организация завода имеет 13 цеховых ячеек, 14 сменных ячеек и 112 партгрупп. Парторганизация и весь завод находятся под достаточно удовлетворительным повседневным наблюдением и конкретным руководством со стороны как районного комитета, так и городского </w:t>
      </w:r>
      <w:proofErr w:type="spellStart"/>
      <w:r w:rsidRPr="007122AB">
        <w:rPr>
          <w:rFonts w:ascii="Times New Roman" w:hAnsi="Times New Roman"/>
          <w:color w:val="000000" w:themeColor="text1"/>
          <w:sz w:val="16"/>
          <w:szCs w:val="16"/>
        </w:rPr>
        <w:t>парткомитета</w:t>
      </w:r>
      <w:proofErr w:type="spellEnd"/>
      <w:r w:rsidRPr="007122AB">
        <w:rPr>
          <w:rFonts w:ascii="Times New Roman" w:hAnsi="Times New Roman"/>
          <w:color w:val="000000" w:themeColor="text1"/>
          <w:sz w:val="16"/>
          <w:szCs w:val="16"/>
        </w:rPr>
        <w:t>. Перелом в настроении, мобилизующий массы вокруг решений партии и вокруг борьбы за выполнение программы 1931 г., был создан решением выездного бюро районного комитета партии от 26 сентября 1931 г., в котором районный комитет партии вскрыл достаточно глубоко все недостатки завода, зависящие как от внутризаводских условий, так и от внешних, и дал ряд исчерпывающих директивных указаний как по линии партийной, так и по линии хозяйственной.</w:t>
      </w:r>
    </w:p>
    <w:p w14:paraId="7AA77D5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Выводы и предложения по созданию условий, обеспечивающих выполнение заводом № 1 производственной программы 1932 г.</w:t>
      </w:r>
    </w:p>
    <w:p w14:paraId="06818EF1"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Общее состояние завода в части наличной рабочей силы, соответствующего оборудования, необходимого количества рабочих площадей, количества и качества административно-хозяйственного и технического руководящего состава, а также состояния парторганизаций — все это дает основание считать, что завод имеет в основном все необходимое для выполнения без особого напряжения программы 1932 г.</w:t>
      </w:r>
    </w:p>
    <w:p w14:paraId="3355568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Вместе с тем необходимо проведение ряда дополнительных мероприятий для того, чтобы создать гарантию в выполнении заводом № 1 программы 1932 г. Эти гарантирующие условия сводятся к следующему:</w:t>
      </w:r>
    </w:p>
    <w:p w14:paraId="6BE5E5A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Дать заводу твердую производственную программу и не допускать изменение этой программы в течение года.</w:t>
      </w:r>
    </w:p>
    <w:p w14:paraId="6DA89C6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Создать твердую программу подачи заводу авиационных моторов, уточненную поквартально и помесячно. Обязать ВАО установить жесткие сроки поставки моторов, обеспечивающие нормальное выполнение программы выпуска готовых самолетов, и твердо их придерживаться.</w:t>
      </w:r>
    </w:p>
    <w:p w14:paraId="7885CA3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Обязать заводы-поставщики качественного материала снабжать завод № 1 необходимым материалом в обусловленные сроки и соответственно техническим требованиям. Обязать директоров заводов «Серп и молот» (Москва), Мотовилихинского, Мариупольского и Сталинградского обеспечить снабжение завода № 1 материалами и количественно и качественно согласно заключенным договорам.</w:t>
      </w:r>
    </w:p>
    <w:p w14:paraId="3FAB072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Обязать директора завода № 34 обеспечить в течение 1932 г. бесперебойную термическую обработку дюраля и сталей для завода № 1.</w:t>
      </w:r>
    </w:p>
    <w:p w14:paraId="1F3F44E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Обязать Станкоинструмент (а также Сестрорецкий завод) снабдить завод № 1 необходимым количеством нормального и мерительного инструмента согласно поданным заводом заявок.</w:t>
      </w:r>
    </w:p>
    <w:p w14:paraId="59433FE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Обязать ВАО обеспечить завод № 1 необходимыми материалами по осуществлению в течение I квартала 1932 г. малой реконструкции завода.</w:t>
      </w:r>
    </w:p>
    <w:p w14:paraId="03F7C05D"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Директору завода № 1 провести практическое окончание осуществления малой реконструкции завода в течение I квартала 1932 г.</w:t>
      </w:r>
    </w:p>
    <w:p w14:paraId="529B66C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Для укрепления кадров завода предложить ВАО перебросить на завод № 1 из аппарата ВАО т. Орловского и Чаусского. </w:t>
      </w:r>
      <w:proofErr w:type="spellStart"/>
      <w:r w:rsidRPr="007122AB">
        <w:rPr>
          <w:rFonts w:ascii="Times New Roman" w:hAnsi="Times New Roman"/>
          <w:color w:val="000000" w:themeColor="text1"/>
          <w:sz w:val="16"/>
          <w:szCs w:val="16"/>
        </w:rPr>
        <w:t>Распред</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елительному</w:t>
      </w:r>
      <w:proofErr w:type="spellEnd"/>
      <w:r w:rsidRPr="007122AB">
        <w:rPr>
          <w:rFonts w:ascii="Times New Roman" w:hAnsi="Times New Roman"/>
          <w:color w:val="000000" w:themeColor="text1"/>
          <w:sz w:val="16"/>
          <w:szCs w:val="16"/>
        </w:rPr>
        <w:t xml:space="preserve">] отделу ЦК ВКП(б) и сектору кадров ВСНХ перебросить в </w:t>
      </w:r>
      <w:proofErr w:type="spellStart"/>
      <w:r w:rsidRPr="007122AB">
        <w:rPr>
          <w:rFonts w:ascii="Times New Roman" w:hAnsi="Times New Roman"/>
          <w:color w:val="000000" w:themeColor="text1"/>
          <w:sz w:val="16"/>
          <w:szCs w:val="16"/>
        </w:rPr>
        <w:t>двухдекадный</w:t>
      </w:r>
      <w:proofErr w:type="spellEnd"/>
      <w:r w:rsidRPr="007122AB">
        <w:rPr>
          <w:rFonts w:ascii="Times New Roman" w:hAnsi="Times New Roman"/>
          <w:color w:val="000000" w:themeColor="text1"/>
          <w:sz w:val="16"/>
          <w:szCs w:val="16"/>
        </w:rPr>
        <w:t xml:space="preserve"> срок 10 экономистов-плановиков, инженеров-технологов — 4, инженеров-механиков — 5, техников-планировщиков — 5 чел. Краснопресненскому райкому выделить для парткома завода № 1 редактора газеты «Заводская правда» и </w:t>
      </w:r>
      <w:proofErr w:type="spellStart"/>
      <w:r w:rsidRPr="007122AB">
        <w:rPr>
          <w:rFonts w:ascii="Times New Roman" w:hAnsi="Times New Roman"/>
          <w:color w:val="000000" w:themeColor="text1"/>
          <w:sz w:val="16"/>
          <w:szCs w:val="16"/>
        </w:rPr>
        <w:t>культпропорга</w:t>
      </w:r>
      <w:proofErr w:type="spellEnd"/>
      <w:r w:rsidRPr="007122AB">
        <w:rPr>
          <w:rFonts w:ascii="Times New Roman" w:hAnsi="Times New Roman"/>
          <w:color w:val="000000" w:themeColor="text1"/>
          <w:sz w:val="16"/>
          <w:szCs w:val="16"/>
        </w:rPr>
        <w:t xml:space="preserve"> парткома.</w:t>
      </w:r>
    </w:p>
    <w:p w14:paraId="2EC2ECE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Обязать ВСНХ СССР выделить не позже января 1932 г. для завода № 1 2 легковых машины, 2 грузовых машины (одну из них с прицепной тележкой).</w:t>
      </w:r>
    </w:p>
    <w:p w14:paraId="0708645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Директору и парткому завода № 1 категорически запретить частую смену руководящего состава цехов и отделов завода.</w:t>
      </w:r>
    </w:p>
    <w:p w14:paraId="67FE3D7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 Директору завода № 1 и парторганизации ВКП(б) завода необходимо устранить внутризаводские неполадки и недочеты, указанные выше, а также отмеченные в постановлении выездного бюро Краснопресненского райкома ВКП(б) от 27 сентября 1931 г. Закончить в основном устранение указанных неполадок в течение I квартала 1932 г.</w:t>
      </w:r>
    </w:p>
    <w:p w14:paraId="1F87D7B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Считать необходимым прекратить какие бы то ни было обследования завода в течение I квартала 1932 г., а в будущем производить обследование только с разрешения московского городского комитета ВКП(б).</w:t>
      </w:r>
    </w:p>
    <w:p w14:paraId="396C56A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Общие выводы и предложения, касающиеся всей авиационной промышленности, полученные на основе обследования завода № 1</w:t>
      </w:r>
    </w:p>
    <w:p w14:paraId="0C44710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Обследование завода № 1 выявило наличие ряда крупнейших принципиальных ненормальностей в работе авиационной промышленности. Отсюда неизбежно приходится, помимо практических предложений, относящихся только к заводу № 1, дать целый ряд практических предложений, общих для всей авиационной промышленности. Эти общие предложения сводятся к следующему:</w:t>
      </w:r>
    </w:p>
    <w:p w14:paraId="38B1BE4A"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1. До настоящего времени существует громадная диспропорция между выпусками самолетных заводов и заводов авиамоторных. Эта диспропорция, если не будут приняты решительные кардинальные меры по моторостроению, будет иметь самые печальные последствия для всей авиационной промышленности.</w:t>
      </w:r>
    </w:p>
    <w:p w14:paraId="15DDEA1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2. До самого последнего времени программа самолетных заводов страдает большой нереальностью, совершенно не увязана с возможным выпуском моторных заводов и претерпевает лихорадочные изменения в течение года. С этим положением нужно повести жестокую борьбу и в корне изменить практику этого дела на 1932 г.</w:t>
      </w:r>
    </w:p>
    <w:p w14:paraId="7D691EB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3. При наличии достаточно мощных конструкторских бюро и опытной производственной базы для создания опытных образцов самолетов, а также при наличии достаточной базы для серийной постройки этих образцов нужно констатировать совершенно ненормальное положение с прохождением опытного экземпляра в серию. Общие недостатки, влияющие на это дело, вообще говоря, достаточно известны. Конкретные мероприятия, которые необходимо провести для урегулирования этого вопроса, сводятся к следующему: а) категорически воспретить военному ведомству давать заказы, а авиапромышленности принимать заказы на серийное изготовление аппарата, опытный экземпляр которого (вышедший из опытного завода) не прошел нормального государственного испытания НИИ ВВС; б) в части передачи в серию машин большого тоннажа (бомбардировщики тяжелые разведчики, многоместные и многомоторные) необходимо установить следующий порядок: опытный экземпляр данного аппарата по изготовлении передается в НИИ ВВС для испытания, после испытания конструкторские бюро и опытный завод должны в максимально быстрый срок устранить отмеченные при испытании дефекты. Опытный экземпляр этой машины с устраненными дефектами, вновь проконтролированный НИИ ВВС, доводится до состояния эталона, который и передается на серийную постройку на авиационные заводы в качестве образца; в) в части опытных аппаратов истребительного и разведывательного типа (одномоторные) необходимо установить порядок: аппарат после нормального испытания в НИИ ВВС и устранения дефектов, отмеченных там, передается на изготовление опытной войсковой серии в количестве от 10 до 15 шт. Затем машины из войсковой серии передаются в летные части или испытываются на маневрах и лишь после этого, устранив отмеченные там дефекты и создав опять-таки окончательный эталонный образец, окончательно утвержденный ВВС, передается на серийное изготовление на один из серийных заводов; г) считать совершенно необходимым, чтобы ни одна опытная машина не шла в серийное производство без наличия совершенно законченного эталонного образца (под эталонным образцом понимать совершенно законченную машину с полной установкой всего вооружения и оборудования); д) считать необходимым создать необходимую постоянность в требованиях, предъявляемых к серийной машине со стороны военного ведомства. Военное ведомство должно принимать все заказанные в данной серии машины, изготовленные по утвержденному военным ведомством эталону, лишенные производственных дефектов. Запретить военному ведомству менять требования к серийным машинам в процессе прохождения данной серии. Предложить на всякие изменения и переделки заключать специальные договора с ВАО на сей предмет.</w:t>
      </w:r>
    </w:p>
    <w:p w14:paraId="44CCF19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4. Так как в системе ВАО углубленной проработкой и технико-экономических вопросов авиационной промышленности в соответствии с созданием новых авиационных заводов и с общим разворачиванием авиационной промышленности никто не занимается, считать необходимым создание при ВАО специального мощного отдела по углубленной научной разработке вопросов техники и экономики авиационной промышленности.</w:t>
      </w:r>
    </w:p>
    <w:p w14:paraId="055DA2F3"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5. Считая, что постановка инструментального дела на заводах авиационной промышленности совершенно неудовлетворительна, признать необходимым немедленную постройку центрального инструментального завода для обслуживания всей авиационной промышленности. Обязать Станкоинструмент впредь до создания такого завода обеспечить авиационную промышленность необходимым нормальным и измерительным инструментом.</w:t>
      </w:r>
    </w:p>
    <w:p w14:paraId="7440FD5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lastRenderedPageBreak/>
        <w:t>6. Исходя из того, что снабжение авиационной промышленности качественным материалом совершенно неудовлетворительно, обязать ВСНХ СССР прикрепить ряд соответствующих заводов для снабжения авиационной промышленности всеми нужными материалами. Необходимо эти выделенные заводы особо специализировать на выработку высококачественной продукции для авиационной промышленности. Необходимо, чтобы ВСНХ СССР возложил ответственность на соответствующие объединения и заводы за нормальное снабжение авиационной промышленности качественными материалами.</w:t>
      </w:r>
    </w:p>
    <w:p w14:paraId="7C450F15"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7. Обязать </w:t>
      </w:r>
      <w:proofErr w:type="spellStart"/>
      <w:r w:rsidRPr="007122AB">
        <w:rPr>
          <w:color w:val="000000" w:themeColor="text1"/>
          <w:sz w:val="16"/>
          <w:szCs w:val="16"/>
        </w:rPr>
        <w:t>Наркомтруд</w:t>
      </w:r>
      <w:proofErr w:type="spellEnd"/>
      <w:r w:rsidRPr="007122AB">
        <w:rPr>
          <w:color w:val="000000" w:themeColor="text1"/>
          <w:sz w:val="16"/>
          <w:szCs w:val="16"/>
        </w:rPr>
        <w:t xml:space="preserve"> и ЦК автотракторной промышленности в </w:t>
      </w:r>
      <w:proofErr w:type="spellStart"/>
      <w:r w:rsidRPr="007122AB">
        <w:rPr>
          <w:color w:val="000000" w:themeColor="text1"/>
          <w:sz w:val="16"/>
          <w:szCs w:val="16"/>
        </w:rPr>
        <w:t>двухдекадный</w:t>
      </w:r>
      <w:proofErr w:type="spellEnd"/>
      <w:r w:rsidRPr="007122AB">
        <w:rPr>
          <w:color w:val="000000" w:themeColor="text1"/>
          <w:sz w:val="16"/>
          <w:szCs w:val="16"/>
        </w:rPr>
        <w:t xml:space="preserve"> срок пересмотреть всю тарифную систему авиационных заводов с тем, чтобы в этой промышленности провести стимул повышения квалификации, улучшения качества продукции, борьбы с текучестью и разрыва в зарплате между отдельными кадрами квалифицированных рабочих. В частности, разрешить начальнику ВАО ввести персональные оклады всему руководящему инженерно-техническому персоналу заводов.</w:t>
      </w:r>
    </w:p>
    <w:p w14:paraId="0060964A"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8. Считать необходимым провести обследование УВВС в части подготовленности к приемке, хранению и нормальной эксплуатации продукции 1932 г.</w:t>
      </w:r>
    </w:p>
    <w:p w14:paraId="1472398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9. В целях дальнейшего улучшения в развитии авиационной промышленности признать необходимым произвести специальное обследование комиссией ЦК ВКП(б) наряду с серийными заводами также ЦАГИ и ИАМ.</w:t>
      </w:r>
    </w:p>
    <w:p w14:paraId="7D159CB3"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Бригада ЦК ВКП(б)⁶*</w:t>
      </w:r>
    </w:p>
    <w:p w14:paraId="41297120"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6DE5AC7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Направлена секретарю ЦК ВКП(б) Л. М. Кагановичу.</w:t>
      </w:r>
    </w:p>
    <w:p w14:paraId="1F165B4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Причем в последнем вари анте из 610 сам[</w:t>
      </w:r>
      <w:proofErr w:type="spellStart"/>
      <w:r w:rsidRPr="007122AB">
        <w:rPr>
          <w:color w:val="000000" w:themeColor="text1"/>
          <w:sz w:val="16"/>
          <w:szCs w:val="16"/>
        </w:rPr>
        <w:t>олетов</w:t>
      </w:r>
      <w:proofErr w:type="spellEnd"/>
      <w:r w:rsidRPr="007122AB">
        <w:rPr>
          <w:color w:val="000000" w:themeColor="text1"/>
          <w:sz w:val="16"/>
          <w:szCs w:val="16"/>
        </w:rPr>
        <w:t>] 340 должны бать выпущены с моторами, 120 сам[</w:t>
      </w:r>
      <w:proofErr w:type="spellStart"/>
      <w:r w:rsidRPr="007122AB">
        <w:rPr>
          <w:color w:val="000000" w:themeColor="text1"/>
          <w:sz w:val="16"/>
          <w:szCs w:val="16"/>
        </w:rPr>
        <w:t>олетов</w:t>
      </w:r>
      <w:proofErr w:type="spellEnd"/>
      <w:r w:rsidRPr="007122AB">
        <w:rPr>
          <w:color w:val="000000" w:themeColor="text1"/>
          <w:sz w:val="16"/>
          <w:szCs w:val="16"/>
        </w:rPr>
        <w:t>] без моторов, но целиком законченные, и 150 сам[</w:t>
      </w:r>
      <w:proofErr w:type="spellStart"/>
      <w:r w:rsidRPr="007122AB">
        <w:rPr>
          <w:color w:val="000000" w:themeColor="text1"/>
          <w:sz w:val="16"/>
          <w:szCs w:val="16"/>
        </w:rPr>
        <w:t>олетов</w:t>
      </w:r>
      <w:proofErr w:type="spellEnd"/>
      <w:r w:rsidRPr="007122AB">
        <w:rPr>
          <w:color w:val="000000" w:themeColor="text1"/>
          <w:sz w:val="16"/>
          <w:szCs w:val="16"/>
        </w:rPr>
        <w:t>] д[</w:t>
      </w:r>
      <w:proofErr w:type="spellStart"/>
      <w:r w:rsidRPr="007122AB">
        <w:rPr>
          <w:color w:val="000000" w:themeColor="text1"/>
          <w:sz w:val="16"/>
          <w:szCs w:val="16"/>
        </w:rPr>
        <w:t>олжны</w:t>
      </w:r>
      <w:proofErr w:type="spellEnd"/>
      <w:r w:rsidRPr="007122AB">
        <w:rPr>
          <w:color w:val="000000" w:themeColor="text1"/>
          <w:sz w:val="16"/>
          <w:szCs w:val="16"/>
        </w:rPr>
        <w:t>] б[</w:t>
      </w:r>
      <w:proofErr w:type="spellStart"/>
      <w:r w:rsidRPr="007122AB">
        <w:rPr>
          <w:color w:val="000000" w:themeColor="text1"/>
          <w:sz w:val="16"/>
          <w:szCs w:val="16"/>
        </w:rPr>
        <w:t>ыть</w:t>
      </w:r>
      <w:proofErr w:type="spellEnd"/>
      <w:r w:rsidRPr="007122AB">
        <w:rPr>
          <w:color w:val="000000" w:themeColor="text1"/>
          <w:sz w:val="16"/>
          <w:szCs w:val="16"/>
        </w:rPr>
        <w:t>] готовы в деталях, не приступая к их сборке (</w:t>
      </w:r>
      <w:r w:rsidRPr="007122AB">
        <w:rPr>
          <w:rStyle w:val="af0"/>
          <w:i w:val="0"/>
          <w:color w:val="000000" w:themeColor="text1"/>
          <w:sz w:val="16"/>
          <w:szCs w:val="16"/>
        </w:rPr>
        <w:t>Прим. док</w:t>
      </w:r>
      <w:r w:rsidRPr="007122AB">
        <w:rPr>
          <w:color w:val="000000" w:themeColor="text1"/>
          <w:sz w:val="16"/>
          <w:szCs w:val="16"/>
        </w:rPr>
        <w:t>.).</w:t>
      </w:r>
    </w:p>
    <w:p w14:paraId="37B7703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Из них 54 аппарата без моторов (</w:t>
      </w:r>
      <w:r w:rsidRPr="007122AB">
        <w:rPr>
          <w:rStyle w:val="af0"/>
          <w:i w:val="0"/>
          <w:color w:val="000000" w:themeColor="text1"/>
          <w:sz w:val="16"/>
          <w:szCs w:val="16"/>
        </w:rPr>
        <w:t>Прим. док</w:t>
      </w:r>
      <w:r w:rsidRPr="007122AB">
        <w:rPr>
          <w:color w:val="000000" w:themeColor="text1"/>
          <w:sz w:val="16"/>
          <w:szCs w:val="16"/>
        </w:rPr>
        <w:t>.).</w:t>
      </w:r>
    </w:p>
    <w:p w14:paraId="13585F73"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4</w:t>
      </w:r>
      <w:r w:rsidRPr="007122AB">
        <w:rPr>
          <w:color w:val="000000" w:themeColor="text1"/>
          <w:sz w:val="16"/>
          <w:szCs w:val="16"/>
        </w:rPr>
        <w:t>* В документе ошибочно указаны градусы.</w:t>
      </w:r>
    </w:p>
    <w:p w14:paraId="4052691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5</w:t>
      </w:r>
      <w:r w:rsidRPr="007122AB">
        <w:rPr>
          <w:color w:val="000000" w:themeColor="text1"/>
          <w:sz w:val="16"/>
          <w:szCs w:val="16"/>
        </w:rPr>
        <w:t>* Так в тексте.</w:t>
      </w:r>
    </w:p>
    <w:p w14:paraId="3497491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6</w:t>
      </w:r>
      <w:r w:rsidRPr="007122AB">
        <w:rPr>
          <w:color w:val="000000" w:themeColor="text1"/>
          <w:sz w:val="16"/>
          <w:szCs w:val="16"/>
        </w:rPr>
        <w:t>* Подписи неразборчивы.</w:t>
      </w:r>
    </w:p>
    <w:p w14:paraId="2ADAC84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РГАСПИ. Ф. 17. Оп. 120. Д. 56. Л. 46—56. Подлинник.</w:t>
      </w:r>
    </w:p>
    <w:p w14:paraId="2641062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РГАСПИ. Ф. 17. Оп. 120. Д. 56. Л. 46—56. Подлинник. </w:t>
      </w:r>
    </w:p>
    <w:p w14:paraId="279519C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579-587 (12540).</w:t>
      </w:r>
    </w:p>
    <w:p w14:paraId="1E099499"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3C57D912" w14:textId="77777777" w:rsidR="005E3256" w:rsidRPr="007122AB" w:rsidRDefault="005E3256" w:rsidP="005E3256">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112F4FEC" w14:textId="77777777" w:rsidR="005E3256" w:rsidRPr="007122AB" w:rsidRDefault="005E3256" w:rsidP="005E3256">
      <w:pPr>
        <w:autoSpaceDE w:val="0"/>
        <w:autoSpaceDN w:val="0"/>
        <w:adjustRightInd w:val="0"/>
        <w:spacing w:after="0" w:line="240" w:lineRule="auto"/>
        <w:jc w:val="both"/>
        <w:rPr>
          <w:rFonts w:ascii="Times New Roman" w:hAnsi="Times New Roman"/>
          <w:iCs/>
          <w:color w:val="000000" w:themeColor="text1"/>
          <w:sz w:val="16"/>
          <w:szCs w:val="16"/>
        </w:rPr>
      </w:pPr>
    </w:p>
    <w:p w14:paraId="70966D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 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(11765).</w:t>
      </w:r>
    </w:p>
    <w:p w14:paraId="55FD33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9EF41E" w14:textId="77777777" w:rsidR="006F7ACC" w:rsidRPr="007122AB" w:rsidRDefault="006F7AC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13 декабря 1931 г.</w:t>
      </w:r>
    </w:p>
    <w:p w14:paraId="06080429" w14:textId="77777777" w:rsidR="006F7ACC" w:rsidRPr="007122AB" w:rsidRDefault="006F7AC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 переброске для работы в ОКБ № 11 специалиста по железобетонным конструкциям инженера Рухина. 13 декабря 1931 г.</w:t>
      </w:r>
    </w:p>
    <w:p w14:paraId="7C9443AD" w14:textId="77777777" w:rsidR="006F7ACC" w:rsidRPr="007122AB" w:rsidRDefault="006F7AC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5EF5392F" w14:textId="77777777" w:rsidR="006F7ACC" w:rsidRPr="007122AB" w:rsidRDefault="006F7A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9FAB4D" w14:textId="77777777" w:rsidR="006F7ACC" w:rsidRPr="007122AB" w:rsidRDefault="006F7ACC"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Архив: </w:t>
      </w:r>
    </w:p>
    <w:p w14:paraId="087B59AE" w14:textId="77777777" w:rsidR="006F7ACC" w:rsidRPr="007122AB" w:rsidRDefault="006F7AC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РГАЭ. Ф. 38. </w:t>
      </w:r>
      <w:proofErr w:type="spellStart"/>
      <w:r w:rsidRPr="007122AB">
        <w:rPr>
          <w:rFonts w:ascii="Times New Roman" w:hAnsi="Times New Roman"/>
          <w:color w:val="000000" w:themeColor="text1"/>
          <w:sz w:val="16"/>
          <w:szCs w:val="16"/>
        </w:rPr>
        <w:t>Oп</w:t>
      </w:r>
      <w:proofErr w:type="spellEnd"/>
      <w:r w:rsidRPr="007122AB">
        <w:rPr>
          <w:rFonts w:ascii="Times New Roman" w:hAnsi="Times New Roman"/>
          <w:color w:val="000000" w:themeColor="text1"/>
          <w:sz w:val="16"/>
          <w:szCs w:val="16"/>
        </w:rPr>
        <w:t>. 1. Д. 2. Л. 128</w:t>
      </w:r>
    </w:p>
    <w:p w14:paraId="7F2C1E3B" w14:textId="77777777" w:rsidR="006F7ACC" w:rsidRPr="007122AB" w:rsidRDefault="006F7ACC" w:rsidP="007122AB">
      <w:pPr>
        <w:pStyle w:val="rteright"/>
        <w:spacing w:before="0" w:after="0"/>
        <w:jc w:val="both"/>
        <w:rPr>
          <w:color w:val="000000" w:themeColor="text1"/>
          <w:sz w:val="16"/>
          <w:szCs w:val="16"/>
        </w:rPr>
      </w:pPr>
      <w:r w:rsidRPr="007122AB">
        <w:rPr>
          <w:color w:val="000000" w:themeColor="text1"/>
          <w:sz w:val="16"/>
          <w:szCs w:val="16"/>
        </w:rPr>
        <w:t>13 декабря 1931 г.</w:t>
      </w:r>
    </w:p>
    <w:p w14:paraId="5A90C7B6" w14:textId="77777777" w:rsidR="006F7ACC" w:rsidRPr="007122AB" w:rsidRDefault="006F7ACC" w:rsidP="007122AB">
      <w:pPr>
        <w:pStyle w:val="ae"/>
        <w:spacing w:before="0" w:after="0"/>
        <w:jc w:val="both"/>
        <w:rPr>
          <w:color w:val="000000" w:themeColor="text1"/>
          <w:sz w:val="16"/>
          <w:szCs w:val="16"/>
        </w:rPr>
      </w:pPr>
      <w:r w:rsidRPr="007122AB">
        <w:rPr>
          <w:color w:val="000000" w:themeColor="text1"/>
          <w:sz w:val="16"/>
          <w:szCs w:val="16"/>
        </w:rPr>
        <w:t>НАЧ. ТЕХ. ОТД. ЭКУ ОГПУ.</w:t>
      </w:r>
    </w:p>
    <w:p w14:paraId="7F4A8687" w14:textId="77777777" w:rsidR="006F7ACC" w:rsidRPr="007122AB" w:rsidRDefault="006F7ACC" w:rsidP="007122AB">
      <w:pPr>
        <w:pStyle w:val="ae"/>
        <w:spacing w:before="0" w:after="0"/>
        <w:jc w:val="both"/>
        <w:rPr>
          <w:color w:val="000000" w:themeColor="text1"/>
          <w:sz w:val="16"/>
          <w:szCs w:val="16"/>
        </w:rPr>
      </w:pPr>
      <w:r w:rsidRPr="007122AB">
        <w:rPr>
          <w:color w:val="000000" w:themeColor="text1"/>
          <w:sz w:val="16"/>
          <w:szCs w:val="16"/>
        </w:rPr>
        <w:t>От Нач. ОКБ № 11 НАУМИНА</w:t>
      </w:r>
    </w:p>
    <w:p w14:paraId="6917DB15" w14:textId="77777777" w:rsidR="006F7ACC" w:rsidRPr="007122AB" w:rsidRDefault="006F7ACC" w:rsidP="007122AB">
      <w:pPr>
        <w:pStyle w:val="ae"/>
        <w:spacing w:before="0" w:after="0"/>
        <w:jc w:val="both"/>
        <w:rPr>
          <w:color w:val="000000" w:themeColor="text1"/>
          <w:sz w:val="16"/>
          <w:szCs w:val="16"/>
        </w:rPr>
      </w:pPr>
      <w:r w:rsidRPr="007122AB">
        <w:rPr>
          <w:color w:val="000000" w:themeColor="text1"/>
          <w:sz w:val="16"/>
          <w:szCs w:val="16"/>
        </w:rPr>
        <w:t>РАПОРТ</w:t>
      </w:r>
    </w:p>
    <w:p w14:paraId="533CA026" w14:textId="77777777" w:rsidR="006F7ACC" w:rsidRPr="007122AB" w:rsidRDefault="006F7ACC" w:rsidP="007122AB">
      <w:pPr>
        <w:pStyle w:val="rtejustify"/>
        <w:spacing w:before="0" w:after="0"/>
        <w:rPr>
          <w:color w:val="000000" w:themeColor="text1"/>
          <w:sz w:val="16"/>
          <w:szCs w:val="16"/>
        </w:rPr>
      </w:pPr>
      <w:r w:rsidRPr="007122AB">
        <w:rPr>
          <w:color w:val="000000" w:themeColor="text1"/>
          <w:sz w:val="16"/>
          <w:szCs w:val="16"/>
        </w:rPr>
        <w:t>Ввиду того, что во в[</w:t>
      </w:r>
      <w:proofErr w:type="spellStart"/>
      <w:r w:rsidRPr="007122AB">
        <w:rPr>
          <w:color w:val="000000" w:themeColor="text1"/>
          <w:sz w:val="16"/>
          <w:szCs w:val="16"/>
        </w:rPr>
        <w:t>веренном</w:t>
      </w:r>
      <w:proofErr w:type="spellEnd"/>
      <w:r w:rsidRPr="007122AB">
        <w:rPr>
          <w:color w:val="000000" w:themeColor="text1"/>
          <w:sz w:val="16"/>
          <w:szCs w:val="16"/>
        </w:rPr>
        <w:t xml:space="preserve">] мне ОКБ № 11 нет ни одного инженера строителя по железо-бетону и </w:t>
      </w:r>
      <w:proofErr w:type="spellStart"/>
      <w:r w:rsidRPr="007122AB">
        <w:rPr>
          <w:color w:val="000000" w:themeColor="text1"/>
          <w:sz w:val="16"/>
          <w:szCs w:val="16"/>
        </w:rPr>
        <w:t>железн</w:t>
      </w:r>
      <w:proofErr w:type="spellEnd"/>
      <w:r w:rsidRPr="007122AB">
        <w:rPr>
          <w:color w:val="000000" w:themeColor="text1"/>
          <w:sz w:val="16"/>
          <w:szCs w:val="16"/>
        </w:rPr>
        <w:t>. конструкции, а в настоящее время явилась острая нужда, т. к. сейчас развернулась большая работа по строительству и монтажу, прошу Вашего распоряжения о переброске из ОКБ № 8 РУХИНА, последний является большим специалистом по указанной работе т. к. выполнял будучи на службе в Тепло-Институте. Что же касается его работы в ОКБ № 8 — работает не по специальности.</w:t>
      </w:r>
    </w:p>
    <w:p w14:paraId="57D8C4BE" w14:textId="77777777" w:rsidR="006F7ACC" w:rsidRPr="007122AB" w:rsidRDefault="006F7ACC" w:rsidP="007122AB">
      <w:pPr>
        <w:pStyle w:val="rtejustify"/>
        <w:spacing w:before="0" w:after="0"/>
        <w:rPr>
          <w:color w:val="000000" w:themeColor="text1"/>
          <w:sz w:val="16"/>
          <w:szCs w:val="16"/>
        </w:rPr>
      </w:pPr>
      <w:proofErr w:type="spellStart"/>
      <w:r w:rsidRPr="007122AB">
        <w:rPr>
          <w:color w:val="000000" w:themeColor="text1"/>
          <w:sz w:val="16"/>
          <w:szCs w:val="16"/>
        </w:rPr>
        <w:t>Наумин</w:t>
      </w:r>
      <w:proofErr w:type="spellEnd"/>
    </w:p>
    <w:p w14:paraId="32009F4A" w14:textId="77777777" w:rsidR="006F7ACC" w:rsidRPr="007122AB" w:rsidRDefault="006F7ACC" w:rsidP="007122AB">
      <w:pPr>
        <w:pStyle w:val="ae"/>
        <w:spacing w:before="0" w:after="0"/>
        <w:jc w:val="both"/>
        <w:rPr>
          <w:color w:val="000000" w:themeColor="text1"/>
          <w:sz w:val="16"/>
          <w:szCs w:val="16"/>
        </w:rPr>
      </w:pPr>
      <w:r w:rsidRPr="007122AB">
        <w:rPr>
          <w:color w:val="000000" w:themeColor="text1"/>
          <w:sz w:val="16"/>
          <w:szCs w:val="16"/>
        </w:rPr>
        <w:t>«13» декабря 1931 г.</w:t>
      </w:r>
    </w:p>
    <w:p w14:paraId="5CEBB3CC" w14:textId="77777777" w:rsidR="006F7ACC" w:rsidRPr="007122AB" w:rsidRDefault="006F7ACC"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128. Машинописный подлинник, подпись — автограф. Число в дате вписано от руки. Вверху слева от руки написана дата «13/ХII», ниже рукописная помета «На консультацию» (подпись- росчерк, неразборчиво ) (19093).</w:t>
      </w:r>
    </w:p>
    <w:p w14:paraId="595D71C0" w14:textId="77777777" w:rsidR="006F7ACC" w:rsidRPr="007122AB" w:rsidRDefault="006F7ACC" w:rsidP="007122AB">
      <w:pPr>
        <w:spacing w:after="0" w:line="240" w:lineRule="auto"/>
        <w:jc w:val="both"/>
        <w:rPr>
          <w:rFonts w:ascii="Times New Roman" w:hAnsi="Times New Roman"/>
          <w:color w:val="000000" w:themeColor="text1"/>
          <w:sz w:val="16"/>
          <w:szCs w:val="16"/>
        </w:rPr>
      </w:pPr>
    </w:p>
    <w:p w14:paraId="70E1A804" w14:textId="77777777" w:rsidR="00332C4C"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BF7966B" w14:textId="77777777" w:rsidR="00332C4C" w:rsidRPr="007122AB" w:rsidRDefault="00332C4C"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4524F2E"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 декабря 1931 с задержкой по метеоусловиям удалось облетать самолёты. Ко всему величина снежного покрова в Алма-Ате и в Урумчи допускала полёты только на колесах, в то время как на маршруте (</w:t>
      </w:r>
      <w:proofErr w:type="spellStart"/>
      <w:r w:rsidRPr="007122AB">
        <w:rPr>
          <w:rFonts w:ascii="Times New Roman" w:hAnsi="Times New Roman"/>
          <w:color w:val="000000" w:themeColor="text1"/>
          <w:sz w:val="16"/>
          <w:szCs w:val="16"/>
        </w:rPr>
        <w:t>Сергиополь</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Бахты</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Чугучак</w:t>
      </w:r>
      <w:proofErr w:type="spellEnd"/>
      <w:r w:rsidRPr="007122AB">
        <w:rPr>
          <w:rFonts w:ascii="Times New Roman" w:hAnsi="Times New Roman"/>
          <w:color w:val="000000" w:themeColor="text1"/>
          <w:sz w:val="16"/>
          <w:szCs w:val="16"/>
        </w:rPr>
        <w:t>) глубокий снег позволял исполь</w:t>
      </w:r>
      <w:r w:rsidRPr="007122AB">
        <w:rPr>
          <w:rFonts w:ascii="Times New Roman" w:hAnsi="Times New Roman"/>
          <w:color w:val="000000" w:themeColor="text1"/>
          <w:sz w:val="16"/>
          <w:szCs w:val="16"/>
        </w:rPr>
        <w:softHyphen/>
        <w:t>зовать только лыжи.</w:t>
      </w:r>
    </w:p>
    <w:p w14:paraId="64B4560D"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Лётчиков очень торопили со стартом и наши, и китайцы, но погода все время стоя</w:t>
      </w:r>
      <w:r w:rsidRPr="007122AB">
        <w:rPr>
          <w:rFonts w:ascii="Times New Roman" w:hAnsi="Times New Roman"/>
          <w:color w:val="000000" w:themeColor="text1"/>
          <w:sz w:val="16"/>
          <w:szCs w:val="16"/>
        </w:rPr>
        <w:softHyphen/>
        <w:t>ла неблагоприятная: морозы, сильные ветры и туманы на незнакомом маршруте. По словам Берестецкого,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совершенно изнервничался и был панически на</w:t>
      </w:r>
      <w:r w:rsidRPr="007122AB">
        <w:rPr>
          <w:rFonts w:ascii="Times New Roman" w:hAnsi="Times New Roman"/>
          <w:color w:val="000000" w:themeColor="text1"/>
          <w:sz w:val="16"/>
          <w:szCs w:val="16"/>
        </w:rPr>
        <w:softHyphen/>
        <w:t>строен», полагая, что лётной погоды не будет до весны. Начальник экспедиции писал, что «со стороны метеослужбы помощи перелёту не было...» (15802).</w:t>
      </w:r>
    </w:p>
    <w:p w14:paraId="75560F5B" w14:textId="77777777" w:rsidR="00332C4C" w:rsidRPr="007122AB" w:rsidRDefault="00332C4C" w:rsidP="007122AB">
      <w:pPr>
        <w:spacing w:after="0" w:line="240" w:lineRule="auto"/>
        <w:jc w:val="both"/>
        <w:rPr>
          <w:rFonts w:ascii="Times New Roman" w:hAnsi="Times New Roman"/>
          <w:color w:val="000000" w:themeColor="text1"/>
          <w:sz w:val="16"/>
          <w:szCs w:val="16"/>
        </w:rPr>
      </w:pPr>
    </w:p>
    <w:p w14:paraId="0197FFB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F39A11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0E5BD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 декабря 1931 произошло одно из сильнейших извержений вулкана в 20 в </w:t>
      </w:r>
      <w:proofErr w:type="spellStart"/>
      <w:r w:rsidRPr="007122AB">
        <w:rPr>
          <w:rFonts w:ascii="Times New Roman" w:hAnsi="Times New Roman"/>
          <w:color w:val="000000" w:themeColor="text1"/>
          <w:sz w:val="16"/>
          <w:szCs w:val="16"/>
        </w:rPr>
        <w:t>Мерапи</w:t>
      </w:r>
      <w:proofErr w:type="spellEnd"/>
      <w:r w:rsidRPr="007122AB">
        <w:rPr>
          <w:rFonts w:ascii="Times New Roman" w:hAnsi="Times New Roman"/>
          <w:color w:val="000000" w:themeColor="text1"/>
          <w:sz w:val="16"/>
          <w:szCs w:val="16"/>
        </w:rPr>
        <w:t xml:space="preserve"> на Яве. Погибло 1300 чел. (3263,728).</w:t>
      </w:r>
    </w:p>
    <w:p w14:paraId="289595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86A2F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126123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C952B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декабря 1931 В.М.П. направил </w:t>
      </w:r>
      <w:proofErr w:type="spellStart"/>
      <w:r w:rsidRPr="007122AB">
        <w:rPr>
          <w:rFonts w:ascii="Times New Roman" w:hAnsi="Times New Roman"/>
          <w:color w:val="000000" w:themeColor="text1"/>
          <w:sz w:val="16"/>
          <w:szCs w:val="16"/>
        </w:rPr>
        <w:t>Н.М.Харламову</w:t>
      </w:r>
      <w:proofErr w:type="spellEnd"/>
      <w:r w:rsidRPr="007122AB">
        <w:rPr>
          <w:rFonts w:ascii="Times New Roman" w:hAnsi="Times New Roman"/>
          <w:color w:val="000000" w:themeColor="text1"/>
          <w:sz w:val="16"/>
          <w:szCs w:val="16"/>
        </w:rPr>
        <w:t xml:space="preserve"> докладную с ответами на вопросы по ТБ-3 (АНТ-6) с разными моторами (1077,123).</w:t>
      </w:r>
    </w:p>
    <w:p w14:paraId="71A493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1C77D72" w14:textId="77777777" w:rsidR="00987BB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D246FC7" w14:textId="77777777" w:rsidR="00987BB5" w:rsidRPr="007122AB" w:rsidRDefault="00987BB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9E11EAE" w14:textId="77777777" w:rsidR="006F7ACC" w:rsidRPr="007122AB" w:rsidRDefault="006F7ACC" w:rsidP="007122AB">
      <w:pPr>
        <w:spacing w:after="0" w:line="240" w:lineRule="auto"/>
        <w:jc w:val="both"/>
        <w:rPr>
          <w:rFonts w:ascii="Times New Roman" w:eastAsia="Times New Roman" w:hAnsi="Times New Roman"/>
          <w:bCs/>
          <w:iCs/>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14 декабря 1931</w:t>
      </w:r>
    </w:p>
    <w:p w14:paraId="3C62B694"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bCs/>
          <w:iCs/>
          <w:color w:val="000000" w:themeColor="text1"/>
          <w:sz w:val="16"/>
          <w:szCs w:val="16"/>
          <w:lang w:eastAsia="ru-RU"/>
        </w:rPr>
        <w:t>РГВА Фонд 31811 Опись 3 Дело 28 лист 96 – 97</w:t>
      </w:r>
    </w:p>
    <w:p w14:paraId="32031C8A"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iCs/>
          <w:color w:val="000000" w:themeColor="text1"/>
          <w:sz w:val="16"/>
          <w:szCs w:val="16"/>
          <w:lang w:eastAsia="ru-RU"/>
        </w:rPr>
        <w:t>На документе штампы:</w:t>
      </w:r>
      <w:r w:rsidRPr="007122AB">
        <w:rPr>
          <w:rFonts w:ascii="Times New Roman" w:eastAsia="Times New Roman" w:hAnsi="Times New Roman"/>
          <w:color w:val="000000" w:themeColor="text1"/>
          <w:sz w:val="16"/>
          <w:szCs w:val="16"/>
          <w:lang w:eastAsia="ru-RU"/>
        </w:rPr>
        <w:t xml:space="preserve"> </w:t>
      </w:r>
    </w:p>
    <w:p w14:paraId="3C6AACA1"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«От. 1 Зам. Пред. РВС СССР № 07229/сс 11/XII-1931 г.» </w:t>
      </w:r>
    </w:p>
    <w:p w14:paraId="636D75CD"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«УММ РККА </w:t>
      </w:r>
      <w:proofErr w:type="spellStart"/>
      <w:r w:rsidRPr="007122AB">
        <w:rPr>
          <w:rFonts w:ascii="Times New Roman" w:eastAsia="Times New Roman" w:hAnsi="Times New Roman"/>
          <w:color w:val="000000" w:themeColor="text1"/>
          <w:sz w:val="16"/>
          <w:szCs w:val="16"/>
          <w:lang w:eastAsia="ru-RU"/>
        </w:rPr>
        <w:t>Вх</w:t>
      </w:r>
      <w:proofErr w:type="spellEnd"/>
      <w:r w:rsidRPr="007122AB">
        <w:rPr>
          <w:rFonts w:ascii="Times New Roman" w:eastAsia="Times New Roman" w:hAnsi="Times New Roman"/>
          <w:color w:val="000000" w:themeColor="text1"/>
          <w:sz w:val="16"/>
          <w:szCs w:val="16"/>
          <w:lang w:eastAsia="ru-RU"/>
        </w:rPr>
        <w:t xml:space="preserve">. 02380 от 14/XII-1931 г.» </w:t>
      </w:r>
    </w:p>
    <w:p w14:paraId="794D2717"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Сов. Секретно. </w:t>
      </w:r>
    </w:p>
    <w:p w14:paraId="1FE19398"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Экз. № 1 </w:t>
      </w:r>
    </w:p>
    <w:p w14:paraId="2BE7F9F9"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ДОКЛАД</w:t>
      </w:r>
    </w:p>
    <w:p w14:paraId="7D6D916E"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О положении вопроса о танках Кристи в С.А.С.Ш.</w:t>
      </w:r>
    </w:p>
    <w:p w14:paraId="6F713034"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Впервые я посетил мастерскую Кристи в начале июня </w:t>
      </w:r>
      <w:proofErr w:type="spellStart"/>
      <w:r w:rsidRPr="007122AB">
        <w:rPr>
          <w:rFonts w:ascii="Times New Roman" w:eastAsia="Times New Roman" w:hAnsi="Times New Roman"/>
          <w:color w:val="000000" w:themeColor="text1"/>
          <w:sz w:val="16"/>
          <w:szCs w:val="16"/>
          <w:lang w:eastAsia="ru-RU"/>
        </w:rPr>
        <w:t>с.г</w:t>
      </w:r>
      <w:proofErr w:type="spellEnd"/>
      <w:r w:rsidRPr="007122AB">
        <w:rPr>
          <w:rFonts w:ascii="Times New Roman" w:eastAsia="Times New Roman" w:hAnsi="Times New Roman"/>
          <w:color w:val="000000" w:themeColor="text1"/>
          <w:sz w:val="16"/>
          <w:szCs w:val="16"/>
          <w:lang w:eastAsia="ru-RU"/>
        </w:rPr>
        <w:t xml:space="preserve">. (после приезда из Детройта по окончании приемки первой партии агрегатов </w:t>
      </w:r>
      <w:proofErr w:type="spellStart"/>
      <w:r w:rsidRPr="007122AB">
        <w:rPr>
          <w:rFonts w:ascii="Times New Roman" w:eastAsia="Times New Roman" w:hAnsi="Times New Roman"/>
          <w:color w:val="000000" w:themeColor="text1"/>
          <w:sz w:val="16"/>
          <w:szCs w:val="16"/>
          <w:lang w:eastAsia="ru-RU"/>
        </w:rPr>
        <w:t>Тикмена</w:t>
      </w:r>
      <w:proofErr w:type="spellEnd"/>
      <w:r w:rsidRPr="007122AB">
        <w:rPr>
          <w:rFonts w:ascii="Times New Roman" w:eastAsia="Times New Roman" w:hAnsi="Times New Roman"/>
          <w:color w:val="000000" w:themeColor="text1"/>
          <w:sz w:val="16"/>
          <w:szCs w:val="16"/>
          <w:lang w:eastAsia="ru-RU"/>
        </w:rPr>
        <w:t xml:space="preserve">). В дальнейшем я встречался с Кристи в его мастерской каждый месяц. В течение октября перед отъездом в Союз я был у Кристи несколько раз. </w:t>
      </w:r>
    </w:p>
    <w:p w14:paraId="645335D9"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ПОЛОЖЕНИЕ С КОНСТРУКЦИЕЙ ТАНКА КРИСТИ. </w:t>
      </w:r>
    </w:p>
    <w:p w14:paraId="6745A284"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 моменту моего первого посещения конструкторское бюро Кристи в составе двух человек приступило к разработке рабочих чертежей той машины, которая имеется у нас в Союзе, так как до того времени в распоряжении Кристи были только сборочные чертежи. Эти рабочие чертежи заканчивались к моменту моего последнего посещения перед отъездом в Союз. </w:t>
      </w:r>
    </w:p>
    <w:p w14:paraId="7578963D"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конструкцию при разработке детальных чертежей было внесено большое количество мелких изменений, упрощающих изготовление. Кроме того, были сделаны конструктивные изменения, не меняющие принципа конструкции, на основании всех проведенных Кристи и военным департаментом испытаний: </w:t>
      </w:r>
    </w:p>
    <w:p w14:paraId="2E289EC4"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1. Носовая часть корпуса была усилена и сделана в виде стальной отливки, к которой укрепляются листы брони. </w:t>
      </w:r>
    </w:p>
    <w:p w14:paraId="675FA1BD"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lastRenderedPageBreak/>
        <w:t xml:space="preserve">2. Усилена конструкция кронштейна, подвески, передних (малых) колес. Этот кронштейн представляет собой массивную стальную отливку. </w:t>
      </w:r>
    </w:p>
    <w:p w14:paraId="5ACCB603"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3. Улучшена конструкция подвода смазки к подшипникам бортового сцепления. </w:t>
      </w:r>
    </w:p>
    <w:p w14:paraId="7A6F6F92"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4. Изменена, с целью упрощения, конструкция тяг управления для выключения бортового сцепления. </w:t>
      </w:r>
    </w:p>
    <w:p w14:paraId="2018361E"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Так как Кристи под разными предлогами ("не готовы, нужно изменить еще раз") отказывался дать материалы по изменению конструкции, то мне удалось материалы по п. п. 2 и 3 получить помимо Кристи. Эти материалы я выслал в Союз. Это были эскизы и карандашная копировка со сборочных чертежей, где были указаны эти изменения. </w:t>
      </w:r>
    </w:p>
    <w:p w14:paraId="5BE0DCF6"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основном нежелание Кристи дать эти изменения объясняются тем, что он все время хочет получить не уплаченные ему 25.000 долл., которые были удержаны за невыполнение договора при сдаче двух машин (не сдача рабочих чертежей и поставка машин без башен). </w:t>
      </w:r>
    </w:p>
    <w:p w14:paraId="5C89AED2"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Принципиальные изменения, которые повлияли бы на динамические и другие качества, в конструкции машины Кристи не имеется. </w:t>
      </w:r>
    </w:p>
    <w:p w14:paraId="290485E2"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Попытки к получению рабочих чертежей также не увенчались успехом, так как Кристи предварительно желает получить вышеуказанные 25.000 долларов. </w:t>
      </w:r>
    </w:p>
    <w:p w14:paraId="2D90EF8B"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НОВЫЕ КОНСТРУКЦИИ. </w:t>
      </w:r>
    </w:p>
    <w:p w14:paraId="2C426311"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июне мес. Кристи при первой встрече поделился со мной своими планами по разработке новых конструкций. Характеристики этих задуманных им машин вместе с одной из схем я направил к Вам. Однако дальнейшие посещения показали, что никакой разработки этих конструкций Кристи не производит и один из конструкторов Кристи мистер Андерсон в частной беседе заявил, что он не верит в осуществление этих конструкций Кристи. </w:t>
      </w:r>
    </w:p>
    <w:p w14:paraId="09DF462A"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Перед моим отъездом в Союз Кристи сообщил, что он приступит к разработке новой конструкции после окончания рабочих чертежей машины старого типа и окончания правительственного заказа, о котором я пишу ниже. Новая машина, как я уже писал, есть измененная конструкция старого типа с более мощным мотором 600 НР и вооружением 76-мм пушки. Танк был намечен не плавучим. </w:t>
      </w:r>
    </w:p>
    <w:p w14:paraId="55937B92"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ЗАКАЗЫ КРИСТИ. </w:t>
      </w:r>
    </w:p>
    <w:p w14:paraId="15F8605D"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Кристи в настоящее время выполняет правительственный заказ. Изготовляется 6 машин по тому же типу, которые были сделаны нам с изменениями, описанными выше. </w:t>
      </w:r>
    </w:p>
    <w:p w14:paraId="74959ED5"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июне мес. я нашел в мастерской только корпуса этих танков. При последнем посещении в первых числах ноября можно было видеть установленные в корпуса коробки скоростей и подготовку к установке мотора. Окончательная сдача машин намечена на конец ноября. </w:t>
      </w:r>
    </w:p>
    <w:p w14:paraId="2AFB436C"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Кристи заявил, что он надеется на получение заказа на 100 штук таких машин и что он вынужден будет расширить свою мастерскую. Это маловероятно в связи с резким сокращением военного бюджета С.А.С.Ш. на 1932 г. и, по моему мнению, все это говорилось для того, чтобы как-нибудь подготовить пути к получению наших 25.000 долларов. </w:t>
      </w:r>
    </w:p>
    <w:p w14:paraId="04564B66"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ВОПРОС О ПОЕЗДКЕ КРИСТИ В СОЮЗ. </w:t>
      </w:r>
    </w:p>
    <w:p w14:paraId="7D972E44"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Предложение поехать работать в Союз Кристи отклонил. Здесь нужно отметить, что Кристи заявил, что заказ правительства на 6 машин он получил после того, как он сообщил в военном департаменте о своем желании поехать работать в Союз. Это заявление весьма правдоподобно. </w:t>
      </w:r>
    </w:p>
    <w:p w14:paraId="2BD6D8F8"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Я вел переговоры, конечно, не официально с его конструкторами </w:t>
      </w:r>
      <w:proofErr w:type="spellStart"/>
      <w:r w:rsidRPr="007122AB">
        <w:rPr>
          <w:rFonts w:ascii="Times New Roman" w:eastAsia="Times New Roman" w:hAnsi="Times New Roman"/>
          <w:color w:val="000000" w:themeColor="text1"/>
          <w:sz w:val="16"/>
          <w:szCs w:val="16"/>
          <w:lang w:eastAsia="ru-RU"/>
        </w:rPr>
        <w:t>Лейкок</w:t>
      </w:r>
      <w:proofErr w:type="spellEnd"/>
      <w:r w:rsidRPr="007122AB">
        <w:rPr>
          <w:rFonts w:ascii="Times New Roman" w:eastAsia="Times New Roman" w:hAnsi="Times New Roman"/>
          <w:color w:val="000000" w:themeColor="text1"/>
          <w:sz w:val="16"/>
          <w:szCs w:val="16"/>
          <w:lang w:eastAsia="ru-RU"/>
        </w:rPr>
        <w:t xml:space="preserve"> и Андерсон с тем, чтобы выявить настроение по вопросу поездки их в Союз. Мнение Андерсона Вам известно и изложено в его письме, адресованном на мое имя. </w:t>
      </w:r>
      <w:proofErr w:type="spellStart"/>
      <w:r w:rsidRPr="007122AB">
        <w:rPr>
          <w:rFonts w:ascii="Times New Roman" w:eastAsia="Times New Roman" w:hAnsi="Times New Roman"/>
          <w:color w:val="000000" w:themeColor="text1"/>
          <w:sz w:val="16"/>
          <w:szCs w:val="16"/>
          <w:lang w:eastAsia="ru-RU"/>
        </w:rPr>
        <w:t>Лейкок</w:t>
      </w:r>
      <w:proofErr w:type="spellEnd"/>
      <w:r w:rsidRPr="007122AB">
        <w:rPr>
          <w:rFonts w:ascii="Times New Roman" w:eastAsia="Times New Roman" w:hAnsi="Times New Roman"/>
          <w:color w:val="000000" w:themeColor="text1"/>
          <w:sz w:val="16"/>
          <w:szCs w:val="16"/>
          <w:lang w:eastAsia="ru-RU"/>
        </w:rPr>
        <w:t xml:space="preserve"> вообще к моему последнему приезду из Детройта в Нью-</w:t>
      </w:r>
      <w:proofErr w:type="spellStart"/>
      <w:r w:rsidRPr="007122AB">
        <w:rPr>
          <w:rFonts w:ascii="Times New Roman" w:eastAsia="Times New Roman" w:hAnsi="Times New Roman"/>
          <w:color w:val="000000" w:themeColor="text1"/>
          <w:sz w:val="16"/>
          <w:szCs w:val="16"/>
          <w:lang w:eastAsia="ru-RU"/>
        </w:rPr>
        <w:t>Иорк</w:t>
      </w:r>
      <w:proofErr w:type="spellEnd"/>
      <w:r w:rsidRPr="007122AB">
        <w:rPr>
          <w:rFonts w:ascii="Times New Roman" w:eastAsia="Times New Roman" w:hAnsi="Times New Roman"/>
          <w:color w:val="000000" w:themeColor="text1"/>
          <w:sz w:val="16"/>
          <w:szCs w:val="16"/>
          <w:lang w:eastAsia="ru-RU"/>
        </w:rPr>
        <w:t xml:space="preserve"> ушел от Кристи и работает главным инженером одного маленького завода грузовых машин и с танковым делом сейчас не связан. Кроме того, Андерсон заявил мне, что в конце ноября он также уходит от Кристи, организуя свою танковую контору. При этом Андерсон указал, что его первой работой будет модернизация танка T1E1 по увеличению его скорости движения. По его заявлению он уже имел переговоры в военном департаменте. Предложение Андерсона по поводу танка Кристи известно Вам по его письму. </w:t>
      </w:r>
    </w:p>
    <w:p w14:paraId="6C4E7C15"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Однако все эти заявления требуют проверки, так как у меня есть предположение, что Андерсон работает в полном контакте с Кристи и его предложение есть желание получить 25.000 долларов с другой стороны. </w:t>
      </w:r>
    </w:p>
    <w:p w14:paraId="19FB113D"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ФИНАНСОВОЕ СОСТОЯНИЕ. </w:t>
      </w:r>
    </w:p>
    <w:p w14:paraId="4FD1224F"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Финансовое состояние Кристи мало отличается от прошлогоднего. Все финансовые операции по правительственному заказу контролируются м-ром </w:t>
      </w:r>
      <w:proofErr w:type="spellStart"/>
      <w:r w:rsidRPr="007122AB">
        <w:rPr>
          <w:rFonts w:ascii="Times New Roman" w:eastAsia="Times New Roman" w:hAnsi="Times New Roman"/>
          <w:color w:val="000000" w:themeColor="text1"/>
          <w:sz w:val="16"/>
          <w:szCs w:val="16"/>
          <w:lang w:eastAsia="ru-RU"/>
        </w:rPr>
        <w:t>Теффини</w:t>
      </w:r>
      <w:proofErr w:type="spellEnd"/>
      <w:r w:rsidRPr="007122AB">
        <w:rPr>
          <w:rFonts w:ascii="Times New Roman" w:eastAsia="Times New Roman" w:hAnsi="Times New Roman"/>
          <w:color w:val="000000" w:themeColor="text1"/>
          <w:sz w:val="16"/>
          <w:szCs w:val="16"/>
          <w:lang w:eastAsia="ru-RU"/>
        </w:rPr>
        <w:t xml:space="preserve">, и Кристи </w:t>
      </w:r>
      <w:proofErr w:type="spellStart"/>
      <w:r w:rsidRPr="007122AB">
        <w:rPr>
          <w:rFonts w:ascii="Times New Roman" w:eastAsia="Times New Roman" w:hAnsi="Times New Roman"/>
          <w:color w:val="000000" w:themeColor="text1"/>
          <w:sz w:val="16"/>
          <w:szCs w:val="16"/>
          <w:lang w:eastAsia="ru-RU"/>
        </w:rPr>
        <w:t>попрежнему</w:t>
      </w:r>
      <w:proofErr w:type="spellEnd"/>
      <w:r w:rsidRPr="007122AB">
        <w:rPr>
          <w:rFonts w:ascii="Times New Roman" w:eastAsia="Times New Roman" w:hAnsi="Times New Roman"/>
          <w:color w:val="000000" w:themeColor="text1"/>
          <w:sz w:val="16"/>
          <w:szCs w:val="16"/>
          <w:lang w:eastAsia="ru-RU"/>
        </w:rPr>
        <w:t xml:space="preserve"> сидит без денег. </w:t>
      </w:r>
    </w:p>
    <w:p w14:paraId="251DFFAD"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Кристи имел большие затруднения при получении правительственного заказа, т.к. он не имел денег для начала работ, а правительство при выдаче заказа аванса не давало. Деньги были получены через </w:t>
      </w:r>
      <w:proofErr w:type="spellStart"/>
      <w:r w:rsidRPr="007122AB">
        <w:rPr>
          <w:rFonts w:ascii="Times New Roman" w:eastAsia="Times New Roman" w:hAnsi="Times New Roman"/>
          <w:color w:val="000000" w:themeColor="text1"/>
          <w:sz w:val="16"/>
          <w:szCs w:val="16"/>
          <w:lang w:eastAsia="ru-RU"/>
        </w:rPr>
        <w:t>Теффини</w:t>
      </w:r>
      <w:proofErr w:type="spellEnd"/>
      <w:r w:rsidRPr="007122AB">
        <w:rPr>
          <w:rFonts w:ascii="Times New Roman" w:eastAsia="Times New Roman" w:hAnsi="Times New Roman"/>
          <w:color w:val="000000" w:themeColor="text1"/>
          <w:sz w:val="16"/>
          <w:szCs w:val="16"/>
          <w:lang w:eastAsia="ru-RU"/>
        </w:rPr>
        <w:t xml:space="preserve">. Тяжелым финансовым положением и объясняется стремление Кристи получить наши 25.000 долл. </w:t>
      </w:r>
    </w:p>
    <w:p w14:paraId="0AE6548F"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ВЗАИМООТНОШЕНИЯ С КРИСТИ. </w:t>
      </w:r>
    </w:p>
    <w:p w14:paraId="4146BB14"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 Кристи мы поддерживаем самые лучшие отношения, и они были сохранены по день моего отъезда в Союз, так что я думаю деловые отношения с Кристи на практической почве могут быть возобновлены в любой момент. </w:t>
      </w:r>
    </w:p>
    <w:p w14:paraId="5183D2E5"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ПЕРСПЕКТИВЫ. </w:t>
      </w:r>
    </w:p>
    <w:p w14:paraId="493E72DB"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Нужно признать, что Кристи является солидным экспериментатором, но не является производственником. Несомненно, Кристи будет продолжать работать с новыми образцами, весь вопрос в деньгах. </w:t>
      </w:r>
    </w:p>
    <w:p w14:paraId="7BC92953"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То, что танк Кристи является по идее шагом вперед, подтверждается той сравнительной демонстрацией на </w:t>
      </w:r>
      <w:proofErr w:type="spellStart"/>
      <w:r w:rsidRPr="007122AB">
        <w:rPr>
          <w:rFonts w:ascii="Times New Roman" w:eastAsia="Times New Roman" w:hAnsi="Times New Roman"/>
          <w:color w:val="000000" w:themeColor="text1"/>
          <w:sz w:val="16"/>
          <w:szCs w:val="16"/>
          <w:lang w:eastAsia="ru-RU"/>
        </w:rPr>
        <w:t>Эбердинском</w:t>
      </w:r>
      <w:proofErr w:type="spellEnd"/>
      <w:r w:rsidRPr="007122AB">
        <w:rPr>
          <w:rFonts w:ascii="Times New Roman" w:eastAsia="Times New Roman" w:hAnsi="Times New Roman"/>
          <w:color w:val="000000" w:themeColor="text1"/>
          <w:sz w:val="16"/>
          <w:szCs w:val="16"/>
          <w:lang w:eastAsia="ru-RU"/>
        </w:rPr>
        <w:t xml:space="preserve"> Полигоне 15-тн. танка Т-2 и танка Кристи. По сравнению с танком Кристи, 15-тн. танк в смысле динамики сильно уступал танку Кристи, имея преимущество в вооружении. Танки Кристи на этой демонстрации вызывали видимое одобрение. И если в танке Кристи к настоящему дню имеется ряд недостатков, то это не является причиной к тому, что над этим типом не следует работать. Ведь не зря военный департамент выдал заказ Кристи на 6 танков. Можно предполагать, что будут произведены солидные испытания и исследования этих образцов, на основании которых будут внесены изменения в конструкцию Кристи. </w:t>
      </w:r>
    </w:p>
    <w:p w14:paraId="6F435953"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подпись В.Д. Свиридова (19767).</w:t>
      </w:r>
    </w:p>
    <w:p w14:paraId="05C6AEE1" w14:textId="77777777" w:rsidR="006F7ACC" w:rsidRPr="007122AB" w:rsidRDefault="006F7ACC" w:rsidP="007122AB">
      <w:pPr>
        <w:spacing w:after="0" w:line="240" w:lineRule="auto"/>
        <w:jc w:val="both"/>
        <w:rPr>
          <w:rFonts w:ascii="Times New Roman" w:eastAsia="Times New Roman" w:hAnsi="Times New Roman"/>
          <w:color w:val="000000" w:themeColor="text1"/>
          <w:sz w:val="16"/>
          <w:szCs w:val="16"/>
          <w:lang w:eastAsia="ru-RU"/>
        </w:rPr>
      </w:pPr>
    </w:p>
    <w:p w14:paraId="322FAC9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14 декабря 1931 г., рассмотрев материалы по испытаниям и заявление </w:t>
      </w:r>
      <w:proofErr w:type="spellStart"/>
      <w:r w:rsidRPr="007122AB">
        <w:rPr>
          <w:rFonts w:ascii="Times New Roman" w:hAnsi="Times New Roman"/>
          <w:color w:val="000000" w:themeColor="text1"/>
          <w:sz w:val="16"/>
          <w:szCs w:val="16"/>
        </w:rPr>
        <w:t>Кратирова</w:t>
      </w:r>
      <w:proofErr w:type="spellEnd"/>
      <w:r w:rsidRPr="007122AB">
        <w:rPr>
          <w:rFonts w:ascii="Times New Roman" w:hAnsi="Times New Roman"/>
          <w:color w:val="000000" w:themeColor="text1"/>
          <w:sz w:val="16"/>
          <w:szCs w:val="16"/>
        </w:rPr>
        <w:t xml:space="preserve">, председатель и управделами НТК ВОХИМУ, решили: «Тов. </w:t>
      </w:r>
      <w:proofErr w:type="spellStart"/>
      <w:r w:rsidRPr="007122AB">
        <w:rPr>
          <w:rFonts w:ascii="Times New Roman" w:hAnsi="Times New Roman"/>
          <w:color w:val="000000" w:themeColor="text1"/>
          <w:sz w:val="16"/>
          <w:szCs w:val="16"/>
        </w:rPr>
        <w:t>Кратиров</w:t>
      </w:r>
      <w:proofErr w:type="spellEnd"/>
      <w:r w:rsidRPr="007122AB">
        <w:rPr>
          <w:rFonts w:ascii="Times New Roman" w:hAnsi="Times New Roman"/>
          <w:color w:val="000000" w:themeColor="text1"/>
          <w:sz w:val="16"/>
          <w:szCs w:val="16"/>
        </w:rPr>
        <w:t xml:space="preserve">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w:t>
      </w:r>
      <w:proofErr w:type="spellStart"/>
      <w:r w:rsidRPr="007122AB">
        <w:rPr>
          <w:rFonts w:ascii="Times New Roman" w:hAnsi="Times New Roman"/>
          <w:color w:val="000000" w:themeColor="text1"/>
          <w:sz w:val="16"/>
          <w:szCs w:val="16"/>
        </w:rPr>
        <w:t>Кратиро-ва</w:t>
      </w:r>
      <w:proofErr w:type="spellEnd"/>
      <w:r w:rsidRPr="007122AB">
        <w:rPr>
          <w:rFonts w:ascii="Times New Roman" w:hAnsi="Times New Roman"/>
          <w:color w:val="000000" w:themeColor="text1"/>
          <w:sz w:val="16"/>
          <w:szCs w:val="16"/>
        </w:rPr>
        <w:t xml:space="preserve"> отпустить кожаное пальто, стоимость будет НТК </w:t>
      </w:r>
      <w:proofErr w:type="spellStart"/>
      <w:r w:rsidRPr="007122AB">
        <w:rPr>
          <w:rFonts w:ascii="Times New Roman" w:hAnsi="Times New Roman"/>
          <w:color w:val="000000" w:themeColor="text1"/>
          <w:sz w:val="16"/>
          <w:szCs w:val="16"/>
        </w:rPr>
        <w:t>Вохиму</w:t>
      </w:r>
      <w:proofErr w:type="spellEnd"/>
      <w:r w:rsidRPr="007122AB">
        <w:rPr>
          <w:rFonts w:ascii="Times New Roman" w:hAnsi="Times New Roman"/>
          <w:color w:val="000000" w:themeColor="text1"/>
          <w:sz w:val="16"/>
          <w:szCs w:val="16"/>
        </w:rPr>
        <w:t xml:space="preserve"> оплачена» (12253).</w:t>
      </w:r>
    </w:p>
    <w:p w14:paraId="69FD78FE"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67038990" w14:textId="77777777" w:rsidR="000E52C6" w:rsidRPr="007122AB" w:rsidRDefault="000E52C6" w:rsidP="007122AB">
      <w:pPr>
        <w:spacing w:after="0" w:line="240" w:lineRule="auto"/>
        <w:jc w:val="both"/>
        <w:rPr>
          <w:rFonts w:ascii="Times New Roman" w:hAnsi="Times New Roman"/>
          <w:color w:val="000000" w:themeColor="text1"/>
          <w:sz w:val="16"/>
          <w:szCs w:val="16"/>
          <w:highlight w:val="green"/>
          <w:shd w:val="clear" w:color="auto" w:fill="000000"/>
        </w:rPr>
      </w:pPr>
      <w:r w:rsidRPr="007122AB">
        <w:rPr>
          <w:rFonts w:ascii="Times New Roman" w:hAnsi="Times New Roman"/>
          <w:color w:val="000000" w:themeColor="text1"/>
          <w:sz w:val="16"/>
          <w:szCs w:val="16"/>
        </w:rPr>
        <w:t xml:space="preserve">14 декабря 1931 г. Судебным решением Коллегии ОГПУ при СНК СССР </w:t>
      </w:r>
      <w:proofErr w:type="spellStart"/>
      <w:r w:rsidRPr="007122AB">
        <w:rPr>
          <w:rFonts w:ascii="Times New Roman" w:hAnsi="Times New Roman"/>
          <w:color w:val="000000" w:themeColor="text1"/>
          <w:sz w:val="16"/>
          <w:szCs w:val="16"/>
        </w:rPr>
        <w:t>Бриллинг</w:t>
      </w:r>
      <w:proofErr w:type="spellEnd"/>
      <w:r w:rsidRPr="007122AB">
        <w:rPr>
          <w:rFonts w:ascii="Times New Roman" w:hAnsi="Times New Roman"/>
          <w:color w:val="000000" w:themeColor="text1"/>
          <w:sz w:val="16"/>
          <w:szCs w:val="16"/>
        </w:rPr>
        <w:t xml:space="preserve"> освобожден досрочно (21441).</w:t>
      </w:r>
    </w:p>
    <w:p w14:paraId="0DC159AB" w14:textId="77777777" w:rsidR="000E52C6" w:rsidRPr="007122AB" w:rsidRDefault="000E52C6" w:rsidP="007122AB">
      <w:pPr>
        <w:pStyle w:val="article-renderblock"/>
        <w:shd w:val="clear" w:color="auto" w:fill="FFFFFF"/>
        <w:spacing w:before="0" w:beforeAutospacing="0" w:after="0" w:afterAutospacing="0"/>
        <w:jc w:val="both"/>
        <w:rPr>
          <w:color w:val="000000" w:themeColor="text1"/>
          <w:sz w:val="16"/>
          <w:szCs w:val="16"/>
        </w:rPr>
      </w:pPr>
    </w:p>
    <w:p w14:paraId="3C179B70" w14:textId="77777777" w:rsidR="00332C4C" w:rsidRPr="007122AB" w:rsidRDefault="00332C4C"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14 декабря 1931 г. — Докладная записка управляющего объединением «</w:t>
      </w:r>
      <w:proofErr w:type="spellStart"/>
      <w:r w:rsidRPr="007122AB">
        <w:rPr>
          <w:rFonts w:ascii="Times New Roman" w:hAnsi="Times New Roman"/>
          <w:bCs/>
          <w:color w:val="000000" w:themeColor="text1"/>
          <w:sz w:val="16"/>
          <w:szCs w:val="16"/>
        </w:rPr>
        <w:t>Союзверфь</w:t>
      </w:r>
      <w:proofErr w:type="spellEnd"/>
      <w:r w:rsidRPr="007122AB">
        <w:rPr>
          <w:rFonts w:ascii="Times New Roman" w:hAnsi="Times New Roman"/>
          <w:bCs/>
          <w:color w:val="000000" w:themeColor="text1"/>
          <w:sz w:val="16"/>
          <w:szCs w:val="16"/>
        </w:rPr>
        <w:t xml:space="preserve">» И. И. Кондратьева заместителю председателя ВСНХ СССР И. П. </w:t>
      </w:r>
      <w:proofErr w:type="spellStart"/>
      <w:r w:rsidRPr="007122AB">
        <w:rPr>
          <w:rFonts w:ascii="Times New Roman" w:hAnsi="Times New Roman"/>
          <w:bCs/>
          <w:color w:val="000000" w:themeColor="text1"/>
          <w:sz w:val="16"/>
          <w:szCs w:val="16"/>
        </w:rPr>
        <w:t>Павлуновскому</w:t>
      </w:r>
      <w:proofErr w:type="spellEnd"/>
      <w:r w:rsidRPr="007122AB">
        <w:rPr>
          <w:rFonts w:ascii="Times New Roman" w:hAnsi="Times New Roman"/>
          <w:bCs/>
          <w:color w:val="000000" w:themeColor="text1"/>
          <w:sz w:val="16"/>
          <w:szCs w:val="16"/>
        </w:rPr>
        <w:t xml:space="preserve"> о мерах по выполнению программы военного судостроения</w:t>
      </w:r>
    </w:p>
    <w:p w14:paraId="70B2F87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1CF3EDB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заседании 9 декабря с. г. у зам. председателя Госплана т. </w:t>
      </w:r>
      <w:proofErr w:type="spellStart"/>
      <w:r w:rsidR="00000000">
        <w:fldChar w:fldCharType="begin"/>
      </w:r>
      <w:r w:rsidR="00000000">
        <w:instrText>HYPERLINK "http://www.hrono.ru/biograf/bio_u/unshliht_is.php"</w:instrText>
      </w:r>
      <w:r w:rsidR="00000000">
        <w:fldChar w:fldCharType="separate"/>
      </w:r>
      <w:r w:rsidRPr="007122AB">
        <w:rPr>
          <w:color w:val="000000" w:themeColor="text1"/>
          <w:sz w:val="16"/>
          <w:szCs w:val="16"/>
        </w:rPr>
        <w:t>Уншлихта</w:t>
      </w:r>
      <w:proofErr w:type="spellEnd"/>
      <w:r w:rsidR="00000000">
        <w:rPr>
          <w:color w:val="000000" w:themeColor="text1"/>
          <w:sz w:val="16"/>
          <w:szCs w:val="16"/>
        </w:rPr>
        <w:fldChar w:fldCharType="end"/>
      </w:r>
      <w:r w:rsidRPr="007122AB">
        <w:rPr>
          <w:color w:val="000000" w:themeColor="text1"/>
          <w:sz w:val="16"/>
          <w:szCs w:val="16"/>
        </w:rPr>
        <w:t xml:space="preserve"> и во всех последующих заседаниях в аппарате ВСНХ СССР и Госплана по вопросам о программе военного судостроения выяснились следующие обстоятельства:</w:t>
      </w:r>
    </w:p>
    <w:p w14:paraId="54F252C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1. Правительством утверждена 4</w:t>
      </w:r>
      <w:r w:rsidRPr="007122AB">
        <w:rPr>
          <w:color w:val="000000" w:themeColor="text1"/>
          <w:sz w:val="16"/>
          <w:szCs w:val="16"/>
        </w:rPr>
        <w:noBreakHyphen/>
        <w:t>летняя программа военного судостроения, требующая вложений на производство в 1932 г. 117 млн. руб. Эта программа в 1933 г. возрастает как по затратам, так и по количеству строящихся судов в 3 раза.</w:t>
      </w:r>
    </w:p>
    <w:p w14:paraId="6F5E6DF6"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2. На капитальное строительство 1932 г. предположено отпустить 70 млн. руб. при полном отсутствии импортного контингента.</w:t>
      </w:r>
    </w:p>
    <w:p w14:paraId="14AD761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3. На начало постройки новых заводов в Хабаровске и Мариуполе из тех же 70 млн. руб. должно быть выделено 20 млн. руб. для Хабаровского завода; Мариупольский же завод не обеспечивается совершенно вложениями на строительство.</w:t>
      </w:r>
    </w:p>
    <w:p w14:paraId="5D99518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4. Импорт судового снабжения (роторы турбин, лопатки, цельнокованые коллекторы и пр.) не обеспечиваются валютными контингентами.</w:t>
      </w:r>
    </w:p>
    <w:p w14:paraId="5DDAD40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5. По сообщению т. </w:t>
      </w:r>
      <w:proofErr w:type="spellStart"/>
      <w:r w:rsidRPr="007122AB">
        <w:rPr>
          <w:color w:val="000000" w:themeColor="text1"/>
          <w:sz w:val="16"/>
          <w:szCs w:val="16"/>
        </w:rPr>
        <w:t>Уншлихта</w:t>
      </w:r>
      <w:proofErr w:type="spellEnd"/>
      <w:r w:rsidRPr="007122AB">
        <w:rPr>
          <w:color w:val="000000" w:themeColor="text1"/>
          <w:sz w:val="16"/>
          <w:szCs w:val="16"/>
        </w:rPr>
        <w:t xml:space="preserve"> доклад ВСНХ СССР, направленный в Комиссию обороны о мероприятиях, обеспечивающих выполнение морской военной программы, суммы затрат на капитальное строительство поняты как полная стоимость заводов, которые будут заняты выполнением программы, а не как только часть, ассигнуемая на цеха специального назначения. Так, стоимость Хабаровского завода, выражающаяся около 110 млн., сводится к сумме затрат на </w:t>
      </w:r>
      <w:proofErr w:type="spellStart"/>
      <w:r w:rsidRPr="007122AB">
        <w:rPr>
          <w:color w:val="000000" w:themeColor="text1"/>
          <w:sz w:val="16"/>
          <w:szCs w:val="16"/>
        </w:rPr>
        <w:t>Осиповский</w:t>
      </w:r>
      <w:proofErr w:type="spellEnd"/>
      <w:r w:rsidRPr="007122AB">
        <w:rPr>
          <w:color w:val="000000" w:themeColor="text1"/>
          <w:sz w:val="16"/>
          <w:szCs w:val="16"/>
        </w:rPr>
        <w:t xml:space="preserve"> затон — 4 млн. руб.; стоимость Мариупольского завода — 315 млн. руб. — сводится к стоимости специальных цехов — 20 млн. руб.</w:t>
      </w:r>
    </w:p>
    <w:p w14:paraId="2F05252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6. Из контрольных цифр ВСНХ СССР выпала постройка Уфимского турбиностроительного завода, моторного завода в Рыбинске и ряд прочих специальных заводов, обслуживающих судостроение выполнением контрагентских заказов.</w:t>
      </w:r>
    </w:p>
    <w:p w14:paraId="736E1DE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Для того чтобы военная судостроительная программа была обеспечена выполнением в указанный правительством 4</w:t>
      </w:r>
      <w:r w:rsidRPr="007122AB">
        <w:rPr>
          <w:color w:val="000000" w:themeColor="text1"/>
          <w:sz w:val="16"/>
          <w:szCs w:val="16"/>
        </w:rPr>
        <w:noBreakHyphen/>
        <w:t>летний срок и не потерпела бы срывов по причине неподготовленности «</w:t>
      </w:r>
      <w:proofErr w:type="spellStart"/>
      <w:r w:rsidRPr="007122AB">
        <w:rPr>
          <w:color w:val="000000" w:themeColor="text1"/>
          <w:sz w:val="16"/>
          <w:szCs w:val="16"/>
        </w:rPr>
        <w:t>Союзверфи</w:t>
      </w:r>
      <w:proofErr w:type="spellEnd"/>
      <w:r w:rsidRPr="007122AB">
        <w:rPr>
          <w:color w:val="000000" w:themeColor="text1"/>
          <w:sz w:val="16"/>
          <w:szCs w:val="16"/>
        </w:rPr>
        <w:t>» и промышленности в целом, считаем необходимым немедленно доложить Вам о следующем:</w:t>
      </w:r>
    </w:p>
    <w:p w14:paraId="627D3819"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1. Для того чтобы без вреда для программы коммерческого судостроения в 1932 г. и почти полного прекращения его в 1933 и 1934 гг. на Балтийском заводе и НГЗ [им.] «Марти», необходимо создать ряд специальных цехов (сборочно-установочных, специальных механических, </w:t>
      </w:r>
      <w:proofErr w:type="spellStart"/>
      <w:r w:rsidRPr="007122AB">
        <w:rPr>
          <w:color w:val="000000" w:themeColor="text1"/>
          <w:sz w:val="16"/>
          <w:szCs w:val="16"/>
        </w:rPr>
        <w:t>мортонов</w:t>
      </w:r>
      <w:proofErr w:type="spellEnd"/>
      <w:r w:rsidRPr="007122AB">
        <w:rPr>
          <w:color w:val="000000" w:themeColor="text1"/>
          <w:sz w:val="16"/>
          <w:szCs w:val="16"/>
        </w:rPr>
        <w:t xml:space="preserve"> эллинг, оборудованных набережных и т. п.) на существующих заводах. Эти специальные сооружения требуют затрат не менее 78 млн. руб., о чем нами неоднократно докладывалось в МПС ВСНХ СССР. При этом, ввиду того что мы должны ввести на своих заводах ряд новых производств для оборудовании военных судов (турбины, эсминцев на Северной верфи и НГЗ [им.] «Марти», изготовление специальной арматуры высокого давления паровой, воздушной и т. п. на Балтийском заводе, Северной верфи, </w:t>
      </w:r>
      <w:proofErr w:type="spellStart"/>
      <w:r w:rsidRPr="007122AB">
        <w:rPr>
          <w:color w:val="000000" w:themeColor="text1"/>
          <w:sz w:val="16"/>
          <w:szCs w:val="16"/>
        </w:rPr>
        <w:t>Судомехе</w:t>
      </w:r>
      <w:proofErr w:type="spellEnd"/>
      <w:r w:rsidRPr="007122AB">
        <w:rPr>
          <w:color w:val="000000" w:themeColor="text1"/>
          <w:sz w:val="16"/>
          <w:szCs w:val="16"/>
        </w:rPr>
        <w:t xml:space="preserve">, </w:t>
      </w:r>
      <w:r w:rsidRPr="007122AB">
        <w:rPr>
          <w:color w:val="000000" w:themeColor="text1"/>
          <w:sz w:val="16"/>
          <w:szCs w:val="16"/>
        </w:rPr>
        <w:lastRenderedPageBreak/>
        <w:t>НГЗ «Марти» и т. д.), необходимо дооборудовать заводы приобретением станков, не изготавливающихся в СССР. На Северную верфь в текущем году уже будет завезено некоторое количество станков для обработки турбин, но для создания комплектности в оборудовании в 1932 г. потребуется ввоз ряда недостающих станков.</w:t>
      </w:r>
    </w:p>
    <w:p w14:paraId="78DDFE8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Транспортные средства заводов (железнодорожные краны, стапельные краны, портальные краны) настолько ничтожны, что выполнение программы военной поставлено будет, особенно в 1933 г., под несомненную угрозу срыва.</w:t>
      </w:r>
    </w:p>
    <w:p w14:paraId="777B87D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Снижение лимита капитальных затрат в 1932 г. до 50 млн. для существующих заводов при полном отсутствии порта лишает «</w:t>
      </w:r>
      <w:proofErr w:type="spellStart"/>
      <w:r w:rsidRPr="007122AB">
        <w:rPr>
          <w:color w:val="000000" w:themeColor="text1"/>
          <w:sz w:val="16"/>
          <w:szCs w:val="16"/>
        </w:rPr>
        <w:t>Союзверфь</w:t>
      </w:r>
      <w:proofErr w:type="spellEnd"/>
      <w:r w:rsidRPr="007122AB">
        <w:rPr>
          <w:color w:val="000000" w:themeColor="text1"/>
          <w:sz w:val="16"/>
          <w:szCs w:val="16"/>
        </w:rPr>
        <w:t>» возможности подготовиться к выполнению военной судостроительной программы 1933 г. Мы считаем необходимым просить увеличить лимит капитальных затрат на реконструкцию существующих заводов до 78 млн. руб. и обеспечить импорт заводского оборудования (станков, специальных кранов и пр.) в сумме не менее 1,7 млн. руб.</w:t>
      </w:r>
    </w:p>
    <w:p w14:paraId="59183A45"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2. На постройку новых заводов из общего лимита в 70 млн. руб., намеченного ВСНХ, 20 млн. руб. бронируется для строительства Хабаровского завода и в том числе около 4 млн. будет ассигновано на подготовку к сборке судов </w:t>
      </w:r>
      <w:proofErr w:type="spellStart"/>
      <w:r w:rsidRPr="007122AB">
        <w:rPr>
          <w:color w:val="000000" w:themeColor="text1"/>
          <w:sz w:val="16"/>
          <w:szCs w:val="16"/>
        </w:rPr>
        <w:t>Осиповского</w:t>
      </w:r>
      <w:proofErr w:type="spellEnd"/>
      <w:r w:rsidRPr="007122AB">
        <w:rPr>
          <w:color w:val="000000" w:themeColor="text1"/>
          <w:sz w:val="16"/>
          <w:szCs w:val="16"/>
        </w:rPr>
        <w:t xml:space="preserve"> затона начиная с 1932 г.</w:t>
      </w:r>
    </w:p>
    <w:p w14:paraId="1180553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Считаем необходимым немедленно указать, что строительство Хабаровского завода (основного) для своего правильного развития и возможности подготовиться к закладке судов (эсминцев и эс[кадренных] подлодок) в 1933 г. должно быть начато с производства землечерпательных и рефулерных работ. Эти работы по плану, намеченному нами, должны были начаться с лета 1932 г. Для выполнения их к этому сроку в Хабаровск должен быть заброшен землечерпательный караван (3</w:t>
      </w:r>
      <w:r w:rsidRPr="007122AB">
        <w:rPr>
          <w:color w:val="000000" w:themeColor="text1"/>
          <w:sz w:val="16"/>
          <w:szCs w:val="16"/>
        </w:rPr>
        <w:noBreakHyphen/>
        <w:t>4 снаряда), который может быть приобретен только за границей (Германия или Америка). Стоимость этого каравана с буксировкой его к месту работ определяется приблизительно в 2 млн. руб. Если эта сумма не будет ассигнована Хабаровскому строительству в валюте, то землечерпательные работы в 1932 г. начаты не будут, а, следовательно, завод не подготовится к закладке судов в 1933 г. Мариупольский завод, который тоже должен подготовиться к закладке эсминцев и эс[кадренных] подлодок с 1933 г., совершенно не обеспечен средствами на строительство 1932 г., следовательно, и этот завод не подготовится к закладке судов в намеченный четырехлетним планом срок.</w:t>
      </w:r>
    </w:p>
    <w:p w14:paraId="0350F06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Таким образом, оба новых завода, участие которых в выполнении 4-летней военной судостроительной программы обязательно начиная с 1933 г., по причине недостаточного и неправильного финансирования своевременно в эксплуатацию не вступят, а следовательно, и программа в намеченный срок выполнена не будет. При этом надо иметь в виду, что цеха специального судостроения этих заводов, даже если они и будут построены к намеченному сроку, не смогут существовать самостоятельно без соответствующей готовности основных заводов. Стоимость же этих заводов выражается в суммах не по 20</w:t>
      </w:r>
      <w:r w:rsidRPr="007122AB">
        <w:rPr>
          <w:color w:val="000000" w:themeColor="text1"/>
          <w:sz w:val="16"/>
          <w:szCs w:val="16"/>
        </w:rPr>
        <w:noBreakHyphen/>
        <w:t>22 млн., как указывается в докладе ВСНХ СССР, а ориентировочно по Хабаровскому заводу она достигает 110 млн. руб. с жилстроительством и по Мариупольскому — 315 млн. руб. тоже с жилстроительством.</w:t>
      </w:r>
    </w:p>
    <w:p w14:paraId="53234A5A"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3. Готовностью заводов «</w:t>
      </w:r>
      <w:proofErr w:type="spellStart"/>
      <w:r w:rsidRPr="007122AB">
        <w:rPr>
          <w:color w:val="000000" w:themeColor="text1"/>
          <w:sz w:val="16"/>
          <w:szCs w:val="16"/>
        </w:rPr>
        <w:t>Союзверфи</w:t>
      </w:r>
      <w:proofErr w:type="spellEnd"/>
      <w:r w:rsidRPr="007122AB">
        <w:rPr>
          <w:color w:val="000000" w:themeColor="text1"/>
          <w:sz w:val="16"/>
          <w:szCs w:val="16"/>
        </w:rPr>
        <w:t>», являющихся в основном сборочными верфями, не исчерпываются мероприятия, необходимые для того, чтобы судостроительная программа была бы выполнена в срок и морское командование получило бы в этот срок боеспособные суда. Необходима подготовка столь же тщательная и также требующая значительных затрат контрагентской для судостроения промышленности. В первую очередь должна быть подготовлена совершенно своевременно база для постройки морских быстроходных мощных турбин для эсминцев и крейсеров.</w:t>
      </w:r>
    </w:p>
    <w:p w14:paraId="0BE83B9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Турбинный цех Северной верфи после его полной реконструкции и оборудования будет выпускать 300 тыс. сил турбинных механизмов в год. Все остальные турбинные механизмы в количестве около 1 млн. сил в год, начиная с 1933 и кончая 1935 г., должны быть поданы «</w:t>
      </w:r>
      <w:proofErr w:type="spellStart"/>
      <w:r w:rsidRPr="007122AB">
        <w:rPr>
          <w:color w:val="000000" w:themeColor="text1"/>
          <w:sz w:val="16"/>
          <w:szCs w:val="16"/>
        </w:rPr>
        <w:t>Союзверфи</w:t>
      </w:r>
      <w:proofErr w:type="spellEnd"/>
      <w:r w:rsidRPr="007122AB">
        <w:rPr>
          <w:color w:val="000000" w:themeColor="text1"/>
          <w:sz w:val="16"/>
          <w:szCs w:val="16"/>
        </w:rPr>
        <w:t xml:space="preserve">» с заводов </w:t>
      </w:r>
      <w:proofErr w:type="spellStart"/>
      <w:r w:rsidRPr="007122AB">
        <w:rPr>
          <w:color w:val="000000" w:themeColor="text1"/>
          <w:sz w:val="16"/>
          <w:szCs w:val="16"/>
        </w:rPr>
        <w:t>Котлотурбины</w:t>
      </w:r>
      <w:proofErr w:type="spellEnd"/>
      <w:r w:rsidRPr="007122AB">
        <w:rPr>
          <w:color w:val="000000" w:themeColor="text1"/>
          <w:sz w:val="16"/>
          <w:szCs w:val="16"/>
        </w:rPr>
        <w:t xml:space="preserve">. По сообщению </w:t>
      </w:r>
      <w:proofErr w:type="spellStart"/>
      <w:r w:rsidRPr="007122AB">
        <w:rPr>
          <w:color w:val="000000" w:themeColor="text1"/>
          <w:sz w:val="16"/>
          <w:szCs w:val="16"/>
        </w:rPr>
        <w:t>Котлотурбины</w:t>
      </w:r>
      <w:proofErr w:type="spellEnd"/>
      <w:r w:rsidRPr="007122AB">
        <w:rPr>
          <w:color w:val="000000" w:themeColor="text1"/>
          <w:sz w:val="16"/>
          <w:szCs w:val="16"/>
        </w:rPr>
        <w:t xml:space="preserve"> таким заводом должен был явиться Уфимский завод, постройку которого предположено было начать в текущем же году и форсировать в 1932 г. Выпадение строительства этого завода из контрольных цифр 1932 г. для «</w:t>
      </w:r>
      <w:proofErr w:type="spellStart"/>
      <w:r w:rsidRPr="007122AB">
        <w:rPr>
          <w:color w:val="000000" w:themeColor="text1"/>
          <w:sz w:val="16"/>
          <w:szCs w:val="16"/>
        </w:rPr>
        <w:t>Союзверфи</w:t>
      </w:r>
      <w:proofErr w:type="spellEnd"/>
      <w:r w:rsidRPr="007122AB">
        <w:rPr>
          <w:color w:val="000000" w:themeColor="text1"/>
          <w:sz w:val="16"/>
          <w:szCs w:val="16"/>
        </w:rPr>
        <w:t>» совершенно непонятно и внушает очень серьезное опасение в том, что даже своевременно построенные на судостроительных заводах суда не будут снабжены механизмами, а, следовательно, вся программа по военному судостроению будет сорвана. Точно в таком же положении из-за неподготовленности промышленности за 1932 г. окажется постройка подводных лодок всех типов, торпедных катеров и пр.</w:t>
      </w:r>
    </w:p>
    <w:p w14:paraId="6743A32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Из изложенного явствует, что все мероприятия, предусмотренные докладом МПС ВСНХ СССР в Комиссию обороны по подготовке контрагентской промышленности, должны форсироваться и обеспечиваться капиталовложениями и импортными контингентами совершенно так же, как и мероприятия на судостроительных заводах, не отставая от последних, ибо в противном случае вся 4</w:t>
      </w:r>
      <w:r w:rsidRPr="007122AB">
        <w:rPr>
          <w:color w:val="000000" w:themeColor="text1"/>
          <w:sz w:val="16"/>
          <w:szCs w:val="16"/>
        </w:rPr>
        <w:noBreakHyphen/>
        <w:t>летняя морская военная судостроительная программа окажется по всем типам судов не выполненной не только в намеченный срок, но и вообще.</w:t>
      </w:r>
    </w:p>
    <w:p w14:paraId="28D6834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4. Изложенные в 1</w:t>
      </w:r>
      <w:r w:rsidRPr="007122AB">
        <w:rPr>
          <w:color w:val="000000" w:themeColor="text1"/>
          <w:sz w:val="16"/>
          <w:szCs w:val="16"/>
        </w:rPr>
        <w:noBreakHyphen/>
        <w:t>м и 2</w:t>
      </w:r>
      <w:r w:rsidRPr="007122AB">
        <w:rPr>
          <w:color w:val="000000" w:themeColor="text1"/>
          <w:sz w:val="16"/>
          <w:szCs w:val="16"/>
        </w:rPr>
        <w:noBreakHyphen/>
        <w:t>м параграфах претензии «</w:t>
      </w:r>
      <w:proofErr w:type="spellStart"/>
      <w:r w:rsidRPr="007122AB">
        <w:rPr>
          <w:color w:val="000000" w:themeColor="text1"/>
          <w:sz w:val="16"/>
          <w:szCs w:val="16"/>
        </w:rPr>
        <w:t>Союзверфи</w:t>
      </w:r>
      <w:proofErr w:type="spellEnd"/>
      <w:r w:rsidRPr="007122AB">
        <w:rPr>
          <w:color w:val="000000" w:themeColor="text1"/>
          <w:sz w:val="16"/>
          <w:szCs w:val="16"/>
        </w:rPr>
        <w:t xml:space="preserve">» по линии капитального строительства (78 млн. руб., </w:t>
      </w:r>
      <w:proofErr w:type="spellStart"/>
      <w:r w:rsidRPr="007122AB">
        <w:rPr>
          <w:color w:val="000000" w:themeColor="text1"/>
          <w:sz w:val="16"/>
          <w:szCs w:val="16"/>
        </w:rPr>
        <w:t>капзатрат</w:t>
      </w:r>
      <w:proofErr w:type="spellEnd"/>
      <w:r w:rsidRPr="007122AB">
        <w:rPr>
          <w:color w:val="000000" w:themeColor="text1"/>
          <w:sz w:val="16"/>
          <w:szCs w:val="16"/>
        </w:rPr>
        <w:t xml:space="preserve"> при импорте оборудования на сумму 1,7 млн. руб. плюс 2 млн. руб.) предусматривают подготовку в течение 1932 г. всех специальных цехов и сооружений для выполнения морской военной программы. Как и сказано, выше такой объем капиталовложений почти полностью переводит Балтийский завод в Ленинграде и НГЗ «Марти» в Николаеве на военное судостроение, и коммерческое судостроение на этих заводах почти полностью прекращается вследствие недостаточности мощности корпусных цехов и стапельных мест для продолжения последнего. На Северной верфи при этом также часть стапелей будет занята эсминцами за счет сокращения в 1933 и 1934 гг. программы по коммерческому судостроению.</w:t>
      </w:r>
    </w:p>
    <w:p w14:paraId="48763306"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Так как суда коммерческого флота в случае войны должны сопутствовать военному флоту как вспомогательные средства (десантные операции, снабженческие функции и пр.) и, кроме того, надобность в коммерческом флоте категорически диктует максимальное развитие судостроения, а не сокращение его, то отсюда вытекает совершенно ясная необходимость отпуска средств на капитальное строительство заводов «</w:t>
      </w:r>
      <w:proofErr w:type="spellStart"/>
      <w:r w:rsidRPr="007122AB">
        <w:rPr>
          <w:color w:val="000000" w:themeColor="text1"/>
          <w:sz w:val="16"/>
          <w:szCs w:val="16"/>
        </w:rPr>
        <w:t>Союзверфи</w:t>
      </w:r>
      <w:proofErr w:type="spellEnd"/>
      <w:r w:rsidRPr="007122AB">
        <w:rPr>
          <w:color w:val="000000" w:themeColor="text1"/>
          <w:sz w:val="16"/>
          <w:szCs w:val="16"/>
        </w:rPr>
        <w:t>» в таком размере, чтобы коммерческое судостроение не пострадало бы от обязательства выполнить в срок 4</w:t>
      </w:r>
      <w:r w:rsidRPr="007122AB">
        <w:rPr>
          <w:color w:val="000000" w:themeColor="text1"/>
          <w:sz w:val="16"/>
          <w:szCs w:val="16"/>
        </w:rPr>
        <w:noBreakHyphen/>
        <w:t>летнюю судостроительную программу по военному судостроению. Минимальной суммой капитальных затрат 1932 г. для подготовки к производству 1933 г. как по военному, так и по коммерческому судостроению является сумма около 120 млн. руб.</w:t>
      </w:r>
    </w:p>
    <w:p w14:paraId="799041EC"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Для новых заводов в Мариуполе и Хабаровске необходимо ассигновать не менее чем по 20 млн. руб. для подготовки их с конца 1933 г. к эксплуатации, при этом </w:t>
      </w:r>
      <w:proofErr w:type="spellStart"/>
      <w:r w:rsidRPr="007122AB">
        <w:rPr>
          <w:color w:val="000000" w:themeColor="text1"/>
          <w:sz w:val="16"/>
          <w:szCs w:val="16"/>
        </w:rPr>
        <w:t>Осиповский</w:t>
      </w:r>
      <w:proofErr w:type="spellEnd"/>
      <w:r w:rsidRPr="007122AB">
        <w:rPr>
          <w:color w:val="000000" w:themeColor="text1"/>
          <w:sz w:val="16"/>
          <w:szCs w:val="16"/>
        </w:rPr>
        <w:t xml:space="preserve"> затон при затрате около 4 млн. руб. вступит в эксплуатацию с 1932 г.</w:t>
      </w:r>
    </w:p>
    <w:p w14:paraId="2E3DE549"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Одновременно </w:t>
      </w:r>
      <w:r w:rsidRPr="007122AB">
        <w:rPr>
          <w:rStyle w:val="af0"/>
          <w:i w:val="0"/>
          <w:color w:val="000000" w:themeColor="text1"/>
          <w:sz w:val="16"/>
          <w:szCs w:val="16"/>
        </w:rPr>
        <w:t>с</w:t>
      </w:r>
      <w:r w:rsidRPr="007122AB">
        <w:rPr>
          <w:color w:val="000000" w:themeColor="text1"/>
          <w:sz w:val="16"/>
          <w:szCs w:val="16"/>
        </w:rPr>
        <w:t xml:space="preserve"> увеличением общей суммы затрат категорически необходимо выделение импортных контингентов в сумме 1,7 млн. руб. для существующих заводов и 2 млн. руб. для землечерпательного каравана в Хабаровск. Импортное оборудование цехов Хабаровского завода и Мариупольского завода может быть завезено за счет контингентов 1933 г., но обязательно в течение первого полугодия этого года.</w:t>
      </w:r>
    </w:p>
    <w:p w14:paraId="1791E063"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Сообщая изложенное, прошу Ваших распоряжений по затронутым вопросам в самый кратчайший срок, так как запоздание к подготовке как заводов «</w:t>
      </w:r>
      <w:proofErr w:type="spellStart"/>
      <w:r w:rsidRPr="007122AB">
        <w:rPr>
          <w:color w:val="000000" w:themeColor="text1"/>
          <w:sz w:val="16"/>
          <w:szCs w:val="16"/>
        </w:rPr>
        <w:t>Союзверфи</w:t>
      </w:r>
      <w:proofErr w:type="spellEnd"/>
      <w:r w:rsidRPr="007122AB">
        <w:rPr>
          <w:color w:val="000000" w:themeColor="text1"/>
          <w:sz w:val="16"/>
          <w:szCs w:val="16"/>
        </w:rPr>
        <w:t>», так и заводов контрагентской промышленности к заданной правительством 4</w:t>
      </w:r>
      <w:r w:rsidRPr="007122AB">
        <w:rPr>
          <w:color w:val="000000" w:themeColor="text1"/>
          <w:sz w:val="16"/>
          <w:szCs w:val="16"/>
        </w:rPr>
        <w:noBreakHyphen/>
        <w:t>летней программе по морскому военному судостроению самим пагубным образом отразится на последней.</w:t>
      </w:r>
    </w:p>
    <w:p w14:paraId="5259F8A6"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Управляющий «</w:t>
      </w:r>
      <w:proofErr w:type="spellStart"/>
      <w:r w:rsidRPr="007122AB">
        <w:rPr>
          <w:rStyle w:val="af0"/>
          <w:i w:val="0"/>
          <w:color w:val="000000" w:themeColor="text1"/>
          <w:sz w:val="16"/>
          <w:szCs w:val="16"/>
        </w:rPr>
        <w:t>Союзверфью</w:t>
      </w:r>
      <w:proofErr w:type="spellEnd"/>
      <w:r w:rsidRPr="007122AB">
        <w:rPr>
          <w:rStyle w:val="af0"/>
          <w:i w:val="0"/>
          <w:color w:val="000000" w:themeColor="text1"/>
          <w:sz w:val="16"/>
          <w:szCs w:val="16"/>
        </w:rPr>
        <w:t>» Кондратьев И. И.</w:t>
      </w:r>
    </w:p>
    <w:p w14:paraId="60A4EB78"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Зам. начальника сектора </w:t>
      </w:r>
      <w:proofErr w:type="spellStart"/>
      <w:r w:rsidRPr="007122AB">
        <w:rPr>
          <w:rStyle w:val="af0"/>
          <w:i w:val="0"/>
          <w:color w:val="000000" w:themeColor="text1"/>
          <w:sz w:val="16"/>
          <w:szCs w:val="16"/>
        </w:rPr>
        <w:t>капработ</w:t>
      </w:r>
      <w:proofErr w:type="spellEnd"/>
      <w:r w:rsidRPr="007122AB">
        <w:rPr>
          <w:rStyle w:val="af0"/>
          <w:i w:val="0"/>
          <w:color w:val="000000" w:themeColor="text1"/>
          <w:sz w:val="16"/>
          <w:szCs w:val="16"/>
        </w:rPr>
        <w:t xml:space="preserve"> «</w:t>
      </w:r>
      <w:proofErr w:type="spellStart"/>
      <w:r w:rsidRPr="007122AB">
        <w:rPr>
          <w:rStyle w:val="af0"/>
          <w:i w:val="0"/>
          <w:color w:val="000000" w:themeColor="text1"/>
          <w:sz w:val="16"/>
          <w:szCs w:val="16"/>
        </w:rPr>
        <w:t>Союзверфи</w:t>
      </w:r>
      <w:proofErr w:type="spellEnd"/>
      <w:r w:rsidRPr="007122AB">
        <w:rPr>
          <w:rStyle w:val="af0"/>
          <w:i w:val="0"/>
          <w:color w:val="000000" w:themeColor="text1"/>
          <w:sz w:val="16"/>
          <w:szCs w:val="16"/>
        </w:rPr>
        <w:t xml:space="preserve">» </w:t>
      </w:r>
      <w:proofErr w:type="spellStart"/>
      <w:r w:rsidRPr="007122AB">
        <w:rPr>
          <w:rStyle w:val="af0"/>
          <w:i w:val="0"/>
          <w:color w:val="000000" w:themeColor="text1"/>
          <w:sz w:val="16"/>
          <w:szCs w:val="16"/>
        </w:rPr>
        <w:t>Штагер</w:t>
      </w:r>
      <w:proofErr w:type="spellEnd"/>
      <w:r w:rsidRPr="007122AB">
        <w:rPr>
          <w:rStyle w:val="af0"/>
          <w:i w:val="0"/>
          <w:color w:val="000000" w:themeColor="text1"/>
          <w:sz w:val="16"/>
          <w:szCs w:val="16"/>
        </w:rPr>
        <w:t> В. В.</w:t>
      </w:r>
    </w:p>
    <w:p w14:paraId="31EA3B67"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01F5ABF9"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Копии направлены зам. председателя Госплана СССР И. С. </w:t>
      </w:r>
      <w:proofErr w:type="spellStart"/>
      <w:r w:rsidRPr="007122AB">
        <w:rPr>
          <w:color w:val="000000" w:themeColor="text1"/>
          <w:sz w:val="16"/>
          <w:szCs w:val="16"/>
        </w:rPr>
        <w:t>Уншлихту</w:t>
      </w:r>
      <w:proofErr w:type="spellEnd"/>
      <w:r w:rsidRPr="007122AB">
        <w:rPr>
          <w:color w:val="000000" w:themeColor="text1"/>
          <w:sz w:val="16"/>
          <w:szCs w:val="16"/>
        </w:rPr>
        <w:t xml:space="preserve"> и правлению «</w:t>
      </w:r>
      <w:proofErr w:type="spellStart"/>
      <w:r w:rsidRPr="007122AB">
        <w:rPr>
          <w:color w:val="000000" w:themeColor="text1"/>
          <w:sz w:val="16"/>
          <w:szCs w:val="16"/>
        </w:rPr>
        <w:t>Союзверфи</w:t>
      </w:r>
      <w:proofErr w:type="spellEnd"/>
      <w:r w:rsidRPr="007122AB">
        <w:rPr>
          <w:color w:val="000000" w:themeColor="text1"/>
          <w:sz w:val="16"/>
          <w:szCs w:val="16"/>
        </w:rPr>
        <w:t>».</w:t>
      </w:r>
    </w:p>
    <w:p w14:paraId="48D322DC"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РГАЭ. Ф. 4372. Оп. 91. Д. 1096. Л. 133—132 об. Подлинник.</w:t>
      </w:r>
    </w:p>
    <w:p w14:paraId="66ED1CA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1096. Л. 133—132 об. Подлинник. </w:t>
      </w:r>
    </w:p>
    <w:p w14:paraId="31701AA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588-591 (12541).</w:t>
      </w:r>
    </w:p>
    <w:p w14:paraId="34BACA5D"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7CF221E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00ABB9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6CC2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декабря 1931 Дир. Завода № 39 Клевцов и Пом. Директора по </w:t>
      </w:r>
      <w:proofErr w:type="spellStart"/>
      <w:r w:rsidRPr="007122AB">
        <w:rPr>
          <w:rFonts w:ascii="Times New Roman" w:hAnsi="Times New Roman"/>
          <w:color w:val="000000" w:themeColor="text1"/>
          <w:sz w:val="16"/>
          <w:szCs w:val="16"/>
        </w:rPr>
        <w:t>техчасти</w:t>
      </w:r>
      <w:proofErr w:type="spellEnd"/>
      <w:r w:rsidRPr="007122AB">
        <w:rPr>
          <w:rFonts w:ascii="Times New Roman" w:hAnsi="Times New Roman"/>
          <w:color w:val="000000" w:themeColor="text1"/>
          <w:sz w:val="16"/>
          <w:szCs w:val="16"/>
        </w:rPr>
        <w:t xml:space="preserve"> Ермолаев писали письмо № 318/</w:t>
      </w:r>
      <w:proofErr w:type="spellStart"/>
      <w:r w:rsidRPr="007122AB">
        <w:rPr>
          <w:rFonts w:ascii="Times New Roman" w:hAnsi="Times New Roman"/>
          <w:color w:val="000000" w:themeColor="text1"/>
          <w:sz w:val="16"/>
          <w:szCs w:val="16"/>
        </w:rPr>
        <w:t>сзд</w:t>
      </w:r>
      <w:proofErr w:type="spellEnd"/>
      <w:r w:rsidRPr="007122AB">
        <w:rPr>
          <w:rFonts w:ascii="Times New Roman" w:hAnsi="Times New Roman"/>
          <w:color w:val="000000" w:themeColor="text1"/>
          <w:sz w:val="16"/>
          <w:szCs w:val="16"/>
        </w:rPr>
        <w:t xml:space="preserve"> Нач. ЦАГИ т. </w:t>
      </w:r>
      <w:proofErr w:type="spellStart"/>
      <w:r w:rsidRPr="007122AB">
        <w:rPr>
          <w:rFonts w:ascii="Times New Roman" w:hAnsi="Times New Roman"/>
          <w:color w:val="000000" w:themeColor="text1"/>
          <w:sz w:val="16"/>
          <w:szCs w:val="16"/>
        </w:rPr>
        <w:t>Пауфлер</w:t>
      </w:r>
      <w:proofErr w:type="spellEnd"/>
    </w:p>
    <w:p w14:paraId="411C5B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Самол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ет</w:t>
      </w:r>
      <w:proofErr w:type="spellEnd"/>
      <w:r w:rsidRPr="007122AB">
        <w:rPr>
          <w:rFonts w:ascii="Times New Roman" w:hAnsi="Times New Roman"/>
          <w:color w:val="000000" w:themeColor="text1"/>
          <w:sz w:val="16"/>
          <w:szCs w:val="16"/>
        </w:rPr>
        <w:t xml:space="preserve"> И-5 с мот. 2М15 имевший вынужденную посадку требует для восстановления выполнения сле</w:t>
      </w:r>
      <w:r w:rsidRPr="007122AB">
        <w:rPr>
          <w:rFonts w:ascii="Times New Roman" w:hAnsi="Times New Roman"/>
          <w:color w:val="000000" w:themeColor="text1"/>
          <w:sz w:val="16"/>
          <w:szCs w:val="16"/>
        </w:rPr>
        <w:softHyphen/>
        <w:t>дующих работ:</w:t>
      </w:r>
    </w:p>
    <w:p w14:paraId="77ECCE3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Замена всей хвостовой части фюзеляжа.</w:t>
      </w:r>
    </w:p>
    <w:p w14:paraId="52B048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 шасси.</w:t>
      </w:r>
    </w:p>
    <w:p w14:paraId="4FCE071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Ремонт плоскостей.</w:t>
      </w:r>
    </w:p>
    <w:p w14:paraId="2DF208C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Переделка капотов.</w:t>
      </w:r>
    </w:p>
    <w:p w14:paraId="39472F2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 оперения. .</w:t>
      </w:r>
    </w:p>
    <w:p w14:paraId="7AE7DC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Устранение мелких производственных дефектов,</w:t>
      </w:r>
    </w:p>
    <w:p w14:paraId="2BFD60F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подсчетам, сданным по предварительной калькуляции выходит, что разборка и переделка самолета достигает значительной суммы, приближающейся к стоимости нового самолета.</w:t>
      </w:r>
    </w:p>
    <w:p w14:paraId="327D5F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виду того, что в настоящее время на заводе строятся два самолета под моторы 2МТ5 /И5 № 18 </w:t>
      </w:r>
      <w:proofErr w:type="spellStart"/>
      <w:r w:rsidRPr="007122AB">
        <w:rPr>
          <w:rFonts w:ascii="Times New Roman" w:hAnsi="Times New Roman"/>
          <w:color w:val="000000" w:themeColor="text1"/>
          <w:sz w:val="16"/>
          <w:szCs w:val="16"/>
        </w:rPr>
        <w:t>улучш</w:t>
      </w:r>
      <w:proofErr w:type="spellEnd"/>
      <w:r w:rsidRPr="007122AB">
        <w:rPr>
          <w:rFonts w:ascii="Times New Roman" w:hAnsi="Times New Roman"/>
          <w:color w:val="000000" w:themeColor="text1"/>
          <w:sz w:val="16"/>
          <w:szCs w:val="16"/>
        </w:rPr>
        <w:t>./ и учитывая стоимость восстановления самолета, имев</w:t>
      </w:r>
      <w:r w:rsidRPr="007122AB">
        <w:rPr>
          <w:rFonts w:ascii="Times New Roman" w:hAnsi="Times New Roman"/>
          <w:color w:val="000000" w:themeColor="text1"/>
          <w:sz w:val="16"/>
          <w:szCs w:val="16"/>
        </w:rPr>
        <w:softHyphen/>
        <w:t>шего аварию, завод № 39 просит Вас самолет № 18 /имевший аварию/ разобрать на запасные части и заказ закрыть (10757).</w:t>
      </w:r>
    </w:p>
    <w:p w14:paraId="0EB2BEE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32C7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декабря 1931 года в НИИ ВВС было получено письмо № 1547с от Алксниса Наумову, Меженинову, Аузану, Жарову:</w:t>
      </w:r>
    </w:p>
    <w:p w14:paraId="63DE9F8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Дело с рассмотрением и реализацией ценных предложений изобретателей и рационализаторов у нас обстоит из рук вон плохо, гл. образом потому, что оно идет самотеком: нет лиц организующих это дело и отвечающих за его состояние, нет и заданий с нашей стороны изобретателям и рационализаторам ………………………..</w:t>
      </w:r>
    </w:p>
    <w:p w14:paraId="6E9C1D5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будущее предлагаю:</w:t>
      </w:r>
    </w:p>
    <w:p w14:paraId="761F98FB"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КБ Гроховского с мастерской выделить в самостоятельное особое конструкторское бюро наподобие того, как работают бюро </w:t>
      </w:r>
      <w:proofErr w:type="spellStart"/>
      <w:r w:rsidRPr="007122AB">
        <w:rPr>
          <w:rFonts w:ascii="Times New Roman" w:hAnsi="Times New Roman"/>
          <w:color w:val="000000" w:themeColor="text1"/>
          <w:sz w:val="16"/>
          <w:szCs w:val="16"/>
        </w:rPr>
        <w:t>Ниренберга</w:t>
      </w:r>
      <w:proofErr w:type="spellEnd"/>
      <w:r w:rsidRPr="007122AB">
        <w:rPr>
          <w:rFonts w:ascii="Times New Roman" w:hAnsi="Times New Roman"/>
          <w:color w:val="000000" w:themeColor="text1"/>
          <w:sz w:val="16"/>
          <w:szCs w:val="16"/>
        </w:rPr>
        <w:t>, Майзеля и др. с переводом его на строгий хозрасчет. Более подробные указания на этот счет мною Вам даны особой запиской.</w:t>
      </w:r>
    </w:p>
    <w:p w14:paraId="353CBC83"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же КБ Гроховского будет в дальнейшем реализовывать часть наиболее ценных предложений рационализаторов и изобретателей.</w:t>
      </w:r>
    </w:p>
    <w:p w14:paraId="7618B3A5"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составе НИИ создать небольшой сектор или отдел по рассмотрению и реализации предложений изобретателей и рационализаторов ………………………(6770, 53).</w:t>
      </w:r>
    </w:p>
    <w:p w14:paraId="2CB0BAC7" w14:textId="77777777" w:rsidR="005C4849" w:rsidRPr="007122AB" w:rsidRDefault="005C4849" w:rsidP="007122AB">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FA2542" w14:textId="77777777" w:rsidR="00332C4C" w:rsidRPr="007122AB" w:rsidRDefault="00332C4C" w:rsidP="007122AB">
      <w:pPr>
        <w:pStyle w:val="28"/>
        <w:shd w:val="clear" w:color="auto" w:fill="auto"/>
        <w:spacing w:before="0" w:line="240" w:lineRule="auto"/>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15 декабря 1931 г. Письмо-запрос № 1953с начальника ЦКБ ЦАГИ С.В. Ильюшина в Комитет по изобретательству при СТО СССР о причинах задержки рассмотрения изобретения С.С. Кричевского «Самолет»</w:t>
      </w:r>
    </w:p>
    <w:p w14:paraId="21741AF6"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Секретно</w:t>
      </w:r>
    </w:p>
    <w:p w14:paraId="7E3B1BDE"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Письмом от 30 октября 1931 г. № К6-24 мы запросили Комитет о причинах задержки в рассмотрении дела по изобретению С.С. Кричев</w:t>
      </w:r>
      <w:r w:rsidRPr="007122AB">
        <w:rPr>
          <w:rFonts w:ascii="Times New Roman" w:hAnsi="Times New Roman"/>
          <w:color w:val="000000" w:themeColor="text1"/>
          <w:sz w:val="16"/>
          <w:szCs w:val="16"/>
        </w:rPr>
        <w:softHyphen/>
        <w:t>ского под названием «САМОЛЕТ». Ответа на это письмо мы не получи</w:t>
      </w:r>
      <w:r w:rsidRPr="007122AB">
        <w:rPr>
          <w:rFonts w:ascii="Times New Roman" w:hAnsi="Times New Roman"/>
          <w:color w:val="000000" w:themeColor="text1"/>
          <w:sz w:val="16"/>
          <w:szCs w:val="16"/>
        </w:rPr>
        <w:softHyphen/>
        <w:t>ли. Имея в виду:</w:t>
      </w:r>
    </w:p>
    <w:p w14:paraId="3CA8FEF2" w14:textId="77777777" w:rsidR="00332C4C" w:rsidRPr="007122AB" w:rsidRDefault="00332C4C" w:rsidP="007122AB">
      <w:pPr>
        <w:tabs>
          <w:tab w:val="left" w:pos="842"/>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что заявка сделана изобретателем более двух лет тому назад (20 декабря 1929 г.) и</w:t>
      </w:r>
    </w:p>
    <w:p w14:paraId="3A4967F3" w14:textId="77777777" w:rsidR="00332C4C" w:rsidRPr="007122AB" w:rsidRDefault="00332C4C" w:rsidP="007122AB">
      <w:pPr>
        <w:tabs>
          <w:tab w:val="left" w:pos="827"/>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что движение этого изобретения и сделанной заявки представ</w:t>
      </w:r>
      <w:r w:rsidRPr="007122AB">
        <w:rPr>
          <w:rFonts w:ascii="Times New Roman" w:hAnsi="Times New Roman"/>
          <w:color w:val="000000" w:themeColor="text1"/>
          <w:sz w:val="16"/>
          <w:szCs w:val="16"/>
        </w:rPr>
        <w:softHyphen/>
        <w:t>ляет интерес и для ЦКБ, просьба</w:t>
      </w:r>
      <w:r w:rsidRPr="007122AB">
        <w:rPr>
          <w:rStyle w:val="aff7"/>
          <w:rFonts w:ascii="Times New Roman" w:hAnsi="Times New Roman" w:cs="Times New Roman"/>
          <w:b w:val="0"/>
          <w:color w:val="000000" w:themeColor="text1"/>
          <w:spacing w:val="0"/>
          <w:sz w:val="16"/>
          <w:szCs w:val="16"/>
        </w:rPr>
        <w:t xml:space="preserve"> без дальнейшего,</w:t>
      </w:r>
      <w:r w:rsidRPr="007122AB">
        <w:rPr>
          <w:rFonts w:ascii="Times New Roman" w:hAnsi="Times New Roman"/>
          <w:color w:val="000000" w:themeColor="text1"/>
          <w:sz w:val="16"/>
          <w:szCs w:val="16"/>
        </w:rPr>
        <w:t xml:space="preserve"> по возможности,</w:t>
      </w:r>
      <w:r w:rsidRPr="007122AB">
        <w:rPr>
          <w:rStyle w:val="aff7"/>
          <w:rFonts w:ascii="Times New Roman" w:hAnsi="Times New Roman" w:cs="Times New Roman"/>
          <w:b w:val="0"/>
          <w:color w:val="000000" w:themeColor="text1"/>
          <w:spacing w:val="0"/>
          <w:sz w:val="16"/>
          <w:szCs w:val="16"/>
        </w:rPr>
        <w:t xml:space="preserve"> про</w:t>
      </w:r>
      <w:r w:rsidRPr="007122AB">
        <w:rPr>
          <w:rStyle w:val="aff7"/>
          <w:rFonts w:ascii="Times New Roman" w:hAnsi="Times New Roman" w:cs="Times New Roman"/>
          <w:b w:val="0"/>
          <w:color w:val="000000" w:themeColor="text1"/>
          <w:spacing w:val="0"/>
          <w:sz w:val="16"/>
          <w:szCs w:val="16"/>
        </w:rPr>
        <w:softHyphen/>
        <w:t>медления</w:t>
      </w:r>
      <w:r w:rsidRPr="007122AB">
        <w:rPr>
          <w:rFonts w:ascii="Times New Roman" w:hAnsi="Times New Roman"/>
          <w:color w:val="000000" w:themeColor="text1"/>
          <w:sz w:val="16"/>
          <w:szCs w:val="16"/>
        </w:rPr>
        <w:t xml:space="preserve"> указать, в чем заключается затруднение Комитета в связи с этой заявкой.</w:t>
      </w:r>
    </w:p>
    <w:p w14:paraId="2D25AD8B" w14:textId="77777777" w:rsidR="00332C4C" w:rsidRPr="007122AB" w:rsidRDefault="00332C4C" w:rsidP="007122AB">
      <w:pPr>
        <w:tabs>
          <w:tab w:val="left" w:pos="5042"/>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ЦКБ</w:t>
      </w:r>
      <w:r w:rsidRPr="007122AB">
        <w:rPr>
          <w:rFonts w:ascii="Times New Roman" w:hAnsi="Times New Roman"/>
          <w:color w:val="000000" w:themeColor="text1"/>
          <w:sz w:val="16"/>
          <w:szCs w:val="16"/>
        </w:rPr>
        <w:tab/>
        <w:t>С.В. Ильюшин</w:t>
      </w:r>
    </w:p>
    <w:p w14:paraId="197F864A" w14:textId="77777777" w:rsidR="00332C4C" w:rsidRPr="007122AB" w:rsidRDefault="00332C4C" w:rsidP="007122AB">
      <w:pPr>
        <w:tabs>
          <w:tab w:val="left" w:pos="5046"/>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патентного отдела</w:t>
      </w:r>
      <w:r w:rsidRPr="007122AB">
        <w:rPr>
          <w:rFonts w:ascii="Times New Roman" w:hAnsi="Times New Roman"/>
          <w:color w:val="000000" w:themeColor="text1"/>
          <w:sz w:val="16"/>
          <w:szCs w:val="16"/>
        </w:rPr>
        <w:tab/>
        <w:t>Пастушенко</w:t>
      </w:r>
    </w:p>
    <w:p w14:paraId="4C4F81B9" w14:textId="77777777" w:rsidR="00332C4C" w:rsidRPr="007122AB" w:rsidRDefault="00332C4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Филиал РГАНТД. Ф. Р-1. Оп. 47-5. Д. 538. Л. 55. Подлинник (15633).</w:t>
      </w:r>
    </w:p>
    <w:p w14:paraId="213082EE" w14:textId="77777777" w:rsidR="00332C4C" w:rsidRPr="007122AB" w:rsidRDefault="00332C4C" w:rsidP="007122AB">
      <w:pPr>
        <w:spacing w:after="0" w:line="240" w:lineRule="auto"/>
        <w:jc w:val="both"/>
        <w:rPr>
          <w:rFonts w:ascii="Times New Roman" w:hAnsi="Times New Roman"/>
          <w:color w:val="000000" w:themeColor="text1"/>
          <w:sz w:val="16"/>
          <w:szCs w:val="16"/>
        </w:rPr>
      </w:pPr>
    </w:p>
    <w:p w14:paraId="5D1BAD71" w14:textId="77777777" w:rsidR="00332C4C" w:rsidRPr="007122AB" w:rsidRDefault="00332C4C"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15 декабря 1931 г. — Доклад Сектора обороны Госплана СССР председателю Комиссии обороны В. М. Молотову о необходимости увеличения затрат на капитальное строительство в связи мобилизационной подготовкой</w:t>
      </w:r>
    </w:p>
    <w:p w14:paraId="09D99EB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7CABBEE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плане капитального строительства по машиностроению на 1932 г. предусмотрены специальные работы по мобилизационной подготовке на сумму 43 млн. руб. Общая же потребность выражается в 132 млн. руб.; таким образом, остается необеспеченными капитальные работы на сумму 89 млн. руб.</w:t>
      </w:r>
    </w:p>
    <w:p w14:paraId="63C89D7B"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Танкостроение.</w:t>
      </w:r>
      <w:r w:rsidRPr="007122AB">
        <w:rPr>
          <w:color w:val="000000" w:themeColor="text1"/>
          <w:sz w:val="16"/>
          <w:szCs w:val="16"/>
        </w:rPr>
        <w:t xml:space="preserve"> Постановлением Комиссии обороны от 1 августа с. г., </w:t>
      </w:r>
      <w:proofErr w:type="spellStart"/>
      <w:r w:rsidRPr="007122AB">
        <w:rPr>
          <w:color w:val="000000" w:themeColor="text1"/>
          <w:sz w:val="16"/>
          <w:szCs w:val="16"/>
        </w:rPr>
        <w:t>пр</w:t>
      </w:r>
      <w:proofErr w:type="spellEnd"/>
      <w:r w:rsidRPr="007122AB">
        <w:rPr>
          <w:color w:val="000000" w:themeColor="text1"/>
          <w:sz w:val="16"/>
          <w:szCs w:val="16"/>
        </w:rPr>
        <w:t>[</w:t>
      </w:r>
      <w:proofErr w:type="spellStart"/>
      <w:r w:rsidRPr="007122AB">
        <w:rPr>
          <w:color w:val="000000" w:themeColor="text1"/>
          <w:sz w:val="16"/>
          <w:szCs w:val="16"/>
        </w:rPr>
        <w:t>отокол</w:t>
      </w:r>
      <w:proofErr w:type="spellEnd"/>
      <w:r w:rsidRPr="007122AB">
        <w:rPr>
          <w:color w:val="000000" w:themeColor="text1"/>
          <w:sz w:val="16"/>
          <w:szCs w:val="16"/>
        </w:rPr>
        <w:t>] № 12, предложено к концу 1932 г. создать реально обеспеченную мощность по годовой подаче танков 40 тыс. ед. и по броне для обеспечения танковой программы — 65 тыс. т. Ориентировочные затраты, связанные с выполнением указанной танковой программы и подготовкой производства 3</w:t>
      </w:r>
      <w:r w:rsidRPr="007122AB">
        <w:rPr>
          <w:color w:val="000000" w:themeColor="text1"/>
          <w:sz w:val="16"/>
          <w:szCs w:val="16"/>
        </w:rPr>
        <w:noBreakHyphen/>
        <w:t>осных машин, по данным ВСНХ СССР на 1932 г., определяются в 78,5 млн. руб., в том числе около 12 млн. руб. — импорт. В указанные подсчеты не входят затраты, потребные на строительство броневой базы на Урале и моторной базы для среднего танка.</w:t>
      </w:r>
    </w:p>
    <w:p w14:paraId="224E5C9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При рассмотрении в Секторе обороны Госплана оборонной части контрольных цифр на 1932 г. объем капитальных затрат по авто-танкостроению, прокату, цементации и обработке брони принят в 70 млн. руб. (в том числе импорт 8 млн. руб.). Признано также необходимым по танкам второго эшелона зарезервировать необходимые средства (3 млн. руб.) на проектирование, разработку производственного процесса, заготовку приспособлений и подготовку строительства, обязав НКВМ и ВСНХ Союза в месячный срок установить окончательно образцы танков второго эшелона (см. приложение № 1 по танковой программе)¹*.</w:t>
      </w:r>
    </w:p>
    <w:p w14:paraId="3343C036"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Вопрос об обеспечении мероприятий по созданию броневой базы на Урале из-за его непроработанности ВСНХ остался неразрешенным. До сего времени нет окончательного решения по производству моторов для среднего танка. По этим вопросам необходимо в ближайшее время заслушать доклад ВСНХ.</w:t>
      </w:r>
    </w:p>
    <w:p w14:paraId="4931B4E7"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Капитальное строительство в обеспечение снарядной, авиационной и программы связи.</w:t>
      </w:r>
      <w:r w:rsidRPr="007122AB">
        <w:rPr>
          <w:color w:val="000000" w:themeColor="text1"/>
          <w:sz w:val="16"/>
          <w:szCs w:val="16"/>
        </w:rPr>
        <w:t xml:space="preserve"> Весь объем капитального строительства по 13 машиностроительным объединениям узко оборонного значения и заводам, планируемым ВСНХ РСФСР и УССР (без авто-танковой программы), определяется в 62 млн. руб., из них минимальный импорт составляет 4,9 млн. руб.</w:t>
      </w:r>
    </w:p>
    <w:p w14:paraId="12F5E13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Наибольший объем капитального строительства падает на ВЭО и ВЭСО (17,5 млн. руб.) и является прямым следствием требований по обеспечению </w:t>
      </w:r>
      <w:proofErr w:type="spellStart"/>
      <w:r w:rsidRPr="007122AB">
        <w:rPr>
          <w:color w:val="000000" w:themeColor="text1"/>
          <w:sz w:val="16"/>
          <w:szCs w:val="16"/>
        </w:rPr>
        <w:t>авиапрограммы</w:t>
      </w:r>
      <w:proofErr w:type="spellEnd"/>
      <w:r w:rsidRPr="007122AB">
        <w:rPr>
          <w:color w:val="000000" w:themeColor="text1"/>
          <w:sz w:val="16"/>
          <w:szCs w:val="16"/>
        </w:rPr>
        <w:t xml:space="preserve"> и РККА средствами связи. Проектировки по последним объединениям вызваны несогласованностью с оборонными требованиями программы капитального строительства по общим лимитам. Так, предполагается строить новый завод осветительных ламп, не обеспечивая строительство завода радиоламп. В общей программе капитального строительства по ВЭО и ВЭСО по гражданской линии игнорируется выпуск </w:t>
      </w:r>
      <w:proofErr w:type="spellStart"/>
      <w:r w:rsidRPr="007122AB">
        <w:rPr>
          <w:color w:val="000000" w:themeColor="text1"/>
          <w:sz w:val="16"/>
          <w:szCs w:val="16"/>
        </w:rPr>
        <w:t>радиомашинок</w:t>
      </w:r>
      <w:proofErr w:type="spellEnd"/>
      <w:r w:rsidRPr="007122AB">
        <w:rPr>
          <w:color w:val="000000" w:themeColor="text1"/>
          <w:sz w:val="16"/>
          <w:szCs w:val="16"/>
        </w:rPr>
        <w:t xml:space="preserve"> (вычеркнут из титульных списков завод им. Лепсе), совершенно не обеспечено развитие производства приборов телевидения, телемеханики и приборов для автоматического управления стрельбой и бомбометанием. Необходимо сохранить учтенные по общим лимитам машиностроения заводы — Прожекторный (8 млн. руб.) и Павшинский оптический (13 млн. руб.).</w:t>
      </w:r>
    </w:p>
    <w:p w14:paraId="7DCE49B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Затраты по остальным объединениям падают главным образом на обеспечение мощностей на подачу снарядов, авиабомб, мин, </w:t>
      </w:r>
      <w:proofErr w:type="spellStart"/>
      <w:r w:rsidRPr="007122AB">
        <w:rPr>
          <w:color w:val="000000" w:themeColor="text1"/>
          <w:sz w:val="16"/>
          <w:szCs w:val="16"/>
        </w:rPr>
        <w:t>руч</w:t>
      </w:r>
      <w:proofErr w:type="spellEnd"/>
      <w:r w:rsidRPr="007122AB">
        <w:rPr>
          <w:color w:val="000000" w:themeColor="text1"/>
          <w:sz w:val="16"/>
          <w:szCs w:val="16"/>
        </w:rPr>
        <w:t>[</w:t>
      </w:r>
      <w:proofErr w:type="spellStart"/>
      <w:r w:rsidRPr="007122AB">
        <w:rPr>
          <w:color w:val="000000" w:themeColor="text1"/>
          <w:sz w:val="16"/>
          <w:szCs w:val="16"/>
        </w:rPr>
        <w:t>ных</w:t>
      </w:r>
      <w:proofErr w:type="spellEnd"/>
      <w:r w:rsidRPr="007122AB">
        <w:rPr>
          <w:color w:val="000000" w:themeColor="text1"/>
          <w:sz w:val="16"/>
          <w:szCs w:val="16"/>
        </w:rPr>
        <w:t xml:space="preserve">] и </w:t>
      </w:r>
      <w:proofErr w:type="spellStart"/>
      <w:r w:rsidRPr="007122AB">
        <w:rPr>
          <w:color w:val="000000" w:themeColor="text1"/>
          <w:sz w:val="16"/>
          <w:szCs w:val="16"/>
        </w:rPr>
        <w:t>руж</w:t>
      </w:r>
      <w:proofErr w:type="spellEnd"/>
      <w:r w:rsidRPr="007122AB">
        <w:rPr>
          <w:color w:val="000000" w:themeColor="text1"/>
          <w:sz w:val="16"/>
          <w:szCs w:val="16"/>
        </w:rPr>
        <w:t>[</w:t>
      </w:r>
      <w:proofErr w:type="spellStart"/>
      <w:r w:rsidRPr="007122AB">
        <w:rPr>
          <w:color w:val="000000" w:themeColor="text1"/>
          <w:sz w:val="16"/>
          <w:szCs w:val="16"/>
        </w:rPr>
        <w:t>ейных</w:t>
      </w:r>
      <w:proofErr w:type="spellEnd"/>
      <w:r w:rsidRPr="007122AB">
        <w:rPr>
          <w:color w:val="000000" w:themeColor="text1"/>
          <w:sz w:val="16"/>
          <w:szCs w:val="16"/>
        </w:rPr>
        <w:t>] гранат, винтовок и пулеметов, исходя из заявок по варианту МВ</w:t>
      </w:r>
      <w:r w:rsidRPr="007122AB">
        <w:rPr>
          <w:color w:val="000000" w:themeColor="text1"/>
          <w:sz w:val="16"/>
          <w:szCs w:val="16"/>
        </w:rPr>
        <w:noBreakHyphen/>
        <w:t>10. Причем почти все целиком капитальные затраты идут на завершение начатых в 1931 г. работ. Дальнейшее сокращение по указанным объединениям капитального строительства по отдельным объектам, безусловно, влечет за собой нарушение пропорций по отдельным элементам выстрела, связи, приборам управления и приборам телемеханики и телевидения.</w:t>
      </w:r>
    </w:p>
    <w:p w14:paraId="6DEE8436"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Судостроение.</w:t>
      </w:r>
      <w:r w:rsidRPr="007122AB">
        <w:rPr>
          <w:color w:val="000000" w:themeColor="text1"/>
          <w:sz w:val="16"/>
          <w:szCs w:val="16"/>
        </w:rPr>
        <w:t xml:space="preserve"> Потребность для обеспечения программы военного судостроения определяется в 60 млн. руб., на коммерческое судостроение — 20 млн. руб., а всего — 80 млн. руб. В плане капитального строительства машиностроения предусмотрено только 35 млн. руб., таким образом, разрыв составляет 45 млн. руб.</w:t>
      </w:r>
    </w:p>
    <w:p w14:paraId="7252F55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Предполагаемая разбивка ассигнований по военному судостроению по заводам представляется в следующем виде: 1) Балтийский завод — 8 млн. руб.; 2) Сев[</w:t>
      </w:r>
      <w:proofErr w:type="spellStart"/>
      <w:r w:rsidRPr="007122AB">
        <w:rPr>
          <w:color w:val="000000" w:themeColor="text1"/>
          <w:sz w:val="16"/>
          <w:szCs w:val="16"/>
        </w:rPr>
        <w:t>ерная</w:t>
      </w:r>
      <w:proofErr w:type="spellEnd"/>
      <w:r w:rsidRPr="007122AB">
        <w:rPr>
          <w:color w:val="000000" w:themeColor="text1"/>
          <w:sz w:val="16"/>
          <w:szCs w:val="16"/>
        </w:rPr>
        <w:t xml:space="preserve">] судостроительная] верфь — 6 млн. руб.; 3) Николаевский завод — 12 млн. руб.; 4) Севастопольский завод — 4,7 млн. руб.; 5) Ленинград — Марти — 4,5 млн. руб.; 6) Мариупольский — 14 млн. руб.; 7) Ленинград — </w:t>
      </w:r>
      <w:proofErr w:type="spellStart"/>
      <w:r w:rsidRPr="007122AB">
        <w:rPr>
          <w:color w:val="000000" w:themeColor="text1"/>
          <w:sz w:val="16"/>
          <w:szCs w:val="16"/>
        </w:rPr>
        <w:t>Судомехан</w:t>
      </w:r>
      <w:proofErr w:type="spellEnd"/>
      <w:r w:rsidRPr="007122AB">
        <w:rPr>
          <w:color w:val="000000" w:themeColor="text1"/>
          <w:sz w:val="16"/>
          <w:szCs w:val="16"/>
        </w:rPr>
        <w:t>[</w:t>
      </w:r>
      <w:proofErr w:type="spellStart"/>
      <w:r w:rsidRPr="007122AB">
        <w:rPr>
          <w:color w:val="000000" w:themeColor="text1"/>
          <w:sz w:val="16"/>
          <w:szCs w:val="16"/>
        </w:rPr>
        <w:t>ический</w:t>
      </w:r>
      <w:proofErr w:type="spellEnd"/>
      <w:r w:rsidRPr="007122AB">
        <w:rPr>
          <w:color w:val="000000" w:themeColor="text1"/>
          <w:sz w:val="16"/>
          <w:szCs w:val="16"/>
        </w:rPr>
        <w:t>] — 2,5 млн. руб.; 8) Хабаровск (</w:t>
      </w:r>
      <w:proofErr w:type="spellStart"/>
      <w:r w:rsidRPr="007122AB">
        <w:rPr>
          <w:color w:val="000000" w:themeColor="text1"/>
          <w:sz w:val="16"/>
          <w:szCs w:val="16"/>
        </w:rPr>
        <w:t>Осиповский</w:t>
      </w:r>
      <w:proofErr w:type="spellEnd"/>
      <w:r w:rsidRPr="007122AB">
        <w:rPr>
          <w:color w:val="000000" w:themeColor="text1"/>
          <w:sz w:val="16"/>
          <w:szCs w:val="16"/>
        </w:rPr>
        <w:t xml:space="preserve"> завод) — 3,8 млн. руб.; [итого] — 55,5 млн. руб.; 9) </w:t>
      </w:r>
      <w:proofErr w:type="spellStart"/>
      <w:r w:rsidRPr="007122AB">
        <w:rPr>
          <w:color w:val="000000" w:themeColor="text1"/>
          <w:sz w:val="16"/>
          <w:szCs w:val="16"/>
        </w:rPr>
        <w:t>Речсоюзверфь</w:t>
      </w:r>
      <w:proofErr w:type="spellEnd"/>
      <w:r w:rsidRPr="007122AB">
        <w:rPr>
          <w:color w:val="000000" w:themeColor="text1"/>
          <w:sz w:val="16"/>
          <w:szCs w:val="16"/>
        </w:rPr>
        <w:t> — 4,5 млн. руб.; итого — 60 млн. руб. При окончательном рассмотрении титульных списков могут произойти перегруппировки, но во всяком случае заявленный объем капиталовложений является минимальным для обеспечения программы военного судостроения.</w:t>
      </w:r>
    </w:p>
    <w:p w14:paraId="739AEFD5"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Предлагаемые титулы узко оборонного капитального строительства в машиностроении на 1932 г. не включены в проектировки общеэкономического значения.</w:t>
      </w:r>
    </w:p>
    <w:p w14:paraId="19EFA78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Докладываю, что все оборонные требования к плану капитального строительства предъявлялись своевременно, и только благодаря решению этот вопрос рассмотреть самостоятельно эти требования оказались неучтенными в указанном выше объеме.</w:t>
      </w:r>
    </w:p>
    <w:p w14:paraId="19F9D3B6"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203BAA69"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Приложение в деле не обнаружено.</w:t>
      </w:r>
    </w:p>
    <w:p w14:paraId="2C0547F3"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РГАЭ. Ф. 4372. Оп. 91. Д. 951. Л. 23—20. Копия.</w:t>
      </w:r>
    </w:p>
    <w:p w14:paraId="61A60BE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РГАЭ. Ф. 4372. Оп. 91. Д. 951. Л. 23—20. Копия. </w:t>
      </w:r>
    </w:p>
    <w:p w14:paraId="3A23292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591-592 (12542).</w:t>
      </w:r>
    </w:p>
    <w:p w14:paraId="71EDC821"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4A237E7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EB78B6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6B9E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15 декабря 1931 г. при стрельбе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из первого опытного образца 203-мм мортиры "Ж" завода "Красный Путиловец" при первом выстреле снарядом весом 81,5 кг и зарядом 2,0 кг длина отката составила 640 мм, после чего ствол не накатился. При втором выстреле мортира опрокинулась. После двух выстрелов вышли из строя:</w:t>
      </w:r>
    </w:p>
    <w:p w14:paraId="25B30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пружина подрессоривающего механизма;</w:t>
      </w:r>
    </w:p>
    <w:p w14:paraId="5FE3F1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вал подъемного механизма;</w:t>
      </w:r>
    </w:p>
    <w:p w14:paraId="46B2B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цапфенная обойма;</w:t>
      </w:r>
    </w:p>
    <w:p w14:paraId="50B8DA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тормоз отката.</w:t>
      </w:r>
    </w:p>
    <w:p w14:paraId="5EAA1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Система была возвращена на завод (3861).</w:t>
      </w:r>
    </w:p>
    <w:p w14:paraId="3DFD78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FE5768"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декабря 1931 г. после двух выстрелов 203-мм мортира получила повреждения и была возвращена на завод для исправления, а затем вновь направлена на НИАП.</w:t>
      </w:r>
    </w:p>
    <w:p w14:paraId="1B6BF44B"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1787ADFA"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Испытания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4B2A034C" w14:textId="77777777" w:rsidR="00C2063C" w:rsidRPr="007122AB" w:rsidRDefault="00C2063C" w:rsidP="007122AB">
      <w:pPr>
        <w:spacing w:after="0" w:line="240" w:lineRule="auto"/>
        <w:jc w:val="both"/>
        <w:rPr>
          <w:rFonts w:ascii="Times New Roman" w:hAnsi="Times New Roman"/>
          <w:color w:val="000000" w:themeColor="text1"/>
          <w:sz w:val="16"/>
          <w:szCs w:val="16"/>
        </w:rPr>
      </w:pPr>
    </w:p>
    <w:p w14:paraId="25CD4C48"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 декабря 1931 г. были закончены испытания первой 76-мм системы МПК, которая прибыла на НИАП без мотоцикла и испытывалась с 12 сентября 1931 г. 109 выстрелами зарядом 0,95 кг ленточного пороха ПКО и. Снаряды: бронебойный весом 3,5 кг и осколочный весом 4,575 кг с 22-секундной трубкой.</w:t>
      </w:r>
    </w:p>
    <w:p w14:paraId="4FF43F8C"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ходе испытаний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6836AC15"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147493BF"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вооружение система не принята ввиду малой проходимости мотоцикла. («Харлей </w:t>
      </w:r>
      <w:proofErr w:type="spellStart"/>
      <w:r w:rsidRPr="007122AB">
        <w:rPr>
          <w:rFonts w:ascii="Times New Roman" w:hAnsi="Times New Roman"/>
          <w:color w:val="000000" w:themeColor="text1"/>
          <w:sz w:val="16"/>
          <w:szCs w:val="16"/>
        </w:rPr>
        <w:t>Давидсон</w:t>
      </w:r>
      <w:proofErr w:type="spellEnd"/>
      <w:r w:rsidRPr="007122AB">
        <w:rPr>
          <w:rFonts w:ascii="Times New Roman" w:hAnsi="Times New Roman"/>
          <w:color w:val="000000" w:themeColor="text1"/>
          <w:sz w:val="16"/>
          <w:szCs w:val="16"/>
        </w:rPr>
        <w:t>» проектировался как полицейский мотоцикл с мощным двигателем, но обладал малой проходимостью).</w:t>
      </w:r>
    </w:p>
    <w:p w14:paraId="5754D25D" w14:textId="77777777" w:rsidR="00C2063C" w:rsidRPr="007122AB" w:rsidRDefault="00C206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1932 г. заводу № 7 выдали заказ на 25 МПК. В1932 г. было изготовлено 22 МПК, а сдано 14. Больше заказы на МПК не выдавались (15117).</w:t>
      </w:r>
    </w:p>
    <w:p w14:paraId="6C171AAA" w14:textId="77777777" w:rsidR="00C2063C" w:rsidRPr="007122AB" w:rsidRDefault="00C2063C" w:rsidP="007122AB">
      <w:pPr>
        <w:spacing w:after="0" w:line="240" w:lineRule="auto"/>
        <w:jc w:val="both"/>
        <w:rPr>
          <w:rFonts w:ascii="Times New Roman" w:hAnsi="Times New Roman"/>
          <w:color w:val="000000" w:themeColor="text1"/>
          <w:sz w:val="16"/>
          <w:szCs w:val="16"/>
        </w:rPr>
      </w:pPr>
    </w:p>
    <w:p w14:paraId="4D66E6A4" w14:textId="77777777" w:rsidR="00C2063C" w:rsidRPr="007122AB" w:rsidRDefault="00C2063C" w:rsidP="007122AB">
      <w:pPr>
        <w:widowControl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15 декабря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1931 г</w:t>
        </w:r>
      </w:smartTag>
      <w:r w:rsidRPr="007122AB">
        <w:rPr>
          <w:rFonts w:ascii="Times New Roman" w:hAnsi="Times New Roman"/>
          <w:color w:val="000000" w:themeColor="text1"/>
          <w:sz w:val="16"/>
          <w:szCs w:val="16"/>
        </w:rPr>
        <w:t xml:space="preserve">. для первой смены Горьковский автозавод имел 11503 человека (рабочих – 7242, ИТР – 1743. служащих – 1824, младшего обслуживающего персонала – 694). В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1932 г</w:t>
        </w:r>
      </w:smartTag>
      <w:r w:rsidRPr="007122AB">
        <w:rPr>
          <w:rFonts w:ascii="Times New Roman" w:hAnsi="Times New Roman"/>
          <w:color w:val="000000" w:themeColor="text1"/>
          <w:sz w:val="16"/>
          <w:szCs w:val="16"/>
        </w:rPr>
        <w:t xml:space="preserve">. вернулись на автозавод проходившие производственное обучение на предприятиях Москвы, Ленинграда, Сталинграда, </w:t>
      </w:r>
      <w:proofErr w:type="spellStart"/>
      <w:r w:rsidRPr="007122AB">
        <w:rPr>
          <w:rFonts w:ascii="Times New Roman" w:hAnsi="Times New Roman"/>
          <w:color w:val="000000" w:themeColor="text1"/>
          <w:sz w:val="16"/>
          <w:szCs w:val="16"/>
        </w:rPr>
        <w:t>Ростова</w:t>
      </w:r>
      <w:proofErr w:type="spellEnd"/>
      <w:r w:rsidRPr="007122AB">
        <w:rPr>
          <w:rFonts w:ascii="Times New Roman" w:hAnsi="Times New Roman"/>
          <w:color w:val="000000" w:themeColor="text1"/>
          <w:sz w:val="16"/>
          <w:szCs w:val="16"/>
        </w:rPr>
        <w:t xml:space="preserve">-на-Дону, Харькова около 600 квалифицированных кузнецов, станочников и рабочих других специальностей. По данным профсоюзной переписи, в авиационной, автотракторной промышленности СССР рабочие из крестьян составляли в 1932-1933 гг. 54,1%, так было и на Горьковском автозаводе. В январе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1934 г</w:t>
        </w:r>
      </w:smartTag>
      <w:r w:rsidRPr="007122AB">
        <w:rPr>
          <w:rFonts w:ascii="Times New Roman" w:hAnsi="Times New Roman"/>
          <w:color w:val="000000" w:themeColor="text1"/>
          <w:sz w:val="16"/>
          <w:szCs w:val="16"/>
        </w:rPr>
        <w:t>. А.А. Жданов говорил, что сюда пришла «деревенская молодежь, не видевшая крупного заводского производства» (15218).</w:t>
      </w:r>
    </w:p>
    <w:p w14:paraId="7FAAF738" w14:textId="77777777" w:rsidR="00C2063C" w:rsidRPr="007122AB" w:rsidRDefault="00C2063C" w:rsidP="007122AB">
      <w:pPr>
        <w:widowControl w:val="0"/>
        <w:spacing w:after="0" w:line="240" w:lineRule="auto"/>
        <w:jc w:val="both"/>
        <w:rPr>
          <w:rFonts w:ascii="Times New Roman" w:hAnsi="Times New Roman"/>
          <w:color w:val="000000" w:themeColor="text1"/>
          <w:sz w:val="16"/>
          <w:szCs w:val="16"/>
        </w:rPr>
      </w:pPr>
    </w:p>
    <w:p w14:paraId="5CDB10C9" w14:textId="77777777" w:rsidR="0085667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B1FC928" w14:textId="77777777" w:rsidR="00856678" w:rsidRPr="007122AB" w:rsidRDefault="0085667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D74F113" w14:textId="77777777" w:rsidR="00856678" w:rsidRPr="007122AB" w:rsidRDefault="00856678" w:rsidP="007122AB">
      <w:pPr>
        <w:pStyle w:val="a3"/>
        <w:rPr>
          <w:color w:val="000000" w:themeColor="text1"/>
          <w:lang w:val="ru-RU"/>
        </w:rPr>
      </w:pPr>
      <w:r w:rsidRPr="007122AB">
        <w:rPr>
          <w:color w:val="000000" w:themeColor="text1"/>
          <w:lang w:val="ru-RU"/>
        </w:rPr>
        <w:t>В середине декабря 1930 советским специалистам были представлены чертежи башни Виккерс 12-тонный, доработанной под установку отечественного вооруже</w:t>
      </w:r>
      <w:r w:rsidRPr="007122AB">
        <w:rPr>
          <w:color w:val="000000" w:themeColor="text1"/>
          <w:lang w:val="ru-RU"/>
        </w:rPr>
        <w:softHyphen/>
        <w:t>ния, а окончательно согласовать эти вопросы планировалось на дере</w:t>
      </w:r>
      <w:r w:rsidRPr="007122AB">
        <w:rPr>
          <w:color w:val="000000" w:themeColor="text1"/>
          <w:lang w:val="ru-RU"/>
        </w:rPr>
        <w:softHyphen/>
        <w:t>вянном макете (15745).</w:t>
      </w:r>
    </w:p>
    <w:p w14:paraId="3A51552C" w14:textId="77777777" w:rsidR="00856678" w:rsidRPr="007122AB" w:rsidRDefault="00856678" w:rsidP="007122AB">
      <w:pPr>
        <w:pStyle w:val="a3"/>
        <w:rPr>
          <w:color w:val="000000" w:themeColor="text1"/>
          <w:lang w:val="ru-RU"/>
        </w:rPr>
      </w:pPr>
    </w:p>
    <w:p w14:paraId="5D3D48C8" w14:textId="77777777" w:rsidR="0085667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31E0BA8" w14:textId="77777777" w:rsidR="00856678" w:rsidRPr="007122AB" w:rsidRDefault="0085667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2B1EE32" w14:textId="77777777" w:rsidR="00856678" w:rsidRPr="007122AB" w:rsidRDefault="0085667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декабря 1931 г. Протокол ПБ № 80 п.13: О реорганизации Всесоюзного объединения авиационной промышленности (ВАО) (Молотов, Пятаков). Решено: а) Утвердить постановление комиссии обороны о реорганизации ВАО в Главное управление авиационной промышленности (с четырьмя трестами), непосредственно подчиненное президиуму ВСНХ СССР и возглавляемое заместителем председателя ВСНХ, без увеличения штатов по Главному управлению авиационной промышленности. б) Утвердить Баранова заместителем председателя ВСНХ по Главному управлению авиационной промышленности (15939).</w:t>
      </w:r>
    </w:p>
    <w:p w14:paraId="7F0BB68C" w14:textId="77777777" w:rsidR="00856678" w:rsidRPr="007122AB" w:rsidRDefault="00856678" w:rsidP="007122AB">
      <w:pPr>
        <w:spacing w:after="0" w:line="240" w:lineRule="auto"/>
        <w:jc w:val="both"/>
        <w:rPr>
          <w:rFonts w:ascii="Times New Roman" w:hAnsi="Times New Roman"/>
          <w:color w:val="000000" w:themeColor="text1"/>
          <w:sz w:val="16"/>
          <w:szCs w:val="16"/>
        </w:rPr>
      </w:pPr>
    </w:p>
    <w:p w14:paraId="7F671683" w14:textId="77777777" w:rsidR="00987BB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0D7A7E3" w14:textId="77777777" w:rsidR="00987BB5" w:rsidRPr="007122AB" w:rsidRDefault="00987BB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C507286" w14:textId="77777777" w:rsidR="00987BB5" w:rsidRPr="007122AB" w:rsidRDefault="00987BB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16 декабря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№80. 1. О </w:t>
      </w:r>
      <w:proofErr w:type="spellStart"/>
      <w:r w:rsidRPr="007122AB">
        <w:rPr>
          <w:rFonts w:ascii="Times New Roman" w:hAnsi="Times New Roman"/>
          <w:color w:val="000000" w:themeColor="text1"/>
          <w:sz w:val="16"/>
          <w:szCs w:val="16"/>
          <w:u w:color="002060"/>
        </w:rPr>
        <w:t>мобзапасе</w:t>
      </w:r>
      <w:proofErr w:type="spellEnd"/>
      <w:r w:rsidRPr="007122AB">
        <w:rPr>
          <w:rFonts w:ascii="Times New Roman" w:hAnsi="Times New Roman"/>
          <w:color w:val="000000" w:themeColor="text1"/>
          <w:sz w:val="16"/>
          <w:szCs w:val="16"/>
          <w:u w:color="002060"/>
        </w:rPr>
        <w:t xml:space="preserve"> паровозов (Сталин). 28. Об организации взрывного дела (Пятаков). (Политбюро... Т. 2. С. 251, 252) (12416).</w:t>
      </w:r>
    </w:p>
    <w:p w14:paraId="15466E53" w14:textId="77777777" w:rsidR="00987BB5" w:rsidRPr="007122AB" w:rsidRDefault="00987BB5" w:rsidP="007122AB">
      <w:pPr>
        <w:spacing w:after="0" w:line="240" w:lineRule="auto"/>
        <w:jc w:val="both"/>
        <w:rPr>
          <w:rFonts w:ascii="Times New Roman" w:hAnsi="Times New Roman"/>
          <w:color w:val="000000" w:themeColor="text1"/>
          <w:sz w:val="16"/>
          <w:szCs w:val="16"/>
          <w:u w:color="002060"/>
        </w:rPr>
      </w:pPr>
    </w:p>
    <w:p w14:paraId="4A03325B" w14:textId="77777777" w:rsidR="00445005" w:rsidRPr="007122AB" w:rsidRDefault="00445005" w:rsidP="007122AB">
      <w:pPr>
        <w:pStyle w:val="a3"/>
        <w:rPr>
          <w:color w:val="000000" w:themeColor="text1"/>
          <w:lang w:val="ru-RU"/>
        </w:rPr>
      </w:pPr>
      <w:r w:rsidRPr="007122AB">
        <w:rPr>
          <w:color w:val="000000" w:themeColor="text1"/>
          <w:lang w:val="ru-RU"/>
        </w:rPr>
        <w:t>16 декабря 1930 Бегунов в своем письме отмечал:</w:t>
      </w:r>
    </w:p>
    <w:p w14:paraId="77AF9C7B"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«1. Башня.</w:t>
      </w:r>
    </w:p>
    <w:p w14:paraId="27130934"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Общее расположение башни и будки водителя.</w:t>
      </w:r>
    </w:p>
    <w:p w14:paraId="2054E6BC"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а/ При просмотре этого чертежа возник вопрос-о возможности про</w:t>
      </w:r>
      <w:r w:rsidRPr="007122AB">
        <w:rPr>
          <w:rFonts w:ascii="Times New Roman" w:hAnsi="Times New Roman" w:cs="Times New Roman"/>
          <w:i w:val="0"/>
          <w:color w:val="000000" w:themeColor="text1"/>
          <w:sz w:val="16"/>
          <w:szCs w:val="16"/>
        </w:rPr>
        <w:softHyphen/>
        <w:t>ворачивания башни на 360', не задевая будки водителя.</w:t>
      </w:r>
    </w:p>
    <w:p w14:paraId="742481C7"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 xml:space="preserve">Такое явление может </w:t>
      </w:r>
      <w:proofErr w:type="spellStart"/>
      <w:r w:rsidRPr="007122AB">
        <w:rPr>
          <w:rFonts w:ascii="Times New Roman" w:hAnsi="Times New Roman" w:cs="Times New Roman"/>
          <w:i w:val="0"/>
          <w:color w:val="000000" w:themeColor="text1"/>
          <w:sz w:val="16"/>
          <w:szCs w:val="16"/>
        </w:rPr>
        <w:t>наблюдатйся</w:t>
      </w:r>
      <w:proofErr w:type="spellEnd"/>
      <w:r w:rsidRPr="007122AB">
        <w:rPr>
          <w:rFonts w:ascii="Times New Roman" w:hAnsi="Times New Roman" w:cs="Times New Roman"/>
          <w:i w:val="0"/>
          <w:color w:val="000000" w:themeColor="text1"/>
          <w:sz w:val="16"/>
          <w:szCs w:val="16"/>
        </w:rPr>
        <w:t>, если пушка и башенные пуле</w:t>
      </w:r>
      <w:r w:rsidRPr="007122AB">
        <w:rPr>
          <w:rFonts w:ascii="Times New Roman" w:hAnsi="Times New Roman" w:cs="Times New Roman"/>
          <w:i w:val="0"/>
          <w:color w:val="000000" w:themeColor="text1"/>
          <w:sz w:val="16"/>
          <w:szCs w:val="16"/>
        </w:rPr>
        <w:softHyphen/>
        <w:t>меты будут находиться на предельном угле снижения. Отсутствие точ</w:t>
      </w:r>
      <w:r w:rsidRPr="007122AB">
        <w:rPr>
          <w:rFonts w:ascii="Times New Roman" w:hAnsi="Times New Roman" w:cs="Times New Roman"/>
          <w:i w:val="0"/>
          <w:color w:val="000000" w:themeColor="text1"/>
          <w:sz w:val="16"/>
          <w:szCs w:val="16"/>
        </w:rPr>
        <w:softHyphen/>
        <w:t xml:space="preserve">ных размеров как пушки, так и пулеметов у меня вызвало </w:t>
      </w:r>
      <w:proofErr w:type="spellStart"/>
      <w:r w:rsidRPr="007122AB">
        <w:rPr>
          <w:rFonts w:ascii="Times New Roman" w:hAnsi="Times New Roman" w:cs="Times New Roman"/>
          <w:i w:val="0"/>
          <w:color w:val="000000" w:themeColor="text1"/>
          <w:sz w:val="16"/>
          <w:szCs w:val="16"/>
        </w:rPr>
        <w:t>збтруднения</w:t>
      </w:r>
      <w:proofErr w:type="spellEnd"/>
      <w:r w:rsidRPr="007122AB">
        <w:rPr>
          <w:rFonts w:ascii="Times New Roman" w:hAnsi="Times New Roman" w:cs="Times New Roman"/>
          <w:i w:val="0"/>
          <w:color w:val="000000" w:themeColor="text1"/>
          <w:sz w:val="16"/>
          <w:szCs w:val="16"/>
        </w:rPr>
        <w:t xml:space="preserve"> в окончательном ответе, и я прошу Вас сообщить мне Ваши указания и решение по этому вопросу. Проверить не трудно при наличии пулеме</w:t>
      </w:r>
      <w:r w:rsidRPr="007122AB">
        <w:rPr>
          <w:rFonts w:ascii="Times New Roman" w:hAnsi="Times New Roman" w:cs="Times New Roman"/>
          <w:i w:val="0"/>
          <w:color w:val="000000" w:themeColor="text1"/>
          <w:sz w:val="16"/>
          <w:szCs w:val="16"/>
        </w:rPr>
        <w:softHyphen/>
        <w:t>тов, пушки и макет, который Вам немедленно отправляется.</w:t>
      </w:r>
    </w:p>
    <w:p w14:paraId="37939413"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б/ Одновременно с этим вопросом возник вопрос и о нанесении смотровых люков. Трудность заключается в том, что сейчас не известно точное расположение отверстий для пушки и пулеметов по высоте.</w:t>
      </w:r>
    </w:p>
    <w:p w14:paraId="33A45C38"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Возник вопрос об изменении скосов крыши башни, которые нами предлагались в целях увеличения жесткости. Англичане в своей кон</w:t>
      </w:r>
      <w:r w:rsidRPr="007122AB">
        <w:rPr>
          <w:rFonts w:ascii="Times New Roman" w:hAnsi="Times New Roman" w:cs="Times New Roman"/>
          <w:i w:val="0"/>
          <w:color w:val="000000" w:themeColor="text1"/>
          <w:sz w:val="16"/>
          <w:szCs w:val="16"/>
        </w:rPr>
        <w:softHyphen/>
        <w:t>струкции (стандартной) придали скосы крыше башни исключительно ради соблюдения железно-</w:t>
      </w:r>
      <w:proofErr w:type="spellStart"/>
      <w:r w:rsidRPr="007122AB">
        <w:rPr>
          <w:rFonts w:ascii="Times New Roman" w:hAnsi="Times New Roman" w:cs="Times New Roman"/>
          <w:i w:val="0"/>
          <w:color w:val="000000" w:themeColor="text1"/>
          <w:sz w:val="16"/>
          <w:szCs w:val="16"/>
        </w:rPr>
        <w:t>дорож</w:t>
      </w:r>
      <w:proofErr w:type="spellEnd"/>
      <w:r w:rsidRPr="007122AB">
        <w:rPr>
          <w:rFonts w:ascii="Times New Roman" w:hAnsi="Times New Roman" w:cs="Times New Roman"/>
          <w:i w:val="0"/>
          <w:color w:val="000000" w:themeColor="text1"/>
          <w:sz w:val="16"/>
          <w:szCs w:val="16"/>
        </w:rPr>
        <w:t>. габаритов и отнюдь не ради увеличе</w:t>
      </w:r>
      <w:r w:rsidRPr="007122AB">
        <w:rPr>
          <w:rFonts w:ascii="Times New Roman" w:hAnsi="Times New Roman" w:cs="Times New Roman"/>
          <w:i w:val="0"/>
          <w:color w:val="000000" w:themeColor="text1"/>
          <w:sz w:val="16"/>
          <w:szCs w:val="16"/>
        </w:rPr>
        <w:softHyphen/>
        <w:t>ния жесткости. Сила вооружения как в нашей башне, так и в стандарт</w:t>
      </w:r>
      <w:r w:rsidRPr="007122AB">
        <w:rPr>
          <w:rFonts w:ascii="Times New Roman" w:hAnsi="Times New Roman" w:cs="Times New Roman"/>
          <w:i w:val="0"/>
          <w:color w:val="000000" w:themeColor="text1"/>
          <w:sz w:val="16"/>
          <w:szCs w:val="16"/>
        </w:rPr>
        <w:softHyphen/>
        <w:t>ной остается почти одинаковой. Возможно, что и у нас в части соблюде</w:t>
      </w:r>
      <w:r w:rsidRPr="007122AB">
        <w:rPr>
          <w:rFonts w:ascii="Times New Roman" w:hAnsi="Times New Roman" w:cs="Times New Roman"/>
          <w:i w:val="0"/>
          <w:color w:val="000000" w:themeColor="text1"/>
          <w:sz w:val="16"/>
          <w:szCs w:val="16"/>
        </w:rPr>
        <w:softHyphen/>
        <w:t>ния габаритных размеров возникнут затруднения.</w:t>
      </w:r>
    </w:p>
    <w:p w14:paraId="4372967A"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Использован</w:t>
      </w:r>
      <w:r w:rsidRPr="007122AB">
        <w:rPr>
          <w:rStyle w:val="1014"/>
          <w:rFonts w:ascii="Times New Roman" w:eastAsia="Arial Unicode MS" w:hAnsi="Times New Roman" w:cs="Times New Roman"/>
          <w:b w:val="0"/>
          <w:iCs/>
          <w:color w:val="000000" w:themeColor="text1"/>
          <w:sz w:val="16"/>
          <w:szCs w:val="16"/>
        </w:rPr>
        <w:t xml:space="preserve"> стандартный</w:t>
      </w:r>
      <w:r w:rsidRPr="007122AB">
        <w:rPr>
          <w:rFonts w:ascii="Times New Roman" w:hAnsi="Times New Roman" w:cs="Times New Roman"/>
          <w:i w:val="0"/>
          <w:color w:val="000000" w:themeColor="text1"/>
          <w:sz w:val="16"/>
          <w:szCs w:val="16"/>
        </w:rPr>
        <w:t xml:space="preserve"> механизм 12 тон. танка с добавлением выключаемого</w:t>
      </w:r>
      <w:r w:rsidRPr="007122AB">
        <w:rPr>
          <w:rStyle w:val="1014"/>
          <w:rFonts w:ascii="Times New Roman" w:eastAsia="Arial Unicode MS" w:hAnsi="Times New Roman" w:cs="Times New Roman"/>
          <w:b w:val="0"/>
          <w:iCs/>
          <w:color w:val="000000" w:themeColor="text1"/>
          <w:sz w:val="16"/>
          <w:szCs w:val="16"/>
        </w:rPr>
        <w:t xml:space="preserve"> приспособления,</w:t>
      </w:r>
      <w:r w:rsidRPr="007122AB">
        <w:rPr>
          <w:rFonts w:ascii="Times New Roman" w:hAnsi="Times New Roman" w:cs="Times New Roman"/>
          <w:i w:val="0"/>
          <w:color w:val="000000" w:themeColor="text1"/>
          <w:sz w:val="16"/>
          <w:szCs w:val="16"/>
        </w:rPr>
        <w:t xml:space="preserve"> которое даст возможность при выклю</w:t>
      </w:r>
      <w:r w:rsidRPr="007122AB">
        <w:rPr>
          <w:rFonts w:ascii="Times New Roman" w:hAnsi="Times New Roman" w:cs="Times New Roman"/>
          <w:i w:val="0"/>
          <w:color w:val="000000" w:themeColor="text1"/>
          <w:sz w:val="16"/>
          <w:szCs w:val="16"/>
        </w:rPr>
        <w:softHyphen/>
        <w:t>чении его поворачивать</w:t>
      </w:r>
      <w:r w:rsidRPr="007122AB">
        <w:rPr>
          <w:rStyle w:val="1014"/>
          <w:rFonts w:ascii="Times New Roman" w:eastAsia="Arial Unicode MS" w:hAnsi="Times New Roman" w:cs="Times New Roman"/>
          <w:b w:val="0"/>
          <w:iCs/>
          <w:color w:val="000000" w:themeColor="text1"/>
          <w:sz w:val="16"/>
          <w:szCs w:val="16"/>
        </w:rPr>
        <w:t xml:space="preserve"> башню</w:t>
      </w:r>
      <w:r w:rsidRPr="007122AB">
        <w:rPr>
          <w:rFonts w:ascii="Times New Roman" w:hAnsi="Times New Roman" w:cs="Times New Roman"/>
          <w:i w:val="0"/>
          <w:color w:val="000000" w:themeColor="text1"/>
          <w:sz w:val="16"/>
          <w:szCs w:val="16"/>
        </w:rPr>
        <w:t xml:space="preserve"> рукой. Нами не была задана скорость поворачивания</w:t>
      </w:r>
      <w:r w:rsidRPr="007122AB">
        <w:rPr>
          <w:rStyle w:val="1014"/>
          <w:rFonts w:ascii="Times New Roman" w:eastAsia="Arial Unicode MS" w:hAnsi="Times New Roman" w:cs="Times New Roman"/>
          <w:b w:val="0"/>
          <w:iCs/>
          <w:color w:val="000000" w:themeColor="text1"/>
          <w:sz w:val="16"/>
          <w:szCs w:val="16"/>
        </w:rPr>
        <w:t xml:space="preserve"> башни. Фирма</w:t>
      </w:r>
      <w:r w:rsidRPr="007122AB">
        <w:rPr>
          <w:rFonts w:ascii="Times New Roman" w:hAnsi="Times New Roman" w:cs="Times New Roman"/>
          <w:i w:val="0"/>
          <w:color w:val="000000" w:themeColor="text1"/>
          <w:sz w:val="16"/>
          <w:szCs w:val="16"/>
        </w:rPr>
        <w:t xml:space="preserve"> предложила скорость поворачивания стандартную для</w:t>
      </w:r>
      <w:r w:rsidRPr="007122AB">
        <w:rPr>
          <w:rStyle w:val="1014"/>
          <w:rFonts w:ascii="Times New Roman" w:eastAsia="Arial Unicode MS" w:hAnsi="Times New Roman" w:cs="Times New Roman"/>
          <w:b w:val="0"/>
          <w:iCs/>
          <w:color w:val="000000" w:themeColor="text1"/>
          <w:sz w:val="16"/>
          <w:szCs w:val="16"/>
        </w:rPr>
        <w:t xml:space="preserve"> Британского Военного</w:t>
      </w:r>
      <w:r w:rsidRPr="007122AB">
        <w:rPr>
          <w:rFonts w:ascii="Times New Roman" w:hAnsi="Times New Roman" w:cs="Times New Roman"/>
          <w:i w:val="0"/>
          <w:color w:val="000000" w:themeColor="text1"/>
          <w:sz w:val="16"/>
          <w:szCs w:val="16"/>
        </w:rPr>
        <w:t xml:space="preserve"> Министерства, и именно: 3,4' при одном повороте</w:t>
      </w:r>
      <w:r w:rsidRPr="007122AB">
        <w:rPr>
          <w:rStyle w:val="1014"/>
          <w:rFonts w:ascii="Times New Roman" w:eastAsia="Arial Unicode MS" w:hAnsi="Times New Roman" w:cs="Times New Roman"/>
          <w:b w:val="0"/>
          <w:iCs/>
          <w:color w:val="000000" w:themeColor="text1"/>
          <w:sz w:val="16"/>
          <w:szCs w:val="16"/>
        </w:rPr>
        <w:t xml:space="preserve"> рукоятки механизма.</w:t>
      </w:r>
    </w:p>
    <w:p w14:paraId="1E03A0C3"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14"/>
          <w:rFonts w:ascii="Times New Roman" w:eastAsia="Arial Unicode MS" w:hAnsi="Times New Roman" w:cs="Times New Roman"/>
          <w:b w:val="0"/>
          <w:iCs/>
          <w:color w:val="000000" w:themeColor="text1"/>
          <w:sz w:val="16"/>
          <w:szCs w:val="16"/>
        </w:rPr>
        <w:t>По</w:t>
      </w:r>
      <w:r w:rsidRPr="007122AB">
        <w:rPr>
          <w:rFonts w:ascii="Times New Roman" w:hAnsi="Times New Roman" w:cs="Times New Roman"/>
          <w:i w:val="0"/>
          <w:color w:val="000000" w:themeColor="text1"/>
          <w:sz w:val="16"/>
          <w:szCs w:val="16"/>
        </w:rPr>
        <w:t xml:space="preserve"> нашему заданию</w:t>
      </w:r>
      <w:r w:rsidRPr="007122AB">
        <w:rPr>
          <w:rStyle w:val="1014"/>
          <w:rFonts w:ascii="Times New Roman" w:eastAsia="Arial Unicode MS" w:hAnsi="Times New Roman" w:cs="Times New Roman"/>
          <w:b w:val="0"/>
          <w:iCs/>
          <w:color w:val="000000" w:themeColor="text1"/>
          <w:sz w:val="16"/>
          <w:szCs w:val="16"/>
        </w:rPr>
        <w:t xml:space="preserve"> башня</w:t>
      </w:r>
      <w:r w:rsidRPr="007122AB">
        <w:rPr>
          <w:rStyle w:val="1091"/>
          <w:rFonts w:ascii="Times New Roman" w:eastAsia="Arial Unicode MS" w:hAnsi="Times New Roman" w:cs="Times New Roman"/>
          <w:b w:val="0"/>
          <w:i w:val="0"/>
          <w:iCs w:val="0"/>
          <w:color w:val="000000" w:themeColor="text1"/>
          <w:spacing w:val="0"/>
          <w:sz w:val="16"/>
          <w:szCs w:val="16"/>
        </w:rPr>
        <w:t xml:space="preserve"> должка</w:t>
      </w:r>
      <w:r w:rsidRPr="007122AB">
        <w:rPr>
          <w:rStyle w:val="1014"/>
          <w:rFonts w:ascii="Times New Roman" w:eastAsia="Arial Unicode MS" w:hAnsi="Times New Roman" w:cs="Times New Roman"/>
          <w:b w:val="0"/>
          <w:iCs/>
          <w:color w:val="000000" w:themeColor="text1"/>
          <w:sz w:val="16"/>
          <w:szCs w:val="16"/>
        </w:rPr>
        <w:t xml:space="preserve"> иметь</w:t>
      </w:r>
      <w:r w:rsidRPr="007122AB">
        <w:rPr>
          <w:rFonts w:ascii="Times New Roman" w:hAnsi="Times New Roman" w:cs="Times New Roman"/>
          <w:i w:val="0"/>
          <w:color w:val="000000" w:themeColor="text1"/>
          <w:sz w:val="16"/>
          <w:szCs w:val="16"/>
        </w:rPr>
        <w:t xml:space="preserve"> шариковую опору, при</w:t>
      </w:r>
      <w:r w:rsidRPr="007122AB">
        <w:rPr>
          <w:rFonts w:ascii="Times New Roman" w:hAnsi="Times New Roman" w:cs="Times New Roman"/>
          <w:i w:val="0"/>
          <w:color w:val="000000" w:themeColor="text1"/>
          <w:sz w:val="16"/>
          <w:szCs w:val="16"/>
        </w:rPr>
        <w:softHyphen/>
        <w:t>чем шарик должен</w:t>
      </w:r>
      <w:r w:rsidRPr="007122AB">
        <w:rPr>
          <w:rStyle w:val="1014"/>
          <w:rFonts w:ascii="Times New Roman" w:eastAsia="Arial Unicode MS" w:hAnsi="Times New Roman" w:cs="Times New Roman"/>
          <w:b w:val="0"/>
          <w:iCs/>
          <w:color w:val="000000" w:themeColor="text1"/>
          <w:sz w:val="16"/>
          <w:szCs w:val="16"/>
        </w:rPr>
        <w:t xml:space="preserve"> быть взят</w:t>
      </w:r>
      <w:r w:rsidRPr="007122AB">
        <w:rPr>
          <w:rStyle w:val="10MicrosoftSansSerif"/>
          <w:rFonts w:ascii="Times New Roman" w:eastAsia="Arial Unicode MS" w:hAnsi="Times New Roman" w:cs="Times New Roman"/>
          <w:b w:val="0"/>
          <w:iCs/>
          <w:color w:val="000000" w:themeColor="text1"/>
          <w:sz w:val="16"/>
          <w:szCs w:val="16"/>
        </w:rPr>
        <w:t xml:space="preserve"> диаметром</w:t>
      </w:r>
      <w:r w:rsidRPr="007122AB">
        <w:rPr>
          <w:rStyle w:val="1014"/>
          <w:rFonts w:ascii="Times New Roman" w:eastAsia="Arial Unicode MS" w:hAnsi="Times New Roman" w:cs="Times New Roman"/>
          <w:b w:val="0"/>
          <w:iCs/>
          <w:color w:val="000000" w:themeColor="text1"/>
          <w:sz w:val="16"/>
          <w:szCs w:val="16"/>
        </w:rPr>
        <w:t xml:space="preserve"> 1,5".</w:t>
      </w:r>
      <w:r w:rsidRPr="007122AB">
        <w:rPr>
          <w:rFonts w:ascii="Times New Roman" w:hAnsi="Times New Roman" w:cs="Times New Roman"/>
          <w:i w:val="0"/>
          <w:color w:val="000000" w:themeColor="text1"/>
          <w:sz w:val="16"/>
          <w:szCs w:val="16"/>
        </w:rPr>
        <w:t xml:space="preserve"> Стандартная башня имеет большие колеса,</w:t>
      </w:r>
      <w:r w:rsidRPr="007122AB">
        <w:rPr>
          <w:rStyle w:val="1014"/>
          <w:rFonts w:ascii="Times New Roman" w:eastAsia="Arial Unicode MS" w:hAnsi="Times New Roman" w:cs="Times New Roman"/>
          <w:b w:val="0"/>
          <w:iCs/>
          <w:color w:val="000000" w:themeColor="text1"/>
          <w:sz w:val="16"/>
          <w:szCs w:val="16"/>
        </w:rPr>
        <w:t xml:space="preserve"> расположенные</w:t>
      </w:r>
      <w:r w:rsidRPr="007122AB">
        <w:rPr>
          <w:rStyle w:val="10MicrosoftSansSerif"/>
          <w:rFonts w:ascii="Times New Roman" w:eastAsia="Arial Unicode MS" w:hAnsi="Times New Roman" w:cs="Times New Roman"/>
          <w:b w:val="0"/>
          <w:iCs/>
          <w:color w:val="000000" w:themeColor="text1"/>
          <w:sz w:val="16"/>
          <w:szCs w:val="16"/>
        </w:rPr>
        <w:t xml:space="preserve"> по</w:t>
      </w:r>
      <w:r w:rsidRPr="007122AB">
        <w:rPr>
          <w:rStyle w:val="1091"/>
          <w:rFonts w:ascii="Times New Roman" w:eastAsia="Arial Unicode MS" w:hAnsi="Times New Roman" w:cs="Times New Roman"/>
          <w:b w:val="0"/>
          <w:i w:val="0"/>
          <w:iCs w:val="0"/>
          <w:color w:val="000000" w:themeColor="text1"/>
          <w:spacing w:val="0"/>
          <w:sz w:val="16"/>
          <w:szCs w:val="16"/>
        </w:rPr>
        <w:t xml:space="preserve"> внешней</w:t>
      </w:r>
      <w:r w:rsidRPr="007122AB">
        <w:rPr>
          <w:rStyle w:val="1014"/>
          <w:rFonts w:ascii="Times New Roman" w:eastAsia="Arial Unicode MS" w:hAnsi="Times New Roman" w:cs="Times New Roman"/>
          <w:b w:val="0"/>
          <w:iCs/>
          <w:color w:val="000000" w:themeColor="text1"/>
          <w:sz w:val="16"/>
          <w:szCs w:val="16"/>
        </w:rPr>
        <w:t xml:space="preserve"> стороне</w:t>
      </w:r>
      <w:r w:rsidRPr="007122AB">
        <w:rPr>
          <w:rFonts w:ascii="Times New Roman" w:hAnsi="Times New Roman" w:cs="Times New Roman"/>
          <w:i w:val="0"/>
          <w:color w:val="000000" w:themeColor="text1"/>
          <w:sz w:val="16"/>
          <w:szCs w:val="16"/>
        </w:rPr>
        <w:t xml:space="preserve"> башни, служащие для поддержания башни;</w:t>
      </w:r>
      <w:r w:rsidRPr="007122AB">
        <w:rPr>
          <w:rStyle w:val="1091"/>
          <w:rFonts w:ascii="Times New Roman" w:eastAsia="Arial Unicode MS" w:hAnsi="Times New Roman" w:cs="Times New Roman"/>
          <w:b w:val="0"/>
          <w:i w:val="0"/>
          <w:iCs w:val="0"/>
          <w:color w:val="000000" w:themeColor="text1"/>
          <w:spacing w:val="0"/>
          <w:sz w:val="16"/>
          <w:szCs w:val="16"/>
        </w:rPr>
        <w:t xml:space="preserve"> внутренние роями</w:t>
      </w:r>
      <w:r w:rsidRPr="007122AB">
        <w:rPr>
          <w:rStyle w:val="1014"/>
          <w:rFonts w:ascii="Times New Roman" w:eastAsia="Arial Unicode MS" w:hAnsi="Times New Roman" w:cs="Times New Roman"/>
          <w:b w:val="0"/>
          <w:iCs/>
          <w:color w:val="000000" w:themeColor="text1"/>
          <w:sz w:val="16"/>
          <w:szCs w:val="16"/>
        </w:rPr>
        <w:t xml:space="preserve"> служат</w:t>
      </w:r>
      <w:r w:rsidRPr="007122AB">
        <w:rPr>
          <w:rFonts w:ascii="Times New Roman" w:hAnsi="Times New Roman" w:cs="Times New Roman"/>
          <w:i w:val="0"/>
          <w:color w:val="000000" w:themeColor="text1"/>
          <w:sz w:val="16"/>
          <w:szCs w:val="16"/>
        </w:rPr>
        <w:t xml:space="preserve"> исключительно для поворачивания башни и</w:t>
      </w:r>
      <w:r w:rsidRPr="007122AB">
        <w:rPr>
          <w:rStyle w:val="1014"/>
          <w:rFonts w:ascii="Times New Roman" w:eastAsia="Arial Unicode MS" w:hAnsi="Times New Roman" w:cs="Times New Roman"/>
          <w:b w:val="0"/>
          <w:iCs/>
          <w:color w:val="000000" w:themeColor="text1"/>
          <w:sz w:val="16"/>
          <w:szCs w:val="16"/>
        </w:rPr>
        <w:t xml:space="preserve"> восприняла</w:t>
      </w:r>
      <w:r w:rsidRPr="007122AB">
        <w:rPr>
          <w:rStyle w:val="1091"/>
          <w:rFonts w:ascii="Times New Roman" w:eastAsia="Arial Unicode MS" w:hAnsi="Times New Roman" w:cs="Times New Roman"/>
          <w:b w:val="0"/>
          <w:i w:val="0"/>
          <w:iCs w:val="0"/>
          <w:color w:val="000000" w:themeColor="text1"/>
          <w:spacing w:val="0"/>
          <w:sz w:val="16"/>
          <w:szCs w:val="16"/>
        </w:rPr>
        <w:t xml:space="preserve"> силы</w:t>
      </w:r>
      <w:r w:rsidRPr="007122AB">
        <w:rPr>
          <w:rStyle w:val="10MicrosoftSansSerif"/>
          <w:rFonts w:ascii="Times New Roman" w:eastAsia="Arial Unicode MS" w:hAnsi="Times New Roman" w:cs="Times New Roman"/>
          <w:b w:val="0"/>
          <w:iCs/>
          <w:color w:val="000000" w:themeColor="text1"/>
          <w:sz w:val="16"/>
          <w:szCs w:val="16"/>
        </w:rPr>
        <w:t xml:space="preserve"> отдачи</w:t>
      </w:r>
      <w:r w:rsidRPr="007122AB">
        <w:rPr>
          <w:rStyle w:val="1014"/>
          <w:rFonts w:ascii="Times New Roman" w:eastAsia="Arial Unicode MS" w:hAnsi="Times New Roman" w:cs="Times New Roman"/>
          <w:b w:val="0"/>
          <w:iCs/>
          <w:color w:val="000000" w:themeColor="text1"/>
          <w:sz w:val="16"/>
          <w:szCs w:val="16"/>
        </w:rPr>
        <w:t xml:space="preserve"> в</w:t>
      </w:r>
      <w:r w:rsidRPr="007122AB">
        <w:rPr>
          <w:rFonts w:ascii="Times New Roman" w:hAnsi="Times New Roman" w:cs="Times New Roman"/>
          <w:i w:val="0"/>
          <w:color w:val="000000" w:themeColor="text1"/>
          <w:sz w:val="16"/>
          <w:szCs w:val="16"/>
        </w:rPr>
        <w:t xml:space="preserve"> момент выстрела. Фирма обращалась к вам</w:t>
      </w:r>
      <w:r w:rsidRPr="007122AB">
        <w:rPr>
          <w:rStyle w:val="1014"/>
          <w:rFonts w:ascii="Times New Roman" w:eastAsia="Arial Unicode MS" w:hAnsi="Times New Roman" w:cs="Times New Roman"/>
          <w:b w:val="0"/>
          <w:iCs/>
          <w:color w:val="000000" w:themeColor="text1"/>
          <w:sz w:val="16"/>
          <w:szCs w:val="16"/>
        </w:rPr>
        <w:t xml:space="preserve"> с вопросом</w:t>
      </w:r>
      <w:r w:rsidRPr="007122AB">
        <w:rPr>
          <w:rStyle w:val="10MicrosoftSansSerif"/>
          <w:rFonts w:ascii="Times New Roman" w:eastAsia="Arial Unicode MS" w:hAnsi="Times New Roman" w:cs="Times New Roman"/>
          <w:b w:val="0"/>
          <w:iCs/>
          <w:color w:val="000000" w:themeColor="text1"/>
          <w:sz w:val="16"/>
          <w:szCs w:val="16"/>
        </w:rPr>
        <w:t xml:space="preserve"> о сохранении</w:t>
      </w:r>
      <w:r w:rsidRPr="007122AB">
        <w:rPr>
          <w:rStyle w:val="1014"/>
          <w:rFonts w:ascii="Times New Roman" w:eastAsia="Arial Unicode MS" w:hAnsi="Times New Roman" w:cs="Times New Roman"/>
          <w:b w:val="0"/>
          <w:iCs/>
          <w:color w:val="000000" w:themeColor="text1"/>
          <w:sz w:val="16"/>
          <w:szCs w:val="16"/>
        </w:rPr>
        <w:t xml:space="preserve"> существующей</w:t>
      </w:r>
      <w:r w:rsidRPr="007122AB">
        <w:rPr>
          <w:rFonts w:ascii="Times New Roman" w:hAnsi="Times New Roman" w:cs="Times New Roman"/>
          <w:i w:val="0"/>
          <w:color w:val="000000" w:themeColor="text1"/>
          <w:sz w:val="16"/>
          <w:szCs w:val="16"/>
        </w:rPr>
        <w:t xml:space="preserve"> кон</w:t>
      </w:r>
      <w:r w:rsidRPr="007122AB">
        <w:rPr>
          <w:rFonts w:ascii="Times New Roman" w:hAnsi="Times New Roman" w:cs="Times New Roman"/>
          <w:i w:val="0"/>
          <w:color w:val="000000" w:themeColor="text1"/>
          <w:sz w:val="16"/>
          <w:szCs w:val="16"/>
        </w:rPr>
        <w:softHyphen/>
        <w:t>струкции, гарантируя надежность</w:t>
      </w:r>
      <w:r w:rsidRPr="007122AB">
        <w:rPr>
          <w:rStyle w:val="10MicrosoftSansSerif"/>
          <w:rFonts w:ascii="Times New Roman" w:eastAsia="Arial Unicode MS" w:hAnsi="Times New Roman" w:cs="Times New Roman"/>
          <w:b w:val="0"/>
          <w:iCs/>
          <w:color w:val="000000" w:themeColor="text1"/>
          <w:sz w:val="16"/>
          <w:szCs w:val="16"/>
        </w:rPr>
        <w:t xml:space="preserve"> и/</w:t>
      </w:r>
      <w:proofErr w:type="spellStart"/>
      <w:r w:rsidRPr="007122AB">
        <w:rPr>
          <w:rStyle w:val="10MicrosoftSansSerif"/>
          <w:rFonts w:ascii="Times New Roman" w:eastAsia="Arial Unicode MS" w:hAnsi="Times New Roman" w:cs="Times New Roman"/>
          <w:b w:val="0"/>
          <w:iCs/>
          <w:color w:val="000000" w:themeColor="text1"/>
          <w:sz w:val="16"/>
          <w:szCs w:val="16"/>
        </w:rPr>
        <w:t>щютюаьбашт</w:t>
      </w:r>
      <w:proofErr w:type="spellEnd"/>
      <w:r w:rsidRPr="007122AB">
        <w:rPr>
          <w:rStyle w:val="10MicrosoftSansSerif"/>
          <w:rFonts w:ascii="Times New Roman" w:eastAsia="Arial Unicode MS" w:hAnsi="Times New Roman" w:cs="Times New Roman"/>
          <w:b w:val="0"/>
          <w:iCs/>
          <w:color w:val="000000" w:themeColor="text1"/>
          <w:sz w:val="16"/>
          <w:szCs w:val="16"/>
        </w:rPr>
        <w:t xml:space="preserve"> при</w:t>
      </w:r>
      <w:r w:rsidRPr="007122AB">
        <w:rPr>
          <w:rStyle w:val="1014"/>
          <w:rFonts w:ascii="Times New Roman" w:eastAsia="Arial Unicode MS" w:hAnsi="Times New Roman" w:cs="Times New Roman"/>
          <w:b w:val="0"/>
          <w:iCs/>
          <w:color w:val="000000" w:themeColor="text1"/>
          <w:sz w:val="16"/>
          <w:szCs w:val="16"/>
        </w:rPr>
        <w:t xml:space="preserve"> заданной</w:t>
      </w:r>
      <w:r w:rsidRPr="007122AB">
        <w:rPr>
          <w:rFonts w:ascii="Times New Roman" w:hAnsi="Times New Roman" w:cs="Times New Roman"/>
          <w:i w:val="0"/>
          <w:color w:val="000000" w:themeColor="text1"/>
          <w:sz w:val="16"/>
          <w:szCs w:val="16"/>
        </w:rPr>
        <w:t xml:space="preserve"> силе отдачи5.000клгр.</w:t>
      </w:r>
      <w:r w:rsidRPr="007122AB">
        <w:rPr>
          <w:rStyle w:val="108pt"/>
          <w:rFonts w:ascii="Times New Roman" w:eastAsia="Arial Unicode MS" w:hAnsi="Times New Roman" w:cs="Times New Roman"/>
          <w:i w:val="0"/>
          <w:iCs w:val="0"/>
          <w:color w:val="000000" w:themeColor="text1"/>
        </w:rPr>
        <w:t xml:space="preserve"> |'щ</w:t>
      </w:r>
      <w:r w:rsidRPr="007122AB">
        <w:rPr>
          <w:rStyle w:val="108pt1"/>
          <w:rFonts w:ascii="Times New Roman" w:eastAsia="Arial Unicode MS" w:hAnsi="Times New Roman" w:cs="Times New Roman"/>
          <w:i w:val="0"/>
          <w:iCs w:val="0"/>
          <w:color w:val="000000" w:themeColor="text1"/>
        </w:rPr>
        <w:t xml:space="preserve"> и I и ни и питии—«</w:t>
      </w:r>
      <w:proofErr w:type="spellStart"/>
      <w:r w:rsidRPr="007122AB">
        <w:rPr>
          <w:rStyle w:val="108pt1"/>
          <w:rFonts w:ascii="Times New Roman" w:eastAsia="Arial Unicode MS" w:hAnsi="Times New Roman" w:cs="Times New Roman"/>
          <w:i w:val="0"/>
          <w:iCs w:val="0"/>
          <w:color w:val="000000" w:themeColor="text1"/>
        </w:rPr>
        <w:t>цтПщщитр</w:t>
      </w:r>
      <w:proofErr w:type="spellEnd"/>
      <w:r w:rsidRPr="007122AB">
        <w:rPr>
          <w:rStyle w:val="1027"/>
          <w:rFonts w:ascii="Times New Roman" w:eastAsia="Arial Unicode MS" w:hAnsi="Times New Roman" w:cs="Times New Roman"/>
          <w:i w:val="0"/>
          <w:iCs w:val="0"/>
          <w:color w:val="000000" w:themeColor="text1"/>
          <w:sz w:val="16"/>
          <w:szCs w:val="16"/>
        </w:rPr>
        <w:t xml:space="preserve"> Г щи</w:t>
      </w:r>
      <w:r w:rsidRPr="007122AB">
        <w:rPr>
          <w:rStyle w:val="108pt1"/>
          <w:rFonts w:ascii="Times New Roman" w:eastAsia="Arial Unicode MS" w:hAnsi="Times New Roman" w:cs="Times New Roman"/>
          <w:i w:val="0"/>
          <w:iCs w:val="0"/>
          <w:color w:val="000000" w:themeColor="text1"/>
        </w:rPr>
        <w:t xml:space="preserve"> </w:t>
      </w:r>
      <w:proofErr w:type="spellStart"/>
      <w:r w:rsidRPr="007122AB">
        <w:rPr>
          <w:rStyle w:val="108pt1"/>
          <w:rFonts w:ascii="Times New Roman" w:eastAsia="Arial Unicode MS" w:hAnsi="Times New Roman" w:cs="Times New Roman"/>
          <w:i w:val="0"/>
          <w:iCs w:val="0"/>
          <w:color w:val="000000" w:themeColor="text1"/>
        </w:rPr>
        <w:t>ипии</w:t>
      </w:r>
      <w:proofErr w:type="spellEnd"/>
      <w:r w:rsidRPr="007122AB">
        <w:rPr>
          <w:rStyle w:val="108pt1"/>
          <w:rFonts w:ascii="Times New Roman" w:eastAsia="Arial Unicode MS" w:hAnsi="Times New Roman" w:cs="Times New Roman"/>
          <w:i w:val="0"/>
          <w:iCs w:val="0"/>
          <w:color w:val="000000" w:themeColor="text1"/>
        </w:rPr>
        <w:t xml:space="preserve"> </w:t>
      </w:r>
      <w:proofErr w:type="spellStart"/>
      <w:r w:rsidRPr="007122AB">
        <w:rPr>
          <w:rFonts w:ascii="Times New Roman" w:hAnsi="Times New Roman" w:cs="Times New Roman"/>
          <w:i w:val="0"/>
          <w:color w:val="000000" w:themeColor="text1"/>
          <w:sz w:val="16"/>
          <w:szCs w:val="16"/>
        </w:rPr>
        <w:t>мии</w:t>
      </w:r>
      <w:proofErr w:type="spellEnd"/>
      <w:r w:rsidRPr="007122AB">
        <w:rPr>
          <w:rFonts w:ascii="Times New Roman" w:hAnsi="Times New Roman" w:cs="Times New Roman"/>
          <w:i w:val="0"/>
          <w:color w:val="000000" w:themeColor="text1"/>
          <w:sz w:val="16"/>
          <w:szCs w:val="16"/>
        </w:rPr>
        <w:t xml:space="preserve"> времени, денег и главное -</w:t>
      </w:r>
      <w:r w:rsidRPr="007122AB">
        <w:rPr>
          <w:rStyle w:val="1014"/>
          <w:rFonts w:ascii="Times New Roman" w:eastAsia="Arial Unicode MS" w:hAnsi="Times New Roman" w:cs="Times New Roman"/>
          <w:b w:val="0"/>
          <w:iCs/>
          <w:color w:val="000000" w:themeColor="text1"/>
          <w:sz w:val="16"/>
          <w:szCs w:val="16"/>
        </w:rPr>
        <w:t xml:space="preserve"> </w:t>
      </w:r>
      <w:proofErr w:type="spellStart"/>
      <w:r w:rsidRPr="007122AB">
        <w:rPr>
          <w:rStyle w:val="1014"/>
          <w:rFonts w:ascii="Times New Roman" w:eastAsia="Arial Unicode MS" w:hAnsi="Times New Roman" w:cs="Times New Roman"/>
          <w:b w:val="0"/>
          <w:iCs/>
          <w:color w:val="000000" w:themeColor="text1"/>
          <w:sz w:val="16"/>
          <w:szCs w:val="16"/>
        </w:rPr>
        <w:t>избежаюялшяявжктрукции</w:t>
      </w:r>
      <w:proofErr w:type="spellEnd"/>
      <w:r w:rsidRPr="007122AB">
        <w:rPr>
          <w:rStyle w:val="1014"/>
          <w:rFonts w:ascii="Times New Roman" w:eastAsia="Arial Unicode MS" w:hAnsi="Times New Roman" w:cs="Times New Roman"/>
          <w:b w:val="0"/>
          <w:iCs/>
          <w:color w:val="000000" w:themeColor="text1"/>
          <w:sz w:val="16"/>
          <w:szCs w:val="16"/>
        </w:rPr>
        <w:t>, испы</w:t>
      </w:r>
      <w:r w:rsidRPr="007122AB">
        <w:rPr>
          <w:rStyle w:val="1014"/>
          <w:rFonts w:ascii="Times New Roman" w:eastAsia="Arial Unicode MS" w:hAnsi="Times New Roman" w:cs="Times New Roman"/>
          <w:b w:val="0"/>
          <w:iCs/>
          <w:color w:val="000000" w:themeColor="text1"/>
          <w:sz w:val="16"/>
          <w:szCs w:val="16"/>
        </w:rPr>
        <w:softHyphen/>
      </w:r>
      <w:r w:rsidRPr="007122AB">
        <w:rPr>
          <w:rFonts w:ascii="Times New Roman" w:hAnsi="Times New Roman" w:cs="Times New Roman"/>
          <w:i w:val="0"/>
          <w:color w:val="000000" w:themeColor="text1"/>
          <w:sz w:val="16"/>
          <w:szCs w:val="16"/>
        </w:rPr>
        <w:t>танной в период службы этих танков</w:t>
      </w:r>
      <w:r w:rsidRPr="007122AB">
        <w:rPr>
          <w:rStyle w:val="1014"/>
          <w:rFonts w:ascii="Times New Roman" w:eastAsia="Arial Unicode MS" w:hAnsi="Times New Roman" w:cs="Times New Roman"/>
          <w:b w:val="0"/>
          <w:iCs/>
          <w:color w:val="000000" w:themeColor="text1"/>
          <w:sz w:val="16"/>
          <w:szCs w:val="16"/>
        </w:rPr>
        <w:t xml:space="preserve"> в</w:t>
      </w:r>
      <w:r w:rsidRPr="007122AB">
        <w:rPr>
          <w:rStyle w:val="1027"/>
          <w:rFonts w:ascii="Times New Roman" w:eastAsia="Arial Unicode MS" w:hAnsi="Times New Roman" w:cs="Times New Roman"/>
          <w:i w:val="0"/>
          <w:iCs w:val="0"/>
          <w:color w:val="000000" w:themeColor="text1"/>
          <w:sz w:val="16"/>
          <w:szCs w:val="16"/>
        </w:rPr>
        <w:t xml:space="preserve"> Ермаков </w:t>
      </w:r>
      <w:proofErr w:type="spellStart"/>
      <w:r w:rsidRPr="007122AB">
        <w:rPr>
          <w:rStyle w:val="1027"/>
          <w:rFonts w:ascii="Times New Roman" w:eastAsia="Arial Unicode MS" w:hAnsi="Times New Roman" w:cs="Times New Roman"/>
          <w:i w:val="0"/>
          <w:iCs w:val="0"/>
          <w:color w:val="000000" w:themeColor="text1"/>
          <w:sz w:val="16"/>
          <w:szCs w:val="16"/>
        </w:rPr>
        <w:t>арич</w:t>
      </w:r>
      <w:proofErr w:type="spellEnd"/>
      <w:r w:rsidRPr="007122AB">
        <w:rPr>
          <w:rStyle w:val="10MicrosoftSansSerif"/>
          <w:rFonts w:ascii="Times New Roman" w:eastAsia="Arial Unicode MS" w:hAnsi="Times New Roman" w:cs="Times New Roman"/>
          <w:b w:val="0"/>
          <w:iCs/>
          <w:color w:val="000000" w:themeColor="text1"/>
          <w:sz w:val="16"/>
          <w:szCs w:val="16"/>
        </w:rPr>
        <w:t xml:space="preserve"> я</w:t>
      </w:r>
      <w:r w:rsidRPr="007122AB">
        <w:rPr>
          <w:rStyle w:val="1014"/>
          <w:rFonts w:ascii="Times New Roman" w:eastAsia="Arial Unicode MS" w:hAnsi="Times New Roman" w:cs="Times New Roman"/>
          <w:b w:val="0"/>
          <w:iCs/>
          <w:color w:val="000000" w:themeColor="text1"/>
          <w:sz w:val="16"/>
          <w:szCs w:val="16"/>
        </w:rPr>
        <w:t xml:space="preserve"> ответил со</w:t>
      </w:r>
      <w:r w:rsidRPr="007122AB">
        <w:rPr>
          <w:rFonts w:ascii="Times New Roman" w:hAnsi="Times New Roman" w:cs="Times New Roman"/>
          <w:i w:val="0"/>
          <w:color w:val="000000" w:themeColor="text1"/>
          <w:sz w:val="16"/>
          <w:szCs w:val="16"/>
        </w:rPr>
        <w:t>гласием. Сейчас, если с Вашей стороны имеются другие указания, это можно исправить и выполнить в точности по Вашим указаниям.</w:t>
      </w:r>
    </w:p>
    <w:p w14:paraId="0C3B1589"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2. Укладка боеприпасов.</w:t>
      </w:r>
    </w:p>
    <w:p w14:paraId="51B5E131"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Что нами задавалось по нашим переделкам фирме:</w:t>
      </w:r>
    </w:p>
    <w:p w14:paraId="498CE606"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а/Снаряды.</w:t>
      </w:r>
    </w:p>
    <w:p w14:paraId="3D614A1F"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Укладка снарядов распадается на следующие секции: вдоль левой стенки корпуса под полом в трех специальных ящиках по 24 снаряда - всего 72 снаряда.</w:t>
      </w:r>
    </w:p>
    <w:p w14:paraId="58656E36"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Вдоль правой стенки корпуса на половину по высоте два ящика: в одном - 6 снарядов, в другом - 9. Всего - 15 снарядов.</w:t>
      </w:r>
    </w:p>
    <w:p w14:paraId="4641FD7C"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Оставшиеся три снаряда подвешены вдоль правой стенки около двери. Таким образом, общая сумма - 90 снарядов.</w:t>
      </w:r>
    </w:p>
    <w:p w14:paraId="6CA65F27"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б/Пулеметные патроны.</w:t>
      </w:r>
    </w:p>
    <w:p w14:paraId="459D4498"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Вдоль бензинного бака -12 обойм.</w:t>
      </w:r>
    </w:p>
    <w:p w14:paraId="3D5D4493"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По кожуху трансмиссии-24 обойм.</w:t>
      </w:r>
    </w:p>
    <w:p w14:paraId="3E1C8E93"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По правой стороне корпуса - 29 обойм.</w:t>
      </w:r>
    </w:p>
    <w:p w14:paraId="689668B4"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По левой стороне корпуса-10 обойм.</w:t>
      </w:r>
    </w:p>
    <w:p w14:paraId="6D3BB048"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Всего: 75 обойм.</w:t>
      </w:r>
    </w:p>
    <w:p w14:paraId="25E6B3C4"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Наиболее слабое место в расположении пулеметных обойм это вдоль по кожуху трансмиссии, так как это сильно затрудняет доступ к заднему коробу и фрикционам. По заявлению фирмы, таким же спосо</w:t>
      </w:r>
      <w:r w:rsidRPr="007122AB">
        <w:rPr>
          <w:rFonts w:ascii="Times New Roman" w:hAnsi="Times New Roman" w:cs="Times New Roman"/>
          <w:i w:val="0"/>
          <w:color w:val="000000" w:themeColor="text1"/>
          <w:sz w:val="16"/>
          <w:szCs w:val="16"/>
        </w:rPr>
        <w:softHyphen/>
        <w:t>бом расположены и пулеметные ящики для Британского Военного Ми</w:t>
      </w:r>
      <w:r w:rsidRPr="007122AB">
        <w:rPr>
          <w:rFonts w:ascii="Times New Roman" w:hAnsi="Times New Roman" w:cs="Times New Roman"/>
          <w:i w:val="0"/>
          <w:color w:val="000000" w:themeColor="text1"/>
          <w:sz w:val="16"/>
          <w:szCs w:val="16"/>
        </w:rPr>
        <w:softHyphen/>
        <w:t>нистерства.</w:t>
      </w:r>
    </w:p>
    <w:p w14:paraId="1E8B388D" w14:textId="77777777" w:rsidR="00445005" w:rsidRPr="007122AB" w:rsidRDefault="00445005"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По моему мнению, без особой трудности можно отказаться от этих трех снарядов, так как кроме затруднений и занятий для других целей нужного места, мы ничего иметь не будем» (15745).</w:t>
      </w:r>
    </w:p>
    <w:p w14:paraId="5E054499" w14:textId="77777777" w:rsidR="00445005" w:rsidRPr="007122AB" w:rsidRDefault="00445005" w:rsidP="007122AB">
      <w:pPr>
        <w:pStyle w:val="a3"/>
        <w:rPr>
          <w:color w:val="000000" w:themeColor="text1"/>
          <w:lang w:val="ru-RU"/>
        </w:rPr>
      </w:pPr>
    </w:p>
    <w:p w14:paraId="0B259773" w14:textId="77777777" w:rsidR="00445005" w:rsidRPr="007122AB" w:rsidRDefault="00445005"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16 декабря 1931 г. — Справка Военно-морской инспекции НК РКИ СССР о развитии порохового производства</w:t>
      </w:r>
    </w:p>
    <w:p w14:paraId="3C2FBF8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0ED3E3C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Положение с развитием мощностей пороховых заводов представляется, по данным ВМИ,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8"/>
        <w:gridCol w:w="2641"/>
        <w:gridCol w:w="2465"/>
        <w:gridCol w:w="2641"/>
        <w:gridCol w:w="2657"/>
      </w:tblGrid>
      <w:tr w:rsidR="001002C3" w:rsidRPr="007122AB" w14:paraId="36336F6E" w14:textId="77777777" w:rsidTr="004F5DFE">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D6308B"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11129E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развития мощностей, разработанный Комиссией т. Косиора в 1928 г. и утвержденный Президиумом ВСНХ и РЗ СТО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80471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Фактическая мощность на 1 марта 1931 г.</w:t>
            </w:r>
          </w:p>
        </w:tc>
      </w:tr>
      <w:tr w:rsidR="001002C3" w:rsidRPr="007122AB" w14:paraId="3AD7F2B5" w14:textId="77777777" w:rsidTr="004F5DFE">
        <w:tc>
          <w:tcPr>
            <w:tcW w:w="0" w:type="auto"/>
            <w:vMerge/>
            <w:tcBorders>
              <w:top w:val="outset" w:sz="6" w:space="0" w:color="auto"/>
              <w:left w:val="outset" w:sz="6" w:space="0" w:color="auto"/>
              <w:bottom w:val="outset" w:sz="6" w:space="0" w:color="auto"/>
              <w:right w:val="outset" w:sz="6" w:space="0" w:color="auto"/>
            </w:tcBorders>
            <w:vAlign w:val="center"/>
            <w:hideMark/>
          </w:tcPr>
          <w:p w14:paraId="6E46AC65" w14:textId="77777777" w:rsidR="00987BB5" w:rsidRPr="007122AB" w:rsidRDefault="00987BB5" w:rsidP="007122AB">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8BF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49B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A7915"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октября 1930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C3CE8D" w14:textId="77777777" w:rsidR="00987BB5" w:rsidRPr="007122AB" w:rsidRDefault="00987BB5" w:rsidP="007122AB">
            <w:pPr>
              <w:spacing w:after="0" w:line="240" w:lineRule="auto"/>
              <w:jc w:val="both"/>
              <w:rPr>
                <w:rFonts w:ascii="Times New Roman" w:hAnsi="Times New Roman"/>
                <w:color w:val="000000" w:themeColor="text1"/>
                <w:sz w:val="16"/>
                <w:szCs w:val="16"/>
              </w:rPr>
            </w:pPr>
          </w:p>
        </w:tc>
      </w:tr>
      <w:tr w:rsidR="001002C3" w:rsidRPr="007122AB" w14:paraId="0178782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986CA6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03B5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17BF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D297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B99C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5500</w:t>
            </w:r>
          </w:p>
        </w:tc>
      </w:tr>
      <w:tr w:rsidR="001002C3" w:rsidRPr="007122AB" w14:paraId="66D59EBB"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5A68E5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F8A7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6A3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B04B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1C66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37C5A2F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C375E0D" w14:textId="77777777" w:rsidR="00987BB5" w:rsidRPr="007122AB" w:rsidRDefault="00987BB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Шостенский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31FE4B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87E9"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CA2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782E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6260</w:t>
            </w:r>
          </w:p>
        </w:tc>
      </w:tr>
      <w:tr w:rsidR="001002C3" w:rsidRPr="007122AB" w14:paraId="7966E58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40AEAA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7DBB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58C71"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9C06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68131"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7500</w:t>
            </w:r>
          </w:p>
        </w:tc>
      </w:tr>
    </w:tbl>
    <w:p w14:paraId="7B7F623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Однако и эту мощность нельзя считать реальной.</w:t>
      </w:r>
    </w:p>
    <w:p w14:paraId="60E909B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По взрывчатым веществам за тот же период (с 1 октября 1928 г. по 1 октября 1930 г.) мощность должна была возрасти с 10 тыс. т тротила до 20 тыс. т. Формально эта мощность достигнута, однако ввиду запоздания расширения и реконструкции теплосилового хозяйства и водоснабжения фактическая мощность не превышает 13</w:t>
      </w:r>
      <w:r w:rsidRPr="007122AB">
        <w:rPr>
          <w:color w:val="000000" w:themeColor="text1"/>
          <w:sz w:val="16"/>
          <w:szCs w:val="16"/>
        </w:rPr>
        <w:noBreakHyphen/>
        <w:t>14 тыс. т. Причины срыва строительства:</w:t>
      </w:r>
    </w:p>
    <w:p w14:paraId="6727856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lastRenderedPageBreak/>
        <w:t xml:space="preserve">1. Расхлябанность аппарата и отсутствие руководства заводом со стороны ВХТ (отсутствие четкого планирования, беспорядочное и </w:t>
      </w:r>
      <w:proofErr w:type="spellStart"/>
      <w:r w:rsidRPr="007122AB">
        <w:rPr>
          <w:color w:val="000000" w:themeColor="text1"/>
          <w:sz w:val="16"/>
          <w:szCs w:val="16"/>
        </w:rPr>
        <w:t>беспроектное</w:t>
      </w:r>
      <w:proofErr w:type="spellEnd"/>
      <w:r w:rsidRPr="007122AB">
        <w:rPr>
          <w:color w:val="000000" w:themeColor="text1"/>
          <w:sz w:val="16"/>
          <w:szCs w:val="16"/>
        </w:rPr>
        <w:t xml:space="preserve"> строительство, диспропорция в строительстве, хаос на заводах).</w:t>
      </w:r>
    </w:p>
    <w:p w14:paraId="7236AAC5"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2. Неудовлетворительное планирование и отсутствие фактического наблюдения заходом строительства со стороны МПС ВСНХ.</w:t>
      </w:r>
    </w:p>
    <w:p w14:paraId="3642314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Из ассигнованных </w:t>
      </w:r>
      <w:proofErr w:type="spellStart"/>
      <w:r w:rsidRPr="007122AB">
        <w:rPr>
          <w:color w:val="000000" w:themeColor="text1"/>
          <w:sz w:val="16"/>
          <w:szCs w:val="16"/>
        </w:rPr>
        <w:t>Вохимтресту</w:t>
      </w:r>
      <w:proofErr w:type="spellEnd"/>
      <w:r w:rsidRPr="007122AB">
        <w:rPr>
          <w:color w:val="000000" w:themeColor="text1"/>
          <w:sz w:val="16"/>
          <w:szCs w:val="16"/>
        </w:rPr>
        <w:t xml:space="preserve"> за два года 165 млн. руб. он фактически израсходовал лишь 91 млн. руб., не получив никакого положительного эффекта в отношении наращения мощностей.</w:t>
      </w:r>
    </w:p>
    <w:p w14:paraId="2469C91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Крайне плохо обстоит дело с оборудованием для строительства 1931 г., что ставит под угрозу выполнение плана строительства в целом.</w:t>
      </w:r>
    </w:p>
    <w:p w14:paraId="0955203A"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Примечание</w:t>
      </w:r>
      <w:r w:rsidRPr="007122AB">
        <w:rPr>
          <w:color w:val="000000" w:themeColor="text1"/>
          <w:sz w:val="16"/>
          <w:szCs w:val="16"/>
        </w:rPr>
        <w:t>:</w:t>
      </w:r>
    </w:p>
    <w:p w14:paraId="21C1F783"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Датируется по помете на документе.</w:t>
      </w:r>
    </w:p>
    <w:p w14:paraId="29411709"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ГА РФ. Ф. Р-8418. Оп. 5. Д. 30. Л. 84. Копия.</w:t>
      </w:r>
    </w:p>
    <w:p w14:paraId="411D81D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5. Д. 30. Л. 84. Копия. </w:t>
      </w:r>
    </w:p>
    <w:p w14:paraId="240A2F0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593 (12543).</w:t>
      </w:r>
    </w:p>
    <w:p w14:paraId="35BBF6CA"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06F780E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16 декабря 1931 </w:t>
      </w:r>
      <w:r w:rsidRPr="007122AB">
        <w:rPr>
          <w:rFonts w:ascii="Times New Roman" w:hAnsi="Times New Roman"/>
          <w:color w:val="000000" w:themeColor="text1"/>
          <w:sz w:val="16"/>
          <w:szCs w:val="16"/>
        </w:rPr>
        <w:t xml:space="preserve">Политбюро ЦК ВКП (б) приняло решения: о включении в народнохозяйственный план 1932 г. строительства трех азотных заводов, о постройке </w:t>
      </w:r>
      <w:proofErr w:type="spellStart"/>
      <w:r w:rsidRPr="007122AB">
        <w:rPr>
          <w:rFonts w:ascii="Times New Roman" w:hAnsi="Times New Roman"/>
          <w:color w:val="000000" w:themeColor="text1"/>
          <w:sz w:val="16"/>
          <w:szCs w:val="16"/>
        </w:rPr>
        <w:t>Чирчикского</w:t>
      </w:r>
      <w:proofErr w:type="spellEnd"/>
      <w:r w:rsidRPr="007122AB">
        <w:rPr>
          <w:rFonts w:ascii="Times New Roman" w:hAnsi="Times New Roman"/>
          <w:color w:val="000000" w:themeColor="text1"/>
          <w:sz w:val="16"/>
          <w:szCs w:val="16"/>
        </w:rPr>
        <w:t xml:space="preserve"> энергохимического комбината в течение двух лет; признало ход строительства Нижне-Тагильского металлургического завода неудовлетворительным (12265).</w:t>
      </w:r>
    </w:p>
    <w:p w14:paraId="60189F0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2B9A3846" w14:textId="77777777" w:rsidR="00D562AF" w:rsidRPr="007122AB" w:rsidRDefault="00D562AF"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566D8FA6" w14:textId="77777777" w:rsidR="00D562AF" w:rsidRPr="007122AB" w:rsidRDefault="00D562AF"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2CB250" w14:textId="77777777" w:rsidR="00D562AF" w:rsidRPr="007122AB" w:rsidRDefault="00D562A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 декабря 1931. В Москве основан первый в мире цыганский театр "Ромэн" (18724).</w:t>
      </w:r>
    </w:p>
    <w:p w14:paraId="01C18D32" w14:textId="77777777" w:rsidR="00D562AF" w:rsidRPr="007122AB" w:rsidRDefault="00D562AF" w:rsidP="007122AB">
      <w:pPr>
        <w:spacing w:after="0" w:line="240" w:lineRule="auto"/>
        <w:jc w:val="both"/>
        <w:rPr>
          <w:rFonts w:ascii="Times New Roman" w:hAnsi="Times New Roman"/>
          <w:color w:val="000000" w:themeColor="text1"/>
          <w:sz w:val="16"/>
          <w:szCs w:val="16"/>
        </w:rPr>
      </w:pPr>
    </w:p>
    <w:p w14:paraId="79525A6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6762235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AF1B0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декабря 1931 Чан Кайши, оказавшись несостоятельным в борьбе против японцев, отказался от занимаемых постов и в конце декабря было составлено новое правительство во главе с Сунь </w:t>
      </w:r>
      <w:proofErr w:type="spellStart"/>
      <w:r w:rsidRPr="007122AB">
        <w:rPr>
          <w:rFonts w:ascii="Times New Roman" w:hAnsi="Times New Roman"/>
          <w:color w:val="000000" w:themeColor="text1"/>
          <w:sz w:val="16"/>
          <w:szCs w:val="16"/>
        </w:rPr>
        <w:t>Фо</w:t>
      </w:r>
      <w:proofErr w:type="spellEnd"/>
      <w:r w:rsidRPr="007122AB">
        <w:rPr>
          <w:rFonts w:ascii="Times New Roman" w:hAnsi="Times New Roman"/>
          <w:color w:val="000000" w:themeColor="text1"/>
          <w:sz w:val="16"/>
          <w:szCs w:val="16"/>
        </w:rPr>
        <w:t>, хотя реальная власть осталась в его руках (3878,3).</w:t>
      </w:r>
    </w:p>
    <w:p w14:paraId="6507E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1FC7F2" w14:textId="77777777" w:rsidR="00987BB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A469662" w14:textId="77777777" w:rsidR="00987BB5" w:rsidRPr="007122AB" w:rsidRDefault="00987BB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041707" w14:textId="77777777" w:rsidR="00987BB5" w:rsidRPr="007122AB" w:rsidRDefault="00987BB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17 декабря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(протокольное) о руководстве кампаний по заключению договоров на 1932 г. (ГА РФ. Ф. Р?8418. Оп. 6. Д. 3. Л. 15) (12415).</w:t>
      </w:r>
    </w:p>
    <w:p w14:paraId="04F430D4" w14:textId="77777777" w:rsidR="00987BB5" w:rsidRPr="007122AB" w:rsidRDefault="00987BB5" w:rsidP="007122AB">
      <w:pPr>
        <w:spacing w:after="0" w:line="240" w:lineRule="auto"/>
        <w:jc w:val="both"/>
        <w:rPr>
          <w:rFonts w:ascii="Times New Roman" w:hAnsi="Times New Roman"/>
          <w:color w:val="000000" w:themeColor="text1"/>
          <w:sz w:val="16"/>
          <w:szCs w:val="16"/>
          <w:u w:color="002060"/>
        </w:rPr>
      </w:pPr>
    </w:p>
    <w:p w14:paraId="2701DADB" w14:textId="77777777" w:rsidR="00492496" w:rsidRPr="007122AB" w:rsidRDefault="0049249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17 декабря 1931 г.</w:t>
      </w:r>
    </w:p>
    <w:p w14:paraId="0D35D2FC" w14:textId="77777777" w:rsidR="00492496" w:rsidRPr="007122AB" w:rsidRDefault="0049249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Обращение в Московскую областную прокуратуру с просьбой освободить от жильцов помещение, предназначенное для работы ОКБ ОГПУ. 17 декабря 1931 г.</w:t>
      </w:r>
    </w:p>
    <w:p w14:paraId="64EBD5B3" w14:textId="77777777" w:rsidR="00492496" w:rsidRPr="007122AB" w:rsidRDefault="00492496"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46723128"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D4B269" w14:textId="77777777" w:rsidR="00492496" w:rsidRPr="007122AB" w:rsidRDefault="00492496" w:rsidP="007122AB">
      <w:pPr>
        <w:pStyle w:val="rteright"/>
        <w:spacing w:before="0" w:after="0"/>
        <w:jc w:val="both"/>
        <w:rPr>
          <w:color w:val="000000" w:themeColor="text1"/>
          <w:sz w:val="16"/>
          <w:szCs w:val="16"/>
        </w:rPr>
      </w:pPr>
      <w:r w:rsidRPr="007122AB">
        <w:rPr>
          <w:color w:val="000000" w:themeColor="text1"/>
          <w:sz w:val="16"/>
          <w:szCs w:val="16"/>
        </w:rPr>
        <w:t>17 декабря 1931 г.</w:t>
      </w:r>
    </w:p>
    <w:p w14:paraId="6BCD28AE" w14:textId="77777777" w:rsidR="00492496" w:rsidRPr="007122AB" w:rsidRDefault="00492496" w:rsidP="007122AB">
      <w:pPr>
        <w:pStyle w:val="rteright"/>
        <w:spacing w:before="0" w:after="0"/>
        <w:jc w:val="both"/>
        <w:rPr>
          <w:color w:val="000000" w:themeColor="text1"/>
          <w:sz w:val="16"/>
          <w:szCs w:val="16"/>
        </w:rPr>
      </w:pPr>
      <w:r w:rsidRPr="007122AB">
        <w:rPr>
          <w:color w:val="000000" w:themeColor="text1"/>
          <w:sz w:val="16"/>
          <w:szCs w:val="16"/>
        </w:rPr>
        <w:t>Секретно</w:t>
      </w:r>
    </w:p>
    <w:p w14:paraId="389E8071" w14:textId="77777777" w:rsidR="00492496" w:rsidRPr="007122AB" w:rsidRDefault="00492496" w:rsidP="007122AB">
      <w:pPr>
        <w:pStyle w:val="ae"/>
        <w:spacing w:before="0" w:after="0"/>
        <w:jc w:val="both"/>
        <w:rPr>
          <w:color w:val="000000" w:themeColor="text1"/>
          <w:sz w:val="16"/>
          <w:szCs w:val="16"/>
        </w:rPr>
      </w:pPr>
      <w:r w:rsidRPr="007122AB">
        <w:rPr>
          <w:color w:val="000000" w:themeColor="text1"/>
          <w:sz w:val="16"/>
          <w:szCs w:val="16"/>
        </w:rPr>
        <w:t>МОСКОВСКОМУ ОБЛАСТНОМУ ПРОКУРОРУ</w:t>
      </w:r>
    </w:p>
    <w:p w14:paraId="33B231D0" w14:textId="77777777" w:rsidR="00492496" w:rsidRPr="007122AB" w:rsidRDefault="00492496" w:rsidP="007122AB">
      <w:pPr>
        <w:pStyle w:val="ae"/>
        <w:spacing w:before="0" w:after="0"/>
        <w:jc w:val="both"/>
        <w:rPr>
          <w:color w:val="000000" w:themeColor="text1"/>
          <w:sz w:val="16"/>
          <w:szCs w:val="16"/>
        </w:rPr>
      </w:pPr>
      <w:r w:rsidRPr="007122AB">
        <w:rPr>
          <w:color w:val="000000" w:themeColor="text1"/>
          <w:sz w:val="16"/>
          <w:szCs w:val="16"/>
        </w:rPr>
        <w:t>ПО ЖИЛИЩНЫМ ДЕЛАМ</w:t>
      </w:r>
    </w:p>
    <w:p w14:paraId="562DCC55" w14:textId="77777777" w:rsidR="00492496" w:rsidRPr="007122AB" w:rsidRDefault="00492496" w:rsidP="007122AB">
      <w:pPr>
        <w:pStyle w:val="ae"/>
        <w:spacing w:before="0" w:after="0"/>
        <w:jc w:val="both"/>
        <w:rPr>
          <w:color w:val="000000" w:themeColor="text1"/>
          <w:sz w:val="16"/>
          <w:szCs w:val="16"/>
        </w:rPr>
      </w:pPr>
      <w:r w:rsidRPr="007122AB">
        <w:rPr>
          <w:color w:val="000000" w:themeColor="text1"/>
          <w:sz w:val="16"/>
          <w:szCs w:val="16"/>
        </w:rPr>
        <w:t>тов. ЛЕВАШОВУ</w:t>
      </w:r>
    </w:p>
    <w:p w14:paraId="3604B591" w14:textId="77777777" w:rsidR="00492496" w:rsidRPr="007122AB" w:rsidRDefault="00492496" w:rsidP="007122AB">
      <w:pPr>
        <w:pStyle w:val="rtejustify"/>
        <w:spacing w:before="0" w:after="0"/>
        <w:rPr>
          <w:color w:val="000000" w:themeColor="text1"/>
          <w:sz w:val="16"/>
          <w:szCs w:val="16"/>
        </w:rPr>
      </w:pPr>
      <w:r w:rsidRPr="007122AB">
        <w:rPr>
          <w:color w:val="000000" w:themeColor="text1"/>
          <w:sz w:val="16"/>
          <w:szCs w:val="16"/>
        </w:rPr>
        <w:t>Копия: Пом. Прокурора Пролетарского района</w:t>
      </w:r>
    </w:p>
    <w:p w14:paraId="6DB64999" w14:textId="77777777" w:rsidR="00492496" w:rsidRPr="007122AB" w:rsidRDefault="00492496" w:rsidP="007122AB">
      <w:pPr>
        <w:pStyle w:val="rtejustify"/>
        <w:spacing w:before="0" w:after="0"/>
        <w:rPr>
          <w:color w:val="000000" w:themeColor="text1"/>
          <w:sz w:val="16"/>
          <w:szCs w:val="16"/>
        </w:rPr>
      </w:pPr>
      <w:r w:rsidRPr="007122AB">
        <w:rPr>
          <w:color w:val="000000" w:themeColor="text1"/>
          <w:sz w:val="16"/>
          <w:szCs w:val="16"/>
        </w:rPr>
        <w:t>На территории Всесоюзного Теплотехнического Института проживают, не имеющие никакого отношения к Институту, гр-не ГУСЕВ и БЕЛОУСОВ, в отдельном флигеле[.] [Т]</w:t>
      </w:r>
      <w:proofErr w:type="spellStart"/>
      <w:r w:rsidRPr="007122AB">
        <w:rPr>
          <w:color w:val="000000" w:themeColor="text1"/>
          <w:sz w:val="16"/>
          <w:szCs w:val="16"/>
        </w:rPr>
        <w:t>ак</w:t>
      </w:r>
      <w:proofErr w:type="spellEnd"/>
      <w:r w:rsidRPr="007122AB">
        <w:rPr>
          <w:color w:val="000000" w:themeColor="text1"/>
          <w:sz w:val="16"/>
          <w:szCs w:val="16"/>
        </w:rPr>
        <w:t xml:space="preserve"> как это помещение предназначено для использования под Особое Конструкторское Бюро ОГПУ, т. е. использование вредителей, указанные выше граждане в силу этого должны быть переселены в другое место, предоставляемое Институтом помещение в Кожухове (Пролетарского района) по 3-й Кожуховской улице, во всем с соблюдением существующих санитарно-гигиенических норм Моссовета.</w:t>
      </w:r>
    </w:p>
    <w:p w14:paraId="05326F31" w14:textId="77777777" w:rsidR="00492496" w:rsidRPr="007122AB" w:rsidRDefault="00492496" w:rsidP="007122AB">
      <w:pPr>
        <w:pStyle w:val="rtejustify"/>
        <w:spacing w:before="0" w:after="0"/>
        <w:rPr>
          <w:color w:val="000000" w:themeColor="text1"/>
          <w:sz w:val="16"/>
          <w:szCs w:val="16"/>
        </w:rPr>
      </w:pPr>
      <w:r w:rsidRPr="007122AB">
        <w:rPr>
          <w:color w:val="000000" w:themeColor="text1"/>
          <w:sz w:val="16"/>
          <w:szCs w:val="16"/>
        </w:rPr>
        <w:t>В силу чего просим Вашего распоряжения милиции об оказании соответствующей помощи в деле переселения указанных выше граждан в другое помещение.</w:t>
      </w:r>
    </w:p>
    <w:p w14:paraId="7AE060F8" w14:textId="77777777" w:rsidR="00492496" w:rsidRPr="007122AB" w:rsidRDefault="00492496" w:rsidP="007122AB">
      <w:pPr>
        <w:pStyle w:val="rtejustify"/>
        <w:spacing w:before="0" w:after="0"/>
        <w:rPr>
          <w:color w:val="000000" w:themeColor="text1"/>
          <w:sz w:val="16"/>
          <w:szCs w:val="16"/>
        </w:rPr>
      </w:pPr>
      <w:r w:rsidRPr="007122AB">
        <w:rPr>
          <w:color w:val="000000" w:themeColor="text1"/>
          <w:sz w:val="16"/>
          <w:szCs w:val="16"/>
        </w:rPr>
        <w:t>Учитывая важность выполняемых заданий ОКБ ОГПУ просим Вашим распоряжением не замедлить.</w:t>
      </w:r>
    </w:p>
    <w:p w14:paraId="0CF516D0" w14:textId="77777777" w:rsidR="00492496" w:rsidRPr="007122AB" w:rsidRDefault="00492496" w:rsidP="007122AB">
      <w:pPr>
        <w:pStyle w:val="rtejustify"/>
        <w:spacing w:before="0" w:after="0"/>
        <w:rPr>
          <w:color w:val="000000" w:themeColor="text1"/>
          <w:sz w:val="16"/>
          <w:szCs w:val="16"/>
        </w:rPr>
      </w:pPr>
      <w:r w:rsidRPr="007122AB">
        <w:rPr>
          <w:color w:val="000000" w:themeColor="text1"/>
          <w:sz w:val="16"/>
          <w:szCs w:val="16"/>
        </w:rPr>
        <w:t>НАЧАЛЬНИК ТЕХ. ОТД. ЭКУ ОГПУ (</w:t>
      </w:r>
      <w:proofErr w:type="spellStart"/>
      <w:r w:rsidRPr="007122AB">
        <w:rPr>
          <w:color w:val="000000" w:themeColor="text1"/>
          <w:sz w:val="16"/>
          <w:szCs w:val="16"/>
        </w:rPr>
        <w:t>Горянов</w:t>
      </w:r>
      <w:proofErr w:type="spellEnd"/>
      <w:r w:rsidRPr="007122AB">
        <w:rPr>
          <w:color w:val="000000" w:themeColor="text1"/>
          <w:sz w:val="16"/>
          <w:szCs w:val="16"/>
        </w:rPr>
        <w:t>)</w:t>
      </w:r>
    </w:p>
    <w:p w14:paraId="3178E1D6" w14:textId="77777777" w:rsidR="00492496" w:rsidRPr="007122AB" w:rsidRDefault="00492496" w:rsidP="007122AB">
      <w:pPr>
        <w:pStyle w:val="ae"/>
        <w:spacing w:before="0" w:after="0"/>
        <w:jc w:val="both"/>
        <w:rPr>
          <w:color w:val="000000" w:themeColor="text1"/>
          <w:sz w:val="16"/>
          <w:szCs w:val="16"/>
        </w:rPr>
      </w:pPr>
      <w:r w:rsidRPr="007122AB">
        <w:rPr>
          <w:color w:val="000000" w:themeColor="text1"/>
          <w:sz w:val="16"/>
          <w:szCs w:val="16"/>
        </w:rPr>
        <w:t>НАЧ. ОКБ № 11 ОГПУ (</w:t>
      </w:r>
      <w:proofErr w:type="spellStart"/>
      <w:r w:rsidRPr="007122AB">
        <w:rPr>
          <w:color w:val="000000" w:themeColor="text1"/>
          <w:sz w:val="16"/>
          <w:szCs w:val="16"/>
        </w:rPr>
        <w:t>Наумин</w:t>
      </w:r>
      <w:proofErr w:type="spellEnd"/>
      <w:r w:rsidRPr="007122AB">
        <w:rPr>
          <w:color w:val="000000" w:themeColor="text1"/>
          <w:sz w:val="16"/>
          <w:szCs w:val="16"/>
        </w:rPr>
        <w:t>)</w:t>
      </w:r>
    </w:p>
    <w:p w14:paraId="057C9208" w14:textId="77777777" w:rsidR="00492496" w:rsidRPr="007122AB" w:rsidRDefault="00492496"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130. Машинописная копия (отпуск?) того времени. Дата — машинописью в левом верхнем углу (число вписано от руки). Гриф секретности — машинописью вверху справа. Вверху слева от руки проставлен исходящий номер документа «255090» (19092).</w:t>
      </w:r>
    </w:p>
    <w:p w14:paraId="16FAF4BB" w14:textId="77777777" w:rsidR="00492496" w:rsidRPr="007122AB" w:rsidRDefault="00492496" w:rsidP="007122AB">
      <w:pPr>
        <w:spacing w:after="0" w:line="240" w:lineRule="auto"/>
        <w:jc w:val="both"/>
        <w:rPr>
          <w:rFonts w:ascii="Times New Roman" w:hAnsi="Times New Roman"/>
          <w:color w:val="000000" w:themeColor="text1"/>
          <w:sz w:val="16"/>
          <w:szCs w:val="16"/>
        </w:rPr>
      </w:pPr>
    </w:p>
    <w:p w14:paraId="10506B80"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 декабря 1931 по письму отца погибшего курсанта Кочергина, который изложил свое мнение о причинах аварий самолетов и о состоянии летной школы ОАХ, решением Политбюро была создана комиссия для ознакомления с фактическим положением дел в ОАХ под председательством секретаря ЦК ВКП(б), заведующего Организационно-инструкторским отделом ЦК ВКП(б) П.П. Постышева. В нее вошли начальник Политуправления РККА и одновременно ответственный редактор газеты «Красная Звезда» Я.Б. Гамарник, член Центральной Контрольной Комиссии Р.С. Землячка, заместитель председателя ОГПУ при СНК СССР В.А. Балицкий и заместитель заведующего Отделом </w:t>
      </w:r>
      <w:proofErr w:type="spellStart"/>
      <w:r w:rsidRPr="007122AB">
        <w:rPr>
          <w:rFonts w:ascii="Times New Roman" w:hAnsi="Times New Roman"/>
          <w:color w:val="000000" w:themeColor="text1"/>
          <w:sz w:val="16"/>
          <w:szCs w:val="16"/>
        </w:rPr>
        <w:t>административнохозяйственных</w:t>
      </w:r>
      <w:proofErr w:type="spellEnd"/>
      <w:r w:rsidRPr="007122AB">
        <w:rPr>
          <w:rFonts w:ascii="Times New Roman" w:hAnsi="Times New Roman"/>
          <w:color w:val="000000" w:themeColor="text1"/>
          <w:sz w:val="16"/>
          <w:szCs w:val="16"/>
        </w:rPr>
        <w:t xml:space="preserve"> и профсоюзных кадров ЦК ВКП(б) А.П. </w:t>
      </w:r>
      <w:proofErr w:type="spellStart"/>
      <w:r w:rsidRPr="007122AB">
        <w:rPr>
          <w:rFonts w:ascii="Times New Roman" w:hAnsi="Times New Roman"/>
          <w:color w:val="000000" w:themeColor="text1"/>
          <w:sz w:val="16"/>
          <w:szCs w:val="16"/>
        </w:rPr>
        <w:t>Гричманов</w:t>
      </w:r>
      <w:proofErr w:type="spellEnd"/>
      <w:r w:rsidRPr="007122AB">
        <w:rPr>
          <w:rFonts w:ascii="Times New Roman" w:hAnsi="Times New Roman"/>
          <w:color w:val="000000" w:themeColor="text1"/>
          <w:sz w:val="16"/>
          <w:szCs w:val="16"/>
        </w:rPr>
        <w:t>. Комиссия за две декады должна была проверить факты, изложенные в записке Кочергина, и состояние летной школы ОАХ (РГАСПИ. Ф. 17. Оп. 3. Д. 866. Л. 10).</w:t>
      </w:r>
    </w:p>
    <w:p w14:paraId="7838D235"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Эта авторитетная комиссия ЦК и ЦКК ВКП(б) в докладной записке в Политбюро «О катастрофе с летчиком Кочергиным и состоянии ОАХ» подтвердила мнение Кочергина-отца о причинах катастрофы в Московской авиационной школе ОАХ, отметив, что «Московская школа находилась в безобразном состоянии». Среди конкретных недостатков они указывали отсутствие элементарного технического руководства, плохой уход за материальной частью и отсутствие должного контроля, недоброкачественный ремонт самолетов. Кроме того, был отмечен низкий уровень учебы, отсутствие дисциплины и политико-воспитательной работы, засоренность социально-чуждыми элементами постоянного состава школы. Обращалось внимание на плохие бытовые условия и антисанитарное состояние проживания учащихся летной школы (</w:t>
      </w:r>
      <w:proofErr w:type="spellStart"/>
      <w:r w:rsidRPr="007122AB">
        <w:rPr>
          <w:rFonts w:ascii="Times New Roman" w:hAnsi="Times New Roman"/>
          <w:color w:val="000000" w:themeColor="text1"/>
          <w:sz w:val="16"/>
          <w:szCs w:val="16"/>
        </w:rPr>
        <w:t>учлетов</w:t>
      </w:r>
      <w:proofErr w:type="spellEnd"/>
      <w:r w:rsidRPr="007122AB">
        <w:rPr>
          <w:rFonts w:ascii="Times New Roman" w:hAnsi="Times New Roman"/>
          <w:color w:val="000000" w:themeColor="text1"/>
          <w:sz w:val="16"/>
          <w:szCs w:val="16"/>
        </w:rPr>
        <w:t>) (ГАРФ. Ф.Р – 8355. Оп. 5. Д. 3. Л. 10). Комиссия проверила 5 других летных школах ОАХ – Ульяновскую, Тульскую, Нижегородскую, Ростовскую и Полтавскую. Было установлено, что «и эти школы находятся в совершенно неудовлетворительном состоянии» (ГАРФ. Ф.Р – 8355. Оп. 5. Д. 3. Л. 11) (21402).</w:t>
      </w:r>
    </w:p>
    <w:p w14:paraId="36E52AC0" w14:textId="77777777" w:rsidR="000E52C6" w:rsidRPr="007122AB" w:rsidRDefault="000E52C6" w:rsidP="007122AB">
      <w:pPr>
        <w:spacing w:after="0" w:line="240" w:lineRule="auto"/>
        <w:jc w:val="both"/>
        <w:rPr>
          <w:rFonts w:ascii="Times New Roman" w:hAnsi="Times New Roman"/>
          <w:color w:val="000000" w:themeColor="text1"/>
          <w:sz w:val="16"/>
          <w:szCs w:val="16"/>
        </w:rPr>
      </w:pPr>
    </w:p>
    <w:p w14:paraId="348B69C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365A17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F0A9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18-19 декабря 1931 были проведены испытания ДРП </w:t>
      </w:r>
      <w:proofErr w:type="spellStart"/>
      <w:r w:rsidRPr="007122AB">
        <w:rPr>
          <w:rFonts w:ascii="Times New Roman" w:hAnsi="Times New Roman"/>
          <w:color w:val="000000" w:themeColor="text1"/>
          <w:sz w:val="16"/>
          <w:szCs w:val="16"/>
        </w:rPr>
        <w:t>Л.В.Курчевского</w:t>
      </w:r>
      <w:proofErr w:type="spellEnd"/>
      <w:r w:rsidRPr="007122AB">
        <w:rPr>
          <w:rFonts w:ascii="Times New Roman" w:hAnsi="Times New Roman"/>
          <w:color w:val="000000" w:themeColor="text1"/>
          <w:sz w:val="16"/>
          <w:szCs w:val="16"/>
        </w:rPr>
        <w:t xml:space="preserve"> на И-4 (АНТ-5). Повредили обшивку (1017,166).</w:t>
      </w:r>
    </w:p>
    <w:p w14:paraId="479AC8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Есть мнение, что это могло быть и на И-зет.</w:t>
      </w:r>
    </w:p>
    <w:p w14:paraId="17FBA0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41AA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Пом. Нач. ЦКБ </w:t>
      </w:r>
      <w:proofErr w:type="spellStart"/>
      <w:r w:rsidRPr="007122AB">
        <w:rPr>
          <w:rFonts w:ascii="Times New Roman" w:hAnsi="Times New Roman"/>
          <w:color w:val="000000" w:themeColor="text1"/>
          <w:sz w:val="16"/>
          <w:szCs w:val="16"/>
        </w:rPr>
        <w:t>Надашкевич</w:t>
      </w:r>
      <w:proofErr w:type="spellEnd"/>
      <w:r w:rsidRPr="007122AB">
        <w:rPr>
          <w:rFonts w:ascii="Times New Roman" w:hAnsi="Times New Roman"/>
          <w:color w:val="000000" w:themeColor="text1"/>
          <w:sz w:val="16"/>
          <w:szCs w:val="16"/>
        </w:rPr>
        <w:t xml:space="preserve"> в рапорте на имя Нач. ЦАГИ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писал: "Вчера на заводе им. Менжинского совместно с и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 произведен осмотр ДРП с разлетевшейся при стрельбе 18 декабря 1931 сопловой частью и второй ДРП, имеющей вздутие. Поврежденные пушки следует отправить на переделку, в строящейся серии (44 шт.) следует внести изменения." (2692,5).</w:t>
      </w:r>
    </w:p>
    <w:p w14:paraId="11415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CCB2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Помощник начальника ЦКБ На- </w:t>
      </w:r>
      <w:proofErr w:type="spellStart"/>
      <w:r w:rsidRPr="007122AB">
        <w:rPr>
          <w:rFonts w:ascii="Times New Roman" w:hAnsi="Times New Roman"/>
          <w:color w:val="000000" w:themeColor="text1"/>
          <w:sz w:val="16"/>
          <w:szCs w:val="16"/>
        </w:rPr>
        <w:t>дашкевичем</w:t>
      </w:r>
      <w:proofErr w:type="spellEnd"/>
      <w:r w:rsidRPr="007122AB">
        <w:rPr>
          <w:rFonts w:ascii="Times New Roman" w:hAnsi="Times New Roman"/>
          <w:color w:val="000000" w:themeColor="text1"/>
          <w:sz w:val="16"/>
          <w:szCs w:val="16"/>
        </w:rPr>
        <w:t xml:space="preserve"> на имя начальника (!) ЦАГИ </w:t>
      </w:r>
      <w:proofErr w:type="spellStart"/>
      <w:r w:rsidRPr="007122AB">
        <w:rPr>
          <w:rFonts w:ascii="Times New Roman" w:hAnsi="Times New Roman"/>
          <w:color w:val="000000" w:themeColor="text1"/>
          <w:sz w:val="16"/>
          <w:szCs w:val="16"/>
        </w:rPr>
        <w:t>Пауфлера</w:t>
      </w:r>
      <w:proofErr w:type="spellEnd"/>
      <w:r w:rsidRPr="007122AB">
        <w:rPr>
          <w:rFonts w:ascii="Times New Roman" w:hAnsi="Times New Roman"/>
          <w:color w:val="000000" w:themeColor="text1"/>
          <w:sz w:val="16"/>
          <w:szCs w:val="16"/>
        </w:rPr>
        <w:t xml:space="preserve">, говорится: "Вчера на заводе им. Менжинского совместно с инженером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 произведён осмотр ДРП с разлетевшейся при стрельбе 18 декабря 1931 года сопловой частью и второй ДРП, имеющей вздутие. Повреждённые пушки следует отправить на переделку, в строящейся серии (44 шт.) следует внести соответствующие изменения" (12005).</w:t>
      </w:r>
    </w:p>
    <w:p w14:paraId="74E23819"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58F1364" w14:textId="77777777" w:rsidR="00987BB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CE7A3FD" w14:textId="77777777" w:rsidR="00987BB5" w:rsidRPr="007122AB" w:rsidRDefault="00987BB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8B17B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18 декабря 1931 </w:t>
      </w:r>
      <w:r w:rsidRPr="007122AB">
        <w:rPr>
          <w:rFonts w:ascii="Times New Roman" w:hAnsi="Times New Roman"/>
          <w:color w:val="000000" w:themeColor="text1"/>
          <w:sz w:val="16"/>
          <w:szCs w:val="16"/>
        </w:rPr>
        <w:t>Политбюро ЦК ВКП (б) одобрило проект постановления о народнохозяйственном плане на 1932 г. и проект госбюджета на 1932 г (12265).</w:t>
      </w:r>
    </w:p>
    <w:p w14:paraId="3C1AD78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6CCB010D" w14:textId="77777777" w:rsidR="00062BDD" w:rsidRPr="007122AB" w:rsidRDefault="00062BDD" w:rsidP="007122AB">
      <w:pPr>
        <w:spacing w:after="0" w:line="240" w:lineRule="auto"/>
        <w:jc w:val="both"/>
        <w:rPr>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lastRenderedPageBreak/>
        <w:t xml:space="preserve">18 декабря </w:t>
      </w:r>
      <w:r w:rsidRPr="007122AB">
        <w:rPr>
          <w:rFonts w:ascii="Times New Roman" w:hAnsi="Times New Roman"/>
          <w:color w:val="000000" w:themeColor="text1"/>
          <w:sz w:val="16"/>
          <w:szCs w:val="16"/>
        </w:rPr>
        <w:t>в 1931 году в Ленинграде проходило всесоюзное совещание по телевидению. Обсуждалось состояние работ в научно-исследовательском институте, занимающемся проблемами телевидения, демонстрировались разработанные в советских лабораториях образцы телевизоров. Было образовано бюро для создания комитета по телевидению («Правда», 1931, 26 декабря) (14864).</w:t>
      </w:r>
    </w:p>
    <w:p w14:paraId="42F4339A" w14:textId="77777777" w:rsidR="00062BDD" w:rsidRPr="007122AB" w:rsidRDefault="00062BDD" w:rsidP="007122AB">
      <w:pPr>
        <w:spacing w:after="0" w:line="240" w:lineRule="auto"/>
        <w:jc w:val="both"/>
        <w:rPr>
          <w:rFonts w:ascii="Times New Roman" w:hAnsi="Times New Roman"/>
          <w:color w:val="000000" w:themeColor="text1"/>
          <w:sz w:val="16"/>
          <w:szCs w:val="16"/>
        </w:rPr>
      </w:pPr>
    </w:p>
    <w:p w14:paraId="2D6C79B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586CC2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52F0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Между 18 и 24 декабря 1931. Из протокола заседания Политбюро № 81, 1931 г. </w:t>
      </w:r>
    </w:p>
    <w:p w14:paraId="7BE038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 мандаринах </w:t>
      </w:r>
    </w:p>
    <w:p w14:paraId="63F40C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Безусловно воспретить вывоз из СССР мандарин. </w:t>
      </w:r>
    </w:p>
    <w:p w14:paraId="2482EE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Обязать </w:t>
      </w:r>
      <w:proofErr w:type="spellStart"/>
      <w:r w:rsidRPr="007122AB">
        <w:rPr>
          <w:rFonts w:ascii="Times New Roman" w:hAnsi="Times New Roman"/>
          <w:color w:val="000000" w:themeColor="text1"/>
          <w:sz w:val="16"/>
          <w:szCs w:val="16"/>
        </w:rPr>
        <w:t>НКСнаб</w:t>
      </w:r>
      <w:proofErr w:type="spellEnd"/>
      <w:r w:rsidRPr="007122AB">
        <w:rPr>
          <w:rFonts w:ascii="Times New Roman" w:hAnsi="Times New Roman"/>
          <w:color w:val="000000" w:themeColor="text1"/>
          <w:sz w:val="16"/>
          <w:szCs w:val="16"/>
        </w:rPr>
        <w:t xml:space="preserve"> направить все запасы мандарин на продажу в промышленные пункты СССР и прежде всего в Москву, Ленинград и Харьков, по ценам не очень высоким (11652).</w:t>
      </w:r>
    </w:p>
    <w:p w14:paraId="4E172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B0C7B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DEA5D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31941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декабря 1931 года начальник XVII отдела НИИ ВВС Трунов начальнику ВВС.</w:t>
      </w:r>
    </w:p>
    <w:p w14:paraId="5AF531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Докладная записка</w:t>
      </w:r>
    </w:p>
    <w:p w14:paraId="0B7C46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Инженером 1 отдела НИИ ВВС Вахмистровым Вл. Серг. Был предложен проект поставить на крылья самолета ТБ-1 двух истребителей И-4 с тем, чтобы использовав добавочную мощность моторов обоих И4, увеличить горизонтальную и вертикальную скорости самолета ТБ-1 и позволить ему поднимать большую нагрузку. Сделав самолеты И4 отделяющимися в воздухе, ТБ1 фактически смог бы на себе нести собственную истребительную охрану. Вся конструкция была названа СЗВ (самолет звено Вахмистрова).</w:t>
      </w:r>
    </w:p>
    <w:p w14:paraId="39A94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декабря 1931 года опытный экземпляр был готов. Все три самолета раздельно в целях соблюдения секретности, были перегнаны в Монино, где был проведен пробный полет в составе следующего экипажа:</w:t>
      </w:r>
    </w:p>
    <w:p w14:paraId="2EBEA3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летчик на ТБ1 - </w:t>
      </w:r>
      <w:proofErr w:type="spellStart"/>
      <w:r w:rsidRPr="007122AB">
        <w:rPr>
          <w:rFonts w:ascii="Times New Roman" w:hAnsi="Times New Roman"/>
          <w:color w:val="000000" w:themeColor="text1"/>
          <w:sz w:val="16"/>
          <w:szCs w:val="16"/>
        </w:rPr>
        <w:t>Залевский</w:t>
      </w:r>
      <w:proofErr w:type="spellEnd"/>
    </w:p>
    <w:p w14:paraId="628EAE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второй летчик на ТБ1 - Шарапов</w:t>
      </w:r>
    </w:p>
    <w:p w14:paraId="16D5F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наблюдатель - Вахмистров</w:t>
      </w:r>
    </w:p>
    <w:p w14:paraId="2AA8DE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второй летчик наблюдатель - Морозов</w:t>
      </w:r>
    </w:p>
    <w:p w14:paraId="2B64A6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на И4 - Анисимов</w:t>
      </w:r>
    </w:p>
    <w:p w14:paraId="4F472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на втором И4 - Чекалов</w:t>
      </w:r>
    </w:p>
    <w:p w14:paraId="78C5AE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звено легко оторвался в воздух, быстро набрал высоту в 1000 м, на которой по сигналу оба истребителя были освобождены. Они благополучно отделились от Тб1. По окончании полета все три самолета приземлились в Монино.</w:t>
      </w:r>
    </w:p>
    <w:p w14:paraId="52C83E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использованием СЗВ летно-тактические свойства ТБ1 улучшаются. Дальность с 500 км возрастает до 1000 км при одной и той же загрузке бомбами, равной 2000 кг. При загрузке бомбами в 1000 кг дальность возрастает с 1360 до 2000 км.</w:t>
      </w:r>
    </w:p>
    <w:p w14:paraId="67251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увеличения обороноспособности тяжелого бомбардировщика чрезвычайно заманчивым является использование для СЗВ не одноместных, а 2-х местных истребителей типа К-47 (но с круговой турелью) (3788,1-25).</w:t>
      </w:r>
    </w:p>
    <w:p w14:paraId="1538F0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7883E9" w14:textId="77777777" w:rsidR="00550218" w:rsidRPr="007122AB" w:rsidRDefault="00550218" w:rsidP="007122AB">
      <w:pPr>
        <w:pStyle w:val="a3"/>
        <w:rPr>
          <w:color w:val="000000" w:themeColor="text1"/>
          <w:lang w:val="ru-RU"/>
        </w:rPr>
      </w:pPr>
      <w:r w:rsidRPr="007122AB">
        <w:rPr>
          <w:color w:val="000000" w:themeColor="text1"/>
          <w:lang w:val="ru-RU"/>
        </w:rPr>
        <w:t>19 декабря 1931 М.Н. Туха</w:t>
      </w:r>
      <w:r w:rsidRPr="007122AB">
        <w:rPr>
          <w:color w:val="000000" w:themeColor="text1"/>
          <w:lang w:val="ru-RU"/>
        </w:rPr>
        <w:softHyphen/>
        <w:t>чевский по поводу первого полета Звена написал: «Это круп</w:t>
      </w:r>
      <w:r w:rsidRPr="007122AB">
        <w:rPr>
          <w:color w:val="000000" w:themeColor="text1"/>
          <w:lang w:val="ru-RU"/>
        </w:rPr>
        <w:softHyphen/>
        <w:t>нейшее изобретение». Начальник НИИ ВВС Н.В. Бузанов предложил подгото</w:t>
      </w:r>
      <w:r w:rsidRPr="007122AB">
        <w:rPr>
          <w:color w:val="000000" w:themeColor="text1"/>
          <w:lang w:val="ru-RU"/>
        </w:rPr>
        <w:softHyphen/>
        <w:t>вить два-три комплекта СЗВ и передать в строевую часть. Но раздавать ордена и автомобили пока не спешили; испытания опытного образца продолжались.</w:t>
      </w:r>
    </w:p>
    <w:p w14:paraId="5E696825" w14:textId="77777777" w:rsidR="00550218" w:rsidRPr="007122AB" w:rsidRDefault="00550218" w:rsidP="007122AB">
      <w:pPr>
        <w:pStyle w:val="a3"/>
        <w:rPr>
          <w:color w:val="000000" w:themeColor="text1"/>
          <w:lang w:val="ru-RU"/>
        </w:rPr>
      </w:pPr>
      <w:r w:rsidRPr="007122AB">
        <w:rPr>
          <w:color w:val="000000" w:themeColor="text1"/>
          <w:lang w:val="ru-RU"/>
        </w:rPr>
        <w:t>Учитывая опыт первого старта, все управление замками перенесли на истре</w:t>
      </w:r>
      <w:r w:rsidRPr="007122AB">
        <w:rPr>
          <w:color w:val="000000" w:themeColor="text1"/>
          <w:lang w:val="ru-RU"/>
        </w:rPr>
        <w:softHyphen/>
        <w:t>бители. На ТБ-1 поставили дополнитель</w:t>
      </w:r>
      <w:r w:rsidRPr="007122AB">
        <w:rPr>
          <w:color w:val="000000" w:themeColor="text1"/>
          <w:lang w:val="ru-RU"/>
        </w:rPr>
        <w:softHyphen/>
        <w:t>ные бензобаки емкостью 900 л. Пред</w:t>
      </w:r>
      <w:r w:rsidRPr="007122AB">
        <w:rPr>
          <w:color w:val="000000" w:themeColor="text1"/>
          <w:lang w:val="ru-RU"/>
        </w:rPr>
        <w:softHyphen/>
        <w:t>усмотрели до момента отцепки питание моторов истребителей из топливной си</w:t>
      </w:r>
      <w:r w:rsidRPr="007122AB">
        <w:rPr>
          <w:color w:val="000000" w:themeColor="text1"/>
          <w:lang w:val="ru-RU"/>
        </w:rPr>
        <w:softHyphen/>
        <w:t xml:space="preserve">стемы бомбардировщика, бензин к ним подавали ручным насосом - </w:t>
      </w:r>
      <w:proofErr w:type="spellStart"/>
      <w:r w:rsidRPr="007122AB">
        <w:rPr>
          <w:color w:val="000000" w:themeColor="text1"/>
          <w:lang w:val="ru-RU"/>
        </w:rPr>
        <w:t>альвейером</w:t>
      </w:r>
      <w:proofErr w:type="spellEnd"/>
      <w:r w:rsidRPr="007122AB">
        <w:rPr>
          <w:color w:val="000000" w:themeColor="text1"/>
          <w:lang w:val="ru-RU"/>
        </w:rPr>
        <w:t>. На И-4 смонтировали новые маслобаки (17741).</w:t>
      </w:r>
    </w:p>
    <w:p w14:paraId="0CCD3FDE" w14:textId="77777777" w:rsidR="00550218" w:rsidRPr="007122AB" w:rsidRDefault="00550218" w:rsidP="007122AB">
      <w:pPr>
        <w:spacing w:after="0" w:line="240" w:lineRule="auto"/>
        <w:jc w:val="both"/>
        <w:rPr>
          <w:rFonts w:ascii="Times New Roman" w:eastAsia="Times New Roman" w:hAnsi="Times New Roman"/>
          <w:color w:val="000000" w:themeColor="text1"/>
          <w:sz w:val="16"/>
          <w:szCs w:val="16"/>
          <w:lang w:eastAsia="ru-RU"/>
        </w:rPr>
      </w:pPr>
    </w:p>
    <w:p w14:paraId="3917D4C2" w14:textId="77777777" w:rsidR="00492496" w:rsidRPr="007122AB" w:rsidRDefault="00492496"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19 декабря 1931 М.Н. Тухачевский написал по поводу Звена: «Это крупнейшее изобретение» (19100).</w:t>
      </w:r>
    </w:p>
    <w:p w14:paraId="6249D74A" w14:textId="77777777" w:rsidR="00492496" w:rsidRPr="007122AB" w:rsidRDefault="00492496" w:rsidP="007122AB">
      <w:pPr>
        <w:pStyle w:val="a8"/>
        <w:jc w:val="both"/>
        <w:rPr>
          <w:rFonts w:ascii="Times New Roman" w:hAnsi="Times New Roman" w:cs="Times New Roman"/>
          <w:color w:val="000000" w:themeColor="text1"/>
        </w:rPr>
      </w:pPr>
    </w:p>
    <w:p w14:paraId="45D510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декабря 1931 лётчик </w:t>
      </w:r>
      <w:proofErr w:type="spellStart"/>
      <w:r w:rsidRPr="007122AB">
        <w:rPr>
          <w:rFonts w:ascii="Times New Roman" w:hAnsi="Times New Roman"/>
          <w:color w:val="000000" w:themeColor="text1"/>
          <w:sz w:val="16"/>
          <w:szCs w:val="16"/>
        </w:rPr>
        <w:t>Калиншин</w:t>
      </w:r>
      <w:proofErr w:type="spellEnd"/>
      <w:r w:rsidRPr="007122AB">
        <w:rPr>
          <w:rFonts w:ascii="Times New Roman" w:hAnsi="Times New Roman"/>
          <w:color w:val="000000" w:themeColor="text1"/>
          <w:sz w:val="16"/>
          <w:szCs w:val="16"/>
        </w:rPr>
        <w:t xml:space="preserve"> выполнил первый полет на истребителе И-5 М-15 № 4372 постройки завода № 1, который прибыл в НИИ ВВС 25 ноября.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Первый длился всего 18 минут. При наборе высоты началась сильная тряска, вдобавок пилот обнаружил, что альтиметр не работает. На посадке он с трудом справился с тягой машины влево. Поскольку на аэродроме лежал снег, то полёт проходил на лыжном шасси. После посадки обнаружили, что неудачно ориентированные патрубки привели к тому, что горячая струя выхлопа била прямо на тросы-оттяжки лыж.</w:t>
      </w:r>
    </w:p>
    <w:p w14:paraId="19DEE1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устранения ряда выявленных дефектов 23 декабря </w:t>
      </w:r>
      <w:proofErr w:type="spellStart"/>
      <w:r w:rsidRPr="007122AB">
        <w:rPr>
          <w:rFonts w:ascii="Times New Roman" w:hAnsi="Times New Roman"/>
          <w:color w:val="000000" w:themeColor="text1"/>
          <w:sz w:val="16"/>
          <w:szCs w:val="16"/>
        </w:rPr>
        <w:t>Калиншин</w:t>
      </w:r>
      <w:proofErr w:type="spellEnd"/>
      <w:r w:rsidRPr="007122AB">
        <w:rPr>
          <w:rFonts w:ascii="Times New Roman" w:hAnsi="Times New Roman"/>
          <w:color w:val="000000" w:themeColor="text1"/>
          <w:sz w:val="16"/>
          <w:szCs w:val="16"/>
        </w:rPr>
        <w:t xml:space="preserve"> совершил второй полёт. Видимо, он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16909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43291A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EDA1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декабря 1931 был датирован чертеж самолета СК-8 С.П.К. на 6000 км (105,101).</w:t>
      </w:r>
    </w:p>
    <w:p w14:paraId="294F9C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3646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декабря 1931 С.П.К. завершил проработку самолета СК-8 (гражданский вариант -перелетный) и определил его характеристики (см. Приложение 1). О летных характеристиках СК-8 упоминал И.С. </w:t>
      </w:r>
      <w:proofErr w:type="spellStart"/>
      <w:r w:rsidRPr="007122AB">
        <w:rPr>
          <w:rFonts w:ascii="Times New Roman" w:hAnsi="Times New Roman"/>
          <w:color w:val="000000" w:themeColor="text1"/>
          <w:sz w:val="16"/>
          <w:szCs w:val="16"/>
        </w:rPr>
        <w:t>Уншлихт</w:t>
      </w:r>
      <w:proofErr w:type="spellEnd"/>
      <w:r w:rsidRPr="007122AB">
        <w:rPr>
          <w:rFonts w:ascii="Times New Roman" w:hAnsi="Times New Roman"/>
          <w:color w:val="000000" w:themeColor="text1"/>
          <w:sz w:val="16"/>
          <w:szCs w:val="16"/>
        </w:rPr>
        <w:t xml:space="preserve"> в отчетном докладе на пленуме ЦС ОХА 12 июля 1931 г. как об одном из основных достижений Общества (АМЖ, ф. 5300, № 9).</w:t>
      </w:r>
    </w:p>
    <w:p w14:paraId="33446E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5EF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декабря 1931 г. С.П. Королев закончил </w:t>
      </w:r>
      <w:proofErr w:type="spellStart"/>
      <w:r w:rsidRPr="007122AB">
        <w:rPr>
          <w:rFonts w:ascii="Times New Roman" w:hAnsi="Times New Roman"/>
          <w:color w:val="000000" w:themeColor="text1"/>
          <w:sz w:val="16"/>
          <w:szCs w:val="16"/>
        </w:rPr>
        <w:t>предэскизную</w:t>
      </w:r>
      <w:proofErr w:type="spellEnd"/>
      <w:r w:rsidRPr="007122AB">
        <w:rPr>
          <w:rFonts w:ascii="Times New Roman" w:hAnsi="Times New Roman"/>
          <w:color w:val="000000" w:themeColor="text1"/>
          <w:sz w:val="16"/>
          <w:szCs w:val="16"/>
        </w:rPr>
        <w:t xml:space="preserve"> проработку самолета, на общем виде которого значилось: "Самолет СК-8, гражданский вариант, перелетный". Новый проект развивал идею, положенную в основу конструкции самолета дальнего действия СК-4. Актуальность таких конструкций была в то время очень велика и продолжала возрастать. В 1931 г. рекорд дальности беспосадочного перелета уже составлял 9000 км. Он был установлен французскими летчиками. В ЦАГИ А.Н. Туполев работал над проектом рекордного самолета АНТ-25, рассчитанного на беспосадочный полет дальностью 13000 км.</w:t>
      </w:r>
    </w:p>
    <w:p w14:paraId="4E307E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СК-8 проектировался как двухместный с двигателем мощностью 300 л.с., был рассчитан на дальность беспосадочного полета 6000 км (у СК-4 она была 2000 км), время полета 30 ч (у СК-4 20 ч). Размах 13,4 м, площадь крыла 25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вес в полете 3015 кг, максимальная скорость 260 км/ч.</w:t>
      </w:r>
    </w:p>
    <w:p w14:paraId="358053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самолета такого назначения необходимо было предусмотреть возможность посадки на плохо оборудованные аэродромы, т. е. добиться минимальной скорости посадки при достаточно большой для того времени крейсерской скорости. По данным авторитетных источников, можно было, не прибегая к специальным мерам, добиться скорости посадки не меньше 40% максимальной. Меньшую посадочную скорость могло обеспечить только разрезное крыло (или механическое крыло). Посадочная скорость самолета составляла примерно 30% максимальной. На этом основании можно считать, что самолет проектировался с разрезным крылом. Именно эта особенность конструкции С.П. Королева отмечалась как особое достижение в отчетном докладе на пленуме ЦС Осоавиахима в июле 1931 г.</w:t>
      </w:r>
    </w:p>
    <w:p w14:paraId="1722A0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 самолета СК-8 дальнейшего развития не получил.</w:t>
      </w:r>
    </w:p>
    <w:p w14:paraId="2679B9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Конструктивные данные самолета СК-8: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10"/>
        <w:gridCol w:w="810"/>
        <w:gridCol w:w="3600"/>
        <w:gridCol w:w="810"/>
      </w:tblGrid>
      <w:tr w:rsidR="001002C3" w:rsidRPr="007122AB" w14:paraId="1A1BC189" w14:textId="77777777">
        <w:tc>
          <w:tcPr>
            <w:tcW w:w="2610" w:type="dxa"/>
            <w:tcBorders>
              <w:top w:val="single" w:sz="12" w:space="0" w:color="auto"/>
              <w:bottom w:val="single" w:sz="12" w:space="0" w:color="auto"/>
            </w:tcBorders>
          </w:tcPr>
          <w:p w14:paraId="26C787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м</w:t>
            </w:r>
          </w:p>
          <w:p w14:paraId="4FAFF8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Площадь крыла, м</w:t>
            </w:r>
            <w:r w:rsidRPr="007122AB">
              <w:rPr>
                <w:rFonts w:ascii="Times New Roman" w:hAnsi="Times New Roman"/>
                <w:color w:val="000000" w:themeColor="text1"/>
                <w:sz w:val="16"/>
                <w:szCs w:val="16"/>
                <w:vertAlign w:val="superscript"/>
              </w:rPr>
              <w:t>2</w:t>
            </w:r>
          </w:p>
          <w:p w14:paraId="2CE92D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Удлинение</w:t>
            </w:r>
          </w:p>
          <w:p w14:paraId="0883CE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Хорда, м </w:t>
            </w:r>
          </w:p>
          <w:p w14:paraId="438D9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 корня </w:t>
            </w:r>
          </w:p>
          <w:p w14:paraId="2AAFA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конце</w:t>
            </w:r>
          </w:p>
          <w:p w14:paraId="2EEEA1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Раствор шасси, м </w:t>
            </w:r>
          </w:p>
          <w:p w14:paraId="13A802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фюзеляжа, м</w:t>
            </w:r>
          </w:p>
          <w:p w14:paraId="2F6AF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Колеса (2 шт.), мм</w:t>
            </w:r>
          </w:p>
          <w:p w14:paraId="35CC9A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винта, м</w:t>
            </w:r>
          </w:p>
          <w:p w14:paraId="05492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Объем дополнительных баков, м</w:t>
            </w:r>
            <w:r w:rsidRPr="007122AB">
              <w:rPr>
                <w:rFonts w:ascii="Times New Roman" w:hAnsi="Times New Roman"/>
                <w:color w:val="000000" w:themeColor="text1"/>
                <w:sz w:val="16"/>
                <w:szCs w:val="16"/>
                <w:vertAlign w:val="superscript"/>
              </w:rPr>
              <w:t>3</w:t>
            </w:r>
          </w:p>
          <w:p w14:paraId="62AC92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Вес, кг </w:t>
            </w:r>
          </w:p>
          <w:p w14:paraId="1170DF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конструкции </w:t>
            </w:r>
          </w:p>
          <w:p w14:paraId="323753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мотоустановки</w:t>
            </w:r>
            <w:proofErr w:type="spellEnd"/>
            <w:r w:rsidRPr="007122AB">
              <w:rPr>
                <w:rFonts w:ascii="Times New Roman" w:hAnsi="Times New Roman"/>
                <w:color w:val="000000" w:themeColor="text1"/>
                <w:sz w:val="16"/>
                <w:szCs w:val="16"/>
              </w:rPr>
              <w:t xml:space="preserve"> </w:t>
            </w:r>
          </w:p>
          <w:p w14:paraId="0F894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незаправленного</w:t>
            </w:r>
            <w:proofErr w:type="spellEnd"/>
            <w:r w:rsidRPr="007122AB">
              <w:rPr>
                <w:rFonts w:ascii="Times New Roman" w:hAnsi="Times New Roman"/>
                <w:color w:val="000000" w:themeColor="text1"/>
                <w:sz w:val="16"/>
                <w:szCs w:val="16"/>
              </w:rPr>
              <w:t xml:space="preserve"> </w:t>
            </w:r>
          </w:p>
          <w:p w14:paraId="2031DC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оборудования </w:t>
            </w:r>
          </w:p>
          <w:p w14:paraId="33D95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экипажа </w:t>
            </w:r>
          </w:p>
          <w:p w14:paraId="34B8E2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горючего и масла </w:t>
            </w:r>
          </w:p>
          <w:p w14:paraId="33C31D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полете</w:t>
            </w:r>
          </w:p>
        </w:tc>
        <w:tc>
          <w:tcPr>
            <w:tcW w:w="810" w:type="dxa"/>
            <w:tcBorders>
              <w:top w:val="single" w:sz="12" w:space="0" w:color="auto"/>
              <w:bottom w:val="single" w:sz="12" w:space="0" w:color="auto"/>
            </w:tcBorders>
          </w:tcPr>
          <w:p w14:paraId="5F4129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13,4 </w:t>
            </w:r>
          </w:p>
          <w:p w14:paraId="61E2A5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w:t>
            </w:r>
          </w:p>
          <w:p w14:paraId="4EF196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7,2</w:t>
            </w:r>
          </w:p>
          <w:p w14:paraId="25286E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2598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w:t>
            </w:r>
          </w:p>
          <w:p w14:paraId="0C581D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1,63 </w:t>
            </w:r>
          </w:p>
          <w:p w14:paraId="2B6AB7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p w14:paraId="381521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1,36 </w:t>
            </w:r>
          </w:p>
          <w:p w14:paraId="1DA926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800x150</w:t>
            </w:r>
          </w:p>
          <w:p w14:paraId="7D3AF5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w:t>
            </w:r>
          </w:p>
          <w:p w14:paraId="59E55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2</w:t>
            </w:r>
          </w:p>
          <w:p w14:paraId="4F107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F2BA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420 </w:t>
            </w:r>
          </w:p>
          <w:p w14:paraId="0BE2D9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380 </w:t>
            </w:r>
          </w:p>
          <w:p w14:paraId="18BCB5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1055 </w:t>
            </w:r>
          </w:p>
          <w:p w14:paraId="1A85BD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55 </w:t>
            </w:r>
          </w:p>
          <w:p w14:paraId="17B150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160 </w:t>
            </w:r>
          </w:p>
          <w:p w14:paraId="08708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1800 </w:t>
            </w:r>
          </w:p>
          <w:p w14:paraId="5EFF44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3015</w:t>
            </w:r>
          </w:p>
        </w:tc>
        <w:tc>
          <w:tcPr>
            <w:tcW w:w="3600" w:type="dxa"/>
            <w:tcBorders>
              <w:top w:val="single" w:sz="12" w:space="0" w:color="auto"/>
              <w:bottom w:val="single" w:sz="12" w:space="0" w:color="auto"/>
            </w:tcBorders>
          </w:tcPr>
          <w:p w14:paraId="01ED5E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Нагрузка </w:t>
            </w:r>
          </w:p>
          <w:p w14:paraId="0A5AA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мотор, кг/л.с.</w:t>
            </w:r>
          </w:p>
          <w:p w14:paraId="524CEA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t>на крыло, кг/м</w:t>
            </w:r>
            <w:r w:rsidRPr="007122AB">
              <w:rPr>
                <w:rFonts w:ascii="Times New Roman" w:hAnsi="Times New Roman"/>
                <w:color w:val="000000" w:themeColor="text1"/>
                <w:sz w:val="16"/>
                <w:szCs w:val="16"/>
                <w:vertAlign w:val="superscript"/>
              </w:rPr>
              <w:t>2</w:t>
            </w:r>
          </w:p>
          <w:p w14:paraId="6BBB7E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на 1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л.с.</w:t>
            </w:r>
          </w:p>
          <w:p w14:paraId="12F1EA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Продолжительность полета на 80% мощности, ч</w:t>
            </w:r>
          </w:p>
          <w:p w14:paraId="65AE67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Средняя путевая скорость, км/ч</w:t>
            </w:r>
          </w:p>
          <w:p w14:paraId="6ECBF9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беспосадочного полета, км</w:t>
            </w:r>
          </w:p>
          <w:p w14:paraId="223D7E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Скорость, км/ч </w:t>
            </w:r>
          </w:p>
          <w:p w14:paraId="2C3C57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максимальная (облегченного) </w:t>
            </w:r>
          </w:p>
          <w:p w14:paraId="21F92C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посадочная (облегченного)</w:t>
            </w:r>
          </w:p>
          <w:p w14:paraId="6F3A57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Потолок (облегченного), м </w:t>
            </w:r>
          </w:p>
          <w:p w14:paraId="2C36CF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122AB">
              <w:rPr>
                <w:rFonts w:ascii="Times New Roman" w:hAnsi="Times New Roman"/>
                <w:color w:val="000000" w:themeColor="text1"/>
                <w:sz w:val="16"/>
                <w:szCs w:val="16"/>
              </w:rPr>
              <w:lastRenderedPageBreak/>
              <w:t>Нагрузка на крыло (облегченного), кг/м</w:t>
            </w:r>
            <w:r w:rsidRPr="007122AB">
              <w:rPr>
                <w:rFonts w:ascii="Times New Roman" w:hAnsi="Times New Roman"/>
                <w:color w:val="000000" w:themeColor="text1"/>
                <w:sz w:val="16"/>
                <w:szCs w:val="16"/>
                <w:vertAlign w:val="superscript"/>
              </w:rPr>
              <w:t>2</w:t>
            </w:r>
          </w:p>
          <w:p w14:paraId="4DD086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Полная длина, м </w:t>
            </w:r>
          </w:p>
        </w:tc>
        <w:tc>
          <w:tcPr>
            <w:tcW w:w="810" w:type="dxa"/>
            <w:tcBorders>
              <w:top w:val="single" w:sz="12" w:space="0" w:color="auto"/>
              <w:bottom w:val="single" w:sz="12" w:space="0" w:color="auto"/>
            </w:tcBorders>
          </w:tcPr>
          <w:p w14:paraId="53D357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DB5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8,6 </w:t>
            </w:r>
          </w:p>
          <w:p w14:paraId="12E556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p w14:paraId="033E4A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w:t>
            </w:r>
          </w:p>
          <w:p w14:paraId="07CF7E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p w14:paraId="3E3CE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200 </w:t>
            </w:r>
          </w:p>
          <w:p w14:paraId="422F0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6000</w:t>
            </w:r>
          </w:p>
          <w:p w14:paraId="211C5A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DBAC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260 </w:t>
            </w:r>
          </w:p>
          <w:p w14:paraId="21737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90 </w:t>
            </w:r>
          </w:p>
          <w:p w14:paraId="661CB4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5000 </w:t>
            </w:r>
          </w:p>
          <w:p w14:paraId="76513C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52,5</w:t>
            </w:r>
          </w:p>
          <w:p w14:paraId="2585D3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bl>
    <w:p w14:paraId="35DC58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(10676).</w:t>
      </w:r>
    </w:p>
    <w:p w14:paraId="614099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5D6ACC" w14:textId="77777777" w:rsidR="00600EDB" w:rsidRPr="007122AB" w:rsidRDefault="00600EDB"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bCs/>
          <w:iCs/>
          <w:color w:val="000000" w:themeColor="text1"/>
          <w:sz w:val="16"/>
          <w:szCs w:val="16"/>
        </w:rPr>
        <w:t>19 декабря 1931 г.</w:t>
      </w:r>
      <w:r w:rsidRPr="007122AB">
        <w:rPr>
          <w:rFonts w:ascii="Times New Roman" w:hAnsi="Times New Roman"/>
          <w:color w:val="000000" w:themeColor="text1"/>
          <w:sz w:val="16"/>
          <w:szCs w:val="16"/>
        </w:rPr>
        <w:t xml:space="preserve"> В постановлении РВС СССР «О состоянии изобретательства» было решено «</w:t>
      </w:r>
      <w:r w:rsidRPr="007122AB">
        <w:rPr>
          <w:rFonts w:ascii="Times New Roman" w:hAnsi="Times New Roman"/>
          <w:iCs/>
          <w:color w:val="000000" w:themeColor="text1"/>
          <w:sz w:val="16"/>
          <w:szCs w:val="16"/>
        </w:rPr>
        <w:t>достигнуть в 1932 году распыления жидких ОВ с высоты 5000 метров</w:t>
      </w:r>
      <w:r w:rsidRPr="007122AB">
        <w:rPr>
          <w:rFonts w:ascii="Times New Roman" w:hAnsi="Times New Roman"/>
          <w:color w:val="000000" w:themeColor="text1"/>
          <w:sz w:val="16"/>
          <w:szCs w:val="16"/>
        </w:rPr>
        <w:t>» (17133).</w:t>
      </w:r>
    </w:p>
    <w:p w14:paraId="48D6BDD8" w14:textId="77777777" w:rsidR="00600EDB" w:rsidRPr="007122AB" w:rsidRDefault="00600EDB" w:rsidP="007122AB">
      <w:pPr>
        <w:shd w:val="clear" w:color="auto" w:fill="FFFFFF"/>
        <w:spacing w:after="0" w:line="240" w:lineRule="auto"/>
        <w:jc w:val="both"/>
        <w:rPr>
          <w:rFonts w:ascii="Times New Roman" w:hAnsi="Times New Roman"/>
          <w:color w:val="000000" w:themeColor="text1"/>
          <w:sz w:val="16"/>
          <w:szCs w:val="16"/>
        </w:rPr>
      </w:pPr>
    </w:p>
    <w:p w14:paraId="1D0FEFAC"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 декабря 1931 г. в письме начальнику Иностранного Отдела УВВС Федорову советский атташе в Италии В.С. Трудолюбов говорит о том, что «полет предполагается организовать в апреле-мае 1932 года. Со своей стороны считаю, организацию такого полета к нам интересным. 4.000 рублей уплатить за этот эксперимент – небольшая сумма». Однако в Иностранном Отделе эту инициативу посчитали слишком дорогостоящей (21410).</w:t>
      </w:r>
    </w:p>
    <w:p w14:paraId="076A50EF" w14:textId="77777777" w:rsidR="000E52C6" w:rsidRPr="007122AB" w:rsidRDefault="000E52C6" w:rsidP="007122AB">
      <w:pPr>
        <w:spacing w:after="0" w:line="240" w:lineRule="auto"/>
        <w:jc w:val="both"/>
        <w:rPr>
          <w:rFonts w:ascii="Times New Roman" w:hAnsi="Times New Roman"/>
          <w:color w:val="000000" w:themeColor="text1"/>
          <w:sz w:val="16"/>
          <w:szCs w:val="16"/>
        </w:rPr>
      </w:pPr>
    </w:p>
    <w:p w14:paraId="713DE7F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EF939D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2D973E" w14:textId="77777777" w:rsidR="00600EDB" w:rsidRPr="007122AB" w:rsidRDefault="00600EDB" w:rsidP="007122AB">
      <w:pPr>
        <w:spacing w:after="0" w:line="240" w:lineRule="auto"/>
        <w:jc w:val="both"/>
        <w:rPr>
          <w:rStyle w:val="af0"/>
          <w:rFonts w:ascii="Times New Roman" w:hAnsi="Times New Roman"/>
          <w:i w:val="0"/>
          <w:color w:val="000000" w:themeColor="text1"/>
          <w:sz w:val="16"/>
          <w:szCs w:val="16"/>
        </w:rPr>
      </w:pPr>
      <w:r w:rsidRPr="007122AB">
        <w:rPr>
          <w:rFonts w:ascii="Times New Roman" w:hAnsi="Times New Roman"/>
          <w:bCs/>
          <w:color w:val="000000" w:themeColor="text1"/>
          <w:sz w:val="16"/>
          <w:szCs w:val="16"/>
        </w:rPr>
        <w:t>19 декабря 1931 г. — Доклад заместителя наркома по военным и морским делам СССР и председателя Реввоенсовета СССР М. Н. Тухачевского председателю Комиссии обороны В. М. Молотову об инженерном вооружении РККА</w:t>
      </w:r>
    </w:p>
    <w:p w14:paraId="72101C2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Style w:val="af0"/>
          <w:rFonts w:ascii="Times New Roman" w:hAnsi="Times New Roman"/>
          <w:i w:val="0"/>
          <w:color w:val="000000" w:themeColor="text1"/>
          <w:sz w:val="16"/>
          <w:szCs w:val="16"/>
        </w:rPr>
        <w:t>Совершенно секретно.</w:t>
      </w:r>
    </w:p>
    <w:p w14:paraId="6F1432CB"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Требования, предъявляемые к инженерному вооружению.</w:t>
      </w:r>
      <w:r w:rsidRPr="007122AB">
        <w:rPr>
          <w:color w:val="000000" w:themeColor="text1"/>
          <w:sz w:val="16"/>
          <w:szCs w:val="16"/>
        </w:rPr>
        <w:t xml:space="preserve"> Моторизация и механизация РККА, повышающие боевую мощь и подвижность основных родов войск, требуют усиления инженерных средств армии по линии механизации полевых инженерных работ. Автотранспорт и тяжелые боевые средства требуют хороших дорог и мостов, рассчитанных под тяжелые грузы, что при намечающемся широком применении в боевых действиях разрушений путей сообщений и заграждения на них потребует от инженерных войск РККА быстроты работ по восстановлению разрушенных дорог или возведению новых. Темпы современного боя, быстрота движения моторизованных частей требуют максимального сокращения срока восстановления боевых путей сообщения, что можно достичь только при широкой механизации и электрификации дорожных и мостовых работ саперов.</w:t>
      </w:r>
    </w:p>
    <w:p w14:paraId="74ED8C0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иностранных армиях саперные части вооружены пневматическим инструментом и электротехникой, образцы этих средств, испытанные на наших новостройках и в опытных саперных частях, показали увеличение скорости работ в несколько раз и одновременно уменьшение необходимых рабочих, в условиях РККА — бойцов. Эти средства, несмотря на явную рентабельность их в нашем развернутом строительстве, в Союзе не производятся благодаря известной консервативности наших строительных организаций, идущих по пути наименьшего сопротивления — вывоза этих средств из-за границы, тратя на это огромные валютные средства.</w:t>
      </w:r>
    </w:p>
    <w:p w14:paraId="5822EE1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Развитие артиллерийских средств борьбы требует значительного усиления оборонительных сооружений на укрепленных полосах и возведения их с максимальной быстротой, что может быть достигнуто при широкой механизации и электрификации земляных и бетонных работ на укрепленных полосах. Применение за границей легких подвижных экскаваторов и приспособлений к тракторам для механизации работ позволяют иностранным армиям строить расчеты по возведению во время войны укрепленных полос с бетонными сооружениями в течение 1</w:t>
      </w:r>
      <w:r w:rsidRPr="007122AB">
        <w:rPr>
          <w:color w:val="000000" w:themeColor="text1"/>
          <w:sz w:val="16"/>
          <w:szCs w:val="16"/>
        </w:rPr>
        <w:noBreakHyphen/>
        <w:t>2 десятков дней.</w:t>
      </w:r>
    </w:p>
    <w:p w14:paraId="4F14F60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Развитие электротехники сильных токов и электрификация транспорта и сельского хозяйства в Союзе позволяет использовать электроэнергию не только для электрификации всех видов работ, но и как боевые поражающие средства в виде электризованных препятствий, смертельных для человека при его преодолении. Такие средства разработаны в РККА, но освоение их промышленностью идет чрезвычайно туго.</w:t>
      </w:r>
    </w:p>
    <w:p w14:paraId="722FF05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Моторизация армии и утяжеление ее боевых средств требуют коренного пересмотра вопроса обеспечения РККА переправочными средствами. В РККА выработаны новые понтонные парки, позволяющие организовать переправу по мостам грузов в 20 т и на паромах грузов до 40</w:t>
      </w:r>
      <w:r w:rsidRPr="007122AB">
        <w:rPr>
          <w:color w:val="000000" w:themeColor="text1"/>
          <w:sz w:val="16"/>
          <w:szCs w:val="16"/>
        </w:rPr>
        <w:noBreakHyphen/>
        <w:t>50 т, но быстрое вооружение РККА этими парками встречает затруднения в промышленности. Разрушения и применения ОВ противником ставят остро вопрос о полевом водоснабжении армии. Это требует широкого снабжения армии во время войны средствами полевой гидротехники (добыча и очистка воды), остро необходимых в мирное время совхозам и колхозам. Развитие авиации вызвало ответное развитие зенитных средств борьбы, где прожектор и звукоулавливатель должны получить широкое применение для противовоздушной обороны ночью.</w:t>
      </w:r>
    </w:p>
    <w:p w14:paraId="34242C79"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Механизация и электрификация инженерных работ РККА во время войны возможны только на базисе советской промышленности при условии внедрения всех нужных армии средств в мирное строительство страны. Только в этих условиях РККА во время войны может получить в свои ряды подготовленные кадры и для своего вооружения достаточное количество необходимых средств путем «технической повинности» гражданских организаций.</w:t>
      </w:r>
    </w:p>
    <w:p w14:paraId="6ACAE2F7"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Состояние инженерного вооружения и обеспеченность им РККА.</w:t>
      </w:r>
      <w:r w:rsidRPr="007122AB">
        <w:rPr>
          <w:color w:val="000000" w:themeColor="text1"/>
          <w:sz w:val="16"/>
          <w:szCs w:val="16"/>
        </w:rPr>
        <w:t xml:space="preserve"> 1. Обеспеченность РККА даже старыми средствами к настоящему времени явно недостаточна. При совершенном отсутствии в армии средств механизации, гидротехники и электрификации, положение с инженерным вооружением надо признать критическим и требующим скорейших и решительных мер по организации в СССР производства нужных армии инженерных средств и не менее нужных стране в ее мирном строительстве.</w:t>
      </w:r>
    </w:p>
    <w:p w14:paraId="047202B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2. В случае военных действий весной 1932 г. РККА выходит на фронт, совершенно не имея новых необходимых средств: электрификации и механизации инженерных работ и гидротехники. Для оборонительных работ армия, кроме шанцевого инструмента, ничего иметь не будет. Отсутствуют экскаваторы и </w:t>
      </w:r>
      <w:proofErr w:type="spellStart"/>
      <w:r w:rsidRPr="007122AB">
        <w:rPr>
          <w:color w:val="000000" w:themeColor="text1"/>
          <w:sz w:val="16"/>
          <w:szCs w:val="16"/>
        </w:rPr>
        <w:t>окопокопатели</w:t>
      </w:r>
      <w:proofErr w:type="spellEnd"/>
      <w:r w:rsidRPr="007122AB">
        <w:rPr>
          <w:color w:val="000000" w:themeColor="text1"/>
          <w:sz w:val="16"/>
          <w:szCs w:val="16"/>
        </w:rPr>
        <w:t xml:space="preserve">. Противохимических вентиляторов на 20% потребности. Из электротехнических средств армия будет иметь небольшое число маломощных электростанций. Уже разработанной и испытанной электростанции для электризации проволочных заграждений армия иметь не будет. Звукоулавливателями — обеспеченность на 35%; ничтожный процент синхронно связанных прожекторов с звукоулавливателями и совсем не связанных </w:t>
      </w:r>
      <w:r w:rsidRPr="007122AB">
        <w:rPr>
          <w:rStyle w:val="af0"/>
          <w:i w:val="0"/>
          <w:color w:val="000000" w:themeColor="text1"/>
          <w:sz w:val="16"/>
          <w:szCs w:val="16"/>
        </w:rPr>
        <w:t>с</w:t>
      </w:r>
      <w:r w:rsidRPr="007122AB">
        <w:rPr>
          <w:color w:val="000000" w:themeColor="text1"/>
          <w:sz w:val="16"/>
          <w:szCs w:val="16"/>
        </w:rPr>
        <w:t xml:space="preserve"> зенитными батареями. В 1932 г. армия будет иметь 20 советских прожекторных отражателей при наличии на сегодня 194 прожекторов. Отсутствуют дорожные машины и двигатели для моторизации передвижения по воде.</w:t>
      </w:r>
    </w:p>
    <w:p w14:paraId="24DFBA7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3. Стрелковые полки будут иметь полностью шанцевый инструмент, 50 шт. отживших и выслуживших все сроки службы поплавков Полянского и набор плотничного инструмента. Саперные роты дивизий: шанцевый инструмент — 100%, 2</w:t>
      </w:r>
      <w:r w:rsidRPr="007122AB">
        <w:rPr>
          <w:color w:val="000000" w:themeColor="text1"/>
          <w:sz w:val="16"/>
          <w:szCs w:val="16"/>
        </w:rPr>
        <w:noBreakHyphen/>
        <w:t>3 подрывных машинки (50%), 200 старых отживших поплавков Полянского без настила, 50</w:t>
      </w:r>
      <w:r w:rsidRPr="007122AB">
        <w:rPr>
          <w:color w:val="000000" w:themeColor="text1"/>
          <w:sz w:val="16"/>
          <w:szCs w:val="16"/>
        </w:rPr>
        <w:noBreakHyphen/>
        <w:t>60% обеспеченности мастерским инструментом и не имея никаких новых средств механизации инженерных работ и гидротехники.</w:t>
      </w:r>
    </w:p>
    <w:p w14:paraId="36005A3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Средняя обеспеченность главнейшими предметами инженерного вооружения и армии на 1 января 1932 г. в целом видна из прилагаемых диаграмм¹*.</w:t>
      </w:r>
    </w:p>
    <w:p w14:paraId="4691CFAA"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Главнейшие средства механизации и электрификации, предусмотренные) системой инженерного вооружения РККА и положение с производством их в СССР.</w:t>
      </w:r>
      <w:r w:rsidRPr="007122AB">
        <w:rPr>
          <w:color w:val="000000" w:themeColor="text1"/>
          <w:sz w:val="16"/>
          <w:szCs w:val="16"/>
        </w:rPr>
        <w:t xml:space="preserve"> Системой инженерного вооружения, утвержденной РВС СССР, предусмотрена широкая механизация и электрификация инженерных работ.</w:t>
      </w:r>
    </w:p>
    <w:p w14:paraId="62D884D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1. Для работ по возведению мостов саперы должны будут иметь следующие основные средства: а) подвижные компрессоры производительностью в 3 и 6 м³/с </w:t>
      </w:r>
      <w:proofErr w:type="spellStart"/>
      <w:r w:rsidRPr="007122AB">
        <w:rPr>
          <w:color w:val="000000" w:themeColor="text1"/>
          <w:sz w:val="16"/>
          <w:szCs w:val="16"/>
        </w:rPr>
        <w:t>с</w:t>
      </w:r>
      <w:proofErr w:type="spellEnd"/>
      <w:r w:rsidRPr="007122AB">
        <w:rPr>
          <w:color w:val="000000" w:themeColor="text1"/>
          <w:sz w:val="16"/>
          <w:szCs w:val="16"/>
        </w:rPr>
        <w:t xml:space="preserve"> набором пневматического инструмента для работ по дереву, металлу и грунтам и </w:t>
      </w:r>
      <w:proofErr w:type="spellStart"/>
      <w:r w:rsidRPr="007122AB">
        <w:rPr>
          <w:color w:val="000000" w:themeColor="text1"/>
          <w:sz w:val="16"/>
          <w:szCs w:val="16"/>
        </w:rPr>
        <w:t>пневма</w:t>
      </w:r>
      <w:proofErr w:type="spellEnd"/>
      <w:r w:rsidRPr="007122AB">
        <w:rPr>
          <w:color w:val="000000" w:themeColor="text1"/>
          <w:sz w:val="16"/>
          <w:szCs w:val="16"/>
        </w:rPr>
        <w:t>[</w:t>
      </w:r>
      <w:proofErr w:type="spellStart"/>
      <w:r w:rsidRPr="007122AB">
        <w:rPr>
          <w:color w:val="000000" w:themeColor="text1"/>
          <w:sz w:val="16"/>
          <w:szCs w:val="16"/>
        </w:rPr>
        <w:t>тических</w:t>
      </w:r>
      <w:proofErr w:type="spellEnd"/>
      <w:r w:rsidRPr="007122AB">
        <w:rPr>
          <w:color w:val="000000" w:themeColor="text1"/>
          <w:sz w:val="16"/>
          <w:szCs w:val="16"/>
        </w:rPr>
        <w:t>] бомб для забивки свай; б) оборудование тракторов в виде кранов, лебедок, ковшей и ножей-грейдеров для механизации работ по подъему и перемещению грузов и работ на мостах; в) моторные пилы и разборные лесопилки для заготовки леса; г) подвижные электростанции и агрегаты с электрифицированным инструментом, электромоторами и арматурой для освещения работ.</w:t>
      </w:r>
    </w:p>
    <w:p w14:paraId="276E503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Из перечисленных средств в Союзе налажено в недостаточном количестве и плохого качества производство пневматического инструмента по металлу и разборных лесопилок малой производительности. Компрессоры намечено поставить на производство в 1932 г., но тяжелых образцов и в размерах, не удовлетворяющих потребности армии для учебы, не говоря о потребностях гражданских строительств.</w:t>
      </w:r>
    </w:p>
    <w:p w14:paraId="4E08AC8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Производство легких компрессоров, особенно нужных армии, нигде еще не намечено. От производства </w:t>
      </w:r>
      <w:proofErr w:type="spellStart"/>
      <w:r w:rsidRPr="007122AB">
        <w:rPr>
          <w:color w:val="000000" w:themeColor="text1"/>
          <w:sz w:val="16"/>
          <w:szCs w:val="16"/>
        </w:rPr>
        <w:t>пневма</w:t>
      </w:r>
      <w:proofErr w:type="spellEnd"/>
      <w:r w:rsidRPr="007122AB">
        <w:rPr>
          <w:color w:val="000000" w:themeColor="text1"/>
          <w:sz w:val="16"/>
          <w:szCs w:val="16"/>
        </w:rPr>
        <w:t>[</w:t>
      </w:r>
      <w:proofErr w:type="spellStart"/>
      <w:r w:rsidRPr="007122AB">
        <w:rPr>
          <w:color w:val="000000" w:themeColor="text1"/>
          <w:sz w:val="16"/>
          <w:szCs w:val="16"/>
        </w:rPr>
        <w:t>тического</w:t>
      </w:r>
      <w:proofErr w:type="spellEnd"/>
      <w:r w:rsidRPr="007122AB">
        <w:rPr>
          <w:color w:val="000000" w:themeColor="text1"/>
          <w:sz w:val="16"/>
          <w:szCs w:val="16"/>
        </w:rPr>
        <w:t xml:space="preserve">] инструмента для работ по дереву и грунтам Станкоинструмент отказывается. </w:t>
      </w:r>
      <w:proofErr w:type="spellStart"/>
      <w:r w:rsidRPr="007122AB">
        <w:rPr>
          <w:color w:val="000000" w:themeColor="text1"/>
          <w:sz w:val="16"/>
          <w:szCs w:val="16"/>
        </w:rPr>
        <w:t>Пневма</w:t>
      </w:r>
      <w:proofErr w:type="spellEnd"/>
      <w:r w:rsidRPr="007122AB">
        <w:rPr>
          <w:color w:val="000000" w:themeColor="text1"/>
          <w:sz w:val="16"/>
          <w:szCs w:val="16"/>
        </w:rPr>
        <w:t>[</w:t>
      </w:r>
      <w:proofErr w:type="spellStart"/>
      <w:r w:rsidRPr="007122AB">
        <w:rPr>
          <w:color w:val="000000" w:themeColor="text1"/>
          <w:sz w:val="16"/>
          <w:szCs w:val="16"/>
        </w:rPr>
        <w:t>тический</w:t>
      </w:r>
      <w:proofErr w:type="spellEnd"/>
      <w:r w:rsidRPr="007122AB">
        <w:rPr>
          <w:color w:val="000000" w:themeColor="text1"/>
          <w:sz w:val="16"/>
          <w:szCs w:val="16"/>
        </w:rPr>
        <w:t xml:space="preserve">| инструмент не обеспечен наконечниками. Производство моторных пил в Союзе до сих пор не налажено и не известно, когда будет поставлено, несмотря на 3 года переговоров с </w:t>
      </w:r>
      <w:proofErr w:type="spellStart"/>
      <w:r w:rsidRPr="007122AB">
        <w:rPr>
          <w:color w:val="000000" w:themeColor="text1"/>
          <w:sz w:val="16"/>
          <w:szCs w:val="16"/>
        </w:rPr>
        <w:t>Главлеспромом</w:t>
      </w:r>
      <w:proofErr w:type="spellEnd"/>
      <w:r w:rsidRPr="007122AB">
        <w:rPr>
          <w:color w:val="000000" w:themeColor="text1"/>
          <w:sz w:val="16"/>
          <w:szCs w:val="16"/>
        </w:rPr>
        <w:t xml:space="preserve">, и ВСНХ, при наличии удовлетворительной в работе опытной советской пилы, разработанной ВИУ, и возможности постановки этого производства на мотоциклетном заводе путем стандартизации мотора мотоциклета и пилы. </w:t>
      </w:r>
      <w:proofErr w:type="spellStart"/>
      <w:r w:rsidRPr="007122AB">
        <w:rPr>
          <w:color w:val="000000" w:themeColor="text1"/>
          <w:sz w:val="16"/>
          <w:szCs w:val="16"/>
        </w:rPr>
        <w:t>Главлеспром</w:t>
      </w:r>
      <w:proofErr w:type="spellEnd"/>
      <w:r w:rsidRPr="007122AB">
        <w:rPr>
          <w:color w:val="000000" w:themeColor="text1"/>
          <w:sz w:val="16"/>
          <w:szCs w:val="16"/>
        </w:rPr>
        <w:t xml:space="preserve"> занят бесконечной перепиской и исканием «наилучших образцов», ВАТО к вопросам о пилах относится небрежно, в результате чрезвычайно нужная для лесной промышленности Союза моторная пила, возможно, и в 1932 г. не будет освоена промышленностью.</w:t>
      </w:r>
    </w:p>
    <w:p w14:paraId="3DCF2FE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Электростанции нужных армии типов освоены на «Электрозаводе» ВЭО, но производственные возможности завода и отношение к ним со стороны ВЭО в 1932 г. не обеспечивают армии минимальной потребности для учебы. При сокращении плана производство «Электрозавода» ВЭО в первую очередь снимает электростанции, разработка образцов станции тянулась годами. От производства электрифицированного инструмента ВЭО категорически отказалось и в 1932 г. приходится ограничиться опытной партией, поставив производство инструмента на маломощном Конотопском заводе «</w:t>
      </w:r>
      <w:proofErr w:type="spellStart"/>
      <w:r w:rsidRPr="007122AB">
        <w:rPr>
          <w:color w:val="000000" w:themeColor="text1"/>
          <w:sz w:val="16"/>
          <w:szCs w:val="16"/>
        </w:rPr>
        <w:t>Укрмето</w:t>
      </w:r>
      <w:proofErr w:type="spellEnd"/>
      <w:r w:rsidRPr="007122AB">
        <w:rPr>
          <w:color w:val="000000" w:themeColor="text1"/>
          <w:sz w:val="16"/>
          <w:szCs w:val="16"/>
        </w:rPr>
        <w:t>». Оборудование тракторов, разработанное ВИУ по новейшим заграничным образцам, промышленностью и строительными организациями, которым оно крайне нужно, осваиваются крайне медленно и непонятно инертно, не решаясь в 1932 г. широко поставить производство сравнительно простых оборудований.</w:t>
      </w:r>
    </w:p>
    <w:p w14:paraId="506E671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lastRenderedPageBreak/>
        <w:t>2. Для дорожных работ РККА нужны простейшие дорожные машины для грунтовых дорог. Производящиеся в Союзе дорожные машины не удовлетворительны ни по своему качеству, ни по возможностям собрать полные комплекты для работ.</w:t>
      </w:r>
    </w:p>
    <w:p w14:paraId="3676E9C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3. Для механизации земляных работ необходимы легкие экскаваторы одноковшовые и многоковшовые, производство которых намечено начать лишь в 1933 г. на новом экскаваторном заводе. В 1932 г. намечено поставить производство тяжелых экскаваторов для НКПС и опытной партии малых экскаваторов для РККА (Наркомзем. Водоканал и другие организации присоединились к типу РККА) на Воткинском заводе, но в течение 4 месяцев заводу не дано никакого распоряжения и имеется угроза перемещения производства на какой-либо другой завод, что только оттягивает разрешение вопроса на неопределенное время.</w:t>
      </w:r>
    </w:p>
    <w:p w14:paraId="0AF439A3"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4. Для подрывных работ нужны мощные подрывные машинки, первая партия которых изготавливается уже в 1931 г., но «Электрозавод» ВЭО, несмотря на годичный срок с начала переговоров по постановке производства машинок, до сих пор не имеет необходимого и незначительного оборудования.</w:t>
      </w:r>
    </w:p>
    <w:p w14:paraId="5653E5B9"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5. Новые тяжелый и легкий понтонные парки. К настоящему моменту закончено испытание разработанного Военно-технической академией РККА и построенного на Коломенском заводе </w:t>
      </w:r>
      <w:proofErr w:type="spellStart"/>
      <w:r w:rsidRPr="007122AB">
        <w:rPr>
          <w:color w:val="000000" w:themeColor="text1"/>
          <w:sz w:val="16"/>
          <w:szCs w:val="16"/>
        </w:rPr>
        <w:t>Парвагдиза</w:t>
      </w:r>
      <w:proofErr w:type="spellEnd"/>
      <w:r w:rsidRPr="007122AB">
        <w:rPr>
          <w:color w:val="000000" w:themeColor="text1"/>
          <w:sz w:val="16"/>
          <w:szCs w:val="16"/>
        </w:rPr>
        <w:t xml:space="preserve"> нового понтонного имущества с грузоподъемностью моста 10 и 20 т и паромов из этого же имущества 20, 30 и 45 т. Мост унифицирован с </w:t>
      </w:r>
      <w:proofErr w:type="spellStart"/>
      <w:r w:rsidRPr="007122AB">
        <w:rPr>
          <w:color w:val="000000" w:themeColor="text1"/>
          <w:sz w:val="16"/>
          <w:szCs w:val="16"/>
        </w:rPr>
        <w:t>Цудортрансом</w:t>
      </w:r>
      <w:proofErr w:type="spellEnd"/>
      <w:r w:rsidRPr="007122AB">
        <w:rPr>
          <w:color w:val="000000" w:themeColor="text1"/>
          <w:sz w:val="16"/>
          <w:szCs w:val="16"/>
        </w:rPr>
        <w:t>, который может использовать его на грунтовых дорогах. Производственные испытания показали полную пригодность и соответствие с тактическими требованиями образца, что дает возможность, начиная с 1932 г., перейти к перевооружению РККА новым понтонным имуществом.</w:t>
      </w:r>
    </w:p>
    <w:p w14:paraId="6BA0DD4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апреле месяце 1932 г. заканчивается проект легкого понтонного парка, который должен заменить мостовые парки на надувных лодках А</w:t>
      </w:r>
      <w:r w:rsidRPr="007122AB">
        <w:rPr>
          <w:color w:val="000000" w:themeColor="text1"/>
          <w:sz w:val="16"/>
          <w:szCs w:val="16"/>
        </w:rPr>
        <w:noBreakHyphen/>
        <w:t>3. Тактико-технические требования нового легкого понтонного парка таковы: грузоподъемность моста 3, 6 и 8 т и паромов из этого же имущества 3, 6, 8 и 12 т.</w:t>
      </w:r>
    </w:p>
    <w:p w14:paraId="1556867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Производство нового понтонного имущества может быть организовано на Коломенском заводе </w:t>
      </w:r>
      <w:proofErr w:type="spellStart"/>
      <w:r w:rsidRPr="007122AB">
        <w:rPr>
          <w:color w:val="000000" w:themeColor="text1"/>
          <w:sz w:val="16"/>
          <w:szCs w:val="16"/>
        </w:rPr>
        <w:t>Парвагдиза</w:t>
      </w:r>
      <w:proofErr w:type="spellEnd"/>
      <w:r w:rsidRPr="007122AB">
        <w:rPr>
          <w:color w:val="000000" w:themeColor="text1"/>
          <w:sz w:val="16"/>
          <w:szCs w:val="16"/>
        </w:rPr>
        <w:t>, строившем опытный образец нового тяжелого понтонного парка. Для дальнейшей заготовки этого имущества необходимо организовать специальный цех на Коломенском заводе, где объединить производство всех элементов моста, за исключением моторов (понтонов, верхнего строения, средств механизации, оборудование прицепок).</w:t>
      </w:r>
    </w:p>
    <w:p w14:paraId="3370BB86"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6. Станции для электризации заграждений. Разработана «Электрозаводом» под непосредственным руководством НТК ВИУ, одновременно разработаны переносные малозаметные электризованные препятствия и аппаратура для устройства и преодоления электризованных заграждений. Испытание станции (по шифру Э</w:t>
      </w:r>
      <w:r w:rsidRPr="007122AB">
        <w:rPr>
          <w:color w:val="000000" w:themeColor="text1"/>
          <w:sz w:val="16"/>
          <w:szCs w:val="16"/>
        </w:rPr>
        <w:noBreakHyphen/>
        <w:t>1) и препятствий, проведенные в трех округах, показали отличные свойства станции и всей системы вместе с малозаметными переносными препятствиями как средства исключительно боевого значения (поражение живых целей). Производство станций налажено на «Электрозаводе», но в недостаточных размерах.</w:t>
      </w:r>
    </w:p>
    <w:p w14:paraId="06D6E40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7. Прожекторы и звукоулавливатели. Прожекторным заводом «Электрозавод» построен новый тип зенитного прожектора (по американскому образцу). Производство освоено. Предстоит его дальнейшее развитие на расширенной базе нового прожекторного завода. Сейчас имеется опасность срыва сроков этого строительства вследствие сокращения и уравнительного урезывания ряда финансов и строительных контингентов по линии ВЭО. Основной прорыв в производстве прожекторов из-за отсутствия собственного производства отражателей. Вопрос о постановке собственного производства отражателей тянется уже в течение 6 лет почти без всяких серьезных результатов.</w:t>
      </w:r>
    </w:p>
    <w:p w14:paraId="7CF71DBC"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Заводом «Электроприбор» ВЭСО в Ленинграде построен звукоулавливатель с синхронным управлением, но завод не имеет достаточной производственной и экспериментальной базы. В частности, в 1932 г. РККА будет иметь 200 прожекторных станций, из которых только 40 будут обеспечены «Электроприбором» звукоулавливателями и синхронной связью.</w:t>
      </w:r>
    </w:p>
    <w:p w14:paraId="2F3CA7CA"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8. Двигатели для специальных установок. Для проведения системы инженерного вооружения РККА по линии ВИУ необходимо разработать и освоить производством в промышленности до конца 1933 г. не менее 15 типов различных двигателей от 3 до 150 л. с. Все эти типы двигателей не являются исключительно объектами использования и применения в РККА, а находят и найдут широкое применение в автотракторном хозяйстве, гражданской промышленности, гражданской авиации, в общественных спортивных организациях, в гражданском речном флоте и сельском хозяйстве.</w:t>
      </w:r>
    </w:p>
    <w:p w14:paraId="44FDB8D7"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К настоящему времени разработаны образцы и освоены в производстве 3- и 6</w:t>
      </w:r>
      <w:r w:rsidRPr="007122AB">
        <w:rPr>
          <w:color w:val="000000" w:themeColor="text1"/>
          <w:sz w:val="16"/>
          <w:szCs w:val="16"/>
        </w:rPr>
        <w:noBreakHyphen/>
        <w:t>сильные двигатели, необходимые ВИУ для механизации водоподъемников, 3</w:t>
      </w:r>
      <w:r w:rsidRPr="007122AB">
        <w:rPr>
          <w:color w:val="000000" w:themeColor="text1"/>
          <w:sz w:val="16"/>
          <w:szCs w:val="16"/>
        </w:rPr>
        <w:noBreakHyphen/>
        <w:t>киловатных агрегатов, насосов и других мелких механизированных установок. Двигатели в 12 сил сейчас испытываются, но развитие производства этого двигателя в 1932 г. под сомнением, так как ВАТО все время уменьшает планы 2</w:t>
      </w:r>
      <w:r w:rsidRPr="007122AB">
        <w:rPr>
          <w:color w:val="000000" w:themeColor="text1"/>
          <w:sz w:val="16"/>
          <w:szCs w:val="16"/>
        </w:rPr>
        <w:noBreakHyphen/>
        <w:t>го автозавода.</w:t>
      </w:r>
    </w:p>
    <w:p w14:paraId="54A8DC6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Забортные двигатели в 10 и 20 л. с., нужные РККА для моторизации передвижений по воде переправочных средств, закончены проектированием, в декабре заканчивается сборка опытного образца 20</w:t>
      </w:r>
      <w:r w:rsidRPr="007122AB">
        <w:rPr>
          <w:color w:val="000000" w:themeColor="text1"/>
          <w:sz w:val="16"/>
          <w:szCs w:val="16"/>
        </w:rPr>
        <w:noBreakHyphen/>
        <w:t xml:space="preserve">сильного двигателя. МПС ВСНХ дало распоряжение о постановке производства этих двигателей на заводах ВАТО (завод «Красный двигатель» в Новороссийске), но объединения и заводы пока ведут лишь переписку и стараются всячески отделаться от этого заказа. По остальным двигателям разрабатываются проекты, в большей части киевским филиалом Института </w:t>
      </w:r>
      <w:proofErr w:type="spellStart"/>
      <w:r w:rsidRPr="007122AB">
        <w:rPr>
          <w:color w:val="000000" w:themeColor="text1"/>
          <w:sz w:val="16"/>
          <w:szCs w:val="16"/>
        </w:rPr>
        <w:t>пром</w:t>
      </w:r>
      <w:proofErr w:type="spellEnd"/>
      <w:r w:rsidRPr="007122AB">
        <w:rPr>
          <w:color w:val="000000" w:themeColor="text1"/>
          <w:sz w:val="16"/>
          <w:szCs w:val="16"/>
        </w:rPr>
        <w:t>[</w:t>
      </w:r>
      <w:proofErr w:type="spellStart"/>
      <w:r w:rsidRPr="007122AB">
        <w:rPr>
          <w:color w:val="000000" w:themeColor="text1"/>
          <w:sz w:val="16"/>
          <w:szCs w:val="16"/>
        </w:rPr>
        <w:t>ышленной</w:t>
      </w:r>
      <w:proofErr w:type="spellEnd"/>
      <w:r w:rsidRPr="007122AB">
        <w:rPr>
          <w:color w:val="000000" w:themeColor="text1"/>
          <w:sz w:val="16"/>
          <w:szCs w:val="16"/>
        </w:rPr>
        <w:t>] энергетики, необходимо распоряжение ВАТО об освоении на его заводах этих двигателей.</w:t>
      </w:r>
    </w:p>
    <w:p w14:paraId="6D1B71F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Впредь до разработки новых бескомпрессорных дизелей ВИУ РККА наметило приспособление существующих автомобильных и тракторных двигателей к специальным установкам, что следует также поручить ВАТО.</w:t>
      </w:r>
    </w:p>
    <w:p w14:paraId="50F107AC"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Выполнение заказов ВИУ промышленностью в 1931 г.</w:t>
      </w:r>
      <w:r w:rsidRPr="007122AB">
        <w:rPr>
          <w:color w:val="000000" w:themeColor="text1"/>
          <w:sz w:val="16"/>
          <w:szCs w:val="16"/>
        </w:rPr>
        <w:t xml:space="preserve"> Работа промышленности в 1931 г. по выполнению заказов на инженерное имущество наглядно иллюстрируется в прилагаемых диаграммах.</w:t>
      </w:r>
    </w:p>
    <w:p w14:paraId="49C028A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К настоящему моменту на 1 декабря 1931 г. имеется недодел по заказам ВИУ в 3 122 402 руб. из общей суммы заказа 12 942 596, между тем заказы ВИУ 1931 г. в большинстве были повторением заказов, ранее освоенных заводами и несложных в производстве. Одной из причин неудовлетворительности выполнения заказов на инженерное имущество РККА, несомненно, является отсутствие должного внимания к ним со стороны ВСНХ СССР, не распределяющих эти заказы через МПС и представляющих наблюдение и проведение их исключительно попечением ВИУ РККА.</w:t>
      </w:r>
    </w:p>
    <w:p w14:paraId="6BE3657A"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План заказов 1932 г.</w:t>
      </w:r>
      <w:r w:rsidRPr="007122AB">
        <w:rPr>
          <w:color w:val="000000" w:themeColor="text1"/>
          <w:sz w:val="16"/>
          <w:szCs w:val="16"/>
        </w:rPr>
        <w:t xml:space="preserve"> Планом заказов ВИУ на 1932 г., исчисленным в 33 млн. руб., предусмотрена заготовка новых видов инженерного вооружения в минимальных размерах, необходимых для учебы кадровых инженерных частей и вузов. План заказа имеет целью в 1932 г., дать возможность в 1932 г. освоить новые средства в армии и наладить производство их в промышленности с тем, чтобы в 1933 г. перейти к полному перевооружению РККА новыми инженерными средствами. При размещении заказов в промышленности встречается ряд затруднений, требующих решения Комиссии обороны, так как тресты, заводы и ВСНХ неохотно идут на освоение новых средств.</w:t>
      </w:r>
    </w:p>
    <w:p w14:paraId="0DB8F3F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По заказам на 1932 г. имеются следующие затруднения по главнейшим заказам:</w:t>
      </w:r>
    </w:p>
    <w:p w14:paraId="0B74A50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1. Моторные пилы. Заказывается 600 пил, принятых заводом «Красный Октябрь» в Ленинграде, завод имеет необходимые площади, но не имеет достаточного оборудования, в котором заводу отказано как ВАТО, так и </w:t>
      </w:r>
      <w:proofErr w:type="spellStart"/>
      <w:r w:rsidRPr="007122AB">
        <w:rPr>
          <w:color w:val="000000" w:themeColor="text1"/>
          <w:sz w:val="16"/>
          <w:szCs w:val="16"/>
        </w:rPr>
        <w:t>Главлеспромом</w:t>
      </w:r>
      <w:proofErr w:type="spellEnd"/>
      <w:r w:rsidRPr="007122AB">
        <w:rPr>
          <w:color w:val="000000" w:themeColor="text1"/>
          <w:sz w:val="16"/>
          <w:szCs w:val="16"/>
        </w:rPr>
        <w:t xml:space="preserve">. </w:t>
      </w:r>
      <w:proofErr w:type="spellStart"/>
      <w:r w:rsidRPr="007122AB">
        <w:rPr>
          <w:color w:val="000000" w:themeColor="text1"/>
          <w:sz w:val="16"/>
          <w:szCs w:val="16"/>
        </w:rPr>
        <w:t>Главлеспром</w:t>
      </w:r>
      <w:proofErr w:type="spellEnd"/>
      <w:r w:rsidRPr="007122AB">
        <w:rPr>
          <w:color w:val="000000" w:themeColor="text1"/>
          <w:sz w:val="16"/>
          <w:szCs w:val="16"/>
        </w:rPr>
        <w:t xml:space="preserve"> лишь затягивает дело, настаивая на привлечении заграничной техпомощи, разговоры о которой ведутся уже два года. Необходимо закрепить производство моторных пил за заводом «Красный Октябрь», предложив ВСНХ СССР обеспечить названный завод необходимым оборудованием для производства моторных пил.</w:t>
      </w:r>
    </w:p>
    <w:p w14:paraId="14EAA90D"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2. Передвижные легкие лесопильные рамы типа «</w:t>
      </w:r>
      <w:proofErr w:type="spellStart"/>
      <w:r w:rsidRPr="007122AB">
        <w:rPr>
          <w:color w:val="000000" w:themeColor="text1"/>
          <w:sz w:val="16"/>
          <w:szCs w:val="16"/>
        </w:rPr>
        <w:t>Эстерер</w:t>
      </w:r>
      <w:proofErr w:type="spellEnd"/>
      <w:r w:rsidRPr="007122AB">
        <w:rPr>
          <w:color w:val="000000" w:themeColor="text1"/>
          <w:sz w:val="16"/>
          <w:szCs w:val="16"/>
        </w:rPr>
        <w:t>». Планом 1932 г. предусмотрена поставка для РККА первой партии (27 шт.) названных рам. Заказ подлежит выполнению на заводе РОМО «</w:t>
      </w:r>
      <w:proofErr w:type="spellStart"/>
      <w:r w:rsidRPr="007122AB">
        <w:rPr>
          <w:color w:val="000000" w:themeColor="text1"/>
          <w:sz w:val="16"/>
          <w:szCs w:val="16"/>
        </w:rPr>
        <w:t>Вл</w:t>
      </w:r>
      <w:proofErr w:type="spellEnd"/>
      <w:r w:rsidRPr="007122AB">
        <w:rPr>
          <w:color w:val="000000" w:themeColor="text1"/>
          <w:sz w:val="16"/>
          <w:szCs w:val="16"/>
        </w:rPr>
        <w:t>[</w:t>
      </w:r>
      <w:proofErr w:type="spellStart"/>
      <w:r w:rsidRPr="007122AB">
        <w:rPr>
          <w:color w:val="000000" w:themeColor="text1"/>
          <w:sz w:val="16"/>
          <w:szCs w:val="16"/>
        </w:rPr>
        <w:t>адимира</w:t>
      </w:r>
      <w:proofErr w:type="spellEnd"/>
      <w:r w:rsidRPr="007122AB">
        <w:rPr>
          <w:color w:val="000000" w:themeColor="text1"/>
          <w:sz w:val="16"/>
          <w:szCs w:val="16"/>
        </w:rPr>
        <w:t>] Ильича» в Москве, изготовляющем лесопильные рамы тяжелого типа. Завод отказывается от принятия заказа и заключения договора, ссылаясь на отсутствие утвержденных объединением контрольных цифр и соглашаясь принять заказ к исполнению лишь при условии уменьшения программы производства тяжелых рам. Необходимо производство передвижных легких лесопильных рам типа «</w:t>
      </w:r>
      <w:proofErr w:type="spellStart"/>
      <w:r w:rsidRPr="007122AB">
        <w:rPr>
          <w:color w:val="000000" w:themeColor="text1"/>
          <w:sz w:val="16"/>
          <w:szCs w:val="16"/>
        </w:rPr>
        <w:t>Эстерер</w:t>
      </w:r>
      <w:proofErr w:type="spellEnd"/>
      <w:r w:rsidRPr="007122AB">
        <w:rPr>
          <w:color w:val="000000" w:themeColor="text1"/>
          <w:sz w:val="16"/>
          <w:szCs w:val="16"/>
        </w:rPr>
        <w:t>» закрепить за заводом «</w:t>
      </w:r>
      <w:proofErr w:type="spellStart"/>
      <w:r w:rsidRPr="007122AB">
        <w:rPr>
          <w:color w:val="000000" w:themeColor="text1"/>
          <w:sz w:val="16"/>
          <w:szCs w:val="16"/>
        </w:rPr>
        <w:t>Вл</w:t>
      </w:r>
      <w:proofErr w:type="spellEnd"/>
      <w:r w:rsidRPr="007122AB">
        <w:rPr>
          <w:color w:val="000000" w:themeColor="text1"/>
          <w:sz w:val="16"/>
          <w:szCs w:val="16"/>
        </w:rPr>
        <w:t>[</w:t>
      </w:r>
      <w:proofErr w:type="spellStart"/>
      <w:r w:rsidRPr="007122AB">
        <w:rPr>
          <w:color w:val="000000" w:themeColor="text1"/>
          <w:sz w:val="16"/>
          <w:szCs w:val="16"/>
        </w:rPr>
        <w:t>адимира</w:t>
      </w:r>
      <w:proofErr w:type="spellEnd"/>
      <w:r w:rsidRPr="007122AB">
        <w:rPr>
          <w:color w:val="000000" w:themeColor="text1"/>
          <w:sz w:val="16"/>
          <w:szCs w:val="16"/>
        </w:rPr>
        <w:t xml:space="preserve">] Ильича», предложив ВСНХ СССР пересмотреть контрольные цифры завода под углом обеспечения потребности 1932 г. в указанных рамах как </w:t>
      </w:r>
      <w:proofErr w:type="spellStart"/>
      <w:r w:rsidRPr="007122AB">
        <w:rPr>
          <w:color w:val="000000" w:themeColor="text1"/>
          <w:sz w:val="16"/>
          <w:szCs w:val="16"/>
        </w:rPr>
        <w:t>военведа</w:t>
      </w:r>
      <w:proofErr w:type="spellEnd"/>
      <w:r w:rsidRPr="007122AB">
        <w:rPr>
          <w:color w:val="000000" w:themeColor="text1"/>
          <w:sz w:val="16"/>
          <w:szCs w:val="16"/>
        </w:rPr>
        <w:t>, так и лесной промышленности.</w:t>
      </w:r>
    </w:p>
    <w:p w14:paraId="0964061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3. Подрывные машинки. В текущем году </w:t>
      </w:r>
      <w:proofErr w:type="spellStart"/>
      <w:r w:rsidRPr="007122AB">
        <w:rPr>
          <w:color w:val="000000" w:themeColor="text1"/>
          <w:sz w:val="16"/>
          <w:szCs w:val="16"/>
        </w:rPr>
        <w:t>военвед</w:t>
      </w:r>
      <w:proofErr w:type="spellEnd"/>
      <w:r w:rsidRPr="007122AB">
        <w:rPr>
          <w:color w:val="000000" w:themeColor="text1"/>
          <w:sz w:val="16"/>
          <w:szCs w:val="16"/>
        </w:rPr>
        <w:t xml:space="preserve"> получает первую партию нового образца, изготовляемых «Электрозаводом» в Москве. Завод конструкцию машин освоил и должен и в будущем году подать ВИУ 2 тыс. шт., но на существующем оборудовании выполнить это не сможет. Необходимо предложить ВСНХ обеспечить завод станками.</w:t>
      </w:r>
    </w:p>
    <w:p w14:paraId="5D4AFDF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4. Компрессоры большие производительностью в 6 м³/мин принимаются к изготовлению заводом № 7 Орудийно-арсенального объединения, но требуется: а) обеспечение завода импортными двигателями, впредь до разработки в Союзе подходящих по типу двигателей; б) обеспечение завода импортным и советским оборудованием.</w:t>
      </w:r>
    </w:p>
    <w:p w14:paraId="20FEDE5B"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5. Пневматический инструмент производства завода «Пневматика» (</w:t>
      </w:r>
      <w:proofErr w:type="spellStart"/>
      <w:r w:rsidRPr="007122AB">
        <w:rPr>
          <w:color w:val="000000" w:themeColor="text1"/>
          <w:sz w:val="16"/>
          <w:szCs w:val="16"/>
        </w:rPr>
        <w:t>Союзстанкоинструмент</w:t>
      </w:r>
      <w:proofErr w:type="spellEnd"/>
      <w:r w:rsidRPr="007122AB">
        <w:rPr>
          <w:color w:val="000000" w:themeColor="text1"/>
          <w:sz w:val="16"/>
          <w:szCs w:val="16"/>
        </w:rPr>
        <w:t>) не удовлетворяет требованиям РККА. ВИУ необходимы инструменты, главным образом, по дереву и по грунтам. По дереву инструмент ранее вырабатывался, но ныне снят с производства, и от принятия заказа на сверлильные машины по дереву, пневматические пилы, постановщики болтов и шурупов завод категорически отказывается, так как не имеет для этого необходимых мощностей и кадров. Необходимо принудить завод восстановить снятое производство и наладить новое для получения полного комплекта пневматического инструмента.</w:t>
      </w:r>
    </w:p>
    <w:p w14:paraId="6CA4FDCE"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 xml:space="preserve">6. Наконечники к </w:t>
      </w:r>
      <w:proofErr w:type="spellStart"/>
      <w:r w:rsidRPr="007122AB">
        <w:rPr>
          <w:color w:val="000000" w:themeColor="text1"/>
          <w:sz w:val="16"/>
          <w:szCs w:val="16"/>
        </w:rPr>
        <w:t>пневма</w:t>
      </w:r>
      <w:proofErr w:type="spellEnd"/>
      <w:r w:rsidRPr="007122AB">
        <w:rPr>
          <w:color w:val="000000" w:themeColor="text1"/>
          <w:sz w:val="16"/>
          <w:szCs w:val="16"/>
        </w:rPr>
        <w:t>[</w:t>
      </w:r>
      <w:proofErr w:type="spellStart"/>
      <w:r w:rsidRPr="007122AB">
        <w:rPr>
          <w:color w:val="000000" w:themeColor="text1"/>
          <w:sz w:val="16"/>
          <w:szCs w:val="16"/>
        </w:rPr>
        <w:t>тическим</w:t>
      </w:r>
      <w:proofErr w:type="spellEnd"/>
      <w:r w:rsidRPr="007122AB">
        <w:rPr>
          <w:color w:val="000000" w:themeColor="text1"/>
          <w:sz w:val="16"/>
          <w:szCs w:val="16"/>
        </w:rPr>
        <w:t xml:space="preserve">] инструментам: бурава спиральные по дереву, торцовые ключи и отвертки, буры по грунтам, пики, лопаты не изготовляются заводами </w:t>
      </w:r>
      <w:proofErr w:type="spellStart"/>
      <w:r w:rsidRPr="007122AB">
        <w:rPr>
          <w:color w:val="000000" w:themeColor="text1"/>
          <w:sz w:val="16"/>
          <w:szCs w:val="16"/>
        </w:rPr>
        <w:t>Союзстанкоинструмента</w:t>
      </w:r>
      <w:proofErr w:type="spellEnd"/>
      <w:r w:rsidRPr="007122AB">
        <w:rPr>
          <w:color w:val="000000" w:themeColor="text1"/>
          <w:sz w:val="16"/>
          <w:szCs w:val="16"/>
        </w:rPr>
        <w:t xml:space="preserve">, предлагается потребителям самостоятельно изготовлять из приобретаемой импортной стали. Войсковые части этим заниматься не могут. Необходимо одновременно с постановкой производства </w:t>
      </w:r>
      <w:proofErr w:type="spellStart"/>
      <w:r w:rsidRPr="007122AB">
        <w:rPr>
          <w:color w:val="000000" w:themeColor="text1"/>
          <w:sz w:val="16"/>
          <w:szCs w:val="16"/>
        </w:rPr>
        <w:t>пневма</w:t>
      </w:r>
      <w:proofErr w:type="spellEnd"/>
      <w:r w:rsidRPr="007122AB">
        <w:rPr>
          <w:color w:val="000000" w:themeColor="text1"/>
          <w:sz w:val="16"/>
          <w:szCs w:val="16"/>
        </w:rPr>
        <w:t>[</w:t>
      </w:r>
      <w:proofErr w:type="spellStart"/>
      <w:r w:rsidRPr="007122AB">
        <w:rPr>
          <w:color w:val="000000" w:themeColor="text1"/>
          <w:sz w:val="16"/>
          <w:szCs w:val="16"/>
        </w:rPr>
        <w:t>тических</w:t>
      </w:r>
      <w:proofErr w:type="spellEnd"/>
      <w:r w:rsidRPr="007122AB">
        <w:rPr>
          <w:color w:val="000000" w:themeColor="text1"/>
          <w:sz w:val="16"/>
          <w:szCs w:val="16"/>
        </w:rPr>
        <w:t>] инструментов приступить к изготовлению и наконечников.</w:t>
      </w:r>
    </w:p>
    <w:p w14:paraId="10A9C33F"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7. Свайные пневматические молоты весом около 500 кг и 700 кг. Это производство освоено заводом им. Седина в Краснодаре (</w:t>
      </w:r>
      <w:proofErr w:type="spellStart"/>
      <w:r w:rsidRPr="007122AB">
        <w:rPr>
          <w:color w:val="000000" w:themeColor="text1"/>
          <w:sz w:val="16"/>
          <w:szCs w:val="16"/>
        </w:rPr>
        <w:t>Дормашобъединение</w:t>
      </w:r>
      <w:proofErr w:type="spellEnd"/>
      <w:r w:rsidRPr="007122AB">
        <w:rPr>
          <w:color w:val="000000" w:themeColor="text1"/>
          <w:sz w:val="16"/>
          <w:szCs w:val="16"/>
        </w:rPr>
        <w:t>). Но завод заказа принять не может, так как перегружен. Необходимо организовать на заводе специальный цех свайных пневматических и паровых молотов, разгрузив его от производства или тяжелых молотов № 7, мало применяемых, или устаревшего типа паровых шоссейных катков (типа «Коломенец»).</w:t>
      </w:r>
    </w:p>
    <w:p w14:paraId="5BB401A8"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8. Дорожные машины. Грейдеры 2,4 м, 3 м и 3,6 м должны изготовляться Онежским заводом (</w:t>
      </w:r>
      <w:proofErr w:type="spellStart"/>
      <w:r w:rsidRPr="007122AB">
        <w:rPr>
          <w:color w:val="000000" w:themeColor="text1"/>
          <w:sz w:val="16"/>
          <w:szCs w:val="16"/>
        </w:rPr>
        <w:t>Дормашобъединение</w:t>
      </w:r>
      <w:proofErr w:type="spellEnd"/>
      <w:r w:rsidRPr="007122AB">
        <w:rPr>
          <w:color w:val="000000" w:themeColor="text1"/>
          <w:sz w:val="16"/>
          <w:szCs w:val="16"/>
        </w:rPr>
        <w:t>), но не могут быть изготовлены им в силу отсутствия соответствующего оборудования. Требуется обеспечение завода импортным оборудованием — гибочными машинами.</w:t>
      </w:r>
    </w:p>
    <w:p w14:paraId="23B06598" w14:textId="77777777" w:rsidR="00987BB5" w:rsidRPr="007122AB" w:rsidRDefault="00987BB5" w:rsidP="007122AB">
      <w:pPr>
        <w:pStyle w:val="rtejustify"/>
        <w:spacing w:before="0" w:after="0"/>
        <w:rPr>
          <w:color w:val="000000" w:themeColor="text1"/>
          <w:sz w:val="16"/>
          <w:szCs w:val="16"/>
        </w:rPr>
      </w:pPr>
      <w:proofErr w:type="spellStart"/>
      <w:r w:rsidRPr="007122AB">
        <w:rPr>
          <w:color w:val="000000" w:themeColor="text1"/>
          <w:sz w:val="16"/>
          <w:szCs w:val="16"/>
        </w:rPr>
        <w:t>Окопоконатель</w:t>
      </w:r>
      <w:proofErr w:type="spellEnd"/>
      <w:r w:rsidRPr="007122AB">
        <w:rPr>
          <w:color w:val="000000" w:themeColor="text1"/>
          <w:sz w:val="16"/>
          <w:szCs w:val="16"/>
        </w:rPr>
        <w:t xml:space="preserve"> «</w:t>
      </w:r>
      <w:proofErr w:type="spellStart"/>
      <w:r w:rsidRPr="007122AB">
        <w:rPr>
          <w:color w:val="000000" w:themeColor="text1"/>
          <w:sz w:val="16"/>
          <w:szCs w:val="16"/>
        </w:rPr>
        <w:t>Калифер</w:t>
      </w:r>
      <w:proofErr w:type="spellEnd"/>
      <w:r w:rsidRPr="007122AB">
        <w:rPr>
          <w:color w:val="000000" w:themeColor="text1"/>
          <w:sz w:val="16"/>
          <w:szCs w:val="16"/>
        </w:rPr>
        <w:t xml:space="preserve">» должен был изготовлять Онежский завод, но с заказом не справился, так как не имеет своего стального литья. Требуется размещение заказа на Рыбинском заводе (того же </w:t>
      </w:r>
      <w:proofErr w:type="spellStart"/>
      <w:r w:rsidRPr="007122AB">
        <w:rPr>
          <w:color w:val="000000" w:themeColor="text1"/>
          <w:sz w:val="16"/>
          <w:szCs w:val="16"/>
        </w:rPr>
        <w:t>Дормашобъединения</w:t>
      </w:r>
      <w:proofErr w:type="spellEnd"/>
      <w:r w:rsidRPr="007122AB">
        <w:rPr>
          <w:color w:val="000000" w:themeColor="text1"/>
          <w:sz w:val="16"/>
          <w:szCs w:val="16"/>
        </w:rPr>
        <w:t>), с обязательством выпуска в 1932 г. не менее 100 шт.</w:t>
      </w:r>
    </w:p>
    <w:p w14:paraId="413650B6"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lastRenderedPageBreak/>
        <w:t>9. Электростанции, агрегаты и наземные прожекторы. «Электрозавод» заключил в августе месяце с. г. с ВИУ предварительный договор, обеспечивающий РККА необходимыми электростанциями, агрегатами и наземными прожекторами в 1932 г. В ноябре месяце «Электрозавод» в связи с сокращением ему правлением ВЭО общей суммы заказов с 52 до 35 млн. руб. произвел без согласия ВИУ сокращение заказов согласно данным таблицы.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3319"/>
        <w:gridCol w:w="3278"/>
      </w:tblGrid>
      <w:tr w:rsidR="001002C3" w:rsidRPr="007122AB" w14:paraId="72C2314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BC31D7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D9B9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Требовалось ВИУ на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7EA3F" w14:textId="77777777" w:rsidR="00987BB5" w:rsidRPr="007122AB" w:rsidRDefault="00987BB5"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Оставл</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ено</w:t>
            </w:r>
            <w:proofErr w:type="spellEnd"/>
            <w:r w:rsidRPr="007122AB">
              <w:rPr>
                <w:rFonts w:ascii="Times New Roman" w:hAnsi="Times New Roman"/>
                <w:color w:val="000000" w:themeColor="text1"/>
                <w:sz w:val="16"/>
                <w:szCs w:val="16"/>
              </w:rPr>
              <w:t>] на заказ 1932 г.</w:t>
            </w:r>
          </w:p>
        </w:tc>
      </w:tr>
      <w:tr w:rsidR="001002C3" w:rsidRPr="007122AB" w14:paraId="681FDF7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EEA3C9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Электростанции ТА</w:t>
            </w:r>
            <w:r w:rsidRPr="007122AB">
              <w:rPr>
                <w:rFonts w:ascii="Times New Roman" w:hAnsi="Times New Roman"/>
                <w:color w:val="000000" w:themeColor="text1"/>
                <w:sz w:val="16"/>
                <w:szCs w:val="16"/>
              </w:rPr>
              <w:noBreakHyphen/>
              <w:t>1 (3 </w:t>
            </w:r>
            <w:proofErr w:type="spellStart"/>
            <w:r w:rsidRPr="007122AB">
              <w:rPr>
                <w:rFonts w:ascii="Times New Roman" w:hAnsi="Times New Roman"/>
                <w:color w:val="000000" w:themeColor="text1"/>
                <w:sz w:val="16"/>
                <w:szCs w:val="16"/>
              </w:rPr>
              <w:t>кВ</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B8E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610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r>
      <w:tr w:rsidR="001002C3" w:rsidRPr="007122AB" w14:paraId="68D36B6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9CDED7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Электростанции ТА</w:t>
            </w:r>
            <w:r w:rsidRPr="007122AB">
              <w:rPr>
                <w:rFonts w:ascii="Times New Roman" w:hAnsi="Times New Roman"/>
                <w:color w:val="000000" w:themeColor="text1"/>
                <w:sz w:val="16"/>
                <w:szCs w:val="16"/>
              </w:rPr>
              <w:noBreakHyphen/>
              <w:t>2 (15 </w:t>
            </w:r>
            <w:proofErr w:type="spellStart"/>
            <w:r w:rsidRPr="007122AB">
              <w:rPr>
                <w:rFonts w:ascii="Times New Roman" w:hAnsi="Times New Roman"/>
                <w:color w:val="000000" w:themeColor="text1"/>
                <w:sz w:val="16"/>
                <w:szCs w:val="16"/>
              </w:rPr>
              <w:t>кВ</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AEDE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A4D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r>
      <w:tr w:rsidR="001002C3" w:rsidRPr="007122AB" w14:paraId="7A68703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1CBE58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Электростанции ТА-3 (15 </w:t>
            </w:r>
            <w:proofErr w:type="spellStart"/>
            <w:r w:rsidRPr="007122AB">
              <w:rPr>
                <w:rFonts w:ascii="Times New Roman" w:hAnsi="Times New Roman"/>
                <w:color w:val="000000" w:themeColor="text1"/>
                <w:sz w:val="16"/>
                <w:szCs w:val="16"/>
              </w:rPr>
              <w:t>кВ</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010E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561E"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w:t>
            </w:r>
          </w:p>
        </w:tc>
      </w:tr>
      <w:tr w:rsidR="001002C3" w:rsidRPr="007122AB" w14:paraId="438CFE5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A624C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Электростанции ТП-1 (25 </w:t>
            </w:r>
            <w:proofErr w:type="spellStart"/>
            <w:r w:rsidRPr="007122AB">
              <w:rPr>
                <w:rFonts w:ascii="Times New Roman" w:hAnsi="Times New Roman"/>
                <w:color w:val="000000" w:themeColor="text1"/>
                <w:sz w:val="16"/>
                <w:szCs w:val="16"/>
              </w:rPr>
              <w:t>кВ</w:t>
            </w:r>
            <w:proofErr w:type="spellEnd"/>
            <w:r w:rsidRPr="007122AB">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D477"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9CD11"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r>
      <w:tr w:rsidR="001002C3" w:rsidRPr="007122AB" w14:paraId="0930A53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05F812"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Станции электризации препятствий  Э</w:t>
            </w:r>
            <w:r w:rsidRPr="007122AB">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A814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FAB70"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r>
      <w:tr w:rsidR="001002C3" w:rsidRPr="007122AB" w14:paraId="11E19D6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A3E9A9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Агрегаты 3 </w:t>
            </w:r>
            <w:proofErr w:type="spellStart"/>
            <w:r w:rsidRPr="007122AB">
              <w:rPr>
                <w:rFonts w:ascii="Times New Roman" w:hAnsi="Times New Roman"/>
                <w:color w:val="000000" w:themeColor="text1"/>
                <w:sz w:val="16"/>
                <w:szCs w:val="16"/>
              </w:rPr>
              <w:t>кВ</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EBDD03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0E98"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120</w:t>
            </w:r>
          </w:p>
        </w:tc>
      </w:tr>
      <w:tr w:rsidR="001002C3" w:rsidRPr="007122AB" w14:paraId="00C212C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761785A"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Агрегаты 6 </w:t>
            </w:r>
            <w:proofErr w:type="spellStart"/>
            <w:r w:rsidRPr="007122AB">
              <w:rPr>
                <w:rFonts w:ascii="Times New Roman" w:hAnsi="Times New Roman"/>
                <w:color w:val="000000" w:themeColor="text1"/>
                <w:sz w:val="16"/>
                <w:szCs w:val="16"/>
              </w:rPr>
              <w:t>кВ</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152E40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618C"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r>
    </w:tbl>
    <w:p w14:paraId="30560FE4"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Кроме того, ВЭО отказано в закупке за границей стеклянных отражателей. Для прожекторов советского производства отражателей еще нет, и в 1932 г. прожекторы могут оказаться небоеспособными. Также ВЭО отказано от закупки аккумуляторов, благодаря чему срывается заказ на пехотные прожекторы.</w:t>
      </w:r>
    </w:p>
    <w:p w14:paraId="70AC63E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Подобное сокращение производства «Электрозавода» нарушает план обеспечения инженерных частей и укрепрайонов электрооборудованием. Необходимо восстановить полностью ассигнования «Электрозаводу» и обязать последний выполнить весь заказ ВИУ с закупкой необходимых зеркал и аккумуляторов.</w:t>
      </w:r>
    </w:p>
    <w:p w14:paraId="2080DA7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10. Электрифицированный инструмент. В 1932 г. ВИУ пока удалось провести переговоры с Конотопским заводом «</w:t>
      </w:r>
      <w:proofErr w:type="spellStart"/>
      <w:r w:rsidRPr="007122AB">
        <w:rPr>
          <w:color w:val="000000" w:themeColor="text1"/>
          <w:sz w:val="16"/>
          <w:szCs w:val="16"/>
        </w:rPr>
        <w:t>Укрмето</w:t>
      </w:r>
      <w:proofErr w:type="spellEnd"/>
      <w:r w:rsidRPr="007122AB">
        <w:rPr>
          <w:color w:val="000000" w:themeColor="text1"/>
          <w:sz w:val="16"/>
          <w:szCs w:val="16"/>
        </w:rPr>
        <w:t>» и заводом «Электродрель» в Ленинграде на изготовление опытных образцов. Заводы не обеспечены в достаточном количестве оборудованием и материалами. ВЭО категорически отказалось организовать в 1932 г. производство электрифицированного инструмента. Необходимо в 1932 г. построить специальный завод, производящий электрифицированный инструмент, а впредь до пуска нового завода наладить производство инструмента на Конотопском заводе и заводе «Электродрель», обеспечив их необходимым оборудованием и материалами.</w:t>
      </w:r>
    </w:p>
    <w:p w14:paraId="0A48CA31"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11. Снабжение укрепрайонов, предусмотренное в плане заказов 1932 г. в числе 360 агрегатов 3 и 6 </w:t>
      </w:r>
      <w:proofErr w:type="spellStart"/>
      <w:r w:rsidRPr="007122AB">
        <w:rPr>
          <w:color w:val="000000" w:themeColor="text1"/>
          <w:sz w:val="16"/>
          <w:szCs w:val="16"/>
        </w:rPr>
        <w:t>кВ</w:t>
      </w:r>
      <w:proofErr w:type="spellEnd"/>
      <w:r w:rsidRPr="007122AB">
        <w:rPr>
          <w:color w:val="000000" w:themeColor="text1"/>
          <w:sz w:val="16"/>
          <w:szCs w:val="16"/>
        </w:rPr>
        <w:t>, 40 наземных прожекторов и 600 вентиляторов, промышленность отказывается выполнить в части полного удовлетворения агрегатами (не принимает 180 агрегатов в 6 </w:t>
      </w:r>
      <w:proofErr w:type="spellStart"/>
      <w:r w:rsidRPr="007122AB">
        <w:rPr>
          <w:color w:val="000000" w:themeColor="text1"/>
          <w:sz w:val="16"/>
          <w:szCs w:val="16"/>
        </w:rPr>
        <w:t>кВ</w:t>
      </w:r>
      <w:proofErr w:type="spellEnd"/>
      <w:r w:rsidRPr="007122AB">
        <w:rPr>
          <w:color w:val="000000" w:themeColor="text1"/>
          <w:sz w:val="16"/>
          <w:szCs w:val="16"/>
        </w:rPr>
        <w:t>), моторов для вентиляторов (700 шт.) и наземных прожекторов (промышленность берется поставить 20 прожекторов вместо 40 необходимых). Необходимо самое решительное распоряжение промышленности о полном и первоочередном выполнении заказов для оснащения укрепрайонов.</w:t>
      </w:r>
    </w:p>
    <w:p w14:paraId="25816290"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12. Двигатели. Заказ на 6- и 12</w:t>
      </w:r>
      <w:r w:rsidRPr="007122AB">
        <w:rPr>
          <w:color w:val="000000" w:themeColor="text1"/>
          <w:sz w:val="16"/>
          <w:szCs w:val="16"/>
        </w:rPr>
        <w:noBreakHyphen/>
        <w:t>сильные двигатели, забортные моторы до сих пор не размещается, так как ВАТО и ВАТО-запчасть не решают вопроса как о месте производства забортных моторов, так и количестве выпускаемых в 1932 г. 6- и 12</w:t>
      </w:r>
      <w:r w:rsidRPr="007122AB">
        <w:rPr>
          <w:color w:val="000000" w:themeColor="text1"/>
          <w:sz w:val="16"/>
          <w:szCs w:val="16"/>
        </w:rPr>
        <w:noBreakHyphen/>
        <w:t xml:space="preserve">сильных двигателей, число которых все уменьшается и в настоящий момент уже не обеспечивает даже минимальных потребностей </w:t>
      </w:r>
      <w:proofErr w:type="spellStart"/>
      <w:r w:rsidRPr="007122AB">
        <w:rPr>
          <w:color w:val="000000" w:themeColor="text1"/>
          <w:sz w:val="16"/>
          <w:szCs w:val="16"/>
        </w:rPr>
        <w:t>военведа</w:t>
      </w:r>
      <w:proofErr w:type="spellEnd"/>
      <w:r w:rsidRPr="007122AB">
        <w:rPr>
          <w:color w:val="000000" w:themeColor="text1"/>
          <w:sz w:val="16"/>
          <w:szCs w:val="16"/>
        </w:rPr>
        <w:t>, не говоря о нуждах гражданского строительства. Необходимо категорическое распоряжение ВАТО о полном выполнении первоначально намеченной программы 2</w:t>
      </w:r>
      <w:r w:rsidRPr="007122AB">
        <w:rPr>
          <w:color w:val="000000" w:themeColor="text1"/>
          <w:sz w:val="16"/>
          <w:szCs w:val="16"/>
        </w:rPr>
        <w:noBreakHyphen/>
        <w:t>го автозавода.</w:t>
      </w:r>
    </w:p>
    <w:p w14:paraId="6FAF00F5"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Возможность использования средств гражданской техники во время войны.</w:t>
      </w:r>
      <w:r w:rsidRPr="007122AB">
        <w:rPr>
          <w:color w:val="000000" w:themeColor="text1"/>
          <w:sz w:val="16"/>
          <w:szCs w:val="16"/>
        </w:rPr>
        <w:t xml:space="preserve"> Необходимо издание правительственного распоряжения о «технической повинности» всех гражданских строительных, лесозаготовительных, дорожных, коммунальных организаций и частью совхозов и колхозов о поставке во время войны средств механизации инженерных работ согласно приложенному перечню. В Госплане СССР необходимо организовать учет всех имеющихся и заготовляемых промышленностью средств по этому списку.</w:t>
      </w:r>
    </w:p>
    <w:p w14:paraId="27C49E42" w14:textId="77777777" w:rsidR="00987BB5" w:rsidRPr="007122AB" w:rsidRDefault="00987BB5" w:rsidP="007122AB">
      <w:pPr>
        <w:pStyle w:val="rtejustify"/>
        <w:spacing w:before="0" w:after="0"/>
        <w:rPr>
          <w:color w:val="000000" w:themeColor="text1"/>
          <w:sz w:val="16"/>
          <w:szCs w:val="16"/>
        </w:rPr>
      </w:pPr>
      <w:r w:rsidRPr="007122AB">
        <w:rPr>
          <w:color w:val="000000" w:themeColor="text1"/>
          <w:sz w:val="16"/>
          <w:szCs w:val="16"/>
        </w:rPr>
        <w:t>В целях стандартизации военно-инженерных средств армии с аналогичными средствами гражданской техники необходимо обязать все промышленные и строительные организации, изготавливающие эти средства, перед выпуском на работы обязательно пропускать через испытания на научно-испытательном инженерно-техническом полигоне ВТУ. Эта мера позволит одновременно изучать эти средства для последующего использования во время войны. Такое же мероприятие следует провести в отношении средств, закупаемых за границей, с тем, чтобы все новые образцы заграничных машин проходили испытание на полигоне для ознакомлений с ними НТК ВИУ и использования во время войны.</w:t>
      </w:r>
    </w:p>
    <w:p w14:paraId="3CF80924" w14:textId="77777777" w:rsidR="00987BB5" w:rsidRPr="007122AB" w:rsidRDefault="00987BB5" w:rsidP="007122AB">
      <w:pPr>
        <w:pStyle w:val="rtejustify"/>
        <w:spacing w:before="0" w:after="0"/>
        <w:rPr>
          <w:color w:val="000000" w:themeColor="text1"/>
          <w:sz w:val="16"/>
          <w:szCs w:val="16"/>
        </w:rPr>
      </w:pPr>
      <w:r w:rsidRPr="007122AB">
        <w:rPr>
          <w:rStyle w:val="af0"/>
          <w:i w:val="0"/>
          <w:color w:val="000000" w:themeColor="text1"/>
          <w:sz w:val="16"/>
          <w:szCs w:val="16"/>
        </w:rPr>
        <w:t>Обеспечение развертывания частей в первый период войны.</w:t>
      </w:r>
      <w:r w:rsidRPr="007122AB">
        <w:rPr>
          <w:color w:val="000000" w:themeColor="text1"/>
          <w:sz w:val="16"/>
          <w:szCs w:val="16"/>
        </w:rPr>
        <w:t xml:space="preserve"> Мобилизационная заявка на год ведения войны по варианту № 10 промышленностью еще окончательно не проработана. Плана подачи имущества по </w:t>
      </w:r>
      <w:proofErr w:type="spellStart"/>
      <w:r w:rsidRPr="007122AB">
        <w:rPr>
          <w:color w:val="000000" w:themeColor="text1"/>
          <w:sz w:val="16"/>
          <w:szCs w:val="16"/>
        </w:rPr>
        <w:t>мобзаявке</w:t>
      </w:r>
      <w:proofErr w:type="spellEnd"/>
      <w:r w:rsidRPr="007122AB">
        <w:rPr>
          <w:color w:val="000000" w:themeColor="text1"/>
          <w:sz w:val="16"/>
          <w:szCs w:val="16"/>
        </w:rPr>
        <w:t xml:space="preserve"> ВИУ не имеет. План С</w:t>
      </w:r>
      <w:r w:rsidRPr="007122AB">
        <w:rPr>
          <w:color w:val="000000" w:themeColor="text1"/>
          <w:sz w:val="16"/>
          <w:szCs w:val="16"/>
        </w:rPr>
        <w:noBreakHyphen/>
        <w:t xml:space="preserve">30 фактически отмер, и подача по этому плану не удовлетворяет ВИУ ни по количеству, ни по качеству. Таким образом, вопрос </w:t>
      </w:r>
      <w:proofErr w:type="spellStart"/>
      <w:r w:rsidRPr="007122AB">
        <w:rPr>
          <w:color w:val="000000" w:themeColor="text1"/>
          <w:sz w:val="16"/>
          <w:szCs w:val="16"/>
        </w:rPr>
        <w:t>дообеспечения</w:t>
      </w:r>
      <w:proofErr w:type="spellEnd"/>
      <w:r w:rsidRPr="007122AB">
        <w:rPr>
          <w:color w:val="000000" w:themeColor="text1"/>
          <w:sz w:val="16"/>
          <w:szCs w:val="16"/>
        </w:rPr>
        <w:t xml:space="preserve"> развертывания частей недостающими предметами имущества в первый период войны остается открытым. Кроме того, планом С</w:t>
      </w:r>
      <w:r w:rsidRPr="007122AB">
        <w:rPr>
          <w:color w:val="000000" w:themeColor="text1"/>
          <w:sz w:val="16"/>
          <w:szCs w:val="16"/>
        </w:rPr>
        <w:noBreakHyphen/>
        <w:t>30 значительное количество предметов передается для проработки предприятиям, не производящим их в мирное время, что значительно затормозит их подачу.</w:t>
      </w:r>
    </w:p>
    <w:p w14:paraId="128388A4"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Зам. председателя РВС СССР и народного комиссара по военным и морским делам </w:t>
      </w:r>
      <w:hyperlink r:id="rId218" w:history="1">
        <w:r w:rsidRPr="007122AB">
          <w:rPr>
            <w:rStyle w:val="af0"/>
            <w:i w:val="0"/>
            <w:color w:val="000000" w:themeColor="text1"/>
            <w:sz w:val="16"/>
            <w:szCs w:val="16"/>
          </w:rPr>
          <w:t>Тухачевский</w:t>
        </w:r>
      </w:hyperlink>
    </w:p>
    <w:p w14:paraId="5B1DB7E5" w14:textId="77777777" w:rsidR="00987BB5" w:rsidRPr="007122AB" w:rsidRDefault="00987BB5" w:rsidP="007122AB">
      <w:pPr>
        <w:pStyle w:val="ae"/>
        <w:spacing w:before="0" w:after="0"/>
        <w:jc w:val="both"/>
        <w:rPr>
          <w:color w:val="000000" w:themeColor="text1"/>
          <w:sz w:val="16"/>
          <w:szCs w:val="16"/>
        </w:rPr>
      </w:pPr>
      <w:r w:rsidRPr="007122AB">
        <w:rPr>
          <w:rStyle w:val="af0"/>
          <w:i w:val="0"/>
          <w:color w:val="000000" w:themeColor="text1"/>
          <w:sz w:val="16"/>
          <w:szCs w:val="16"/>
        </w:rPr>
        <w:t>Примечания</w:t>
      </w:r>
      <w:r w:rsidRPr="007122AB">
        <w:rPr>
          <w:color w:val="000000" w:themeColor="text1"/>
          <w:sz w:val="16"/>
          <w:szCs w:val="16"/>
        </w:rPr>
        <w:t>:</w:t>
      </w:r>
    </w:p>
    <w:p w14:paraId="1E24AE80"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vertAlign w:val="superscript"/>
        </w:rPr>
        <w:t>1</w:t>
      </w:r>
      <w:r w:rsidRPr="007122AB">
        <w:rPr>
          <w:color w:val="000000" w:themeColor="text1"/>
          <w:sz w:val="16"/>
          <w:szCs w:val="16"/>
        </w:rPr>
        <w:t>* Приложения не публикуются (см. там же, л. 11</w:t>
      </w:r>
      <w:r w:rsidRPr="007122AB">
        <w:rPr>
          <w:color w:val="000000" w:themeColor="text1"/>
          <w:sz w:val="16"/>
          <w:szCs w:val="16"/>
        </w:rPr>
        <w:noBreakHyphen/>
        <w:t>13).</w:t>
      </w:r>
    </w:p>
    <w:p w14:paraId="004723F8"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vertAlign w:val="superscript"/>
        </w:rPr>
        <w:t>2</w:t>
      </w:r>
      <w:r w:rsidRPr="007122AB">
        <w:rPr>
          <w:color w:val="000000" w:themeColor="text1"/>
          <w:sz w:val="16"/>
          <w:szCs w:val="16"/>
        </w:rPr>
        <w:t>* Из них 180 шт. для укрепрайонов (</w:t>
      </w:r>
      <w:r w:rsidRPr="007122AB">
        <w:rPr>
          <w:rStyle w:val="af0"/>
          <w:i w:val="0"/>
          <w:color w:val="000000" w:themeColor="text1"/>
          <w:sz w:val="16"/>
          <w:szCs w:val="16"/>
        </w:rPr>
        <w:t>Прим. док</w:t>
      </w:r>
      <w:r w:rsidRPr="007122AB">
        <w:rPr>
          <w:color w:val="000000" w:themeColor="text1"/>
          <w:sz w:val="16"/>
          <w:szCs w:val="16"/>
        </w:rPr>
        <w:t>.).</w:t>
      </w:r>
    </w:p>
    <w:p w14:paraId="443B8ECD"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vertAlign w:val="superscript"/>
        </w:rPr>
        <w:t>3</w:t>
      </w:r>
      <w:r w:rsidRPr="007122AB">
        <w:rPr>
          <w:color w:val="000000" w:themeColor="text1"/>
          <w:sz w:val="16"/>
          <w:szCs w:val="16"/>
        </w:rPr>
        <w:t>* Все для укрепрайонов (</w:t>
      </w:r>
      <w:r w:rsidRPr="007122AB">
        <w:rPr>
          <w:rStyle w:val="af0"/>
          <w:i w:val="0"/>
          <w:color w:val="000000" w:themeColor="text1"/>
          <w:sz w:val="16"/>
          <w:szCs w:val="16"/>
        </w:rPr>
        <w:t>Прим. док</w:t>
      </w:r>
      <w:r w:rsidRPr="007122AB">
        <w:rPr>
          <w:color w:val="000000" w:themeColor="text1"/>
          <w:sz w:val="16"/>
          <w:szCs w:val="16"/>
        </w:rPr>
        <w:t>.).</w:t>
      </w:r>
    </w:p>
    <w:p w14:paraId="3BE220AC"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ГА РФ, Ф. Р-8418. Оп. 6. Д. 122. Л. 3—8 об. Подлинник.</w:t>
      </w:r>
    </w:p>
    <w:p w14:paraId="6D0C324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Архив: ГА РФ, Ф. Р-8418. Оп. 6. Д. 122. Л. 3—8 об. Подлинник. </w:t>
      </w:r>
    </w:p>
    <w:p w14:paraId="07F2FA0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Источник: Становление оборонно-промышленного комплекса СССР (1927-1932). М. 2008, стр. 593-601 (12544).</w:t>
      </w:r>
    </w:p>
    <w:p w14:paraId="0F6DFB91"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09589F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19 декабря 1931 года на Балтийском заводе в Ленинграде заложили лодки "Звезда" и "Искра", впоследствии П-1, П-2 и П-3 соответственно. В ходе разработки проекта и постройки </w:t>
      </w:r>
      <w:proofErr w:type="spellStart"/>
      <w:r w:rsidRPr="007122AB">
        <w:rPr>
          <w:rFonts w:ascii="Times New Roman" w:hAnsi="Times New Roman"/>
          <w:color w:val="000000" w:themeColor="text1"/>
          <w:sz w:val="16"/>
          <w:szCs w:val="16"/>
        </w:rPr>
        <w:t>подводньис</w:t>
      </w:r>
      <w:proofErr w:type="spellEnd"/>
      <w:r w:rsidRPr="007122AB">
        <w:rPr>
          <w:rFonts w:ascii="Times New Roman" w:hAnsi="Times New Roman"/>
          <w:color w:val="000000" w:themeColor="text1"/>
          <w:sz w:val="16"/>
          <w:szCs w:val="16"/>
        </w:rPr>
        <w:t xml:space="preserve"> лодок типа "Правда" они вызвали обоснованную критику моряков и корабле</w:t>
      </w:r>
      <w:r w:rsidRPr="007122AB">
        <w:rPr>
          <w:rFonts w:ascii="Times New Roman" w:hAnsi="Times New Roman"/>
          <w:color w:val="000000" w:themeColor="text1"/>
          <w:sz w:val="16"/>
          <w:szCs w:val="16"/>
        </w:rPr>
        <w:softHyphen/>
        <w:t>строителей (3898).</w:t>
      </w:r>
    </w:p>
    <w:p w14:paraId="27DF4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F3E68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3E03AD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C3E0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декабря 1931 закончились испытания более совершенного варианта ТШ-2 с улучшенным бронированием и условиями охлаждения мотора - ТШ-2 второй вариант (№ 21 по плану ЦКБ), которые проходили со 2 ноября.</w:t>
      </w:r>
    </w:p>
    <w:p w14:paraId="72192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Штурмовик был вооружен двумя синхронными пулеметами ПВ-1 с боезапасом 1500 патронов. </w:t>
      </w:r>
      <w:proofErr w:type="spellStart"/>
      <w:r w:rsidRPr="007122AB">
        <w:rPr>
          <w:rFonts w:ascii="Times New Roman" w:hAnsi="Times New Roman"/>
          <w:color w:val="000000" w:themeColor="text1"/>
          <w:sz w:val="16"/>
          <w:szCs w:val="16"/>
        </w:rPr>
        <w:t>Подкрылье</w:t>
      </w:r>
      <w:proofErr w:type="spellEnd"/>
      <w:r w:rsidRPr="007122AB">
        <w:rPr>
          <w:rFonts w:ascii="Times New Roman" w:hAnsi="Times New Roman"/>
          <w:color w:val="000000" w:themeColor="text1"/>
          <w:sz w:val="16"/>
          <w:szCs w:val="16"/>
        </w:rPr>
        <w:t>-вые пулеметы с целью улучшения аэродинамики располагались в утолщенной части нижнего крыла. На турели ТУР-7 был установлен пулемет ПВ-1 с запасом 600 патронов.</w:t>
      </w:r>
    </w:p>
    <w:p w14:paraId="49A31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с использованием взлетного режима работы мотора возросла до 213 км/ч. Скороподъемность самолета оставалась, как и прежде, низкой - 3,5 м/с, а полное время набора высоты 3000 м составляло 24 минуты. Дальность полета -около 500 км. Время выполнения виража - 17-17,5 с. Разбег 160-180 м, пробег - 120-130 м. Взлетный вес -3225 кг. Вес брони - 532 кг.</w:t>
      </w:r>
    </w:p>
    <w:p w14:paraId="106B0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самолет представлял собой биплан с выносом вперед верхнего крыла. Коробка планов соединялась М-образными стойками и была расчалена стальными лентами. Элероны были на верхних и нижних плоскостях.</w:t>
      </w:r>
    </w:p>
    <w:p w14:paraId="759BA8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Задняя часть фюзеляжа выполнялась из стальных сварных труб с расчалками. Плоскости деревянные, покрытые полотном. Шасси из стальных труб. Амортизаторы из резиновых колец. Костыль управляемый.</w:t>
      </w:r>
    </w:p>
    <w:p w14:paraId="6FA232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Броня служила остовом фюзеляжа. Забронированы были экипаж, основные бензобаки и маслобаки, мотор, радиатор.</w:t>
      </w:r>
    </w:p>
    <w:p w14:paraId="3C73D5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отмечалось в отчете по госиспытаниям, мотор в передней нижней части не был забронирован. В то же время радиатор был прикрыт регулируемыми жалюзи. Не был забронирован и пол кабины пилота.</w:t>
      </w:r>
    </w:p>
    <w:p w14:paraId="42D0CD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Обзор вперед и вниз закрывался капотом мотора, вверх - верхним крылом, в стороны - </w:t>
      </w:r>
      <w:proofErr w:type="spellStart"/>
      <w:r w:rsidRPr="007122AB">
        <w:rPr>
          <w:rFonts w:ascii="Times New Roman" w:hAnsi="Times New Roman"/>
          <w:color w:val="000000" w:themeColor="text1"/>
          <w:sz w:val="16"/>
          <w:szCs w:val="16"/>
        </w:rPr>
        <w:t>боковинками</w:t>
      </w:r>
      <w:proofErr w:type="spellEnd"/>
      <w:r w:rsidRPr="007122AB">
        <w:rPr>
          <w:rFonts w:ascii="Times New Roman" w:hAnsi="Times New Roman"/>
          <w:color w:val="000000" w:themeColor="text1"/>
          <w:sz w:val="16"/>
          <w:szCs w:val="16"/>
        </w:rPr>
        <w:t xml:space="preserve"> брони у козырька. У летнаба был тоже плохой обзор.</w:t>
      </w:r>
    </w:p>
    <w:p w14:paraId="5F5887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результате, как отмечали военные летчики, заход на цель для второй атаки был затруднителен.</w:t>
      </w:r>
    </w:p>
    <w:p w14:paraId="625FAA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Тепловой режим мотора при использовании этиленгликоля был в норме (9649).</w:t>
      </w:r>
    </w:p>
    <w:p w14:paraId="0B268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утвержденной правительством программы для воронежского авиазавода № 16 последний в течение 1932 г. должен был изготовить 70 штурмовиков ТШ-2 с мотором М-17 (тот же BMW-6, но производства завода № 26 в г. Рыбинске по лицензии) для производства полномасштабных войсковых испытаний.</w:t>
      </w:r>
    </w:p>
    <w:p w14:paraId="60098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силу специфических особенностей мотора М-17 в серии возникли проблемы с его охлаждением, устранить которые быстро не удалось. Соответственно, заводские и государственные испытания первого ТШ-2 М-17 - эталона для серии, затянулись (9649).</w:t>
      </w:r>
    </w:p>
    <w:p w14:paraId="69D367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2F2FEB"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20-го декабря 1931 года закончились испытания двух опытных ТШ-2, которые проходили со 2-го ноября.</w:t>
      </w:r>
    </w:p>
    <w:p w14:paraId="234E2BA1"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w:t>
      </w:r>
    </w:p>
    <w:p w14:paraId="08EC90A4"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76758C30"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168FF883"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испытаниях штурмовика военные летчики отмечали, что обзор вперед и вниз закрывался капотом двигателя, вверх – верхним крылом, в стороны – </w:t>
      </w:r>
      <w:proofErr w:type="spellStart"/>
      <w:r w:rsidRPr="007122AB">
        <w:rPr>
          <w:rFonts w:ascii="Times New Roman" w:hAnsi="Times New Roman"/>
          <w:color w:val="000000" w:themeColor="text1"/>
          <w:sz w:val="16"/>
          <w:szCs w:val="16"/>
        </w:rPr>
        <w:t>боковинками</w:t>
      </w:r>
      <w:proofErr w:type="spellEnd"/>
      <w:r w:rsidRPr="007122AB">
        <w:rPr>
          <w:rFonts w:ascii="Times New Roman" w:hAnsi="Times New Roman"/>
          <w:color w:val="000000" w:themeColor="text1"/>
          <w:sz w:val="16"/>
          <w:szCs w:val="16"/>
        </w:rPr>
        <w:t xml:space="preserve"> брони у козырька. У летнаба тоже был плохой обзор. В результате заход штурмовика на цель для атаки был затруднителен.</w:t>
      </w:r>
    </w:p>
    <w:p w14:paraId="2C3D82CC"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4ECF9158"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схемы. Об этом штурмовике будет рассказано ниже.</w:t>
      </w:r>
    </w:p>
    <w:p w14:paraId="0C07B084" w14:textId="77777777" w:rsidR="00492496" w:rsidRPr="007122AB" w:rsidRDefault="0049249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(18293).</w:t>
      </w:r>
    </w:p>
    <w:p w14:paraId="1E0B7FBD" w14:textId="77777777" w:rsidR="00492496" w:rsidRPr="007122AB" w:rsidRDefault="00492496" w:rsidP="007122AB">
      <w:pPr>
        <w:spacing w:after="0" w:line="240" w:lineRule="auto"/>
        <w:jc w:val="both"/>
        <w:rPr>
          <w:rFonts w:ascii="Times New Roman" w:hAnsi="Times New Roman"/>
          <w:color w:val="000000" w:themeColor="text1"/>
          <w:sz w:val="16"/>
          <w:szCs w:val="16"/>
        </w:rPr>
      </w:pPr>
    </w:p>
    <w:p w14:paraId="3A302996"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20-е декабря 1931 года закончились испытания двух ТШ-2, которые проходили со 2-го ноября. На 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 Завод № 39 изготовил два опытных ТШ-2. 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64B8349C"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09C72BB4"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испытаниях штурмовика военные летчики отмечали, что обзор вперед и вниз закрывался капотом двигателя, вверх – верхним крылом, в стороны – </w:t>
      </w:r>
      <w:proofErr w:type="spellStart"/>
      <w:r w:rsidRPr="007122AB">
        <w:rPr>
          <w:rFonts w:ascii="Times New Roman" w:hAnsi="Times New Roman"/>
          <w:color w:val="000000" w:themeColor="text1"/>
          <w:sz w:val="16"/>
          <w:szCs w:val="16"/>
        </w:rPr>
        <w:t>боковинками</w:t>
      </w:r>
      <w:proofErr w:type="spellEnd"/>
      <w:r w:rsidRPr="007122AB">
        <w:rPr>
          <w:rFonts w:ascii="Times New Roman" w:hAnsi="Times New Roman"/>
          <w:color w:val="000000" w:themeColor="text1"/>
          <w:sz w:val="16"/>
          <w:szCs w:val="16"/>
        </w:rPr>
        <w:t xml:space="preserve"> брони у козырька. У летнаба тоже был плохой обзор. В результате заход штурмовика на цель для атаки был затруднителен.</w:t>
      </w:r>
    </w:p>
    <w:p w14:paraId="38E44280"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27D8057D"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w:t>
      </w:r>
      <w:proofErr w:type="spellStart"/>
      <w:r w:rsidRPr="007122AB">
        <w:rPr>
          <w:rFonts w:ascii="Times New Roman" w:hAnsi="Times New Roman"/>
          <w:color w:val="000000" w:themeColor="text1"/>
          <w:sz w:val="16"/>
          <w:szCs w:val="16"/>
        </w:rPr>
        <w:t>бипланной</w:t>
      </w:r>
      <w:proofErr w:type="spellEnd"/>
      <w:r w:rsidRPr="007122AB">
        <w:rPr>
          <w:rFonts w:ascii="Times New Roman" w:hAnsi="Times New Roman"/>
          <w:color w:val="000000" w:themeColor="text1"/>
          <w:sz w:val="16"/>
          <w:szCs w:val="16"/>
        </w:rPr>
        <w:t xml:space="preserve"> схемы.</w:t>
      </w:r>
    </w:p>
    <w:p w14:paraId="25574FD9"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(15223).</w:t>
      </w:r>
    </w:p>
    <w:p w14:paraId="219EFD98" w14:textId="77777777" w:rsidR="00C80728" w:rsidRPr="007122AB" w:rsidRDefault="00C80728" w:rsidP="007122AB">
      <w:pPr>
        <w:shd w:val="clear" w:color="auto" w:fill="FFFFFF"/>
        <w:spacing w:after="0" w:line="240" w:lineRule="auto"/>
        <w:jc w:val="both"/>
        <w:rPr>
          <w:rFonts w:ascii="Times New Roman" w:hAnsi="Times New Roman"/>
          <w:color w:val="000000" w:themeColor="text1"/>
          <w:sz w:val="16"/>
          <w:szCs w:val="16"/>
        </w:rPr>
      </w:pPr>
    </w:p>
    <w:p w14:paraId="6B7367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декабря 1931 г. Коллегия НКИД по поводу предложения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45628E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Уже после этого, в декабре 1931 г., Томас А. Морган, президент Северо-американской авиационной корпорации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корпорэйшн</w:t>
      </w:r>
      <w:proofErr w:type="spellEnd"/>
      <w:r w:rsidRPr="007122AB">
        <w:rPr>
          <w:rFonts w:ascii="Times New Roman" w:hAnsi="Times New Roman"/>
          <w:color w:val="000000" w:themeColor="text1"/>
          <w:sz w:val="16"/>
          <w:szCs w:val="16"/>
        </w:rPr>
        <w:t>»), являющийся одновременно и президентом Американских авиационных ко[</w:t>
      </w:r>
      <w:proofErr w:type="spellStart"/>
      <w:r w:rsidRPr="007122AB">
        <w:rPr>
          <w:rFonts w:ascii="Times New Roman" w:hAnsi="Times New Roman"/>
          <w:color w:val="000000" w:themeColor="text1"/>
          <w:sz w:val="16"/>
          <w:szCs w:val="16"/>
        </w:rPr>
        <w:t>мпаний</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Сперри</w:t>
      </w:r>
      <w:proofErr w:type="spellEnd"/>
      <w:r w:rsidRPr="007122AB">
        <w:rPr>
          <w:rFonts w:ascii="Times New Roman" w:hAnsi="Times New Roman"/>
          <w:color w:val="000000" w:themeColor="text1"/>
          <w:sz w:val="16"/>
          <w:szCs w:val="16"/>
        </w:rPr>
        <w:t>-гироскоп» и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70F6FD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w:t>
      </w:r>
      <w:proofErr w:type="spellStart"/>
      <w:r w:rsidRPr="007122AB">
        <w:rPr>
          <w:rFonts w:ascii="Times New Roman" w:hAnsi="Times New Roman"/>
          <w:color w:val="000000" w:themeColor="text1"/>
          <w:sz w:val="16"/>
          <w:szCs w:val="16"/>
        </w:rPr>
        <w:t>Рубинина</w:t>
      </w:r>
      <w:proofErr w:type="spellEnd"/>
      <w:r w:rsidRPr="007122AB">
        <w:rPr>
          <w:rFonts w:ascii="Times New Roman" w:hAnsi="Times New Roman"/>
          <w:color w:val="000000" w:themeColor="text1"/>
          <w:sz w:val="16"/>
          <w:szCs w:val="16"/>
        </w:rPr>
        <w:t xml:space="preserve">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4E6F5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г[-н] </w:t>
      </w:r>
      <w:proofErr w:type="spellStart"/>
      <w:r w:rsidRPr="007122AB">
        <w:rPr>
          <w:rFonts w:ascii="Times New Roman" w:hAnsi="Times New Roman"/>
          <w:color w:val="000000" w:themeColor="text1"/>
          <w:sz w:val="16"/>
          <w:szCs w:val="16"/>
        </w:rPr>
        <w:t>Тальбот</w:t>
      </w:r>
      <w:proofErr w:type="spellEnd"/>
      <w:r w:rsidRPr="007122AB">
        <w:rPr>
          <w:rFonts w:ascii="Times New Roman" w:hAnsi="Times New Roman"/>
          <w:color w:val="000000" w:themeColor="text1"/>
          <w:sz w:val="16"/>
          <w:szCs w:val="16"/>
        </w:rPr>
        <w:t xml:space="preserve"> с письмом, в котором, ссылаясь на вышеупомянутые предложения Томаса Моргана и на последующие их беседы с тт. Силиным и </w:t>
      </w:r>
      <w:proofErr w:type="spellStart"/>
      <w:r w:rsidRPr="007122AB">
        <w:rPr>
          <w:rFonts w:ascii="Times New Roman" w:hAnsi="Times New Roman"/>
          <w:color w:val="000000" w:themeColor="text1"/>
          <w:sz w:val="16"/>
          <w:szCs w:val="16"/>
        </w:rPr>
        <w:t>Ангеловым</w:t>
      </w:r>
      <w:proofErr w:type="spellEnd"/>
      <w:r w:rsidRPr="007122AB">
        <w:rPr>
          <w:rFonts w:ascii="Times New Roman" w:hAnsi="Times New Roman"/>
          <w:color w:val="000000" w:themeColor="text1"/>
          <w:sz w:val="16"/>
          <w:szCs w:val="16"/>
        </w:rPr>
        <w:t xml:space="preserve">,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w:t>
      </w:r>
      <w:proofErr w:type="spellStart"/>
      <w:r w:rsidRPr="007122AB">
        <w:rPr>
          <w:rFonts w:ascii="Times New Roman" w:hAnsi="Times New Roman"/>
          <w:color w:val="000000" w:themeColor="text1"/>
          <w:sz w:val="16"/>
          <w:szCs w:val="16"/>
        </w:rPr>
        <w:t>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анцию</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Рухлово</w:t>
      </w:r>
      <w:proofErr w:type="spellEnd"/>
      <w:r w:rsidRPr="007122AB">
        <w:rPr>
          <w:rFonts w:ascii="Times New Roman" w:hAnsi="Times New Roman"/>
          <w:color w:val="000000" w:themeColor="text1"/>
          <w:sz w:val="16"/>
          <w:szCs w:val="16"/>
        </w:rPr>
        <w:t xml:space="preserve">). </w:t>
      </w:r>
    </w:p>
    <w:p w14:paraId="20BA0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Богданов и Петров тогда сообщили нам, что хотя они с фирмой подробностей не обсуждали, но с ее слов можно было понять, что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xml:space="preserve">]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1AA6A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15.XII. 33 г., уже после установления дипотношений с США, вице-президент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06A884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3-й Западный отдел направил это последнее обращение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тов. </w:t>
      </w:r>
      <w:proofErr w:type="spellStart"/>
      <w:r w:rsidRPr="007122AB">
        <w:rPr>
          <w:rFonts w:ascii="Times New Roman" w:hAnsi="Times New Roman"/>
          <w:color w:val="000000" w:themeColor="text1"/>
          <w:sz w:val="16"/>
          <w:szCs w:val="16"/>
        </w:rPr>
        <w:t>Уншлихту</w:t>
      </w:r>
      <w:proofErr w:type="spellEnd"/>
      <w:r w:rsidRPr="007122AB">
        <w:rPr>
          <w:rFonts w:ascii="Times New Roman" w:hAnsi="Times New Roman"/>
          <w:color w:val="000000" w:themeColor="text1"/>
          <w:sz w:val="16"/>
          <w:szCs w:val="16"/>
        </w:rPr>
        <w:t xml:space="preserve">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09EFB2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Примечание: </w:t>
      </w:r>
    </w:p>
    <w:p w14:paraId="4BA6C6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 фирме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w:t>
      </w:r>
      <w:proofErr w:type="spellStart"/>
      <w:r w:rsidRPr="007122AB">
        <w:rPr>
          <w:rFonts w:ascii="Times New Roman" w:hAnsi="Times New Roman"/>
          <w:color w:val="000000" w:themeColor="text1"/>
          <w:sz w:val="16"/>
          <w:szCs w:val="16"/>
        </w:rPr>
        <w:t>транстихоокеанских</w:t>
      </w:r>
      <w:proofErr w:type="spellEnd"/>
      <w:r w:rsidRPr="007122AB">
        <w:rPr>
          <w:rFonts w:ascii="Times New Roman" w:hAnsi="Times New Roman"/>
          <w:color w:val="000000" w:themeColor="text1"/>
          <w:sz w:val="16"/>
          <w:szCs w:val="16"/>
        </w:rPr>
        <w:t xml:space="preserve"> планах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которая через свое дочернее предприятие «Чайна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владеет 45% акций американо-китайской ко[</w:t>
      </w:r>
      <w:proofErr w:type="spellStart"/>
      <w:r w:rsidRPr="007122AB">
        <w:rPr>
          <w:rFonts w:ascii="Times New Roman" w:hAnsi="Times New Roman"/>
          <w:color w:val="000000" w:themeColor="text1"/>
          <w:sz w:val="16"/>
          <w:szCs w:val="16"/>
        </w:rPr>
        <w:t>мпании</w:t>
      </w:r>
      <w:proofErr w:type="spellEnd"/>
      <w:r w:rsidRPr="007122AB">
        <w:rPr>
          <w:rFonts w:ascii="Times New Roman" w:hAnsi="Times New Roman"/>
          <w:color w:val="000000" w:themeColor="text1"/>
          <w:sz w:val="16"/>
          <w:szCs w:val="16"/>
        </w:rPr>
        <w:t xml:space="preserve">] «Чайна </w:t>
      </w:r>
      <w:proofErr w:type="spellStart"/>
      <w:r w:rsidRPr="007122AB">
        <w:rPr>
          <w:rFonts w:ascii="Times New Roman" w:hAnsi="Times New Roman"/>
          <w:color w:val="000000" w:themeColor="text1"/>
          <w:sz w:val="16"/>
          <w:szCs w:val="16"/>
        </w:rPr>
        <w:t>нэшнл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Следующим шагом будет связь линии Шанхай — Кантон с Гонконгом, откуда, в свою очередь, пойдет линия на Филиппинские острова. В дальнейшем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«Пасифик-</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приступит к установлению линий протяжением примерно в 6000 миль от Сан-Франциско до Манилы. </w:t>
      </w:r>
    </w:p>
    <w:p w14:paraId="58164D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 фирме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известно (по ее собственной информации), что она владеет целиком и активно руководит: </w:t>
      </w:r>
    </w:p>
    <w:p w14:paraId="6AAE29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фирмой «</w:t>
      </w:r>
      <w:proofErr w:type="spellStart"/>
      <w:r w:rsidRPr="007122AB">
        <w:rPr>
          <w:rFonts w:ascii="Times New Roman" w:hAnsi="Times New Roman"/>
          <w:color w:val="000000" w:themeColor="text1"/>
          <w:sz w:val="16"/>
          <w:szCs w:val="16"/>
        </w:rPr>
        <w:t>Сперри</w:t>
      </w:r>
      <w:proofErr w:type="spellEnd"/>
      <w:r w:rsidRPr="007122AB">
        <w:rPr>
          <w:rFonts w:ascii="Times New Roman" w:hAnsi="Times New Roman"/>
          <w:color w:val="000000" w:themeColor="text1"/>
          <w:sz w:val="16"/>
          <w:szCs w:val="16"/>
        </w:rPr>
        <w:t xml:space="preserve"> гироскоп», производящей гироскопические аппараты для пароходов и других навигационных целей, а также контрольную аппаратуру для аэропланов; </w:t>
      </w:r>
    </w:p>
    <w:p w14:paraId="368D5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«Форд инструмент Ко»; </w:t>
      </w:r>
    </w:p>
    <w:p w14:paraId="674F8C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«Берлинер — Джойс </w:t>
      </w:r>
      <w:proofErr w:type="spellStart"/>
      <w:r w:rsidRPr="007122AB">
        <w:rPr>
          <w:rFonts w:ascii="Times New Roman" w:hAnsi="Times New Roman"/>
          <w:color w:val="000000" w:themeColor="text1"/>
          <w:sz w:val="16"/>
          <w:szCs w:val="16"/>
        </w:rPr>
        <w:t>эркрафт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производящей быстроходные военные самолеты и </w:t>
      </w:r>
    </w:p>
    <w:p w14:paraId="71CE84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1ACDBA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владеет солидным пакетом акций фирмы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и «Дуглас </w:t>
      </w:r>
      <w:proofErr w:type="spellStart"/>
      <w:r w:rsidRPr="007122AB">
        <w:rPr>
          <w:rFonts w:ascii="Times New Roman" w:hAnsi="Times New Roman"/>
          <w:color w:val="000000" w:themeColor="text1"/>
          <w:sz w:val="16"/>
          <w:szCs w:val="16"/>
        </w:rPr>
        <w:t>эркрафт</w:t>
      </w:r>
      <w:proofErr w:type="spellEnd"/>
      <w:r w:rsidRPr="007122AB">
        <w:rPr>
          <w:rFonts w:ascii="Times New Roman" w:hAnsi="Times New Roman"/>
          <w:color w:val="000000" w:themeColor="text1"/>
          <w:sz w:val="16"/>
          <w:szCs w:val="16"/>
        </w:rPr>
        <w:t xml:space="preserve"> Ко» (два выдающихся производителя самолетов в США) и является активным участником фирмы «</w:t>
      </w:r>
      <w:proofErr w:type="spellStart"/>
      <w:r w:rsidRPr="007122AB">
        <w:rPr>
          <w:rFonts w:ascii="Times New Roman" w:hAnsi="Times New Roman"/>
          <w:color w:val="000000" w:themeColor="text1"/>
          <w:sz w:val="16"/>
          <w:szCs w:val="16"/>
        </w:rPr>
        <w:t>Трансконтинентл-уэстерн</w:t>
      </w:r>
      <w:proofErr w:type="spellEnd"/>
      <w:r w:rsidRPr="007122AB">
        <w:rPr>
          <w:rFonts w:ascii="Times New Roman" w:hAnsi="Times New Roman"/>
          <w:color w:val="000000" w:themeColor="text1"/>
          <w:sz w:val="16"/>
          <w:szCs w:val="16"/>
        </w:rPr>
        <w:t xml:space="preserve"> эр». </w:t>
      </w:r>
    </w:p>
    <w:p w14:paraId="616A7B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Она также активно участвует в «</w:t>
      </w:r>
      <w:proofErr w:type="spellStart"/>
      <w:r w:rsidRPr="007122AB">
        <w:rPr>
          <w:rFonts w:ascii="Times New Roman" w:hAnsi="Times New Roman"/>
          <w:color w:val="000000" w:themeColor="text1"/>
          <w:sz w:val="16"/>
          <w:szCs w:val="16"/>
        </w:rPr>
        <w:t>Интерконтинентл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через которую она инвестирует капиталы в авиационных предприятиях за границей. </w:t>
      </w:r>
    </w:p>
    <w:p w14:paraId="4D21EB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 3-м Западным отделом Е. РУБИНИН </w:t>
      </w:r>
    </w:p>
    <w:p w14:paraId="295C04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Отв. референт С. СТОЛЯР </w:t>
      </w:r>
    </w:p>
    <w:p w14:paraId="4A20A2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 Оп. 14. П. 101. Д. 84. Л. 1—3. Подлинник (11430).</w:t>
      </w:r>
    </w:p>
    <w:p w14:paraId="60FD67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6992A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lastRenderedPageBreak/>
        <w:t>Другие оборонные отрасли:</w:t>
      </w:r>
    </w:p>
    <w:p w14:paraId="112C300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73BD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декабря 1931 года на совещании представителей управлений завода «Красное Сормово» и Всесоюзного орудийного арсенального объединения (ВОАО) был рассмотрен вопрос о передаче нового завода и нового строительства в ведение ВОАО. С 1 января 1932 года завод «Новое Сормово», как в то время он именовался был выделен в самостоятельный завод и передан ВОАО для организации производства орудийных систем.</w:t>
      </w:r>
    </w:p>
    <w:p w14:paraId="7DB26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Генеральный план и все проекты цехов и промышленных сооружений были разработаны специально организованным проектным бюро ВОАО в 1931-1933 гг.</w:t>
      </w:r>
    </w:p>
    <w:p w14:paraId="3F4D86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НКТП от 20 августа 1933 года завод стал именоваться Машиностроительный завод «Новое Сормово» № 92 с подчинением ГКТП. С 1934 года начался валовый выпуск артсистем. В 1937 года завод перешел в подчинение НКВ. С 5 января 1941 года заводу присваивается наименование Завод № 92 им. И.В. Сталина. С 1943 года завод именуется Артиллерийский завод им. И.В. Сталина. С 1946 года завод подчинен Министерству вооружения. С 1948 по 1953 гг. завод именуется: Четырежды орденоносный завод им. И.В. Сталина Министерства вооружения. С 1953 по 1957 гг. завод именуется: Завод им. И.В. Сталина Министерства оборонной промышленности. С 1957 по 1960-е гг. – завод «Новое Сормово» им. Сталина Горьковского </w:t>
      </w:r>
      <w:proofErr w:type="spellStart"/>
      <w:r w:rsidRPr="007122AB">
        <w:rPr>
          <w:rFonts w:ascii="Times New Roman" w:hAnsi="Times New Roman"/>
          <w:color w:val="000000" w:themeColor="text1"/>
          <w:sz w:val="16"/>
          <w:szCs w:val="16"/>
        </w:rPr>
        <w:t>Совнархозв</w:t>
      </w:r>
      <w:proofErr w:type="spellEnd"/>
      <w:r w:rsidRPr="007122AB">
        <w:rPr>
          <w:rFonts w:ascii="Times New Roman" w:hAnsi="Times New Roman"/>
          <w:color w:val="000000" w:themeColor="text1"/>
          <w:sz w:val="16"/>
          <w:szCs w:val="16"/>
        </w:rPr>
        <w:t>.</w:t>
      </w:r>
    </w:p>
    <w:p w14:paraId="1C221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Распоряжением Совнархоза № 33рс от 13 января 1960 года указано в открытой переписке именовать завод – организация п/я 52.</w:t>
      </w:r>
    </w:p>
    <w:p w14:paraId="62EDC7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СМ РСФСР от 20 ноября 1961 года за № 147-171 и распоряжением Горьковского Совнархоза за № 809 от 29 ноября 1961 года завод именуется – Машиностроительный завод Горьковского Совнархоза.</w:t>
      </w:r>
    </w:p>
    <w:p w14:paraId="5715CB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Министерства оборонной промышленности № 1сс от 11 марта 1965 года завод именуется – Машиностроительный завод, Горький (10249).</w:t>
      </w:r>
    </w:p>
    <w:p w14:paraId="7A1C71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2A78D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686B681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B85F2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декабря 1931 г. сильный шторм выбросил на прибрежные камни одного из островов в Эгейском море парохода «Ильич», загруженный 2000 тонн чая. На получение разрешения от турецких властей для снятия "Ильича" силами ЭПРОН и согласование действий ушло почти полтора месяца. Положение парохода за это время значительно ухудшилось. Корпус еще больше разбило о камни, многие отсеки были затоплены. Работы были чрезвычайно ответственны, поскольку случай получил широкую международную огласку и освещался зарубежной прессой, престиж государства и ЭПРОН не должен был пострадать. Работа проводилась при участии партии ЭПРОН под руководством водолазного специалиста В. Правдина и ледоколами «Торос» и «Шалва Элиава». Пробоины были заделаны мешками с цементом пронизанными стальными прутьями и цементными ящиками, мелкие отверстия от выбитых заклепок - пробками, вода из затопленных отсеков откачана в расчетное время. В. Правдин точно рассчитал приливную волну от нагонного ветра, и снятие парохода с камней прошло гладко в присутствии большого скопления людей. В первых числах февраля 1932 г. пароход был приведен в Севастополь, престиж страны был сохранен, а действия ЭПРОН высоко оценены международной прессой и руководством страны (11630).</w:t>
      </w:r>
    </w:p>
    <w:p w14:paraId="5CAF7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10C006" w14:textId="77777777" w:rsidR="00C8072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67A379A6" w14:textId="77777777" w:rsidR="00C80728" w:rsidRPr="007122AB" w:rsidRDefault="00C8072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7EBC7C"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 декабря 1931 экипажи решили лететь во что бы то ни стало, сидеть дальше в грязи и бездействии они не могли, несмотря на то, что гражданские лётчики в тот день отка</w:t>
      </w:r>
      <w:r w:rsidRPr="007122AB">
        <w:rPr>
          <w:rFonts w:ascii="Times New Roman" w:hAnsi="Times New Roman"/>
          <w:color w:val="000000" w:themeColor="text1"/>
          <w:sz w:val="16"/>
          <w:szCs w:val="16"/>
        </w:rPr>
        <w:softHyphen/>
        <w:t xml:space="preserve">зались от полёта. 21 декабря в 7-45 самолёты вылетели в </w:t>
      </w:r>
      <w:proofErr w:type="spellStart"/>
      <w:r w:rsidRPr="007122AB">
        <w:rPr>
          <w:rFonts w:ascii="Times New Roman" w:hAnsi="Times New Roman"/>
          <w:color w:val="000000" w:themeColor="text1"/>
          <w:sz w:val="16"/>
          <w:szCs w:val="16"/>
        </w:rPr>
        <w:t>Бахты</w:t>
      </w:r>
      <w:proofErr w:type="spellEnd"/>
      <w:r w:rsidRPr="007122AB">
        <w:rPr>
          <w:rFonts w:ascii="Times New Roman" w:hAnsi="Times New Roman"/>
          <w:color w:val="000000" w:themeColor="text1"/>
          <w:sz w:val="16"/>
          <w:szCs w:val="16"/>
        </w:rPr>
        <w:t>. 22-23 декабря в по</w:t>
      </w:r>
      <w:r w:rsidRPr="007122AB">
        <w:rPr>
          <w:rFonts w:ascii="Times New Roman" w:hAnsi="Times New Roman"/>
          <w:color w:val="000000" w:themeColor="text1"/>
          <w:sz w:val="16"/>
          <w:szCs w:val="16"/>
        </w:rPr>
        <w:softHyphen/>
        <w:t xml:space="preserve">граничном пункте </w:t>
      </w:r>
      <w:proofErr w:type="spellStart"/>
      <w:r w:rsidRPr="007122AB">
        <w:rPr>
          <w:rFonts w:ascii="Times New Roman" w:hAnsi="Times New Roman"/>
          <w:color w:val="000000" w:themeColor="text1"/>
          <w:sz w:val="16"/>
          <w:szCs w:val="16"/>
        </w:rPr>
        <w:t>Бахты</w:t>
      </w:r>
      <w:proofErr w:type="spellEnd"/>
      <w:r w:rsidRPr="007122AB">
        <w:rPr>
          <w:rFonts w:ascii="Times New Roman" w:hAnsi="Times New Roman"/>
          <w:color w:val="000000" w:themeColor="text1"/>
          <w:sz w:val="16"/>
          <w:szCs w:val="16"/>
        </w:rPr>
        <w:t xml:space="preserve"> состоялась официальная сдача Синьцзянским властям само</w:t>
      </w:r>
      <w:r w:rsidRPr="007122AB">
        <w:rPr>
          <w:rFonts w:ascii="Times New Roman" w:hAnsi="Times New Roman"/>
          <w:color w:val="000000" w:themeColor="text1"/>
          <w:sz w:val="16"/>
          <w:szCs w:val="16"/>
        </w:rPr>
        <w:softHyphen/>
        <w:t>лётов Р-1 и авиационного снаряжения. Берестецкий отмечал это событие как факт «исторической важности».</w:t>
      </w:r>
    </w:p>
    <w:p w14:paraId="6A119917"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при этом возник целый «букет» дипломатических «проколов» и «накладок». Во- первых, специально приглашенные в Синьцзян из Центрального Китая лётчики и техниче</w:t>
      </w:r>
      <w:r w:rsidRPr="007122AB">
        <w:rPr>
          <w:rFonts w:ascii="Times New Roman" w:hAnsi="Times New Roman"/>
          <w:color w:val="000000" w:themeColor="text1"/>
          <w:sz w:val="16"/>
          <w:szCs w:val="16"/>
        </w:rPr>
        <w:softHyphen/>
        <w:t xml:space="preserve">ские приёмщики, не дождавшись в </w:t>
      </w:r>
      <w:proofErr w:type="spellStart"/>
      <w:r w:rsidRPr="007122AB">
        <w:rPr>
          <w:rFonts w:ascii="Times New Roman" w:hAnsi="Times New Roman"/>
          <w:color w:val="000000" w:themeColor="text1"/>
          <w:sz w:val="16"/>
          <w:szCs w:val="16"/>
        </w:rPr>
        <w:t>Бахтах</w:t>
      </w:r>
      <w:proofErr w:type="spellEnd"/>
      <w:r w:rsidRPr="007122AB">
        <w:rPr>
          <w:rFonts w:ascii="Times New Roman" w:hAnsi="Times New Roman"/>
          <w:color w:val="000000" w:themeColor="text1"/>
          <w:sz w:val="16"/>
          <w:szCs w:val="16"/>
        </w:rPr>
        <w:t xml:space="preserve"> самолётов, вернулись в Урумчи. «Особо-Упол</w:t>
      </w:r>
      <w:r w:rsidRPr="007122AB">
        <w:rPr>
          <w:rFonts w:ascii="Times New Roman" w:hAnsi="Times New Roman"/>
          <w:color w:val="000000" w:themeColor="text1"/>
          <w:sz w:val="16"/>
          <w:szCs w:val="16"/>
        </w:rPr>
        <w:softHyphen/>
        <w:t xml:space="preserve">номоченный» Синьцзянского Правительства </w:t>
      </w:r>
      <w:proofErr w:type="spellStart"/>
      <w:r w:rsidRPr="007122AB">
        <w:rPr>
          <w:rFonts w:ascii="Times New Roman" w:hAnsi="Times New Roman"/>
          <w:color w:val="000000" w:themeColor="text1"/>
          <w:sz w:val="16"/>
          <w:szCs w:val="16"/>
        </w:rPr>
        <w:t>Саранчун</w:t>
      </w:r>
      <w:proofErr w:type="spellEnd"/>
      <w:r w:rsidRPr="007122AB">
        <w:rPr>
          <w:rFonts w:ascii="Times New Roman" w:hAnsi="Times New Roman"/>
          <w:color w:val="000000" w:themeColor="text1"/>
          <w:sz w:val="16"/>
          <w:szCs w:val="16"/>
        </w:rPr>
        <w:t xml:space="preserve"> сам считать бочки не захотел, ведь он собирался «прилететь в Китай на самолете». Тогда Берестецкий предложил включить в акт приемщиком с китайской стороны самого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как «Начальника лётной группы Синьцзянского Правительства, сведущего в технических вопросах». Возражений не было. Все имущество сдали общим списком, бочки и ящики не считали.</w:t>
      </w:r>
    </w:p>
    <w:p w14:paraId="402B0277"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Второй дипломатический «прокол» получился при обсуждении вопроса, как обстоит дело с учебными У-2. Берестецкий, зная о продаже двух машин и планах перегонки их теми же экипажами, попытался объяснить задержку отправки тем, что «перелёт ещё не закончен по метеоусловиям». Однако </w:t>
      </w:r>
      <w:proofErr w:type="spellStart"/>
      <w:r w:rsidRPr="007122AB">
        <w:rPr>
          <w:rFonts w:ascii="Times New Roman" w:hAnsi="Times New Roman"/>
          <w:color w:val="000000" w:themeColor="text1"/>
          <w:sz w:val="16"/>
          <w:szCs w:val="16"/>
        </w:rPr>
        <w:t>Саранчун</w:t>
      </w:r>
      <w:proofErr w:type="spellEnd"/>
      <w:r w:rsidRPr="007122AB">
        <w:rPr>
          <w:rFonts w:ascii="Times New Roman" w:hAnsi="Times New Roman"/>
          <w:color w:val="000000" w:themeColor="text1"/>
          <w:sz w:val="16"/>
          <w:szCs w:val="16"/>
        </w:rPr>
        <w:t xml:space="preserve"> уже имел информацию, что после завершения переговоров в Москве Генконсул Синьцзяна ждет представителей НКИД в Ташкенте для их продолжения.</w:t>
      </w:r>
    </w:p>
    <w:p w14:paraId="4D0A536A"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Третья дипломатическая «накладка» была связана с тем, что «ответственному пред</w:t>
      </w:r>
      <w:r w:rsidRPr="007122AB">
        <w:rPr>
          <w:rFonts w:ascii="Times New Roman" w:hAnsi="Times New Roman"/>
          <w:color w:val="000000" w:themeColor="text1"/>
          <w:sz w:val="16"/>
          <w:szCs w:val="16"/>
        </w:rPr>
        <w:softHyphen/>
        <w:t>ставителю ВСНХ СССР, сдающему самолёты за рубеж», даже не оформили загранпа</w:t>
      </w:r>
      <w:r w:rsidRPr="007122AB">
        <w:rPr>
          <w:rFonts w:ascii="Times New Roman" w:hAnsi="Times New Roman"/>
          <w:color w:val="000000" w:themeColor="text1"/>
          <w:sz w:val="16"/>
          <w:szCs w:val="16"/>
        </w:rPr>
        <w:softHyphen/>
        <w:t xml:space="preserve">спорт (!?). Поэтому, когда Берестецкого стали усиленно приглашать в </w:t>
      </w:r>
      <w:proofErr w:type="spellStart"/>
      <w:r w:rsidRPr="007122AB">
        <w:rPr>
          <w:rFonts w:ascii="Times New Roman" w:hAnsi="Times New Roman"/>
          <w:color w:val="000000" w:themeColor="text1"/>
          <w:sz w:val="16"/>
          <w:szCs w:val="16"/>
        </w:rPr>
        <w:t>Чугучак</w:t>
      </w:r>
      <w:proofErr w:type="spellEnd"/>
      <w:r w:rsidRPr="007122AB">
        <w:rPr>
          <w:rFonts w:ascii="Times New Roman" w:hAnsi="Times New Roman"/>
          <w:color w:val="000000" w:themeColor="text1"/>
          <w:sz w:val="16"/>
          <w:szCs w:val="16"/>
        </w:rPr>
        <w:t xml:space="preserve"> на банкет по случаю прибытия советских самолётов, тот, чтобы «не терять лицо», вежли</w:t>
      </w:r>
      <w:r w:rsidRPr="007122AB">
        <w:rPr>
          <w:rFonts w:ascii="Times New Roman" w:hAnsi="Times New Roman"/>
          <w:color w:val="000000" w:themeColor="text1"/>
          <w:sz w:val="16"/>
          <w:szCs w:val="16"/>
        </w:rPr>
        <w:softHyphen/>
        <w:t xml:space="preserve">во извинился и отказался ехать со ссылкой на необходимость срочного продвижения запчастей (эти «усилия» описаны выше). Далее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пришлось решать все «авиационно-дипломатические» вопросы в одиночку.</w:t>
      </w:r>
    </w:p>
    <w:p w14:paraId="202EEE97"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«церемонии» с подписанием акта все поехали на аэродром провожать самолё</w:t>
      </w:r>
      <w:r w:rsidRPr="007122AB">
        <w:rPr>
          <w:rFonts w:ascii="Times New Roman" w:hAnsi="Times New Roman"/>
          <w:color w:val="000000" w:themeColor="text1"/>
          <w:sz w:val="16"/>
          <w:szCs w:val="16"/>
        </w:rPr>
        <w:softHyphen/>
        <w:t xml:space="preserve">ты в </w:t>
      </w:r>
      <w:proofErr w:type="spellStart"/>
      <w:r w:rsidRPr="007122AB">
        <w:rPr>
          <w:rFonts w:ascii="Times New Roman" w:hAnsi="Times New Roman"/>
          <w:color w:val="000000" w:themeColor="text1"/>
          <w:sz w:val="16"/>
          <w:szCs w:val="16"/>
        </w:rPr>
        <w:t>Чугучак</w:t>
      </w:r>
      <w:proofErr w:type="spellEnd"/>
      <w:r w:rsidRPr="007122AB">
        <w:rPr>
          <w:rFonts w:ascii="Times New Roman" w:hAnsi="Times New Roman"/>
          <w:color w:val="000000" w:themeColor="text1"/>
          <w:sz w:val="16"/>
          <w:szCs w:val="16"/>
        </w:rPr>
        <w:t xml:space="preserve">. Берестецкого также проинформировали, что Моу </w:t>
      </w:r>
      <w:proofErr w:type="spellStart"/>
      <w:r w:rsidRPr="007122AB">
        <w:rPr>
          <w:rFonts w:ascii="Times New Roman" w:hAnsi="Times New Roman"/>
          <w:color w:val="000000" w:themeColor="text1"/>
          <w:sz w:val="16"/>
          <w:szCs w:val="16"/>
        </w:rPr>
        <w:t>Вейтун</w:t>
      </w:r>
      <w:proofErr w:type="spellEnd"/>
      <w:r w:rsidRPr="007122AB">
        <w:rPr>
          <w:rFonts w:ascii="Times New Roman" w:hAnsi="Times New Roman"/>
          <w:color w:val="000000" w:themeColor="text1"/>
          <w:sz w:val="16"/>
          <w:szCs w:val="16"/>
        </w:rPr>
        <w:t xml:space="preserve"> получил задание сделать новую заявку на воен</w:t>
      </w:r>
      <w:r w:rsidRPr="007122AB">
        <w:rPr>
          <w:rFonts w:ascii="Times New Roman" w:hAnsi="Times New Roman"/>
          <w:color w:val="000000" w:themeColor="text1"/>
          <w:sz w:val="16"/>
          <w:szCs w:val="16"/>
        </w:rPr>
        <w:softHyphen/>
        <w:t>ное снаряжение и вооружение для Синьцзяна. (По китайским источникам, в октябре 1931 г. Синьцзян закупил в СССР по четыре Р-1 и У-2, и два пас</w:t>
      </w:r>
      <w:r w:rsidRPr="007122AB">
        <w:rPr>
          <w:rFonts w:ascii="Times New Roman" w:hAnsi="Times New Roman"/>
          <w:color w:val="000000" w:themeColor="text1"/>
          <w:sz w:val="16"/>
          <w:szCs w:val="16"/>
        </w:rPr>
        <w:softHyphen/>
        <w:t>сажирских К-5).</w:t>
      </w:r>
    </w:p>
    <w:p w14:paraId="4383CB9B" w14:textId="77777777" w:rsidR="00C80728" w:rsidRPr="007122AB" w:rsidRDefault="00C80728" w:rsidP="007122AB">
      <w:pPr>
        <w:tabs>
          <w:tab w:val="left" w:pos="4933"/>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Ситуацию с К-5 рассмотрим дальше, а относительно пары У-2 с запросом в УВВС о воз</w:t>
      </w:r>
      <w:r w:rsidRPr="007122AB">
        <w:rPr>
          <w:rFonts w:ascii="Times New Roman" w:hAnsi="Times New Roman"/>
          <w:color w:val="000000" w:themeColor="text1"/>
          <w:sz w:val="16"/>
          <w:szCs w:val="16"/>
        </w:rPr>
        <w:softHyphen/>
        <w:t>можности их продажи обрати</w:t>
      </w:r>
      <w:r w:rsidRPr="007122AB">
        <w:rPr>
          <w:rFonts w:ascii="Times New Roman" w:hAnsi="Times New Roman"/>
          <w:color w:val="000000" w:themeColor="text1"/>
          <w:sz w:val="16"/>
          <w:szCs w:val="16"/>
        </w:rPr>
        <w:softHyphen/>
        <w:t>лись ещё 12 ноября 1931 г. Резолюция Я.И. Алксниса, ко</w:t>
      </w:r>
      <w:r w:rsidRPr="007122AB">
        <w:rPr>
          <w:rFonts w:ascii="Times New Roman" w:hAnsi="Times New Roman"/>
          <w:color w:val="000000" w:themeColor="text1"/>
          <w:sz w:val="16"/>
          <w:szCs w:val="16"/>
        </w:rPr>
        <w:softHyphen/>
        <w:t>торого просили «подтвердить возможность продажи», не ос</w:t>
      </w:r>
      <w:r w:rsidRPr="007122AB">
        <w:rPr>
          <w:rFonts w:ascii="Times New Roman" w:hAnsi="Times New Roman"/>
          <w:color w:val="000000" w:themeColor="text1"/>
          <w:sz w:val="16"/>
          <w:szCs w:val="16"/>
        </w:rPr>
        <w:softHyphen/>
        <w:t>тавляла никакого сомнения в истинном его отношении к «</w:t>
      </w:r>
      <w:proofErr w:type="spellStart"/>
      <w:r w:rsidRPr="007122AB">
        <w:rPr>
          <w:rFonts w:ascii="Times New Roman" w:hAnsi="Times New Roman"/>
          <w:color w:val="000000" w:themeColor="text1"/>
          <w:sz w:val="16"/>
          <w:szCs w:val="16"/>
        </w:rPr>
        <w:t>авиавнешпосылторгу</w:t>
      </w:r>
      <w:proofErr w:type="spellEnd"/>
      <w:r w:rsidRPr="007122AB">
        <w:rPr>
          <w:rFonts w:ascii="Times New Roman" w:hAnsi="Times New Roman"/>
          <w:color w:val="000000" w:themeColor="text1"/>
          <w:sz w:val="16"/>
          <w:szCs w:val="16"/>
        </w:rPr>
        <w:t>»: «Я са</w:t>
      </w:r>
      <w:r w:rsidRPr="007122AB">
        <w:rPr>
          <w:rFonts w:ascii="Times New Roman" w:hAnsi="Times New Roman"/>
          <w:color w:val="000000" w:themeColor="text1"/>
          <w:sz w:val="16"/>
          <w:szCs w:val="16"/>
        </w:rPr>
        <w:softHyphen/>
        <w:t>молётов не произвожу и ими не торгую. Надо, чтобы все это происходило через ВАО» (15802).</w:t>
      </w:r>
    </w:p>
    <w:p w14:paraId="3226CE5A" w14:textId="77777777" w:rsidR="00C80728" w:rsidRPr="007122AB" w:rsidRDefault="00C80728" w:rsidP="007122AB">
      <w:pPr>
        <w:tabs>
          <w:tab w:val="left" w:pos="550"/>
        </w:tabs>
        <w:spacing w:after="0" w:line="240" w:lineRule="auto"/>
        <w:jc w:val="both"/>
        <w:rPr>
          <w:rFonts w:ascii="Times New Roman" w:hAnsi="Times New Roman"/>
          <w:color w:val="000000" w:themeColor="text1"/>
          <w:sz w:val="16"/>
          <w:szCs w:val="16"/>
        </w:rPr>
      </w:pPr>
    </w:p>
    <w:p w14:paraId="15C732C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5F2EAB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322F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декабря 1931 года начальник ВОГВФ </w:t>
      </w:r>
      <w:proofErr w:type="spellStart"/>
      <w:r w:rsidRPr="007122AB">
        <w:rPr>
          <w:rFonts w:ascii="Times New Roman" w:hAnsi="Times New Roman"/>
          <w:color w:val="000000" w:themeColor="text1"/>
          <w:sz w:val="16"/>
          <w:szCs w:val="16"/>
        </w:rPr>
        <w:t>Гольцман</w:t>
      </w:r>
      <w:proofErr w:type="spellEnd"/>
      <w:r w:rsidRPr="007122AB">
        <w:rPr>
          <w:rFonts w:ascii="Times New Roman" w:hAnsi="Times New Roman"/>
          <w:color w:val="000000" w:themeColor="text1"/>
          <w:sz w:val="16"/>
          <w:szCs w:val="16"/>
        </w:rPr>
        <w:t xml:space="preserve"> писал письмо № 10/1620с в Политбюро ЦК ВКП(б)</w:t>
      </w:r>
    </w:p>
    <w:p w14:paraId="10852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Дизельного института Мартенс сконструировал вместе с группой подчиненных ему работников авиационный дизель-мотор. Проект этого мотора рассматривался в УВВС и в ВОГВФ, где признано целесообразным немедленно заказать опытный его экземпляр.</w:t>
      </w:r>
    </w:p>
    <w:p w14:paraId="5EA09D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…………………..(7752, 83).</w:t>
      </w:r>
    </w:p>
    <w:p w14:paraId="52BA7D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A9B6CB"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21 декабря 1931 командир «С-1» В.Г. </w:t>
      </w:r>
      <w:proofErr w:type="spellStart"/>
      <w:r w:rsidRPr="007122AB">
        <w:rPr>
          <w:rFonts w:ascii="Times New Roman" w:hAnsi="Times New Roman"/>
          <w:color w:val="000000" w:themeColor="text1"/>
          <w:sz w:val="16"/>
          <w:szCs w:val="16"/>
        </w:rPr>
        <w:t>Гараканидзе</w:t>
      </w:r>
      <w:proofErr w:type="spellEnd"/>
      <w:r w:rsidRPr="007122AB">
        <w:rPr>
          <w:rFonts w:ascii="Times New Roman" w:hAnsi="Times New Roman"/>
          <w:color w:val="000000" w:themeColor="text1"/>
          <w:sz w:val="16"/>
          <w:szCs w:val="16"/>
        </w:rPr>
        <w:t xml:space="preserve"> выполнил первый управляемый полёт на С-1, продол</w:t>
      </w:r>
      <w:r w:rsidRPr="007122AB">
        <w:rPr>
          <w:rFonts w:ascii="Times New Roman" w:hAnsi="Times New Roman"/>
          <w:color w:val="000000" w:themeColor="text1"/>
          <w:sz w:val="16"/>
          <w:szCs w:val="16"/>
        </w:rPr>
        <w:softHyphen/>
        <w:t>жавшийся 2 ч 45 мин на высоте 250 м. В третьем полёте «С-1» потерпел аварию.</w:t>
      </w:r>
    </w:p>
    <w:p w14:paraId="42D63488"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возобновили весной следующе</w:t>
      </w:r>
      <w:r w:rsidRPr="007122AB">
        <w:rPr>
          <w:rFonts w:ascii="Times New Roman" w:hAnsi="Times New Roman"/>
          <w:color w:val="000000" w:themeColor="text1"/>
          <w:sz w:val="16"/>
          <w:szCs w:val="16"/>
        </w:rPr>
        <w:softHyphen/>
        <w:t xml:space="preserve">го года. 8-20 мая 1933 г. М.А. </w:t>
      </w:r>
      <w:proofErr w:type="spellStart"/>
      <w:r w:rsidRPr="007122AB">
        <w:rPr>
          <w:rFonts w:ascii="Times New Roman" w:hAnsi="Times New Roman"/>
          <w:color w:val="000000" w:themeColor="text1"/>
          <w:sz w:val="16"/>
          <w:szCs w:val="16"/>
        </w:rPr>
        <w:t>Гараканидзе</w:t>
      </w:r>
      <w:proofErr w:type="spellEnd"/>
      <w:r w:rsidRPr="007122AB">
        <w:rPr>
          <w:rFonts w:ascii="Times New Roman" w:hAnsi="Times New Roman"/>
          <w:color w:val="000000" w:themeColor="text1"/>
          <w:sz w:val="16"/>
          <w:szCs w:val="16"/>
        </w:rPr>
        <w:t xml:space="preserve"> со</w:t>
      </w:r>
      <w:r w:rsidRPr="007122AB">
        <w:rPr>
          <w:rFonts w:ascii="Times New Roman" w:hAnsi="Times New Roman"/>
          <w:color w:val="000000" w:themeColor="text1"/>
          <w:sz w:val="16"/>
          <w:szCs w:val="16"/>
        </w:rPr>
        <w:softHyphen/>
        <w:t>вершил семь полётов. Во время шестого полё</w:t>
      </w:r>
      <w:r w:rsidRPr="007122AB">
        <w:rPr>
          <w:rFonts w:ascii="Times New Roman" w:hAnsi="Times New Roman"/>
          <w:color w:val="000000" w:themeColor="text1"/>
          <w:sz w:val="16"/>
          <w:szCs w:val="16"/>
        </w:rPr>
        <w:softHyphen/>
        <w:t>та «С-1» за 3 ч 15 мин облетел вокруг Москвы по маршруту Кунцево — Люблино — Новоги</w:t>
      </w:r>
      <w:r w:rsidRPr="007122AB">
        <w:rPr>
          <w:rFonts w:ascii="Times New Roman" w:hAnsi="Times New Roman"/>
          <w:color w:val="000000" w:themeColor="text1"/>
          <w:sz w:val="16"/>
          <w:szCs w:val="16"/>
        </w:rPr>
        <w:softHyphen/>
        <w:t xml:space="preserve">реево — Лосиноостровское —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xml:space="preserve"> — Тушино — Кунцево.</w:t>
      </w:r>
    </w:p>
    <w:p w14:paraId="2EAA1462"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Сборка, стоянка на биваке и лётная работа «С-1» проходили в течение восьми месяцев в са</w:t>
      </w:r>
      <w:r w:rsidRPr="007122AB">
        <w:rPr>
          <w:rFonts w:ascii="Times New Roman" w:hAnsi="Times New Roman"/>
          <w:color w:val="000000" w:themeColor="text1"/>
          <w:sz w:val="16"/>
          <w:szCs w:val="16"/>
        </w:rPr>
        <w:softHyphen/>
        <w:t>мых тяжёлых условиях — мороз, дожди, ветер и бивак под открытым небом. Он перенёс две аварии: по одной в воздухе и на земле. Последняя случилась 29 апреля 1933 г., когда порывом ветра «С-1» сорвало с бивака. При этом разорвался пра</w:t>
      </w:r>
      <w:r w:rsidRPr="007122AB">
        <w:rPr>
          <w:rFonts w:ascii="Times New Roman" w:hAnsi="Times New Roman"/>
          <w:color w:val="000000" w:themeColor="text1"/>
          <w:sz w:val="16"/>
          <w:szCs w:val="16"/>
        </w:rPr>
        <w:softHyphen/>
        <w:t>вый бок оболочки, в десяти местах порвалась об</w:t>
      </w:r>
      <w:r w:rsidRPr="007122AB">
        <w:rPr>
          <w:rFonts w:ascii="Times New Roman" w:hAnsi="Times New Roman"/>
          <w:color w:val="000000" w:themeColor="text1"/>
          <w:sz w:val="16"/>
          <w:szCs w:val="16"/>
        </w:rPr>
        <w:softHyphen/>
        <w:t>тяжка хвостового оперения, погнулся его каркас. В течение двух суток повреждения устранили (20120).</w:t>
      </w:r>
    </w:p>
    <w:p w14:paraId="4DDCB84F" w14:textId="77777777" w:rsidR="000E52C6" w:rsidRPr="007122AB" w:rsidRDefault="000E52C6" w:rsidP="007122AB">
      <w:pPr>
        <w:spacing w:after="0" w:line="240" w:lineRule="auto"/>
        <w:jc w:val="both"/>
        <w:rPr>
          <w:rFonts w:ascii="Times New Roman" w:hAnsi="Times New Roman"/>
          <w:color w:val="000000" w:themeColor="text1"/>
          <w:sz w:val="16"/>
          <w:szCs w:val="16"/>
        </w:rPr>
      </w:pPr>
    </w:p>
    <w:p w14:paraId="3081B484" w14:textId="77777777" w:rsidR="005162D0" w:rsidRPr="009F5089" w:rsidRDefault="005162D0" w:rsidP="005162D0">
      <w:pPr>
        <w:spacing w:after="0" w:line="240" w:lineRule="auto"/>
        <w:jc w:val="both"/>
        <w:rPr>
          <w:rFonts w:ascii="Times New Roman" w:hAnsi="Times New Roman"/>
          <w:color w:val="0070C0"/>
          <w:sz w:val="16"/>
          <w:szCs w:val="16"/>
        </w:rPr>
      </w:pPr>
      <w:r>
        <w:rPr>
          <w:rFonts w:ascii="Times New Roman" w:hAnsi="Times New Roman"/>
          <w:color w:val="0070C0"/>
          <w:sz w:val="16"/>
          <w:szCs w:val="16"/>
        </w:rPr>
        <w:t>21-23</w:t>
      </w:r>
      <w:r w:rsidRPr="009F5089">
        <w:rPr>
          <w:rFonts w:ascii="Times New Roman" w:hAnsi="Times New Roman"/>
          <w:color w:val="0070C0"/>
          <w:sz w:val="16"/>
          <w:szCs w:val="16"/>
        </w:rPr>
        <w:t xml:space="preserve"> д</w:t>
      </w:r>
      <w:r>
        <w:rPr>
          <w:rFonts w:ascii="Times New Roman" w:hAnsi="Times New Roman"/>
          <w:color w:val="0070C0"/>
          <w:sz w:val="16"/>
          <w:szCs w:val="16"/>
        </w:rPr>
        <w:t>е</w:t>
      </w:r>
      <w:r w:rsidRPr="009F5089">
        <w:rPr>
          <w:rFonts w:ascii="Times New Roman" w:hAnsi="Times New Roman"/>
          <w:color w:val="0070C0"/>
          <w:sz w:val="16"/>
          <w:szCs w:val="16"/>
        </w:rPr>
        <w:t>кабря</w:t>
      </w:r>
      <w:r>
        <w:rPr>
          <w:rFonts w:ascii="Times New Roman" w:hAnsi="Times New Roman"/>
          <w:color w:val="0070C0"/>
          <w:sz w:val="16"/>
          <w:szCs w:val="16"/>
        </w:rPr>
        <w:t xml:space="preserve"> 1931 г</w:t>
      </w:r>
      <w:r w:rsidRPr="009F5089">
        <w:rPr>
          <w:rFonts w:ascii="Times New Roman" w:hAnsi="Times New Roman"/>
          <w:color w:val="0070C0"/>
          <w:sz w:val="16"/>
          <w:szCs w:val="16"/>
        </w:rPr>
        <w:t>.</w:t>
      </w:r>
      <w:r>
        <w:rPr>
          <w:rFonts w:ascii="Times New Roman" w:hAnsi="Times New Roman"/>
          <w:color w:val="0070C0"/>
          <w:sz w:val="16"/>
          <w:szCs w:val="16"/>
        </w:rPr>
        <w:t xml:space="preserve"> в Москве</w:t>
      </w:r>
      <w:r w:rsidRPr="009F5089">
        <w:rPr>
          <w:rFonts w:ascii="Times New Roman" w:hAnsi="Times New Roman"/>
          <w:color w:val="0070C0"/>
          <w:sz w:val="16"/>
          <w:szCs w:val="16"/>
        </w:rPr>
        <w:t xml:space="preserve"> </w:t>
      </w:r>
      <w:r>
        <w:rPr>
          <w:rFonts w:ascii="Times New Roman" w:hAnsi="Times New Roman"/>
          <w:color w:val="0070C0"/>
          <w:sz w:val="16"/>
          <w:szCs w:val="16"/>
        </w:rPr>
        <w:t>с</w:t>
      </w:r>
      <w:r w:rsidRPr="009F5089">
        <w:rPr>
          <w:rFonts w:ascii="Times New Roman" w:hAnsi="Times New Roman"/>
          <w:color w:val="0070C0"/>
          <w:sz w:val="16"/>
          <w:szCs w:val="16"/>
        </w:rPr>
        <w:t>ост</w:t>
      </w:r>
      <w:r>
        <w:rPr>
          <w:rFonts w:ascii="Times New Roman" w:hAnsi="Times New Roman"/>
          <w:color w:val="0070C0"/>
          <w:sz w:val="16"/>
          <w:szCs w:val="16"/>
        </w:rPr>
        <w:t>о</w:t>
      </w:r>
      <w:r w:rsidRPr="009F5089">
        <w:rPr>
          <w:rFonts w:ascii="Times New Roman" w:hAnsi="Times New Roman"/>
          <w:color w:val="0070C0"/>
          <w:sz w:val="16"/>
          <w:szCs w:val="16"/>
        </w:rPr>
        <w:t>ял</w:t>
      </w:r>
      <w:r>
        <w:rPr>
          <w:rFonts w:ascii="Times New Roman" w:hAnsi="Times New Roman"/>
          <w:color w:val="0070C0"/>
          <w:sz w:val="16"/>
          <w:szCs w:val="16"/>
        </w:rPr>
        <w:t>ась</w:t>
      </w:r>
      <w:r w:rsidRPr="009F5089">
        <w:rPr>
          <w:rFonts w:ascii="Times New Roman" w:hAnsi="Times New Roman"/>
          <w:color w:val="0070C0"/>
          <w:sz w:val="16"/>
          <w:szCs w:val="16"/>
        </w:rPr>
        <w:t xml:space="preserve"> </w:t>
      </w:r>
      <w:proofErr w:type="spellStart"/>
      <w:r w:rsidRPr="009F5089">
        <w:rPr>
          <w:rFonts w:ascii="Times New Roman" w:hAnsi="Times New Roman"/>
          <w:color w:val="0070C0"/>
          <w:sz w:val="16"/>
          <w:szCs w:val="16"/>
        </w:rPr>
        <w:t>ковфере</w:t>
      </w:r>
      <w:r>
        <w:rPr>
          <w:rFonts w:ascii="Times New Roman" w:hAnsi="Times New Roman"/>
          <w:color w:val="0070C0"/>
          <w:sz w:val="16"/>
          <w:szCs w:val="16"/>
        </w:rPr>
        <w:t>ция</w:t>
      </w:r>
      <w:proofErr w:type="spellEnd"/>
      <w:r w:rsidRPr="009F5089">
        <w:rPr>
          <w:rFonts w:ascii="Times New Roman" w:hAnsi="Times New Roman"/>
          <w:color w:val="0070C0"/>
          <w:sz w:val="16"/>
          <w:szCs w:val="16"/>
        </w:rPr>
        <w:t xml:space="preserve"> руководящих работ</w:t>
      </w:r>
      <w:r>
        <w:rPr>
          <w:rFonts w:ascii="Times New Roman" w:hAnsi="Times New Roman"/>
          <w:color w:val="0070C0"/>
          <w:sz w:val="16"/>
          <w:szCs w:val="16"/>
        </w:rPr>
        <w:t xml:space="preserve">ников </w:t>
      </w:r>
      <w:proofErr w:type="spellStart"/>
      <w:r w:rsidRPr="009F5089">
        <w:rPr>
          <w:rFonts w:ascii="Times New Roman" w:hAnsi="Times New Roman"/>
          <w:color w:val="0070C0"/>
          <w:sz w:val="16"/>
          <w:szCs w:val="16"/>
        </w:rPr>
        <w:t>аэрометеослу</w:t>
      </w:r>
      <w:r>
        <w:rPr>
          <w:rFonts w:ascii="Times New Roman" w:hAnsi="Times New Roman"/>
          <w:color w:val="0070C0"/>
          <w:sz w:val="16"/>
          <w:szCs w:val="16"/>
        </w:rPr>
        <w:t>жбы</w:t>
      </w:r>
      <w:proofErr w:type="spellEnd"/>
      <w:r w:rsidRPr="009F5089">
        <w:rPr>
          <w:rFonts w:ascii="Times New Roman" w:hAnsi="Times New Roman"/>
          <w:color w:val="0070C0"/>
          <w:sz w:val="16"/>
          <w:szCs w:val="16"/>
        </w:rPr>
        <w:t>, созванная Управлением ВВС.</w:t>
      </w:r>
      <w:r>
        <w:rPr>
          <w:rFonts w:ascii="Times New Roman" w:hAnsi="Times New Roman"/>
          <w:color w:val="0070C0"/>
          <w:sz w:val="16"/>
          <w:szCs w:val="16"/>
        </w:rPr>
        <w:t xml:space="preserve"> </w:t>
      </w:r>
      <w:r w:rsidRPr="009F5089">
        <w:rPr>
          <w:rFonts w:ascii="Times New Roman" w:hAnsi="Times New Roman"/>
          <w:color w:val="0070C0"/>
          <w:sz w:val="16"/>
          <w:szCs w:val="16"/>
        </w:rPr>
        <w:t>Были обсуждены во</w:t>
      </w:r>
      <w:r>
        <w:rPr>
          <w:rFonts w:ascii="Times New Roman" w:hAnsi="Times New Roman"/>
          <w:color w:val="0070C0"/>
          <w:sz w:val="16"/>
          <w:szCs w:val="16"/>
        </w:rPr>
        <w:t xml:space="preserve">просы, связанные </w:t>
      </w:r>
      <w:r w:rsidRPr="009F5089">
        <w:rPr>
          <w:rFonts w:ascii="Times New Roman" w:hAnsi="Times New Roman"/>
          <w:color w:val="0070C0"/>
          <w:sz w:val="16"/>
          <w:szCs w:val="16"/>
        </w:rPr>
        <w:t>с работой метеостанций в полев</w:t>
      </w:r>
      <w:r>
        <w:rPr>
          <w:rFonts w:ascii="Times New Roman" w:hAnsi="Times New Roman"/>
          <w:color w:val="0070C0"/>
          <w:sz w:val="16"/>
          <w:szCs w:val="16"/>
        </w:rPr>
        <w:t>ы</w:t>
      </w:r>
      <w:r w:rsidRPr="009F5089">
        <w:rPr>
          <w:rFonts w:ascii="Times New Roman" w:hAnsi="Times New Roman"/>
          <w:color w:val="0070C0"/>
          <w:sz w:val="16"/>
          <w:szCs w:val="16"/>
        </w:rPr>
        <w:t>х условиях</w:t>
      </w:r>
      <w:r>
        <w:rPr>
          <w:rFonts w:ascii="Times New Roman" w:hAnsi="Times New Roman"/>
          <w:color w:val="0070C0"/>
          <w:sz w:val="16"/>
          <w:szCs w:val="16"/>
        </w:rPr>
        <w:t xml:space="preserve">, </w:t>
      </w:r>
      <w:r w:rsidRPr="009F5089">
        <w:rPr>
          <w:rFonts w:ascii="Times New Roman" w:hAnsi="Times New Roman"/>
          <w:color w:val="0070C0"/>
          <w:sz w:val="16"/>
          <w:szCs w:val="16"/>
        </w:rPr>
        <w:t>вопросы</w:t>
      </w:r>
      <w:r>
        <w:rPr>
          <w:rFonts w:ascii="Times New Roman" w:hAnsi="Times New Roman"/>
          <w:color w:val="0070C0"/>
          <w:sz w:val="16"/>
          <w:szCs w:val="16"/>
        </w:rPr>
        <w:t xml:space="preserve"> получения информации о погоде при перелетах</w:t>
      </w:r>
      <w:r w:rsidRPr="009F5089">
        <w:rPr>
          <w:rFonts w:ascii="Times New Roman" w:hAnsi="Times New Roman"/>
          <w:color w:val="0070C0"/>
          <w:sz w:val="16"/>
          <w:szCs w:val="16"/>
        </w:rPr>
        <w:t xml:space="preserve"> и использования уж</w:t>
      </w:r>
      <w:r>
        <w:rPr>
          <w:rFonts w:ascii="Times New Roman" w:hAnsi="Times New Roman"/>
          <w:color w:val="0070C0"/>
          <w:sz w:val="16"/>
          <w:szCs w:val="16"/>
        </w:rPr>
        <w:t>е</w:t>
      </w:r>
      <w:r w:rsidRPr="009F5089">
        <w:rPr>
          <w:rFonts w:ascii="Times New Roman" w:hAnsi="Times New Roman"/>
          <w:color w:val="0070C0"/>
          <w:sz w:val="16"/>
          <w:szCs w:val="16"/>
        </w:rPr>
        <w:t xml:space="preserve"> на</w:t>
      </w:r>
      <w:r>
        <w:rPr>
          <w:rFonts w:ascii="Times New Roman" w:hAnsi="Times New Roman"/>
          <w:color w:val="0070C0"/>
          <w:sz w:val="16"/>
          <w:szCs w:val="16"/>
        </w:rPr>
        <w:t xml:space="preserve">копленного </w:t>
      </w:r>
      <w:proofErr w:type="spellStart"/>
      <w:r>
        <w:rPr>
          <w:rFonts w:ascii="Times New Roman" w:hAnsi="Times New Roman"/>
          <w:color w:val="0070C0"/>
          <w:sz w:val="16"/>
          <w:szCs w:val="16"/>
        </w:rPr>
        <w:t>материалв</w:t>
      </w:r>
      <w:proofErr w:type="spellEnd"/>
      <w:r>
        <w:rPr>
          <w:rFonts w:ascii="Times New Roman" w:hAnsi="Times New Roman"/>
          <w:color w:val="0070C0"/>
          <w:sz w:val="16"/>
          <w:szCs w:val="16"/>
        </w:rPr>
        <w:t xml:space="preserve"> </w:t>
      </w:r>
      <w:r w:rsidRPr="009F5089">
        <w:rPr>
          <w:rFonts w:ascii="Times New Roman" w:hAnsi="Times New Roman"/>
          <w:color w:val="0070C0"/>
          <w:sz w:val="16"/>
          <w:szCs w:val="16"/>
        </w:rPr>
        <w:t>пр</w:t>
      </w:r>
      <w:r>
        <w:rPr>
          <w:rFonts w:ascii="Times New Roman" w:hAnsi="Times New Roman"/>
          <w:color w:val="0070C0"/>
          <w:sz w:val="16"/>
          <w:szCs w:val="16"/>
        </w:rPr>
        <w:t>и</w:t>
      </w:r>
      <w:r w:rsidRPr="009F5089">
        <w:rPr>
          <w:rFonts w:ascii="Times New Roman" w:hAnsi="Times New Roman"/>
          <w:color w:val="0070C0"/>
          <w:sz w:val="16"/>
          <w:szCs w:val="16"/>
        </w:rPr>
        <w:t xml:space="preserve"> составлении аэролоций.</w:t>
      </w:r>
    </w:p>
    <w:p w14:paraId="7AF6EA5D" w14:textId="77777777" w:rsidR="005162D0" w:rsidRDefault="005162D0" w:rsidP="005162D0">
      <w:pPr>
        <w:spacing w:after="0" w:line="240" w:lineRule="auto"/>
        <w:jc w:val="both"/>
        <w:rPr>
          <w:rFonts w:ascii="Times New Roman" w:hAnsi="Times New Roman"/>
          <w:color w:val="0070C0"/>
          <w:sz w:val="16"/>
          <w:szCs w:val="16"/>
        </w:rPr>
      </w:pPr>
      <w:r w:rsidRPr="009F5089">
        <w:rPr>
          <w:rFonts w:ascii="Times New Roman" w:hAnsi="Times New Roman"/>
          <w:color w:val="0070C0"/>
          <w:sz w:val="16"/>
          <w:szCs w:val="16"/>
        </w:rPr>
        <w:t>/</w:t>
      </w:r>
      <w:r>
        <w:rPr>
          <w:rFonts w:ascii="Times New Roman" w:hAnsi="Times New Roman"/>
          <w:color w:val="0070C0"/>
          <w:sz w:val="16"/>
          <w:szCs w:val="16"/>
        </w:rPr>
        <w:t>ВВФ</w:t>
      </w:r>
      <w:r w:rsidRPr="009F5089">
        <w:rPr>
          <w:rFonts w:ascii="Times New Roman" w:hAnsi="Times New Roman"/>
          <w:color w:val="0070C0"/>
          <w:sz w:val="16"/>
          <w:szCs w:val="16"/>
        </w:rPr>
        <w:t>,</w:t>
      </w:r>
      <w:r>
        <w:rPr>
          <w:rFonts w:ascii="Times New Roman" w:hAnsi="Times New Roman"/>
          <w:color w:val="0070C0"/>
          <w:sz w:val="16"/>
          <w:szCs w:val="16"/>
        </w:rPr>
        <w:t xml:space="preserve"> </w:t>
      </w:r>
      <w:r w:rsidRPr="009F5089">
        <w:rPr>
          <w:rFonts w:ascii="Times New Roman" w:hAnsi="Times New Roman"/>
          <w:color w:val="0070C0"/>
          <w:sz w:val="16"/>
          <w:szCs w:val="16"/>
        </w:rPr>
        <w:t>1</w:t>
      </w:r>
      <w:r>
        <w:rPr>
          <w:rFonts w:ascii="Times New Roman" w:hAnsi="Times New Roman"/>
          <w:color w:val="0070C0"/>
          <w:sz w:val="16"/>
          <w:szCs w:val="16"/>
        </w:rPr>
        <w:t>9</w:t>
      </w:r>
      <w:r w:rsidRPr="009F5089">
        <w:rPr>
          <w:rFonts w:ascii="Times New Roman" w:hAnsi="Times New Roman"/>
          <w:color w:val="0070C0"/>
          <w:sz w:val="16"/>
          <w:szCs w:val="16"/>
        </w:rPr>
        <w:t>32</w:t>
      </w:r>
      <w:r>
        <w:rPr>
          <w:rFonts w:ascii="Times New Roman" w:hAnsi="Times New Roman"/>
          <w:color w:val="0070C0"/>
          <w:sz w:val="16"/>
          <w:szCs w:val="16"/>
        </w:rPr>
        <w:t>, № 1</w:t>
      </w:r>
      <w:r w:rsidRPr="009F5089">
        <w:rPr>
          <w:rFonts w:ascii="Times New Roman" w:hAnsi="Times New Roman"/>
          <w:color w:val="0070C0"/>
          <w:sz w:val="16"/>
          <w:szCs w:val="16"/>
        </w:rPr>
        <w:t>/</w:t>
      </w:r>
      <w:r>
        <w:rPr>
          <w:rFonts w:ascii="Times New Roman" w:hAnsi="Times New Roman"/>
          <w:color w:val="0070C0"/>
          <w:sz w:val="16"/>
          <w:szCs w:val="16"/>
        </w:rPr>
        <w:t xml:space="preserve"> (23370).</w:t>
      </w:r>
    </w:p>
    <w:p w14:paraId="6D89FDC0" w14:textId="77777777" w:rsidR="005162D0" w:rsidRPr="009F5089" w:rsidRDefault="005162D0" w:rsidP="005162D0">
      <w:pPr>
        <w:spacing w:after="0" w:line="240" w:lineRule="auto"/>
        <w:jc w:val="both"/>
        <w:rPr>
          <w:rFonts w:ascii="Times New Roman" w:hAnsi="Times New Roman"/>
          <w:color w:val="0070C0"/>
          <w:sz w:val="16"/>
          <w:szCs w:val="16"/>
        </w:rPr>
      </w:pPr>
    </w:p>
    <w:p w14:paraId="575CFE71" w14:textId="77777777" w:rsidR="00EC2876"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259A2C43"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6A0DFCE"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21 декабря 1931 с концерном </w:t>
      </w:r>
      <w:proofErr w:type="spellStart"/>
      <w:r w:rsidRPr="007122AB">
        <w:rPr>
          <w:color w:val="000000" w:themeColor="text1"/>
          <w:sz w:val="16"/>
          <w:szCs w:val="16"/>
        </w:rPr>
        <w:t>Krupp</w:t>
      </w:r>
      <w:proofErr w:type="spellEnd"/>
      <w:r w:rsidRPr="007122AB">
        <w:rPr>
          <w:color w:val="000000" w:themeColor="text1"/>
          <w:sz w:val="16"/>
          <w:szCs w:val="16"/>
        </w:rPr>
        <w:t xml:space="preserve"> были заключены контракты на изготовление опытного </w:t>
      </w:r>
      <w:proofErr w:type="spellStart"/>
      <w:r w:rsidRPr="007122AB">
        <w:rPr>
          <w:color w:val="000000" w:themeColor="text1"/>
          <w:sz w:val="16"/>
          <w:szCs w:val="16"/>
        </w:rPr>
        <w:t>Kleinetraktor</w:t>
      </w:r>
      <w:proofErr w:type="spellEnd"/>
      <w:r w:rsidRPr="007122AB">
        <w:rPr>
          <w:color w:val="000000" w:themeColor="text1"/>
          <w:sz w:val="16"/>
          <w:szCs w:val="16"/>
        </w:rPr>
        <w:t xml:space="preserve"> (30 700 марок) и разработку ходовой части (13 000 марок). Позже, в мае 1932 года, сумма, выделенная на постройку машины, выросла до 43 700 марок. Постоянные внесения изменений в конструкцию привели к тому, что в изначальные сроки изготовления машины (к 30 июня 1932 года) исполнитель не вложился. Показ </w:t>
      </w:r>
      <w:proofErr w:type="spellStart"/>
      <w:r w:rsidRPr="007122AB">
        <w:rPr>
          <w:color w:val="000000" w:themeColor="text1"/>
          <w:sz w:val="16"/>
          <w:szCs w:val="16"/>
        </w:rPr>
        <w:t>Kleinetraktor</w:t>
      </w:r>
      <w:proofErr w:type="spellEnd"/>
      <w:r w:rsidRPr="007122AB">
        <w:rPr>
          <w:color w:val="000000" w:themeColor="text1"/>
          <w:sz w:val="16"/>
          <w:szCs w:val="16"/>
        </w:rPr>
        <w:t xml:space="preserve"> с серийным номером 8000 состоялся 29 июля 1932 года.</w:t>
      </w:r>
    </w:p>
    <w:p w14:paraId="04B6B709"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w:t>
      </w:r>
      <w:proofErr w:type="spellStart"/>
      <w:r w:rsidRPr="007122AB">
        <w:rPr>
          <w:color w:val="000000" w:themeColor="text1"/>
          <w:sz w:val="16"/>
          <w:szCs w:val="16"/>
        </w:rPr>
        <w:t>Krupp</w:t>
      </w:r>
      <w:proofErr w:type="spellEnd"/>
      <w:r w:rsidRPr="007122AB">
        <w:rPr>
          <w:color w:val="000000" w:themeColor="text1"/>
          <w:sz w:val="16"/>
          <w:szCs w:val="16"/>
        </w:rPr>
        <w:t xml:space="preserve"> M 301, который ставился и на лёгкий армейский грузовик и </w:t>
      </w:r>
      <w:hyperlink r:id="rId219" w:history="1">
        <w:r w:rsidRPr="007122AB">
          <w:rPr>
            <w:rStyle w:val="a5"/>
            <w:rFonts w:eastAsia="Times New Roman"/>
            <w:color w:val="000000" w:themeColor="text1"/>
            <w:sz w:val="16"/>
            <w:szCs w:val="16"/>
          </w:rPr>
          <w:t>артиллерийский тягач</w:t>
        </w:r>
      </w:hyperlink>
      <w:r w:rsidRPr="007122AB">
        <w:rPr>
          <w:color w:val="000000" w:themeColor="text1"/>
          <w:sz w:val="16"/>
          <w:szCs w:val="16"/>
        </w:rPr>
        <w:t xml:space="preserve"> L2 H 43 (он же </w:t>
      </w:r>
      <w:proofErr w:type="spellStart"/>
      <w:r w:rsidRPr="007122AB">
        <w:rPr>
          <w:color w:val="000000" w:themeColor="text1"/>
          <w:sz w:val="16"/>
          <w:szCs w:val="16"/>
        </w:rPr>
        <w:t>Krupp</w:t>
      </w:r>
      <w:proofErr w:type="spellEnd"/>
      <w:r w:rsidRPr="007122AB">
        <w:rPr>
          <w:color w:val="000000" w:themeColor="text1"/>
          <w:sz w:val="16"/>
          <w:szCs w:val="16"/>
        </w:rPr>
        <w:t xml:space="preserve"> </w:t>
      </w:r>
      <w:proofErr w:type="spellStart"/>
      <w:r w:rsidRPr="007122AB">
        <w:rPr>
          <w:color w:val="000000" w:themeColor="text1"/>
          <w:sz w:val="16"/>
          <w:szCs w:val="16"/>
        </w:rPr>
        <w:t>Protze</w:t>
      </w:r>
      <w:proofErr w:type="spellEnd"/>
      <w:r w:rsidRPr="007122AB">
        <w:rPr>
          <w:color w:val="000000" w:themeColor="text1"/>
          <w:sz w:val="16"/>
          <w:szCs w:val="16"/>
        </w:rPr>
        <w:t xml:space="preserv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w:t>
      </w:r>
      <w:proofErr w:type="spellStart"/>
      <w:r w:rsidRPr="007122AB">
        <w:rPr>
          <w:color w:val="000000" w:themeColor="text1"/>
          <w:sz w:val="16"/>
          <w:szCs w:val="16"/>
        </w:rPr>
        <w:t>Kleinetraktor</w:t>
      </w:r>
      <w:proofErr w:type="spellEnd"/>
      <w:r w:rsidRPr="007122AB">
        <w:rPr>
          <w:color w:val="000000" w:themeColor="text1"/>
          <w:sz w:val="16"/>
          <w:szCs w:val="16"/>
        </w:rPr>
        <w:t xml:space="preserve"> смог развить скорость 42 км/ч. На испытаниях в </w:t>
      </w:r>
      <w:proofErr w:type="spellStart"/>
      <w:r w:rsidRPr="007122AB">
        <w:rPr>
          <w:color w:val="000000" w:themeColor="text1"/>
          <w:sz w:val="16"/>
          <w:szCs w:val="16"/>
        </w:rPr>
        <w:t>Вюнсдорфе</w:t>
      </w:r>
      <w:proofErr w:type="spellEnd"/>
      <w:r w:rsidRPr="007122AB">
        <w:rPr>
          <w:color w:val="000000" w:themeColor="text1"/>
          <w:sz w:val="16"/>
          <w:szCs w:val="16"/>
        </w:rPr>
        <w:t xml:space="preserve"> немецкий «трактор» показал полное превосходство над тягачом </w:t>
      </w:r>
      <w:proofErr w:type="spellStart"/>
      <w:r w:rsidRPr="007122AB">
        <w:rPr>
          <w:color w:val="000000" w:themeColor="text1"/>
          <w:sz w:val="16"/>
          <w:szCs w:val="16"/>
        </w:rPr>
        <w:t>Carden-Loyd</w:t>
      </w:r>
      <w:proofErr w:type="spellEnd"/>
      <w:r w:rsidRPr="007122AB">
        <w:rPr>
          <w:color w:val="000000" w:themeColor="text1"/>
          <w:sz w:val="16"/>
          <w:szCs w:val="16"/>
        </w:rPr>
        <w:t xml:space="preserve">. Да, конструкция всё ещё требовала доработок, но по сравнению с </w:t>
      </w:r>
      <w:proofErr w:type="spellStart"/>
      <w:r w:rsidRPr="007122AB">
        <w:rPr>
          <w:color w:val="000000" w:themeColor="text1"/>
          <w:sz w:val="16"/>
          <w:szCs w:val="16"/>
        </w:rPr>
        <w:t>Leichttraktor</w:t>
      </w:r>
      <w:proofErr w:type="spellEnd"/>
      <w:r w:rsidRPr="007122AB">
        <w:rPr>
          <w:color w:val="000000" w:themeColor="text1"/>
          <w:sz w:val="16"/>
          <w:szCs w:val="16"/>
        </w:rPr>
        <w:t xml:space="preserve"> это был однозначный успех.</w:t>
      </w:r>
    </w:p>
    <w:p w14:paraId="70987589" w14:textId="77777777" w:rsidR="00EC2876" w:rsidRPr="007122AB" w:rsidRDefault="00EC2876"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Первоначально </w:t>
      </w:r>
      <w:proofErr w:type="spellStart"/>
      <w:r w:rsidRPr="007122AB">
        <w:rPr>
          <w:color w:val="000000" w:themeColor="text1"/>
          <w:sz w:val="16"/>
          <w:szCs w:val="16"/>
        </w:rPr>
        <w:t>Kleinetraktor</w:t>
      </w:r>
      <w:proofErr w:type="spellEnd"/>
      <w:r w:rsidRPr="007122AB">
        <w:rPr>
          <w:color w:val="000000" w:themeColor="text1"/>
          <w:sz w:val="16"/>
          <w:szCs w:val="16"/>
        </w:rPr>
        <w:t xml:space="preserve"> рассматривался как многоцелевая машина. Предполагалось создать на общей базе машину наблюдателей, артиллерийский тягач и </w:t>
      </w:r>
      <w:r w:rsidRPr="007122AB">
        <w:rPr>
          <w:color w:val="000000" w:themeColor="text1"/>
          <w:sz w:val="16"/>
          <w:szCs w:val="16"/>
        </w:rPr>
        <w:lastRenderedPageBreak/>
        <w:t xml:space="preserve">подвозчик боеприпасов. Впрочем, после испытаний генерал Освальд Лутц, отвечавший за моторизацию Рейхсвера, сразу же заговорил как минимум о пяти </w:t>
      </w:r>
      <w:proofErr w:type="spellStart"/>
      <w:r w:rsidRPr="007122AB">
        <w:rPr>
          <w:color w:val="000000" w:themeColor="text1"/>
          <w:sz w:val="16"/>
          <w:szCs w:val="16"/>
        </w:rPr>
        <w:t>Kleinetraktor</w:t>
      </w:r>
      <w:proofErr w:type="spellEnd"/>
      <w:r w:rsidRPr="007122AB">
        <w:rPr>
          <w:color w:val="000000" w:themeColor="text1"/>
          <w:sz w:val="16"/>
          <w:szCs w:val="16"/>
        </w:rPr>
        <w:t xml:space="preserve">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23E1FB7D" w14:textId="77777777" w:rsidR="00EC2876" w:rsidRPr="007122AB" w:rsidRDefault="00EC2876"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F79A17C" w14:textId="77777777" w:rsidR="00C8072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834D8ED" w14:textId="77777777" w:rsidR="00C80728" w:rsidRPr="007122AB" w:rsidRDefault="00C8072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72F5DB" w14:textId="77777777" w:rsidR="00C80728" w:rsidRPr="007122AB" w:rsidRDefault="00C80728"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Style w:val="1023"/>
          <w:rFonts w:ascii="Times New Roman" w:eastAsia="Arial Unicode MS" w:hAnsi="Times New Roman" w:cs="Times New Roman"/>
          <w:i w:val="0"/>
          <w:iCs w:val="0"/>
          <w:color w:val="000000" w:themeColor="text1"/>
          <w:sz w:val="16"/>
          <w:szCs w:val="16"/>
        </w:rPr>
        <w:t>22 декабря 1931 г. дирекция МАИ направила на имя Григоровича письмо следующего содержания:</w:t>
      </w:r>
      <w:r w:rsidRPr="007122AB">
        <w:rPr>
          <w:rFonts w:ascii="Times New Roman" w:hAnsi="Times New Roman" w:cs="Times New Roman"/>
          <w:i w:val="0"/>
          <w:color w:val="000000" w:themeColor="text1"/>
          <w:sz w:val="16"/>
          <w:szCs w:val="16"/>
        </w:rPr>
        <w:t xml:space="preserve"> «МАИ, при</w:t>
      </w:r>
      <w:r w:rsidRPr="007122AB">
        <w:rPr>
          <w:rFonts w:ascii="Times New Roman" w:hAnsi="Times New Roman" w:cs="Times New Roman"/>
          <w:i w:val="0"/>
          <w:color w:val="000000" w:themeColor="text1"/>
          <w:sz w:val="16"/>
          <w:szCs w:val="16"/>
        </w:rPr>
        <w:softHyphen/>
        <w:t>глашая Вас в качестве преподавателя института по кафедре «Проектирование самолетов», а также в качестве Главного Конструктора по проектируемому Институтом самолету, настоящим со</w:t>
      </w:r>
      <w:r w:rsidRPr="007122AB">
        <w:rPr>
          <w:rFonts w:ascii="Times New Roman" w:hAnsi="Times New Roman" w:cs="Times New Roman"/>
          <w:i w:val="0"/>
          <w:color w:val="000000" w:themeColor="text1"/>
          <w:sz w:val="16"/>
          <w:szCs w:val="16"/>
        </w:rPr>
        <w:softHyphen/>
        <w:t>общает, что участие Ваше в работах Института согласовано с Нач. ГУАП т. Барановым, а также у Института име</w:t>
      </w:r>
      <w:r w:rsidRPr="007122AB">
        <w:rPr>
          <w:rFonts w:ascii="Times New Roman" w:hAnsi="Times New Roman" w:cs="Times New Roman"/>
          <w:i w:val="0"/>
          <w:color w:val="000000" w:themeColor="text1"/>
          <w:sz w:val="16"/>
          <w:szCs w:val="16"/>
        </w:rPr>
        <w:softHyphen/>
        <w:t xml:space="preserve">ется прямое согласие на такое Ваше участие со стороны Начальника ЦАГИ т. </w:t>
      </w:r>
      <w:proofErr w:type="spellStart"/>
      <w:r w:rsidRPr="007122AB">
        <w:rPr>
          <w:rFonts w:ascii="Times New Roman" w:hAnsi="Times New Roman" w:cs="Times New Roman"/>
          <w:i w:val="0"/>
          <w:color w:val="000000" w:themeColor="text1"/>
          <w:sz w:val="16"/>
          <w:szCs w:val="16"/>
        </w:rPr>
        <w:t>Пауфлера</w:t>
      </w:r>
      <w:proofErr w:type="spellEnd"/>
      <w:r w:rsidRPr="007122AB">
        <w:rPr>
          <w:rFonts w:ascii="Times New Roman" w:hAnsi="Times New Roman" w:cs="Times New Roman"/>
          <w:i w:val="0"/>
          <w:color w:val="000000" w:themeColor="text1"/>
          <w:sz w:val="16"/>
          <w:szCs w:val="16"/>
        </w:rPr>
        <w:t xml:space="preserve"> и Начальника ЦКБ-ЦАГИ т. Ильюшина.</w:t>
      </w:r>
    </w:p>
    <w:p w14:paraId="2B4EB2C5" w14:textId="77777777" w:rsidR="00C80728" w:rsidRPr="007122AB" w:rsidRDefault="00C80728" w:rsidP="007122AB">
      <w:pPr>
        <w:pStyle w:val="1010"/>
        <w:shd w:val="clear" w:color="auto" w:fill="auto"/>
        <w:spacing w:line="240" w:lineRule="auto"/>
        <w:ind w:firstLine="0"/>
        <w:rPr>
          <w:rFonts w:ascii="Times New Roman" w:hAnsi="Times New Roman" w:cs="Times New Roman"/>
          <w:i w:val="0"/>
          <w:color w:val="000000" w:themeColor="text1"/>
          <w:sz w:val="16"/>
          <w:szCs w:val="16"/>
        </w:rPr>
      </w:pPr>
      <w:r w:rsidRPr="007122AB">
        <w:rPr>
          <w:rFonts w:ascii="Times New Roman" w:hAnsi="Times New Roman" w:cs="Times New Roman"/>
          <w:i w:val="0"/>
          <w:color w:val="000000" w:themeColor="text1"/>
          <w:sz w:val="16"/>
          <w:szCs w:val="16"/>
        </w:rPr>
        <w:t>Нач. Института: Вольский» (15746).</w:t>
      </w:r>
    </w:p>
    <w:p w14:paraId="052CEBBD" w14:textId="77777777" w:rsidR="00C80728" w:rsidRPr="007122AB" w:rsidRDefault="00C80728" w:rsidP="007122AB">
      <w:pPr>
        <w:pStyle w:val="1010"/>
        <w:shd w:val="clear" w:color="auto" w:fill="auto"/>
        <w:spacing w:line="240" w:lineRule="auto"/>
        <w:ind w:firstLine="0"/>
        <w:rPr>
          <w:rFonts w:ascii="Times New Roman" w:hAnsi="Times New Roman" w:cs="Times New Roman"/>
          <w:i w:val="0"/>
          <w:color w:val="000000" w:themeColor="text1"/>
          <w:sz w:val="16"/>
          <w:szCs w:val="16"/>
        </w:rPr>
      </w:pPr>
    </w:p>
    <w:p w14:paraId="275C5FAB"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22 декабря 1931 г. дирекция МАИ направила на имя известного авиаконструктора Дмитрия Павловича Григоровича письмо следующего содержания: «МАИ, приглашая Вас в качестве преподавателя института по кафедре „Проектирование самолётов“, а также в качестве Главного конструктора по проектируемому Институтом самолёту, настоящим сообщает, что участие Ваше в работах Института согласовано с Нач. ГУАП т. Барановым, а также у Института имеется прямое согласие на такое Ваше участие со стороны </w:t>
      </w:r>
      <w:proofErr w:type="spellStart"/>
      <w:r w:rsidRPr="007122AB">
        <w:rPr>
          <w:rFonts w:ascii="Times New Roman" w:eastAsia="Times New Roman" w:hAnsi="Times New Roman"/>
          <w:color w:val="000000" w:themeColor="text1"/>
          <w:sz w:val="16"/>
          <w:szCs w:val="16"/>
          <w:lang w:eastAsia="ru-RU"/>
        </w:rPr>
        <w:t>Нач</w:t>
      </w:r>
      <w:proofErr w:type="spellEnd"/>
      <w:r w:rsidRPr="007122AB">
        <w:rPr>
          <w:rFonts w:ascii="Times New Roman" w:eastAsia="Times New Roman" w:hAnsi="Times New Roman"/>
          <w:color w:val="000000" w:themeColor="text1"/>
          <w:sz w:val="16"/>
          <w:szCs w:val="16"/>
          <w:lang w:eastAsia="ru-RU"/>
        </w:rPr>
        <w:t xml:space="preserve">-ка ЦАГИ т. </w:t>
      </w:r>
      <w:proofErr w:type="spellStart"/>
      <w:r w:rsidRPr="007122AB">
        <w:rPr>
          <w:rFonts w:ascii="Times New Roman" w:eastAsia="Times New Roman" w:hAnsi="Times New Roman"/>
          <w:color w:val="000000" w:themeColor="text1"/>
          <w:sz w:val="16"/>
          <w:szCs w:val="16"/>
          <w:lang w:eastAsia="ru-RU"/>
        </w:rPr>
        <w:t>Пауфлера</w:t>
      </w:r>
      <w:proofErr w:type="spellEnd"/>
      <w:r w:rsidRPr="007122AB">
        <w:rPr>
          <w:rFonts w:ascii="Times New Roman" w:eastAsia="Times New Roman" w:hAnsi="Times New Roman"/>
          <w:color w:val="000000" w:themeColor="text1"/>
          <w:sz w:val="16"/>
          <w:szCs w:val="16"/>
          <w:lang w:eastAsia="ru-RU"/>
        </w:rPr>
        <w:t xml:space="preserve"> и </w:t>
      </w:r>
      <w:proofErr w:type="spellStart"/>
      <w:r w:rsidRPr="007122AB">
        <w:rPr>
          <w:rFonts w:ascii="Times New Roman" w:eastAsia="Times New Roman" w:hAnsi="Times New Roman"/>
          <w:color w:val="000000" w:themeColor="text1"/>
          <w:sz w:val="16"/>
          <w:szCs w:val="16"/>
          <w:lang w:eastAsia="ru-RU"/>
        </w:rPr>
        <w:t>Нач</w:t>
      </w:r>
      <w:proofErr w:type="spellEnd"/>
      <w:r w:rsidRPr="007122AB">
        <w:rPr>
          <w:rFonts w:ascii="Times New Roman" w:eastAsia="Times New Roman" w:hAnsi="Times New Roman"/>
          <w:color w:val="000000" w:themeColor="text1"/>
          <w:sz w:val="16"/>
          <w:szCs w:val="16"/>
          <w:lang w:eastAsia="ru-RU"/>
        </w:rPr>
        <w:t xml:space="preserve">-ка ЦКБ ЦАГИ т. Ильюшина. Нач. Института Вольский» </w:t>
      </w:r>
      <w:hyperlink r:id="rId220" w:history="1">
        <w:r w:rsidRPr="007122AB">
          <w:rPr>
            <w:rFonts w:ascii="Times New Roman" w:eastAsia="Times New Roman" w:hAnsi="Times New Roman"/>
            <w:color w:val="000000" w:themeColor="text1"/>
            <w:sz w:val="16"/>
            <w:szCs w:val="16"/>
            <w:lang w:eastAsia="ru-RU"/>
          </w:rPr>
          <w:t>[132]</w:t>
        </w:r>
      </w:hyperlink>
      <w:r w:rsidRPr="007122AB">
        <w:rPr>
          <w:rFonts w:ascii="Times New Roman" w:eastAsia="Times New Roman" w:hAnsi="Times New Roman"/>
          <w:color w:val="000000" w:themeColor="text1"/>
          <w:sz w:val="16"/>
          <w:szCs w:val="16"/>
          <w:lang w:eastAsia="ru-RU"/>
        </w:rPr>
        <w:t xml:space="preserve"> (17489).</w:t>
      </w:r>
    </w:p>
    <w:p w14:paraId="1DCEEAD4"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p>
    <w:p w14:paraId="26139A56" w14:textId="77777777" w:rsidR="00987BB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914AE7B" w14:textId="77777777" w:rsidR="00987BB5" w:rsidRPr="007122AB" w:rsidRDefault="00987BB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768B57"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состоянию на 22 декабря 1931 г., 16 танков Т-24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Т-24.Компоновочная схема танка Т-24 отличалась от классической трехъярусным размещением оружия и представляла собой улучшенный вариант схемы компоновки танка Т-12. По сравнению с предшественником новая машина имела меньшую толщину броневых листов и измененную конструкцию корпуса и башни. В лобовом листе корпуса слева появилась установка курсового пулемета. В корпусе была также произведена перекомпоновка оборудования с увеличением жесткости днища моторно-трансмиссионного отделения и переносом топливных баков из отделения управления в боковые ниши. Кроме того, в носовой части предусмотрели место для </w:t>
      </w:r>
      <w:proofErr w:type="spellStart"/>
      <w:r w:rsidRPr="007122AB">
        <w:rPr>
          <w:rFonts w:ascii="Times New Roman" w:hAnsi="Times New Roman"/>
          <w:color w:val="000000" w:themeColor="text1"/>
          <w:sz w:val="16"/>
          <w:szCs w:val="16"/>
        </w:rPr>
        <w:t>радиостанции.Экипаж</w:t>
      </w:r>
      <w:proofErr w:type="spellEnd"/>
      <w:r w:rsidRPr="007122AB">
        <w:rPr>
          <w:rFonts w:ascii="Times New Roman" w:hAnsi="Times New Roman"/>
          <w:color w:val="000000" w:themeColor="text1"/>
          <w:sz w:val="16"/>
          <w:szCs w:val="16"/>
        </w:rPr>
        <w:t xml:space="preserve"> состоял из пяти—шести человек. Механик-водитель располагался у правого борта корпуса и осуществлял управление машиной с помощью рулевой колонки. Слева от механика-водителя размещался пулеметчик. Командир танка находился в главной башне и выполнял одновременно функции наводчика и пулеметчика. Справа от него было место заряжающего, который также выполнял обязанности стрелка из лобового башенного пулемета. В малой башне имелось рабочее место пулеметчика.</w:t>
      </w:r>
    </w:p>
    <w:p w14:paraId="23CC363D"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малой башне (верхний ярус) был установлен 7,62-мм пулемет ДТ, в главной башне (средний ярус) — 45-мм пушка обр. 1930 г. и два 7,62-мм пулемета ДТ (курсовой и тыльный), в подбашенной коробке (нижний ярус) — 7,62-мм пулемет ДТ. В боекомплект танка входили 89 артиллерийских выстрелов с бронебойным снарядом, осколочной гранатой и картечью, а также 8000 патронов к </w:t>
      </w:r>
      <w:proofErr w:type="spellStart"/>
      <w:r w:rsidRPr="007122AB">
        <w:rPr>
          <w:rFonts w:ascii="Times New Roman" w:hAnsi="Times New Roman"/>
          <w:color w:val="000000" w:themeColor="text1"/>
          <w:sz w:val="16"/>
          <w:szCs w:val="16"/>
        </w:rPr>
        <w:t>пулеметам.Броневая</w:t>
      </w:r>
      <w:proofErr w:type="spellEnd"/>
      <w:r w:rsidRPr="007122AB">
        <w:rPr>
          <w:rFonts w:ascii="Times New Roman" w:hAnsi="Times New Roman"/>
          <w:color w:val="000000" w:themeColor="text1"/>
          <w:sz w:val="16"/>
          <w:szCs w:val="16"/>
        </w:rPr>
        <w:t xml:space="preserve"> защита корпуса и башни была противопульной, изготовленной из броневых листов толщиной 8,5 и 20 мм. Она обеспечивала защиту лобовой части машины от огня крупнокалиберных пулеметов. Соединение броневых деталей производилось с помощью заклепок. Герметизация корпуса машины была </w:t>
      </w:r>
      <w:proofErr w:type="spellStart"/>
      <w:r w:rsidRPr="007122AB">
        <w:rPr>
          <w:rFonts w:ascii="Times New Roman" w:hAnsi="Times New Roman"/>
          <w:color w:val="000000" w:themeColor="text1"/>
          <w:sz w:val="16"/>
          <w:szCs w:val="16"/>
        </w:rPr>
        <w:t>усовершенствована.По</w:t>
      </w:r>
      <w:proofErr w:type="spellEnd"/>
      <w:r w:rsidRPr="007122AB">
        <w:rPr>
          <w:rFonts w:ascii="Times New Roman" w:hAnsi="Times New Roman"/>
          <w:color w:val="000000" w:themeColor="text1"/>
          <w:sz w:val="16"/>
          <w:szCs w:val="16"/>
        </w:rPr>
        <w:t xml:space="preserve"> сравнению с танком Т-12 конструкцию башни усовершенствовали с применением фасонной цилиндрической брони и обеспечив удобство использования </w:t>
      </w:r>
      <w:proofErr w:type="spellStart"/>
      <w:r w:rsidRPr="007122AB">
        <w:rPr>
          <w:rFonts w:ascii="Times New Roman" w:hAnsi="Times New Roman"/>
          <w:color w:val="000000" w:themeColor="text1"/>
          <w:sz w:val="16"/>
          <w:szCs w:val="16"/>
        </w:rPr>
        <w:t>вооружения.В</w:t>
      </w:r>
      <w:proofErr w:type="spellEnd"/>
      <w:r w:rsidRPr="007122AB">
        <w:rPr>
          <w:rFonts w:ascii="Times New Roman" w:hAnsi="Times New Roman"/>
          <w:color w:val="000000" w:themeColor="text1"/>
          <w:sz w:val="16"/>
          <w:szCs w:val="16"/>
        </w:rPr>
        <w:t xml:space="preserve"> кормовой части корпуса установили четырехтактный восьмицилиндровый V-образный карбюраторный двигатель М-6 жидкостного охлаждения. Этот двигатель был </w:t>
      </w:r>
      <w:proofErr w:type="spellStart"/>
      <w:r w:rsidRPr="007122AB">
        <w:rPr>
          <w:rFonts w:ascii="Times New Roman" w:hAnsi="Times New Roman"/>
          <w:color w:val="000000" w:themeColor="text1"/>
          <w:sz w:val="16"/>
          <w:szCs w:val="16"/>
        </w:rPr>
        <w:t>задросселирован</w:t>
      </w:r>
      <w:proofErr w:type="spellEnd"/>
      <w:r w:rsidRPr="007122AB">
        <w:rPr>
          <w:rFonts w:ascii="Times New Roman" w:hAnsi="Times New Roman"/>
          <w:color w:val="000000" w:themeColor="text1"/>
          <w:sz w:val="16"/>
          <w:szCs w:val="16"/>
        </w:rPr>
        <w:t xml:space="preserve"> до мощности 250 л.с. (184 кВт) при частоте вращения коленчатого вала двигателя 1800 об/мин. Пуск двигателя производился с помощью двух электростартеров «Бош» мощностью 2,5 л.с. (1,84 кВт). В </w:t>
      </w:r>
      <w:proofErr w:type="spellStart"/>
      <w:r w:rsidRPr="007122AB">
        <w:rPr>
          <w:rFonts w:ascii="Times New Roman" w:hAnsi="Times New Roman"/>
          <w:color w:val="000000" w:themeColor="text1"/>
          <w:sz w:val="16"/>
          <w:szCs w:val="16"/>
        </w:rPr>
        <w:t>системезажигания</w:t>
      </w:r>
      <w:proofErr w:type="spellEnd"/>
      <w:r w:rsidRPr="007122AB">
        <w:rPr>
          <w:rFonts w:ascii="Times New Roman" w:hAnsi="Times New Roman"/>
          <w:color w:val="000000" w:themeColor="text1"/>
          <w:sz w:val="16"/>
          <w:szCs w:val="16"/>
        </w:rPr>
        <w:t xml:space="preserve"> использовались два </w:t>
      </w:r>
      <w:proofErr w:type="spellStart"/>
      <w:r w:rsidRPr="007122AB">
        <w:rPr>
          <w:rFonts w:ascii="Times New Roman" w:hAnsi="Times New Roman"/>
          <w:color w:val="000000" w:themeColor="text1"/>
          <w:sz w:val="16"/>
          <w:szCs w:val="16"/>
        </w:rPr>
        <w:t>четырехискровых</w:t>
      </w:r>
      <w:proofErr w:type="spellEnd"/>
      <w:r w:rsidRPr="007122AB">
        <w:rPr>
          <w:rFonts w:ascii="Times New Roman" w:hAnsi="Times New Roman"/>
          <w:color w:val="000000" w:themeColor="text1"/>
          <w:sz w:val="16"/>
          <w:szCs w:val="16"/>
        </w:rPr>
        <w:t xml:space="preserve"> магнето правого и левого вращения марки ВТН или Н8, А8, СЕО-Н8 и «Зингер 8Ц». Емкость топливных баков составляла 460 л. Запас хода достигал 120 км.</w:t>
      </w:r>
    </w:p>
    <w:p w14:paraId="6C498D63"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Улучшили систему охлаждения двигателя и трансмиссии с использованием принудительного охлаждения в радиаторах всего количества масла из системы смазки двигателя и коробки </w:t>
      </w:r>
      <w:proofErr w:type="spellStart"/>
      <w:r w:rsidRPr="007122AB">
        <w:rPr>
          <w:rFonts w:ascii="Times New Roman" w:hAnsi="Times New Roman"/>
          <w:color w:val="000000" w:themeColor="text1"/>
          <w:sz w:val="16"/>
          <w:szCs w:val="16"/>
        </w:rPr>
        <w:t>передач.Трансмиссия</w:t>
      </w:r>
      <w:proofErr w:type="spellEnd"/>
      <w:r w:rsidRPr="007122AB">
        <w:rPr>
          <w:rFonts w:ascii="Times New Roman" w:hAnsi="Times New Roman"/>
          <w:color w:val="000000" w:themeColor="text1"/>
          <w:sz w:val="16"/>
          <w:szCs w:val="16"/>
        </w:rPr>
        <w:t xml:space="preserve"> состояла из главного фрикциона, четырехступенчатой реверсивной планетарной коробки передач (в качестве механизма реверса использовался конический редуктор с фрикционом реверса), двойного дифференциала в качестве механизма поворота и двух простых бортовых редукторов. В двойном цилиндрическом дифференциале применялись ленточные плавающие тормоза новой конструкции с </w:t>
      </w:r>
      <w:proofErr w:type="spellStart"/>
      <w:r w:rsidRPr="007122AB">
        <w:rPr>
          <w:rFonts w:ascii="Times New Roman" w:hAnsi="Times New Roman"/>
          <w:color w:val="000000" w:themeColor="text1"/>
          <w:sz w:val="16"/>
          <w:szCs w:val="16"/>
        </w:rPr>
        <w:t>пневмосервированием</w:t>
      </w:r>
      <w:proofErr w:type="spellEnd"/>
      <w:r w:rsidRPr="007122AB">
        <w:rPr>
          <w:rFonts w:ascii="Times New Roman" w:hAnsi="Times New Roman"/>
          <w:color w:val="000000" w:themeColor="text1"/>
          <w:sz w:val="16"/>
          <w:szCs w:val="16"/>
        </w:rPr>
        <w:t xml:space="preserve">. Конструкцию трансмиссии улучшили с целью </w:t>
      </w:r>
      <w:proofErr w:type="spellStart"/>
      <w:r w:rsidRPr="007122AB">
        <w:rPr>
          <w:rFonts w:ascii="Times New Roman" w:hAnsi="Times New Roman"/>
          <w:color w:val="000000" w:themeColor="text1"/>
          <w:sz w:val="16"/>
          <w:szCs w:val="16"/>
        </w:rPr>
        <w:t>разгруженно</w:t>
      </w:r>
      <w:proofErr w:type="spellEnd"/>
      <w:r w:rsidRPr="007122AB">
        <w:rPr>
          <w:rFonts w:ascii="Times New Roman" w:hAnsi="Times New Roman"/>
          <w:color w:val="000000" w:themeColor="text1"/>
          <w:sz w:val="16"/>
          <w:szCs w:val="16"/>
        </w:rPr>
        <w:t xml:space="preserve"> работающих деталей </w:t>
      </w:r>
      <w:proofErr w:type="spellStart"/>
      <w:r w:rsidRPr="007122AB">
        <w:rPr>
          <w:rFonts w:ascii="Times New Roman" w:hAnsi="Times New Roman"/>
          <w:color w:val="000000" w:themeColor="text1"/>
          <w:sz w:val="16"/>
          <w:szCs w:val="16"/>
        </w:rPr>
        <w:t>содновременным</w:t>
      </w:r>
      <w:proofErr w:type="spellEnd"/>
      <w:r w:rsidRPr="007122AB">
        <w:rPr>
          <w:rFonts w:ascii="Times New Roman" w:hAnsi="Times New Roman"/>
          <w:color w:val="000000" w:themeColor="text1"/>
          <w:sz w:val="16"/>
          <w:szCs w:val="16"/>
        </w:rPr>
        <w:t xml:space="preserve"> уменьшением передаточных отношений низших передач. Кроме того, увеличили прочность бортовых редукторов. Максимальная скорость по шоссе достигала 25 км/ч, на пересеченной местности 15 км/ч.</w:t>
      </w:r>
    </w:p>
    <w:p w14:paraId="5CC1F6E4"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Подвеска танка блокированная, пружинная. Со стороны каждого борта размещались четыре тележки с двумя двухскатными опорными катками в каждой. В состав гусеничного движителя входили шестнадцать опорных и восемь поддерживающих сдвоенных катков с наружной амортизацией. Ведущие колеса заднего расположения имели зубовое зацепление с гусеницами. Ширина трака гусеницы составляла 460 мм, шаг—140 мм. По сравнению с Т-12 диаметр направляющего колеса танка Т-24 был уменьшен на 200 мм. Элементы конструкции ходовой части танка использовались также в артиллерийских тягачах «Коминтерн», выпускавшихся в 1934-1940 </w:t>
      </w:r>
      <w:proofErr w:type="spellStart"/>
      <w:r w:rsidRPr="007122AB">
        <w:rPr>
          <w:rFonts w:ascii="Times New Roman" w:hAnsi="Times New Roman"/>
          <w:color w:val="000000" w:themeColor="text1"/>
          <w:sz w:val="16"/>
          <w:szCs w:val="16"/>
        </w:rPr>
        <w:t>гг.Электрооборудование</w:t>
      </w:r>
      <w:proofErr w:type="spellEnd"/>
      <w:r w:rsidRPr="007122AB">
        <w:rPr>
          <w:rFonts w:ascii="Times New Roman" w:hAnsi="Times New Roman"/>
          <w:color w:val="000000" w:themeColor="text1"/>
          <w:sz w:val="16"/>
          <w:szCs w:val="16"/>
        </w:rPr>
        <w:t xml:space="preserve"> машины было выполнено по однопроводной схеме. Напряжение бортовой сети составляло 12 В. В качестве источников электроэнергии использовались аккумуляторная батарея и генератор РА-225/12. Средств внешней радиосвязи танк не имел. В качестве противопожарного оборудования применялся ручной </w:t>
      </w:r>
      <w:proofErr w:type="spellStart"/>
      <w:r w:rsidRPr="007122AB">
        <w:rPr>
          <w:rFonts w:ascii="Times New Roman" w:hAnsi="Times New Roman"/>
          <w:color w:val="000000" w:themeColor="text1"/>
          <w:sz w:val="16"/>
          <w:szCs w:val="16"/>
        </w:rPr>
        <w:t>тетрахлорный</w:t>
      </w:r>
      <w:proofErr w:type="spellEnd"/>
      <w:r w:rsidRPr="007122AB">
        <w:rPr>
          <w:rFonts w:ascii="Times New Roman" w:hAnsi="Times New Roman"/>
          <w:color w:val="000000" w:themeColor="text1"/>
          <w:sz w:val="16"/>
          <w:szCs w:val="16"/>
        </w:rPr>
        <w:t xml:space="preserve"> огнетушитель. К основным недостаткам машины относились двигатель с малым моторесурсом, громоздкая система жидкостного охлаждения двигателя и капризная в работе и трудоемкая в производстве коробка передач с дифференциальной системой управления.</w:t>
      </w:r>
    </w:p>
    <w:p w14:paraId="18296046"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Себестоимость танка Т-24 составляла 173499 руб. 51 коп.</w:t>
      </w:r>
    </w:p>
    <w:p w14:paraId="065F0FEF" w14:textId="77777777" w:rsidR="00987BB5" w:rsidRPr="007122AB" w:rsidRDefault="00987BB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Практически все изготовленные и принятые заказчиком танки Т-24 были направлены в Харьковский военный округ. Необходимо отметить, что первая выпущенная машина имела персональное название, Так, еще в процессе организации производства танка Т-24 в соответствии с указаниями начальника 1 -го отдела ТУ УММ Моргунова от 26 июля 1930 г., направленными председателю правления Машино-объединения и военпреду ХПЗ, предписывалось: «Одному из танков Т-24 - Т-12) первой партии в 15 штук надлежит присвоить наименование «имени </w:t>
      </w:r>
      <w:proofErr w:type="spellStart"/>
      <w:r w:rsidRPr="007122AB">
        <w:rPr>
          <w:rFonts w:ascii="Times New Roman" w:hAnsi="Times New Roman"/>
          <w:color w:val="000000" w:themeColor="text1"/>
          <w:sz w:val="16"/>
          <w:szCs w:val="16"/>
        </w:rPr>
        <w:t>Лепсе».О</w:t>
      </w:r>
      <w:proofErr w:type="spellEnd"/>
      <w:r w:rsidRPr="007122AB">
        <w:rPr>
          <w:rFonts w:ascii="Times New Roman" w:hAnsi="Times New Roman"/>
          <w:color w:val="000000" w:themeColor="text1"/>
          <w:sz w:val="16"/>
          <w:szCs w:val="16"/>
        </w:rPr>
        <w:t xml:space="preserve"> дне готовности первого танка. С указанием его номера, из пятнадцати, к сдаче его в часть прошу меня </w:t>
      </w:r>
      <w:proofErr w:type="spellStart"/>
      <w:r w:rsidRPr="007122AB">
        <w:rPr>
          <w:rFonts w:ascii="Times New Roman" w:hAnsi="Times New Roman"/>
          <w:color w:val="000000" w:themeColor="text1"/>
          <w:sz w:val="16"/>
          <w:szCs w:val="16"/>
        </w:rPr>
        <w:t>уведомить.Надпись</w:t>
      </w:r>
      <w:proofErr w:type="spellEnd"/>
      <w:r w:rsidRPr="007122AB">
        <w:rPr>
          <w:rFonts w:ascii="Times New Roman" w:hAnsi="Times New Roman"/>
          <w:color w:val="000000" w:themeColor="text1"/>
          <w:sz w:val="16"/>
          <w:szCs w:val="16"/>
        </w:rPr>
        <w:t xml:space="preserve"> «имени Лепсе» сделать на башне танка красной </w:t>
      </w:r>
      <w:proofErr w:type="spellStart"/>
      <w:r w:rsidRPr="007122AB">
        <w:rPr>
          <w:rFonts w:ascii="Times New Roman" w:hAnsi="Times New Roman"/>
          <w:color w:val="000000" w:themeColor="text1"/>
          <w:sz w:val="16"/>
          <w:szCs w:val="16"/>
        </w:rPr>
        <w:t>краской».К</w:t>
      </w:r>
      <w:proofErr w:type="spellEnd"/>
      <w:r w:rsidRPr="007122AB">
        <w:rPr>
          <w:rFonts w:ascii="Times New Roman" w:hAnsi="Times New Roman"/>
          <w:color w:val="000000" w:themeColor="text1"/>
          <w:sz w:val="16"/>
          <w:szCs w:val="16"/>
        </w:rPr>
        <w:t xml:space="preserve"> 1938 г. танки Т-24 как устаревшие передали на склады. В апреле 1938 г., согласно проекту постановления Главного совета РККА «Об использовании имеющихся в РККА несерийных старых типов танков», в отношении танков Т-24 говорилось: «3. Передать Укрепрайонам Округов и НКВМФ для использования на огневых точках танков: Т-18 - 860 шт., Т-24 -22шт., </w:t>
      </w:r>
      <w:proofErr w:type="spellStart"/>
      <w:r w:rsidRPr="007122AB">
        <w:rPr>
          <w:rFonts w:ascii="Times New Roman" w:hAnsi="Times New Roman"/>
          <w:color w:val="000000" w:themeColor="text1"/>
          <w:sz w:val="16"/>
          <w:szCs w:val="16"/>
        </w:rPr>
        <w:t>втомчисле</w:t>
      </w:r>
      <w:proofErr w:type="spellEnd"/>
      <w:r w:rsidRPr="007122AB">
        <w:rPr>
          <w:rFonts w:ascii="Times New Roman" w:hAnsi="Times New Roman"/>
          <w:color w:val="000000" w:themeColor="text1"/>
          <w:sz w:val="16"/>
          <w:szCs w:val="16"/>
        </w:rPr>
        <w:t xml:space="preserve"> 160танков Т-18, использованных на это дело в 1936 г. </w:t>
      </w:r>
      <w:proofErr w:type="spellStart"/>
      <w:r w:rsidRPr="007122AB">
        <w:rPr>
          <w:rFonts w:ascii="Times New Roman" w:hAnsi="Times New Roman"/>
          <w:color w:val="000000" w:themeColor="text1"/>
          <w:sz w:val="16"/>
          <w:szCs w:val="16"/>
        </w:rPr>
        <w:t>вЛВО</w:t>
      </w:r>
      <w:proofErr w:type="spellEnd"/>
      <w:r w:rsidRPr="007122AB">
        <w:rPr>
          <w:rFonts w:ascii="Times New Roman" w:hAnsi="Times New Roman"/>
          <w:color w:val="000000" w:themeColor="text1"/>
          <w:sz w:val="16"/>
          <w:szCs w:val="16"/>
        </w:rPr>
        <w:t xml:space="preserve">». Таким образом, танки Т-24 предписывалось использовать для создания неподвижных огневых точек. К началу Великой Отечественной войны большая часть этих машин была переоборудована согласно своему новому назначению. Однако установить их в укрепрайонах не успели, и все эти машины вместе другими аналогичными огневыми точками из танков МС-1 были захвачены в местах их последней </w:t>
      </w:r>
      <w:proofErr w:type="spellStart"/>
      <w:r w:rsidRPr="007122AB">
        <w:rPr>
          <w:rFonts w:ascii="Times New Roman" w:hAnsi="Times New Roman"/>
          <w:color w:val="000000" w:themeColor="text1"/>
          <w:sz w:val="16"/>
          <w:szCs w:val="16"/>
        </w:rPr>
        <w:t>дислокации.Танк</w:t>
      </w:r>
      <w:proofErr w:type="spellEnd"/>
      <w:r w:rsidRPr="007122AB">
        <w:rPr>
          <w:rFonts w:ascii="Times New Roman" w:hAnsi="Times New Roman"/>
          <w:color w:val="000000" w:themeColor="text1"/>
          <w:sz w:val="16"/>
          <w:szCs w:val="16"/>
        </w:rPr>
        <w:t xml:space="preserve"> Т-24 оказался довольно сложной и дорогой машиной с большим количеством недостатков. Тем не менее он сыграл важную роль в становлении отечественного танкостроения, став своеобразной школой по подготовке кадров конструкторов, технологов и производственников, обеспечивших создание одного из ведущих конструкторских бюро отрасли и танкового производства на ХПЗ в предвоенные годы (12303).</w:t>
      </w:r>
    </w:p>
    <w:p w14:paraId="07F307A3" w14:textId="77777777" w:rsidR="00987BB5" w:rsidRPr="007122AB" w:rsidRDefault="00987BB5" w:rsidP="007122AB">
      <w:pPr>
        <w:spacing w:after="0" w:line="240" w:lineRule="auto"/>
        <w:jc w:val="both"/>
        <w:rPr>
          <w:rFonts w:ascii="Times New Roman" w:hAnsi="Times New Roman"/>
          <w:color w:val="000000" w:themeColor="text1"/>
          <w:sz w:val="16"/>
          <w:szCs w:val="16"/>
        </w:rPr>
      </w:pPr>
    </w:p>
    <w:p w14:paraId="1178BA74"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22 декабря 1931 Ковровскому заводу было предложено немедленно организовать производство автомобильного стартера «</w:t>
      </w:r>
      <w:proofErr w:type="spellStart"/>
      <w:r w:rsidRPr="007122AB">
        <w:rPr>
          <w:color w:val="000000" w:themeColor="text1"/>
          <w:sz w:val="16"/>
          <w:szCs w:val="16"/>
        </w:rPr>
        <w:t>бендикс</w:t>
      </w:r>
      <w:proofErr w:type="spellEnd"/>
      <w:r w:rsidRPr="007122AB">
        <w:rPr>
          <w:color w:val="000000" w:themeColor="text1"/>
          <w:sz w:val="16"/>
          <w:szCs w:val="16"/>
        </w:rPr>
        <w:t>» для нижегородских автомобилестроителей. До этого необходимое для каждого автомобиля пусковое устройство покупалось в Америке за золото.</w:t>
      </w:r>
    </w:p>
    <w:p w14:paraId="5F95BD7E"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Для нового заказа - производства автомобильного стартера - создана, специальная мастерская. Организация всего дела поручалась опытному молодому мастеру К.И. Исакову.</w:t>
      </w:r>
    </w:p>
    <w:p w14:paraId="0E93844F" w14:textId="77777777" w:rsidR="00987BB5" w:rsidRPr="007122AB" w:rsidRDefault="00987BB5" w:rsidP="007122AB">
      <w:pPr>
        <w:pStyle w:val="ae"/>
        <w:spacing w:before="0" w:after="0"/>
        <w:jc w:val="both"/>
        <w:rPr>
          <w:color w:val="000000" w:themeColor="text1"/>
          <w:sz w:val="16"/>
          <w:szCs w:val="16"/>
        </w:rPr>
      </w:pPr>
      <w:r w:rsidRPr="007122AB">
        <w:rPr>
          <w:color w:val="000000" w:themeColor="text1"/>
          <w:sz w:val="16"/>
          <w:szCs w:val="16"/>
        </w:rPr>
        <w:t>На техническом совещании был проанализирован технологический процесс. Было решено изготавливать «</w:t>
      </w:r>
      <w:proofErr w:type="spellStart"/>
      <w:r w:rsidRPr="007122AB">
        <w:rPr>
          <w:color w:val="000000" w:themeColor="text1"/>
          <w:sz w:val="16"/>
          <w:szCs w:val="16"/>
        </w:rPr>
        <w:t>бендиксы</w:t>
      </w:r>
      <w:proofErr w:type="spellEnd"/>
      <w:r w:rsidRPr="007122AB">
        <w:rPr>
          <w:color w:val="000000" w:themeColor="text1"/>
          <w:sz w:val="16"/>
          <w:szCs w:val="16"/>
        </w:rPr>
        <w:t>» только на отечественном оборудовании (12221).</w:t>
      </w:r>
    </w:p>
    <w:p w14:paraId="4C479600" w14:textId="77777777" w:rsidR="00987BB5" w:rsidRPr="007122AB" w:rsidRDefault="00987BB5" w:rsidP="007122AB">
      <w:pPr>
        <w:pStyle w:val="ae"/>
        <w:spacing w:before="0" w:after="0"/>
        <w:jc w:val="both"/>
        <w:rPr>
          <w:color w:val="000000" w:themeColor="text1"/>
          <w:sz w:val="16"/>
          <w:szCs w:val="16"/>
        </w:rPr>
      </w:pPr>
    </w:p>
    <w:p w14:paraId="71526CE4"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декабря 1931 года на совещании при 4-м секторе технического управления УММ РККА была принята программа по производству бронепоездов на 1932 год. В протоколе заседания говорилось:</w:t>
      </w:r>
    </w:p>
    <w:p w14:paraId="02286071"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 включить в программу 1932 года дополнительно к бронированию 10 паровозов еще 4 паровоза недодел 1931 года, на который имеются заготовки.</w:t>
      </w:r>
    </w:p>
    <w:p w14:paraId="62087B08"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Программу по бронеплощадкам на 1932 год… считать в 28 единиц, из них 26 легких и 2 тяжелых.</w:t>
      </w:r>
    </w:p>
    <w:p w14:paraId="7A64D3A6"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Предусмотреть программой работ по бронеплощадкам установку панорамных башенок, на легких площадках бронирование низа площадок и полную укладку военного химического, телеграфного имущества, аккумуляторов и др. под полом бронепоездов.</w:t>
      </w:r>
    </w:p>
    <w:p w14:paraId="09186DCF"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Бронировку отдельных аккумуляторных ящиков исключить и производить бронирование всего низа.</w:t>
      </w:r>
    </w:p>
    <w:p w14:paraId="09396443"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Бронепоездам провести капитальный ремонт с учетом проведения всех элементов модернизации с обязательным введением </w:t>
      </w:r>
      <w:proofErr w:type="spellStart"/>
      <w:r w:rsidRPr="007122AB">
        <w:rPr>
          <w:rFonts w:ascii="Times New Roman" w:hAnsi="Times New Roman"/>
          <w:color w:val="000000" w:themeColor="text1"/>
          <w:sz w:val="16"/>
          <w:szCs w:val="16"/>
        </w:rPr>
        <w:t>бронеединиц</w:t>
      </w:r>
      <w:proofErr w:type="spellEnd"/>
      <w:r w:rsidRPr="007122AB">
        <w:rPr>
          <w:rFonts w:ascii="Times New Roman" w:hAnsi="Times New Roman"/>
          <w:color w:val="000000" w:themeColor="text1"/>
          <w:sz w:val="16"/>
          <w:szCs w:val="16"/>
        </w:rPr>
        <w:t xml:space="preserve"> в колею </w:t>
      </w:r>
      <w:smartTag w:uri="urn:schemas-microsoft-com:office:smarttags" w:element="metricconverter">
        <w:smartTagPr>
          <w:attr w:name="ProductID" w:val="1945 г"/>
        </w:smartTagPr>
        <w:r w:rsidRPr="007122AB">
          <w:rPr>
            <w:rFonts w:ascii="Times New Roman" w:hAnsi="Times New Roman"/>
            <w:color w:val="000000" w:themeColor="text1"/>
            <w:sz w:val="16"/>
            <w:szCs w:val="16"/>
          </w:rPr>
          <w:t>1435 мм</w:t>
        </w:r>
      </w:smartTag>
      <w:r w:rsidRPr="007122AB">
        <w:rPr>
          <w:rFonts w:ascii="Times New Roman" w:hAnsi="Times New Roman"/>
          <w:color w:val="000000" w:themeColor="text1"/>
          <w:sz w:val="16"/>
          <w:szCs w:val="16"/>
        </w:rPr>
        <w:t>.</w:t>
      </w:r>
    </w:p>
    <w:p w14:paraId="79C80B72"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отношении бронеплощадок, которым, по мнению склада, капитальный ремонт нецелесообразен в связи с </w:t>
      </w:r>
      <w:proofErr w:type="spellStart"/>
      <w:r w:rsidRPr="007122AB">
        <w:rPr>
          <w:rFonts w:ascii="Times New Roman" w:hAnsi="Times New Roman"/>
          <w:color w:val="000000" w:themeColor="text1"/>
          <w:sz w:val="16"/>
          <w:szCs w:val="16"/>
        </w:rPr>
        <w:t>невписыванием</w:t>
      </w:r>
      <w:proofErr w:type="spellEnd"/>
      <w:r w:rsidRPr="007122AB">
        <w:rPr>
          <w:rFonts w:ascii="Times New Roman" w:hAnsi="Times New Roman"/>
          <w:color w:val="000000" w:themeColor="text1"/>
          <w:sz w:val="16"/>
          <w:szCs w:val="16"/>
        </w:rPr>
        <w:t xml:space="preserve"> в железнодорожный габарит, склад представляет свои соображения о </w:t>
      </w:r>
      <w:proofErr w:type="spellStart"/>
      <w:r w:rsidRPr="007122AB">
        <w:rPr>
          <w:rFonts w:ascii="Times New Roman" w:hAnsi="Times New Roman"/>
          <w:color w:val="000000" w:themeColor="text1"/>
          <w:sz w:val="16"/>
          <w:szCs w:val="16"/>
        </w:rPr>
        <w:t>перебронировке</w:t>
      </w:r>
      <w:proofErr w:type="spellEnd"/>
      <w:r w:rsidRPr="007122AB">
        <w:rPr>
          <w:rFonts w:ascii="Times New Roman" w:hAnsi="Times New Roman"/>
          <w:color w:val="000000" w:themeColor="text1"/>
          <w:sz w:val="16"/>
          <w:szCs w:val="16"/>
        </w:rPr>
        <w:t xml:space="preserve"> их с приведением к стандартному типу.</w:t>
      </w:r>
    </w:p>
    <w:p w14:paraId="0A6BFB98" w14:textId="77777777" w:rsidR="00C80728" w:rsidRPr="007122AB" w:rsidRDefault="00C807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ремонте и </w:t>
      </w:r>
      <w:proofErr w:type="spellStart"/>
      <w:r w:rsidRPr="007122AB">
        <w:rPr>
          <w:rFonts w:ascii="Times New Roman" w:hAnsi="Times New Roman"/>
          <w:color w:val="000000" w:themeColor="text1"/>
          <w:sz w:val="16"/>
          <w:szCs w:val="16"/>
        </w:rPr>
        <w:t>перебронировке</w:t>
      </w:r>
      <w:proofErr w:type="spellEnd"/>
      <w:r w:rsidRPr="007122AB">
        <w:rPr>
          <w:rFonts w:ascii="Times New Roman" w:hAnsi="Times New Roman"/>
          <w:color w:val="000000" w:themeColor="text1"/>
          <w:sz w:val="16"/>
          <w:szCs w:val="16"/>
        </w:rPr>
        <w:t xml:space="preserve"> максимально использовать все имеющиеся материалы на поступающих объектах и внутренние ресурсы склада (нижегородская броня и прочее)» (15218).</w:t>
      </w:r>
    </w:p>
    <w:p w14:paraId="6B9FAE56" w14:textId="2CD32EBF" w:rsidR="00C80728" w:rsidRPr="007122AB" w:rsidRDefault="00C80728" w:rsidP="007122AB">
      <w:pPr>
        <w:spacing w:after="0" w:line="240" w:lineRule="auto"/>
        <w:jc w:val="both"/>
        <w:rPr>
          <w:rFonts w:ascii="Times New Roman" w:hAnsi="Times New Roman"/>
          <w:color w:val="000000" w:themeColor="text1"/>
          <w:sz w:val="16"/>
          <w:szCs w:val="16"/>
        </w:rPr>
      </w:pPr>
    </w:p>
    <w:p w14:paraId="3CB51081" w14:textId="59CDF8D4" w:rsidR="000E52C6" w:rsidRPr="007122AB" w:rsidRDefault="000E52C6" w:rsidP="007122AB">
      <w:pPr>
        <w:spacing w:after="0" w:line="240" w:lineRule="auto"/>
        <w:jc w:val="both"/>
        <w:rPr>
          <w:rFonts w:ascii="Times New Roman" w:hAnsi="Times New Roman"/>
          <w:i/>
          <w:iCs/>
          <w:color w:val="000000" w:themeColor="text1"/>
          <w:sz w:val="16"/>
          <w:szCs w:val="16"/>
        </w:rPr>
      </w:pPr>
      <w:r w:rsidRPr="007122AB">
        <w:rPr>
          <w:rFonts w:ascii="Times New Roman" w:hAnsi="Times New Roman"/>
          <w:i/>
          <w:iCs/>
          <w:color w:val="000000" w:themeColor="text1"/>
          <w:sz w:val="16"/>
          <w:szCs w:val="16"/>
        </w:rPr>
        <w:t>Армия:</w:t>
      </w:r>
    </w:p>
    <w:p w14:paraId="0574DC3F" w14:textId="77777777" w:rsidR="000E52C6" w:rsidRPr="007122AB" w:rsidRDefault="000E52C6" w:rsidP="007122AB">
      <w:pPr>
        <w:spacing w:after="0" w:line="240" w:lineRule="auto"/>
        <w:jc w:val="both"/>
        <w:rPr>
          <w:rFonts w:ascii="Times New Roman" w:hAnsi="Times New Roman"/>
          <w:i/>
          <w:iCs/>
          <w:color w:val="000000" w:themeColor="text1"/>
          <w:sz w:val="16"/>
          <w:szCs w:val="16"/>
        </w:rPr>
      </w:pPr>
    </w:p>
    <w:p w14:paraId="5A102DA0"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декабря 1931 года Тухачевский представив на имя Сталина краткий материал по производству десантов на маневрах в ЛВО и УВО, подчеркнул: «С овладением </w:t>
      </w:r>
      <w:proofErr w:type="spellStart"/>
      <w:r w:rsidRPr="007122AB">
        <w:rPr>
          <w:rFonts w:ascii="Times New Roman" w:hAnsi="Times New Roman"/>
          <w:color w:val="000000" w:themeColor="text1"/>
          <w:sz w:val="16"/>
          <w:szCs w:val="16"/>
        </w:rPr>
        <w:t>авиамотодесантным</w:t>
      </w:r>
      <w:proofErr w:type="spellEnd"/>
      <w:r w:rsidRPr="007122AB">
        <w:rPr>
          <w:rFonts w:ascii="Times New Roman" w:hAnsi="Times New Roman"/>
          <w:color w:val="000000" w:themeColor="text1"/>
          <w:sz w:val="16"/>
          <w:szCs w:val="16"/>
        </w:rPr>
        <w:t xml:space="preserve"> делом можно будет срывать и мобилизационные, и оперативные, и снабженческие перевозки противника»; «</w:t>
      </w:r>
      <w:proofErr w:type="spellStart"/>
      <w:r w:rsidRPr="007122AB">
        <w:rPr>
          <w:rFonts w:ascii="Times New Roman" w:hAnsi="Times New Roman"/>
          <w:color w:val="000000" w:themeColor="text1"/>
          <w:sz w:val="16"/>
          <w:szCs w:val="16"/>
        </w:rPr>
        <w:t>Авиамотодесант</w:t>
      </w:r>
      <w:proofErr w:type="spellEnd"/>
      <w:r w:rsidRPr="007122AB">
        <w:rPr>
          <w:rFonts w:ascii="Times New Roman" w:hAnsi="Times New Roman"/>
          <w:color w:val="000000" w:themeColor="text1"/>
          <w:sz w:val="16"/>
          <w:szCs w:val="16"/>
        </w:rPr>
        <w:t xml:space="preserve"> – новое и мощное средство </w:t>
      </w:r>
      <w:proofErr w:type="spellStart"/>
      <w:r w:rsidRPr="007122AB">
        <w:rPr>
          <w:rFonts w:ascii="Times New Roman" w:hAnsi="Times New Roman"/>
          <w:color w:val="000000" w:themeColor="text1"/>
          <w:sz w:val="16"/>
          <w:szCs w:val="16"/>
        </w:rPr>
        <w:t>парализования</w:t>
      </w:r>
      <w:proofErr w:type="spellEnd"/>
      <w:r w:rsidRPr="007122AB">
        <w:rPr>
          <w:rFonts w:ascii="Times New Roman" w:hAnsi="Times New Roman"/>
          <w:color w:val="000000" w:themeColor="text1"/>
          <w:sz w:val="16"/>
          <w:szCs w:val="16"/>
        </w:rPr>
        <w:t xml:space="preserve"> оперативного, железнодорожного и автомобильного маневра и разрушения тыла противника» (РГАСПИ. Ф. 558. Оп. 11. Д. 446. Л. 5, 114) (21402).</w:t>
      </w:r>
    </w:p>
    <w:p w14:paraId="39B3410C" w14:textId="77777777" w:rsidR="000E52C6" w:rsidRPr="007122AB" w:rsidRDefault="000E52C6" w:rsidP="007122AB">
      <w:pPr>
        <w:spacing w:after="0" w:line="240" w:lineRule="auto"/>
        <w:jc w:val="both"/>
        <w:rPr>
          <w:rFonts w:ascii="Times New Roman" w:hAnsi="Times New Roman"/>
          <w:color w:val="000000" w:themeColor="text1"/>
          <w:sz w:val="16"/>
          <w:szCs w:val="16"/>
        </w:rPr>
      </w:pPr>
    </w:p>
    <w:p w14:paraId="67F01B5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154D8D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F1008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22 декабря 1931 г. Протоколом </w:t>
      </w:r>
      <w:proofErr w:type="spellStart"/>
      <w:r w:rsidRPr="007122AB">
        <w:rPr>
          <w:rFonts w:ascii="Times New Roman" w:hAnsi="Times New Roman"/>
          <w:color w:val="000000" w:themeColor="text1"/>
          <w:sz w:val="16"/>
          <w:szCs w:val="16"/>
        </w:rPr>
        <w:t>Хинчук</w:t>
      </w:r>
      <w:proofErr w:type="spellEnd"/>
      <w:r w:rsidRPr="007122AB">
        <w:rPr>
          <w:rFonts w:ascii="Times New Roman" w:hAnsi="Times New Roman"/>
          <w:color w:val="000000" w:themeColor="text1"/>
          <w:sz w:val="16"/>
          <w:szCs w:val="16"/>
        </w:rPr>
        <w:t xml:space="preserve"> и германский министр экономики X. </w:t>
      </w:r>
      <w:proofErr w:type="spellStart"/>
      <w:r w:rsidRPr="007122AB">
        <w:rPr>
          <w:rFonts w:ascii="Times New Roman" w:hAnsi="Times New Roman"/>
          <w:color w:val="000000" w:themeColor="text1"/>
          <w:sz w:val="16"/>
          <w:szCs w:val="16"/>
        </w:rPr>
        <w:t>Вармбольд</w:t>
      </w:r>
      <w:proofErr w:type="spellEnd"/>
      <w:r w:rsidRPr="007122AB">
        <w:rPr>
          <w:rFonts w:ascii="Times New Roman" w:hAnsi="Times New Roman"/>
          <w:color w:val="000000" w:themeColor="text1"/>
          <w:sz w:val="16"/>
          <w:szCs w:val="16"/>
        </w:rPr>
        <w:t xml:space="preserve">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15289F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28B067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A85005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B6B66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 декабря 1931 Сенат США установил мораторий на иностранные долги (2100).</w:t>
      </w:r>
    </w:p>
    <w:p w14:paraId="0247DB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CBBE2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84AAF7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3A5C26"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декабря 1931 в НИИ ВВС закончились контрольные испытания опытного самолета И-5 № 4372 постройки завода № 1 с мотором М-15 № 24104, которые проходили с 25 ноября 1931.</w:t>
      </w:r>
    </w:p>
    <w:p w14:paraId="6DEDD13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контрольных испытаний опытного самолета И-5 № 4372 постройки завода № 1 с мотором М-15 № 24104</w:t>
      </w:r>
    </w:p>
    <w:p w14:paraId="577FA8F5"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аэродром самолет прибыл 25 ноября 1931 года.</w:t>
      </w:r>
    </w:p>
    <w:p w14:paraId="57819C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контрольный полет был произведен 19 декабря 1931 года, второй – 23 декабря 1931 года. После второго полета самолет передан на Экспедицию для окончательной отделки (6964, 26-29).</w:t>
      </w:r>
    </w:p>
    <w:p w14:paraId="226121AD"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5B5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декабря 1931 после устранения ряда выявленных в первом полете 19 декабря дефектов </w:t>
      </w:r>
      <w:proofErr w:type="spellStart"/>
      <w:r w:rsidRPr="007122AB">
        <w:rPr>
          <w:rFonts w:ascii="Times New Roman" w:hAnsi="Times New Roman"/>
          <w:color w:val="000000" w:themeColor="text1"/>
          <w:sz w:val="16"/>
          <w:szCs w:val="16"/>
        </w:rPr>
        <w:t>Калиншин</w:t>
      </w:r>
      <w:proofErr w:type="spellEnd"/>
      <w:r w:rsidRPr="007122AB">
        <w:rPr>
          <w:rFonts w:ascii="Times New Roman" w:hAnsi="Times New Roman"/>
          <w:color w:val="000000" w:themeColor="text1"/>
          <w:sz w:val="16"/>
          <w:szCs w:val="16"/>
        </w:rPr>
        <w:t xml:space="preserve"> совершил второй полёт на истребителе И-5 М-15 № 4372 постройки завода № 1, который прибыл в НИИ ВВС 25 ноября.</w:t>
      </w:r>
    </w:p>
    <w:p w14:paraId="0A0DA1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w:t>
      </w:r>
    </w:p>
    <w:p w14:paraId="480B0F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Видимо второй полет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6B5E26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15EFFD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19C349" w14:textId="77777777" w:rsidR="000E52C6" w:rsidRPr="007122AB" w:rsidRDefault="000E52C6"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23 декабря 1931 Политбюро утвердило внесенное Сталиным и </w:t>
      </w:r>
      <w:proofErr w:type="spellStart"/>
      <w:r w:rsidRPr="007122AB">
        <w:rPr>
          <w:rFonts w:ascii="Times New Roman" w:hAnsi="Times New Roman"/>
          <w:color w:val="000000" w:themeColor="text1"/>
          <w:sz w:val="16"/>
          <w:szCs w:val="16"/>
          <w:shd w:val="clear" w:color="auto" w:fill="FFFFFF"/>
        </w:rPr>
        <w:t>Гольцманом</w:t>
      </w:r>
      <w:proofErr w:type="spellEnd"/>
      <w:r w:rsidRPr="007122AB">
        <w:rPr>
          <w:rFonts w:ascii="Times New Roman" w:hAnsi="Times New Roman"/>
          <w:color w:val="000000" w:themeColor="text1"/>
          <w:sz w:val="16"/>
          <w:szCs w:val="16"/>
          <w:shd w:val="clear" w:color="auto" w:fill="FFFFFF"/>
        </w:rPr>
        <w:t xml:space="preserve"> краткое предложение — пригласить итальянского конструктора Нобиле. Поначалу решили, что комиссия, образованная 16 октября — К.В. Ворошилов, А.З. </w:t>
      </w:r>
      <w:proofErr w:type="spellStart"/>
      <w:r w:rsidRPr="007122AB">
        <w:rPr>
          <w:rFonts w:ascii="Times New Roman" w:hAnsi="Times New Roman"/>
          <w:color w:val="000000" w:themeColor="text1"/>
          <w:sz w:val="16"/>
          <w:szCs w:val="16"/>
          <w:shd w:val="clear" w:color="auto" w:fill="FFFFFF"/>
        </w:rPr>
        <w:t>Гольцман</w:t>
      </w:r>
      <w:proofErr w:type="spellEnd"/>
      <w:r w:rsidRPr="007122AB">
        <w:rPr>
          <w:rFonts w:ascii="Times New Roman" w:hAnsi="Times New Roman"/>
          <w:color w:val="000000" w:themeColor="text1"/>
          <w:sz w:val="16"/>
          <w:szCs w:val="16"/>
          <w:shd w:val="clear" w:color="auto" w:fill="FFFFFF"/>
        </w:rPr>
        <w:t>, нарком финансов Г.Ф. Гринько и замнаркома внешней торговли Ш.З. Элиава, — рассмотрит проект договора и «при единогласном мнении» можно будет «считать вопрос решенным от имени СТО». Но единодушия достичь не удалось. Против высказался Элиава. На том основании, что приглашение Нобиле приведет к осложнению отношений с Италией65. Из проекта изъяли упоминание о постройке большого дирижабля и полярной экспедиции (20467).</w:t>
      </w:r>
    </w:p>
    <w:p w14:paraId="7965AACC" w14:textId="77777777" w:rsidR="000E52C6" w:rsidRPr="007122AB" w:rsidRDefault="000E52C6" w:rsidP="007122AB">
      <w:pPr>
        <w:spacing w:after="0" w:line="240" w:lineRule="auto"/>
        <w:jc w:val="both"/>
        <w:rPr>
          <w:rFonts w:ascii="Times New Roman" w:hAnsi="Times New Roman"/>
          <w:color w:val="000000" w:themeColor="text1"/>
          <w:sz w:val="16"/>
          <w:szCs w:val="16"/>
        </w:rPr>
      </w:pPr>
    </w:p>
    <w:p w14:paraId="32CC25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CC1E60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A28F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декабря 1931 г. Н. Беляев, известный в нашей стране пропагандист широкой автомобилизации, на страницах газеты "Известия" с тревогой подчеркивал: "Мы считали бы величайшей ошибкой, почти преступлением, оставить под сукном готовые чертежи нужного нам автомобиля советской конструкции, над которым два года работают сотрудники НАТИ". Опытные образцы НАТИ-2 - их постройку на "</w:t>
      </w:r>
      <w:proofErr w:type="spellStart"/>
      <w:r w:rsidRPr="007122AB">
        <w:rPr>
          <w:rFonts w:ascii="Times New Roman" w:hAnsi="Times New Roman"/>
          <w:color w:val="000000" w:themeColor="text1"/>
          <w:sz w:val="16"/>
          <w:szCs w:val="16"/>
        </w:rPr>
        <w:t>Ижстальзаводе</w:t>
      </w:r>
      <w:proofErr w:type="spellEnd"/>
      <w:r w:rsidRPr="007122AB">
        <w:rPr>
          <w:rFonts w:ascii="Times New Roman" w:hAnsi="Times New Roman"/>
          <w:color w:val="000000" w:themeColor="text1"/>
          <w:sz w:val="16"/>
          <w:szCs w:val="16"/>
        </w:rPr>
        <w:t>" финансировал Автодор - изготовили в пяти экземплярах: четырехместные машины с кузовом фаэтон, пикап грузоподъемностью 400 кг и двухместную модификацию с кузовом родстер. У первых двух разновидностей - шасси с базой 2730 мм. Масса НАТИ-2 составляла (в зависимости от типа кузова) 730-750 кг, а наибольшая скорость - 75 км/ч. Испытания машин показали их прекрасную проходимость и неприхотливость. Нарком тяжелого машиностроения Г. К. Орджоникидзе горячо поддерживал идею организации производства малолитражки, но И. В. Сталин занял по отношению к ней негативную позицию. В итоге вопрос о производственной базе для выпуска этих автомобилей так и остался нерешенным и на НАТИ-2 был поставлен крест (12098).</w:t>
      </w:r>
    </w:p>
    <w:p w14:paraId="1873B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17ABCE" w14:textId="77777777" w:rsidR="005E1AD5" w:rsidRPr="007122AB" w:rsidRDefault="005E1AD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23 декабря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81. 15. Доклад Комитета резервов о состоянии принятых фондов и о дислокации </w:t>
      </w:r>
      <w:proofErr w:type="spellStart"/>
      <w:r w:rsidRPr="007122AB">
        <w:rPr>
          <w:rFonts w:ascii="Times New Roman" w:hAnsi="Times New Roman"/>
          <w:color w:val="000000" w:themeColor="text1"/>
          <w:sz w:val="16"/>
          <w:szCs w:val="16"/>
          <w:u w:color="002060"/>
        </w:rPr>
        <w:t>непфонда</w:t>
      </w:r>
      <w:proofErr w:type="spellEnd"/>
      <w:r w:rsidRPr="007122AB">
        <w:rPr>
          <w:rFonts w:ascii="Times New Roman" w:hAnsi="Times New Roman"/>
          <w:color w:val="000000" w:themeColor="text1"/>
          <w:sz w:val="16"/>
          <w:szCs w:val="16"/>
          <w:u w:color="002060"/>
        </w:rPr>
        <w:t xml:space="preserve"> и </w:t>
      </w:r>
      <w:proofErr w:type="spellStart"/>
      <w:r w:rsidRPr="007122AB">
        <w:rPr>
          <w:rFonts w:ascii="Times New Roman" w:hAnsi="Times New Roman"/>
          <w:color w:val="000000" w:themeColor="text1"/>
          <w:sz w:val="16"/>
          <w:szCs w:val="16"/>
          <w:u w:color="002060"/>
        </w:rPr>
        <w:t>мобфонда</w:t>
      </w:r>
      <w:proofErr w:type="spellEnd"/>
      <w:r w:rsidRPr="007122AB">
        <w:rPr>
          <w:rFonts w:ascii="Times New Roman" w:hAnsi="Times New Roman"/>
          <w:color w:val="000000" w:themeColor="text1"/>
          <w:sz w:val="16"/>
          <w:szCs w:val="16"/>
          <w:u w:color="002060"/>
        </w:rPr>
        <w:t xml:space="preserve"> (ПБ от 15 ноября 1931 г., пр. № 75, п. 20, из прил. п. 3 и ПБ от 1 декабря 1931 г., пр. № 78, п. 23). 22. О </w:t>
      </w:r>
      <w:proofErr w:type="spellStart"/>
      <w:r w:rsidRPr="007122AB">
        <w:rPr>
          <w:rFonts w:ascii="Times New Roman" w:hAnsi="Times New Roman"/>
          <w:color w:val="000000" w:themeColor="text1"/>
          <w:sz w:val="16"/>
          <w:szCs w:val="16"/>
          <w:u w:color="002060"/>
        </w:rPr>
        <w:t>мобзапасе</w:t>
      </w:r>
      <w:proofErr w:type="spellEnd"/>
      <w:r w:rsidRPr="007122AB">
        <w:rPr>
          <w:rFonts w:ascii="Times New Roman" w:hAnsi="Times New Roman"/>
          <w:color w:val="000000" w:themeColor="text1"/>
          <w:sz w:val="16"/>
          <w:szCs w:val="16"/>
          <w:u w:color="002060"/>
        </w:rPr>
        <w:t xml:space="preserve"> паровозов (ПБ от 16 декабря 1931 г., пр. № 80, п. 1). 35. О развертывании собственного морского судостроения в 1932/34 гг. (ПБ от 1 ноября 1931., пр. № 72, п. 10). Решения ПБ от 18 декабря 1931 г. 40/1. Проект постановления о народнохозяйственном плане СССР на 1932 г. (Политбюро... Т. 2. С. 255, 256) (12416).</w:t>
      </w:r>
    </w:p>
    <w:p w14:paraId="6926BBB9" w14:textId="77777777" w:rsidR="005E1AD5" w:rsidRPr="007122AB" w:rsidRDefault="005E1AD5" w:rsidP="007122AB">
      <w:pPr>
        <w:spacing w:after="0" w:line="240" w:lineRule="auto"/>
        <w:jc w:val="both"/>
        <w:rPr>
          <w:rFonts w:ascii="Times New Roman" w:hAnsi="Times New Roman"/>
          <w:color w:val="000000" w:themeColor="text1"/>
          <w:sz w:val="16"/>
          <w:szCs w:val="16"/>
          <w:u w:color="002060"/>
        </w:rPr>
      </w:pPr>
    </w:p>
    <w:p w14:paraId="0DFCA9C3"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23 декабря 1931 </w:t>
      </w:r>
      <w:r w:rsidRPr="007122AB">
        <w:rPr>
          <w:rFonts w:ascii="Times New Roman" w:hAnsi="Times New Roman"/>
          <w:color w:val="000000" w:themeColor="text1"/>
          <w:sz w:val="16"/>
          <w:szCs w:val="16"/>
        </w:rPr>
        <w:t>Политбюро ЦК ВКП (б) одобрило предложение ВСНХ о строительстве завода искусственного волокна; утвердило проект постановления ЦК ВКП (б) По докладу объединения «</w:t>
      </w:r>
      <w:proofErr w:type="spellStart"/>
      <w:r w:rsidRPr="007122AB">
        <w:rPr>
          <w:rFonts w:ascii="Times New Roman" w:hAnsi="Times New Roman"/>
          <w:color w:val="000000" w:themeColor="text1"/>
          <w:sz w:val="16"/>
          <w:szCs w:val="16"/>
        </w:rPr>
        <w:t>Котлотурбина</w:t>
      </w:r>
      <w:proofErr w:type="spellEnd"/>
      <w:r w:rsidRPr="007122AB">
        <w:rPr>
          <w:rFonts w:ascii="Times New Roman" w:hAnsi="Times New Roman"/>
          <w:color w:val="000000" w:themeColor="text1"/>
          <w:sz w:val="16"/>
          <w:szCs w:val="16"/>
        </w:rPr>
        <w:t>» (12265).</w:t>
      </w:r>
    </w:p>
    <w:p w14:paraId="3109537D"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07C8EA44" w14:textId="77777777" w:rsidR="000E52C6" w:rsidRPr="007122AB" w:rsidRDefault="000E52C6" w:rsidP="007122AB">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23 декабря 1931 г. Начальник морских сил РККА В.М. Орлов утвердил тактико-техническое задание на усовершенствованный тип субма</w:t>
      </w:r>
      <w:r w:rsidRPr="007122AB">
        <w:rPr>
          <w:rFonts w:ascii="Times New Roman" w:hAnsi="Times New Roman" w:cs="Times New Roman"/>
          <w:color w:val="000000" w:themeColor="text1"/>
          <w:sz w:val="16"/>
          <w:szCs w:val="16"/>
        </w:rPr>
        <w:softHyphen/>
        <w:t xml:space="preserve">рины, первоначально обозначавшийся как </w:t>
      </w:r>
      <w:r w:rsidRPr="007122AB">
        <w:rPr>
          <w:rFonts w:ascii="Times New Roman" w:hAnsi="Times New Roman" w:cs="Times New Roman"/>
          <w:color w:val="000000" w:themeColor="text1"/>
          <w:sz w:val="16"/>
          <w:szCs w:val="16"/>
          <w:lang w:val="en-US"/>
        </w:rPr>
        <w:t>III</w:t>
      </w:r>
      <w:r w:rsidRPr="007122AB">
        <w:rPr>
          <w:rFonts w:ascii="Times New Roman" w:hAnsi="Times New Roman" w:cs="Times New Roman"/>
          <w:color w:val="000000" w:themeColor="text1"/>
          <w:sz w:val="16"/>
          <w:szCs w:val="16"/>
        </w:rPr>
        <w:t>-бис серия, а в дальнейшем - «Щука А» (тип «Карась»). Для экономии массы корпус</w:t>
      </w:r>
      <w:r w:rsidRPr="007122AB">
        <w:rPr>
          <w:rFonts w:ascii="Times New Roman" w:hAnsi="Times New Roman" w:cs="Times New Roman"/>
          <w:color w:val="000000" w:themeColor="text1"/>
          <w:sz w:val="16"/>
          <w:szCs w:val="16"/>
        </w:rPr>
        <w:softHyphen/>
        <w:t>ных конструкций в максимально широких масштабах предлагалось применять электро</w:t>
      </w:r>
      <w:r w:rsidRPr="007122AB">
        <w:rPr>
          <w:rFonts w:ascii="Times New Roman" w:hAnsi="Times New Roman" w:cs="Times New Roman"/>
          <w:color w:val="000000" w:themeColor="text1"/>
          <w:sz w:val="16"/>
          <w:szCs w:val="16"/>
        </w:rPr>
        <w:softHyphen/>
        <w:t>сварку и легкие сплавы. Изменялась форма легкого корпуса, как с целью увеличения ско</w:t>
      </w:r>
      <w:r w:rsidRPr="007122AB">
        <w:rPr>
          <w:rFonts w:ascii="Times New Roman" w:hAnsi="Times New Roman" w:cs="Times New Roman"/>
          <w:color w:val="000000" w:themeColor="text1"/>
          <w:sz w:val="16"/>
          <w:szCs w:val="16"/>
        </w:rPr>
        <w:softHyphen/>
        <w:t>рости заполнения балластных цистерн, так и для повышения гидродинамических качеств субмарины. Усиливались переборки цент</w:t>
      </w:r>
      <w:r w:rsidRPr="007122AB">
        <w:rPr>
          <w:rFonts w:ascii="Times New Roman" w:hAnsi="Times New Roman" w:cs="Times New Roman"/>
          <w:color w:val="000000" w:themeColor="text1"/>
          <w:sz w:val="16"/>
          <w:szCs w:val="16"/>
        </w:rPr>
        <w:softHyphen/>
        <w:t>рального поста, боевая рубка расширялась для использования в качестве шлюзовой камеры. Запас воздуха высокого давления увеличивался на 20% при более равномер</w:t>
      </w:r>
      <w:r w:rsidRPr="007122AB">
        <w:rPr>
          <w:rFonts w:ascii="Times New Roman" w:hAnsi="Times New Roman" w:cs="Times New Roman"/>
          <w:color w:val="000000" w:themeColor="text1"/>
          <w:sz w:val="16"/>
          <w:szCs w:val="16"/>
        </w:rPr>
        <w:softHyphen/>
        <w:t>ном размещении резервуаров по кораблю. Подводная остойчивость улучшалась приня</w:t>
      </w:r>
      <w:r w:rsidRPr="007122AB">
        <w:rPr>
          <w:rFonts w:ascii="Times New Roman" w:hAnsi="Times New Roman" w:cs="Times New Roman"/>
          <w:color w:val="000000" w:themeColor="text1"/>
          <w:sz w:val="16"/>
          <w:szCs w:val="16"/>
        </w:rPr>
        <w:softHyphen/>
        <w:t>тием твердого балласта. За счет установки более мощных дизелей предлагалось увели</w:t>
      </w:r>
      <w:r w:rsidRPr="007122AB">
        <w:rPr>
          <w:rFonts w:ascii="Times New Roman" w:hAnsi="Times New Roman" w:cs="Times New Roman"/>
          <w:color w:val="000000" w:themeColor="text1"/>
          <w:sz w:val="16"/>
          <w:szCs w:val="16"/>
        </w:rPr>
        <w:softHyphen/>
        <w:t xml:space="preserve">чить надводную скорость до 14-15 узлов. Все эти требования следовало выполнить, не изменяя установленного водоизмещения в 570 т. Вооружение по проекту составляли четыре носовых и два кормовых торпедных аппарата, одно 75-мм орудие </w:t>
      </w:r>
      <w:proofErr w:type="spellStart"/>
      <w:r w:rsidRPr="007122AB">
        <w:rPr>
          <w:rFonts w:ascii="Times New Roman" w:hAnsi="Times New Roman" w:cs="Times New Roman"/>
          <w:color w:val="000000" w:themeColor="text1"/>
          <w:sz w:val="16"/>
          <w:szCs w:val="16"/>
        </w:rPr>
        <w:t>Канэ</w:t>
      </w:r>
      <w:proofErr w:type="spellEnd"/>
      <w:r w:rsidRPr="007122AB">
        <w:rPr>
          <w:rFonts w:ascii="Times New Roman" w:hAnsi="Times New Roman" w:cs="Times New Roman"/>
          <w:color w:val="000000" w:themeColor="text1"/>
          <w:sz w:val="16"/>
          <w:szCs w:val="16"/>
        </w:rPr>
        <w:t>, установ</w:t>
      </w:r>
      <w:r w:rsidRPr="007122AB">
        <w:rPr>
          <w:rFonts w:ascii="Times New Roman" w:hAnsi="Times New Roman" w:cs="Times New Roman"/>
          <w:color w:val="000000" w:themeColor="text1"/>
          <w:sz w:val="16"/>
          <w:szCs w:val="16"/>
        </w:rPr>
        <w:softHyphen/>
        <w:t>ленное в обтекаемом поворотном щите, и 37</w:t>
      </w:r>
      <w:r w:rsidRPr="007122AB">
        <w:rPr>
          <w:rFonts w:ascii="Times New Roman" w:hAnsi="Times New Roman" w:cs="Times New Roman"/>
          <w:color w:val="000000" w:themeColor="text1"/>
          <w:sz w:val="16"/>
          <w:szCs w:val="16"/>
        </w:rPr>
        <w:softHyphen/>
        <w:t>мм зенитный автомат.</w:t>
      </w:r>
    </w:p>
    <w:p w14:paraId="41CFF9CF" w14:textId="77777777" w:rsidR="000E52C6" w:rsidRPr="007122AB" w:rsidRDefault="000E52C6" w:rsidP="007122AB">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Таким образом, проект, первоначально предназначавшийся только для ограничен</w:t>
      </w:r>
      <w:r w:rsidRPr="007122AB">
        <w:rPr>
          <w:rFonts w:ascii="Times New Roman" w:hAnsi="Times New Roman" w:cs="Times New Roman"/>
          <w:color w:val="000000" w:themeColor="text1"/>
          <w:sz w:val="16"/>
          <w:szCs w:val="16"/>
        </w:rPr>
        <w:softHyphen/>
        <w:t>ного морского театра, стал прототипом для большой серии подлодок. Поскольку они строились на ленинградских предприятиях (Балтийском и Адмиралтейском заводах, а также Северной верфи), а сборка осуществ</w:t>
      </w:r>
      <w:r w:rsidRPr="007122AB">
        <w:rPr>
          <w:rFonts w:ascii="Times New Roman" w:hAnsi="Times New Roman" w:cs="Times New Roman"/>
          <w:color w:val="000000" w:themeColor="text1"/>
          <w:sz w:val="16"/>
          <w:szCs w:val="16"/>
        </w:rPr>
        <w:softHyphen/>
        <w:t>лялась на Дальнем Востоке (во Владивостоке и Хабаровске), проект пришлось доработать под требования перевозки по железной дороге. Основные изменения внесли во внут</w:t>
      </w:r>
      <w:r w:rsidRPr="007122AB">
        <w:rPr>
          <w:rFonts w:ascii="Times New Roman" w:hAnsi="Times New Roman" w:cs="Times New Roman"/>
          <w:color w:val="000000" w:themeColor="text1"/>
          <w:sz w:val="16"/>
          <w:szCs w:val="16"/>
        </w:rPr>
        <w:softHyphen/>
        <w:t>реннее расположение. 2-й отсек разделили переборкой на два, а носовую переборку передвинули вперед на две шпации. Таким образом улучшилась и надводная непотоп</w:t>
      </w:r>
      <w:r w:rsidRPr="007122AB">
        <w:rPr>
          <w:rFonts w:ascii="Times New Roman" w:hAnsi="Times New Roman" w:cs="Times New Roman"/>
          <w:color w:val="000000" w:themeColor="text1"/>
          <w:sz w:val="16"/>
          <w:szCs w:val="16"/>
        </w:rPr>
        <w:softHyphen/>
        <w:t>ляемость - лодка оставалась на плаву при затоплении одного отсека с прилегающими цистернами. Аккумуляторную батарею раз</w:t>
      </w:r>
      <w:r w:rsidRPr="007122AB">
        <w:rPr>
          <w:rFonts w:ascii="Times New Roman" w:hAnsi="Times New Roman" w:cs="Times New Roman"/>
          <w:color w:val="000000" w:themeColor="text1"/>
          <w:sz w:val="16"/>
          <w:szCs w:val="16"/>
        </w:rPr>
        <w:softHyphen/>
        <w:t>делили на две группы по 56 элементов. Запасные торпеды во втором отсеке из-за недостатка места хранились без зарядных отделений. Среднюю цистерну вынесли в лег</w:t>
      </w:r>
      <w:r w:rsidRPr="007122AB">
        <w:rPr>
          <w:rFonts w:ascii="Times New Roman" w:hAnsi="Times New Roman" w:cs="Times New Roman"/>
          <w:color w:val="000000" w:themeColor="text1"/>
          <w:sz w:val="16"/>
          <w:szCs w:val="16"/>
        </w:rPr>
        <w:softHyphen/>
        <w:t>кий корпус, что в сочетании с перекомпонов</w:t>
      </w:r>
      <w:r w:rsidRPr="007122AB">
        <w:rPr>
          <w:rFonts w:ascii="Times New Roman" w:hAnsi="Times New Roman" w:cs="Times New Roman"/>
          <w:color w:val="000000" w:themeColor="text1"/>
          <w:sz w:val="16"/>
          <w:szCs w:val="16"/>
        </w:rPr>
        <w:softHyphen/>
        <w:t>кой механизмов позволило разгрузить цент</w:t>
      </w:r>
      <w:r w:rsidRPr="007122AB">
        <w:rPr>
          <w:rFonts w:ascii="Times New Roman" w:hAnsi="Times New Roman" w:cs="Times New Roman"/>
          <w:color w:val="000000" w:themeColor="text1"/>
          <w:sz w:val="16"/>
          <w:szCs w:val="16"/>
        </w:rPr>
        <w:softHyphen/>
        <w:t xml:space="preserve">ральный пост. </w:t>
      </w:r>
      <w:proofErr w:type="spellStart"/>
      <w:r w:rsidRPr="007122AB">
        <w:rPr>
          <w:rFonts w:ascii="Times New Roman" w:hAnsi="Times New Roman" w:cs="Times New Roman"/>
          <w:color w:val="000000" w:themeColor="text1"/>
          <w:sz w:val="16"/>
          <w:szCs w:val="16"/>
        </w:rPr>
        <w:t>Баллер</w:t>
      </w:r>
      <w:proofErr w:type="spellEnd"/>
      <w:r w:rsidRPr="007122AB">
        <w:rPr>
          <w:rFonts w:ascii="Times New Roman" w:hAnsi="Times New Roman" w:cs="Times New Roman"/>
          <w:color w:val="000000" w:themeColor="text1"/>
          <w:sz w:val="16"/>
          <w:szCs w:val="16"/>
        </w:rPr>
        <w:t xml:space="preserve"> носовых горизонталь</w:t>
      </w:r>
      <w:r w:rsidRPr="007122AB">
        <w:rPr>
          <w:rFonts w:ascii="Times New Roman" w:hAnsi="Times New Roman" w:cs="Times New Roman"/>
          <w:color w:val="000000" w:themeColor="text1"/>
          <w:sz w:val="16"/>
          <w:szCs w:val="16"/>
        </w:rPr>
        <w:softHyphen/>
        <w:t>ных рулей перенесли в носовой отсек, что сильно облегчило обслуживание. Кормовую переборку 6-го отсека сместили на 61 шпан</w:t>
      </w:r>
      <w:r w:rsidRPr="007122AB">
        <w:rPr>
          <w:rFonts w:ascii="Times New Roman" w:hAnsi="Times New Roman" w:cs="Times New Roman"/>
          <w:color w:val="000000" w:themeColor="text1"/>
          <w:sz w:val="16"/>
          <w:szCs w:val="16"/>
        </w:rPr>
        <w:softHyphen/>
        <w:t>гоут для размещения камбуза. Форштевень стал наклонным, изменили и форму огражде</w:t>
      </w:r>
      <w:r w:rsidRPr="007122AB">
        <w:rPr>
          <w:rFonts w:ascii="Times New Roman" w:hAnsi="Times New Roman" w:cs="Times New Roman"/>
          <w:color w:val="000000" w:themeColor="text1"/>
          <w:sz w:val="16"/>
          <w:szCs w:val="16"/>
        </w:rPr>
        <w:softHyphen/>
        <w:t>ния рубки.</w:t>
      </w:r>
    </w:p>
    <w:p w14:paraId="62AF627F" w14:textId="77777777" w:rsidR="000E52C6" w:rsidRPr="007122AB" w:rsidRDefault="000E52C6" w:rsidP="007122AB">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Транспортировка корпуса субмарины в виде восьми отдельных секций на железно</w:t>
      </w:r>
      <w:r w:rsidRPr="007122AB">
        <w:rPr>
          <w:rFonts w:ascii="Times New Roman" w:hAnsi="Times New Roman" w:cs="Times New Roman"/>
          <w:color w:val="000000" w:themeColor="text1"/>
          <w:sz w:val="16"/>
          <w:szCs w:val="16"/>
        </w:rPr>
        <w:softHyphen/>
      </w:r>
      <w:r w:rsidRPr="007122AB">
        <w:rPr>
          <w:rStyle w:val="86"/>
          <w:rFonts w:ascii="Times New Roman" w:hAnsi="Times New Roman" w:cs="Times New Roman"/>
          <w:color w:val="000000" w:themeColor="text1"/>
          <w:sz w:val="16"/>
          <w:szCs w:val="16"/>
        </w:rPr>
        <w:t>дорожных транспортерах, и прочих частей и</w:t>
      </w:r>
      <w:r w:rsidRPr="007122AB">
        <w:rPr>
          <w:rStyle w:val="87"/>
          <w:rFonts w:ascii="Times New Roman" w:hAnsi="Times New Roman" w:cs="Times New Roman"/>
          <w:color w:val="000000" w:themeColor="text1"/>
          <w:sz w:val="16"/>
          <w:szCs w:val="16"/>
        </w:rPr>
        <w:t xml:space="preserve"> </w:t>
      </w:r>
      <w:r w:rsidRPr="007122AB">
        <w:rPr>
          <w:rFonts w:ascii="Times New Roman" w:hAnsi="Times New Roman" w:cs="Times New Roman"/>
          <w:color w:val="000000" w:themeColor="text1"/>
          <w:sz w:val="16"/>
          <w:szCs w:val="16"/>
        </w:rPr>
        <w:t>механизмов в вагонах, занимала около меся</w:t>
      </w:r>
      <w:r w:rsidRPr="007122AB">
        <w:rPr>
          <w:rFonts w:ascii="Times New Roman" w:hAnsi="Times New Roman" w:cs="Times New Roman"/>
          <w:color w:val="000000" w:themeColor="text1"/>
          <w:sz w:val="16"/>
          <w:szCs w:val="16"/>
        </w:rPr>
        <w:softHyphen/>
        <w:t>ца. Поскольку предприятия-сборщики испы</w:t>
      </w:r>
      <w:r w:rsidRPr="007122AB">
        <w:rPr>
          <w:rFonts w:ascii="Times New Roman" w:hAnsi="Times New Roman" w:cs="Times New Roman"/>
          <w:color w:val="000000" w:themeColor="text1"/>
          <w:sz w:val="16"/>
          <w:szCs w:val="16"/>
        </w:rPr>
        <w:softHyphen/>
        <w:t>тывали острый дефицит квалифицированных кадров, с заводов европейской части страны было отправлено свыше тысячи рабочих и специалистов-инженеров. Периодически к ним присоединялись и представители кон</w:t>
      </w:r>
      <w:r w:rsidRPr="007122AB">
        <w:rPr>
          <w:rFonts w:ascii="Times New Roman" w:hAnsi="Times New Roman" w:cs="Times New Roman"/>
          <w:color w:val="000000" w:themeColor="text1"/>
          <w:sz w:val="16"/>
          <w:szCs w:val="16"/>
        </w:rPr>
        <w:softHyphen/>
        <w:t>структорского бюро. Срочность выполнения заказа оказалась столь велика, что первые дальневосточные субмарины начали прохо</w:t>
      </w:r>
      <w:r w:rsidRPr="007122AB">
        <w:rPr>
          <w:rFonts w:ascii="Times New Roman" w:hAnsi="Times New Roman" w:cs="Times New Roman"/>
          <w:color w:val="000000" w:themeColor="text1"/>
          <w:sz w:val="16"/>
          <w:szCs w:val="16"/>
        </w:rPr>
        <w:softHyphen/>
        <w:t>дить испытания даже раньше своих балтий</w:t>
      </w:r>
      <w:r w:rsidRPr="007122AB">
        <w:rPr>
          <w:rFonts w:ascii="Times New Roman" w:hAnsi="Times New Roman" w:cs="Times New Roman"/>
          <w:color w:val="000000" w:themeColor="text1"/>
          <w:sz w:val="16"/>
          <w:szCs w:val="16"/>
        </w:rPr>
        <w:softHyphen/>
        <w:t>ских прототипов.</w:t>
      </w:r>
    </w:p>
    <w:p w14:paraId="7D629C57" w14:textId="77777777" w:rsidR="000E52C6" w:rsidRPr="007122AB" w:rsidRDefault="000E52C6"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Результатом ускоренного - в течение девяти месяцев - строительства лодок стал серьезный набор дефектов. Водоизмещение оказалось 604 тонны, хотя предполагали 592. Скорость полного надводного хода составила 11,86 уз, вместо 14,5, несмотря на увеличение мощности дизелей с 500 до 685 л.с. Причи</w:t>
      </w:r>
      <w:r w:rsidRPr="007122AB">
        <w:rPr>
          <w:rFonts w:ascii="Times New Roman" w:hAnsi="Times New Roman"/>
          <w:color w:val="000000" w:themeColor="text1"/>
          <w:sz w:val="16"/>
          <w:szCs w:val="16"/>
        </w:rPr>
        <w:softHyphen/>
        <w:t>ной этого стали как ошибки в расчетах мощ</w:t>
      </w:r>
      <w:r w:rsidRPr="007122AB">
        <w:rPr>
          <w:rFonts w:ascii="Times New Roman" w:hAnsi="Times New Roman"/>
          <w:color w:val="000000" w:themeColor="text1"/>
          <w:sz w:val="16"/>
          <w:szCs w:val="16"/>
        </w:rPr>
        <w:softHyphen/>
        <w:t>ности, так и неправильно подобранные греб</w:t>
      </w:r>
      <w:r w:rsidRPr="007122AB">
        <w:rPr>
          <w:rFonts w:ascii="Times New Roman" w:hAnsi="Times New Roman"/>
          <w:color w:val="000000" w:themeColor="text1"/>
          <w:sz w:val="16"/>
          <w:szCs w:val="16"/>
        </w:rPr>
        <w:softHyphen/>
        <w:t>ные винты. Проявился и другой, свойствен</w:t>
      </w:r>
      <w:r w:rsidRPr="007122AB">
        <w:rPr>
          <w:rFonts w:ascii="Times New Roman" w:hAnsi="Times New Roman"/>
          <w:color w:val="000000" w:themeColor="text1"/>
          <w:sz w:val="16"/>
          <w:szCs w:val="16"/>
        </w:rPr>
        <w:softHyphen/>
        <w:t>ный всем «Щукам» дефект: наличие зоны опасных крутильных колебаний валов, что не позволяло использовать полную мощность дизелей. Они имели ряд конструктивных и производственных дефектов, а детали оказа</w:t>
      </w:r>
      <w:r w:rsidRPr="007122AB">
        <w:rPr>
          <w:rFonts w:ascii="Times New Roman" w:hAnsi="Times New Roman"/>
          <w:color w:val="000000" w:themeColor="text1"/>
          <w:sz w:val="16"/>
          <w:szCs w:val="16"/>
        </w:rPr>
        <w:softHyphen/>
        <w:t xml:space="preserve">лись не </w:t>
      </w:r>
      <w:r w:rsidRPr="007122AB">
        <w:rPr>
          <w:rFonts w:ascii="Times New Roman" w:hAnsi="Times New Roman"/>
          <w:color w:val="000000" w:themeColor="text1"/>
          <w:sz w:val="16"/>
          <w:szCs w:val="16"/>
        </w:rPr>
        <w:lastRenderedPageBreak/>
        <w:t>взаимозаменяемы. Из-за неудачной конструкции муфты для переключения с эко</w:t>
      </w:r>
      <w:r w:rsidRPr="007122AB">
        <w:rPr>
          <w:rFonts w:ascii="Times New Roman" w:hAnsi="Times New Roman"/>
          <w:color w:val="000000" w:themeColor="text1"/>
          <w:sz w:val="16"/>
          <w:szCs w:val="16"/>
        </w:rPr>
        <w:softHyphen/>
        <w:t>номического на полный подводный ход тре</w:t>
      </w:r>
      <w:r w:rsidRPr="007122AB">
        <w:rPr>
          <w:rFonts w:ascii="Times New Roman" w:hAnsi="Times New Roman"/>
          <w:color w:val="000000" w:themeColor="text1"/>
          <w:sz w:val="16"/>
          <w:szCs w:val="16"/>
        </w:rPr>
        <w:softHyphen/>
        <w:t>бовалось около 10 минут. Подводный ход также не добрал одного узла. Главные элек</w:t>
      </w:r>
      <w:r w:rsidRPr="007122AB">
        <w:rPr>
          <w:rFonts w:ascii="Times New Roman" w:hAnsi="Times New Roman"/>
          <w:color w:val="000000" w:themeColor="text1"/>
          <w:sz w:val="16"/>
          <w:szCs w:val="16"/>
        </w:rPr>
        <w:softHyphen/>
        <w:t xml:space="preserve">тродвигатели не давали полной мощности </w:t>
      </w:r>
      <w:r w:rsidRPr="007122AB">
        <w:rPr>
          <w:rStyle w:val="86"/>
          <w:rFonts w:ascii="Times New Roman" w:hAnsi="Times New Roman" w:cs="Times New Roman"/>
          <w:color w:val="000000" w:themeColor="text1"/>
          <w:sz w:val="16"/>
          <w:szCs w:val="16"/>
        </w:rPr>
        <w:t xml:space="preserve">500 </w:t>
      </w:r>
      <w:proofErr w:type="spellStart"/>
      <w:r w:rsidRPr="007122AB">
        <w:rPr>
          <w:rStyle w:val="86"/>
          <w:rFonts w:ascii="Times New Roman" w:hAnsi="Times New Roman" w:cs="Times New Roman"/>
          <w:color w:val="000000" w:themeColor="text1"/>
          <w:sz w:val="16"/>
          <w:szCs w:val="16"/>
        </w:rPr>
        <w:t>л.е</w:t>
      </w:r>
      <w:proofErr w:type="spellEnd"/>
      <w:r w:rsidRPr="007122AB">
        <w:rPr>
          <w:rStyle w:val="86"/>
          <w:rFonts w:ascii="Times New Roman" w:hAnsi="Times New Roman" w:cs="Times New Roman"/>
          <w:color w:val="000000" w:themeColor="text1"/>
          <w:sz w:val="16"/>
          <w:szCs w:val="16"/>
        </w:rPr>
        <w:t xml:space="preserve">., да и 400 л.с. можно было развивать </w:t>
      </w:r>
      <w:r w:rsidRPr="007122AB">
        <w:rPr>
          <w:rStyle w:val="88"/>
          <w:rFonts w:ascii="Times New Roman" w:hAnsi="Times New Roman" w:cs="Times New Roman"/>
          <w:color w:val="000000" w:themeColor="text1"/>
          <w:sz w:val="16"/>
          <w:szCs w:val="16"/>
        </w:rPr>
        <w:t xml:space="preserve">только полчаса, так как температура </w:t>
      </w:r>
      <w:r w:rsidRPr="007122AB">
        <w:rPr>
          <w:rStyle w:val="88"/>
          <w:rFonts w:ascii="Times New Roman" w:hAnsi="Times New Roman" w:cs="Times New Roman"/>
          <w:color w:val="000000" w:themeColor="text1"/>
          <w:sz w:val="16"/>
          <w:szCs w:val="16"/>
          <w:u w:val="none"/>
        </w:rPr>
        <w:t>аккуму</w:t>
      </w:r>
      <w:r w:rsidRPr="007122AB">
        <w:rPr>
          <w:rStyle w:val="88"/>
          <w:rFonts w:ascii="Times New Roman" w:hAnsi="Times New Roman" w:cs="Times New Roman"/>
          <w:color w:val="000000" w:themeColor="text1"/>
          <w:sz w:val="16"/>
          <w:szCs w:val="16"/>
          <w:u w:val="none"/>
        </w:rPr>
        <w:softHyphen/>
        <w:t>ляторной батареи повышалась до 50 граду</w:t>
      </w:r>
      <w:r w:rsidRPr="007122AB">
        <w:rPr>
          <w:rStyle w:val="88"/>
          <w:rFonts w:ascii="Times New Roman" w:hAnsi="Times New Roman" w:cs="Times New Roman"/>
          <w:color w:val="000000" w:themeColor="text1"/>
          <w:sz w:val="16"/>
          <w:szCs w:val="16"/>
          <w:u w:val="none"/>
        </w:rPr>
        <w:softHyphen/>
        <w:t>сов. Батарея также перегревалась и при частых зарядках, и на полном ходу.</w:t>
      </w:r>
    </w:p>
    <w:p w14:paraId="4B14BF9F" w14:textId="77777777" w:rsidR="000E52C6" w:rsidRPr="007122AB" w:rsidRDefault="000E52C6" w:rsidP="007122AB">
      <w:pPr>
        <w:pStyle w:val="116"/>
        <w:shd w:val="clear" w:color="auto" w:fill="auto"/>
        <w:spacing w:after="0" w:line="240" w:lineRule="auto"/>
        <w:ind w:firstLine="0"/>
        <w:jc w:val="both"/>
        <w:rPr>
          <w:rStyle w:val="88"/>
          <w:rFonts w:ascii="Times New Roman" w:hAnsi="Times New Roman" w:cs="Times New Roman"/>
          <w:color w:val="000000" w:themeColor="text1"/>
          <w:sz w:val="16"/>
          <w:szCs w:val="16"/>
          <w:u w:val="none"/>
        </w:rPr>
      </w:pPr>
      <w:r w:rsidRPr="007122AB">
        <w:rPr>
          <w:rStyle w:val="88"/>
          <w:rFonts w:ascii="Times New Roman" w:hAnsi="Times New Roman" w:cs="Times New Roman"/>
          <w:color w:val="000000" w:themeColor="text1"/>
          <w:sz w:val="16"/>
          <w:szCs w:val="16"/>
          <w:u w:val="none"/>
        </w:rPr>
        <w:t>Недостаток пресной воды для доливки аккумуляторов ограничил автономность восемью сутками вместо 20 проектных (опреснителя на лодках не было). Цементи</w:t>
      </w:r>
      <w:r w:rsidRPr="007122AB">
        <w:rPr>
          <w:rStyle w:val="88"/>
          <w:rFonts w:ascii="Times New Roman" w:hAnsi="Times New Roman" w:cs="Times New Roman"/>
          <w:color w:val="000000" w:themeColor="text1"/>
          <w:sz w:val="16"/>
          <w:szCs w:val="16"/>
          <w:u w:val="none"/>
        </w:rPr>
        <w:softHyphen/>
        <w:t>ровка цистерн пресной воды оказалась низ</w:t>
      </w:r>
      <w:r w:rsidRPr="007122AB">
        <w:rPr>
          <w:rStyle w:val="88"/>
          <w:rFonts w:ascii="Times New Roman" w:hAnsi="Times New Roman" w:cs="Times New Roman"/>
          <w:color w:val="000000" w:themeColor="text1"/>
          <w:sz w:val="16"/>
          <w:szCs w:val="16"/>
          <w:u w:val="none"/>
        </w:rPr>
        <w:softHyphen/>
        <w:t>кого качества и отслаивалась целыми куска</w:t>
      </w:r>
      <w:r w:rsidRPr="007122AB">
        <w:rPr>
          <w:rStyle w:val="88"/>
          <w:rFonts w:ascii="Times New Roman" w:hAnsi="Times New Roman" w:cs="Times New Roman"/>
          <w:color w:val="000000" w:themeColor="text1"/>
          <w:sz w:val="16"/>
          <w:szCs w:val="16"/>
          <w:u w:val="none"/>
        </w:rPr>
        <w:softHyphen/>
        <w:t>ми. Предельная глубина погружения соста</w:t>
      </w:r>
      <w:r w:rsidRPr="007122AB">
        <w:rPr>
          <w:rStyle w:val="88"/>
          <w:rFonts w:ascii="Times New Roman" w:hAnsi="Times New Roman" w:cs="Times New Roman"/>
          <w:color w:val="000000" w:themeColor="text1"/>
          <w:sz w:val="16"/>
          <w:szCs w:val="16"/>
          <w:u w:val="none"/>
        </w:rPr>
        <w:softHyphen/>
        <w:t>вила 50 метров, при этом заклинивание носо</w:t>
      </w:r>
      <w:r w:rsidRPr="007122AB">
        <w:rPr>
          <w:rStyle w:val="88"/>
          <w:rFonts w:ascii="Times New Roman" w:hAnsi="Times New Roman" w:cs="Times New Roman"/>
          <w:color w:val="000000" w:themeColor="text1"/>
          <w:sz w:val="16"/>
          <w:szCs w:val="16"/>
          <w:u w:val="none"/>
        </w:rPr>
        <w:softHyphen/>
        <w:t>вых горизонтальных рулей начиналось с глу</w:t>
      </w:r>
      <w:r w:rsidRPr="007122AB">
        <w:rPr>
          <w:rStyle w:val="88"/>
          <w:rFonts w:ascii="Times New Roman" w:hAnsi="Times New Roman" w:cs="Times New Roman"/>
          <w:color w:val="000000" w:themeColor="text1"/>
          <w:sz w:val="16"/>
          <w:szCs w:val="16"/>
          <w:u w:val="none"/>
        </w:rPr>
        <w:softHyphen/>
        <w:t>бины 40 м, а на 60 заклинивало и кормовые (иногда картина была обратной: 45 и 30 м, соответственно). Это давало дифферент до 23 градусов. Рули заклинивало и на большом ходу. На глубине 75 м перископы вжимало давлением в дно шахт. Система воздуха высо</w:t>
      </w:r>
      <w:r w:rsidRPr="007122AB">
        <w:rPr>
          <w:rStyle w:val="88"/>
          <w:rFonts w:ascii="Times New Roman" w:hAnsi="Times New Roman" w:cs="Times New Roman"/>
          <w:color w:val="000000" w:themeColor="text1"/>
          <w:sz w:val="16"/>
          <w:szCs w:val="16"/>
          <w:u w:val="none"/>
        </w:rPr>
        <w:softHyphen/>
        <w:t>кого давления показала полную непригод</w:t>
      </w:r>
      <w:r w:rsidRPr="007122AB">
        <w:rPr>
          <w:rStyle w:val="88"/>
          <w:rFonts w:ascii="Times New Roman" w:hAnsi="Times New Roman" w:cs="Times New Roman"/>
          <w:color w:val="000000" w:themeColor="text1"/>
          <w:sz w:val="16"/>
          <w:szCs w:val="16"/>
          <w:u w:val="none"/>
        </w:rPr>
        <w:softHyphen/>
        <w:t>ность: из стальных баллонов вырывало брон</w:t>
      </w:r>
      <w:r w:rsidRPr="007122AB">
        <w:rPr>
          <w:rStyle w:val="88"/>
          <w:rFonts w:ascii="Times New Roman" w:hAnsi="Times New Roman" w:cs="Times New Roman"/>
          <w:color w:val="000000" w:themeColor="text1"/>
          <w:sz w:val="16"/>
          <w:szCs w:val="16"/>
          <w:u w:val="none"/>
        </w:rPr>
        <w:softHyphen/>
        <w:t>зовые головки, что приводило к стравлива</w:t>
      </w:r>
      <w:r w:rsidRPr="007122AB">
        <w:rPr>
          <w:rStyle w:val="88"/>
          <w:rFonts w:ascii="Times New Roman" w:hAnsi="Times New Roman" w:cs="Times New Roman"/>
          <w:color w:val="000000" w:themeColor="text1"/>
          <w:sz w:val="16"/>
          <w:szCs w:val="16"/>
          <w:u w:val="none"/>
        </w:rPr>
        <w:softHyphen/>
        <w:t>нию воздуха из целых секций, все литые соединения оказались ненадежны. Шумность механизмов была весьма высокой</w:t>
      </w:r>
      <w:r w:rsidRPr="007122AB">
        <w:rPr>
          <w:rStyle w:val="88"/>
          <w:rFonts w:ascii="Times New Roman" w:hAnsi="Times New Roman" w:cs="Times New Roman"/>
          <w:color w:val="000000" w:themeColor="text1"/>
          <w:sz w:val="16"/>
          <w:szCs w:val="16"/>
          <w:u w:val="none"/>
          <w:lang w:val="ru-RU"/>
        </w:rPr>
        <w:t xml:space="preserve"> (19891)</w:t>
      </w:r>
      <w:r w:rsidRPr="007122AB">
        <w:rPr>
          <w:rStyle w:val="88"/>
          <w:rFonts w:ascii="Times New Roman" w:hAnsi="Times New Roman" w:cs="Times New Roman"/>
          <w:color w:val="000000" w:themeColor="text1"/>
          <w:sz w:val="16"/>
          <w:szCs w:val="16"/>
          <w:u w:val="none"/>
        </w:rPr>
        <w:t>.</w:t>
      </w:r>
    </w:p>
    <w:p w14:paraId="76082714" w14:textId="77777777" w:rsidR="000E52C6" w:rsidRPr="007122AB" w:rsidRDefault="000E52C6" w:rsidP="007122AB">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DD4BE59" w14:textId="77777777" w:rsidR="00037DC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597314C" w14:textId="77777777" w:rsidR="00037DC4" w:rsidRPr="007122AB" w:rsidRDefault="00037DC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44B3010" w14:textId="77777777" w:rsidR="00037DC4" w:rsidRPr="007122AB" w:rsidRDefault="00037DC4" w:rsidP="007122AB">
      <w:pPr>
        <w:tabs>
          <w:tab w:val="left" w:pos="55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 декабря 1931 самолёты благо</w:t>
      </w:r>
      <w:r w:rsidRPr="007122AB">
        <w:rPr>
          <w:rFonts w:ascii="Times New Roman" w:hAnsi="Times New Roman"/>
          <w:color w:val="000000" w:themeColor="text1"/>
          <w:sz w:val="16"/>
          <w:szCs w:val="16"/>
        </w:rPr>
        <w:softHyphen/>
        <w:t xml:space="preserve">получно перелетели на китайскую территорию в </w:t>
      </w:r>
      <w:proofErr w:type="spellStart"/>
      <w:r w:rsidRPr="007122AB">
        <w:rPr>
          <w:rFonts w:ascii="Times New Roman" w:hAnsi="Times New Roman"/>
          <w:color w:val="000000" w:themeColor="text1"/>
          <w:sz w:val="16"/>
          <w:szCs w:val="16"/>
        </w:rPr>
        <w:t>Чугучак</w:t>
      </w:r>
      <w:proofErr w:type="spellEnd"/>
      <w:r w:rsidRPr="007122AB">
        <w:rPr>
          <w:rFonts w:ascii="Times New Roman" w:hAnsi="Times New Roman"/>
          <w:color w:val="000000" w:themeColor="text1"/>
          <w:sz w:val="16"/>
          <w:szCs w:val="16"/>
        </w:rPr>
        <w:t>. Напоследок Берестецкий про</w:t>
      </w:r>
      <w:r w:rsidRPr="007122AB">
        <w:rPr>
          <w:rFonts w:ascii="Times New Roman" w:hAnsi="Times New Roman"/>
          <w:color w:val="000000" w:themeColor="text1"/>
          <w:sz w:val="16"/>
          <w:szCs w:val="16"/>
        </w:rPr>
        <w:softHyphen/>
        <w:t xml:space="preserve">инструктировал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как с наилучшей стороны показать китайцам качества нашей материальной части и лётных качеств экипажей. После посадки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с </w:t>
      </w:r>
      <w:proofErr w:type="spellStart"/>
      <w:r w:rsidRPr="007122AB">
        <w:rPr>
          <w:rFonts w:ascii="Times New Roman" w:hAnsi="Times New Roman"/>
          <w:color w:val="000000" w:themeColor="text1"/>
          <w:sz w:val="16"/>
          <w:szCs w:val="16"/>
        </w:rPr>
        <w:t>Саранчуном</w:t>
      </w:r>
      <w:proofErr w:type="spellEnd"/>
      <w:r w:rsidRPr="007122AB">
        <w:rPr>
          <w:rFonts w:ascii="Times New Roman" w:hAnsi="Times New Roman"/>
          <w:color w:val="000000" w:themeColor="text1"/>
          <w:sz w:val="16"/>
          <w:szCs w:val="16"/>
        </w:rPr>
        <w:t xml:space="preserve"> второй Р-1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Назарова и Н.И. </w:t>
      </w:r>
      <w:proofErr w:type="spellStart"/>
      <w:r w:rsidRPr="007122AB">
        <w:rPr>
          <w:rFonts w:ascii="Times New Roman" w:hAnsi="Times New Roman"/>
          <w:color w:val="000000" w:themeColor="text1"/>
          <w:sz w:val="16"/>
          <w:szCs w:val="16"/>
        </w:rPr>
        <w:t>Чекапова</w:t>
      </w:r>
      <w:proofErr w:type="spellEnd"/>
      <w:r w:rsidRPr="007122AB">
        <w:rPr>
          <w:rFonts w:ascii="Times New Roman" w:hAnsi="Times New Roman"/>
          <w:color w:val="000000" w:themeColor="text1"/>
          <w:sz w:val="16"/>
          <w:szCs w:val="16"/>
        </w:rPr>
        <w:t xml:space="preserve"> «набрал высоту и сделал ряд фи</w:t>
      </w:r>
      <w:r w:rsidRPr="007122AB">
        <w:rPr>
          <w:rFonts w:ascii="Times New Roman" w:hAnsi="Times New Roman"/>
          <w:color w:val="000000" w:themeColor="text1"/>
          <w:sz w:val="16"/>
          <w:szCs w:val="16"/>
        </w:rPr>
        <w:softHyphen/>
        <w:t xml:space="preserve">гур, что произвело потрясающее впечатление на губернатора, </w:t>
      </w:r>
      <w:proofErr w:type="spellStart"/>
      <w:r w:rsidRPr="007122AB">
        <w:rPr>
          <w:rFonts w:ascii="Times New Roman" w:hAnsi="Times New Roman"/>
          <w:color w:val="000000" w:themeColor="text1"/>
          <w:sz w:val="16"/>
          <w:szCs w:val="16"/>
        </w:rPr>
        <w:t>Саранчуна</w:t>
      </w:r>
      <w:proofErr w:type="spellEnd"/>
      <w:r w:rsidRPr="007122AB">
        <w:rPr>
          <w:rFonts w:ascii="Times New Roman" w:hAnsi="Times New Roman"/>
          <w:color w:val="000000" w:themeColor="text1"/>
          <w:sz w:val="16"/>
          <w:szCs w:val="16"/>
        </w:rPr>
        <w:t xml:space="preserve"> и всех при</w:t>
      </w:r>
      <w:r w:rsidRPr="007122AB">
        <w:rPr>
          <w:rFonts w:ascii="Times New Roman" w:hAnsi="Times New Roman"/>
          <w:color w:val="000000" w:themeColor="text1"/>
          <w:sz w:val="16"/>
          <w:szCs w:val="16"/>
        </w:rPr>
        <w:softHyphen/>
        <w:t>сутствовавших на аэродроме. На аэродроме народу было много, и в том числе и белогвардейцы. Последние обрадовались, когда Назаров с выключенным мотором сде</w:t>
      </w:r>
      <w:r w:rsidRPr="007122AB">
        <w:rPr>
          <w:rFonts w:ascii="Times New Roman" w:hAnsi="Times New Roman"/>
          <w:color w:val="000000" w:themeColor="text1"/>
          <w:sz w:val="16"/>
          <w:szCs w:val="16"/>
        </w:rPr>
        <w:softHyphen/>
        <w:t>лал какую-то фигуру и белогвардейцы подумали, что самолёт падает, но к их разочаро</w:t>
      </w:r>
      <w:r w:rsidRPr="007122AB">
        <w:rPr>
          <w:rFonts w:ascii="Times New Roman" w:hAnsi="Times New Roman"/>
          <w:color w:val="000000" w:themeColor="text1"/>
          <w:sz w:val="16"/>
          <w:szCs w:val="16"/>
        </w:rPr>
        <w:softHyphen/>
        <w:t xml:space="preserve">ванию Назаров снова включил мотор и набрав высоту, продолжил полёт». Из Китая также донесли, что «в тот же вечер белогвардейцы пожаловались находившемуся проездом в </w:t>
      </w:r>
      <w:proofErr w:type="spellStart"/>
      <w:r w:rsidRPr="007122AB">
        <w:rPr>
          <w:rFonts w:ascii="Times New Roman" w:hAnsi="Times New Roman"/>
          <w:color w:val="000000" w:themeColor="text1"/>
          <w:sz w:val="16"/>
          <w:szCs w:val="16"/>
        </w:rPr>
        <w:t>Чугучаке</w:t>
      </w:r>
      <w:proofErr w:type="spellEnd"/>
      <w:r w:rsidRPr="007122AB">
        <w:rPr>
          <w:rFonts w:ascii="Times New Roman" w:hAnsi="Times New Roman"/>
          <w:color w:val="000000" w:themeColor="text1"/>
          <w:sz w:val="16"/>
          <w:szCs w:val="16"/>
        </w:rPr>
        <w:t xml:space="preserve"> представителю французской фирмы «Ситроен» на то, что «китайцы за их счёт сговариваются с большевиками». Губернатора демонстрационный полёт настолько по</w:t>
      </w:r>
      <w:r w:rsidRPr="007122AB">
        <w:rPr>
          <w:rFonts w:ascii="Times New Roman" w:hAnsi="Times New Roman"/>
          <w:color w:val="000000" w:themeColor="text1"/>
          <w:sz w:val="16"/>
          <w:szCs w:val="16"/>
        </w:rPr>
        <w:softHyphen/>
        <w:t>тряс, что он кричал на весь аэродром: «Вот это самолёт!.. Вот это лётчики!..» (15802).</w:t>
      </w:r>
    </w:p>
    <w:p w14:paraId="137FAE9B" w14:textId="77777777" w:rsidR="00037DC4" w:rsidRPr="007122AB" w:rsidRDefault="00037DC4" w:rsidP="007122AB">
      <w:pPr>
        <w:tabs>
          <w:tab w:val="left" w:pos="550"/>
        </w:tabs>
        <w:spacing w:after="0" w:line="240" w:lineRule="auto"/>
        <w:jc w:val="both"/>
        <w:rPr>
          <w:rFonts w:ascii="Times New Roman" w:hAnsi="Times New Roman"/>
          <w:color w:val="000000" w:themeColor="text1"/>
          <w:sz w:val="16"/>
          <w:szCs w:val="16"/>
        </w:rPr>
      </w:pPr>
    </w:p>
    <w:p w14:paraId="245A2D27" w14:textId="77777777" w:rsidR="00037DC4" w:rsidRPr="007122AB" w:rsidRDefault="00037DC4" w:rsidP="007122AB">
      <w:pPr>
        <w:tabs>
          <w:tab w:val="left" w:pos="531"/>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23 декабря 1931 оба самолёта прилетели в Урумчи, при этом в воздухе на Р-1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произошла поломка, не помешавшая благополучно приземлиться. Тем не менее в Мос</w:t>
      </w:r>
      <w:r w:rsidRPr="007122AB">
        <w:rPr>
          <w:rFonts w:ascii="Times New Roman" w:hAnsi="Times New Roman"/>
          <w:color w:val="000000" w:themeColor="text1"/>
          <w:sz w:val="16"/>
          <w:szCs w:val="16"/>
        </w:rPr>
        <w:softHyphen/>
        <w:t>кве «на самом верху», куда отрывочная информация о перелёте доходила со значитель</w:t>
      </w:r>
      <w:r w:rsidRPr="007122AB">
        <w:rPr>
          <w:rFonts w:ascii="Times New Roman" w:hAnsi="Times New Roman"/>
          <w:color w:val="000000" w:themeColor="text1"/>
          <w:sz w:val="16"/>
          <w:szCs w:val="16"/>
        </w:rPr>
        <w:softHyphen/>
        <w:t>ными задержками, она вызвала огромный резонанс, в полном соответствии с китайской пословицей: «Добрая слава на месте лежит, худая слава далеко бежит». Одни лишь слу</w:t>
      </w:r>
      <w:r w:rsidRPr="007122AB">
        <w:rPr>
          <w:rFonts w:ascii="Times New Roman" w:hAnsi="Times New Roman"/>
          <w:color w:val="000000" w:themeColor="text1"/>
          <w:sz w:val="16"/>
          <w:szCs w:val="16"/>
        </w:rPr>
        <w:softHyphen/>
        <w:t>хи инициировали в первые дни 1932 г. «крутую разборку» на межведомственном уровне из-за возможных «дип</w:t>
      </w:r>
      <w:r w:rsidRPr="007122AB">
        <w:rPr>
          <w:rFonts w:ascii="Times New Roman" w:hAnsi="Times New Roman"/>
          <w:color w:val="000000" w:themeColor="text1"/>
          <w:sz w:val="16"/>
          <w:szCs w:val="16"/>
        </w:rPr>
        <w:softHyphen/>
        <w:t>ломатических осложне</w:t>
      </w:r>
      <w:r w:rsidRPr="007122AB">
        <w:rPr>
          <w:rFonts w:ascii="Times New Roman" w:hAnsi="Times New Roman"/>
          <w:color w:val="000000" w:themeColor="text1"/>
          <w:sz w:val="16"/>
          <w:szCs w:val="16"/>
        </w:rPr>
        <w:softHyphen/>
        <w:t>ний».</w:t>
      </w:r>
    </w:p>
    <w:p w14:paraId="3282F787"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Позже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до</w:t>
      </w:r>
      <w:r w:rsidRPr="007122AB">
        <w:rPr>
          <w:rFonts w:ascii="Times New Roman" w:hAnsi="Times New Roman"/>
          <w:color w:val="000000" w:themeColor="text1"/>
          <w:sz w:val="16"/>
          <w:szCs w:val="16"/>
        </w:rPr>
        <w:softHyphen/>
        <w:t>ложил: «Не долетая до Урумчи километров 60, на самолёте... лопнула несущая задняя лента второго пролета левой полукоробки в нижней части у основания резь</w:t>
      </w:r>
      <w:r w:rsidRPr="007122AB">
        <w:rPr>
          <w:rFonts w:ascii="Times New Roman" w:hAnsi="Times New Roman"/>
          <w:color w:val="000000" w:themeColor="text1"/>
          <w:sz w:val="16"/>
          <w:szCs w:val="16"/>
        </w:rPr>
        <w:softHyphen/>
        <w:t>бы. Зная о том, что этих лент в запчастях, шед</w:t>
      </w:r>
      <w:r w:rsidRPr="007122AB">
        <w:rPr>
          <w:rFonts w:ascii="Times New Roman" w:hAnsi="Times New Roman"/>
          <w:color w:val="000000" w:themeColor="text1"/>
          <w:sz w:val="16"/>
          <w:szCs w:val="16"/>
        </w:rPr>
        <w:softHyphen/>
        <w:t>ших с самолётами, не было, Генконсульством, после моего доклада о происшествии, была тут же послана телеграмма в Москву о присылке но</w:t>
      </w:r>
      <w:r w:rsidRPr="007122AB">
        <w:rPr>
          <w:rFonts w:ascii="Times New Roman" w:hAnsi="Times New Roman"/>
          <w:color w:val="000000" w:themeColor="text1"/>
          <w:sz w:val="16"/>
          <w:szCs w:val="16"/>
        </w:rPr>
        <w:softHyphen/>
        <w:t>вой ленты». Телеграмма с требованием срочной доставки пресловутой ленты из Новосибирска со специальным на</w:t>
      </w:r>
      <w:r w:rsidRPr="007122AB">
        <w:rPr>
          <w:rFonts w:ascii="Times New Roman" w:hAnsi="Times New Roman"/>
          <w:color w:val="000000" w:themeColor="text1"/>
          <w:sz w:val="16"/>
          <w:szCs w:val="16"/>
        </w:rPr>
        <w:softHyphen/>
        <w:t>рочным в Москве поставила высокопоставленных чиновников буквально «на уши» (15802).</w:t>
      </w:r>
    </w:p>
    <w:p w14:paraId="655EBF05" w14:textId="77777777" w:rsidR="00037DC4" w:rsidRPr="007122AB" w:rsidRDefault="00037DC4" w:rsidP="007122AB">
      <w:pPr>
        <w:spacing w:after="0" w:line="240" w:lineRule="auto"/>
        <w:jc w:val="both"/>
        <w:rPr>
          <w:rFonts w:ascii="Times New Roman" w:hAnsi="Times New Roman"/>
          <w:color w:val="000000" w:themeColor="text1"/>
          <w:sz w:val="16"/>
          <w:szCs w:val="16"/>
        </w:rPr>
      </w:pPr>
    </w:p>
    <w:p w14:paraId="7ED31FDE" w14:textId="77777777" w:rsidR="00037DC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47A8DED" w14:textId="77777777" w:rsidR="00037DC4" w:rsidRPr="007122AB" w:rsidRDefault="00037DC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A35D64" w14:textId="77777777" w:rsidR="00037DC4" w:rsidRPr="007122AB" w:rsidRDefault="00037DC4" w:rsidP="007122AB">
      <w:pPr>
        <w:spacing w:after="0" w:line="240" w:lineRule="auto"/>
        <w:jc w:val="both"/>
        <w:rPr>
          <w:rStyle w:val="ucoz-forum-post"/>
          <w:rFonts w:ascii="Times New Roman" w:hAnsi="Times New Roman"/>
          <w:color w:val="000000" w:themeColor="text1"/>
          <w:sz w:val="16"/>
          <w:szCs w:val="16"/>
        </w:rPr>
      </w:pPr>
      <w:r w:rsidRPr="007122AB">
        <w:rPr>
          <w:rStyle w:val="ucoz-forum-post"/>
          <w:rFonts w:ascii="Times New Roman" w:hAnsi="Times New Roman"/>
          <w:bCs/>
          <w:color w:val="000000" w:themeColor="text1"/>
          <w:sz w:val="16"/>
          <w:szCs w:val="16"/>
        </w:rPr>
        <w:t>23 декабря 1931 года</w:t>
      </w:r>
      <w:r w:rsidRPr="007122AB">
        <w:rPr>
          <w:rStyle w:val="ucoz-forum-post"/>
          <w:rFonts w:ascii="Times New Roman" w:hAnsi="Times New Roman"/>
          <w:color w:val="000000" w:themeColor="text1"/>
          <w:sz w:val="16"/>
          <w:szCs w:val="16"/>
        </w:rPr>
        <w:t xml:space="preserve"> Состоялся первый полет прототипа GL-831 HY, и после испытаний был получен заказ на 22 самолета GL-832 HY, оснащенных звездообразными двигателями Испано-</w:t>
      </w:r>
      <w:proofErr w:type="spellStart"/>
      <w:r w:rsidRPr="007122AB">
        <w:rPr>
          <w:rStyle w:val="ucoz-forum-post"/>
          <w:rFonts w:ascii="Times New Roman" w:hAnsi="Times New Roman"/>
          <w:color w:val="000000" w:themeColor="text1"/>
          <w:sz w:val="16"/>
          <w:szCs w:val="16"/>
        </w:rPr>
        <w:t>Сюиза</w:t>
      </w:r>
      <w:proofErr w:type="spellEnd"/>
      <w:r w:rsidRPr="007122AB">
        <w:rPr>
          <w:rStyle w:val="ucoz-forum-post"/>
          <w:rFonts w:ascii="Times New Roman" w:hAnsi="Times New Roman"/>
          <w:color w:val="000000" w:themeColor="text1"/>
          <w:sz w:val="16"/>
          <w:szCs w:val="16"/>
        </w:rPr>
        <w:t xml:space="preserve"> 9Qb мощностью 171 кВт (230 л.с.) вместо чуть более мощного двигателя 9Wa опытного образца. GL-832 HY представлял собой низкоплан металлической конструкции с полотняной обшивкой, имел очень большое крыло, а также повышенную прочность конструкции для взлета с катапульты. Крылья на время хранения могли складываться (14869).</w:t>
      </w:r>
    </w:p>
    <w:p w14:paraId="5242AA2E" w14:textId="77777777" w:rsidR="00037DC4" w:rsidRPr="007122AB" w:rsidRDefault="00037DC4" w:rsidP="007122AB">
      <w:pPr>
        <w:spacing w:after="0" w:line="240" w:lineRule="auto"/>
        <w:jc w:val="both"/>
        <w:rPr>
          <w:rStyle w:val="ucoz-forum-post"/>
          <w:rFonts w:ascii="Times New Roman" w:hAnsi="Times New Roman"/>
          <w:color w:val="000000" w:themeColor="text1"/>
          <w:sz w:val="16"/>
          <w:szCs w:val="16"/>
        </w:rPr>
      </w:pPr>
    </w:p>
    <w:p w14:paraId="6287936E" w14:textId="77777777" w:rsidR="00037DC4"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062FD24F" w14:textId="77777777" w:rsidR="00037DC4" w:rsidRPr="007122AB" w:rsidRDefault="00037DC4"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A3D106"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24-го декабря 1931 состоялся последний перелёт из </w:t>
      </w:r>
      <w:proofErr w:type="spellStart"/>
      <w:r w:rsidRPr="007122AB">
        <w:rPr>
          <w:rFonts w:ascii="Times New Roman" w:hAnsi="Times New Roman"/>
          <w:color w:val="000000" w:themeColor="text1"/>
          <w:sz w:val="16"/>
          <w:szCs w:val="16"/>
        </w:rPr>
        <w:t>Чугучака</w:t>
      </w:r>
      <w:proofErr w:type="spellEnd"/>
      <w:r w:rsidRPr="007122AB">
        <w:rPr>
          <w:rFonts w:ascii="Times New Roman" w:hAnsi="Times New Roman"/>
          <w:color w:val="000000" w:themeColor="text1"/>
          <w:sz w:val="16"/>
          <w:szCs w:val="16"/>
        </w:rPr>
        <w:t xml:space="preserve"> в Урумчи. Даже по меркам 1931 г. зимний перелёт в условиях среднегорья, при постоянных ту</w:t>
      </w:r>
      <w:r w:rsidRPr="007122AB">
        <w:rPr>
          <w:rFonts w:ascii="Times New Roman" w:hAnsi="Times New Roman"/>
          <w:color w:val="000000" w:themeColor="text1"/>
          <w:sz w:val="16"/>
          <w:szCs w:val="16"/>
        </w:rPr>
        <w:softHyphen/>
        <w:t>манах и метелях, стал крупным достижением, хотя и не описан ни в истории отечест</w:t>
      </w:r>
      <w:r w:rsidRPr="007122AB">
        <w:rPr>
          <w:rFonts w:ascii="Times New Roman" w:hAnsi="Times New Roman"/>
          <w:color w:val="000000" w:themeColor="text1"/>
          <w:sz w:val="16"/>
          <w:szCs w:val="16"/>
        </w:rPr>
        <w:softHyphen/>
        <w:t xml:space="preserve">венной, ни в китайской авиации. Между тем экипажи А.С. </w:t>
      </w:r>
      <w:proofErr w:type="spellStart"/>
      <w:r w:rsidRPr="007122AB">
        <w:rPr>
          <w:rFonts w:ascii="Times New Roman" w:hAnsi="Times New Roman"/>
          <w:color w:val="000000" w:themeColor="text1"/>
          <w:sz w:val="16"/>
          <w:szCs w:val="16"/>
        </w:rPr>
        <w:t>Волынченко</w:t>
      </w:r>
      <w:proofErr w:type="spellEnd"/>
      <w:r w:rsidRPr="007122AB">
        <w:rPr>
          <w:rFonts w:ascii="Times New Roman" w:hAnsi="Times New Roman"/>
          <w:color w:val="000000" w:themeColor="text1"/>
          <w:sz w:val="16"/>
          <w:szCs w:val="16"/>
        </w:rPr>
        <w:t xml:space="preserve"> и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Назарова первыми начали прокладку трассы будущего воздушного моста СССР — Китай, по ко</w:t>
      </w:r>
      <w:r w:rsidRPr="007122AB">
        <w:rPr>
          <w:rFonts w:ascii="Times New Roman" w:hAnsi="Times New Roman"/>
          <w:color w:val="000000" w:themeColor="text1"/>
          <w:sz w:val="16"/>
          <w:szCs w:val="16"/>
        </w:rPr>
        <w:softHyphen/>
        <w:t>торому ровно через шесть лет, зимой 1937/38 гг., осуществлялась перегонка по воз</w:t>
      </w:r>
      <w:r w:rsidRPr="007122AB">
        <w:rPr>
          <w:rFonts w:ascii="Times New Roman" w:hAnsi="Times New Roman"/>
          <w:color w:val="000000" w:themeColor="text1"/>
          <w:sz w:val="16"/>
          <w:szCs w:val="16"/>
        </w:rPr>
        <w:softHyphen/>
        <w:t>духу нескольких сотен боевых самолётов (15802).</w:t>
      </w:r>
    </w:p>
    <w:p w14:paraId="6E96D973" w14:textId="77777777" w:rsidR="00037DC4" w:rsidRPr="007122AB" w:rsidRDefault="00037DC4" w:rsidP="007122AB">
      <w:pPr>
        <w:spacing w:after="0" w:line="240" w:lineRule="auto"/>
        <w:jc w:val="both"/>
        <w:rPr>
          <w:rFonts w:ascii="Times New Roman" w:hAnsi="Times New Roman"/>
          <w:color w:val="000000" w:themeColor="text1"/>
          <w:sz w:val="16"/>
          <w:szCs w:val="16"/>
        </w:rPr>
      </w:pPr>
    </w:p>
    <w:p w14:paraId="2C20FDC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08B5600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322CCF"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24 декабря 1931 во Франции объявлено о скором создании </w:t>
      </w:r>
      <w:proofErr w:type="spellStart"/>
      <w:r w:rsidRPr="007122AB">
        <w:rPr>
          <w:rFonts w:ascii="Times New Roman" w:hAnsi="Times New Roman"/>
          <w:color w:val="000000" w:themeColor="text1"/>
          <w:sz w:val="16"/>
          <w:szCs w:val="16"/>
        </w:rPr>
        <w:t>суперсамолета</w:t>
      </w:r>
      <w:proofErr w:type="spellEnd"/>
      <w:r w:rsidRPr="007122AB">
        <w:rPr>
          <w:rFonts w:ascii="Times New Roman" w:hAnsi="Times New Roman"/>
          <w:color w:val="000000" w:themeColor="text1"/>
          <w:sz w:val="16"/>
          <w:szCs w:val="16"/>
        </w:rPr>
        <w:t xml:space="preserve"> для боев в слоях стратосферы (4962).</w:t>
      </w:r>
    </w:p>
    <w:p w14:paraId="6CEDDE7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7D1A5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668F0B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2E6B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C 25 декабря (формально с 15 ноября) 1931 по 17 февраля 1932 проходили испытания самолета Р-5 N 4629 (эталон на 1932 год) с мотором М-17 Е=6 N 26494 с испытанием на штопор при разных центровках.</w:t>
      </w:r>
    </w:p>
    <w:p w14:paraId="48CEBA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Отв. исполнители:</w:t>
      </w:r>
    </w:p>
    <w:p w14:paraId="3DDD84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инженер ведущий самолет Жемчужин</w:t>
      </w:r>
    </w:p>
    <w:p w14:paraId="763E6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летчик Байдуков</w:t>
      </w:r>
    </w:p>
    <w:p w14:paraId="527D2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Цель испытания:</w:t>
      </w:r>
    </w:p>
    <w:p w14:paraId="260383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6FD496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 (3064).</w:t>
      </w:r>
    </w:p>
    <w:p w14:paraId="499CB5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BD9EC78" w14:textId="77777777" w:rsidR="003F3047" w:rsidRPr="007122AB" w:rsidRDefault="003F30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и др. Основным докладчиком по плану опытного самолетостроения выступил С. В. Ильюшин. 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 (15535).</w:t>
      </w:r>
    </w:p>
    <w:p w14:paraId="1251750A" w14:textId="77777777" w:rsidR="003F3047" w:rsidRPr="007122AB" w:rsidRDefault="003F3047" w:rsidP="007122AB">
      <w:pPr>
        <w:spacing w:after="0" w:line="240" w:lineRule="auto"/>
        <w:jc w:val="both"/>
        <w:rPr>
          <w:rFonts w:ascii="Times New Roman" w:hAnsi="Times New Roman"/>
          <w:color w:val="000000" w:themeColor="text1"/>
          <w:sz w:val="16"/>
          <w:szCs w:val="16"/>
        </w:rPr>
      </w:pPr>
    </w:p>
    <w:p w14:paraId="5A03B202"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25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w:t>
      </w:r>
      <w:proofErr w:type="spellStart"/>
      <w:r w:rsidRPr="007122AB">
        <w:rPr>
          <w:color w:val="000000" w:themeColor="text1"/>
          <w:sz w:val="16"/>
          <w:szCs w:val="16"/>
        </w:rPr>
        <w:t>Пауфлер</w:t>
      </w:r>
      <w:proofErr w:type="spellEnd"/>
      <w:r w:rsidRPr="007122AB">
        <w:rPr>
          <w:color w:val="000000" w:themeColor="text1"/>
          <w:sz w:val="16"/>
          <w:szCs w:val="16"/>
        </w:rPr>
        <w:t xml:space="preserve"> и др. Основным докладчиком по плану опытного самолетостроения выступил С. В. Ильюшин.</w:t>
      </w:r>
    </w:p>
    <w:p w14:paraId="5AD0EB77"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w:t>
      </w:r>
    </w:p>
    <w:p w14:paraId="1BE60DEC"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63B0DA78"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Хотя после совещания в ВАО и прошло почти пять месяцев, технические требования оказались недоработанными, и Ильюшин с Поликарповым незамедлительно направили свои замечания:</w:t>
      </w:r>
    </w:p>
    <w:p w14:paraId="12BA0F3A"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06E6F18D"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(Отношение ГУАП от 10 мая 1933 года)</w:t>
      </w:r>
    </w:p>
    <w:p w14:paraId="64CD5AA7"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N АП 80/229</w:t>
      </w:r>
    </w:p>
    <w:p w14:paraId="351BADDB"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2 раздела первого:-</w:t>
      </w:r>
    </w:p>
    <w:p w14:paraId="01E987B3"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w:t>
      </w:r>
      <w:proofErr w:type="spellStart"/>
      <w:r w:rsidRPr="007122AB">
        <w:rPr>
          <w:rFonts w:ascii="Times New Roman" w:hAnsi="Times New Roman"/>
          <w:color w:val="000000" w:themeColor="text1"/>
          <w:sz w:val="16"/>
          <w:szCs w:val="16"/>
        </w:rPr>
        <w:t>районым</w:t>
      </w:r>
      <w:proofErr w:type="spellEnd"/>
      <w:r w:rsidRPr="007122AB">
        <w:rPr>
          <w:rFonts w:ascii="Times New Roman" w:hAnsi="Times New Roman"/>
          <w:color w:val="000000" w:themeColor="text1"/>
          <w:sz w:val="16"/>
          <w:szCs w:val="16"/>
        </w:rPr>
        <w:t xml:space="preserve"> центрам.</w:t>
      </w:r>
    </w:p>
    <w:p w14:paraId="77078908"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77210226"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 1. Обязательных требований к самолетам ГУ </w:t>
      </w:r>
      <w:proofErr w:type="spellStart"/>
      <w:r w:rsidRPr="007122AB">
        <w:rPr>
          <w:rFonts w:ascii="Times New Roman" w:hAnsi="Times New Roman"/>
          <w:color w:val="000000" w:themeColor="text1"/>
          <w:sz w:val="16"/>
          <w:szCs w:val="16"/>
        </w:rPr>
        <w:t>ГВФа</w:t>
      </w:r>
      <w:proofErr w:type="spellEnd"/>
      <w:r w:rsidRPr="007122AB">
        <w:rPr>
          <w:rFonts w:ascii="Times New Roman" w:hAnsi="Times New Roman"/>
          <w:color w:val="000000" w:themeColor="text1"/>
          <w:sz w:val="16"/>
          <w:szCs w:val="16"/>
        </w:rPr>
        <w:t>.</w:t>
      </w:r>
    </w:p>
    <w:p w14:paraId="485C6184"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1B15EC95"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3321CBA0"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w:t>
      </w:r>
    </w:p>
    <w:p w14:paraId="328D7525"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7D3D2DF"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144DAB54"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w:t>
      </w:r>
      <w:proofErr w:type="spellStart"/>
      <w:r w:rsidRPr="007122AB">
        <w:rPr>
          <w:rFonts w:ascii="Times New Roman" w:hAnsi="Times New Roman"/>
          <w:color w:val="000000" w:themeColor="text1"/>
          <w:sz w:val="16"/>
          <w:szCs w:val="16"/>
        </w:rPr>
        <w:t>ГУАПа</w:t>
      </w:r>
      <w:proofErr w:type="spellEnd"/>
      <w:r w:rsidRPr="007122AB">
        <w:rPr>
          <w:rFonts w:ascii="Times New Roman" w:hAnsi="Times New Roman"/>
          <w:color w:val="000000" w:themeColor="text1"/>
          <w:sz w:val="16"/>
          <w:szCs w:val="16"/>
        </w:rPr>
        <w:t xml:space="preserve"> нет конкретных указаний на другие моторы, мы по этому пункту ничего не предусматриваем, за исключением того, что </w:t>
      </w:r>
      <w:proofErr w:type="spellStart"/>
      <w:r w:rsidRPr="007122AB">
        <w:rPr>
          <w:rFonts w:ascii="Times New Roman" w:hAnsi="Times New Roman"/>
          <w:color w:val="000000" w:themeColor="text1"/>
          <w:sz w:val="16"/>
          <w:szCs w:val="16"/>
        </w:rPr>
        <w:t>мотоустановка</w:t>
      </w:r>
      <w:proofErr w:type="spellEnd"/>
      <w:r w:rsidRPr="007122AB">
        <w:rPr>
          <w:rFonts w:ascii="Times New Roman" w:hAnsi="Times New Roman"/>
          <w:color w:val="000000" w:themeColor="text1"/>
          <w:sz w:val="16"/>
          <w:szCs w:val="16"/>
        </w:rPr>
        <w:t xml:space="preserve">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02B261CD"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105EB65D"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1C86CCCE"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ЦКБ Ильюшин</w:t>
      </w:r>
    </w:p>
    <w:p w14:paraId="7A6BBC18"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бригады 2 Поликарпов</w:t>
      </w:r>
    </w:p>
    <w:p w14:paraId="121BECF1"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Отпечатано 4 экз.</w:t>
      </w:r>
    </w:p>
    <w:p w14:paraId="545D95B8"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w:t>
      </w:r>
      <w:proofErr w:type="spellStart"/>
      <w:r w:rsidRPr="007122AB">
        <w:rPr>
          <w:color w:val="000000" w:themeColor="text1"/>
          <w:sz w:val="16"/>
          <w:szCs w:val="16"/>
        </w:rPr>
        <w:t>Валти</w:t>
      </w:r>
      <w:proofErr w:type="spellEnd"/>
      <w:r w:rsidRPr="007122AB">
        <w:rPr>
          <w:color w:val="000000" w:themeColor="text1"/>
          <w:sz w:val="16"/>
          <w:szCs w:val="16"/>
        </w:rPr>
        <w:t>".</w:t>
      </w:r>
    </w:p>
    <w:p w14:paraId="25458837"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Первые прорисовки ЦКБ-6 делал лично Н. Н. Поликарпов, а последующие и окончательную - совместно с </w:t>
      </w:r>
      <w:proofErr w:type="spellStart"/>
      <w:r w:rsidRPr="007122AB">
        <w:rPr>
          <w:color w:val="000000" w:themeColor="text1"/>
          <w:sz w:val="16"/>
          <w:szCs w:val="16"/>
        </w:rPr>
        <w:t>С</w:t>
      </w:r>
      <w:proofErr w:type="spellEnd"/>
      <w:r w:rsidRPr="007122AB">
        <w:rPr>
          <w:color w:val="000000" w:themeColor="text1"/>
          <w:sz w:val="16"/>
          <w:szCs w:val="16"/>
        </w:rPr>
        <w:t>.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охотно делился техническими идеями с Ильюшиным.</w:t>
      </w:r>
    </w:p>
    <w:p w14:paraId="77876DAF"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Как видно из докладной записки, С. В. Ильюшин и Н. Н. Поликарпов предлагали максимально технологичную машину - простую в изготовлении и эксплуатации. С позиции наших дней интересны и, в какой-то мере, немного смешны рассуждения о необходимости, вернее ее отсутствии, установки радиосвязного оборудования на самолет ЦКБ-6.</w:t>
      </w:r>
    </w:p>
    <w:p w14:paraId="2187CC43"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 xml:space="preserve">Не совсем понятна ситуация с настоятельным требованием </w:t>
      </w:r>
      <w:proofErr w:type="spellStart"/>
      <w:r w:rsidRPr="007122AB">
        <w:rPr>
          <w:color w:val="000000" w:themeColor="text1"/>
          <w:sz w:val="16"/>
          <w:szCs w:val="16"/>
        </w:rPr>
        <w:t>ГУАПа</w:t>
      </w:r>
      <w:proofErr w:type="spellEnd"/>
      <w:r w:rsidRPr="007122AB">
        <w:rPr>
          <w:color w:val="000000" w:themeColor="text1"/>
          <w:sz w:val="16"/>
          <w:szCs w:val="16"/>
        </w:rPr>
        <w:t xml:space="preserve"> о применении на ЦКБ-6 мотора воздушного охлаждения М-49.</w:t>
      </w:r>
    </w:p>
    <w:p w14:paraId="71B3D937"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Этот двигатель разрабатывали в отделе бензиновых двигателей Научно-исследовательского института авиадвигателей ГВФ, который был создан для проектирования и постройки маломощных двигателей для гражданских, учебных и спортивных самолетов.</w:t>
      </w:r>
    </w:p>
    <w:p w14:paraId="1BA0F9A3"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НИИ АД ГВФ просуществовал всего восемь лет и в 1940 году был закрыт. Коллектив опытного завода под руководством М. А. Коссова успел разработать целое семейство двигателей МГ.</w:t>
      </w:r>
    </w:p>
    <w:p w14:paraId="09959000" w14:textId="77777777" w:rsidR="0075269A" w:rsidRPr="007122AB" w:rsidRDefault="0075269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Однако с двигателем М-49 изначально возникли многочисленные проблемы, и он так и не был доведен "до ума". Ильюшин и Поликарпов не зря ссылались в своих записках на полную неопределенность с этим мотором. По мнению авторов, именно неясность с двигателем, под который был увязан весь самолет, и оставила его на лишь на бумаге (12707).</w:t>
      </w:r>
    </w:p>
    <w:p w14:paraId="49C202CD" w14:textId="77777777" w:rsidR="0075269A" w:rsidRPr="007122AB" w:rsidRDefault="0075269A" w:rsidP="007122AB">
      <w:pPr>
        <w:pStyle w:val="rtecenter"/>
        <w:shd w:val="clear" w:color="auto" w:fill="FFFFFF"/>
        <w:spacing w:before="0" w:after="0"/>
        <w:jc w:val="both"/>
        <w:rPr>
          <w:color w:val="000000" w:themeColor="text1"/>
          <w:sz w:val="16"/>
          <w:szCs w:val="16"/>
        </w:rPr>
      </w:pPr>
    </w:p>
    <w:p w14:paraId="32F25228"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декабря 1931 г.</w:t>
      </w:r>
    </w:p>
    <w:p w14:paraId="1546A0A6"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Протокол заседания у начальника ВАО</w:t>
      </w:r>
    </w:p>
    <w:p w14:paraId="518DCB28"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Присутствовали: Баранов, Харламов, Туполев, Ильюшин, Григорович, Костин, </w:t>
      </w:r>
      <w:proofErr w:type="spellStart"/>
      <w:r w:rsidRPr="007122AB">
        <w:rPr>
          <w:rFonts w:ascii="Times New Roman" w:hAnsi="Times New Roman"/>
          <w:color w:val="000000" w:themeColor="text1"/>
          <w:sz w:val="16"/>
          <w:szCs w:val="16"/>
        </w:rPr>
        <w:t>Пауфлер</w:t>
      </w:r>
      <w:proofErr w:type="spellEnd"/>
      <w:r w:rsidRPr="007122AB">
        <w:rPr>
          <w:rFonts w:ascii="Times New Roman" w:hAnsi="Times New Roman"/>
          <w:color w:val="000000" w:themeColor="text1"/>
          <w:sz w:val="16"/>
          <w:szCs w:val="16"/>
        </w:rPr>
        <w:t xml:space="preserve"> и др.</w:t>
      </w:r>
    </w:p>
    <w:p w14:paraId="47B7A8FA"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 Рассмотрение плана опытного строительства</w:t>
      </w:r>
    </w:p>
    <w:p w14:paraId="6BDA6ACA"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Докладчик - С. В. Ильюшин</w:t>
      </w:r>
    </w:p>
    <w:p w14:paraId="353FBDC5"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6960081A"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2423CFF9"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0CEE46F9"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2C2564D2"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Включить в план работ:</w:t>
      </w:r>
    </w:p>
    <w:p w14:paraId="3199A621"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Разведчик одномоторный взамен Р-5.</w:t>
      </w:r>
    </w:p>
    <w:p w14:paraId="6E8711A8"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Одномоторный морской разведчик взамен С-62 бис.</w:t>
      </w:r>
    </w:p>
    <w:p w14:paraId="4EBD59C9"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Одномоторный пассажирский самолет взамен К-5...</w:t>
      </w:r>
    </w:p>
    <w:p w14:paraId="512A4252" w14:textId="77777777" w:rsidR="00037DC4" w:rsidRPr="007122AB" w:rsidRDefault="00037DC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 (15535).</w:t>
      </w:r>
    </w:p>
    <w:p w14:paraId="5D3F1682" w14:textId="77777777" w:rsidR="00037DC4" w:rsidRPr="007122AB" w:rsidRDefault="00037DC4" w:rsidP="007122AB">
      <w:pPr>
        <w:spacing w:after="0" w:line="240" w:lineRule="auto"/>
        <w:jc w:val="both"/>
        <w:rPr>
          <w:rFonts w:ascii="Times New Roman" w:hAnsi="Times New Roman"/>
          <w:color w:val="000000" w:themeColor="text1"/>
          <w:sz w:val="16"/>
          <w:szCs w:val="16"/>
        </w:rPr>
      </w:pPr>
    </w:p>
    <w:p w14:paraId="584F677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94061A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EFD4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25 декабря 1931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получил ответ за подписью </w:t>
      </w:r>
      <w:proofErr w:type="spellStart"/>
      <w:r w:rsidRPr="007122AB">
        <w:rPr>
          <w:rFonts w:ascii="Times New Roman" w:hAnsi="Times New Roman"/>
          <w:color w:val="000000" w:themeColor="text1"/>
          <w:sz w:val="16"/>
          <w:szCs w:val="16"/>
        </w:rPr>
        <w:t>Халепского</w:t>
      </w:r>
      <w:proofErr w:type="spellEnd"/>
      <w:r w:rsidRPr="007122AB">
        <w:rPr>
          <w:rFonts w:ascii="Times New Roman" w:hAnsi="Times New Roman"/>
          <w:color w:val="000000" w:themeColor="text1"/>
          <w:sz w:val="16"/>
          <w:szCs w:val="16"/>
        </w:rPr>
        <w:t>:</w:t>
      </w:r>
    </w:p>
    <w:p w14:paraId="4CB75A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Рассмотрев проект выполнения Вами задания по бронированию легкового «Форда» предлагаю Вам сделать по одному опытному образцу не позднее 1 февраля 1931 го</w:t>
      </w:r>
      <w:r w:rsidRPr="007122AB">
        <w:rPr>
          <w:rFonts w:ascii="Times New Roman" w:hAnsi="Times New Roman"/>
          <w:color w:val="000000" w:themeColor="text1"/>
          <w:sz w:val="16"/>
          <w:szCs w:val="16"/>
        </w:rPr>
        <w:softHyphen/>
        <w:t>да два образца - по чертежу № С-17-39 (с одним пулеме</w:t>
      </w:r>
      <w:r w:rsidRPr="007122AB">
        <w:rPr>
          <w:rFonts w:ascii="Times New Roman" w:hAnsi="Times New Roman"/>
          <w:color w:val="000000" w:themeColor="text1"/>
          <w:sz w:val="16"/>
          <w:szCs w:val="16"/>
        </w:rPr>
        <w:softHyphen/>
        <w:t>том) и по чертежу № С-17-41 (с пулеметом и зенитной туре</w:t>
      </w:r>
      <w:r w:rsidRPr="007122AB">
        <w:rPr>
          <w:rFonts w:ascii="Times New Roman" w:hAnsi="Times New Roman"/>
          <w:color w:val="000000" w:themeColor="text1"/>
          <w:sz w:val="16"/>
          <w:szCs w:val="16"/>
        </w:rPr>
        <w:softHyphen/>
        <w:t>лью). Указанные образцы изготавливаются из котельного железа, корпуса сварные...»</w:t>
      </w:r>
    </w:p>
    <w:p w14:paraId="310AAA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Несмотря на ряд трудностей и отсутствие необходимо</w:t>
      </w:r>
      <w:r w:rsidRPr="007122AB">
        <w:rPr>
          <w:rFonts w:ascii="Times New Roman" w:hAnsi="Times New Roman"/>
          <w:color w:val="000000" w:themeColor="text1"/>
          <w:sz w:val="16"/>
          <w:szCs w:val="16"/>
        </w:rPr>
        <w:softHyphen/>
        <w:t xml:space="preserve">го количества чертежников, </w:t>
      </w:r>
      <w:proofErr w:type="spellStart"/>
      <w:r w:rsidRPr="007122AB">
        <w:rPr>
          <w:rFonts w:ascii="Times New Roman" w:hAnsi="Times New Roman"/>
          <w:color w:val="000000" w:themeColor="text1"/>
          <w:sz w:val="16"/>
          <w:szCs w:val="16"/>
        </w:rPr>
        <w:t>Дыренков</w:t>
      </w:r>
      <w:proofErr w:type="spellEnd"/>
      <w:r w:rsidRPr="007122AB">
        <w:rPr>
          <w:rFonts w:ascii="Times New Roman" w:hAnsi="Times New Roman"/>
          <w:color w:val="000000" w:themeColor="text1"/>
          <w:sz w:val="16"/>
          <w:szCs w:val="16"/>
        </w:rPr>
        <w:t xml:space="preserve"> с поставленной за</w:t>
      </w:r>
      <w:r w:rsidRPr="007122AB">
        <w:rPr>
          <w:rFonts w:ascii="Times New Roman" w:hAnsi="Times New Roman"/>
          <w:color w:val="000000" w:themeColor="text1"/>
          <w:sz w:val="16"/>
          <w:szCs w:val="16"/>
        </w:rPr>
        <w:softHyphen/>
        <w:t>дачей справился (11284).</w:t>
      </w:r>
    </w:p>
    <w:p w14:paraId="0147D83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D6F1F" w14:textId="77777777" w:rsidR="005E1AD5" w:rsidRPr="007122AB" w:rsidRDefault="005E1AD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25 декабря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xml:space="preserve">. Протокол заседания Политбюро ЦК ВКП(б) № 21. Опросом членов ПБ от 25 декабря 1930 г. 64/65. О заявке ВСНХ на военное снабжение. (ПБ от 15 декабря 1930 г., пр. № 20, п. 12). (Молотов). Постановили: утвердить следующее решение комиссии Политбюро: а) установить импортный контингент по цветным металлам и техническому снабжению в размере 15 млн. руб.; б) поручить т. Рудзутаку, </w:t>
      </w:r>
      <w:proofErr w:type="spellStart"/>
      <w:r w:rsidRPr="007122AB">
        <w:rPr>
          <w:rFonts w:ascii="Times New Roman" w:hAnsi="Times New Roman"/>
          <w:color w:val="000000" w:themeColor="text1"/>
          <w:sz w:val="16"/>
          <w:szCs w:val="16"/>
          <w:u w:color="002060"/>
        </w:rPr>
        <w:t>Розенгольцу</w:t>
      </w:r>
      <w:proofErr w:type="spellEnd"/>
      <w:r w:rsidRPr="007122AB">
        <w:rPr>
          <w:rFonts w:ascii="Times New Roman" w:hAnsi="Times New Roman"/>
          <w:color w:val="000000" w:themeColor="text1"/>
          <w:sz w:val="16"/>
          <w:szCs w:val="16"/>
          <w:u w:color="002060"/>
        </w:rPr>
        <w:t xml:space="preserve"> и </w:t>
      </w:r>
      <w:proofErr w:type="spellStart"/>
      <w:r w:rsidRPr="007122AB">
        <w:rPr>
          <w:rFonts w:ascii="Times New Roman" w:hAnsi="Times New Roman"/>
          <w:color w:val="000000" w:themeColor="text1"/>
          <w:sz w:val="16"/>
          <w:szCs w:val="16"/>
          <w:u w:color="002060"/>
        </w:rPr>
        <w:t>Павлуновскому</w:t>
      </w:r>
      <w:proofErr w:type="spellEnd"/>
      <w:r w:rsidRPr="007122AB">
        <w:rPr>
          <w:rFonts w:ascii="Times New Roman" w:hAnsi="Times New Roman"/>
          <w:color w:val="000000" w:themeColor="text1"/>
          <w:sz w:val="16"/>
          <w:szCs w:val="16"/>
          <w:u w:color="002060"/>
        </w:rPr>
        <w:t xml:space="preserve"> рассмотреть в связи с этим решением весь импортный контингент с тем, чтобы общий лимит контингентов и валютных планов по годовому плану 1931 г. не увеличился. Не менее 1,5 млн. руб. сокращения отнести по контингенту и валюте ВСНХ. (РГАСПИ. Ф. 17. Оп. 162. Д. 9. Л. 105) (12416).</w:t>
      </w:r>
    </w:p>
    <w:p w14:paraId="1BDCCF42" w14:textId="77777777" w:rsidR="005E1AD5" w:rsidRPr="007122AB" w:rsidRDefault="005E1AD5" w:rsidP="007122AB">
      <w:pPr>
        <w:spacing w:after="0" w:line="240" w:lineRule="auto"/>
        <w:jc w:val="both"/>
        <w:rPr>
          <w:rFonts w:ascii="Times New Roman" w:hAnsi="Times New Roman"/>
          <w:color w:val="000000" w:themeColor="text1"/>
          <w:sz w:val="16"/>
          <w:szCs w:val="16"/>
          <w:u w:color="002060"/>
        </w:rPr>
      </w:pPr>
    </w:p>
    <w:p w14:paraId="0107D180"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25 декабря 1931 </w:t>
      </w:r>
      <w:r w:rsidRPr="007122AB">
        <w:rPr>
          <w:rFonts w:ascii="Times New Roman" w:hAnsi="Times New Roman"/>
          <w:color w:val="000000" w:themeColor="text1"/>
          <w:sz w:val="16"/>
          <w:szCs w:val="16"/>
        </w:rPr>
        <w:t>Политбюро ЦК ВКП (б) приняло решение о мероприятиях по улучшению работы хозяйственных организаций; утвердило состав комиссии для приемки Нижегородского автозавода, Березниковского комбината и Саратовского комбайнового завода (12265).</w:t>
      </w:r>
    </w:p>
    <w:p w14:paraId="23FCC9A8"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2-я сессия ЦИК 6-го созыва приняла постановление «О народнохозяйственном плане СССР на 1932 г. (контрольные цифры)» (12265).</w:t>
      </w:r>
    </w:p>
    <w:p w14:paraId="33D107AD"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75204E6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736D943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DDCA1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 декабря 1931 51-я отдельная тя</w:t>
      </w:r>
      <w:r w:rsidRPr="007122AB">
        <w:rPr>
          <w:rFonts w:ascii="Times New Roman" w:hAnsi="Times New Roman"/>
          <w:color w:val="000000" w:themeColor="text1"/>
          <w:sz w:val="16"/>
          <w:szCs w:val="16"/>
        </w:rPr>
        <w:softHyphen/>
        <w:t xml:space="preserve">желобомбардировочная авиаэскадрилья (ТБАЭ), </w:t>
      </w:r>
      <w:proofErr w:type="spellStart"/>
      <w:r w:rsidRPr="007122AB">
        <w:rPr>
          <w:rFonts w:ascii="Times New Roman" w:hAnsi="Times New Roman"/>
          <w:color w:val="000000" w:themeColor="text1"/>
          <w:sz w:val="16"/>
          <w:szCs w:val="16"/>
        </w:rPr>
        <w:t>включавшаю</w:t>
      </w:r>
      <w:proofErr w:type="spellEnd"/>
      <w:r w:rsidRPr="007122AB">
        <w:rPr>
          <w:rFonts w:ascii="Times New Roman" w:hAnsi="Times New Roman"/>
          <w:color w:val="000000" w:themeColor="text1"/>
          <w:sz w:val="16"/>
          <w:szCs w:val="16"/>
        </w:rPr>
        <w:t xml:space="preserve"> 12 ТБ-1 (завод. №№ 612, 620, 626, 635, 647, 648, 656, 662, 670, 701, 703, 718) разместилась на Ново-Омском аэродроме и, согласно докладу командова</w:t>
      </w:r>
      <w:r w:rsidRPr="007122AB">
        <w:rPr>
          <w:rFonts w:ascii="Times New Roman" w:hAnsi="Times New Roman"/>
          <w:color w:val="000000" w:themeColor="text1"/>
          <w:sz w:val="16"/>
          <w:szCs w:val="16"/>
        </w:rPr>
        <w:softHyphen/>
        <w:t>ния, приступила к работе. Весной 1932 г. 51-ю ТБАЭ перебросили под Хабаровск и в апреле передали Морским силам Дальнего Востока, где самолеты предполагали ис</w:t>
      </w:r>
      <w:r w:rsidRPr="007122AB">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7122AB">
        <w:rPr>
          <w:rFonts w:ascii="Times New Roman" w:hAnsi="Times New Roman"/>
          <w:color w:val="000000" w:themeColor="text1"/>
          <w:sz w:val="16"/>
          <w:szCs w:val="16"/>
        </w:rPr>
        <w:softHyphen/>
        <w:t xml:space="preserve">педными мостами, выпуск которых только осваивала промышленность. В 1933 г. отряд ТБ-1 под командованием П.И. </w:t>
      </w:r>
      <w:proofErr w:type="spellStart"/>
      <w:r w:rsidRPr="007122AB">
        <w:rPr>
          <w:rFonts w:ascii="Times New Roman" w:hAnsi="Times New Roman"/>
          <w:color w:val="000000" w:themeColor="text1"/>
          <w:sz w:val="16"/>
          <w:szCs w:val="16"/>
        </w:rPr>
        <w:t>Сучко</w:t>
      </w:r>
      <w:proofErr w:type="spellEnd"/>
      <w:r w:rsidRPr="007122AB">
        <w:rPr>
          <w:rFonts w:ascii="Times New Roman" w:hAnsi="Times New Roman"/>
          <w:color w:val="000000" w:themeColor="text1"/>
          <w:sz w:val="16"/>
          <w:szCs w:val="16"/>
        </w:rPr>
        <w:t>, вхо</w:t>
      </w:r>
      <w:r w:rsidRPr="007122AB">
        <w:rPr>
          <w:rFonts w:ascii="Times New Roman" w:hAnsi="Times New Roman"/>
          <w:color w:val="000000" w:themeColor="text1"/>
          <w:sz w:val="16"/>
          <w:szCs w:val="16"/>
        </w:rPr>
        <w:softHyphen/>
        <w:t>дивший в то время в 28-ю ТБАБ, начал осво</w:t>
      </w:r>
      <w:r w:rsidRPr="007122AB">
        <w:rPr>
          <w:rFonts w:ascii="Times New Roman" w:hAnsi="Times New Roman"/>
          <w:color w:val="000000" w:themeColor="text1"/>
          <w:sz w:val="16"/>
          <w:szCs w:val="16"/>
        </w:rPr>
        <w:softHyphen/>
        <w:t>ение высотного торпедометания (11286).</w:t>
      </w:r>
    </w:p>
    <w:p w14:paraId="243D03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CB58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3BD58B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200EE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 декабря 1931 состоялось заседание комиссии по вопросам испытания ВОМИЗ и постановили: Комиссия считает испытания ВОМИЗЫ законченными, но с обязательной доработкой вопросов тактического использования" (3413,12).</w:t>
      </w:r>
    </w:p>
    <w:p w14:paraId="68DC8A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B6FB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26 декабря 1931 подвели итог испытаниям мин ВОМИЗА сезона 1931 г. на заседании комиссии. Пункт 1-й ее постановления гласил: "Комиссия считает испытания "ВОМИЗЫ" законченными, но с обязательной доработкой вопросов тактического использования".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предложили ввести в конструкцию ряд местных </w:t>
      </w:r>
      <w:r w:rsidRPr="007122AB">
        <w:rPr>
          <w:rFonts w:ascii="Times New Roman" w:hAnsi="Times New Roman"/>
          <w:color w:val="000000" w:themeColor="text1"/>
          <w:sz w:val="16"/>
          <w:szCs w:val="16"/>
        </w:rPr>
        <w:lastRenderedPageBreak/>
        <w:t>усилений (в частности, подкрепить зарядную камеру), заменить сахарный разъединитель. В своем рапорте в Москву начальник Воздушных сил Балтийского моря Никифоров рекомендовал после устранения выявленных дефектов принять мину ВОМИЗА-ЮО на вооружение ВВС РККА (12002).</w:t>
      </w:r>
    </w:p>
    <w:p w14:paraId="59C9B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5041F4" w14:textId="77777777" w:rsidR="00E33D71" w:rsidRPr="007122AB" w:rsidRDefault="00E33D7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40FEF8DE" w14:textId="77777777" w:rsidR="00E33D71" w:rsidRPr="007122AB" w:rsidRDefault="00E33D7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09E4494" w14:textId="77777777" w:rsidR="00E33D71" w:rsidRPr="007122AB" w:rsidRDefault="00E33D71"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26 декабря 1931 г.</w:t>
      </w:r>
    </w:p>
    <w:p w14:paraId="22B992C5" w14:textId="77777777" w:rsidR="00E33D71" w:rsidRPr="007122AB" w:rsidRDefault="00E33D71"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color w:val="000000" w:themeColor="text1"/>
          <w:sz w:val="16"/>
          <w:szCs w:val="16"/>
        </w:rPr>
        <w:t xml:space="preserve">«Рапорт» начальника ОКБ № 11 ОГПУ Н. И. </w:t>
      </w:r>
      <w:proofErr w:type="spellStart"/>
      <w:r w:rsidRPr="007122AB">
        <w:rPr>
          <w:rFonts w:ascii="Times New Roman" w:hAnsi="Times New Roman"/>
          <w:color w:val="000000" w:themeColor="text1"/>
          <w:sz w:val="16"/>
          <w:szCs w:val="16"/>
        </w:rPr>
        <w:t>Наумина</w:t>
      </w:r>
      <w:proofErr w:type="spellEnd"/>
      <w:r w:rsidRPr="007122AB">
        <w:rPr>
          <w:rFonts w:ascii="Times New Roman" w:hAnsi="Times New Roman"/>
          <w:color w:val="000000" w:themeColor="text1"/>
          <w:sz w:val="16"/>
          <w:szCs w:val="16"/>
        </w:rPr>
        <w:t xml:space="preserve"> начальнику Технического отделения ЭКУ ОГПУ о количестве вольнонаемных работников в ОКБ. 26 декабря 1931 г.</w:t>
      </w:r>
    </w:p>
    <w:p w14:paraId="44406177" w14:textId="77777777" w:rsidR="00E33D71" w:rsidRPr="007122AB" w:rsidRDefault="00E33D71" w:rsidP="007122AB">
      <w:pPr>
        <w:spacing w:after="0" w:line="240" w:lineRule="auto"/>
        <w:jc w:val="both"/>
        <w:rPr>
          <w:rFonts w:ascii="Times New Roman" w:hAnsi="Times New Roman"/>
          <w:bCs/>
          <w:color w:val="000000" w:themeColor="text1"/>
          <w:sz w:val="16"/>
          <w:szCs w:val="16"/>
        </w:rPr>
      </w:pPr>
      <w:r w:rsidRPr="007122AB">
        <w:rPr>
          <w:rFonts w:ascii="Times New Roman" w:hAnsi="Times New Roman"/>
          <w:bCs/>
          <w:color w:val="000000" w:themeColor="text1"/>
          <w:sz w:val="16"/>
          <w:szCs w:val="16"/>
        </w:rPr>
        <w:t>Источник: </w:t>
      </w:r>
    </w:p>
    <w:p w14:paraId="74E7DA29" w14:textId="77777777" w:rsidR="00E33D71" w:rsidRPr="007122AB" w:rsidRDefault="00E33D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A93F1E" w14:textId="77777777" w:rsidR="00E33D71" w:rsidRPr="007122AB" w:rsidRDefault="00E33D71" w:rsidP="007122AB">
      <w:pPr>
        <w:pStyle w:val="rteright"/>
        <w:spacing w:before="0" w:after="0"/>
        <w:jc w:val="both"/>
        <w:rPr>
          <w:color w:val="000000" w:themeColor="text1"/>
          <w:sz w:val="16"/>
          <w:szCs w:val="16"/>
        </w:rPr>
      </w:pPr>
      <w:r w:rsidRPr="007122AB">
        <w:rPr>
          <w:color w:val="000000" w:themeColor="text1"/>
          <w:sz w:val="16"/>
          <w:szCs w:val="16"/>
        </w:rPr>
        <w:t>26 декабря 1931 г.</w:t>
      </w:r>
    </w:p>
    <w:p w14:paraId="60E75536" w14:textId="77777777" w:rsidR="00E33D71" w:rsidRPr="007122AB" w:rsidRDefault="00E33D71" w:rsidP="007122AB">
      <w:pPr>
        <w:pStyle w:val="rtecenter"/>
        <w:spacing w:before="0" w:after="0"/>
        <w:jc w:val="both"/>
        <w:rPr>
          <w:color w:val="000000" w:themeColor="text1"/>
          <w:sz w:val="16"/>
          <w:szCs w:val="16"/>
        </w:rPr>
      </w:pPr>
      <w:r w:rsidRPr="007122AB">
        <w:rPr>
          <w:color w:val="000000" w:themeColor="text1"/>
          <w:sz w:val="16"/>
          <w:szCs w:val="16"/>
        </w:rPr>
        <w:t>НАЧАЛЬНИКУ ТЕХ. ОТД. ОГПУ</w:t>
      </w:r>
    </w:p>
    <w:p w14:paraId="25BCE770" w14:textId="77777777" w:rsidR="00E33D71" w:rsidRPr="007122AB" w:rsidRDefault="00E33D71" w:rsidP="007122AB">
      <w:pPr>
        <w:pStyle w:val="rtecenter"/>
        <w:spacing w:before="0" w:after="0"/>
        <w:jc w:val="both"/>
        <w:rPr>
          <w:color w:val="000000" w:themeColor="text1"/>
          <w:sz w:val="16"/>
          <w:szCs w:val="16"/>
        </w:rPr>
      </w:pPr>
      <w:r w:rsidRPr="007122AB">
        <w:rPr>
          <w:color w:val="000000" w:themeColor="text1"/>
          <w:sz w:val="16"/>
          <w:szCs w:val="16"/>
        </w:rPr>
        <w:t>РАПОРТ</w:t>
      </w:r>
    </w:p>
    <w:p w14:paraId="5B077FF7"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Согласно личного приказания сообщаю, что во вверенном мне ОКБ №11 работает 6 человек вольнонаемных:</w:t>
      </w:r>
    </w:p>
    <w:p w14:paraId="49C4FD1F"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1) КУБЫНИН, 2) ФЮНЕР, 3) САЛМЕНКОВ, 4) ЛЯДЕР, 5) МАРТЫНОВ и 6) АНДРЕЕВ.</w:t>
      </w:r>
    </w:p>
    <w:p w14:paraId="252F78A9" w14:textId="77777777" w:rsidR="00E33D71" w:rsidRPr="007122AB" w:rsidRDefault="00E33D71" w:rsidP="007122AB">
      <w:pPr>
        <w:pStyle w:val="rtejustify"/>
        <w:spacing w:before="0" w:after="0"/>
        <w:rPr>
          <w:color w:val="000000" w:themeColor="text1"/>
          <w:sz w:val="16"/>
          <w:szCs w:val="16"/>
        </w:rPr>
      </w:pPr>
      <w:proofErr w:type="spellStart"/>
      <w:r w:rsidRPr="007122AB">
        <w:rPr>
          <w:color w:val="000000" w:themeColor="text1"/>
          <w:sz w:val="16"/>
          <w:szCs w:val="16"/>
        </w:rPr>
        <w:t>Калькировщики</w:t>
      </w:r>
      <w:proofErr w:type="spellEnd"/>
      <w:r w:rsidRPr="007122AB">
        <w:rPr>
          <w:color w:val="000000" w:themeColor="text1"/>
          <w:sz w:val="16"/>
          <w:szCs w:val="16"/>
        </w:rPr>
        <w:t xml:space="preserve"> из Института:</w:t>
      </w:r>
    </w:p>
    <w:p w14:paraId="2934C28A"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1. ЛУЧЕНКОВ, 2. ЗВЕРЕВА, 3. ФЕДОРОВА, 4. СТРАШИНСКАЯ и 5. КУБАСОВ.</w:t>
      </w:r>
    </w:p>
    <w:p w14:paraId="6817E51F"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Также по нашей работе имеем связь со следующими инженерами Института:</w:t>
      </w:r>
    </w:p>
    <w:p w14:paraId="77BDD0EB"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1. АФАНАСЬЕВ, 2. КАРАМЯН, 3. ШЛЕЙТЕР, 4. ЛУНИЕВ, 5. МЕНЬШОВ, 6. КОСТРЫКИН, 7. ТИМРАТ, 8. КОНДРАТЬЕВ, 9. ПАНАСЕНКО, 10. ТЕЗЕНГОЛЬТЦ, 11. БЕЛОБЛОЦКИЙ и 12. КОРНИЦКИЙ.</w:t>
      </w:r>
    </w:p>
    <w:p w14:paraId="4804AE79"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НАЧ. ОКБ № 11 ОГПУ (</w:t>
      </w:r>
      <w:proofErr w:type="spellStart"/>
      <w:r w:rsidRPr="007122AB">
        <w:rPr>
          <w:color w:val="000000" w:themeColor="text1"/>
          <w:sz w:val="16"/>
          <w:szCs w:val="16"/>
        </w:rPr>
        <w:t>Наумин</w:t>
      </w:r>
      <w:proofErr w:type="spellEnd"/>
      <w:r w:rsidRPr="007122AB">
        <w:rPr>
          <w:color w:val="000000" w:themeColor="text1"/>
          <w:sz w:val="16"/>
          <w:szCs w:val="16"/>
        </w:rPr>
        <w:t>)</w:t>
      </w:r>
    </w:p>
    <w:p w14:paraId="76A62F65" w14:textId="77777777" w:rsidR="00E33D71" w:rsidRPr="007122AB" w:rsidRDefault="00E33D71" w:rsidP="007122AB">
      <w:pPr>
        <w:pStyle w:val="rtejustify"/>
        <w:spacing w:before="0" w:after="0"/>
        <w:rPr>
          <w:color w:val="000000" w:themeColor="text1"/>
          <w:sz w:val="16"/>
          <w:szCs w:val="16"/>
        </w:rPr>
      </w:pPr>
      <w:r w:rsidRPr="007122AB">
        <w:rPr>
          <w:color w:val="000000" w:themeColor="text1"/>
          <w:sz w:val="16"/>
          <w:szCs w:val="16"/>
        </w:rPr>
        <w:t>«26» декабря 1931 года</w:t>
      </w:r>
    </w:p>
    <w:p w14:paraId="607534EB" w14:textId="77777777" w:rsidR="00E33D71" w:rsidRPr="007122AB" w:rsidRDefault="00E33D71" w:rsidP="007122AB">
      <w:pPr>
        <w:pStyle w:val="ae"/>
        <w:spacing w:before="0" w:after="0"/>
        <w:jc w:val="both"/>
        <w:rPr>
          <w:color w:val="000000" w:themeColor="text1"/>
          <w:sz w:val="16"/>
          <w:szCs w:val="16"/>
        </w:rPr>
      </w:pPr>
      <w:r w:rsidRPr="007122AB">
        <w:rPr>
          <w:rStyle w:val="af0"/>
          <w:i w:val="0"/>
          <w:color w:val="000000" w:themeColor="text1"/>
          <w:sz w:val="16"/>
          <w:szCs w:val="16"/>
        </w:rPr>
        <w:t xml:space="preserve">РГАЭ. Ф. 38. </w:t>
      </w:r>
      <w:proofErr w:type="spellStart"/>
      <w:r w:rsidRPr="007122AB">
        <w:rPr>
          <w:rStyle w:val="af0"/>
          <w:i w:val="0"/>
          <w:color w:val="000000" w:themeColor="text1"/>
          <w:sz w:val="16"/>
          <w:szCs w:val="16"/>
        </w:rPr>
        <w:t>Oп</w:t>
      </w:r>
      <w:proofErr w:type="spellEnd"/>
      <w:r w:rsidRPr="007122AB">
        <w:rPr>
          <w:rStyle w:val="af0"/>
          <w:i w:val="0"/>
          <w:color w:val="000000" w:themeColor="text1"/>
          <w:sz w:val="16"/>
          <w:szCs w:val="16"/>
        </w:rPr>
        <w:t>. 1. Д. 2. Л. 131. Машинописная копия того времени. Число в дате вписано от руки. В левом верхнем углу написано «26/ХII» (от руки) (19091).</w:t>
      </w:r>
    </w:p>
    <w:p w14:paraId="0B7C05B3" w14:textId="77777777" w:rsidR="00E33D71" w:rsidRPr="007122AB" w:rsidRDefault="00E33D71" w:rsidP="007122AB">
      <w:pPr>
        <w:spacing w:after="0" w:line="240" w:lineRule="auto"/>
        <w:jc w:val="both"/>
        <w:rPr>
          <w:rFonts w:ascii="Times New Roman" w:hAnsi="Times New Roman"/>
          <w:color w:val="000000" w:themeColor="text1"/>
          <w:sz w:val="16"/>
          <w:szCs w:val="16"/>
        </w:rPr>
      </w:pPr>
    </w:p>
    <w:p w14:paraId="2FF34DD7" w14:textId="77777777" w:rsidR="005E1AD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23FDF238" w14:textId="77777777" w:rsidR="005E1AD5" w:rsidRPr="007122AB" w:rsidRDefault="005E1AD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0422243" w14:textId="77777777" w:rsidR="005E1AD5" w:rsidRPr="007122AB" w:rsidRDefault="005E1AD5" w:rsidP="007122AB">
      <w:pPr>
        <w:spacing w:after="0" w:line="240" w:lineRule="auto"/>
        <w:jc w:val="both"/>
        <w:rPr>
          <w:rFonts w:ascii="Times New Roman" w:hAnsi="Times New Roman"/>
          <w:color w:val="000000" w:themeColor="text1"/>
          <w:sz w:val="16"/>
          <w:szCs w:val="16"/>
          <w:u w:color="002060"/>
        </w:rPr>
      </w:pPr>
      <w:r w:rsidRPr="007122AB">
        <w:rPr>
          <w:rFonts w:ascii="Times New Roman" w:hAnsi="Times New Roman"/>
          <w:color w:val="000000" w:themeColor="text1"/>
          <w:sz w:val="16"/>
          <w:szCs w:val="16"/>
          <w:u w:color="002060"/>
        </w:rPr>
        <w:t>27 декабря</w:t>
      </w:r>
      <w:r w:rsidRPr="007122AB">
        <w:rPr>
          <w:rFonts w:ascii="Times New Roman" w:hAnsi="Times New Roman"/>
          <w:color w:val="000000" w:themeColor="text1"/>
          <w:sz w:val="16"/>
          <w:szCs w:val="16"/>
        </w:rPr>
        <w:t xml:space="preserve"> 1931 г</w:t>
      </w:r>
      <w:r w:rsidRPr="007122AB">
        <w:rPr>
          <w:rFonts w:ascii="Times New Roman" w:hAnsi="Times New Roman"/>
          <w:color w:val="000000" w:themeColor="text1"/>
          <w:sz w:val="16"/>
          <w:szCs w:val="16"/>
          <w:u w:color="002060"/>
        </w:rPr>
        <w:t>. Постановление СНК СССР о разукрупнении ВАО (РГАЭ. Ф. 3429. Оп. 1. Д. 5265. Л. 246) (12415).</w:t>
      </w:r>
    </w:p>
    <w:p w14:paraId="64294EF6" w14:textId="77777777" w:rsidR="005E1AD5" w:rsidRPr="007122AB" w:rsidRDefault="005E1AD5" w:rsidP="007122AB">
      <w:pPr>
        <w:spacing w:after="0" w:line="240" w:lineRule="auto"/>
        <w:jc w:val="both"/>
        <w:rPr>
          <w:rFonts w:ascii="Times New Roman" w:hAnsi="Times New Roman"/>
          <w:color w:val="000000" w:themeColor="text1"/>
          <w:sz w:val="16"/>
          <w:szCs w:val="16"/>
          <w:u w:color="002060"/>
        </w:rPr>
      </w:pPr>
    </w:p>
    <w:p w14:paraId="1FC71F6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50CFC8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E3F8F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декабря 1931 вышло постановление СТО, а 28 декабря 1931 вышел приказ ВСНХ о реорганизации ВАО в ГУАП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 с подчинением ему вновь созданных трестов:</w:t>
      </w:r>
    </w:p>
    <w:p w14:paraId="77810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Самолетостроительного</w:t>
      </w:r>
    </w:p>
    <w:p w14:paraId="2BF2D8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Авиамоторостроительного</w:t>
      </w:r>
    </w:p>
    <w:p w14:paraId="1E6D9D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Треста подсобных предприятий</w:t>
      </w:r>
    </w:p>
    <w:p w14:paraId="6E3F87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Треста ремонтно-запасного производства (1647,5).</w:t>
      </w:r>
    </w:p>
    <w:p w14:paraId="164595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928C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декабря 1931 ленинградский з-д № 7 (Арсенал, ЗИФ) получил заказ на 44 пушки АПК-4 со сроком сдачи 1 июля 1932. Ствол и поковки делал з-д Большевик, автоматику и самолетное оборудование - з-д № 39. К концу года смогли сделать и сдать только 4 (3996, 90).</w:t>
      </w:r>
    </w:p>
    <w:p w14:paraId="3F15E5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197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декабря 1931 г. ленинградскому заводу № 7 был выдан заказ на 44 пушки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постоянно вносил изменения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 (12091).</w:t>
      </w:r>
    </w:p>
    <w:p w14:paraId="59081B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186560" w14:textId="77777777" w:rsidR="005E1AD5"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DF5D9B5" w14:textId="77777777" w:rsidR="005E1AD5" w:rsidRPr="007122AB" w:rsidRDefault="005E1AD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BADD9B0" w14:textId="77777777" w:rsidR="003F3047" w:rsidRPr="007122AB" w:rsidRDefault="003F3047"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28 декабря</w:t>
      </w:r>
      <w:r w:rsidRPr="007122AB">
        <w:rPr>
          <w:rFonts w:ascii="Times New Roman" w:hAnsi="Times New Roman"/>
          <w:color w:val="000000" w:themeColor="text1"/>
          <w:sz w:val="16"/>
          <w:szCs w:val="16"/>
        </w:rPr>
        <w:t xml:space="preserve"> в 1931 году образовано Главное управление авиационной промышленности (ГУАП) ВСНХ (14874).</w:t>
      </w:r>
    </w:p>
    <w:p w14:paraId="2784DBD4" w14:textId="77777777" w:rsidR="003F3047" w:rsidRPr="007122AB" w:rsidRDefault="003F3047" w:rsidP="007122AB">
      <w:pPr>
        <w:spacing w:after="0" w:line="240" w:lineRule="auto"/>
        <w:jc w:val="both"/>
        <w:rPr>
          <w:rFonts w:ascii="Times New Roman" w:hAnsi="Times New Roman"/>
          <w:color w:val="000000" w:themeColor="text1"/>
          <w:sz w:val="16"/>
          <w:szCs w:val="16"/>
        </w:rPr>
      </w:pPr>
    </w:p>
    <w:p w14:paraId="2EF211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декабря 1931 г.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7122AB">
        <w:rPr>
          <w:rFonts w:ascii="Times New Roman" w:hAnsi="Times New Roman"/>
          <w:color w:val="000000" w:themeColor="text1"/>
          <w:sz w:val="16"/>
          <w:szCs w:val="16"/>
          <w:lang w:val="en-US"/>
        </w:rPr>
        <w:t>MB</w:t>
      </w:r>
      <w:r w:rsidRPr="007122AB">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xml:space="preserve">,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был выдан заказ на изготовление 44 76,2-мм </w:t>
      </w:r>
      <w:proofErr w:type="spellStart"/>
      <w:r w:rsidRPr="007122AB">
        <w:rPr>
          <w:rFonts w:ascii="Times New Roman" w:hAnsi="Times New Roman"/>
          <w:color w:val="000000" w:themeColor="text1"/>
          <w:sz w:val="16"/>
          <w:szCs w:val="16"/>
        </w:rPr>
        <w:t>динамореактивных</w:t>
      </w:r>
      <w:proofErr w:type="spellEnd"/>
      <w:r w:rsidRPr="007122AB">
        <w:rPr>
          <w:rFonts w:ascii="Times New Roman" w:hAnsi="Times New Roman"/>
          <w:color w:val="000000" w:themeColor="text1"/>
          <w:sz w:val="16"/>
          <w:szCs w:val="16"/>
        </w:rPr>
        <w:t xml:space="preserve"> пушек (ДРП) АПК-4 («342») Л.В.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со сроком сдачи 1.07.1931 г. (изготовлены в 1933г.). На 1934г. заводу заказано 100 АПК-4бис, сделано 28. от </w:t>
      </w:r>
    </w:p>
    <w:p w14:paraId="17A5C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A1F39B"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декабря 1931 г. ленинградскому заводу № 7 был выдан заказ на 44 пушки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w:t>
      </w:r>
    </w:p>
    <w:p w14:paraId="360B5D3F" w14:textId="77777777" w:rsidR="0075269A" w:rsidRPr="007122AB" w:rsidRDefault="0075269A" w:rsidP="007122AB">
      <w:pPr>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постоянно вносил изменения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w:t>
      </w:r>
    </w:p>
    <w:p w14:paraId="6D050EDA"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Автоматика АПК-4 работала из рук вон плохо. Поэтому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переделал ее, а пушка получила название АПК4бис. Первый экземпляр АПК-4 был закончен в июне 1932 г. В 1933 г. 40 пушек АПК-4 были переделаны в ОКБ-1 на АПК-4бис.</w:t>
      </w:r>
    </w:p>
    <w:p w14:paraId="7617C0A5"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1934 г. заводу № 7 было заказано 100 пушек АПК4бис. Трубы и сопла по-прежнему делал завод «Большевик». К концу года было собрано 28 систем и создан задел на 75 систем. Но ни одна из собранных пушек заводские испытания не выдержала.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вновь изменил чертежи. Новый вариант получил название АПК-4М. 28 собранных систем были отправлены на завод № 38 на переделку.</w:t>
      </w:r>
    </w:p>
    <w:p w14:paraId="08467919"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Параллельно с заводом № 7 к производству АПК-4 Орджоникидзе и </w:t>
      </w:r>
      <w:proofErr w:type="spellStart"/>
      <w:r w:rsidRPr="007122AB">
        <w:rPr>
          <w:rFonts w:ascii="Times New Roman" w:hAnsi="Times New Roman"/>
          <w:color w:val="000000" w:themeColor="text1"/>
          <w:sz w:val="16"/>
          <w:szCs w:val="16"/>
        </w:rPr>
        <w:t>Павлуновский</w:t>
      </w:r>
      <w:proofErr w:type="spellEnd"/>
      <w:r w:rsidRPr="007122AB">
        <w:rPr>
          <w:rFonts w:ascii="Times New Roman" w:hAnsi="Times New Roman"/>
          <w:color w:val="000000" w:themeColor="text1"/>
          <w:sz w:val="16"/>
          <w:szCs w:val="16"/>
        </w:rPr>
        <w:t xml:space="preserve"> решили привлечь и горьковский завод № 92. Однако руководство завода без энтузиазма отнеслось к работам над ДРП и предпочитало им заказы по дивизионным пушкам. На 1932 г. заводу № 92 заказали 16 АПК-4, но до конца года он не сдал ни одной. На следующий год заводу заказали еще 50 штук АПК-4. Но руководство завода добилось снятия заказа и так и не сдало ни одной пушки. В 1934 г. начальство заставило завод № 92 делать хотя бы заготовки труб для АПК-4. В 1935 г. он должен был изготовить 350 труб для завода № 8, но тут горьковчане постарались и изготовили 370 труб.</w:t>
      </w:r>
    </w:p>
    <w:p w14:paraId="12A07100"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301BDA54" w14:textId="77777777" w:rsidR="0075269A" w:rsidRPr="007122AB" w:rsidRDefault="0075269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(12705).</w:t>
      </w:r>
    </w:p>
    <w:p w14:paraId="37938D60" w14:textId="77777777" w:rsidR="0075269A" w:rsidRPr="007122AB" w:rsidRDefault="0075269A" w:rsidP="007122AB">
      <w:pPr>
        <w:spacing w:after="0" w:line="240" w:lineRule="auto"/>
        <w:jc w:val="both"/>
        <w:rPr>
          <w:rFonts w:ascii="Times New Roman" w:hAnsi="Times New Roman"/>
          <w:color w:val="000000" w:themeColor="text1"/>
          <w:sz w:val="16"/>
          <w:szCs w:val="16"/>
        </w:rPr>
      </w:pPr>
    </w:p>
    <w:p w14:paraId="32A372F1" w14:textId="77777777" w:rsidR="0075269A" w:rsidRPr="007122AB" w:rsidRDefault="0075269A"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декабря 1931 было подготовлено письмо Начальнику штаба Лен округа:</w:t>
      </w:r>
    </w:p>
    <w:p w14:paraId="437D63F0" w14:textId="77777777" w:rsidR="0075269A" w:rsidRPr="007122AB" w:rsidRDefault="0075269A"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состоянии дел с 76-мм САУ</w:t>
      </w:r>
    </w:p>
    <w:p w14:paraId="3C6FC69A" w14:textId="77777777" w:rsidR="0075269A" w:rsidRPr="007122AB" w:rsidRDefault="0075269A"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САУ полковой пушки обр. 1927 г. на шасси </w:t>
      </w:r>
      <w:proofErr w:type="spellStart"/>
      <w:r w:rsidRPr="007122AB">
        <w:rPr>
          <w:rFonts w:ascii="Times New Roman" w:hAnsi="Times New Roman"/>
          <w:color w:val="000000" w:themeColor="text1"/>
          <w:sz w:val="16"/>
          <w:szCs w:val="16"/>
        </w:rPr>
        <w:t>мореланд</w:t>
      </w:r>
      <w:proofErr w:type="spellEnd"/>
      <w:r w:rsidRPr="007122AB">
        <w:rPr>
          <w:rFonts w:ascii="Times New Roman" w:hAnsi="Times New Roman"/>
          <w:color w:val="000000" w:themeColor="text1"/>
          <w:sz w:val="16"/>
          <w:szCs w:val="16"/>
        </w:rPr>
        <w:t>, переданные для испытаний 11 стрелковой дивизии, требу</w:t>
      </w:r>
      <w:r w:rsidRPr="007122AB">
        <w:rPr>
          <w:rFonts w:ascii="Times New Roman" w:hAnsi="Times New Roman"/>
          <w:color w:val="000000" w:themeColor="text1"/>
          <w:sz w:val="16"/>
          <w:szCs w:val="16"/>
        </w:rPr>
        <w:softHyphen/>
        <w:t xml:space="preserve">ют серьезных конструктивных доработок и испытания стрельбой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w:t>
      </w:r>
    </w:p>
    <w:p w14:paraId="2722E8AD" w14:textId="77777777" w:rsidR="0075269A" w:rsidRPr="007122AB" w:rsidRDefault="0075269A"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исп. Подпись (11417).</w:t>
      </w:r>
    </w:p>
    <w:p w14:paraId="0144E974" w14:textId="77777777" w:rsidR="0075269A" w:rsidRPr="007122AB" w:rsidRDefault="0075269A"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CA7E2"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Style w:val="a7"/>
          <w:rFonts w:ascii="Times New Roman" w:hAnsi="Times New Roman"/>
          <w:b w:val="0"/>
          <w:color w:val="000000" w:themeColor="text1"/>
          <w:sz w:val="16"/>
          <w:szCs w:val="16"/>
        </w:rPr>
        <w:t xml:space="preserve">28 декабря 1931 </w:t>
      </w:r>
      <w:r w:rsidRPr="007122AB">
        <w:rPr>
          <w:rFonts w:ascii="Times New Roman" w:hAnsi="Times New Roman"/>
          <w:color w:val="000000" w:themeColor="text1"/>
          <w:sz w:val="16"/>
          <w:szCs w:val="16"/>
        </w:rPr>
        <w:t xml:space="preserve">2-я сессия ЦИК 6-го созыва приняла постановления: «О едином государственном бюджете СССР </w:t>
      </w:r>
      <w:proofErr w:type="spellStart"/>
      <w:r w:rsidRPr="007122AB">
        <w:rPr>
          <w:rFonts w:ascii="Times New Roman" w:hAnsi="Times New Roman"/>
          <w:color w:val="000000" w:themeColor="text1"/>
          <w:sz w:val="16"/>
          <w:szCs w:val="16"/>
        </w:rPr>
        <w:t>иа</w:t>
      </w:r>
      <w:proofErr w:type="spellEnd"/>
      <w:r w:rsidRPr="007122AB">
        <w:rPr>
          <w:rFonts w:ascii="Times New Roman" w:hAnsi="Times New Roman"/>
          <w:color w:val="000000" w:themeColor="text1"/>
          <w:sz w:val="16"/>
          <w:szCs w:val="16"/>
        </w:rPr>
        <w:t xml:space="preserve"> 1932 г.», «По отчету об исполнении государственного бюджета СССР за 1929/30 г.» (12265).</w:t>
      </w:r>
    </w:p>
    <w:p w14:paraId="1F817168"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w:t>
      </w:r>
    </w:p>
    <w:p w14:paraId="43E85BB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413CA3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413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 декабря 1931 вышло Секретное постановление СНК СССР "О хозяйственном устройстве спецпереселенцев в Нарымском крае" (10687).</w:t>
      </w:r>
    </w:p>
    <w:p w14:paraId="4E4359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D4B285"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r w:rsidRPr="007122AB">
        <w:rPr>
          <w:rFonts w:ascii="Times New Roman" w:hAnsi="Times New Roman"/>
          <w:i/>
          <w:iCs/>
          <w:color w:val="000000" w:themeColor="text1"/>
          <w:sz w:val="16"/>
          <w:szCs w:val="16"/>
        </w:rPr>
        <w:t>За</w:t>
      </w:r>
      <w:r w:rsidRPr="007122AB">
        <w:rPr>
          <w:rFonts w:ascii="Times New Roman" w:hAnsi="Times New Roman"/>
          <w:i/>
          <w:iCs/>
          <w:color w:val="000000" w:themeColor="text1"/>
          <w:sz w:val="16"/>
          <w:szCs w:val="16"/>
          <w:lang w:val="en-US"/>
        </w:rPr>
        <w:t xml:space="preserve"> </w:t>
      </w:r>
      <w:r w:rsidRPr="007122AB">
        <w:rPr>
          <w:rFonts w:ascii="Times New Roman" w:hAnsi="Times New Roman"/>
          <w:i/>
          <w:iCs/>
          <w:color w:val="000000" w:themeColor="text1"/>
          <w:sz w:val="16"/>
          <w:szCs w:val="16"/>
        </w:rPr>
        <w:t>рубежом</w:t>
      </w:r>
      <w:r w:rsidRPr="007122AB">
        <w:rPr>
          <w:rFonts w:ascii="Times New Roman" w:hAnsi="Times New Roman"/>
          <w:i/>
          <w:iCs/>
          <w:color w:val="000000" w:themeColor="text1"/>
          <w:sz w:val="16"/>
          <w:szCs w:val="16"/>
          <w:lang w:val="en-US"/>
        </w:rPr>
        <w:t>:</w:t>
      </w:r>
    </w:p>
    <w:p w14:paraId="62D15C4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4CDDF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r w:rsidRPr="007122AB">
        <w:rPr>
          <w:rFonts w:ascii="Times New Roman" w:hAnsi="Times New Roman"/>
          <w:color w:val="000000" w:themeColor="text1"/>
          <w:sz w:val="16"/>
          <w:szCs w:val="16"/>
          <w:lang w:val="en-US"/>
        </w:rPr>
        <w:t>December 28, 1931 - Irene Joliot-Curie reports studying penetrating particles produced by beryllium when bombarded by alpha rays. She believes the particles, which are actually neutrons, to be energetic gamma rays (1039).</w:t>
      </w:r>
    </w:p>
    <w:p w14:paraId="3915EE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lang w:val="en-US"/>
        </w:rPr>
      </w:pPr>
    </w:p>
    <w:p w14:paraId="19603B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28 декабря 1931 </w:t>
      </w:r>
      <w:proofErr w:type="spellStart"/>
      <w:r w:rsidRPr="007122AB">
        <w:rPr>
          <w:rFonts w:ascii="Times New Roman" w:hAnsi="Times New Roman"/>
          <w:color w:val="000000" w:themeColor="text1"/>
          <w:sz w:val="16"/>
          <w:szCs w:val="16"/>
        </w:rPr>
        <w:t>Irene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Joliot-Curie</w:t>
      </w:r>
      <w:proofErr w:type="spellEnd"/>
      <w:r w:rsidRPr="007122AB">
        <w:rPr>
          <w:rFonts w:ascii="Times New Roman" w:hAnsi="Times New Roman"/>
          <w:color w:val="000000" w:themeColor="text1"/>
          <w:sz w:val="16"/>
          <w:szCs w:val="16"/>
        </w:rPr>
        <w:t xml:space="preserve"> сообщила о том, что наблюдает нейтроны (1039).</w:t>
      </w:r>
    </w:p>
    <w:p w14:paraId="1BCAF1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3A3B35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4A24810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577A5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декабря 1931 г. при ознакомлении на месте в ЦАГИ с АНТ-9, переданным ВОГФ в ЦАГИ ВАО в мае 1931 для переоборудования в бомбардировщик, было установлено, что самолет не закончен и работы ведутся неудовлетворительно (3045,19).</w:t>
      </w:r>
    </w:p>
    <w:p w14:paraId="0A0732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плану ЦАГИ на 1932 год окончание работ по самолету и сдача его на испытания намечается в апреле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512D977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D186F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(28 - 237,163) декабря 1931 ВАО было преобразовано в ГУАП при ВСНХ (228,84), а с 10 января 1932 - при НКТП (7383, 6).</w:t>
      </w:r>
    </w:p>
    <w:p w14:paraId="0D7374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Количественное и качественное развитие авиационной индустрии непомерно усложняло задачи и расширяло функции ВАО, которое вскоре потеряло оперативность и слабо обеспечивало прогресс в авиастроении (275).</w:t>
      </w:r>
    </w:p>
    <w:p w14:paraId="214494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1931 появилось ГУАП ВСНХ (173,238).</w:t>
      </w:r>
    </w:p>
    <w:p w14:paraId="5EF02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Проанализировав сложившуюся обстановку, СТО в декабре 1931 преобразовал ВАО в Главное управление авиационной промышленностью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 с подчинением ему вновь созданных трестов: самолетостроительного, авиамоторостроительного, подсобных предприятий и ремонтно-запасного производства (600). Но эта мера была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(275).</w:t>
      </w:r>
    </w:p>
    <w:p w14:paraId="3DDDE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стал зам. председателя ВСНХ по АП (373,79).</w:t>
      </w:r>
    </w:p>
    <w:p w14:paraId="0619B2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D12C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декабря 1931 г. ВАО было преобразовано в Главное управление авиаци</w:t>
      </w:r>
      <w:r w:rsidRPr="007122AB">
        <w:rPr>
          <w:rFonts w:ascii="Times New Roman" w:hAnsi="Times New Roman"/>
          <w:color w:val="000000" w:themeColor="text1"/>
          <w:sz w:val="16"/>
          <w:szCs w:val="16"/>
        </w:rPr>
        <w:softHyphen/>
        <w:t>онной промышленности при ВСНХ СССР, с 10 января 1932 г. - при Народном комиссариате тяжелой промыш</w:t>
      </w:r>
      <w:r w:rsidRPr="007122AB">
        <w:rPr>
          <w:rFonts w:ascii="Times New Roman" w:hAnsi="Times New Roman"/>
          <w:color w:val="000000" w:themeColor="text1"/>
          <w:sz w:val="16"/>
          <w:szCs w:val="16"/>
        </w:rPr>
        <w:softHyphen/>
        <w:t>ленности, а позже, с декабря 1936 г., - в Первое главное (авиационное) управление Наркомата оборонной про</w:t>
      </w:r>
      <w:r w:rsidRPr="007122AB">
        <w:rPr>
          <w:rFonts w:ascii="Times New Roman" w:hAnsi="Times New Roman"/>
          <w:color w:val="000000" w:themeColor="text1"/>
          <w:sz w:val="16"/>
          <w:szCs w:val="16"/>
        </w:rPr>
        <w:softHyphen/>
        <w:t>мышленности (10667).</w:t>
      </w:r>
    </w:p>
    <w:p w14:paraId="4DB2E9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AE53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(28 - 237,163) декабря 1931 ВАО было преобразовано в ГУАП при ВСНХ (228,84), а с 10 января 1932 - при НКТП (7383, 6).</w:t>
      </w:r>
    </w:p>
    <w:p w14:paraId="31D649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Количественное и качественное развитие авиационной индустрии непомерно усложняло задачи и расширяло функции ВАО, которое вскоре потеряло оперативность и слабо обеспечивало прогресс в авиастроении (275).</w:t>
      </w:r>
    </w:p>
    <w:p w14:paraId="04D7E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1931 появилось ГУАП ВСНХ (173,238).</w:t>
      </w:r>
    </w:p>
    <w:p w14:paraId="692D57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Проанализировав сложившуюся обстановку, СТО в декабре 1931 преобразовал ВАО в Главное управление авиационной промышленностью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 с подчинением ему вновь созданных трестов: самолетостроительного, авиамоторостроительного, подсобных предприятий и ремонтно-запасного производства (600). Но эта мера была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(275).</w:t>
      </w:r>
    </w:p>
    <w:p w14:paraId="0B89D4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П.И.Баранов</w:t>
      </w:r>
      <w:proofErr w:type="spellEnd"/>
      <w:r w:rsidRPr="007122AB">
        <w:rPr>
          <w:rFonts w:ascii="Times New Roman" w:hAnsi="Times New Roman"/>
          <w:color w:val="000000" w:themeColor="text1"/>
          <w:sz w:val="16"/>
          <w:szCs w:val="16"/>
        </w:rPr>
        <w:t xml:space="preserve"> стал зам. председателя ВСНХ по АП (373,79).</w:t>
      </w:r>
    </w:p>
    <w:p w14:paraId="419AC9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22CF1A" w14:textId="77777777" w:rsidR="0078004B" w:rsidRPr="007122AB" w:rsidRDefault="007800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декабря 1931 г. ВАО ВСНХ преобразуется в </w:t>
      </w:r>
      <w:r w:rsidRPr="007122AB">
        <w:rPr>
          <w:rFonts w:ascii="Times New Roman" w:hAnsi="Times New Roman"/>
          <w:bCs/>
          <w:iCs/>
          <w:color w:val="000000" w:themeColor="text1"/>
          <w:sz w:val="16"/>
          <w:szCs w:val="16"/>
        </w:rPr>
        <w:t xml:space="preserve">Главное управление авиационной промышленности </w:t>
      </w:r>
      <w:r w:rsidRPr="007122AB">
        <w:rPr>
          <w:rFonts w:ascii="Times New Roman" w:hAnsi="Times New Roman"/>
          <w:color w:val="000000" w:themeColor="text1"/>
          <w:sz w:val="16"/>
          <w:szCs w:val="16"/>
        </w:rPr>
        <w:t>(</w:t>
      </w:r>
      <w:r w:rsidRPr="007122AB">
        <w:rPr>
          <w:rFonts w:ascii="Times New Roman" w:hAnsi="Times New Roman"/>
          <w:bCs/>
          <w:iCs/>
          <w:color w:val="000000" w:themeColor="text1"/>
          <w:sz w:val="16"/>
          <w:szCs w:val="16"/>
        </w:rPr>
        <w:t>ГУАП</w:t>
      </w:r>
      <w:r w:rsidRPr="007122AB">
        <w:rPr>
          <w:rFonts w:ascii="Times New Roman" w:hAnsi="Times New Roman"/>
          <w:color w:val="000000" w:themeColor="text1"/>
          <w:sz w:val="16"/>
          <w:szCs w:val="16"/>
        </w:rPr>
        <w:t xml:space="preserve">) </w:t>
      </w:r>
      <w:r w:rsidRPr="007122AB">
        <w:rPr>
          <w:rFonts w:ascii="Times New Roman" w:hAnsi="Times New Roman"/>
          <w:bCs/>
          <w:iCs/>
          <w:color w:val="000000" w:themeColor="text1"/>
          <w:sz w:val="16"/>
          <w:szCs w:val="16"/>
        </w:rPr>
        <w:t xml:space="preserve">при ВСНХ </w:t>
      </w:r>
      <w:r w:rsidRPr="007122AB">
        <w:rPr>
          <w:rFonts w:ascii="Times New Roman" w:hAnsi="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7122AB">
        <w:rPr>
          <w:rFonts w:ascii="Times New Roman" w:hAnsi="Times New Roman"/>
          <w:bCs/>
          <w:iCs/>
          <w:color w:val="000000" w:themeColor="text1"/>
          <w:sz w:val="16"/>
          <w:szCs w:val="16"/>
        </w:rPr>
        <w:t>при НКТП</w:t>
      </w:r>
      <w:r w:rsidRPr="007122AB">
        <w:rPr>
          <w:rFonts w:ascii="Times New Roman" w:hAnsi="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47009A9" w14:textId="77777777" w:rsidR="0078004B" w:rsidRPr="007122AB" w:rsidRDefault="007800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92F83D7" w14:textId="432D555B" w:rsidR="0078004B" w:rsidRPr="007122AB" w:rsidRDefault="0078004B" w:rsidP="007122AB">
      <w:pPr>
        <w:spacing w:after="0" w:line="240" w:lineRule="auto"/>
        <w:jc w:val="both"/>
        <w:rPr>
          <w:rFonts w:ascii="Times New Roman" w:hAnsi="Times New Roman"/>
          <w:bCs/>
          <w:color w:val="000000" w:themeColor="text1"/>
          <w:sz w:val="16"/>
          <w:szCs w:val="16"/>
        </w:rPr>
      </w:pPr>
    </w:p>
    <w:p w14:paraId="1548C50F" w14:textId="77777777" w:rsidR="00AA2A29" w:rsidRPr="00441F34" w:rsidRDefault="00AA2A29" w:rsidP="00AA2A2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декабря 1931 г. ВАО было преобразовано в Главное управле</w:t>
      </w:r>
      <w:r w:rsidRPr="00441F34">
        <w:rPr>
          <w:rFonts w:ascii="Times New Roman" w:hAnsi="Times New Roman"/>
          <w:color w:val="0070C0"/>
          <w:sz w:val="16"/>
          <w:szCs w:val="16"/>
        </w:rPr>
        <w:softHyphen/>
        <w:t>ние авиационной промышленности при ВСНХ СССР, с 10 января 1932 г. - при Народном комиссариате тя</w:t>
      </w:r>
      <w:r w:rsidRPr="00441F34">
        <w:rPr>
          <w:rFonts w:ascii="Times New Roman" w:hAnsi="Times New Roman"/>
          <w:color w:val="0070C0"/>
          <w:sz w:val="16"/>
          <w:szCs w:val="16"/>
        </w:rPr>
        <w:softHyphen/>
        <w:t>желой промышленности, а позже, с декабря 1936 г., - в Первое главное (авиационное) управление Нарко</w:t>
      </w:r>
      <w:r w:rsidRPr="00441F34">
        <w:rPr>
          <w:rFonts w:ascii="Times New Roman" w:hAnsi="Times New Roman"/>
          <w:color w:val="0070C0"/>
          <w:sz w:val="16"/>
          <w:szCs w:val="16"/>
        </w:rPr>
        <w:softHyphen/>
        <w:t>мата оборонной промышленности (23406).</w:t>
      </w:r>
    </w:p>
    <w:p w14:paraId="23BC96A9" w14:textId="77777777" w:rsidR="00AA2A29" w:rsidRPr="00441F34" w:rsidRDefault="00AA2A29" w:rsidP="00AA2A29">
      <w:pPr>
        <w:spacing w:after="0" w:line="240" w:lineRule="auto"/>
        <w:jc w:val="both"/>
        <w:rPr>
          <w:rFonts w:ascii="Times New Roman" w:hAnsi="Times New Roman"/>
          <w:color w:val="0070C0"/>
          <w:sz w:val="16"/>
          <w:szCs w:val="16"/>
        </w:rPr>
      </w:pPr>
    </w:p>
    <w:p w14:paraId="3D306BFC" w14:textId="6258B1F9" w:rsidR="00901F99" w:rsidRPr="007122AB" w:rsidRDefault="00901F99" w:rsidP="007122AB">
      <w:pPr>
        <w:spacing w:after="0" w:line="240" w:lineRule="auto"/>
        <w:jc w:val="both"/>
        <w:rPr>
          <w:rFonts w:ascii="Times New Roman" w:hAnsi="Times New Roman"/>
          <w:bCs/>
          <w:i/>
          <w:iCs/>
          <w:color w:val="000000" w:themeColor="text1"/>
          <w:sz w:val="16"/>
          <w:szCs w:val="16"/>
        </w:rPr>
      </w:pPr>
      <w:r w:rsidRPr="007122AB">
        <w:rPr>
          <w:rFonts w:ascii="Times New Roman" w:hAnsi="Times New Roman"/>
          <w:bCs/>
          <w:i/>
          <w:iCs/>
          <w:color w:val="000000" w:themeColor="text1"/>
          <w:sz w:val="16"/>
          <w:szCs w:val="16"/>
        </w:rPr>
        <w:t>За рубежом:</w:t>
      </w:r>
    </w:p>
    <w:p w14:paraId="2876AAD8" w14:textId="77777777" w:rsidR="00901F99" w:rsidRPr="007122AB" w:rsidRDefault="00901F99" w:rsidP="007122AB">
      <w:pPr>
        <w:spacing w:after="0" w:line="240" w:lineRule="auto"/>
        <w:jc w:val="both"/>
        <w:rPr>
          <w:rFonts w:ascii="Times New Roman" w:hAnsi="Times New Roman"/>
          <w:bCs/>
          <w:i/>
          <w:iCs/>
          <w:color w:val="000000" w:themeColor="text1"/>
          <w:sz w:val="16"/>
          <w:szCs w:val="16"/>
        </w:rPr>
      </w:pPr>
    </w:p>
    <w:p w14:paraId="19DFE012"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декабря 1931 во время взлета французские авиаторы Луи Майю и Жан </w:t>
      </w:r>
      <w:proofErr w:type="spellStart"/>
      <w:r w:rsidRPr="007122AB">
        <w:rPr>
          <w:rFonts w:ascii="Times New Roman" w:hAnsi="Times New Roman"/>
          <w:color w:val="000000" w:themeColor="text1"/>
          <w:sz w:val="16"/>
          <w:szCs w:val="16"/>
        </w:rPr>
        <w:t>Мармоз</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Bernard</w:t>
      </w:r>
      <w:proofErr w:type="spellEnd"/>
      <w:r w:rsidRPr="007122AB">
        <w:rPr>
          <w:rFonts w:ascii="Times New Roman" w:hAnsi="Times New Roman"/>
          <w:color w:val="000000" w:themeColor="text1"/>
          <w:sz w:val="16"/>
          <w:szCs w:val="16"/>
        </w:rPr>
        <w:t xml:space="preserve"> 81 GR </w:t>
      </w:r>
      <w:proofErr w:type="spellStart"/>
      <w:r w:rsidRPr="007122AB">
        <w:rPr>
          <w:rFonts w:ascii="Times New Roman" w:hAnsi="Times New Roman"/>
          <w:color w:val="000000" w:themeColor="text1"/>
          <w:sz w:val="16"/>
          <w:szCs w:val="16"/>
        </w:rPr>
        <w:t>Antoine</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Paillard</w:t>
      </w:r>
      <w:proofErr w:type="spellEnd"/>
      <w:r w:rsidRPr="007122AB">
        <w:rPr>
          <w:rFonts w:ascii="Times New Roman" w:hAnsi="Times New Roman"/>
          <w:color w:val="000000" w:themeColor="text1"/>
          <w:sz w:val="16"/>
          <w:szCs w:val="16"/>
        </w:rPr>
        <w:t xml:space="preserve"> в попытке установить новый рекорд дальности беспосадочного полета по замкнутому маршрута без дозаправки, пропеллер самолета задевает землю, и его шасси разрушается. Двое мужчин избежали аварии, получив лишь несколько синяков, и самолет в конце концов отремонтировали (20804).</w:t>
      </w:r>
    </w:p>
    <w:p w14:paraId="3CA3CBA3" w14:textId="77777777" w:rsidR="00901F99" w:rsidRPr="007122AB" w:rsidRDefault="00901F99" w:rsidP="007122AB">
      <w:pPr>
        <w:spacing w:after="0" w:line="240" w:lineRule="auto"/>
        <w:jc w:val="both"/>
        <w:rPr>
          <w:rFonts w:ascii="Times New Roman" w:hAnsi="Times New Roman"/>
          <w:color w:val="000000" w:themeColor="text1"/>
          <w:sz w:val="16"/>
          <w:szCs w:val="16"/>
        </w:rPr>
      </w:pPr>
    </w:p>
    <w:p w14:paraId="72C7EF6C" w14:textId="77777777" w:rsidR="00901F99" w:rsidRPr="007122AB" w:rsidRDefault="00901F99" w:rsidP="007122AB">
      <w:pPr>
        <w:spacing w:after="0" w:line="240" w:lineRule="auto"/>
        <w:jc w:val="both"/>
        <w:rPr>
          <w:rFonts w:ascii="Times New Roman" w:hAnsi="Times New Roman"/>
          <w:color w:val="000000" w:themeColor="text1"/>
          <w:sz w:val="16"/>
          <w:szCs w:val="16"/>
        </w:rPr>
      </w:pPr>
      <w:bookmarkStart w:id="45" w:name="_Hlk64398040"/>
      <w:r w:rsidRPr="007122AB">
        <w:rPr>
          <w:rFonts w:ascii="Times New Roman" w:hAnsi="Times New Roman"/>
          <w:color w:val="000000" w:themeColor="text1"/>
          <w:sz w:val="16"/>
          <w:szCs w:val="16"/>
        </w:rPr>
        <w:t xml:space="preserve">29 декабря 1931 состоялся первый полет Grumman XFF-1, прототипа Grumman FF (20804). </w:t>
      </w:r>
    </w:p>
    <w:p w14:paraId="7B38FFD0" w14:textId="77777777" w:rsidR="00901F99" w:rsidRPr="007122AB" w:rsidRDefault="00901F99" w:rsidP="007122AB">
      <w:pPr>
        <w:spacing w:after="0" w:line="240" w:lineRule="auto"/>
        <w:jc w:val="both"/>
        <w:rPr>
          <w:rFonts w:ascii="Times New Roman" w:hAnsi="Times New Roman"/>
          <w:color w:val="000000" w:themeColor="text1"/>
          <w:sz w:val="16"/>
          <w:szCs w:val="16"/>
        </w:rPr>
      </w:pPr>
    </w:p>
    <w:p w14:paraId="54BAB8E3"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декабря 1931 состоялся первый полет </w:t>
      </w:r>
      <w:proofErr w:type="spellStart"/>
      <w:r w:rsidRPr="007122AB">
        <w:rPr>
          <w:rFonts w:ascii="Times New Roman" w:hAnsi="Times New Roman"/>
          <w:color w:val="000000" w:themeColor="text1"/>
          <w:sz w:val="16"/>
          <w:szCs w:val="16"/>
        </w:rPr>
        <w:t>Hawker</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Audax</w:t>
      </w:r>
      <w:proofErr w:type="spellEnd"/>
      <w:r w:rsidRPr="007122AB">
        <w:rPr>
          <w:rFonts w:ascii="Times New Roman" w:hAnsi="Times New Roman"/>
          <w:color w:val="000000" w:themeColor="text1"/>
          <w:sz w:val="16"/>
          <w:szCs w:val="16"/>
        </w:rPr>
        <w:t xml:space="preserve"> (20804).</w:t>
      </w:r>
    </w:p>
    <w:p w14:paraId="1A53ACB7" w14:textId="77777777" w:rsidR="00901F99" w:rsidRPr="007122AB" w:rsidRDefault="00901F99" w:rsidP="007122AB">
      <w:pPr>
        <w:spacing w:after="0" w:line="240" w:lineRule="auto"/>
        <w:jc w:val="both"/>
        <w:rPr>
          <w:rFonts w:ascii="Times New Roman" w:hAnsi="Times New Roman"/>
          <w:color w:val="000000" w:themeColor="text1"/>
          <w:sz w:val="16"/>
          <w:szCs w:val="16"/>
        </w:rPr>
      </w:pPr>
    </w:p>
    <w:p w14:paraId="1715B090"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29 декабря 1931 - Первый полет американского многоцелевого палубного истребителя XFF-1 </w:t>
      </w:r>
      <w:proofErr w:type="spellStart"/>
      <w:r w:rsidRPr="007122AB">
        <w:rPr>
          <w:rFonts w:ascii="Times New Roman" w:hAnsi="Times New Roman"/>
          <w:color w:val="000000" w:themeColor="text1"/>
          <w:sz w:val="16"/>
          <w:szCs w:val="16"/>
        </w:rPr>
        <w:t>Goblin</w:t>
      </w:r>
      <w:proofErr w:type="spellEnd"/>
      <w:r w:rsidRPr="007122AB">
        <w:rPr>
          <w:rFonts w:ascii="Times New Roman" w:hAnsi="Times New Roman"/>
          <w:color w:val="000000" w:themeColor="text1"/>
          <w:sz w:val="16"/>
          <w:szCs w:val="16"/>
        </w:rPr>
        <w:t xml:space="preserve"> фирмы Grumman Aircraft Engineering Corporation. Самолет перспективной конструкции полностью оправдал ожидания своих создателей. Его максимальная скорость составила 313,8 км/ч - на 11.3 км/ч больше, чем у основного палубного истребителя Boeing F4B-2. В ходе испытаний летчики высказали несколько незначительных замечаний. В соответствии с ними конструкторы уменьшили количество переплетов в остеклении фонаря кабины, усилили стойки основного шасси и уменьшили количество прорезей для охлаждения на капотах, закрывающих носовую часть истребителя (22688).</w:t>
      </w:r>
    </w:p>
    <w:p w14:paraId="3623541D" w14:textId="77777777" w:rsidR="00901F99" w:rsidRPr="007122AB" w:rsidRDefault="00901F99" w:rsidP="007122AB">
      <w:pPr>
        <w:spacing w:after="0" w:line="240" w:lineRule="auto"/>
        <w:jc w:val="both"/>
        <w:rPr>
          <w:rFonts w:ascii="Times New Roman" w:hAnsi="Times New Roman"/>
          <w:color w:val="000000" w:themeColor="text1"/>
          <w:sz w:val="16"/>
          <w:szCs w:val="16"/>
        </w:rPr>
      </w:pPr>
    </w:p>
    <w:p w14:paraId="045EA12C"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 декабря 1931 года — первый полёт палубного истребителя Grumman FF "</w:t>
      </w:r>
      <w:proofErr w:type="spellStart"/>
      <w:r w:rsidRPr="007122AB">
        <w:rPr>
          <w:rFonts w:ascii="Times New Roman" w:hAnsi="Times New Roman"/>
          <w:color w:val="000000" w:themeColor="text1"/>
          <w:sz w:val="16"/>
          <w:szCs w:val="16"/>
        </w:rPr>
        <w:t>Fifi</w:t>
      </w:r>
      <w:proofErr w:type="spellEnd"/>
      <w:r w:rsidRPr="007122AB">
        <w:rPr>
          <w:rFonts w:ascii="Times New Roman" w:hAnsi="Times New Roman"/>
          <w:color w:val="000000" w:themeColor="text1"/>
          <w:sz w:val="16"/>
          <w:szCs w:val="16"/>
        </w:rPr>
        <w:t>". /США/</w:t>
      </w:r>
    </w:p>
    <w:p w14:paraId="3D59D726"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 году ВМФ США обратилось к Grumman Aircraft с предложением адаптировать убирающееся шасси, разработанное компанией, для палубных истребителей Boeing F4B-1. В ответ на это Grumman предложила свой собственный проект истребителя — FF (внутри компании обозначался как G-5).</w:t>
      </w:r>
    </w:p>
    <w:p w14:paraId="3A9F8F31"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FF представлял собой цельнометаллический биплан (крылья были покрыты полотном) с убирающимся шасси и закрытой кабиной. Самолёт оснащался двигателем </w:t>
      </w:r>
      <w:proofErr w:type="spellStart"/>
      <w:r w:rsidRPr="007122AB">
        <w:rPr>
          <w:rFonts w:ascii="Times New Roman" w:hAnsi="Times New Roman"/>
          <w:color w:val="000000" w:themeColor="text1"/>
          <w:sz w:val="16"/>
          <w:szCs w:val="16"/>
        </w:rPr>
        <w:t>Wright</w:t>
      </w:r>
      <w:proofErr w:type="spellEnd"/>
      <w:r w:rsidRPr="007122AB">
        <w:rPr>
          <w:rFonts w:ascii="Times New Roman" w:hAnsi="Times New Roman"/>
          <w:color w:val="000000" w:themeColor="text1"/>
          <w:sz w:val="16"/>
          <w:szCs w:val="16"/>
        </w:rPr>
        <w:t xml:space="preserve"> R-1820-78 </w:t>
      </w:r>
      <w:proofErr w:type="spellStart"/>
      <w:r w:rsidRPr="007122AB">
        <w:rPr>
          <w:rFonts w:ascii="Times New Roman" w:hAnsi="Times New Roman"/>
          <w:color w:val="000000" w:themeColor="text1"/>
          <w:sz w:val="16"/>
          <w:szCs w:val="16"/>
        </w:rPr>
        <w:t>Cyclone</w:t>
      </w:r>
      <w:proofErr w:type="spellEnd"/>
      <w:r w:rsidRPr="007122AB">
        <w:rPr>
          <w:rFonts w:ascii="Times New Roman" w:hAnsi="Times New Roman"/>
          <w:color w:val="000000" w:themeColor="text1"/>
          <w:sz w:val="16"/>
          <w:szCs w:val="16"/>
        </w:rPr>
        <w:t xml:space="preserve"> и мог развивать скорость до 333 км/ч. Дальность полёта — 1100 км. Вооружение — 3 × 7,62-мм пулемёта </w:t>
      </w:r>
      <w:proofErr w:type="spellStart"/>
      <w:r w:rsidRPr="007122AB">
        <w:rPr>
          <w:rFonts w:ascii="Times New Roman" w:hAnsi="Times New Roman"/>
          <w:color w:val="000000" w:themeColor="text1"/>
          <w:sz w:val="16"/>
          <w:szCs w:val="16"/>
        </w:rPr>
        <w:t>Browning</w:t>
      </w:r>
      <w:proofErr w:type="spellEnd"/>
      <w:r w:rsidRPr="007122AB">
        <w:rPr>
          <w:rFonts w:ascii="Times New Roman" w:hAnsi="Times New Roman"/>
          <w:color w:val="000000" w:themeColor="text1"/>
          <w:sz w:val="16"/>
          <w:szCs w:val="16"/>
        </w:rPr>
        <w:t xml:space="preserve"> M1919 или 2 × 7,62-мм пулемёта M1919 + 1 × 12,7-мм пулемёт </w:t>
      </w:r>
      <w:proofErr w:type="spellStart"/>
      <w:r w:rsidRPr="007122AB">
        <w:rPr>
          <w:rFonts w:ascii="Times New Roman" w:hAnsi="Times New Roman"/>
          <w:color w:val="000000" w:themeColor="text1"/>
          <w:sz w:val="16"/>
          <w:szCs w:val="16"/>
        </w:rPr>
        <w:t>Browning</w:t>
      </w:r>
      <w:proofErr w:type="spellEnd"/>
      <w:r w:rsidRPr="007122AB">
        <w:rPr>
          <w:rFonts w:ascii="Times New Roman" w:hAnsi="Times New Roman"/>
          <w:color w:val="000000" w:themeColor="text1"/>
          <w:sz w:val="16"/>
          <w:szCs w:val="16"/>
        </w:rPr>
        <w:t xml:space="preserve"> M2. Мог нести 2 × 45-кг бомбы.</w:t>
      </w:r>
    </w:p>
    <w:p w14:paraId="16452218" w14:textId="77777777" w:rsidR="00901F99" w:rsidRPr="007122AB" w:rsidRDefault="00901F9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Выпустили 116 самолётов Grumman FF. Кроме ВМФ США, стояли на вооружении Королевских ВВС Канады и ВВС Испании (изначально — ВВС Испанской республики). Сохранившийся экземпляр FF "</w:t>
      </w:r>
      <w:proofErr w:type="spellStart"/>
      <w:r w:rsidRPr="007122AB">
        <w:rPr>
          <w:rFonts w:ascii="Times New Roman" w:hAnsi="Times New Roman"/>
          <w:color w:val="000000" w:themeColor="text1"/>
          <w:sz w:val="16"/>
          <w:szCs w:val="16"/>
        </w:rPr>
        <w:t>Fifi</w:t>
      </w:r>
      <w:proofErr w:type="spellEnd"/>
      <w:r w:rsidRPr="007122AB">
        <w:rPr>
          <w:rFonts w:ascii="Times New Roman" w:hAnsi="Times New Roman"/>
          <w:color w:val="000000" w:themeColor="text1"/>
          <w:sz w:val="16"/>
          <w:szCs w:val="16"/>
        </w:rPr>
        <w:t>" можно увидеть в Национальном музее военно-морской авиации США (22300).</w:t>
      </w:r>
    </w:p>
    <w:p w14:paraId="7539BDA5" w14:textId="77777777" w:rsidR="00901F99" w:rsidRPr="007122AB" w:rsidRDefault="00901F99" w:rsidP="007122AB">
      <w:pPr>
        <w:spacing w:after="0" w:line="240" w:lineRule="auto"/>
        <w:jc w:val="both"/>
        <w:rPr>
          <w:rFonts w:ascii="Times New Roman" w:hAnsi="Times New Roman"/>
          <w:color w:val="000000" w:themeColor="text1"/>
          <w:sz w:val="16"/>
          <w:szCs w:val="16"/>
        </w:rPr>
      </w:pPr>
    </w:p>
    <w:bookmarkEnd w:id="45"/>
    <w:p w14:paraId="5EE1BB1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4D2BE4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3DAF6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30 декабря 1931 был выполнен первый полет МДР-2 (АНТ-8) (80,262).</w:t>
      </w:r>
    </w:p>
    <w:p w14:paraId="322C6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D431B6" w14:textId="77777777" w:rsidR="00E33D71" w:rsidRPr="007122AB" w:rsidRDefault="00E33D71"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3841425" w14:textId="77777777" w:rsidR="00E33D71" w:rsidRPr="007122AB" w:rsidRDefault="00E33D71"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05A131" w14:textId="77777777" w:rsidR="00E33D71" w:rsidRPr="007122AB" w:rsidRDefault="00E33D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30 декабря 1931 г. Бюро Московского горкома партии утвердило часть предложенной Метростроем схемы, а именно сооружение Мясницкого, </w:t>
      </w:r>
      <w:proofErr w:type="spellStart"/>
      <w:r w:rsidRPr="007122AB">
        <w:rPr>
          <w:rFonts w:ascii="Times New Roman" w:hAnsi="Times New Roman"/>
          <w:color w:val="000000" w:themeColor="text1"/>
          <w:sz w:val="16"/>
          <w:szCs w:val="16"/>
        </w:rPr>
        <w:t>Усачевского</w:t>
      </w:r>
      <w:proofErr w:type="spellEnd"/>
      <w:r w:rsidRPr="007122AB">
        <w:rPr>
          <w:rFonts w:ascii="Times New Roman" w:hAnsi="Times New Roman"/>
          <w:color w:val="000000" w:themeColor="text1"/>
          <w:sz w:val="16"/>
          <w:szCs w:val="16"/>
        </w:rPr>
        <w:t xml:space="preserve">, Арбатского, Таганского, Покровского и Замоскворецкого радиусов общей протяженностью 58,4 км. Три прочие радиуса и кольцевая линия были признаны необходимыми на дальнейшую перспективу. В первую очередь строительства были намечены участки от Сокольников через Мясницкую ул., Охотный ряд, Дворец Советов и далее до Крымской пл.[41] (8,9км) и от библиотеки Ленина через Воздвиженку и Арбат до Смоленского рынка (2,6 км). Сдать в эксплуатацию эти первые линии общей протяженностью 11,5 км, как и предлагал ранее </w:t>
      </w:r>
      <w:proofErr w:type="spellStart"/>
      <w:r w:rsidRPr="007122AB">
        <w:rPr>
          <w:rFonts w:ascii="Times New Roman" w:hAnsi="Times New Roman"/>
          <w:color w:val="000000" w:themeColor="text1"/>
          <w:sz w:val="16"/>
          <w:szCs w:val="16"/>
        </w:rPr>
        <w:t>Ротерт</w:t>
      </w:r>
      <w:proofErr w:type="spellEnd"/>
      <w:r w:rsidRPr="007122AB">
        <w:rPr>
          <w:rFonts w:ascii="Times New Roman" w:hAnsi="Times New Roman"/>
          <w:color w:val="000000" w:themeColor="text1"/>
          <w:sz w:val="16"/>
          <w:szCs w:val="16"/>
        </w:rPr>
        <w:t>.{412},предстояло до конца 1933 г.{413} (18299).</w:t>
      </w:r>
    </w:p>
    <w:p w14:paraId="7C058ECB" w14:textId="77777777" w:rsidR="00E33D71" w:rsidRPr="007122AB" w:rsidRDefault="00E33D71" w:rsidP="007122AB">
      <w:pPr>
        <w:spacing w:after="0" w:line="240" w:lineRule="auto"/>
        <w:jc w:val="both"/>
        <w:rPr>
          <w:rFonts w:ascii="Times New Roman" w:hAnsi="Times New Roman"/>
          <w:color w:val="000000" w:themeColor="text1"/>
          <w:sz w:val="16"/>
          <w:szCs w:val="16"/>
        </w:rPr>
      </w:pPr>
    </w:p>
    <w:p w14:paraId="7C43F23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5AFF42E"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A377E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 декабря 1931 в Голландии создана нацистская партия (4962).</w:t>
      </w:r>
    </w:p>
    <w:p w14:paraId="1DFF9C8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4B9B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5F47C3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F4D22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года с конвейера Саратовского завода комбайнов, который строился с 25 июня 1930 года, сошел первый комбайн Саратовского завода.</w:t>
      </w:r>
    </w:p>
    <w:p w14:paraId="1D433C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1937 года с конвейера завода ежедневно сходило 90 комбайнов типа «СЗК».</w:t>
      </w:r>
    </w:p>
    <w:p w14:paraId="376CC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62E407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1946 года завод перешел на выпуск учебно-тренировочного истребителя Яковлева А.С. (ЯК-11).</w:t>
      </w:r>
    </w:p>
    <w:p w14:paraId="61051E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1C656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Постановлением № 9821-1749сс от 5 октября 1951 года СМ поручил заводу изготовление в 1952 году одномоторного 12-ти местного </w:t>
      </w:r>
      <w:proofErr w:type="spellStart"/>
      <w:r w:rsidRPr="007122AB">
        <w:rPr>
          <w:rFonts w:ascii="Times New Roman" w:hAnsi="Times New Roman"/>
          <w:color w:val="000000" w:themeColor="text1"/>
          <w:sz w:val="16"/>
          <w:szCs w:val="16"/>
        </w:rPr>
        <w:t>десантно</w:t>
      </w:r>
      <w:proofErr w:type="spellEnd"/>
      <w:r w:rsidRPr="007122AB">
        <w:rPr>
          <w:rFonts w:ascii="Times New Roman" w:hAnsi="Times New Roman"/>
          <w:color w:val="000000" w:themeColor="text1"/>
          <w:sz w:val="16"/>
          <w:szCs w:val="16"/>
        </w:rPr>
        <w:t xml:space="preserve">-транспортного вертолета конструкции Миля (МИ-4) и двухмоторного 20-ти местного </w:t>
      </w:r>
      <w:proofErr w:type="spellStart"/>
      <w:r w:rsidRPr="007122AB">
        <w:rPr>
          <w:rFonts w:ascii="Times New Roman" w:hAnsi="Times New Roman"/>
          <w:color w:val="000000" w:themeColor="text1"/>
          <w:sz w:val="16"/>
          <w:szCs w:val="16"/>
        </w:rPr>
        <w:t>десантно</w:t>
      </w:r>
      <w:proofErr w:type="spellEnd"/>
      <w:r w:rsidRPr="007122AB">
        <w:rPr>
          <w:rFonts w:ascii="Times New Roman" w:hAnsi="Times New Roman"/>
          <w:color w:val="000000" w:themeColor="text1"/>
          <w:sz w:val="16"/>
          <w:szCs w:val="16"/>
        </w:rPr>
        <w:t>-транспортного вертолета конструкции Яковлева (ЯК-24).</w:t>
      </w:r>
    </w:p>
    <w:p w14:paraId="79CC16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257F5F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227558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IV квартале 1956 года завод приступил к подготовке производства самолетов ЯК-27Ф и ЯК-27 ЖРД» (9514).</w:t>
      </w:r>
    </w:p>
    <w:p w14:paraId="0AD27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CC78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декабря 1931 в Севастополе состоялся первый полет Р-5а на </w:t>
      </w:r>
      <w:proofErr w:type="spellStart"/>
      <w:r w:rsidRPr="007122AB">
        <w:rPr>
          <w:rFonts w:ascii="Times New Roman" w:hAnsi="Times New Roman"/>
          <w:color w:val="000000" w:themeColor="text1"/>
          <w:sz w:val="16"/>
          <w:szCs w:val="16"/>
        </w:rPr>
        <w:t>поплвках</w:t>
      </w:r>
      <w:proofErr w:type="spellEnd"/>
      <w:r w:rsidRPr="007122AB">
        <w:rPr>
          <w:rFonts w:ascii="Times New Roman" w:hAnsi="Times New Roman"/>
          <w:color w:val="000000" w:themeColor="text1"/>
          <w:sz w:val="16"/>
          <w:szCs w:val="16"/>
        </w:rPr>
        <w:t>. Заводские испытания длились меньше месяца, а Государственные проходили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2D4793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w:t>
      </w:r>
      <w:proofErr w:type="spellStart"/>
      <w:r w:rsidRPr="007122AB">
        <w:rPr>
          <w:rFonts w:ascii="Times New Roman" w:hAnsi="Times New Roman"/>
          <w:color w:val="000000" w:themeColor="text1"/>
          <w:sz w:val="16"/>
          <w:szCs w:val="16"/>
        </w:rPr>
        <w:t>комплекси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ровал</w:t>
      </w:r>
      <w:proofErr w:type="spellEnd"/>
      <w:r w:rsidRPr="007122AB">
        <w:rPr>
          <w:rFonts w:ascii="Times New Roman" w:hAnsi="Times New Roman"/>
          <w:color w:val="000000" w:themeColor="text1"/>
          <w:sz w:val="16"/>
          <w:szCs w:val="16"/>
        </w:rPr>
        <w:t xml:space="preserve">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2DE354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052B4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Серийные машины имели усиленный каркас передней части фюзеляжа и измененную </w:t>
      </w:r>
      <w:proofErr w:type="spellStart"/>
      <w:r w:rsidRPr="007122AB">
        <w:rPr>
          <w:rFonts w:ascii="Times New Roman" w:hAnsi="Times New Roman"/>
          <w:color w:val="000000" w:themeColor="text1"/>
          <w:sz w:val="16"/>
          <w:szCs w:val="16"/>
        </w:rPr>
        <w:t>мотораму</w:t>
      </w:r>
      <w:proofErr w:type="spellEnd"/>
      <w:r w:rsidRPr="007122AB">
        <w:rPr>
          <w:rFonts w:ascii="Times New Roman" w:hAnsi="Times New Roman"/>
          <w:color w:val="000000" w:themeColor="text1"/>
          <w:sz w:val="16"/>
          <w:szCs w:val="16"/>
        </w:rPr>
        <w:t>.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67574D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1B51FF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3D42A99"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31-го декабря 1931 в Севастополе состоялся первый полет Р-5а.</w:t>
      </w:r>
    </w:p>
    <w:p w14:paraId="6D7300F4"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Проектирование морского разведчика, получившего обозначение Р-5а, началось в 1930 году под руководством Д.А. Михайлова. Он и конструктор В.Б. Шавров спроектировали поплавки и раму для крепления их к фюзеляжу и нижнему крылу. Каркас поплавков состоял из 21 шпангоута, из них восемь переборок, деливших поплавок на девять водонепроницаемых отсеков. Вся конструкция поплавков – по типу лодки Ш-2, наружная поверхность оклеена полотном на аэролаке. Рама для крепления поплавков состояла из стальных и дюралевых труб каплевидного сечения, всего 12 стоек и две круглые трубы с обтекателями и расчалками. Для большей жесткости всей системы были введены дополнительные расчалки от поплавков, проходящие через нижние крылья к стойкам центроплана.</w:t>
      </w:r>
    </w:p>
    <w:p w14:paraId="6FF87484"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Поскольку требовалось обеспечить эксплуатацию машины при волнении до 0,8 м, понадобилось усилить первую раму фюзеляжа и передний лонжерон нижнего крыла. С учетом возросшей боковой поверхности самолета площадь киля увеличили почти в два раза. Ненужный на воде костыль заменили причальным кольцом. Пропеллер менять не стали и оставили таким же, как у сухопутного варианта.</w:t>
      </w:r>
    </w:p>
    <w:p w14:paraId="299AF11A"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Бомбовое вооружение Р-5а было значительно слабее, чем у сухопутного варианта. Под крылом было установлено 4 балки ДЕР-7 и две ДЕР-6 под фюзеляжем. Максимальная нагрузка составляла 492 кг – шесть АФ-82.</w:t>
      </w:r>
    </w:p>
    <w:p w14:paraId="382043BE"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Опытный образец завод № 39 построил в 1931 году. Поплавки для него изготавливал московский завод № 28.</w:t>
      </w:r>
    </w:p>
    <w:p w14:paraId="48D3ACEF"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Заводские испытания длились меньше месяца, а Государственные проходили с 27-го января по 17-е апреля 1932 года. Больший вес (поплавковое шасси было тяжелее колесного на 390 кг) и возросшее </w:t>
      </w:r>
      <w:proofErr w:type="spellStart"/>
      <w:r w:rsidRPr="007122AB">
        <w:rPr>
          <w:rFonts w:ascii="Times New Roman" w:hAnsi="Times New Roman"/>
          <w:color w:val="000000" w:themeColor="text1"/>
          <w:sz w:val="16"/>
          <w:szCs w:val="16"/>
        </w:rPr>
        <w:t>аэродинамимическое</w:t>
      </w:r>
      <w:proofErr w:type="spellEnd"/>
      <w:r w:rsidRPr="007122AB">
        <w:rPr>
          <w:rFonts w:ascii="Times New Roman" w:hAnsi="Times New Roman"/>
          <w:color w:val="000000" w:themeColor="text1"/>
          <w:sz w:val="16"/>
          <w:szCs w:val="16"/>
        </w:rPr>
        <w:t xml:space="preserve"> сопротивление ухудшили летные данные по сравнению с сухопутным вариантом. Отмечалось, что от воздействия воды коробилась обшивка, воздушный винт сильно страдал от брызг на взлете, они попадали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машину отправили в экспедицию на Крайний Север.</w:t>
      </w:r>
    </w:p>
    <w:p w14:paraId="7B9E2FA7" w14:textId="77777777" w:rsidR="0077707A" w:rsidRPr="007122AB" w:rsidRDefault="0077707A"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второй половине 1933 года серийный выпуск Р-5а решили производить на авиационном заводе № 1 в Москве. Головная машина серии испытывалась в Севастополе до середины января 1934 года. Несмотря на некоторое увеличение взлетного веса Р-5а, все показатели улучшились по сравнению с опытным образцом. Повысилась скорость, вырос практический потолок, существенно уменьшилось время набора высоты 3000 метров. В 1934 году авиазавод № 1 выпустил 61 самолет Р-5а, а на следующий год еще 50 машин. Общее количество построенных поплавковых разведчиков составило 111 экземпляров (19293).</w:t>
      </w:r>
    </w:p>
    <w:p w14:paraId="7E9709E8" w14:textId="77777777" w:rsidR="0077707A" w:rsidRPr="007122AB" w:rsidRDefault="0077707A" w:rsidP="007122AB">
      <w:pPr>
        <w:spacing w:after="0" w:line="240" w:lineRule="auto"/>
        <w:jc w:val="both"/>
        <w:rPr>
          <w:rFonts w:ascii="Times New Roman" w:hAnsi="Times New Roman"/>
          <w:color w:val="000000" w:themeColor="text1"/>
          <w:sz w:val="16"/>
          <w:szCs w:val="16"/>
        </w:rPr>
      </w:pPr>
    </w:p>
    <w:p w14:paraId="03640D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декабря 1931 г. в </w:t>
      </w:r>
      <w:proofErr w:type="spellStart"/>
      <w:r w:rsidRPr="007122AB">
        <w:rPr>
          <w:rFonts w:ascii="Times New Roman" w:hAnsi="Times New Roman"/>
          <w:color w:val="000000" w:themeColor="text1"/>
          <w:sz w:val="16"/>
          <w:szCs w:val="16"/>
        </w:rPr>
        <w:t>Севастопле</w:t>
      </w:r>
      <w:proofErr w:type="spellEnd"/>
      <w:r w:rsidRPr="007122AB">
        <w:rPr>
          <w:rFonts w:ascii="Times New Roman" w:hAnsi="Times New Roman"/>
          <w:color w:val="000000" w:themeColor="text1"/>
          <w:sz w:val="16"/>
          <w:szCs w:val="16"/>
        </w:rPr>
        <w:t xml:space="preserve"> состоялся первый полет Р-5а. Заводские испытания длились меньше месяца. Государственные испытания шли там же, в Севастополе, где располагался Особый морской отдел (ОМО) НИИ ВВС. Они велись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306225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4034ED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4984FF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4900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года протокол совещания у начальника ВВС по вопросу о вооружении самолетов ТБ-3 и Р-6</w:t>
      </w:r>
    </w:p>
    <w:p w14:paraId="219E3B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Присутствовали: зам. начальника ВВС Наумов, зам. начальника ВВС Меженинов, зам. начальника НИИ Аузан, начальник IV отдела НИИ Солдатов, ст. инженер Петров, ст. инженер Куликов, ст. инженер Мельников, ст. инженер Туполев, от ВАО – Туполев, Петляков.</w:t>
      </w:r>
    </w:p>
    <w:p w14:paraId="4E5600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(Пометка: Меженинову. Проследите за точным исполнением принятых обязательств. Алкснис).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5802"/>
      </w:tblGrid>
      <w:tr w:rsidR="001002C3" w:rsidRPr="007122AB" w14:paraId="3DEF04BE" w14:textId="77777777">
        <w:tc>
          <w:tcPr>
            <w:tcW w:w="5802" w:type="dxa"/>
          </w:tcPr>
          <w:p w14:paraId="54561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Слушали</w:t>
            </w:r>
          </w:p>
        </w:tc>
        <w:tc>
          <w:tcPr>
            <w:tcW w:w="5802" w:type="dxa"/>
          </w:tcPr>
          <w:p w14:paraId="05FFB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Постановили</w:t>
            </w:r>
          </w:p>
        </w:tc>
      </w:tr>
      <w:tr w:rsidR="001002C3" w:rsidRPr="007122AB" w14:paraId="644B98F6" w14:textId="77777777">
        <w:tc>
          <w:tcPr>
            <w:tcW w:w="5802" w:type="dxa"/>
          </w:tcPr>
          <w:p w14:paraId="1595C3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 доведении самолета ДБ-3. Доклад зам. начальника ВВС Меженинова.</w:t>
            </w:r>
          </w:p>
        </w:tc>
        <w:tc>
          <w:tcPr>
            <w:tcW w:w="5802" w:type="dxa"/>
          </w:tcPr>
          <w:p w14:paraId="2D7983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ЦАГИ в десятидневный срок доработать, уведомив об исполнении следующее:</w:t>
            </w:r>
          </w:p>
          <w:p w14:paraId="29C13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разработать способ подвески 4 пристрелочных и 4 светящихся бомб;</w:t>
            </w:r>
          </w:p>
          <w:p w14:paraId="7533AC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разработать подвеску существующих балок так, чтобы была возможность, не снимая последних, пользоваться кассетными держателями (Дер-9);</w:t>
            </w:r>
          </w:p>
          <w:p w14:paraId="5A78B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находящиеся в изготовлении подкрыльные башни, после их испытания и проверки надежности и удобства действия, установить на самолет вместо существующих (типа Р-6), проверив центровки самолета.</w:t>
            </w:r>
          </w:p>
        </w:tc>
      </w:tr>
      <w:tr w:rsidR="001002C3" w:rsidRPr="007122AB" w14:paraId="56561D53" w14:textId="77777777">
        <w:tc>
          <w:tcPr>
            <w:tcW w:w="5802" w:type="dxa"/>
          </w:tcPr>
          <w:p w14:paraId="4337F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доведении вооружения самолета Р-6 с целью использования его в качестве среднего бомбардировщика, имеющего 1000 кг сбрасываемого груза и тактический радиус действия 1200 км.</w:t>
            </w:r>
          </w:p>
        </w:tc>
        <w:tc>
          <w:tcPr>
            <w:tcW w:w="5802" w:type="dxa"/>
          </w:tcPr>
          <w:p w14:paraId="55E31E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Поручить ЦАГИ произвести соответствующие перерасчеты конструкции и представить проект оборудования самолета Р:</w:t>
            </w:r>
          </w:p>
          <w:p w14:paraId="052088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бомбодержателями "ДОС" и бомбодержателями для пристрелочных бомб, разместив их так, чтобы наличие бомб не мешало пользоваться башенной установкой;</w:t>
            </w:r>
          </w:p>
          <w:p w14:paraId="4C3163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добавочными баками для горючего и смазочного обеспечивающими тактический радиус действия 1200 км.</w:t>
            </w:r>
          </w:p>
          <w:p w14:paraId="1DD383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Срок 3 месяца, заявленный представителями ВАО считать неприемлемым для ВВС и возбудить ходатайство перед РВС о сокращении срока до 1 месяца с тем, чтобы проект был представлен к 1 февраля 1932 года.</w:t>
            </w:r>
          </w:p>
        </w:tc>
      </w:tr>
    </w:tbl>
    <w:p w14:paraId="40AFD0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(7431, 4).</w:t>
      </w:r>
    </w:p>
    <w:p w14:paraId="33CE10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6E9A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декабря 1931 на подмосковном аэродроме состоялся первый полет звена ТБ-1 2М-17 и И-4 парасоль </w:t>
      </w:r>
      <w:proofErr w:type="spellStart"/>
      <w:r w:rsidRPr="007122AB">
        <w:rPr>
          <w:rFonts w:ascii="Times New Roman" w:hAnsi="Times New Roman"/>
          <w:color w:val="000000" w:themeColor="text1"/>
          <w:sz w:val="16"/>
          <w:szCs w:val="16"/>
        </w:rPr>
        <w:t>В.С.Вахмистрова</w:t>
      </w:r>
      <w:proofErr w:type="spellEnd"/>
      <w:r w:rsidRPr="007122AB">
        <w:rPr>
          <w:rFonts w:ascii="Times New Roman" w:hAnsi="Times New Roman"/>
          <w:color w:val="000000" w:themeColor="text1"/>
          <w:sz w:val="16"/>
          <w:szCs w:val="16"/>
        </w:rPr>
        <w:t xml:space="preserve">. На ТБ-1 был 1п </w:t>
      </w:r>
      <w:proofErr w:type="spellStart"/>
      <w:r w:rsidRPr="007122AB">
        <w:rPr>
          <w:rFonts w:ascii="Times New Roman" w:hAnsi="Times New Roman"/>
          <w:color w:val="000000" w:themeColor="text1"/>
          <w:sz w:val="16"/>
          <w:szCs w:val="16"/>
        </w:rPr>
        <w:t>А.И.Залевский</w:t>
      </w:r>
      <w:proofErr w:type="spellEnd"/>
      <w:r w:rsidRPr="007122AB">
        <w:rPr>
          <w:rFonts w:ascii="Times New Roman" w:hAnsi="Times New Roman"/>
          <w:color w:val="000000" w:themeColor="text1"/>
          <w:sz w:val="16"/>
          <w:szCs w:val="16"/>
        </w:rPr>
        <w:t xml:space="preserve"> и 2п </w:t>
      </w:r>
      <w:proofErr w:type="spellStart"/>
      <w:r w:rsidRPr="007122AB">
        <w:rPr>
          <w:rFonts w:ascii="Times New Roman" w:hAnsi="Times New Roman"/>
          <w:color w:val="000000" w:themeColor="text1"/>
          <w:sz w:val="16"/>
          <w:szCs w:val="16"/>
        </w:rPr>
        <w:t>А.Р.Шарапов</w:t>
      </w:r>
      <w:proofErr w:type="spellEnd"/>
      <w:r w:rsidRPr="007122AB">
        <w:rPr>
          <w:rFonts w:ascii="Times New Roman" w:hAnsi="Times New Roman"/>
          <w:color w:val="000000" w:themeColor="text1"/>
          <w:sz w:val="16"/>
          <w:szCs w:val="16"/>
        </w:rPr>
        <w:t xml:space="preserve">, а сам Вахмистров был в кабине переднего стрелка, на И-4 - В.А.Ч. и </w:t>
      </w:r>
      <w:proofErr w:type="spellStart"/>
      <w:r w:rsidRPr="007122AB">
        <w:rPr>
          <w:rFonts w:ascii="Times New Roman" w:hAnsi="Times New Roman"/>
          <w:color w:val="000000" w:themeColor="text1"/>
          <w:sz w:val="16"/>
          <w:szCs w:val="16"/>
        </w:rPr>
        <w:t>А.Анисимов</w:t>
      </w:r>
      <w:proofErr w:type="spellEnd"/>
      <w:r w:rsidRPr="007122AB">
        <w:rPr>
          <w:rFonts w:ascii="Times New Roman" w:hAnsi="Times New Roman"/>
          <w:color w:val="000000" w:themeColor="text1"/>
          <w:sz w:val="16"/>
          <w:szCs w:val="16"/>
        </w:rPr>
        <w:t>. Отцепляли сначала сзади, потом спереди с ТБ-1, но на машине В.П.Ч. случайно сделали наоборот и он был вынужден вырвать узел маневром. Машины Анисимова еще была на крыле, но устойчивость была нормальной. Потом механизм отцепки перенесли в истребители (2921,19).</w:t>
      </w:r>
    </w:p>
    <w:p w14:paraId="452C92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02F2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декабря 1931 года </w:t>
      </w:r>
      <w:proofErr w:type="spellStart"/>
      <w:r w:rsidRPr="007122AB">
        <w:rPr>
          <w:rFonts w:ascii="Times New Roman" w:hAnsi="Times New Roman"/>
          <w:color w:val="000000" w:themeColor="text1"/>
          <w:sz w:val="16"/>
          <w:szCs w:val="16"/>
        </w:rPr>
        <w:t>врид</w:t>
      </w:r>
      <w:proofErr w:type="spellEnd"/>
      <w:r w:rsidRPr="007122AB">
        <w:rPr>
          <w:rFonts w:ascii="Times New Roman" w:hAnsi="Times New Roman"/>
          <w:color w:val="000000" w:themeColor="text1"/>
          <w:sz w:val="16"/>
          <w:szCs w:val="16"/>
        </w:rPr>
        <w:t xml:space="preserve"> начальника ВВС Наумов было созвано совещание по вопросу возможности применения самолета Р-6 2М-17 в качестве среднего бомбардировщика, берущего с собой 1000 кг сбрасываемого груза (кроме пристрелочных бомб) и запас горючего, обеспечивающий тактический радиус действия в 1200 км.</w:t>
      </w:r>
    </w:p>
    <w:p w14:paraId="3E24A0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этой цели необходимо самолет оборудовать:</w:t>
      </w:r>
    </w:p>
    <w:p w14:paraId="1E39BD07"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Бомбодержателями "ДОС", бомбодержателями для пристрелочных бомб и расположенными таким образом, чтобы они не исключали возможность пользования башенной установкой.</w:t>
      </w:r>
    </w:p>
    <w:p w14:paraId="281586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Дополнительными баками для горючего и смазочного, обеспечивающими тактический радиус действия в 1200 км (7470, 4).</w:t>
      </w:r>
    </w:p>
    <w:p w14:paraId="5CCBC4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2D04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был частичного запущен завод № 292; в НКАП 1 января 1938 года</w:t>
      </w:r>
    </w:p>
    <w:p w14:paraId="2A055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полного – 1932 год; в НКАП 1 мая 1938 года</w:t>
      </w:r>
    </w:p>
    <w:p w14:paraId="2B3828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Реконструированный</w:t>
      </w:r>
    </w:p>
    <w:p w14:paraId="247DC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 производства – среднесерийное</w:t>
      </w:r>
    </w:p>
    <w:p w14:paraId="087415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производства – самолетостроение</w:t>
      </w:r>
    </w:p>
    <w:p w14:paraId="687BC5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Адрес: Саратов 15, </w:t>
      </w:r>
      <w:proofErr w:type="spellStart"/>
      <w:r w:rsidRPr="007122AB">
        <w:rPr>
          <w:rFonts w:ascii="Times New Roman" w:hAnsi="Times New Roman"/>
          <w:color w:val="000000" w:themeColor="text1"/>
          <w:sz w:val="16"/>
          <w:szCs w:val="16"/>
        </w:rPr>
        <w:t>Деконский</w:t>
      </w:r>
      <w:proofErr w:type="spellEnd"/>
      <w:r w:rsidRPr="007122AB">
        <w:rPr>
          <w:rFonts w:ascii="Times New Roman" w:hAnsi="Times New Roman"/>
          <w:color w:val="000000" w:themeColor="text1"/>
          <w:sz w:val="16"/>
          <w:szCs w:val="16"/>
        </w:rPr>
        <w:t xml:space="preserve"> поселок, площадь Орджоникидзе, п/я 1</w:t>
      </w:r>
    </w:p>
    <w:p w14:paraId="6F611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самолеты ЯК-1, Р-10 (ХАИ-5), гр. комплекты</w:t>
      </w:r>
    </w:p>
    <w:p w14:paraId="7BBE15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1937 года по решению Правительства Саратовский завод комбайнов был передан 1 гл. управлению НКОП. В течение 1938 года завод реконструировался, при одновременном освоении самолета марки ХАИ-5 (Р-10). Реконструкция цехов была в основном закончена в первой половине 1938 года, процесс же освоения производства затянулся и первая машина ХАИ-5 (Р-10) с производства была снята как не удовлетворяющая тактико-техническим требования КА. В течение 2-го полугодия 1939 года произошла смена еще 4 объектов производства. Только в конце февраля 1940 года был получен официальный приказ НКАП за № 60сс от 20 февраля 1940 года, устанавливающий порядок и сроки внедрения нового объекта – самолета конструкции Яценко. Но в июне 1940 года приказом НКАП за № 263 от 4 июня 1940 года объект опять был сменен и завод получил новое задание на внедрение машины ЯК-1 (бывш. И-26) конструкции Яковлева.</w:t>
      </w:r>
    </w:p>
    <w:p w14:paraId="464CB5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Объектом производства завода № 292 ГКАП является одноместный скоростной истребитель марки ЯК-1 с мотором М-105п. По схеме – это моноплан смешанной конструкции со свободно несущим низко расположенным крылом.</w:t>
      </w:r>
    </w:p>
    <w:p w14:paraId="07D371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Крыло деревянное, неразрезное, 2-х лонжеронной конструкции, с работающей фанерной обшивкой.</w:t>
      </w:r>
    </w:p>
    <w:p w14:paraId="55C4C6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Фюзеляж – трубчатый металлический каркас с полотняной обшивкой. Шасси – убирающееся в крыло.</w:t>
      </w:r>
    </w:p>
    <w:p w14:paraId="78EF41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вооружен 20 мм пушкой ШВАК, стреляющей через вал редуктора мотора с механической и пневматической перезарядкой, с запасом патронов в 120 штук и двумя синхронными пулеметами ШКАС калибра 7,62 мм с запасом патронов по 750 штук на пулемет.</w:t>
      </w:r>
    </w:p>
    <w:p w14:paraId="0DA84F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292 за период с 1 января 1941 года по 1 июля 1941 года выполнял заказ по производству истребителей марки ЯК-1………….</w:t>
      </w:r>
    </w:p>
    <w:p w14:paraId="0CFD0F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 прибыло оборудование с завода № 165 ………….(9319)</w:t>
      </w:r>
    </w:p>
    <w:p w14:paraId="6342ACFC"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г. в Саратове был образован завод комбайнов, будущий авиазавод №292 (ныне АО "Саратовский авиационный завод") (6395).</w:t>
      </w:r>
    </w:p>
    <w:p w14:paraId="0FF32FB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A56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г. Завод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вступил в строй (ГС Завод № 292 НКАП, МАП, ГС Саратовский завод комбайнов (СЗК,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НКТП, НКОП, Саратовский авиационный завод (САЗ), ЗАО «САЗ» /410015  г. Саратов пл. Орджоникидзе, 1 тел. 96-81-01/). За 6 лет выпущено более 39.000 единиц хлебоуборочной техники.</w:t>
      </w:r>
    </w:p>
    <w:p w14:paraId="1345D6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1937 г. завод передан из НКТП в организованный НКМ. В соответствии с пост, правительства № 48сс от 5.07.1937 г. распоряжением </w:t>
      </w:r>
      <w:proofErr w:type="spellStart"/>
      <w:r w:rsidRPr="007122AB">
        <w:rPr>
          <w:rFonts w:ascii="Times New Roman" w:hAnsi="Times New Roman"/>
          <w:color w:val="000000" w:themeColor="text1"/>
          <w:sz w:val="16"/>
          <w:szCs w:val="16"/>
        </w:rPr>
        <w:t>Главсельмаша</w:t>
      </w:r>
      <w:proofErr w:type="spellEnd"/>
      <w:r w:rsidRPr="007122AB">
        <w:rPr>
          <w:rFonts w:ascii="Times New Roman" w:hAnsi="Times New Roman"/>
          <w:color w:val="000000" w:themeColor="text1"/>
          <w:sz w:val="16"/>
          <w:szCs w:val="16"/>
        </w:rPr>
        <w:t xml:space="preserve"> НКМ/ЗГУ ЖОП № 102/75 от 14.09.1937 г. завод с 1.07.1937 г. передан из </w:t>
      </w:r>
      <w:proofErr w:type="spellStart"/>
      <w:r w:rsidRPr="007122AB">
        <w:rPr>
          <w:rFonts w:ascii="Times New Roman" w:hAnsi="Times New Roman"/>
          <w:color w:val="000000" w:themeColor="text1"/>
          <w:sz w:val="16"/>
          <w:szCs w:val="16"/>
        </w:rPr>
        <w:t>Главсельмаша</w:t>
      </w:r>
      <w:proofErr w:type="spellEnd"/>
      <w:r w:rsidRPr="007122AB">
        <w:rPr>
          <w:rFonts w:ascii="Times New Roman" w:hAnsi="Times New Roman"/>
          <w:color w:val="000000" w:themeColor="text1"/>
          <w:sz w:val="16"/>
          <w:szCs w:val="16"/>
        </w:rPr>
        <w:t xml:space="preserve"> НКМ в ведение ЗГУ НКОП, по пр. № 0259 от 3.12.1937 г. завод передан из ЗГУ в 1ГУ. Приказом № 403 от 27.10.1938 г. утвержден Устав ГС завода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В 01.1939 г. передан из 1ГУ НКОП в НКАП. По приказу № 201с от 8.05.1940 г. получил название ГС завод № 292 НКАП.</w:t>
      </w:r>
    </w:p>
    <w:p w14:paraId="79306F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 № 0185 от 27.08.1937 г. в целях развертывания на заводе работ по созданию артиллерийского производства сюда с завода № 172 переданы чертежи на 122-мм гаубицу; с заводов № 172, 7, 92 и «Баррикады» переведено по 10 квалифицированных рабочих; </w:t>
      </w:r>
      <w:proofErr w:type="spellStart"/>
      <w:r w:rsidRPr="007122AB">
        <w:rPr>
          <w:rFonts w:ascii="Times New Roman" w:hAnsi="Times New Roman"/>
          <w:color w:val="000000" w:themeColor="text1"/>
          <w:sz w:val="16"/>
          <w:szCs w:val="16"/>
        </w:rPr>
        <w:t>Гипромашу</w:t>
      </w:r>
      <w:proofErr w:type="spellEnd"/>
      <w:r w:rsidRPr="007122AB">
        <w:rPr>
          <w:rFonts w:ascii="Times New Roman" w:hAnsi="Times New Roman"/>
          <w:color w:val="000000" w:themeColor="text1"/>
          <w:sz w:val="16"/>
          <w:szCs w:val="16"/>
        </w:rPr>
        <w:t xml:space="preserve">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522071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07.1937 г. принято решение СНК о развертывании на заводе производства самолета Р-10 (ХАИ-5), это было подтверждено пост. КО № 189сс от 7.12.1937 г.; по пр. № 0259 с завода № 135 на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xml:space="preserve">»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w:t>
      </w:r>
      <w:proofErr w:type="spellStart"/>
      <w:r w:rsidRPr="007122AB">
        <w:rPr>
          <w:rFonts w:ascii="Times New Roman" w:hAnsi="Times New Roman"/>
          <w:color w:val="000000" w:themeColor="text1"/>
          <w:sz w:val="16"/>
          <w:szCs w:val="16"/>
        </w:rPr>
        <w:t>Арсоном</w:t>
      </w:r>
      <w:proofErr w:type="spellEnd"/>
      <w:r w:rsidRPr="007122AB">
        <w:rPr>
          <w:rFonts w:ascii="Times New Roman" w:hAnsi="Times New Roman"/>
          <w:color w:val="000000" w:themeColor="text1"/>
          <w:sz w:val="16"/>
          <w:szCs w:val="16"/>
        </w:rPr>
        <w:t>;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w:t>
      </w:r>
      <w:proofErr w:type="spellStart"/>
      <w:r w:rsidRPr="007122AB">
        <w:rPr>
          <w:rFonts w:ascii="Times New Roman" w:hAnsi="Times New Roman"/>
          <w:color w:val="000000" w:themeColor="text1"/>
          <w:sz w:val="16"/>
          <w:szCs w:val="16"/>
        </w:rPr>
        <w:t>Саркомбайна</w:t>
      </w:r>
      <w:proofErr w:type="spellEnd"/>
      <w:r w:rsidRPr="007122AB">
        <w:rPr>
          <w:rFonts w:ascii="Times New Roman" w:hAnsi="Times New Roman"/>
          <w:color w:val="000000" w:themeColor="text1"/>
          <w:sz w:val="16"/>
          <w:szCs w:val="16"/>
        </w:rPr>
        <w:t xml:space="preserve">»,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w:t>
      </w:r>
      <w:proofErr w:type="spellStart"/>
      <w:r w:rsidRPr="007122AB">
        <w:rPr>
          <w:rFonts w:ascii="Times New Roman" w:hAnsi="Times New Roman"/>
          <w:color w:val="000000" w:themeColor="text1"/>
          <w:sz w:val="16"/>
          <w:szCs w:val="16"/>
        </w:rPr>
        <w:t>механо</w:t>
      </w:r>
      <w:proofErr w:type="spellEnd"/>
      <w:r w:rsidRPr="007122AB">
        <w:rPr>
          <w:rFonts w:ascii="Times New Roman" w:hAnsi="Times New Roman"/>
          <w:color w:val="000000" w:themeColor="text1"/>
          <w:sz w:val="16"/>
          <w:szCs w:val="16"/>
        </w:rPr>
        <w:t xml:space="preserve">-сборочном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w:t>
      </w:r>
      <w:proofErr w:type="spellStart"/>
      <w:r w:rsidRPr="007122AB">
        <w:rPr>
          <w:rFonts w:ascii="Times New Roman" w:hAnsi="Times New Roman"/>
          <w:color w:val="000000" w:themeColor="text1"/>
          <w:sz w:val="16"/>
          <w:szCs w:val="16"/>
        </w:rPr>
        <w:t>механо</w:t>
      </w:r>
      <w:proofErr w:type="spellEnd"/>
      <w:r w:rsidRPr="007122AB">
        <w:rPr>
          <w:rFonts w:ascii="Times New Roman" w:hAnsi="Times New Roman"/>
          <w:color w:val="000000" w:themeColor="text1"/>
          <w:sz w:val="16"/>
          <w:szCs w:val="16"/>
        </w:rPr>
        <w:t>-сборочного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41A97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1D19B0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7DA3C5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составе завода цехи (1938 г.): № 1 </w:t>
      </w:r>
      <w:proofErr w:type="spellStart"/>
      <w:r w:rsidRPr="007122AB">
        <w:rPr>
          <w:rFonts w:ascii="Times New Roman" w:hAnsi="Times New Roman"/>
          <w:color w:val="000000" w:themeColor="text1"/>
          <w:sz w:val="16"/>
          <w:szCs w:val="16"/>
        </w:rPr>
        <w:t>механо</w:t>
      </w:r>
      <w:proofErr w:type="spellEnd"/>
      <w:r w:rsidRPr="007122AB">
        <w:rPr>
          <w:rFonts w:ascii="Times New Roman" w:hAnsi="Times New Roman"/>
          <w:color w:val="000000" w:themeColor="text1"/>
          <w:sz w:val="16"/>
          <w:szCs w:val="16"/>
        </w:rPr>
        <w:t>-сборочный;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0EE6A6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4197F6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имел филиал - бывший завод № 2 </w:t>
      </w:r>
      <w:proofErr w:type="spellStart"/>
      <w:r w:rsidRPr="007122AB">
        <w:rPr>
          <w:rFonts w:ascii="Times New Roman" w:hAnsi="Times New Roman"/>
          <w:color w:val="000000" w:themeColor="text1"/>
          <w:sz w:val="16"/>
          <w:szCs w:val="16"/>
        </w:rPr>
        <w:t>Военстроя</w:t>
      </w:r>
      <w:proofErr w:type="spellEnd"/>
      <w:r w:rsidRPr="007122AB">
        <w:rPr>
          <w:rFonts w:ascii="Times New Roman" w:hAnsi="Times New Roman"/>
          <w:color w:val="000000" w:themeColor="text1"/>
          <w:sz w:val="16"/>
          <w:szCs w:val="16"/>
        </w:rPr>
        <w:t>. Сюда со ст. Кунцево эвакуирован завод № 167 НКАП, и филиал передан ему в подчинение для организации производства лыж и в/винтов.</w:t>
      </w:r>
    </w:p>
    <w:p w14:paraId="7DDB7C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683136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42FD6F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1099с от 6.11.1941 г. в Саратов на площадку филиала завода № 292 НКАП (бывший завод № 2 </w:t>
      </w:r>
      <w:proofErr w:type="spellStart"/>
      <w:r w:rsidRPr="007122AB">
        <w:rPr>
          <w:rFonts w:ascii="Times New Roman" w:hAnsi="Times New Roman"/>
          <w:color w:val="000000" w:themeColor="text1"/>
          <w:sz w:val="16"/>
          <w:szCs w:val="16"/>
        </w:rPr>
        <w:t>Военстроя</w:t>
      </w:r>
      <w:proofErr w:type="spellEnd"/>
      <w:r w:rsidRPr="007122AB">
        <w:rPr>
          <w:rFonts w:ascii="Times New Roman" w:hAnsi="Times New Roman"/>
          <w:color w:val="000000" w:themeColor="text1"/>
          <w:sz w:val="16"/>
          <w:szCs w:val="16"/>
        </w:rPr>
        <w:t>)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0FBCDC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5B5594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7D2D4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4E3229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заводе действовал филиал ОКБ-115 (1950-е  г.).</w:t>
      </w:r>
    </w:p>
    <w:p w14:paraId="757F93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СМ СССР № 713-342 от 26.06.1957 г. передан в ведение СНХ РСФСР.</w:t>
      </w:r>
    </w:p>
    <w:p w14:paraId="3A3B78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7122AB">
        <w:rPr>
          <w:rFonts w:ascii="Times New Roman" w:hAnsi="Times New Roman"/>
          <w:color w:val="000000" w:themeColor="text1"/>
          <w:sz w:val="16"/>
          <w:szCs w:val="16"/>
          <w:lang w:val="en-US"/>
        </w:rPr>
        <w:t>JIA</w:t>
      </w:r>
      <w:r w:rsidRPr="007122AB">
        <w:rPr>
          <w:rFonts w:ascii="Times New Roman" w:hAnsi="Times New Roman"/>
          <w:color w:val="000000" w:themeColor="text1"/>
          <w:sz w:val="16"/>
          <w:szCs w:val="16"/>
        </w:rPr>
        <w:t xml:space="preserve"> «ЭКИП».</w:t>
      </w:r>
    </w:p>
    <w:p w14:paraId="1689E2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42BC4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(11.1940 г.)- 601 металлорежущий станок.</w:t>
      </w:r>
    </w:p>
    <w:p w14:paraId="4B6CB1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(1.01.2001 г.)- 4450 чел.</w:t>
      </w:r>
    </w:p>
    <w:p w14:paraId="23E0D3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030EB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68D7E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Исполнительный директор (-2002-06 г.-)- Л.М. Кленов. Коммерческий директор (2002 г.)-  Г.Ф. </w:t>
      </w:r>
      <w:proofErr w:type="spellStart"/>
      <w:r w:rsidRPr="007122AB">
        <w:rPr>
          <w:rFonts w:ascii="Times New Roman" w:hAnsi="Times New Roman"/>
          <w:color w:val="000000" w:themeColor="text1"/>
          <w:sz w:val="16"/>
          <w:szCs w:val="16"/>
        </w:rPr>
        <w:t>Сутолокин</w:t>
      </w:r>
      <w:proofErr w:type="spellEnd"/>
      <w:r w:rsidRPr="007122AB">
        <w:rPr>
          <w:rFonts w:ascii="Times New Roman" w:hAnsi="Times New Roman"/>
          <w:color w:val="000000" w:themeColor="text1"/>
          <w:sz w:val="16"/>
          <w:szCs w:val="16"/>
        </w:rPr>
        <w:t xml:space="preserve">. Директор по ВЭС и сбыту (2006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Юсов.</w:t>
      </w:r>
    </w:p>
    <w:p w14:paraId="5D46D9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(15.12.1937-12.04.1938 г.)- Н.Я. Мирошниченко, (12.04.1938 г.-&gt;  Г.В. </w:t>
      </w:r>
      <w:proofErr w:type="spellStart"/>
      <w:r w:rsidRPr="007122AB">
        <w:rPr>
          <w:rFonts w:ascii="Times New Roman" w:hAnsi="Times New Roman"/>
          <w:color w:val="000000" w:themeColor="text1"/>
          <w:sz w:val="16"/>
          <w:szCs w:val="16"/>
        </w:rPr>
        <w:t>Марчевский</w:t>
      </w:r>
      <w:proofErr w:type="spellEnd"/>
      <w:r w:rsidRPr="007122AB">
        <w:rPr>
          <w:rFonts w:ascii="Times New Roman" w:hAnsi="Times New Roman"/>
          <w:color w:val="000000" w:themeColor="text1"/>
          <w:sz w:val="16"/>
          <w:szCs w:val="16"/>
        </w:rPr>
        <w:t>, (2002 г.)- В.Т. Андреев.</w:t>
      </w:r>
      <w:r w:rsidRPr="007122AB">
        <w:rPr>
          <w:rFonts w:ascii="Times New Roman" w:hAnsi="Times New Roman"/>
          <w:color w:val="000000" w:themeColor="text1"/>
          <w:sz w:val="16"/>
          <w:szCs w:val="16"/>
          <w:vertAlign w:val="superscript"/>
        </w:rPr>
        <w:t>69</w:t>
      </w:r>
    </w:p>
    <w:p w14:paraId="02013F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гл. инженера: (11.12.1937 г.-)- С.М. </w:t>
      </w:r>
      <w:proofErr w:type="spellStart"/>
      <w:r w:rsidRPr="007122AB">
        <w:rPr>
          <w:rFonts w:ascii="Times New Roman" w:hAnsi="Times New Roman"/>
          <w:color w:val="000000" w:themeColor="text1"/>
          <w:sz w:val="16"/>
          <w:szCs w:val="16"/>
        </w:rPr>
        <w:t>Лано</w:t>
      </w:r>
      <w:proofErr w:type="spellEnd"/>
      <w:r w:rsidRPr="007122AB">
        <w:rPr>
          <w:rFonts w:ascii="Times New Roman" w:hAnsi="Times New Roman"/>
          <w:color w:val="000000" w:themeColor="text1"/>
          <w:sz w:val="16"/>
          <w:szCs w:val="16"/>
        </w:rPr>
        <w:t>; по производству (12.04.1938 г.-)- Портнов; по подготовке производства (-12.04.1938 г.)- Портнов, (12.04.1938 г.-)- Н.Я. Мирошниченко. Гл. инженер строительства (12.04.1938 г.-)- Львовский.</w:t>
      </w:r>
    </w:p>
    <w:p w14:paraId="04F00C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(08.1941 г.-)- А.С. Яковлев.</w:t>
      </w:r>
    </w:p>
    <w:p w14:paraId="080EAD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диспетчер (12.04.1938 г.-)- Портнов.</w:t>
      </w:r>
    </w:p>
    <w:p w14:paraId="363431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цеха: механического (12.04.1938 г.-)- </w:t>
      </w:r>
      <w:proofErr w:type="spellStart"/>
      <w:r w:rsidRPr="007122AB">
        <w:rPr>
          <w:rFonts w:ascii="Times New Roman" w:hAnsi="Times New Roman"/>
          <w:color w:val="000000" w:themeColor="text1"/>
          <w:sz w:val="16"/>
          <w:szCs w:val="16"/>
        </w:rPr>
        <w:t>Дитяткин</w:t>
      </w:r>
      <w:proofErr w:type="spellEnd"/>
      <w:r w:rsidRPr="007122AB">
        <w:rPr>
          <w:rFonts w:ascii="Times New Roman" w:hAnsi="Times New Roman"/>
          <w:color w:val="000000" w:themeColor="text1"/>
          <w:sz w:val="16"/>
          <w:szCs w:val="16"/>
        </w:rPr>
        <w:t>.</w:t>
      </w:r>
    </w:p>
    <w:p w14:paraId="0B4FD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лесного хозяйства: и.о. (12.04.1938 г.-)- </w:t>
      </w:r>
      <w:proofErr w:type="spellStart"/>
      <w:r w:rsidRPr="007122AB">
        <w:rPr>
          <w:rFonts w:ascii="Times New Roman" w:hAnsi="Times New Roman"/>
          <w:color w:val="000000" w:themeColor="text1"/>
          <w:sz w:val="16"/>
          <w:szCs w:val="16"/>
        </w:rPr>
        <w:t>Саморуков</w:t>
      </w:r>
      <w:proofErr w:type="spellEnd"/>
      <w:r w:rsidRPr="007122AB">
        <w:rPr>
          <w:rFonts w:ascii="Times New Roman" w:hAnsi="Times New Roman"/>
          <w:color w:val="000000" w:themeColor="text1"/>
          <w:sz w:val="16"/>
          <w:szCs w:val="16"/>
        </w:rPr>
        <w:t>.</w:t>
      </w:r>
    </w:p>
    <w:p w14:paraId="118E9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ОГК и.о. (12.04.1938 г.-)- </w:t>
      </w:r>
      <w:proofErr w:type="spellStart"/>
      <w:r w:rsidRPr="007122AB">
        <w:rPr>
          <w:rFonts w:ascii="Times New Roman" w:hAnsi="Times New Roman"/>
          <w:color w:val="000000" w:themeColor="text1"/>
          <w:sz w:val="16"/>
          <w:szCs w:val="16"/>
        </w:rPr>
        <w:t>Лукандин</w:t>
      </w:r>
      <w:proofErr w:type="spellEnd"/>
      <w:r w:rsidRPr="007122AB">
        <w:rPr>
          <w:rFonts w:ascii="Times New Roman" w:hAnsi="Times New Roman"/>
          <w:color w:val="000000" w:themeColor="text1"/>
          <w:sz w:val="16"/>
          <w:szCs w:val="16"/>
        </w:rPr>
        <w:t>. Начальник департамента по ВЭС и сбыту (2002 г.)- В.С. Юсов.</w:t>
      </w:r>
    </w:p>
    <w:p w14:paraId="27260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отдела: технологического по деревообделочным работам (12.04.1938 г.-)- Д.Н. Певзнер; ППО (12.04.1938 г.-)- </w:t>
      </w:r>
      <w:proofErr w:type="spellStart"/>
      <w:r w:rsidRPr="007122AB">
        <w:rPr>
          <w:rFonts w:ascii="Times New Roman" w:hAnsi="Times New Roman"/>
          <w:color w:val="000000" w:themeColor="text1"/>
          <w:sz w:val="16"/>
          <w:szCs w:val="16"/>
        </w:rPr>
        <w:t>Пылакин</w:t>
      </w:r>
      <w:proofErr w:type="spellEnd"/>
      <w:r w:rsidRPr="007122AB">
        <w:rPr>
          <w:rFonts w:ascii="Times New Roman" w:hAnsi="Times New Roman"/>
          <w:color w:val="000000" w:themeColor="text1"/>
          <w:sz w:val="16"/>
          <w:szCs w:val="16"/>
        </w:rPr>
        <w:t>; ОТК (12.04.1938 г.-)- Яковлев.</w:t>
      </w:r>
    </w:p>
    <w:p w14:paraId="78AD4F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мастерских: вооружения (12.04.1938 г.-)- Лепихов.</w:t>
      </w:r>
    </w:p>
    <w:p w14:paraId="2BCBBE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лабораторий: ЦЗЛ (12.04;1938 г.-)- Л.А. Петров.</w:t>
      </w:r>
    </w:p>
    <w:p w14:paraId="4252EC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бюро: оргбюро (12.04.1938 г.-)- Я.М. </w:t>
      </w:r>
      <w:proofErr w:type="spellStart"/>
      <w:r w:rsidRPr="007122AB">
        <w:rPr>
          <w:rFonts w:ascii="Times New Roman" w:hAnsi="Times New Roman"/>
          <w:color w:val="000000" w:themeColor="text1"/>
          <w:sz w:val="16"/>
          <w:szCs w:val="16"/>
        </w:rPr>
        <w:t>Пистрак</w:t>
      </w:r>
      <w:proofErr w:type="spellEnd"/>
      <w:r w:rsidRPr="007122AB">
        <w:rPr>
          <w:rFonts w:ascii="Times New Roman" w:hAnsi="Times New Roman"/>
          <w:color w:val="000000" w:themeColor="text1"/>
          <w:sz w:val="16"/>
          <w:szCs w:val="16"/>
        </w:rPr>
        <w:t>.</w:t>
      </w:r>
    </w:p>
    <w:p w14:paraId="02498C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отделений: </w:t>
      </w:r>
      <w:proofErr w:type="spellStart"/>
      <w:r w:rsidRPr="007122AB">
        <w:rPr>
          <w:rFonts w:ascii="Times New Roman" w:hAnsi="Times New Roman"/>
          <w:color w:val="000000" w:themeColor="text1"/>
          <w:sz w:val="16"/>
          <w:szCs w:val="16"/>
        </w:rPr>
        <w:t>плазово</w:t>
      </w:r>
      <w:proofErr w:type="spellEnd"/>
      <w:r w:rsidRPr="007122AB">
        <w:rPr>
          <w:rFonts w:ascii="Times New Roman" w:hAnsi="Times New Roman"/>
          <w:color w:val="000000" w:themeColor="text1"/>
          <w:sz w:val="16"/>
          <w:szCs w:val="16"/>
        </w:rPr>
        <w:t>-шаблонного (12.04.1938 г.-)- Козлов; автоматов механического цеха (12.04.1938 г.-)- А.И. Герасимов.</w:t>
      </w:r>
    </w:p>
    <w:p w14:paraId="5AAE5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групп: контрольной (12.04.1938 г.-)- Гудков; стандартизации (12.04.1938 г.-)- Гудков.</w:t>
      </w:r>
      <w:r w:rsidRPr="007122AB">
        <w:rPr>
          <w:rFonts w:ascii="Times New Roman" w:hAnsi="Times New Roman"/>
          <w:color w:val="000000" w:themeColor="text1"/>
          <w:sz w:val="16"/>
          <w:szCs w:val="16"/>
          <w:vertAlign w:val="superscript"/>
        </w:rPr>
        <w:t>139</w:t>
      </w:r>
    </w:p>
    <w:p w14:paraId="6DF137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122-мм гаубица обр. 1910/30 г. (1937);</w:t>
      </w:r>
      <w:r w:rsidRPr="007122AB">
        <w:rPr>
          <w:rFonts w:ascii="Times New Roman" w:hAnsi="Times New Roman"/>
          <w:iCs/>
          <w:color w:val="000000" w:themeColor="text1"/>
          <w:sz w:val="16"/>
          <w:szCs w:val="16"/>
        </w:rPr>
        <w:t xml:space="preserve"> самолеты и вертолеты:</w:t>
      </w:r>
      <w:r w:rsidRPr="007122AB">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59FE03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00E306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7606ED" w14:textId="77777777" w:rsidR="00F77A7B" w:rsidRPr="007122AB" w:rsidRDefault="00F77A7B" w:rsidP="007122AB">
      <w:pPr>
        <w:spacing w:after="0" w:line="240" w:lineRule="auto"/>
        <w:jc w:val="both"/>
        <w:rPr>
          <w:rFonts w:ascii="Times New Roman" w:hAnsi="Times New Roman"/>
          <w:color w:val="000000" w:themeColor="text1"/>
          <w:sz w:val="16"/>
          <w:szCs w:val="16"/>
        </w:rPr>
      </w:pPr>
      <w:r w:rsidRPr="007122AB">
        <w:rPr>
          <w:rFonts w:ascii="Times New Roman" w:hAnsi="Times New Roman"/>
          <w:bCs/>
          <w:color w:val="000000" w:themeColor="text1"/>
          <w:sz w:val="16"/>
          <w:szCs w:val="16"/>
        </w:rPr>
        <w:t>31 декабря</w:t>
      </w:r>
      <w:r w:rsidRPr="007122AB">
        <w:rPr>
          <w:rFonts w:ascii="Times New Roman" w:hAnsi="Times New Roman"/>
          <w:color w:val="000000" w:themeColor="text1"/>
          <w:sz w:val="16"/>
          <w:szCs w:val="16"/>
        </w:rPr>
        <w:t xml:space="preserve"> в 1931 году в Саратове образован завод комбайнов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xml:space="preserve">» (авиазавод №292, ныне - АО «Саратовский авиационный завод»). Предприятие по производству авиационной техники, производитель самолетов «Як-40» и «Як-42», - имеет богатую, интересную и даже героическую историю, которая во многом отражает богатый событиями двадцатый век в России. Собственно Саратовским авиазаводом со специализацией в области авиации и производства авиационной техники от учебно-тренировочных до боевых и пассажирских самолетов предприятие стало только в конце тридцатых. Изначально в 1929 году было принято решение о создании в Саратове завода по производству сельскохозяйственных машин, на базе которого впоследствии и создавался авиазавод. За первые шесть лет напряженного труда коллектив завода внес большой вклад в развитие сельскохозяйственного производства в Поволжье, Сибири и на Дальнем Востоке, выпустив более 39000 единиц хлебоуборочной техники. В связи с "угрозой военного нападения на СССР" в 1937 году Саратовский завод комбайнов был переориентирован на производство авиационной техники. Началась работа по освоению нового производства. Масштабы работ по перестройке предприятия были огромны: установлено более 500 новых станков и механизмов, прошли переобучение 6500 специалистов и рабочих. 28 октября 1938 года взлетел первый самолет «Р-10», обладавший огромной по тем временам скоростью 370 км/ч и использовавшийся как мобильный разведчик высокого класса. В июле 1939 года совершил испытательный полет истребитель И-28 конструкции </w:t>
      </w:r>
      <w:proofErr w:type="spellStart"/>
      <w:r w:rsidRPr="007122AB">
        <w:rPr>
          <w:rFonts w:ascii="Times New Roman" w:hAnsi="Times New Roman"/>
          <w:color w:val="000000" w:themeColor="text1"/>
          <w:sz w:val="16"/>
          <w:szCs w:val="16"/>
        </w:rPr>
        <w:t>В.П.Яценко</w:t>
      </w:r>
      <w:proofErr w:type="spellEnd"/>
      <w:r w:rsidRPr="007122AB">
        <w:rPr>
          <w:rFonts w:ascii="Times New Roman" w:hAnsi="Times New Roman"/>
          <w:color w:val="000000" w:themeColor="text1"/>
          <w:sz w:val="16"/>
          <w:szCs w:val="16"/>
        </w:rPr>
        <w:t xml:space="preserve">. Это была первая машина с двигателем воздушного охлаждения, которая на высоте 5000 метров показала скорость 576 км/час. В июне 1940 года заводу было поручено в трехмесячный срок освоить серийный выпуск созданного молодым авиаконструктором </w:t>
      </w:r>
      <w:proofErr w:type="spellStart"/>
      <w:r w:rsidRPr="007122AB">
        <w:rPr>
          <w:rFonts w:ascii="Times New Roman" w:hAnsi="Times New Roman"/>
          <w:color w:val="000000" w:themeColor="text1"/>
          <w:sz w:val="16"/>
          <w:szCs w:val="16"/>
        </w:rPr>
        <w:t>А.С.Яковлевым</w:t>
      </w:r>
      <w:proofErr w:type="spellEnd"/>
      <w:r w:rsidRPr="007122AB">
        <w:rPr>
          <w:rFonts w:ascii="Times New Roman" w:hAnsi="Times New Roman"/>
          <w:color w:val="000000" w:themeColor="text1"/>
          <w:sz w:val="16"/>
          <w:szCs w:val="16"/>
        </w:rPr>
        <w:t xml:space="preserve"> истребителя «Як-1». В октябре 1940 года первые три самолета ЯК поднялись в воздух. 22 июня 1941 года началась Великая Отечественная война, и саратовские авиастроители трудились с первого до последнего дня, поставляя на фронт самолеты-истребители. В 1943 году немецкие бомбардировщики разрушили 70% производственных площадей. Коллектив завода продолжил работу под открытым небом. Одновременно с этим восстанавливались корпуса, шла реконструкция, создавались поточно-конвейерные линии, и после 80 суток напряженного труда выпуск самолетов достиг прежнего уровня. Всего за время войны завод выпустил свыше 13 тысяч истребителей «Як -12 и «Як -32. После войны сотрудничество Саратовского авиазавода и АКБ Яковлева продолжилось. 19 апреля 1946 года был испытан первый учебно-тренировочный самолет «Як -11». Этот самолет с цельнометаллическим крылом стал важной ступенью для перехода в будущем на производство реактивной авиационной техники. 30 апреля 1949 года над территорией завода промчался первый реактивный истребитель конструкции </w:t>
      </w:r>
      <w:proofErr w:type="spellStart"/>
      <w:r w:rsidRPr="007122AB">
        <w:rPr>
          <w:rFonts w:ascii="Times New Roman" w:hAnsi="Times New Roman"/>
          <w:color w:val="000000" w:themeColor="text1"/>
          <w:sz w:val="16"/>
          <w:szCs w:val="16"/>
        </w:rPr>
        <w:t>С.А.Лавочкина</w:t>
      </w:r>
      <w:proofErr w:type="spellEnd"/>
      <w:r w:rsidRPr="007122AB">
        <w:rPr>
          <w:rFonts w:ascii="Times New Roman" w:hAnsi="Times New Roman"/>
          <w:color w:val="000000" w:themeColor="text1"/>
          <w:sz w:val="16"/>
          <w:szCs w:val="16"/>
        </w:rPr>
        <w:t xml:space="preserve"> «ЛА-15». Он имел необычайно малый вес для реактивного самолета - 3850 кг, максимальную скорость - 1026 км/ч, был легок в управлении. Еще более высокие боевые качества имел одноместный многоцелевой истребитель «МиГ-15». Он оказался исключительно удачным и быстро приобрел мировую известность. 28 мая 1952 года вертолет «Ми-4» конструкции КБ Михаила Миля прошел контрольные заводские испытания. Своими качествами и транспортными возможностями «Ми-4» значительно превосходил зарубежные аналоги. Этот вертолет и сегодня широко используется в народном хозяйстве России в качестве пассажирского, санитарного, для тушения лесных пожаров, для работы в Арктике и Антарктике. На «Ми-4» установлено 7 мировых рекордов. На всемирной выставке в Брюсселе этот вертолет был награжден золотой медалью. В 1955 году наряду с самолетами завод выпускал силосоуборочные комбайны, молотилки к зерноуборочным комбайнам, клеточные батареи для </w:t>
      </w:r>
      <w:r w:rsidRPr="007122AB">
        <w:rPr>
          <w:rFonts w:ascii="Times New Roman" w:hAnsi="Times New Roman"/>
          <w:color w:val="000000" w:themeColor="text1"/>
          <w:sz w:val="16"/>
          <w:szCs w:val="16"/>
        </w:rPr>
        <w:lastRenderedPageBreak/>
        <w:t xml:space="preserve">птицефабрик. В 1959 году началось производство высотного разведчика «Як-27», имевшего скорость 1190 км/час, потолок 19000 м, мощное вооружение. Было выпущено 172 самолета в 7-ми модификациях. Среди других видов продукции были широкоуниверсальные фрезерные станки "675-П". Во второй половине 1965 года завод получил задание освоить серийное производство пассажирского турбореактивного самолета «Як-40» конструкции </w:t>
      </w:r>
      <w:proofErr w:type="spellStart"/>
      <w:r w:rsidRPr="007122AB">
        <w:rPr>
          <w:rFonts w:ascii="Times New Roman" w:hAnsi="Times New Roman"/>
          <w:color w:val="000000" w:themeColor="text1"/>
          <w:sz w:val="16"/>
          <w:szCs w:val="16"/>
        </w:rPr>
        <w:t>А.С.Яковлева</w:t>
      </w:r>
      <w:proofErr w:type="spellEnd"/>
      <w:r w:rsidRPr="007122AB">
        <w:rPr>
          <w:rFonts w:ascii="Times New Roman" w:hAnsi="Times New Roman"/>
          <w:color w:val="000000" w:themeColor="text1"/>
          <w:sz w:val="16"/>
          <w:szCs w:val="16"/>
        </w:rPr>
        <w:t xml:space="preserve">. В 1968 году «Як-40» производства Саратовского авиазавода вышел на внутрисоюзные трассы Аэрофлота. Заводом выпущено 1123 «Як-40», из них 119 на экспорт в 19 стран мира. 28 октября 1977 года прошел заводские испытания и был введен в серийное производство 120-местный пассажирский реактивный лайнер «Як-42». В 1991 году завод преобразован в коллективное предприятие, а позднее, по решению конференции совладельцев, Саратовский авиационный завод стал акционерным обществом закрытого типа. На сегодняшний день основной продукцией САЗ является ближнемагистральный пассажирский самолет «Як-42» и его варианты и модификации «Як-42Д», «Як-42А». Совместно с ОКБ имени </w:t>
      </w:r>
      <w:proofErr w:type="spellStart"/>
      <w:r w:rsidRPr="007122AB">
        <w:rPr>
          <w:rFonts w:ascii="Times New Roman" w:hAnsi="Times New Roman"/>
          <w:color w:val="000000" w:themeColor="text1"/>
          <w:sz w:val="16"/>
          <w:szCs w:val="16"/>
        </w:rPr>
        <w:t>А.С.Яковлева</w:t>
      </w:r>
      <w:proofErr w:type="spellEnd"/>
      <w:r w:rsidRPr="007122AB">
        <w:rPr>
          <w:rFonts w:ascii="Times New Roman" w:hAnsi="Times New Roman"/>
          <w:color w:val="000000" w:themeColor="text1"/>
          <w:sz w:val="16"/>
          <w:szCs w:val="16"/>
        </w:rPr>
        <w:t xml:space="preserve"> ведутся работы по созданию конвертируемого грузопассажирского варианта самолета «Як-242», который станет дальнейшим развитием самолета «Як-42». В июне 1994 года первый самолет «Як-54», производства САЗ, был передан для проведения испытаний. «Як-54» - это двухместный спортивно-пилотажный самолет, предназначенный для подготовки летчиков-спортсменов, обучения высшему пилотажу и участия в соревнованиях по самолетному спорту. В июне 1992 года на завод поступила документация на освоение летательного аппарата будущего поколения фирмы "</w:t>
      </w:r>
      <w:proofErr w:type="spellStart"/>
      <w:r w:rsidRPr="007122AB">
        <w:rPr>
          <w:rFonts w:ascii="Times New Roman" w:hAnsi="Times New Roman"/>
          <w:color w:val="000000" w:themeColor="text1"/>
          <w:sz w:val="16"/>
          <w:szCs w:val="16"/>
        </w:rPr>
        <w:t>Экип</w:t>
      </w:r>
      <w:proofErr w:type="spellEnd"/>
      <w:r w:rsidRPr="007122AB">
        <w:rPr>
          <w:rFonts w:ascii="Times New Roman" w:hAnsi="Times New Roman"/>
          <w:color w:val="000000" w:themeColor="text1"/>
          <w:sz w:val="16"/>
          <w:szCs w:val="16"/>
        </w:rPr>
        <w:t xml:space="preserve">". ЭКИП - широкофюзеляжные, </w:t>
      </w:r>
      <w:proofErr w:type="spellStart"/>
      <w:r w:rsidRPr="007122AB">
        <w:rPr>
          <w:rFonts w:ascii="Times New Roman" w:hAnsi="Times New Roman"/>
          <w:color w:val="000000" w:themeColor="text1"/>
          <w:sz w:val="16"/>
          <w:szCs w:val="16"/>
        </w:rPr>
        <w:t>безаэродромные</w:t>
      </w:r>
      <w:proofErr w:type="spellEnd"/>
      <w:r w:rsidRPr="007122AB">
        <w:rPr>
          <w:rFonts w:ascii="Times New Roman" w:hAnsi="Times New Roman"/>
          <w:color w:val="000000" w:themeColor="text1"/>
          <w:sz w:val="16"/>
          <w:szCs w:val="16"/>
        </w:rPr>
        <w:t>, высокоэкономичные летательные аппараты нового типа с аэродинамически несущим корпусом, объединяющим функции крыла и фюзеляжа, большой грузоподъемностью и полезным объемом в 8-10 раз превышающим объемы современных, сопоставимых по грузоподъемности пассажирских и транспортных самолетов. Использование взлетно-посадочного устройства на воздушной подушке обеспечивает взлет и посадку с неподготовленных аэродромов любой категории, включая водные поверхности, а применение эффективной системы управления пограничным слоем (УПС) - высокие аэродинамические качества (14877).</w:t>
      </w:r>
    </w:p>
    <w:p w14:paraId="6AF48019" w14:textId="77777777" w:rsidR="00F77A7B" w:rsidRPr="007122AB" w:rsidRDefault="00F77A7B" w:rsidP="007122AB">
      <w:pPr>
        <w:spacing w:after="0" w:line="240" w:lineRule="auto"/>
        <w:jc w:val="both"/>
        <w:rPr>
          <w:rFonts w:ascii="Times New Roman" w:hAnsi="Times New Roman"/>
          <w:color w:val="000000" w:themeColor="text1"/>
          <w:sz w:val="16"/>
          <w:szCs w:val="16"/>
        </w:rPr>
      </w:pPr>
    </w:p>
    <w:p w14:paraId="40E327CB" w14:textId="77777777" w:rsidR="00903F2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57A7DC5" w14:textId="77777777" w:rsidR="00903F28" w:rsidRPr="007122AB" w:rsidRDefault="00903F2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737E5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была подготовлена запись:</w:t>
      </w:r>
    </w:p>
    <w:p w14:paraId="26687D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 ходе испытаний СУ-1</w:t>
      </w:r>
    </w:p>
    <w:p w14:paraId="119FC23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дополнение к ЖУРНАЛУ НТК УММ № 27/ХН от 30 дек 1931 г. по 4 секции НТК УММ и 2 секции НТК АУ</w:t>
      </w:r>
    </w:p>
    <w:p w14:paraId="38EAA41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рассмотрению проекта СУ-1 — полковой пушки на шасси Т-26 и результатов ее испытания на </w:t>
      </w:r>
      <w:proofErr w:type="spellStart"/>
      <w:r w:rsidRPr="007122AB">
        <w:rPr>
          <w:rFonts w:ascii="Times New Roman" w:hAnsi="Times New Roman"/>
          <w:color w:val="000000" w:themeColor="text1"/>
          <w:sz w:val="16"/>
          <w:szCs w:val="16"/>
        </w:rPr>
        <w:t>НИАПе</w:t>
      </w:r>
      <w:proofErr w:type="spellEnd"/>
    </w:p>
    <w:p w14:paraId="1CA657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Характеристика установки</w:t>
      </w:r>
    </w:p>
    <w:p w14:paraId="3474021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Кач часть полковой пушки обр. 1927 г. с укороченным до 500 мм откатом и панорамным прицелом</w:t>
      </w:r>
    </w:p>
    <w:p w14:paraId="618096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Орудие установлено на тумбе </w:t>
      </w:r>
      <w:proofErr w:type="spellStart"/>
      <w:r w:rsidRPr="007122AB">
        <w:rPr>
          <w:rFonts w:ascii="Times New Roman" w:hAnsi="Times New Roman"/>
          <w:color w:val="000000" w:themeColor="text1"/>
          <w:sz w:val="16"/>
          <w:szCs w:val="16"/>
        </w:rPr>
        <w:t>гарфорда</w:t>
      </w:r>
      <w:proofErr w:type="spellEnd"/>
      <w:r w:rsidRPr="007122AB">
        <w:rPr>
          <w:rFonts w:ascii="Times New Roman" w:hAnsi="Times New Roman"/>
          <w:color w:val="000000" w:themeColor="text1"/>
          <w:sz w:val="16"/>
          <w:szCs w:val="16"/>
        </w:rPr>
        <w:t xml:space="preserve"> для ускорения изготовления и испытания САУ в основном</w:t>
      </w:r>
    </w:p>
    <w:p w14:paraId="1D0E1F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Результаты: самоход выдержал все испытания матчасти и шасси, сделав 44 выстрела и показав улучшенную кучность и </w:t>
      </w:r>
      <w:proofErr w:type="spellStart"/>
      <w:r w:rsidRPr="007122AB">
        <w:rPr>
          <w:rFonts w:ascii="Times New Roman" w:hAnsi="Times New Roman"/>
          <w:color w:val="000000" w:themeColor="text1"/>
          <w:sz w:val="16"/>
          <w:szCs w:val="16"/>
        </w:rPr>
        <w:t>прицельность</w:t>
      </w:r>
      <w:proofErr w:type="spellEnd"/>
      <w:r w:rsidRPr="007122AB">
        <w:rPr>
          <w:rFonts w:ascii="Times New Roman" w:hAnsi="Times New Roman"/>
          <w:color w:val="000000" w:themeColor="text1"/>
          <w:sz w:val="16"/>
          <w:szCs w:val="16"/>
        </w:rPr>
        <w:t xml:space="preserve">, чем пушка обр. 1927 г. Стрельба и пробег по бездорожью </w:t>
      </w:r>
      <w:proofErr w:type="spellStart"/>
      <w:r w:rsidRPr="007122AB">
        <w:rPr>
          <w:rFonts w:ascii="Times New Roman" w:hAnsi="Times New Roman"/>
          <w:color w:val="000000" w:themeColor="text1"/>
          <w:sz w:val="16"/>
          <w:szCs w:val="16"/>
        </w:rPr>
        <w:t>ок</w:t>
      </w:r>
      <w:proofErr w:type="spellEnd"/>
      <w:r w:rsidRPr="007122AB">
        <w:rPr>
          <w:rFonts w:ascii="Times New Roman" w:hAnsi="Times New Roman"/>
          <w:color w:val="000000" w:themeColor="text1"/>
          <w:sz w:val="16"/>
          <w:szCs w:val="16"/>
        </w:rPr>
        <w:t xml:space="preserve"> 30 км на ходовой части не отразились.</w:t>
      </w:r>
    </w:p>
    <w:p w14:paraId="41CEF1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Прицельный огонь с ходу вести нельзя - заряжающий не в состоянии осуществлять заряжения и даже просто на</w:t>
      </w:r>
      <w:r w:rsidRPr="007122AB">
        <w:rPr>
          <w:rFonts w:ascii="Times New Roman" w:hAnsi="Times New Roman"/>
          <w:color w:val="000000" w:themeColor="text1"/>
          <w:sz w:val="16"/>
          <w:szCs w:val="16"/>
        </w:rPr>
        <w:softHyphen/>
        <w:t>ходиться на своем рабочем месте. Качка невероятная. Ящики со снарядами не закреплены. Необходимы специ</w:t>
      </w:r>
      <w:r w:rsidRPr="007122AB">
        <w:rPr>
          <w:rFonts w:ascii="Times New Roman" w:hAnsi="Times New Roman"/>
          <w:color w:val="000000" w:themeColor="text1"/>
          <w:sz w:val="16"/>
          <w:szCs w:val="16"/>
        </w:rPr>
        <w:softHyphen/>
        <w:t>альные гнезда для снарядов...(11417).</w:t>
      </w:r>
    </w:p>
    <w:p w14:paraId="3B170B7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EC2DE"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декабря 1931 года на совещании у заместителя председателя Высшего совета народного хозяйства (ВСНХ) СССР было принято решение об изготовлении </w:t>
      </w:r>
      <w:proofErr w:type="spellStart"/>
      <w:r w:rsidRPr="007122AB">
        <w:rPr>
          <w:rFonts w:ascii="Times New Roman" w:hAnsi="Times New Roman"/>
          <w:color w:val="000000" w:themeColor="text1"/>
          <w:sz w:val="16"/>
          <w:szCs w:val="16"/>
        </w:rPr>
        <w:t>Главмашпромом</w:t>
      </w:r>
      <w:proofErr w:type="spellEnd"/>
      <w:r w:rsidRPr="007122AB">
        <w:rPr>
          <w:rFonts w:ascii="Times New Roman" w:hAnsi="Times New Roman"/>
          <w:color w:val="000000" w:themeColor="text1"/>
          <w:sz w:val="16"/>
          <w:szCs w:val="16"/>
        </w:rPr>
        <w:t xml:space="preserve"> в течение двух месяцев 60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ОГПУ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w:t>
      </w:r>
      <w:proofErr w:type="spellStart"/>
      <w:r w:rsidRPr="007122AB">
        <w:rPr>
          <w:rFonts w:ascii="Times New Roman" w:hAnsi="Times New Roman"/>
          <w:color w:val="000000" w:themeColor="text1"/>
          <w:sz w:val="16"/>
          <w:szCs w:val="16"/>
        </w:rPr>
        <w:t>комплектуюипле</w:t>
      </w:r>
      <w:proofErr w:type="spellEnd"/>
      <w:r w:rsidRPr="007122AB">
        <w:rPr>
          <w:rFonts w:ascii="Times New Roman" w:hAnsi="Times New Roman"/>
          <w:color w:val="000000" w:themeColor="text1"/>
          <w:sz w:val="16"/>
          <w:szCs w:val="16"/>
        </w:rPr>
        <w:t xml:space="preserve">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w:t>
      </w:r>
      <w:proofErr w:type="spellStart"/>
      <w:r w:rsidRPr="007122AB">
        <w:rPr>
          <w:rFonts w:ascii="Times New Roman" w:hAnsi="Times New Roman"/>
          <w:color w:val="000000" w:themeColor="text1"/>
          <w:sz w:val="16"/>
          <w:szCs w:val="16"/>
        </w:rPr>
        <w:t>завод</w:t>
      </w:r>
      <w:proofErr w:type="spellEnd"/>
      <w:r w:rsidRPr="007122AB">
        <w:rPr>
          <w:rFonts w:ascii="Times New Roman" w:hAnsi="Times New Roman"/>
          <w:color w:val="000000" w:themeColor="text1"/>
          <w:sz w:val="16"/>
          <w:szCs w:val="16"/>
        </w:rPr>
        <w:t xml:space="preserve"> имени Буденного (шестерни реверсной передачи).</w:t>
      </w:r>
    </w:p>
    <w:p w14:paraId="7D26B029"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(15624).</w:t>
      </w:r>
    </w:p>
    <w:p w14:paraId="50411C4A" w14:textId="77777777" w:rsidR="00903F28" w:rsidRPr="007122AB" w:rsidRDefault="00903F28" w:rsidP="007122AB">
      <w:pPr>
        <w:spacing w:after="0" w:line="240" w:lineRule="auto"/>
        <w:jc w:val="both"/>
        <w:rPr>
          <w:rFonts w:ascii="Times New Roman" w:hAnsi="Times New Roman"/>
          <w:color w:val="000000" w:themeColor="text1"/>
          <w:sz w:val="16"/>
          <w:szCs w:val="16"/>
        </w:rPr>
      </w:pPr>
    </w:p>
    <w:p w14:paraId="6CE72569" w14:textId="77777777" w:rsidR="002C06C5" w:rsidRPr="007122AB" w:rsidRDefault="002C06C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31 декабря 1931 года на совещании у заместителя председателя Высшего совета народного хозяйства (ВСНХ) СССР было принято решение об изготовлении </w:t>
      </w:r>
      <w:proofErr w:type="spellStart"/>
      <w:r w:rsidRPr="007122AB">
        <w:rPr>
          <w:rFonts w:ascii="Times New Roman" w:hAnsi="Times New Roman"/>
          <w:color w:val="000000" w:themeColor="text1"/>
          <w:sz w:val="16"/>
          <w:szCs w:val="16"/>
        </w:rPr>
        <w:t>Главмашпромом</w:t>
      </w:r>
      <w:proofErr w:type="spellEnd"/>
      <w:r w:rsidRPr="007122AB">
        <w:rPr>
          <w:rFonts w:ascii="Times New Roman" w:hAnsi="Times New Roman"/>
          <w:color w:val="000000" w:themeColor="text1"/>
          <w:sz w:val="16"/>
          <w:szCs w:val="16"/>
        </w:rPr>
        <w:t xml:space="preserve"> в течение двух месяцев 60 </w:t>
      </w:r>
      <w:proofErr w:type="spellStart"/>
      <w:r w:rsidRPr="007122AB">
        <w:rPr>
          <w:rFonts w:ascii="Times New Roman" w:hAnsi="Times New Roman"/>
          <w:color w:val="000000" w:themeColor="text1"/>
          <w:sz w:val="16"/>
          <w:szCs w:val="16"/>
        </w:rPr>
        <w:t>мотоброневагонов</w:t>
      </w:r>
      <w:proofErr w:type="spellEnd"/>
      <w:r w:rsidRPr="007122AB">
        <w:rPr>
          <w:rFonts w:ascii="Times New Roman" w:hAnsi="Times New Roman"/>
          <w:color w:val="000000" w:themeColor="text1"/>
          <w:sz w:val="16"/>
          <w:szCs w:val="16"/>
        </w:rPr>
        <w:t xml:space="preserve">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ОПТУ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комплектующие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 </w:t>
      </w:r>
    </w:p>
    <w:p w14:paraId="7A9327E0" w14:textId="77777777" w:rsidR="002C06C5" w:rsidRPr="007122AB" w:rsidRDefault="002C06C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(18626).</w:t>
      </w:r>
    </w:p>
    <w:p w14:paraId="7A6DAA97" w14:textId="77777777" w:rsidR="002C06C5" w:rsidRPr="007122AB" w:rsidRDefault="002C06C5" w:rsidP="007122AB">
      <w:pPr>
        <w:spacing w:after="0" w:line="240" w:lineRule="auto"/>
        <w:jc w:val="both"/>
        <w:rPr>
          <w:rFonts w:ascii="Times New Roman" w:hAnsi="Times New Roman"/>
          <w:color w:val="000000" w:themeColor="text1"/>
          <w:sz w:val="16"/>
          <w:szCs w:val="16"/>
        </w:rPr>
      </w:pPr>
    </w:p>
    <w:p w14:paraId="5C366A8D"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2EA27B4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A5FA39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в СССР музыка С. Рахманинова объявлена декадентской и запрещена (4962).</w:t>
      </w:r>
    </w:p>
    <w:p w14:paraId="3213A11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16A80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1E39A7E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4EB37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СССР выступила с предложением к Японии заключить пакт о ненападении. Японцы завершили оккупацию Манчжурии (3186).</w:t>
      </w:r>
    </w:p>
    <w:p w14:paraId="6EAC3B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64299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7D9B605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CCBBA14"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 декабря 1931 в США зафиксировано самое большое падение индекса Доу-Джонса за год - 52,6% (4962).</w:t>
      </w:r>
    </w:p>
    <w:p w14:paraId="3EAE6E67"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E36CA" w14:textId="77777777" w:rsidR="00903F28"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3618C743" w14:textId="77777777" w:rsidR="00903F28" w:rsidRPr="007122AB" w:rsidRDefault="00903F28"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FA1340C" w14:textId="77777777" w:rsidR="00903F28" w:rsidRPr="007122AB" w:rsidRDefault="00903F28"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декабря 1931 года, Всесоюзное авиационное объединение (ВАО) преобразуется в Главное Управление авиационной промышленности – ГУАП, с подчинением ему вновь созданных трестов: самолетостроительного, авиамоторостроительного, подсобных предприятий, ремонтно-запасного производства (15223).</w:t>
      </w:r>
    </w:p>
    <w:p w14:paraId="1656A0FB" w14:textId="77777777" w:rsidR="00903F28" w:rsidRPr="007122AB" w:rsidRDefault="00903F28" w:rsidP="007122AB">
      <w:pPr>
        <w:shd w:val="clear" w:color="auto" w:fill="FFFFFF"/>
        <w:spacing w:after="0" w:line="240" w:lineRule="auto"/>
        <w:jc w:val="both"/>
        <w:rPr>
          <w:rFonts w:ascii="Times New Roman" w:hAnsi="Times New Roman"/>
          <w:color w:val="000000" w:themeColor="text1"/>
          <w:sz w:val="16"/>
          <w:szCs w:val="16"/>
        </w:rPr>
      </w:pPr>
    </w:p>
    <w:p w14:paraId="7760C779" w14:textId="77777777" w:rsidR="00746899" w:rsidRPr="007122AB" w:rsidRDefault="00746899" w:rsidP="007122AB">
      <w:pPr>
        <w:pStyle w:val="article-renderblock"/>
        <w:shd w:val="clear" w:color="auto" w:fill="FFFFFF"/>
        <w:spacing w:before="0" w:beforeAutospacing="0" w:after="0" w:afterAutospacing="0"/>
        <w:jc w:val="both"/>
        <w:rPr>
          <w:color w:val="000000" w:themeColor="text1"/>
          <w:sz w:val="16"/>
          <w:szCs w:val="16"/>
        </w:rPr>
      </w:pPr>
      <w:r w:rsidRPr="007122AB">
        <w:rPr>
          <w:color w:val="000000" w:themeColor="text1"/>
          <w:sz w:val="16"/>
          <w:szCs w:val="16"/>
          <w:shd w:val="clear" w:color="auto" w:fill="FFFFFF"/>
        </w:rPr>
        <w:t>В конце декабря 1931 года Уполномоченный "</w:t>
      </w:r>
      <w:proofErr w:type="spellStart"/>
      <w:r w:rsidRPr="007122AB">
        <w:rPr>
          <w:color w:val="000000" w:themeColor="text1"/>
          <w:sz w:val="16"/>
          <w:szCs w:val="16"/>
          <w:shd w:val="clear" w:color="auto" w:fill="FFFFFF"/>
        </w:rPr>
        <w:t>Всехимпрома</w:t>
      </w:r>
      <w:proofErr w:type="spellEnd"/>
      <w:r w:rsidRPr="007122AB">
        <w:rPr>
          <w:color w:val="000000" w:themeColor="text1"/>
          <w:sz w:val="16"/>
          <w:szCs w:val="16"/>
          <w:shd w:val="clear" w:color="auto" w:fill="FFFFFF"/>
        </w:rPr>
        <w:t xml:space="preserve">" в США Лев </w:t>
      </w:r>
      <w:proofErr w:type="spellStart"/>
      <w:r w:rsidRPr="007122AB">
        <w:rPr>
          <w:color w:val="000000" w:themeColor="text1"/>
          <w:sz w:val="16"/>
          <w:szCs w:val="16"/>
          <w:shd w:val="clear" w:color="auto" w:fill="FFFFFF"/>
        </w:rPr>
        <w:t>Хвостовский</w:t>
      </w:r>
      <w:proofErr w:type="spellEnd"/>
      <w:r w:rsidRPr="007122AB">
        <w:rPr>
          <w:color w:val="000000" w:themeColor="text1"/>
          <w:sz w:val="16"/>
          <w:szCs w:val="16"/>
          <w:shd w:val="clear" w:color="auto" w:fill="FFFFFF"/>
        </w:rPr>
        <w:t xml:space="preserve">, который вступил в переговоры с The </w:t>
      </w:r>
      <w:proofErr w:type="spellStart"/>
      <w:r w:rsidRPr="007122AB">
        <w:rPr>
          <w:color w:val="000000" w:themeColor="text1"/>
          <w:sz w:val="16"/>
          <w:szCs w:val="16"/>
          <w:shd w:val="clear" w:color="auto" w:fill="FFFFFF"/>
        </w:rPr>
        <w:t>Helium</w:t>
      </w:r>
      <w:proofErr w:type="spellEnd"/>
      <w:r w:rsidRPr="007122AB">
        <w:rPr>
          <w:color w:val="000000" w:themeColor="text1"/>
          <w:sz w:val="16"/>
          <w:szCs w:val="16"/>
          <w:shd w:val="clear" w:color="auto" w:fill="FFFFFF"/>
        </w:rPr>
        <w:t xml:space="preserve"> Co., получил от нее официальное предложение – </w:t>
      </w:r>
      <w:proofErr w:type="spellStart"/>
      <w:r w:rsidRPr="007122AB">
        <w:rPr>
          <w:color w:val="000000" w:themeColor="text1"/>
          <w:sz w:val="16"/>
          <w:szCs w:val="16"/>
          <w:shd w:val="clear" w:color="auto" w:fill="FFFFFF"/>
        </w:rPr>
        <w:t>Statement</w:t>
      </w:r>
      <w:proofErr w:type="spellEnd"/>
      <w:r w:rsidRPr="007122AB">
        <w:rPr>
          <w:color w:val="000000" w:themeColor="text1"/>
          <w:sz w:val="16"/>
          <w:szCs w:val="16"/>
          <w:shd w:val="clear" w:color="auto" w:fill="FFFFFF"/>
        </w:rPr>
        <w:t xml:space="preserve">. Американцы предлагали заключить договор на проведение поисковых и разведочных работ на гелийсодержащие газы, проектирование и строительство завода и оказание помощи в применении гелия. При этом компания обещала передать все свои технологии, как уже запатентованные, так и еще державшиеся в секрете. Советские специалисты могли пройти стажировку на заводе фирмы. В ходе переговоров The </w:t>
      </w:r>
      <w:proofErr w:type="spellStart"/>
      <w:r w:rsidRPr="007122AB">
        <w:rPr>
          <w:color w:val="000000" w:themeColor="text1"/>
          <w:sz w:val="16"/>
          <w:szCs w:val="16"/>
          <w:shd w:val="clear" w:color="auto" w:fill="FFFFFF"/>
        </w:rPr>
        <w:t>Helium</w:t>
      </w:r>
      <w:proofErr w:type="spellEnd"/>
      <w:r w:rsidRPr="007122AB">
        <w:rPr>
          <w:color w:val="000000" w:themeColor="text1"/>
          <w:sz w:val="16"/>
          <w:szCs w:val="16"/>
          <w:shd w:val="clear" w:color="auto" w:fill="FFFFFF"/>
        </w:rPr>
        <w:t xml:space="preserve"> </w:t>
      </w:r>
      <w:proofErr w:type="spellStart"/>
      <w:r w:rsidRPr="007122AB">
        <w:rPr>
          <w:color w:val="000000" w:themeColor="text1"/>
          <w:sz w:val="16"/>
          <w:szCs w:val="16"/>
          <w:shd w:val="clear" w:color="auto" w:fill="FFFFFF"/>
        </w:rPr>
        <w:t>Сo</w:t>
      </w:r>
      <w:proofErr w:type="spellEnd"/>
      <w:r w:rsidRPr="007122AB">
        <w:rPr>
          <w:color w:val="000000" w:themeColor="text1"/>
          <w:sz w:val="16"/>
          <w:szCs w:val="16"/>
          <w:shd w:val="clear" w:color="auto" w:fill="FFFFFF"/>
        </w:rPr>
        <w:t xml:space="preserve">. предложила осуществить всю программу помощи в 32 месяца за 1,27 млн долларов США. С чем была связана подобная сговорчивость крупной американской компании? Думается – с неоднократными попытками американцев организовать советско-американское </w:t>
      </w:r>
      <w:proofErr w:type="spellStart"/>
      <w:r w:rsidRPr="007122AB">
        <w:rPr>
          <w:color w:val="000000" w:themeColor="text1"/>
          <w:sz w:val="16"/>
          <w:szCs w:val="16"/>
          <w:shd w:val="clear" w:color="auto" w:fill="FFFFFF"/>
        </w:rPr>
        <w:t>транстихоокеанское</w:t>
      </w:r>
      <w:proofErr w:type="spellEnd"/>
      <w:r w:rsidRPr="007122AB">
        <w:rPr>
          <w:color w:val="000000" w:themeColor="text1"/>
          <w:sz w:val="16"/>
          <w:szCs w:val="16"/>
          <w:shd w:val="clear" w:color="auto" w:fill="FFFFFF"/>
        </w:rPr>
        <w:t xml:space="preserve"> воздушное сообщение. Выйти на такой рынок при ограниченном потреблении и перепроизводстве гелия в США, да еще в период Великой депрессии, дорогого стоило. Научно-исследовательский комбинат по опытному строительству и эксплуатации дирижаблей "</w:t>
      </w:r>
      <w:proofErr w:type="spellStart"/>
      <w:r w:rsidRPr="007122AB">
        <w:rPr>
          <w:color w:val="000000" w:themeColor="text1"/>
          <w:sz w:val="16"/>
          <w:szCs w:val="16"/>
          <w:shd w:val="clear" w:color="auto" w:fill="FFFFFF"/>
        </w:rPr>
        <w:t>Дирижаблестрой</w:t>
      </w:r>
      <w:proofErr w:type="spellEnd"/>
      <w:r w:rsidRPr="007122AB">
        <w:rPr>
          <w:color w:val="000000" w:themeColor="text1"/>
          <w:sz w:val="16"/>
          <w:szCs w:val="16"/>
          <w:shd w:val="clear" w:color="auto" w:fill="FFFFFF"/>
        </w:rPr>
        <w:t>" тут же поддержал это предложение. "Хотя эта техническая помощь и будет связана с затратой валюты, – писал начальник “</w:t>
      </w:r>
      <w:proofErr w:type="spellStart"/>
      <w:r w:rsidRPr="007122AB">
        <w:rPr>
          <w:color w:val="000000" w:themeColor="text1"/>
          <w:sz w:val="16"/>
          <w:szCs w:val="16"/>
          <w:shd w:val="clear" w:color="auto" w:fill="FFFFFF"/>
        </w:rPr>
        <w:t>Дирижаблестроя</w:t>
      </w:r>
      <w:proofErr w:type="spellEnd"/>
      <w:r w:rsidRPr="007122AB">
        <w:rPr>
          <w:color w:val="000000" w:themeColor="text1"/>
          <w:sz w:val="16"/>
          <w:szCs w:val="16"/>
          <w:shd w:val="clear" w:color="auto" w:fill="FFFFFF"/>
        </w:rPr>
        <w:t xml:space="preserve">” Павел </w:t>
      </w:r>
      <w:proofErr w:type="spellStart"/>
      <w:r w:rsidRPr="007122AB">
        <w:rPr>
          <w:color w:val="000000" w:themeColor="text1"/>
          <w:sz w:val="16"/>
          <w:szCs w:val="16"/>
          <w:shd w:val="clear" w:color="auto" w:fill="FFFFFF"/>
        </w:rPr>
        <w:t>Пурмаль</w:t>
      </w:r>
      <w:proofErr w:type="spellEnd"/>
      <w:r w:rsidRPr="007122AB">
        <w:rPr>
          <w:color w:val="000000" w:themeColor="text1"/>
          <w:sz w:val="16"/>
          <w:szCs w:val="16"/>
          <w:shd w:val="clear" w:color="auto" w:fill="FFFFFF"/>
        </w:rPr>
        <w:t>, – зато, безусловно, мы у себя в СССР скорее и дешевле разрешим эту задачу, тем более что у этой фирмы имеются и опыт и люди, а у нас в этой части на сегодняшний день дело обстоит из рук вон плохо" (21452).</w:t>
      </w:r>
    </w:p>
    <w:p w14:paraId="56D17314" w14:textId="65AC82E7" w:rsidR="00746899" w:rsidRPr="007122AB" w:rsidRDefault="00746899" w:rsidP="007122AB">
      <w:pPr>
        <w:pStyle w:val="article-renderblock"/>
        <w:shd w:val="clear" w:color="auto" w:fill="FFFFFF"/>
        <w:spacing w:before="0" w:beforeAutospacing="0" w:after="0" w:afterAutospacing="0"/>
        <w:jc w:val="both"/>
        <w:rPr>
          <w:color w:val="000000" w:themeColor="text1"/>
          <w:sz w:val="16"/>
          <w:szCs w:val="16"/>
        </w:rPr>
      </w:pPr>
    </w:p>
    <w:p w14:paraId="2626B296" w14:textId="594BF7C4" w:rsidR="00746899" w:rsidRPr="007122AB" w:rsidRDefault="00746899" w:rsidP="007122AB">
      <w:pPr>
        <w:pStyle w:val="article-renderblock"/>
        <w:shd w:val="clear" w:color="auto" w:fill="FFFFFF"/>
        <w:spacing w:before="0" w:beforeAutospacing="0" w:after="0" w:afterAutospacing="0"/>
        <w:jc w:val="both"/>
        <w:rPr>
          <w:i/>
          <w:iCs/>
          <w:color w:val="000000" w:themeColor="text1"/>
          <w:sz w:val="16"/>
          <w:szCs w:val="16"/>
        </w:rPr>
      </w:pPr>
      <w:r w:rsidRPr="007122AB">
        <w:rPr>
          <w:i/>
          <w:iCs/>
          <w:color w:val="000000" w:themeColor="text1"/>
          <w:sz w:val="16"/>
          <w:szCs w:val="16"/>
        </w:rPr>
        <w:t>Внешняя политика:</w:t>
      </w:r>
    </w:p>
    <w:p w14:paraId="05A95D4B" w14:textId="77777777" w:rsidR="00746899" w:rsidRPr="007122AB" w:rsidRDefault="00746899" w:rsidP="007122AB">
      <w:pPr>
        <w:pStyle w:val="article-renderblock"/>
        <w:shd w:val="clear" w:color="auto" w:fill="FFFFFF"/>
        <w:spacing w:before="0" w:beforeAutospacing="0" w:after="0" w:afterAutospacing="0"/>
        <w:jc w:val="both"/>
        <w:rPr>
          <w:i/>
          <w:iCs/>
          <w:color w:val="000000" w:themeColor="text1"/>
          <w:sz w:val="16"/>
          <w:szCs w:val="16"/>
        </w:rPr>
      </w:pPr>
    </w:p>
    <w:p w14:paraId="522577FA" w14:textId="77777777" w:rsidR="00746899" w:rsidRPr="007122AB" w:rsidRDefault="00746899"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конце декабря 1931 г. министру иностранных дел Японии </w:t>
      </w:r>
      <w:proofErr w:type="spellStart"/>
      <w:r w:rsidRPr="007122AB">
        <w:rPr>
          <w:rFonts w:ascii="Times New Roman" w:eastAsia="Times New Roman" w:hAnsi="Times New Roman"/>
          <w:color w:val="000000" w:themeColor="text1"/>
          <w:sz w:val="16"/>
          <w:szCs w:val="16"/>
          <w:lang w:eastAsia="ru-RU"/>
        </w:rPr>
        <w:t>Иосидзаве</w:t>
      </w:r>
      <w:proofErr w:type="spellEnd"/>
      <w:r w:rsidRPr="007122AB">
        <w:rPr>
          <w:rFonts w:ascii="Times New Roman" w:eastAsia="Times New Roman" w:hAnsi="Times New Roman"/>
          <w:color w:val="000000" w:themeColor="text1"/>
          <w:sz w:val="16"/>
          <w:szCs w:val="16"/>
          <w:lang w:eastAsia="ru-RU"/>
        </w:rPr>
        <w:t xml:space="preserve"> (находившемуся проездом в Москве) было сделано предложение о заключении пакта о ненападении между СССР и Японией (22725).</w:t>
      </w:r>
    </w:p>
    <w:p w14:paraId="02788C56" w14:textId="77777777" w:rsidR="00746899" w:rsidRPr="007122AB" w:rsidRDefault="00746899" w:rsidP="007122AB">
      <w:pPr>
        <w:spacing w:after="0" w:line="240" w:lineRule="auto"/>
        <w:jc w:val="both"/>
        <w:rPr>
          <w:rFonts w:ascii="Times New Roman" w:eastAsia="Times New Roman" w:hAnsi="Times New Roman"/>
          <w:color w:val="000000" w:themeColor="text1"/>
          <w:sz w:val="16"/>
          <w:szCs w:val="16"/>
          <w:lang w:eastAsia="ru-RU"/>
        </w:rPr>
      </w:pPr>
    </w:p>
    <w:p w14:paraId="146A70F6"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527C548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9AAA1B0"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декабря 1931 г. до снятия И-4 с вооружения на нем проводились испытания АПК—4 калибра 76 мм, а с 1933 г. — АПК—65 бис калибра 65 мм, которые ус</w:t>
      </w:r>
      <w:r w:rsidRPr="00441F34">
        <w:rPr>
          <w:rFonts w:ascii="Times New Roman" w:hAnsi="Times New Roman"/>
          <w:color w:val="0070C0"/>
          <w:sz w:val="16"/>
          <w:szCs w:val="16"/>
        </w:rPr>
        <w:softHyphen/>
        <w:t>танавливались под верхним крылом в 1 м от узлов крепления подкосов (23474).</w:t>
      </w:r>
    </w:p>
    <w:p w14:paraId="720985D8" w14:textId="77777777" w:rsidR="00CA22D8" w:rsidRPr="00441F34" w:rsidRDefault="00CA22D8" w:rsidP="00CA22D8">
      <w:pPr>
        <w:spacing w:after="0" w:line="240" w:lineRule="auto"/>
        <w:jc w:val="both"/>
        <w:rPr>
          <w:rFonts w:ascii="Times New Roman" w:hAnsi="Times New Roman"/>
          <w:color w:val="0070C0"/>
          <w:sz w:val="16"/>
          <w:szCs w:val="16"/>
        </w:rPr>
      </w:pPr>
    </w:p>
    <w:p w14:paraId="06C46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декабря 1931 года и первой половины января 1932 года ЦАГИ не работал на самолете И-12 с двумя пушками ДРП по устранению дефектов и только 8 февраля 1932 года самолет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 (7416, 58-59).</w:t>
      </w:r>
    </w:p>
    <w:p w14:paraId="38C1B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B1A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КБ, НИИ ВВС и ВАО рассмотрели план проведения исследовательских работ по Р-6 одновременно на 3 машинах (346,35).</w:t>
      </w:r>
    </w:p>
    <w:p w14:paraId="0C1969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E15984"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был составлен совместный план работ ЦАГИ, НИИ ВВС и завода. Для экспериментов выделили три серийных Р-6. На одном из них убрали выступающие детали на центроплане, на втором смонтировали предкрылки, а на третьем - неподвижные закрылки. Все три машины испытывались в июле 1932 г. Наибольший эффект дал третий вариант. Максимальная скорость полёта уменьшилась на 7-8 км/ч, но поведение самолёта на больших углах атаки существенно улучшилось. Закрылки поставили на последних машинах выпуска завода № 22 и на почти всех таганрогских.</w:t>
      </w:r>
    </w:p>
    <w:p w14:paraId="713405B3"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ЦАГИ, стремясь устранить один из основных недостатков «крейсера» - малую дальность, оборудовал одну машину добавочными баками в крыле на 1700 кг бензина. Радиус действия при этом увеличивался до 1500 км. В серию этот вариант не внедряли, очевидно, добавочный вес сделал и так не очень-то манёвренный Р-6 совершенно неуклюжим.</w:t>
      </w:r>
    </w:p>
    <w:p w14:paraId="73CBA1AE"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1933 г. УВВС первоначально затребовало 200 самолётов; позже заказ урезали до 150. Реально за год завод № 31 выпустил 50 машин, причём частично использовал задел завода № 22, в частности, центропланы. Военные хотели иметь на серии 1933 г. новые радиаторы, колёса с тормозами, увеличенный запас топлива, доработанную выпускную башню и закрылки. Промышленность почти всё это проигнорировала. Эталон 1933 г., предъявленный в НИИ ВВС 23 июня того же года, отличался от предыдущих серий значительно меньше. На нём ввели посадочные фары, изменённые капоты моторов, новые коки винтов, заливные горловины на всех баках, обтекатели амортизаторов шасси и бомбосбрасыватель Сбр-9 вместо Сбр-8. </w:t>
      </w:r>
      <w:proofErr w:type="spellStart"/>
      <w:r w:rsidRPr="007122AB">
        <w:rPr>
          <w:rFonts w:ascii="Times New Roman" w:hAnsi="Times New Roman"/>
          <w:color w:val="000000" w:themeColor="text1"/>
          <w:sz w:val="16"/>
          <w:szCs w:val="16"/>
        </w:rPr>
        <w:t>Перекомпо-новали</w:t>
      </w:r>
      <w:proofErr w:type="spellEnd"/>
      <w:r w:rsidRPr="007122AB">
        <w:rPr>
          <w:rFonts w:ascii="Times New Roman" w:hAnsi="Times New Roman"/>
          <w:color w:val="000000" w:themeColor="text1"/>
          <w:sz w:val="16"/>
          <w:szCs w:val="16"/>
        </w:rPr>
        <w:t xml:space="preserve"> приборные доски, перенесли под крыло трубку ПВД и надели на штурвал деревянный обод (12264).</w:t>
      </w:r>
    </w:p>
    <w:p w14:paraId="66068193" w14:textId="77777777" w:rsidR="005E1AD5" w:rsidRPr="007122AB" w:rsidRDefault="005E1AD5" w:rsidP="007122AB">
      <w:pPr>
        <w:spacing w:after="0" w:line="240" w:lineRule="auto"/>
        <w:jc w:val="both"/>
        <w:rPr>
          <w:rFonts w:ascii="Times New Roman" w:hAnsi="Times New Roman"/>
          <w:color w:val="000000" w:themeColor="text1"/>
          <w:sz w:val="16"/>
          <w:szCs w:val="16"/>
        </w:rPr>
      </w:pPr>
    </w:p>
    <w:p w14:paraId="22A5DD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УВВС сообщил ЦАГИ новые, более подробные требования к АНТ-16 (ТБ-4), предполагавшей замену 4хМ-35 на 6хМ-34 (7388, 8).</w:t>
      </w:r>
    </w:p>
    <w:p w14:paraId="503D2B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5BF3F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года заводу № 39 было предложено перестроиться на производство серий больших самолетов ТБ-3. Весь 1932 год завод развивал серийное производство самолетов ТБ3, но в феврале 1933 года новым указанием </w:t>
      </w:r>
      <w:proofErr w:type="spellStart"/>
      <w:r w:rsidRPr="007122AB">
        <w:rPr>
          <w:rFonts w:ascii="Times New Roman" w:hAnsi="Times New Roman"/>
          <w:color w:val="000000" w:themeColor="text1"/>
          <w:sz w:val="16"/>
          <w:szCs w:val="16"/>
        </w:rPr>
        <w:t>ГУАПа</w:t>
      </w:r>
      <w:proofErr w:type="spellEnd"/>
      <w:r w:rsidRPr="007122AB">
        <w:rPr>
          <w:rFonts w:ascii="Times New Roman" w:hAnsi="Times New Roman"/>
          <w:color w:val="000000" w:themeColor="text1"/>
          <w:sz w:val="16"/>
          <w:szCs w:val="16"/>
        </w:rPr>
        <w:t xml:space="preserve"> заводу было предписано вновь вернуться к опытному самолетостроению и организовать одновременно производство малых серий.</w:t>
      </w:r>
    </w:p>
    <w:p w14:paraId="24F098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3D1297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Когда развернулось производство четырехмоторных </w:t>
      </w:r>
      <w:proofErr w:type="spellStart"/>
      <w:r w:rsidRPr="007122AB">
        <w:rPr>
          <w:rFonts w:ascii="Times New Roman" w:hAnsi="Times New Roman"/>
          <w:color w:val="000000" w:themeColor="text1"/>
          <w:sz w:val="16"/>
          <w:szCs w:val="16"/>
        </w:rPr>
        <w:t>бомбардировшиков</w:t>
      </w:r>
      <w:proofErr w:type="spellEnd"/>
      <w:r w:rsidRPr="007122AB">
        <w:rPr>
          <w:rFonts w:ascii="Times New Roman" w:hAnsi="Times New Roman"/>
          <w:color w:val="000000" w:themeColor="text1"/>
          <w:sz w:val="16"/>
          <w:szCs w:val="16"/>
        </w:rPr>
        <w:t xml:space="preserve"> ТБ-3, решение проблемы окраски еще не было найдено. Поэтому сначала пошли тем же путем, что и для предыдущих типов машин. Шагом вперед стало только утверждение рецептуры красок, которой следовало придерживаться всем заводам (этот самолет строили на трех предприятиях). Бомбардировщик сверху красился в "защитный" (зеленый с желтоватым оттенком) цвет. Состав был таким: 42% крона, 27,3% олифы, 25,5% умбры и 1% сажи. Снизу самолет был светло-серым: 34,84% литопона (смеси солей цинка и бария), 34% свинцовых белил и 31% олифы. Внутри машина красилась в серый цвет: 31,6% литопона, 31,6% свинцовых белил, 2,2% крона и 33,8% олифы. Применение литопона, видимо, было вынужденным, так как </w:t>
      </w:r>
      <w:proofErr w:type="spellStart"/>
      <w:r w:rsidRPr="007122AB">
        <w:rPr>
          <w:rFonts w:ascii="Times New Roman" w:hAnsi="Times New Roman"/>
          <w:color w:val="000000" w:themeColor="text1"/>
          <w:sz w:val="16"/>
          <w:szCs w:val="16"/>
        </w:rPr>
        <w:t>литопоновые</w:t>
      </w:r>
      <w:proofErr w:type="spellEnd"/>
      <w:r w:rsidRPr="007122AB">
        <w:rPr>
          <w:rFonts w:ascii="Times New Roman" w:hAnsi="Times New Roman"/>
          <w:color w:val="000000" w:themeColor="text1"/>
          <w:sz w:val="16"/>
          <w:szCs w:val="16"/>
        </w:rPr>
        <w:t xml:space="preserve"> белила отличались низкой стойкостью. Краска наносилась в два слоя (где распылителем, где - кистями); с мая 1933 г. для уменьшения массы покрытия стали обходиться только одним слоем. Делали это прямо на открытом воздухе, без предварительной сушки. Со II квартала 1933 г. перешли на покраску отдельных узлов внутри цехов.</w:t>
      </w:r>
    </w:p>
    <w:p w14:paraId="0D38E6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результаты по-прежнему оставались плачевными. Инструкция по эксплуатации бомбардировщика ТБ-3 честно признавала: "...окраска, легко сползающая под влиянием дождя, а зачастую и просто в полете, не может выдержать даже бережного обмывания мягкими тряпками". Поэтому механикам приходилось постоянно подкрашивать машины. Рекомендовалось обработать пострадавшее место металлической щеткой, затем ошкурить и промыть бензином, а затем наносить краску. Но металл по-прежнему не грунтовали. Свежая краска выделялась на общем фоне более темным цветом и глянцевым </w:t>
      </w:r>
      <w:proofErr w:type="spellStart"/>
      <w:r w:rsidRPr="007122AB">
        <w:rPr>
          <w:rFonts w:ascii="Times New Roman" w:hAnsi="Times New Roman"/>
          <w:color w:val="000000" w:themeColor="text1"/>
          <w:sz w:val="16"/>
          <w:szCs w:val="16"/>
        </w:rPr>
        <w:t>блеском.То</w:t>
      </w:r>
      <w:proofErr w:type="spellEnd"/>
      <w:r w:rsidRPr="007122AB">
        <w:rPr>
          <w:rFonts w:ascii="Times New Roman" w:hAnsi="Times New Roman"/>
          <w:color w:val="000000" w:themeColor="text1"/>
          <w:sz w:val="16"/>
          <w:szCs w:val="16"/>
        </w:rPr>
        <w:t xml:space="preserve"> же самое можно сказать о "крейсерах" Р-6 и некоторых других цельнометаллических машинах. Когда ВВС приняли на вооружение транспортный самолет АНТ-9, первоначально в технические условия на поставку вписали стандартную схему окраски "зеленый - голубой". Завод честно старался выполнить требования военных. Но пока первая серия машин доводилась (со значительными переделками), самолеты успели два раза облезть, и их два раза перекрашивали. В конце концов эти игры всем надоели, и УВВС согласилось на покраску всей партии АНТ-9 "серебрянкой", такую же, как у аналогичных машин для гражданской авиации (11987).</w:t>
      </w:r>
    </w:p>
    <w:p w14:paraId="5AFFB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6ECB1E6"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1931 г. ЦАГИ, НИИ ВВС и ВАО рассмотрели план проведе</w:t>
      </w:r>
      <w:r w:rsidRPr="00441F34">
        <w:rPr>
          <w:rFonts w:ascii="Times New Roman" w:hAnsi="Times New Roman"/>
          <w:color w:val="0070C0"/>
          <w:sz w:val="16"/>
          <w:szCs w:val="16"/>
        </w:rPr>
        <w:softHyphen/>
        <w:t>ния исследовательских работ по теме вибраций АНТ-7 одновременно на трех машинах. Выяс</w:t>
      </w:r>
      <w:r w:rsidRPr="00441F34">
        <w:rPr>
          <w:rFonts w:ascii="Times New Roman" w:hAnsi="Times New Roman"/>
          <w:color w:val="0070C0"/>
          <w:sz w:val="16"/>
          <w:szCs w:val="16"/>
        </w:rPr>
        <w:softHyphen/>
        <w:t>нилось, что, начиная с некоторых углов атаки на планировании и спиралях, опе</w:t>
      </w:r>
      <w:r w:rsidRPr="00441F34">
        <w:rPr>
          <w:rFonts w:ascii="Times New Roman" w:hAnsi="Times New Roman"/>
          <w:color w:val="0070C0"/>
          <w:sz w:val="16"/>
          <w:szCs w:val="16"/>
        </w:rPr>
        <w:softHyphen/>
        <w:t>рение попадало в зону сбегающих с крыла вихрей. В июле 1932 г. на одном из само</w:t>
      </w:r>
      <w:r w:rsidRPr="00441F34">
        <w:rPr>
          <w:rFonts w:ascii="Times New Roman" w:hAnsi="Times New Roman"/>
          <w:color w:val="0070C0"/>
          <w:sz w:val="16"/>
          <w:szCs w:val="16"/>
        </w:rPr>
        <w:softHyphen/>
        <w:t>летов очистили центроплан крыла от надстроек, на другом — поставили пред</w:t>
      </w:r>
      <w:r w:rsidRPr="00441F34">
        <w:rPr>
          <w:rFonts w:ascii="Times New Roman" w:hAnsi="Times New Roman"/>
          <w:color w:val="0070C0"/>
          <w:sz w:val="16"/>
          <w:szCs w:val="16"/>
        </w:rPr>
        <w:softHyphen/>
        <w:t xml:space="preserve">крылки между фюзеляжем и </w:t>
      </w:r>
      <w:proofErr w:type="spellStart"/>
      <w:r w:rsidRPr="00441F34">
        <w:rPr>
          <w:rFonts w:ascii="Times New Roman" w:hAnsi="Times New Roman"/>
          <w:color w:val="0070C0"/>
          <w:sz w:val="16"/>
          <w:szCs w:val="16"/>
        </w:rPr>
        <w:t>мотогондо</w:t>
      </w:r>
      <w:r w:rsidRPr="00441F34">
        <w:rPr>
          <w:rFonts w:ascii="Times New Roman" w:hAnsi="Times New Roman"/>
          <w:color w:val="0070C0"/>
          <w:sz w:val="16"/>
          <w:szCs w:val="16"/>
        </w:rPr>
        <w:softHyphen/>
        <w:t>лами</w:t>
      </w:r>
      <w:proofErr w:type="spellEnd"/>
      <w:r w:rsidRPr="00441F34">
        <w:rPr>
          <w:rFonts w:ascii="Times New Roman" w:hAnsi="Times New Roman"/>
          <w:color w:val="0070C0"/>
          <w:sz w:val="16"/>
          <w:szCs w:val="16"/>
        </w:rPr>
        <w:t>, а на третьем — профилированные неподвижные закрылки по всей задней кромке центроплана под углом 29 граду</w:t>
      </w:r>
      <w:r w:rsidRPr="00441F34">
        <w:rPr>
          <w:rFonts w:ascii="Times New Roman" w:hAnsi="Times New Roman"/>
          <w:color w:val="0070C0"/>
          <w:sz w:val="16"/>
          <w:szCs w:val="16"/>
        </w:rPr>
        <w:softHyphen/>
        <w:t>сов. Как показали испытания, закрылки дали максимальный эффект. Несмотря на то что они «съедали» 7—8 км/ч скоро</w:t>
      </w:r>
      <w:r w:rsidRPr="00441F34">
        <w:rPr>
          <w:rFonts w:ascii="Times New Roman" w:hAnsi="Times New Roman"/>
          <w:color w:val="0070C0"/>
          <w:sz w:val="16"/>
          <w:szCs w:val="16"/>
        </w:rPr>
        <w:softHyphen/>
        <w:t>сти, их установили на всех серийных са</w:t>
      </w:r>
      <w:r w:rsidRPr="00441F34">
        <w:rPr>
          <w:rFonts w:ascii="Times New Roman" w:hAnsi="Times New Roman"/>
          <w:color w:val="0070C0"/>
          <w:sz w:val="16"/>
          <w:szCs w:val="16"/>
        </w:rPr>
        <w:softHyphen/>
        <w:t>молетах Р—6 и КР—6.</w:t>
      </w:r>
    </w:p>
    <w:p w14:paraId="5171B3D3"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решению УВВС головной самолет № 2201 надо было доработать и провести испытания для утверждения его в качестве эталона на 1932 г. (23474).</w:t>
      </w:r>
    </w:p>
    <w:p w14:paraId="120C7561" w14:textId="77777777" w:rsidR="00CA22D8" w:rsidRPr="00441F34" w:rsidRDefault="00CA22D8" w:rsidP="00CA22D8">
      <w:pPr>
        <w:spacing w:after="0" w:line="240" w:lineRule="auto"/>
        <w:jc w:val="both"/>
        <w:rPr>
          <w:rFonts w:ascii="Times New Roman" w:hAnsi="Times New Roman"/>
          <w:color w:val="0070C0"/>
          <w:sz w:val="16"/>
          <w:szCs w:val="16"/>
        </w:rPr>
      </w:pPr>
    </w:p>
    <w:p w14:paraId="2014F8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был готов ТОМ-1 </w:t>
      </w:r>
      <w:proofErr w:type="spellStart"/>
      <w:r w:rsidRPr="007122AB">
        <w:rPr>
          <w:rFonts w:ascii="Times New Roman" w:hAnsi="Times New Roman"/>
          <w:color w:val="000000" w:themeColor="text1"/>
          <w:sz w:val="16"/>
          <w:szCs w:val="16"/>
        </w:rPr>
        <w:t>П.Ришара</w:t>
      </w:r>
      <w:proofErr w:type="spellEnd"/>
      <w:r w:rsidRPr="007122AB">
        <w:rPr>
          <w:rFonts w:ascii="Times New Roman" w:hAnsi="Times New Roman"/>
          <w:color w:val="000000" w:themeColor="text1"/>
          <w:sz w:val="16"/>
          <w:szCs w:val="16"/>
        </w:rPr>
        <w:t>. Отвезли в Севастополь, но поплавковый ТБ-1 был не хуже. Срок контракта истек руководство МОС ВАО решило не продлевать (99,178).</w:t>
      </w:r>
    </w:p>
    <w:p w14:paraId="5F7C8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7E19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был готов МДР-3 ЦКБ (самолет 11 по плану ЦКБ - 80,263), сделанный на основе крыла и оперения ТБ-5. Машину привезли в Крым (Севастополь) с испытателем </w:t>
      </w:r>
      <w:proofErr w:type="spellStart"/>
      <w:r w:rsidRPr="007122AB">
        <w:rPr>
          <w:rFonts w:ascii="Times New Roman" w:hAnsi="Times New Roman"/>
          <w:color w:val="000000" w:themeColor="text1"/>
          <w:sz w:val="16"/>
          <w:szCs w:val="16"/>
        </w:rPr>
        <w:t>Б.Л.Бухгольцом</w:t>
      </w:r>
      <w:proofErr w:type="spellEnd"/>
      <w:r w:rsidRPr="007122AB">
        <w:rPr>
          <w:rFonts w:ascii="Times New Roman" w:hAnsi="Times New Roman"/>
          <w:color w:val="000000" w:themeColor="text1"/>
          <w:sz w:val="16"/>
          <w:szCs w:val="16"/>
        </w:rPr>
        <w:t xml:space="preserve"> (63,85). Проявился бафтинг - решили испытания и дальнейшую работу прекратить.</w:t>
      </w:r>
    </w:p>
    <w:p w14:paraId="4BA7E4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039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на И-4 испытывали 63 мм ДРП (1017,162). По другим данным - 76 мм (1454,19).</w:t>
      </w:r>
    </w:p>
    <w:p w14:paraId="3BF2B2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C6CB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был готов И-4 с ДРП ГДЛ и </w:t>
      </w:r>
      <w:proofErr w:type="spellStart"/>
      <w:r w:rsidRPr="007122AB">
        <w:rPr>
          <w:rFonts w:ascii="Times New Roman" w:hAnsi="Times New Roman"/>
          <w:color w:val="000000" w:themeColor="text1"/>
          <w:sz w:val="16"/>
          <w:szCs w:val="16"/>
        </w:rPr>
        <w:t>Л.В.Курчевского</w:t>
      </w:r>
      <w:proofErr w:type="spellEnd"/>
      <w:r w:rsidRPr="007122AB">
        <w:rPr>
          <w:rFonts w:ascii="Times New Roman" w:hAnsi="Times New Roman"/>
          <w:color w:val="000000" w:themeColor="text1"/>
          <w:sz w:val="16"/>
          <w:szCs w:val="16"/>
        </w:rPr>
        <w:t xml:space="preserve"> (ДРП, АПК). 76 мм под верхним крылом в 1 м от крепления подкосов. В ходе опытов - одна разорвалась (92,344).</w:t>
      </w:r>
    </w:p>
    <w:p w14:paraId="2D8432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Сначала АПК-4 76 мм, потом АПК-65ис 65 мм. Испытания шли до снятия машины с вооружения в 1935-1936 (346,23).</w:t>
      </w:r>
    </w:p>
    <w:p w14:paraId="439A4A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Важно, что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стал уполномоченным по спецработам Наркомата тяжелой промышленности. По Арлазорову у него работал </w:t>
      </w:r>
      <w:proofErr w:type="spellStart"/>
      <w:r w:rsidRPr="007122AB">
        <w:rPr>
          <w:rFonts w:ascii="Times New Roman" w:hAnsi="Times New Roman"/>
          <w:color w:val="000000" w:themeColor="text1"/>
          <w:sz w:val="16"/>
          <w:szCs w:val="16"/>
        </w:rPr>
        <w:t>Б.С.Стечкин</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Д.П.Григорович</w:t>
      </w:r>
      <w:proofErr w:type="spellEnd"/>
      <w:r w:rsidRPr="007122AB">
        <w:rPr>
          <w:rFonts w:ascii="Times New Roman" w:hAnsi="Times New Roman"/>
          <w:color w:val="000000" w:themeColor="text1"/>
          <w:sz w:val="16"/>
          <w:szCs w:val="16"/>
        </w:rPr>
        <w:t xml:space="preserve"> (78,48).</w:t>
      </w:r>
    </w:p>
    <w:p w14:paraId="11254C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Есть мнение, что наоборот, </w:t>
      </w:r>
      <w:proofErr w:type="spellStart"/>
      <w:r w:rsidRPr="007122AB">
        <w:rPr>
          <w:rFonts w:ascii="Times New Roman" w:hAnsi="Times New Roman"/>
          <w:color w:val="000000" w:themeColor="text1"/>
          <w:sz w:val="16"/>
          <w:szCs w:val="16"/>
        </w:rPr>
        <w:t>Курчевский</w:t>
      </w:r>
      <w:proofErr w:type="spellEnd"/>
      <w:r w:rsidRPr="007122AB">
        <w:rPr>
          <w:rFonts w:ascii="Times New Roman" w:hAnsi="Times New Roman"/>
          <w:color w:val="000000" w:themeColor="text1"/>
          <w:sz w:val="16"/>
          <w:szCs w:val="16"/>
        </w:rPr>
        <w:t xml:space="preserve"> работал у Д.П.Г. на 133 опытном заводе с 1932 и это мнение выступает более обоснованным.</w:t>
      </w:r>
    </w:p>
    <w:p w14:paraId="5F03FA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B0F6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был разработан совместный план работ ЦАГИ, НИИ ВВС и завода 22 по устранению бафтинга на АНТ-7 (Р-6) на малых скоростях. Для экспериментов выделили 3 серийных (2671,16).</w:t>
      </w:r>
    </w:p>
    <w:p w14:paraId="3DF14E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6DEA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Странная идея с заранее ограниченной дальностью полета объяснялась, скорее всего, сомнением, что в учебном институте, существующем с 1930 г. действительно смогут создать такой летательный аппарат. </w:t>
      </w:r>
    </w:p>
    <w:p w14:paraId="2CC0D2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C48E7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руководство МАИ по причинам, что там не имеется ни конструкторов, ни производственников, ни оборудованного производства пыталось отказаться от задания на самолет РД. 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 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w:t>
      </w:r>
      <w:proofErr w:type="spellStart"/>
      <w:r w:rsidRPr="007122AB">
        <w:rPr>
          <w:rFonts w:ascii="Times New Roman" w:hAnsi="Times New Roman"/>
          <w:color w:val="000000" w:themeColor="text1"/>
          <w:sz w:val="16"/>
          <w:szCs w:val="16"/>
        </w:rPr>
        <w:t>П.Д.Грушин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М.М.Пашинин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Л.П.Курбала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В.А.Федулов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А.П.Щекин</w:t>
      </w:r>
      <w:proofErr w:type="spellEnd"/>
      <w:r w:rsidRPr="007122AB">
        <w:rPr>
          <w:rFonts w:ascii="Times New Roman" w:hAnsi="Times New Roman"/>
          <w:color w:val="000000" w:themeColor="text1"/>
          <w:sz w:val="16"/>
          <w:szCs w:val="16"/>
        </w:rPr>
        <w:t xml:space="preserve"> и другие. Расчеты на прочность выполнил </w:t>
      </w:r>
      <w:proofErr w:type="spellStart"/>
      <w:r w:rsidRPr="007122AB">
        <w:rPr>
          <w:rFonts w:ascii="Times New Roman" w:hAnsi="Times New Roman"/>
          <w:color w:val="000000" w:themeColor="text1"/>
          <w:sz w:val="16"/>
          <w:szCs w:val="16"/>
        </w:rPr>
        <w:t>В.Д.Яровицкий</w:t>
      </w:r>
      <w:proofErr w:type="spellEnd"/>
      <w:r w:rsidRPr="007122AB">
        <w:rPr>
          <w:rFonts w:ascii="Times New Roman" w:hAnsi="Times New Roman"/>
          <w:color w:val="000000" w:themeColor="text1"/>
          <w:sz w:val="16"/>
          <w:szCs w:val="16"/>
        </w:rPr>
        <w:t xml:space="preserve">. С оформлением учебно-производственных мастерских изготовлением самолета руководил </w:t>
      </w:r>
      <w:proofErr w:type="spellStart"/>
      <w:r w:rsidRPr="007122AB">
        <w:rPr>
          <w:rFonts w:ascii="Times New Roman" w:hAnsi="Times New Roman"/>
          <w:color w:val="000000" w:themeColor="text1"/>
          <w:sz w:val="16"/>
          <w:szCs w:val="16"/>
        </w:rPr>
        <w:t>С.М.Беляйкин</w:t>
      </w:r>
      <w:proofErr w:type="spellEnd"/>
      <w:r w:rsidRPr="007122AB">
        <w:rPr>
          <w:rFonts w:ascii="Times New Roman" w:hAnsi="Times New Roman"/>
          <w:color w:val="000000" w:themeColor="text1"/>
          <w:sz w:val="16"/>
          <w:szCs w:val="16"/>
        </w:rPr>
        <w:t>.</w:t>
      </w:r>
    </w:p>
    <w:p w14:paraId="13D742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Основным конструкционным материалом для новой машины избрали сталь, в основном - коррозионно-стойкую Энерж-6 - поэтому скоро в отношении самолета начали использовать определение Сталь-МАИ.</w:t>
      </w:r>
    </w:p>
    <w:p w14:paraId="44121E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Это был одномоторный низкоплан с трапециевидным крылом и веретенообразным фюзеляжем, двухместной кабиной, закрытой общим фонарем. Посадка в самолет осуществлялась при помощи дверей и открывающейся части фонаря. Предусматривался третий член экипажа - для него оборудовали небольшой отсек с иллюминаторами за основной кабиной.</w:t>
      </w:r>
    </w:p>
    <w:p w14:paraId="061D5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Практически вся конструкция фюзеляжа, крыла и оперения была выполнена точечной и роликовой электросваркой из катаных листовых профилей, обшивка крыла и фюзеляжа из тонкого листа толщиной 0,3-0,5 мм с частыми </w:t>
      </w:r>
      <w:proofErr w:type="spellStart"/>
      <w:r w:rsidRPr="007122AB">
        <w:rPr>
          <w:rFonts w:ascii="Times New Roman" w:hAnsi="Times New Roman"/>
          <w:color w:val="000000" w:themeColor="text1"/>
          <w:sz w:val="16"/>
          <w:szCs w:val="16"/>
        </w:rPr>
        <w:t>отбортовками</w:t>
      </w:r>
      <w:proofErr w:type="spellEnd"/>
      <w:r w:rsidRPr="007122AB">
        <w:rPr>
          <w:rFonts w:ascii="Times New Roman" w:hAnsi="Times New Roman"/>
          <w:color w:val="000000" w:themeColor="text1"/>
          <w:sz w:val="16"/>
          <w:szCs w:val="16"/>
        </w:rPr>
        <w:t xml:space="preserve"> (рифтами или зигами) с шагом 80 мм.</w:t>
      </w:r>
    </w:p>
    <w:p w14:paraId="2E5E75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Силовая установка включала двигатель М-34Р мощностью 830 </w:t>
      </w:r>
      <w:proofErr w:type="spellStart"/>
      <w:r w:rsidRPr="007122AB">
        <w:rPr>
          <w:rFonts w:ascii="Times New Roman" w:hAnsi="Times New Roman"/>
          <w:color w:val="000000" w:themeColor="text1"/>
          <w:sz w:val="16"/>
          <w:szCs w:val="16"/>
        </w:rPr>
        <w:t>л.е</w:t>
      </w:r>
      <w:proofErr w:type="spellEnd"/>
      <w:r w:rsidRPr="007122AB">
        <w:rPr>
          <w:rFonts w:ascii="Times New Roman" w:hAnsi="Times New Roman"/>
          <w:color w:val="000000" w:themeColor="text1"/>
          <w:sz w:val="16"/>
          <w:szCs w:val="16"/>
        </w:rPr>
        <w:t xml:space="preserve">., в отношении которого указывалось, что он ранее экспонировался на выставке, поэтому отличался особой тщательностью отделки (возможно, это был макетный вариант, полученный для проведения </w:t>
      </w:r>
      <w:proofErr w:type="spellStart"/>
      <w:r w:rsidRPr="007122AB">
        <w:rPr>
          <w:rFonts w:ascii="Times New Roman" w:hAnsi="Times New Roman"/>
          <w:color w:val="000000" w:themeColor="text1"/>
          <w:sz w:val="16"/>
          <w:szCs w:val="16"/>
        </w:rPr>
        <w:t>увя</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зочных</w:t>
      </w:r>
      <w:proofErr w:type="spellEnd"/>
      <w:r w:rsidRPr="007122AB">
        <w:rPr>
          <w:rFonts w:ascii="Times New Roman" w:hAnsi="Times New Roman"/>
          <w:color w:val="000000" w:themeColor="text1"/>
          <w:sz w:val="16"/>
          <w:szCs w:val="16"/>
        </w:rPr>
        <w:t xml:space="preserve"> работ по винтомоторной группе).</w:t>
      </w:r>
    </w:p>
    <w:p w14:paraId="78DA9C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Шасси самолета состояло из двух под- крыльевых опор с пневматической амортизацией и хвостового колеса. Основные стойки по замыслу убирались в крыло при помощи ручного привода. В 1934 г. по планам ГУАП такое шасси построили (использовалось обозначение Сталь-МАИ-2), однако на практике самолет оборудовали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w:t>
      </w:r>
    </w:p>
    <w:p w14:paraId="75B8A8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принятыми правилами 16 июля 1933 г. НИИ ВВС подготовило ИТ для военной модификации. Такой вариант разрабатывался и был утвержден 15 октября 1933 г. Главным конструктором Григоровичем и инженером </w:t>
      </w:r>
      <w:proofErr w:type="spellStart"/>
      <w:r w:rsidRPr="007122AB">
        <w:rPr>
          <w:rFonts w:ascii="Times New Roman" w:hAnsi="Times New Roman"/>
          <w:color w:val="000000" w:themeColor="text1"/>
          <w:sz w:val="16"/>
          <w:szCs w:val="16"/>
        </w:rPr>
        <w:t>П.М.Крейсоном</w:t>
      </w:r>
      <w:proofErr w:type="spellEnd"/>
      <w:r w:rsidRPr="007122AB">
        <w:rPr>
          <w:rFonts w:ascii="Times New Roman" w:hAnsi="Times New Roman"/>
          <w:color w:val="000000" w:themeColor="text1"/>
          <w:sz w:val="16"/>
          <w:szCs w:val="16"/>
        </w:rPr>
        <w:t xml:space="preserve"> (являлся начальником бригады №6 ЦКБ, которая осуществляла весовые расчеты, взвешивание, статические испытания).</w:t>
      </w:r>
    </w:p>
    <w:p w14:paraId="482BF8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002C3" w:rsidRPr="007122AB" w14:paraId="2B965FAB" w14:textId="77777777">
        <w:tc>
          <w:tcPr>
            <w:tcW w:w="5156" w:type="dxa"/>
            <w:tcBorders>
              <w:top w:val="single" w:sz="12" w:space="0" w:color="auto"/>
            </w:tcBorders>
          </w:tcPr>
          <w:p w14:paraId="59E33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Размах крыла (м)</w:t>
            </w:r>
          </w:p>
        </w:tc>
        <w:tc>
          <w:tcPr>
            <w:tcW w:w="5156" w:type="dxa"/>
            <w:tcBorders>
              <w:top w:val="single" w:sz="12" w:space="0" w:color="auto"/>
            </w:tcBorders>
          </w:tcPr>
          <w:p w14:paraId="7E12A0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18,0</w:t>
            </w:r>
          </w:p>
        </w:tc>
      </w:tr>
      <w:tr w:rsidR="001002C3" w:rsidRPr="007122AB" w14:paraId="79373A1B" w14:textId="77777777">
        <w:tc>
          <w:tcPr>
            <w:tcW w:w="5156" w:type="dxa"/>
          </w:tcPr>
          <w:p w14:paraId="42E0ED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крыла (м2)</w:t>
            </w:r>
          </w:p>
        </w:tc>
        <w:tc>
          <w:tcPr>
            <w:tcW w:w="5156" w:type="dxa"/>
          </w:tcPr>
          <w:p w14:paraId="4A1095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40,5</w:t>
            </w:r>
          </w:p>
        </w:tc>
      </w:tr>
      <w:tr w:rsidR="001002C3" w:rsidRPr="007122AB" w14:paraId="45F3C163" w14:textId="77777777">
        <w:tc>
          <w:tcPr>
            <w:tcW w:w="5156" w:type="dxa"/>
          </w:tcPr>
          <w:p w14:paraId="56BD13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самолета (м)</w:t>
            </w:r>
          </w:p>
        </w:tc>
        <w:tc>
          <w:tcPr>
            <w:tcW w:w="5156" w:type="dxa"/>
          </w:tcPr>
          <w:p w14:paraId="2E9FDD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w:t>
            </w:r>
          </w:p>
        </w:tc>
      </w:tr>
      <w:tr w:rsidR="001002C3" w:rsidRPr="007122AB" w14:paraId="6273C6B6" w14:textId="77777777">
        <w:tc>
          <w:tcPr>
            <w:tcW w:w="5156" w:type="dxa"/>
          </w:tcPr>
          <w:p w14:paraId="334ED0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в линии полета (м)</w:t>
            </w:r>
          </w:p>
        </w:tc>
        <w:tc>
          <w:tcPr>
            <w:tcW w:w="5156" w:type="dxa"/>
          </w:tcPr>
          <w:p w14:paraId="71AF05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4,03</w:t>
            </w:r>
          </w:p>
        </w:tc>
      </w:tr>
      <w:tr w:rsidR="001002C3" w:rsidRPr="007122AB" w14:paraId="71935E8D" w14:textId="77777777">
        <w:tc>
          <w:tcPr>
            <w:tcW w:w="5156" w:type="dxa"/>
          </w:tcPr>
          <w:p w14:paraId="0E9B16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 (кг)</w:t>
            </w:r>
          </w:p>
        </w:tc>
        <w:tc>
          <w:tcPr>
            <w:tcW w:w="5156" w:type="dxa"/>
          </w:tcPr>
          <w:p w14:paraId="6EC0B2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2410</w:t>
            </w:r>
          </w:p>
        </w:tc>
      </w:tr>
      <w:tr w:rsidR="001002C3" w:rsidRPr="007122AB" w14:paraId="2F4D67BB" w14:textId="77777777">
        <w:tc>
          <w:tcPr>
            <w:tcW w:w="5156" w:type="dxa"/>
          </w:tcPr>
          <w:p w14:paraId="3D9F4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 (кг)</w:t>
            </w:r>
          </w:p>
        </w:tc>
        <w:tc>
          <w:tcPr>
            <w:tcW w:w="5156" w:type="dxa"/>
          </w:tcPr>
          <w:p w14:paraId="218CBD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3850-4600</w:t>
            </w:r>
          </w:p>
        </w:tc>
      </w:tr>
      <w:tr w:rsidR="001002C3" w:rsidRPr="007122AB" w14:paraId="4FA17E54" w14:textId="77777777">
        <w:tc>
          <w:tcPr>
            <w:tcW w:w="5156" w:type="dxa"/>
          </w:tcPr>
          <w:p w14:paraId="47914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Горючее (кг)</w:t>
            </w:r>
          </w:p>
        </w:tc>
        <w:tc>
          <w:tcPr>
            <w:tcW w:w="5156" w:type="dxa"/>
          </w:tcPr>
          <w:p w14:paraId="2A7E70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1000-1800</w:t>
            </w:r>
          </w:p>
        </w:tc>
      </w:tr>
      <w:tr w:rsidR="001002C3" w:rsidRPr="007122AB" w14:paraId="373A2249" w14:textId="77777777">
        <w:tc>
          <w:tcPr>
            <w:tcW w:w="5156" w:type="dxa"/>
          </w:tcPr>
          <w:p w14:paraId="017847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(км/ч) ....</w:t>
            </w:r>
          </w:p>
        </w:tc>
        <w:tc>
          <w:tcPr>
            <w:tcW w:w="5156" w:type="dxa"/>
          </w:tcPr>
          <w:p w14:paraId="7E5C5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330-350</w:t>
            </w:r>
          </w:p>
        </w:tc>
      </w:tr>
      <w:tr w:rsidR="001002C3" w:rsidRPr="007122AB" w14:paraId="2840A7FD" w14:textId="77777777">
        <w:tc>
          <w:tcPr>
            <w:tcW w:w="5156" w:type="dxa"/>
          </w:tcPr>
          <w:p w14:paraId="4C422D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Крейсерская скорость (км/ч)</w:t>
            </w:r>
          </w:p>
        </w:tc>
        <w:tc>
          <w:tcPr>
            <w:tcW w:w="5156" w:type="dxa"/>
          </w:tcPr>
          <w:p w14:paraId="21D29F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290-300</w:t>
            </w:r>
          </w:p>
        </w:tc>
      </w:tr>
      <w:tr w:rsidR="001002C3" w:rsidRPr="007122AB" w14:paraId="0BC28AF4" w14:textId="77777777">
        <w:tc>
          <w:tcPr>
            <w:tcW w:w="5156" w:type="dxa"/>
          </w:tcPr>
          <w:p w14:paraId="537969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Потолок(м) </w:t>
            </w:r>
          </w:p>
        </w:tc>
        <w:tc>
          <w:tcPr>
            <w:tcW w:w="5156" w:type="dxa"/>
          </w:tcPr>
          <w:p w14:paraId="73D9F6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6000</w:t>
            </w:r>
          </w:p>
        </w:tc>
      </w:tr>
      <w:tr w:rsidR="001002C3" w:rsidRPr="007122AB" w14:paraId="4265CDCE" w14:textId="77777777">
        <w:tc>
          <w:tcPr>
            <w:tcW w:w="5156" w:type="dxa"/>
            <w:tcBorders>
              <w:bottom w:val="single" w:sz="12" w:space="0" w:color="auto"/>
            </w:tcBorders>
          </w:tcPr>
          <w:p w14:paraId="415967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1DF45B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3250-6000</w:t>
            </w:r>
          </w:p>
        </w:tc>
      </w:tr>
    </w:tbl>
    <w:p w14:paraId="56952F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343AF0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Постепенно </w:t>
      </w:r>
      <w:proofErr w:type="spellStart"/>
      <w:r w:rsidRPr="007122AB">
        <w:rPr>
          <w:rFonts w:ascii="Times New Roman" w:hAnsi="Times New Roman"/>
          <w:color w:val="000000" w:themeColor="text1"/>
          <w:sz w:val="16"/>
          <w:szCs w:val="16"/>
        </w:rPr>
        <w:t>Д.П.Григорович</w:t>
      </w:r>
      <w:proofErr w:type="spellEnd"/>
      <w:r w:rsidRPr="007122AB">
        <w:rPr>
          <w:rFonts w:ascii="Times New Roman" w:hAnsi="Times New Roman"/>
          <w:color w:val="000000" w:themeColor="text1"/>
          <w:sz w:val="16"/>
          <w:szCs w:val="16"/>
        </w:rPr>
        <w:t xml:space="preserve">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w:t>
      </w:r>
      <w:proofErr w:type="spellStart"/>
      <w:r w:rsidRPr="007122AB">
        <w:rPr>
          <w:rFonts w:ascii="Times New Roman" w:hAnsi="Times New Roman"/>
          <w:color w:val="000000" w:themeColor="text1"/>
          <w:sz w:val="16"/>
          <w:szCs w:val="16"/>
        </w:rPr>
        <w:t>П.Д.Грушину</w:t>
      </w:r>
      <w:proofErr w:type="spellEnd"/>
      <w:r w:rsidRPr="007122AB">
        <w:rPr>
          <w:rFonts w:ascii="Times New Roman" w:hAnsi="Times New Roman"/>
          <w:color w:val="000000" w:themeColor="text1"/>
          <w:sz w:val="16"/>
          <w:szCs w:val="16"/>
        </w:rPr>
        <w:t>.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5417CC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0E64E2" w14:textId="77777777" w:rsidR="00903F28" w:rsidRPr="007122AB" w:rsidRDefault="00903F28" w:rsidP="007122AB">
      <w:pPr>
        <w:pStyle w:val="a3"/>
        <w:rPr>
          <w:color w:val="000000" w:themeColor="text1"/>
          <w:lang w:val="ru-RU"/>
        </w:rPr>
      </w:pPr>
      <w:r w:rsidRPr="007122AB">
        <w:rPr>
          <w:color w:val="000000" w:themeColor="text1"/>
          <w:lang w:val="ru-RU"/>
        </w:rPr>
        <w:t>В декабре 1931 г. руковод</w:t>
      </w:r>
      <w:r w:rsidRPr="007122AB">
        <w:rPr>
          <w:color w:val="000000" w:themeColor="text1"/>
          <w:lang w:val="ru-RU"/>
        </w:rPr>
        <w:softHyphen/>
        <w:t>ство МАИ пыталось отказаться от порученного задания на дальний самолет. Неизвестно на каких условиях, но взяться за создание рекордного самолета неожиданно со</w:t>
      </w:r>
      <w:r w:rsidRPr="007122AB">
        <w:rPr>
          <w:color w:val="000000" w:themeColor="text1"/>
          <w:lang w:val="ru-RU"/>
        </w:rPr>
        <w:softHyphen/>
        <w:t>гласился новый заведующий кафедрой конструкции и проектирования само</w:t>
      </w:r>
      <w:r w:rsidRPr="007122AB">
        <w:rPr>
          <w:color w:val="000000" w:themeColor="text1"/>
          <w:lang w:val="ru-RU"/>
        </w:rPr>
        <w:softHyphen/>
        <w:t>летов МАИ Григорович. Напомним, что еще совсем недавно Дмитрий Павлович значился арестованным специалистом и лишь в мае 1931 г. был амнистирован и выпущен на свободу (15746).</w:t>
      </w:r>
    </w:p>
    <w:p w14:paraId="33410606" w14:textId="77777777" w:rsidR="00903F28" w:rsidRPr="007122AB" w:rsidRDefault="00903F28" w:rsidP="007122AB">
      <w:pPr>
        <w:pStyle w:val="1010"/>
        <w:shd w:val="clear" w:color="auto" w:fill="auto"/>
        <w:spacing w:line="240" w:lineRule="auto"/>
        <w:ind w:firstLine="0"/>
        <w:rPr>
          <w:rStyle w:val="1023"/>
          <w:rFonts w:ascii="Times New Roman" w:eastAsia="Arial Unicode MS" w:hAnsi="Times New Roman" w:cs="Times New Roman"/>
          <w:i w:val="0"/>
          <w:iCs w:val="0"/>
          <w:color w:val="000000" w:themeColor="text1"/>
          <w:sz w:val="16"/>
          <w:szCs w:val="16"/>
        </w:rPr>
      </w:pPr>
    </w:p>
    <w:p w14:paraId="6090D8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был построен МБР-2 с М-27 (9077)</w:t>
      </w:r>
    </w:p>
    <w:p w14:paraId="2FCC2C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DCFF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в СССР поступили первые 4 С-62бис, закупленные </w:t>
      </w:r>
      <w:proofErr w:type="spellStart"/>
      <w:r w:rsidRPr="007122AB">
        <w:rPr>
          <w:rFonts w:ascii="Times New Roman" w:hAnsi="Times New Roman"/>
          <w:color w:val="000000" w:themeColor="text1"/>
          <w:sz w:val="16"/>
          <w:szCs w:val="16"/>
        </w:rPr>
        <w:t>Я.И.Алкснисом</w:t>
      </w:r>
      <w:proofErr w:type="spellEnd"/>
      <w:r w:rsidRPr="007122AB">
        <w:rPr>
          <w:rFonts w:ascii="Times New Roman" w:hAnsi="Times New Roman"/>
          <w:color w:val="000000" w:themeColor="text1"/>
          <w:sz w:val="16"/>
          <w:szCs w:val="16"/>
        </w:rPr>
        <w:t xml:space="preserve"> в Италии в декабре 1929 (1085,106).</w:t>
      </w:r>
    </w:p>
    <w:p w14:paraId="273A8F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9859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из Италии в Россию поступила первая партия их четырех С-62бис и поставки продолжились до середины 1932 (9078, 6).</w:t>
      </w:r>
    </w:p>
    <w:p w14:paraId="4BAEB6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9F2A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1931 г. завод (Краснознаменный завод № 39 им. В.Р. Менжинского НКВМ, ВСНХ, НКТП, НКОП, НКАП, «</w:t>
      </w:r>
      <w:proofErr w:type="spellStart"/>
      <w:r w:rsidRPr="007122AB">
        <w:rPr>
          <w:rFonts w:ascii="Times New Roman" w:hAnsi="Times New Roman"/>
          <w:color w:val="000000" w:themeColor="text1"/>
          <w:sz w:val="16"/>
          <w:szCs w:val="16"/>
        </w:rPr>
        <w:t>Ремвоздухзавод</w:t>
      </w:r>
      <w:proofErr w:type="spellEnd"/>
      <w:r w:rsidRPr="007122AB">
        <w:rPr>
          <w:rFonts w:ascii="Times New Roman" w:hAnsi="Times New Roman"/>
          <w:color w:val="000000" w:themeColor="text1"/>
          <w:sz w:val="16"/>
          <w:szCs w:val="16"/>
        </w:rPr>
        <w:t xml:space="preserve">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начал переходить с опытного на серийное производство, с 07.1936 г. полностью переведен на серийное производство. С 1.01.1937 г. начата реконструкция завода. Приказом № 0032 от 8.02.1937 г. заводу предписано к 1.07.1937 г. построить механический цех площадью 7500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5D24B4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1930-е  г. действовал опытный цех № 80. Имелся филиал завода в Авиационном пер., 5 с деревообделочным цехом. В составе завода (1937 г.) - чертежное КБ (ЧКБ). По пр. № 00269 от 16.12.1937 г. заводу под склады было передано два здания бывших компрессорных подстанций Метростроя по Красноармейскому пер., 6 и 7.</w:t>
      </w:r>
    </w:p>
    <w:p w14:paraId="643F27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заводе № 39 в 1931 г. образован отдел вооружения с несколькими бригадами. Созданы авиационные подвески.</w:t>
      </w:r>
    </w:p>
    <w:p w14:paraId="65E67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08.1932 г., работая на заводе, А.С. Яковлев организовал группу легкой авиации, в том же году она вошла в ЦКБ.</w:t>
      </w:r>
    </w:p>
    <w:p w14:paraId="563788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27.04.1932 г. выдан заказ на изготовление 20 истребителей И-</w:t>
      </w:r>
      <w:r w:rsidRPr="007122AB">
        <w:rPr>
          <w:rFonts w:ascii="Times New Roman" w:hAnsi="Times New Roman"/>
          <w:color w:val="000000" w:themeColor="text1"/>
          <w:sz w:val="16"/>
          <w:szCs w:val="16"/>
          <w:lang w:val="en-US"/>
        </w:rPr>
        <w:t>Z</w:t>
      </w:r>
      <w:r w:rsidRPr="007122AB">
        <w:rPr>
          <w:rFonts w:ascii="Times New Roman" w:hAnsi="Times New Roman"/>
          <w:color w:val="000000" w:themeColor="text1"/>
          <w:sz w:val="16"/>
          <w:szCs w:val="16"/>
        </w:rPr>
        <w:t xml:space="preserve"> (И-7) под 76-мм ДРП АПК-4. В 1936 г. завод выведен из состава самолетостроительного треста ГУАП НКТП.</w:t>
      </w:r>
    </w:p>
    <w:p w14:paraId="2B6DCD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1936 г. на заводе велась подготовка к производству бомбардировщика ДБ-2, но затем было принято _ о запуске в серию ДБ-3, а изготовленную оснастку пустили на слом.</w:t>
      </w:r>
      <w:r w:rsidRPr="007122AB">
        <w:rPr>
          <w:rFonts w:ascii="Times New Roman" w:hAnsi="Times New Roman"/>
          <w:color w:val="000000" w:themeColor="text1"/>
          <w:sz w:val="16"/>
          <w:szCs w:val="16"/>
          <w:vertAlign w:val="superscript"/>
        </w:rPr>
        <w:t>89</w:t>
      </w:r>
      <w:r w:rsidRPr="007122AB">
        <w:rPr>
          <w:rFonts w:ascii="Times New Roman" w:hAnsi="Times New Roman"/>
          <w:color w:val="000000" w:themeColor="text1"/>
          <w:sz w:val="16"/>
          <w:szCs w:val="16"/>
        </w:rPr>
        <w:t xml:space="preserve"> Приказом № 00129 от 10.06.1937 г. поручено провести заводские испытания ДБ-3 с радиостанциями: РСБМ - к 15.07.1937 г.; РСД - к 15.08.1931с; РСДМ - к 25.09.1937 г. В 11.1937 г. на завод № 126 дня освоения производства ДБ-3 передан комплект чертежей ? самолет-эталон, командировано 10 специалистов. Приказом № 274с от 4.08.1938 г. для отработки образца «ДБ-3 1939 г.» заводу предписано выпустить 1-й экземпляр самолета к 1.10.1938 г. и 2-й- к 7.11.1938 г.</w:t>
      </w:r>
    </w:p>
    <w:p w14:paraId="2E792D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0259 от 3.12.1937 г., в связи с освоением на заводе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выпуска Р-10, туда переведено 5 рабочих и 3 инженера.</w:t>
      </w:r>
    </w:p>
    <w:p w14:paraId="79E4F9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w:t>
      </w:r>
    </w:p>
    <w:p w14:paraId="603EDA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 301с от 7.08.1938 г. было необходимо: сдать в 1938 г. в эксплуатацию конвейерный коридор; 2-ю очередь механического цеха - к 1.10.1938 г.; на границе заводов № 1 и 39 выбрать площадку для строительства общего прессового корпуса.</w:t>
      </w:r>
    </w:p>
    <w:p w14:paraId="664C3E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1939 г. проектная мощность завода составляла 600 ДБ-3 в год, годовой план - 320 самолетов. В соответствии с пост. КО № 532 от 31.05.1939 г. необходимо было с </w:t>
      </w:r>
      <w:r w:rsidRPr="007122AB">
        <w:rPr>
          <w:rFonts w:ascii="Times New Roman" w:hAnsi="Times New Roman"/>
          <w:color w:val="000000" w:themeColor="text1"/>
          <w:sz w:val="16"/>
          <w:szCs w:val="16"/>
          <w:lang w:val="en-US"/>
        </w:rPr>
        <w:t>IV</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lang w:val="en-US"/>
        </w:rPr>
        <w:t>ro</w:t>
      </w:r>
      <w:proofErr w:type="spellEnd"/>
      <w:r w:rsidRPr="007122AB">
        <w:rPr>
          <w:rFonts w:ascii="Times New Roman" w:hAnsi="Times New Roman"/>
          <w:color w:val="000000" w:themeColor="text1"/>
          <w:sz w:val="16"/>
          <w:szCs w:val="16"/>
        </w:rPr>
        <w:t xml:space="preserve"> квартала 1939 г. начать выпуск ДБ-ЗФ (в 1942-44 г. построено 869 машин).</w:t>
      </w:r>
    </w:p>
    <w:p w14:paraId="161646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1940 г. заводу был утвержден план по выпуску 100 ДБ-4, но в серию самолет не пошел.</w:t>
      </w:r>
      <w:r w:rsidRPr="007122AB">
        <w:rPr>
          <w:rFonts w:ascii="Times New Roman" w:hAnsi="Times New Roman"/>
          <w:color w:val="000000" w:themeColor="text1"/>
          <w:sz w:val="16"/>
          <w:szCs w:val="16"/>
          <w:vertAlign w:val="superscript"/>
        </w:rPr>
        <w:t>85</w:t>
      </w:r>
    </w:p>
    <w:p w14:paraId="6FA1AF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23.06.1940 г. принято решение о производстве ПБ-100 (Пе-2), с 03.1941 г. начат их выпуск сериями по 20 машин.</w:t>
      </w:r>
    </w:p>
    <w:p w14:paraId="28CF7B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 производства на 1941 г.: 600 Пе-2.</w:t>
      </w:r>
    </w:p>
    <w:p w14:paraId="3ACD95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327 от 29.07.1941 г. завод начал освоение производства Ил-2 с двигателем АШ-82.</w:t>
      </w:r>
    </w:p>
    <w:p w14:paraId="7BF9D9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3B277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262сс от 22.03.1941 г. завод передан в 10ГУ НКАП.</w:t>
      </w:r>
    </w:p>
    <w:p w14:paraId="74676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Совета эвакуации № 14323сс 10.1941 г. завод № 39 ЮГУ эвакуирован в  г. Иркутск (ст. </w:t>
      </w:r>
      <w:proofErr w:type="spellStart"/>
      <w:r w:rsidRPr="007122AB">
        <w:rPr>
          <w:rFonts w:ascii="Times New Roman" w:hAnsi="Times New Roman"/>
          <w:color w:val="000000" w:themeColor="text1"/>
          <w:sz w:val="16"/>
          <w:szCs w:val="16"/>
        </w:rPr>
        <w:t>Иннокентьевская</w:t>
      </w:r>
      <w:proofErr w:type="spellEnd"/>
      <w:r w:rsidRPr="007122AB">
        <w:rPr>
          <w:rFonts w:ascii="Times New Roman" w:hAnsi="Times New Roman"/>
          <w:color w:val="000000" w:themeColor="text1"/>
          <w:sz w:val="16"/>
          <w:szCs w:val="16"/>
        </w:rPr>
        <w:t>) на площадку расположенного здесь завода № 125 НКАП ЮГУ. В соответствии с пост. ГКО № 996с от 6.12.1941 г. и приказом НКАП № 1139с от 8.12.1941 г. завод № 39 объединен с заводом № 125 с образованием единого «Дважды орденоносного ордена Ленина и ордена Трудового Красного Знамени завода № 39 НКАП». В состав завода № 39 влит также завод № 104 НКАП. Перебазирование длилось 4 месяца, из Москвы прибыло 17.000 чел. Около тысячи из них перевели на завод № 99. Производственные площади на 1.01.1942 г. составили 111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3DE5A9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площадке эвакуированного завода в Москве с 10.1941 г. образовались самолетные Ремонтные мастерские при </w:t>
      </w:r>
      <w:proofErr w:type="spellStart"/>
      <w:r w:rsidRPr="007122AB">
        <w:rPr>
          <w:rFonts w:ascii="Times New Roman" w:hAnsi="Times New Roman"/>
          <w:color w:val="000000" w:themeColor="text1"/>
          <w:sz w:val="16"/>
          <w:szCs w:val="16"/>
        </w:rPr>
        <w:t>Ремотделе</w:t>
      </w:r>
      <w:proofErr w:type="spellEnd"/>
      <w:r w:rsidRPr="007122AB">
        <w:rPr>
          <w:rFonts w:ascii="Times New Roman" w:hAnsi="Times New Roman"/>
          <w:color w:val="000000" w:themeColor="text1"/>
          <w:sz w:val="16"/>
          <w:szCs w:val="16"/>
        </w:rPr>
        <w:t xml:space="preserve"> НКАП. На их базе по приказу № 3 с от 2.01.1942 г. организован завод № 81 при 10ГУ НКАП.</w:t>
      </w:r>
    </w:p>
    <w:p w14:paraId="2E95646D" w14:textId="77777777" w:rsidR="005C4849" w:rsidRPr="007122AB" w:rsidRDefault="005C4849" w:rsidP="007122AB">
      <w:pPr>
        <w:tabs>
          <w:tab w:val="left" w:pos="8454"/>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новом месте в Иркутске продолжено производство самолетов. Пост. ГКО № 1376сс от 3.03.1942 г. заводу утвержден суточный план на 03.1942 г. по выпуску Пе-2: с 1 по 5 марта - 12 машин, с 6 по 10 - 13, с 11 по 20 - 20 и с 21 по 31 марта - 25 машин. На 1942 г. заводу дан план на 587 Пе-2. 4.03.1942 г. вышло постановление </w:t>
      </w:r>
      <w:r w:rsidRPr="007122AB">
        <w:rPr>
          <w:rFonts w:ascii="Times New Roman" w:hAnsi="Times New Roman"/>
          <w:color w:val="000000" w:themeColor="text1"/>
          <w:sz w:val="16"/>
          <w:szCs w:val="16"/>
        </w:rPr>
        <w:lastRenderedPageBreak/>
        <w:t>ГКО № 1385 о выпуске на заводе самолета Пе-3. Но по приказу НКАП № 589с от 5.08.1942 г.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w:t>
      </w:r>
      <w:r w:rsidRPr="007122AB">
        <w:rPr>
          <w:rFonts w:ascii="Times New Roman" w:hAnsi="Times New Roman"/>
          <w:color w:val="000000" w:themeColor="text1"/>
          <w:sz w:val="16"/>
          <w:szCs w:val="16"/>
        </w:rPr>
        <w:tab/>
        <w:t>**</w:t>
      </w:r>
    </w:p>
    <w:p w14:paraId="343A67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2999 от 7.03.1943 г., 10 марта на заводе № 39 начата постройка самолета Ил-6 с дизелями М-30Б.</w:t>
      </w:r>
    </w:p>
    <w:p w14:paraId="3FA101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 ГКО № 4170 от 21.09.1943 г. на заводе в серию запущен Ер-2, 1-я машина взлетела 15.02.1944 г. Пост. ГКО № 8004 от 25.05.1945 г. самолет снят с производства.</w:t>
      </w:r>
    </w:p>
    <w:p w14:paraId="1EC726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592071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СМ СССР № 473-192сс от 28.02.1946 г. и приказом № 83сс от 3.03.1946 г. заводу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w:t>
      </w:r>
    </w:p>
    <w:p w14:paraId="4CA1E0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время выпуска Ан-12 (1957-62 г.) на заводе организовано представительство ОКБ-473, которое возглавляли А.И. </w:t>
      </w:r>
      <w:proofErr w:type="spellStart"/>
      <w:r w:rsidRPr="007122AB">
        <w:rPr>
          <w:rFonts w:ascii="Times New Roman" w:hAnsi="Times New Roman"/>
          <w:color w:val="000000" w:themeColor="text1"/>
          <w:sz w:val="16"/>
          <w:szCs w:val="16"/>
        </w:rPr>
        <w:t>Швирин</w:t>
      </w:r>
      <w:proofErr w:type="spellEnd"/>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Леонтьев, В.З. </w:t>
      </w:r>
      <w:proofErr w:type="spellStart"/>
      <w:r w:rsidRPr="007122AB">
        <w:rPr>
          <w:rFonts w:ascii="Times New Roman" w:hAnsi="Times New Roman"/>
          <w:color w:val="000000" w:themeColor="text1"/>
          <w:sz w:val="16"/>
          <w:szCs w:val="16"/>
        </w:rPr>
        <w:t>Брагилевский</w:t>
      </w:r>
      <w:proofErr w:type="spellEnd"/>
      <w:r w:rsidRPr="007122AB">
        <w:rPr>
          <w:rFonts w:ascii="Times New Roman" w:hAnsi="Times New Roman"/>
          <w:color w:val="000000" w:themeColor="text1"/>
          <w:sz w:val="16"/>
          <w:szCs w:val="16"/>
        </w:rPr>
        <w:t>,  Г.А. Луговой.</w:t>
      </w:r>
    </w:p>
    <w:p w14:paraId="792E6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МАП № 181 от 29.07.1965 г. на заводе начался выпуск Ан-24Т.</w:t>
      </w:r>
    </w:p>
    <w:p w14:paraId="0448E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СМ СССР № 713-342 от 26.06.1957 г. передан в ведение СНХ РСФСР.</w:t>
      </w:r>
    </w:p>
    <w:p w14:paraId="7B759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имел названия: ИАЗ им. 60-летия СССР (до 1989 г.), с 1989 г.- ИАПО. 13.10.1992 г. ИАПО преобразовано в ОАО «ИАПО». В 1997 г. ИАПО приобрело ТАНТК им. Бериева, в 1999 г.- ОКБ «Русская авионика». В 2000 г. на базе ИАПО создана НПК «Иркут», 19.12.2002 г. ИАПО переименовано в ОАО «НПК «Иркут». ОАО «ИАЗ» является филиалом НПК «Иркут» (2006 г.).</w:t>
      </w:r>
    </w:p>
    <w:p w14:paraId="68531B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1997 г. ИАЗ первым из предприятий авиационной промышленности России получил Сертификат соответствия системы обеспечения качества производства международному стандарту </w:t>
      </w:r>
      <w:r w:rsidRPr="007122AB">
        <w:rPr>
          <w:rFonts w:ascii="Times New Roman" w:hAnsi="Times New Roman"/>
          <w:color w:val="000000" w:themeColor="text1"/>
          <w:sz w:val="16"/>
          <w:szCs w:val="16"/>
          <w:lang w:val="en-US"/>
        </w:rPr>
        <w:t>ISO</w:t>
      </w:r>
      <w:r w:rsidRPr="007122AB">
        <w:rPr>
          <w:rFonts w:ascii="Times New Roman" w:hAnsi="Times New Roman"/>
          <w:color w:val="000000" w:themeColor="text1"/>
          <w:sz w:val="16"/>
          <w:szCs w:val="16"/>
        </w:rPr>
        <w:t xml:space="preserve"> 9002.</w:t>
      </w:r>
    </w:p>
    <w:p w14:paraId="574A15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 ИАПО входит Летно-испытательный центр, который осуществляет всесторонние испытания готового самолета, его пилотажно-навигационного комплекса и систем вооружения.</w:t>
      </w:r>
    </w:p>
    <w:p w14:paraId="501B9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Планировалось производство автожира А-002 (2004 г.). В 2006 г. построен 4-й экземпляр Бе-200, в 2007 г.- 5-й (еще два - в производстве). В 2007 г. запущен в серию Як-130. В 2008 г. планировалось поставить 6 машин ВВС РФ.</w:t>
      </w:r>
    </w:p>
    <w:p w14:paraId="4D123A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(11.1940 г.)- 829 металлорежущих станков.</w:t>
      </w:r>
    </w:p>
    <w:p w14:paraId="4F6D7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(1.01.1942 г.)- 16.879 чел.</w:t>
      </w:r>
    </w:p>
    <w:p w14:paraId="35237F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(1931 г.)- Е.С. Пауфлер,</w:t>
      </w:r>
      <w:r w:rsidRPr="007122AB">
        <w:rPr>
          <w:rFonts w:ascii="Times New Roman" w:hAnsi="Times New Roman"/>
          <w:color w:val="000000" w:themeColor="text1"/>
          <w:sz w:val="16"/>
          <w:szCs w:val="16"/>
          <w:vertAlign w:val="superscript"/>
        </w:rPr>
        <w:t>38</w:t>
      </w:r>
      <w:r w:rsidRPr="007122AB">
        <w:rPr>
          <w:rFonts w:ascii="Times New Roman" w:hAnsi="Times New Roman"/>
          <w:color w:val="000000" w:themeColor="text1"/>
          <w:sz w:val="16"/>
          <w:szCs w:val="16"/>
        </w:rPr>
        <w:t xml:space="preserve"> (04.1932 г.)- С. Марголин, (-06-11.07.1937 г.)- И.Б. Кацва, (11.07- 9.12.1937 г.)-  Г. Г. Бурмистров, (9.12.1937-09.1940 г.)- В.И. Журавлев, (09.1940-09.1941 г.)- Л.П. Соколов (затем- директор завода № 166), (09-12.1941 г.; 02.1942-45 г.)- В.И. Абрамов</w:t>
      </w:r>
      <w:r w:rsidRPr="007122AB">
        <w:rPr>
          <w:rFonts w:ascii="Times New Roman" w:hAnsi="Times New Roman"/>
          <w:color w:val="000000" w:themeColor="text1"/>
          <w:sz w:val="16"/>
          <w:szCs w:val="16"/>
          <w:vertAlign w:val="superscript"/>
        </w:rPr>
        <w:t>34</w:t>
      </w:r>
      <w:r w:rsidRPr="007122AB">
        <w:rPr>
          <w:rFonts w:ascii="Times New Roman" w:hAnsi="Times New Roman"/>
          <w:color w:val="000000" w:themeColor="text1"/>
          <w:sz w:val="16"/>
          <w:szCs w:val="16"/>
        </w:rPr>
        <w:t xml:space="preserve">, (12.1941-02.1942 г.)- И.Б. </w:t>
      </w:r>
      <w:proofErr w:type="spellStart"/>
      <w:r w:rsidRPr="007122AB">
        <w:rPr>
          <w:rFonts w:ascii="Times New Roman" w:hAnsi="Times New Roman"/>
          <w:color w:val="000000" w:themeColor="text1"/>
          <w:sz w:val="16"/>
          <w:szCs w:val="16"/>
        </w:rPr>
        <w:t>Иосилович</w:t>
      </w:r>
      <w:proofErr w:type="spellEnd"/>
      <w:r w:rsidRPr="007122AB">
        <w:rPr>
          <w:rFonts w:ascii="Times New Roman" w:hAnsi="Times New Roman"/>
          <w:color w:val="000000" w:themeColor="text1"/>
          <w:sz w:val="16"/>
          <w:szCs w:val="16"/>
        </w:rPr>
        <w:t>, (- 1945 г.)- В.И. Журавлев, (1946 г.)- К.А. Петров. Гендиректор (1992 г.)-  Г.Н. Горбунов, (1993-97 г.)- А.И. Федоров, (1998-2006 г.-)- В.В. Ковальков.</w:t>
      </w:r>
    </w:p>
    <w:p w14:paraId="2DEE7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директора (13.01.1933 г.-)- С.В. Ильюшин, (06.1937 г.)- Д.В. </w:t>
      </w:r>
      <w:proofErr w:type="spellStart"/>
      <w:r w:rsidRPr="007122AB">
        <w:rPr>
          <w:rFonts w:ascii="Times New Roman" w:hAnsi="Times New Roman"/>
          <w:color w:val="000000" w:themeColor="text1"/>
          <w:sz w:val="16"/>
          <w:szCs w:val="16"/>
        </w:rPr>
        <w:t>Голяев</w:t>
      </w:r>
      <w:proofErr w:type="spellEnd"/>
      <w:r w:rsidRPr="007122AB">
        <w:rPr>
          <w:rFonts w:ascii="Times New Roman" w:hAnsi="Times New Roman"/>
          <w:color w:val="000000" w:themeColor="text1"/>
          <w:sz w:val="16"/>
          <w:szCs w:val="16"/>
        </w:rPr>
        <w:t>. Зам. гендиректора по ВЭД, маркетингу и сервисному обслуживанию (-1994-97 г.)- А. Г. Белов. Помощник директора по найму и увольнению (-11.07.1937 г.)- Е.И. Левков, (13.11.1937-09.1938 г.-)- В.В. Полетаев.</w:t>
      </w:r>
    </w:p>
    <w:p w14:paraId="3086B1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директор (2002 г.)- А.А. Вепрев.</w:t>
      </w:r>
    </w:p>
    <w:p w14:paraId="3A5E99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(1933-36 г.)- Б.П. Лисунов, (06.1937; -12.1937-07.1938 г.-&gt; Д.В. </w:t>
      </w:r>
      <w:proofErr w:type="spellStart"/>
      <w:r w:rsidRPr="007122AB">
        <w:rPr>
          <w:rFonts w:ascii="Times New Roman" w:hAnsi="Times New Roman"/>
          <w:color w:val="000000" w:themeColor="text1"/>
          <w:sz w:val="16"/>
          <w:szCs w:val="16"/>
        </w:rPr>
        <w:t>Голяев</w:t>
      </w:r>
      <w:proofErr w:type="spellEnd"/>
      <w:r w:rsidRPr="007122AB">
        <w:rPr>
          <w:rFonts w:ascii="Times New Roman" w:hAnsi="Times New Roman"/>
          <w:color w:val="000000" w:themeColor="text1"/>
          <w:sz w:val="16"/>
          <w:szCs w:val="16"/>
        </w:rPr>
        <w:t>, (09.1937 г.)- Н.Н. Леонтьев, (12.1941-02.1942 г.)- В.И. Абрамов, (02.1942 г.-)- К.А. Петров, (1946 г.)- И.К. Ситников, (1989 г.-&gt; А.И. Федоров, (2002 г.)- В.В. Ковальков.</w:t>
      </w:r>
    </w:p>
    <w:p w14:paraId="5A3763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производства (10.12.1937 г.-)- П.М. Морозов. Начальник ОП (-04-06.1938 г.-)- К.А. Петров. Директор производства (2002 г.)- С.И. Василенко.</w:t>
      </w:r>
    </w:p>
    <w:p w14:paraId="1A00DF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производства (10.12.1937 г.-)- Ф.М. Матвеев.</w:t>
      </w:r>
    </w:p>
    <w:p w14:paraId="2E9D36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(22.02.1938-40 г.)- С.В. Ильюшин, (08.1940-02.1941 г.)- В.М. Петляков.</w:t>
      </w:r>
    </w:p>
    <w:p w14:paraId="6049B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(1938 г.)- В.В. Калинин.</w:t>
      </w:r>
    </w:p>
    <w:p w14:paraId="080A57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управления поставок и сервиса (2002 г.)- Ю.В. Белозеров.</w:t>
      </w:r>
    </w:p>
    <w:p w14:paraId="0FD5F7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(-1943 г.)- В.П. Иванов.</w:t>
      </w:r>
    </w:p>
    <w:p w14:paraId="1E89DE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программы Су-30МКИ (1998-99 г.)- В.И. Барковский.</w:t>
      </w:r>
    </w:p>
    <w:p w14:paraId="2A1FA2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ЛИС (09.1938 г.)- Грязнов, (02.1942-43 г.)- Ш.Б. </w:t>
      </w:r>
      <w:proofErr w:type="spellStart"/>
      <w:r w:rsidRPr="007122AB">
        <w:rPr>
          <w:rFonts w:ascii="Times New Roman" w:hAnsi="Times New Roman"/>
          <w:color w:val="000000" w:themeColor="text1"/>
          <w:sz w:val="16"/>
          <w:szCs w:val="16"/>
        </w:rPr>
        <w:t>Бидзинашвшга</w:t>
      </w:r>
      <w:proofErr w:type="spellEnd"/>
      <w:r w:rsidRPr="007122AB">
        <w:rPr>
          <w:rFonts w:ascii="Times New Roman" w:hAnsi="Times New Roman"/>
          <w:color w:val="000000" w:themeColor="text1"/>
          <w:sz w:val="16"/>
          <w:szCs w:val="16"/>
        </w:rPr>
        <w:t>.</w:t>
      </w:r>
    </w:p>
    <w:p w14:paraId="1AACC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цеха: (12.1937-02.1938 г.)- И.К. Седин, (-04-06.1938 г.-)- Е.Е. </w:t>
      </w:r>
      <w:proofErr w:type="spellStart"/>
      <w:r w:rsidRPr="007122AB">
        <w:rPr>
          <w:rFonts w:ascii="Times New Roman" w:hAnsi="Times New Roman"/>
          <w:color w:val="000000" w:themeColor="text1"/>
          <w:sz w:val="16"/>
          <w:szCs w:val="16"/>
        </w:rPr>
        <w:t>Буксанов</w:t>
      </w:r>
      <w:proofErr w:type="spellEnd"/>
      <w:r w:rsidRPr="007122AB">
        <w:rPr>
          <w:rFonts w:ascii="Times New Roman" w:hAnsi="Times New Roman"/>
          <w:color w:val="000000" w:themeColor="text1"/>
          <w:sz w:val="16"/>
          <w:szCs w:val="16"/>
        </w:rPr>
        <w:t>.</w:t>
      </w:r>
    </w:p>
    <w:p w14:paraId="718674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ОТК (09.1938 г.)-  Г.Е. Петров.</w:t>
      </w:r>
    </w:p>
    <w:p w14:paraId="4E417B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И.О. начальника СКБ (4.08.1938 г.-)- Анисимов.</w:t>
      </w:r>
    </w:p>
    <w:p w14:paraId="413536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Руководители групп: (1935-37 г.)- И.Л. Макаров.</w:t>
      </w:r>
    </w:p>
    <w:p w14:paraId="3182B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Летчики-испытатели:  Г.Е. Буланов, (1944 г.)- Н.С. </w:t>
      </w:r>
      <w:proofErr w:type="spellStart"/>
      <w:r w:rsidRPr="007122AB">
        <w:rPr>
          <w:rFonts w:ascii="Times New Roman" w:hAnsi="Times New Roman"/>
          <w:color w:val="000000" w:themeColor="text1"/>
          <w:sz w:val="16"/>
          <w:szCs w:val="16"/>
        </w:rPr>
        <w:t>Бушкевич</w:t>
      </w:r>
      <w:proofErr w:type="spellEnd"/>
      <w:r w:rsidRPr="007122AB">
        <w:rPr>
          <w:rFonts w:ascii="Times New Roman" w:hAnsi="Times New Roman"/>
          <w:color w:val="000000" w:themeColor="text1"/>
          <w:sz w:val="16"/>
          <w:szCs w:val="16"/>
        </w:rPr>
        <w:t xml:space="preserve">, (1967 г.)- С.М. </w:t>
      </w:r>
      <w:proofErr w:type="spellStart"/>
      <w:r w:rsidRPr="007122AB">
        <w:rPr>
          <w:rFonts w:ascii="Times New Roman" w:hAnsi="Times New Roman"/>
          <w:color w:val="000000" w:themeColor="text1"/>
          <w:sz w:val="16"/>
          <w:szCs w:val="16"/>
        </w:rPr>
        <w:t>Куркай</w:t>
      </w:r>
      <w:proofErr w:type="spellEnd"/>
      <w:r w:rsidRPr="007122AB">
        <w:rPr>
          <w:rFonts w:ascii="Times New Roman" w:hAnsi="Times New Roman"/>
          <w:color w:val="000000" w:themeColor="text1"/>
          <w:sz w:val="16"/>
          <w:szCs w:val="16"/>
        </w:rPr>
        <w:t xml:space="preserve">, В.Б. Максименков, (1967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Пранцкявичус</w:t>
      </w:r>
      <w:proofErr w:type="spellEnd"/>
      <w:r w:rsidRPr="007122AB">
        <w:rPr>
          <w:rFonts w:ascii="Times New Roman" w:hAnsi="Times New Roman"/>
          <w:color w:val="000000" w:themeColor="text1"/>
          <w:sz w:val="16"/>
          <w:szCs w:val="16"/>
        </w:rPr>
        <w:t>, (1966 г.)- к Г.И. Старостенко, И.И. Тихонов, В.М. Токарев, (1967 г.)- В.Н. Трубников, А.А. Холодов, (-1966-67 Г.-)- Э.Н. Чельцов, (1935 г.)- В.П. Чкалов, И.П. Яшин.</w:t>
      </w:r>
    </w:p>
    <w:p w14:paraId="7DE633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самолеты: И-5, «ТШ»- 2, «ДИС»- 2, МБР-1 - 1, МДР-1 - 1, «ШОМ»- 1, ТБ-5 (1931)- 1, МБР-2 (1931)- 1, АИР-б (1932-33)- 3, И-</w:t>
      </w:r>
      <w:r w:rsidRPr="007122AB">
        <w:rPr>
          <w:rFonts w:ascii="Times New Roman" w:hAnsi="Times New Roman"/>
          <w:color w:val="000000" w:themeColor="text1"/>
          <w:sz w:val="16"/>
          <w:szCs w:val="16"/>
          <w:lang w:val="en-US"/>
        </w:rPr>
        <w:t>Z</w:t>
      </w:r>
      <w:r w:rsidRPr="007122AB">
        <w:rPr>
          <w:rFonts w:ascii="Times New Roman" w:hAnsi="Times New Roman"/>
          <w:color w:val="000000" w:themeColor="text1"/>
          <w:sz w:val="16"/>
          <w:szCs w:val="16"/>
        </w:rPr>
        <w:t xml:space="preserve"> (И-7, 1933)- 22, И-15 (1934-35)- 49, ТБ-3 (1932-34)- 50, И-16 (1934-36)- 58, ДИ-6 (1936)- 10, ЦКБ-26 (1936)-1, ДБ-3 (1936-40), ДБ-ЗФ (1939-44)- всего 1588, БШ-2 (1939)- 2, ДБ-4 (1940)- 2, Пе-2 (1941-42)- 896 (764</w:t>
      </w:r>
      <w:r w:rsidRPr="007122AB">
        <w:rPr>
          <w:rFonts w:ascii="Times New Roman" w:hAnsi="Times New Roman"/>
          <w:color w:val="000000" w:themeColor="text1"/>
          <w:sz w:val="16"/>
          <w:szCs w:val="16"/>
          <w:vertAlign w:val="superscript"/>
        </w:rPr>
        <w:t>31</w:t>
      </w:r>
      <w:r w:rsidRPr="007122AB">
        <w:rPr>
          <w:rFonts w:ascii="Times New Roman" w:hAnsi="Times New Roman"/>
          <w:color w:val="000000" w:themeColor="text1"/>
          <w:sz w:val="16"/>
          <w:szCs w:val="16"/>
        </w:rPr>
        <w:t>), Пе-</w:t>
      </w:r>
      <w:proofErr w:type="spellStart"/>
      <w:r w:rsidRPr="007122AB">
        <w:rPr>
          <w:rFonts w:ascii="Times New Roman" w:hAnsi="Times New Roman"/>
          <w:color w:val="000000" w:themeColor="text1"/>
          <w:sz w:val="16"/>
          <w:szCs w:val="16"/>
        </w:rPr>
        <w:t>Збис</w:t>
      </w:r>
      <w:proofErr w:type="spellEnd"/>
      <w:r w:rsidRPr="007122AB">
        <w:rPr>
          <w:rFonts w:ascii="Times New Roman" w:hAnsi="Times New Roman"/>
          <w:color w:val="000000" w:themeColor="text1"/>
          <w:sz w:val="16"/>
          <w:szCs w:val="16"/>
        </w:rPr>
        <w:t xml:space="preserve"> (1941,43)- 209, Ер-2 (1943-45)- 391, Ил-6 (1943)- 1, Ту-2 (1947-50)- 218, «81» (Ту- 14, 1949)- 1, Ту-14 (1951-53)- 87,</w:t>
      </w:r>
      <w:r w:rsidRPr="007122AB">
        <w:rPr>
          <w:rFonts w:ascii="Times New Roman" w:hAnsi="Times New Roman"/>
          <w:color w:val="000000" w:themeColor="text1"/>
          <w:sz w:val="16"/>
          <w:szCs w:val="16"/>
          <w:vertAlign w:val="superscript"/>
        </w:rPr>
        <w:t>31</w:t>
      </w:r>
      <w:r w:rsidRPr="007122AB">
        <w:rPr>
          <w:rFonts w:ascii="Times New Roman" w:hAnsi="Times New Roman"/>
          <w:color w:val="000000" w:themeColor="text1"/>
          <w:sz w:val="16"/>
          <w:szCs w:val="16"/>
        </w:rPr>
        <w:t xml:space="preserve"> Ил-28 (1953-57)- 459,</w:t>
      </w:r>
      <w:r w:rsidRPr="007122AB">
        <w:rPr>
          <w:rFonts w:ascii="Times New Roman" w:hAnsi="Times New Roman"/>
          <w:color w:val="000000" w:themeColor="text1"/>
          <w:sz w:val="16"/>
          <w:szCs w:val="16"/>
          <w:vertAlign w:val="superscript"/>
        </w:rPr>
        <w:t>31</w:t>
      </w:r>
      <w:r w:rsidRPr="007122AB">
        <w:rPr>
          <w:rFonts w:ascii="Times New Roman" w:hAnsi="Times New Roman"/>
          <w:color w:val="000000" w:themeColor="text1"/>
          <w:sz w:val="16"/>
          <w:szCs w:val="16"/>
        </w:rPr>
        <w:t xml:space="preserve"> Ан-12 (1957-62)- 155, Як-28 (1959-71)- 737,</w:t>
      </w:r>
      <w:r w:rsidRPr="007122AB">
        <w:rPr>
          <w:rFonts w:ascii="Times New Roman" w:hAnsi="Times New Roman"/>
          <w:color w:val="000000" w:themeColor="text1"/>
          <w:sz w:val="16"/>
          <w:szCs w:val="16"/>
          <w:vertAlign w:val="superscript"/>
        </w:rPr>
        <w:t>31</w:t>
      </w:r>
      <w:r w:rsidRPr="007122AB">
        <w:rPr>
          <w:rFonts w:ascii="Times New Roman" w:hAnsi="Times New Roman"/>
          <w:color w:val="000000" w:themeColor="text1"/>
          <w:sz w:val="16"/>
          <w:szCs w:val="16"/>
        </w:rPr>
        <w:t xml:space="preserve"> Ан-24Т (1966-71)- 164, АН-24РТ (1966-71)- 62, МиГ-23УБ (1970-78), МиГ-27 (1973-77)- 560, МиГ -27К (1977-82)- 200, МиГ-27М (1978-83)- 150, Су-27УБ (1986-), Су-30 (1991-2004-), Як-112 (1993-), Бе-200 (1996, 1998-2007-)- 5, Як- 130 (2007-); оперение и воздухозаборники для Ту-160; опытная партия ракет 10Х (1940-е); катапультная установка АКУ-58-1 для Х-58 (1975-).</w:t>
      </w:r>
    </w:p>
    <w:p w14:paraId="03471C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Заводские №: 39010 (И-</w:t>
      </w:r>
      <w:r w:rsidRPr="007122AB">
        <w:rPr>
          <w:rFonts w:ascii="Times New Roman" w:hAnsi="Times New Roman"/>
          <w:color w:val="000000" w:themeColor="text1"/>
          <w:sz w:val="16"/>
          <w:szCs w:val="16"/>
          <w:lang w:val="en-US"/>
        </w:rPr>
        <w:t>Z</w:t>
      </w:r>
      <w:r w:rsidRPr="007122AB">
        <w:rPr>
          <w:rFonts w:ascii="Times New Roman" w:hAnsi="Times New Roman"/>
          <w:color w:val="000000" w:themeColor="text1"/>
          <w:sz w:val="16"/>
          <w:szCs w:val="16"/>
        </w:rPr>
        <w:t>, 1933 г.), 3039002 (ДБ-3), 10013901 (Ту-2); 390905 (Ил-4): 39- номер завода, 09- серия, 05- номер машины в серии; 3920903 (Як-28); 7910309 (Ан-24): 7- год выпуска, 9- номер завода, 1- тип изделия, 03- серия, 09- номер машины в серии (11982).</w:t>
      </w:r>
    </w:p>
    <w:p w14:paraId="5A0CB1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0D3E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московский завод № 24 уже начал подготовку к серийному производству </w:t>
      </w:r>
      <w:proofErr w:type="spellStart"/>
      <w:r w:rsidRPr="007122AB">
        <w:rPr>
          <w:rFonts w:ascii="Times New Roman" w:hAnsi="Times New Roman"/>
          <w:color w:val="000000" w:themeColor="text1"/>
          <w:sz w:val="16"/>
          <w:szCs w:val="16"/>
        </w:rPr>
        <w:t>микулинского</w:t>
      </w:r>
      <w:proofErr w:type="spellEnd"/>
      <w:r w:rsidRPr="007122AB">
        <w:rPr>
          <w:rFonts w:ascii="Times New Roman" w:hAnsi="Times New Roman"/>
          <w:color w:val="000000" w:themeColor="text1"/>
          <w:sz w:val="16"/>
          <w:szCs w:val="16"/>
        </w:rPr>
        <w:t xml:space="preserve"> двигателя. Ради этого там отказа</w:t>
      </w:r>
      <w:r w:rsidRPr="007122AB">
        <w:rPr>
          <w:rFonts w:ascii="Times New Roman" w:hAnsi="Times New Roman"/>
          <w:color w:val="000000" w:themeColor="text1"/>
          <w:sz w:val="16"/>
          <w:szCs w:val="16"/>
        </w:rPr>
        <w:softHyphen/>
        <w:t>лись от развертывания выпуска 18-цилиндрового мотора М-27, под ко</w:t>
      </w:r>
      <w:r w:rsidRPr="007122AB">
        <w:rPr>
          <w:rFonts w:ascii="Times New Roman" w:hAnsi="Times New Roman"/>
          <w:color w:val="000000" w:themeColor="text1"/>
          <w:sz w:val="16"/>
          <w:szCs w:val="16"/>
        </w:rPr>
        <w:softHyphen/>
        <w:t>торый уже подготовили оснастку. При этом формальный заказ поступил позже - 6 февраля 1932 г. (11848).</w:t>
      </w:r>
    </w:p>
    <w:p w14:paraId="7B1B9E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283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1931 года по июнь 1932 года НИИ ВВС проводил устройство, установку и испытание "Самолета Звена" ("З-1"), сконструированного инженером НИИ ВВС Вахмистровым В.С.</w:t>
      </w:r>
    </w:p>
    <w:p w14:paraId="0EACD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16D7F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754E5C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Эта комбинация представляет следующие основные выгоды:</w:t>
      </w:r>
    </w:p>
    <w:p w14:paraId="5A32C180"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68362A4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010103BF"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1EF965F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60C99B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1002C3" w:rsidRPr="007122AB" w14:paraId="56AD5034" w14:textId="77777777">
        <w:tc>
          <w:tcPr>
            <w:tcW w:w="1160" w:type="dxa"/>
          </w:tcPr>
          <w:p w14:paraId="31665D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160" w:type="dxa"/>
          </w:tcPr>
          <w:p w14:paraId="3F20E68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пустого</w:t>
            </w:r>
          </w:p>
        </w:tc>
        <w:tc>
          <w:tcPr>
            <w:tcW w:w="1160" w:type="dxa"/>
          </w:tcPr>
          <w:p w14:paraId="6C39D6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Полная нагрузка ТБ1</w:t>
            </w:r>
          </w:p>
        </w:tc>
        <w:tc>
          <w:tcPr>
            <w:tcW w:w="1160" w:type="dxa"/>
          </w:tcPr>
          <w:p w14:paraId="01D6F7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бомб</w:t>
            </w:r>
          </w:p>
        </w:tc>
        <w:tc>
          <w:tcPr>
            <w:tcW w:w="1160" w:type="dxa"/>
          </w:tcPr>
          <w:p w14:paraId="2EE332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самолетов</w:t>
            </w:r>
          </w:p>
          <w:p w14:paraId="5D0939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w:t>
            </w:r>
          </w:p>
        </w:tc>
        <w:tc>
          <w:tcPr>
            <w:tcW w:w="1160" w:type="dxa"/>
          </w:tcPr>
          <w:p w14:paraId="45E066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разбега</w:t>
            </w:r>
          </w:p>
        </w:tc>
        <w:tc>
          <w:tcPr>
            <w:tcW w:w="1160" w:type="dxa"/>
          </w:tcPr>
          <w:p w14:paraId="4CD75D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Максимальн</w:t>
            </w:r>
            <w:proofErr w:type="spellEnd"/>
            <w:r w:rsidRPr="007122AB">
              <w:rPr>
                <w:rFonts w:ascii="Times New Roman" w:hAnsi="Times New Roman"/>
                <w:color w:val="000000" w:themeColor="text1"/>
                <w:sz w:val="16"/>
                <w:szCs w:val="16"/>
              </w:rPr>
              <w:t xml:space="preserve">. скорость </w:t>
            </w:r>
          </w:p>
        </w:tc>
        <w:tc>
          <w:tcPr>
            <w:tcW w:w="1160" w:type="dxa"/>
          </w:tcPr>
          <w:p w14:paraId="7D24B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Подъем на 3000 м</w:t>
            </w:r>
          </w:p>
        </w:tc>
        <w:tc>
          <w:tcPr>
            <w:tcW w:w="1160" w:type="dxa"/>
          </w:tcPr>
          <w:p w14:paraId="043774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c>
          <w:tcPr>
            <w:tcW w:w="1160" w:type="dxa"/>
          </w:tcPr>
          <w:p w14:paraId="5E8606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Дальность</w:t>
            </w:r>
          </w:p>
        </w:tc>
      </w:tr>
      <w:tr w:rsidR="001002C3" w:rsidRPr="007122AB" w14:paraId="11FCB998" w14:textId="77777777">
        <w:tc>
          <w:tcPr>
            <w:tcW w:w="1160" w:type="dxa"/>
          </w:tcPr>
          <w:p w14:paraId="51EAC1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160" w:type="dxa"/>
          </w:tcPr>
          <w:p w14:paraId="3612A5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4525</w:t>
            </w:r>
          </w:p>
        </w:tc>
        <w:tc>
          <w:tcPr>
            <w:tcW w:w="1160" w:type="dxa"/>
          </w:tcPr>
          <w:p w14:paraId="045EA7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2285</w:t>
            </w:r>
          </w:p>
        </w:tc>
        <w:tc>
          <w:tcPr>
            <w:tcW w:w="1160" w:type="dxa"/>
          </w:tcPr>
          <w:p w14:paraId="3E5BBE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w:t>
            </w:r>
          </w:p>
        </w:tc>
        <w:tc>
          <w:tcPr>
            <w:tcW w:w="1160" w:type="dxa"/>
          </w:tcPr>
          <w:p w14:paraId="6099CB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60" w:type="dxa"/>
          </w:tcPr>
          <w:p w14:paraId="072D8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160" w:type="dxa"/>
          </w:tcPr>
          <w:p w14:paraId="79AEB9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211</w:t>
            </w:r>
          </w:p>
        </w:tc>
        <w:tc>
          <w:tcPr>
            <w:tcW w:w="1160" w:type="dxa"/>
          </w:tcPr>
          <w:p w14:paraId="3EFEE4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21,3</w:t>
            </w:r>
          </w:p>
        </w:tc>
        <w:tc>
          <w:tcPr>
            <w:tcW w:w="1160" w:type="dxa"/>
          </w:tcPr>
          <w:p w14:paraId="53919B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4800</w:t>
            </w:r>
          </w:p>
        </w:tc>
        <w:tc>
          <w:tcPr>
            <w:tcW w:w="1160" w:type="dxa"/>
          </w:tcPr>
          <w:p w14:paraId="13FDF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450</w:t>
            </w:r>
          </w:p>
        </w:tc>
      </w:tr>
      <w:tr w:rsidR="001002C3" w:rsidRPr="007122AB" w14:paraId="05BAED85" w14:textId="77777777">
        <w:tc>
          <w:tcPr>
            <w:tcW w:w="1160" w:type="dxa"/>
          </w:tcPr>
          <w:p w14:paraId="2768C5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797ECA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4525</w:t>
            </w:r>
          </w:p>
        </w:tc>
        <w:tc>
          <w:tcPr>
            <w:tcW w:w="1160" w:type="dxa"/>
          </w:tcPr>
          <w:p w14:paraId="103BC3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3400</w:t>
            </w:r>
          </w:p>
        </w:tc>
        <w:tc>
          <w:tcPr>
            <w:tcW w:w="1160" w:type="dxa"/>
          </w:tcPr>
          <w:p w14:paraId="5FBAC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160" w:type="dxa"/>
          </w:tcPr>
          <w:p w14:paraId="1B5BF9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60" w:type="dxa"/>
          </w:tcPr>
          <w:p w14:paraId="3279C7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w:t>
            </w:r>
          </w:p>
        </w:tc>
        <w:tc>
          <w:tcPr>
            <w:tcW w:w="1160" w:type="dxa"/>
          </w:tcPr>
          <w:p w14:paraId="04F25E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160" w:type="dxa"/>
          </w:tcPr>
          <w:p w14:paraId="612FD1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38,1</w:t>
            </w:r>
          </w:p>
        </w:tc>
        <w:tc>
          <w:tcPr>
            <w:tcW w:w="1160" w:type="dxa"/>
          </w:tcPr>
          <w:p w14:paraId="029493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3790</w:t>
            </w:r>
          </w:p>
        </w:tc>
        <w:tc>
          <w:tcPr>
            <w:tcW w:w="1160" w:type="dxa"/>
          </w:tcPr>
          <w:p w14:paraId="18DD8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176D670C" w14:textId="77777777">
        <w:tc>
          <w:tcPr>
            <w:tcW w:w="1160" w:type="dxa"/>
          </w:tcPr>
          <w:p w14:paraId="6F36C7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"З-1"</w:t>
            </w:r>
          </w:p>
          <w:p w14:paraId="239FD8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ТБ1+2И-4</w:t>
            </w:r>
          </w:p>
        </w:tc>
        <w:tc>
          <w:tcPr>
            <w:tcW w:w="1160" w:type="dxa"/>
          </w:tcPr>
          <w:p w14:paraId="464C78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6532</w:t>
            </w:r>
          </w:p>
        </w:tc>
        <w:tc>
          <w:tcPr>
            <w:tcW w:w="1160" w:type="dxa"/>
          </w:tcPr>
          <w:p w14:paraId="7EAC2C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3968</w:t>
            </w:r>
          </w:p>
        </w:tc>
        <w:tc>
          <w:tcPr>
            <w:tcW w:w="1160" w:type="dxa"/>
          </w:tcPr>
          <w:p w14:paraId="2E441E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160" w:type="dxa"/>
          </w:tcPr>
          <w:p w14:paraId="066203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1450</w:t>
            </w:r>
          </w:p>
        </w:tc>
        <w:tc>
          <w:tcPr>
            <w:tcW w:w="1160" w:type="dxa"/>
          </w:tcPr>
          <w:p w14:paraId="793A48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160" w:type="dxa"/>
          </w:tcPr>
          <w:p w14:paraId="4BF607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160" w:type="dxa"/>
          </w:tcPr>
          <w:p w14:paraId="3886AD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24,6</w:t>
            </w:r>
          </w:p>
        </w:tc>
        <w:tc>
          <w:tcPr>
            <w:tcW w:w="1160" w:type="dxa"/>
          </w:tcPr>
          <w:p w14:paraId="21AD3D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4630</w:t>
            </w:r>
          </w:p>
        </w:tc>
        <w:tc>
          <w:tcPr>
            <w:tcW w:w="1160" w:type="dxa"/>
          </w:tcPr>
          <w:p w14:paraId="0E1003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600</w:t>
            </w:r>
          </w:p>
        </w:tc>
      </w:tr>
      <w:tr w:rsidR="001002C3" w:rsidRPr="007122AB" w14:paraId="1192CA58" w14:textId="77777777">
        <w:tc>
          <w:tcPr>
            <w:tcW w:w="1160" w:type="dxa"/>
          </w:tcPr>
          <w:p w14:paraId="5B16FF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C6680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6532</w:t>
            </w:r>
          </w:p>
        </w:tc>
        <w:tc>
          <w:tcPr>
            <w:tcW w:w="1160" w:type="dxa"/>
          </w:tcPr>
          <w:p w14:paraId="236D92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5968</w:t>
            </w:r>
          </w:p>
        </w:tc>
        <w:tc>
          <w:tcPr>
            <w:tcW w:w="1160" w:type="dxa"/>
          </w:tcPr>
          <w:p w14:paraId="3D895A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1000</w:t>
            </w:r>
          </w:p>
        </w:tc>
        <w:tc>
          <w:tcPr>
            <w:tcW w:w="1160" w:type="dxa"/>
          </w:tcPr>
          <w:p w14:paraId="59735F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1450</w:t>
            </w:r>
          </w:p>
        </w:tc>
        <w:tc>
          <w:tcPr>
            <w:tcW w:w="1160" w:type="dxa"/>
          </w:tcPr>
          <w:p w14:paraId="3A223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290</w:t>
            </w:r>
          </w:p>
        </w:tc>
        <w:tc>
          <w:tcPr>
            <w:tcW w:w="1160" w:type="dxa"/>
          </w:tcPr>
          <w:p w14:paraId="4DE782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60" w:type="dxa"/>
          </w:tcPr>
          <w:p w14:paraId="458DF7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60" w:type="dxa"/>
          </w:tcPr>
          <w:p w14:paraId="725427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60" w:type="dxa"/>
          </w:tcPr>
          <w:p w14:paraId="218F4D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1500</w:t>
            </w:r>
          </w:p>
        </w:tc>
      </w:tr>
    </w:tbl>
    <w:p w14:paraId="476959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2FA4F5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66595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0C3B8D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1002C3" w:rsidRPr="007122AB" w14:paraId="395F5A14" w14:textId="77777777">
        <w:tc>
          <w:tcPr>
            <w:tcW w:w="1450" w:type="dxa"/>
          </w:tcPr>
          <w:p w14:paraId="63BAD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w:t>
            </w:r>
          </w:p>
        </w:tc>
        <w:tc>
          <w:tcPr>
            <w:tcW w:w="1450" w:type="dxa"/>
          </w:tcPr>
          <w:p w14:paraId="128DCB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Полетный вес</w:t>
            </w:r>
          </w:p>
        </w:tc>
        <w:tc>
          <w:tcPr>
            <w:tcW w:w="1450" w:type="dxa"/>
          </w:tcPr>
          <w:p w14:paraId="64B8D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Нагрузка</w:t>
            </w:r>
          </w:p>
        </w:tc>
        <w:tc>
          <w:tcPr>
            <w:tcW w:w="1450" w:type="dxa"/>
          </w:tcPr>
          <w:p w14:paraId="22991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у земли</w:t>
            </w:r>
          </w:p>
        </w:tc>
        <w:tc>
          <w:tcPr>
            <w:tcW w:w="1450" w:type="dxa"/>
          </w:tcPr>
          <w:p w14:paraId="66D0E4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Максимальная скорость на 3000 м</w:t>
            </w:r>
          </w:p>
        </w:tc>
        <w:tc>
          <w:tcPr>
            <w:tcW w:w="1450" w:type="dxa"/>
          </w:tcPr>
          <w:p w14:paraId="76D462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Скороподъемн</w:t>
            </w:r>
            <w:proofErr w:type="spellEnd"/>
            <w:r w:rsidRPr="007122AB">
              <w:rPr>
                <w:rFonts w:ascii="Times New Roman" w:hAnsi="Times New Roman"/>
                <w:color w:val="000000" w:themeColor="text1"/>
                <w:sz w:val="16"/>
                <w:szCs w:val="16"/>
              </w:rPr>
              <w:t xml:space="preserve">. на 1000 м </w:t>
            </w:r>
          </w:p>
        </w:tc>
        <w:tc>
          <w:tcPr>
            <w:tcW w:w="1450" w:type="dxa"/>
          </w:tcPr>
          <w:p w14:paraId="4CC73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Скороподъемн</w:t>
            </w:r>
            <w:proofErr w:type="spellEnd"/>
            <w:r w:rsidRPr="007122AB">
              <w:rPr>
                <w:rFonts w:ascii="Times New Roman" w:hAnsi="Times New Roman"/>
                <w:color w:val="000000" w:themeColor="text1"/>
                <w:sz w:val="16"/>
                <w:szCs w:val="16"/>
              </w:rPr>
              <w:t>. на 3000 м</w:t>
            </w:r>
          </w:p>
        </w:tc>
        <w:tc>
          <w:tcPr>
            <w:tcW w:w="1450" w:type="dxa"/>
          </w:tcPr>
          <w:p w14:paraId="115307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Потолок</w:t>
            </w:r>
          </w:p>
        </w:tc>
      </w:tr>
      <w:tr w:rsidR="001002C3" w:rsidRPr="007122AB" w14:paraId="52BACA2B" w14:textId="77777777">
        <w:tc>
          <w:tcPr>
            <w:tcW w:w="1450" w:type="dxa"/>
          </w:tcPr>
          <w:p w14:paraId="1A0F8E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1450" w:type="dxa"/>
          </w:tcPr>
          <w:p w14:paraId="61E816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17200</w:t>
            </w:r>
          </w:p>
        </w:tc>
        <w:tc>
          <w:tcPr>
            <w:tcW w:w="1450" w:type="dxa"/>
          </w:tcPr>
          <w:p w14:paraId="1FA16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7000</w:t>
            </w:r>
          </w:p>
        </w:tc>
        <w:tc>
          <w:tcPr>
            <w:tcW w:w="1450" w:type="dxa"/>
          </w:tcPr>
          <w:p w14:paraId="0D50B5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198</w:t>
            </w:r>
          </w:p>
        </w:tc>
        <w:tc>
          <w:tcPr>
            <w:tcW w:w="1450" w:type="dxa"/>
          </w:tcPr>
          <w:p w14:paraId="6C46C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166</w:t>
            </w:r>
          </w:p>
        </w:tc>
        <w:tc>
          <w:tcPr>
            <w:tcW w:w="1450" w:type="dxa"/>
          </w:tcPr>
          <w:p w14:paraId="733AA2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9,40</w:t>
            </w:r>
          </w:p>
        </w:tc>
        <w:tc>
          <w:tcPr>
            <w:tcW w:w="1450" w:type="dxa"/>
          </w:tcPr>
          <w:p w14:paraId="2B7215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46,5</w:t>
            </w:r>
          </w:p>
        </w:tc>
        <w:tc>
          <w:tcPr>
            <w:tcW w:w="1450" w:type="dxa"/>
          </w:tcPr>
          <w:p w14:paraId="52B3B1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3700</w:t>
            </w:r>
          </w:p>
        </w:tc>
      </w:tr>
      <w:tr w:rsidR="001002C3" w:rsidRPr="007122AB" w14:paraId="30F039A0" w14:textId="77777777">
        <w:tc>
          <w:tcPr>
            <w:tcW w:w="1450" w:type="dxa"/>
          </w:tcPr>
          <w:p w14:paraId="62EAA2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"З-2"</w:t>
            </w:r>
          </w:p>
          <w:p w14:paraId="5E69AC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ТБ3+3И5</w:t>
            </w:r>
          </w:p>
        </w:tc>
        <w:tc>
          <w:tcPr>
            <w:tcW w:w="1450" w:type="dxa"/>
          </w:tcPr>
          <w:p w14:paraId="170878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21250</w:t>
            </w:r>
          </w:p>
        </w:tc>
        <w:tc>
          <w:tcPr>
            <w:tcW w:w="1450" w:type="dxa"/>
          </w:tcPr>
          <w:p w14:paraId="3B0311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8200</w:t>
            </w:r>
          </w:p>
        </w:tc>
        <w:tc>
          <w:tcPr>
            <w:tcW w:w="1450" w:type="dxa"/>
          </w:tcPr>
          <w:p w14:paraId="7FBB92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201</w:t>
            </w:r>
          </w:p>
        </w:tc>
        <w:tc>
          <w:tcPr>
            <w:tcW w:w="1450" w:type="dxa"/>
          </w:tcPr>
          <w:p w14:paraId="59E30A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174</w:t>
            </w:r>
          </w:p>
        </w:tc>
        <w:tc>
          <w:tcPr>
            <w:tcW w:w="1450" w:type="dxa"/>
          </w:tcPr>
          <w:p w14:paraId="762642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4,93</w:t>
            </w:r>
          </w:p>
        </w:tc>
        <w:tc>
          <w:tcPr>
            <w:tcW w:w="1450" w:type="dxa"/>
          </w:tcPr>
          <w:p w14:paraId="34C73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24,17</w:t>
            </w:r>
          </w:p>
        </w:tc>
        <w:tc>
          <w:tcPr>
            <w:tcW w:w="1450" w:type="dxa"/>
          </w:tcPr>
          <w:p w14:paraId="59085D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4800</w:t>
            </w:r>
          </w:p>
        </w:tc>
      </w:tr>
    </w:tbl>
    <w:p w14:paraId="0ADF8320"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(7439, 201-203).</w:t>
      </w:r>
    </w:p>
    <w:p w14:paraId="3BB6077E"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A2E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совершил первый полет ТБ-1, на крыльях которого размещались два истребителя И-4. Система получила название «Звено-1». В 1932 г. начались работы по использованию в качестве носителя ТБ-3. Проект назвали «Звено-2А». Четырехмоторный бомбардировщик должен был нести три истребителя И-5 - два на крыльях и третий на фюзеляже. Первые полеты совершили только с двумя истребителями на крыльях, позднее добавили еще один. Затаскивали И-5 по специальным мосткам, причем самой большой головной болью являлось водружение третьего самолета на фюзеляж. На ТБ-3 сделали специальные захваты для колес истребителей с замками. Носитель </w:t>
      </w:r>
      <w:proofErr w:type="spellStart"/>
      <w:r w:rsidRPr="007122AB">
        <w:rPr>
          <w:rFonts w:ascii="Times New Roman" w:hAnsi="Times New Roman"/>
          <w:color w:val="000000" w:themeColor="text1"/>
          <w:sz w:val="16"/>
          <w:szCs w:val="16"/>
        </w:rPr>
        <w:t>взлегал</w:t>
      </w:r>
      <w:proofErr w:type="spellEnd"/>
      <w:r w:rsidRPr="007122AB">
        <w:rPr>
          <w:rFonts w:ascii="Times New Roman" w:hAnsi="Times New Roman"/>
          <w:color w:val="000000" w:themeColor="text1"/>
          <w:sz w:val="16"/>
          <w:szCs w:val="16"/>
        </w:rPr>
        <w:t xml:space="preserve"> при помощи только своих собственных MOTOРOB. истребители же обычно запускали двигатели только перед отцепкой. Только раз, чтобы замерить максимальную скорость, в воздухе работали моторы </w:t>
      </w:r>
      <w:proofErr w:type="spellStart"/>
      <w:r w:rsidRPr="007122AB">
        <w:rPr>
          <w:rFonts w:ascii="Times New Roman" w:hAnsi="Times New Roman"/>
          <w:color w:val="000000" w:themeColor="text1"/>
          <w:sz w:val="16"/>
          <w:szCs w:val="16"/>
        </w:rPr>
        <w:t>одновоеменно</w:t>
      </w:r>
      <w:proofErr w:type="spellEnd"/>
      <w:r w:rsidRPr="007122AB">
        <w:rPr>
          <w:rFonts w:ascii="Times New Roman" w:hAnsi="Times New Roman"/>
          <w:color w:val="000000" w:themeColor="text1"/>
          <w:sz w:val="16"/>
          <w:szCs w:val="16"/>
        </w:rPr>
        <w:t xml:space="preserve"> всех четырех машин. Кончилось это тем. что кок И-5. стоявшего на фюзеляже, оторвался и пролетел у борта пилотской кабины ТБ-3. приделав в плоскости большую дыру. Система считалась очень перспективной. Подразделения "звеньев" хотели разместить а первую очередь на Дальнем Востоке для прикрытия возможных налетов на территорию Кореи и Японии. Планировали не только пускать, но и принимать самолеты в воздухе. Для этого между стойками шасси закрепили ферму-трапецию. Истребитель И-Зет оснащался сверху крюком на раме. На аэродроме его подкатывали между тележками ТБ-3, специальный механизм опускал трапецию и затем поднимал ее вверх вместе с истребителем. В воздухе трапеция опускалась опять, и И-Зет отцеплялся от носителя. Перед приемом истребителя ее выпускали вновь, и задачей пилота маленького самолета было точно попасть крюком на трубу трапеции. После долгих тренировок в апреле 1934 г. удалось успешно выпустить и опять подхватить истребитель. Этот вариант получил название «Звено-5» (9807).</w:t>
      </w:r>
    </w:p>
    <w:p w14:paraId="25E07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4CE292"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года был испытан десантный парашют Гроховского для люльки. В данном виде признан негодным для принятия на снабжение, требуется перестройка образца, согласно указаний Испытательной комиссии НИИ (6770).</w:t>
      </w:r>
    </w:p>
    <w:p w14:paraId="569CC2F8"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08C51"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года прошел гос. испытания парашют Гроховского Г-40 для сбрасывания фотокассет. Дал положительные результаты; подлежал серийному заказу (6770).</w:t>
      </w:r>
    </w:p>
    <w:p w14:paraId="6543F2AA" w14:textId="77777777" w:rsidR="005C4849" w:rsidRPr="007122AB" w:rsidRDefault="005C4849" w:rsidP="007122AB">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C14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вышел Отчет о конструировании специального приспособления для порчи самолетов при вынужденной их посадке в тылу противника (3208,469).</w:t>
      </w:r>
    </w:p>
    <w:p w14:paraId="647B90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57CE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начальник УВВС П.И. Баранову писал:</w:t>
      </w:r>
    </w:p>
    <w:p w14:paraId="0AA03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“Самолет обладает скоростью в три раза большей, чем торпедный катер, лучше маневрирует, менее заметен, дает лучшую </w:t>
      </w:r>
      <w:proofErr w:type="spellStart"/>
      <w:r w:rsidRPr="007122AB">
        <w:rPr>
          <w:rFonts w:ascii="Times New Roman" w:hAnsi="Times New Roman"/>
          <w:color w:val="000000" w:themeColor="text1"/>
          <w:sz w:val="16"/>
          <w:szCs w:val="16"/>
        </w:rPr>
        <w:t>прицельность</w:t>
      </w:r>
      <w:proofErr w:type="spellEnd"/>
      <w:r w:rsidRPr="007122AB">
        <w:rPr>
          <w:rFonts w:ascii="Times New Roman" w:hAnsi="Times New Roman"/>
          <w:color w:val="000000" w:themeColor="text1"/>
          <w:sz w:val="16"/>
          <w:szCs w:val="16"/>
        </w:rPr>
        <w:t>, дешевле стоит... Сохранение торпеды на воо</w:t>
      </w:r>
      <w:r w:rsidRPr="007122AB">
        <w:rPr>
          <w:rFonts w:ascii="Times New Roman" w:hAnsi="Times New Roman"/>
          <w:color w:val="000000" w:themeColor="text1"/>
          <w:sz w:val="16"/>
          <w:szCs w:val="16"/>
        </w:rPr>
        <w:softHyphen/>
        <w:t>ружении морской авиации я считаю абсолютно обязательным” (4144).</w:t>
      </w:r>
    </w:p>
    <w:p w14:paraId="405CA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CEB3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комиссия, назначенная </w:t>
      </w:r>
      <w:proofErr w:type="spellStart"/>
      <w:r w:rsidRPr="007122AB">
        <w:rPr>
          <w:rFonts w:ascii="Times New Roman" w:hAnsi="Times New Roman"/>
          <w:color w:val="000000" w:themeColor="text1"/>
          <w:sz w:val="16"/>
          <w:szCs w:val="16"/>
        </w:rPr>
        <w:t>Я.Алкснисом</w:t>
      </w:r>
      <w:proofErr w:type="spellEnd"/>
      <w:r w:rsidRPr="007122AB">
        <w:rPr>
          <w:rFonts w:ascii="Times New Roman" w:hAnsi="Times New Roman"/>
          <w:color w:val="000000" w:themeColor="text1"/>
          <w:sz w:val="16"/>
          <w:szCs w:val="16"/>
        </w:rPr>
        <w:t xml:space="preserve"> во главе с Нач. Воздушных сил ЧМ </w:t>
      </w:r>
      <w:proofErr w:type="spellStart"/>
      <w:r w:rsidRPr="007122AB">
        <w:rPr>
          <w:rFonts w:ascii="Times New Roman" w:hAnsi="Times New Roman"/>
          <w:color w:val="000000" w:themeColor="text1"/>
          <w:sz w:val="16"/>
          <w:szCs w:val="16"/>
        </w:rPr>
        <w:t>В.К.Лавровым</w:t>
      </w:r>
      <w:proofErr w:type="spellEnd"/>
      <w:r w:rsidRPr="007122AB">
        <w:rPr>
          <w:rFonts w:ascii="Times New Roman" w:hAnsi="Times New Roman"/>
          <w:color w:val="000000" w:themeColor="text1"/>
          <w:sz w:val="16"/>
          <w:szCs w:val="16"/>
        </w:rPr>
        <w:t xml:space="preserve"> подвела итоги войсковых испытаний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до 14 ноября 1931. В октябре 1931 учебную атаку провела пара ТБ-1 во время учений флота. Сбросили 2 торпеды по буксируемому щиту в 15 милях от </w:t>
      </w:r>
      <w:proofErr w:type="spellStart"/>
      <w:r w:rsidRPr="007122AB">
        <w:rPr>
          <w:rFonts w:ascii="Times New Roman" w:hAnsi="Times New Roman"/>
          <w:color w:val="000000" w:themeColor="text1"/>
          <w:sz w:val="16"/>
          <w:szCs w:val="16"/>
        </w:rPr>
        <w:t>Херсонесского</w:t>
      </w:r>
      <w:proofErr w:type="spellEnd"/>
      <w:r w:rsidRPr="007122AB">
        <w:rPr>
          <w:rFonts w:ascii="Times New Roman" w:hAnsi="Times New Roman"/>
          <w:color w:val="000000" w:themeColor="text1"/>
          <w:sz w:val="16"/>
          <w:szCs w:val="16"/>
        </w:rPr>
        <w:t xml:space="preserve">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Полностью программу выполнить не удалось из-за отсутствия ТБ-1 в поплавковом варианте, специального прицела и мнущихся зарядных отделений. Решили продолжить испытания после устранения недостатков в марте 1932 (1966,10).</w:t>
      </w:r>
    </w:p>
    <w:p w14:paraId="60DBCC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48B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1931 г. в Тушино на свободных площадях у ж/д. станции начал работать завод №3 управления производственными предприятиями ЦС ОСОАВИАХИМ СССР.</w:t>
      </w:r>
    </w:p>
    <w:p w14:paraId="5F7D3E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Первым директором стал </w:t>
      </w:r>
      <w:proofErr w:type="spellStart"/>
      <w:r w:rsidRPr="007122AB">
        <w:rPr>
          <w:rFonts w:ascii="Times New Roman" w:hAnsi="Times New Roman"/>
          <w:color w:val="000000" w:themeColor="text1"/>
          <w:sz w:val="16"/>
          <w:szCs w:val="16"/>
        </w:rPr>
        <w:t>И.Г.Комаров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КБ завода в 1931-38гг. был известный, в последствии, авиаконструктор </w:t>
      </w:r>
      <w:proofErr w:type="spellStart"/>
      <w:r w:rsidRPr="007122AB">
        <w:rPr>
          <w:rFonts w:ascii="Times New Roman" w:hAnsi="Times New Roman"/>
          <w:color w:val="000000" w:themeColor="text1"/>
          <w:sz w:val="16"/>
          <w:szCs w:val="16"/>
        </w:rPr>
        <w:t>О.К.Антонов</w:t>
      </w:r>
      <w:proofErr w:type="spellEnd"/>
      <w:r w:rsidRPr="007122AB">
        <w:rPr>
          <w:rFonts w:ascii="Times New Roman" w:hAnsi="Times New Roman"/>
          <w:color w:val="000000" w:themeColor="text1"/>
          <w:sz w:val="16"/>
          <w:szCs w:val="16"/>
        </w:rPr>
        <w:t xml:space="preserve">. В этот период строились планеры УС-3, УС-4, УС-5 и УС-6, РФ-1, РФ-2, РФ-3, РФ-4, -5, -6, -7 и др. Кроме того разрабатывались и строились учебные и опытные планеры других конструкторов: </w:t>
      </w:r>
      <w:proofErr w:type="spellStart"/>
      <w:r w:rsidRPr="007122AB">
        <w:rPr>
          <w:rFonts w:ascii="Times New Roman" w:hAnsi="Times New Roman"/>
          <w:color w:val="000000" w:themeColor="text1"/>
          <w:sz w:val="16"/>
          <w:szCs w:val="16"/>
        </w:rPr>
        <w:t>Б.Н.Шереметьева</w:t>
      </w:r>
      <w:proofErr w:type="spellEnd"/>
      <w:r w:rsidRPr="007122AB">
        <w:rPr>
          <w:rFonts w:ascii="Times New Roman" w:hAnsi="Times New Roman"/>
          <w:color w:val="000000" w:themeColor="text1"/>
          <w:sz w:val="16"/>
          <w:szCs w:val="16"/>
        </w:rPr>
        <w:t xml:space="preserve"> (Ш-4, Ш-5, "Октябренок", Ш-7, Ш-8, Ш-10, Ш-11), </w:t>
      </w:r>
      <w:proofErr w:type="spellStart"/>
      <w:r w:rsidRPr="007122AB">
        <w:rPr>
          <w:rFonts w:ascii="Times New Roman" w:hAnsi="Times New Roman"/>
          <w:color w:val="000000" w:themeColor="text1"/>
          <w:sz w:val="16"/>
          <w:szCs w:val="16"/>
        </w:rPr>
        <w:t>Г.Ф.Грошова</w:t>
      </w:r>
      <w:proofErr w:type="spellEnd"/>
      <w:r w:rsidRPr="007122AB">
        <w:rPr>
          <w:rFonts w:ascii="Times New Roman" w:hAnsi="Times New Roman"/>
          <w:color w:val="000000" w:themeColor="text1"/>
          <w:sz w:val="16"/>
          <w:szCs w:val="16"/>
        </w:rPr>
        <w:t xml:space="preserve"> ("Эрнст Тельман", "Беспризорник", Г№2, Г№6, Г№7, АГ-1), </w:t>
      </w:r>
      <w:proofErr w:type="spellStart"/>
      <w:r w:rsidRPr="007122AB">
        <w:rPr>
          <w:rFonts w:ascii="Times New Roman" w:hAnsi="Times New Roman"/>
          <w:color w:val="000000" w:themeColor="text1"/>
          <w:sz w:val="16"/>
          <w:szCs w:val="16"/>
        </w:rPr>
        <w:t>В.И.Емельянова</w:t>
      </w:r>
      <w:proofErr w:type="spellEnd"/>
      <w:r w:rsidRPr="007122AB">
        <w:rPr>
          <w:rFonts w:ascii="Times New Roman" w:hAnsi="Times New Roman"/>
          <w:color w:val="000000" w:themeColor="text1"/>
          <w:sz w:val="16"/>
          <w:szCs w:val="16"/>
        </w:rPr>
        <w:t xml:space="preserve"> (КИМ-1, КИМ-2, РВ-1), </w:t>
      </w:r>
      <w:proofErr w:type="spellStart"/>
      <w:r w:rsidRPr="007122AB">
        <w:rPr>
          <w:rFonts w:ascii="Times New Roman" w:hAnsi="Times New Roman"/>
          <w:color w:val="000000" w:themeColor="text1"/>
          <w:sz w:val="16"/>
          <w:szCs w:val="16"/>
        </w:rPr>
        <w:t>М.А.Кузакова</w:t>
      </w:r>
      <w:proofErr w:type="spellEnd"/>
      <w:r w:rsidRPr="007122AB">
        <w:rPr>
          <w:rFonts w:ascii="Times New Roman" w:hAnsi="Times New Roman"/>
          <w:color w:val="000000" w:themeColor="text1"/>
          <w:sz w:val="16"/>
          <w:szCs w:val="16"/>
        </w:rPr>
        <w:t xml:space="preserve"> (МАК-12), </w:t>
      </w:r>
      <w:proofErr w:type="spellStart"/>
      <w:r w:rsidRPr="007122AB">
        <w:rPr>
          <w:rFonts w:ascii="Times New Roman" w:hAnsi="Times New Roman"/>
          <w:color w:val="000000" w:themeColor="text1"/>
          <w:sz w:val="16"/>
          <w:szCs w:val="16"/>
        </w:rPr>
        <w:t>Д.Н.Колесникова</w:t>
      </w:r>
      <w:proofErr w:type="spellEnd"/>
      <w:r w:rsidRPr="007122AB">
        <w:rPr>
          <w:rFonts w:ascii="Times New Roman" w:hAnsi="Times New Roman"/>
          <w:color w:val="000000" w:themeColor="text1"/>
          <w:sz w:val="16"/>
          <w:szCs w:val="16"/>
        </w:rPr>
        <w:t xml:space="preserve"> (ДК-3), </w:t>
      </w:r>
      <w:proofErr w:type="spellStart"/>
      <w:r w:rsidRPr="007122AB">
        <w:rPr>
          <w:rFonts w:ascii="Times New Roman" w:hAnsi="Times New Roman"/>
          <w:color w:val="000000" w:themeColor="text1"/>
          <w:sz w:val="16"/>
          <w:szCs w:val="16"/>
        </w:rPr>
        <w:t>В.В.Абрамова</w:t>
      </w:r>
      <w:proofErr w:type="spellEnd"/>
      <w:r w:rsidRPr="007122AB">
        <w:rPr>
          <w:rFonts w:ascii="Times New Roman" w:hAnsi="Times New Roman"/>
          <w:color w:val="000000" w:themeColor="text1"/>
          <w:sz w:val="16"/>
          <w:szCs w:val="16"/>
        </w:rPr>
        <w:t xml:space="preserve"> (ВА-3), </w:t>
      </w:r>
      <w:proofErr w:type="spellStart"/>
      <w:r w:rsidRPr="007122AB">
        <w:rPr>
          <w:rFonts w:ascii="Times New Roman" w:hAnsi="Times New Roman"/>
          <w:color w:val="000000" w:themeColor="text1"/>
          <w:sz w:val="16"/>
          <w:szCs w:val="16"/>
        </w:rPr>
        <w:t>С.П.Королева</w:t>
      </w:r>
      <w:proofErr w:type="spellEnd"/>
      <w:r w:rsidRPr="007122AB">
        <w:rPr>
          <w:rFonts w:ascii="Times New Roman" w:hAnsi="Times New Roman"/>
          <w:color w:val="000000" w:themeColor="text1"/>
          <w:sz w:val="16"/>
          <w:szCs w:val="16"/>
        </w:rPr>
        <w:t xml:space="preserve"> (СК-9) и др. </w:t>
      </w:r>
    </w:p>
    <w:p w14:paraId="62DE56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1936 г. на завод переведено Московское КБ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xml:space="preserve">. В 1938 г. КБ </w:t>
      </w:r>
      <w:proofErr w:type="spellStart"/>
      <w:r w:rsidRPr="007122AB">
        <w:rPr>
          <w:rFonts w:ascii="Times New Roman" w:hAnsi="Times New Roman"/>
          <w:color w:val="000000" w:themeColor="text1"/>
          <w:sz w:val="16"/>
          <w:szCs w:val="16"/>
        </w:rPr>
        <w:t>О.К.Антонова</w:t>
      </w:r>
      <w:proofErr w:type="spellEnd"/>
      <w:r w:rsidRPr="007122AB">
        <w:rPr>
          <w:rFonts w:ascii="Times New Roman" w:hAnsi="Times New Roman"/>
          <w:color w:val="000000" w:themeColor="text1"/>
          <w:sz w:val="16"/>
          <w:szCs w:val="16"/>
        </w:rPr>
        <w:t xml:space="preserve"> и КБ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xml:space="preserve"> слили в одно под руководством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xml:space="preserve">. При объединении двух КБ </w:t>
      </w:r>
      <w:proofErr w:type="spellStart"/>
      <w:r w:rsidRPr="007122AB">
        <w:rPr>
          <w:rFonts w:ascii="Times New Roman" w:hAnsi="Times New Roman"/>
          <w:color w:val="000000" w:themeColor="text1"/>
          <w:sz w:val="16"/>
          <w:szCs w:val="16"/>
        </w:rPr>
        <w:t>О.К.Антонов</w:t>
      </w:r>
      <w:proofErr w:type="spellEnd"/>
      <w:r w:rsidRPr="007122AB">
        <w:rPr>
          <w:rFonts w:ascii="Times New Roman" w:hAnsi="Times New Roman"/>
          <w:color w:val="000000" w:themeColor="text1"/>
          <w:sz w:val="16"/>
          <w:szCs w:val="16"/>
        </w:rPr>
        <w:t xml:space="preserve"> перешел в систему ГУАП (НКАП), где в 1938-40 гг. работал </w:t>
      </w:r>
      <w:proofErr w:type="spellStart"/>
      <w:r w:rsidRPr="007122AB">
        <w:rPr>
          <w:rFonts w:ascii="Times New Roman" w:hAnsi="Times New Roman"/>
          <w:color w:val="000000" w:themeColor="text1"/>
          <w:sz w:val="16"/>
          <w:szCs w:val="16"/>
        </w:rPr>
        <w:t>вед.инж</w:t>
      </w:r>
      <w:proofErr w:type="spellEnd"/>
      <w:r w:rsidRPr="007122AB">
        <w:rPr>
          <w:rFonts w:ascii="Times New Roman" w:hAnsi="Times New Roman"/>
          <w:color w:val="000000" w:themeColor="text1"/>
          <w:sz w:val="16"/>
          <w:szCs w:val="16"/>
        </w:rPr>
        <w:t xml:space="preserve">. в ОКБ </w:t>
      </w:r>
      <w:proofErr w:type="spellStart"/>
      <w:r w:rsidRPr="007122AB">
        <w:rPr>
          <w:rFonts w:ascii="Times New Roman" w:hAnsi="Times New Roman"/>
          <w:color w:val="000000" w:themeColor="text1"/>
          <w:sz w:val="16"/>
          <w:szCs w:val="16"/>
        </w:rPr>
        <w:t>А.С.Яковлева</w:t>
      </w:r>
      <w:proofErr w:type="spellEnd"/>
      <w:r w:rsidRPr="007122AB">
        <w:rPr>
          <w:rFonts w:ascii="Times New Roman" w:hAnsi="Times New Roman"/>
          <w:color w:val="000000" w:themeColor="text1"/>
          <w:sz w:val="16"/>
          <w:szCs w:val="16"/>
        </w:rPr>
        <w:t xml:space="preserve">, а с н.1940 г. - на заводе №23 НКАП в </w:t>
      </w:r>
      <w:proofErr w:type="spellStart"/>
      <w:r w:rsidRPr="007122AB">
        <w:rPr>
          <w:rFonts w:ascii="Times New Roman" w:hAnsi="Times New Roman"/>
          <w:color w:val="000000" w:themeColor="text1"/>
          <w:sz w:val="16"/>
          <w:szCs w:val="16"/>
        </w:rPr>
        <w:t>г.Ленинграде</w:t>
      </w:r>
      <w:proofErr w:type="spellEnd"/>
      <w:r w:rsidRPr="007122AB">
        <w:rPr>
          <w:rFonts w:ascii="Times New Roman" w:hAnsi="Times New Roman"/>
          <w:color w:val="000000" w:themeColor="text1"/>
          <w:sz w:val="16"/>
          <w:szCs w:val="16"/>
        </w:rPr>
        <w:t xml:space="preserve"> по опытному самолету "Аист". </w:t>
      </w:r>
    </w:p>
    <w:p w14:paraId="06B0D4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заводе (получил наименование Завод №445 НКАП) строились серийно уч.-трен. планеры Г-9 конструкции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Всего до 1938 г. на заводе было выпущено только учебных планеров различных типов около 8 тыс. ед.</w:t>
      </w:r>
    </w:p>
    <w:p w14:paraId="48E4DE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Далее из-за свертывания работ по </w:t>
      </w:r>
      <w:proofErr w:type="spellStart"/>
      <w:r w:rsidRPr="007122AB">
        <w:rPr>
          <w:rFonts w:ascii="Times New Roman" w:hAnsi="Times New Roman"/>
          <w:color w:val="000000" w:themeColor="text1"/>
          <w:sz w:val="16"/>
          <w:szCs w:val="16"/>
        </w:rPr>
        <w:t>планеростроению</w:t>
      </w:r>
      <w:proofErr w:type="spellEnd"/>
      <w:r w:rsidRPr="007122AB">
        <w:rPr>
          <w:rFonts w:ascii="Times New Roman" w:hAnsi="Times New Roman"/>
          <w:color w:val="000000" w:themeColor="text1"/>
          <w:sz w:val="16"/>
          <w:szCs w:val="16"/>
        </w:rPr>
        <w:t xml:space="preserve"> в марте 1939 г. завод был передан в подчинение ЦКБ </w:t>
      </w:r>
      <w:proofErr w:type="spellStart"/>
      <w:r w:rsidRPr="007122AB">
        <w:rPr>
          <w:rFonts w:ascii="Times New Roman" w:hAnsi="Times New Roman"/>
          <w:color w:val="000000" w:themeColor="text1"/>
          <w:sz w:val="16"/>
          <w:szCs w:val="16"/>
        </w:rPr>
        <w:t>НКсудпрома</w:t>
      </w:r>
      <w:proofErr w:type="spellEnd"/>
      <w:r w:rsidRPr="007122AB">
        <w:rPr>
          <w:rFonts w:ascii="Times New Roman" w:hAnsi="Times New Roman"/>
          <w:color w:val="000000" w:themeColor="text1"/>
          <w:sz w:val="16"/>
          <w:szCs w:val="16"/>
        </w:rPr>
        <w:t xml:space="preserve"> и перепрофилирован для выпуска катеров на воздушной подушке конструкции </w:t>
      </w:r>
      <w:proofErr w:type="spellStart"/>
      <w:r w:rsidRPr="007122AB">
        <w:rPr>
          <w:rFonts w:ascii="Times New Roman" w:hAnsi="Times New Roman"/>
          <w:color w:val="000000" w:themeColor="text1"/>
          <w:sz w:val="16"/>
          <w:szCs w:val="16"/>
        </w:rPr>
        <w:t>В.И.Левкова</w:t>
      </w:r>
      <w:proofErr w:type="spellEnd"/>
      <w:r w:rsidRPr="007122AB">
        <w:rPr>
          <w:rFonts w:ascii="Times New Roman" w:hAnsi="Times New Roman"/>
          <w:color w:val="000000" w:themeColor="text1"/>
          <w:sz w:val="16"/>
          <w:szCs w:val="16"/>
        </w:rPr>
        <w:t xml:space="preserve">. В 1940 г. </w:t>
      </w:r>
      <w:proofErr w:type="spellStart"/>
      <w:r w:rsidRPr="007122AB">
        <w:rPr>
          <w:rFonts w:ascii="Times New Roman" w:hAnsi="Times New Roman"/>
          <w:color w:val="000000" w:themeColor="text1"/>
          <w:sz w:val="16"/>
          <w:szCs w:val="16"/>
        </w:rPr>
        <w:t>В.К.Грибовский</w:t>
      </w:r>
      <w:proofErr w:type="spellEnd"/>
      <w:r w:rsidRPr="007122AB">
        <w:rPr>
          <w:rFonts w:ascii="Times New Roman" w:hAnsi="Times New Roman"/>
          <w:color w:val="000000" w:themeColor="text1"/>
          <w:sz w:val="16"/>
          <w:szCs w:val="16"/>
        </w:rPr>
        <w:t xml:space="preserve"> возглавил ОКБ-28. </w:t>
      </w:r>
    </w:p>
    <w:p w14:paraId="0F2DA9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приказом НКАП №167/622 от 4.7.41 г. и №641с от 7.7.41 г. завод №445 был передан в систему НКАП из </w:t>
      </w:r>
      <w:proofErr w:type="spellStart"/>
      <w:r w:rsidRPr="007122AB">
        <w:rPr>
          <w:rFonts w:ascii="Times New Roman" w:hAnsi="Times New Roman"/>
          <w:color w:val="000000" w:themeColor="text1"/>
          <w:sz w:val="16"/>
          <w:szCs w:val="16"/>
        </w:rPr>
        <w:t>НКсудпрома</w:t>
      </w:r>
      <w:proofErr w:type="spellEnd"/>
      <w:r w:rsidRPr="007122AB">
        <w:rPr>
          <w:rFonts w:ascii="Times New Roman" w:hAnsi="Times New Roman"/>
          <w:color w:val="000000" w:themeColor="text1"/>
          <w:sz w:val="16"/>
          <w:szCs w:val="16"/>
        </w:rPr>
        <w:t xml:space="preserve"> с присвоением названия Государственный Союзный завод №445 НКАП. Опять как </w:t>
      </w:r>
      <w:proofErr w:type="spellStart"/>
      <w:r w:rsidRPr="007122AB">
        <w:rPr>
          <w:rFonts w:ascii="Times New Roman" w:hAnsi="Times New Roman"/>
          <w:color w:val="000000" w:themeColor="text1"/>
          <w:sz w:val="16"/>
          <w:szCs w:val="16"/>
        </w:rPr>
        <w:t>планеростроительный</w:t>
      </w:r>
      <w:proofErr w:type="spellEnd"/>
      <w:r w:rsidRPr="007122AB">
        <w:rPr>
          <w:rFonts w:ascii="Times New Roman" w:hAnsi="Times New Roman"/>
          <w:color w:val="000000" w:themeColor="text1"/>
          <w:sz w:val="16"/>
          <w:szCs w:val="16"/>
        </w:rPr>
        <w:t xml:space="preserve"> при вновь образованном планерном 11ГУ НКАП. Освоено производство десантного планера РФ-8 (А-7). Директор завода - </w:t>
      </w:r>
      <w:proofErr w:type="spellStart"/>
      <w:r w:rsidRPr="007122AB">
        <w:rPr>
          <w:rFonts w:ascii="Times New Roman" w:hAnsi="Times New Roman"/>
          <w:color w:val="000000" w:themeColor="text1"/>
          <w:sz w:val="16"/>
          <w:szCs w:val="16"/>
        </w:rPr>
        <w:t>П.П.Перовский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завода - </w:t>
      </w:r>
      <w:proofErr w:type="spellStart"/>
      <w:r w:rsidRPr="007122AB">
        <w:rPr>
          <w:rFonts w:ascii="Times New Roman" w:hAnsi="Times New Roman"/>
          <w:color w:val="000000" w:themeColor="text1"/>
          <w:sz w:val="16"/>
          <w:szCs w:val="16"/>
        </w:rPr>
        <w:t>О.К.Антонов</w:t>
      </w:r>
      <w:proofErr w:type="spellEnd"/>
      <w:r w:rsidRPr="007122AB">
        <w:rPr>
          <w:rFonts w:ascii="Times New Roman" w:hAnsi="Times New Roman"/>
          <w:color w:val="000000" w:themeColor="text1"/>
          <w:sz w:val="16"/>
          <w:szCs w:val="16"/>
        </w:rPr>
        <w:t xml:space="preserve">. В .9.41 г. </w:t>
      </w:r>
      <w:proofErr w:type="spellStart"/>
      <w:r w:rsidRPr="007122AB">
        <w:rPr>
          <w:rFonts w:ascii="Times New Roman" w:hAnsi="Times New Roman"/>
          <w:color w:val="000000" w:themeColor="text1"/>
          <w:sz w:val="16"/>
          <w:szCs w:val="16"/>
        </w:rPr>
        <w:t>О.К.Антонову</w:t>
      </w:r>
      <w:proofErr w:type="spellEnd"/>
      <w:r w:rsidRPr="007122AB">
        <w:rPr>
          <w:rFonts w:ascii="Times New Roman" w:hAnsi="Times New Roman"/>
          <w:color w:val="000000" w:themeColor="text1"/>
          <w:sz w:val="16"/>
          <w:szCs w:val="16"/>
        </w:rPr>
        <w:t xml:space="preserve"> выдано задание на разработку крыльев к танку Т-60 (планер-</w:t>
      </w:r>
      <w:proofErr w:type="spellStart"/>
      <w:r w:rsidRPr="007122AB">
        <w:rPr>
          <w:rFonts w:ascii="Times New Roman" w:hAnsi="Times New Roman"/>
          <w:color w:val="000000" w:themeColor="text1"/>
          <w:sz w:val="16"/>
          <w:szCs w:val="16"/>
        </w:rPr>
        <w:t>танковоз</w:t>
      </w:r>
      <w:proofErr w:type="spellEnd"/>
      <w:r w:rsidRPr="007122AB">
        <w:rPr>
          <w:rFonts w:ascii="Times New Roman" w:hAnsi="Times New Roman"/>
          <w:color w:val="000000" w:themeColor="text1"/>
          <w:sz w:val="16"/>
          <w:szCs w:val="16"/>
        </w:rPr>
        <w:t xml:space="preserve"> "КТ", далее назывался А-Т).</w:t>
      </w:r>
    </w:p>
    <w:p w14:paraId="65C176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к.1941 г. по приказ. №1057 от 10.10.41 г. завод должен был эвакуироваться на территорию планерный завод №493 НКАП (</w:t>
      </w:r>
      <w:proofErr w:type="spellStart"/>
      <w:r w:rsidRPr="007122AB">
        <w:rPr>
          <w:rFonts w:ascii="Times New Roman" w:hAnsi="Times New Roman"/>
          <w:color w:val="000000" w:themeColor="text1"/>
          <w:sz w:val="16"/>
          <w:szCs w:val="16"/>
        </w:rPr>
        <w:t>г.Свердловск</w:t>
      </w:r>
      <w:proofErr w:type="spellEnd"/>
      <w:r w:rsidRPr="007122AB">
        <w:rPr>
          <w:rFonts w:ascii="Times New Roman" w:hAnsi="Times New Roman"/>
          <w:color w:val="000000" w:themeColor="text1"/>
          <w:sz w:val="16"/>
          <w:szCs w:val="16"/>
        </w:rPr>
        <w:t xml:space="preserve">). Однако этот завод был передан в 3ГУ для размещения завода №28 НКАП, но из-за неразберихи руководство и часть оборудования все же прибыли на завод №493. Основная часть личного состава, оборудование и документация завода №445 оказалась на заводе №471 НКАП в </w:t>
      </w:r>
      <w:proofErr w:type="spellStart"/>
      <w:r w:rsidRPr="007122AB">
        <w:rPr>
          <w:rFonts w:ascii="Times New Roman" w:hAnsi="Times New Roman"/>
          <w:color w:val="000000" w:themeColor="text1"/>
          <w:sz w:val="16"/>
          <w:szCs w:val="16"/>
        </w:rPr>
        <w:t>г.Шумерле</w:t>
      </w:r>
      <w:proofErr w:type="spellEnd"/>
      <w:r w:rsidRPr="007122AB">
        <w:rPr>
          <w:rFonts w:ascii="Times New Roman" w:hAnsi="Times New Roman"/>
          <w:color w:val="000000" w:themeColor="text1"/>
          <w:sz w:val="16"/>
          <w:szCs w:val="16"/>
        </w:rPr>
        <w:t xml:space="preserve"> Чувашской АССР. Здесь началось возобновление производства планера РФ-8. Завод планировалось влить в состав единого завода №471 в </w:t>
      </w:r>
      <w:proofErr w:type="spellStart"/>
      <w:r w:rsidRPr="007122AB">
        <w:rPr>
          <w:rFonts w:ascii="Times New Roman" w:hAnsi="Times New Roman"/>
          <w:color w:val="000000" w:themeColor="text1"/>
          <w:sz w:val="16"/>
          <w:szCs w:val="16"/>
        </w:rPr>
        <w:t>г.Шумерле</w:t>
      </w:r>
      <w:proofErr w:type="spellEnd"/>
      <w:r w:rsidRPr="007122AB">
        <w:rPr>
          <w:rFonts w:ascii="Times New Roman" w:hAnsi="Times New Roman"/>
          <w:color w:val="000000" w:themeColor="text1"/>
          <w:sz w:val="16"/>
          <w:szCs w:val="16"/>
        </w:rPr>
        <w:t xml:space="preserve"> (приказ. №1088 от 1.11.41 г.). Но далее в .12.1941 г. завод </w:t>
      </w:r>
      <w:proofErr w:type="spellStart"/>
      <w:r w:rsidRPr="007122AB">
        <w:rPr>
          <w:rFonts w:ascii="Times New Roman" w:hAnsi="Times New Roman"/>
          <w:color w:val="000000" w:themeColor="text1"/>
          <w:sz w:val="16"/>
          <w:szCs w:val="16"/>
        </w:rPr>
        <w:t>переэвакуировали</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г.Алапаевск</w:t>
      </w:r>
      <w:proofErr w:type="spellEnd"/>
      <w:r w:rsidRPr="007122AB">
        <w:rPr>
          <w:rFonts w:ascii="Times New Roman" w:hAnsi="Times New Roman"/>
          <w:color w:val="000000" w:themeColor="text1"/>
          <w:sz w:val="16"/>
          <w:szCs w:val="16"/>
        </w:rPr>
        <w:t xml:space="preserve"> Свердловской обл. на пл. Деревообделочного комбината НКЧМ и слили с заводом №493 НКАП в единый завод №445 НКАП (по приказу 1179(а) от 31.12.41 г.) Здесь с к.1941 г. шло производство десантных планеров А-7. Кроме того часть завода прибыла на площади завода №494 НКАП. </w:t>
      </w:r>
    </w:p>
    <w:p w14:paraId="49ECE0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завода №445 </w:t>
      </w:r>
      <w:proofErr w:type="spellStart"/>
      <w:r w:rsidRPr="007122AB">
        <w:rPr>
          <w:rFonts w:ascii="Times New Roman" w:hAnsi="Times New Roman"/>
          <w:color w:val="000000" w:themeColor="text1"/>
          <w:sz w:val="16"/>
          <w:szCs w:val="16"/>
        </w:rPr>
        <w:t>П.П.Перовский</w:t>
      </w:r>
      <w:proofErr w:type="spellEnd"/>
      <w:r w:rsidRPr="007122AB">
        <w:rPr>
          <w:rFonts w:ascii="Times New Roman" w:hAnsi="Times New Roman"/>
          <w:color w:val="000000" w:themeColor="text1"/>
          <w:sz w:val="16"/>
          <w:szCs w:val="16"/>
        </w:rPr>
        <w:t xml:space="preserve"> (1942г). </w:t>
      </w:r>
    </w:p>
    <w:p w14:paraId="1F79D8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свободных площадях эвакуированного завода №445 в </w:t>
      </w:r>
      <w:proofErr w:type="spellStart"/>
      <w:r w:rsidRPr="007122AB">
        <w:rPr>
          <w:rFonts w:ascii="Times New Roman" w:hAnsi="Times New Roman"/>
          <w:color w:val="000000" w:themeColor="text1"/>
          <w:sz w:val="16"/>
          <w:szCs w:val="16"/>
        </w:rPr>
        <w:t>г.Тушино</w:t>
      </w:r>
      <w:proofErr w:type="spellEnd"/>
      <w:r w:rsidRPr="007122AB">
        <w:rPr>
          <w:rFonts w:ascii="Times New Roman" w:hAnsi="Times New Roman"/>
          <w:color w:val="000000" w:themeColor="text1"/>
          <w:sz w:val="16"/>
          <w:szCs w:val="16"/>
        </w:rPr>
        <w:t xml:space="preserve"> образован филиал, который далее с .5.1942 г. преобразован в самостоятельный завод №464 НКАП (приказ НКАП №340 от 4.5.42 г.) для увеличения производства 7-местных десантных планеров А-7 конструкции </w:t>
      </w:r>
      <w:proofErr w:type="spellStart"/>
      <w:r w:rsidRPr="007122AB">
        <w:rPr>
          <w:rFonts w:ascii="Times New Roman" w:hAnsi="Times New Roman"/>
          <w:color w:val="000000" w:themeColor="text1"/>
          <w:sz w:val="16"/>
          <w:szCs w:val="16"/>
        </w:rPr>
        <w:t>О.К.Антонова</w:t>
      </w:r>
      <w:proofErr w:type="spellEnd"/>
      <w:r w:rsidRPr="007122AB">
        <w:rPr>
          <w:rFonts w:ascii="Times New Roman" w:hAnsi="Times New Roman"/>
          <w:color w:val="000000" w:themeColor="text1"/>
          <w:sz w:val="16"/>
          <w:szCs w:val="16"/>
        </w:rPr>
        <w:t xml:space="preserve">. </w:t>
      </w:r>
    </w:p>
    <w:p w14:paraId="20846A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№618 от 12.8.42 г. завод №464 был определен ведущим по производству планеров типа А-7 и А-2 и по их дальнейшей модификации, для этого ОКБ </w:t>
      </w:r>
      <w:proofErr w:type="spellStart"/>
      <w:r w:rsidRPr="007122AB">
        <w:rPr>
          <w:rFonts w:ascii="Times New Roman" w:hAnsi="Times New Roman"/>
          <w:color w:val="000000" w:themeColor="text1"/>
          <w:sz w:val="16"/>
          <w:szCs w:val="16"/>
        </w:rPr>
        <w:t>О.К.Антонова</w:t>
      </w:r>
      <w:proofErr w:type="spellEnd"/>
      <w:r w:rsidRPr="007122AB">
        <w:rPr>
          <w:rFonts w:ascii="Times New Roman" w:hAnsi="Times New Roman"/>
          <w:color w:val="000000" w:themeColor="text1"/>
          <w:sz w:val="16"/>
          <w:szCs w:val="16"/>
        </w:rPr>
        <w:t xml:space="preserve"> было переведено с завода №241 НКАП. </w:t>
      </w:r>
    </w:p>
    <w:p w14:paraId="12FD09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Вскоре профиль завода был вновь изменен и для обеспечения производства самолетов Як-6 в соответствии с приказом №707 от 16.9.42 г. завод №464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w:t>
      </w:r>
    </w:p>
    <w:p w14:paraId="1054C7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приказом №174 от 27.3.43 г. заводу №464 были переданы часть личного состава, металлорежущего оборудование реэвакуированного из </w:t>
      </w:r>
      <w:proofErr w:type="spellStart"/>
      <w:r w:rsidRPr="007122AB">
        <w:rPr>
          <w:rFonts w:ascii="Times New Roman" w:hAnsi="Times New Roman"/>
          <w:color w:val="000000" w:themeColor="text1"/>
          <w:sz w:val="16"/>
          <w:szCs w:val="16"/>
        </w:rPr>
        <w:t>г.Алапаевска</w:t>
      </w:r>
      <w:proofErr w:type="spellEnd"/>
      <w:r w:rsidRPr="007122AB">
        <w:rPr>
          <w:rFonts w:ascii="Times New Roman" w:hAnsi="Times New Roman"/>
          <w:color w:val="000000" w:themeColor="text1"/>
          <w:sz w:val="16"/>
          <w:szCs w:val="16"/>
        </w:rPr>
        <w:t xml:space="preserve"> завода №445 НКАП. </w:t>
      </w:r>
    </w:p>
    <w:p w14:paraId="1F6DCB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1942-43 гг. на заводе №464 работала Группа "ПМ". Образована (приказ №789 от 19.10.42 г.) для проектирования самолетных и планерных агрегатов и деталей из пластических масс. Тем же приказом в состав группы переведен коллектив ОКБ ПМ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Д.А.Михайлова</w:t>
      </w:r>
      <w:proofErr w:type="spellEnd"/>
      <w:r w:rsidRPr="007122AB">
        <w:rPr>
          <w:rFonts w:ascii="Times New Roman" w:hAnsi="Times New Roman"/>
          <w:color w:val="000000" w:themeColor="text1"/>
          <w:sz w:val="16"/>
          <w:szCs w:val="16"/>
        </w:rPr>
        <w:t xml:space="preserve"> со всем оборудованием и заделами с завода №294 НКАП (филиал завода №22 НКАП). В н.1943 г. группа </w:t>
      </w:r>
      <w:proofErr w:type="spellStart"/>
      <w:r w:rsidRPr="007122AB">
        <w:rPr>
          <w:rFonts w:ascii="Times New Roman" w:hAnsi="Times New Roman"/>
          <w:color w:val="000000" w:themeColor="text1"/>
          <w:sz w:val="16"/>
          <w:szCs w:val="16"/>
        </w:rPr>
        <w:t>Д.А.Михайлова</w:t>
      </w:r>
      <w:proofErr w:type="spellEnd"/>
      <w:r w:rsidRPr="007122AB">
        <w:rPr>
          <w:rFonts w:ascii="Times New Roman" w:hAnsi="Times New Roman"/>
          <w:color w:val="000000" w:themeColor="text1"/>
          <w:sz w:val="16"/>
          <w:szCs w:val="16"/>
        </w:rPr>
        <w:t xml:space="preserve"> переведена на территорию завода №156 НКАП, отсюда - передана в состав ВИАМ (приказ №107 от 22.2.43 г.). </w:t>
      </w:r>
    </w:p>
    <w:p w14:paraId="522F7B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Вскоре завод меняет место. Для улучшения условий ремонта самолета Ли-2 он был переведен из </w:t>
      </w:r>
      <w:proofErr w:type="spellStart"/>
      <w:r w:rsidRPr="007122AB">
        <w:rPr>
          <w:rFonts w:ascii="Times New Roman" w:hAnsi="Times New Roman"/>
          <w:color w:val="000000" w:themeColor="text1"/>
          <w:sz w:val="16"/>
          <w:szCs w:val="16"/>
        </w:rPr>
        <w:t>г.Тушино</w:t>
      </w:r>
      <w:proofErr w:type="spellEnd"/>
      <w:r w:rsidRPr="007122AB">
        <w:rPr>
          <w:rFonts w:ascii="Times New Roman" w:hAnsi="Times New Roman"/>
          <w:color w:val="000000" w:themeColor="text1"/>
          <w:sz w:val="16"/>
          <w:szCs w:val="16"/>
        </w:rPr>
        <w:t xml:space="preserve"> на ст.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xml:space="preserve"> со всем оборудованием и личным составом на площади завода №462 НКАП и объединен с ним под названием завод №464 11ГУ НКАП (приказ НКАП №416 от 14.7.43 г.). Освободившиеся площади завода №464 в Тушино переданы для размещения завода №289 НКАП (из </w:t>
      </w:r>
      <w:proofErr w:type="spellStart"/>
      <w:r w:rsidRPr="007122AB">
        <w:rPr>
          <w:rFonts w:ascii="Times New Roman" w:hAnsi="Times New Roman"/>
          <w:color w:val="000000" w:themeColor="text1"/>
          <w:sz w:val="16"/>
          <w:szCs w:val="16"/>
        </w:rPr>
        <w:t>г.Молотова</w:t>
      </w:r>
      <w:proofErr w:type="spellEnd"/>
      <w:r w:rsidRPr="007122AB">
        <w:rPr>
          <w:rFonts w:ascii="Times New Roman" w:hAnsi="Times New Roman"/>
          <w:color w:val="000000" w:themeColor="text1"/>
          <w:sz w:val="16"/>
          <w:szCs w:val="16"/>
        </w:rPr>
        <w:t xml:space="preserve">) и завода №380 НКАП (из </w:t>
      </w:r>
      <w:proofErr w:type="spellStart"/>
      <w:r w:rsidRPr="007122AB">
        <w:rPr>
          <w:rFonts w:ascii="Times New Roman" w:hAnsi="Times New Roman"/>
          <w:color w:val="000000" w:themeColor="text1"/>
          <w:sz w:val="16"/>
          <w:szCs w:val="16"/>
        </w:rPr>
        <w:t>г.Калининграда</w:t>
      </w:r>
      <w:proofErr w:type="spellEnd"/>
      <w:r w:rsidRPr="007122AB">
        <w:rPr>
          <w:rFonts w:ascii="Times New Roman" w:hAnsi="Times New Roman"/>
          <w:color w:val="000000" w:themeColor="text1"/>
          <w:sz w:val="16"/>
          <w:szCs w:val="16"/>
        </w:rPr>
        <w:t>) (10777).</w:t>
      </w:r>
    </w:p>
    <w:p w14:paraId="02920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81BDF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планерные мастерские «</w:t>
      </w:r>
      <w:proofErr w:type="spellStart"/>
      <w:r w:rsidRPr="007122AB">
        <w:rPr>
          <w:rFonts w:ascii="Times New Roman" w:hAnsi="Times New Roman"/>
          <w:color w:val="000000" w:themeColor="text1"/>
          <w:sz w:val="16"/>
          <w:szCs w:val="16"/>
        </w:rPr>
        <w:t>Снабосоавиахима</w:t>
      </w:r>
      <w:proofErr w:type="spellEnd"/>
      <w:r w:rsidRPr="007122AB">
        <w:rPr>
          <w:rFonts w:ascii="Times New Roman" w:hAnsi="Times New Roman"/>
          <w:color w:val="000000" w:themeColor="text1"/>
          <w:sz w:val="16"/>
          <w:szCs w:val="16"/>
        </w:rPr>
        <w:t>», действовавшие на территории Московской планерной школы, были переведены в Тушино на площадку у железнодорожной станции преобразованы в завод № 3 Управления производственными предприятиями ЦС Осоавиахима. 1.05.1931 г. завод вступил в строй.</w:t>
      </w:r>
    </w:p>
    <w:p w14:paraId="20519E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около 40 типов планеров, многие из которых строились серийно.</w:t>
      </w:r>
    </w:p>
    <w:p w14:paraId="7638BC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 1933г. на заводе работал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 В 1938г. он снят с должности, переведен на работу в ГУАП.</w:t>
      </w:r>
    </w:p>
    <w:p w14:paraId="79933E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1936г. при заводе действовало МКБ Осоавиахима под руководством В.К. Грибовского. В 1938г. Грибовский назначен гл. конструктором завода вместо снятого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Антонова, при заводе в результате слияния КБ Антонова и Грибовского организован Опытный отдел.</w:t>
      </w:r>
    </w:p>
    <w:p w14:paraId="20DEFC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до 1938г. построено около 8 тыс. планеров.</w:t>
      </w:r>
    </w:p>
    <w:p w14:paraId="257843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По-видимому, в 03(04). 1939г. планерный завод № 3 Осоавиахима был передан в качестве производственной базы ЦКБ-1 профессора В.И. Левкова и был переименован в завод № 445 НКСП.</w:t>
      </w:r>
    </w:p>
    <w:p w14:paraId="11D101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72с от 10.03.1940 г. Грибовский назначен гл. конструктором нового ОКБ-28.</w:t>
      </w:r>
    </w:p>
    <w:p w14:paraId="1A3A3C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на этом месте организован завод № 464 НКАП.</w:t>
      </w:r>
    </w:p>
    <w:p w14:paraId="4720FE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(12.1931 г.-)- И.Г. Комаров.</w:t>
      </w:r>
    </w:p>
    <w:p w14:paraId="57CE5A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(1933-38г.)-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 («</w:t>
      </w:r>
      <w:proofErr w:type="spellStart"/>
      <w:r w:rsidRPr="007122AB">
        <w:rPr>
          <w:rFonts w:ascii="Times New Roman" w:hAnsi="Times New Roman"/>
          <w:color w:val="000000" w:themeColor="text1"/>
          <w:sz w:val="16"/>
          <w:szCs w:val="16"/>
        </w:rPr>
        <w:t>Упар</w:t>
      </w:r>
      <w:proofErr w:type="spellEnd"/>
      <w:r w:rsidRPr="007122AB">
        <w:rPr>
          <w:rFonts w:ascii="Times New Roman" w:hAnsi="Times New Roman"/>
          <w:color w:val="000000" w:themeColor="text1"/>
          <w:sz w:val="16"/>
          <w:szCs w:val="16"/>
        </w:rPr>
        <w:t>», «6 условий ДИП», УС-3, -4, -5, -6, РФ-1, -2, -3, -4, -5, -6, -7, М-1, -2, -3, -4, -5, -6, ИП-1, -2, БА-1, БС-3, -4, -5, РЭ, ЛЕМ-2).</w:t>
      </w:r>
    </w:p>
    <w:p w14:paraId="226F90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(1933-38г.)-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 (1938-39г.)- В.К. Грибовский.</w:t>
      </w:r>
    </w:p>
    <w:p w14:paraId="2CF983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КБ завода- Б.Н. Шереметьев.</w:t>
      </w:r>
    </w:p>
    <w:p w14:paraId="7B3D72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планеры: «</w:t>
      </w:r>
      <w:proofErr w:type="spellStart"/>
      <w:r w:rsidRPr="007122AB">
        <w:rPr>
          <w:rFonts w:ascii="Times New Roman" w:hAnsi="Times New Roman"/>
          <w:color w:val="000000" w:themeColor="text1"/>
          <w:sz w:val="16"/>
          <w:szCs w:val="16"/>
        </w:rPr>
        <w:t>Упар</w:t>
      </w:r>
      <w:proofErr w:type="spellEnd"/>
      <w:r w:rsidRPr="007122AB">
        <w:rPr>
          <w:rFonts w:ascii="Times New Roman" w:hAnsi="Times New Roman"/>
          <w:color w:val="000000" w:themeColor="text1"/>
          <w:sz w:val="16"/>
          <w:szCs w:val="16"/>
        </w:rPr>
        <w:t>»- 800, «6 условий ДИП», УС-3- 1600, УС-4- 3000, УС-5, УС-6, РФ-1, РФ-2, РФ-3, РФ-4, РФ-5, РФ-6, РФ-7, М-1, М-2, М-3, М-4, М-5, М-6, ИП-1, ИП-2, БА-1, БС-3, БС-4, БС-5, РЭ, Ш-4, Ш-5, «Октябренок», Ш-7, Ш-8, Ш-10, Ш-11, «Эрнст Тельман», «Беспризорник», Г № 2, Г № 6, Г № 7, АГ-1, КИМ-1, КИМ-2, РВ-1, МАК-12, ДК-3, ВА-3, СК-9, Г-9 (серия); самолеты: Г-15 (1934)- 1, ЛЕМ-2 (1937)- 1, Г-25 (1937), Г-26 (1938)- 1,Г-27 (1938)- 1 (11982).</w:t>
      </w:r>
    </w:p>
    <w:p w14:paraId="7F5C36C8" w14:textId="77777777" w:rsidR="002C06C5" w:rsidRPr="007122AB" w:rsidRDefault="002C06C5" w:rsidP="007122AB">
      <w:pPr>
        <w:autoSpaceDE w:val="0"/>
        <w:autoSpaceDN w:val="0"/>
        <w:adjustRightInd w:val="0"/>
        <w:spacing w:after="0" w:line="240" w:lineRule="auto"/>
        <w:jc w:val="both"/>
        <w:rPr>
          <w:rFonts w:ascii="Times New Roman" w:hAnsi="Times New Roman"/>
          <w:color w:val="000000" w:themeColor="text1"/>
          <w:sz w:val="16"/>
          <w:szCs w:val="16"/>
        </w:rPr>
      </w:pPr>
    </w:p>
    <w:p w14:paraId="0FAE9F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Томас А. Морган, президент Северо-американской авиационной корпорации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корпорэйшн</w:t>
      </w:r>
      <w:proofErr w:type="spellEnd"/>
      <w:r w:rsidRPr="007122AB">
        <w:rPr>
          <w:rFonts w:ascii="Times New Roman" w:hAnsi="Times New Roman"/>
          <w:color w:val="000000" w:themeColor="text1"/>
          <w:sz w:val="16"/>
          <w:szCs w:val="16"/>
        </w:rPr>
        <w:t>»), являющийся одновременно и президентом Американских авиационных ко[</w:t>
      </w:r>
      <w:proofErr w:type="spellStart"/>
      <w:r w:rsidRPr="007122AB">
        <w:rPr>
          <w:rFonts w:ascii="Times New Roman" w:hAnsi="Times New Roman"/>
          <w:color w:val="000000" w:themeColor="text1"/>
          <w:sz w:val="16"/>
          <w:szCs w:val="16"/>
        </w:rPr>
        <w:t>мпаний</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Сперри</w:t>
      </w:r>
      <w:proofErr w:type="spellEnd"/>
      <w:r w:rsidRPr="007122AB">
        <w:rPr>
          <w:rFonts w:ascii="Times New Roman" w:hAnsi="Times New Roman"/>
          <w:color w:val="000000" w:themeColor="text1"/>
          <w:sz w:val="16"/>
          <w:szCs w:val="16"/>
        </w:rPr>
        <w:t>-гироскоп» и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393738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w:t>
      </w:r>
      <w:proofErr w:type="spellStart"/>
      <w:r w:rsidRPr="007122AB">
        <w:rPr>
          <w:rFonts w:ascii="Times New Roman" w:hAnsi="Times New Roman"/>
          <w:color w:val="000000" w:themeColor="text1"/>
          <w:sz w:val="16"/>
          <w:szCs w:val="16"/>
        </w:rPr>
        <w:t>Рубинина</w:t>
      </w:r>
      <w:proofErr w:type="spellEnd"/>
      <w:r w:rsidRPr="007122AB">
        <w:rPr>
          <w:rFonts w:ascii="Times New Roman" w:hAnsi="Times New Roman"/>
          <w:color w:val="000000" w:themeColor="text1"/>
          <w:sz w:val="16"/>
          <w:szCs w:val="16"/>
        </w:rPr>
        <w:t xml:space="preserve">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1671EE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г[-н] </w:t>
      </w:r>
      <w:proofErr w:type="spellStart"/>
      <w:r w:rsidRPr="007122AB">
        <w:rPr>
          <w:rFonts w:ascii="Times New Roman" w:hAnsi="Times New Roman"/>
          <w:color w:val="000000" w:themeColor="text1"/>
          <w:sz w:val="16"/>
          <w:szCs w:val="16"/>
        </w:rPr>
        <w:t>Тальбот</w:t>
      </w:r>
      <w:proofErr w:type="spellEnd"/>
      <w:r w:rsidRPr="007122AB">
        <w:rPr>
          <w:rFonts w:ascii="Times New Roman" w:hAnsi="Times New Roman"/>
          <w:color w:val="000000" w:themeColor="text1"/>
          <w:sz w:val="16"/>
          <w:szCs w:val="16"/>
        </w:rPr>
        <w:t xml:space="preserve"> с письмом, в котором, ссылаясь на вышеупомянутые предложения Томаса Моргана и на последующие их беседы с тт. Силиным и </w:t>
      </w:r>
      <w:proofErr w:type="spellStart"/>
      <w:r w:rsidRPr="007122AB">
        <w:rPr>
          <w:rFonts w:ascii="Times New Roman" w:hAnsi="Times New Roman"/>
          <w:color w:val="000000" w:themeColor="text1"/>
          <w:sz w:val="16"/>
          <w:szCs w:val="16"/>
        </w:rPr>
        <w:t>Ангеловым</w:t>
      </w:r>
      <w:proofErr w:type="spellEnd"/>
      <w:r w:rsidRPr="007122AB">
        <w:rPr>
          <w:rFonts w:ascii="Times New Roman" w:hAnsi="Times New Roman"/>
          <w:color w:val="000000" w:themeColor="text1"/>
          <w:sz w:val="16"/>
          <w:szCs w:val="16"/>
        </w:rPr>
        <w:t xml:space="preserve">,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w:t>
      </w:r>
      <w:proofErr w:type="spellStart"/>
      <w:r w:rsidRPr="007122AB">
        <w:rPr>
          <w:rFonts w:ascii="Times New Roman" w:hAnsi="Times New Roman"/>
          <w:color w:val="000000" w:themeColor="text1"/>
          <w:sz w:val="16"/>
          <w:szCs w:val="16"/>
        </w:rPr>
        <w:t>ст</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анцию</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Рухлово</w:t>
      </w:r>
      <w:proofErr w:type="spellEnd"/>
      <w:r w:rsidRPr="007122AB">
        <w:rPr>
          <w:rFonts w:ascii="Times New Roman" w:hAnsi="Times New Roman"/>
          <w:color w:val="000000" w:themeColor="text1"/>
          <w:sz w:val="16"/>
          <w:szCs w:val="16"/>
        </w:rPr>
        <w:t xml:space="preserve">). </w:t>
      </w:r>
    </w:p>
    <w:p w14:paraId="2BD210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Богданов и Петров тогда сообщили нам, что хотя они с фирмой подробностей не обсуждали, но с ее слов можно было понять, что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xml:space="preserve">]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34C14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15.XII. 33 г., уже после установления дипотношений с США, вице-президент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74DF62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3-й Западный отдел направил это последнее обращение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тов. </w:t>
      </w:r>
      <w:proofErr w:type="spellStart"/>
      <w:r w:rsidRPr="007122AB">
        <w:rPr>
          <w:rFonts w:ascii="Times New Roman" w:hAnsi="Times New Roman"/>
          <w:color w:val="000000" w:themeColor="text1"/>
          <w:sz w:val="16"/>
          <w:szCs w:val="16"/>
        </w:rPr>
        <w:t>Уншлихту</w:t>
      </w:r>
      <w:proofErr w:type="spellEnd"/>
      <w:r w:rsidRPr="007122AB">
        <w:rPr>
          <w:rFonts w:ascii="Times New Roman" w:hAnsi="Times New Roman"/>
          <w:color w:val="000000" w:themeColor="text1"/>
          <w:sz w:val="16"/>
          <w:szCs w:val="16"/>
        </w:rPr>
        <w:t xml:space="preserve">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38DED9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9. Примечание: </w:t>
      </w:r>
    </w:p>
    <w:p w14:paraId="583E40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О фирме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w:t>
      </w:r>
      <w:proofErr w:type="spellStart"/>
      <w:r w:rsidRPr="007122AB">
        <w:rPr>
          <w:rFonts w:ascii="Times New Roman" w:hAnsi="Times New Roman"/>
          <w:color w:val="000000" w:themeColor="text1"/>
          <w:sz w:val="16"/>
          <w:szCs w:val="16"/>
        </w:rPr>
        <w:t>транстихоокеанских</w:t>
      </w:r>
      <w:proofErr w:type="spellEnd"/>
      <w:r w:rsidRPr="007122AB">
        <w:rPr>
          <w:rFonts w:ascii="Times New Roman" w:hAnsi="Times New Roman"/>
          <w:color w:val="000000" w:themeColor="text1"/>
          <w:sz w:val="16"/>
          <w:szCs w:val="16"/>
        </w:rPr>
        <w:t xml:space="preserve"> планах «Пан-</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которая через свое дочернее предприятие «Чайна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владеет 45% акций американо-китайской ко[</w:t>
      </w:r>
      <w:proofErr w:type="spellStart"/>
      <w:r w:rsidRPr="007122AB">
        <w:rPr>
          <w:rFonts w:ascii="Times New Roman" w:hAnsi="Times New Roman"/>
          <w:color w:val="000000" w:themeColor="text1"/>
          <w:sz w:val="16"/>
          <w:szCs w:val="16"/>
        </w:rPr>
        <w:t>мпании</w:t>
      </w:r>
      <w:proofErr w:type="spellEnd"/>
      <w:r w:rsidRPr="007122AB">
        <w:rPr>
          <w:rFonts w:ascii="Times New Roman" w:hAnsi="Times New Roman"/>
          <w:color w:val="000000" w:themeColor="text1"/>
          <w:sz w:val="16"/>
          <w:szCs w:val="16"/>
        </w:rPr>
        <w:t xml:space="preserve">] «Чайна </w:t>
      </w:r>
      <w:proofErr w:type="spellStart"/>
      <w:r w:rsidRPr="007122AB">
        <w:rPr>
          <w:rFonts w:ascii="Times New Roman" w:hAnsi="Times New Roman"/>
          <w:color w:val="000000" w:themeColor="text1"/>
          <w:sz w:val="16"/>
          <w:szCs w:val="16"/>
        </w:rPr>
        <w:t>нэшнл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Следующим шагом будет связь линии Шанхай — Кантон с Гонконгом, откуда, в свою очередь, пойдет линия на Филиппинские острова. В дальнейшем ко[</w:t>
      </w:r>
      <w:proofErr w:type="spellStart"/>
      <w:r w:rsidRPr="007122AB">
        <w:rPr>
          <w:rFonts w:ascii="Times New Roman" w:hAnsi="Times New Roman"/>
          <w:color w:val="000000" w:themeColor="text1"/>
          <w:sz w:val="16"/>
          <w:szCs w:val="16"/>
        </w:rPr>
        <w:t>мпания</w:t>
      </w:r>
      <w:proofErr w:type="spellEnd"/>
      <w:r w:rsidRPr="007122AB">
        <w:rPr>
          <w:rFonts w:ascii="Times New Roman" w:hAnsi="Times New Roman"/>
          <w:color w:val="000000" w:themeColor="text1"/>
          <w:sz w:val="16"/>
          <w:szCs w:val="16"/>
        </w:rPr>
        <w:t>] «Пасифик-</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эруэйз</w:t>
      </w:r>
      <w:proofErr w:type="spellEnd"/>
      <w:r w:rsidRPr="007122AB">
        <w:rPr>
          <w:rFonts w:ascii="Times New Roman" w:hAnsi="Times New Roman"/>
          <w:color w:val="000000" w:themeColor="text1"/>
          <w:sz w:val="16"/>
          <w:szCs w:val="16"/>
        </w:rPr>
        <w:t xml:space="preserve">» приступит к установлению линий протяжением примерно в 6000 миль от Сан-Франциско до Манилы. </w:t>
      </w:r>
    </w:p>
    <w:p w14:paraId="673E69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О фирме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известно (по ее собственной информации), что она владеет целиком и активно руководит: </w:t>
      </w:r>
    </w:p>
    <w:p w14:paraId="605630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фирмой «</w:t>
      </w:r>
      <w:proofErr w:type="spellStart"/>
      <w:r w:rsidRPr="007122AB">
        <w:rPr>
          <w:rFonts w:ascii="Times New Roman" w:hAnsi="Times New Roman"/>
          <w:color w:val="000000" w:themeColor="text1"/>
          <w:sz w:val="16"/>
          <w:szCs w:val="16"/>
        </w:rPr>
        <w:t>Сперри</w:t>
      </w:r>
      <w:proofErr w:type="spellEnd"/>
      <w:r w:rsidRPr="007122AB">
        <w:rPr>
          <w:rFonts w:ascii="Times New Roman" w:hAnsi="Times New Roman"/>
          <w:color w:val="000000" w:themeColor="text1"/>
          <w:sz w:val="16"/>
          <w:szCs w:val="16"/>
        </w:rPr>
        <w:t xml:space="preserve"> гироскоп», производящей гироскопические аппараты для пароходов и других навигационных целей, а также контрольную аппаратуру для аэропланов; </w:t>
      </w:r>
    </w:p>
    <w:p w14:paraId="659824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 «Форд инструмент Ко»; </w:t>
      </w:r>
    </w:p>
    <w:p w14:paraId="18C45AF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«Берлинер — Джойс </w:t>
      </w:r>
      <w:proofErr w:type="spellStart"/>
      <w:r w:rsidRPr="007122AB">
        <w:rPr>
          <w:rFonts w:ascii="Times New Roman" w:hAnsi="Times New Roman"/>
          <w:color w:val="000000" w:themeColor="text1"/>
          <w:sz w:val="16"/>
          <w:szCs w:val="16"/>
        </w:rPr>
        <w:t>эркрафт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производящей быстроходные военные самолеты и </w:t>
      </w:r>
    </w:p>
    <w:p w14:paraId="3FE286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04355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«Норд-</w:t>
      </w:r>
      <w:proofErr w:type="spellStart"/>
      <w:r w:rsidRPr="007122AB">
        <w:rPr>
          <w:rFonts w:ascii="Times New Roman" w:hAnsi="Times New Roman"/>
          <w:color w:val="000000" w:themeColor="text1"/>
          <w:sz w:val="16"/>
          <w:szCs w:val="16"/>
        </w:rPr>
        <w:t>Америкэн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владеет солидным пакетом акций фирмы «</w:t>
      </w:r>
      <w:proofErr w:type="spellStart"/>
      <w:r w:rsidRPr="007122AB">
        <w:rPr>
          <w:rFonts w:ascii="Times New Roman" w:hAnsi="Times New Roman"/>
          <w:color w:val="000000" w:themeColor="text1"/>
          <w:sz w:val="16"/>
          <w:szCs w:val="16"/>
        </w:rPr>
        <w:t>Кэртис</w:t>
      </w:r>
      <w:proofErr w:type="spellEnd"/>
      <w:r w:rsidRPr="007122AB">
        <w:rPr>
          <w:rFonts w:ascii="Times New Roman" w:hAnsi="Times New Roman"/>
          <w:color w:val="000000" w:themeColor="text1"/>
          <w:sz w:val="16"/>
          <w:szCs w:val="16"/>
        </w:rPr>
        <w:t xml:space="preserve"> Райт» и «Дуглас </w:t>
      </w:r>
      <w:proofErr w:type="spellStart"/>
      <w:r w:rsidRPr="007122AB">
        <w:rPr>
          <w:rFonts w:ascii="Times New Roman" w:hAnsi="Times New Roman"/>
          <w:color w:val="000000" w:themeColor="text1"/>
          <w:sz w:val="16"/>
          <w:szCs w:val="16"/>
        </w:rPr>
        <w:t>эркрафт</w:t>
      </w:r>
      <w:proofErr w:type="spellEnd"/>
      <w:r w:rsidRPr="007122AB">
        <w:rPr>
          <w:rFonts w:ascii="Times New Roman" w:hAnsi="Times New Roman"/>
          <w:color w:val="000000" w:themeColor="text1"/>
          <w:sz w:val="16"/>
          <w:szCs w:val="16"/>
        </w:rPr>
        <w:t xml:space="preserve"> Ко» (два выдающихся производителя самолетов в США) и является активным участником фирмы «</w:t>
      </w:r>
      <w:proofErr w:type="spellStart"/>
      <w:r w:rsidRPr="007122AB">
        <w:rPr>
          <w:rFonts w:ascii="Times New Roman" w:hAnsi="Times New Roman"/>
          <w:color w:val="000000" w:themeColor="text1"/>
          <w:sz w:val="16"/>
          <w:szCs w:val="16"/>
        </w:rPr>
        <w:t>Трансконтинентл-уэстерн</w:t>
      </w:r>
      <w:proofErr w:type="spellEnd"/>
      <w:r w:rsidRPr="007122AB">
        <w:rPr>
          <w:rFonts w:ascii="Times New Roman" w:hAnsi="Times New Roman"/>
          <w:color w:val="000000" w:themeColor="text1"/>
          <w:sz w:val="16"/>
          <w:szCs w:val="16"/>
        </w:rPr>
        <w:t xml:space="preserve"> эр». </w:t>
      </w:r>
    </w:p>
    <w:p w14:paraId="62425C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Она также активно участвует в «</w:t>
      </w:r>
      <w:proofErr w:type="spellStart"/>
      <w:r w:rsidRPr="007122AB">
        <w:rPr>
          <w:rFonts w:ascii="Times New Roman" w:hAnsi="Times New Roman"/>
          <w:color w:val="000000" w:themeColor="text1"/>
          <w:sz w:val="16"/>
          <w:szCs w:val="16"/>
        </w:rPr>
        <w:t>Интерконтинентл</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эвиэйшн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корпорейшн</w:t>
      </w:r>
      <w:proofErr w:type="spellEnd"/>
      <w:r w:rsidRPr="007122AB">
        <w:rPr>
          <w:rFonts w:ascii="Times New Roman" w:hAnsi="Times New Roman"/>
          <w:color w:val="000000" w:themeColor="text1"/>
          <w:sz w:val="16"/>
          <w:szCs w:val="16"/>
        </w:rPr>
        <w:t xml:space="preserve">», через которую она инвестирует капиталы в авиационных предприятиях за границей. </w:t>
      </w:r>
    </w:p>
    <w:p w14:paraId="26D6F0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 3-м Западным отделом Е. РУБИНИН </w:t>
      </w:r>
    </w:p>
    <w:p w14:paraId="1EC619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Отв. референт С. СТОЛЯР </w:t>
      </w:r>
    </w:p>
    <w:p w14:paraId="30D76B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АВП РФ. Ф. 05. Оп. 14. П. 101. Д. 84. Л. 1—3. Подлинник (11430).</w:t>
      </w:r>
    </w:p>
    <w:p w14:paraId="5351DA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2C930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7100A83"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D7047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интерес к танковому орудию </w:t>
      </w:r>
      <w:proofErr w:type="spellStart"/>
      <w:r w:rsidRPr="007122AB">
        <w:rPr>
          <w:rFonts w:ascii="Times New Roman" w:hAnsi="Times New Roman"/>
          <w:color w:val="000000" w:themeColor="text1"/>
          <w:sz w:val="16"/>
          <w:szCs w:val="16"/>
        </w:rPr>
        <w:t>П.Сячинтова</w:t>
      </w:r>
      <w:proofErr w:type="spellEnd"/>
      <w:r w:rsidRPr="007122AB">
        <w:rPr>
          <w:rFonts w:ascii="Times New Roman" w:hAnsi="Times New Roman"/>
          <w:color w:val="000000" w:themeColor="text1"/>
          <w:sz w:val="16"/>
          <w:szCs w:val="16"/>
        </w:rPr>
        <w:t xml:space="preserve"> возобновился, и теперь конструктору ставилась задача создать «76-мм полуавтоматическую танковую пушку», а не «гаубицу», как оно именовалось прежде (6208, 42).</w:t>
      </w:r>
    </w:p>
    <w:p w14:paraId="17754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3F3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декабря 1931 по сентябрь 1932 КБ ХПЗ под руководством </w:t>
      </w:r>
      <w:proofErr w:type="spellStart"/>
      <w:r w:rsidRPr="007122AB">
        <w:rPr>
          <w:rFonts w:ascii="Times New Roman" w:hAnsi="Times New Roman"/>
          <w:color w:val="000000" w:themeColor="text1"/>
          <w:sz w:val="16"/>
          <w:szCs w:val="16"/>
        </w:rPr>
        <w:t>А.О.Фирсова</w:t>
      </w:r>
      <w:proofErr w:type="spellEnd"/>
      <w:r w:rsidRPr="007122AB">
        <w:rPr>
          <w:rFonts w:ascii="Times New Roman" w:hAnsi="Times New Roman"/>
          <w:color w:val="000000" w:themeColor="text1"/>
          <w:sz w:val="16"/>
          <w:szCs w:val="16"/>
        </w:rPr>
        <w:t xml:space="preserve"> разработала модификацию БТ-2 - БТ-3 с введением метрической резьбы. В войсках осталось прежнее название (3879,22).</w:t>
      </w:r>
    </w:p>
    <w:p w14:paraId="35D43A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D8B5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декабря 1931 началось серийное производство БТ-2 (3881,3).</w:t>
      </w:r>
    </w:p>
    <w:p w14:paraId="79A7B4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C961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четвертом квартале 1931 года начался выпуск БТ-2 (3861). В то время наша промышленность не выпускала мощных двигателей, которые могли быть установлены на танки. Один из сотрудников "Амторга" узнал, что военное ведомство США готово продать около 2000 двигателей "Либерти" по цене 60-65 долларов за штуку из своих излишков. Сделка была заключена и двигатели поступили на ХПЗ.</w:t>
      </w:r>
    </w:p>
    <w:p w14:paraId="15B5E8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Вследствие недостаточного опыта у рабочих сборочного цеха на танках часто обнаруживались течи смазок механизмов, перегрев их из-за неверной регулировки, неправильная центровка и пр. В процессе эксплуатации обнаружилось, что передняя балка, несущая ленивцы, имела недостаточную жесткость и часто гнулась. Корпус танка также не имел нужной жесткости, что при установке двигателя вело к поломке вала. Часто ломались кронштейны ленивцев, плохо работали воздухоочистители.</w:t>
      </w:r>
    </w:p>
    <w:p w14:paraId="7EA03D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Корпус танка БТ-2 был собран на заклепках из броневых листов толщиной 13 мм (кормовые листы - 10 мм). Носовая часть сужена, но несколько притуплена по сравнению с танком Кристи. К носовой части приварена стальная труба, которая служила для крепления кривошипов ленивцев (направляющих колес). Вертикальные боковые стенки корпуса имели по три отверстия на борт для прохода полуосей катков. В верхнем лобовом листе корпуса расположен двухстворчатый входной люк механика-водителя. Цилиндрическая башня собрана из клепаных броневых листов и имела несколько скошенную вперед крышу. В башне установлены 37-мм пушка системы "</w:t>
      </w:r>
      <w:proofErr w:type="spellStart"/>
      <w:r w:rsidRPr="007122AB">
        <w:rPr>
          <w:rFonts w:ascii="Times New Roman" w:hAnsi="Times New Roman"/>
          <w:color w:val="000000" w:themeColor="text1"/>
          <w:sz w:val="16"/>
          <w:szCs w:val="16"/>
        </w:rPr>
        <w:t>Гочкис</w:t>
      </w:r>
      <w:proofErr w:type="spellEnd"/>
      <w:r w:rsidRPr="007122AB">
        <w:rPr>
          <w:rFonts w:ascii="Times New Roman" w:hAnsi="Times New Roman"/>
          <w:color w:val="000000" w:themeColor="text1"/>
          <w:sz w:val="16"/>
          <w:szCs w:val="16"/>
        </w:rPr>
        <w:t xml:space="preserve">", с длиной ствола 20 калибров и 7,62-мм пулемет ДТ, смонтированный раздельно от пушки в шаровой установке. Наведение пушки и пулемета в </w:t>
      </w:r>
      <w:r w:rsidRPr="007122AB">
        <w:rPr>
          <w:rFonts w:ascii="Times New Roman" w:hAnsi="Times New Roman"/>
          <w:color w:val="000000" w:themeColor="text1"/>
          <w:sz w:val="16"/>
          <w:szCs w:val="16"/>
        </w:rPr>
        <w:lastRenderedPageBreak/>
        <w:t>вертикальной плоскости производилось с помощью плечевого упора, поворот башни осуществлялся планетарным механизмом с ручным приводом. Имелся и телескопический прицел. Двигатель "Либерти", получивший у нас марку М5 - двенадцатицилиндровый, четырехтактный.</w:t>
      </w:r>
    </w:p>
    <w:p w14:paraId="6473CC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Подвеска опорных катков индивидуальная с вертикальными спиральными пружинами. Поворот на гусеницах осуществлялся двумя рычагами, соединенными с ленточными тормозами на ведомых барабанах бортовых фрикционов. Для поворота на колесном ходу служил штурвал, с помощью которого поворачивались передние катки (как колеса автомобиля). При переходе с гусеничного хода на колесный (после снятия и укладки гусениц) на ступицы задних опорных катков надевались блокировочные кольца, тем самым катки соединялись с ведомой осью гитары. Радиостанции танки БТ не имели.</w:t>
      </w:r>
    </w:p>
    <w:p w14:paraId="4973F8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Выпуск БТ-2 продолжался чуть более полутора лет (изготовлено более 600 машин).</w:t>
      </w:r>
    </w:p>
    <w:p w14:paraId="01229B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B1AF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был построен опытный образец Т-19, предназначенного для замены МС-1 (9527,86).</w:t>
      </w:r>
    </w:p>
    <w:p w14:paraId="669E8C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6F3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был построен опытный образец огнеметной танкетки ОТ-27/ХТ-27 (БХМ-4), разработанной КБ склада № 136 под руководством </w:t>
      </w:r>
      <w:proofErr w:type="spellStart"/>
      <w:r w:rsidRPr="007122AB">
        <w:rPr>
          <w:rFonts w:ascii="Times New Roman" w:hAnsi="Times New Roman"/>
          <w:color w:val="000000" w:themeColor="text1"/>
          <w:sz w:val="16"/>
          <w:szCs w:val="16"/>
        </w:rPr>
        <w:t>К.И.Лебедева</w:t>
      </w:r>
      <w:proofErr w:type="spellEnd"/>
      <w:r w:rsidRPr="007122AB">
        <w:rPr>
          <w:rFonts w:ascii="Times New Roman" w:hAnsi="Times New Roman"/>
          <w:color w:val="000000" w:themeColor="text1"/>
          <w:sz w:val="16"/>
          <w:szCs w:val="16"/>
        </w:rPr>
        <w:t>. Летом прошла полигонные испытания на НИХП ХКУКС РККА и была принята на вооружения. Делали на заводе № 2 ВАТО, будущем заводе № 37 и выпустили 187 (9527,182).</w:t>
      </w:r>
    </w:p>
    <w:p w14:paraId="25D1B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FA0AD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по окончании исследований и испытаний СУ-1, вышло постановление следующего содержания:</w:t>
      </w:r>
    </w:p>
    <w:p w14:paraId="2B7FF5C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«СУ-1 испытания выдержала и может быть допущена для проведения дальнейших работ по след, направлениям:</w:t>
      </w:r>
    </w:p>
    <w:p w14:paraId="6704114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1. Угол вертикального обстрела увеличить до 20 </w:t>
      </w:r>
      <w:proofErr w:type="spellStart"/>
      <w:r w:rsidRPr="007122AB">
        <w:rPr>
          <w:rFonts w:ascii="Times New Roman" w:hAnsi="Times New Roman"/>
          <w:iCs/>
          <w:color w:val="000000" w:themeColor="text1"/>
          <w:sz w:val="16"/>
          <w:szCs w:val="16"/>
        </w:rPr>
        <w:t>гр</w:t>
      </w:r>
      <w:proofErr w:type="spellEnd"/>
      <w:r w:rsidRPr="007122AB">
        <w:rPr>
          <w:rFonts w:ascii="Times New Roman" w:hAnsi="Times New Roman"/>
          <w:iCs/>
          <w:color w:val="000000" w:themeColor="text1"/>
          <w:sz w:val="16"/>
          <w:szCs w:val="16"/>
        </w:rPr>
        <w:t>, для чего повысить высоту цапф на 40мм.</w:t>
      </w:r>
    </w:p>
    <w:p w14:paraId="2217D0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2. Горизонтальный обстрел довести до +/- 20. В рубке иметь два открывающихся окна для наблюдения цели. Высоту рубки — увеличить, чтобы не мешалась наводчику.</w:t>
      </w:r>
    </w:p>
    <w:p w14:paraId="069439F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3. Расположение маховиков должно быть удобно для на</w:t>
      </w:r>
      <w:r w:rsidRPr="007122AB">
        <w:rPr>
          <w:rFonts w:ascii="Times New Roman" w:hAnsi="Times New Roman"/>
          <w:iCs/>
          <w:color w:val="000000" w:themeColor="text1"/>
          <w:sz w:val="16"/>
          <w:szCs w:val="16"/>
        </w:rPr>
        <w:softHyphen/>
        <w:t>водчика и не отрывать его от прицела.</w:t>
      </w:r>
    </w:p>
    <w:p w14:paraId="7F81878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 xml:space="preserve">4. Предусмотреть возможность проведения спуска как рукой со шнура, так и ногой </w:t>
      </w:r>
      <w:r w:rsidRPr="007122AB">
        <w:rPr>
          <w:rFonts w:ascii="Times New Roman" w:hAnsi="Times New Roman"/>
          <w:color w:val="000000" w:themeColor="text1"/>
          <w:sz w:val="16"/>
          <w:szCs w:val="16"/>
        </w:rPr>
        <w:t xml:space="preserve">— </w:t>
      </w:r>
      <w:r w:rsidRPr="007122AB">
        <w:rPr>
          <w:rFonts w:ascii="Times New Roman" w:hAnsi="Times New Roman"/>
          <w:iCs/>
          <w:color w:val="000000" w:themeColor="text1"/>
          <w:sz w:val="16"/>
          <w:szCs w:val="16"/>
        </w:rPr>
        <w:t>педалью.</w:t>
      </w:r>
    </w:p>
    <w:p w14:paraId="273875F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5. В бортах рубки предусмотреть шаровые яблоки для пу</w:t>
      </w:r>
      <w:r w:rsidRPr="007122AB">
        <w:rPr>
          <w:rFonts w:ascii="Times New Roman" w:hAnsi="Times New Roman"/>
          <w:iCs/>
          <w:color w:val="000000" w:themeColor="text1"/>
          <w:sz w:val="16"/>
          <w:szCs w:val="16"/>
        </w:rPr>
        <w:softHyphen/>
        <w:t>леметов Дегтярева. Заднее яблоко установить с расчетом пропуска через него троса для отката орудия.</w:t>
      </w:r>
    </w:p>
    <w:p w14:paraId="3C1198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6. Амбразура орудия должна прикрываться дополнитель</w:t>
      </w:r>
      <w:r w:rsidRPr="007122AB">
        <w:rPr>
          <w:rFonts w:ascii="Times New Roman" w:hAnsi="Times New Roman"/>
          <w:iCs/>
          <w:color w:val="000000" w:themeColor="text1"/>
          <w:sz w:val="16"/>
          <w:szCs w:val="16"/>
        </w:rPr>
        <w:softHyphen/>
        <w:t>ным щитком для защиты от пуль и осколков</w:t>
      </w:r>
    </w:p>
    <w:p w14:paraId="0A072F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7. Трубку-визир прямой наводки заменить прицелом-те</w:t>
      </w:r>
      <w:r w:rsidRPr="007122AB">
        <w:rPr>
          <w:rFonts w:ascii="Times New Roman" w:hAnsi="Times New Roman"/>
          <w:iCs/>
          <w:color w:val="000000" w:themeColor="text1"/>
          <w:sz w:val="16"/>
          <w:szCs w:val="16"/>
        </w:rPr>
        <w:softHyphen/>
        <w:t>лескопом с полем зрения 10 гр. и с резиновым наглазником... Наводчик также должен иметь собственное окно или люк для обзора поля боя...</w:t>
      </w:r>
    </w:p>
    <w:p w14:paraId="50A9490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8. Для предохранения номеров орудия от отката предус</w:t>
      </w:r>
      <w:r w:rsidRPr="007122AB">
        <w:rPr>
          <w:rFonts w:ascii="Times New Roman" w:hAnsi="Times New Roman"/>
          <w:iCs/>
          <w:color w:val="000000" w:themeColor="text1"/>
          <w:sz w:val="16"/>
          <w:szCs w:val="16"/>
        </w:rPr>
        <w:softHyphen/>
        <w:t>мотреть откидные щитки или иное ограждение.</w:t>
      </w:r>
    </w:p>
    <w:p w14:paraId="09638B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9. Должны быть предусмотрены специальные места для заряжающего и рации.</w:t>
      </w:r>
    </w:p>
    <w:p w14:paraId="4AEC88C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10. Боекомплект разместить в гнездах.</w:t>
      </w:r>
    </w:p>
    <w:p w14:paraId="6F48A9E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11. Предусмотреть перевозимый пулемет Дегтярева и 10 магазинов к нему для обороны машины от пехоты.</w:t>
      </w:r>
    </w:p>
    <w:p w14:paraId="51AB4B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12. Необходимо наличие переговорного устройства само</w:t>
      </w:r>
      <w:r w:rsidRPr="007122AB">
        <w:rPr>
          <w:rFonts w:ascii="Times New Roman" w:hAnsi="Times New Roman"/>
          <w:iCs/>
          <w:color w:val="000000" w:themeColor="text1"/>
          <w:sz w:val="16"/>
          <w:szCs w:val="16"/>
        </w:rPr>
        <w:softHyphen/>
        <w:t>летного типа.</w:t>
      </w:r>
    </w:p>
    <w:p w14:paraId="337C511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13. Противооткатное приспособление прикрыть броне-кожухом.</w:t>
      </w:r>
    </w:p>
    <w:p w14:paraId="433F55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Переделанных таким образом самоходов необходима пар</w:t>
      </w:r>
      <w:r w:rsidRPr="007122AB">
        <w:rPr>
          <w:rFonts w:ascii="Times New Roman" w:hAnsi="Times New Roman"/>
          <w:iCs/>
          <w:color w:val="000000" w:themeColor="text1"/>
          <w:sz w:val="16"/>
          <w:szCs w:val="16"/>
        </w:rPr>
        <w:softHyphen/>
        <w:t>тия в количестве 100 шт. Подписи: председатель 4 секции УММ Павлов</w:t>
      </w:r>
    </w:p>
    <w:p w14:paraId="6FBE90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Зам. Нач. 5 секции УММ Сакс</w:t>
      </w:r>
    </w:p>
    <w:p w14:paraId="7CCC52A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Cs/>
          <w:color w:val="000000" w:themeColor="text1"/>
          <w:sz w:val="16"/>
          <w:szCs w:val="16"/>
        </w:rPr>
        <w:t>Член НТК ГАУ Анисимов» (11417).</w:t>
      </w:r>
    </w:p>
    <w:p w14:paraId="458BEB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39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года УММ КА утвердило </w:t>
      </w:r>
      <w:proofErr w:type="spellStart"/>
      <w:r w:rsidRPr="007122AB">
        <w:rPr>
          <w:rFonts w:ascii="Times New Roman" w:hAnsi="Times New Roman"/>
          <w:color w:val="000000" w:themeColor="text1"/>
          <w:sz w:val="16"/>
          <w:szCs w:val="16"/>
        </w:rPr>
        <w:t>техэадание</w:t>
      </w:r>
      <w:proofErr w:type="spellEnd"/>
      <w:r w:rsidRPr="007122AB">
        <w:rPr>
          <w:rFonts w:ascii="Times New Roman" w:hAnsi="Times New Roman"/>
          <w:color w:val="000000" w:themeColor="text1"/>
          <w:sz w:val="16"/>
          <w:szCs w:val="16"/>
        </w:rPr>
        <w:t xml:space="preserve"> на малый артсамоход СУ-3 - установку 76-мм ДРП на Т-27 (9641).</w:t>
      </w:r>
    </w:p>
    <w:p w14:paraId="6E38F7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7ABAD8"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года УММ КА утвердило техзадание на малый артсамоход СУ-3 - установку 76-мм ДРП на Т-27. В 1933 году машина прошла войсковые испытания, но ее серийный выпуск исключался: имелись изъяны в конструкции орудия. Тогда же завод "Большевик" изготовил на доработанном шасси Т-27 два варианта противо</w:t>
      </w:r>
      <w:hyperlink r:id="rId22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овой установки 37-мм пушки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xml:space="preserve"> с транспортировкой боекомплекта на специальной прицепке ("М-К" № 9'91) (15647).</w:t>
      </w:r>
    </w:p>
    <w:p w14:paraId="715EBADF" w14:textId="77777777" w:rsidR="00903F28" w:rsidRPr="007122AB" w:rsidRDefault="00903F28" w:rsidP="007122AB">
      <w:pPr>
        <w:spacing w:after="0" w:line="240" w:lineRule="auto"/>
        <w:jc w:val="both"/>
        <w:rPr>
          <w:rFonts w:ascii="Times New Roman" w:hAnsi="Times New Roman"/>
          <w:color w:val="000000" w:themeColor="text1"/>
          <w:sz w:val="16"/>
          <w:szCs w:val="16"/>
        </w:rPr>
      </w:pPr>
    </w:p>
    <w:p w14:paraId="5A33E50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начальник НКТ УММ Лебедев послал Н.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пись</w:t>
      </w:r>
      <w:r w:rsidRPr="007122AB">
        <w:rPr>
          <w:rFonts w:ascii="Times New Roman" w:hAnsi="Times New Roman"/>
          <w:color w:val="000000" w:themeColor="text1"/>
          <w:sz w:val="16"/>
          <w:szCs w:val="16"/>
        </w:rPr>
        <w:softHyphen/>
        <w:t>мо следующего содержания:</w:t>
      </w:r>
    </w:p>
    <w:p w14:paraId="13E5826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Тов</w:t>
      </w:r>
      <w:proofErr w:type="spellEnd"/>
      <w:r w:rsidRPr="007122AB">
        <w:rPr>
          <w:rFonts w:ascii="Times New Roman" w:hAnsi="Times New Roman"/>
          <w:color w:val="000000" w:themeColor="text1"/>
          <w:sz w:val="16"/>
          <w:szCs w:val="16"/>
        </w:rPr>
        <w:t xml:space="preserve"> ДЫРЕНКОВУ</w:t>
      </w:r>
    </w:p>
    <w:p w14:paraId="66C95D5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Н.Т.К.</w:t>
      </w:r>
    </w:p>
    <w:p w14:paraId="560FF4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декабря 1931 г.</w:t>
      </w:r>
    </w:p>
    <w:p w14:paraId="3D176D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решения НТК от 21/10с.г. и Вашему пожеланию продолжить работы над усилением вооружения </w:t>
      </w:r>
      <w:proofErr w:type="spellStart"/>
      <w:r w:rsidRPr="007122AB">
        <w:rPr>
          <w:rFonts w:ascii="Times New Roman" w:hAnsi="Times New Roman"/>
          <w:color w:val="000000" w:themeColor="text1"/>
          <w:sz w:val="16"/>
          <w:szCs w:val="16"/>
        </w:rPr>
        <w:t>гусенично</w:t>
      </w:r>
      <w:proofErr w:type="spellEnd"/>
      <w:r w:rsidRPr="007122AB">
        <w:rPr>
          <w:rFonts w:ascii="Times New Roman" w:hAnsi="Times New Roman"/>
          <w:color w:val="000000" w:themeColor="text1"/>
          <w:sz w:val="16"/>
          <w:szCs w:val="16"/>
        </w:rPr>
        <w:t xml:space="preserve">-ко-лесных танков типа КРИСТИ путем установки в них 76-мм пушки. НТК поручает Вам завершить </w:t>
      </w:r>
      <w:proofErr w:type="spellStart"/>
      <w:r w:rsidRPr="007122AB">
        <w:rPr>
          <w:rFonts w:ascii="Times New Roman" w:hAnsi="Times New Roman"/>
          <w:color w:val="000000" w:themeColor="text1"/>
          <w:sz w:val="16"/>
          <w:szCs w:val="16"/>
        </w:rPr>
        <w:t>проэкт</w:t>
      </w:r>
      <w:proofErr w:type="spellEnd"/>
      <w:r w:rsidRPr="007122AB">
        <w:rPr>
          <w:rFonts w:ascii="Times New Roman" w:hAnsi="Times New Roman"/>
          <w:color w:val="000000" w:themeColor="text1"/>
          <w:sz w:val="16"/>
          <w:szCs w:val="16"/>
        </w:rPr>
        <w:t xml:space="preserve"> большой башни танка Д-38 второго варианта/с пушкой 76мм/, при условии ее установки на корпусе танка «БТ-КРИСТИ» без переделок последнего с исключением второй огневой точки в корпусе.</w:t>
      </w:r>
    </w:p>
    <w:p w14:paraId="46CD5A2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Эскизный </w:t>
      </w:r>
      <w:proofErr w:type="spellStart"/>
      <w:r w:rsidRPr="007122AB">
        <w:rPr>
          <w:rFonts w:ascii="Times New Roman" w:hAnsi="Times New Roman"/>
          <w:color w:val="000000" w:themeColor="text1"/>
          <w:sz w:val="16"/>
          <w:szCs w:val="16"/>
        </w:rPr>
        <w:t>проэкт</w:t>
      </w:r>
      <w:proofErr w:type="spellEnd"/>
      <w:r w:rsidRPr="007122AB">
        <w:rPr>
          <w:rFonts w:ascii="Times New Roman" w:hAnsi="Times New Roman"/>
          <w:color w:val="000000" w:themeColor="text1"/>
          <w:sz w:val="16"/>
          <w:szCs w:val="16"/>
        </w:rPr>
        <w:t xml:space="preserve"> большой башенной установки Д38 со</w:t>
      </w:r>
      <w:r w:rsidRPr="007122AB">
        <w:rPr>
          <w:rFonts w:ascii="Times New Roman" w:hAnsi="Times New Roman"/>
          <w:color w:val="000000" w:themeColor="text1"/>
          <w:sz w:val="16"/>
          <w:szCs w:val="16"/>
        </w:rPr>
        <w:softHyphen/>
        <w:t xml:space="preserve">гласовать с КБ-3 ОРПО не позднее 10/2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4F0800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НТК УММ РККА</w:t>
      </w:r>
    </w:p>
    <w:p w14:paraId="0110BDC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/Лебедев/» (10733,334).</w:t>
      </w:r>
    </w:p>
    <w:p w14:paraId="7A4C7B5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3A2F9"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начальник НКТ УММ Лебедев послал Н.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письмо следующего содержания:</w:t>
      </w:r>
    </w:p>
    <w:p w14:paraId="69301A06"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«Тов. ДЫРЕНКОВУ</w:t>
      </w:r>
    </w:p>
    <w:p w14:paraId="756343C6"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Н.Т.К.</w:t>
      </w:r>
    </w:p>
    <w:p w14:paraId="7C2BFCD6"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декабря 1931 г.</w:t>
      </w:r>
    </w:p>
    <w:p w14:paraId="3E8F8BF6"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Согласно решения </w:t>
      </w:r>
      <w:proofErr w:type="spellStart"/>
      <w:r w:rsidRPr="007122AB">
        <w:rPr>
          <w:rFonts w:ascii="Times New Roman" w:hAnsi="Times New Roman"/>
          <w:color w:val="000000" w:themeColor="text1"/>
          <w:sz w:val="16"/>
          <w:szCs w:val="16"/>
        </w:rPr>
        <w:t>НТКопг</w:t>
      </w:r>
      <w:proofErr w:type="spellEnd"/>
      <w:r w:rsidRPr="007122AB">
        <w:rPr>
          <w:rFonts w:ascii="Times New Roman" w:hAnsi="Times New Roman"/>
          <w:color w:val="000000" w:themeColor="text1"/>
          <w:sz w:val="16"/>
          <w:szCs w:val="16"/>
        </w:rPr>
        <w:t xml:space="preserve"> 21/10с.г. и Вашему пожеланию продолжить работы над усилением вооружения </w:t>
      </w:r>
      <w:proofErr w:type="spellStart"/>
      <w:r w:rsidRPr="007122AB">
        <w:rPr>
          <w:rFonts w:ascii="Times New Roman" w:hAnsi="Times New Roman"/>
          <w:color w:val="000000" w:themeColor="text1"/>
          <w:sz w:val="16"/>
          <w:szCs w:val="16"/>
        </w:rPr>
        <w:t>гусенично</w:t>
      </w:r>
      <w:proofErr w:type="spellEnd"/>
      <w:r w:rsidRPr="007122AB">
        <w:rPr>
          <w:rFonts w:ascii="Times New Roman" w:hAnsi="Times New Roman"/>
          <w:color w:val="000000" w:themeColor="text1"/>
          <w:sz w:val="16"/>
          <w:szCs w:val="16"/>
        </w:rPr>
        <w:t xml:space="preserve">-колесных </w:t>
      </w:r>
      <w:hyperlink r:id="rId22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ов типа КРИСТИ путем установки в них 76-мм пушки. НТК поручает Вам завершить </w:t>
      </w:r>
      <w:proofErr w:type="spellStart"/>
      <w:r w:rsidRPr="007122AB">
        <w:rPr>
          <w:rFonts w:ascii="Times New Roman" w:hAnsi="Times New Roman"/>
          <w:color w:val="000000" w:themeColor="text1"/>
          <w:sz w:val="16"/>
          <w:szCs w:val="16"/>
        </w:rPr>
        <w:t>проэкт</w:t>
      </w:r>
      <w:proofErr w:type="spellEnd"/>
      <w:r w:rsidRPr="007122AB">
        <w:rPr>
          <w:rFonts w:ascii="Times New Roman" w:hAnsi="Times New Roman"/>
          <w:color w:val="000000" w:themeColor="text1"/>
          <w:sz w:val="16"/>
          <w:szCs w:val="16"/>
        </w:rPr>
        <w:t xml:space="preserve"> большой башни </w:t>
      </w:r>
      <w:hyperlink r:id="rId22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Д-38 второго варианта /с пушкой 76мм/, при условии ее установки на корпусе </w:t>
      </w:r>
      <w:hyperlink r:id="rId22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«БТ-КРИСТИ» без переделок последнего с исключением второй огневой точки в корпусе.</w:t>
      </w:r>
    </w:p>
    <w:p w14:paraId="23F93DB3"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Эскизный </w:t>
      </w:r>
      <w:proofErr w:type="spellStart"/>
      <w:r w:rsidRPr="007122AB">
        <w:rPr>
          <w:rFonts w:ascii="Times New Roman" w:hAnsi="Times New Roman"/>
          <w:color w:val="000000" w:themeColor="text1"/>
          <w:sz w:val="16"/>
          <w:szCs w:val="16"/>
        </w:rPr>
        <w:t>проэкт</w:t>
      </w:r>
      <w:proofErr w:type="spellEnd"/>
      <w:r w:rsidRPr="007122AB">
        <w:rPr>
          <w:rFonts w:ascii="Times New Roman" w:hAnsi="Times New Roman"/>
          <w:color w:val="000000" w:themeColor="text1"/>
          <w:sz w:val="16"/>
          <w:szCs w:val="16"/>
        </w:rPr>
        <w:t xml:space="preserve"> большой башенной установки Д38 согласовать с КБ-3 ОРПО не позднее 10/2 </w:t>
      </w:r>
      <w:proofErr w:type="spellStart"/>
      <w:r w:rsidRPr="007122AB">
        <w:rPr>
          <w:rFonts w:ascii="Times New Roman" w:hAnsi="Times New Roman"/>
          <w:color w:val="000000" w:themeColor="text1"/>
          <w:sz w:val="16"/>
          <w:szCs w:val="16"/>
        </w:rPr>
        <w:t>с.г</w:t>
      </w:r>
      <w:proofErr w:type="spellEnd"/>
      <w:r w:rsidRPr="007122AB">
        <w:rPr>
          <w:rFonts w:ascii="Times New Roman" w:hAnsi="Times New Roman"/>
          <w:color w:val="000000" w:themeColor="text1"/>
          <w:sz w:val="16"/>
          <w:szCs w:val="16"/>
        </w:rPr>
        <w:t>.</w:t>
      </w:r>
    </w:p>
    <w:p w14:paraId="2BC0D3FF"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ПРЕДСЕДАТЕЛЬ НТК УММ РККА</w:t>
      </w:r>
    </w:p>
    <w:p w14:paraId="1F919A8E"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/Лебедев/»</w:t>
      </w:r>
    </w:p>
    <w:p w14:paraId="2FE306EA"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Таким образом, Н. </w:t>
      </w:r>
      <w:proofErr w:type="spellStart"/>
      <w:r w:rsidRPr="007122AB">
        <w:rPr>
          <w:rFonts w:ascii="Times New Roman" w:hAnsi="Times New Roman"/>
          <w:color w:val="000000" w:themeColor="text1"/>
          <w:sz w:val="16"/>
          <w:szCs w:val="16"/>
        </w:rPr>
        <w:t>Дыренкову</w:t>
      </w:r>
      <w:proofErr w:type="spellEnd"/>
      <w:r w:rsidRPr="007122AB">
        <w:rPr>
          <w:rFonts w:ascii="Times New Roman" w:hAnsi="Times New Roman"/>
          <w:color w:val="000000" w:themeColor="text1"/>
          <w:sz w:val="16"/>
          <w:szCs w:val="16"/>
        </w:rPr>
        <w:t xml:space="preserve"> давалась «зеленая улица» в создании </w:t>
      </w:r>
      <w:hyperlink r:id="rId22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с корпусом БТ и большой башней, вооруженной 76-мм пушкой. Второй вариант модернизации колесно-гусеничного </w:t>
      </w:r>
      <w:hyperlink r:id="rId22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БТ конструкции Н. 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оказался более удачным. Танк, получивший название Д-38, был разработан в конце 1931 — начале 1932 гг. Ведущим инженером машины был Н. Гуленко. В январе 1932 г. был изготовлен опытный образец, причем гусеницы на нем были заимствованы от второго закупленного </w:t>
      </w:r>
      <w:hyperlink r:id="rId22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«Кристи» М. 1940, который находился в бюро на исследовании.</w:t>
      </w:r>
    </w:p>
    <w:p w14:paraId="338D03DE"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Машина отличалась от серийного </w:t>
      </w:r>
      <w:hyperlink r:id="rId22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w:t>
      </w:r>
    </w:p>
    <w:p w14:paraId="43DA32B7"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w:t>
      </w:r>
      <w:hyperlink r:id="rId22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овую и 76,2-мм противоштурмовую пушку «</w:t>
      </w:r>
      <w:proofErr w:type="spellStart"/>
      <w:r w:rsidRPr="007122AB">
        <w:rPr>
          <w:rFonts w:ascii="Times New Roman" w:hAnsi="Times New Roman"/>
          <w:color w:val="000000" w:themeColor="text1"/>
          <w:sz w:val="16"/>
          <w:szCs w:val="16"/>
        </w:rPr>
        <w:t>Гарфорда</w:t>
      </w:r>
      <w:proofErr w:type="spellEnd"/>
      <w:r w:rsidRPr="007122AB">
        <w:rPr>
          <w:rFonts w:ascii="Times New Roman" w:hAnsi="Times New Roman"/>
          <w:color w:val="000000" w:themeColor="text1"/>
          <w:sz w:val="16"/>
          <w:szCs w:val="16"/>
        </w:rPr>
        <w:t xml:space="preserve">».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w:t>
      </w:r>
      <w:hyperlink r:id="rId23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25град. Для ведения прицельной стрельбы использовался удлиненный телескопический </w:t>
      </w:r>
      <w:hyperlink r:id="rId23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овый прицел обр. 1930 г., для которого в броне башни было сделано специальное окно. Подъемный механизм был сохранен от полковой пушки.</w:t>
      </w:r>
    </w:p>
    <w:p w14:paraId="24D872DE" w14:textId="77777777" w:rsidR="00903F28" w:rsidRPr="007122AB" w:rsidRDefault="00903F2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Бронировка орудия на машине не устанавливалась. Справа от пушки автономно размещался 7,62-мм пулемет ДТ. Боекомплект машины состоял из 50 выстрелов к пушке и 2700 патронов к пулемету (15619).</w:t>
      </w:r>
    </w:p>
    <w:p w14:paraId="1EBB8711" w14:textId="77777777" w:rsidR="00903F28" w:rsidRPr="007122AB" w:rsidRDefault="00903F28" w:rsidP="007122AB">
      <w:pPr>
        <w:spacing w:after="0" w:line="240" w:lineRule="auto"/>
        <w:jc w:val="both"/>
        <w:rPr>
          <w:rFonts w:ascii="Times New Roman" w:hAnsi="Times New Roman"/>
          <w:color w:val="000000" w:themeColor="text1"/>
          <w:sz w:val="16"/>
          <w:szCs w:val="16"/>
        </w:rPr>
      </w:pPr>
    </w:p>
    <w:p w14:paraId="1B3957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года слиты три проектные организации: "</w:t>
      </w:r>
      <w:proofErr w:type="spellStart"/>
      <w:r w:rsidRPr="007122AB">
        <w:rPr>
          <w:rFonts w:ascii="Times New Roman" w:hAnsi="Times New Roman"/>
          <w:color w:val="000000" w:themeColor="text1"/>
          <w:sz w:val="16"/>
          <w:szCs w:val="16"/>
        </w:rPr>
        <w:t>Военпроект</w:t>
      </w:r>
      <w:proofErr w:type="spellEnd"/>
      <w:r w:rsidRPr="007122AB">
        <w:rPr>
          <w:rFonts w:ascii="Times New Roman" w:hAnsi="Times New Roman"/>
          <w:color w:val="000000" w:themeColor="text1"/>
          <w:sz w:val="16"/>
          <w:szCs w:val="16"/>
        </w:rPr>
        <w:t>" ВСУ РККА, "</w:t>
      </w:r>
      <w:proofErr w:type="spellStart"/>
      <w:r w:rsidRPr="007122AB">
        <w:rPr>
          <w:rFonts w:ascii="Times New Roman" w:hAnsi="Times New Roman"/>
          <w:color w:val="000000" w:themeColor="text1"/>
          <w:sz w:val="16"/>
          <w:szCs w:val="16"/>
        </w:rPr>
        <w:t>Военавиапроект</w:t>
      </w:r>
      <w:proofErr w:type="spellEnd"/>
      <w:r w:rsidRPr="007122AB">
        <w:rPr>
          <w:rFonts w:ascii="Times New Roman" w:hAnsi="Times New Roman"/>
          <w:color w:val="000000" w:themeColor="text1"/>
          <w:sz w:val="16"/>
          <w:szCs w:val="16"/>
        </w:rPr>
        <w:t>" ВВС и "</w:t>
      </w:r>
      <w:proofErr w:type="spellStart"/>
      <w:r w:rsidRPr="007122AB">
        <w:rPr>
          <w:rFonts w:ascii="Times New Roman" w:hAnsi="Times New Roman"/>
          <w:color w:val="000000" w:themeColor="text1"/>
          <w:sz w:val="16"/>
          <w:szCs w:val="16"/>
        </w:rPr>
        <w:t>Военсантехстрой</w:t>
      </w:r>
      <w:proofErr w:type="spellEnd"/>
      <w:r w:rsidRPr="007122AB">
        <w:rPr>
          <w:rFonts w:ascii="Times New Roman" w:hAnsi="Times New Roman"/>
          <w:color w:val="000000" w:themeColor="text1"/>
          <w:sz w:val="16"/>
          <w:szCs w:val="16"/>
        </w:rPr>
        <w:t>" ВСУ РККА и создано Управление военно-проектных работ (УВПР) при Военно-строительном управлении (ВСУ) РККА с основной задачей осуществления типового и индивидуального проектирования необоронительного строительства для военного ведомства (10515).</w:t>
      </w:r>
    </w:p>
    <w:p w14:paraId="01E024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ED59A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задолго до готовности первой лодки, проект III серии был выбран и для срочной постройки на Балтийском заво</w:t>
      </w:r>
      <w:r w:rsidRPr="007122AB">
        <w:rPr>
          <w:rFonts w:ascii="Times New Roman" w:hAnsi="Times New Roman"/>
          <w:color w:val="000000" w:themeColor="text1"/>
          <w:sz w:val="16"/>
          <w:szCs w:val="16"/>
        </w:rPr>
        <w:softHyphen/>
        <w:t>де 12 подводных лодок для Дальнего Востока. Одновременно руководство УВМС, присвоив этим лодкам обозначение "Щука-А", разрабо</w:t>
      </w:r>
      <w:r w:rsidRPr="007122AB">
        <w:rPr>
          <w:rFonts w:ascii="Times New Roman" w:hAnsi="Times New Roman"/>
          <w:color w:val="000000" w:themeColor="text1"/>
          <w:sz w:val="16"/>
          <w:szCs w:val="16"/>
        </w:rPr>
        <w:softHyphen/>
        <w:t>тало задание на улучшение проекта. Требова</w:t>
      </w:r>
      <w:r w:rsidRPr="007122AB">
        <w:rPr>
          <w:rFonts w:ascii="Times New Roman" w:hAnsi="Times New Roman"/>
          <w:color w:val="000000" w:themeColor="text1"/>
          <w:sz w:val="16"/>
          <w:szCs w:val="16"/>
        </w:rPr>
        <w:softHyphen/>
        <w:t>ния этого задания сводились к повышению прочности переборок, всемерному облегче</w:t>
      </w:r>
      <w:r w:rsidRPr="007122AB">
        <w:rPr>
          <w:rFonts w:ascii="Times New Roman" w:hAnsi="Times New Roman"/>
          <w:color w:val="000000" w:themeColor="text1"/>
          <w:sz w:val="16"/>
          <w:szCs w:val="16"/>
        </w:rPr>
        <w:softHyphen/>
        <w:t>нию конструкций, в том числе за счет при</w:t>
      </w:r>
      <w:r w:rsidRPr="007122AB">
        <w:rPr>
          <w:rFonts w:ascii="Times New Roman" w:hAnsi="Times New Roman"/>
          <w:color w:val="000000" w:themeColor="text1"/>
          <w:sz w:val="16"/>
          <w:szCs w:val="16"/>
        </w:rPr>
        <w:softHyphen/>
        <w:t>менения электросварки, сокращению време</w:t>
      </w:r>
      <w:r w:rsidRPr="007122AB">
        <w:rPr>
          <w:rFonts w:ascii="Times New Roman" w:hAnsi="Times New Roman"/>
          <w:color w:val="000000" w:themeColor="text1"/>
          <w:sz w:val="16"/>
          <w:szCs w:val="16"/>
        </w:rPr>
        <w:softHyphen/>
        <w:t>ни всплытия и увеличению скорости хода до 14,5—15,0 уз. При этом надводное водоизме</w:t>
      </w:r>
      <w:r w:rsidRPr="007122AB">
        <w:rPr>
          <w:rFonts w:ascii="Times New Roman" w:hAnsi="Times New Roman"/>
          <w:color w:val="000000" w:themeColor="text1"/>
          <w:sz w:val="16"/>
          <w:szCs w:val="16"/>
        </w:rPr>
        <w:softHyphen/>
        <w:t>щение сохранялось в пределах 570 т.</w:t>
      </w:r>
    </w:p>
    <w:p w14:paraId="33890B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Главным исполнителем этого срочного заказа стал Балтий</w:t>
      </w:r>
      <w:r w:rsidRPr="007122AB">
        <w:rPr>
          <w:rFonts w:ascii="Times New Roman" w:hAnsi="Times New Roman"/>
          <w:color w:val="000000" w:themeColor="text1"/>
          <w:sz w:val="16"/>
          <w:szCs w:val="16"/>
        </w:rPr>
        <w:softHyphen/>
        <w:t>ский завод, где в Техбюро № 4 составлялся и общий проект лодок, которые впоследствии были отнесены к V серии типа "Щука". Голо</w:t>
      </w:r>
      <w:r w:rsidRPr="007122AB">
        <w:rPr>
          <w:rFonts w:ascii="Times New Roman" w:hAnsi="Times New Roman"/>
          <w:color w:val="000000" w:themeColor="text1"/>
          <w:sz w:val="16"/>
          <w:szCs w:val="16"/>
        </w:rPr>
        <w:softHyphen/>
        <w:t>вная лодка "Карась" (позднее "Лосось", с 1934 г. Щ-101) была за</w:t>
      </w:r>
      <w:r w:rsidRPr="007122AB">
        <w:rPr>
          <w:rFonts w:ascii="Times New Roman" w:hAnsi="Times New Roman"/>
          <w:color w:val="000000" w:themeColor="text1"/>
          <w:sz w:val="16"/>
          <w:szCs w:val="16"/>
        </w:rPr>
        <w:softHyphen/>
        <w:t>ложена 20 марта 1932 г. Почти одновременно заложили и осталь</w:t>
      </w:r>
      <w:r w:rsidRPr="007122AB">
        <w:rPr>
          <w:rFonts w:ascii="Times New Roman" w:hAnsi="Times New Roman"/>
          <w:color w:val="000000" w:themeColor="text1"/>
          <w:sz w:val="16"/>
          <w:szCs w:val="16"/>
        </w:rPr>
        <w:softHyphen/>
        <w:t>ные одиннадцать — "Лещ" (Щ-102), "Карп" (Щ-103), "Налим" (Щ-104), "Кета" (Щ-105), "Судак" (Щ-106), "Сиг" (Щ-107), "Фо</w:t>
      </w:r>
      <w:r w:rsidRPr="007122AB">
        <w:rPr>
          <w:rFonts w:ascii="Times New Roman" w:hAnsi="Times New Roman"/>
          <w:color w:val="000000" w:themeColor="text1"/>
          <w:sz w:val="16"/>
          <w:szCs w:val="16"/>
        </w:rPr>
        <w:softHyphen/>
        <w:t>рель" (Щ-108), "Сом" (Щ-109), "Язь" (Щ-110), "Карась" (Щ-111) и "Пескарь" (Щ-112). Корпуса лодок "Лещ" и "Карп" собирались на стапелях ленинградского завода им. А. Марти, "Судак", Сиг", "Сом" и "Язь" — на стапелях Северной верфи, остальных — на Балтий</w:t>
      </w:r>
      <w:r w:rsidRPr="007122AB">
        <w:rPr>
          <w:rFonts w:ascii="Times New Roman" w:hAnsi="Times New Roman"/>
          <w:color w:val="000000" w:themeColor="text1"/>
          <w:sz w:val="16"/>
          <w:szCs w:val="16"/>
        </w:rPr>
        <w:softHyphen/>
        <w:t>ском заводе. Последний поставлял другим заводам и все корпус</w:t>
      </w:r>
      <w:r w:rsidRPr="007122AB">
        <w:rPr>
          <w:rFonts w:ascii="Times New Roman" w:hAnsi="Times New Roman"/>
          <w:color w:val="000000" w:themeColor="text1"/>
          <w:sz w:val="16"/>
          <w:szCs w:val="16"/>
        </w:rPr>
        <w:softHyphen/>
        <w:t>ные конструкции.</w:t>
      </w:r>
    </w:p>
    <w:p w14:paraId="2B943C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Секции корпусов, построенные в Ленинграде, грузились на же</w:t>
      </w:r>
      <w:r w:rsidRPr="007122AB">
        <w:rPr>
          <w:rFonts w:ascii="Times New Roman" w:hAnsi="Times New Roman"/>
          <w:color w:val="000000" w:themeColor="text1"/>
          <w:sz w:val="16"/>
          <w:szCs w:val="16"/>
        </w:rPr>
        <w:softHyphen/>
        <w:t xml:space="preserve">лезнодорожные транспортеры и доставлялись на Дальний Восток. Сборка лодок осуществлялась на Дальзаводе во Владивостоке и в </w:t>
      </w:r>
      <w:proofErr w:type="spellStart"/>
      <w:r w:rsidRPr="007122AB">
        <w:rPr>
          <w:rFonts w:ascii="Times New Roman" w:hAnsi="Times New Roman"/>
          <w:color w:val="000000" w:themeColor="text1"/>
          <w:sz w:val="16"/>
          <w:szCs w:val="16"/>
        </w:rPr>
        <w:t>Осиповском</w:t>
      </w:r>
      <w:proofErr w:type="spellEnd"/>
      <w:r w:rsidRPr="007122AB">
        <w:rPr>
          <w:rFonts w:ascii="Times New Roman" w:hAnsi="Times New Roman"/>
          <w:color w:val="000000" w:themeColor="text1"/>
          <w:sz w:val="16"/>
          <w:szCs w:val="16"/>
        </w:rPr>
        <w:t xml:space="preserve"> затоне (Хабаровск). При формировании переборок и цистерн лодок V серии применялась электросварка.</w:t>
      </w:r>
    </w:p>
    <w:p w14:paraId="70E221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Техническим руководителем всей операции был П. Г. </w:t>
      </w:r>
      <w:proofErr w:type="spellStart"/>
      <w:r w:rsidRPr="007122AB">
        <w:rPr>
          <w:rFonts w:ascii="Times New Roman" w:hAnsi="Times New Roman"/>
          <w:color w:val="000000" w:themeColor="text1"/>
          <w:sz w:val="16"/>
          <w:szCs w:val="16"/>
        </w:rPr>
        <w:t>Гойнкис</w:t>
      </w:r>
      <w:proofErr w:type="spellEnd"/>
      <w:r w:rsidRPr="007122AB">
        <w:rPr>
          <w:rFonts w:ascii="Times New Roman" w:hAnsi="Times New Roman"/>
          <w:color w:val="000000" w:themeColor="text1"/>
          <w:sz w:val="16"/>
          <w:szCs w:val="16"/>
        </w:rPr>
        <w:t>, который разработал и сам способ секционной перевозки лодок. Главным строителем серии на Балтийском заводе стал К. Ф. Тер-</w:t>
      </w:r>
      <w:proofErr w:type="spellStart"/>
      <w:r w:rsidRPr="007122AB">
        <w:rPr>
          <w:rFonts w:ascii="Times New Roman" w:hAnsi="Times New Roman"/>
          <w:color w:val="000000" w:themeColor="text1"/>
          <w:sz w:val="16"/>
          <w:szCs w:val="16"/>
        </w:rPr>
        <w:t>лецкий</w:t>
      </w:r>
      <w:proofErr w:type="spellEnd"/>
      <w:r w:rsidRPr="007122AB">
        <w:rPr>
          <w:rFonts w:ascii="Times New Roman" w:hAnsi="Times New Roman"/>
          <w:color w:val="000000" w:themeColor="text1"/>
          <w:sz w:val="16"/>
          <w:szCs w:val="16"/>
        </w:rPr>
        <w:t>, который вскоре после начала отправки транспортеров (лето 1932 г.) выехал на Дальний Восток для руководства сборкой. В Ле</w:t>
      </w:r>
      <w:r w:rsidRPr="007122AB">
        <w:rPr>
          <w:rFonts w:ascii="Times New Roman" w:hAnsi="Times New Roman"/>
          <w:color w:val="000000" w:themeColor="text1"/>
          <w:sz w:val="16"/>
          <w:szCs w:val="16"/>
        </w:rPr>
        <w:softHyphen/>
        <w:t xml:space="preserve">нинграде Терлецкого заменил инженер-механик Г. М. Трусов. Строителем лодок V серии на Дальзаводе </w:t>
      </w:r>
      <w:proofErr w:type="spellStart"/>
      <w:r w:rsidRPr="007122AB">
        <w:rPr>
          <w:rFonts w:ascii="Times New Roman" w:hAnsi="Times New Roman"/>
          <w:color w:val="000000" w:themeColor="text1"/>
          <w:sz w:val="16"/>
          <w:szCs w:val="16"/>
        </w:rPr>
        <w:t>бьш</w:t>
      </w:r>
      <w:proofErr w:type="spellEnd"/>
      <w:r w:rsidRPr="007122AB">
        <w:rPr>
          <w:rFonts w:ascii="Times New Roman" w:hAnsi="Times New Roman"/>
          <w:color w:val="000000" w:themeColor="text1"/>
          <w:sz w:val="16"/>
          <w:szCs w:val="16"/>
        </w:rPr>
        <w:t xml:space="preserve"> также инженер-ко</w:t>
      </w:r>
      <w:r w:rsidRPr="007122AB">
        <w:rPr>
          <w:rFonts w:ascii="Times New Roman" w:hAnsi="Times New Roman"/>
          <w:color w:val="000000" w:themeColor="text1"/>
          <w:sz w:val="16"/>
          <w:szCs w:val="16"/>
        </w:rPr>
        <w:softHyphen/>
        <w:t>раблестроитель С. В. Волынский. Энергия и способности этих лю</w:t>
      </w:r>
      <w:r w:rsidRPr="007122AB">
        <w:rPr>
          <w:rFonts w:ascii="Times New Roman" w:hAnsi="Times New Roman"/>
          <w:color w:val="000000" w:themeColor="text1"/>
          <w:sz w:val="16"/>
          <w:szCs w:val="16"/>
        </w:rPr>
        <w:softHyphen/>
        <w:t>дей сделали возможным выполнение сложной программы (3898).</w:t>
      </w:r>
    </w:p>
    <w:p w14:paraId="2E3819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3933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на заводе им. А. А. Жданова (Северная верфь) были заложены сторожевые корабли "Метель" и "Вьюга" (3898).</w:t>
      </w:r>
    </w:p>
    <w:p w14:paraId="626B4A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278E44" w14:textId="77777777" w:rsidR="00903F28" w:rsidRPr="007122AB" w:rsidRDefault="00903F28" w:rsidP="007122AB">
      <w:pPr>
        <w:pStyle w:val="rtejustify"/>
        <w:spacing w:before="0" w:after="0"/>
        <w:rPr>
          <w:color w:val="000000" w:themeColor="text1"/>
          <w:sz w:val="16"/>
          <w:szCs w:val="16"/>
        </w:rPr>
      </w:pPr>
      <w:r w:rsidRPr="007122AB">
        <w:rPr>
          <w:color w:val="000000" w:themeColor="text1"/>
          <w:sz w:val="16"/>
          <w:szCs w:val="16"/>
        </w:rPr>
        <w:t>В декабре 1931 г. УВМС РККА планировало для срочной постройки 12 лодок для Дальнего Востока. Главным исполнителем этого срочного заказа стал Балтийский завод, где техническое бюро № 4 (позднее ЦКБС</w:t>
      </w:r>
      <w:r w:rsidRPr="007122AB">
        <w:rPr>
          <w:color w:val="000000" w:themeColor="text1"/>
          <w:sz w:val="16"/>
          <w:szCs w:val="16"/>
        </w:rPr>
        <w:noBreakHyphen/>
        <w:t>2) составило общий проект лодок. Головная лодка «Карась» (позднее «Лосось», с 1934 г. — ГЦ</w:t>
      </w:r>
      <w:r w:rsidRPr="007122AB">
        <w:rPr>
          <w:color w:val="000000" w:themeColor="text1"/>
          <w:sz w:val="16"/>
          <w:szCs w:val="16"/>
        </w:rPr>
        <w:noBreakHyphen/>
        <w:t>101) была заложена 20 марта 1932 г.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w:t>
      </w:r>
      <w:proofErr w:type="spellStart"/>
      <w:r w:rsidRPr="007122AB">
        <w:rPr>
          <w:color w:val="000000" w:themeColor="text1"/>
          <w:sz w:val="16"/>
          <w:szCs w:val="16"/>
        </w:rPr>
        <w:t>Осиповском</w:t>
      </w:r>
      <w:proofErr w:type="spellEnd"/>
      <w:r w:rsidRPr="007122AB">
        <w:rPr>
          <w:color w:val="000000" w:themeColor="text1"/>
          <w:sz w:val="16"/>
          <w:szCs w:val="16"/>
        </w:rPr>
        <w:t xml:space="preserve"> затоне» (Хабаровск). Спущенный на воду 25 декабря 1932 г., «Лосось» («Карась») вступил в строй Морских сил Дальнего Востока в сентябре 1933 г. Через год — в сентябре 1934 г. — флотом была принята последняя лодка V серии.</w:t>
      </w:r>
    </w:p>
    <w:p w14:paraId="0D89AAD0" w14:textId="77777777" w:rsidR="00903F28" w:rsidRPr="007122AB" w:rsidRDefault="00903F28" w:rsidP="007122AB">
      <w:pPr>
        <w:pStyle w:val="rtejustify"/>
        <w:spacing w:before="0" w:after="0"/>
        <w:rPr>
          <w:color w:val="000000" w:themeColor="text1"/>
          <w:sz w:val="16"/>
          <w:szCs w:val="16"/>
        </w:rPr>
      </w:pPr>
      <w:r w:rsidRPr="007122AB">
        <w:rPr>
          <w:color w:val="000000" w:themeColor="text1"/>
          <w:sz w:val="16"/>
          <w:szCs w:val="16"/>
        </w:rPr>
        <w:t xml:space="preserve">²* Работа по созданию </w:t>
      </w:r>
      <w:r w:rsidRPr="007122AB">
        <w:rPr>
          <w:rStyle w:val="af0"/>
          <w:bCs/>
          <w:i w:val="0"/>
          <w:color w:val="000000" w:themeColor="text1"/>
          <w:sz w:val="16"/>
          <w:szCs w:val="16"/>
        </w:rPr>
        <w:t>малых подводных лодок («М»)</w:t>
      </w:r>
      <w:r w:rsidRPr="007122AB">
        <w:rPr>
          <w:color w:val="000000" w:themeColor="text1"/>
          <w:sz w:val="16"/>
          <w:szCs w:val="16"/>
        </w:rPr>
        <w:t xml:space="preserve"> для условий Балтийского моря была начата по инициативе Морского управления Штаба РККА в мае 1930 г. Эскизный проект разработало Техбюро № 4 под руководством А. Н. Асафова, и 20 марта он был утвержден в РВС СССР. Постройка лодок, а также составление общего проекта лодки VI серии были возложены на Николаевский завод им. А. Марти. Одновременно строительство шло на заводе им. «61 коммунара». По окончании постройки 28 лодок были частично разгружены, на специальных железнодорожных транспортерах доставлены во Владивосток, спущены на воду и введены в строй. Первые две «Малютки» М</w:t>
      </w:r>
      <w:r w:rsidRPr="007122AB">
        <w:rPr>
          <w:color w:val="000000" w:themeColor="text1"/>
          <w:sz w:val="16"/>
          <w:szCs w:val="16"/>
        </w:rPr>
        <w:noBreakHyphen/>
        <w:t>1 и М</w:t>
      </w:r>
      <w:r w:rsidRPr="007122AB">
        <w:rPr>
          <w:color w:val="000000" w:themeColor="text1"/>
          <w:sz w:val="16"/>
          <w:szCs w:val="16"/>
        </w:rPr>
        <w:noBreakHyphen/>
        <w:t>2 вступили в состав Морских сил Дальнего Востока в конце апреля 1934 г., последняя (М</w:t>
      </w:r>
      <w:r w:rsidRPr="007122AB">
        <w:rPr>
          <w:color w:val="000000" w:themeColor="text1"/>
          <w:sz w:val="16"/>
          <w:szCs w:val="16"/>
        </w:rPr>
        <w:noBreakHyphen/>
        <w:t>28) — в августе 1935 г., М</w:t>
      </w:r>
      <w:r w:rsidRPr="007122AB">
        <w:rPr>
          <w:color w:val="000000" w:themeColor="text1"/>
          <w:sz w:val="16"/>
          <w:szCs w:val="16"/>
        </w:rPr>
        <w:noBreakHyphen/>
        <w:t>51 и М</w:t>
      </w:r>
      <w:r w:rsidRPr="007122AB">
        <w:rPr>
          <w:color w:val="000000" w:themeColor="text1"/>
          <w:sz w:val="16"/>
          <w:szCs w:val="16"/>
        </w:rPr>
        <w:noBreakHyphen/>
        <w:t>52 — в сентябре 1934 г. пополнили Морские силы Черного моря. Испытания первых «Малюток» VI серии выявили серьезные конструктивные недостатки, но, несмотря на недостатки проекта, в августе 1933 г. было принято решение о продолжении постройки «Малюток» по улучшенному варианту, получившему название М1</w:t>
      </w:r>
      <w:r w:rsidRPr="007122AB">
        <w:rPr>
          <w:color w:val="000000" w:themeColor="text1"/>
          <w:sz w:val="16"/>
          <w:szCs w:val="16"/>
        </w:rPr>
        <w:noBreakHyphen/>
        <w:t>бис серия. Эти лодки, строившиеся уже после смерти Асафова в марте 1934 — октябре 1936 г., стали первыми подводными кораблями отечественного флота с цельносварными прочными корпусами. Всего в этой серии было построено 10 лодок (15280).</w:t>
      </w:r>
    </w:p>
    <w:p w14:paraId="756A9473" w14:textId="77777777" w:rsidR="00903F28" w:rsidRPr="007122AB" w:rsidRDefault="00903F28" w:rsidP="007122AB">
      <w:pPr>
        <w:pStyle w:val="rtejustify"/>
        <w:spacing w:before="0" w:after="0"/>
        <w:rPr>
          <w:color w:val="000000" w:themeColor="text1"/>
          <w:sz w:val="16"/>
          <w:szCs w:val="16"/>
        </w:rPr>
      </w:pPr>
    </w:p>
    <w:p w14:paraId="14CDE4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9B1E23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18980E8" w14:textId="77777777" w:rsidR="009F0798" w:rsidRPr="007122AB" w:rsidRDefault="009F079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П.И. Баранов писал: «Морская авиация по ее вооружению и боевой подготовке стоит ниже авиации сухопутной... Необходимо считать, что только эскадрильи дальней разведки имеют современное вооружение (самолеты «Дорнье–Валь»)»( РГВА. Ф. 29. Оп. 76. Д. 2511. Переписка с итальянскими торговыми фирмами о закупке самолетов СИАИ и моторов АССО. 7.1.31-31.12.31. Л. 27.) (21410).</w:t>
      </w:r>
    </w:p>
    <w:p w14:paraId="7323339F" w14:textId="77777777" w:rsidR="009F0798" w:rsidRPr="007122AB" w:rsidRDefault="009F0798" w:rsidP="007122AB">
      <w:pPr>
        <w:spacing w:after="0" w:line="240" w:lineRule="auto"/>
        <w:jc w:val="both"/>
        <w:rPr>
          <w:rFonts w:ascii="Times New Roman" w:hAnsi="Times New Roman"/>
          <w:color w:val="000000" w:themeColor="text1"/>
          <w:sz w:val="16"/>
          <w:szCs w:val="16"/>
        </w:rPr>
      </w:pPr>
    </w:p>
    <w:p w14:paraId="78414E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 С начала года начали формироваться тяжелобомбардировочные бригады.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№22 (7668).</w:t>
      </w:r>
    </w:p>
    <w:p w14:paraId="7C6C4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9F1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И уже с начала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(12024).</w:t>
      </w:r>
    </w:p>
    <w:p w14:paraId="2FED56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2DCD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И уже с начала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(12036).</w:t>
      </w:r>
    </w:p>
    <w:p w14:paraId="5B39E8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89381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463A52C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68676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Декабрь 1931 г. Первые опытные передачи механического ТВ по телефонному кабелю в Москве в 1-й </w:t>
      </w:r>
      <w:proofErr w:type="spellStart"/>
      <w:r w:rsidRPr="007122AB">
        <w:rPr>
          <w:rFonts w:ascii="Times New Roman" w:hAnsi="Times New Roman"/>
          <w:color w:val="000000" w:themeColor="text1"/>
          <w:sz w:val="16"/>
          <w:szCs w:val="16"/>
        </w:rPr>
        <w:t>Союзкинотеатр</w:t>
      </w:r>
      <w:proofErr w:type="spellEnd"/>
      <w:r w:rsidRPr="007122AB">
        <w:rPr>
          <w:rFonts w:ascii="Times New Roman" w:hAnsi="Times New Roman"/>
          <w:color w:val="000000" w:themeColor="text1"/>
          <w:sz w:val="16"/>
          <w:szCs w:val="16"/>
        </w:rPr>
        <w:t>, Дом печати, Электрозавод и др. Передачи из МРТУ (11482).</w:t>
      </w:r>
    </w:p>
    <w:p w14:paraId="2F7D27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5C79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499BAB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406A35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3DB678E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C485C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в беседе с советским военным атташе Бенедиктовым министр двора Ирана сказал: "Ваш самолет нам нравится и мы думаем его купить, но мы должны еще посоветоваться...".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w:t>
      </w:r>
      <w:proofErr w:type="spellStart"/>
      <w:r w:rsidRPr="007122AB">
        <w:rPr>
          <w:rFonts w:ascii="Times New Roman" w:hAnsi="Times New Roman"/>
          <w:color w:val="000000" w:themeColor="text1"/>
          <w:sz w:val="16"/>
          <w:szCs w:val="16"/>
        </w:rPr>
        <w:t>поликарповских</w:t>
      </w:r>
      <w:proofErr w:type="spellEnd"/>
      <w:r w:rsidRPr="007122AB">
        <w:rPr>
          <w:rFonts w:ascii="Times New Roman" w:hAnsi="Times New Roman"/>
          <w:color w:val="000000" w:themeColor="text1"/>
          <w:sz w:val="16"/>
          <w:szCs w:val="16"/>
        </w:rPr>
        <w:t xml:space="preserve"> бипланов на месте отклонили.</w:t>
      </w:r>
    </w:p>
    <w:p w14:paraId="1F070D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6C8B14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Первый самолет доставили в Иран по воздуху. На нем иранский летчик А. </w:t>
      </w:r>
      <w:proofErr w:type="spellStart"/>
      <w:r w:rsidRPr="007122AB">
        <w:rPr>
          <w:rFonts w:ascii="Times New Roman" w:hAnsi="Times New Roman"/>
          <w:color w:val="000000" w:themeColor="text1"/>
          <w:sz w:val="16"/>
          <w:szCs w:val="16"/>
        </w:rPr>
        <w:t>Макуи</w:t>
      </w:r>
      <w:proofErr w:type="spellEnd"/>
      <w:r w:rsidRPr="007122AB">
        <w:rPr>
          <w:rFonts w:ascii="Times New Roman" w:hAnsi="Times New Roman"/>
          <w:color w:val="000000" w:themeColor="text1"/>
          <w:sz w:val="16"/>
          <w:szCs w:val="16"/>
        </w:rPr>
        <w:t>,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2E9174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1D3181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53CFC7" w14:textId="77777777" w:rsidR="002C06C5" w:rsidRPr="007122AB" w:rsidRDefault="002C06C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декабре 1931 г. в беседе с А.И. Бенедиктовым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w:t>
      </w:r>
      <w:proofErr w:type="spellStart"/>
      <w:r w:rsidRPr="007122AB">
        <w:rPr>
          <w:rFonts w:ascii="Times New Roman" w:hAnsi="Times New Roman"/>
          <w:color w:val="000000" w:themeColor="text1"/>
          <w:sz w:val="16"/>
          <w:szCs w:val="16"/>
        </w:rPr>
        <w:t>Макуи</w:t>
      </w:r>
      <w:proofErr w:type="spellEnd"/>
      <w:r w:rsidRPr="007122AB">
        <w:rPr>
          <w:rFonts w:ascii="Times New Roman" w:hAnsi="Times New Roman"/>
          <w:color w:val="000000" w:themeColor="text1"/>
          <w:sz w:val="16"/>
          <w:szCs w:val="16"/>
        </w:rPr>
        <w:t>,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1D56C01D" w14:textId="77777777" w:rsidR="002C06C5" w:rsidRPr="007122AB" w:rsidRDefault="002C06C5" w:rsidP="007122AB">
      <w:pPr>
        <w:spacing w:after="0" w:line="240" w:lineRule="auto"/>
        <w:jc w:val="both"/>
        <w:rPr>
          <w:rFonts w:ascii="Times New Roman" w:hAnsi="Times New Roman"/>
          <w:color w:val="000000" w:themeColor="text1"/>
          <w:sz w:val="16"/>
          <w:szCs w:val="16"/>
        </w:rPr>
      </w:pPr>
    </w:p>
    <w:p w14:paraId="2414E291"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504499D5"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2CE73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декабре 1931 - январе 1932 в Китае в результате японского вторжения и отречения Чан Кай-ши был подъем антиимпериалистического движения (3878,3).</w:t>
      </w:r>
    </w:p>
    <w:p w14:paraId="752ADC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614C4B"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7B89292"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DB9C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Сделали два ТШ-2 и испытали в конце 1931 (92,419).</w:t>
      </w:r>
    </w:p>
    <w:p w14:paraId="6A1AE2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473F3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был готов ТШ-2 - модификация ТШ-1 (437,130).</w:t>
      </w:r>
    </w:p>
    <w:p w14:paraId="0F3F3F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747A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 серийные ТБ-1а на поплавках типа "Ж" (по типу английских) уже поступили в строевые части (в том числе в 62-ю </w:t>
      </w:r>
      <w:proofErr w:type="spellStart"/>
      <w:r w:rsidRPr="007122AB">
        <w:rPr>
          <w:rFonts w:ascii="Times New Roman" w:hAnsi="Times New Roman"/>
          <w:color w:val="000000" w:themeColor="text1"/>
          <w:sz w:val="16"/>
          <w:szCs w:val="16"/>
        </w:rPr>
        <w:t>аэ</w:t>
      </w:r>
      <w:proofErr w:type="spellEnd"/>
      <w:r w:rsidRPr="007122AB">
        <w:rPr>
          <w:rFonts w:ascii="Times New Roman" w:hAnsi="Times New Roman"/>
          <w:color w:val="000000" w:themeColor="text1"/>
          <w:sz w:val="16"/>
          <w:szCs w:val="16"/>
        </w:rPr>
        <w:t>). ТБ-1а, как и "юнкере", мог нести мину МАВ-1 и торпеду ТАН-12. Но в отличие от немецкой машины на нем предусматривалась подвеска высотной торпеды TAB-15 (из-за длинной парашютной коробки она не умещалась под ЮГ-1), а максимальный калибр бомб у отечественного самолета доходил до 500 кг (у ЮГ-1 - 82 кг) (3224,15).</w:t>
      </w:r>
    </w:p>
    <w:p w14:paraId="779EA2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536864"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конце 1931 года ТШ-2 Н.Н.П и </w:t>
      </w:r>
      <w:proofErr w:type="spellStart"/>
      <w:r w:rsidRPr="00441F34">
        <w:rPr>
          <w:rFonts w:ascii="Times New Roman" w:hAnsi="Times New Roman"/>
          <w:color w:val="0070C0"/>
          <w:sz w:val="16"/>
          <w:szCs w:val="16"/>
        </w:rPr>
        <w:t>С.А.Крчеригина</w:t>
      </w:r>
      <w:proofErr w:type="spellEnd"/>
      <w:r w:rsidRPr="00441F34">
        <w:rPr>
          <w:rFonts w:ascii="Times New Roman" w:hAnsi="Times New Roman"/>
          <w:color w:val="0070C0"/>
          <w:sz w:val="16"/>
          <w:szCs w:val="16"/>
        </w:rPr>
        <w:t xml:space="preserve"> результате доработок с учетом пожеланий военных самолет, получивший название ТШ-2, прошел испытания на подмосковном аэродроме. Это был биплан с усиленным бронированием. Носовая часть представляла собой </w:t>
      </w:r>
      <w:proofErr w:type="spellStart"/>
      <w:r w:rsidRPr="00441F34">
        <w:rPr>
          <w:rFonts w:ascii="Times New Roman" w:hAnsi="Times New Roman"/>
          <w:color w:val="0070C0"/>
          <w:sz w:val="16"/>
          <w:szCs w:val="16"/>
        </w:rPr>
        <w:t>бронекоробку</w:t>
      </w:r>
      <w:proofErr w:type="spellEnd"/>
      <w:r w:rsidRPr="00441F34">
        <w:rPr>
          <w:rFonts w:ascii="Times New Roman" w:hAnsi="Times New Roman"/>
          <w:color w:val="0070C0"/>
          <w:sz w:val="16"/>
          <w:szCs w:val="16"/>
        </w:rPr>
        <w:t>, в которой разместили двигатель водяного охлаждения М-17, бензобаки, кабины летчика и стрелка. Вооружение составляли несколько пулеметов.</w:t>
      </w:r>
    </w:p>
    <w:p w14:paraId="50D8A1D7"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«Я… был свидетелем постройки одного из первых тяжелых штурмовиков, – вспоминал впоследствии летчик-испытатель И. И. Шелест. – Это было в тридцать первом году… Большой биплан с серым граненым носом: броневые листы угловато прикрывали мотор, пилотскую кабину. Страшновато было смотреть, как он поднимался. Не зря его звали «ТШ» – «Тяжелый штурмовик».</w:t>
      </w:r>
    </w:p>
    <w:p w14:paraId="21C582F5"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Действительно, скорость самолета у земли не превышала 215 км/час.</w:t>
      </w:r>
    </w:p>
    <w:p w14:paraId="313DC047"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ходе испытаний ТШ-2 выявилась уязвимость самолета при его возможном боевом применении. Хорошему обзору вперед и вниз мешал капот мотора, вверх – верхнее крыло, в стороны – боковины брони у козырька. У летчика-наблюдателя (штурмана) обзор также был плохой.</w:t>
      </w:r>
    </w:p>
    <w:p w14:paraId="29064461"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Несмотря на замечания военных летчиков, самолет был запущен в серию на заводе № 16. В 1932 году предстояло собрать 70 штурмовиков для производства полномасштабных войсковых испытаний. Испытания эталона для серии затянулись, поскольку возникли проблемы с охлаждением мотора, и постройку серии для войсковых испытаний ограничили десятью машинами. На госиспытаниях был отмечен тот же «букет» недостатков, и военные окончательно отказались от самолетов. В конце 1932 года работа на стапелях завода № 16 замерла.</w:t>
      </w:r>
    </w:p>
    <w:p w14:paraId="7079F5E2"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Производство ТШ-2 с мотором М-17 прекратили на первых десяти экземплярах[33]. Сведений об использовании и дальнейшей судьбе крылатых машин источники не содержат (24153).</w:t>
      </w:r>
    </w:p>
    <w:p w14:paraId="11DAC53B" w14:textId="77777777" w:rsidR="00CA22D8" w:rsidRPr="00441F34" w:rsidRDefault="00CA22D8" w:rsidP="00CA22D8">
      <w:pPr>
        <w:spacing w:after="0" w:line="240" w:lineRule="auto"/>
        <w:jc w:val="both"/>
        <w:rPr>
          <w:rFonts w:ascii="Times New Roman" w:hAnsi="Times New Roman"/>
          <w:color w:val="0070C0"/>
          <w:sz w:val="16"/>
          <w:szCs w:val="16"/>
        </w:rPr>
      </w:pPr>
    </w:p>
    <w:p w14:paraId="3D2312E6"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1931 года правительственная комиссия под руководством В. В. Куйбышева утвердила темпы развития мощностей авиационных предприятий страны по годам, при этом «завод № 16 должен быть перепроектирован под мощность в 1600 легких (самолетов) типа ЛБШ и 200 тяжелых типа ТШ-2 – ТШ-3». С учетом этого обстоятельства разработали новый проект реконструкции, воплощавшийся не без трудностей. Об этом с подкупающей ныне откровенностью сообщала читателям заводская газета:</w:t>
      </w:r>
    </w:p>
    <w:p w14:paraId="0598D5DA"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«План строительства должен быть выполнен. Для решения этой задачи администрация, общественно-партийные организации постройки № 16 должны мобилизовать все силы.</w:t>
      </w:r>
    </w:p>
    <w:p w14:paraId="5350CCEF"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Всякие ссылки на планы, материалы, нехватки рабочей силы и подобные причины надо прекратить. Уже давно пора уточнить процент осуществления </w:t>
      </w:r>
      <w:proofErr w:type="spellStart"/>
      <w:r w:rsidRPr="00441F34">
        <w:rPr>
          <w:rFonts w:ascii="Times New Roman" w:hAnsi="Times New Roman"/>
          <w:color w:val="0070C0"/>
          <w:sz w:val="16"/>
          <w:szCs w:val="16"/>
        </w:rPr>
        <w:t>стройфинплана</w:t>
      </w:r>
      <w:proofErr w:type="spellEnd"/>
      <w:r w:rsidRPr="00441F34">
        <w:rPr>
          <w:rFonts w:ascii="Times New Roman" w:hAnsi="Times New Roman"/>
          <w:color w:val="0070C0"/>
          <w:sz w:val="16"/>
          <w:szCs w:val="16"/>
        </w:rPr>
        <w:t xml:space="preserve"> с заказчиком, так как имеющиеся разногласия тормозят дело.</w:t>
      </w:r>
    </w:p>
    <w:p w14:paraId="5DD2C444"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1 августа по сведению начальника работ </w:t>
      </w:r>
      <w:proofErr w:type="spellStart"/>
      <w:r w:rsidRPr="00441F34">
        <w:rPr>
          <w:rFonts w:ascii="Times New Roman" w:hAnsi="Times New Roman"/>
          <w:color w:val="0070C0"/>
          <w:sz w:val="16"/>
          <w:szCs w:val="16"/>
        </w:rPr>
        <w:t>стройфинплан</w:t>
      </w:r>
      <w:proofErr w:type="spellEnd"/>
      <w:r w:rsidRPr="00441F34">
        <w:rPr>
          <w:rFonts w:ascii="Times New Roman" w:hAnsi="Times New Roman"/>
          <w:color w:val="0070C0"/>
          <w:sz w:val="16"/>
          <w:szCs w:val="16"/>
        </w:rPr>
        <w:t xml:space="preserve"> выполнен на 22 проц., а по указаниям заказчика – на 19 проц. Ни у того, ни у другого нет точных данных. Однако общее состояние завода явно неудовлетворительно. Стройка затрудняется отсутствием чертежей, недостатком пиломатериалов и других принадлежностей: болтов, шайб и т. д.</w:t>
      </w:r>
    </w:p>
    <w:p w14:paraId="79C03D91"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При серьезном отношении инженерно-технического персонала, партийно-комсомольской массы и рабочего актива можно ускорить срок и увеличить процент реализации </w:t>
      </w:r>
      <w:proofErr w:type="spellStart"/>
      <w:r w:rsidRPr="00441F34">
        <w:rPr>
          <w:rFonts w:ascii="Times New Roman" w:hAnsi="Times New Roman"/>
          <w:color w:val="0070C0"/>
          <w:sz w:val="16"/>
          <w:szCs w:val="16"/>
        </w:rPr>
        <w:t>стройфинплана</w:t>
      </w:r>
      <w:proofErr w:type="spellEnd"/>
      <w:r w:rsidRPr="00441F34">
        <w:rPr>
          <w:rFonts w:ascii="Times New Roman" w:hAnsi="Times New Roman"/>
          <w:color w:val="0070C0"/>
          <w:sz w:val="16"/>
          <w:szCs w:val="16"/>
        </w:rPr>
        <w:t>. Соцсоревнование и ударничество развернуто недостаточно. Не связаны договором ведущие профессии: каменщики и плотники.</w:t>
      </w:r>
    </w:p>
    <w:p w14:paraId="5F06CDD9" w14:textId="77777777" w:rsidR="00CA22D8" w:rsidRPr="00441F34" w:rsidRDefault="00CA22D8" w:rsidP="00CA22D8">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Партколлектив</w:t>
      </w:r>
      <w:proofErr w:type="spellEnd"/>
      <w:r w:rsidRPr="00441F34">
        <w:rPr>
          <w:rFonts w:ascii="Times New Roman" w:hAnsi="Times New Roman"/>
          <w:color w:val="0070C0"/>
          <w:sz w:val="16"/>
          <w:szCs w:val="16"/>
        </w:rPr>
        <w:t xml:space="preserve"> и постройком должны в ближайший день провести эту работу.</w:t>
      </w:r>
    </w:p>
    <w:p w14:paraId="2313E682"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Обязанность </w:t>
      </w:r>
      <w:proofErr w:type="spellStart"/>
      <w:r w:rsidRPr="00441F34">
        <w:rPr>
          <w:rFonts w:ascii="Times New Roman" w:hAnsi="Times New Roman"/>
          <w:color w:val="0070C0"/>
          <w:sz w:val="16"/>
          <w:szCs w:val="16"/>
        </w:rPr>
        <w:t>адмтехперсонала</w:t>
      </w:r>
      <w:proofErr w:type="spellEnd"/>
      <w:r w:rsidRPr="00441F34">
        <w:rPr>
          <w:rFonts w:ascii="Times New Roman" w:hAnsi="Times New Roman"/>
          <w:color w:val="0070C0"/>
          <w:sz w:val="16"/>
          <w:szCs w:val="16"/>
        </w:rPr>
        <w:t xml:space="preserve"> – заставить по-боевому справляться не только себя, но и низовые звенья.</w:t>
      </w:r>
    </w:p>
    <w:p w14:paraId="4D7ED98D"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Надо спешить. Нельзя барак № 1 засыпать целые 2 недели, нельзя начинать каменную кладку без бута и трепела для промзоны и теплых растворов на мастерские. Болты для фермы засыпаются слишком долго.</w:t>
      </w:r>
    </w:p>
    <w:p w14:paraId="166CC546"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Учтя все недостатки производства, мы пообещаемся в последующее время наладить руководство и исполнение так, чтобы до наступления холодов каменная кладка и железобетон были закончены, а также деревянные оборудования помещений. Темпы нам помогут»[21]. (24153).</w:t>
      </w:r>
    </w:p>
    <w:p w14:paraId="65D8DA1B" w14:textId="77777777" w:rsidR="00CA22D8" w:rsidRPr="00441F34" w:rsidRDefault="00CA22D8" w:rsidP="00CA22D8">
      <w:pPr>
        <w:spacing w:after="0" w:line="240" w:lineRule="auto"/>
        <w:jc w:val="both"/>
        <w:rPr>
          <w:rFonts w:ascii="Times New Roman" w:hAnsi="Times New Roman"/>
          <w:color w:val="0070C0"/>
          <w:sz w:val="16"/>
          <w:szCs w:val="16"/>
        </w:rPr>
      </w:pPr>
    </w:p>
    <w:p w14:paraId="1BC77F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 заводу № 22 удалось выпустить две серии Р-6, пять и десять самолетов соответственно. Но ВВС приняли большую часть из них только весной следующего года после устранения дефектов и доукомплектования. При этом и прошедшие приемку машины не совсем соответствовали техническим условиям ВВС. На них не было фотоаппаратов, радиостанций, кислородных приборов. Пустой вес машин значительно превышал лимиты, военные наивно рассчитывали уложиться в прибавку в 1,5% к весу опытного образца. На 1 февраля 1932 г. в ВВС числились всего четыре Р-6 - два в ЦАГИ и два в НИИ ВВС. </w:t>
      </w:r>
    </w:p>
    <w:p w14:paraId="4F766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w:t>
      </w:r>
      <w:proofErr w:type="spellStart"/>
      <w:r w:rsidRPr="007122AB">
        <w:rPr>
          <w:rFonts w:ascii="Times New Roman" w:hAnsi="Times New Roman"/>
          <w:color w:val="000000" w:themeColor="text1"/>
          <w:sz w:val="16"/>
          <w:szCs w:val="16"/>
        </w:rPr>
        <w:t>пневмопуски</w:t>
      </w:r>
      <w:proofErr w:type="spellEnd"/>
      <w:r w:rsidRPr="007122AB">
        <w:rPr>
          <w:rFonts w:ascii="Times New Roman" w:hAnsi="Times New Roman"/>
          <w:color w:val="000000" w:themeColor="text1"/>
          <w:sz w:val="16"/>
          <w:szCs w:val="16"/>
        </w:rPr>
        <w:t xml:space="preserve">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0B79EF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5FF28F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778A3C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0D35E8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68337E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8771B3"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г. заводу № 22 удалось выпустить две серии Р-6, из пяти и десяти машин (вместо 50 по плану). Но ВВС приняли большую часть из них только весной 1932 г. после устранения дефектов и доукомплектования, хотя и принятые не вполне соответствовали утверждённым ВВС техусловиям. На них отсутствовали фотоаппараты, радиостанции, кислородные приборы. Пустой вес значительно превышал лимиты (в техусловия наивно заложили запас всего в 1,5% к весу опытного образца).</w:t>
      </w:r>
    </w:p>
    <w:p w14:paraId="5921AB08"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Отписываясь за недовыполнение плана, руководство ВАО сообщало, что причинами являлись «пуск в производство недоработанной конструкции и выявившиеся в процессе испытания головного самолёта дефекты, требующие переделок». Строго говоря, это соответствовало истине.</w:t>
      </w:r>
    </w:p>
    <w:p w14:paraId="7BAB24EC"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 темпы выпуска новых машин увеличились. Завод № 22 сдавал по четыре-пять самолётов в месяц, в мае даже перевыполнил план. Но предприятие было сильно перегружено заказами на бомбардировщики, которым отдавался приоритет. К выпуску Р-6 решили подключить таганрогский завод № 31, сравнительно маломощное предприятие, ранее строившее только деревянные самолёты. В марте 1932 г. там начали первые работы по освоению «крейсера». В августе в Таганрог в качестве образца доставили самолёт № 2201. Производство в Москве постепенно начали сворачивать. За всё второе полугодие сдали меньше десятка машин, к концу года поставили точку на 30-м экземпляре. Таким образом, завод № 22 изготовил 45 Р-6.</w:t>
      </w:r>
    </w:p>
    <w:p w14:paraId="6FB47BD3"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Серийный Р-6 стоил 253 тыс. рублей. Сейчас эта цифра кажется смехотворной, но тогда это были большие деньги. Истребители того времени обходились в 35 - 50 тыс. рублей, лёгкий бомбардировщик Р-5 - 36 тыс., тяжёлый четырёхмоторный ТБ-3 - 450 тыс.</w:t>
      </w:r>
    </w:p>
    <w:p w14:paraId="79FF44DC"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Узлы пяти машин 6-й серии из Москвы отгрузили в Таганрог. Передача производства из одного города в другой сильно затормозила выпуск Р-6 и привела к срыву планов. В 1932 г. завод № 31 смог сдать всего один самолёт.</w:t>
      </w:r>
    </w:p>
    <w:p w14:paraId="5101ABD3"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Серийные машины страдали вибрациями на малых скоростях. Они проявлялись на планировании, разворотах и спиралях. Тряслись оперение и хвостовая часть фюзеляжа. С уменьшением скорости вибрации усиливались. Боролись с этим сравнительно просто - давали полный газ и переходили на снижение с набором скорости. Причиной этого явления, бафтинга, было то, что при некоторых углах атаки оперение попадало в зону вихреобразования за задней кромкой крыла. Проведённое ранее смещение задней кромки вверх несколько улучшило ситуацию, но не разрешило проблему полностью (12264).</w:t>
      </w:r>
    </w:p>
    <w:p w14:paraId="482999E4" w14:textId="77777777" w:rsidR="005E1AD5" w:rsidRPr="007122AB" w:rsidRDefault="005E1AD5" w:rsidP="007122AB">
      <w:pPr>
        <w:spacing w:after="0" w:line="240" w:lineRule="auto"/>
        <w:jc w:val="both"/>
        <w:rPr>
          <w:rFonts w:ascii="Times New Roman" w:hAnsi="Times New Roman"/>
          <w:color w:val="000000" w:themeColor="text1"/>
          <w:sz w:val="16"/>
          <w:szCs w:val="16"/>
        </w:rPr>
      </w:pPr>
    </w:p>
    <w:p w14:paraId="7F018A4E" w14:textId="77777777" w:rsidR="005E1AD5" w:rsidRPr="007122AB" w:rsidRDefault="005E1A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построенные 2-й и 3-й экземпляры И-6 передали в строевые части. Согласно сводной ведомости наличия самолетов-</w:t>
      </w:r>
      <w:proofErr w:type="spellStart"/>
      <w:r w:rsidRPr="007122AB">
        <w:rPr>
          <w:rFonts w:ascii="Times New Roman" w:hAnsi="Times New Roman"/>
          <w:color w:val="000000" w:themeColor="text1"/>
          <w:sz w:val="16"/>
          <w:szCs w:val="16"/>
        </w:rPr>
        <w:t>ис</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требителей</w:t>
      </w:r>
      <w:proofErr w:type="spellEnd"/>
      <w:r w:rsidRPr="007122AB">
        <w:rPr>
          <w:rFonts w:ascii="Times New Roman" w:hAnsi="Times New Roman"/>
          <w:color w:val="000000" w:themeColor="text1"/>
          <w:sz w:val="16"/>
          <w:szCs w:val="16"/>
        </w:rPr>
        <w:t xml:space="preserve"> по состоянию на 1 января 1932 г. в ВВС РККА числились два И-6 (один неи</w:t>
      </w:r>
      <w:r w:rsidRPr="007122AB">
        <w:rPr>
          <w:rFonts w:ascii="Times New Roman" w:hAnsi="Times New Roman"/>
          <w:color w:val="000000" w:themeColor="text1"/>
          <w:sz w:val="16"/>
          <w:szCs w:val="16"/>
        </w:rPr>
        <w:softHyphen/>
        <w:t>справный). 1 января 1933 г. в строю оставал</w:t>
      </w:r>
      <w:r w:rsidRPr="007122AB">
        <w:rPr>
          <w:rFonts w:ascii="Times New Roman" w:hAnsi="Times New Roman"/>
          <w:color w:val="000000" w:themeColor="text1"/>
          <w:sz w:val="16"/>
          <w:szCs w:val="16"/>
        </w:rPr>
        <w:softHyphen/>
        <w:t>ся один И-6 (12295).</w:t>
      </w:r>
    </w:p>
    <w:p w14:paraId="7923C14D" w14:textId="77777777" w:rsidR="005E1AD5" w:rsidRPr="007122AB" w:rsidRDefault="005E1AD5" w:rsidP="007122AB">
      <w:pPr>
        <w:pStyle w:val="49"/>
        <w:shd w:val="clear" w:color="auto" w:fill="auto"/>
        <w:spacing w:before="0" w:line="240" w:lineRule="auto"/>
        <w:jc w:val="both"/>
        <w:rPr>
          <w:rFonts w:ascii="Times New Roman" w:hAnsi="Times New Roman"/>
          <w:color w:val="000000" w:themeColor="text1"/>
          <w:spacing w:val="0"/>
          <w:sz w:val="16"/>
          <w:szCs w:val="16"/>
        </w:rPr>
      </w:pPr>
    </w:p>
    <w:p w14:paraId="6BBBA7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 Ришар уехал домой (92,379).</w:t>
      </w:r>
    </w:p>
    <w:p w14:paraId="191A7A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6B71B5"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конце 1931 г. контракт начальника ОПО-4 ЦКБ гражданина Франции Ришара закончился, он уехал, прибывшие вместе с ним </w:t>
      </w:r>
      <w:proofErr w:type="spellStart"/>
      <w:r w:rsidRPr="00441F34">
        <w:rPr>
          <w:rFonts w:ascii="Times New Roman" w:hAnsi="Times New Roman"/>
          <w:color w:val="0070C0"/>
          <w:sz w:val="16"/>
          <w:szCs w:val="16"/>
        </w:rPr>
        <w:t>Оже</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Лявиль</w:t>
      </w:r>
      <w:proofErr w:type="spellEnd"/>
      <w:r w:rsidRPr="00441F34">
        <w:rPr>
          <w:rFonts w:ascii="Times New Roman" w:hAnsi="Times New Roman"/>
          <w:color w:val="0070C0"/>
          <w:sz w:val="16"/>
          <w:szCs w:val="16"/>
        </w:rPr>
        <w:t xml:space="preserve"> остались и в 1931 г. переведены на Завод опытных конструкций (ЗОК ЦАГИ) и их группу переименовали в БНК (Бюро новых конструкций). Однако к тому времени ЗОК еще не вошел в строй, а руководство АГОС ЦАГИ и лично Туполев в сотрудничестве с БНК заинтересованы не были. Хотя БНК и относился к ЦАГИ, дальнейшая его работа строилась по планам ЦКБ на том основании, что в то время ЦКБ и ЦАГИ формально еще оставались единой организацией.</w:t>
      </w:r>
    </w:p>
    <w:p w14:paraId="66F607F1"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Слабым местом ЦКБ-39 оставалось морское самолетостроение. В определенной мере причиной тому было предпочтение тяжелым цельнометаллическим самолетам разработки ЦАГИ на поплавковом шасси и лодочного типа. Однако была необходимость и в гидропланах малой и даже сверхмалой размерности. В 1931 г. сотрудник ОМОС ЦКБ-39 И.В. Четвериков с учетом зарубежного опыта предложил проект сверхмалого гидросамолета СПЛ для базирования на подлодках. Но вскоре появилось сообщение об аварии оснащенной ангаром для самолета английской ПЛ М-2, после которого заказчик (Авиация ВМФ) перестал поддерживать этот проект. Тогда Четвериков стал продвигать идею использования малых гидропланов на судах, в т.ч. в Арктике на Северном морском пути (СМП) как ледовых разведчиков, в научных целях и для экстренной связи. Проект СПЛ был переделан и стал именоваться ОСГА-101 (23559).</w:t>
      </w:r>
    </w:p>
    <w:p w14:paraId="079B8491" w14:textId="77777777" w:rsidR="00CA22D8" w:rsidRPr="00441F34" w:rsidRDefault="00CA22D8" w:rsidP="00CA22D8">
      <w:pPr>
        <w:spacing w:after="0" w:line="240" w:lineRule="auto"/>
        <w:jc w:val="both"/>
        <w:rPr>
          <w:rFonts w:ascii="Times New Roman" w:hAnsi="Times New Roman"/>
          <w:color w:val="0070C0"/>
          <w:sz w:val="16"/>
          <w:szCs w:val="16"/>
        </w:rPr>
      </w:pPr>
    </w:p>
    <w:p w14:paraId="27D363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конца 1931 КБ А.Н.Т. в составе ЦКБ ЦАГИ фактически приостановило работы по И-13 (АНТ-32) из-за занятости И-14 и неготовности двигателя М-32 (2233,41).</w:t>
      </w:r>
    </w:p>
    <w:p w14:paraId="739CD2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42AB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от изготовления 4-го экземпляра И-6 отказались, а построенные 2-й и 3-й экземпляры передали в строевые части (10729).</w:t>
      </w:r>
    </w:p>
    <w:p w14:paraId="32C37EC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266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w:t>
      </w:r>
      <w:proofErr w:type="spellStart"/>
      <w:r w:rsidRPr="007122AB">
        <w:rPr>
          <w:rFonts w:ascii="Times New Roman" w:hAnsi="Times New Roman"/>
          <w:color w:val="000000" w:themeColor="text1"/>
          <w:sz w:val="16"/>
          <w:szCs w:val="16"/>
        </w:rPr>
        <w:t>А.Москалев</w:t>
      </w:r>
      <w:proofErr w:type="spellEnd"/>
      <w:r w:rsidRPr="007122AB">
        <w:rPr>
          <w:rFonts w:ascii="Times New Roman" w:hAnsi="Times New Roman"/>
          <w:color w:val="000000" w:themeColor="text1"/>
          <w:sz w:val="16"/>
          <w:szCs w:val="16"/>
        </w:rPr>
        <w:t xml:space="preserve"> прибыл на строящийся 18 завод в качестве зам. начальника СКО. Готовились к серии ТБ-3 и чтобы чем-то занять и воодушевить рабочих с учетом опыта проектирования М-3 и аэробуса </w:t>
      </w:r>
      <w:proofErr w:type="spellStart"/>
      <w:r w:rsidRPr="007122AB">
        <w:rPr>
          <w:rFonts w:ascii="Times New Roman" w:hAnsi="Times New Roman"/>
          <w:color w:val="000000" w:themeColor="text1"/>
          <w:sz w:val="16"/>
          <w:szCs w:val="16"/>
        </w:rPr>
        <w:t>А.Москалев</w:t>
      </w:r>
      <w:proofErr w:type="spellEnd"/>
      <w:r w:rsidRPr="007122AB">
        <w:rPr>
          <w:rFonts w:ascii="Times New Roman" w:hAnsi="Times New Roman"/>
          <w:color w:val="000000" w:themeColor="text1"/>
          <w:sz w:val="16"/>
          <w:szCs w:val="16"/>
        </w:rPr>
        <w:t xml:space="preserve"> спроектировал цельнометаллический (применительно к специализации завода) 5-местный САМ-5 М-11. Это была партийно-комсомольская инициатива и Осоавиахим, который сначала сомневался затем в лице чл. президиума Исполкома С.П.К. все же дал денег и машину закончили к августу 1932 (2889,21).</w:t>
      </w:r>
    </w:p>
    <w:p w14:paraId="588B41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5FFFCA"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конце 1931 г. под руководством конструктора ЦАГИ А.И. Путилова в Отделе опытного самолётостроения Научно-исследовательского института ГВФ был изготовлен самолёт «Сталь-2» из нержавеющей стали. Каркас крыла и фюзеляжа выполнили из гофрированных стальных листов, изогнутых в виде пучка труб и соединённых с помощью хомутиков и точечной электросварки. Ажурная конструкция получилась лёгкой, но была трудоёмкой. Надо сказать, что «Сталь-2» не был цельнометаллическим самолётом: борта фюзеляжа сделали из фанеры, а крыло имело полотняную обшивку.</w:t>
      </w:r>
    </w:p>
    <w:p w14:paraId="0AE4E298"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Машина показала хорошие лётные характеристики и с 1934 г. строилась серийно. Её развитием была «Сталь-3» с более мощным двигателем и увеличенным с 4 до 6 числом пассажиров.</w:t>
      </w:r>
    </w:p>
    <w:p w14:paraId="09D59E97"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«Сталь-2» и «Сталь-3» успешно работали на авиалиниях страны. Однако надежды на их рекордную долговечность не оправдались. Сама нержавеющая сталь могла служить десятки лет, но полотняная обшивка крыла и фанерные борта фюзеляжа периодически требовали замены или ремонта.</w:t>
      </w:r>
    </w:p>
    <w:p w14:paraId="6331B143"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Этого недостатка не должен был иметь летательный аппарат, сделанный целиком из нержавеющей стали. Такой самолёт создали в Московском авиационном институте в 1934 г. Он назывался «ОСО-МАИ», позднее — «ЭМАИ-2» (экспериментальный самолёт МАИ № 2; первым был моноплан из сплава электрон «ЭМАИ-1»), затем — «Сталь-МАИ» (17489).</w:t>
      </w:r>
    </w:p>
    <w:p w14:paraId="046A5034"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p>
    <w:p w14:paraId="7D938DD7"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конце 1931 г. самолёт с раздвижным крылом </w:t>
      </w:r>
      <w:proofErr w:type="spellStart"/>
      <w:r w:rsidRPr="007122AB">
        <w:rPr>
          <w:rFonts w:ascii="Times New Roman" w:eastAsia="Times New Roman" w:hAnsi="Times New Roman"/>
          <w:color w:val="000000" w:themeColor="text1"/>
          <w:sz w:val="16"/>
          <w:szCs w:val="16"/>
          <w:lang w:eastAsia="ru-RU"/>
        </w:rPr>
        <w:t>Бакшаев</w:t>
      </w:r>
      <w:proofErr w:type="spellEnd"/>
      <w:r w:rsidRPr="007122AB">
        <w:rPr>
          <w:rFonts w:ascii="Times New Roman" w:eastAsia="Times New Roman" w:hAnsi="Times New Roman"/>
          <w:color w:val="000000" w:themeColor="text1"/>
          <w:sz w:val="16"/>
          <w:szCs w:val="16"/>
          <w:lang w:eastAsia="ru-RU"/>
        </w:rPr>
        <w:t xml:space="preserve"> включили в план опытных работ по авиастроению на 1932–1934 гг. под обозначением У-3 бис. Это должна была быть двухместная учебно-боевая машина деревянной конструкции с мотором воздушного охлаждения М-48 мощностью 200 л. с., вооружённая пулемётом. По заданию максимальная скорость У-3 бис составляла 180 км/ч, посадочная — 40 км/ч (в полтора раза меньше, чем у биплана У-2), потолок — 5000 м, дальность — 720 км. Проектирование и постройку намечалось вести силами ЛИИ ГВФ, срок готовности — 1 мая 1933 г.</w:t>
      </w:r>
    </w:p>
    <w:p w14:paraId="20B55EBA"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Но ни в 1932 г., ни в 1933 г. к постройке самолёта с раздвижным крылом не приступали, так как денег на это не выделили. К тому же двигатель М 48 ещё не был готов.</w:t>
      </w:r>
    </w:p>
    <w:p w14:paraId="68FFD584"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1934 г. У-3 бис перепроектировали под серийный мотор M-11 вдвое меньшей мощности. Вооружение убрали, теперь самолёт рассматривался как учебный, связной или санитарный. Его назвали ЛИГ-7 (Ленинградский институт ГВФ-7), но чаще использовалось другое обозначение — РК-М11 (самолёт-раздвижное крыло с двигателем М-11).</w:t>
      </w:r>
    </w:p>
    <w:p w14:paraId="39AF21E3"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 этого момента дело сдвинулось с мертвой точки. «Производятся расчёты на прочность самолёта и продувается модель. Собрано опытное крыло для статических испытаний. Проведены </w:t>
      </w:r>
      <w:proofErr w:type="spellStart"/>
      <w:r w:rsidRPr="007122AB">
        <w:rPr>
          <w:rFonts w:ascii="Times New Roman" w:eastAsia="Times New Roman" w:hAnsi="Times New Roman"/>
          <w:color w:val="000000" w:themeColor="text1"/>
          <w:sz w:val="16"/>
          <w:szCs w:val="16"/>
          <w:lang w:eastAsia="ru-RU"/>
        </w:rPr>
        <w:t>статиспытания</w:t>
      </w:r>
      <w:proofErr w:type="spellEnd"/>
      <w:r w:rsidRPr="007122AB">
        <w:rPr>
          <w:rFonts w:ascii="Times New Roman" w:eastAsia="Times New Roman" w:hAnsi="Times New Roman"/>
          <w:color w:val="000000" w:themeColor="text1"/>
          <w:sz w:val="16"/>
          <w:szCs w:val="16"/>
          <w:lang w:eastAsia="ru-RU"/>
        </w:rPr>
        <w:t xml:space="preserve"> нервюр. Заканчивается предварительный проект самолёта», — записано в докладе о состоянии работ по опытному </w:t>
      </w:r>
      <w:proofErr w:type="spellStart"/>
      <w:r w:rsidRPr="007122AB">
        <w:rPr>
          <w:rFonts w:ascii="Times New Roman" w:eastAsia="Times New Roman" w:hAnsi="Times New Roman"/>
          <w:color w:val="000000" w:themeColor="text1"/>
          <w:sz w:val="16"/>
          <w:szCs w:val="16"/>
          <w:lang w:eastAsia="ru-RU"/>
        </w:rPr>
        <w:t>самолёто</w:t>
      </w:r>
      <w:proofErr w:type="spellEnd"/>
      <w:r w:rsidRPr="007122AB">
        <w:rPr>
          <w:rFonts w:ascii="Times New Roman" w:eastAsia="Times New Roman" w:hAnsi="Times New Roman"/>
          <w:color w:val="000000" w:themeColor="text1"/>
          <w:sz w:val="16"/>
          <w:szCs w:val="16"/>
          <w:lang w:eastAsia="ru-RU"/>
        </w:rPr>
        <w:t xml:space="preserve">- и моторостроению на 1 октября 1934 года </w:t>
      </w:r>
      <w:hyperlink r:id="rId232" w:history="1">
        <w:r w:rsidRPr="007122AB">
          <w:rPr>
            <w:rFonts w:ascii="Times New Roman" w:eastAsia="Times New Roman" w:hAnsi="Times New Roman"/>
            <w:color w:val="000000" w:themeColor="text1"/>
            <w:sz w:val="16"/>
            <w:szCs w:val="16"/>
            <w:lang w:eastAsia="ru-RU"/>
          </w:rPr>
          <w:t>[279]</w:t>
        </w:r>
      </w:hyperlink>
      <w:r w:rsidRPr="007122AB">
        <w:rPr>
          <w:rFonts w:ascii="Times New Roman" w:eastAsia="Times New Roman" w:hAnsi="Times New Roman"/>
          <w:color w:val="000000" w:themeColor="text1"/>
          <w:sz w:val="16"/>
          <w:szCs w:val="16"/>
          <w:lang w:eastAsia="ru-RU"/>
        </w:rPr>
        <w:t xml:space="preserve"> (17489).</w:t>
      </w:r>
    </w:p>
    <w:p w14:paraId="0EB3E1C0" w14:textId="77777777" w:rsidR="00FE022D" w:rsidRPr="007122AB" w:rsidRDefault="00FE022D" w:rsidP="007122AB">
      <w:pPr>
        <w:spacing w:after="0" w:line="240" w:lineRule="auto"/>
        <w:jc w:val="both"/>
        <w:rPr>
          <w:rFonts w:ascii="Times New Roman" w:eastAsia="Times New Roman" w:hAnsi="Times New Roman"/>
          <w:color w:val="000000" w:themeColor="text1"/>
          <w:sz w:val="16"/>
          <w:szCs w:val="16"/>
          <w:lang w:eastAsia="ru-RU"/>
        </w:rPr>
      </w:pPr>
    </w:p>
    <w:p w14:paraId="47D5897F"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1931</w:t>
      </w:r>
      <w:r>
        <w:rPr>
          <w:rFonts w:ascii="Times New Roman" w:hAnsi="Times New Roman"/>
          <w:color w:val="0070C0"/>
          <w:sz w:val="16"/>
          <w:szCs w:val="16"/>
        </w:rPr>
        <w:t xml:space="preserve"> </w:t>
      </w:r>
      <w:r w:rsidRPr="00441F34">
        <w:rPr>
          <w:rFonts w:ascii="Times New Roman" w:hAnsi="Times New Roman"/>
          <w:color w:val="0070C0"/>
          <w:sz w:val="16"/>
          <w:szCs w:val="16"/>
        </w:rPr>
        <w:t xml:space="preserve">г. самолёт с раздвижным крылом </w:t>
      </w:r>
      <w:proofErr w:type="spellStart"/>
      <w:r w:rsidRPr="00441F34">
        <w:rPr>
          <w:rFonts w:ascii="Times New Roman" w:hAnsi="Times New Roman"/>
          <w:color w:val="0070C0"/>
          <w:sz w:val="16"/>
          <w:szCs w:val="16"/>
        </w:rPr>
        <w:t>Бакшаева</w:t>
      </w:r>
      <w:proofErr w:type="spellEnd"/>
      <w:r w:rsidRPr="00441F34">
        <w:rPr>
          <w:rFonts w:ascii="Times New Roman" w:hAnsi="Times New Roman"/>
          <w:color w:val="0070C0"/>
          <w:sz w:val="16"/>
          <w:szCs w:val="16"/>
        </w:rPr>
        <w:t xml:space="preserve"> включили в план опытных работ по авиастроению на 1932–1934</w:t>
      </w:r>
      <w:r>
        <w:rPr>
          <w:rFonts w:ascii="Times New Roman" w:hAnsi="Times New Roman"/>
          <w:color w:val="0070C0"/>
          <w:sz w:val="16"/>
          <w:szCs w:val="16"/>
        </w:rPr>
        <w:t xml:space="preserve"> </w:t>
      </w:r>
      <w:r w:rsidRPr="00441F34">
        <w:rPr>
          <w:rFonts w:ascii="Times New Roman" w:hAnsi="Times New Roman"/>
          <w:color w:val="0070C0"/>
          <w:sz w:val="16"/>
          <w:szCs w:val="16"/>
        </w:rPr>
        <w:t>гг. под обозначением У-3 бис. Это должна была быть двухместная учебно-боевая машина деревянной конструкции с мотором воздушного охлаждения М-48 мощностью 200 л. с., вооружённая пулемётом. По заданию максимальная скорость У-3 бис составляла 180</w:t>
      </w:r>
      <w:r>
        <w:rPr>
          <w:rFonts w:ascii="Times New Roman" w:hAnsi="Times New Roman"/>
          <w:color w:val="0070C0"/>
          <w:sz w:val="16"/>
          <w:szCs w:val="16"/>
        </w:rPr>
        <w:t xml:space="preserve"> </w:t>
      </w:r>
      <w:r w:rsidRPr="00441F34">
        <w:rPr>
          <w:rFonts w:ascii="Times New Roman" w:hAnsi="Times New Roman"/>
          <w:color w:val="0070C0"/>
          <w:sz w:val="16"/>
          <w:szCs w:val="16"/>
        </w:rPr>
        <w:t>км/ч, посадочная — 40</w:t>
      </w:r>
      <w:r>
        <w:rPr>
          <w:rFonts w:ascii="Times New Roman" w:hAnsi="Times New Roman"/>
          <w:color w:val="0070C0"/>
          <w:sz w:val="16"/>
          <w:szCs w:val="16"/>
        </w:rPr>
        <w:t xml:space="preserve"> </w:t>
      </w:r>
      <w:r w:rsidRPr="00441F34">
        <w:rPr>
          <w:rFonts w:ascii="Times New Roman" w:hAnsi="Times New Roman"/>
          <w:color w:val="0070C0"/>
          <w:sz w:val="16"/>
          <w:szCs w:val="16"/>
        </w:rPr>
        <w:t>км/ч (в полтора раза меньше, чем у биплана У-2), потолок — 5000</w:t>
      </w:r>
      <w:r>
        <w:rPr>
          <w:rFonts w:ascii="Times New Roman" w:hAnsi="Times New Roman"/>
          <w:color w:val="0070C0"/>
          <w:sz w:val="16"/>
          <w:szCs w:val="16"/>
        </w:rPr>
        <w:t xml:space="preserve"> </w:t>
      </w:r>
      <w:r w:rsidRPr="00441F34">
        <w:rPr>
          <w:rFonts w:ascii="Times New Roman" w:hAnsi="Times New Roman"/>
          <w:color w:val="0070C0"/>
          <w:sz w:val="16"/>
          <w:szCs w:val="16"/>
        </w:rPr>
        <w:t>м, дальность — 720</w:t>
      </w:r>
      <w:r>
        <w:rPr>
          <w:rFonts w:ascii="Times New Roman" w:hAnsi="Times New Roman"/>
          <w:color w:val="0070C0"/>
          <w:sz w:val="16"/>
          <w:szCs w:val="16"/>
        </w:rPr>
        <w:t xml:space="preserve"> </w:t>
      </w:r>
      <w:r w:rsidRPr="00441F34">
        <w:rPr>
          <w:rFonts w:ascii="Times New Roman" w:hAnsi="Times New Roman"/>
          <w:color w:val="0070C0"/>
          <w:sz w:val="16"/>
          <w:szCs w:val="16"/>
        </w:rPr>
        <w:t>км. Проектирование и постройку намечалось вести силами ЛИИ ГВФ, срок готовности — 1 мая 1933</w:t>
      </w:r>
      <w:r>
        <w:rPr>
          <w:rFonts w:ascii="Times New Roman" w:hAnsi="Times New Roman"/>
          <w:color w:val="0070C0"/>
          <w:sz w:val="16"/>
          <w:szCs w:val="16"/>
        </w:rPr>
        <w:t xml:space="preserve"> </w:t>
      </w:r>
      <w:r w:rsidRPr="00441F34">
        <w:rPr>
          <w:rFonts w:ascii="Times New Roman" w:hAnsi="Times New Roman"/>
          <w:color w:val="0070C0"/>
          <w:sz w:val="16"/>
          <w:szCs w:val="16"/>
        </w:rPr>
        <w:t>г.</w:t>
      </w:r>
    </w:p>
    <w:p w14:paraId="6608A447"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ни в 1932</w:t>
      </w:r>
      <w:r>
        <w:rPr>
          <w:rFonts w:ascii="Times New Roman" w:hAnsi="Times New Roman"/>
          <w:color w:val="0070C0"/>
          <w:sz w:val="16"/>
          <w:szCs w:val="16"/>
        </w:rPr>
        <w:t xml:space="preserve"> </w:t>
      </w:r>
      <w:r w:rsidRPr="00441F34">
        <w:rPr>
          <w:rFonts w:ascii="Times New Roman" w:hAnsi="Times New Roman"/>
          <w:color w:val="0070C0"/>
          <w:sz w:val="16"/>
          <w:szCs w:val="16"/>
        </w:rPr>
        <w:t>г., ни в 1933</w:t>
      </w:r>
      <w:r>
        <w:rPr>
          <w:rFonts w:ascii="Times New Roman" w:hAnsi="Times New Roman"/>
          <w:color w:val="0070C0"/>
          <w:sz w:val="16"/>
          <w:szCs w:val="16"/>
        </w:rPr>
        <w:t xml:space="preserve"> </w:t>
      </w:r>
      <w:r w:rsidRPr="00441F34">
        <w:rPr>
          <w:rFonts w:ascii="Times New Roman" w:hAnsi="Times New Roman"/>
          <w:color w:val="0070C0"/>
          <w:sz w:val="16"/>
          <w:szCs w:val="16"/>
        </w:rPr>
        <w:t>г. к постройке самолёта с раздвижным крылом не приступали, так как денег на это не выделили. К тому же двигатель М 48 ещё не был готов.</w:t>
      </w:r>
    </w:p>
    <w:p w14:paraId="74931B25"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1934</w:t>
      </w:r>
      <w:r>
        <w:rPr>
          <w:rFonts w:ascii="Times New Roman" w:hAnsi="Times New Roman"/>
          <w:color w:val="0070C0"/>
          <w:sz w:val="16"/>
          <w:szCs w:val="16"/>
        </w:rPr>
        <w:t xml:space="preserve"> </w:t>
      </w:r>
      <w:r w:rsidRPr="00441F34">
        <w:rPr>
          <w:rFonts w:ascii="Times New Roman" w:hAnsi="Times New Roman"/>
          <w:color w:val="0070C0"/>
          <w:sz w:val="16"/>
          <w:szCs w:val="16"/>
        </w:rPr>
        <w:t>г. У-3 бис перепроектировали под серийный мотор M-11 вдвое меньшей мощности. Вооружение убрали, теперь самолёт рассматривался как учебный, связной или санитарный. Его назвали ЛИГ-7 (Ленинградский институт ГВФ-7), но чаще использовалось другое обозначение — РК-М11 (самолёт-раздвижное крыло с двигателем М-11) (24270).</w:t>
      </w:r>
    </w:p>
    <w:p w14:paraId="4A855519" w14:textId="77777777" w:rsidR="00CA22D8" w:rsidRPr="00441F34" w:rsidRDefault="00CA22D8" w:rsidP="00CA22D8">
      <w:pPr>
        <w:spacing w:after="0" w:line="240" w:lineRule="auto"/>
        <w:jc w:val="both"/>
        <w:rPr>
          <w:rFonts w:ascii="Times New Roman" w:hAnsi="Times New Roman"/>
          <w:color w:val="0070C0"/>
          <w:sz w:val="16"/>
          <w:szCs w:val="16"/>
        </w:rPr>
      </w:pPr>
    </w:p>
    <w:p w14:paraId="25E845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До конца 1931 г. упоминания об испытаниях ДРП на Р-ЗЛД встречаются в документах. Но надежность </w:t>
      </w:r>
      <w:proofErr w:type="spellStart"/>
      <w:r w:rsidRPr="007122AB">
        <w:rPr>
          <w:rFonts w:ascii="Times New Roman" w:hAnsi="Times New Roman"/>
          <w:color w:val="000000" w:themeColor="text1"/>
          <w:sz w:val="16"/>
          <w:szCs w:val="16"/>
        </w:rPr>
        <w:t>динамореактивной</w:t>
      </w:r>
      <w:proofErr w:type="spellEnd"/>
      <w:r w:rsidRPr="007122AB">
        <w:rPr>
          <w:rFonts w:ascii="Times New Roman" w:hAnsi="Times New Roman"/>
          <w:color w:val="000000" w:themeColor="text1"/>
          <w:sz w:val="16"/>
          <w:szCs w:val="16"/>
        </w:rPr>
        <w:t xml:space="preserve">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5ACDE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7F265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группой студентов, включая </w:t>
      </w:r>
      <w:proofErr w:type="spellStart"/>
      <w:r w:rsidRPr="007122AB">
        <w:rPr>
          <w:rFonts w:ascii="Times New Roman" w:hAnsi="Times New Roman"/>
          <w:color w:val="000000" w:themeColor="text1"/>
          <w:sz w:val="16"/>
          <w:szCs w:val="16"/>
        </w:rPr>
        <w:t>П.Д.Грушина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М.М.Пашинина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Л.П.Курбала</w:t>
      </w:r>
      <w:proofErr w:type="spellEnd"/>
      <w:r w:rsidRPr="007122AB">
        <w:rPr>
          <w:rFonts w:ascii="Times New Roman" w:hAnsi="Times New Roman"/>
          <w:color w:val="000000" w:themeColor="text1"/>
          <w:sz w:val="16"/>
          <w:szCs w:val="16"/>
        </w:rPr>
        <w:t xml:space="preserve"> и др. началось проектирование самолета Сталь-МАИ (425,54).</w:t>
      </w:r>
    </w:p>
    <w:p w14:paraId="192F15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49BE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Д.П.Г. будучи зав. кафедрой конструкции самолетов организовал группу студентов, в которую вошли </w:t>
      </w:r>
      <w:proofErr w:type="spellStart"/>
      <w:r w:rsidRPr="007122AB">
        <w:rPr>
          <w:rFonts w:ascii="Times New Roman" w:hAnsi="Times New Roman"/>
          <w:color w:val="000000" w:themeColor="text1"/>
          <w:sz w:val="16"/>
          <w:szCs w:val="16"/>
        </w:rPr>
        <w:t>П.Д.Грушин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М.М.Пашинин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Л.П.Курбала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В.А.Федулов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А.П.Щекин</w:t>
      </w:r>
      <w:proofErr w:type="spellEnd"/>
      <w:r w:rsidRPr="007122AB">
        <w:rPr>
          <w:rFonts w:ascii="Times New Roman" w:hAnsi="Times New Roman"/>
          <w:color w:val="000000" w:themeColor="text1"/>
          <w:sz w:val="16"/>
          <w:szCs w:val="16"/>
        </w:rPr>
        <w:t xml:space="preserve"> для создания самолета Сталь-МАИ с дальностью в 5000 км (1040,17).</w:t>
      </w:r>
    </w:p>
    <w:p w14:paraId="2E1160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A254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под руководством </w:t>
      </w:r>
      <w:proofErr w:type="spellStart"/>
      <w:r w:rsidRPr="007122AB">
        <w:rPr>
          <w:rFonts w:ascii="Times New Roman" w:hAnsi="Times New Roman"/>
          <w:color w:val="000000" w:themeColor="text1"/>
          <w:sz w:val="16"/>
          <w:szCs w:val="16"/>
        </w:rPr>
        <w:t>Б.Д.Урлапова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помошника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П.И.Гроховского</w:t>
      </w:r>
      <w:proofErr w:type="spellEnd"/>
      <w:r w:rsidRPr="007122AB">
        <w:rPr>
          <w:rFonts w:ascii="Times New Roman" w:hAnsi="Times New Roman"/>
          <w:color w:val="000000" w:themeColor="text1"/>
          <w:sz w:val="16"/>
          <w:szCs w:val="16"/>
        </w:rPr>
        <w:t xml:space="preserve"> по самолетостроению, началось проектирование транспортного планера, способного на буксире за Р-5 перевозить 1700 кг и решили разместить нагрузку в крыле (428,13).</w:t>
      </w:r>
    </w:p>
    <w:p w14:paraId="4D84B3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D76AB8"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ЦАГИ был выпущен первый экспериментальный автожир.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41260E3A"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BFCAA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в ЦИАМ были завершены 100 час. испытания М-34, разработанного </w:t>
      </w:r>
      <w:proofErr w:type="spellStart"/>
      <w:r w:rsidRPr="007122AB">
        <w:rPr>
          <w:rFonts w:ascii="Times New Roman" w:hAnsi="Times New Roman"/>
          <w:color w:val="000000" w:themeColor="text1"/>
          <w:sz w:val="16"/>
          <w:szCs w:val="16"/>
        </w:rPr>
        <w:t>А.А.Микулиным</w:t>
      </w:r>
      <w:proofErr w:type="spellEnd"/>
      <w:r w:rsidRPr="007122AB">
        <w:rPr>
          <w:rFonts w:ascii="Times New Roman" w:hAnsi="Times New Roman"/>
          <w:color w:val="000000" w:themeColor="text1"/>
          <w:sz w:val="16"/>
          <w:szCs w:val="16"/>
        </w:rPr>
        <w:t xml:space="preserve"> в 1929-1930 в НАМИ. Для производства направили на завод Фрунзе (85,161).</w:t>
      </w:r>
    </w:p>
    <w:p w14:paraId="57314B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это было в ноябре 1931</w:t>
      </w:r>
    </w:p>
    <w:p w14:paraId="192082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3C82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в Управление ВВС ИАМ был представлен эскизный проект двигателя, получившего обозначение АН-1 ("авиационный нефтяной"). Общая компоновка и силовая схема двигателя были подобны примененным в </w:t>
      </w:r>
      <w:proofErr w:type="spellStart"/>
      <w:r w:rsidRPr="007122AB">
        <w:rPr>
          <w:rFonts w:ascii="Times New Roman" w:hAnsi="Times New Roman"/>
          <w:color w:val="000000" w:themeColor="text1"/>
          <w:sz w:val="16"/>
          <w:szCs w:val="16"/>
        </w:rPr>
        <w:t>микулинском</w:t>
      </w:r>
      <w:proofErr w:type="spellEnd"/>
      <w:r w:rsidRPr="007122AB">
        <w:rPr>
          <w:rFonts w:ascii="Times New Roman" w:hAnsi="Times New Roman"/>
          <w:color w:val="000000" w:themeColor="text1"/>
          <w:sz w:val="16"/>
          <w:szCs w:val="16"/>
        </w:rPr>
        <w:t xml:space="preserve"> М-34, но диаметр цилиндров и ход поршня были больше - 180 и 200 мм, соответственно. Рабочий объем получился огромным - 61,04 л. Каждый цилиндр имел по четыре клапана. Первый опытный образец АН-1 изготовили летом 1933 г. в мастерских ЦИАМ. Двигатель был безнаддувным, т. е. не имел приводного центробежного нагнетателя (ПЦН) вообще. На стендовых испытаниях, проведенных в 1933-1934 гг., отмечалась неустойчивая работа на малом газе, дизель плохо запускался при низких температурах. В процессе проектирования номинальную и максимальную мощность увеличили до 750 и 800 л.с., соответственно (9035).</w:t>
      </w:r>
    </w:p>
    <w:p w14:paraId="1F6D4C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1928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с целью рационального распределения усилий был разработан план опытного моторостроения на 1932-1933 гг., которым, в частности, предусматривалась разработка и изготовление следующих типов </w:t>
      </w:r>
      <w:proofErr w:type="spellStart"/>
      <w:r w:rsidRPr="007122AB">
        <w:rPr>
          <w:rFonts w:ascii="Times New Roman" w:hAnsi="Times New Roman"/>
          <w:color w:val="000000" w:themeColor="text1"/>
          <w:sz w:val="16"/>
          <w:szCs w:val="16"/>
        </w:rPr>
        <w:t>авиадизелей</w:t>
      </w:r>
      <w:proofErr w:type="spellEnd"/>
      <w:r w:rsidRPr="007122AB">
        <w:rPr>
          <w:rFonts w:ascii="Times New Roman" w:hAnsi="Times New Roman"/>
          <w:color w:val="000000" w:themeColor="text1"/>
          <w:sz w:val="16"/>
          <w:szCs w:val="16"/>
        </w:rPr>
        <w:t xml:space="preserve">: Н-1 - четырехтактный, мощность 600 л.с., масса 840 кг; Н-2 - четырехтактный, мощность 1000 л.с., масса 1300 кг; Н-3 - четырехтактный, мощность 500 л.с., масса 650 кг; Н-4 - двухтактный, мощность до 600 л.с.; Н-5 - двухтактный, 2000 л.с., масса 3000 кг; Н-6 - двухтактный, мощность 500 л.с., масса 380 кг. Буква "Н" означала "нефтяной", хотя фактически все эти двигатели должны были работать на газойле (дизельном топливе). Как видно, проектная масса для большинства из них устанавливалась из расчета 1,3...1,5 л.с./кг при максимальной мощности. Созданием 12-цилиндрового V-образного дизеля Н-2 в ЦНИДИ руководил профессор Л.К. Мартенс. Интересной особенностью конструкции было применение 6-цилиндрового поршневого компрессора для наддува. Впоследствии работы перенесли в Москву, в ЦИАМ. Опытный образец изготовили в 1932 г. на заводе № 24 в Москве, там же он проходил стендовые испытания. Задание на разработку Н-3 выдали в июле 1931 г. Лаборатории двигателей внутреннего сгорания (позднее </w:t>
      </w:r>
      <w:proofErr w:type="spellStart"/>
      <w:r w:rsidRPr="007122AB">
        <w:rPr>
          <w:rFonts w:ascii="Times New Roman" w:hAnsi="Times New Roman"/>
          <w:color w:val="000000" w:themeColor="text1"/>
          <w:sz w:val="16"/>
          <w:szCs w:val="16"/>
        </w:rPr>
        <w:t>УкрИДВС</w:t>
      </w:r>
      <w:proofErr w:type="spellEnd"/>
      <w:r w:rsidRPr="007122AB">
        <w:rPr>
          <w:rFonts w:ascii="Times New Roman" w:hAnsi="Times New Roman"/>
          <w:color w:val="000000" w:themeColor="text1"/>
          <w:sz w:val="16"/>
          <w:szCs w:val="16"/>
        </w:rPr>
        <w:t xml:space="preserve">) в Харькове. Проектирование велось под руководством Я.М. Майера и Г.И. </w:t>
      </w:r>
      <w:proofErr w:type="spellStart"/>
      <w:r w:rsidRPr="007122AB">
        <w:rPr>
          <w:rFonts w:ascii="Times New Roman" w:hAnsi="Times New Roman"/>
          <w:color w:val="000000" w:themeColor="text1"/>
          <w:sz w:val="16"/>
          <w:szCs w:val="16"/>
        </w:rPr>
        <w:t>Аптекмана</w:t>
      </w:r>
      <w:proofErr w:type="spellEnd"/>
      <w:r w:rsidRPr="007122AB">
        <w:rPr>
          <w:rFonts w:ascii="Times New Roman" w:hAnsi="Times New Roman"/>
          <w:color w:val="000000" w:themeColor="text1"/>
          <w:sz w:val="16"/>
          <w:szCs w:val="16"/>
        </w:rPr>
        <w:t>. Этот 12-цилиндровый V-образный дизель имел массу 650 кг, диаметр и ход поршня - 150 и 165 мм, соответственно. Опытный образец закончили постройкой только осенью 1934 г., дизель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433DD2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B2F7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ОНД представил Управлению ВВС проект четырехтактного 12-цилиндрового У-образного дизеля АН-1. Отделом нефтяных двигателей (ОНД) ИАМ руководил А.Д. </w:t>
      </w:r>
      <w:proofErr w:type="spellStart"/>
      <w:r w:rsidRPr="007122AB">
        <w:rPr>
          <w:rFonts w:ascii="Times New Roman" w:hAnsi="Times New Roman"/>
          <w:color w:val="000000" w:themeColor="text1"/>
          <w:sz w:val="16"/>
          <w:szCs w:val="16"/>
        </w:rPr>
        <w:t>Чаромский</w:t>
      </w:r>
      <w:proofErr w:type="spellEnd"/>
      <w:r w:rsidRPr="007122AB">
        <w:rPr>
          <w:rFonts w:ascii="Times New Roman" w:hAnsi="Times New Roman"/>
          <w:color w:val="000000" w:themeColor="text1"/>
          <w:sz w:val="16"/>
          <w:szCs w:val="16"/>
        </w:rPr>
        <w:t xml:space="preserve"> (1899-1982). Большая часть это</w:t>
      </w:r>
      <w:r w:rsidRPr="007122AB">
        <w:rPr>
          <w:rFonts w:ascii="Times New Roman" w:hAnsi="Times New Roman"/>
          <w:color w:val="000000" w:themeColor="text1"/>
          <w:sz w:val="16"/>
          <w:szCs w:val="16"/>
        </w:rPr>
        <w:softHyphen/>
        <w:t>го коллектива ранее работала в группе нефтяных двигателей НАМИ, где созданием быстроходных дизелей в свое время занимались такие известные конструкторы, как А.А. Микулин и В.Я. Климов. АН-1 стал основой большого семейства авиационных дизелей. Вслед за его первым образцом, изготовленным в 1933 г., появился ряд модифи</w:t>
      </w:r>
      <w:r w:rsidRPr="007122AB">
        <w:rPr>
          <w:rFonts w:ascii="Times New Roman" w:hAnsi="Times New Roman"/>
          <w:color w:val="000000" w:themeColor="text1"/>
          <w:sz w:val="16"/>
          <w:szCs w:val="16"/>
        </w:rPr>
        <w:softHyphen/>
        <w:t>каций — АН-1А, АН-1Р (с редуктором), АН-1РТК (с редуктором и турбонаддувом). Последний выпустили небольшой серией для расширенных испытаний. Этот двигатель очень долго доводился. Причиной в основном являлось отставание в области топливной аппаратуры. Форсунки, регуляторы, насо</w:t>
      </w:r>
      <w:r w:rsidRPr="007122AB">
        <w:rPr>
          <w:rFonts w:ascii="Times New Roman" w:hAnsi="Times New Roman"/>
          <w:color w:val="000000" w:themeColor="text1"/>
          <w:sz w:val="16"/>
          <w:szCs w:val="16"/>
        </w:rPr>
        <w:softHyphen/>
        <w:t>сы высокого давления импортировали из Германии. Там их делала фир</w:t>
      </w:r>
      <w:r w:rsidRPr="007122AB">
        <w:rPr>
          <w:rFonts w:ascii="Times New Roman" w:hAnsi="Times New Roman"/>
          <w:color w:val="000000" w:themeColor="text1"/>
          <w:sz w:val="16"/>
          <w:szCs w:val="16"/>
        </w:rPr>
        <w:softHyphen/>
        <w:t>ма «Бош». Лишь перед началом Великой Отечественной войны подобную аппаратуру начали выпускать в СССР. Она заимствовала компоновку и принципиальные решения немецких изделий, но не являлась их точной копией. К сожалению, советские насосы и форсунки тогда существенно уступали своим немецким прототипам по надежности и ресурсу. Длительная доводка АН-1 вновь привела к мысли скопировать запад</w:t>
      </w:r>
      <w:r w:rsidRPr="007122AB">
        <w:rPr>
          <w:rFonts w:ascii="Times New Roman" w:hAnsi="Times New Roman"/>
          <w:color w:val="000000" w:themeColor="text1"/>
          <w:sz w:val="16"/>
          <w:szCs w:val="16"/>
        </w:rPr>
        <w:softHyphen/>
        <w:t>ные авиационные дизели, на этот раз немецкие, с двумя противополож</w:t>
      </w:r>
      <w:r w:rsidRPr="007122AB">
        <w:rPr>
          <w:rFonts w:ascii="Times New Roman" w:hAnsi="Times New Roman"/>
          <w:color w:val="000000" w:themeColor="text1"/>
          <w:sz w:val="16"/>
          <w:szCs w:val="16"/>
        </w:rPr>
        <w:softHyphen/>
        <w:t>но движущимися поршнями в каждом цилиндре. Сначала довольно долго изучался 1шпо 4, затем ЦИАМ приказали скопировать захваченный в Ис</w:t>
      </w:r>
      <w:r w:rsidRPr="007122AB">
        <w:rPr>
          <w:rFonts w:ascii="Times New Roman" w:hAnsi="Times New Roman"/>
          <w:color w:val="000000" w:themeColor="text1"/>
          <w:sz w:val="16"/>
          <w:szCs w:val="16"/>
        </w:rPr>
        <w:softHyphen/>
        <w:t>пании более современный .</w:t>
      </w:r>
      <w:proofErr w:type="spellStart"/>
      <w:r w:rsidRPr="007122AB">
        <w:rPr>
          <w:rFonts w:ascii="Times New Roman" w:hAnsi="Times New Roman"/>
          <w:color w:val="000000" w:themeColor="text1"/>
          <w:sz w:val="16"/>
          <w:szCs w:val="16"/>
        </w:rPr>
        <w:t>што</w:t>
      </w:r>
      <w:proofErr w:type="spellEnd"/>
      <w:r w:rsidRPr="007122AB">
        <w:rPr>
          <w:rFonts w:ascii="Times New Roman" w:hAnsi="Times New Roman"/>
          <w:color w:val="000000" w:themeColor="text1"/>
          <w:sz w:val="16"/>
          <w:szCs w:val="16"/>
        </w:rPr>
        <w:t xml:space="preserve"> 205. Но в серийное производство все-таки пошли отечественные, а не иностранные </w:t>
      </w:r>
      <w:proofErr w:type="spellStart"/>
      <w:r w:rsidRPr="007122AB">
        <w:rPr>
          <w:rFonts w:ascii="Times New Roman" w:hAnsi="Times New Roman"/>
          <w:color w:val="000000" w:themeColor="text1"/>
          <w:sz w:val="16"/>
          <w:szCs w:val="16"/>
        </w:rPr>
        <w:t>авиадизели</w:t>
      </w:r>
      <w:proofErr w:type="spellEnd"/>
      <w:r w:rsidRPr="007122AB">
        <w:rPr>
          <w:rFonts w:ascii="Times New Roman" w:hAnsi="Times New Roman"/>
          <w:color w:val="000000" w:themeColor="text1"/>
          <w:sz w:val="16"/>
          <w:szCs w:val="16"/>
        </w:rPr>
        <w:t>. Именно АН-1РТК стал основой для двух дизелей, выпускавшихся се</w:t>
      </w:r>
      <w:r w:rsidRPr="007122AB">
        <w:rPr>
          <w:rFonts w:ascii="Times New Roman" w:hAnsi="Times New Roman"/>
          <w:color w:val="000000" w:themeColor="text1"/>
          <w:sz w:val="16"/>
          <w:szCs w:val="16"/>
        </w:rPr>
        <w:softHyphen/>
        <w:t>рийно и состоявших на вооружении советских ВВС — М-30 и М-40. Первый из них создавался в ОКБ НКВД. Несмотря на старое название, это уже была другая организация, хотя принципы ее работы не измени</w:t>
      </w:r>
      <w:r w:rsidRPr="007122AB">
        <w:rPr>
          <w:rFonts w:ascii="Times New Roman" w:hAnsi="Times New Roman"/>
          <w:color w:val="000000" w:themeColor="text1"/>
          <w:sz w:val="16"/>
          <w:szCs w:val="16"/>
        </w:rPr>
        <w:softHyphen/>
        <w:t>лись — двигатели там проектировали инженеры-заключенные. Только те</w:t>
      </w:r>
      <w:r w:rsidRPr="007122AB">
        <w:rPr>
          <w:rFonts w:ascii="Times New Roman" w:hAnsi="Times New Roman"/>
          <w:color w:val="000000" w:themeColor="text1"/>
          <w:sz w:val="16"/>
          <w:szCs w:val="16"/>
        </w:rPr>
        <w:softHyphen/>
        <w:t>перь их именовали не «вредителями», а «врагами народа» или «иностран</w:t>
      </w:r>
      <w:r w:rsidRPr="007122AB">
        <w:rPr>
          <w:rFonts w:ascii="Times New Roman" w:hAnsi="Times New Roman"/>
          <w:color w:val="000000" w:themeColor="text1"/>
          <w:sz w:val="16"/>
          <w:szCs w:val="16"/>
        </w:rPr>
        <w:softHyphen/>
        <w:t xml:space="preserve">ными шпионами». Среди них оказались А.Д. </w:t>
      </w:r>
      <w:proofErr w:type="spellStart"/>
      <w:r w:rsidRPr="007122AB">
        <w:rPr>
          <w:rFonts w:ascii="Times New Roman" w:hAnsi="Times New Roman"/>
          <w:color w:val="000000" w:themeColor="text1"/>
          <w:sz w:val="16"/>
          <w:szCs w:val="16"/>
        </w:rPr>
        <w:t>Чаромский</w:t>
      </w:r>
      <w:proofErr w:type="spellEnd"/>
      <w:r w:rsidRPr="007122AB">
        <w:rPr>
          <w:rFonts w:ascii="Times New Roman" w:hAnsi="Times New Roman"/>
          <w:color w:val="000000" w:themeColor="text1"/>
          <w:sz w:val="16"/>
          <w:szCs w:val="16"/>
        </w:rPr>
        <w:t>, Б.С. Стечкин, А.С. Назаров, В.П. Глушко и швейцарский инженер У. Келлер из фирмы «</w:t>
      </w:r>
      <w:proofErr w:type="spellStart"/>
      <w:r w:rsidRPr="007122AB">
        <w:rPr>
          <w:rFonts w:ascii="Times New Roman" w:hAnsi="Times New Roman"/>
          <w:color w:val="000000" w:themeColor="text1"/>
          <w:sz w:val="16"/>
          <w:szCs w:val="16"/>
        </w:rPr>
        <w:t>Зульцер</w:t>
      </w:r>
      <w:proofErr w:type="spellEnd"/>
      <w:r w:rsidRPr="007122AB">
        <w:rPr>
          <w:rFonts w:ascii="Times New Roman" w:hAnsi="Times New Roman"/>
          <w:color w:val="000000" w:themeColor="text1"/>
          <w:sz w:val="16"/>
          <w:szCs w:val="16"/>
        </w:rPr>
        <w:t>», собиравший данные об эксплуатации ее дизелей в России и обвиненный в шпионаже. ОКБ НКВД во второй половине 1938 г. передали завод № 82 в Тушино (ныне завод им. Чернышева), ранее выпускавший звездообразные карбю</w:t>
      </w:r>
      <w:r w:rsidRPr="007122AB">
        <w:rPr>
          <w:rFonts w:ascii="Times New Roman" w:hAnsi="Times New Roman"/>
          <w:color w:val="000000" w:themeColor="text1"/>
          <w:sz w:val="16"/>
          <w:szCs w:val="16"/>
        </w:rPr>
        <w:softHyphen/>
        <w:t>раторные двигатели малой и средней мощности для нужд ГВФ. Глав</w:t>
      </w:r>
      <w:r w:rsidRPr="007122AB">
        <w:rPr>
          <w:rFonts w:ascii="Times New Roman" w:hAnsi="Times New Roman"/>
          <w:color w:val="000000" w:themeColor="text1"/>
          <w:sz w:val="16"/>
          <w:szCs w:val="16"/>
        </w:rPr>
        <w:softHyphen/>
        <w:t xml:space="preserve">ным </w:t>
      </w:r>
      <w:proofErr w:type="spellStart"/>
      <w:r w:rsidRPr="007122AB">
        <w:rPr>
          <w:rFonts w:ascii="Times New Roman" w:hAnsi="Times New Roman"/>
          <w:color w:val="000000" w:themeColor="text1"/>
          <w:sz w:val="16"/>
          <w:szCs w:val="16"/>
        </w:rPr>
        <w:t>конструкторм</w:t>
      </w:r>
      <w:proofErr w:type="spellEnd"/>
      <w:r w:rsidRPr="007122AB">
        <w:rPr>
          <w:rFonts w:ascii="Times New Roman" w:hAnsi="Times New Roman"/>
          <w:color w:val="000000" w:themeColor="text1"/>
          <w:sz w:val="16"/>
          <w:szCs w:val="16"/>
        </w:rPr>
        <w:t xml:space="preserve"> ОКБ являлся инженер Ф.Я. Тулупов (вольный). Там на основе АН-1РТК подготовили дизель М-30, который небольшими сериями выпускался в Тушино до октября 1941 г. Параллельно с М-30 в ЦИАМ под руководством В.М. Яковлева создали другую модификацию АН-1РТК, названную М-40. Оба двигателя имели много общего и отличались в основном исполнением системы наддува. М-40 тоже запустили в серийное производство на Кировском заводе в Ленинграде. В ЦИАМ также работали над другими типами </w:t>
      </w:r>
      <w:proofErr w:type="spellStart"/>
      <w:r w:rsidRPr="007122AB">
        <w:rPr>
          <w:rFonts w:ascii="Times New Roman" w:hAnsi="Times New Roman"/>
          <w:color w:val="000000" w:themeColor="text1"/>
          <w:sz w:val="16"/>
          <w:szCs w:val="16"/>
        </w:rPr>
        <w:t>авиадизелей</w:t>
      </w:r>
      <w:proofErr w:type="spellEnd"/>
      <w:r w:rsidRPr="007122AB">
        <w:rPr>
          <w:rFonts w:ascii="Times New Roman" w:hAnsi="Times New Roman"/>
          <w:color w:val="000000" w:themeColor="text1"/>
          <w:sz w:val="16"/>
          <w:szCs w:val="16"/>
        </w:rPr>
        <w:t>. В 1933 г. институту выдали задание на звездообразный дизель воздушного охлажде</w:t>
      </w:r>
      <w:r w:rsidRPr="007122AB">
        <w:rPr>
          <w:rFonts w:ascii="Times New Roman" w:hAnsi="Times New Roman"/>
          <w:color w:val="000000" w:themeColor="text1"/>
          <w:sz w:val="16"/>
          <w:szCs w:val="16"/>
        </w:rPr>
        <w:softHyphen/>
        <w:t>ния Н-9. Этот двигатель, по-видимому, даже не дошел до стадии опытного образца. Зато долго возились с М-87Д, 14-цилиндровым дизелем на базе бензинового мотора М-87. Его совместно с запорожским заводом № 29 доводили до 1940 г., но безуспешно. Перед самой Великой Отечественной войной в ЦИАМ работали над мощ</w:t>
      </w:r>
      <w:r w:rsidRPr="007122AB">
        <w:rPr>
          <w:rFonts w:ascii="Times New Roman" w:hAnsi="Times New Roman"/>
          <w:color w:val="000000" w:themeColor="text1"/>
          <w:sz w:val="16"/>
          <w:szCs w:val="16"/>
        </w:rPr>
        <w:softHyphen/>
        <w:t>ным 48-цилиндровым дизелем М-20 в 2200 л.с. (позднее 3000 л.с.). Мотор имел необычную ромбическую схему с двумя противоположно движущимися поршнями в каждом цилиндре. В 1940 г. испытали отсек такого двигателя с четырьмя цилиндрами. Затем некоторое время работали над АН-5 — «по</w:t>
      </w:r>
      <w:r w:rsidRPr="007122AB">
        <w:rPr>
          <w:rFonts w:ascii="Times New Roman" w:hAnsi="Times New Roman"/>
          <w:color w:val="000000" w:themeColor="text1"/>
          <w:sz w:val="16"/>
          <w:szCs w:val="16"/>
        </w:rPr>
        <w:softHyphen/>
        <w:t xml:space="preserve">ловинкой» от М-20 с 24 цилиндрами и мощностью до 1700 л.с. Еще одной организацией, занимавшейся перед войной </w:t>
      </w:r>
      <w:proofErr w:type="spellStart"/>
      <w:r w:rsidRPr="007122AB">
        <w:rPr>
          <w:rFonts w:ascii="Times New Roman" w:hAnsi="Times New Roman"/>
          <w:color w:val="000000" w:themeColor="text1"/>
          <w:sz w:val="16"/>
          <w:szCs w:val="16"/>
        </w:rPr>
        <w:t>авиадизелями</w:t>
      </w:r>
      <w:proofErr w:type="spellEnd"/>
      <w:r w:rsidRPr="007122AB">
        <w:rPr>
          <w:rFonts w:ascii="Times New Roman" w:hAnsi="Times New Roman"/>
          <w:color w:val="000000" w:themeColor="text1"/>
          <w:sz w:val="16"/>
          <w:szCs w:val="16"/>
        </w:rPr>
        <w:t>, яв</w:t>
      </w:r>
      <w:r w:rsidRPr="007122AB">
        <w:rPr>
          <w:rFonts w:ascii="Times New Roman" w:hAnsi="Times New Roman"/>
          <w:color w:val="000000" w:themeColor="text1"/>
          <w:sz w:val="16"/>
          <w:szCs w:val="16"/>
        </w:rPr>
        <w:softHyphen/>
        <w:t xml:space="preserve">лялся НИИ ГВФ. С самого начала в его составе имелся моторный отдел, выделенный затем в самостоятельный НИИ авиадвигателей ГВФ (НИИ АД ГВФ), а потом вновь слитый с головным НИИ ГВФ. В него входил отдел двигателей тяжелого топлива, возглавлявшийся Т.М. </w:t>
      </w:r>
      <w:proofErr w:type="spellStart"/>
      <w:r w:rsidRPr="007122AB">
        <w:rPr>
          <w:rFonts w:ascii="Times New Roman" w:hAnsi="Times New Roman"/>
          <w:color w:val="000000" w:themeColor="text1"/>
          <w:sz w:val="16"/>
          <w:szCs w:val="16"/>
        </w:rPr>
        <w:t>Мелькумовым</w:t>
      </w:r>
      <w:proofErr w:type="spellEnd"/>
      <w:r w:rsidRPr="007122AB">
        <w:rPr>
          <w:rFonts w:ascii="Times New Roman" w:hAnsi="Times New Roman"/>
          <w:color w:val="000000" w:themeColor="text1"/>
          <w:sz w:val="16"/>
          <w:szCs w:val="16"/>
        </w:rPr>
        <w:t xml:space="preserve"> (1902-1974). Там работали над небольшим дизелем воздушного охлажде</w:t>
      </w:r>
      <w:r w:rsidRPr="007122AB">
        <w:rPr>
          <w:rFonts w:ascii="Times New Roman" w:hAnsi="Times New Roman"/>
          <w:color w:val="000000" w:themeColor="text1"/>
          <w:sz w:val="16"/>
          <w:szCs w:val="16"/>
        </w:rPr>
        <w:softHyphen/>
        <w:t xml:space="preserve">ния Д-11, использовавшим узлы и агрегаты широко распространенного звездообразного мотора М-11. Этот дизель проходил стендовые и летные (на биплане У-2) испытания. Завод № 82 начал даже изготовлять серию из 100 Д-11, но после передачи предприятия НКВД конструкторов из НИИ ГВФ перевели в Воронеж, на завод № 154. </w:t>
      </w:r>
      <w:proofErr w:type="spellStart"/>
      <w:r w:rsidRPr="007122AB">
        <w:rPr>
          <w:rFonts w:ascii="Times New Roman" w:hAnsi="Times New Roman"/>
          <w:color w:val="000000" w:themeColor="text1"/>
          <w:sz w:val="16"/>
          <w:szCs w:val="16"/>
        </w:rPr>
        <w:t>Мелькумов</w:t>
      </w:r>
      <w:proofErr w:type="spellEnd"/>
      <w:r w:rsidRPr="007122AB">
        <w:rPr>
          <w:rFonts w:ascii="Times New Roman" w:hAnsi="Times New Roman"/>
          <w:color w:val="000000" w:themeColor="text1"/>
          <w:sz w:val="16"/>
          <w:szCs w:val="16"/>
        </w:rPr>
        <w:t xml:space="preserve"> продолжил работу в Военно-воздушной академии, где преподавал. Там в 1939-1940 гг. в мастерских доводили Д-11, собирая их из деталей задела завода № 82. Заводу № 154 поручили на базе Д-11 сделать дизель М-10 в 130 л.с. Этот пункт стоял в плане до конца 1943 г., но М-10 так и не был создан. М-30 и М-40, устанавливавшиеся на тяжелых бомбардировщиках ТБ-7 (Пе-8), плохо проявили себя в эксплуатации. Трудно было регулировать подачу топлива, двигатели самопроизвольно глохли и не желали затем за</w:t>
      </w:r>
      <w:r w:rsidRPr="007122AB">
        <w:rPr>
          <w:rFonts w:ascii="Times New Roman" w:hAnsi="Times New Roman"/>
          <w:color w:val="000000" w:themeColor="text1"/>
          <w:sz w:val="16"/>
          <w:szCs w:val="16"/>
        </w:rPr>
        <w:softHyphen/>
        <w:t>пускаться на больших высотах, особенно на холоде. Уже с августа 1941 г. их стали снимать с самолетов, а с конца года их выпуск прекратили (11852).</w:t>
      </w:r>
    </w:p>
    <w:p w14:paraId="2DC18C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A5A0C7"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Только в конце 1931 г., через четыре года после начала переговоров о выпуске двигателей Гном-Рон G.R.9 в СССР первые серийные двигатели М-22 производства завода №29 по полному циклу полностью из отечественных деталей (но некоторые комплектующие агрегаты остались покупными) сданы для установки на строящиеся самолеты. Всего в этом году построено 28 серийных двигателей М-22 межремонтным с ресурсом 100 ч. (24115).</w:t>
      </w:r>
    </w:p>
    <w:p w14:paraId="3315DC64" w14:textId="77777777" w:rsidR="00CA22D8" w:rsidRPr="00441F34" w:rsidRDefault="00CA22D8" w:rsidP="00CA22D8">
      <w:pPr>
        <w:spacing w:after="0" w:line="240" w:lineRule="auto"/>
        <w:jc w:val="both"/>
        <w:rPr>
          <w:rFonts w:ascii="Times New Roman" w:hAnsi="Times New Roman"/>
          <w:color w:val="0070C0"/>
          <w:sz w:val="16"/>
          <w:szCs w:val="16"/>
        </w:rPr>
      </w:pPr>
    </w:p>
    <w:p w14:paraId="753B070B" w14:textId="77777777" w:rsidR="008F5899" w:rsidRPr="007122AB" w:rsidRDefault="008F5899" w:rsidP="007122AB">
      <w:pPr>
        <w:pStyle w:val="aff9"/>
        <w:shd w:val="clear" w:color="auto" w:fill="FFFFFF"/>
        <w:spacing w:before="0" w:beforeAutospacing="0" w:after="0" w:afterAutospacing="0"/>
        <w:jc w:val="both"/>
        <w:rPr>
          <w:color w:val="000000" w:themeColor="text1"/>
          <w:sz w:val="16"/>
          <w:szCs w:val="16"/>
        </w:rPr>
      </w:pPr>
      <w:r w:rsidRPr="007122AB">
        <w:rPr>
          <w:color w:val="000000" w:themeColor="text1"/>
          <w:sz w:val="16"/>
          <w:szCs w:val="16"/>
        </w:rPr>
        <w:t>В конце 1931 года Самолетостроительный трест направил на завод №18 на должность заместителя начальника серийного конструкторского отдела А. С. Москалева (1904–1982), ставшего впоследствии известным советским авиаконструктором (19822).</w:t>
      </w:r>
    </w:p>
    <w:p w14:paraId="748A25CE" w14:textId="77777777" w:rsidR="008F5899" w:rsidRPr="007122AB" w:rsidRDefault="008F5899" w:rsidP="007122AB">
      <w:pPr>
        <w:pStyle w:val="aff9"/>
        <w:shd w:val="clear" w:color="auto" w:fill="FFFFFF"/>
        <w:spacing w:before="0" w:beforeAutospacing="0" w:after="0" w:afterAutospacing="0"/>
        <w:jc w:val="both"/>
        <w:rPr>
          <w:color w:val="000000" w:themeColor="text1"/>
          <w:sz w:val="16"/>
          <w:szCs w:val="16"/>
        </w:rPr>
      </w:pPr>
    </w:p>
    <w:p w14:paraId="76D6FA1B" w14:textId="77777777" w:rsidR="003B31EB" w:rsidRPr="007122AB" w:rsidRDefault="003B31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АНТ-20 (пассажирский вариант ТБ-4 для ВВС) сняли с плана работ НАГИ.</w:t>
      </w:r>
    </w:p>
    <w:p w14:paraId="3045C270" w14:textId="77777777" w:rsidR="003B31EB" w:rsidRPr="007122AB" w:rsidRDefault="003B31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Поэтому, когда возник вопрос о МГ, Туполев и предложил за про</w:t>
      </w:r>
      <w:r w:rsidRPr="007122AB">
        <w:rPr>
          <w:rFonts w:ascii="Times New Roman" w:hAnsi="Times New Roman"/>
          <w:color w:val="000000" w:themeColor="text1"/>
          <w:sz w:val="16"/>
          <w:szCs w:val="16"/>
        </w:rPr>
        <w:softHyphen/>
        <w:t>тотип «МГ» взять именно этот, снятый с дальнейшего проектирования. АНТ-20. А заводской шифр АНТ-20 перешел «по на</w:t>
      </w:r>
      <w:r w:rsidRPr="007122AB">
        <w:rPr>
          <w:rFonts w:ascii="Times New Roman" w:hAnsi="Times New Roman"/>
          <w:color w:val="000000" w:themeColor="text1"/>
          <w:sz w:val="16"/>
          <w:szCs w:val="16"/>
        </w:rPr>
        <w:softHyphen/>
        <w:t>следству» к «МГ». Это предложение все одобрили.</w:t>
      </w:r>
    </w:p>
    <w:p w14:paraId="7F411A6D" w14:textId="77777777" w:rsidR="003B31EB" w:rsidRPr="007122AB" w:rsidRDefault="003B31E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Различия между «МГ» и прототипом в основном сводились к заметному увели</w:t>
      </w:r>
      <w:r w:rsidRPr="007122AB">
        <w:rPr>
          <w:rFonts w:ascii="Times New Roman" w:hAnsi="Times New Roman"/>
          <w:color w:val="000000" w:themeColor="text1"/>
          <w:sz w:val="16"/>
          <w:szCs w:val="16"/>
        </w:rPr>
        <w:softHyphen/>
        <w:t>чению линейных размеров: размах крыла стал больше на 10—12 метров, фюзеляж удлинился, изменилось вертикальное оперение. Благодаря этому при разработ</w:t>
      </w:r>
      <w:r w:rsidRPr="007122AB">
        <w:rPr>
          <w:rFonts w:ascii="Times New Roman" w:hAnsi="Times New Roman"/>
          <w:color w:val="000000" w:themeColor="text1"/>
          <w:sz w:val="16"/>
          <w:szCs w:val="16"/>
        </w:rPr>
        <w:softHyphen/>
        <w:t>ке эскизного проекта «МГ» стало воз</w:t>
      </w:r>
      <w:r w:rsidRPr="007122AB">
        <w:rPr>
          <w:rFonts w:ascii="Times New Roman" w:hAnsi="Times New Roman"/>
          <w:color w:val="000000" w:themeColor="text1"/>
          <w:sz w:val="16"/>
          <w:szCs w:val="16"/>
        </w:rPr>
        <w:softHyphen/>
        <w:t>можным использовать многие материалы эскизного проекта пассажирского вари</w:t>
      </w:r>
      <w:r w:rsidRPr="007122AB">
        <w:rPr>
          <w:rFonts w:ascii="Times New Roman" w:hAnsi="Times New Roman"/>
          <w:color w:val="000000" w:themeColor="text1"/>
          <w:sz w:val="16"/>
          <w:szCs w:val="16"/>
        </w:rPr>
        <w:softHyphen/>
        <w:t>анта ТБ-4 (21240).</w:t>
      </w:r>
    </w:p>
    <w:p w14:paraId="7F9FBC55" w14:textId="77777777" w:rsidR="003B31EB" w:rsidRPr="007122AB" w:rsidRDefault="003B31EB" w:rsidP="007122AB">
      <w:pPr>
        <w:spacing w:after="0" w:line="240" w:lineRule="auto"/>
        <w:jc w:val="both"/>
        <w:rPr>
          <w:rFonts w:ascii="Times New Roman" w:hAnsi="Times New Roman"/>
          <w:color w:val="000000" w:themeColor="text1"/>
          <w:sz w:val="16"/>
          <w:szCs w:val="16"/>
        </w:rPr>
      </w:pPr>
    </w:p>
    <w:p w14:paraId="72D956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группа </w:t>
      </w:r>
      <w:proofErr w:type="spellStart"/>
      <w:r w:rsidRPr="007122AB">
        <w:rPr>
          <w:rFonts w:ascii="Times New Roman" w:hAnsi="Times New Roman"/>
          <w:color w:val="000000" w:themeColor="text1"/>
          <w:sz w:val="16"/>
          <w:szCs w:val="16"/>
        </w:rPr>
        <w:t>Ниренберга</w:t>
      </w:r>
      <w:proofErr w:type="spellEnd"/>
      <w:r w:rsidRPr="007122AB">
        <w:rPr>
          <w:rFonts w:ascii="Times New Roman" w:hAnsi="Times New Roman"/>
          <w:color w:val="000000" w:themeColor="text1"/>
          <w:sz w:val="16"/>
          <w:szCs w:val="16"/>
        </w:rPr>
        <w:t xml:space="preserve"> из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получила небольшое помещение на ЦА для работ по автопилоту АВП-1 (390,124).</w:t>
      </w:r>
    </w:p>
    <w:p w14:paraId="16E8D5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52B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и весной 1932 на ТБ-1 поставили 2 И-4 по системе </w:t>
      </w:r>
      <w:proofErr w:type="spellStart"/>
      <w:r w:rsidRPr="007122AB">
        <w:rPr>
          <w:rFonts w:ascii="Times New Roman" w:hAnsi="Times New Roman"/>
          <w:color w:val="000000" w:themeColor="text1"/>
          <w:sz w:val="16"/>
          <w:szCs w:val="16"/>
        </w:rPr>
        <w:t>В.С.Вахмистрова</w:t>
      </w:r>
      <w:proofErr w:type="spellEnd"/>
      <w:r w:rsidRPr="007122AB">
        <w:rPr>
          <w:rFonts w:ascii="Times New Roman" w:hAnsi="Times New Roman"/>
          <w:color w:val="000000" w:themeColor="text1"/>
          <w:sz w:val="16"/>
          <w:szCs w:val="16"/>
        </w:rPr>
        <w:t xml:space="preserve">. ТБ-1 пилотировал </w:t>
      </w:r>
      <w:proofErr w:type="spellStart"/>
      <w:r w:rsidRPr="007122AB">
        <w:rPr>
          <w:rFonts w:ascii="Times New Roman" w:hAnsi="Times New Roman"/>
          <w:color w:val="000000" w:themeColor="text1"/>
          <w:sz w:val="16"/>
          <w:szCs w:val="16"/>
        </w:rPr>
        <w:t>А.И.Залевский</w:t>
      </w:r>
      <w:proofErr w:type="spellEnd"/>
      <w:r w:rsidRPr="007122AB">
        <w:rPr>
          <w:rFonts w:ascii="Times New Roman" w:hAnsi="Times New Roman"/>
          <w:color w:val="000000" w:themeColor="text1"/>
          <w:sz w:val="16"/>
          <w:szCs w:val="16"/>
        </w:rPr>
        <w:t xml:space="preserve">, а И-4 - </w:t>
      </w:r>
      <w:proofErr w:type="spellStart"/>
      <w:r w:rsidRPr="007122AB">
        <w:rPr>
          <w:rFonts w:ascii="Times New Roman" w:hAnsi="Times New Roman"/>
          <w:color w:val="000000" w:themeColor="text1"/>
          <w:sz w:val="16"/>
          <w:szCs w:val="16"/>
        </w:rPr>
        <w:t>А.Ф.Анисимов</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В.П.Чкалов</w:t>
      </w:r>
      <w:proofErr w:type="spellEnd"/>
      <w:r w:rsidRPr="007122AB">
        <w:rPr>
          <w:rFonts w:ascii="Times New Roman" w:hAnsi="Times New Roman"/>
          <w:color w:val="000000" w:themeColor="text1"/>
          <w:sz w:val="16"/>
          <w:szCs w:val="16"/>
        </w:rPr>
        <w:t xml:space="preserve"> (2782,24).</w:t>
      </w:r>
    </w:p>
    <w:p w14:paraId="68E7B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92CD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из состава завода № 1 было выделено подсобное производство в самостоятельные заводы:</w:t>
      </w:r>
    </w:p>
    <w:p w14:paraId="46D158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металлургического производства – завод № 34</w:t>
      </w:r>
    </w:p>
    <w:p w14:paraId="684EF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производства предметов вооружения – завод № 32 (9291).</w:t>
      </w:r>
    </w:p>
    <w:p w14:paraId="382C9C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813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года НИИ ГВФ был сформирован, причем в этом же году был выпущен первый цельностальной самолет электросварной конструкции Сталь-2. К организации НИИ ГВФ на базе маленькой ячейки – группы инженера Путилова по стальному самолетостроению было приступлено с конца 1930 года (ноябрь).</w:t>
      </w:r>
    </w:p>
    <w:p w14:paraId="52E4ED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w:t>
      </w:r>
      <w:proofErr w:type="spellStart"/>
      <w:r w:rsidRPr="007122AB">
        <w:rPr>
          <w:rFonts w:ascii="Times New Roman" w:hAnsi="Times New Roman"/>
          <w:color w:val="000000" w:themeColor="text1"/>
          <w:sz w:val="16"/>
          <w:szCs w:val="16"/>
        </w:rPr>
        <w:t>электро</w:t>
      </w:r>
      <w:proofErr w:type="spellEnd"/>
      <w:r w:rsidRPr="007122AB">
        <w:rPr>
          <w:rFonts w:ascii="Times New Roman" w:hAnsi="Times New Roman"/>
          <w:color w:val="000000" w:themeColor="text1"/>
          <w:sz w:val="16"/>
          <w:szCs w:val="16"/>
        </w:rPr>
        <w:t xml:space="preserve"> и др.) по эксплуатации ………………………..(7738, 144-139).</w:t>
      </w:r>
    </w:p>
    <w:p w14:paraId="3384CC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963B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Управление ГВФ начало комплектовать эскадрилью особого назначения для переброски матриц газеты «Правда» в крупные города Советского Союза. В эскадрилью подбирались </w:t>
      </w:r>
      <w:proofErr w:type="spellStart"/>
      <w:r w:rsidRPr="007122AB">
        <w:rPr>
          <w:rFonts w:ascii="Times New Roman" w:hAnsi="Times New Roman"/>
          <w:color w:val="000000" w:themeColor="text1"/>
          <w:sz w:val="16"/>
          <w:szCs w:val="16"/>
        </w:rPr>
        <w:t>лучшш</w:t>
      </w:r>
      <w:proofErr w:type="spellEnd"/>
      <w:r w:rsidRPr="007122AB">
        <w:rPr>
          <w:rFonts w:ascii="Times New Roman" w:hAnsi="Times New Roman"/>
          <w:color w:val="000000" w:themeColor="text1"/>
          <w:sz w:val="16"/>
          <w:szCs w:val="16"/>
        </w:rPr>
        <w:t xml:space="preserve"> пилоты, обладающие навыками полетов в сложных метеоусловиях и но чью. Для таких полетов Р-5, обладающий хорошей устойчивостью, под ходил наилучшим образом, поэтому эскадрилья была в основном </w:t>
      </w:r>
      <w:proofErr w:type="spellStart"/>
      <w:r w:rsidRPr="007122AB">
        <w:rPr>
          <w:rFonts w:ascii="Times New Roman" w:hAnsi="Times New Roman"/>
          <w:color w:val="000000" w:themeColor="text1"/>
          <w:sz w:val="16"/>
          <w:szCs w:val="16"/>
        </w:rPr>
        <w:t>укомп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лектована</w:t>
      </w:r>
      <w:proofErr w:type="spellEnd"/>
      <w:r w:rsidRPr="007122AB">
        <w:rPr>
          <w:rFonts w:ascii="Times New Roman" w:hAnsi="Times New Roman"/>
          <w:color w:val="000000" w:themeColor="text1"/>
          <w:sz w:val="16"/>
          <w:szCs w:val="16"/>
        </w:rPr>
        <w:t xml:space="preserve"> этими машинами. По разному проходили эти полеты. Вот как </w:t>
      </w:r>
      <w:r w:rsidRPr="007122AB">
        <w:rPr>
          <w:rFonts w:ascii="Times New Roman" w:hAnsi="Times New Roman"/>
          <w:color w:val="000000" w:themeColor="text1"/>
          <w:sz w:val="16"/>
          <w:szCs w:val="16"/>
        </w:rPr>
        <w:lastRenderedPageBreak/>
        <w:t xml:space="preserve">вспоминал об этих днях </w:t>
      </w:r>
      <w:proofErr w:type="spellStart"/>
      <w:r w:rsidRPr="007122AB">
        <w:rPr>
          <w:rFonts w:ascii="Times New Roman" w:hAnsi="Times New Roman"/>
          <w:color w:val="000000" w:themeColor="text1"/>
          <w:sz w:val="16"/>
          <w:szCs w:val="16"/>
        </w:rPr>
        <w:t>М.В.Водопьянов</w:t>
      </w:r>
      <w:proofErr w:type="spellEnd"/>
      <w:r w:rsidRPr="007122AB">
        <w:rPr>
          <w:rFonts w:ascii="Times New Roman" w:hAnsi="Times New Roman"/>
          <w:color w:val="000000" w:themeColor="text1"/>
          <w:sz w:val="16"/>
          <w:szCs w:val="16"/>
        </w:rPr>
        <w:t xml:space="preserve">: «С матрицами я вылетал ночью, за два часа до </w:t>
      </w:r>
      <w:proofErr w:type="spellStart"/>
      <w:r w:rsidRPr="007122AB">
        <w:rPr>
          <w:rFonts w:ascii="Times New Roman" w:hAnsi="Times New Roman"/>
          <w:color w:val="000000" w:themeColor="text1"/>
          <w:sz w:val="16"/>
          <w:szCs w:val="16"/>
        </w:rPr>
        <w:t>рассве</w:t>
      </w:r>
      <w:proofErr w:type="spellEnd"/>
      <w:r w:rsidRPr="007122AB">
        <w:rPr>
          <w:rFonts w:ascii="Times New Roman" w:hAnsi="Times New Roman"/>
          <w:color w:val="000000" w:themeColor="text1"/>
          <w:sz w:val="16"/>
          <w:szCs w:val="16"/>
        </w:rPr>
        <w:t xml:space="preserve"> та, с тем расчетом, чтобы ленинградские рабочие могли читать газе ту не только в тот же день, но даже в тот же час, как и московские. Из Москвы можно вылетать только на лыжах. Но в Ленинграде не </w:t>
      </w:r>
      <w:proofErr w:type="spellStart"/>
      <w:r w:rsidRPr="007122AB">
        <w:rPr>
          <w:rFonts w:ascii="Times New Roman" w:hAnsi="Times New Roman"/>
          <w:color w:val="000000" w:themeColor="text1"/>
          <w:sz w:val="16"/>
          <w:szCs w:val="16"/>
        </w:rPr>
        <w:t>бьш</w:t>
      </w:r>
      <w:proofErr w:type="spellEnd"/>
      <w:r w:rsidRPr="007122AB">
        <w:rPr>
          <w:rFonts w:ascii="Times New Roman" w:hAnsi="Times New Roman"/>
          <w:color w:val="000000" w:themeColor="text1"/>
          <w:sz w:val="16"/>
          <w:szCs w:val="16"/>
        </w:rPr>
        <w:t xml:space="preserve"> снега и посадка была возможна только на колесах. Тут пригодились добавочные баки. Я прилетал в Ленинград, не делая посадки, сбрасывал в условленном месте матрицы и возвращался в Москву. Весь полет в обе конца занимал семь часов».</w:t>
      </w:r>
    </w:p>
    <w:p w14:paraId="066E45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6581A0" w14:textId="77777777" w:rsidR="00520F40" w:rsidRPr="007122AB" w:rsidRDefault="00520F40"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Самолетостроительный трест направил на завод №18 на должность заместителя начальника серийного конструкторского отдела А. С. Москалева (1904–1982), ставшего впоследствии известным советским авиаконструктором (17288).</w:t>
      </w:r>
    </w:p>
    <w:p w14:paraId="042AAB20" w14:textId="77777777" w:rsidR="00520F40" w:rsidRPr="007122AB" w:rsidRDefault="00520F40" w:rsidP="007122AB">
      <w:pPr>
        <w:autoSpaceDE w:val="0"/>
        <w:autoSpaceDN w:val="0"/>
        <w:adjustRightInd w:val="0"/>
        <w:spacing w:after="0" w:line="240" w:lineRule="auto"/>
        <w:jc w:val="both"/>
        <w:rPr>
          <w:rFonts w:ascii="Times New Roman" w:hAnsi="Times New Roman"/>
          <w:color w:val="000000" w:themeColor="text1"/>
          <w:sz w:val="16"/>
          <w:szCs w:val="16"/>
        </w:rPr>
      </w:pPr>
    </w:p>
    <w:p w14:paraId="00B181D9" w14:textId="77777777" w:rsidR="003B4A71" w:rsidRPr="007122AB" w:rsidRDefault="003B4A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В конце 1931 года авиазавод в Нижнем Новгороде был окончательно ориентирован на изготовление истребителей И-5 конструкции Н </w:t>
      </w:r>
      <w:proofErr w:type="spellStart"/>
      <w:r w:rsidRPr="007122AB">
        <w:rPr>
          <w:rFonts w:ascii="Times New Roman" w:hAnsi="Times New Roman"/>
          <w:color w:val="000000" w:themeColor="text1"/>
          <w:sz w:val="16"/>
          <w:szCs w:val="16"/>
          <w:lang w:eastAsia="ru-RU" w:bidi="ru-RU"/>
        </w:rPr>
        <w:t>Н.Поликарпова</w:t>
      </w:r>
      <w:proofErr w:type="spellEnd"/>
      <w:r w:rsidRPr="007122AB">
        <w:rPr>
          <w:rFonts w:ascii="Times New Roman" w:hAnsi="Times New Roman"/>
          <w:color w:val="000000" w:themeColor="text1"/>
          <w:sz w:val="16"/>
          <w:szCs w:val="16"/>
          <w:lang w:eastAsia="ru-RU" w:bidi="ru-RU"/>
        </w:rPr>
        <w:t xml:space="preserve"> и </w:t>
      </w:r>
      <w:proofErr w:type="spellStart"/>
      <w:r w:rsidRPr="007122AB">
        <w:rPr>
          <w:rFonts w:ascii="Times New Roman" w:hAnsi="Times New Roman"/>
          <w:color w:val="000000" w:themeColor="text1"/>
          <w:sz w:val="16"/>
          <w:szCs w:val="16"/>
          <w:lang w:eastAsia="ru-RU" w:bidi="ru-RU"/>
        </w:rPr>
        <w:t>Д.П.Григоровича</w:t>
      </w:r>
      <w:proofErr w:type="spellEnd"/>
      <w:r w:rsidRPr="007122AB">
        <w:rPr>
          <w:rFonts w:ascii="Times New Roman" w:hAnsi="Times New Roman"/>
          <w:color w:val="000000" w:themeColor="text1"/>
          <w:sz w:val="16"/>
          <w:szCs w:val="16"/>
          <w:lang w:eastAsia="ru-RU" w:bidi="ru-RU"/>
        </w:rPr>
        <w:t xml:space="preserve"> с моторами М-15 и М-22. Серийным заводом по выпуску И-5 в 1931 году был определен завод №1, а до этого малую серию в 12 самолетов выпустил завод №39 им. Менжинского. Предпринимались попытки выпуска самолетов И-5 в Харькове и на заводе №22 в Филях (21100).</w:t>
      </w:r>
    </w:p>
    <w:p w14:paraId="34CF0E6A" w14:textId="77777777" w:rsidR="003B4A71" w:rsidRPr="007122AB" w:rsidRDefault="003B4A71" w:rsidP="007122AB">
      <w:pPr>
        <w:spacing w:after="0" w:line="240" w:lineRule="auto"/>
        <w:jc w:val="both"/>
        <w:rPr>
          <w:rFonts w:ascii="Times New Roman" w:hAnsi="Times New Roman"/>
          <w:color w:val="000000" w:themeColor="text1"/>
          <w:sz w:val="16"/>
          <w:szCs w:val="16"/>
          <w:lang w:eastAsia="ru-RU" w:bidi="ru-RU"/>
        </w:rPr>
      </w:pPr>
    </w:p>
    <w:p w14:paraId="73F38F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года производства завода № 1 - самолетостроение, а </w:t>
      </w:r>
      <w:proofErr w:type="spellStart"/>
      <w:r w:rsidRPr="007122AB">
        <w:rPr>
          <w:rFonts w:ascii="Times New Roman" w:hAnsi="Times New Roman"/>
          <w:color w:val="000000" w:themeColor="text1"/>
          <w:sz w:val="16"/>
          <w:szCs w:val="16"/>
        </w:rPr>
        <w:t>литейноелитейное</w:t>
      </w:r>
      <w:proofErr w:type="spellEnd"/>
      <w:r w:rsidRPr="007122AB">
        <w:rPr>
          <w:rFonts w:ascii="Times New Roman" w:hAnsi="Times New Roman"/>
          <w:color w:val="000000" w:themeColor="text1"/>
          <w:sz w:val="16"/>
          <w:szCs w:val="16"/>
        </w:rPr>
        <w:t xml:space="preserve">, листопрокатное и трубоволочильное (по цветным металлам), </w:t>
      </w:r>
      <w:proofErr w:type="spellStart"/>
      <w:r w:rsidRPr="007122AB">
        <w:rPr>
          <w:rFonts w:ascii="Times New Roman" w:hAnsi="Times New Roman"/>
          <w:color w:val="000000" w:themeColor="text1"/>
          <w:sz w:val="16"/>
          <w:szCs w:val="16"/>
        </w:rPr>
        <w:t>ленторасчалочное</w:t>
      </w:r>
      <w:proofErr w:type="spellEnd"/>
      <w:r w:rsidRPr="007122AB">
        <w:rPr>
          <w:rFonts w:ascii="Times New Roman" w:hAnsi="Times New Roman"/>
          <w:color w:val="000000" w:themeColor="text1"/>
          <w:sz w:val="16"/>
          <w:szCs w:val="16"/>
        </w:rPr>
        <w:t>, радиаторное, стрелковое и бомбардировочное вооружение - были реорганизованы в отдельные самостоятельные заводы.</w:t>
      </w:r>
    </w:p>
    <w:p w14:paraId="61D496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1 был перебазирован на новые специально для него выстроенные площади.</w:t>
      </w:r>
    </w:p>
    <w:p w14:paraId="339838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Прежняя территория завода № 1 была перераспределена между двумя вновь организованными заводами:</w:t>
      </w:r>
    </w:p>
    <w:p w14:paraId="71C36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32 – производство колесное, радиаторное и вооружения (стрелковое и бомбардировочное)</w:t>
      </w:r>
    </w:p>
    <w:p w14:paraId="70D734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 34 – производство листопрокатное, трубоволочильное (по цветным металлам) и </w:t>
      </w:r>
      <w:proofErr w:type="spellStart"/>
      <w:r w:rsidRPr="007122AB">
        <w:rPr>
          <w:rFonts w:ascii="Times New Roman" w:hAnsi="Times New Roman"/>
          <w:color w:val="000000" w:themeColor="text1"/>
          <w:sz w:val="16"/>
          <w:szCs w:val="16"/>
        </w:rPr>
        <w:t>ленторасчалочное</w:t>
      </w:r>
      <w:proofErr w:type="spellEnd"/>
      <w:r w:rsidRPr="007122AB">
        <w:rPr>
          <w:rFonts w:ascii="Times New Roman" w:hAnsi="Times New Roman"/>
          <w:color w:val="000000" w:themeColor="text1"/>
          <w:sz w:val="16"/>
          <w:szCs w:val="16"/>
        </w:rPr>
        <w:t xml:space="preserve">. 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 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w:t>
      </w:r>
      <w:proofErr w:type="spellStart"/>
      <w:r w:rsidRPr="007122AB">
        <w:rPr>
          <w:rFonts w:ascii="Times New Roman" w:hAnsi="Times New Roman"/>
          <w:color w:val="000000" w:themeColor="text1"/>
          <w:sz w:val="16"/>
          <w:szCs w:val="16"/>
        </w:rPr>
        <w:t>винтовочно</w:t>
      </w:r>
      <w:proofErr w:type="spellEnd"/>
      <w:r w:rsidRPr="007122AB">
        <w:rPr>
          <w:rFonts w:ascii="Times New Roman" w:hAnsi="Times New Roman"/>
          <w:color w:val="000000" w:themeColor="text1"/>
          <w:sz w:val="16"/>
          <w:szCs w:val="16"/>
        </w:rPr>
        <w:t>-шомпольных противотанковых гранат Сердюка ГС-1, гранатометов, ежей для противотанковых заграждений и пистолета-пулемета Шпагина (ППШ).</w:t>
      </w:r>
    </w:p>
    <w:p w14:paraId="0B13C4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Характерными этапами с момента организации завода № 43 можно считать следующие:</w:t>
      </w:r>
    </w:p>
    <w:p w14:paraId="1069F1FC"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 завода в период ВОВ.</w:t>
      </w:r>
    </w:p>
    <w:p w14:paraId="4B7500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629592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w:t>
      </w:r>
      <w:proofErr w:type="spellStart"/>
      <w:r w:rsidRPr="007122AB">
        <w:rPr>
          <w:rFonts w:ascii="Times New Roman" w:hAnsi="Times New Roman"/>
          <w:color w:val="000000" w:themeColor="text1"/>
          <w:sz w:val="16"/>
          <w:szCs w:val="16"/>
        </w:rPr>
        <w:t>миннотерпедным</w:t>
      </w:r>
      <w:proofErr w:type="spellEnd"/>
      <w:r w:rsidRPr="007122AB">
        <w:rPr>
          <w:rFonts w:ascii="Times New Roman" w:hAnsi="Times New Roman"/>
          <w:color w:val="000000" w:themeColor="text1"/>
          <w:sz w:val="16"/>
          <w:szCs w:val="16"/>
        </w:rPr>
        <w:t xml:space="preserve"> и стрелковым установкам.</w:t>
      </w:r>
    </w:p>
    <w:p w14:paraId="1F200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2B5905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113019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7D59C2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конструктором ОКБ-43 и завода № 43 по </w:t>
      </w:r>
      <w:proofErr w:type="spellStart"/>
      <w:r w:rsidRPr="007122AB">
        <w:rPr>
          <w:rFonts w:ascii="Times New Roman" w:hAnsi="Times New Roman"/>
          <w:color w:val="000000" w:themeColor="text1"/>
          <w:sz w:val="16"/>
          <w:szCs w:val="16"/>
        </w:rPr>
        <w:t>сериному</w:t>
      </w:r>
      <w:proofErr w:type="spellEnd"/>
      <w:r w:rsidRPr="007122AB">
        <w:rPr>
          <w:rFonts w:ascii="Times New Roman" w:hAnsi="Times New Roman"/>
          <w:color w:val="000000" w:themeColor="text1"/>
          <w:sz w:val="16"/>
          <w:szCs w:val="16"/>
        </w:rPr>
        <w:t xml:space="preserve"> производству был назначен Торопов И.И.</w:t>
      </w:r>
    </w:p>
    <w:p w14:paraId="778104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1002C3" w:rsidRPr="007122AB" w14:paraId="3484B3E3" w14:textId="77777777">
        <w:tc>
          <w:tcPr>
            <w:tcW w:w="1657" w:type="dxa"/>
          </w:tcPr>
          <w:p w14:paraId="2BA7E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Наименование изделий</w:t>
            </w:r>
          </w:p>
        </w:tc>
        <w:tc>
          <w:tcPr>
            <w:tcW w:w="1145" w:type="dxa"/>
          </w:tcPr>
          <w:p w14:paraId="63A154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Единица измерений</w:t>
            </w:r>
          </w:p>
        </w:tc>
        <w:tc>
          <w:tcPr>
            <w:tcW w:w="1134" w:type="dxa"/>
          </w:tcPr>
          <w:p w14:paraId="3F2CD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1942 год</w:t>
            </w:r>
          </w:p>
        </w:tc>
        <w:tc>
          <w:tcPr>
            <w:tcW w:w="1134" w:type="dxa"/>
          </w:tcPr>
          <w:p w14:paraId="35A7F2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1943 год</w:t>
            </w:r>
          </w:p>
        </w:tc>
        <w:tc>
          <w:tcPr>
            <w:tcW w:w="1134" w:type="dxa"/>
          </w:tcPr>
          <w:p w14:paraId="070685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1944 год</w:t>
            </w:r>
          </w:p>
        </w:tc>
        <w:tc>
          <w:tcPr>
            <w:tcW w:w="1134" w:type="dxa"/>
          </w:tcPr>
          <w:p w14:paraId="204EAF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За1945 год</w:t>
            </w:r>
          </w:p>
        </w:tc>
        <w:tc>
          <w:tcPr>
            <w:tcW w:w="1275" w:type="dxa"/>
          </w:tcPr>
          <w:p w14:paraId="05A20A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p>
        </w:tc>
      </w:tr>
      <w:tr w:rsidR="001002C3" w:rsidRPr="007122AB" w14:paraId="1BCC7922" w14:textId="77777777">
        <w:tc>
          <w:tcPr>
            <w:tcW w:w="1657" w:type="dxa"/>
          </w:tcPr>
          <w:p w14:paraId="61F5D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Пистолет-пулемет Шпагина</w:t>
            </w:r>
          </w:p>
        </w:tc>
        <w:tc>
          <w:tcPr>
            <w:tcW w:w="1145" w:type="dxa"/>
          </w:tcPr>
          <w:p w14:paraId="2E48B7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36A4C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63741</w:t>
            </w:r>
          </w:p>
        </w:tc>
        <w:tc>
          <w:tcPr>
            <w:tcW w:w="1134" w:type="dxa"/>
          </w:tcPr>
          <w:p w14:paraId="6A3E3D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99232</w:t>
            </w:r>
          </w:p>
        </w:tc>
        <w:tc>
          <w:tcPr>
            <w:tcW w:w="1134" w:type="dxa"/>
          </w:tcPr>
          <w:p w14:paraId="70CC2D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128643</w:t>
            </w:r>
          </w:p>
        </w:tc>
        <w:tc>
          <w:tcPr>
            <w:tcW w:w="1134" w:type="dxa"/>
          </w:tcPr>
          <w:p w14:paraId="63F79B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44035</w:t>
            </w:r>
          </w:p>
        </w:tc>
        <w:tc>
          <w:tcPr>
            <w:tcW w:w="1275" w:type="dxa"/>
          </w:tcPr>
          <w:p w14:paraId="2D0E61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335651</w:t>
            </w:r>
          </w:p>
        </w:tc>
      </w:tr>
      <w:tr w:rsidR="001002C3" w:rsidRPr="007122AB" w14:paraId="2093FAE0" w14:textId="77777777">
        <w:tc>
          <w:tcPr>
            <w:tcW w:w="1657" w:type="dxa"/>
          </w:tcPr>
          <w:p w14:paraId="0E4FC2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Крыльевой лафет ИЛ-2</w:t>
            </w:r>
          </w:p>
        </w:tc>
        <w:tc>
          <w:tcPr>
            <w:tcW w:w="1145" w:type="dxa"/>
          </w:tcPr>
          <w:p w14:paraId="24F01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292238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3856</w:t>
            </w:r>
          </w:p>
        </w:tc>
        <w:tc>
          <w:tcPr>
            <w:tcW w:w="1134" w:type="dxa"/>
          </w:tcPr>
          <w:p w14:paraId="20DDC5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3888</w:t>
            </w:r>
          </w:p>
        </w:tc>
        <w:tc>
          <w:tcPr>
            <w:tcW w:w="1134" w:type="dxa"/>
          </w:tcPr>
          <w:p w14:paraId="76DBE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D47F4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7C88A0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7744</w:t>
            </w:r>
          </w:p>
        </w:tc>
      </w:tr>
      <w:tr w:rsidR="001002C3" w:rsidRPr="007122AB" w14:paraId="7CD7892F" w14:textId="77777777">
        <w:tc>
          <w:tcPr>
            <w:tcW w:w="1657" w:type="dxa"/>
          </w:tcPr>
          <w:p w14:paraId="680C2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Крыльевой лафет БС-ЯК-7</w:t>
            </w:r>
          </w:p>
        </w:tc>
        <w:tc>
          <w:tcPr>
            <w:tcW w:w="1145" w:type="dxa"/>
          </w:tcPr>
          <w:p w14:paraId="34456A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660C62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w:t>
            </w:r>
          </w:p>
        </w:tc>
        <w:tc>
          <w:tcPr>
            <w:tcW w:w="1134" w:type="dxa"/>
          </w:tcPr>
          <w:p w14:paraId="041A17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1029</w:t>
            </w:r>
          </w:p>
        </w:tc>
        <w:tc>
          <w:tcPr>
            <w:tcW w:w="1134" w:type="dxa"/>
          </w:tcPr>
          <w:p w14:paraId="78105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190</w:t>
            </w:r>
          </w:p>
        </w:tc>
        <w:tc>
          <w:tcPr>
            <w:tcW w:w="1134" w:type="dxa"/>
          </w:tcPr>
          <w:p w14:paraId="26A2A8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49347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1449</w:t>
            </w:r>
          </w:p>
        </w:tc>
      </w:tr>
      <w:tr w:rsidR="001002C3" w:rsidRPr="007122AB" w14:paraId="63E243F4" w14:textId="77777777">
        <w:tc>
          <w:tcPr>
            <w:tcW w:w="1657" w:type="dxa"/>
          </w:tcPr>
          <w:p w14:paraId="73B6CD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Носовая установка ИЛ-4</w:t>
            </w:r>
          </w:p>
        </w:tc>
        <w:tc>
          <w:tcPr>
            <w:tcW w:w="1145" w:type="dxa"/>
          </w:tcPr>
          <w:p w14:paraId="46F3CA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11AAA7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222</w:t>
            </w:r>
          </w:p>
        </w:tc>
        <w:tc>
          <w:tcPr>
            <w:tcW w:w="1134" w:type="dxa"/>
          </w:tcPr>
          <w:p w14:paraId="5AF127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686</w:t>
            </w:r>
          </w:p>
        </w:tc>
        <w:tc>
          <w:tcPr>
            <w:tcW w:w="1134" w:type="dxa"/>
          </w:tcPr>
          <w:p w14:paraId="7073AB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w:t>
            </w:r>
          </w:p>
        </w:tc>
        <w:tc>
          <w:tcPr>
            <w:tcW w:w="1134" w:type="dxa"/>
          </w:tcPr>
          <w:p w14:paraId="209023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54BCA3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928</w:t>
            </w:r>
          </w:p>
        </w:tc>
      </w:tr>
      <w:tr w:rsidR="001002C3" w:rsidRPr="007122AB" w14:paraId="4A196F0A" w14:textId="77777777">
        <w:tc>
          <w:tcPr>
            <w:tcW w:w="1657" w:type="dxa"/>
          </w:tcPr>
          <w:p w14:paraId="7A55CD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Балка РО-82</w:t>
            </w:r>
          </w:p>
        </w:tc>
        <w:tc>
          <w:tcPr>
            <w:tcW w:w="1145" w:type="dxa"/>
          </w:tcPr>
          <w:p w14:paraId="48BE08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3D5547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26990</w:t>
            </w:r>
          </w:p>
        </w:tc>
        <w:tc>
          <w:tcPr>
            <w:tcW w:w="1134" w:type="dxa"/>
          </w:tcPr>
          <w:p w14:paraId="0BADDB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104</w:t>
            </w:r>
          </w:p>
        </w:tc>
        <w:tc>
          <w:tcPr>
            <w:tcW w:w="1134" w:type="dxa"/>
          </w:tcPr>
          <w:p w14:paraId="27D80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2626BE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376F76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27094</w:t>
            </w:r>
          </w:p>
        </w:tc>
      </w:tr>
      <w:tr w:rsidR="001002C3" w:rsidRPr="007122AB" w14:paraId="7AE2FCD5" w14:textId="77777777">
        <w:tc>
          <w:tcPr>
            <w:tcW w:w="1657" w:type="dxa"/>
          </w:tcPr>
          <w:p w14:paraId="4CC5A6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Сбрасыватель ЭСБР-3п</w:t>
            </w:r>
          </w:p>
        </w:tc>
        <w:tc>
          <w:tcPr>
            <w:tcW w:w="1145" w:type="dxa"/>
          </w:tcPr>
          <w:p w14:paraId="557F3A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0CFDBA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9093</w:t>
            </w:r>
          </w:p>
        </w:tc>
        <w:tc>
          <w:tcPr>
            <w:tcW w:w="1134" w:type="dxa"/>
          </w:tcPr>
          <w:p w14:paraId="7CE030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8596</w:t>
            </w:r>
          </w:p>
        </w:tc>
        <w:tc>
          <w:tcPr>
            <w:tcW w:w="1134" w:type="dxa"/>
          </w:tcPr>
          <w:p w14:paraId="3FB272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3BE903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752A82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17689</w:t>
            </w:r>
          </w:p>
        </w:tc>
      </w:tr>
      <w:tr w:rsidR="001002C3" w:rsidRPr="007122AB" w14:paraId="2FDDF8B5" w14:textId="77777777">
        <w:tc>
          <w:tcPr>
            <w:tcW w:w="1657" w:type="dxa"/>
          </w:tcPr>
          <w:p w14:paraId="710A72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Граната ГС-1</w:t>
            </w:r>
          </w:p>
        </w:tc>
        <w:tc>
          <w:tcPr>
            <w:tcW w:w="1145" w:type="dxa"/>
          </w:tcPr>
          <w:p w14:paraId="38CB6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6EB58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52140</w:t>
            </w:r>
          </w:p>
        </w:tc>
        <w:tc>
          <w:tcPr>
            <w:tcW w:w="1134" w:type="dxa"/>
          </w:tcPr>
          <w:p w14:paraId="456FB4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9730A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7D542B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2128A8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52140</w:t>
            </w:r>
          </w:p>
        </w:tc>
      </w:tr>
      <w:tr w:rsidR="001002C3" w:rsidRPr="007122AB" w14:paraId="1C67B92B" w14:textId="77777777">
        <w:tc>
          <w:tcPr>
            <w:tcW w:w="1657" w:type="dxa"/>
          </w:tcPr>
          <w:p w14:paraId="719B0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ВАП-6м</w:t>
            </w:r>
          </w:p>
        </w:tc>
        <w:tc>
          <w:tcPr>
            <w:tcW w:w="1145" w:type="dxa"/>
          </w:tcPr>
          <w:p w14:paraId="641030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5C2640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3800</w:t>
            </w:r>
          </w:p>
        </w:tc>
        <w:tc>
          <w:tcPr>
            <w:tcW w:w="1134" w:type="dxa"/>
          </w:tcPr>
          <w:p w14:paraId="428032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200</w:t>
            </w:r>
          </w:p>
        </w:tc>
        <w:tc>
          <w:tcPr>
            <w:tcW w:w="1134" w:type="dxa"/>
          </w:tcPr>
          <w:p w14:paraId="4B226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024B7D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2521CA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4000</w:t>
            </w:r>
          </w:p>
        </w:tc>
      </w:tr>
      <w:tr w:rsidR="001002C3" w:rsidRPr="007122AB" w14:paraId="33922407" w14:textId="77777777">
        <w:tc>
          <w:tcPr>
            <w:tcW w:w="1657" w:type="dxa"/>
          </w:tcPr>
          <w:p w14:paraId="52376A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ДАГ-10</w:t>
            </w:r>
          </w:p>
        </w:tc>
        <w:tc>
          <w:tcPr>
            <w:tcW w:w="1145" w:type="dxa"/>
          </w:tcPr>
          <w:p w14:paraId="330F05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6258D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1582</w:t>
            </w:r>
          </w:p>
        </w:tc>
        <w:tc>
          <w:tcPr>
            <w:tcW w:w="1134" w:type="dxa"/>
          </w:tcPr>
          <w:p w14:paraId="045303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4522</w:t>
            </w:r>
          </w:p>
        </w:tc>
        <w:tc>
          <w:tcPr>
            <w:tcW w:w="1134" w:type="dxa"/>
          </w:tcPr>
          <w:p w14:paraId="7FC236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6677</w:t>
            </w:r>
          </w:p>
        </w:tc>
        <w:tc>
          <w:tcPr>
            <w:tcW w:w="1134" w:type="dxa"/>
          </w:tcPr>
          <w:p w14:paraId="58A388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1700</w:t>
            </w:r>
          </w:p>
        </w:tc>
        <w:tc>
          <w:tcPr>
            <w:tcW w:w="1275" w:type="dxa"/>
          </w:tcPr>
          <w:p w14:paraId="14A907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14481</w:t>
            </w:r>
          </w:p>
        </w:tc>
      </w:tr>
      <w:tr w:rsidR="001002C3" w:rsidRPr="007122AB" w14:paraId="3E7AD227" w14:textId="77777777">
        <w:tc>
          <w:tcPr>
            <w:tcW w:w="1657" w:type="dxa"/>
          </w:tcPr>
          <w:p w14:paraId="087CE8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Замки Дер-21 с п/п</w:t>
            </w:r>
          </w:p>
        </w:tc>
        <w:tc>
          <w:tcPr>
            <w:tcW w:w="1145" w:type="dxa"/>
          </w:tcPr>
          <w:p w14:paraId="3AF232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78770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2854</w:t>
            </w:r>
          </w:p>
        </w:tc>
        <w:tc>
          <w:tcPr>
            <w:tcW w:w="1134" w:type="dxa"/>
          </w:tcPr>
          <w:p w14:paraId="0A0E1F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3125</w:t>
            </w:r>
          </w:p>
        </w:tc>
        <w:tc>
          <w:tcPr>
            <w:tcW w:w="1134" w:type="dxa"/>
          </w:tcPr>
          <w:p w14:paraId="5AD1ED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427F45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27A34A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5979</w:t>
            </w:r>
          </w:p>
        </w:tc>
      </w:tr>
      <w:tr w:rsidR="001002C3" w:rsidRPr="007122AB" w14:paraId="28AB88E0" w14:textId="77777777">
        <w:tc>
          <w:tcPr>
            <w:tcW w:w="1657" w:type="dxa"/>
          </w:tcPr>
          <w:p w14:paraId="08DCF6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Замки Д-3-42</w:t>
            </w:r>
          </w:p>
        </w:tc>
        <w:tc>
          <w:tcPr>
            <w:tcW w:w="1145" w:type="dxa"/>
          </w:tcPr>
          <w:p w14:paraId="1FF933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362DC3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1352</w:t>
            </w:r>
          </w:p>
        </w:tc>
        <w:tc>
          <w:tcPr>
            <w:tcW w:w="1134" w:type="dxa"/>
          </w:tcPr>
          <w:p w14:paraId="14C069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3945</w:t>
            </w:r>
          </w:p>
        </w:tc>
        <w:tc>
          <w:tcPr>
            <w:tcW w:w="1134" w:type="dxa"/>
          </w:tcPr>
          <w:p w14:paraId="34A9A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B34F5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275" w:type="dxa"/>
          </w:tcPr>
          <w:p w14:paraId="69B03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5297</w:t>
            </w:r>
          </w:p>
        </w:tc>
      </w:tr>
      <w:tr w:rsidR="001002C3" w:rsidRPr="007122AB" w14:paraId="4D85636C" w14:textId="77777777">
        <w:tc>
          <w:tcPr>
            <w:tcW w:w="1657" w:type="dxa"/>
          </w:tcPr>
          <w:p w14:paraId="57AEC7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Замки Дер-20</w:t>
            </w:r>
          </w:p>
        </w:tc>
        <w:tc>
          <w:tcPr>
            <w:tcW w:w="1145" w:type="dxa"/>
          </w:tcPr>
          <w:p w14:paraId="6720A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6B5539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3F8983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296</w:t>
            </w:r>
          </w:p>
        </w:tc>
        <w:tc>
          <w:tcPr>
            <w:tcW w:w="1134" w:type="dxa"/>
          </w:tcPr>
          <w:p w14:paraId="19841C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134" w:type="dxa"/>
          </w:tcPr>
          <w:p w14:paraId="7C3334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275" w:type="dxa"/>
          </w:tcPr>
          <w:p w14:paraId="53786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366</w:t>
            </w:r>
          </w:p>
        </w:tc>
      </w:tr>
      <w:tr w:rsidR="001002C3" w:rsidRPr="007122AB" w14:paraId="317CF7A8" w14:textId="77777777">
        <w:tc>
          <w:tcPr>
            <w:tcW w:w="1657" w:type="dxa"/>
          </w:tcPr>
          <w:p w14:paraId="1143FF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Замки Дер-19</w:t>
            </w:r>
          </w:p>
        </w:tc>
        <w:tc>
          <w:tcPr>
            <w:tcW w:w="1145" w:type="dxa"/>
          </w:tcPr>
          <w:p w14:paraId="78A9CB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24F9E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228A42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410</w:t>
            </w:r>
          </w:p>
        </w:tc>
        <w:tc>
          <w:tcPr>
            <w:tcW w:w="1134" w:type="dxa"/>
          </w:tcPr>
          <w:p w14:paraId="2D1870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107</w:t>
            </w:r>
          </w:p>
        </w:tc>
        <w:tc>
          <w:tcPr>
            <w:tcW w:w="1134" w:type="dxa"/>
          </w:tcPr>
          <w:p w14:paraId="1DAFA0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1275" w:type="dxa"/>
          </w:tcPr>
          <w:p w14:paraId="75AAB8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547</w:t>
            </w:r>
          </w:p>
        </w:tc>
      </w:tr>
      <w:tr w:rsidR="001002C3" w:rsidRPr="007122AB" w14:paraId="47A28350" w14:textId="77777777">
        <w:tc>
          <w:tcPr>
            <w:tcW w:w="1657" w:type="dxa"/>
          </w:tcPr>
          <w:p w14:paraId="2235C4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ВУБ-3</w:t>
            </w:r>
          </w:p>
        </w:tc>
        <w:tc>
          <w:tcPr>
            <w:tcW w:w="1145" w:type="dxa"/>
          </w:tcPr>
          <w:p w14:paraId="03B755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2B59A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290743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4383</w:t>
            </w:r>
          </w:p>
        </w:tc>
        <w:tc>
          <w:tcPr>
            <w:tcW w:w="1134" w:type="dxa"/>
          </w:tcPr>
          <w:p w14:paraId="16B33A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8339</w:t>
            </w:r>
          </w:p>
        </w:tc>
        <w:tc>
          <w:tcPr>
            <w:tcW w:w="1134" w:type="dxa"/>
          </w:tcPr>
          <w:p w14:paraId="74DA91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3490</w:t>
            </w:r>
          </w:p>
        </w:tc>
        <w:tc>
          <w:tcPr>
            <w:tcW w:w="1275" w:type="dxa"/>
          </w:tcPr>
          <w:p w14:paraId="000B2B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16212</w:t>
            </w:r>
          </w:p>
        </w:tc>
      </w:tr>
      <w:tr w:rsidR="001002C3" w:rsidRPr="007122AB" w14:paraId="2281B22A" w14:textId="77777777">
        <w:tc>
          <w:tcPr>
            <w:tcW w:w="1657" w:type="dxa"/>
          </w:tcPr>
          <w:p w14:paraId="409473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ВУБ-2</w:t>
            </w:r>
          </w:p>
        </w:tc>
        <w:tc>
          <w:tcPr>
            <w:tcW w:w="1145" w:type="dxa"/>
          </w:tcPr>
          <w:p w14:paraId="1A0F6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5CE115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41F5BF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0BB50A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367</w:t>
            </w:r>
          </w:p>
        </w:tc>
        <w:tc>
          <w:tcPr>
            <w:tcW w:w="1134" w:type="dxa"/>
          </w:tcPr>
          <w:p w14:paraId="3B667D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762</w:t>
            </w:r>
          </w:p>
        </w:tc>
        <w:tc>
          <w:tcPr>
            <w:tcW w:w="1275" w:type="dxa"/>
          </w:tcPr>
          <w:p w14:paraId="65EBCF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1129</w:t>
            </w:r>
          </w:p>
        </w:tc>
      </w:tr>
      <w:tr w:rsidR="001002C3" w:rsidRPr="007122AB" w14:paraId="34101989" w14:textId="77777777">
        <w:tc>
          <w:tcPr>
            <w:tcW w:w="1657" w:type="dxa"/>
          </w:tcPr>
          <w:p w14:paraId="649CAA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Наружная подвеска ИЛ-4</w:t>
            </w:r>
          </w:p>
        </w:tc>
        <w:tc>
          <w:tcPr>
            <w:tcW w:w="1145" w:type="dxa"/>
          </w:tcPr>
          <w:p w14:paraId="694FA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2F18FF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D0FDC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580</w:t>
            </w:r>
          </w:p>
        </w:tc>
        <w:tc>
          <w:tcPr>
            <w:tcW w:w="1134" w:type="dxa"/>
          </w:tcPr>
          <w:p w14:paraId="14946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230</w:t>
            </w:r>
          </w:p>
        </w:tc>
        <w:tc>
          <w:tcPr>
            <w:tcW w:w="1134" w:type="dxa"/>
          </w:tcPr>
          <w:p w14:paraId="1CDF49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275" w:type="dxa"/>
          </w:tcPr>
          <w:p w14:paraId="3D1A4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960</w:t>
            </w:r>
          </w:p>
        </w:tc>
      </w:tr>
      <w:tr w:rsidR="001002C3" w:rsidRPr="007122AB" w14:paraId="2B37ACD0" w14:textId="77777777">
        <w:tc>
          <w:tcPr>
            <w:tcW w:w="1657" w:type="dxa"/>
          </w:tcPr>
          <w:p w14:paraId="68B05F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Наружная подвеска ЛИ-2</w:t>
            </w:r>
          </w:p>
        </w:tc>
        <w:tc>
          <w:tcPr>
            <w:tcW w:w="1145" w:type="dxa"/>
          </w:tcPr>
          <w:p w14:paraId="515098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1BE5DC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5C593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400</w:t>
            </w:r>
          </w:p>
        </w:tc>
        <w:tc>
          <w:tcPr>
            <w:tcW w:w="1134" w:type="dxa"/>
          </w:tcPr>
          <w:p w14:paraId="66BBA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525</w:t>
            </w:r>
          </w:p>
        </w:tc>
        <w:tc>
          <w:tcPr>
            <w:tcW w:w="1134" w:type="dxa"/>
          </w:tcPr>
          <w:p w14:paraId="473A17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225</w:t>
            </w:r>
          </w:p>
        </w:tc>
        <w:tc>
          <w:tcPr>
            <w:tcW w:w="1275" w:type="dxa"/>
          </w:tcPr>
          <w:p w14:paraId="1A96E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1150</w:t>
            </w:r>
          </w:p>
        </w:tc>
      </w:tr>
      <w:tr w:rsidR="001002C3" w:rsidRPr="007122AB" w14:paraId="4295FE4F" w14:textId="77777777">
        <w:tc>
          <w:tcPr>
            <w:tcW w:w="1657" w:type="dxa"/>
          </w:tcPr>
          <w:p w14:paraId="11ED68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Торпедодержатель</w:t>
            </w:r>
            <w:proofErr w:type="spellEnd"/>
            <w:r w:rsidRPr="007122AB">
              <w:rPr>
                <w:rFonts w:ascii="Times New Roman" w:hAnsi="Times New Roman"/>
                <w:color w:val="000000" w:themeColor="text1"/>
                <w:sz w:val="16"/>
                <w:szCs w:val="16"/>
              </w:rPr>
              <w:t xml:space="preserve"> 2Т-18</w:t>
            </w:r>
          </w:p>
        </w:tc>
        <w:tc>
          <w:tcPr>
            <w:tcW w:w="1145" w:type="dxa"/>
          </w:tcPr>
          <w:p w14:paraId="5BD2A8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3BA647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752287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w:t>
            </w:r>
          </w:p>
        </w:tc>
        <w:tc>
          <w:tcPr>
            <w:tcW w:w="1134" w:type="dxa"/>
          </w:tcPr>
          <w:p w14:paraId="48B4ED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270</w:t>
            </w:r>
          </w:p>
        </w:tc>
        <w:tc>
          <w:tcPr>
            <w:tcW w:w="1134" w:type="dxa"/>
          </w:tcPr>
          <w:p w14:paraId="600DE3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340</w:t>
            </w:r>
          </w:p>
        </w:tc>
        <w:tc>
          <w:tcPr>
            <w:tcW w:w="1275" w:type="dxa"/>
          </w:tcPr>
          <w:p w14:paraId="0FD6E8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822</w:t>
            </w:r>
          </w:p>
        </w:tc>
      </w:tr>
      <w:tr w:rsidR="001002C3" w:rsidRPr="007122AB" w14:paraId="49526D9E" w14:textId="77777777">
        <w:tc>
          <w:tcPr>
            <w:tcW w:w="1657" w:type="dxa"/>
          </w:tcPr>
          <w:p w14:paraId="0F49EF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Лафет ШВАК на ТУ-2</w:t>
            </w:r>
          </w:p>
        </w:tc>
        <w:tc>
          <w:tcPr>
            <w:tcW w:w="1145" w:type="dxa"/>
          </w:tcPr>
          <w:p w14:paraId="22674A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Комплект</w:t>
            </w:r>
          </w:p>
        </w:tc>
        <w:tc>
          <w:tcPr>
            <w:tcW w:w="1134" w:type="dxa"/>
          </w:tcPr>
          <w:p w14:paraId="6FA60E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5075D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61</w:t>
            </w:r>
          </w:p>
        </w:tc>
        <w:tc>
          <w:tcPr>
            <w:tcW w:w="1134" w:type="dxa"/>
          </w:tcPr>
          <w:p w14:paraId="53F4D1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429</w:t>
            </w:r>
          </w:p>
        </w:tc>
        <w:tc>
          <w:tcPr>
            <w:tcW w:w="1134" w:type="dxa"/>
          </w:tcPr>
          <w:p w14:paraId="72258A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916</w:t>
            </w:r>
          </w:p>
        </w:tc>
        <w:tc>
          <w:tcPr>
            <w:tcW w:w="1275" w:type="dxa"/>
          </w:tcPr>
          <w:p w14:paraId="254E56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1406</w:t>
            </w:r>
          </w:p>
        </w:tc>
      </w:tr>
      <w:tr w:rsidR="001002C3" w:rsidRPr="007122AB" w14:paraId="7FA8E53C" w14:textId="77777777">
        <w:tc>
          <w:tcPr>
            <w:tcW w:w="1657" w:type="dxa"/>
          </w:tcPr>
          <w:p w14:paraId="7A441A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Блистерная установка на ТУ-2</w:t>
            </w:r>
          </w:p>
        </w:tc>
        <w:tc>
          <w:tcPr>
            <w:tcW w:w="1145" w:type="dxa"/>
          </w:tcPr>
          <w:p w14:paraId="21B83F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34740C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30745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134" w:type="dxa"/>
          </w:tcPr>
          <w:p w14:paraId="28F0CD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453</w:t>
            </w:r>
          </w:p>
        </w:tc>
        <w:tc>
          <w:tcPr>
            <w:tcW w:w="1134" w:type="dxa"/>
          </w:tcPr>
          <w:p w14:paraId="391AC9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898</w:t>
            </w:r>
          </w:p>
        </w:tc>
        <w:tc>
          <w:tcPr>
            <w:tcW w:w="1275" w:type="dxa"/>
          </w:tcPr>
          <w:p w14:paraId="53BFC9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1411</w:t>
            </w:r>
          </w:p>
        </w:tc>
      </w:tr>
      <w:tr w:rsidR="001002C3" w:rsidRPr="007122AB" w14:paraId="3F53E610" w14:textId="77777777">
        <w:tc>
          <w:tcPr>
            <w:tcW w:w="1657" w:type="dxa"/>
          </w:tcPr>
          <w:p w14:paraId="0D6F2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Аварийный сбрасыватель на ТУ-2</w:t>
            </w:r>
          </w:p>
        </w:tc>
        <w:tc>
          <w:tcPr>
            <w:tcW w:w="1145" w:type="dxa"/>
          </w:tcPr>
          <w:p w14:paraId="7BD876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3A546B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539BB4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134" w:type="dxa"/>
          </w:tcPr>
          <w:p w14:paraId="175EF5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491</w:t>
            </w:r>
          </w:p>
        </w:tc>
        <w:tc>
          <w:tcPr>
            <w:tcW w:w="1134" w:type="dxa"/>
          </w:tcPr>
          <w:p w14:paraId="310F8C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286</w:t>
            </w:r>
          </w:p>
        </w:tc>
        <w:tc>
          <w:tcPr>
            <w:tcW w:w="1275" w:type="dxa"/>
          </w:tcPr>
          <w:p w14:paraId="3C846C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837</w:t>
            </w:r>
          </w:p>
        </w:tc>
      </w:tr>
      <w:tr w:rsidR="001002C3" w:rsidRPr="007122AB" w14:paraId="6D2DEAE2" w14:textId="77777777">
        <w:tc>
          <w:tcPr>
            <w:tcW w:w="1657" w:type="dxa"/>
          </w:tcPr>
          <w:p w14:paraId="10ADDA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Кассета ПКД-2</w:t>
            </w:r>
          </w:p>
        </w:tc>
        <w:tc>
          <w:tcPr>
            <w:tcW w:w="1145" w:type="dxa"/>
          </w:tcPr>
          <w:p w14:paraId="78A2DB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1AC10B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7ADB4A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134" w:type="dxa"/>
          </w:tcPr>
          <w:p w14:paraId="49C741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461</w:t>
            </w:r>
          </w:p>
        </w:tc>
        <w:tc>
          <w:tcPr>
            <w:tcW w:w="1134" w:type="dxa"/>
          </w:tcPr>
          <w:p w14:paraId="7C1AA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880</w:t>
            </w:r>
          </w:p>
        </w:tc>
        <w:tc>
          <w:tcPr>
            <w:tcW w:w="1275" w:type="dxa"/>
          </w:tcPr>
          <w:p w14:paraId="2688E7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1342</w:t>
            </w:r>
          </w:p>
        </w:tc>
      </w:tr>
      <w:tr w:rsidR="001002C3" w:rsidRPr="007122AB" w14:paraId="2990FFA0" w14:textId="77777777">
        <w:tc>
          <w:tcPr>
            <w:tcW w:w="1657" w:type="dxa"/>
          </w:tcPr>
          <w:p w14:paraId="1598E2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Пиропистолет</w:t>
            </w:r>
            <w:proofErr w:type="spellEnd"/>
          </w:p>
        </w:tc>
        <w:tc>
          <w:tcPr>
            <w:tcW w:w="1145" w:type="dxa"/>
          </w:tcPr>
          <w:p w14:paraId="2523FF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Штук</w:t>
            </w:r>
          </w:p>
        </w:tc>
        <w:tc>
          <w:tcPr>
            <w:tcW w:w="1134" w:type="dxa"/>
          </w:tcPr>
          <w:p w14:paraId="710183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21895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134" w:type="dxa"/>
          </w:tcPr>
          <w:p w14:paraId="642ECA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2939</w:t>
            </w:r>
          </w:p>
        </w:tc>
        <w:tc>
          <w:tcPr>
            <w:tcW w:w="1134" w:type="dxa"/>
          </w:tcPr>
          <w:p w14:paraId="721576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1692</w:t>
            </w:r>
          </w:p>
        </w:tc>
        <w:tc>
          <w:tcPr>
            <w:tcW w:w="1275" w:type="dxa"/>
          </w:tcPr>
          <w:p w14:paraId="3C7683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4631</w:t>
            </w:r>
          </w:p>
        </w:tc>
      </w:tr>
    </w:tbl>
    <w:p w14:paraId="3AAB5BEA"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 завода в переходный период (май 1945 года – май 1946 года), когда завод в значительных </w:t>
      </w:r>
      <w:proofErr w:type="spellStart"/>
      <w:r w:rsidRPr="007122AB">
        <w:rPr>
          <w:rFonts w:ascii="Times New Roman" w:hAnsi="Times New Roman"/>
          <w:color w:val="000000" w:themeColor="text1"/>
          <w:sz w:val="16"/>
          <w:szCs w:val="16"/>
        </w:rPr>
        <w:t>размераз</w:t>
      </w:r>
      <w:proofErr w:type="spellEnd"/>
      <w:r w:rsidRPr="007122AB">
        <w:rPr>
          <w:rFonts w:ascii="Times New Roman" w:hAnsi="Times New Roman"/>
          <w:color w:val="000000" w:themeColor="text1"/>
          <w:sz w:val="16"/>
          <w:szCs w:val="16"/>
        </w:rPr>
        <w:t xml:space="preserve"> снизил выпуск военной продукции и перешел на производство и выпуск гражданской продукции и изделий широкого потребления.</w:t>
      </w:r>
    </w:p>
    <w:p w14:paraId="5AF202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Работа завода в период </w:t>
      </w:r>
      <w:proofErr w:type="spellStart"/>
      <w:r w:rsidRPr="007122AB">
        <w:rPr>
          <w:rFonts w:ascii="Times New Roman" w:hAnsi="Times New Roman"/>
          <w:color w:val="000000" w:themeColor="text1"/>
          <w:sz w:val="16"/>
          <w:szCs w:val="16"/>
        </w:rPr>
        <w:t>осовения</w:t>
      </w:r>
      <w:proofErr w:type="spellEnd"/>
      <w:r w:rsidRPr="007122AB">
        <w:rPr>
          <w:rFonts w:ascii="Times New Roman" w:hAnsi="Times New Roman"/>
          <w:color w:val="000000" w:themeColor="text1"/>
          <w:sz w:val="16"/>
          <w:szCs w:val="16"/>
        </w:rPr>
        <w:t xml:space="preserve"> и выпуска нового </w:t>
      </w:r>
      <w:proofErr w:type="spellStart"/>
      <w:r w:rsidRPr="007122AB">
        <w:rPr>
          <w:rFonts w:ascii="Times New Roman" w:hAnsi="Times New Roman"/>
          <w:color w:val="000000" w:themeColor="text1"/>
          <w:sz w:val="16"/>
          <w:szCs w:val="16"/>
        </w:rPr>
        <w:t>электрофицированного</w:t>
      </w:r>
      <w:proofErr w:type="spellEnd"/>
      <w:r w:rsidRPr="007122AB">
        <w:rPr>
          <w:rFonts w:ascii="Times New Roman" w:hAnsi="Times New Roman"/>
          <w:color w:val="000000" w:themeColor="text1"/>
          <w:sz w:val="16"/>
          <w:szCs w:val="16"/>
        </w:rPr>
        <w:t xml:space="preserve"> стрелково-пушечного вооружения и специзделий реактивной техники. Начиная с мая 1946 года завод получил задание приступить к организации производства по освоению и выпуску </w:t>
      </w:r>
      <w:proofErr w:type="spellStart"/>
      <w:r w:rsidRPr="007122AB">
        <w:rPr>
          <w:rFonts w:ascii="Times New Roman" w:hAnsi="Times New Roman"/>
          <w:color w:val="000000" w:themeColor="text1"/>
          <w:sz w:val="16"/>
          <w:szCs w:val="16"/>
        </w:rPr>
        <w:t>электрофицированного</w:t>
      </w:r>
      <w:proofErr w:type="spellEnd"/>
      <w:r w:rsidRPr="007122AB">
        <w:rPr>
          <w:rFonts w:ascii="Times New Roman" w:hAnsi="Times New Roman"/>
          <w:color w:val="000000" w:themeColor="text1"/>
          <w:sz w:val="16"/>
          <w:szCs w:val="16"/>
        </w:rPr>
        <w:t xml:space="preserve"> дистанционного стрелково-пушечного вооружения СВ-20 на самолет ТУ-4.</w:t>
      </w:r>
    </w:p>
    <w:p w14:paraId="1146FD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B6F6D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2CBE1B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Москва, Д-40, ул. Правды, д. 8</w:t>
      </w:r>
    </w:p>
    <w:p w14:paraId="14242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49501E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A923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 конца 1931 г. </w:t>
      </w:r>
      <w:proofErr w:type="spellStart"/>
      <w:r w:rsidRPr="007122AB">
        <w:rPr>
          <w:rFonts w:ascii="Times New Roman" w:hAnsi="Times New Roman"/>
          <w:color w:val="000000" w:themeColor="text1"/>
          <w:sz w:val="16"/>
          <w:szCs w:val="16"/>
        </w:rPr>
        <w:t>Гипроавиапром</w:t>
      </w:r>
      <w:proofErr w:type="spellEnd"/>
      <w:r w:rsidRPr="007122AB">
        <w:rPr>
          <w:rFonts w:ascii="Times New Roman" w:hAnsi="Times New Roman"/>
          <w:color w:val="000000" w:themeColor="text1"/>
          <w:sz w:val="16"/>
          <w:szCs w:val="16"/>
        </w:rPr>
        <w:t xml:space="preserve"> (Институт проектирования авиазаводов) приступил к проведению изыскательных работ по этой теме. Не дожидаясь окончания и результатов исследований, Совет Труда и Обороны (СТО), высший орган власти в СССР, уже решил, что первая очередь казанских авиазаводов № 124 и моторного № 130 должна вступить в эксплуатацию с первого квартала 1934 г., а полное освоение мощностей намечалось на следующий год.</w:t>
      </w:r>
    </w:p>
    <w:p w14:paraId="70B891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16 февраля 1932 г. вышло постановление СТО о строительстве в Казани, с центром в селе Караваево, </w:t>
      </w:r>
      <w:proofErr w:type="spellStart"/>
      <w:r w:rsidRPr="007122AB">
        <w:rPr>
          <w:rFonts w:ascii="Times New Roman" w:hAnsi="Times New Roman"/>
          <w:color w:val="000000" w:themeColor="text1"/>
          <w:sz w:val="16"/>
          <w:szCs w:val="16"/>
        </w:rPr>
        <w:t>авиакомбината</w:t>
      </w:r>
      <w:proofErr w:type="spellEnd"/>
      <w:r w:rsidRPr="007122AB">
        <w:rPr>
          <w:rFonts w:ascii="Times New Roman" w:hAnsi="Times New Roman"/>
          <w:color w:val="000000" w:themeColor="text1"/>
          <w:sz w:val="16"/>
          <w:szCs w:val="16"/>
        </w:rPr>
        <w:t xml:space="preserve"> мощностью в 2400 самолетов ТБ-3 и 20000 моторов М-34 (или «</w:t>
      </w:r>
      <w:proofErr w:type="spellStart"/>
      <w:r w:rsidRPr="007122AB">
        <w:rPr>
          <w:rFonts w:ascii="Times New Roman" w:hAnsi="Times New Roman"/>
          <w:color w:val="000000" w:themeColor="text1"/>
          <w:sz w:val="16"/>
          <w:szCs w:val="16"/>
        </w:rPr>
        <w:t>Кертисс-Конкверор</w:t>
      </w:r>
      <w:proofErr w:type="spellEnd"/>
      <w:r w:rsidRPr="007122AB">
        <w:rPr>
          <w:rFonts w:ascii="Times New Roman" w:hAnsi="Times New Roman"/>
          <w:color w:val="000000" w:themeColor="text1"/>
          <w:sz w:val="16"/>
          <w:szCs w:val="16"/>
        </w:rPr>
        <w:t>») в год. Напомним читателю, что всего в 1932 г. в СССР выпустили 2509 самолетов.</w:t>
      </w:r>
    </w:p>
    <w:p w14:paraId="73A56A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апреле, на пленуме Техсовета ГУАП был утвержден проект специалистов </w:t>
      </w:r>
      <w:proofErr w:type="spellStart"/>
      <w:r w:rsidRPr="007122AB">
        <w:rPr>
          <w:rFonts w:ascii="Times New Roman" w:hAnsi="Times New Roman"/>
          <w:color w:val="000000" w:themeColor="text1"/>
          <w:sz w:val="16"/>
          <w:szCs w:val="16"/>
        </w:rPr>
        <w:t>Гипроавиапрома</w:t>
      </w:r>
      <w:proofErr w:type="spellEnd"/>
      <w:r w:rsidRPr="007122AB">
        <w:rPr>
          <w:rFonts w:ascii="Times New Roman" w:hAnsi="Times New Roman"/>
          <w:color w:val="000000" w:themeColor="text1"/>
          <w:sz w:val="16"/>
          <w:szCs w:val="16"/>
        </w:rPr>
        <w:t xml:space="preserve"> по строительству в Казани «самолетостроительного завода с выпуском машин типа АНТ-4/АНТ-6, моторного завода с выпуском двигателей типа «</w:t>
      </w:r>
      <w:proofErr w:type="spellStart"/>
      <w:r w:rsidRPr="007122AB">
        <w:rPr>
          <w:rFonts w:ascii="Times New Roman" w:hAnsi="Times New Roman"/>
          <w:color w:val="000000" w:themeColor="text1"/>
          <w:sz w:val="16"/>
          <w:szCs w:val="16"/>
        </w:rPr>
        <w:t>Кертисс-Конкверор</w:t>
      </w:r>
      <w:proofErr w:type="spellEnd"/>
      <w:r w:rsidRPr="007122AB">
        <w:rPr>
          <w:rFonts w:ascii="Times New Roman" w:hAnsi="Times New Roman"/>
          <w:color w:val="000000" w:themeColor="text1"/>
          <w:sz w:val="16"/>
          <w:szCs w:val="16"/>
        </w:rPr>
        <w:t>»,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2BEF8D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20205E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w:t>
      </w:r>
      <w:proofErr w:type="spellStart"/>
      <w:r w:rsidRPr="007122AB">
        <w:rPr>
          <w:rFonts w:ascii="Times New Roman" w:hAnsi="Times New Roman"/>
          <w:color w:val="000000" w:themeColor="text1"/>
          <w:sz w:val="16"/>
          <w:szCs w:val="16"/>
        </w:rPr>
        <w:t>авиакомбината</w:t>
      </w:r>
      <w:proofErr w:type="spellEnd"/>
      <w:r w:rsidRPr="007122AB">
        <w:rPr>
          <w:rFonts w:ascii="Times New Roman" w:hAnsi="Times New Roman"/>
          <w:color w:val="000000" w:themeColor="text1"/>
          <w:sz w:val="16"/>
          <w:szCs w:val="16"/>
        </w:rPr>
        <w:t xml:space="preserve"> № 124. Начальником «</w:t>
      </w:r>
      <w:proofErr w:type="spellStart"/>
      <w:r w:rsidRPr="007122AB">
        <w:rPr>
          <w:rFonts w:ascii="Times New Roman" w:hAnsi="Times New Roman"/>
          <w:color w:val="000000" w:themeColor="text1"/>
          <w:sz w:val="16"/>
          <w:szCs w:val="16"/>
        </w:rPr>
        <w:t>Казавиастроя</w:t>
      </w:r>
      <w:proofErr w:type="spellEnd"/>
      <w:r w:rsidRPr="007122AB">
        <w:rPr>
          <w:rFonts w:ascii="Times New Roman" w:hAnsi="Times New Roman"/>
          <w:color w:val="000000" w:themeColor="text1"/>
          <w:sz w:val="16"/>
          <w:szCs w:val="16"/>
        </w:rPr>
        <w:t>»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14E08F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Как только ни называли тогдашнюю «Стройку века» - </w:t>
      </w:r>
      <w:proofErr w:type="spellStart"/>
      <w:r w:rsidRPr="007122AB">
        <w:rPr>
          <w:rFonts w:ascii="Times New Roman" w:hAnsi="Times New Roman"/>
          <w:color w:val="000000" w:themeColor="text1"/>
          <w:sz w:val="16"/>
          <w:szCs w:val="16"/>
        </w:rPr>
        <w:t>Казавиастрой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Казавиакомбинат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Казмашстрой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Казмашстройкомбинат</w:t>
      </w:r>
      <w:proofErr w:type="spellEnd"/>
      <w:r w:rsidRPr="007122AB">
        <w:rPr>
          <w:rFonts w:ascii="Times New Roman" w:hAnsi="Times New Roman"/>
          <w:color w:val="000000" w:themeColor="text1"/>
          <w:sz w:val="16"/>
          <w:szCs w:val="16"/>
        </w:rPr>
        <w:t>...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05E347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w:t>
      </w:r>
      <w:proofErr w:type="spellStart"/>
      <w:r w:rsidRPr="007122AB">
        <w:rPr>
          <w:rFonts w:ascii="Times New Roman" w:hAnsi="Times New Roman"/>
          <w:color w:val="000000" w:themeColor="text1"/>
          <w:sz w:val="16"/>
          <w:szCs w:val="16"/>
        </w:rPr>
        <w:t>Маршева</w:t>
      </w:r>
      <w:proofErr w:type="spellEnd"/>
      <w:r w:rsidRPr="007122AB">
        <w:rPr>
          <w:rFonts w:ascii="Times New Roman" w:hAnsi="Times New Roman"/>
          <w:color w:val="000000" w:themeColor="text1"/>
          <w:sz w:val="16"/>
          <w:szCs w:val="16"/>
        </w:rPr>
        <w:t xml:space="preserve"> Н.Д., заместителя начальника строительства, секретарь Татарского обкома партии Разумов М.И. так и отвечал Иосифу Виссарионовичу в разговоре по поводу </w:t>
      </w:r>
      <w:proofErr w:type="spellStart"/>
      <w:r w:rsidRPr="007122AB">
        <w:rPr>
          <w:rFonts w:ascii="Times New Roman" w:hAnsi="Times New Roman"/>
          <w:color w:val="000000" w:themeColor="text1"/>
          <w:sz w:val="16"/>
          <w:szCs w:val="16"/>
        </w:rPr>
        <w:t>авиакомбината</w:t>
      </w:r>
      <w:proofErr w:type="spellEnd"/>
      <w:r w:rsidRPr="007122AB">
        <w:rPr>
          <w:rFonts w:ascii="Times New Roman" w:hAnsi="Times New Roman"/>
          <w:color w:val="000000" w:themeColor="text1"/>
          <w:sz w:val="16"/>
          <w:szCs w:val="16"/>
        </w:rPr>
        <w:t>:</w:t>
      </w:r>
    </w:p>
    <w:p w14:paraId="7B3B43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Вы хотите, товарищ Разумов, строить у себя авиазавод?</w:t>
      </w:r>
    </w:p>
    <w:p w14:paraId="2B8E21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Да, хотим, товарищ Сталин.</w:t>
      </w:r>
    </w:p>
    <w:p w14:paraId="069C46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3436F2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Таких кадров пока нет.</w:t>
      </w:r>
    </w:p>
    <w:p w14:paraId="3B114D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 дорожная сеть у вас хорошо развита?</w:t>
      </w:r>
    </w:p>
    <w:p w14:paraId="21D80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 дорогами плоховато, товарищ Сталин.</w:t>
      </w:r>
    </w:p>
    <w:p w14:paraId="7720D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 на счет строительного материала как?</w:t>
      </w:r>
    </w:p>
    <w:p w14:paraId="424D1D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Это у нас найдется, надо только руки приложить.</w:t>
      </w:r>
    </w:p>
    <w:p w14:paraId="237706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 как с жильем?</w:t>
      </w:r>
    </w:p>
    <w:p w14:paraId="28451C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Плохо.</w:t>
      </w:r>
    </w:p>
    <w:p w14:paraId="7E675E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5E984F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142E40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 с водой, вероятно, плохо?</w:t>
      </w:r>
    </w:p>
    <w:p w14:paraId="4D771D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Плохо.</w:t>
      </w:r>
    </w:p>
    <w:p w14:paraId="6DC12A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И, наконец, есть ли у вас какой-либо опыт больших новостроек?</w:t>
      </w:r>
    </w:p>
    <w:p w14:paraId="267750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Нет ? отвечал Разумов.</w:t>
      </w:r>
    </w:p>
    <w:p w14:paraId="4A5AEA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1CD1B5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343107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Ну что ж, тогда давайте, стройте... - сказал мудрый вождь.</w:t>
      </w:r>
    </w:p>
    <w:p w14:paraId="57E84E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праздничный день 2 мая в Караваево состоялась торжественная церемония послания грядущим потомкам в виде Акта о закладке </w:t>
      </w:r>
      <w:proofErr w:type="spellStart"/>
      <w:r w:rsidRPr="007122AB">
        <w:rPr>
          <w:rFonts w:ascii="Times New Roman" w:hAnsi="Times New Roman"/>
          <w:color w:val="000000" w:themeColor="text1"/>
          <w:sz w:val="16"/>
          <w:szCs w:val="16"/>
        </w:rPr>
        <w:t>авиакомбината</w:t>
      </w:r>
      <w:proofErr w:type="spellEnd"/>
      <w:r w:rsidRPr="007122AB">
        <w:rPr>
          <w:rFonts w:ascii="Times New Roman" w:hAnsi="Times New Roman"/>
          <w:color w:val="000000" w:themeColor="text1"/>
          <w:sz w:val="16"/>
          <w:szCs w:val="16"/>
        </w:rPr>
        <w:t xml:space="preserve">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w:t>
      </w:r>
      <w:proofErr w:type="spellStart"/>
      <w:r w:rsidRPr="007122AB">
        <w:rPr>
          <w:rFonts w:ascii="Times New Roman" w:hAnsi="Times New Roman"/>
          <w:color w:val="000000" w:themeColor="text1"/>
          <w:sz w:val="16"/>
          <w:szCs w:val="16"/>
        </w:rPr>
        <w:t>авиакомбинат</w:t>
      </w:r>
      <w:proofErr w:type="spellEnd"/>
      <w:r w:rsidRPr="007122AB">
        <w:rPr>
          <w:rFonts w:ascii="Times New Roman" w:hAnsi="Times New Roman"/>
          <w:color w:val="000000" w:themeColor="text1"/>
          <w:sz w:val="16"/>
          <w:szCs w:val="16"/>
        </w:rPr>
        <w:t>»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061270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w:t>
      </w:r>
      <w:proofErr w:type="spellStart"/>
      <w:r w:rsidRPr="007122AB">
        <w:rPr>
          <w:rFonts w:ascii="Times New Roman" w:hAnsi="Times New Roman"/>
          <w:color w:val="000000" w:themeColor="text1"/>
          <w:sz w:val="16"/>
          <w:szCs w:val="16"/>
        </w:rPr>
        <w:t>Авиастрое</w:t>
      </w:r>
      <w:proofErr w:type="spellEnd"/>
      <w:r w:rsidRPr="007122AB">
        <w:rPr>
          <w:rFonts w:ascii="Times New Roman" w:hAnsi="Times New Roman"/>
          <w:color w:val="000000" w:themeColor="text1"/>
          <w:sz w:val="16"/>
          <w:szCs w:val="16"/>
        </w:rPr>
        <w:t xml:space="preserve"> 2000 крестьян.</w:t>
      </w:r>
    </w:p>
    <w:p w14:paraId="0C81BC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w:t>
      </w:r>
      <w:proofErr w:type="spellStart"/>
      <w:r w:rsidRPr="007122AB">
        <w:rPr>
          <w:rFonts w:ascii="Times New Roman" w:hAnsi="Times New Roman"/>
          <w:color w:val="000000" w:themeColor="text1"/>
          <w:sz w:val="16"/>
          <w:szCs w:val="16"/>
        </w:rPr>
        <w:t>Авиастроя</w:t>
      </w:r>
      <w:proofErr w:type="spellEnd"/>
      <w:r w:rsidRPr="007122AB">
        <w:rPr>
          <w:rFonts w:ascii="Times New Roman" w:hAnsi="Times New Roman"/>
          <w:color w:val="000000" w:themeColor="text1"/>
          <w:sz w:val="16"/>
          <w:szCs w:val="16"/>
        </w:rPr>
        <w:t>, подчас без особых разрешений, создавая целые поселки из землянок с огородами.</w:t>
      </w:r>
    </w:p>
    <w:p w14:paraId="6824E8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AF740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2A809F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238042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w:t>
      </w:r>
      <w:proofErr w:type="spellStart"/>
      <w:r w:rsidRPr="007122AB">
        <w:rPr>
          <w:rFonts w:ascii="Times New Roman" w:hAnsi="Times New Roman"/>
          <w:color w:val="000000" w:themeColor="text1"/>
          <w:sz w:val="16"/>
          <w:szCs w:val="16"/>
        </w:rPr>
        <w:t>Иоган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Сиписало</w:t>
      </w:r>
      <w:proofErr w:type="spellEnd"/>
      <w:r w:rsidRPr="007122AB">
        <w:rPr>
          <w:rFonts w:ascii="Times New Roman" w:hAnsi="Times New Roman"/>
          <w:color w:val="000000" w:themeColor="text1"/>
          <w:sz w:val="16"/>
          <w:szCs w:val="16"/>
        </w:rPr>
        <w:t>,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0A7F9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конец 1932 г. на </w:t>
      </w:r>
      <w:proofErr w:type="spellStart"/>
      <w:r w:rsidRPr="007122AB">
        <w:rPr>
          <w:rFonts w:ascii="Times New Roman" w:hAnsi="Times New Roman"/>
          <w:color w:val="000000" w:themeColor="text1"/>
          <w:sz w:val="16"/>
          <w:szCs w:val="16"/>
        </w:rPr>
        <w:t>Авиастрое</w:t>
      </w:r>
      <w:proofErr w:type="spellEnd"/>
      <w:r w:rsidRPr="007122AB">
        <w:rPr>
          <w:rFonts w:ascii="Times New Roman" w:hAnsi="Times New Roman"/>
          <w:color w:val="000000" w:themeColor="text1"/>
          <w:sz w:val="16"/>
          <w:szCs w:val="16"/>
        </w:rPr>
        <w:t xml:space="preserve"> уже работало 36580 человек, на самом заводе № 124 штат составлял 3292 человека. Будущие кадры начали готовить казанские </w:t>
      </w:r>
      <w:proofErr w:type="spellStart"/>
      <w:r w:rsidRPr="007122AB">
        <w:rPr>
          <w:rFonts w:ascii="Times New Roman" w:hAnsi="Times New Roman"/>
          <w:color w:val="000000" w:themeColor="text1"/>
          <w:sz w:val="16"/>
          <w:szCs w:val="16"/>
        </w:rPr>
        <w:t>авиаинститут</w:t>
      </w:r>
      <w:proofErr w:type="spellEnd"/>
      <w:r w:rsidRPr="007122AB">
        <w:rPr>
          <w:rFonts w:ascii="Times New Roman" w:hAnsi="Times New Roman"/>
          <w:color w:val="000000" w:themeColor="text1"/>
          <w:sz w:val="16"/>
          <w:szCs w:val="16"/>
        </w:rPr>
        <w:t xml:space="preserve"> и авиатехникум, где числилось соответственно 393 и 362 человека.</w:t>
      </w:r>
    </w:p>
    <w:p w14:paraId="5BBF56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566FA7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1481F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w:t>
      </w:r>
      <w:proofErr w:type="spellStart"/>
      <w:r w:rsidRPr="007122AB">
        <w:rPr>
          <w:rFonts w:ascii="Times New Roman" w:hAnsi="Times New Roman"/>
          <w:color w:val="000000" w:themeColor="text1"/>
          <w:sz w:val="16"/>
          <w:szCs w:val="16"/>
        </w:rPr>
        <w:t>Казавиастроя</w:t>
      </w:r>
      <w:proofErr w:type="spellEnd"/>
      <w:r w:rsidRPr="007122AB">
        <w:rPr>
          <w:rFonts w:ascii="Times New Roman" w:hAnsi="Times New Roman"/>
          <w:color w:val="000000" w:themeColor="text1"/>
          <w:sz w:val="16"/>
          <w:szCs w:val="16"/>
        </w:rPr>
        <w:t xml:space="preserve">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59279C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9A45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конца 1931 года завод № 20 начал давать первую продукцию. Строительство отдельных корпусов продолжалось до начала ВОВ. С начала ВОВ в июле-августе 1941 года, на базе завода с/х машиностроения им. Куйбышева в Омске организовался филиал завода № 20 под номером 495, а с октября 1941 года по решению Правительства началась эвакуация завода № 20 в Омск на территорию завода им. Куйбышева. Эвакуация закончилась в январе 1942 года. С 1932 года по 1944 год на заводе существовало ОКБ, гл. конструкторами за это время были Суслов М.А., Руппель В.Г. и Тарасов П.И. В 1944 году ОКБ завода реорганизовали в филиал ОКБ завода № 491. В 1947 году приказом МАП № 436с от 5 июля 1947 года филиал ОКБ был реорганизован в самостоятельное ОКБ завода № 20, гл. конструктором был Мельников А.Н. и в 1951 году ОКБ было вновь реорганизовано в филиал ОКБ завода № 451.</w:t>
      </w:r>
    </w:p>
    <w:p w14:paraId="3C731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МАП № 326сс от 5 июля 1956 года на базе филиала ОКБ-451 при заводе № 20 организовано ОКБ завода № 20 – ОКБ-20. Гл. конструктором назначен Тимофеев М.М.</w:t>
      </w:r>
    </w:p>
    <w:p w14:paraId="26131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Омск, ул. Герцена, 74</w:t>
      </w:r>
    </w:p>
    <w:p w14:paraId="44F5AC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начала деятельности ОКБ в Омске директорами завода были: 1939-1942 гг. – Борисов И.Т. 1942-1943 гг. – </w:t>
      </w:r>
      <w:proofErr w:type="spellStart"/>
      <w:r w:rsidRPr="007122AB">
        <w:rPr>
          <w:rFonts w:ascii="Times New Roman" w:hAnsi="Times New Roman"/>
          <w:color w:val="000000" w:themeColor="text1"/>
          <w:sz w:val="16"/>
          <w:szCs w:val="16"/>
        </w:rPr>
        <w:t>Ивайкин</w:t>
      </w:r>
      <w:proofErr w:type="spellEnd"/>
      <w:r w:rsidRPr="007122AB">
        <w:rPr>
          <w:rFonts w:ascii="Times New Roman" w:hAnsi="Times New Roman"/>
          <w:color w:val="000000" w:themeColor="text1"/>
          <w:sz w:val="16"/>
          <w:szCs w:val="16"/>
        </w:rPr>
        <w:t xml:space="preserve"> А.М. 1944-1946 гг. – Кругленин Н.Н. 1945-1955 гг. – </w:t>
      </w:r>
      <w:proofErr w:type="spellStart"/>
      <w:r w:rsidRPr="007122AB">
        <w:rPr>
          <w:rFonts w:ascii="Times New Roman" w:hAnsi="Times New Roman"/>
          <w:color w:val="000000" w:themeColor="text1"/>
          <w:sz w:val="16"/>
          <w:szCs w:val="16"/>
        </w:rPr>
        <w:t>Сибиркин</w:t>
      </w:r>
      <w:proofErr w:type="spellEnd"/>
      <w:r w:rsidRPr="007122AB">
        <w:rPr>
          <w:rFonts w:ascii="Times New Roman" w:hAnsi="Times New Roman"/>
          <w:color w:val="000000" w:themeColor="text1"/>
          <w:sz w:val="16"/>
          <w:szCs w:val="16"/>
        </w:rPr>
        <w:t xml:space="preserve"> А.А. 1955-1958 гг. Русин С.А. (9732).</w:t>
      </w:r>
    </w:p>
    <w:p w14:paraId="1FF848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F21F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директором завода № 29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6DB8E5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7122AB">
        <w:rPr>
          <w:rFonts w:ascii="Times New Roman" w:hAnsi="Times New Roman"/>
          <w:color w:val="000000" w:themeColor="text1"/>
          <w:sz w:val="16"/>
          <w:szCs w:val="16"/>
        </w:rPr>
        <w:t>Туманский</w:t>
      </w:r>
      <w:proofErr w:type="spellEnd"/>
      <w:r w:rsidRPr="007122AB">
        <w:rPr>
          <w:rFonts w:ascii="Times New Roman" w:hAnsi="Times New Roman"/>
          <w:color w:val="000000" w:themeColor="text1"/>
          <w:sz w:val="16"/>
          <w:szCs w:val="16"/>
        </w:rPr>
        <w:t xml:space="preserve"> С.К.</w:t>
      </w:r>
    </w:p>
    <w:p w14:paraId="694C87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7122AB">
        <w:rPr>
          <w:rFonts w:ascii="Times New Roman" w:hAnsi="Times New Roman"/>
          <w:color w:val="000000" w:themeColor="text1"/>
          <w:sz w:val="16"/>
          <w:szCs w:val="16"/>
        </w:rPr>
        <w:t>Урмин</w:t>
      </w:r>
      <w:proofErr w:type="spellEnd"/>
      <w:r w:rsidRPr="007122AB">
        <w:rPr>
          <w:rFonts w:ascii="Times New Roman" w:hAnsi="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7122AB">
        <w:rPr>
          <w:rFonts w:ascii="Times New Roman" w:hAnsi="Times New Roman"/>
          <w:color w:val="000000" w:themeColor="text1"/>
          <w:sz w:val="16"/>
          <w:szCs w:val="16"/>
        </w:rPr>
        <w:t>прекращенов</w:t>
      </w:r>
      <w:proofErr w:type="spellEnd"/>
      <w:r w:rsidRPr="007122AB">
        <w:rPr>
          <w:rFonts w:ascii="Times New Roman" w:hAnsi="Times New Roman"/>
          <w:color w:val="000000" w:themeColor="text1"/>
          <w:sz w:val="16"/>
          <w:szCs w:val="16"/>
        </w:rPr>
        <w:t xml:space="preserve"> связи с эвакуацией завода.</w:t>
      </w:r>
    </w:p>
    <w:p w14:paraId="37F17C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636E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7122AB">
        <w:rPr>
          <w:rFonts w:ascii="Times New Roman" w:hAnsi="Times New Roman"/>
          <w:color w:val="000000" w:themeColor="text1"/>
          <w:sz w:val="16"/>
          <w:szCs w:val="16"/>
        </w:rPr>
        <w:t>Нитченко</w:t>
      </w:r>
      <w:proofErr w:type="spellEnd"/>
      <w:r w:rsidRPr="007122AB">
        <w:rPr>
          <w:rFonts w:ascii="Times New Roman" w:hAnsi="Times New Roman"/>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437E87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821B3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 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7122AB">
        <w:rPr>
          <w:rFonts w:ascii="Times New Roman" w:hAnsi="Times New Roman"/>
          <w:color w:val="000000" w:themeColor="text1"/>
          <w:sz w:val="16"/>
          <w:szCs w:val="16"/>
        </w:rPr>
        <w:t>Шехов</w:t>
      </w:r>
      <w:proofErr w:type="spellEnd"/>
      <w:r w:rsidRPr="007122AB">
        <w:rPr>
          <w:rFonts w:ascii="Times New Roman" w:hAnsi="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7122AB">
        <w:rPr>
          <w:rFonts w:ascii="Times New Roman" w:hAnsi="Times New Roman"/>
          <w:color w:val="000000" w:themeColor="text1"/>
          <w:sz w:val="16"/>
          <w:szCs w:val="16"/>
        </w:rPr>
        <w:t>Федичев</w:t>
      </w:r>
      <w:proofErr w:type="spellEnd"/>
      <w:r w:rsidRPr="007122AB">
        <w:rPr>
          <w:rFonts w:ascii="Times New Roman" w:hAnsi="Times New Roman"/>
          <w:color w:val="000000" w:themeColor="text1"/>
          <w:sz w:val="16"/>
          <w:szCs w:val="16"/>
        </w:rPr>
        <w:t xml:space="preserve"> В.Г. С августа 1953 года – директор Головачев А.М. В 1953 году завод продолжал производство АШ-82ФН и АШ-21</w:t>
      </w:r>
    </w:p>
    <w:p w14:paraId="6FEE8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Омск, Б. Хмельницкого – 281, п/я 64</w:t>
      </w:r>
    </w:p>
    <w:p w14:paraId="2DC6E7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2AD15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28AD0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было решено назначить Марьямова ди</w:t>
      </w:r>
      <w:r w:rsidRPr="007122AB">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7122AB">
        <w:rPr>
          <w:rFonts w:ascii="Times New Roman" w:hAnsi="Times New Roman"/>
          <w:color w:val="000000" w:themeColor="text1"/>
          <w:sz w:val="16"/>
          <w:szCs w:val="16"/>
        </w:rPr>
        <w:softHyphen/>
        <w:t>ти напротив — застава с биржей извозчиков. А дальше за заводом тя</w:t>
      </w:r>
      <w:r w:rsidRPr="007122AB">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7122AB">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7122AB">
        <w:rPr>
          <w:rFonts w:ascii="Times New Roman" w:hAnsi="Times New Roman"/>
          <w:color w:val="000000" w:themeColor="text1"/>
          <w:sz w:val="16"/>
          <w:szCs w:val="16"/>
        </w:rPr>
        <w:softHyphen/>
        <w:t>менно строились три корпуса, в том числе корпус механических це</w:t>
      </w:r>
      <w:r w:rsidRPr="007122AB">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7122AB">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0482176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846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будущий № 383 завод в основном был построен и стал выпускать продукцию – деревянные трубы. В 1932 году завод вступил в эксплуатацию. В 1933 году, продолжая производство деревянных труб, приступил на имевшихся производственных площадях к производству строительных деталей – оконные переплеты, двери, плинтус и т.п. В 1934 году производство труб было прекращено. В 1935 году развивалось производство стройдеталей и мебели для оборудования санаториев, домов отдыха и военных академий.</w:t>
      </w:r>
    </w:p>
    <w:p w14:paraId="573ACB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началом ВОВ завод перешел на другую систему и переключился на выпуск совершенно новой для него продукции. Согласно распоряжения СНК от 28 июля 1941 года и приказу НКОП № 800с от 6 августа 1941 года, завод № 3 </w:t>
      </w:r>
      <w:proofErr w:type="spellStart"/>
      <w:r w:rsidRPr="007122AB">
        <w:rPr>
          <w:rFonts w:ascii="Times New Roman" w:hAnsi="Times New Roman"/>
          <w:color w:val="000000" w:themeColor="text1"/>
          <w:sz w:val="16"/>
          <w:szCs w:val="16"/>
        </w:rPr>
        <w:t>Главвоенстроя</w:t>
      </w:r>
      <w:proofErr w:type="spellEnd"/>
      <w:r w:rsidRPr="007122AB">
        <w:rPr>
          <w:rFonts w:ascii="Times New Roman" w:hAnsi="Times New Roman"/>
          <w:color w:val="000000" w:themeColor="text1"/>
          <w:sz w:val="16"/>
          <w:szCs w:val="16"/>
        </w:rPr>
        <w:t xml:space="preserve"> был передан в систему НКАП с присвоением ему наименования – завод № 383 НКАП. Начиная с этого момента завод быстро переключается на производство деревянных моноблочных воздушных винтов и лопастей к винтам изменяемого шага, производя для этого реконструкцию, перепланировку цехов и т.д.</w:t>
      </w:r>
    </w:p>
    <w:p w14:paraId="05AF21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Москва, Е-24, проезд Энтузиастов, 15</w:t>
      </w:r>
    </w:p>
    <w:p w14:paraId="2AB4D2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 завод самолетных винтов, с деревянными лопастями В 1942 году основной продукцией завода являлись моноблочные винты и лопасти к ВИШ (9666).</w:t>
      </w:r>
    </w:p>
    <w:p w14:paraId="75F926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467E85"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года был решен вопрос о создании испытательной станции Отдела № 4 завода </w:t>
      </w:r>
      <w:proofErr w:type="spellStart"/>
      <w:r w:rsidRPr="007122AB">
        <w:rPr>
          <w:rFonts w:ascii="Times New Roman" w:hAnsi="Times New Roman"/>
          <w:color w:val="000000" w:themeColor="text1"/>
          <w:sz w:val="16"/>
          <w:szCs w:val="16"/>
        </w:rPr>
        <w:t>Мостяжарт</w:t>
      </w:r>
      <w:proofErr w:type="spellEnd"/>
      <w:r w:rsidRPr="007122AB">
        <w:rPr>
          <w:rFonts w:ascii="Times New Roman" w:hAnsi="Times New Roman"/>
          <w:color w:val="000000" w:themeColor="text1"/>
          <w:sz w:val="16"/>
          <w:szCs w:val="16"/>
        </w:rPr>
        <w:t xml:space="preserve">. Для ее размещения Управление ВВС НКО выделило территорию в районе деревни Соколовка, в 6 км от Ногинска, рядом с полигоном ВВС. Начальником испытательной станции был назначен Алексей Федорович Ту- </w:t>
      </w:r>
      <w:proofErr w:type="spellStart"/>
      <w:r w:rsidRPr="007122AB">
        <w:rPr>
          <w:rFonts w:ascii="Times New Roman" w:hAnsi="Times New Roman"/>
          <w:color w:val="000000" w:themeColor="text1"/>
          <w:sz w:val="16"/>
          <w:szCs w:val="16"/>
        </w:rPr>
        <w:t>рахин</w:t>
      </w:r>
      <w:proofErr w:type="spellEnd"/>
      <w:r w:rsidRPr="007122AB">
        <w:rPr>
          <w:rFonts w:ascii="Times New Roman" w:hAnsi="Times New Roman"/>
          <w:color w:val="000000" w:themeColor="text1"/>
          <w:sz w:val="16"/>
          <w:szCs w:val="16"/>
        </w:rPr>
        <w:t xml:space="preserve">. На лесной опушке построили три жилых деревянных дома для сотрудников станции и командированных. Чуть в стороне стояла снаряжательная мастерская, где производились все работы по снаряжению и сборке изделий. Построены были два склада: для хранения корпусов и для химических материалов. Ни электроэнергии, ни водопровода, ни канализации на испытательной станции не было. Для плавления взрывчатых веществ использовался </w:t>
      </w:r>
      <w:proofErr w:type="spellStart"/>
      <w:r w:rsidRPr="007122AB">
        <w:rPr>
          <w:rFonts w:ascii="Times New Roman" w:hAnsi="Times New Roman"/>
          <w:color w:val="000000" w:themeColor="text1"/>
          <w:sz w:val="16"/>
          <w:szCs w:val="16"/>
        </w:rPr>
        <w:t>трехконфорочный</w:t>
      </w:r>
      <w:proofErr w:type="spellEnd"/>
      <w:r w:rsidRPr="007122AB">
        <w:rPr>
          <w:rFonts w:ascii="Times New Roman" w:hAnsi="Times New Roman"/>
          <w:color w:val="000000" w:themeColor="text1"/>
          <w:sz w:val="16"/>
          <w:szCs w:val="16"/>
        </w:rPr>
        <w:t xml:space="preserve"> примус. Термит забивался в корпуса вручную. В одной из комнат снаряжательной мастерской, которой руководил Воронков, был установлен маленький гидравлический пресс с ручным приводом. Затем установили более мощный пресс, значительно облегчивший работу. Работы по снаряжению и испытанию производились непосредственно конструкторами, приезжавшими из Москвы. К ним присоединялись один-два рабочих. З. П. </w:t>
      </w:r>
      <w:proofErr w:type="spellStart"/>
      <w:r w:rsidRPr="007122AB">
        <w:rPr>
          <w:rFonts w:ascii="Times New Roman" w:hAnsi="Times New Roman"/>
          <w:color w:val="000000" w:themeColor="text1"/>
          <w:sz w:val="16"/>
          <w:szCs w:val="16"/>
        </w:rPr>
        <w:t>Цепков</w:t>
      </w:r>
      <w:proofErr w:type="spellEnd"/>
      <w:r w:rsidRPr="007122AB">
        <w:rPr>
          <w:rFonts w:ascii="Times New Roman" w:hAnsi="Times New Roman"/>
          <w:color w:val="000000" w:themeColor="text1"/>
          <w:sz w:val="16"/>
          <w:szCs w:val="16"/>
        </w:rPr>
        <w:t xml:space="preserve">, А. С. Смирнов перешли на работу в мастерскую из охраны завода и здесь получили первую рабочую квалификацию </w:t>
      </w:r>
      <w:proofErr w:type="spellStart"/>
      <w:r w:rsidRPr="007122AB">
        <w:rPr>
          <w:rFonts w:ascii="Times New Roman" w:hAnsi="Times New Roman"/>
          <w:color w:val="000000" w:themeColor="text1"/>
          <w:sz w:val="16"/>
          <w:szCs w:val="16"/>
        </w:rPr>
        <w:t>снаряжательщиков</w:t>
      </w:r>
      <w:proofErr w:type="spellEnd"/>
      <w:r w:rsidRPr="007122AB">
        <w:rPr>
          <w:rFonts w:ascii="Times New Roman" w:hAnsi="Times New Roman"/>
          <w:color w:val="000000" w:themeColor="text1"/>
          <w:sz w:val="16"/>
          <w:szCs w:val="16"/>
        </w:rPr>
        <w:t xml:space="preserve">. Тогда же пришел на работу и С. Е. </w:t>
      </w:r>
      <w:proofErr w:type="spellStart"/>
      <w:r w:rsidRPr="007122AB">
        <w:rPr>
          <w:rFonts w:ascii="Times New Roman" w:hAnsi="Times New Roman"/>
          <w:color w:val="000000" w:themeColor="text1"/>
          <w:sz w:val="16"/>
          <w:szCs w:val="16"/>
        </w:rPr>
        <w:t>Шайкин</w:t>
      </w:r>
      <w:proofErr w:type="spellEnd"/>
      <w:r w:rsidRPr="007122AB">
        <w:rPr>
          <w:rFonts w:ascii="Times New Roman" w:hAnsi="Times New Roman"/>
          <w:color w:val="000000" w:themeColor="text1"/>
          <w:sz w:val="16"/>
          <w:szCs w:val="16"/>
        </w:rPr>
        <w:t xml:space="preserve">, проработавший затем длительное время заведующим складами производства № 2. Несмотря на недостаточное оборудование мастерской, работа шла оперативно. Обычно снаряжались два-три опытных образца, в этот же день испытывались. Конструкция образца или рецептура состава тут же корректировались. Испытательная станция проводила не только наземные подрывы образцов бомб. В ее распоряжении находились и самолеты. Первоначально их арендовали, а затем в 1934 году завод купил для отдела пять самолетов. Это были самолеты У-2, два разведчика Р-5 и бомбардировщики ТБ-1 и ТБ-3. Эти машины, в особенности ТБ-3, обладали весьма высокими по тому времени летными характеристиками. Правда, техническое состояние машин было неважным: большая часть их почти полностью исчерпала летный ресурс, а ТБ-3 был первой машиной </w:t>
      </w:r>
      <w:r w:rsidRPr="007122AB">
        <w:rPr>
          <w:rFonts w:ascii="Times New Roman" w:hAnsi="Times New Roman"/>
          <w:color w:val="000000" w:themeColor="text1"/>
          <w:sz w:val="16"/>
          <w:szCs w:val="16"/>
        </w:rPr>
        <w:lastRenderedPageBreak/>
        <w:t xml:space="preserve">заводской серии и содержал ряд производственных недостатков. Самолеты базировались на аэродроме ВВС в Монино и для подвески бомбы отвозили туда. Бомбометание производилось по летному полю испытательной станции, расположенной рядом с мастерскими. Летный состав испытательной станции состоял из летчиков высокого класса: Мухин, Байда, штурман Иванов. А командиром летной группы был Алексей Дмитриевич Ширинкин – известнейший советский летчик-ас, награжденный за подвиги в Гражданской войне двумя орденами Красного Знамени. В испытательных полетах в качестве штурмана-бомбардира постоянно участвовал А. Ф. </w:t>
      </w:r>
      <w:proofErr w:type="spellStart"/>
      <w:r w:rsidRPr="007122AB">
        <w:rPr>
          <w:rFonts w:ascii="Times New Roman" w:hAnsi="Times New Roman"/>
          <w:color w:val="000000" w:themeColor="text1"/>
          <w:sz w:val="16"/>
          <w:szCs w:val="16"/>
        </w:rPr>
        <w:t>Турахин</w:t>
      </w:r>
      <w:proofErr w:type="spellEnd"/>
      <w:r w:rsidRPr="007122AB">
        <w:rPr>
          <w:rFonts w:ascii="Times New Roman" w:hAnsi="Times New Roman"/>
          <w:color w:val="000000" w:themeColor="text1"/>
          <w:sz w:val="16"/>
          <w:szCs w:val="16"/>
        </w:rPr>
        <w:t xml:space="preserve">. Очень много работал и Ф. П. </w:t>
      </w:r>
      <w:proofErr w:type="spellStart"/>
      <w:r w:rsidRPr="007122AB">
        <w:rPr>
          <w:rFonts w:ascii="Times New Roman" w:hAnsi="Times New Roman"/>
          <w:color w:val="000000" w:themeColor="text1"/>
          <w:sz w:val="16"/>
          <w:szCs w:val="16"/>
        </w:rPr>
        <w:t>Шишковский</w:t>
      </w:r>
      <w:proofErr w:type="spellEnd"/>
      <w:r w:rsidRPr="007122AB">
        <w:rPr>
          <w:rFonts w:ascii="Times New Roman" w:hAnsi="Times New Roman"/>
          <w:color w:val="000000" w:themeColor="text1"/>
          <w:sz w:val="16"/>
          <w:szCs w:val="16"/>
        </w:rPr>
        <w:t>, великолепный организатор и знаток авиационной техники.</w:t>
      </w:r>
    </w:p>
    <w:p w14:paraId="1570B0ED"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Смелость, опыт и заинтересованность в работе летного состава позволяли проводить испытания, которые требовали от пилотов огромного искусства. Так, при испытаниях мостовых бомб самолет ТБ-3 на бреющем полете (высота 30–50 метров) проходил над макетом железнодорожного моста, что само по себе было в то время новым в практике тяжелой бомбардировочной авиации (15794).</w:t>
      </w:r>
    </w:p>
    <w:p w14:paraId="1F402A46" w14:textId="77777777" w:rsidR="0087630B" w:rsidRPr="007122AB" w:rsidRDefault="0087630B" w:rsidP="007122AB">
      <w:pPr>
        <w:spacing w:after="0" w:line="240" w:lineRule="auto"/>
        <w:jc w:val="both"/>
        <w:rPr>
          <w:rFonts w:ascii="Times New Roman" w:hAnsi="Times New Roman"/>
          <w:color w:val="000000" w:themeColor="text1"/>
          <w:sz w:val="16"/>
          <w:szCs w:val="16"/>
        </w:rPr>
      </w:pPr>
    </w:p>
    <w:p w14:paraId="7BA27F6A" w14:textId="77777777" w:rsidR="005C4849" w:rsidRPr="007122AB" w:rsidRDefault="005C4849" w:rsidP="007122AB">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в США делегация, руководимая главным инспектором ГВФ Силиным искала партнера для создания образцовой авиалинии Харьков - Сочи - </w:t>
      </w:r>
      <w:proofErr w:type="spellStart"/>
      <w:r w:rsidRPr="007122AB">
        <w:rPr>
          <w:rFonts w:ascii="Times New Roman" w:hAnsi="Times New Roman"/>
          <w:color w:val="000000" w:themeColor="text1"/>
          <w:sz w:val="16"/>
          <w:szCs w:val="16"/>
        </w:rPr>
        <w:t>Тифли</w:t>
      </w:r>
      <w:proofErr w:type="spellEnd"/>
      <w:r w:rsidRPr="007122AB">
        <w:rPr>
          <w:rFonts w:ascii="Times New Roman" w:hAnsi="Times New Roman"/>
          <w:color w:val="000000" w:themeColor="text1"/>
          <w:sz w:val="16"/>
          <w:szCs w:val="16"/>
        </w:rPr>
        <w:t xml:space="preserve"> на АНТ-9. СССР был готов вложить в проект 5 млн. Руб. золотом. Все компании отказались (10542,31).</w:t>
      </w:r>
    </w:p>
    <w:p w14:paraId="23FF0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появилось специаль</w:t>
      </w:r>
      <w:r w:rsidRPr="007122AB">
        <w:rPr>
          <w:rFonts w:ascii="Times New Roman" w:hAnsi="Times New Roman"/>
          <w:color w:val="000000" w:themeColor="text1"/>
          <w:sz w:val="16"/>
          <w:szCs w:val="16"/>
        </w:rPr>
        <w:softHyphen/>
        <w:t>ное постановление РВС о необходимости разра</w:t>
      </w:r>
      <w:r w:rsidRPr="007122AB">
        <w:rPr>
          <w:rFonts w:ascii="Times New Roman" w:hAnsi="Times New Roman"/>
          <w:color w:val="000000" w:themeColor="text1"/>
          <w:sz w:val="16"/>
          <w:szCs w:val="16"/>
        </w:rPr>
        <w:softHyphen/>
        <w:t xml:space="preserve">ботки войскового варианта У-2. В феврале 1932 г. инженеры завода № 23 под руководством главного конструктора </w:t>
      </w:r>
      <w:proofErr w:type="spellStart"/>
      <w:r w:rsidRPr="007122AB">
        <w:rPr>
          <w:rFonts w:ascii="Times New Roman" w:hAnsi="Times New Roman"/>
          <w:color w:val="000000" w:themeColor="text1"/>
          <w:sz w:val="16"/>
          <w:szCs w:val="16"/>
        </w:rPr>
        <w:t>Н.Г.Михельсона</w:t>
      </w:r>
      <w:proofErr w:type="spellEnd"/>
      <w:r w:rsidRPr="007122AB">
        <w:rPr>
          <w:rFonts w:ascii="Times New Roman" w:hAnsi="Times New Roman"/>
          <w:color w:val="000000" w:themeColor="text1"/>
          <w:sz w:val="16"/>
          <w:szCs w:val="16"/>
        </w:rPr>
        <w:t xml:space="preserve"> создали эскизный проект самолета. Большую роль в разработке конструкции сыграл </w:t>
      </w:r>
      <w:proofErr w:type="spellStart"/>
      <w:r w:rsidRPr="007122AB">
        <w:rPr>
          <w:rFonts w:ascii="Times New Roman" w:hAnsi="Times New Roman"/>
          <w:color w:val="000000" w:themeColor="text1"/>
          <w:sz w:val="16"/>
          <w:szCs w:val="16"/>
        </w:rPr>
        <w:t>А.С.Москалев</w:t>
      </w:r>
      <w:proofErr w:type="spellEnd"/>
      <w:r w:rsidRPr="007122AB">
        <w:rPr>
          <w:rFonts w:ascii="Times New Roman" w:hAnsi="Times New Roman"/>
          <w:color w:val="000000" w:themeColor="text1"/>
          <w:sz w:val="16"/>
          <w:szCs w:val="16"/>
        </w:rPr>
        <w:t>. В задней кабине этого варианта У-2, получившего обозначение ВС («вооруженный самолет»), предполагалось устано</w:t>
      </w:r>
      <w:r w:rsidRPr="007122AB">
        <w:rPr>
          <w:rFonts w:ascii="Times New Roman" w:hAnsi="Times New Roman"/>
          <w:color w:val="000000" w:themeColor="text1"/>
          <w:sz w:val="16"/>
          <w:szCs w:val="16"/>
        </w:rPr>
        <w:softHyphen/>
        <w:t>вить турель с пулеметом ДА и фотоаппарат. Двойное управление сохранялось. Цилиндры двигателя закрыва</w:t>
      </w:r>
      <w:r w:rsidRPr="007122AB">
        <w:rPr>
          <w:rFonts w:ascii="Times New Roman" w:hAnsi="Times New Roman"/>
          <w:color w:val="000000" w:themeColor="text1"/>
          <w:sz w:val="16"/>
          <w:szCs w:val="16"/>
        </w:rPr>
        <w:softHyphen/>
        <w:t xml:space="preserve">ло кольцо </w:t>
      </w:r>
      <w:proofErr w:type="spellStart"/>
      <w:r w:rsidRPr="007122AB">
        <w:rPr>
          <w:rFonts w:ascii="Times New Roman" w:hAnsi="Times New Roman"/>
          <w:color w:val="000000" w:themeColor="text1"/>
          <w:sz w:val="16"/>
          <w:szCs w:val="16"/>
        </w:rPr>
        <w:t>Тауненда</w:t>
      </w:r>
      <w:proofErr w:type="spellEnd"/>
      <w:r w:rsidRPr="007122AB">
        <w:rPr>
          <w:rFonts w:ascii="Times New Roman" w:hAnsi="Times New Roman"/>
          <w:color w:val="000000" w:themeColor="text1"/>
          <w:sz w:val="16"/>
          <w:szCs w:val="16"/>
        </w:rPr>
        <w:t>. Для повышения дальности полета устанавливался бак в центроплане на 40 кг бензина от АП. Расчетная максимальная скорость полета равнялась 140 км/ч (10667).</w:t>
      </w:r>
    </w:p>
    <w:p w14:paraId="0A3D20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21EB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при Главном управлении (ГУ) ГВФ образовалась специализированная организация «</w:t>
      </w:r>
      <w:proofErr w:type="spellStart"/>
      <w:r w:rsidRPr="007122AB">
        <w:rPr>
          <w:rFonts w:ascii="Times New Roman" w:hAnsi="Times New Roman"/>
          <w:color w:val="000000" w:themeColor="text1"/>
          <w:sz w:val="16"/>
          <w:szCs w:val="16"/>
        </w:rPr>
        <w:t>Дирижаблестрой</w:t>
      </w:r>
      <w:proofErr w:type="spellEnd"/>
      <w:r w:rsidRPr="007122AB">
        <w:rPr>
          <w:rFonts w:ascii="Times New Roman" w:hAnsi="Times New Roman"/>
          <w:color w:val="000000" w:themeColor="text1"/>
          <w:sz w:val="16"/>
          <w:szCs w:val="16"/>
        </w:rPr>
        <w:t>». Она должна была объединить усилия различных групп специалистов в области дирижаблестроения, обеспечить плановое развертывание работ по проектированию и постройке советских дирижаблей, усовершенствованию приемов их эксплуатации, проведению научных исследований по воздухоплавательной тематике. Ему были подчинены завод по проектированию и строительству дирижаблей, учебно-опытная эскадра по эксплуатации дирижаблей, воздухоплавательная группа свободных аэростатов и завод по производству водорода. «</w:t>
      </w:r>
      <w:proofErr w:type="spellStart"/>
      <w:r w:rsidRPr="007122AB">
        <w:rPr>
          <w:rFonts w:ascii="Times New Roman" w:hAnsi="Times New Roman"/>
          <w:color w:val="000000" w:themeColor="text1"/>
          <w:sz w:val="16"/>
          <w:szCs w:val="16"/>
        </w:rPr>
        <w:t>Дирижаблестрою</w:t>
      </w:r>
      <w:proofErr w:type="spellEnd"/>
      <w:r w:rsidRPr="007122AB">
        <w:rPr>
          <w:rFonts w:ascii="Times New Roman" w:hAnsi="Times New Roman"/>
          <w:color w:val="000000" w:themeColor="text1"/>
          <w:sz w:val="16"/>
          <w:szCs w:val="16"/>
        </w:rPr>
        <w:t xml:space="preserve">» в апреле 1932 года была также передана территория Центральной воздухоплавательной базы Осоавиахима в районе станции </w:t>
      </w:r>
      <w:proofErr w:type="spellStart"/>
      <w:r w:rsidRPr="007122AB">
        <w:rPr>
          <w:rFonts w:ascii="Times New Roman" w:hAnsi="Times New Roman"/>
          <w:color w:val="000000" w:themeColor="text1"/>
          <w:sz w:val="16"/>
          <w:szCs w:val="16"/>
        </w:rPr>
        <w:t>Долгопрудная</w:t>
      </w:r>
      <w:proofErr w:type="spellEnd"/>
      <w:r w:rsidRPr="007122AB">
        <w:rPr>
          <w:rFonts w:ascii="Times New Roman" w:hAnsi="Times New Roman"/>
          <w:color w:val="000000" w:themeColor="text1"/>
          <w:sz w:val="16"/>
          <w:szCs w:val="16"/>
        </w:rPr>
        <w:t>, на которой сразу же началось интенсивное строительство объектов, связанных с производством и эксплуатацией дирижаблей — эллинга, аэродрома, завода и т. п. Создание базы в Долгопрудном было жизненно необходимо, ибо существовала нелепая ситуация. Основной центр проектирования и строительства дирижаблей находился в Москве, а эллинг и команда наземного обслуживания располагались (так сложилось исторически) в Ленинграде на Волковом поле. Именно поэтому первые полеты советских дирижаблей, созданных в Москве, совершались в небе Ленинграда (10731).</w:t>
      </w:r>
    </w:p>
    <w:p w14:paraId="3E625E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D4AB5D"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г. на первой в стране парашютной фабрики было изготовлено более 5 тыс. парашютов, в том числе 70 специальных десантных ПД-1 конструкции Савицкого М.А., которые начиная с 1933 г. стали поступать в распоряжение молодых парашютно-десантных частей (15506).</w:t>
      </w:r>
    </w:p>
    <w:p w14:paraId="1FBEF211" w14:textId="77777777" w:rsidR="0087630B" w:rsidRPr="007122AB" w:rsidRDefault="0087630B" w:rsidP="007122AB">
      <w:pPr>
        <w:spacing w:after="0" w:line="240" w:lineRule="auto"/>
        <w:jc w:val="both"/>
        <w:rPr>
          <w:rFonts w:ascii="Times New Roman" w:hAnsi="Times New Roman"/>
          <w:color w:val="000000" w:themeColor="text1"/>
          <w:sz w:val="16"/>
          <w:szCs w:val="16"/>
        </w:rPr>
      </w:pPr>
    </w:p>
    <w:p w14:paraId="7B59438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сдали в эксплуатацию на заводе № 6 НКОП первый в стране опытный цех по производству </w:t>
      </w:r>
      <w:proofErr w:type="spellStart"/>
      <w:r w:rsidRPr="007122AB">
        <w:rPr>
          <w:rFonts w:ascii="Times New Roman" w:hAnsi="Times New Roman"/>
          <w:color w:val="000000" w:themeColor="text1"/>
          <w:sz w:val="16"/>
          <w:szCs w:val="16"/>
        </w:rPr>
        <w:t>баллиститного</w:t>
      </w:r>
      <w:proofErr w:type="spellEnd"/>
      <w:r w:rsidRPr="007122AB">
        <w:rPr>
          <w:rFonts w:ascii="Times New Roman" w:hAnsi="Times New Roman"/>
          <w:color w:val="000000" w:themeColor="text1"/>
          <w:sz w:val="16"/>
          <w:szCs w:val="16"/>
        </w:rPr>
        <w:t xml:space="preserve"> пороха. Помимо того, специа</w:t>
      </w:r>
      <w:r w:rsidRPr="007122AB">
        <w:rPr>
          <w:rFonts w:ascii="Times New Roman" w:hAnsi="Times New Roman"/>
          <w:color w:val="000000" w:themeColor="text1"/>
          <w:sz w:val="16"/>
          <w:szCs w:val="16"/>
        </w:rPr>
        <w:softHyphen/>
        <w:t xml:space="preserve">лизированное производство было организовано на заводе №59 НКОП имени </w:t>
      </w:r>
      <w:proofErr w:type="spellStart"/>
      <w:r w:rsidRPr="007122AB">
        <w:rPr>
          <w:rFonts w:ascii="Times New Roman" w:hAnsi="Times New Roman"/>
          <w:color w:val="000000" w:themeColor="text1"/>
          <w:sz w:val="16"/>
          <w:szCs w:val="16"/>
        </w:rPr>
        <w:t>Г.И.Петровского</w:t>
      </w:r>
      <w:proofErr w:type="spellEnd"/>
      <w:r w:rsidRPr="007122AB">
        <w:rPr>
          <w:rFonts w:ascii="Times New Roman" w:hAnsi="Times New Roman"/>
          <w:color w:val="000000" w:themeColor="text1"/>
          <w:sz w:val="16"/>
          <w:szCs w:val="16"/>
        </w:rPr>
        <w:t xml:space="preserve"> (бывший </w:t>
      </w:r>
      <w:proofErr w:type="spellStart"/>
      <w:r w:rsidRPr="007122AB">
        <w:rPr>
          <w:rFonts w:ascii="Times New Roman" w:hAnsi="Times New Roman"/>
          <w:color w:val="000000" w:themeColor="text1"/>
          <w:sz w:val="16"/>
          <w:szCs w:val="16"/>
        </w:rPr>
        <w:t>Шгеровский</w:t>
      </w:r>
      <w:proofErr w:type="spellEnd"/>
      <w:r w:rsidRPr="007122AB">
        <w:rPr>
          <w:rFonts w:ascii="Times New Roman" w:hAnsi="Times New Roman"/>
          <w:color w:val="000000" w:themeColor="text1"/>
          <w:sz w:val="16"/>
          <w:szCs w:val="16"/>
        </w:rPr>
        <w:t xml:space="preserve"> завод промышленных ВВ) в Донбассе. До того завод выпускал динамиты для угольной про</w:t>
      </w:r>
      <w:r w:rsidRPr="007122AB">
        <w:rPr>
          <w:rFonts w:ascii="Times New Roman" w:hAnsi="Times New Roman"/>
          <w:color w:val="000000" w:themeColor="text1"/>
          <w:sz w:val="16"/>
          <w:szCs w:val="16"/>
        </w:rPr>
        <w:softHyphen/>
        <w:t>мышленности и располагал производством нитроглицерина. 31 июля 1937 г. там получили первое письмо с пояснениями к чертежам авиаци</w:t>
      </w:r>
      <w:r w:rsidRPr="007122AB">
        <w:rPr>
          <w:rFonts w:ascii="Times New Roman" w:hAnsi="Times New Roman"/>
          <w:color w:val="000000" w:themeColor="text1"/>
          <w:sz w:val="16"/>
          <w:szCs w:val="16"/>
        </w:rPr>
        <w:softHyphen/>
        <w:t>онных РС-82 и РС-132 (11402).</w:t>
      </w:r>
    </w:p>
    <w:p w14:paraId="2A7F70B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A4BE9B" w14:textId="77777777" w:rsidR="000730D5" w:rsidRPr="007122AB" w:rsidRDefault="000730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года было изготовлено более 5.000 парашютов, в том числе специальные десантные аппараты ПД-1. План выпуска парашютов на первой парашютной фабрике в первый год не выполнялся. Например, в 1930 году парашютная фабрика должна была выпустить 3.240 штук. Реально на вооружение в ВВС поступило 870 штук. Проверка производства парашютов в 1931 году вскрыла серьезные проблемы. Отмечалась слабая организация производства парашютов на фабрике № 1 </w:t>
      </w:r>
      <w:proofErr w:type="spellStart"/>
      <w:r w:rsidRPr="007122AB">
        <w:rPr>
          <w:rFonts w:ascii="Times New Roman" w:hAnsi="Times New Roman"/>
          <w:color w:val="000000" w:themeColor="text1"/>
          <w:sz w:val="16"/>
          <w:szCs w:val="16"/>
        </w:rPr>
        <w:t>Мостекстильшвейсоюза</w:t>
      </w:r>
      <w:proofErr w:type="spellEnd"/>
      <w:r w:rsidRPr="007122AB">
        <w:rPr>
          <w:rFonts w:ascii="Times New Roman" w:hAnsi="Times New Roman"/>
          <w:color w:val="000000" w:themeColor="text1"/>
          <w:sz w:val="16"/>
          <w:szCs w:val="16"/>
        </w:rPr>
        <w:t xml:space="preserve">: программа 1931 года была выполнена лишь на 30-40%. Указывалась дороговизна парашютов, слабый учет. Было подчеркнуто, что «Фабрика № 1 в нынешнем состоянии не может обеспечить производство парашютов даже для удовлетворения потребностей мирного времени». Все эти недостатки ставили под угрозу выполнение намеченных в постановлении СНК планов по производству парашютов как в 1932 году, так и в последующие годы. Было принято решение обратиться к Правительству с просьбой, чтобы парашютная фабрика была переведена на положение государственных предприятий с подчинением Наркомату легкой промышленности (Архив ЦДА и К. Ф. 50. Оп. 1. Д. 3. </w:t>
      </w:r>
      <w:proofErr w:type="spellStart"/>
      <w:r w:rsidRPr="007122AB">
        <w:rPr>
          <w:rFonts w:ascii="Times New Roman" w:hAnsi="Times New Roman"/>
          <w:color w:val="000000" w:themeColor="text1"/>
          <w:sz w:val="16"/>
          <w:szCs w:val="16"/>
        </w:rPr>
        <w:t>Лл</w:t>
      </w:r>
      <w:proofErr w:type="spellEnd"/>
      <w:r w:rsidRPr="007122AB">
        <w:rPr>
          <w:rFonts w:ascii="Times New Roman" w:hAnsi="Times New Roman"/>
          <w:color w:val="000000" w:themeColor="text1"/>
          <w:sz w:val="16"/>
          <w:szCs w:val="16"/>
        </w:rPr>
        <w:t>. 21-23.).</w:t>
      </w:r>
    </w:p>
    <w:p w14:paraId="40313E0A" w14:textId="77777777" w:rsidR="000730D5" w:rsidRPr="007122AB" w:rsidRDefault="000730D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Парашют конструкции М.А. Савицкого ПТ-1 для совершения прыжков летчиками, десантниками и спортсменами-парашютистами состоял на снабжении Красной Армии до 1940 года. С помощью ПТ-1 было установлено 22 рекорда страны, в том числе и прыжок с минимальной высоты 80 м (Васина Б.С. Испытание небом. М., 2010. С. 17.) (21402).</w:t>
      </w:r>
    </w:p>
    <w:p w14:paraId="3C25D7AE" w14:textId="77777777" w:rsidR="000730D5" w:rsidRPr="007122AB" w:rsidRDefault="000730D5" w:rsidP="007122AB">
      <w:pPr>
        <w:spacing w:after="0" w:line="240" w:lineRule="auto"/>
        <w:jc w:val="both"/>
        <w:rPr>
          <w:rFonts w:ascii="Times New Roman" w:hAnsi="Times New Roman"/>
          <w:color w:val="000000" w:themeColor="text1"/>
          <w:sz w:val="16"/>
          <w:szCs w:val="16"/>
        </w:rPr>
      </w:pPr>
    </w:p>
    <w:p w14:paraId="18239955" w14:textId="77777777" w:rsidR="003B4A71" w:rsidRPr="007122AB" w:rsidRDefault="003B4A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В конце 1931 г. начали выпуск десантных парашютов ПД-1. По конструкции это был наспинный «Ирвин», но большую часть купола площадью 60 м2 сшивали из перкаля; лишь наиболее нагруженные нижние клинья выполнялись из шелка. Стропы – хлопчатобумажные. В 1932 г. ПД-1 официально приняли на снабжение РККА, постепенно десантные парашюты стали занимать до половины производственной программы. В том же году стали выпускать учебные ПТ-1 с двумя куполами (у запасного вытяжного парашютика не имелось); весь комплект весил более 20 кг (21505).</w:t>
      </w:r>
    </w:p>
    <w:p w14:paraId="28BE0C8D" w14:textId="77777777" w:rsidR="003B4A71" w:rsidRPr="007122AB" w:rsidRDefault="003B4A71" w:rsidP="007122AB">
      <w:pPr>
        <w:spacing w:after="0" w:line="240" w:lineRule="auto"/>
        <w:jc w:val="both"/>
        <w:rPr>
          <w:rFonts w:ascii="Times New Roman" w:hAnsi="Times New Roman"/>
          <w:color w:val="000000" w:themeColor="text1"/>
          <w:sz w:val="16"/>
          <w:szCs w:val="16"/>
        </w:rPr>
      </w:pPr>
    </w:p>
    <w:p w14:paraId="76144058"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01F579B1"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4E80D26" w14:textId="77777777" w:rsidR="000700C8" w:rsidRPr="007122AB" w:rsidRDefault="000700C8"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К концу 1931 года производство вооружений составило 168% к показателям 1930 г., хотя и не достигло намеченных народнохозяйственным планом 225% (</w:t>
      </w:r>
      <w:r w:rsidRPr="007122AB">
        <w:rPr>
          <w:rFonts w:ascii="Times New Roman" w:eastAsia="Times New Roman" w:hAnsi="Times New Roman"/>
          <w:color w:val="000000" w:themeColor="text1"/>
          <w:sz w:val="16"/>
          <w:szCs w:val="16"/>
          <w:lang w:val="en-US" w:eastAsia="ru-RU"/>
        </w:rPr>
        <w:t>DAVIES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R</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W</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Crisis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and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Progress</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Soviet</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Economy</w:t>
      </w:r>
      <w:r w:rsidRPr="007122AB">
        <w:rPr>
          <w:rFonts w:ascii="Times New Roman" w:eastAsia="Times New Roman" w:hAnsi="Times New Roman"/>
          <w:color w:val="000000" w:themeColor="text1"/>
          <w:sz w:val="16"/>
          <w:szCs w:val="16"/>
          <w:lang w:eastAsia="ru-RU"/>
        </w:rPr>
        <w:t xml:space="preserve">, 1931-1933. P 113-115). В целом за пятнадцать месяцев 1930/31 г. из 3577 артиллерийских орудий, заказанных НКВМ, в 1930/31 г. было произведено 1911; вместо 1288 танков было выпущено 740. Такое соотношение было характерно для большинства видов вооружений и боеприпасов (Производство техники, вооружения и боеприпасов для Наркомата Обороны за период с 1929 по 1941 г. (Собрал данные А. Мелия) // http://www </w:t>
      </w:r>
      <w:proofErr w:type="spellStart"/>
      <w:r w:rsidRPr="007122AB">
        <w:rPr>
          <w:rFonts w:ascii="Times New Roman" w:eastAsia="Times New Roman" w:hAnsi="Times New Roman"/>
          <w:color w:val="000000" w:themeColor="text1"/>
          <w:sz w:val="16"/>
          <w:szCs w:val="16"/>
          <w:lang w:eastAsia="ru-RU"/>
        </w:rPr>
        <w:t>military-economic</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ru</w:t>
      </w:r>
      <w:proofErr w:type="spellEnd"/>
      <w:r w:rsidRPr="007122AB">
        <w:rPr>
          <w:rFonts w:ascii="Times New Roman" w:eastAsia="Times New Roman" w:hAnsi="Times New Roman"/>
          <w:color w:val="000000" w:themeColor="text1"/>
          <w:sz w:val="16"/>
          <w:szCs w:val="16"/>
          <w:lang w:eastAsia="ru-RU"/>
        </w:rPr>
        <w:t xml:space="preserve">/doc8. </w:t>
      </w:r>
      <w:proofErr w:type="spellStart"/>
      <w:r w:rsidRPr="007122AB">
        <w:rPr>
          <w:rFonts w:ascii="Times New Roman" w:eastAsia="Times New Roman" w:hAnsi="Times New Roman"/>
          <w:color w:val="000000" w:themeColor="text1"/>
          <w:sz w:val="16"/>
          <w:szCs w:val="16"/>
          <w:lang w:eastAsia="ru-RU"/>
        </w:rPr>
        <w:t>html</w:t>
      </w:r>
      <w:proofErr w:type="spellEnd"/>
      <w:r w:rsidRPr="007122AB">
        <w:rPr>
          <w:rFonts w:ascii="Times New Roman" w:eastAsia="Times New Roman" w:hAnsi="Times New Roman"/>
          <w:color w:val="000000" w:themeColor="text1"/>
          <w:sz w:val="16"/>
          <w:szCs w:val="16"/>
          <w:lang w:eastAsia="ru-RU"/>
        </w:rPr>
        <w:t>) (22725).</w:t>
      </w:r>
    </w:p>
    <w:p w14:paraId="354D53A1" w14:textId="77777777" w:rsidR="000700C8" w:rsidRPr="007122AB" w:rsidRDefault="000700C8" w:rsidP="007122AB">
      <w:pPr>
        <w:spacing w:after="0" w:line="240" w:lineRule="auto"/>
        <w:jc w:val="both"/>
        <w:rPr>
          <w:rFonts w:ascii="Times New Roman" w:hAnsi="Times New Roman"/>
          <w:color w:val="000000" w:themeColor="text1"/>
          <w:sz w:val="16"/>
          <w:szCs w:val="16"/>
        </w:rPr>
      </w:pPr>
    </w:p>
    <w:p w14:paraId="728E25BF" w14:textId="77777777" w:rsidR="000700C8" w:rsidRPr="007122AB" w:rsidRDefault="000700C8"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конце 1931 г., когда Гамарник известил находившегося в отпуске наркомвоенмора, что Генеральный секретарь "взялся вплотную" за военную промышленность, Ворошилов советовал "постепенно, но основательно ознакомить Сталина] с положением дел" (Личное письмо Ворошилова Гамарнику, Сочи, 6.12.1931. С. 1б4) (22725).</w:t>
      </w:r>
    </w:p>
    <w:p w14:paraId="524AFD8E" w14:textId="77777777" w:rsidR="000700C8" w:rsidRPr="007122AB" w:rsidRDefault="000700C8" w:rsidP="007122AB">
      <w:pPr>
        <w:spacing w:after="0" w:line="240" w:lineRule="auto"/>
        <w:jc w:val="both"/>
        <w:rPr>
          <w:rFonts w:ascii="Times New Roman" w:eastAsia="Times New Roman" w:hAnsi="Times New Roman"/>
          <w:color w:val="000000" w:themeColor="text1"/>
          <w:sz w:val="16"/>
          <w:szCs w:val="16"/>
          <w:lang w:eastAsia="ru-RU"/>
        </w:rPr>
      </w:pPr>
    </w:p>
    <w:p w14:paraId="414A2962" w14:textId="77777777" w:rsidR="000924C2" w:rsidRPr="007122AB" w:rsidRDefault="000924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г. военная угроза на Дальнем Востоке вплотную приблизилась к границам СССР, следствием чего стал беспрецедентный – на 120% (в текущих ценах) – рост советского военного бюджета (18297).</w:t>
      </w:r>
    </w:p>
    <w:p w14:paraId="55226347" w14:textId="77777777" w:rsidR="000924C2" w:rsidRPr="007122AB" w:rsidRDefault="000924C2" w:rsidP="007122AB">
      <w:pPr>
        <w:spacing w:after="0" w:line="240" w:lineRule="auto"/>
        <w:jc w:val="both"/>
        <w:rPr>
          <w:rFonts w:ascii="Times New Roman" w:hAnsi="Times New Roman"/>
          <w:color w:val="000000" w:themeColor="text1"/>
          <w:sz w:val="16"/>
          <w:szCs w:val="16"/>
        </w:rPr>
      </w:pPr>
    </w:p>
    <w:p w14:paraId="234780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конструкторы завода № 8 вставили в кожух 37-мм противотанковой пушки обр. 1931 года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новую трубу калибра 45 мм и слегка укрепили лафет (3861).</w:t>
      </w:r>
    </w:p>
    <w:p w14:paraId="092C87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C4AFA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года прототипы N-26 получили 37-мм пушку образца 1930 года (ПС-2, конструктор - инженер П. Н. </w:t>
      </w:r>
      <w:proofErr w:type="spellStart"/>
      <w:r w:rsidRPr="007122AB">
        <w:rPr>
          <w:rFonts w:ascii="Times New Roman" w:hAnsi="Times New Roman"/>
          <w:color w:val="000000" w:themeColor="text1"/>
          <w:sz w:val="16"/>
          <w:szCs w:val="16"/>
        </w:rPr>
        <w:t>Сячентов</w:t>
      </w:r>
      <w:proofErr w:type="spellEnd"/>
      <w:r w:rsidRPr="007122AB">
        <w:rPr>
          <w:rFonts w:ascii="Times New Roman" w:hAnsi="Times New Roman"/>
          <w:color w:val="000000" w:themeColor="text1"/>
          <w:sz w:val="16"/>
          <w:szCs w:val="16"/>
        </w:rPr>
        <w:t xml:space="preserve">; пушка ПС-2 представляла собой вариант 37-мм противотанковой пушки </w:t>
      </w:r>
      <w:proofErr w:type="spellStart"/>
      <w:r w:rsidRPr="007122AB">
        <w:rPr>
          <w:rFonts w:ascii="Times New Roman" w:hAnsi="Times New Roman"/>
          <w:color w:val="000000" w:themeColor="text1"/>
          <w:sz w:val="16"/>
          <w:szCs w:val="16"/>
        </w:rPr>
        <w:t>Rheinmetall</w:t>
      </w:r>
      <w:proofErr w:type="spellEnd"/>
      <w:r w:rsidRPr="007122AB">
        <w:rPr>
          <w:rFonts w:ascii="Times New Roman" w:hAnsi="Times New Roman"/>
          <w:color w:val="000000" w:themeColor="text1"/>
          <w:sz w:val="16"/>
          <w:szCs w:val="16"/>
        </w:rPr>
        <w:t xml:space="preserve"> Pak 30), которая имела более длинный ствол и большую начальную скорость снаряда. Вооруженный этой пушкой танк известен как танк Т-26 образца 1932 года (3862).</w:t>
      </w:r>
    </w:p>
    <w:p w14:paraId="3366C4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828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76-мм батальонная пушка БПК — наиболее знаменитое орудие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w:t>
      </w:r>
    </w:p>
    <w:p w14:paraId="122F06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311AE5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w:t>
      </w:r>
      <w:proofErr w:type="spellStart"/>
      <w:r w:rsidRPr="007122AB">
        <w:rPr>
          <w:rFonts w:ascii="Times New Roman" w:hAnsi="Times New Roman"/>
          <w:color w:val="000000" w:themeColor="text1"/>
          <w:sz w:val="16"/>
          <w:szCs w:val="16"/>
        </w:rPr>
        <w:t>Подрессоривания</w:t>
      </w:r>
      <w:proofErr w:type="spellEnd"/>
      <w:r w:rsidRPr="007122AB">
        <w:rPr>
          <w:rFonts w:ascii="Times New Roman" w:hAnsi="Times New Roman"/>
          <w:color w:val="000000" w:themeColor="text1"/>
          <w:sz w:val="16"/>
          <w:szCs w:val="16"/>
        </w:rPr>
        <w:t xml:space="preserve"> не было. Колеса деревянные.</w:t>
      </w:r>
    </w:p>
    <w:p w14:paraId="6FE531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боекомплект БПК входили:</w:t>
      </w:r>
    </w:p>
    <w:p w14:paraId="4695EA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Старая русская граната весом 6,5 кг, длиной 4,04 калибра. Вес взрывчатого вещества в гранате 0,86 кг. Взрыватель ЗГТ.</w:t>
      </w:r>
    </w:p>
    <w:p w14:paraId="006342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Осколочно-фугасная граната эталон 124 весом 6,23 кг, длиной 4,7 калибра. Вес взрывчатого вещества 0,73 кг. Взрыватель КТ-1.</w:t>
      </w:r>
    </w:p>
    <w:p w14:paraId="7AF045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Осколочно-фугасный снаряд чертежа 3421 весом 4,715 кг, длиной 3,95 калибра. Вес взрывчатого вещества в снаряде 0,702 кг. Взрыватель КТ-1.</w:t>
      </w:r>
    </w:p>
    <w:p w14:paraId="6E9F3E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момент испытаний БПК снаряды еще не имели индексов. Граната эталон 124 — новый снаряд «дальнобойной формы» для дивизионных пушек, позже его назовут ОФ-350.</w:t>
      </w:r>
    </w:p>
    <w:p w14:paraId="6E1ECE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Осколочно-фугасный снаряд чертежа 3421 — легкий снаряд, специально созданный для БПК.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БПК снарядом ОФ-343 будут комплектоваться выстрелы для 76-мм полковых пушек обр. 1927 г. и танковых пушек обр. 1927/1932 гг.</w:t>
      </w:r>
    </w:p>
    <w:p w14:paraId="2ED5A7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(12091).</w:t>
      </w:r>
    </w:p>
    <w:p w14:paraId="557904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ADFA0B"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была спроектирована 76-мм батальонная пушка БПК — наиболее знаменитое орудие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w:t>
      </w:r>
    </w:p>
    <w:p w14:paraId="135E282E"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1E381852"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w:t>
      </w:r>
      <w:proofErr w:type="spellStart"/>
      <w:r w:rsidRPr="007122AB">
        <w:rPr>
          <w:rFonts w:ascii="Times New Roman" w:hAnsi="Times New Roman"/>
          <w:color w:val="000000" w:themeColor="text1"/>
          <w:sz w:val="16"/>
          <w:szCs w:val="16"/>
        </w:rPr>
        <w:t>Подрессоривания</w:t>
      </w:r>
      <w:proofErr w:type="spellEnd"/>
      <w:r w:rsidRPr="007122AB">
        <w:rPr>
          <w:rFonts w:ascii="Times New Roman" w:hAnsi="Times New Roman"/>
          <w:color w:val="000000" w:themeColor="text1"/>
          <w:sz w:val="16"/>
          <w:szCs w:val="16"/>
        </w:rPr>
        <w:t xml:space="preserve"> не было. Колеса деревянные.</w:t>
      </w:r>
    </w:p>
    <w:p w14:paraId="6909D0B0" w14:textId="77777777" w:rsidR="0087630B" w:rsidRPr="007122AB" w:rsidRDefault="0087630B" w:rsidP="007122AB">
      <w:pPr>
        <w:spacing w:after="0" w:line="240" w:lineRule="auto"/>
        <w:jc w:val="both"/>
        <w:rPr>
          <w:rFonts w:ascii="Times New Roman" w:hAnsi="Times New Roman"/>
          <w:bCs/>
          <w:color w:val="000000" w:themeColor="text1"/>
          <w:sz w:val="16"/>
          <w:szCs w:val="16"/>
        </w:rPr>
      </w:pPr>
      <w:bookmarkStart w:id="46" w:name="label46"/>
      <w:bookmarkStart w:id="47" w:name="label47"/>
      <w:bookmarkEnd w:id="46"/>
      <w:bookmarkEnd w:id="47"/>
      <w:r w:rsidRPr="007122AB">
        <w:rPr>
          <w:rFonts w:ascii="Times New Roman" w:hAnsi="Times New Roman"/>
          <w:bCs/>
          <w:color w:val="000000" w:themeColor="text1"/>
          <w:sz w:val="16"/>
          <w:szCs w:val="16"/>
        </w:rPr>
        <w:t xml:space="preserve">Данные образцов БПК, испытанных на </w:t>
      </w:r>
      <w:proofErr w:type="spellStart"/>
      <w:r w:rsidRPr="007122AB">
        <w:rPr>
          <w:rFonts w:ascii="Times New Roman" w:hAnsi="Times New Roman"/>
          <w:bCs/>
          <w:color w:val="000000" w:themeColor="text1"/>
          <w:sz w:val="16"/>
          <w:szCs w:val="16"/>
        </w:rPr>
        <w:t>НИАПе</w:t>
      </w:r>
      <w:proofErr w:type="spellEnd"/>
    </w:p>
    <w:p w14:paraId="3897D40B" w14:textId="77777777" w:rsidR="0087630B" w:rsidRPr="007122AB" w:rsidRDefault="0087630B" w:rsidP="007122AB">
      <w:pPr>
        <w:spacing w:after="0" w:line="240" w:lineRule="auto"/>
        <w:jc w:val="both"/>
        <w:rPr>
          <w:rFonts w:ascii="Times New Roman" w:hAnsi="Times New Roman"/>
          <w:bCs/>
          <w:color w:val="000000" w:themeColor="text1"/>
          <w:sz w:val="16"/>
          <w:szCs w:val="16"/>
        </w:rPr>
      </w:pPr>
      <w:bookmarkStart w:id="48" w:name="label48"/>
      <w:bookmarkEnd w:id="48"/>
      <w:r w:rsidRPr="007122AB">
        <w:rPr>
          <w:rFonts w:ascii="Times New Roman" w:hAnsi="Times New Roman"/>
          <w:bCs/>
          <w:color w:val="000000" w:themeColor="text1"/>
          <w:sz w:val="16"/>
          <w:szCs w:val="16"/>
          <w:vertAlign w:val="superscript"/>
        </w:rPr>
        <w:t>Дата испытания …… Май 1932 г. … Октябрь 1932 г.</w:t>
      </w:r>
    </w:p>
    <w:p w14:paraId="33AE7740"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Калибр, мм …… 76,2 — 76,2</w:t>
      </w:r>
    </w:p>
    <w:p w14:paraId="47219024"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ствола без воронки, мм/</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 1513/19,9 … 1513/19,9</w:t>
      </w:r>
    </w:p>
    <w:p w14:paraId="6DA39043"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воронки, мм …… 789 … 735</w:t>
      </w:r>
    </w:p>
    <w:p w14:paraId="36E25CB7"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нарезной части, мм …… 1111 … 1110</w:t>
      </w:r>
    </w:p>
    <w:p w14:paraId="250BB46B"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каморы, мм …… 404 … 403</w:t>
      </w:r>
    </w:p>
    <w:p w14:paraId="4D1541D7"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Число нарезов …… 24 … 24</w:t>
      </w:r>
    </w:p>
    <w:p w14:paraId="438BAE32"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Угол ВН, град.: </w:t>
      </w:r>
    </w:p>
    <w:p w14:paraId="60A68CE1"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 подрытая грунта …… -23°; +45° … —</w:t>
      </w:r>
    </w:p>
    <w:p w14:paraId="70776FF9"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под соплом с </w:t>
      </w:r>
      <w:proofErr w:type="spellStart"/>
      <w:r w:rsidRPr="007122AB">
        <w:rPr>
          <w:rFonts w:ascii="Times New Roman" w:hAnsi="Times New Roman"/>
          <w:color w:val="000000" w:themeColor="text1"/>
          <w:sz w:val="16"/>
          <w:szCs w:val="16"/>
        </w:rPr>
        <w:t>подрытием</w:t>
      </w:r>
      <w:proofErr w:type="spellEnd"/>
      <w:r w:rsidRPr="007122AB">
        <w:rPr>
          <w:rFonts w:ascii="Times New Roman" w:hAnsi="Times New Roman"/>
          <w:color w:val="000000" w:themeColor="text1"/>
          <w:sz w:val="16"/>
          <w:szCs w:val="16"/>
        </w:rPr>
        <w:t xml:space="preserve"> грунта …… +64° … -17°40'; +45°</w:t>
      </w:r>
    </w:p>
    <w:p w14:paraId="310F944D"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Угол ГН, град. …… — … ±6°</w:t>
      </w:r>
    </w:p>
    <w:p w14:paraId="3DB916BA"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Высота линии огня, мм …… 875 … 1630</w:t>
      </w:r>
    </w:p>
    <w:p w14:paraId="00A9C5BA"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Длина системы, мм …… — … 2435</w:t>
      </w:r>
    </w:p>
    <w:p w14:paraId="0C13101E"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системы, мм …… — … 1800</w:t>
      </w:r>
    </w:p>
    <w:p w14:paraId="525E146F"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Ширина хода, мм …… 1315 … 1255</w:t>
      </w:r>
    </w:p>
    <w:p w14:paraId="7E42BAE1"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Высота системы при угле ВЦ, мм: </w:t>
      </w:r>
    </w:p>
    <w:p w14:paraId="61083615"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 …… 1117 … 1115</w:t>
      </w:r>
    </w:p>
    <w:p w14:paraId="130FB6A6"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45° …… 1730 … 1700</w:t>
      </w:r>
    </w:p>
    <w:p w14:paraId="5CDEAAD0"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Диаметр колес, мм …… 750 … 600 (от ДРП-4)</w:t>
      </w:r>
    </w:p>
    <w:p w14:paraId="654BC35A"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Клиренс, мм …… — … 280</w:t>
      </w:r>
    </w:p>
    <w:p w14:paraId="26925313"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затвора с воронкой, кг …… 12,55 … 14,00</w:t>
      </w:r>
    </w:p>
    <w:p w14:paraId="5689D1A6"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затвора, кг …… — … 6,45</w:t>
      </w:r>
    </w:p>
    <w:p w14:paraId="003CADAB"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воронки, кг …… — … 7,55</w:t>
      </w:r>
    </w:p>
    <w:p w14:paraId="32DF1CDD"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Вес тела орудия с затвором и воронкой, кг …… 63,5 … 90,5</w:t>
      </w:r>
    </w:p>
    <w:p w14:paraId="3463166A"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Вся система в боевом положении с приделом, кг …… 148,6 … 162,5</w:t>
      </w:r>
    </w:p>
    <w:p w14:paraId="585FB759"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Вся система в походном положении, кг …… 148,5 … 160,5</w:t>
      </w:r>
    </w:p>
    <w:p w14:paraId="6B09BF2D"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походного положения в боевое, с …… 47 … —</w:t>
      </w:r>
    </w:p>
    <w:p w14:paraId="6FF80620"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Время перехода из боевого положения в походное, с …… 52 … —</w:t>
      </w:r>
    </w:p>
    <w:p w14:paraId="190FDF4E"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Скорострельность, </w:t>
      </w:r>
      <w:proofErr w:type="spellStart"/>
      <w:r w:rsidRPr="007122AB">
        <w:rPr>
          <w:rFonts w:ascii="Times New Roman" w:hAnsi="Times New Roman"/>
          <w:color w:val="000000" w:themeColor="text1"/>
          <w:sz w:val="16"/>
          <w:szCs w:val="16"/>
        </w:rPr>
        <w:t>выстр</w:t>
      </w:r>
      <w:proofErr w:type="spellEnd"/>
      <w:r w:rsidRPr="007122AB">
        <w:rPr>
          <w:rFonts w:ascii="Times New Roman" w:hAnsi="Times New Roman"/>
          <w:color w:val="000000" w:themeColor="text1"/>
          <w:sz w:val="16"/>
          <w:szCs w:val="16"/>
        </w:rPr>
        <w:t xml:space="preserve">/мин.: </w:t>
      </w:r>
    </w:p>
    <w:p w14:paraId="10F6798C"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изменением наводки …… 6 … —</w:t>
      </w:r>
    </w:p>
    <w:p w14:paraId="5AA1AAE7"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без изменения наводки …… 7 … —</w:t>
      </w:r>
    </w:p>
    <w:p w14:paraId="07263EDB"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боекомплект ВПК входили:</w:t>
      </w:r>
    </w:p>
    <w:p w14:paraId="6146105A"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Старая русская граната весом 6,5 кг, длиной 4,04 калибра. Вес взрывчатого вещества в гранате 0,86 кг. Взрыватель ЗГТ.</w:t>
      </w:r>
    </w:p>
    <w:p w14:paraId="57EE40C2"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Осколочно-фугасная граната эталон 124 весом 6,23 кг, длиной 4,7 калибра. Вес взрывчатого вещества 0,73 кг. Взрыватель КТ-1.</w:t>
      </w:r>
    </w:p>
    <w:p w14:paraId="6A373A2D"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Осколочно-фугасный снаряд чертежа 3421 весом 4,715 кг, длиной 3,95 калибра. Вес взрывчатого вещества в снаряде 0,702 кг. Взрыватель КТ-1.</w:t>
      </w:r>
    </w:p>
    <w:p w14:paraId="63BFB92C"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момент испытаний ВПК снаряды еще не имели индексов. Граната эталон 124 — новый снаряд «дальнобойной формы» для дивизионных пушек, позже его назовут ОФ-350.</w:t>
      </w:r>
    </w:p>
    <w:p w14:paraId="4D2FAB3E"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Осколочно-фугасный снаряд чертежа 3421 — легкий снаряд, специально созданный для ВПК.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ВПК снарядом ОФ-343 будут комплектоваться выстрелы для 76-мм полковых пушек обр. 1927 г. и танковых пушек обр. 1927/1932 г.</w:t>
      </w:r>
    </w:p>
    <w:p w14:paraId="38C956B2"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(15117).</w:t>
      </w:r>
    </w:p>
    <w:p w14:paraId="1F0FB718" w14:textId="77777777" w:rsidR="0087630B" w:rsidRPr="007122AB" w:rsidRDefault="0087630B" w:rsidP="007122AB">
      <w:pPr>
        <w:spacing w:after="0" w:line="240" w:lineRule="auto"/>
        <w:jc w:val="both"/>
        <w:rPr>
          <w:rFonts w:ascii="Times New Roman" w:hAnsi="Times New Roman"/>
          <w:color w:val="000000" w:themeColor="text1"/>
          <w:sz w:val="16"/>
          <w:szCs w:val="16"/>
        </w:rPr>
      </w:pPr>
    </w:p>
    <w:p w14:paraId="38EFD1A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первые образцы орудия Б-3, которое на заводе № 8 получило свой внутризаводской индекс 5К, поступили заказчику, однако предусмотренная проектом спаренная установка указанной пушки с пулеметом ДТ разработана в срок не была. Кроме того, не удалось отладить работу полуавтоматического затвора указанного орудия. Согласно планам производства «танка-истребителя», он должен был быть вооружен 37-мм полуавтоматической пуш</w:t>
      </w:r>
      <w:r w:rsidRPr="007122AB">
        <w:rPr>
          <w:rFonts w:ascii="Times New Roman" w:hAnsi="Times New Roman"/>
          <w:color w:val="000000" w:themeColor="text1"/>
          <w:sz w:val="16"/>
          <w:szCs w:val="16"/>
        </w:rPr>
        <w:softHyphen/>
        <w:t>кой большой мощности. Однако в 1932 г. такой пушки на во</w:t>
      </w:r>
      <w:r w:rsidRPr="007122AB">
        <w:rPr>
          <w:rFonts w:ascii="Times New Roman" w:hAnsi="Times New Roman"/>
          <w:color w:val="000000" w:themeColor="text1"/>
          <w:sz w:val="16"/>
          <w:szCs w:val="16"/>
        </w:rPr>
        <w:softHyphen/>
        <w:t>оружении РККА и в серийном производстве еще не было. В 1929 г. была опробована 37-мм полуавто</w:t>
      </w:r>
      <w:r w:rsidRPr="007122AB">
        <w:rPr>
          <w:rFonts w:ascii="Times New Roman" w:hAnsi="Times New Roman"/>
          <w:color w:val="000000" w:themeColor="text1"/>
          <w:sz w:val="16"/>
          <w:szCs w:val="16"/>
        </w:rPr>
        <w:softHyphen/>
        <w:t>матическая пушка большой мощности ПС-2, но с ее выпус</w:t>
      </w:r>
      <w:r w:rsidRPr="007122AB">
        <w:rPr>
          <w:rFonts w:ascii="Times New Roman" w:hAnsi="Times New Roman"/>
          <w:color w:val="000000" w:themeColor="text1"/>
          <w:sz w:val="16"/>
          <w:szCs w:val="16"/>
        </w:rPr>
        <w:softHyphen/>
        <w:t>ком имелись определенные трудности. В конце 1929-го СССР приобрел у фирмы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37-мм противотан</w:t>
      </w:r>
      <w:r w:rsidRPr="007122AB">
        <w:rPr>
          <w:rFonts w:ascii="Times New Roman" w:hAnsi="Times New Roman"/>
          <w:color w:val="000000" w:themeColor="text1"/>
          <w:sz w:val="16"/>
          <w:szCs w:val="16"/>
        </w:rPr>
        <w:softHyphen/>
        <w:t xml:space="preserve">ковую пушку с полуавтоматическим затвором, которая вскоре была принята на вооружение. Производство орудия осваивалось на заводе № 8 им. Калинина в Подлипках под индексом 1К. По решению </w:t>
      </w:r>
      <w:proofErr w:type="spellStart"/>
      <w:r w:rsidRPr="007122AB">
        <w:rPr>
          <w:rFonts w:ascii="Times New Roman" w:hAnsi="Times New Roman"/>
          <w:color w:val="000000" w:themeColor="text1"/>
          <w:sz w:val="16"/>
          <w:szCs w:val="16"/>
        </w:rPr>
        <w:t>Арткомитета</w:t>
      </w:r>
      <w:proofErr w:type="spellEnd"/>
      <w:r w:rsidRPr="007122AB">
        <w:rPr>
          <w:rFonts w:ascii="Times New Roman" w:hAnsi="Times New Roman"/>
          <w:color w:val="000000" w:themeColor="text1"/>
          <w:sz w:val="16"/>
          <w:szCs w:val="16"/>
        </w:rPr>
        <w:t xml:space="preserve"> артиллерийское КБ завода «Большевик» в короткий срок наложило ствол и казенник пушки 19К в ложе с противооткатными приспособлениями орудия ПС-2, получив, таким образом, 37-мм по</w:t>
      </w:r>
      <w:r w:rsidRPr="007122AB">
        <w:rPr>
          <w:rFonts w:ascii="Times New Roman" w:hAnsi="Times New Roman"/>
          <w:color w:val="000000" w:themeColor="text1"/>
          <w:sz w:val="16"/>
          <w:szCs w:val="16"/>
        </w:rPr>
        <w:softHyphen/>
        <w:t xml:space="preserve">луавтоматическую танковую пушку большой мощности </w:t>
      </w:r>
      <w:proofErr w:type="spellStart"/>
      <w:r w:rsidRPr="007122AB">
        <w:rPr>
          <w:rFonts w:ascii="Times New Roman" w:hAnsi="Times New Roman"/>
          <w:color w:val="000000" w:themeColor="text1"/>
          <w:sz w:val="16"/>
          <w:szCs w:val="16"/>
        </w:rPr>
        <w:t>об.р</w:t>
      </w:r>
      <w:proofErr w:type="spellEnd"/>
      <w:r w:rsidRPr="007122AB">
        <w:rPr>
          <w:rFonts w:ascii="Times New Roman" w:hAnsi="Times New Roman"/>
          <w:color w:val="000000" w:themeColor="text1"/>
          <w:sz w:val="16"/>
          <w:szCs w:val="16"/>
        </w:rPr>
        <w:t>. 1930—31 гг., которой был присвоен индекс Б-3. Еще до Государственных испытаний пушка была передана на завод № 8 для спешной организации серийного производства. Там орудие получило свой внутризаводской индекс 5К (10733,202).</w:t>
      </w:r>
    </w:p>
    <w:p w14:paraId="634C08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56F34" w14:textId="77777777" w:rsidR="003B4A71" w:rsidRPr="007122AB" w:rsidRDefault="003B4A71" w:rsidP="007122AB">
      <w:pPr>
        <w:shd w:val="clear" w:color="auto" w:fill="FFFFFF"/>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В конце 1931 года на "Большевике" разработали установку спаренной 37-мм пушки Б-3 с пулемётом ДТУ в двухместной башне Т-26, которая здорово напоминала </w:t>
      </w:r>
      <w:proofErr w:type="spellStart"/>
      <w:r w:rsidRPr="007122AB">
        <w:rPr>
          <w:rFonts w:ascii="Times New Roman" w:hAnsi="Times New Roman"/>
          <w:color w:val="000000" w:themeColor="text1"/>
          <w:sz w:val="16"/>
          <w:szCs w:val="16"/>
          <w:shd w:val="clear" w:color="auto" w:fill="FFFFFF"/>
        </w:rPr>
        <w:t>Leichttraktor</w:t>
      </w:r>
      <w:proofErr w:type="spellEnd"/>
      <w:r w:rsidRPr="007122AB">
        <w:rPr>
          <w:rFonts w:ascii="Times New Roman" w:hAnsi="Times New Roman"/>
          <w:color w:val="000000" w:themeColor="text1"/>
          <w:sz w:val="16"/>
          <w:szCs w:val="16"/>
          <w:shd w:val="clear" w:color="auto" w:fill="FFFFFF"/>
        </w:rPr>
        <w:t>. К этой работе Гинзбург также имел отношение (20375).</w:t>
      </w:r>
    </w:p>
    <w:p w14:paraId="6697E119" w14:textId="77777777" w:rsidR="003B4A71" w:rsidRPr="007122AB" w:rsidRDefault="003B4A71" w:rsidP="007122AB">
      <w:pPr>
        <w:shd w:val="clear" w:color="auto" w:fill="FFFFFF"/>
        <w:spacing w:after="0" w:line="240" w:lineRule="auto"/>
        <w:jc w:val="both"/>
        <w:rPr>
          <w:rFonts w:ascii="Times New Roman" w:hAnsi="Times New Roman"/>
          <w:color w:val="000000" w:themeColor="text1"/>
          <w:sz w:val="16"/>
          <w:szCs w:val="16"/>
        </w:rPr>
      </w:pPr>
    </w:p>
    <w:p w14:paraId="76F7C5D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были выдвинуты тактико-технические требования (ТТТ) на танк Т-34 (мобилизационный танк). Согласно им предусматривалось создание танка массой 4 т, который должен был нести авто</w:t>
      </w:r>
      <w:r w:rsidRPr="007122AB">
        <w:rPr>
          <w:rFonts w:ascii="Times New Roman" w:hAnsi="Times New Roman"/>
          <w:color w:val="000000" w:themeColor="text1"/>
          <w:sz w:val="16"/>
          <w:szCs w:val="16"/>
        </w:rPr>
        <w:softHyphen/>
        <w:t>мобильный двигатель АМО-ЗИС мощностью 63 л.с. (в ходе проектирования сменен на двигатель мощностью 70 л.с.), а также КПП и системы питания серийного грузового автомо</w:t>
      </w:r>
      <w:r w:rsidRPr="007122AB">
        <w:rPr>
          <w:rFonts w:ascii="Times New Roman" w:hAnsi="Times New Roman"/>
          <w:color w:val="000000" w:themeColor="text1"/>
          <w:sz w:val="16"/>
          <w:szCs w:val="16"/>
        </w:rPr>
        <w:softHyphen/>
        <w:t>биля. По броневой защите танк должен был быть аналогич</w:t>
      </w:r>
      <w:r w:rsidRPr="007122AB">
        <w:rPr>
          <w:rFonts w:ascii="Times New Roman" w:hAnsi="Times New Roman"/>
          <w:color w:val="000000" w:themeColor="text1"/>
          <w:sz w:val="16"/>
          <w:szCs w:val="16"/>
        </w:rPr>
        <w:softHyphen/>
        <w:t>ным танку Т-26, но нести подвеску на спиральных пружи</w:t>
      </w:r>
      <w:r w:rsidRPr="007122AB">
        <w:rPr>
          <w:rFonts w:ascii="Times New Roman" w:hAnsi="Times New Roman"/>
          <w:color w:val="000000" w:themeColor="text1"/>
          <w:sz w:val="16"/>
          <w:szCs w:val="16"/>
        </w:rPr>
        <w:softHyphen/>
        <w:t>нах, выпуск которых уже не представлял трудностей. По подвижности танк не должен был уступать Т-26 при движе</w:t>
      </w:r>
      <w:r w:rsidRPr="007122AB">
        <w:rPr>
          <w:rFonts w:ascii="Times New Roman" w:hAnsi="Times New Roman"/>
          <w:color w:val="000000" w:themeColor="text1"/>
          <w:sz w:val="16"/>
          <w:szCs w:val="16"/>
        </w:rPr>
        <w:softHyphen/>
        <w:t>нии вне дорог, а по дорогам предусматривалась его пере</w:t>
      </w:r>
      <w:r w:rsidRPr="007122AB">
        <w:rPr>
          <w:rFonts w:ascii="Times New Roman" w:hAnsi="Times New Roman"/>
          <w:color w:val="000000" w:themeColor="text1"/>
          <w:sz w:val="16"/>
          <w:szCs w:val="16"/>
        </w:rPr>
        <w:softHyphen/>
        <w:t>броска в кузове 5-тонного грузового автомобиля (10733,189).</w:t>
      </w:r>
    </w:p>
    <w:p w14:paraId="1A6D0BF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0D42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КБ Н.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получило задание от зам. нач. УММ РККА Лебедева: «Вам поручается приспособить Т-26 для передвижения на колесах своим собственным ходом». Однако за год указанный коллектив так и не смог защитить свой проект оснащения Т-26 колесным ходом. Проект был сочтен неграмотным и излишне сложным (10733,307).</w:t>
      </w:r>
    </w:p>
    <w:p w14:paraId="5788AD3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6931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началось конструирование танка Т-28 (3848,85) в ОКМО (Опытный конструкторско-механический отдел) заводе Большевик, а по другим данным - был выведен на заводские испытания первый прототип (3918).</w:t>
      </w:r>
    </w:p>
    <w:p w14:paraId="2BA683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E18E6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конце 1931 года первый прототип нового танка Т-28 был выведен на заводские испытания. В главной башне прототипа размещалась 45-мм танковая пушка и пулемет ДТ в шаровой установке. В двух малых пулеметных башнях устанавливались еще два ДТ. Для поворота главной башни использовался электропривод, что являлось новинкой для того времени; для удобства работы экипажа в ней имелся также подвесной </w:t>
      </w:r>
      <w:proofErr w:type="spellStart"/>
      <w:r w:rsidRPr="007122AB">
        <w:rPr>
          <w:rFonts w:ascii="Times New Roman" w:hAnsi="Times New Roman"/>
          <w:color w:val="000000" w:themeColor="text1"/>
          <w:sz w:val="16"/>
          <w:szCs w:val="16"/>
        </w:rPr>
        <w:t>полик</w:t>
      </w:r>
      <w:proofErr w:type="spellEnd"/>
      <w:r w:rsidRPr="007122AB">
        <w:rPr>
          <w:rFonts w:ascii="Times New Roman" w:hAnsi="Times New Roman"/>
          <w:color w:val="000000" w:themeColor="text1"/>
          <w:sz w:val="16"/>
          <w:szCs w:val="16"/>
        </w:rPr>
        <w:t>. Конструкция ходовой части танка, весившего 18 тонн, придавала ему необходимую плавность хода и обеспечивала преодоление препятствий. Вместе с тем, при первом же испытании в ней выявилось большое число недоработок, как впрочем и в силовой установке (3918).</w:t>
      </w:r>
    </w:p>
    <w:p w14:paraId="0C521A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D521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 начале 1932 были проведены опытные работы по установке химического и огнеметного оборудования на танкетке Т-27 и легком танке МС-1 (9527,179).</w:t>
      </w:r>
    </w:p>
    <w:p w14:paraId="3F67AB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73E22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началось серийное производство Т-37 и в 1933 году прекратилось. Всего было выпущено около 2600 машин.</w:t>
      </w:r>
    </w:p>
    <w:p w14:paraId="75CD42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Т-27 первоначально предполагалось использовать в целях разведки, связи и сопровождения в бою тяжелых танков. Однако из-за слабого бронирования выполнить такую задачу не удалось. Танкетки поступили в кавалерийские дивизии для целей разведки и сопровождения конницы (3861).</w:t>
      </w:r>
    </w:p>
    <w:p w14:paraId="5E8568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F4D6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работы по первому проекту среднего трактора на базе танка Т-19, который получил наименование Борец, которые велись с начала 1930, прекратились. Трактор должен был буксировать грузы весом до 7 т, а его масса - не превышать 7.5 т. Помимо водителя предусматривали 9 мест для расчета. Решили сделать аналогичный на базе Т-26 (9527,211).</w:t>
      </w:r>
    </w:p>
    <w:p w14:paraId="51E8B1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E2028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исходе 1931 г. М. Тухачевский высказывал озабоченность в целесообразности освоения выпуска танка БТ в СССР: «...прошу Вас сообщить, соответствуют ли характеристики танка Б-Т заявленным и не совершаем ли мы ошибку, ставя этот танк в производство на Харьковском заводе... Тухачевский” (10733,199).</w:t>
      </w:r>
    </w:p>
    <w:p w14:paraId="0789016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E0EEA"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1931 г. обозначились серьезные трудности в производстве танков. Ижорский завод смог подготовить производство на 3,5-4 тыс. тонн готовых броневых изделий вместо 6 тыс. по плану. Остальные заводы с поставленной задачей фактически не справились и продолжали работы по подготовке мощностей для броневого проката. Если на Мариупольском заводе еще велась активная подготовительная работа, то на остальных предприятиях реально ничего не было сделано. Так и не было подготовлено решение по созданию моторной базы для танков БТ, что ставило под вопрос всю программу быстроходного танка. Поэтому Наркомат по военным и морским делам поставил перед правительством вопрос о закупке для танка БТ 500 моторов за границей.</w:t>
      </w:r>
    </w:p>
    <w:p w14:paraId="73CF2E1A"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Текущая подготовка мощностей по сборке танков тоже находилась в очень тяжелом положении. ХПЗ снизил для себя план по БТ с 25 до 6 танков в 1931 г. Но и их он не мог сделать, поскольку работы по инструментальному и термическому цехам были готовы только на 50 %, механическому цеху не хватало мостовых кранов и 140 станков. Кроме того, была провалена подготовка сборки танков, которая планировалась на 1-м автомобильном заводе (АМО), Ярославском автомобильном заводе и СТЗ[72]. Заранее обозначим, что на первых двух предприятиях танковое производство так и не появилось (23536).</w:t>
      </w:r>
    </w:p>
    <w:p w14:paraId="6E288877" w14:textId="77777777" w:rsidR="00CA22D8" w:rsidRPr="00441F34" w:rsidRDefault="00CA22D8" w:rsidP="00CA22D8">
      <w:pPr>
        <w:spacing w:after="0" w:line="240" w:lineRule="auto"/>
        <w:jc w:val="both"/>
        <w:rPr>
          <w:rFonts w:ascii="Times New Roman" w:hAnsi="Times New Roman"/>
          <w:color w:val="0070C0"/>
          <w:sz w:val="16"/>
          <w:szCs w:val="16"/>
        </w:rPr>
      </w:pPr>
    </w:p>
    <w:p w14:paraId="2E0814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на ХПЗ началось серийное производство танка БТ-2.</w:t>
      </w:r>
    </w:p>
    <w:p w14:paraId="070F050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Первым началь</w:t>
      </w:r>
      <w:r w:rsidRPr="007122AB">
        <w:rPr>
          <w:rFonts w:ascii="Times New Roman" w:hAnsi="Times New Roman"/>
          <w:color w:val="000000" w:themeColor="text1"/>
          <w:sz w:val="16"/>
          <w:szCs w:val="16"/>
        </w:rPr>
        <w:softHyphen/>
        <w:t>ником танкового отдела Т-2 был назначен Валентин Викторович Фокин — хороший инженер, обладавший незаурядными организаторскими способ</w:t>
      </w:r>
      <w:r w:rsidRPr="007122AB">
        <w:rPr>
          <w:rFonts w:ascii="Times New Roman" w:hAnsi="Times New Roman"/>
          <w:color w:val="000000" w:themeColor="text1"/>
          <w:sz w:val="16"/>
          <w:szCs w:val="16"/>
        </w:rPr>
        <w:softHyphen/>
        <w:t>ностями и являвшийся до этого назначения Главным инженером завода.</w:t>
      </w:r>
    </w:p>
    <w:p w14:paraId="6640838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Одно из ответственных подразделений отдела — сдаточный цех — воз</w:t>
      </w:r>
      <w:r w:rsidRPr="007122AB">
        <w:rPr>
          <w:rFonts w:ascii="Times New Roman" w:hAnsi="Times New Roman"/>
          <w:color w:val="000000" w:themeColor="text1"/>
          <w:sz w:val="16"/>
          <w:szCs w:val="16"/>
        </w:rPr>
        <w:softHyphen/>
        <w:t>главил весьма квалифицированный инженер, хорошо знающий произ</w:t>
      </w:r>
      <w:r w:rsidRPr="007122AB">
        <w:rPr>
          <w:rFonts w:ascii="Times New Roman" w:hAnsi="Times New Roman"/>
          <w:color w:val="000000" w:themeColor="text1"/>
          <w:sz w:val="16"/>
          <w:szCs w:val="16"/>
        </w:rPr>
        <w:softHyphen/>
        <w:t>водство Лев Ильич Зайчик. С 1932 года он станет начальником танкового отдела Т-2.</w:t>
      </w:r>
    </w:p>
    <w:p w14:paraId="5402D5C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Механическими цехами этого отдела руководили к этому времени уже опытные «зубры» — </w:t>
      </w:r>
      <w:proofErr w:type="spellStart"/>
      <w:r w:rsidRPr="007122AB">
        <w:rPr>
          <w:rFonts w:ascii="Times New Roman" w:hAnsi="Times New Roman"/>
          <w:color w:val="000000" w:themeColor="text1"/>
          <w:sz w:val="16"/>
          <w:szCs w:val="16"/>
        </w:rPr>
        <w:t>механообработчики</w:t>
      </w:r>
      <w:proofErr w:type="spellEnd"/>
      <w:r w:rsidRPr="007122AB">
        <w:rPr>
          <w:rFonts w:ascii="Times New Roman" w:hAnsi="Times New Roman"/>
          <w:color w:val="000000" w:themeColor="text1"/>
          <w:sz w:val="16"/>
          <w:szCs w:val="16"/>
        </w:rPr>
        <w:t xml:space="preserve"> — Федор Семенович Булгаков, Абрам Лазаревич Хайтов, Иван Карпович </w:t>
      </w:r>
      <w:proofErr w:type="spellStart"/>
      <w:r w:rsidRPr="007122AB">
        <w:rPr>
          <w:rFonts w:ascii="Times New Roman" w:hAnsi="Times New Roman"/>
          <w:color w:val="000000" w:themeColor="text1"/>
          <w:sz w:val="16"/>
          <w:szCs w:val="16"/>
        </w:rPr>
        <w:t>Капленко</w:t>
      </w:r>
      <w:proofErr w:type="spellEnd"/>
      <w:r w:rsidRPr="007122AB">
        <w:rPr>
          <w:rFonts w:ascii="Times New Roman" w:hAnsi="Times New Roman"/>
          <w:color w:val="000000" w:themeColor="text1"/>
          <w:sz w:val="16"/>
          <w:szCs w:val="16"/>
        </w:rPr>
        <w:t xml:space="preserve"> и другие.</w:t>
      </w:r>
    </w:p>
    <w:p w14:paraId="0BCFA67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Главным технологом отдела Т-2 с 1932 года станет крупнейший специ</w:t>
      </w:r>
      <w:r w:rsidRPr="007122AB">
        <w:rPr>
          <w:rFonts w:ascii="Times New Roman" w:hAnsi="Times New Roman"/>
          <w:color w:val="000000" w:themeColor="text1"/>
          <w:sz w:val="16"/>
          <w:szCs w:val="16"/>
        </w:rPr>
        <w:softHyphen/>
        <w:t xml:space="preserve">алист в этой области Константин Иванович </w:t>
      </w:r>
      <w:proofErr w:type="spellStart"/>
      <w:r w:rsidRPr="007122AB">
        <w:rPr>
          <w:rFonts w:ascii="Times New Roman" w:hAnsi="Times New Roman"/>
          <w:color w:val="000000" w:themeColor="text1"/>
          <w:sz w:val="16"/>
          <w:szCs w:val="16"/>
        </w:rPr>
        <w:t>Цереквицкий</w:t>
      </w:r>
      <w:proofErr w:type="spellEnd"/>
      <w:r w:rsidRPr="007122AB">
        <w:rPr>
          <w:rFonts w:ascii="Times New Roman" w:hAnsi="Times New Roman"/>
          <w:color w:val="000000" w:themeColor="text1"/>
          <w:sz w:val="16"/>
          <w:szCs w:val="16"/>
        </w:rPr>
        <w:t>.</w:t>
      </w:r>
    </w:p>
    <w:p w14:paraId="3832943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Началось серийное производство БТ-2, а на заводе не было броневой стали и вооружения для них. Первые 10 машин решили делать из обыч</w:t>
      </w:r>
      <w:r w:rsidRPr="007122AB">
        <w:rPr>
          <w:rFonts w:ascii="Times New Roman" w:hAnsi="Times New Roman"/>
          <w:color w:val="000000" w:themeColor="text1"/>
          <w:sz w:val="16"/>
          <w:szCs w:val="16"/>
        </w:rPr>
        <w:softHyphen/>
        <w:t>ной, как тогда называли «торговой» стали, а вместо отсутствующего воо</w:t>
      </w:r>
      <w:r w:rsidRPr="007122AB">
        <w:rPr>
          <w:rFonts w:ascii="Times New Roman" w:hAnsi="Times New Roman"/>
          <w:color w:val="000000" w:themeColor="text1"/>
          <w:sz w:val="16"/>
          <w:szCs w:val="16"/>
        </w:rPr>
        <w:softHyphen/>
        <w:t>ружения установили березовые макеты системы. Вот на этих-то десяти БТ и стали отрабатывать узлы ходовой части и всех систем двигателя.</w:t>
      </w:r>
    </w:p>
    <w:p w14:paraId="076C485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первых образцах танков, выпускавшихся до 1933 года в нескользких вариантах, в башне была спаренная установка двух пулеметов. На второй серии в башне устанавливались 37-мм пушка с плечевым упором для на</w:t>
      </w:r>
      <w:r w:rsidRPr="007122AB">
        <w:rPr>
          <w:rFonts w:ascii="Times New Roman" w:hAnsi="Times New Roman"/>
          <w:color w:val="000000" w:themeColor="text1"/>
          <w:sz w:val="16"/>
          <w:szCs w:val="16"/>
        </w:rPr>
        <w:softHyphen/>
        <w:t>водки в цель и один пулемет ДТ в шаровой установке. Третий вариант танка БТ-2 отличался от второго установкой в башне 45-мм пушки и спа</w:t>
      </w:r>
      <w:r w:rsidRPr="007122AB">
        <w:rPr>
          <w:rFonts w:ascii="Times New Roman" w:hAnsi="Times New Roman"/>
          <w:color w:val="000000" w:themeColor="text1"/>
          <w:sz w:val="16"/>
          <w:szCs w:val="16"/>
        </w:rPr>
        <w:softHyphen/>
        <w:t>ренного о ней пулеметы.</w:t>
      </w:r>
    </w:p>
    <w:p w14:paraId="6020D77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всех вариантах танка БТ-2 устанавливались цилиндрическая баш</w:t>
      </w:r>
      <w:r w:rsidRPr="007122AB">
        <w:rPr>
          <w:rFonts w:ascii="Times New Roman" w:hAnsi="Times New Roman"/>
          <w:color w:val="000000" w:themeColor="text1"/>
          <w:sz w:val="16"/>
          <w:szCs w:val="16"/>
        </w:rPr>
        <w:softHyphen/>
        <w:t>ня, устаревший карбюраторный авиационный двигатель Либерти, четы</w:t>
      </w:r>
      <w:r w:rsidRPr="007122AB">
        <w:rPr>
          <w:rFonts w:ascii="Times New Roman" w:hAnsi="Times New Roman"/>
          <w:color w:val="000000" w:themeColor="text1"/>
          <w:sz w:val="16"/>
          <w:szCs w:val="16"/>
        </w:rPr>
        <w:softHyphen/>
        <w:t>рехступенчатая коробка передач. В качестве механизма поворота приме</w:t>
      </w:r>
      <w:r w:rsidRPr="007122AB">
        <w:rPr>
          <w:rFonts w:ascii="Times New Roman" w:hAnsi="Times New Roman"/>
          <w:color w:val="000000" w:themeColor="text1"/>
          <w:sz w:val="16"/>
          <w:szCs w:val="16"/>
        </w:rPr>
        <w:softHyphen/>
        <w:t>нялись бортовые фрикционы с тормозами.</w:t>
      </w:r>
    </w:p>
    <w:p w14:paraId="66F725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Принципиально новая конструктивная особенность танков БТ-2 — независимая подвеска, характерная применением отдельных упругих эле</w:t>
      </w:r>
      <w:r w:rsidRPr="007122AB">
        <w:rPr>
          <w:rFonts w:ascii="Times New Roman" w:hAnsi="Times New Roman"/>
          <w:color w:val="000000" w:themeColor="text1"/>
          <w:sz w:val="16"/>
          <w:szCs w:val="16"/>
        </w:rPr>
        <w:softHyphen/>
        <w:t>ментов (пружин) для каждого опорного катка. Такая подвеска явилась важнейшим условием создания быстроходных боевых машин. Она будет переходить от БТ-2, к БТ-5, БТ-7, БТ-7М, А-20, Т-32 и на Т-34 (11504).</w:t>
      </w:r>
    </w:p>
    <w:p w14:paraId="327707A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6D9CF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техническим отделом Экономического управления ОГПУ под руководством Н. Астрова было на</w:t>
      </w:r>
      <w:r w:rsidRPr="007122AB">
        <w:rPr>
          <w:rFonts w:ascii="Times New Roman" w:hAnsi="Times New Roman"/>
          <w:color w:val="000000" w:themeColor="text1"/>
          <w:sz w:val="16"/>
          <w:szCs w:val="16"/>
        </w:rPr>
        <w:softHyphen/>
        <w:t>чато проектирование колесно-гусеничного плавающего танка ПТ-1. Следует отметить, что танк ПТ-1 никто не рас</w:t>
      </w:r>
      <w:r w:rsidRPr="007122AB">
        <w:rPr>
          <w:rFonts w:ascii="Times New Roman" w:hAnsi="Times New Roman"/>
          <w:color w:val="000000" w:themeColor="text1"/>
          <w:sz w:val="16"/>
          <w:szCs w:val="16"/>
        </w:rPr>
        <w:softHyphen/>
        <w:t>сматривал как альтернативу танкам БТ-2 и БТ-5. Предпо</w:t>
      </w:r>
      <w:r w:rsidRPr="007122AB">
        <w:rPr>
          <w:rFonts w:ascii="Times New Roman" w:hAnsi="Times New Roman"/>
          <w:color w:val="000000" w:themeColor="text1"/>
          <w:sz w:val="16"/>
          <w:szCs w:val="16"/>
        </w:rPr>
        <w:softHyphen/>
        <w:t>лагалось, что этот танк послужит делу качественного уси</w:t>
      </w:r>
      <w:r w:rsidRPr="007122AB">
        <w:rPr>
          <w:rFonts w:ascii="Times New Roman" w:hAnsi="Times New Roman"/>
          <w:color w:val="000000" w:themeColor="text1"/>
          <w:sz w:val="16"/>
          <w:szCs w:val="16"/>
        </w:rPr>
        <w:softHyphen/>
        <w:t>ления подразделений малых танков-амфибий при захвате и удержании ими плацдармов на реках при их форсировании в ходе наступательных операций Красной армии. В качестве базовой модификации был выбран танк «Кристи», однако ввиду ожидаемого веса в 13-15 т возник</w:t>
      </w:r>
      <w:r w:rsidRPr="007122AB">
        <w:rPr>
          <w:rFonts w:ascii="Times New Roman" w:hAnsi="Times New Roman"/>
          <w:color w:val="000000" w:themeColor="text1"/>
          <w:sz w:val="16"/>
          <w:szCs w:val="16"/>
        </w:rPr>
        <w:softHyphen/>
        <w:t>ло опасение, что новая машина не сможет воспользоваться имеющимся колесным ходом, и потому было решено «</w:t>
      </w:r>
      <w:proofErr w:type="spellStart"/>
      <w:r w:rsidRPr="007122AB">
        <w:rPr>
          <w:rFonts w:ascii="Times New Roman" w:hAnsi="Times New Roman"/>
          <w:color w:val="000000" w:themeColor="text1"/>
          <w:sz w:val="16"/>
          <w:szCs w:val="16"/>
        </w:rPr>
        <w:t>запроэктировать</w:t>
      </w:r>
      <w:proofErr w:type="spellEnd"/>
      <w:r w:rsidRPr="007122AB">
        <w:rPr>
          <w:rFonts w:ascii="Times New Roman" w:hAnsi="Times New Roman"/>
          <w:color w:val="000000" w:themeColor="text1"/>
          <w:sz w:val="16"/>
          <w:szCs w:val="16"/>
        </w:rPr>
        <w:t xml:space="preserve"> привод на три пары ведущих колес». Разработка чертежей машины и ее изготовление прошли быстро, и уже в 1932 г. новый плавающий танк вышел из ворот завода «Красный Пролетарий». Ход проектных ра</w:t>
      </w:r>
      <w:r w:rsidRPr="007122AB">
        <w:rPr>
          <w:rFonts w:ascii="Times New Roman" w:hAnsi="Times New Roman"/>
          <w:color w:val="000000" w:themeColor="text1"/>
          <w:sz w:val="16"/>
          <w:szCs w:val="16"/>
        </w:rPr>
        <w:softHyphen/>
        <w:t>бот был засекречен настолько, что даже многие члены ру</w:t>
      </w:r>
      <w:r w:rsidRPr="007122AB">
        <w:rPr>
          <w:rFonts w:ascii="Times New Roman" w:hAnsi="Times New Roman"/>
          <w:color w:val="000000" w:themeColor="text1"/>
          <w:sz w:val="16"/>
          <w:szCs w:val="16"/>
        </w:rPr>
        <w:softHyphen/>
        <w:t>ководства УММ были ознакомлены с ним только уже в хо</w:t>
      </w:r>
      <w:r w:rsidRPr="007122AB">
        <w:rPr>
          <w:rFonts w:ascii="Times New Roman" w:hAnsi="Times New Roman"/>
          <w:color w:val="000000" w:themeColor="text1"/>
          <w:sz w:val="16"/>
          <w:szCs w:val="16"/>
        </w:rPr>
        <w:softHyphen/>
        <w:t xml:space="preserve">де изготовления опытного образца. Внешне да и </w:t>
      </w:r>
      <w:proofErr w:type="spellStart"/>
      <w:r w:rsidRPr="007122AB">
        <w:rPr>
          <w:rFonts w:ascii="Times New Roman" w:hAnsi="Times New Roman"/>
          <w:color w:val="000000" w:themeColor="text1"/>
          <w:sz w:val="16"/>
          <w:szCs w:val="16"/>
        </w:rPr>
        <w:t>компоновочно</w:t>
      </w:r>
      <w:proofErr w:type="spellEnd"/>
      <w:r w:rsidRPr="007122AB">
        <w:rPr>
          <w:rFonts w:ascii="Times New Roman" w:hAnsi="Times New Roman"/>
          <w:color w:val="000000" w:themeColor="text1"/>
          <w:sz w:val="16"/>
          <w:szCs w:val="16"/>
        </w:rPr>
        <w:t xml:space="preserve"> ПТ-1 напоминал харьков</w:t>
      </w:r>
      <w:r w:rsidRPr="007122AB">
        <w:rPr>
          <w:rFonts w:ascii="Times New Roman" w:hAnsi="Times New Roman"/>
          <w:color w:val="000000" w:themeColor="text1"/>
          <w:sz w:val="16"/>
          <w:szCs w:val="16"/>
        </w:rPr>
        <w:softHyphen/>
        <w:t xml:space="preserve">ский БТ-5, но был крупнее, особенно по корпусу. Его экипаж был увеличен относительно БТ-5 на одного человека - стрелка-радиста, который находился справа от механика-водителя и был вооружен курсовым пулеметом. В башне находились заряжающий (он же — командир танка) и командир орудия (наводчик). Танк был вооружен 45-мм пушкой 20К </w:t>
      </w:r>
      <w:proofErr w:type="spellStart"/>
      <w:r w:rsidRPr="007122AB">
        <w:rPr>
          <w:rFonts w:ascii="Times New Roman" w:hAnsi="Times New Roman"/>
          <w:color w:val="000000" w:themeColor="text1"/>
          <w:sz w:val="16"/>
          <w:szCs w:val="16"/>
        </w:rPr>
        <w:t>обр</w:t>
      </w:r>
      <w:proofErr w:type="spellEnd"/>
      <w:r w:rsidRPr="007122AB">
        <w:rPr>
          <w:rFonts w:ascii="Times New Roman" w:hAnsi="Times New Roman"/>
          <w:color w:val="000000" w:themeColor="text1"/>
          <w:sz w:val="16"/>
          <w:szCs w:val="16"/>
        </w:rPr>
        <w:t xml:space="preserve"> 1932 г., двумя пулеметами ДТ (курсовой пу</w:t>
      </w:r>
      <w:r w:rsidRPr="007122AB">
        <w:rPr>
          <w:rFonts w:ascii="Times New Roman" w:hAnsi="Times New Roman"/>
          <w:color w:val="000000" w:themeColor="text1"/>
          <w:sz w:val="16"/>
          <w:szCs w:val="16"/>
        </w:rPr>
        <w:softHyphen/>
        <w:t>лемет и пулемет, спаренный с пушкой) и двумя пулеметами ДУ, для которых в бортах башни были предусмотрены спе</w:t>
      </w:r>
      <w:r w:rsidRPr="007122AB">
        <w:rPr>
          <w:rFonts w:ascii="Times New Roman" w:hAnsi="Times New Roman"/>
          <w:color w:val="000000" w:themeColor="text1"/>
          <w:sz w:val="16"/>
          <w:szCs w:val="16"/>
        </w:rPr>
        <w:softHyphen/>
        <w:t>циальные шаровые установки. Боекомплект пушки состав</w:t>
      </w:r>
      <w:r w:rsidRPr="007122AB">
        <w:rPr>
          <w:rFonts w:ascii="Times New Roman" w:hAnsi="Times New Roman"/>
          <w:color w:val="000000" w:themeColor="text1"/>
          <w:sz w:val="16"/>
          <w:szCs w:val="16"/>
        </w:rPr>
        <w:softHyphen/>
        <w:t>лял 93 выстрела, к пулеметам - 3402 патрона в 54 дисках. Броневая защита танка в целом соответствовала тако</w:t>
      </w:r>
      <w:r w:rsidRPr="007122AB">
        <w:rPr>
          <w:rFonts w:ascii="Times New Roman" w:hAnsi="Times New Roman"/>
          <w:color w:val="000000" w:themeColor="text1"/>
          <w:sz w:val="16"/>
          <w:szCs w:val="16"/>
        </w:rPr>
        <w:softHyphen/>
        <w:t>вой у танка БТ-5 и составляла 15 мм в лобовой части кор</w:t>
      </w:r>
      <w:r w:rsidRPr="007122AB">
        <w:rPr>
          <w:rFonts w:ascii="Times New Roman" w:hAnsi="Times New Roman"/>
          <w:color w:val="000000" w:themeColor="text1"/>
          <w:sz w:val="16"/>
          <w:szCs w:val="16"/>
        </w:rPr>
        <w:softHyphen/>
        <w:t>пуса и 10 мм на бортах. Первоначально на танк планировалось установить двух</w:t>
      </w:r>
      <w:r w:rsidRPr="007122AB">
        <w:rPr>
          <w:rFonts w:ascii="Times New Roman" w:hAnsi="Times New Roman"/>
          <w:color w:val="000000" w:themeColor="text1"/>
          <w:sz w:val="16"/>
          <w:szCs w:val="16"/>
        </w:rPr>
        <w:softHyphen/>
        <w:t>тактный дизельный двигатель ПГЕ мощностью 400 л.с., но в срок дизель доведен не был и в танк был установлен карбю</w:t>
      </w:r>
      <w:r w:rsidRPr="007122AB">
        <w:rPr>
          <w:rFonts w:ascii="Times New Roman" w:hAnsi="Times New Roman"/>
          <w:color w:val="000000" w:themeColor="text1"/>
          <w:sz w:val="16"/>
          <w:szCs w:val="16"/>
        </w:rPr>
        <w:softHyphen/>
        <w:t>раторный двигатель М-17 мощностью 480 л.с. Особенностью двигателя было то, что охлаждение мото</w:t>
      </w:r>
      <w:r w:rsidRPr="007122AB">
        <w:rPr>
          <w:rFonts w:ascii="Times New Roman" w:hAnsi="Times New Roman"/>
          <w:color w:val="000000" w:themeColor="text1"/>
          <w:sz w:val="16"/>
          <w:szCs w:val="16"/>
        </w:rPr>
        <w:softHyphen/>
        <w:t>ра было вынесено в специальные пазухи за пределами бронекорпуса, чтобы при движении на воде радиаторы омывались бы забортной водой. Из этих же пазух вода забиралась греб</w:t>
      </w:r>
      <w:r w:rsidRPr="007122AB">
        <w:rPr>
          <w:rFonts w:ascii="Times New Roman" w:hAnsi="Times New Roman"/>
          <w:color w:val="000000" w:themeColor="text1"/>
          <w:sz w:val="16"/>
          <w:szCs w:val="16"/>
        </w:rPr>
        <w:softHyphen/>
        <w:t>ными винтами через трубопроводы так, что движение на пла</w:t>
      </w:r>
      <w:r w:rsidRPr="007122AB">
        <w:rPr>
          <w:rFonts w:ascii="Times New Roman" w:hAnsi="Times New Roman"/>
          <w:color w:val="000000" w:themeColor="text1"/>
          <w:sz w:val="16"/>
          <w:szCs w:val="16"/>
        </w:rPr>
        <w:softHyphen/>
        <w:t>ву осуществляло еще и принудительную циркуляцию охлаж</w:t>
      </w:r>
      <w:r w:rsidRPr="007122AB">
        <w:rPr>
          <w:rFonts w:ascii="Times New Roman" w:hAnsi="Times New Roman"/>
          <w:color w:val="000000" w:themeColor="text1"/>
          <w:sz w:val="16"/>
          <w:szCs w:val="16"/>
        </w:rPr>
        <w:softHyphen/>
        <w:t>дающей жидкости вокруг радиаторов. Это позволяло отклю</w:t>
      </w:r>
      <w:r w:rsidRPr="007122AB">
        <w:rPr>
          <w:rFonts w:ascii="Times New Roman" w:hAnsi="Times New Roman"/>
          <w:color w:val="000000" w:themeColor="text1"/>
          <w:sz w:val="16"/>
          <w:szCs w:val="16"/>
        </w:rPr>
        <w:softHyphen/>
        <w:t>чать вентиляторы при движении танка на плаву. Изготовленный танк, кроме того, имел даже не три па</w:t>
      </w:r>
      <w:r w:rsidRPr="007122AB">
        <w:rPr>
          <w:rFonts w:ascii="Times New Roman" w:hAnsi="Times New Roman"/>
          <w:color w:val="000000" w:themeColor="text1"/>
          <w:sz w:val="16"/>
          <w:szCs w:val="16"/>
        </w:rPr>
        <w:softHyphen/>
        <w:t>ры ведущих колес, а все четыре, а для лучшей управляемос</w:t>
      </w:r>
      <w:r w:rsidRPr="007122AB">
        <w:rPr>
          <w:rFonts w:ascii="Times New Roman" w:hAnsi="Times New Roman"/>
          <w:color w:val="000000" w:themeColor="text1"/>
          <w:sz w:val="16"/>
          <w:szCs w:val="16"/>
        </w:rPr>
        <w:softHyphen/>
        <w:t>ти на гусеницах у него поворачивались передние и задние колеса (опорные катки). Трансмиссия танка состояла из главного фрикциона, четырехступенчатой КПП, двойного дифференциала, двух бортовых карданных валов привода ко всем опорным кат</w:t>
      </w:r>
      <w:r w:rsidRPr="007122AB">
        <w:rPr>
          <w:rFonts w:ascii="Times New Roman" w:hAnsi="Times New Roman"/>
          <w:color w:val="000000" w:themeColor="text1"/>
          <w:sz w:val="16"/>
          <w:szCs w:val="16"/>
        </w:rPr>
        <w:softHyphen/>
        <w:t>кам, двух коробок отбора мощности на гребные винты, тормоза двойного дифференциала и двух бортовых редук</w:t>
      </w:r>
      <w:r w:rsidRPr="007122AB">
        <w:rPr>
          <w:rFonts w:ascii="Times New Roman" w:hAnsi="Times New Roman"/>
          <w:color w:val="000000" w:themeColor="text1"/>
          <w:sz w:val="16"/>
          <w:szCs w:val="16"/>
        </w:rPr>
        <w:softHyphen/>
        <w:t>торов. Для подвода мощности к ведущим каткам на колес-н\эм ходу использовались понижающие редукторы, разме</w:t>
      </w:r>
      <w:r w:rsidRPr="007122AB">
        <w:rPr>
          <w:rFonts w:ascii="Times New Roman" w:hAnsi="Times New Roman"/>
          <w:color w:val="000000" w:themeColor="text1"/>
          <w:sz w:val="16"/>
          <w:szCs w:val="16"/>
        </w:rPr>
        <w:softHyphen/>
        <w:t>щённые внутри самих катков. Такая схема позволяла сохранять способности движения танка даже при потере одной из гусениц, так как вращение колес могло быть синхронизировано с перемоткой гусениц. Запас топлива на танке перевозился в топливных баках, расположенных в носовой и кормовой частях корпуса. Их объем составлял 400 л, что обеспечивало запас хода на гусе</w:t>
      </w:r>
      <w:r w:rsidRPr="007122AB">
        <w:rPr>
          <w:rFonts w:ascii="Times New Roman" w:hAnsi="Times New Roman"/>
          <w:color w:val="000000" w:themeColor="text1"/>
          <w:sz w:val="16"/>
          <w:szCs w:val="16"/>
        </w:rPr>
        <w:softHyphen/>
        <w:t>ницах - 180—185 км и на колесах - до 200-250 км. На плаву танк двигался при помощи двух винтов в спе</w:t>
      </w:r>
      <w:r w:rsidRPr="007122AB">
        <w:rPr>
          <w:rFonts w:ascii="Times New Roman" w:hAnsi="Times New Roman"/>
          <w:color w:val="000000" w:themeColor="text1"/>
          <w:sz w:val="16"/>
          <w:szCs w:val="16"/>
        </w:rPr>
        <w:softHyphen/>
        <w:t>циальных тоннелях, что, по мнению проектировщиков, могло обеспечить подвижность танка даже в условиях во</w:t>
      </w:r>
      <w:r w:rsidRPr="007122AB">
        <w:rPr>
          <w:rFonts w:ascii="Times New Roman" w:hAnsi="Times New Roman"/>
          <w:color w:val="000000" w:themeColor="text1"/>
          <w:sz w:val="16"/>
          <w:szCs w:val="16"/>
        </w:rPr>
        <w:softHyphen/>
        <w:t>доемов, сильно заросших водорослями. Предполагалось, что управление танком будет осуществляться выключени</w:t>
      </w:r>
      <w:r w:rsidRPr="007122AB">
        <w:rPr>
          <w:rFonts w:ascii="Times New Roman" w:hAnsi="Times New Roman"/>
          <w:color w:val="000000" w:themeColor="text1"/>
          <w:sz w:val="16"/>
          <w:szCs w:val="16"/>
        </w:rPr>
        <w:softHyphen/>
        <w:t>ем одного из винтов или даже его реверсированием. Подвеска танка была также в целом заимствована от БТ-Кристи и была индивидуальной свечной, но дополня</w:t>
      </w:r>
      <w:r w:rsidRPr="007122AB">
        <w:rPr>
          <w:rFonts w:ascii="Times New Roman" w:hAnsi="Times New Roman"/>
          <w:color w:val="000000" w:themeColor="text1"/>
          <w:sz w:val="16"/>
          <w:szCs w:val="16"/>
        </w:rPr>
        <w:softHyphen/>
        <w:t>лась телескопическими амортизаторами. Опорные катки и направляющие колеса имели наружные резиновые банда</w:t>
      </w:r>
      <w:r w:rsidRPr="007122AB">
        <w:rPr>
          <w:rFonts w:ascii="Times New Roman" w:hAnsi="Times New Roman"/>
          <w:color w:val="000000" w:themeColor="text1"/>
          <w:sz w:val="16"/>
          <w:szCs w:val="16"/>
        </w:rPr>
        <w:softHyphen/>
        <w:t>жи. Гусеничные траки были выполнены по типу траков танка БТ-2. На танке был установлен опытный образец ра</w:t>
      </w:r>
      <w:r w:rsidRPr="007122AB">
        <w:rPr>
          <w:rFonts w:ascii="Times New Roman" w:hAnsi="Times New Roman"/>
          <w:color w:val="000000" w:themeColor="text1"/>
          <w:sz w:val="16"/>
          <w:szCs w:val="16"/>
        </w:rPr>
        <w:softHyphen/>
        <w:t xml:space="preserve">диостанции 71-ТК-1 с </w:t>
      </w:r>
      <w:proofErr w:type="spellStart"/>
      <w:r w:rsidRPr="007122AB">
        <w:rPr>
          <w:rFonts w:ascii="Times New Roman" w:hAnsi="Times New Roman"/>
          <w:color w:val="000000" w:themeColor="text1"/>
          <w:sz w:val="16"/>
          <w:szCs w:val="16"/>
        </w:rPr>
        <w:t>поручневой</w:t>
      </w:r>
      <w:proofErr w:type="spellEnd"/>
      <w:r w:rsidRPr="007122AB">
        <w:rPr>
          <w:rFonts w:ascii="Times New Roman" w:hAnsi="Times New Roman"/>
          <w:color w:val="000000" w:themeColor="text1"/>
          <w:sz w:val="16"/>
          <w:szCs w:val="16"/>
        </w:rPr>
        <w:t xml:space="preserve"> антенной, расположен</w:t>
      </w:r>
      <w:r w:rsidRPr="007122AB">
        <w:rPr>
          <w:rFonts w:ascii="Times New Roman" w:hAnsi="Times New Roman"/>
          <w:color w:val="000000" w:themeColor="text1"/>
          <w:sz w:val="16"/>
          <w:szCs w:val="16"/>
        </w:rPr>
        <w:softHyphen/>
        <w:t>ной по периметру корпуса машины. Испытания танка показали как его достоинства, так и ряд недостатков в конструкции. Если подвижность и проходимость на колесном и гусе</w:t>
      </w:r>
      <w:r w:rsidRPr="007122AB">
        <w:rPr>
          <w:rFonts w:ascii="Times New Roman" w:hAnsi="Times New Roman"/>
          <w:color w:val="000000" w:themeColor="text1"/>
          <w:sz w:val="16"/>
          <w:szCs w:val="16"/>
        </w:rPr>
        <w:softHyphen/>
        <w:t xml:space="preserve">ничном ходу </w:t>
      </w:r>
      <w:proofErr w:type="spellStart"/>
      <w:r w:rsidRPr="007122AB">
        <w:rPr>
          <w:rFonts w:ascii="Times New Roman" w:hAnsi="Times New Roman"/>
          <w:color w:val="000000" w:themeColor="text1"/>
          <w:sz w:val="16"/>
          <w:szCs w:val="16"/>
        </w:rPr>
        <w:t>оказачись</w:t>
      </w:r>
      <w:proofErr w:type="spellEnd"/>
      <w:r w:rsidRPr="007122AB">
        <w:rPr>
          <w:rFonts w:ascii="Times New Roman" w:hAnsi="Times New Roman"/>
          <w:color w:val="000000" w:themeColor="text1"/>
          <w:sz w:val="16"/>
          <w:szCs w:val="16"/>
        </w:rPr>
        <w:t xml:space="preserve"> вполне удовлетворительными, то его движение на плаву оставляло желать лучшего. Охлаждение двигателя на плаву забортной водой в целом себя не оправдало. Если в начале плава двигатель охлаждал</w:t>
      </w:r>
      <w:r w:rsidRPr="007122AB">
        <w:rPr>
          <w:rFonts w:ascii="Times New Roman" w:hAnsi="Times New Roman"/>
          <w:color w:val="000000" w:themeColor="text1"/>
          <w:sz w:val="16"/>
          <w:szCs w:val="16"/>
        </w:rPr>
        <w:softHyphen/>
        <w:t>ся очень интенсивно, то при длительном движении по воде он мог перегреться, так как циркуляция воды в бортовых па-</w:t>
      </w:r>
      <w:proofErr w:type="spellStart"/>
      <w:r w:rsidRPr="007122AB">
        <w:rPr>
          <w:rFonts w:ascii="Times New Roman" w:hAnsi="Times New Roman"/>
          <w:color w:val="000000" w:themeColor="text1"/>
          <w:sz w:val="16"/>
          <w:szCs w:val="16"/>
        </w:rPr>
        <w:t>зухах</w:t>
      </w:r>
      <w:proofErr w:type="spellEnd"/>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rPr>
        <w:t>колодиах</w:t>
      </w:r>
      <w:proofErr w:type="spellEnd"/>
      <w:r w:rsidRPr="007122AB">
        <w:rPr>
          <w:rFonts w:ascii="Times New Roman" w:hAnsi="Times New Roman"/>
          <w:color w:val="000000" w:themeColor="text1"/>
          <w:sz w:val="16"/>
          <w:szCs w:val="16"/>
        </w:rPr>
        <w:t xml:space="preserve"> оказалась недостаточной. Система управления на плаву остановкой или реверси-|</w:t>
      </w:r>
      <w:proofErr w:type="spellStart"/>
      <w:r w:rsidRPr="007122AB">
        <w:rPr>
          <w:rFonts w:ascii="Times New Roman" w:hAnsi="Times New Roman"/>
          <w:color w:val="000000" w:themeColor="text1"/>
          <w:sz w:val="16"/>
          <w:szCs w:val="16"/>
        </w:rPr>
        <w:t>з|юванием</w:t>
      </w:r>
      <w:proofErr w:type="spellEnd"/>
      <w:r w:rsidRPr="007122AB">
        <w:rPr>
          <w:rFonts w:ascii="Times New Roman" w:hAnsi="Times New Roman"/>
          <w:color w:val="000000" w:themeColor="text1"/>
          <w:sz w:val="16"/>
          <w:szCs w:val="16"/>
        </w:rPr>
        <w:t xml:space="preserve"> одного из винтов в тоннелях также себя не |</w:t>
      </w:r>
      <w:proofErr w:type="spellStart"/>
      <w:r w:rsidRPr="007122AB">
        <w:rPr>
          <w:rFonts w:ascii="Times New Roman" w:hAnsi="Times New Roman"/>
          <w:color w:val="000000" w:themeColor="text1"/>
          <w:sz w:val="16"/>
          <w:szCs w:val="16"/>
        </w:rPr>
        <w:t>рправдала</w:t>
      </w:r>
      <w:proofErr w:type="spellEnd"/>
      <w:r w:rsidRPr="007122AB">
        <w:rPr>
          <w:rFonts w:ascii="Times New Roman" w:hAnsi="Times New Roman"/>
          <w:color w:val="000000" w:themeColor="text1"/>
          <w:sz w:val="16"/>
          <w:szCs w:val="16"/>
        </w:rPr>
        <w:t>, и танк получил возможность маневров на воде только с введением двух водоходных рулей жалюзийного та с временным приводом к ним от рулевой колонки *ка при помощи внешних тяг. Невозможным оказалось и управление дифферентом ем перекачивания части топлива из кормовых баков в носовые, так как топливо расходовалось из баков неравно-</w:t>
      </w:r>
      <w:proofErr w:type="spellStart"/>
      <w:r w:rsidRPr="007122AB">
        <w:rPr>
          <w:rFonts w:ascii="Times New Roman" w:hAnsi="Times New Roman"/>
          <w:color w:val="000000" w:themeColor="text1"/>
          <w:sz w:val="16"/>
          <w:szCs w:val="16"/>
        </w:rPr>
        <w:t>ерно</w:t>
      </w:r>
      <w:proofErr w:type="spellEnd"/>
      <w:r w:rsidRPr="007122AB">
        <w:rPr>
          <w:rFonts w:ascii="Times New Roman" w:hAnsi="Times New Roman"/>
          <w:color w:val="000000" w:themeColor="text1"/>
          <w:sz w:val="16"/>
          <w:szCs w:val="16"/>
        </w:rPr>
        <w:t xml:space="preserve"> и в ходе марша дополнительные топливные </w:t>
      </w:r>
      <w:proofErr w:type="spellStart"/>
      <w:r w:rsidRPr="007122AB">
        <w:rPr>
          <w:rFonts w:ascii="Times New Roman" w:hAnsi="Times New Roman"/>
          <w:color w:val="000000" w:themeColor="text1"/>
          <w:sz w:val="16"/>
          <w:szCs w:val="16"/>
        </w:rPr>
        <w:t>дифферентные</w:t>
      </w:r>
      <w:proofErr w:type="spellEnd"/>
      <w:r w:rsidRPr="007122AB">
        <w:rPr>
          <w:rFonts w:ascii="Times New Roman" w:hAnsi="Times New Roman"/>
          <w:color w:val="000000" w:themeColor="text1"/>
          <w:sz w:val="16"/>
          <w:szCs w:val="16"/>
        </w:rPr>
        <w:t xml:space="preserve"> насосы выходили из строя от тряски и вибрации (10733,222).</w:t>
      </w:r>
    </w:p>
    <w:p w14:paraId="572B568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3EFC8" w14:textId="77777777" w:rsidR="00F3630F" w:rsidRPr="007122AB" w:rsidRDefault="00F363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конце 1931 г. КБ под руководством Н. В. Барыкова получило задание на проектирование, с учётом опыта постройки ТГ, нового </w:t>
      </w:r>
      <w:proofErr w:type="spellStart"/>
      <w:r w:rsidRPr="007122AB">
        <w:rPr>
          <w:rFonts w:ascii="Times New Roman" w:hAnsi="Times New Roman"/>
          <w:color w:val="000000" w:themeColor="text1"/>
          <w:sz w:val="16"/>
          <w:szCs w:val="16"/>
        </w:rPr>
        <w:t>многобашенного</w:t>
      </w:r>
      <w:proofErr w:type="spellEnd"/>
      <w:r w:rsidRPr="007122AB">
        <w:rPr>
          <w:rFonts w:ascii="Times New Roman" w:hAnsi="Times New Roman"/>
          <w:color w:val="000000" w:themeColor="text1"/>
          <w:sz w:val="16"/>
          <w:szCs w:val="16"/>
        </w:rPr>
        <w:t xml:space="preserve"> танка прорыва массой в 35 т. В 1932 г. такая машина была построена — танк Т-35.Т-35 предназначался для усиления войск при прорыве особо сильно укреплённых позиций противника. Танк спроектирован ОКМО завода «Большевик», на котором был изготовлен в 1932 г. и опытный образец. Главный конструктор — О. М. Иванов. Т-35 был самым сильным по вооружению, единственным в мире серийным </w:t>
      </w:r>
      <w:proofErr w:type="spellStart"/>
      <w:r w:rsidRPr="007122AB">
        <w:rPr>
          <w:rFonts w:ascii="Times New Roman" w:hAnsi="Times New Roman"/>
          <w:color w:val="000000" w:themeColor="text1"/>
          <w:sz w:val="16"/>
          <w:szCs w:val="16"/>
        </w:rPr>
        <w:t>пятибашенным</w:t>
      </w:r>
      <w:proofErr w:type="spellEnd"/>
      <w:r w:rsidRPr="007122AB">
        <w:rPr>
          <w:rFonts w:ascii="Times New Roman" w:hAnsi="Times New Roman"/>
          <w:color w:val="000000" w:themeColor="text1"/>
          <w:sz w:val="16"/>
          <w:szCs w:val="16"/>
        </w:rPr>
        <w:t xml:space="preserve"> танком. В главной башне размещалась 76,2-мм пушка, в двух башнях с 45-мм пушками были установлены спаренные с ними пулемёты и ещё в двух — только пулемёты. Такое расположение вооружения позволяло сосредоточить огонь всего оружия вперёд-назад и по любому борту. Среднее удельное давление на грунт 0,78 кг/см2 — для такой тяжёлой (50 т) машины было небольшим. Серийно танк изготавливался Харьковским паровозостроительным заводом. Всего было выпущено около 60 машин. Несколько раз в процессе производства танк проходил модернизацию. Увеличивали толщину брони, повысили мощность двигателя. Внешне танк выглядел очень эффектным, но боевая ценность оказалась невелика (15132).</w:t>
      </w:r>
    </w:p>
    <w:p w14:paraId="1032AAF8" w14:textId="77777777" w:rsidR="00F3630F" w:rsidRPr="007122AB" w:rsidRDefault="00F3630F" w:rsidP="007122AB">
      <w:pPr>
        <w:spacing w:after="0" w:line="240" w:lineRule="auto"/>
        <w:jc w:val="both"/>
        <w:rPr>
          <w:rFonts w:ascii="Times New Roman" w:hAnsi="Times New Roman"/>
          <w:color w:val="000000" w:themeColor="text1"/>
          <w:sz w:val="16"/>
          <w:szCs w:val="16"/>
        </w:rPr>
      </w:pPr>
    </w:p>
    <w:p w14:paraId="48EDF447"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1931 в то время, когда на заводе «Большевик» шло изготовление опытного образца дизеля ПГЕ, на ХПЗ рассматривался вопрос о создании танкового дизеля собственной конструкции. Первой на предложение Комиссии ВМИ о разработке проекта легкого дизеля, могущего быть использованным для среднего танка, а также и для тракторов отреагировала заводская партийная организация ХПЗ. На состоявшемся 13 января 1932 г. заседании бюро партийного комитета ХПЗ был рассмотрен вопрос «о задачах завода в области дизелестроения». В принятом по данному вопросу Постановлении бюро партийного комитета ХПЗ было отмечено:</w:t>
      </w:r>
    </w:p>
    <w:p w14:paraId="6BC12A06"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«Постройка дизелей на ХПЗ производится уже в течение 20 лет (с 1912 г.), и завод имеет целый ряд значительных достижений в дизелестроении.</w:t>
      </w:r>
    </w:p>
    <w:p w14:paraId="6C760709"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Дизельный цех ХПЗ первый в Союзе освоил производство дизелей фирмы «</w:t>
      </w:r>
      <w:proofErr w:type="spellStart"/>
      <w:r w:rsidRPr="00441F34">
        <w:rPr>
          <w:rFonts w:ascii="Times New Roman" w:hAnsi="Times New Roman"/>
          <w:color w:val="0070C0"/>
          <w:sz w:val="16"/>
          <w:szCs w:val="16"/>
        </w:rPr>
        <w:t>Зульцер</w:t>
      </w:r>
      <w:proofErr w:type="spellEnd"/>
      <w:r w:rsidRPr="00441F34">
        <w:rPr>
          <w:rFonts w:ascii="Times New Roman" w:hAnsi="Times New Roman"/>
          <w:color w:val="0070C0"/>
          <w:sz w:val="16"/>
          <w:szCs w:val="16"/>
        </w:rPr>
        <w:t>» без помощи иностранных специалистов и полностью из советского материала. Дизельный отдел ХПЗ сконструировал новый советский двигатель Д-40, освобождающий нас от иностранной зависимости.</w:t>
      </w:r>
    </w:p>
    <w:p w14:paraId="06F8E2FA"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Отсутствие специализации и твердой производственной программы по дизелестроению, загрузка цеха несвойственными ему заказами затрудняет налаживание основного производства и удорожает его. Соединение значительного опыта по дизелестроению и паровозостроению позволяет легко разрешить на ХПЗ вопрос о постройке тепловозного дизеля. Специализация дизельного цеха должна пойти именно по линии обслуживания транспорта дизелями для тепловозостроения.</w:t>
      </w:r>
    </w:p>
    <w:p w14:paraId="15284A4B"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 менее важную роль должен сыграть дизельный отдел в вопросе осуществления директив партии о создании в кратчайший срок дизель-мотора для трактора и спецмашины [танка БТ], удельный вес которых в производстве завода доминирующий».</w:t>
      </w:r>
    </w:p>
    <w:p w14:paraId="45B6DEEF"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[История ХПЗ. 1917 – 1932. Сборник документов и материалов. Изд. «Прапор», Харьков, 1965. С. 387 – 388]</w:t>
      </w:r>
    </w:p>
    <w:p w14:paraId="13935FCD"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распорядительной части Постановления указывался целый ряд мероприятий по перспективному развитию дизелестроения на ХПЗ в 1932 г.:</w:t>
      </w:r>
    </w:p>
    <w:p w14:paraId="17CF014F"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В дизельном отделе на базе существующего конструкторского бюро, имеющего в своем составе кадры квалифицированных дизелистов, создать сильный проектный отдел на заводе, сосредоточить в нем все работы по проектированию и исследованию дизель-моторов.</w:t>
      </w:r>
    </w:p>
    <w:p w14:paraId="7B71F243"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Вести работы по проектированию и исследованию специального [танкового] дизель-мотора.</w:t>
      </w:r>
    </w:p>
    <w:p w14:paraId="5D67E7E1"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Спроектировать, построить и испытать на тракторе дизель-мотор в 1932 г.</w:t>
      </w:r>
    </w:p>
    <w:p w14:paraId="7637802C"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Вести подготовительные работы по тепловозным двигателям, с тем чтобы с начала 1933 г. вплотную подойти к постройке двигателей для тепловозов.</w:t>
      </w:r>
    </w:p>
    <w:p w14:paraId="4A3D053B"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Изготовление опытных конструкций производить в дизельном цехе».</w:t>
      </w:r>
    </w:p>
    <w:p w14:paraId="21FE7BFB"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[История ХПЗ. 1917 – 1932. Сборник документов и материалов. Изд. «Прапор», Харьков, 1965. С. 388]</w:t>
      </w:r>
    </w:p>
    <w:p w14:paraId="3AE713F7"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соответствии со 2-м пунктом данного Постановления в Дизельном отделе ХПЗ в начале 1932 г. приступили к проектированию быстроходного танкового дизеля, получившего индекс БД-2. В дальнейшем эти работы, инициатором которых была партийная организация ХПЗ, привели к созданию первого в мире серийного танкового дизеля – дизеля В-2 (24856).</w:t>
      </w:r>
    </w:p>
    <w:p w14:paraId="4DF5C505" w14:textId="77777777" w:rsidR="00CA22D8" w:rsidRPr="00441F34" w:rsidRDefault="00CA22D8" w:rsidP="00CA22D8">
      <w:pPr>
        <w:spacing w:after="0" w:line="240" w:lineRule="auto"/>
        <w:jc w:val="both"/>
        <w:rPr>
          <w:rFonts w:ascii="Times New Roman" w:hAnsi="Times New Roman"/>
          <w:color w:val="0070C0"/>
          <w:sz w:val="16"/>
          <w:szCs w:val="16"/>
        </w:rPr>
      </w:pPr>
    </w:p>
    <w:p w14:paraId="02D5A1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года здания </w:t>
      </w:r>
      <w:proofErr w:type="spellStart"/>
      <w:r w:rsidRPr="007122AB">
        <w:rPr>
          <w:rFonts w:ascii="Times New Roman" w:hAnsi="Times New Roman"/>
          <w:color w:val="000000" w:themeColor="text1"/>
          <w:sz w:val="16"/>
          <w:szCs w:val="16"/>
        </w:rPr>
        <w:t>спеццехов</w:t>
      </w:r>
      <w:proofErr w:type="spellEnd"/>
      <w:r w:rsidRPr="007122AB">
        <w:rPr>
          <w:rFonts w:ascii="Times New Roman" w:hAnsi="Times New Roman"/>
          <w:color w:val="000000" w:themeColor="text1"/>
          <w:sz w:val="16"/>
          <w:szCs w:val="16"/>
        </w:rPr>
        <w:t xml:space="preserve"> на СТЗ были построены, однако, как докладывал глава НКВМ (наркомат военных и морских дел) М.Н. Тухачевский в записке от 8 декабря 1931 года В.М. Молотову, "к монтажу оборудования еще не приступили, так как последнее не было импортировано, что ставит под угрозу выполнение программы" (11580).</w:t>
      </w:r>
    </w:p>
    <w:p w14:paraId="589C72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Стоимость оборудования для </w:t>
      </w:r>
      <w:proofErr w:type="spellStart"/>
      <w:r w:rsidRPr="007122AB">
        <w:rPr>
          <w:rFonts w:ascii="Times New Roman" w:hAnsi="Times New Roman"/>
          <w:color w:val="000000" w:themeColor="text1"/>
          <w:sz w:val="16"/>
          <w:szCs w:val="16"/>
        </w:rPr>
        <w:t>спеццехов</w:t>
      </w:r>
      <w:proofErr w:type="spellEnd"/>
      <w:r w:rsidRPr="007122AB">
        <w:rPr>
          <w:rFonts w:ascii="Times New Roman" w:hAnsi="Times New Roman"/>
          <w:color w:val="000000" w:themeColor="text1"/>
          <w:sz w:val="16"/>
          <w:szCs w:val="16"/>
        </w:rPr>
        <w:t xml:space="preserve"> была на 1932 год установлена в размере 3 млн. золотых рублей (1,5 млн. долларов США). К июню 1932 года ситуация в цехах была такова:</w:t>
      </w:r>
    </w:p>
    <w:p w14:paraId="04E58D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758105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опытный цех (сборочный) достраивался;</w:t>
      </w:r>
    </w:p>
    <w:p w14:paraId="71B5FC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сталелитейный цех №1 - начаты опыты по цветному и чугунному литью.</w:t>
      </w:r>
    </w:p>
    <w:p w14:paraId="6D9329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41AC2F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059E82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2D0300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743F29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 кон</w:t>
      </w:r>
      <w:r w:rsidRPr="007122AB">
        <w:rPr>
          <w:rFonts w:ascii="Times New Roman" w:hAnsi="Times New Roman"/>
          <w:color w:val="000000" w:themeColor="text1"/>
          <w:sz w:val="16"/>
          <w:szCs w:val="16"/>
        </w:rPr>
        <w:softHyphen/>
        <w:t xml:space="preserve">ца 1931 года на заводе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удалось собрать 50 Д-8/Д-12 и еще 10 ма</w:t>
      </w:r>
      <w:r w:rsidRPr="007122AB">
        <w:rPr>
          <w:rFonts w:ascii="Times New Roman" w:hAnsi="Times New Roman"/>
          <w:color w:val="000000" w:themeColor="text1"/>
          <w:sz w:val="16"/>
          <w:szCs w:val="16"/>
        </w:rPr>
        <w:softHyphen/>
        <w:t>шин сдали в первой половине 1932-го. Таким образом, сум</w:t>
      </w:r>
      <w:r w:rsidRPr="007122AB">
        <w:rPr>
          <w:rFonts w:ascii="Times New Roman" w:hAnsi="Times New Roman"/>
          <w:color w:val="000000" w:themeColor="text1"/>
          <w:sz w:val="16"/>
          <w:szCs w:val="16"/>
        </w:rPr>
        <w:softHyphen/>
        <w:t>марный выпуск этих бронемашин составил 60 единиц. К сожалению, пока не удалось выяснить, сколько машин какого типа было изготовлено, так как во многих ведомос</w:t>
      </w:r>
      <w:r w:rsidRPr="007122AB">
        <w:rPr>
          <w:rFonts w:ascii="Times New Roman" w:hAnsi="Times New Roman"/>
          <w:color w:val="000000" w:themeColor="text1"/>
          <w:sz w:val="16"/>
          <w:szCs w:val="16"/>
        </w:rPr>
        <w:softHyphen/>
        <w:t>тях они давались общей графой. По мнению автора, коли</w:t>
      </w:r>
      <w:r w:rsidRPr="007122AB">
        <w:rPr>
          <w:rFonts w:ascii="Times New Roman" w:hAnsi="Times New Roman"/>
          <w:color w:val="000000" w:themeColor="text1"/>
          <w:sz w:val="16"/>
          <w:szCs w:val="16"/>
        </w:rPr>
        <w:softHyphen/>
        <w:t>чество Д-8 и Д-12 было одинаковым, хотя и не исключено, что первых было несколько больше.</w:t>
      </w:r>
    </w:p>
    <w:p w14:paraId="34BFB8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Служба Д-8 и Д-12 была короткой - уже к 1935 году часть из них передали из войск в различные учебные заведе</w:t>
      </w:r>
      <w:r w:rsidRPr="007122AB">
        <w:rPr>
          <w:rFonts w:ascii="Times New Roman" w:hAnsi="Times New Roman"/>
          <w:color w:val="000000" w:themeColor="text1"/>
          <w:sz w:val="16"/>
          <w:szCs w:val="16"/>
        </w:rPr>
        <w:softHyphen/>
        <w:t>ния. Машины оказались весьма неудобными в эксплуатации из-за тесного корпуса и неудовлетворительного размещения вооружения. Тем не менее, по состоянию на 1 июня 1941 года в частях Красной Армии числилось 45 Д-8/Д-12, из них 19 машин требовали среднего и капитального ремонта (11284).</w:t>
      </w:r>
    </w:p>
    <w:p w14:paraId="3A1B6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61B092" w14:textId="77777777" w:rsidR="0078004B" w:rsidRPr="007122AB" w:rsidRDefault="007800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на заводе </w:t>
      </w:r>
      <w:proofErr w:type="spellStart"/>
      <w:r w:rsidRPr="007122AB">
        <w:rPr>
          <w:rFonts w:ascii="Times New Roman" w:hAnsi="Times New Roman"/>
          <w:color w:val="000000" w:themeColor="text1"/>
          <w:sz w:val="16"/>
          <w:szCs w:val="16"/>
        </w:rPr>
        <w:t>Можерез</w:t>
      </w:r>
      <w:proofErr w:type="spellEnd"/>
      <w:r w:rsidRPr="007122AB">
        <w:rPr>
          <w:rFonts w:ascii="Times New Roman" w:hAnsi="Times New Roman"/>
          <w:color w:val="000000" w:themeColor="text1"/>
          <w:sz w:val="16"/>
          <w:szCs w:val="16"/>
        </w:rPr>
        <w:t xml:space="preserve"> разработали железнодорож</w:t>
      </w:r>
      <w:r w:rsidRPr="007122AB">
        <w:rPr>
          <w:rFonts w:ascii="Times New Roman" w:hAnsi="Times New Roman"/>
          <w:color w:val="000000" w:themeColor="text1"/>
          <w:sz w:val="16"/>
          <w:szCs w:val="16"/>
        </w:rPr>
        <w:softHyphen/>
        <w:t>ный ход для БА-27. БА-27 - первый советский серийный бронеавтомобиль, разработанный в 1927 г. и строившийся до середины 1931 г. поступил на вооружение РККА в 1928 г. Всего было изготовлено 215 таких машин. Однако кон</w:t>
      </w:r>
      <w:r w:rsidRPr="007122AB">
        <w:rPr>
          <w:rFonts w:ascii="Times New Roman" w:hAnsi="Times New Roman"/>
          <w:color w:val="000000" w:themeColor="text1"/>
          <w:sz w:val="16"/>
          <w:szCs w:val="16"/>
        </w:rPr>
        <w:softHyphen/>
        <w:t>структивные недостатки, выявленные в ходе эксплуатации «первенцев», заставили рассмотреть вопрос о возможных вариантах их применения. Так появилась идея использовать БА-27 в качестве бронедрезин. Перевод машины на рельсы и обратно осуществлял</w:t>
      </w:r>
      <w:r w:rsidRPr="007122AB">
        <w:rPr>
          <w:rFonts w:ascii="Times New Roman" w:hAnsi="Times New Roman"/>
          <w:color w:val="000000" w:themeColor="text1"/>
          <w:sz w:val="16"/>
          <w:szCs w:val="16"/>
        </w:rPr>
        <w:softHyphen/>
        <w:t>ся с помощью специального переносного приспособления — домкрата с поворотным устройством (несколько позже аналогичное устройство предложили и для легкого бронеавтомобиля Д-8).</w:t>
      </w:r>
    </w:p>
    <w:p w14:paraId="66BFAB07" w14:textId="77777777" w:rsidR="0078004B" w:rsidRPr="007122AB" w:rsidRDefault="0078004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использованием на железной дороге на бронеавтомобиль устанавливались колеса железнодорожного типа со стальными ребор</w:t>
      </w:r>
      <w:r w:rsidRPr="007122AB">
        <w:rPr>
          <w:rFonts w:ascii="Times New Roman" w:hAnsi="Times New Roman"/>
          <w:color w:val="000000" w:themeColor="text1"/>
          <w:sz w:val="16"/>
          <w:szCs w:val="16"/>
        </w:rPr>
        <w:softHyphen/>
        <w:t>дами и резиновыми бандажами, а также специальное буферное и при</w:t>
      </w:r>
      <w:r w:rsidRPr="007122AB">
        <w:rPr>
          <w:rFonts w:ascii="Times New Roman" w:hAnsi="Times New Roman"/>
          <w:color w:val="000000" w:themeColor="text1"/>
          <w:sz w:val="16"/>
          <w:szCs w:val="16"/>
        </w:rPr>
        <w:softHyphen/>
        <w:t>цепное устройства, позволявшие ставить машину в хвосте железнодо</w:t>
      </w:r>
      <w:r w:rsidRPr="007122AB">
        <w:rPr>
          <w:rFonts w:ascii="Times New Roman" w:hAnsi="Times New Roman"/>
          <w:color w:val="000000" w:themeColor="text1"/>
          <w:sz w:val="16"/>
          <w:szCs w:val="16"/>
        </w:rPr>
        <w:softHyphen/>
        <w:t>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аду с помощью специальных хомутов производилась блокировка передних и задних рессор. Скорость на железнодорожном ходу составляла 50 км/ч. При движении по обыч</w:t>
      </w:r>
      <w:r w:rsidRPr="007122AB">
        <w:rPr>
          <w:rFonts w:ascii="Times New Roman" w:hAnsi="Times New Roman"/>
          <w:color w:val="000000" w:themeColor="text1"/>
          <w:sz w:val="16"/>
          <w:szCs w:val="16"/>
        </w:rPr>
        <w:softHyphen/>
        <w:t>ным дорогам железнодорожные колеса крепились попарно на специаль</w:t>
      </w:r>
      <w:r w:rsidRPr="007122AB">
        <w:rPr>
          <w:rFonts w:ascii="Times New Roman" w:hAnsi="Times New Roman"/>
          <w:color w:val="000000" w:themeColor="text1"/>
          <w:sz w:val="16"/>
          <w:szCs w:val="16"/>
        </w:rPr>
        <w:softHyphen/>
        <w:t>ных втулках, расположенных по бортам машины. Домкрат и подставки при этом укладывались внутри машины (12737).</w:t>
      </w:r>
    </w:p>
    <w:p w14:paraId="62110B26" w14:textId="77777777" w:rsidR="0078004B" w:rsidRPr="007122AB" w:rsidRDefault="0078004B" w:rsidP="007122AB">
      <w:pPr>
        <w:spacing w:after="0" w:line="240" w:lineRule="auto"/>
        <w:jc w:val="both"/>
        <w:rPr>
          <w:rFonts w:ascii="Times New Roman" w:hAnsi="Times New Roman"/>
          <w:color w:val="000000" w:themeColor="text1"/>
          <w:sz w:val="16"/>
          <w:szCs w:val="16"/>
        </w:rPr>
      </w:pPr>
    </w:p>
    <w:p w14:paraId="7F9E5CEF" w14:textId="77777777" w:rsidR="000700C8" w:rsidRPr="007122AB" w:rsidRDefault="000700C8"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года СССР занимал 23-е место в мире (63 926) по количеству автомобилей (22518).     </w:t>
      </w:r>
    </w:p>
    <w:p w14:paraId="79603B73" w14:textId="77777777" w:rsidR="000700C8" w:rsidRPr="007122AB" w:rsidRDefault="000700C8" w:rsidP="007122AB">
      <w:pPr>
        <w:spacing w:after="0" w:line="240" w:lineRule="auto"/>
        <w:jc w:val="both"/>
        <w:rPr>
          <w:rFonts w:ascii="Times New Roman" w:hAnsi="Times New Roman"/>
          <w:color w:val="000000" w:themeColor="text1"/>
          <w:sz w:val="16"/>
          <w:szCs w:val="16"/>
        </w:rPr>
      </w:pPr>
    </w:p>
    <w:p w14:paraId="42E5A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завод Гудок Октября в Канавине близ Нижнего Новгорода начал отверточную сборку трехосных американских грузовиков Форд </w:t>
      </w:r>
      <w:proofErr w:type="spellStart"/>
      <w:r w:rsidRPr="007122AB">
        <w:rPr>
          <w:rFonts w:ascii="Times New Roman" w:hAnsi="Times New Roman"/>
          <w:color w:val="000000" w:themeColor="text1"/>
          <w:sz w:val="16"/>
          <w:szCs w:val="16"/>
        </w:rPr>
        <w:t>Тимкен</w:t>
      </w:r>
      <w:proofErr w:type="spellEnd"/>
      <w:r w:rsidRPr="007122AB">
        <w:rPr>
          <w:rFonts w:ascii="Times New Roman" w:hAnsi="Times New Roman"/>
          <w:color w:val="000000" w:themeColor="text1"/>
          <w:sz w:val="16"/>
          <w:szCs w:val="16"/>
        </w:rPr>
        <w:t xml:space="preserve"> (3286,34).</w:t>
      </w:r>
    </w:p>
    <w:p w14:paraId="7F76FA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71062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менеджер компании Форда, побывавший на объектах,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Вместо 72 000 комплектов к 1932/33 финансовому году их было закуплено вдвое меньше (11506).</w:t>
      </w:r>
    </w:p>
    <w:p w14:paraId="1504E9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872E865" w14:textId="77777777" w:rsidR="00937C3C" w:rsidRPr="007122AB" w:rsidRDefault="00937C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года специалистами Научного автотракторного института были спроектированы сразу несколько модернизированных конструкций для Ярославского автозавода, в том числе и трехосные грузовики Я-НАТИ с червячной передачей, но... </w:t>
      </w:r>
    </w:p>
    <w:p w14:paraId="6B4A6499" w14:textId="77777777" w:rsidR="00937C3C" w:rsidRPr="007122AB" w:rsidRDefault="00937C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образец ЯГ-10 поступил в НАТИ для испытаний в 12 часов дня 16 ноября 1931 года, в то время как образцы Я-НАТИ-9 и -9Д были построены на том же Ярославском автозаводе только к лету 1933 года, и лишь в июне месяце впервые появились в НАТИ.</w:t>
      </w:r>
    </w:p>
    <w:p w14:paraId="20022FCE" w14:textId="77777777" w:rsidR="00937C3C" w:rsidRPr="007122AB" w:rsidRDefault="00937C3C"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этой связи обычно пишут, что перед ЯГАЗ № 3 стоял выбор: какой вариант «трехоски» выбрать для выпуска – с червячной или двойной (цилиндрические и конические шестерни) главной передачей. И ярославцы, дескать, предпочли все же двойную шестеренчатую, уже освоенную на Я-5. Однако более чем полуторагодичная разница во времени между появлением ЯГ-10 и Я-НАТИ-9Д ясно дает понять, что никакого особого выбора перед заводом не стояло. На </w:t>
      </w:r>
      <w:proofErr w:type="spellStart"/>
      <w:r w:rsidRPr="007122AB">
        <w:rPr>
          <w:rFonts w:ascii="Times New Roman" w:hAnsi="Times New Roman"/>
          <w:color w:val="000000" w:themeColor="text1"/>
          <w:sz w:val="16"/>
          <w:szCs w:val="16"/>
        </w:rPr>
        <w:t>ЯГАЗе</w:t>
      </w:r>
      <w:proofErr w:type="spellEnd"/>
      <w:r w:rsidRPr="007122AB">
        <w:rPr>
          <w:rFonts w:ascii="Times New Roman" w:hAnsi="Times New Roman"/>
          <w:color w:val="000000" w:themeColor="text1"/>
          <w:sz w:val="16"/>
          <w:szCs w:val="16"/>
        </w:rPr>
        <w:t xml:space="preserve"> оперативно сделали то, что смогли сделать, взяв все необходимое с зарубежных моделей, причем задолго до появления образцов, разработанных в НАТИ. Это диктовалось срочностью заказа на шестиколесный грузовик, видимо, под нажимом РККА. Хотя надо признать, что «на бумаге» Я-9 и Я-9Д (буква «Д» - означает наличие демультипликатора) появились параллельно ЯГ-10. Вот только ЯГАЗ, занятый весь следующий год созданием четырехосного ЯГ-12 и шасси для автобуса-гиганта ЯА-2, смог построить образцы Я-НАТИ только в 1933 году (12201).</w:t>
      </w:r>
    </w:p>
    <w:p w14:paraId="0EF0ACCF" w14:textId="77777777" w:rsidR="00937C3C" w:rsidRPr="007122AB" w:rsidRDefault="00937C3C" w:rsidP="007122AB">
      <w:pPr>
        <w:spacing w:after="0" w:line="240" w:lineRule="auto"/>
        <w:jc w:val="both"/>
        <w:rPr>
          <w:rFonts w:ascii="Times New Roman" w:hAnsi="Times New Roman"/>
          <w:color w:val="000000" w:themeColor="text1"/>
          <w:sz w:val="16"/>
          <w:szCs w:val="16"/>
        </w:rPr>
      </w:pPr>
    </w:p>
    <w:p w14:paraId="42223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г. в Харькове, на небольшом автосборочном заводе изготовили два опытных образца машин грузоподъемностью 4 т. Эта модель, называвшаяся А-4 (позже У-4), имела шестицилиндровый двигатель мощностью 60 л. с. при 2200 об/мин, четырехступенчатую коробку передач, секционный радиатор. При довольно длинной базе (4700 мм) ее масса составляла 3750 кг, а скорость не превышала 50 км/ч. Автомобиль У-4 по техническому уровню стоял лишь немногим выше ЯГ-3. Кроме того, Харьковский автосборочный завод по оснащению не годился для мелкосерийного производства грузовиков. Даже выпуск менее сложной продукции - мотоциклов и лодочных моторов - он впоследствии не смог развернуть в нужных масштабах и был передан в другую отрасль промышленности (12098).</w:t>
      </w:r>
    </w:p>
    <w:p w14:paraId="3503C5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C64A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первая испытательная станция НАМИ не получив разрешение на землеотвод на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котором имелись небольшие помещения механических мастерских и жилой поселок на несколько десятков семей, а на реке Сходня стояла </w:t>
      </w:r>
      <w:proofErr w:type="spellStart"/>
      <w:r w:rsidRPr="007122AB">
        <w:rPr>
          <w:rFonts w:ascii="Times New Roman" w:hAnsi="Times New Roman"/>
          <w:color w:val="000000" w:themeColor="text1"/>
          <w:sz w:val="16"/>
          <w:szCs w:val="16"/>
        </w:rPr>
        <w:t>гидроэлектростанцияпрекратила</w:t>
      </w:r>
      <w:proofErr w:type="spellEnd"/>
      <w:r w:rsidRPr="007122AB">
        <w:rPr>
          <w:rFonts w:ascii="Times New Roman" w:hAnsi="Times New Roman"/>
          <w:color w:val="000000" w:themeColor="text1"/>
          <w:sz w:val="16"/>
          <w:szCs w:val="16"/>
        </w:rPr>
        <w:t xml:space="preserve"> свою работу. 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0E2295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5FDDE2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521C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Можаров переехал в Москву и стал начальником мотоциклетного КБ Научного автотракторного института (НАТИ). Базовая модель НАТИ-А-750 представляла собой причудливое сочетание V-</w:t>
      </w:r>
      <w:proofErr w:type="spellStart"/>
      <w:r w:rsidRPr="007122AB">
        <w:rPr>
          <w:rFonts w:ascii="Times New Roman" w:hAnsi="Times New Roman"/>
          <w:color w:val="000000" w:themeColor="text1"/>
          <w:sz w:val="16"/>
          <w:szCs w:val="16"/>
        </w:rPr>
        <w:t>twin'a</w:t>
      </w:r>
      <w:proofErr w:type="spellEnd"/>
      <w:r w:rsidRPr="007122AB">
        <w:rPr>
          <w:rFonts w:ascii="Times New Roman" w:hAnsi="Times New Roman"/>
          <w:color w:val="000000" w:themeColor="text1"/>
          <w:sz w:val="16"/>
          <w:szCs w:val="16"/>
        </w:rPr>
        <w:t xml:space="preserve"> типа </w:t>
      </w:r>
      <w:proofErr w:type="spellStart"/>
      <w:r w:rsidRPr="007122AB">
        <w:rPr>
          <w:rFonts w:ascii="Times New Roman" w:hAnsi="Times New Roman"/>
          <w:color w:val="000000" w:themeColor="text1"/>
          <w:sz w:val="16"/>
          <w:szCs w:val="16"/>
        </w:rPr>
        <w:t>Наrlеy-Dаvidsоn</w:t>
      </w:r>
      <w:proofErr w:type="spellEnd"/>
      <w:r w:rsidRPr="007122AB">
        <w:rPr>
          <w:rFonts w:ascii="Times New Roman" w:hAnsi="Times New Roman"/>
          <w:color w:val="000000" w:themeColor="text1"/>
          <w:sz w:val="16"/>
          <w:szCs w:val="16"/>
        </w:rPr>
        <w:t xml:space="preserve"> и ходовой части по образцу ВМW. Машина могла эксплуатироваться в одиночном варианте или с коляской. Спроектировали и одноцилиндровый двигатель. Его более чем на 90% унифицировали с базовым мотором, а по посадочным местам - с мотором Л-300. Благодаря этому без особого труда удалось встроить получившийся агрегат в ходовую часть Л-300. Получившейся лёгкой машине присвоили индекс НАТИ-Б-375. Память об неосуществленном проекте "Иж-6" побудила Можарова сделать ещё одну модель. В ходовую часть, аналогичную А-750, он вмонтировал новый одноцилиндровый двигатель (375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с коробкой передач и приводом заднего колеса с помощью вала. Эта машина очень походила на появившиеся к тому моменту ВМW R4. Её обозначили НАТИ - Иж-6 (по некоторым сведениям, она именовалась также НАТИ-В-375). Пётр Владимирович понимал, что на бездорожье мощности базовых двигателей может оказаться недостаточно, поэтому разработал модификацию </w:t>
      </w:r>
      <w:proofErr w:type="spellStart"/>
      <w:r w:rsidRPr="007122AB">
        <w:rPr>
          <w:rFonts w:ascii="Times New Roman" w:hAnsi="Times New Roman"/>
          <w:color w:val="000000" w:themeColor="text1"/>
          <w:sz w:val="16"/>
          <w:szCs w:val="16"/>
        </w:rPr>
        <w:t>цилиндро</w:t>
      </w:r>
      <w:proofErr w:type="spellEnd"/>
      <w:r w:rsidRPr="007122AB">
        <w:rPr>
          <w:rFonts w:ascii="Times New Roman" w:hAnsi="Times New Roman"/>
          <w:color w:val="000000" w:themeColor="text1"/>
          <w:sz w:val="16"/>
          <w:szCs w:val="16"/>
        </w:rPr>
        <w:t xml:space="preserve">-поршневой группы, позволявшую создать моторы с рабочими объёмами 850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и 425 </w:t>
      </w:r>
      <w:proofErr w:type="spellStart"/>
      <w:r w:rsidRPr="007122AB">
        <w:rPr>
          <w:rFonts w:ascii="Times New Roman" w:hAnsi="Times New Roman"/>
          <w:color w:val="000000" w:themeColor="text1"/>
          <w:sz w:val="16"/>
          <w:szCs w:val="16"/>
        </w:rPr>
        <w:t>смз</w:t>
      </w:r>
      <w:proofErr w:type="spellEnd"/>
      <w:r w:rsidRPr="007122AB">
        <w:rPr>
          <w:rFonts w:ascii="Times New Roman" w:hAnsi="Times New Roman"/>
          <w:color w:val="000000" w:themeColor="text1"/>
          <w:sz w:val="16"/>
          <w:szCs w:val="16"/>
        </w:rPr>
        <w:t xml:space="preserve"> - более мощные и тяговитые. Изготовление мотоциклов разместили в мастерских </w:t>
      </w:r>
      <w:proofErr w:type="spellStart"/>
      <w:r w:rsidRPr="007122AB">
        <w:rPr>
          <w:rFonts w:ascii="Times New Roman" w:hAnsi="Times New Roman"/>
          <w:color w:val="000000" w:themeColor="text1"/>
          <w:sz w:val="16"/>
          <w:szCs w:val="16"/>
        </w:rPr>
        <w:t>мотосекции</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Ижстальзаводах</w:t>
      </w:r>
      <w:proofErr w:type="spellEnd"/>
      <w:r w:rsidRPr="007122AB">
        <w:rPr>
          <w:rFonts w:ascii="Times New Roman" w:hAnsi="Times New Roman"/>
          <w:color w:val="000000" w:themeColor="text1"/>
          <w:sz w:val="16"/>
          <w:szCs w:val="16"/>
        </w:rPr>
        <w:t>. Руководство НАТИ потребовало доставить новые мотоциклы в Москву своим ходом. Отправили четыре НАТИ-А-750, опытный "Иж-7", созданный на базе Л-300 специалистами организованного к тому времени Ижевского мотозавода, а для сравнения с ними - BMW R16 и Harley-Davidson. Эту поездку назвали "Предварительный испытательный пробег". Из-за дождей и дорожной грязи изменили обычный маршрут. По шоссе добрались до Сарапула (60 км), оттуда на пароходе до Горького, далее по шоссе до Москвы (410 км). В столице на торжественном митинге выступили председатель ЦС АВТОДОР С. С. Каменев, представители общественности города и мотоциклетных секций Москвы. Новые мотоциклы произвели хорошее впечатление. Вскоре их передали в НАТИ для всесторонних испытаний, после чего ВСНХ принял решение о серийном производстве НАТИ-А-750 - в Подольске, на Подольском механическом заводе (ПМЗ). Возглавить все работы по освоению мотоциклов на ПМЗ поручили тому же Можарову. Ему пришлось вести трудные переговоры с дирекцией завода, которую перспектива выпуска мотоциклов отнюдь не обрадовала. Он лично хлопотал о финансировании работ, писал письма наркому Серго Орджоникидзе. Самое главное - на заводе практически отсутствовало штамповочное оборудование, необходимое для изготовления деталей ходовой части. С большим трудом Пётр Владимирович комплектовал новый участок. Он корректировал конструкторскую документацию с учётом приобретённой техники, одновременно обучая будущих рабочих. В первой декаде февраля 1934 г. завершилось изготовление промышленного образца,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0F1763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444FBA" w14:textId="77777777" w:rsidR="000924C2" w:rsidRPr="007122AB" w:rsidRDefault="000924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 начале 1932 гг. окончательно определиться с составом системы </w:t>
      </w:r>
      <w:proofErr w:type="spellStart"/>
      <w:r w:rsidRPr="007122AB">
        <w:rPr>
          <w:rFonts w:ascii="Times New Roman" w:hAnsi="Times New Roman"/>
          <w:color w:val="000000" w:themeColor="text1"/>
          <w:sz w:val="16"/>
          <w:szCs w:val="16"/>
        </w:rPr>
        <w:t>радиовооружения</w:t>
      </w:r>
      <w:proofErr w:type="spellEnd"/>
      <w:r w:rsidRPr="007122AB">
        <w:rPr>
          <w:rFonts w:ascii="Times New Roman" w:hAnsi="Times New Roman"/>
          <w:color w:val="000000" w:themeColor="text1"/>
          <w:sz w:val="16"/>
          <w:szCs w:val="16"/>
        </w:rPr>
        <w:t xml:space="preserve">, которая, как и заказ промышленности на радиоаппаратуру, получила название «Блокада». 26 февраля 1932 г. на заседании РВС СССР состав системы был одобрен, 9 марта утвержден наркомом обороны К.Е. Ворошиловым, а 17 марта 1932 г. введен в </w:t>
      </w:r>
      <w:proofErr w:type="spellStart"/>
      <w:r w:rsidRPr="007122AB">
        <w:rPr>
          <w:rFonts w:ascii="Times New Roman" w:hAnsi="Times New Roman"/>
          <w:color w:val="000000" w:themeColor="text1"/>
          <w:sz w:val="16"/>
          <w:szCs w:val="16"/>
        </w:rPr>
        <w:t>дейстие</w:t>
      </w:r>
      <w:proofErr w:type="spellEnd"/>
      <w:r w:rsidRPr="007122AB">
        <w:rPr>
          <w:rFonts w:ascii="Times New Roman" w:hAnsi="Times New Roman"/>
          <w:color w:val="000000" w:themeColor="text1"/>
          <w:sz w:val="16"/>
          <w:szCs w:val="16"/>
        </w:rPr>
        <w:t xml:space="preserve"> приказом по УВМС РККА № 0281 (приложение 3.10). Несмотря на довольно напряженные отношения между органами УВМС (</w:t>
      </w:r>
      <w:proofErr w:type="spellStart"/>
      <w:r w:rsidRPr="007122AB">
        <w:rPr>
          <w:rFonts w:ascii="Times New Roman" w:hAnsi="Times New Roman"/>
          <w:color w:val="000000" w:themeColor="text1"/>
          <w:sz w:val="16"/>
          <w:szCs w:val="16"/>
        </w:rPr>
        <w:t>Мортехупр</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Ленкомнаб</w:t>
      </w:r>
      <w:proofErr w:type="spellEnd"/>
      <w:r w:rsidRPr="007122AB">
        <w:rPr>
          <w:rFonts w:ascii="Times New Roman" w:hAnsi="Times New Roman"/>
          <w:color w:val="000000" w:themeColor="text1"/>
          <w:sz w:val="16"/>
          <w:szCs w:val="16"/>
        </w:rPr>
        <w:t xml:space="preserve">) и головным разработчиком и исполнителем заказа заводом им. Коминтерна на протяжении всего срока работ, командование флота высоко оценило достижения предприятия. Шесть ведущих работников завода были представлены к поощрению приказом РВС СССР, еще девять поощрены приказом начальника УВМС РККА, а 35 человек были премированы по линии </w:t>
      </w:r>
      <w:proofErr w:type="spellStart"/>
      <w:r w:rsidRPr="007122AB">
        <w:rPr>
          <w:rFonts w:ascii="Times New Roman" w:hAnsi="Times New Roman"/>
          <w:color w:val="000000" w:themeColor="text1"/>
          <w:sz w:val="16"/>
          <w:szCs w:val="16"/>
        </w:rPr>
        <w:t>Мортехупра</w:t>
      </w:r>
      <w:proofErr w:type="spellEnd"/>
      <w:r w:rsidRPr="007122AB">
        <w:rPr>
          <w:rFonts w:ascii="Times New Roman" w:hAnsi="Times New Roman"/>
          <w:color w:val="000000" w:themeColor="text1"/>
          <w:sz w:val="16"/>
          <w:szCs w:val="16"/>
        </w:rPr>
        <w:t xml:space="preserve"> (приложение 3.11) (18297).</w:t>
      </w:r>
    </w:p>
    <w:p w14:paraId="4AB343A6" w14:textId="77777777" w:rsidR="000924C2" w:rsidRPr="007122AB" w:rsidRDefault="000924C2" w:rsidP="007122AB">
      <w:pPr>
        <w:spacing w:after="0" w:line="240" w:lineRule="auto"/>
        <w:jc w:val="both"/>
        <w:rPr>
          <w:rFonts w:ascii="Times New Roman" w:hAnsi="Times New Roman"/>
          <w:color w:val="000000" w:themeColor="text1"/>
          <w:sz w:val="16"/>
          <w:szCs w:val="16"/>
        </w:rPr>
      </w:pPr>
    </w:p>
    <w:p w14:paraId="5A37102B" w14:textId="77777777" w:rsidR="00F3630F" w:rsidRPr="007122AB" w:rsidRDefault="00F3630F"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года группа инженеров и техников А.Ф. Шорина выехала в Москву. Мы они должны были показать работу системы А.Ф. Шорина руководящему составу Наркомата по военным и морским делам. Для осмотра аппаратуры прибыли К.Е. Ворошилов, М.Н. Тухачевский, Я.Б. Гамарник, М.Г. Штерн, А.И. </w:t>
      </w:r>
      <w:proofErr w:type="spellStart"/>
      <w:r w:rsidRPr="007122AB">
        <w:rPr>
          <w:rFonts w:ascii="Times New Roman" w:hAnsi="Times New Roman"/>
          <w:color w:val="000000" w:themeColor="text1"/>
          <w:sz w:val="16"/>
          <w:szCs w:val="16"/>
        </w:rPr>
        <w:t>Корк</w:t>
      </w:r>
      <w:proofErr w:type="spellEnd"/>
      <w:r w:rsidRPr="007122AB">
        <w:rPr>
          <w:rFonts w:ascii="Times New Roman" w:hAnsi="Times New Roman"/>
          <w:color w:val="000000" w:themeColor="text1"/>
          <w:sz w:val="16"/>
          <w:szCs w:val="16"/>
        </w:rPr>
        <w:t xml:space="preserve"> и П.П. Уборевич. Присутствовали также начальник Воздушных Сил Я.Й. Алкснис и начальник Управления связи Н.М. Синявский, а также руководство Морских Сил. В.М. Орлов и П.И. Смирнов-Светловский представили К.Е. Ворошилову Шорина, Берга и </w:t>
      </w:r>
      <w:proofErr w:type="spellStart"/>
      <w:r w:rsidRPr="007122AB">
        <w:rPr>
          <w:rFonts w:ascii="Times New Roman" w:hAnsi="Times New Roman"/>
          <w:color w:val="000000" w:themeColor="text1"/>
          <w:sz w:val="16"/>
          <w:szCs w:val="16"/>
        </w:rPr>
        <w:t>Литвинского</w:t>
      </w:r>
      <w:proofErr w:type="spellEnd"/>
      <w:r w:rsidRPr="007122AB">
        <w:rPr>
          <w:rFonts w:ascii="Times New Roman" w:hAnsi="Times New Roman"/>
          <w:color w:val="000000" w:themeColor="text1"/>
          <w:sz w:val="16"/>
          <w:szCs w:val="16"/>
        </w:rPr>
        <w:t xml:space="preserve">. Берг доложил о работах по радио-телеуправлению, которые ведутся под руководством НТК, затем Шорин рассказал о своем комплексе. После этого все с интересом посмотрели документальный фильм об испытаниях комплекса Шорина, снятый на Балтике в 1931 году. В первые месяцы 1932 года главные конструкторы демонстрировали свою аппаратуру членам Политбюро и правительства. Комплекс А.Ф. Шорина был принят на вооружение, а В.И. </w:t>
      </w:r>
      <w:proofErr w:type="spellStart"/>
      <w:r w:rsidRPr="007122AB">
        <w:rPr>
          <w:rFonts w:ascii="Times New Roman" w:hAnsi="Times New Roman"/>
          <w:color w:val="000000" w:themeColor="text1"/>
          <w:sz w:val="16"/>
          <w:szCs w:val="16"/>
        </w:rPr>
        <w:t>Бекаури</w:t>
      </w:r>
      <w:proofErr w:type="spellEnd"/>
      <w:r w:rsidRPr="007122AB">
        <w:rPr>
          <w:rFonts w:ascii="Times New Roman" w:hAnsi="Times New Roman"/>
          <w:color w:val="000000" w:themeColor="text1"/>
          <w:sz w:val="16"/>
          <w:szCs w:val="16"/>
        </w:rPr>
        <w:t xml:space="preserve"> предложили провести дополнительные испытания. Одновременно правительство приняло решение о строительстве завода точной механики и автоматики. Согласно отчету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«Одной из самых крупных работ Ленинградского периода деятельности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было создание управляемых по радио торпедных катеров. На первом этапе была разработана радиолиния для управления катером, а также электромеханический рулевой (“</w:t>
      </w:r>
      <w:proofErr w:type="spellStart"/>
      <w:r w:rsidRPr="007122AB">
        <w:rPr>
          <w:rFonts w:ascii="Times New Roman" w:hAnsi="Times New Roman"/>
          <w:color w:val="000000" w:themeColor="text1"/>
          <w:sz w:val="16"/>
          <w:szCs w:val="16"/>
        </w:rPr>
        <w:t>Элемру</w:t>
      </w:r>
      <w:proofErr w:type="spellEnd"/>
      <w:r w:rsidRPr="007122AB">
        <w:rPr>
          <w:rFonts w:ascii="Times New Roman" w:hAnsi="Times New Roman"/>
          <w:color w:val="000000" w:themeColor="text1"/>
          <w:sz w:val="16"/>
          <w:szCs w:val="16"/>
        </w:rPr>
        <w:t xml:space="preserve">”), принимающий от радиолинии команды изменения курса катера. Вторым этапом разработки </w:t>
      </w:r>
      <w:proofErr w:type="spellStart"/>
      <w:r w:rsidRPr="007122AB">
        <w:rPr>
          <w:rFonts w:ascii="Times New Roman" w:hAnsi="Times New Roman"/>
          <w:color w:val="000000" w:themeColor="text1"/>
          <w:sz w:val="16"/>
          <w:szCs w:val="16"/>
        </w:rPr>
        <w:t>телекатеров</w:t>
      </w:r>
      <w:proofErr w:type="spellEnd"/>
      <w:r w:rsidRPr="007122AB">
        <w:rPr>
          <w:rFonts w:ascii="Times New Roman" w:hAnsi="Times New Roman"/>
          <w:color w:val="000000" w:themeColor="text1"/>
          <w:sz w:val="16"/>
          <w:szCs w:val="16"/>
        </w:rPr>
        <w:t xml:space="preserve"> было создание системы телемеханического управления в кильватерном строю. </w:t>
      </w:r>
      <w:proofErr w:type="spellStart"/>
      <w:r w:rsidRPr="007122AB">
        <w:rPr>
          <w:rFonts w:ascii="Times New Roman" w:hAnsi="Times New Roman"/>
          <w:color w:val="000000" w:themeColor="text1"/>
          <w:sz w:val="16"/>
          <w:szCs w:val="16"/>
        </w:rPr>
        <w:t>Телекатера</w:t>
      </w:r>
      <w:proofErr w:type="spellEnd"/>
      <w:r w:rsidRPr="007122AB">
        <w:rPr>
          <w:rFonts w:ascii="Times New Roman" w:hAnsi="Times New Roman"/>
          <w:color w:val="000000" w:themeColor="text1"/>
          <w:sz w:val="16"/>
          <w:szCs w:val="16"/>
        </w:rPr>
        <w:t xml:space="preserve"> системы “Вольт” выполняли значительное количество команд, передаваемых по радиолинии с поста управления: “Ход”, “Малый ход”, “Средний ход”, “Полный ход”, “Лево”, “Право”, “Прямо”. По шести командам 1°, 5° и 30° “Лево” и 1°, 5°, 30° — “Право” катер автоматически переходил на измененный курс, причем последовательно можно было задавать любое изменение курса катера (например, 68° вправо -30°+ 30° Ч-5° + 1º + 1° 4-1°). Была также команда “Виляние” — зигзагообразный ход катера. Управление осуществлялось передающей радиостанцией “У”, представляющей собой комплекс счетно-решающих аналоговых приборов электромеханического типа, а также командное устройство, посылающее на радиостанцию команды управления курсами катеров. Была разработана аппаратура телеуправления “Вольт-Р”, обеспечивающая управление катерами, оснащенными торпедами, с гидросамолетов. За создание самолетной аппаратуры управления гигроскопического </w:t>
      </w:r>
      <w:proofErr w:type="spellStart"/>
      <w:r w:rsidRPr="007122AB">
        <w:rPr>
          <w:rFonts w:ascii="Times New Roman" w:hAnsi="Times New Roman"/>
          <w:color w:val="000000" w:themeColor="text1"/>
          <w:sz w:val="16"/>
          <w:szCs w:val="16"/>
        </w:rPr>
        <w:t>курсоуказателя</w:t>
      </w:r>
      <w:proofErr w:type="spellEnd"/>
      <w:r w:rsidRPr="007122AB">
        <w:rPr>
          <w:rFonts w:ascii="Times New Roman" w:hAnsi="Times New Roman"/>
          <w:color w:val="000000" w:themeColor="text1"/>
          <w:sz w:val="16"/>
          <w:szCs w:val="16"/>
        </w:rPr>
        <w:t xml:space="preserve"> Л.Г. Усачев был награжден орденом Ленина, А.И. Зимин — орденом “Знак Почета”. За разработку управляемых катеров 10.03.36 была награждена орденами большая группа сотрудников </w:t>
      </w:r>
      <w:proofErr w:type="spellStart"/>
      <w:r w:rsidRPr="007122AB">
        <w:rPr>
          <w:rFonts w:ascii="Times New Roman" w:hAnsi="Times New Roman"/>
          <w:color w:val="000000" w:themeColor="text1"/>
          <w:sz w:val="16"/>
          <w:szCs w:val="16"/>
        </w:rPr>
        <w:t>Остехбюро</w:t>
      </w:r>
      <w:proofErr w:type="spellEnd"/>
      <w:r w:rsidRPr="007122AB">
        <w:rPr>
          <w:rFonts w:ascii="Times New Roman" w:hAnsi="Times New Roman"/>
          <w:color w:val="000000" w:themeColor="text1"/>
          <w:sz w:val="16"/>
          <w:szCs w:val="16"/>
        </w:rPr>
        <w:t xml:space="preserve">: Г.Н. Кутейников, А.Л. </w:t>
      </w:r>
      <w:proofErr w:type="spellStart"/>
      <w:r w:rsidRPr="007122AB">
        <w:rPr>
          <w:rFonts w:ascii="Times New Roman" w:hAnsi="Times New Roman"/>
          <w:color w:val="000000" w:themeColor="text1"/>
          <w:sz w:val="16"/>
          <w:szCs w:val="16"/>
        </w:rPr>
        <w:t>Мирвис</w:t>
      </w:r>
      <w:proofErr w:type="spellEnd"/>
      <w:r w:rsidRPr="007122AB">
        <w:rPr>
          <w:rFonts w:ascii="Times New Roman" w:hAnsi="Times New Roman"/>
          <w:color w:val="000000" w:themeColor="text1"/>
          <w:sz w:val="16"/>
          <w:szCs w:val="16"/>
        </w:rPr>
        <w:t xml:space="preserve">, С.Г. Бобров, А.В. Виленский, С.Т. Зайцев, Д.Л. Тимофеевский, Б.А. Чирьев, Ю.А. </w:t>
      </w:r>
      <w:proofErr w:type="spellStart"/>
      <w:r w:rsidRPr="007122AB">
        <w:rPr>
          <w:rFonts w:ascii="Times New Roman" w:hAnsi="Times New Roman"/>
          <w:color w:val="000000" w:themeColor="text1"/>
          <w:sz w:val="16"/>
          <w:szCs w:val="16"/>
        </w:rPr>
        <w:t>Шаровский</w:t>
      </w:r>
      <w:proofErr w:type="spellEnd"/>
      <w:r w:rsidRPr="007122AB">
        <w:rPr>
          <w:rFonts w:ascii="Times New Roman" w:hAnsi="Times New Roman"/>
          <w:color w:val="000000" w:themeColor="text1"/>
          <w:sz w:val="16"/>
          <w:szCs w:val="16"/>
        </w:rPr>
        <w:t>» (15117).</w:t>
      </w:r>
    </w:p>
    <w:p w14:paraId="0D742BCC" w14:textId="77777777" w:rsidR="00F3630F" w:rsidRPr="007122AB" w:rsidRDefault="00F3630F" w:rsidP="007122AB">
      <w:pPr>
        <w:spacing w:after="0" w:line="240" w:lineRule="auto"/>
        <w:jc w:val="both"/>
        <w:rPr>
          <w:rFonts w:ascii="Times New Roman" w:hAnsi="Times New Roman"/>
          <w:color w:val="000000" w:themeColor="text1"/>
          <w:sz w:val="16"/>
          <w:szCs w:val="16"/>
        </w:rPr>
      </w:pPr>
    </w:p>
    <w:p w14:paraId="3CC0F3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года заводом им. Лепсе, б. З-дом 260 и позже з-м 140 был освоен самолетный генератор, приводимый в действие ветрянкой и регулятор напряжения к нему. Адрес: Москва Е-58, ул. </w:t>
      </w:r>
      <w:proofErr w:type="spellStart"/>
      <w:r w:rsidRPr="007122AB">
        <w:rPr>
          <w:rFonts w:ascii="Times New Roman" w:hAnsi="Times New Roman"/>
          <w:color w:val="000000" w:themeColor="text1"/>
          <w:sz w:val="16"/>
          <w:szCs w:val="16"/>
        </w:rPr>
        <w:t>Ибранимова</w:t>
      </w:r>
      <w:proofErr w:type="spellEnd"/>
      <w:r w:rsidRPr="007122AB">
        <w:rPr>
          <w:rFonts w:ascii="Times New Roman" w:hAnsi="Times New Roman"/>
          <w:color w:val="000000" w:themeColor="text1"/>
          <w:sz w:val="16"/>
          <w:szCs w:val="16"/>
        </w:rPr>
        <w:t>, д. 31 (9506).</w:t>
      </w:r>
    </w:p>
    <w:p w14:paraId="514466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2441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конца 1931 года руководство строительством НТМК было передано в созданный на базе «</w:t>
      </w:r>
      <w:proofErr w:type="spellStart"/>
      <w:r w:rsidRPr="007122AB">
        <w:rPr>
          <w:rFonts w:ascii="Times New Roman" w:hAnsi="Times New Roman"/>
          <w:color w:val="000000" w:themeColor="text1"/>
          <w:sz w:val="16"/>
          <w:szCs w:val="16"/>
        </w:rPr>
        <w:t>Тагилстроя</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Тагилкомбинаттяжстрой</w:t>
      </w:r>
      <w:proofErr w:type="spellEnd"/>
      <w:r w:rsidRPr="007122AB">
        <w:rPr>
          <w:rFonts w:ascii="Times New Roman" w:hAnsi="Times New Roman"/>
          <w:color w:val="000000" w:themeColor="text1"/>
          <w:sz w:val="16"/>
          <w:szCs w:val="16"/>
        </w:rPr>
        <w:t xml:space="preserve">». Впрочем, это мало помогло. Помимо нехватки рабсилы, большие сложности возникли с согласованием деталей проекта, который, как мы помним, был одобрен лишь в 1931 году. Из Ленинграда и Москвы постоянно поступали новые уточнения, и из-за этого нарастала неразбериха. Характер изменений часто был настолько серьезным, что будущий завод то становился гигантом советской металлургии, то – чуть ли не заурядным заводиком областного масштаба. Так, согласно первоначальному плану, НТМК должен был быть вторым по объему производства предприятием черной металлургии в СССР после Магнитки и в два раза мощнее Кузнецкого металлургического комбината, строительство которого при широком участии иностранцев – американцев и немцев - параллельно шло в Сибири. </w:t>
      </w:r>
    </w:p>
    <w:p w14:paraId="31E29A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составе комбината должно было быть шесть доменных печей, 20 мартенов и две группы прокатных станов: сортовая - блюминг и четыре среднесортных и мелкосортных стана, и листовая - слябинг с тремя листовыми станами. Кроме того, были запланированы цех холодного проката листа и </w:t>
      </w:r>
      <w:proofErr w:type="spellStart"/>
      <w:r w:rsidRPr="007122AB">
        <w:rPr>
          <w:rFonts w:ascii="Times New Roman" w:hAnsi="Times New Roman"/>
          <w:color w:val="000000" w:themeColor="text1"/>
          <w:sz w:val="16"/>
          <w:szCs w:val="16"/>
        </w:rPr>
        <w:t>листоотделка</w:t>
      </w:r>
      <w:proofErr w:type="spellEnd"/>
      <w:r w:rsidRPr="007122AB">
        <w:rPr>
          <w:rFonts w:ascii="Times New Roman" w:hAnsi="Times New Roman"/>
          <w:color w:val="000000" w:themeColor="text1"/>
          <w:sz w:val="16"/>
          <w:szCs w:val="16"/>
        </w:rPr>
        <w:t xml:space="preserve">. Общая мощность НТМК могла составить по стали более 2 млн. тонн в год, что для страны, производившей тогда лишь 6-8 млн. тонн было очень много. </w:t>
      </w:r>
    </w:p>
    <w:p w14:paraId="5D4D0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Правда, гениальное советское планирование и существующий бардак не позволили утереть нос западным империалистам, поразив их новым гигантом индустрии. Выше я уже отмечал, что строительство предприятия было начато не только при отсутствии ТЭО, в частности, при отсутствии данных о сырьевой базе. Что для металлургического предприятия чрезвычайно важно. Только в 1933 году советские планировщики сподобились таки произвести комплексный учет и анализ рудных запасов </w:t>
      </w:r>
      <w:proofErr w:type="spellStart"/>
      <w:r w:rsidRPr="007122AB">
        <w:rPr>
          <w:rFonts w:ascii="Times New Roman" w:hAnsi="Times New Roman"/>
          <w:color w:val="000000" w:themeColor="text1"/>
          <w:sz w:val="16"/>
          <w:szCs w:val="16"/>
        </w:rPr>
        <w:t>Тагило</w:t>
      </w:r>
      <w:proofErr w:type="spellEnd"/>
      <w:r w:rsidRPr="007122AB">
        <w:rPr>
          <w:rFonts w:ascii="Times New Roman" w:hAnsi="Times New Roman"/>
          <w:color w:val="000000" w:themeColor="text1"/>
          <w:sz w:val="16"/>
          <w:szCs w:val="16"/>
        </w:rPr>
        <w:t xml:space="preserve">-Кушвинского района (к которым, собственно, и привязывали будущий комбинат). Оказалось, что эти запасы скромны, а сами руды – бедны и насыщены вредными примесями. В силу этого был урезан первоначальный план комбината – теперь в его составе оставили «всего лишь» четыре домны, 11 мартеновских печей, прокатный цех с блюмингом-слябингом, а также крупносортный, универсальный и средне-листовой станы. </w:t>
      </w:r>
    </w:p>
    <w:p w14:paraId="6E7338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Дефекты советского планирования сказались и на обеспеченности будущего комбината железорудным сырьем. Вплоть до разработки Качканарского месторождения в 50-х годах НТМК испытывал определенный недостаток руды. К 1936 году стали известны и результаты экспериментов по использованию уральских углей в производстве. Изначально планировалось, что НТМК будет целиком работать на местном сырье. Если с рудой выход все же был найден в затратной агломерации и обогащении бедных руд </w:t>
      </w:r>
      <w:proofErr w:type="spellStart"/>
      <w:r w:rsidRPr="007122AB">
        <w:rPr>
          <w:rFonts w:ascii="Times New Roman" w:hAnsi="Times New Roman"/>
          <w:color w:val="000000" w:themeColor="text1"/>
          <w:sz w:val="16"/>
          <w:szCs w:val="16"/>
        </w:rPr>
        <w:t>Тагило-Кувшинского</w:t>
      </w:r>
      <w:proofErr w:type="spellEnd"/>
      <w:r w:rsidRPr="007122AB">
        <w:rPr>
          <w:rFonts w:ascii="Times New Roman" w:hAnsi="Times New Roman"/>
          <w:color w:val="000000" w:themeColor="text1"/>
          <w:sz w:val="16"/>
          <w:szCs w:val="16"/>
        </w:rPr>
        <w:t xml:space="preserve"> района, то с углем дела были совсем плохи: выяснилось, что уральский сернистый и зольный уголь абсолютно не пригоден для использования в шихте коксовых батарей. В итоге в проект будущего комбината вписали поставку угля из Сибири (11514).</w:t>
      </w:r>
    </w:p>
    <w:p w14:paraId="554919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05D49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Рамзин завершил свою работу по созданию опытного образца прямоточного котла, и через несколько месяцев прошли испытания. Приказом наркома тяжелой промышленности Г. К. Орджоникидзе было создано ОКБ прямоточного котлостроения. Возглавил его Рамзин, режим для которого постепенно смягчали, а в 1936 году ученого освободили совсем. Впоследствии Рамзин заведовал одной из кафедр МЭИ, а производство котлов только консультировал. После процесса коллеги стали сторониться Рамзина, многие не подавали ему руки. Все это усугублялось тем, что власти (тоже своего рода садизм!) постоянно осыпали его наградами: орден Ленина, орден Трудового Красного Знамени, Сталинская премия 1-й степени, присуждение степени доктора технических наук без защиты диссертации. Все это Рамзина не радовало. Он никогда больше не улыбался, ходил ссутулившись и втянув голову в плечи, преждевременно старясь. Когда же по настоянию Кремля Рамзин был выдвинут в члены-корреспонденты Академии наук, то он при тайном голосовании получил 24 голоса "против" и лишь один "за". В 1948 году - вскоре после своего никем не замеченного 60-летия - Рамзин умер. Еще одна, пусть внешне благополучная, но в действительности искалеченная режимом жизнь (11517).</w:t>
      </w:r>
    </w:p>
    <w:p w14:paraId="45E1AC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F0F42FE" w14:textId="77777777" w:rsidR="003B4A71" w:rsidRPr="007122AB" w:rsidRDefault="003B4A71"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В подготовленной к концу 1931 года «Программе строительства военно-морского флота», рассчитанной на вторую пятилетку. В ней наркомвоенмор не ограничился вопросами пополнения и усиления, что позволяла делать шедшая индустриализация, существовавших морских сил (флотов) Балтики и Черного моря, флотилий Каспийской, Днепровской и Амурской. Впервые ввел пока не уточненное понятие «Север». Поставил для него боевую задачу: «удержание Мурманска, недопущение противника в Белое море и действия подлодками на основных коммуникациях противника».</w:t>
      </w:r>
    </w:p>
    <w:p w14:paraId="5789B91A" w14:textId="77777777" w:rsidR="003B4A71" w:rsidRPr="007122AB" w:rsidRDefault="003B4A71"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 этих целях составители программы предложили сосредоточить на Севере 18 больших (водоизмещением 1000 тонн) подводных лодок, 6 средних (типа «Щ», 550 тонн), 6 малых (200 тонн) и плавбазу для них, а также 24 торпедных катера. При этом намечалось, что 6 больших и 3 средние подводные лодки построят уже в 1933 году на всего лишь запланированной верфи под Архангельском. К тому же времени решили перевести по </w:t>
      </w:r>
      <w:proofErr w:type="spellStart"/>
      <w:r w:rsidRPr="007122AB">
        <w:rPr>
          <w:rFonts w:ascii="Times New Roman" w:hAnsi="Times New Roman"/>
          <w:color w:val="000000" w:themeColor="text1"/>
          <w:sz w:val="16"/>
          <w:szCs w:val="16"/>
          <w:shd w:val="clear" w:color="auto" w:fill="FFFFFF"/>
        </w:rPr>
        <w:t>Беломоро</w:t>
      </w:r>
      <w:proofErr w:type="spellEnd"/>
      <w:r w:rsidRPr="007122AB">
        <w:rPr>
          <w:rFonts w:ascii="Times New Roman" w:hAnsi="Times New Roman"/>
          <w:color w:val="000000" w:themeColor="text1"/>
          <w:sz w:val="16"/>
          <w:szCs w:val="16"/>
          <w:shd w:val="clear" w:color="auto" w:fill="FFFFFF"/>
        </w:rPr>
        <w:t>-Балтийскому каналу и несколько больших подводных лодок, эсминцы.</w:t>
      </w:r>
    </w:p>
    <w:p w14:paraId="598F0870" w14:textId="77777777" w:rsidR="003B4A71" w:rsidRPr="007122AB" w:rsidRDefault="003B4A71"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shd w:val="clear" w:color="auto" w:fill="FFFFFF"/>
        </w:rPr>
        <w:t xml:space="preserve">Наметил наркомвоенмор и иные меры обороны Севера. Установку четырех двухорудийных башенных батарей 180-миллиметровых орудий, четырех двухорудийных — 152-миллиметровых и шести </w:t>
      </w:r>
      <w:proofErr w:type="spellStart"/>
      <w:r w:rsidRPr="007122AB">
        <w:rPr>
          <w:rFonts w:ascii="Times New Roman" w:hAnsi="Times New Roman"/>
          <w:color w:val="000000" w:themeColor="text1"/>
          <w:sz w:val="16"/>
          <w:szCs w:val="16"/>
          <w:shd w:val="clear" w:color="auto" w:fill="FFFFFF"/>
        </w:rPr>
        <w:t>четырехорудийных</w:t>
      </w:r>
      <w:proofErr w:type="spellEnd"/>
      <w:r w:rsidRPr="007122AB">
        <w:rPr>
          <w:rFonts w:ascii="Times New Roman" w:hAnsi="Times New Roman"/>
          <w:color w:val="000000" w:themeColor="text1"/>
          <w:sz w:val="16"/>
          <w:szCs w:val="16"/>
          <w:shd w:val="clear" w:color="auto" w:fill="FFFFFF"/>
        </w:rPr>
        <w:t xml:space="preserve"> зенитных 76-миллиметровых. Усилить же предстояло авиацию: разведчиками — легкими бомбардировщиками и истребителями (20467).</w:t>
      </w:r>
    </w:p>
    <w:p w14:paraId="5F43A367" w14:textId="77777777" w:rsidR="003B4A71" w:rsidRPr="007122AB" w:rsidRDefault="003B4A71" w:rsidP="007122AB">
      <w:pPr>
        <w:spacing w:after="0" w:line="240" w:lineRule="auto"/>
        <w:jc w:val="both"/>
        <w:rPr>
          <w:rFonts w:ascii="Times New Roman" w:hAnsi="Times New Roman"/>
          <w:color w:val="000000" w:themeColor="text1"/>
          <w:sz w:val="16"/>
          <w:szCs w:val="16"/>
        </w:rPr>
      </w:pPr>
    </w:p>
    <w:p w14:paraId="7DAA2F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Дальзавод начал построй</w:t>
      </w:r>
      <w:r w:rsidRPr="007122AB">
        <w:rPr>
          <w:rFonts w:ascii="Times New Roman" w:hAnsi="Times New Roman"/>
          <w:color w:val="000000" w:themeColor="text1"/>
          <w:sz w:val="16"/>
          <w:szCs w:val="16"/>
        </w:rPr>
        <w:softHyphen/>
        <w:t>ку сразу десяти однотипных сварных катеров (длина 15,3, ширина 3,62, осадка 1,15 м ). На одном из них, получившем обозначение "ЖСЛ", применили упрощенную форму корпуса — с прямолиней</w:t>
      </w:r>
      <w:r w:rsidRPr="007122AB">
        <w:rPr>
          <w:rFonts w:ascii="Times New Roman" w:hAnsi="Times New Roman"/>
          <w:color w:val="000000" w:themeColor="text1"/>
          <w:sz w:val="16"/>
          <w:szCs w:val="16"/>
        </w:rPr>
        <w:softHyphen/>
        <w:t>ными шпангоутами, имевшими по два "слома" на каждом борту. Благодаря этому нововведению удалось значительно упростить процесс изготовления листов обшивки — все они имели цилиндри</w:t>
      </w:r>
      <w:r w:rsidRPr="007122AB">
        <w:rPr>
          <w:rFonts w:ascii="Times New Roman" w:hAnsi="Times New Roman"/>
          <w:color w:val="000000" w:themeColor="text1"/>
          <w:sz w:val="16"/>
          <w:szCs w:val="16"/>
        </w:rPr>
        <w:softHyphen/>
        <w:t>ческую или веерообразную форму. Мореходные качества буксира "ЖСЛ" оказались не хуже, чем у "ЖС". Серийное строительство бук</w:t>
      </w:r>
      <w:r w:rsidRPr="007122AB">
        <w:rPr>
          <w:rFonts w:ascii="Times New Roman" w:hAnsi="Times New Roman"/>
          <w:color w:val="000000" w:themeColor="text1"/>
          <w:sz w:val="16"/>
          <w:szCs w:val="16"/>
        </w:rPr>
        <w:softHyphen/>
        <w:t>сирных катеров этих типов продолжалось и после Великой Отече</w:t>
      </w:r>
      <w:r w:rsidRPr="007122AB">
        <w:rPr>
          <w:rFonts w:ascii="Times New Roman" w:hAnsi="Times New Roman"/>
          <w:color w:val="000000" w:themeColor="text1"/>
          <w:sz w:val="16"/>
          <w:szCs w:val="16"/>
        </w:rPr>
        <w:softHyphen/>
        <w:t>ственной войны. Многие из них имели собственные имена (напри</w:t>
      </w:r>
      <w:r w:rsidRPr="007122AB">
        <w:rPr>
          <w:rFonts w:ascii="Times New Roman" w:hAnsi="Times New Roman"/>
          <w:color w:val="000000" w:themeColor="text1"/>
          <w:sz w:val="16"/>
          <w:szCs w:val="16"/>
        </w:rPr>
        <w:softHyphen/>
        <w:t xml:space="preserve">мер, "Коршун") и эксплуатировались не только в морских портах, но и на реках. Общее количество построенных </w:t>
      </w:r>
      <w:proofErr w:type="spellStart"/>
      <w:r w:rsidRPr="007122AB">
        <w:rPr>
          <w:rFonts w:ascii="Times New Roman" w:hAnsi="Times New Roman"/>
          <w:color w:val="000000" w:themeColor="text1"/>
          <w:sz w:val="16"/>
          <w:szCs w:val="16"/>
        </w:rPr>
        <w:t>буксирньис</w:t>
      </w:r>
      <w:proofErr w:type="spellEnd"/>
      <w:r w:rsidRPr="007122AB">
        <w:rPr>
          <w:rFonts w:ascii="Times New Roman" w:hAnsi="Times New Roman"/>
          <w:color w:val="000000" w:themeColor="text1"/>
          <w:sz w:val="16"/>
          <w:szCs w:val="16"/>
        </w:rPr>
        <w:t xml:space="preserve"> катеров типов "Ж", "ЖС" и "ЖСЛ" составило около 200 единиц (3898).</w:t>
      </w:r>
    </w:p>
    <w:p w14:paraId="04ED4C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A4F53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395F94DF"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22DF05B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концу 1931 года количество бомбардировщиков ТБ-1 в стро</w:t>
      </w:r>
      <w:r w:rsidRPr="007122AB">
        <w:rPr>
          <w:rFonts w:ascii="Times New Roman" w:hAnsi="Times New Roman"/>
          <w:color w:val="000000" w:themeColor="text1"/>
          <w:sz w:val="16"/>
          <w:szCs w:val="16"/>
        </w:rPr>
        <w:softHyphen/>
        <w:t>евых частях достигло 155 экземпляров. Начало массовой эксплуатации нового бомбардировщика сопровождалось рядом особенностей. Во-первых, большой самолет был значительно сложнее в обслуживании, чем его предшественники. Понадобились различные приспособления для ремонта и обслуживания самолета: специальные стре</w:t>
      </w:r>
      <w:r w:rsidRPr="007122AB">
        <w:rPr>
          <w:rFonts w:ascii="Times New Roman" w:hAnsi="Times New Roman"/>
          <w:color w:val="000000" w:themeColor="text1"/>
          <w:sz w:val="16"/>
          <w:szCs w:val="16"/>
        </w:rPr>
        <w:softHyphen/>
        <w:t xml:space="preserve">мянки, лестницы, топливо- и </w:t>
      </w:r>
      <w:proofErr w:type="spellStart"/>
      <w:r w:rsidRPr="007122AB">
        <w:rPr>
          <w:rFonts w:ascii="Times New Roman" w:hAnsi="Times New Roman"/>
          <w:color w:val="000000" w:themeColor="text1"/>
          <w:sz w:val="16"/>
          <w:szCs w:val="16"/>
        </w:rPr>
        <w:t>маслозаправ-щики</w:t>
      </w:r>
      <w:proofErr w:type="spellEnd"/>
      <w:r w:rsidRPr="007122AB">
        <w:rPr>
          <w:rFonts w:ascii="Times New Roman" w:hAnsi="Times New Roman"/>
          <w:color w:val="000000" w:themeColor="text1"/>
          <w:sz w:val="16"/>
          <w:szCs w:val="16"/>
        </w:rPr>
        <w:t xml:space="preserve">. Буксировать такой крупный объект по старинке (вручную) оказалось непросто — требовалась уже целая команда. Трактора на : аэродромах только появлялись и еще были в • диковинку. Кроме того, летный состав, освоивший одномоторные самолеты, не </w:t>
      </w:r>
      <w:proofErr w:type="spellStart"/>
      <w:r w:rsidRPr="007122AB">
        <w:rPr>
          <w:rFonts w:ascii="Times New Roman" w:hAnsi="Times New Roman"/>
          <w:color w:val="000000" w:themeColor="text1"/>
          <w:sz w:val="16"/>
          <w:szCs w:val="16"/>
        </w:rPr>
        <w:t>ветречался</w:t>
      </w:r>
      <w:proofErr w:type="spellEnd"/>
      <w:r w:rsidRPr="007122AB">
        <w:rPr>
          <w:rFonts w:ascii="Times New Roman" w:hAnsi="Times New Roman"/>
          <w:color w:val="000000" w:themeColor="text1"/>
          <w:sz w:val="16"/>
          <w:szCs w:val="16"/>
        </w:rPr>
        <w:t xml:space="preserve"> ранее с таким казусом, как отказ одно</w:t>
      </w:r>
      <w:r w:rsidRPr="007122AB">
        <w:rPr>
          <w:rFonts w:ascii="Times New Roman" w:hAnsi="Times New Roman"/>
          <w:color w:val="000000" w:themeColor="text1"/>
          <w:sz w:val="16"/>
          <w:szCs w:val="16"/>
        </w:rPr>
        <w:softHyphen/>
        <w:t>го из двигателей. Отсутствие навыков пилотирования в подобных ситуациях приводило! к досадным авариям. Специалисты НИИ ВВС срочно провели специальную программу испытаний, по итогам которой подготовили инструкцию по особенностям пилотирования ТБ-1 в различных отказных ситуациях. Этот документ направили на утверждение началь</w:t>
      </w:r>
      <w:r w:rsidRPr="007122AB">
        <w:rPr>
          <w:rFonts w:ascii="Times New Roman" w:hAnsi="Times New Roman"/>
          <w:color w:val="000000" w:themeColor="text1"/>
          <w:sz w:val="16"/>
          <w:szCs w:val="16"/>
        </w:rPr>
        <w:softHyphen/>
        <w:t>нику ВВС Алкснису, который, прежде чем подписать его, решил лично проверить прак</w:t>
      </w:r>
      <w:r w:rsidRPr="007122AB">
        <w:rPr>
          <w:rFonts w:ascii="Times New Roman" w:hAnsi="Times New Roman"/>
          <w:color w:val="000000" w:themeColor="text1"/>
          <w:sz w:val="16"/>
          <w:szCs w:val="16"/>
        </w:rPr>
        <w:softHyphen/>
        <w:t>тическую ценность подготовленных реко</w:t>
      </w:r>
      <w:r w:rsidRPr="007122AB">
        <w:rPr>
          <w:rFonts w:ascii="Times New Roman" w:hAnsi="Times New Roman"/>
          <w:color w:val="000000" w:themeColor="text1"/>
          <w:sz w:val="16"/>
          <w:szCs w:val="16"/>
        </w:rPr>
        <w:softHyphen/>
        <w:t>мендаций. В сопровождении руководителя инженерной службы ВВС П.А. Хрусталева он прибыл на Центральный аэродром. Здесь он попросил испытателей подробно рассказать о результатах их работы и особенностях пи</w:t>
      </w:r>
      <w:r w:rsidRPr="007122AB">
        <w:rPr>
          <w:rFonts w:ascii="Times New Roman" w:hAnsi="Times New Roman"/>
          <w:color w:val="000000" w:themeColor="text1"/>
          <w:sz w:val="16"/>
          <w:szCs w:val="16"/>
        </w:rPr>
        <w:softHyphen/>
        <w:t>лотирования самолета на одном моторе. В кабине подготовленной к полету машины, командиром которой был П.М. Стефановский, Я.И. Алкснис занял место второго лет</w:t>
      </w:r>
      <w:r w:rsidRPr="007122AB">
        <w:rPr>
          <w:rFonts w:ascii="Times New Roman" w:hAnsi="Times New Roman"/>
          <w:color w:val="000000" w:themeColor="text1"/>
          <w:sz w:val="16"/>
          <w:szCs w:val="16"/>
        </w:rPr>
        <w:softHyphen/>
        <w:t>чика. Лишь после того, как начальник ВВС лично проверил в воздухе предложения испытателей, он утвердил разработанную инструкцию. Появление ТБ-1 в строевых частях сов</w:t>
      </w:r>
      <w:r w:rsidRPr="007122AB">
        <w:rPr>
          <w:rFonts w:ascii="Times New Roman" w:hAnsi="Times New Roman"/>
          <w:color w:val="000000" w:themeColor="text1"/>
          <w:sz w:val="16"/>
          <w:szCs w:val="16"/>
        </w:rPr>
        <w:softHyphen/>
        <w:t>пало с определенным переломом во взгля</w:t>
      </w:r>
      <w:r w:rsidRPr="007122AB">
        <w:rPr>
          <w:rFonts w:ascii="Times New Roman" w:hAnsi="Times New Roman"/>
          <w:color w:val="000000" w:themeColor="text1"/>
          <w:sz w:val="16"/>
          <w:szCs w:val="16"/>
        </w:rPr>
        <w:softHyphen/>
        <w:t>дах на оперативно-тактическое использо</w:t>
      </w:r>
      <w:r w:rsidRPr="007122AB">
        <w:rPr>
          <w:rFonts w:ascii="Times New Roman" w:hAnsi="Times New Roman"/>
          <w:color w:val="000000" w:themeColor="text1"/>
          <w:sz w:val="16"/>
          <w:szCs w:val="16"/>
        </w:rPr>
        <w:softHyphen/>
        <w:t>вание авиации в войне. На смену так назы</w:t>
      </w:r>
      <w:r w:rsidRPr="007122AB">
        <w:rPr>
          <w:rFonts w:ascii="Times New Roman" w:hAnsi="Times New Roman"/>
          <w:color w:val="000000" w:themeColor="text1"/>
          <w:sz w:val="16"/>
          <w:szCs w:val="16"/>
        </w:rPr>
        <w:softHyphen/>
        <w:t>ваемой теории «линейной авиации», по которой ВВС состояли из истребителей и многоцелевых разведчиков-бомбардиров</w:t>
      </w:r>
      <w:r w:rsidRPr="007122AB">
        <w:rPr>
          <w:rFonts w:ascii="Times New Roman" w:hAnsi="Times New Roman"/>
          <w:color w:val="000000" w:themeColor="text1"/>
          <w:sz w:val="16"/>
          <w:szCs w:val="16"/>
        </w:rPr>
        <w:softHyphen/>
        <w:t>щиков, пришла новая концепция, отводив</w:t>
      </w:r>
      <w:r w:rsidRPr="007122AB">
        <w:rPr>
          <w:rFonts w:ascii="Times New Roman" w:hAnsi="Times New Roman"/>
          <w:color w:val="000000" w:themeColor="text1"/>
          <w:sz w:val="16"/>
          <w:szCs w:val="16"/>
        </w:rPr>
        <w:softHyphen/>
        <w:t>шая роль главной ударной силы тяжелым бомбардировщикам. С появлением ТБ-1 началось формирование тяжелых авиаци</w:t>
      </w:r>
      <w:r w:rsidRPr="007122AB">
        <w:rPr>
          <w:rFonts w:ascii="Times New Roman" w:hAnsi="Times New Roman"/>
          <w:color w:val="000000" w:themeColor="text1"/>
          <w:sz w:val="16"/>
          <w:szCs w:val="16"/>
        </w:rPr>
        <w:softHyphen/>
        <w:t>онных бригад (ТБАБ), включавших по 3-4 эскадрильи. Одновременно стали строить и расширять аэродромы, вокруг них созда</w:t>
      </w:r>
      <w:r w:rsidRPr="007122AB">
        <w:rPr>
          <w:rFonts w:ascii="Times New Roman" w:hAnsi="Times New Roman"/>
          <w:color w:val="000000" w:themeColor="text1"/>
          <w:sz w:val="16"/>
          <w:szCs w:val="16"/>
        </w:rPr>
        <w:softHyphen/>
        <w:t>вать авиационные городки (11286).</w:t>
      </w:r>
    </w:p>
    <w:p w14:paraId="60EAAA4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412A2"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3C9B8F5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3924E8C" w14:textId="77777777" w:rsidR="00780FBB" w:rsidRPr="007122AB" w:rsidRDefault="00780FB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 начале 1932 гг.  Постановлениями ЦИК и СНК была изменена система повременной оплаты. Никакой платы не полагалось, если брак в работе был допущен по вине рабочих. Различные правила устанавливались, если вина рабочего не могла быть доказана (21332).</w:t>
      </w:r>
    </w:p>
    <w:p w14:paraId="0EDC2F6C" w14:textId="77777777" w:rsidR="00780FBB" w:rsidRPr="007122AB" w:rsidRDefault="00780FBB" w:rsidP="007122AB">
      <w:pPr>
        <w:spacing w:after="0" w:line="240" w:lineRule="auto"/>
        <w:jc w:val="both"/>
        <w:rPr>
          <w:rFonts w:ascii="Times New Roman" w:hAnsi="Times New Roman"/>
          <w:color w:val="000000" w:themeColor="text1"/>
          <w:sz w:val="16"/>
          <w:szCs w:val="16"/>
        </w:rPr>
      </w:pPr>
    </w:p>
    <w:p w14:paraId="3013FE8E" w14:textId="77777777" w:rsidR="00780FBB" w:rsidRPr="007122AB" w:rsidRDefault="00780FBB" w:rsidP="007122AB">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 конца 1931 г. появились признаки массового голода (ЗЕЛЕНИН И. Е. Введение: (Кульминация крестьянской трагедии) //Трагедия советской деревни: Коллективизация и раскулачивание, 1927-1939: Доклады и материалы: В 5 т. Т. 3: Конец 1930-1933 / Под ред. </w:t>
      </w:r>
      <w:proofErr w:type="spellStart"/>
      <w:r w:rsidRPr="007122AB">
        <w:rPr>
          <w:rFonts w:ascii="Times New Roman" w:eastAsia="Times New Roman" w:hAnsi="Times New Roman"/>
          <w:color w:val="000000" w:themeColor="text1"/>
          <w:sz w:val="16"/>
          <w:szCs w:val="16"/>
          <w:lang w:eastAsia="ru-RU"/>
        </w:rPr>
        <w:t>В.Данилова</w:t>
      </w:r>
      <w:proofErr w:type="spellEnd"/>
      <w:r w:rsidRPr="007122AB">
        <w:rPr>
          <w:rFonts w:ascii="Times New Roman" w:eastAsia="Times New Roman" w:hAnsi="Times New Roman"/>
          <w:color w:val="000000" w:themeColor="text1"/>
          <w:sz w:val="16"/>
          <w:szCs w:val="16"/>
          <w:lang w:eastAsia="ru-RU"/>
        </w:rPr>
        <w:t xml:space="preserve">, </w:t>
      </w:r>
      <w:proofErr w:type="spellStart"/>
      <w:r w:rsidRPr="007122AB">
        <w:rPr>
          <w:rFonts w:ascii="Times New Roman" w:eastAsia="Times New Roman" w:hAnsi="Times New Roman"/>
          <w:color w:val="000000" w:themeColor="text1"/>
          <w:sz w:val="16"/>
          <w:szCs w:val="16"/>
          <w:lang w:eastAsia="ru-RU"/>
        </w:rPr>
        <w:t>Р.Маннинг</w:t>
      </w:r>
      <w:proofErr w:type="spellEnd"/>
      <w:r w:rsidRPr="007122AB">
        <w:rPr>
          <w:rFonts w:ascii="Times New Roman" w:eastAsia="Times New Roman" w:hAnsi="Times New Roman"/>
          <w:color w:val="000000" w:themeColor="text1"/>
          <w:sz w:val="16"/>
          <w:szCs w:val="16"/>
          <w:lang w:eastAsia="ru-RU"/>
        </w:rPr>
        <w:t xml:space="preserve">, Л. Виолы. М., 2001. С. 17). Потребление на душу населения как в деревне, так и в городе в 1932 г. дошло но нижнего предела за весь период 1928-1940 гг. (В сельском хозяйстве потребление сократилось на 22%, в несельскохозяйственном секторе - на 1% (см.: </w:t>
      </w:r>
      <w:r w:rsidRPr="007122AB">
        <w:rPr>
          <w:rFonts w:ascii="Times New Roman" w:eastAsia="Times New Roman" w:hAnsi="Times New Roman"/>
          <w:color w:val="000000" w:themeColor="text1"/>
          <w:sz w:val="16"/>
          <w:szCs w:val="16"/>
          <w:lang w:val="en-US" w:eastAsia="ru-RU"/>
        </w:rPr>
        <w:t>ALLEN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R</w:t>
      </w:r>
      <w:r w:rsidRPr="007122AB">
        <w:rPr>
          <w:rFonts w:ascii="Times New Roman" w:eastAsia="Times New Roman" w:hAnsi="Times New Roman"/>
          <w:color w:val="000000" w:themeColor="text1"/>
          <w:sz w:val="16"/>
          <w:szCs w:val="16"/>
          <w:lang w:eastAsia="ru-RU"/>
        </w:rPr>
        <w:t xml:space="preserve">. С.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Standard</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of</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Living</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the</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Soviet</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Union</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in</w:t>
      </w:r>
      <w:r w:rsidRPr="007122AB">
        <w:rPr>
          <w:rFonts w:ascii="Times New Roman" w:eastAsia="Times New Roman" w:hAnsi="Times New Roman"/>
          <w:color w:val="000000" w:themeColor="text1"/>
          <w:sz w:val="16"/>
          <w:szCs w:val="16"/>
          <w:lang w:eastAsia="ru-RU"/>
        </w:rPr>
        <w:t>, 1928-1940//</w:t>
      </w:r>
      <w:r w:rsidRPr="007122AB">
        <w:rPr>
          <w:rFonts w:ascii="Times New Roman" w:eastAsia="Times New Roman" w:hAnsi="Times New Roman"/>
          <w:color w:val="000000" w:themeColor="text1"/>
          <w:sz w:val="16"/>
          <w:szCs w:val="16"/>
          <w:lang w:val="en-US" w:eastAsia="ru-RU"/>
        </w:rPr>
        <w:t>Journal</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of</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Economic</w:t>
      </w:r>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val="en-US" w:eastAsia="ru-RU"/>
        </w:rPr>
        <w:t>History</w:t>
      </w:r>
      <w:r w:rsidRPr="007122AB">
        <w:rPr>
          <w:rFonts w:ascii="Times New Roman" w:eastAsia="Times New Roman" w:hAnsi="Times New Roman"/>
          <w:color w:val="000000" w:themeColor="text1"/>
          <w:sz w:val="16"/>
          <w:szCs w:val="16"/>
          <w:lang w:eastAsia="ru-RU"/>
        </w:rPr>
        <w:t xml:space="preserve">. 1998. </w:t>
      </w:r>
      <w:proofErr w:type="spellStart"/>
      <w:r w:rsidRPr="007122AB">
        <w:rPr>
          <w:rFonts w:ascii="Times New Roman" w:eastAsia="Times New Roman" w:hAnsi="Times New Roman"/>
          <w:color w:val="000000" w:themeColor="text1"/>
          <w:sz w:val="16"/>
          <w:szCs w:val="16"/>
          <w:lang w:eastAsia="ru-RU"/>
        </w:rPr>
        <w:t>Vol</w:t>
      </w:r>
      <w:proofErr w:type="spellEnd"/>
      <w:r w:rsidRPr="007122AB">
        <w:rPr>
          <w:rFonts w:ascii="Times New Roman" w:eastAsia="Times New Roman" w:hAnsi="Times New Roman"/>
          <w:color w:val="000000" w:themeColor="text1"/>
          <w:sz w:val="16"/>
          <w:szCs w:val="16"/>
          <w:lang w:eastAsia="ru-RU"/>
        </w:rPr>
        <w:t>. 58. №4.1077-1078). Эти оценки являются скорее консервативными: в отличие от большинства западных экономистов Р. Аллен приходит к выводу о значительном росте душевого потребления за период 1928-1937 гг. - в среднем на 27%.)</w:t>
      </w:r>
    </w:p>
    <w:p w14:paraId="0A194988" w14:textId="77777777" w:rsidR="00780FBB" w:rsidRPr="007122AB" w:rsidRDefault="00780FBB" w:rsidP="007122AB">
      <w:pPr>
        <w:spacing w:after="0" w:line="240" w:lineRule="auto"/>
        <w:jc w:val="both"/>
        <w:rPr>
          <w:rFonts w:ascii="Times New Roman" w:hAnsi="Times New Roman"/>
          <w:color w:val="000000" w:themeColor="text1"/>
          <w:sz w:val="16"/>
          <w:szCs w:val="16"/>
        </w:rPr>
      </w:pPr>
      <w:r w:rsidRPr="007122AB">
        <w:rPr>
          <w:rFonts w:ascii="Times New Roman" w:eastAsia="Times New Roman" w:hAnsi="Times New Roman"/>
          <w:color w:val="000000" w:themeColor="text1"/>
          <w:sz w:val="16"/>
          <w:szCs w:val="16"/>
          <w:lang w:eastAsia="ru-RU"/>
        </w:rPr>
        <w:t xml:space="preserve">За первую половину года число коллективизированных хозяйств в РСФСР и УССР сократилось почти на полтора миллиона (ЗЕЛЕНИН И. Е. Был ли "колхозный </w:t>
      </w:r>
      <w:proofErr w:type="spellStart"/>
      <w:r w:rsidRPr="007122AB">
        <w:rPr>
          <w:rFonts w:ascii="Times New Roman" w:eastAsia="Times New Roman" w:hAnsi="Times New Roman"/>
          <w:color w:val="000000" w:themeColor="text1"/>
          <w:sz w:val="16"/>
          <w:szCs w:val="16"/>
          <w:lang w:eastAsia="ru-RU"/>
        </w:rPr>
        <w:t>неонэп</w:t>
      </w:r>
      <w:proofErr w:type="spellEnd"/>
      <w:r w:rsidRPr="007122AB">
        <w:rPr>
          <w:rFonts w:ascii="Times New Roman" w:eastAsia="Times New Roman" w:hAnsi="Times New Roman"/>
          <w:color w:val="000000" w:themeColor="text1"/>
          <w:sz w:val="16"/>
          <w:szCs w:val="16"/>
          <w:lang w:eastAsia="ru-RU"/>
        </w:rPr>
        <w:t xml:space="preserve">"? // ОИ. 1994. № 2. С. 106.). Большинство "массовых выступлений и волынок" происходило "на почве хлебозаготовок" - крестьяне сопротивлялись вывозу </w:t>
      </w:r>
      <w:r w:rsidRPr="007122AB">
        <w:rPr>
          <w:rFonts w:ascii="Times New Roman" w:eastAsia="Times New Roman" w:hAnsi="Times New Roman"/>
          <w:color w:val="000000" w:themeColor="text1"/>
          <w:sz w:val="16"/>
          <w:szCs w:val="16"/>
          <w:lang w:eastAsia="ru-RU"/>
        </w:rPr>
        <w:lastRenderedPageBreak/>
        <w:t xml:space="preserve">хлеба, нападали на государственные склады. При этом вновь стали нарастать убой и падеж скота, участились случаи отказа от сева, самоликвидации хозяйств, бегства из села и другие проявления протеста – от терактов" до "неорганизованного отходничества" (Уникальный по своей детальности и охвату обзор положения см.: </w:t>
      </w:r>
      <w:proofErr w:type="spellStart"/>
      <w:r w:rsidRPr="007122AB">
        <w:rPr>
          <w:rFonts w:ascii="Times New Roman" w:eastAsia="Times New Roman" w:hAnsi="Times New Roman"/>
          <w:color w:val="000000" w:themeColor="text1"/>
          <w:sz w:val="16"/>
          <w:szCs w:val="16"/>
          <w:lang w:eastAsia="ru-RU"/>
        </w:rPr>
        <w:t>Спецсправка</w:t>
      </w:r>
      <w:proofErr w:type="spellEnd"/>
      <w:r w:rsidRPr="007122AB">
        <w:rPr>
          <w:rFonts w:ascii="Times New Roman" w:eastAsia="Times New Roman" w:hAnsi="Times New Roman"/>
          <w:color w:val="000000" w:themeColor="text1"/>
          <w:sz w:val="16"/>
          <w:szCs w:val="16"/>
          <w:lang w:eastAsia="ru-RU"/>
        </w:rPr>
        <w:t xml:space="preserve"> Секретно-политического отдела ОПТУ, [не ранее апреля 1932 г.] // Трагедия советской деревни: Коллективизация и раскулачивание, 1927-1939. Т. 3. М, 2001. С. 318-354.) (22725).</w:t>
      </w:r>
    </w:p>
    <w:p w14:paraId="0726A5E0" w14:textId="77777777" w:rsidR="00780FBB" w:rsidRPr="007122AB" w:rsidRDefault="00780FBB" w:rsidP="007122AB">
      <w:pPr>
        <w:spacing w:after="0" w:line="240" w:lineRule="auto"/>
        <w:jc w:val="both"/>
        <w:rPr>
          <w:rFonts w:ascii="Times New Roman" w:hAnsi="Times New Roman"/>
          <w:color w:val="000000" w:themeColor="text1"/>
          <w:sz w:val="16"/>
          <w:szCs w:val="16"/>
        </w:rPr>
      </w:pPr>
    </w:p>
    <w:p w14:paraId="36D6E9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концу 1931 по всему СС насчитывалось 155 тысяч хозрасчётных бригад, объединявших 1,5 миллиона рабочих. Однако нащупанная </w:t>
      </w:r>
      <w:proofErr w:type="spellStart"/>
      <w:r w:rsidRPr="007122AB">
        <w:rPr>
          <w:rFonts w:ascii="Times New Roman" w:hAnsi="Times New Roman"/>
          <w:color w:val="000000" w:themeColor="text1"/>
          <w:sz w:val="16"/>
          <w:szCs w:val="16"/>
        </w:rPr>
        <w:t>партгосхозаппаратом</w:t>
      </w:r>
      <w:proofErr w:type="spellEnd"/>
      <w:r w:rsidRPr="007122AB">
        <w:rPr>
          <w:rFonts w:ascii="Times New Roman" w:hAnsi="Times New Roman"/>
          <w:color w:val="000000" w:themeColor="text1"/>
          <w:sz w:val="16"/>
          <w:szCs w:val="16"/>
        </w:rPr>
        <w:t xml:space="preserve"> манера оказалась применена и здесь: часто бригады внедрялись приказным методом, без учёта специфики и реальных условий. Это бы полбеды — в конце концов, левые элементы отсеются, останутся передовые рабочие, которые будут работать… </w:t>
      </w:r>
      <w:proofErr w:type="spellStart"/>
      <w:r w:rsidRPr="007122AB">
        <w:rPr>
          <w:rFonts w:ascii="Times New Roman" w:hAnsi="Times New Roman"/>
          <w:color w:val="000000" w:themeColor="text1"/>
          <w:sz w:val="16"/>
          <w:szCs w:val="16"/>
        </w:rPr>
        <w:t>эээ</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передово</w:t>
      </w:r>
      <w:proofErr w:type="spellEnd"/>
      <w:r w:rsidRPr="007122AB">
        <w:rPr>
          <w:rFonts w:ascii="Times New Roman" w:hAnsi="Times New Roman"/>
          <w:color w:val="000000" w:themeColor="text1"/>
          <w:sz w:val="16"/>
          <w:szCs w:val="16"/>
        </w:rPr>
        <w:t xml:space="preserve">. Подтверждением тому действительно образцовые дисциплина и работа (на советском новоязе: «социалистическое отношение к труду»). Основная проблема состояла в другом: хозрасчёт оказывался действенным, лишь будучи распространён на все цепочки технологического цикла при чёткой организации его. Вот как объяснял схему старший сталевар с подмосковного завода «Электросталь» т-щ </w:t>
      </w:r>
      <w:proofErr w:type="spellStart"/>
      <w:r w:rsidRPr="007122AB">
        <w:rPr>
          <w:rFonts w:ascii="Times New Roman" w:hAnsi="Times New Roman"/>
          <w:color w:val="000000" w:themeColor="text1"/>
          <w:sz w:val="16"/>
          <w:szCs w:val="16"/>
        </w:rPr>
        <w:t>Михенчев</w:t>
      </w:r>
      <w:proofErr w:type="spellEnd"/>
      <w:r w:rsidRPr="007122AB">
        <w:rPr>
          <w:rFonts w:ascii="Times New Roman" w:hAnsi="Times New Roman"/>
          <w:color w:val="000000" w:themeColor="text1"/>
          <w:sz w:val="16"/>
          <w:szCs w:val="16"/>
        </w:rPr>
        <w:t xml:space="preserve">: «Например, если бригада литейщиков работает на хозрасчёте, то и бригада канавщиков должна быть на хозрасчёте, а то у нас были случаи, что мы экономим время, выпускаем плавку раньше срока, а в результате её приходится задерживать на 2 часа, т.к. канава не готова, и вынужденный простой не списывается за счёт виновных задержки, а отсюда экономия идёт насмарку и нет заинтересованности в работе». Число же предприятий, полностью перешедших на хозрасчёт, было мизерным (55 на 01.01.1932, 64 на 01.01.1933, 74 на 01.01.1934, 50 на 01.01.1935). Неудивительно, что эффективность бригад оказалась скромной. Не смогли они выправить положение с планами первой пятилетки, не сыграли особой роли и в первые годы второй. В 1935 в статье, опубликованной в журнале «Предприятие», уже констатировалось, что хозрасчётный цех от </w:t>
      </w:r>
      <w:proofErr w:type="spellStart"/>
      <w:r w:rsidRPr="007122AB">
        <w:rPr>
          <w:rFonts w:ascii="Times New Roman" w:hAnsi="Times New Roman"/>
          <w:color w:val="000000" w:themeColor="text1"/>
          <w:sz w:val="16"/>
          <w:szCs w:val="16"/>
        </w:rPr>
        <w:t>нехозрасчётного</w:t>
      </w:r>
      <w:proofErr w:type="spellEnd"/>
      <w:r w:rsidRPr="007122AB">
        <w:rPr>
          <w:rFonts w:ascii="Times New Roman" w:hAnsi="Times New Roman"/>
          <w:color w:val="000000" w:themeColor="text1"/>
          <w:sz w:val="16"/>
          <w:szCs w:val="16"/>
        </w:rPr>
        <w:t xml:space="preserve"> «надо прямо сказать… ничем не отличается». Историк В.А. </w:t>
      </w:r>
      <w:proofErr w:type="spellStart"/>
      <w:r w:rsidRPr="007122AB">
        <w:rPr>
          <w:rFonts w:ascii="Times New Roman" w:hAnsi="Times New Roman"/>
          <w:color w:val="000000" w:themeColor="text1"/>
          <w:sz w:val="16"/>
          <w:szCs w:val="16"/>
        </w:rPr>
        <w:t>Освянников</w:t>
      </w:r>
      <w:proofErr w:type="spellEnd"/>
      <w:r w:rsidRPr="007122AB">
        <w:rPr>
          <w:rFonts w:ascii="Times New Roman" w:hAnsi="Times New Roman"/>
          <w:color w:val="000000" w:themeColor="text1"/>
          <w:sz w:val="16"/>
          <w:szCs w:val="16"/>
        </w:rPr>
        <w:t xml:space="preserve"> выделяет несколько причин неудачи хозрасчётного движения: «Наиболее распространённая причина распада хозрасчётных бригад заключалась в неправильно (уклончиво-расплывчатом со стороны администрации) составленных договорах администрации с бригадами. На других предприятиях заключённый хоздоговор страдал излишней регламентацией. Нередко при организации хозрасчётных бригад была ничем не оправданная поспешность, приводившая к формальному решению вопроса, из-за желания отрапортовать перед вышестоящими органами, в конечном счёте дискредитирующая идею хозяйственного расчёта. Невыполнение взятых на себя обязательств в договоре также служило основанием для распада хозрасчётных бригад». Премирование участников бригад не получило нормального воплощения и в большинстве отраслей оказывалось во многом символическим (тем более что продукты всё равно распределялись по карточкам) (11562).</w:t>
      </w:r>
    </w:p>
    <w:p w14:paraId="6DBC44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A67F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правительственная комиссия определяла районы деятельности Торгсина и методы его работы. Изначально ОГПУ было против открытия Торгсина, считая его "ненужной инстанцией". Однако после того как политбюро приняло соответствующее решение, пришлось смириться с реальностью. Представители ОПТУ работали в составе упомянутой комиссии. Эмиссары правления Торгсина за информацией о "золотом" и "валютном" потенциале района и целесообразности открытия там своих контор и магазинов приходили в местные отделения ОГПУ приходили. И в дальнейшем Торгсин не раз пользовался услугами ОГПУ/НКВД для давления на нерадивых поставщиков, транспортировки ценностей и секретной почты, розыска получателей валютных переводов среди ссыльных и заключенных, чисток торгсиновского аппарата от "чуждых элементов", пресечения хищений и других экономических преступлений. И все же мирное сосуществование двух ведомств не получалось. Торгсин и ОГПУ/НКВД соперничали в "добыче золота и валюты" для государства, а источник у них был один - сбережения граждан. Для политической полиции еще со времен ВЧК конфискация "припрятанных" населением золота и других ценностей была одной из главных функций. До появления Торгсина население должно было сдавать ценности государству в обмен на рубли по установленному государством курсу. Для этого работали специальные пункты скупки золота. Но, видимо, эти условия людей не привлекали. ОГПУ приходилось силой отбирать припрятанные ценности. Следовали аресты, обыски, конфискации и расстрелы. Торгсин же в обмен на золото предлагал населению не обесцененные рубли, а бесценные в условиях голода продукты и товары. Поэтому в то время как сотрудники ОГПУ с наганом в руке гонялись за "держателями золота" и "валютными спекулянтами", те осаждали магазины конторы, умоляя принять в обмен на продукты все самое дорогое, что у них имелось (11558).</w:t>
      </w:r>
    </w:p>
    <w:p w14:paraId="1064CE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65671E4" w14:textId="77777777" w:rsidR="000924C2" w:rsidRPr="007122AB" w:rsidRDefault="000924C2"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начались опытные передачи из Одессы и Томска по оптико-механической системе (11482).</w:t>
      </w:r>
    </w:p>
    <w:p w14:paraId="3D5BF50C" w14:textId="77777777" w:rsidR="000924C2" w:rsidRPr="007122AB" w:rsidRDefault="000924C2"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4903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74ACA8E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A5D0BB1" w14:textId="77777777" w:rsidR="00CA22D8" w:rsidRPr="00441F34" w:rsidRDefault="00CA22D8" w:rsidP="00CA22D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1931 г. внешняя задолженность страны составила 1,4 млрд, золотых рублей, т. е. возросла более, чем в 3,3 раза за четыре года. Чтобы погасить эти долги, нужно было продавать на Запад не только зерно, лес и нефть, но и тонны золота. По данным Госбанка СССР, с 1 октября 1927 года по 1 ноября 1928 года заграницу вывезли более 120 т чистого золота. Тощий золотовалютный запас страны таял на глазах. Это означало, что были использованы все свободные золотовалютные резервы. Именно в 1928-м Сталин начал распродавать музейные коллекции страны. Художественный экспорт обернулся потерей для России шедевров из Эрмитажа, дворцов российской аристократии и частных коллекций. Но расходы на промышленный рывок были астрономическими, и экспорт произведений искусства мог обеспечить лишь весьма незначительную их часть, а именно не более 1,5 %. Самая крупная «сделка века» с министром финансов США Эндрю Меллоном, когда Эрмитаж потерял 21 шедевр живописи, принесла руководству страны около 13 млн. золотых рублей (около 12 т золота) (23485).</w:t>
      </w:r>
    </w:p>
    <w:p w14:paraId="0E9686DB" w14:textId="77777777" w:rsidR="00CA22D8" w:rsidRPr="00441F34" w:rsidRDefault="00CA22D8" w:rsidP="00CA22D8">
      <w:pPr>
        <w:spacing w:after="0" w:line="240" w:lineRule="auto"/>
        <w:jc w:val="both"/>
        <w:rPr>
          <w:rFonts w:ascii="Times New Roman" w:hAnsi="Times New Roman"/>
          <w:color w:val="0070C0"/>
          <w:sz w:val="16"/>
          <w:szCs w:val="16"/>
        </w:rPr>
      </w:pPr>
    </w:p>
    <w:p w14:paraId="1ED87E7C" w14:textId="77777777" w:rsidR="000924C2" w:rsidRPr="007122AB" w:rsidRDefault="000924C2"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rPr>
        <w:t xml:space="preserve">В конце 1931 г. правительство СССР решило закупить, воспользовавшись экономическим кризисом, по относительно невысокой цене, не готовую продукцию и предметы роскоши, а заводы и технологии. В 1932 году (осенью) в США для закупки лицензии на производство авиамоторов фирмы Райт и соответствующих технологий была </w:t>
      </w:r>
      <w:proofErr w:type="spellStart"/>
      <w:r w:rsidRPr="007122AB">
        <w:rPr>
          <w:rFonts w:ascii="Times New Roman" w:hAnsi="Times New Roman"/>
          <w:color w:val="000000" w:themeColor="text1"/>
          <w:sz w:val="16"/>
          <w:szCs w:val="16"/>
        </w:rPr>
        <w:t>нап</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равлена</w:t>
      </w:r>
      <w:proofErr w:type="spellEnd"/>
      <w:r w:rsidRPr="007122AB">
        <w:rPr>
          <w:rFonts w:ascii="Times New Roman" w:hAnsi="Times New Roman"/>
          <w:color w:val="000000" w:themeColor="text1"/>
          <w:sz w:val="16"/>
          <w:szCs w:val="16"/>
        </w:rPr>
        <w:t xml:space="preserve"> делегация, возглавляемая начальником ЦИАМ И.И. </w:t>
      </w:r>
      <w:proofErr w:type="spellStart"/>
      <w:r w:rsidRPr="007122AB">
        <w:rPr>
          <w:rFonts w:ascii="Times New Roman" w:hAnsi="Times New Roman"/>
          <w:color w:val="000000" w:themeColor="text1"/>
          <w:sz w:val="16"/>
          <w:szCs w:val="16"/>
        </w:rPr>
        <w:t>Побережским</w:t>
      </w:r>
      <w:proofErr w:type="spellEnd"/>
      <w:r w:rsidRPr="007122AB">
        <w:rPr>
          <w:rFonts w:ascii="Times New Roman" w:hAnsi="Times New Roman"/>
          <w:color w:val="000000" w:themeColor="text1"/>
          <w:sz w:val="16"/>
          <w:szCs w:val="16"/>
        </w:rPr>
        <w:t xml:space="preserve"> и главным инженером ГАЗ № 24 А.Д. Швецовым. В нее входил и </w:t>
      </w:r>
      <w:proofErr w:type="spellStart"/>
      <w:r w:rsidRPr="007122AB">
        <w:rPr>
          <w:rFonts w:ascii="Times New Roman" w:hAnsi="Times New Roman"/>
          <w:color w:val="000000" w:themeColor="text1"/>
          <w:sz w:val="16"/>
          <w:szCs w:val="16"/>
        </w:rPr>
        <w:t>Н.П.Базилев</w:t>
      </w:r>
      <w:proofErr w:type="spellEnd"/>
      <w:r w:rsidRPr="007122AB">
        <w:rPr>
          <w:rFonts w:ascii="Times New Roman" w:hAnsi="Times New Roman"/>
          <w:color w:val="000000" w:themeColor="text1"/>
          <w:sz w:val="16"/>
          <w:szCs w:val="16"/>
        </w:rPr>
        <w:t xml:space="preserve">. 5 декабря делегация прибыла в </w:t>
      </w:r>
      <w:proofErr w:type="spellStart"/>
      <w:r w:rsidRPr="007122AB">
        <w:rPr>
          <w:rFonts w:ascii="Times New Roman" w:hAnsi="Times New Roman"/>
          <w:color w:val="000000" w:themeColor="text1"/>
          <w:sz w:val="16"/>
          <w:szCs w:val="16"/>
        </w:rPr>
        <w:t>НьюИорк</w:t>
      </w:r>
      <w:proofErr w:type="spellEnd"/>
      <w:r w:rsidRPr="007122AB">
        <w:rPr>
          <w:rFonts w:ascii="Times New Roman" w:hAnsi="Times New Roman"/>
          <w:color w:val="000000" w:themeColor="text1"/>
          <w:sz w:val="16"/>
          <w:szCs w:val="16"/>
        </w:rPr>
        <w:t xml:space="preserve">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(19534).</w:t>
      </w:r>
    </w:p>
    <w:p w14:paraId="7279297E" w14:textId="77777777" w:rsidR="000924C2" w:rsidRPr="007122AB" w:rsidRDefault="000924C2" w:rsidP="007122AB">
      <w:pPr>
        <w:spacing w:after="0" w:line="240" w:lineRule="auto"/>
        <w:jc w:val="both"/>
        <w:rPr>
          <w:rFonts w:ascii="Times New Roman" w:hAnsi="Times New Roman"/>
          <w:color w:val="000000" w:themeColor="text1"/>
          <w:sz w:val="16"/>
          <w:szCs w:val="16"/>
          <w:shd w:val="clear" w:color="auto" w:fill="FFFFFF"/>
        </w:rPr>
      </w:pPr>
    </w:p>
    <w:p w14:paraId="2D39CDCC"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г. началась полугодичная «эпопея» с оформлением очередного </w:t>
      </w:r>
      <w:proofErr w:type="spellStart"/>
      <w:r w:rsidRPr="007122AB">
        <w:rPr>
          <w:rFonts w:ascii="Times New Roman" w:hAnsi="Times New Roman"/>
          <w:color w:val="000000" w:themeColor="text1"/>
          <w:sz w:val="16"/>
          <w:szCs w:val="16"/>
        </w:rPr>
        <w:t>авиазаказа</w:t>
      </w:r>
      <w:proofErr w:type="spellEnd"/>
      <w:r w:rsidRPr="007122AB">
        <w:rPr>
          <w:rFonts w:ascii="Times New Roman" w:hAnsi="Times New Roman"/>
          <w:color w:val="000000" w:themeColor="text1"/>
          <w:sz w:val="16"/>
          <w:szCs w:val="16"/>
        </w:rPr>
        <w:t xml:space="preserve"> для </w:t>
      </w:r>
      <w:r w:rsidR="000924C2" w:rsidRPr="007122AB">
        <w:rPr>
          <w:rFonts w:ascii="Times New Roman" w:hAnsi="Times New Roman"/>
          <w:color w:val="000000" w:themeColor="text1"/>
          <w:sz w:val="16"/>
          <w:szCs w:val="16"/>
        </w:rPr>
        <w:t>К</w:t>
      </w:r>
      <w:r w:rsidRPr="007122AB">
        <w:rPr>
          <w:rFonts w:ascii="Times New Roman" w:hAnsi="Times New Roman"/>
          <w:color w:val="000000" w:themeColor="text1"/>
          <w:sz w:val="16"/>
          <w:szCs w:val="16"/>
        </w:rPr>
        <w:t>итая и закончилась к 17 февраля 1932 г., когда Алкснису со</w:t>
      </w:r>
      <w:r w:rsidRPr="007122AB">
        <w:rPr>
          <w:rFonts w:ascii="Times New Roman" w:hAnsi="Times New Roman"/>
          <w:color w:val="000000" w:themeColor="text1"/>
          <w:sz w:val="16"/>
          <w:szCs w:val="16"/>
        </w:rPr>
        <w:softHyphen/>
        <w:t>общили, что РВС СССР разрешил «проводить Синьцзянский заказ в полном объеме».</w:t>
      </w:r>
    </w:p>
    <w:p w14:paraId="1D98CAE0"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УВВС предписывалось: «1). Немедленно передать в </w:t>
      </w:r>
      <w:proofErr w:type="spellStart"/>
      <w:r w:rsidRPr="007122AB">
        <w:rPr>
          <w:rFonts w:ascii="Times New Roman" w:hAnsi="Times New Roman"/>
          <w:color w:val="000000" w:themeColor="text1"/>
          <w:sz w:val="16"/>
          <w:szCs w:val="16"/>
        </w:rPr>
        <w:t>Глававиапром</w:t>
      </w:r>
      <w:proofErr w:type="spellEnd"/>
      <w:r w:rsidRPr="007122AB">
        <w:rPr>
          <w:rFonts w:ascii="Times New Roman" w:hAnsi="Times New Roman"/>
          <w:color w:val="000000" w:themeColor="text1"/>
          <w:sz w:val="16"/>
          <w:szCs w:val="16"/>
        </w:rPr>
        <w:t xml:space="preserve"> три новых</w:t>
      </w:r>
      <w:r w:rsidRPr="007122AB">
        <w:rPr>
          <w:rStyle w:val="0pt0"/>
          <w:rFonts w:eastAsia="Arial"/>
          <w:b w:val="0"/>
          <w:color w:val="000000" w:themeColor="text1"/>
          <w:spacing w:val="0"/>
          <w:sz w:val="16"/>
          <w:szCs w:val="16"/>
        </w:rPr>
        <w:t xml:space="preserve"> само</w:t>
      </w:r>
      <w:r w:rsidRPr="007122AB">
        <w:rPr>
          <w:rStyle w:val="0pt0"/>
          <w:rFonts w:eastAsia="Arial"/>
          <w:b w:val="0"/>
          <w:color w:val="000000" w:themeColor="text1"/>
          <w:spacing w:val="0"/>
          <w:sz w:val="16"/>
          <w:szCs w:val="16"/>
        </w:rPr>
        <w:softHyphen/>
        <w:t>лёта</w:t>
      </w:r>
      <w:r w:rsidRPr="007122AB">
        <w:rPr>
          <w:rFonts w:ascii="Times New Roman" w:hAnsi="Times New Roman"/>
          <w:color w:val="000000" w:themeColor="text1"/>
          <w:sz w:val="16"/>
          <w:szCs w:val="16"/>
        </w:rPr>
        <w:t xml:space="preserve"> Р-1 с моторами М-5, полным вооружением, оборудованием для раций, усилен</w:t>
      </w:r>
      <w:r w:rsidRPr="007122AB">
        <w:rPr>
          <w:rFonts w:ascii="Times New Roman" w:hAnsi="Times New Roman"/>
          <w:color w:val="000000" w:themeColor="text1"/>
          <w:sz w:val="16"/>
          <w:szCs w:val="16"/>
        </w:rPr>
        <w:softHyphen/>
      </w:r>
      <w:r w:rsidRPr="007122AB">
        <w:rPr>
          <w:rStyle w:val="0pt0"/>
          <w:rFonts w:eastAsia="Arial"/>
          <w:b w:val="0"/>
          <w:color w:val="000000" w:themeColor="text1"/>
          <w:spacing w:val="0"/>
          <w:sz w:val="16"/>
          <w:szCs w:val="16"/>
        </w:rPr>
        <w:t>ным</w:t>
      </w:r>
      <w:r w:rsidRPr="007122AB">
        <w:rPr>
          <w:rFonts w:ascii="Times New Roman" w:hAnsi="Times New Roman"/>
          <w:color w:val="000000" w:themeColor="text1"/>
          <w:sz w:val="16"/>
          <w:szCs w:val="16"/>
        </w:rPr>
        <w:t xml:space="preserve"> комплектом запчастей и добавочными радиаторами.</w:t>
      </w:r>
    </w:p>
    <w:p w14:paraId="09ABBCF5"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 должны быть доставлены на завод № 1 — Москва, где будет</w:t>
      </w:r>
      <w:r w:rsidRPr="007122AB">
        <w:rPr>
          <w:rStyle w:val="10pt"/>
          <w:rFonts w:ascii="Times New Roman" w:hAnsi="Times New Roman" w:cs="Times New Roman"/>
          <w:color w:val="000000" w:themeColor="text1"/>
          <w:spacing w:val="0"/>
          <w:sz w:val="16"/>
          <w:szCs w:val="16"/>
        </w:rPr>
        <w:t xml:space="preserve"> произведе</w:t>
      </w:r>
      <w:r w:rsidRPr="007122AB">
        <w:rPr>
          <w:rStyle w:val="10pt"/>
          <w:rFonts w:ascii="Times New Roman" w:hAnsi="Times New Roman" w:cs="Times New Roman"/>
          <w:color w:val="000000" w:themeColor="text1"/>
          <w:spacing w:val="0"/>
          <w:sz w:val="16"/>
          <w:szCs w:val="16"/>
        </w:rPr>
        <w:softHyphen/>
      </w:r>
      <w:r w:rsidRPr="007122AB">
        <w:rPr>
          <w:rStyle w:val="0pt0"/>
          <w:rFonts w:eastAsia="Arial"/>
          <w:b w:val="0"/>
          <w:color w:val="000000" w:themeColor="text1"/>
          <w:spacing w:val="0"/>
          <w:sz w:val="16"/>
          <w:szCs w:val="16"/>
        </w:rPr>
        <w:t>на</w:t>
      </w:r>
      <w:r w:rsidRPr="007122AB">
        <w:rPr>
          <w:rFonts w:ascii="Times New Roman" w:hAnsi="Times New Roman"/>
          <w:color w:val="000000" w:themeColor="text1"/>
          <w:sz w:val="16"/>
          <w:szCs w:val="16"/>
        </w:rPr>
        <w:t xml:space="preserve"> установка раций, заменены </w:t>
      </w:r>
      <w:proofErr w:type="spellStart"/>
      <w:r w:rsidRPr="007122AB">
        <w:rPr>
          <w:rFonts w:ascii="Times New Roman" w:hAnsi="Times New Roman"/>
          <w:color w:val="000000" w:themeColor="text1"/>
          <w:sz w:val="16"/>
          <w:szCs w:val="16"/>
        </w:rPr>
        <w:t>пульустановки</w:t>
      </w:r>
      <w:proofErr w:type="spellEnd"/>
      <w:r w:rsidRPr="007122AB">
        <w:rPr>
          <w:rFonts w:ascii="Times New Roman" w:hAnsi="Times New Roman"/>
          <w:color w:val="000000" w:themeColor="text1"/>
          <w:sz w:val="16"/>
          <w:szCs w:val="16"/>
        </w:rPr>
        <w:t xml:space="preserve"> Дегтярева и произведена тщательная от</w:t>
      </w:r>
      <w:r w:rsidRPr="007122AB">
        <w:rPr>
          <w:rFonts w:ascii="Times New Roman" w:hAnsi="Times New Roman"/>
          <w:color w:val="000000" w:themeColor="text1"/>
          <w:sz w:val="16"/>
          <w:szCs w:val="16"/>
        </w:rPr>
        <w:softHyphen/>
        <w:t>делка машин с закраской звезд и опознавательных знаков.</w:t>
      </w:r>
    </w:p>
    <w:p w14:paraId="1C7CC4B8" w14:textId="77777777" w:rsidR="0087630B" w:rsidRPr="007122AB" w:rsidRDefault="0087630B" w:rsidP="007122AB">
      <w:pPr>
        <w:tabs>
          <w:tab w:val="left" w:pos="638"/>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Отпустить для трех Р-1 три фотоаппарата ПАТЕ-1-БС с принадлежностями.</w:t>
      </w:r>
    </w:p>
    <w:p w14:paraId="799385C8" w14:textId="77777777" w:rsidR="0087630B" w:rsidRPr="007122AB" w:rsidRDefault="0087630B" w:rsidP="007122AB">
      <w:pPr>
        <w:tabs>
          <w:tab w:val="left" w:pos="647"/>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Разрешить </w:t>
      </w:r>
      <w:proofErr w:type="spellStart"/>
      <w:r w:rsidRPr="007122AB">
        <w:rPr>
          <w:rFonts w:ascii="Times New Roman" w:hAnsi="Times New Roman"/>
          <w:color w:val="000000" w:themeColor="text1"/>
          <w:sz w:val="16"/>
          <w:szCs w:val="16"/>
        </w:rPr>
        <w:t>Глававиапрому</w:t>
      </w:r>
      <w:proofErr w:type="spellEnd"/>
      <w:r w:rsidRPr="007122AB">
        <w:rPr>
          <w:rFonts w:ascii="Times New Roman" w:hAnsi="Times New Roman"/>
          <w:color w:val="000000" w:themeColor="text1"/>
          <w:sz w:val="16"/>
          <w:szCs w:val="16"/>
        </w:rPr>
        <w:t>:</w:t>
      </w:r>
    </w:p>
    <w:p w14:paraId="2B8039AD" w14:textId="77777777" w:rsidR="0087630B" w:rsidRPr="007122AB" w:rsidRDefault="0087630B" w:rsidP="007122AB">
      <w:pPr>
        <w:tabs>
          <w:tab w:val="left" w:pos="602"/>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немедленно передать заводу № 23 в Ленинграде три самолёта У-2 с моторами М-11, усиленным комплектом запчастей.</w:t>
      </w:r>
    </w:p>
    <w:p w14:paraId="71316A9A" w14:textId="77777777" w:rsidR="0087630B" w:rsidRPr="007122AB" w:rsidRDefault="0087630B" w:rsidP="007122AB">
      <w:pPr>
        <w:tabs>
          <w:tab w:val="left" w:pos="593"/>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перебросить с завода № 29 в г. Запорожье два мотора М-22 с запчастями для ус</w:t>
      </w:r>
      <w:r w:rsidRPr="007122AB">
        <w:rPr>
          <w:rFonts w:ascii="Times New Roman" w:hAnsi="Times New Roman"/>
          <w:color w:val="000000" w:themeColor="text1"/>
          <w:sz w:val="16"/>
          <w:szCs w:val="16"/>
        </w:rPr>
        <w:softHyphen/>
        <w:t>тановки на самолётах К-5 взамен М-15.</w:t>
      </w:r>
    </w:p>
    <w:p w14:paraId="0FD37E19" w14:textId="77777777" w:rsidR="0087630B" w:rsidRPr="007122AB" w:rsidRDefault="0087630B" w:rsidP="007122AB">
      <w:pPr>
        <w:tabs>
          <w:tab w:val="left" w:pos="647"/>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4. Отпустить 1000 16-кг </w:t>
      </w:r>
      <w:proofErr w:type="spellStart"/>
      <w:r w:rsidRPr="007122AB">
        <w:rPr>
          <w:rFonts w:ascii="Times New Roman" w:hAnsi="Times New Roman"/>
          <w:color w:val="000000" w:themeColor="text1"/>
          <w:sz w:val="16"/>
          <w:szCs w:val="16"/>
        </w:rPr>
        <w:t>аэробомб</w:t>
      </w:r>
      <w:proofErr w:type="spellEnd"/>
      <w:r w:rsidRPr="007122AB">
        <w:rPr>
          <w:rFonts w:ascii="Times New Roman" w:hAnsi="Times New Roman"/>
          <w:color w:val="000000" w:themeColor="text1"/>
          <w:sz w:val="16"/>
          <w:szCs w:val="16"/>
        </w:rPr>
        <w:t>, из коих 700 осколочных и 300 фугасных.</w:t>
      </w:r>
    </w:p>
    <w:p w14:paraId="3F994B24" w14:textId="77777777" w:rsidR="0087630B" w:rsidRPr="007122AB" w:rsidRDefault="0087630B" w:rsidP="007122AB">
      <w:pPr>
        <w:tabs>
          <w:tab w:val="left" w:pos="670"/>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В целях скорейшего продвижения грузов разрешить отправку их произвести по военным требованиям.</w:t>
      </w:r>
    </w:p>
    <w:p w14:paraId="76E4778C" w14:textId="77777777" w:rsidR="0087630B" w:rsidRPr="007122AB" w:rsidRDefault="0087630B" w:rsidP="007122AB">
      <w:pPr>
        <w:tabs>
          <w:tab w:val="left" w:pos="665"/>
        </w:tabs>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Выделить для перегонки трёх самолётов Р-1 трёх лётчиков, двух техников и од</w:t>
      </w:r>
      <w:r w:rsidRPr="007122AB">
        <w:rPr>
          <w:rFonts w:ascii="Times New Roman" w:hAnsi="Times New Roman"/>
          <w:color w:val="000000" w:themeColor="text1"/>
          <w:sz w:val="16"/>
          <w:szCs w:val="16"/>
        </w:rPr>
        <w:softHyphen/>
        <w:t>ного лётчика-наблюдателя, знакомого с радио-работой и аэрофотосъемкой. Самолё</w:t>
      </w:r>
      <w:r w:rsidRPr="007122AB">
        <w:rPr>
          <w:rFonts w:ascii="Times New Roman" w:hAnsi="Times New Roman"/>
          <w:color w:val="000000" w:themeColor="text1"/>
          <w:sz w:val="16"/>
          <w:szCs w:val="16"/>
        </w:rPr>
        <w:softHyphen/>
      </w:r>
      <w:r w:rsidRPr="007122AB">
        <w:rPr>
          <w:rStyle w:val="0pt0"/>
          <w:rFonts w:eastAsia="Arial"/>
          <w:b w:val="0"/>
          <w:color w:val="000000" w:themeColor="text1"/>
          <w:spacing w:val="0"/>
          <w:sz w:val="16"/>
          <w:szCs w:val="16"/>
        </w:rPr>
        <w:t>ты</w:t>
      </w:r>
      <w:r w:rsidRPr="007122AB">
        <w:rPr>
          <w:rFonts w:ascii="Times New Roman" w:hAnsi="Times New Roman"/>
          <w:color w:val="000000" w:themeColor="text1"/>
          <w:sz w:val="16"/>
          <w:szCs w:val="16"/>
        </w:rPr>
        <w:t xml:space="preserve"> идут лётом из Аягуза до Урумчи...</w:t>
      </w:r>
    </w:p>
    <w:p w14:paraId="35CB1D09"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 Оформить загранпаспорта команди</w:t>
      </w:r>
      <w:r w:rsidRPr="007122AB">
        <w:rPr>
          <w:rFonts w:ascii="Times New Roman" w:hAnsi="Times New Roman"/>
          <w:color w:val="000000" w:themeColor="text1"/>
          <w:sz w:val="16"/>
          <w:szCs w:val="16"/>
        </w:rPr>
        <w:softHyphen/>
        <w:t>руемых лётчиков, техников и летнаба сро</w:t>
      </w:r>
      <w:r w:rsidRPr="007122AB">
        <w:rPr>
          <w:rFonts w:ascii="Times New Roman" w:hAnsi="Times New Roman"/>
          <w:color w:val="000000" w:themeColor="text1"/>
          <w:sz w:val="16"/>
          <w:szCs w:val="16"/>
        </w:rPr>
        <w:softHyphen/>
        <w:t>ком командировки на 1,5 месяца.</w:t>
      </w:r>
    </w:p>
    <w:p w14:paraId="4C25C0C1" w14:textId="77777777" w:rsidR="0087630B" w:rsidRPr="007122AB" w:rsidRDefault="0087630B"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Самолёты У-2, моторы М-11 и М-22 Вам будут возмещены заводами в текущем операционном году. Стоимость авиабомб, самолётов Р-1 и остального имущества будет оплачена нами по предоставлению счетов. Расходы по командировке лётчиков оплачиваются Вами» (15802).</w:t>
      </w:r>
    </w:p>
    <w:p w14:paraId="5F6087D3" w14:textId="77777777" w:rsidR="0087630B" w:rsidRPr="007122AB" w:rsidRDefault="0087630B" w:rsidP="007122AB">
      <w:pPr>
        <w:spacing w:after="0" w:line="240" w:lineRule="auto"/>
        <w:jc w:val="both"/>
        <w:rPr>
          <w:rFonts w:ascii="Times New Roman" w:hAnsi="Times New Roman"/>
          <w:color w:val="000000" w:themeColor="text1"/>
          <w:sz w:val="16"/>
          <w:szCs w:val="16"/>
        </w:rPr>
      </w:pPr>
    </w:p>
    <w:p w14:paraId="154790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 силы Надир-шаха во главе с его министром обороны Шах Махмудом были направлены в северные районы страны, где на советско-афганской границе они совместно с частями Красной Армии полностью уничтожили последние вооруженные формирования басмачей. Последний из басмаческих командиров Ибрагим-бек, вторгшийся на советскую территорию из Афганистана в 1931 г., терпел одно поражение за другим и в конце концов был вынужден сдаться советским властям. В 1932 г. он был казнен по решению органов ОГПУ (3871).</w:t>
      </w:r>
    </w:p>
    <w:p w14:paraId="756F34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464E6F"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123BDF3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EE90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года дирижабль «Акрон» налетал почти 300 часов, из которых 46 пришлись на определение дальности полета. С этой целью был совершен полет от Акрона, через южную часть США, до Мобиле в штате Алабама и обратно по долинам рек Миссисипи и Огайо (11324).</w:t>
      </w:r>
    </w:p>
    <w:p w14:paraId="64278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05A9B3" w14:textId="77777777" w:rsidR="00EE11B9" w:rsidRPr="007122AB" w:rsidRDefault="00EE11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конце 1931 года Кристи создал улучшенную модель М1931, в котором он попытался избавиться от большей части недостатков. Конструкция корпуса подверглась небольшим изменениям – была немного уменьшена его высота и переделана кормовая часть. Появилась цилиндрическая одноместная башня с 37-мм орудием и небольшой командирской башенкой. </w:t>
      </w:r>
    </w:p>
    <w:p w14:paraId="604C2B31" w14:textId="77777777" w:rsidR="00EE11B9" w:rsidRPr="007122AB" w:rsidRDefault="00EE11B9"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Ходовая часть танка подверглась частичным доработкам. Она состояла из восьми опорных обрезиненных колес диаметром 686 мм установленных на качающихся рычагах с длинными геликоидальными пружинами, обеспечивавшими колесу вертикальный ход до 40,65 см. Таким образом, каждое колесо могло подниматься до уровня днища танка, что обеспечивало ему очень высокую проходимость. Гусеницы Т3 состояли из стальных пластин площадью около 645 </w:t>
      </w:r>
      <w:proofErr w:type="spellStart"/>
      <w:r w:rsidRPr="007122AB">
        <w:rPr>
          <w:rFonts w:ascii="Times New Roman" w:hAnsi="Times New Roman"/>
          <w:color w:val="000000" w:themeColor="text1"/>
          <w:sz w:val="16"/>
          <w:szCs w:val="16"/>
        </w:rPr>
        <w:t>см.кв</w:t>
      </w:r>
      <w:proofErr w:type="spellEnd"/>
      <w:r w:rsidRPr="007122AB">
        <w:rPr>
          <w:rFonts w:ascii="Times New Roman" w:hAnsi="Times New Roman"/>
          <w:color w:val="000000" w:themeColor="text1"/>
          <w:sz w:val="16"/>
          <w:szCs w:val="16"/>
        </w:rPr>
        <w:t>. Время перехода с колес на гусеницы увеличилось до 30 минут, при том, что принцип смены хода не менялся (17214).</w:t>
      </w:r>
    </w:p>
    <w:p w14:paraId="6521D79B" w14:textId="77777777" w:rsidR="00EE11B9" w:rsidRPr="007122AB" w:rsidRDefault="00EE11B9" w:rsidP="007122AB">
      <w:pPr>
        <w:spacing w:after="0" w:line="240" w:lineRule="auto"/>
        <w:jc w:val="both"/>
        <w:rPr>
          <w:rFonts w:ascii="Times New Roman" w:hAnsi="Times New Roman"/>
          <w:color w:val="000000" w:themeColor="text1"/>
          <w:sz w:val="16"/>
          <w:szCs w:val="16"/>
        </w:rPr>
      </w:pPr>
    </w:p>
    <w:p w14:paraId="44B64297" w14:textId="77777777" w:rsidR="00BA4689" w:rsidRPr="00441F34" w:rsidRDefault="00BA4689" w:rsidP="00BA46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До конца 1931 г. на берлинском ракетодроме в Тегеле осуществили 87 пусков ракет и 270 запусков двигателей на стенде. На первый взгляд, дела шли прекрасно. Однако финансирование сокращалось, общественная поддержка угасала, между членами ОМП возникали конфликты по вопросу расходования средств. После каждого запуска двигателя или полета ракеты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со всей компанией совместно решали, что делать дальше. Они так и остались любителями, увлеченными своим делом, но не представлявшими, как надо развивать конструкцию ракет.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мог бы спланировать этот процесс, но он жил в Румынии и не всегда отвечал на письма </w:t>
      </w:r>
      <w:proofErr w:type="spellStart"/>
      <w:r w:rsidRPr="00441F34">
        <w:rPr>
          <w:rFonts w:ascii="Times New Roman" w:hAnsi="Times New Roman"/>
          <w:color w:val="0070C0"/>
          <w:sz w:val="16"/>
          <w:szCs w:val="16"/>
        </w:rPr>
        <w:t>Небеля</w:t>
      </w:r>
      <w:proofErr w:type="spellEnd"/>
      <w:r w:rsidRPr="00441F34">
        <w:rPr>
          <w:rFonts w:ascii="Times New Roman" w:hAnsi="Times New Roman"/>
          <w:color w:val="0070C0"/>
          <w:sz w:val="16"/>
          <w:szCs w:val="16"/>
        </w:rPr>
        <w:t xml:space="preserve">. Без внедрения систем управления дальнейшие эксперименты не имели смысла. Удалось добиться лишь того, что ракеты после остановки двигателя опускались на парашюте, однако высота подъема была невелика. Большое число экспериментов в  </w:t>
      </w:r>
      <w:proofErr w:type="spellStart"/>
      <w:r w:rsidRPr="00441F34">
        <w:rPr>
          <w:rFonts w:ascii="Times New Roman" w:hAnsi="Times New Roman"/>
          <w:color w:val="0070C0"/>
          <w:sz w:val="16"/>
          <w:szCs w:val="16"/>
        </w:rPr>
        <w:t>сочетаниии</w:t>
      </w:r>
      <w:proofErr w:type="spellEnd"/>
      <w:r w:rsidRPr="00441F34">
        <w:rPr>
          <w:rFonts w:ascii="Times New Roman" w:hAnsi="Times New Roman"/>
          <w:color w:val="0070C0"/>
          <w:sz w:val="16"/>
          <w:szCs w:val="16"/>
        </w:rPr>
        <w:t xml:space="preserve"> с  ничтожными результатами говорит само за себя (23372). </w:t>
      </w:r>
    </w:p>
    <w:p w14:paraId="1F256ACE" w14:textId="77777777" w:rsidR="00BA4689" w:rsidRPr="00441F34" w:rsidRDefault="00BA4689" w:rsidP="00BA4689">
      <w:pPr>
        <w:spacing w:after="0" w:line="240" w:lineRule="auto"/>
        <w:jc w:val="both"/>
        <w:rPr>
          <w:rFonts w:ascii="Times New Roman" w:hAnsi="Times New Roman"/>
          <w:color w:val="0070C0"/>
          <w:sz w:val="16"/>
          <w:szCs w:val="16"/>
        </w:rPr>
      </w:pPr>
    </w:p>
    <w:p w14:paraId="797F3367" w14:textId="77777777" w:rsidR="00BA4689" w:rsidRPr="00441F34" w:rsidRDefault="00BA4689" w:rsidP="00BA46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конце 1931 г. двое офицеров (капитаны </w:t>
      </w:r>
      <w:proofErr w:type="spellStart"/>
      <w:r w:rsidRPr="00441F34">
        <w:rPr>
          <w:rFonts w:ascii="Times New Roman" w:hAnsi="Times New Roman"/>
          <w:color w:val="0070C0"/>
          <w:sz w:val="16"/>
          <w:szCs w:val="16"/>
        </w:rPr>
        <w:t>Дорнбергер</w:t>
      </w:r>
      <w:proofErr w:type="spellEnd"/>
      <w:r w:rsidRPr="00441F34">
        <w:rPr>
          <w:rFonts w:ascii="Times New Roman" w:hAnsi="Times New Roman"/>
          <w:color w:val="0070C0"/>
          <w:sz w:val="16"/>
          <w:szCs w:val="16"/>
        </w:rPr>
        <w:t xml:space="preserve"> и фон </w:t>
      </w:r>
      <w:proofErr w:type="spellStart"/>
      <w:r w:rsidRPr="00441F34">
        <w:rPr>
          <w:rFonts w:ascii="Times New Roman" w:hAnsi="Times New Roman"/>
          <w:color w:val="0070C0"/>
          <w:sz w:val="16"/>
          <w:szCs w:val="16"/>
        </w:rPr>
        <w:t>Хортстиг</w:t>
      </w:r>
      <w:proofErr w:type="spellEnd"/>
      <w:r w:rsidRPr="00441F34">
        <w:rPr>
          <w:rFonts w:ascii="Times New Roman" w:hAnsi="Times New Roman"/>
          <w:color w:val="0070C0"/>
          <w:sz w:val="16"/>
          <w:szCs w:val="16"/>
        </w:rPr>
        <w:t xml:space="preserve">) явились на «ракетодром» в военной форме — с официальным визитом.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рассказал им о  достигнутых успехах, продемонстрировал «</w:t>
      </w:r>
      <w:proofErr w:type="spellStart"/>
      <w:r w:rsidRPr="00441F34">
        <w:rPr>
          <w:rFonts w:ascii="Times New Roman" w:hAnsi="Times New Roman"/>
          <w:color w:val="0070C0"/>
          <w:sz w:val="16"/>
          <w:szCs w:val="16"/>
        </w:rPr>
        <w:t>Репульсор</w:t>
      </w:r>
      <w:proofErr w:type="spellEnd"/>
      <w:r w:rsidRPr="00441F34">
        <w:rPr>
          <w:rFonts w:ascii="Times New Roman" w:hAnsi="Times New Roman"/>
          <w:color w:val="0070C0"/>
          <w:sz w:val="16"/>
          <w:szCs w:val="16"/>
        </w:rPr>
        <w:t>» последнего образца и предложил устроить показательный запуск (23372).</w:t>
      </w:r>
    </w:p>
    <w:p w14:paraId="1FE3FD11" w14:textId="77777777" w:rsidR="00BA4689" w:rsidRPr="00441F34" w:rsidRDefault="00BA4689" w:rsidP="00BA4689">
      <w:pPr>
        <w:spacing w:after="0" w:line="240" w:lineRule="auto"/>
        <w:jc w:val="both"/>
        <w:rPr>
          <w:rFonts w:ascii="Times New Roman" w:hAnsi="Times New Roman"/>
          <w:color w:val="0070C0"/>
          <w:sz w:val="16"/>
          <w:szCs w:val="16"/>
        </w:rPr>
      </w:pPr>
    </w:p>
    <w:p w14:paraId="5E5949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началась агрессия Японии против Северных провинций Китая (2908,32).</w:t>
      </w:r>
    </w:p>
    <w:p w14:paraId="225AE9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BB91A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ACFDDE7"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380DB2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 начале 1932 гг. мо</w:t>
      </w:r>
      <w:r w:rsidRPr="007122AB">
        <w:rPr>
          <w:rFonts w:ascii="Times New Roman" w:hAnsi="Times New Roman"/>
          <w:color w:val="000000" w:themeColor="text1"/>
          <w:sz w:val="16"/>
          <w:szCs w:val="16"/>
        </w:rPr>
        <w:softHyphen/>
        <w:t>тор М-34 был передан в серийное про</w:t>
      </w:r>
      <w:r w:rsidRPr="007122AB">
        <w:rPr>
          <w:rFonts w:ascii="Times New Roman" w:hAnsi="Times New Roman"/>
          <w:color w:val="000000" w:themeColor="text1"/>
          <w:sz w:val="16"/>
          <w:szCs w:val="16"/>
        </w:rPr>
        <w:softHyphen/>
        <w:t>изводство на московский завод № 24. Для расширения производства потре</w:t>
      </w:r>
      <w:r w:rsidRPr="007122AB">
        <w:rPr>
          <w:rFonts w:ascii="Times New Roman" w:hAnsi="Times New Roman"/>
          <w:color w:val="000000" w:themeColor="text1"/>
          <w:sz w:val="16"/>
          <w:szCs w:val="16"/>
        </w:rPr>
        <w:softHyphen/>
        <w:t>бовалась коренная реконструкция предприятия. На стройке многие тыся</w:t>
      </w:r>
      <w:r w:rsidRPr="007122AB">
        <w:rPr>
          <w:rFonts w:ascii="Times New Roman" w:hAnsi="Times New Roman"/>
          <w:color w:val="000000" w:themeColor="text1"/>
          <w:sz w:val="16"/>
          <w:szCs w:val="16"/>
        </w:rPr>
        <w:softHyphen/>
        <w:t>чи людей работали в три смены. Если до реконструкции завода на двух тер</w:t>
      </w:r>
      <w:r w:rsidRPr="007122AB">
        <w:rPr>
          <w:rFonts w:ascii="Times New Roman" w:hAnsi="Times New Roman"/>
          <w:color w:val="000000" w:themeColor="text1"/>
          <w:sz w:val="16"/>
          <w:szCs w:val="16"/>
        </w:rPr>
        <w:softHyphen/>
        <w:t>риториях работало около тысячи чело</w:t>
      </w:r>
      <w:r w:rsidRPr="007122AB">
        <w:rPr>
          <w:rFonts w:ascii="Times New Roman" w:hAnsi="Times New Roman"/>
          <w:color w:val="000000" w:themeColor="text1"/>
          <w:sz w:val="16"/>
          <w:szCs w:val="16"/>
        </w:rPr>
        <w:softHyphen/>
        <w:t>век, то после реконструкции числен</w:t>
      </w:r>
      <w:r w:rsidRPr="007122AB">
        <w:rPr>
          <w:rFonts w:ascii="Times New Roman" w:hAnsi="Times New Roman"/>
          <w:color w:val="000000" w:themeColor="text1"/>
          <w:sz w:val="16"/>
          <w:szCs w:val="16"/>
        </w:rPr>
        <w:softHyphen/>
        <w:t>ность персонала возросла до 10 000 работников. Завод нуждался в сотнях токарей, фрезеровщиков, шлифовщи</w:t>
      </w:r>
      <w:r w:rsidRPr="007122AB">
        <w:rPr>
          <w:rFonts w:ascii="Times New Roman" w:hAnsi="Times New Roman"/>
          <w:color w:val="000000" w:themeColor="text1"/>
          <w:sz w:val="16"/>
          <w:szCs w:val="16"/>
        </w:rPr>
        <w:softHyphen/>
        <w:t>ков, литейщиков и т.п. Единственным способом получения таких работников был длительный, сопряженный с огром</w:t>
      </w:r>
      <w:r w:rsidRPr="007122AB">
        <w:rPr>
          <w:rFonts w:ascii="Times New Roman" w:hAnsi="Times New Roman"/>
          <w:color w:val="000000" w:themeColor="text1"/>
          <w:sz w:val="16"/>
          <w:szCs w:val="16"/>
        </w:rPr>
        <w:softHyphen/>
        <w:t>ными затратами времени и средств, про</w:t>
      </w:r>
      <w:r w:rsidRPr="007122AB">
        <w:rPr>
          <w:rFonts w:ascii="Times New Roman" w:hAnsi="Times New Roman"/>
          <w:color w:val="000000" w:themeColor="text1"/>
          <w:sz w:val="16"/>
          <w:szCs w:val="16"/>
        </w:rPr>
        <w:softHyphen/>
        <w:t>цесс подготовки молодежи в фабрич</w:t>
      </w:r>
      <w:r w:rsidRPr="007122AB">
        <w:rPr>
          <w:rFonts w:ascii="Times New Roman" w:hAnsi="Times New Roman"/>
          <w:color w:val="000000" w:themeColor="text1"/>
          <w:sz w:val="16"/>
          <w:szCs w:val="16"/>
        </w:rPr>
        <w:softHyphen/>
        <w:t>но-заводских училищах.</w:t>
      </w:r>
    </w:p>
    <w:p w14:paraId="516376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Поскольку новые корпуса еще только строились, пришлось первые мощные советские моторы изготавли</w:t>
      </w:r>
      <w:r w:rsidRPr="007122AB">
        <w:rPr>
          <w:rFonts w:ascii="Times New Roman" w:hAnsi="Times New Roman"/>
          <w:color w:val="000000" w:themeColor="text1"/>
          <w:sz w:val="16"/>
          <w:szCs w:val="16"/>
        </w:rPr>
        <w:softHyphen/>
        <w:t>вать и собирать в старых цехах. Дви</w:t>
      </w:r>
      <w:r w:rsidRPr="007122AB">
        <w:rPr>
          <w:rFonts w:ascii="Times New Roman" w:hAnsi="Times New Roman"/>
          <w:color w:val="000000" w:themeColor="text1"/>
          <w:sz w:val="16"/>
          <w:szCs w:val="16"/>
        </w:rPr>
        <w:softHyphen/>
        <w:t>гатели, изготовленные на заводе № 24, было решено поставить на испытания и обязательно запустить к 1 мая 1932 г. Работникам завода пришлось при</w:t>
      </w:r>
      <w:r w:rsidRPr="007122AB">
        <w:rPr>
          <w:rFonts w:ascii="Times New Roman" w:hAnsi="Times New Roman"/>
          <w:color w:val="000000" w:themeColor="text1"/>
          <w:sz w:val="16"/>
          <w:szCs w:val="16"/>
        </w:rPr>
        <w:softHyphen/>
        <w:t>ложить все силы, чтобы в срок выпол</w:t>
      </w:r>
      <w:r w:rsidRPr="007122AB">
        <w:rPr>
          <w:rFonts w:ascii="Times New Roman" w:hAnsi="Times New Roman"/>
          <w:color w:val="000000" w:themeColor="text1"/>
          <w:sz w:val="16"/>
          <w:szCs w:val="16"/>
        </w:rPr>
        <w:softHyphen/>
        <w:t>нить это задание. Рано утром, когда праздничная колонна заводских ра</w:t>
      </w:r>
      <w:r w:rsidRPr="007122AB">
        <w:rPr>
          <w:rFonts w:ascii="Times New Roman" w:hAnsi="Times New Roman"/>
          <w:color w:val="000000" w:themeColor="text1"/>
          <w:sz w:val="16"/>
          <w:szCs w:val="16"/>
        </w:rPr>
        <w:softHyphen/>
        <w:t>ботников уже стала покидать терри</w:t>
      </w:r>
      <w:r w:rsidRPr="007122AB">
        <w:rPr>
          <w:rFonts w:ascii="Times New Roman" w:hAnsi="Times New Roman"/>
          <w:color w:val="000000" w:themeColor="text1"/>
          <w:sz w:val="16"/>
          <w:szCs w:val="16"/>
        </w:rPr>
        <w:softHyphen/>
        <w:t>торию завода, раздался рев авиамото</w:t>
      </w:r>
      <w:r w:rsidRPr="007122AB">
        <w:rPr>
          <w:rFonts w:ascii="Times New Roman" w:hAnsi="Times New Roman"/>
          <w:color w:val="000000" w:themeColor="text1"/>
          <w:sz w:val="16"/>
          <w:szCs w:val="16"/>
        </w:rPr>
        <w:softHyphen/>
        <w:t>ра - так заявил о своем рождении но</w:t>
      </w:r>
      <w:r w:rsidRPr="007122AB">
        <w:rPr>
          <w:rFonts w:ascii="Times New Roman" w:hAnsi="Times New Roman"/>
          <w:color w:val="000000" w:themeColor="text1"/>
          <w:sz w:val="16"/>
          <w:szCs w:val="16"/>
        </w:rPr>
        <w:softHyphen/>
        <w:t>вый двигатель. Постановлением Пре</w:t>
      </w:r>
      <w:r w:rsidRPr="007122AB">
        <w:rPr>
          <w:rFonts w:ascii="Times New Roman" w:hAnsi="Times New Roman"/>
          <w:color w:val="000000" w:themeColor="text1"/>
          <w:sz w:val="16"/>
          <w:szCs w:val="16"/>
        </w:rPr>
        <w:softHyphen/>
        <w:t>зидиума ЦИК СССР от 21 февраля 1933 г. «за ценные изобретения и конструк</w:t>
      </w:r>
      <w:r w:rsidRPr="007122AB">
        <w:rPr>
          <w:rFonts w:ascii="Times New Roman" w:hAnsi="Times New Roman"/>
          <w:color w:val="000000" w:themeColor="text1"/>
          <w:sz w:val="16"/>
          <w:szCs w:val="16"/>
        </w:rPr>
        <w:softHyphen/>
        <w:t>ции в технике РККА» А.А. Микулин был награжден орденом Красной Звезды (11156).</w:t>
      </w:r>
    </w:p>
    <w:p w14:paraId="6FCD989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340A7" w14:textId="77777777" w:rsidR="000924C2" w:rsidRPr="007122AB" w:rsidRDefault="000924C2"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1931 - начале 1932 гг. мотор М-34 был передан в серийное производство на московский завод № 24. Для расширения производства потребовалась коренная реконструкция предприятия. На стройке многие тысячи людей работали в три смены. Если до реконструкции завода на двух территориях работало около тысячи человек, то после реконструкции численность персонала возросла до 10 000 работников. Завод нуждался в сотнях токарей, фрезеровщиков, шлифовщиков, литейщиков и т.п. Единственным способом получения таких работников был длительный, сопряженный с огромными затратами времени и средств, процесс подготовки молодежи в фабрично-заводских училищах. Поскольку новые корпуса еще только строились, пришлось первые мощные советские моторы изготавливать и собирать в старых цехах. Двигатели, изготовленные на заводе № 24, было решено поставить на испытания и обязательно запустить к 1 мая 1932 г. Работникам завода пришлось приложить все силы, чтобы в срок выполнить это задание. Рано утром, когда праздничная колонна заводских работников уже стала покидать территорию завода, раздался рев авиамотора - так заявил о своем рождении новый двигатель (19015).</w:t>
      </w:r>
    </w:p>
    <w:p w14:paraId="23B42D3F" w14:textId="77777777" w:rsidR="000924C2" w:rsidRPr="007122AB" w:rsidRDefault="000924C2" w:rsidP="007122AB">
      <w:pPr>
        <w:spacing w:after="0" w:line="240" w:lineRule="auto"/>
        <w:jc w:val="both"/>
        <w:rPr>
          <w:rFonts w:ascii="Times New Roman" w:hAnsi="Times New Roman"/>
          <w:color w:val="000000" w:themeColor="text1"/>
          <w:sz w:val="16"/>
          <w:szCs w:val="16"/>
        </w:rPr>
      </w:pPr>
    </w:p>
    <w:p w14:paraId="523896EA"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0025E5B"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5EAB0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1931 - начале 1932 гг. был разработан танк, получивший название Д-38. Ведущим инженером машины был Н. Гуленко. В январе 1932 г. был изготовлен опытный образец,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27862B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основного оружия на машине, согласно техническому проекту, предполагалось установить две пушки: 37-мм танковую и 76,2-мм противоштурмовую пушку «</w:t>
      </w:r>
      <w:proofErr w:type="spellStart"/>
      <w:r w:rsidRPr="007122AB">
        <w:rPr>
          <w:rFonts w:ascii="Times New Roman" w:hAnsi="Times New Roman"/>
          <w:color w:val="000000" w:themeColor="text1"/>
          <w:sz w:val="16"/>
          <w:szCs w:val="16"/>
        </w:rPr>
        <w:t>Гарфорда</w:t>
      </w:r>
      <w:proofErr w:type="spellEnd"/>
      <w:r w:rsidRPr="007122AB">
        <w:rPr>
          <w:rFonts w:ascii="Times New Roman" w:hAnsi="Times New Roman"/>
          <w:color w:val="000000" w:themeColor="text1"/>
          <w:sz w:val="16"/>
          <w:szCs w:val="16"/>
        </w:rPr>
        <w:t xml:space="preserve">».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6141F3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Боекомплект машины состоял из 50 выстрелов к пушке и 2700 патронов к пулемету. 25 марта 1932 году пушка ПС-3, установленная в башне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3A256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27CAFF" w14:textId="77777777" w:rsidR="005C4849" w:rsidRPr="007122AB" w:rsidRDefault="00874B1E"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16A37F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96B2C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Конец 1931 - начало 1932 - первая междугородная экспериментальная передача механического ТВ по кабелю и воздушной бронзовой линии на шлейфе Москва – Бологое - Москва. Корректировка затухания линий в полосе 7000 Гц проводилась с помощью срезывающих контуров (11482).</w:t>
      </w:r>
    </w:p>
    <w:p w14:paraId="3FA9213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41541" w14:textId="7BB0216B" w:rsidR="00FD1BA1" w:rsidRDefault="00FD1BA1" w:rsidP="007122AB">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4F7D68D1" w14:textId="77777777" w:rsidR="00FD1BA1" w:rsidRDefault="00FD1BA1"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192AF8DD" w14:textId="77777777" w:rsidR="00FD1BA1" w:rsidRPr="00441F34" w:rsidRDefault="00FD1BA1" w:rsidP="00FD1BA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ходе зимы 1931/32 г. после первых испытаний вся система СЗ-1 Вахмистрова подверглась значительным дора</w:t>
      </w:r>
      <w:r w:rsidRPr="00441F34">
        <w:rPr>
          <w:rFonts w:ascii="Times New Roman" w:hAnsi="Times New Roman"/>
          <w:color w:val="0070C0"/>
          <w:sz w:val="16"/>
          <w:szCs w:val="16"/>
        </w:rPr>
        <w:softHyphen/>
        <w:t xml:space="preserve">боткам. С помощью инженеров ЦАГИ Петлякова, Беляева, </w:t>
      </w:r>
      <w:proofErr w:type="spellStart"/>
      <w:r w:rsidRPr="00441F34">
        <w:rPr>
          <w:rFonts w:ascii="Times New Roman" w:hAnsi="Times New Roman"/>
          <w:color w:val="0070C0"/>
          <w:sz w:val="16"/>
          <w:szCs w:val="16"/>
        </w:rPr>
        <w:t>Привен</w:t>
      </w:r>
      <w:proofErr w:type="spellEnd"/>
      <w:r w:rsidRPr="00441F34">
        <w:rPr>
          <w:rFonts w:ascii="Times New Roman" w:hAnsi="Times New Roman"/>
          <w:color w:val="0070C0"/>
          <w:sz w:val="16"/>
          <w:szCs w:val="16"/>
        </w:rPr>
        <w:t>, Никитенко и Фомина были прове</w:t>
      </w:r>
      <w:r w:rsidRPr="00441F34">
        <w:rPr>
          <w:rFonts w:ascii="Times New Roman" w:hAnsi="Times New Roman"/>
          <w:color w:val="0070C0"/>
          <w:sz w:val="16"/>
          <w:szCs w:val="16"/>
        </w:rPr>
        <w:softHyphen/>
        <w:t>дены дополнительные расчеты прочности крыла с целью повысить эффективность и надежность рабо</w:t>
      </w:r>
      <w:r w:rsidRPr="00441F34">
        <w:rPr>
          <w:rFonts w:ascii="Times New Roman" w:hAnsi="Times New Roman"/>
          <w:color w:val="0070C0"/>
          <w:sz w:val="16"/>
          <w:szCs w:val="16"/>
        </w:rPr>
        <w:softHyphen/>
        <w:t>ты соединенных самолетов. В последующем для уве</w:t>
      </w:r>
      <w:r w:rsidRPr="00441F34">
        <w:rPr>
          <w:rFonts w:ascii="Times New Roman" w:hAnsi="Times New Roman"/>
          <w:color w:val="0070C0"/>
          <w:sz w:val="16"/>
          <w:szCs w:val="16"/>
        </w:rPr>
        <w:softHyphen/>
        <w:t>личения взлетного веса СЗ-1 на основных стойках шасси ТБ-1 с внешней их стороны оборудовали до</w:t>
      </w:r>
      <w:r w:rsidRPr="00441F34">
        <w:rPr>
          <w:rFonts w:ascii="Times New Roman" w:hAnsi="Times New Roman"/>
          <w:color w:val="0070C0"/>
          <w:sz w:val="16"/>
          <w:szCs w:val="16"/>
        </w:rPr>
        <w:softHyphen/>
        <w:t>полнительную амортизационную стойку от самолета АНТ-9. Лонжерон крыла носителя в районе крепле</w:t>
      </w:r>
      <w:r w:rsidRPr="00441F34">
        <w:rPr>
          <w:rFonts w:ascii="Times New Roman" w:hAnsi="Times New Roman"/>
          <w:color w:val="0070C0"/>
          <w:sz w:val="16"/>
          <w:szCs w:val="16"/>
        </w:rPr>
        <w:softHyphen/>
        <w:t>ния этой стойки усилили дополнительным внутрен</w:t>
      </w:r>
      <w:r w:rsidRPr="00441F34">
        <w:rPr>
          <w:rFonts w:ascii="Times New Roman" w:hAnsi="Times New Roman"/>
          <w:color w:val="0070C0"/>
          <w:sz w:val="16"/>
          <w:szCs w:val="16"/>
        </w:rPr>
        <w:softHyphen/>
        <w:t>ним подкосом. Кроме того, на ТБ-1 установили уве</w:t>
      </w:r>
      <w:r w:rsidRPr="00441F34">
        <w:rPr>
          <w:rFonts w:ascii="Times New Roman" w:hAnsi="Times New Roman"/>
          <w:color w:val="0070C0"/>
          <w:sz w:val="16"/>
          <w:szCs w:val="16"/>
        </w:rPr>
        <w:softHyphen/>
        <w:t>личенные колеса размером 1350х300 мм вместо прежних, размером 1250х250 мм. Одновременно, с учетом первого испытания, доработали замки креп</w:t>
      </w:r>
      <w:r w:rsidRPr="00441F34">
        <w:rPr>
          <w:rFonts w:ascii="Times New Roman" w:hAnsi="Times New Roman"/>
          <w:color w:val="0070C0"/>
          <w:sz w:val="16"/>
          <w:szCs w:val="16"/>
        </w:rPr>
        <w:softHyphen/>
        <w:t>ления И-4 и механизм их расцепления. Третья пира</w:t>
      </w:r>
      <w:r w:rsidRPr="00441F34">
        <w:rPr>
          <w:rFonts w:ascii="Times New Roman" w:hAnsi="Times New Roman"/>
          <w:color w:val="0070C0"/>
          <w:sz w:val="16"/>
          <w:szCs w:val="16"/>
        </w:rPr>
        <w:softHyphen/>
        <w:t>мида, закрепляющая фюзеляж истребителей, теперь шарнирно крепилась на крыле ТБ-1.</w:t>
      </w:r>
    </w:p>
    <w:p w14:paraId="2099EF15" w14:textId="77777777" w:rsidR="00FD1BA1" w:rsidRPr="00441F34" w:rsidRDefault="00FD1BA1" w:rsidP="00FD1BA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открытия замка на фюзеляже пилот истре</w:t>
      </w:r>
      <w:r w:rsidRPr="00441F34">
        <w:rPr>
          <w:rFonts w:ascii="Times New Roman" w:hAnsi="Times New Roman"/>
          <w:color w:val="0070C0"/>
          <w:sz w:val="16"/>
          <w:szCs w:val="16"/>
        </w:rPr>
        <w:softHyphen/>
        <w:t>бителя давал ручку управления от себя, задняя пира</w:t>
      </w:r>
      <w:r w:rsidRPr="00441F34">
        <w:rPr>
          <w:rFonts w:ascii="Times New Roman" w:hAnsi="Times New Roman"/>
          <w:color w:val="0070C0"/>
          <w:sz w:val="16"/>
          <w:szCs w:val="16"/>
        </w:rPr>
        <w:softHyphen/>
        <w:t>мида окончательно освобождалась и откидывалась назад. Затем следовало движение ручки управления на себя, передние замки выходили из фасонного за</w:t>
      </w:r>
      <w:r w:rsidRPr="00441F34">
        <w:rPr>
          <w:rFonts w:ascii="Times New Roman" w:hAnsi="Times New Roman"/>
          <w:color w:val="0070C0"/>
          <w:sz w:val="16"/>
          <w:szCs w:val="16"/>
        </w:rPr>
        <w:softHyphen/>
        <w:t>цепления, и самолет отрывался от крыла ТБ-1.</w:t>
      </w:r>
    </w:p>
    <w:p w14:paraId="4C75C654" w14:textId="77777777" w:rsidR="00FD1BA1" w:rsidRPr="00441F34" w:rsidRDefault="00FD1BA1" w:rsidP="00FD1BA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Для увеличения дальности полета «самолета-звена» в бомбоотсеке ТБ-1 установили дополнительные топливные баки (два по 450 л, два по 140 л и еще два запасных бачка на 65 литров), объединенные с ос</w:t>
      </w:r>
      <w:r w:rsidRPr="00441F34">
        <w:rPr>
          <w:rFonts w:ascii="Times New Roman" w:hAnsi="Times New Roman"/>
          <w:color w:val="0070C0"/>
          <w:sz w:val="16"/>
          <w:szCs w:val="16"/>
        </w:rPr>
        <w:softHyphen/>
        <w:t>тальным запасом горючего в единую магистраль. Из этой общей системы были проведены бензопроводы питающие истребители. По мере расходования на них топлива из бортового бака бортмеханик самоле</w:t>
      </w:r>
      <w:r w:rsidRPr="00441F34">
        <w:rPr>
          <w:rFonts w:ascii="Times New Roman" w:hAnsi="Times New Roman"/>
          <w:color w:val="0070C0"/>
          <w:sz w:val="16"/>
          <w:szCs w:val="16"/>
        </w:rPr>
        <w:softHyphen/>
        <w:t>та-носителя насосом подкачивал бензин в баки И-4. Кроме того, И-4 оборудовали двумя дополнительны</w:t>
      </w:r>
      <w:r w:rsidRPr="00441F34">
        <w:rPr>
          <w:rFonts w:ascii="Times New Roman" w:hAnsi="Times New Roman"/>
          <w:color w:val="0070C0"/>
          <w:sz w:val="16"/>
          <w:szCs w:val="16"/>
        </w:rPr>
        <w:softHyphen/>
        <w:t>ми масляными баками по 12,5 л и указателем уровня топлива.</w:t>
      </w:r>
    </w:p>
    <w:p w14:paraId="5D466C37" w14:textId="77777777" w:rsidR="00FD1BA1" w:rsidRPr="00441F34" w:rsidRDefault="00FD1BA1" w:rsidP="00FD1BA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перечисленных доработок вес пустого ТБ-1 составил 4602 кг. По сравнению со стандартным ТБ-1, вес пустого самолета увеличился на 177 кг. Увеличение веса за счет установки пирамид крепле</w:t>
      </w:r>
      <w:r w:rsidRPr="00441F34">
        <w:rPr>
          <w:rFonts w:ascii="Times New Roman" w:hAnsi="Times New Roman"/>
          <w:color w:val="0070C0"/>
          <w:sz w:val="16"/>
          <w:szCs w:val="16"/>
        </w:rPr>
        <w:softHyphen/>
        <w:t>ния истребителей, дополнительных баков и усиления шасси составило 245 кг, однако это значение удалось уменьшить на 68 кг за счет снятия кассетных бомбо</w:t>
      </w:r>
      <w:r w:rsidRPr="00441F34">
        <w:rPr>
          <w:rFonts w:ascii="Times New Roman" w:hAnsi="Times New Roman"/>
          <w:color w:val="0070C0"/>
          <w:sz w:val="16"/>
          <w:szCs w:val="16"/>
        </w:rPr>
        <w:softHyphen/>
        <w:t>держателей Дер-9. Вес каждого пустого И-4 умень</w:t>
      </w:r>
      <w:r w:rsidRPr="00441F34">
        <w:rPr>
          <w:rFonts w:ascii="Times New Roman" w:hAnsi="Times New Roman"/>
          <w:color w:val="0070C0"/>
          <w:sz w:val="16"/>
          <w:szCs w:val="16"/>
        </w:rPr>
        <w:softHyphen/>
        <w:t>шился на 10 кг и составил 965 кг (снятые нижние крылышки дали экономию 20 кг, однако это значение сократилось за счет дополнительных маслобаков и узлов крепления на 10 кг). Нормальный полетный вес СЗ-1 составил 10 500 кг — ТБ-1 с экипажем и за</w:t>
      </w:r>
      <w:r w:rsidRPr="00441F34">
        <w:rPr>
          <w:rFonts w:ascii="Times New Roman" w:hAnsi="Times New Roman"/>
          <w:color w:val="0070C0"/>
          <w:sz w:val="16"/>
          <w:szCs w:val="16"/>
        </w:rPr>
        <w:softHyphen/>
        <w:t>пасом бензина 1625 кг весил 7453 кг, плюс два И-4 со взлетным весом 1518 кг. При максимальном запа</w:t>
      </w:r>
      <w:r w:rsidRPr="00441F34">
        <w:rPr>
          <w:rFonts w:ascii="Times New Roman" w:hAnsi="Times New Roman"/>
          <w:color w:val="0070C0"/>
          <w:sz w:val="16"/>
          <w:szCs w:val="16"/>
        </w:rPr>
        <w:softHyphen/>
        <w:t>се бензина 2625 кг и 1000 кг бомб максимальный по</w:t>
      </w:r>
      <w:r w:rsidRPr="00441F34">
        <w:rPr>
          <w:rFonts w:ascii="Times New Roman" w:hAnsi="Times New Roman"/>
          <w:color w:val="0070C0"/>
          <w:sz w:val="16"/>
          <w:szCs w:val="16"/>
        </w:rPr>
        <w:softHyphen/>
        <w:t>летный вес СЗ-1 составил 12 500 кг (23378).</w:t>
      </w:r>
    </w:p>
    <w:p w14:paraId="71B262CD" w14:textId="77777777" w:rsidR="00FD1BA1" w:rsidRPr="00441F34" w:rsidRDefault="00FD1BA1" w:rsidP="00FD1BA1">
      <w:pPr>
        <w:spacing w:after="0" w:line="240" w:lineRule="auto"/>
        <w:jc w:val="both"/>
        <w:rPr>
          <w:rFonts w:ascii="Times New Roman" w:hAnsi="Times New Roman"/>
          <w:color w:val="0070C0"/>
          <w:sz w:val="16"/>
          <w:szCs w:val="16"/>
        </w:rPr>
      </w:pPr>
    </w:p>
    <w:p w14:paraId="566B8C13" w14:textId="62E03C7D" w:rsidR="00496ABD"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76E999FA" w14:textId="77777777" w:rsidR="00496ABD" w:rsidRPr="007122AB" w:rsidRDefault="00496ABD"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7AC50D4B"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Зимой 1931 - 1932 годов на построенные к тому времени следующие экземпляры ЯГ-10 попробовали установить повышавшие проходимость съемные гусеничные цепи «</w:t>
      </w:r>
      <w:proofErr w:type="spellStart"/>
      <w:r w:rsidRPr="007122AB">
        <w:rPr>
          <w:rFonts w:ascii="Times New Roman" w:hAnsi="Times New Roman"/>
          <w:color w:val="000000" w:themeColor="text1"/>
          <w:sz w:val="16"/>
          <w:szCs w:val="16"/>
        </w:rPr>
        <w:t>Оверол</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Оverall</w:t>
      </w:r>
      <w:proofErr w:type="spellEnd"/>
      <w:r w:rsidRPr="007122AB">
        <w:rPr>
          <w:rFonts w:ascii="Times New Roman" w:hAnsi="Times New Roman"/>
          <w:color w:val="000000" w:themeColor="text1"/>
          <w:sz w:val="16"/>
          <w:szCs w:val="16"/>
        </w:rPr>
        <w:t>) (12201).</w:t>
      </w:r>
    </w:p>
    <w:p w14:paraId="749BF1A6" w14:textId="77777777" w:rsidR="00496ABD" w:rsidRPr="007122AB" w:rsidRDefault="00496ABD" w:rsidP="007122AB">
      <w:pPr>
        <w:spacing w:after="0" w:line="240" w:lineRule="auto"/>
        <w:jc w:val="both"/>
        <w:rPr>
          <w:rFonts w:ascii="Times New Roman" w:hAnsi="Times New Roman"/>
          <w:color w:val="000000" w:themeColor="text1"/>
          <w:sz w:val="16"/>
          <w:szCs w:val="16"/>
        </w:rPr>
      </w:pPr>
    </w:p>
    <w:p w14:paraId="1D9273C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16715B1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5C12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 второй половине 1931 года относится первое упоминание о самолете, ставшем впоследствии известным как бомбардировщик Пе-8. Определенные успехи в деле создания отечественных мощных авиадвигателей уже тогда позволили командованию ВВС Красной Армии задуматься о новом бомбардировщике с более высокими летными данными, чем только что запушенный в серийное производство ТБ-3. Полетная скорость последнего в пределах 200 км/ч и рабочие высоты, не превышающие пяти километров, казались уже пройденным этапом - технический прогресс требовал достижения более высоких показателей. Основные надежды при этом связывалась с новым авиадвигателем М-34 мощностью 850 </w:t>
      </w:r>
      <w:proofErr w:type="spellStart"/>
      <w:r w:rsidRPr="007122AB">
        <w:rPr>
          <w:rFonts w:ascii="Times New Roman" w:hAnsi="Times New Roman"/>
          <w:color w:val="000000" w:themeColor="text1"/>
          <w:sz w:val="16"/>
          <w:szCs w:val="16"/>
        </w:rPr>
        <w:t>л.е</w:t>
      </w:r>
      <w:proofErr w:type="spellEnd"/>
      <w:r w:rsidRPr="007122AB">
        <w:rPr>
          <w:rFonts w:ascii="Times New Roman" w:hAnsi="Times New Roman"/>
          <w:color w:val="000000" w:themeColor="text1"/>
          <w:sz w:val="16"/>
          <w:szCs w:val="16"/>
        </w:rPr>
        <w:t>., его государственные испытания закончились к ноябрю 1931 года. Сообразуясь с результатами этих испытаний, а также с вероятностью последующего совершенствования силовой установки, представители ВВС в том же году составили тактико-технические требования к самолету ТБ-7. определяемому как высотный четырехмоторный бомбардировщик, предназначенный для уничтожения стратегических объектов в тылу предполагаемого противника. Кое в чем эти требования военных были явно завышены для той поры (в частности, бомбовая нагрузка 10 тонн), но в основном вполне достижимы: максимальная скорость 250 км/ч, боевая высота 7000 метров, радиус действия до 2000 километров. Впрочем, решение о создании нового четырехмоторного бомбовоза в 1931 г. не состоялось, начало его проектирования отодвинулось на два с лишним года (12025).</w:t>
      </w:r>
    </w:p>
    <w:p w14:paraId="2D0DAA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41FF09"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второй поло</w:t>
      </w:r>
      <w:r w:rsidRPr="007122AB">
        <w:rPr>
          <w:rFonts w:ascii="Times New Roman" w:hAnsi="Times New Roman"/>
          <w:color w:val="000000" w:themeColor="text1"/>
          <w:sz w:val="16"/>
          <w:szCs w:val="16"/>
        </w:rPr>
        <w:softHyphen/>
        <w:t xml:space="preserve">вине 1931 г. ситуация с И-7 складывалась следующим образом: Летающих истребителей этого типа в Союзе имелось три экземпляра. Во-первых, уже в течение двух лет в 15-й авиабригаде </w:t>
      </w:r>
      <w:proofErr w:type="spellStart"/>
      <w:r w:rsidRPr="007122AB">
        <w:rPr>
          <w:rFonts w:ascii="Times New Roman" w:hAnsi="Times New Roman"/>
          <w:color w:val="000000" w:themeColor="text1"/>
          <w:sz w:val="16"/>
          <w:szCs w:val="16"/>
        </w:rPr>
        <w:t>несстроевую</w:t>
      </w:r>
      <w:proofErr w:type="spellEnd"/>
      <w:r w:rsidRPr="007122AB">
        <w:rPr>
          <w:rFonts w:ascii="Times New Roman" w:hAnsi="Times New Roman"/>
          <w:color w:val="000000" w:themeColor="text1"/>
          <w:sz w:val="16"/>
          <w:szCs w:val="16"/>
        </w:rPr>
        <w:t xml:space="preserve"> службу НО-37 №292 немецкой по</w:t>
      </w:r>
      <w:r w:rsidRPr="007122AB">
        <w:rPr>
          <w:rFonts w:ascii="Times New Roman" w:hAnsi="Times New Roman"/>
          <w:color w:val="000000" w:themeColor="text1"/>
          <w:sz w:val="16"/>
          <w:szCs w:val="16"/>
        </w:rPr>
        <w:softHyphen/>
        <w:t>стройки. Самолет находился в личном поль</w:t>
      </w:r>
      <w:r w:rsidRPr="007122AB">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7122AB">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7122AB">
        <w:rPr>
          <w:rFonts w:ascii="Times New Roman" w:hAnsi="Times New Roman"/>
          <w:color w:val="000000" w:themeColor="text1"/>
          <w:sz w:val="16"/>
          <w:szCs w:val="16"/>
        </w:rPr>
        <w:softHyphen/>
        <w:t>рвюры центроплана по сварке.</w:t>
      </w:r>
    </w:p>
    <w:p w14:paraId="7EE199DD"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Добавим, что в 9-й эскадрилье 15-й ави</w:t>
      </w:r>
      <w:r w:rsidRPr="007122AB">
        <w:rPr>
          <w:rFonts w:ascii="Times New Roman" w:hAnsi="Times New Roman"/>
          <w:color w:val="000000" w:themeColor="text1"/>
          <w:sz w:val="16"/>
          <w:szCs w:val="16"/>
        </w:rPr>
        <w:softHyphen/>
        <w:t>абригады в этот период числился и НО-43 №327.</w:t>
      </w:r>
    </w:p>
    <w:p w14:paraId="2FD8A9D3"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7122AB">
        <w:rPr>
          <w:rFonts w:ascii="Times New Roman" w:hAnsi="Times New Roman"/>
          <w:color w:val="000000" w:themeColor="text1"/>
          <w:sz w:val="16"/>
          <w:szCs w:val="16"/>
        </w:rPr>
        <w:softHyphen/>
        <w:t>можно сохранялся про запас.</w:t>
      </w:r>
    </w:p>
    <w:p w14:paraId="25F7D327"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с продолжением серийного производст</w:t>
      </w:r>
      <w:r w:rsidRPr="007122AB">
        <w:rPr>
          <w:rFonts w:ascii="Times New Roman" w:hAnsi="Times New Roman"/>
          <w:color w:val="000000" w:themeColor="text1"/>
          <w:sz w:val="16"/>
          <w:szCs w:val="16"/>
        </w:rPr>
        <w:softHyphen/>
        <w:t>ва вышла заминка. На авиазаводе №1 в те</w:t>
      </w:r>
      <w:r w:rsidRPr="007122AB">
        <w:rPr>
          <w:rFonts w:ascii="Times New Roman" w:hAnsi="Times New Roman"/>
          <w:color w:val="000000" w:themeColor="text1"/>
          <w:sz w:val="16"/>
          <w:szCs w:val="16"/>
        </w:rPr>
        <w:softHyphen/>
        <w:t>чение года развернули серийное изготовле</w:t>
      </w:r>
      <w:r w:rsidRPr="007122AB">
        <w:rPr>
          <w:rFonts w:ascii="Times New Roman" w:hAnsi="Times New Roman"/>
          <w:color w:val="000000" w:themeColor="text1"/>
          <w:sz w:val="16"/>
          <w:szCs w:val="16"/>
        </w:rPr>
        <w:softHyphen/>
        <w:t>ние отечественных истребителей И-5, ко</w:t>
      </w:r>
      <w:r w:rsidRPr="007122AB">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7122AB">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7122AB">
        <w:rPr>
          <w:rFonts w:ascii="Times New Roman" w:hAnsi="Times New Roman"/>
          <w:color w:val="000000" w:themeColor="text1"/>
          <w:sz w:val="16"/>
          <w:szCs w:val="16"/>
        </w:rPr>
        <w:softHyphen/>
        <w:t>тому до конца 1931 года И-7 не строили. Бо</w:t>
      </w:r>
      <w:r w:rsidRPr="007122AB">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7122AB">
        <w:rPr>
          <w:rFonts w:ascii="Times New Roman" w:hAnsi="Times New Roman"/>
          <w:color w:val="000000" w:themeColor="text1"/>
          <w:sz w:val="16"/>
          <w:szCs w:val="16"/>
        </w:rPr>
        <w:softHyphen/>
        <w:t>заводе №1, так как производство И-5 пере</w:t>
      </w:r>
      <w:r w:rsidRPr="007122AB">
        <w:rPr>
          <w:rFonts w:ascii="Times New Roman" w:hAnsi="Times New Roman"/>
          <w:color w:val="000000" w:themeColor="text1"/>
          <w:sz w:val="16"/>
          <w:szCs w:val="16"/>
        </w:rPr>
        <w:softHyphen/>
        <w:t>несли на авиационный завод №21 в Нижний Новгород (12295).</w:t>
      </w:r>
    </w:p>
    <w:p w14:paraId="2F6C4E4B" w14:textId="77777777" w:rsidR="00496ABD" w:rsidRPr="007122AB" w:rsidRDefault="00496ABD" w:rsidP="007122AB">
      <w:pPr>
        <w:spacing w:after="0" w:line="240" w:lineRule="auto"/>
        <w:jc w:val="both"/>
        <w:rPr>
          <w:rFonts w:ascii="Times New Roman" w:hAnsi="Times New Roman"/>
          <w:color w:val="000000" w:themeColor="text1"/>
          <w:sz w:val="16"/>
          <w:szCs w:val="16"/>
        </w:rPr>
      </w:pPr>
    </w:p>
    <w:p w14:paraId="0326D230" w14:textId="77777777" w:rsidR="005B22CE" w:rsidRPr="007122AB" w:rsidRDefault="005B22CE"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 xml:space="preserve">Во второй половине 1931 года начались работы по разборке и перевозке эллингов из </w:t>
      </w:r>
      <w:proofErr w:type="spellStart"/>
      <w:r w:rsidRPr="007122AB">
        <w:rPr>
          <w:rFonts w:ascii="Times New Roman" w:hAnsi="Times New Roman"/>
          <w:color w:val="000000" w:themeColor="text1"/>
          <w:sz w:val="16"/>
          <w:szCs w:val="16"/>
          <w:lang w:eastAsia="ru-RU" w:bidi="ru-RU"/>
        </w:rPr>
        <w:t>Сализей</w:t>
      </w:r>
      <w:proofErr w:type="spellEnd"/>
      <w:r w:rsidRPr="007122AB">
        <w:rPr>
          <w:rFonts w:ascii="Times New Roman" w:hAnsi="Times New Roman"/>
          <w:color w:val="000000" w:themeColor="text1"/>
          <w:sz w:val="16"/>
          <w:szCs w:val="16"/>
          <w:lang w:eastAsia="ru-RU" w:bidi="ru-RU"/>
        </w:rPr>
        <w:t xml:space="preserve"> и Бердичева.</w:t>
      </w:r>
    </w:p>
    <w:p w14:paraId="035A20E8" w14:textId="77777777" w:rsidR="005B22CE" w:rsidRPr="007122AB" w:rsidRDefault="005B22C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На </w:t>
      </w:r>
      <w:proofErr w:type="spellStart"/>
      <w:r w:rsidRPr="007122AB">
        <w:rPr>
          <w:rFonts w:ascii="Times New Roman" w:hAnsi="Times New Roman"/>
          <w:color w:val="000000" w:themeColor="text1"/>
          <w:sz w:val="16"/>
          <w:szCs w:val="16"/>
          <w:lang w:eastAsia="ru-RU" w:bidi="ru-RU"/>
        </w:rPr>
        <w:t>Долгопрудной</w:t>
      </w:r>
      <w:proofErr w:type="spellEnd"/>
      <w:r w:rsidRPr="007122AB">
        <w:rPr>
          <w:rFonts w:ascii="Times New Roman" w:hAnsi="Times New Roman"/>
          <w:color w:val="000000" w:themeColor="text1"/>
          <w:sz w:val="16"/>
          <w:szCs w:val="16"/>
          <w:lang w:eastAsia="ru-RU" w:bidi="ru-RU"/>
        </w:rPr>
        <w:t xml:space="preserve"> выпуск дирижаблей больших размеров намечался не раньше 1933 года, на который и запланировали постройку двух эллингов объёмом 350 тыс. кубометров каждый. Сборку первых небольших полужёстких кораблей предполагали вести в двух существующих эллингах, первоначально находившихся в </w:t>
      </w:r>
      <w:proofErr w:type="spellStart"/>
      <w:r w:rsidRPr="007122AB">
        <w:rPr>
          <w:rFonts w:ascii="Times New Roman" w:hAnsi="Times New Roman"/>
          <w:color w:val="000000" w:themeColor="text1"/>
          <w:sz w:val="16"/>
          <w:szCs w:val="16"/>
          <w:lang w:eastAsia="ru-RU" w:bidi="ru-RU"/>
        </w:rPr>
        <w:t>Сализи</w:t>
      </w:r>
      <w:proofErr w:type="spellEnd"/>
      <w:r w:rsidRPr="007122AB">
        <w:rPr>
          <w:rFonts w:ascii="Times New Roman" w:hAnsi="Times New Roman"/>
          <w:color w:val="000000" w:themeColor="text1"/>
          <w:sz w:val="16"/>
          <w:szCs w:val="16"/>
          <w:lang w:eastAsia="ru-RU" w:bidi="ru-RU"/>
        </w:rPr>
        <w:t xml:space="preserve"> под Ленинградом и в Бердичеве: их предстояло разобрать и перевезти на </w:t>
      </w:r>
      <w:proofErr w:type="spellStart"/>
      <w:r w:rsidRPr="007122AB">
        <w:rPr>
          <w:rFonts w:ascii="Times New Roman" w:hAnsi="Times New Roman"/>
          <w:color w:val="000000" w:themeColor="text1"/>
          <w:sz w:val="16"/>
          <w:szCs w:val="16"/>
          <w:lang w:eastAsia="ru-RU" w:bidi="ru-RU"/>
        </w:rPr>
        <w:t>Долгопрудную</w:t>
      </w:r>
      <w:proofErr w:type="spellEnd"/>
      <w:r w:rsidRPr="007122AB">
        <w:rPr>
          <w:rFonts w:ascii="Times New Roman" w:hAnsi="Times New Roman"/>
          <w:color w:val="000000" w:themeColor="text1"/>
          <w:sz w:val="16"/>
          <w:szCs w:val="16"/>
          <w:lang w:eastAsia="ru-RU" w:bidi="ru-RU"/>
        </w:rPr>
        <w:t>. Оба строения, доставшиеся в наследство ещё от царской России, прежде служили для размещения русских дирижаблей, а в начале 1930-х годов использовались военным ведомством в качестве складов.</w:t>
      </w:r>
    </w:p>
    <w:p w14:paraId="33AD10DE" w14:textId="77777777" w:rsidR="005B22CE" w:rsidRPr="007122AB" w:rsidRDefault="005B22C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Бердичевский эллинг построили до Первой мировой войны. Рассказывают, что его стальные опорные фермы изготовили в Германии на заводах Круппа. Дефицитный металл понемногу шёл в дело, и к моменту, когда эллинг понадобился </w:t>
      </w:r>
      <w:proofErr w:type="spellStart"/>
      <w:r w:rsidRPr="007122AB">
        <w:rPr>
          <w:rFonts w:ascii="Times New Roman" w:hAnsi="Times New Roman"/>
          <w:color w:val="000000" w:themeColor="text1"/>
          <w:sz w:val="16"/>
          <w:szCs w:val="16"/>
          <w:lang w:eastAsia="ru-RU" w:bidi="ru-RU"/>
        </w:rPr>
        <w:t>Дирижаблестрою</w:t>
      </w:r>
      <w:proofErr w:type="spellEnd"/>
      <w:r w:rsidRPr="007122AB">
        <w:rPr>
          <w:rFonts w:ascii="Times New Roman" w:hAnsi="Times New Roman"/>
          <w:color w:val="000000" w:themeColor="text1"/>
          <w:sz w:val="16"/>
          <w:szCs w:val="16"/>
          <w:lang w:eastAsia="ru-RU" w:bidi="ru-RU"/>
        </w:rPr>
        <w:t>, он оказался с обеих сторон основательно укорочен: от первоначальных 180 метров длины осталось 100.</w:t>
      </w:r>
    </w:p>
    <w:p w14:paraId="116CE20B" w14:textId="77777777" w:rsidR="005B22CE" w:rsidRPr="007122AB" w:rsidRDefault="005B22C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Воздвигнуть эллинг на новом месте и ввести его в строй сначала планировали к 1 августа 1932 года, но вскоре срок отодвинули на 15 декабря. Для хранения трёх мягких дирижаблей, изготовленных в первой половине года, пришлось здесь же на площадке построить небольшой временный деревянный эллинг, однако он был слишком мал для корабля 18500, расчётная длина которого составляла около 105 метров.</w:t>
      </w:r>
    </w:p>
    <w:p w14:paraId="19287C94" w14:textId="1474F9EF" w:rsidR="005B22CE" w:rsidRPr="007122AB" w:rsidRDefault="005B22C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lang w:eastAsia="ru-RU" w:bidi="ru-RU"/>
        </w:rPr>
        <w:t xml:space="preserve">По мере приближения к концу 1932 года становилось ясно, что и новый срок сдачи эллинга выдержать не удастся. В нём, как в капле воды, отражались проблемы, общие для всего строительства базы на </w:t>
      </w:r>
      <w:proofErr w:type="spellStart"/>
      <w:r w:rsidRPr="007122AB">
        <w:rPr>
          <w:rFonts w:ascii="Times New Roman" w:hAnsi="Times New Roman"/>
          <w:color w:val="000000" w:themeColor="text1"/>
          <w:sz w:val="16"/>
          <w:szCs w:val="16"/>
          <w:lang w:eastAsia="ru-RU" w:bidi="ru-RU"/>
        </w:rPr>
        <w:t>Долгопрудной</w:t>
      </w:r>
      <w:proofErr w:type="spellEnd"/>
      <w:r w:rsidRPr="007122AB">
        <w:rPr>
          <w:rFonts w:ascii="Times New Roman" w:hAnsi="Times New Roman"/>
          <w:color w:val="000000" w:themeColor="text1"/>
          <w:sz w:val="16"/>
          <w:szCs w:val="16"/>
          <w:lang w:eastAsia="ru-RU" w:bidi="ru-RU"/>
        </w:rPr>
        <w:t>. Подводили подрядчики: как и большинство строительных организаций, они работали с весьма невысоким качеством, с трудом согласовывали друг с другом планы и графики. Колоссальный размах индустриализации в стране привёл к дефициту сырья и материалов - крупные стройки нуждались во всём, от цемента и кирпича до болтов и заклёпок. В полуофициальном порядке практиковался бартерный обмен. Как и в гораздо более поздние времена, ценились снабженцы, умевшие договориться, достать, добыть. Но никакие ухищрения не помогали, когда речь шла о таких вещах, как сортовой и листовой прокат, кровельное железо: их буквально по тоннам распределял Совет труда и обороны (23192).</w:t>
      </w:r>
    </w:p>
    <w:p w14:paraId="413FFAEB" w14:textId="77777777" w:rsidR="005B22CE" w:rsidRPr="007122AB" w:rsidRDefault="005B22CE" w:rsidP="007122AB">
      <w:pPr>
        <w:spacing w:after="0" w:line="240" w:lineRule="auto"/>
        <w:jc w:val="both"/>
        <w:rPr>
          <w:rFonts w:ascii="Times New Roman" w:hAnsi="Times New Roman"/>
          <w:color w:val="000000" w:themeColor="text1"/>
          <w:sz w:val="16"/>
          <w:szCs w:val="16"/>
        </w:rPr>
      </w:pPr>
    </w:p>
    <w:p w14:paraId="690465E4"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68C5C31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D9BB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Во второй половине 1931 года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прошли испытания первые семь модернизированных 6/45-дюймовых установок с увеличением угла вертикального наведения до +60. Фактические углы вертикального наведения были в среднем 0; +60. Длина отката при +1 265 мм, при +60 320 мм. По крайней мере одно орудие (№ 12377) на установке № 2 имело дульный тормоз (3861).</w:t>
      </w:r>
    </w:p>
    <w:p w14:paraId="0D0079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C3C9DCB" w14:textId="77777777" w:rsidR="00815915" w:rsidRPr="007122AB" w:rsidRDefault="00815915"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7C7E466A" w14:textId="77777777" w:rsidR="00815915" w:rsidRPr="007122AB" w:rsidRDefault="00815915"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5E0405" w14:textId="77777777" w:rsidR="00815915" w:rsidRPr="007122AB" w:rsidRDefault="008159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ходе зимы 1931-32 гг. вся система СЗ-1 подверглась значительным доработкам. С помощью инженеров ЦАГИ Петлякова, Беляева, </w:t>
      </w:r>
      <w:proofErr w:type="spellStart"/>
      <w:r w:rsidRPr="007122AB">
        <w:rPr>
          <w:rFonts w:ascii="Times New Roman" w:hAnsi="Times New Roman"/>
          <w:color w:val="000000" w:themeColor="text1"/>
          <w:sz w:val="16"/>
          <w:szCs w:val="16"/>
        </w:rPr>
        <w:t>Привен</w:t>
      </w:r>
      <w:proofErr w:type="spellEnd"/>
      <w:r w:rsidRPr="007122AB">
        <w:rPr>
          <w:rFonts w:ascii="Times New Roman" w:hAnsi="Times New Roman"/>
          <w:color w:val="000000" w:themeColor="text1"/>
          <w:sz w:val="16"/>
          <w:szCs w:val="16"/>
        </w:rPr>
        <w:t>, Никитенко и Фомина были проведены дополнительные расчеты прочности крыла с целью повысить эффективность и надежность работы соединенных самолетов. В последу</w:t>
      </w:r>
      <w:r w:rsidRPr="007122AB">
        <w:rPr>
          <w:rFonts w:ascii="Times New Roman" w:hAnsi="Times New Roman"/>
          <w:color w:val="000000" w:themeColor="text1"/>
          <w:sz w:val="16"/>
          <w:szCs w:val="16"/>
        </w:rPr>
        <w:softHyphen/>
        <w:t>ющем для увеличения взлетного веса СЗ-1 на основных стойках шасси ТБ-1 с внешней стороны установили допол</w:t>
      </w:r>
      <w:r w:rsidRPr="007122AB">
        <w:rPr>
          <w:rFonts w:ascii="Times New Roman" w:hAnsi="Times New Roman"/>
          <w:color w:val="000000" w:themeColor="text1"/>
          <w:sz w:val="16"/>
          <w:szCs w:val="16"/>
        </w:rPr>
        <w:softHyphen/>
        <w:t>нительную амортизационную стойку от самолета АНТ-9. Лонжерон крыла носителя в районе ее крепления усили</w:t>
      </w:r>
      <w:r w:rsidRPr="007122AB">
        <w:rPr>
          <w:rFonts w:ascii="Times New Roman" w:hAnsi="Times New Roman"/>
          <w:color w:val="000000" w:themeColor="text1"/>
          <w:sz w:val="16"/>
          <w:szCs w:val="16"/>
        </w:rPr>
        <w:softHyphen/>
        <w:t>ли дополнительным внутренним подкосом. Кроме того, на ТБ-1 установили увеличенные колеса размером 1350х300 мм вместо прежних (1250х250 мм). Одновременно, с учетом первого испытания, доработали замки крепления И-4 и ме</w:t>
      </w:r>
      <w:r w:rsidRPr="007122AB">
        <w:rPr>
          <w:rFonts w:ascii="Times New Roman" w:hAnsi="Times New Roman"/>
          <w:color w:val="000000" w:themeColor="text1"/>
          <w:sz w:val="16"/>
          <w:szCs w:val="16"/>
        </w:rPr>
        <w:softHyphen/>
        <w:t>ханизм их расцепления. Третья пирамида, закрепляющая фюзеляж истребителей, теперь шарнирно крепилась на крыле ТБ-1.</w:t>
      </w:r>
    </w:p>
    <w:p w14:paraId="13CD0D06" w14:textId="77777777" w:rsidR="00815915" w:rsidRPr="007122AB" w:rsidRDefault="008159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открытия замка на фюзеляже пилот истребителя давал ручку управления от себя, задняя пирамида оконча</w:t>
      </w:r>
      <w:r w:rsidRPr="007122AB">
        <w:rPr>
          <w:rFonts w:ascii="Times New Roman" w:hAnsi="Times New Roman"/>
          <w:color w:val="000000" w:themeColor="text1"/>
          <w:sz w:val="16"/>
          <w:szCs w:val="16"/>
        </w:rPr>
        <w:softHyphen/>
        <w:t>тельно освобождалась и откидывалась назад. Затем сле</w:t>
      </w:r>
      <w:r w:rsidRPr="007122AB">
        <w:rPr>
          <w:rFonts w:ascii="Times New Roman" w:hAnsi="Times New Roman"/>
          <w:color w:val="000000" w:themeColor="text1"/>
          <w:sz w:val="16"/>
          <w:szCs w:val="16"/>
        </w:rPr>
        <w:softHyphen/>
        <w:t>довало движение ручки управления на себя, передние замки выходили из фасонного зацепления, и самолет от</w:t>
      </w:r>
      <w:r w:rsidRPr="007122AB">
        <w:rPr>
          <w:rFonts w:ascii="Times New Roman" w:hAnsi="Times New Roman"/>
          <w:color w:val="000000" w:themeColor="text1"/>
          <w:sz w:val="16"/>
          <w:szCs w:val="16"/>
        </w:rPr>
        <w:softHyphen/>
        <w:t>рывался от крыла ТБ-1.</w:t>
      </w:r>
    </w:p>
    <w:p w14:paraId="3C7948D7" w14:textId="77777777" w:rsidR="00815915" w:rsidRPr="007122AB" w:rsidRDefault="008159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увеличения дальности полета «самолета-звена» в бомбоотсеке ТБ-1 установили дополнительные топлив</w:t>
      </w:r>
      <w:r w:rsidRPr="007122AB">
        <w:rPr>
          <w:rFonts w:ascii="Times New Roman" w:hAnsi="Times New Roman"/>
          <w:color w:val="000000" w:themeColor="text1"/>
          <w:sz w:val="16"/>
          <w:szCs w:val="16"/>
        </w:rPr>
        <w:softHyphen/>
        <w:t>ные баки (два по 450 л, два по 140 л и еще два запасных бачка на 65 литров), объединенные с общей топливной системой. Из этой общей системы были проведены бен</w:t>
      </w:r>
      <w:r w:rsidRPr="007122AB">
        <w:rPr>
          <w:rFonts w:ascii="Times New Roman" w:hAnsi="Times New Roman"/>
          <w:color w:val="000000" w:themeColor="text1"/>
          <w:sz w:val="16"/>
          <w:szCs w:val="16"/>
        </w:rPr>
        <w:softHyphen/>
        <w:t>зопроводы, питающие истребители. По мере расходова</w:t>
      </w:r>
      <w:r w:rsidRPr="007122AB">
        <w:rPr>
          <w:rFonts w:ascii="Times New Roman" w:hAnsi="Times New Roman"/>
          <w:color w:val="000000" w:themeColor="text1"/>
          <w:sz w:val="16"/>
          <w:szCs w:val="16"/>
        </w:rPr>
        <w:softHyphen/>
        <w:t>ния ими топлива из собственных баков, бортмеханик самолета-носителя насосом подкачивал бензин в баки И-4. Кроме того, И-4 оборудовали двумя дополнительными мас</w:t>
      </w:r>
      <w:r w:rsidRPr="007122AB">
        <w:rPr>
          <w:rFonts w:ascii="Times New Roman" w:hAnsi="Times New Roman"/>
          <w:color w:val="000000" w:themeColor="text1"/>
          <w:sz w:val="16"/>
          <w:szCs w:val="16"/>
        </w:rPr>
        <w:softHyphen/>
        <w:t>ляными баками по 12,5 л и указателем уровня топлива.</w:t>
      </w:r>
    </w:p>
    <w:p w14:paraId="13EC39A6" w14:textId="77777777" w:rsidR="00815915" w:rsidRPr="007122AB" w:rsidRDefault="00815915"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перечисленных доработок вес пустого ТБ-1 соста</w:t>
      </w:r>
      <w:r w:rsidRPr="007122AB">
        <w:rPr>
          <w:rFonts w:ascii="Times New Roman" w:hAnsi="Times New Roman"/>
          <w:color w:val="000000" w:themeColor="text1"/>
          <w:sz w:val="16"/>
          <w:szCs w:val="16"/>
        </w:rPr>
        <w:softHyphen/>
        <w:t>вил 4602 кг. По сравнению со стандартным ТБ-1, вес пустого самолета увеличился на 177 кг. Увеличение веса за счет установки пирамид крепления истребителей, до</w:t>
      </w:r>
      <w:r w:rsidRPr="007122AB">
        <w:rPr>
          <w:rFonts w:ascii="Times New Roman" w:hAnsi="Times New Roman"/>
          <w:color w:val="000000" w:themeColor="text1"/>
          <w:sz w:val="16"/>
          <w:szCs w:val="16"/>
        </w:rPr>
        <w:softHyphen/>
        <w:t>полнительных баков и усиления шасси составило 245 кг, однако это значение удалось уменьшить на 68 кг за счет снятия кассетных бомбодержателей Дер-9. Вес каждого пустого И-4 уменьшился на 10 кг и составил 965 кг (сня</w:t>
      </w:r>
      <w:r w:rsidRPr="007122AB">
        <w:rPr>
          <w:rFonts w:ascii="Times New Roman" w:hAnsi="Times New Roman"/>
          <w:color w:val="000000" w:themeColor="text1"/>
          <w:sz w:val="16"/>
          <w:szCs w:val="16"/>
        </w:rPr>
        <w:softHyphen/>
        <w:t>тые нижние крылышки дали экономию 20 кг, однако это значение сократилось за счет дополнительных маслобаков и узлов крепления на 10 кг). Нормальный полетный вес СЗ-1 составил 10 500 кг - ТБ-1 с экипажем и запасом бен</w:t>
      </w:r>
      <w:r w:rsidRPr="007122AB">
        <w:rPr>
          <w:rFonts w:ascii="Times New Roman" w:hAnsi="Times New Roman"/>
          <w:color w:val="000000" w:themeColor="text1"/>
          <w:sz w:val="16"/>
          <w:szCs w:val="16"/>
        </w:rPr>
        <w:softHyphen/>
        <w:t>зина 1625 кг весил 7453 кг, плюс два И-4 со взлетным ве</w:t>
      </w:r>
      <w:r w:rsidRPr="007122AB">
        <w:rPr>
          <w:rFonts w:ascii="Times New Roman" w:hAnsi="Times New Roman"/>
          <w:color w:val="000000" w:themeColor="text1"/>
          <w:sz w:val="16"/>
          <w:szCs w:val="16"/>
        </w:rPr>
        <w:softHyphen/>
        <w:t>сом 1518 кг. При максимальном запасе бензина 2625 кг и 1000 кг бомб максимальный полетный вес СЗ-1 составил 12 500 кг (20345).</w:t>
      </w:r>
    </w:p>
    <w:p w14:paraId="686C4B1A" w14:textId="77777777" w:rsidR="00815915" w:rsidRPr="007122AB" w:rsidRDefault="00815915" w:rsidP="007122AB">
      <w:pPr>
        <w:spacing w:after="0" w:line="240" w:lineRule="auto"/>
        <w:jc w:val="both"/>
        <w:rPr>
          <w:rFonts w:ascii="Times New Roman" w:hAnsi="Times New Roman"/>
          <w:color w:val="000000" w:themeColor="text1"/>
          <w:sz w:val="16"/>
          <w:szCs w:val="16"/>
        </w:rPr>
      </w:pPr>
    </w:p>
    <w:p w14:paraId="6644743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6B2C035A"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1590393" w14:textId="77777777" w:rsidR="00CC65A3" w:rsidRPr="007122AB" w:rsidRDefault="00CC65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течение всего 1931 г. планы на штурмовик неоднократно обнародовались. Выпускать его предпола</w:t>
      </w:r>
      <w:r w:rsidRPr="007122AB">
        <w:rPr>
          <w:rFonts w:ascii="Times New Roman" w:hAnsi="Times New Roman"/>
          <w:color w:val="000000" w:themeColor="text1"/>
          <w:sz w:val="16"/>
          <w:szCs w:val="16"/>
        </w:rPr>
        <w:softHyphen/>
        <w:t>галось на авиазаводе №16, строящемся в Сталинграде. Со</w:t>
      </w:r>
      <w:r w:rsidRPr="007122AB">
        <w:rPr>
          <w:rFonts w:ascii="Times New Roman" w:hAnsi="Times New Roman"/>
          <w:color w:val="000000" w:themeColor="text1"/>
          <w:sz w:val="16"/>
          <w:szCs w:val="16"/>
        </w:rPr>
        <w:softHyphen/>
        <w:t>гласно предварительным планам всего в Сталинграде в 1932 г. задумывалось построить 70 ТШ-2. Для этой цели на созданном в конце 1931 г. Бюро внедрения велась подготовка чертежей для серийного производства (20362).</w:t>
      </w:r>
    </w:p>
    <w:p w14:paraId="0EEAEC08" w14:textId="77777777" w:rsidR="00CC65A3" w:rsidRPr="007122AB" w:rsidRDefault="00CC65A3" w:rsidP="007122AB">
      <w:pPr>
        <w:shd w:val="clear" w:color="auto" w:fill="FFFFFF"/>
        <w:spacing w:after="0" w:line="240" w:lineRule="auto"/>
        <w:jc w:val="both"/>
        <w:rPr>
          <w:rFonts w:ascii="Times New Roman" w:hAnsi="Times New Roman"/>
          <w:color w:val="000000" w:themeColor="text1"/>
          <w:sz w:val="16"/>
          <w:szCs w:val="16"/>
        </w:rPr>
      </w:pPr>
    </w:p>
    <w:p w14:paraId="493103D0"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1931 г. ЦКБ-39 выпустило на испытания рекордное число новых типов самолетов – пять:</w:t>
      </w:r>
    </w:p>
    <w:p w14:paraId="786C2F48"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 штурмовики ЛШ (ЦКБ-5), ТШ-1 (ЦКБ-6), ТШ-2 (ЦКБ-21), ШОН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w:t>
      </w:r>
    </w:p>
    <w:p w14:paraId="695ECC7F"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скоростной ближний разведчик ЛР (ЦКБ-1)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w:t>
      </w:r>
    </w:p>
    <w:p w14:paraId="74D82157"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тяжелый бомбардировщик ТБ-5 (ЦКБ-8) Григоровича;</w:t>
      </w:r>
    </w:p>
    <w:p w14:paraId="2283F474"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двухместный истребитель ДИ-3 Григоровича;</w:t>
      </w:r>
    </w:p>
    <w:p w14:paraId="3B45C4B5"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истребитель с крупнокалиберным вооружением И-7 (ЦКБ-7, И-Z, И-Зет) Григоровича.</w:t>
      </w:r>
    </w:p>
    <w:p w14:paraId="7E9820ED"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 них сравнительно удачен оказался только последний, но более чем в 10 раз увеличено число сданных серийных самолетов Р-5, доводка и отработка рабочей документации которых была проведена при активном участии ЦКБ-39 и лично Н.Н. Поликарпова. Кроме того, в этом году благодаря организованной ЦКБ-39 технической помощи, завод №1 выпустили первые 76 истребителей И-5, разработанных под руководством Н.Н. Поликарпова.</w:t>
      </w:r>
    </w:p>
    <w:p w14:paraId="2D3427C0"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Несмотря на то, что ЦКБ-39 закончило 1931-й г. со значительно менее значимыми результатами по выпущенным новым самолетам, благодаря его помощи серийному производству пошел рост поставок авиатехники отечественной разработки в войска, и началось создание ее модификаций в соответствии с их требованиями, что стало бесспорно положительным итогом работы в 1930-1931 гг.</w:t>
      </w:r>
    </w:p>
    <w:p w14:paraId="44E5A9C5"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Некоторое снижение темпов выпуска новых самолетов в этом и следующем 1932 г. объяснялось тем, что как раз осуществлялся переход к их конструкциям следующего поколения, которые становились более сложными и трудоемкими не только в производстве, но и в разработке. Вырос требуемый объем чертежей, пояснительной, расчетной и технологической документации, на выпуск которой надо было больше времени, при этом трудовая и финансовая дисциплина в ЦКБ улучшилась и уже не являлась причиной задержек работ. Однако оставался вопрос их правильной организации – он решался на уровне и руководства ЦКБ, и отрасли в целом, но на это тоже надо было время. Важные решения здесь были приняты в следующем 1932 г., при этом руководство смогло критически пересмотреть принятые им же ошибочные решения и начать путь исправления этих ошибок (23559).</w:t>
      </w:r>
    </w:p>
    <w:p w14:paraId="39AECD2C" w14:textId="77777777" w:rsidR="00593807" w:rsidRPr="00441F34" w:rsidRDefault="00593807" w:rsidP="00593807">
      <w:pPr>
        <w:spacing w:after="0" w:line="240" w:lineRule="auto"/>
        <w:jc w:val="both"/>
        <w:rPr>
          <w:rFonts w:ascii="Times New Roman" w:hAnsi="Times New Roman"/>
          <w:color w:val="0070C0"/>
          <w:sz w:val="16"/>
          <w:szCs w:val="16"/>
        </w:rPr>
      </w:pPr>
    </w:p>
    <w:p w14:paraId="128980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предлагалось часть ТБ-1 выпустить с новыми моторами М-27 (18-цилиндровыми, мощностью 850 </w:t>
      </w:r>
      <w:proofErr w:type="spellStart"/>
      <w:r w:rsidRPr="007122AB">
        <w:rPr>
          <w:rFonts w:ascii="Times New Roman" w:hAnsi="Times New Roman"/>
          <w:color w:val="000000" w:themeColor="text1"/>
          <w:sz w:val="16"/>
          <w:szCs w:val="16"/>
        </w:rPr>
        <w:t>л.е</w:t>
      </w:r>
      <w:proofErr w:type="spellEnd"/>
      <w:r w:rsidRPr="007122AB">
        <w:rPr>
          <w:rFonts w:ascii="Times New Roman" w:hAnsi="Times New Roman"/>
          <w:color w:val="000000" w:themeColor="text1"/>
          <w:sz w:val="16"/>
          <w:szCs w:val="16"/>
        </w:rPr>
        <w:t>.). Но их серийное производство так и не наладили. Не удалось найти никаких следов расчетов модификации под этот двигатель. В период эксплуатации на некоторых самолетах установили моторы BMW VlbE7,3 со степенью сжатия 7,3. Они отличались лучшими высотными характеристиками и развивали максимальную мощность 730 л.с. Позднее применялся и аналогичный вариант М-17, выпускавшийся с конца 1932 г. Но большого выигрыша в летных данных это не дало. Во второй половине 1930-х гг. все еще летавшие машины переоснастили модернизированными двигателями М-17Ф с максимальной мощностью 715 л.с. (при степени сжатия 6,0). По сравнению с использовавшимися ранее, они обеспечивали более высокие летные данные на малых высотах (12001).</w:t>
      </w:r>
    </w:p>
    <w:p w14:paraId="401611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B0A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был сделан Р-5Ш (штурмовик) (92,422) - 4 ПВ-1 на нижних крыльях в обтекателях, один ПВ-1 синхронный и два ДА-2 на турели. 240-500 кг бомб на ДЕР-5 - заметная часть серии, конструктивных отличий не было - несколько сот. Были и с 8 ШКАС по 4 - применялся в Испании и на Дальнем Востоке (92,422). Были и варианты с 8 ШКАС (3551,17).</w:t>
      </w:r>
    </w:p>
    <w:p w14:paraId="785864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21ADA7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1931 г. изготовили 336 самолетов Р-5 при плане 675.</w:t>
      </w:r>
    </w:p>
    <w:p w14:paraId="0B3C32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F6DB4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г. шли работы по "разрезному" (механизированному) крылу для Р-5. До этого велись переговоры о проектировании его в Англии, в конструкторском бюро известной фирмы "</w:t>
      </w:r>
      <w:proofErr w:type="spellStart"/>
      <w:r w:rsidRPr="007122AB">
        <w:rPr>
          <w:rFonts w:ascii="Times New Roman" w:hAnsi="Times New Roman"/>
          <w:color w:val="000000" w:themeColor="text1"/>
          <w:sz w:val="16"/>
          <w:szCs w:val="16"/>
        </w:rPr>
        <w:t>Хендли</w:t>
      </w:r>
      <w:proofErr w:type="spellEnd"/>
      <w:r w:rsidRPr="007122AB">
        <w:rPr>
          <w:rFonts w:ascii="Times New Roman" w:hAnsi="Times New Roman"/>
          <w:color w:val="000000" w:themeColor="text1"/>
          <w:sz w:val="16"/>
          <w:szCs w:val="16"/>
        </w:rPr>
        <w:t xml:space="preserve">-Пэйдж", обладавшей несколькими ценными патентами. По-видимому, или не договорились о цене, или наверху отказались выделять на это валюту. Пришлось создавать механизированное крыло самостоятельно. Руководили работами Л .И. Сутугин (аэродинамик) и С.А. </w:t>
      </w:r>
      <w:proofErr w:type="spellStart"/>
      <w:r w:rsidRPr="007122AB">
        <w:rPr>
          <w:rFonts w:ascii="Times New Roman" w:hAnsi="Times New Roman"/>
          <w:color w:val="000000" w:themeColor="text1"/>
          <w:sz w:val="16"/>
          <w:szCs w:val="16"/>
        </w:rPr>
        <w:t>Кочеригин</w:t>
      </w:r>
      <w:proofErr w:type="spellEnd"/>
      <w:r w:rsidRPr="007122AB">
        <w:rPr>
          <w:rFonts w:ascii="Times New Roman" w:hAnsi="Times New Roman"/>
          <w:color w:val="000000" w:themeColor="text1"/>
          <w:sz w:val="16"/>
          <w:szCs w:val="16"/>
        </w:rPr>
        <w:t xml:space="preserve"> (конструктор). В июле 1931 г. они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w:t>
      </w:r>
      <w:proofErr w:type="spellStart"/>
      <w:r w:rsidRPr="007122AB">
        <w:rPr>
          <w:rFonts w:ascii="Times New Roman" w:hAnsi="Times New Roman"/>
          <w:color w:val="000000" w:themeColor="text1"/>
          <w:sz w:val="16"/>
          <w:szCs w:val="16"/>
        </w:rPr>
        <w:t>законцовки</w:t>
      </w:r>
      <w:proofErr w:type="spellEnd"/>
      <w:r w:rsidRPr="007122AB">
        <w:rPr>
          <w:rFonts w:ascii="Times New Roman" w:hAnsi="Times New Roman"/>
          <w:color w:val="000000" w:themeColor="text1"/>
          <w:sz w:val="16"/>
          <w:szCs w:val="16"/>
        </w:rPr>
        <w:t xml:space="preserve">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4EB576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Первый самолет передали на испытания в НИИ ВВС 5 мая 1932 г.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229FF7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6DE4EE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8DBC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1931 г. группа А.К. </w:t>
      </w:r>
      <w:proofErr w:type="spellStart"/>
      <w:r w:rsidRPr="007122AB">
        <w:rPr>
          <w:rFonts w:ascii="Times New Roman" w:hAnsi="Times New Roman"/>
          <w:color w:val="000000" w:themeColor="text1"/>
          <w:sz w:val="16"/>
          <w:szCs w:val="16"/>
        </w:rPr>
        <w:t>Запанованного</w:t>
      </w:r>
      <w:proofErr w:type="spellEnd"/>
      <w:r w:rsidRPr="007122AB">
        <w:rPr>
          <w:rFonts w:ascii="Times New Roman" w:hAnsi="Times New Roman"/>
          <w:color w:val="000000" w:themeColor="text1"/>
          <w:sz w:val="16"/>
          <w:szCs w:val="16"/>
        </w:rPr>
        <w:t xml:space="preserve"> в НИИ ВВС вела работы по танкеру на базе Р-5. Танкер ("</w:t>
      </w:r>
      <w:proofErr w:type="spellStart"/>
      <w:r w:rsidRPr="007122AB">
        <w:rPr>
          <w:rFonts w:ascii="Times New Roman" w:hAnsi="Times New Roman"/>
          <w:color w:val="000000" w:themeColor="text1"/>
          <w:sz w:val="16"/>
          <w:szCs w:val="16"/>
        </w:rPr>
        <w:t>бензиновоз</w:t>
      </w:r>
      <w:proofErr w:type="spellEnd"/>
      <w:r w:rsidRPr="007122AB">
        <w:rPr>
          <w:rFonts w:ascii="Times New Roman" w:hAnsi="Times New Roman"/>
          <w:color w:val="000000" w:themeColor="text1"/>
          <w:sz w:val="16"/>
          <w:szCs w:val="16"/>
        </w:rPr>
        <w:t>") нес шланг, намотанный на ручную лебедку и имевший на свободном конце так называемую "грушу". Летнаб или механик заправляемого самолета ловил конец шланга руками и засовывал его в приемную воронку. Заправляли от Р-5 сначала такую же машину, затем бомбардировщик ТБ-1 (в июне - июле 1932 г.) и, наконец,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w:t>
      </w:r>
    </w:p>
    <w:p w14:paraId="127B8E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w:t>
      </w:r>
      <w:proofErr w:type="spellStart"/>
      <w:r w:rsidRPr="007122AB">
        <w:rPr>
          <w:rFonts w:ascii="Times New Roman" w:hAnsi="Times New Roman"/>
          <w:color w:val="000000" w:themeColor="text1"/>
          <w:sz w:val="16"/>
          <w:szCs w:val="16"/>
        </w:rPr>
        <w:t>подфю</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зеляжным</w:t>
      </w:r>
      <w:proofErr w:type="spellEnd"/>
      <w:r w:rsidRPr="007122AB">
        <w:rPr>
          <w:rFonts w:ascii="Times New Roman" w:hAnsi="Times New Roman"/>
          <w:color w:val="000000" w:themeColor="text1"/>
          <w:sz w:val="16"/>
          <w:szCs w:val="16"/>
        </w:rPr>
        <w:t xml:space="preserve">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w:t>
      </w:r>
      <w:proofErr w:type="spellStart"/>
      <w:r w:rsidRPr="007122AB">
        <w:rPr>
          <w:rFonts w:ascii="Times New Roman" w:hAnsi="Times New Roman"/>
          <w:color w:val="000000" w:themeColor="text1"/>
          <w:sz w:val="16"/>
          <w:szCs w:val="16"/>
        </w:rPr>
        <w:t>бензиновоз</w:t>
      </w:r>
      <w:proofErr w:type="spellEnd"/>
      <w:r w:rsidRPr="007122AB">
        <w:rPr>
          <w:rFonts w:ascii="Times New Roman" w:hAnsi="Times New Roman"/>
          <w:color w:val="000000" w:themeColor="text1"/>
          <w:sz w:val="16"/>
          <w:szCs w:val="16"/>
        </w:rPr>
        <w:t>"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2904B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A246021"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1931 г. был защищен проект К-7 К.А.К. третьей редакции. Был построен и натурный макет тяжелого бомбардировщика и большого пассажирского самолета на 100 мест (два варианта делались параллельно).</w:t>
      </w:r>
    </w:p>
    <w:p w14:paraId="6088BE55"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проект при детальной проработке были внесены значительные изменения – как направленные на устранение выявленных недостатков, так и улучшения, сделанные по собственной инициативе:</w:t>
      </w:r>
    </w:p>
    <w:p w14:paraId="78FAB5E4"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силовая установка в составе семи двигателей BMW VI с тянущими винтами (четыре на крыле, два в носовых частях гондол тележек шасси и один добавлен уже на стадии строительства макета – в НЧФ);</w:t>
      </w:r>
    </w:p>
    <w:p w14:paraId="4520E510"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конструкция каркаса металлическая, обшивка – полотно, частично дюралевая неработающая;</w:t>
      </w:r>
    </w:p>
    <w:p w14:paraId="1A006CC2"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крыло </w:t>
      </w:r>
      <w:proofErr w:type="spellStart"/>
      <w:r w:rsidRPr="00441F34">
        <w:rPr>
          <w:rFonts w:ascii="Times New Roman" w:hAnsi="Times New Roman"/>
          <w:color w:val="0070C0"/>
          <w:sz w:val="16"/>
          <w:szCs w:val="16"/>
        </w:rPr>
        <w:t>трехлонжеронное</w:t>
      </w:r>
      <w:proofErr w:type="spellEnd"/>
      <w:r w:rsidRPr="00441F34">
        <w:rPr>
          <w:rFonts w:ascii="Times New Roman" w:hAnsi="Times New Roman"/>
          <w:color w:val="0070C0"/>
          <w:sz w:val="16"/>
          <w:szCs w:val="16"/>
        </w:rPr>
        <w:t>, лонжероны из металлических труб переменного диаметра (по строительной высоте сечения);</w:t>
      </w:r>
    </w:p>
    <w:p w14:paraId="1D590F11"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увеличены размеры (размах крыла дошел до 53 м, увеличилась и строительная высота крыла);</w:t>
      </w:r>
    </w:p>
    <w:p w14:paraId="7CA3C8AD"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разработаны оригинальные шарнирные узлы стыковки отсеков крыла по лонжеронам;</w:t>
      </w:r>
    </w:p>
    <w:p w14:paraId="32569C52"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во все каналы управления были включены электрические усилители.</w:t>
      </w:r>
    </w:p>
    <w:p w14:paraId="3FB7B8DA"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в проект были внесены дополнительные изменения;</w:t>
      </w:r>
    </w:p>
    <w:p w14:paraId="063B4C7B"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лонжероны крыла вместо ферменных сделаны балочные с плоскими полками и стенками;</w:t>
      </w:r>
    </w:p>
    <w:p w14:paraId="2BF1B086"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установлены отечественные V-образные 12-цилиндровые двигатели водяного охлаждения М-34 (без редукторов и нагнетателей взлетной мощностью по 850 л.с. и номинальной 750 л.с.);</w:t>
      </w:r>
    </w:p>
    <w:p w14:paraId="720DD41A"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стойки шасси с воздушно-масляной амортизацией (ЖГА применены на самолете впервые в СССР).</w:t>
      </w:r>
    </w:p>
    <w:p w14:paraId="178ED7F8"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и в этом виде самолет в постройку не пошел и в проект были внесены очередные изменения (23561).</w:t>
      </w:r>
    </w:p>
    <w:p w14:paraId="5DFFF592" w14:textId="77777777" w:rsidR="00593807" w:rsidRPr="00441F34" w:rsidRDefault="00593807" w:rsidP="00593807">
      <w:pPr>
        <w:spacing w:after="0" w:line="240" w:lineRule="auto"/>
        <w:jc w:val="both"/>
        <w:rPr>
          <w:rFonts w:ascii="Times New Roman" w:hAnsi="Times New Roman"/>
          <w:color w:val="0070C0"/>
          <w:sz w:val="16"/>
          <w:szCs w:val="16"/>
        </w:rPr>
      </w:pPr>
    </w:p>
    <w:p w14:paraId="360352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1931 г. группа А.К. </w:t>
      </w:r>
      <w:proofErr w:type="spellStart"/>
      <w:r w:rsidRPr="007122AB">
        <w:rPr>
          <w:rFonts w:ascii="Times New Roman" w:hAnsi="Times New Roman"/>
          <w:color w:val="000000" w:themeColor="text1"/>
          <w:sz w:val="16"/>
          <w:szCs w:val="16"/>
        </w:rPr>
        <w:t>Запанованного</w:t>
      </w:r>
      <w:proofErr w:type="spellEnd"/>
      <w:r w:rsidRPr="007122AB">
        <w:rPr>
          <w:rFonts w:ascii="Times New Roman" w:hAnsi="Times New Roman"/>
          <w:color w:val="000000" w:themeColor="text1"/>
          <w:sz w:val="16"/>
          <w:szCs w:val="16"/>
        </w:rPr>
        <w:t xml:space="preserve"> в НИИ ВВС вела работы по дозаправке в воздухе.</w:t>
      </w:r>
    </w:p>
    <w:p w14:paraId="38849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Схема была простой. Танкер ("</w:t>
      </w:r>
      <w:proofErr w:type="spellStart"/>
      <w:r w:rsidRPr="007122AB">
        <w:rPr>
          <w:rFonts w:ascii="Times New Roman" w:hAnsi="Times New Roman"/>
          <w:color w:val="000000" w:themeColor="text1"/>
          <w:sz w:val="16"/>
          <w:szCs w:val="16"/>
        </w:rPr>
        <w:t>бензиновоз</w:t>
      </w:r>
      <w:proofErr w:type="spellEnd"/>
      <w:r w:rsidRPr="007122AB">
        <w:rPr>
          <w:rFonts w:ascii="Times New Roman" w:hAnsi="Times New Roman"/>
          <w:color w:val="000000" w:themeColor="text1"/>
          <w:sz w:val="16"/>
          <w:szCs w:val="16"/>
        </w:rPr>
        <w:t>") нес шланг, намотанный на ручную лебедку и имевший на свободном конце груз (так называемую "грушу"). Лебедка стояла на месте фотоаппарата. Летнаб или механик на заправляемом самолете ловил конец шланга руками и засовывал его в приемную воронку. Заправляли от Р-5 сначала такую же машину, затем бомбардировщик ТБ-1 (в июне - июле 1932 г.) и, наконец, огромный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w:t>
      </w:r>
    </w:p>
    <w:p w14:paraId="52AE9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Однако система работала. Сначала пробовали переливать воду, затем перешли на бензин. В отчете по работе пары Р-5 - ТБ-1 оптимистично написали: "Испытания выявили сравнительную легкость переливки горючего в воздухе из самолета Р-5 в самолет ТБ-1 при натренированности личного состава".</w:t>
      </w:r>
    </w:p>
    <w:p w14:paraId="0F10F4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Разумеется, в качестве танкера использовали не обычный Р-5. Его запас горючего делал затею с дозаправкой почти бессмысленной. Сначала в апреле 1932 г. попробовали подвесить дополнительные баки на балках бомбодержателей под крылом.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w:t>
      </w:r>
      <w:proofErr w:type="spellStart"/>
      <w:r w:rsidRPr="007122AB">
        <w:rPr>
          <w:rFonts w:ascii="Times New Roman" w:hAnsi="Times New Roman"/>
          <w:color w:val="000000" w:themeColor="text1"/>
          <w:sz w:val="16"/>
          <w:szCs w:val="16"/>
        </w:rPr>
        <w:t>подфюзеляжным</w:t>
      </w:r>
      <w:proofErr w:type="spellEnd"/>
      <w:r w:rsidRPr="007122AB">
        <w:rPr>
          <w:rFonts w:ascii="Times New Roman" w:hAnsi="Times New Roman"/>
          <w:color w:val="000000" w:themeColor="text1"/>
          <w:sz w:val="16"/>
          <w:szCs w:val="16"/>
        </w:rPr>
        <w:t xml:space="preserve"> баком из листовой стали, вмещавшим 550 л бензина.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187914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781ED1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5165CE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49A715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9FFAA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Бюро особых конструкций поставило одной из своих основных задач создать самолет, который был бы приспособлен к длительному полету на любой высоте, какую только может обеспечить винтомоторная группа. Проблема стратоплана была в то время совершенно новой. Самолетов подобного типа не было ни у нас, ни за границей. В основу аэродинамических форм стратоплана БОК-1 был взят самолет типа АНТ-25, рекордный на дальность, но другие задачи, которые ставились перед стратосферным самолетом, заставили пересмотреть всю конструкцию самолета. Крыло имеет три лонжерона. Верхний и нижний пояса 1-го и 2-го лонжеронов примерно до половины отъемной части крыла сделаны из термически обработанных хромомолибденовых труб. Дальше к концу идут кольчугалюминиевые трубы. Крыло обшито гофром. Под гофром между 1-м и 2-м лонжеронами пропущены ленты-расчалки из кольчугалюминия. Для улучшения аэродинамики, крыло поверх гофра обшито тонким перкалем. Цельнометаллический из кольчугалюминия фюзеляж типа монокок, состоит из трех частей. В центральную часть фюзеляжа вкладывается сверху герметическая кабина. Шасси неубирающееся. Мотор АМ-34РН. Мотор полностью </w:t>
      </w:r>
      <w:proofErr w:type="spellStart"/>
      <w:r w:rsidRPr="007122AB">
        <w:rPr>
          <w:rFonts w:ascii="Times New Roman" w:hAnsi="Times New Roman"/>
          <w:color w:val="000000" w:themeColor="text1"/>
          <w:sz w:val="16"/>
          <w:szCs w:val="16"/>
        </w:rPr>
        <w:t>закапотирован</w:t>
      </w:r>
      <w:proofErr w:type="spellEnd"/>
      <w:r w:rsidRPr="007122AB">
        <w:rPr>
          <w:rFonts w:ascii="Times New Roman" w:hAnsi="Times New Roman"/>
          <w:color w:val="000000" w:themeColor="text1"/>
          <w:sz w:val="16"/>
          <w:szCs w:val="16"/>
        </w:rPr>
        <w:t>. Экипаж - летчик и наблюдатель. Герметическая кабина овальной формы в сечении выполнена в виде отдельной от фюзеляжа конструкции. Кабина обшита листовым кольчугалюминием толщиной 2 мм. (3303).</w:t>
      </w:r>
    </w:p>
    <w:p w14:paraId="502CFB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8AC46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в ЦКБ по конструкции </w:t>
      </w:r>
      <w:proofErr w:type="spellStart"/>
      <w:r w:rsidRPr="007122AB">
        <w:rPr>
          <w:rFonts w:ascii="Times New Roman" w:hAnsi="Times New Roman"/>
          <w:color w:val="000000" w:themeColor="text1"/>
          <w:sz w:val="16"/>
          <w:szCs w:val="16"/>
        </w:rPr>
        <w:t>В.Б.Шаврова</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Д.А.Михайлова</w:t>
      </w:r>
      <w:proofErr w:type="spellEnd"/>
      <w:r w:rsidRPr="007122AB">
        <w:rPr>
          <w:rFonts w:ascii="Times New Roman" w:hAnsi="Times New Roman"/>
          <w:color w:val="000000" w:themeColor="text1"/>
          <w:sz w:val="16"/>
          <w:szCs w:val="16"/>
        </w:rPr>
        <w:t xml:space="preserve"> делали Р-5а (МР-5, самолет 10) - двух-поплавковый Р-5 (92,423).</w:t>
      </w:r>
    </w:p>
    <w:p w14:paraId="34208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A3FF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и завод в Таганроге был загружен освоением производства самолетов новых типов. Вместо 302 Р-1 по плану там сдали всего 266. В следующем году выпустили две последних машины и на этом сборку Р-1 прекратили (11923).</w:t>
      </w:r>
    </w:p>
    <w:p w14:paraId="317D5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0046F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События 1931 г. в деле строительства И-5 закончились скромными достижениями (за год построили 66 экземпляров). Все эти само</w:t>
      </w:r>
      <w:r w:rsidRPr="007122AB">
        <w:rPr>
          <w:rFonts w:ascii="Times New Roman" w:hAnsi="Times New Roman"/>
          <w:color w:val="000000" w:themeColor="text1"/>
          <w:sz w:val="16"/>
          <w:szCs w:val="16"/>
        </w:rPr>
        <w:softHyphen/>
        <w:t>леты в основном соответствовали аппарату «Клим Ворошилов», внешне отличались уве</w:t>
      </w:r>
      <w:r w:rsidRPr="007122AB">
        <w:rPr>
          <w:rFonts w:ascii="Times New Roman" w:hAnsi="Times New Roman"/>
          <w:color w:val="000000" w:themeColor="text1"/>
          <w:sz w:val="16"/>
          <w:szCs w:val="16"/>
        </w:rPr>
        <w:softHyphen/>
        <w:t>личенными отверстиями охлаждения и боко</w:t>
      </w:r>
      <w:r w:rsidRPr="007122AB">
        <w:rPr>
          <w:rFonts w:ascii="Times New Roman" w:hAnsi="Times New Roman"/>
          <w:color w:val="000000" w:themeColor="text1"/>
          <w:sz w:val="16"/>
          <w:szCs w:val="16"/>
        </w:rPr>
        <w:softHyphen/>
        <w:t>выми прорезями (жабрами) в обтекателях го</w:t>
      </w:r>
      <w:r w:rsidRPr="007122AB">
        <w:rPr>
          <w:rFonts w:ascii="Times New Roman" w:hAnsi="Times New Roman"/>
          <w:color w:val="000000" w:themeColor="text1"/>
          <w:sz w:val="16"/>
          <w:szCs w:val="16"/>
        </w:rPr>
        <w:softHyphen/>
        <w:t>ловок цилиндров двигателя (11974).</w:t>
      </w:r>
    </w:p>
    <w:p w14:paraId="352563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7633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w:t>
      </w:r>
      <w:proofErr w:type="spellStart"/>
      <w:r w:rsidRPr="007122AB">
        <w:rPr>
          <w:rFonts w:ascii="Times New Roman" w:hAnsi="Times New Roman"/>
          <w:color w:val="000000" w:themeColor="text1"/>
          <w:sz w:val="16"/>
          <w:szCs w:val="16"/>
        </w:rPr>
        <w:t>И.В.Четвериков</w:t>
      </w:r>
      <w:proofErr w:type="spellEnd"/>
      <w:r w:rsidRPr="007122AB">
        <w:rPr>
          <w:rFonts w:ascii="Times New Roman" w:hAnsi="Times New Roman"/>
          <w:color w:val="000000" w:themeColor="text1"/>
          <w:sz w:val="16"/>
          <w:szCs w:val="16"/>
        </w:rPr>
        <w:t xml:space="preserve"> предложил УВМС самолет для подводных лодок (92,500).</w:t>
      </w:r>
    </w:p>
    <w:p w14:paraId="2F90E1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1D12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был построен Г-8 </w:t>
      </w:r>
      <w:proofErr w:type="spellStart"/>
      <w:r w:rsidRPr="007122AB">
        <w:rPr>
          <w:rFonts w:ascii="Times New Roman" w:hAnsi="Times New Roman"/>
          <w:color w:val="000000" w:themeColor="text1"/>
          <w:sz w:val="16"/>
          <w:szCs w:val="16"/>
        </w:rPr>
        <w:t>В.К.Грибовского</w:t>
      </w:r>
      <w:proofErr w:type="spellEnd"/>
      <w:r w:rsidRPr="007122AB">
        <w:rPr>
          <w:rFonts w:ascii="Times New Roman" w:hAnsi="Times New Roman"/>
          <w:color w:val="000000" w:themeColor="text1"/>
          <w:sz w:val="16"/>
          <w:szCs w:val="16"/>
        </w:rPr>
        <w:t>, но испытывался уже в 1932 (310).</w:t>
      </w:r>
    </w:p>
    <w:p w14:paraId="4A5823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5CB1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на Харьковском заводе построили самолет конструкции </w:t>
      </w:r>
      <w:proofErr w:type="spellStart"/>
      <w:r w:rsidRPr="007122AB">
        <w:rPr>
          <w:rFonts w:ascii="Times New Roman" w:hAnsi="Times New Roman"/>
          <w:color w:val="000000" w:themeColor="text1"/>
          <w:sz w:val="16"/>
          <w:szCs w:val="16"/>
        </w:rPr>
        <w:t>А.Н.Грацианского</w:t>
      </w:r>
      <w:proofErr w:type="spellEnd"/>
      <w:r w:rsidRPr="007122AB">
        <w:rPr>
          <w:rFonts w:ascii="Times New Roman" w:hAnsi="Times New Roman"/>
          <w:color w:val="000000" w:themeColor="text1"/>
          <w:sz w:val="16"/>
          <w:szCs w:val="16"/>
        </w:rPr>
        <w:t xml:space="preserve"> Омега для конкурса ЦС Осоавиахима (310).</w:t>
      </w:r>
    </w:p>
    <w:p w14:paraId="2920FA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321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все еще испытывали И-7 (80,117).</w:t>
      </w:r>
    </w:p>
    <w:p w14:paraId="296E08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496FB7"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в летные части начинают поступать первые истребители И-5, осна</w:t>
      </w:r>
      <w:r w:rsidRPr="007122AB">
        <w:rPr>
          <w:rFonts w:ascii="Times New Roman" w:hAnsi="Times New Roman"/>
          <w:color w:val="000000" w:themeColor="text1"/>
          <w:sz w:val="16"/>
          <w:szCs w:val="16"/>
        </w:rPr>
        <w:softHyphen/>
        <w:t>щенными двигателями воздушного охлажде</w:t>
      </w:r>
      <w:r w:rsidRPr="007122AB">
        <w:rPr>
          <w:rFonts w:ascii="Times New Roman" w:hAnsi="Times New Roman"/>
          <w:color w:val="000000" w:themeColor="text1"/>
          <w:sz w:val="16"/>
          <w:szCs w:val="16"/>
        </w:rPr>
        <w:softHyphen/>
        <w:t>ния. Активное насыщение ВВС этими но</w:t>
      </w:r>
      <w:r w:rsidRPr="007122AB">
        <w:rPr>
          <w:rFonts w:ascii="Times New Roman" w:hAnsi="Times New Roman"/>
          <w:color w:val="000000" w:themeColor="text1"/>
          <w:sz w:val="16"/>
          <w:szCs w:val="16"/>
        </w:rPr>
        <w:softHyphen/>
        <w:t>выми самолетами началось пару лет спустя, а еще через год истребители И-3 начали пе</w:t>
      </w:r>
      <w:r w:rsidRPr="007122AB">
        <w:rPr>
          <w:rFonts w:ascii="Times New Roman" w:hAnsi="Times New Roman"/>
          <w:color w:val="000000" w:themeColor="text1"/>
          <w:sz w:val="16"/>
          <w:szCs w:val="16"/>
        </w:rPr>
        <w:softHyphen/>
        <w:t>редаваться в летные школы и учебные по</w:t>
      </w:r>
      <w:r w:rsidRPr="007122AB">
        <w:rPr>
          <w:rFonts w:ascii="Times New Roman" w:hAnsi="Times New Roman"/>
          <w:color w:val="000000" w:themeColor="text1"/>
          <w:sz w:val="16"/>
          <w:szCs w:val="16"/>
        </w:rPr>
        <w:softHyphen/>
        <w:t>дразделения. В конце 1934 года началось их снятие с вооружения ВВС. Это решение бы</w:t>
      </w:r>
      <w:r w:rsidRPr="007122AB">
        <w:rPr>
          <w:rFonts w:ascii="Times New Roman" w:hAnsi="Times New Roman"/>
          <w:color w:val="000000" w:themeColor="text1"/>
          <w:sz w:val="16"/>
          <w:szCs w:val="16"/>
        </w:rPr>
        <w:softHyphen/>
        <w:t>ло связано не только с тем, что самолет уста</w:t>
      </w:r>
      <w:r w:rsidRPr="007122AB">
        <w:rPr>
          <w:rFonts w:ascii="Times New Roman" w:hAnsi="Times New Roman"/>
          <w:color w:val="000000" w:themeColor="text1"/>
          <w:sz w:val="16"/>
          <w:szCs w:val="16"/>
        </w:rPr>
        <w:softHyphen/>
        <w:t>рел, но и со сроком службы деревянной кон</w:t>
      </w:r>
      <w:r w:rsidRPr="007122AB">
        <w:rPr>
          <w:rFonts w:ascii="Times New Roman" w:hAnsi="Times New Roman"/>
          <w:color w:val="000000" w:themeColor="text1"/>
          <w:sz w:val="16"/>
          <w:szCs w:val="16"/>
        </w:rPr>
        <w:softHyphen/>
        <w:t>струкции, определяемой тогда в четыре года. В отдаленных гарнизонах И-3 еще использо</w:t>
      </w:r>
      <w:r w:rsidRPr="007122AB">
        <w:rPr>
          <w:rFonts w:ascii="Times New Roman" w:hAnsi="Times New Roman"/>
          <w:color w:val="000000" w:themeColor="text1"/>
          <w:sz w:val="16"/>
          <w:szCs w:val="16"/>
        </w:rPr>
        <w:softHyphen/>
        <w:t>вались для тренировок, но в основном они мирно доживали свой век на окраинах аэро</w:t>
      </w:r>
      <w:r w:rsidRPr="007122AB">
        <w:rPr>
          <w:rFonts w:ascii="Times New Roman" w:hAnsi="Times New Roman"/>
          <w:color w:val="000000" w:themeColor="text1"/>
          <w:sz w:val="16"/>
          <w:szCs w:val="16"/>
        </w:rPr>
        <w:softHyphen/>
        <w:t>дромов (12295).</w:t>
      </w:r>
    </w:p>
    <w:p w14:paraId="054FAF6D" w14:textId="77777777" w:rsidR="00496ABD" w:rsidRPr="007122AB" w:rsidRDefault="00496ABD" w:rsidP="007122AB">
      <w:pPr>
        <w:spacing w:after="0" w:line="240" w:lineRule="auto"/>
        <w:jc w:val="both"/>
        <w:rPr>
          <w:rFonts w:ascii="Times New Roman" w:hAnsi="Times New Roman"/>
          <w:color w:val="000000" w:themeColor="text1"/>
          <w:sz w:val="16"/>
          <w:szCs w:val="16"/>
        </w:rPr>
      </w:pPr>
    </w:p>
    <w:p w14:paraId="5D09AA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 поддержке С.В.И. в 1931 в составе ЦКБ была образована группа </w:t>
      </w:r>
      <w:proofErr w:type="spellStart"/>
      <w:r w:rsidRPr="007122AB">
        <w:rPr>
          <w:rFonts w:ascii="Times New Roman" w:hAnsi="Times New Roman"/>
          <w:color w:val="000000" w:themeColor="text1"/>
          <w:sz w:val="16"/>
          <w:szCs w:val="16"/>
        </w:rPr>
        <w:t>В.П.Яценко</w:t>
      </w:r>
      <w:proofErr w:type="spellEnd"/>
      <w:r w:rsidRPr="007122AB">
        <w:rPr>
          <w:rFonts w:ascii="Times New Roman" w:hAnsi="Times New Roman"/>
          <w:color w:val="000000" w:themeColor="text1"/>
          <w:sz w:val="16"/>
          <w:szCs w:val="16"/>
        </w:rPr>
        <w:t xml:space="preserve"> по двухместным истребителям (158,13).</w:t>
      </w:r>
    </w:p>
    <w:p w14:paraId="56DD3D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9689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были утверждены требования к многоместному истребителю МИ-3 (АНТ-21) и двухместному пушечному истребителю ДИП (АНТ-29) с АПК (80,227).</w:t>
      </w:r>
    </w:p>
    <w:p w14:paraId="2A3146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F79E60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инженер НИИ ВВС Владимир Вахмистров предложил установить на крыле ТБ-1 два истребителя И-4. При полете к цели они получали горючее из баков носите</w:t>
      </w:r>
      <w:r w:rsidRPr="007122AB">
        <w:rPr>
          <w:rFonts w:ascii="Times New Roman" w:hAnsi="Times New Roman"/>
          <w:color w:val="000000" w:themeColor="text1"/>
          <w:sz w:val="16"/>
          <w:szCs w:val="16"/>
        </w:rPr>
        <w:softHyphen/>
        <w:t>ля — таким образом, их дальность значи</w:t>
      </w:r>
      <w:r w:rsidRPr="007122AB">
        <w:rPr>
          <w:rFonts w:ascii="Times New Roman" w:hAnsi="Times New Roman"/>
          <w:color w:val="000000" w:themeColor="text1"/>
          <w:sz w:val="16"/>
          <w:szCs w:val="16"/>
        </w:rPr>
        <w:softHyphen/>
        <w:t>тельно увеличивалась. После отцепки ист</w:t>
      </w:r>
      <w:r w:rsidRPr="007122AB">
        <w:rPr>
          <w:rFonts w:ascii="Times New Roman" w:hAnsi="Times New Roman"/>
          <w:color w:val="000000" w:themeColor="text1"/>
          <w:sz w:val="16"/>
          <w:szCs w:val="16"/>
        </w:rPr>
        <w:softHyphen/>
        <w:t>ребители осуществляли прикрытие бомбар</w:t>
      </w:r>
      <w:r w:rsidRPr="007122AB">
        <w:rPr>
          <w:rFonts w:ascii="Times New Roman" w:hAnsi="Times New Roman"/>
          <w:color w:val="000000" w:themeColor="text1"/>
          <w:sz w:val="16"/>
          <w:szCs w:val="16"/>
        </w:rPr>
        <w:softHyphen/>
        <w:t>дировщика и сопровождали его на обратном пути. Система получила название «Самолет-Звено», в документах той поры обознача</w:t>
      </w:r>
      <w:r w:rsidRPr="007122AB">
        <w:rPr>
          <w:rFonts w:ascii="Times New Roman" w:hAnsi="Times New Roman"/>
          <w:color w:val="000000" w:themeColor="text1"/>
          <w:sz w:val="16"/>
          <w:szCs w:val="16"/>
        </w:rPr>
        <w:softHyphen/>
        <w:t>лась: «СЗВ», «СЗ-1», самолет «3-1». Обосновав идею теоретическими рас</w:t>
      </w:r>
      <w:r w:rsidRPr="007122AB">
        <w:rPr>
          <w:rFonts w:ascii="Times New Roman" w:hAnsi="Times New Roman"/>
          <w:color w:val="000000" w:themeColor="text1"/>
          <w:sz w:val="16"/>
          <w:szCs w:val="16"/>
        </w:rPr>
        <w:softHyphen/>
        <w:t>четами и исследованиями в аэродинами</w:t>
      </w:r>
      <w:r w:rsidRPr="007122AB">
        <w:rPr>
          <w:rFonts w:ascii="Times New Roman" w:hAnsi="Times New Roman"/>
          <w:color w:val="000000" w:themeColor="text1"/>
          <w:sz w:val="16"/>
          <w:szCs w:val="16"/>
        </w:rPr>
        <w:softHyphen/>
        <w:t>ческой трубе, он в том же году сумел до</w:t>
      </w:r>
      <w:r w:rsidRPr="007122AB">
        <w:rPr>
          <w:rFonts w:ascii="Times New Roman" w:hAnsi="Times New Roman"/>
          <w:color w:val="000000" w:themeColor="text1"/>
          <w:sz w:val="16"/>
          <w:szCs w:val="16"/>
        </w:rPr>
        <w:softHyphen/>
        <w:t>биться реализации своего изобретения на практике. Для осуществления задуманного использовали ТБ-1 № 651 и два И-4 — № 1651 и № 1655. Для установки И-4 на верхней поверхности крыла бомбардиров</w:t>
      </w:r>
      <w:r w:rsidRPr="007122AB">
        <w:rPr>
          <w:rFonts w:ascii="Times New Roman" w:hAnsi="Times New Roman"/>
          <w:color w:val="000000" w:themeColor="text1"/>
          <w:sz w:val="16"/>
          <w:szCs w:val="16"/>
        </w:rPr>
        <w:softHyphen/>
        <w:t>щика с каждой стороны оборудовали по 3 пирамиды. На двух передних специальными фасонными замками закреплялось шасси истребителя. Третья пирамида с расцепля</w:t>
      </w:r>
      <w:r w:rsidRPr="007122AB">
        <w:rPr>
          <w:rFonts w:ascii="Times New Roman" w:hAnsi="Times New Roman"/>
          <w:color w:val="000000" w:themeColor="text1"/>
          <w:sz w:val="16"/>
          <w:szCs w:val="16"/>
        </w:rPr>
        <w:softHyphen/>
        <w:t>ющим замком поддерживала фюзеляж И-4 в районе 3-й силовой рамы. Так как истре</w:t>
      </w:r>
      <w:r w:rsidRPr="007122AB">
        <w:rPr>
          <w:rFonts w:ascii="Times New Roman" w:hAnsi="Times New Roman"/>
          <w:color w:val="000000" w:themeColor="text1"/>
          <w:sz w:val="16"/>
          <w:szCs w:val="16"/>
        </w:rPr>
        <w:softHyphen/>
        <w:t>бители устанавливали вблизи дисков вра</w:t>
      </w:r>
      <w:r w:rsidRPr="007122AB">
        <w:rPr>
          <w:rFonts w:ascii="Times New Roman" w:hAnsi="Times New Roman"/>
          <w:color w:val="000000" w:themeColor="text1"/>
          <w:sz w:val="16"/>
          <w:szCs w:val="16"/>
        </w:rPr>
        <w:softHyphen/>
        <w:t>щавшихся воздушных винтов бомбарди</w:t>
      </w:r>
      <w:r w:rsidRPr="007122AB">
        <w:rPr>
          <w:rFonts w:ascii="Times New Roman" w:hAnsi="Times New Roman"/>
          <w:color w:val="000000" w:themeColor="text1"/>
          <w:sz w:val="16"/>
          <w:szCs w:val="16"/>
        </w:rPr>
        <w:softHyphen/>
        <w:t>ровщика, то, опасаясь негативного воздей</w:t>
      </w:r>
      <w:r w:rsidRPr="007122AB">
        <w:rPr>
          <w:rFonts w:ascii="Times New Roman" w:hAnsi="Times New Roman"/>
          <w:color w:val="000000" w:themeColor="text1"/>
          <w:sz w:val="16"/>
          <w:szCs w:val="16"/>
        </w:rPr>
        <w:softHyphen/>
        <w:t>ствия потока от них, решили демонтировать небольшие нижние крылья И-4. Закатывали истребители на крыло носителя по специ</w:t>
      </w:r>
      <w:r w:rsidRPr="007122AB">
        <w:rPr>
          <w:rFonts w:ascii="Times New Roman" w:hAnsi="Times New Roman"/>
          <w:color w:val="000000" w:themeColor="text1"/>
          <w:sz w:val="16"/>
          <w:szCs w:val="16"/>
        </w:rPr>
        <w:softHyphen/>
        <w:t>альным рампам, снабженным деревянными желобами (11286).</w:t>
      </w:r>
    </w:p>
    <w:p w14:paraId="427BA0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B0F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московский авиазавод № 1 заканчивал производство истребителя И-3 и начинал освоение истребителей И-5 и И-7. Основной продукцией завода стал Р-5. За текущий год в конструкцию разведчика внесли более 3000 конструктивных изменений с целью упрощения технологии производства. Это позволило снизить стоимость изготовления Р-5. На конец 1931 г. она составляла 34567 руб. (для сравнения: И-3 - 22212 руб., И-5 - 30934 руб., И-7 - 102086 руб.) (5016).</w:t>
      </w:r>
    </w:p>
    <w:p w14:paraId="725C97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2C2F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на авиазаводе №39 по эскизам </w:t>
      </w:r>
      <w:proofErr w:type="spellStart"/>
      <w:r w:rsidRPr="007122AB">
        <w:rPr>
          <w:rFonts w:ascii="Times New Roman" w:hAnsi="Times New Roman"/>
          <w:color w:val="000000" w:themeColor="text1"/>
          <w:sz w:val="16"/>
          <w:szCs w:val="16"/>
        </w:rPr>
        <w:t>Рафаэлянца</w:t>
      </w:r>
      <w:proofErr w:type="spellEnd"/>
      <w:r w:rsidRPr="007122AB">
        <w:rPr>
          <w:rFonts w:ascii="Times New Roman" w:hAnsi="Times New Roman"/>
          <w:color w:val="000000" w:themeColor="text1"/>
          <w:sz w:val="16"/>
          <w:szCs w:val="16"/>
        </w:rPr>
        <w:t xml:space="preserve"> и летчика </w:t>
      </w:r>
      <w:proofErr w:type="spellStart"/>
      <w:r w:rsidRPr="007122AB">
        <w:rPr>
          <w:rFonts w:ascii="Times New Roman" w:hAnsi="Times New Roman"/>
          <w:color w:val="000000" w:themeColor="text1"/>
          <w:sz w:val="16"/>
          <w:szCs w:val="16"/>
        </w:rPr>
        <w:t>Б.Л.Бухгольца</w:t>
      </w:r>
      <w:proofErr w:type="spellEnd"/>
      <w:r w:rsidRPr="007122AB">
        <w:rPr>
          <w:rFonts w:ascii="Times New Roman" w:hAnsi="Times New Roman"/>
          <w:color w:val="000000" w:themeColor="text1"/>
          <w:sz w:val="16"/>
          <w:szCs w:val="16"/>
        </w:rPr>
        <w:t xml:space="preserve"> был построен модифицированный Р-5. На месте кабины летнаба оборудовали двухместную пассажирскую кабину, кресла стояли напротив друг друга. Все было прикрыто одним прозрачным фонарем из целлулоида. Подобные кабины называли «лимузинами» - отсюда и название самолета. Так как работа относилась к деятельности ЦКБ-39 ОГПУ, то самолет показывался неоднократно членам правительственных комиссий как собственное изобретение этой организации. По типу этого самолета на авиазаводе №1 изготовили в 1932-33 гг. несколько подобных экземпляров (5016).</w:t>
      </w:r>
    </w:p>
    <w:p w14:paraId="6B3028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8B8B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на заводе № 39 по чертежам А.Н. </w:t>
      </w:r>
      <w:proofErr w:type="spellStart"/>
      <w:r w:rsidRPr="007122AB">
        <w:rPr>
          <w:rFonts w:ascii="Times New Roman" w:hAnsi="Times New Roman"/>
          <w:color w:val="000000" w:themeColor="text1"/>
          <w:sz w:val="16"/>
          <w:szCs w:val="16"/>
        </w:rPr>
        <w:t>Рафаэлянца</w:t>
      </w:r>
      <w:proofErr w:type="spellEnd"/>
      <w:r w:rsidRPr="007122AB">
        <w:rPr>
          <w:rFonts w:ascii="Times New Roman" w:hAnsi="Times New Roman"/>
          <w:color w:val="000000" w:themeColor="text1"/>
          <w:sz w:val="16"/>
          <w:szCs w:val="16"/>
        </w:rPr>
        <w:t xml:space="preserve"> и Б.Л. Бухгольца построили первый "лимузин" ЛП-5 или ПЛ-5, у которых за местом пилота находилась закрытая пассажирская кабина. Два пассажира сидели лицом друг к другу, разделенные столиком. Кабины были накрыты общим прозрачным фонарем. На левом борту висела лестница. В 1933 г. выпустили несколько подобных машин, но без лестниц (11936).</w:t>
      </w:r>
    </w:p>
    <w:p w14:paraId="51608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E6FBA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построили морской вариант разведчика Р-5 (</w:t>
      </w:r>
      <w:proofErr w:type="spellStart"/>
      <w:r w:rsidRPr="007122AB">
        <w:rPr>
          <w:rFonts w:ascii="Times New Roman" w:hAnsi="Times New Roman"/>
          <w:color w:val="000000" w:themeColor="text1"/>
          <w:sz w:val="16"/>
          <w:szCs w:val="16"/>
        </w:rPr>
        <w:t>пс</w:t>
      </w:r>
      <w:proofErr w:type="spellEnd"/>
      <w:r w:rsidRPr="007122AB">
        <w:rPr>
          <w:rFonts w:ascii="Times New Roman" w:hAnsi="Times New Roman"/>
          <w:color w:val="000000" w:themeColor="text1"/>
          <w:sz w:val="16"/>
          <w:szCs w:val="16"/>
        </w:rPr>
        <w:t xml:space="preserve"> аналогии с Р-1), обозначенной Р-5а (МР-5). Поплавки, в создании которых принимал участие конструктор В.Б. Шавров, были выполнены из дерева. Р-5с имел увеличенный до 1,25 </w:t>
      </w:r>
      <w:proofErr w:type="spellStart"/>
      <w:r w:rsidRPr="007122AB">
        <w:rPr>
          <w:rFonts w:ascii="Times New Roman" w:hAnsi="Times New Roman"/>
          <w:color w:val="000000" w:themeColor="text1"/>
          <w:sz w:val="16"/>
          <w:szCs w:val="16"/>
        </w:rPr>
        <w:t>кв.м</w:t>
      </w:r>
      <w:proofErr w:type="spellEnd"/>
      <w:r w:rsidRPr="007122AB">
        <w:rPr>
          <w:rFonts w:ascii="Times New Roman" w:hAnsi="Times New Roman"/>
          <w:color w:val="000000" w:themeColor="text1"/>
          <w:sz w:val="16"/>
          <w:szCs w:val="16"/>
        </w:rPr>
        <w:t xml:space="preserve"> воздушный киль и приспособление для запуска двигателя на воде - ручку в борту для проворачивания вала. В остальном конструкция самолете оставалось идентичной стандартному Р-5.</w:t>
      </w:r>
    </w:p>
    <w:p w14:paraId="1F4E5C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Серийный выпуск поплавкового разведчика планировалось развернуть на таганрогском авиазаводе №31. Действительно там провели подготовительные работы для освоения самолета</w:t>
      </w:r>
      <w:r w:rsidR="00496ABD"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rPr>
        <w:t xml:space="preserve"> но к положительному результату они не привели (5016).</w:t>
      </w:r>
    </w:p>
    <w:p w14:paraId="1C38DF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EE9AC8"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1931 г. руководитель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ВВС П.И. Гроховский выдал задание конст</w:t>
      </w:r>
      <w:r w:rsidRPr="007122AB">
        <w:rPr>
          <w:rFonts w:ascii="Times New Roman" w:hAnsi="Times New Roman"/>
          <w:color w:val="000000" w:themeColor="text1"/>
          <w:sz w:val="16"/>
          <w:szCs w:val="16"/>
        </w:rPr>
        <w:softHyphen/>
        <w:t xml:space="preserve">руктору Б.Д. </w:t>
      </w:r>
      <w:proofErr w:type="spellStart"/>
      <w:r w:rsidRPr="007122AB">
        <w:rPr>
          <w:rFonts w:ascii="Times New Roman" w:hAnsi="Times New Roman"/>
          <w:color w:val="000000" w:themeColor="text1"/>
          <w:sz w:val="16"/>
          <w:szCs w:val="16"/>
        </w:rPr>
        <w:t>Урлапову</w:t>
      </w:r>
      <w:proofErr w:type="spellEnd"/>
      <w:r w:rsidRPr="007122AB">
        <w:rPr>
          <w:rFonts w:ascii="Times New Roman" w:hAnsi="Times New Roman"/>
          <w:color w:val="000000" w:themeColor="text1"/>
          <w:sz w:val="16"/>
          <w:szCs w:val="16"/>
        </w:rPr>
        <w:t xml:space="preserve"> на проектиро</w:t>
      </w:r>
      <w:r w:rsidRPr="007122AB">
        <w:rPr>
          <w:rFonts w:ascii="Times New Roman" w:hAnsi="Times New Roman"/>
          <w:color w:val="000000" w:themeColor="text1"/>
          <w:sz w:val="16"/>
          <w:szCs w:val="16"/>
        </w:rPr>
        <w:softHyphen/>
        <w:t>вание такого аппарата. В результате в 1932 г. был построен планёр Г-31, способный перевозить 17 человек. Од</w:t>
      </w:r>
      <w:r w:rsidRPr="007122AB">
        <w:rPr>
          <w:rFonts w:ascii="Times New Roman" w:hAnsi="Times New Roman"/>
          <w:color w:val="000000" w:themeColor="text1"/>
          <w:sz w:val="16"/>
          <w:szCs w:val="16"/>
        </w:rPr>
        <w:softHyphen/>
        <w:t>нако вскоре это направление оказалось заброшено, и вернулись к нему толь</w:t>
      </w:r>
      <w:r w:rsidRPr="007122AB">
        <w:rPr>
          <w:rFonts w:ascii="Times New Roman" w:hAnsi="Times New Roman"/>
          <w:color w:val="000000" w:themeColor="text1"/>
          <w:sz w:val="16"/>
          <w:szCs w:val="16"/>
        </w:rPr>
        <w:softHyphen/>
        <w:t>ко в конце 1930-х гг., когда поступили сведения о подобных разработках в Германии (12266).</w:t>
      </w:r>
    </w:p>
    <w:p w14:paraId="78B4C64A" w14:textId="77777777" w:rsidR="00496ABD" w:rsidRPr="007122AB" w:rsidRDefault="00496ABD" w:rsidP="007122AB">
      <w:pPr>
        <w:spacing w:after="0" w:line="240" w:lineRule="auto"/>
        <w:jc w:val="both"/>
        <w:rPr>
          <w:rFonts w:ascii="Times New Roman" w:hAnsi="Times New Roman"/>
          <w:color w:val="000000" w:themeColor="text1"/>
          <w:sz w:val="16"/>
          <w:szCs w:val="16"/>
        </w:rPr>
      </w:pPr>
    </w:p>
    <w:p w14:paraId="4A280AB4"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П.И. Гроховский, выдал задание конструктору Б.Д. </w:t>
      </w:r>
      <w:proofErr w:type="spellStart"/>
      <w:r w:rsidRPr="007122AB">
        <w:rPr>
          <w:rFonts w:ascii="Times New Roman" w:hAnsi="Times New Roman"/>
          <w:color w:val="000000" w:themeColor="text1"/>
          <w:sz w:val="16"/>
          <w:szCs w:val="16"/>
        </w:rPr>
        <w:t>Урлапову</w:t>
      </w:r>
      <w:proofErr w:type="spellEnd"/>
      <w:r w:rsidRPr="007122AB">
        <w:rPr>
          <w:rFonts w:ascii="Times New Roman" w:hAnsi="Times New Roman"/>
          <w:color w:val="000000" w:themeColor="text1"/>
          <w:sz w:val="16"/>
          <w:szCs w:val="16"/>
        </w:rPr>
        <w:t xml:space="preserve"> на проектирование де</w:t>
      </w:r>
      <w:r w:rsidRPr="007122AB">
        <w:rPr>
          <w:rFonts w:ascii="Times New Roman" w:hAnsi="Times New Roman"/>
          <w:color w:val="000000" w:themeColor="text1"/>
          <w:sz w:val="16"/>
          <w:szCs w:val="16"/>
        </w:rPr>
        <w:softHyphen/>
        <w:t>сантного планера. По заданию планер должен был буксироваться за самолетом Р-5 и перевозить 1700 кг груза или 17 де</w:t>
      </w:r>
      <w:r w:rsidRPr="007122AB">
        <w:rPr>
          <w:rFonts w:ascii="Times New Roman" w:hAnsi="Times New Roman"/>
          <w:color w:val="000000" w:themeColor="text1"/>
          <w:sz w:val="16"/>
          <w:szCs w:val="16"/>
        </w:rPr>
        <w:softHyphen/>
        <w:t>сантников.</w:t>
      </w:r>
    </w:p>
    <w:p w14:paraId="7D2F851C"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Планер Г-31 (первоначально Г-63) был свободнонесущим монопланом цельнодеревянной конструк</w:t>
      </w:r>
      <w:r w:rsidRPr="007122AB">
        <w:rPr>
          <w:rFonts w:ascii="Times New Roman" w:hAnsi="Times New Roman"/>
          <w:color w:val="000000" w:themeColor="text1"/>
          <w:sz w:val="16"/>
          <w:szCs w:val="16"/>
        </w:rPr>
        <w:softHyphen/>
        <w:t xml:space="preserve">ции с </w:t>
      </w:r>
      <w:proofErr w:type="spellStart"/>
      <w:r w:rsidRPr="007122AB">
        <w:rPr>
          <w:rFonts w:ascii="Times New Roman" w:hAnsi="Times New Roman"/>
          <w:color w:val="000000" w:themeColor="text1"/>
          <w:sz w:val="16"/>
          <w:szCs w:val="16"/>
        </w:rPr>
        <w:t>неубираемым</w:t>
      </w:r>
      <w:proofErr w:type="spellEnd"/>
      <w:r w:rsidRPr="007122AB">
        <w:rPr>
          <w:rFonts w:ascii="Times New Roman" w:hAnsi="Times New Roman"/>
          <w:color w:val="000000" w:themeColor="text1"/>
          <w:sz w:val="16"/>
          <w:szCs w:val="16"/>
        </w:rPr>
        <w:t xml:space="preserve"> шасси с хвостовым костылем. Для размещения грузов предназначалось 16 ячеек размером 660 х 550 * 2100 мм, скомпонованных в центроплане. Такое размещение грузов обусловило применение толстых профилей ЦАГИ — 677, 678 и 679, с относительной толщиной 18%, в крыле. Носок центроплана был сделан из плексигласа и мог отки</w:t>
      </w:r>
      <w:r w:rsidRPr="007122AB">
        <w:rPr>
          <w:rFonts w:ascii="Times New Roman" w:hAnsi="Times New Roman"/>
          <w:color w:val="000000" w:themeColor="text1"/>
          <w:sz w:val="16"/>
          <w:szCs w:val="16"/>
        </w:rPr>
        <w:softHyphen/>
        <w:t>дываться вверх, для проведения погрузочно-</w:t>
      </w:r>
      <w:proofErr w:type="spellStart"/>
      <w:r w:rsidRPr="007122AB">
        <w:rPr>
          <w:rFonts w:ascii="Times New Roman" w:hAnsi="Times New Roman"/>
          <w:color w:val="000000" w:themeColor="text1"/>
          <w:sz w:val="16"/>
          <w:szCs w:val="16"/>
        </w:rPr>
        <w:t>разгру</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зочных</w:t>
      </w:r>
      <w:proofErr w:type="spellEnd"/>
      <w:r w:rsidRPr="007122AB">
        <w:rPr>
          <w:rFonts w:ascii="Times New Roman" w:hAnsi="Times New Roman"/>
          <w:color w:val="000000" w:themeColor="text1"/>
          <w:sz w:val="16"/>
          <w:szCs w:val="16"/>
        </w:rPr>
        <w:t xml:space="preserve"> работ. Крыло большого удлинения обеспечи</w:t>
      </w:r>
      <w:r w:rsidRPr="007122AB">
        <w:rPr>
          <w:rFonts w:ascii="Times New Roman" w:hAnsi="Times New Roman"/>
          <w:color w:val="000000" w:themeColor="text1"/>
          <w:sz w:val="16"/>
          <w:szCs w:val="16"/>
        </w:rPr>
        <w:softHyphen/>
        <w:t>ло аппарату приличное аэродинамическое качество, достигавшее 28,6 единицы.</w:t>
      </w:r>
    </w:p>
    <w:p w14:paraId="23128EB1"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Фюзеляж и хвостовая балка были максимально обжаты и в носу несли (в первом варианте) открытую кабину для одного пилота. Колеса шасси закрыва</w:t>
      </w:r>
      <w:r w:rsidRPr="007122AB">
        <w:rPr>
          <w:rFonts w:ascii="Times New Roman" w:hAnsi="Times New Roman"/>
          <w:color w:val="000000" w:themeColor="text1"/>
          <w:sz w:val="16"/>
          <w:szCs w:val="16"/>
        </w:rPr>
        <w:softHyphen/>
        <w:t>лись обтекателями.</w:t>
      </w:r>
    </w:p>
    <w:p w14:paraId="19F8D82C"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том же месяце под Ленингра</w:t>
      </w:r>
      <w:r w:rsidRPr="007122AB">
        <w:rPr>
          <w:rFonts w:ascii="Times New Roman" w:hAnsi="Times New Roman"/>
          <w:color w:val="000000" w:themeColor="text1"/>
          <w:sz w:val="16"/>
          <w:szCs w:val="16"/>
        </w:rPr>
        <w:softHyphen/>
        <w:t>дом планер облетал конструктор П.И. Гроховский. Дальнейшие испытания проходили в Москве и выпол</w:t>
      </w:r>
      <w:r w:rsidRPr="007122AB">
        <w:rPr>
          <w:rFonts w:ascii="Times New Roman" w:hAnsi="Times New Roman"/>
          <w:color w:val="000000" w:themeColor="text1"/>
          <w:sz w:val="16"/>
          <w:szCs w:val="16"/>
        </w:rPr>
        <w:softHyphen/>
        <w:t xml:space="preserve">нялись пилотами В.А. </w:t>
      </w:r>
      <w:proofErr w:type="spellStart"/>
      <w:r w:rsidRPr="007122AB">
        <w:rPr>
          <w:rFonts w:ascii="Times New Roman" w:hAnsi="Times New Roman"/>
          <w:color w:val="000000" w:themeColor="text1"/>
          <w:sz w:val="16"/>
          <w:szCs w:val="16"/>
        </w:rPr>
        <w:t>Степанчёнком</w:t>
      </w:r>
      <w:proofErr w:type="spellEnd"/>
      <w:r w:rsidRPr="007122AB">
        <w:rPr>
          <w:rFonts w:ascii="Times New Roman" w:hAnsi="Times New Roman"/>
          <w:color w:val="000000" w:themeColor="text1"/>
          <w:sz w:val="16"/>
          <w:szCs w:val="16"/>
        </w:rPr>
        <w:t xml:space="preserve"> и Н.А. </w:t>
      </w:r>
      <w:proofErr w:type="spellStart"/>
      <w:r w:rsidRPr="007122AB">
        <w:rPr>
          <w:rFonts w:ascii="Times New Roman" w:hAnsi="Times New Roman"/>
          <w:color w:val="000000" w:themeColor="text1"/>
          <w:sz w:val="16"/>
          <w:szCs w:val="16"/>
        </w:rPr>
        <w:t>Нюхтико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вым</w:t>
      </w:r>
      <w:proofErr w:type="spellEnd"/>
      <w:r w:rsidRPr="007122AB">
        <w:rPr>
          <w:rFonts w:ascii="Times New Roman" w:hAnsi="Times New Roman"/>
          <w:color w:val="000000" w:themeColor="text1"/>
          <w:sz w:val="16"/>
          <w:szCs w:val="16"/>
        </w:rPr>
        <w:t>. Вскоре в одном из полетов Г-63 потерпел ава</w:t>
      </w:r>
      <w:r w:rsidRPr="007122AB">
        <w:rPr>
          <w:rFonts w:ascii="Times New Roman" w:hAnsi="Times New Roman"/>
          <w:color w:val="000000" w:themeColor="text1"/>
          <w:sz w:val="16"/>
          <w:szCs w:val="16"/>
        </w:rPr>
        <w:softHyphen/>
        <w:t>рию. В ходе ремонта, который был закончен в августе 1933 г., на планере смонтировали кабину для второ</w:t>
      </w:r>
      <w:r w:rsidRPr="007122AB">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7122AB">
        <w:rPr>
          <w:rFonts w:ascii="Times New Roman" w:hAnsi="Times New Roman"/>
          <w:color w:val="000000" w:themeColor="text1"/>
          <w:sz w:val="16"/>
          <w:szCs w:val="16"/>
        </w:rPr>
        <w:softHyphen/>
        <w:t>чение «Г-31» (12300).</w:t>
      </w:r>
    </w:p>
    <w:p w14:paraId="7A89C87A" w14:textId="77777777" w:rsidR="00496ABD" w:rsidRPr="007122AB" w:rsidRDefault="00496ABD" w:rsidP="007122AB">
      <w:pPr>
        <w:spacing w:after="0" w:line="240" w:lineRule="auto"/>
        <w:jc w:val="both"/>
        <w:rPr>
          <w:rFonts w:ascii="Times New Roman" w:hAnsi="Times New Roman"/>
          <w:color w:val="000000" w:themeColor="text1"/>
          <w:sz w:val="16"/>
          <w:szCs w:val="16"/>
        </w:rPr>
      </w:pPr>
    </w:p>
    <w:p w14:paraId="12DCEEE1" w14:textId="77777777" w:rsidR="00C62F42" w:rsidRPr="007122AB" w:rsidRDefault="00C62F42"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В 1931 г. на Комендантском аэродроме проходили испытания У-1 с ускорителями. Было сделано около 100 взлётов. Подняться в воздух удавалось очень быстро, почти без разбега. Самолёт пилотировал С.И. Мухин, на втором сидении находился В.И. Дудаков. Это были первые в мире старты самолёта на колёсном шасси с использованием реактивных ускорителей (17489).</w:t>
      </w:r>
    </w:p>
    <w:p w14:paraId="40C4D946" w14:textId="77777777" w:rsidR="00C62F42" w:rsidRPr="007122AB" w:rsidRDefault="00C62F42" w:rsidP="007122AB">
      <w:pPr>
        <w:spacing w:after="0" w:line="240" w:lineRule="auto"/>
        <w:jc w:val="both"/>
        <w:rPr>
          <w:rFonts w:ascii="Times New Roman" w:eastAsia="Times New Roman" w:hAnsi="Times New Roman"/>
          <w:color w:val="000000" w:themeColor="text1"/>
          <w:sz w:val="16"/>
          <w:szCs w:val="16"/>
          <w:lang w:eastAsia="ru-RU"/>
        </w:rPr>
      </w:pPr>
    </w:p>
    <w:p w14:paraId="5AD01A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цельнометаллические поплавковые самолеты ЮГ-1 на Балтике перекрашивали тоже по схеме "зеленый- голубой": верх красился зеленой краской, в которую входили цинковые белила, умбра (30%), охра (15%), лазурь (1,5%), зелень (3%) и сажа (1,5%), низ - цинковыми белилами. Все внутренние объемы покрывали "серебрянкой". Поплавки снизу мазали "</w:t>
      </w:r>
      <w:proofErr w:type="spellStart"/>
      <w:r w:rsidRPr="007122AB">
        <w:rPr>
          <w:rFonts w:ascii="Times New Roman" w:hAnsi="Times New Roman"/>
          <w:color w:val="000000" w:themeColor="text1"/>
          <w:sz w:val="16"/>
          <w:szCs w:val="16"/>
        </w:rPr>
        <w:t>Кузбасслаком</w:t>
      </w:r>
      <w:proofErr w:type="spellEnd"/>
      <w:r w:rsidRPr="007122AB">
        <w:rPr>
          <w:rFonts w:ascii="Times New Roman" w:hAnsi="Times New Roman"/>
          <w:color w:val="000000" w:themeColor="text1"/>
          <w:sz w:val="16"/>
          <w:szCs w:val="16"/>
        </w:rPr>
        <w:t>", а надводную часть, стойки и подкосы - асфальтовым лаком, немного более сероватого тона и более матовым.</w:t>
      </w:r>
    </w:p>
    <w:p w14:paraId="7C9023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 летающих лодок весь планер предварительно грунтовался "серебрянкой", а затем покрывался свинцово-серой "морской шаровой" краской. Это относилось как к машинам отечественного производства, так и к импортным - немецким и итальянским, которые красили на заводах по техническим условиям заказчика. Импортные эмали имели более высокое качество, чем советские. В дальнейшем самолеты подкрашивали по мере необходимости теми же импортными красками, запас их приобретали вместе с машинами.</w:t>
      </w:r>
    </w:p>
    <w:p w14:paraId="40B464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 морских самолетов днище лодки или поплавков ниже ватерлинии покрывалось водозащитным лаком в два слоя. У летающих лодок Дорнье "Валь" (ДВ) в эту зону входили и целиком "жабры" - боковые </w:t>
      </w:r>
      <w:proofErr w:type="spellStart"/>
      <w:r w:rsidRPr="007122AB">
        <w:rPr>
          <w:rFonts w:ascii="Times New Roman" w:hAnsi="Times New Roman"/>
          <w:color w:val="000000" w:themeColor="text1"/>
          <w:sz w:val="16"/>
          <w:szCs w:val="16"/>
        </w:rPr>
        <w:t>спонсоны</w:t>
      </w:r>
      <w:proofErr w:type="spellEnd"/>
      <w:r w:rsidRPr="007122AB">
        <w:rPr>
          <w:rFonts w:ascii="Times New Roman" w:hAnsi="Times New Roman"/>
          <w:color w:val="000000" w:themeColor="text1"/>
          <w:sz w:val="16"/>
          <w:szCs w:val="16"/>
        </w:rPr>
        <w:t>, повышавшие устойчивость на воде. Покрытие в обоих случаях выполнялось глянцево-черным.</w:t>
      </w:r>
    </w:p>
    <w:p w14:paraId="637420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покупке в 1931 г. в Италии партии летающих лодок S.62bis (у нас обозначались С-62Б) довольно долго решался вопрос об их окраске. В исходных технических условиях на поставку указывалось, что верх должен быть "защитным", а низ - светло-голубым. Но итальянцы довольно быстро смогли доказать, что для морской авиации это неудобно. Предлагались три варианта цвета: светло-голубой (как на самолетах для ВВС Италии), практичный серебристый и светло-серый (по образцу экспортной серии для Румынии). Первые 12 лодок были покрашены итальянцами в комбинацию "морского" ("шарового") и светло- голубого цветов, затем по требованию советских приемщиков перекрашены в серебристый. Днище было черным - использовалась специальная краска "морская черная против обрастания". Позже, в эксплуатации выявилось, что эта краска со временем вздувается волдырями, а на жаре плавится и течет. Машины перекрашивали отечественным "Кузбасс- лаком" (11987).</w:t>
      </w:r>
    </w:p>
    <w:p w14:paraId="7914E4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91F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Ведомость выполнения планов заказа авиапромышленностью специального имущества ВВС за весь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1002C3" w:rsidRPr="007122AB" w14:paraId="1C556C00" w14:textId="77777777">
        <w:tc>
          <w:tcPr>
            <w:tcW w:w="1409" w:type="dxa"/>
          </w:tcPr>
          <w:p w14:paraId="4831A6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Самолеты</w:t>
            </w:r>
          </w:p>
        </w:tc>
        <w:tc>
          <w:tcPr>
            <w:tcW w:w="1409" w:type="dxa"/>
          </w:tcPr>
          <w:p w14:paraId="33CF3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Кол-во</w:t>
            </w:r>
          </w:p>
        </w:tc>
        <w:tc>
          <w:tcPr>
            <w:tcW w:w="1409" w:type="dxa"/>
          </w:tcPr>
          <w:p w14:paraId="2FA639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Результаты выполнения</w:t>
            </w:r>
          </w:p>
        </w:tc>
        <w:tc>
          <w:tcPr>
            <w:tcW w:w="1409" w:type="dxa"/>
          </w:tcPr>
          <w:p w14:paraId="1705D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D30A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выполнения</w:t>
            </w:r>
          </w:p>
        </w:tc>
      </w:tr>
      <w:tr w:rsidR="001002C3" w:rsidRPr="007122AB" w14:paraId="6DFA8601" w14:textId="77777777">
        <w:tc>
          <w:tcPr>
            <w:tcW w:w="1409" w:type="dxa"/>
          </w:tcPr>
          <w:p w14:paraId="141D0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57C7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плану</w:t>
            </w:r>
          </w:p>
        </w:tc>
        <w:tc>
          <w:tcPr>
            <w:tcW w:w="1409" w:type="dxa"/>
          </w:tcPr>
          <w:p w14:paraId="1A96C6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плана заказов за 31 г.</w:t>
            </w:r>
          </w:p>
        </w:tc>
        <w:tc>
          <w:tcPr>
            <w:tcW w:w="1409" w:type="dxa"/>
          </w:tcPr>
          <w:p w14:paraId="253D73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18031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годового</w:t>
            </w:r>
          </w:p>
        </w:tc>
      </w:tr>
      <w:tr w:rsidR="001002C3" w:rsidRPr="007122AB" w14:paraId="5D331098" w14:textId="77777777">
        <w:tc>
          <w:tcPr>
            <w:tcW w:w="1409" w:type="dxa"/>
          </w:tcPr>
          <w:p w14:paraId="3EF3B7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6D902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заказа</w:t>
            </w:r>
          </w:p>
        </w:tc>
        <w:tc>
          <w:tcPr>
            <w:tcW w:w="1409" w:type="dxa"/>
          </w:tcPr>
          <w:p w14:paraId="6E3BB5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Выполнено</w:t>
            </w:r>
          </w:p>
        </w:tc>
        <w:tc>
          <w:tcPr>
            <w:tcW w:w="1409" w:type="dxa"/>
          </w:tcPr>
          <w:p w14:paraId="03BA26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Недодел</w:t>
            </w:r>
          </w:p>
        </w:tc>
        <w:tc>
          <w:tcPr>
            <w:tcW w:w="1409" w:type="dxa"/>
          </w:tcPr>
          <w:p w14:paraId="1752C3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плана</w:t>
            </w:r>
          </w:p>
        </w:tc>
      </w:tr>
      <w:tr w:rsidR="001002C3" w:rsidRPr="007122AB" w14:paraId="733628C5" w14:textId="77777777">
        <w:tc>
          <w:tcPr>
            <w:tcW w:w="1409" w:type="dxa"/>
          </w:tcPr>
          <w:p w14:paraId="0B108B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C7B0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1931 г.</w:t>
            </w:r>
          </w:p>
        </w:tc>
        <w:tc>
          <w:tcPr>
            <w:tcW w:w="1409" w:type="dxa"/>
          </w:tcPr>
          <w:p w14:paraId="4BC4D1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 год</w:t>
            </w:r>
          </w:p>
        </w:tc>
        <w:tc>
          <w:tcPr>
            <w:tcW w:w="1409" w:type="dxa"/>
          </w:tcPr>
          <w:p w14:paraId="58B71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0775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412DE051" w14:textId="77777777">
        <w:tc>
          <w:tcPr>
            <w:tcW w:w="1409" w:type="dxa"/>
          </w:tcPr>
          <w:p w14:paraId="7FC6F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И5</w:t>
            </w:r>
          </w:p>
        </w:tc>
        <w:tc>
          <w:tcPr>
            <w:tcW w:w="1409" w:type="dxa"/>
          </w:tcPr>
          <w:p w14:paraId="0F5A4A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250</w:t>
            </w:r>
          </w:p>
        </w:tc>
        <w:tc>
          <w:tcPr>
            <w:tcW w:w="1409" w:type="dxa"/>
          </w:tcPr>
          <w:p w14:paraId="15E5C3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1409" w:type="dxa"/>
          </w:tcPr>
          <w:p w14:paraId="2A900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197</w:t>
            </w:r>
          </w:p>
        </w:tc>
        <w:tc>
          <w:tcPr>
            <w:tcW w:w="1409" w:type="dxa"/>
          </w:tcPr>
          <w:p w14:paraId="736693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w:t>
            </w:r>
          </w:p>
        </w:tc>
      </w:tr>
      <w:tr w:rsidR="001002C3" w:rsidRPr="007122AB" w14:paraId="6934C8C6" w14:textId="77777777">
        <w:tc>
          <w:tcPr>
            <w:tcW w:w="1409" w:type="dxa"/>
          </w:tcPr>
          <w:p w14:paraId="18035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И7</w:t>
            </w:r>
          </w:p>
        </w:tc>
        <w:tc>
          <w:tcPr>
            <w:tcW w:w="1409" w:type="dxa"/>
          </w:tcPr>
          <w:p w14:paraId="53AAD0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409" w:type="dxa"/>
          </w:tcPr>
          <w:p w14:paraId="5B0F6F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7A3AA5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w:t>
            </w:r>
          </w:p>
        </w:tc>
        <w:tc>
          <w:tcPr>
            <w:tcW w:w="1409" w:type="dxa"/>
          </w:tcPr>
          <w:p w14:paraId="36F828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6BCD25CA" w14:textId="77777777">
        <w:tc>
          <w:tcPr>
            <w:tcW w:w="1409" w:type="dxa"/>
          </w:tcPr>
          <w:p w14:paraId="29073D9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И4</w:t>
            </w:r>
          </w:p>
        </w:tc>
        <w:tc>
          <w:tcPr>
            <w:tcW w:w="1409" w:type="dxa"/>
          </w:tcPr>
          <w:p w14:paraId="15D234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1409" w:type="dxa"/>
          </w:tcPr>
          <w:p w14:paraId="3C4634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11</w:t>
            </w:r>
          </w:p>
        </w:tc>
        <w:tc>
          <w:tcPr>
            <w:tcW w:w="1409" w:type="dxa"/>
          </w:tcPr>
          <w:p w14:paraId="6C5823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0C4C7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6211B4D0" w14:textId="77777777">
        <w:tc>
          <w:tcPr>
            <w:tcW w:w="1409" w:type="dxa"/>
          </w:tcPr>
          <w:p w14:paraId="382FB0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И3</w:t>
            </w:r>
          </w:p>
        </w:tc>
        <w:tc>
          <w:tcPr>
            <w:tcW w:w="1409" w:type="dxa"/>
          </w:tcPr>
          <w:p w14:paraId="189F14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1409" w:type="dxa"/>
          </w:tcPr>
          <w:p w14:paraId="29D98C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w:t>
            </w:r>
          </w:p>
        </w:tc>
        <w:tc>
          <w:tcPr>
            <w:tcW w:w="1409" w:type="dxa"/>
          </w:tcPr>
          <w:p w14:paraId="19FBB0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67B692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4594D57C" w14:textId="77777777">
        <w:tc>
          <w:tcPr>
            <w:tcW w:w="1409" w:type="dxa"/>
          </w:tcPr>
          <w:p w14:paraId="5C5276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ТШ-2</w:t>
            </w:r>
          </w:p>
        </w:tc>
        <w:tc>
          <w:tcPr>
            <w:tcW w:w="1409" w:type="dxa"/>
          </w:tcPr>
          <w:p w14:paraId="62A4EE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6C6F64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0862D6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52DB63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5C3A8CF3" w14:textId="77777777">
        <w:tc>
          <w:tcPr>
            <w:tcW w:w="1409" w:type="dxa"/>
          </w:tcPr>
          <w:p w14:paraId="79CEC8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Р1-М5</w:t>
            </w:r>
          </w:p>
        </w:tc>
        <w:tc>
          <w:tcPr>
            <w:tcW w:w="1409" w:type="dxa"/>
          </w:tcPr>
          <w:p w14:paraId="0CFBD5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302</w:t>
            </w:r>
          </w:p>
        </w:tc>
        <w:tc>
          <w:tcPr>
            <w:tcW w:w="1409" w:type="dxa"/>
          </w:tcPr>
          <w:p w14:paraId="34327B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266</w:t>
            </w:r>
          </w:p>
        </w:tc>
        <w:tc>
          <w:tcPr>
            <w:tcW w:w="1409" w:type="dxa"/>
          </w:tcPr>
          <w:p w14:paraId="0FB42F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w:t>
            </w:r>
          </w:p>
        </w:tc>
        <w:tc>
          <w:tcPr>
            <w:tcW w:w="1409" w:type="dxa"/>
          </w:tcPr>
          <w:p w14:paraId="0EA147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88,08</w:t>
            </w:r>
          </w:p>
        </w:tc>
      </w:tr>
      <w:tr w:rsidR="001002C3" w:rsidRPr="007122AB" w14:paraId="6B492C55" w14:textId="77777777">
        <w:tc>
          <w:tcPr>
            <w:tcW w:w="1409" w:type="dxa"/>
          </w:tcPr>
          <w:p w14:paraId="4D3E3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Р5-М17</w:t>
            </w:r>
          </w:p>
        </w:tc>
        <w:tc>
          <w:tcPr>
            <w:tcW w:w="1409" w:type="dxa"/>
          </w:tcPr>
          <w:p w14:paraId="66CCC9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675</w:t>
            </w:r>
          </w:p>
        </w:tc>
        <w:tc>
          <w:tcPr>
            <w:tcW w:w="1409" w:type="dxa"/>
          </w:tcPr>
          <w:p w14:paraId="5951A9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301</w:t>
            </w:r>
          </w:p>
        </w:tc>
        <w:tc>
          <w:tcPr>
            <w:tcW w:w="1409" w:type="dxa"/>
          </w:tcPr>
          <w:p w14:paraId="2CD489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374</w:t>
            </w:r>
          </w:p>
        </w:tc>
        <w:tc>
          <w:tcPr>
            <w:tcW w:w="1409" w:type="dxa"/>
          </w:tcPr>
          <w:p w14:paraId="70B859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44,6</w:t>
            </w:r>
          </w:p>
        </w:tc>
      </w:tr>
      <w:tr w:rsidR="001002C3" w:rsidRPr="007122AB" w14:paraId="0E880F99" w14:textId="77777777">
        <w:tc>
          <w:tcPr>
            <w:tcW w:w="1409" w:type="dxa"/>
          </w:tcPr>
          <w:p w14:paraId="7136B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Р6-2М17</w:t>
            </w:r>
          </w:p>
        </w:tc>
        <w:tc>
          <w:tcPr>
            <w:tcW w:w="1409" w:type="dxa"/>
          </w:tcPr>
          <w:p w14:paraId="5B952A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c>
          <w:tcPr>
            <w:tcW w:w="1409" w:type="dxa"/>
          </w:tcPr>
          <w:p w14:paraId="0484DD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w:t>
            </w:r>
          </w:p>
        </w:tc>
        <w:tc>
          <w:tcPr>
            <w:tcW w:w="1409" w:type="dxa"/>
          </w:tcPr>
          <w:p w14:paraId="78348E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35</w:t>
            </w:r>
          </w:p>
        </w:tc>
        <w:tc>
          <w:tcPr>
            <w:tcW w:w="1409" w:type="dxa"/>
          </w:tcPr>
          <w:p w14:paraId="13390B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r>
      <w:tr w:rsidR="001002C3" w:rsidRPr="007122AB" w14:paraId="2325DB7A" w14:textId="77777777">
        <w:tc>
          <w:tcPr>
            <w:tcW w:w="1409" w:type="dxa"/>
          </w:tcPr>
          <w:p w14:paraId="14CB27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С-62 бис</w:t>
            </w:r>
          </w:p>
        </w:tc>
        <w:tc>
          <w:tcPr>
            <w:tcW w:w="1409" w:type="dxa"/>
          </w:tcPr>
          <w:p w14:paraId="50C71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1409" w:type="dxa"/>
          </w:tcPr>
          <w:p w14:paraId="002AFC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0C2C5D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w:t>
            </w:r>
          </w:p>
        </w:tc>
        <w:tc>
          <w:tcPr>
            <w:tcW w:w="1409" w:type="dxa"/>
          </w:tcPr>
          <w:p w14:paraId="1D10A8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5E2D41FE" w14:textId="77777777">
        <w:tc>
          <w:tcPr>
            <w:tcW w:w="1409" w:type="dxa"/>
          </w:tcPr>
          <w:p w14:paraId="7E61A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ТБ1</w:t>
            </w:r>
          </w:p>
        </w:tc>
        <w:tc>
          <w:tcPr>
            <w:tcW w:w="1409" w:type="dxa"/>
          </w:tcPr>
          <w:p w14:paraId="028A6E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w:t>
            </w:r>
          </w:p>
        </w:tc>
        <w:tc>
          <w:tcPr>
            <w:tcW w:w="1409" w:type="dxa"/>
          </w:tcPr>
          <w:p w14:paraId="13AB54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146</w:t>
            </w:r>
          </w:p>
        </w:tc>
        <w:tc>
          <w:tcPr>
            <w:tcW w:w="1409" w:type="dxa"/>
          </w:tcPr>
          <w:p w14:paraId="2ED417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19A4B1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53EA9986" w14:textId="77777777">
        <w:tc>
          <w:tcPr>
            <w:tcW w:w="1409" w:type="dxa"/>
          </w:tcPr>
          <w:p w14:paraId="09498D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ТБ3</w:t>
            </w:r>
          </w:p>
        </w:tc>
        <w:tc>
          <w:tcPr>
            <w:tcW w:w="1409" w:type="dxa"/>
          </w:tcPr>
          <w:p w14:paraId="65D109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409" w:type="dxa"/>
          </w:tcPr>
          <w:p w14:paraId="1F6DDB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549A69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409" w:type="dxa"/>
          </w:tcPr>
          <w:p w14:paraId="42C32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7CE236ED" w14:textId="77777777">
        <w:tc>
          <w:tcPr>
            <w:tcW w:w="1409" w:type="dxa"/>
          </w:tcPr>
          <w:p w14:paraId="6A1097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p>
        </w:tc>
        <w:tc>
          <w:tcPr>
            <w:tcW w:w="1409" w:type="dxa"/>
          </w:tcPr>
          <w:p w14:paraId="199D53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409" w:type="dxa"/>
          </w:tcPr>
          <w:p w14:paraId="43AA19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1409" w:type="dxa"/>
          </w:tcPr>
          <w:p w14:paraId="6FA79C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w:t>
            </w:r>
          </w:p>
        </w:tc>
        <w:tc>
          <w:tcPr>
            <w:tcW w:w="1409" w:type="dxa"/>
          </w:tcPr>
          <w:p w14:paraId="0C1E2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w:t>
            </w:r>
          </w:p>
        </w:tc>
      </w:tr>
      <w:tr w:rsidR="001002C3" w:rsidRPr="007122AB" w14:paraId="47DA689A" w14:textId="77777777">
        <w:tc>
          <w:tcPr>
            <w:tcW w:w="1409" w:type="dxa"/>
          </w:tcPr>
          <w:p w14:paraId="0D6219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К-5</w:t>
            </w:r>
          </w:p>
        </w:tc>
        <w:tc>
          <w:tcPr>
            <w:tcW w:w="1409" w:type="dxa"/>
          </w:tcPr>
          <w:p w14:paraId="0785E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w:t>
            </w:r>
          </w:p>
        </w:tc>
        <w:tc>
          <w:tcPr>
            <w:tcW w:w="1409" w:type="dxa"/>
          </w:tcPr>
          <w:p w14:paraId="369856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409" w:type="dxa"/>
          </w:tcPr>
          <w:p w14:paraId="0D387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w:t>
            </w:r>
          </w:p>
        </w:tc>
        <w:tc>
          <w:tcPr>
            <w:tcW w:w="1409" w:type="dxa"/>
          </w:tcPr>
          <w:p w14:paraId="4AF8D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w:t>
            </w:r>
          </w:p>
        </w:tc>
      </w:tr>
      <w:tr w:rsidR="001002C3" w:rsidRPr="007122AB" w14:paraId="6D343CA3" w14:textId="77777777">
        <w:tc>
          <w:tcPr>
            <w:tcW w:w="1409" w:type="dxa"/>
          </w:tcPr>
          <w:p w14:paraId="20EBA6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У2-М11</w:t>
            </w:r>
          </w:p>
        </w:tc>
        <w:tc>
          <w:tcPr>
            <w:tcW w:w="1409" w:type="dxa"/>
          </w:tcPr>
          <w:p w14:paraId="0B50EC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365</w:t>
            </w:r>
          </w:p>
        </w:tc>
        <w:tc>
          <w:tcPr>
            <w:tcW w:w="1409" w:type="dxa"/>
          </w:tcPr>
          <w:p w14:paraId="3A963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409" w:type="dxa"/>
          </w:tcPr>
          <w:p w14:paraId="302A56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215</w:t>
            </w:r>
          </w:p>
        </w:tc>
        <w:tc>
          <w:tcPr>
            <w:tcW w:w="1409" w:type="dxa"/>
          </w:tcPr>
          <w:p w14:paraId="6337C2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41,1</w:t>
            </w:r>
          </w:p>
        </w:tc>
      </w:tr>
      <w:tr w:rsidR="001002C3" w:rsidRPr="007122AB" w14:paraId="2F8BD118" w14:textId="77777777">
        <w:tc>
          <w:tcPr>
            <w:tcW w:w="1409" w:type="dxa"/>
          </w:tcPr>
          <w:p w14:paraId="080738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У1-М2</w:t>
            </w:r>
          </w:p>
        </w:tc>
        <w:tc>
          <w:tcPr>
            <w:tcW w:w="1409" w:type="dxa"/>
          </w:tcPr>
          <w:p w14:paraId="1812F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1409" w:type="dxa"/>
          </w:tcPr>
          <w:p w14:paraId="29B314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53</w:t>
            </w:r>
          </w:p>
        </w:tc>
        <w:tc>
          <w:tcPr>
            <w:tcW w:w="1409" w:type="dxa"/>
          </w:tcPr>
          <w:p w14:paraId="56168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384AFA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100</w:t>
            </w:r>
          </w:p>
        </w:tc>
      </w:tr>
      <w:tr w:rsidR="001002C3" w:rsidRPr="007122AB" w14:paraId="4F160232" w14:textId="77777777">
        <w:tc>
          <w:tcPr>
            <w:tcW w:w="1409" w:type="dxa"/>
          </w:tcPr>
          <w:p w14:paraId="21E151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409" w:type="dxa"/>
          </w:tcPr>
          <w:p w14:paraId="5C137A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2024</w:t>
            </w:r>
          </w:p>
        </w:tc>
        <w:tc>
          <w:tcPr>
            <w:tcW w:w="1409" w:type="dxa"/>
          </w:tcPr>
          <w:p w14:paraId="723D48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1059</w:t>
            </w:r>
          </w:p>
        </w:tc>
        <w:tc>
          <w:tcPr>
            <w:tcW w:w="1409" w:type="dxa"/>
          </w:tcPr>
          <w:p w14:paraId="34241C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965</w:t>
            </w:r>
          </w:p>
        </w:tc>
        <w:tc>
          <w:tcPr>
            <w:tcW w:w="1409" w:type="dxa"/>
          </w:tcPr>
          <w:p w14:paraId="686D95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52,2</w:t>
            </w:r>
          </w:p>
        </w:tc>
      </w:tr>
      <w:tr w:rsidR="001002C3" w:rsidRPr="007122AB" w14:paraId="17023E85" w14:textId="77777777">
        <w:tc>
          <w:tcPr>
            <w:tcW w:w="1409" w:type="dxa"/>
          </w:tcPr>
          <w:p w14:paraId="1A5F1B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Моторы</w:t>
            </w:r>
          </w:p>
        </w:tc>
        <w:tc>
          <w:tcPr>
            <w:tcW w:w="1409" w:type="dxa"/>
          </w:tcPr>
          <w:p w14:paraId="4DA132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1E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4A96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770B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7122AB" w14:paraId="18B7B134" w14:textId="77777777">
        <w:tc>
          <w:tcPr>
            <w:tcW w:w="1409" w:type="dxa"/>
          </w:tcPr>
          <w:p w14:paraId="4C252D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М-15</w:t>
            </w:r>
          </w:p>
        </w:tc>
        <w:tc>
          <w:tcPr>
            <w:tcW w:w="1409" w:type="dxa"/>
          </w:tcPr>
          <w:p w14:paraId="49435F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130</w:t>
            </w:r>
          </w:p>
        </w:tc>
        <w:tc>
          <w:tcPr>
            <w:tcW w:w="1409" w:type="dxa"/>
          </w:tcPr>
          <w:p w14:paraId="38A472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w:t>
            </w:r>
          </w:p>
        </w:tc>
        <w:tc>
          <w:tcPr>
            <w:tcW w:w="1409" w:type="dxa"/>
          </w:tcPr>
          <w:p w14:paraId="17C529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129</w:t>
            </w:r>
          </w:p>
        </w:tc>
        <w:tc>
          <w:tcPr>
            <w:tcW w:w="1409" w:type="dxa"/>
          </w:tcPr>
          <w:p w14:paraId="01C90B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0,8</w:t>
            </w:r>
          </w:p>
        </w:tc>
      </w:tr>
      <w:tr w:rsidR="001002C3" w:rsidRPr="007122AB" w14:paraId="0EACF9B1" w14:textId="77777777">
        <w:tc>
          <w:tcPr>
            <w:tcW w:w="1409" w:type="dxa"/>
          </w:tcPr>
          <w:p w14:paraId="5A15E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М-17</w:t>
            </w:r>
          </w:p>
        </w:tc>
        <w:tc>
          <w:tcPr>
            <w:tcW w:w="1409" w:type="dxa"/>
          </w:tcPr>
          <w:p w14:paraId="152CCF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890</w:t>
            </w:r>
          </w:p>
        </w:tc>
        <w:tc>
          <w:tcPr>
            <w:tcW w:w="1409" w:type="dxa"/>
          </w:tcPr>
          <w:p w14:paraId="73222C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679</w:t>
            </w:r>
          </w:p>
        </w:tc>
        <w:tc>
          <w:tcPr>
            <w:tcW w:w="1409" w:type="dxa"/>
          </w:tcPr>
          <w:p w14:paraId="011EC9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216</w:t>
            </w:r>
          </w:p>
        </w:tc>
        <w:tc>
          <w:tcPr>
            <w:tcW w:w="1409" w:type="dxa"/>
          </w:tcPr>
          <w:p w14:paraId="152384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75,9</w:t>
            </w:r>
          </w:p>
        </w:tc>
      </w:tr>
      <w:tr w:rsidR="001002C3" w:rsidRPr="007122AB" w14:paraId="6D504669" w14:textId="77777777">
        <w:tc>
          <w:tcPr>
            <w:tcW w:w="1409" w:type="dxa"/>
          </w:tcPr>
          <w:p w14:paraId="1CF3AD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М-19</w:t>
            </w:r>
          </w:p>
        </w:tc>
        <w:tc>
          <w:tcPr>
            <w:tcW w:w="1409" w:type="dxa"/>
          </w:tcPr>
          <w:p w14:paraId="4B4FAC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4A940B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2C7C51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3859EF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76EC94E1" w14:textId="77777777">
        <w:tc>
          <w:tcPr>
            <w:tcW w:w="1409" w:type="dxa"/>
          </w:tcPr>
          <w:p w14:paraId="3BAA0E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М-27</w:t>
            </w:r>
          </w:p>
        </w:tc>
        <w:tc>
          <w:tcPr>
            <w:tcW w:w="1409" w:type="dxa"/>
          </w:tcPr>
          <w:p w14:paraId="060B59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409" w:type="dxa"/>
          </w:tcPr>
          <w:p w14:paraId="7C71FD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3C1C5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150</w:t>
            </w:r>
          </w:p>
        </w:tc>
        <w:tc>
          <w:tcPr>
            <w:tcW w:w="1409" w:type="dxa"/>
          </w:tcPr>
          <w:p w14:paraId="264317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3CDE6898" w14:textId="77777777">
        <w:tc>
          <w:tcPr>
            <w:tcW w:w="1409" w:type="dxa"/>
          </w:tcPr>
          <w:p w14:paraId="6D186F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w:t>
            </w:r>
          </w:p>
        </w:tc>
        <w:tc>
          <w:tcPr>
            <w:tcW w:w="1409" w:type="dxa"/>
          </w:tcPr>
          <w:p w14:paraId="5D6EF4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280</w:t>
            </w:r>
          </w:p>
        </w:tc>
        <w:tc>
          <w:tcPr>
            <w:tcW w:w="1409" w:type="dxa"/>
          </w:tcPr>
          <w:p w14:paraId="049E5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68</w:t>
            </w:r>
          </w:p>
        </w:tc>
        <w:tc>
          <w:tcPr>
            <w:tcW w:w="1409" w:type="dxa"/>
          </w:tcPr>
          <w:p w14:paraId="49BAF6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212</w:t>
            </w:r>
          </w:p>
        </w:tc>
        <w:tc>
          <w:tcPr>
            <w:tcW w:w="1409" w:type="dxa"/>
          </w:tcPr>
          <w:p w14:paraId="24932A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24,2</w:t>
            </w:r>
          </w:p>
        </w:tc>
      </w:tr>
      <w:tr w:rsidR="001002C3" w:rsidRPr="007122AB" w14:paraId="60F735BA" w14:textId="77777777">
        <w:tc>
          <w:tcPr>
            <w:tcW w:w="1409" w:type="dxa"/>
          </w:tcPr>
          <w:p w14:paraId="3B5F72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М-22Н</w:t>
            </w:r>
          </w:p>
        </w:tc>
        <w:tc>
          <w:tcPr>
            <w:tcW w:w="1409" w:type="dxa"/>
          </w:tcPr>
          <w:p w14:paraId="57C3E5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1140E2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013BBB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6B8B7A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6EF63A5A" w14:textId="77777777">
        <w:tc>
          <w:tcPr>
            <w:tcW w:w="1409" w:type="dxa"/>
          </w:tcPr>
          <w:p w14:paraId="06D51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М-26</w:t>
            </w:r>
          </w:p>
        </w:tc>
        <w:tc>
          <w:tcPr>
            <w:tcW w:w="1409" w:type="dxa"/>
          </w:tcPr>
          <w:p w14:paraId="385FE8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526FE3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29809E0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w:t>
            </w:r>
          </w:p>
        </w:tc>
        <w:tc>
          <w:tcPr>
            <w:tcW w:w="1409" w:type="dxa"/>
          </w:tcPr>
          <w:p w14:paraId="463B60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00D53842" w14:textId="77777777">
        <w:tc>
          <w:tcPr>
            <w:tcW w:w="1409" w:type="dxa"/>
          </w:tcPr>
          <w:p w14:paraId="77298E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М-11</w:t>
            </w:r>
          </w:p>
        </w:tc>
        <w:tc>
          <w:tcPr>
            <w:tcW w:w="1409" w:type="dxa"/>
          </w:tcPr>
          <w:p w14:paraId="1044E0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590</w:t>
            </w:r>
          </w:p>
        </w:tc>
        <w:tc>
          <w:tcPr>
            <w:tcW w:w="1409" w:type="dxa"/>
          </w:tcPr>
          <w:p w14:paraId="3D5F1E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326</w:t>
            </w:r>
          </w:p>
        </w:tc>
        <w:tc>
          <w:tcPr>
            <w:tcW w:w="1409" w:type="dxa"/>
          </w:tcPr>
          <w:p w14:paraId="05197E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264</w:t>
            </w:r>
          </w:p>
        </w:tc>
        <w:tc>
          <w:tcPr>
            <w:tcW w:w="1409" w:type="dxa"/>
          </w:tcPr>
          <w:p w14:paraId="3E0C81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55,3</w:t>
            </w:r>
          </w:p>
        </w:tc>
      </w:tr>
      <w:tr w:rsidR="001002C3" w:rsidRPr="007122AB" w14:paraId="537B4E98" w14:textId="77777777">
        <w:tc>
          <w:tcPr>
            <w:tcW w:w="1409" w:type="dxa"/>
          </w:tcPr>
          <w:p w14:paraId="0EDBF5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М-34</w:t>
            </w:r>
          </w:p>
        </w:tc>
        <w:tc>
          <w:tcPr>
            <w:tcW w:w="1409" w:type="dxa"/>
          </w:tcPr>
          <w:p w14:paraId="276F7B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409" w:type="dxa"/>
          </w:tcPr>
          <w:p w14:paraId="7AF2F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w:t>
            </w:r>
          </w:p>
        </w:tc>
        <w:tc>
          <w:tcPr>
            <w:tcW w:w="1409" w:type="dxa"/>
          </w:tcPr>
          <w:p w14:paraId="56EB16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w:t>
            </w:r>
          </w:p>
        </w:tc>
        <w:tc>
          <w:tcPr>
            <w:tcW w:w="1409" w:type="dxa"/>
          </w:tcPr>
          <w:p w14:paraId="13B9A1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0</w:t>
            </w:r>
          </w:p>
        </w:tc>
      </w:tr>
      <w:tr w:rsidR="001002C3" w:rsidRPr="007122AB" w14:paraId="0E416B35" w14:textId="77777777">
        <w:tc>
          <w:tcPr>
            <w:tcW w:w="1409" w:type="dxa"/>
          </w:tcPr>
          <w:p w14:paraId="3C830F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Итого:</w:t>
            </w:r>
          </w:p>
        </w:tc>
        <w:tc>
          <w:tcPr>
            <w:tcW w:w="1409" w:type="dxa"/>
          </w:tcPr>
          <w:p w14:paraId="0AFBA1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2083</w:t>
            </w:r>
          </w:p>
        </w:tc>
        <w:tc>
          <w:tcPr>
            <w:tcW w:w="1409" w:type="dxa"/>
          </w:tcPr>
          <w:p w14:paraId="727746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1060</w:t>
            </w:r>
          </w:p>
        </w:tc>
        <w:tc>
          <w:tcPr>
            <w:tcW w:w="1409" w:type="dxa"/>
          </w:tcPr>
          <w:p w14:paraId="64E389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1023</w:t>
            </w:r>
          </w:p>
        </w:tc>
        <w:tc>
          <w:tcPr>
            <w:tcW w:w="1409" w:type="dxa"/>
          </w:tcPr>
          <w:p w14:paraId="081AFB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50,8</w:t>
            </w:r>
          </w:p>
        </w:tc>
      </w:tr>
    </w:tbl>
    <w:p w14:paraId="7EBA8B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(3045,12).</w:t>
      </w:r>
    </w:p>
    <w:p w14:paraId="5581A1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1A3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конструкторы завода № 29 в Запорожье, где осуществлялся выпуск М-11, наметили создание целого семейства двигателей на его основе. В него должны были войти М-50 (трехцилиндровый), М-51 (пятицилиндровый, модернизированный М-11), М-48 (семицилиндровый) и М-49 (десятицилиндровый). Проектирование осуществлял опытно-конструкторский отдел завода под руководством А.С. Назарова. В отделе тогда насчитывалось всего 14 человек. Фактически разработкой двигателей малой мощности занималась небольшая группа М.А. Коссова. С именем этого человека связано большинство попыток создания моторов на базе М-11. Михаил Александрович </w:t>
      </w:r>
      <w:proofErr w:type="spellStart"/>
      <w:r w:rsidRPr="007122AB">
        <w:rPr>
          <w:rFonts w:ascii="Times New Roman" w:hAnsi="Times New Roman"/>
          <w:color w:val="000000" w:themeColor="text1"/>
          <w:sz w:val="16"/>
          <w:szCs w:val="16"/>
        </w:rPr>
        <w:t>Коссов</w:t>
      </w:r>
      <w:proofErr w:type="spellEnd"/>
      <w:r w:rsidRPr="007122AB">
        <w:rPr>
          <w:rFonts w:ascii="Times New Roman" w:hAnsi="Times New Roman"/>
          <w:color w:val="000000" w:themeColor="text1"/>
          <w:sz w:val="16"/>
          <w:szCs w:val="16"/>
        </w:rPr>
        <w:t xml:space="preserve"> (1908-1992) закончил Киевский политехнический институт в 1930 г. и быстро зарекомендовал себя как способный конструктор. Почти полжизни он посвятил именно развитию конструкции М-11 (11478).</w:t>
      </w:r>
    </w:p>
    <w:p w14:paraId="2E44DA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8FE7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конструкторы завода № 29 наметили создание целого семейства в которое должен был войти М-50 (трехцилиндровый), М-51 (пятицилиндровый, который должен был сменить М-11), М-48 (семицилиндровый) и М-49 (девятицилиндровый). Намечалось, что на смену М-11 вскоре придут новые, более совершенные моторы, </w:t>
      </w:r>
      <w:r w:rsidRPr="007122AB">
        <w:rPr>
          <w:rFonts w:ascii="Times New Roman" w:hAnsi="Times New Roman"/>
          <w:color w:val="000000" w:themeColor="text1"/>
          <w:sz w:val="16"/>
          <w:szCs w:val="16"/>
        </w:rPr>
        <w:lastRenderedPageBreak/>
        <w:t xml:space="preserve">причем в виде унифицированного семейства. Это предполагалось планом, утвержденным в октябре 1930 г. Проектирование осуществлял Опытно-конструкторский отдел завода под руководством А.С. Назарова. Фактически работу по двигателям малой мощности вела группа М.В. Коссова. Это была первая попытка заменить М-11. Но хотя все указанные моторы были построены и испытаны, в серию их не запустили. И далее все попытки вытеснить М-11 с его "законного" места заканчивались неудачей. Тот же </w:t>
      </w:r>
      <w:proofErr w:type="spellStart"/>
      <w:r w:rsidRPr="007122AB">
        <w:rPr>
          <w:rFonts w:ascii="Times New Roman" w:hAnsi="Times New Roman"/>
          <w:color w:val="000000" w:themeColor="text1"/>
          <w:sz w:val="16"/>
          <w:szCs w:val="16"/>
        </w:rPr>
        <w:t>Коссов</w:t>
      </w:r>
      <w:proofErr w:type="spellEnd"/>
      <w:r w:rsidRPr="007122AB">
        <w:rPr>
          <w:rFonts w:ascii="Times New Roman" w:hAnsi="Times New Roman"/>
          <w:color w:val="000000" w:themeColor="text1"/>
          <w:sz w:val="16"/>
          <w:szCs w:val="16"/>
        </w:rPr>
        <w:t xml:space="preserve"> создал несколько довольно удачных конструкций (МГ-11, М-12 и другие) но они остались в опытных образцах или малых сериях, а "старичка" М-11 выпускали тысячами. Тем же закончились аналогичные попытки Е.В. </w:t>
      </w:r>
      <w:proofErr w:type="spellStart"/>
      <w:r w:rsidRPr="007122AB">
        <w:rPr>
          <w:rFonts w:ascii="Times New Roman" w:hAnsi="Times New Roman"/>
          <w:color w:val="000000" w:themeColor="text1"/>
          <w:sz w:val="16"/>
          <w:szCs w:val="16"/>
        </w:rPr>
        <w:t>Урмина</w:t>
      </w:r>
      <w:proofErr w:type="spellEnd"/>
      <w:r w:rsidRPr="007122AB">
        <w:rPr>
          <w:rFonts w:ascii="Times New Roman" w:hAnsi="Times New Roman"/>
          <w:color w:val="000000" w:themeColor="text1"/>
          <w:sz w:val="16"/>
          <w:szCs w:val="16"/>
        </w:rPr>
        <w:t xml:space="preserve"> и И.А. </w:t>
      </w:r>
      <w:proofErr w:type="spellStart"/>
      <w:r w:rsidRPr="007122AB">
        <w:rPr>
          <w:rFonts w:ascii="Times New Roman" w:hAnsi="Times New Roman"/>
          <w:color w:val="000000" w:themeColor="text1"/>
          <w:sz w:val="16"/>
          <w:szCs w:val="16"/>
        </w:rPr>
        <w:t>Мужилова</w:t>
      </w:r>
      <w:proofErr w:type="spellEnd"/>
      <w:r w:rsidRPr="007122AB">
        <w:rPr>
          <w:rFonts w:ascii="Times New Roman" w:hAnsi="Times New Roman"/>
          <w:color w:val="000000" w:themeColor="text1"/>
          <w:sz w:val="16"/>
          <w:szCs w:val="16"/>
        </w:rPr>
        <w:t>. В конце 1930-х большие надежды возлагали на лицензию, купленную у французской фирмы "Рено" (11479).</w:t>
      </w:r>
    </w:p>
    <w:p w14:paraId="059DE5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57D654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г. началось проектирова</w:t>
      </w:r>
      <w:r w:rsidRPr="007122AB">
        <w:rPr>
          <w:rFonts w:ascii="Times New Roman" w:hAnsi="Times New Roman"/>
          <w:color w:val="000000" w:themeColor="text1"/>
          <w:sz w:val="16"/>
          <w:szCs w:val="16"/>
        </w:rPr>
        <w:softHyphen/>
        <w:t>ние модификации М-34Н. В то время для улучшения высот</w:t>
      </w:r>
      <w:r w:rsidRPr="007122AB">
        <w:rPr>
          <w:rFonts w:ascii="Times New Roman" w:hAnsi="Times New Roman"/>
          <w:color w:val="000000" w:themeColor="text1"/>
          <w:sz w:val="16"/>
          <w:szCs w:val="16"/>
        </w:rPr>
        <w:softHyphen/>
        <w:t>ных характеристик за рубежом ста</w:t>
      </w:r>
      <w:r w:rsidRPr="007122AB">
        <w:rPr>
          <w:rFonts w:ascii="Times New Roman" w:hAnsi="Times New Roman"/>
          <w:color w:val="000000" w:themeColor="text1"/>
          <w:sz w:val="16"/>
          <w:szCs w:val="16"/>
        </w:rPr>
        <w:softHyphen/>
        <w:t>ли монтировать на моторах нагне</w:t>
      </w:r>
      <w:r w:rsidRPr="007122AB">
        <w:rPr>
          <w:rFonts w:ascii="Times New Roman" w:hAnsi="Times New Roman"/>
          <w:color w:val="000000" w:themeColor="text1"/>
          <w:sz w:val="16"/>
          <w:szCs w:val="16"/>
        </w:rPr>
        <w:softHyphen/>
        <w:t>татели. В нашей стране тоже пост</w:t>
      </w:r>
      <w:r w:rsidRPr="007122AB">
        <w:rPr>
          <w:rFonts w:ascii="Times New Roman" w:hAnsi="Times New Roman"/>
          <w:color w:val="000000" w:themeColor="text1"/>
          <w:sz w:val="16"/>
          <w:szCs w:val="16"/>
        </w:rPr>
        <w:softHyphen/>
        <w:t>роили несколько экспериментальных двигателей с центробежными нагне</w:t>
      </w:r>
      <w:r w:rsidRPr="007122AB">
        <w:rPr>
          <w:rFonts w:ascii="Times New Roman" w:hAnsi="Times New Roman"/>
          <w:color w:val="000000" w:themeColor="text1"/>
          <w:sz w:val="16"/>
          <w:szCs w:val="16"/>
        </w:rPr>
        <w:softHyphen/>
        <w:t>тателями, приводившимися во враще</w:t>
      </w:r>
      <w:r w:rsidRPr="007122AB">
        <w:rPr>
          <w:rFonts w:ascii="Times New Roman" w:hAnsi="Times New Roman"/>
          <w:color w:val="000000" w:themeColor="text1"/>
          <w:sz w:val="16"/>
          <w:szCs w:val="16"/>
        </w:rPr>
        <w:softHyphen/>
        <w:t>ние от хвостовика коленчатого вала через повышающий редуктор. Мотор М-15 даже некоторое время выпус</w:t>
      </w:r>
      <w:r w:rsidRPr="007122AB">
        <w:rPr>
          <w:rFonts w:ascii="Times New Roman" w:hAnsi="Times New Roman"/>
          <w:color w:val="000000" w:themeColor="text1"/>
          <w:sz w:val="16"/>
          <w:szCs w:val="16"/>
        </w:rPr>
        <w:softHyphen/>
        <w:t>кался серийно, но через каждые 25 часов на нем требовалось менять подшипники нагнетателя (импортные, шведские, купленные за золото). Первона</w:t>
      </w:r>
      <w:r w:rsidRPr="007122AB">
        <w:rPr>
          <w:rFonts w:ascii="Times New Roman" w:hAnsi="Times New Roman"/>
          <w:color w:val="000000" w:themeColor="text1"/>
          <w:sz w:val="16"/>
          <w:szCs w:val="16"/>
        </w:rPr>
        <w:softHyphen/>
        <w:t>чально планировали, что мотор прой</w:t>
      </w:r>
      <w:r w:rsidRPr="007122AB">
        <w:rPr>
          <w:rFonts w:ascii="Times New Roman" w:hAnsi="Times New Roman"/>
          <w:color w:val="000000" w:themeColor="text1"/>
          <w:sz w:val="16"/>
          <w:szCs w:val="16"/>
        </w:rPr>
        <w:softHyphen/>
        <w:t xml:space="preserve">дет государственные испытания к 15 июня 1932 г. Но первый </w:t>
      </w:r>
      <w:proofErr w:type="spellStart"/>
      <w:r w:rsidRPr="007122AB">
        <w:rPr>
          <w:rFonts w:ascii="Times New Roman" w:hAnsi="Times New Roman"/>
          <w:color w:val="000000" w:themeColor="text1"/>
          <w:sz w:val="16"/>
          <w:szCs w:val="16"/>
        </w:rPr>
        <w:t>двухскорос-тной</w:t>
      </w:r>
      <w:proofErr w:type="spellEnd"/>
      <w:r w:rsidRPr="007122AB">
        <w:rPr>
          <w:rFonts w:ascii="Times New Roman" w:hAnsi="Times New Roman"/>
          <w:color w:val="000000" w:themeColor="text1"/>
          <w:sz w:val="16"/>
          <w:szCs w:val="16"/>
        </w:rPr>
        <w:t xml:space="preserve"> нагнетатель, спроектированный П.И. Орловым, А.А. Микулиным и А.Н. Данилевским, оказался недоста</w:t>
      </w:r>
      <w:r w:rsidRPr="007122AB">
        <w:rPr>
          <w:rFonts w:ascii="Times New Roman" w:hAnsi="Times New Roman"/>
          <w:color w:val="000000" w:themeColor="text1"/>
          <w:sz w:val="16"/>
          <w:szCs w:val="16"/>
        </w:rPr>
        <w:softHyphen/>
        <w:t>точно надежным. Второй вариант, более простой односкоростной, со</w:t>
      </w:r>
      <w:r w:rsidRPr="007122AB">
        <w:rPr>
          <w:rFonts w:ascii="Times New Roman" w:hAnsi="Times New Roman"/>
          <w:color w:val="000000" w:themeColor="text1"/>
          <w:sz w:val="16"/>
          <w:szCs w:val="16"/>
        </w:rPr>
        <w:softHyphen/>
        <w:t>здали А.Н Данилевский и Е.О. Дмит</w:t>
      </w:r>
      <w:r w:rsidRPr="007122AB">
        <w:rPr>
          <w:rFonts w:ascii="Times New Roman" w:hAnsi="Times New Roman"/>
          <w:color w:val="000000" w:themeColor="text1"/>
          <w:sz w:val="16"/>
          <w:szCs w:val="16"/>
        </w:rPr>
        <w:softHyphen/>
        <w:t>риевский. Его «обкатывали» на трех моторах. На заводских испытаниях нагнетатель дважды выходил из строя - 22 июля и 10 сентября 1933 г. После этого спроектировали и изго</w:t>
      </w:r>
      <w:r w:rsidRPr="007122AB">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7122AB">
        <w:rPr>
          <w:rFonts w:ascii="Times New Roman" w:hAnsi="Times New Roman"/>
          <w:color w:val="000000" w:themeColor="text1"/>
          <w:sz w:val="16"/>
          <w:szCs w:val="16"/>
        </w:rPr>
        <w:softHyphen/>
        <w:t>дили 7 февраля 1934 г., а серия по</w:t>
      </w:r>
      <w:r w:rsidRPr="007122AB">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7122AB">
        <w:rPr>
          <w:rFonts w:ascii="Times New Roman" w:hAnsi="Times New Roman"/>
          <w:color w:val="000000" w:themeColor="text1"/>
          <w:sz w:val="16"/>
          <w:szCs w:val="16"/>
        </w:rPr>
        <w:softHyphen/>
        <w:t>тироваться на моторы других моди</w:t>
      </w:r>
      <w:r w:rsidRPr="007122AB">
        <w:rPr>
          <w:rFonts w:ascii="Times New Roman" w:hAnsi="Times New Roman"/>
          <w:color w:val="000000" w:themeColor="text1"/>
          <w:sz w:val="16"/>
          <w:szCs w:val="16"/>
        </w:rPr>
        <w:softHyphen/>
        <w:t>фикаций. В дальнейшем его хотели сделать отключаемым на малых вы</w:t>
      </w:r>
      <w:r w:rsidRPr="007122AB">
        <w:rPr>
          <w:rFonts w:ascii="Times New Roman" w:hAnsi="Times New Roman"/>
          <w:color w:val="000000" w:themeColor="text1"/>
          <w:sz w:val="16"/>
          <w:szCs w:val="16"/>
        </w:rPr>
        <w:softHyphen/>
        <w:t>сотах, но это намерение так и не было претворено в жизнь. Надеж</w:t>
      </w:r>
      <w:r w:rsidRPr="007122AB">
        <w:rPr>
          <w:rFonts w:ascii="Times New Roman" w:hAnsi="Times New Roman"/>
          <w:color w:val="000000" w:themeColor="text1"/>
          <w:sz w:val="16"/>
          <w:szCs w:val="16"/>
        </w:rPr>
        <w:softHyphen/>
        <w:t>ность М-34Н была невысока. Во-пер</w:t>
      </w:r>
      <w:r w:rsidRPr="007122AB">
        <w:rPr>
          <w:rFonts w:ascii="Times New Roman" w:hAnsi="Times New Roman"/>
          <w:color w:val="000000" w:themeColor="text1"/>
          <w:sz w:val="16"/>
          <w:szCs w:val="16"/>
        </w:rPr>
        <w:softHyphen/>
        <w:t>вых, разрушались подшипники, на которых стояла крыльчатка. Во-вто</w:t>
      </w:r>
      <w:r w:rsidRPr="007122AB">
        <w:rPr>
          <w:rFonts w:ascii="Times New Roman" w:hAnsi="Times New Roman"/>
          <w:color w:val="000000" w:themeColor="text1"/>
          <w:sz w:val="16"/>
          <w:szCs w:val="16"/>
        </w:rPr>
        <w:softHyphen/>
        <w:t>рых, нагнетатель у М-34Р распола</w:t>
      </w:r>
      <w:r w:rsidRPr="007122AB">
        <w:rPr>
          <w:rFonts w:ascii="Times New Roman" w:hAnsi="Times New Roman"/>
          <w:color w:val="000000" w:themeColor="text1"/>
          <w:sz w:val="16"/>
          <w:szCs w:val="16"/>
        </w:rPr>
        <w:softHyphen/>
        <w:t>гался за карбюратором; в нем сжи</w:t>
      </w:r>
      <w:r w:rsidRPr="007122AB">
        <w:rPr>
          <w:rFonts w:ascii="Times New Roman" w:hAnsi="Times New Roman"/>
          <w:color w:val="000000" w:themeColor="text1"/>
          <w:sz w:val="16"/>
          <w:szCs w:val="16"/>
        </w:rPr>
        <w:softHyphen/>
        <w:t>мался не воздух, а топливно-</w:t>
      </w:r>
      <w:proofErr w:type="spellStart"/>
      <w:r w:rsidRPr="007122AB">
        <w:rPr>
          <w:rFonts w:ascii="Times New Roman" w:hAnsi="Times New Roman"/>
          <w:color w:val="000000" w:themeColor="text1"/>
          <w:sz w:val="16"/>
          <w:szCs w:val="16"/>
        </w:rPr>
        <w:t>воздуш</w:t>
      </w:r>
      <w:proofErr w:type="spellEnd"/>
      <w:r w:rsidRPr="007122AB">
        <w:rPr>
          <w:rFonts w:ascii="Times New Roman" w:hAnsi="Times New Roman"/>
          <w:color w:val="000000" w:themeColor="text1"/>
          <w:sz w:val="16"/>
          <w:szCs w:val="16"/>
        </w:rPr>
        <w:t>-ная смесь. На некоторых режимах бензин начинал конденсироваться на выходе из нагнетателя и двигатель глох. Альтернативно рассматрива</w:t>
      </w:r>
      <w:r w:rsidRPr="007122AB">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7122AB">
        <w:rPr>
          <w:rFonts w:ascii="Times New Roman" w:hAnsi="Times New Roman"/>
          <w:color w:val="000000" w:themeColor="text1"/>
          <w:sz w:val="16"/>
          <w:szCs w:val="16"/>
        </w:rPr>
        <w:softHyphen/>
        <w:t>скими фирмами «Испано-</w:t>
      </w:r>
      <w:proofErr w:type="spellStart"/>
      <w:r w:rsidRPr="007122AB">
        <w:rPr>
          <w:rFonts w:ascii="Times New Roman" w:hAnsi="Times New Roman"/>
          <w:color w:val="000000" w:themeColor="text1"/>
          <w:sz w:val="16"/>
          <w:szCs w:val="16"/>
        </w:rPr>
        <w:t>Сюиза</w:t>
      </w:r>
      <w:proofErr w:type="spellEnd"/>
      <w:r w:rsidRPr="007122AB">
        <w:rPr>
          <w:rFonts w:ascii="Times New Roman" w:hAnsi="Times New Roman"/>
          <w:color w:val="000000" w:themeColor="text1"/>
          <w:sz w:val="16"/>
          <w:szCs w:val="16"/>
        </w:rPr>
        <w:t>» и «Фарман» о проектировании ими нового нагнетателя специально для М-34Н. Пытались также приобрести двухступенчатые нагнетатели у «</w:t>
      </w:r>
      <w:proofErr w:type="spellStart"/>
      <w:r w:rsidRPr="007122AB">
        <w:rPr>
          <w:rFonts w:ascii="Times New Roman" w:hAnsi="Times New Roman"/>
          <w:color w:val="000000" w:themeColor="text1"/>
          <w:sz w:val="16"/>
          <w:szCs w:val="16"/>
        </w:rPr>
        <w:t>Рато</w:t>
      </w:r>
      <w:proofErr w:type="spellEnd"/>
      <w:r w:rsidRPr="007122AB">
        <w:rPr>
          <w:rFonts w:ascii="Times New Roman" w:hAnsi="Times New Roman"/>
          <w:color w:val="000000" w:themeColor="text1"/>
          <w:sz w:val="16"/>
          <w:szCs w:val="16"/>
        </w:rPr>
        <w:t>» (этот вариант именовался М-34РАТО). По мировым стандартам М-34Н был тяжеловат. Военные неоднократ</w:t>
      </w:r>
      <w:r w:rsidRPr="007122AB">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7122AB">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7122AB">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7122AB">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7122AB">
        <w:rPr>
          <w:rFonts w:ascii="Times New Roman" w:hAnsi="Times New Roman"/>
          <w:color w:val="000000" w:themeColor="text1"/>
          <w:sz w:val="16"/>
          <w:szCs w:val="16"/>
        </w:rPr>
        <w:softHyphen/>
        <w:t>ило газораспределение, от вибраций появлялись трещины на лапах креп</w:t>
      </w:r>
      <w:r w:rsidRPr="007122AB">
        <w:rPr>
          <w:rFonts w:ascii="Times New Roman" w:hAnsi="Times New Roman"/>
          <w:color w:val="000000" w:themeColor="text1"/>
          <w:sz w:val="16"/>
          <w:szCs w:val="16"/>
        </w:rPr>
        <w:softHyphen/>
        <w:t>ления к раме. Но нагнетатель и ре</w:t>
      </w:r>
      <w:r w:rsidRPr="007122AB">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7122AB">
        <w:rPr>
          <w:rFonts w:ascii="Times New Roman" w:hAnsi="Times New Roman"/>
          <w:color w:val="000000" w:themeColor="text1"/>
          <w:sz w:val="16"/>
          <w:szCs w:val="16"/>
        </w:rPr>
        <w:softHyphen/>
        <w:t>тябре, но и они закончились неудач</w:t>
      </w:r>
      <w:r w:rsidRPr="007122AB">
        <w:rPr>
          <w:rFonts w:ascii="Times New Roman" w:hAnsi="Times New Roman"/>
          <w:color w:val="000000" w:themeColor="text1"/>
          <w:sz w:val="16"/>
          <w:szCs w:val="16"/>
        </w:rPr>
        <w:softHyphen/>
        <w:t>но - прогорели поршни. В результа</w:t>
      </w:r>
      <w:r w:rsidRPr="007122AB">
        <w:rPr>
          <w:rFonts w:ascii="Times New Roman" w:hAnsi="Times New Roman"/>
          <w:color w:val="000000" w:themeColor="text1"/>
          <w:sz w:val="16"/>
          <w:szCs w:val="16"/>
        </w:rPr>
        <w:softHyphen/>
        <w:t>те М-34РН в 1934 г. выпустили лишь небольшой серией. Поскольку нагне</w:t>
      </w:r>
      <w:r w:rsidRPr="007122AB">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06A29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83F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1931 г. в НАМИ велась </w:t>
      </w:r>
      <w:proofErr w:type="spellStart"/>
      <w:r w:rsidRPr="007122AB">
        <w:rPr>
          <w:rFonts w:ascii="Times New Roman" w:hAnsi="Times New Roman"/>
          <w:color w:val="000000" w:themeColor="text1"/>
          <w:sz w:val="16"/>
          <w:szCs w:val="16"/>
        </w:rPr>
        <w:t>сазработ</w:t>
      </w:r>
      <w:r w:rsidRPr="007122AB">
        <w:rPr>
          <w:rFonts w:ascii="Times New Roman" w:hAnsi="Times New Roman"/>
          <w:color w:val="000000" w:themeColor="text1"/>
          <w:sz w:val="16"/>
          <w:szCs w:val="16"/>
        </w:rPr>
        <w:softHyphen/>
        <w:t>ка</w:t>
      </w:r>
      <w:proofErr w:type="spellEnd"/>
      <w:r w:rsidRPr="007122AB">
        <w:rPr>
          <w:rFonts w:ascii="Times New Roman" w:hAnsi="Times New Roman"/>
          <w:color w:val="000000" w:themeColor="text1"/>
          <w:sz w:val="16"/>
          <w:szCs w:val="16"/>
        </w:rPr>
        <w:t xml:space="preserve"> варианта М-34 для торпедных катеров, названной ГМ-34. Он имел совершенно другой редук</w:t>
      </w:r>
      <w:r w:rsidRPr="007122AB">
        <w:rPr>
          <w:rFonts w:ascii="Times New Roman" w:hAnsi="Times New Roman"/>
          <w:color w:val="000000" w:themeColor="text1"/>
          <w:sz w:val="16"/>
          <w:szCs w:val="16"/>
        </w:rPr>
        <w:softHyphen/>
        <w:t>тор с реверс-муфтой РМ-1, позволя</w:t>
      </w:r>
      <w:r w:rsidRPr="007122AB">
        <w:rPr>
          <w:rFonts w:ascii="Times New Roman" w:hAnsi="Times New Roman"/>
          <w:color w:val="000000" w:themeColor="text1"/>
          <w:sz w:val="16"/>
          <w:szCs w:val="16"/>
        </w:rPr>
        <w:softHyphen/>
        <w:t>ющей при неизменном направлении вращения коленчатого вала крутить винт в обе стороны. Так катеру обес</w:t>
      </w:r>
      <w:r w:rsidRPr="007122AB">
        <w:rPr>
          <w:rFonts w:ascii="Times New Roman" w:hAnsi="Times New Roman"/>
          <w:color w:val="000000" w:themeColor="text1"/>
          <w:sz w:val="16"/>
          <w:szCs w:val="16"/>
        </w:rPr>
        <w:softHyphen/>
        <w:t>печивали задний ход. Предусматри</w:t>
      </w:r>
      <w:r w:rsidRPr="007122AB">
        <w:rPr>
          <w:rFonts w:ascii="Times New Roman" w:hAnsi="Times New Roman"/>
          <w:color w:val="000000" w:themeColor="text1"/>
          <w:sz w:val="16"/>
          <w:szCs w:val="16"/>
        </w:rPr>
        <w:softHyphen/>
        <w:t>валась также муфта свободного хода, расцепляющая вал мотора с валом винта. Новый редуктор про</w:t>
      </w:r>
      <w:r w:rsidRPr="007122AB">
        <w:rPr>
          <w:rFonts w:ascii="Times New Roman" w:hAnsi="Times New Roman"/>
          <w:color w:val="000000" w:themeColor="text1"/>
          <w:sz w:val="16"/>
          <w:szCs w:val="16"/>
        </w:rPr>
        <w:softHyphen/>
        <w:t>ектировал В.М. Яковлев. ГМ-34 дол</w:t>
      </w:r>
      <w:r w:rsidRPr="007122AB">
        <w:rPr>
          <w:rFonts w:ascii="Times New Roman" w:hAnsi="Times New Roman"/>
          <w:color w:val="000000" w:themeColor="text1"/>
          <w:sz w:val="16"/>
          <w:szCs w:val="16"/>
        </w:rPr>
        <w:softHyphen/>
        <w:t>жен был отличаться также устрой</w:t>
      </w:r>
      <w:r w:rsidRPr="007122AB">
        <w:rPr>
          <w:rFonts w:ascii="Times New Roman" w:hAnsi="Times New Roman"/>
          <w:color w:val="000000" w:themeColor="text1"/>
          <w:sz w:val="16"/>
          <w:szCs w:val="16"/>
        </w:rPr>
        <w:softHyphen/>
        <w:t>ством выхлопной системы. Интерес</w:t>
      </w:r>
      <w:r w:rsidRPr="007122AB">
        <w:rPr>
          <w:rFonts w:ascii="Times New Roman" w:hAnsi="Times New Roman"/>
          <w:color w:val="000000" w:themeColor="text1"/>
          <w:sz w:val="16"/>
          <w:szCs w:val="16"/>
        </w:rPr>
        <w:softHyphen/>
        <w:t>но, что в задании было записано: «...с забортным охлаждением». Но за</w:t>
      </w:r>
      <w:r w:rsidRPr="007122AB">
        <w:rPr>
          <w:rFonts w:ascii="Times New Roman" w:hAnsi="Times New Roman"/>
          <w:color w:val="000000" w:themeColor="text1"/>
          <w:sz w:val="16"/>
          <w:szCs w:val="16"/>
        </w:rPr>
        <w:softHyphen/>
        <w:t>бортная вода - соленая! Пустить ее в рубашку блока означает сра</w:t>
      </w:r>
      <w:r w:rsidRPr="007122AB">
        <w:rPr>
          <w:rFonts w:ascii="Times New Roman" w:hAnsi="Times New Roman"/>
          <w:color w:val="000000" w:themeColor="text1"/>
          <w:sz w:val="16"/>
          <w:szCs w:val="16"/>
        </w:rPr>
        <w:softHyphen/>
        <w:t>зу забить проходы солевыми отложениями. Возможно, име</w:t>
      </w:r>
      <w:r w:rsidRPr="007122AB">
        <w:rPr>
          <w:rFonts w:ascii="Times New Roman" w:hAnsi="Times New Roman"/>
          <w:color w:val="000000" w:themeColor="text1"/>
          <w:sz w:val="16"/>
          <w:szCs w:val="16"/>
        </w:rPr>
        <w:softHyphen/>
        <w:t>лась в виду двухконтурная схе</w:t>
      </w:r>
      <w:r w:rsidRPr="007122AB">
        <w:rPr>
          <w:rFonts w:ascii="Times New Roman" w:hAnsi="Times New Roman"/>
          <w:color w:val="000000" w:themeColor="text1"/>
          <w:sz w:val="16"/>
          <w:szCs w:val="16"/>
        </w:rPr>
        <w:softHyphen/>
        <w:t>ма с водо-водяными радиато</w:t>
      </w:r>
      <w:r w:rsidRPr="007122AB">
        <w:rPr>
          <w:rFonts w:ascii="Times New Roman" w:hAnsi="Times New Roman"/>
          <w:color w:val="000000" w:themeColor="text1"/>
          <w:sz w:val="16"/>
          <w:szCs w:val="16"/>
        </w:rPr>
        <w:softHyphen/>
        <w:t>рами (11848).</w:t>
      </w:r>
    </w:p>
    <w:p w14:paraId="2F4427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4AB4A2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работавший в ЦИАМ инженер А.П. Ро предложил проект 24-цилиндрового двигателя Н-образной схемы с двумя коленчатыми вала</w:t>
      </w:r>
      <w:r w:rsidRPr="007122AB">
        <w:rPr>
          <w:rFonts w:ascii="Times New Roman" w:hAnsi="Times New Roman"/>
          <w:color w:val="000000" w:themeColor="text1"/>
          <w:sz w:val="16"/>
          <w:szCs w:val="16"/>
        </w:rPr>
        <w:softHyphen/>
        <w:t>ми, работавшими на общий редуктор. Это был первый проект авиамотора Н-образной схемы в Советском Союзе и, возможно, в мире. Во всяком случае, в этом отношении Ро несколько опередил конструкторов фирмы «</w:t>
      </w:r>
      <w:proofErr w:type="spellStart"/>
      <w:r w:rsidRPr="007122AB">
        <w:rPr>
          <w:rFonts w:ascii="Times New Roman" w:hAnsi="Times New Roman"/>
          <w:color w:val="000000" w:themeColor="text1"/>
          <w:sz w:val="16"/>
          <w:szCs w:val="16"/>
        </w:rPr>
        <w:t>Нэпир</w:t>
      </w:r>
      <w:proofErr w:type="spellEnd"/>
      <w:r w:rsidRPr="007122AB">
        <w:rPr>
          <w:rFonts w:ascii="Times New Roman" w:hAnsi="Times New Roman"/>
          <w:color w:val="000000" w:themeColor="text1"/>
          <w:sz w:val="16"/>
          <w:szCs w:val="16"/>
        </w:rPr>
        <w:t>», которые позже создали удачный мотор «</w:t>
      </w:r>
      <w:proofErr w:type="spellStart"/>
      <w:r w:rsidRPr="007122AB">
        <w:rPr>
          <w:rFonts w:ascii="Times New Roman" w:hAnsi="Times New Roman"/>
          <w:color w:val="000000" w:themeColor="text1"/>
          <w:sz w:val="16"/>
          <w:szCs w:val="16"/>
        </w:rPr>
        <w:t>Дэггер</w:t>
      </w:r>
      <w:proofErr w:type="spellEnd"/>
      <w:r w:rsidRPr="007122AB">
        <w:rPr>
          <w:rFonts w:ascii="Times New Roman" w:hAnsi="Times New Roman"/>
          <w:color w:val="000000" w:themeColor="text1"/>
          <w:sz w:val="16"/>
          <w:szCs w:val="16"/>
        </w:rPr>
        <w:t>», запущенный в серийное производство и устанавливавшийся на самолетах «</w:t>
      </w:r>
      <w:proofErr w:type="spellStart"/>
      <w:r w:rsidRPr="007122AB">
        <w:rPr>
          <w:rFonts w:ascii="Times New Roman" w:hAnsi="Times New Roman"/>
          <w:color w:val="000000" w:themeColor="text1"/>
          <w:sz w:val="16"/>
          <w:szCs w:val="16"/>
        </w:rPr>
        <w:t>Хирфорд</w:t>
      </w:r>
      <w:proofErr w:type="spellEnd"/>
      <w:r w:rsidRPr="007122AB">
        <w:rPr>
          <w:rFonts w:ascii="Times New Roman" w:hAnsi="Times New Roman"/>
          <w:color w:val="000000" w:themeColor="text1"/>
          <w:sz w:val="16"/>
          <w:szCs w:val="16"/>
        </w:rPr>
        <w:t>» и «Гектор». В двигателе Ро использовались четыре блока от новейшего тогда советского мотора М-34 конструкции А.А. Микулина. Однако вскоре эту работу исключили из плана ЦИАМ, возможно, что</w:t>
      </w:r>
      <w:r w:rsidRPr="007122AB">
        <w:rPr>
          <w:rFonts w:ascii="Times New Roman" w:hAnsi="Times New Roman"/>
          <w:color w:val="000000" w:themeColor="text1"/>
          <w:sz w:val="16"/>
          <w:szCs w:val="16"/>
        </w:rPr>
        <w:softHyphen/>
        <w:t>бы сосредоточить силы на создании мощного двигателя М-35, разраба</w:t>
      </w:r>
      <w:r w:rsidRPr="007122AB">
        <w:rPr>
          <w:rFonts w:ascii="Times New Roman" w:hAnsi="Times New Roman"/>
          <w:color w:val="000000" w:themeColor="text1"/>
          <w:sz w:val="16"/>
          <w:szCs w:val="16"/>
        </w:rPr>
        <w:softHyphen/>
        <w:t xml:space="preserve">тывавшегося в </w:t>
      </w:r>
      <w:r w:rsidRPr="007122AB">
        <w:rPr>
          <w:rFonts w:ascii="Times New Roman" w:hAnsi="Times New Roman"/>
          <w:color w:val="000000" w:themeColor="text1"/>
          <w:sz w:val="16"/>
          <w:szCs w:val="16"/>
          <w:lang w:val="en-US"/>
        </w:rPr>
        <w:t>W</w:t>
      </w:r>
      <w:r w:rsidRPr="007122AB">
        <w:rPr>
          <w:rFonts w:ascii="Times New Roman" w:hAnsi="Times New Roman"/>
          <w:color w:val="000000" w:themeColor="text1"/>
          <w:sz w:val="16"/>
          <w:szCs w:val="16"/>
        </w:rPr>
        <w:t>-образной, Х-образной и У-образной компоновках, при</w:t>
      </w:r>
      <w:r w:rsidRPr="007122AB">
        <w:rPr>
          <w:rFonts w:ascii="Times New Roman" w:hAnsi="Times New Roman"/>
          <w:color w:val="000000" w:themeColor="text1"/>
          <w:sz w:val="16"/>
          <w:szCs w:val="16"/>
        </w:rPr>
        <w:softHyphen/>
        <w:t>чем два первых варианта тоже предусматривали использование блоков от М-34. По собственной инициативе позже Ро создал еще несколько про</w:t>
      </w:r>
      <w:r w:rsidRPr="007122AB">
        <w:rPr>
          <w:rFonts w:ascii="Times New Roman" w:hAnsi="Times New Roman"/>
          <w:color w:val="000000" w:themeColor="text1"/>
          <w:sz w:val="16"/>
          <w:szCs w:val="16"/>
        </w:rPr>
        <w:softHyphen/>
        <w:t xml:space="preserve">ектов Н-образных авиационных моторов. Проекты 1932, 1934 и 1936 гг. основывались на блоках от М-34, проект 1937 г. использовал блоки от М-100. Все эти разработки делались им лично и не были воплощены в виде опытных образцов. В декабре 1939 г. А.П. Ро и Е.В. </w:t>
      </w:r>
      <w:proofErr w:type="spellStart"/>
      <w:r w:rsidRPr="007122AB">
        <w:rPr>
          <w:rFonts w:ascii="Times New Roman" w:hAnsi="Times New Roman"/>
          <w:color w:val="000000" w:themeColor="text1"/>
          <w:sz w:val="16"/>
          <w:szCs w:val="16"/>
        </w:rPr>
        <w:t>Урмин</w:t>
      </w:r>
      <w:proofErr w:type="spellEnd"/>
      <w:r w:rsidRPr="007122AB">
        <w:rPr>
          <w:rFonts w:ascii="Times New Roman" w:hAnsi="Times New Roman"/>
          <w:color w:val="000000" w:themeColor="text1"/>
          <w:sz w:val="16"/>
          <w:szCs w:val="16"/>
        </w:rPr>
        <w:t xml:space="preserve"> выступили с предложением построить в ЦИАМ двигатель Н-образной схемы на базе «усовершен</w:t>
      </w:r>
      <w:r w:rsidRPr="007122AB">
        <w:rPr>
          <w:rFonts w:ascii="Times New Roman" w:hAnsi="Times New Roman"/>
          <w:color w:val="000000" w:themeColor="text1"/>
          <w:sz w:val="16"/>
          <w:szCs w:val="16"/>
        </w:rPr>
        <w:softHyphen/>
        <w:t>ствованных блоков М-34» (возможно, М-34ФРНВ) с наддувом и непо</w:t>
      </w:r>
      <w:r w:rsidRPr="007122AB">
        <w:rPr>
          <w:rFonts w:ascii="Times New Roman" w:hAnsi="Times New Roman"/>
          <w:color w:val="000000" w:themeColor="text1"/>
          <w:sz w:val="16"/>
          <w:szCs w:val="16"/>
        </w:rPr>
        <w:softHyphen/>
        <w:t>средственным впрыском топлива. При сухом весе 1400 кг конструкторы обещали получить максимальную мощность 3000 л.с. Но в план ЦИАМ этот проект не включили. В начале 1940 г. Ро на базе проекта 1937 г. создал проект нового дви</w:t>
      </w:r>
      <w:r w:rsidRPr="007122AB">
        <w:rPr>
          <w:rFonts w:ascii="Times New Roman" w:hAnsi="Times New Roman"/>
          <w:color w:val="000000" w:themeColor="text1"/>
          <w:sz w:val="16"/>
          <w:szCs w:val="16"/>
        </w:rPr>
        <w:softHyphen/>
        <w:t>гателя с использованием четырех блоков М-103А, переработанный затем под блоки мотора М-105. Этот проект сочли перспективным и включили в государственный план опытных работ по авиационному моторостроению под обозначением М-130. Согласно постановлению правительства на заво</w:t>
      </w:r>
      <w:r w:rsidRPr="007122AB">
        <w:rPr>
          <w:rFonts w:ascii="Times New Roman" w:hAnsi="Times New Roman"/>
          <w:color w:val="000000" w:themeColor="text1"/>
          <w:sz w:val="16"/>
          <w:szCs w:val="16"/>
        </w:rPr>
        <w:softHyphen/>
        <w:t>де № 27 в Казани сформировали конструкторское бюро, которое должно было завершить проектирование М-130. Там же предполагалось изгото</w:t>
      </w:r>
      <w:r w:rsidRPr="007122AB">
        <w:rPr>
          <w:rFonts w:ascii="Times New Roman" w:hAnsi="Times New Roman"/>
          <w:color w:val="000000" w:themeColor="text1"/>
          <w:sz w:val="16"/>
          <w:szCs w:val="16"/>
        </w:rPr>
        <w:softHyphen/>
        <w:t xml:space="preserve">вить опытные образцы и позднее начать серийное производство. Но работа над М-130 продолжалась недолго. Под давлением руководства НКВД и лично Л.П. Берии М-130 был вытеснен из плана конкурирующим Х-образным мотором МБ-100, созданным в ОТБ НКВД конструкторами-заключенными под руководством А.М. </w:t>
      </w:r>
      <w:proofErr w:type="spellStart"/>
      <w:r w:rsidRPr="007122AB">
        <w:rPr>
          <w:rFonts w:ascii="Times New Roman" w:hAnsi="Times New Roman"/>
          <w:color w:val="000000" w:themeColor="text1"/>
          <w:sz w:val="16"/>
          <w:szCs w:val="16"/>
        </w:rPr>
        <w:t>Добротворского</w:t>
      </w:r>
      <w:proofErr w:type="spellEnd"/>
      <w:r w:rsidRPr="007122AB">
        <w:rPr>
          <w:rFonts w:ascii="Times New Roman" w:hAnsi="Times New Roman"/>
          <w:color w:val="000000" w:themeColor="text1"/>
          <w:sz w:val="16"/>
          <w:szCs w:val="16"/>
        </w:rPr>
        <w:t>. МБ-100 основы</w:t>
      </w:r>
      <w:r w:rsidRPr="007122AB">
        <w:rPr>
          <w:rFonts w:ascii="Times New Roman" w:hAnsi="Times New Roman"/>
          <w:color w:val="000000" w:themeColor="text1"/>
          <w:sz w:val="16"/>
          <w:szCs w:val="16"/>
        </w:rPr>
        <w:softHyphen/>
        <w:t>вался также на блоках М-103А, а затем М-105 и имел несколько худшие расчетные характеристики. Постановлением правительства от 26 сентября 1940 г. работы по М-130 прекратили, коллектив конструкторского бюро, пополнив его доставленными из Москвы заключенными, загрузили про</w:t>
      </w:r>
      <w:r w:rsidRPr="007122AB">
        <w:rPr>
          <w:rFonts w:ascii="Times New Roman" w:hAnsi="Times New Roman"/>
          <w:color w:val="000000" w:themeColor="text1"/>
          <w:sz w:val="16"/>
          <w:szCs w:val="16"/>
        </w:rPr>
        <w:softHyphen/>
        <w:t>ектированием МБ-100.</w:t>
      </w:r>
    </w:p>
    <w:p w14:paraId="1A48F4B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Первоначальный вариант проекта М-130 был разработан А.П. Ро в ЦИАМ в 1939-1940 гг. с использованием элементов проекта 1937 г. Дви</w:t>
      </w:r>
      <w:r w:rsidRPr="007122AB">
        <w:rPr>
          <w:rFonts w:ascii="Times New Roman" w:hAnsi="Times New Roman"/>
          <w:color w:val="000000" w:themeColor="text1"/>
          <w:sz w:val="16"/>
          <w:szCs w:val="16"/>
        </w:rPr>
        <w:softHyphen/>
        <w:t>гатель Н-образный двухвальный с четырьмя блоками от мотора М-105. В 1940 г. сформировали конструкторское бюро при заводе № 27 в Ка</w:t>
      </w:r>
      <w:r w:rsidRPr="007122AB">
        <w:rPr>
          <w:rFonts w:ascii="Times New Roman" w:hAnsi="Times New Roman"/>
          <w:color w:val="000000" w:themeColor="text1"/>
          <w:sz w:val="16"/>
          <w:szCs w:val="16"/>
        </w:rPr>
        <w:softHyphen/>
        <w:t>зани, где под руководством Ро создавался окончательный проект М-130. Окончание проектирования планировалось на сентябрь 1940 г., начало за</w:t>
      </w:r>
      <w:r w:rsidRPr="007122AB">
        <w:rPr>
          <w:rFonts w:ascii="Times New Roman" w:hAnsi="Times New Roman"/>
          <w:color w:val="000000" w:themeColor="text1"/>
          <w:sz w:val="16"/>
          <w:szCs w:val="16"/>
        </w:rPr>
        <w:softHyphen/>
        <w:t>водских испытаний — на январь 1941 г. Постановлением правительства от 26 сентября 1940 г. работы по М-130 прекратили.</w:t>
      </w:r>
    </w:p>
    <w:p w14:paraId="7BE1DB6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22AC3D4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24-цилиндровый, Н-образный рядный, четырехтактный, водяного охлаждения, редукторный, с ПЦН;</w:t>
      </w:r>
    </w:p>
    <w:p w14:paraId="44B8256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148/170 мм;</w:t>
      </w:r>
    </w:p>
    <w:p w14:paraId="67800BB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6,6;</w:t>
      </w:r>
    </w:p>
    <w:p w14:paraId="364DDB1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объем 70,0 л;</w:t>
      </w:r>
    </w:p>
    <w:p w14:paraId="63DA23D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2300/2400 л.с. (по другим источникам, 2300/2500 л.с.);</w:t>
      </w:r>
    </w:p>
    <w:p w14:paraId="429DFB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1100 кг (проектный) (11852).</w:t>
      </w:r>
    </w:p>
    <w:p w14:paraId="41BE66A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5F3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на базе старой площадки завода 1, с которой он переехал в 1930, в старых горячих цехах был создан завод 34 - прокатка алюминиевого и дюралевого листов, производство лент-расчалок и с 1934 - радиаторов. Одновременно был создан 32 завод - производство самолетного вооружения (80,425).</w:t>
      </w:r>
    </w:p>
    <w:p w14:paraId="0807C0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7412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завод 20 выпускал водяные, масляные и бензиновые насосы, клапана, поршневые кольца, литье карбюраторов (80,431).</w:t>
      </w:r>
    </w:p>
    <w:p w14:paraId="7BEC5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4B2AF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на базе Воронежского авиатехникума было создано небольшое КБ </w:t>
      </w:r>
      <w:proofErr w:type="spellStart"/>
      <w:r w:rsidRPr="007122AB">
        <w:rPr>
          <w:rFonts w:ascii="Times New Roman" w:hAnsi="Times New Roman"/>
          <w:color w:val="000000" w:themeColor="text1"/>
          <w:sz w:val="16"/>
          <w:szCs w:val="16"/>
        </w:rPr>
        <w:t>С.А.Москалева</w:t>
      </w:r>
      <w:proofErr w:type="spellEnd"/>
      <w:r w:rsidRPr="007122AB">
        <w:rPr>
          <w:rFonts w:ascii="Times New Roman" w:hAnsi="Times New Roman"/>
          <w:color w:val="000000" w:themeColor="text1"/>
          <w:sz w:val="16"/>
          <w:szCs w:val="16"/>
        </w:rPr>
        <w:t>. Сделал САМ-5 (83,308).</w:t>
      </w:r>
    </w:p>
    <w:p w14:paraId="460A43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D26C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С.В.Ильюшин</w:t>
      </w:r>
      <w:proofErr w:type="spellEnd"/>
      <w:r w:rsidRPr="007122AB">
        <w:rPr>
          <w:rFonts w:ascii="Times New Roman" w:hAnsi="Times New Roman"/>
          <w:color w:val="000000" w:themeColor="text1"/>
          <w:sz w:val="16"/>
          <w:szCs w:val="16"/>
        </w:rPr>
        <w:t xml:space="preserve"> писал статьи по планерам и легкомоторным самолетам, а в 1931 под редакцией </w:t>
      </w:r>
      <w:proofErr w:type="spellStart"/>
      <w:r w:rsidRPr="007122AB">
        <w:rPr>
          <w:rFonts w:ascii="Times New Roman" w:hAnsi="Times New Roman"/>
          <w:color w:val="000000" w:themeColor="text1"/>
          <w:sz w:val="16"/>
          <w:szCs w:val="16"/>
        </w:rPr>
        <w:t>С.В.Ильюшина</w:t>
      </w:r>
      <w:proofErr w:type="spellEnd"/>
      <w:r w:rsidRPr="007122AB">
        <w:rPr>
          <w:rFonts w:ascii="Times New Roman" w:hAnsi="Times New Roman"/>
          <w:color w:val="000000" w:themeColor="text1"/>
          <w:sz w:val="16"/>
          <w:szCs w:val="16"/>
        </w:rPr>
        <w:t xml:space="preserve"> вышел целый сборник "Самолетостроение" (5,8).</w:t>
      </w:r>
    </w:p>
    <w:p w14:paraId="2D9E4C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CDE60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ОКБ МОС, возглавляемое </w:t>
      </w:r>
      <w:proofErr w:type="spellStart"/>
      <w:r w:rsidRPr="007122AB">
        <w:rPr>
          <w:rFonts w:ascii="Times New Roman" w:hAnsi="Times New Roman"/>
          <w:color w:val="000000" w:themeColor="text1"/>
          <w:sz w:val="16"/>
          <w:szCs w:val="16"/>
        </w:rPr>
        <w:t>А.Лавилем</w:t>
      </w:r>
      <w:proofErr w:type="spellEnd"/>
      <w:r w:rsidRPr="007122AB">
        <w:rPr>
          <w:rFonts w:ascii="Times New Roman" w:hAnsi="Times New Roman"/>
          <w:color w:val="000000" w:themeColor="text1"/>
          <w:sz w:val="16"/>
          <w:szCs w:val="16"/>
        </w:rPr>
        <w:t xml:space="preserve"> в 1931 перевели на завод 39 им. Менжинского и переименовали в Бюро новых конструкций (БНК), просуществовавшее до начала 1933 (80,416).</w:t>
      </w:r>
    </w:p>
    <w:p w14:paraId="6A260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EFD66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Начиная с 1931 г., все вопросы, касающиеся переоборудования и вооружения ДВ, решались на авиазаводе №45, расположенном по соседству с судоремонтным заводом в </w:t>
      </w:r>
      <w:proofErr w:type="spellStart"/>
      <w:r w:rsidRPr="007122AB">
        <w:rPr>
          <w:rFonts w:ascii="Times New Roman" w:hAnsi="Times New Roman"/>
          <w:color w:val="000000" w:themeColor="text1"/>
          <w:sz w:val="16"/>
          <w:szCs w:val="16"/>
        </w:rPr>
        <w:t>Килен</w:t>
      </w:r>
      <w:proofErr w:type="spellEnd"/>
      <w:r w:rsidRPr="007122AB">
        <w:rPr>
          <w:rFonts w:ascii="Times New Roman" w:hAnsi="Times New Roman"/>
          <w:color w:val="000000" w:themeColor="text1"/>
          <w:sz w:val="16"/>
          <w:szCs w:val="16"/>
        </w:rPr>
        <w:t>-бухте. В 1933 г. в Круглой бухте Севастополя начали строительство новых корпусов и испытательной базы завода №45. Впрочем, несмотря на расширение и на принадлежность Главному управлению авиапромышленности как самолетостроительное предприятие, 45-й завод на практике оценивался как авиаремонтный завод. Именно здесь велся ремонт и переоборудование летающих лодок Дорнье "Валь", которые позднее большей частью передали в Управление полярной авиации (11961).</w:t>
      </w:r>
    </w:p>
    <w:p w14:paraId="6A501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7641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Казанское вертолетостроительное ПО явилось результатом слияния Ленинградского 387, эвакуированного в 1941 и Казанского завода 169. 387 берет начало от завода им. Каракозова, основанного в 1931, строившего катера и понтоны. Отдан ГУАП в 1940, стал делать У-2. 169 основан в 1933 как завод обозных деталей и включен в АП в 1939 делал крылья и хвосты для И-153, нервюры и лонжероны для </w:t>
      </w:r>
      <w:proofErr w:type="spellStart"/>
      <w:r w:rsidRPr="007122AB">
        <w:rPr>
          <w:rFonts w:ascii="Times New Roman" w:hAnsi="Times New Roman"/>
          <w:color w:val="000000" w:themeColor="text1"/>
          <w:sz w:val="16"/>
          <w:szCs w:val="16"/>
        </w:rPr>
        <w:t>ЛаГГ</w:t>
      </w:r>
      <w:proofErr w:type="spellEnd"/>
      <w:r w:rsidRPr="007122AB">
        <w:rPr>
          <w:rFonts w:ascii="Times New Roman" w:hAnsi="Times New Roman"/>
          <w:color w:val="000000" w:themeColor="text1"/>
          <w:sz w:val="16"/>
          <w:szCs w:val="16"/>
        </w:rPr>
        <w:t xml:space="preserve">. Объединенный 387 сделал 11334 У-2. </w:t>
      </w:r>
      <w:proofErr w:type="spellStart"/>
      <w:r w:rsidRPr="007122AB">
        <w:rPr>
          <w:rFonts w:ascii="Times New Roman" w:hAnsi="Times New Roman"/>
          <w:color w:val="000000" w:themeColor="text1"/>
          <w:sz w:val="16"/>
          <w:szCs w:val="16"/>
        </w:rPr>
        <w:t>КОтдел</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Г.И.Бакшаев</w:t>
      </w:r>
      <w:proofErr w:type="spellEnd"/>
      <w:r w:rsidRPr="007122AB">
        <w:rPr>
          <w:rFonts w:ascii="Times New Roman" w:hAnsi="Times New Roman"/>
          <w:color w:val="000000" w:themeColor="text1"/>
          <w:sz w:val="16"/>
          <w:szCs w:val="16"/>
        </w:rPr>
        <w:t xml:space="preserve"> (62,265) (62,264).</w:t>
      </w:r>
    </w:p>
    <w:p w14:paraId="39B9C3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68FCB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по письму </w:t>
      </w:r>
      <w:proofErr w:type="spellStart"/>
      <w:r w:rsidRPr="007122AB">
        <w:rPr>
          <w:rFonts w:ascii="Times New Roman" w:hAnsi="Times New Roman"/>
          <w:color w:val="000000" w:themeColor="text1"/>
          <w:sz w:val="16"/>
          <w:szCs w:val="16"/>
        </w:rPr>
        <w:t>Авиастроя</w:t>
      </w:r>
      <w:proofErr w:type="spellEnd"/>
      <w:r w:rsidRPr="007122AB">
        <w:rPr>
          <w:rFonts w:ascii="Times New Roman" w:hAnsi="Times New Roman"/>
          <w:color w:val="000000" w:themeColor="text1"/>
          <w:sz w:val="16"/>
          <w:szCs w:val="16"/>
        </w:rPr>
        <w:t xml:space="preserve"> НКТП за № 587/А281 от 21 ноября 1931 года «</w:t>
      </w:r>
      <w:proofErr w:type="spellStart"/>
      <w:r w:rsidRPr="007122AB">
        <w:rPr>
          <w:rFonts w:ascii="Times New Roman" w:hAnsi="Times New Roman"/>
          <w:color w:val="000000" w:themeColor="text1"/>
          <w:sz w:val="16"/>
          <w:szCs w:val="16"/>
        </w:rPr>
        <w:t>Гипроавиа</w:t>
      </w:r>
      <w:proofErr w:type="spellEnd"/>
      <w:r w:rsidRPr="007122AB">
        <w:rPr>
          <w:rFonts w:ascii="Times New Roman" w:hAnsi="Times New Roman"/>
          <w:color w:val="000000" w:themeColor="text1"/>
          <w:sz w:val="16"/>
          <w:szCs w:val="16"/>
        </w:rPr>
        <w:t>» был разработан новый проект реконструкции завода на выпуск самолетов типа ТШ-2.</w:t>
      </w:r>
    </w:p>
    <w:p w14:paraId="758BE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был организован завод «Теплоприбор». Завод занимал верхние этажи, а в первом этаже до 1938 года оставалась прачечная.</w:t>
      </w:r>
    </w:p>
    <w:p w14:paraId="13F1F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Ленинград, Д-11, ул. Плеханова, д. 5, п/я 597</w:t>
      </w:r>
    </w:p>
    <w:p w14:paraId="448AD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Производственный профиль завода – выпуск приборов для радиолокационной промышленности</w:t>
      </w:r>
    </w:p>
    <w:p w14:paraId="1D232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278 размещается на площадях, которые вплоть до 1930 года использовались как жилые, а первый этаж гл. корпуса был занят под прачечную.</w:t>
      </w:r>
    </w:p>
    <w:p w14:paraId="690A50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 году прачечная освободила занимаемое помещение. В этом же году был построен корпус инструментального цеха.</w:t>
      </w:r>
    </w:p>
    <w:p w14:paraId="4BB9DF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w:t>
      </w:r>
      <w:proofErr w:type="spellStart"/>
      <w:r w:rsidRPr="007122AB">
        <w:rPr>
          <w:rFonts w:ascii="Times New Roman" w:hAnsi="Times New Roman"/>
          <w:color w:val="000000" w:themeColor="text1"/>
          <w:sz w:val="16"/>
          <w:szCs w:val="16"/>
        </w:rPr>
        <w:t>Теплоконтроль</w:t>
      </w:r>
      <w:proofErr w:type="spellEnd"/>
      <w:r w:rsidRPr="007122AB">
        <w:rPr>
          <w:rFonts w:ascii="Times New Roman" w:hAnsi="Times New Roman"/>
          <w:color w:val="000000" w:themeColor="text1"/>
          <w:sz w:val="16"/>
          <w:szCs w:val="16"/>
        </w:rPr>
        <w:t>» входил в НКАП ВОТИ и выпускал газоанализаторы. В 1941 году завод переведен на выпуск продукции для фронта. С 1941 года до 1942 года завод выпускал запалы к гранатам Ковешникова и мины к 50 мм минометам. В августе 1942 года завод был эвакуирован в Ульяновск на площадь строящейся макаронной фабрики и влился в завод № 280. В 1943 году на площадь завода № 278 в Ленинграде было вновь завезено все оборудование и завод начал выпускать затворы к ручному пулемету системы Дегтярева и затворы к автоматам системы ППД.</w:t>
      </w:r>
    </w:p>
    <w:p w14:paraId="34BBF6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ГОКО № 3919с от 18 </w:t>
      </w:r>
      <w:proofErr w:type="spellStart"/>
      <w:r w:rsidRPr="007122AB">
        <w:rPr>
          <w:rFonts w:ascii="Times New Roman" w:hAnsi="Times New Roman"/>
          <w:color w:val="000000" w:themeColor="text1"/>
          <w:sz w:val="16"/>
          <w:szCs w:val="16"/>
        </w:rPr>
        <w:t>пагуста</w:t>
      </w:r>
      <w:proofErr w:type="spellEnd"/>
      <w:r w:rsidRPr="007122AB">
        <w:rPr>
          <w:rFonts w:ascii="Times New Roman" w:hAnsi="Times New Roman"/>
          <w:color w:val="000000" w:themeColor="text1"/>
          <w:sz w:val="16"/>
          <w:szCs w:val="16"/>
        </w:rPr>
        <w:t xml:space="preserve"> 1943 года и приказу № 532с НКАП от 3 сентября 1943 года и приказу № 52с от 8 сентября 1943 года по 5-му гл. управлению о восстановлении завода и дальнейшего развития производства приборов теплотехнического контроля и электроизмерительных приборов на заводах 5-го гл. управления, завод вновь перешел на выпуск газоанализаторов. В 1944 году по приказу № 74сс 17-го гл. управления от 19 октября 1944 года (приказ НКАП № 605сс от 13 октября 1944 года) производство газоанализаторов переведено на завод № 218 НКАП.</w:t>
      </w:r>
    </w:p>
    <w:p w14:paraId="29F965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57сс НКАП от 10 ноября 1945 года завод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5FA79B5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3BFF21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1002C3" w:rsidRPr="007122AB" w14:paraId="3A1CC07C" w14:textId="77777777">
        <w:tc>
          <w:tcPr>
            <w:tcW w:w="3227" w:type="dxa"/>
          </w:tcPr>
          <w:p w14:paraId="45BE0D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Периоды</w:t>
            </w:r>
          </w:p>
        </w:tc>
        <w:tc>
          <w:tcPr>
            <w:tcW w:w="3402" w:type="dxa"/>
          </w:tcPr>
          <w:p w14:paraId="272914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Директора</w:t>
            </w:r>
          </w:p>
        </w:tc>
        <w:tc>
          <w:tcPr>
            <w:tcW w:w="3402" w:type="dxa"/>
          </w:tcPr>
          <w:p w14:paraId="6E0E6A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конструкторы</w:t>
            </w:r>
          </w:p>
        </w:tc>
      </w:tr>
      <w:tr w:rsidR="001002C3" w:rsidRPr="007122AB" w14:paraId="1AD540F3" w14:textId="77777777">
        <w:tc>
          <w:tcPr>
            <w:tcW w:w="3227" w:type="dxa"/>
          </w:tcPr>
          <w:p w14:paraId="7C1118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1931-1936 гг.</w:t>
            </w:r>
          </w:p>
        </w:tc>
        <w:tc>
          <w:tcPr>
            <w:tcW w:w="3402" w:type="dxa"/>
          </w:tcPr>
          <w:p w14:paraId="36E232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Капитан Н.С.</w:t>
            </w:r>
          </w:p>
        </w:tc>
        <w:tc>
          <w:tcPr>
            <w:tcW w:w="3402" w:type="dxa"/>
          </w:tcPr>
          <w:p w14:paraId="1EC8DD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Ершов Б.Б.</w:t>
            </w:r>
          </w:p>
        </w:tc>
      </w:tr>
      <w:tr w:rsidR="001002C3" w:rsidRPr="007122AB" w14:paraId="3BBF0AE7" w14:textId="77777777">
        <w:tc>
          <w:tcPr>
            <w:tcW w:w="3227" w:type="dxa"/>
          </w:tcPr>
          <w:p w14:paraId="02295C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1936-1938 гг.</w:t>
            </w:r>
          </w:p>
        </w:tc>
        <w:tc>
          <w:tcPr>
            <w:tcW w:w="3402" w:type="dxa"/>
          </w:tcPr>
          <w:p w14:paraId="07BF49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Павленко И.Н.</w:t>
            </w:r>
          </w:p>
        </w:tc>
        <w:tc>
          <w:tcPr>
            <w:tcW w:w="3402" w:type="dxa"/>
          </w:tcPr>
          <w:p w14:paraId="50788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Ершов Б.Б.</w:t>
            </w:r>
          </w:p>
        </w:tc>
      </w:tr>
      <w:tr w:rsidR="001002C3" w:rsidRPr="007122AB" w14:paraId="423C1E5D" w14:textId="77777777">
        <w:tc>
          <w:tcPr>
            <w:tcW w:w="3227" w:type="dxa"/>
          </w:tcPr>
          <w:p w14:paraId="2B121A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1938-1940 гг.</w:t>
            </w:r>
          </w:p>
        </w:tc>
        <w:tc>
          <w:tcPr>
            <w:tcW w:w="3402" w:type="dxa"/>
          </w:tcPr>
          <w:p w14:paraId="708CD7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Зернов И.П.</w:t>
            </w:r>
          </w:p>
        </w:tc>
        <w:tc>
          <w:tcPr>
            <w:tcW w:w="3402" w:type="dxa"/>
          </w:tcPr>
          <w:p w14:paraId="6646B9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Власов В.П.</w:t>
            </w:r>
          </w:p>
        </w:tc>
      </w:tr>
      <w:tr w:rsidR="001002C3" w:rsidRPr="007122AB" w14:paraId="1C2DEB5E" w14:textId="77777777">
        <w:tc>
          <w:tcPr>
            <w:tcW w:w="3227" w:type="dxa"/>
          </w:tcPr>
          <w:p w14:paraId="1765B6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1941-1942 гг.</w:t>
            </w:r>
          </w:p>
        </w:tc>
        <w:tc>
          <w:tcPr>
            <w:tcW w:w="3402" w:type="dxa"/>
          </w:tcPr>
          <w:p w14:paraId="340973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Комиссаров М.И.</w:t>
            </w:r>
          </w:p>
        </w:tc>
        <w:tc>
          <w:tcPr>
            <w:tcW w:w="3402" w:type="dxa"/>
          </w:tcPr>
          <w:p w14:paraId="69A28D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Власов В.П.</w:t>
            </w:r>
          </w:p>
        </w:tc>
      </w:tr>
      <w:tr w:rsidR="001002C3" w:rsidRPr="007122AB" w14:paraId="18CDB9D8" w14:textId="77777777">
        <w:tc>
          <w:tcPr>
            <w:tcW w:w="3227" w:type="dxa"/>
          </w:tcPr>
          <w:p w14:paraId="28AB41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1942-1943 гг.</w:t>
            </w:r>
          </w:p>
        </w:tc>
        <w:tc>
          <w:tcPr>
            <w:tcW w:w="3402" w:type="dxa"/>
          </w:tcPr>
          <w:p w14:paraId="4CF9C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Степанов Г.С.</w:t>
            </w:r>
          </w:p>
        </w:tc>
        <w:tc>
          <w:tcPr>
            <w:tcW w:w="3402" w:type="dxa"/>
          </w:tcPr>
          <w:p w14:paraId="25A07C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Уласов</w:t>
            </w:r>
          </w:p>
        </w:tc>
      </w:tr>
      <w:tr w:rsidR="001002C3" w:rsidRPr="007122AB" w14:paraId="7EC87813" w14:textId="77777777">
        <w:tc>
          <w:tcPr>
            <w:tcW w:w="3227" w:type="dxa"/>
          </w:tcPr>
          <w:p w14:paraId="275F5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1944-1945 гг.</w:t>
            </w:r>
          </w:p>
        </w:tc>
        <w:tc>
          <w:tcPr>
            <w:tcW w:w="3402" w:type="dxa"/>
          </w:tcPr>
          <w:p w14:paraId="0E9E93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Петров А.Б.</w:t>
            </w:r>
          </w:p>
        </w:tc>
        <w:tc>
          <w:tcPr>
            <w:tcW w:w="3402" w:type="dxa"/>
          </w:tcPr>
          <w:p w14:paraId="74807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Эмдин</w:t>
            </w:r>
          </w:p>
        </w:tc>
      </w:tr>
      <w:tr w:rsidR="001002C3" w:rsidRPr="007122AB" w14:paraId="65021074" w14:textId="77777777">
        <w:tc>
          <w:tcPr>
            <w:tcW w:w="3227" w:type="dxa"/>
          </w:tcPr>
          <w:p w14:paraId="6BB370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1945-1948 гг.</w:t>
            </w:r>
          </w:p>
        </w:tc>
        <w:tc>
          <w:tcPr>
            <w:tcW w:w="3402" w:type="dxa"/>
          </w:tcPr>
          <w:p w14:paraId="5DE46C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Полонников</w:t>
            </w:r>
            <w:proofErr w:type="spellEnd"/>
            <w:r w:rsidRPr="007122AB">
              <w:rPr>
                <w:rFonts w:ascii="Times New Roman" w:hAnsi="Times New Roman"/>
                <w:color w:val="000000" w:themeColor="text1"/>
                <w:sz w:val="16"/>
                <w:szCs w:val="16"/>
              </w:rPr>
              <w:t xml:space="preserve"> И.П.</w:t>
            </w:r>
          </w:p>
        </w:tc>
        <w:tc>
          <w:tcPr>
            <w:tcW w:w="3402" w:type="dxa"/>
          </w:tcPr>
          <w:p w14:paraId="1F1433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Карасев И.Д.</w:t>
            </w:r>
          </w:p>
        </w:tc>
      </w:tr>
      <w:tr w:rsidR="001002C3" w:rsidRPr="007122AB" w14:paraId="2ECEB19B" w14:textId="77777777">
        <w:tc>
          <w:tcPr>
            <w:tcW w:w="3227" w:type="dxa"/>
          </w:tcPr>
          <w:p w14:paraId="1B3E2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1949-1950 гг.</w:t>
            </w:r>
          </w:p>
        </w:tc>
        <w:tc>
          <w:tcPr>
            <w:tcW w:w="3402" w:type="dxa"/>
          </w:tcPr>
          <w:p w14:paraId="3A0783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Аверин Н.В.</w:t>
            </w:r>
          </w:p>
        </w:tc>
        <w:tc>
          <w:tcPr>
            <w:tcW w:w="3402" w:type="dxa"/>
          </w:tcPr>
          <w:p w14:paraId="4D541C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Карасев И.Д.</w:t>
            </w:r>
          </w:p>
        </w:tc>
      </w:tr>
      <w:tr w:rsidR="001002C3" w:rsidRPr="007122AB" w14:paraId="022FD2EE" w14:textId="77777777">
        <w:tc>
          <w:tcPr>
            <w:tcW w:w="3227" w:type="dxa"/>
          </w:tcPr>
          <w:p w14:paraId="4A8055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1950-1951 гг.</w:t>
            </w:r>
          </w:p>
        </w:tc>
        <w:tc>
          <w:tcPr>
            <w:tcW w:w="3402" w:type="dxa"/>
          </w:tcPr>
          <w:p w14:paraId="386C93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Андреев Л.В.</w:t>
            </w:r>
          </w:p>
        </w:tc>
        <w:tc>
          <w:tcPr>
            <w:tcW w:w="3402" w:type="dxa"/>
          </w:tcPr>
          <w:p w14:paraId="3871D6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Рыбаков В.С.</w:t>
            </w:r>
          </w:p>
        </w:tc>
      </w:tr>
      <w:tr w:rsidR="001002C3" w:rsidRPr="007122AB" w14:paraId="45B8E53A" w14:textId="77777777">
        <w:tc>
          <w:tcPr>
            <w:tcW w:w="3227" w:type="dxa"/>
          </w:tcPr>
          <w:p w14:paraId="7FBBB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Июнь 1952 – 1953 гг.</w:t>
            </w:r>
          </w:p>
        </w:tc>
        <w:tc>
          <w:tcPr>
            <w:tcW w:w="3402" w:type="dxa"/>
          </w:tcPr>
          <w:p w14:paraId="5F76993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3E0E4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Рыбаков В.С.</w:t>
            </w:r>
          </w:p>
        </w:tc>
      </w:tr>
      <w:tr w:rsidR="001002C3" w:rsidRPr="007122AB" w14:paraId="26CDA970" w14:textId="77777777">
        <w:tc>
          <w:tcPr>
            <w:tcW w:w="3227" w:type="dxa"/>
          </w:tcPr>
          <w:p w14:paraId="613EAD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Август 1953-1959 гг.</w:t>
            </w:r>
          </w:p>
        </w:tc>
        <w:tc>
          <w:tcPr>
            <w:tcW w:w="3402" w:type="dxa"/>
          </w:tcPr>
          <w:p w14:paraId="3CA503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Солодовников В.И.</w:t>
            </w:r>
          </w:p>
        </w:tc>
        <w:tc>
          <w:tcPr>
            <w:tcW w:w="3402" w:type="dxa"/>
          </w:tcPr>
          <w:p w14:paraId="217F2C2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Рыбаков В.С.</w:t>
            </w:r>
          </w:p>
        </w:tc>
      </w:tr>
    </w:tbl>
    <w:p w14:paraId="3AE9FC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(9484)</w:t>
      </w:r>
    </w:p>
    <w:p w14:paraId="3D806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29A15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Ремонтные мастерские, которые занималась Центральными мастерскими «Добролет», перебазированными с Красноармейской улицы, д. 17, в 1930 на территорию «А» (бывш. завод № 482) завода № 240, были переименованы в Центральную авиационную ремонтную базу ГВФ (ЦАРБ).</w:t>
      </w:r>
    </w:p>
    <w:p w14:paraId="6C2EDA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5C8D9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октябре 1941 года филиал завода № 1 эвакуировался в Куйбышев.</w:t>
      </w:r>
    </w:p>
    <w:p w14:paraId="3E62F4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декабря 1941 года в течение 5 месяцев на территории «А» размещались фронтовые </w:t>
      </w:r>
      <w:proofErr w:type="spellStart"/>
      <w:r w:rsidRPr="007122AB">
        <w:rPr>
          <w:rFonts w:ascii="Times New Roman" w:hAnsi="Times New Roman"/>
          <w:color w:val="000000" w:themeColor="text1"/>
          <w:sz w:val="16"/>
          <w:szCs w:val="16"/>
        </w:rPr>
        <w:t>авиамастерские</w:t>
      </w:r>
      <w:proofErr w:type="spellEnd"/>
      <w:r w:rsidRPr="007122AB">
        <w:rPr>
          <w:rFonts w:ascii="Times New Roman" w:hAnsi="Times New Roman"/>
          <w:color w:val="000000" w:themeColor="text1"/>
          <w:sz w:val="16"/>
          <w:szCs w:val="16"/>
        </w:rPr>
        <w:t xml:space="preserve"> № 84, которые занимались ремонтом самолетов Харрикейн и ИЛ-2.</w:t>
      </w:r>
    </w:p>
    <w:p w14:paraId="75385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0D371E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1697F0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E0480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ОКБ гл. конструктора С.В.И., созданное в 1933 году, до получения самостоятельной производственной базы размещалось (до эвакуации в </w:t>
      </w:r>
      <w:proofErr w:type="spellStart"/>
      <w:r w:rsidRPr="007122AB">
        <w:rPr>
          <w:rFonts w:ascii="Times New Roman" w:hAnsi="Times New Roman"/>
          <w:color w:val="000000" w:themeColor="text1"/>
          <w:sz w:val="16"/>
          <w:szCs w:val="16"/>
        </w:rPr>
        <w:t>куйбышев</w:t>
      </w:r>
      <w:proofErr w:type="spellEnd"/>
      <w:r w:rsidRPr="007122AB">
        <w:rPr>
          <w:rFonts w:ascii="Times New Roman" w:hAnsi="Times New Roman"/>
          <w:color w:val="000000" w:themeColor="text1"/>
          <w:sz w:val="16"/>
          <w:szCs w:val="16"/>
        </w:rPr>
        <w:t>) на территории завода № 39 НКАП, где постройку опытных самолетов осуществлял опытных цех завода № 39.</w:t>
      </w:r>
    </w:p>
    <w:p w14:paraId="6DC005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Москва, Д-167, Ленинградский проспект, д. 45 г, п/я 2418</w:t>
      </w:r>
    </w:p>
    <w:p w14:paraId="7A9E18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w:t>
      </w:r>
      <w:proofErr w:type="spellStart"/>
      <w:r w:rsidRPr="007122AB">
        <w:rPr>
          <w:rFonts w:ascii="Times New Roman" w:hAnsi="Times New Roman"/>
          <w:color w:val="000000" w:themeColor="text1"/>
          <w:sz w:val="16"/>
          <w:szCs w:val="16"/>
        </w:rPr>
        <w:t>казань</w:t>
      </w:r>
      <w:proofErr w:type="spellEnd"/>
      <w:r w:rsidRPr="007122AB">
        <w:rPr>
          <w:rFonts w:ascii="Times New Roman" w:hAnsi="Times New Roman"/>
          <w:color w:val="000000" w:themeColor="text1"/>
          <w:sz w:val="16"/>
          <w:szCs w:val="16"/>
        </w:rPr>
        <w:t xml:space="preserve"> и по возвращении в Москву оборудования в достаточной мере не оказалось (9594).</w:t>
      </w:r>
    </w:p>
    <w:p w14:paraId="1E2DD6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88916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на базе завода "Взрыватель" для ремонта самолетов и моторов создается Воронежский завод №16. Уже на 1932 год завод имел объемную программу по ремонту моторов и самолетов. Но в октябре 1931 года разрабатывается проект реконструкции завода - теперь уже для выпуска самолетов. В начале 1932 года реконструкция в основном была завершена, значительная часть инженерно-технических работников прошла переподготовку на родственных предприятиях Москвы (9688). 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153E18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w:t>
      </w:r>
    </w:p>
    <w:p w14:paraId="0A3AB2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А в феврале 1934 года по приказу Главного управления </w:t>
      </w:r>
      <w:proofErr w:type="spellStart"/>
      <w:r w:rsidRPr="007122AB">
        <w:rPr>
          <w:rFonts w:ascii="Times New Roman" w:hAnsi="Times New Roman"/>
          <w:color w:val="000000" w:themeColor="text1"/>
          <w:sz w:val="16"/>
          <w:szCs w:val="16"/>
        </w:rPr>
        <w:t>управления</w:t>
      </w:r>
      <w:proofErr w:type="spellEnd"/>
      <w:r w:rsidRPr="007122AB">
        <w:rPr>
          <w:rFonts w:ascii="Times New Roman" w:hAnsi="Times New Roman"/>
          <w:color w:val="000000" w:themeColor="text1"/>
          <w:sz w:val="16"/>
          <w:szCs w:val="16"/>
        </w:rPr>
        <w:t xml:space="preserve"> авиационной </w:t>
      </w:r>
      <w:proofErr w:type="spellStart"/>
      <w:r w:rsidRPr="007122AB">
        <w:rPr>
          <w:rFonts w:ascii="Times New Roman" w:hAnsi="Times New Roman"/>
          <w:color w:val="000000" w:themeColor="text1"/>
          <w:sz w:val="16"/>
          <w:szCs w:val="16"/>
        </w:rPr>
        <w:t>промыш</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ленности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Гипроавиапром</w:t>
      </w:r>
      <w:proofErr w:type="spellEnd"/>
      <w:r w:rsidRPr="007122AB">
        <w:rPr>
          <w:rFonts w:ascii="Times New Roman" w:hAnsi="Times New Roman"/>
          <w:color w:val="000000" w:themeColor="text1"/>
          <w:sz w:val="16"/>
          <w:szCs w:val="16"/>
        </w:rPr>
        <w:t xml:space="preserve">" разрабатывается еще один </w:t>
      </w:r>
      <w:proofErr w:type="spellStart"/>
      <w:r w:rsidRPr="007122AB">
        <w:rPr>
          <w:rFonts w:ascii="Times New Roman" w:hAnsi="Times New Roman"/>
          <w:color w:val="000000" w:themeColor="text1"/>
          <w:sz w:val="16"/>
          <w:szCs w:val="16"/>
        </w:rPr>
        <w:t>прект</w:t>
      </w:r>
      <w:proofErr w:type="spellEnd"/>
      <w:r w:rsidRPr="007122AB">
        <w:rPr>
          <w:rFonts w:ascii="Times New Roman" w:hAnsi="Times New Roman"/>
          <w:color w:val="000000" w:themeColor="text1"/>
          <w:sz w:val="16"/>
          <w:szCs w:val="16"/>
        </w:rPr>
        <w:t xml:space="preserve">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08E1DA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5B85F2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w:t>
      </w:r>
      <w:proofErr w:type="spellStart"/>
      <w:r w:rsidRPr="007122AB">
        <w:rPr>
          <w:rFonts w:ascii="Times New Roman" w:hAnsi="Times New Roman"/>
          <w:color w:val="000000" w:themeColor="text1"/>
          <w:sz w:val="16"/>
          <w:szCs w:val="16"/>
        </w:rPr>
        <w:t>внутрецехового</w:t>
      </w:r>
      <w:proofErr w:type="spellEnd"/>
      <w:r w:rsidRPr="007122AB">
        <w:rPr>
          <w:rFonts w:ascii="Times New Roman" w:hAnsi="Times New Roman"/>
          <w:color w:val="000000" w:themeColor="text1"/>
          <w:sz w:val="16"/>
          <w:szCs w:val="16"/>
        </w:rPr>
        <w:t xml:space="preserve"> планирования. В 1939 году завод получил задание - освоить новый первоклассный мотор ВК-105 конструкции В.Я. Климова.</w:t>
      </w:r>
    </w:p>
    <w:p w14:paraId="3CB4DC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Этот мотор, мощностью 1100 л/с и с ресурсом - 100 часов, был </w:t>
      </w:r>
      <w:proofErr w:type="spellStart"/>
      <w:r w:rsidRPr="007122AB">
        <w:rPr>
          <w:rFonts w:ascii="Times New Roman" w:hAnsi="Times New Roman"/>
          <w:color w:val="000000" w:themeColor="text1"/>
          <w:sz w:val="16"/>
          <w:szCs w:val="16"/>
        </w:rPr>
        <w:t>расчитан</w:t>
      </w:r>
      <w:proofErr w:type="spellEnd"/>
      <w:r w:rsidRPr="007122AB">
        <w:rPr>
          <w:rFonts w:ascii="Times New Roman" w:hAnsi="Times New Roman"/>
          <w:color w:val="000000" w:themeColor="text1"/>
          <w:sz w:val="16"/>
          <w:szCs w:val="16"/>
        </w:rPr>
        <w:t xml:space="preserve">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w:t>
      </w:r>
      <w:proofErr w:type="spellStart"/>
      <w:r w:rsidRPr="007122AB">
        <w:rPr>
          <w:rFonts w:ascii="Times New Roman" w:hAnsi="Times New Roman"/>
          <w:color w:val="000000" w:themeColor="text1"/>
          <w:sz w:val="16"/>
          <w:szCs w:val="16"/>
        </w:rPr>
        <w:t>пропроизошла</w:t>
      </w:r>
      <w:proofErr w:type="spellEnd"/>
      <w:r w:rsidRPr="007122AB">
        <w:rPr>
          <w:rFonts w:ascii="Times New Roman" w:hAnsi="Times New Roman"/>
          <w:color w:val="000000" w:themeColor="text1"/>
          <w:sz w:val="16"/>
          <w:szCs w:val="16"/>
        </w:rPr>
        <w:t xml:space="preserve">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018E8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562B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по решению НКТП на площадке фабрики «</w:t>
      </w:r>
      <w:proofErr w:type="spellStart"/>
      <w:r w:rsidRPr="007122AB">
        <w:rPr>
          <w:rFonts w:ascii="Times New Roman" w:hAnsi="Times New Roman"/>
          <w:color w:val="000000" w:themeColor="text1"/>
          <w:sz w:val="16"/>
          <w:szCs w:val="16"/>
        </w:rPr>
        <w:t>Госзнак</w:t>
      </w:r>
      <w:proofErr w:type="spellEnd"/>
      <w:r w:rsidRPr="007122AB">
        <w:rPr>
          <w:rFonts w:ascii="Times New Roman" w:hAnsi="Times New Roman"/>
          <w:color w:val="000000" w:themeColor="text1"/>
          <w:sz w:val="16"/>
          <w:szCs w:val="16"/>
        </w:rPr>
        <w:t>» (Лужнецкая набережная) на базе производственных мастерских «</w:t>
      </w:r>
      <w:proofErr w:type="spellStart"/>
      <w:r w:rsidRPr="007122AB">
        <w:rPr>
          <w:rFonts w:ascii="Times New Roman" w:hAnsi="Times New Roman"/>
          <w:color w:val="000000" w:themeColor="text1"/>
          <w:sz w:val="16"/>
          <w:szCs w:val="16"/>
        </w:rPr>
        <w:t>Оргметалла</w:t>
      </w:r>
      <w:proofErr w:type="spellEnd"/>
      <w:r w:rsidRPr="007122AB">
        <w:rPr>
          <w:rFonts w:ascii="Times New Roman" w:hAnsi="Times New Roman"/>
          <w:color w:val="000000" w:themeColor="text1"/>
          <w:sz w:val="16"/>
          <w:szCs w:val="16"/>
        </w:rPr>
        <w:t>», которые работали на Каланчевской площади при демонстрационном зале, был организован завод по изготовлению штампов, приспособлений и прессформ.</w:t>
      </w:r>
    </w:p>
    <w:p w14:paraId="08C9A5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назывался «Завод приспособлений и штампов». В конце 1934 года по решению Совнаркома завод перешел в ведение НКОП, в 1938 году стал называться «Завод штампов и приспособлений </w:t>
      </w:r>
      <w:proofErr w:type="spellStart"/>
      <w:r w:rsidRPr="007122AB">
        <w:rPr>
          <w:rFonts w:ascii="Times New Roman" w:hAnsi="Times New Roman"/>
          <w:color w:val="000000" w:themeColor="text1"/>
          <w:sz w:val="16"/>
          <w:szCs w:val="16"/>
        </w:rPr>
        <w:t>Оргавиапрома</w:t>
      </w:r>
      <w:proofErr w:type="spellEnd"/>
      <w:r w:rsidRPr="007122AB">
        <w:rPr>
          <w:rFonts w:ascii="Times New Roman" w:hAnsi="Times New Roman"/>
          <w:color w:val="000000" w:themeColor="text1"/>
          <w:sz w:val="16"/>
          <w:szCs w:val="16"/>
        </w:rPr>
        <w:t>».</w:t>
      </w:r>
    </w:p>
    <w:p w14:paraId="3ADF70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Согласно приказа НКАП за № 299 от 24 октября 1940 года на базе трех заводов:</w:t>
      </w:r>
    </w:p>
    <w:p w14:paraId="28D983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 штампов и приспособлений</w:t>
      </w:r>
    </w:p>
    <w:p w14:paraId="3B93BF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Завода № 1 треста </w:t>
      </w:r>
      <w:proofErr w:type="spellStart"/>
      <w:r w:rsidRPr="007122AB">
        <w:rPr>
          <w:rFonts w:ascii="Times New Roman" w:hAnsi="Times New Roman"/>
          <w:color w:val="000000" w:themeColor="text1"/>
          <w:sz w:val="16"/>
          <w:szCs w:val="16"/>
        </w:rPr>
        <w:t>Оргавиапрома</w:t>
      </w:r>
      <w:proofErr w:type="spellEnd"/>
      <w:r w:rsidRPr="007122AB">
        <w:rPr>
          <w:rFonts w:ascii="Times New Roman" w:hAnsi="Times New Roman"/>
          <w:color w:val="000000" w:themeColor="text1"/>
          <w:sz w:val="16"/>
          <w:szCs w:val="16"/>
        </w:rPr>
        <w:t>, переданного в НКАП в 1939 году и</w:t>
      </w:r>
    </w:p>
    <w:p w14:paraId="2E39537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Завода № 1 «</w:t>
      </w:r>
      <w:proofErr w:type="spellStart"/>
      <w:r w:rsidRPr="007122AB">
        <w:rPr>
          <w:rFonts w:ascii="Times New Roman" w:hAnsi="Times New Roman"/>
          <w:color w:val="000000" w:themeColor="text1"/>
          <w:sz w:val="16"/>
          <w:szCs w:val="16"/>
        </w:rPr>
        <w:t>Оргавиапрома</w:t>
      </w:r>
      <w:proofErr w:type="spellEnd"/>
      <w:r w:rsidRPr="007122AB">
        <w:rPr>
          <w:rFonts w:ascii="Times New Roman" w:hAnsi="Times New Roman"/>
          <w:color w:val="000000" w:themeColor="text1"/>
          <w:sz w:val="16"/>
          <w:szCs w:val="16"/>
        </w:rPr>
        <w:t xml:space="preserve">» В октябре 1941 года инструментальный завод № 1 </w:t>
      </w:r>
      <w:proofErr w:type="spellStart"/>
      <w:r w:rsidRPr="007122AB">
        <w:rPr>
          <w:rFonts w:ascii="Times New Roman" w:hAnsi="Times New Roman"/>
          <w:color w:val="000000" w:themeColor="text1"/>
          <w:sz w:val="16"/>
          <w:szCs w:val="16"/>
        </w:rPr>
        <w:t>Оргавиапрома</w:t>
      </w:r>
      <w:proofErr w:type="spellEnd"/>
      <w:r w:rsidRPr="007122AB">
        <w:rPr>
          <w:rFonts w:ascii="Times New Roman" w:hAnsi="Times New Roman"/>
          <w:color w:val="000000" w:themeColor="text1"/>
          <w:sz w:val="16"/>
          <w:szCs w:val="16"/>
        </w:rPr>
        <w:t xml:space="preserve"> был эвакуирован в Куйбышев, где разместился на площади бытовок завода № 122.</w:t>
      </w:r>
    </w:p>
    <w:p w14:paraId="684478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НКАП за № 709 от 18 сентября 1942 года инструментальный завод № 1 </w:t>
      </w:r>
      <w:proofErr w:type="spellStart"/>
      <w:r w:rsidRPr="007122AB">
        <w:rPr>
          <w:rFonts w:ascii="Times New Roman" w:hAnsi="Times New Roman"/>
          <w:color w:val="000000" w:themeColor="text1"/>
          <w:sz w:val="16"/>
          <w:szCs w:val="16"/>
        </w:rPr>
        <w:t>Оргавиапрома</w:t>
      </w:r>
      <w:proofErr w:type="spellEnd"/>
      <w:r w:rsidRPr="007122AB">
        <w:rPr>
          <w:rFonts w:ascii="Times New Roman" w:hAnsi="Times New Roman"/>
          <w:color w:val="000000" w:themeColor="text1"/>
          <w:sz w:val="16"/>
          <w:szCs w:val="16"/>
        </w:rPr>
        <w:t xml:space="preserve">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25C4AA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04C806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08AA7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w:t>
      </w:r>
      <w:proofErr w:type="spellStart"/>
      <w:r w:rsidRPr="007122AB">
        <w:rPr>
          <w:rFonts w:ascii="Times New Roman" w:hAnsi="Times New Roman"/>
          <w:color w:val="000000" w:themeColor="text1"/>
          <w:sz w:val="16"/>
          <w:szCs w:val="16"/>
        </w:rPr>
        <w:t>Мизюров</w:t>
      </w:r>
      <w:proofErr w:type="spellEnd"/>
      <w:r w:rsidRPr="007122AB">
        <w:rPr>
          <w:rFonts w:ascii="Times New Roman" w:hAnsi="Times New Roman"/>
          <w:color w:val="000000" w:themeColor="text1"/>
          <w:sz w:val="16"/>
          <w:szCs w:val="16"/>
        </w:rPr>
        <w:t xml:space="preserve"> Ю.А., которого сменил </w:t>
      </w:r>
      <w:proofErr w:type="spellStart"/>
      <w:r w:rsidRPr="007122AB">
        <w:rPr>
          <w:rFonts w:ascii="Times New Roman" w:hAnsi="Times New Roman"/>
          <w:color w:val="000000" w:themeColor="text1"/>
          <w:sz w:val="16"/>
          <w:szCs w:val="16"/>
        </w:rPr>
        <w:t>Худин</w:t>
      </w:r>
      <w:proofErr w:type="spellEnd"/>
      <w:r w:rsidRPr="007122AB">
        <w:rPr>
          <w:rFonts w:ascii="Times New Roman" w:hAnsi="Times New Roman"/>
          <w:color w:val="000000" w:themeColor="text1"/>
          <w:sz w:val="16"/>
          <w:szCs w:val="16"/>
        </w:rPr>
        <w:t xml:space="preserve"> П.Ф. В апреле 1948 года директором был назначен </w:t>
      </w:r>
      <w:proofErr w:type="spellStart"/>
      <w:r w:rsidRPr="007122AB">
        <w:rPr>
          <w:rFonts w:ascii="Times New Roman" w:hAnsi="Times New Roman"/>
          <w:color w:val="000000" w:themeColor="text1"/>
          <w:sz w:val="16"/>
          <w:szCs w:val="16"/>
        </w:rPr>
        <w:t>Худин</w:t>
      </w:r>
      <w:proofErr w:type="spellEnd"/>
      <w:r w:rsidRPr="007122AB">
        <w:rPr>
          <w:rFonts w:ascii="Times New Roman" w:hAnsi="Times New Roman"/>
          <w:color w:val="000000" w:themeColor="text1"/>
          <w:sz w:val="16"/>
          <w:szCs w:val="16"/>
        </w:rPr>
        <w:t xml:space="preserve">. В декабре 1951 года директором завода был назначен Бондаренко М.М. В феврале 1954 года </w:t>
      </w:r>
      <w:proofErr w:type="spellStart"/>
      <w:r w:rsidRPr="007122AB">
        <w:rPr>
          <w:rFonts w:ascii="Times New Roman" w:hAnsi="Times New Roman"/>
          <w:color w:val="000000" w:themeColor="text1"/>
          <w:sz w:val="16"/>
          <w:szCs w:val="16"/>
        </w:rPr>
        <w:t>диреткором</w:t>
      </w:r>
      <w:proofErr w:type="spellEnd"/>
      <w:r w:rsidRPr="007122AB">
        <w:rPr>
          <w:rFonts w:ascii="Times New Roman" w:hAnsi="Times New Roman"/>
          <w:color w:val="000000" w:themeColor="text1"/>
          <w:sz w:val="16"/>
          <w:szCs w:val="16"/>
        </w:rPr>
        <w:t xml:space="preserve"> был назначен </w:t>
      </w:r>
      <w:proofErr w:type="spellStart"/>
      <w:r w:rsidRPr="007122AB">
        <w:rPr>
          <w:rFonts w:ascii="Times New Roman" w:hAnsi="Times New Roman"/>
          <w:color w:val="000000" w:themeColor="text1"/>
          <w:sz w:val="16"/>
          <w:szCs w:val="16"/>
        </w:rPr>
        <w:t>Завитаев</w:t>
      </w:r>
      <w:proofErr w:type="spellEnd"/>
      <w:r w:rsidRPr="007122AB">
        <w:rPr>
          <w:rFonts w:ascii="Times New Roman" w:hAnsi="Times New Roman"/>
          <w:color w:val="000000" w:themeColor="text1"/>
          <w:sz w:val="16"/>
          <w:szCs w:val="16"/>
        </w:rPr>
        <w:t xml:space="preserve"> А.А.</w:t>
      </w:r>
    </w:p>
    <w:p w14:paraId="0DB3DB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Москва, Фабричная линия, д. 11, п/я 2382 (9842).</w:t>
      </w:r>
    </w:p>
    <w:p w14:paraId="4807ED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23DE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в Новосибирске началось строительство завода горного оборудования, но велось оно низкими темпами; с 1934 г. завод стал называться «</w:t>
      </w:r>
      <w:proofErr w:type="spellStart"/>
      <w:r w:rsidRPr="007122AB">
        <w:rPr>
          <w:rFonts w:ascii="Times New Roman" w:hAnsi="Times New Roman"/>
          <w:color w:val="000000" w:themeColor="text1"/>
          <w:sz w:val="16"/>
          <w:szCs w:val="16"/>
        </w:rPr>
        <w:t>Сибмашстрой</w:t>
      </w:r>
      <w:proofErr w:type="spellEnd"/>
      <w:r w:rsidRPr="007122AB">
        <w:rPr>
          <w:rFonts w:ascii="Times New Roman" w:hAnsi="Times New Roman"/>
          <w:color w:val="000000" w:themeColor="text1"/>
          <w:sz w:val="16"/>
          <w:szCs w:val="16"/>
        </w:rPr>
        <w:t>» (9684).</w:t>
      </w:r>
    </w:p>
    <w:p w14:paraId="421208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DC18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в ведении ВОТИ был основан Государственный завод контрольно-измерительных и теплотехнических приборов «Теплоприбор» (Завод № 278 НКАП, МРТП, Государственный завод контрольно-измерительных и теплотехнических приборов «Теплоприбор» ВСНХ, НКОП, Государственный завод контрольно-измерительных приборов, Ленинградский государственный механический завод «Заря» МРП, Электромеханический завод (ЭМЗ) «Заря» МРП, ОАО «ЭМЗ «Заря» РАСУ / г. Ленинград ул. Плеханова, 5 (1942-45 г.)/ /191186  г. Санкт-Петербург ул. Казанская, 7 тел. 312-73-72/). В 1933 г. он переименован в Государственный завод контрольно-измерительных приборов, в 1935 г. подчинен Всесоюзному тресту точной индустрии. В 09.1937 г. завод «Теплоприбор» - в ведении треста «</w:t>
      </w:r>
      <w:proofErr w:type="spellStart"/>
      <w:r w:rsidRPr="007122AB">
        <w:rPr>
          <w:rFonts w:ascii="Times New Roman" w:hAnsi="Times New Roman"/>
          <w:color w:val="000000" w:themeColor="text1"/>
          <w:sz w:val="16"/>
          <w:szCs w:val="16"/>
        </w:rPr>
        <w:t>Теплоконтроль</w:t>
      </w:r>
      <w:proofErr w:type="spellEnd"/>
      <w:r w:rsidRPr="007122AB">
        <w:rPr>
          <w:rFonts w:ascii="Times New Roman" w:hAnsi="Times New Roman"/>
          <w:color w:val="000000" w:themeColor="text1"/>
          <w:sz w:val="16"/>
          <w:szCs w:val="16"/>
        </w:rPr>
        <w:t>» ЮГУ НКОП. По приказу НКАП № 309с от 17.09.1939 г. завод передан в систему 8ГУ НКАП и получил № 278.</w:t>
      </w:r>
    </w:p>
    <w:p w14:paraId="3E9B00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Серийный завод по выпуску химических и электрических газоанализаторов, контрольных приборов.</w:t>
      </w:r>
    </w:p>
    <w:p w14:paraId="5B658F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Планировалось завод № 278 НКАП из Ленинграда полностью эвакуировать в Казань, но это не было выполнено. В итоге в 1942 г. (на 02.1942 г. еще действовал в Ленинграде) завод № 278 эвакуирован в Ульяновск и влит в состав объединенного завода № 280 НКАП, специализацией которого стали аэронавигационные приборы (есть упоминание, что завод № 278 эвакуировался в  г. Энгельс</w:t>
      </w:r>
      <w:r w:rsidRPr="007122AB">
        <w:rPr>
          <w:rFonts w:ascii="Times New Roman" w:hAnsi="Times New Roman"/>
          <w:color w:val="000000" w:themeColor="text1"/>
          <w:sz w:val="16"/>
          <w:szCs w:val="16"/>
          <w:vertAlign w:val="superscript"/>
        </w:rPr>
        <w:t>130</w:t>
      </w:r>
      <w:r w:rsidRPr="007122AB">
        <w:rPr>
          <w:rFonts w:ascii="Times New Roman" w:hAnsi="Times New Roman"/>
          <w:color w:val="000000" w:themeColor="text1"/>
          <w:sz w:val="16"/>
          <w:szCs w:val="16"/>
        </w:rPr>
        <w:t>).</w:t>
      </w:r>
    </w:p>
    <w:p w14:paraId="623F5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605сс от 23.10.1944 г. завод № 278 НКАГ1 восстановлен на старой площадке в Ленинграде. С I.01.1945 г. переведен из 5ГУ в 17ГУ НКАП. В 1954 г. передан в МРТП. В соответствии с пост. СМ СССР № 713- 342 от 26.06.1957 г. передан в ведение Управления приборостроительной промышленности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xml:space="preserve">, в 09.1958- 65 г. -Управления </w:t>
      </w:r>
      <w:proofErr w:type="spellStart"/>
      <w:r w:rsidRPr="007122AB">
        <w:rPr>
          <w:rFonts w:ascii="Times New Roman" w:hAnsi="Times New Roman"/>
          <w:color w:val="000000" w:themeColor="text1"/>
          <w:sz w:val="16"/>
          <w:szCs w:val="16"/>
        </w:rPr>
        <w:t>агрегатостроения</w:t>
      </w:r>
      <w:proofErr w:type="spellEnd"/>
      <w:r w:rsidRPr="007122AB">
        <w:rPr>
          <w:rFonts w:ascii="Times New Roman" w:hAnsi="Times New Roman"/>
          <w:color w:val="000000" w:themeColor="text1"/>
          <w:sz w:val="16"/>
          <w:szCs w:val="16"/>
        </w:rPr>
        <w:t xml:space="preserve"> и приборостроения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В 01.1966 г. переименован в Ленинградский государственный механический завод «Заря» МРП,</w:t>
      </w:r>
      <w:r w:rsidRPr="007122AB">
        <w:rPr>
          <w:rFonts w:ascii="Times New Roman" w:hAnsi="Times New Roman"/>
          <w:color w:val="000000" w:themeColor="text1"/>
          <w:sz w:val="16"/>
          <w:szCs w:val="16"/>
          <w:vertAlign w:val="superscript"/>
        </w:rPr>
        <w:t>131</w:t>
      </w:r>
      <w:r w:rsidRPr="007122AB">
        <w:rPr>
          <w:rFonts w:ascii="Times New Roman" w:hAnsi="Times New Roman"/>
          <w:color w:val="000000" w:themeColor="text1"/>
          <w:sz w:val="16"/>
          <w:szCs w:val="16"/>
        </w:rPr>
        <w:t xml:space="preserve"> далее - ЭМЗ «Заря».</w:t>
      </w:r>
    </w:p>
    <w:p w14:paraId="33CD4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начала 1945 г. началось освоение выпуска РЛ-аппаратуры «Тон-2» для защиты ЗПС самолета.</w:t>
      </w:r>
    </w:p>
    <w:p w14:paraId="647E9B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1.03.1993 г. ЭМЗ «Заря» преобразован в АО.</w:t>
      </w:r>
    </w:p>
    <w:p w14:paraId="681B73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(2004 г.): мелкосерийное производство электрических машин малой мощности (электродвигатели, генераторы, вращающиеся трансформаторы, электровентиляторы малошумные, датчики положения, порошковые и гистерезисные муфты и т.п.) специального назначения.</w:t>
      </w:r>
    </w:p>
    <w:p w14:paraId="0022A7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(05.1940 г.-)- И.М. Зернов, (1941 г.)- М.И. Комиссаров, (1944; -1950 г.)- Н.В. Аверин, (-05.1945- 03.1946 г.-)- И.П. </w:t>
      </w:r>
      <w:proofErr w:type="spellStart"/>
      <w:r w:rsidRPr="007122AB">
        <w:rPr>
          <w:rFonts w:ascii="Times New Roman" w:hAnsi="Times New Roman"/>
          <w:color w:val="000000" w:themeColor="text1"/>
          <w:sz w:val="16"/>
          <w:szCs w:val="16"/>
        </w:rPr>
        <w:t>Полонников</w:t>
      </w:r>
      <w:proofErr w:type="spellEnd"/>
      <w:r w:rsidRPr="007122AB">
        <w:rPr>
          <w:rFonts w:ascii="Times New Roman" w:hAnsi="Times New Roman"/>
          <w:color w:val="000000" w:themeColor="text1"/>
          <w:sz w:val="16"/>
          <w:szCs w:val="16"/>
        </w:rPr>
        <w:t>, (-15.03.2004 г.)- А. Иванов (убит), (2004 г.)- Н.В. Севрюкова.</w:t>
      </w:r>
    </w:p>
    <w:p w14:paraId="4C7982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технического (-1941 г.)- М.И. Комиссаров.</w:t>
      </w:r>
    </w:p>
    <w:p w14:paraId="6C84CC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газоанализаторы ГЭА-5 (1940), ГЭДС-30, ГЭВ-30 (1944); (2004) электродвигатели: постоянного тока Д-15М, Д-2, Д-6, Д-16, Д-25Г, Д-50А, Д-55А, Д-75М, Д-120М, ДВ-200, ОД-7М, СД-10В, СД-20, СД-75М, СД-150, СД-250, ДП-50, ДПР-40, ДМ-1,6, ДМ-10, ДМ-2, ДМ-20, ДП-1, ДП-2Е, ДП-4, ДП60-90, ДП40-16, ДРВ-20Д, ДРВ-25, 2Д-60В, ДР-1,5РА, МКМ-М, МПР-ЗБ, МПР-4Б, МЧМ-П-01, ДР-1,5, ДПМ, 2ДПМ; переменного тока ДКИ, ДКМР, ДПН, ДК, ДРСР, ДСОР; моментные бесконтактные ДМБ; шаговые волновые ДВШ, 2ДВШ, ЗДВШ; электромагнитные муфты БМП, МП; осевые электровентиляторы; магнитные преобразователи МП-9; вращающиеся трансформаторы ЗВТ, 6ВТИ, ВТМ, 8МВТ, 15МВТ, 4МВТ, 5МВТ, ИФ-1, ВТ-60; бесконтактные индукционные фазовращатели БИФ-019; сельсины СГС-1А, СМС-1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vertAlign w:val="superscript"/>
          <w:lang w:val="en-US"/>
        </w:rPr>
        <w:t>wwwcm</w:t>
      </w:r>
      <w:proofErr w:type="spellEnd"/>
      <w:r w:rsidRPr="007122AB">
        <w:rPr>
          <w:rFonts w:ascii="Times New Roman" w:hAnsi="Times New Roman"/>
          <w:color w:val="000000" w:themeColor="text1"/>
          <w:sz w:val="16"/>
          <w:szCs w:val="16"/>
          <w:vertAlign w:val="superscript"/>
        </w:rPr>
        <w:t>/</w:t>
      </w:r>
      <w:r w:rsidRPr="007122AB">
        <w:rPr>
          <w:rFonts w:ascii="Times New Roman" w:hAnsi="Times New Roman"/>
          <w:color w:val="000000" w:themeColor="text1"/>
          <w:sz w:val="16"/>
          <w:szCs w:val="16"/>
        </w:rPr>
        <w:t>"</w:t>
      </w:r>
      <w:proofErr w:type="spellStart"/>
      <w:r w:rsidRPr="007122AB">
        <w:rPr>
          <w:rFonts w:ascii="Times New Roman" w:hAnsi="Times New Roman"/>
          <w:color w:val="000000" w:themeColor="text1"/>
          <w:sz w:val="16"/>
          <w:szCs w:val="16"/>
          <w:vertAlign w:val="superscript"/>
          <w:lang w:val="en-US"/>
        </w:rPr>
        <w:t>zaryani</w:t>
      </w:r>
      <w:proofErr w:type="spellEnd"/>
    </w:p>
    <w:p w14:paraId="3D95CC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завода № 278 НКАП /г. Ленинград/</w:t>
      </w:r>
    </w:p>
    <w:p w14:paraId="36C76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Опытно-конструкторская группа при заводе № 278 в системе 5ГУ образовалась по приказу № 431с от 14.07.1944 г. для проведения работ по приборам газового контроля и анализа. Далее преобразовано в самостоятельное КБ.</w:t>
      </w:r>
    </w:p>
    <w:p w14:paraId="1A80F5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(1944 г.-)- Б.Б. Ершов.</w:t>
      </w:r>
    </w:p>
    <w:p w14:paraId="605C78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ОКБ-278 МАП /г. Ленинград/</w:t>
      </w:r>
    </w:p>
    <w:p w14:paraId="56803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КБ № 278 вновь образовано при заводе № 278 МАП по приказу № 247с от 26.04.1946 г. в системе 17ГУ.</w:t>
      </w:r>
    </w:p>
    <w:p w14:paraId="110FD7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электроагрегатам. В 1946 г. профиль изменен- работы по самолетной РЛ-аппаратуре предупреждения.</w:t>
      </w:r>
    </w:p>
    <w:p w14:paraId="27C956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1946 г. часть работников переведена во вновь созданный НИИ-33.</w:t>
      </w:r>
    </w:p>
    <w:p w14:paraId="72068D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(1946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Рыбаков, (07.1946 г.)- Эмдин.</w:t>
      </w:r>
    </w:p>
    <w:p w14:paraId="007941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(1946 г.-)- И.Д. Карасев (11982).</w:t>
      </w:r>
    </w:p>
    <w:p w14:paraId="46DAD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332AC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в системе </w:t>
      </w:r>
      <w:proofErr w:type="spellStart"/>
      <w:r w:rsidRPr="007122AB">
        <w:rPr>
          <w:rFonts w:ascii="Times New Roman" w:hAnsi="Times New Roman"/>
          <w:color w:val="000000" w:themeColor="text1"/>
          <w:sz w:val="16"/>
          <w:szCs w:val="16"/>
        </w:rPr>
        <w:t>НКтекстиля</w:t>
      </w:r>
      <w:proofErr w:type="spellEnd"/>
      <w:r w:rsidRPr="007122AB">
        <w:rPr>
          <w:rFonts w:ascii="Times New Roman" w:hAnsi="Times New Roman"/>
          <w:color w:val="000000" w:themeColor="text1"/>
          <w:sz w:val="16"/>
          <w:szCs w:val="16"/>
        </w:rPr>
        <w:t xml:space="preserve"> образовался Экспериментальный завод № 8 (ГС Завод № 454 НКАП, МАП, Куйбышевский завод аэродромного оборудования, АООТ, ОАО «Старт», ЗАО «Завод аэродромного оборудования» /г. Киев;  г. Куйбышев ст. Безымянка (1953 г.)/ /443022  г. Самара Заводское ш., 14 тел. 992-07-62/). В соответствии с пост, правительства от 17.08.1940 г. и приказами № 541сс от 14.10.1940 г., № 551сс/261сс от 15.10.1940 г. и № 650с от 19.11.1940 г. завод передан в состав 2ГУ НКАП и получил наименование ГС завод № 454. Началась организация производства установок авиационного стрелкового и бомбардировочного вооружения. В помощь новому заводу туда переведена группа работников с завода № 32. Окончание строительства планировалось на 1942 г.</w:t>
      </w:r>
    </w:p>
    <w:p w14:paraId="49FCDA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Правительства № П-34/153 от 29.07.1941 г. завод № 454 эвакуирован в Куйбышев (ст. Безымянка) на территорию мастерских артели «Ход» </w:t>
      </w:r>
      <w:proofErr w:type="spellStart"/>
      <w:r w:rsidRPr="007122AB">
        <w:rPr>
          <w:rFonts w:ascii="Times New Roman" w:hAnsi="Times New Roman"/>
          <w:color w:val="000000" w:themeColor="text1"/>
          <w:sz w:val="16"/>
          <w:szCs w:val="16"/>
        </w:rPr>
        <w:t>Обллеспромхоза</w:t>
      </w:r>
      <w:proofErr w:type="spellEnd"/>
      <w:r w:rsidRPr="007122AB">
        <w:rPr>
          <w:rFonts w:ascii="Times New Roman" w:hAnsi="Times New Roman"/>
          <w:color w:val="000000" w:themeColor="text1"/>
          <w:sz w:val="16"/>
          <w:szCs w:val="16"/>
        </w:rPr>
        <w:t>. При эвакуации по приказу № 1109сс от 11.11.1941 г. в состав завода № 454 в Куйбышеве влита часть завода № 487 НКАП (-30%).</w:t>
      </w:r>
    </w:p>
    <w:p w14:paraId="044EA24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07.1943 г. на завод передано с завода № 165 НКАП производство лафетов для пушки «ВЯ».</w:t>
      </w:r>
    </w:p>
    <w:p w14:paraId="57B502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площадке эвакуированного завода № 454 в Киеве в начале 1944 г. организованы Ремонтные мастерские, а затем на их базе- Завод № 483 НКАП.</w:t>
      </w:r>
    </w:p>
    <w:p w14:paraId="562F6C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263 от 18.07.1945 г. в состав завода № 454 НКАП 2ГУ влит завод № 53 НКАП.</w:t>
      </w:r>
    </w:p>
    <w:p w14:paraId="74637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26A62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7122AB">
        <w:rPr>
          <w:rFonts w:ascii="Times New Roman" w:hAnsi="Times New Roman"/>
          <w:color w:val="000000" w:themeColor="text1"/>
          <w:sz w:val="16"/>
          <w:szCs w:val="16"/>
          <w:lang w:val="en-US"/>
        </w:rPr>
        <w:t>J</w:t>
      </w:r>
      <w:r w:rsidRPr="007122AB">
        <w:rPr>
          <w:rFonts w:ascii="Times New Roman" w:hAnsi="Times New Roman"/>
          <w:color w:val="000000" w:themeColor="text1"/>
          <w:sz w:val="16"/>
          <w:szCs w:val="16"/>
        </w:rPr>
        <w:t>1</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7122AB">
        <w:rPr>
          <w:rFonts w:ascii="Times New Roman" w:hAnsi="Times New Roman"/>
          <w:color w:val="000000" w:themeColor="text1"/>
          <w:sz w:val="16"/>
          <w:szCs w:val="16"/>
          <w:lang w:val="en-US"/>
        </w:rPr>
        <w:t>JIA</w:t>
      </w:r>
      <w:r w:rsidRPr="007122AB">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4E3100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(2000-е  г.): освоение производства самоходной площадки СПО-18 и установки для </w:t>
      </w:r>
      <w:proofErr w:type="spellStart"/>
      <w:r w:rsidRPr="007122AB">
        <w:rPr>
          <w:rFonts w:ascii="Times New Roman" w:hAnsi="Times New Roman"/>
          <w:color w:val="000000" w:themeColor="text1"/>
          <w:sz w:val="16"/>
          <w:szCs w:val="16"/>
        </w:rPr>
        <w:t>нанесния</w:t>
      </w:r>
      <w:proofErr w:type="spellEnd"/>
      <w:r w:rsidRPr="007122AB">
        <w:rPr>
          <w:rFonts w:ascii="Times New Roman" w:hAnsi="Times New Roman"/>
          <w:color w:val="000000" w:themeColor="text1"/>
          <w:sz w:val="16"/>
          <w:szCs w:val="16"/>
        </w:rPr>
        <w:t xml:space="preserve"> противообледенительного покрытия на крыло самолетов.</w:t>
      </w:r>
    </w:p>
    <w:p w14:paraId="48F5137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7CF7C1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(10.1940-06.1945 г.-)- МЛ. Горелик, И.С. Фишман. Гендиректор (1989-98 г.)- В.И. Доронин, (2002 г.)- В.П. Бондаренко, (2003 г.)- А. </w:t>
      </w:r>
      <w:proofErr w:type="spellStart"/>
      <w:r w:rsidRPr="007122AB">
        <w:rPr>
          <w:rFonts w:ascii="Times New Roman" w:hAnsi="Times New Roman"/>
          <w:color w:val="000000" w:themeColor="text1"/>
          <w:sz w:val="16"/>
          <w:szCs w:val="16"/>
        </w:rPr>
        <w:t>Митлин</w:t>
      </w:r>
      <w:proofErr w:type="spellEnd"/>
      <w:r w:rsidRPr="007122AB">
        <w:rPr>
          <w:rFonts w:ascii="Times New Roman" w:hAnsi="Times New Roman"/>
          <w:color w:val="000000" w:themeColor="text1"/>
          <w:sz w:val="16"/>
          <w:szCs w:val="16"/>
        </w:rPr>
        <w:t xml:space="preserve">, (2006 г.)- С.В. </w:t>
      </w:r>
      <w:proofErr w:type="spellStart"/>
      <w:r w:rsidRPr="007122AB">
        <w:rPr>
          <w:rFonts w:ascii="Times New Roman" w:hAnsi="Times New Roman"/>
          <w:color w:val="000000" w:themeColor="text1"/>
          <w:sz w:val="16"/>
          <w:szCs w:val="16"/>
        </w:rPr>
        <w:t>Невесенко</w:t>
      </w:r>
      <w:proofErr w:type="spellEnd"/>
      <w:r w:rsidRPr="007122AB">
        <w:rPr>
          <w:rFonts w:ascii="Times New Roman" w:hAnsi="Times New Roman"/>
          <w:color w:val="000000" w:themeColor="text1"/>
          <w:sz w:val="16"/>
          <w:szCs w:val="16"/>
        </w:rPr>
        <w:t>.</w:t>
      </w:r>
    </w:p>
    <w:p w14:paraId="47BE71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(11.1940 г.-)- В.И. Муратов.</w:t>
      </w:r>
    </w:p>
    <w:p w14:paraId="7014F1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(11.1940 г.-)- В.И. Муратов, (-1987 г.)- В.И. Доронин.</w:t>
      </w:r>
    </w:p>
    <w:p w14:paraId="6E8839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(11.1941 г.-)- И.П. Шебанов.</w:t>
      </w:r>
    </w:p>
    <w:p w14:paraId="7B1FA5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Коммерческий директор (2002 г.)- С.В. </w:t>
      </w:r>
      <w:proofErr w:type="spellStart"/>
      <w:r w:rsidRPr="007122AB">
        <w:rPr>
          <w:rFonts w:ascii="Times New Roman" w:hAnsi="Times New Roman"/>
          <w:color w:val="000000" w:themeColor="text1"/>
          <w:sz w:val="16"/>
          <w:szCs w:val="16"/>
        </w:rPr>
        <w:t>Невесенко</w:t>
      </w:r>
      <w:proofErr w:type="spellEnd"/>
      <w:r w:rsidRPr="007122AB">
        <w:rPr>
          <w:rFonts w:ascii="Times New Roman" w:hAnsi="Times New Roman"/>
          <w:color w:val="000000" w:themeColor="text1"/>
          <w:sz w:val="16"/>
          <w:szCs w:val="16"/>
        </w:rPr>
        <w:t>, (-2004-06 г.-)- И.А. Обухов. Технический директор (2002 г.)- А.М. Митлин.</w:t>
      </w:r>
      <w:r w:rsidRPr="007122AB">
        <w:rPr>
          <w:rFonts w:ascii="Times New Roman" w:hAnsi="Times New Roman"/>
          <w:color w:val="000000" w:themeColor="text1"/>
          <w:sz w:val="16"/>
          <w:szCs w:val="16"/>
          <w:vertAlign w:val="superscript"/>
        </w:rPr>
        <w:t>69</w:t>
      </w:r>
    </w:p>
    <w:p w14:paraId="08183D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24FFFB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lastRenderedPageBreak/>
        <w:t>Производство:</w:t>
      </w:r>
      <w:r w:rsidRPr="007122AB">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w:t>
      </w:r>
      <w:proofErr w:type="spellStart"/>
      <w:r w:rsidRPr="007122AB">
        <w:rPr>
          <w:rFonts w:ascii="Times New Roman" w:hAnsi="Times New Roman"/>
          <w:color w:val="000000" w:themeColor="text1"/>
          <w:sz w:val="16"/>
          <w:szCs w:val="16"/>
        </w:rPr>
        <w:t>спецжидкостями</w:t>
      </w:r>
      <w:proofErr w:type="spellEnd"/>
      <w:r w:rsidRPr="007122AB">
        <w:rPr>
          <w:rFonts w:ascii="Times New Roman" w:hAnsi="Times New Roman"/>
          <w:color w:val="000000" w:themeColor="text1"/>
          <w:sz w:val="16"/>
          <w:szCs w:val="16"/>
        </w:rPr>
        <w:t xml:space="preserve"> «Садко» (2004).</w:t>
      </w:r>
    </w:p>
    <w:p w14:paraId="0B6C1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завода № 454 НКАП гл. конструктора И.П. Шебанова, ОКБ-454 НКАП</w:t>
      </w:r>
    </w:p>
    <w:p w14:paraId="4DAAED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3154EC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2202EA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4FC92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48975A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(11.1941 г.-)- И.П. Шебанов.</w:t>
      </w:r>
    </w:p>
    <w:p w14:paraId="716EE6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конструктора (1942 г.)- В.И. Ермилов (11982).</w:t>
      </w:r>
    </w:p>
    <w:p w14:paraId="46908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FC41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г. У-2 появились в Батайском, Тамбовском, Балашовском училищах гражданской авиации, в Ле</w:t>
      </w:r>
      <w:r w:rsidRPr="007122AB">
        <w:rPr>
          <w:rFonts w:ascii="Times New Roman" w:hAnsi="Times New Roman"/>
          <w:color w:val="000000" w:themeColor="text1"/>
          <w:sz w:val="16"/>
          <w:szCs w:val="16"/>
        </w:rPr>
        <w:softHyphen/>
        <w:t>нинградском учебном комбинате, других учебных заве</w:t>
      </w:r>
      <w:r w:rsidRPr="007122AB">
        <w:rPr>
          <w:rFonts w:ascii="Times New Roman" w:hAnsi="Times New Roman"/>
          <w:color w:val="000000" w:themeColor="text1"/>
          <w:sz w:val="16"/>
          <w:szCs w:val="16"/>
        </w:rPr>
        <w:softHyphen/>
        <w:t>дениях (10667).</w:t>
      </w:r>
    </w:p>
    <w:p w14:paraId="357323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368914" w14:textId="77777777" w:rsidR="0075673E" w:rsidRPr="007122AB" w:rsidRDefault="0075673E"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Начиная с 1931 г. с переходом на московский авиаза</w:t>
      </w:r>
      <w:r w:rsidRPr="007122AB">
        <w:rPr>
          <w:rFonts w:ascii="Times New Roman" w:hAnsi="Times New Roman"/>
          <w:color w:val="000000" w:themeColor="text1"/>
          <w:sz w:val="16"/>
          <w:szCs w:val="16"/>
        </w:rPr>
        <w:softHyphen/>
        <w:t xml:space="preserve">вод №39, </w:t>
      </w:r>
      <w:proofErr w:type="spellStart"/>
      <w:r w:rsidRPr="007122AB">
        <w:rPr>
          <w:rFonts w:ascii="Times New Roman" w:hAnsi="Times New Roman"/>
          <w:color w:val="000000" w:themeColor="text1"/>
          <w:sz w:val="16"/>
          <w:szCs w:val="16"/>
        </w:rPr>
        <w:t>Черановский</w:t>
      </w:r>
      <w:proofErr w:type="spellEnd"/>
      <w:r w:rsidRPr="007122AB">
        <w:rPr>
          <w:rFonts w:ascii="Times New Roman" w:hAnsi="Times New Roman"/>
          <w:color w:val="000000" w:themeColor="text1"/>
          <w:sz w:val="16"/>
          <w:szCs w:val="16"/>
        </w:rPr>
        <w:t xml:space="preserve"> приступил к проектированию двухмо</w:t>
      </w:r>
      <w:r w:rsidRPr="007122AB">
        <w:rPr>
          <w:rFonts w:ascii="Times New Roman" w:hAnsi="Times New Roman"/>
          <w:color w:val="000000" w:themeColor="text1"/>
          <w:sz w:val="16"/>
          <w:szCs w:val="16"/>
        </w:rPr>
        <w:softHyphen/>
        <w:t>торной «параболы» БИЧ-10. До 1933 г. были проведены аэродинамические продувки модели самолета. Затем ос</w:t>
      </w:r>
      <w:r w:rsidRPr="007122AB">
        <w:rPr>
          <w:rFonts w:ascii="Times New Roman" w:hAnsi="Times New Roman"/>
          <w:color w:val="000000" w:themeColor="text1"/>
          <w:sz w:val="16"/>
          <w:szCs w:val="16"/>
        </w:rPr>
        <w:softHyphen/>
        <w:t>новные наработки использовались при создании БИЧ-14 (17473).</w:t>
      </w:r>
    </w:p>
    <w:p w14:paraId="50358467" w14:textId="77777777" w:rsidR="0075673E" w:rsidRPr="007122AB" w:rsidRDefault="0075673E" w:rsidP="007122AB">
      <w:pPr>
        <w:spacing w:after="0" w:line="240" w:lineRule="auto"/>
        <w:jc w:val="both"/>
        <w:rPr>
          <w:rFonts w:ascii="Times New Roman" w:hAnsi="Times New Roman"/>
          <w:color w:val="000000" w:themeColor="text1"/>
          <w:sz w:val="16"/>
          <w:szCs w:val="16"/>
        </w:rPr>
      </w:pPr>
    </w:p>
    <w:p w14:paraId="30254FD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w:t>
      </w:r>
      <w:proofErr w:type="spellStart"/>
      <w:r w:rsidRPr="007122AB">
        <w:rPr>
          <w:rFonts w:ascii="Times New Roman" w:hAnsi="Times New Roman"/>
          <w:color w:val="000000" w:themeColor="text1"/>
          <w:sz w:val="16"/>
          <w:szCs w:val="16"/>
        </w:rPr>
        <w:t>Н.Н.Поликарпов</w:t>
      </w:r>
      <w:proofErr w:type="spellEnd"/>
      <w:r w:rsidRPr="007122AB">
        <w:rPr>
          <w:rFonts w:ascii="Times New Roman" w:hAnsi="Times New Roman"/>
          <w:color w:val="000000" w:themeColor="text1"/>
          <w:sz w:val="16"/>
          <w:szCs w:val="16"/>
        </w:rPr>
        <w:t xml:space="preserve"> работал над Р-5 в вариан</w:t>
      </w:r>
      <w:r w:rsidRPr="007122AB">
        <w:rPr>
          <w:rFonts w:ascii="Times New Roman" w:hAnsi="Times New Roman"/>
          <w:color w:val="000000" w:themeColor="text1"/>
          <w:sz w:val="16"/>
          <w:szCs w:val="16"/>
        </w:rPr>
        <w:softHyphen/>
        <w:t>те торпедоносца. Завершить эту тему ему не уда</w:t>
      </w:r>
      <w:r w:rsidRPr="007122AB">
        <w:rPr>
          <w:rFonts w:ascii="Times New Roman" w:hAnsi="Times New Roman"/>
          <w:color w:val="000000" w:themeColor="text1"/>
          <w:sz w:val="16"/>
          <w:szCs w:val="16"/>
        </w:rPr>
        <w:softHyphen/>
        <w:t xml:space="preserve">лось. В 1933 г. НИИ ВВС предложил заводу № 1 </w:t>
      </w:r>
      <w:proofErr w:type="spellStart"/>
      <w:r w:rsidRPr="007122AB">
        <w:rPr>
          <w:rFonts w:ascii="Times New Roman" w:hAnsi="Times New Roman"/>
          <w:color w:val="000000" w:themeColor="text1"/>
          <w:sz w:val="16"/>
          <w:szCs w:val="16"/>
        </w:rPr>
        <w:t>рассмо</w:t>
      </w:r>
      <w:proofErr w:type="spellEnd"/>
      <w:r w:rsidRPr="007122AB">
        <w:rPr>
          <w:rFonts w:ascii="Times New Roman" w:hAnsi="Times New Roman"/>
          <w:color w:val="000000" w:themeColor="text1"/>
          <w:sz w:val="16"/>
          <w:szCs w:val="16"/>
        </w:rPr>
        <w:t>-треть вопрос об установке на сухопутном Р-5 тор</w:t>
      </w:r>
      <w:r w:rsidRPr="007122AB">
        <w:rPr>
          <w:rFonts w:ascii="Times New Roman" w:hAnsi="Times New Roman"/>
          <w:color w:val="000000" w:themeColor="text1"/>
          <w:sz w:val="16"/>
          <w:szCs w:val="16"/>
        </w:rPr>
        <w:softHyphen/>
        <w:t xml:space="preserve">педного вооружения. Этот заказ выполнил </w:t>
      </w:r>
      <w:proofErr w:type="spellStart"/>
      <w:r w:rsidRPr="007122AB">
        <w:rPr>
          <w:rFonts w:ascii="Times New Roman" w:hAnsi="Times New Roman"/>
          <w:color w:val="000000" w:themeColor="text1"/>
          <w:sz w:val="16"/>
          <w:szCs w:val="16"/>
        </w:rPr>
        <w:t>В.В.Ники</w:t>
      </w:r>
      <w:r w:rsidRPr="007122AB">
        <w:rPr>
          <w:rFonts w:ascii="Times New Roman" w:hAnsi="Times New Roman"/>
          <w:color w:val="000000" w:themeColor="text1"/>
          <w:sz w:val="16"/>
          <w:szCs w:val="16"/>
        </w:rPr>
        <w:softHyphen/>
        <w:t>тин</w:t>
      </w:r>
      <w:proofErr w:type="spellEnd"/>
      <w:r w:rsidRPr="007122AB">
        <w:rPr>
          <w:rFonts w:ascii="Times New Roman" w:hAnsi="Times New Roman"/>
          <w:color w:val="000000" w:themeColor="text1"/>
          <w:sz w:val="16"/>
          <w:szCs w:val="16"/>
        </w:rPr>
        <w:t>. Так как вес торпеды ТАН-12 вместе с дополнитель</w:t>
      </w:r>
      <w:r w:rsidRPr="007122AB">
        <w:rPr>
          <w:rFonts w:ascii="Times New Roman" w:hAnsi="Times New Roman"/>
          <w:color w:val="000000" w:themeColor="text1"/>
          <w:sz w:val="16"/>
          <w:szCs w:val="16"/>
        </w:rPr>
        <w:softHyphen/>
        <w:t>ным оборудованием был сравнительно велик, от второго члена экипажа пришлось отказаться и самолет стал одноместным. Конструкция шасси была изменена: принята пирамидальная схема для удобства размеще</w:t>
      </w:r>
      <w:r w:rsidRPr="007122AB">
        <w:rPr>
          <w:rFonts w:ascii="Times New Roman" w:hAnsi="Times New Roman"/>
          <w:color w:val="000000" w:themeColor="text1"/>
          <w:sz w:val="16"/>
          <w:szCs w:val="16"/>
        </w:rPr>
        <w:softHyphen/>
        <w:t>ния торпеды и введена дополнительная поддерживаю</w:t>
      </w:r>
      <w:r w:rsidRPr="007122AB">
        <w:rPr>
          <w:rFonts w:ascii="Times New Roman" w:hAnsi="Times New Roman"/>
          <w:color w:val="000000" w:themeColor="text1"/>
          <w:sz w:val="16"/>
          <w:szCs w:val="16"/>
        </w:rPr>
        <w:softHyphen/>
        <w:t>щая стойка от фюзеляжа к нижнему крылу. Вместо торпеды допускалась подвеска фугасной бомбы круп</w:t>
      </w:r>
      <w:r w:rsidRPr="007122AB">
        <w:rPr>
          <w:rFonts w:ascii="Times New Roman" w:hAnsi="Times New Roman"/>
          <w:color w:val="000000" w:themeColor="text1"/>
          <w:sz w:val="16"/>
          <w:szCs w:val="16"/>
        </w:rPr>
        <w:softHyphen/>
        <w:t>ного калибра. В феврале 1934 г. самолет, получивший обозначение Р-5Т, быстро прошел совместные заводские и государственные испытания, а в марте в Севастополе провели от</w:t>
      </w:r>
      <w:r w:rsidRPr="007122AB">
        <w:rPr>
          <w:rFonts w:ascii="Times New Roman" w:hAnsi="Times New Roman"/>
          <w:color w:val="000000" w:themeColor="text1"/>
          <w:sz w:val="16"/>
          <w:szCs w:val="16"/>
        </w:rPr>
        <w:softHyphen/>
        <w:t>работку торпедометания. В 1934 г. завод № 1 построил 33 Р-5Т, еще 50 - в 1935 г. (10667).</w:t>
      </w:r>
    </w:p>
    <w:p w14:paraId="2274BE9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FF4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2616B0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718317" w14:textId="77777777" w:rsidR="00ED7AAA" w:rsidRPr="007122AB" w:rsidRDefault="00ED7AAA" w:rsidP="007122AB">
      <w:pPr>
        <w:pStyle w:val="a8"/>
        <w:jc w:val="both"/>
        <w:rPr>
          <w:rFonts w:ascii="Times New Roman" w:hAnsi="Times New Roman" w:cs="Times New Roman"/>
          <w:color w:val="000000" w:themeColor="text1"/>
        </w:rPr>
      </w:pPr>
      <w:r w:rsidRPr="007122AB">
        <w:rPr>
          <w:rFonts w:ascii="Times New Roman" w:hAnsi="Times New Roman" w:cs="Times New Roman"/>
          <w:color w:val="000000" w:themeColor="text1"/>
        </w:rPr>
        <w:t>В 1931 г. начались эксперименты с АПК-3. Первоначально на самолете для испытаний смонтировали одну пушку, под вторым крылом висел макет. Позже его заменили вторым орудием. В ходе испытаний сделали 52 выстрела на земле и 44 - в воздухе. Работа пушек оценивалась как «удовлетворительная», а вот действие снарядов признали слабым (19100).</w:t>
      </w:r>
    </w:p>
    <w:p w14:paraId="50BEF3E7" w14:textId="77777777" w:rsidR="00ED7AAA" w:rsidRPr="007122AB" w:rsidRDefault="00ED7AAA" w:rsidP="007122AB">
      <w:pPr>
        <w:pStyle w:val="a8"/>
        <w:jc w:val="both"/>
        <w:rPr>
          <w:rFonts w:ascii="Times New Roman" w:hAnsi="Times New Roman" w:cs="Times New Roman"/>
          <w:color w:val="000000" w:themeColor="text1"/>
        </w:rPr>
      </w:pPr>
    </w:p>
    <w:p w14:paraId="489FC9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специально для ТБ-1 спроектировали 76-мм нарезную </w:t>
      </w:r>
      <w:proofErr w:type="spellStart"/>
      <w:r w:rsidRPr="007122AB">
        <w:rPr>
          <w:rFonts w:ascii="Times New Roman" w:hAnsi="Times New Roman"/>
          <w:color w:val="000000" w:themeColor="text1"/>
          <w:sz w:val="16"/>
          <w:szCs w:val="16"/>
        </w:rPr>
        <w:t>динамореактивную</w:t>
      </w:r>
      <w:proofErr w:type="spellEnd"/>
      <w:r w:rsidRPr="007122AB">
        <w:rPr>
          <w:rFonts w:ascii="Times New Roman" w:hAnsi="Times New Roman"/>
          <w:color w:val="000000" w:themeColor="text1"/>
          <w:sz w:val="16"/>
          <w:szCs w:val="16"/>
        </w:rPr>
        <w:t xml:space="preserve">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ВВС на 1932 г. значится некая ротативная батарея из четырех стволов калибра 76 мм. Как она выглядела, остается загадкой (12001).</w:t>
      </w:r>
    </w:p>
    <w:p w14:paraId="351516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1698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для ТБ-1 проектировали кассеты для сброса ампул с отравляющими веществами (ОВ). Альтернативно вместо Дер-9 крепились два "</w:t>
      </w:r>
      <w:proofErr w:type="spellStart"/>
      <w:r w:rsidRPr="007122AB">
        <w:rPr>
          <w:rFonts w:ascii="Times New Roman" w:hAnsi="Times New Roman"/>
          <w:color w:val="000000" w:themeColor="text1"/>
          <w:sz w:val="16"/>
          <w:szCs w:val="16"/>
        </w:rPr>
        <w:t>химбака</w:t>
      </w:r>
      <w:proofErr w:type="spellEnd"/>
      <w:r w:rsidRPr="007122AB">
        <w:rPr>
          <w:rFonts w:ascii="Times New Roman" w:hAnsi="Times New Roman"/>
          <w:color w:val="000000" w:themeColor="text1"/>
          <w:sz w:val="16"/>
          <w:szCs w:val="16"/>
        </w:rPr>
        <w:t xml:space="preserve">" под растворы ОВ с </w:t>
      </w:r>
      <w:proofErr w:type="spellStart"/>
      <w:r w:rsidRPr="007122AB">
        <w:rPr>
          <w:rFonts w:ascii="Times New Roman" w:hAnsi="Times New Roman"/>
          <w:color w:val="000000" w:themeColor="text1"/>
          <w:sz w:val="16"/>
          <w:szCs w:val="16"/>
        </w:rPr>
        <w:t>выливны</w:t>
      </w:r>
      <w:proofErr w:type="spellEnd"/>
      <w:r w:rsidRPr="007122AB">
        <w:rPr>
          <w:rFonts w:ascii="Times New Roman" w:hAnsi="Times New Roman"/>
          <w:color w:val="000000" w:themeColor="text1"/>
          <w:sz w:val="16"/>
          <w:szCs w:val="16"/>
        </w:rPr>
        <w:t>- ми устройствами, общая емкость составляла 750 л.. В пересчете на чистый яд второй вариант был эффективнее, но требовал атак с малой высоты - иначе не обеспечивалась нужная концентрация на местности. При этом самолет мог подвергнуться обстрелу как зенитной артиллерией и пулеметами, так и стрелковым оружием пехоты. Ампульные кассеты позволяли атаковать с больших высот, но вес ОВ уменьшался за счет корпусов ампул. Судя по сохранившимся документам, в обоих случаях ограничились испытаниями, на серийных ТБ-1 никаких устройств для поражения противника ОВ не устанавливали (12001).</w:t>
      </w:r>
    </w:p>
    <w:p w14:paraId="4EF083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FD4A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ТБ-1, оснащенный “выбрасывателем”, проходил войсковые испытания, которые выявили немало недостатков. У парашютистов "люльки" напрямую ассоциировались с гробами: лежишь один, холодно, ничего не видно, никакой связи с экипажем и другими десантниками нет, а потом бац - и неожиданно летишь вниз. От десантников конструктор получил прозвище "</w:t>
      </w:r>
      <w:proofErr w:type="spellStart"/>
      <w:r w:rsidRPr="007122AB">
        <w:rPr>
          <w:rFonts w:ascii="Times New Roman" w:hAnsi="Times New Roman"/>
          <w:color w:val="000000" w:themeColor="text1"/>
          <w:sz w:val="16"/>
          <w:szCs w:val="16"/>
        </w:rPr>
        <w:t>Гробовский</w:t>
      </w:r>
      <w:proofErr w:type="spellEnd"/>
      <w:r w:rsidRPr="007122AB">
        <w:rPr>
          <w:rFonts w:ascii="Times New Roman" w:hAnsi="Times New Roman"/>
          <w:color w:val="000000" w:themeColor="text1"/>
          <w:sz w:val="16"/>
          <w:szCs w:val="16"/>
        </w:rPr>
        <w:t>". Комиссия по испытаниям "люлек" пришла к выводу, что такой подход "отрицательно влияет на моральное состояние бойцов". "Автоматический выбрасыватель" забраковали.</w:t>
      </w:r>
    </w:p>
    <w:p w14:paraId="3F1D3A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Огромный ТБ-3 мог принять всего 20 парашютистов. Выход стали искать в применении разного рода подвесных кабин.</w:t>
      </w:r>
    </w:p>
    <w:p w14:paraId="5F5CE0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Начали с небольших "люлек". Больше всего эта штука была похожа на окованный металлом гроб без крышки. Парашютист укладывался в люльку и лежал там до момента сброса. Над требуемым местом летнаб самолета дергал за ручку бомбосбрасывателя, тросик выдергивал предохранительную чеку, резиновый амортизатор переворачивал люльку. Парашютист вываливался, а фал, прикрепленный к люльке, выдергивал кольцо парашюта. Для десантника все происходило автоматически, поэтому официально устройство именовалось "автоматическим выбрасывателем красноармейцев". ТБ-1 нес шестнадцать люлек, располагавшихся под крыльями и фюзеляжем.</w:t>
      </w:r>
    </w:p>
    <w:p w14:paraId="091803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"Выбрасыватель" давал два преимущества: позволял полнее использовать грузоподъемность самолета и обеспечивал одновременный сброс всей группы десантников (12036).</w:t>
      </w:r>
    </w:p>
    <w:p w14:paraId="795612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0178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w:t>
      </w:r>
      <w:proofErr w:type="spellStart"/>
      <w:r w:rsidRPr="007122AB">
        <w:rPr>
          <w:rFonts w:ascii="Times New Roman" w:hAnsi="Times New Roman"/>
          <w:color w:val="000000" w:themeColor="text1"/>
          <w:sz w:val="16"/>
          <w:szCs w:val="16"/>
        </w:rPr>
        <w:t>Комсеверпуть</w:t>
      </w:r>
      <w:proofErr w:type="spellEnd"/>
      <w:r w:rsidRPr="007122AB">
        <w:rPr>
          <w:rFonts w:ascii="Times New Roman" w:hAnsi="Times New Roman"/>
          <w:color w:val="000000" w:themeColor="text1"/>
          <w:sz w:val="16"/>
          <w:szCs w:val="16"/>
        </w:rPr>
        <w:t>" имел 3 самолета, в 1932 г. - 5, то в 1933 г. авиация ГУСМП насчитывала уже 17 машин. Количество Дорнье "Валь" возросло до 6 единиц (11970).</w:t>
      </w:r>
    </w:p>
    <w:p w14:paraId="3180D55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84D10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из ВВС было передано еще около 100 Р-1 для обучения </w:t>
      </w:r>
      <w:proofErr w:type="spellStart"/>
      <w:r w:rsidRPr="007122AB">
        <w:rPr>
          <w:rFonts w:ascii="Times New Roman" w:hAnsi="Times New Roman"/>
          <w:color w:val="000000" w:themeColor="text1"/>
          <w:sz w:val="16"/>
          <w:szCs w:val="16"/>
        </w:rPr>
        <w:t>курсан-тов</w:t>
      </w:r>
      <w:proofErr w:type="spellEnd"/>
      <w:r w:rsidRPr="007122AB">
        <w:rPr>
          <w:rFonts w:ascii="Times New Roman" w:hAnsi="Times New Roman"/>
          <w:color w:val="000000" w:themeColor="text1"/>
          <w:sz w:val="16"/>
          <w:szCs w:val="16"/>
        </w:rPr>
        <w:t xml:space="preserve"> и тренировок летного состава в Батайской, Тамбов</w:t>
      </w:r>
      <w:r w:rsidRPr="007122AB">
        <w:rPr>
          <w:rFonts w:ascii="Times New Roman" w:hAnsi="Times New Roman"/>
          <w:color w:val="000000" w:themeColor="text1"/>
          <w:sz w:val="16"/>
          <w:szCs w:val="16"/>
        </w:rPr>
        <w:softHyphen/>
        <w:t>ской и Балашовской школах ГВФ, в Учебном комбинате (Институте инженеров ГВФ) в Ленинграде, в Москов</w:t>
      </w:r>
      <w:r w:rsidRPr="007122AB">
        <w:rPr>
          <w:rFonts w:ascii="Times New Roman" w:hAnsi="Times New Roman"/>
          <w:color w:val="000000" w:themeColor="text1"/>
          <w:sz w:val="16"/>
          <w:szCs w:val="16"/>
        </w:rPr>
        <w:softHyphen/>
        <w:t>ской школе технического состава ГВФ. Известны не</w:t>
      </w:r>
      <w:r w:rsidRPr="007122AB">
        <w:rPr>
          <w:rFonts w:ascii="Times New Roman" w:hAnsi="Times New Roman"/>
          <w:color w:val="000000" w:themeColor="text1"/>
          <w:sz w:val="16"/>
          <w:szCs w:val="16"/>
        </w:rPr>
        <w:softHyphen/>
        <w:t>сколько бортовых номеров учебных Р-1: СССР-В9, СССР-В10, СССР-В12. Первые десять машин, переданные ВВС обще</w:t>
      </w:r>
      <w:r w:rsidRPr="007122AB">
        <w:rPr>
          <w:rFonts w:ascii="Times New Roman" w:hAnsi="Times New Roman"/>
          <w:color w:val="000000" w:themeColor="text1"/>
          <w:sz w:val="16"/>
          <w:szCs w:val="16"/>
        </w:rPr>
        <w:softHyphen/>
        <w:t>ству «Добролет» в 1929 г., имели бортовые номера от СССР-183 до СССР-192. На них московское отделение «Добролета» проводило в Средней Азии испытание хи</w:t>
      </w:r>
      <w:r w:rsidRPr="007122AB">
        <w:rPr>
          <w:rFonts w:ascii="Times New Roman" w:hAnsi="Times New Roman"/>
          <w:color w:val="000000" w:themeColor="text1"/>
          <w:sz w:val="16"/>
          <w:szCs w:val="16"/>
        </w:rPr>
        <w:softHyphen/>
        <w:t>мического оборудования против саранчи, которые вы</w:t>
      </w:r>
      <w:r w:rsidRPr="007122AB">
        <w:rPr>
          <w:rFonts w:ascii="Times New Roman" w:hAnsi="Times New Roman"/>
          <w:color w:val="000000" w:themeColor="text1"/>
          <w:sz w:val="16"/>
          <w:szCs w:val="16"/>
        </w:rPr>
        <w:softHyphen/>
        <w:t>явили непригодность Р-1 для этой цели. Десять машин использовались для перевозки мат</w:t>
      </w:r>
      <w:r w:rsidRPr="007122AB">
        <w:rPr>
          <w:rFonts w:ascii="Times New Roman" w:hAnsi="Times New Roman"/>
          <w:color w:val="000000" w:themeColor="text1"/>
          <w:sz w:val="16"/>
          <w:szCs w:val="16"/>
        </w:rPr>
        <w:softHyphen/>
        <w:t>риц и выполнения особых поручений летным отрядом газеты «Правда». Этот отряд открыл в 1931 г. регуляр</w:t>
      </w:r>
      <w:r w:rsidRPr="007122AB">
        <w:rPr>
          <w:rFonts w:ascii="Times New Roman" w:hAnsi="Times New Roman"/>
          <w:color w:val="000000" w:themeColor="text1"/>
          <w:sz w:val="16"/>
          <w:szCs w:val="16"/>
        </w:rPr>
        <w:softHyphen/>
        <w:t>ную транспортную воздушную линию Москва-Ленин</w:t>
      </w:r>
      <w:r w:rsidRPr="007122AB">
        <w:rPr>
          <w:rFonts w:ascii="Times New Roman" w:hAnsi="Times New Roman"/>
          <w:color w:val="000000" w:themeColor="text1"/>
          <w:sz w:val="16"/>
          <w:szCs w:val="16"/>
        </w:rPr>
        <w:softHyphen/>
        <w:t>град. С августа 1931 г. гражданские Р-1 имели обозна</w:t>
      </w:r>
      <w:r w:rsidRPr="007122AB">
        <w:rPr>
          <w:rFonts w:ascii="Times New Roman" w:hAnsi="Times New Roman"/>
          <w:color w:val="000000" w:themeColor="text1"/>
          <w:sz w:val="16"/>
          <w:szCs w:val="16"/>
        </w:rPr>
        <w:softHyphen/>
        <w:t>чение П-1 (10667).</w:t>
      </w:r>
    </w:p>
    <w:p w14:paraId="2054E24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7874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был основан Шумерлинский деревообделочный комбинат. Производство мебели и столярных изделий. В 07.1941 г. передан го </w:t>
      </w:r>
      <w:proofErr w:type="spellStart"/>
      <w:r w:rsidRPr="007122AB">
        <w:rPr>
          <w:rFonts w:ascii="Times New Roman" w:hAnsi="Times New Roman"/>
          <w:color w:val="000000" w:themeColor="text1"/>
          <w:sz w:val="16"/>
          <w:szCs w:val="16"/>
        </w:rPr>
        <w:t>НКлеса</w:t>
      </w:r>
      <w:proofErr w:type="spellEnd"/>
      <w:r w:rsidRPr="007122AB">
        <w:rPr>
          <w:rFonts w:ascii="Times New Roman" w:hAnsi="Times New Roman"/>
          <w:color w:val="000000" w:themeColor="text1"/>
          <w:sz w:val="16"/>
          <w:szCs w:val="16"/>
        </w:rPr>
        <w:t xml:space="preserve"> и по приказу № 877с от 20.08.1941 г. получил наименование ГС завод № 471 в системе 11ГУ НКАП (ГС Завод № 471 НКАП /г. Шумерля Чувашской АССР/).</w:t>
      </w:r>
    </w:p>
    <w:p w14:paraId="6F2429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начале войны налаживалось производство десантного планера «Орел» конструкции Б.В. Кучеренко, </w:t>
      </w:r>
      <w:r w:rsidRPr="007122AB">
        <w:rPr>
          <w:rFonts w:ascii="Times New Roman" w:hAnsi="Times New Roman"/>
          <w:color w:val="000000" w:themeColor="text1"/>
          <w:sz w:val="16"/>
          <w:szCs w:val="16"/>
          <w:lang w:val="en-US"/>
        </w:rPr>
        <w:t>JI</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Роднянского и Н.И. Афанасьева. Затем работы по нему прекращены. По решению от 18.09.1941 г. на заводе начато освоение производства десантного планера Г-29 (Г-11), а также планера РФ-8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xml:space="preserve">. Антонова. Также было задано изготовление двух экземпляров опытного планера А-40 «КТ» (крылья танка) </w:t>
      </w:r>
      <w:r w:rsidRPr="007122AB">
        <w:rPr>
          <w:rFonts w:ascii="Times New Roman" w:hAnsi="Times New Roman"/>
          <w:color w:val="000000" w:themeColor="text1"/>
          <w:sz w:val="16"/>
          <w:szCs w:val="16"/>
          <w:lang w:val="en-US"/>
        </w:rPr>
        <w:t>O</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K</w:t>
      </w:r>
      <w:r w:rsidRPr="007122AB">
        <w:rPr>
          <w:rFonts w:ascii="Times New Roman" w:hAnsi="Times New Roman"/>
          <w:color w:val="000000" w:themeColor="text1"/>
          <w:sz w:val="16"/>
          <w:szCs w:val="16"/>
        </w:rPr>
        <w:t>. Антонова. Единственный полет А-40 с танком Т-60 выполнил 2.09.1942 г.</w:t>
      </w:r>
    </w:p>
    <w:p w14:paraId="595B79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 № 471 эвакуирована в 10-11.1941 г. часть завода № 168 НКАП (винтовой цех). По приказам № 995сс от 18.09.1941 г. и № 1050сс от 8.10.1941 г. на площадку завода № 471 11ГУ НКАП переведена основная часть ОКБ-28 11ГУ НКАП гл. конструктора В.К. Грибовского.</w:t>
      </w:r>
    </w:p>
    <w:p w14:paraId="25518E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 № 471 была эвакуирована основная часть личного состава, оборудования и документации завода № 445 НКАП. Здесь началось возобновление выпуска планера А-7. По приказу № 1088сс от 1.11.1941 г. планировалось влить завод № 445 в состав завода № 471. Но затем по приказу № 1179с от 31.12.1941 г. завод № 445 эвакуирован в Алапаевск на площадку деревообрабатывающего комбината НКЧМ.</w:t>
      </w:r>
    </w:p>
    <w:p w14:paraId="44DC49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09.1942 г. началось освоение выпуска Як-6. На 10.1944 г. завод действовал при 11ГУ.</w:t>
      </w:r>
    </w:p>
    <w:p w14:paraId="51F825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1945 г. завод № 471 НКАГ1 ликвидирован. По приказу № 306с/ 203пс от 24.07.1945 г. личный состав и оборудование переданы заводу № 463 НКАП, площадка передана в </w:t>
      </w:r>
      <w:proofErr w:type="spellStart"/>
      <w:r w:rsidRPr="007122AB">
        <w:rPr>
          <w:rFonts w:ascii="Times New Roman" w:hAnsi="Times New Roman"/>
          <w:color w:val="000000" w:themeColor="text1"/>
          <w:sz w:val="16"/>
          <w:szCs w:val="16"/>
        </w:rPr>
        <w:t>НКлеса</w:t>
      </w:r>
      <w:proofErr w:type="spellEnd"/>
      <w:r w:rsidRPr="007122AB">
        <w:rPr>
          <w:rFonts w:ascii="Times New Roman" w:hAnsi="Times New Roman"/>
          <w:color w:val="000000" w:themeColor="text1"/>
          <w:sz w:val="16"/>
          <w:szCs w:val="16"/>
        </w:rPr>
        <w:t>, и на ней организован Комбинат автомобильных фургонов.</w:t>
      </w:r>
    </w:p>
    <w:p w14:paraId="37B2EF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66A13B9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(05.1942 г.)- В.К. Грибовский.</w:t>
      </w:r>
    </w:p>
    <w:p w14:paraId="527769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Начальник КБ (11.1941 г.-)-  Г.Ф. Грошев.</w:t>
      </w:r>
    </w:p>
    <w:p w14:paraId="4A05A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550D3D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 гл. конструктора В.К. Грибовского при заводе № 471 НКАП</w:t>
      </w:r>
    </w:p>
    <w:p w14:paraId="77F7E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7DBC3A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391B48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ОАО «Комбинат автомобильных фургонов» /Чувашия 429120  г. Шумерля ул. Ленина, 21А тел. 5-23-93/</w:t>
      </w:r>
    </w:p>
    <w:p w14:paraId="66BC71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Комбинат создан после войны на площадке ликвидированного завода № 471 НКАП.</w:t>
      </w:r>
    </w:p>
    <w:p w14:paraId="66512D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  г. комбинат разрабатывал и выпускал унифицированные кузова для размещения пунктов управления огнем, стартовых комплексов ракетных войск (11982).</w:t>
      </w:r>
    </w:p>
    <w:p w14:paraId="5352B4CB" w14:textId="77777777" w:rsidR="0075673E" w:rsidRPr="007122AB" w:rsidRDefault="0075673E" w:rsidP="007122AB">
      <w:pPr>
        <w:autoSpaceDE w:val="0"/>
        <w:autoSpaceDN w:val="0"/>
        <w:adjustRightInd w:val="0"/>
        <w:spacing w:after="0" w:line="240" w:lineRule="auto"/>
        <w:jc w:val="both"/>
        <w:rPr>
          <w:rFonts w:ascii="Times New Roman" w:hAnsi="Times New Roman"/>
          <w:color w:val="000000" w:themeColor="text1"/>
          <w:sz w:val="16"/>
          <w:szCs w:val="16"/>
        </w:rPr>
      </w:pPr>
    </w:p>
    <w:p w14:paraId="26EEB3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был образован Завод строительных деталей. Далее это - Козловский деревообделочный комбинат НК стройматериалов. В 07.1941 г. комбинат передан из </w:t>
      </w:r>
      <w:proofErr w:type="spellStart"/>
      <w:r w:rsidRPr="007122AB">
        <w:rPr>
          <w:rFonts w:ascii="Times New Roman" w:hAnsi="Times New Roman"/>
          <w:color w:val="000000" w:themeColor="text1"/>
          <w:sz w:val="16"/>
          <w:szCs w:val="16"/>
        </w:rPr>
        <w:t>НКстройматериалов</w:t>
      </w:r>
      <w:proofErr w:type="spellEnd"/>
      <w:r w:rsidRPr="007122AB">
        <w:rPr>
          <w:rFonts w:ascii="Times New Roman" w:hAnsi="Times New Roman"/>
          <w:color w:val="000000" w:themeColor="text1"/>
          <w:sz w:val="16"/>
          <w:szCs w:val="16"/>
        </w:rPr>
        <w:t xml:space="preserve"> в НКАП и по приказу № 877с от 20.08.1941 г. получил наименование ГС завод № 494 в системе 11ГУ (ГС Завод № 494 НКАП, Козловский завод строительных деталей, Козловский деревообделочный комбинат НК стройматериалов, Козловский комбинат автомобильных фургонов, ООО «Комбинат автофургонов», ООО «Автофургон» /Чувашия  г. Козловка/ /Чувашия 429430  г. Козловка ул. К. Маркса, 1/). Планировалось производство планеров.</w:t>
      </w:r>
    </w:p>
    <w:p w14:paraId="2E5F80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войны налаживалось производство планера «Орел» Б.В. Кучеренко, Л.М. Роднянского и Н.И. Афанасьева, но затем прекращено. По решению от 18.09.1941 г. на заводе начато освоение производства десантного планера Г-29 (Г-11). С 1944 г. производство Г-11 перенесено на завод № 463. В 1942 г. организован выпуск самолета С-2, планировался выпуск У-2ШС.</w:t>
      </w:r>
    </w:p>
    <w:p w14:paraId="20D0C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1941 г. на площадку завода № 494 эвакуирована основная часть завода № 168 НКАП. Сюда же по приказу № 1057сс от 10.10.1941г на площадку завода № 494 эвакуирован завод № 482 НКАП и по приказу № 1178с от 31.12.1941 г. влит в его состав.</w:t>
      </w:r>
    </w:p>
    <w:p w14:paraId="056A25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1945 г. завод передан </w:t>
      </w:r>
      <w:proofErr w:type="spellStart"/>
      <w:r w:rsidRPr="007122AB">
        <w:rPr>
          <w:rFonts w:ascii="Times New Roman" w:hAnsi="Times New Roman"/>
          <w:color w:val="000000" w:themeColor="text1"/>
          <w:sz w:val="16"/>
          <w:szCs w:val="16"/>
        </w:rPr>
        <w:t>Глававиастрою</w:t>
      </w:r>
      <w:proofErr w:type="spellEnd"/>
      <w:r w:rsidRPr="007122AB">
        <w:rPr>
          <w:rFonts w:ascii="Times New Roman" w:hAnsi="Times New Roman"/>
          <w:color w:val="000000" w:themeColor="text1"/>
          <w:sz w:val="16"/>
          <w:szCs w:val="16"/>
        </w:rPr>
        <w:t>, а в 1947 г.- в другое министерство.</w:t>
      </w:r>
    </w:p>
    <w:p w14:paraId="5434A2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1961 г. начат выпуск кузовов и прицепов для автомобилей ПРМ (передвижных ремонтных мастерских). С 1968 г. специализировался на производстве кузовов-кунгов для военных автомашин на шасси «Урал».</w:t>
      </w:r>
    </w:p>
    <w:p w14:paraId="0254D3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21.05.1968 г. завод переименован в Козловский комбинат автофургонов.</w:t>
      </w:r>
    </w:p>
    <w:p w14:paraId="0B4E4B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(2003 г.): универсальных, изотермических и специальных </w:t>
      </w:r>
      <w:proofErr w:type="spellStart"/>
      <w:r w:rsidRPr="007122AB">
        <w:rPr>
          <w:rFonts w:ascii="Times New Roman" w:hAnsi="Times New Roman"/>
          <w:color w:val="000000" w:themeColor="text1"/>
          <w:sz w:val="16"/>
          <w:szCs w:val="16"/>
        </w:rPr>
        <w:t>автофугронов</w:t>
      </w:r>
      <w:proofErr w:type="spellEnd"/>
      <w:r w:rsidRPr="007122AB">
        <w:rPr>
          <w:rFonts w:ascii="Times New Roman" w:hAnsi="Times New Roman"/>
          <w:color w:val="000000" w:themeColor="text1"/>
          <w:sz w:val="16"/>
          <w:szCs w:val="16"/>
        </w:rPr>
        <w:t>, единственный в России изготовитель щеповозов.</w:t>
      </w:r>
    </w:p>
    <w:p w14:paraId="55BF83C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(06.1941 г.)- Ф. Артемьев, (08.1941 г.-)- Н.И. </w:t>
      </w:r>
      <w:proofErr w:type="spellStart"/>
      <w:r w:rsidRPr="007122AB">
        <w:rPr>
          <w:rFonts w:ascii="Times New Roman" w:hAnsi="Times New Roman"/>
          <w:color w:val="000000" w:themeColor="text1"/>
          <w:sz w:val="16"/>
          <w:szCs w:val="16"/>
        </w:rPr>
        <w:t>Чеблуков</w:t>
      </w:r>
      <w:proofErr w:type="spellEnd"/>
      <w:r w:rsidRPr="007122AB">
        <w:rPr>
          <w:rFonts w:ascii="Times New Roman" w:hAnsi="Times New Roman"/>
          <w:color w:val="000000" w:themeColor="text1"/>
          <w:sz w:val="16"/>
          <w:szCs w:val="16"/>
        </w:rPr>
        <w:t>, (-04.1942-09.1943 г.-)- М.И. Шелухин, (-01- 11.1944 г.-)- Ю.Б. Эскин, (начало 1960-х)- А.Н. Ленкин, (1999 г.)- В.Е. Палагин, (2007 г.)- Е.В. Максимов.</w:t>
      </w:r>
    </w:p>
    <w:p w14:paraId="2F2FDEA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КБ- Б.К. Ландышев.</w:t>
      </w:r>
    </w:p>
    <w:p w14:paraId="5A7E58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планеры: Г-11 (1941-43)- 170, учебно-тренировочный УС-6 (А-2) (-1943); самолет С-2 (1942- 45); щеповоз ТМ-59, лесовозное оборудование ТМ-39 (2003) (11982).</w:t>
      </w:r>
    </w:p>
    <w:p w14:paraId="3C1730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0A88E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образовался НИИ-25 как Научно-технический институт. В 1937 стал НИИ-12. Находился в подчинении 17ГУ МАП.</w:t>
      </w:r>
    </w:p>
    <w:p w14:paraId="3D6E947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системе наведения "Горизонт-1 и -1В" (конец 1950-х); по аппаратуре РУ-6-2П для КР П-20 (1959 г.). </w:t>
      </w:r>
    </w:p>
    <w:p w14:paraId="56438C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7863861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системам управления и защиты АЭС (САУ-103, САУ-110) и реакторов АПЛ (с 1953 г.). </w:t>
      </w:r>
    </w:p>
    <w:p w14:paraId="1D1CBB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7260B3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08.1992 г. в результате реорганизации НИИП территория на 1-й ул. Ямского Поля выделилась в самостоятельную организацию- Московское ОКБ «Система».</w:t>
      </w:r>
    </w:p>
    <w:p w14:paraId="02D427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1FFC0A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(1956 г.)- Н.Д. Рязанцев. </w:t>
      </w:r>
    </w:p>
    <w:p w14:paraId="233A28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гл. конструктор (1964-66 г.-)- А.С. Абрамов. Директор (1992-2002 г.-)- Б.Н. Гаврилин.</w:t>
      </w:r>
    </w:p>
    <w:p w14:paraId="0921D1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по науке (2002 г.)- В.А. Мосяков.</w:t>
      </w:r>
    </w:p>
    <w:p w14:paraId="71647F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НИИ-25 МАП, НИИ приборостроения (НИИП), Государственный НИИ приборостроения (</w:t>
      </w:r>
      <w:proofErr w:type="spellStart"/>
      <w:r w:rsidRPr="007122AB">
        <w:rPr>
          <w:rFonts w:ascii="Times New Roman" w:hAnsi="Times New Roman"/>
          <w:color w:val="000000" w:themeColor="text1"/>
          <w:sz w:val="16"/>
          <w:szCs w:val="16"/>
        </w:rPr>
        <w:t>ГосНИИП</w:t>
      </w:r>
      <w:proofErr w:type="spellEnd"/>
      <w:r w:rsidRPr="007122AB">
        <w:rPr>
          <w:rFonts w:ascii="Times New Roman" w:hAnsi="Times New Roman"/>
          <w:color w:val="000000" w:themeColor="text1"/>
          <w:sz w:val="16"/>
          <w:szCs w:val="16"/>
        </w:rPr>
        <w:t>), ФГУП «ГНИИП»</w:t>
      </w:r>
    </w:p>
    <w:p w14:paraId="376CEAE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129226 г. Москва пр. Мира, 125 тел. 181-16-38 (10776).</w:t>
      </w:r>
    </w:p>
    <w:p w14:paraId="687C6D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8806E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образовался НИИ-25. Действовал в 17ГУ МАП. Работы по системе "Горизонт-1 и -1В" (к. 1950-х), по аппаратуре управления РУ-6-2П для КР П-20 (1959 г.).</w:t>
      </w:r>
    </w:p>
    <w:p w14:paraId="42168A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1964 г. НИИ-25 был объединен с ОКБ-12 МАП с образованием единой организации НИИ приборостроения (НИИП). Начальником и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ин-та назначен </w:t>
      </w:r>
      <w:proofErr w:type="spellStart"/>
      <w:r w:rsidRPr="007122AB">
        <w:rPr>
          <w:rFonts w:ascii="Times New Roman" w:hAnsi="Times New Roman"/>
          <w:color w:val="000000" w:themeColor="text1"/>
          <w:sz w:val="16"/>
          <w:szCs w:val="16"/>
        </w:rPr>
        <w:t>А.С.Абрамов</w:t>
      </w:r>
      <w:proofErr w:type="spellEnd"/>
      <w:r w:rsidRPr="007122AB">
        <w:rPr>
          <w:rFonts w:ascii="Times New Roman" w:hAnsi="Times New Roman"/>
          <w:color w:val="000000" w:themeColor="text1"/>
          <w:sz w:val="16"/>
          <w:szCs w:val="16"/>
        </w:rPr>
        <w:t xml:space="preserve">. Ни-т базировался на двух территориях. </w:t>
      </w:r>
    </w:p>
    <w:p w14:paraId="75BDCB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Поводились работы по системам управления и защиты АЭС и реакторов ПЛ (с 1953г), системам управления расхода топлива для МБР, автоматическим системам управления авиационными ТРД, С н. 1960-х начались работы по инерциальным навигационным системам (ИНС) для ракет. Создан ряд ИНС для ракет ПЛО, ЗУР (С-300В), ПР (51Т6), ракетного комплекса 3М-10, управляемой ракеты класса "воздух-воздух" Р-77. Далее началось проведение работ по БЦВМ для УР. Работы по комплексам проверки подготовки и пуска ракет. </w:t>
      </w:r>
    </w:p>
    <w:p w14:paraId="0D26CB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.8.92 г. в результате реорганизации НИИ Приборостроения (НИИП) территория на 1-й ул. Ямского Поля (бывшее ОКБ-12) выделилась в самостоятельную организацию - Московское опытно-конструкторское бюро "Система". </w:t>
      </w:r>
    </w:p>
    <w:p w14:paraId="245C490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1992 г. НИИП возглавил </w:t>
      </w:r>
      <w:proofErr w:type="spellStart"/>
      <w:r w:rsidRPr="007122AB">
        <w:rPr>
          <w:rFonts w:ascii="Times New Roman" w:hAnsi="Times New Roman"/>
          <w:color w:val="000000" w:themeColor="text1"/>
          <w:sz w:val="16"/>
          <w:szCs w:val="16"/>
        </w:rPr>
        <w:t>Б.Н.Гаврилин</w:t>
      </w:r>
      <w:proofErr w:type="spellEnd"/>
      <w:r w:rsidRPr="007122AB">
        <w:rPr>
          <w:rFonts w:ascii="Times New Roman" w:hAnsi="Times New Roman"/>
          <w:color w:val="000000" w:themeColor="text1"/>
          <w:sz w:val="16"/>
          <w:szCs w:val="16"/>
        </w:rPr>
        <w:t xml:space="preserve">. </w:t>
      </w:r>
    </w:p>
    <w:p w14:paraId="036A52B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Государственный научно-исследовательский институт приборостроения, (</w:t>
      </w:r>
      <w:proofErr w:type="spellStart"/>
      <w:r w:rsidRPr="007122AB">
        <w:rPr>
          <w:rFonts w:ascii="Times New Roman" w:hAnsi="Times New Roman"/>
          <w:color w:val="000000" w:themeColor="text1"/>
          <w:sz w:val="16"/>
          <w:szCs w:val="16"/>
        </w:rPr>
        <w:t>ГосНИИП</w:t>
      </w:r>
      <w:proofErr w:type="spellEnd"/>
      <w:r w:rsidRPr="007122AB">
        <w:rPr>
          <w:rFonts w:ascii="Times New Roman" w:hAnsi="Times New Roman"/>
          <w:color w:val="000000" w:themeColor="text1"/>
          <w:sz w:val="16"/>
          <w:szCs w:val="16"/>
        </w:rPr>
        <w:t xml:space="preserve">) </w:t>
      </w:r>
    </w:p>
    <w:p w14:paraId="20F4AAD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Ранее - НИИ-25, НИИ приборостроения (НИИП, </w:t>
      </w:r>
      <w:proofErr w:type="spellStart"/>
      <w:r w:rsidRPr="007122AB">
        <w:rPr>
          <w:rFonts w:ascii="Times New Roman" w:hAnsi="Times New Roman"/>
          <w:color w:val="000000" w:themeColor="text1"/>
          <w:sz w:val="16"/>
          <w:szCs w:val="16"/>
        </w:rPr>
        <w:t>ГосНИИ</w:t>
      </w:r>
      <w:proofErr w:type="spellEnd"/>
      <w:r w:rsidRPr="007122AB">
        <w:rPr>
          <w:rFonts w:ascii="Times New Roman" w:hAnsi="Times New Roman"/>
          <w:color w:val="000000" w:themeColor="text1"/>
          <w:sz w:val="16"/>
          <w:szCs w:val="16"/>
        </w:rPr>
        <w:t xml:space="preserve"> приборостроения) </w:t>
      </w:r>
    </w:p>
    <w:p w14:paraId="654A20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 Россия, 129226, Москва, проспект Мира, 125, Тел.: (095) 181-16-38. Факс: (095) 181-33-70, E-mail: corund@col.ru (10778).</w:t>
      </w:r>
    </w:p>
    <w:p w14:paraId="67D8D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F59F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создан завод Компрессор, будущий з-д № 733. В 1938-39 г. выпускал приборы пуска ОВ КС-60.3 В 1942 г. завод № 733 был в подчинении НКМВ. Был в 1975 г.</w:t>
      </w:r>
    </w:p>
    <w:p w14:paraId="00ED5A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(ВОВ) ПУ НУРС РС-82 («Катюши»).</w:t>
      </w:r>
    </w:p>
    <w:p w14:paraId="2CB632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 733 НКМВ, завод «Компрессор» МОП</w:t>
      </w:r>
    </w:p>
    <w:p w14:paraId="64A8FE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Москва 2-я ул. Энтузиастов</w:t>
      </w:r>
    </w:p>
    <w:p w14:paraId="4241B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СКБ завода, ГСКБ (Государственное Союзное КБ) Специального машиностроения («Спецмаш») </w:t>
      </w:r>
      <w:proofErr w:type="spellStart"/>
      <w:r w:rsidRPr="007122AB">
        <w:rPr>
          <w:rFonts w:ascii="Times New Roman" w:hAnsi="Times New Roman"/>
          <w:color w:val="000000" w:themeColor="text1"/>
          <w:sz w:val="16"/>
          <w:szCs w:val="16"/>
        </w:rPr>
        <w:t>ММиП</w:t>
      </w:r>
      <w:proofErr w:type="spellEnd"/>
      <w:r w:rsidRPr="007122AB">
        <w:rPr>
          <w:rFonts w:ascii="Times New Roman" w:hAnsi="Times New Roman"/>
          <w:color w:val="000000" w:themeColor="text1"/>
          <w:sz w:val="16"/>
          <w:szCs w:val="16"/>
        </w:rPr>
        <w:t xml:space="preserve">, ГКОТ, КБ общего машиностроения (КБОМ) МОМ, ФГУП «КБОМ им. В.П. Бармина» ФКА </w:t>
      </w:r>
    </w:p>
    <w:p w14:paraId="6DCC67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121059 г. Москва Бережковская наб., 22 тел. 240-60-44</w:t>
      </w:r>
    </w:p>
    <w:p w14:paraId="55A107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Специальное КБ завода № 733 создано 30.06.1941 г. как головное по созданию и внедрению в производство ПУ системы залповой стрельбы «Катюша». В 05.1946 г. преобразовано в Государственное Союзное КБ «Спецмаш». В 1965 г. ГСКБ «Спецмаш» ГКОТ передано в ведение 4ГУ МОМ и по приказу от 6.03.1966 г. преобразовано в КБОМ. С 1999 г. – ФГУП «КБОМ им. В.П. Бармина». Головное предприятие по разработке и созданию стартовых комплексов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 </w:t>
      </w:r>
    </w:p>
    <w:p w14:paraId="1DA19F6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C6C7C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КБОМ имело опытное производство, испытательный центр «Сплав».</w:t>
      </w:r>
    </w:p>
    <w:p w14:paraId="48EA2A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Имеет филиал (2005 г.). Начальник центра испытаний филиала (2005 г.)- В.Н. Ефименко.</w:t>
      </w:r>
    </w:p>
    <w:p w14:paraId="5A5D4E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Дружинин.ПМ-07/03 Созданы грунтозаборные автоматы для исследования Луны и Венеры.</w:t>
      </w:r>
    </w:p>
    <w:p w14:paraId="48A233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Ген. конструктор (1941-1990-е г.)- В.П. Бармин, (1993-2003 г.-)- И.В. Бармин.</w:t>
      </w:r>
    </w:p>
    <w:p w14:paraId="1199C2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(1993-2003 г.-)- И.В. Бармин.</w:t>
      </w:r>
    </w:p>
    <w:p w14:paraId="52D0B6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зам. Начальника (2002 г.)- Е.И. Соколов. Зам. Начальника по коммерческим вопросам (2002 г.)- В.Г. Тарнавский.</w:t>
      </w:r>
    </w:p>
    <w:p w14:paraId="2C02F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1-й зам. Ген. Конструктора (2002 г.)- В.Н. Климов. Зам. Ген. Конструктора по испытаниям (2002 г.)- Е.И. Соколов.</w:t>
      </w:r>
    </w:p>
    <w:p w14:paraId="0809F3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конструкторы (1958 г.)- А.И. Яскин (БМ-14-17).</w:t>
      </w:r>
    </w:p>
    <w:p w14:paraId="00D0C8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Создано: ПУ: БМ-8-24 для НУР РС-82 на базе танка Т-60 (1941 г.); М-13-МI для бронекатеров (1942 г.), 24-М-8 и 16-М-13 для морских кораблей (1943 г.); БМ-14 на шасси ЗИС-151 (1952), БМ-14М (2Б2) на шасси ЗиЛ-157, БМ-14ММ (2Б2Р) на шасси ЗиЛ-131, БМ-14-17 (8У36) на шасси ГАЗ-63 (1958); БМ-24 (8У31) для М-24Ф на шасси ЗИС-151, БМ-24Т на шасси гусеничного тягача АТ-С; Наземные стартовые комплексы БР: Р-1, Р-2, Р-11, Р-5, РТ-1, Р-7, В-300; РН Н1, «Протон», «Энергия-Буран»; ПУ ЗРК: С-25М, С-200, 5П85С для С-300П; ШПУ: 8П763 «Двина» для Р-12; 8П764 «Чусовая» для Р-14; для РТ-2; «Шексна-В» для Р-16У; для УР-100; с «прыгающим» стартом для МБР Р-36М; для МБР МР-УР-100; для противоракет: В-1000, А-350, 51Т6 системы ПРО А-135;57 железнодорожная ПУ для РТ-23УТТХ.</w:t>
      </w:r>
    </w:p>
    <w:p w14:paraId="64A123A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Ипытательный</w:t>
      </w:r>
      <w:proofErr w:type="spellEnd"/>
      <w:r w:rsidRPr="007122AB">
        <w:rPr>
          <w:rFonts w:ascii="Times New Roman" w:hAnsi="Times New Roman"/>
          <w:color w:val="000000" w:themeColor="text1"/>
          <w:sz w:val="16"/>
          <w:szCs w:val="16"/>
        </w:rPr>
        <w:t xml:space="preserve"> центр «Сплав»</w:t>
      </w:r>
    </w:p>
    <w:p w14:paraId="14E113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(10776).</w:t>
      </w:r>
    </w:p>
    <w:p w14:paraId="19A6F7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8063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в составе отдела вооружения КОСОС ЦАГИ во главе с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М.Н.Родионова</w:t>
      </w:r>
      <w:proofErr w:type="spellEnd"/>
      <w:r w:rsidRPr="007122AB">
        <w:rPr>
          <w:rFonts w:ascii="Times New Roman" w:hAnsi="Times New Roman"/>
          <w:color w:val="000000" w:themeColor="text1"/>
          <w:sz w:val="16"/>
          <w:szCs w:val="16"/>
        </w:rPr>
        <w:t xml:space="preserve"> была организована бригада специального химического вооружения. Далее с 1933 г. бригада работала в ЦКБ-39. Далее бригада получила самостоятельность и была переведена в 1936 г. на серийный завод №145 НКАП в </w:t>
      </w:r>
      <w:proofErr w:type="spellStart"/>
      <w:r w:rsidRPr="007122AB">
        <w:rPr>
          <w:rFonts w:ascii="Times New Roman" w:hAnsi="Times New Roman"/>
          <w:color w:val="000000" w:themeColor="text1"/>
          <w:sz w:val="16"/>
          <w:szCs w:val="16"/>
        </w:rPr>
        <w:t>г.Москву</w:t>
      </w:r>
      <w:proofErr w:type="spellEnd"/>
      <w:r w:rsidRPr="007122AB">
        <w:rPr>
          <w:rFonts w:ascii="Times New Roman" w:hAnsi="Times New Roman"/>
          <w:color w:val="000000" w:themeColor="text1"/>
          <w:sz w:val="16"/>
          <w:szCs w:val="16"/>
        </w:rPr>
        <w:t xml:space="preserve">. Для образованного ОКО выделена собственная база на заводе. С 1937 г.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КБ завода №145 стал </w:t>
      </w:r>
      <w:proofErr w:type="spellStart"/>
      <w:r w:rsidRPr="007122AB">
        <w:rPr>
          <w:rFonts w:ascii="Times New Roman" w:hAnsi="Times New Roman"/>
          <w:color w:val="000000" w:themeColor="text1"/>
          <w:sz w:val="16"/>
          <w:szCs w:val="16"/>
        </w:rPr>
        <w:t>И.И.Картуков</w:t>
      </w:r>
      <w:proofErr w:type="spellEnd"/>
      <w:r w:rsidRPr="007122AB">
        <w:rPr>
          <w:rFonts w:ascii="Times New Roman" w:hAnsi="Times New Roman"/>
          <w:color w:val="000000" w:themeColor="text1"/>
          <w:sz w:val="16"/>
          <w:szCs w:val="16"/>
        </w:rPr>
        <w:t xml:space="preserve">, зам.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ОКБ был </w:t>
      </w:r>
      <w:proofErr w:type="spellStart"/>
      <w:r w:rsidRPr="007122AB">
        <w:rPr>
          <w:rFonts w:ascii="Times New Roman" w:hAnsi="Times New Roman"/>
          <w:color w:val="000000" w:themeColor="text1"/>
          <w:sz w:val="16"/>
          <w:szCs w:val="16"/>
        </w:rPr>
        <w:t>Завразин</w:t>
      </w:r>
      <w:proofErr w:type="spellEnd"/>
      <w:r w:rsidRPr="007122AB">
        <w:rPr>
          <w:rFonts w:ascii="Times New Roman" w:hAnsi="Times New Roman"/>
          <w:color w:val="000000" w:themeColor="text1"/>
          <w:sz w:val="16"/>
          <w:szCs w:val="16"/>
        </w:rPr>
        <w:t xml:space="preserve">. Коллективом разработан ряд выливных химических приборов типа ВАП и УХАП и балок подвески ВАП. С началом ВОВ коллектив при эвакуации был раздроблен. Часть ОКО и опытного цеха эвакуирована в </w:t>
      </w:r>
      <w:proofErr w:type="spellStart"/>
      <w:r w:rsidRPr="007122AB">
        <w:rPr>
          <w:rFonts w:ascii="Times New Roman" w:hAnsi="Times New Roman"/>
          <w:color w:val="000000" w:themeColor="text1"/>
          <w:sz w:val="16"/>
          <w:szCs w:val="16"/>
        </w:rPr>
        <w:t>г.Киров</w:t>
      </w:r>
      <w:proofErr w:type="spellEnd"/>
      <w:r w:rsidRPr="007122AB">
        <w:rPr>
          <w:rFonts w:ascii="Times New Roman" w:hAnsi="Times New Roman"/>
          <w:color w:val="000000" w:themeColor="text1"/>
          <w:sz w:val="16"/>
          <w:szCs w:val="16"/>
        </w:rPr>
        <w:t xml:space="preserve"> на площади завода №315 НКАП (приказ 7ГУ №20/30 от 26.7.41 г.). В к. 1941 г. основная часть ОКБ вместе с заводом эвакуирована в </w:t>
      </w:r>
      <w:proofErr w:type="spellStart"/>
      <w:r w:rsidRPr="007122AB">
        <w:rPr>
          <w:rFonts w:ascii="Times New Roman" w:hAnsi="Times New Roman"/>
          <w:color w:val="000000" w:themeColor="text1"/>
          <w:sz w:val="16"/>
          <w:szCs w:val="16"/>
        </w:rPr>
        <w:t>г.Куйбышев</w:t>
      </w:r>
      <w:proofErr w:type="spellEnd"/>
      <w:r w:rsidRPr="007122AB">
        <w:rPr>
          <w:rFonts w:ascii="Times New Roman" w:hAnsi="Times New Roman"/>
          <w:color w:val="000000" w:themeColor="text1"/>
          <w:sz w:val="16"/>
          <w:szCs w:val="16"/>
        </w:rPr>
        <w:t xml:space="preserve">. Здесь ОКБ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(ОКБ-145 НКАП) работало по </w:t>
      </w:r>
      <w:proofErr w:type="spellStart"/>
      <w:r w:rsidRPr="007122AB">
        <w:rPr>
          <w:rFonts w:ascii="Times New Roman" w:hAnsi="Times New Roman"/>
          <w:color w:val="000000" w:themeColor="text1"/>
          <w:sz w:val="16"/>
          <w:szCs w:val="16"/>
        </w:rPr>
        <w:t>ампулометам</w:t>
      </w:r>
      <w:proofErr w:type="spellEnd"/>
      <w:r w:rsidRPr="007122AB">
        <w:rPr>
          <w:rFonts w:ascii="Times New Roman" w:hAnsi="Times New Roman"/>
          <w:color w:val="000000" w:themeColor="text1"/>
          <w:sz w:val="16"/>
          <w:szCs w:val="16"/>
        </w:rPr>
        <w:t>, химическим авиационным выливным бомбардировочным боеприпасам (10777).</w:t>
      </w:r>
    </w:p>
    <w:p w14:paraId="19707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1943 г. ОКБ-145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в соответствии с приказом НКАП №272 от 6.5.43 г. со всем оборудованием и оп. цехом возвращено на новое место в </w:t>
      </w:r>
      <w:proofErr w:type="spellStart"/>
      <w:r w:rsidRPr="007122AB">
        <w:rPr>
          <w:rFonts w:ascii="Times New Roman" w:hAnsi="Times New Roman"/>
          <w:color w:val="000000" w:themeColor="text1"/>
          <w:sz w:val="16"/>
          <w:szCs w:val="16"/>
        </w:rPr>
        <w:t>г.Костино</w:t>
      </w:r>
      <w:proofErr w:type="spellEnd"/>
      <w:r w:rsidRPr="007122AB">
        <w:rPr>
          <w:rFonts w:ascii="Times New Roman" w:hAnsi="Times New Roman"/>
          <w:color w:val="000000" w:themeColor="text1"/>
          <w:sz w:val="16"/>
          <w:szCs w:val="16"/>
        </w:rPr>
        <w:t xml:space="preserve"> М.О. на завод №455 НКАП с образованием нового ОКБ-455 НКАП. Создан химический разовый прибор ХАРП-500-300А для НКВМФ. С 1946 г. начались работы по пиропатронам для выбрасываемых кресел летчиков по типу установленных на самолетах Не-162 и Не-219. </w:t>
      </w:r>
    </w:p>
    <w:p w14:paraId="0A23AF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Уже в .3.1946 г. вновь образуется новый опытный завод №81 МАП в </w:t>
      </w:r>
      <w:proofErr w:type="spellStart"/>
      <w:r w:rsidRPr="007122AB">
        <w:rPr>
          <w:rFonts w:ascii="Times New Roman" w:hAnsi="Times New Roman"/>
          <w:color w:val="000000" w:themeColor="text1"/>
          <w:sz w:val="16"/>
          <w:szCs w:val="16"/>
        </w:rPr>
        <w:t>г.Москве</w:t>
      </w:r>
      <w:proofErr w:type="spellEnd"/>
      <w:r w:rsidRPr="007122AB">
        <w:rPr>
          <w:rFonts w:ascii="Times New Roman" w:hAnsi="Times New Roman"/>
          <w:color w:val="000000" w:themeColor="text1"/>
          <w:sz w:val="16"/>
          <w:szCs w:val="16"/>
        </w:rPr>
        <w:t xml:space="preserve">, куда переводится ОКБ-455 МАП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Организация специального опытного завода в системе 7ГУ началась в середине 1946 г. в соответствии с приказом №148 от 22.3.46 г. и №534 от 9.8.46 г. в </w:t>
      </w:r>
      <w:proofErr w:type="spellStart"/>
      <w:r w:rsidRPr="007122AB">
        <w:rPr>
          <w:rFonts w:ascii="Times New Roman" w:hAnsi="Times New Roman"/>
          <w:color w:val="000000" w:themeColor="text1"/>
          <w:sz w:val="16"/>
          <w:szCs w:val="16"/>
        </w:rPr>
        <w:t>г.Москве</w:t>
      </w:r>
      <w:proofErr w:type="spellEnd"/>
      <w:r w:rsidRPr="007122AB">
        <w:rPr>
          <w:rFonts w:ascii="Times New Roman" w:hAnsi="Times New Roman"/>
          <w:color w:val="000000" w:themeColor="text1"/>
          <w:sz w:val="16"/>
          <w:szCs w:val="16"/>
        </w:rPr>
        <w:t xml:space="preserve"> на базе бывшего завода №81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С.А.Лавочкина</w:t>
      </w:r>
      <w:proofErr w:type="spellEnd"/>
      <w:r w:rsidRPr="007122AB">
        <w:rPr>
          <w:rFonts w:ascii="Times New Roman" w:hAnsi="Times New Roman"/>
          <w:color w:val="000000" w:themeColor="text1"/>
          <w:sz w:val="16"/>
          <w:szCs w:val="16"/>
        </w:rPr>
        <w:t xml:space="preserve"> для развития работ по установкам авиационного реактивного вооружения, стартовым самолетным ракетам и </w:t>
      </w:r>
      <w:proofErr w:type="spellStart"/>
      <w:r w:rsidRPr="007122AB">
        <w:rPr>
          <w:rFonts w:ascii="Times New Roman" w:hAnsi="Times New Roman"/>
          <w:color w:val="000000" w:themeColor="text1"/>
          <w:sz w:val="16"/>
          <w:szCs w:val="16"/>
        </w:rPr>
        <w:t>пиросистемам</w:t>
      </w:r>
      <w:proofErr w:type="spellEnd"/>
      <w:r w:rsidRPr="007122AB">
        <w:rPr>
          <w:rFonts w:ascii="Times New Roman" w:hAnsi="Times New Roman"/>
          <w:color w:val="000000" w:themeColor="text1"/>
          <w:sz w:val="16"/>
          <w:szCs w:val="16"/>
        </w:rPr>
        <w:t xml:space="preserve"> сбрасывания кресла летчика. Для размещения передана часть площадей на территории завода №381 НКАП и ангар НИСО. </w:t>
      </w:r>
    </w:p>
    <w:p w14:paraId="161D9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самого начала завод становится </w:t>
      </w:r>
      <w:proofErr w:type="spellStart"/>
      <w:r w:rsidRPr="007122AB">
        <w:rPr>
          <w:rFonts w:ascii="Times New Roman" w:hAnsi="Times New Roman"/>
          <w:color w:val="000000" w:themeColor="text1"/>
          <w:sz w:val="16"/>
          <w:szCs w:val="16"/>
        </w:rPr>
        <w:t>двупрофильным</w:t>
      </w:r>
      <w:proofErr w:type="spellEnd"/>
      <w:r w:rsidRPr="007122AB">
        <w:rPr>
          <w:rFonts w:ascii="Times New Roman" w:hAnsi="Times New Roman"/>
          <w:color w:val="000000" w:themeColor="text1"/>
          <w:sz w:val="16"/>
          <w:szCs w:val="16"/>
        </w:rPr>
        <w:t xml:space="preserve">. Сюда переведена кроме ОКБ-455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еще группа конструкторов и производственников во главе с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И.П.Шебановым</w:t>
      </w:r>
      <w:proofErr w:type="spellEnd"/>
      <w:r w:rsidRPr="007122AB">
        <w:rPr>
          <w:rFonts w:ascii="Times New Roman" w:hAnsi="Times New Roman"/>
          <w:color w:val="000000" w:themeColor="text1"/>
          <w:sz w:val="16"/>
          <w:szCs w:val="16"/>
        </w:rPr>
        <w:t xml:space="preserve"> и зам.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В.И.Ермиловым</w:t>
      </w:r>
      <w:proofErr w:type="spellEnd"/>
      <w:r w:rsidRPr="007122AB">
        <w:rPr>
          <w:rFonts w:ascii="Times New Roman" w:hAnsi="Times New Roman"/>
          <w:color w:val="000000" w:themeColor="text1"/>
          <w:sz w:val="16"/>
          <w:szCs w:val="16"/>
        </w:rPr>
        <w:t xml:space="preserve">, выделенная из состава ОКБ-43 МАП, переведена из НИИ-1 МАП группа конструкторов, занимавшаяся установками реактивных снарядов. </w:t>
      </w:r>
    </w:p>
    <w:p w14:paraId="08621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Сначала было единое заводское ОКБ. В 1946-51 гг. </w:t>
      </w:r>
      <w:proofErr w:type="spellStart"/>
      <w:r w:rsidRPr="007122AB">
        <w:rPr>
          <w:rFonts w:ascii="Times New Roman" w:hAnsi="Times New Roman"/>
          <w:color w:val="000000" w:themeColor="text1"/>
          <w:sz w:val="16"/>
          <w:szCs w:val="16"/>
        </w:rPr>
        <w:t>И.П.Шебанов</w:t>
      </w:r>
      <w:proofErr w:type="spellEnd"/>
      <w:r w:rsidRPr="007122AB">
        <w:rPr>
          <w:rFonts w:ascii="Times New Roman" w:hAnsi="Times New Roman"/>
          <w:color w:val="000000" w:themeColor="text1"/>
          <w:sz w:val="16"/>
          <w:szCs w:val="16"/>
        </w:rPr>
        <w:t xml:space="preserve"> возглавлял это ОКБ и являлся одновременно директором завода, а </w:t>
      </w:r>
      <w:proofErr w:type="spellStart"/>
      <w:r w:rsidRPr="007122AB">
        <w:rPr>
          <w:rFonts w:ascii="Times New Roman" w:hAnsi="Times New Roman"/>
          <w:color w:val="000000" w:themeColor="text1"/>
          <w:sz w:val="16"/>
          <w:szCs w:val="16"/>
        </w:rPr>
        <w:t>И.И.Картуков</w:t>
      </w:r>
      <w:proofErr w:type="spellEnd"/>
      <w:r w:rsidRPr="007122AB">
        <w:rPr>
          <w:rFonts w:ascii="Times New Roman" w:hAnsi="Times New Roman"/>
          <w:color w:val="000000" w:themeColor="text1"/>
          <w:sz w:val="16"/>
          <w:szCs w:val="16"/>
        </w:rPr>
        <w:t xml:space="preserve"> - его заместителем. Далее </w:t>
      </w:r>
      <w:proofErr w:type="spellStart"/>
      <w:r w:rsidRPr="007122AB">
        <w:rPr>
          <w:rFonts w:ascii="Times New Roman" w:hAnsi="Times New Roman"/>
          <w:color w:val="000000" w:themeColor="text1"/>
          <w:sz w:val="16"/>
          <w:szCs w:val="16"/>
        </w:rPr>
        <w:t>И.П.Шебанова</w:t>
      </w:r>
      <w:proofErr w:type="spellEnd"/>
      <w:r w:rsidRPr="007122AB">
        <w:rPr>
          <w:rFonts w:ascii="Times New Roman" w:hAnsi="Times New Roman"/>
          <w:color w:val="000000" w:themeColor="text1"/>
          <w:sz w:val="16"/>
          <w:szCs w:val="16"/>
        </w:rPr>
        <w:t xml:space="preserve"> сняли с должности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разделено ОКБ и с 1951 г. </w:t>
      </w:r>
      <w:proofErr w:type="spellStart"/>
      <w:r w:rsidRPr="007122AB">
        <w:rPr>
          <w:rFonts w:ascii="Times New Roman" w:hAnsi="Times New Roman"/>
          <w:color w:val="000000" w:themeColor="text1"/>
          <w:sz w:val="16"/>
          <w:szCs w:val="16"/>
        </w:rPr>
        <w:t>В.П.Григорьев</w:t>
      </w:r>
      <w:proofErr w:type="spellEnd"/>
      <w:r w:rsidRPr="007122AB">
        <w:rPr>
          <w:rFonts w:ascii="Times New Roman" w:hAnsi="Times New Roman"/>
          <w:color w:val="000000" w:themeColor="text1"/>
          <w:sz w:val="16"/>
          <w:szCs w:val="16"/>
        </w:rPr>
        <w:t xml:space="preserve"> возглавил КБ-1, а </w:t>
      </w:r>
      <w:proofErr w:type="spellStart"/>
      <w:r w:rsidRPr="007122AB">
        <w:rPr>
          <w:rFonts w:ascii="Times New Roman" w:hAnsi="Times New Roman"/>
          <w:color w:val="000000" w:themeColor="text1"/>
          <w:sz w:val="16"/>
          <w:szCs w:val="16"/>
        </w:rPr>
        <w:t>И.И.Картуков</w:t>
      </w:r>
      <w:proofErr w:type="spellEnd"/>
      <w:r w:rsidRPr="007122AB">
        <w:rPr>
          <w:rFonts w:ascii="Times New Roman" w:hAnsi="Times New Roman"/>
          <w:color w:val="000000" w:themeColor="text1"/>
          <w:sz w:val="16"/>
          <w:szCs w:val="16"/>
        </w:rPr>
        <w:t xml:space="preserve"> - КБ-2. </w:t>
      </w:r>
    </w:p>
    <w:p w14:paraId="3766FD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051AF1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1957 г. КБ-1 </w:t>
      </w:r>
      <w:proofErr w:type="spellStart"/>
      <w:r w:rsidRPr="007122AB">
        <w:rPr>
          <w:rFonts w:ascii="Times New Roman" w:hAnsi="Times New Roman"/>
          <w:color w:val="000000" w:themeColor="text1"/>
          <w:sz w:val="16"/>
          <w:szCs w:val="16"/>
        </w:rPr>
        <w:t>В.П.Григорьева</w:t>
      </w:r>
      <w:proofErr w:type="spellEnd"/>
      <w:r w:rsidRPr="007122AB">
        <w:rPr>
          <w:rFonts w:ascii="Times New Roman" w:hAnsi="Times New Roman"/>
          <w:color w:val="000000" w:themeColor="text1"/>
          <w:sz w:val="16"/>
          <w:szCs w:val="16"/>
        </w:rPr>
        <w:t xml:space="preserve"> было переведено на другую территорию и действовало как ОКБ-424 (см. </w:t>
      </w:r>
      <w:proofErr w:type="spellStart"/>
      <w:r w:rsidRPr="007122AB">
        <w:rPr>
          <w:rFonts w:ascii="Times New Roman" w:hAnsi="Times New Roman"/>
          <w:color w:val="000000" w:themeColor="text1"/>
          <w:sz w:val="16"/>
          <w:szCs w:val="16"/>
        </w:rPr>
        <w:t>Долгопрудненское</w:t>
      </w:r>
      <w:proofErr w:type="spellEnd"/>
      <w:r w:rsidRPr="007122AB">
        <w:rPr>
          <w:rFonts w:ascii="Times New Roman" w:hAnsi="Times New Roman"/>
          <w:color w:val="000000" w:themeColor="text1"/>
          <w:sz w:val="16"/>
          <w:szCs w:val="16"/>
        </w:rPr>
        <w:t xml:space="preserve"> КБ автоматических систем). </w:t>
      </w:r>
    </w:p>
    <w:p w14:paraId="75B57A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Другое заводское КБ-2 (далее МКБ "Искра") - коллектив переведенного сюда ОКБ-455 МАП </w:t>
      </w: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w:t>
      </w:r>
      <w:proofErr w:type="spellStart"/>
      <w:r w:rsidRPr="007122AB">
        <w:rPr>
          <w:rFonts w:ascii="Times New Roman" w:hAnsi="Times New Roman"/>
          <w:color w:val="000000" w:themeColor="text1"/>
          <w:sz w:val="16"/>
          <w:szCs w:val="16"/>
        </w:rPr>
        <w:t>химприборы</w:t>
      </w:r>
      <w:proofErr w:type="spellEnd"/>
      <w:r w:rsidRPr="007122AB">
        <w:rPr>
          <w:rFonts w:ascii="Times New Roman" w:hAnsi="Times New Roman"/>
          <w:color w:val="000000" w:themeColor="text1"/>
          <w:sz w:val="16"/>
          <w:szCs w:val="16"/>
        </w:rPr>
        <w:t xml:space="preserve">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4E1CB0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1955 г. КБ-2 слито с заводом и преобразовано в НПО. </w:t>
      </w:r>
    </w:p>
    <w:p w14:paraId="3D9A69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Основной конструкторский состав КБ: </w:t>
      </w:r>
      <w:proofErr w:type="spellStart"/>
      <w:r w:rsidRPr="007122AB">
        <w:rPr>
          <w:rFonts w:ascii="Times New Roman" w:hAnsi="Times New Roman"/>
          <w:color w:val="000000" w:themeColor="text1"/>
          <w:sz w:val="16"/>
          <w:szCs w:val="16"/>
        </w:rPr>
        <w:t>И.К.Савков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Е.А.Гуськов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А.А.Брауде</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С.И.Чуб</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А.С.Поздняков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Е.И.Хренов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С.В.Авдула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А.М.Носов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Г.М.Квятковский</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В.М.Юшков</w:t>
      </w:r>
      <w:proofErr w:type="spellEnd"/>
      <w:r w:rsidRPr="007122AB">
        <w:rPr>
          <w:rFonts w:ascii="Times New Roman" w:hAnsi="Times New Roman"/>
          <w:color w:val="000000" w:themeColor="text1"/>
          <w:sz w:val="16"/>
          <w:szCs w:val="16"/>
        </w:rPr>
        <w:t xml:space="preserve"> и др. </w:t>
      </w:r>
    </w:p>
    <w:p w14:paraId="67CFC1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28369B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Гл.к</w:t>
      </w:r>
      <w:proofErr w:type="spellEnd"/>
      <w:r w:rsidRPr="007122AB">
        <w:rPr>
          <w:rFonts w:ascii="Times New Roman" w:hAnsi="Times New Roman"/>
          <w:color w:val="000000" w:themeColor="text1"/>
          <w:sz w:val="16"/>
          <w:szCs w:val="16"/>
        </w:rPr>
        <w:t xml:space="preserve">. МКБ "Искра" вместо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был </w:t>
      </w:r>
      <w:proofErr w:type="spellStart"/>
      <w:r w:rsidRPr="007122AB">
        <w:rPr>
          <w:rFonts w:ascii="Times New Roman" w:hAnsi="Times New Roman"/>
          <w:color w:val="000000" w:themeColor="text1"/>
          <w:sz w:val="16"/>
          <w:szCs w:val="16"/>
        </w:rPr>
        <w:t>Ю.К.Куликов</w:t>
      </w:r>
      <w:proofErr w:type="spellEnd"/>
      <w:r w:rsidRPr="007122AB">
        <w:rPr>
          <w:rFonts w:ascii="Times New Roman" w:hAnsi="Times New Roman"/>
          <w:color w:val="000000" w:themeColor="text1"/>
          <w:sz w:val="16"/>
          <w:szCs w:val="16"/>
        </w:rPr>
        <w:t xml:space="preserve"> (с 1993 г.). </w:t>
      </w:r>
    </w:p>
    <w:p w14:paraId="51E849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57620B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к. 1950-х гг. предприятие действовало в системе 2ГУ и 7ГУ. С 1957 г. завод передан из 7ГУ в 6ГУ. </w:t>
      </w:r>
    </w:p>
    <w:p w14:paraId="675CB1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Директорами завода были: </w:t>
      </w:r>
      <w:proofErr w:type="spellStart"/>
      <w:r w:rsidRPr="007122AB">
        <w:rPr>
          <w:rFonts w:ascii="Times New Roman" w:hAnsi="Times New Roman"/>
          <w:color w:val="000000" w:themeColor="text1"/>
          <w:sz w:val="16"/>
          <w:szCs w:val="16"/>
        </w:rPr>
        <w:t>И.П.Шебанов</w:t>
      </w:r>
      <w:proofErr w:type="spellEnd"/>
      <w:r w:rsidRPr="007122AB">
        <w:rPr>
          <w:rFonts w:ascii="Times New Roman" w:hAnsi="Times New Roman"/>
          <w:color w:val="000000" w:themeColor="text1"/>
          <w:sz w:val="16"/>
          <w:szCs w:val="16"/>
        </w:rPr>
        <w:t xml:space="preserve"> (до 1951 г.), </w:t>
      </w:r>
      <w:proofErr w:type="spellStart"/>
      <w:r w:rsidRPr="007122AB">
        <w:rPr>
          <w:rFonts w:ascii="Times New Roman" w:hAnsi="Times New Roman"/>
          <w:color w:val="000000" w:themeColor="text1"/>
          <w:sz w:val="16"/>
          <w:szCs w:val="16"/>
        </w:rPr>
        <w:t>А.И.Будников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В.П.Сонюшкин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Б.В.Плюснин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А.М.Бицкевич</w:t>
      </w:r>
      <w:proofErr w:type="spellEnd"/>
      <w:r w:rsidRPr="007122AB">
        <w:rPr>
          <w:rFonts w:ascii="Times New Roman" w:hAnsi="Times New Roman"/>
          <w:color w:val="000000" w:themeColor="text1"/>
          <w:sz w:val="16"/>
          <w:szCs w:val="16"/>
        </w:rPr>
        <w:t xml:space="preserve">. </w:t>
      </w:r>
    </w:p>
    <w:p w14:paraId="6A24C7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2003 г. ОАО ”МКБ ”Искра” им. И.И. </w:t>
      </w:r>
      <w:proofErr w:type="spellStart"/>
      <w:r w:rsidRPr="007122AB">
        <w:rPr>
          <w:rFonts w:ascii="Times New Roman" w:hAnsi="Times New Roman"/>
          <w:color w:val="000000" w:themeColor="text1"/>
          <w:sz w:val="16"/>
          <w:szCs w:val="16"/>
        </w:rPr>
        <w:t>Картукова</w:t>
      </w:r>
      <w:proofErr w:type="spellEnd"/>
      <w:r w:rsidRPr="007122AB">
        <w:rPr>
          <w:rFonts w:ascii="Times New Roman" w:hAnsi="Times New Roman"/>
          <w:color w:val="000000" w:themeColor="text1"/>
          <w:sz w:val="16"/>
          <w:szCs w:val="16"/>
        </w:rPr>
        <w:t xml:space="preserve">” входит в состав ОАО ”Корпорация ”Тактическое ракетное вооружение”. </w:t>
      </w:r>
    </w:p>
    <w:p w14:paraId="1FF9A6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Генеральный директор ОАО "МКБ "Искра" им.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 </w:t>
      </w:r>
      <w:proofErr w:type="spellStart"/>
      <w:r w:rsidRPr="007122AB">
        <w:rPr>
          <w:rFonts w:ascii="Times New Roman" w:hAnsi="Times New Roman"/>
          <w:color w:val="000000" w:themeColor="text1"/>
          <w:sz w:val="16"/>
          <w:szCs w:val="16"/>
        </w:rPr>
        <w:t>В.Быцкевич</w:t>
      </w:r>
      <w:proofErr w:type="spellEnd"/>
      <w:r w:rsidRPr="007122AB">
        <w:rPr>
          <w:rFonts w:ascii="Times New Roman" w:hAnsi="Times New Roman"/>
          <w:color w:val="000000" w:themeColor="text1"/>
          <w:sz w:val="16"/>
          <w:szCs w:val="16"/>
        </w:rPr>
        <w:t xml:space="preserve">. </w:t>
      </w:r>
    </w:p>
    <w:p w14:paraId="47724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Искра им. </w:t>
      </w:r>
      <w:proofErr w:type="spellStart"/>
      <w:r w:rsidRPr="007122AB">
        <w:rPr>
          <w:rFonts w:ascii="Times New Roman" w:hAnsi="Times New Roman"/>
          <w:color w:val="000000" w:themeColor="text1"/>
          <w:sz w:val="16"/>
          <w:szCs w:val="16"/>
        </w:rPr>
        <w:t>И.И.Картукова</w:t>
      </w:r>
      <w:proofErr w:type="spellEnd"/>
      <w:r w:rsidRPr="007122AB">
        <w:rPr>
          <w:rFonts w:ascii="Times New Roman" w:hAnsi="Times New Roman"/>
          <w:color w:val="000000" w:themeColor="text1"/>
          <w:sz w:val="16"/>
          <w:szCs w:val="16"/>
        </w:rPr>
        <w:t xml:space="preserve">, МКБ, ОАО </w:t>
      </w:r>
    </w:p>
    <w:p w14:paraId="0580E8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Ранее: ОКБ-145, ОКБ-455, КБ-2 завода №81, МКБ "Искра", НПО "Искра", ММЗ "Искра", МКБ ”Искра” им. И.И. </w:t>
      </w:r>
      <w:proofErr w:type="spellStart"/>
      <w:r w:rsidRPr="007122AB">
        <w:rPr>
          <w:rFonts w:ascii="Times New Roman" w:hAnsi="Times New Roman"/>
          <w:color w:val="000000" w:themeColor="text1"/>
          <w:sz w:val="16"/>
          <w:szCs w:val="16"/>
        </w:rPr>
        <w:t>Картукова</w:t>
      </w:r>
      <w:proofErr w:type="spellEnd"/>
      <w:r w:rsidRPr="007122AB">
        <w:rPr>
          <w:rFonts w:ascii="Times New Roman" w:hAnsi="Times New Roman"/>
          <w:color w:val="000000" w:themeColor="text1"/>
          <w:sz w:val="16"/>
          <w:szCs w:val="16"/>
        </w:rPr>
        <w:t xml:space="preserve"> </w:t>
      </w:r>
    </w:p>
    <w:p w14:paraId="3D5A17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125284, Москва, Ленинградский просп., д. 35, т. 212-5351, ф. 945-1951, iskra-mkb@mtu-net.ru (10777).</w:t>
      </w:r>
    </w:p>
    <w:p w14:paraId="4434D0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93493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основан Завод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В 1937 г. передан из НКТП в НКОП, затем, в 1939 г.- в НКАП. По приказу №201с от 8.05.1940 г. получил название ГС завод №292 НКАП.</w:t>
      </w:r>
    </w:p>
    <w:p w14:paraId="31047A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имел филиал- бывший завод №2 </w:t>
      </w:r>
      <w:proofErr w:type="spellStart"/>
      <w:r w:rsidRPr="007122AB">
        <w:rPr>
          <w:rFonts w:ascii="Times New Roman" w:hAnsi="Times New Roman"/>
          <w:color w:val="000000" w:themeColor="text1"/>
          <w:sz w:val="16"/>
          <w:szCs w:val="16"/>
        </w:rPr>
        <w:t>Военстроя</w:t>
      </w:r>
      <w:proofErr w:type="spellEnd"/>
      <w:r w:rsidRPr="007122AB">
        <w:rPr>
          <w:rFonts w:ascii="Times New Roman" w:hAnsi="Times New Roman"/>
          <w:color w:val="000000" w:themeColor="text1"/>
          <w:sz w:val="16"/>
          <w:szCs w:val="16"/>
        </w:rPr>
        <w:t xml:space="preserve">. Сюда со ст. Кунцево эвакуирован завод №167 НКАП, и филиал передан ему в подчинение для организации производства лыж и в/винтов. </w:t>
      </w:r>
    </w:p>
    <w:p w14:paraId="13E2CF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на площадку завода №292 1ГУ НКАП эвакуирован завод №165 НКАП и влит в его состав. </w:t>
      </w:r>
    </w:p>
    <w:p w14:paraId="7F4727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№632 от 6.07.1941 г. на площадку завода №292 была эвакуирована часть завода №115 НКАП гл. конструктора А.С. Яковлева. По приказу №930с/3сф от 28.08.1941 г. на базе этой части образовано ОКБ завода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№999с от 19.09.1941 г. и №12сф от 18.10.1941 г. ОКБ переведено со всем личным составом и оборудованием в Новосибирск на завод №153 НКАП. </w:t>
      </w:r>
    </w:p>
    <w:p w14:paraId="67C5FD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1991 г. завод был акционирован. </w:t>
      </w:r>
    </w:p>
    <w:p w14:paraId="319D11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Директора: (в 1940 г.) - Ф.С. Малахов, (в 1940-1941 г.-) - И.С. Левин, (в 1956 г.) - Б.А. Дубовиков. </w:t>
      </w:r>
    </w:p>
    <w:p w14:paraId="71B9BCD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Ген. директор (на 2004 г.) - А.В. Ермишин. </w:t>
      </w:r>
    </w:p>
    <w:p w14:paraId="7D8EEA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Численность персонала (1.01.2001 г.) - 4450 чел. </w:t>
      </w:r>
    </w:p>
    <w:p w14:paraId="6ED8AB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Р-10 (1938-40) -135, И-28, Як-1 (1940-44), Як-7, Як-3 (1944-46), Як-11 (1946-49), Ла-15 (1949), МиГ-15 (1950-52), Як-15, В-12 (1952-53), Ми-4 (1954), Як-24, Як-25 (1954-55), Як-25М (1955-57), Як-25Р (1957), Як-27 (1957), Як-27В (1958), Як-27Р (1958-62), Як-36, Як-38 (с 1974), Як-40 (1968-81), Як-42, Як-141, Як- 54, Д-41 "Сокол"; ракеты: П-5 (1958-61), В-750В (1958-61), П-5Д (С-5, с 1961), П-6 (с 1961), Х- 58; корпуса гранат РГ-41, Ф-1 (ВОВ); комплектующие для ОК "Буран"; "летающая тарелка" - ЭКИП. </w:t>
      </w:r>
    </w:p>
    <w:p w14:paraId="092F50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Саратовский авиационный завод, ЗАО (ЗАО "САЗ") </w:t>
      </w:r>
    </w:p>
    <w:p w14:paraId="771F08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ранее: Саратовский завод комбайнов (СЗК, "</w:t>
      </w:r>
      <w:proofErr w:type="spellStart"/>
      <w:r w:rsidRPr="007122AB">
        <w:rPr>
          <w:rFonts w:ascii="Times New Roman" w:hAnsi="Times New Roman"/>
          <w:color w:val="000000" w:themeColor="text1"/>
          <w:sz w:val="16"/>
          <w:szCs w:val="16"/>
        </w:rPr>
        <w:t>Саркомбайн</w:t>
      </w:r>
      <w:proofErr w:type="spellEnd"/>
      <w:r w:rsidRPr="007122AB">
        <w:rPr>
          <w:rFonts w:ascii="Times New Roman" w:hAnsi="Times New Roman"/>
          <w:color w:val="000000" w:themeColor="text1"/>
          <w:sz w:val="16"/>
          <w:szCs w:val="16"/>
        </w:rPr>
        <w:t xml:space="preserve">"), ГС Завод №292, Саратовский авиационный завод (САЗ) </w:t>
      </w:r>
    </w:p>
    <w:p w14:paraId="7CA045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410015 г. Саратов, пл. Орджоникидзе, 1, тел. 96-81-01 (10777).</w:t>
      </w:r>
    </w:p>
    <w:p w14:paraId="2B9E1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AA8E2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 площадке фабрики Гознака в Лужниках (бывшей площадке снаряжательных заводов Н.А. Второва) в ведении треста «</w:t>
      </w:r>
      <w:proofErr w:type="spellStart"/>
      <w:r w:rsidRPr="007122AB">
        <w:rPr>
          <w:rFonts w:ascii="Times New Roman" w:hAnsi="Times New Roman"/>
          <w:color w:val="000000" w:themeColor="text1"/>
          <w:sz w:val="16"/>
          <w:szCs w:val="16"/>
        </w:rPr>
        <w:t>Оргметалл</w:t>
      </w:r>
      <w:proofErr w:type="spellEnd"/>
      <w:r w:rsidRPr="007122AB">
        <w:rPr>
          <w:rFonts w:ascii="Times New Roman" w:hAnsi="Times New Roman"/>
          <w:color w:val="000000" w:themeColor="text1"/>
          <w:sz w:val="16"/>
          <w:szCs w:val="16"/>
        </w:rPr>
        <w:t xml:space="preserve">» ВСНХ, затем НКТП был создан Завод приспособлений, штампов и пресс-форм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Во исполнение постановления Экономсовета СНК от 4-го и 14.02.1938 г. по пр. НКОП № 71 от 21.02.1938 г. Завод нормалей и штампов принят (по состоянию на 1.02.1938 г.) от треста </w:t>
      </w:r>
      <w:proofErr w:type="spellStart"/>
      <w:r w:rsidRPr="007122AB">
        <w:rPr>
          <w:rFonts w:ascii="Times New Roman" w:hAnsi="Times New Roman"/>
          <w:color w:val="000000" w:themeColor="text1"/>
          <w:sz w:val="16"/>
          <w:szCs w:val="16"/>
        </w:rPr>
        <w:t>Оргметалл</w:t>
      </w:r>
      <w:proofErr w:type="spellEnd"/>
      <w:r w:rsidRPr="007122AB">
        <w:rPr>
          <w:rFonts w:ascii="Times New Roman" w:hAnsi="Times New Roman"/>
          <w:color w:val="000000" w:themeColor="text1"/>
          <w:sz w:val="16"/>
          <w:szCs w:val="16"/>
        </w:rPr>
        <w:t xml:space="preserve"> НКМ и по пр. № 72 от 21.02.1938 г. включен в состав образованного треста «</w:t>
      </w:r>
      <w:proofErr w:type="spellStart"/>
      <w:r w:rsidRPr="007122AB">
        <w:rPr>
          <w:rFonts w:ascii="Times New Roman" w:hAnsi="Times New Roman"/>
          <w:color w:val="000000" w:themeColor="text1"/>
          <w:sz w:val="16"/>
          <w:szCs w:val="16"/>
        </w:rPr>
        <w:t>Оргоборонпром</w:t>
      </w:r>
      <w:proofErr w:type="spellEnd"/>
      <w:r w:rsidRPr="007122AB">
        <w:rPr>
          <w:rFonts w:ascii="Times New Roman" w:hAnsi="Times New Roman"/>
          <w:color w:val="000000" w:themeColor="text1"/>
          <w:sz w:val="16"/>
          <w:szCs w:val="16"/>
        </w:rPr>
        <w:t>» НКОП. С 1939 г. - в ведении треста «</w:t>
      </w:r>
      <w:proofErr w:type="spellStart"/>
      <w:r w:rsidRPr="007122AB">
        <w:rPr>
          <w:rFonts w:ascii="Times New Roman" w:hAnsi="Times New Roman"/>
          <w:color w:val="000000" w:themeColor="text1"/>
          <w:sz w:val="16"/>
          <w:szCs w:val="16"/>
        </w:rPr>
        <w:t>Оргавиапром</w:t>
      </w:r>
      <w:proofErr w:type="spellEnd"/>
      <w:r w:rsidRPr="007122AB">
        <w:rPr>
          <w:rFonts w:ascii="Times New Roman" w:hAnsi="Times New Roman"/>
          <w:color w:val="000000" w:themeColor="text1"/>
          <w:sz w:val="16"/>
          <w:szCs w:val="16"/>
        </w:rPr>
        <w:t>» (ОАП) НКАП. В 1940 г. Завод нормалей и штампов объединен с заводом № 1 ОАП и переименован в Инструментальный завод № 1 ОАП НКАП.</w:t>
      </w:r>
    </w:p>
    <w:p w14:paraId="6BF78BD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1941 г. эвакуирован в Куйбышев. На старой площадке в 11.1941 г. образован новый завод № 478 НКАП.</w:t>
      </w:r>
    </w:p>
    <w:p w14:paraId="12BC83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64FABD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приказу НКАП № 709с от 18.09.1942 г. Инструментальный завод № 1 ОАП НКАП переименован в завод № 165 НКАП в ведении Управления снабжения.</w:t>
      </w:r>
    </w:p>
    <w:p w14:paraId="024CF51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459с от 31.07.1943 г. завод № 453 </w:t>
      </w:r>
      <w:r w:rsidRPr="007122AB">
        <w:rPr>
          <w:rFonts w:ascii="Times New Roman" w:hAnsi="Times New Roman"/>
          <w:color w:val="000000" w:themeColor="text1"/>
          <w:sz w:val="16"/>
          <w:szCs w:val="16"/>
          <w:lang w:val="en-US"/>
        </w:rPr>
        <w:t>HKAII</w:t>
      </w:r>
      <w:r w:rsidRPr="007122AB">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5D6344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w:t>
      </w:r>
      <w:proofErr w:type="spellStart"/>
      <w:r w:rsidRPr="007122AB">
        <w:rPr>
          <w:rFonts w:ascii="Times New Roman" w:hAnsi="Times New Roman"/>
          <w:color w:val="000000" w:themeColor="text1"/>
          <w:sz w:val="16"/>
          <w:szCs w:val="16"/>
        </w:rPr>
        <w:t>ПуВРД</w:t>
      </w:r>
      <w:proofErr w:type="spellEnd"/>
      <w:r w:rsidRPr="007122AB">
        <w:rPr>
          <w:rFonts w:ascii="Times New Roman" w:hAnsi="Times New Roman"/>
          <w:color w:val="000000" w:themeColor="text1"/>
          <w:sz w:val="16"/>
          <w:szCs w:val="16"/>
        </w:rPr>
        <w:t xml:space="preserve"> конструкции В.Н. Челомея.</w:t>
      </w:r>
    </w:p>
    <w:p w14:paraId="4447D7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13302E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Люльки. Для этого на завод откомандирована группа конструкторов во главе с зам. гл. конструктора </w:t>
      </w:r>
      <w:proofErr w:type="spellStart"/>
      <w:r w:rsidRPr="007122AB">
        <w:rPr>
          <w:rFonts w:ascii="Times New Roman" w:hAnsi="Times New Roman"/>
          <w:color w:val="000000" w:themeColor="text1"/>
          <w:sz w:val="16"/>
          <w:szCs w:val="16"/>
        </w:rPr>
        <w:t>Луссом</w:t>
      </w:r>
      <w:proofErr w:type="spellEnd"/>
      <w:r w:rsidRPr="007122AB">
        <w:rPr>
          <w:rFonts w:ascii="Times New Roman" w:hAnsi="Times New Roman"/>
          <w:color w:val="000000" w:themeColor="text1"/>
          <w:sz w:val="16"/>
          <w:szCs w:val="16"/>
        </w:rPr>
        <w:t>.</w:t>
      </w:r>
    </w:p>
    <w:p w14:paraId="3A80E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w:t>
      </w:r>
      <w:proofErr w:type="spellStart"/>
      <w:r w:rsidRPr="007122AB">
        <w:rPr>
          <w:rFonts w:ascii="Times New Roman" w:hAnsi="Times New Roman"/>
          <w:color w:val="000000" w:themeColor="text1"/>
          <w:sz w:val="16"/>
          <w:szCs w:val="16"/>
        </w:rPr>
        <w:t>гл</w:t>
      </w:r>
      <w:proofErr w:type="spellEnd"/>
      <w:r w:rsidRPr="007122AB">
        <w:rPr>
          <w:rFonts w:ascii="Times New Roman" w:hAnsi="Times New Roman"/>
          <w:color w:val="000000" w:themeColor="text1"/>
          <w:sz w:val="16"/>
          <w:szCs w:val="16"/>
        </w:rPr>
        <w:t xml:space="preserve">, конструктора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7F44D8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479сс от 23.07.1946 г. при заводе № 45 образован филиал завода № 165 (руководитель- С.К. </w:t>
      </w:r>
      <w:proofErr w:type="spellStart"/>
      <w:r w:rsidRPr="007122AB">
        <w:rPr>
          <w:rFonts w:ascii="Times New Roman" w:hAnsi="Times New Roman"/>
          <w:color w:val="000000" w:themeColor="text1"/>
          <w:sz w:val="16"/>
          <w:szCs w:val="16"/>
        </w:rPr>
        <w:t>Туманский</w:t>
      </w:r>
      <w:proofErr w:type="spellEnd"/>
      <w:r w:rsidRPr="007122AB">
        <w:rPr>
          <w:rFonts w:ascii="Times New Roman" w:hAnsi="Times New Roman"/>
          <w:color w:val="000000" w:themeColor="text1"/>
          <w:sz w:val="16"/>
          <w:szCs w:val="16"/>
        </w:rPr>
        <w:t>) для организации производства ТР-1.</w:t>
      </w:r>
    </w:p>
    <w:p w14:paraId="0F250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1950 г. двигателям ОКБ присвоено наименование «АЛ».</w:t>
      </w:r>
    </w:p>
    <w:p w14:paraId="19B366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Решением СМ СССР от 06.1950 г. ОКБ выдано задание на создание ТРД АЛ-5.</w:t>
      </w:r>
    </w:p>
    <w:p w14:paraId="1272B1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355-161сс от 2.03.1954 г. начата разработка АЛ-7.</w:t>
      </w:r>
    </w:p>
    <w:p w14:paraId="551339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D96BE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7B1880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61731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1965 г. КБ переехало в новое здание.</w:t>
      </w:r>
    </w:p>
    <w:p w14:paraId="72D7E16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5EEF06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1960-е  г. разрабатывался воздушно-водородный двигатель </w:t>
      </w:r>
      <w:r w:rsidRPr="007122AB">
        <w:rPr>
          <w:rFonts w:ascii="Times New Roman" w:hAnsi="Times New Roman"/>
          <w:color w:val="000000" w:themeColor="text1"/>
          <w:sz w:val="16"/>
          <w:szCs w:val="16"/>
          <w:lang w:val="en-US"/>
        </w:rPr>
        <w:t>AJI</w:t>
      </w:r>
      <w:r w:rsidRPr="007122AB">
        <w:rPr>
          <w:rFonts w:ascii="Times New Roman" w:hAnsi="Times New Roman"/>
          <w:color w:val="000000" w:themeColor="text1"/>
          <w:sz w:val="16"/>
          <w:szCs w:val="16"/>
        </w:rPr>
        <w:t>-51 для самолета-</w:t>
      </w:r>
      <w:proofErr w:type="spellStart"/>
      <w:r w:rsidRPr="007122AB">
        <w:rPr>
          <w:rFonts w:ascii="Times New Roman" w:hAnsi="Times New Roman"/>
          <w:color w:val="000000" w:themeColor="text1"/>
          <w:sz w:val="16"/>
          <w:szCs w:val="16"/>
        </w:rPr>
        <w:t>разгонщика</w:t>
      </w:r>
      <w:proofErr w:type="spellEnd"/>
      <w:r w:rsidRPr="007122AB">
        <w:rPr>
          <w:rFonts w:ascii="Times New Roman" w:hAnsi="Times New Roman"/>
          <w:color w:val="000000" w:themeColor="text1"/>
          <w:sz w:val="16"/>
          <w:szCs w:val="16"/>
        </w:rPr>
        <w:t xml:space="preserve">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7122AB">
        <w:rPr>
          <w:rFonts w:ascii="Times New Roman" w:hAnsi="Times New Roman"/>
          <w:color w:val="000000" w:themeColor="text1"/>
          <w:sz w:val="16"/>
          <w:szCs w:val="16"/>
          <w:lang w:val="en-US"/>
        </w:rPr>
        <w:t>AJI</w:t>
      </w:r>
      <w:r w:rsidRPr="007122AB">
        <w:rPr>
          <w:rFonts w:ascii="Times New Roman" w:hAnsi="Times New Roman"/>
          <w:color w:val="000000" w:themeColor="text1"/>
          <w:sz w:val="16"/>
          <w:szCs w:val="16"/>
        </w:rPr>
        <w:t>-31.</w:t>
      </w:r>
    </w:p>
    <w:p w14:paraId="12CFE3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4C6010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7122AB">
        <w:rPr>
          <w:rFonts w:ascii="Times New Roman" w:hAnsi="Times New Roman"/>
          <w:color w:val="000000" w:themeColor="text1"/>
          <w:sz w:val="16"/>
          <w:szCs w:val="16"/>
          <w:vertAlign w:val="superscript"/>
        </w:rPr>
        <w:t>140</w:t>
      </w:r>
    </w:p>
    <w:p w14:paraId="1C6854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69894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1990-е  г. на базе </w:t>
      </w:r>
      <w:proofErr w:type="spellStart"/>
      <w:r w:rsidRPr="007122AB">
        <w:rPr>
          <w:rFonts w:ascii="Times New Roman" w:hAnsi="Times New Roman"/>
          <w:color w:val="000000" w:themeColor="text1"/>
          <w:sz w:val="16"/>
          <w:szCs w:val="16"/>
        </w:rPr>
        <w:t>Краснотурьинского</w:t>
      </w:r>
      <w:proofErr w:type="spellEnd"/>
      <w:r w:rsidRPr="007122AB">
        <w:rPr>
          <w:rFonts w:ascii="Times New Roman" w:hAnsi="Times New Roman"/>
          <w:color w:val="000000" w:themeColor="text1"/>
          <w:sz w:val="16"/>
          <w:szCs w:val="16"/>
        </w:rPr>
        <w:t xml:space="preserve"> ПТП </w:t>
      </w:r>
      <w:proofErr w:type="spellStart"/>
      <w:r w:rsidRPr="007122AB">
        <w:rPr>
          <w:rFonts w:ascii="Times New Roman" w:hAnsi="Times New Roman"/>
          <w:color w:val="000000" w:themeColor="text1"/>
          <w:sz w:val="16"/>
          <w:szCs w:val="16"/>
        </w:rPr>
        <w:t>Тюменьтрансгаза</w:t>
      </w:r>
      <w:proofErr w:type="spellEnd"/>
      <w:r w:rsidRPr="007122AB">
        <w:rPr>
          <w:rFonts w:ascii="Times New Roman" w:hAnsi="Times New Roman"/>
          <w:color w:val="000000" w:themeColor="text1"/>
          <w:sz w:val="16"/>
          <w:szCs w:val="16"/>
        </w:rPr>
        <w:t xml:space="preserve"> создан центр диагностики и восстановительного ремонта стационарных газотурбинных приводов АЛ-31СТ.</w:t>
      </w:r>
    </w:p>
    <w:p w14:paraId="52BA0F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46F087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proofErr w:type="spellStart"/>
      <w:r w:rsidRPr="007122AB">
        <w:rPr>
          <w:rFonts w:ascii="Times New Roman" w:hAnsi="Times New Roman"/>
          <w:color w:val="000000" w:themeColor="text1"/>
          <w:sz w:val="16"/>
          <w:szCs w:val="16"/>
          <w:lang w:val="en-US"/>
        </w:rPr>
        <w:t>SaM</w:t>
      </w:r>
      <w:proofErr w:type="spellEnd"/>
      <w:r w:rsidRPr="007122AB">
        <w:rPr>
          <w:rFonts w:ascii="Times New Roman" w:hAnsi="Times New Roman"/>
          <w:color w:val="000000" w:themeColor="text1"/>
          <w:sz w:val="16"/>
          <w:szCs w:val="16"/>
        </w:rPr>
        <w:t xml:space="preserve"> 146 для </w:t>
      </w:r>
      <w:r w:rsidRPr="007122AB">
        <w:rPr>
          <w:rFonts w:ascii="Times New Roman" w:hAnsi="Times New Roman"/>
          <w:color w:val="000000" w:themeColor="text1"/>
          <w:sz w:val="16"/>
          <w:szCs w:val="16"/>
          <w:lang w:val="en-US"/>
        </w:rPr>
        <w:t>RRJ</w:t>
      </w:r>
      <w:r w:rsidRPr="007122AB">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proofErr w:type="spellStart"/>
      <w:r w:rsidRPr="007122AB">
        <w:rPr>
          <w:rFonts w:ascii="Times New Roman" w:hAnsi="Times New Roman"/>
          <w:color w:val="000000" w:themeColor="text1"/>
          <w:sz w:val="16"/>
          <w:szCs w:val="16"/>
          <w:lang w:val="en-US"/>
        </w:rPr>
        <w:t>SaM</w:t>
      </w:r>
      <w:proofErr w:type="spellEnd"/>
      <w:r w:rsidRPr="007122AB">
        <w:rPr>
          <w:rFonts w:ascii="Times New Roman" w:hAnsi="Times New Roman"/>
          <w:color w:val="000000" w:themeColor="text1"/>
          <w:sz w:val="16"/>
          <w:szCs w:val="16"/>
        </w:rPr>
        <w:t xml:space="preserve"> 146. В 12.2006 г.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148ECE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7122AB">
        <w:rPr>
          <w:rFonts w:ascii="Times New Roman" w:hAnsi="Times New Roman"/>
          <w:color w:val="000000" w:themeColor="text1"/>
          <w:sz w:val="16"/>
          <w:szCs w:val="16"/>
          <w:lang w:val="en-US"/>
        </w:rPr>
        <w:t>Lakshya</w:t>
      </w:r>
      <w:r w:rsidRPr="007122AB">
        <w:rPr>
          <w:rFonts w:ascii="Times New Roman" w:hAnsi="Times New Roman"/>
          <w:color w:val="000000" w:themeColor="text1"/>
          <w:sz w:val="16"/>
          <w:szCs w:val="16"/>
        </w:rPr>
        <w:t>.</w:t>
      </w:r>
    </w:p>
    <w:p w14:paraId="45A710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53E78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(1941 г.)- более 2000 чел.</w:t>
      </w:r>
    </w:p>
    <w:p w14:paraId="38A94E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(1942-12.1944-; 25.04.1946 г.-)- Ю.А. </w:t>
      </w:r>
      <w:proofErr w:type="spellStart"/>
      <w:r w:rsidRPr="007122AB">
        <w:rPr>
          <w:rFonts w:ascii="Times New Roman" w:hAnsi="Times New Roman"/>
          <w:color w:val="000000" w:themeColor="text1"/>
          <w:sz w:val="16"/>
          <w:szCs w:val="16"/>
        </w:rPr>
        <w:t>Мизюров</w:t>
      </w:r>
      <w:proofErr w:type="spellEnd"/>
      <w:r w:rsidRPr="007122AB">
        <w:rPr>
          <w:rFonts w:ascii="Times New Roman" w:hAnsi="Times New Roman"/>
          <w:color w:val="000000" w:themeColor="text1"/>
          <w:sz w:val="16"/>
          <w:szCs w:val="16"/>
        </w:rPr>
        <w:t xml:space="preserve">, (05.1945 г.)- Бугров, (1954-77 г.)- А.А. </w:t>
      </w:r>
      <w:proofErr w:type="spellStart"/>
      <w:r w:rsidRPr="007122AB">
        <w:rPr>
          <w:rFonts w:ascii="Times New Roman" w:hAnsi="Times New Roman"/>
          <w:color w:val="000000" w:themeColor="text1"/>
          <w:sz w:val="16"/>
          <w:szCs w:val="16"/>
        </w:rPr>
        <w:t>Завитаев</w:t>
      </w:r>
      <w:proofErr w:type="spellEnd"/>
      <w:r w:rsidRPr="007122AB">
        <w:rPr>
          <w:rFonts w:ascii="Times New Roman" w:hAnsi="Times New Roman"/>
          <w:color w:val="000000" w:themeColor="text1"/>
          <w:sz w:val="16"/>
          <w:szCs w:val="16"/>
        </w:rPr>
        <w:t xml:space="preserve">, (1977- 93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Хартов.</w:t>
      </w:r>
      <w:r w:rsidRPr="007122AB">
        <w:rPr>
          <w:rFonts w:ascii="Times New Roman" w:hAnsi="Times New Roman"/>
          <w:color w:val="000000" w:themeColor="text1"/>
          <w:sz w:val="16"/>
          <w:szCs w:val="16"/>
          <w:vertAlign w:val="superscript"/>
        </w:rPr>
        <w:t>68</w:t>
      </w:r>
      <w:r w:rsidRPr="007122AB">
        <w:rPr>
          <w:rFonts w:ascii="Times New Roman" w:hAnsi="Times New Roman"/>
          <w:color w:val="000000" w:themeColor="text1"/>
          <w:sz w:val="16"/>
          <w:szCs w:val="16"/>
        </w:rPr>
        <w:t xml:space="preserve"> Гендиректор (-1998-2002 г.-)- В.М. </w:t>
      </w:r>
      <w:proofErr w:type="spellStart"/>
      <w:r w:rsidRPr="007122AB">
        <w:rPr>
          <w:rFonts w:ascii="Times New Roman" w:hAnsi="Times New Roman"/>
          <w:color w:val="000000" w:themeColor="text1"/>
          <w:sz w:val="16"/>
          <w:szCs w:val="16"/>
        </w:rPr>
        <w:t>Чепкин</w:t>
      </w:r>
      <w:proofErr w:type="spellEnd"/>
      <w:r w:rsidRPr="007122AB">
        <w:rPr>
          <w:rFonts w:ascii="Times New Roman" w:hAnsi="Times New Roman"/>
          <w:color w:val="000000" w:themeColor="text1"/>
          <w:sz w:val="16"/>
          <w:szCs w:val="16"/>
        </w:rPr>
        <w:t>, В.А. Лебедев.</w:t>
      </w:r>
    </w:p>
    <w:p w14:paraId="5230D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Ответственный руководитель (25.04.1946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Люлька.</w:t>
      </w:r>
    </w:p>
    <w:p w14:paraId="37240D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гендиректора (-2000-02 г.-)- В.А. Лебедев, (-2002-07 г.-)- Е.Ю. Марчуков; по НИОКР/ председатель НТС (2003-04 г.-)- В.М. </w:t>
      </w:r>
      <w:proofErr w:type="spellStart"/>
      <w:r w:rsidRPr="007122AB">
        <w:rPr>
          <w:rFonts w:ascii="Times New Roman" w:hAnsi="Times New Roman"/>
          <w:color w:val="000000" w:themeColor="text1"/>
          <w:sz w:val="16"/>
          <w:szCs w:val="16"/>
        </w:rPr>
        <w:t>Чепкин</w:t>
      </w:r>
      <w:proofErr w:type="spellEnd"/>
      <w:r w:rsidRPr="007122AB">
        <w:rPr>
          <w:rFonts w:ascii="Times New Roman" w:hAnsi="Times New Roman"/>
          <w:color w:val="000000" w:themeColor="text1"/>
          <w:sz w:val="16"/>
          <w:szCs w:val="16"/>
        </w:rPr>
        <w:t xml:space="preserve">. Зам. гендиректора (2006 г.)- С. </w:t>
      </w:r>
      <w:proofErr w:type="spellStart"/>
      <w:r w:rsidRPr="007122AB">
        <w:rPr>
          <w:rFonts w:ascii="Times New Roman" w:hAnsi="Times New Roman"/>
          <w:color w:val="000000" w:themeColor="text1"/>
          <w:sz w:val="16"/>
          <w:szCs w:val="16"/>
        </w:rPr>
        <w:t>Чуклинов</w:t>
      </w:r>
      <w:proofErr w:type="spellEnd"/>
      <w:r w:rsidRPr="007122AB">
        <w:rPr>
          <w:rFonts w:ascii="Times New Roman" w:hAnsi="Times New Roman"/>
          <w:color w:val="000000" w:themeColor="text1"/>
          <w:sz w:val="16"/>
          <w:szCs w:val="16"/>
        </w:rPr>
        <w:t>.</w:t>
      </w:r>
    </w:p>
    <w:p w14:paraId="7D1ECD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(25.04.1946-56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Люлька. Ген. конструктор (12.1956-84 г.)- академик (1968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Люлька {23.03.1908-1.06.1984 г.}; и.о. (-03-08.1984 г.)- Ю.П. Марчуков; (08.1984-2003 г.)- В.М. </w:t>
      </w:r>
      <w:proofErr w:type="spellStart"/>
      <w:r w:rsidRPr="007122AB">
        <w:rPr>
          <w:rFonts w:ascii="Times New Roman" w:hAnsi="Times New Roman"/>
          <w:color w:val="000000" w:themeColor="text1"/>
          <w:sz w:val="16"/>
          <w:szCs w:val="16"/>
        </w:rPr>
        <w:t>Чепкин</w:t>
      </w:r>
      <w:proofErr w:type="spellEnd"/>
      <w:r w:rsidRPr="007122AB">
        <w:rPr>
          <w:rFonts w:ascii="Times New Roman" w:hAnsi="Times New Roman"/>
          <w:color w:val="000000" w:themeColor="text1"/>
          <w:sz w:val="16"/>
          <w:szCs w:val="16"/>
        </w:rPr>
        <w:t xml:space="preserve"> {20.09.1933- }, (2003 г.-)- М.Л. Кузменко.</w:t>
      </w:r>
    </w:p>
    <w:p w14:paraId="21C5B1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гл., ген. конструктора (1946 г.-)- Э.Э. </w:t>
      </w:r>
      <w:proofErr w:type="spellStart"/>
      <w:r w:rsidRPr="007122AB">
        <w:rPr>
          <w:rFonts w:ascii="Times New Roman" w:hAnsi="Times New Roman"/>
          <w:color w:val="000000" w:themeColor="text1"/>
          <w:sz w:val="16"/>
          <w:szCs w:val="16"/>
        </w:rPr>
        <w:t>Лусс</w:t>
      </w:r>
      <w:proofErr w:type="spellEnd"/>
      <w:r w:rsidRPr="007122AB">
        <w:rPr>
          <w:rFonts w:ascii="Times New Roman" w:hAnsi="Times New Roman"/>
          <w:color w:val="000000" w:themeColor="text1"/>
          <w:sz w:val="16"/>
          <w:szCs w:val="16"/>
        </w:rPr>
        <w:t xml:space="preserve">, (1960-е)- Ю.Н. </w:t>
      </w:r>
      <w:proofErr w:type="spellStart"/>
      <w:r w:rsidRPr="007122AB">
        <w:rPr>
          <w:rFonts w:ascii="Times New Roman" w:hAnsi="Times New Roman"/>
          <w:color w:val="000000" w:themeColor="text1"/>
          <w:sz w:val="16"/>
          <w:szCs w:val="16"/>
        </w:rPr>
        <w:t>Бытев</w:t>
      </w:r>
      <w:proofErr w:type="spellEnd"/>
      <w:r w:rsidRPr="007122AB">
        <w:rPr>
          <w:rFonts w:ascii="Times New Roman" w:hAnsi="Times New Roman"/>
          <w:color w:val="000000" w:themeColor="text1"/>
          <w:sz w:val="16"/>
          <w:szCs w:val="16"/>
        </w:rPr>
        <w:t xml:space="preserve">,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w:t>
      </w:r>
      <w:proofErr w:type="spellStart"/>
      <w:r w:rsidRPr="007122AB">
        <w:rPr>
          <w:rFonts w:ascii="Times New Roman" w:hAnsi="Times New Roman"/>
          <w:color w:val="000000" w:themeColor="text1"/>
          <w:sz w:val="16"/>
          <w:szCs w:val="16"/>
        </w:rPr>
        <w:t>Бытев</w:t>
      </w:r>
      <w:proofErr w:type="spellEnd"/>
      <w:r w:rsidRPr="007122AB">
        <w:rPr>
          <w:rFonts w:ascii="Times New Roman" w:hAnsi="Times New Roman"/>
          <w:color w:val="000000" w:themeColor="text1"/>
          <w:sz w:val="16"/>
          <w:szCs w:val="16"/>
        </w:rPr>
        <w:t xml:space="preserve">; И.И. Жуков, (1946-57 г.-)- Э.Э. </w:t>
      </w:r>
      <w:proofErr w:type="spellStart"/>
      <w:r w:rsidRPr="007122AB">
        <w:rPr>
          <w:rFonts w:ascii="Times New Roman" w:hAnsi="Times New Roman"/>
          <w:color w:val="000000" w:themeColor="text1"/>
          <w:sz w:val="16"/>
          <w:szCs w:val="16"/>
        </w:rPr>
        <w:t>Лусс</w:t>
      </w:r>
      <w:proofErr w:type="spellEnd"/>
      <w:r w:rsidRPr="007122AB">
        <w:rPr>
          <w:rFonts w:ascii="Times New Roman" w:hAnsi="Times New Roman"/>
          <w:color w:val="000000" w:themeColor="text1"/>
          <w:sz w:val="16"/>
          <w:szCs w:val="16"/>
        </w:rPr>
        <w:t>, (1946-51 г.-)- И.Ф. Козлов, (-1973-78 г.-)- СЛ. Кувшинников, (-1973-78 г.-&gt;</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Хартов</w:t>
      </w:r>
      <w:proofErr w:type="spellEnd"/>
      <w:r w:rsidRPr="007122AB">
        <w:rPr>
          <w:rFonts w:ascii="Times New Roman" w:hAnsi="Times New Roman"/>
          <w:color w:val="000000" w:themeColor="text1"/>
          <w:sz w:val="16"/>
          <w:szCs w:val="16"/>
        </w:rPr>
        <w:t xml:space="preserve">, (1978 г.)- В.К. </w:t>
      </w:r>
      <w:proofErr w:type="spellStart"/>
      <w:r w:rsidRPr="007122AB">
        <w:rPr>
          <w:rFonts w:ascii="Times New Roman" w:hAnsi="Times New Roman"/>
          <w:color w:val="000000" w:themeColor="text1"/>
          <w:sz w:val="16"/>
          <w:szCs w:val="16"/>
        </w:rPr>
        <w:t>Кобченко</w:t>
      </w:r>
      <w:proofErr w:type="spellEnd"/>
      <w:r w:rsidRPr="007122AB">
        <w:rPr>
          <w:rFonts w:ascii="Times New Roman" w:hAnsi="Times New Roman"/>
          <w:color w:val="000000" w:themeColor="text1"/>
          <w:sz w:val="16"/>
          <w:szCs w:val="16"/>
        </w:rPr>
        <w:t>, (1978 г.)- В.А. Горелов, (1997-98 г.)- М.Л. Кузменко, Е.Ю. Марчуков.</w:t>
      </w:r>
    </w:p>
    <w:p w14:paraId="3842EF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Управляющий директор (2002 г.)- В.А. Лебедев. Директор Дирекции лицензионных программ (2000 г.-)- О.Е. Хлыстова, (2000-е)- В.А. </w:t>
      </w:r>
      <w:proofErr w:type="spellStart"/>
      <w:r w:rsidRPr="007122AB">
        <w:rPr>
          <w:rFonts w:ascii="Times New Roman" w:hAnsi="Times New Roman"/>
          <w:color w:val="000000" w:themeColor="text1"/>
          <w:sz w:val="16"/>
          <w:szCs w:val="16"/>
        </w:rPr>
        <w:t>Борисков</w:t>
      </w:r>
      <w:proofErr w:type="spellEnd"/>
      <w:r w:rsidRPr="007122AB">
        <w:rPr>
          <w:rFonts w:ascii="Times New Roman" w:hAnsi="Times New Roman"/>
          <w:color w:val="000000" w:themeColor="text1"/>
          <w:sz w:val="16"/>
          <w:szCs w:val="16"/>
        </w:rPr>
        <w:t>. Технический директор Дирекции лицензионных программ (2000 г.-)- В.М. Беркович.</w:t>
      </w:r>
    </w:p>
    <w:p w14:paraId="7AF6354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(1980-е)-  Г.И. Зуев.</w:t>
      </w:r>
    </w:p>
    <w:p w14:paraId="5266F2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производства- А.В. Чуркин (около 20 лет).</w:t>
      </w:r>
    </w:p>
    <w:p w14:paraId="527704D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конструкторы: (1957-76 г.)- Э.Э. </w:t>
      </w:r>
      <w:proofErr w:type="spellStart"/>
      <w:r w:rsidRPr="007122AB">
        <w:rPr>
          <w:rFonts w:ascii="Times New Roman" w:hAnsi="Times New Roman"/>
          <w:color w:val="000000" w:themeColor="text1"/>
          <w:sz w:val="16"/>
          <w:szCs w:val="16"/>
        </w:rPr>
        <w:t>Лусс</w:t>
      </w:r>
      <w:proofErr w:type="spellEnd"/>
      <w:r w:rsidRPr="007122AB">
        <w:rPr>
          <w:rFonts w:ascii="Times New Roman" w:hAnsi="Times New Roman"/>
          <w:color w:val="000000" w:themeColor="text1"/>
          <w:sz w:val="16"/>
          <w:szCs w:val="16"/>
        </w:rPr>
        <w:t xml:space="preserve">, (1960-е  г.)- Ю.Н. </w:t>
      </w:r>
      <w:proofErr w:type="spellStart"/>
      <w:r w:rsidRPr="007122AB">
        <w:rPr>
          <w:rFonts w:ascii="Times New Roman" w:hAnsi="Times New Roman"/>
          <w:color w:val="000000" w:themeColor="text1"/>
          <w:sz w:val="16"/>
          <w:szCs w:val="16"/>
        </w:rPr>
        <w:t>Бытев</w:t>
      </w:r>
      <w:proofErr w:type="spellEnd"/>
      <w:r w:rsidRPr="007122AB">
        <w:rPr>
          <w:rFonts w:ascii="Times New Roman" w:hAnsi="Times New Roman"/>
          <w:color w:val="000000" w:themeColor="text1"/>
          <w:sz w:val="16"/>
          <w:szCs w:val="16"/>
        </w:rPr>
        <w:t xml:space="preserve"> (АЛ-21Ф-3), (1964 г.-)- М.А. Кузьмин (11Д57), (1978-96 г.)- Ю.П. Марчуков (Р1БД-14, ТП-22), (1980-е)- М.М. </w:t>
      </w:r>
      <w:proofErr w:type="spellStart"/>
      <w:r w:rsidRPr="007122AB">
        <w:rPr>
          <w:rFonts w:ascii="Times New Roman" w:hAnsi="Times New Roman"/>
          <w:color w:val="000000" w:themeColor="text1"/>
          <w:sz w:val="16"/>
          <w:szCs w:val="16"/>
        </w:rPr>
        <w:t>Гойхенберг</w:t>
      </w:r>
      <w:proofErr w:type="spellEnd"/>
      <w:r w:rsidRPr="007122AB">
        <w:rPr>
          <w:rFonts w:ascii="Times New Roman" w:hAnsi="Times New Roman"/>
          <w:color w:val="000000" w:themeColor="text1"/>
          <w:sz w:val="16"/>
          <w:szCs w:val="16"/>
        </w:rPr>
        <w:t xml:space="preserve">, (-1992-94 г.-)- А.В. Андреев (11Д57, АЛ-31Ф, -31ФН, -31ФУ, -31ФП); по перспективным разработкам (1982 г.-)- К.Р. Хачатуров, (2003 г.)- М.М. </w:t>
      </w:r>
      <w:proofErr w:type="spellStart"/>
      <w:r w:rsidRPr="007122AB">
        <w:rPr>
          <w:rFonts w:ascii="Times New Roman" w:hAnsi="Times New Roman"/>
          <w:color w:val="000000" w:themeColor="text1"/>
          <w:sz w:val="16"/>
          <w:szCs w:val="16"/>
        </w:rPr>
        <w:t>Гойхенберг</w:t>
      </w:r>
      <w:proofErr w:type="spellEnd"/>
      <w:r w:rsidRPr="007122AB">
        <w:rPr>
          <w:rFonts w:ascii="Times New Roman" w:hAnsi="Times New Roman"/>
          <w:color w:val="000000" w:themeColor="text1"/>
          <w:sz w:val="16"/>
          <w:szCs w:val="16"/>
        </w:rPr>
        <w:t xml:space="preserve">; (1983-87 г.)- В.К. </w:t>
      </w:r>
      <w:proofErr w:type="spellStart"/>
      <w:r w:rsidRPr="007122AB">
        <w:rPr>
          <w:rFonts w:ascii="Times New Roman" w:hAnsi="Times New Roman"/>
          <w:color w:val="000000" w:themeColor="text1"/>
          <w:sz w:val="16"/>
          <w:szCs w:val="16"/>
        </w:rPr>
        <w:t>Кобченко</w:t>
      </w:r>
      <w:proofErr w:type="spellEnd"/>
      <w:r w:rsidRPr="007122AB">
        <w:rPr>
          <w:rFonts w:ascii="Times New Roman" w:hAnsi="Times New Roman"/>
          <w:color w:val="000000" w:themeColor="text1"/>
          <w:sz w:val="16"/>
          <w:szCs w:val="16"/>
        </w:rPr>
        <w:t xml:space="preserve"> (АЛ-31Ф), (1990-е-2002г-.)- А.И. Волков (АЛ-31ФП, АЛ-55), (-2002- 07 г.-)- Е.Ю. Марчуков, В.М. Андриенко (АЛ-55И), В.В. Кирюхин, М.М. Костюченко (САР), (1990-е)- В.В. </w:t>
      </w:r>
      <w:proofErr w:type="spellStart"/>
      <w:r w:rsidRPr="007122AB">
        <w:rPr>
          <w:rFonts w:ascii="Times New Roman" w:hAnsi="Times New Roman"/>
          <w:color w:val="000000" w:themeColor="text1"/>
          <w:sz w:val="16"/>
          <w:szCs w:val="16"/>
        </w:rPr>
        <w:t>Куприк</w:t>
      </w:r>
      <w:proofErr w:type="spellEnd"/>
      <w:r w:rsidRPr="007122AB">
        <w:rPr>
          <w:rFonts w:ascii="Times New Roman" w:hAnsi="Times New Roman"/>
          <w:color w:val="000000" w:themeColor="text1"/>
          <w:sz w:val="16"/>
          <w:szCs w:val="16"/>
        </w:rPr>
        <w:t xml:space="preserve"> (наземная тематика), В.И. Федюкин (автоматика).</w:t>
      </w:r>
    </w:p>
    <w:p w14:paraId="3B01C4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гл. конструкторов: по САР, летным испытаниям и эксплуатации (1978-98 г.-)- М.М. Костюченко; по испытаниям (1980-е)- Е.Ю. Марчуков; по эксплуатации (1980-е)- В.В. Кирюхин, (2000-е)- Е.В. </w:t>
      </w:r>
      <w:proofErr w:type="spellStart"/>
      <w:r w:rsidRPr="007122AB">
        <w:rPr>
          <w:rFonts w:ascii="Times New Roman" w:hAnsi="Times New Roman"/>
          <w:color w:val="000000" w:themeColor="text1"/>
          <w:sz w:val="16"/>
          <w:szCs w:val="16"/>
        </w:rPr>
        <w:t>Балуков</w:t>
      </w:r>
      <w:proofErr w:type="spellEnd"/>
      <w:r w:rsidRPr="007122AB">
        <w:rPr>
          <w:rFonts w:ascii="Times New Roman" w:hAnsi="Times New Roman"/>
          <w:color w:val="000000" w:themeColor="text1"/>
          <w:sz w:val="16"/>
          <w:szCs w:val="16"/>
        </w:rPr>
        <w:t xml:space="preserve">; (1994 г.)- А.И. Волков (АЛ-31ФП), М.Ф. </w:t>
      </w:r>
      <w:proofErr w:type="spellStart"/>
      <w:r w:rsidRPr="007122AB">
        <w:rPr>
          <w:rFonts w:ascii="Times New Roman" w:hAnsi="Times New Roman"/>
          <w:color w:val="000000" w:themeColor="text1"/>
          <w:sz w:val="16"/>
          <w:szCs w:val="16"/>
        </w:rPr>
        <w:t>Вольман</w:t>
      </w:r>
      <w:proofErr w:type="spellEnd"/>
      <w:r w:rsidRPr="007122AB">
        <w:rPr>
          <w:rFonts w:ascii="Times New Roman" w:hAnsi="Times New Roman"/>
          <w:color w:val="000000" w:themeColor="text1"/>
          <w:sz w:val="16"/>
          <w:szCs w:val="16"/>
        </w:rPr>
        <w:t xml:space="preserve">, О.Н. Кошиц, (1980-е)- Н.М. </w:t>
      </w:r>
      <w:proofErr w:type="spellStart"/>
      <w:r w:rsidRPr="007122AB">
        <w:rPr>
          <w:rFonts w:ascii="Times New Roman" w:hAnsi="Times New Roman"/>
          <w:color w:val="000000" w:themeColor="text1"/>
          <w:sz w:val="16"/>
          <w:szCs w:val="16"/>
        </w:rPr>
        <w:t>Мэнн</w:t>
      </w:r>
      <w:proofErr w:type="spellEnd"/>
      <w:r w:rsidRPr="007122AB">
        <w:rPr>
          <w:rFonts w:ascii="Times New Roman" w:hAnsi="Times New Roman"/>
          <w:color w:val="000000" w:themeColor="text1"/>
          <w:sz w:val="16"/>
          <w:szCs w:val="16"/>
        </w:rPr>
        <w:t>, (1990-е)- К.Ю. Сорокин.</w:t>
      </w:r>
    </w:p>
    <w:p w14:paraId="4DCB5B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Н.Н. Якунин.</w:t>
      </w:r>
    </w:p>
    <w:p w14:paraId="0D7D49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отдела внешних связей и протокола (2002 г.)- В. Г. Нестеров.</w:t>
      </w:r>
    </w:p>
    <w:p w14:paraId="1A6FA16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бригад: (2006 г.)- Н.В. Кикоть.</w:t>
      </w:r>
    </w:p>
    <w:p w14:paraId="479074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лабораторий: (1970-е)- А.Ф. </w:t>
      </w:r>
      <w:proofErr w:type="spellStart"/>
      <w:r w:rsidRPr="007122AB">
        <w:rPr>
          <w:rFonts w:ascii="Times New Roman" w:hAnsi="Times New Roman"/>
          <w:color w:val="000000" w:themeColor="text1"/>
          <w:sz w:val="16"/>
          <w:szCs w:val="16"/>
        </w:rPr>
        <w:t>Кричигина</w:t>
      </w:r>
      <w:proofErr w:type="spellEnd"/>
      <w:r w:rsidRPr="007122AB">
        <w:rPr>
          <w:rFonts w:ascii="Times New Roman" w:hAnsi="Times New Roman"/>
          <w:color w:val="000000" w:themeColor="text1"/>
          <w:sz w:val="16"/>
          <w:szCs w:val="16"/>
        </w:rPr>
        <w:t>.</w:t>
      </w:r>
    </w:p>
    <w:p w14:paraId="0BC557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7122AB">
        <w:rPr>
          <w:rFonts w:ascii="Times New Roman" w:hAnsi="Times New Roman"/>
          <w:color w:val="000000" w:themeColor="text1"/>
          <w:sz w:val="16"/>
          <w:szCs w:val="16"/>
          <w:vertAlign w:val="superscript"/>
        </w:rPr>
        <w:t>68</w:t>
      </w:r>
      <w:r w:rsidRPr="007122AB">
        <w:rPr>
          <w:rFonts w:ascii="Times New Roman" w:hAnsi="Times New Roman"/>
          <w:color w:val="000000" w:themeColor="text1"/>
          <w:sz w:val="16"/>
          <w:szCs w:val="16"/>
        </w:rPr>
        <w:t xml:space="preserve"> проекты: ЯСУ РД-А для М-30 (1950-е), открытого типа ТРДА ПАС для М-60 (1955)</w:t>
      </w:r>
      <w:r w:rsidRPr="007122AB">
        <w:rPr>
          <w:rFonts w:ascii="Times New Roman" w:hAnsi="Times New Roman"/>
          <w:color w:val="000000" w:themeColor="text1"/>
          <w:sz w:val="16"/>
          <w:szCs w:val="16"/>
          <w:vertAlign w:val="superscript"/>
        </w:rPr>
        <w:t>93</w:t>
      </w:r>
      <w:r w:rsidRPr="007122AB">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CB9FC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28D1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начал строиться Уфимский моторный завод НКСМ по производству дизельных двигателей для комбайнов (ГС Завод № 384 НКАП, Уфимский моторный завод НКСМ /г. Уфа/). В 1935 г. собраны первые 10 моторов. 29.06.1940 г. было принято решение о перепрофилировании завода на выпуск авиационных моторов М-</w:t>
      </w:r>
      <w:r w:rsidRPr="007122AB">
        <w:rPr>
          <w:rFonts w:ascii="Times New Roman" w:hAnsi="Times New Roman"/>
          <w:color w:val="000000" w:themeColor="text1"/>
          <w:sz w:val="16"/>
          <w:szCs w:val="16"/>
        </w:rPr>
        <w:lastRenderedPageBreak/>
        <w:t xml:space="preserve">88, 22.08.1940 г. решение изменено в пользу М-105. На 1940 г. утвержден план по выпуску 20 моторов, на 1941 г. - 1000 шт., с 1942 г. планировалось выйти на проектную мощность в 2500 шт. в год. По приказу № 464с/206с от 4.09.1940 г. завод передан из НКСМ в ЗГУ НКАП и получил наименование ГС Завод № 384. В том же году введен в эксплуатацию по новому профилю. Для освоения новой продукции с завода № 26 направлена группа специалистов во главе с гл. технологом А.Т. </w:t>
      </w:r>
      <w:proofErr w:type="spellStart"/>
      <w:r w:rsidRPr="007122AB">
        <w:rPr>
          <w:rFonts w:ascii="Times New Roman" w:hAnsi="Times New Roman"/>
          <w:color w:val="000000" w:themeColor="text1"/>
          <w:sz w:val="16"/>
          <w:szCs w:val="16"/>
        </w:rPr>
        <w:t>Кладовщиковым</w:t>
      </w:r>
      <w:proofErr w:type="spellEnd"/>
      <w:r w:rsidRPr="007122AB">
        <w:rPr>
          <w:rFonts w:ascii="Times New Roman" w:hAnsi="Times New Roman"/>
          <w:color w:val="000000" w:themeColor="text1"/>
          <w:sz w:val="16"/>
          <w:szCs w:val="16"/>
        </w:rPr>
        <w:t>. В 1941 г. освоено производство М-105Р и М-105П, до начала войны выпущено 675 моторов.</w:t>
      </w:r>
    </w:p>
    <w:p w14:paraId="16FA58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 г. в  </w:t>
      </w:r>
      <w:proofErr w:type="spellStart"/>
      <w:r w:rsidRPr="007122AB">
        <w:rPr>
          <w:rFonts w:ascii="Times New Roman" w:hAnsi="Times New Roman"/>
          <w:color w:val="000000" w:themeColor="text1"/>
          <w:sz w:val="16"/>
          <w:szCs w:val="16"/>
        </w:rPr>
        <w:t>г.Уфу</w:t>
      </w:r>
      <w:proofErr w:type="spellEnd"/>
      <w:r w:rsidRPr="007122AB">
        <w:rPr>
          <w:rFonts w:ascii="Times New Roman" w:hAnsi="Times New Roman"/>
          <w:color w:val="000000" w:themeColor="text1"/>
          <w:sz w:val="16"/>
          <w:szCs w:val="16"/>
        </w:rPr>
        <w:t xml:space="preserve"> на площадку завода № 384 НКАП </w:t>
      </w:r>
      <w:proofErr w:type="spellStart"/>
      <w:r w:rsidRPr="007122AB">
        <w:rPr>
          <w:rFonts w:ascii="Times New Roman" w:hAnsi="Times New Roman"/>
          <w:color w:val="000000" w:themeColor="text1"/>
          <w:sz w:val="16"/>
          <w:szCs w:val="16"/>
        </w:rPr>
        <w:t>эвакуированно</w:t>
      </w:r>
      <w:proofErr w:type="spellEnd"/>
      <w:r w:rsidRPr="007122AB">
        <w:rPr>
          <w:rFonts w:ascii="Times New Roman" w:hAnsi="Times New Roman"/>
          <w:color w:val="000000" w:themeColor="text1"/>
          <w:sz w:val="16"/>
          <w:szCs w:val="16"/>
        </w:rPr>
        <w:t xml:space="preserve"> ОКБ завода № 26 </w:t>
      </w:r>
      <w:r w:rsidRPr="007122AB">
        <w:rPr>
          <w:rFonts w:ascii="Times New Roman" w:hAnsi="Times New Roman"/>
          <w:color w:val="000000" w:themeColor="text1"/>
          <w:sz w:val="16"/>
          <w:szCs w:val="16"/>
          <w:lang w:val="en-US"/>
        </w:rPr>
        <w:t>HKA</w:t>
      </w:r>
      <w:r w:rsidRPr="007122AB">
        <w:rPr>
          <w:rFonts w:ascii="Times New Roman" w:hAnsi="Times New Roman"/>
          <w:color w:val="000000" w:themeColor="text1"/>
          <w:sz w:val="16"/>
          <w:szCs w:val="16"/>
        </w:rPr>
        <w:t>П гл. конструктора В .Я. Климова. Работы по авиамоторам М-100, М-101, М-103, М-105Ф, ВК-105, М-106, М-107, ВК-107, М-120.</w:t>
      </w:r>
    </w:p>
    <w:p w14:paraId="1D0F91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приказам № 652сс от 9.07.1941 г. и № 729сс от 22.07.1941 г. на площадку завода № 384 эвакуированы из Ленинграда заводы № 234 и № 451 НКАП. Далее по приказу № 824сс от 8.08.1941 г. заводы № 234, № 451, № 338 и № 384 со всем оборудованием и личным составом объединены в один завод, получивший название завод № 384 ЗГУ НКАП. В конце 1941 г. выпускались детали корпусов для снарядов М-8 и М-13.</w:t>
      </w:r>
    </w:p>
    <w:p w14:paraId="795F2B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Затем на площадку завода № 384 эвакуирован завод № 26 НКАП с опытным производством. Далее заводы № 26, № 384 и № 282 НКАП были слиты в единый завод № 26 НКАП, расположившийся на площадках заводов № 384, №338 и №282.</w:t>
      </w:r>
    </w:p>
    <w:p w14:paraId="5308995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началом ВОВ на площадку завода № 384 НКАП эвакуировано ОКБ завода № 16 НКАП (приказ № 1057сс от 10.10.1941 г.).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0BEF94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(10.1940-08.1941 г.)-  Г.Д. Брусникин, (08.1941 г.-&gt; В.П. Баландин (11982).</w:t>
      </w:r>
    </w:p>
    <w:p w14:paraId="012B0E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CCA3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Ст. инспектор ТЭИ по самолетам </w:t>
      </w:r>
      <w:proofErr w:type="spellStart"/>
      <w:r w:rsidRPr="007122AB">
        <w:rPr>
          <w:rFonts w:ascii="Times New Roman" w:hAnsi="Times New Roman"/>
          <w:color w:val="000000" w:themeColor="text1"/>
          <w:sz w:val="16"/>
          <w:szCs w:val="16"/>
        </w:rPr>
        <w:t>Войткевич</w:t>
      </w:r>
      <w:proofErr w:type="spellEnd"/>
      <w:r w:rsidRPr="007122AB">
        <w:rPr>
          <w:rFonts w:ascii="Times New Roman" w:hAnsi="Times New Roman"/>
          <w:color w:val="000000" w:themeColor="text1"/>
          <w:sz w:val="16"/>
          <w:szCs w:val="16"/>
        </w:rPr>
        <w:t xml:space="preserve"> подписал Указание ТЭИ по окраске металлических самолетов</w:t>
      </w:r>
    </w:p>
    <w:p w14:paraId="249812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Для окраски как деревянных, так и металлических самолетов завод N 36 изготовляет следующие стандартные краски, которые маркируются: "Масляная защитная краска" и "Масляная серая краска". Как уже отмечалось циркуляром ТЭИ N 436 с от 4 июля 1929 года эти краски оказываются более действительными, нежели защитный лак "Дюраль".</w:t>
      </w:r>
    </w:p>
    <w:p w14:paraId="79098EC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Завод N 36 рекомендует окраску металлических (дюраль и кольчуг алюминиевых) самолетов производить в следующем порядке:</w:t>
      </w:r>
    </w:p>
    <w:p w14:paraId="7EB7A5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 В малярных мастерских температура должна быть не ниже 20 градусов.</w:t>
      </w:r>
    </w:p>
    <w:p w14:paraId="664BD9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Важно, чтобы самолет до окраски пробыл 3-5 дней в данном помещении (температуре).</w:t>
      </w:r>
    </w:p>
    <w:p w14:paraId="06D390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2. Предназначенные к работе краски должны быть внесены заблаговременно и не позднее, чем за 12 час. до начала работ в помещение малярной, дабы краски приняли температуру помещения.</w:t>
      </w:r>
    </w:p>
    <w:p w14:paraId="7D64462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К окраске металла надлежит приступить лишь после окончательного высыхания предварительно нанесенного на металл защитного масляного лака "Дюраль".</w:t>
      </w:r>
    </w:p>
    <w:p w14:paraId="0AE509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До нанесения краски на лакированный металл поверхность его должна быть тщательно протерта сухими чистыми ветошью или тряпками.</w:t>
      </w:r>
    </w:p>
    <w:p w14:paraId="0FBAEA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Для промывания кистей и т.п. нужно пользоваться чистым скипидаром.</w:t>
      </w:r>
    </w:p>
    <w:p w14:paraId="10CB66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 Кисти мягкие щетинные, длина щетины не более 3 см.</w:t>
      </w:r>
    </w:p>
    <w:p w14:paraId="6639EE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8. Краски выпускаются с завода в виде краски средней густоты; для разжижения таковых надлежит пользоваться </w:t>
      </w:r>
      <w:proofErr w:type="spellStart"/>
      <w:r w:rsidRPr="007122AB">
        <w:rPr>
          <w:rFonts w:ascii="Times New Roman" w:hAnsi="Times New Roman"/>
          <w:color w:val="000000" w:themeColor="text1"/>
          <w:sz w:val="16"/>
          <w:szCs w:val="16"/>
        </w:rPr>
        <w:t>разжижителем</w:t>
      </w:r>
      <w:proofErr w:type="spellEnd"/>
      <w:r w:rsidRPr="007122AB">
        <w:rPr>
          <w:rFonts w:ascii="Times New Roman" w:hAnsi="Times New Roman"/>
          <w:color w:val="000000" w:themeColor="text1"/>
          <w:sz w:val="16"/>
          <w:szCs w:val="16"/>
        </w:rPr>
        <w:t>, состоящим из смеси льняной олифы (2 части), светлого скипидара (3 части) и сиккатива (1/8 части).</w:t>
      </w:r>
    </w:p>
    <w:p w14:paraId="57820C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9. Краску наносят тонкими слоями 2 раза, второй раз после полного высыхания первого слоя.</w:t>
      </w:r>
    </w:p>
    <w:p w14:paraId="3327D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3. Покрытие </w:t>
      </w:r>
      <w:proofErr w:type="spellStart"/>
      <w:r w:rsidRPr="007122AB">
        <w:rPr>
          <w:rFonts w:ascii="Times New Roman" w:hAnsi="Times New Roman"/>
          <w:color w:val="000000" w:themeColor="text1"/>
          <w:sz w:val="16"/>
          <w:szCs w:val="16"/>
        </w:rPr>
        <w:t>дюр</w:t>
      </w:r>
      <w:proofErr w:type="spellEnd"/>
      <w:r w:rsidRPr="007122AB">
        <w:rPr>
          <w:rFonts w:ascii="Times New Roman" w:hAnsi="Times New Roman"/>
          <w:color w:val="000000" w:themeColor="text1"/>
          <w:sz w:val="16"/>
          <w:szCs w:val="16"/>
        </w:rPr>
        <w:t xml:space="preserve"> и кольчугалюминиевых самолетов масляным предохранительным лаком "Л-Д-М", также изготавливаемым заводом N 36.</w:t>
      </w:r>
    </w:p>
    <w:p w14:paraId="1A9B6D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 Предназначенный к лакировке металл должен быть тщательно очищен до полного удаления с его поверхности остатков масла, жира, вазелина, грязи и пыли, для чего надлежит тщательно обмыть поверхность бензином 1-го сорта с добавкой 10-15% светлого скипидара и вытереть металл чистой сухой ветошью или тряпками.</w:t>
      </w:r>
    </w:p>
    <w:p w14:paraId="57C705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массового производства лучшим способом обезжиривания металла является предварительное протирание металла чистыми мягкими тряпками и последующее окунание на время не менее 3 минут в ванну с бензином 1-го сорта, к которому может быть подмешан светлый скипидар в количестве 10-15%.</w:t>
      </w:r>
    </w:p>
    <w:p w14:paraId="0930B7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5. Кисти мягкие щетинные с оставлением свободной щетины не более 8 см.</w:t>
      </w:r>
    </w:p>
    <w:p w14:paraId="2CF9AF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7. Лак поставляется в готовом виде и не требует добавления каких-либо </w:t>
      </w:r>
      <w:proofErr w:type="spellStart"/>
      <w:r w:rsidRPr="007122AB">
        <w:rPr>
          <w:rFonts w:ascii="Times New Roman" w:hAnsi="Times New Roman"/>
          <w:color w:val="000000" w:themeColor="text1"/>
          <w:sz w:val="16"/>
          <w:szCs w:val="16"/>
        </w:rPr>
        <w:t>разжижителей</w:t>
      </w:r>
      <w:proofErr w:type="spellEnd"/>
      <w:r w:rsidRPr="007122AB">
        <w:rPr>
          <w:rFonts w:ascii="Times New Roman" w:hAnsi="Times New Roman"/>
          <w:color w:val="000000" w:themeColor="text1"/>
          <w:sz w:val="16"/>
          <w:szCs w:val="16"/>
        </w:rPr>
        <w:t>.</w:t>
      </w:r>
    </w:p>
    <w:p w14:paraId="01D593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8. О назначении лака для того или иного способа применения (кистью, пульверизатором или окунанием) указывается на ярлыке, наклеенном на каждом месте тары и применение лака для другого метода работ не допустимо.</w:t>
      </w:r>
    </w:p>
    <w:p w14:paraId="798103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4. При перекраске самолета заново, предварительно надо удалить старую окраску и лакировку, для чего применяется "смывка-дюраль" изготовления завода N 36, действие которой обуславливается нагревом ее до 30-32 градусов.</w:t>
      </w:r>
    </w:p>
    <w:p w14:paraId="6562FD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крайних случаях можно составить смывку из денатурата и скипидара, смешанных в разной пропорции (3232,146-149).</w:t>
      </w:r>
    </w:p>
    <w:p w14:paraId="21B67F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34A24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институт «</w:t>
      </w:r>
      <w:proofErr w:type="spellStart"/>
      <w:r w:rsidRPr="007122AB">
        <w:rPr>
          <w:rFonts w:ascii="Times New Roman" w:hAnsi="Times New Roman"/>
          <w:color w:val="000000" w:themeColor="text1"/>
          <w:sz w:val="16"/>
          <w:szCs w:val="16"/>
        </w:rPr>
        <w:t>Ленгинцветмет</w:t>
      </w:r>
      <w:proofErr w:type="spellEnd"/>
      <w:r w:rsidRPr="007122AB">
        <w:rPr>
          <w:rFonts w:ascii="Times New Roman" w:hAnsi="Times New Roman"/>
          <w:color w:val="000000" w:themeColor="text1"/>
          <w:sz w:val="16"/>
          <w:szCs w:val="16"/>
        </w:rPr>
        <w:t>» (Институт «</w:t>
      </w:r>
      <w:proofErr w:type="spellStart"/>
      <w:r w:rsidRPr="007122AB">
        <w:rPr>
          <w:rFonts w:ascii="Times New Roman" w:hAnsi="Times New Roman"/>
          <w:color w:val="000000" w:themeColor="text1"/>
          <w:sz w:val="16"/>
          <w:szCs w:val="16"/>
        </w:rPr>
        <w:t>Ленгинцветмет</w:t>
      </w:r>
      <w:proofErr w:type="spellEnd"/>
      <w:r w:rsidRPr="007122AB">
        <w:rPr>
          <w:rFonts w:ascii="Times New Roman" w:hAnsi="Times New Roman"/>
          <w:color w:val="000000" w:themeColor="text1"/>
          <w:sz w:val="16"/>
          <w:szCs w:val="16"/>
        </w:rPr>
        <w:t>», НИИ легких металлов «НИИ Алюминий» НКТП, Государственный Всесоюзный институт по легким сплавам, НИИ Алюминиевой промышленности (</w:t>
      </w:r>
      <w:proofErr w:type="spellStart"/>
      <w:r w:rsidRPr="007122AB">
        <w:rPr>
          <w:rFonts w:ascii="Times New Roman" w:hAnsi="Times New Roman"/>
          <w:color w:val="000000" w:themeColor="text1"/>
          <w:sz w:val="16"/>
          <w:szCs w:val="16"/>
        </w:rPr>
        <w:t>НИИСалюминий</w:t>
      </w:r>
      <w:proofErr w:type="spellEnd"/>
      <w:r w:rsidRPr="007122AB">
        <w:rPr>
          <w:rFonts w:ascii="Times New Roman" w:hAnsi="Times New Roman"/>
          <w:color w:val="000000" w:themeColor="text1"/>
          <w:sz w:val="16"/>
          <w:szCs w:val="16"/>
        </w:rPr>
        <w:t>) /г. Ленинград/), созданный в 1930, по инициативе А.Н. Кузнецова он преобразован в НИИ легких металлов «</w:t>
      </w:r>
      <w:proofErr w:type="spellStart"/>
      <w:r w:rsidRPr="007122AB">
        <w:rPr>
          <w:rFonts w:ascii="Times New Roman" w:hAnsi="Times New Roman"/>
          <w:color w:val="000000" w:themeColor="text1"/>
          <w:sz w:val="16"/>
          <w:szCs w:val="16"/>
        </w:rPr>
        <w:t>НИИАлюминий</w:t>
      </w:r>
      <w:proofErr w:type="spellEnd"/>
      <w:r w:rsidRPr="007122AB">
        <w:rPr>
          <w:rFonts w:ascii="Times New Roman" w:hAnsi="Times New Roman"/>
          <w:color w:val="000000" w:themeColor="text1"/>
          <w:sz w:val="16"/>
          <w:szCs w:val="16"/>
        </w:rPr>
        <w:t xml:space="preserve">» (назывался так по 1935г.). В 1963г. он объединен с </w:t>
      </w:r>
      <w:proofErr w:type="spellStart"/>
      <w:r w:rsidRPr="007122AB">
        <w:rPr>
          <w:rFonts w:ascii="Times New Roman" w:hAnsi="Times New Roman"/>
          <w:color w:val="000000" w:themeColor="text1"/>
          <w:sz w:val="16"/>
          <w:szCs w:val="16"/>
        </w:rPr>
        <w:t>Гипроалюминием</w:t>
      </w:r>
      <w:proofErr w:type="spellEnd"/>
      <w:r w:rsidRPr="007122AB">
        <w:rPr>
          <w:rFonts w:ascii="Times New Roman" w:hAnsi="Times New Roman"/>
          <w:color w:val="000000" w:themeColor="text1"/>
          <w:sz w:val="16"/>
          <w:szCs w:val="16"/>
        </w:rPr>
        <w:t xml:space="preserve"> в ВАМИ.</w:t>
      </w:r>
    </w:p>
    <w:p w14:paraId="0B439E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1931-31 г. в подчинении института - Опытные алюминиевый и магниевый заводы.</w:t>
      </w:r>
    </w:p>
    <w:p w14:paraId="3C1D7F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по научной части (1931-34г.)- А.Н. Кузнецов (11982).</w:t>
      </w:r>
    </w:p>
    <w:p w14:paraId="52BA48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71DF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или 1933 образован НИИ-25 МАП, НИИ приборостроения (НИИП), Государственный НИИ приборостроения (</w:t>
      </w:r>
      <w:proofErr w:type="spellStart"/>
      <w:r w:rsidRPr="007122AB">
        <w:rPr>
          <w:rFonts w:ascii="Times New Roman" w:hAnsi="Times New Roman"/>
          <w:color w:val="000000" w:themeColor="text1"/>
          <w:sz w:val="16"/>
          <w:szCs w:val="16"/>
        </w:rPr>
        <w:t>ГосНИИП</w:t>
      </w:r>
      <w:proofErr w:type="spellEnd"/>
      <w:r w:rsidRPr="007122AB">
        <w:rPr>
          <w:rFonts w:ascii="Times New Roman" w:hAnsi="Times New Roman"/>
          <w:color w:val="000000" w:themeColor="text1"/>
          <w:sz w:val="16"/>
          <w:szCs w:val="16"/>
        </w:rPr>
        <w:t>), ФГУП «ГНИИП» /129226  г. Москва пр. Мира, 125 тел. 181-16-38/. Далее находился в подчинении 17ГУ МАП. В 08.1957 г.- в ведении 4ГУ ГКАТ. Работы: по системе наведения «Горизонт-1 и -1В» (конец 1950-х); по аппаратуре РУ-6-2П для КР П-20 (1959 г.). 7.05.1955 г. вышло ПСМ № 897-536сс «Об изготовлении опытного комплекса аппаратуры системы «Горизонт». 31.05.1955 г. вышло новое постановление СМ СССР № 1062-612сс «О системе «Горизонт-1».</w:t>
      </w:r>
    </w:p>
    <w:p w14:paraId="5EA058F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488265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системам управления и защиты АЭС и реакторов АПЛ (с 1953 г.).</w:t>
      </w:r>
    </w:p>
    <w:p w14:paraId="4D7A1B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607A34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1980-х  г. - работы по созданию </w:t>
      </w:r>
      <w:proofErr w:type="spellStart"/>
      <w:r w:rsidRPr="007122AB">
        <w:rPr>
          <w:rFonts w:ascii="Times New Roman" w:hAnsi="Times New Roman"/>
          <w:color w:val="000000" w:themeColor="text1"/>
          <w:sz w:val="16"/>
          <w:szCs w:val="16"/>
        </w:rPr>
        <w:t>бесплатформенных</w:t>
      </w:r>
      <w:proofErr w:type="spellEnd"/>
      <w:r w:rsidRPr="007122AB">
        <w:rPr>
          <w:rFonts w:ascii="Times New Roman" w:hAnsi="Times New Roman"/>
          <w:color w:val="000000" w:themeColor="text1"/>
          <w:sz w:val="16"/>
          <w:szCs w:val="16"/>
        </w:rPr>
        <w:t xml:space="preserve"> малогабаритных инерциальных навигационных систем управления (БИНСУ).</w:t>
      </w:r>
    </w:p>
    <w:p w14:paraId="4B3FFC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08.1992 г. в результате реорганизации НИИП территория на 1-й ул. Ямского Поля выделилась в самостоятельную организацию - Московское ОКБ «Система».</w:t>
      </w:r>
    </w:p>
    <w:p w14:paraId="70D0AD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2000 г. - Институт приборостроения. По Указу Президента РФ № 1009 от 4.08.2004 г. ФГУП вошло в перечень стратегических оборонных предприятий. Указом Президента в 02.2007 г. институт исключен из перечня стратегических предприятий. По Указу Президента РФ в 03.2007 г. включен в состав Концерна ПВО «Алмаз- Антей».</w:t>
      </w:r>
    </w:p>
    <w:p w14:paraId="1097B18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Разработка (2007 г.): комплексы бортового управления и навигации для управляемого оружия. Гл. конструктор (1956 г.)- Н.Д. Рязанцев, (1964-66 г.-)- А.С. Абрамов, (-2000-05 г.-)- Б.Н. Гаврилин {8.07.1939-}. Начальник- г-м Н.И. Петров, А.Ф. Фоломеев, (1964-66 г.-)- А.С. Абрамов. Директор (1992-2005 г.-)- Б.Н. Гаврилин.</w:t>
      </w:r>
    </w:p>
    <w:p w14:paraId="2682AC3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по науке (2002 г.)- В.А. Мосяков.</w:t>
      </w:r>
      <w:r w:rsidRPr="007122AB">
        <w:rPr>
          <w:rFonts w:ascii="Times New Roman" w:hAnsi="Times New Roman"/>
          <w:color w:val="000000" w:themeColor="text1"/>
          <w:sz w:val="16"/>
          <w:szCs w:val="16"/>
          <w:vertAlign w:val="superscript"/>
        </w:rPr>
        <w:t>69</w:t>
      </w:r>
    </w:p>
    <w:p w14:paraId="7E156C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системы управления и защиты атомных реакторов: Обнинской АЭС, САУ-103, САУ-110, атомного ледокола «Ленин»; системы заправки и управления расходом топлива РН «Союз», «Протон»; системы управления ракетным двигателем разгонных блоков «Д» и «ДМ»; системы управления и контроля двигателей для Ту-4, Ту-22М, Ту-160, система управления центровкой Ту-160; сигнализатор обледенения ИСО-16 (применялся на самолетах Ил-62, Ил-76, Ил-86; системы управления для противолодочных ракет «Вьюга», «Ветер», «Водопад», ЗРК С-300В, ракет комплекса ПРО Москвы; БИНСУ АБ-72 для УРВВ РВВ-АЕ.</w:t>
      </w:r>
    </w:p>
    <w:p w14:paraId="16EF94DC" w14:textId="77777777" w:rsidR="00360440" w:rsidRPr="007122AB" w:rsidRDefault="00360440" w:rsidP="007122AB">
      <w:pPr>
        <w:autoSpaceDE w:val="0"/>
        <w:autoSpaceDN w:val="0"/>
        <w:adjustRightInd w:val="0"/>
        <w:spacing w:after="0" w:line="240" w:lineRule="auto"/>
        <w:jc w:val="both"/>
        <w:rPr>
          <w:rFonts w:ascii="Times New Roman" w:hAnsi="Times New Roman"/>
          <w:color w:val="000000" w:themeColor="text1"/>
          <w:sz w:val="16"/>
          <w:szCs w:val="16"/>
        </w:rPr>
      </w:pPr>
    </w:p>
    <w:p w14:paraId="002E7E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на базе Центральная лаборатория Треста точной механики, созданной в 1927, был организован Научно-Технический институт, далее </w:t>
      </w:r>
      <w:proofErr w:type="spellStart"/>
      <w:r w:rsidRPr="007122AB">
        <w:rPr>
          <w:rFonts w:ascii="Times New Roman" w:hAnsi="Times New Roman"/>
          <w:color w:val="000000" w:themeColor="text1"/>
          <w:sz w:val="16"/>
          <w:szCs w:val="16"/>
        </w:rPr>
        <w:t>переименованый</w:t>
      </w:r>
      <w:proofErr w:type="spellEnd"/>
      <w:r w:rsidRPr="007122AB">
        <w:rPr>
          <w:rFonts w:ascii="Times New Roman" w:hAnsi="Times New Roman"/>
          <w:color w:val="000000" w:themeColor="text1"/>
          <w:sz w:val="16"/>
          <w:szCs w:val="16"/>
        </w:rPr>
        <w:t xml:space="preserve"> в НИАГ. В соответствии с пост. СНК № 2139-425сс от 21.12.1936г. НИАГ передан в ведение НКОП и по пр.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30.12.1936г. переименован в НИИ-12. По пр. № 59 от 14.02.1937г. НИИ-12 передан в ведение ЮГУ НКОП (и на 12.1938г.). В 1939г. переименован в Институт авиационного приборостроения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w:t>
      </w:r>
    </w:p>
    <w:p w14:paraId="12AD94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 00147 от 7.07.1937г. институту поручено, «учитывая исключительное оборонное значение электро-магнитно-механической трубки инженера </w:t>
      </w:r>
      <w:proofErr w:type="spellStart"/>
      <w:r w:rsidRPr="007122AB">
        <w:rPr>
          <w:rFonts w:ascii="Times New Roman" w:hAnsi="Times New Roman"/>
          <w:color w:val="000000" w:themeColor="text1"/>
          <w:sz w:val="16"/>
          <w:szCs w:val="16"/>
        </w:rPr>
        <w:t>Гнилосырова</w:t>
      </w:r>
      <w:proofErr w:type="spellEnd"/>
      <w:r w:rsidRPr="007122AB">
        <w:rPr>
          <w:rFonts w:ascii="Times New Roman" w:hAnsi="Times New Roman"/>
          <w:color w:val="000000" w:themeColor="text1"/>
          <w:sz w:val="16"/>
          <w:szCs w:val="16"/>
        </w:rPr>
        <w:t>», к 1.09.1937г. отработать конструкцию трубки и прибор установки из кабины летчика к ней, изготовить 100 опытных трубок и 5 приборов для испытаний.</w:t>
      </w:r>
    </w:p>
    <w:p w14:paraId="281838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По приказу НКОП № 0196 от 8.09.1937г. институту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44352F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475D0D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w:t>
      </w:r>
      <w:proofErr w:type="spellStart"/>
      <w:r w:rsidRPr="007122AB">
        <w:rPr>
          <w:rFonts w:ascii="Times New Roman" w:hAnsi="Times New Roman"/>
          <w:color w:val="000000" w:themeColor="text1"/>
          <w:sz w:val="16"/>
          <w:szCs w:val="16"/>
        </w:rPr>
        <w:t>топливоизмерительные</w:t>
      </w:r>
      <w:proofErr w:type="spellEnd"/>
      <w:r w:rsidRPr="007122AB">
        <w:rPr>
          <w:rFonts w:ascii="Times New Roman" w:hAnsi="Times New Roman"/>
          <w:color w:val="000000" w:themeColor="text1"/>
          <w:sz w:val="16"/>
          <w:szCs w:val="16"/>
        </w:rPr>
        <w:t xml:space="preserve"> приборы и др.</w:t>
      </w:r>
    </w:p>
    <w:p w14:paraId="57D24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войной институт находился в подчинении 5ГУ НКАП.</w:t>
      </w:r>
    </w:p>
    <w:p w14:paraId="38E415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w:t>
      </w:r>
    </w:p>
    <w:p w14:paraId="210BE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площадке эвакуированного института организован ремонт </w:t>
      </w:r>
      <w:proofErr w:type="spellStart"/>
      <w:r w:rsidRPr="007122AB">
        <w:rPr>
          <w:rFonts w:ascii="Times New Roman" w:hAnsi="Times New Roman"/>
          <w:color w:val="000000" w:themeColor="text1"/>
          <w:sz w:val="16"/>
          <w:szCs w:val="16"/>
        </w:rPr>
        <w:t>гироприборов</w:t>
      </w:r>
      <w:proofErr w:type="spellEnd"/>
      <w:r w:rsidRPr="007122AB">
        <w:rPr>
          <w:rFonts w:ascii="Times New Roman" w:hAnsi="Times New Roman"/>
          <w:color w:val="000000" w:themeColor="text1"/>
          <w:sz w:val="16"/>
          <w:szCs w:val="16"/>
        </w:rPr>
        <w:t xml:space="preserve"> сначала при </w:t>
      </w:r>
      <w:proofErr w:type="spellStart"/>
      <w:r w:rsidRPr="007122AB">
        <w:rPr>
          <w:rFonts w:ascii="Times New Roman" w:hAnsi="Times New Roman"/>
          <w:color w:val="000000" w:themeColor="text1"/>
          <w:sz w:val="16"/>
          <w:szCs w:val="16"/>
        </w:rPr>
        <w:t>Главремуправлении</w:t>
      </w:r>
      <w:proofErr w:type="spellEnd"/>
      <w:r w:rsidRPr="007122AB">
        <w:rPr>
          <w:rFonts w:ascii="Times New Roman" w:hAnsi="Times New Roman"/>
          <w:color w:val="000000" w:themeColor="text1"/>
          <w:sz w:val="16"/>
          <w:szCs w:val="16"/>
        </w:rPr>
        <w:t>. Приказом НКАП № 63с от 25.01.1941 г. мастерские переданы в 5ГУ. В соответствии с пост. ГКО № 4367с от 2.03.1941 г. и приказом № 177с от 8.03.1941 г. институт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61CD72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НКАП № 608сс от 8.08.1941 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15.12.1941 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21B5EDF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5B769A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70228E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78D00F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60E4F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4A8935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1944г. создан универсальный регулятор температуры авиамоторов УРТ-НИСО.</w:t>
      </w:r>
    </w:p>
    <w:p w14:paraId="0CD383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7122AB">
        <w:rPr>
          <w:rFonts w:ascii="Times New Roman" w:hAnsi="Times New Roman"/>
          <w:color w:val="000000" w:themeColor="text1"/>
          <w:sz w:val="16"/>
          <w:szCs w:val="16"/>
          <w:lang w:val="en-US"/>
        </w:rPr>
        <w:t>PJI</w:t>
      </w:r>
      <w:r w:rsidRPr="007122AB">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95EC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1951 г. в составе института действовала лаборатория навигационных приборов. Велась разработка автоматического секстанта («</w:t>
      </w:r>
      <w:proofErr w:type="spellStart"/>
      <w:r w:rsidRPr="007122AB">
        <w:rPr>
          <w:rFonts w:ascii="Times New Roman" w:hAnsi="Times New Roman"/>
          <w:color w:val="000000" w:themeColor="text1"/>
          <w:sz w:val="16"/>
          <w:szCs w:val="16"/>
        </w:rPr>
        <w:t>астроориентатора</w:t>
      </w:r>
      <w:proofErr w:type="spellEnd"/>
      <w:r w:rsidRPr="007122AB">
        <w:rPr>
          <w:rFonts w:ascii="Times New Roman" w:hAnsi="Times New Roman"/>
          <w:color w:val="000000" w:themeColor="text1"/>
          <w:sz w:val="16"/>
          <w:szCs w:val="16"/>
        </w:rPr>
        <w:t>») для дальней авиации.</w:t>
      </w:r>
    </w:p>
    <w:p w14:paraId="347457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1955г. НИСО передан из 7ГУ в 11ГУ МАП.</w:t>
      </w:r>
    </w:p>
    <w:p w14:paraId="6E4890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Воссоздан в 1981 г. как НИИАО (авиационного оборудования) из филиала ЛИИ.</w:t>
      </w:r>
    </w:p>
    <w:p w14:paraId="70E353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Работы по электрооборудованию для РКТ.</w:t>
      </w:r>
    </w:p>
    <w:p w14:paraId="5C10E6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(1930-е)- Л.Ф. Иванов, (-23.01.1937г.)- Н.Г. </w:t>
      </w:r>
      <w:proofErr w:type="spellStart"/>
      <w:r w:rsidRPr="007122AB">
        <w:rPr>
          <w:rFonts w:ascii="Times New Roman" w:hAnsi="Times New Roman"/>
          <w:color w:val="000000" w:themeColor="text1"/>
          <w:sz w:val="16"/>
          <w:szCs w:val="16"/>
        </w:rPr>
        <w:t>Кильянов</w:t>
      </w:r>
      <w:proofErr w:type="spellEnd"/>
      <w:r w:rsidRPr="007122AB">
        <w:rPr>
          <w:rFonts w:ascii="Times New Roman" w:hAnsi="Times New Roman"/>
          <w:color w:val="000000" w:themeColor="text1"/>
          <w:sz w:val="16"/>
          <w:szCs w:val="16"/>
        </w:rPr>
        <w:t xml:space="preserve">, (23.01-28.06.1937г.)- Г.В. Коренев, (7.07.1937г.)- Измаилов, (8.07.1937-2.02.1938г.)- И.А. Ткачев, (2.02-10.1938г.-)- Г.С. Игошин, М.О. Березин, (1941)- Фрадкин, (1941 г.-)- г Н.И. Петров. Начальник (1943; -1945-46г.-)- Н.И. Петров, А.Ф. </w:t>
      </w:r>
      <w:proofErr w:type="spellStart"/>
      <w:r w:rsidRPr="007122AB">
        <w:rPr>
          <w:rFonts w:ascii="Times New Roman" w:hAnsi="Times New Roman"/>
          <w:color w:val="000000" w:themeColor="text1"/>
          <w:sz w:val="16"/>
          <w:szCs w:val="16"/>
        </w:rPr>
        <w:t>Фаломеев</w:t>
      </w:r>
      <w:proofErr w:type="spellEnd"/>
      <w:r w:rsidRPr="007122AB">
        <w:rPr>
          <w:rFonts w:ascii="Times New Roman" w:hAnsi="Times New Roman"/>
          <w:color w:val="000000" w:themeColor="text1"/>
          <w:sz w:val="16"/>
          <w:szCs w:val="16"/>
        </w:rPr>
        <w:t>, (до 1944г.)- Г.А. Левин. И.О. начальника (07.1944г.)- Н.Д. Рязанцев.</w:t>
      </w:r>
    </w:p>
    <w:p w14:paraId="0F6229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(1955г.)- Н.Д. Рязанцев.</w:t>
      </w:r>
    </w:p>
    <w:p w14:paraId="43E935F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(1930-е)- Г.А. Левин, (1947г.-)- Н.Д. Рязанцев.</w:t>
      </w:r>
    </w:p>
    <w:p w14:paraId="64C754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Руководитель ОКБ - А.С. Абрамов.</w:t>
      </w:r>
    </w:p>
    <w:p w14:paraId="4DFE35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сектора (-1937г.)- Л.М. Кофман (11982).</w:t>
      </w:r>
    </w:p>
    <w:p w14:paraId="2C5C5A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08A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в районе ст. </w:t>
      </w:r>
      <w:proofErr w:type="spellStart"/>
      <w:r w:rsidRPr="007122AB">
        <w:rPr>
          <w:rFonts w:ascii="Times New Roman" w:hAnsi="Times New Roman"/>
          <w:color w:val="000000" w:themeColor="text1"/>
          <w:sz w:val="16"/>
          <w:szCs w:val="16"/>
        </w:rPr>
        <w:t>Плющево</w:t>
      </w:r>
      <w:proofErr w:type="spellEnd"/>
      <w:r w:rsidRPr="007122AB">
        <w:rPr>
          <w:rFonts w:ascii="Times New Roman" w:hAnsi="Times New Roman"/>
          <w:color w:val="000000" w:themeColor="text1"/>
          <w:sz w:val="16"/>
          <w:szCs w:val="16"/>
        </w:rPr>
        <w:t xml:space="preserve"> (недалеко от Перово) начато строительство завода экспериментального сельскохозяйственного машиностроения (ВИМЭ) (ГС Завод № 444 НКАП /ст. </w:t>
      </w:r>
      <w:proofErr w:type="spellStart"/>
      <w:r w:rsidRPr="007122AB">
        <w:rPr>
          <w:rFonts w:ascii="Times New Roman" w:hAnsi="Times New Roman"/>
          <w:color w:val="000000" w:themeColor="text1"/>
          <w:sz w:val="16"/>
          <w:szCs w:val="16"/>
        </w:rPr>
        <w:t>Плющево</w:t>
      </w:r>
      <w:proofErr w:type="spellEnd"/>
      <w:r w:rsidRPr="007122AB">
        <w:rPr>
          <w:rFonts w:ascii="Times New Roman" w:hAnsi="Times New Roman"/>
          <w:color w:val="000000" w:themeColor="text1"/>
          <w:sz w:val="16"/>
          <w:szCs w:val="16"/>
        </w:rPr>
        <w:t xml:space="preserve"> Московской обл.;  г. Сим Челябинской обл./). В соответствии с пост. Комитета обороны № 335сс от 26.07.1940 г. завод передан в систему 4ГУ НКАП для организации производства </w:t>
      </w:r>
      <w:proofErr w:type="spellStart"/>
      <w:r w:rsidRPr="007122AB">
        <w:rPr>
          <w:rFonts w:ascii="Times New Roman" w:hAnsi="Times New Roman"/>
          <w:color w:val="000000" w:themeColor="text1"/>
          <w:sz w:val="16"/>
          <w:szCs w:val="16"/>
        </w:rPr>
        <w:t>авиаагрегатов</w:t>
      </w:r>
      <w:proofErr w:type="spellEnd"/>
      <w:r w:rsidRPr="007122AB">
        <w:rPr>
          <w:rFonts w:ascii="Times New Roman" w:hAnsi="Times New Roman"/>
          <w:color w:val="000000" w:themeColor="text1"/>
          <w:sz w:val="16"/>
          <w:szCs w:val="16"/>
        </w:rPr>
        <w:t xml:space="preserve"> (устройств «НВ»), По приказу № 567с от 19.10.1940 г. завод получил № 444. В 11.1940 г. началась реконструкция. Частично завод вступил в строй в начале 1941 г. Началось освоение производства агрегатов Н-88- НБ-3, Н-35А- НБ-8, Н-500- НБ- 4, продолжался выпуск сельхозмашин.</w:t>
      </w:r>
    </w:p>
    <w:p w14:paraId="5C2438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приказу № 660сс от 9.07.1941 г. завод № 444 4ГУ НКАП эвакуирован в  г. Сим на площадку </w:t>
      </w:r>
      <w:proofErr w:type="spellStart"/>
      <w:r w:rsidRPr="007122AB">
        <w:rPr>
          <w:rFonts w:ascii="Times New Roman" w:hAnsi="Times New Roman"/>
          <w:color w:val="000000" w:themeColor="text1"/>
          <w:sz w:val="16"/>
          <w:szCs w:val="16"/>
        </w:rPr>
        <w:t>Симского</w:t>
      </w:r>
      <w:proofErr w:type="spellEnd"/>
      <w:r w:rsidRPr="007122AB">
        <w:rPr>
          <w:rFonts w:ascii="Times New Roman" w:hAnsi="Times New Roman"/>
          <w:color w:val="000000" w:themeColor="text1"/>
          <w:sz w:val="16"/>
          <w:szCs w:val="16"/>
        </w:rPr>
        <w:t xml:space="preserve"> арматурного завода. По приказу № 840с от 12.08.1941 г. арматурный завод был влит в состав завода № 444. Сюда же эвакуирован завод № 132 НКАП вместе с ОКБ. По приказу № 1097с от 5.11.1941 г. заводы № 132 и № 444 объединены в единый завод № 132 НКАП. По приказу № 679сс от 6.09.1942 г. завод № 444 исключен из числа действующих.</w:t>
      </w:r>
    </w:p>
    <w:p w14:paraId="749258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(-11.1940 г.)- А.Н. Иваненко, (11.1940-41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Лурье.</w:t>
      </w:r>
    </w:p>
    <w:p w14:paraId="2D606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ОКБ-444 НКАП /г. Москва/</w:t>
      </w:r>
    </w:p>
    <w:p w14:paraId="65DBB4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Работы по моторным агрегатам. В 1941 г. эвакуировано в  </w:t>
      </w:r>
      <w:proofErr w:type="spellStart"/>
      <w:r w:rsidRPr="007122AB">
        <w:rPr>
          <w:rFonts w:ascii="Times New Roman" w:hAnsi="Times New Roman"/>
          <w:color w:val="000000" w:themeColor="text1"/>
          <w:sz w:val="16"/>
          <w:szCs w:val="16"/>
        </w:rPr>
        <w:t>г.Сим</w:t>
      </w:r>
      <w:proofErr w:type="spellEnd"/>
      <w:r w:rsidRPr="007122AB">
        <w:rPr>
          <w:rFonts w:ascii="Times New Roman" w:hAnsi="Times New Roman"/>
          <w:color w:val="000000" w:themeColor="text1"/>
          <w:sz w:val="16"/>
          <w:szCs w:val="16"/>
        </w:rPr>
        <w:t xml:space="preserve"> Челябинской обл. (11982)</w:t>
      </w:r>
    </w:p>
    <w:p w14:paraId="38B1A3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1E9CEA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приняли на вооружение "картонажный </w:t>
      </w:r>
      <w:proofErr w:type="spellStart"/>
      <w:r w:rsidRPr="007122AB">
        <w:rPr>
          <w:rFonts w:ascii="Times New Roman" w:hAnsi="Times New Roman"/>
          <w:color w:val="000000" w:themeColor="text1"/>
          <w:sz w:val="16"/>
          <w:szCs w:val="16"/>
        </w:rPr>
        <w:t>авиасбрасыватель</w:t>
      </w:r>
      <w:proofErr w:type="spellEnd"/>
      <w:r w:rsidRPr="007122AB">
        <w:rPr>
          <w:rFonts w:ascii="Times New Roman" w:hAnsi="Times New Roman"/>
          <w:color w:val="000000" w:themeColor="text1"/>
          <w:sz w:val="16"/>
          <w:szCs w:val="16"/>
        </w:rPr>
        <w:t xml:space="preserve">" ПГ-2к - изготовленный из картона сигарообразный контейнер, снабженный парашютом. В него загружали 30 кг груза, например, 6 винтовок или 5000 патронов. Р-5 нес 10 таких "сигар". Позднее стали серийно выпускать целую гамму упаковок для парашютного и </w:t>
      </w:r>
      <w:proofErr w:type="spellStart"/>
      <w:r w:rsidRPr="007122AB">
        <w:rPr>
          <w:rFonts w:ascii="Times New Roman" w:hAnsi="Times New Roman"/>
          <w:color w:val="000000" w:themeColor="text1"/>
          <w:sz w:val="16"/>
          <w:szCs w:val="16"/>
        </w:rPr>
        <w:t>беспарашютного</w:t>
      </w:r>
      <w:proofErr w:type="spellEnd"/>
      <w:r w:rsidRPr="007122AB">
        <w:rPr>
          <w:rFonts w:ascii="Times New Roman" w:hAnsi="Times New Roman"/>
          <w:color w:val="000000" w:themeColor="text1"/>
          <w:sz w:val="16"/>
          <w:szCs w:val="16"/>
        </w:rPr>
        <w:t xml:space="preserve"> сбрасывания - мешки, фанерные, картонные и металлические короба и баки. В них грузили станковые и ручные пулеметы, патроны, гранаты и снаряды, динамо-реактивные пушки, продовольствие и т.п. На Р-5 можно было доставить и сбросить с парашютами два мотоцикла, которые подвешивали под крыло без каких-либо обтекателей. По 2-3 самолета </w:t>
      </w:r>
      <w:proofErr w:type="spellStart"/>
      <w:r w:rsidRPr="007122AB">
        <w:rPr>
          <w:rFonts w:ascii="Times New Roman" w:hAnsi="Times New Roman"/>
          <w:color w:val="000000" w:themeColor="text1"/>
          <w:sz w:val="16"/>
          <w:szCs w:val="16"/>
        </w:rPr>
        <w:t>по-лучили</w:t>
      </w:r>
      <w:proofErr w:type="spellEnd"/>
      <w:r w:rsidRPr="007122AB">
        <w:rPr>
          <w:rFonts w:ascii="Times New Roman" w:hAnsi="Times New Roman"/>
          <w:color w:val="000000" w:themeColor="text1"/>
          <w:sz w:val="16"/>
          <w:szCs w:val="16"/>
        </w:rPr>
        <w:t xml:space="preserve"> все эскадрильи, приданные первым батальонам "особого назначения" (</w:t>
      </w:r>
      <w:proofErr w:type="spellStart"/>
      <w:r w:rsidRPr="007122AB">
        <w:rPr>
          <w:rFonts w:ascii="Times New Roman" w:hAnsi="Times New Roman"/>
          <w:color w:val="000000" w:themeColor="text1"/>
          <w:sz w:val="16"/>
          <w:szCs w:val="16"/>
        </w:rPr>
        <w:t>воздуш</w:t>
      </w:r>
      <w:proofErr w:type="spellEnd"/>
      <w:r w:rsidRPr="007122AB">
        <w:rPr>
          <w:rFonts w:ascii="Times New Roman" w:hAnsi="Times New Roman"/>
          <w:color w:val="000000" w:themeColor="text1"/>
          <w:sz w:val="16"/>
          <w:szCs w:val="16"/>
        </w:rPr>
        <w:t xml:space="preserve">-но-десантным). Р-5 применялись как транспортные на различных маневрах. Так, летом 1937 г. на учениях в Харьковском ВО четыре ТБ-3 выбросили парашютистов, которые захватили посадочную площадку. Туда Р-5 доставили на наружной подвеске три 45-мм пушки и 3 пулемета "Максим". В августе 1940 г. на аэродром Мигалово под </w:t>
      </w:r>
      <w:proofErr w:type="spellStart"/>
      <w:r w:rsidRPr="007122AB">
        <w:rPr>
          <w:rFonts w:ascii="Times New Roman" w:hAnsi="Times New Roman"/>
          <w:color w:val="000000" w:themeColor="text1"/>
          <w:sz w:val="16"/>
          <w:szCs w:val="16"/>
        </w:rPr>
        <w:t>Капинином</w:t>
      </w:r>
      <w:proofErr w:type="spellEnd"/>
      <w:r w:rsidRPr="007122AB">
        <w:rPr>
          <w:rFonts w:ascii="Times New Roman" w:hAnsi="Times New Roman"/>
          <w:color w:val="000000" w:themeColor="text1"/>
          <w:sz w:val="16"/>
          <w:szCs w:val="16"/>
        </w:rPr>
        <w:t xml:space="preserve"> (ныне Тверь) с ТБ-3 выбросили батальон парашютистов, а Р-5 привезли различные грузы. Эти маневры оказались последними для Р-5 в такой ипостаси (11936).</w:t>
      </w:r>
    </w:p>
    <w:p w14:paraId="51AAA3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A3E32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приняли на вооружение "картонажный </w:t>
      </w:r>
      <w:proofErr w:type="spellStart"/>
      <w:r w:rsidRPr="007122AB">
        <w:rPr>
          <w:rFonts w:ascii="Times New Roman" w:hAnsi="Times New Roman"/>
          <w:color w:val="000000" w:themeColor="text1"/>
          <w:sz w:val="16"/>
          <w:szCs w:val="16"/>
        </w:rPr>
        <w:t>авиасбрасыватель</w:t>
      </w:r>
      <w:proofErr w:type="spellEnd"/>
      <w:r w:rsidRPr="007122AB">
        <w:rPr>
          <w:rFonts w:ascii="Times New Roman" w:hAnsi="Times New Roman"/>
          <w:color w:val="000000" w:themeColor="text1"/>
          <w:sz w:val="16"/>
          <w:szCs w:val="16"/>
        </w:rPr>
        <w:t xml:space="preserve">" ПГ-2к. Это был изготовленный из картона сигарообразный контейнер, в один из концов которого укладывался парашют. В него загружалось 30 кг всякой всячины, например, шесть винтовок или 5000 патронов. Р-5 нес десять таких "сигар". Позднее стали серийно выпускать целую гамму упаковок для парашютного и </w:t>
      </w:r>
      <w:proofErr w:type="spellStart"/>
      <w:r w:rsidRPr="007122AB">
        <w:rPr>
          <w:rFonts w:ascii="Times New Roman" w:hAnsi="Times New Roman"/>
          <w:color w:val="000000" w:themeColor="text1"/>
          <w:sz w:val="16"/>
          <w:szCs w:val="16"/>
        </w:rPr>
        <w:t>беспарашютного</w:t>
      </w:r>
      <w:proofErr w:type="spellEnd"/>
      <w:r w:rsidRPr="007122AB">
        <w:rPr>
          <w:rFonts w:ascii="Times New Roman" w:hAnsi="Times New Roman"/>
          <w:color w:val="000000" w:themeColor="text1"/>
          <w:sz w:val="16"/>
          <w:szCs w:val="16"/>
        </w:rPr>
        <w:t xml:space="preserve"> сбрасывания разных грузов. Делали мягкие мешки, фанерные, картонные и металлические короба и баки. Штатными для Р-5 являлись мягкие парашютные мешки ПДММ (на 100 кг груза), короба ПД-КОР (на 135 кг, картонный) и ПДЦ (цилиндрический из фанеры, на 120 кг), а также баки ПДББ-100. Их можно было нести по четыре штуки в разных комбинациях.</w:t>
      </w:r>
    </w:p>
    <w:p w14:paraId="5F28ABC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Маленькие ПГ-2к к концу 30-х годов постепенно вышли из употребления (12034).</w:t>
      </w:r>
    </w:p>
    <w:p w14:paraId="36526C4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108C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десантников эки</w:t>
      </w:r>
      <w:r w:rsidRPr="007122AB">
        <w:rPr>
          <w:rFonts w:ascii="Times New Roman" w:hAnsi="Times New Roman"/>
          <w:color w:val="000000" w:themeColor="text1"/>
          <w:sz w:val="16"/>
          <w:szCs w:val="16"/>
        </w:rPr>
        <w:softHyphen/>
        <w:t xml:space="preserve">пировали наспинными перкалевыми парашютами ПД-1 конструкции </w:t>
      </w:r>
      <w:proofErr w:type="spellStart"/>
      <w:r w:rsidRPr="007122AB">
        <w:rPr>
          <w:rFonts w:ascii="Times New Roman" w:hAnsi="Times New Roman"/>
          <w:color w:val="000000" w:themeColor="text1"/>
          <w:sz w:val="16"/>
          <w:szCs w:val="16"/>
        </w:rPr>
        <w:t>М.А.Савицкого</w:t>
      </w:r>
      <w:proofErr w:type="spellEnd"/>
      <w:r w:rsidRPr="007122AB">
        <w:rPr>
          <w:rFonts w:ascii="Times New Roman" w:hAnsi="Times New Roman"/>
          <w:color w:val="000000" w:themeColor="text1"/>
          <w:sz w:val="16"/>
          <w:szCs w:val="16"/>
        </w:rPr>
        <w:t>, за основу которых взяли один из американских образ</w:t>
      </w:r>
      <w:r w:rsidRPr="007122AB">
        <w:rPr>
          <w:rFonts w:ascii="Times New Roman" w:hAnsi="Times New Roman"/>
          <w:color w:val="000000" w:themeColor="text1"/>
          <w:sz w:val="16"/>
          <w:szCs w:val="16"/>
        </w:rPr>
        <w:softHyphen/>
        <w:t>цов. Однако практика показала нео</w:t>
      </w:r>
      <w:r w:rsidRPr="007122AB">
        <w:rPr>
          <w:rFonts w:ascii="Times New Roman" w:hAnsi="Times New Roman"/>
          <w:color w:val="000000" w:themeColor="text1"/>
          <w:sz w:val="16"/>
          <w:szCs w:val="16"/>
        </w:rPr>
        <w:softHyphen/>
        <w:t>споримые преимущества шелковых куполов, хоть и более дорогих, зато надежных и прочных. Работы по тка</w:t>
      </w:r>
      <w:r w:rsidRPr="007122AB">
        <w:rPr>
          <w:rFonts w:ascii="Times New Roman" w:hAnsi="Times New Roman"/>
          <w:color w:val="000000" w:themeColor="text1"/>
          <w:sz w:val="16"/>
          <w:szCs w:val="16"/>
        </w:rPr>
        <w:softHyphen/>
        <w:t>ням-заменителям прекратили. ПД-1 пробыл на вооружении недолго, его сменили более совершенные парашюты из шелка типа ПН (10690).</w:t>
      </w:r>
    </w:p>
    <w:p w14:paraId="7CF47A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A1F22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при поддержке Военно-Научного исследовательского Комитета при Реввоенсовете СССР в Москве в системе </w:t>
      </w:r>
      <w:proofErr w:type="spellStart"/>
      <w:r w:rsidRPr="007122AB">
        <w:rPr>
          <w:rFonts w:ascii="Times New Roman" w:hAnsi="Times New Roman"/>
          <w:color w:val="000000" w:themeColor="text1"/>
          <w:sz w:val="16"/>
          <w:szCs w:val="16"/>
        </w:rPr>
        <w:t>Дирижаблестроя</w:t>
      </w:r>
      <w:proofErr w:type="spellEnd"/>
      <w:r w:rsidRPr="007122AB">
        <w:rPr>
          <w:rFonts w:ascii="Times New Roman" w:hAnsi="Times New Roman"/>
          <w:color w:val="000000" w:themeColor="text1"/>
          <w:sz w:val="16"/>
          <w:szCs w:val="16"/>
        </w:rPr>
        <w:t xml:space="preserve"> было организовано специальное конструкторское Бюро по проектированию и постройке дирижабля Циолковского (КБ-3 или КБЦ-3), куда и были перенесены работы Академии. Руководил работами (фактически) сам автор, получавший за это 1000 рублей (11041).</w:t>
      </w:r>
    </w:p>
    <w:p w14:paraId="277DC2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E99DB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1931 г. началась работа над ампульными кассетами, предназначавшимися для сброса шаровых ампул с отравляющими веществами. Переход с выливных приборов на ампулы позволял поднять высоту и тем самым уменьшить уязвимость самолета от зенитного огня. Еще в 1932 г. </w:t>
      </w:r>
      <w:proofErr w:type="spellStart"/>
      <w:r w:rsidRPr="007122AB">
        <w:rPr>
          <w:rFonts w:ascii="Times New Roman" w:hAnsi="Times New Roman"/>
          <w:color w:val="000000" w:themeColor="text1"/>
          <w:sz w:val="16"/>
          <w:szCs w:val="16"/>
        </w:rPr>
        <w:t>Осконбюро</w:t>
      </w:r>
      <w:proofErr w:type="spellEnd"/>
      <w:r w:rsidRPr="007122AB">
        <w:rPr>
          <w:rFonts w:ascii="Times New Roman" w:hAnsi="Times New Roman"/>
          <w:color w:val="000000" w:themeColor="text1"/>
          <w:sz w:val="16"/>
          <w:szCs w:val="16"/>
        </w:rPr>
        <w:t xml:space="preserve"> ВВС предложило проект кассеты Г-52 на 1600 небольших ампул. Сброс осуществлялся сериями по восемь штук. Данных о постройке Г-52 пока не обнаружено. В 1933 г. 14-я бригада ЦАГИ спроектировала размещение на Р-5 трех кассет АК с механическим или электрическим сбрасыванием (12034).</w:t>
      </w:r>
    </w:p>
    <w:p w14:paraId="0F8D0EC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17DCC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1931 г. Сергей Павлович Королев по договоренности с Фридрихом Артуровичем Цандером развернул работы над ракетопланами. Работы начались в Группе изучения реактивного движения и продолжены были в Реактивном </w:t>
      </w:r>
      <w:proofErr w:type="spellStart"/>
      <w:r w:rsidRPr="007122AB">
        <w:rPr>
          <w:rFonts w:ascii="Times New Roman" w:hAnsi="Times New Roman"/>
          <w:color w:val="000000" w:themeColor="text1"/>
          <w:sz w:val="16"/>
          <w:szCs w:val="16"/>
        </w:rPr>
        <w:t>научноисследовательском</w:t>
      </w:r>
      <w:proofErr w:type="spellEnd"/>
      <w:r w:rsidRPr="007122AB">
        <w:rPr>
          <w:rFonts w:ascii="Times New Roman" w:hAnsi="Times New Roman"/>
          <w:color w:val="000000" w:themeColor="text1"/>
          <w:sz w:val="16"/>
          <w:szCs w:val="16"/>
        </w:rPr>
        <w:t xml:space="preserve"> институте (Архив Российской академии наук. Щетинков Е.С. Обзор деятельности 4-й бригады ГИРД в 1933–1934 гг., р. 4, оп. 14, д. 250.). В 1944 г. С.П. Королев писал, что работы по КР были начаты в </w:t>
      </w:r>
      <w:proofErr w:type="spellStart"/>
      <w:r w:rsidRPr="007122AB">
        <w:rPr>
          <w:rFonts w:ascii="Times New Roman" w:hAnsi="Times New Roman"/>
          <w:color w:val="000000" w:themeColor="text1"/>
          <w:sz w:val="16"/>
          <w:szCs w:val="16"/>
        </w:rPr>
        <w:t>ГИРДе</w:t>
      </w:r>
      <w:proofErr w:type="spellEnd"/>
      <w:r w:rsidRPr="007122AB">
        <w:rPr>
          <w:rFonts w:ascii="Times New Roman" w:hAnsi="Times New Roman"/>
          <w:color w:val="000000" w:themeColor="text1"/>
          <w:sz w:val="16"/>
          <w:szCs w:val="16"/>
        </w:rPr>
        <w:t xml:space="preserve"> в 1932 г. (Архив Российской академии наук. Королев С.П. Крылатые ракеты (краткий обзор работ, проводившихся в РНИИ в 1932–1938 гг.), р. 4, оп. 14, д. 87.). </w:t>
      </w:r>
    </w:p>
    <w:p w14:paraId="422C77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EF1083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от ТРС отказались, так как терялась дальность и перешли на оперение, но пускали опять через трубу, так как были артиллеристами (1233,24).</w:t>
      </w:r>
    </w:p>
    <w:p w14:paraId="3FD538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1DE4B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в ГДЛ под руководством </w:t>
      </w:r>
      <w:proofErr w:type="spellStart"/>
      <w:r w:rsidRPr="007122AB">
        <w:rPr>
          <w:rFonts w:ascii="Times New Roman" w:hAnsi="Times New Roman"/>
          <w:color w:val="000000" w:themeColor="text1"/>
          <w:sz w:val="16"/>
          <w:szCs w:val="16"/>
        </w:rPr>
        <w:t>Б.С.Петропавловского</w:t>
      </w:r>
      <w:proofErr w:type="spellEnd"/>
      <w:r w:rsidRPr="007122AB">
        <w:rPr>
          <w:rFonts w:ascii="Times New Roman" w:hAnsi="Times New Roman"/>
          <w:color w:val="000000" w:themeColor="text1"/>
          <w:sz w:val="16"/>
          <w:szCs w:val="16"/>
        </w:rPr>
        <w:t>, который пришел туда в апреле 1929 - 177,156 были сделаны РС 82 мм (5000 м) и 132 мм (6000 м) с оперением, не выходящим за габариты. Летали плохо (93,17).</w:t>
      </w:r>
    </w:p>
    <w:p w14:paraId="780154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Вращались, но были сложными. На совещании предлагали раскручивать электромотором, потоком воздуха, газами (93,21).</w:t>
      </w:r>
    </w:p>
    <w:p w14:paraId="660C83A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Были неудачные испытания на самолетах (1233,24).</w:t>
      </w:r>
    </w:p>
    <w:p w14:paraId="0923DB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7E8018C"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было создано СКБ по разработке механических (часовых) взрывателей, возглав</w:t>
      </w:r>
      <w:r w:rsidRPr="007122AB">
        <w:rPr>
          <w:rFonts w:ascii="Times New Roman" w:hAnsi="Times New Roman"/>
          <w:color w:val="000000" w:themeColor="text1"/>
          <w:sz w:val="16"/>
          <w:szCs w:val="16"/>
        </w:rPr>
        <w:softHyphen/>
        <w:t xml:space="preserve">ляемом </w:t>
      </w:r>
      <w:proofErr w:type="spellStart"/>
      <w:r w:rsidRPr="007122AB">
        <w:rPr>
          <w:rFonts w:ascii="Times New Roman" w:hAnsi="Times New Roman"/>
          <w:color w:val="000000" w:themeColor="text1"/>
          <w:sz w:val="16"/>
          <w:szCs w:val="16"/>
        </w:rPr>
        <w:t>А.Я.Карповым</w:t>
      </w:r>
      <w:proofErr w:type="spellEnd"/>
      <w:r w:rsidRPr="007122AB">
        <w:rPr>
          <w:rFonts w:ascii="Times New Roman" w:hAnsi="Times New Roman"/>
          <w:color w:val="000000" w:themeColor="text1"/>
          <w:sz w:val="16"/>
          <w:szCs w:val="16"/>
        </w:rPr>
        <w:t>, в котором был создан ударостойкий часовой механизм, вы</w:t>
      </w:r>
      <w:r w:rsidRPr="007122AB">
        <w:rPr>
          <w:rFonts w:ascii="Times New Roman" w:hAnsi="Times New Roman"/>
          <w:color w:val="000000" w:themeColor="text1"/>
          <w:sz w:val="16"/>
          <w:szCs w:val="16"/>
        </w:rPr>
        <w:softHyphen/>
        <w:t>держивающий огромные инерционные перегрузки, возникающие при выстреле. С использованием его создали дистанционные механические взрыватели (трубки) для зенитных снарядов и авиабомб. В предвоенный период претензии военных к дистанционным трубкам семейства ТМ-4 сводились к тому, что в обращении она опасна (самопроизвольно выдер</w:t>
      </w:r>
      <w:r w:rsidRPr="007122AB">
        <w:rPr>
          <w:rFonts w:ascii="Times New Roman" w:hAnsi="Times New Roman"/>
          <w:color w:val="000000" w:themeColor="text1"/>
          <w:sz w:val="16"/>
          <w:szCs w:val="16"/>
        </w:rPr>
        <w:softHyphen/>
        <w:t>ется чека). А кроме того, для каждой высоты бомбометания (отличной от запланированной) необходимо изменять установку ТМ-4. Опыт боевого применения дистанционных трубок ТМ-4 в Великой отечественной войне подтвердил их недостатки. Применительно к авиабомбам вспомогательного назначения, замедления в 40 с было недостаточно для бомбометания с больших высот. На ракетных авиабомбах применять трубки семейства ТМ-4 из-за несовершенства предохранитель</w:t>
      </w:r>
      <w:r w:rsidRPr="007122AB">
        <w:rPr>
          <w:rFonts w:ascii="Times New Roman" w:hAnsi="Times New Roman"/>
          <w:color w:val="000000" w:themeColor="text1"/>
          <w:sz w:val="16"/>
          <w:szCs w:val="16"/>
        </w:rPr>
        <w:softHyphen/>
        <w:t>ного устройства так же было небезопасно. К примеру, зависание авиабомбы на одном из бугелей или случайное ее падение на землю при выруливании самолета на старт, взлете, посадке или аварии в воздухе приводит к выдергиванию боевой чеки и срабатыванию двигателя РАБ. Кроме того, выяснилась опасность трубки, отказавшей в действии при постановке на предохранитель «П». Установка на любое другое положение приводила к отказу из-за осадки пружины часового механизма при дли</w:t>
      </w:r>
      <w:r w:rsidRPr="007122AB">
        <w:rPr>
          <w:rFonts w:ascii="Times New Roman" w:hAnsi="Times New Roman"/>
          <w:color w:val="000000" w:themeColor="text1"/>
          <w:sz w:val="16"/>
          <w:szCs w:val="16"/>
        </w:rPr>
        <w:softHyphen/>
        <w:t>тельном хранении. Сотрясание часового механизма могло снова заставит его работать, и трубка срабатывала.</w:t>
      </w:r>
    </w:p>
    <w:p w14:paraId="1A90408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Наличие часового механизма требовало бережного обращения с трубкой. При случайном падении авиабомбы с трубкой или самой врубки во время работ на земле, а также в результате неосторожного удара ею по корпусу авиабомбы при постановке в очко, резкий рывок в момент отрыва от самолета иногда выводили из строя часовой механизм, в лучшем случае трубка просто выходила из строя. Куда хуже, если часовой механизм переставал тормозить пружину, то есть, регулировать скорость ее раскручивания, и ударник трубки преждевременно накалывал капсюль-воспламенитель. К 1946 г. ТМ-4А и ТМ-4Б сняли с производства и вооружения (11402).</w:t>
      </w:r>
    </w:p>
    <w:p w14:paraId="2B0898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3C27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в 68-м </w:t>
      </w:r>
      <w:proofErr w:type="spellStart"/>
      <w:r w:rsidRPr="007122AB">
        <w:rPr>
          <w:rFonts w:ascii="Times New Roman" w:hAnsi="Times New Roman"/>
          <w:color w:val="000000" w:themeColor="text1"/>
          <w:sz w:val="16"/>
          <w:szCs w:val="16"/>
        </w:rPr>
        <w:t>ао</w:t>
      </w:r>
      <w:proofErr w:type="spellEnd"/>
      <w:r w:rsidRPr="007122AB">
        <w:rPr>
          <w:rFonts w:ascii="Times New Roman" w:hAnsi="Times New Roman"/>
          <w:color w:val="000000" w:themeColor="text1"/>
          <w:sz w:val="16"/>
          <w:szCs w:val="16"/>
        </w:rPr>
        <w:t xml:space="preserve"> на Дальнем Востоке на Р-5 испытывали речную мину "Рыбка", а 1935 г. в Севастополе с Р-5а сбрасывали неконтактную донную мину РЕМИН (12034).</w:t>
      </w:r>
    </w:p>
    <w:p w14:paraId="57A77E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F9ECA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П-5 начали поступать в гражданскую авиацию: 13 октября отряду им. "Правды" выделили 3 самолета. Этот отряд возил матрицы центральных газет в различные города страны. 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час1ь П-5 эксплуатировалась как почтовые и грузовые самолеты.</w:t>
      </w:r>
    </w:p>
    <w:p w14:paraId="19BC02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5CBB34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14CEFD0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63CD76E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C56ED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DCF39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"Комсеверпуть-1", получивший опознавательный знак СССР-HI, был представлен следующим экипажем: командир </w:t>
      </w:r>
      <w:proofErr w:type="spellStart"/>
      <w:r w:rsidRPr="007122AB">
        <w:rPr>
          <w:rFonts w:ascii="Times New Roman" w:hAnsi="Times New Roman"/>
          <w:color w:val="000000" w:themeColor="text1"/>
          <w:sz w:val="16"/>
          <w:szCs w:val="16"/>
        </w:rPr>
        <w:t>Чухновский</w:t>
      </w:r>
      <w:proofErr w:type="spellEnd"/>
      <w:r w:rsidRPr="007122AB">
        <w:rPr>
          <w:rFonts w:ascii="Times New Roman" w:hAnsi="Times New Roman"/>
          <w:color w:val="000000" w:themeColor="text1"/>
          <w:sz w:val="16"/>
          <w:szCs w:val="16"/>
        </w:rPr>
        <w:t xml:space="preserve">, 2-й летчик Соловьев, летнаб Ручьев, бортмеханик </w:t>
      </w:r>
      <w:proofErr w:type="spellStart"/>
      <w:r w:rsidRPr="007122AB">
        <w:rPr>
          <w:rFonts w:ascii="Times New Roman" w:hAnsi="Times New Roman"/>
          <w:color w:val="000000" w:themeColor="text1"/>
          <w:sz w:val="16"/>
          <w:szCs w:val="16"/>
        </w:rPr>
        <w:t>В.В.Косухин</w:t>
      </w:r>
      <w:proofErr w:type="spellEnd"/>
      <w:r w:rsidRPr="007122AB">
        <w:rPr>
          <w:rFonts w:ascii="Times New Roman" w:hAnsi="Times New Roman"/>
          <w:color w:val="000000" w:themeColor="text1"/>
          <w:sz w:val="16"/>
          <w:szCs w:val="16"/>
        </w:rPr>
        <w:t>, помощник бортмеханика Наумов. В летний сезон СССР-HI произвел ряд полетов в море у Таймырского полуострова. Вел разведку льдов при проводке шхуны "Белуха" из Архангельска до устья Лены, помогал проводке последних за навигацию судов в Карском море (11970).</w:t>
      </w:r>
    </w:p>
    <w:p w14:paraId="61EED90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097C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самолету Дорнье "Валь" СССР-НЗ, заводской № 143, двигатели - 2 BMW-6 присвоили опознавательный знак СССР-НЗ, его командиром и пилотом снова назначили Алексеева и </w:t>
      </w:r>
      <w:proofErr w:type="spellStart"/>
      <w:r w:rsidRPr="007122AB">
        <w:rPr>
          <w:rFonts w:ascii="Times New Roman" w:hAnsi="Times New Roman"/>
          <w:color w:val="000000" w:themeColor="text1"/>
          <w:sz w:val="16"/>
          <w:szCs w:val="16"/>
        </w:rPr>
        <w:t>Кржижевского</w:t>
      </w:r>
      <w:proofErr w:type="spellEnd"/>
      <w:r w:rsidRPr="007122AB">
        <w:rPr>
          <w:rFonts w:ascii="Times New Roman" w:hAnsi="Times New Roman"/>
          <w:color w:val="000000" w:themeColor="text1"/>
          <w:sz w:val="16"/>
          <w:szCs w:val="16"/>
        </w:rPr>
        <w:t xml:space="preserve">. В одном из полетов, на маршруте из бухты </w:t>
      </w:r>
      <w:proofErr w:type="spellStart"/>
      <w:r w:rsidRPr="007122AB">
        <w:rPr>
          <w:rFonts w:ascii="Times New Roman" w:hAnsi="Times New Roman"/>
          <w:color w:val="000000" w:themeColor="text1"/>
          <w:sz w:val="16"/>
          <w:szCs w:val="16"/>
        </w:rPr>
        <w:t>Варнека</w:t>
      </w:r>
      <w:proofErr w:type="spellEnd"/>
      <w:r w:rsidRPr="007122AB">
        <w:rPr>
          <w:rFonts w:ascii="Times New Roman" w:hAnsi="Times New Roman"/>
          <w:color w:val="000000" w:themeColor="text1"/>
          <w:sz w:val="16"/>
          <w:szCs w:val="16"/>
        </w:rPr>
        <w:t xml:space="preserve"> к Диксону, не долетая острова </w:t>
      </w:r>
      <w:proofErr w:type="spellStart"/>
      <w:r w:rsidRPr="007122AB">
        <w:rPr>
          <w:rFonts w:ascii="Times New Roman" w:hAnsi="Times New Roman"/>
          <w:color w:val="000000" w:themeColor="text1"/>
          <w:sz w:val="16"/>
          <w:szCs w:val="16"/>
        </w:rPr>
        <w:t>Вилькицкого</w:t>
      </w:r>
      <w:proofErr w:type="spellEnd"/>
      <w:r w:rsidRPr="007122AB">
        <w:rPr>
          <w:rFonts w:ascii="Times New Roman" w:hAnsi="Times New Roman"/>
          <w:color w:val="000000" w:themeColor="text1"/>
          <w:sz w:val="16"/>
          <w:szCs w:val="16"/>
        </w:rPr>
        <w:t xml:space="preserve">, встретили туман. Летчики приводнились и легли в дрейф. Девять часов пришлось им ждать улучшения погоды, и только после этого СССР-НЗ добрался до Диксона. Однако продолжать разведку, базируясь на Диксон, оказалось невозможно - отсутствовало горючее. Алексеев принял решение возвращаться в бухту </w:t>
      </w:r>
      <w:proofErr w:type="spellStart"/>
      <w:r w:rsidRPr="007122AB">
        <w:rPr>
          <w:rFonts w:ascii="Times New Roman" w:hAnsi="Times New Roman"/>
          <w:color w:val="000000" w:themeColor="text1"/>
          <w:sz w:val="16"/>
          <w:szCs w:val="16"/>
        </w:rPr>
        <w:t>Варнека</w:t>
      </w:r>
      <w:proofErr w:type="spellEnd"/>
      <w:r w:rsidRPr="007122AB">
        <w:rPr>
          <w:rFonts w:ascii="Times New Roman" w:hAnsi="Times New Roman"/>
          <w:color w:val="000000" w:themeColor="text1"/>
          <w:sz w:val="16"/>
          <w:szCs w:val="16"/>
        </w:rPr>
        <w:t xml:space="preserve">. Встретившийся на обратном пути туман заставил экипаж изменить курс. У мыса </w:t>
      </w:r>
      <w:proofErr w:type="spellStart"/>
      <w:r w:rsidRPr="007122AB">
        <w:rPr>
          <w:rFonts w:ascii="Times New Roman" w:hAnsi="Times New Roman"/>
          <w:color w:val="000000" w:themeColor="text1"/>
          <w:sz w:val="16"/>
          <w:szCs w:val="16"/>
        </w:rPr>
        <w:t>Харасавэй</w:t>
      </w:r>
      <w:proofErr w:type="spellEnd"/>
      <w:r w:rsidRPr="007122AB">
        <w:rPr>
          <w:rFonts w:ascii="Times New Roman" w:hAnsi="Times New Roman"/>
          <w:color w:val="000000" w:themeColor="text1"/>
          <w:sz w:val="16"/>
          <w:szCs w:val="16"/>
        </w:rPr>
        <w:t xml:space="preserve"> туман стал настолько густым, что продолжать полет стало рискованно, и авиаторы приводнились в трехстах метрах от берега. Скоро на море начался шторм, и оставаться так близко к суше было опасно. Попытка взлететь окончилась повреждением правой жабры лодки, и </w:t>
      </w:r>
      <w:proofErr w:type="spellStart"/>
      <w:r w:rsidRPr="007122AB">
        <w:rPr>
          <w:rFonts w:ascii="Times New Roman" w:hAnsi="Times New Roman"/>
          <w:color w:val="000000" w:themeColor="text1"/>
          <w:sz w:val="16"/>
          <w:szCs w:val="16"/>
        </w:rPr>
        <w:t>Кржижевский</w:t>
      </w:r>
      <w:proofErr w:type="spellEnd"/>
      <w:r w:rsidRPr="007122AB">
        <w:rPr>
          <w:rFonts w:ascii="Times New Roman" w:hAnsi="Times New Roman"/>
          <w:color w:val="000000" w:themeColor="text1"/>
          <w:sz w:val="16"/>
          <w:szCs w:val="16"/>
        </w:rPr>
        <w:t xml:space="preserve"> стал рулить по бушующему морю. После многочасового плавания ему удалось найти тихую бухту, где самолет переждал шторм (11970).</w:t>
      </w:r>
    </w:p>
    <w:p w14:paraId="3E0A42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A9B72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на базе ленинградского отделения </w:t>
      </w:r>
      <w:proofErr w:type="spellStart"/>
      <w:r w:rsidRPr="007122AB">
        <w:rPr>
          <w:rFonts w:ascii="Times New Roman" w:hAnsi="Times New Roman"/>
          <w:color w:val="000000" w:themeColor="text1"/>
          <w:sz w:val="16"/>
          <w:szCs w:val="16"/>
        </w:rPr>
        <w:t>Гипроинвестмета</w:t>
      </w:r>
      <w:proofErr w:type="spellEnd"/>
      <w:r w:rsidRPr="007122AB">
        <w:rPr>
          <w:rFonts w:ascii="Times New Roman" w:hAnsi="Times New Roman"/>
          <w:color w:val="000000" w:themeColor="text1"/>
          <w:sz w:val="16"/>
          <w:szCs w:val="16"/>
        </w:rPr>
        <w:t xml:space="preserve"> был создан Государственный институт по проектированию алюминиевых, магниевых и электродных заводов «</w:t>
      </w:r>
      <w:proofErr w:type="spellStart"/>
      <w:r w:rsidRPr="007122AB">
        <w:rPr>
          <w:rFonts w:ascii="Times New Roman" w:hAnsi="Times New Roman"/>
          <w:color w:val="000000" w:themeColor="text1"/>
          <w:sz w:val="16"/>
          <w:szCs w:val="16"/>
        </w:rPr>
        <w:t>Гипроалюминий</w:t>
      </w:r>
      <w:proofErr w:type="spellEnd"/>
      <w:r w:rsidRPr="007122AB">
        <w:rPr>
          <w:rFonts w:ascii="Times New Roman" w:hAnsi="Times New Roman"/>
          <w:color w:val="000000" w:themeColor="text1"/>
          <w:sz w:val="16"/>
          <w:szCs w:val="16"/>
        </w:rPr>
        <w:t xml:space="preserve">» /г. Ленинград/. Располагался на 20-й линии Васильевского о-ва. Находился в ведении: НКЦМ (1943-46г.), МЦМ (1946-48; 1950-53; 1954г.), </w:t>
      </w:r>
      <w:proofErr w:type="spellStart"/>
      <w:r w:rsidRPr="007122AB">
        <w:rPr>
          <w:rFonts w:ascii="Times New Roman" w:hAnsi="Times New Roman"/>
          <w:color w:val="000000" w:themeColor="text1"/>
          <w:sz w:val="16"/>
          <w:szCs w:val="16"/>
        </w:rPr>
        <w:t>Минметаллургпрома</w:t>
      </w:r>
      <w:proofErr w:type="spellEnd"/>
      <w:r w:rsidRPr="007122AB">
        <w:rPr>
          <w:rFonts w:ascii="Times New Roman" w:hAnsi="Times New Roman"/>
          <w:color w:val="000000" w:themeColor="text1"/>
          <w:sz w:val="16"/>
          <w:szCs w:val="16"/>
        </w:rPr>
        <w:t xml:space="preserve"> (1948-59; 1953-54г.).</w:t>
      </w:r>
    </w:p>
    <w:p w14:paraId="2880B04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Институт имел филиалы: Московский (1943-54г.), Уральский (создан в 1955г.), Иркутский (создан в 1959г.).</w:t>
      </w:r>
    </w:p>
    <w:p w14:paraId="6BF6C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сектора: (1932-33г.)- П.Ф. Ломако (11982).</w:t>
      </w:r>
    </w:p>
    <w:p w14:paraId="74767A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035C3DC" w14:textId="77777777" w:rsidR="0078004B" w:rsidRPr="007122AB" w:rsidRDefault="0078004B" w:rsidP="007122AB">
      <w:pPr>
        <w:pStyle w:val="txt1"/>
        <w:shd w:val="clear" w:color="auto" w:fill="FFFFFF"/>
        <w:spacing w:before="0" w:beforeAutospacing="0" w:after="0" w:afterAutospacing="0" w:line="240" w:lineRule="auto"/>
        <w:ind w:firstLine="0"/>
        <w:rPr>
          <w:color w:val="000000" w:themeColor="text1"/>
          <w:sz w:val="16"/>
          <w:szCs w:val="16"/>
        </w:rPr>
      </w:pPr>
      <w:r w:rsidRPr="007122AB">
        <w:rPr>
          <w:color w:val="000000" w:themeColor="text1"/>
          <w:sz w:val="16"/>
          <w:szCs w:val="16"/>
        </w:rPr>
        <w:t>В 1931 был спроектирован и изготовлен первый в России высотный скафандр «Ч-1» (1931 г.) - на три года раньше, чем в Великобритании, по личной инициативе инженера Евгения Ефимовича Чертовского, бывшего сотрудником авиа-медицинского отдела ленинградского НИИ Гражданской авиации. Но, в скафандре «Ч-1» было невозможно работать при избыточном давлении выше окружающего атмосферного давления, создаваемом под герметической оболочкой этого изолирующего средства защиты при подъеме на высоту более 10 км. Конструктор провел последовательную модификацию скафандра от «Ч-1» до «Ч-</w:t>
      </w:r>
      <w:bookmarkStart w:id="49" w:name="YANDEX_0"/>
      <w:bookmarkEnd w:id="49"/>
      <w:r w:rsidRPr="007122AB">
        <w:rPr>
          <w:color w:val="000000" w:themeColor="text1"/>
          <w:sz w:val="16"/>
          <w:szCs w:val="16"/>
        </w:rPr>
        <w:t> </w:t>
      </w:r>
      <w:r w:rsidRPr="007122AB">
        <w:rPr>
          <w:rStyle w:val="highlight"/>
          <w:color w:val="000000" w:themeColor="text1"/>
          <w:sz w:val="16"/>
          <w:szCs w:val="16"/>
        </w:rPr>
        <w:t> 3 </w:t>
      </w:r>
      <w:r w:rsidRPr="007122AB">
        <w:rPr>
          <w:color w:val="000000" w:themeColor="text1"/>
          <w:sz w:val="16"/>
          <w:szCs w:val="16"/>
        </w:rPr>
        <w:t>», прежде чем его использовал летчик С. М. Коробов в первом в СССР летном испытании скафандра на тяжелом бомбардировщике ТБ-</w:t>
      </w:r>
      <w:bookmarkStart w:id="50" w:name="YANDEX_1"/>
      <w:bookmarkEnd w:id="50"/>
      <w:r w:rsidRPr="007122AB">
        <w:rPr>
          <w:rStyle w:val="highlight"/>
          <w:color w:val="000000" w:themeColor="text1"/>
          <w:sz w:val="16"/>
          <w:szCs w:val="16"/>
        </w:rPr>
        <w:t> 3 </w:t>
      </w:r>
      <w:r w:rsidRPr="007122AB">
        <w:rPr>
          <w:color w:val="000000" w:themeColor="text1"/>
          <w:sz w:val="16"/>
          <w:szCs w:val="16"/>
        </w:rPr>
        <w:t xml:space="preserve"> — 19 мая 1937 г. Выявленные недостатки устранялись лабораторной доработкой скафандров, вплоть до версии «Ч-7» (1940).</w:t>
      </w:r>
    </w:p>
    <w:p w14:paraId="29A76EC5" w14:textId="77777777" w:rsidR="0078004B" w:rsidRPr="007122AB" w:rsidRDefault="0078004B" w:rsidP="007122AB">
      <w:pPr>
        <w:pStyle w:val="txt1"/>
        <w:shd w:val="clear" w:color="auto" w:fill="FFFFFF"/>
        <w:spacing w:before="0" w:beforeAutospacing="0" w:after="0" w:afterAutospacing="0" w:line="240" w:lineRule="auto"/>
        <w:ind w:firstLine="0"/>
        <w:rPr>
          <w:color w:val="000000" w:themeColor="text1"/>
          <w:sz w:val="16"/>
          <w:szCs w:val="16"/>
        </w:rPr>
      </w:pPr>
      <w:r w:rsidRPr="007122AB">
        <w:rPr>
          <w:color w:val="000000" w:themeColor="text1"/>
          <w:sz w:val="16"/>
          <w:szCs w:val="16"/>
        </w:rPr>
        <w:t xml:space="preserve">американскому летчику — Марку </w:t>
      </w:r>
      <w:proofErr w:type="spellStart"/>
      <w:r w:rsidRPr="007122AB">
        <w:rPr>
          <w:color w:val="000000" w:themeColor="text1"/>
          <w:sz w:val="16"/>
          <w:szCs w:val="16"/>
        </w:rPr>
        <w:t>Риджу</w:t>
      </w:r>
      <w:proofErr w:type="spellEnd"/>
      <w:r w:rsidRPr="007122AB">
        <w:rPr>
          <w:color w:val="000000" w:themeColor="text1"/>
          <w:sz w:val="16"/>
          <w:szCs w:val="16"/>
        </w:rPr>
        <w:t xml:space="preserve"> совместно с английским физиологом Джоном </w:t>
      </w:r>
      <w:proofErr w:type="spellStart"/>
      <w:r w:rsidRPr="007122AB">
        <w:rPr>
          <w:color w:val="000000" w:themeColor="text1"/>
          <w:sz w:val="16"/>
          <w:szCs w:val="16"/>
        </w:rPr>
        <w:t>Холдэном</w:t>
      </w:r>
      <w:proofErr w:type="spellEnd"/>
      <w:r w:rsidRPr="007122AB">
        <w:rPr>
          <w:color w:val="000000" w:themeColor="text1"/>
          <w:sz w:val="16"/>
          <w:szCs w:val="16"/>
        </w:rPr>
        <w:t xml:space="preserve"> удалось первыми испытать такой костюм в барокамере на высоте </w:t>
      </w:r>
      <w:r w:rsidRPr="007122AB">
        <w:rPr>
          <w:color w:val="000000" w:themeColor="text1"/>
          <w:sz w:val="16"/>
          <w:szCs w:val="16"/>
        </w:rPr>
        <w:sym w:font="Symbol" w:char="F07E"/>
      </w:r>
      <w:r w:rsidRPr="007122AB">
        <w:rPr>
          <w:color w:val="000000" w:themeColor="text1"/>
          <w:sz w:val="16"/>
          <w:szCs w:val="16"/>
        </w:rPr>
        <w:t xml:space="preserve"> 25 км в 1934 г., а американский летчик — Вилли Пост первым применил высотный скафандр в полете на самолете на высоте 14 км  (12721).</w:t>
      </w:r>
    </w:p>
    <w:p w14:paraId="1751369D" w14:textId="77777777" w:rsidR="0078004B" w:rsidRPr="007122AB" w:rsidRDefault="0078004B" w:rsidP="007122AB">
      <w:pPr>
        <w:pStyle w:val="txt1"/>
        <w:shd w:val="clear" w:color="auto" w:fill="FFFFFF"/>
        <w:spacing w:before="0" w:beforeAutospacing="0" w:after="0" w:afterAutospacing="0" w:line="240" w:lineRule="auto"/>
        <w:ind w:firstLine="0"/>
        <w:rPr>
          <w:color w:val="000000" w:themeColor="text1"/>
          <w:sz w:val="16"/>
          <w:szCs w:val="16"/>
        </w:rPr>
      </w:pPr>
    </w:p>
    <w:p w14:paraId="21A8EBFF"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девяти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Н. Л. Соболь, избранный председателем ЦК союза авиапромышленности (15496).</w:t>
      </w:r>
    </w:p>
    <w:p w14:paraId="687249A3" w14:textId="77777777" w:rsidR="00360440" w:rsidRPr="007122AB" w:rsidRDefault="00360440" w:rsidP="007122AB">
      <w:pPr>
        <w:spacing w:after="0" w:line="240" w:lineRule="auto"/>
        <w:jc w:val="both"/>
        <w:rPr>
          <w:rFonts w:ascii="Times New Roman" w:hAnsi="Times New Roman"/>
          <w:color w:val="000000" w:themeColor="text1"/>
          <w:sz w:val="16"/>
          <w:szCs w:val="16"/>
        </w:rPr>
      </w:pPr>
    </w:p>
    <w:p w14:paraId="57D69206" w14:textId="77777777" w:rsidR="00CC65A3" w:rsidRPr="007122AB" w:rsidRDefault="00CC65A3" w:rsidP="007122AB">
      <w:pPr>
        <w:spacing w:after="0" w:line="240" w:lineRule="auto"/>
        <w:jc w:val="both"/>
        <w:rPr>
          <w:rFonts w:ascii="Times New Roman" w:hAnsi="Times New Roman"/>
          <w:color w:val="000000" w:themeColor="text1"/>
          <w:sz w:val="16"/>
          <w:szCs w:val="16"/>
          <w:shd w:val="clear" w:color="auto" w:fill="FFFFFF"/>
        </w:rPr>
      </w:pPr>
      <w:r w:rsidRPr="007122AB">
        <w:rPr>
          <w:rFonts w:ascii="Times New Roman" w:hAnsi="Times New Roman"/>
          <w:color w:val="000000" w:themeColor="text1"/>
          <w:sz w:val="16"/>
          <w:szCs w:val="16"/>
          <w:shd w:val="clear" w:color="auto" w:fill="FFFFFF"/>
        </w:rPr>
        <w:t xml:space="preserve">В 1931 конкурентная Гроховскому группа </w:t>
      </w:r>
      <w:proofErr w:type="spellStart"/>
      <w:r w:rsidRPr="007122AB">
        <w:rPr>
          <w:rFonts w:ascii="Times New Roman" w:hAnsi="Times New Roman"/>
          <w:color w:val="000000" w:themeColor="text1"/>
          <w:sz w:val="16"/>
          <w:szCs w:val="16"/>
          <w:shd w:val="clear" w:color="auto" w:fill="FFFFFF"/>
        </w:rPr>
        <w:t>Н.Благина</w:t>
      </w:r>
      <w:proofErr w:type="spellEnd"/>
      <w:r w:rsidRPr="007122AB">
        <w:rPr>
          <w:rFonts w:ascii="Times New Roman" w:hAnsi="Times New Roman"/>
          <w:color w:val="000000" w:themeColor="text1"/>
          <w:sz w:val="16"/>
          <w:szCs w:val="16"/>
          <w:shd w:val="clear" w:color="auto" w:fill="FFFFFF"/>
        </w:rPr>
        <w:t xml:space="preserve"> (того, который врезался в АНТ-20) также в НИИ ВВС подготовила "грузовоз" (грузовой парашют) типа ЗА, имевший большую грузоподъемность. Он комплектовался более емким контейнером ("упаковочным цилиндром"). Общий вес с грузом составлял 83 кг. В него входило семь 76-мм снарядов или шесть пулеметов ДП. В двух упаковках сбрасывалась разобранная динамо-реактивная пушка. Самолет Р-1 мог нести два контейнера, Р-5 - четыре. Парашюты </w:t>
      </w:r>
      <w:proofErr w:type="spellStart"/>
      <w:r w:rsidRPr="007122AB">
        <w:rPr>
          <w:rFonts w:ascii="Times New Roman" w:hAnsi="Times New Roman"/>
          <w:color w:val="000000" w:themeColor="text1"/>
          <w:sz w:val="16"/>
          <w:szCs w:val="16"/>
          <w:shd w:val="clear" w:color="auto" w:fill="FFFFFF"/>
        </w:rPr>
        <w:t>Благина</w:t>
      </w:r>
      <w:proofErr w:type="spellEnd"/>
      <w:r w:rsidRPr="007122AB">
        <w:rPr>
          <w:rFonts w:ascii="Times New Roman" w:hAnsi="Times New Roman"/>
          <w:color w:val="000000" w:themeColor="text1"/>
          <w:sz w:val="16"/>
          <w:szCs w:val="16"/>
          <w:shd w:val="clear" w:color="auto" w:fill="FFFFFF"/>
        </w:rPr>
        <w:t xml:space="preserve"> также начали выпускать небольшой серией (21509).</w:t>
      </w:r>
    </w:p>
    <w:p w14:paraId="5DACE25E" w14:textId="77777777" w:rsidR="00CC65A3" w:rsidRPr="007122AB" w:rsidRDefault="00CC65A3" w:rsidP="007122AB">
      <w:pPr>
        <w:spacing w:after="0" w:line="240" w:lineRule="auto"/>
        <w:jc w:val="both"/>
        <w:rPr>
          <w:rFonts w:ascii="Times New Roman" w:hAnsi="Times New Roman"/>
          <w:color w:val="000000" w:themeColor="text1"/>
          <w:sz w:val="16"/>
          <w:szCs w:val="16"/>
          <w:shd w:val="clear" w:color="auto" w:fill="FFFFFF"/>
        </w:rPr>
      </w:pPr>
    </w:p>
    <w:p w14:paraId="1661E79A" w14:textId="77777777" w:rsidR="00CC65A3" w:rsidRPr="007122AB" w:rsidRDefault="00CC65A3"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lastRenderedPageBreak/>
        <w:t>В 1931 году на Централь</w:t>
      </w:r>
      <w:r w:rsidRPr="007122AB">
        <w:rPr>
          <w:rFonts w:ascii="Times New Roman" w:hAnsi="Times New Roman"/>
          <w:color w:val="000000" w:themeColor="text1"/>
          <w:sz w:val="16"/>
          <w:szCs w:val="16"/>
          <w:lang w:eastAsia="ru-RU" w:bidi="ru-RU"/>
        </w:rPr>
        <w:softHyphen/>
        <w:t>ном аэродроме Москвы построили здание главного аэро</w:t>
      </w:r>
      <w:r w:rsidRPr="007122AB">
        <w:rPr>
          <w:rFonts w:ascii="Times New Roman" w:hAnsi="Times New Roman"/>
          <w:color w:val="000000" w:themeColor="text1"/>
          <w:sz w:val="16"/>
          <w:szCs w:val="16"/>
          <w:lang w:eastAsia="ru-RU" w:bidi="ru-RU"/>
        </w:rPr>
        <w:softHyphen/>
        <w:t>вокзала — тогда одного из крупнейших в мире. А в 1932 го</w:t>
      </w:r>
      <w:r w:rsidRPr="007122AB">
        <w:rPr>
          <w:rFonts w:ascii="Times New Roman" w:hAnsi="Times New Roman"/>
          <w:color w:val="000000" w:themeColor="text1"/>
          <w:sz w:val="16"/>
          <w:szCs w:val="16"/>
          <w:lang w:eastAsia="ru-RU" w:bidi="ru-RU"/>
        </w:rPr>
        <w:softHyphen/>
        <w:t>ду, как бы подчеркивая возрастающую серьезность решаемых задач, Всесоюзное объединение ГВФ стало называться Главным Управлением Гражданского воздуш</w:t>
      </w:r>
      <w:r w:rsidRPr="007122AB">
        <w:rPr>
          <w:rFonts w:ascii="Times New Roman" w:hAnsi="Times New Roman"/>
          <w:color w:val="000000" w:themeColor="text1"/>
          <w:sz w:val="16"/>
          <w:szCs w:val="16"/>
          <w:lang w:eastAsia="ru-RU" w:bidi="ru-RU"/>
        </w:rPr>
        <w:softHyphen/>
        <w:t>ного флота (ГУ ГВФ) (20365).</w:t>
      </w:r>
    </w:p>
    <w:p w14:paraId="44FEAAB4" w14:textId="77777777" w:rsidR="00CC65A3" w:rsidRPr="007122AB" w:rsidRDefault="00CC65A3" w:rsidP="007122AB">
      <w:pPr>
        <w:spacing w:after="0" w:line="240" w:lineRule="auto"/>
        <w:jc w:val="both"/>
        <w:rPr>
          <w:rFonts w:ascii="Times New Roman" w:hAnsi="Times New Roman"/>
          <w:color w:val="000000" w:themeColor="text1"/>
          <w:sz w:val="16"/>
          <w:szCs w:val="16"/>
          <w:lang w:eastAsia="ru-RU" w:bidi="ru-RU"/>
        </w:rPr>
      </w:pPr>
    </w:p>
    <w:p w14:paraId="29AC50D3" w14:textId="77777777" w:rsidR="007065FB" w:rsidRDefault="007065FB" w:rsidP="007065FB">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1931 г. участились прилеты иностранных самолетов. Огромная территория СССР стала притязательной для многих иностранных туристов, спортсменов и рекордсменов. Гостеприимство советских людей и образцовое обслуживание иностранцев также способствовала этой тяге. В течение года прилетело 5 французских, 3</w:t>
      </w:r>
      <w:r w:rsidRPr="009F5089">
        <w:rPr>
          <w:rFonts w:ascii="Times New Roman" w:hAnsi="Times New Roman"/>
          <w:color w:val="0070C0"/>
          <w:sz w:val="16"/>
          <w:szCs w:val="16"/>
        </w:rPr>
        <w:t xml:space="preserve"> английских,</w:t>
      </w:r>
      <w:r>
        <w:rPr>
          <w:rFonts w:ascii="Times New Roman" w:hAnsi="Times New Roman"/>
          <w:color w:val="0070C0"/>
          <w:sz w:val="16"/>
          <w:szCs w:val="16"/>
        </w:rPr>
        <w:t xml:space="preserve"> </w:t>
      </w:r>
      <w:r w:rsidRPr="009F5089">
        <w:rPr>
          <w:rFonts w:ascii="Times New Roman" w:hAnsi="Times New Roman"/>
          <w:color w:val="0070C0"/>
          <w:sz w:val="16"/>
          <w:szCs w:val="16"/>
        </w:rPr>
        <w:t>3 американских,</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один японский </w:t>
      </w:r>
      <w:r>
        <w:rPr>
          <w:rFonts w:ascii="Times New Roman" w:hAnsi="Times New Roman"/>
          <w:color w:val="0070C0"/>
          <w:sz w:val="16"/>
          <w:szCs w:val="16"/>
        </w:rPr>
        <w:t>и</w:t>
      </w:r>
      <w:r w:rsidRPr="009F5089">
        <w:rPr>
          <w:rFonts w:ascii="Times New Roman" w:hAnsi="Times New Roman"/>
          <w:color w:val="0070C0"/>
          <w:sz w:val="16"/>
          <w:szCs w:val="16"/>
        </w:rPr>
        <w:t xml:space="preserve"> одни немецкий</w:t>
      </w:r>
      <w:r>
        <w:rPr>
          <w:rFonts w:ascii="Times New Roman" w:hAnsi="Times New Roman"/>
          <w:color w:val="0070C0"/>
          <w:sz w:val="16"/>
          <w:szCs w:val="16"/>
        </w:rPr>
        <w:t xml:space="preserve"> самолет (23370).</w:t>
      </w:r>
    </w:p>
    <w:p w14:paraId="52A5832C" w14:textId="77777777" w:rsidR="007065FB" w:rsidRDefault="007065FB" w:rsidP="007065FB">
      <w:pPr>
        <w:spacing w:after="0" w:line="240" w:lineRule="auto"/>
        <w:jc w:val="both"/>
        <w:rPr>
          <w:rFonts w:ascii="Times New Roman" w:hAnsi="Times New Roman"/>
          <w:color w:val="0070C0"/>
          <w:sz w:val="16"/>
          <w:szCs w:val="16"/>
        </w:rPr>
      </w:pPr>
    </w:p>
    <w:p w14:paraId="7FD12BEC"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1931 г. </w:t>
      </w:r>
      <w:proofErr w:type="spellStart"/>
      <w:r w:rsidRPr="00441F34">
        <w:rPr>
          <w:rFonts w:ascii="Times New Roman" w:hAnsi="Times New Roman"/>
          <w:color w:val="0070C0"/>
          <w:sz w:val="16"/>
          <w:szCs w:val="16"/>
        </w:rPr>
        <w:t>МосГИРД</w:t>
      </w:r>
      <w:proofErr w:type="spellEnd"/>
      <w:r w:rsidRPr="00441F34">
        <w:rPr>
          <w:rFonts w:ascii="Times New Roman" w:hAnsi="Times New Roman"/>
          <w:color w:val="0070C0"/>
          <w:sz w:val="16"/>
          <w:szCs w:val="16"/>
        </w:rPr>
        <w:t xml:space="preserve"> стала инициатором всесоюзной кампании по сбору пожертвований «На штурм стратосферы» (кстати, имен</w:t>
      </w:r>
      <w:r w:rsidRPr="00441F34">
        <w:rPr>
          <w:rFonts w:ascii="Times New Roman" w:hAnsi="Times New Roman"/>
          <w:color w:val="0070C0"/>
          <w:sz w:val="16"/>
          <w:szCs w:val="16"/>
        </w:rPr>
        <w:softHyphen/>
        <w:t>но с этим «штурмом» связана идея высотного ракетоплана Коро</w:t>
      </w:r>
      <w:r w:rsidRPr="00441F34">
        <w:rPr>
          <w:rFonts w:ascii="Times New Roman" w:hAnsi="Times New Roman"/>
          <w:color w:val="0070C0"/>
          <w:sz w:val="16"/>
          <w:szCs w:val="16"/>
        </w:rPr>
        <w:softHyphen/>
        <w:t xml:space="preserve">лева). Её продолжили стратосферные комитеты </w:t>
      </w:r>
      <w:proofErr w:type="spellStart"/>
      <w:r w:rsidRPr="00441F34">
        <w:rPr>
          <w:rFonts w:ascii="Times New Roman" w:hAnsi="Times New Roman"/>
          <w:color w:val="0070C0"/>
          <w:sz w:val="16"/>
          <w:szCs w:val="16"/>
        </w:rPr>
        <w:t>ОСОВИАХИМа</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АвиаВНИТО</w:t>
      </w:r>
      <w:proofErr w:type="spellEnd"/>
      <w:r w:rsidRPr="00441F34">
        <w:rPr>
          <w:rFonts w:ascii="Times New Roman" w:hAnsi="Times New Roman"/>
          <w:color w:val="0070C0"/>
          <w:sz w:val="16"/>
          <w:szCs w:val="16"/>
        </w:rPr>
        <w:t>.</w:t>
      </w:r>
    </w:p>
    <w:p w14:paraId="168EFBAA"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Руководство </w:t>
      </w:r>
      <w:proofErr w:type="spellStart"/>
      <w:r w:rsidRPr="00441F34">
        <w:rPr>
          <w:rFonts w:ascii="Times New Roman" w:hAnsi="Times New Roman"/>
          <w:color w:val="0070C0"/>
          <w:sz w:val="16"/>
          <w:szCs w:val="16"/>
        </w:rPr>
        <w:t>АвиаВНИТО</w:t>
      </w:r>
      <w:proofErr w:type="spellEnd"/>
      <w:r w:rsidRPr="00441F34">
        <w:rPr>
          <w:rFonts w:ascii="Times New Roman" w:hAnsi="Times New Roman"/>
          <w:color w:val="0070C0"/>
          <w:sz w:val="16"/>
          <w:szCs w:val="16"/>
        </w:rPr>
        <w:t xml:space="preserve"> в 1935 г. выделило из собранных средств 5 тысяч рублей на постройку стратосферной ракеты </w:t>
      </w:r>
      <w:proofErr w:type="spellStart"/>
      <w:r w:rsidRPr="00441F34">
        <w:rPr>
          <w:rFonts w:ascii="Times New Roman" w:hAnsi="Times New Roman"/>
          <w:color w:val="0070C0"/>
          <w:sz w:val="16"/>
          <w:szCs w:val="16"/>
        </w:rPr>
        <w:t>АвиаВНИТО</w:t>
      </w:r>
      <w:proofErr w:type="spellEnd"/>
      <w:r w:rsidRPr="00441F34">
        <w:rPr>
          <w:rFonts w:ascii="Times New Roman" w:hAnsi="Times New Roman"/>
          <w:color w:val="0070C0"/>
          <w:sz w:val="16"/>
          <w:szCs w:val="16"/>
        </w:rPr>
        <w:t>, проект которой предложила группа инженеров РНИИ во главе с М. К. Тихомировым. Они занимались этой ра</w:t>
      </w:r>
      <w:r w:rsidRPr="00441F34">
        <w:rPr>
          <w:rFonts w:ascii="Times New Roman" w:hAnsi="Times New Roman"/>
          <w:color w:val="0070C0"/>
          <w:sz w:val="16"/>
          <w:szCs w:val="16"/>
        </w:rPr>
        <w:softHyphen/>
        <w:t>кетой в свободное время, бесплатно.</w:t>
      </w:r>
    </w:p>
    <w:p w14:paraId="06597736"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Выделенные деньги пошли на приобретение материалов, топ</w:t>
      </w:r>
      <w:r w:rsidRPr="00441F34">
        <w:rPr>
          <w:rFonts w:ascii="Times New Roman" w:hAnsi="Times New Roman"/>
          <w:color w:val="0070C0"/>
          <w:sz w:val="16"/>
          <w:szCs w:val="16"/>
        </w:rPr>
        <w:softHyphen/>
        <w:t>лива, оплату транспорта и т. д. Естественно, работы растянулись надолго.</w:t>
      </w:r>
    </w:p>
    <w:p w14:paraId="313F0CEA" w14:textId="77777777" w:rsidR="00593807" w:rsidRPr="00441F34" w:rsidRDefault="00593807" w:rsidP="00593807">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Тихмиров</w:t>
      </w:r>
      <w:proofErr w:type="spellEnd"/>
      <w:r w:rsidRPr="00441F34">
        <w:rPr>
          <w:rFonts w:ascii="Times New Roman" w:hAnsi="Times New Roman"/>
          <w:color w:val="0070C0"/>
          <w:sz w:val="16"/>
          <w:szCs w:val="16"/>
        </w:rPr>
        <w:t xml:space="preserve"> взял корпус своей ракеты ГИРД-05, построенной в 1933 г. под двигатель Глушко ОРМ-50 (который оказался непри</w:t>
      </w:r>
      <w:r w:rsidRPr="00441F34">
        <w:rPr>
          <w:rFonts w:ascii="Times New Roman" w:hAnsi="Times New Roman"/>
          <w:color w:val="0070C0"/>
          <w:sz w:val="16"/>
          <w:szCs w:val="16"/>
        </w:rPr>
        <w:softHyphen/>
        <w:t>годным), и поставил в него двигатель 12К конструкции Душки</w:t>
      </w:r>
      <w:r w:rsidRPr="00441F34">
        <w:rPr>
          <w:rFonts w:ascii="Times New Roman" w:hAnsi="Times New Roman"/>
          <w:color w:val="0070C0"/>
          <w:sz w:val="16"/>
          <w:szCs w:val="16"/>
        </w:rPr>
        <w:softHyphen/>
        <w:t>на. Этот двигатель, использовавший жидкий кислород и этило</w:t>
      </w:r>
      <w:r w:rsidRPr="00441F34">
        <w:rPr>
          <w:rFonts w:ascii="Times New Roman" w:hAnsi="Times New Roman"/>
          <w:color w:val="0070C0"/>
          <w:sz w:val="16"/>
          <w:szCs w:val="16"/>
        </w:rPr>
        <w:softHyphen/>
        <w:t>вый спирт, работал 60 секунд. Вместо прежних стабилизаторов ракеты 05 установили другие — от построенной в 1934 г. (но не использованной из-за отсутствия двигателя) ракеты конструкции Владимира Зуева.</w:t>
      </w:r>
    </w:p>
    <w:p w14:paraId="5ADF2C9F"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итоге появилась ракета стартовым ве</w:t>
      </w:r>
      <w:r w:rsidRPr="00441F34">
        <w:rPr>
          <w:rFonts w:ascii="Times New Roman" w:hAnsi="Times New Roman"/>
          <w:color w:val="0070C0"/>
          <w:sz w:val="16"/>
          <w:szCs w:val="16"/>
        </w:rPr>
        <w:softHyphen/>
        <w:t>сом 100 кг (из них дви</w:t>
      </w:r>
      <w:r w:rsidRPr="00441F34">
        <w:rPr>
          <w:rFonts w:ascii="Times New Roman" w:hAnsi="Times New Roman"/>
          <w:color w:val="0070C0"/>
          <w:sz w:val="16"/>
          <w:szCs w:val="16"/>
        </w:rPr>
        <w:softHyphen/>
        <w:t>гатель 15 кг, топливо и окислитель 32 кг, парашют 8 кг), с тягой двигателя до 207 кг/сек. По расчетам, она долж</w:t>
      </w:r>
      <w:r w:rsidRPr="00441F34">
        <w:rPr>
          <w:rFonts w:ascii="Times New Roman" w:hAnsi="Times New Roman"/>
          <w:color w:val="0070C0"/>
          <w:sz w:val="16"/>
          <w:szCs w:val="16"/>
        </w:rPr>
        <w:softHyphen/>
        <w:t>на была достичь вы</w:t>
      </w:r>
      <w:r w:rsidRPr="00441F34">
        <w:rPr>
          <w:rFonts w:ascii="Times New Roman" w:hAnsi="Times New Roman"/>
          <w:color w:val="0070C0"/>
          <w:sz w:val="16"/>
          <w:szCs w:val="16"/>
        </w:rPr>
        <w:softHyphen/>
        <w:t>соты 3800 м. Правда, стратосфера начинает</w:t>
      </w:r>
      <w:r w:rsidRPr="00441F34">
        <w:rPr>
          <w:rFonts w:ascii="Times New Roman" w:hAnsi="Times New Roman"/>
          <w:color w:val="0070C0"/>
          <w:sz w:val="16"/>
          <w:szCs w:val="16"/>
        </w:rPr>
        <w:softHyphen/>
        <w:t>ся с высоты 8000 м, но на большее этот гиб</w:t>
      </w:r>
      <w:r w:rsidRPr="00441F34">
        <w:rPr>
          <w:rFonts w:ascii="Times New Roman" w:hAnsi="Times New Roman"/>
          <w:color w:val="0070C0"/>
          <w:sz w:val="16"/>
          <w:szCs w:val="16"/>
        </w:rPr>
        <w:softHyphen/>
        <w:t>рид не был способен в принципе.</w:t>
      </w:r>
    </w:p>
    <w:p w14:paraId="3EBFB1C5"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Первый пуск со</w:t>
      </w:r>
      <w:r w:rsidRPr="00441F34">
        <w:rPr>
          <w:rFonts w:ascii="Times New Roman" w:hAnsi="Times New Roman"/>
          <w:color w:val="0070C0"/>
          <w:sz w:val="16"/>
          <w:szCs w:val="16"/>
        </w:rPr>
        <w:softHyphen/>
        <w:t>стоялся в апреле 1936 г. на полигоне в Наха</w:t>
      </w:r>
      <w:r w:rsidRPr="00441F34">
        <w:rPr>
          <w:rFonts w:ascii="Times New Roman" w:hAnsi="Times New Roman"/>
          <w:color w:val="0070C0"/>
          <w:sz w:val="16"/>
          <w:szCs w:val="16"/>
        </w:rPr>
        <w:softHyphen/>
        <w:t xml:space="preserve">бино. Газета «Правда» напечатала очерк своего корреспондента Л. </w:t>
      </w:r>
      <w:proofErr w:type="spellStart"/>
      <w:r w:rsidRPr="00441F34">
        <w:rPr>
          <w:rFonts w:ascii="Times New Roman" w:hAnsi="Times New Roman"/>
          <w:color w:val="0070C0"/>
          <w:sz w:val="16"/>
          <w:szCs w:val="16"/>
        </w:rPr>
        <w:t>Бронтмана</w:t>
      </w:r>
      <w:proofErr w:type="spellEnd"/>
      <w:r w:rsidRPr="00441F34">
        <w:rPr>
          <w:rFonts w:ascii="Times New Roman" w:hAnsi="Times New Roman"/>
          <w:color w:val="0070C0"/>
          <w:sz w:val="16"/>
          <w:szCs w:val="16"/>
        </w:rPr>
        <w:t xml:space="preserve"> «Ракета идет в воздух» с фотографией ракеты в станке.</w:t>
      </w:r>
    </w:p>
    <w:p w14:paraId="5B139C85"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Вот фрагмент очерка:</w:t>
      </w:r>
    </w:p>
    <w:p w14:paraId="1A687EDF"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Механик включил рубильник электрического запала. Се</w:t>
      </w:r>
      <w:r w:rsidRPr="00441F34">
        <w:rPr>
          <w:rFonts w:ascii="Times New Roman" w:hAnsi="Times New Roman"/>
          <w:color w:val="0070C0"/>
          <w:sz w:val="16"/>
          <w:szCs w:val="16"/>
        </w:rPr>
        <w:softHyphen/>
        <w:t>рый дымок испаряющегося топлива. Искра. И вдруг у подножия ракеты показался ослепительно желтый язык пламени. Ракета медленно пошла вверх по направляющим штангам станка, вы</w:t>
      </w:r>
      <w:r w:rsidRPr="00441F34">
        <w:rPr>
          <w:rFonts w:ascii="Times New Roman" w:hAnsi="Times New Roman"/>
          <w:color w:val="0070C0"/>
          <w:sz w:val="16"/>
          <w:szCs w:val="16"/>
        </w:rPr>
        <w:softHyphen/>
        <w:t>скользнула из его стальных объятий и устремилась ввысь. По</w:t>
      </w:r>
      <w:r w:rsidRPr="00441F34">
        <w:rPr>
          <w:rFonts w:ascii="Times New Roman" w:hAnsi="Times New Roman"/>
          <w:color w:val="0070C0"/>
          <w:sz w:val="16"/>
          <w:szCs w:val="16"/>
        </w:rPr>
        <w:softHyphen/>
        <w:t>лет представлял необычайно эффектное и красивое зрелище. Из сопла мотора вылетало пламя, истечение газов сопровождалось густым низким звуком. После подъема на небольшую высоту в ракете раскрылся белый купол парашюта, и она плавно опу</w:t>
      </w:r>
      <w:r w:rsidRPr="00441F34">
        <w:rPr>
          <w:rFonts w:ascii="Times New Roman" w:hAnsi="Times New Roman"/>
          <w:color w:val="0070C0"/>
          <w:sz w:val="16"/>
          <w:szCs w:val="16"/>
        </w:rPr>
        <w:softHyphen/>
        <w:t>стилась на снежное поле.</w:t>
      </w:r>
    </w:p>
    <w:p w14:paraId="35D801B6"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Для последующих пусков вместо станка использовали дере</w:t>
      </w:r>
      <w:r w:rsidRPr="00441F34">
        <w:rPr>
          <w:rFonts w:ascii="Times New Roman" w:hAnsi="Times New Roman"/>
          <w:color w:val="0070C0"/>
          <w:sz w:val="16"/>
          <w:szCs w:val="16"/>
        </w:rPr>
        <w:softHyphen/>
        <w:t>вянную мачту высотой 48 м (вариант радиомачты) с направляю</w:t>
      </w:r>
      <w:r w:rsidRPr="00441F34">
        <w:rPr>
          <w:rFonts w:ascii="Times New Roman" w:hAnsi="Times New Roman"/>
          <w:color w:val="0070C0"/>
          <w:sz w:val="16"/>
          <w:szCs w:val="16"/>
        </w:rPr>
        <w:softHyphen/>
        <w:t>щей планкой (рельсом от узкоколейки), которую охватывали дер</w:t>
      </w:r>
      <w:r w:rsidRPr="00441F34">
        <w:rPr>
          <w:rFonts w:ascii="Times New Roman" w:hAnsi="Times New Roman"/>
          <w:color w:val="0070C0"/>
          <w:sz w:val="16"/>
          <w:szCs w:val="16"/>
        </w:rPr>
        <w:softHyphen/>
        <w:t>жатели — лапки ракеты.</w:t>
      </w:r>
    </w:p>
    <w:p w14:paraId="3AC66EA5"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Попытка 2 августа 1937 г. не удалась из-за отказа манометра давления в баках.</w:t>
      </w:r>
    </w:p>
    <w:p w14:paraId="698F8D60" w14:textId="77777777" w:rsidR="00593807" w:rsidRPr="00441F34" w:rsidRDefault="00593807" w:rsidP="0059380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Пуск 15 августа 1937 г. прошел успешно, ракета скрылась из поля зрения. На максимальной высоте подъема ракеты парашют раскрылся, но его крепление оборвалось, ракета упала и разби</w:t>
      </w:r>
      <w:r w:rsidRPr="00441F34">
        <w:rPr>
          <w:rFonts w:ascii="Times New Roman" w:hAnsi="Times New Roman"/>
          <w:color w:val="0070C0"/>
          <w:sz w:val="16"/>
          <w:szCs w:val="16"/>
        </w:rPr>
        <w:softHyphen/>
        <w:t>лась. Прибор записи высоты нашли, он показал высоту 2400 м. До проектной высоты не хватило 37 % (23550).</w:t>
      </w:r>
    </w:p>
    <w:p w14:paraId="432F891F" w14:textId="77777777" w:rsidR="00593807" w:rsidRPr="00441F34" w:rsidRDefault="00593807" w:rsidP="00593807">
      <w:pPr>
        <w:spacing w:after="0" w:line="240" w:lineRule="auto"/>
        <w:jc w:val="both"/>
        <w:rPr>
          <w:rFonts w:ascii="Times New Roman" w:hAnsi="Times New Roman"/>
          <w:color w:val="0070C0"/>
          <w:sz w:val="16"/>
          <w:szCs w:val="16"/>
        </w:rPr>
      </w:pPr>
    </w:p>
    <w:p w14:paraId="037FCE4E"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591A42E0"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5F848296" w14:textId="77777777" w:rsidR="00ED7AAA" w:rsidRPr="007122AB" w:rsidRDefault="00ED7AAA" w:rsidP="007122AB">
      <w:pPr>
        <w:pStyle w:val="ae"/>
        <w:shd w:val="clear" w:color="auto" w:fill="FFFFFF"/>
        <w:spacing w:before="0" w:after="0"/>
        <w:jc w:val="both"/>
        <w:rPr>
          <w:color w:val="000000" w:themeColor="text1"/>
          <w:sz w:val="16"/>
          <w:szCs w:val="16"/>
        </w:rPr>
      </w:pPr>
      <w:r w:rsidRPr="007122AB">
        <w:rPr>
          <w:color w:val="000000" w:themeColor="text1"/>
          <w:sz w:val="16"/>
          <w:szCs w:val="16"/>
        </w:rPr>
        <w:t>В 1931 г. был организован Снарядный трест, в который вошли снарядные заводы 62 (Ярославль), 63 (Нижний Тагил), 65 (Таганрог), 67 (Москва), 68 (Невьянск), 71 (Касли), 72 (Верхняя Тура), 76 (</w:t>
      </w:r>
      <w:proofErr w:type="spellStart"/>
      <w:r w:rsidRPr="007122AB">
        <w:rPr>
          <w:color w:val="000000" w:themeColor="text1"/>
          <w:sz w:val="16"/>
          <w:szCs w:val="16"/>
        </w:rPr>
        <w:t>Надеждинск</w:t>
      </w:r>
      <w:proofErr w:type="spellEnd"/>
      <w:r w:rsidRPr="007122AB">
        <w:rPr>
          <w:color w:val="000000" w:themeColor="text1"/>
          <w:sz w:val="16"/>
          <w:szCs w:val="16"/>
        </w:rPr>
        <w:t>), 77 (Ленинград), 79 (Днепропетровск), 81 (Челябинск) и др. В годы второй пятилетки строятся снарядные заводы 61 (Липецк), 73 (Сталино), 78 (Челябинск) и др. Накануне Великой Отечественной войны были введены в действие снарядные заводы 56 (Нижний Тагил), 113 (Сельцо-Брянское Орловской обл.), 114 (Копейск), 144 (Сталино), 259 (Златоуст). На Урале вступает в строй артиллерийский полигон, где испытывается новая техника и боеприпасы к ней (19154).</w:t>
      </w:r>
    </w:p>
    <w:p w14:paraId="79928DF4" w14:textId="77777777" w:rsidR="00ED7AAA" w:rsidRPr="007122AB" w:rsidRDefault="00ED7AAA" w:rsidP="007122AB">
      <w:pPr>
        <w:pStyle w:val="ae"/>
        <w:shd w:val="clear" w:color="auto" w:fill="FFFFFF"/>
        <w:spacing w:before="0" w:after="0"/>
        <w:jc w:val="both"/>
        <w:rPr>
          <w:color w:val="000000" w:themeColor="text1"/>
          <w:sz w:val="16"/>
          <w:szCs w:val="16"/>
        </w:rPr>
      </w:pPr>
    </w:p>
    <w:p w14:paraId="065CC534"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в 1931—1935 гг. заводы изготовили свыше 5000 сухопутных, морских и авиационных пушек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то есть от 30 до 50% от числа заказанных. Военпреды приняли от промышленности не более 2000 орудий, и лишь около 1000 попали в войска. Однако и орудия, попавшие на службу, быстро списывались или переводились в категорию учебных (15117).</w:t>
      </w:r>
    </w:p>
    <w:p w14:paraId="3005FD3C" w14:textId="77777777" w:rsidR="00360440" w:rsidRPr="007122AB" w:rsidRDefault="00360440" w:rsidP="007122AB">
      <w:pPr>
        <w:spacing w:after="0" w:line="240" w:lineRule="auto"/>
        <w:jc w:val="both"/>
        <w:rPr>
          <w:rFonts w:ascii="Times New Roman" w:hAnsi="Times New Roman"/>
          <w:color w:val="000000" w:themeColor="text1"/>
          <w:sz w:val="16"/>
          <w:szCs w:val="16"/>
        </w:rPr>
      </w:pPr>
    </w:p>
    <w:p w14:paraId="70D0BA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было образовано СКБ по механическим часовым взрывателям как самостоятельное КБ на базе подразделения ЦКБ-22. Возглавили А.Я. Карпов и Я.А. Савельев. Работали: В.К. Пономарев, И.И. Кейн (оба во время ВОВ- в ЦКБ-22). Разработка механических (часовых) взрывателей для снарядов зенитной артиллерии и АБ. Взрыватели ГВМЗ-1 и ГВМЗ-7, МП-82 для мин ВМ-16 (11982).</w:t>
      </w:r>
    </w:p>
    <w:p w14:paraId="1280E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A3277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6C2CF5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3C061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один из корпусов завода № 7 был отдан заводу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До осени 1939 г. заводу принадлежало и здание XVII в. по ул. Комсомола, д. 1/3, корпус «а», затем здание передано НИИ-22 НКАП (10776).</w:t>
      </w:r>
    </w:p>
    <w:p w14:paraId="5671531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48C85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для проведения контрольных испытаний боеприпасов создан Павлоградский артиллерийский полигон НКОП. В 1938г. утвержден </w:t>
      </w:r>
      <w:proofErr w:type="spellStart"/>
      <w:r w:rsidRPr="007122AB">
        <w:rPr>
          <w:rFonts w:ascii="Times New Roman" w:hAnsi="Times New Roman"/>
          <w:color w:val="000000" w:themeColor="text1"/>
          <w:sz w:val="16"/>
          <w:szCs w:val="16"/>
        </w:rPr>
        <w:t>техпроект</w:t>
      </w:r>
      <w:proofErr w:type="spellEnd"/>
      <w:r w:rsidRPr="007122AB">
        <w:rPr>
          <w:rFonts w:ascii="Times New Roman" w:hAnsi="Times New Roman"/>
          <w:color w:val="000000" w:themeColor="text1"/>
          <w:sz w:val="16"/>
          <w:szCs w:val="16"/>
        </w:rPr>
        <w:t xml:space="preserve"> полигона, находившегося в ведении Бюро комплектации НКОП (и на 12.1938г.). По приказу НКБ № 332 от 2.09.1940 г. полигон передан в ведение ГУ полигонов НКБ."</w:t>
      </w:r>
    </w:p>
    <w:p w14:paraId="2DF3D0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ГКО № 510 от 18.08.1941 г. полигон эвакуирован в Новосибирск на </w:t>
      </w:r>
      <w:proofErr w:type="spellStart"/>
      <w:r w:rsidRPr="007122AB">
        <w:rPr>
          <w:rFonts w:ascii="Times New Roman" w:hAnsi="Times New Roman"/>
          <w:color w:val="000000" w:themeColor="text1"/>
          <w:sz w:val="16"/>
          <w:szCs w:val="16"/>
        </w:rPr>
        <w:t>Артполигон</w:t>
      </w:r>
      <w:proofErr w:type="spellEnd"/>
      <w:r w:rsidRPr="007122AB">
        <w:rPr>
          <w:rFonts w:ascii="Times New Roman" w:hAnsi="Times New Roman"/>
          <w:color w:val="000000" w:themeColor="text1"/>
          <w:sz w:val="16"/>
          <w:szCs w:val="16"/>
        </w:rPr>
        <w:t>, где частично восстановлен, матчасть частично передана в НКО. Затем полигон восстановлен на прежнем месте.</w:t>
      </w:r>
      <w:r w:rsidRPr="007122AB">
        <w:rPr>
          <w:rFonts w:ascii="Times New Roman" w:hAnsi="Times New Roman"/>
          <w:color w:val="000000" w:themeColor="text1"/>
          <w:sz w:val="16"/>
          <w:szCs w:val="16"/>
          <w:vertAlign w:val="superscript"/>
        </w:rPr>
        <w:t>132</w:t>
      </w:r>
    </w:p>
    <w:p w14:paraId="7D9919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1956г. на базе Павлоградского полигона создано СКБ-10 в ведении 7ГУ ГКОТ для разработки специального противотанкового бронебойного активно-реактивного выстрела. Смежником СКБ по разработке выстрела стал завод № 55 Днепропетровского СНХ.</w:t>
      </w:r>
    </w:p>
    <w:p w14:paraId="7578B9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ГКОТ № 48 от 15.04.1961 г. на базе СКБ-10 образован филиал № 2 ОКБ-586 для разработки РДТТ. В составе филиала организовано два отдела: испытательный № 7 и конструкторский № 10.</w:t>
      </w:r>
    </w:p>
    <w:p w14:paraId="335E703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(11.1943г.)- 200 чел.</w:t>
      </w:r>
    </w:p>
    <w:p w14:paraId="4904F7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(1956-61 г.)- С.Д. </w:t>
      </w:r>
      <w:proofErr w:type="spellStart"/>
      <w:r w:rsidRPr="007122AB">
        <w:rPr>
          <w:rFonts w:ascii="Times New Roman" w:hAnsi="Times New Roman"/>
          <w:color w:val="000000" w:themeColor="text1"/>
          <w:sz w:val="16"/>
          <w:szCs w:val="16"/>
        </w:rPr>
        <w:t>Бадоев</w:t>
      </w:r>
      <w:proofErr w:type="spellEnd"/>
      <w:r w:rsidRPr="007122AB">
        <w:rPr>
          <w:rFonts w:ascii="Times New Roman" w:hAnsi="Times New Roman"/>
          <w:color w:val="000000" w:themeColor="text1"/>
          <w:sz w:val="16"/>
          <w:szCs w:val="16"/>
        </w:rPr>
        <w:t>.</w:t>
      </w:r>
    </w:p>
    <w:p w14:paraId="5EA0886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(1961 г.-)- Б.Е. Андреев.</w:t>
      </w:r>
    </w:p>
    <w:p w14:paraId="4F9E2F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(1961 г.-)- Н.Ф. Куриленко.</w:t>
      </w:r>
    </w:p>
    <w:p w14:paraId="0288E92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 7 (1961 г.-)- П.Ф. Божков; № Ю (1961 г.-)- Н.Д. Модестов.</w:t>
      </w:r>
    </w:p>
    <w:p w14:paraId="59642F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Испытания:</w:t>
      </w:r>
      <w:r w:rsidRPr="007122AB">
        <w:rPr>
          <w:rFonts w:ascii="Times New Roman" w:hAnsi="Times New Roman"/>
          <w:color w:val="000000" w:themeColor="text1"/>
          <w:sz w:val="16"/>
          <w:szCs w:val="16"/>
          <w:lang w:val="en-US"/>
        </w:rPr>
        <w:t>PC</w:t>
      </w:r>
      <w:r w:rsidRPr="007122AB">
        <w:rPr>
          <w:rFonts w:ascii="Times New Roman" w:hAnsi="Times New Roman"/>
          <w:color w:val="000000" w:themeColor="text1"/>
          <w:sz w:val="16"/>
          <w:szCs w:val="16"/>
        </w:rPr>
        <w:t>: ДРСП-1 (7-20.10.1947) (11982).</w:t>
      </w:r>
    </w:p>
    <w:p w14:paraId="738A36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86AB5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дроболитейный завод № 5 переименован в завод № 58 им. Ворошилова и передан в ведение </w:t>
      </w:r>
      <w:proofErr w:type="spellStart"/>
      <w:r w:rsidRPr="007122AB">
        <w:rPr>
          <w:rFonts w:ascii="Times New Roman" w:hAnsi="Times New Roman"/>
          <w:color w:val="000000" w:themeColor="text1"/>
          <w:sz w:val="16"/>
          <w:szCs w:val="16"/>
        </w:rPr>
        <w:t>Патрубвзрыва</w:t>
      </w:r>
      <w:proofErr w:type="spellEnd"/>
      <w:r w:rsidRPr="007122AB">
        <w:rPr>
          <w:rFonts w:ascii="Times New Roman" w:hAnsi="Times New Roman"/>
          <w:color w:val="000000" w:themeColor="text1"/>
          <w:sz w:val="16"/>
          <w:szCs w:val="16"/>
        </w:rPr>
        <w:t xml:space="preserve"> НКТП (Завод № 58 им. Клима Ворошилова НКТИ, НКОП, НКБ, </w:t>
      </w:r>
      <w:r w:rsidRPr="007122AB">
        <w:rPr>
          <w:rFonts w:ascii="Times New Roman" w:hAnsi="Times New Roman"/>
          <w:color w:val="000000" w:themeColor="text1"/>
          <w:sz w:val="16"/>
          <w:szCs w:val="16"/>
          <w:lang w:val="en-US"/>
        </w:rPr>
        <w:t>HKB</w:t>
      </w:r>
      <w:r w:rsidRPr="007122AB">
        <w:rPr>
          <w:rFonts w:ascii="Times New Roman" w:hAnsi="Times New Roman"/>
          <w:color w:val="000000" w:themeColor="text1"/>
          <w:sz w:val="16"/>
          <w:szCs w:val="16"/>
        </w:rPr>
        <w:t>, МСХМ, о/я 551, Завод радиотехнической аппаратуры (ЗРТА) / г. Москва п/я 551 «Дробь» (1943 г.)/ /129626  г. Москва пр. Мира, 102/). До середины 1930-х относился к числу патронных заводов. В 12.1936 г. завод № 58 им. Клима Ворошилова передан из НКТП в ведение НКОП, приказом № 91 от 13.03.1937 г. утвержден Устав ГС завода № 58. По пр. № 0089 от 20.04.1937 г. передан из 4ГУ в новое 12ГУ, по пр. № 00283 от 26.12.1937 г., в связи со специализацией на гранатах, возвращен в 4ГУ. В 02.1939 г. завод № 58 4ГУ НКОП передан в ведение 4ГУ НКБ. В 1940 г. завод реконструирован. Перед войной организованы гальванический, станкостроительный, ремонтный цеха.</w:t>
      </w:r>
    </w:p>
    <w:p w14:paraId="50B7980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НКОП № 0025 от 4.02.1937 г. заводу предписано к 1.01.1938 г. создать мощности по выпуску патронов - 500 млн. шт. в год. По пр. № 00283 от 26.12.1937 г. требовалось монтаж цеха винтовочных гильз прекратить, оборудование передать заводу № 46.</w:t>
      </w:r>
    </w:p>
    <w:p w14:paraId="2E5077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Приказом № 0224 от 28.09.1937 г. заводу была установлена программа по выпуску в 1938 г. 1045 спецмашин, аппаратов и приборов. Приказом № 106с от 25.03.1938 г. заводу предписано изготовить в 1938 г. 2,5 млн. шт. оборонительных чехлов и 300 тыс. шт. корпусов винтовочных гранат. Пр. № 123с от 5/7.04.1938 г. требовалось развернуть на заводе валовое производство гильз к 82-мм миномету М-82 со сдачей во 2-м квартале 200 тыс.</w:t>
      </w:r>
    </w:p>
    <w:p w14:paraId="60156C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СНК № 187сс от 1.12.1937 г. и приказом НКОП № 00283 для разработки гранат с 15.03.1938 г. образовано специализированное КБ по гранатам завода № 58 им. К.Е. Ворошилова, далее - КБ-30. После войны ГСКБ-30 переведено в НИИ-24.</w:t>
      </w:r>
    </w:p>
    <w:p w14:paraId="30F90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06.1939 г. на территории завода действовал опытно-производственный цех КБ-25 НКБ.</w:t>
      </w:r>
    </w:p>
    <w:p w14:paraId="5D7AC5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Мощность завода (перед эвакуацией): мины и сигнальные гильзы 16-, 20- и 26-мм - 90 млн. шт. в год; ПП-3 - 18 млн. шт.; МУВ - 9,6 млн. шт.; РПГ-40 - 1,8 млн. шт.</w:t>
      </w:r>
    </w:p>
    <w:p w14:paraId="4A03E0A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 Постановлению ГКО № 99сс от 11.07.1941 г. часть завода № 58 6ГУ планировалось эвакуировать в  г. Муром, в итоге часть завода была эвакуирована в  г. Киров на площадку завода № 609 НКБ (производство ПП-3, МУВ, РПГ-40 и деталей к РГ-33; всего 422 ед. оборудования, 200 чел.), часть завода (производство гильз 16-, 1 и 26-мм, 161 ед. оборудования, 96 чел.) - на площадку Бумкомбината в  г. Новая Ляля Свердловской обл. </w:t>
      </w:r>
      <w:proofErr w:type="spellStart"/>
      <w:r w:rsidRPr="007122AB">
        <w:rPr>
          <w:rFonts w:ascii="Times New Roman" w:hAnsi="Times New Roman"/>
          <w:color w:val="000000" w:themeColor="text1"/>
          <w:sz w:val="16"/>
          <w:szCs w:val="16"/>
        </w:rPr>
        <w:t>Ча</w:t>
      </w:r>
      <w:proofErr w:type="spellEnd"/>
      <w:r w:rsidRPr="007122AB">
        <w:rPr>
          <w:rFonts w:ascii="Times New Roman" w:hAnsi="Times New Roman"/>
          <w:color w:val="000000" w:themeColor="text1"/>
          <w:sz w:val="16"/>
          <w:szCs w:val="16"/>
        </w:rPr>
        <w:t>&lt; завода продолжила действовать в Москве. В 1942 г. на старом месте возобновлено производство авиабомб</w:t>
      </w:r>
      <w:r w:rsidRPr="007122AB">
        <w:rPr>
          <w:rFonts w:ascii="Times New Roman" w:hAnsi="Times New Roman"/>
          <w:iCs/>
          <w:color w:val="000000" w:themeColor="text1"/>
          <w:sz w:val="16"/>
          <w:szCs w:val="16"/>
        </w:rPr>
        <w:t xml:space="preserve"> ФА </w:t>
      </w:r>
      <w:r w:rsidRPr="007122AB">
        <w:rPr>
          <w:rFonts w:ascii="Times New Roman" w:hAnsi="Times New Roman"/>
          <w:color w:val="000000" w:themeColor="text1"/>
          <w:sz w:val="16"/>
          <w:szCs w:val="16"/>
        </w:rPr>
        <w:t>250, ФАБ-500. В 12.1942-04.1943 г. - в ведении 6ГУ НКБ. Имел обозначение «п/я 551» (1943 г.).</w:t>
      </w:r>
    </w:p>
    <w:p w14:paraId="11CE5E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составе завода цехи (1943 г.): основные: № 1, 2, 3, 5, 7, 8, 9, 10, 12, 13; вспомогательные: </w:t>
      </w:r>
      <w:proofErr w:type="spellStart"/>
      <w:r w:rsidRPr="007122AB">
        <w:rPr>
          <w:rFonts w:ascii="Times New Roman" w:hAnsi="Times New Roman"/>
          <w:color w:val="000000" w:themeColor="text1"/>
          <w:sz w:val="16"/>
          <w:szCs w:val="16"/>
        </w:rPr>
        <w:t>инструментальш</w:t>
      </w:r>
      <w:proofErr w:type="spellEnd"/>
      <w:r w:rsidRPr="007122AB">
        <w:rPr>
          <w:rFonts w:ascii="Times New Roman" w:hAnsi="Times New Roman"/>
          <w:color w:val="000000" w:themeColor="text1"/>
          <w:sz w:val="16"/>
          <w:szCs w:val="16"/>
        </w:rPr>
        <w:t xml:space="preserve"> № 4, тарный № 6, ремонтно-механический № 11, ремонтно-строительный, транспортный. </w:t>
      </w:r>
      <w:proofErr w:type="spellStart"/>
      <w:r w:rsidRPr="007122AB">
        <w:rPr>
          <w:rFonts w:ascii="Times New Roman" w:hAnsi="Times New Roman"/>
          <w:color w:val="000000" w:themeColor="text1"/>
          <w:sz w:val="16"/>
          <w:szCs w:val="16"/>
        </w:rPr>
        <w:t>Количест</w:t>
      </w:r>
      <w:proofErr w:type="spellEnd"/>
      <w:r w:rsidRPr="007122AB">
        <w:rPr>
          <w:rFonts w:ascii="Times New Roman" w:hAnsi="Times New Roman"/>
          <w:color w:val="000000" w:themeColor="text1"/>
          <w:sz w:val="16"/>
          <w:szCs w:val="16"/>
        </w:rPr>
        <w:t xml:space="preserve"> оборудования- 831 ед. В 1945 г. организован литейный цех.</w:t>
      </w:r>
    </w:p>
    <w:p w14:paraId="351C98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решению ГКО в конце 1945 г. завод был переориентирован на производство радиовзрывателей д зенитных снарядов и бомб. На площадке завода № 58 создан Государственный НИИ-504 для </w:t>
      </w:r>
      <w:proofErr w:type="spellStart"/>
      <w:r w:rsidRPr="007122AB">
        <w:rPr>
          <w:rFonts w:ascii="Times New Roman" w:hAnsi="Times New Roman"/>
          <w:color w:val="000000" w:themeColor="text1"/>
          <w:sz w:val="16"/>
          <w:szCs w:val="16"/>
        </w:rPr>
        <w:t>разрабоп</w:t>
      </w:r>
      <w:proofErr w:type="spellEnd"/>
      <w:r w:rsidRPr="007122AB">
        <w:rPr>
          <w:rFonts w:ascii="Times New Roman" w:hAnsi="Times New Roman"/>
          <w:color w:val="000000" w:themeColor="text1"/>
          <w:sz w:val="16"/>
          <w:szCs w:val="16"/>
        </w:rPr>
        <w:t xml:space="preserve"> неконтактных взрывателей для ЗУР. В 1946 г. пост. СМ СССР завод был придан институту в качестве опытно производства. В 1966 г. завод № 58 переименован в ЗРТА. В 1977 г. Пост. СМ СССР на базе НИИРТА и опыта» ЗРТА создано НПО «Импульс».'™™</w:t>
      </w:r>
      <w:proofErr w:type="spellStart"/>
      <w:r w:rsidRPr="007122AB">
        <w:rPr>
          <w:rFonts w:ascii="Times New Roman" w:hAnsi="Times New Roman"/>
          <w:color w:val="000000" w:themeColor="text1"/>
          <w:sz w:val="16"/>
          <w:szCs w:val="16"/>
          <w:vertAlign w:val="superscript"/>
          <w:lang w:val="en-US"/>
        </w:rPr>
        <w:t>impulsra</w:t>
      </w:r>
      <w:proofErr w:type="spellEnd"/>
    </w:p>
    <w:p w14:paraId="250F1C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Площадь (1943 г.): производственная- 16103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вспомогательная- 1710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прочая- 664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4FC740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(07.1941 г.)- 5100 чел., (12.1942 г.)- 4429 чел.</w:t>
      </w:r>
      <w:r w:rsidRPr="007122AB">
        <w:rPr>
          <w:rFonts w:ascii="Times New Roman" w:hAnsi="Times New Roman"/>
          <w:color w:val="000000" w:themeColor="text1"/>
          <w:sz w:val="16"/>
          <w:szCs w:val="16"/>
          <w:vertAlign w:val="superscript"/>
        </w:rPr>
        <w:t>132</w:t>
      </w:r>
    </w:p>
    <w:p w14:paraId="2A00D6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(-12.1936-16.09.1937 г.)- Б. Г. Башкиров, (8.10.1937 г.-)- А.С. Бадалян, (04.1943 г.)- И. </w:t>
      </w:r>
      <w:proofErr w:type="spellStart"/>
      <w:r w:rsidRPr="007122AB">
        <w:rPr>
          <w:rFonts w:ascii="Times New Roman" w:hAnsi="Times New Roman"/>
          <w:color w:val="000000" w:themeColor="text1"/>
          <w:sz w:val="16"/>
          <w:szCs w:val="16"/>
        </w:rPr>
        <w:t>Нарикашвия</w:t>
      </w:r>
      <w:proofErr w:type="spellEnd"/>
      <w:r w:rsidRPr="007122AB">
        <w:rPr>
          <w:rFonts w:ascii="Times New Roman" w:hAnsi="Times New Roman"/>
          <w:color w:val="000000" w:themeColor="text1"/>
          <w:sz w:val="16"/>
          <w:szCs w:val="16"/>
        </w:rPr>
        <w:t xml:space="preserve"> Начальник (11.1943 г.)- И. </w:t>
      </w:r>
      <w:proofErr w:type="spellStart"/>
      <w:r w:rsidRPr="007122AB">
        <w:rPr>
          <w:rFonts w:ascii="Times New Roman" w:hAnsi="Times New Roman"/>
          <w:color w:val="000000" w:themeColor="text1"/>
          <w:sz w:val="16"/>
          <w:szCs w:val="16"/>
        </w:rPr>
        <w:t>Нарикашвили</w:t>
      </w:r>
      <w:proofErr w:type="spellEnd"/>
      <w:r w:rsidRPr="007122AB">
        <w:rPr>
          <w:rFonts w:ascii="Times New Roman" w:hAnsi="Times New Roman"/>
          <w:color w:val="000000" w:themeColor="text1"/>
          <w:sz w:val="16"/>
          <w:szCs w:val="16"/>
        </w:rPr>
        <w:t>.</w:t>
      </w:r>
    </w:p>
    <w:p w14:paraId="7D3741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(16.04.1937 г.-)- В.В. Чесноков.</w:t>
      </w:r>
    </w:p>
    <w:p w14:paraId="4BD3B3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(12.1936 г.)- В.М. </w:t>
      </w:r>
      <w:proofErr w:type="spellStart"/>
      <w:r w:rsidRPr="007122AB">
        <w:rPr>
          <w:rFonts w:ascii="Times New Roman" w:hAnsi="Times New Roman"/>
          <w:color w:val="000000" w:themeColor="text1"/>
          <w:sz w:val="16"/>
          <w:szCs w:val="16"/>
        </w:rPr>
        <w:t>Кашевский</w:t>
      </w:r>
      <w:proofErr w:type="spellEnd"/>
      <w:r w:rsidRPr="007122AB">
        <w:rPr>
          <w:rFonts w:ascii="Times New Roman" w:hAnsi="Times New Roman"/>
          <w:color w:val="000000" w:themeColor="text1"/>
          <w:sz w:val="16"/>
          <w:szCs w:val="16"/>
        </w:rPr>
        <w:t>, (16.04.1937 г.-)- В.В. Чесноков, (10.10.1938 г.-)- Л.А. Прытков.</w:t>
      </w:r>
    </w:p>
    <w:p w14:paraId="139FD4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механик (-11.1937 г.)- А.П. Емелин, (04.1943 г.)- Скотников.</w:t>
      </w:r>
    </w:p>
    <w:p w14:paraId="75B85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ремонтно-строительного (04.1943 г.)- Петровский; транспортного (04.1943 г.)- Ручкин.</w:t>
      </w:r>
    </w:p>
    <w:p w14:paraId="3C13B7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ППО (04.1943 г.)- Счастливцев; складского (04.1943 г.)- Новоселов.</w:t>
      </w:r>
    </w:p>
    <w:p w14:paraId="5B629E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гильзы 16-мм, 20-мм, 26-мм (1943); ПП-3, ПП-4, МУВ, МВ-5, ВПФ (1943); дымовые сигнал! (1943) (11982).</w:t>
      </w:r>
    </w:p>
    <w:p w14:paraId="7177DA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DFA597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была принята на вооружение модернизированная 152-мм гаубица под названием "152-мм гаубица обр. 1909/30 г." Всего было модернизировано 362 гаубицы обр. 1909 г. Модернизацией орудий занимался Киевский арсенал. Модернизированные гаубицы последних выпусков отличались от модернизированных гаубиц первых выпусков:</w:t>
      </w:r>
    </w:p>
    <w:p w14:paraId="28466DE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 в затворе введена отдельная боевая втулка;</w:t>
      </w:r>
    </w:p>
    <w:p w14:paraId="30F37B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б) в люльке изменен упор штоков;</w:t>
      </w:r>
    </w:p>
    <w:p w14:paraId="07D11C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подъемный механизм сделан односекторным;</w:t>
      </w:r>
    </w:p>
    <w:p w14:paraId="7C3089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 ряд мелких изменений.</w:t>
      </w:r>
    </w:p>
    <w:p w14:paraId="6D1BEF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металлических колес с шиной ГК для 152-мм гаубиц обр. 1909/30 г. планировалось начать 1937 г (3861).</w:t>
      </w:r>
    </w:p>
    <w:p w14:paraId="63D031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4FDB86B"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АНИМИ разработал проект переделки серийной 130/55-мм пушки обр. 1913 г. пушки в полигональную. Заводу «Большевик» выдали заказ на переделку 130-мм пушки со сроком готовности 1 октября 1932 г. АНИМИ передал «Большевику» чертежи пушки 23 сентября 1931 г. Отношением от 10 сентября 1933 г. заводу «Большевик» было предписано нарезать 130/55-мм орудие по чертежу АНИМИ № 338. 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5498B0BE" w14:textId="77777777" w:rsidR="00360440" w:rsidRPr="007122AB" w:rsidRDefault="00360440" w:rsidP="007122AB">
      <w:pPr>
        <w:spacing w:after="0" w:line="240" w:lineRule="auto"/>
        <w:jc w:val="both"/>
        <w:rPr>
          <w:rFonts w:ascii="Times New Roman" w:hAnsi="Times New Roman"/>
          <w:color w:val="000000" w:themeColor="text1"/>
          <w:sz w:val="16"/>
          <w:szCs w:val="16"/>
        </w:rPr>
      </w:pPr>
    </w:p>
    <w:p w14:paraId="00C15A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была принята на вооружение модернизированная 107-мм пушки обр. 1910 г. Проекты модернизации 107-мм пушки обр. 1910 г. разрабатывались Орудийно-Арсенальным трестом (ОАТ) и КБ Научно-технического комитета Главного артиллерийского управления (КБ НТК ГАУ) с задачей увеличения дальности стрельбы до 16-18 км. Модернизировано было 139 пушек обр. 1910 г. Они получили название "обр. 1910/30 г." (в дюймовой мере). А вновь изготовленные назывались "Обр.1910/30н." (нормализованные в метрической мере). Итого в 1931-1935 годах было изготовлено около 430 новых систем. Кроме того, в 1932-1935 годах "Большевик" и "Баррикады" изготавливали тела орудий, качающиеся части и проводили </w:t>
      </w:r>
      <w:proofErr w:type="spellStart"/>
      <w:r w:rsidRPr="007122AB">
        <w:rPr>
          <w:rFonts w:ascii="Times New Roman" w:hAnsi="Times New Roman"/>
          <w:color w:val="000000" w:themeColor="text1"/>
          <w:sz w:val="16"/>
          <w:szCs w:val="16"/>
        </w:rPr>
        <w:t>перестволение</w:t>
      </w:r>
      <w:proofErr w:type="spellEnd"/>
      <w:r w:rsidRPr="007122AB">
        <w:rPr>
          <w:rFonts w:ascii="Times New Roman" w:hAnsi="Times New Roman"/>
          <w:color w:val="000000" w:themeColor="text1"/>
          <w:sz w:val="16"/>
          <w:szCs w:val="16"/>
        </w:rPr>
        <w:t xml:space="preserve"> 107-мм орудий (3861).</w:t>
      </w:r>
    </w:p>
    <w:p w14:paraId="14CC805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6366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одно из 107-мм орудий "Особой доставки", изготовленные на заводе </w:t>
      </w:r>
      <w:proofErr w:type="spellStart"/>
      <w:r w:rsidRPr="007122AB">
        <w:rPr>
          <w:rFonts w:ascii="Times New Roman" w:hAnsi="Times New Roman"/>
          <w:color w:val="000000" w:themeColor="text1"/>
          <w:sz w:val="16"/>
          <w:szCs w:val="16"/>
        </w:rPr>
        <w:t>Бофорс</w:t>
      </w:r>
      <w:proofErr w:type="spellEnd"/>
      <w:r w:rsidRPr="007122AB">
        <w:rPr>
          <w:rFonts w:ascii="Times New Roman" w:hAnsi="Times New Roman"/>
          <w:color w:val="000000" w:themeColor="text1"/>
          <w:sz w:val="16"/>
          <w:szCs w:val="16"/>
        </w:rPr>
        <w:t>, было отправлено на завод "Красный Путиловец" (3861).</w:t>
      </w:r>
    </w:p>
    <w:p w14:paraId="74541E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2AF11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инженером </w:t>
      </w:r>
      <w:proofErr w:type="spellStart"/>
      <w:r w:rsidRPr="007122AB">
        <w:rPr>
          <w:rFonts w:ascii="Times New Roman" w:hAnsi="Times New Roman"/>
          <w:color w:val="000000" w:themeColor="text1"/>
          <w:sz w:val="16"/>
          <w:szCs w:val="16"/>
        </w:rPr>
        <w:t>Сячентовым</w:t>
      </w:r>
      <w:proofErr w:type="spellEnd"/>
      <w:r w:rsidRPr="007122AB">
        <w:rPr>
          <w:rFonts w:ascii="Times New Roman" w:hAnsi="Times New Roman"/>
          <w:color w:val="000000" w:themeColor="text1"/>
          <w:sz w:val="16"/>
          <w:szCs w:val="16"/>
        </w:rPr>
        <w:t xml:space="preserve"> была спроектирована 76-мм танковая пушка ПС-3. Конструкция пушки была принципиально новая. Пушка предназначалась для тех же танков, что и КТ Кировского завода. По сравнению с конкурентом, ПС-3 имела существенно лучшую баллистику и, следовательно, </w:t>
      </w:r>
      <w:proofErr w:type="spellStart"/>
      <w:r w:rsidRPr="007122AB">
        <w:rPr>
          <w:rFonts w:ascii="Times New Roman" w:hAnsi="Times New Roman"/>
          <w:color w:val="000000" w:themeColor="text1"/>
          <w:sz w:val="16"/>
          <w:szCs w:val="16"/>
        </w:rPr>
        <w:t>бронепробиваемость</w:t>
      </w:r>
      <w:proofErr w:type="spellEnd"/>
      <w:r w:rsidRPr="007122AB">
        <w:rPr>
          <w:rFonts w:ascii="Times New Roman" w:hAnsi="Times New Roman"/>
          <w:color w:val="000000" w:themeColor="text1"/>
          <w:sz w:val="16"/>
          <w:szCs w:val="16"/>
        </w:rPr>
        <w:t>, и большую скорострельность, так как пушка ПС-3 имела вертикальный клиновой затвор, а КТ - поршневой (3861).</w:t>
      </w:r>
    </w:p>
    <w:p w14:paraId="3C6FCD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8373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на вооружение была принята система Сидоренко под наименованием "76-мм пушка обр. 1902/30 г.". Комиссия, оценивая полигональные испытания, указала, что система Сидоренко конструктивно самая сложная, и, кстати, самая дорогая. Стоимость переделки 76-мм пушки обр. 1902 г. в варианте ОАТ было 2786 рублей, в варианте Соколова 2767 рублей, а в варианте Сидоренко 6640 рублей. На модернизированных пушках устанавливались как старые стволы длиной в 30 </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в устройстве которых ничего не меняли, так и новые удлиненные стволы в 40 </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После 1931 года стволы в 30 </w:t>
      </w:r>
      <w:proofErr w:type="spellStart"/>
      <w:r w:rsidRPr="007122AB">
        <w:rPr>
          <w:rFonts w:ascii="Times New Roman" w:hAnsi="Times New Roman"/>
          <w:color w:val="000000" w:themeColor="text1"/>
          <w:sz w:val="16"/>
          <w:szCs w:val="16"/>
        </w:rPr>
        <w:t>клб</w:t>
      </w:r>
      <w:proofErr w:type="spellEnd"/>
      <w:r w:rsidRPr="007122AB">
        <w:rPr>
          <w:rFonts w:ascii="Times New Roman" w:hAnsi="Times New Roman"/>
          <w:color w:val="000000" w:themeColor="text1"/>
          <w:sz w:val="16"/>
          <w:szCs w:val="16"/>
        </w:rPr>
        <w:t xml:space="preserve"> больше не изготавливались. В валовом производстве 76-мм пушка обр. 1902/30 г. находилась до 1937 года. На заводе № 92 эта пушка получила заводской индекс Ф-10 (3861).</w:t>
      </w:r>
    </w:p>
    <w:p w14:paraId="697F1F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CF1EA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года группой Д параллельно с минометами других калибров велись работы над 120-мм полковыми минометами. Согласно проекту (на 1 января 1933 года) 120-мм полковой миномет имел конструктивную схему мнимого треугольника и схему воспламенения Стокса-Брандта. Вес миномета в боевом положении составлял 140 кг. В боекомплект входили осколочно-химическая мина весом 12,08 кг, содержавшая 2,18 кг отравляющего вещества и фугасная чугунная мина весом 9,3 кг, содержавшая 2,56 кг взрывчатого вещества. Дальность стрельбы должна была составлять 3000-3500 м. Дальность стрельбы менялась за счет изменения зарядов и угла вертикального наведения. Испытания 120-мм миномета затянулись с 1934 года по 1939 год. Было испытано несколько десятков мало отличавшихся друг от друга опытных образцов (3861).</w:t>
      </w:r>
    </w:p>
    <w:p w14:paraId="77C7DE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9AD06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на заводе № 8 было начато производство "37-мм автоматической зенитной пушки обр. 1930 г." и пушка получила заводской индекс 4-К. В 1931 году было предъявлено 3 пушки (3861).</w:t>
      </w:r>
    </w:p>
    <w:p w14:paraId="0DDFC6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CDA7F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группа Д ГДЛ произвела модернизацию миномета МС-107. Модернизированный миномет получил название ХМ-107 обр. 1931 г. (ХМ химический миномет). В конструкцию нового миномета был введен колесный ход и пружинный амортизатор, состоявший из четырех колец. Ход состоял из боевой оси, двух металлических колес и складных трубчатых поручней. При стрельбе ход легко отделялся. Опорная плита та же, что и у МС-107 На колесном ходу два номера расчета могли перевозить миномет на поле боя. Миномет ХМ-107 был запущен в серийное производство. Стрельба из миномета ХМ-107 велась минами с восемью перьями. Вес мин от 6,5 кг до 7,2 кг. Мины снаряжались веществами СОВ, НОВ и фосфором. Ипритная мина заражала площадь 80-100 м2, а мина с НОВ создавала дымовое облако площадью около 80 м2 с концентрацией ОВ не менее 3 мг/литр в момент взрыва. Фосфорная мина создавала дымовое облако шириной 10 м и длиной по ветру около 100 м. Отмечено большое рассеивание 1/50 по дальности (3861).</w:t>
      </w:r>
    </w:p>
    <w:p w14:paraId="456AEF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26E4A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завод "Красный Октябрь" изготовил несколько опытных 107-мм минометов ХМ-4. Внешне миномет был похож на МС-107 схема мнимого треугольника, опорная плита прямоугольная. Длина ствола 1700 мм. Вес ствола 37 кг. Вес опорной плиты 48 кг (3861).</w:t>
      </w:r>
    </w:p>
    <w:p w14:paraId="4C22AC2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330B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АУ выдало задание КБ-2 на проектирование 305-мм гаубицы на обычном лафете, а заводу "Большевик" задание на триплекс: 400-мм мортиры, 305-мм гаубицы и 203-мм пушки разборного типа, перевозимых на повозках на гусеничном ходу. 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 (3861).</w:t>
      </w:r>
    </w:p>
    <w:p w14:paraId="664030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792CF49"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выдало задание КБ-2, где работали немецкие инженеры фирмы «</w:t>
      </w:r>
      <w:proofErr w:type="spellStart"/>
      <w:r w:rsidRPr="007122AB">
        <w:rPr>
          <w:rFonts w:ascii="Times New Roman" w:hAnsi="Times New Roman"/>
          <w:color w:val="000000" w:themeColor="text1"/>
          <w:sz w:val="16"/>
          <w:szCs w:val="16"/>
        </w:rPr>
        <w:t>Рейнметалл</w:t>
      </w:r>
      <w:proofErr w:type="spellEnd"/>
      <w:r w:rsidRPr="007122AB">
        <w:rPr>
          <w:rFonts w:ascii="Times New Roman" w:hAnsi="Times New Roman"/>
          <w:color w:val="000000" w:themeColor="text1"/>
          <w:sz w:val="16"/>
          <w:szCs w:val="16"/>
        </w:rPr>
        <w:t>», на проектирование 305-мм гаубицы на обычном лафете, а заводу «Большевик» — задание на триплекс: 400-мм мортиры, 305-мм гаубицы и 203-мм пушки разборного типа, перевозимых на повозках на гусеничном ходу.</w:t>
      </w:r>
    </w:p>
    <w:p w14:paraId="6627035A"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w:t>
      </w:r>
    </w:p>
    <w:p w14:paraId="01B879C0"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1932 г. </w:t>
      </w:r>
      <w:proofErr w:type="spellStart"/>
      <w:r w:rsidRPr="007122AB">
        <w:rPr>
          <w:rFonts w:ascii="Times New Roman" w:hAnsi="Times New Roman"/>
          <w:color w:val="000000" w:themeColor="text1"/>
          <w:sz w:val="16"/>
          <w:szCs w:val="16"/>
        </w:rPr>
        <w:t>Артуправление</w:t>
      </w:r>
      <w:proofErr w:type="spellEnd"/>
      <w:r w:rsidRPr="007122AB">
        <w:rPr>
          <w:rFonts w:ascii="Times New Roman" w:hAnsi="Times New Roman"/>
          <w:color w:val="000000" w:themeColor="text1"/>
          <w:sz w:val="16"/>
          <w:szCs w:val="16"/>
        </w:rPr>
        <w:t xml:space="preserve"> рассмотрело все проекты, и на пленуме АУ было принято постановление «утвердить проект комбинированной системы 400/305/203-мм системы завода “Большевик” для дальнейшей разработки и изготовления опытного образца, а два других проекта КБ-2 и инженера Чернявского отклонить».</w:t>
      </w:r>
    </w:p>
    <w:p w14:paraId="1D237D5D"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Согласно постановлениям </w:t>
      </w:r>
      <w:proofErr w:type="spellStart"/>
      <w:r w:rsidRPr="007122AB">
        <w:rPr>
          <w:rFonts w:ascii="Times New Roman" w:hAnsi="Times New Roman"/>
          <w:color w:val="000000" w:themeColor="text1"/>
          <w:sz w:val="16"/>
          <w:szCs w:val="16"/>
        </w:rPr>
        <w:t>Артуправления</w:t>
      </w:r>
      <w:proofErr w:type="spellEnd"/>
      <w:r w:rsidRPr="007122AB">
        <w:rPr>
          <w:rFonts w:ascii="Times New Roman" w:hAnsi="Times New Roman"/>
          <w:color w:val="000000" w:themeColor="text1"/>
          <w:sz w:val="16"/>
          <w:szCs w:val="16"/>
        </w:rPr>
        <w:t xml:space="preserve"> 1932 г., в состав триплекса должны были входить 400-мм мортира, 305-мм гаубица и 203-мм пушка. Проектировали большой триплекс на конкурсных началах завод «Большевик» и опытный завод им. Кирова. Еще на стадии проектирования отказались от 400-мм мортир, и система фактически превратилась в дуплекс.</w:t>
      </w:r>
    </w:p>
    <w:p w14:paraId="758D1E9E"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концов был принят совместный проект обоих заводов, который и получил название СУ-7 (15117).</w:t>
      </w:r>
    </w:p>
    <w:p w14:paraId="41DC8F54" w14:textId="77777777" w:rsidR="00360440" w:rsidRPr="007122AB" w:rsidRDefault="00360440" w:rsidP="007122AB">
      <w:pPr>
        <w:spacing w:after="0" w:line="240" w:lineRule="auto"/>
        <w:jc w:val="both"/>
        <w:rPr>
          <w:rFonts w:ascii="Times New Roman" w:hAnsi="Times New Roman"/>
          <w:color w:val="000000" w:themeColor="text1"/>
          <w:sz w:val="16"/>
          <w:szCs w:val="16"/>
        </w:rPr>
      </w:pPr>
    </w:p>
    <w:p w14:paraId="457374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на базе специальных снарядных цехов металлургического завода Министерства черной металлургии был основан завод №76 и по этой причине месторасположение завода находится на территории Серовского металлургического завода им. А.К. Серова.</w:t>
      </w:r>
    </w:p>
    <w:p w14:paraId="793B4E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Основной продукцией завода в период ВОВ были 122 мм осколочно-фугасные, 122 мм химические снарядные корпуса и гильзы </w:t>
      </w:r>
      <w:proofErr w:type="spellStart"/>
      <w:r w:rsidRPr="007122AB">
        <w:rPr>
          <w:rFonts w:ascii="Times New Roman" w:hAnsi="Times New Roman"/>
          <w:color w:val="000000" w:themeColor="text1"/>
          <w:sz w:val="16"/>
          <w:szCs w:val="16"/>
        </w:rPr>
        <w:t>авиацилиндров</w:t>
      </w:r>
      <w:proofErr w:type="spellEnd"/>
      <w:r w:rsidRPr="007122AB">
        <w:rPr>
          <w:rFonts w:ascii="Times New Roman" w:hAnsi="Times New Roman"/>
          <w:color w:val="000000" w:themeColor="text1"/>
          <w:sz w:val="16"/>
          <w:szCs w:val="16"/>
        </w:rPr>
        <w:t xml:space="preserve"> (штамповка и черновая механическая обработка).</w:t>
      </w:r>
    </w:p>
    <w:p w14:paraId="73496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1D471D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постановлением Правительства № 6708сс от 14 октября 1944 года производство химических снарядных корпусов было прекращено и были увеличены производственные мощности по производству 122 мм осколочно-фугасных снарядных корпусов. С 1947 года основным видом продукции завода является буровой инструмент.</w:t>
      </w:r>
    </w:p>
    <w:p w14:paraId="2E215B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Серов Свердловской области, п/я 32</w:t>
      </w:r>
    </w:p>
    <w:p w14:paraId="50C399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 Парфенов (10029).</w:t>
      </w:r>
    </w:p>
    <w:p w14:paraId="7AD388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34DF38"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чертежи 122-мм пушки из КБ-1 ВОООП (в апреле 1930 г. на базе расформированного ГВПУ ВСНХ было образовано новое хозрасчетное объединение: ВОООП — Всесоюзное объединение орудийно-оружейно-пулеметное, а ОАТ — Орудийно-арсенальный трест ликвидирован; видимо тогда ГКБ ОАТ же стало КБ-1 ВОООП) были переданы на Мотовилихинский машиностроительный завод. ММЗ изготовил опытный образец орудия, который был подан на полигонные испытания в октябре 1931 г. Орудие испытывалось с разными по конструкции стволами (</w:t>
      </w:r>
      <w:proofErr w:type="spellStart"/>
      <w:r w:rsidRPr="007122AB">
        <w:rPr>
          <w:rFonts w:ascii="Times New Roman" w:hAnsi="Times New Roman"/>
          <w:color w:val="000000" w:themeColor="text1"/>
          <w:sz w:val="16"/>
          <w:szCs w:val="16"/>
        </w:rPr>
        <w:t>лейнированным</w:t>
      </w:r>
      <w:proofErr w:type="spellEnd"/>
      <w:r w:rsidRPr="007122AB">
        <w:rPr>
          <w:rFonts w:ascii="Times New Roman" w:hAnsi="Times New Roman"/>
          <w:color w:val="000000" w:themeColor="text1"/>
          <w:sz w:val="16"/>
          <w:szCs w:val="16"/>
        </w:rPr>
        <w:t xml:space="preserve"> и скреплённым), причём оба варианта имели дульный тормоз. По результатам испытаний, в мае 1932 г. опытный образец орудия был отправлен на доработку. </w:t>
      </w:r>
    </w:p>
    <w:p w14:paraId="276435CC"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тому времени, с августа 1931 г. ВОООП было преобразовано в ВОАО — Всесоюзное орудийно-арсенальное объединение. В состав ВОАО вошли КБ-1 (бывш. КБ ОАТ) и КБ-2 ("немецкое" артиллерийское КБ). Вскоре КБ-1 и КБ-2 были объединены в КБ ВОАО (начальник </w:t>
      </w:r>
      <w:proofErr w:type="spellStart"/>
      <w:r w:rsidRPr="007122AB">
        <w:rPr>
          <w:rFonts w:ascii="Times New Roman" w:hAnsi="Times New Roman"/>
          <w:color w:val="000000" w:themeColor="text1"/>
          <w:sz w:val="16"/>
          <w:szCs w:val="16"/>
        </w:rPr>
        <w:t>В.Н.Дроздов</w:t>
      </w:r>
      <w:proofErr w:type="spellEnd"/>
      <w:r w:rsidRPr="007122AB">
        <w:rPr>
          <w:rFonts w:ascii="Times New Roman" w:hAnsi="Times New Roman"/>
          <w:color w:val="000000" w:themeColor="text1"/>
          <w:sz w:val="16"/>
          <w:szCs w:val="16"/>
        </w:rPr>
        <w:t xml:space="preserve">, зам. начальника - </w:t>
      </w:r>
      <w:proofErr w:type="spellStart"/>
      <w:r w:rsidRPr="007122AB">
        <w:rPr>
          <w:rFonts w:ascii="Times New Roman" w:hAnsi="Times New Roman"/>
          <w:color w:val="000000" w:themeColor="text1"/>
          <w:sz w:val="16"/>
          <w:szCs w:val="16"/>
        </w:rPr>
        <w:t>В.Г.Грабин</w:t>
      </w:r>
      <w:proofErr w:type="spellEnd"/>
      <w:r w:rsidRPr="007122AB">
        <w:rPr>
          <w:rFonts w:ascii="Times New Roman" w:hAnsi="Times New Roman"/>
          <w:color w:val="000000" w:themeColor="text1"/>
          <w:sz w:val="16"/>
          <w:szCs w:val="16"/>
        </w:rPr>
        <w:t>). А в начале 1933 г. из Москвы КБ ВОАО было переведено в подмосковные Подлипки, где на его базе было создано ГКБ-38 (ликвидировано в конце 1933 г.) (12302).</w:t>
      </w:r>
    </w:p>
    <w:p w14:paraId="4A708D67" w14:textId="77777777" w:rsidR="00496ABD" w:rsidRPr="007122AB" w:rsidRDefault="00496ABD" w:rsidP="007122AB">
      <w:pPr>
        <w:spacing w:after="0" w:line="240" w:lineRule="auto"/>
        <w:jc w:val="both"/>
        <w:rPr>
          <w:rFonts w:ascii="Times New Roman" w:hAnsi="Times New Roman"/>
          <w:color w:val="000000" w:themeColor="text1"/>
          <w:sz w:val="16"/>
          <w:szCs w:val="16"/>
        </w:rPr>
      </w:pPr>
    </w:p>
    <w:p w14:paraId="5AED8E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завод «</w:t>
      </w:r>
      <w:proofErr w:type="spellStart"/>
      <w:r w:rsidRPr="007122AB">
        <w:rPr>
          <w:rFonts w:ascii="Times New Roman" w:hAnsi="Times New Roman"/>
          <w:color w:val="000000" w:themeColor="text1"/>
          <w:sz w:val="16"/>
          <w:szCs w:val="16"/>
        </w:rPr>
        <w:t>Котлоаппарат</w:t>
      </w:r>
      <w:proofErr w:type="spellEnd"/>
      <w:r w:rsidRPr="007122AB">
        <w:rPr>
          <w:rFonts w:ascii="Times New Roman" w:hAnsi="Times New Roman"/>
          <w:color w:val="000000" w:themeColor="text1"/>
          <w:sz w:val="16"/>
          <w:szCs w:val="16"/>
        </w:rPr>
        <w:t xml:space="preserve">» (Завод № 733 НКМВ, «Товарищество А.К. </w:t>
      </w:r>
      <w:proofErr w:type="spellStart"/>
      <w:r w:rsidRPr="007122AB">
        <w:rPr>
          <w:rFonts w:ascii="Times New Roman" w:hAnsi="Times New Roman"/>
          <w:color w:val="000000" w:themeColor="text1"/>
          <w:sz w:val="16"/>
          <w:szCs w:val="16"/>
        </w:rPr>
        <w:t>Дангауэр</w:t>
      </w:r>
      <w:proofErr w:type="spellEnd"/>
      <w:r w:rsidRPr="007122AB">
        <w:rPr>
          <w:rFonts w:ascii="Times New Roman" w:hAnsi="Times New Roman"/>
          <w:color w:val="000000" w:themeColor="text1"/>
          <w:sz w:val="16"/>
          <w:szCs w:val="16"/>
        </w:rPr>
        <w:t xml:space="preserve"> и В.В. Кайзер», Завод «</w:t>
      </w:r>
      <w:proofErr w:type="spellStart"/>
      <w:r w:rsidRPr="007122AB">
        <w:rPr>
          <w:rFonts w:ascii="Times New Roman" w:hAnsi="Times New Roman"/>
          <w:color w:val="000000" w:themeColor="text1"/>
          <w:sz w:val="16"/>
          <w:szCs w:val="16"/>
        </w:rPr>
        <w:t>Котлоаппарат</w:t>
      </w:r>
      <w:proofErr w:type="spellEnd"/>
      <w:r w:rsidRPr="007122AB">
        <w:rPr>
          <w:rFonts w:ascii="Times New Roman" w:hAnsi="Times New Roman"/>
          <w:color w:val="000000" w:themeColor="text1"/>
          <w:sz w:val="16"/>
          <w:szCs w:val="16"/>
        </w:rPr>
        <w:t>», Московский машиностроительный завод «Компрессор» НКТП, НКМ, НКМВ,</w:t>
      </w:r>
      <w:r w:rsidRPr="007122AB">
        <w:rPr>
          <w:rFonts w:ascii="Times New Roman" w:hAnsi="Times New Roman"/>
          <w:smallCaps/>
          <w:color w:val="000000" w:themeColor="text1"/>
          <w:sz w:val="16"/>
          <w:szCs w:val="16"/>
        </w:rPr>
        <w:t xml:space="preserve"> Московский </w:t>
      </w:r>
      <w:r w:rsidRPr="007122AB">
        <w:rPr>
          <w:rFonts w:ascii="Times New Roman" w:hAnsi="Times New Roman"/>
          <w:color w:val="000000" w:themeColor="text1"/>
          <w:sz w:val="16"/>
          <w:szCs w:val="16"/>
        </w:rPr>
        <w:t xml:space="preserve">ордена Трудового Красного Знамени завод холодильного оборудования «Компрессор» </w:t>
      </w:r>
      <w:proofErr w:type="spellStart"/>
      <w:r w:rsidRPr="007122AB">
        <w:rPr>
          <w:rFonts w:ascii="Times New Roman" w:hAnsi="Times New Roman"/>
          <w:color w:val="000000" w:themeColor="text1"/>
          <w:sz w:val="16"/>
          <w:szCs w:val="16"/>
        </w:rPr>
        <w:t>ММиП</w:t>
      </w:r>
      <w:proofErr w:type="spellEnd"/>
      <w:r w:rsidRPr="007122AB">
        <w:rPr>
          <w:rFonts w:ascii="Times New Roman" w:hAnsi="Times New Roman"/>
          <w:color w:val="000000" w:themeColor="text1"/>
          <w:sz w:val="16"/>
          <w:szCs w:val="16"/>
        </w:rPr>
        <w:t xml:space="preserve">, МОП, ОАО «Компрессор» / г. Москва Владимирское шоссе;  г. Москва, 24 </w:t>
      </w:r>
      <w:proofErr w:type="spellStart"/>
      <w:r w:rsidRPr="007122AB">
        <w:rPr>
          <w:rFonts w:ascii="Times New Roman" w:hAnsi="Times New Roman"/>
          <w:color w:val="000000" w:themeColor="text1"/>
          <w:sz w:val="16"/>
          <w:szCs w:val="16"/>
        </w:rPr>
        <w:t>Донгауэровская</w:t>
      </w:r>
      <w:proofErr w:type="spellEnd"/>
      <w:r w:rsidRPr="007122AB">
        <w:rPr>
          <w:rFonts w:ascii="Times New Roman" w:hAnsi="Times New Roman"/>
          <w:color w:val="000000" w:themeColor="text1"/>
          <w:sz w:val="16"/>
          <w:szCs w:val="16"/>
        </w:rPr>
        <w:t xml:space="preserve"> слобода, 20 «Пакет» (1948 г.)/ / г. Москва, Е-24 2-я ул. Энтузиастов, 5 п/я 2428 (1953 г.)/) переименован в «Компрессор», в 1937 г. - в ведении НКТП, в 08.1938 г. - в НКМ.</w:t>
      </w:r>
    </w:p>
    <w:p w14:paraId="667C9A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55478E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ОГК завода и СКБ завода объединены в СКВ при заводе.</w:t>
      </w:r>
    </w:p>
    <w:p w14:paraId="354517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19.05.1942 г. завод № 733 НКМВ. Приказом НКМВ № 250с от 7.07.1942 г. завод передан в ведение 4ГУ.</w:t>
      </w:r>
      <w:r w:rsidRPr="007122AB">
        <w:rPr>
          <w:rFonts w:ascii="Times New Roman" w:hAnsi="Times New Roman"/>
          <w:color w:val="000000" w:themeColor="text1"/>
          <w:sz w:val="16"/>
          <w:szCs w:val="16"/>
          <w:vertAlign w:val="superscript"/>
        </w:rPr>
        <w:t>129</w:t>
      </w:r>
      <w:r w:rsidRPr="007122AB">
        <w:rPr>
          <w:rFonts w:ascii="Times New Roman" w:hAnsi="Times New Roman"/>
          <w:color w:val="000000" w:themeColor="text1"/>
          <w:sz w:val="16"/>
          <w:szCs w:val="16"/>
        </w:rPr>
        <w:t xml:space="preserve"> В 1947-53 г. завод «Компрессор» - в ведении </w:t>
      </w:r>
      <w:proofErr w:type="spellStart"/>
      <w:r w:rsidRPr="007122AB">
        <w:rPr>
          <w:rFonts w:ascii="Times New Roman" w:hAnsi="Times New Roman"/>
          <w:color w:val="000000" w:themeColor="text1"/>
          <w:sz w:val="16"/>
          <w:szCs w:val="16"/>
        </w:rPr>
        <w:t>Главхиммаша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ММиЛ</w:t>
      </w:r>
      <w:proofErr w:type="spellEnd"/>
      <w:r w:rsidRPr="007122AB">
        <w:rPr>
          <w:rFonts w:ascii="Times New Roman" w:hAnsi="Times New Roman"/>
          <w:color w:val="000000" w:themeColor="text1"/>
          <w:sz w:val="16"/>
          <w:szCs w:val="16"/>
        </w:rPr>
        <w:t>.</w:t>
      </w:r>
    </w:p>
    <w:p w14:paraId="36AC7E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  г. были разработаны комплексные </w:t>
      </w:r>
      <w:proofErr w:type="spellStart"/>
      <w:r w:rsidRPr="007122AB">
        <w:rPr>
          <w:rFonts w:ascii="Times New Roman" w:hAnsi="Times New Roman"/>
          <w:color w:val="000000" w:themeColor="text1"/>
          <w:sz w:val="16"/>
          <w:szCs w:val="16"/>
        </w:rPr>
        <w:t>фреоновые</w:t>
      </w:r>
      <w:proofErr w:type="spellEnd"/>
      <w:r w:rsidRPr="007122AB">
        <w:rPr>
          <w:rFonts w:ascii="Times New Roman" w:hAnsi="Times New Roman"/>
          <w:color w:val="000000" w:themeColor="text1"/>
          <w:sz w:val="16"/>
          <w:szCs w:val="16"/>
        </w:rPr>
        <w:t xml:space="preserve">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12785AF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7122AB">
        <w:rPr>
          <w:rFonts w:ascii="Times New Roman" w:hAnsi="Times New Roman"/>
          <w:color w:val="000000" w:themeColor="text1"/>
          <w:sz w:val="16"/>
          <w:szCs w:val="16"/>
        </w:rPr>
        <w:softHyphen/>
        <w:t>ремонтный №11, ремонтно-строительный № 18, паросиловой № 20, малярно-упаковочный № 21, гараж № 19.</w:t>
      </w:r>
    </w:p>
    <w:p w14:paraId="2E45F9B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(1939 г.)- 489 ед., (1946 г.)- 520 ед., (1947 г.)- 693 ед., (1953 г.)- 943 ед.</w:t>
      </w:r>
    </w:p>
    <w:p w14:paraId="4D89A85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Плошадь</w:t>
      </w:r>
      <w:proofErr w:type="spellEnd"/>
      <w:r w:rsidRPr="007122AB">
        <w:rPr>
          <w:rFonts w:ascii="Times New Roman" w:hAnsi="Times New Roman"/>
          <w:color w:val="000000" w:themeColor="text1"/>
          <w:sz w:val="16"/>
          <w:szCs w:val="16"/>
        </w:rPr>
        <w:t>: территории (1947 г.)- 14,56 га, (1953 г.)- 13,36 га; застройки (1947 г.)- 39861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(1953 г.)- 45548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производственная (1939 г.)- 31263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(1946 г.)- 35639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(1947 г.)- 35321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(1953 г.)- 26211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вспомогательная (1953 г.)- 4723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прочая (1953 г.)- 9566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w:t>
      </w:r>
    </w:p>
    <w:p w14:paraId="350CCB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(1873 г.)- 27 чел., (01.1931 г.)- 2600 чел., (1939 г.)- 2711 чел., (1946 г.)- 1721 чел., (1947 г.)- 1612 чел., (1953 г.)- 2405 чел.</w:t>
      </w:r>
    </w:p>
    <w:p w14:paraId="46DB83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(1918 г.-)- В.Ф. Ильин, (06.1942 г.)- Киселев, (1948 г.)- Демин. Гендиректор (2000 г.)- А.Н. Петров.</w:t>
      </w:r>
    </w:p>
    <w:p w14:paraId="6E60B0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(1948 г.)- </w:t>
      </w:r>
      <w:proofErr w:type="spellStart"/>
      <w:r w:rsidRPr="007122AB">
        <w:rPr>
          <w:rFonts w:ascii="Times New Roman" w:hAnsi="Times New Roman"/>
          <w:color w:val="000000" w:themeColor="text1"/>
          <w:sz w:val="16"/>
          <w:szCs w:val="16"/>
        </w:rPr>
        <w:t>Черногубовский</w:t>
      </w:r>
      <w:proofErr w:type="spellEnd"/>
      <w:r w:rsidRPr="007122AB">
        <w:rPr>
          <w:rFonts w:ascii="Times New Roman" w:hAnsi="Times New Roman"/>
          <w:color w:val="000000" w:themeColor="text1"/>
          <w:sz w:val="16"/>
          <w:szCs w:val="16"/>
        </w:rPr>
        <w:t>.</w:t>
      </w:r>
    </w:p>
    <w:p w14:paraId="0E6F62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(1940 г.-)- В.П. Бармин.</w:t>
      </w:r>
    </w:p>
    <w:p w14:paraId="621A78B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 компрессоры:</w:t>
      </w:r>
      <w:r w:rsidRPr="007122AB">
        <w:rPr>
          <w:rFonts w:ascii="Times New Roman" w:hAnsi="Times New Roman"/>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w:t>
      </w:r>
      <w:proofErr w:type="spellStart"/>
      <w:r w:rsidRPr="007122AB">
        <w:rPr>
          <w:rFonts w:ascii="Times New Roman" w:hAnsi="Times New Roman"/>
          <w:color w:val="000000" w:themeColor="text1"/>
          <w:sz w:val="16"/>
          <w:szCs w:val="16"/>
        </w:rPr>
        <w:t>парорефрижераторные</w:t>
      </w:r>
      <w:proofErr w:type="spellEnd"/>
      <w:r w:rsidRPr="007122AB">
        <w:rPr>
          <w:rFonts w:ascii="Times New Roman" w:hAnsi="Times New Roman"/>
          <w:color w:val="000000" w:themeColor="text1"/>
          <w:sz w:val="16"/>
          <w:szCs w:val="16"/>
        </w:rPr>
        <w:t xml:space="preserve">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2C96CBEB" w14:textId="77777777" w:rsidR="00360440" w:rsidRPr="007122AB" w:rsidRDefault="00360440"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СКБ завода № 733, ГС КБ Специального машиностроения (ГСКБ «Спецмаш») </w:t>
      </w:r>
      <w:proofErr w:type="spellStart"/>
      <w:r w:rsidRPr="007122AB">
        <w:rPr>
          <w:rFonts w:ascii="Times New Roman" w:hAnsi="Times New Roman"/>
          <w:color w:val="000000" w:themeColor="text1"/>
          <w:sz w:val="16"/>
          <w:szCs w:val="16"/>
        </w:rPr>
        <w:t>ММиП</w:t>
      </w:r>
      <w:proofErr w:type="spellEnd"/>
      <w:r w:rsidRPr="007122AB">
        <w:rPr>
          <w:rFonts w:ascii="Times New Roman" w:hAnsi="Times New Roman"/>
          <w:color w:val="000000" w:themeColor="text1"/>
          <w:sz w:val="16"/>
          <w:szCs w:val="16"/>
        </w:rPr>
        <w:t xml:space="preserve">, ГКОТ, КБ общего машиностроения (КБОМ)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ФГУП «КБОМ им. академика В.П. Бармина» ФКА /121059  г. Москва Бережковская наб., 22 тел. 240-60-44/</w:t>
      </w:r>
    </w:p>
    <w:p w14:paraId="3019C75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680248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соответствии с пост. СМ СССР № 1401-370 от 7.05.1947 г. ГСКБ поручена разработка боевой машины БМД- 20 для РСЗО БМ-20. Пост. № 4965-1936 от 22.11.1952 г. она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w:t>
      </w:r>
    </w:p>
    <w:p w14:paraId="3AA616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Пост. СМ СССР № 875-441 от 22.03.1951 г. БМ-24 принята на вооружение.</w:t>
      </w:r>
    </w:p>
    <w:p w14:paraId="10AD8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6BC9BF3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1965 г. ГСКБ «Спецмаш» ГКОТ передано в ведение 4ГУ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xml:space="preserve"> и по приказу от 6.03.1966 г. преобразовано в КБОМ. В 1999 г. ГП КБОМ присвоено имя В.П. Бармина.</w:t>
      </w:r>
    </w:p>
    <w:p w14:paraId="35BA88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5001AB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B1536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7122AB">
        <w:rPr>
          <w:rFonts w:ascii="Times New Roman" w:hAnsi="Times New Roman"/>
          <w:color w:val="000000" w:themeColor="text1"/>
          <w:sz w:val="16"/>
          <w:szCs w:val="16"/>
          <w:vertAlign w:val="superscript"/>
        </w:rPr>
        <w:t>4</w:t>
      </w:r>
      <w:r w:rsidRPr="007122AB">
        <w:rPr>
          <w:rFonts w:ascii="Times New Roman" w:hAnsi="Times New Roman"/>
          <w:color w:val="000000" w:themeColor="text1"/>
          <w:sz w:val="16"/>
          <w:szCs w:val="16"/>
        </w:rPr>
        <w:t xml:space="preserve"> Созданы грунтозаборные автоматы ЛБ-09, ВБ-02 для исследования Луны («Луна-24»), Марса и Венеры.</w:t>
      </w:r>
    </w:p>
    <w:p w14:paraId="27E85A3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1994 г. - работы по модернизации СК РН «Союз» для «Союз-2», «Протон-К» для «Протон-М» и обеспечение их эксплуатации. В 2000-х  г. - работы по созданию во французской Гвиане СК для РН «Союз-СКТ», на Байконуре- СК для РН «Ангара».</w:t>
      </w:r>
    </w:p>
    <w:p w14:paraId="17DACF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044CC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КБОМ имело: опытное производство, испытательный центр «Сплав»;</w:t>
      </w:r>
      <w:r w:rsidRPr="007122AB">
        <w:rPr>
          <w:rFonts w:ascii="Times New Roman" w:hAnsi="Times New Roman"/>
          <w:color w:val="000000" w:themeColor="text1"/>
          <w:sz w:val="16"/>
          <w:szCs w:val="16"/>
          <w:vertAlign w:val="superscript"/>
        </w:rPr>
        <w:t>77</w:t>
      </w:r>
      <w:r w:rsidRPr="007122AB">
        <w:rPr>
          <w:rFonts w:ascii="Times New Roman" w:hAnsi="Times New Roman"/>
          <w:color w:val="000000" w:themeColor="text1"/>
          <w:sz w:val="16"/>
          <w:szCs w:val="16"/>
        </w:rPr>
        <w:t xml:space="preserve"> Центр испытаний-2 (ЦИ-2).</w:t>
      </w:r>
    </w:p>
    <w:p w14:paraId="2A57FB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Имел Ташкентский филиал (2005 г.). Начальник центра испытаний филиала (2005 г.)- В.Н. Ефименко.</w:t>
      </w:r>
    </w:p>
    <w:p w14:paraId="0C5C5F8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Ген. конструктор (1941-1993 г.)- академик В.П. Бармин {17.03.1909-17.07.1993}, (1993-2005 г.-)- И.В. Бармин {12.01.1943-}.</w:t>
      </w:r>
    </w:p>
    <w:p w14:paraId="4ECA49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(06.1941-1993 г.)- В.П. Бармин. Гендиректор (1993-2005 г.-)- И.В. Бармин.</w:t>
      </w:r>
    </w:p>
    <w:p w14:paraId="417118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Начальника (2002 г.)- Е.И. Соколов. Зам. Начальника (1949 г.)- Ю.Э. </w:t>
      </w:r>
      <w:proofErr w:type="spellStart"/>
      <w:r w:rsidRPr="007122AB">
        <w:rPr>
          <w:rFonts w:ascii="Times New Roman" w:hAnsi="Times New Roman"/>
          <w:color w:val="000000" w:themeColor="text1"/>
          <w:sz w:val="16"/>
          <w:szCs w:val="16"/>
        </w:rPr>
        <w:t>Эндека</w:t>
      </w:r>
      <w:proofErr w:type="spellEnd"/>
      <w:r w:rsidRPr="007122AB">
        <w:rPr>
          <w:rFonts w:ascii="Times New Roman" w:hAnsi="Times New Roman"/>
          <w:color w:val="000000" w:themeColor="text1"/>
          <w:sz w:val="16"/>
          <w:szCs w:val="16"/>
        </w:rPr>
        <w:t>; по коммерческим вопросам (2002 г.)- В. Г. Тарнавский.</w:t>
      </w:r>
    </w:p>
    <w:p w14:paraId="2ABCF8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Ген. Конструктора (1974-90 г.)~ Н.М. Корнеев, (2002 г.)- В.Н. Климов. Зам. гл. конструктора (1971 г.)- Н.М. Корнеев. Зам. Ген. Конструктора: по испытаниям (2002 г.)- Е.И. Соколов; (1980 г.)- К.Ю. </w:t>
      </w:r>
      <w:proofErr w:type="spellStart"/>
      <w:r w:rsidRPr="007122AB">
        <w:rPr>
          <w:rFonts w:ascii="Times New Roman" w:hAnsi="Times New Roman"/>
          <w:color w:val="000000" w:themeColor="text1"/>
          <w:sz w:val="16"/>
          <w:szCs w:val="16"/>
        </w:rPr>
        <w:t>Эндека</w:t>
      </w:r>
      <w:proofErr w:type="spellEnd"/>
      <w:r w:rsidRPr="007122AB">
        <w:rPr>
          <w:rFonts w:ascii="Times New Roman" w:hAnsi="Times New Roman"/>
          <w:color w:val="000000" w:themeColor="text1"/>
          <w:sz w:val="16"/>
          <w:szCs w:val="16"/>
        </w:rPr>
        <w:t>.</w:t>
      </w:r>
    </w:p>
    <w:p w14:paraId="2E8A43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ЦИ-2 (2002 г.)- Ю. Тененбаум.</w:t>
      </w:r>
    </w:p>
    <w:p w14:paraId="094F14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конструкторы (1958 г.)- А.И. Яскин (БМ-14-17).</w:t>
      </w:r>
    </w:p>
    <w:p w14:paraId="39DAF1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гл. конструкторов: (1979 г.)- К.Ю. </w:t>
      </w:r>
      <w:proofErr w:type="spellStart"/>
      <w:r w:rsidRPr="007122AB">
        <w:rPr>
          <w:rFonts w:ascii="Times New Roman" w:hAnsi="Times New Roman"/>
          <w:color w:val="000000" w:themeColor="text1"/>
          <w:sz w:val="16"/>
          <w:szCs w:val="16"/>
        </w:rPr>
        <w:t>Эндека</w:t>
      </w:r>
      <w:proofErr w:type="spellEnd"/>
      <w:r w:rsidRPr="007122AB">
        <w:rPr>
          <w:rFonts w:ascii="Times New Roman" w:hAnsi="Times New Roman"/>
          <w:color w:val="000000" w:themeColor="text1"/>
          <w:sz w:val="16"/>
          <w:szCs w:val="16"/>
        </w:rPr>
        <w:t xml:space="preserve"> (ШПУ для А-925).</w:t>
      </w:r>
    </w:p>
    <w:p w14:paraId="1F6F6B6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отделов: испытаний (2004 г.)- О.В. Серебряков.</w:t>
      </w:r>
    </w:p>
    <w:p w14:paraId="107744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lastRenderedPageBreak/>
        <w:t>Создано: ПУ:</w:t>
      </w:r>
      <w:r w:rsidRPr="007122AB">
        <w:rPr>
          <w:rFonts w:ascii="Times New Roman" w:hAnsi="Times New Roman"/>
          <w:color w:val="000000" w:themeColor="text1"/>
          <w:sz w:val="16"/>
          <w:szCs w:val="16"/>
        </w:rPr>
        <w:t xml:space="preserve"> БМ-8-24 для НУР РС-82 на базе танка Т-60 (1941); </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-13-</w:t>
      </w:r>
      <w:r w:rsidRPr="007122AB">
        <w:rPr>
          <w:rFonts w:ascii="Times New Roman" w:hAnsi="Times New Roman"/>
          <w:color w:val="000000" w:themeColor="text1"/>
          <w:sz w:val="16"/>
          <w:szCs w:val="16"/>
          <w:lang w:val="en-US"/>
        </w:rPr>
        <w:t>MI</w:t>
      </w:r>
      <w:r w:rsidRPr="007122AB">
        <w:rPr>
          <w:rFonts w:ascii="Times New Roman" w:hAnsi="Times New Roman"/>
          <w:color w:val="000000" w:themeColor="text1"/>
          <w:sz w:val="16"/>
          <w:szCs w:val="16"/>
        </w:rPr>
        <w:t xml:space="preserve"> для бронекатеров (1942), 24-М-8 и 16-М-13 для морских кораблей (1943); для РСЗО: БМ-31-12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9.06.1944 г.), БМД-20 на шасси ЗИС-151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22.11.1952 г.), БМ-14 (8У32) на шасси ЗИС-151 (1952), БМ-14М (2Б2) на шасси ЗиЛ-157, БМ-14ММ (2Б2Р) на шасси ЗиЛ-131, БМ-14-17 (8У36) на шасси ГАЗ-</w:t>
      </w:r>
      <w:proofErr w:type="spellStart"/>
      <w:r w:rsidRPr="007122AB">
        <w:rPr>
          <w:rFonts w:ascii="Times New Roman" w:hAnsi="Times New Roman"/>
          <w:color w:val="000000" w:themeColor="text1"/>
          <w:sz w:val="16"/>
          <w:szCs w:val="16"/>
        </w:rPr>
        <w:t>бЗ</w:t>
      </w:r>
      <w:proofErr w:type="spellEnd"/>
      <w:r w:rsidRPr="007122AB">
        <w:rPr>
          <w:rFonts w:ascii="Times New Roman" w:hAnsi="Times New Roman"/>
          <w:color w:val="000000" w:themeColor="text1"/>
          <w:sz w:val="16"/>
          <w:szCs w:val="16"/>
        </w:rPr>
        <w:t xml:space="preserve"> (1958); БМ-24 (8У31) для М-24Ф на шасси ЗИС-151, БМ-24Т на шасси гусеничного тягача АТ-С;</w:t>
      </w:r>
      <w:r w:rsidRPr="007122AB">
        <w:rPr>
          <w:rFonts w:ascii="Times New Roman" w:hAnsi="Times New Roman"/>
          <w:iCs/>
          <w:color w:val="000000" w:themeColor="text1"/>
          <w:sz w:val="16"/>
          <w:szCs w:val="16"/>
        </w:rPr>
        <w:t xml:space="preserve"> Наземные СКБР:</w:t>
      </w:r>
      <w:r w:rsidRPr="007122AB">
        <w:rPr>
          <w:rFonts w:ascii="Times New Roman" w:hAnsi="Times New Roman"/>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7122AB">
        <w:rPr>
          <w:rFonts w:ascii="Times New Roman" w:hAnsi="Times New Roman"/>
          <w:color w:val="000000" w:themeColor="text1"/>
          <w:sz w:val="16"/>
          <w:szCs w:val="16"/>
          <w:lang w:val="en-US"/>
        </w:rPr>
        <w:t>HI</w:t>
      </w:r>
      <w:r w:rsidRPr="007122AB">
        <w:rPr>
          <w:rFonts w:ascii="Times New Roman" w:hAnsi="Times New Roman"/>
          <w:color w:val="000000" w:themeColor="text1"/>
          <w:sz w:val="16"/>
          <w:szCs w:val="16"/>
        </w:rPr>
        <w:t>, «Энергия-Буран»;</w:t>
      </w:r>
      <w:r w:rsidRPr="007122AB">
        <w:rPr>
          <w:rFonts w:ascii="Times New Roman" w:hAnsi="Times New Roman"/>
          <w:color w:val="000000" w:themeColor="text1"/>
          <w:sz w:val="16"/>
          <w:szCs w:val="16"/>
          <w:vertAlign w:val="superscript"/>
        </w:rPr>
        <w:t>69</w:t>
      </w:r>
      <w:r w:rsidRPr="007122AB">
        <w:rPr>
          <w:rFonts w:ascii="Times New Roman" w:hAnsi="Times New Roman"/>
          <w:iCs/>
          <w:color w:val="000000" w:themeColor="text1"/>
          <w:sz w:val="16"/>
          <w:szCs w:val="16"/>
        </w:rPr>
        <w:t xml:space="preserve"> ПУ ЗРК:</w:t>
      </w:r>
      <w:r w:rsidRPr="007122AB">
        <w:rPr>
          <w:rFonts w:ascii="Times New Roman" w:hAnsi="Times New Roman"/>
          <w:color w:val="000000" w:themeColor="text1"/>
          <w:sz w:val="16"/>
          <w:szCs w:val="16"/>
        </w:rPr>
        <w:t xml:space="preserve"> С-25М, С-200, 5П85С для С-300П;</w:t>
      </w:r>
      <w:r w:rsidRPr="007122AB">
        <w:rPr>
          <w:rFonts w:ascii="Times New Roman" w:hAnsi="Times New Roman"/>
          <w:iCs/>
          <w:color w:val="000000" w:themeColor="text1"/>
          <w:sz w:val="16"/>
          <w:szCs w:val="16"/>
        </w:rPr>
        <w:t xml:space="preserve"> ШПУ:</w:t>
      </w:r>
      <w:r w:rsidRPr="007122AB">
        <w:rPr>
          <w:rFonts w:ascii="Times New Roman" w:hAnsi="Times New Roman"/>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7122AB">
        <w:rPr>
          <w:rFonts w:ascii="Times New Roman" w:hAnsi="Times New Roman"/>
          <w:color w:val="000000" w:themeColor="text1"/>
          <w:sz w:val="16"/>
          <w:szCs w:val="16"/>
          <w:vertAlign w:val="superscript"/>
        </w:rPr>
        <w:t>57</w:t>
      </w:r>
      <w:r w:rsidRPr="007122AB">
        <w:rPr>
          <w:rFonts w:ascii="Times New Roman" w:hAnsi="Times New Roman"/>
          <w:color w:val="000000" w:themeColor="text1"/>
          <w:sz w:val="16"/>
          <w:szCs w:val="16"/>
        </w:rPr>
        <w:t xml:space="preserve"> железнодорожная ПУ для РТ-23УТТХ.</w:t>
      </w:r>
      <w:r w:rsidRPr="007122AB">
        <w:rPr>
          <w:rFonts w:ascii="Times New Roman" w:hAnsi="Times New Roman"/>
          <w:color w:val="000000" w:themeColor="text1"/>
          <w:sz w:val="16"/>
          <w:szCs w:val="16"/>
          <w:vertAlign w:val="superscript"/>
        </w:rPr>
        <w:t>58102</w:t>
      </w:r>
    </w:p>
    <w:p w14:paraId="4A936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Ипытательный</w:t>
      </w:r>
      <w:proofErr w:type="spellEnd"/>
      <w:r w:rsidRPr="007122AB">
        <w:rPr>
          <w:rFonts w:ascii="Times New Roman" w:hAnsi="Times New Roman"/>
          <w:color w:val="000000" w:themeColor="text1"/>
          <w:sz w:val="16"/>
          <w:szCs w:val="16"/>
        </w:rPr>
        <w:t xml:space="preserve"> центр «Сплав»</w:t>
      </w:r>
    </w:p>
    <w:p w14:paraId="13CCAC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(11982).</w:t>
      </w:r>
    </w:p>
    <w:p w14:paraId="2E0C1D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1C4BE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для завода № 50 им. Фрунзе в Пензе организована отдельная площадка и построен деревообделочный цех.</w:t>
      </w:r>
    </w:p>
    <w:p w14:paraId="13DDF7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456301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0241695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22739D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Адрес: Пенза, п/я 25</w:t>
      </w:r>
    </w:p>
    <w:p w14:paraId="487E6D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 В. </w:t>
      </w:r>
      <w:proofErr w:type="spellStart"/>
      <w:r w:rsidRPr="007122AB">
        <w:rPr>
          <w:rFonts w:ascii="Times New Roman" w:hAnsi="Times New Roman"/>
          <w:color w:val="000000" w:themeColor="text1"/>
          <w:sz w:val="16"/>
          <w:szCs w:val="16"/>
        </w:rPr>
        <w:t>Джанполадов</w:t>
      </w:r>
      <w:proofErr w:type="spellEnd"/>
    </w:p>
    <w:p w14:paraId="352BA34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Строительство завода начато в 1915 году (10025).</w:t>
      </w:r>
    </w:p>
    <w:p w14:paraId="6622F2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C36B5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авто-танковый дизельный отдел Экономичес</w:t>
      </w:r>
      <w:r w:rsidRPr="007122AB">
        <w:rPr>
          <w:rFonts w:ascii="Times New Roman" w:hAnsi="Times New Roman"/>
          <w:color w:val="000000" w:themeColor="text1"/>
          <w:sz w:val="16"/>
          <w:szCs w:val="16"/>
        </w:rPr>
        <w:softHyphen/>
        <w:t>кого управления ОГПУ начал эскизное проектирование танка прорыва ТП-1. Танк должен был иметь массу свыше 75 т и броневую защиту, достигающую толщины 45-мм. Было рассмотрено несколько вариантов вооружения танка, в том числе из одной 152,4-мм пушки, двух 37-мм пушек и шести пулеметов (2 станковых), или одной 106,7-мм пуш</w:t>
      </w:r>
      <w:r w:rsidRPr="007122AB">
        <w:rPr>
          <w:rFonts w:ascii="Times New Roman" w:hAnsi="Times New Roman"/>
          <w:color w:val="000000" w:themeColor="text1"/>
          <w:sz w:val="16"/>
          <w:szCs w:val="16"/>
        </w:rPr>
        <w:softHyphen/>
        <w:t>ки, двух 76,2-мм пушек и шести пулеметов... Для придания танку способности движения со скоростью до 30 км/ч .его планировалось оснастить дизелем ФЭД-6 или ФЭД-8 мощ</w:t>
      </w:r>
      <w:r w:rsidRPr="007122AB">
        <w:rPr>
          <w:rFonts w:ascii="Times New Roman" w:hAnsi="Times New Roman"/>
          <w:color w:val="000000" w:themeColor="text1"/>
          <w:sz w:val="16"/>
          <w:szCs w:val="16"/>
        </w:rPr>
        <w:softHyphen/>
        <w:t>ностью 1850 или 2000 л.с. и регулируемой пневматической подвеской. Однако ввиду неготовности двигателя в начале 1932 г. проект ТП-1 был адаптирован под авиамотор Мику-</w:t>
      </w:r>
      <w:proofErr w:type="spellStart"/>
      <w:r w:rsidRPr="007122AB">
        <w:rPr>
          <w:rFonts w:ascii="Times New Roman" w:hAnsi="Times New Roman"/>
          <w:color w:val="000000" w:themeColor="text1"/>
          <w:sz w:val="16"/>
          <w:szCs w:val="16"/>
        </w:rPr>
        <w:t>лина</w:t>
      </w:r>
      <w:proofErr w:type="spellEnd"/>
      <w:r w:rsidRPr="007122AB">
        <w:rPr>
          <w:rFonts w:ascii="Times New Roman" w:hAnsi="Times New Roman"/>
          <w:color w:val="000000" w:themeColor="text1"/>
          <w:sz w:val="16"/>
          <w:szCs w:val="16"/>
        </w:rPr>
        <w:t xml:space="preserve"> мощностью 1450 л.с., а в марте закрыт по причине чрезвычайно высокой стоимости (1073,118)).</w:t>
      </w:r>
    </w:p>
    <w:p w14:paraId="14FA13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D35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началась сборка первого танка, и в этом же году была выпущена малая серия машин (25 шт.). Таким образом, наряду с танковым производством, какое имелось тогда на Ленинградском заводе «Большевик», появился еще один центр танкового производства на юге страны - ХПЗ им. Коминтерна. К этому времени на заводе был построен специальный корпус Т2 для производства и сборки танков и значительно расширено самостоятельное танковое конструкторское бюро Т2К во главе с И.Н. Алексенко. Ядром этого бюро стали конструкторы специальной танковой группы, созданной в декабре 1927 года, и участвовавшие в разработках, изготовлении и испытаниях танков Т-12 и Т-24: И.Н. Алексенко, Л.Л. Алферов, А.С. Бондаренко, П.Н. Горюн, Е.Т. </w:t>
      </w:r>
      <w:proofErr w:type="spellStart"/>
      <w:r w:rsidRPr="007122AB">
        <w:rPr>
          <w:rFonts w:ascii="Times New Roman" w:hAnsi="Times New Roman"/>
          <w:color w:val="000000" w:themeColor="text1"/>
          <w:sz w:val="16"/>
          <w:szCs w:val="16"/>
        </w:rPr>
        <w:t>Дикалов</w:t>
      </w:r>
      <w:proofErr w:type="spellEnd"/>
      <w:r w:rsidRPr="007122AB">
        <w:rPr>
          <w:rFonts w:ascii="Times New Roman" w:hAnsi="Times New Roman"/>
          <w:color w:val="000000" w:themeColor="text1"/>
          <w:sz w:val="16"/>
          <w:szCs w:val="16"/>
        </w:rPr>
        <w:t xml:space="preserve">, В.И. Дорошенко, В.Т. Кириленко, А.А. Морозов, Н.Г. Поляков, М.И. </w:t>
      </w:r>
      <w:proofErr w:type="spellStart"/>
      <w:r w:rsidRPr="007122AB">
        <w:rPr>
          <w:rFonts w:ascii="Times New Roman" w:hAnsi="Times New Roman"/>
          <w:color w:val="000000" w:themeColor="text1"/>
          <w:sz w:val="16"/>
          <w:szCs w:val="16"/>
        </w:rPr>
        <w:t>Таршинов</w:t>
      </w:r>
      <w:proofErr w:type="spellEnd"/>
      <w:r w:rsidRPr="007122AB">
        <w:rPr>
          <w:rFonts w:ascii="Times New Roman" w:hAnsi="Times New Roman"/>
          <w:color w:val="000000" w:themeColor="text1"/>
          <w:sz w:val="16"/>
          <w:szCs w:val="16"/>
        </w:rPr>
        <w:t xml:space="preserve"> и др. Руководителем танкового производства был С.Н. Махонин (9154).</w:t>
      </w:r>
    </w:p>
    <w:p w14:paraId="6DC5D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AFA82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Н.И. </w:t>
      </w:r>
      <w:proofErr w:type="spellStart"/>
      <w:r w:rsidRPr="007122AB">
        <w:rPr>
          <w:rFonts w:ascii="Times New Roman" w:hAnsi="Times New Roman"/>
          <w:color w:val="000000" w:themeColor="text1"/>
          <w:sz w:val="16"/>
          <w:szCs w:val="16"/>
        </w:rPr>
        <w:t>Дыренковым</w:t>
      </w:r>
      <w:proofErr w:type="spellEnd"/>
      <w:r w:rsidRPr="007122AB">
        <w:rPr>
          <w:rFonts w:ascii="Times New Roman" w:hAnsi="Times New Roman"/>
          <w:color w:val="000000" w:themeColor="text1"/>
          <w:sz w:val="16"/>
          <w:szCs w:val="16"/>
        </w:rPr>
        <w:t xml:space="preserve"> был разработан проект модернизации вооружения танка БТ за счет установки 37-мм пушки во вращающейся башне и 76,2-мм пушки - в лобовом листе корпуса машины. Проект не был принят из-за малых размеров боевого отделения, неудачной конструкции агрегатов трансмиссии и приводов к двум парам задних ведущих колес. Второй вариант модернизации колесно-гусеничного танка БТ конструкции Н.И.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оказался более удачным. Танк, получивший название Д-38, был разработан в конце 1931 - начале 1932 гг. Ведущим инженером машины был Н. Гуленко. В январе 1932 г. был изготовлен опытный образец,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5761FC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качестве основного оружия на машине, согласно техническому проекту, предполагалось установить две пушки: 37-мм танковую и 76,2-мм противоштурмовую пушку «</w:t>
      </w:r>
      <w:proofErr w:type="spellStart"/>
      <w:r w:rsidRPr="007122AB">
        <w:rPr>
          <w:rFonts w:ascii="Times New Roman" w:hAnsi="Times New Roman"/>
          <w:color w:val="000000" w:themeColor="text1"/>
          <w:sz w:val="16"/>
          <w:szCs w:val="16"/>
        </w:rPr>
        <w:t>Гарфорда</w:t>
      </w:r>
      <w:proofErr w:type="spellEnd"/>
      <w:r w:rsidRPr="007122AB">
        <w:rPr>
          <w:rFonts w:ascii="Times New Roman" w:hAnsi="Times New Roman"/>
          <w:color w:val="000000" w:themeColor="text1"/>
          <w:sz w:val="16"/>
          <w:szCs w:val="16"/>
        </w:rPr>
        <w:t xml:space="preserve">».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65170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Боекомплект машины состоял из 50 выстрелов к пушке и 2700 патронов к пулемету. 25 марта 1932 году пушка ПС-3, установленная в башне конструкции </w:t>
      </w:r>
      <w:proofErr w:type="spellStart"/>
      <w:r w:rsidRPr="007122AB">
        <w:rPr>
          <w:rFonts w:ascii="Times New Roman" w:hAnsi="Times New Roman"/>
          <w:color w:val="000000" w:themeColor="text1"/>
          <w:sz w:val="16"/>
          <w:szCs w:val="16"/>
        </w:rPr>
        <w:t>Дыренкова</w:t>
      </w:r>
      <w:proofErr w:type="spellEnd"/>
      <w:r w:rsidRPr="007122AB">
        <w:rPr>
          <w:rFonts w:ascii="Times New Roman" w:hAnsi="Times New Roman"/>
          <w:color w:val="000000" w:themeColor="text1"/>
          <w:sz w:val="16"/>
          <w:szCs w:val="16"/>
        </w:rPr>
        <w:t xml:space="preserve">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4000759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CAD1D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г. были выпущены первые три танка БТ-2, а 7 ноября 1931 г. они участвовали в праздничном параде. Главной конструктивной особенностью танка был колесно-гусеничный движитель с индивидуальной подвеской катков. Двигатель М17Т, номинальной мощностью 400 л.с. при боевой массе танка 11 т обеспечивал максимальную скорость на колесах 70 км/час, на гусеницах - 50 км/час. Бронирование мало отличалось от Т-26 (лоб, борт корпуса, башня - 13 мм). Корпус имел скошенные сверху и с боков лобовые броневые листы. Башня - цилиндрической формы. БТ превосходил Т-26 по энерговооруженности, запасу хода, скорости. Не уступал по бронированию и вооружению. Уже с 1932 г. на БТ-5 стояла 45-мм пушка с дублированным оптическим прицелом. Наиболее многочисленной была модификация БТ-7. Спроектировали новый главный фрикцион и существенно усилили коробку передач. Ввели ленточные плавающие тормоза. Башня вначале была цилиндрической формы, а затем конической. Толщину лобовой брони корпуса увеличили до 20 мм, башни - до 15 мм, т.е. появились элементы дифференцированного бронирования. Боевая масса танка достигла 13,8 т. Расчетная максимальная скорость движения на гусеницах составляла 53,4 км/час, на колесах- 73 км/час. В 1939 г. М-17Т стали заменять на дизель В-2, апробированный ранее на танках БТ-5. Производство танков БТ закончилось весной 1940 г. Всего за 10 лет было выпущено 8000 машин (11224).</w:t>
      </w:r>
    </w:p>
    <w:p w14:paraId="4843D9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057556"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МС-1 был снят с производства, но ещё почти десять лет состоял на вооружении армии. Их использовали как учебные машины. Башни МС-1 в начале Великой Отечественной войны использовали на местности как закрытые огневые точки (15132).</w:t>
      </w:r>
    </w:p>
    <w:p w14:paraId="6273553B" w14:textId="77777777" w:rsidR="00360440" w:rsidRPr="007122AB" w:rsidRDefault="00360440" w:rsidP="007122AB">
      <w:pPr>
        <w:spacing w:after="0" w:line="240" w:lineRule="auto"/>
        <w:jc w:val="both"/>
        <w:rPr>
          <w:rFonts w:ascii="Times New Roman" w:hAnsi="Times New Roman"/>
          <w:color w:val="000000" w:themeColor="text1"/>
          <w:sz w:val="16"/>
          <w:szCs w:val="16"/>
        </w:rPr>
      </w:pPr>
    </w:p>
    <w:p w14:paraId="7D99B5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w:t>
      </w:r>
      <w:proofErr w:type="spellStart"/>
      <w:r w:rsidRPr="007122AB">
        <w:rPr>
          <w:rFonts w:ascii="Times New Roman" w:hAnsi="Times New Roman"/>
          <w:color w:val="000000" w:themeColor="text1"/>
          <w:sz w:val="16"/>
          <w:szCs w:val="16"/>
        </w:rPr>
        <w:t>совзанная</w:t>
      </w:r>
      <w:proofErr w:type="spellEnd"/>
      <w:r w:rsidRPr="007122AB">
        <w:rPr>
          <w:rFonts w:ascii="Times New Roman" w:hAnsi="Times New Roman"/>
          <w:color w:val="000000" w:themeColor="text1"/>
          <w:sz w:val="16"/>
          <w:szCs w:val="16"/>
        </w:rPr>
        <w:t xml:space="preserve"> в 1930 году в Харькове в Украинском научно-исследовательском ин</w:t>
      </w:r>
      <w:r w:rsidRPr="007122AB">
        <w:rPr>
          <w:rFonts w:ascii="Times New Roman" w:hAnsi="Times New Roman"/>
          <w:color w:val="000000" w:themeColor="text1"/>
          <w:sz w:val="16"/>
          <w:szCs w:val="16"/>
        </w:rPr>
        <w:softHyphen/>
        <w:t xml:space="preserve">ституте </w:t>
      </w:r>
      <w:proofErr w:type="spellStart"/>
      <w:r w:rsidRPr="007122AB">
        <w:rPr>
          <w:rFonts w:ascii="Times New Roman" w:hAnsi="Times New Roman"/>
          <w:color w:val="000000" w:themeColor="text1"/>
          <w:sz w:val="16"/>
          <w:szCs w:val="16"/>
        </w:rPr>
        <w:t>промэнергетики</w:t>
      </w:r>
      <w:proofErr w:type="spellEnd"/>
      <w:r w:rsidRPr="007122AB">
        <w:rPr>
          <w:rFonts w:ascii="Times New Roman" w:hAnsi="Times New Roman"/>
          <w:color w:val="000000" w:themeColor="text1"/>
          <w:sz w:val="16"/>
          <w:szCs w:val="16"/>
        </w:rPr>
        <w:t xml:space="preserve">, директором которого был профессор </w:t>
      </w:r>
      <w:proofErr w:type="spellStart"/>
      <w:r w:rsidRPr="007122AB">
        <w:rPr>
          <w:rFonts w:ascii="Times New Roman" w:hAnsi="Times New Roman"/>
          <w:color w:val="000000" w:themeColor="text1"/>
          <w:sz w:val="16"/>
          <w:szCs w:val="16"/>
        </w:rPr>
        <w:t>Л.С.Шмугляков</w:t>
      </w:r>
      <w:proofErr w:type="spellEnd"/>
      <w:r w:rsidRPr="007122AB">
        <w:rPr>
          <w:rFonts w:ascii="Times New Roman" w:hAnsi="Times New Roman"/>
          <w:color w:val="000000" w:themeColor="text1"/>
          <w:sz w:val="16"/>
          <w:szCs w:val="16"/>
        </w:rPr>
        <w:t xml:space="preserve">, лаборатория ДВС, вышла из состава института </w:t>
      </w:r>
      <w:proofErr w:type="spellStart"/>
      <w:r w:rsidRPr="007122AB">
        <w:rPr>
          <w:rFonts w:ascii="Times New Roman" w:hAnsi="Times New Roman"/>
          <w:color w:val="000000" w:themeColor="text1"/>
          <w:sz w:val="16"/>
          <w:szCs w:val="16"/>
        </w:rPr>
        <w:t>промэнерге</w:t>
      </w:r>
      <w:r w:rsidRPr="007122AB">
        <w:rPr>
          <w:rFonts w:ascii="Times New Roman" w:hAnsi="Times New Roman"/>
          <w:color w:val="000000" w:themeColor="text1"/>
          <w:sz w:val="16"/>
          <w:szCs w:val="16"/>
        </w:rPr>
        <w:softHyphen/>
        <w:t>тики</w:t>
      </w:r>
      <w:proofErr w:type="spellEnd"/>
      <w:r w:rsidRPr="007122AB">
        <w:rPr>
          <w:rFonts w:ascii="Times New Roman" w:hAnsi="Times New Roman"/>
          <w:color w:val="000000" w:themeColor="text1"/>
          <w:sz w:val="16"/>
          <w:szCs w:val="16"/>
        </w:rPr>
        <w:t xml:space="preserve"> и была преобразована в Украинский научно-исследовательский ин</w:t>
      </w:r>
      <w:r w:rsidRPr="007122AB">
        <w:rPr>
          <w:rFonts w:ascii="Times New Roman" w:hAnsi="Times New Roman"/>
          <w:color w:val="000000" w:themeColor="text1"/>
          <w:sz w:val="16"/>
          <w:szCs w:val="16"/>
        </w:rPr>
        <w:softHyphen/>
        <w:t>ститут двигателей внутреннего сгорания (У НИ ИД ВС). В нем начали так</w:t>
      </w:r>
      <w:r w:rsidRPr="007122AB">
        <w:rPr>
          <w:rFonts w:ascii="Times New Roman" w:hAnsi="Times New Roman"/>
          <w:color w:val="000000" w:themeColor="text1"/>
          <w:sz w:val="16"/>
          <w:szCs w:val="16"/>
        </w:rPr>
        <w:softHyphen/>
        <w:t xml:space="preserve">же работать: </w:t>
      </w:r>
      <w:proofErr w:type="spellStart"/>
      <w:r w:rsidRPr="007122AB">
        <w:rPr>
          <w:rFonts w:ascii="Times New Roman" w:hAnsi="Times New Roman"/>
          <w:color w:val="000000" w:themeColor="text1"/>
          <w:sz w:val="16"/>
          <w:szCs w:val="16"/>
        </w:rPr>
        <w:t>С.А.Бельгов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Г.В.Бражнюченко</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П.А.Саблев</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Н.М.Гиршберг</w:t>
      </w:r>
      <w:proofErr w:type="spellEnd"/>
      <w:r w:rsidRPr="007122AB">
        <w:rPr>
          <w:rFonts w:ascii="Times New Roman" w:hAnsi="Times New Roman"/>
          <w:color w:val="000000" w:themeColor="text1"/>
          <w:sz w:val="16"/>
          <w:szCs w:val="16"/>
        </w:rPr>
        <w:t>. В этот период в развитых капиталистических странах был проявлен интерес к дизелям для использования их в качестве авиационных двига</w:t>
      </w:r>
      <w:r w:rsidRPr="007122AB">
        <w:rPr>
          <w:rFonts w:ascii="Times New Roman" w:hAnsi="Times New Roman"/>
          <w:color w:val="000000" w:themeColor="text1"/>
          <w:sz w:val="16"/>
          <w:szCs w:val="16"/>
        </w:rPr>
        <w:softHyphen/>
        <w:t>телей. В Германии, например, был создан 2-х тактный авиационный ди</w:t>
      </w:r>
      <w:r w:rsidRPr="007122AB">
        <w:rPr>
          <w:rFonts w:ascii="Times New Roman" w:hAnsi="Times New Roman"/>
          <w:color w:val="000000" w:themeColor="text1"/>
          <w:sz w:val="16"/>
          <w:szCs w:val="16"/>
        </w:rPr>
        <w:softHyphen/>
        <w:t>зель с противоположно-движущимися поршнями фирмы Юнкере.</w:t>
      </w:r>
    </w:p>
    <w:p w14:paraId="0CCE9C9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 дизелям для авиации был проявлен интерес и в СССР. Над созданием авиационных дизелей начали работать: Центральный Научно-исследователь</w:t>
      </w:r>
      <w:r w:rsidRPr="007122AB">
        <w:rPr>
          <w:rFonts w:ascii="Times New Roman" w:hAnsi="Times New Roman"/>
          <w:color w:val="000000" w:themeColor="text1"/>
          <w:sz w:val="16"/>
          <w:szCs w:val="16"/>
        </w:rPr>
        <w:softHyphen/>
        <w:t>ский дорожный институт в Ленинграде (ЦНИДИ). В этом институте про</w:t>
      </w:r>
      <w:r w:rsidRPr="007122AB">
        <w:rPr>
          <w:rFonts w:ascii="Times New Roman" w:hAnsi="Times New Roman"/>
          <w:color w:val="000000" w:themeColor="text1"/>
          <w:sz w:val="16"/>
          <w:szCs w:val="16"/>
        </w:rPr>
        <w:softHyphen/>
        <w:t xml:space="preserve">фессор </w:t>
      </w:r>
      <w:proofErr w:type="spellStart"/>
      <w:r w:rsidRPr="007122AB">
        <w:rPr>
          <w:rFonts w:ascii="Times New Roman" w:hAnsi="Times New Roman"/>
          <w:color w:val="000000" w:themeColor="text1"/>
          <w:sz w:val="16"/>
          <w:szCs w:val="16"/>
        </w:rPr>
        <w:t>Маргенс</w:t>
      </w:r>
      <w:proofErr w:type="spellEnd"/>
      <w:r w:rsidRPr="007122AB">
        <w:rPr>
          <w:rFonts w:ascii="Times New Roman" w:hAnsi="Times New Roman"/>
          <w:color w:val="000000" w:themeColor="text1"/>
          <w:sz w:val="16"/>
          <w:szCs w:val="16"/>
        </w:rPr>
        <w:t xml:space="preserve"> работал над 4-х тактным дизелем, каждый цилиндр которо</w:t>
      </w:r>
      <w:r w:rsidRPr="007122AB">
        <w:rPr>
          <w:rFonts w:ascii="Times New Roman" w:hAnsi="Times New Roman"/>
          <w:color w:val="000000" w:themeColor="text1"/>
          <w:sz w:val="16"/>
          <w:szCs w:val="16"/>
        </w:rPr>
        <w:softHyphen/>
        <w:t xml:space="preserve">го имел один клапан, который работал и как впускной и как выпускной. Коленчатые валы для опытных образцов этого дизеля были закуплены за границей. При испытаниях дизель работал с большой дымностью выхлопа. В Москве в Автодорожном институте (МАДИ), профессор </w:t>
      </w:r>
      <w:proofErr w:type="spellStart"/>
      <w:r w:rsidRPr="007122AB">
        <w:rPr>
          <w:rFonts w:ascii="Times New Roman" w:hAnsi="Times New Roman"/>
          <w:color w:val="000000" w:themeColor="text1"/>
          <w:sz w:val="16"/>
          <w:szCs w:val="16"/>
        </w:rPr>
        <w:t>Брилинг</w:t>
      </w:r>
      <w:proofErr w:type="spellEnd"/>
      <w:r w:rsidRPr="007122AB">
        <w:rPr>
          <w:rFonts w:ascii="Times New Roman" w:hAnsi="Times New Roman"/>
          <w:color w:val="000000" w:themeColor="text1"/>
          <w:sz w:val="16"/>
          <w:szCs w:val="16"/>
        </w:rPr>
        <w:t xml:space="preserve"> работал над 2-х тактным дизелем. При испытаниях этот дизель в значи</w:t>
      </w:r>
      <w:r w:rsidRPr="007122AB">
        <w:rPr>
          <w:rFonts w:ascii="Times New Roman" w:hAnsi="Times New Roman"/>
          <w:color w:val="000000" w:themeColor="text1"/>
          <w:sz w:val="16"/>
          <w:szCs w:val="16"/>
        </w:rPr>
        <w:softHyphen/>
        <w:t>тельной степени работал на смазочном масле — при отключении подачи топлива была затруднена его остановка.</w:t>
      </w:r>
    </w:p>
    <w:p w14:paraId="6D59A8D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Москве же в </w:t>
      </w:r>
      <w:proofErr w:type="spellStart"/>
      <w:r w:rsidRPr="007122AB">
        <w:rPr>
          <w:rFonts w:ascii="Times New Roman" w:hAnsi="Times New Roman"/>
          <w:color w:val="000000" w:themeColor="text1"/>
          <w:sz w:val="16"/>
          <w:szCs w:val="16"/>
        </w:rPr>
        <w:t>ЦИАМе</w:t>
      </w:r>
      <w:proofErr w:type="spellEnd"/>
      <w:r w:rsidRPr="007122AB">
        <w:rPr>
          <w:rFonts w:ascii="Times New Roman" w:hAnsi="Times New Roman"/>
          <w:color w:val="000000" w:themeColor="text1"/>
          <w:sz w:val="16"/>
          <w:szCs w:val="16"/>
        </w:rPr>
        <w:t xml:space="preserve">, профессор </w:t>
      </w:r>
      <w:proofErr w:type="spellStart"/>
      <w:r w:rsidRPr="007122AB">
        <w:rPr>
          <w:rFonts w:ascii="Times New Roman" w:hAnsi="Times New Roman"/>
          <w:color w:val="000000" w:themeColor="text1"/>
          <w:sz w:val="16"/>
          <w:szCs w:val="16"/>
        </w:rPr>
        <w:t>Чаромский</w:t>
      </w:r>
      <w:proofErr w:type="spellEnd"/>
      <w:r w:rsidRPr="007122AB">
        <w:rPr>
          <w:rFonts w:ascii="Times New Roman" w:hAnsi="Times New Roman"/>
          <w:color w:val="000000" w:themeColor="text1"/>
          <w:sz w:val="16"/>
          <w:szCs w:val="16"/>
        </w:rPr>
        <w:t xml:space="preserve"> работал над 4-х такт</w:t>
      </w:r>
      <w:r w:rsidRPr="007122AB">
        <w:rPr>
          <w:rFonts w:ascii="Times New Roman" w:hAnsi="Times New Roman"/>
          <w:color w:val="000000" w:themeColor="text1"/>
          <w:sz w:val="16"/>
          <w:szCs w:val="16"/>
        </w:rPr>
        <w:softHyphen/>
        <w:t>ным дизелем со впрыском дополнительного топлива во всасывающий</w:t>
      </w:r>
    </w:p>
    <w:p w14:paraId="23AE259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трубопровод.</w:t>
      </w:r>
    </w:p>
    <w:p w14:paraId="6AE5707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Харькове в УНИИДВС под руководством профессора Майера разра</w:t>
      </w:r>
      <w:r w:rsidRPr="007122AB">
        <w:rPr>
          <w:rFonts w:ascii="Times New Roman" w:hAnsi="Times New Roman"/>
          <w:color w:val="000000" w:themeColor="text1"/>
          <w:sz w:val="16"/>
          <w:szCs w:val="16"/>
        </w:rPr>
        <w:softHyphen/>
        <w:t>батывался 4-х тактный дизель с частотой вращения коленчатого вала 1500 об/мин. При такой частоте вращения рабочий процесс дизеля со струй</w:t>
      </w:r>
      <w:r w:rsidRPr="007122AB">
        <w:rPr>
          <w:rFonts w:ascii="Times New Roman" w:hAnsi="Times New Roman"/>
          <w:color w:val="000000" w:themeColor="text1"/>
          <w:sz w:val="16"/>
          <w:szCs w:val="16"/>
        </w:rPr>
        <w:softHyphen/>
        <w:t>ным смесеобразованием вообще не отрабатывался. Было спроектировано и изготовлено 6 вариантов одноцилиндровых отсеков.</w:t>
      </w:r>
    </w:p>
    <w:p w14:paraId="7F18782B"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в нашей стране были организованы наркоматы и главные управления при Совнаркоме СССР. Было создано Главное управление гражданского воздушного флота, а в его системе — НИИ ГВФ в </w:t>
      </w:r>
      <w:proofErr w:type="spellStart"/>
      <w:r w:rsidRPr="007122AB">
        <w:rPr>
          <w:rFonts w:ascii="Times New Roman" w:hAnsi="Times New Roman"/>
          <w:color w:val="000000" w:themeColor="text1"/>
          <w:sz w:val="16"/>
          <w:szCs w:val="16"/>
        </w:rPr>
        <w:t>г.Москве</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Сарьковский</w:t>
      </w:r>
      <w:proofErr w:type="spellEnd"/>
      <w:r w:rsidRPr="007122AB">
        <w:rPr>
          <w:rFonts w:ascii="Times New Roman" w:hAnsi="Times New Roman"/>
          <w:color w:val="000000" w:themeColor="text1"/>
          <w:sz w:val="16"/>
          <w:szCs w:val="16"/>
        </w:rPr>
        <w:t xml:space="preserve"> УНИИДВС стал филиалом НИИ ГВФ (21.03.32), а затем самостоятельным институтом под названием УНИАДИ — Украинский </w:t>
      </w:r>
      <w:proofErr w:type="spellStart"/>
      <w:r w:rsidRPr="007122AB">
        <w:rPr>
          <w:rFonts w:ascii="Times New Roman" w:hAnsi="Times New Roman"/>
          <w:color w:val="000000" w:themeColor="text1"/>
          <w:sz w:val="16"/>
          <w:szCs w:val="16"/>
        </w:rPr>
        <w:t>цаучно</w:t>
      </w:r>
      <w:proofErr w:type="spellEnd"/>
      <w:r w:rsidRPr="007122AB">
        <w:rPr>
          <w:rFonts w:ascii="Times New Roman" w:hAnsi="Times New Roman"/>
          <w:color w:val="000000" w:themeColor="text1"/>
          <w:sz w:val="16"/>
          <w:szCs w:val="16"/>
        </w:rPr>
        <w:t xml:space="preserve">-исследовательский </w:t>
      </w:r>
      <w:proofErr w:type="spellStart"/>
      <w:r w:rsidRPr="007122AB">
        <w:rPr>
          <w:rFonts w:ascii="Times New Roman" w:hAnsi="Times New Roman"/>
          <w:color w:val="000000" w:themeColor="text1"/>
          <w:sz w:val="16"/>
          <w:szCs w:val="16"/>
        </w:rPr>
        <w:t>авиадизельный</w:t>
      </w:r>
      <w:proofErr w:type="spellEnd"/>
      <w:r w:rsidRPr="007122AB">
        <w:rPr>
          <w:rFonts w:ascii="Times New Roman" w:hAnsi="Times New Roman"/>
          <w:color w:val="000000" w:themeColor="text1"/>
          <w:sz w:val="16"/>
          <w:szCs w:val="16"/>
        </w:rPr>
        <w:t xml:space="preserve"> институт (также в 1932 г.) (11504).</w:t>
      </w:r>
    </w:p>
    <w:p w14:paraId="68C6FC0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FCD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В 1931 году на ХПХ были построены опытные образцы, которые выявили, что тягач, выполненный по тракторной схеме, не дает преимуществ в сравнении с предшественником. Недостатки конструкции устранялись под руководством Н.Г. Зубарева. Кардинально была изменена компоновка тягача. Он получил закрытую кабину, грузовую платформу, впервые в отечественной практике установили тяговую лебедку. Испытания показали, что в основном машина отвечает предъявленным требованиям по буксировке артсистем калибра 152 мм, а с 1935 года началось серийное производство. Всего было выпущено почти 2000 машин, которые широко использовались в армии и народном хозяйстве до конца 40-х годов (9154).</w:t>
      </w:r>
    </w:p>
    <w:p w14:paraId="3D2FCE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13094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 "Харьковском паровозостроительном заводе" (ХПЗ), основанном в 1897 г. на Украине, был создан второй центр советской танковой промышленности. Выпустив небольшую партию средних танков, он стал выпускать конструкцию Кристи - БТ, и здесь появилось новое конструкторское бюро. В Харькове также был выпущен 61 тяжёлый танк Т-35, конструкции завода "Большевик", по специальному заказу между 1933 и 1939 годами. Кроме танкового завода № 183, здесь был моторостроительный завод № 75, выпускавший авиационные двигатели М-5 и М-17, в то время ставившиеся на многие советские танки. На заводе № 75 был разработан и запущен в производство двигатель В-2 дизель, ставящийся на все советские танки до нашего времени. Завод № 183 и его КБ разработали и впервые приступили к выпуску всемирно известных танков Т-34 (4018).</w:t>
      </w:r>
    </w:p>
    <w:p w14:paraId="6B58BD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661C1E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КБ ленинградского завода «Большевик» под ру</w:t>
      </w:r>
      <w:r w:rsidRPr="007122AB">
        <w:rPr>
          <w:rFonts w:ascii="Times New Roman" w:hAnsi="Times New Roman"/>
          <w:color w:val="000000" w:themeColor="text1"/>
          <w:sz w:val="16"/>
          <w:szCs w:val="16"/>
        </w:rPr>
        <w:softHyphen/>
        <w:t xml:space="preserve">ководством К.К. </w:t>
      </w:r>
      <w:proofErr w:type="spellStart"/>
      <w:r w:rsidRPr="007122AB">
        <w:rPr>
          <w:rFonts w:ascii="Times New Roman" w:hAnsi="Times New Roman"/>
          <w:color w:val="000000" w:themeColor="text1"/>
          <w:sz w:val="16"/>
          <w:szCs w:val="16"/>
        </w:rPr>
        <w:t>Сиркена</w:t>
      </w:r>
      <w:proofErr w:type="spellEnd"/>
      <w:r w:rsidRPr="007122AB">
        <w:rPr>
          <w:rFonts w:ascii="Times New Roman" w:hAnsi="Times New Roman"/>
          <w:color w:val="000000" w:themeColor="text1"/>
          <w:sz w:val="16"/>
          <w:szCs w:val="16"/>
        </w:rPr>
        <w:t xml:space="preserve">, выполняя постановление РВС СССР от 2 октября 1930 г., разработало истребитель танков на шасси танкетки Т-27. Первоначально предполагалось, что он будет вооружаться 37-мм пушкой большой мощности конструкции П.Н. </w:t>
      </w:r>
      <w:proofErr w:type="spellStart"/>
      <w:r w:rsidRPr="007122AB">
        <w:rPr>
          <w:rFonts w:ascii="Times New Roman" w:hAnsi="Times New Roman"/>
          <w:color w:val="000000" w:themeColor="text1"/>
          <w:sz w:val="16"/>
          <w:szCs w:val="16"/>
        </w:rPr>
        <w:t>Сячинтова</w:t>
      </w:r>
      <w:proofErr w:type="spellEnd"/>
      <w:r w:rsidRPr="007122AB">
        <w:rPr>
          <w:rFonts w:ascii="Times New Roman" w:hAnsi="Times New Roman"/>
          <w:color w:val="000000" w:themeColor="text1"/>
          <w:sz w:val="16"/>
          <w:szCs w:val="16"/>
        </w:rPr>
        <w:t xml:space="preserve"> ПС-2. Однако ввиду того, что орудие ПС-2 освоено в серии не было, а 37-мм пушек Б-3 (5К) не хватало для вооружения танков Т-26 и БТ-2, было принято решение об установке на Т-27 вместо 7,62-мм пуле</w:t>
      </w:r>
      <w:r w:rsidRPr="007122AB">
        <w:rPr>
          <w:rFonts w:ascii="Times New Roman" w:hAnsi="Times New Roman"/>
          <w:color w:val="000000" w:themeColor="text1"/>
          <w:sz w:val="16"/>
          <w:szCs w:val="16"/>
        </w:rPr>
        <w:softHyphen/>
        <w:t xml:space="preserve">мета ДТ 37-мм пушки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Собственно, главное отличие САУ заключалось именно в установке пушки вместо пуле</w:t>
      </w:r>
      <w:r w:rsidRPr="007122AB">
        <w:rPr>
          <w:rFonts w:ascii="Times New Roman" w:hAnsi="Times New Roman"/>
          <w:color w:val="000000" w:themeColor="text1"/>
          <w:sz w:val="16"/>
          <w:szCs w:val="16"/>
        </w:rPr>
        <w:softHyphen/>
        <w:t>мета, но испытания первого построенного образца показа</w:t>
      </w:r>
      <w:r w:rsidRPr="007122AB">
        <w:rPr>
          <w:rFonts w:ascii="Times New Roman" w:hAnsi="Times New Roman"/>
          <w:color w:val="000000" w:themeColor="text1"/>
          <w:sz w:val="16"/>
          <w:szCs w:val="16"/>
        </w:rPr>
        <w:softHyphen/>
        <w:t>ли, что ходовая часть машины оказалась перегруженной. Поэтому второй экземпляр машины был «обут» в шасси с опорными катками большого диаметра.</w:t>
      </w:r>
    </w:p>
    <w:p w14:paraId="2F59946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Параллельно этой машине был изготовлен еще один опытный образец, в котором орудийная установка была смещена максимально вниз, а над ней в вертлюжной уста</w:t>
      </w:r>
      <w:r w:rsidRPr="007122AB">
        <w:rPr>
          <w:rFonts w:ascii="Times New Roman" w:hAnsi="Times New Roman"/>
          <w:color w:val="000000" w:themeColor="text1"/>
          <w:sz w:val="16"/>
          <w:szCs w:val="16"/>
        </w:rPr>
        <w:softHyphen/>
        <w:t>новке находился пулемет ДТ, который мог наводиться не</w:t>
      </w:r>
      <w:r w:rsidRPr="007122AB">
        <w:rPr>
          <w:rFonts w:ascii="Times New Roman" w:hAnsi="Times New Roman"/>
          <w:color w:val="000000" w:themeColor="text1"/>
          <w:sz w:val="16"/>
          <w:szCs w:val="16"/>
        </w:rPr>
        <w:softHyphen/>
        <w:t>зависимо. Другим крупным отличием этой машины от себе подобных было наличие в ней дублирующего управления на месте командира.</w:t>
      </w:r>
    </w:p>
    <w:p w14:paraId="1A9F6EE4"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ходе испытаний обе машины показали множество не</w:t>
      </w:r>
      <w:r w:rsidRPr="007122AB">
        <w:rPr>
          <w:rFonts w:ascii="Times New Roman" w:hAnsi="Times New Roman"/>
          <w:color w:val="000000" w:themeColor="text1"/>
          <w:sz w:val="16"/>
          <w:szCs w:val="16"/>
        </w:rPr>
        <w:softHyphen/>
        <w:t>достатков в системе охлаждения (двигатели сильно пере</w:t>
      </w:r>
      <w:r w:rsidRPr="007122AB">
        <w:rPr>
          <w:rFonts w:ascii="Times New Roman" w:hAnsi="Times New Roman"/>
          <w:color w:val="000000" w:themeColor="text1"/>
          <w:sz w:val="16"/>
          <w:szCs w:val="16"/>
        </w:rPr>
        <w:softHyphen/>
        <w:t xml:space="preserve">гревались), при использовании снарядных </w:t>
      </w:r>
      <w:proofErr w:type="spellStart"/>
      <w:r w:rsidRPr="007122AB">
        <w:rPr>
          <w:rFonts w:ascii="Times New Roman" w:hAnsi="Times New Roman"/>
          <w:color w:val="000000" w:themeColor="text1"/>
          <w:sz w:val="16"/>
          <w:szCs w:val="16"/>
        </w:rPr>
        <w:t>боеукладок</w:t>
      </w:r>
      <w:proofErr w:type="spellEnd"/>
      <w:r w:rsidRPr="007122AB">
        <w:rPr>
          <w:rFonts w:ascii="Times New Roman" w:hAnsi="Times New Roman"/>
          <w:color w:val="000000" w:themeColor="text1"/>
          <w:sz w:val="16"/>
          <w:szCs w:val="16"/>
        </w:rPr>
        <w:t>. Во второй машине пользоваться пулеметом было трудно.</w:t>
      </w:r>
    </w:p>
    <w:p w14:paraId="716DE622"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Заключение по результатам испытаний было отрица</w:t>
      </w:r>
      <w:r w:rsidRPr="007122AB">
        <w:rPr>
          <w:rFonts w:ascii="Times New Roman" w:hAnsi="Times New Roman"/>
          <w:color w:val="000000" w:themeColor="text1"/>
          <w:sz w:val="16"/>
          <w:szCs w:val="16"/>
        </w:rPr>
        <w:softHyphen/>
        <w:t>тельным. Дальнейшие работы по созданию противотанко</w:t>
      </w:r>
      <w:r w:rsidRPr="007122AB">
        <w:rPr>
          <w:rFonts w:ascii="Times New Roman" w:hAnsi="Times New Roman"/>
          <w:color w:val="000000" w:themeColor="text1"/>
          <w:sz w:val="16"/>
          <w:szCs w:val="16"/>
        </w:rPr>
        <w:softHyphen/>
        <w:t>вой САУ на шасси Т-27 были прекращены.</w:t>
      </w:r>
    </w:p>
    <w:p w14:paraId="2022A7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Также в 1928—1931 гг. ГКБ </w:t>
      </w:r>
      <w:proofErr w:type="spellStart"/>
      <w:r w:rsidRPr="007122AB">
        <w:rPr>
          <w:rFonts w:ascii="Times New Roman" w:hAnsi="Times New Roman"/>
          <w:color w:val="000000" w:themeColor="text1"/>
          <w:sz w:val="16"/>
          <w:szCs w:val="16"/>
        </w:rPr>
        <w:t>Оружобъединения</w:t>
      </w:r>
      <w:proofErr w:type="spellEnd"/>
      <w:r w:rsidRPr="007122AB">
        <w:rPr>
          <w:rFonts w:ascii="Times New Roman" w:hAnsi="Times New Roman"/>
          <w:color w:val="000000" w:themeColor="text1"/>
          <w:sz w:val="16"/>
          <w:szCs w:val="16"/>
        </w:rPr>
        <w:t xml:space="preserve"> спроекти</w:t>
      </w:r>
      <w:r w:rsidRPr="007122AB">
        <w:rPr>
          <w:rFonts w:ascii="Times New Roman" w:hAnsi="Times New Roman"/>
          <w:color w:val="000000" w:themeColor="text1"/>
          <w:sz w:val="16"/>
          <w:szCs w:val="16"/>
        </w:rPr>
        <w:softHyphen/>
        <w:t>ровало 60-мм самоходную батальонную пушку на шасси тан</w:t>
      </w:r>
      <w:r w:rsidRPr="007122AB">
        <w:rPr>
          <w:rFonts w:ascii="Times New Roman" w:hAnsi="Times New Roman"/>
          <w:color w:val="000000" w:themeColor="text1"/>
          <w:sz w:val="16"/>
          <w:szCs w:val="16"/>
        </w:rPr>
        <w:softHyphen/>
        <w:t xml:space="preserve">кетки «лилипут». После </w:t>
      </w:r>
      <w:proofErr w:type="spellStart"/>
      <w:r w:rsidRPr="007122AB">
        <w:rPr>
          <w:rFonts w:ascii="Times New Roman" w:hAnsi="Times New Roman"/>
          <w:color w:val="000000" w:themeColor="text1"/>
          <w:sz w:val="16"/>
          <w:szCs w:val="16"/>
        </w:rPr>
        <w:t>прекращеня</w:t>
      </w:r>
      <w:proofErr w:type="spellEnd"/>
      <w:r w:rsidRPr="007122AB">
        <w:rPr>
          <w:rFonts w:ascii="Times New Roman" w:hAnsi="Times New Roman"/>
          <w:color w:val="000000" w:themeColor="text1"/>
          <w:sz w:val="16"/>
          <w:szCs w:val="16"/>
        </w:rPr>
        <w:t xml:space="preserve"> работ над 60-мм пуш</w:t>
      </w:r>
      <w:r w:rsidRPr="007122AB">
        <w:rPr>
          <w:rFonts w:ascii="Times New Roman" w:hAnsi="Times New Roman"/>
          <w:color w:val="000000" w:themeColor="text1"/>
          <w:sz w:val="16"/>
          <w:szCs w:val="16"/>
        </w:rPr>
        <w:softHyphen/>
        <w:t>кой вооружение САУ было пересмотрено в пользу 76,2-мм полковой пушки. Но реализован проект не был (11417).</w:t>
      </w:r>
    </w:p>
    <w:p w14:paraId="6C7646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06BE1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начал строиться Нижнетагильский вагоностроительный завод НКТП, Уралвагонзавод /г. Нижний Тагил Свердловской обл./ как часть Урало-Кузбасского угольно-металлургического центра, 11.10.1936 г. были изготовлены первые вагоны, этот день стал днем рождения завода. До войны построено более 35 тыс. вагонов.</w:t>
      </w:r>
    </w:p>
    <w:p w14:paraId="15B23E5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Перед войной на заводе действовал филиал завода № 120 НКАП. По приказу № 668сс от 12.07.1941 г. часть завода (50 %) № 120 и КБ эвакуировались в Нижний Тагил на площадку своего филиала. По приказу № 1079с от 26.10.1941 г. часть завода № 120 в Нижнем Тагиле получила статус филиала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720EBCB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на площадку Уралвагонзавода планировалась эвакуация Кировского завода из Ленинграда.</w:t>
      </w:r>
    </w:p>
    <w:p w14:paraId="3A699C6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приказу № 729 от 1941 г. на часть площадки Уралвагонзавода был эвакуирован завод № 381 НКАП. Переезд проходил с 1.07 по 5.08.1941 г. По приказу № 675с от 14.07.1941 г. в состав завода № 381 был влит эвакуированный завод № 380 НКАП. В соответствии с пост. ГКО № 3028сс от 12.03.1943 г. и приказом № 175сс/161сс от 20.03.1943 г. площадка завода № 381 со всеми сооружениями передана Уралвагонзаводу в ведение НКТП.</w:t>
      </w:r>
    </w:p>
    <w:p w14:paraId="00A20D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началу декабря на площадку Нижнетагильского </w:t>
      </w:r>
      <w:proofErr w:type="spellStart"/>
      <w:r w:rsidRPr="007122AB">
        <w:rPr>
          <w:rFonts w:ascii="Times New Roman" w:hAnsi="Times New Roman"/>
          <w:color w:val="000000" w:themeColor="text1"/>
          <w:sz w:val="16"/>
          <w:szCs w:val="16"/>
        </w:rPr>
        <w:t>вагонзавода</w:t>
      </w:r>
      <w:proofErr w:type="spellEnd"/>
      <w:r w:rsidRPr="007122AB">
        <w:rPr>
          <w:rFonts w:ascii="Times New Roman" w:hAnsi="Times New Roman"/>
          <w:color w:val="000000" w:themeColor="text1"/>
          <w:sz w:val="16"/>
          <w:szCs w:val="16"/>
        </w:rPr>
        <w:t xml:space="preserve"> эвакуированы завод № 183 из Харькова и Мариупольский завод им. Ильича. Образован единый Уральский танковый завод № 183 НКТП.</w:t>
      </w:r>
    </w:p>
    <w:p w14:paraId="63FF4B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(-09.1941 г.)- М. Кривич (11982).</w:t>
      </w:r>
    </w:p>
    <w:p w14:paraId="541257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B8044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на вооружение РККА были приняты бронеавтомобили Д-8 и Д-12 на базе Форд-А и вскоре эти машины перестали удовлетворять требованиям армии, так как их пулеметные установки не обладали круговым обстрелом. В результате конструкторам было предложено разработать новый бронекорпус с установленным в башне вооружением (3862).</w:t>
      </w:r>
    </w:p>
    <w:p w14:paraId="548883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42C038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сборочный завод № 37, который был военным подразделением автозавода (первоначальное название КИМ, затем МЗМА, сейчас АЗЛК), построенного в Москве "Фордом" и выпускавшего машины из деталей поставляемых Горьковским автозаводом (ГАЗ), также построенным "Фордом", начал выпускать танкетки, а в 1933 г. перешли на выпуск легких танков амфибий (4018).</w:t>
      </w:r>
    </w:p>
    <w:p w14:paraId="778F3DA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D3E49E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1931 года над созданием легких танков работал московский завод № 37, последовательно освоивший выпуск танкеток Т-27, Т-27А, плавающих малых танков Т-37А и Т-38 нескольких модификаций, а также </w:t>
      </w:r>
      <w:proofErr w:type="spellStart"/>
      <w:r w:rsidRPr="007122AB">
        <w:rPr>
          <w:rFonts w:ascii="Times New Roman" w:hAnsi="Times New Roman"/>
          <w:color w:val="000000" w:themeColor="text1"/>
          <w:sz w:val="16"/>
          <w:szCs w:val="16"/>
        </w:rPr>
        <w:t>арттягачей</w:t>
      </w:r>
      <w:proofErr w:type="spellEnd"/>
      <w:r w:rsidRPr="007122AB">
        <w:rPr>
          <w:rFonts w:ascii="Times New Roman" w:hAnsi="Times New Roman"/>
          <w:color w:val="000000" w:themeColor="text1"/>
          <w:sz w:val="16"/>
          <w:szCs w:val="16"/>
        </w:rPr>
        <w:t xml:space="preserve"> "Пионер" и "Комсомолец". Вначале, эти машины имели силовой агрегат и ведущий мост Форд-АА, замененные впоследствии на аналогичные ГАЗ-АА и ГАЗ-М (3862).</w:t>
      </w:r>
    </w:p>
    <w:p w14:paraId="69A5E8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CE7924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был создан опытный образец танка ТММ-1 с несколько измененной конструкцией корпуса из-за установки двигателя жидкостного охлаждения "Геркулес" мощностью 95 л.с. Танк был вооружен двумя пулеметами Виккерс с водяным охлаждением в двух башнях и одним ДТ в корпусе справа. Ввиду этого экипаж его состоял из четырех человек. Боевая масса - 8 тонн, толщина брони - до 13 мм, скорость - 30 км/ч. Есть сведения об изготовлении десятка таких машин (3861).</w:t>
      </w:r>
    </w:p>
    <w:p w14:paraId="7AE4080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91605D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коллектив Опытного конструкторско-механического отдела (ОКМО) Машиностроительного завода "Большевик" (бывший Обуховский завод) в Ленинграде, возглавляемый </w:t>
      </w:r>
      <w:proofErr w:type="spellStart"/>
      <w:r w:rsidRPr="007122AB">
        <w:rPr>
          <w:rFonts w:ascii="Times New Roman" w:hAnsi="Times New Roman"/>
          <w:color w:val="000000" w:themeColor="text1"/>
          <w:sz w:val="16"/>
          <w:szCs w:val="16"/>
        </w:rPr>
        <w:t>Н.В.Барыковым</w:t>
      </w:r>
      <w:proofErr w:type="spellEnd"/>
      <w:r w:rsidRPr="007122AB">
        <w:rPr>
          <w:rFonts w:ascii="Times New Roman" w:hAnsi="Times New Roman"/>
          <w:color w:val="000000" w:themeColor="text1"/>
          <w:sz w:val="16"/>
          <w:szCs w:val="16"/>
        </w:rPr>
        <w:t xml:space="preserve">, приступил к проектированию трехбашенного среднего танка, предназначенного для качественного усиления общевойсковых соединений при прорыве сильно укрепленных оборонительных полос. Ведущим конструктором проекта был назначен </w:t>
      </w:r>
      <w:proofErr w:type="spellStart"/>
      <w:r w:rsidRPr="007122AB">
        <w:rPr>
          <w:rFonts w:ascii="Times New Roman" w:hAnsi="Times New Roman"/>
          <w:color w:val="000000" w:themeColor="text1"/>
          <w:sz w:val="16"/>
          <w:szCs w:val="16"/>
        </w:rPr>
        <w:t>Н.В.Цейц</w:t>
      </w:r>
      <w:proofErr w:type="spellEnd"/>
      <w:r w:rsidRPr="007122AB">
        <w:rPr>
          <w:rFonts w:ascii="Times New Roman" w:hAnsi="Times New Roman"/>
          <w:color w:val="000000" w:themeColor="text1"/>
          <w:sz w:val="16"/>
          <w:szCs w:val="16"/>
        </w:rPr>
        <w:t xml:space="preserve"> (3918).</w:t>
      </w:r>
    </w:p>
    <w:p w14:paraId="7CEB9DA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0C6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коллектив Опытного конструкторско-механического отдела Машиностроительного завода "Большевик" в Ленинграде, возглавляемый Н. В. Барыковым, приступил к проектированию трехбашенного среднего танка, предназначенного для качественного усиления общевойсковых соединений при прорыве укрепленных оборонительных полос. Ведущим конструктором проекта был назначен </w:t>
      </w:r>
      <w:proofErr w:type="spellStart"/>
      <w:r w:rsidRPr="007122AB">
        <w:rPr>
          <w:rFonts w:ascii="Times New Roman" w:hAnsi="Times New Roman"/>
          <w:color w:val="000000" w:themeColor="text1"/>
          <w:sz w:val="16"/>
          <w:szCs w:val="16"/>
        </w:rPr>
        <w:t>Н.В.Цейц</w:t>
      </w:r>
      <w:proofErr w:type="spellEnd"/>
      <w:r w:rsidRPr="007122AB">
        <w:rPr>
          <w:rFonts w:ascii="Times New Roman" w:hAnsi="Times New Roman"/>
          <w:color w:val="000000" w:themeColor="text1"/>
          <w:sz w:val="16"/>
          <w:szCs w:val="16"/>
        </w:rPr>
        <w:t xml:space="preserve"> (3862).</w:t>
      </w:r>
    </w:p>
    <w:p w14:paraId="55CA2E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869337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когда чаша весов в создании отечествен</w:t>
      </w:r>
      <w:r w:rsidRPr="007122AB">
        <w:rPr>
          <w:rFonts w:ascii="Times New Roman" w:hAnsi="Times New Roman"/>
          <w:color w:val="000000" w:themeColor="text1"/>
          <w:sz w:val="16"/>
          <w:szCs w:val="16"/>
        </w:rPr>
        <w:softHyphen/>
        <w:t>ной версии «</w:t>
      </w:r>
      <w:proofErr w:type="spellStart"/>
      <w:r w:rsidRPr="007122AB">
        <w:rPr>
          <w:rFonts w:ascii="Times New Roman" w:hAnsi="Times New Roman"/>
          <w:color w:val="000000" w:themeColor="text1"/>
          <w:sz w:val="16"/>
          <w:szCs w:val="16"/>
        </w:rPr>
        <w:t>шеститонника</w:t>
      </w:r>
      <w:proofErr w:type="spellEnd"/>
      <w:r w:rsidRPr="007122AB">
        <w:rPr>
          <w:rFonts w:ascii="Times New Roman" w:hAnsi="Times New Roman"/>
          <w:color w:val="000000" w:themeColor="text1"/>
          <w:sz w:val="16"/>
          <w:szCs w:val="16"/>
        </w:rPr>
        <w:t>» отчетливо качнулась в сторону двухбашенного «чистильщика окопов», С.А. Гинзбург добился финансирования работ по созданию «танка-истреби</w:t>
      </w:r>
      <w:r w:rsidRPr="007122AB">
        <w:rPr>
          <w:rFonts w:ascii="Times New Roman" w:hAnsi="Times New Roman"/>
          <w:color w:val="000000" w:themeColor="text1"/>
          <w:sz w:val="16"/>
          <w:szCs w:val="16"/>
        </w:rPr>
        <w:softHyphen/>
        <w:t xml:space="preserve">теля» на шасси В-26, оснащенного одной башней кругового вращения от танка Т-19 улучшенный, вооруженного 37-мм пушкой большой мощности, спаренной с пулеметом. По его мнению, такая схема «истребителя» имела большие преимущества перед предложенной англичанами (две 37-мм пушки в корпусе и две пулеметные башни) с точки зрения массы, стоимости и маневра вооружения. Однако до 1932 г. работы над этим танком совершенно не велись. Небольшая серия 37-мм пушек Б-3 (5К) была установлена в малой башне Т-26 взамен 37-мм орудия </w:t>
      </w:r>
      <w:proofErr w:type="spellStart"/>
      <w:r w:rsidRPr="007122AB">
        <w:rPr>
          <w:rFonts w:ascii="Times New Roman" w:hAnsi="Times New Roman"/>
          <w:color w:val="000000" w:themeColor="text1"/>
          <w:sz w:val="16"/>
          <w:szCs w:val="16"/>
        </w:rPr>
        <w:t>Гочкиса</w:t>
      </w:r>
      <w:proofErr w:type="spellEnd"/>
      <w:r w:rsidRPr="007122AB">
        <w:rPr>
          <w:rFonts w:ascii="Times New Roman" w:hAnsi="Times New Roman"/>
          <w:color w:val="000000" w:themeColor="text1"/>
          <w:sz w:val="16"/>
          <w:szCs w:val="16"/>
        </w:rPr>
        <w:t>, но ши</w:t>
      </w:r>
      <w:r w:rsidRPr="007122AB">
        <w:rPr>
          <w:rFonts w:ascii="Times New Roman" w:hAnsi="Times New Roman"/>
          <w:color w:val="000000" w:themeColor="text1"/>
          <w:sz w:val="16"/>
          <w:szCs w:val="16"/>
        </w:rPr>
        <w:softHyphen/>
        <w:t>рокого распространения этот опыт не получил (10733,210).</w:t>
      </w:r>
    </w:p>
    <w:p w14:paraId="06E7237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81C30"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на испытания вышел спроек</w:t>
      </w:r>
      <w:r w:rsidRPr="007122AB">
        <w:rPr>
          <w:rFonts w:ascii="Times New Roman" w:hAnsi="Times New Roman"/>
          <w:color w:val="000000" w:themeColor="text1"/>
          <w:sz w:val="16"/>
          <w:szCs w:val="16"/>
        </w:rPr>
        <w:softHyphen/>
        <w:t>тированный А. Кузиным и Б. Шишкиным полугусеничный автомобиль НАТИ-2, созданный на шасси «Форд-АА». После испытаний перво</w:t>
      </w:r>
      <w:r w:rsidRPr="007122AB">
        <w:rPr>
          <w:rFonts w:ascii="Times New Roman" w:hAnsi="Times New Roman"/>
          <w:color w:val="000000" w:themeColor="text1"/>
          <w:sz w:val="16"/>
          <w:szCs w:val="16"/>
        </w:rPr>
        <w:softHyphen/>
        <w:t>го образца и необходимых доработок в 1933 году появи</w:t>
      </w:r>
      <w:r w:rsidRPr="007122AB">
        <w:rPr>
          <w:rFonts w:ascii="Times New Roman" w:hAnsi="Times New Roman"/>
          <w:color w:val="000000" w:themeColor="text1"/>
          <w:sz w:val="16"/>
          <w:szCs w:val="16"/>
        </w:rPr>
        <w:softHyphen/>
        <w:t>лась модель НАТИ-3, а в 1936-м - НАТИ-ВЗ, изготовленные на базе отечественных грузовиков ГАЗ-АА. В 1937 го</w:t>
      </w:r>
      <w:r w:rsidRPr="007122AB">
        <w:rPr>
          <w:rFonts w:ascii="Times New Roman" w:hAnsi="Times New Roman"/>
          <w:color w:val="000000" w:themeColor="text1"/>
          <w:sz w:val="16"/>
          <w:szCs w:val="16"/>
        </w:rPr>
        <w:softHyphen/>
        <w:t>ду усовершенствованная модель НАТИ-ВЗ под индексом ГАЗ-60 была запущена в серийное производство.</w:t>
      </w:r>
    </w:p>
    <w:p w14:paraId="256E51B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Естественно, почти с самого начала производства полу</w:t>
      </w:r>
      <w:r w:rsidRPr="007122AB">
        <w:rPr>
          <w:rFonts w:ascii="Times New Roman" w:hAnsi="Times New Roman"/>
          <w:color w:val="000000" w:themeColor="text1"/>
          <w:sz w:val="16"/>
          <w:szCs w:val="16"/>
        </w:rPr>
        <w:softHyphen/>
        <w:t>гусеничных автомобилей их пытались использовать в каче</w:t>
      </w:r>
      <w:r w:rsidRPr="007122AB">
        <w:rPr>
          <w:rFonts w:ascii="Times New Roman" w:hAnsi="Times New Roman"/>
          <w:color w:val="000000" w:themeColor="text1"/>
          <w:sz w:val="16"/>
          <w:szCs w:val="16"/>
        </w:rPr>
        <w:softHyphen/>
        <w:t xml:space="preserve">стве базы для бронемашин. Первый в мире полугусеничный броневик (на шасси «Остин») с движителем </w:t>
      </w:r>
      <w:proofErr w:type="spellStart"/>
      <w:r w:rsidRPr="007122AB">
        <w:rPr>
          <w:rFonts w:ascii="Times New Roman" w:hAnsi="Times New Roman"/>
          <w:color w:val="000000" w:themeColor="text1"/>
          <w:sz w:val="16"/>
          <w:szCs w:val="16"/>
        </w:rPr>
        <w:t>Кегресса</w:t>
      </w:r>
      <w:proofErr w:type="spellEnd"/>
      <w:r w:rsidRPr="007122AB">
        <w:rPr>
          <w:rFonts w:ascii="Times New Roman" w:hAnsi="Times New Roman"/>
          <w:color w:val="000000" w:themeColor="text1"/>
          <w:sz w:val="16"/>
          <w:szCs w:val="16"/>
        </w:rPr>
        <w:t xml:space="preserve"> изго</w:t>
      </w:r>
      <w:r w:rsidRPr="007122AB">
        <w:rPr>
          <w:rFonts w:ascii="Times New Roman" w:hAnsi="Times New Roman"/>
          <w:color w:val="000000" w:themeColor="text1"/>
          <w:sz w:val="16"/>
          <w:szCs w:val="16"/>
        </w:rPr>
        <w:softHyphen/>
        <w:t>товили в 1916 году. Испытания прошли успешно, и было принято решение о перестановке на полугусеничный ход всех бронеавтомобилей Русской Армии. Однако события 1917 года и последовавшая за этим Гражданская война по</w:t>
      </w:r>
      <w:r w:rsidRPr="007122AB">
        <w:rPr>
          <w:rFonts w:ascii="Times New Roman" w:hAnsi="Times New Roman"/>
          <w:color w:val="000000" w:themeColor="text1"/>
          <w:sz w:val="16"/>
          <w:szCs w:val="16"/>
        </w:rPr>
        <w:softHyphen/>
        <w:t>мешали воплотить в жизнь эти планы (11284).</w:t>
      </w:r>
    </w:p>
    <w:p w14:paraId="144222D1"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E62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была выбрана строительная площадка ЧЗКС в районе озера Смолино, создано управление строительством во главе с </w:t>
      </w:r>
      <w:proofErr w:type="spellStart"/>
      <w:r w:rsidRPr="007122AB">
        <w:rPr>
          <w:rFonts w:ascii="Times New Roman" w:hAnsi="Times New Roman"/>
          <w:color w:val="000000" w:themeColor="text1"/>
          <w:sz w:val="16"/>
          <w:szCs w:val="16"/>
        </w:rPr>
        <w:t>М.И.Калитовым</w:t>
      </w:r>
      <w:proofErr w:type="spellEnd"/>
      <w:r w:rsidRPr="007122AB">
        <w:rPr>
          <w:rFonts w:ascii="Times New Roman" w:hAnsi="Times New Roman"/>
          <w:color w:val="000000" w:themeColor="text1"/>
          <w:sz w:val="16"/>
          <w:szCs w:val="16"/>
        </w:rPr>
        <w:t xml:space="preserve">. Развертывались работы по сооружению бетонного и лесопильного заводов, деревообрабатывающей мастерской, прокладывалась железнодорожная ветка до каменного и песчаного карьеров. В июле 1932 г. заложили первый дом на КБС – основу Ленинского района в Челябинске. </w:t>
      </w:r>
    </w:p>
    <w:p w14:paraId="1C435F9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По размерам своих цехов этот завод не уступал тракторному, а по размаху строительной площадки в полтора раза превосходил ЧТЗ. Он должен был выпускать ежегодно 440 станков массой от 35 до 40 тонн; 300 тыс. роликоподшипников для вагонов; 250 тыс. вагонных осей тяжёлого типа и 200 тыс. одно- и двухколёсных валов для </w:t>
      </w:r>
      <w:proofErr w:type="spellStart"/>
      <w:r w:rsidRPr="007122AB">
        <w:rPr>
          <w:rFonts w:ascii="Times New Roman" w:hAnsi="Times New Roman"/>
          <w:color w:val="000000" w:themeColor="text1"/>
          <w:sz w:val="16"/>
          <w:szCs w:val="16"/>
        </w:rPr>
        <w:t>нефтедвигателей</w:t>
      </w:r>
      <w:proofErr w:type="spellEnd"/>
      <w:r w:rsidRPr="007122AB">
        <w:rPr>
          <w:rFonts w:ascii="Times New Roman" w:hAnsi="Times New Roman"/>
          <w:color w:val="000000" w:themeColor="text1"/>
          <w:sz w:val="16"/>
          <w:szCs w:val="16"/>
        </w:rPr>
        <w:t>. Вся годовая продукция завода определялась в 106 млн. руб. Из 250 новых типов станков, которые обязаны были освоить заводы нашей страны во второй пятилетке, 25 типов предстояло выпускать Челябинскому предприятию.</w:t>
      </w:r>
    </w:p>
    <w:p w14:paraId="5FB5F9E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Сам станкозавод начинался с маленькой слесарной мастерской в центре города на улице Карла Маркса. Всё его оборудование составляли кузнечный горн, верстак и небольшой набор инструментов. Однако сроки закладки фундамента и сооружения заводских цехов затягивались. 28 марта 1932 г. коллегия Наркомата тяжёлой промышленности приняла решение о создании специальной организации для строительства завода – </w:t>
      </w:r>
      <w:proofErr w:type="spellStart"/>
      <w:r w:rsidRPr="007122AB">
        <w:rPr>
          <w:rFonts w:ascii="Times New Roman" w:hAnsi="Times New Roman"/>
          <w:color w:val="000000" w:themeColor="text1"/>
          <w:sz w:val="16"/>
          <w:szCs w:val="16"/>
        </w:rPr>
        <w:t>Челябспецстроя</w:t>
      </w:r>
      <w:proofErr w:type="spellEnd"/>
      <w:r w:rsidRPr="007122AB">
        <w:rPr>
          <w:rFonts w:ascii="Times New Roman" w:hAnsi="Times New Roman"/>
          <w:color w:val="000000" w:themeColor="text1"/>
          <w:sz w:val="16"/>
          <w:szCs w:val="16"/>
        </w:rPr>
        <w:t>, с обязательной передачей ему оборудования и техники по мере их освобождения на ЧТЗ (11557).</w:t>
      </w:r>
    </w:p>
    <w:p w14:paraId="634187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5E67545" w14:textId="77777777" w:rsidR="00CC65A3" w:rsidRPr="007122AB" w:rsidRDefault="00CC65A3" w:rsidP="007122AB">
      <w:pPr>
        <w:pStyle w:val="190"/>
        <w:shd w:val="clear" w:color="auto" w:fill="auto"/>
        <w:spacing w:before="0" w:after="0" w:line="240" w:lineRule="auto"/>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В 1931 году был создан новый образец походной кухни-</w:t>
      </w:r>
      <w:proofErr w:type="spellStart"/>
      <w:r w:rsidRPr="007122AB">
        <w:rPr>
          <w:rFonts w:ascii="Times New Roman" w:hAnsi="Times New Roman" w:cs="Times New Roman"/>
          <w:color w:val="000000" w:themeColor="text1"/>
          <w:sz w:val="16"/>
          <w:szCs w:val="16"/>
        </w:rPr>
        <w:t>автоприцепки</w:t>
      </w:r>
      <w:proofErr w:type="spellEnd"/>
      <w:r w:rsidRPr="007122AB">
        <w:rPr>
          <w:rFonts w:ascii="Times New Roman" w:hAnsi="Times New Roman" w:cs="Times New Roman"/>
          <w:color w:val="000000" w:themeColor="text1"/>
          <w:sz w:val="16"/>
          <w:szCs w:val="16"/>
        </w:rPr>
        <w:t xml:space="preserve"> стремя котла</w:t>
      </w:r>
      <w:r w:rsidRPr="007122AB">
        <w:rPr>
          <w:rFonts w:ascii="Times New Roman" w:hAnsi="Times New Roman" w:cs="Times New Roman"/>
          <w:color w:val="000000" w:themeColor="text1"/>
          <w:sz w:val="16"/>
          <w:szCs w:val="16"/>
        </w:rPr>
        <w:softHyphen/>
        <w:t>ми, дававшей возможность готовить сразу первое и второе блюда, а заодно еще греть кипяток для чая. Эта кухня получила обозна</w:t>
      </w:r>
      <w:r w:rsidRPr="007122AB">
        <w:rPr>
          <w:rFonts w:ascii="Times New Roman" w:hAnsi="Times New Roman" w:cs="Times New Roman"/>
          <w:color w:val="000000" w:themeColor="text1"/>
          <w:sz w:val="16"/>
          <w:szCs w:val="16"/>
        </w:rPr>
        <w:softHyphen/>
        <w:t>чение КП-3 (по количеству котлов) и сравни</w:t>
      </w:r>
      <w:r w:rsidRPr="007122AB">
        <w:rPr>
          <w:rFonts w:ascii="Times New Roman" w:hAnsi="Times New Roman" w:cs="Times New Roman"/>
          <w:color w:val="000000" w:themeColor="text1"/>
          <w:sz w:val="16"/>
          <w:szCs w:val="16"/>
        </w:rPr>
        <w:softHyphen/>
        <w:t>тельно массово поступала в войска для опыт</w:t>
      </w:r>
      <w:r w:rsidRPr="007122AB">
        <w:rPr>
          <w:rFonts w:ascii="Times New Roman" w:hAnsi="Times New Roman" w:cs="Times New Roman"/>
          <w:color w:val="000000" w:themeColor="text1"/>
          <w:sz w:val="16"/>
          <w:szCs w:val="16"/>
        </w:rPr>
        <w:softHyphen/>
        <w:t>ной эксплуатации, по результатам которой вносились изменения в конструкцию. К 1937 году окончательно сформировался облик этой кухни, и она была принята на снабжение с индексом КП-3-37.</w:t>
      </w:r>
      <w:r w:rsidRPr="007122AB">
        <w:rPr>
          <w:rStyle w:val="ArialNarrow345pt"/>
          <w:rFonts w:ascii="Times New Roman" w:hAnsi="Times New Roman" w:cs="Times New Roman"/>
          <w:color w:val="000000" w:themeColor="text1"/>
          <w:sz w:val="16"/>
          <w:szCs w:val="16"/>
        </w:rPr>
        <w:t xml:space="preserve"> С</w:t>
      </w:r>
      <w:r w:rsidRPr="007122AB">
        <w:rPr>
          <w:rFonts w:ascii="Times New Roman" w:hAnsi="Times New Roman" w:cs="Times New Roman"/>
          <w:color w:val="000000" w:themeColor="text1"/>
          <w:sz w:val="16"/>
          <w:szCs w:val="16"/>
        </w:rPr>
        <w:t>о стоявшими на снабжении еще в Первую мировою войну походными кухнями пехотно-артиллерийского, кавалерий</w:t>
      </w:r>
      <w:r w:rsidRPr="007122AB">
        <w:rPr>
          <w:rFonts w:ascii="Times New Roman" w:hAnsi="Times New Roman" w:cs="Times New Roman"/>
          <w:color w:val="000000" w:themeColor="text1"/>
          <w:sz w:val="16"/>
          <w:szCs w:val="16"/>
        </w:rPr>
        <w:softHyphen/>
        <w:t>ского и горно-вьючного образцов, для кото</w:t>
      </w:r>
      <w:r w:rsidRPr="007122AB">
        <w:rPr>
          <w:rFonts w:ascii="Times New Roman" w:hAnsi="Times New Roman" w:cs="Times New Roman"/>
          <w:color w:val="000000" w:themeColor="text1"/>
          <w:sz w:val="16"/>
          <w:szCs w:val="16"/>
        </w:rPr>
        <w:softHyphen/>
        <w:t>рых лошадки служили единственным транс</w:t>
      </w:r>
      <w:r w:rsidRPr="007122AB">
        <w:rPr>
          <w:rFonts w:ascii="Times New Roman" w:hAnsi="Times New Roman" w:cs="Times New Roman"/>
          <w:color w:val="000000" w:themeColor="text1"/>
          <w:sz w:val="16"/>
          <w:szCs w:val="16"/>
        </w:rPr>
        <w:softHyphen/>
        <w:t>портным средством, Рабоче-крестьянская Красная Армия (РККА) вошла и в эпоху годов. Ходовая часть этих кухонь мало отлича</w:t>
      </w:r>
      <w:r w:rsidRPr="007122AB">
        <w:rPr>
          <w:rFonts w:ascii="Times New Roman" w:hAnsi="Times New Roman" w:cs="Times New Roman"/>
          <w:color w:val="000000" w:themeColor="text1"/>
          <w:sz w:val="16"/>
          <w:szCs w:val="16"/>
        </w:rPr>
        <w:softHyphen/>
        <w:t>лась от обычной телеги, так что буксировку механической тягой они не допускали катего</w:t>
      </w:r>
      <w:r w:rsidRPr="007122AB">
        <w:rPr>
          <w:rFonts w:ascii="Times New Roman" w:hAnsi="Times New Roman" w:cs="Times New Roman"/>
          <w:color w:val="000000" w:themeColor="text1"/>
          <w:sz w:val="16"/>
          <w:szCs w:val="16"/>
        </w:rPr>
        <w:softHyphen/>
        <w:t>рически - просто разваливались. Между тем, в армии появились мотомеханизированные подразделения - в первую очередь, бронетан</w:t>
      </w:r>
      <w:r w:rsidRPr="007122AB">
        <w:rPr>
          <w:rFonts w:ascii="Times New Roman" w:hAnsi="Times New Roman" w:cs="Times New Roman"/>
          <w:color w:val="000000" w:themeColor="text1"/>
          <w:sz w:val="16"/>
          <w:szCs w:val="16"/>
        </w:rPr>
        <w:softHyphen/>
        <w:t>ковые - у которых лошадей уже не было даже по штату. Кроме того, кухни дореволюцион</w:t>
      </w:r>
      <w:r w:rsidRPr="007122AB">
        <w:rPr>
          <w:rFonts w:ascii="Times New Roman" w:hAnsi="Times New Roman" w:cs="Times New Roman"/>
          <w:color w:val="000000" w:themeColor="text1"/>
          <w:sz w:val="16"/>
          <w:szCs w:val="16"/>
        </w:rPr>
        <w:softHyphen/>
        <w:t xml:space="preserve">ных типов были с одним котлом, ведь силой обозных лошадей «второго разряда» больше не увезешь, и потому готовить в них можно </w:t>
      </w:r>
      <w:proofErr w:type="spellStart"/>
      <w:r w:rsidRPr="007122AB">
        <w:rPr>
          <w:rFonts w:ascii="Times New Roman" w:hAnsi="Times New Roman" w:cs="Times New Roman"/>
          <w:color w:val="000000" w:themeColor="text1"/>
          <w:sz w:val="16"/>
          <w:szCs w:val="16"/>
        </w:rPr>
        <w:t>былотолько</w:t>
      </w:r>
      <w:proofErr w:type="spellEnd"/>
      <w:r w:rsidRPr="007122AB">
        <w:rPr>
          <w:rFonts w:ascii="Times New Roman" w:hAnsi="Times New Roman" w:cs="Times New Roman"/>
          <w:color w:val="000000" w:themeColor="text1"/>
          <w:sz w:val="16"/>
          <w:szCs w:val="16"/>
        </w:rPr>
        <w:t xml:space="preserve"> какое-нибудь одно блюдо.</w:t>
      </w:r>
    </w:p>
    <w:p w14:paraId="352DA8EA" w14:textId="77777777" w:rsidR="00CC65A3" w:rsidRPr="007122AB" w:rsidRDefault="00CC65A3" w:rsidP="007122AB">
      <w:pPr>
        <w:pStyle w:val="190"/>
        <w:shd w:val="clear" w:color="auto" w:fill="auto"/>
        <w:spacing w:before="0" w:after="0" w:line="240" w:lineRule="auto"/>
        <w:jc w:val="both"/>
        <w:rPr>
          <w:rFonts w:ascii="Times New Roman" w:hAnsi="Times New Roman" w:cs="Times New Roman"/>
          <w:color w:val="000000" w:themeColor="text1"/>
          <w:sz w:val="16"/>
          <w:szCs w:val="16"/>
        </w:rPr>
      </w:pPr>
      <w:r w:rsidRPr="007122AB">
        <w:rPr>
          <w:rFonts w:ascii="Times New Roman" w:hAnsi="Times New Roman" w:cs="Times New Roman"/>
          <w:color w:val="000000" w:themeColor="text1"/>
          <w:sz w:val="16"/>
          <w:szCs w:val="16"/>
        </w:rPr>
        <w:t xml:space="preserve">По штату 1940 года в моторизованной дивизии РККА полагалось иметь 67 </w:t>
      </w:r>
      <w:proofErr w:type="spellStart"/>
      <w:r w:rsidRPr="007122AB">
        <w:rPr>
          <w:rFonts w:ascii="Times New Roman" w:hAnsi="Times New Roman" w:cs="Times New Roman"/>
          <w:color w:val="000000" w:themeColor="text1"/>
          <w:sz w:val="16"/>
          <w:szCs w:val="16"/>
        </w:rPr>
        <w:t>автоку</w:t>
      </w:r>
      <w:r w:rsidRPr="007122AB">
        <w:rPr>
          <w:rFonts w:ascii="Times New Roman" w:hAnsi="Times New Roman" w:cs="Times New Roman"/>
          <w:color w:val="000000" w:themeColor="text1"/>
          <w:sz w:val="16"/>
          <w:szCs w:val="16"/>
        </w:rPr>
        <w:softHyphen/>
        <w:t>хонь</w:t>
      </w:r>
      <w:proofErr w:type="spellEnd"/>
      <w:r w:rsidRPr="007122AB">
        <w:rPr>
          <w:rFonts w:ascii="Times New Roman" w:hAnsi="Times New Roman" w:cs="Times New Roman"/>
          <w:color w:val="000000" w:themeColor="text1"/>
          <w:sz w:val="16"/>
          <w:szCs w:val="16"/>
        </w:rPr>
        <w:t>, штат 05/71 1940 г. для моторизованно</w:t>
      </w:r>
      <w:r w:rsidRPr="007122AB">
        <w:rPr>
          <w:rFonts w:ascii="Times New Roman" w:hAnsi="Times New Roman" w:cs="Times New Roman"/>
          <w:color w:val="000000" w:themeColor="text1"/>
          <w:sz w:val="16"/>
          <w:szCs w:val="16"/>
        </w:rPr>
        <w:softHyphen/>
        <w:t xml:space="preserve">го полка предполагал 19 КП-3, а в танковом полку по штату 05/73 1940 года их должно было быть 12. </w:t>
      </w:r>
      <w:r w:rsidRPr="007122AB">
        <w:rPr>
          <w:rFonts w:ascii="Times New Roman" w:hAnsi="Times New Roman" w:cs="Times New Roman"/>
          <w:color w:val="000000" w:themeColor="text1"/>
          <w:sz w:val="16"/>
          <w:szCs w:val="16"/>
          <w:lang w:val="ru-RU"/>
        </w:rPr>
        <w:t>(19851).</w:t>
      </w:r>
    </w:p>
    <w:p w14:paraId="33B5F279" w14:textId="77777777" w:rsidR="00CC65A3" w:rsidRPr="007122AB" w:rsidRDefault="00CC65A3" w:rsidP="007122AB">
      <w:pPr>
        <w:spacing w:after="0" w:line="240" w:lineRule="auto"/>
        <w:jc w:val="both"/>
        <w:rPr>
          <w:rFonts w:ascii="Times New Roman" w:hAnsi="Times New Roman"/>
          <w:color w:val="000000" w:themeColor="text1"/>
          <w:sz w:val="16"/>
          <w:szCs w:val="16"/>
        </w:rPr>
      </w:pPr>
    </w:p>
    <w:p w14:paraId="640014B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число рабочих «</w:t>
      </w:r>
      <w:proofErr w:type="spellStart"/>
      <w:r w:rsidRPr="007122AB">
        <w:rPr>
          <w:rFonts w:ascii="Times New Roman" w:hAnsi="Times New Roman"/>
          <w:color w:val="000000" w:themeColor="text1"/>
          <w:sz w:val="16"/>
          <w:szCs w:val="16"/>
        </w:rPr>
        <w:t>Кузнецкстроя</w:t>
      </w:r>
      <w:proofErr w:type="spellEnd"/>
      <w:r w:rsidRPr="007122AB">
        <w:rPr>
          <w:rFonts w:ascii="Times New Roman" w:hAnsi="Times New Roman"/>
          <w:color w:val="000000" w:themeColor="text1"/>
          <w:sz w:val="16"/>
          <w:szCs w:val="16"/>
        </w:rPr>
        <w:t xml:space="preserve">»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w:t>
      </w:r>
      <w:proofErr w:type="spellStart"/>
      <w:r w:rsidRPr="007122AB">
        <w:rPr>
          <w:rFonts w:ascii="Times New Roman" w:hAnsi="Times New Roman"/>
          <w:color w:val="000000" w:themeColor="text1"/>
          <w:sz w:val="16"/>
          <w:szCs w:val="16"/>
        </w:rPr>
        <w:t>Фойгт</w:t>
      </w:r>
      <w:proofErr w:type="spellEnd"/>
      <w:r w:rsidRPr="007122AB">
        <w:rPr>
          <w:rFonts w:ascii="Times New Roman" w:hAnsi="Times New Roman"/>
          <w:color w:val="000000" w:themeColor="text1"/>
          <w:sz w:val="16"/>
          <w:szCs w:val="16"/>
        </w:rPr>
        <w:t xml:space="preserve">, до 62% строителей Кузнецкого комбината были раскулаченными крестьянами и заключенными (Л.И. </w:t>
      </w:r>
      <w:proofErr w:type="spellStart"/>
      <w:r w:rsidRPr="007122AB">
        <w:rPr>
          <w:rFonts w:ascii="Times New Roman" w:hAnsi="Times New Roman"/>
          <w:color w:val="000000" w:themeColor="text1"/>
          <w:sz w:val="16"/>
          <w:szCs w:val="16"/>
        </w:rPr>
        <w:t>Фойгт</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Сталинск</w:t>
      </w:r>
      <w:proofErr w:type="spellEnd"/>
      <w:r w:rsidRPr="007122AB">
        <w:rPr>
          <w:rFonts w:ascii="Times New Roman" w:hAnsi="Times New Roman"/>
          <w:color w:val="000000" w:themeColor="text1"/>
          <w:sz w:val="16"/>
          <w:szCs w:val="16"/>
        </w:rPr>
        <w:t xml:space="preserve"> в годы репрессий. Новокузнецк. 1993-1995). В 1931 году стройка освоила </w:t>
      </w:r>
      <w:proofErr w:type="spellStart"/>
      <w:r w:rsidRPr="007122AB">
        <w:rPr>
          <w:rFonts w:ascii="Times New Roman" w:hAnsi="Times New Roman"/>
          <w:color w:val="000000" w:themeColor="text1"/>
          <w:sz w:val="16"/>
          <w:szCs w:val="16"/>
        </w:rPr>
        <w:t>планово</w:t>
      </w:r>
      <w:proofErr w:type="spellEnd"/>
      <w:r w:rsidRPr="007122AB">
        <w:rPr>
          <w:rFonts w:ascii="Times New Roman" w:hAnsi="Times New Roman"/>
          <w:color w:val="000000" w:themeColor="text1"/>
          <w:sz w:val="16"/>
          <w:szCs w:val="16"/>
        </w:rPr>
        <w:t xml:space="preserve"> до 150 млн. рублей (в 1930 году – только 50 млн. рублей). К концу года в строй были введены вспомогательные цеха - литейный и </w:t>
      </w:r>
      <w:proofErr w:type="spellStart"/>
      <w:r w:rsidRPr="007122AB">
        <w:rPr>
          <w:rFonts w:ascii="Times New Roman" w:hAnsi="Times New Roman"/>
          <w:color w:val="000000" w:themeColor="text1"/>
          <w:sz w:val="16"/>
          <w:szCs w:val="16"/>
        </w:rPr>
        <w:t>шамото-динасовый</w:t>
      </w:r>
      <w:proofErr w:type="spellEnd"/>
      <w:r w:rsidRPr="007122AB">
        <w:rPr>
          <w:rFonts w:ascii="Times New Roman" w:hAnsi="Times New Roman"/>
          <w:color w:val="000000" w:themeColor="text1"/>
          <w:sz w:val="16"/>
          <w:szCs w:val="16"/>
        </w:rPr>
        <w:t xml:space="preserve">.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722711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C74EB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один из корпусов завода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7122AB">
        <w:rPr>
          <w:rFonts w:ascii="Times New Roman" w:hAnsi="Times New Roman"/>
          <w:color w:val="000000" w:themeColor="text1"/>
          <w:sz w:val="16"/>
          <w:szCs w:val="16"/>
          <w:lang w:val="en-US"/>
        </w:rPr>
        <w:t>MB</w:t>
      </w:r>
      <w:r w:rsidRPr="007122AB">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7122AB">
        <w:rPr>
          <w:rFonts w:ascii="Times New Roman" w:hAnsi="Times New Roman"/>
          <w:color w:val="000000" w:themeColor="text1"/>
          <w:sz w:val="16"/>
          <w:szCs w:val="16"/>
          <w:lang w:val="en-US"/>
        </w:rPr>
        <w:t>MOM</w:t>
      </w:r>
      <w:r w:rsidRPr="007122AB">
        <w:rPr>
          <w:rFonts w:ascii="Times New Roman" w:hAnsi="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был отдан заводу «</w:t>
      </w:r>
      <w:proofErr w:type="spellStart"/>
      <w:r w:rsidRPr="007122AB">
        <w:rPr>
          <w:rFonts w:ascii="Times New Roman" w:hAnsi="Times New Roman"/>
          <w:color w:val="000000" w:themeColor="text1"/>
          <w:sz w:val="16"/>
          <w:szCs w:val="16"/>
        </w:rPr>
        <w:t>Кинап</w:t>
      </w:r>
      <w:proofErr w:type="spellEnd"/>
      <w:r w:rsidRPr="007122AB">
        <w:rPr>
          <w:rFonts w:ascii="Times New Roman" w:hAnsi="Times New Roman"/>
          <w:color w:val="000000" w:themeColor="text1"/>
          <w:sz w:val="16"/>
          <w:szCs w:val="16"/>
        </w:rPr>
        <w:t>» (11982).</w:t>
      </w:r>
    </w:p>
    <w:p w14:paraId="7C236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646171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завод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который вступил в строй 9 января 1917 г., стал именоваться радиотелефонным, с конца 1933 г. Горьковский завод им. Ленина - в ведении «</w:t>
      </w:r>
      <w:proofErr w:type="spellStart"/>
      <w:r w:rsidRPr="007122AB">
        <w:rPr>
          <w:rFonts w:ascii="Times New Roman" w:hAnsi="Times New Roman"/>
          <w:color w:val="000000" w:themeColor="text1"/>
          <w:sz w:val="16"/>
          <w:szCs w:val="16"/>
        </w:rPr>
        <w:t>Главэспрома</w:t>
      </w:r>
      <w:proofErr w:type="spellEnd"/>
      <w:r w:rsidRPr="007122AB">
        <w:rPr>
          <w:rFonts w:ascii="Times New Roman" w:hAnsi="Times New Roman"/>
          <w:color w:val="000000" w:themeColor="text1"/>
          <w:sz w:val="16"/>
          <w:szCs w:val="16"/>
        </w:rPr>
        <w:t xml:space="preserve">» НКТП. 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79F206C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w:t>
      </w:r>
      <w:proofErr w:type="spellStart"/>
      <w:r w:rsidRPr="007122AB">
        <w:rPr>
          <w:rFonts w:ascii="Times New Roman" w:hAnsi="Times New Roman"/>
          <w:color w:val="000000" w:themeColor="text1"/>
          <w:sz w:val="16"/>
          <w:szCs w:val="16"/>
        </w:rPr>
        <w:t>Вулти</w:t>
      </w:r>
      <w:proofErr w:type="spellEnd"/>
      <w:r w:rsidRPr="007122AB">
        <w:rPr>
          <w:rFonts w:ascii="Times New Roman" w:hAnsi="Times New Roman"/>
          <w:color w:val="000000" w:themeColor="text1"/>
          <w:sz w:val="16"/>
          <w:szCs w:val="16"/>
        </w:rPr>
        <w:t>.</w:t>
      </w:r>
    </w:p>
    <w:p w14:paraId="54FA1C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1A15641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радиооборудования (1942 г.). 12.04.1944 г. вышло распоряжение ГКО № 5603 о мерах по обеспечению производства автомобильных радиостанций специальными </w:t>
      </w:r>
      <w:proofErr w:type="spellStart"/>
      <w:r w:rsidRPr="007122AB">
        <w:rPr>
          <w:rFonts w:ascii="Times New Roman" w:hAnsi="Times New Roman"/>
          <w:color w:val="000000" w:themeColor="text1"/>
          <w:sz w:val="16"/>
          <w:szCs w:val="16"/>
        </w:rPr>
        <w:t>автокузовами</w:t>
      </w:r>
      <w:proofErr w:type="spellEnd"/>
      <w:r w:rsidRPr="007122AB">
        <w:rPr>
          <w:rFonts w:ascii="Times New Roman" w:hAnsi="Times New Roman"/>
          <w:color w:val="000000" w:themeColor="text1"/>
          <w:sz w:val="16"/>
          <w:szCs w:val="16"/>
        </w:rPr>
        <w:t>.</w:t>
      </w:r>
    </w:p>
    <w:p w14:paraId="41ACD0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1DCFF5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1946 г. заводу поручена разработка и выпуск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метрового диапазона для войск ПВО. В 1947 г. на заводе создано СКБ.</w:t>
      </w:r>
    </w:p>
    <w:p w14:paraId="4E1AE2E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w:t>
      </w:r>
    </w:p>
    <w:p w14:paraId="787EEB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w:t>
      </w:r>
      <w:proofErr w:type="spellStart"/>
      <w:r w:rsidRPr="007122AB">
        <w:rPr>
          <w:rFonts w:ascii="Times New Roman" w:hAnsi="Times New Roman"/>
          <w:color w:val="000000" w:themeColor="text1"/>
          <w:sz w:val="16"/>
          <w:szCs w:val="16"/>
        </w:rPr>
        <w:t>Лахвицкий</w:t>
      </w:r>
      <w:proofErr w:type="spellEnd"/>
      <w:r w:rsidRPr="007122AB">
        <w:rPr>
          <w:rFonts w:ascii="Times New Roman" w:hAnsi="Times New Roman"/>
          <w:color w:val="000000" w:themeColor="text1"/>
          <w:sz w:val="16"/>
          <w:szCs w:val="16"/>
        </w:rPr>
        <w:t>). В 1986-87г,- вторая реконструкция телевизионного производства с установкой модульных линий.</w:t>
      </w:r>
    </w:p>
    <w:p w14:paraId="380EB0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1966 г. ГС завод № 197 переименован в ГТЗ им. В.И. Ленина. Входил в состав ПО «Радий».</w:t>
      </w:r>
    </w:p>
    <w:p w14:paraId="26A04B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1998 г. выпущено более 20 типов РЛС.</w:t>
      </w:r>
    </w:p>
    <w:p w14:paraId="6E7DA1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(2002 г.): дежурные средства РЛ метрового диапазона, аппаратура: сопряжения РЛС со </w:t>
      </w:r>
      <w:proofErr w:type="spellStart"/>
      <w:r w:rsidRPr="007122AB">
        <w:rPr>
          <w:rFonts w:ascii="Times New Roman" w:hAnsi="Times New Roman"/>
          <w:color w:val="000000" w:themeColor="text1"/>
          <w:sz w:val="16"/>
          <w:szCs w:val="16"/>
        </w:rPr>
        <w:t>стрельбовыми</w:t>
      </w:r>
      <w:proofErr w:type="spellEnd"/>
      <w:r w:rsidRPr="007122AB">
        <w:rPr>
          <w:rFonts w:ascii="Times New Roman" w:hAnsi="Times New Roman"/>
          <w:color w:val="000000" w:themeColor="text1"/>
          <w:sz w:val="16"/>
          <w:szCs w:val="16"/>
        </w:rPr>
        <w:t xml:space="preserve"> комплексами, для обучения и тренировки расчетов РЛС; модернизация РЛС.</w:t>
      </w:r>
    </w:p>
    <w:p w14:paraId="649D2B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7C8FBE2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(-16.05.1937 г.)- А.А. Соколенко; и.о. (16.05-10.1937 г.-)- Н.В. Добров; (-05-12.1938 г.-)- Н.В. Добров, (-1941 г.)- А.А. </w:t>
      </w:r>
      <w:proofErr w:type="spellStart"/>
      <w:r w:rsidRPr="007122AB">
        <w:rPr>
          <w:rFonts w:ascii="Times New Roman" w:hAnsi="Times New Roman"/>
          <w:color w:val="000000" w:themeColor="text1"/>
          <w:sz w:val="16"/>
          <w:szCs w:val="16"/>
        </w:rPr>
        <w:t>Форштер</w:t>
      </w:r>
      <w:proofErr w:type="spellEnd"/>
      <w:r w:rsidRPr="007122AB">
        <w:rPr>
          <w:rFonts w:ascii="Times New Roman" w:hAnsi="Times New Roman"/>
          <w:color w:val="000000" w:themeColor="text1"/>
          <w:sz w:val="16"/>
          <w:szCs w:val="16"/>
        </w:rPr>
        <w:t xml:space="preserve">, (1960-е)- В.К. Мошков, (1986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Копылов. Гендиректор (2002 г.)- В.Ф. Казаков, (2003 г.-)- С. Б. Самойлов.</w:t>
      </w:r>
    </w:p>
    <w:p w14:paraId="317F1B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(17.12.1938 г.-)- А.И. Васильев. Зам. гендиректора по кадровым вопросам и социальной сфере-  Г.А. Котлярова.</w:t>
      </w:r>
    </w:p>
    <w:p w14:paraId="7446AB0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Технический директор (2002 г.)- Э.Л. Воловский, А.В. Воробьев. Финансовый директор (2002 г.)- С.А. Бушуев.</w:t>
      </w:r>
    </w:p>
    <w:p w14:paraId="561C91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(17.12.1938 г.-)- А.И. Васильев, (1986 г.)-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Александров, (2002 г.)- С.Х. </w:t>
      </w:r>
      <w:proofErr w:type="spellStart"/>
      <w:r w:rsidRPr="007122AB">
        <w:rPr>
          <w:rFonts w:ascii="Times New Roman" w:hAnsi="Times New Roman"/>
          <w:color w:val="000000" w:themeColor="text1"/>
          <w:sz w:val="16"/>
          <w:szCs w:val="16"/>
        </w:rPr>
        <w:t>Тибилов</w:t>
      </w:r>
      <w:proofErr w:type="spellEnd"/>
      <w:r w:rsidRPr="007122AB">
        <w:rPr>
          <w:rFonts w:ascii="Times New Roman" w:hAnsi="Times New Roman"/>
          <w:color w:val="000000" w:themeColor="text1"/>
          <w:sz w:val="16"/>
          <w:szCs w:val="16"/>
        </w:rPr>
        <w:t>.</w:t>
      </w:r>
    </w:p>
    <w:p w14:paraId="2109807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инженера (1986 г.)- О.В. Татарчук.</w:t>
      </w:r>
    </w:p>
    <w:p w14:paraId="0491C9F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(1930-е)- И.А. Щербаковский, В.Н. Марков.</w:t>
      </w:r>
    </w:p>
    <w:p w14:paraId="67FEE5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гл. технолога (-1951 г.)- А.П. Щепин, Н.П. Калягин.</w:t>
      </w:r>
    </w:p>
    <w:p w14:paraId="38BDCD8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специальной телефонии (1937 г.-)- Б.С. Тамаркин; (1936 г.-)- А.А. </w:t>
      </w:r>
      <w:proofErr w:type="spellStart"/>
      <w:r w:rsidRPr="007122AB">
        <w:rPr>
          <w:rFonts w:ascii="Times New Roman" w:hAnsi="Times New Roman"/>
          <w:color w:val="000000" w:themeColor="text1"/>
          <w:sz w:val="16"/>
          <w:szCs w:val="16"/>
        </w:rPr>
        <w:t>Форштер</w:t>
      </w:r>
      <w:proofErr w:type="spellEnd"/>
      <w:r w:rsidRPr="007122AB">
        <w:rPr>
          <w:rFonts w:ascii="Times New Roman" w:hAnsi="Times New Roman"/>
          <w:color w:val="000000" w:themeColor="text1"/>
          <w:sz w:val="16"/>
          <w:szCs w:val="16"/>
        </w:rPr>
        <w:t>; лабораторий: изделий бытовой аппаратуры (1953 г.-)- Б.И. Аникин.</w:t>
      </w:r>
    </w:p>
    <w:p w14:paraId="6481956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конструкторы: (1944 г.)- М.М. Савинов (РСБ-5), (1947 г.)- Н.Д. Елкин (РСБ-70), (1985 г.)- А.А. </w:t>
      </w:r>
      <w:proofErr w:type="spellStart"/>
      <w:r w:rsidRPr="007122AB">
        <w:rPr>
          <w:rFonts w:ascii="Times New Roman" w:hAnsi="Times New Roman"/>
          <w:color w:val="000000" w:themeColor="text1"/>
          <w:sz w:val="16"/>
          <w:szCs w:val="16"/>
        </w:rPr>
        <w:t>Местер</w:t>
      </w:r>
      <w:proofErr w:type="spellEnd"/>
      <w:r w:rsidRPr="007122AB">
        <w:rPr>
          <w:rFonts w:ascii="Times New Roman" w:hAnsi="Times New Roman"/>
          <w:color w:val="000000" w:themeColor="text1"/>
          <w:sz w:val="16"/>
          <w:szCs w:val="16"/>
        </w:rPr>
        <w:t xml:space="preserve"> (ЗУСЦТ 51/61), (1992 г.)- В.М. Сафронов (УСЦТ1-51/61), (1993 г.)- С.И. Ярошук (НСП-001), (1990-е)- А.В. Филиппов (видеотехника).</w:t>
      </w:r>
    </w:p>
    <w:p w14:paraId="5A4E15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телефонные аппараты: типа «</w:t>
      </w:r>
      <w:proofErr w:type="spellStart"/>
      <w:r w:rsidRPr="007122AB">
        <w:rPr>
          <w:rFonts w:ascii="Times New Roman" w:hAnsi="Times New Roman"/>
          <w:color w:val="000000" w:themeColor="text1"/>
          <w:sz w:val="16"/>
          <w:szCs w:val="16"/>
        </w:rPr>
        <w:t>Гейслер</w:t>
      </w:r>
      <w:proofErr w:type="spellEnd"/>
      <w:r w:rsidRPr="007122AB">
        <w:rPr>
          <w:rFonts w:ascii="Times New Roman" w:hAnsi="Times New Roman"/>
          <w:color w:val="000000" w:themeColor="text1"/>
          <w:sz w:val="16"/>
          <w:szCs w:val="16"/>
        </w:rPr>
        <w:t xml:space="preserve">», системы </w:t>
      </w:r>
      <w:proofErr w:type="spellStart"/>
      <w:r w:rsidRPr="007122AB">
        <w:rPr>
          <w:rFonts w:ascii="Times New Roman" w:hAnsi="Times New Roman"/>
          <w:color w:val="000000" w:themeColor="text1"/>
          <w:sz w:val="16"/>
          <w:szCs w:val="16"/>
        </w:rPr>
        <w:t>Ботяновского</w:t>
      </w:r>
      <w:proofErr w:type="spellEnd"/>
      <w:r w:rsidRPr="007122AB">
        <w:rPr>
          <w:rFonts w:ascii="Times New Roman" w:hAnsi="Times New Roman"/>
          <w:color w:val="000000" w:themeColor="text1"/>
          <w:sz w:val="16"/>
          <w:szCs w:val="16"/>
        </w:rPr>
        <w:t xml:space="preserve">, ЦБ, МБ, унифицированные военно-полевые УНА-Ф-28, -Ф-31, -И-28, -И-31, Т-2, Т-4 (1941-42), Т (1947); коммутаторы: КОФ, РЭ-112, К-7, К-3 (1933-39); переговорные устройства: ТАГ, ТТС, К-2, БПУ (1935-47), самолетные </w:t>
      </w:r>
      <w:proofErr w:type="spellStart"/>
      <w:r w:rsidRPr="007122AB">
        <w:rPr>
          <w:rFonts w:ascii="Times New Roman" w:hAnsi="Times New Roman"/>
          <w:color w:val="000000" w:themeColor="text1"/>
          <w:sz w:val="16"/>
          <w:szCs w:val="16"/>
        </w:rPr>
        <w:t>СПУбис</w:t>
      </w:r>
      <w:proofErr w:type="spellEnd"/>
      <w:r w:rsidRPr="007122AB">
        <w:rPr>
          <w:rFonts w:ascii="Times New Roman" w:hAnsi="Times New Roman"/>
          <w:color w:val="000000" w:themeColor="text1"/>
          <w:sz w:val="16"/>
          <w:szCs w:val="16"/>
        </w:rPr>
        <w:t xml:space="preserve">, СПУ-2, СПУ-3 (- 1938-41-), танковые </w:t>
      </w:r>
      <w:proofErr w:type="spellStart"/>
      <w:r w:rsidRPr="007122AB">
        <w:rPr>
          <w:rFonts w:ascii="Times New Roman" w:hAnsi="Times New Roman"/>
          <w:color w:val="000000" w:themeColor="text1"/>
          <w:sz w:val="16"/>
          <w:szCs w:val="16"/>
        </w:rPr>
        <w:t>ТПУбис</w:t>
      </w:r>
      <w:proofErr w:type="spellEnd"/>
      <w:r w:rsidRPr="007122AB">
        <w:rPr>
          <w:rFonts w:ascii="Times New Roman" w:hAnsi="Times New Roman"/>
          <w:color w:val="000000" w:themeColor="text1"/>
          <w:sz w:val="16"/>
          <w:szCs w:val="16"/>
        </w:rPr>
        <w:t>,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w:t>
      </w:r>
      <w:proofErr w:type="spellStart"/>
      <w:r w:rsidRPr="007122AB">
        <w:rPr>
          <w:rFonts w:ascii="Times New Roman" w:hAnsi="Times New Roman"/>
          <w:color w:val="000000" w:themeColor="text1"/>
          <w:sz w:val="16"/>
          <w:szCs w:val="16"/>
        </w:rPr>
        <w:t>КВбис</w:t>
      </w:r>
      <w:proofErr w:type="spellEnd"/>
      <w:r w:rsidRPr="007122AB">
        <w:rPr>
          <w:rFonts w:ascii="Times New Roman" w:hAnsi="Times New Roman"/>
          <w:color w:val="000000" w:themeColor="text1"/>
          <w:sz w:val="16"/>
          <w:szCs w:val="16"/>
        </w:rPr>
        <w:t xml:space="preserve">, -КВ-3, -КВ-4, -КВ-5, «Дельфин» (1940-45), РК-05, РК-005 (1945), РСБ-Ф, РСВС-2 (1938), танковая РТУ-3 (1938), </w:t>
      </w:r>
      <w:proofErr w:type="spellStart"/>
      <w:r w:rsidRPr="007122AB">
        <w:rPr>
          <w:rFonts w:ascii="Times New Roman" w:hAnsi="Times New Roman"/>
          <w:color w:val="000000" w:themeColor="text1"/>
          <w:sz w:val="16"/>
          <w:szCs w:val="16"/>
        </w:rPr>
        <w:t>радиоприводная</w:t>
      </w:r>
      <w:proofErr w:type="spellEnd"/>
      <w:r w:rsidRPr="007122AB">
        <w:rPr>
          <w:rFonts w:ascii="Times New Roman" w:hAnsi="Times New Roman"/>
          <w:color w:val="000000" w:themeColor="text1"/>
          <w:sz w:val="16"/>
          <w:szCs w:val="16"/>
        </w:rPr>
        <w:t xml:space="preserve"> АПР-3, </w:t>
      </w:r>
      <w:proofErr w:type="spellStart"/>
      <w:r w:rsidRPr="007122AB">
        <w:rPr>
          <w:rFonts w:ascii="Times New Roman" w:hAnsi="Times New Roman"/>
          <w:color w:val="000000" w:themeColor="text1"/>
          <w:sz w:val="16"/>
          <w:szCs w:val="16"/>
        </w:rPr>
        <w:t>пеленгационная</w:t>
      </w:r>
      <w:proofErr w:type="spellEnd"/>
      <w:r w:rsidRPr="007122AB">
        <w:rPr>
          <w:rFonts w:ascii="Times New Roman" w:hAnsi="Times New Roman"/>
          <w:color w:val="000000" w:themeColor="text1"/>
          <w:sz w:val="16"/>
          <w:szCs w:val="16"/>
        </w:rPr>
        <w:t xml:space="preserve"> 54ДП, РТУ, РСУ «Терек» (1941-), ПАР-3, МПАР-2, командный радиоузел РУК, СРКС-00, РСБ-</w:t>
      </w:r>
      <w:proofErr w:type="spellStart"/>
      <w:r w:rsidRPr="007122AB">
        <w:rPr>
          <w:rFonts w:ascii="Times New Roman" w:hAnsi="Times New Roman"/>
          <w:color w:val="000000" w:themeColor="text1"/>
          <w:sz w:val="16"/>
          <w:szCs w:val="16"/>
        </w:rPr>
        <w:t>Збис</w:t>
      </w:r>
      <w:proofErr w:type="spellEnd"/>
      <w:r w:rsidRPr="007122AB">
        <w:rPr>
          <w:rFonts w:ascii="Times New Roman" w:hAnsi="Times New Roman"/>
          <w:color w:val="000000" w:themeColor="text1"/>
          <w:sz w:val="16"/>
          <w:szCs w:val="16"/>
        </w:rPr>
        <w:t>,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7122AB">
        <w:rPr>
          <w:rFonts w:ascii="Times New Roman" w:hAnsi="Times New Roman"/>
          <w:color w:val="000000" w:themeColor="text1"/>
          <w:sz w:val="16"/>
          <w:szCs w:val="16"/>
          <w:vertAlign w:val="superscript"/>
        </w:rPr>
        <w:t>69</w:t>
      </w:r>
      <w:r w:rsidRPr="007122AB">
        <w:rPr>
          <w:rFonts w:ascii="Times New Roman" w:hAnsi="Times New Roman"/>
          <w:color w:val="000000" w:themeColor="text1"/>
          <w:sz w:val="16"/>
          <w:szCs w:val="16"/>
        </w:rPr>
        <w:t xml:space="preserve"> АРЛСК 1РЛ116, 5Н85, 36Ж6; головные телефоны, микрофоны, микротелефоны, ларингофоны, </w:t>
      </w:r>
      <w:proofErr w:type="spellStart"/>
      <w:r w:rsidRPr="007122AB">
        <w:rPr>
          <w:rFonts w:ascii="Times New Roman" w:hAnsi="Times New Roman"/>
          <w:color w:val="000000" w:themeColor="text1"/>
          <w:sz w:val="16"/>
          <w:szCs w:val="16"/>
        </w:rPr>
        <w:t>джеки</w:t>
      </w:r>
      <w:proofErr w:type="spellEnd"/>
      <w:r w:rsidRPr="007122AB">
        <w:rPr>
          <w:rFonts w:ascii="Times New Roman" w:hAnsi="Times New Roman"/>
          <w:color w:val="000000" w:themeColor="text1"/>
          <w:sz w:val="16"/>
          <w:szCs w:val="16"/>
        </w:rPr>
        <w:t xml:space="preserve">,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w:t>
      </w:r>
      <w:r w:rsidRPr="007122AB">
        <w:rPr>
          <w:rFonts w:ascii="Times New Roman" w:hAnsi="Times New Roman"/>
          <w:color w:val="000000" w:themeColor="text1"/>
          <w:sz w:val="16"/>
          <w:szCs w:val="16"/>
        </w:rPr>
        <w:lastRenderedPageBreak/>
        <w:t xml:space="preserve">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7122AB">
        <w:rPr>
          <w:rFonts w:ascii="Times New Roman" w:hAnsi="Times New Roman"/>
          <w:color w:val="000000" w:themeColor="text1"/>
          <w:sz w:val="16"/>
          <w:szCs w:val="16"/>
          <w:lang w:val="en-US"/>
        </w:rPr>
        <w:t>VC</w:t>
      </w:r>
      <w:r w:rsidRPr="007122AB">
        <w:rPr>
          <w:rFonts w:ascii="Times New Roman" w:hAnsi="Times New Roman"/>
          <w:color w:val="000000" w:themeColor="text1"/>
          <w:sz w:val="16"/>
          <w:szCs w:val="16"/>
        </w:rPr>
        <w:t xml:space="preserve">-50 (1994-), </w:t>
      </w:r>
      <w:r w:rsidRPr="007122AB">
        <w:rPr>
          <w:rFonts w:ascii="Times New Roman" w:hAnsi="Times New Roman"/>
          <w:color w:val="000000" w:themeColor="text1"/>
          <w:sz w:val="16"/>
          <w:szCs w:val="16"/>
          <w:lang w:val="en-US"/>
        </w:rPr>
        <w:t>VC</w:t>
      </w:r>
      <w:r w:rsidRPr="007122AB">
        <w:rPr>
          <w:rFonts w:ascii="Times New Roman" w:hAnsi="Times New Roman"/>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7122AB">
        <w:rPr>
          <w:rFonts w:ascii="Times New Roman" w:hAnsi="Times New Roman"/>
          <w:color w:val="000000" w:themeColor="text1"/>
          <w:sz w:val="16"/>
          <w:szCs w:val="16"/>
          <w:vertAlign w:val="superscript"/>
          <w:lang w:val="en-US"/>
        </w:rPr>
        <w:t>aa</w:t>
      </w:r>
      <w:r w:rsidRPr="007122AB">
        <w:rPr>
          <w:rFonts w:ascii="Times New Roman" w:hAnsi="Times New Roman"/>
          <w:strike/>
          <w:color w:val="000000" w:themeColor="text1"/>
          <w:sz w:val="16"/>
          <w:szCs w:val="16"/>
          <w:vertAlign w:val="superscript"/>
        </w:rPr>
        <w:t>?</w:t>
      </w:r>
      <w:proofErr w:type="spellStart"/>
      <w:r w:rsidRPr="007122AB">
        <w:rPr>
          <w:rFonts w:ascii="Times New Roman" w:hAnsi="Times New Roman"/>
          <w:strike/>
          <w:color w:val="000000" w:themeColor="text1"/>
          <w:sz w:val="16"/>
          <w:szCs w:val="16"/>
          <w:vertAlign w:val="superscript"/>
          <w:lang w:val="en-US"/>
        </w:rPr>
        <w:t>wn</w:t>
      </w:r>
      <w:proofErr w:type="spellEnd"/>
      <w:r w:rsidRPr="007122AB">
        <w:rPr>
          <w:rFonts w:ascii="Times New Roman" w:hAnsi="Times New Roman"/>
          <w:strike/>
          <w:color w:val="000000" w:themeColor="text1"/>
          <w:sz w:val="16"/>
          <w:szCs w:val="16"/>
        </w:rPr>
        <w:t>"'</w:t>
      </w:r>
      <w:proofErr w:type="spellStart"/>
      <w:r w:rsidRPr="007122AB">
        <w:rPr>
          <w:rFonts w:ascii="Times New Roman" w:hAnsi="Times New Roman"/>
          <w:strike/>
          <w:color w:val="000000" w:themeColor="text1"/>
          <w:sz w:val="16"/>
          <w:szCs w:val="16"/>
          <w:vertAlign w:val="superscript"/>
          <w:lang w:val="en-US"/>
        </w:rPr>
        <w:t>semnJu</w:t>
      </w:r>
      <w:proofErr w:type="spellEnd"/>
      <w:r w:rsidRPr="007122AB">
        <w:rPr>
          <w:rFonts w:ascii="Times New Roman" w:hAnsi="Times New Roman"/>
          <w:strike/>
          <w:color w:val="000000" w:themeColor="text1"/>
          <w:sz w:val="16"/>
          <w:szCs w:val="16"/>
          <w:vertAlign w:val="superscript"/>
        </w:rPr>
        <w:t>/</w:t>
      </w:r>
      <w:r w:rsidRPr="007122AB">
        <w:rPr>
          <w:rFonts w:ascii="Times New Roman" w:hAnsi="Times New Roman"/>
          <w:strike/>
          <w:color w:val="000000" w:themeColor="text1"/>
          <w:sz w:val="16"/>
          <w:szCs w:val="16"/>
          <w:vertAlign w:val="superscript"/>
          <w:lang w:val="en-US"/>
        </w:rPr>
        <w:t>M</w:t>
      </w:r>
      <w:r w:rsidRPr="007122AB">
        <w:rPr>
          <w:rFonts w:ascii="Times New Roman" w:hAnsi="Times New Roman"/>
          <w:strike/>
          <w:color w:val="000000" w:themeColor="text1"/>
          <w:sz w:val="16"/>
          <w:szCs w:val="16"/>
          <w:vertAlign w:val="superscript"/>
        </w:rPr>
        <w:t>185</w:t>
      </w:r>
      <w:r w:rsidRPr="007122AB">
        <w:rPr>
          <w:rFonts w:ascii="Times New Roman" w:hAnsi="Times New Roman"/>
          <w:color w:val="000000" w:themeColor="text1"/>
          <w:sz w:val="16"/>
          <w:szCs w:val="16"/>
          <w:vertAlign w:val="superscript"/>
        </w:rPr>
        <w:t>1</w:t>
      </w:r>
    </w:p>
    <w:p w14:paraId="00A02F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СКБ завода № 197, СКБ-197, КБ ГТЗ им. Ленина, </w:t>
      </w:r>
      <w:proofErr w:type="spellStart"/>
      <w:r w:rsidRPr="007122AB">
        <w:rPr>
          <w:rFonts w:ascii="Times New Roman" w:hAnsi="Times New Roman"/>
          <w:color w:val="000000" w:themeColor="text1"/>
          <w:sz w:val="16"/>
          <w:szCs w:val="16"/>
        </w:rPr>
        <w:t>Горысовский</w:t>
      </w:r>
      <w:proofErr w:type="spellEnd"/>
      <w:r w:rsidRPr="007122AB">
        <w:rPr>
          <w:rFonts w:ascii="Times New Roman" w:hAnsi="Times New Roman"/>
          <w:color w:val="000000" w:themeColor="text1"/>
          <w:sz w:val="16"/>
          <w:szCs w:val="16"/>
        </w:rPr>
        <w:t xml:space="preserve"> НИИРТ (ГНИИРТ), ФГУП ФНПЦ «Нижегородский НИИ радиотехники» (ННИИРТ)</w:t>
      </w:r>
    </w:p>
    <w:p w14:paraId="1C59B0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/603600 (603950)  г. Нижний Новгород ул. Шапошникова, 5(7) тел. 65-00-69,64-02-83/</w:t>
      </w:r>
    </w:p>
    <w:p w14:paraId="37DA5E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СКБ завода № 197 образовано 30.09.1947 г. для разработки связных самолетных и аэродромных радиостанций и модернизации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П-3. По 1952 г. создано 10 типов и модификаций радиостанций.</w:t>
      </w:r>
    </w:p>
    <w:p w14:paraId="4F6CAC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1734BF4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1953 г. начата разработка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для войск ПВО: первые отечественные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с индикатором кругового обзора П-8; с перестройкой частоты П-10; П-12 с когерентно-компенсационной аппаратурой СДЦ; высокопотенциальная П-14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пост. СМ СССР № 640-288 от 16.06.1959 г.); метрового диапазона с </w:t>
      </w:r>
      <w:r w:rsidRPr="007122AB">
        <w:rPr>
          <w:rFonts w:ascii="Times New Roman" w:hAnsi="Times New Roman"/>
          <w:color w:val="000000" w:themeColor="text1"/>
          <w:sz w:val="16"/>
          <w:szCs w:val="16"/>
          <w:lang w:val="en-US"/>
        </w:rPr>
        <w:t>JI</w:t>
      </w:r>
      <w:r w:rsidRPr="007122AB">
        <w:rPr>
          <w:rFonts w:ascii="Times New Roman" w:hAnsi="Times New Roman"/>
          <w:color w:val="000000" w:themeColor="text1"/>
          <w:sz w:val="16"/>
          <w:szCs w:val="16"/>
        </w:rPr>
        <w:t>4</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зондирующим сигналом П-70; трехкоординатная </w:t>
      </w:r>
      <w:r w:rsidRPr="007122AB">
        <w:rPr>
          <w:rFonts w:ascii="Times New Roman" w:hAnsi="Times New Roman"/>
          <w:color w:val="000000" w:themeColor="text1"/>
          <w:sz w:val="16"/>
          <w:szCs w:val="16"/>
          <w:lang w:val="en-US"/>
        </w:rPr>
        <w:t>L</w:t>
      </w:r>
      <w:r w:rsidRPr="007122AB">
        <w:rPr>
          <w:rFonts w:ascii="Times New Roman" w:hAnsi="Times New Roman"/>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7122AB">
        <w:rPr>
          <w:rFonts w:ascii="Times New Roman" w:hAnsi="Times New Roman"/>
          <w:color w:val="000000" w:themeColor="text1"/>
          <w:sz w:val="16"/>
          <w:szCs w:val="16"/>
          <w:lang w:val="en-US"/>
        </w:rPr>
        <w:t>PJTC</w:t>
      </w:r>
      <w:r w:rsidRPr="007122AB">
        <w:rPr>
          <w:rFonts w:ascii="Times New Roman" w:hAnsi="Times New Roman"/>
          <w:color w:val="000000" w:themeColor="text1"/>
          <w:sz w:val="16"/>
          <w:szCs w:val="16"/>
        </w:rPr>
        <w:t xml:space="preserve"> с активной ФАР 1</w:t>
      </w:r>
      <w:r w:rsidRPr="007122AB">
        <w:rPr>
          <w:rFonts w:ascii="Times New Roman" w:hAnsi="Times New Roman"/>
          <w:color w:val="000000" w:themeColor="text1"/>
          <w:sz w:val="16"/>
          <w:szCs w:val="16"/>
          <w:lang w:val="en-US"/>
        </w:rPr>
        <w:t>JI</w:t>
      </w:r>
      <w:r w:rsidRPr="007122AB">
        <w:rPr>
          <w:rFonts w:ascii="Times New Roman" w:hAnsi="Times New Roman"/>
          <w:color w:val="000000" w:themeColor="text1"/>
          <w:sz w:val="16"/>
          <w:szCs w:val="16"/>
        </w:rPr>
        <w:t>119.</w:t>
      </w:r>
    </w:p>
    <w:p w14:paraId="5D99B8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6D3CF82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Выполнена НИР «Ока» по разработке принципов построения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с частотным качанием луча, создана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5Н69.</w:t>
      </w:r>
    </w:p>
    <w:p w14:paraId="57082E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начала 1980-х  г.- разработка вертолетных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7122AB">
        <w:rPr>
          <w:rFonts w:ascii="Times New Roman" w:hAnsi="Times New Roman"/>
          <w:color w:val="000000" w:themeColor="text1"/>
          <w:sz w:val="16"/>
          <w:szCs w:val="16"/>
          <w:lang w:val="en-US"/>
        </w:rPr>
        <w:t>PJI</w:t>
      </w:r>
      <w:r w:rsidRPr="007122AB">
        <w:rPr>
          <w:rFonts w:ascii="Times New Roman" w:hAnsi="Times New Roman"/>
          <w:color w:val="000000" w:themeColor="text1"/>
          <w:sz w:val="16"/>
          <w:szCs w:val="16"/>
        </w:rPr>
        <w:t xml:space="preserve"> обнаружению наземных целей.</w:t>
      </w:r>
    </w:p>
    <w:p w14:paraId="6FF0C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1995 г. предприятие освоило серийное производство своих разработок.</w:t>
      </w:r>
    </w:p>
    <w:p w14:paraId="03E9A11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Разработка (2002 г.): наземная и бортовая аппаратура радионавигации </w:t>
      </w:r>
      <w:r w:rsidRPr="007122AB">
        <w:rPr>
          <w:rFonts w:ascii="Times New Roman" w:hAnsi="Times New Roman"/>
          <w:color w:val="000000" w:themeColor="text1"/>
          <w:sz w:val="16"/>
          <w:szCs w:val="16"/>
          <w:lang w:val="en-US"/>
        </w:rPr>
        <w:t>JIA</w:t>
      </w:r>
      <w:r w:rsidRPr="007122AB">
        <w:rPr>
          <w:rFonts w:ascii="Times New Roman" w:hAnsi="Times New Roman"/>
          <w:color w:val="000000" w:themeColor="text1"/>
          <w:sz w:val="16"/>
          <w:szCs w:val="16"/>
        </w:rPr>
        <w:t xml:space="preserve">; системы дальнего обнаружения;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7122AB">
        <w:rPr>
          <w:rFonts w:ascii="Times New Roman" w:hAnsi="Times New Roman"/>
          <w:color w:val="000000" w:themeColor="text1"/>
          <w:sz w:val="16"/>
          <w:szCs w:val="16"/>
          <w:vertAlign w:val="superscript"/>
        </w:rPr>
        <w:t>69</w:t>
      </w:r>
    </w:p>
    <w:p w14:paraId="34D562F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 2004 г. создано более 35 типов </w:t>
      </w:r>
      <w:r w:rsidRPr="007122AB">
        <w:rPr>
          <w:rFonts w:ascii="Times New Roman" w:hAnsi="Times New Roman"/>
          <w:color w:val="000000" w:themeColor="text1"/>
          <w:sz w:val="16"/>
          <w:szCs w:val="16"/>
          <w:lang w:val="en-US"/>
        </w:rPr>
        <w:t>PJIC</w:t>
      </w:r>
      <w:r w:rsidRPr="007122AB">
        <w:rPr>
          <w:rFonts w:ascii="Times New Roman" w:hAnsi="Times New Roman"/>
          <w:color w:val="000000" w:themeColor="text1"/>
          <w:sz w:val="16"/>
          <w:szCs w:val="16"/>
        </w:rPr>
        <w:t>, из них 26 строились серийно.</w:t>
      </w:r>
    </w:p>
    <w:p w14:paraId="7943853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2E5B3C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(2004 г.)- 2500 чел.</w:t>
      </w:r>
    </w:p>
    <w:p w14:paraId="7D23E5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И.О. начальника (1947 г.-)- В.А. </w:t>
      </w:r>
      <w:proofErr w:type="spellStart"/>
      <w:r w:rsidRPr="007122AB">
        <w:rPr>
          <w:rFonts w:ascii="Times New Roman" w:hAnsi="Times New Roman"/>
          <w:color w:val="000000" w:themeColor="text1"/>
          <w:sz w:val="16"/>
          <w:szCs w:val="16"/>
        </w:rPr>
        <w:t>Авдентов</w:t>
      </w:r>
      <w:proofErr w:type="spellEnd"/>
      <w:r w:rsidRPr="007122AB">
        <w:rPr>
          <w:rFonts w:ascii="Times New Roman" w:hAnsi="Times New Roman"/>
          <w:color w:val="000000" w:themeColor="text1"/>
          <w:sz w:val="16"/>
          <w:szCs w:val="16"/>
        </w:rPr>
        <w:t xml:space="preserve">. Начальник (1947 г.-)- В.А. </w:t>
      </w:r>
      <w:proofErr w:type="spellStart"/>
      <w:r w:rsidRPr="007122AB">
        <w:rPr>
          <w:rFonts w:ascii="Times New Roman" w:hAnsi="Times New Roman"/>
          <w:color w:val="000000" w:themeColor="text1"/>
          <w:sz w:val="16"/>
          <w:szCs w:val="16"/>
        </w:rPr>
        <w:t>Авдентов</w:t>
      </w:r>
      <w:proofErr w:type="spellEnd"/>
      <w:r w:rsidRPr="007122AB">
        <w:rPr>
          <w:rFonts w:ascii="Times New Roman" w:hAnsi="Times New Roman"/>
          <w:color w:val="000000" w:themeColor="text1"/>
          <w:sz w:val="16"/>
          <w:szCs w:val="16"/>
        </w:rPr>
        <w:t xml:space="preserve">; и.о. (1948 г.)- Е.А. </w:t>
      </w:r>
      <w:proofErr w:type="spellStart"/>
      <w:r w:rsidRPr="007122AB">
        <w:rPr>
          <w:rFonts w:ascii="Times New Roman" w:hAnsi="Times New Roman"/>
          <w:color w:val="000000" w:themeColor="text1"/>
          <w:sz w:val="16"/>
          <w:szCs w:val="16"/>
        </w:rPr>
        <w:t>Меркин</w:t>
      </w:r>
      <w:proofErr w:type="spellEnd"/>
      <w:r w:rsidRPr="007122AB">
        <w:rPr>
          <w:rFonts w:ascii="Times New Roman" w:hAnsi="Times New Roman"/>
          <w:color w:val="000000" w:themeColor="text1"/>
          <w:sz w:val="16"/>
          <w:szCs w:val="16"/>
        </w:rPr>
        <w:t xml:space="preserve">; (-1949 г.)- Е.А. </w:t>
      </w:r>
      <w:proofErr w:type="spellStart"/>
      <w:r w:rsidRPr="007122AB">
        <w:rPr>
          <w:rFonts w:ascii="Times New Roman" w:hAnsi="Times New Roman"/>
          <w:color w:val="000000" w:themeColor="text1"/>
          <w:sz w:val="16"/>
          <w:szCs w:val="16"/>
        </w:rPr>
        <w:t>Меркин</w:t>
      </w:r>
      <w:proofErr w:type="spellEnd"/>
      <w:r w:rsidRPr="007122AB">
        <w:rPr>
          <w:rFonts w:ascii="Times New Roman" w:hAnsi="Times New Roman"/>
          <w:color w:val="000000" w:themeColor="text1"/>
          <w:sz w:val="16"/>
          <w:szCs w:val="16"/>
        </w:rPr>
        <w:t>, (1956; 1966 г.-)- Л.И. Панкратов, (1957-; -1981 г.)-  Г.К. Киселев. Директор (1981-94 г.)- В.А. Проскурин, (-2002-06 г.)- В.В. Москаленко, (2006-07 г.-&gt; А.А. Таныгин.</w:t>
      </w:r>
      <w:r w:rsidRPr="007122AB">
        <w:rPr>
          <w:rFonts w:ascii="Times New Roman" w:hAnsi="Times New Roman"/>
          <w:color w:val="000000" w:themeColor="text1"/>
          <w:sz w:val="16"/>
          <w:szCs w:val="16"/>
          <w:vertAlign w:val="superscript"/>
        </w:rPr>
        <w:t>130</w:t>
      </w:r>
    </w:p>
    <w:p w14:paraId="65180B1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1-й зам. директора (2007 г.)- А.Б. </w:t>
      </w:r>
      <w:proofErr w:type="spellStart"/>
      <w:r w:rsidRPr="007122AB">
        <w:rPr>
          <w:rFonts w:ascii="Times New Roman" w:hAnsi="Times New Roman"/>
          <w:color w:val="000000" w:themeColor="text1"/>
          <w:sz w:val="16"/>
          <w:szCs w:val="16"/>
        </w:rPr>
        <w:t>Бляхман</w:t>
      </w:r>
      <w:proofErr w:type="spellEnd"/>
      <w:r w:rsidRPr="007122AB">
        <w:rPr>
          <w:rFonts w:ascii="Times New Roman" w:hAnsi="Times New Roman"/>
          <w:color w:val="000000" w:themeColor="text1"/>
          <w:sz w:val="16"/>
          <w:szCs w:val="16"/>
        </w:rPr>
        <w:t xml:space="preserve">. Зам. начальника по производству (-1971 г.)- В.А. </w:t>
      </w:r>
      <w:proofErr w:type="spellStart"/>
      <w:r w:rsidRPr="007122AB">
        <w:rPr>
          <w:rFonts w:ascii="Times New Roman" w:hAnsi="Times New Roman"/>
          <w:color w:val="000000" w:themeColor="text1"/>
          <w:sz w:val="16"/>
          <w:szCs w:val="16"/>
        </w:rPr>
        <w:t>Авдентов</w:t>
      </w:r>
      <w:proofErr w:type="spellEnd"/>
      <w:r w:rsidRPr="007122AB">
        <w:rPr>
          <w:rFonts w:ascii="Times New Roman" w:hAnsi="Times New Roman"/>
          <w:color w:val="000000" w:themeColor="text1"/>
          <w:sz w:val="16"/>
          <w:szCs w:val="16"/>
        </w:rPr>
        <w:t xml:space="preserve">. Зам. директора: по научной работе (-1994 г.)- В.А. Антонов, по науке (-2005 г.)- А.А. </w:t>
      </w:r>
      <w:proofErr w:type="spellStart"/>
      <w:r w:rsidRPr="007122AB">
        <w:rPr>
          <w:rFonts w:ascii="Times New Roman" w:hAnsi="Times New Roman"/>
          <w:color w:val="000000" w:themeColor="text1"/>
          <w:sz w:val="16"/>
          <w:szCs w:val="16"/>
        </w:rPr>
        <w:t>Зачепицкий</w:t>
      </w:r>
      <w:proofErr w:type="spellEnd"/>
      <w:r w:rsidRPr="007122AB">
        <w:rPr>
          <w:rFonts w:ascii="Times New Roman" w:hAnsi="Times New Roman"/>
          <w:color w:val="000000" w:themeColor="text1"/>
          <w:sz w:val="16"/>
          <w:szCs w:val="16"/>
        </w:rPr>
        <w:t>; по производству- В.В. Москаленко.</w:t>
      </w:r>
    </w:p>
    <w:p w14:paraId="666DDDC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М. </w:t>
      </w:r>
      <w:proofErr w:type="spellStart"/>
      <w:r w:rsidRPr="007122AB">
        <w:rPr>
          <w:rFonts w:ascii="Times New Roman" w:hAnsi="Times New Roman"/>
          <w:color w:val="000000" w:themeColor="text1"/>
          <w:sz w:val="16"/>
          <w:szCs w:val="16"/>
        </w:rPr>
        <w:t>Лейких</w:t>
      </w:r>
      <w:proofErr w:type="spellEnd"/>
      <w:r w:rsidRPr="007122AB">
        <w:rPr>
          <w:rFonts w:ascii="Times New Roman" w:hAnsi="Times New Roman"/>
          <w:color w:val="000000" w:themeColor="text1"/>
          <w:sz w:val="16"/>
          <w:szCs w:val="16"/>
        </w:rPr>
        <w:t xml:space="preserve"> («Противник»), А.А. Зачепицкий.</w:t>
      </w:r>
      <w:r w:rsidRPr="007122AB">
        <w:rPr>
          <w:rFonts w:ascii="Times New Roman" w:hAnsi="Times New Roman"/>
          <w:color w:val="000000" w:themeColor="text1"/>
          <w:sz w:val="16"/>
          <w:szCs w:val="16"/>
          <w:vertAlign w:val="superscript"/>
        </w:rPr>
        <w:t>63</w:t>
      </w:r>
      <w:r w:rsidRPr="007122AB">
        <w:rPr>
          <w:rFonts w:ascii="Times New Roman" w:hAnsi="Times New Roman"/>
          <w:color w:val="000000" w:themeColor="text1"/>
          <w:sz w:val="16"/>
          <w:szCs w:val="16"/>
        </w:rPr>
        <w:t xml:space="preserve"> Ген. конструктор- А.Б. </w:t>
      </w:r>
      <w:proofErr w:type="spellStart"/>
      <w:r w:rsidRPr="007122AB">
        <w:rPr>
          <w:rFonts w:ascii="Times New Roman" w:hAnsi="Times New Roman"/>
          <w:color w:val="000000" w:themeColor="text1"/>
          <w:sz w:val="16"/>
          <w:szCs w:val="16"/>
        </w:rPr>
        <w:t>Бляхман</w:t>
      </w:r>
      <w:proofErr w:type="spellEnd"/>
      <w:r w:rsidRPr="007122AB">
        <w:rPr>
          <w:rFonts w:ascii="Times New Roman" w:hAnsi="Times New Roman"/>
          <w:color w:val="000000" w:themeColor="text1"/>
          <w:sz w:val="16"/>
          <w:szCs w:val="16"/>
        </w:rPr>
        <w:t xml:space="preserve">, (-2005 г.)- А.А. </w:t>
      </w:r>
      <w:proofErr w:type="spellStart"/>
      <w:r w:rsidRPr="007122AB">
        <w:rPr>
          <w:rFonts w:ascii="Times New Roman" w:hAnsi="Times New Roman"/>
          <w:color w:val="000000" w:themeColor="text1"/>
          <w:sz w:val="16"/>
          <w:szCs w:val="16"/>
        </w:rPr>
        <w:t>Зачепицкий</w:t>
      </w:r>
      <w:proofErr w:type="spellEnd"/>
      <w:r w:rsidRPr="007122AB">
        <w:rPr>
          <w:rFonts w:ascii="Times New Roman" w:hAnsi="Times New Roman"/>
          <w:color w:val="000000" w:themeColor="text1"/>
          <w:sz w:val="16"/>
          <w:szCs w:val="16"/>
        </w:rPr>
        <w:t>.</w:t>
      </w:r>
    </w:p>
    <w:p w14:paraId="1FE2CBA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(-1950 г.)- Н.И. Угланов, (1952-81 г.)- Е.В. Бухвалов, (-1994 г.)- В.А. Антонов, (-2001 г.)- В.М. </w:t>
      </w:r>
      <w:proofErr w:type="spellStart"/>
      <w:r w:rsidRPr="007122AB">
        <w:rPr>
          <w:rFonts w:ascii="Times New Roman" w:hAnsi="Times New Roman"/>
          <w:color w:val="000000" w:themeColor="text1"/>
          <w:sz w:val="16"/>
          <w:szCs w:val="16"/>
        </w:rPr>
        <w:t>Марескин</w:t>
      </w:r>
      <w:proofErr w:type="spellEnd"/>
      <w:r w:rsidRPr="007122AB">
        <w:rPr>
          <w:rFonts w:ascii="Times New Roman" w:hAnsi="Times New Roman"/>
          <w:color w:val="000000" w:themeColor="text1"/>
          <w:sz w:val="16"/>
          <w:szCs w:val="16"/>
        </w:rPr>
        <w:t>.</w:t>
      </w:r>
    </w:p>
    <w:p w14:paraId="5AAB98C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гл. инженера- А.Б. </w:t>
      </w:r>
      <w:proofErr w:type="spellStart"/>
      <w:r w:rsidRPr="007122AB">
        <w:rPr>
          <w:rFonts w:ascii="Times New Roman" w:hAnsi="Times New Roman"/>
          <w:color w:val="000000" w:themeColor="text1"/>
          <w:sz w:val="16"/>
          <w:szCs w:val="16"/>
        </w:rPr>
        <w:t>Бляхман</w:t>
      </w:r>
      <w:proofErr w:type="spellEnd"/>
      <w:r w:rsidRPr="007122AB">
        <w:rPr>
          <w:rFonts w:ascii="Times New Roman" w:hAnsi="Times New Roman"/>
          <w:color w:val="000000" w:themeColor="text1"/>
          <w:sz w:val="16"/>
          <w:szCs w:val="16"/>
        </w:rPr>
        <w:t>, Н.С. Ерофеев, А.И. Калинцев, В.В. Москаленко.</w:t>
      </w:r>
    </w:p>
    <w:p w14:paraId="04105B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производства (1972-79 г.)- Ю.П. Минаев; производства </w:t>
      </w:r>
      <w:proofErr w:type="spellStart"/>
      <w:r w:rsidRPr="007122AB">
        <w:rPr>
          <w:rFonts w:ascii="Times New Roman" w:hAnsi="Times New Roman"/>
          <w:color w:val="000000" w:themeColor="text1"/>
          <w:sz w:val="16"/>
          <w:szCs w:val="16"/>
        </w:rPr>
        <w:t>шефмонтажных</w:t>
      </w:r>
      <w:proofErr w:type="spellEnd"/>
      <w:r w:rsidRPr="007122AB">
        <w:rPr>
          <w:rFonts w:ascii="Times New Roman" w:hAnsi="Times New Roman"/>
          <w:color w:val="000000" w:themeColor="text1"/>
          <w:sz w:val="16"/>
          <w:szCs w:val="16"/>
        </w:rPr>
        <w:t xml:space="preserve"> и регулировочных работ, гарантийного и послегарантийного обслуживания эксплуатируемых изделий (2007 г.)- А.И. Калинцев.</w:t>
      </w:r>
    </w:p>
    <w:p w14:paraId="029489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конструкторы: В.А. Антонов (Э-801), Е.В. Бухвалов (П-ЗА, -8, -10, -12, -12М, -95), И. Г. Крылов (1Л13, 1Л119); направления (2007 г.)- А.Д. </w:t>
      </w:r>
      <w:proofErr w:type="spellStart"/>
      <w:r w:rsidRPr="007122AB">
        <w:rPr>
          <w:rFonts w:ascii="Times New Roman" w:hAnsi="Times New Roman"/>
          <w:color w:val="000000" w:themeColor="text1"/>
          <w:sz w:val="16"/>
          <w:szCs w:val="16"/>
        </w:rPr>
        <w:t>Бомштейн</w:t>
      </w:r>
      <w:proofErr w:type="spellEnd"/>
      <w:r w:rsidRPr="007122AB">
        <w:rPr>
          <w:rFonts w:ascii="Times New Roman" w:hAnsi="Times New Roman"/>
          <w:color w:val="000000" w:themeColor="text1"/>
          <w:sz w:val="16"/>
          <w:szCs w:val="16"/>
        </w:rPr>
        <w:t>.</w:t>
      </w:r>
    </w:p>
    <w:p w14:paraId="1776B6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гл. конструкторов: В.А. Антонов (5Н84А, 55Ж6, 1Л13), А.Д. </w:t>
      </w:r>
      <w:proofErr w:type="spellStart"/>
      <w:r w:rsidRPr="007122AB">
        <w:rPr>
          <w:rFonts w:ascii="Times New Roman" w:hAnsi="Times New Roman"/>
          <w:color w:val="000000" w:themeColor="text1"/>
          <w:sz w:val="16"/>
          <w:szCs w:val="16"/>
        </w:rPr>
        <w:t>Бомштейн</w:t>
      </w:r>
      <w:proofErr w:type="spellEnd"/>
      <w:r w:rsidRPr="007122AB">
        <w:rPr>
          <w:rFonts w:ascii="Times New Roman" w:hAnsi="Times New Roman"/>
          <w:color w:val="000000" w:themeColor="text1"/>
          <w:sz w:val="16"/>
          <w:szCs w:val="16"/>
        </w:rPr>
        <w:t xml:space="preserve"> (55Ж6У), Н.М. Вагин (1Л13), </w:t>
      </w:r>
      <w:r w:rsidRPr="007122AB">
        <w:rPr>
          <w:rFonts w:ascii="Times New Roman" w:hAnsi="Times New Roman"/>
          <w:color w:val="000000" w:themeColor="text1"/>
          <w:sz w:val="16"/>
          <w:szCs w:val="16"/>
          <w:lang w:val="en-US"/>
        </w:rPr>
        <w:t>P</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Глухих (П-14, -14Ф, -70, 5Н69), А.И. Калинцев (55Ж6, 55Ж6У),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Каненгисер</w:t>
      </w:r>
      <w:proofErr w:type="spellEnd"/>
      <w:r w:rsidRPr="007122AB">
        <w:rPr>
          <w:rFonts w:ascii="Times New Roman" w:hAnsi="Times New Roman"/>
          <w:color w:val="000000" w:themeColor="text1"/>
          <w:sz w:val="16"/>
          <w:szCs w:val="16"/>
        </w:rPr>
        <w:t xml:space="preserve"> (55Ж6У), А.В. Карпов (П- 14),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Клячев</w:t>
      </w:r>
      <w:proofErr w:type="spellEnd"/>
      <w:r w:rsidRPr="007122AB">
        <w:rPr>
          <w:rFonts w:ascii="Times New Roman" w:hAnsi="Times New Roman"/>
          <w:color w:val="000000" w:themeColor="text1"/>
          <w:sz w:val="16"/>
          <w:szCs w:val="16"/>
        </w:rPr>
        <w:t xml:space="preserve"> (5Н69), А. Г. Крылов (5Н69), И. Г. Крылов (5Н84-А), В.М. </w:t>
      </w:r>
      <w:proofErr w:type="spellStart"/>
      <w:r w:rsidRPr="007122AB">
        <w:rPr>
          <w:rFonts w:ascii="Times New Roman" w:hAnsi="Times New Roman"/>
          <w:color w:val="000000" w:themeColor="text1"/>
          <w:sz w:val="16"/>
          <w:szCs w:val="16"/>
        </w:rPr>
        <w:t>Марескин</w:t>
      </w:r>
      <w:proofErr w:type="spellEnd"/>
      <w:r w:rsidRPr="007122AB">
        <w:rPr>
          <w:rFonts w:ascii="Times New Roman" w:hAnsi="Times New Roman"/>
          <w:color w:val="000000" w:themeColor="text1"/>
          <w:sz w:val="16"/>
          <w:szCs w:val="16"/>
        </w:rPr>
        <w:t xml:space="preserve">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Флаум</w:t>
      </w:r>
      <w:proofErr w:type="spellEnd"/>
      <w:r w:rsidRPr="007122AB">
        <w:rPr>
          <w:rFonts w:ascii="Times New Roman" w:hAnsi="Times New Roman"/>
          <w:color w:val="000000" w:themeColor="text1"/>
          <w:sz w:val="16"/>
          <w:szCs w:val="16"/>
        </w:rPr>
        <w:t xml:space="preserve"> (55Ж6, 55Ж6У), В.А. </w:t>
      </w:r>
      <w:proofErr w:type="spellStart"/>
      <w:r w:rsidRPr="007122AB">
        <w:rPr>
          <w:rFonts w:ascii="Times New Roman" w:hAnsi="Times New Roman"/>
          <w:color w:val="000000" w:themeColor="text1"/>
          <w:sz w:val="16"/>
          <w:szCs w:val="16"/>
        </w:rPr>
        <w:t>Целибеев</w:t>
      </w:r>
      <w:proofErr w:type="spellEnd"/>
      <w:r w:rsidRPr="007122AB">
        <w:rPr>
          <w:rFonts w:ascii="Times New Roman" w:hAnsi="Times New Roman"/>
          <w:color w:val="000000" w:themeColor="text1"/>
          <w:sz w:val="16"/>
          <w:szCs w:val="16"/>
        </w:rPr>
        <w:t xml:space="preserve"> (5Н69, Э-801).</w:t>
      </w:r>
    </w:p>
    <w:p w14:paraId="40531E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отделений: Н.С. Ерофеев, А.И. Калинцев, В.М. </w:t>
      </w:r>
      <w:proofErr w:type="spellStart"/>
      <w:r w:rsidRPr="007122AB">
        <w:rPr>
          <w:rFonts w:ascii="Times New Roman" w:hAnsi="Times New Roman"/>
          <w:color w:val="000000" w:themeColor="text1"/>
          <w:sz w:val="16"/>
          <w:szCs w:val="16"/>
        </w:rPr>
        <w:t>Марескин</w:t>
      </w:r>
      <w:proofErr w:type="spellEnd"/>
      <w:r w:rsidRPr="007122AB">
        <w:rPr>
          <w:rFonts w:ascii="Times New Roman" w:hAnsi="Times New Roman"/>
          <w:color w:val="000000" w:themeColor="text1"/>
          <w:sz w:val="16"/>
          <w:szCs w:val="16"/>
        </w:rPr>
        <w:t xml:space="preserve">, В.В. Москаленко, В.А. </w:t>
      </w:r>
      <w:proofErr w:type="spellStart"/>
      <w:r w:rsidRPr="007122AB">
        <w:rPr>
          <w:rFonts w:ascii="Times New Roman" w:hAnsi="Times New Roman"/>
          <w:color w:val="000000" w:themeColor="text1"/>
          <w:sz w:val="16"/>
          <w:szCs w:val="16"/>
        </w:rPr>
        <w:t>Целибеев</w:t>
      </w:r>
      <w:proofErr w:type="spellEnd"/>
      <w:r w:rsidRPr="007122AB">
        <w:rPr>
          <w:rFonts w:ascii="Times New Roman" w:hAnsi="Times New Roman"/>
          <w:color w:val="000000" w:themeColor="text1"/>
          <w:sz w:val="16"/>
          <w:szCs w:val="16"/>
        </w:rPr>
        <w:t>.</w:t>
      </w:r>
    </w:p>
    <w:p w14:paraId="4FCAA9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отделения: (2007 г.)- А.Д. </w:t>
      </w:r>
      <w:proofErr w:type="spellStart"/>
      <w:r w:rsidRPr="007122AB">
        <w:rPr>
          <w:rFonts w:ascii="Times New Roman" w:hAnsi="Times New Roman"/>
          <w:color w:val="000000" w:themeColor="text1"/>
          <w:sz w:val="16"/>
          <w:szCs w:val="16"/>
        </w:rPr>
        <w:t>Бомштейн</w:t>
      </w:r>
      <w:proofErr w:type="spellEnd"/>
      <w:r w:rsidRPr="007122AB">
        <w:rPr>
          <w:rFonts w:ascii="Times New Roman" w:hAnsi="Times New Roman"/>
          <w:color w:val="000000" w:themeColor="text1"/>
          <w:sz w:val="16"/>
          <w:szCs w:val="16"/>
        </w:rPr>
        <w:t xml:space="preserve">, (-1990 г.)- В.А. </w:t>
      </w:r>
      <w:proofErr w:type="spellStart"/>
      <w:r w:rsidRPr="007122AB">
        <w:rPr>
          <w:rFonts w:ascii="Times New Roman" w:hAnsi="Times New Roman"/>
          <w:color w:val="000000" w:themeColor="text1"/>
          <w:sz w:val="16"/>
          <w:szCs w:val="16"/>
        </w:rPr>
        <w:t>Целибеев</w:t>
      </w:r>
      <w:proofErr w:type="spellEnd"/>
      <w:r w:rsidRPr="007122AB">
        <w:rPr>
          <w:rFonts w:ascii="Times New Roman" w:hAnsi="Times New Roman"/>
          <w:color w:val="000000" w:themeColor="text1"/>
          <w:sz w:val="16"/>
          <w:szCs w:val="16"/>
        </w:rPr>
        <w:t>.</w:t>
      </w:r>
    </w:p>
    <w:p w14:paraId="2CE026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А.Б. </w:t>
      </w:r>
      <w:proofErr w:type="spellStart"/>
      <w:r w:rsidRPr="007122AB">
        <w:rPr>
          <w:rFonts w:ascii="Times New Roman" w:hAnsi="Times New Roman"/>
          <w:color w:val="000000" w:themeColor="text1"/>
          <w:sz w:val="16"/>
          <w:szCs w:val="16"/>
        </w:rPr>
        <w:t>Бляхман</w:t>
      </w:r>
      <w:proofErr w:type="spellEnd"/>
      <w:r w:rsidRPr="007122AB">
        <w:rPr>
          <w:rFonts w:ascii="Times New Roman" w:hAnsi="Times New Roman"/>
          <w:color w:val="000000" w:themeColor="text1"/>
          <w:sz w:val="16"/>
          <w:szCs w:val="16"/>
        </w:rPr>
        <w:t xml:space="preserve">, (2007 г.)- А.Д. </w:t>
      </w:r>
      <w:proofErr w:type="spellStart"/>
      <w:r w:rsidRPr="007122AB">
        <w:rPr>
          <w:rFonts w:ascii="Times New Roman" w:hAnsi="Times New Roman"/>
          <w:color w:val="000000" w:themeColor="text1"/>
          <w:sz w:val="16"/>
          <w:szCs w:val="16"/>
        </w:rPr>
        <w:t>Бомштейн</w:t>
      </w:r>
      <w:proofErr w:type="spellEnd"/>
      <w:r w:rsidRPr="007122AB">
        <w:rPr>
          <w:rFonts w:ascii="Times New Roman" w:hAnsi="Times New Roman"/>
          <w:color w:val="000000" w:themeColor="text1"/>
          <w:sz w:val="16"/>
          <w:szCs w:val="16"/>
        </w:rPr>
        <w:t xml:space="preserve">, Н.М. Вагин, </w:t>
      </w:r>
      <w:r w:rsidRPr="007122AB">
        <w:rPr>
          <w:rFonts w:ascii="Times New Roman" w:hAnsi="Times New Roman"/>
          <w:color w:val="000000" w:themeColor="text1"/>
          <w:sz w:val="16"/>
          <w:szCs w:val="16"/>
          <w:lang w:val="en-US"/>
        </w:rPr>
        <w:t>P</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Глухих, А.А. </w:t>
      </w:r>
      <w:proofErr w:type="spellStart"/>
      <w:r w:rsidRPr="007122AB">
        <w:rPr>
          <w:rFonts w:ascii="Times New Roman" w:hAnsi="Times New Roman"/>
          <w:color w:val="000000" w:themeColor="text1"/>
          <w:sz w:val="16"/>
          <w:szCs w:val="16"/>
        </w:rPr>
        <w:t>Зачепицкий</w:t>
      </w:r>
      <w:proofErr w:type="spellEnd"/>
      <w:r w:rsidRPr="007122AB">
        <w:rPr>
          <w:rFonts w:ascii="Times New Roman" w:hAnsi="Times New Roman"/>
          <w:color w:val="000000" w:themeColor="text1"/>
          <w:sz w:val="16"/>
          <w:szCs w:val="16"/>
        </w:rPr>
        <w:t xml:space="preserve">, А.И. Калинцев,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Клячев</w:t>
      </w:r>
      <w:proofErr w:type="spellEnd"/>
      <w:r w:rsidRPr="007122AB">
        <w:rPr>
          <w:rFonts w:ascii="Times New Roman" w:hAnsi="Times New Roman"/>
          <w:color w:val="000000" w:themeColor="text1"/>
          <w:sz w:val="16"/>
          <w:szCs w:val="16"/>
        </w:rPr>
        <w:t xml:space="preserve">, В.М. </w:t>
      </w:r>
      <w:proofErr w:type="spellStart"/>
      <w:r w:rsidRPr="007122AB">
        <w:rPr>
          <w:rFonts w:ascii="Times New Roman" w:hAnsi="Times New Roman"/>
          <w:color w:val="000000" w:themeColor="text1"/>
          <w:sz w:val="16"/>
          <w:szCs w:val="16"/>
        </w:rPr>
        <w:t>Марескин</w:t>
      </w:r>
      <w:proofErr w:type="spellEnd"/>
      <w:r w:rsidRPr="007122AB">
        <w:rPr>
          <w:rFonts w:ascii="Times New Roman" w:hAnsi="Times New Roman"/>
          <w:color w:val="000000" w:themeColor="text1"/>
          <w:sz w:val="16"/>
          <w:szCs w:val="16"/>
        </w:rPr>
        <w:t xml:space="preserve">, В.В. Москаленко, В.И. Овсянников, (-1958 г.)- Н.И. Полежаев, (2000-е)- А.И. Резчиков, (-1987 г.)- Ю.Н. Соколов, </w:t>
      </w:r>
      <w:r w:rsidRPr="007122AB">
        <w:rPr>
          <w:rFonts w:ascii="Times New Roman" w:hAnsi="Times New Roman"/>
          <w:color w:val="000000" w:themeColor="text1"/>
          <w:sz w:val="16"/>
          <w:szCs w:val="16"/>
          <w:lang w:val="en-US"/>
        </w:rPr>
        <w:t>A</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M</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Флаум</w:t>
      </w:r>
      <w:proofErr w:type="spellEnd"/>
      <w:r w:rsidRPr="007122AB">
        <w:rPr>
          <w:rFonts w:ascii="Times New Roman" w:hAnsi="Times New Roman"/>
          <w:color w:val="000000" w:themeColor="text1"/>
          <w:sz w:val="16"/>
          <w:szCs w:val="16"/>
        </w:rPr>
        <w:t xml:space="preserve">, (-1990 г.)- В.А. </w:t>
      </w:r>
      <w:proofErr w:type="spellStart"/>
      <w:r w:rsidRPr="007122AB">
        <w:rPr>
          <w:rFonts w:ascii="Times New Roman" w:hAnsi="Times New Roman"/>
          <w:color w:val="000000" w:themeColor="text1"/>
          <w:sz w:val="16"/>
          <w:szCs w:val="16"/>
        </w:rPr>
        <w:t>Целибеев</w:t>
      </w:r>
      <w:proofErr w:type="spellEnd"/>
      <w:r w:rsidRPr="007122AB">
        <w:rPr>
          <w:rFonts w:ascii="Times New Roman" w:hAnsi="Times New Roman"/>
          <w:color w:val="000000" w:themeColor="text1"/>
          <w:sz w:val="16"/>
          <w:szCs w:val="16"/>
        </w:rPr>
        <w:t>.</w:t>
      </w:r>
    </w:p>
    <w:p w14:paraId="2E2B926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отдела: (2007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Каненгисер</w:t>
      </w:r>
      <w:proofErr w:type="spellEnd"/>
      <w:r w:rsidRPr="007122AB">
        <w:rPr>
          <w:rFonts w:ascii="Times New Roman" w:hAnsi="Times New Roman"/>
          <w:color w:val="000000" w:themeColor="text1"/>
          <w:sz w:val="16"/>
          <w:szCs w:val="16"/>
        </w:rPr>
        <w:t>, (-1979 г.)- Ю.И. Пахомов.</w:t>
      </w:r>
    </w:p>
    <w:p w14:paraId="589D29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секторов: В.А. Антонов, А.Д. </w:t>
      </w:r>
      <w:proofErr w:type="spellStart"/>
      <w:r w:rsidRPr="007122AB">
        <w:rPr>
          <w:rFonts w:ascii="Times New Roman" w:hAnsi="Times New Roman"/>
          <w:color w:val="000000" w:themeColor="text1"/>
          <w:sz w:val="16"/>
          <w:szCs w:val="16"/>
        </w:rPr>
        <w:t>Бомштейн</w:t>
      </w:r>
      <w:proofErr w:type="spellEnd"/>
      <w:r w:rsidRPr="007122AB">
        <w:rPr>
          <w:rFonts w:ascii="Times New Roman" w:hAnsi="Times New Roman"/>
          <w:color w:val="000000" w:themeColor="text1"/>
          <w:sz w:val="16"/>
          <w:szCs w:val="16"/>
        </w:rPr>
        <w:t>, Н.С. Ерофеев, (-2000 г.)- А. Г. Крылов, И. Г. Крылов, (2007 г.)- В.В. Масленников, Ю.И. Пахомов.</w:t>
      </w:r>
    </w:p>
    <w:p w14:paraId="2052CA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Зам. начальника сектора: А.Б. </w:t>
      </w:r>
      <w:proofErr w:type="spellStart"/>
      <w:r w:rsidRPr="007122AB">
        <w:rPr>
          <w:rFonts w:ascii="Times New Roman" w:hAnsi="Times New Roman"/>
          <w:color w:val="000000" w:themeColor="text1"/>
          <w:sz w:val="16"/>
          <w:szCs w:val="16"/>
        </w:rPr>
        <w:t>Бляхман</w:t>
      </w:r>
      <w:proofErr w:type="spellEnd"/>
      <w:r w:rsidRPr="007122AB">
        <w:rPr>
          <w:rFonts w:ascii="Times New Roman" w:hAnsi="Times New Roman"/>
          <w:color w:val="000000" w:themeColor="text1"/>
          <w:sz w:val="16"/>
          <w:szCs w:val="16"/>
        </w:rPr>
        <w:t>, В.В. Масленников.</w:t>
      </w:r>
    </w:p>
    <w:p w14:paraId="23350E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лабораторий: (-1998 г.)- И.Ц. </w:t>
      </w:r>
      <w:proofErr w:type="spellStart"/>
      <w:r w:rsidRPr="007122AB">
        <w:rPr>
          <w:rFonts w:ascii="Times New Roman" w:hAnsi="Times New Roman"/>
          <w:color w:val="000000" w:themeColor="text1"/>
          <w:sz w:val="16"/>
          <w:szCs w:val="16"/>
        </w:rPr>
        <w:t>Гросман</w:t>
      </w:r>
      <w:proofErr w:type="spellEnd"/>
      <w:r w:rsidRPr="007122AB">
        <w:rPr>
          <w:rFonts w:ascii="Times New Roman" w:hAnsi="Times New Roman"/>
          <w:color w:val="000000" w:themeColor="text1"/>
          <w:sz w:val="16"/>
          <w:szCs w:val="16"/>
        </w:rPr>
        <w:t xml:space="preserve">, Н.С. Ерофеев, А.В. Карпов, (1982 г.-)-  Г.К. Киселев, (-1991 г.)- Н.С. Митрофанов, В.И. Овсянников, Н.И. Полежаев, Ю.Н. Соколов, А.М. </w:t>
      </w:r>
      <w:proofErr w:type="spellStart"/>
      <w:r w:rsidRPr="007122AB">
        <w:rPr>
          <w:rFonts w:ascii="Times New Roman" w:hAnsi="Times New Roman"/>
          <w:color w:val="000000" w:themeColor="text1"/>
          <w:sz w:val="16"/>
          <w:szCs w:val="16"/>
        </w:rPr>
        <w:t>Флаум</w:t>
      </w:r>
      <w:proofErr w:type="spellEnd"/>
      <w:r w:rsidRPr="007122AB">
        <w:rPr>
          <w:rFonts w:ascii="Times New Roman" w:hAnsi="Times New Roman"/>
          <w:color w:val="000000" w:themeColor="text1"/>
          <w:sz w:val="16"/>
          <w:szCs w:val="16"/>
        </w:rPr>
        <w:t>.</w:t>
      </w:r>
    </w:p>
    <w:p w14:paraId="4588C00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начальника лаборатории: В.А. Антонов.</w:t>
      </w:r>
    </w:p>
    <w:p w14:paraId="2A3AC04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Научные руководители НИР: Ю.Н. Соколов («Ока»),</w:t>
      </w:r>
    </w:p>
    <w:p w14:paraId="2AEF3C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научного руководителя НИР: И. Г. Крылов.</w:t>
      </w:r>
      <w:r w:rsidRPr="007122AB">
        <w:rPr>
          <w:rFonts w:ascii="Times New Roman" w:hAnsi="Times New Roman"/>
          <w:color w:val="000000" w:themeColor="text1"/>
          <w:sz w:val="16"/>
          <w:szCs w:val="16"/>
          <w:vertAlign w:val="superscript"/>
        </w:rPr>
        <w:t>130</w:t>
      </w:r>
    </w:p>
    <w:p w14:paraId="36EE43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2003 г.), 52Э6 (</w:t>
      </w:r>
      <w:proofErr w:type="spellStart"/>
      <w:r w:rsidRPr="007122AB">
        <w:rPr>
          <w:rFonts w:ascii="Times New Roman" w:hAnsi="Times New Roman"/>
          <w:color w:val="000000" w:themeColor="text1"/>
          <w:sz w:val="16"/>
          <w:szCs w:val="16"/>
        </w:rPr>
        <w:t>пнв</w:t>
      </w:r>
      <w:proofErr w:type="spellEnd"/>
      <w:r w:rsidRPr="007122AB">
        <w:rPr>
          <w:rFonts w:ascii="Times New Roman" w:hAnsi="Times New Roman"/>
          <w:color w:val="000000" w:themeColor="text1"/>
          <w:sz w:val="16"/>
          <w:szCs w:val="16"/>
        </w:rPr>
        <w:t xml:space="preserve">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7122AB">
        <w:rPr>
          <w:rFonts w:ascii="Times New Roman" w:hAnsi="Times New Roman"/>
          <w:color w:val="000000" w:themeColor="text1"/>
          <w:sz w:val="16"/>
          <w:szCs w:val="16"/>
          <w:vertAlign w:val="superscript"/>
        </w:rPr>
        <w:t>63</w:t>
      </w:r>
      <w:r w:rsidRPr="007122AB">
        <w:rPr>
          <w:rFonts w:ascii="Times New Roman" w:hAnsi="Times New Roman"/>
          <w:color w:val="000000" w:themeColor="text1"/>
          <w:sz w:val="16"/>
          <w:szCs w:val="16"/>
        </w:rPr>
        <w:t xml:space="preserve"> центр диагностики и ремонта РЛС «Момент-1М» (1989-).</w:t>
      </w:r>
    </w:p>
    <w:p w14:paraId="6DA3ECD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«Радий»</w:t>
      </w:r>
    </w:p>
    <w:p w14:paraId="44C0FC8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составе ПО: ГТЗ, ГНИИРТ.</w:t>
      </w:r>
    </w:p>
    <w:p w14:paraId="3AA4580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ген. директора по научной работе (1981-94 г.)- В.А. Проскурин (11982).</w:t>
      </w:r>
    </w:p>
    <w:p w14:paraId="4DD2CD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B21AA9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мастерская, переданная в ведение Гидрографического управления ВМС РККА, была реорганизована в завод мореходных инструментов. В 1938 г. переименован в завод штурманских приборов (Завод № 338 НКВМФ, МВМС, Ленинградский государственный завод № 338 МСП,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Завод мореходных инструментов, Завод штурманских приборов / г. Санкт-Петербург,  г. Петроград,  г. Ленинград/).</w:t>
      </w:r>
    </w:p>
    <w:p w14:paraId="459A6A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11.1941 г. завод штурманских приборов действовал в Ленинграде,</w:t>
      </w:r>
      <w:r w:rsidRPr="007122AB">
        <w:rPr>
          <w:rFonts w:ascii="Times New Roman" w:hAnsi="Times New Roman"/>
          <w:color w:val="000000" w:themeColor="text1"/>
          <w:sz w:val="16"/>
          <w:szCs w:val="16"/>
          <w:vertAlign w:val="superscript"/>
        </w:rPr>
        <w:t>65</w:t>
      </w:r>
      <w:r w:rsidRPr="007122AB">
        <w:rPr>
          <w:rFonts w:ascii="Times New Roman" w:hAnsi="Times New Roman"/>
          <w:color w:val="000000" w:themeColor="text1"/>
          <w:sz w:val="16"/>
          <w:szCs w:val="16"/>
        </w:rPr>
        <w:t xml:space="preserve"> в 1943 г. он преобразован мастерские мореходных инструментов. В 1944 г. мастерские преобразованы в завод № 338 в ведении Гидрографического управления НКВМФ, (с 1946 г.- МВМС). В 1950 г. завод передан в МСП, с 07.1957 г.- в ведении Управления судостроительной промышленности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В 1959 г. в состав Ленинградского государственного завода № 338 влит Ленинградский завод «Гидрометприбор».</w:t>
      </w:r>
      <w:r w:rsidRPr="007122AB">
        <w:rPr>
          <w:rFonts w:ascii="Times New Roman" w:hAnsi="Times New Roman"/>
          <w:color w:val="000000" w:themeColor="text1"/>
          <w:sz w:val="16"/>
          <w:szCs w:val="16"/>
          <w:vertAlign w:val="superscript"/>
        </w:rPr>
        <w:t>131</w:t>
      </w:r>
    </w:p>
    <w:p w14:paraId="5004DA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измеритель скорости торпедного катера (1946).</w:t>
      </w:r>
    </w:p>
    <w:p w14:paraId="6540D5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ОАО «Штурманские приборы» /г. Санкт-Петербург/</w:t>
      </w:r>
    </w:p>
    <w:p w14:paraId="033EC8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A928C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ФГУП «Сафоновский завод «</w:t>
      </w:r>
      <w:proofErr w:type="spellStart"/>
      <w:r w:rsidRPr="007122AB">
        <w:rPr>
          <w:rFonts w:ascii="Times New Roman" w:hAnsi="Times New Roman"/>
          <w:color w:val="000000" w:themeColor="text1"/>
          <w:sz w:val="16"/>
          <w:szCs w:val="16"/>
        </w:rPr>
        <w:t>Гидрометприбор</w:t>
      </w:r>
      <w:proofErr w:type="spellEnd"/>
      <w:r w:rsidRPr="007122AB">
        <w:rPr>
          <w:rFonts w:ascii="Times New Roman" w:hAnsi="Times New Roman"/>
          <w:color w:val="000000" w:themeColor="text1"/>
          <w:sz w:val="16"/>
          <w:szCs w:val="16"/>
        </w:rPr>
        <w:t>», ОАО «Сафоновский завод гидрометеорологических приборов» /215500  г. Сафонове Смоленской обл. тел. 4-15-47/</w:t>
      </w:r>
    </w:p>
    <w:p w14:paraId="032C1F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Сафоновский завод «</w:t>
      </w:r>
      <w:proofErr w:type="spellStart"/>
      <w:r w:rsidRPr="007122AB">
        <w:rPr>
          <w:rFonts w:ascii="Times New Roman" w:hAnsi="Times New Roman"/>
          <w:color w:val="000000" w:themeColor="text1"/>
          <w:sz w:val="16"/>
          <w:szCs w:val="16"/>
        </w:rPr>
        <w:t>Гидрометприбор</w:t>
      </w:r>
      <w:proofErr w:type="spellEnd"/>
      <w:r w:rsidRPr="007122AB">
        <w:rPr>
          <w:rFonts w:ascii="Times New Roman" w:hAnsi="Times New Roman"/>
          <w:color w:val="000000" w:themeColor="text1"/>
          <w:sz w:val="16"/>
          <w:szCs w:val="16"/>
        </w:rPr>
        <w:t>» основан в 1960 г.</w:t>
      </w:r>
    </w:p>
    <w:p w14:paraId="4EB0CBE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6F8C53D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(2005 г.)- В.В. Рыжиков.</w:t>
      </w:r>
    </w:p>
    <w:p w14:paraId="757A0D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по производству (2005 г.)- В.Н. Матюшин.</w:t>
      </w:r>
    </w:p>
    <w:p w14:paraId="66541F9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(2005 г.)- В.Ф. Барыкин.</w:t>
      </w:r>
    </w:p>
    <w:p w14:paraId="444DAD2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w:t>
      </w:r>
      <w:r w:rsidRPr="007122AB">
        <w:rPr>
          <w:rFonts w:ascii="Times New Roman" w:hAnsi="Times New Roman"/>
          <w:color w:val="000000" w:themeColor="text1"/>
          <w:sz w:val="16"/>
          <w:szCs w:val="16"/>
        </w:rPr>
        <w:t xml:space="preserve"> (1960-62 г.): дистанционные метеорологические станции, регистраторы прозрачности осадков; (2005 г.): барометры, анемометры, анеморумбометры, датчики ветра, психрометры; водомеры, водоизмерительные приборы; планиметры; корабельные приборы; метеостанции и </w:t>
      </w:r>
      <w:proofErr w:type="spellStart"/>
      <w:r w:rsidRPr="007122AB">
        <w:rPr>
          <w:rFonts w:ascii="Times New Roman" w:hAnsi="Times New Roman"/>
          <w:color w:val="000000" w:themeColor="text1"/>
          <w:sz w:val="16"/>
          <w:szCs w:val="16"/>
        </w:rPr>
        <w:t>метеооборудование</w:t>
      </w:r>
      <w:proofErr w:type="spellEnd"/>
      <w:r w:rsidRPr="007122AB">
        <w:rPr>
          <w:rFonts w:ascii="Times New Roman" w:hAnsi="Times New Roman"/>
          <w:color w:val="000000" w:themeColor="text1"/>
          <w:sz w:val="16"/>
          <w:szCs w:val="16"/>
        </w:rPr>
        <w:t>; самописцы; передвижные лаборатории и мастерские (11982).</w:t>
      </w:r>
    </w:p>
    <w:p w14:paraId="72F90A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01E2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С 1931 г. в Ухте существовали химзавод и завод по переработке радиевых концентратов, получаемых из подземных минерализованных вод (Завод № 226 ММП, МСМ, МЭП, п/я 3179, Ухтинский комбинат МСМ, Завод «</w:t>
      </w:r>
      <w:proofErr w:type="spellStart"/>
      <w:r w:rsidRPr="007122AB">
        <w:rPr>
          <w:rFonts w:ascii="Times New Roman" w:hAnsi="Times New Roman"/>
          <w:color w:val="000000" w:themeColor="text1"/>
          <w:sz w:val="16"/>
          <w:szCs w:val="16"/>
        </w:rPr>
        <w:t>Комиэлектростеатит</w:t>
      </w:r>
      <w:proofErr w:type="spellEnd"/>
      <w:r w:rsidRPr="007122AB">
        <w:rPr>
          <w:rFonts w:ascii="Times New Roman" w:hAnsi="Times New Roman"/>
          <w:color w:val="000000" w:themeColor="text1"/>
          <w:sz w:val="16"/>
          <w:szCs w:val="16"/>
        </w:rPr>
        <w:t>», ОАО «Ухтинский электрокерамический завод «Прогресс», ООО «Электрокерамический завод «Прогресс» /Коми  г. Ухта р/п Водный/). В 03.1945 г. Ухтинский комбинат - в ведении НКВД.</w:t>
      </w:r>
    </w:p>
    <w:p w14:paraId="7E4F483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16.03.1945 г. вышло постановление ГКО № 7853 о развитии добычи и переработки нефти, производстве сажи и радия на комбинате.</w:t>
      </w:r>
    </w:p>
    <w:p w14:paraId="42916A3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1953 г. завод № 226 передан из ММП в МСМ, распоряжением СМ № 6964-рс от 29.11.1956 г. завод с 1957 г. передан из МСМ в МЭТП.</w:t>
      </w:r>
    </w:p>
    <w:p w14:paraId="5FA3FDA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радия (к 1952  г. - 271 гр., в 1956 - 114 гр.).</w:t>
      </w:r>
    </w:p>
    <w:p w14:paraId="31476C7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При комбинате действовало ОПБ-4. Комбинат находился в ведении предприятия «п/я 979».</w:t>
      </w:r>
      <w:r w:rsidRPr="007122AB">
        <w:rPr>
          <w:rFonts w:ascii="Times New Roman" w:hAnsi="Times New Roman"/>
          <w:color w:val="000000" w:themeColor="text1"/>
          <w:sz w:val="16"/>
          <w:szCs w:val="16"/>
          <w:vertAlign w:val="superscript"/>
        </w:rPr>
        <w:t>78</w:t>
      </w:r>
    </w:p>
    <w:p w14:paraId="1C1958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Завод «</w:t>
      </w:r>
      <w:proofErr w:type="spellStart"/>
      <w:r w:rsidRPr="007122AB">
        <w:rPr>
          <w:rFonts w:ascii="Times New Roman" w:hAnsi="Times New Roman"/>
          <w:color w:val="000000" w:themeColor="text1"/>
          <w:sz w:val="16"/>
          <w:szCs w:val="16"/>
        </w:rPr>
        <w:t>Комиэлектростеатит</w:t>
      </w:r>
      <w:proofErr w:type="spellEnd"/>
      <w:r w:rsidRPr="007122AB">
        <w:rPr>
          <w:rFonts w:ascii="Times New Roman" w:hAnsi="Times New Roman"/>
          <w:color w:val="000000" w:themeColor="text1"/>
          <w:sz w:val="16"/>
          <w:szCs w:val="16"/>
        </w:rPr>
        <w:t>» основан в 1957 г. на дезактивированной площадке ликвидированного завода № 226. В 1966 г. его переименовали в завод «Прогресс». В 1997 г. завод преобразован в ОАО «Ухтинский электрокерамический завод «Прогресс», далее - ООО «Электрокерамический завод «Прогресс».</w:t>
      </w:r>
    </w:p>
    <w:p w14:paraId="136966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1958 г. освоен выпуск электрокерамических, </w:t>
      </w:r>
      <w:proofErr w:type="spellStart"/>
      <w:r w:rsidRPr="007122AB">
        <w:rPr>
          <w:rFonts w:ascii="Times New Roman" w:hAnsi="Times New Roman"/>
          <w:color w:val="000000" w:themeColor="text1"/>
          <w:sz w:val="16"/>
          <w:szCs w:val="16"/>
        </w:rPr>
        <w:t>радиокерамических</w:t>
      </w:r>
      <w:proofErr w:type="spellEnd"/>
      <w:r w:rsidRPr="007122AB">
        <w:rPr>
          <w:rFonts w:ascii="Times New Roman" w:hAnsi="Times New Roman"/>
          <w:color w:val="000000" w:themeColor="text1"/>
          <w:sz w:val="16"/>
          <w:szCs w:val="16"/>
        </w:rPr>
        <w:t xml:space="preserve"> материалов, изоляторов, электроустановочных изделий и </w:t>
      </w:r>
      <w:proofErr w:type="spellStart"/>
      <w:r w:rsidRPr="007122AB">
        <w:rPr>
          <w:rFonts w:ascii="Times New Roman" w:hAnsi="Times New Roman"/>
          <w:color w:val="000000" w:themeColor="text1"/>
          <w:sz w:val="16"/>
          <w:szCs w:val="16"/>
        </w:rPr>
        <w:t>пьезокерамики</w:t>
      </w:r>
      <w:proofErr w:type="spellEnd"/>
      <w:r w:rsidRPr="007122AB">
        <w:rPr>
          <w:rFonts w:ascii="Times New Roman" w:hAnsi="Times New Roman"/>
          <w:color w:val="000000" w:themeColor="text1"/>
          <w:sz w:val="16"/>
          <w:szCs w:val="16"/>
        </w:rPr>
        <w:t xml:space="preserve">, керамических высоковольтных конденсаторов. В 1980 г. освоено производство </w:t>
      </w:r>
      <w:proofErr w:type="spellStart"/>
      <w:r w:rsidRPr="007122AB">
        <w:rPr>
          <w:rFonts w:ascii="Times New Roman" w:hAnsi="Times New Roman"/>
          <w:color w:val="000000" w:themeColor="text1"/>
          <w:sz w:val="16"/>
          <w:szCs w:val="16"/>
        </w:rPr>
        <w:t>оксидноцинковых</w:t>
      </w:r>
      <w:proofErr w:type="spellEnd"/>
      <w:r w:rsidRPr="007122AB">
        <w:rPr>
          <w:rFonts w:ascii="Times New Roman" w:hAnsi="Times New Roman"/>
          <w:color w:val="000000" w:themeColor="text1"/>
          <w:sz w:val="16"/>
          <w:szCs w:val="16"/>
        </w:rPr>
        <w:t xml:space="preserve"> варисторов. С 1996 г. предприятие производит броневые плиты из </w:t>
      </w:r>
      <w:proofErr w:type="spellStart"/>
      <w:r w:rsidRPr="007122AB">
        <w:rPr>
          <w:rFonts w:ascii="Times New Roman" w:hAnsi="Times New Roman"/>
          <w:color w:val="000000" w:themeColor="text1"/>
          <w:sz w:val="16"/>
          <w:szCs w:val="16"/>
        </w:rPr>
        <w:t>ударовязкой</w:t>
      </w:r>
      <w:proofErr w:type="spellEnd"/>
      <w:r w:rsidRPr="007122AB">
        <w:rPr>
          <w:rFonts w:ascii="Times New Roman" w:hAnsi="Times New Roman"/>
          <w:color w:val="000000" w:themeColor="text1"/>
          <w:sz w:val="16"/>
          <w:szCs w:val="16"/>
        </w:rPr>
        <w:t xml:space="preserve"> корундовой керамики для изготовления бронежилетов высших классов защиты и оснащения бронетехники. С 1998 г. выпускаются усилители искры УИ-01 для повышения эффективности работы двигателей внутреннего сгорания. Производство ТЕП (электроустановочные изделия, </w:t>
      </w:r>
      <w:proofErr w:type="spellStart"/>
      <w:r w:rsidRPr="007122AB">
        <w:rPr>
          <w:rFonts w:ascii="Times New Roman" w:hAnsi="Times New Roman"/>
          <w:color w:val="000000" w:themeColor="text1"/>
          <w:sz w:val="16"/>
          <w:szCs w:val="16"/>
        </w:rPr>
        <w:t>замочно</w:t>
      </w:r>
      <w:proofErr w:type="spellEnd"/>
      <w:r w:rsidRPr="007122AB">
        <w:rPr>
          <w:rFonts w:ascii="Times New Roman" w:hAnsi="Times New Roman"/>
          <w:color w:val="000000" w:themeColor="text1"/>
          <w:sz w:val="16"/>
          <w:szCs w:val="16"/>
        </w:rPr>
        <w:t>-скобяные и металлоизделия, изделия из пластмасс).</w:t>
      </w:r>
    </w:p>
    <w:p w14:paraId="4D80242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(1957-87 г.)- </w:t>
      </w:r>
      <w:proofErr w:type="spellStart"/>
      <w:r w:rsidRPr="007122AB">
        <w:rPr>
          <w:rFonts w:ascii="Times New Roman" w:hAnsi="Times New Roman"/>
          <w:color w:val="000000" w:themeColor="text1"/>
          <w:sz w:val="16"/>
          <w:szCs w:val="16"/>
        </w:rPr>
        <w:t>Н.Е.Волков</w:t>
      </w:r>
      <w:proofErr w:type="spellEnd"/>
      <w:r w:rsidRPr="007122AB">
        <w:rPr>
          <w:rFonts w:ascii="Times New Roman" w:hAnsi="Times New Roman"/>
          <w:color w:val="000000" w:themeColor="text1"/>
          <w:sz w:val="16"/>
          <w:szCs w:val="16"/>
        </w:rPr>
        <w:t xml:space="preserve">. Гендиректор (2007 г.)- </w:t>
      </w:r>
      <w:proofErr w:type="spellStart"/>
      <w:r w:rsidRPr="007122AB">
        <w:rPr>
          <w:rFonts w:ascii="Times New Roman" w:hAnsi="Times New Roman"/>
          <w:color w:val="000000" w:themeColor="text1"/>
          <w:sz w:val="16"/>
          <w:szCs w:val="16"/>
        </w:rPr>
        <w:t>В.К.Кудрявцев</w:t>
      </w:r>
      <w:proofErr w:type="spellEnd"/>
      <w:r w:rsidRPr="007122AB">
        <w:rPr>
          <w:rFonts w:ascii="Times New Roman" w:hAnsi="Times New Roman"/>
          <w:color w:val="000000" w:themeColor="text1"/>
          <w:sz w:val="16"/>
          <w:szCs w:val="16"/>
        </w:rPr>
        <w:t>.</w:t>
      </w:r>
    </w:p>
    <w:p w14:paraId="47F7EB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цехов: (1956 г.)- </w:t>
      </w:r>
      <w:proofErr w:type="spellStart"/>
      <w:r w:rsidRPr="007122AB">
        <w:rPr>
          <w:rFonts w:ascii="Times New Roman" w:hAnsi="Times New Roman"/>
          <w:color w:val="000000" w:themeColor="text1"/>
          <w:sz w:val="16"/>
          <w:szCs w:val="16"/>
        </w:rPr>
        <w:t>И.В.Дахно</w:t>
      </w:r>
      <w:proofErr w:type="spellEnd"/>
      <w:r w:rsidRPr="007122AB">
        <w:rPr>
          <w:rFonts w:ascii="Times New Roman" w:hAnsi="Times New Roman"/>
          <w:color w:val="000000" w:themeColor="text1"/>
          <w:sz w:val="16"/>
          <w:szCs w:val="16"/>
        </w:rPr>
        <w:t xml:space="preserve"> (11982).</w:t>
      </w:r>
    </w:p>
    <w:p w14:paraId="0D0E6BD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D4CE5E2"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предприятия, производившие средства проводной связи, смогли удовле</w:t>
      </w:r>
      <w:r w:rsidRPr="007122AB">
        <w:rPr>
          <w:rFonts w:ascii="Times New Roman" w:hAnsi="Times New Roman"/>
          <w:color w:val="000000" w:themeColor="text1"/>
          <w:sz w:val="16"/>
          <w:szCs w:val="16"/>
        </w:rPr>
        <w:softHyphen/>
        <w:t>творить потребности страны в телефонных аппаратах на 32%, в телефонных коммутаторах - на 33%, в АТС и приборах многократной телефонии - на 35% . Это в полной мере касалось и снабжения средствами проводной связи РККА. Чтобы каким-то образом снять напряженность в этом вопросе, постановлением СТО СССР от 11 января 1932 г. предусматривалось использование в интересах РККА сил и средств НКС и НКПС. В частности, НКС предполагалось привлечь к обеспечению связью звено - «Ставка» - «фронт» - «армия» (19098).</w:t>
      </w:r>
    </w:p>
    <w:p w14:paraId="0A1BFED3" w14:textId="77777777" w:rsidR="007E5934" w:rsidRPr="007122AB" w:rsidRDefault="007E5934" w:rsidP="007122AB">
      <w:pPr>
        <w:spacing w:after="0" w:line="240" w:lineRule="auto"/>
        <w:jc w:val="both"/>
        <w:rPr>
          <w:rFonts w:ascii="Times New Roman" w:hAnsi="Times New Roman"/>
          <w:color w:val="000000" w:themeColor="text1"/>
          <w:sz w:val="16"/>
          <w:szCs w:val="16"/>
        </w:rPr>
      </w:pPr>
    </w:p>
    <w:p w14:paraId="6F0B91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завод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Ленинградский государственный дизелестроительный завод «Русский дизель» в ведении ВО «</w:t>
      </w:r>
      <w:proofErr w:type="spellStart"/>
      <w:r w:rsidRPr="007122AB">
        <w:rPr>
          <w:rFonts w:ascii="Times New Roman" w:hAnsi="Times New Roman"/>
          <w:color w:val="000000" w:themeColor="text1"/>
          <w:sz w:val="16"/>
          <w:szCs w:val="16"/>
        </w:rPr>
        <w:t>Союздизель</w:t>
      </w:r>
      <w:proofErr w:type="spellEnd"/>
      <w:r w:rsidRPr="007122AB">
        <w:rPr>
          <w:rFonts w:ascii="Times New Roman" w:hAnsi="Times New Roman"/>
          <w:color w:val="000000" w:themeColor="text1"/>
          <w:sz w:val="16"/>
          <w:szCs w:val="16"/>
        </w:rPr>
        <w:t xml:space="preserve">» ВСНХ (с 1932 г. НКТП), с 1937 г. - в ведении ГУ дизельной промышленности НКТП, в 09.1938 г. - в ведении </w:t>
      </w:r>
      <w:proofErr w:type="spellStart"/>
      <w:r w:rsidRPr="007122AB">
        <w:rPr>
          <w:rFonts w:ascii="Times New Roman" w:hAnsi="Times New Roman"/>
          <w:color w:val="000000" w:themeColor="text1"/>
          <w:sz w:val="16"/>
          <w:szCs w:val="16"/>
        </w:rPr>
        <w:t>Главдизеля</w:t>
      </w:r>
      <w:proofErr w:type="spellEnd"/>
      <w:r w:rsidRPr="007122AB">
        <w:rPr>
          <w:rFonts w:ascii="Times New Roman" w:hAnsi="Times New Roman"/>
          <w:color w:val="000000" w:themeColor="text1"/>
          <w:sz w:val="16"/>
          <w:szCs w:val="16"/>
        </w:rPr>
        <w:t xml:space="preserve"> НКМ. В 1941-42 г. завод являлся филиалом Невского машиностроительного завода им. Ленина.</w:t>
      </w:r>
    </w:p>
    <w:p w14:paraId="29DB07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52A9F5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5D3E2A2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7122AB">
        <w:rPr>
          <w:rFonts w:ascii="Times New Roman" w:hAnsi="Times New Roman"/>
          <w:color w:val="000000" w:themeColor="text1"/>
          <w:sz w:val="16"/>
          <w:szCs w:val="16"/>
          <w:vertAlign w:val="superscript"/>
        </w:rPr>
        <w:t>Ь1</w:t>
      </w:r>
    </w:p>
    <w:p w14:paraId="34E393F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Директор (-1906-12 г.-&gt; Э.Л. Нобель, (09.1938 г.)- Маляров, (1955 г.-)- Н.А. Дмитриев.</w:t>
      </w:r>
    </w:p>
    <w:p w14:paraId="19AFA83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Коммерческий директор (1997 г.)- К. Полянцев.</w:t>
      </w:r>
    </w:p>
    <w:p w14:paraId="02D4549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судовые машины для: линейных кораблей «</w:t>
      </w:r>
      <w:proofErr w:type="spellStart"/>
      <w:r w:rsidRPr="007122AB">
        <w:rPr>
          <w:rFonts w:ascii="Times New Roman" w:hAnsi="Times New Roman"/>
          <w:color w:val="000000" w:themeColor="text1"/>
          <w:sz w:val="16"/>
          <w:szCs w:val="16"/>
        </w:rPr>
        <w:t>Ретвизан</w:t>
      </w:r>
      <w:proofErr w:type="spellEnd"/>
      <w:r w:rsidRPr="007122AB">
        <w:rPr>
          <w:rFonts w:ascii="Times New Roman" w:hAnsi="Times New Roman"/>
          <w:color w:val="000000" w:themeColor="text1"/>
          <w:sz w:val="16"/>
          <w:szCs w:val="16"/>
        </w:rPr>
        <w:t xml:space="preserve">»,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w:t>
      </w:r>
      <w:proofErr w:type="spellStart"/>
      <w:r w:rsidRPr="007122AB">
        <w:rPr>
          <w:rFonts w:ascii="Times New Roman" w:hAnsi="Times New Roman"/>
          <w:color w:val="000000" w:themeColor="text1"/>
          <w:sz w:val="16"/>
          <w:szCs w:val="16"/>
        </w:rPr>
        <w:t>Зульцера</w:t>
      </w:r>
      <w:proofErr w:type="spellEnd"/>
      <w:r w:rsidRPr="007122AB">
        <w:rPr>
          <w:rFonts w:ascii="Times New Roman" w:hAnsi="Times New Roman"/>
          <w:color w:val="000000" w:themeColor="text1"/>
          <w:sz w:val="16"/>
          <w:szCs w:val="16"/>
        </w:rPr>
        <w:t xml:space="preserve"> для лесовозов типа «</w:t>
      </w:r>
      <w:proofErr w:type="spellStart"/>
      <w:r w:rsidRPr="007122AB">
        <w:rPr>
          <w:rFonts w:ascii="Times New Roman" w:hAnsi="Times New Roman"/>
          <w:color w:val="000000" w:themeColor="text1"/>
          <w:sz w:val="16"/>
          <w:szCs w:val="16"/>
        </w:rPr>
        <w:t>Волголес</w:t>
      </w:r>
      <w:proofErr w:type="spellEnd"/>
      <w:r w:rsidRPr="007122AB">
        <w:rPr>
          <w:rFonts w:ascii="Times New Roman" w:hAnsi="Times New Roman"/>
          <w:color w:val="000000" w:themeColor="text1"/>
          <w:sz w:val="16"/>
          <w:szCs w:val="16"/>
        </w:rPr>
        <w:t>» (1930-е), 9ДКР 4200 л.с. для ПЛ пр. 41 (1930-е), 6ДР 30/50 для буксира пр. 492 (1949), 8ДР 43/61 для танкера пр. 563 (1950)</w:t>
      </w:r>
      <w:r w:rsidRPr="007122AB">
        <w:rPr>
          <w:rFonts w:ascii="Times New Roman" w:hAnsi="Times New Roman"/>
          <w:color w:val="000000" w:themeColor="text1"/>
          <w:sz w:val="16"/>
          <w:szCs w:val="16"/>
          <w:vertAlign w:val="superscript"/>
        </w:rPr>
        <w:t>ПЗ</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vertAlign w:val="superscript"/>
        </w:rPr>
        <w:t>П6</w:t>
      </w:r>
    </w:p>
    <w:p w14:paraId="26BEEBB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 завода «Русский дизель»</w:t>
      </w:r>
    </w:p>
    <w:p w14:paraId="0564CB4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Разработаны судовые дизели серий 2126, 2400 (1920-е). В середине 1930-х  г. под руководством В.А. </w:t>
      </w:r>
      <w:proofErr w:type="spellStart"/>
      <w:r w:rsidRPr="007122AB">
        <w:rPr>
          <w:rFonts w:ascii="Times New Roman" w:hAnsi="Times New Roman"/>
          <w:color w:val="000000" w:themeColor="text1"/>
          <w:sz w:val="16"/>
          <w:szCs w:val="16"/>
        </w:rPr>
        <w:t>Вайншейдта</w:t>
      </w:r>
      <w:proofErr w:type="spellEnd"/>
      <w:r w:rsidRPr="007122AB">
        <w:rPr>
          <w:rFonts w:ascii="Times New Roman" w:hAnsi="Times New Roman"/>
          <w:color w:val="000000" w:themeColor="text1"/>
          <w:sz w:val="16"/>
          <w:szCs w:val="16"/>
        </w:rPr>
        <w:t xml:space="preserve"> создавались дизели для ГШ.</w:t>
      </w:r>
    </w:p>
    <w:p w14:paraId="06D75BC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Руководитель (1925 г.)- В.А. </w:t>
      </w:r>
      <w:proofErr w:type="spellStart"/>
      <w:r w:rsidRPr="007122AB">
        <w:rPr>
          <w:rFonts w:ascii="Times New Roman" w:hAnsi="Times New Roman"/>
          <w:color w:val="000000" w:themeColor="text1"/>
          <w:sz w:val="16"/>
          <w:szCs w:val="16"/>
        </w:rPr>
        <w:t>Вайншейдт</w:t>
      </w:r>
      <w:proofErr w:type="spellEnd"/>
      <w:r w:rsidRPr="007122AB">
        <w:rPr>
          <w:rFonts w:ascii="Times New Roman" w:hAnsi="Times New Roman"/>
          <w:color w:val="000000" w:themeColor="text1"/>
          <w:sz w:val="16"/>
          <w:szCs w:val="16"/>
        </w:rPr>
        <w:t xml:space="preserve"> (11982).</w:t>
      </w:r>
    </w:p>
    <w:p w14:paraId="0EE9AEB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E0D4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w:t>
      </w:r>
      <w:proofErr w:type="spellStart"/>
      <w:r w:rsidRPr="007122AB">
        <w:rPr>
          <w:rFonts w:ascii="Times New Roman" w:hAnsi="Times New Roman"/>
          <w:color w:val="000000" w:themeColor="text1"/>
          <w:sz w:val="16"/>
          <w:szCs w:val="16"/>
        </w:rPr>
        <w:t>Балтэлектро</w:t>
      </w:r>
      <w:proofErr w:type="spellEnd"/>
      <w:r w:rsidRPr="007122AB">
        <w:rPr>
          <w:rFonts w:ascii="Times New Roman" w:hAnsi="Times New Roman"/>
          <w:color w:val="000000" w:themeColor="text1"/>
          <w:sz w:val="16"/>
          <w:szCs w:val="16"/>
        </w:rPr>
        <w:t>», АООТ, ОАО «Электротяга» /г. Санкт-Петербург,  г. Петроград,  г. Ленинград/ /198095  г. Санкт-Петербург ул. Калинина, 50А/)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0D484F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2A0FF6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08.1936 г. на заводе работал доктор </w:t>
      </w:r>
      <w:proofErr w:type="spellStart"/>
      <w:r w:rsidRPr="007122AB">
        <w:rPr>
          <w:rFonts w:ascii="Times New Roman" w:hAnsi="Times New Roman"/>
          <w:color w:val="000000" w:themeColor="text1"/>
          <w:sz w:val="16"/>
          <w:szCs w:val="16"/>
        </w:rPr>
        <w:t>Скаини</w:t>
      </w:r>
      <w:proofErr w:type="spellEnd"/>
      <w:r w:rsidRPr="007122AB">
        <w:rPr>
          <w:rFonts w:ascii="Times New Roman" w:hAnsi="Times New Roman"/>
          <w:color w:val="000000" w:themeColor="text1"/>
          <w:sz w:val="16"/>
          <w:szCs w:val="16"/>
        </w:rPr>
        <w:t xml:space="preserve"> с 3 мастерами по аккумуляторам.</w:t>
      </w:r>
    </w:p>
    <w:p w14:paraId="416EC8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7122AB">
        <w:rPr>
          <w:rFonts w:ascii="Times New Roman" w:hAnsi="Times New Roman"/>
          <w:color w:val="000000" w:themeColor="text1"/>
          <w:sz w:val="16"/>
          <w:szCs w:val="16"/>
          <w:vertAlign w:val="superscript"/>
        </w:rPr>
        <w:t>149</w:t>
      </w:r>
    </w:p>
    <w:p w14:paraId="51FDD45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w:t>
      </w:r>
      <w:proofErr w:type="spellStart"/>
      <w:r w:rsidRPr="007122AB">
        <w:rPr>
          <w:rFonts w:ascii="Times New Roman" w:hAnsi="Times New Roman"/>
          <w:color w:val="000000" w:themeColor="text1"/>
          <w:sz w:val="16"/>
          <w:szCs w:val="16"/>
        </w:rPr>
        <w:t>вышбл</w:t>
      </w:r>
      <w:proofErr w:type="spellEnd"/>
      <w:r w:rsidRPr="007122AB">
        <w:rPr>
          <w:rFonts w:ascii="Times New Roman" w:hAnsi="Times New Roman"/>
          <w:color w:val="000000" w:themeColor="text1"/>
          <w:sz w:val="16"/>
          <w:szCs w:val="16"/>
        </w:rPr>
        <w:t xml:space="preserve">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Далее он получает наименование Ленинградский аккумуляторный завод. В 12.1971 г. завод вошел в состав ЛНПО «Источник».</w:t>
      </w:r>
    </w:p>
    <w:p w14:paraId="11C724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1992 г. завод акционирован и преобразован в АОЗТ, затем ЗАО «</w:t>
      </w:r>
      <w:proofErr w:type="spellStart"/>
      <w:r w:rsidRPr="007122AB">
        <w:rPr>
          <w:rFonts w:ascii="Times New Roman" w:hAnsi="Times New Roman"/>
          <w:color w:val="000000" w:themeColor="text1"/>
          <w:sz w:val="16"/>
          <w:szCs w:val="16"/>
        </w:rPr>
        <w:t>Балтэлектро</w:t>
      </w:r>
      <w:proofErr w:type="spellEnd"/>
      <w:r w:rsidRPr="007122AB">
        <w:rPr>
          <w:rFonts w:ascii="Times New Roman" w:hAnsi="Times New Roman"/>
          <w:color w:val="000000" w:themeColor="text1"/>
          <w:sz w:val="16"/>
          <w:szCs w:val="16"/>
        </w:rPr>
        <w:t>».</w:t>
      </w:r>
    </w:p>
    <w:p w14:paraId="1FD802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3CD965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(2003 г.)- около 1000 чел.</w:t>
      </w:r>
    </w:p>
    <w:p w14:paraId="7B1991D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(-16.09.1937 г.)- К.Н. Волович, (16.09.1937-8.03.1938 г.)- А.С. Кузьмина, (8.03-10.1938 г.-&gt; П.Т. </w:t>
      </w:r>
      <w:proofErr w:type="spellStart"/>
      <w:r w:rsidRPr="007122AB">
        <w:rPr>
          <w:rFonts w:ascii="Times New Roman" w:hAnsi="Times New Roman"/>
          <w:color w:val="000000" w:themeColor="text1"/>
          <w:sz w:val="16"/>
          <w:szCs w:val="16"/>
        </w:rPr>
        <w:t>Сухомехов</w:t>
      </w:r>
      <w:proofErr w:type="spellEnd"/>
      <w:r w:rsidRPr="007122AB">
        <w:rPr>
          <w:rFonts w:ascii="Times New Roman" w:hAnsi="Times New Roman"/>
          <w:color w:val="000000" w:themeColor="text1"/>
          <w:sz w:val="16"/>
          <w:szCs w:val="16"/>
        </w:rPr>
        <w:t>, (-1941 г.)-  Г.М. Нестеров. Гендиректор (1992-2003 г.-)- Е.И. Остапенко.</w:t>
      </w:r>
    </w:p>
    <w:p w14:paraId="1EFCA0C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(8.03.1938 г.-)- А.В. Грачев.</w:t>
      </w:r>
    </w:p>
    <w:p w14:paraId="5CAFAFB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(8.03-06.1938 г.-)-А.В. Грачев.</w:t>
      </w:r>
    </w:p>
    <w:p w14:paraId="5AF470F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производства-  Г.М. Нестеров.</w:t>
      </w:r>
    </w:p>
    <w:p w14:paraId="6E9DC49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Начальники цехов: (1930-е)-  Г.М. Нестеров.</w:t>
      </w:r>
    </w:p>
    <w:p w14:paraId="358C869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iCs/>
          <w:color w:val="000000" w:themeColor="text1"/>
          <w:sz w:val="16"/>
          <w:szCs w:val="16"/>
        </w:rPr>
        <w:t>Производство: аккумуляторные батареи:</w:t>
      </w:r>
      <w:r w:rsidRPr="007122AB">
        <w:rPr>
          <w:rFonts w:ascii="Times New Roman" w:hAnsi="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w:t>
      </w:r>
      <w:proofErr w:type="spellStart"/>
      <w:r w:rsidRPr="007122AB">
        <w:rPr>
          <w:rFonts w:ascii="Times New Roman" w:hAnsi="Times New Roman"/>
          <w:color w:val="000000" w:themeColor="text1"/>
          <w:sz w:val="16"/>
          <w:szCs w:val="16"/>
        </w:rPr>
        <w:t>Ач</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малоуходном</w:t>
      </w:r>
      <w:proofErr w:type="spellEnd"/>
      <w:r w:rsidRPr="007122AB">
        <w:rPr>
          <w:rFonts w:ascii="Times New Roman" w:hAnsi="Times New Roman"/>
          <w:color w:val="000000" w:themeColor="text1"/>
          <w:sz w:val="16"/>
          <w:szCs w:val="16"/>
        </w:rPr>
        <w:t xml:space="preserve"> исполнении; тяговые и аварийно-резервные емкостью до 10-20 тыс. </w:t>
      </w:r>
      <w:proofErr w:type="spellStart"/>
      <w:r w:rsidRPr="007122AB">
        <w:rPr>
          <w:rFonts w:ascii="Times New Roman" w:hAnsi="Times New Roman"/>
          <w:color w:val="000000" w:themeColor="text1"/>
          <w:sz w:val="16"/>
          <w:szCs w:val="16"/>
        </w:rPr>
        <w:t>Ач</w:t>
      </w:r>
      <w:proofErr w:type="spellEnd"/>
      <w:r w:rsidRPr="007122AB">
        <w:rPr>
          <w:rFonts w:ascii="Times New Roman" w:hAnsi="Times New Roman"/>
          <w:color w:val="000000" w:themeColor="text1"/>
          <w:sz w:val="16"/>
          <w:szCs w:val="16"/>
        </w:rPr>
        <w:t>; погружные для работ на глубинах до 5 тыс. м (2000-е) (11982).</w:t>
      </w:r>
    </w:p>
    <w:p w14:paraId="6B131FB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7B5CF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в ведении «</w:t>
      </w:r>
      <w:proofErr w:type="spellStart"/>
      <w:r w:rsidRPr="007122AB">
        <w:rPr>
          <w:rFonts w:ascii="Times New Roman" w:hAnsi="Times New Roman"/>
          <w:color w:val="000000" w:themeColor="text1"/>
          <w:sz w:val="16"/>
          <w:szCs w:val="16"/>
        </w:rPr>
        <w:t>Речсоюзверфи</w:t>
      </w:r>
      <w:proofErr w:type="spellEnd"/>
      <w:r w:rsidRPr="007122AB">
        <w:rPr>
          <w:rFonts w:ascii="Times New Roman" w:hAnsi="Times New Roman"/>
          <w:color w:val="000000" w:themeColor="text1"/>
          <w:sz w:val="16"/>
          <w:szCs w:val="16"/>
        </w:rPr>
        <w:t>» в Москве был создан Институт по проектированию заводов и верфей речного судостроения “</w:t>
      </w:r>
      <w:proofErr w:type="spellStart"/>
      <w:r w:rsidRPr="007122AB">
        <w:rPr>
          <w:rFonts w:ascii="Times New Roman" w:hAnsi="Times New Roman"/>
          <w:color w:val="000000" w:themeColor="text1"/>
          <w:sz w:val="16"/>
          <w:szCs w:val="16"/>
        </w:rPr>
        <w:t>Гипроверфь</w:t>
      </w:r>
      <w:proofErr w:type="spellEnd"/>
      <w:r w:rsidRPr="007122AB">
        <w:rPr>
          <w:rFonts w:ascii="Times New Roman" w:hAnsi="Times New Roman"/>
          <w:color w:val="000000" w:themeColor="text1"/>
          <w:sz w:val="16"/>
          <w:szCs w:val="16"/>
        </w:rPr>
        <w:t>”. По приказу «</w:t>
      </w:r>
      <w:proofErr w:type="spellStart"/>
      <w:r w:rsidRPr="007122AB">
        <w:rPr>
          <w:rFonts w:ascii="Times New Roman" w:hAnsi="Times New Roman"/>
          <w:color w:val="000000" w:themeColor="text1"/>
          <w:sz w:val="16"/>
          <w:szCs w:val="16"/>
        </w:rPr>
        <w:t>Речсоюзверфи</w:t>
      </w:r>
      <w:proofErr w:type="spellEnd"/>
      <w:r w:rsidRPr="007122AB">
        <w:rPr>
          <w:rFonts w:ascii="Times New Roman" w:hAnsi="Times New Roman"/>
          <w:color w:val="000000" w:themeColor="text1"/>
          <w:sz w:val="16"/>
          <w:szCs w:val="16"/>
        </w:rPr>
        <w:t xml:space="preserve">» № 87 от 3.05.1933г. </w:t>
      </w:r>
      <w:proofErr w:type="spellStart"/>
      <w:r w:rsidRPr="007122AB">
        <w:rPr>
          <w:rFonts w:ascii="Times New Roman" w:hAnsi="Times New Roman"/>
          <w:color w:val="000000" w:themeColor="text1"/>
          <w:sz w:val="16"/>
          <w:szCs w:val="16"/>
        </w:rPr>
        <w:t>Гипроверфь</w:t>
      </w:r>
      <w:proofErr w:type="spellEnd"/>
      <w:r w:rsidRPr="007122AB">
        <w:rPr>
          <w:rFonts w:ascii="Times New Roman" w:hAnsi="Times New Roman"/>
          <w:color w:val="000000" w:themeColor="text1"/>
          <w:sz w:val="16"/>
          <w:szCs w:val="16"/>
        </w:rPr>
        <w:t xml:space="preserve"> передана в состав «</w:t>
      </w:r>
      <w:proofErr w:type="spellStart"/>
      <w:r w:rsidRPr="007122AB">
        <w:rPr>
          <w:rFonts w:ascii="Times New Roman" w:hAnsi="Times New Roman"/>
          <w:color w:val="000000" w:themeColor="text1"/>
          <w:sz w:val="16"/>
          <w:szCs w:val="16"/>
        </w:rPr>
        <w:t>Союзверфи</w:t>
      </w:r>
      <w:proofErr w:type="spellEnd"/>
      <w:r w:rsidRPr="007122AB">
        <w:rPr>
          <w:rFonts w:ascii="Times New Roman" w:hAnsi="Times New Roman"/>
          <w:color w:val="000000" w:themeColor="text1"/>
          <w:sz w:val="16"/>
          <w:szCs w:val="16"/>
        </w:rPr>
        <w:t xml:space="preserve">» на правах Московского отделения </w:t>
      </w:r>
      <w:proofErr w:type="spellStart"/>
      <w:r w:rsidRPr="007122AB">
        <w:rPr>
          <w:rFonts w:ascii="Times New Roman" w:hAnsi="Times New Roman"/>
          <w:color w:val="000000" w:themeColor="text1"/>
          <w:sz w:val="16"/>
          <w:szCs w:val="16"/>
        </w:rPr>
        <w:t>Проектверфи</w:t>
      </w:r>
      <w:proofErr w:type="spellEnd"/>
      <w:r w:rsidRPr="007122AB">
        <w:rPr>
          <w:rFonts w:ascii="Times New Roman" w:hAnsi="Times New Roman"/>
          <w:color w:val="000000" w:themeColor="text1"/>
          <w:sz w:val="16"/>
          <w:szCs w:val="16"/>
        </w:rPr>
        <w:t xml:space="preserve"> (11982).</w:t>
      </w:r>
    </w:p>
    <w:p w14:paraId="74EB4D65" w14:textId="77777777" w:rsidR="0075673E" w:rsidRPr="007122AB" w:rsidRDefault="0075673E" w:rsidP="007122AB">
      <w:pPr>
        <w:autoSpaceDE w:val="0"/>
        <w:autoSpaceDN w:val="0"/>
        <w:adjustRightInd w:val="0"/>
        <w:spacing w:after="0" w:line="240" w:lineRule="auto"/>
        <w:jc w:val="both"/>
        <w:rPr>
          <w:rFonts w:ascii="Times New Roman" w:hAnsi="Times New Roman"/>
          <w:color w:val="000000" w:themeColor="text1"/>
          <w:sz w:val="16"/>
          <w:szCs w:val="16"/>
        </w:rPr>
      </w:pPr>
    </w:p>
    <w:p w14:paraId="020509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 территории верфи Нового Адмиралтейства был организован завод судовых механизмов «</w:t>
      </w:r>
      <w:proofErr w:type="spellStart"/>
      <w:r w:rsidRPr="007122AB">
        <w:rPr>
          <w:rFonts w:ascii="Times New Roman" w:hAnsi="Times New Roman"/>
          <w:color w:val="000000" w:themeColor="text1"/>
          <w:sz w:val="16"/>
          <w:szCs w:val="16"/>
        </w:rPr>
        <w:t>Судомех</w:t>
      </w:r>
      <w:proofErr w:type="spellEnd"/>
      <w:r w:rsidRPr="007122AB">
        <w:rPr>
          <w:rFonts w:ascii="Times New Roman" w:hAnsi="Times New Roman"/>
          <w:color w:val="000000" w:themeColor="text1"/>
          <w:sz w:val="16"/>
          <w:szCs w:val="16"/>
        </w:rPr>
        <w:t xml:space="preserve">», в 1932 г. он стал самостоятельным предприятием в ведении </w:t>
      </w:r>
      <w:proofErr w:type="spellStart"/>
      <w:r w:rsidRPr="007122AB">
        <w:rPr>
          <w:rFonts w:ascii="Times New Roman" w:hAnsi="Times New Roman"/>
          <w:color w:val="000000" w:themeColor="text1"/>
          <w:sz w:val="16"/>
          <w:szCs w:val="16"/>
        </w:rPr>
        <w:t>Союзверфи</w:t>
      </w:r>
      <w:proofErr w:type="spellEnd"/>
      <w:r w:rsidRPr="007122AB">
        <w:rPr>
          <w:rFonts w:ascii="Times New Roman" w:hAnsi="Times New Roman"/>
          <w:color w:val="000000" w:themeColor="text1"/>
          <w:sz w:val="16"/>
          <w:szCs w:val="16"/>
        </w:rPr>
        <w:t xml:space="preserve"> ВСНХ. В 1933 г. передан из </w:t>
      </w:r>
      <w:proofErr w:type="spellStart"/>
      <w:r w:rsidRPr="007122AB">
        <w:rPr>
          <w:rFonts w:ascii="Times New Roman" w:hAnsi="Times New Roman"/>
          <w:color w:val="000000" w:themeColor="text1"/>
          <w:sz w:val="16"/>
          <w:szCs w:val="16"/>
        </w:rPr>
        <w:t>Союзверфи</w:t>
      </w:r>
      <w:proofErr w:type="spellEnd"/>
      <w:r w:rsidRPr="007122AB">
        <w:rPr>
          <w:rFonts w:ascii="Times New Roman" w:hAnsi="Times New Roman"/>
          <w:color w:val="000000" w:themeColor="text1"/>
          <w:sz w:val="16"/>
          <w:szCs w:val="16"/>
        </w:rPr>
        <w:t xml:space="preserve"> в подчинение </w:t>
      </w:r>
      <w:proofErr w:type="spellStart"/>
      <w:r w:rsidRPr="007122AB">
        <w:rPr>
          <w:rFonts w:ascii="Times New Roman" w:hAnsi="Times New Roman"/>
          <w:color w:val="000000" w:themeColor="text1"/>
          <w:sz w:val="16"/>
          <w:szCs w:val="16"/>
        </w:rPr>
        <w:t>Главморпрому</w:t>
      </w:r>
      <w:proofErr w:type="spellEnd"/>
      <w:r w:rsidRPr="007122AB">
        <w:rPr>
          <w:rFonts w:ascii="Times New Roman" w:hAnsi="Times New Roman"/>
          <w:color w:val="000000" w:themeColor="text1"/>
          <w:sz w:val="16"/>
          <w:szCs w:val="16"/>
        </w:rPr>
        <w:t xml:space="preserve"> НКТП. По пр. НКОП № </w:t>
      </w:r>
      <w:proofErr w:type="spellStart"/>
      <w:r w:rsidRPr="007122AB">
        <w:rPr>
          <w:rFonts w:ascii="Times New Roman" w:hAnsi="Times New Roman"/>
          <w:color w:val="000000" w:themeColor="text1"/>
          <w:sz w:val="16"/>
          <w:szCs w:val="16"/>
        </w:rPr>
        <w:t>Обсс</w:t>
      </w:r>
      <w:proofErr w:type="spellEnd"/>
      <w:r w:rsidRPr="007122AB">
        <w:rPr>
          <w:rFonts w:ascii="Times New Roman" w:hAnsi="Times New Roman"/>
          <w:color w:val="000000" w:themeColor="text1"/>
          <w:sz w:val="16"/>
          <w:szCs w:val="16"/>
        </w:rPr>
        <w:t xml:space="preserve"> от 30.12.1936 г. переименован в завод № 196, приказом № 136 от 11.04.1937 г. утвержден Устав завода. В 1937 г. завод — в ведении треста № 14 2ГУ. В 02.1939 г. из 2ГУ НКОП передан в ведение 1ГУ НКСП.</w:t>
      </w:r>
    </w:p>
    <w:p w14:paraId="1657312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1934 г. завод специализировался на ремонте и строительстве ПЛ. По пр. № 0193 от 4/7.09.1937 г. заводу предписано в целях скорейшей доводки установки единого двигателя РЕДО к 1.10.19937 </w:t>
      </w:r>
      <w:proofErr w:type="spellStart"/>
      <w:r w:rsidRPr="007122AB">
        <w:rPr>
          <w:rFonts w:ascii="Times New Roman" w:hAnsi="Times New Roman"/>
          <w:color w:val="000000" w:themeColor="text1"/>
          <w:sz w:val="16"/>
          <w:szCs w:val="16"/>
        </w:rPr>
        <w:t>г.установить</w:t>
      </w:r>
      <w:proofErr w:type="spellEnd"/>
      <w:r w:rsidRPr="007122AB">
        <w:rPr>
          <w:rFonts w:ascii="Times New Roman" w:hAnsi="Times New Roman"/>
          <w:color w:val="000000" w:themeColor="text1"/>
          <w:sz w:val="16"/>
          <w:szCs w:val="16"/>
        </w:rPr>
        <w:t xml:space="preserve">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Пр. НКВМФ/НКОП № 0353/436с от 11/16.11.1938 г. была назначена комиссия для испытания двигателя на ПЛ.</w:t>
      </w:r>
    </w:p>
    <w:p w14:paraId="2A0694C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 № 444сс от 25.11.1938 г. заводу предписано заложить в 4-м квартале 1938 г. две ПЛ типа «М» ХП-й серии.</w:t>
      </w:r>
    </w:p>
    <w:p w14:paraId="598618F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 г. часть завода (312 чел.) эвакуирована на заводы НКСП: № 344, № 402, № 340, № 639.</w:t>
      </w:r>
    </w:p>
    <w:p w14:paraId="0879906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1943 г. при строительстве БМО Е.П. Корсаком был внедрен поточно-позиционный метод сборки.</w:t>
      </w:r>
    </w:p>
    <w:p w14:paraId="3AA6A2B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1950-х  г. для освоения производства ПЛ пр. 611 завод (цеха и эллинг) был реконструирован.</w:t>
      </w:r>
    </w:p>
    <w:p w14:paraId="25BDA07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1946 г. завод - в ведении МСП, затем - </w:t>
      </w:r>
      <w:proofErr w:type="spellStart"/>
      <w:r w:rsidRPr="007122AB">
        <w:rPr>
          <w:rFonts w:ascii="Times New Roman" w:hAnsi="Times New Roman"/>
          <w:color w:val="000000" w:themeColor="text1"/>
          <w:sz w:val="16"/>
          <w:szCs w:val="16"/>
        </w:rPr>
        <w:t>МТиТМ</w:t>
      </w:r>
      <w:proofErr w:type="spellEnd"/>
      <w:r w:rsidRPr="007122AB">
        <w:rPr>
          <w:rFonts w:ascii="Times New Roman" w:hAnsi="Times New Roman"/>
          <w:color w:val="000000" w:themeColor="text1"/>
          <w:sz w:val="16"/>
          <w:szCs w:val="16"/>
        </w:rPr>
        <w:t xml:space="preserve"> (1953-54 г.), МСП (1954-57 г.), Управления судостроительной промышленности </w:t>
      </w:r>
      <w:proofErr w:type="spellStart"/>
      <w:r w:rsidRPr="007122AB">
        <w:rPr>
          <w:rFonts w:ascii="Times New Roman" w:hAnsi="Times New Roman"/>
          <w:color w:val="000000" w:themeColor="text1"/>
          <w:sz w:val="16"/>
          <w:szCs w:val="16"/>
        </w:rPr>
        <w:t>ЛенСНХ</w:t>
      </w:r>
      <w:proofErr w:type="spellEnd"/>
      <w:r w:rsidRPr="007122AB">
        <w:rPr>
          <w:rFonts w:ascii="Times New Roman" w:hAnsi="Times New Roman"/>
          <w:color w:val="000000" w:themeColor="text1"/>
          <w:sz w:val="16"/>
          <w:szCs w:val="16"/>
        </w:rPr>
        <w:t xml:space="preserve"> (1957-65 г.). В 1964 г. завод № 196 переименован в «</w:t>
      </w:r>
      <w:proofErr w:type="spellStart"/>
      <w:r w:rsidRPr="007122AB">
        <w:rPr>
          <w:rFonts w:ascii="Times New Roman" w:hAnsi="Times New Roman"/>
          <w:color w:val="000000" w:themeColor="text1"/>
          <w:sz w:val="16"/>
          <w:szCs w:val="16"/>
        </w:rPr>
        <w:t>Судомех</w:t>
      </w:r>
      <w:proofErr w:type="spellEnd"/>
      <w:r w:rsidRPr="007122AB">
        <w:rPr>
          <w:rFonts w:ascii="Times New Roman" w:hAnsi="Times New Roman"/>
          <w:color w:val="000000" w:themeColor="text1"/>
          <w:sz w:val="16"/>
          <w:szCs w:val="16"/>
        </w:rPr>
        <w:t>». В 01.1966 г. передан в ведение МСП и переименован в Ленинградский Ново-Адмиралтейский завод.</w:t>
      </w:r>
      <w:r w:rsidRPr="007122AB">
        <w:rPr>
          <w:rFonts w:ascii="Times New Roman" w:hAnsi="Times New Roman"/>
          <w:color w:val="000000" w:themeColor="text1"/>
          <w:sz w:val="16"/>
          <w:szCs w:val="16"/>
          <w:vertAlign w:val="superscript"/>
        </w:rPr>
        <w:t>131</w:t>
      </w:r>
      <w:r w:rsidRPr="007122AB">
        <w:rPr>
          <w:rFonts w:ascii="Times New Roman" w:hAnsi="Times New Roman"/>
          <w:color w:val="000000" w:themeColor="text1"/>
          <w:sz w:val="16"/>
          <w:szCs w:val="16"/>
        </w:rPr>
        <w:t xml:space="preserve"> В конце 1972 г. Адмиралтейский завод и Ново-Адмиралтейский завод объединены в Ленинградское адмиралтейское объединение (ЛАО). В 1992 г. ЛАО переименовано в «Адмиралтейские верфи».</w:t>
      </w:r>
    </w:p>
    <w:p w14:paraId="76C11E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(1937 г.)- 4173 чел., (06.1941 г.)- 4200 чел.</w:t>
      </w:r>
    </w:p>
    <w:p w14:paraId="69B4C8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(-09.1937-7.12.1938 г.)- Н. Г. Барабанов, (ВОВ)- Н.Н. Калиновский, В.Ф. </w:t>
      </w:r>
      <w:proofErr w:type="spellStart"/>
      <w:r w:rsidRPr="007122AB">
        <w:rPr>
          <w:rFonts w:ascii="Times New Roman" w:hAnsi="Times New Roman"/>
          <w:color w:val="000000" w:themeColor="text1"/>
          <w:sz w:val="16"/>
          <w:szCs w:val="16"/>
        </w:rPr>
        <w:t>Коврижкин</w:t>
      </w:r>
      <w:proofErr w:type="spellEnd"/>
      <w:r w:rsidRPr="007122AB">
        <w:rPr>
          <w:rFonts w:ascii="Times New Roman" w:hAnsi="Times New Roman"/>
          <w:color w:val="000000" w:themeColor="text1"/>
          <w:sz w:val="16"/>
          <w:szCs w:val="16"/>
        </w:rPr>
        <w:t>, (1966 г.)- В.Н. Дубровский.</w:t>
      </w:r>
    </w:p>
    <w:p w14:paraId="5774A80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Зам. директора (-3.10.1937 г.)- И.И. Носенко. Помощник директора по найму и увольнению (10.07.1938 г.-)- М.И. Ребров, (28.12.1938 г.-)- В.В. Гаврилов.</w:t>
      </w:r>
    </w:p>
    <w:p w14:paraId="315E28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инженер (-09-3.10.1937 г.)- И.И. Носенко, (1942 г.)- Ю. Г. Деревянко.</w:t>
      </w:r>
    </w:p>
    <w:p w14:paraId="04446C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конструктор- В.М. Мудров.</w:t>
      </w:r>
    </w:p>
    <w:p w14:paraId="500FA89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Гл. строитель (1930-е)- А.Н. Щеглов («Пигмей»), (-1943-51 г.-)- Е.П. Корсак (пр. 611), И.Л. Леонов (пр. 96).</w:t>
      </w:r>
    </w:p>
    <w:p w14:paraId="03C30C0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Строители кораблей: (-1861-64 г.)- к А.А. Иващенко, (1865 г.)- Н. Г. Коршиков, (1874 г.)- подпоручик В.Ф. Пушкарев, (1879 г.)- Ф.Т. Епифанов, (1879 г.)- В.В. Максимов, (1880 г.)- И.Е. Леонтьев, (-1880-83 г.-)- Н.Е. Кутейников, (1897 г.)- Э.Р. Де </w:t>
      </w:r>
      <w:proofErr w:type="spellStart"/>
      <w:r w:rsidRPr="007122AB">
        <w:rPr>
          <w:rFonts w:ascii="Times New Roman" w:hAnsi="Times New Roman"/>
          <w:color w:val="000000" w:themeColor="text1"/>
          <w:sz w:val="16"/>
          <w:szCs w:val="16"/>
        </w:rPr>
        <w:t>Гроффе</w:t>
      </w:r>
      <w:proofErr w:type="spellEnd"/>
      <w:r w:rsidRPr="007122AB">
        <w:rPr>
          <w:rFonts w:ascii="Times New Roman" w:hAnsi="Times New Roman"/>
          <w:color w:val="000000" w:themeColor="text1"/>
          <w:sz w:val="16"/>
          <w:szCs w:val="16"/>
        </w:rPr>
        <w:t xml:space="preserve">, (-1899-1901 г.-)- Д.В. Скворцов, (1901 г.)- К.М. Токаревский, (1901 г.)- А.И. Мустафин, (1902 г.)- Н.Н. Пущин, (1905 г.)- </w:t>
      </w:r>
      <w:proofErr w:type="spellStart"/>
      <w:r w:rsidRPr="007122AB">
        <w:rPr>
          <w:rFonts w:ascii="Times New Roman" w:hAnsi="Times New Roman"/>
          <w:color w:val="000000" w:themeColor="text1"/>
          <w:sz w:val="16"/>
          <w:szCs w:val="16"/>
        </w:rPr>
        <w:t>пп</w:t>
      </w:r>
      <w:proofErr w:type="spellEnd"/>
      <w:r w:rsidRPr="007122AB">
        <w:rPr>
          <w:rFonts w:ascii="Times New Roman" w:hAnsi="Times New Roman"/>
          <w:color w:val="000000" w:themeColor="text1"/>
          <w:sz w:val="16"/>
          <w:szCs w:val="16"/>
        </w:rPr>
        <w:t xml:space="preserve"> В.П. Лебедев, (1905 г.)- И.А. Гаврилов, (-1938-43 г.-&gt; Е.П. Корсак, (1938 г.)- В.В. Любимов, (1938 г.)- М.М. Коган, (ВОВ)- В.К. Кузьменко.</w:t>
      </w:r>
    </w:p>
    <w:p w14:paraId="6CB085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Производство: винтовые линейные корабли: «Вола» (1835-37», 84-пушечные «Орел» (1851-54), «</w:t>
      </w:r>
      <w:proofErr w:type="spellStart"/>
      <w:r w:rsidRPr="007122AB">
        <w:rPr>
          <w:rFonts w:ascii="Times New Roman" w:hAnsi="Times New Roman"/>
          <w:color w:val="000000" w:themeColor="text1"/>
          <w:sz w:val="16"/>
          <w:szCs w:val="16"/>
        </w:rPr>
        <w:t>Ретвизан</w:t>
      </w:r>
      <w:proofErr w:type="spellEnd"/>
      <w:r w:rsidRPr="007122AB">
        <w:rPr>
          <w:rFonts w:ascii="Times New Roman" w:hAnsi="Times New Roman"/>
          <w:color w:val="000000" w:themeColor="text1"/>
          <w:sz w:val="16"/>
          <w:szCs w:val="16"/>
        </w:rPr>
        <w:t xml:space="preserve">» (1854-55), </w:t>
      </w:r>
      <w:r w:rsidRPr="007122AB">
        <w:rPr>
          <w:rFonts w:ascii="Times New Roman" w:hAnsi="Times New Roman"/>
          <w:color w:val="000000" w:themeColor="text1"/>
          <w:sz w:val="16"/>
          <w:szCs w:val="16"/>
          <w:lang w:val="en-US"/>
        </w:rPr>
        <w:t>Ill</w:t>
      </w:r>
      <w:r w:rsidRPr="007122AB">
        <w:rPr>
          <w:rFonts w:ascii="Times New Roman" w:hAnsi="Times New Roman"/>
          <w:color w:val="000000" w:themeColor="text1"/>
          <w:sz w:val="16"/>
          <w:szCs w:val="16"/>
        </w:rPr>
        <w:t>-пушечный «Император Николай I» (1855-60); винтовые фрегаты: «Аскольд» (1853-54), «Петропавловск» (-1865); мониторы: «Ураган» (11.1863-05.1864), «Тифон» (11.1863-06.1864); броненосная батарея (1860-е); клипер «Изумруд» (1861-62); броненосцы: «Адмирал Грейг» (04.1865-10.1868), «Новгород» (12.1871 -достройка в Николаеве), «Дмитрий Донской» (09.1880-83), «Сисой Великий» (06.1891-05.1894), «Полтава» (02.1892-10.1894), «Ослябя» (-10.1898), «Бородино» (1899-08.1901); крейсеры: «Крейсер» (1873-75), «Аврора» (09.1896-05.1900), «Олег» (11.1901-08.1903), «Баян» (1905-30.11.1911), «Паллада» (1905-8.02.1911); типа «Измаил» «Бородино» (12.1913-06.1915), «</w:t>
      </w:r>
      <w:proofErr w:type="spellStart"/>
      <w:r w:rsidRPr="007122AB">
        <w:rPr>
          <w:rFonts w:ascii="Times New Roman" w:hAnsi="Times New Roman"/>
          <w:color w:val="000000" w:themeColor="text1"/>
          <w:sz w:val="16"/>
          <w:szCs w:val="16"/>
        </w:rPr>
        <w:t>Наварин</w:t>
      </w:r>
      <w:proofErr w:type="spellEnd"/>
      <w:r w:rsidRPr="007122AB">
        <w:rPr>
          <w:rFonts w:ascii="Times New Roman" w:hAnsi="Times New Roman"/>
          <w:color w:val="000000" w:themeColor="text1"/>
          <w:sz w:val="16"/>
          <w:szCs w:val="16"/>
        </w:rPr>
        <w:t>» (12.1913-10.1916); канонерские лодки: «Ерш» (12.1873- 08.1874), «Бурун», «Туча» (05.1878-09.1879), «Вихрь» (09-10.1879), «Гроза», «Буря» (08.1879-07.1880), «Храбрый» (1894-97), «Грозящий», «Гиляк» (12.1895-97), «Гиляк» (10.1904-); миноносцы: типа «Поти» (1880-е)- 3, типа «</w:t>
      </w:r>
      <w:proofErr w:type="spellStart"/>
      <w:r w:rsidRPr="007122AB">
        <w:rPr>
          <w:rFonts w:ascii="Times New Roman" w:hAnsi="Times New Roman"/>
          <w:color w:val="000000" w:themeColor="text1"/>
          <w:sz w:val="16"/>
          <w:szCs w:val="16"/>
        </w:rPr>
        <w:t>Пернов</w:t>
      </w:r>
      <w:proofErr w:type="spellEnd"/>
      <w:r w:rsidRPr="007122AB">
        <w:rPr>
          <w:rFonts w:ascii="Times New Roman" w:hAnsi="Times New Roman"/>
          <w:color w:val="000000" w:themeColor="text1"/>
          <w:sz w:val="16"/>
          <w:szCs w:val="16"/>
        </w:rPr>
        <w:t>» № 208, 209 (-1896, собраны во Владивостоке); транспорт «Камчатка» (01.1903-08.1904); минный транспорт «Волга» (02.1903-); ПЛ: типа «М» серии У1бис М-77 (М-85), М-78 (М-86), М-82, М-83, М-84 (1934-), серии ХП М-87 (-171), -88 (-172), -89 (-173), -90 (-174), -91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105, М-175, 1938), -92 (-176), -93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xml:space="preserve">. 107,1938), - 94, -95, -98, -99, -102, -103 (1936-12.1940), Р-1 (С.92) (1938); типа «К» XIV серии (пр. 41) К-21 (12.1937-38), К-22, К-23 (02.1938-39); типа «С» серии </w:t>
      </w:r>
      <w:proofErr w:type="spellStart"/>
      <w:r w:rsidRPr="007122AB">
        <w:rPr>
          <w:rFonts w:ascii="Times New Roman" w:hAnsi="Times New Roman"/>
          <w:color w:val="000000" w:themeColor="text1"/>
          <w:sz w:val="16"/>
          <w:szCs w:val="16"/>
        </w:rPr>
        <w:t>IXбис</w:t>
      </w:r>
      <w:proofErr w:type="spellEnd"/>
      <w:r w:rsidRPr="007122AB">
        <w:rPr>
          <w:rFonts w:ascii="Times New Roman" w:hAnsi="Times New Roman"/>
          <w:color w:val="000000" w:themeColor="text1"/>
          <w:sz w:val="16"/>
          <w:szCs w:val="16"/>
        </w:rPr>
        <w:t xml:space="preserve"> С-19, С-20, С-21 (1939-41), С-45, С-46, С-47 (1941-); телеуправляемые АПСС (1935)- 2, АЛЛ «Пигмей» (1936)- несколько шт.; пр. 95 М-401 (1941-46)- 1; пр. 96 серии XV М-200, -201, - 202, -203 (03.1940-41), (1941-, не достроены)- 3, достройка 9 лодок завода 112 (-1953)- всего 56; XVI серии пр. 97 (1941-, не достроены)- 3; пр. 611 Б-61 (01.1951-53), (1953-55)- 7; пр. 615 М-254 (03.1950-53), пр. А615 (1955-58)- 23; пр. 617 С-99 (02.1951-03.1956)- 1; пр. 641 Б-94 (10.1957-12.1958), (-1982)- 75, экспортные пр. И641 (1967-69)- 4, пр. И641К Б-51 для Индии (-1967), для Индии, Ливии и Кувейта (1972-83)- 13;</w:t>
      </w:r>
      <w:r w:rsidRPr="007122AB">
        <w:rPr>
          <w:rFonts w:ascii="Times New Roman" w:hAnsi="Times New Roman"/>
          <w:color w:val="000000" w:themeColor="text1"/>
          <w:sz w:val="16"/>
          <w:szCs w:val="16"/>
          <w:vertAlign w:val="superscript"/>
        </w:rPr>
        <w:t>92</w:t>
      </w:r>
      <w:r w:rsidRPr="007122AB">
        <w:rPr>
          <w:rFonts w:ascii="Times New Roman" w:hAnsi="Times New Roman"/>
          <w:color w:val="000000" w:themeColor="text1"/>
          <w:sz w:val="16"/>
          <w:szCs w:val="16"/>
        </w:rPr>
        <w:t xml:space="preserve"> пр. 705 (1964-71)- 1, (1980-е), пр. 705К (1980-е)- всего 6 (вместе с заводом 402); пограничные сторожевики: пр. 52 «Пурга» (12.1938-50-е), ледокольный пр. 97П (1973-81)- 8; достройка тральщиков: завода 190 пр. 53 Т-1 «Стрела», Т-2 «Трос», Т-3 «Проводник»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113, 1938), Т-4 «</w:t>
      </w:r>
      <w:proofErr w:type="spellStart"/>
      <w:r w:rsidRPr="007122AB">
        <w:rPr>
          <w:rFonts w:ascii="Times New Roman" w:hAnsi="Times New Roman"/>
          <w:color w:val="000000" w:themeColor="text1"/>
          <w:sz w:val="16"/>
          <w:szCs w:val="16"/>
        </w:rPr>
        <w:t>Подсекатель</w:t>
      </w:r>
      <w:proofErr w:type="spellEnd"/>
      <w:r w:rsidRPr="007122AB">
        <w:rPr>
          <w:rFonts w:ascii="Times New Roman" w:hAnsi="Times New Roman"/>
          <w:color w:val="000000" w:themeColor="text1"/>
          <w:sz w:val="16"/>
          <w:szCs w:val="16"/>
        </w:rPr>
        <w:t>»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114, 1938), завода 363 Т-208 «Шкив» (1939); бронированный морской охотник БМО пр. 194 (1943-45)- 66; рыболовные траулеры: РТ-88 «Печора», РТ-89 «</w:t>
      </w:r>
      <w:proofErr w:type="spellStart"/>
      <w:r w:rsidRPr="007122AB">
        <w:rPr>
          <w:rFonts w:ascii="Times New Roman" w:hAnsi="Times New Roman"/>
          <w:color w:val="000000" w:themeColor="text1"/>
          <w:sz w:val="16"/>
          <w:szCs w:val="16"/>
        </w:rPr>
        <w:t>Беломорец</w:t>
      </w:r>
      <w:proofErr w:type="spellEnd"/>
      <w:r w:rsidRPr="007122AB">
        <w:rPr>
          <w:rFonts w:ascii="Times New Roman" w:hAnsi="Times New Roman"/>
          <w:color w:val="000000" w:themeColor="text1"/>
          <w:sz w:val="16"/>
          <w:szCs w:val="16"/>
        </w:rPr>
        <w:t>» (1930-е); морской буксир 400 л.с. типа «МБ» пр. 130 (</w:t>
      </w:r>
      <w:proofErr w:type="spellStart"/>
      <w:r w:rsidRPr="007122AB">
        <w:rPr>
          <w:rFonts w:ascii="Times New Roman" w:hAnsi="Times New Roman"/>
          <w:color w:val="000000" w:themeColor="text1"/>
          <w:sz w:val="16"/>
          <w:szCs w:val="16"/>
        </w:rPr>
        <w:t>зак</w:t>
      </w:r>
      <w:proofErr w:type="spellEnd"/>
      <w:r w:rsidRPr="007122AB">
        <w:rPr>
          <w:rFonts w:ascii="Times New Roman" w:hAnsi="Times New Roman"/>
          <w:color w:val="000000" w:themeColor="text1"/>
          <w:sz w:val="16"/>
          <w:szCs w:val="16"/>
        </w:rPr>
        <w:t>. 94-96, 1938), (1933-39)- 12; самоходные плашкоуты (1942); сухогрузные транспорты пр. 450 (1951-55)- 38, пр. 450Б (1955-58)- 35 (вместе с заводом 369); баржа-заправщик ПЛ с ПГТУ перекисью водорода пр. 215 (1950-е);</w:t>
      </w:r>
    </w:p>
    <w:p w14:paraId="4AF261D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ремонт ПЛ «Лембит» (ВОВ); переоборудование: больших охотников: в корабли-цели пр. 383, в корабли управления катерами-целями пр. 384 (1950-е); СРТ пр. 391А в разведывательные корабли (1957).</w:t>
      </w:r>
    </w:p>
    <w:p w14:paraId="4F9F9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КБ-196 /г. Ленинград/</w:t>
      </w:r>
    </w:p>
    <w:p w14:paraId="3895E76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Разработаны проекты: бронированного морского охотника БМО пр. 194, утвержденный 24.08.1942 г.; самоходного плашкоута (1942).</w:t>
      </w:r>
      <w:r w:rsidRPr="007122AB">
        <w:rPr>
          <w:rFonts w:ascii="Times New Roman" w:hAnsi="Times New Roman"/>
          <w:color w:val="000000" w:themeColor="text1"/>
          <w:sz w:val="16"/>
          <w:szCs w:val="16"/>
          <w:vertAlign w:val="superscript"/>
        </w:rPr>
        <w:t>61</w:t>
      </w:r>
    </w:p>
    <w:p w14:paraId="69DB19E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Начальник (1942 г.)- В.М. Мудров.</w:t>
      </w:r>
    </w:p>
    <w:p w14:paraId="157CC72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Ведущий конструктор (1942 г.)- А.Н. </w:t>
      </w:r>
      <w:proofErr w:type="spellStart"/>
      <w:r w:rsidRPr="007122AB">
        <w:rPr>
          <w:rFonts w:ascii="Times New Roman" w:hAnsi="Times New Roman"/>
          <w:color w:val="000000" w:themeColor="text1"/>
          <w:sz w:val="16"/>
          <w:szCs w:val="16"/>
        </w:rPr>
        <w:t>Тюшкевич</w:t>
      </w:r>
      <w:proofErr w:type="spellEnd"/>
      <w:r w:rsidRPr="007122AB">
        <w:rPr>
          <w:rFonts w:ascii="Times New Roman" w:hAnsi="Times New Roman"/>
          <w:color w:val="000000" w:themeColor="text1"/>
          <w:sz w:val="16"/>
          <w:szCs w:val="16"/>
        </w:rPr>
        <w:t xml:space="preserve"> (БМО).</w:t>
      </w:r>
    </w:p>
    <w:p w14:paraId="6EF1B5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Особое КБ № 196 (ОКБ-196) 4-го Спецотдела НКВД</w:t>
      </w:r>
    </w:p>
    <w:p w14:paraId="49C0898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Работали заключенные специалисты по созданию новых типов ПЛ (до и во время ВОВ).</w:t>
      </w:r>
      <w:r w:rsidRPr="007122AB">
        <w:rPr>
          <w:rFonts w:ascii="Times New Roman" w:hAnsi="Times New Roman"/>
          <w:color w:val="000000" w:themeColor="text1"/>
          <w:sz w:val="16"/>
          <w:szCs w:val="16"/>
          <w:vertAlign w:val="superscript"/>
        </w:rPr>
        <w:t>61</w:t>
      </w:r>
      <w:r w:rsidRPr="007122AB">
        <w:rPr>
          <w:rFonts w:ascii="Times New Roman" w:hAnsi="Times New Roman"/>
          <w:color w:val="000000" w:themeColor="text1"/>
          <w:sz w:val="16"/>
          <w:szCs w:val="16"/>
        </w:rPr>
        <w:t xml:space="preserve"> В 1938 г. </w:t>
      </w:r>
      <w:r w:rsidRPr="007122AB">
        <w:rPr>
          <w:rFonts w:ascii="Times New Roman" w:hAnsi="Times New Roman"/>
          <w:color w:val="000000" w:themeColor="text1"/>
          <w:sz w:val="16"/>
          <w:szCs w:val="16"/>
          <w:lang w:val="en-US"/>
        </w:rPr>
        <w:t>B</w:t>
      </w:r>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C</w:t>
      </w:r>
      <w:r w:rsidRPr="007122AB">
        <w:rPr>
          <w:rFonts w:ascii="Times New Roman" w:hAnsi="Times New Roman"/>
          <w:color w:val="000000" w:themeColor="text1"/>
          <w:sz w:val="16"/>
          <w:szCs w:val="16"/>
        </w:rPr>
        <w:t xml:space="preserve">. Дмитриевский предложил создать силовую установку ЕД-ХПИ (единый двигатель с </w:t>
      </w:r>
      <w:proofErr w:type="spellStart"/>
      <w:r w:rsidRPr="007122AB">
        <w:rPr>
          <w:rFonts w:ascii="Times New Roman" w:hAnsi="Times New Roman"/>
          <w:color w:val="000000" w:themeColor="text1"/>
          <w:sz w:val="16"/>
          <w:szCs w:val="16"/>
        </w:rPr>
        <w:t>химпоглотителем</w:t>
      </w:r>
      <w:proofErr w:type="spellEnd"/>
      <w:r w:rsidRPr="007122AB">
        <w:rPr>
          <w:rFonts w:ascii="Times New Roman" w:hAnsi="Times New Roman"/>
          <w:color w:val="000000" w:themeColor="text1"/>
          <w:sz w:val="16"/>
          <w:szCs w:val="16"/>
        </w:rPr>
        <w:t xml:space="preserve"> известняковым). Под эту СУ под руководством А.С. </w:t>
      </w:r>
      <w:proofErr w:type="spellStart"/>
      <w:r w:rsidRPr="007122AB">
        <w:rPr>
          <w:rFonts w:ascii="Times New Roman" w:hAnsi="Times New Roman"/>
          <w:color w:val="000000" w:themeColor="text1"/>
          <w:sz w:val="16"/>
          <w:szCs w:val="16"/>
        </w:rPr>
        <w:t>Кассациера</w:t>
      </w:r>
      <w:proofErr w:type="spellEnd"/>
      <w:r w:rsidRPr="007122AB">
        <w:rPr>
          <w:rFonts w:ascii="Times New Roman" w:hAnsi="Times New Roman"/>
          <w:color w:val="000000" w:themeColor="text1"/>
          <w:sz w:val="16"/>
          <w:szCs w:val="16"/>
        </w:rPr>
        <w:t xml:space="preserve"> спроектирована экспериментальная ПЛ пр. 95 М- 401. В 11.1942 г. Дмитриевский погиб при испытаниях М-401.</w:t>
      </w:r>
    </w:p>
    <w:p w14:paraId="7A6864B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1939-40 г. разработаны </w:t>
      </w:r>
      <w:proofErr w:type="spellStart"/>
      <w:r w:rsidRPr="007122AB">
        <w:rPr>
          <w:rFonts w:ascii="Times New Roman" w:hAnsi="Times New Roman"/>
          <w:color w:val="000000" w:themeColor="text1"/>
          <w:sz w:val="16"/>
          <w:szCs w:val="16"/>
        </w:rPr>
        <w:t>предэскизные</w:t>
      </w:r>
      <w:proofErr w:type="spellEnd"/>
      <w:r w:rsidRPr="007122AB">
        <w:rPr>
          <w:rFonts w:ascii="Times New Roman" w:hAnsi="Times New Roman"/>
          <w:color w:val="000000" w:themeColor="text1"/>
          <w:sz w:val="16"/>
          <w:szCs w:val="16"/>
        </w:rPr>
        <w:t xml:space="preserve"> проекты «малых легких крейсеров» МК-3, МК-4, МК-5, МК-6.</w:t>
      </w:r>
    </w:p>
    <w:p w14:paraId="11EBCF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разработан проект 10-весельного яла (Ял-10), после войны он передан в КБ завода № 5.</w:t>
      </w:r>
    </w:p>
    <w:p w14:paraId="1E728C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1940-41 г.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2B83CFA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7AC12CE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Летом 1941 г. ОКБ-196 эвакуировано на завод № 340.</w:t>
      </w:r>
      <w:r w:rsidRPr="007122AB">
        <w:rPr>
          <w:rFonts w:ascii="Times New Roman" w:hAnsi="Times New Roman"/>
          <w:color w:val="000000" w:themeColor="text1"/>
          <w:sz w:val="16"/>
          <w:szCs w:val="16"/>
          <w:vertAlign w:val="superscript"/>
        </w:rPr>
        <w:t>3</w:t>
      </w:r>
      <w:r w:rsidRPr="007122AB">
        <w:rPr>
          <w:rFonts w:ascii="Times New Roman" w:hAnsi="Times New Roman"/>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5FE381F6" w14:textId="77777777" w:rsidR="0075673E" w:rsidRPr="007122AB" w:rsidRDefault="0075673E"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5FDAC7C"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Армия:</w:t>
      </w:r>
    </w:p>
    <w:p w14:paraId="5FCEDD06"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E02101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w:t>
      </w:r>
      <w:proofErr w:type="spellStart"/>
      <w:r w:rsidRPr="007122AB">
        <w:rPr>
          <w:rFonts w:ascii="Times New Roman" w:hAnsi="Times New Roman"/>
          <w:color w:val="000000" w:themeColor="text1"/>
          <w:sz w:val="16"/>
          <w:szCs w:val="16"/>
        </w:rPr>
        <w:t>М.Н.Тухачевский</w:t>
      </w:r>
      <w:proofErr w:type="spellEnd"/>
      <w:r w:rsidRPr="007122AB">
        <w:rPr>
          <w:rFonts w:ascii="Times New Roman" w:hAnsi="Times New Roman"/>
          <w:color w:val="000000" w:themeColor="text1"/>
          <w:sz w:val="16"/>
          <w:szCs w:val="16"/>
        </w:rPr>
        <w:t xml:space="preserve"> был назначен зам. наркома обороны, начальником вооружений РККА (176,22).</w:t>
      </w:r>
    </w:p>
    <w:p w14:paraId="502F0A5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7AC348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был выпущен Боевой устав броневых сил РККА, определивший организацию и задачи бронепоездных частей. Сами бронепоезда разделялись на легкие и тяжелые, в зависимости от калибра орудий. Высшей тактической единицей принимался дивизион - три бронепоезда, из них один тяжелый. Предполагалось, что в случае боевых действий в Европе бронепоезда благодаря подвижности и огневой мощи смогут оказать существенную поддержку полевым войскам, а на дальневосточном театре военных действий вполне смогут играть роль ударных сил (9642).</w:t>
      </w:r>
    </w:p>
    <w:p w14:paraId="6467C3C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BCDC3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вышло постановление об улучшении материального по</w:t>
      </w:r>
      <w:r w:rsidRPr="007122AB">
        <w:rPr>
          <w:rFonts w:ascii="Times New Roman" w:hAnsi="Times New Roman"/>
          <w:color w:val="000000" w:themeColor="text1"/>
          <w:sz w:val="16"/>
          <w:szCs w:val="16"/>
        </w:rPr>
        <w:softHyphen/>
        <w:t xml:space="preserve">ложения начальствующего состава. В соответствии с этим документом оклад младшего лётчика составлял 2000 </w:t>
      </w:r>
      <w:proofErr w:type="spellStart"/>
      <w:r w:rsidRPr="007122AB">
        <w:rPr>
          <w:rFonts w:ascii="Times New Roman" w:hAnsi="Times New Roman"/>
          <w:color w:val="000000" w:themeColor="text1"/>
          <w:sz w:val="16"/>
          <w:szCs w:val="16"/>
        </w:rPr>
        <w:t>руб</w:t>
      </w:r>
      <w:proofErr w:type="spellEnd"/>
      <w:r w:rsidRPr="007122AB">
        <w:rPr>
          <w:rFonts w:ascii="Times New Roman" w:hAnsi="Times New Roman"/>
          <w:color w:val="000000" w:themeColor="text1"/>
          <w:sz w:val="16"/>
          <w:szCs w:val="16"/>
        </w:rPr>
        <w:t>, оклад командира авиа</w:t>
      </w:r>
      <w:r w:rsidRPr="007122AB">
        <w:rPr>
          <w:rFonts w:ascii="Times New Roman" w:hAnsi="Times New Roman"/>
          <w:color w:val="000000" w:themeColor="text1"/>
          <w:sz w:val="16"/>
          <w:szCs w:val="16"/>
        </w:rPr>
        <w:softHyphen/>
        <w:t>ционной эскадрильи 3240 руб. Для сравнения: оклад командира эскад</w:t>
      </w:r>
      <w:r w:rsidRPr="007122AB">
        <w:rPr>
          <w:rFonts w:ascii="Times New Roman" w:hAnsi="Times New Roman"/>
          <w:color w:val="000000" w:themeColor="text1"/>
          <w:sz w:val="16"/>
          <w:szCs w:val="16"/>
        </w:rPr>
        <w:softHyphen/>
        <w:t>ренного миноносца в 1932 г. со</w:t>
      </w:r>
      <w:r w:rsidRPr="007122AB">
        <w:rPr>
          <w:rFonts w:ascii="Times New Roman" w:hAnsi="Times New Roman"/>
          <w:color w:val="000000" w:themeColor="text1"/>
          <w:sz w:val="16"/>
          <w:szCs w:val="16"/>
        </w:rPr>
        <w:softHyphen/>
        <w:t>ставлял 3240 руб. Уже и в этот пе</w:t>
      </w:r>
      <w:r w:rsidRPr="007122AB">
        <w:rPr>
          <w:rFonts w:ascii="Times New Roman" w:hAnsi="Times New Roman"/>
          <w:color w:val="000000" w:themeColor="text1"/>
          <w:sz w:val="16"/>
          <w:szCs w:val="16"/>
        </w:rPr>
        <w:softHyphen/>
        <w:t>риод возникали сложности с комп</w:t>
      </w:r>
      <w:r w:rsidRPr="007122AB">
        <w:rPr>
          <w:rFonts w:ascii="Times New Roman" w:hAnsi="Times New Roman"/>
          <w:color w:val="000000" w:themeColor="text1"/>
          <w:sz w:val="16"/>
          <w:szCs w:val="16"/>
        </w:rPr>
        <w:softHyphen/>
        <w:t>лектованием вооружённых сил. В апреле 1931 г. из Реввоенсовета за подписью зам. Наркома по во</w:t>
      </w:r>
      <w:r w:rsidRPr="007122AB">
        <w:rPr>
          <w:rFonts w:ascii="Times New Roman" w:hAnsi="Times New Roman"/>
          <w:color w:val="000000" w:themeColor="text1"/>
          <w:sz w:val="16"/>
          <w:szCs w:val="16"/>
        </w:rPr>
        <w:softHyphen/>
        <w:t>енным и морским делам Гамарника поступила информация о неудовлет</w:t>
      </w:r>
      <w:r w:rsidRPr="007122AB">
        <w:rPr>
          <w:rFonts w:ascii="Times New Roman" w:hAnsi="Times New Roman"/>
          <w:color w:val="000000" w:themeColor="text1"/>
          <w:sz w:val="16"/>
          <w:szCs w:val="16"/>
        </w:rPr>
        <w:softHyphen/>
        <w:t>ворительных результатах вербовки на военную службу сверхсрочнос</w:t>
      </w:r>
      <w:r w:rsidRPr="007122AB">
        <w:rPr>
          <w:rFonts w:ascii="Times New Roman" w:hAnsi="Times New Roman"/>
          <w:color w:val="000000" w:themeColor="text1"/>
          <w:sz w:val="16"/>
          <w:szCs w:val="16"/>
        </w:rPr>
        <w:softHyphen/>
        <w:t>лужащих: 15 000 должностей оста</w:t>
      </w:r>
      <w:r w:rsidRPr="007122AB">
        <w:rPr>
          <w:rFonts w:ascii="Times New Roman" w:hAnsi="Times New Roman"/>
          <w:color w:val="000000" w:themeColor="text1"/>
          <w:sz w:val="16"/>
          <w:szCs w:val="16"/>
        </w:rPr>
        <w:softHyphen/>
        <w:t>лись вакантными.</w:t>
      </w:r>
    </w:p>
    <w:p w14:paraId="1FD08B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Интересно, что в 1932 г. были произведены расчёты, связанные с восполнением потерь самолётного парка в случае войны. По одному из вариантов подобных расчётов на год ведения боевых действий потребность в самолётах И-5 со</w:t>
      </w:r>
      <w:r w:rsidRPr="007122AB">
        <w:rPr>
          <w:rFonts w:ascii="Times New Roman" w:hAnsi="Times New Roman"/>
          <w:color w:val="000000" w:themeColor="text1"/>
          <w:sz w:val="16"/>
          <w:szCs w:val="16"/>
        </w:rPr>
        <w:softHyphen/>
        <w:t xml:space="preserve">ставила бы 2000 </w:t>
      </w:r>
      <w:proofErr w:type="spellStart"/>
      <w:r w:rsidRPr="007122AB">
        <w:rPr>
          <w:rFonts w:ascii="Times New Roman" w:hAnsi="Times New Roman"/>
          <w:color w:val="000000" w:themeColor="text1"/>
          <w:sz w:val="16"/>
          <w:szCs w:val="16"/>
        </w:rPr>
        <w:t>шт</w:t>
      </w:r>
      <w:proofErr w:type="spellEnd"/>
      <w:r w:rsidRPr="007122AB">
        <w:rPr>
          <w:rFonts w:ascii="Times New Roman" w:hAnsi="Times New Roman"/>
          <w:color w:val="000000" w:themeColor="text1"/>
          <w:sz w:val="16"/>
          <w:szCs w:val="16"/>
        </w:rPr>
        <w:t>, Р-5 - 700 шт.</w:t>
      </w:r>
    </w:p>
    <w:p w14:paraId="1E918841"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ответ на этот документ Выс</w:t>
      </w:r>
      <w:r w:rsidRPr="007122AB">
        <w:rPr>
          <w:rFonts w:ascii="Times New Roman" w:hAnsi="Times New Roman"/>
          <w:color w:val="000000" w:themeColor="text1"/>
          <w:sz w:val="16"/>
          <w:szCs w:val="16"/>
        </w:rPr>
        <w:softHyphen/>
        <w:t>ший совет народного хозяйства ответил, что такими возможностя</w:t>
      </w:r>
      <w:r w:rsidRPr="007122AB">
        <w:rPr>
          <w:rFonts w:ascii="Times New Roman" w:hAnsi="Times New Roman"/>
          <w:color w:val="000000" w:themeColor="text1"/>
          <w:sz w:val="16"/>
          <w:szCs w:val="16"/>
        </w:rPr>
        <w:softHyphen/>
        <w:t>ми по производству авиационной техники он не располагает (12084).</w:t>
      </w:r>
    </w:p>
    <w:p w14:paraId="5024F49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2FE8336" w14:textId="03E138A4"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 xml:space="preserve">1931 г. Донесение Берзина — Ворошилову </w:t>
      </w:r>
    </w:p>
    <w:p w14:paraId="1A988A87" w14:textId="77777777" w:rsidR="00CC65A3" w:rsidRPr="007122AB" w:rsidRDefault="00CC65A3" w:rsidP="007122AB">
      <w:pPr>
        <w:pStyle w:val="ae"/>
        <w:spacing w:before="0" w:after="0"/>
        <w:jc w:val="both"/>
        <w:rPr>
          <w:color w:val="000000" w:themeColor="text1"/>
          <w:sz w:val="16"/>
          <w:szCs w:val="16"/>
        </w:rPr>
      </w:pPr>
      <w:r w:rsidRPr="007122AB">
        <w:rPr>
          <w:rStyle w:val="a7"/>
          <w:rFonts w:eastAsia="Segoe UI"/>
          <w:b w:val="0"/>
          <w:bCs w:val="0"/>
          <w:color w:val="000000" w:themeColor="text1"/>
          <w:sz w:val="16"/>
          <w:szCs w:val="16"/>
        </w:rPr>
        <w:t>Об итогах работы в Казани, Липецке, Томке</w:t>
      </w:r>
    </w:p>
    <w:p w14:paraId="58FCA467"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lastRenderedPageBreak/>
        <w:t xml:space="preserve">Итоги работы в Казани и Липецке не совсем удовлетворяют УММ и УВВС, т. к. «друзья» слабо завозят новейшие технические объекты, подлежащие испытаниям, иногда ограничиваясь устаревшими типами (самолеты «Фоккер» До-XIII), и не всегда откровенно делятся всеми материалами и сведениями, полученными в результате исследовательских и учебно-опытных работ &lt;...&gt; В отношении работы на химическом полигоне при ст. </w:t>
      </w:r>
      <w:proofErr w:type="spellStart"/>
      <w:r w:rsidRPr="007122AB">
        <w:rPr>
          <w:color w:val="000000" w:themeColor="text1"/>
          <w:sz w:val="16"/>
          <w:szCs w:val="16"/>
        </w:rPr>
        <w:t>Причер-навская</w:t>
      </w:r>
      <w:proofErr w:type="spellEnd"/>
      <w:r w:rsidRPr="007122AB">
        <w:rPr>
          <w:color w:val="000000" w:themeColor="text1"/>
          <w:sz w:val="16"/>
          <w:szCs w:val="16"/>
        </w:rPr>
        <w:t xml:space="preserve"> ВОХИМУ считает ее вообще весьма ценной и полезной для РККА. &lt;...&gt; Желательно внести в эту область следующие улучшения: 1. По химическим работам в Томке (ст. </w:t>
      </w:r>
      <w:proofErr w:type="spellStart"/>
      <w:r w:rsidRPr="007122AB">
        <w:rPr>
          <w:color w:val="000000" w:themeColor="text1"/>
          <w:sz w:val="16"/>
          <w:szCs w:val="16"/>
        </w:rPr>
        <w:t>Причернавская</w:t>
      </w:r>
      <w:proofErr w:type="spellEnd"/>
      <w:r w:rsidRPr="007122AB">
        <w:rPr>
          <w:color w:val="000000" w:themeColor="text1"/>
          <w:sz w:val="16"/>
          <w:szCs w:val="16"/>
        </w:rPr>
        <w:t>):</w:t>
      </w:r>
    </w:p>
    <w:p w14:paraId="6F3BF1EF"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а) доведение до конца в полевых условиях работ с вязкими ипритами (применение их артиллерией, авиацией, боевыми химическими машинами и дегазации);</w:t>
      </w:r>
    </w:p>
    <w:p w14:paraId="69BD5AF4"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б) завершение работ с «</w:t>
      </w:r>
      <w:proofErr w:type="spellStart"/>
      <w:r w:rsidRPr="007122AB">
        <w:rPr>
          <w:color w:val="000000" w:themeColor="text1"/>
          <w:sz w:val="16"/>
          <w:szCs w:val="16"/>
        </w:rPr>
        <w:t>пфификусом</w:t>
      </w:r>
      <w:proofErr w:type="spellEnd"/>
      <w:r w:rsidRPr="007122AB">
        <w:rPr>
          <w:color w:val="000000" w:themeColor="text1"/>
          <w:sz w:val="16"/>
          <w:szCs w:val="16"/>
        </w:rPr>
        <w:t>» и новыми ОВ;</w:t>
      </w:r>
    </w:p>
    <w:p w14:paraId="205729AB"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 xml:space="preserve">в) применение жидкого дегазатора &lt;...&gt; (использование </w:t>
      </w:r>
      <w:proofErr w:type="spellStart"/>
      <w:r w:rsidRPr="007122AB">
        <w:rPr>
          <w:color w:val="000000" w:themeColor="text1"/>
          <w:sz w:val="16"/>
          <w:szCs w:val="16"/>
        </w:rPr>
        <w:t>крупповской</w:t>
      </w:r>
      <w:proofErr w:type="spellEnd"/>
      <w:r w:rsidRPr="007122AB">
        <w:rPr>
          <w:color w:val="000000" w:themeColor="text1"/>
          <w:sz w:val="16"/>
          <w:szCs w:val="16"/>
        </w:rPr>
        <w:t xml:space="preserve"> автоцистерны).</w:t>
      </w:r>
    </w:p>
    <w:p w14:paraId="4AE65598"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Ввиду развертывания наших собственных работ в 1932 г., «друзей» желательно перевести с территории ЦВХП в другое место. &lt;... &gt;</w:t>
      </w:r>
    </w:p>
    <w:p w14:paraId="016E8535"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Берзин</w:t>
      </w:r>
    </w:p>
    <w:p w14:paraId="07F905B1" w14:textId="77777777" w:rsidR="00CC65A3" w:rsidRPr="007122AB" w:rsidRDefault="00CC65A3" w:rsidP="007122AB">
      <w:pPr>
        <w:pStyle w:val="style3"/>
        <w:spacing w:before="0" w:beforeAutospacing="0" w:after="0" w:afterAutospacing="0"/>
        <w:jc w:val="both"/>
        <w:rPr>
          <w:color w:val="000000" w:themeColor="text1"/>
          <w:sz w:val="16"/>
          <w:szCs w:val="16"/>
        </w:rPr>
      </w:pPr>
      <w:r w:rsidRPr="007122AB">
        <w:rPr>
          <w:color w:val="000000" w:themeColor="text1"/>
          <w:sz w:val="16"/>
          <w:szCs w:val="16"/>
        </w:rPr>
        <w:t>ЦГАСА. Ф 33987 Оп. 3. Д. 275. Л 110-111. Подлинник (20246).</w:t>
      </w:r>
    </w:p>
    <w:p w14:paraId="51255E15" w14:textId="77777777" w:rsidR="007065FB" w:rsidRDefault="007065FB" w:rsidP="007122AB">
      <w:pPr>
        <w:autoSpaceDE w:val="0"/>
        <w:autoSpaceDN w:val="0"/>
        <w:adjustRightInd w:val="0"/>
        <w:spacing w:after="0" w:line="240" w:lineRule="auto"/>
        <w:jc w:val="both"/>
        <w:rPr>
          <w:rFonts w:ascii="Times New Roman" w:hAnsi="Times New Roman"/>
          <w:i/>
          <w:iCs/>
          <w:color w:val="000000" w:themeColor="text1"/>
          <w:sz w:val="16"/>
          <w:szCs w:val="16"/>
        </w:rPr>
      </w:pPr>
    </w:p>
    <w:p w14:paraId="219726AB" w14:textId="77777777" w:rsidR="007065FB" w:rsidRDefault="007065FB" w:rsidP="007065FB">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В 1931 г. открылись и </w:t>
      </w:r>
      <w:r w:rsidRPr="009F5089">
        <w:rPr>
          <w:rFonts w:ascii="Times New Roman" w:hAnsi="Times New Roman"/>
          <w:color w:val="0070C0"/>
          <w:sz w:val="16"/>
          <w:szCs w:val="16"/>
        </w:rPr>
        <w:t>начали функционировать три летные школы Гра</w:t>
      </w:r>
      <w:r>
        <w:rPr>
          <w:rFonts w:ascii="Times New Roman" w:hAnsi="Times New Roman"/>
          <w:color w:val="0070C0"/>
          <w:sz w:val="16"/>
          <w:szCs w:val="16"/>
        </w:rPr>
        <w:t>ж</w:t>
      </w:r>
      <w:r w:rsidRPr="009F5089">
        <w:rPr>
          <w:rFonts w:ascii="Times New Roman" w:hAnsi="Times New Roman"/>
          <w:color w:val="0070C0"/>
          <w:sz w:val="16"/>
          <w:szCs w:val="16"/>
        </w:rPr>
        <w:t>дан</w:t>
      </w:r>
      <w:r>
        <w:rPr>
          <w:rFonts w:ascii="Times New Roman" w:hAnsi="Times New Roman"/>
          <w:color w:val="0070C0"/>
          <w:sz w:val="16"/>
          <w:szCs w:val="16"/>
        </w:rPr>
        <w:t>ского</w:t>
      </w:r>
      <w:r w:rsidRPr="009F5089">
        <w:rPr>
          <w:rFonts w:ascii="Times New Roman" w:hAnsi="Times New Roman"/>
          <w:color w:val="0070C0"/>
          <w:sz w:val="16"/>
          <w:szCs w:val="16"/>
        </w:rPr>
        <w:t xml:space="preserve"> воздушного флота:</w:t>
      </w:r>
      <w:r>
        <w:rPr>
          <w:rFonts w:ascii="Times New Roman" w:hAnsi="Times New Roman"/>
          <w:color w:val="0070C0"/>
          <w:sz w:val="16"/>
          <w:szCs w:val="16"/>
        </w:rPr>
        <w:t xml:space="preserve"> </w:t>
      </w:r>
      <w:r w:rsidRPr="009F5089">
        <w:rPr>
          <w:rFonts w:ascii="Times New Roman" w:hAnsi="Times New Roman"/>
          <w:color w:val="0070C0"/>
          <w:sz w:val="16"/>
          <w:szCs w:val="16"/>
        </w:rPr>
        <w:t>Батайская /1-я/,</w:t>
      </w:r>
      <w:r>
        <w:rPr>
          <w:rFonts w:ascii="Times New Roman" w:hAnsi="Times New Roman"/>
          <w:color w:val="0070C0"/>
          <w:sz w:val="16"/>
          <w:szCs w:val="16"/>
        </w:rPr>
        <w:t xml:space="preserve"> </w:t>
      </w:r>
      <w:r w:rsidRPr="009F5089">
        <w:rPr>
          <w:rFonts w:ascii="Times New Roman" w:hAnsi="Times New Roman"/>
          <w:color w:val="0070C0"/>
          <w:sz w:val="16"/>
          <w:szCs w:val="16"/>
        </w:rPr>
        <w:t xml:space="preserve">тамбовская /2-я/ </w:t>
      </w:r>
      <w:r>
        <w:rPr>
          <w:rFonts w:ascii="Times New Roman" w:hAnsi="Times New Roman"/>
          <w:color w:val="0070C0"/>
          <w:sz w:val="16"/>
          <w:szCs w:val="16"/>
        </w:rPr>
        <w:t>и</w:t>
      </w:r>
      <w:r w:rsidRPr="009F5089">
        <w:rPr>
          <w:rFonts w:ascii="Times New Roman" w:hAnsi="Times New Roman"/>
          <w:color w:val="0070C0"/>
          <w:sz w:val="16"/>
          <w:szCs w:val="16"/>
        </w:rPr>
        <w:t xml:space="preserve"> Балашов</w:t>
      </w:r>
      <w:r>
        <w:rPr>
          <w:rFonts w:ascii="Times New Roman" w:hAnsi="Times New Roman"/>
          <w:color w:val="0070C0"/>
          <w:sz w:val="16"/>
          <w:szCs w:val="16"/>
        </w:rPr>
        <w:t>ская</w:t>
      </w:r>
      <w:r w:rsidRPr="009F5089">
        <w:rPr>
          <w:rFonts w:ascii="Times New Roman" w:hAnsi="Times New Roman"/>
          <w:color w:val="0070C0"/>
          <w:sz w:val="16"/>
          <w:szCs w:val="16"/>
        </w:rPr>
        <w:t xml:space="preserve"> /3-я/, Московская Осоав</w:t>
      </w:r>
      <w:r>
        <w:rPr>
          <w:rFonts w:ascii="Times New Roman" w:hAnsi="Times New Roman"/>
          <w:color w:val="0070C0"/>
          <w:sz w:val="16"/>
          <w:szCs w:val="16"/>
        </w:rPr>
        <w:t>и</w:t>
      </w:r>
      <w:r w:rsidRPr="009F5089">
        <w:rPr>
          <w:rFonts w:ascii="Times New Roman" w:hAnsi="Times New Roman"/>
          <w:color w:val="0070C0"/>
          <w:sz w:val="16"/>
          <w:szCs w:val="16"/>
        </w:rPr>
        <w:t>ах</w:t>
      </w:r>
      <w:r>
        <w:rPr>
          <w:rFonts w:ascii="Times New Roman" w:hAnsi="Times New Roman"/>
          <w:color w:val="0070C0"/>
          <w:sz w:val="16"/>
          <w:szCs w:val="16"/>
        </w:rPr>
        <w:t>и</w:t>
      </w:r>
      <w:r w:rsidRPr="009F5089">
        <w:rPr>
          <w:rFonts w:ascii="Times New Roman" w:hAnsi="Times New Roman"/>
          <w:color w:val="0070C0"/>
          <w:sz w:val="16"/>
          <w:szCs w:val="16"/>
        </w:rPr>
        <w:t xml:space="preserve">ма в Павшино </w:t>
      </w:r>
      <w:r>
        <w:rPr>
          <w:rFonts w:ascii="Times New Roman" w:hAnsi="Times New Roman"/>
          <w:color w:val="0070C0"/>
          <w:sz w:val="16"/>
          <w:szCs w:val="16"/>
        </w:rPr>
        <w:t>и</w:t>
      </w:r>
      <w:r w:rsidRPr="009F5089">
        <w:rPr>
          <w:rFonts w:ascii="Times New Roman" w:hAnsi="Times New Roman"/>
          <w:color w:val="0070C0"/>
          <w:sz w:val="16"/>
          <w:szCs w:val="16"/>
        </w:rPr>
        <w:t xml:space="preserve"> Объединенная школа пи</w:t>
      </w:r>
      <w:r>
        <w:rPr>
          <w:rFonts w:ascii="Times New Roman" w:hAnsi="Times New Roman"/>
          <w:color w:val="0070C0"/>
          <w:sz w:val="16"/>
          <w:szCs w:val="16"/>
        </w:rPr>
        <w:t>ло</w:t>
      </w:r>
      <w:r w:rsidRPr="009F5089">
        <w:rPr>
          <w:rFonts w:ascii="Times New Roman" w:hAnsi="Times New Roman"/>
          <w:color w:val="0070C0"/>
          <w:sz w:val="16"/>
          <w:szCs w:val="16"/>
        </w:rPr>
        <w:t xml:space="preserve">тов </w:t>
      </w:r>
      <w:r>
        <w:rPr>
          <w:rFonts w:ascii="Times New Roman" w:hAnsi="Times New Roman"/>
          <w:color w:val="0070C0"/>
          <w:sz w:val="16"/>
          <w:szCs w:val="16"/>
        </w:rPr>
        <w:t>и</w:t>
      </w:r>
      <w:r w:rsidRPr="009F5089">
        <w:rPr>
          <w:rFonts w:ascii="Times New Roman" w:hAnsi="Times New Roman"/>
          <w:color w:val="0070C0"/>
          <w:sz w:val="16"/>
          <w:szCs w:val="16"/>
        </w:rPr>
        <w:t xml:space="preserve"> техников сельско-хозяйственной авиа</w:t>
      </w:r>
      <w:r>
        <w:rPr>
          <w:rFonts w:ascii="Times New Roman" w:hAnsi="Times New Roman"/>
          <w:color w:val="0070C0"/>
          <w:sz w:val="16"/>
          <w:szCs w:val="16"/>
        </w:rPr>
        <w:t>ции</w:t>
      </w:r>
      <w:r w:rsidRPr="009F5089">
        <w:rPr>
          <w:rFonts w:ascii="Times New Roman" w:hAnsi="Times New Roman"/>
          <w:color w:val="0070C0"/>
          <w:sz w:val="16"/>
          <w:szCs w:val="16"/>
        </w:rPr>
        <w:t xml:space="preserve"> при Наркомземе в Краснодаре</w:t>
      </w:r>
      <w:r>
        <w:rPr>
          <w:rFonts w:ascii="Times New Roman" w:hAnsi="Times New Roman"/>
          <w:color w:val="0070C0"/>
          <w:sz w:val="16"/>
          <w:szCs w:val="16"/>
        </w:rPr>
        <w:t xml:space="preserve"> (23370)</w:t>
      </w:r>
      <w:r w:rsidRPr="009F5089">
        <w:rPr>
          <w:rFonts w:ascii="Times New Roman" w:hAnsi="Times New Roman"/>
          <w:color w:val="0070C0"/>
          <w:sz w:val="16"/>
          <w:szCs w:val="16"/>
        </w:rPr>
        <w:t>.</w:t>
      </w:r>
    </w:p>
    <w:p w14:paraId="3EB33C32" w14:textId="77777777" w:rsidR="007065FB" w:rsidRPr="009F5089" w:rsidRDefault="007065FB" w:rsidP="007065FB">
      <w:pPr>
        <w:spacing w:after="0" w:line="240" w:lineRule="auto"/>
        <w:jc w:val="both"/>
        <w:rPr>
          <w:rFonts w:ascii="Times New Roman" w:hAnsi="Times New Roman"/>
          <w:color w:val="0070C0"/>
          <w:sz w:val="16"/>
          <w:szCs w:val="16"/>
        </w:rPr>
      </w:pPr>
    </w:p>
    <w:p w14:paraId="34C80991" w14:textId="6F98BA06"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Жизнь и внутренняя политика:</w:t>
      </w:r>
    </w:p>
    <w:p w14:paraId="7923C8CD"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6CDB6B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году были отменены, с одной стороны, закон, запрещавший платить занятым на сдельной работе менее двух третей среднего уровня зарплаты, и с другой стороны, закон, согласно которому рабочий, превышающий нормы выработки, мог получать сверх тарифа не более 100 % обычной нормы зарплаты.</w:t>
      </w:r>
    </w:p>
    <w:p w14:paraId="38B68BF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Тогда же был аннулирован закон, согласно которому специалисты, работающие по совместительству (которое было тогда широко распространено), могли получать лишь в полтора раза больше установленного максимума зарплаты. Эта мера явилась составной частью новой сталинской политики по отношению к интеллигенции. В 1931 году Сталин в качестве одного из "шести условий" призвал создать "ядру командного состава нашей промышленности" "соответствующую обстановку, не жалея для этого денег" (9492).</w:t>
      </w:r>
    </w:p>
    <w:p w14:paraId="4E249DE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DCAADF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все трудящееся население 4-х крупных городов (включая Казань) было разделено на группы по "классово-производственному" признаку. В первую группу наряду с рабочими входили военнослужащие, работники ОГПУ, милиции, оперработники </w:t>
      </w:r>
      <w:proofErr w:type="spellStart"/>
      <w:r w:rsidRPr="007122AB">
        <w:rPr>
          <w:rFonts w:ascii="Times New Roman" w:hAnsi="Times New Roman"/>
          <w:color w:val="000000" w:themeColor="text1"/>
          <w:sz w:val="16"/>
          <w:szCs w:val="16"/>
        </w:rPr>
        <w:t>угро</w:t>
      </w:r>
      <w:proofErr w:type="spellEnd"/>
      <w:r w:rsidRPr="007122AB">
        <w:rPr>
          <w:rFonts w:ascii="Times New Roman" w:hAnsi="Times New Roman"/>
          <w:color w:val="000000" w:themeColor="text1"/>
          <w:sz w:val="16"/>
          <w:szCs w:val="16"/>
        </w:rPr>
        <w:t>, учащиеся и преподаватели ФЗУ. Ко второй были отнесены служащие, а также члены семей рабочих и служащих и "лица свободных профессий", к третьей группе - дети до 14 лет. Группы делились также и по "литерам".</w:t>
      </w:r>
    </w:p>
    <w:p w14:paraId="137FB62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Например, в Казани владельцев продовольственной карточки первой группы литеры "А", получавших 800 г хлеба в день, называли "литер-А-торы". Кроме них были еще "литер-Б-торы" (600 г) и "кое-</w:t>
      </w:r>
      <w:proofErr w:type="spellStart"/>
      <w:r w:rsidRPr="007122AB">
        <w:rPr>
          <w:rFonts w:ascii="Times New Roman" w:hAnsi="Times New Roman"/>
          <w:color w:val="000000" w:themeColor="text1"/>
          <w:sz w:val="16"/>
          <w:szCs w:val="16"/>
        </w:rPr>
        <w:t>какеры</w:t>
      </w:r>
      <w:proofErr w:type="spellEnd"/>
      <w:r w:rsidRPr="007122AB">
        <w:rPr>
          <w:rFonts w:ascii="Times New Roman" w:hAnsi="Times New Roman"/>
          <w:color w:val="000000" w:themeColor="text1"/>
          <w:sz w:val="16"/>
          <w:szCs w:val="16"/>
        </w:rPr>
        <w:t>" (300 г). К "кое-</w:t>
      </w:r>
      <w:proofErr w:type="spellStart"/>
      <w:r w:rsidRPr="007122AB">
        <w:rPr>
          <w:rFonts w:ascii="Times New Roman" w:hAnsi="Times New Roman"/>
          <w:color w:val="000000" w:themeColor="text1"/>
          <w:sz w:val="16"/>
          <w:szCs w:val="16"/>
        </w:rPr>
        <w:t>какерам</w:t>
      </w:r>
      <w:proofErr w:type="spellEnd"/>
      <w:r w:rsidRPr="007122AB">
        <w:rPr>
          <w:rFonts w:ascii="Times New Roman" w:hAnsi="Times New Roman"/>
          <w:color w:val="000000" w:themeColor="text1"/>
          <w:sz w:val="16"/>
          <w:szCs w:val="16"/>
        </w:rPr>
        <w:t>" относились, в частности, студенты дневных отделении: прожить на этот паек можно было только кое-как. На незанятое "общественно-полезным трудом" население карточное снабжение по-прежнему не распространялось. Они должны были выживать, как умели. В начале 1932 года карточек были лишены все домохозяйки моложе 56 лет: чтобы получить карточки, они должны были устроиться на работу.</w:t>
      </w:r>
    </w:p>
    <w:p w14:paraId="257C4B5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2C63198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w:t>
      </w:r>
      <w:proofErr w:type="spellStart"/>
      <w:r w:rsidRPr="007122AB">
        <w:rPr>
          <w:rFonts w:ascii="Times New Roman" w:hAnsi="Times New Roman"/>
          <w:color w:val="000000" w:themeColor="text1"/>
          <w:sz w:val="16"/>
          <w:szCs w:val="16"/>
        </w:rPr>
        <w:t>Галактионовского</w:t>
      </w:r>
      <w:proofErr w:type="spellEnd"/>
      <w:r w:rsidRPr="007122AB">
        <w:rPr>
          <w:rFonts w:ascii="Times New Roman" w:hAnsi="Times New Roman"/>
          <w:color w:val="000000" w:themeColor="text1"/>
          <w:sz w:val="16"/>
          <w:szCs w:val="16"/>
        </w:rPr>
        <w:t xml:space="preserve"> совхоза. В ноябре 1932-го при Казанском университете был организован </w:t>
      </w:r>
      <w:proofErr w:type="spellStart"/>
      <w:r w:rsidRPr="007122AB">
        <w:rPr>
          <w:rFonts w:ascii="Times New Roman" w:hAnsi="Times New Roman"/>
          <w:color w:val="000000" w:themeColor="text1"/>
          <w:sz w:val="16"/>
          <w:szCs w:val="16"/>
        </w:rPr>
        <w:t>продуктово</w:t>
      </w:r>
      <w:proofErr w:type="spellEnd"/>
      <w:r w:rsidRPr="007122AB">
        <w:rPr>
          <w:rFonts w:ascii="Times New Roman" w:hAnsi="Times New Roman"/>
          <w:color w:val="000000" w:themeColor="text1"/>
          <w:sz w:val="16"/>
          <w:szCs w:val="16"/>
        </w:rPr>
        <w:t>-промтоварный магазин, где студенты получали хлеб (11566).</w:t>
      </w:r>
    </w:p>
    <w:p w14:paraId="70D730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A6B8965"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1931 - выигрыш лотереи Осоавиахима 1931 Цена в рублях</w:t>
      </w:r>
    </w:p>
    <w:p w14:paraId="5A82AFD9"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Путешествие по Европе сроком на 1,5 месяца 3000</w:t>
      </w:r>
    </w:p>
    <w:p w14:paraId="62A0EE99"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Трактор с сельскохозяйственным оборудованием или легковой автомобиль 3000</w:t>
      </w:r>
    </w:p>
    <w:p w14:paraId="52EE4A75"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Путешествие сроком на 1 месяц по маршруту: Москва — Берлин — Москва или Москва — Анкара (Турция) — Москве 1000</w:t>
      </w:r>
    </w:p>
    <w:p w14:paraId="1AAB5368"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Мотоцикл 1000</w:t>
      </w:r>
    </w:p>
    <w:p w14:paraId="39AB7BA6"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Путешествие по СССР на самолете сроком на 15 дней по маршрутам: Москва — Тифлис — Москва или Москва — Ташкент — Москва. Москва — Баку — Москва или же набор сельскохозяйственных орудий (по выбору выигравшего) 500</w:t>
      </w:r>
    </w:p>
    <w:p w14:paraId="02B351FF"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Место в санатории Крыма или Кавказа на 1 месяц или путешествие на самолете по маршруту Москва — </w:t>
      </w:r>
      <w:proofErr w:type="spellStart"/>
      <w:r w:rsidRPr="007122AB">
        <w:rPr>
          <w:rFonts w:ascii="Times New Roman" w:hAnsi="Times New Roman"/>
          <w:color w:val="000000" w:themeColor="text1"/>
          <w:sz w:val="16"/>
          <w:szCs w:val="16"/>
        </w:rPr>
        <w:t>Ростов</w:t>
      </w:r>
      <w:proofErr w:type="spellEnd"/>
      <w:r w:rsidRPr="007122AB">
        <w:rPr>
          <w:rFonts w:ascii="Times New Roman" w:hAnsi="Times New Roman"/>
          <w:color w:val="000000" w:themeColor="text1"/>
          <w:sz w:val="16"/>
          <w:szCs w:val="16"/>
        </w:rPr>
        <w:t xml:space="preserve"> — Москва или Москва — Минеральные воды — Москва сроком на 10 дней 300</w:t>
      </w:r>
    </w:p>
    <w:p w14:paraId="345D4A13"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Путешествие на самолете по маршруту: Москва — Харьков — Москва сроком на 8 дней, велосипед, кожаное полупальто, пальто теплое (по выбору) 200</w:t>
      </w:r>
      <w:r w:rsidRPr="007122AB">
        <w:rPr>
          <w:rFonts w:ascii="Times New Roman" w:hAnsi="Times New Roman"/>
          <w:color w:val="000000" w:themeColor="text1"/>
          <w:sz w:val="16"/>
          <w:szCs w:val="16"/>
        </w:rPr>
        <w:br/>
        <w:t>Часы карманные, швейная ручная машина, кожаная тужурка. костюм мужской (по выбору) 100</w:t>
      </w:r>
    </w:p>
    <w:p w14:paraId="79EF9BB5"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Мелкокалиберная винтовка с полевой сумкой, музыкальные инструменты (балалайка, мандолина, гитаре). Ружье охотничье «</w:t>
      </w:r>
      <w:proofErr w:type="spellStart"/>
      <w:r w:rsidRPr="007122AB">
        <w:rPr>
          <w:rFonts w:ascii="Times New Roman" w:hAnsi="Times New Roman"/>
          <w:color w:val="000000" w:themeColor="text1"/>
          <w:sz w:val="16"/>
          <w:szCs w:val="16"/>
        </w:rPr>
        <w:t>Фроловка</w:t>
      </w:r>
      <w:proofErr w:type="spellEnd"/>
      <w:r w:rsidRPr="007122AB">
        <w:rPr>
          <w:rFonts w:ascii="Times New Roman" w:hAnsi="Times New Roman"/>
          <w:color w:val="000000" w:themeColor="text1"/>
          <w:sz w:val="16"/>
          <w:szCs w:val="16"/>
        </w:rPr>
        <w:t>». Трикотаж зимний (джемпер, пуловер, дамский жакет) по выбору выигравшего 50</w:t>
      </w:r>
    </w:p>
    <w:p w14:paraId="783579AB"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Лыжи или костюм Осоавиахима (гимнастерка, брюки, фуражка и портупея), готовальня (по выбору) 20</w:t>
      </w:r>
    </w:p>
    <w:p w14:paraId="36898C55" w14:textId="77777777" w:rsidR="007E5934" w:rsidRPr="007122AB" w:rsidRDefault="007E5934"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Коньки или мячи (футбольные, волейбольные, баскетбольные) костюм летний хаки военного образца, безопасная бритва с лезвием, противогаз, спортивный костюм (майка, трусы и </w:t>
      </w:r>
      <w:proofErr w:type="spellStart"/>
      <w:r w:rsidRPr="007122AB">
        <w:rPr>
          <w:rFonts w:ascii="Times New Roman" w:hAnsi="Times New Roman"/>
          <w:color w:val="000000" w:themeColor="text1"/>
          <w:sz w:val="16"/>
          <w:szCs w:val="16"/>
        </w:rPr>
        <w:t>спорттуфли</w:t>
      </w:r>
      <w:proofErr w:type="spellEnd"/>
      <w:r w:rsidRPr="007122AB">
        <w:rPr>
          <w:rFonts w:ascii="Times New Roman" w:hAnsi="Times New Roman"/>
          <w:color w:val="000000" w:themeColor="text1"/>
          <w:sz w:val="16"/>
          <w:szCs w:val="16"/>
        </w:rPr>
        <w:t>) по выбору выигравшего 10 (19739)</w:t>
      </w:r>
    </w:p>
    <w:p w14:paraId="55D9726B" w14:textId="77777777" w:rsidR="007E5934" w:rsidRPr="007122AB" w:rsidRDefault="007E5934" w:rsidP="007122AB">
      <w:pPr>
        <w:spacing w:after="0" w:line="240" w:lineRule="auto"/>
        <w:jc w:val="both"/>
        <w:rPr>
          <w:rFonts w:ascii="Times New Roman" w:hAnsi="Times New Roman"/>
          <w:color w:val="000000" w:themeColor="text1"/>
          <w:sz w:val="16"/>
          <w:szCs w:val="16"/>
        </w:rPr>
      </w:pPr>
    </w:p>
    <w:p w14:paraId="12074F09"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Внешняя политика:</w:t>
      </w:r>
    </w:p>
    <w:p w14:paraId="3D6FCFC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582F863"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в число импортеров советской авиатехники вошел Китай, точнее, его севе</w:t>
      </w:r>
      <w:r w:rsidRPr="007122AB">
        <w:rPr>
          <w:rFonts w:ascii="Times New Roman" w:hAnsi="Times New Roman"/>
          <w:color w:val="000000" w:themeColor="text1"/>
          <w:sz w:val="16"/>
          <w:szCs w:val="16"/>
        </w:rPr>
        <w:softHyphen/>
        <w:t>ро-западная провинция Синьцзян, всегда занимавшая особое место в российско-китай</w:t>
      </w:r>
      <w:r w:rsidRPr="007122AB">
        <w:rPr>
          <w:rFonts w:ascii="Times New Roman" w:hAnsi="Times New Roman"/>
          <w:color w:val="000000" w:themeColor="text1"/>
          <w:sz w:val="16"/>
          <w:szCs w:val="16"/>
        </w:rPr>
        <w:softHyphen/>
        <w:t>ских отношениях и имевшая в тот период стратегическое значение. Обладая протяженной границей с СССР (более 2 тыс. км), Синьцзян открывал путь в глубинные регионы нашей страны, такие как Урал, Западная Сибирь и др. Появление в Западном Китае войск ве</w:t>
      </w:r>
      <w:r w:rsidRPr="007122AB">
        <w:rPr>
          <w:rFonts w:ascii="Times New Roman" w:hAnsi="Times New Roman"/>
          <w:color w:val="000000" w:themeColor="text1"/>
          <w:sz w:val="16"/>
          <w:szCs w:val="16"/>
        </w:rPr>
        <w:softHyphen/>
        <w:t>роятного противника превращало «тыловые» регионы нашей страны в «прифронтовые» и являлось серьёзной угрозой безопасности.</w:t>
      </w:r>
    </w:p>
    <w:p w14:paraId="0C7FA172"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Являясь своеобразной буферной зоной между нашими государствами, Синьцзян в 1920-е — 1930-е годы, представлял собой крайне запутанный клубок политических противоречий. Этому, прежде всего, способствовал сложный национальный состав на</w:t>
      </w:r>
      <w:r w:rsidRPr="007122AB">
        <w:rPr>
          <w:rFonts w:ascii="Times New Roman" w:hAnsi="Times New Roman"/>
          <w:color w:val="000000" w:themeColor="text1"/>
          <w:sz w:val="16"/>
          <w:szCs w:val="16"/>
        </w:rPr>
        <w:softHyphen/>
        <w:t>селения, 60% которого составляли уйгуры, тюрки по языку</w:t>
      </w:r>
      <w:r w:rsidRPr="007122AB">
        <w:rPr>
          <w:rStyle w:val="9pt0"/>
          <w:rFonts w:ascii="Times New Roman" w:hAnsi="Times New Roman" w:cs="Times New Roman"/>
          <w:i w:val="0"/>
          <w:color w:val="000000" w:themeColor="text1"/>
          <w:sz w:val="16"/>
          <w:szCs w:val="16"/>
        </w:rPr>
        <w:t xml:space="preserve"> и</w:t>
      </w:r>
      <w:r w:rsidRPr="007122AB">
        <w:rPr>
          <w:rFonts w:ascii="Times New Roman" w:hAnsi="Times New Roman"/>
          <w:color w:val="000000" w:themeColor="text1"/>
          <w:sz w:val="16"/>
          <w:szCs w:val="16"/>
        </w:rPr>
        <w:t xml:space="preserve"> мусульмане по вероиспо</w:t>
      </w:r>
      <w:r w:rsidRPr="007122AB">
        <w:rPr>
          <w:rFonts w:ascii="Times New Roman" w:hAnsi="Times New Roman"/>
          <w:color w:val="000000" w:themeColor="text1"/>
          <w:sz w:val="16"/>
          <w:szCs w:val="16"/>
        </w:rPr>
        <w:softHyphen/>
        <w:t>веданию. Еще более 16% — это монголы и казахи, а этнических китайцев насчитывалось всего лишь 12%. Кроме того, в начале 1930-х годов здесь также проживали более 60 тыс. киргизов, 30 тыс. русских, 20 тыс. таджиков, 15 тыс. узбеков и до 2 тыс. татар.</w:t>
      </w:r>
    </w:p>
    <w:p w14:paraId="17613DBA"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После окончания гражданской войны в России здесь оказалось большое количество вы</w:t>
      </w:r>
      <w:r w:rsidRPr="007122AB">
        <w:rPr>
          <w:rFonts w:ascii="Times New Roman" w:hAnsi="Times New Roman"/>
          <w:color w:val="000000" w:themeColor="text1"/>
          <w:sz w:val="16"/>
          <w:szCs w:val="16"/>
        </w:rPr>
        <w:softHyphen/>
        <w:t>тесненных из Средней Азии белогвардейских частей, а также повстанческих отрядов раз</w:t>
      </w:r>
      <w:r w:rsidRPr="007122AB">
        <w:rPr>
          <w:rFonts w:ascii="Times New Roman" w:hAnsi="Times New Roman"/>
          <w:color w:val="000000" w:themeColor="text1"/>
          <w:sz w:val="16"/>
          <w:szCs w:val="16"/>
        </w:rPr>
        <w:softHyphen/>
        <w:t>нообразной политической окраски, а по сути, просто бандитов («хунхузов»), Синьцзян всегда отличали очень сильные сепаратистские настроения, всячески подогреваемые Ве</w:t>
      </w:r>
      <w:r w:rsidRPr="007122AB">
        <w:rPr>
          <w:rFonts w:ascii="Times New Roman" w:hAnsi="Times New Roman"/>
          <w:color w:val="000000" w:themeColor="text1"/>
          <w:sz w:val="16"/>
          <w:szCs w:val="16"/>
        </w:rPr>
        <w:softHyphen/>
        <w:t>ликобританией и Японией и направленные на отделение провинции от остального Китая.</w:t>
      </w:r>
    </w:p>
    <w:p w14:paraId="0889BB9A" w14:textId="77777777" w:rsidR="00360440" w:rsidRPr="007122AB" w:rsidRDefault="00360440"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Стремясь не допустить создания на пограничной территории враждебного СССР бу</w:t>
      </w:r>
      <w:r w:rsidRPr="007122AB">
        <w:rPr>
          <w:rFonts w:ascii="Times New Roman" w:hAnsi="Times New Roman"/>
          <w:color w:val="000000" w:themeColor="text1"/>
          <w:sz w:val="16"/>
          <w:szCs w:val="16"/>
        </w:rPr>
        <w:softHyphen/>
        <w:t>ферного государства, советское правительство в 1921 г. силами Красной Армии и погранотрядов провело в Синьцзяне успешную спецоперацию по ликвидации остатков многочисленных белогвардейских отрядов. При этом особо подчеркивалось, что Со</w:t>
      </w:r>
      <w:r w:rsidRPr="007122AB">
        <w:rPr>
          <w:rFonts w:ascii="Times New Roman" w:hAnsi="Times New Roman"/>
          <w:color w:val="000000" w:themeColor="text1"/>
          <w:sz w:val="16"/>
          <w:szCs w:val="16"/>
        </w:rPr>
        <w:softHyphen/>
        <w:t>ветская Россия не заинтересована в экспорте революции в Западный Китай и не будет поддерживать разного рода националистов и сепаратистов, даже если они выступают под прокоммунистическими лозунгами (15802).</w:t>
      </w:r>
    </w:p>
    <w:p w14:paraId="26EEAACF" w14:textId="77777777" w:rsidR="00360440" w:rsidRPr="007122AB" w:rsidRDefault="00360440" w:rsidP="007122AB">
      <w:pPr>
        <w:spacing w:after="0" w:line="240" w:lineRule="auto"/>
        <w:jc w:val="both"/>
        <w:rPr>
          <w:rFonts w:ascii="Times New Roman" w:hAnsi="Times New Roman"/>
          <w:color w:val="000000" w:themeColor="text1"/>
          <w:sz w:val="16"/>
          <w:szCs w:val="16"/>
        </w:rPr>
      </w:pPr>
    </w:p>
    <w:p w14:paraId="2D1B92F4" w14:textId="77777777" w:rsidR="0085477B" w:rsidRPr="007122AB" w:rsidRDefault="0085477B" w:rsidP="007122AB">
      <w:pPr>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1931 году в ходе испытаний в Казани окончательно определился аутсайдер программы </w:t>
      </w:r>
      <w:proofErr w:type="spellStart"/>
      <w:r w:rsidRPr="007122AB">
        <w:rPr>
          <w:rFonts w:ascii="Times New Roman" w:eastAsia="Times New Roman" w:hAnsi="Times New Roman"/>
          <w:color w:val="000000" w:themeColor="text1"/>
          <w:sz w:val="16"/>
          <w:szCs w:val="16"/>
          <w:lang w:eastAsia="ru-RU"/>
        </w:rPr>
        <w:t>Großtraktor</w:t>
      </w:r>
      <w:proofErr w:type="spellEnd"/>
      <w:r w:rsidRPr="007122AB">
        <w:rPr>
          <w:rFonts w:ascii="Times New Roman" w:eastAsia="Times New Roman" w:hAnsi="Times New Roman"/>
          <w:color w:val="000000" w:themeColor="text1"/>
          <w:sz w:val="16"/>
          <w:szCs w:val="16"/>
          <w:lang w:eastAsia="ru-RU"/>
        </w:rPr>
        <w:t>. Им стал танк Daimler-Benz. Стало понятно, что конструкция его трансмиссии безнадёжна. Танк №41 проехал всего 31 километр, развивая при этом скорость не более 13 км/ч. Связано это было с тем, что передвигаться машина могла только на 1-й – 3-й передачах. Поднимался вопрос об использовании коробки передач от тяжёлых грузовиков, но на эту идею, похоже, махнули рукой. Испытания танков Daimler-Benz на этом закончились окончательно.</w:t>
      </w:r>
    </w:p>
    <w:p w14:paraId="15E1669F" w14:textId="77777777" w:rsidR="0085477B" w:rsidRPr="007122AB" w:rsidRDefault="0085477B" w:rsidP="007122AB">
      <w:pPr>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Ситуация с танками </w:t>
      </w:r>
      <w:proofErr w:type="spellStart"/>
      <w:r w:rsidRPr="007122AB">
        <w:rPr>
          <w:rFonts w:ascii="Times New Roman" w:eastAsia="Times New Roman" w:hAnsi="Times New Roman"/>
          <w:color w:val="000000" w:themeColor="text1"/>
          <w:sz w:val="16"/>
          <w:szCs w:val="16"/>
          <w:lang w:eastAsia="ru-RU"/>
        </w:rPr>
        <w:t>Krupp</w:t>
      </w:r>
      <w:proofErr w:type="spellEnd"/>
      <w:r w:rsidRPr="007122AB">
        <w:rPr>
          <w:rFonts w:ascii="Times New Roman" w:eastAsia="Times New Roman" w:hAnsi="Times New Roman"/>
          <w:color w:val="000000" w:themeColor="text1"/>
          <w:sz w:val="16"/>
          <w:szCs w:val="16"/>
          <w:lang w:eastAsia="ru-RU"/>
        </w:rPr>
        <w:t xml:space="preserve"> была непростой, но всё же не настолько безнадёжной. За 1931 год танк №43 прошел 32,5 километра, а танк №44 – 39,1 километр, при этом они развили максимальную скорость 35 и 38 км/ч соответственно. Проблема с пневматическим переключением коробки передач никуда не делась. Имели место неприятности с системой охлаждения. Кроме того, продолжались проблемы с </w:t>
      </w:r>
      <w:proofErr w:type="spellStart"/>
      <w:r w:rsidRPr="007122AB">
        <w:rPr>
          <w:rFonts w:ascii="Times New Roman" w:eastAsia="Times New Roman" w:hAnsi="Times New Roman"/>
          <w:color w:val="000000" w:themeColor="text1"/>
          <w:sz w:val="16"/>
          <w:szCs w:val="16"/>
          <w:lang w:eastAsia="ru-RU"/>
        </w:rPr>
        <w:t>резино</w:t>
      </w:r>
      <w:proofErr w:type="spellEnd"/>
      <w:r w:rsidRPr="007122AB">
        <w:rPr>
          <w:rFonts w:ascii="Times New Roman" w:eastAsia="Times New Roman" w:hAnsi="Times New Roman"/>
          <w:color w:val="000000" w:themeColor="text1"/>
          <w:sz w:val="16"/>
          <w:szCs w:val="16"/>
          <w:lang w:eastAsia="ru-RU"/>
        </w:rPr>
        <w:t xml:space="preserve">-металлическими гусеницами. В качестве эксперимента с них удалили каждую вторую резиновую подушку, но это особо не помогло. На одном из танков </w:t>
      </w:r>
      <w:proofErr w:type="spellStart"/>
      <w:r w:rsidRPr="007122AB">
        <w:rPr>
          <w:rFonts w:ascii="Times New Roman" w:eastAsia="Times New Roman" w:hAnsi="Times New Roman"/>
          <w:color w:val="000000" w:themeColor="text1"/>
          <w:sz w:val="16"/>
          <w:szCs w:val="16"/>
          <w:lang w:eastAsia="ru-RU"/>
        </w:rPr>
        <w:t>Krupp</w:t>
      </w:r>
      <w:proofErr w:type="spellEnd"/>
      <w:r w:rsidRPr="007122AB">
        <w:rPr>
          <w:rFonts w:ascii="Times New Roman" w:eastAsia="Times New Roman" w:hAnsi="Times New Roman"/>
          <w:color w:val="000000" w:themeColor="text1"/>
          <w:sz w:val="16"/>
          <w:szCs w:val="16"/>
          <w:lang w:eastAsia="ru-RU"/>
        </w:rPr>
        <w:t xml:space="preserve"> была немного переделана подвеска.</w:t>
      </w:r>
    </w:p>
    <w:p w14:paraId="032A9C49" w14:textId="77777777" w:rsidR="0085477B" w:rsidRPr="007122AB" w:rsidRDefault="0085477B" w:rsidP="007122AB">
      <w:pPr>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Явными фаворитами оставались танки разработки </w:t>
      </w:r>
      <w:proofErr w:type="spellStart"/>
      <w:r w:rsidRPr="007122AB">
        <w:rPr>
          <w:rFonts w:ascii="Times New Roman" w:eastAsia="Times New Roman" w:hAnsi="Times New Roman"/>
          <w:color w:val="000000" w:themeColor="text1"/>
          <w:sz w:val="16"/>
          <w:szCs w:val="16"/>
          <w:lang w:eastAsia="ru-RU"/>
        </w:rPr>
        <w:t>Rheinmetall</w:t>
      </w:r>
      <w:proofErr w:type="spellEnd"/>
      <w:r w:rsidRPr="007122AB">
        <w:rPr>
          <w:rFonts w:ascii="Times New Roman" w:eastAsia="Times New Roman" w:hAnsi="Times New Roman"/>
          <w:color w:val="000000" w:themeColor="text1"/>
          <w:sz w:val="16"/>
          <w:szCs w:val="16"/>
          <w:lang w:eastAsia="ru-RU"/>
        </w:rPr>
        <w:t xml:space="preserve">. Они оказались немного медленнее танков </w:t>
      </w:r>
      <w:proofErr w:type="spellStart"/>
      <w:r w:rsidRPr="007122AB">
        <w:rPr>
          <w:rFonts w:ascii="Times New Roman" w:eastAsia="Times New Roman" w:hAnsi="Times New Roman"/>
          <w:color w:val="000000" w:themeColor="text1"/>
          <w:sz w:val="16"/>
          <w:szCs w:val="16"/>
          <w:lang w:eastAsia="ru-RU"/>
        </w:rPr>
        <w:t>Krupp</w:t>
      </w:r>
      <w:proofErr w:type="spellEnd"/>
      <w:r w:rsidRPr="007122AB">
        <w:rPr>
          <w:rFonts w:ascii="Times New Roman" w:eastAsia="Times New Roman" w:hAnsi="Times New Roman"/>
          <w:color w:val="000000" w:themeColor="text1"/>
          <w:sz w:val="16"/>
          <w:szCs w:val="16"/>
          <w:lang w:eastAsia="ru-RU"/>
        </w:rPr>
        <w:t xml:space="preserve">: машина №45 разгонялась до 30 км/ч, а №46 до 35,5 км/ч. Зато танк №45 преодолел 215 километров, а танк №46 — 181 километр. При этом танк №46 оставался единственным, имевшим башню. Правда, испытания </w:t>
      </w:r>
      <w:r w:rsidRPr="007122AB">
        <w:rPr>
          <w:rFonts w:ascii="Times New Roman" w:eastAsia="Times New Roman" w:hAnsi="Times New Roman"/>
          <w:color w:val="000000" w:themeColor="text1"/>
          <w:sz w:val="16"/>
          <w:szCs w:val="16"/>
          <w:lang w:eastAsia="ru-RU"/>
        </w:rPr>
        <w:lastRenderedPageBreak/>
        <w:t xml:space="preserve">вооружения всё равно почти не проводились. Машины </w:t>
      </w:r>
      <w:proofErr w:type="spellStart"/>
      <w:r w:rsidRPr="007122AB">
        <w:rPr>
          <w:rFonts w:ascii="Times New Roman" w:eastAsia="Times New Roman" w:hAnsi="Times New Roman"/>
          <w:color w:val="000000" w:themeColor="text1"/>
          <w:sz w:val="16"/>
          <w:szCs w:val="16"/>
          <w:lang w:eastAsia="ru-RU"/>
        </w:rPr>
        <w:t>Rheinmetall</w:t>
      </w:r>
      <w:proofErr w:type="spellEnd"/>
      <w:r w:rsidRPr="007122AB">
        <w:rPr>
          <w:rFonts w:ascii="Times New Roman" w:eastAsia="Times New Roman" w:hAnsi="Times New Roman"/>
          <w:color w:val="000000" w:themeColor="text1"/>
          <w:sz w:val="16"/>
          <w:szCs w:val="16"/>
          <w:lang w:eastAsia="ru-RU"/>
        </w:rPr>
        <w:t xml:space="preserve"> показали явное превосходство, прежде всего по надёжности. В частности, высокую надёжность продемонстрировала 5-скоростная коробка передач ZF </w:t>
      </w:r>
      <w:proofErr w:type="spellStart"/>
      <w:r w:rsidRPr="007122AB">
        <w:rPr>
          <w:rFonts w:ascii="Times New Roman" w:eastAsia="Times New Roman" w:hAnsi="Times New Roman"/>
          <w:color w:val="000000" w:themeColor="text1"/>
          <w:sz w:val="16"/>
          <w:szCs w:val="16"/>
          <w:lang w:eastAsia="ru-RU"/>
        </w:rPr>
        <w:t>Aphon</w:t>
      </w:r>
      <w:proofErr w:type="spellEnd"/>
      <w:r w:rsidRPr="007122AB">
        <w:rPr>
          <w:rFonts w:ascii="Times New Roman" w:eastAsia="Times New Roman" w:hAnsi="Times New Roman"/>
          <w:color w:val="000000" w:themeColor="text1"/>
          <w:sz w:val="16"/>
          <w:szCs w:val="16"/>
          <w:lang w:eastAsia="ru-RU"/>
        </w:rPr>
        <w:t xml:space="preserve"> SFG 280, установленная на одном из танков. Кроме того, на одну из машин поставили новые цельнометаллические гусеничные ленты с пальцевыми подшипниками. Они показали себя гораздо лучше штатной гусеницы. Также в очередной раз была немного переделана подвеска.</w:t>
      </w:r>
    </w:p>
    <w:p w14:paraId="14BA4AAE" w14:textId="77777777" w:rsidR="0085477B" w:rsidRPr="007122AB" w:rsidRDefault="0085477B" w:rsidP="007122AB">
      <w:pPr>
        <w:spacing w:after="0" w:line="240" w:lineRule="auto"/>
        <w:jc w:val="both"/>
        <w:textAlignment w:val="baseline"/>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О том, что танки </w:t>
      </w:r>
      <w:proofErr w:type="spellStart"/>
      <w:r w:rsidRPr="007122AB">
        <w:rPr>
          <w:rFonts w:ascii="Times New Roman" w:eastAsia="Times New Roman" w:hAnsi="Times New Roman"/>
          <w:color w:val="000000" w:themeColor="text1"/>
          <w:sz w:val="16"/>
          <w:szCs w:val="16"/>
          <w:lang w:eastAsia="ru-RU"/>
        </w:rPr>
        <w:t>Rheinmetall</w:t>
      </w:r>
      <w:proofErr w:type="spellEnd"/>
      <w:r w:rsidRPr="007122AB">
        <w:rPr>
          <w:rFonts w:ascii="Times New Roman" w:eastAsia="Times New Roman" w:hAnsi="Times New Roman"/>
          <w:color w:val="000000" w:themeColor="text1"/>
          <w:sz w:val="16"/>
          <w:szCs w:val="16"/>
          <w:lang w:eastAsia="ru-RU"/>
        </w:rPr>
        <w:t xml:space="preserve"> явно вырвались вперёд, говорит тот факт, что они оказались единственными, которые испытывались на бездорожье. Машина №46 смогла преодолеть ров длиной 3,14 метра, максимальный угол преодолённого подъёма достигал 29 градусов (17713).</w:t>
      </w:r>
    </w:p>
    <w:p w14:paraId="49CFA47E" w14:textId="77777777" w:rsidR="0085477B" w:rsidRPr="007122AB" w:rsidRDefault="0085477B" w:rsidP="007122AB">
      <w:pPr>
        <w:spacing w:after="0" w:line="240" w:lineRule="auto"/>
        <w:jc w:val="both"/>
        <w:rPr>
          <w:rFonts w:ascii="Times New Roman" w:hAnsi="Times New Roman"/>
          <w:color w:val="000000" w:themeColor="text1"/>
          <w:sz w:val="16"/>
          <w:szCs w:val="16"/>
        </w:rPr>
      </w:pPr>
    </w:p>
    <w:p w14:paraId="3DE657D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сотрудник советского торгпредства Глебов заключил контракт с австрийским инженером по фамилии </w:t>
      </w:r>
      <w:proofErr w:type="spellStart"/>
      <w:r w:rsidRPr="007122AB">
        <w:rPr>
          <w:rFonts w:ascii="Times New Roman" w:hAnsi="Times New Roman"/>
          <w:color w:val="000000" w:themeColor="text1"/>
          <w:sz w:val="16"/>
          <w:szCs w:val="16"/>
        </w:rPr>
        <w:t>Липпнер</w:t>
      </w:r>
      <w:proofErr w:type="spellEnd"/>
      <w:r w:rsidRPr="007122AB">
        <w:rPr>
          <w:rFonts w:ascii="Times New Roman" w:hAnsi="Times New Roman"/>
          <w:color w:val="000000" w:themeColor="text1"/>
          <w:sz w:val="16"/>
          <w:szCs w:val="16"/>
        </w:rPr>
        <w:t xml:space="preserve"> с тем, чтобы тот выкрал нефтехимические секреты с завода концерна «И. Г. </w:t>
      </w:r>
      <w:proofErr w:type="spellStart"/>
      <w:r w:rsidRPr="007122AB">
        <w:rPr>
          <w:rFonts w:ascii="Times New Roman" w:hAnsi="Times New Roman"/>
          <w:color w:val="000000" w:themeColor="text1"/>
          <w:sz w:val="16"/>
          <w:szCs w:val="16"/>
        </w:rPr>
        <w:t>Фарбен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индустри</w:t>
      </w:r>
      <w:proofErr w:type="spellEnd"/>
      <w:r w:rsidRPr="007122AB">
        <w:rPr>
          <w:rFonts w:ascii="Times New Roman" w:hAnsi="Times New Roman"/>
          <w:color w:val="000000" w:themeColor="text1"/>
          <w:sz w:val="16"/>
          <w:szCs w:val="16"/>
        </w:rPr>
        <w:t>» в Фридрихсхафене.</w:t>
      </w:r>
    </w:p>
    <w:p w14:paraId="48C53D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том же году был арестован коммунистический профсоюзный лидер Э. </w:t>
      </w:r>
      <w:proofErr w:type="spellStart"/>
      <w:r w:rsidRPr="007122AB">
        <w:rPr>
          <w:rFonts w:ascii="Times New Roman" w:hAnsi="Times New Roman"/>
          <w:color w:val="000000" w:themeColor="text1"/>
          <w:sz w:val="16"/>
          <w:szCs w:val="16"/>
        </w:rPr>
        <w:t>Штеффен</w:t>
      </w:r>
      <w:proofErr w:type="spellEnd"/>
      <w:r w:rsidRPr="007122AB">
        <w:rPr>
          <w:rFonts w:ascii="Times New Roman" w:hAnsi="Times New Roman"/>
          <w:color w:val="000000" w:themeColor="text1"/>
          <w:sz w:val="16"/>
          <w:szCs w:val="16"/>
        </w:rPr>
        <w:t xml:space="preserve"> и 25 инженеров с химических заводов «И. Г. </w:t>
      </w:r>
      <w:proofErr w:type="spellStart"/>
      <w:r w:rsidRPr="007122AB">
        <w:rPr>
          <w:rFonts w:ascii="Times New Roman" w:hAnsi="Times New Roman"/>
          <w:color w:val="000000" w:themeColor="text1"/>
          <w:sz w:val="16"/>
          <w:szCs w:val="16"/>
        </w:rPr>
        <w:t>Фарбен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индустри</w:t>
      </w:r>
      <w:proofErr w:type="spellEnd"/>
      <w:r w:rsidRPr="007122AB">
        <w:rPr>
          <w:rFonts w:ascii="Times New Roman" w:hAnsi="Times New Roman"/>
          <w:color w:val="000000" w:themeColor="text1"/>
          <w:sz w:val="16"/>
          <w:szCs w:val="16"/>
        </w:rPr>
        <w:t>» во Франкфурте-на-Одере, и Кельне. Они были приговорены судом к различным срокам тюремного заключения (от 4 до 10 месяцев) (Царев О. Вест Найджел: КГБ в Англии. — М., 1999, с. 60—61.) (11765).</w:t>
      </w:r>
    </w:p>
    <w:p w14:paraId="51D478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F10E7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была разгромлена агентурная сеть Э. </w:t>
      </w:r>
      <w:proofErr w:type="spellStart"/>
      <w:r w:rsidRPr="007122AB">
        <w:rPr>
          <w:rFonts w:ascii="Times New Roman" w:hAnsi="Times New Roman"/>
          <w:color w:val="000000" w:themeColor="text1"/>
          <w:sz w:val="16"/>
          <w:szCs w:val="16"/>
        </w:rPr>
        <w:t>Штеффена</w:t>
      </w:r>
      <w:proofErr w:type="spellEnd"/>
      <w:r w:rsidRPr="007122AB">
        <w:rPr>
          <w:rFonts w:ascii="Times New Roman" w:hAnsi="Times New Roman"/>
          <w:color w:val="000000" w:themeColor="text1"/>
          <w:sz w:val="16"/>
          <w:szCs w:val="16"/>
        </w:rPr>
        <w:t xml:space="preserve">, которая активно работала на большинстве заводов концерна «И. Г. </w:t>
      </w:r>
      <w:proofErr w:type="spellStart"/>
      <w:r w:rsidRPr="007122AB">
        <w:rPr>
          <w:rFonts w:ascii="Times New Roman" w:hAnsi="Times New Roman"/>
          <w:color w:val="000000" w:themeColor="text1"/>
          <w:sz w:val="16"/>
          <w:szCs w:val="16"/>
        </w:rPr>
        <w:t>Фарбен</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индустри</w:t>
      </w:r>
      <w:proofErr w:type="spellEnd"/>
      <w:r w:rsidRPr="007122AB">
        <w:rPr>
          <w:rFonts w:ascii="Times New Roman" w:hAnsi="Times New Roman"/>
          <w:color w:val="000000" w:themeColor="text1"/>
          <w:sz w:val="16"/>
          <w:szCs w:val="16"/>
        </w:rPr>
        <w:t>», расположенных по всей стране. В нее входило 25 человек (11765).</w:t>
      </w:r>
    </w:p>
    <w:p w14:paraId="26A003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3B1B50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в немецкую резидентуру Каминского прибыл разведчик-нелегал Л. </w:t>
      </w:r>
      <w:proofErr w:type="spellStart"/>
      <w:r w:rsidRPr="007122AB">
        <w:rPr>
          <w:rFonts w:ascii="Times New Roman" w:hAnsi="Times New Roman"/>
          <w:color w:val="000000" w:themeColor="text1"/>
          <w:sz w:val="16"/>
          <w:szCs w:val="16"/>
        </w:rPr>
        <w:t>Гельфот</w:t>
      </w:r>
      <w:proofErr w:type="spellEnd"/>
      <w:r w:rsidRPr="007122AB">
        <w:rPr>
          <w:rFonts w:ascii="Times New Roman" w:hAnsi="Times New Roman"/>
          <w:color w:val="000000" w:themeColor="text1"/>
          <w:sz w:val="16"/>
          <w:szCs w:val="16"/>
        </w:rPr>
        <w:t>. В Берлине он устроился на работу ассистентом в клинику известного немецкого профессора. По специальности он был рентгенологом. Работа в клинике давала возможность знакомиться с материалами, связанными с военной медициной, собирать сведения о новых методах лечения раненных в полевых условиях.</w:t>
      </w:r>
    </w:p>
    <w:p w14:paraId="337BEF9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Однако основными источниками его информации были трое агентов из числа немцев, работавших в военно-промышленных концернах и переданных ему на связь.</w:t>
      </w:r>
    </w:p>
    <w:p w14:paraId="34A275D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7122AB">
        <w:rPr>
          <w:rFonts w:ascii="Times New Roman" w:hAnsi="Times New Roman"/>
          <w:color w:val="000000" w:themeColor="text1"/>
          <w:sz w:val="16"/>
          <w:szCs w:val="16"/>
        </w:rPr>
        <w:t>Гельфоту</w:t>
      </w:r>
      <w:proofErr w:type="spellEnd"/>
      <w:r w:rsidRPr="007122AB">
        <w:rPr>
          <w:rFonts w:ascii="Times New Roman" w:hAnsi="Times New Roman"/>
          <w:color w:val="000000" w:themeColor="text1"/>
          <w:sz w:val="16"/>
          <w:szCs w:val="16"/>
        </w:rPr>
        <w:t xml:space="preserve"> удалось через них получить значительное количество материалов и образцов, связанных с военной авиацией, электротехникой, приборостроением и химией, для военных целей.</w:t>
      </w:r>
    </w:p>
    <w:p w14:paraId="578F0B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конце 1933 года он был вынужден перебраться в Париж (11765).</w:t>
      </w:r>
    </w:p>
    <w:p w14:paraId="25C948A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5F437E8"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 xml:space="preserve">В 1931 в Италию была направлена группа морских специалистов. В нее вошли А.Л. Платонов (председатель минной секции Научно-технического комитета УВМС), А.В. Леонов (начальник артиллерийского отдела ТУ), Г.Я. Комаровский (помощник начальника электромеханического отдела ТУ), А.И. Азаров (помощник начальника отдела подводного плавания ТУ), А.И. Берг (председатель секции связи НТК) и В.Н. Перегудов (член кораблестроительной секции НТК). Руководителем группы был назначен начальник ТУ ВМС А.К. Сивков. Пораженный увиденными достижениями итальянской техники в создании корабельных артиллерийских электромеханических счетно-решающих устройств, а также морской оптики, А.К. Сивков писал РА. </w:t>
      </w:r>
      <w:proofErr w:type="spellStart"/>
      <w:r w:rsidRPr="007122AB">
        <w:rPr>
          <w:color w:val="000000" w:themeColor="text1"/>
          <w:sz w:val="16"/>
          <w:szCs w:val="16"/>
        </w:rPr>
        <w:t>Муклевичу</w:t>
      </w:r>
      <w:proofErr w:type="spellEnd"/>
      <w:r w:rsidRPr="007122AB">
        <w:rPr>
          <w:color w:val="000000" w:themeColor="text1"/>
          <w:sz w:val="16"/>
          <w:szCs w:val="16"/>
        </w:rPr>
        <w:t>:</w:t>
      </w:r>
    </w:p>
    <w:p w14:paraId="75119CF0"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«Вокруг этого дела у нас в СССР было, вероятно, вредительство…»</w:t>
      </w:r>
    </w:p>
    <w:p w14:paraId="3FBEA557"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Факт наличия электромеханических приборов системы управления огнем на легких итальянских кораблях, не только лидерах, но и эсминцах вызвал у наших специалистов большое удивление и заставил немедленно учесть возможность установки таких приборов на проектируемых кораблях.</w:t>
      </w:r>
    </w:p>
    <w:p w14:paraId="0FD9C1B7"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 xml:space="preserve">Вследствие кризиса в экономике правительственные заказы у итальянцев были сильно урезаны; тем выше была их заинтересованность в советских заказах и откровенность в показе своих достижений. В отчете Наркомвоенмору руководитель комиссии А.К. Сивков писал: «…Нам были показаны детальные чертежи антенной мины, так называемой «Италия Б»… дано секретное описание приборов центральной наводки артиллерии, показаны </w:t>
      </w:r>
      <w:proofErr w:type="spellStart"/>
      <w:r w:rsidRPr="007122AB">
        <w:rPr>
          <w:color w:val="000000" w:themeColor="text1"/>
          <w:sz w:val="16"/>
          <w:szCs w:val="16"/>
        </w:rPr>
        <w:t>аэроустановки</w:t>
      </w:r>
      <w:proofErr w:type="spellEnd"/>
      <w:r w:rsidRPr="007122AB">
        <w:rPr>
          <w:color w:val="000000" w:themeColor="text1"/>
          <w:sz w:val="16"/>
          <w:szCs w:val="16"/>
        </w:rPr>
        <w:t xml:space="preserve"> (зенитные орудия. – Примеч. авт.) системы </w:t>
      </w:r>
      <w:proofErr w:type="spellStart"/>
      <w:r w:rsidRPr="007122AB">
        <w:rPr>
          <w:color w:val="000000" w:themeColor="text1"/>
          <w:sz w:val="16"/>
          <w:szCs w:val="16"/>
        </w:rPr>
        <w:t>Минизини</w:t>
      </w:r>
      <w:proofErr w:type="spellEnd"/>
      <w:r w:rsidRPr="007122AB">
        <w:rPr>
          <w:color w:val="000000" w:themeColor="text1"/>
          <w:sz w:val="16"/>
          <w:szCs w:val="16"/>
        </w:rPr>
        <w:t>. В Министерстве нам были также показаны подлинные договоры на поставку торпед и сообщены цены, которые платит Министерство ». Во время осмотров беспрепятственно разрешалось делать записи, по просьбе наших специалистов в их блокнотах сопровождающие лица выполняли схемы и рисунки.</w:t>
      </w:r>
    </w:p>
    <w:p w14:paraId="2FE94B6B"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4 октября 1931 А.К. Сивков и А.И. Берг приняли участие в учебной атаке торпедных катеров M.A.S., базировавшихся на Специю.</w:t>
      </w:r>
    </w:p>
    <w:p w14:paraId="23FF1BB8"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ПУАО двух итальянских фирм – «San-Giorgio» и «</w:t>
      </w:r>
      <w:proofErr w:type="spellStart"/>
      <w:r w:rsidRPr="007122AB">
        <w:rPr>
          <w:color w:val="000000" w:themeColor="text1"/>
          <w:sz w:val="16"/>
          <w:szCs w:val="16"/>
        </w:rPr>
        <w:t>Gallileo</w:t>
      </w:r>
      <w:proofErr w:type="spellEnd"/>
      <w:r w:rsidRPr="007122AB">
        <w:rPr>
          <w:color w:val="000000" w:themeColor="text1"/>
          <w:sz w:val="16"/>
          <w:szCs w:val="16"/>
        </w:rPr>
        <w:t>» («Централи», как назывались ПУАО в итальянском флоте) тщательно изучались членами группы как наиболее вероятные объекты заказа. Их приобретение для заложенных лидеров проекта-1 давало возможность, используя их как образцы, создать в короткие, соизмеримые со сроками строительства кораблей, производство собственных ПУАО.</w:t>
      </w:r>
    </w:p>
    <w:p w14:paraId="0CD71F23"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В докладе НВМС руководитель группы советских специалистов подтвердил свое мнение:</w:t>
      </w:r>
    </w:p>
    <w:p w14:paraId="33D24B85"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«Я полагал бы необходимым купить у «</w:t>
      </w:r>
      <w:proofErr w:type="spellStart"/>
      <w:r w:rsidRPr="007122AB">
        <w:rPr>
          <w:color w:val="000000" w:themeColor="text1"/>
          <w:sz w:val="16"/>
          <w:szCs w:val="16"/>
        </w:rPr>
        <w:t>Gallileo</w:t>
      </w:r>
      <w:proofErr w:type="spellEnd"/>
      <w:r w:rsidRPr="007122AB">
        <w:rPr>
          <w:color w:val="000000" w:themeColor="text1"/>
          <w:sz w:val="16"/>
          <w:szCs w:val="16"/>
        </w:rPr>
        <w:t>» приборы для наших новых эсминцев [лидеров пр.-1] с тем, чтобы при технической помощи «</w:t>
      </w:r>
      <w:proofErr w:type="spellStart"/>
      <w:r w:rsidRPr="007122AB">
        <w:rPr>
          <w:color w:val="000000" w:themeColor="text1"/>
          <w:sz w:val="16"/>
          <w:szCs w:val="16"/>
        </w:rPr>
        <w:t>Оаййео</w:t>
      </w:r>
      <w:proofErr w:type="spellEnd"/>
      <w:r w:rsidRPr="007122AB">
        <w:rPr>
          <w:color w:val="000000" w:themeColor="text1"/>
          <w:sz w:val="16"/>
          <w:szCs w:val="16"/>
        </w:rPr>
        <w:t>» поставить в дальнейшем производство «централей» у нас».</w:t>
      </w:r>
    </w:p>
    <w:p w14:paraId="25A803EF"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 xml:space="preserve">Реввоенсовет СССР, заслушав сообщение РА. </w:t>
      </w:r>
      <w:proofErr w:type="spellStart"/>
      <w:r w:rsidRPr="007122AB">
        <w:rPr>
          <w:color w:val="000000" w:themeColor="text1"/>
          <w:sz w:val="16"/>
          <w:szCs w:val="16"/>
        </w:rPr>
        <w:t>Муклевича</w:t>
      </w:r>
      <w:proofErr w:type="spellEnd"/>
      <w:r w:rsidRPr="007122AB">
        <w:rPr>
          <w:color w:val="000000" w:themeColor="text1"/>
          <w:sz w:val="16"/>
          <w:szCs w:val="16"/>
        </w:rPr>
        <w:t>, постановил: «РВСС считает целесообразным заказать два таких прибора для двух новых эсминцев и один для промышленности, всего на 750 тысяч руб., добившись на эту сумму и техпомощи».</w:t>
      </w:r>
    </w:p>
    <w:p w14:paraId="39ABC0C4"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Помимо приборов управления артогнем из конкретных объектов возможного заказа наибольший интерес у советских специалистов вызвали торпеды завода «</w:t>
      </w:r>
      <w:proofErr w:type="spellStart"/>
      <w:r w:rsidRPr="007122AB">
        <w:rPr>
          <w:color w:val="000000" w:themeColor="text1"/>
          <w:sz w:val="16"/>
          <w:szCs w:val="16"/>
        </w:rPr>
        <w:t>Whitehead</w:t>
      </w:r>
      <w:proofErr w:type="spellEnd"/>
      <w:r w:rsidRPr="007122AB">
        <w:rPr>
          <w:color w:val="000000" w:themeColor="text1"/>
          <w:sz w:val="16"/>
          <w:szCs w:val="16"/>
        </w:rPr>
        <w:t xml:space="preserve">» калибров 450 и 533 мм и зенитные артиллерийские установки системы </w:t>
      </w:r>
      <w:proofErr w:type="spellStart"/>
      <w:r w:rsidRPr="007122AB">
        <w:rPr>
          <w:color w:val="000000" w:themeColor="text1"/>
          <w:sz w:val="16"/>
          <w:szCs w:val="16"/>
        </w:rPr>
        <w:t>Минизини</w:t>
      </w:r>
      <w:proofErr w:type="spellEnd"/>
      <w:r w:rsidRPr="007122AB">
        <w:rPr>
          <w:color w:val="000000" w:themeColor="text1"/>
          <w:sz w:val="16"/>
          <w:szCs w:val="16"/>
        </w:rPr>
        <w:t>. Причины такого внимания заключались в неблагополучном положении с этими видами военно-морской техники в СССР.</w:t>
      </w:r>
    </w:p>
    <w:p w14:paraId="0D0EE9FC"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 xml:space="preserve">Спаренные 100-мм зенитные артустановки адмирала Дж. </w:t>
      </w:r>
      <w:proofErr w:type="spellStart"/>
      <w:r w:rsidRPr="007122AB">
        <w:rPr>
          <w:color w:val="000000" w:themeColor="text1"/>
          <w:sz w:val="16"/>
          <w:szCs w:val="16"/>
        </w:rPr>
        <w:t>Минизини</w:t>
      </w:r>
      <w:proofErr w:type="spellEnd"/>
      <w:r w:rsidRPr="007122AB">
        <w:rPr>
          <w:color w:val="000000" w:themeColor="text1"/>
          <w:sz w:val="16"/>
          <w:szCs w:val="16"/>
        </w:rPr>
        <w:t xml:space="preserve"> (G. </w:t>
      </w:r>
      <w:proofErr w:type="spellStart"/>
      <w:r w:rsidRPr="007122AB">
        <w:rPr>
          <w:color w:val="000000" w:themeColor="text1"/>
          <w:sz w:val="16"/>
          <w:szCs w:val="16"/>
        </w:rPr>
        <w:t>Minizini</w:t>
      </w:r>
      <w:proofErr w:type="spellEnd"/>
      <w:r w:rsidRPr="007122AB">
        <w:rPr>
          <w:color w:val="000000" w:themeColor="text1"/>
          <w:sz w:val="16"/>
          <w:szCs w:val="16"/>
        </w:rPr>
        <w:t xml:space="preserve">), имевшие хорошие баллистические характеристики, представлялись нашим артиллеристам пригодными для вооружения. Покупка нескольких таких итальянских АУ позволяла в плановые сроки ввести в строй находившийся в достройке на Николаевском </w:t>
      </w:r>
      <w:proofErr w:type="spellStart"/>
      <w:r w:rsidRPr="007122AB">
        <w:rPr>
          <w:color w:val="000000" w:themeColor="text1"/>
          <w:sz w:val="16"/>
          <w:szCs w:val="16"/>
        </w:rPr>
        <w:t>госзаводе</w:t>
      </w:r>
      <w:proofErr w:type="spellEnd"/>
      <w:r w:rsidRPr="007122AB">
        <w:rPr>
          <w:color w:val="000000" w:themeColor="text1"/>
          <w:sz w:val="16"/>
          <w:szCs w:val="16"/>
        </w:rPr>
        <w:t xml:space="preserve"> имени А. Марти крейсер «Красный Кавказ» – наиболее современную боевую единицу ВМС РККА.</w:t>
      </w:r>
    </w:p>
    <w:p w14:paraId="103326AA"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Так появились у нас в стране итальянские «централи». Работа по их воспроизведению под шифром «Мина-7» в СКБ завода ленинградского завода № 212 («Электроприбор») началась только в 1936 г., позже начала строительства кораблей. Руководить этой работой был назначен еще более молодой, чем А.И. Шокин, 25-летний Сергей Федорович Фармаковский.</w:t>
      </w:r>
    </w:p>
    <w:p w14:paraId="155F117D" w14:textId="77777777" w:rsidR="00360440" w:rsidRPr="007122AB" w:rsidRDefault="00360440" w:rsidP="007122AB">
      <w:pPr>
        <w:pStyle w:val="ae"/>
        <w:spacing w:before="0" w:after="0"/>
        <w:jc w:val="both"/>
        <w:rPr>
          <w:color w:val="000000" w:themeColor="text1"/>
          <w:sz w:val="16"/>
          <w:szCs w:val="16"/>
        </w:rPr>
      </w:pPr>
      <w:r w:rsidRPr="007122AB">
        <w:rPr>
          <w:color w:val="000000" w:themeColor="text1"/>
          <w:sz w:val="16"/>
          <w:szCs w:val="16"/>
        </w:rPr>
        <w:t>Центральный автомат стрельбы «Мины-7» ЦАС-2, располагавшийся для меньшей уязвимости в бою в самом низу эсминца, был сложнейшим электромеханическим вычислительным устройством на механической системе элементов (l-е поколение) весом три тонны. Данные к нему поступали от командно-дальномерного поста (КДП), расположенного на высоте метров пятнадцати над водой. Здесь располагались два четырехметровых дальномера ДМ-4 для определения дистанции до цели, визир центральной наводки ВМЦ-2 для определения курсового угла цели, а еще здесь был и визир наклона цапф стволов орудий (ВНЦ). Наличие последнего, с помощью которого следили за горизонтом, позволяло стабилизировать орудия при качке корабля. Выработанные автоматом стрельбы данные передавались синхронно-силовой передаче на принимающие приборы артиллерийских орудий Б-13, а дальше наводчики вручную совмещали их стрелки и циферблаты. Вся система «Мина-7» весила 11 300 кг (13 350 кг вместе с кабелями) (15736).</w:t>
      </w:r>
    </w:p>
    <w:p w14:paraId="7B2EB80E" w14:textId="77777777" w:rsidR="00360440" w:rsidRPr="007122AB" w:rsidRDefault="00360440" w:rsidP="007122AB">
      <w:pPr>
        <w:pStyle w:val="ae"/>
        <w:spacing w:before="0" w:after="0"/>
        <w:jc w:val="both"/>
        <w:rPr>
          <w:color w:val="000000" w:themeColor="text1"/>
          <w:sz w:val="16"/>
          <w:szCs w:val="16"/>
        </w:rPr>
      </w:pPr>
    </w:p>
    <w:p w14:paraId="4A57F48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году в Австрии сотрудник внешней разведки X. И. </w:t>
      </w:r>
      <w:proofErr w:type="spellStart"/>
      <w:r w:rsidRPr="007122AB">
        <w:rPr>
          <w:rFonts w:ascii="Times New Roman" w:hAnsi="Times New Roman"/>
          <w:color w:val="000000" w:themeColor="text1"/>
          <w:sz w:val="16"/>
          <w:szCs w:val="16"/>
        </w:rPr>
        <w:t>Салнынь</w:t>
      </w:r>
      <w:proofErr w:type="spellEnd"/>
      <w:r w:rsidRPr="007122AB">
        <w:rPr>
          <w:rFonts w:ascii="Times New Roman" w:hAnsi="Times New Roman"/>
          <w:color w:val="000000" w:themeColor="text1"/>
          <w:sz w:val="16"/>
          <w:szCs w:val="16"/>
        </w:rPr>
        <w:t xml:space="preserve"> и разведчик-нелегал Винаров смогли завербовать молодого болгарского полицейского, проходившего обучение в местной пожарной школе и получившего оперативный псевдоним Z-9. С его помощью в Центр были направлены материалы о новых немецких противогазах и результатах их испытаний, приближенных к боевым (Прохоров Д. Король диверсий. — «Секретные материалы», 2001, №3(47).) (11765).</w:t>
      </w:r>
    </w:p>
    <w:p w14:paraId="2B4C102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0142B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Надир узаконил свою власть в Афганистане, добившись принятия новой конституции умеренно-консервативного характера. Однако и новый режим, по сути дела, продолжил во внешней политике линию нейтрализма. Кабул старательно избегал осложнений в отношениях с Великобританией. Но и с Советским Союзом афганское правительство стремилось сохранять дружелюбные отношения (3871).</w:t>
      </w:r>
    </w:p>
    <w:p w14:paraId="40C30E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611DF6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едва укрепившись в Кабуле, Надир-шах пошел на достижение договоренности с СССР относительно басмаческих отрядов на афганской территории. Поскольку во </w:t>
      </w:r>
      <w:proofErr w:type="spellStart"/>
      <w:r w:rsidRPr="007122AB">
        <w:rPr>
          <w:rFonts w:ascii="Times New Roman" w:hAnsi="Times New Roman"/>
          <w:color w:val="000000" w:themeColor="text1"/>
          <w:sz w:val="16"/>
          <w:szCs w:val="16"/>
        </w:rPr>
        <w:t>внутриафганской</w:t>
      </w:r>
      <w:proofErr w:type="spellEnd"/>
      <w:r w:rsidRPr="007122AB">
        <w:rPr>
          <w:rFonts w:ascii="Times New Roman" w:hAnsi="Times New Roman"/>
          <w:color w:val="000000" w:themeColor="text1"/>
          <w:sz w:val="16"/>
          <w:szCs w:val="16"/>
        </w:rPr>
        <w:t xml:space="preserve"> войне лидеры басмачей поддерживали таджика и мятежника </w:t>
      </w:r>
      <w:proofErr w:type="spellStart"/>
      <w:r w:rsidRPr="007122AB">
        <w:rPr>
          <w:rFonts w:ascii="Times New Roman" w:hAnsi="Times New Roman"/>
          <w:color w:val="000000" w:themeColor="text1"/>
          <w:sz w:val="16"/>
          <w:szCs w:val="16"/>
        </w:rPr>
        <w:t>Бачаи</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Сакао</w:t>
      </w:r>
      <w:proofErr w:type="spellEnd"/>
      <w:r w:rsidRPr="007122AB">
        <w:rPr>
          <w:rFonts w:ascii="Times New Roman" w:hAnsi="Times New Roman"/>
          <w:color w:val="000000" w:themeColor="text1"/>
          <w:sz w:val="16"/>
          <w:szCs w:val="16"/>
        </w:rPr>
        <w:t xml:space="preserve">, Надир-шах имел основания желать их устранения с </w:t>
      </w:r>
      <w:proofErr w:type="spellStart"/>
      <w:r w:rsidRPr="007122AB">
        <w:rPr>
          <w:rFonts w:ascii="Times New Roman" w:hAnsi="Times New Roman"/>
          <w:color w:val="000000" w:themeColor="text1"/>
          <w:sz w:val="16"/>
          <w:szCs w:val="16"/>
        </w:rPr>
        <w:t>внутриафганской</w:t>
      </w:r>
      <w:proofErr w:type="spellEnd"/>
      <w:r w:rsidRPr="007122AB">
        <w:rPr>
          <w:rFonts w:ascii="Times New Roman" w:hAnsi="Times New Roman"/>
          <w:color w:val="000000" w:themeColor="text1"/>
          <w:sz w:val="16"/>
          <w:szCs w:val="16"/>
        </w:rPr>
        <w:t xml:space="preserve"> политической арены. В этом смысле его интересы были параллельны пожеланиям Москвы (3871).</w:t>
      </w:r>
    </w:p>
    <w:p w14:paraId="46B39A3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33084E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г. между СССР и Афганистаном был заключен новый договор о нейтралитете, в основном повторивший условия аналогичного договора 1926 г. Бухарский эмир Саид Алим-хан умер в эмиграции в Кабуле в 1936 году (3871).</w:t>
      </w:r>
    </w:p>
    <w:p w14:paraId="27685A7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963E730"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8A919B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4A4C764B" w14:textId="77777777" w:rsidR="0085477B" w:rsidRPr="007122AB" w:rsidRDefault="0085477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1931 г. русский эмигрант Иван Махонин построил во Франции моноплан Мак-10 с раздвижным крылом телескопической конструкции. Выдвигаемые с помощью ручного привода консоли позволяли увеличить размах с 13 до 21 м, при этом площадь крыла возрастала в полтора раза. Самолёт испытывали несколько лет с разными двигателями, но изобретателю так и не удалось заинтересовать </w:t>
      </w:r>
      <w:proofErr w:type="spellStart"/>
      <w:r w:rsidRPr="007122AB">
        <w:rPr>
          <w:rFonts w:ascii="Times New Roman" w:eastAsia="Times New Roman" w:hAnsi="Times New Roman"/>
          <w:color w:val="000000" w:themeColor="text1"/>
          <w:sz w:val="16"/>
          <w:szCs w:val="16"/>
          <w:lang w:eastAsia="ru-RU"/>
        </w:rPr>
        <w:t>авиапромышленников</w:t>
      </w:r>
      <w:proofErr w:type="spellEnd"/>
      <w:r w:rsidRPr="007122AB">
        <w:rPr>
          <w:rFonts w:ascii="Times New Roman" w:eastAsia="Times New Roman" w:hAnsi="Times New Roman"/>
          <w:color w:val="000000" w:themeColor="text1"/>
          <w:sz w:val="16"/>
          <w:szCs w:val="16"/>
          <w:lang w:eastAsia="ru-RU"/>
        </w:rPr>
        <w:t>.</w:t>
      </w:r>
    </w:p>
    <w:p w14:paraId="7262FBE7" w14:textId="77777777" w:rsidR="0085477B" w:rsidRPr="007122AB" w:rsidRDefault="0085477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Когда Мак-10 только начинал проходить испытания, в СССР также приступили к проектированию самолёта с крылом изменяемой в полёте площади. Этот проект разработал выпускник Ленинградского института инженеров Гражданского воздушного флота Григорий Иванович </w:t>
      </w:r>
      <w:proofErr w:type="spellStart"/>
      <w:r w:rsidRPr="007122AB">
        <w:rPr>
          <w:rFonts w:ascii="Times New Roman" w:eastAsia="Times New Roman" w:hAnsi="Times New Roman"/>
          <w:color w:val="000000" w:themeColor="text1"/>
          <w:sz w:val="16"/>
          <w:szCs w:val="16"/>
          <w:lang w:eastAsia="ru-RU"/>
        </w:rPr>
        <w:t>Бакшаев</w:t>
      </w:r>
      <w:proofErr w:type="spellEnd"/>
      <w:r w:rsidRPr="007122AB">
        <w:rPr>
          <w:rFonts w:ascii="Times New Roman" w:eastAsia="Times New Roman" w:hAnsi="Times New Roman"/>
          <w:color w:val="000000" w:themeColor="text1"/>
          <w:sz w:val="16"/>
          <w:szCs w:val="16"/>
          <w:lang w:eastAsia="ru-RU"/>
        </w:rPr>
        <w:t xml:space="preserve">. В отличие от Махонина, </w:t>
      </w:r>
      <w:proofErr w:type="spellStart"/>
      <w:r w:rsidRPr="007122AB">
        <w:rPr>
          <w:rFonts w:ascii="Times New Roman" w:eastAsia="Times New Roman" w:hAnsi="Times New Roman"/>
          <w:color w:val="000000" w:themeColor="text1"/>
          <w:sz w:val="16"/>
          <w:szCs w:val="16"/>
          <w:lang w:eastAsia="ru-RU"/>
        </w:rPr>
        <w:t>Бакшаев</w:t>
      </w:r>
      <w:proofErr w:type="spellEnd"/>
      <w:r w:rsidRPr="007122AB">
        <w:rPr>
          <w:rFonts w:ascii="Times New Roman" w:eastAsia="Times New Roman" w:hAnsi="Times New Roman"/>
          <w:color w:val="000000" w:themeColor="text1"/>
          <w:sz w:val="16"/>
          <w:szCs w:val="16"/>
          <w:lang w:eastAsia="ru-RU"/>
        </w:rPr>
        <w:t xml:space="preserve"> </w:t>
      </w:r>
      <w:r w:rsidRPr="007122AB">
        <w:rPr>
          <w:rFonts w:ascii="Times New Roman" w:eastAsia="Times New Roman" w:hAnsi="Times New Roman"/>
          <w:color w:val="000000" w:themeColor="text1"/>
          <w:sz w:val="16"/>
          <w:szCs w:val="16"/>
          <w:lang w:eastAsia="ru-RU"/>
        </w:rPr>
        <w:lastRenderedPageBreak/>
        <w:t>предлагал увеличивать не размах, а ширину крыла. Для этого из обтекателей по бокам фюзеляжа на основное крыло должны были выдвигаться внешние секции — по несколько на каждую консоль (17489).</w:t>
      </w:r>
    </w:p>
    <w:p w14:paraId="5A66B2E5" w14:textId="77777777" w:rsidR="0085477B" w:rsidRPr="007122AB" w:rsidRDefault="0085477B" w:rsidP="007122AB">
      <w:pPr>
        <w:spacing w:after="0" w:line="240" w:lineRule="auto"/>
        <w:jc w:val="both"/>
        <w:rPr>
          <w:rFonts w:ascii="Times New Roman" w:eastAsia="Times New Roman" w:hAnsi="Times New Roman"/>
          <w:color w:val="000000" w:themeColor="text1"/>
          <w:sz w:val="16"/>
          <w:szCs w:val="16"/>
          <w:lang w:eastAsia="ru-RU"/>
        </w:rPr>
      </w:pPr>
    </w:p>
    <w:p w14:paraId="16DA975B" w14:textId="77777777" w:rsidR="0085477B" w:rsidRPr="007122AB" w:rsidRDefault="0085477B" w:rsidP="007122AB">
      <w:pPr>
        <w:spacing w:after="0" w:line="240" w:lineRule="auto"/>
        <w:jc w:val="both"/>
        <w:rPr>
          <w:rFonts w:ascii="Times New Roman" w:eastAsia="Times New Roman" w:hAnsi="Times New Roman"/>
          <w:color w:val="000000" w:themeColor="text1"/>
          <w:sz w:val="16"/>
          <w:szCs w:val="16"/>
          <w:lang w:eastAsia="ru-RU"/>
        </w:rPr>
      </w:pPr>
      <w:r w:rsidRPr="007122AB">
        <w:rPr>
          <w:rFonts w:ascii="Times New Roman" w:eastAsia="Times New Roman" w:hAnsi="Times New Roman"/>
          <w:color w:val="000000" w:themeColor="text1"/>
          <w:sz w:val="16"/>
          <w:szCs w:val="16"/>
          <w:lang w:eastAsia="ru-RU"/>
        </w:rPr>
        <w:t xml:space="preserve">В 1931 г. русский эмигрант Н. Медведев разработал в США биплан-моноплан. Нижнее крыло крепилось к фюзеляжу на шарнирах. Задний шарнир мог перемещаться по дуге на боковой стенке фюзеляжа. При этом благодаря специальной стойке между верхним и нижним крылом последнее отклонялось вверх и плотно прижималось к бокам фюзеляжа. Работы ограничились постройкой демонстрационной модели самолёта </w:t>
      </w:r>
      <w:hyperlink r:id="rId233" w:history="1">
        <w:r w:rsidRPr="007122AB">
          <w:rPr>
            <w:rFonts w:ascii="Times New Roman" w:eastAsia="Times New Roman" w:hAnsi="Times New Roman"/>
            <w:color w:val="000000" w:themeColor="text1"/>
            <w:sz w:val="16"/>
            <w:szCs w:val="16"/>
            <w:lang w:eastAsia="ru-RU"/>
          </w:rPr>
          <w:t>[303]</w:t>
        </w:r>
      </w:hyperlink>
      <w:r w:rsidRPr="007122AB">
        <w:rPr>
          <w:rFonts w:ascii="Times New Roman" w:eastAsia="Times New Roman" w:hAnsi="Times New Roman"/>
          <w:color w:val="000000" w:themeColor="text1"/>
          <w:sz w:val="16"/>
          <w:szCs w:val="16"/>
          <w:lang w:eastAsia="ru-RU"/>
        </w:rPr>
        <w:t xml:space="preserve"> (17489).</w:t>
      </w:r>
    </w:p>
    <w:p w14:paraId="5AED3820" w14:textId="77777777" w:rsidR="0085477B" w:rsidRPr="007122AB" w:rsidRDefault="0085477B" w:rsidP="007122AB">
      <w:pPr>
        <w:spacing w:after="0" w:line="240" w:lineRule="auto"/>
        <w:jc w:val="both"/>
        <w:rPr>
          <w:rFonts w:ascii="Times New Roman" w:eastAsia="Times New Roman" w:hAnsi="Times New Roman"/>
          <w:color w:val="000000" w:themeColor="text1"/>
          <w:sz w:val="16"/>
          <w:szCs w:val="16"/>
          <w:lang w:eastAsia="ru-RU"/>
        </w:rPr>
      </w:pPr>
    </w:p>
    <w:p w14:paraId="598F1B0F" w14:textId="77777777" w:rsidR="00496ABD" w:rsidRPr="007122AB" w:rsidRDefault="00496ABD"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1931 года действовала международная авиатрасса, которая проходила через Львов на Бухарест (Румыния) и далее через Софию (Болгария) в Салоники (Греция). В 1932 году был открыт самый дальний авиационный маршрут довоенной Польши, пересекавший границы шести держав и проходивший через Львов: Таллин (Эстония) - Рига (Латвия) - Варшава (Польша) - Львов - Бухарест - София - Салоники. В 1936 году эту линию продлили до Афин, а в 1937 году через остров Родос (Греция) в аэропорт </w:t>
      </w:r>
      <w:proofErr w:type="spellStart"/>
      <w:r w:rsidRPr="007122AB">
        <w:rPr>
          <w:rFonts w:ascii="Times New Roman" w:hAnsi="Times New Roman"/>
          <w:color w:val="000000" w:themeColor="text1"/>
          <w:sz w:val="16"/>
          <w:szCs w:val="16"/>
        </w:rPr>
        <w:t>Лидда</w:t>
      </w:r>
      <w:proofErr w:type="spellEnd"/>
      <w:r w:rsidRPr="007122AB">
        <w:rPr>
          <w:rFonts w:ascii="Times New Roman" w:hAnsi="Times New Roman"/>
          <w:color w:val="000000" w:themeColor="text1"/>
          <w:sz w:val="16"/>
          <w:szCs w:val="16"/>
        </w:rPr>
        <w:t xml:space="preserve"> (Палестина). Затем через Таллин линию продлили до столицы Финляндии, города Хельсинки, а через </w:t>
      </w:r>
      <w:proofErr w:type="spellStart"/>
      <w:r w:rsidRPr="007122AB">
        <w:rPr>
          <w:rFonts w:ascii="Times New Roman" w:hAnsi="Times New Roman"/>
          <w:color w:val="000000" w:themeColor="text1"/>
          <w:sz w:val="16"/>
          <w:szCs w:val="16"/>
        </w:rPr>
        <w:t>Лидду</w:t>
      </w:r>
      <w:proofErr w:type="spellEnd"/>
      <w:r w:rsidRPr="007122AB">
        <w:rPr>
          <w:rFonts w:ascii="Times New Roman" w:hAnsi="Times New Roman"/>
          <w:color w:val="000000" w:themeColor="text1"/>
          <w:sz w:val="16"/>
          <w:szCs w:val="16"/>
        </w:rPr>
        <w:t xml:space="preserve"> в Бейрут в Ливане. Так возникла самая длинная в Европе воздушная трасса, одним и пунктов которой был Львов (12298).</w:t>
      </w:r>
    </w:p>
    <w:p w14:paraId="620DFCD1" w14:textId="77777777" w:rsidR="00496ABD" w:rsidRPr="007122AB" w:rsidRDefault="00496ABD" w:rsidP="007122AB">
      <w:pPr>
        <w:autoSpaceDE w:val="0"/>
        <w:autoSpaceDN w:val="0"/>
        <w:adjustRightInd w:val="0"/>
        <w:spacing w:after="0" w:line="240" w:lineRule="auto"/>
        <w:jc w:val="both"/>
        <w:rPr>
          <w:rFonts w:ascii="Times New Roman" w:hAnsi="Times New Roman"/>
          <w:color w:val="000000" w:themeColor="text1"/>
          <w:sz w:val="16"/>
          <w:szCs w:val="16"/>
        </w:rPr>
      </w:pPr>
    </w:p>
    <w:p w14:paraId="4DA8CD1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г. министр иностранных дел Чили </w:t>
      </w:r>
      <w:proofErr w:type="spellStart"/>
      <w:r w:rsidRPr="007122AB">
        <w:rPr>
          <w:rFonts w:ascii="Times New Roman" w:hAnsi="Times New Roman"/>
          <w:color w:val="000000" w:themeColor="text1"/>
          <w:sz w:val="16"/>
          <w:szCs w:val="16"/>
        </w:rPr>
        <w:t>А.Планета</w:t>
      </w:r>
      <w:proofErr w:type="spellEnd"/>
      <w:r w:rsidRPr="007122AB">
        <w:rPr>
          <w:rFonts w:ascii="Times New Roman" w:hAnsi="Times New Roman"/>
          <w:color w:val="000000" w:themeColor="text1"/>
          <w:sz w:val="16"/>
          <w:szCs w:val="16"/>
        </w:rPr>
        <w:t xml:space="preserve"> выступил с предложением организовать финансовый и таможенный союз стран Южной Америки, исключив из него Соединенные Штаты (3871).</w:t>
      </w:r>
    </w:p>
    <w:p w14:paraId="5FD1E70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12986C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в США фирма Шик выпустила в продажу электробритвы (3907,171).</w:t>
      </w:r>
    </w:p>
    <w:p w14:paraId="7C8B3C3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491F5E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в США Шевроле произвела первый автомобиль-пикап (3907,171).</w:t>
      </w:r>
    </w:p>
    <w:p w14:paraId="6E9281C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8A266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в США было изобретено средство от похмелья Алко-Зельцер (3907,171).</w:t>
      </w:r>
    </w:p>
    <w:p w14:paraId="1FF03FB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5EC94AD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 в США начали применять фреон в аэрозолях (3907,171).</w:t>
      </w:r>
    </w:p>
    <w:p w14:paraId="6B47E6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0686D62"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Авиапромышленность:</w:t>
      </w:r>
    </w:p>
    <w:p w14:paraId="013924D8"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0847169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1931-1937 </w:t>
      </w:r>
      <w:proofErr w:type="spellStart"/>
      <w:r w:rsidRPr="007122AB">
        <w:rPr>
          <w:rFonts w:ascii="Times New Roman" w:hAnsi="Times New Roman"/>
          <w:color w:val="000000" w:themeColor="text1"/>
          <w:sz w:val="16"/>
          <w:szCs w:val="16"/>
        </w:rPr>
        <w:t>А.А.Туржанский</w:t>
      </w:r>
      <w:proofErr w:type="spellEnd"/>
      <w:r w:rsidRPr="007122AB">
        <w:rPr>
          <w:rFonts w:ascii="Times New Roman" w:hAnsi="Times New Roman"/>
          <w:color w:val="000000" w:themeColor="text1"/>
          <w:sz w:val="16"/>
          <w:szCs w:val="16"/>
        </w:rPr>
        <w:t xml:space="preserve"> командовал 8-й и 9-й авиабригадами в Киевском и Белорусском военном округах. Под его руководством и при его личном участии были разработаны и внедрены в практику боевой подготовки эффективные тактические приемы действий штурмовой авиации и усовершенствованию ее вооружения (501,153).</w:t>
      </w:r>
    </w:p>
    <w:p w14:paraId="2A3A41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Главное состояло в смелом переходе штурмовиков к действиям с предельно малых высот. Полет на малых высотах резко повышал возможности самолетов по преодолению ПВО и обеспечивал внезапность нанесения ударов. Поэтому </w:t>
      </w:r>
      <w:proofErr w:type="spellStart"/>
      <w:r w:rsidRPr="007122AB">
        <w:rPr>
          <w:rFonts w:ascii="Times New Roman" w:hAnsi="Times New Roman"/>
          <w:color w:val="000000" w:themeColor="text1"/>
          <w:sz w:val="16"/>
          <w:szCs w:val="16"/>
        </w:rPr>
        <w:t>А.А.Туржанский</w:t>
      </w:r>
      <w:proofErr w:type="spellEnd"/>
      <w:r w:rsidRPr="007122AB">
        <w:rPr>
          <w:rFonts w:ascii="Times New Roman" w:hAnsi="Times New Roman"/>
          <w:color w:val="000000" w:themeColor="text1"/>
          <w:sz w:val="16"/>
          <w:szCs w:val="16"/>
        </w:rPr>
        <w:t xml:space="preserve"> существенное внимание уделял разработке методов выхода штурмовой авиации в район боевых действий и поиска целей на малых высотах (501,153).</w:t>
      </w:r>
    </w:p>
    <w:p w14:paraId="17E041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Большая работа велась и по изысканию целесообразных боевых порядков штурмовиков и способов применения различного оружия. В частности, по предложению </w:t>
      </w:r>
      <w:proofErr w:type="spellStart"/>
      <w:r w:rsidRPr="007122AB">
        <w:rPr>
          <w:rFonts w:ascii="Times New Roman" w:hAnsi="Times New Roman"/>
          <w:color w:val="000000" w:themeColor="text1"/>
          <w:sz w:val="16"/>
          <w:szCs w:val="16"/>
        </w:rPr>
        <w:t>комэска</w:t>
      </w:r>
      <w:proofErr w:type="spellEnd"/>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rPr>
        <w:t>Д.Э.Шумского</w:t>
      </w:r>
      <w:proofErr w:type="spellEnd"/>
      <w:r w:rsidRPr="007122AB">
        <w:rPr>
          <w:rFonts w:ascii="Times New Roman" w:hAnsi="Times New Roman"/>
          <w:color w:val="000000" w:themeColor="text1"/>
          <w:sz w:val="16"/>
          <w:szCs w:val="16"/>
        </w:rPr>
        <w:t xml:space="preserve"> штурмовики стали применять боевой порядок "змейка" (501,153).</w:t>
      </w:r>
    </w:p>
    <w:p w14:paraId="11490BE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 вооружении штурмовых частей был Р-5ЛШ и на него по предложению и 8-й бригады </w:t>
      </w:r>
      <w:proofErr w:type="spellStart"/>
      <w:r w:rsidRPr="007122AB">
        <w:rPr>
          <w:rFonts w:ascii="Times New Roman" w:hAnsi="Times New Roman"/>
          <w:color w:val="000000" w:themeColor="text1"/>
          <w:sz w:val="16"/>
          <w:szCs w:val="16"/>
        </w:rPr>
        <w:t>Е.И.Павлова</w:t>
      </w:r>
      <w:proofErr w:type="spellEnd"/>
      <w:r w:rsidRPr="007122AB">
        <w:rPr>
          <w:rFonts w:ascii="Times New Roman" w:hAnsi="Times New Roman"/>
          <w:color w:val="000000" w:themeColor="text1"/>
          <w:sz w:val="16"/>
          <w:szCs w:val="16"/>
        </w:rPr>
        <w:t xml:space="preserve"> на крылья вместо одиночных стали ставить спаренные пулеметы, а </w:t>
      </w:r>
      <w:proofErr w:type="spellStart"/>
      <w:r w:rsidRPr="007122AB">
        <w:rPr>
          <w:rFonts w:ascii="Times New Roman" w:hAnsi="Times New Roman"/>
          <w:color w:val="000000" w:themeColor="text1"/>
          <w:sz w:val="16"/>
          <w:szCs w:val="16"/>
        </w:rPr>
        <w:t>А.А.Туржанский</w:t>
      </w:r>
      <w:proofErr w:type="spellEnd"/>
      <w:r w:rsidRPr="007122AB">
        <w:rPr>
          <w:rFonts w:ascii="Times New Roman" w:hAnsi="Times New Roman"/>
          <w:color w:val="000000" w:themeColor="text1"/>
          <w:sz w:val="16"/>
          <w:szCs w:val="16"/>
        </w:rPr>
        <w:t xml:space="preserve"> предложил втрое увеличить количество бомбодержателей (501,154).</w:t>
      </w:r>
    </w:p>
    <w:p w14:paraId="3A5AAED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43F251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1931—1932 гг. по заданию УВМС РККА специально образо</w:t>
      </w:r>
      <w:r w:rsidRPr="007122AB">
        <w:rPr>
          <w:rFonts w:ascii="Times New Roman" w:hAnsi="Times New Roman"/>
          <w:color w:val="000000" w:themeColor="text1"/>
          <w:sz w:val="16"/>
          <w:szCs w:val="16"/>
        </w:rPr>
        <w:softHyphen/>
        <w:t xml:space="preserve">ванным ЦКБ авиапромышленности </w:t>
      </w:r>
      <w:proofErr w:type="spellStart"/>
      <w:r w:rsidRPr="007122AB">
        <w:rPr>
          <w:rFonts w:ascii="Times New Roman" w:hAnsi="Times New Roman"/>
          <w:color w:val="000000" w:themeColor="text1"/>
          <w:sz w:val="16"/>
          <w:szCs w:val="16"/>
        </w:rPr>
        <w:t>бьш</w:t>
      </w:r>
      <w:proofErr w:type="spellEnd"/>
      <w:r w:rsidRPr="007122AB">
        <w:rPr>
          <w:rFonts w:ascii="Times New Roman" w:hAnsi="Times New Roman"/>
          <w:color w:val="000000" w:themeColor="text1"/>
          <w:sz w:val="16"/>
          <w:szCs w:val="16"/>
        </w:rPr>
        <w:t xml:space="preserve"> создан палубный штурмо</w:t>
      </w:r>
      <w:r w:rsidRPr="007122AB">
        <w:rPr>
          <w:rFonts w:ascii="Times New Roman" w:hAnsi="Times New Roman"/>
          <w:color w:val="000000" w:themeColor="text1"/>
          <w:sz w:val="16"/>
          <w:szCs w:val="16"/>
        </w:rPr>
        <w:softHyphen/>
        <w:t xml:space="preserve">вик особого назначения (ШОН). Самолет проектировался на базе известного Р-5 и имел складывающиеся </w:t>
      </w:r>
      <w:proofErr w:type="spellStart"/>
      <w:r w:rsidRPr="007122AB">
        <w:rPr>
          <w:rFonts w:ascii="Times New Roman" w:hAnsi="Times New Roman"/>
          <w:color w:val="000000" w:themeColor="text1"/>
          <w:sz w:val="16"/>
          <w:szCs w:val="16"/>
        </w:rPr>
        <w:t>крьшья</w:t>
      </w:r>
      <w:proofErr w:type="spellEnd"/>
      <w:r w:rsidRPr="007122AB">
        <w:rPr>
          <w:rFonts w:ascii="Times New Roman" w:hAnsi="Times New Roman"/>
          <w:color w:val="000000" w:themeColor="text1"/>
          <w:sz w:val="16"/>
          <w:szCs w:val="16"/>
        </w:rPr>
        <w:t xml:space="preserve"> (размах верхнего 15,5 м) и полетную массу несколько более 3000 кг. Самолет про</w:t>
      </w:r>
      <w:r w:rsidRPr="007122AB">
        <w:rPr>
          <w:rFonts w:ascii="Times New Roman" w:hAnsi="Times New Roman"/>
          <w:color w:val="000000" w:themeColor="text1"/>
          <w:sz w:val="16"/>
          <w:szCs w:val="16"/>
        </w:rPr>
        <w:softHyphen/>
        <w:t xml:space="preserve">шел испытания, но не </w:t>
      </w:r>
      <w:proofErr w:type="spellStart"/>
      <w:r w:rsidRPr="007122AB">
        <w:rPr>
          <w:rFonts w:ascii="Times New Roman" w:hAnsi="Times New Roman"/>
          <w:color w:val="000000" w:themeColor="text1"/>
          <w:sz w:val="16"/>
          <w:szCs w:val="16"/>
        </w:rPr>
        <w:t>бьш</w:t>
      </w:r>
      <w:proofErr w:type="spellEnd"/>
      <w:r w:rsidRPr="007122AB">
        <w:rPr>
          <w:rFonts w:ascii="Times New Roman" w:hAnsi="Times New Roman"/>
          <w:color w:val="000000" w:themeColor="text1"/>
          <w:sz w:val="16"/>
          <w:szCs w:val="16"/>
        </w:rPr>
        <w:t xml:space="preserve"> принят, так как "надобность в нем прошла". Именно в это время слово "авианосец", как и слово "линкор", на несколько лет исчезло из лексикона наших военных моряков (3898).</w:t>
      </w:r>
    </w:p>
    <w:p w14:paraId="4227A06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05410D1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1931-1932 проводились опыты по применению ракетных ускорителей для взлета АНТ-4 с Комендантского аэродрома в Ленинграде. Разработка - ГДЛ (91,35).</w:t>
      </w:r>
    </w:p>
    <w:p w14:paraId="1D3BF4E4" w14:textId="77777777" w:rsidR="002629BF" w:rsidRPr="007122AB" w:rsidRDefault="002629BF" w:rsidP="007122AB">
      <w:pPr>
        <w:spacing w:after="0" w:line="240" w:lineRule="auto"/>
        <w:jc w:val="both"/>
        <w:rPr>
          <w:rFonts w:ascii="Times New Roman" w:hAnsi="Times New Roman"/>
          <w:color w:val="000000" w:themeColor="text1"/>
          <w:sz w:val="16"/>
          <w:szCs w:val="16"/>
          <w:lang w:eastAsia="ru-RU" w:bidi="ru-RU"/>
        </w:rPr>
      </w:pPr>
    </w:p>
    <w:p w14:paraId="221E525A" w14:textId="248F0192" w:rsidR="00EB31F4" w:rsidRPr="007122AB" w:rsidRDefault="00EB31F4"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Производство самолетов на таганрогском заводе №31 в 1931-1937 гг.</w:t>
      </w:r>
    </w:p>
    <w:p w14:paraId="5E83CA80"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ab/>
        <w:t>1931</w:t>
      </w:r>
      <w:r w:rsidRPr="007122AB">
        <w:rPr>
          <w:rFonts w:ascii="Times New Roman" w:hAnsi="Times New Roman"/>
          <w:color w:val="000000" w:themeColor="text1"/>
          <w:sz w:val="16"/>
          <w:szCs w:val="16"/>
        </w:rPr>
        <w:tab/>
        <w:t>1932</w:t>
      </w:r>
      <w:r w:rsidRPr="007122AB">
        <w:rPr>
          <w:rFonts w:ascii="Times New Roman" w:hAnsi="Times New Roman"/>
          <w:color w:val="000000" w:themeColor="text1"/>
          <w:sz w:val="16"/>
          <w:szCs w:val="16"/>
        </w:rPr>
        <w:tab/>
        <w:t>1933</w:t>
      </w:r>
      <w:r w:rsidRPr="007122AB">
        <w:rPr>
          <w:rFonts w:ascii="Times New Roman" w:hAnsi="Times New Roman"/>
          <w:color w:val="000000" w:themeColor="text1"/>
          <w:sz w:val="16"/>
          <w:szCs w:val="16"/>
        </w:rPr>
        <w:tab/>
        <w:t>1934</w:t>
      </w:r>
      <w:r w:rsidRPr="007122AB">
        <w:rPr>
          <w:rFonts w:ascii="Times New Roman" w:hAnsi="Times New Roman"/>
          <w:color w:val="000000" w:themeColor="text1"/>
          <w:sz w:val="16"/>
          <w:szCs w:val="16"/>
        </w:rPr>
        <w:tab/>
        <w:t>1935</w:t>
      </w:r>
      <w:r w:rsidRPr="007122AB">
        <w:rPr>
          <w:rFonts w:ascii="Times New Roman" w:hAnsi="Times New Roman"/>
          <w:color w:val="000000" w:themeColor="text1"/>
          <w:sz w:val="16"/>
          <w:szCs w:val="16"/>
        </w:rPr>
        <w:tab/>
        <w:t>1936</w:t>
      </w:r>
      <w:r w:rsidRPr="007122AB">
        <w:rPr>
          <w:rFonts w:ascii="Times New Roman" w:hAnsi="Times New Roman"/>
          <w:color w:val="000000" w:themeColor="text1"/>
          <w:sz w:val="16"/>
          <w:szCs w:val="16"/>
        </w:rPr>
        <w:tab/>
        <w:t>1937</w:t>
      </w:r>
      <w:r w:rsidRPr="007122AB">
        <w:rPr>
          <w:rFonts w:ascii="Times New Roman" w:hAnsi="Times New Roman"/>
          <w:color w:val="000000" w:themeColor="text1"/>
          <w:sz w:val="16"/>
          <w:szCs w:val="16"/>
        </w:rPr>
        <w:tab/>
        <w:t>Всего</w:t>
      </w:r>
    </w:p>
    <w:p w14:paraId="00FC7429"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Р-1</w:t>
      </w:r>
      <w:r w:rsidRPr="007122AB">
        <w:rPr>
          <w:rFonts w:ascii="Times New Roman" w:hAnsi="Times New Roman"/>
          <w:color w:val="000000" w:themeColor="text1"/>
          <w:sz w:val="16"/>
          <w:szCs w:val="16"/>
        </w:rPr>
        <w:tab/>
        <w:t>303</w:t>
      </w:r>
      <w:r w:rsidRPr="007122AB">
        <w:rPr>
          <w:rFonts w:ascii="Times New Roman" w:hAnsi="Times New Roman"/>
          <w:color w:val="000000" w:themeColor="text1"/>
          <w:sz w:val="16"/>
          <w:szCs w:val="16"/>
        </w:rPr>
        <w:tab/>
        <w:t>2</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305</w:t>
      </w:r>
    </w:p>
    <w:p w14:paraId="7000EC55"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Р-5</w:t>
      </w:r>
      <w:r w:rsidRPr="007122AB">
        <w:rPr>
          <w:rFonts w:ascii="Times New Roman" w:hAnsi="Times New Roman"/>
          <w:color w:val="000000" w:themeColor="text1"/>
          <w:sz w:val="16"/>
          <w:szCs w:val="16"/>
        </w:rPr>
        <w:tab/>
        <w:t>5</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5</w:t>
      </w:r>
    </w:p>
    <w:p w14:paraId="6E7775DC"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АНТ-9</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5</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5</w:t>
      </w:r>
    </w:p>
    <w:p w14:paraId="77F15D66"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Р-6/МР-6</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1</w:t>
      </w:r>
      <w:r w:rsidRPr="007122AB">
        <w:rPr>
          <w:rFonts w:ascii="Times New Roman" w:hAnsi="Times New Roman"/>
          <w:color w:val="000000" w:themeColor="text1"/>
          <w:sz w:val="16"/>
          <w:szCs w:val="16"/>
        </w:rPr>
        <w:tab/>
        <w:t>50</w:t>
      </w:r>
      <w:r w:rsidRPr="007122AB">
        <w:rPr>
          <w:rFonts w:ascii="Times New Roman" w:hAnsi="Times New Roman"/>
          <w:color w:val="000000" w:themeColor="text1"/>
          <w:sz w:val="16"/>
          <w:szCs w:val="16"/>
        </w:rPr>
        <w:tab/>
        <w:t>20</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71</w:t>
      </w:r>
    </w:p>
    <w:p w14:paraId="0199023A"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МБР-4</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29</w:t>
      </w:r>
      <w:r w:rsidRPr="007122AB">
        <w:rPr>
          <w:rFonts w:ascii="Times New Roman" w:hAnsi="Times New Roman"/>
          <w:color w:val="000000" w:themeColor="text1"/>
          <w:sz w:val="16"/>
          <w:szCs w:val="16"/>
        </w:rPr>
        <w:tab/>
        <w:t>22</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51</w:t>
      </w:r>
    </w:p>
    <w:p w14:paraId="65F71B66"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Ш-2</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30</w:t>
      </w:r>
      <w:r w:rsidRPr="007122AB">
        <w:rPr>
          <w:rFonts w:ascii="Times New Roman" w:hAnsi="Times New Roman"/>
          <w:color w:val="000000" w:themeColor="text1"/>
          <w:sz w:val="16"/>
          <w:szCs w:val="16"/>
        </w:rPr>
        <w:tab/>
        <w:t>200</w:t>
      </w:r>
      <w:r w:rsidRPr="007122AB">
        <w:rPr>
          <w:rFonts w:ascii="Times New Roman" w:hAnsi="Times New Roman"/>
          <w:color w:val="000000" w:themeColor="text1"/>
          <w:sz w:val="16"/>
          <w:szCs w:val="16"/>
        </w:rPr>
        <w:tab/>
        <w:t>40</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270</w:t>
      </w:r>
    </w:p>
    <w:p w14:paraId="53E2F7F7" w14:textId="19367312"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МДР-4/МТБ-1</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5</w:t>
      </w:r>
      <w:r w:rsidRPr="007122AB">
        <w:rPr>
          <w:rFonts w:ascii="Times New Roman" w:hAnsi="Times New Roman"/>
          <w:color w:val="000000" w:themeColor="text1"/>
          <w:sz w:val="16"/>
          <w:szCs w:val="16"/>
        </w:rPr>
        <w:tab/>
        <w:t>10</w:t>
      </w:r>
      <w:r w:rsidRPr="007122AB">
        <w:rPr>
          <w:rFonts w:ascii="Times New Roman" w:hAnsi="Times New Roman"/>
          <w:color w:val="000000" w:themeColor="text1"/>
          <w:sz w:val="16"/>
          <w:szCs w:val="16"/>
        </w:rPr>
        <w:tab/>
        <w:t>15</w:t>
      </w:r>
    </w:p>
    <w:p w14:paraId="454F90DA"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МБР-2</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w:t>
      </w:r>
      <w:r w:rsidRPr="007122AB">
        <w:rPr>
          <w:rFonts w:ascii="Times New Roman" w:hAnsi="Times New Roman"/>
          <w:color w:val="000000" w:themeColor="text1"/>
          <w:sz w:val="16"/>
          <w:szCs w:val="16"/>
        </w:rPr>
        <w:tab/>
        <w:t>207</w:t>
      </w:r>
      <w:r w:rsidRPr="007122AB">
        <w:rPr>
          <w:rFonts w:ascii="Times New Roman" w:hAnsi="Times New Roman"/>
          <w:color w:val="000000" w:themeColor="text1"/>
          <w:sz w:val="16"/>
          <w:szCs w:val="16"/>
        </w:rPr>
        <w:tab/>
        <w:t>95</w:t>
      </w:r>
      <w:r w:rsidRPr="007122AB">
        <w:rPr>
          <w:rFonts w:ascii="Times New Roman" w:hAnsi="Times New Roman"/>
          <w:color w:val="000000" w:themeColor="text1"/>
          <w:sz w:val="16"/>
          <w:szCs w:val="16"/>
        </w:rPr>
        <w:tab/>
        <w:t>109</w:t>
      </w:r>
      <w:r w:rsidRPr="007122AB">
        <w:rPr>
          <w:rFonts w:ascii="Times New Roman" w:hAnsi="Times New Roman"/>
          <w:color w:val="000000" w:themeColor="text1"/>
          <w:sz w:val="16"/>
          <w:szCs w:val="16"/>
        </w:rPr>
        <w:tab/>
        <w:t>360</w:t>
      </w:r>
      <w:r w:rsidRPr="007122AB">
        <w:rPr>
          <w:rFonts w:ascii="Times New Roman" w:hAnsi="Times New Roman"/>
          <w:color w:val="000000" w:themeColor="text1"/>
          <w:sz w:val="16"/>
          <w:szCs w:val="16"/>
        </w:rPr>
        <w:tab/>
        <w:t>771</w:t>
      </w:r>
    </w:p>
    <w:p w14:paraId="1874D809" w14:textId="77777777" w:rsidR="002629BF" w:rsidRPr="007122AB" w:rsidRDefault="002629BF"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w:t>
      </w:r>
      <w:r w:rsidRPr="007122AB">
        <w:rPr>
          <w:rFonts w:ascii="Times New Roman" w:hAnsi="Times New Roman"/>
          <w:color w:val="000000" w:themeColor="text1"/>
          <w:sz w:val="16"/>
          <w:szCs w:val="16"/>
        </w:rPr>
        <w:tab/>
        <w:t>308</w:t>
      </w:r>
      <w:r w:rsidRPr="007122AB">
        <w:rPr>
          <w:rFonts w:ascii="Times New Roman" w:hAnsi="Times New Roman"/>
          <w:color w:val="000000" w:themeColor="text1"/>
          <w:sz w:val="16"/>
          <w:szCs w:val="16"/>
        </w:rPr>
        <w:tab/>
        <w:t>67</w:t>
      </w:r>
      <w:r w:rsidRPr="007122AB">
        <w:rPr>
          <w:rFonts w:ascii="Times New Roman" w:hAnsi="Times New Roman"/>
          <w:color w:val="000000" w:themeColor="text1"/>
          <w:sz w:val="16"/>
          <w:szCs w:val="16"/>
        </w:rPr>
        <w:tab/>
        <w:t>272</w:t>
      </w:r>
      <w:r w:rsidRPr="007122AB">
        <w:rPr>
          <w:rFonts w:ascii="Times New Roman" w:hAnsi="Times New Roman"/>
          <w:color w:val="000000" w:themeColor="text1"/>
          <w:sz w:val="16"/>
          <w:szCs w:val="16"/>
        </w:rPr>
        <w:tab/>
        <w:t>267</w:t>
      </w:r>
      <w:r w:rsidRPr="007122AB">
        <w:rPr>
          <w:rFonts w:ascii="Times New Roman" w:hAnsi="Times New Roman"/>
          <w:color w:val="000000" w:themeColor="text1"/>
          <w:sz w:val="16"/>
          <w:szCs w:val="16"/>
        </w:rPr>
        <w:tab/>
        <w:t>95</w:t>
      </w:r>
      <w:r w:rsidRPr="007122AB">
        <w:rPr>
          <w:rFonts w:ascii="Times New Roman" w:hAnsi="Times New Roman"/>
          <w:color w:val="000000" w:themeColor="text1"/>
          <w:sz w:val="16"/>
          <w:szCs w:val="16"/>
        </w:rPr>
        <w:tab/>
        <w:t>114</w:t>
      </w:r>
      <w:r w:rsidRPr="007122AB">
        <w:rPr>
          <w:rFonts w:ascii="Times New Roman" w:hAnsi="Times New Roman"/>
          <w:color w:val="000000" w:themeColor="text1"/>
          <w:sz w:val="16"/>
          <w:szCs w:val="16"/>
        </w:rPr>
        <w:tab/>
        <w:t>370</w:t>
      </w:r>
      <w:r w:rsidRPr="007122AB">
        <w:rPr>
          <w:rFonts w:ascii="Times New Roman" w:hAnsi="Times New Roman"/>
          <w:color w:val="000000" w:themeColor="text1"/>
          <w:sz w:val="16"/>
          <w:szCs w:val="16"/>
        </w:rPr>
        <w:tab/>
        <w:t>1493</w:t>
      </w:r>
    </w:p>
    <w:p w14:paraId="31031EB2" w14:textId="77777777" w:rsidR="00EB31F4" w:rsidRPr="007122AB" w:rsidRDefault="00EB31F4" w:rsidP="007122AB">
      <w:pPr>
        <w:spacing w:after="0" w:line="240" w:lineRule="auto"/>
        <w:jc w:val="both"/>
        <w:rPr>
          <w:rFonts w:ascii="Times New Roman" w:hAnsi="Times New Roman"/>
          <w:color w:val="000000" w:themeColor="text1"/>
          <w:sz w:val="16"/>
          <w:szCs w:val="16"/>
          <w:lang w:eastAsia="ru-RU" w:bidi="ru-RU"/>
        </w:rPr>
      </w:pPr>
      <w:r w:rsidRPr="007122AB">
        <w:rPr>
          <w:rFonts w:ascii="Times New Roman" w:hAnsi="Times New Roman"/>
          <w:color w:val="000000" w:themeColor="text1"/>
          <w:sz w:val="16"/>
          <w:szCs w:val="16"/>
          <w:lang w:eastAsia="ru-RU" w:bidi="ru-RU"/>
        </w:rPr>
        <w:t>Примечание: Для Р-1 и МБР-2 в столбце "Всего" указано только количество самолетов, выпушенных в период 1931-37 гг., а не общий объем машин, построенных за время их серийного производства на заводе №31.</w:t>
      </w:r>
    </w:p>
    <w:p w14:paraId="5FBD5593" w14:textId="77777777" w:rsidR="00EB31F4" w:rsidRPr="007122AB" w:rsidRDefault="00EB31F4" w:rsidP="007122AB">
      <w:pPr>
        <w:spacing w:after="0" w:line="240" w:lineRule="auto"/>
        <w:jc w:val="both"/>
        <w:rPr>
          <w:rFonts w:ascii="Times New Roman" w:hAnsi="Times New Roman"/>
          <w:color w:val="000000" w:themeColor="text1"/>
          <w:sz w:val="16"/>
          <w:szCs w:val="16"/>
        </w:rPr>
      </w:pPr>
    </w:p>
    <w:p w14:paraId="3CD3262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1931-1932 гг. в ИАМ разрабатывался двигатель средней мощности М-52, использовавший один блок от М-34. Госиспытания планировались на октябрь 1932 г. Первый опытный образец испытывался с начала ноября 1932 г. После разрушения нижнего картера спроектирован новый, менее унифицированный с М-34, облегченный, с отъемным носком. Изменения внесли также в коленвал.</w:t>
      </w:r>
    </w:p>
    <w:p w14:paraId="0B6C807D"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5C8A03B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6-цшиндровый рядный, четырехтактный, водяного охлаждения;</w:t>
      </w:r>
    </w:p>
    <w:p w14:paraId="35BD682F"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диаметр цилиндра/ход поршня 160/190 мм;</w:t>
      </w:r>
    </w:p>
    <w:p w14:paraId="3E52B1B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степень сжатия 6,0;</w:t>
      </w:r>
    </w:p>
    <w:p w14:paraId="05785668"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350/450 л.с.;</w:t>
      </w:r>
    </w:p>
    <w:p w14:paraId="74978B9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300 кг (проектный),</w:t>
      </w:r>
    </w:p>
    <w:p w14:paraId="74D37925"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Предполагалось запустить М-52 в серийное производство и использо</w:t>
      </w:r>
      <w:r w:rsidRPr="007122AB">
        <w:rPr>
          <w:rFonts w:ascii="Times New Roman" w:hAnsi="Times New Roman"/>
          <w:color w:val="000000" w:themeColor="text1"/>
          <w:sz w:val="16"/>
          <w:szCs w:val="16"/>
        </w:rPr>
        <w:softHyphen/>
        <w:t>вать на перспективном самолете-корректировщике, «химическом боевике» ВС-2, переходном учебно-тренировочном самолете П-3 (11852).</w:t>
      </w:r>
    </w:p>
    <w:p w14:paraId="6FDB775A"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7E9BB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1931-1933 было особое техбюро ОГПУ, где разрабатывались опытные двигатели и дизели ФЕД (62,108).</w:t>
      </w:r>
    </w:p>
    <w:p w14:paraId="0128F4E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Наверное, в начале года по результатам положительного опыта ВТ</w:t>
      </w:r>
    </w:p>
    <w:p w14:paraId="1B491772"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По другим данным - начались в 1930</w:t>
      </w:r>
    </w:p>
    <w:p w14:paraId="5E1520B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B96046E"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1931-1932 гг. спроектирован Н-6 (МСК) в ОКБ НКВД при заводе № 24 в Москве Стечкиным и </w:t>
      </w:r>
      <w:proofErr w:type="spellStart"/>
      <w:r w:rsidRPr="007122AB">
        <w:rPr>
          <w:rFonts w:ascii="Times New Roman" w:hAnsi="Times New Roman"/>
          <w:color w:val="000000" w:themeColor="text1"/>
          <w:sz w:val="16"/>
          <w:szCs w:val="16"/>
        </w:rPr>
        <w:t>Курчевским</w:t>
      </w:r>
      <w:proofErr w:type="spellEnd"/>
      <w:r w:rsidRPr="007122AB">
        <w:rPr>
          <w:rFonts w:ascii="Times New Roman" w:hAnsi="Times New Roman"/>
          <w:color w:val="000000" w:themeColor="text1"/>
          <w:sz w:val="16"/>
          <w:szCs w:val="16"/>
        </w:rPr>
        <w:t xml:space="preserve"> (отсюда МСК — «Мотор Стечкина-</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Имел необычное для звездообразной компоновки четное количество цилиндров — шесть, причем каждый цилиндр обслуживал один из цилиндров шестицилиндрового поршневого компрессора (нагне</w:t>
      </w:r>
      <w:r w:rsidRPr="007122AB">
        <w:rPr>
          <w:rFonts w:ascii="Times New Roman" w:hAnsi="Times New Roman"/>
          <w:color w:val="000000" w:themeColor="text1"/>
          <w:sz w:val="16"/>
          <w:szCs w:val="16"/>
        </w:rPr>
        <w:softHyphen/>
        <w:t>тателя). В 1932 г. опытный образец изготовили в мастерских ЦИАМ и подвергли стендовым испытаниям.</w:t>
      </w:r>
    </w:p>
    <w:p w14:paraId="7534EB97"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Характеристики:</w:t>
      </w:r>
    </w:p>
    <w:p w14:paraId="0A3EF4F9"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6-цилиндровый звездообразный</w:t>
      </w:r>
    </w:p>
    <w:p w14:paraId="2C48A456"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охлаждения, с поршневым нагнетателем;</w:t>
      </w:r>
    </w:p>
    <w:p w14:paraId="79D553B3" w14:textId="77777777" w:rsidR="005C4849" w:rsidRPr="007122AB" w:rsidRDefault="005C4849" w:rsidP="007122A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мощность 500 л.с. (по проекту);</w:t>
      </w:r>
    </w:p>
    <w:p w14:paraId="07F8FFC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вес 380 кг (по заданию) (11852).</w:t>
      </w:r>
    </w:p>
    <w:p w14:paraId="7679319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2710FF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1931-32 г. в Новосибирске начал строиться завод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w:t>
      </w:r>
      <w:r w:rsidRPr="007122AB">
        <w:rPr>
          <w:rFonts w:ascii="Times New Roman" w:hAnsi="Times New Roman"/>
          <w:color w:val="000000" w:themeColor="text1"/>
          <w:sz w:val="16"/>
          <w:szCs w:val="16"/>
        </w:rPr>
        <w:lastRenderedPageBreak/>
        <w:t>Чкалова» /630051  г. Новосибирск ул. Ползунова, 15 тел. 278-85-01/) как завод горного оборудования, в 1934 г. строительство получило название «</w:t>
      </w:r>
      <w:proofErr w:type="spellStart"/>
      <w:r w:rsidRPr="007122AB">
        <w:rPr>
          <w:rFonts w:ascii="Times New Roman" w:hAnsi="Times New Roman"/>
          <w:color w:val="000000" w:themeColor="text1"/>
          <w:sz w:val="16"/>
          <w:szCs w:val="16"/>
        </w:rPr>
        <w:t>Сибмашстрой</w:t>
      </w:r>
      <w:proofErr w:type="spellEnd"/>
      <w:r w:rsidRPr="007122AB">
        <w:rPr>
          <w:rFonts w:ascii="Times New Roman" w:hAnsi="Times New Roman"/>
          <w:color w:val="000000" w:themeColor="text1"/>
          <w:sz w:val="16"/>
          <w:szCs w:val="16"/>
        </w:rPr>
        <w:t>». В соответствии с решением СТО от 26.05.1936 г. и приказом НКТП от 20.06.1936 г. строительство завода передано в ГУАП НКТП, завод перепрофилирован в самолетостроительный и получил наименование ГС завод № 153. В 12.1936 г. передан в ведение 1ГУ НКОП (и на 12.1938 г.). В 1938 г. заводу присвоено имя В.П. Чкалова.</w:t>
      </w:r>
    </w:p>
    <w:p w14:paraId="667ECF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Введен в строй в 1936 г., к этому времени имелось 16.684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xml:space="preserve"> производственных площадей и 138 единиц оборудования. Приказом № 0032 от 8.02.1937 г. заводу предписано к 1.07.1937 г. закончить освоение площадей бывшего сталелитейного корпуса (17 тыс. м</w:t>
      </w:r>
      <w:r w:rsidRPr="007122AB">
        <w:rPr>
          <w:rFonts w:ascii="Times New Roman" w:hAnsi="Times New Roman"/>
          <w:color w:val="000000" w:themeColor="text1"/>
          <w:sz w:val="16"/>
          <w:szCs w:val="16"/>
          <w:vertAlign w:val="superscript"/>
        </w:rPr>
        <w:t>2</w:t>
      </w:r>
      <w:r w:rsidRPr="007122AB">
        <w:rPr>
          <w:rFonts w:ascii="Times New Roman" w:hAnsi="Times New Roman"/>
          <w:color w:val="000000" w:themeColor="text1"/>
          <w:sz w:val="16"/>
          <w:szCs w:val="16"/>
        </w:rPr>
        <w:t>) для производства И-16. К концу 1937 г. завод выпустил первые 27 самолетов И-16.</w:t>
      </w:r>
    </w:p>
    <w:p w14:paraId="29F0E76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w:t>
      </w:r>
      <w:proofErr w:type="spellStart"/>
      <w:r w:rsidRPr="007122AB">
        <w:rPr>
          <w:rFonts w:ascii="Times New Roman" w:hAnsi="Times New Roman"/>
          <w:color w:val="000000" w:themeColor="text1"/>
          <w:sz w:val="16"/>
          <w:szCs w:val="16"/>
        </w:rPr>
        <w:t>Сильванский</w:t>
      </w:r>
      <w:proofErr w:type="spellEnd"/>
      <w:r w:rsidRPr="007122AB">
        <w:rPr>
          <w:rFonts w:ascii="Times New Roman" w:hAnsi="Times New Roman"/>
          <w:color w:val="000000" w:themeColor="text1"/>
          <w:sz w:val="16"/>
          <w:szCs w:val="16"/>
        </w:rPr>
        <w:t xml:space="preserve"> назначен гл. конструктором завода; для ОКБ завода требовалось выделить 5 конструкторов, 2 макетчика и 10 молодых специалистов.</w:t>
      </w:r>
    </w:p>
    <w:p w14:paraId="19E9201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1F80365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14B1A5B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1941-42 г. выпуском серии ЛаГГ-3 на заводе руководил М.Р. </w:t>
      </w:r>
      <w:proofErr w:type="spellStart"/>
      <w:r w:rsidRPr="007122AB">
        <w:rPr>
          <w:rFonts w:ascii="Times New Roman" w:hAnsi="Times New Roman"/>
          <w:color w:val="000000" w:themeColor="text1"/>
          <w:sz w:val="16"/>
          <w:szCs w:val="16"/>
        </w:rPr>
        <w:t>Бисноват</w:t>
      </w:r>
      <w:proofErr w:type="spellEnd"/>
      <w:r w:rsidRPr="007122AB">
        <w:rPr>
          <w:rFonts w:ascii="Times New Roman" w:hAnsi="Times New Roman"/>
          <w:color w:val="000000" w:themeColor="text1"/>
          <w:sz w:val="16"/>
          <w:szCs w:val="16"/>
        </w:rPr>
        <w:t xml:space="preserve"> после закрытия своего ОКБ на заводе № 23 (в 1942 г. он назначен зам. гл. конструктора завода № 55 НКАП).</w:t>
      </w:r>
    </w:p>
    <w:p w14:paraId="7E2F05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6CF28C7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  г.).</w:t>
      </w:r>
    </w:p>
    <w:p w14:paraId="3003750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0FADE95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1DDC4C0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275D513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Всего за годы войны построено 15.797 самолетов.</w:t>
      </w:r>
    </w:p>
    <w:p w14:paraId="4202101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На заводе организован филиал ОКБ Сухого (начальник- В.И. Масалов).</w:t>
      </w:r>
    </w:p>
    <w:p w14:paraId="6430ED8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1971 г. серийно строился фронтовой бомбардировщик Су-24 (до 20 машин в месяц), последней выпущена 26-я машина 27-й серии. </w:t>
      </w:r>
      <w:proofErr w:type="spellStart"/>
      <w:r w:rsidRPr="007122AB">
        <w:rPr>
          <w:rFonts w:ascii="Times New Roman" w:hAnsi="Times New Roman"/>
          <w:color w:val="000000" w:themeColor="text1"/>
          <w:sz w:val="16"/>
          <w:szCs w:val="16"/>
        </w:rPr>
        <w:t>Сагем</w:t>
      </w:r>
      <w:proofErr w:type="spellEnd"/>
      <w:r w:rsidRPr="007122AB">
        <w:rPr>
          <w:rFonts w:ascii="Times New Roman" w:hAnsi="Times New Roman"/>
          <w:color w:val="000000" w:themeColor="text1"/>
          <w:sz w:val="16"/>
          <w:szCs w:val="16"/>
        </w:rPr>
        <w:t xml:space="preserve"> начат выпуск Су-24М.</w:t>
      </w:r>
      <w:r w:rsidRPr="007122AB">
        <w:rPr>
          <w:rFonts w:ascii="Times New Roman" w:hAnsi="Times New Roman"/>
          <w:color w:val="000000" w:themeColor="text1"/>
          <w:sz w:val="16"/>
          <w:szCs w:val="16"/>
          <w:vertAlign w:val="superscript"/>
        </w:rPr>
        <w:t>31</w:t>
      </w:r>
    </w:p>
    <w:p w14:paraId="4415D28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1955-65 г. завод имел наименование «предприятие- п/я 202», затем- Г-4744. В соответствии с пост. СМ СССР № 713-342 от 26.06.1957 г. передан в ведение управления </w:t>
      </w:r>
      <w:proofErr w:type="spellStart"/>
      <w:r w:rsidRPr="007122AB">
        <w:rPr>
          <w:rFonts w:ascii="Times New Roman" w:hAnsi="Times New Roman"/>
          <w:color w:val="000000" w:themeColor="text1"/>
          <w:sz w:val="16"/>
          <w:szCs w:val="16"/>
        </w:rPr>
        <w:t>агрегатостроения</w:t>
      </w:r>
      <w:proofErr w:type="spellEnd"/>
      <w:r w:rsidRPr="007122AB">
        <w:rPr>
          <w:rFonts w:ascii="Times New Roman" w:hAnsi="Times New Roman"/>
          <w:color w:val="000000" w:themeColor="text1"/>
          <w:sz w:val="16"/>
          <w:szCs w:val="16"/>
        </w:rPr>
        <w:t xml:space="preserve"> Западно-Сибирского СНХ РСФСР (по 1965 г.).</w:t>
      </w:r>
    </w:p>
    <w:p w14:paraId="14394CA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7122AB">
        <w:rPr>
          <w:rFonts w:ascii="Times New Roman" w:hAnsi="Times New Roman"/>
          <w:color w:val="000000" w:themeColor="text1"/>
          <w:sz w:val="16"/>
          <w:szCs w:val="16"/>
          <w:lang w:val="en-US"/>
        </w:rPr>
        <w:t>OAK</w:t>
      </w:r>
      <w:r w:rsidRPr="007122AB">
        <w:rPr>
          <w:rFonts w:ascii="Times New Roman" w:hAnsi="Times New Roman"/>
          <w:color w:val="000000" w:themeColor="text1"/>
          <w:sz w:val="16"/>
          <w:szCs w:val="16"/>
        </w:rPr>
        <w:t>.</w:t>
      </w:r>
    </w:p>
    <w:p w14:paraId="753E2F1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состав НАПО входят (2002 г.): Головной завод, Авиационный завод им. Чкалова, завод «</w:t>
      </w:r>
      <w:proofErr w:type="spellStart"/>
      <w:r w:rsidRPr="007122AB">
        <w:rPr>
          <w:rFonts w:ascii="Times New Roman" w:hAnsi="Times New Roman"/>
          <w:color w:val="000000" w:themeColor="text1"/>
          <w:sz w:val="16"/>
          <w:szCs w:val="16"/>
        </w:rPr>
        <w:t>Авиаинструмент</w:t>
      </w:r>
      <w:proofErr w:type="spellEnd"/>
      <w:r w:rsidRPr="007122AB">
        <w:rPr>
          <w:rFonts w:ascii="Times New Roman" w:hAnsi="Times New Roman"/>
          <w:color w:val="000000" w:themeColor="text1"/>
          <w:sz w:val="16"/>
          <w:szCs w:val="16"/>
        </w:rPr>
        <w:t>», Завод ТНП «Алмаз», Завод гражданской продукции, Завод стройматериалов, Усть-Илимский завод «Каскад».</w:t>
      </w:r>
    </w:p>
    <w:p w14:paraId="6DA1FE7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Имеется Московское представительство (зам. гендиректора (2000 г.)- П. Кушниренко).</w:t>
      </w:r>
    </w:p>
    <w:p w14:paraId="7AACFFF6"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С 1993 г. велась подготовка к выпуску Су-34. В 2006 г. велась подготовка к производству </w:t>
      </w:r>
      <w:r w:rsidRPr="007122AB">
        <w:rPr>
          <w:rFonts w:ascii="Times New Roman" w:hAnsi="Times New Roman"/>
          <w:color w:val="000000" w:themeColor="text1"/>
          <w:sz w:val="16"/>
          <w:szCs w:val="16"/>
          <w:lang w:val="en-US"/>
        </w:rPr>
        <w:t>RRJ</w:t>
      </w:r>
      <w:r w:rsidRPr="007122AB">
        <w:rPr>
          <w:rFonts w:ascii="Times New Roman" w:hAnsi="Times New Roman"/>
          <w:color w:val="000000" w:themeColor="text1"/>
          <w:sz w:val="16"/>
          <w:szCs w:val="16"/>
        </w:rPr>
        <w:t>. В 07.2006 г. построен 1-й серийный Су-34, в 10.2006 г.- 2-й. С 2006 г.- работы по модернизации Су-24М в вариант Су-24М2.</w:t>
      </w:r>
    </w:p>
    <w:p w14:paraId="59E478A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Количество оборудования: (11.1940 г.)- 587 металлорежущих станков.</w:t>
      </w:r>
    </w:p>
    <w:p w14:paraId="2CF4807F"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Численность персонала (1936 г.)- 502 чел., (1938 г.)- около 2400 чел., (10.1940 г.)- 7500 чел., (1960-е)- около 24.000 чел., (2002 г.)- более 10.000 чел.</w:t>
      </w:r>
      <w:r w:rsidRPr="007122AB">
        <w:rPr>
          <w:rFonts w:ascii="Times New Roman" w:hAnsi="Times New Roman"/>
          <w:color w:val="000000" w:themeColor="text1"/>
          <w:sz w:val="16"/>
          <w:szCs w:val="16"/>
          <w:vertAlign w:val="superscript"/>
        </w:rPr>
        <w:t>69</w:t>
      </w:r>
    </w:p>
    <w:p w14:paraId="3AF250F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Директор (23.06.1937-21.11.1938 г.)- И.М. Данишевский (снят), (17.12.1938-04.1940 г.)- А.В. </w:t>
      </w:r>
      <w:proofErr w:type="spellStart"/>
      <w:r w:rsidRPr="007122AB">
        <w:rPr>
          <w:rFonts w:ascii="Times New Roman" w:hAnsi="Times New Roman"/>
          <w:color w:val="000000" w:themeColor="text1"/>
          <w:sz w:val="16"/>
          <w:szCs w:val="16"/>
        </w:rPr>
        <w:t>Митянишев</w:t>
      </w:r>
      <w:proofErr w:type="spellEnd"/>
      <w:r w:rsidRPr="007122AB">
        <w:rPr>
          <w:rFonts w:ascii="Times New Roman" w:hAnsi="Times New Roman"/>
          <w:color w:val="000000" w:themeColor="text1"/>
          <w:sz w:val="16"/>
          <w:szCs w:val="16"/>
        </w:rPr>
        <w:t xml:space="preserve">, (04.1940-; 09.1941 г.)- М.П. Маланьин, (08.1941 г.)- Ястребов, (-08.1942-01.1943 г.-)- Романов, (-11.1943- 47 г.-)- В.Н. Лисицын, (1952 г.)- П.П. Смирнов, (1953-63 г.)- И.А. </w:t>
      </w:r>
      <w:proofErr w:type="spellStart"/>
      <w:r w:rsidRPr="007122AB">
        <w:rPr>
          <w:rFonts w:ascii="Times New Roman" w:hAnsi="Times New Roman"/>
          <w:color w:val="000000" w:themeColor="text1"/>
          <w:sz w:val="16"/>
          <w:szCs w:val="16"/>
        </w:rPr>
        <w:t>Салащенко</w:t>
      </w:r>
      <w:proofErr w:type="spellEnd"/>
      <w:r w:rsidRPr="007122AB">
        <w:rPr>
          <w:rFonts w:ascii="Times New Roman" w:hAnsi="Times New Roman"/>
          <w:color w:val="000000" w:themeColor="text1"/>
          <w:sz w:val="16"/>
          <w:szCs w:val="16"/>
        </w:rPr>
        <w:t xml:space="preserve">, (1964-82 г.)- Г.А. Вана г. Гендиректор (1988-97 г.)- Н.И. </w:t>
      </w:r>
      <w:proofErr w:type="spellStart"/>
      <w:r w:rsidRPr="007122AB">
        <w:rPr>
          <w:rFonts w:ascii="Times New Roman" w:hAnsi="Times New Roman"/>
          <w:color w:val="000000" w:themeColor="text1"/>
          <w:sz w:val="16"/>
          <w:szCs w:val="16"/>
        </w:rPr>
        <w:t>Бобрицкий</w:t>
      </w:r>
      <w:proofErr w:type="spellEnd"/>
      <w:r w:rsidRPr="007122AB">
        <w:rPr>
          <w:rFonts w:ascii="Times New Roman" w:hAnsi="Times New Roman"/>
          <w:color w:val="000000" w:themeColor="text1"/>
          <w:sz w:val="16"/>
          <w:szCs w:val="16"/>
        </w:rPr>
        <w:t>, (1997-05.2006 г.)- А.П. Бобрышев, (06.2006-07 г.-)- Ф.А. Жданов.</w:t>
      </w:r>
    </w:p>
    <w:p w14:paraId="7D1902D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  Г.И. </w:t>
      </w:r>
      <w:proofErr w:type="spellStart"/>
      <w:r w:rsidRPr="007122AB">
        <w:rPr>
          <w:rFonts w:ascii="Times New Roman" w:hAnsi="Times New Roman"/>
          <w:color w:val="000000" w:themeColor="text1"/>
          <w:sz w:val="16"/>
          <w:szCs w:val="16"/>
        </w:rPr>
        <w:t>Визягин</w:t>
      </w:r>
      <w:proofErr w:type="spellEnd"/>
      <w:r w:rsidRPr="007122AB">
        <w:rPr>
          <w:rFonts w:ascii="Times New Roman" w:hAnsi="Times New Roman"/>
          <w:color w:val="000000" w:themeColor="text1"/>
          <w:sz w:val="16"/>
          <w:szCs w:val="16"/>
        </w:rPr>
        <w:t xml:space="preserve">; (06.1937 г.)- С.М. </w:t>
      </w:r>
      <w:proofErr w:type="spellStart"/>
      <w:r w:rsidRPr="007122AB">
        <w:rPr>
          <w:rFonts w:ascii="Times New Roman" w:hAnsi="Times New Roman"/>
          <w:color w:val="000000" w:themeColor="text1"/>
          <w:sz w:val="16"/>
          <w:szCs w:val="16"/>
        </w:rPr>
        <w:t>Лано</w:t>
      </w:r>
      <w:proofErr w:type="spellEnd"/>
      <w:r w:rsidRPr="007122AB">
        <w:rPr>
          <w:rFonts w:ascii="Times New Roman" w:hAnsi="Times New Roman"/>
          <w:color w:val="000000" w:themeColor="text1"/>
          <w:sz w:val="16"/>
          <w:szCs w:val="16"/>
        </w:rPr>
        <w:t xml:space="preserve">, (11.1941 г.)-А.Н. Тер-Маркарян. Зам. Гендиректора (1999 г.)- Н. Кушниренко, (2002 г.)- Ф.А. Жданов; по маркетингу (2006 г.)- Е.А. </w:t>
      </w:r>
      <w:proofErr w:type="spellStart"/>
      <w:r w:rsidRPr="007122AB">
        <w:rPr>
          <w:rFonts w:ascii="Times New Roman" w:hAnsi="Times New Roman"/>
          <w:color w:val="000000" w:themeColor="text1"/>
          <w:sz w:val="16"/>
          <w:szCs w:val="16"/>
        </w:rPr>
        <w:t>Елгаев</w:t>
      </w:r>
      <w:proofErr w:type="spellEnd"/>
      <w:r w:rsidRPr="007122AB">
        <w:rPr>
          <w:rFonts w:ascii="Times New Roman" w:hAnsi="Times New Roman"/>
          <w:color w:val="000000" w:themeColor="text1"/>
          <w:sz w:val="16"/>
          <w:szCs w:val="16"/>
        </w:rPr>
        <w:t>.</w:t>
      </w:r>
    </w:p>
    <w:p w14:paraId="438F26F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инженер (-06-11.12.1937 г.)- С.М. </w:t>
      </w:r>
      <w:proofErr w:type="spellStart"/>
      <w:r w:rsidRPr="007122AB">
        <w:rPr>
          <w:rFonts w:ascii="Times New Roman" w:hAnsi="Times New Roman"/>
          <w:color w:val="000000" w:themeColor="text1"/>
          <w:sz w:val="16"/>
          <w:szCs w:val="16"/>
        </w:rPr>
        <w:t>Лано</w:t>
      </w:r>
      <w:proofErr w:type="spellEnd"/>
      <w:r w:rsidRPr="007122AB">
        <w:rPr>
          <w:rFonts w:ascii="Times New Roman" w:hAnsi="Times New Roman"/>
          <w:color w:val="000000" w:themeColor="text1"/>
          <w:sz w:val="16"/>
          <w:szCs w:val="16"/>
        </w:rPr>
        <w:t xml:space="preserve">, (17.02.1938 г.-)- В.Р. Курош, (11.1941 г.)- А.Н. Тер-Маркарян, (1957 г.)- К.А. Грачев, (1965-67 г.)- </w:t>
      </w:r>
      <w:proofErr w:type="spellStart"/>
      <w:r w:rsidRPr="007122AB">
        <w:rPr>
          <w:rFonts w:ascii="Times New Roman" w:hAnsi="Times New Roman"/>
          <w:color w:val="000000" w:themeColor="text1"/>
          <w:sz w:val="16"/>
          <w:szCs w:val="16"/>
        </w:rPr>
        <w:t>Слуев</w:t>
      </w:r>
      <w:proofErr w:type="spellEnd"/>
      <w:r w:rsidRPr="007122AB">
        <w:rPr>
          <w:rFonts w:ascii="Times New Roman" w:hAnsi="Times New Roman"/>
          <w:color w:val="000000" w:themeColor="text1"/>
          <w:sz w:val="16"/>
          <w:szCs w:val="16"/>
        </w:rPr>
        <w:t xml:space="preserve">, (2006 г.)- Ю.Ф. </w:t>
      </w:r>
      <w:proofErr w:type="spellStart"/>
      <w:r w:rsidRPr="007122AB">
        <w:rPr>
          <w:rFonts w:ascii="Times New Roman" w:hAnsi="Times New Roman"/>
          <w:color w:val="000000" w:themeColor="text1"/>
          <w:sz w:val="16"/>
          <w:szCs w:val="16"/>
        </w:rPr>
        <w:t>Дачкин</w:t>
      </w:r>
      <w:proofErr w:type="spellEnd"/>
      <w:r w:rsidRPr="007122AB">
        <w:rPr>
          <w:rFonts w:ascii="Times New Roman" w:hAnsi="Times New Roman"/>
          <w:color w:val="000000" w:themeColor="text1"/>
          <w:sz w:val="16"/>
          <w:szCs w:val="16"/>
        </w:rPr>
        <w:t>.</w:t>
      </w:r>
    </w:p>
    <w:p w14:paraId="65D7579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Гл. конструктор (-8.02.1938 г.)- Виганд, (8.02.1938 г.-)- А.В. </w:t>
      </w:r>
      <w:proofErr w:type="spellStart"/>
      <w:r w:rsidRPr="007122AB">
        <w:rPr>
          <w:rFonts w:ascii="Times New Roman" w:hAnsi="Times New Roman"/>
          <w:color w:val="000000" w:themeColor="text1"/>
          <w:sz w:val="16"/>
          <w:szCs w:val="16"/>
        </w:rPr>
        <w:t>Сильванский</w:t>
      </w:r>
      <w:proofErr w:type="spellEnd"/>
      <w:r w:rsidRPr="007122AB">
        <w:rPr>
          <w:rFonts w:ascii="Times New Roman" w:hAnsi="Times New Roman"/>
          <w:color w:val="000000" w:themeColor="text1"/>
          <w:sz w:val="16"/>
          <w:szCs w:val="16"/>
        </w:rPr>
        <w:t>.</w:t>
      </w:r>
    </w:p>
    <w:p w14:paraId="1148A8C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 ЛИС-  Г.А. Вана г. Начальник управления маркетинга (-2000-01 г.-)- В. </w:t>
      </w:r>
      <w:proofErr w:type="spellStart"/>
      <w:r w:rsidRPr="007122AB">
        <w:rPr>
          <w:rFonts w:ascii="Times New Roman" w:hAnsi="Times New Roman"/>
          <w:color w:val="000000" w:themeColor="text1"/>
          <w:sz w:val="16"/>
          <w:szCs w:val="16"/>
        </w:rPr>
        <w:t>Салдаев</w:t>
      </w:r>
      <w:proofErr w:type="spellEnd"/>
      <w:r w:rsidRPr="007122AB">
        <w:rPr>
          <w:rFonts w:ascii="Times New Roman" w:hAnsi="Times New Roman"/>
          <w:color w:val="000000" w:themeColor="text1"/>
          <w:sz w:val="16"/>
          <w:szCs w:val="16"/>
        </w:rPr>
        <w:t>.</w:t>
      </w:r>
    </w:p>
    <w:p w14:paraId="2B7FC179"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Начальники отделов: транспортного (1947 г.)- В.А. Диденко; ОТиЗ (2007 г.)- С. </w:t>
      </w:r>
      <w:proofErr w:type="spellStart"/>
      <w:r w:rsidRPr="007122AB">
        <w:rPr>
          <w:rFonts w:ascii="Times New Roman" w:hAnsi="Times New Roman"/>
          <w:color w:val="000000" w:themeColor="text1"/>
          <w:sz w:val="16"/>
          <w:szCs w:val="16"/>
        </w:rPr>
        <w:t>Бурдяк</w:t>
      </w:r>
      <w:proofErr w:type="spellEnd"/>
      <w:r w:rsidRPr="007122AB">
        <w:rPr>
          <w:rFonts w:ascii="Times New Roman" w:hAnsi="Times New Roman"/>
          <w:color w:val="000000" w:themeColor="text1"/>
          <w:sz w:val="16"/>
          <w:szCs w:val="16"/>
        </w:rPr>
        <w:t>.</w:t>
      </w:r>
    </w:p>
    <w:p w14:paraId="5F2DF70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Летчики-испытатели: В.Т. Выломов, (-1949-51 г.-)- В.А. Диденко, (1954 г.)- В.А. Калинин, (1949 г.)- А. Пашкевич, Е.Н. </w:t>
      </w:r>
      <w:proofErr w:type="spellStart"/>
      <w:r w:rsidRPr="007122AB">
        <w:rPr>
          <w:rFonts w:ascii="Times New Roman" w:hAnsi="Times New Roman"/>
          <w:color w:val="000000" w:themeColor="text1"/>
          <w:sz w:val="16"/>
          <w:szCs w:val="16"/>
        </w:rPr>
        <w:t>Рудакас</w:t>
      </w:r>
      <w:proofErr w:type="spellEnd"/>
      <w:r w:rsidRPr="007122AB">
        <w:rPr>
          <w:rFonts w:ascii="Times New Roman" w:hAnsi="Times New Roman"/>
          <w:color w:val="000000" w:themeColor="text1"/>
          <w:sz w:val="16"/>
          <w:szCs w:val="16"/>
        </w:rPr>
        <w:t>, И.Ф. Сорокин.</w:t>
      </w:r>
    </w:p>
    <w:p w14:paraId="0169B61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7122AB">
        <w:rPr>
          <w:rFonts w:ascii="Times New Roman" w:hAnsi="Times New Roman"/>
          <w:color w:val="000000" w:themeColor="text1"/>
          <w:sz w:val="16"/>
          <w:szCs w:val="16"/>
          <w:lang w:val="en-US"/>
        </w:rPr>
        <w:t>RRJ</w:t>
      </w:r>
      <w:r w:rsidRPr="007122AB">
        <w:rPr>
          <w:rFonts w:ascii="Times New Roman" w:hAnsi="Times New Roman"/>
          <w:color w:val="000000" w:themeColor="text1"/>
          <w:sz w:val="16"/>
          <w:szCs w:val="16"/>
        </w:rPr>
        <w:t xml:space="preserve"> "</w:t>
      </w:r>
      <w:r w:rsidRPr="007122AB">
        <w:rPr>
          <w:rFonts w:ascii="Times New Roman" w:hAnsi="Times New Roman"/>
          <w:color w:val="000000" w:themeColor="text1"/>
          <w:sz w:val="16"/>
          <w:szCs w:val="16"/>
          <w:lang w:val="en-US"/>
        </w:rPr>
        <w:t>Superjet</w:t>
      </w:r>
      <w:r w:rsidRPr="007122AB">
        <w:rPr>
          <w:rFonts w:ascii="Times New Roman" w:hAnsi="Times New Roman"/>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4F7C145B"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625CC2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С 1931 по 1935 гг. группа студентов МАИ и учащихся ФЗУ имени Баумана (Ф. Курочкин, В. Голубев, А. Семенов и А. Зеленый, руководитель — Ф. Курочкин) занималась проектированием и постройкой глиссеров. Первый глиссер «Бауманец» (1931 г.) был построен на средства, выделенные Бауманским районным советом Осоавиахима. Этот же райсовет передал конструкторам для постройки глиссера гараж-сарай в Гороховом переулке. Для стоянки глиссера было выделено место на берегу Москвы-реки, в районе парка культуры им. Горького. Глиссер имел двухместную кабину. Двигатель «</w:t>
      </w:r>
      <w:proofErr w:type="spellStart"/>
      <w:r w:rsidRPr="007122AB">
        <w:rPr>
          <w:rFonts w:ascii="Times New Roman" w:hAnsi="Times New Roman"/>
          <w:color w:val="000000" w:themeColor="text1"/>
          <w:sz w:val="16"/>
          <w:szCs w:val="16"/>
        </w:rPr>
        <w:t>Анзани</w:t>
      </w:r>
      <w:proofErr w:type="spellEnd"/>
      <w:r w:rsidRPr="007122AB">
        <w:rPr>
          <w:rFonts w:ascii="Times New Roman" w:hAnsi="Times New Roman"/>
          <w:color w:val="000000" w:themeColor="text1"/>
          <w:sz w:val="16"/>
          <w:szCs w:val="16"/>
        </w:rPr>
        <w:t xml:space="preserve">» (25 л.с.) установлен на специальной </w:t>
      </w:r>
      <w:proofErr w:type="spellStart"/>
      <w:r w:rsidRPr="007122AB">
        <w:rPr>
          <w:rFonts w:ascii="Times New Roman" w:hAnsi="Times New Roman"/>
          <w:color w:val="000000" w:themeColor="text1"/>
          <w:sz w:val="16"/>
          <w:szCs w:val="16"/>
        </w:rPr>
        <w:t>мотораме</w:t>
      </w:r>
      <w:proofErr w:type="spellEnd"/>
      <w:r w:rsidRPr="007122AB">
        <w:rPr>
          <w:rFonts w:ascii="Times New Roman" w:hAnsi="Times New Roman"/>
          <w:color w:val="000000" w:themeColor="text1"/>
          <w:sz w:val="16"/>
          <w:szCs w:val="16"/>
        </w:rPr>
        <w:t>, сваренной из стальных труб. Скорость движения при выходе на редан — 35 км/ч. Недостатком конструкции была низкая (ниже ватерлинии) установка «жабр» по бокам лодки, предназначенных для увеличения поперечной остойчивости. «Жабры» при разгоне глиссера создавали большое гидродинамическое сопротивление, и требовалась значительная мощность для выведения глиссера на режим глиссирования. Для научного руководства работами по созданию следующего глиссера «АНИТО-МАИ-1» был приглашен один из специалистов-</w:t>
      </w:r>
      <w:proofErr w:type="spellStart"/>
      <w:r w:rsidRPr="007122AB">
        <w:rPr>
          <w:rFonts w:ascii="Times New Roman" w:hAnsi="Times New Roman"/>
          <w:color w:val="000000" w:themeColor="text1"/>
          <w:sz w:val="16"/>
          <w:szCs w:val="16"/>
        </w:rPr>
        <w:t>гидродинамиков</w:t>
      </w:r>
      <w:proofErr w:type="spellEnd"/>
      <w:r w:rsidRPr="007122AB">
        <w:rPr>
          <w:rFonts w:ascii="Times New Roman" w:hAnsi="Times New Roman"/>
          <w:color w:val="000000" w:themeColor="text1"/>
          <w:sz w:val="16"/>
          <w:szCs w:val="16"/>
        </w:rPr>
        <w:t xml:space="preserve">, работавших в </w:t>
      </w:r>
      <w:proofErr w:type="spellStart"/>
      <w:r w:rsidRPr="007122AB">
        <w:rPr>
          <w:rFonts w:ascii="Times New Roman" w:hAnsi="Times New Roman"/>
          <w:color w:val="000000" w:themeColor="text1"/>
          <w:sz w:val="16"/>
          <w:szCs w:val="16"/>
        </w:rPr>
        <w:t>гидрокоанале</w:t>
      </w:r>
      <w:proofErr w:type="spellEnd"/>
      <w:r w:rsidRPr="007122AB">
        <w:rPr>
          <w:rFonts w:ascii="Times New Roman" w:hAnsi="Times New Roman"/>
          <w:color w:val="000000" w:themeColor="text1"/>
          <w:sz w:val="16"/>
          <w:szCs w:val="16"/>
        </w:rPr>
        <w:t xml:space="preserve"> ЦАГИ. «АНИТО-МАИ-1» имел большой пассажирский салон. Двигатель «Сидней Пума» (400 л.с.) обеспечивал максимальную скорость движения на режиме глиссирования 92 км/ч. Недостатком конструкции была малая поперечная остойчивость, приведшая к опрокидыванию глиссера при резком развороте во время одного из испытаний. После постройки и испытаний глиссера «АНИТО-МАИ-1» в бригаде выделилось два направления. Группа студентов под руководством В. А. </w:t>
      </w:r>
      <w:proofErr w:type="spellStart"/>
      <w:r w:rsidRPr="007122AB">
        <w:rPr>
          <w:rFonts w:ascii="Times New Roman" w:hAnsi="Times New Roman"/>
          <w:color w:val="000000" w:themeColor="text1"/>
          <w:sz w:val="16"/>
          <w:szCs w:val="16"/>
        </w:rPr>
        <w:t>Гартвига</w:t>
      </w:r>
      <w:proofErr w:type="spellEnd"/>
      <w:r w:rsidRPr="007122AB">
        <w:rPr>
          <w:rFonts w:ascii="Times New Roman" w:hAnsi="Times New Roman"/>
          <w:color w:val="000000" w:themeColor="text1"/>
          <w:sz w:val="16"/>
          <w:szCs w:val="16"/>
        </w:rPr>
        <w:t xml:space="preserve"> </w:t>
      </w:r>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"YANDEX_1"</w:instrText>
      </w:r>
      <w:r w:rsidR="006E4804" w:rsidRPr="007122AB">
        <w:rPr>
          <w:rFonts w:ascii="Times New Roman" w:hAnsi="Times New Roman"/>
          <w:color w:val="000000" w:themeColor="text1"/>
          <w:sz w:val="16"/>
          <w:szCs w:val="16"/>
        </w:rPr>
        <w:instrText xml:space="preserve"> \* MERGEFORMAT </w:instrText>
      </w:r>
      <w:r w:rsidR="00BE7680" w:rsidRPr="007122AB">
        <w:rPr>
          <w:rFonts w:ascii="Times New Roman" w:hAnsi="Times New Roman"/>
          <w:color w:val="000000" w:themeColor="text1"/>
          <w:sz w:val="16"/>
          <w:szCs w:val="16"/>
        </w:rPr>
        <w:fldChar w:fldCharType="end"/>
      </w:r>
      <w:r w:rsidRPr="007122AB">
        <w:rPr>
          <w:rFonts w:ascii="Times New Roman" w:hAnsi="Times New Roman"/>
          <w:color w:val="000000" w:themeColor="text1"/>
          <w:sz w:val="16"/>
          <w:szCs w:val="16"/>
        </w:rPr>
        <w:t xml:space="preserve">и </w:t>
      </w:r>
      <w:proofErr w:type="spellStart"/>
      <w:r w:rsidRPr="007122AB">
        <w:rPr>
          <w:rFonts w:ascii="Times New Roman" w:hAnsi="Times New Roman"/>
          <w:color w:val="000000" w:themeColor="text1"/>
          <w:sz w:val="16"/>
          <w:szCs w:val="16"/>
        </w:rPr>
        <w:t>Бахрамова</w:t>
      </w:r>
      <w:proofErr w:type="spellEnd"/>
      <w:r w:rsidRPr="007122AB">
        <w:rPr>
          <w:rFonts w:ascii="Times New Roman" w:hAnsi="Times New Roman"/>
          <w:color w:val="000000" w:themeColor="text1"/>
          <w:sz w:val="16"/>
          <w:szCs w:val="16"/>
        </w:rPr>
        <w:t xml:space="preserve"> занялась созданием </w:t>
      </w:r>
      <w:proofErr w:type="spellStart"/>
      <w:r w:rsidRPr="007122AB">
        <w:rPr>
          <w:rFonts w:ascii="Times New Roman" w:hAnsi="Times New Roman"/>
          <w:color w:val="000000" w:themeColor="text1"/>
          <w:sz w:val="16"/>
          <w:szCs w:val="16"/>
        </w:rPr>
        <w:t>двухлодочных</w:t>
      </w:r>
      <w:proofErr w:type="spellEnd"/>
      <w:r w:rsidRPr="007122AB">
        <w:rPr>
          <w:rFonts w:ascii="Times New Roman" w:hAnsi="Times New Roman"/>
          <w:color w:val="000000" w:themeColor="text1"/>
          <w:sz w:val="16"/>
          <w:szCs w:val="16"/>
        </w:rPr>
        <w:t xml:space="preserve"> глиссеров-катамаранов. Другая группа в составе В. Голубева, В. </w:t>
      </w:r>
      <w:proofErr w:type="spellStart"/>
      <w:r w:rsidRPr="007122AB">
        <w:rPr>
          <w:rFonts w:ascii="Times New Roman" w:hAnsi="Times New Roman"/>
          <w:color w:val="000000" w:themeColor="text1"/>
          <w:sz w:val="16"/>
          <w:szCs w:val="16"/>
        </w:rPr>
        <w:t>Лашкина</w:t>
      </w:r>
      <w:proofErr w:type="spellEnd"/>
      <w:r w:rsidRPr="007122AB">
        <w:rPr>
          <w:rFonts w:ascii="Times New Roman" w:hAnsi="Times New Roman"/>
          <w:color w:val="000000" w:themeColor="text1"/>
          <w:sz w:val="16"/>
          <w:szCs w:val="16"/>
        </w:rPr>
        <w:t xml:space="preserve">, Ф. Курочкина, Н. </w:t>
      </w:r>
      <w:proofErr w:type="spellStart"/>
      <w:r w:rsidRPr="007122AB">
        <w:rPr>
          <w:rFonts w:ascii="Times New Roman" w:hAnsi="Times New Roman"/>
          <w:color w:val="000000" w:themeColor="text1"/>
          <w:sz w:val="16"/>
          <w:szCs w:val="16"/>
        </w:rPr>
        <w:t>Мистрюкова</w:t>
      </w:r>
      <w:proofErr w:type="spellEnd"/>
      <w:r w:rsidRPr="007122AB">
        <w:rPr>
          <w:rFonts w:ascii="Times New Roman" w:hAnsi="Times New Roman"/>
          <w:color w:val="000000" w:themeColor="text1"/>
          <w:sz w:val="16"/>
          <w:szCs w:val="16"/>
        </w:rPr>
        <w:t xml:space="preserve"> и столяра УПМ Л. Г. Громова (руководитель Ф. Курочкин) приступила в 1933—1934 гг. к созданию </w:t>
      </w:r>
      <w:proofErr w:type="spellStart"/>
      <w:r w:rsidRPr="007122AB">
        <w:rPr>
          <w:rFonts w:ascii="Times New Roman" w:hAnsi="Times New Roman"/>
          <w:color w:val="000000" w:themeColor="text1"/>
          <w:sz w:val="16"/>
          <w:szCs w:val="16"/>
        </w:rPr>
        <w:t>однолодочного</w:t>
      </w:r>
      <w:proofErr w:type="spellEnd"/>
      <w:r w:rsidRPr="007122AB">
        <w:rPr>
          <w:rFonts w:ascii="Times New Roman" w:hAnsi="Times New Roman"/>
          <w:color w:val="000000" w:themeColor="text1"/>
          <w:sz w:val="16"/>
          <w:szCs w:val="16"/>
        </w:rPr>
        <w:t xml:space="preserve"> глиссера «АНИТО-МАИ-2». В конструкции нового четырехместного глиссера был учтен опыт постройки первых двух аппаратов, и для увеличения остойчивости применены V-образные рули, создающие стабилизирующий момент. Двигатель «Холл-Скот» (240 л.с.) был установлен сверху на специальной раме позади кабины. Диаметр винта 3,2 м. Конструкция глиссера — цельнодеревянная. Для обеспечения остойчивости при разворотах V-образные рули имели развал в 80 градусов. Рули работали следующим образом. Если при развороте под действием центробежных сил возникал крен вправо, то левый руль создавал силу, направленную вниз, а правый — вверх. Этого момента было вполне достаточно, чтобы глиссер не только не опрокидывался во внешнюю сторону циркуляции, а даже наклонялся вовнутрь. Аналогично осуществлялся и разворот в противоположную сторону. Глиссер имел хорошие ходовые качества. Максимальная скорость движения 80 км/ч. В АНИТО-МАИ был построен еще один глиссер с воздушным винтом «АНИТО-МАИ-3». Глиссер имел двухместную кабину. Двигатель «</w:t>
      </w:r>
      <w:proofErr w:type="spellStart"/>
      <w:r w:rsidRPr="007122AB">
        <w:rPr>
          <w:rFonts w:ascii="Times New Roman" w:hAnsi="Times New Roman"/>
          <w:color w:val="000000" w:themeColor="text1"/>
          <w:sz w:val="16"/>
          <w:szCs w:val="16"/>
        </w:rPr>
        <w:t>Анзани</w:t>
      </w:r>
      <w:proofErr w:type="spellEnd"/>
      <w:r w:rsidRPr="007122AB">
        <w:rPr>
          <w:rFonts w:ascii="Times New Roman" w:hAnsi="Times New Roman"/>
          <w:color w:val="000000" w:themeColor="text1"/>
          <w:sz w:val="16"/>
          <w:szCs w:val="16"/>
        </w:rPr>
        <w:t xml:space="preserve">» (25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xml:space="preserve">), снятый с глиссера «Бауманец», располагался на кормовой части палубы. С помощью удлиненного вала мощность </w:t>
      </w:r>
      <w:r w:rsidRPr="007122AB">
        <w:rPr>
          <w:rFonts w:ascii="Times New Roman" w:hAnsi="Times New Roman"/>
          <w:color w:val="000000" w:themeColor="text1"/>
          <w:sz w:val="16"/>
          <w:szCs w:val="16"/>
        </w:rPr>
        <w:lastRenderedPageBreak/>
        <w:t xml:space="preserve">передавалась на угловой редуктор и затем на воздушный винт. Такое положение двигателя уменьшило расстояние от центра тяжести глиссера до ватерлинии, а применение косых рулей (как на глиссере «АНИТО-МАИ-2») обеспечило хорошую остойчивость и управляемость при резких разворотах. Глиссер легко выходил на редан и допускал резкие развороты на крейсерской скорости. Максимальная скорость движения в режиме глиссирования 45...50 км/ч. Группой АНИТО-МАИ (В. </w:t>
      </w:r>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"YANDEX_0"</w:instrText>
      </w:r>
      <w:r w:rsidR="006E4804" w:rsidRPr="007122AB">
        <w:rPr>
          <w:rFonts w:ascii="Times New Roman" w:hAnsi="Times New Roman"/>
          <w:color w:val="000000" w:themeColor="text1"/>
          <w:sz w:val="16"/>
          <w:szCs w:val="16"/>
        </w:rPr>
        <w:instrText xml:space="preserve"> \* MERGEFORMAT </w:instrText>
      </w:r>
      <w:r w:rsidR="00BE7680" w:rsidRPr="007122AB">
        <w:rPr>
          <w:rFonts w:ascii="Times New Roman" w:hAnsi="Times New Roman"/>
          <w:color w:val="000000" w:themeColor="text1"/>
          <w:sz w:val="16"/>
          <w:szCs w:val="16"/>
        </w:rPr>
        <w:fldChar w:fldCharType="end"/>
      </w:r>
      <w:proofErr w:type="spellStart"/>
      <w:r w:rsidRPr="007122AB">
        <w:rPr>
          <w:rFonts w:ascii="Times New Roman" w:hAnsi="Times New Roman"/>
          <w:color w:val="000000" w:themeColor="text1"/>
          <w:sz w:val="16"/>
          <w:szCs w:val="16"/>
        </w:rPr>
        <w:t>Гартвиг</w:t>
      </w:r>
      <w:proofErr w:type="spellEnd"/>
      <w:r w:rsidRPr="007122AB">
        <w:rPr>
          <w:rFonts w:ascii="Times New Roman" w:hAnsi="Times New Roman"/>
          <w:color w:val="000000" w:themeColor="text1"/>
          <w:sz w:val="16"/>
          <w:szCs w:val="16"/>
        </w:rPr>
        <w:t xml:space="preserve"> </w:t>
      </w:r>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"YANDEX_2"</w:instrText>
      </w:r>
      <w:r w:rsidR="006E4804" w:rsidRPr="007122AB">
        <w:rPr>
          <w:rFonts w:ascii="Times New Roman" w:hAnsi="Times New Roman"/>
          <w:color w:val="000000" w:themeColor="text1"/>
          <w:sz w:val="16"/>
          <w:szCs w:val="16"/>
        </w:rPr>
        <w:instrText xml:space="preserve"> \* MERGEFORMAT </w:instrText>
      </w:r>
      <w:r w:rsidR="00BE7680" w:rsidRPr="007122AB">
        <w:rPr>
          <w:rFonts w:ascii="Times New Roman" w:hAnsi="Times New Roman"/>
          <w:color w:val="000000" w:themeColor="text1"/>
          <w:sz w:val="16"/>
          <w:szCs w:val="16"/>
        </w:rPr>
        <w:fldChar w:fldCharType="end"/>
      </w:r>
      <w:r w:rsidRPr="007122AB">
        <w:rPr>
          <w:rFonts w:ascii="Times New Roman" w:hAnsi="Times New Roman"/>
          <w:color w:val="000000" w:themeColor="text1"/>
          <w:sz w:val="16"/>
          <w:szCs w:val="16"/>
        </w:rPr>
        <w:t xml:space="preserve">, Л. </w:t>
      </w:r>
      <w:proofErr w:type="spellStart"/>
      <w:r w:rsidRPr="007122AB">
        <w:rPr>
          <w:rFonts w:ascii="Times New Roman" w:hAnsi="Times New Roman"/>
          <w:color w:val="000000" w:themeColor="text1"/>
          <w:sz w:val="16"/>
          <w:szCs w:val="16"/>
        </w:rPr>
        <w:t>Асриев</w:t>
      </w:r>
      <w:proofErr w:type="spellEnd"/>
      <w:r w:rsidRPr="007122AB">
        <w:rPr>
          <w:rFonts w:ascii="Times New Roman" w:hAnsi="Times New Roman"/>
          <w:color w:val="000000" w:themeColor="text1"/>
          <w:sz w:val="16"/>
          <w:szCs w:val="16"/>
        </w:rPr>
        <w:t xml:space="preserve">, В. </w:t>
      </w:r>
      <w:proofErr w:type="spellStart"/>
      <w:r w:rsidRPr="007122AB">
        <w:rPr>
          <w:rFonts w:ascii="Times New Roman" w:hAnsi="Times New Roman"/>
          <w:color w:val="000000" w:themeColor="text1"/>
          <w:sz w:val="16"/>
          <w:szCs w:val="16"/>
        </w:rPr>
        <w:t>Борог</w:t>
      </w:r>
      <w:proofErr w:type="spellEnd"/>
      <w:r w:rsidRPr="007122AB">
        <w:rPr>
          <w:rFonts w:ascii="Times New Roman" w:hAnsi="Times New Roman"/>
          <w:color w:val="000000" w:themeColor="text1"/>
          <w:sz w:val="16"/>
          <w:szCs w:val="16"/>
        </w:rPr>
        <w:t xml:space="preserve"> и Г. Иванов) был спроектирован, построен и испытан на Москве-реке в 1931—1932 гг. вариант </w:t>
      </w:r>
      <w:proofErr w:type="spellStart"/>
      <w:r w:rsidRPr="007122AB">
        <w:rPr>
          <w:rFonts w:ascii="Times New Roman" w:hAnsi="Times New Roman"/>
          <w:color w:val="000000" w:themeColor="text1"/>
          <w:sz w:val="16"/>
          <w:szCs w:val="16"/>
        </w:rPr>
        <w:t>аэроглиссера</w:t>
      </w:r>
      <w:proofErr w:type="spellEnd"/>
      <w:r w:rsidRPr="007122AB">
        <w:rPr>
          <w:rFonts w:ascii="Times New Roman" w:hAnsi="Times New Roman"/>
          <w:color w:val="000000" w:themeColor="text1"/>
          <w:sz w:val="16"/>
          <w:szCs w:val="16"/>
        </w:rPr>
        <w:t xml:space="preserve"> с трехцилиндровым двигателем воздушного охлаждения «Грин» (35 </w:t>
      </w:r>
      <w:proofErr w:type="spellStart"/>
      <w:r w:rsidRPr="007122AB">
        <w:rPr>
          <w:rFonts w:ascii="Times New Roman" w:hAnsi="Times New Roman"/>
          <w:color w:val="000000" w:themeColor="text1"/>
          <w:sz w:val="16"/>
          <w:szCs w:val="16"/>
        </w:rPr>
        <w:t>л.с</w:t>
      </w:r>
      <w:proofErr w:type="spellEnd"/>
      <w:r w:rsidRPr="007122AB">
        <w:rPr>
          <w:rFonts w:ascii="Times New Roman" w:hAnsi="Times New Roman"/>
          <w:color w:val="000000" w:themeColor="text1"/>
          <w:sz w:val="16"/>
          <w:szCs w:val="16"/>
        </w:rPr>
        <w:t xml:space="preserve">), установленным на палубе. Мощность от двигателя передавалась с помощью углового редуктора на воздушный винт большого диаметра, установленный на угловой колонке редуктора. Испытания глиссера показали, что при больших оборотах двигателя тяга винта недостаточна. Для консультации пригласили А. Н. Туполева. Он охотно приехал на испытательную базу и сразу же заметил неправильность в установке лопастей винта. После устранения дефекта </w:t>
      </w:r>
      <w:proofErr w:type="spellStart"/>
      <w:r w:rsidRPr="007122AB">
        <w:rPr>
          <w:rFonts w:ascii="Times New Roman" w:hAnsi="Times New Roman"/>
          <w:color w:val="000000" w:themeColor="text1"/>
          <w:sz w:val="16"/>
          <w:szCs w:val="16"/>
        </w:rPr>
        <w:t>аэроглиссер</w:t>
      </w:r>
      <w:proofErr w:type="spellEnd"/>
      <w:r w:rsidRPr="007122AB">
        <w:rPr>
          <w:rFonts w:ascii="Times New Roman" w:hAnsi="Times New Roman"/>
          <w:color w:val="000000" w:themeColor="text1"/>
          <w:sz w:val="16"/>
          <w:szCs w:val="16"/>
        </w:rPr>
        <w:t xml:space="preserve"> показал расчетную скорость. В 1932 г. этот глиссер обслуживал районный парк культуры и отдыха. Впоследствии В. А. </w:t>
      </w:r>
      <w:r w:rsidR="00BE7680" w:rsidRPr="007122AB">
        <w:rPr>
          <w:rFonts w:ascii="Times New Roman" w:hAnsi="Times New Roman"/>
          <w:color w:val="000000" w:themeColor="text1"/>
          <w:sz w:val="16"/>
          <w:szCs w:val="16"/>
        </w:rPr>
        <w:fldChar w:fldCharType="begin"/>
      </w:r>
      <w:r w:rsidRPr="007122AB">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"YANDEX_1"</w:instrText>
      </w:r>
      <w:r w:rsidR="006E4804" w:rsidRPr="007122AB">
        <w:rPr>
          <w:rFonts w:ascii="Times New Roman" w:hAnsi="Times New Roman"/>
          <w:color w:val="000000" w:themeColor="text1"/>
          <w:sz w:val="16"/>
          <w:szCs w:val="16"/>
        </w:rPr>
        <w:instrText xml:space="preserve"> \* MERGEFORMAT </w:instrText>
      </w:r>
      <w:r w:rsidR="00BE7680" w:rsidRPr="007122AB">
        <w:rPr>
          <w:rFonts w:ascii="Times New Roman" w:hAnsi="Times New Roman"/>
          <w:color w:val="000000" w:themeColor="text1"/>
          <w:sz w:val="16"/>
          <w:szCs w:val="16"/>
        </w:rPr>
        <w:fldChar w:fldCharType="end"/>
      </w:r>
      <w:proofErr w:type="spellStart"/>
      <w:r w:rsidRPr="007122AB">
        <w:rPr>
          <w:rFonts w:ascii="Times New Roman" w:hAnsi="Times New Roman"/>
          <w:color w:val="000000" w:themeColor="text1"/>
          <w:sz w:val="16"/>
          <w:szCs w:val="16"/>
        </w:rPr>
        <w:t>Гартвигом</w:t>
      </w:r>
      <w:proofErr w:type="spellEnd"/>
      <w:r w:rsidRPr="007122AB">
        <w:rPr>
          <w:rFonts w:ascii="Times New Roman" w:hAnsi="Times New Roman"/>
          <w:color w:val="000000" w:themeColor="text1"/>
          <w:sz w:val="16"/>
          <w:szCs w:val="16"/>
        </w:rPr>
        <w:t xml:space="preserve"> был создан целый ряд быстроходных глиссеров, которые обеспечивали перед войной пассажирские перевозки между городами Черноморского побережья. В 1935 г. был разработан проект четырехместного </w:t>
      </w:r>
      <w:proofErr w:type="spellStart"/>
      <w:r w:rsidRPr="007122AB">
        <w:rPr>
          <w:rFonts w:ascii="Times New Roman" w:hAnsi="Times New Roman"/>
          <w:color w:val="000000" w:themeColor="text1"/>
          <w:sz w:val="16"/>
          <w:szCs w:val="16"/>
        </w:rPr>
        <w:t>аэроглиссера</w:t>
      </w:r>
      <w:proofErr w:type="spellEnd"/>
      <w:r w:rsidRPr="007122AB">
        <w:rPr>
          <w:rFonts w:ascii="Times New Roman" w:hAnsi="Times New Roman"/>
          <w:color w:val="000000" w:themeColor="text1"/>
          <w:sz w:val="16"/>
          <w:szCs w:val="16"/>
        </w:rPr>
        <w:t xml:space="preserve"> «АНИТО-МАИ-4». Он имел цельнодеревянную конструкцию, двигатель в 150 л.с. обеспечивал максимальную скорость 75 км/ч. Для увеличения гидродинамического качества и остойчивости глиссер был оснащен «жабрами» по нижней части корпуса.</w:t>
      </w:r>
    </w:p>
    <w:p w14:paraId="5315414A"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Деятельность АНИТО-МАИ оказала большое влияние на развитие творческой инициативы студентов. Дипломники Грушин, </w:t>
      </w:r>
      <w:proofErr w:type="spellStart"/>
      <w:r w:rsidRPr="007122AB">
        <w:rPr>
          <w:rFonts w:ascii="Times New Roman" w:hAnsi="Times New Roman"/>
          <w:color w:val="000000" w:themeColor="text1"/>
          <w:sz w:val="16"/>
          <w:szCs w:val="16"/>
        </w:rPr>
        <w:t>Бабад</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Маракозов</w:t>
      </w:r>
      <w:proofErr w:type="spellEnd"/>
      <w:r w:rsidRPr="007122AB">
        <w:rPr>
          <w:rFonts w:ascii="Times New Roman" w:hAnsi="Times New Roman"/>
          <w:color w:val="000000" w:themeColor="text1"/>
          <w:sz w:val="16"/>
          <w:szCs w:val="16"/>
        </w:rPr>
        <w:t xml:space="preserve"> разработали проект тренировочного самолета, который получил премию на Всесоюзном конкурсе по легкомоторным самолетам (1931г.) М. Шульженко, В. </w:t>
      </w:r>
      <w:proofErr w:type="spellStart"/>
      <w:r w:rsidRPr="007122AB">
        <w:rPr>
          <w:rFonts w:ascii="Times New Roman" w:hAnsi="Times New Roman"/>
          <w:color w:val="000000" w:themeColor="text1"/>
          <w:sz w:val="16"/>
          <w:szCs w:val="16"/>
        </w:rPr>
        <w:t>Борог</w:t>
      </w:r>
      <w:proofErr w:type="spellEnd"/>
      <w:r w:rsidRPr="007122AB">
        <w:rPr>
          <w:rFonts w:ascii="Times New Roman" w:hAnsi="Times New Roman"/>
          <w:color w:val="000000" w:themeColor="text1"/>
          <w:sz w:val="16"/>
          <w:szCs w:val="16"/>
        </w:rPr>
        <w:t xml:space="preserve"> и В. </w:t>
      </w:r>
      <w:proofErr w:type="spellStart"/>
      <w:r w:rsidRPr="007122AB">
        <w:rPr>
          <w:rFonts w:ascii="Times New Roman" w:hAnsi="Times New Roman"/>
          <w:color w:val="000000" w:themeColor="text1"/>
          <w:sz w:val="16"/>
          <w:szCs w:val="16"/>
        </w:rPr>
        <w:t>Полбийцев</w:t>
      </w:r>
      <w:proofErr w:type="spellEnd"/>
      <w:r w:rsidRPr="007122AB">
        <w:rPr>
          <w:rFonts w:ascii="Times New Roman" w:hAnsi="Times New Roman"/>
          <w:color w:val="000000" w:themeColor="text1"/>
          <w:sz w:val="16"/>
          <w:szCs w:val="16"/>
        </w:rPr>
        <w:t xml:space="preserve"> создали проект почтово-</w:t>
      </w:r>
      <w:proofErr w:type="spellStart"/>
      <w:r w:rsidRPr="007122AB">
        <w:rPr>
          <w:rFonts w:ascii="Times New Roman" w:hAnsi="Times New Roman"/>
          <w:color w:val="000000" w:themeColor="text1"/>
          <w:sz w:val="16"/>
          <w:szCs w:val="16"/>
        </w:rPr>
        <w:t>пассажирекого</w:t>
      </w:r>
      <w:proofErr w:type="spellEnd"/>
      <w:r w:rsidRPr="007122AB">
        <w:rPr>
          <w:rFonts w:ascii="Times New Roman" w:hAnsi="Times New Roman"/>
          <w:color w:val="000000" w:themeColor="text1"/>
          <w:sz w:val="16"/>
          <w:szCs w:val="16"/>
        </w:rPr>
        <w:t xml:space="preserve"> самолета «СПК-3 МАИ», имевшего скорость полета 450 км/ч. Этот проект, представленный на Всесоюзный конкурс, получил высшую премию Всесоюзного научно-технического общества. Творческую деятельность студентов-кружковцев приветствовали и всесторонне поддерживали авиационные предприятия и заводы. Так, стройматериалы, различные узлы и детали (штурвалы, тросы, ролики, кронштейны и др.) для изготовления </w:t>
      </w:r>
      <w:proofErr w:type="spellStart"/>
      <w:r w:rsidRPr="007122AB">
        <w:rPr>
          <w:rFonts w:ascii="Times New Roman" w:hAnsi="Times New Roman"/>
          <w:color w:val="000000" w:themeColor="text1"/>
          <w:sz w:val="16"/>
          <w:szCs w:val="16"/>
        </w:rPr>
        <w:t>аэроглиссеров</w:t>
      </w:r>
      <w:proofErr w:type="spellEnd"/>
      <w:r w:rsidRPr="007122AB">
        <w:rPr>
          <w:rFonts w:ascii="Times New Roman" w:hAnsi="Times New Roman"/>
          <w:color w:val="000000" w:themeColor="text1"/>
          <w:sz w:val="16"/>
          <w:szCs w:val="16"/>
        </w:rPr>
        <w:t xml:space="preserve"> были выделены заводами. В АНИТО-МАИ было спроектировано и построено несколько типов аэросаней. Этим видом транспорта в ту пору пользовались не только на севере страны, но и в районах средних широт. Заслуживает внимания работа П. И. </w:t>
      </w:r>
      <w:proofErr w:type="spellStart"/>
      <w:r w:rsidRPr="007122AB">
        <w:rPr>
          <w:rFonts w:ascii="Times New Roman" w:hAnsi="Times New Roman"/>
          <w:color w:val="000000" w:themeColor="text1"/>
          <w:sz w:val="16"/>
          <w:szCs w:val="16"/>
        </w:rPr>
        <w:t>Экономова</w:t>
      </w:r>
      <w:proofErr w:type="spellEnd"/>
      <w:r w:rsidRPr="007122AB">
        <w:rPr>
          <w:rFonts w:ascii="Times New Roman" w:hAnsi="Times New Roman"/>
          <w:color w:val="000000" w:themeColor="text1"/>
          <w:sz w:val="16"/>
          <w:szCs w:val="16"/>
        </w:rPr>
        <w:t xml:space="preserve"> (он работал на авиационном заводе столяром, а в 1935 г. без отрыва от производства окончил МАИ). Еще в 1930 г. П. Экономов изобрел самопуск для двигателей. С 1936 г. он начал строить летательный аппарат собственной конструкции — разновидность соосного автожира с двумя двухлопастными несущими винтами. Лопасти диаметром около 22 м были трапециевидной формы в плане, с толстым профилем большой кривизны. На лопастях имелись элероны. Четыре двигателя с тянущими винтами обеспечивали горизонтальный полет. Этот проект, далеко не совершенный и даже несколько примитивный, все же был смелым экспериментом в то время, когда с автожирами проводились лишь первые опыты. С середины 30-х годов на протяжении ряда лет существовало мнение, что для достижения больших скоростей полета необходимо иметь чистую форму фюзеляжа, без выступающего фонаря кабины пилота. При этом предполагалось расположить летчика горизонтально, обеспечив ему обзор и возможность управления самолетом в столь непривычном положении. Горизонтальное положение пилота позволяло также уменьшить влияние перегрузок, действующих на организм летчика. Был спроектирован и изготовлен экспериментальный стенд для изучения в лабораторных условиях оптимальных вариантов размещения летчика, расположения приборной доски и рычагов управления. Кроме указанных работ, в АНИТО-МАИ по заданию Аэрофлота спроектировано и разработано специальное колесное шасси. Для Геофизического института спроектировано несколько привязных аэростатов змейкового типа. Бригадой АНИТО-МАИ, в которую вошли сотрудники института Е. Ефимов и А. Бахрамов, разработано и изготовлено лыжно-колесное шасси в соответствии с условиями конкурса ГУ ГВФ. Устройство нового шасси состояло из лыж, которые надевались на колеса. Для управления перемещением лыж в кабине пилота устанавливалась ручка, при вращении которой с помощью гибкого вала лыжи поднимались или опускались относительно осей колес, что позволяло производить посадку на лыжи или на колеса в зависимости от условий посадки (12075).</w:t>
      </w:r>
    </w:p>
    <w:p w14:paraId="7176A74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FFBF7C7"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Другие оборонные отрасли:</w:t>
      </w:r>
    </w:p>
    <w:p w14:paraId="305D74EC"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1D0B4508" w14:textId="77777777" w:rsidR="00CC65A3" w:rsidRPr="007122AB" w:rsidRDefault="00CC65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1931 — 1932 гг. на </w:t>
      </w:r>
      <w:proofErr w:type="spellStart"/>
      <w:r w:rsidRPr="007122AB">
        <w:rPr>
          <w:rFonts w:ascii="Times New Roman" w:hAnsi="Times New Roman"/>
          <w:color w:val="000000" w:themeColor="text1"/>
          <w:sz w:val="16"/>
          <w:szCs w:val="16"/>
        </w:rPr>
        <w:t>НИАПе</w:t>
      </w:r>
      <w:proofErr w:type="spellEnd"/>
      <w:r w:rsidRPr="007122AB">
        <w:rPr>
          <w:rFonts w:ascii="Times New Roman" w:hAnsi="Times New Roman"/>
          <w:color w:val="000000" w:themeColor="text1"/>
          <w:sz w:val="16"/>
          <w:szCs w:val="16"/>
        </w:rPr>
        <w:t xml:space="preserve"> АНИИ в Ленинграде и на полигоне ВОХИМУ (Кузьминки) были первые успешные стрельбы ТТ (такое наименование в то время было присвоено ракетам) навесным огнем на короткие дистанции (300 — 1800 м), после чего командованием УММ было принято решение об их установке на </w:t>
      </w:r>
      <w:hyperlink r:id="rId23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и. Всего на основании ТТТ в научно-исследовательском отделе (НИО) ВАММ военным инженером 2 ранга Тверским было разработано два проекта ракетного вооружения </w:t>
      </w:r>
      <w:hyperlink r:id="rId23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установка 250-кг ТТ и спаренная установка 250-кг ТТ на </w:t>
      </w:r>
      <w:hyperlink r:id="rId23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е БТ-5. Более удачным был признан второй вариант проекта легкого колесно-гусеничного ракетного </w:t>
      </w:r>
      <w:hyperlink r:id="rId237"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получившего наименование РБТ-5. Этим проектом, разработанным Тверским в конце 1933 г., в качестве дополнительного вооружения </w:t>
      </w:r>
      <w:hyperlink r:id="rId238"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предусматривалась установка двух 250-кг ТТ. Опытный образец установки был изготовлен на московском заводе № 37, а ее монтаж на опытный </w:t>
      </w:r>
      <w:hyperlink r:id="rId239"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 БТ-5 был осуществлен уже на ХПЗ. Танк РБТ-5 отличался от серийного </w:t>
      </w:r>
      <w:hyperlink r:id="rId240"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БТ-5 размещением снаружи башни двух установок для пуска 250-кг ТТ (ракет) с сохранением основного оружия — 45-мм </w:t>
      </w:r>
      <w:hyperlink r:id="rId241"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овой пушки. Клепаная конструкция пусковой установки была выполнена по типу фермы, собранной из швеллеров. Каждая ракета хвостовой частью устанавливалась в направляющую втулку и автоматически стопорилась. Уравновешивание установки осуществлялось с помощью специального пружинного механизма. Перед пуском ракеты на поражение производилась предварительная пристрелка цели из 45-мм штатной пушкой и с помощью переходных таблиц вводился поправочный коэффициент в вертикальные углы наведения установки.</w:t>
      </w:r>
    </w:p>
    <w:p w14:paraId="546413B4" w14:textId="77777777" w:rsidR="00CC65A3" w:rsidRPr="007122AB" w:rsidRDefault="00CC65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Наведение установки в вертикальной плоскости осуществлялось изнутри машины с помощью рукоятки специального подъемного механизма, имевшего две передачи. В горизонтальной плоскости наведение обеспечивалось поворотом башни. Максимальный угол возвышения, составлявший 48°, позволял поражать различные цели на дальности до 1500 м. Выстрел производился с помощью </w:t>
      </w:r>
      <w:proofErr w:type="spellStart"/>
      <w:r w:rsidRPr="007122AB">
        <w:rPr>
          <w:rFonts w:ascii="Times New Roman" w:hAnsi="Times New Roman"/>
          <w:color w:val="000000" w:themeColor="text1"/>
          <w:sz w:val="16"/>
          <w:szCs w:val="16"/>
        </w:rPr>
        <w:t>электрозапала</w:t>
      </w:r>
      <w:proofErr w:type="spellEnd"/>
      <w:r w:rsidRPr="007122AB">
        <w:rPr>
          <w:rFonts w:ascii="Times New Roman" w:hAnsi="Times New Roman"/>
          <w:color w:val="000000" w:themeColor="text1"/>
          <w:sz w:val="16"/>
          <w:szCs w:val="16"/>
        </w:rPr>
        <w:t>. Ракета длиной 1805 мм и диаметром 420 мм состояла из головной части с зарядом взрывчатого вещества (ВВ) (130 кг) и хвостовой части с реактивным зарядом (13,5 кг).</w:t>
      </w:r>
    </w:p>
    <w:p w14:paraId="1E54CB64" w14:textId="77777777" w:rsidR="00CC65A3" w:rsidRPr="007122AB" w:rsidRDefault="00CC65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Для подрыва ВВ использовались взрыватели от авиационных бомб (мгновенного и замедленного действия). Головная часть взрывателя для защиты от поражения пулями и осколками имела броневой колпак. Малая дальность стрельбы, низкая вероятность поражения цели и высокая уязвимость от пуль и осколков послужили причиной прекращения дальнейших работ над совершенствованием </w:t>
      </w:r>
      <w:hyperlink r:id="rId242"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а РБТ-5. В августе — декабре 1934 г. также велись работы по установке на </w:t>
      </w:r>
      <w:hyperlink r:id="rId243"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е 100-кг (на иллюстрации) и 300-кг торпед.</w:t>
      </w:r>
    </w:p>
    <w:p w14:paraId="360B7D7E" w14:textId="77777777" w:rsidR="00CC65A3" w:rsidRPr="007122AB" w:rsidRDefault="00CC65A3" w:rsidP="007122AB">
      <w:pPr>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Танковая торпеда и пусковая установка не были полностью отработаны, они имели ряд конструктивных недоработок. В тоже время ТТ имела малую дальность стрельбы, низкую вероятность поражения цели и высокую уязвимость от пуль и осколков. Эти причины послужили основанием на прекращение дальнейших работ над </w:t>
      </w:r>
      <w:hyperlink r:id="rId244"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ом РБТ-5 и ТТ. Результаты работ по </w:t>
      </w:r>
      <w:hyperlink r:id="rId245"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 xml:space="preserve">у РБТ-5 легли в основу новых ТТТ предъявляемых к ракетным </w:t>
      </w:r>
      <w:hyperlink r:id="rId246" w:tgtFrame="_blank" w:history="1">
        <w:r w:rsidRPr="007122AB">
          <w:rPr>
            <w:rFonts w:ascii="Times New Roman" w:hAnsi="Times New Roman"/>
            <w:color w:val="000000" w:themeColor="text1"/>
            <w:sz w:val="16"/>
            <w:szCs w:val="16"/>
          </w:rPr>
          <w:t>танк</w:t>
        </w:r>
      </w:hyperlink>
      <w:r w:rsidRPr="007122AB">
        <w:rPr>
          <w:rFonts w:ascii="Times New Roman" w:hAnsi="Times New Roman"/>
          <w:color w:val="000000" w:themeColor="text1"/>
          <w:sz w:val="16"/>
          <w:szCs w:val="16"/>
        </w:rPr>
        <w:t>ам, утвержденных начальником НТО АБТУ РККА 29 января 1935 г. (15628).</w:t>
      </w:r>
    </w:p>
    <w:p w14:paraId="71DA0D28" w14:textId="77777777" w:rsidR="00CC65A3" w:rsidRPr="007122AB" w:rsidRDefault="00CC65A3" w:rsidP="007122AB">
      <w:pPr>
        <w:spacing w:after="0" w:line="240" w:lineRule="auto"/>
        <w:jc w:val="both"/>
        <w:rPr>
          <w:rFonts w:ascii="Times New Roman" w:hAnsi="Times New Roman"/>
          <w:color w:val="000000" w:themeColor="text1"/>
          <w:sz w:val="16"/>
          <w:szCs w:val="16"/>
        </w:rPr>
      </w:pPr>
    </w:p>
    <w:p w14:paraId="0C5B3D4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1931-1932 годах использовалась фугасная граната чертежа 4139.</w:t>
      </w:r>
    </w:p>
    <w:p w14:paraId="234B9C53"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Для гранаты чертежа 4139 к 21 августа 1932 года были составлены временные таблицы стрельбы, но в официальные таблицы стрельбы 1934 года и 1942 года она не вошла.</w:t>
      </w:r>
    </w:p>
    <w:p w14:paraId="26B8DE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Гильза.</w:t>
      </w:r>
    </w:p>
    <w:p w14:paraId="1D3B4B8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Гильза получена обрезанием 152-мм гаубичной гильзы до длины 125 мм.</w:t>
      </w:r>
    </w:p>
    <w:p w14:paraId="06CE55A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Вес гильзы 2,655 кг. Все заряды из пороха марки </w:t>
      </w:r>
      <w:proofErr w:type="spellStart"/>
      <w:r w:rsidRPr="007122AB">
        <w:rPr>
          <w:rFonts w:ascii="Times New Roman" w:hAnsi="Times New Roman"/>
          <w:color w:val="000000" w:themeColor="text1"/>
          <w:sz w:val="16"/>
          <w:szCs w:val="16"/>
        </w:rPr>
        <w:t>Вл</w:t>
      </w:r>
      <w:proofErr w:type="spellEnd"/>
      <w:r w:rsidRPr="007122AB">
        <w:rPr>
          <w:rFonts w:ascii="Times New Roman" w:hAnsi="Times New Roman"/>
          <w:color w:val="000000" w:themeColor="text1"/>
          <w:sz w:val="16"/>
          <w:szCs w:val="16"/>
        </w:rPr>
        <w:t xml:space="preserve"> 7/1 (3861).</w:t>
      </w:r>
    </w:p>
    <w:p w14:paraId="34B819E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июне 1934 года закончилось изготовление первого </w:t>
      </w:r>
      <w:proofErr w:type="spellStart"/>
      <w:r w:rsidRPr="007122AB">
        <w:rPr>
          <w:rFonts w:ascii="Times New Roman" w:hAnsi="Times New Roman"/>
          <w:color w:val="000000" w:themeColor="text1"/>
          <w:sz w:val="16"/>
          <w:szCs w:val="16"/>
        </w:rPr>
        <w:t>лейнера</w:t>
      </w:r>
      <w:proofErr w:type="spellEnd"/>
      <w:r w:rsidRPr="007122AB">
        <w:rPr>
          <w:rFonts w:ascii="Times New Roman" w:hAnsi="Times New Roman"/>
          <w:color w:val="000000" w:themeColor="text1"/>
          <w:sz w:val="16"/>
          <w:szCs w:val="16"/>
        </w:rPr>
        <w:t xml:space="preserve"> на </w:t>
      </w:r>
      <w:proofErr w:type="spellStart"/>
      <w:r w:rsidRPr="007122AB">
        <w:rPr>
          <w:rFonts w:ascii="Times New Roman" w:hAnsi="Times New Roman"/>
          <w:color w:val="000000" w:themeColor="text1"/>
          <w:sz w:val="16"/>
          <w:szCs w:val="16"/>
        </w:rPr>
        <w:t>автофрежекторной</w:t>
      </w:r>
      <w:proofErr w:type="spellEnd"/>
      <w:r w:rsidRPr="007122AB">
        <w:rPr>
          <w:rFonts w:ascii="Times New Roman" w:hAnsi="Times New Roman"/>
          <w:color w:val="000000" w:themeColor="text1"/>
          <w:sz w:val="16"/>
          <w:szCs w:val="16"/>
        </w:rPr>
        <w:t xml:space="preserve"> установке фирмы </w:t>
      </w:r>
      <w:proofErr w:type="spellStart"/>
      <w:r w:rsidRPr="007122AB">
        <w:rPr>
          <w:rFonts w:ascii="Times New Roman" w:hAnsi="Times New Roman"/>
          <w:color w:val="000000" w:themeColor="text1"/>
          <w:sz w:val="16"/>
          <w:szCs w:val="16"/>
        </w:rPr>
        <w:t>Ансальдо</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лейнер</w:t>
      </w:r>
      <w:proofErr w:type="spellEnd"/>
      <w:r w:rsidRPr="007122AB">
        <w:rPr>
          <w:rFonts w:ascii="Times New Roman" w:hAnsi="Times New Roman"/>
          <w:color w:val="000000" w:themeColor="text1"/>
          <w:sz w:val="16"/>
          <w:szCs w:val="16"/>
        </w:rPr>
        <w:t xml:space="preserve"> отправился на НИАП. После его испытаний было принято решение об изготовлении всех 180-мм пушек Б-1-П с </w:t>
      </w:r>
      <w:proofErr w:type="spellStart"/>
      <w:r w:rsidRPr="007122AB">
        <w:rPr>
          <w:rFonts w:ascii="Times New Roman" w:hAnsi="Times New Roman"/>
          <w:color w:val="000000" w:themeColor="text1"/>
          <w:sz w:val="16"/>
          <w:szCs w:val="16"/>
        </w:rPr>
        <w:t>лейнерами</w:t>
      </w:r>
      <w:proofErr w:type="spellEnd"/>
      <w:r w:rsidRPr="007122AB">
        <w:rPr>
          <w:rFonts w:ascii="Times New Roman" w:hAnsi="Times New Roman"/>
          <w:color w:val="000000" w:themeColor="text1"/>
          <w:sz w:val="16"/>
          <w:szCs w:val="16"/>
        </w:rPr>
        <w:t xml:space="preserve">. Но большинство изготовленных к 1935 году установок было уже со скрепленными стволами, а из </w:t>
      </w:r>
      <w:proofErr w:type="spellStart"/>
      <w:r w:rsidRPr="007122AB">
        <w:rPr>
          <w:rFonts w:ascii="Times New Roman" w:hAnsi="Times New Roman"/>
          <w:color w:val="000000" w:themeColor="text1"/>
          <w:sz w:val="16"/>
          <w:szCs w:val="16"/>
        </w:rPr>
        <w:t>лейнированных</w:t>
      </w:r>
      <w:proofErr w:type="spellEnd"/>
      <w:r w:rsidRPr="007122AB">
        <w:rPr>
          <w:rFonts w:ascii="Times New Roman" w:hAnsi="Times New Roman"/>
          <w:color w:val="000000" w:themeColor="text1"/>
          <w:sz w:val="16"/>
          <w:szCs w:val="16"/>
        </w:rPr>
        <w:t xml:space="preserve"> орудий ни одно так и не было сдано. </w:t>
      </w:r>
      <w:proofErr w:type="spellStart"/>
      <w:r w:rsidRPr="007122AB">
        <w:rPr>
          <w:rFonts w:ascii="Times New Roman" w:hAnsi="Times New Roman"/>
          <w:color w:val="000000" w:themeColor="text1"/>
          <w:sz w:val="16"/>
          <w:szCs w:val="16"/>
        </w:rPr>
        <w:t>Лейнированный</w:t>
      </w:r>
      <w:proofErr w:type="spellEnd"/>
      <w:r w:rsidRPr="007122AB">
        <w:rPr>
          <w:rFonts w:ascii="Times New Roman" w:hAnsi="Times New Roman"/>
          <w:color w:val="000000" w:themeColor="text1"/>
          <w:sz w:val="16"/>
          <w:szCs w:val="16"/>
        </w:rPr>
        <w:t xml:space="preserve"> ствол состоял из кожуха, трубы со свободно вставленным </w:t>
      </w:r>
      <w:proofErr w:type="spellStart"/>
      <w:r w:rsidRPr="007122AB">
        <w:rPr>
          <w:rFonts w:ascii="Times New Roman" w:hAnsi="Times New Roman"/>
          <w:color w:val="000000" w:themeColor="text1"/>
          <w:sz w:val="16"/>
          <w:szCs w:val="16"/>
        </w:rPr>
        <w:t>лейнером</w:t>
      </w:r>
      <w:proofErr w:type="spellEnd"/>
      <w:r w:rsidRPr="007122AB">
        <w:rPr>
          <w:rFonts w:ascii="Times New Roman" w:hAnsi="Times New Roman"/>
          <w:color w:val="000000" w:themeColor="text1"/>
          <w:sz w:val="16"/>
          <w:szCs w:val="16"/>
        </w:rPr>
        <w:t xml:space="preserve"> и </w:t>
      </w:r>
      <w:proofErr w:type="spellStart"/>
      <w:r w:rsidRPr="007122AB">
        <w:rPr>
          <w:rFonts w:ascii="Times New Roman" w:hAnsi="Times New Roman"/>
          <w:color w:val="000000" w:themeColor="text1"/>
          <w:sz w:val="16"/>
          <w:szCs w:val="16"/>
        </w:rPr>
        <w:t>навинтным</w:t>
      </w:r>
      <w:proofErr w:type="spellEnd"/>
      <w:r w:rsidRPr="007122AB">
        <w:rPr>
          <w:rFonts w:ascii="Times New Roman" w:hAnsi="Times New Roman"/>
          <w:color w:val="000000" w:themeColor="text1"/>
          <w:sz w:val="16"/>
          <w:szCs w:val="16"/>
        </w:rPr>
        <w:t xml:space="preserve"> казенником. Затвор типа Виккерс, двухтактный поршневой, с открыванием рамы затвора вверх (3861).</w:t>
      </w:r>
    </w:p>
    <w:p w14:paraId="15C62B34"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74288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1930-1931 годах было изготовлено 26 серийных танков Т-24 с 45-мм пушками 6К завода N 8 (3861).</w:t>
      </w:r>
    </w:p>
    <w:p w14:paraId="7943BD8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36CBA37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1930-1931 годах в КБ завода "Большевик" была спроектирована 152-мм сверхдальняя пушка АБ (3861).</w:t>
      </w:r>
    </w:p>
    <w:p w14:paraId="3D4ACC98"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7997BE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1931-1932 годах на основании задания УММА РККА, КБ Ижорского завода разработало новую машина. Бронеавтомобиль получил название "Форд-А Ижорский"(ФАИ) и был запущен в серию с 1933 года (3862).</w:t>
      </w:r>
    </w:p>
    <w:p w14:paraId="4D67D82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3DD4517"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Всего в 1931–1935 гг. заводы изготовили свыше 5000 сухопутных, морских и авиационных пушек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то есть от 30 до 50 % от числа заказанных. Военпреды приняли от промышленности не более 2000 орудий, и лишь около 1000 попали в войска. Однако и орудия, попавшие на службу, быстро списывались или переводились в категорию учебных. К 1 ноября 1936 г. в армии имелось 563 пушки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xml:space="preserve"> (БПК, СПК и РК), а во флоте — несколько десятков 76-мм катерных пушек КПК.</w:t>
      </w:r>
    </w:p>
    <w:p w14:paraId="7AB037CD"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 xml:space="preserve">В итоге к 22 июня 1941 г. в войсках не было ни одной пушки </w:t>
      </w:r>
      <w:proofErr w:type="spellStart"/>
      <w:r w:rsidRPr="007122AB">
        <w:rPr>
          <w:rFonts w:ascii="Times New Roman" w:hAnsi="Times New Roman"/>
          <w:color w:val="000000" w:themeColor="text1"/>
          <w:sz w:val="16"/>
          <w:szCs w:val="16"/>
        </w:rPr>
        <w:t>Курчевского</w:t>
      </w:r>
      <w:proofErr w:type="spellEnd"/>
      <w:r w:rsidRPr="007122AB">
        <w:rPr>
          <w:rFonts w:ascii="Times New Roman" w:hAnsi="Times New Roman"/>
          <w:color w:val="000000" w:themeColor="text1"/>
          <w:sz w:val="16"/>
          <w:szCs w:val="16"/>
        </w:rPr>
        <w:t>. И это при том, что перед войной наши артиллеристы пытались сохранить все, что можно было. Например, на вооружении укрепрайонов состояли сотни орудий образца 1877 г. (12091).</w:t>
      </w:r>
    </w:p>
    <w:p w14:paraId="5559B95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E293BC3" w14:textId="77777777" w:rsidR="005C4849" w:rsidRPr="007122AB" w:rsidRDefault="00874B1E" w:rsidP="007122AB">
      <w:pPr>
        <w:autoSpaceDE w:val="0"/>
        <w:autoSpaceDN w:val="0"/>
        <w:adjustRightInd w:val="0"/>
        <w:spacing w:after="0" w:line="240" w:lineRule="auto"/>
        <w:jc w:val="both"/>
        <w:rPr>
          <w:rFonts w:ascii="Times New Roman" w:hAnsi="Times New Roman"/>
          <w:iCs/>
          <w:color w:val="000000" w:themeColor="text1"/>
          <w:sz w:val="16"/>
          <w:szCs w:val="16"/>
        </w:rPr>
      </w:pPr>
      <w:r w:rsidRPr="007122AB">
        <w:rPr>
          <w:rFonts w:ascii="Times New Roman" w:hAnsi="Times New Roman"/>
          <w:i/>
          <w:iCs/>
          <w:color w:val="000000" w:themeColor="text1"/>
          <w:sz w:val="16"/>
          <w:szCs w:val="16"/>
        </w:rPr>
        <w:t>За рубежом:</w:t>
      </w:r>
    </w:p>
    <w:p w14:paraId="3EE6A844" w14:textId="77777777" w:rsidR="005C4849" w:rsidRPr="007122AB" w:rsidRDefault="005C4849" w:rsidP="007122AB">
      <w:pPr>
        <w:autoSpaceDE w:val="0"/>
        <w:autoSpaceDN w:val="0"/>
        <w:adjustRightInd w:val="0"/>
        <w:spacing w:after="0" w:line="240" w:lineRule="auto"/>
        <w:jc w:val="both"/>
        <w:rPr>
          <w:rFonts w:ascii="Times New Roman" w:hAnsi="Times New Roman"/>
          <w:iCs/>
          <w:color w:val="000000" w:themeColor="text1"/>
          <w:sz w:val="16"/>
          <w:szCs w:val="16"/>
        </w:rPr>
      </w:pPr>
    </w:p>
    <w:p w14:paraId="31D21F6E"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lastRenderedPageBreak/>
        <w:t xml:space="preserve">В 1931–1932 гг. к разработке крылатых ракет снова вернулся выдающийся специалист в области авиации, артиллерии и ракетной техники Гаэтано Артуро </w:t>
      </w:r>
      <w:proofErr w:type="spellStart"/>
      <w:r w:rsidRPr="007122AB">
        <w:rPr>
          <w:rFonts w:ascii="Times New Roman" w:hAnsi="Times New Roman"/>
          <w:color w:val="000000" w:themeColor="text1"/>
          <w:sz w:val="16"/>
          <w:szCs w:val="16"/>
        </w:rPr>
        <w:t>Крокко</w:t>
      </w:r>
      <w:proofErr w:type="spellEnd"/>
      <w:r w:rsidRPr="007122AB">
        <w:rPr>
          <w:rFonts w:ascii="Times New Roman" w:hAnsi="Times New Roman"/>
          <w:color w:val="000000" w:themeColor="text1"/>
          <w:sz w:val="16"/>
          <w:szCs w:val="16"/>
        </w:rPr>
        <w:t xml:space="preserve"> (1877–1968). В этот раз на своих ракетах он использовал прямоточные воздушно-реактивные двигатели (ПВРД) (</w:t>
      </w:r>
      <w:proofErr w:type="spellStart"/>
      <w:r w:rsidRPr="007122AB">
        <w:rPr>
          <w:rFonts w:ascii="Times New Roman" w:hAnsi="Times New Roman"/>
          <w:color w:val="000000" w:themeColor="text1"/>
          <w:sz w:val="16"/>
          <w:szCs w:val="16"/>
          <w:lang w:val="en-US"/>
        </w:rPr>
        <w:t>CroccoG</w:t>
      </w:r>
      <w:proofErr w:type="spellEnd"/>
      <w:r w:rsidRPr="007122AB">
        <w:rPr>
          <w:rFonts w:ascii="Times New Roman" w:hAnsi="Times New Roman"/>
          <w:color w:val="000000" w:themeColor="text1"/>
          <w:sz w:val="16"/>
          <w:szCs w:val="16"/>
        </w:rPr>
        <w:t>.</w:t>
      </w:r>
      <w:r w:rsidRPr="007122AB">
        <w:rPr>
          <w:rFonts w:ascii="Times New Roman" w:hAnsi="Times New Roman"/>
          <w:color w:val="000000" w:themeColor="text1"/>
          <w:sz w:val="16"/>
          <w:szCs w:val="16"/>
          <w:lang w:val="en-US"/>
        </w:rPr>
        <w:t>F</w:t>
      </w:r>
      <w:r w:rsidRPr="007122AB">
        <w:rPr>
          <w:rFonts w:ascii="Times New Roman" w:hAnsi="Times New Roman"/>
          <w:color w:val="000000" w:themeColor="text1"/>
          <w:sz w:val="16"/>
          <w:szCs w:val="16"/>
        </w:rPr>
        <w:t xml:space="preserve">. </w:t>
      </w:r>
      <w:proofErr w:type="spellStart"/>
      <w:r w:rsidRPr="007122AB">
        <w:rPr>
          <w:rFonts w:ascii="Times New Roman" w:hAnsi="Times New Roman"/>
          <w:color w:val="000000" w:themeColor="text1"/>
          <w:sz w:val="16"/>
          <w:szCs w:val="16"/>
          <w:lang w:val="en-US"/>
        </w:rPr>
        <w:t>Flyinginthestratosphere</w:t>
      </w:r>
      <w:proofErr w:type="spellEnd"/>
      <w:r w:rsidRPr="007122AB">
        <w:rPr>
          <w:rFonts w:ascii="Times New Roman" w:hAnsi="Times New Roman"/>
          <w:color w:val="000000" w:themeColor="text1"/>
          <w:sz w:val="16"/>
          <w:szCs w:val="16"/>
        </w:rPr>
        <w:t xml:space="preserve">. Aircraft Engineering. 1932, </w:t>
      </w:r>
      <w:proofErr w:type="spellStart"/>
      <w:r w:rsidRPr="007122AB">
        <w:rPr>
          <w:rFonts w:ascii="Times New Roman" w:hAnsi="Times New Roman"/>
          <w:color w:val="000000" w:themeColor="text1"/>
          <w:sz w:val="16"/>
          <w:szCs w:val="16"/>
        </w:rPr>
        <w:t>Vol</w:t>
      </w:r>
      <w:proofErr w:type="spellEnd"/>
      <w:r w:rsidRPr="007122AB">
        <w:rPr>
          <w:rFonts w:ascii="Times New Roman" w:hAnsi="Times New Roman"/>
          <w:color w:val="000000" w:themeColor="text1"/>
          <w:sz w:val="16"/>
          <w:szCs w:val="16"/>
        </w:rPr>
        <w:t xml:space="preserve">. 4, № 41. P. 171–175; № 42. P. 204–209.). Ракета </w:t>
      </w:r>
      <w:proofErr w:type="spellStart"/>
      <w:r w:rsidRPr="007122AB">
        <w:rPr>
          <w:rFonts w:ascii="Times New Roman" w:hAnsi="Times New Roman"/>
          <w:color w:val="000000" w:themeColor="text1"/>
          <w:sz w:val="16"/>
          <w:szCs w:val="16"/>
        </w:rPr>
        <w:t>Крокко</w:t>
      </w:r>
      <w:proofErr w:type="spellEnd"/>
      <w:r w:rsidRPr="007122AB">
        <w:rPr>
          <w:rFonts w:ascii="Times New Roman" w:hAnsi="Times New Roman"/>
          <w:color w:val="000000" w:themeColor="text1"/>
          <w:sz w:val="16"/>
          <w:szCs w:val="16"/>
        </w:rPr>
        <w:t xml:space="preserve"> имела стартовый ускоритель. Его стартовый вес составлял более 1000 кг, из них 400 кг – топливо, 600 кг – полезная нагрузка. Средняя расчетная скорость полета составляла 2500 км/ч. Для достижения высоты 30 км сжигалось 300 кг топлива. В качестве окислителя использовался атмосферный кислород. По расчетным данным автора проекта КР, ее участок выведения составлял 200 км, горизонтальный маршевый участок – 1000 км, участок планирования – 600 км (11686).</w:t>
      </w:r>
    </w:p>
    <w:p w14:paraId="650C99E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2F79E03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В 1931-1932 гг. Бразилия, Аргентина, Колумбия, Боливия, Уругвай, Чили, Никарагуа, Коста-Рика и Перу впервые ввели государственный контроль над валютными операциями. В Аргентине в поисках борьбы с внешнеторговым дефицитом был принят закон, согласно которому стоимость импорта не должна была превышать стоимость аргентинского экспорта (3871).</w:t>
      </w:r>
    </w:p>
    <w:p w14:paraId="719B1330"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p w14:paraId="653C12A5"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r w:rsidRPr="007122AB">
        <w:rPr>
          <w:rFonts w:ascii="Times New Roman" w:hAnsi="Times New Roman"/>
          <w:color w:val="000000" w:themeColor="text1"/>
          <w:sz w:val="16"/>
          <w:szCs w:val="16"/>
        </w:rPr>
        <w:t>Апофеоз романтизма большевиков, когда и ЦАГИ оказалось подмято ОГПУ. Казалось, что усиление персональной ответственности руководства со стороны молодых партийцев, красных инженеров и военных в сочетании с общим укреплением дисциплины в целом по всем направлениям вот-вот дадут стране всего сразу и много. Не получилось, конечно, однако, пошли по пути еще большего закручивания гаек и началось становление административной системы, которая на долгие годы стала единственной формой управления в стране.</w:t>
      </w:r>
    </w:p>
    <w:p w14:paraId="4CA427AC" w14:textId="77777777" w:rsidR="005C4849" w:rsidRPr="007122AB" w:rsidRDefault="005C4849" w:rsidP="007122AB">
      <w:pPr>
        <w:autoSpaceDE w:val="0"/>
        <w:autoSpaceDN w:val="0"/>
        <w:adjustRightInd w:val="0"/>
        <w:spacing w:after="0" w:line="240" w:lineRule="auto"/>
        <w:jc w:val="both"/>
        <w:rPr>
          <w:rFonts w:ascii="Times New Roman" w:hAnsi="Times New Roman"/>
          <w:color w:val="000000" w:themeColor="text1"/>
          <w:sz w:val="16"/>
          <w:szCs w:val="16"/>
        </w:rPr>
      </w:pPr>
    </w:p>
    <w:sectPr w:rsidR="005C4849" w:rsidRPr="007122AB" w:rsidSect="009456B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2"/>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2" w15:restartNumberingAfterBreak="0">
    <w:nsid w:val="07E1699B"/>
    <w:multiLevelType w:val="multilevel"/>
    <w:tmpl w:val="764EEF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071317"/>
    <w:multiLevelType w:val="multilevel"/>
    <w:tmpl w:val="13CCD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DE4C19"/>
    <w:multiLevelType w:val="multilevel"/>
    <w:tmpl w:val="2A9E5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223C19"/>
    <w:multiLevelType w:val="multilevel"/>
    <w:tmpl w:val="81AE8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BF2DD1"/>
    <w:multiLevelType w:val="multilevel"/>
    <w:tmpl w:val="CF22C1B8"/>
    <w:lvl w:ilvl="0">
      <w:start w:val="1"/>
      <w:numFmt w:val="russianLower"/>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E581781"/>
    <w:multiLevelType w:val="multilevel"/>
    <w:tmpl w:val="C3400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98E48B4"/>
    <w:multiLevelType w:val="multilevel"/>
    <w:tmpl w:val="BBB82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AF7B0F"/>
    <w:multiLevelType w:val="multilevel"/>
    <w:tmpl w:val="6A50E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474870"/>
    <w:multiLevelType w:val="multilevel"/>
    <w:tmpl w:val="546E7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B637B19"/>
    <w:multiLevelType w:val="multilevel"/>
    <w:tmpl w:val="946EB7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32A6FF5"/>
    <w:multiLevelType w:val="multilevel"/>
    <w:tmpl w:val="B7A84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CE4A4C"/>
    <w:multiLevelType w:val="multilevel"/>
    <w:tmpl w:val="196CA7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8453953"/>
    <w:multiLevelType w:val="multilevel"/>
    <w:tmpl w:val="E012C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7A0BC8"/>
    <w:multiLevelType w:val="multilevel"/>
    <w:tmpl w:val="70282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97C2D77"/>
    <w:multiLevelType w:val="multilevel"/>
    <w:tmpl w:val="F0E8AB40"/>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1DB6D06"/>
    <w:multiLevelType w:val="multilevel"/>
    <w:tmpl w:val="A2F63C18"/>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51053AF"/>
    <w:multiLevelType w:val="multilevel"/>
    <w:tmpl w:val="6F463FB6"/>
    <w:lvl w:ilvl="0">
      <w:start w:val="1"/>
      <w:numFmt w:val="bullet"/>
      <w:lvlText w:val="—"/>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9274E77"/>
    <w:multiLevelType w:val="multilevel"/>
    <w:tmpl w:val="DC16D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A4A5F75"/>
    <w:multiLevelType w:val="multilevel"/>
    <w:tmpl w:val="983CA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203EC8"/>
    <w:multiLevelType w:val="multilevel"/>
    <w:tmpl w:val="94B6A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FE32419"/>
    <w:multiLevelType w:val="multilevel"/>
    <w:tmpl w:val="216A5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365465F"/>
    <w:multiLevelType w:val="multilevel"/>
    <w:tmpl w:val="BC1AA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B2E6C66"/>
    <w:multiLevelType w:val="multilevel"/>
    <w:tmpl w:val="B0E27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DF731E3"/>
    <w:multiLevelType w:val="multilevel"/>
    <w:tmpl w:val="335CB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EE27788"/>
    <w:multiLevelType w:val="multilevel"/>
    <w:tmpl w:val="B8842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90613812">
    <w:abstractNumId w:val="17"/>
  </w:num>
  <w:num w:numId="2" w16cid:durableId="2022387614">
    <w:abstractNumId w:val="18"/>
  </w:num>
  <w:num w:numId="3" w16cid:durableId="259995511">
    <w:abstractNumId w:val="0"/>
  </w:num>
  <w:num w:numId="4" w16cid:durableId="387190813">
    <w:abstractNumId w:val="1"/>
  </w:num>
  <w:num w:numId="5" w16cid:durableId="1689211772">
    <w:abstractNumId w:val="8"/>
  </w:num>
  <w:num w:numId="6" w16cid:durableId="1779718684">
    <w:abstractNumId w:val="7"/>
  </w:num>
  <w:num w:numId="7" w16cid:durableId="81075762">
    <w:abstractNumId w:val="15"/>
  </w:num>
  <w:num w:numId="8" w16cid:durableId="446241982">
    <w:abstractNumId w:val="26"/>
  </w:num>
  <w:num w:numId="9" w16cid:durableId="1478957794">
    <w:abstractNumId w:val="23"/>
  </w:num>
  <w:num w:numId="10" w16cid:durableId="1097751388">
    <w:abstractNumId w:val="24"/>
  </w:num>
  <w:num w:numId="11" w16cid:durableId="1494180486">
    <w:abstractNumId w:val="24"/>
    <w:lvlOverride w:ilvl="0">
      <w:startOverride w:val="2"/>
    </w:lvlOverride>
  </w:num>
  <w:num w:numId="12" w16cid:durableId="647588973">
    <w:abstractNumId w:val="24"/>
    <w:lvlOverride w:ilvl="0">
      <w:startOverride w:val="3"/>
    </w:lvlOverride>
  </w:num>
  <w:num w:numId="13" w16cid:durableId="1208881870">
    <w:abstractNumId w:val="24"/>
    <w:lvlOverride w:ilvl="0">
      <w:startOverride w:val="4"/>
    </w:lvlOverride>
  </w:num>
  <w:num w:numId="14" w16cid:durableId="1389458449">
    <w:abstractNumId w:val="24"/>
    <w:lvlOverride w:ilvl="0">
      <w:startOverride w:val="5"/>
    </w:lvlOverride>
  </w:num>
  <w:num w:numId="15" w16cid:durableId="2069108479">
    <w:abstractNumId w:val="2"/>
    <w:lvlOverride w:ilvl="0">
      <w:startOverride w:val="2"/>
    </w:lvlOverride>
  </w:num>
  <w:num w:numId="16" w16cid:durableId="1693262151">
    <w:abstractNumId w:val="2"/>
    <w:lvlOverride w:ilvl="0">
      <w:startOverride w:val="3"/>
    </w:lvlOverride>
  </w:num>
  <w:num w:numId="17" w16cid:durableId="845941534">
    <w:abstractNumId w:val="2"/>
    <w:lvlOverride w:ilvl="0">
      <w:startOverride w:val="4"/>
    </w:lvlOverride>
  </w:num>
  <w:num w:numId="18" w16cid:durableId="1683894853">
    <w:abstractNumId w:val="3"/>
    <w:lvlOverride w:ilvl="0">
      <w:startOverride w:val="5"/>
    </w:lvlOverride>
  </w:num>
  <w:num w:numId="19" w16cid:durableId="62993538">
    <w:abstractNumId w:val="20"/>
    <w:lvlOverride w:ilvl="0">
      <w:startOverride w:val="6"/>
    </w:lvlOverride>
  </w:num>
  <w:num w:numId="20" w16cid:durableId="625627899">
    <w:abstractNumId w:val="12"/>
    <w:lvlOverride w:ilvl="0">
      <w:startOverride w:val="7"/>
    </w:lvlOverride>
  </w:num>
  <w:num w:numId="21" w16cid:durableId="2013875007">
    <w:abstractNumId w:val="9"/>
    <w:lvlOverride w:ilvl="0">
      <w:startOverride w:val="8"/>
    </w:lvlOverride>
  </w:num>
  <w:num w:numId="22" w16cid:durableId="701516204">
    <w:abstractNumId w:val="19"/>
  </w:num>
  <w:num w:numId="23" w16cid:durableId="1300265737">
    <w:abstractNumId w:val="4"/>
    <w:lvlOverride w:ilvl="0">
      <w:startOverride w:val="2"/>
    </w:lvlOverride>
  </w:num>
  <w:num w:numId="24" w16cid:durableId="1048795130">
    <w:abstractNumId w:val="11"/>
  </w:num>
  <w:num w:numId="25" w16cid:durableId="516046569">
    <w:abstractNumId w:val="5"/>
    <w:lvlOverride w:ilvl="0">
      <w:startOverride w:val="2"/>
    </w:lvlOverride>
  </w:num>
  <w:num w:numId="26" w16cid:durableId="74086693">
    <w:abstractNumId w:val="14"/>
    <w:lvlOverride w:ilvl="0">
      <w:startOverride w:val="3"/>
    </w:lvlOverride>
  </w:num>
  <w:num w:numId="27" w16cid:durableId="754473519">
    <w:abstractNumId w:val="13"/>
  </w:num>
  <w:num w:numId="28" w16cid:durableId="692731331">
    <w:abstractNumId w:val="10"/>
  </w:num>
  <w:num w:numId="29" w16cid:durableId="151453878">
    <w:abstractNumId w:val="25"/>
    <w:lvlOverride w:ilvl="0">
      <w:startOverride w:val="2"/>
    </w:lvlOverride>
  </w:num>
  <w:num w:numId="30" w16cid:durableId="1797411985">
    <w:abstractNumId w:val="25"/>
    <w:lvlOverride w:ilvl="0">
      <w:startOverride w:val="3"/>
    </w:lvlOverride>
  </w:num>
  <w:num w:numId="31" w16cid:durableId="1718701765">
    <w:abstractNumId w:val="25"/>
    <w:lvlOverride w:ilvl="0">
      <w:startOverride w:val="4"/>
    </w:lvlOverride>
  </w:num>
  <w:num w:numId="32" w16cid:durableId="1839343858">
    <w:abstractNumId w:val="25"/>
    <w:lvlOverride w:ilvl="0">
      <w:startOverride w:val="5"/>
    </w:lvlOverride>
  </w:num>
  <w:num w:numId="33" w16cid:durableId="926618768">
    <w:abstractNumId w:val="25"/>
    <w:lvlOverride w:ilvl="0">
      <w:startOverride w:val="6"/>
    </w:lvlOverride>
  </w:num>
  <w:num w:numId="34" w16cid:durableId="763721760">
    <w:abstractNumId w:val="25"/>
    <w:lvlOverride w:ilvl="0">
      <w:startOverride w:val="7"/>
    </w:lvlOverride>
  </w:num>
  <w:num w:numId="35" w16cid:durableId="1671710181">
    <w:abstractNumId w:val="25"/>
    <w:lvlOverride w:ilvl="0">
      <w:startOverride w:val="8"/>
    </w:lvlOverride>
  </w:num>
  <w:num w:numId="36" w16cid:durableId="299919613">
    <w:abstractNumId w:val="25"/>
    <w:lvlOverride w:ilvl="0">
      <w:startOverride w:val="9"/>
    </w:lvlOverride>
  </w:num>
  <w:num w:numId="37" w16cid:durableId="51857210">
    <w:abstractNumId w:val="25"/>
    <w:lvlOverride w:ilvl="0">
      <w:startOverride w:val="10"/>
    </w:lvlOverride>
  </w:num>
  <w:num w:numId="38" w16cid:durableId="912281708">
    <w:abstractNumId w:val="22"/>
  </w:num>
  <w:num w:numId="39" w16cid:durableId="1125656467">
    <w:abstractNumId w:val="21"/>
    <w:lvlOverride w:ilvl="0">
      <w:startOverride w:val="2"/>
    </w:lvlOverride>
  </w:num>
  <w:num w:numId="40" w16cid:durableId="1594898370">
    <w:abstractNumId w:val="21"/>
    <w:lvlOverride w:ilvl="0">
      <w:startOverride w:val="3"/>
    </w:lvlOverride>
  </w:num>
  <w:num w:numId="41" w16cid:durableId="1299725018">
    <w:abstractNumId w:val="16"/>
  </w:num>
  <w:num w:numId="42" w16cid:durableId="1263167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0AF"/>
    <w:rsid w:val="00006DDF"/>
    <w:rsid w:val="0001378D"/>
    <w:rsid w:val="00015826"/>
    <w:rsid w:val="00021C0B"/>
    <w:rsid w:val="00024EF9"/>
    <w:rsid w:val="000306D2"/>
    <w:rsid w:val="00030B11"/>
    <w:rsid w:val="00033436"/>
    <w:rsid w:val="00033D69"/>
    <w:rsid w:val="00037DC4"/>
    <w:rsid w:val="00040508"/>
    <w:rsid w:val="00043DC3"/>
    <w:rsid w:val="000455FA"/>
    <w:rsid w:val="0004566E"/>
    <w:rsid w:val="00045BB8"/>
    <w:rsid w:val="00045E46"/>
    <w:rsid w:val="00052365"/>
    <w:rsid w:val="000534E3"/>
    <w:rsid w:val="00053BF0"/>
    <w:rsid w:val="00053C2F"/>
    <w:rsid w:val="00054ED8"/>
    <w:rsid w:val="0005751F"/>
    <w:rsid w:val="00062BDD"/>
    <w:rsid w:val="00063F82"/>
    <w:rsid w:val="00065021"/>
    <w:rsid w:val="000674C1"/>
    <w:rsid w:val="000700C8"/>
    <w:rsid w:val="000701C9"/>
    <w:rsid w:val="000730D5"/>
    <w:rsid w:val="00074A78"/>
    <w:rsid w:val="00075367"/>
    <w:rsid w:val="00083CD8"/>
    <w:rsid w:val="000868EC"/>
    <w:rsid w:val="00086AB8"/>
    <w:rsid w:val="00090A76"/>
    <w:rsid w:val="00090C68"/>
    <w:rsid w:val="00091E56"/>
    <w:rsid w:val="000924C2"/>
    <w:rsid w:val="000929C3"/>
    <w:rsid w:val="00093149"/>
    <w:rsid w:val="00094AE4"/>
    <w:rsid w:val="000A57D7"/>
    <w:rsid w:val="000A615A"/>
    <w:rsid w:val="000B1FE7"/>
    <w:rsid w:val="000B4A7D"/>
    <w:rsid w:val="000B7ADA"/>
    <w:rsid w:val="000C1B8D"/>
    <w:rsid w:val="000C2E8E"/>
    <w:rsid w:val="000C5145"/>
    <w:rsid w:val="000C5254"/>
    <w:rsid w:val="000D04DE"/>
    <w:rsid w:val="000D6967"/>
    <w:rsid w:val="000E0163"/>
    <w:rsid w:val="000E52C6"/>
    <w:rsid w:val="000E62C2"/>
    <w:rsid w:val="000E68B0"/>
    <w:rsid w:val="000F00CB"/>
    <w:rsid w:val="000F17FB"/>
    <w:rsid w:val="000F1D6E"/>
    <w:rsid w:val="000F30A8"/>
    <w:rsid w:val="000F3BEF"/>
    <w:rsid w:val="000F4C20"/>
    <w:rsid w:val="000F5416"/>
    <w:rsid w:val="001002C3"/>
    <w:rsid w:val="00113D98"/>
    <w:rsid w:val="001209D1"/>
    <w:rsid w:val="00121858"/>
    <w:rsid w:val="00132B05"/>
    <w:rsid w:val="001422F1"/>
    <w:rsid w:val="00144B93"/>
    <w:rsid w:val="00145594"/>
    <w:rsid w:val="00145AFC"/>
    <w:rsid w:val="00147C8B"/>
    <w:rsid w:val="00150954"/>
    <w:rsid w:val="00150B7E"/>
    <w:rsid w:val="001522BB"/>
    <w:rsid w:val="00154AB9"/>
    <w:rsid w:val="00157036"/>
    <w:rsid w:val="00162C5B"/>
    <w:rsid w:val="00164C8C"/>
    <w:rsid w:val="00166A21"/>
    <w:rsid w:val="00170265"/>
    <w:rsid w:val="001707A1"/>
    <w:rsid w:val="001733DC"/>
    <w:rsid w:val="00175890"/>
    <w:rsid w:val="00181C0F"/>
    <w:rsid w:val="00183B79"/>
    <w:rsid w:val="00190478"/>
    <w:rsid w:val="00190C71"/>
    <w:rsid w:val="00193905"/>
    <w:rsid w:val="0019393F"/>
    <w:rsid w:val="0019470D"/>
    <w:rsid w:val="001A30FC"/>
    <w:rsid w:val="001A34C7"/>
    <w:rsid w:val="001A7FA6"/>
    <w:rsid w:val="001B5062"/>
    <w:rsid w:val="001B5144"/>
    <w:rsid w:val="001B6E91"/>
    <w:rsid w:val="001C49A2"/>
    <w:rsid w:val="001C4D6B"/>
    <w:rsid w:val="001D0400"/>
    <w:rsid w:val="001D074B"/>
    <w:rsid w:val="001D4870"/>
    <w:rsid w:val="001D6222"/>
    <w:rsid w:val="001D6FA0"/>
    <w:rsid w:val="001E6C64"/>
    <w:rsid w:val="001E7B51"/>
    <w:rsid w:val="001F2DE9"/>
    <w:rsid w:val="001F6C7F"/>
    <w:rsid w:val="001F7908"/>
    <w:rsid w:val="0020231B"/>
    <w:rsid w:val="00203904"/>
    <w:rsid w:val="00213252"/>
    <w:rsid w:val="002206BB"/>
    <w:rsid w:val="00221006"/>
    <w:rsid w:val="00221F71"/>
    <w:rsid w:val="00225E06"/>
    <w:rsid w:val="00237152"/>
    <w:rsid w:val="0023773B"/>
    <w:rsid w:val="00245CB3"/>
    <w:rsid w:val="002460F7"/>
    <w:rsid w:val="002527AE"/>
    <w:rsid w:val="00252EFE"/>
    <w:rsid w:val="00256002"/>
    <w:rsid w:val="0026014F"/>
    <w:rsid w:val="002629BF"/>
    <w:rsid w:val="002662B0"/>
    <w:rsid w:val="002733A2"/>
    <w:rsid w:val="002739C9"/>
    <w:rsid w:val="00274CEA"/>
    <w:rsid w:val="002759FC"/>
    <w:rsid w:val="00285ABF"/>
    <w:rsid w:val="0029207E"/>
    <w:rsid w:val="00293871"/>
    <w:rsid w:val="00293FAB"/>
    <w:rsid w:val="00295B66"/>
    <w:rsid w:val="002A3A34"/>
    <w:rsid w:val="002A49F7"/>
    <w:rsid w:val="002B6BEE"/>
    <w:rsid w:val="002C0192"/>
    <w:rsid w:val="002C06C5"/>
    <w:rsid w:val="002D2823"/>
    <w:rsid w:val="002D39AF"/>
    <w:rsid w:val="002E083D"/>
    <w:rsid w:val="002E0A40"/>
    <w:rsid w:val="002E1EC2"/>
    <w:rsid w:val="002E2179"/>
    <w:rsid w:val="002E21EC"/>
    <w:rsid w:val="002E24E6"/>
    <w:rsid w:val="002E2960"/>
    <w:rsid w:val="002E524B"/>
    <w:rsid w:val="00301740"/>
    <w:rsid w:val="00303361"/>
    <w:rsid w:val="00312320"/>
    <w:rsid w:val="003159CA"/>
    <w:rsid w:val="0032095F"/>
    <w:rsid w:val="003210F7"/>
    <w:rsid w:val="00323FFD"/>
    <w:rsid w:val="003250DD"/>
    <w:rsid w:val="003261DE"/>
    <w:rsid w:val="00326A52"/>
    <w:rsid w:val="00326F0F"/>
    <w:rsid w:val="00332C4C"/>
    <w:rsid w:val="00337035"/>
    <w:rsid w:val="003371BD"/>
    <w:rsid w:val="0033769F"/>
    <w:rsid w:val="0034103F"/>
    <w:rsid w:val="003431F0"/>
    <w:rsid w:val="00346741"/>
    <w:rsid w:val="0034735B"/>
    <w:rsid w:val="00347672"/>
    <w:rsid w:val="00353841"/>
    <w:rsid w:val="00354892"/>
    <w:rsid w:val="003562F3"/>
    <w:rsid w:val="00357876"/>
    <w:rsid w:val="00360440"/>
    <w:rsid w:val="00365C94"/>
    <w:rsid w:val="00370FDB"/>
    <w:rsid w:val="003740E0"/>
    <w:rsid w:val="0037523F"/>
    <w:rsid w:val="00382475"/>
    <w:rsid w:val="0039152D"/>
    <w:rsid w:val="00392001"/>
    <w:rsid w:val="003A4591"/>
    <w:rsid w:val="003B2F50"/>
    <w:rsid w:val="003B31EB"/>
    <w:rsid w:val="003B4A71"/>
    <w:rsid w:val="003B4AB7"/>
    <w:rsid w:val="003C0F10"/>
    <w:rsid w:val="003C794C"/>
    <w:rsid w:val="003D7472"/>
    <w:rsid w:val="003E0642"/>
    <w:rsid w:val="003E068A"/>
    <w:rsid w:val="003E1D1C"/>
    <w:rsid w:val="003E2874"/>
    <w:rsid w:val="003E28CB"/>
    <w:rsid w:val="003E4223"/>
    <w:rsid w:val="003E442B"/>
    <w:rsid w:val="003F3047"/>
    <w:rsid w:val="003F4143"/>
    <w:rsid w:val="0040061B"/>
    <w:rsid w:val="00403219"/>
    <w:rsid w:val="004121BA"/>
    <w:rsid w:val="00413CD7"/>
    <w:rsid w:val="00415552"/>
    <w:rsid w:val="00417AE0"/>
    <w:rsid w:val="00420999"/>
    <w:rsid w:val="00431F83"/>
    <w:rsid w:val="00435940"/>
    <w:rsid w:val="00445005"/>
    <w:rsid w:val="00446A93"/>
    <w:rsid w:val="00452F24"/>
    <w:rsid w:val="0046076A"/>
    <w:rsid w:val="00462FCF"/>
    <w:rsid w:val="004655BD"/>
    <w:rsid w:val="00472582"/>
    <w:rsid w:val="0047409F"/>
    <w:rsid w:val="004742EE"/>
    <w:rsid w:val="0047630E"/>
    <w:rsid w:val="00480CB7"/>
    <w:rsid w:val="0048207C"/>
    <w:rsid w:val="00484B32"/>
    <w:rsid w:val="004868FE"/>
    <w:rsid w:val="00492496"/>
    <w:rsid w:val="00494647"/>
    <w:rsid w:val="00496ABD"/>
    <w:rsid w:val="00497275"/>
    <w:rsid w:val="00497B38"/>
    <w:rsid w:val="004A207C"/>
    <w:rsid w:val="004A7B69"/>
    <w:rsid w:val="004B0814"/>
    <w:rsid w:val="004B5185"/>
    <w:rsid w:val="004B5CB9"/>
    <w:rsid w:val="004C3F6D"/>
    <w:rsid w:val="004C63C0"/>
    <w:rsid w:val="004D11D4"/>
    <w:rsid w:val="004D3FB2"/>
    <w:rsid w:val="004D6C70"/>
    <w:rsid w:val="004E429A"/>
    <w:rsid w:val="004F04A7"/>
    <w:rsid w:val="004F07B5"/>
    <w:rsid w:val="004F1F65"/>
    <w:rsid w:val="004F3165"/>
    <w:rsid w:val="004F5DFE"/>
    <w:rsid w:val="004F6CFB"/>
    <w:rsid w:val="005119C8"/>
    <w:rsid w:val="00511EE8"/>
    <w:rsid w:val="00513C11"/>
    <w:rsid w:val="0051599D"/>
    <w:rsid w:val="005162D0"/>
    <w:rsid w:val="00516F49"/>
    <w:rsid w:val="00520F40"/>
    <w:rsid w:val="0052661D"/>
    <w:rsid w:val="00526EC0"/>
    <w:rsid w:val="00531332"/>
    <w:rsid w:val="00535A7C"/>
    <w:rsid w:val="00546F27"/>
    <w:rsid w:val="00550218"/>
    <w:rsid w:val="005504A8"/>
    <w:rsid w:val="00557EA0"/>
    <w:rsid w:val="00560FA4"/>
    <w:rsid w:val="00562A83"/>
    <w:rsid w:val="00581B54"/>
    <w:rsid w:val="0058334C"/>
    <w:rsid w:val="005870CD"/>
    <w:rsid w:val="00587130"/>
    <w:rsid w:val="005900BC"/>
    <w:rsid w:val="0059110F"/>
    <w:rsid w:val="00593807"/>
    <w:rsid w:val="005939E8"/>
    <w:rsid w:val="00595345"/>
    <w:rsid w:val="00595B4D"/>
    <w:rsid w:val="005A4219"/>
    <w:rsid w:val="005A6DD2"/>
    <w:rsid w:val="005B22CE"/>
    <w:rsid w:val="005B2673"/>
    <w:rsid w:val="005B49AB"/>
    <w:rsid w:val="005B4A49"/>
    <w:rsid w:val="005C1E16"/>
    <w:rsid w:val="005C3848"/>
    <w:rsid w:val="005C4849"/>
    <w:rsid w:val="005C5785"/>
    <w:rsid w:val="005C794C"/>
    <w:rsid w:val="005D140D"/>
    <w:rsid w:val="005D3431"/>
    <w:rsid w:val="005D3B62"/>
    <w:rsid w:val="005D3D2E"/>
    <w:rsid w:val="005D6783"/>
    <w:rsid w:val="005D6F9D"/>
    <w:rsid w:val="005E0521"/>
    <w:rsid w:val="005E1AD5"/>
    <w:rsid w:val="005E3256"/>
    <w:rsid w:val="005E6A6F"/>
    <w:rsid w:val="005E7475"/>
    <w:rsid w:val="005F11C6"/>
    <w:rsid w:val="005F6639"/>
    <w:rsid w:val="005F6ACD"/>
    <w:rsid w:val="00600EDB"/>
    <w:rsid w:val="00606F47"/>
    <w:rsid w:val="0061497A"/>
    <w:rsid w:val="0062000C"/>
    <w:rsid w:val="00622EB9"/>
    <w:rsid w:val="00623619"/>
    <w:rsid w:val="0062380D"/>
    <w:rsid w:val="00623D4C"/>
    <w:rsid w:val="0062593B"/>
    <w:rsid w:val="00632CC3"/>
    <w:rsid w:val="00632EC2"/>
    <w:rsid w:val="0064217F"/>
    <w:rsid w:val="006427C9"/>
    <w:rsid w:val="00647D80"/>
    <w:rsid w:val="00647E8F"/>
    <w:rsid w:val="0066127E"/>
    <w:rsid w:val="00665549"/>
    <w:rsid w:val="00665803"/>
    <w:rsid w:val="006741BB"/>
    <w:rsid w:val="0067564A"/>
    <w:rsid w:val="006813D3"/>
    <w:rsid w:val="0068213E"/>
    <w:rsid w:val="00685DD5"/>
    <w:rsid w:val="0069380D"/>
    <w:rsid w:val="0069396A"/>
    <w:rsid w:val="006966DD"/>
    <w:rsid w:val="00697DA5"/>
    <w:rsid w:val="006A088C"/>
    <w:rsid w:val="006A1D85"/>
    <w:rsid w:val="006A772B"/>
    <w:rsid w:val="006A7867"/>
    <w:rsid w:val="006B0B5F"/>
    <w:rsid w:val="006B155B"/>
    <w:rsid w:val="006C4450"/>
    <w:rsid w:val="006D0E5C"/>
    <w:rsid w:val="006E3AAB"/>
    <w:rsid w:val="006E4804"/>
    <w:rsid w:val="006E5EC8"/>
    <w:rsid w:val="006E79F2"/>
    <w:rsid w:val="006F2BA8"/>
    <w:rsid w:val="006F5850"/>
    <w:rsid w:val="006F7ACC"/>
    <w:rsid w:val="007020CA"/>
    <w:rsid w:val="00702215"/>
    <w:rsid w:val="007024A0"/>
    <w:rsid w:val="00702AE9"/>
    <w:rsid w:val="007065FB"/>
    <w:rsid w:val="00707F3B"/>
    <w:rsid w:val="007122AB"/>
    <w:rsid w:val="00713D89"/>
    <w:rsid w:val="00723FFB"/>
    <w:rsid w:val="007317D2"/>
    <w:rsid w:val="00731A41"/>
    <w:rsid w:val="00732317"/>
    <w:rsid w:val="007350AD"/>
    <w:rsid w:val="00736279"/>
    <w:rsid w:val="007422C7"/>
    <w:rsid w:val="00746899"/>
    <w:rsid w:val="00746A80"/>
    <w:rsid w:val="007503C7"/>
    <w:rsid w:val="00750CB4"/>
    <w:rsid w:val="007510B4"/>
    <w:rsid w:val="0075269A"/>
    <w:rsid w:val="007540AE"/>
    <w:rsid w:val="00754CB5"/>
    <w:rsid w:val="0075626C"/>
    <w:rsid w:val="00756577"/>
    <w:rsid w:val="0075673E"/>
    <w:rsid w:val="00756F6A"/>
    <w:rsid w:val="0076645F"/>
    <w:rsid w:val="00767B04"/>
    <w:rsid w:val="0077047B"/>
    <w:rsid w:val="0077707A"/>
    <w:rsid w:val="00777DEF"/>
    <w:rsid w:val="0078004B"/>
    <w:rsid w:val="00780FBB"/>
    <w:rsid w:val="00783E43"/>
    <w:rsid w:val="00785E72"/>
    <w:rsid w:val="007908DF"/>
    <w:rsid w:val="00793DC8"/>
    <w:rsid w:val="007A00EA"/>
    <w:rsid w:val="007C0196"/>
    <w:rsid w:val="007D2466"/>
    <w:rsid w:val="007D352F"/>
    <w:rsid w:val="007E0EEA"/>
    <w:rsid w:val="007E4069"/>
    <w:rsid w:val="007E448A"/>
    <w:rsid w:val="007E5934"/>
    <w:rsid w:val="007E669C"/>
    <w:rsid w:val="007E6FB4"/>
    <w:rsid w:val="007F1987"/>
    <w:rsid w:val="007F54AB"/>
    <w:rsid w:val="007F6BD6"/>
    <w:rsid w:val="008019CE"/>
    <w:rsid w:val="00805BDB"/>
    <w:rsid w:val="00806BF6"/>
    <w:rsid w:val="00807746"/>
    <w:rsid w:val="0080789B"/>
    <w:rsid w:val="008153C6"/>
    <w:rsid w:val="00815915"/>
    <w:rsid w:val="00815AAF"/>
    <w:rsid w:val="00824AB6"/>
    <w:rsid w:val="00827C42"/>
    <w:rsid w:val="008344B7"/>
    <w:rsid w:val="00837F59"/>
    <w:rsid w:val="0084298A"/>
    <w:rsid w:val="00845AB6"/>
    <w:rsid w:val="00845B8A"/>
    <w:rsid w:val="00847535"/>
    <w:rsid w:val="00847BA0"/>
    <w:rsid w:val="0085477B"/>
    <w:rsid w:val="00856678"/>
    <w:rsid w:val="00862F5B"/>
    <w:rsid w:val="00866C07"/>
    <w:rsid w:val="008707F5"/>
    <w:rsid w:val="00872E55"/>
    <w:rsid w:val="00874B1E"/>
    <w:rsid w:val="00875C4A"/>
    <w:rsid w:val="0087630B"/>
    <w:rsid w:val="008776F8"/>
    <w:rsid w:val="00877950"/>
    <w:rsid w:val="008819CE"/>
    <w:rsid w:val="008935EF"/>
    <w:rsid w:val="00893CC0"/>
    <w:rsid w:val="00897B12"/>
    <w:rsid w:val="008A27D1"/>
    <w:rsid w:val="008B2BB8"/>
    <w:rsid w:val="008B4B4F"/>
    <w:rsid w:val="008B6E64"/>
    <w:rsid w:val="008C0A45"/>
    <w:rsid w:val="008C31FB"/>
    <w:rsid w:val="008C3B80"/>
    <w:rsid w:val="008C3DDC"/>
    <w:rsid w:val="008C5B22"/>
    <w:rsid w:val="008D1762"/>
    <w:rsid w:val="008D249A"/>
    <w:rsid w:val="008D3AB5"/>
    <w:rsid w:val="008E0FBF"/>
    <w:rsid w:val="008F5899"/>
    <w:rsid w:val="00901F99"/>
    <w:rsid w:val="00902854"/>
    <w:rsid w:val="00903F28"/>
    <w:rsid w:val="0090798C"/>
    <w:rsid w:val="00911712"/>
    <w:rsid w:val="009146AD"/>
    <w:rsid w:val="00917E36"/>
    <w:rsid w:val="00921BBD"/>
    <w:rsid w:val="009233AF"/>
    <w:rsid w:val="00935E1C"/>
    <w:rsid w:val="0093631F"/>
    <w:rsid w:val="00937C3C"/>
    <w:rsid w:val="00941306"/>
    <w:rsid w:val="009417DD"/>
    <w:rsid w:val="00941865"/>
    <w:rsid w:val="00942BC7"/>
    <w:rsid w:val="009456B2"/>
    <w:rsid w:val="009459B0"/>
    <w:rsid w:val="00947447"/>
    <w:rsid w:val="00952B99"/>
    <w:rsid w:val="009539DA"/>
    <w:rsid w:val="00954CDF"/>
    <w:rsid w:val="00962513"/>
    <w:rsid w:val="0096546D"/>
    <w:rsid w:val="00965F83"/>
    <w:rsid w:val="00971F0A"/>
    <w:rsid w:val="00974187"/>
    <w:rsid w:val="00976655"/>
    <w:rsid w:val="0097726A"/>
    <w:rsid w:val="00980FCB"/>
    <w:rsid w:val="00984EA8"/>
    <w:rsid w:val="00987BB5"/>
    <w:rsid w:val="0099054C"/>
    <w:rsid w:val="00990F31"/>
    <w:rsid w:val="009949F5"/>
    <w:rsid w:val="00996162"/>
    <w:rsid w:val="00996191"/>
    <w:rsid w:val="00996BD8"/>
    <w:rsid w:val="009A15AB"/>
    <w:rsid w:val="009A3E3D"/>
    <w:rsid w:val="009A487A"/>
    <w:rsid w:val="009A522B"/>
    <w:rsid w:val="009A6BD4"/>
    <w:rsid w:val="009A7BA5"/>
    <w:rsid w:val="009B2B4A"/>
    <w:rsid w:val="009B75C7"/>
    <w:rsid w:val="009C37DA"/>
    <w:rsid w:val="009D0510"/>
    <w:rsid w:val="009D44EF"/>
    <w:rsid w:val="009D708C"/>
    <w:rsid w:val="009E2993"/>
    <w:rsid w:val="009E3773"/>
    <w:rsid w:val="009F0798"/>
    <w:rsid w:val="009F158C"/>
    <w:rsid w:val="009F41D1"/>
    <w:rsid w:val="00A231EC"/>
    <w:rsid w:val="00A24023"/>
    <w:rsid w:val="00A244C1"/>
    <w:rsid w:val="00A25E62"/>
    <w:rsid w:val="00A30954"/>
    <w:rsid w:val="00A4352B"/>
    <w:rsid w:val="00A522A1"/>
    <w:rsid w:val="00A54CD0"/>
    <w:rsid w:val="00A5571C"/>
    <w:rsid w:val="00A56BD5"/>
    <w:rsid w:val="00A635E8"/>
    <w:rsid w:val="00A64B86"/>
    <w:rsid w:val="00A660BD"/>
    <w:rsid w:val="00A73FA4"/>
    <w:rsid w:val="00A77F55"/>
    <w:rsid w:val="00A83A01"/>
    <w:rsid w:val="00A9040F"/>
    <w:rsid w:val="00A9405B"/>
    <w:rsid w:val="00A952AA"/>
    <w:rsid w:val="00A954CF"/>
    <w:rsid w:val="00A96708"/>
    <w:rsid w:val="00AA1040"/>
    <w:rsid w:val="00AA1B5D"/>
    <w:rsid w:val="00AA2A29"/>
    <w:rsid w:val="00AA3EB5"/>
    <w:rsid w:val="00AA6296"/>
    <w:rsid w:val="00AB6AA0"/>
    <w:rsid w:val="00AC12ED"/>
    <w:rsid w:val="00AC1E50"/>
    <w:rsid w:val="00AC6457"/>
    <w:rsid w:val="00AC6695"/>
    <w:rsid w:val="00AC715D"/>
    <w:rsid w:val="00AD1E0E"/>
    <w:rsid w:val="00AD329D"/>
    <w:rsid w:val="00AD4FAD"/>
    <w:rsid w:val="00AE3AD4"/>
    <w:rsid w:val="00AE4CBE"/>
    <w:rsid w:val="00AE643E"/>
    <w:rsid w:val="00AF313F"/>
    <w:rsid w:val="00B03615"/>
    <w:rsid w:val="00B03AC4"/>
    <w:rsid w:val="00B112A6"/>
    <w:rsid w:val="00B152B2"/>
    <w:rsid w:val="00B15BD8"/>
    <w:rsid w:val="00B23E00"/>
    <w:rsid w:val="00B23ECB"/>
    <w:rsid w:val="00B24706"/>
    <w:rsid w:val="00B2577B"/>
    <w:rsid w:val="00B26A86"/>
    <w:rsid w:val="00B34788"/>
    <w:rsid w:val="00B35C0B"/>
    <w:rsid w:val="00B40CB2"/>
    <w:rsid w:val="00B43403"/>
    <w:rsid w:val="00B44E92"/>
    <w:rsid w:val="00B519B9"/>
    <w:rsid w:val="00B554FF"/>
    <w:rsid w:val="00B570C6"/>
    <w:rsid w:val="00B602F8"/>
    <w:rsid w:val="00B60726"/>
    <w:rsid w:val="00B63732"/>
    <w:rsid w:val="00B642B8"/>
    <w:rsid w:val="00B64565"/>
    <w:rsid w:val="00B65F32"/>
    <w:rsid w:val="00B72A27"/>
    <w:rsid w:val="00B8294A"/>
    <w:rsid w:val="00B82EA2"/>
    <w:rsid w:val="00B837BE"/>
    <w:rsid w:val="00B84C42"/>
    <w:rsid w:val="00B930A1"/>
    <w:rsid w:val="00B93B98"/>
    <w:rsid w:val="00B94527"/>
    <w:rsid w:val="00BA4689"/>
    <w:rsid w:val="00BB313A"/>
    <w:rsid w:val="00BB323F"/>
    <w:rsid w:val="00BB4B21"/>
    <w:rsid w:val="00BB5D43"/>
    <w:rsid w:val="00BB647E"/>
    <w:rsid w:val="00BC2229"/>
    <w:rsid w:val="00BC3DA3"/>
    <w:rsid w:val="00BD009E"/>
    <w:rsid w:val="00BD06CF"/>
    <w:rsid w:val="00BD132E"/>
    <w:rsid w:val="00BD6793"/>
    <w:rsid w:val="00BE087B"/>
    <w:rsid w:val="00BE22D4"/>
    <w:rsid w:val="00BE256A"/>
    <w:rsid w:val="00BE7680"/>
    <w:rsid w:val="00BF2CC0"/>
    <w:rsid w:val="00BF6E52"/>
    <w:rsid w:val="00BF73AF"/>
    <w:rsid w:val="00C0063F"/>
    <w:rsid w:val="00C02F0A"/>
    <w:rsid w:val="00C07ED3"/>
    <w:rsid w:val="00C15EF0"/>
    <w:rsid w:val="00C16319"/>
    <w:rsid w:val="00C16E64"/>
    <w:rsid w:val="00C2063C"/>
    <w:rsid w:val="00C21566"/>
    <w:rsid w:val="00C260B7"/>
    <w:rsid w:val="00C30521"/>
    <w:rsid w:val="00C31C07"/>
    <w:rsid w:val="00C3579C"/>
    <w:rsid w:val="00C36871"/>
    <w:rsid w:val="00C41B25"/>
    <w:rsid w:val="00C450B6"/>
    <w:rsid w:val="00C45168"/>
    <w:rsid w:val="00C4563B"/>
    <w:rsid w:val="00C477AB"/>
    <w:rsid w:val="00C52535"/>
    <w:rsid w:val="00C534F7"/>
    <w:rsid w:val="00C53BCE"/>
    <w:rsid w:val="00C54992"/>
    <w:rsid w:val="00C55371"/>
    <w:rsid w:val="00C55C7E"/>
    <w:rsid w:val="00C573D5"/>
    <w:rsid w:val="00C62F42"/>
    <w:rsid w:val="00C6668D"/>
    <w:rsid w:val="00C71A6E"/>
    <w:rsid w:val="00C74467"/>
    <w:rsid w:val="00C80728"/>
    <w:rsid w:val="00C80B60"/>
    <w:rsid w:val="00C81957"/>
    <w:rsid w:val="00C8486C"/>
    <w:rsid w:val="00C87725"/>
    <w:rsid w:val="00C90094"/>
    <w:rsid w:val="00C91EB6"/>
    <w:rsid w:val="00C92E4A"/>
    <w:rsid w:val="00C92EFC"/>
    <w:rsid w:val="00CA22D8"/>
    <w:rsid w:val="00CA6452"/>
    <w:rsid w:val="00CA6D87"/>
    <w:rsid w:val="00CB1153"/>
    <w:rsid w:val="00CB6D91"/>
    <w:rsid w:val="00CC42DB"/>
    <w:rsid w:val="00CC487C"/>
    <w:rsid w:val="00CC56E9"/>
    <w:rsid w:val="00CC65A3"/>
    <w:rsid w:val="00CD2BC2"/>
    <w:rsid w:val="00CD378D"/>
    <w:rsid w:val="00CE2613"/>
    <w:rsid w:val="00CE289C"/>
    <w:rsid w:val="00CE347A"/>
    <w:rsid w:val="00CE3511"/>
    <w:rsid w:val="00CE3F91"/>
    <w:rsid w:val="00CE5E0F"/>
    <w:rsid w:val="00CF1B85"/>
    <w:rsid w:val="00D0786A"/>
    <w:rsid w:val="00D10B4F"/>
    <w:rsid w:val="00D16EE0"/>
    <w:rsid w:val="00D210DB"/>
    <w:rsid w:val="00D21393"/>
    <w:rsid w:val="00D23876"/>
    <w:rsid w:val="00D23D16"/>
    <w:rsid w:val="00D306B4"/>
    <w:rsid w:val="00D35605"/>
    <w:rsid w:val="00D42A4D"/>
    <w:rsid w:val="00D45435"/>
    <w:rsid w:val="00D52B7D"/>
    <w:rsid w:val="00D562AF"/>
    <w:rsid w:val="00D60F52"/>
    <w:rsid w:val="00D62520"/>
    <w:rsid w:val="00D65F90"/>
    <w:rsid w:val="00D74271"/>
    <w:rsid w:val="00D75AA8"/>
    <w:rsid w:val="00D76377"/>
    <w:rsid w:val="00D77FC3"/>
    <w:rsid w:val="00D8282A"/>
    <w:rsid w:val="00D82FF1"/>
    <w:rsid w:val="00D84D3F"/>
    <w:rsid w:val="00D92D75"/>
    <w:rsid w:val="00D93444"/>
    <w:rsid w:val="00DA60EA"/>
    <w:rsid w:val="00DA6399"/>
    <w:rsid w:val="00DB1931"/>
    <w:rsid w:val="00DB398D"/>
    <w:rsid w:val="00DB6472"/>
    <w:rsid w:val="00DC18E0"/>
    <w:rsid w:val="00DC6103"/>
    <w:rsid w:val="00DC65A1"/>
    <w:rsid w:val="00DD21BF"/>
    <w:rsid w:val="00DD42F1"/>
    <w:rsid w:val="00DD5670"/>
    <w:rsid w:val="00DE24DE"/>
    <w:rsid w:val="00DE689B"/>
    <w:rsid w:val="00DE6D61"/>
    <w:rsid w:val="00E00206"/>
    <w:rsid w:val="00E02A38"/>
    <w:rsid w:val="00E048DE"/>
    <w:rsid w:val="00E04E98"/>
    <w:rsid w:val="00E10439"/>
    <w:rsid w:val="00E139CA"/>
    <w:rsid w:val="00E16E55"/>
    <w:rsid w:val="00E20128"/>
    <w:rsid w:val="00E20577"/>
    <w:rsid w:val="00E252B8"/>
    <w:rsid w:val="00E278B5"/>
    <w:rsid w:val="00E3153B"/>
    <w:rsid w:val="00E331AC"/>
    <w:rsid w:val="00E33D71"/>
    <w:rsid w:val="00E37213"/>
    <w:rsid w:val="00E454FF"/>
    <w:rsid w:val="00E50D5F"/>
    <w:rsid w:val="00E51240"/>
    <w:rsid w:val="00E65C7F"/>
    <w:rsid w:val="00E66CC9"/>
    <w:rsid w:val="00E707DF"/>
    <w:rsid w:val="00E74517"/>
    <w:rsid w:val="00E75A4A"/>
    <w:rsid w:val="00E760AA"/>
    <w:rsid w:val="00E812E3"/>
    <w:rsid w:val="00E909D8"/>
    <w:rsid w:val="00E92B50"/>
    <w:rsid w:val="00E9344B"/>
    <w:rsid w:val="00E937AB"/>
    <w:rsid w:val="00E95682"/>
    <w:rsid w:val="00EA015A"/>
    <w:rsid w:val="00EA061A"/>
    <w:rsid w:val="00EA2540"/>
    <w:rsid w:val="00EA3943"/>
    <w:rsid w:val="00EA7676"/>
    <w:rsid w:val="00EB0B58"/>
    <w:rsid w:val="00EB19FC"/>
    <w:rsid w:val="00EB31F4"/>
    <w:rsid w:val="00EB3E6D"/>
    <w:rsid w:val="00EB5899"/>
    <w:rsid w:val="00EC2876"/>
    <w:rsid w:val="00EC4A8C"/>
    <w:rsid w:val="00EC545D"/>
    <w:rsid w:val="00EC6BCC"/>
    <w:rsid w:val="00ED7AAA"/>
    <w:rsid w:val="00EE11B9"/>
    <w:rsid w:val="00EE1E22"/>
    <w:rsid w:val="00EE45A6"/>
    <w:rsid w:val="00EF159B"/>
    <w:rsid w:val="00EF2E51"/>
    <w:rsid w:val="00F02E42"/>
    <w:rsid w:val="00F030F3"/>
    <w:rsid w:val="00F07475"/>
    <w:rsid w:val="00F12FE0"/>
    <w:rsid w:val="00F202BC"/>
    <w:rsid w:val="00F22B59"/>
    <w:rsid w:val="00F3630F"/>
    <w:rsid w:val="00F4678F"/>
    <w:rsid w:val="00F50129"/>
    <w:rsid w:val="00F51852"/>
    <w:rsid w:val="00F52FEE"/>
    <w:rsid w:val="00F57EA4"/>
    <w:rsid w:val="00F61E05"/>
    <w:rsid w:val="00F61E12"/>
    <w:rsid w:val="00F67992"/>
    <w:rsid w:val="00F67F51"/>
    <w:rsid w:val="00F7760E"/>
    <w:rsid w:val="00F77A7B"/>
    <w:rsid w:val="00F80904"/>
    <w:rsid w:val="00F82516"/>
    <w:rsid w:val="00F82CCC"/>
    <w:rsid w:val="00F82D59"/>
    <w:rsid w:val="00FA27D7"/>
    <w:rsid w:val="00FA3D9E"/>
    <w:rsid w:val="00FA5373"/>
    <w:rsid w:val="00FA6533"/>
    <w:rsid w:val="00FB17DA"/>
    <w:rsid w:val="00FB59EB"/>
    <w:rsid w:val="00FC14C6"/>
    <w:rsid w:val="00FC6478"/>
    <w:rsid w:val="00FD1BA1"/>
    <w:rsid w:val="00FD262B"/>
    <w:rsid w:val="00FE022D"/>
    <w:rsid w:val="00FE1090"/>
    <w:rsid w:val="00FF2613"/>
    <w:rsid w:val="00FF31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BD76B46"/>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6E4804"/>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semiHidden/>
    <w:unhideWhenUsed/>
    <w:qFormat/>
    <w:rsid w:val="00C92E4A"/>
    <w:pPr>
      <w:keepNext/>
      <w:spacing w:before="240" w:after="60"/>
      <w:outlineLvl w:val="1"/>
    </w:pPr>
    <w:rPr>
      <w:rFonts w:ascii="Calibri Light" w:eastAsia="Times New Roman" w:hAnsi="Calibri Light"/>
      <w:b/>
      <w:bCs/>
      <w:i/>
      <w:iCs/>
      <w:sz w:val="28"/>
      <w:szCs w:val="28"/>
    </w:rPr>
  </w:style>
  <w:style w:type="paragraph" w:styleId="3">
    <w:name w:val="heading 3"/>
    <w:basedOn w:val="a"/>
    <w:next w:val="a"/>
    <w:link w:val="30"/>
    <w:uiPriority w:val="9"/>
    <w:unhideWhenUsed/>
    <w:qFormat/>
    <w:rsid w:val="005E7475"/>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FB17DA"/>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6">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5C4849"/>
    <w:rPr>
      <w:i/>
      <w:iCs/>
      <w:spacing w:val="0"/>
      <w:sz w:val="16"/>
      <w:szCs w:val="16"/>
    </w:rPr>
  </w:style>
  <w:style w:type="character" w:customStyle="1" w:styleId="574">
    <w:name w:val="Основной текст (5)74"/>
    <w:uiPriority w:val="99"/>
    <w:rsid w:val="005C4849"/>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5C4849"/>
    <w:rPr>
      <w:i/>
      <w:iCs/>
      <w:spacing w:val="-10"/>
      <w:sz w:val="17"/>
      <w:szCs w:val="17"/>
    </w:rPr>
  </w:style>
  <w:style w:type="character" w:customStyle="1" w:styleId="58445pt60510pt90">
    <w:name w:val="Основной текст (5) + 844.5 pt60.Не курсив51.Интервал 0 pt90"/>
    <w:uiPriority w:val="99"/>
    <w:rsid w:val="005C4849"/>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5C4849"/>
    <w:rPr>
      <w:i/>
      <w:iCs/>
      <w:spacing w:val="-10"/>
      <w:sz w:val="17"/>
      <w:szCs w:val="17"/>
    </w:rPr>
  </w:style>
  <w:style w:type="character" w:customStyle="1" w:styleId="573">
    <w:name w:val="Основной текст (5)73"/>
    <w:uiPriority w:val="99"/>
    <w:rsid w:val="005C4849"/>
    <w:rPr>
      <w:i/>
      <w:iCs/>
      <w:spacing w:val="0"/>
      <w:sz w:val="16"/>
      <w:szCs w:val="16"/>
    </w:rPr>
  </w:style>
  <w:style w:type="character" w:customStyle="1" w:styleId="572">
    <w:name w:val="Основной текст (5)72"/>
    <w:uiPriority w:val="99"/>
    <w:rsid w:val="005C4849"/>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5C4849"/>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5C4849"/>
    <w:rPr>
      <w:b/>
      <w:bCs/>
      <w:i/>
      <w:iCs/>
      <w:spacing w:val="0"/>
      <w:sz w:val="17"/>
      <w:szCs w:val="17"/>
    </w:rPr>
  </w:style>
  <w:style w:type="character" w:customStyle="1" w:styleId="571">
    <w:name w:val="Основной текст (5)71"/>
    <w:uiPriority w:val="99"/>
    <w:rsid w:val="005C4849"/>
    <w:rPr>
      <w:i/>
      <w:iCs/>
      <w:spacing w:val="0"/>
      <w:sz w:val="16"/>
      <w:szCs w:val="16"/>
    </w:rPr>
  </w:style>
  <w:style w:type="character" w:customStyle="1" w:styleId="203">
    <w:name w:val="Основной текст (20)"/>
    <w:uiPriority w:val="99"/>
    <w:rsid w:val="005C4849"/>
    <w:rPr>
      <w:b/>
      <w:bCs/>
      <w:i/>
      <w:iCs/>
      <w:sz w:val="15"/>
      <w:szCs w:val="15"/>
    </w:rPr>
  </w:style>
  <w:style w:type="character" w:customStyle="1" w:styleId="2030">
    <w:name w:val="Основной текст (20)3"/>
    <w:uiPriority w:val="99"/>
    <w:rsid w:val="005C4849"/>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5C4849"/>
    <w:rPr>
      <w:rFonts w:ascii="Arial Unicode MS" w:eastAsia="Arial Unicode MS" w:cs="Arial Unicode MS"/>
      <w:b/>
      <w:bCs/>
      <w:i/>
      <w:iCs/>
      <w:noProof/>
      <w:sz w:val="16"/>
      <w:szCs w:val="16"/>
    </w:rPr>
  </w:style>
  <w:style w:type="character" w:customStyle="1" w:styleId="2020">
    <w:name w:val="Основной текст (20)2"/>
    <w:uiPriority w:val="99"/>
    <w:rsid w:val="005C4849"/>
    <w:rPr>
      <w:b/>
      <w:bCs/>
      <w:i/>
      <w:iCs/>
      <w:sz w:val="15"/>
      <w:szCs w:val="15"/>
    </w:rPr>
  </w:style>
  <w:style w:type="character" w:customStyle="1" w:styleId="363">
    <w:name w:val="Основной текст (36) + Не курсив3"/>
    <w:uiPriority w:val="99"/>
    <w:rsid w:val="005C4849"/>
    <w:rPr>
      <w:rFonts w:ascii="Arial" w:hAnsi="Arial" w:cs="Arial"/>
      <w:spacing w:val="0"/>
      <w:sz w:val="8"/>
      <w:szCs w:val="8"/>
    </w:rPr>
  </w:style>
  <w:style w:type="character" w:customStyle="1" w:styleId="48">
    <w:name w:val="Основной текст + Курсив4"/>
    <w:uiPriority w:val="99"/>
    <w:rsid w:val="005C4849"/>
    <w:rPr>
      <w:rFonts w:ascii="Century Gothic" w:hAnsi="Century Gothic" w:cs="Century Gothic"/>
      <w:i/>
      <w:iCs/>
      <w:spacing w:val="-10"/>
      <w:sz w:val="17"/>
      <w:szCs w:val="17"/>
    </w:rPr>
  </w:style>
  <w:style w:type="character" w:customStyle="1" w:styleId="362">
    <w:name w:val="Основной текст (36) + Не курсив2"/>
    <w:uiPriority w:val="99"/>
    <w:rsid w:val="005C4849"/>
    <w:rPr>
      <w:rFonts w:ascii="Arial" w:hAnsi="Arial" w:cs="Arial"/>
      <w:spacing w:val="0"/>
      <w:sz w:val="8"/>
      <w:szCs w:val="8"/>
    </w:rPr>
  </w:style>
  <w:style w:type="character" w:customStyle="1" w:styleId="400">
    <w:name w:val="Основной текст (40) + Не курсив"/>
    <w:uiPriority w:val="99"/>
    <w:rsid w:val="005C4849"/>
    <w:rPr>
      <w:rFonts w:ascii="Arial" w:hAnsi="Arial" w:cs="Arial"/>
      <w:noProof/>
      <w:spacing w:val="0"/>
      <w:sz w:val="8"/>
      <w:szCs w:val="8"/>
    </w:rPr>
  </w:style>
  <w:style w:type="paragraph" w:customStyle="1" w:styleId="380">
    <w:name w:val="Основной текст (38)"/>
    <w:basedOn w:val="a"/>
    <w:uiPriority w:val="99"/>
    <w:rsid w:val="005C4849"/>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5C4849"/>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6E4804"/>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6E4804"/>
    <w:rPr>
      <w:rFonts w:ascii="Cambria" w:eastAsia="Times New Roman" w:hAnsi="Cambria" w:cs="Times New Roman"/>
      <w:b/>
      <w:bCs/>
      <w:color w:val="365F91"/>
      <w:sz w:val="28"/>
      <w:szCs w:val="28"/>
    </w:rPr>
  </w:style>
  <w:style w:type="character" w:customStyle="1" w:styleId="30">
    <w:name w:val="Заголовок 3 Знак"/>
    <w:link w:val="3"/>
    <w:uiPriority w:val="9"/>
    <w:rsid w:val="005E7475"/>
    <w:rPr>
      <w:rFonts w:ascii="Cambria" w:eastAsia="Times New Roman" w:hAnsi="Cambria" w:cs="Times New Roman"/>
      <w:color w:val="243F60"/>
      <w:sz w:val="24"/>
      <w:szCs w:val="24"/>
      <w:lang w:eastAsia="ru-RU"/>
    </w:rPr>
  </w:style>
  <w:style w:type="character" w:customStyle="1" w:styleId="151">
    <w:name w:val="Основной текст (15)_"/>
    <w:link w:val="152"/>
    <w:uiPriority w:val="99"/>
    <w:rsid w:val="005E7475"/>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5E7475"/>
    <w:pPr>
      <w:shd w:val="clear" w:color="auto" w:fill="FFFFFF"/>
      <w:spacing w:after="0" w:line="432" w:lineRule="exact"/>
      <w:jc w:val="both"/>
    </w:pPr>
    <w:rPr>
      <w:rFonts w:ascii="Franklin Gothic Heavy" w:eastAsia="Franklin Gothic Heavy" w:hAnsi="Franklin Gothic Heavy" w:cs="Franklin Gothic Heavy"/>
      <w:sz w:val="33"/>
      <w:szCs w:val="33"/>
    </w:rPr>
  </w:style>
  <w:style w:type="character" w:customStyle="1" w:styleId="440">
    <w:name w:val="Основной текст (44)_"/>
    <w:link w:val="44"/>
    <w:rsid w:val="00FF3124"/>
    <w:rPr>
      <w:rFonts w:ascii="MS Mincho" w:eastAsia="MS Mincho" w:hAnsi="Times New Roman" w:cs="MS Mincho"/>
      <w:noProof/>
      <w:sz w:val="8"/>
      <w:szCs w:val="8"/>
      <w:shd w:val="clear" w:color="auto" w:fill="FFFFFF"/>
      <w:lang w:val="en-US"/>
    </w:rPr>
  </w:style>
  <w:style w:type="character" w:customStyle="1" w:styleId="40">
    <w:name w:val="Заголовок 4 Знак"/>
    <w:link w:val="4"/>
    <w:uiPriority w:val="9"/>
    <w:rsid w:val="00FB17DA"/>
    <w:rPr>
      <w:rFonts w:ascii="Cambria" w:eastAsia="Times New Roman" w:hAnsi="Cambria" w:cs="Times New Roman"/>
      <w:i/>
      <w:iCs/>
      <w:color w:val="365F91"/>
      <w:sz w:val="20"/>
      <w:szCs w:val="20"/>
      <w:lang w:eastAsia="ru-RU"/>
    </w:rPr>
  </w:style>
  <w:style w:type="character" w:customStyle="1" w:styleId="MicrosoftSansSerif">
    <w:name w:val="Основной текст + Microsoft Sans Serif"/>
    <w:rsid w:val="00824AB6"/>
    <w:rPr>
      <w:rFonts w:ascii="Microsoft Sans Serif" w:hAnsi="Microsoft Sans Serif"/>
      <w:i/>
      <w:spacing w:val="10"/>
      <w:sz w:val="15"/>
    </w:rPr>
  </w:style>
  <w:style w:type="paragraph" w:customStyle="1" w:styleId="59">
    <w:name w:val="Подпись к таблице (5)"/>
    <w:basedOn w:val="a"/>
    <w:rsid w:val="00824AB6"/>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50pt">
    <w:name w:val="Подпись к таблице (5) + Интервал 0 pt"/>
    <w:rsid w:val="00824AB6"/>
    <w:rPr>
      <w:rFonts w:ascii="Times New Roman" w:hAnsi="Times New Roman"/>
      <w:spacing w:val="10"/>
      <w:sz w:val="16"/>
    </w:rPr>
  </w:style>
  <w:style w:type="character" w:customStyle="1" w:styleId="478pt">
    <w:name w:val="Основной текст (47) + 8 pt"/>
    <w:rsid w:val="00EF2E51"/>
    <w:rPr>
      <w:rFonts w:ascii="Times New Roman" w:hAnsi="Times New Roman"/>
      <w:spacing w:val="0"/>
      <w:sz w:val="16"/>
    </w:rPr>
  </w:style>
  <w:style w:type="character" w:customStyle="1" w:styleId="47BookmanOldStyle">
    <w:name w:val="Основной текст (47) + Bookman Old Style"/>
    <w:rsid w:val="00EF2E51"/>
    <w:rPr>
      <w:rFonts w:ascii="Bookman Old Style" w:hAnsi="Bookman Old Style"/>
      <w:spacing w:val="0"/>
      <w:sz w:val="13"/>
    </w:rPr>
  </w:style>
  <w:style w:type="character" w:customStyle="1" w:styleId="aff2">
    <w:name w:val="Подпись к таблице_"/>
    <w:link w:val="aff1"/>
    <w:rsid w:val="00877950"/>
    <w:rPr>
      <w:rFonts w:ascii="Arial Narrow" w:hAnsi="Arial Narrow" w:cs="Arial Narrow"/>
      <w:i/>
      <w:iCs/>
      <w:noProof/>
      <w:sz w:val="20"/>
      <w:szCs w:val="20"/>
      <w:shd w:val="clear" w:color="auto" w:fill="FFFFFF"/>
      <w:lang w:val="en-US"/>
    </w:rPr>
  </w:style>
  <w:style w:type="paragraph" w:customStyle="1" w:styleId="65">
    <w:name w:val="Основной текст (6)"/>
    <w:basedOn w:val="a"/>
    <w:link w:val="66"/>
    <w:rsid w:val="00877950"/>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6">
    <w:name w:val="Основной текст (6)_"/>
    <w:link w:val="65"/>
    <w:uiPriority w:val="99"/>
    <w:rsid w:val="00877950"/>
    <w:rPr>
      <w:rFonts w:ascii="Calibri" w:eastAsia="Times New Roman" w:hAnsi="Calibri" w:cs="Times New Roman"/>
      <w:sz w:val="24"/>
      <w:szCs w:val="20"/>
      <w:shd w:val="clear" w:color="auto" w:fill="FFFFFF"/>
      <w:lang w:eastAsia="ru-RU"/>
    </w:rPr>
  </w:style>
  <w:style w:type="character" w:customStyle="1" w:styleId="710">
    <w:name w:val="Основной текст + 71"/>
    <w:aliases w:val="5 pt1,Малые прописные,Основной текст + Times New Roman1,81,5 pt2,Полужирный5,Основной текст + Arial Unicode MS1,Основной текст + 82,Основной текст + 9 pt2,Основной текст + MS Reference Sans Serif1"/>
    <w:uiPriority w:val="99"/>
    <w:rsid w:val="00877950"/>
    <w:rPr>
      <w:rFonts w:ascii="Arial Narrow" w:hAnsi="Arial Narrow" w:cs="Arial Narrow"/>
      <w:smallCaps/>
      <w:spacing w:val="0"/>
      <w:sz w:val="15"/>
      <w:szCs w:val="15"/>
    </w:rPr>
  </w:style>
  <w:style w:type="paragraph" w:customStyle="1" w:styleId="130">
    <w:name w:val="Основной текст (13)"/>
    <w:basedOn w:val="a"/>
    <w:rsid w:val="00513C11"/>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01">
    <w:name w:val="Основной текст (30)"/>
    <w:basedOn w:val="a"/>
    <w:link w:val="302"/>
    <w:rsid w:val="00513C11"/>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513C11"/>
    <w:rPr>
      <w:rFonts w:ascii="Gungsuh" w:eastAsia="Gungsuh" w:hAnsi="Times New Roman" w:cs="Times New Roman"/>
      <w:sz w:val="8"/>
      <w:szCs w:val="20"/>
      <w:shd w:val="clear" w:color="auto" w:fill="FFFFFF"/>
      <w:lang w:eastAsia="ru-RU"/>
    </w:rPr>
  </w:style>
  <w:style w:type="paragraph" w:customStyle="1" w:styleId="103">
    <w:name w:val="Основной текст (10)"/>
    <w:basedOn w:val="a"/>
    <w:link w:val="104"/>
    <w:rsid w:val="00CB6D91"/>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rsid w:val="00CB6D91"/>
    <w:rPr>
      <w:rFonts w:ascii="Arial" w:eastAsia="Times New Roman" w:hAnsi="Arial" w:cs="Times New Roman"/>
      <w:sz w:val="11"/>
      <w:szCs w:val="20"/>
      <w:shd w:val="clear" w:color="auto" w:fill="FFFFFF"/>
      <w:lang w:eastAsia="ru-RU"/>
    </w:rPr>
  </w:style>
  <w:style w:type="paragraph" w:customStyle="1" w:styleId="67">
    <w:name w:val="Подпись к таблице (6)"/>
    <w:basedOn w:val="a"/>
    <w:rsid w:val="00CB6D91"/>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
    <w:name w:val="Подпись к таблице (6) + 8"/>
    <w:rsid w:val="00CB6D91"/>
    <w:rPr>
      <w:rFonts w:ascii="Microsoft Sans Serif" w:hAnsi="Microsoft Sans Serif"/>
      <w:b/>
      <w:sz w:val="17"/>
    </w:rPr>
  </w:style>
  <w:style w:type="paragraph" w:customStyle="1" w:styleId="rteright">
    <w:name w:val="rteright"/>
    <w:basedOn w:val="a"/>
    <w:rsid w:val="009E3773"/>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49">
    <w:name w:val="Заголовок №4"/>
    <w:basedOn w:val="a"/>
    <w:link w:val="4a"/>
    <w:rsid w:val="005E1AD5"/>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5E1AD5"/>
    <w:rPr>
      <w:rFonts w:ascii="Arial" w:eastAsia="Times New Roman" w:hAnsi="Arial" w:cs="Times New Roman"/>
      <w:spacing w:val="-20"/>
      <w:sz w:val="85"/>
      <w:szCs w:val="20"/>
      <w:shd w:val="clear" w:color="auto" w:fill="FFFFFF"/>
      <w:lang w:eastAsia="ru-RU"/>
    </w:rPr>
  </w:style>
  <w:style w:type="paragraph" w:customStyle="1" w:styleId="rtecenter">
    <w:name w:val="rtecenter"/>
    <w:basedOn w:val="a"/>
    <w:rsid w:val="0075269A"/>
    <w:pPr>
      <w:spacing w:before="120" w:after="216" w:line="240" w:lineRule="auto"/>
      <w:jc w:val="center"/>
    </w:pPr>
    <w:rPr>
      <w:rFonts w:ascii="Times New Roman" w:eastAsia="Times New Roman" w:hAnsi="Times New Roman"/>
      <w:sz w:val="24"/>
      <w:szCs w:val="24"/>
      <w:lang w:eastAsia="ru-RU"/>
    </w:rPr>
  </w:style>
  <w:style w:type="paragraph" w:customStyle="1" w:styleId="213">
    <w:name w:val="Основной текст (21)"/>
    <w:basedOn w:val="a"/>
    <w:link w:val="214"/>
    <w:rsid w:val="003562F3"/>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3562F3"/>
    <w:rPr>
      <w:rFonts w:ascii="Calibri" w:eastAsia="Times New Roman" w:hAnsi="Calibri" w:cs="Times New Roman"/>
      <w:sz w:val="16"/>
      <w:szCs w:val="20"/>
      <w:shd w:val="clear" w:color="auto" w:fill="FFFFFF"/>
      <w:lang w:eastAsia="ru-RU"/>
    </w:rPr>
  </w:style>
  <w:style w:type="paragraph" w:customStyle="1" w:styleId="221">
    <w:name w:val="Основной текст (22)"/>
    <w:basedOn w:val="a"/>
    <w:rsid w:val="003562F3"/>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14">
    <w:name w:val="Основной текст (11) + Не курсив"/>
    <w:rsid w:val="003562F3"/>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3562F3"/>
    <w:rPr>
      <w:rFonts w:ascii="Times New Roman" w:eastAsia="Times New Roman" w:hAnsi="Times New Roman" w:cs="Times New Roman"/>
      <w:b/>
      <w:bCs/>
      <w:i w:val="0"/>
      <w:iCs w:val="0"/>
      <w:smallCaps w:val="0"/>
      <w:strike w:val="0"/>
      <w:spacing w:val="0"/>
      <w:sz w:val="18"/>
      <w:szCs w:val="18"/>
    </w:rPr>
  </w:style>
  <w:style w:type="character" w:customStyle="1" w:styleId="115">
    <w:name w:val="Основной текст (11) + Полужирный;Не курсив"/>
    <w:rsid w:val="003562F3"/>
    <w:rPr>
      <w:rFonts w:ascii="Times New Roman" w:eastAsia="Times New Roman" w:hAnsi="Times New Roman" w:cs="Times New Roman"/>
      <w:b/>
      <w:bCs/>
      <w:i/>
      <w:iCs/>
      <w:smallCaps w:val="0"/>
      <w:strike w:val="0"/>
      <w:spacing w:val="0"/>
      <w:sz w:val="17"/>
      <w:szCs w:val="17"/>
    </w:rPr>
  </w:style>
  <w:style w:type="character" w:customStyle="1" w:styleId="83">
    <w:name w:val="Основной текст + Курсив8"/>
    <w:uiPriority w:val="99"/>
    <w:rsid w:val="003562F3"/>
    <w:rPr>
      <w:rFonts w:ascii="Arial Narrow" w:hAnsi="Arial Narrow" w:cs="Arial Narrow"/>
      <w:i/>
      <w:iCs/>
      <w:spacing w:val="0"/>
      <w:sz w:val="17"/>
      <w:szCs w:val="17"/>
    </w:rPr>
  </w:style>
  <w:style w:type="character" w:customStyle="1" w:styleId="highlight">
    <w:name w:val="highlight"/>
    <w:basedOn w:val="a0"/>
    <w:rsid w:val="0078004B"/>
  </w:style>
  <w:style w:type="paragraph" w:customStyle="1" w:styleId="txt1">
    <w:name w:val="txt1"/>
    <w:basedOn w:val="a"/>
    <w:rsid w:val="0078004B"/>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010">
    <w:name w:val="Основной текст (10)1"/>
    <w:basedOn w:val="a"/>
    <w:uiPriority w:val="99"/>
    <w:rsid w:val="000B4A7D"/>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26">
    <w:name w:val="Основной текст (10) + Не курсив26"/>
    <w:uiPriority w:val="99"/>
    <w:rsid w:val="000B4A7D"/>
    <w:rPr>
      <w:rFonts w:ascii="Arial Narrow" w:eastAsia="Times New Roman" w:hAnsi="Arial Narrow" w:cs="Arial Narrow"/>
      <w:b w:val="0"/>
      <w:bCs w:val="0"/>
      <w:i w:val="0"/>
      <w:iCs w:val="0"/>
      <w:smallCaps w:val="0"/>
      <w:strike w:val="0"/>
      <w:spacing w:val="0"/>
      <w:sz w:val="18"/>
      <w:szCs w:val="18"/>
    </w:rPr>
  </w:style>
  <w:style w:type="character" w:customStyle="1" w:styleId="1013">
    <w:name w:val="Основной текст (10) + Полужирный13"/>
    <w:uiPriority w:val="99"/>
    <w:rsid w:val="000B4A7D"/>
    <w:rPr>
      <w:rFonts w:ascii="Arial Narrow" w:eastAsia="Times New Roman" w:hAnsi="Arial Narrow" w:cs="Arial Narrow"/>
      <w:b/>
      <w:bCs/>
      <w:i/>
      <w:iCs/>
      <w:smallCaps w:val="0"/>
      <w:strike w:val="0"/>
      <w:spacing w:val="0"/>
      <w:sz w:val="18"/>
      <w:szCs w:val="18"/>
    </w:rPr>
  </w:style>
  <w:style w:type="character" w:customStyle="1" w:styleId="260">
    <w:name w:val="Основной текст + Курсив26"/>
    <w:uiPriority w:val="99"/>
    <w:rsid w:val="00CB1153"/>
    <w:rPr>
      <w:rFonts w:ascii="Arial Narrow" w:hAnsi="Arial Narrow" w:cs="Arial Narrow"/>
      <w:i/>
      <w:iCs/>
      <w:spacing w:val="0"/>
      <w:sz w:val="18"/>
      <w:szCs w:val="18"/>
      <w:shd w:val="clear" w:color="auto" w:fill="FFFFFF"/>
    </w:rPr>
  </w:style>
  <w:style w:type="paragraph" w:customStyle="1" w:styleId="1a">
    <w:name w:val="Подпись к картинке1"/>
    <w:basedOn w:val="a"/>
    <w:uiPriority w:val="99"/>
    <w:rsid w:val="0084298A"/>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1025">
    <w:name w:val="Основной текст (10) + Не курсив25"/>
    <w:uiPriority w:val="99"/>
    <w:rsid w:val="0084298A"/>
    <w:rPr>
      <w:rFonts w:ascii="Arial Narrow" w:eastAsia="Times New Roman" w:hAnsi="Arial Narrow" w:cs="Arial Narrow"/>
      <w:b w:val="0"/>
      <w:bCs w:val="0"/>
      <w:i w:val="0"/>
      <w:iCs w:val="0"/>
      <w:smallCaps w:val="0"/>
      <w:strike w:val="0"/>
      <w:spacing w:val="0"/>
      <w:sz w:val="18"/>
      <w:szCs w:val="18"/>
    </w:rPr>
  </w:style>
  <w:style w:type="character" w:customStyle="1" w:styleId="1012">
    <w:name w:val="Основной текст (10) + Полужирный12"/>
    <w:aliases w:val="Не курсив12"/>
    <w:uiPriority w:val="99"/>
    <w:rsid w:val="0084298A"/>
    <w:rPr>
      <w:rFonts w:ascii="Arial Narrow" w:eastAsia="Times New Roman" w:hAnsi="Arial Narrow" w:cs="Arial Narrow"/>
      <w:b/>
      <w:bCs/>
      <w:i w:val="0"/>
      <w:iCs w:val="0"/>
      <w:smallCaps w:val="0"/>
      <w:strike w:val="0"/>
      <w:spacing w:val="0"/>
      <w:sz w:val="18"/>
      <w:szCs w:val="18"/>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84298A"/>
    <w:rPr>
      <w:rFonts w:ascii="Microsoft Sans Serif" w:eastAsia="Times New Roman" w:hAnsi="Microsoft Sans Serif" w:cs="Microsoft Sans Serif"/>
      <w:b/>
      <w:bCs/>
      <w:i/>
      <w:iCs/>
      <w:smallCaps w:val="0"/>
      <w:strike w:val="0"/>
      <w:spacing w:val="0"/>
      <w:sz w:val="17"/>
      <w:szCs w:val="17"/>
    </w:rPr>
  </w:style>
  <w:style w:type="character" w:customStyle="1" w:styleId="134">
    <w:name w:val="Заголовок №13 (4)_"/>
    <w:link w:val="1340"/>
    <w:uiPriority w:val="99"/>
    <w:rsid w:val="0084298A"/>
    <w:rPr>
      <w:rFonts w:ascii="Arial Narrow" w:hAnsi="Arial Narrow" w:cs="Arial Narrow"/>
      <w:i/>
      <w:iCs/>
      <w:sz w:val="18"/>
      <w:szCs w:val="18"/>
      <w:shd w:val="clear" w:color="auto" w:fill="FFFFFF"/>
    </w:rPr>
  </w:style>
  <w:style w:type="character" w:customStyle="1" w:styleId="1341">
    <w:name w:val="Заголовок №13 (4) + Полужирный"/>
    <w:uiPriority w:val="99"/>
    <w:rsid w:val="0084298A"/>
    <w:rPr>
      <w:rFonts w:ascii="Arial Narrow" w:hAnsi="Arial Narrow" w:cs="Arial Narrow"/>
      <w:b/>
      <w:bCs/>
      <w:i/>
      <w:iCs/>
      <w:sz w:val="18"/>
      <w:szCs w:val="18"/>
      <w:shd w:val="clear" w:color="auto" w:fill="FFFFFF"/>
    </w:rPr>
  </w:style>
  <w:style w:type="character" w:customStyle="1" w:styleId="134FranklinGothicBook">
    <w:name w:val="Заголовок №13 (4) + Franklin Gothic Book"/>
    <w:aliases w:val="96,5 pt51,Полужирный49,Интервал -1 pt12,Колонтитул + MS Reference Sans Serif7"/>
    <w:uiPriority w:val="99"/>
    <w:rsid w:val="0084298A"/>
    <w:rPr>
      <w:rFonts w:ascii="Franklin Gothic Book" w:hAnsi="Franklin Gothic Book" w:cs="Franklin Gothic Book"/>
      <w:b/>
      <w:bCs/>
      <w:i/>
      <w:iCs/>
      <w:spacing w:val="-20"/>
      <w:sz w:val="19"/>
      <w:szCs w:val="19"/>
      <w:shd w:val="clear" w:color="auto" w:fill="FFFFFF"/>
    </w:rPr>
  </w:style>
  <w:style w:type="character" w:customStyle="1" w:styleId="134MicrosoftSansSerif">
    <w:name w:val="Заголовок №13 (4) + Microsoft Sans Serif"/>
    <w:aliases w:val="83,5 pt50,Полужирный48,Основной текст (6) + 8,Основной текст + Segoe UI3"/>
    <w:uiPriority w:val="99"/>
    <w:rsid w:val="0084298A"/>
    <w:rPr>
      <w:rFonts w:ascii="Microsoft Sans Serif" w:hAnsi="Microsoft Sans Serif" w:cs="Microsoft Sans Serif"/>
      <w:b/>
      <w:bCs/>
      <w:i/>
      <w:iCs/>
      <w:sz w:val="17"/>
      <w:szCs w:val="17"/>
      <w:shd w:val="clear" w:color="auto" w:fill="FFFFFF"/>
    </w:rPr>
  </w:style>
  <w:style w:type="character" w:customStyle="1" w:styleId="1342">
    <w:name w:val="Заголовок №13 (4) + Не курсив"/>
    <w:uiPriority w:val="99"/>
    <w:rsid w:val="0084298A"/>
    <w:rPr>
      <w:rFonts w:ascii="Arial Narrow" w:hAnsi="Arial Narrow" w:cs="Arial Narrow"/>
      <w:i w:val="0"/>
      <w:iCs w:val="0"/>
      <w:sz w:val="18"/>
      <w:szCs w:val="18"/>
      <w:shd w:val="clear" w:color="auto" w:fill="FFFFFF"/>
    </w:rPr>
  </w:style>
  <w:style w:type="paragraph" w:customStyle="1" w:styleId="1340">
    <w:name w:val="Заголовок №13 (4)"/>
    <w:basedOn w:val="a"/>
    <w:link w:val="134"/>
    <w:uiPriority w:val="99"/>
    <w:rsid w:val="0084298A"/>
    <w:pPr>
      <w:shd w:val="clear" w:color="auto" w:fill="FFFFFF"/>
      <w:spacing w:after="0" w:line="221" w:lineRule="exact"/>
      <w:ind w:firstLine="280"/>
      <w:jc w:val="both"/>
    </w:pPr>
    <w:rPr>
      <w:rFonts w:ascii="Arial Narrow" w:hAnsi="Arial Narrow" w:cs="Arial Narrow"/>
      <w:i/>
      <w:iCs/>
      <w:sz w:val="18"/>
      <w:szCs w:val="18"/>
      <w:lang w:eastAsia="ru-RU"/>
    </w:rPr>
  </w:style>
  <w:style w:type="character" w:customStyle="1" w:styleId="1030">
    <w:name w:val="Основной текст (10) + Не курсив30"/>
    <w:uiPriority w:val="99"/>
    <w:rsid w:val="00EA7676"/>
    <w:rPr>
      <w:rFonts w:ascii="Arial Narrow" w:eastAsia="Times New Roman" w:hAnsi="Arial Narrow" w:cs="Arial Narrow"/>
      <w:b w:val="0"/>
      <w:bCs w:val="0"/>
      <w:i w:val="0"/>
      <w:iCs w:val="0"/>
      <w:smallCaps w:val="0"/>
      <w:strike w:val="0"/>
      <w:spacing w:val="0"/>
      <w:sz w:val="18"/>
      <w:szCs w:val="18"/>
    </w:rPr>
  </w:style>
  <w:style w:type="character" w:customStyle="1" w:styleId="391">
    <w:name w:val="Основной текст + Полужирный39"/>
    <w:uiPriority w:val="99"/>
    <w:rsid w:val="00AC715D"/>
    <w:rPr>
      <w:rFonts w:ascii="Arial Narrow" w:hAnsi="Arial Narrow" w:cs="Arial Narrow"/>
      <w:b/>
      <w:bCs/>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uiPriority w:val="99"/>
    <w:rsid w:val="00AC715D"/>
    <w:rPr>
      <w:rFonts w:ascii="Arial Narrow" w:hAnsi="Arial Narrow" w:cs="Arial Narrow"/>
      <w:b/>
      <w:bCs/>
      <w:spacing w:val="-10"/>
      <w:sz w:val="19"/>
      <w:szCs w:val="19"/>
      <w:shd w:val="clear" w:color="auto" w:fill="FFFFFF"/>
    </w:rPr>
  </w:style>
  <w:style w:type="character" w:customStyle="1" w:styleId="1024">
    <w:name w:val="Основной текст (10) + Не курсив24"/>
    <w:uiPriority w:val="99"/>
    <w:rsid w:val="00132B05"/>
    <w:rPr>
      <w:rFonts w:ascii="Arial Narrow" w:eastAsia="Times New Roman" w:hAnsi="Arial Narrow" w:cs="Arial Narrow"/>
      <w:b w:val="0"/>
      <w:bCs w:val="0"/>
      <w:i w:val="0"/>
      <w:iCs w:val="0"/>
      <w:smallCaps w:val="0"/>
      <w:strike w:val="0"/>
      <w:spacing w:val="0"/>
      <w:sz w:val="18"/>
      <w:szCs w:val="18"/>
    </w:rPr>
  </w:style>
  <w:style w:type="character" w:customStyle="1" w:styleId="20">
    <w:name w:val="Заголовок 2 Знак"/>
    <w:link w:val="2"/>
    <w:uiPriority w:val="9"/>
    <w:semiHidden/>
    <w:rsid w:val="00C92E4A"/>
    <w:rPr>
      <w:rFonts w:ascii="Calibri Light" w:eastAsia="Times New Roman" w:hAnsi="Calibri Light" w:cs="Times New Roman"/>
      <w:b/>
      <w:bCs/>
      <w:i/>
      <w:iCs/>
      <w:sz w:val="28"/>
      <w:szCs w:val="28"/>
      <w:lang w:eastAsia="en-US"/>
    </w:rPr>
  </w:style>
  <w:style w:type="paragraph" w:styleId="HTML">
    <w:name w:val="HTML Preformatted"/>
    <w:basedOn w:val="a"/>
    <w:link w:val="HTML0"/>
    <w:uiPriority w:val="99"/>
    <w:semiHidden/>
    <w:unhideWhenUsed/>
    <w:rsid w:val="00C92E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ый HTML Знак"/>
    <w:link w:val="HTML"/>
    <w:uiPriority w:val="99"/>
    <w:semiHidden/>
    <w:rsid w:val="00C92E4A"/>
    <w:rPr>
      <w:rFonts w:ascii="Courier New" w:eastAsia="Times New Roman" w:hAnsi="Courier New" w:cs="Courier New"/>
      <w:sz w:val="24"/>
      <w:szCs w:val="24"/>
    </w:rPr>
  </w:style>
  <w:style w:type="character" w:customStyle="1" w:styleId="fieldset-legend">
    <w:name w:val="fieldset-legend"/>
    <w:rsid w:val="00C92E4A"/>
  </w:style>
  <w:style w:type="character" w:customStyle="1" w:styleId="fieldset-legend-prefix">
    <w:name w:val="fieldset-legend-prefix"/>
    <w:rsid w:val="00C92E4A"/>
  </w:style>
  <w:style w:type="paragraph" w:customStyle="1" w:styleId="rteindent11">
    <w:name w:val="rteindent11"/>
    <w:basedOn w:val="a"/>
    <w:rsid w:val="00D10B4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8pt1">
    <w:name w:val="Основной текст + 8 pt1"/>
    <w:aliases w:val="Полужирный2,Интервал 0 pt1,Колонтитул + Microsoft Sans Serif2,Основной текст + 11 pt1"/>
    <w:uiPriority w:val="99"/>
    <w:rsid w:val="00E51240"/>
    <w:rPr>
      <w:rFonts w:ascii="Arial Narrow" w:hAnsi="Arial Narrow" w:cs="Arial Narrow"/>
      <w:b/>
      <w:bCs/>
      <w:spacing w:val="-10"/>
      <w:sz w:val="16"/>
      <w:szCs w:val="16"/>
      <w:shd w:val="clear" w:color="auto" w:fill="FFFFFF"/>
    </w:rPr>
  </w:style>
  <w:style w:type="character" w:customStyle="1" w:styleId="1029">
    <w:name w:val="Основной текст (10) + Не курсив29"/>
    <w:uiPriority w:val="99"/>
    <w:rsid w:val="0048207C"/>
    <w:rPr>
      <w:rFonts w:ascii="Arial Narrow" w:eastAsia="Times New Roman" w:hAnsi="Arial Narrow" w:cs="Arial Narrow"/>
      <w:b w:val="0"/>
      <w:bCs w:val="0"/>
      <w:i w:val="0"/>
      <w:iCs w:val="0"/>
      <w:smallCaps w:val="0"/>
      <w:strike w:val="0"/>
      <w:spacing w:val="0"/>
      <w:sz w:val="18"/>
      <w:szCs w:val="18"/>
    </w:rPr>
  </w:style>
  <w:style w:type="character" w:customStyle="1" w:styleId="272">
    <w:name w:val="Основной текст + Курсив27"/>
    <w:aliases w:val="Интервал 0 pt52"/>
    <w:uiPriority w:val="99"/>
    <w:rsid w:val="0048207C"/>
    <w:rPr>
      <w:rFonts w:ascii="Arial Narrow" w:hAnsi="Arial Narrow" w:cs="Arial Narrow"/>
      <w:i/>
      <w:iCs/>
      <w:spacing w:val="0"/>
      <w:sz w:val="18"/>
      <w:szCs w:val="18"/>
      <w:shd w:val="clear" w:color="auto" w:fill="FFFFFF"/>
    </w:rPr>
  </w:style>
  <w:style w:type="character" w:customStyle="1" w:styleId="ucoz-forum-post">
    <w:name w:val="ucoz-forum-post"/>
    <w:rsid w:val="00B24706"/>
  </w:style>
  <w:style w:type="character" w:customStyle="1" w:styleId="1028">
    <w:name w:val="Основной текст (10) + Не курсив28"/>
    <w:uiPriority w:val="99"/>
    <w:rsid w:val="00A54CD0"/>
    <w:rPr>
      <w:rFonts w:ascii="Arial Narrow" w:eastAsia="Times New Roman" w:hAnsi="Arial Narrow" w:cs="Arial Narrow"/>
      <w:b w:val="0"/>
      <w:bCs w:val="0"/>
      <w:i w:val="0"/>
      <w:iCs w:val="0"/>
      <w:smallCaps w:val="0"/>
      <w:strike w:val="0"/>
      <w:spacing w:val="0"/>
      <w:sz w:val="18"/>
      <w:szCs w:val="18"/>
    </w:rPr>
  </w:style>
  <w:style w:type="character" w:customStyle="1" w:styleId="106">
    <w:name w:val="Основной текст (10) + Не курсив6"/>
    <w:uiPriority w:val="99"/>
    <w:rsid w:val="003E4223"/>
    <w:rPr>
      <w:rFonts w:ascii="Arial Narrow" w:eastAsia="Times New Roman" w:hAnsi="Arial Narrow" w:cs="Arial Narrow"/>
      <w:b w:val="0"/>
      <w:bCs w:val="0"/>
      <w:i w:val="0"/>
      <w:iCs w:val="0"/>
      <w:smallCaps w:val="0"/>
      <w:strike w:val="0"/>
      <w:spacing w:val="0"/>
      <w:sz w:val="18"/>
      <w:szCs w:val="18"/>
    </w:rPr>
  </w:style>
  <w:style w:type="character" w:customStyle="1" w:styleId="105">
    <w:name w:val="Основной текст + Полужирный10"/>
    <w:uiPriority w:val="99"/>
    <w:rsid w:val="003E4223"/>
    <w:rPr>
      <w:rFonts w:ascii="Arial Narrow" w:hAnsi="Arial Narrow" w:cs="Arial Narrow"/>
      <w:b/>
      <w:bCs/>
      <w:spacing w:val="0"/>
      <w:sz w:val="18"/>
      <w:szCs w:val="18"/>
      <w:shd w:val="clear" w:color="auto" w:fill="FFFFFF"/>
    </w:rPr>
  </w:style>
  <w:style w:type="character" w:customStyle="1" w:styleId="74">
    <w:name w:val="Основной текст7"/>
    <w:rsid w:val="003E4223"/>
    <w:rPr>
      <w:rFonts w:ascii="Times New Roman" w:eastAsia="Times New Roman" w:hAnsi="Times New Roman" w:cs="Times New Roman"/>
      <w:shd w:val="clear" w:color="auto" w:fill="FFFFFF"/>
    </w:rPr>
  </w:style>
  <w:style w:type="character" w:customStyle="1" w:styleId="84">
    <w:name w:val="Основной текст8"/>
    <w:rsid w:val="003E4223"/>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rsid w:val="003E422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9pt0">
    <w:name w:val="Основной текст + 9 pt;Курсив"/>
    <w:rsid w:val="003E4223"/>
    <w:rPr>
      <w:rFonts w:ascii="Arial" w:eastAsia="Arial" w:hAnsi="Arial" w:cs="Arial"/>
      <w:b w:val="0"/>
      <w:bCs w:val="0"/>
      <w:i/>
      <w:iCs/>
      <w:smallCaps w:val="0"/>
      <w:strike w:val="0"/>
      <w:spacing w:val="0"/>
      <w:sz w:val="18"/>
      <w:szCs w:val="18"/>
      <w:shd w:val="clear" w:color="auto" w:fill="FFFFFF"/>
    </w:rPr>
  </w:style>
  <w:style w:type="character" w:customStyle="1" w:styleId="ArialUnicodeMS10pt-1pt">
    <w:name w:val="Основной текст + Arial Unicode MS;10 pt;Полужирный;Интервал -1 pt"/>
    <w:rsid w:val="003E4223"/>
    <w:rPr>
      <w:rFonts w:ascii="Arial Unicode MS" w:eastAsia="Arial Unicode MS" w:hAnsi="Arial Unicode MS" w:cs="Arial Unicode MS"/>
      <w:b/>
      <w:bCs/>
      <w:i w:val="0"/>
      <w:iCs w:val="0"/>
      <w:smallCaps w:val="0"/>
      <w:strike w:val="0"/>
      <w:spacing w:val="-20"/>
      <w:sz w:val="20"/>
      <w:szCs w:val="20"/>
      <w:u w:val="single"/>
      <w:shd w:val="clear" w:color="auto" w:fill="FFFFFF"/>
    </w:rPr>
  </w:style>
  <w:style w:type="character" w:customStyle="1" w:styleId="105pt0pt">
    <w:name w:val="Основной текст + 10;5 pt;Интервал 0 pt"/>
    <w:rsid w:val="00C54992"/>
    <w:rPr>
      <w:rFonts w:ascii="Arial" w:eastAsia="Arial" w:hAnsi="Arial" w:cs="Arial"/>
      <w:b w:val="0"/>
      <w:bCs w:val="0"/>
      <w:i w:val="0"/>
      <w:iCs w:val="0"/>
      <w:smallCaps w:val="0"/>
      <w:strike w:val="0"/>
      <w:spacing w:val="-10"/>
      <w:sz w:val="21"/>
      <w:szCs w:val="21"/>
      <w:shd w:val="clear" w:color="auto" w:fill="FFFFFF"/>
    </w:rPr>
  </w:style>
  <w:style w:type="character" w:customStyle="1" w:styleId="2a">
    <w:name w:val="Основной текст (2)_"/>
    <w:link w:val="28"/>
    <w:locked/>
    <w:rsid w:val="00332C4C"/>
    <w:rPr>
      <w:rFonts w:ascii="Segoe UI" w:hAnsi="Segoe UI" w:cs="Segoe UI"/>
      <w:sz w:val="13"/>
      <w:szCs w:val="13"/>
      <w:shd w:val="clear" w:color="auto" w:fill="FFFFFF"/>
      <w:lang w:eastAsia="en-US"/>
    </w:rPr>
  </w:style>
  <w:style w:type="character" w:customStyle="1" w:styleId="1014">
    <w:name w:val="Основной текст (10) + Полужирный14"/>
    <w:uiPriority w:val="99"/>
    <w:rsid w:val="00445005"/>
    <w:rPr>
      <w:rFonts w:ascii="Arial Narrow" w:eastAsia="Times New Roman" w:hAnsi="Arial Narrow" w:cs="Arial Narrow"/>
      <w:b/>
      <w:bCs/>
      <w:i/>
      <w:iCs/>
      <w:smallCaps w:val="0"/>
      <w:strike w:val="0"/>
      <w:spacing w:val="0"/>
      <w:sz w:val="18"/>
      <w:szCs w:val="18"/>
    </w:rPr>
  </w:style>
  <w:style w:type="character" w:customStyle="1" w:styleId="1091">
    <w:name w:val="Основной текст (10) + 91"/>
    <w:aliases w:val="5 pt54,Полужирный52,Не курсив15,Интервал 0 pt35,Основной текст + 827"/>
    <w:uiPriority w:val="99"/>
    <w:rsid w:val="00445005"/>
    <w:rPr>
      <w:rFonts w:ascii="Arial Narrow" w:eastAsia="Times New Roman" w:hAnsi="Arial Narrow" w:cs="Arial Narrow"/>
      <w:b/>
      <w:bCs/>
      <w:i w:val="0"/>
      <w:iCs w:val="0"/>
      <w:smallCaps w:val="0"/>
      <w:strike w:val="0"/>
      <w:spacing w:val="-10"/>
      <w:sz w:val="19"/>
      <w:szCs w:val="19"/>
    </w:rPr>
  </w:style>
  <w:style w:type="character" w:customStyle="1" w:styleId="10MicrosoftSansSerif">
    <w:name w:val="Основной текст (10) + Microsoft Sans Serif"/>
    <w:aliases w:val="85,5 pt53,Полужирный51,Основной текст + Segoe UI5"/>
    <w:uiPriority w:val="99"/>
    <w:rsid w:val="00445005"/>
    <w:rPr>
      <w:rFonts w:ascii="Microsoft Sans Serif" w:eastAsia="Times New Roman" w:hAnsi="Microsoft Sans Serif" w:cs="Microsoft Sans Serif"/>
      <w:b/>
      <w:bCs/>
      <w:i/>
      <w:iCs/>
      <w:smallCaps w:val="0"/>
      <w:strike w:val="0"/>
      <w:spacing w:val="0"/>
      <w:sz w:val="17"/>
      <w:szCs w:val="17"/>
    </w:rPr>
  </w:style>
  <w:style w:type="character" w:customStyle="1" w:styleId="108pt">
    <w:name w:val="Основной текст (10) + 8 pt"/>
    <w:aliases w:val="Не курсив14"/>
    <w:uiPriority w:val="99"/>
    <w:rsid w:val="00445005"/>
    <w:rPr>
      <w:rFonts w:ascii="Arial Narrow" w:eastAsia="Times New Roman" w:hAnsi="Arial Narrow" w:cs="Arial Narrow"/>
      <w:b w:val="0"/>
      <w:bCs w:val="0"/>
      <w:i w:val="0"/>
      <w:iCs w:val="0"/>
      <w:smallCaps w:val="0"/>
      <w:strike w:val="0"/>
      <w:spacing w:val="0"/>
      <w:w w:val="100"/>
      <w:sz w:val="16"/>
      <w:szCs w:val="16"/>
    </w:rPr>
  </w:style>
  <w:style w:type="character" w:customStyle="1" w:styleId="108pt1">
    <w:name w:val="Основной текст (10) + 8 pt1"/>
    <w:aliases w:val="Не курсив13"/>
    <w:uiPriority w:val="99"/>
    <w:rsid w:val="00445005"/>
    <w:rPr>
      <w:rFonts w:ascii="Arial Narrow" w:eastAsia="Times New Roman" w:hAnsi="Arial Narrow" w:cs="Arial Narrow"/>
      <w:b w:val="0"/>
      <w:bCs w:val="0"/>
      <w:i w:val="0"/>
      <w:iCs w:val="0"/>
      <w:smallCaps w:val="0"/>
      <w:strike w:val="0"/>
      <w:spacing w:val="0"/>
      <w:w w:val="100"/>
      <w:sz w:val="16"/>
      <w:szCs w:val="16"/>
    </w:rPr>
  </w:style>
  <w:style w:type="character" w:customStyle="1" w:styleId="1027">
    <w:name w:val="Основной текст (10) + Не курсив27"/>
    <w:uiPriority w:val="99"/>
    <w:rsid w:val="00445005"/>
    <w:rPr>
      <w:rFonts w:ascii="Arial Narrow" w:eastAsia="Times New Roman" w:hAnsi="Arial Narrow" w:cs="Arial Narrow"/>
      <w:b w:val="0"/>
      <w:bCs w:val="0"/>
      <w:i w:val="0"/>
      <w:iCs w:val="0"/>
      <w:smallCaps w:val="0"/>
      <w:strike w:val="0"/>
      <w:spacing w:val="0"/>
      <w:sz w:val="18"/>
      <w:szCs w:val="18"/>
    </w:rPr>
  </w:style>
  <w:style w:type="character" w:customStyle="1" w:styleId="1023">
    <w:name w:val="Основной текст (10) + Не курсив23"/>
    <w:uiPriority w:val="99"/>
    <w:rsid w:val="00C80728"/>
    <w:rPr>
      <w:rFonts w:ascii="Arial Narrow" w:eastAsia="Times New Roman" w:hAnsi="Arial Narrow" w:cs="Arial Narrow"/>
      <w:b w:val="0"/>
      <w:bCs w:val="0"/>
      <w:i w:val="0"/>
      <w:iCs w:val="0"/>
      <w:smallCaps w:val="0"/>
      <w:strike w:val="0"/>
      <w:spacing w:val="0"/>
      <w:sz w:val="18"/>
      <w:szCs w:val="18"/>
    </w:rPr>
  </w:style>
  <w:style w:type="character" w:customStyle="1" w:styleId="BodytextTahoma">
    <w:name w:val="Body text + Tahoma"/>
    <w:aliases w:val="87,5 pt101"/>
    <w:uiPriority w:val="99"/>
    <w:rsid w:val="002E1EC2"/>
    <w:rPr>
      <w:rFonts w:ascii="Tahoma" w:hAnsi="Tahoma" w:cs="Tahoma"/>
      <w:spacing w:val="0"/>
      <w:w w:val="100"/>
      <w:sz w:val="17"/>
      <w:szCs w:val="17"/>
    </w:rPr>
  </w:style>
  <w:style w:type="paragraph" w:customStyle="1" w:styleId="312">
    <w:name w:val="Основной текст с отступом 31"/>
    <w:basedOn w:val="a"/>
    <w:rsid w:val="00EA3943"/>
    <w:pPr>
      <w:shd w:val="clear" w:color="auto" w:fill="FFFFFF"/>
      <w:overflowPunct w:val="0"/>
      <w:autoSpaceDE w:val="0"/>
      <w:autoSpaceDN w:val="0"/>
      <w:adjustRightInd w:val="0"/>
      <w:spacing w:after="0" w:line="360" w:lineRule="auto"/>
      <w:ind w:firstLine="709"/>
      <w:jc w:val="both"/>
      <w:textAlignment w:val="baseline"/>
    </w:pPr>
    <w:rPr>
      <w:rFonts w:ascii="Times New Roman" w:eastAsia="Times New Roman" w:hAnsi="Times New Roman"/>
      <w:color w:val="000000"/>
      <w:sz w:val="28"/>
      <w:szCs w:val="20"/>
      <w:lang w:eastAsia="ru-RU"/>
    </w:rPr>
  </w:style>
  <w:style w:type="character" w:customStyle="1" w:styleId="Tahoma">
    <w:name w:val="Колонтитул + Tahoma"/>
    <w:aliases w:val="9,5 pt,Полужирный,Интервал 0 pt,Колонтитул + Calibri,11,Основной текст + Arial Narrow16,5 pt14,Полужирный25,Body text (7) + Times New Roman,5 pt34,Body text (5) + 6,Not Bold,Italic4"/>
    <w:basedOn w:val="a0"/>
    <w:uiPriority w:val="99"/>
    <w:rsid w:val="00F52FEE"/>
    <w:rPr>
      <w:rFonts w:ascii="Tahoma" w:hAnsi="Tahoma" w:cs="Tahoma"/>
      <w:b/>
      <w:bCs/>
      <w:spacing w:val="10"/>
      <w:sz w:val="19"/>
      <w:szCs w:val="19"/>
      <w:shd w:val="clear" w:color="auto" w:fill="FFFFFF"/>
    </w:rPr>
  </w:style>
  <w:style w:type="character" w:customStyle="1" w:styleId="ArialNarrow17">
    <w:name w:val="Основной текст + Arial Narrow17"/>
    <w:aliases w:val="Полужирный26"/>
    <w:basedOn w:val="a0"/>
    <w:uiPriority w:val="99"/>
    <w:rsid w:val="00F52FEE"/>
    <w:rPr>
      <w:rFonts w:ascii="Arial Narrow" w:hAnsi="Arial Narrow" w:cs="Arial Narrow"/>
      <w:b/>
      <w:bCs/>
      <w:spacing w:val="0"/>
      <w:w w:val="100"/>
      <w:sz w:val="18"/>
      <w:szCs w:val="18"/>
      <w:shd w:val="clear" w:color="auto" w:fill="FFFFFF"/>
    </w:rPr>
  </w:style>
  <w:style w:type="paragraph" w:customStyle="1" w:styleId="610">
    <w:name w:val="Основной текст (6)1"/>
    <w:basedOn w:val="a"/>
    <w:uiPriority w:val="99"/>
    <w:rsid w:val="00F52FEE"/>
    <w:pPr>
      <w:shd w:val="clear" w:color="auto" w:fill="FFFFFF"/>
      <w:spacing w:after="0" w:line="240" w:lineRule="atLeast"/>
    </w:pPr>
    <w:rPr>
      <w:rFonts w:ascii="Arial Narrow" w:eastAsiaTheme="minorHAnsi" w:hAnsi="Arial Narrow" w:cs="Arial Narrow"/>
      <w:sz w:val="13"/>
      <w:szCs w:val="13"/>
    </w:rPr>
  </w:style>
  <w:style w:type="character" w:customStyle="1" w:styleId="ArialNarrow15">
    <w:name w:val="Основной текст + Arial Narrow15"/>
    <w:aliases w:val="Полужирный24"/>
    <w:basedOn w:val="a0"/>
    <w:uiPriority w:val="99"/>
    <w:rsid w:val="00303361"/>
    <w:rPr>
      <w:rFonts w:ascii="Arial Narrow" w:hAnsi="Arial Narrow" w:cs="Arial Narrow"/>
      <w:b/>
      <w:bCs/>
      <w:spacing w:val="0"/>
      <w:w w:val="100"/>
      <w:sz w:val="18"/>
      <w:szCs w:val="18"/>
      <w:shd w:val="clear" w:color="auto" w:fill="FFFFFF"/>
    </w:rPr>
  </w:style>
  <w:style w:type="character" w:customStyle="1" w:styleId="ArialNarrow14">
    <w:name w:val="Основной текст + Arial Narrow14"/>
    <w:aliases w:val="910,5 pt13,Полужирный23,Интервал 0 pt11,Body text (5) + 61,Not Bold3,Spacing 0 pt8"/>
    <w:basedOn w:val="a0"/>
    <w:uiPriority w:val="99"/>
    <w:rsid w:val="00303361"/>
    <w:rPr>
      <w:rFonts w:ascii="Arial Narrow" w:hAnsi="Arial Narrow" w:cs="Arial Narrow"/>
      <w:b/>
      <w:bCs/>
      <w:spacing w:val="-10"/>
      <w:w w:val="100"/>
      <w:sz w:val="19"/>
      <w:szCs w:val="19"/>
      <w:shd w:val="clear" w:color="auto" w:fill="FFFFFF"/>
    </w:rPr>
  </w:style>
  <w:style w:type="paragraph" w:customStyle="1" w:styleId="b-articletext">
    <w:name w:val="b-article__text"/>
    <w:basedOn w:val="a"/>
    <w:rsid w:val="0023773B"/>
    <w:pPr>
      <w:spacing w:before="100" w:beforeAutospacing="1" w:after="100" w:afterAutospacing="1" w:line="240" w:lineRule="auto"/>
    </w:pPr>
    <w:rPr>
      <w:rFonts w:ascii="Times New Roman" w:eastAsia="Times New Roman" w:hAnsi="Times New Roman"/>
      <w:sz w:val="24"/>
      <w:szCs w:val="24"/>
      <w:lang w:eastAsia="ru-RU"/>
    </w:rPr>
  </w:style>
  <w:style w:type="paragraph" w:styleId="aff9">
    <w:name w:val="No Spacing"/>
    <w:basedOn w:val="a"/>
    <w:uiPriority w:val="1"/>
    <w:qFormat/>
    <w:rsid w:val="008F5899"/>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B23E0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ext">
    <w:name w:val="doc__text"/>
    <w:basedOn w:val="a"/>
    <w:rsid w:val="0047258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520">
    <w:name w:val="Основной текст52"/>
    <w:basedOn w:val="a"/>
    <w:rsid w:val="00732317"/>
    <w:pPr>
      <w:shd w:val="clear" w:color="auto" w:fill="FFFFFF"/>
      <w:spacing w:after="0" w:line="425" w:lineRule="exact"/>
      <w:jc w:val="both"/>
    </w:pPr>
    <w:rPr>
      <w:rFonts w:ascii="Segoe UI" w:eastAsia="Segoe UI" w:hAnsi="Segoe UI" w:cs="Segoe UI"/>
      <w:color w:val="000000"/>
      <w:sz w:val="15"/>
      <w:szCs w:val="15"/>
      <w:lang w:val="ru" w:eastAsia="ru-RU"/>
    </w:rPr>
  </w:style>
  <w:style w:type="table" w:styleId="affa">
    <w:name w:val="Table Grid"/>
    <w:basedOn w:val="a1"/>
    <w:uiPriority w:val="59"/>
    <w:unhideWhenUsed/>
    <w:rsid w:val="000D69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a">
    <w:name w:val="Основной текст (5)_"/>
    <w:basedOn w:val="a0"/>
    <w:link w:val="5b"/>
    <w:rsid w:val="00E95682"/>
    <w:rPr>
      <w:rFonts w:ascii="Times New Roman" w:eastAsia="Times New Roman" w:hAnsi="Times New Roman"/>
      <w:sz w:val="17"/>
      <w:szCs w:val="17"/>
    </w:rPr>
  </w:style>
  <w:style w:type="paragraph" w:customStyle="1" w:styleId="5b">
    <w:name w:val="Основной текст (5)"/>
    <w:basedOn w:val="a"/>
    <w:link w:val="5a"/>
    <w:rsid w:val="00E95682"/>
    <w:pPr>
      <w:widowControl w:val="0"/>
      <w:spacing w:after="0" w:line="202" w:lineRule="auto"/>
    </w:pPr>
    <w:rPr>
      <w:rFonts w:ascii="Times New Roman" w:eastAsia="Times New Roman" w:hAnsi="Times New Roman"/>
      <w:sz w:val="17"/>
      <w:szCs w:val="17"/>
      <w:lang w:eastAsia="ru-RU"/>
    </w:rPr>
  </w:style>
  <w:style w:type="character" w:customStyle="1" w:styleId="86">
    <w:name w:val="Основной текст86"/>
    <w:basedOn w:val="aff0"/>
    <w:rsid w:val="000E52C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
    <w:name w:val="Основной текст87"/>
    <w:basedOn w:val="aff0"/>
    <w:rsid w:val="000E52C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0E52C6"/>
    <w:rPr>
      <w:rFonts w:ascii="Segoe UI" w:eastAsia="Segoe UI" w:hAnsi="Segoe UI" w:cs="Segoe UI"/>
      <w:b w:val="0"/>
      <w:bCs w:val="0"/>
      <w:i w:val="0"/>
      <w:iCs w:val="0"/>
      <w:smallCaps w:val="0"/>
      <w:strike w:val="0"/>
      <w:spacing w:val="0"/>
      <w:sz w:val="14"/>
      <w:szCs w:val="14"/>
      <w:u w:val="single"/>
      <w:shd w:val="clear" w:color="auto" w:fill="FFFFFF"/>
    </w:rPr>
  </w:style>
  <w:style w:type="paragraph" w:customStyle="1" w:styleId="116">
    <w:name w:val="Основной текст116"/>
    <w:basedOn w:val="a"/>
    <w:rsid w:val="000E52C6"/>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paragraph" w:customStyle="1" w:styleId="190">
    <w:name w:val="Основной текст19"/>
    <w:basedOn w:val="a"/>
    <w:rsid w:val="00CC65A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ArialNarrow345pt">
    <w:name w:val="Основной текст + Arial Narrow;34;5 pt;Полужирный"/>
    <w:basedOn w:val="aff0"/>
    <w:rsid w:val="00CC65A3"/>
    <w:rPr>
      <w:rFonts w:ascii="Arial Narrow" w:eastAsia="Arial Narrow" w:hAnsi="Arial Narrow" w:cs="Arial Narrow"/>
      <w:b/>
      <w:bCs/>
      <w:i w:val="0"/>
      <w:iCs w:val="0"/>
      <w:smallCaps w:val="0"/>
      <w:strike w:val="0"/>
      <w:spacing w:val="0"/>
      <w:w w:val="100"/>
      <w:sz w:val="69"/>
      <w:szCs w:val="69"/>
      <w:shd w:val="clear" w:color="auto" w:fill="FFFFFF"/>
    </w:rPr>
  </w:style>
  <w:style w:type="paragraph" w:customStyle="1" w:styleId="style3">
    <w:name w:val="style3"/>
    <w:basedOn w:val="a"/>
    <w:rsid w:val="00CC65A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b">
    <w:name w:val="Другое_"/>
    <w:basedOn w:val="a0"/>
    <w:link w:val="affc"/>
    <w:rsid w:val="00EB31F4"/>
    <w:rPr>
      <w:rFonts w:ascii="Arial" w:eastAsia="Arial" w:hAnsi="Arial" w:cs="Arial"/>
      <w:sz w:val="17"/>
      <w:szCs w:val="17"/>
    </w:rPr>
  </w:style>
  <w:style w:type="paragraph" w:customStyle="1" w:styleId="affc">
    <w:name w:val="Другое"/>
    <w:basedOn w:val="a"/>
    <w:link w:val="affb"/>
    <w:rsid w:val="00EB31F4"/>
    <w:pPr>
      <w:widowControl w:val="0"/>
      <w:spacing w:after="0" w:line="240" w:lineRule="auto"/>
      <w:ind w:firstLine="180"/>
    </w:pPr>
    <w:rPr>
      <w:rFonts w:ascii="Arial" w:eastAsia="Arial" w:hAnsi="Arial" w:cs="Arial"/>
      <w:sz w:val="17"/>
      <w:szCs w:val="1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94624">
      <w:bodyDiv w:val="1"/>
      <w:marLeft w:val="0"/>
      <w:marRight w:val="0"/>
      <w:marTop w:val="0"/>
      <w:marBottom w:val="0"/>
      <w:divBdr>
        <w:top w:val="none" w:sz="0" w:space="0" w:color="auto"/>
        <w:left w:val="none" w:sz="0" w:space="0" w:color="auto"/>
        <w:bottom w:val="none" w:sz="0" w:space="0" w:color="auto"/>
        <w:right w:val="none" w:sz="0" w:space="0" w:color="auto"/>
      </w:divBdr>
      <w:divsChild>
        <w:div w:id="1626160876">
          <w:marLeft w:val="0"/>
          <w:marRight w:val="0"/>
          <w:marTop w:val="0"/>
          <w:marBottom w:val="0"/>
          <w:divBdr>
            <w:top w:val="none" w:sz="0" w:space="0" w:color="auto"/>
            <w:left w:val="none" w:sz="0" w:space="0" w:color="auto"/>
            <w:bottom w:val="none" w:sz="0" w:space="0" w:color="auto"/>
            <w:right w:val="none" w:sz="0" w:space="0" w:color="auto"/>
          </w:divBdr>
          <w:divsChild>
            <w:div w:id="1415397493">
              <w:marLeft w:val="0"/>
              <w:marRight w:val="0"/>
              <w:marTop w:val="0"/>
              <w:marBottom w:val="0"/>
              <w:divBdr>
                <w:top w:val="none" w:sz="0" w:space="0" w:color="auto"/>
                <w:left w:val="none" w:sz="0" w:space="0" w:color="auto"/>
                <w:bottom w:val="none" w:sz="0" w:space="0" w:color="auto"/>
                <w:right w:val="none" w:sz="0" w:space="0" w:color="auto"/>
              </w:divBdr>
              <w:divsChild>
                <w:div w:id="1700742838">
                  <w:marLeft w:val="0"/>
                  <w:marRight w:val="0"/>
                  <w:marTop w:val="0"/>
                  <w:marBottom w:val="0"/>
                  <w:divBdr>
                    <w:top w:val="none" w:sz="0" w:space="0" w:color="auto"/>
                    <w:left w:val="none" w:sz="0" w:space="0" w:color="auto"/>
                    <w:bottom w:val="none" w:sz="0" w:space="0" w:color="auto"/>
                    <w:right w:val="none" w:sz="0" w:space="0" w:color="auto"/>
                  </w:divBdr>
                  <w:divsChild>
                    <w:div w:id="892279736">
                      <w:marLeft w:val="0"/>
                      <w:marRight w:val="0"/>
                      <w:marTop w:val="0"/>
                      <w:marBottom w:val="0"/>
                      <w:divBdr>
                        <w:top w:val="none" w:sz="0" w:space="0" w:color="auto"/>
                        <w:left w:val="none" w:sz="0" w:space="0" w:color="auto"/>
                        <w:bottom w:val="none" w:sz="0" w:space="0" w:color="auto"/>
                        <w:right w:val="none" w:sz="0" w:space="0" w:color="auto"/>
                      </w:divBdr>
                      <w:divsChild>
                        <w:div w:id="58237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26860">
      <w:bodyDiv w:val="1"/>
      <w:marLeft w:val="0"/>
      <w:marRight w:val="0"/>
      <w:marTop w:val="0"/>
      <w:marBottom w:val="0"/>
      <w:divBdr>
        <w:top w:val="none" w:sz="0" w:space="0" w:color="auto"/>
        <w:left w:val="none" w:sz="0" w:space="0" w:color="auto"/>
        <w:bottom w:val="none" w:sz="0" w:space="0" w:color="auto"/>
        <w:right w:val="none" w:sz="0" w:space="0" w:color="auto"/>
      </w:divBdr>
      <w:divsChild>
        <w:div w:id="935283187">
          <w:marLeft w:val="0"/>
          <w:marRight w:val="0"/>
          <w:marTop w:val="0"/>
          <w:marBottom w:val="0"/>
          <w:divBdr>
            <w:top w:val="none" w:sz="0" w:space="0" w:color="auto"/>
            <w:left w:val="none" w:sz="0" w:space="0" w:color="auto"/>
            <w:bottom w:val="none" w:sz="0" w:space="0" w:color="auto"/>
            <w:right w:val="none" w:sz="0" w:space="0" w:color="auto"/>
          </w:divBdr>
          <w:divsChild>
            <w:div w:id="944732096">
              <w:marLeft w:val="0"/>
              <w:marRight w:val="0"/>
              <w:marTop w:val="0"/>
              <w:marBottom w:val="0"/>
              <w:divBdr>
                <w:top w:val="none" w:sz="0" w:space="0" w:color="auto"/>
                <w:left w:val="none" w:sz="0" w:space="0" w:color="auto"/>
                <w:bottom w:val="none" w:sz="0" w:space="0" w:color="auto"/>
                <w:right w:val="none" w:sz="0" w:space="0" w:color="auto"/>
              </w:divBdr>
              <w:divsChild>
                <w:div w:id="231626396">
                  <w:marLeft w:val="0"/>
                  <w:marRight w:val="0"/>
                  <w:marTop w:val="0"/>
                  <w:marBottom w:val="0"/>
                  <w:divBdr>
                    <w:top w:val="none" w:sz="0" w:space="0" w:color="auto"/>
                    <w:left w:val="none" w:sz="0" w:space="0" w:color="auto"/>
                    <w:bottom w:val="none" w:sz="0" w:space="0" w:color="auto"/>
                    <w:right w:val="none" w:sz="0" w:space="0" w:color="auto"/>
                  </w:divBdr>
                  <w:divsChild>
                    <w:div w:id="1121075755">
                      <w:marLeft w:val="0"/>
                      <w:marRight w:val="0"/>
                      <w:marTop w:val="0"/>
                      <w:marBottom w:val="0"/>
                      <w:divBdr>
                        <w:top w:val="none" w:sz="0" w:space="0" w:color="auto"/>
                        <w:left w:val="none" w:sz="0" w:space="0" w:color="auto"/>
                        <w:bottom w:val="none" w:sz="0" w:space="0" w:color="auto"/>
                        <w:right w:val="none" w:sz="0" w:space="0" w:color="auto"/>
                      </w:divBdr>
                      <w:divsChild>
                        <w:div w:id="88375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348091">
      <w:bodyDiv w:val="1"/>
      <w:marLeft w:val="0"/>
      <w:marRight w:val="0"/>
      <w:marTop w:val="0"/>
      <w:marBottom w:val="0"/>
      <w:divBdr>
        <w:top w:val="none" w:sz="0" w:space="0" w:color="auto"/>
        <w:left w:val="none" w:sz="0" w:space="0" w:color="auto"/>
        <w:bottom w:val="none" w:sz="0" w:space="0" w:color="auto"/>
        <w:right w:val="none" w:sz="0" w:space="0" w:color="auto"/>
      </w:divBdr>
      <w:divsChild>
        <w:div w:id="796682148">
          <w:marLeft w:val="0"/>
          <w:marRight w:val="0"/>
          <w:marTop w:val="0"/>
          <w:marBottom w:val="0"/>
          <w:divBdr>
            <w:top w:val="none" w:sz="0" w:space="0" w:color="auto"/>
            <w:left w:val="none" w:sz="0" w:space="0" w:color="auto"/>
            <w:bottom w:val="none" w:sz="0" w:space="0" w:color="auto"/>
            <w:right w:val="none" w:sz="0" w:space="0" w:color="auto"/>
          </w:divBdr>
          <w:divsChild>
            <w:div w:id="601454528">
              <w:marLeft w:val="0"/>
              <w:marRight w:val="0"/>
              <w:marTop w:val="0"/>
              <w:marBottom w:val="0"/>
              <w:divBdr>
                <w:top w:val="none" w:sz="0" w:space="0" w:color="auto"/>
                <w:left w:val="none" w:sz="0" w:space="0" w:color="auto"/>
                <w:bottom w:val="none" w:sz="0" w:space="0" w:color="auto"/>
                <w:right w:val="none" w:sz="0" w:space="0" w:color="auto"/>
              </w:divBdr>
              <w:divsChild>
                <w:div w:id="169294816">
                  <w:marLeft w:val="0"/>
                  <w:marRight w:val="0"/>
                  <w:marTop w:val="0"/>
                  <w:marBottom w:val="0"/>
                  <w:divBdr>
                    <w:top w:val="none" w:sz="0" w:space="0" w:color="auto"/>
                    <w:left w:val="none" w:sz="0" w:space="0" w:color="auto"/>
                    <w:bottom w:val="none" w:sz="0" w:space="0" w:color="auto"/>
                    <w:right w:val="none" w:sz="0" w:space="0" w:color="auto"/>
                  </w:divBdr>
                  <w:divsChild>
                    <w:div w:id="1783332766">
                      <w:marLeft w:val="0"/>
                      <w:marRight w:val="0"/>
                      <w:marTop w:val="0"/>
                      <w:marBottom w:val="0"/>
                      <w:divBdr>
                        <w:top w:val="none" w:sz="0" w:space="0" w:color="auto"/>
                        <w:left w:val="none" w:sz="0" w:space="0" w:color="auto"/>
                        <w:bottom w:val="none" w:sz="0" w:space="0" w:color="auto"/>
                        <w:right w:val="none" w:sz="0" w:space="0" w:color="auto"/>
                      </w:divBdr>
                      <w:divsChild>
                        <w:div w:id="553543787">
                          <w:marLeft w:val="0"/>
                          <w:marRight w:val="0"/>
                          <w:marTop w:val="0"/>
                          <w:marBottom w:val="0"/>
                          <w:divBdr>
                            <w:top w:val="none" w:sz="0" w:space="0" w:color="auto"/>
                            <w:left w:val="none" w:sz="0" w:space="0" w:color="auto"/>
                            <w:bottom w:val="none" w:sz="0" w:space="0" w:color="auto"/>
                            <w:right w:val="none" w:sz="0" w:space="0" w:color="auto"/>
                          </w:divBdr>
                          <w:divsChild>
                            <w:div w:id="2038459941">
                              <w:marLeft w:val="0"/>
                              <w:marRight w:val="0"/>
                              <w:marTop w:val="0"/>
                              <w:marBottom w:val="0"/>
                              <w:divBdr>
                                <w:top w:val="none" w:sz="0" w:space="0" w:color="auto"/>
                                <w:left w:val="none" w:sz="0" w:space="0" w:color="auto"/>
                                <w:bottom w:val="none" w:sz="0" w:space="0" w:color="auto"/>
                                <w:right w:val="none" w:sz="0" w:space="0" w:color="auto"/>
                              </w:divBdr>
                              <w:divsChild>
                                <w:div w:id="2000884390">
                                  <w:marLeft w:val="0"/>
                                  <w:marRight w:val="0"/>
                                  <w:marTop w:val="0"/>
                                  <w:marBottom w:val="0"/>
                                  <w:divBdr>
                                    <w:top w:val="none" w:sz="0" w:space="0" w:color="auto"/>
                                    <w:left w:val="none" w:sz="0" w:space="0" w:color="auto"/>
                                    <w:bottom w:val="none" w:sz="0" w:space="0" w:color="auto"/>
                                    <w:right w:val="none" w:sz="0" w:space="0" w:color="auto"/>
                                  </w:divBdr>
                                  <w:divsChild>
                                    <w:div w:id="75904901">
                                      <w:marLeft w:val="0"/>
                                      <w:marRight w:val="0"/>
                                      <w:marTop w:val="0"/>
                                      <w:marBottom w:val="0"/>
                                      <w:divBdr>
                                        <w:top w:val="none" w:sz="0" w:space="0" w:color="auto"/>
                                        <w:left w:val="none" w:sz="0" w:space="0" w:color="auto"/>
                                        <w:bottom w:val="none" w:sz="0" w:space="0" w:color="auto"/>
                                        <w:right w:val="none" w:sz="0" w:space="0" w:color="auto"/>
                                      </w:divBdr>
                                      <w:divsChild>
                                        <w:div w:id="1727952411">
                                          <w:marLeft w:val="0"/>
                                          <w:marRight w:val="0"/>
                                          <w:marTop w:val="0"/>
                                          <w:marBottom w:val="0"/>
                                          <w:divBdr>
                                            <w:top w:val="none" w:sz="0" w:space="0" w:color="auto"/>
                                            <w:left w:val="none" w:sz="0" w:space="0" w:color="auto"/>
                                            <w:bottom w:val="none" w:sz="0" w:space="0" w:color="auto"/>
                                            <w:right w:val="none" w:sz="0" w:space="0" w:color="auto"/>
                                          </w:divBdr>
                                          <w:divsChild>
                                            <w:div w:id="1715881331">
                                              <w:marLeft w:val="0"/>
                                              <w:marRight w:val="0"/>
                                              <w:marTop w:val="0"/>
                                              <w:marBottom w:val="0"/>
                                              <w:divBdr>
                                                <w:top w:val="none" w:sz="0" w:space="0" w:color="auto"/>
                                                <w:left w:val="none" w:sz="0" w:space="0" w:color="auto"/>
                                                <w:bottom w:val="none" w:sz="0" w:space="0" w:color="auto"/>
                                                <w:right w:val="none" w:sz="0" w:space="0" w:color="auto"/>
                                              </w:divBdr>
                                              <w:divsChild>
                                                <w:div w:id="651636755">
                                                  <w:marLeft w:val="0"/>
                                                  <w:marRight w:val="0"/>
                                                  <w:marTop w:val="0"/>
                                                  <w:marBottom w:val="0"/>
                                                  <w:divBdr>
                                                    <w:top w:val="none" w:sz="0" w:space="0" w:color="auto"/>
                                                    <w:left w:val="none" w:sz="0" w:space="0" w:color="auto"/>
                                                    <w:bottom w:val="none" w:sz="0" w:space="0" w:color="auto"/>
                                                    <w:right w:val="none" w:sz="0" w:space="0" w:color="auto"/>
                                                  </w:divBdr>
                                                  <w:divsChild>
                                                    <w:div w:id="303392713">
                                                      <w:marLeft w:val="0"/>
                                                      <w:marRight w:val="0"/>
                                                      <w:marTop w:val="0"/>
                                                      <w:marBottom w:val="0"/>
                                                      <w:divBdr>
                                                        <w:top w:val="none" w:sz="0" w:space="0" w:color="auto"/>
                                                        <w:left w:val="none" w:sz="0" w:space="0" w:color="auto"/>
                                                        <w:bottom w:val="none" w:sz="0" w:space="0" w:color="auto"/>
                                                        <w:right w:val="none" w:sz="0" w:space="0" w:color="auto"/>
                                                      </w:divBdr>
                                                      <w:divsChild>
                                                        <w:div w:id="249432224">
                                                          <w:marLeft w:val="0"/>
                                                          <w:marRight w:val="0"/>
                                                          <w:marTop w:val="0"/>
                                                          <w:marBottom w:val="0"/>
                                                          <w:divBdr>
                                                            <w:top w:val="none" w:sz="0" w:space="0" w:color="auto"/>
                                                            <w:left w:val="none" w:sz="0" w:space="0" w:color="auto"/>
                                                            <w:bottom w:val="none" w:sz="0" w:space="0" w:color="auto"/>
                                                            <w:right w:val="none" w:sz="0" w:space="0" w:color="auto"/>
                                                          </w:divBdr>
                                                          <w:divsChild>
                                                            <w:div w:id="1674455291">
                                                              <w:marLeft w:val="0"/>
                                                              <w:marRight w:val="0"/>
                                                              <w:marTop w:val="0"/>
                                                              <w:marBottom w:val="0"/>
                                                              <w:divBdr>
                                                                <w:top w:val="none" w:sz="0" w:space="0" w:color="auto"/>
                                                                <w:left w:val="none" w:sz="0" w:space="0" w:color="auto"/>
                                                                <w:bottom w:val="none" w:sz="0" w:space="0" w:color="auto"/>
                                                                <w:right w:val="none" w:sz="0" w:space="0" w:color="auto"/>
                                                              </w:divBdr>
                                                            </w:div>
                                                            <w:div w:id="1253851985">
                                                              <w:marLeft w:val="0"/>
                                                              <w:marRight w:val="0"/>
                                                              <w:marTop w:val="0"/>
                                                              <w:marBottom w:val="0"/>
                                                              <w:divBdr>
                                                                <w:top w:val="none" w:sz="0" w:space="0" w:color="auto"/>
                                                                <w:left w:val="none" w:sz="0" w:space="0" w:color="auto"/>
                                                                <w:bottom w:val="none" w:sz="0" w:space="0" w:color="auto"/>
                                                                <w:right w:val="none" w:sz="0" w:space="0" w:color="auto"/>
                                                              </w:divBdr>
                                                              <w:divsChild>
                                                                <w:div w:id="69666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607053">
                                                          <w:marLeft w:val="0"/>
                                                          <w:marRight w:val="0"/>
                                                          <w:marTop w:val="0"/>
                                                          <w:marBottom w:val="0"/>
                                                          <w:divBdr>
                                                            <w:top w:val="none" w:sz="0" w:space="0" w:color="auto"/>
                                                            <w:left w:val="none" w:sz="0" w:space="0" w:color="auto"/>
                                                            <w:bottom w:val="none" w:sz="0" w:space="0" w:color="auto"/>
                                                            <w:right w:val="none" w:sz="0" w:space="0" w:color="auto"/>
                                                          </w:divBdr>
                                                          <w:divsChild>
                                                            <w:div w:id="1952319365">
                                                              <w:marLeft w:val="0"/>
                                                              <w:marRight w:val="0"/>
                                                              <w:marTop w:val="0"/>
                                                              <w:marBottom w:val="0"/>
                                                              <w:divBdr>
                                                                <w:top w:val="none" w:sz="0" w:space="0" w:color="auto"/>
                                                                <w:left w:val="none" w:sz="0" w:space="0" w:color="auto"/>
                                                                <w:bottom w:val="none" w:sz="0" w:space="0" w:color="auto"/>
                                                                <w:right w:val="none" w:sz="0" w:space="0" w:color="auto"/>
                                                              </w:divBdr>
                                                            </w:div>
                                                            <w:div w:id="434793221">
                                                              <w:marLeft w:val="0"/>
                                                              <w:marRight w:val="0"/>
                                                              <w:marTop w:val="0"/>
                                                              <w:marBottom w:val="0"/>
                                                              <w:divBdr>
                                                                <w:top w:val="none" w:sz="0" w:space="0" w:color="auto"/>
                                                                <w:left w:val="none" w:sz="0" w:space="0" w:color="auto"/>
                                                                <w:bottom w:val="none" w:sz="0" w:space="0" w:color="auto"/>
                                                                <w:right w:val="none" w:sz="0" w:space="0" w:color="auto"/>
                                                              </w:divBdr>
                                                              <w:divsChild>
                                                                <w:div w:id="24087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106357">
                                                          <w:marLeft w:val="0"/>
                                                          <w:marRight w:val="0"/>
                                                          <w:marTop w:val="0"/>
                                                          <w:marBottom w:val="0"/>
                                                          <w:divBdr>
                                                            <w:top w:val="none" w:sz="0" w:space="0" w:color="auto"/>
                                                            <w:left w:val="none" w:sz="0" w:space="0" w:color="auto"/>
                                                            <w:bottom w:val="none" w:sz="0" w:space="0" w:color="auto"/>
                                                            <w:right w:val="none" w:sz="0" w:space="0" w:color="auto"/>
                                                          </w:divBdr>
                                                          <w:divsChild>
                                                            <w:div w:id="2033992713">
                                                              <w:marLeft w:val="0"/>
                                                              <w:marRight w:val="0"/>
                                                              <w:marTop w:val="0"/>
                                                              <w:marBottom w:val="0"/>
                                                              <w:divBdr>
                                                                <w:top w:val="none" w:sz="0" w:space="0" w:color="auto"/>
                                                                <w:left w:val="none" w:sz="0" w:space="0" w:color="auto"/>
                                                                <w:bottom w:val="none" w:sz="0" w:space="0" w:color="auto"/>
                                                                <w:right w:val="none" w:sz="0" w:space="0" w:color="auto"/>
                                                              </w:divBdr>
                                                            </w:div>
                                                            <w:div w:id="2014646401">
                                                              <w:marLeft w:val="0"/>
                                                              <w:marRight w:val="0"/>
                                                              <w:marTop w:val="0"/>
                                                              <w:marBottom w:val="0"/>
                                                              <w:divBdr>
                                                                <w:top w:val="none" w:sz="0" w:space="0" w:color="auto"/>
                                                                <w:left w:val="none" w:sz="0" w:space="0" w:color="auto"/>
                                                                <w:bottom w:val="none" w:sz="0" w:space="0" w:color="auto"/>
                                                                <w:right w:val="none" w:sz="0" w:space="0" w:color="auto"/>
                                                              </w:divBdr>
                                                              <w:divsChild>
                                                                <w:div w:id="55373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6334637">
                                                          <w:marLeft w:val="0"/>
                                                          <w:marRight w:val="0"/>
                                                          <w:marTop w:val="0"/>
                                                          <w:marBottom w:val="0"/>
                                                          <w:divBdr>
                                                            <w:top w:val="none" w:sz="0" w:space="0" w:color="auto"/>
                                                            <w:left w:val="none" w:sz="0" w:space="0" w:color="auto"/>
                                                            <w:bottom w:val="none" w:sz="0" w:space="0" w:color="auto"/>
                                                            <w:right w:val="none" w:sz="0" w:space="0" w:color="auto"/>
                                                          </w:divBdr>
                                                          <w:divsChild>
                                                            <w:div w:id="794835153">
                                                              <w:marLeft w:val="0"/>
                                                              <w:marRight w:val="0"/>
                                                              <w:marTop w:val="0"/>
                                                              <w:marBottom w:val="0"/>
                                                              <w:divBdr>
                                                                <w:top w:val="none" w:sz="0" w:space="0" w:color="auto"/>
                                                                <w:left w:val="none" w:sz="0" w:space="0" w:color="auto"/>
                                                                <w:bottom w:val="none" w:sz="0" w:space="0" w:color="auto"/>
                                                                <w:right w:val="none" w:sz="0" w:space="0" w:color="auto"/>
                                                              </w:divBdr>
                                                            </w:div>
                                                            <w:div w:id="2121414856">
                                                              <w:marLeft w:val="0"/>
                                                              <w:marRight w:val="0"/>
                                                              <w:marTop w:val="0"/>
                                                              <w:marBottom w:val="0"/>
                                                              <w:divBdr>
                                                                <w:top w:val="none" w:sz="0" w:space="0" w:color="auto"/>
                                                                <w:left w:val="none" w:sz="0" w:space="0" w:color="auto"/>
                                                                <w:bottom w:val="none" w:sz="0" w:space="0" w:color="auto"/>
                                                                <w:right w:val="none" w:sz="0" w:space="0" w:color="auto"/>
                                                              </w:divBdr>
                                                              <w:divsChild>
                                                                <w:div w:id="102775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558434">
                                                          <w:marLeft w:val="0"/>
                                                          <w:marRight w:val="0"/>
                                                          <w:marTop w:val="0"/>
                                                          <w:marBottom w:val="0"/>
                                                          <w:divBdr>
                                                            <w:top w:val="none" w:sz="0" w:space="0" w:color="auto"/>
                                                            <w:left w:val="none" w:sz="0" w:space="0" w:color="auto"/>
                                                            <w:bottom w:val="none" w:sz="0" w:space="0" w:color="auto"/>
                                                            <w:right w:val="none" w:sz="0" w:space="0" w:color="auto"/>
                                                          </w:divBdr>
                                                          <w:divsChild>
                                                            <w:div w:id="797917571">
                                                              <w:marLeft w:val="0"/>
                                                              <w:marRight w:val="0"/>
                                                              <w:marTop w:val="0"/>
                                                              <w:marBottom w:val="0"/>
                                                              <w:divBdr>
                                                                <w:top w:val="none" w:sz="0" w:space="0" w:color="auto"/>
                                                                <w:left w:val="none" w:sz="0" w:space="0" w:color="auto"/>
                                                                <w:bottom w:val="none" w:sz="0" w:space="0" w:color="auto"/>
                                                                <w:right w:val="none" w:sz="0" w:space="0" w:color="auto"/>
                                                              </w:divBdr>
                                                            </w:div>
                                                            <w:div w:id="1060401881">
                                                              <w:marLeft w:val="0"/>
                                                              <w:marRight w:val="0"/>
                                                              <w:marTop w:val="0"/>
                                                              <w:marBottom w:val="0"/>
                                                              <w:divBdr>
                                                                <w:top w:val="none" w:sz="0" w:space="0" w:color="auto"/>
                                                                <w:left w:val="none" w:sz="0" w:space="0" w:color="auto"/>
                                                                <w:bottom w:val="none" w:sz="0" w:space="0" w:color="auto"/>
                                                                <w:right w:val="none" w:sz="0" w:space="0" w:color="auto"/>
                                                              </w:divBdr>
                                                              <w:divsChild>
                                                                <w:div w:id="132161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669305">
                                                          <w:marLeft w:val="0"/>
                                                          <w:marRight w:val="0"/>
                                                          <w:marTop w:val="0"/>
                                                          <w:marBottom w:val="0"/>
                                                          <w:divBdr>
                                                            <w:top w:val="none" w:sz="0" w:space="0" w:color="auto"/>
                                                            <w:left w:val="none" w:sz="0" w:space="0" w:color="auto"/>
                                                            <w:bottom w:val="none" w:sz="0" w:space="0" w:color="auto"/>
                                                            <w:right w:val="none" w:sz="0" w:space="0" w:color="auto"/>
                                                          </w:divBdr>
                                                          <w:divsChild>
                                                            <w:div w:id="725224979">
                                                              <w:marLeft w:val="0"/>
                                                              <w:marRight w:val="0"/>
                                                              <w:marTop w:val="0"/>
                                                              <w:marBottom w:val="0"/>
                                                              <w:divBdr>
                                                                <w:top w:val="none" w:sz="0" w:space="0" w:color="auto"/>
                                                                <w:left w:val="none" w:sz="0" w:space="0" w:color="auto"/>
                                                                <w:bottom w:val="none" w:sz="0" w:space="0" w:color="auto"/>
                                                                <w:right w:val="none" w:sz="0" w:space="0" w:color="auto"/>
                                                              </w:divBdr>
                                                            </w:div>
                                                            <w:div w:id="1750077336">
                                                              <w:marLeft w:val="0"/>
                                                              <w:marRight w:val="0"/>
                                                              <w:marTop w:val="0"/>
                                                              <w:marBottom w:val="0"/>
                                                              <w:divBdr>
                                                                <w:top w:val="none" w:sz="0" w:space="0" w:color="auto"/>
                                                                <w:left w:val="none" w:sz="0" w:space="0" w:color="auto"/>
                                                                <w:bottom w:val="none" w:sz="0" w:space="0" w:color="auto"/>
                                                                <w:right w:val="none" w:sz="0" w:space="0" w:color="auto"/>
                                                              </w:divBdr>
                                                              <w:divsChild>
                                                                <w:div w:id="1897467508">
                                                                  <w:marLeft w:val="0"/>
                                                                  <w:marRight w:val="0"/>
                                                                  <w:marTop w:val="0"/>
                                                                  <w:marBottom w:val="0"/>
                                                                  <w:divBdr>
                                                                    <w:top w:val="none" w:sz="0" w:space="0" w:color="auto"/>
                                                                    <w:left w:val="none" w:sz="0" w:space="0" w:color="auto"/>
                                                                    <w:bottom w:val="none" w:sz="0" w:space="0" w:color="auto"/>
                                                                    <w:right w:val="none" w:sz="0" w:space="0" w:color="auto"/>
                                                                  </w:divBdr>
                                                                </w:div>
                                                                <w:div w:id="213282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574453">
                                                          <w:marLeft w:val="0"/>
                                                          <w:marRight w:val="0"/>
                                                          <w:marTop w:val="0"/>
                                                          <w:marBottom w:val="0"/>
                                                          <w:divBdr>
                                                            <w:top w:val="none" w:sz="0" w:space="0" w:color="auto"/>
                                                            <w:left w:val="none" w:sz="0" w:space="0" w:color="auto"/>
                                                            <w:bottom w:val="none" w:sz="0" w:space="0" w:color="auto"/>
                                                            <w:right w:val="none" w:sz="0" w:space="0" w:color="auto"/>
                                                          </w:divBdr>
                                                          <w:divsChild>
                                                            <w:div w:id="864489243">
                                                              <w:marLeft w:val="0"/>
                                                              <w:marRight w:val="0"/>
                                                              <w:marTop w:val="0"/>
                                                              <w:marBottom w:val="0"/>
                                                              <w:divBdr>
                                                                <w:top w:val="none" w:sz="0" w:space="0" w:color="auto"/>
                                                                <w:left w:val="none" w:sz="0" w:space="0" w:color="auto"/>
                                                                <w:bottom w:val="none" w:sz="0" w:space="0" w:color="auto"/>
                                                                <w:right w:val="none" w:sz="0" w:space="0" w:color="auto"/>
                                                              </w:divBdr>
                                                            </w:div>
                                                            <w:div w:id="1920014866">
                                                              <w:marLeft w:val="0"/>
                                                              <w:marRight w:val="0"/>
                                                              <w:marTop w:val="0"/>
                                                              <w:marBottom w:val="0"/>
                                                              <w:divBdr>
                                                                <w:top w:val="none" w:sz="0" w:space="0" w:color="auto"/>
                                                                <w:left w:val="none" w:sz="0" w:space="0" w:color="auto"/>
                                                                <w:bottom w:val="none" w:sz="0" w:space="0" w:color="auto"/>
                                                                <w:right w:val="none" w:sz="0" w:space="0" w:color="auto"/>
                                                              </w:divBdr>
                                                              <w:divsChild>
                                                                <w:div w:id="35554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500959">
                                                          <w:marLeft w:val="0"/>
                                                          <w:marRight w:val="0"/>
                                                          <w:marTop w:val="0"/>
                                                          <w:marBottom w:val="0"/>
                                                          <w:divBdr>
                                                            <w:top w:val="none" w:sz="0" w:space="0" w:color="auto"/>
                                                            <w:left w:val="none" w:sz="0" w:space="0" w:color="auto"/>
                                                            <w:bottom w:val="none" w:sz="0" w:space="0" w:color="auto"/>
                                                            <w:right w:val="none" w:sz="0" w:space="0" w:color="auto"/>
                                                          </w:divBdr>
                                                          <w:divsChild>
                                                            <w:div w:id="300693031">
                                                              <w:marLeft w:val="0"/>
                                                              <w:marRight w:val="0"/>
                                                              <w:marTop w:val="0"/>
                                                              <w:marBottom w:val="0"/>
                                                              <w:divBdr>
                                                                <w:top w:val="none" w:sz="0" w:space="0" w:color="auto"/>
                                                                <w:left w:val="none" w:sz="0" w:space="0" w:color="auto"/>
                                                                <w:bottom w:val="none" w:sz="0" w:space="0" w:color="auto"/>
                                                                <w:right w:val="none" w:sz="0" w:space="0" w:color="auto"/>
                                                              </w:divBdr>
                                                            </w:div>
                                                            <w:div w:id="1159662622">
                                                              <w:marLeft w:val="0"/>
                                                              <w:marRight w:val="0"/>
                                                              <w:marTop w:val="0"/>
                                                              <w:marBottom w:val="0"/>
                                                              <w:divBdr>
                                                                <w:top w:val="none" w:sz="0" w:space="0" w:color="auto"/>
                                                                <w:left w:val="none" w:sz="0" w:space="0" w:color="auto"/>
                                                                <w:bottom w:val="none" w:sz="0" w:space="0" w:color="auto"/>
                                                                <w:right w:val="none" w:sz="0" w:space="0" w:color="auto"/>
                                                              </w:divBdr>
                                                              <w:divsChild>
                                                                <w:div w:id="55863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842669">
                                                      <w:marLeft w:val="0"/>
                                                      <w:marRight w:val="0"/>
                                                      <w:marTop w:val="0"/>
                                                      <w:marBottom w:val="0"/>
                                                      <w:divBdr>
                                                        <w:top w:val="none" w:sz="0" w:space="0" w:color="auto"/>
                                                        <w:left w:val="none" w:sz="0" w:space="0" w:color="auto"/>
                                                        <w:bottom w:val="none" w:sz="0" w:space="0" w:color="auto"/>
                                                        <w:right w:val="none" w:sz="0" w:space="0" w:color="auto"/>
                                                      </w:divBdr>
                                                      <w:divsChild>
                                                        <w:div w:id="1264723196">
                                                          <w:marLeft w:val="0"/>
                                                          <w:marRight w:val="0"/>
                                                          <w:marTop w:val="0"/>
                                                          <w:marBottom w:val="0"/>
                                                          <w:divBdr>
                                                            <w:top w:val="none" w:sz="0" w:space="0" w:color="auto"/>
                                                            <w:left w:val="none" w:sz="0" w:space="0" w:color="auto"/>
                                                            <w:bottom w:val="none" w:sz="0" w:space="0" w:color="auto"/>
                                                            <w:right w:val="none" w:sz="0" w:space="0" w:color="auto"/>
                                                          </w:divBdr>
                                                          <w:divsChild>
                                                            <w:div w:id="88152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27644040">
      <w:bodyDiv w:val="1"/>
      <w:marLeft w:val="0"/>
      <w:marRight w:val="0"/>
      <w:marTop w:val="0"/>
      <w:marBottom w:val="0"/>
      <w:divBdr>
        <w:top w:val="none" w:sz="0" w:space="0" w:color="auto"/>
        <w:left w:val="none" w:sz="0" w:space="0" w:color="auto"/>
        <w:bottom w:val="none" w:sz="0" w:space="0" w:color="auto"/>
        <w:right w:val="none" w:sz="0" w:space="0" w:color="auto"/>
      </w:divBdr>
      <w:divsChild>
        <w:div w:id="1263610090">
          <w:marLeft w:val="0"/>
          <w:marRight w:val="0"/>
          <w:marTop w:val="0"/>
          <w:marBottom w:val="0"/>
          <w:divBdr>
            <w:top w:val="none" w:sz="0" w:space="0" w:color="auto"/>
            <w:left w:val="none" w:sz="0" w:space="0" w:color="auto"/>
            <w:bottom w:val="none" w:sz="0" w:space="0" w:color="auto"/>
            <w:right w:val="none" w:sz="0" w:space="0" w:color="auto"/>
          </w:divBdr>
          <w:divsChild>
            <w:div w:id="1159033746">
              <w:marLeft w:val="-225"/>
              <w:marRight w:val="-225"/>
              <w:marTop w:val="0"/>
              <w:marBottom w:val="0"/>
              <w:divBdr>
                <w:top w:val="none" w:sz="0" w:space="0" w:color="auto"/>
                <w:left w:val="none" w:sz="0" w:space="0" w:color="auto"/>
                <w:bottom w:val="none" w:sz="0" w:space="0" w:color="auto"/>
                <w:right w:val="none" w:sz="0" w:space="0" w:color="auto"/>
              </w:divBdr>
              <w:divsChild>
                <w:div w:id="1645625544">
                  <w:marLeft w:val="0"/>
                  <w:marRight w:val="0"/>
                  <w:marTop w:val="0"/>
                  <w:marBottom w:val="0"/>
                  <w:divBdr>
                    <w:top w:val="none" w:sz="0" w:space="0" w:color="auto"/>
                    <w:left w:val="none" w:sz="0" w:space="0" w:color="auto"/>
                    <w:bottom w:val="none" w:sz="0" w:space="0" w:color="auto"/>
                    <w:right w:val="none" w:sz="0" w:space="0" w:color="auto"/>
                  </w:divBdr>
                  <w:divsChild>
                    <w:div w:id="687144986">
                      <w:marLeft w:val="-225"/>
                      <w:marRight w:val="-225"/>
                      <w:marTop w:val="0"/>
                      <w:marBottom w:val="0"/>
                      <w:divBdr>
                        <w:top w:val="none" w:sz="0" w:space="0" w:color="auto"/>
                        <w:left w:val="none" w:sz="0" w:space="0" w:color="auto"/>
                        <w:bottom w:val="none" w:sz="0" w:space="0" w:color="auto"/>
                        <w:right w:val="none" w:sz="0" w:space="0" w:color="auto"/>
                      </w:divBdr>
                      <w:divsChild>
                        <w:div w:id="1407066882">
                          <w:marLeft w:val="0"/>
                          <w:marRight w:val="0"/>
                          <w:marTop w:val="0"/>
                          <w:marBottom w:val="0"/>
                          <w:divBdr>
                            <w:top w:val="none" w:sz="0" w:space="0" w:color="auto"/>
                            <w:left w:val="none" w:sz="0" w:space="0" w:color="auto"/>
                            <w:bottom w:val="none" w:sz="0" w:space="0" w:color="auto"/>
                            <w:right w:val="none" w:sz="0" w:space="0" w:color="auto"/>
                          </w:divBdr>
                          <w:divsChild>
                            <w:div w:id="242372896">
                              <w:marLeft w:val="0"/>
                              <w:marRight w:val="0"/>
                              <w:marTop w:val="0"/>
                              <w:marBottom w:val="0"/>
                              <w:divBdr>
                                <w:top w:val="none" w:sz="0" w:space="0" w:color="auto"/>
                                <w:left w:val="none" w:sz="0" w:space="0" w:color="auto"/>
                                <w:bottom w:val="none" w:sz="0" w:space="0" w:color="auto"/>
                                <w:right w:val="none" w:sz="0" w:space="0" w:color="auto"/>
                              </w:divBdr>
                              <w:divsChild>
                                <w:div w:id="1085879327">
                                  <w:marLeft w:val="-225"/>
                                  <w:marRight w:val="-225"/>
                                  <w:marTop w:val="0"/>
                                  <w:marBottom w:val="0"/>
                                  <w:divBdr>
                                    <w:top w:val="none" w:sz="0" w:space="0" w:color="auto"/>
                                    <w:left w:val="none" w:sz="0" w:space="0" w:color="auto"/>
                                    <w:bottom w:val="none" w:sz="0" w:space="0" w:color="auto"/>
                                    <w:right w:val="none" w:sz="0" w:space="0" w:color="auto"/>
                                  </w:divBdr>
                                  <w:divsChild>
                                    <w:div w:id="1906531089">
                                      <w:marLeft w:val="0"/>
                                      <w:marRight w:val="0"/>
                                      <w:marTop w:val="0"/>
                                      <w:marBottom w:val="0"/>
                                      <w:divBdr>
                                        <w:top w:val="none" w:sz="0" w:space="0" w:color="auto"/>
                                        <w:left w:val="none" w:sz="0" w:space="0" w:color="auto"/>
                                        <w:bottom w:val="none" w:sz="0" w:space="0" w:color="auto"/>
                                        <w:right w:val="none" w:sz="0" w:space="0" w:color="auto"/>
                                      </w:divBdr>
                                      <w:divsChild>
                                        <w:div w:id="153041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151789">
      <w:bodyDiv w:val="1"/>
      <w:marLeft w:val="0"/>
      <w:marRight w:val="0"/>
      <w:marTop w:val="0"/>
      <w:marBottom w:val="0"/>
      <w:divBdr>
        <w:top w:val="none" w:sz="0" w:space="0" w:color="auto"/>
        <w:left w:val="none" w:sz="0" w:space="0" w:color="auto"/>
        <w:bottom w:val="none" w:sz="0" w:space="0" w:color="auto"/>
        <w:right w:val="none" w:sz="0" w:space="0" w:color="auto"/>
      </w:divBdr>
      <w:divsChild>
        <w:div w:id="1567305305">
          <w:marLeft w:val="0"/>
          <w:marRight w:val="0"/>
          <w:marTop w:val="0"/>
          <w:marBottom w:val="0"/>
          <w:divBdr>
            <w:top w:val="none" w:sz="0" w:space="0" w:color="auto"/>
            <w:left w:val="none" w:sz="0" w:space="0" w:color="auto"/>
            <w:bottom w:val="none" w:sz="0" w:space="0" w:color="auto"/>
            <w:right w:val="none" w:sz="0" w:space="0" w:color="auto"/>
          </w:divBdr>
          <w:divsChild>
            <w:div w:id="241380361">
              <w:marLeft w:val="0"/>
              <w:marRight w:val="0"/>
              <w:marTop w:val="0"/>
              <w:marBottom w:val="0"/>
              <w:divBdr>
                <w:top w:val="none" w:sz="0" w:space="0" w:color="auto"/>
                <w:left w:val="none" w:sz="0" w:space="0" w:color="auto"/>
                <w:bottom w:val="none" w:sz="0" w:space="0" w:color="auto"/>
                <w:right w:val="none" w:sz="0" w:space="0" w:color="auto"/>
              </w:divBdr>
              <w:divsChild>
                <w:div w:id="1825927843">
                  <w:marLeft w:val="0"/>
                  <w:marRight w:val="0"/>
                  <w:marTop w:val="0"/>
                  <w:marBottom w:val="0"/>
                  <w:divBdr>
                    <w:top w:val="none" w:sz="0" w:space="0" w:color="auto"/>
                    <w:left w:val="none" w:sz="0" w:space="0" w:color="auto"/>
                    <w:bottom w:val="none" w:sz="0" w:space="0" w:color="auto"/>
                    <w:right w:val="none" w:sz="0" w:space="0" w:color="auto"/>
                  </w:divBdr>
                  <w:divsChild>
                    <w:div w:id="1340694397">
                      <w:marLeft w:val="0"/>
                      <w:marRight w:val="0"/>
                      <w:marTop w:val="0"/>
                      <w:marBottom w:val="0"/>
                      <w:divBdr>
                        <w:top w:val="none" w:sz="0" w:space="0" w:color="auto"/>
                        <w:left w:val="none" w:sz="0" w:space="0" w:color="auto"/>
                        <w:bottom w:val="none" w:sz="0" w:space="0" w:color="auto"/>
                        <w:right w:val="none" w:sz="0" w:space="0" w:color="auto"/>
                      </w:divBdr>
                      <w:divsChild>
                        <w:div w:id="139462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241912">
      <w:bodyDiv w:val="1"/>
      <w:marLeft w:val="0"/>
      <w:marRight w:val="0"/>
      <w:marTop w:val="0"/>
      <w:marBottom w:val="0"/>
      <w:divBdr>
        <w:top w:val="none" w:sz="0" w:space="0" w:color="auto"/>
        <w:left w:val="none" w:sz="0" w:space="0" w:color="auto"/>
        <w:bottom w:val="none" w:sz="0" w:space="0" w:color="auto"/>
        <w:right w:val="none" w:sz="0" w:space="0" w:color="auto"/>
      </w:divBdr>
      <w:divsChild>
        <w:div w:id="955212771">
          <w:marLeft w:val="0"/>
          <w:marRight w:val="0"/>
          <w:marTop w:val="0"/>
          <w:marBottom w:val="0"/>
          <w:divBdr>
            <w:top w:val="none" w:sz="0" w:space="0" w:color="auto"/>
            <w:left w:val="none" w:sz="0" w:space="0" w:color="auto"/>
            <w:bottom w:val="none" w:sz="0" w:space="0" w:color="auto"/>
            <w:right w:val="none" w:sz="0" w:space="0" w:color="auto"/>
          </w:divBdr>
          <w:divsChild>
            <w:div w:id="1090588718">
              <w:marLeft w:val="0"/>
              <w:marRight w:val="0"/>
              <w:marTop w:val="0"/>
              <w:marBottom w:val="0"/>
              <w:divBdr>
                <w:top w:val="none" w:sz="0" w:space="0" w:color="auto"/>
                <w:left w:val="none" w:sz="0" w:space="0" w:color="auto"/>
                <w:bottom w:val="none" w:sz="0" w:space="0" w:color="auto"/>
                <w:right w:val="none" w:sz="0" w:space="0" w:color="auto"/>
              </w:divBdr>
              <w:divsChild>
                <w:div w:id="1658144938">
                  <w:marLeft w:val="0"/>
                  <w:marRight w:val="0"/>
                  <w:marTop w:val="0"/>
                  <w:marBottom w:val="0"/>
                  <w:divBdr>
                    <w:top w:val="none" w:sz="0" w:space="0" w:color="auto"/>
                    <w:left w:val="none" w:sz="0" w:space="0" w:color="auto"/>
                    <w:bottom w:val="none" w:sz="0" w:space="0" w:color="auto"/>
                    <w:right w:val="none" w:sz="0" w:space="0" w:color="auto"/>
                  </w:divBdr>
                  <w:divsChild>
                    <w:div w:id="1816797589">
                      <w:marLeft w:val="0"/>
                      <w:marRight w:val="0"/>
                      <w:marTop w:val="0"/>
                      <w:marBottom w:val="0"/>
                      <w:divBdr>
                        <w:top w:val="none" w:sz="0" w:space="0" w:color="auto"/>
                        <w:left w:val="none" w:sz="0" w:space="0" w:color="auto"/>
                        <w:bottom w:val="none" w:sz="0" w:space="0" w:color="auto"/>
                        <w:right w:val="none" w:sz="0" w:space="0" w:color="auto"/>
                      </w:divBdr>
                      <w:divsChild>
                        <w:div w:id="98790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580527">
      <w:bodyDiv w:val="1"/>
      <w:marLeft w:val="0"/>
      <w:marRight w:val="0"/>
      <w:marTop w:val="0"/>
      <w:marBottom w:val="0"/>
      <w:divBdr>
        <w:top w:val="none" w:sz="0" w:space="0" w:color="auto"/>
        <w:left w:val="none" w:sz="0" w:space="0" w:color="auto"/>
        <w:bottom w:val="none" w:sz="0" w:space="0" w:color="auto"/>
        <w:right w:val="none" w:sz="0" w:space="0" w:color="auto"/>
      </w:divBdr>
      <w:divsChild>
        <w:div w:id="596445159">
          <w:marLeft w:val="0"/>
          <w:marRight w:val="0"/>
          <w:marTop w:val="0"/>
          <w:marBottom w:val="0"/>
          <w:divBdr>
            <w:top w:val="none" w:sz="0" w:space="0" w:color="auto"/>
            <w:left w:val="none" w:sz="0" w:space="0" w:color="auto"/>
            <w:bottom w:val="none" w:sz="0" w:space="0" w:color="auto"/>
            <w:right w:val="none" w:sz="0" w:space="0" w:color="auto"/>
          </w:divBdr>
          <w:divsChild>
            <w:div w:id="1548488042">
              <w:marLeft w:val="0"/>
              <w:marRight w:val="0"/>
              <w:marTop w:val="0"/>
              <w:marBottom w:val="0"/>
              <w:divBdr>
                <w:top w:val="none" w:sz="0" w:space="0" w:color="auto"/>
                <w:left w:val="none" w:sz="0" w:space="0" w:color="auto"/>
                <w:bottom w:val="none" w:sz="0" w:space="0" w:color="auto"/>
                <w:right w:val="none" w:sz="0" w:space="0" w:color="auto"/>
              </w:divBdr>
              <w:divsChild>
                <w:div w:id="615253985">
                  <w:marLeft w:val="0"/>
                  <w:marRight w:val="0"/>
                  <w:marTop w:val="0"/>
                  <w:marBottom w:val="0"/>
                  <w:divBdr>
                    <w:top w:val="none" w:sz="0" w:space="0" w:color="auto"/>
                    <w:left w:val="none" w:sz="0" w:space="0" w:color="auto"/>
                    <w:bottom w:val="none" w:sz="0" w:space="0" w:color="auto"/>
                    <w:right w:val="none" w:sz="0" w:space="0" w:color="auto"/>
                  </w:divBdr>
                  <w:divsChild>
                    <w:div w:id="525682013">
                      <w:marLeft w:val="0"/>
                      <w:marRight w:val="0"/>
                      <w:marTop w:val="0"/>
                      <w:marBottom w:val="0"/>
                      <w:divBdr>
                        <w:top w:val="none" w:sz="0" w:space="0" w:color="auto"/>
                        <w:left w:val="none" w:sz="0" w:space="0" w:color="auto"/>
                        <w:bottom w:val="none" w:sz="0" w:space="0" w:color="auto"/>
                        <w:right w:val="none" w:sz="0" w:space="0" w:color="auto"/>
                      </w:divBdr>
                      <w:divsChild>
                        <w:div w:id="18579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533461">
      <w:bodyDiv w:val="1"/>
      <w:marLeft w:val="0"/>
      <w:marRight w:val="0"/>
      <w:marTop w:val="0"/>
      <w:marBottom w:val="0"/>
      <w:divBdr>
        <w:top w:val="none" w:sz="0" w:space="0" w:color="auto"/>
        <w:left w:val="none" w:sz="0" w:space="0" w:color="auto"/>
        <w:bottom w:val="none" w:sz="0" w:space="0" w:color="auto"/>
        <w:right w:val="none" w:sz="0" w:space="0" w:color="auto"/>
      </w:divBdr>
      <w:divsChild>
        <w:div w:id="2140681674">
          <w:marLeft w:val="0"/>
          <w:marRight w:val="0"/>
          <w:marTop w:val="0"/>
          <w:marBottom w:val="0"/>
          <w:divBdr>
            <w:top w:val="none" w:sz="0" w:space="0" w:color="auto"/>
            <w:left w:val="none" w:sz="0" w:space="0" w:color="auto"/>
            <w:bottom w:val="none" w:sz="0" w:space="0" w:color="auto"/>
            <w:right w:val="none" w:sz="0" w:space="0" w:color="auto"/>
          </w:divBdr>
          <w:divsChild>
            <w:div w:id="382801221">
              <w:marLeft w:val="0"/>
              <w:marRight w:val="0"/>
              <w:marTop w:val="0"/>
              <w:marBottom w:val="0"/>
              <w:divBdr>
                <w:top w:val="none" w:sz="0" w:space="0" w:color="auto"/>
                <w:left w:val="none" w:sz="0" w:space="0" w:color="auto"/>
                <w:bottom w:val="none" w:sz="0" w:space="0" w:color="auto"/>
                <w:right w:val="none" w:sz="0" w:space="0" w:color="auto"/>
              </w:divBdr>
              <w:divsChild>
                <w:div w:id="1604537396">
                  <w:marLeft w:val="0"/>
                  <w:marRight w:val="0"/>
                  <w:marTop w:val="0"/>
                  <w:marBottom w:val="0"/>
                  <w:divBdr>
                    <w:top w:val="none" w:sz="0" w:space="0" w:color="auto"/>
                    <w:left w:val="none" w:sz="0" w:space="0" w:color="auto"/>
                    <w:bottom w:val="none" w:sz="0" w:space="0" w:color="auto"/>
                    <w:right w:val="none" w:sz="0" w:space="0" w:color="auto"/>
                  </w:divBdr>
                  <w:divsChild>
                    <w:div w:id="235944049">
                      <w:marLeft w:val="0"/>
                      <w:marRight w:val="0"/>
                      <w:marTop w:val="0"/>
                      <w:marBottom w:val="0"/>
                      <w:divBdr>
                        <w:top w:val="none" w:sz="0" w:space="0" w:color="auto"/>
                        <w:left w:val="none" w:sz="0" w:space="0" w:color="auto"/>
                        <w:bottom w:val="none" w:sz="0" w:space="0" w:color="auto"/>
                        <w:right w:val="none" w:sz="0" w:space="0" w:color="auto"/>
                      </w:divBdr>
                      <w:divsChild>
                        <w:div w:id="159855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628695">
      <w:bodyDiv w:val="1"/>
      <w:marLeft w:val="0"/>
      <w:marRight w:val="0"/>
      <w:marTop w:val="0"/>
      <w:marBottom w:val="0"/>
      <w:divBdr>
        <w:top w:val="none" w:sz="0" w:space="0" w:color="auto"/>
        <w:left w:val="none" w:sz="0" w:space="0" w:color="auto"/>
        <w:bottom w:val="none" w:sz="0" w:space="0" w:color="auto"/>
        <w:right w:val="none" w:sz="0" w:space="0" w:color="auto"/>
      </w:divBdr>
      <w:divsChild>
        <w:div w:id="1526938653">
          <w:marLeft w:val="0"/>
          <w:marRight w:val="0"/>
          <w:marTop w:val="0"/>
          <w:marBottom w:val="0"/>
          <w:divBdr>
            <w:top w:val="none" w:sz="0" w:space="0" w:color="auto"/>
            <w:left w:val="none" w:sz="0" w:space="0" w:color="auto"/>
            <w:bottom w:val="none" w:sz="0" w:space="0" w:color="auto"/>
            <w:right w:val="none" w:sz="0" w:space="0" w:color="auto"/>
          </w:divBdr>
          <w:divsChild>
            <w:div w:id="604654770">
              <w:marLeft w:val="0"/>
              <w:marRight w:val="0"/>
              <w:marTop w:val="0"/>
              <w:marBottom w:val="0"/>
              <w:divBdr>
                <w:top w:val="none" w:sz="0" w:space="0" w:color="auto"/>
                <w:left w:val="none" w:sz="0" w:space="0" w:color="auto"/>
                <w:bottom w:val="none" w:sz="0" w:space="0" w:color="auto"/>
                <w:right w:val="none" w:sz="0" w:space="0" w:color="auto"/>
              </w:divBdr>
              <w:divsChild>
                <w:div w:id="730350321">
                  <w:marLeft w:val="0"/>
                  <w:marRight w:val="0"/>
                  <w:marTop w:val="0"/>
                  <w:marBottom w:val="0"/>
                  <w:divBdr>
                    <w:top w:val="none" w:sz="0" w:space="0" w:color="auto"/>
                    <w:left w:val="none" w:sz="0" w:space="0" w:color="auto"/>
                    <w:bottom w:val="none" w:sz="0" w:space="0" w:color="auto"/>
                    <w:right w:val="none" w:sz="0" w:space="0" w:color="auto"/>
                  </w:divBdr>
                  <w:divsChild>
                    <w:div w:id="2077043729">
                      <w:marLeft w:val="0"/>
                      <w:marRight w:val="0"/>
                      <w:marTop w:val="0"/>
                      <w:marBottom w:val="0"/>
                      <w:divBdr>
                        <w:top w:val="none" w:sz="0" w:space="0" w:color="auto"/>
                        <w:left w:val="none" w:sz="0" w:space="0" w:color="auto"/>
                        <w:bottom w:val="none" w:sz="0" w:space="0" w:color="auto"/>
                        <w:right w:val="none" w:sz="0" w:space="0" w:color="auto"/>
                      </w:divBdr>
                      <w:divsChild>
                        <w:div w:id="100567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2080891">
      <w:bodyDiv w:val="1"/>
      <w:marLeft w:val="0"/>
      <w:marRight w:val="0"/>
      <w:marTop w:val="0"/>
      <w:marBottom w:val="0"/>
      <w:divBdr>
        <w:top w:val="none" w:sz="0" w:space="0" w:color="auto"/>
        <w:left w:val="none" w:sz="0" w:space="0" w:color="auto"/>
        <w:bottom w:val="none" w:sz="0" w:space="0" w:color="auto"/>
        <w:right w:val="none" w:sz="0" w:space="0" w:color="auto"/>
      </w:divBdr>
      <w:divsChild>
        <w:div w:id="471289079">
          <w:marLeft w:val="0"/>
          <w:marRight w:val="0"/>
          <w:marTop w:val="0"/>
          <w:marBottom w:val="0"/>
          <w:divBdr>
            <w:top w:val="none" w:sz="0" w:space="0" w:color="auto"/>
            <w:left w:val="none" w:sz="0" w:space="0" w:color="auto"/>
            <w:bottom w:val="none" w:sz="0" w:space="0" w:color="auto"/>
            <w:right w:val="none" w:sz="0" w:space="0" w:color="auto"/>
          </w:divBdr>
          <w:divsChild>
            <w:div w:id="483282970">
              <w:marLeft w:val="0"/>
              <w:marRight w:val="0"/>
              <w:marTop w:val="0"/>
              <w:marBottom w:val="0"/>
              <w:divBdr>
                <w:top w:val="none" w:sz="0" w:space="0" w:color="auto"/>
                <w:left w:val="none" w:sz="0" w:space="0" w:color="auto"/>
                <w:bottom w:val="none" w:sz="0" w:space="0" w:color="auto"/>
                <w:right w:val="none" w:sz="0" w:space="0" w:color="auto"/>
              </w:divBdr>
              <w:divsChild>
                <w:div w:id="1755737380">
                  <w:marLeft w:val="0"/>
                  <w:marRight w:val="0"/>
                  <w:marTop w:val="0"/>
                  <w:marBottom w:val="0"/>
                  <w:divBdr>
                    <w:top w:val="none" w:sz="0" w:space="0" w:color="auto"/>
                    <w:left w:val="none" w:sz="0" w:space="0" w:color="auto"/>
                    <w:bottom w:val="none" w:sz="0" w:space="0" w:color="auto"/>
                    <w:right w:val="none" w:sz="0" w:space="0" w:color="auto"/>
                  </w:divBdr>
                  <w:divsChild>
                    <w:div w:id="1936936184">
                      <w:marLeft w:val="0"/>
                      <w:marRight w:val="0"/>
                      <w:marTop w:val="0"/>
                      <w:marBottom w:val="0"/>
                      <w:divBdr>
                        <w:top w:val="none" w:sz="0" w:space="0" w:color="auto"/>
                        <w:left w:val="none" w:sz="0" w:space="0" w:color="auto"/>
                        <w:bottom w:val="none" w:sz="0" w:space="0" w:color="auto"/>
                        <w:right w:val="none" w:sz="0" w:space="0" w:color="auto"/>
                      </w:divBdr>
                      <w:divsChild>
                        <w:div w:id="81074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4121028">
      <w:bodyDiv w:val="1"/>
      <w:marLeft w:val="0"/>
      <w:marRight w:val="0"/>
      <w:marTop w:val="0"/>
      <w:marBottom w:val="0"/>
      <w:divBdr>
        <w:top w:val="none" w:sz="0" w:space="0" w:color="auto"/>
        <w:left w:val="none" w:sz="0" w:space="0" w:color="auto"/>
        <w:bottom w:val="none" w:sz="0" w:space="0" w:color="auto"/>
        <w:right w:val="none" w:sz="0" w:space="0" w:color="auto"/>
      </w:divBdr>
      <w:divsChild>
        <w:div w:id="1375274189">
          <w:marLeft w:val="0"/>
          <w:marRight w:val="0"/>
          <w:marTop w:val="0"/>
          <w:marBottom w:val="0"/>
          <w:divBdr>
            <w:top w:val="none" w:sz="0" w:space="0" w:color="auto"/>
            <w:left w:val="none" w:sz="0" w:space="0" w:color="auto"/>
            <w:bottom w:val="none" w:sz="0" w:space="0" w:color="auto"/>
            <w:right w:val="none" w:sz="0" w:space="0" w:color="auto"/>
          </w:divBdr>
          <w:divsChild>
            <w:div w:id="274481182">
              <w:marLeft w:val="0"/>
              <w:marRight w:val="0"/>
              <w:marTop w:val="0"/>
              <w:marBottom w:val="0"/>
              <w:divBdr>
                <w:top w:val="none" w:sz="0" w:space="0" w:color="auto"/>
                <w:left w:val="none" w:sz="0" w:space="0" w:color="auto"/>
                <w:bottom w:val="none" w:sz="0" w:space="0" w:color="auto"/>
                <w:right w:val="none" w:sz="0" w:space="0" w:color="auto"/>
              </w:divBdr>
              <w:divsChild>
                <w:div w:id="643314955">
                  <w:marLeft w:val="0"/>
                  <w:marRight w:val="0"/>
                  <w:marTop w:val="0"/>
                  <w:marBottom w:val="0"/>
                  <w:divBdr>
                    <w:top w:val="none" w:sz="0" w:space="0" w:color="auto"/>
                    <w:left w:val="none" w:sz="0" w:space="0" w:color="auto"/>
                    <w:bottom w:val="none" w:sz="0" w:space="0" w:color="auto"/>
                    <w:right w:val="none" w:sz="0" w:space="0" w:color="auto"/>
                  </w:divBdr>
                  <w:divsChild>
                    <w:div w:id="1384985691">
                      <w:marLeft w:val="0"/>
                      <w:marRight w:val="0"/>
                      <w:marTop w:val="0"/>
                      <w:marBottom w:val="0"/>
                      <w:divBdr>
                        <w:top w:val="none" w:sz="0" w:space="0" w:color="auto"/>
                        <w:left w:val="none" w:sz="0" w:space="0" w:color="auto"/>
                        <w:bottom w:val="none" w:sz="0" w:space="0" w:color="auto"/>
                        <w:right w:val="none" w:sz="0" w:space="0" w:color="auto"/>
                      </w:divBdr>
                      <w:divsChild>
                        <w:div w:id="156625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1238991">
      <w:bodyDiv w:val="1"/>
      <w:marLeft w:val="0"/>
      <w:marRight w:val="0"/>
      <w:marTop w:val="0"/>
      <w:marBottom w:val="0"/>
      <w:divBdr>
        <w:top w:val="none" w:sz="0" w:space="0" w:color="auto"/>
        <w:left w:val="none" w:sz="0" w:space="0" w:color="auto"/>
        <w:bottom w:val="none" w:sz="0" w:space="0" w:color="auto"/>
        <w:right w:val="none" w:sz="0" w:space="0" w:color="auto"/>
      </w:divBdr>
      <w:divsChild>
        <w:div w:id="2073186845">
          <w:marLeft w:val="0"/>
          <w:marRight w:val="0"/>
          <w:marTop w:val="0"/>
          <w:marBottom w:val="0"/>
          <w:divBdr>
            <w:top w:val="none" w:sz="0" w:space="0" w:color="auto"/>
            <w:left w:val="none" w:sz="0" w:space="0" w:color="auto"/>
            <w:bottom w:val="none" w:sz="0" w:space="0" w:color="auto"/>
            <w:right w:val="none" w:sz="0" w:space="0" w:color="auto"/>
          </w:divBdr>
          <w:divsChild>
            <w:div w:id="1988363614">
              <w:marLeft w:val="0"/>
              <w:marRight w:val="0"/>
              <w:marTop w:val="0"/>
              <w:marBottom w:val="0"/>
              <w:divBdr>
                <w:top w:val="none" w:sz="0" w:space="0" w:color="auto"/>
                <w:left w:val="none" w:sz="0" w:space="0" w:color="auto"/>
                <w:bottom w:val="none" w:sz="0" w:space="0" w:color="auto"/>
                <w:right w:val="none" w:sz="0" w:space="0" w:color="auto"/>
              </w:divBdr>
              <w:divsChild>
                <w:div w:id="698244526">
                  <w:marLeft w:val="0"/>
                  <w:marRight w:val="0"/>
                  <w:marTop w:val="0"/>
                  <w:marBottom w:val="0"/>
                  <w:divBdr>
                    <w:top w:val="none" w:sz="0" w:space="0" w:color="auto"/>
                    <w:left w:val="none" w:sz="0" w:space="0" w:color="auto"/>
                    <w:bottom w:val="none" w:sz="0" w:space="0" w:color="auto"/>
                    <w:right w:val="none" w:sz="0" w:space="0" w:color="auto"/>
                  </w:divBdr>
                  <w:divsChild>
                    <w:div w:id="978419425">
                      <w:marLeft w:val="0"/>
                      <w:marRight w:val="0"/>
                      <w:marTop w:val="0"/>
                      <w:marBottom w:val="0"/>
                      <w:divBdr>
                        <w:top w:val="none" w:sz="0" w:space="0" w:color="auto"/>
                        <w:left w:val="none" w:sz="0" w:space="0" w:color="auto"/>
                        <w:bottom w:val="none" w:sz="0" w:space="0" w:color="auto"/>
                        <w:right w:val="none" w:sz="0" w:space="0" w:color="auto"/>
                      </w:divBdr>
                      <w:divsChild>
                        <w:div w:id="69739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910481">
      <w:bodyDiv w:val="1"/>
      <w:marLeft w:val="0"/>
      <w:marRight w:val="0"/>
      <w:marTop w:val="0"/>
      <w:marBottom w:val="0"/>
      <w:divBdr>
        <w:top w:val="none" w:sz="0" w:space="0" w:color="auto"/>
        <w:left w:val="none" w:sz="0" w:space="0" w:color="auto"/>
        <w:bottom w:val="none" w:sz="0" w:space="0" w:color="auto"/>
        <w:right w:val="none" w:sz="0" w:space="0" w:color="auto"/>
      </w:divBdr>
      <w:divsChild>
        <w:div w:id="1828013169">
          <w:marLeft w:val="0"/>
          <w:marRight w:val="0"/>
          <w:marTop w:val="0"/>
          <w:marBottom w:val="0"/>
          <w:divBdr>
            <w:top w:val="none" w:sz="0" w:space="0" w:color="auto"/>
            <w:left w:val="none" w:sz="0" w:space="0" w:color="auto"/>
            <w:bottom w:val="none" w:sz="0" w:space="0" w:color="auto"/>
            <w:right w:val="none" w:sz="0" w:space="0" w:color="auto"/>
          </w:divBdr>
          <w:divsChild>
            <w:div w:id="1372266010">
              <w:marLeft w:val="0"/>
              <w:marRight w:val="0"/>
              <w:marTop w:val="0"/>
              <w:marBottom w:val="0"/>
              <w:divBdr>
                <w:top w:val="none" w:sz="0" w:space="0" w:color="auto"/>
                <w:left w:val="none" w:sz="0" w:space="0" w:color="auto"/>
                <w:bottom w:val="none" w:sz="0" w:space="0" w:color="auto"/>
                <w:right w:val="none" w:sz="0" w:space="0" w:color="auto"/>
              </w:divBdr>
              <w:divsChild>
                <w:div w:id="766072283">
                  <w:marLeft w:val="0"/>
                  <w:marRight w:val="0"/>
                  <w:marTop w:val="0"/>
                  <w:marBottom w:val="0"/>
                  <w:divBdr>
                    <w:top w:val="none" w:sz="0" w:space="0" w:color="auto"/>
                    <w:left w:val="none" w:sz="0" w:space="0" w:color="auto"/>
                    <w:bottom w:val="none" w:sz="0" w:space="0" w:color="auto"/>
                    <w:right w:val="none" w:sz="0" w:space="0" w:color="auto"/>
                  </w:divBdr>
                  <w:divsChild>
                    <w:div w:id="80102793">
                      <w:marLeft w:val="0"/>
                      <w:marRight w:val="0"/>
                      <w:marTop w:val="0"/>
                      <w:marBottom w:val="0"/>
                      <w:divBdr>
                        <w:top w:val="none" w:sz="0" w:space="0" w:color="auto"/>
                        <w:left w:val="none" w:sz="0" w:space="0" w:color="auto"/>
                        <w:bottom w:val="none" w:sz="0" w:space="0" w:color="auto"/>
                        <w:right w:val="none" w:sz="0" w:space="0" w:color="auto"/>
                      </w:divBdr>
                      <w:divsChild>
                        <w:div w:id="136178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0125107">
      <w:bodyDiv w:val="1"/>
      <w:marLeft w:val="0"/>
      <w:marRight w:val="0"/>
      <w:marTop w:val="0"/>
      <w:marBottom w:val="0"/>
      <w:divBdr>
        <w:top w:val="none" w:sz="0" w:space="0" w:color="auto"/>
        <w:left w:val="none" w:sz="0" w:space="0" w:color="auto"/>
        <w:bottom w:val="none" w:sz="0" w:space="0" w:color="auto"/>
        <w:right w:val="none" w:sz="0" w:space="0" w:color="auto"/>
      </w:divBdr>
      <w:divsChild>
        <w:div w:id="377900006">
          <w:marLeft w:val="0"/>
          <w:marRight w:val="0"/>
          <w:marTop w:val="0"/>
          <w:marBottom w:val="0"/>
          <w:divBdr>
            <w:top w:val="none" w:sz="0" w:space="0" w:color="auto"/>
            <w:left w:val="none" w:sz="0" w:space="0" w:color="auto"/>
            <w:bottom w:val="none" w:sz="0" w:space="0" w:color="auto"/>
            <w:right w:val="none" w:sz="0" w:space="0" w:color="auto"/>
          </w:divBdr>
          <w:divsChild>
            <w:div w:id="956369991">
              <w:marLeft w:val="0"/>
              <w:marRight w:val="0"/>
              <w:marTop w:val="0"/>
              <w:marBottom w:val="0"/>
              <w:divBdr>
                <w:top w:val="none" w:sz="0" w:space="0" w:color="auto"/>
                <w:left w:val="none" w:sz="0" w:space="0" w:color="auto"/>
                <w:bottom w:val="none" w:sz="0" w:space="0" w:color="auto"/>
                <w:right w:val="none" w:sz="0" w:space="0" w:color="auto"/>
              </w:divBdr>
              <w:divsChild>
                <w:div w:id="1017195691">
                  <w:marLeft w:val="0"/>
                  <w:marRight w:val="0"/>
                  <w:marTop w:val="0"/>
                  <w:marBottom w:val="0"/>
                  <w:divBdr>
                    <w:top w:val="none" w:sz="0" w:space="0" w:color="auto"/>
                    <w:left w:val="none" w:sz="0" w:space="0" w:color="auto"/>
                    <w:bottom w:val="none" w:sz="0" w:space="0" w:color="auto"/>
                    <w:right w:val="none" w:sz="0" w:space="0" w:color="auto"/>
                  </w:divBdr>
                  <w:divsChild>
                    <w:div w:id="1937856927">
                      <w:marLeft w:val="0"/>
                      <w:marRight w:val="0"/>
                      <w:marTop w:val="0"/>
                      <w:marBottom w:val="0"/>
                      <w:divBdr>
                        <w:top w:val="none" w:sz="0" w:space="0" w:color="auto"/>
                        <w:left w:val="none" w:sz="0" w:space="0" w:color="auto"/>
                        <w:bottom w:val="none" w:sz="0" w:space="0" w:color="auto"/>
                        <w:right w:val="none" w:sz="0" w:space="0" w:color="auto"/>
                      </w:divBdr>
                      <w:divsChild>
                        <w:div w:id="207889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4364614">
      <w:bodyDiv w:val="1"/>
      <w:marLeft w:val="0"/>
      <w:marRight w:val="0"/>
      <w:marTop w:val="0"/>
      <w:marBottom w:val="0"/>
      <w:divBdr>
        <w:top w:val="none" w:sz="0" w:space="0" w:color="auto"/>
        <w:left w:val="none" w:sz="0" w:space="0" w:color="auto"/>
        <w:bottom w:val="none" w:sz="0" w:space="0" w:color="auto"/>
        <w:right w:val="none" w:sz="0" w:space="0" w:color="auto"/>
      </w:divBdr>
      <w:divsChild>
        <w:div w:id="172189732">
          <w:marLeft w:val="0"/>
          <w:marRight w:val="0"/>
          <w:marTop w:val="0"/>
          <w:marBottom w:val="0"/>
          <w:divBdr>
            <w:top w:val="none" w:sz="0" w:space="0" w:color="auto"/>
            <w:left w:val="none" w:sz="0" w:space="0" w:color="auto"/>
            <w:bottom w:val="none" w:sz="0" w:space="0" w:color="auto"/>
            <w:right w:val="none" w:sz="0" w:space="0" w:color="auto"/>
          </w:divBdr>
          <w:divsChild>
            <w:div w:id="683360284">
              <w:marLeft w:val="0"/>
              <w:marRight w:val="0"/>
              <w:marTop w:val="0"/>
              <w:marBottom w:val="0"/>
              <w:divBdr>
                <w:top w:val="none" w:sz="0" w:space="0" w:color="auto"/>
                <w:left w:val="none" w:sz="0" w:space="0" w:color="auto"/>
                <w:bottom w:val="none" w:sz="0" w:space="0" w:color="auto"/>
                <w:right w:val="none" w:sz="0" w:space="0" w:color="auto"/>
              </w:divBdr>
              <w:divsChild>
                <w:div w:id="1489709040">
                  <w:marLeft w:val="0"/>
                  <w:marRight w:val="0"/>
                  <w:marTop w:val="0"/>
                  <w:marBottom w:val="0"/>
                  <w:divBdr>
                    <w:top w:val="none" w:sz="0" w:space="0" w:color="auto"/>
                    <w:left w:val="none" w:sz="0" w:space="0" w:color="auto"/>
                    <w:bottom w:val="none" w:sz="0" w:space="0" w:color="auto"/>
                    <w:right w:val="none" w:sz="0" w:space="0" w:color="auto"/>
                  </w:divBdr>
                  <w:divsChild>
                    <w:div w:id="1079327400">
                      <w:marLeft w:val="0"/>
                      <w:marRight w:val="0"/>
                      <w:marTop w:val="0"/>
                      <w:marBottom w:val="0"/>
                      <w:divBdr>
                        <w:top w:val="none" w:sz="0" w:space="0" w:color="auto"/>
                        <w:left w:val="none" w:sz="0" w:space="0" w:color="auto"/>
                        <w:bottom w:val="none" w:sz="0" w:space="0" w:color="auto"/>
                        <w:right w:val="none" w:sz="0" w:space="0" w:color="auto"/>
                      </w:divBdr>
                      <w:divsChild>
                        <w:div w:id="176838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823367">
      <w:bodyDiv w:val="1"/>
      <w:marLeft w:val="0"/>
      <w:marRight w:val="0"/>
      <w:marTop w:val="0"/>
      <w:marBottom w:val="0"/>
      <w:divBdr>
        <w:top w:val="none" w:sz="0" w:space="0" w:color="auto"/>
        <w:left w:val="none" w:sz="0" w:space="0" w:color="auto"/>
        <w:bottom w:val="none" w:sz="0" w:space="0" w:color="auto"/>
        <w:right w:val="none" w:sz="0" w:space="0" w:color="auto"/>
      </w:divBdr>
      <w:divsChild>
        <w:div w:id="11191074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6952722">
      <w:bodyDiv w:val="1"/>
      <w:marLeft w:val="0"/>
      <w:marRight w:val="0"/>
      <w:marTop w:val="0"/>
      <w:marBottom w:val="0"/>
      <w:divBdr>
        <w:top w:val="none" w:sz="0" w:space="0" w:color="auto"/>
        <w:left w:val="none" w:sz="0" w:space="0" w:color="auto"/>
        <w:bottom w:val="none" w:sz="0" w:space="0" w:color="auto"/>
        <w:right w:val="none" w:sz="0" w:space="0" w:color="auto"/>
      </w:divBdr>
      <w:divsChild>
        <w:div w:id="975064963">
          <w:marLeft w:val="0"/>
          <w:marRight w:val="0"/>
          <w:marTop w:val="0"/>
          <w:marBottom w:val="0"/>
          <w:divBdr>
            <w:top w:val="none" w:sz="0" w:space="0" w:color="auto"/>
            <w:left w:val="none" w:sz="0" w:space="0" w:color="auto"/>
            <w:bottom w:val="none" w:sz="0" w:space="0" w:color="auto"/>
            <w:right w:val="none" w:sz="0" w:space="0" w:color="auto"/>
          </w:divBdr>
          <w:divsChild>
            <w:div w:id="220755517">
              <w:marLeft w:val="0"/>
              <w:marRight w:val="0"/>
              <w:marTop w:val="0"/>
              <w:marBottom w:val="0"/>
              <w:divBdr>
                <w:top w:val="none" w:sz="0" w:space="0" w:color="auto"/>
                <w:left w:val="none" w:sz="0" w:space="0" w:color="auto"/>
                <w:bottom w:val="none" w:sz="0" w:space="0" w:color="auto"/>
                <w:right w:val="none" w:sz="0" w:space="0" w:color="auto"/>
              </w:divBdr>
              <w:divsChild>
                <w:div w:id="590118594">
                  <w:marLeft w:val="0"/>
                  <w:marRight w:val="0"/>
                  <w:marTop w:val="0"/>
                  <w:marBottom w:val="0"/>
                  <w:divBdr>
                    <w:top w:val="none" w:sz="0" w:space="0" w:color="auto"/>
                    <w:left w:val="none" w:sz="0" w:space="0" w:color="auto"/>
                    <w:bottom w:val="none" w:sz="0" w:space="0" w:color="auto"/>
                    <w:right w:val="none" w:sz="0" w:space="0" w:color="auto"/>
                  </w:divBdr>
                  <w:divsChild>
                    <w:div w:id="41028957">
                      <w:marLeft w:val="0"/>
                      <w:marRight w:val="0"/>
                      <w:marTop w:val="0"/>
                      <w:marBottom w:val="0"/>
                      <w:divBdr>
                        <w:top w:val="none" w:sz="0" w:space="0" w:color="auto"/>
                        <w:left w:val="none" w:sz="0" w:space="0" w:color="auto"/>
                        <w:bottom w:val="none" w:sz="0" w:space="0" w:color="auto"/>
                        <w:right w:val="none" w:sz="0" w:space="0" w:color="auto"/>
                      </w:divBdr>
                      <w:divsChild>
                        <w:div w:id="860512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3603790">
      <w:bodyDiv w:val="1"/>
      <w:marLeft w:val="0"/>
      <w:marRight w:val="0"/>
      <w:marTop w:val="0"/>
      <w:marBottom w:val="0"/>
      <w:divBdr>
        <w:top w:val="none" w:sz="0" w:space="0" w:color="auto"/>
        <w:left w:val="none" w:sz="0" w:space="0" w:color="auto"/>
        <w:bottom w:val="none" w:sz="0" w:space="0" w:color="auto"/>
        <w:right w:val="none" w:sz="0" w:space="0" w:color="auto"/>
      </w:divBdr>
      <w:divsChild>
        <w:div w:id="1209147300">
          <w:marLeft w:val="0"/>
          <w:marRight w:val="0"/>
          <w:marTop w:val="0"/>
          <w:marBottom w:val="0"/>
          <w:divBdr>
            <w:top w:val="none" w:sz="0" w:space="0" w:color="auto"/>
            <w:left w:val="none" w:sz="0" w:space="0" w:color="auto"/>
            <w:bottom w:val="none" w:sz="0" w:space="0" w:color="auto"/>
            <w:right w:val="none" w:sz="0" w:space="0" w:color="auto"/>
          </w:divBdr>
          <w:divsChild>
            <w:div w:id="1153329688">
              <w:marLeft w:val="0"/>
              <w:marRight w:val="0"/>
              <w:marTop w:val="0"/>
              <w:marBottom w:val="0"/>
              <w:divBdr>
                <w:top w:val="none" w:sz="0" w:space="0" w:color="auto"/>
                <w:left w:val="none" w:sz="0" w:space="0" w:color="auto"/>
                <w:bottom w:val="none" w:sz="0" w:space="0" w:color="auto"/>
                <w:right w:val="none" w:sz="0" w:space="0" w:color="auto"/>
              </w:divBdr>
              <w:divsChild>
                <w:div w:id="1589539910">
                  <w:marLeft w:val="0"/>
                  <w:marRight w:val="0"/>
                  <w:marTop w:val="0"/>
                  <w:marBottom w:val="0"/>
                  <w:divBdr>
                    <w:top w:val="none" w:sz="0" w:space="0" w:color="auto"/>
                    <w:left w:val="none" w:sz="0" w:space="0" w:color="auto"/>
                    <w:bottom w:val="none" w:sz="0" w:space="0" w:color="auto"/>
                    <w:right w:val="none" w:sz="0" w:space="0" w:color="auto"/>
                  </w:divBdr>
                  <w:divsChild>
                    <w:div w:id="1401715303">
                      <w:marLeft w:val="0"/>
                      <w:marRight w:val="0"/>
                      <w:marTop w:val="0"/>
                      <w:marBottom w:val="0"/>
                      <w:divBdr>
                        <w:top w:val="none" w:sz="0" w:space="0" w:color="auto"/>
                        <w:left w:val="none" w:sz="0" w:space="0" w:color="auto"/>
                        <w:bottom w:val="none" w:sz="0" w:space="0" w:color="auto"/>
                        <w:right w:val="none" w:sz="0" w:space="0" w:color="auto"/>
                      </w:divBdr>
                      <w:divsChild>
                        <w:div w:id="202829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500565">
      <w:bodyDiv w:val="1"/>
      <w:marLeft w:val="0"/>
      <w:marRight w:val="0"/>
      <w:marTop w:val="75"/>
      <w:marBottom w:val="75"/>
      <w:divBdr>
        <w:top w:val="none" w:sz="0" w:space="0" w:color="auto"/>
        <w:left w:val="none" w:sz="0" w:space="0" w:color="auto"/>
        <w:bottom w:val="none" w:sz="0" w:space="0" w:color="auto"/>
        <w:right w:val="none" w:sz="0" w:space="0" w:color="auto"/>
      </w:divBdr>
      <w:divsChild>
        <w:div w:id="2106807042">
          <w:marLeft w:val="0"/>
          <w:marRight w:val="0"/>
          <w:marTop w:val="0"/>
          <w:marBottom w:val="0"/>
          <w:divBdr>
            <w:top w:val="none" w:sz="0" w:space="0" w:color="auto"/>
            <w:left w:val="none" w:sz="0" w:space="0" w:color="auto"/>
            <w:bottom w:val="none" w:sz="0" w:space="0" w:color="auto"/>
            <w:right w:val="none" w:sz="0" w:space="0" w:color="auto"/>
          </w:divBdr>
        </w:div>
        <w:div w:id="286207239">
          <w:marLeft w:val="0"/>
          <w:marRight w:val="0"/>
          <w:marTop w:val="0"/>
          <w:marBottom w:val="0"/>
          <w:divBdr>
            <w:top w:val="none" w:sz="0" w:space="0" w:color="auto"/>
            <w:left w:val="none" w:sz="0" w:space="0" w:color="auto"/>
            <w:bottom w:val="none" w:sz="0" w:space="0" w:color="auto"/>
            <w:right w:val="none" w:sz="0" w:space="0" w:color="auto"/>
          </w:divBdr>
        </w:div>
        <w:div w:id="1959952249">
          <w:marLeft w:val="0"/>
          <w:marRight w:val="0"/>
          <w:marTop w:val="0"/>
          <w:marBottom w:val="0"/>
          <w:divBdr>
            <w:top w:val="none" w:sz="0" w:space="0" w:color="auto"/>
            <w:left w:val="none" w:sz="0" w:space="0" w:color="auto"/>
            <w:bottom w:val="none" w:sz="0" w:space="0" w:color="auto"/>
            <w:right w:val="none" w:sz="0" w:space="0" w:color="auto"/>
          </w:divBdr>
        </w:div>
        <w:div w:id="1621916228">
          <w:marLeft w:val="0"/>
          <w:marRight w:val="0"/>
          <w:marTop w:val="0"/>
          <w:marBottom w:val="0"/>
          <w:divBdr>
            <w:top w:val="none" w:sz="0" w:space="0" w:color="auto"/>
            <w:left w:val="none" w:sz="0" w:space="0" w:color="auto"/>
            <w:bottom w:val="none" w:sz="0" w:space="0" w:color="auto"/>
            <w:right w:val="none" w:sz="0" w:space="0" w:color="auto"/>
          </w:divBdr>
        </w:div>
        <w:div w:id="912013119">
          <w:marLeft w:val="0"/>
          <w:marRight w:val="0"/>
          <w:marTop w:val="0"/>
          <w:marBottom w:val="0"/>
          <w:divBdr>
            <w:top w:val="none" w:sz="0" w:space="0" w:color="auto"/>
            <w:left w:val="none" w:sz="0" w:space="0" w:color="auto"/>
            <w:bottom w:val="none" w:sz="0" w:space="0" w:color="auto"/>
            <w:right w:val="none" w:sz="0" w:space="0" w:color="auto"/>
          </w:divBdr>
        </w:div>
        <w:div w:id="322052450">
          <w:marLeft w:val="0"/>
          <w:marRight w:val="0"/>
          <w:marTop w:val="0"/>
          <w:marBottom w:val="0"/>
          <w:divBdr>
            <w:top w:val="none" w:sz="0" w:space="0" w:color="auto"/>
            <w:left w:val="none" w:sz="0" w:space="0" w:color="auto"/>
            <w:bottom w:val="none" w:sz="0" w:space="0" w:color="auto"/>
            <w:right w:val="none" w:sz="0" w:space="0" w:color="auto"/>
          </w:divBdr>
        </w:div>
        <w:div w:id="926884050">
          <w:marLeft w:val="0"/>
          <w:marRight w:val="0"/>
          <w:marTop w:val="0"/>
          <w:marBottom w:val="0"/>
          <w:divBdr>
            <w:top w:val="none" w:sz="0" w:space="0" w:color="auto"/>
            <w:left w:val="none" w:sz="0" w:space="0" w:color="auto"/>
            <w:bottom w:val="none" w:sz="0" w:space="0" w:color="auto"/>
            <w:right w:val="none" w:sz="0" w:space="0" w:color="auto"/>
          </w:divBdr>
        </w:div>
        <w:div w:id="863709725">
          <w:marLeft w:val="0"/>
          <w:marRight w:val="0"/>
          <w:marTop w:val="0"/>
          <w:marBottom w:val="0"/>
          <w:divBdr>
            <w:top w:val="none" w:sz="0" w:space="0" w:color="auto"/>
            <w:left w:val="none" w:sz="0" w:space="0" w:color="auto"/>
            <w:bottom w:val="none" w:sz="0" w:space="0" w:color="auto"/>
            <w:right w:val="none" w:sz="0" w:space="0" w:color="auto"/>
          </w:divBdr>
        </w:div>
        <w:div w:id="551622979">
          <w:marLeft w:val="0"/>
          <w:marRight w:val="0"/>
          <w:marTop w:val="0"/>
          <w:marBottom w:val="0"/>
          <w:divBdr>
            <w:top w:val="none" w:sz="0" w:space="0" w:color="auto"/>
            <w:left w:val="none" w:sz="0" w:space="0" w:color="auto"/>
            <w:bottom w:val="none" w:sz="0" w:space="0" w:color="auto"/>
            <w:right w:val="none" w:sz="0" w:space="0" w:color="auto"/>
          </w:divBdr>
        </w:div>
        <w:div w:id="502205072">
          <w:marLeft w:val="0"/>
          <w:marRight w:val="0"/>
          <w:marTop w:val="0"/>
          <w:marBottom w:val="0"/>
          <w:divBdr>
            <w:top w:val="none" w:sz="0" w:space="0" w:color="auto"/>
            <w:left w:val="none" w:sz="0" w:space="0" w:color="auto"/>
            <w:bottom w:val="none" w:sz="0" w:space="0" w:color="auto"/>
            <w:right w:val="none" w:sz="0" w:space="0" w:color="auto"/>
          </w:divBdr>
        </w:div>
        <w:div w:id="810293708">
          <w:marLeft w:val="0"/>
          <w:marRight w:val="0"/>
          <w:marTop w:val="0"/>
          <w:marBottom w:val="0"/>
          <w:divBdr>
            <w:top w:val="none" w:sz="0" w:space="0" w:color="auto"/>
            <w:left w:val="none" w:sz="0" w:space="0" w:color="auto"/>
            <w:bottom w:val="none" w:sz="0" w:space="0" w:color="auto"/>
            <w:right w:val="none" w:sz="0" w:space="0" w:color="auto"/>
          </w:divBdr>
        </w:div>
        <w:div w:id="850948222">
          <w:marLeft w:val="0"/>
          <w:marRight w:val="0"/>
          <w:marTop w:val="0"/>
          <w:marBottom w:val="0"/>
          <w:divBdr>
            <w:top w:val="none" w:sz="0" w:space="0" w:color="auto"/>
            <w:left w:val="none" w:sz="0" w:space="0" w:color="auto"/>
            <w:bottom w:val="none" w:sz="0" w:space="0" w:color="auto"/>
            <w:right w:val="none" w:sz="0" w:space="0" w:color="auto"/>
          </w:divBdr>
        </w:div>
        <w:div w:id="1067731006">
          <w:marLeft w:val="0"/>
          <w:marRight w:val="0"/>
          <w:marTop w:val="0"/>
          <w:marBottom w:val="0"/>
          <w:divBdr>
            <w:top w:val="none" w:sz="0" w:space="0" w:color="auto"/>
            <w:left w:val="none" w:sz="0" w:space="0" w:color="auto"/>
            <w:bottom w:val="none" w:sz="0" w:space="0" w:color="auto"/>
            <w:right w:val="none" w:sz="0" w:space="0" w:color="auto"/>
          </w:divBdr>
        </w:div>
        <w:div w:id="170683654">
          <w:marLeft w:val="0"/>
          <w:marRight w:val="0"/>
          <w:marTop w:val="0"/>
          <w:marBottom w:val="0"/>
          <w:divBdr>
            <w:top w:val="none" w:sz="0" w:space="0" w:color="auto"/>
            <w:left w:val="none" w:sz="0" w:space="0" w:color="auto"/>
            <w:bottom w:val="none" w:sz="0" w:space="0" w:color="auto"/>
            <w:right w:val="none" w:sz="0" w:space="0" w:color="auto"/>
          </w:divBdr>
        </w:div>
        <w:div w:id="762148408">
          <w:marLeft w:val="0"/>
          <w:marRight w:val="0"/>
          <w:marTop w:val="0"/>
          <w:marBottom w:val="0"/>
          <w:divBdr>
            <w:top w:val="none" w:sz="0" w:space="0" w:color="auto"/>
            <w:left w:val="none" w:sz="0" w:space="0" w:color="auto"/>
            <w:bottom w:val="none" w:sz="0" w:space="0" w:color="auto"/>
            <w:right w:val="none" w:sz="0" w:space="0" w:color="auto"/>
          </w:divBdr>
        </w:div>
        <w:div w:id="1851026042">
          <w:marLeft w:val="0"/>
          <w:marRight w:val="0"/>
          <w:marTop w:val="0"/>
          <w:marBottom w:val="0"/>
          <w:divBdr>
            <w:top w:val="none" w:sz="0" w:space="0" w:color="auto"/>
            <w:left w:val="none" w:sz="0" w:space="0" w:color="auto"/>
            <w:bottom w:val="none" w:sz="0" w:space="0" w:color="auto"/>
            <w:right w:val="none" w:sz="0" w:space="0" w:color="auto"/>
          </w:divBdr>
        </w:div>
        <w:div w:id="2047170421">
          <w:marLeft w:val="0"/>
          <w:marRight w:val="0"/>
          <w:marTop w:val="0"/>
          <w:marBottom w:val="0"/>
          <w:divBdr>
            <w:top w:val="none" w:sz="0" w:space="0" w:color="auto"/>
            <w:left w:val="none" w:sz="0" w:space="0" w:color="auto"/>
            <w:bottom w:val="none" w:sz="0" w:space="0" w:color="auto"/>
            <w:right w:val="none" w:sz="0" w:space="0" w:color="auto"/>
          </w:divBdr>
        </w:div>
        <w:div w:id="1426224859">
          <w:marLeft w:val="0"/>
          <w:marRight w:val="0"/>
          <w:marTop w:val="0"/>
          <w:marBottom w:val="0"/>
          <w:divBdr>
            <w:top w:val="none" w:sz="0" w:space="0" w:color="auto"/>
            <w:left w:val="none" w:sz="0" w:space="0" w:color="auto"/>
            <w:bottom w:val="none" w:sz="0" w:space="0" w:color="auto"/>
            <w:right w:val="none" w:sz="0" w:space="0" w:color="auto"/>
          </w:divBdr>
        </w:div>
        <w:div w:id="1585457452">
          <w:marLeft w:val="0"/>
          <w:marRight w:val="0"/>
          <w:marTop w:val="0"/>
          <w:marBottom w:val="0"/>
          <w:divBdr>
            <w:top w:val="none" w:sz="0" w:space="0" w:color="auto"/>
            <w:left w:val="none" w:sz="0" w:space="0" w:color="auto"/>
            <w:bottom w:val="none" w:sz="0" w:space="0" w:color="auto"/>
            <w:right w:val="none" w:sz="0" w:space="0" w:color="auto"/>
          </w:divBdr>
        </w:div>
        <w:div w:id="404883025">
          <w:marLeft w:val="0"/>
          <w:marRight w:val="0"/>
          <w:marTop w:val="0"/>
          <w:marBottom w:val="0"/>
          <w:divBdr>
            <w:top w:val="none" w:sz="0" w:space="0" w:color="auto"/>
            <w:left w:val="none" w:sz="0" w:space="0" w:color="auto"/>
            <w:bottom w:val="none" w:sz="0" w:space="0" w:color="auto"/>
            <w:right w:val="none" w:sz="0" w:space="0" w:color="auto"/>
          </w:divBdr>
        </w:div>
        <w:div w:id="1258173473">
          <w:marLeft w:val="0"/>
          <w:marRight w:val="0"/>
          <w:marTop w:val="0"/>
          <w:marBottom w:val="0"/>
          <w:divBdr>
            <w:top w:val="none" w:sz="0" w:space="0" w:color="auto"/>
            <w:left w:val="none" w:sz="0" w:space="0" w:color="auto"/>
            <w:bottom w:val="none" w:sz="0" w:space="0" w:color="auto"/>
            <w:right w:val="none" w:sz="0" w:space="0" w:color="auto"/>
          </w:divBdr>
        </w:div>
        <w:div w:id="581960155">
          <w:marLeft w:val="0"/>
          <w:marRight w:val="0"/>
          <w:marTop w:val="0"/>
          <w:marBottom w:val="0"/>
          <w:divBdr>
            <w:top w:val="none" w:sz="0" w:space="0" w:color="auto"/>
            <w:left w:val="none" w:sz="0" w:space="0" w:color="auto"/>
            <w:bottom w:val="none" w:sz="0" w:space="0" w:color="auto"/>
            <w:right w:val="none" w:sz="0" w:space="0" w:color="auto"/>
          </w:divBdr>
        </w:div>
        <w:div w:id="713118391">
          <w:marLeft w:val="0"/>
          <w:marRight w:val="0"/>
          <w:marTop w:val="0"/>
          <w:marBottom w:val="0"/>
          <w:divBdr>
            <w:top w:val="none" w:sz="0" w:space="0" w:color="auto"/>
            <w:left w:val="none" w:sz="0" w:space="0" w:color="auto"/>
            <w:bottom w:val="none" w:sz="0" w:space="0" w:color="auto"/>
            <w:right w:val="none" w:sz="0" w:space="0" w:color="auto"/>
          </w:divBdr>
        </w:div>
        <w:div w:id="1360007426">
          <w:marLeft w:val="0"/>
          <w:marRight w:val="0"/>
          <w:marTop w:val="0"/>
          <w:marBottom w:val="0"/>
          <w:divBdr>
            <w:top w:val="none" w:sz="0" w:space="0" w:color="auto"/>
            <w:left w:val="none" w:sz="0" w:space="0" w:color="auto"/>
            <w:bottom w:val="none" w:sz="0" w:space="0" w:color="auto"/>
            <w:right w:val="none" w:sz="0" w:space="0" w:color="auto"/>
          </w:divBdr>
        </w:div>
        <w:div w:id="2030178275">
          <w:marLeft w:val="0"/>
          <w:marRight w:val="0"/>
          <w:marTop w:val="0"/>
          <w:marBottom w:val="0"/>
          <w:divBdr>
            <w:top w:val="none" w:sz="0" w:space="0" w:color="auto"/>
            <w:left w:val="none" w:sz="0" w:space="0" w:color="auto"/>
            <w:bottom w:val="none" w:sz="0" w:space="0" w:color="auto"/>
            <w:right w:val="none" w:sz="0" w:space="0" w:color="auto"/>
          </w:divBdr>
        </w:div>
        <w:div w:id="2000579103">
          <w:marLeft w:val="0"/>
          <w:marRight w:val="0"/>
          <w:marTop w:val="0"/>
          <w:marBottom w:val="0"/>
          <w:divBdr>
            <w:top w:val="none" w:sz="0" w:space="0" w:color="auto"/>
            <w:left w:val="none" w:sz="0" w:space="0" w:color="auto"/>
            <w:bottom w:val="none" w:sz="0" w:space="0" w:color="auto"/>
            <w:right w:val="none" w:sz="0" w:space="0" w:color="auto"/>
          </w:divBdr>
        </w:div>
        <w:div w:id="1565026093">
          <w:marLeft w:val="0"/>
          <w:marRight w:val="0"/>
          <w:marTop w:val="0"/>
          <w:marBottom w:val="0"/>
          <w:divBdr>
            <w:top w:val="none" w:sz="0" w:space="0" w:color="auto"/>
            <w:left w:val="none" w:sz="0" w:space="0" w:color="auto"/>
            <w:bottom w:val="none" w:sz="0" w:space="0" w:color="auto"/>
            <w:right w:val="none" w:sz="0" w:space="0" w:color="auto"/>
          </w:divBdr>
        </w:div>
        <w:div w:id="1648239909">
          <w:marLeft w:val="0"/>
          <w:marRight w:val="0"/>
          <w:marTop w:val="0"/>
          <w:marBottom w:val="0"/>
          <w:divBdr>
            <w:top w:val="none" w:sz="0" w:space="0" w:color="auto"/>
            <w:left w:val="none" w:sz="0" w:space="0" w:color="auto"/>
            <w:bottom w:val="none" w:sz="0" w:space="0" w:color="auto"/>
            <w:right w:val="none" w:sz="0" w:space="0" w:color="auto"/>
          </w:divBdr>
        </w:div>
        <w:div w:id="438136591">
          <w:marLeft w:val="0"/>
          <w:marRight w:val="0"/>
          <w:marTop w:val="0"/>
          <w:marBottom w:val="0"/>
          <w:divBdr>
            <w:top w:val="none" w:sz="0" w:space="0" w:color="auto"/>
            <w:left w:val="none" w:sz="0" w:space="0" w:color="auto"/>
            <w:bottom w:val="none" w:sz="0" w:space="0" w:color="auto"/>
            <w:right w:val="none" w:sz="0" w:space="0" w:color="auto"/>
          </w:divBdr>
        </w:div>
        <w:div w:id="1113286777">
          <w:marLeft w:val="0"/>
          <w:marRight w:val="0"/>
          <w:marTop w:val="0"/>
          <w:marBottom w:val="0"/>
          <w:divBdr>
            <w:top w:val="none" w:sz="0" w:space="0" w:color="auto"/>
            <w:left w:val="none" w:sz="0" w:space="0" w:color="auto"/>
            <w:bottom w:val="none" w:sz="0" w:space="0" w:color="auto"/>
            <w:right w:val="none" w:sz="0" w:space="0" w:color="auto"/>
          </w:divBdr>
        </w:div>
        <w:div w:id="468981941">
          <w:marLeft w:val="0"/>
          <w:marRight w:val="0"/>
          <w:marTop w:val="0"/>
          <w:marBottom w:val="0"/>
          <w:divBdr>
            <w:top w:val="none" w:sz="0" w:space="0" w:color="auto"/>
            <w:left w:val="none" w:sz="0" w:space="0" w:color="auto"/>
            <w:bottom w:val="none" w:sz="0" w:space="0" w:color="auto"/>
            <w:right w:val="none" w:sz="0" w:space="0" w:color="auto"/>
          </w:divBdr>
        </w:div>
        <w:div w:id="2016761601">
          <w:marLeft w:val="0"/>
          <w:marRight w:val="0"/>
          <w:marTop w:val="0"/>
          <w:marBottom w:val="0"/>
          <w:divBdr>
            <w:top w:val="none" w:sz="0" w:space="0" w:color="auto"/>
            <w:left w:val="none" w:sz="0" w:space="0" w:color="auto"/>
            <w:bottom w:val="none" w:sz="0" w:space="0" w:color="auto"/>
            <w:right w:val="none" w:sz="0" w:space="0" w:color="auto"/>
          </w:divBdr>
        </w:div>
        <w:div w:id="1811245431">
          <w:marLeft w:val="0"/>
          <w:marRight w:val="0"/>
          <w:marTop w:val="0"/>
          <w:marBottom w:val="0"/>
          <w:divBdr>
            <w:top w:val="none" w:sz="0" w:space="0" w:color="auto"/>
            <w:left w:val="none" w:sz="0" w:space="0" w:color="auto"/>
            <w:bottom w:val="none" w:sz="0" w:space="0" w:color="auto"/>
            <w:right w:val="none" w:sz="0" w:space="0" w:color="auto"/>
          </w:divBdr>
        </w:div>
        <w:div w:id="414669753">
          <w:marLeft w:val="0"/>
          <w:marRight w:val="0"/>
          <w:marTop w:val="0"/>
          <w:marBottom w:val="0"/>
          <w:divBdr>
            <w:top w:val="none" w:sz="0" w:space="0" w:color="auto"/>
            <w:left w:val="none" w:sz="0" w:space="0" w:color="auto"/>
            <w:bottom w:val="none" w:sz="0" w:space="0" w:color="auto"/>
            <w:right w:val="none" w:sz="0" w:space="0" w:color="auto"/>
          </w:divBdr>
        </w:div>
        <w:div w:id="2112234280">
          <w:marLeft w:val="0"/>
          <w:marRight w:val="0"/>
          <w:marTop w:val="0"/>
          <w:marBottom w:val="0"/>
          <w:divBdr>
            <w:top w:val="none" w:sz="0" w:space="0" w:color="auto"/>
            <w:left w:val="none" w:sz="0" w:space="0" w:color="auto"/>
            <w:bottom w:val="none" w:sz="0" w:space="0" w:color="auto"/>
            <w:right w:val="none" w:sz="0" w:space="0" w:color="auto"/>
          </w:divBdr>
        </w:div>
        <w:div w:id="1220244647">
          <w:marLeft w:val="0"/>
          <w:marRight w:val="0"/>
          <w:marTop w:val="0"/>
          <w:marBottom w:val="0"/>
          <w:divBdr>
            <w:top w:val="none" w:sz="0" w:space="0" w:color="auto"/>
            <w:left w:val="none" w:sz="0" w:space="0" w:color="auto"/>
            <w:bottom w:val="none" w:sz="0" w:space="0" w:color="auto"/>
            <w:right w:val="none" w:sz="0" w:space="0" w:color="auto"/>
          </w:divBdr>
        </w:div>
        <w:div w:id="1747998969">
          <w:marLeft w:val="0"/>
          <w:marRight w:val="0"/>
          <w:marTop w:val="0"/>
          <w:marBottom w:val="0"/>
          <w:divBdr>
            <w:top w:val="none" w:sz="0" w:space="0" w:color="auto"/>
            <w:left w:val="none" w:sz="0" w:space="0" w:color="auto"/>
            <w:bottom w:val="none" w:sz="0" w:space="0" w:color="auto"/>
            <w:right w:val="none" w:sz="0" w:space="0" w:color="auto"/>
          </w:divBdr>
        </w:div>
        <w:div w:id="1733312065">
          <w:marLeft w:val="0"/>
          <w:marRight w:val="0"/>
          <w:marTop w:val="0"/>
          <w:marBottom w:val="0"/>
          <w:divBdr>
            <w:top w:val="none" w:sz="0" w:space="0" w:color="auto"/>
            <w:left w:val="none" w:sz="0" w:space="0" w:color="auto"/>
            <w:bottom w:val="none" w:sz="0" w:space="0" w:color="auto"/>
            <w:right w:val="none" w:sz="0" w:space="0" w:color="auto"/>
          </w:divBdr>
        </w:div>
        <w:div w:id="1399984861">
          <w:marLeft w:val="0"/>
          <w:marRight w:val="0"/>
          <w:marTop w:val="0"/>
          <w:marBottom w:val="0"/>
          <w:divBdr>
            <w:top w:val="none" w:sz="0" w:space="0" w:color="auto"/>
            <w:left w:val="none" w:sz="0" w:space="0" w:color="auto"/>
            <w:bottom w:val="none" w:sz="0" w:space="0" w:color="auto"/>
            <w:right w:val="none" w:sz="0" w:space="0" w:color="auto"/>
          </w:divBdr>
        </w:div>
        <w:div w:id="887759942">
          <w:marLeft w:val="0"/>
          <w:marRight w:val="0"/>
          <w:marTop w:val="0"/>
          <w:marBottom w:val="0"/>
          <w:divBdr>
            <w:top w:val="none" w:sz="0" w:space="0" w:color="auto"/>
            <w:left w:val="none" w:sz="0" w:space="0" w:color="auto"/>
            <w:bottom w:val="none" w:sz="0" w:space="0" w:color="auto"/>
            <w:right w:val="none" w:sz="0" w:space="0" w:color="auto"/>
          </w:divBdr>
        </w:div>
        <w:div w:id="394284057">
          <w:marLeft w:val="0"/>
          <w:marRight w:val="0"/>
          <w:marTop w:val="0"/>
          <w:marBottom w:val="0"/>
          <w:divBdr>
            <w:top w:val="none" w:sz="0" w:space="0" w:color="auto"/>
            <w:left w:val="none" w:sz="0" w:space="0" w:color="auto"/>
            <w:bottom w:val="none" w:sz="0" w:space="0" w:color="auto"/>
            <w:right w:val="none" w:sz="0" w:space="0" w:color="auto"/>
          </w:divBdr>
        </w:div>
        <w:div w:id="14308798">
          <w:marLeft w:val="0"/>
          <w:marRight w:val="0"/>
          <w:marTop w:val="0"/>
          <w:marBottom w:val="0"/>
          <w:divBdr>
            <w:top w:val="none" w:sz="0" w:space="0" w:color="auto"/>
            <w:left w:val="none" w:sz="0" w:space="0" w:color="auto"/>
            <w:bottom w:val="none" w:sz="0" w:space="0" w:color="auto"/>
            <w:right w:val="none" w:sz="0" w:space="0" w:color="auto"/>
          </w:divBdr>
        </w:div>
        <w:div w:id="241139423">
          <w:marLeft w:val="0"/>
          <w:marRight w:val="0"/>
          <w:marTop w:val="0"/>
          <w:marBottom w:val="0"/>
          <w:divBdr>
            <w:top w:val="none" w:sz="0" w:space="0" w:color="auto"/>
            <w:left w:val="none" w:sz="0" w:space="0" w:color="auto"/>
            <w:bottom w:val="none" w:sz="0" w:space="0" w:color="auto"/>
            <w:right w:val="none" w:sz="0" w:space="0" w:color="auto"/>
          </w:divBdr>
        </w:div>
        <w:div w:id="1892693962">
          <w:marLeft w:val="0"/>
          <w:marRight w:val="0"/>
          <w:marTop w:val="0"/>
          <w:marBottom w:val="0"/>
          <w:divBdr>
            <w:top w:val="none" w:sz="0" w:space="0" w:color="auto"/>
            <w:left w:val="none" w:sz="0" w:space="0" w:color="auto"/>
            <w:bottom w:val="none" w:sz="0" w:space="0" w:color="auto"/>
            <w:right w:val="none" w:sz="0" w:space="0" w:color="auto"/>
          </w:divBdr>
        </w:div>
        <w:div w:id="1213730052">
          <w:marLeft w:val="0"/>
          <w:marRight w:val="0"/>
          <w:marTop w:val="0"/>
          <w:marBottom w:val="0"/>
          <w:divBdr>
            <w:top w:val="none" w:sz="0" w:space="0" w:color="auto"/>
            <w:left w:val="none" w:sz="0" w:space="0" w:color="auto"/>
            <w:bottom w:val="none" w:sz="0" w:space="0" w:color="auto"/>
            <w:right w:val="none" w:sz="0" w:space="0" w:color="auto"/>
          </w:divBdr>
        </w:div>
        <w:div w:id="1439520823">
          <w:marLeft w:val="0"/>
          <w:marRight w:val="0"/>
          <w:marTop w:val="0"/>
          <w:marBottom w:val="0"/>
          <w:divBdr>
            <w:top w:val="none" w:sz="0" w:space="0" w:color="auto"/>
            <w:left w:val="none" w:sz="0" w:space="0" w:color="auto"/>
            <w:bottom w:val="none" w:sz="0" w:space="0" w:color="auto"/>
            <w:right w:val="none" w:sz="0" w:space="0" w:color="auto"/>
          </w:divBdr>
        </w:div>
        <w:div w:id="1180316361">
          <w:marLeft w:val="0"/>
          <w:marRight w:val="0"/>
          <w:marTop w:val="0"/>
          <w:marBottom w:val="0"/>
          <w:divBdr>
            <w:top w:val="none" w:sz="0" w:space="0" w:color="auto"/>
            <w:left w:val="none" w:sz="0" w:space="0" w:color="auto"/>
            <w:bottom w:val="none" w:sz="0" w:space="0" w:color="auto"/>
            <w:right w:val="none" w:sz="0" w:space="0" w:color="auto"/>
          </w:divBdr>
        </w:div>
        <w:div w:id="1410344381">
          <w:marLeft w:val="0"/>
          <w:marRight w:val="0"/>
          <w:marTop w:val="0"/>
          <w:marBottom w:val="0"/>
          <w:divBdr>
            <w:top w:val="none" w:sz="0" w:space="0" w:color="auto"/>
            <w:left w:val="none" w:sz="0" w:space="0" w:color="auto"/>
            <w:bottom w:val="none" w:sz="0" w:space="0" w:color="auto"/>
            <w:right w:val="none" w:sz="0" w:space="0" w:color="auto"/>
          </w:divBdr>
        </w:div>
        <w:div w:id="1677462339">
          <w:marLeft w:val="0"/>
          <w:marRight w:val="0"/>
          <w:marTop w:val="0"/>
          <w:marBottom w:val="0"/>
          <w:divBdr>
            <w:top w:val="none" w:sz="0" w:space="0" w:color="auto"/>
            <w:left w:val="none" w:sz="0" w:space="0" w:color="auto"/>
            <w:bottom w:val="none" w:sz="0" w:space="0" w:color="auto"/>
            <w:right w:val="none" w:sz="0" w:space="0" w:color="auto"/>
          </w:divBdr>
        </w:div>
        <w:div w:id="436608420">
          <w:marLeft w:val="0"/>
          <w:marRight w:val="0"/>
          <w:marTop w:val="0"/>
          <w:marBottom w:val="0"/>
          <w:divBdr>
            <w:top w:val="none" w:sz="0" w:space="0" w:color="auto"/>
            <w:left w:val="none" w:sz="0" w:space="0" w:color="auto"/>
            <w:bottom w:val="none" w:sz="0" w:space="0" w:color="auto"/>
            <w:right w:val="none" w:sz="0" w:space="0" w:color="auto"/>
          </w:divBdr>
        </w:div>
        <w:div w:id="850491783">
          <w:marLeft w:val="720"/>
          <w:marRight w:val="0"/>
          <w:marTop w:val="0"/>
          <w:marBottom w:val="0"/>
          <w:divBdr>
            <w:top w:val="none" w:sz="0" w:space="0" w:color="auto"/>
            <w:left w:val="none" w:sz="0" w:space="0" w:color="auto"/>
            <w:bottom w:val="none" w:sz="0" w:space="0" w:color="auto"/>
            <w:right w:val="none" w:sz="0" w:space="0" w:color="auto"/>
          </w:divBdr>
        </w:div>
        <w:div w:id="1464736033">
          <w:marLeft w:val="0"/>
          <w:marRight w:val="0"/>
          <w:marTop w:val="0"/>
          <w:marBottom w:val="0"/>
          <w:divBdr>
            <w:top w:val="none" w:sz="0" w:space="0" w:color="auto"/>
            <w:left w:val="none" w:sz="0" w:space="0" w:color="auto"/>
            <w:bottom w:val="none" w:sz="0" w:space="0" w:color="auto"/>
            <w:right w:val="none" w:sz="0" w:space="0" w:color="auto"/>
          </w:divBdr>
        </w:div>
        <w:div w:id="406072416">
          <w:marLeft w:val="0"/>
          <w:marRight w:val="0"/>
          <w:marTop w:val="0"/>
          <w:marBottom w:val="0"/>
          <w:divBdr>
            <w:top w:val="none" w:sz="0" w:space="0" w:color="auto"/>
            <w:left w:val="none" w:sz="0" w:space="0" w:color="auto"/>
            <w:bottom w:val="none" w:sz="0" w:space="0" w:color="auto"/>
            <w:right w:val="none" w:sz="0" w:space="0" w:color="auto"/>
          </w:divBdr>
        </w:div>
        <w:div w:id="1816873702">
          <w:marLeft w:val="720"/>
          <w:marRight w:val="0"/>
          <w:marTop w:val="0"/>
          <w:marBottom w:val="0"/>
          <w:divBdr>
            <w:top w:val="none" w:sz="0" w:space="0" w:color="auto"/>
            <w:left w:val="none" w:sz="0" w:space="0" w:color="auto"/>
            <w:bottom w:val="none" w:sz="0" w:space="0" w:color="auto"/>
            <w:right w:val="none" w:sz="0" w:space="0" w:color="auto"/>
          </w:divBdr>
        </w:div>
        <w:div w:id="2120297450">
          <w:marLeft w:val="0"/>
          <w:marRight w:val="0"/>
          <w:marTop w:val="0"/>
          <w:marBottom w:val="0"/>
          <w:divBdr>
            <w:top w:val="none" w:sz="0" w:space="0" w:color="auto"/>
            <w:left w:val="none" w:sz="0" w:space="0" w:color="auto"/>
            <w:bottom w:val="none" w:sz="0" w:space="0" w:color="auto"/>
            <w:right w:val="none" w:sz="0" w:space="0" w:color="auto"/>
          </w:divBdr>
        </w:div>
        <w:div w:id="1400862162">
          <w:marLeft w:val="0"/>
          <w:marRight w:val="0"/>
          <w:marTop w:val="0"/>
          <w:marBottom w:val="0"/>
          <w:divBdr>
            <w:top w:val="none" w:sz="0" w:space="0" w:color="auto"/>
            <w:left w:val="none" w:sz="0" w:space="0" w:color="auto"/>
            <w:bottom w:val="none" w:sz="0" w:space="0" w:color="auto"/>
            <w:right w:val="none" w:sz="0" w:space="0" w:color="auto"/>
          </w:divBdr>
        </w:div>
        <w:div w:id="341201024">
          <w:marLeft w:val="720"/>
          <w:marRight w:val="0"/>
          <w:marTop w:val="0"/>
          <w:marBottom w:val="0"/>
          <w:divBdr>
            <w:top w:val="none" w:sz="0" w:space="0" w:color="auto"/>
            <w:left w:val="none" w:sz="0" w:space="0" w:color="auto"/>
            <w:bottom w:val="none" w:sz="0" w:space="0" w:color="auto"/>
            <w:right w:val="none" w:sz="0" w:space="0" w:color="auto"/>
          </w:divBdr>
        </w:div>
        <w:div w:id="1470201104">
          <w:marLeft w:val="0"/>
          <w:marRight w:val="0"/>
          <w:marTop w:val="0"/>
          <w:marBottom w:val="0"/>
          <w:divBdr>
            <w:top w:val="none" w:sz="0" w:space="0" w:color="auto"/>
            <w:left w:val="none" w:sz="0" w:space="0" w:color="auto"/>
            <w:bottom w:val="none" w:sz="0" w:space="0" w:color="auto"/>
            <w:right w:val="none" w:sz="0" w:space="0" w:color="auto"/>
          </w:divBdr>
        </w:div>
        <w:div w:id="2061977495">
          <w:marLeft w:val="0"/>
          <w:marRight w:val="0"/>
          <w:marTop w:val="0"/>
          <w:marBottom w:val="0"/>
          <w:divBdr>
            <w:top w:val="none" w:sz="0" w:space="0" w:color="auto"/>
            <w:left w:val="none" w:sz="0" w:space="0" w:color="auto"/>
            <w:bottom w:val="none" w:sz="0" w:space="0" w:color="auto"/>
            <w:right w:val="none" w:sz="0" w:space="0" w:color="auto"/>
          </w:divBdr>
        </w:div>
        <w:div w:id="257102307">
          <w:marLeft w:val="720"/>
          <w:marRight w:val="0"/>
          <w:marTop w:val="0"/>
          <w:marBottom w:val="0"/>
          <w:divBdr>
            <w:top w:val="none" w:sz="0" w:space="0" w:color="auto"/>
            <w:left w:val="none" w:sz="0" w:space="0" w:color="auto"/>
            <w:bottom w:val="none" w:sz="0" w:space="0" w:color="auto"/>
            <w:right w:val="none" w:sz="0" w:space="0" w:color="auto"/>
          </w:divBdr>
        </w:div>
        <w:div w:id="1095398264">
          <w:marLeft w:val="0"/>
          <w:marRight w:val="0"/>
          <w:marTop w:val="0"/>
          <w:marBottom w:val="0"/>
          <w:divBdr>
            <w:top w:val="none" w:sz="0" w:space="0" w:color="auto"/>
            <w:left w:val="none" w:sz="0" w:space="0" w:color="auto"/>
            <w:bottom w:val="none" w:sz="0" w:space="0" w:color="auto"/>
            <w:right w:val="none" w:sz="0" w:space="0" w:color="auto"/>
          </w:divBdr>
        </w:div>
        <w:div w:id="2040616625">
          <w:marLeft w:val="0"/>
          <w:marRight w:val="0"/>
          <w:marTop w:val="0"/>
          <w:marBottom w:val="0"/>
          <w:divBdr>
            <w:top w:val="none" w:sz="0" w:space="0" w:color="auto"/>
            <w:left w:val="none" w:sz="0" w:space="0" w:color="auto"/>
            <w:bottom w:val="none" w:sz="0" w:space="0" w:color="auto"/>
            <w:right w:val="none" w:sz="0" w:space="0" w:color="auto"/>
          </w:divBdr>
        </w:div>
        <w:div w:id="1513571945">
          <w:marLeft w:val="720"/>
          <w:marRight w:val="0"/>
          <w:marTop w:val="0"/>
          <w:marBottom w:val="0"/>
          <w:divBdr>
            <w:top w:val="none" w:sz="0" w:space="0" w:color="auto"/>
            <w:left w:val="none" w:sz="0" w:space="0" w:color="auto"/>
            <w:bottom w:val="none" w:sz="0" w:space="0" w:color="auto"/>
            <w:right w:val="none" w:sz="0" w:space="0" w:color="auto"/>
          </w:divBdr>
        </w:div>
        <w:div w:id="919679612">
          <w:marLeft w:val="0"/>
          <w:marRight w:val="0"/>
          <w:marTop w:val="0"/>
          <w:marBottom w:val="0"/>
          <w:divBdr>
            <w:top w:val="none" w:sz="0" w:space="0" w:color="auto"/>
            <w:left w:val="none" w:sz="0" w:space="0" w:color="auto"/>
            <w:bottom w:val="none" w:sz="0" w:space="0" w:color="auto"/>
            <w:right w:val="none" w:sz="0" w:space="0" w:color="auto"/>
          </w:divBdr>
        </w:div>
        <w:div w:id="1494878202">
          <w:marLeft w:val="0"/>
          <w:marRight w:val="0"/>
          <w:marTop w:val="0"/>
          <w:marBottom w:val="0"/>
          <w:divBdr>
            <w:top w:val="none" w:sz="0" w:space="0" w:color="auto"/>
            <w:left w:val="none" w:sz="0" w:space="0" w:color="auto"/>
            <w:bottom w:val="none" w:sz="0" w:space="0" w:color="auto"/>
            <w:right w:val="none" w:sz="0" w:space="0" w:color="auto"/>
          </w:divBdr>
        </w:div>
        <w:div w:id="465394056">
          <w:marLeft w:val="0"/>
          <w:marRight w:val="0"/>
          <w:marTop w:val="0"/>
          <w:marBottom w:val="0"/>
          <w:divBdr>
            <w:top w:val="none" w:sz="0" w:space="0" w:color="auto"/>
            <w:left w:val="none" w:sz="0" w:space="0" w:color="auto"/>
            <w:bottom w:val="none" w:sz="0" w:space="0" w:color="auto"/>
            <w:right w:val="none" w:sz="0" w:space="0" w:color="auto"/>
          </w:divBdr>
        </w:div>
        <w:div w:id="1434085226">
          <w:marLeft w:val="0"/>
          <w:marRight w:val="0"/>
          <w:marTop w:val="0"/>
          <w:marBottom w:val="0"/>
          <w:divBdr>
            <w:top w:val="none" w:sz="0" w:space="0" w:color="auto"/>
            <w:left w:val="none" w:sz="0" w:space="0" w:color="auto"/>
            <w:bottom w:val="none" w:sz="0" w:space="0" w:color="auto"/>
            <w:right w:val="none" w:sz="0" w:space="0" w:color="auto"/>
          </w:divBdr>
        </w:div>
        <w:div w:id="1745835655">
          <w:marLeft w:val="0"/>
          <w:marRight w:val="0"/>
          <w:marTop w:val="0"/>
          <w:marBottom w:val="0"/>
          <w:divBdr>
            <w:top w:val="none" w:sz="0" w:space="0" w:color="auto"/>
            <w:left w:val="none" w:sz="0" w:space="0" w:color="auto"/>
            <w:bottom w:val="none" w:sz="0" w:space="0" w:color="auto"/>
            <w:right w:val="none" w:sz="0" w:space="0" w:color="auto"/>
          </w:divBdr>
        </w:div>
        <w:div w:id="150101311">
          <w:marLeft w:val="0"/>
          <w:marRight w:val="0"/>
          <w:marTop w:val="0"/>
          <w:marBottom w:val="0"/>
          <w:divBdr>
            <w:top w:val="none" w:sz="0" w:space="0" w:color="auto"/>
            <w:left w:val="none" w:sz="0" w:space="0" w:color="auto"/>
            <w:bottom w:val="none" w:sz="0" w:space="0" w:color="auto"/>
            <w:right w:val="none" w:sz="0" w:space="0" w:color="auto"/>
          </w:divBdr>
        </w:div>
        <w:div w:id="1829056605">
          <w:marLeft w:val="0"/>
          <w:marRight w:val="0"/>
          <w:marTop w:val="0"/>
          <w:marBottom w:val="0"/>
          <w:divBdr>
            <w:top w:val="none" w:sz="0" w:space="0" w:color="auto"/>
            <w:left w:val="none" w:sz="0" w:space="0" w:color="auto"/>
            <w:bottom w:val="none" w:sz="0" w:space="0" w:color="auto"/>
            <w:right w:val="none" w:sz="0" w:space="0" w:color="auto"/>
          </w:divBdr>
        </w:div>
        <w:div w:id="1661808066">
          <w:marLeft w:val="0"/>
          <w:marRight w:val="0"/>
          <w:marTop w:val="0"/>
          <w:marBottom w:val="0"/>
          <w:divBdr>
            <w:top w:val="none" w:sz="0" w:space="0" w:color="auto"/>
            <w:left w:val="none" w:sz="0" w:space="0" w:color="auto"/>
            <w:bottom w:val="none" w:sz="0" w:space="0" w:color="auto"/>
            <w:right w:val="none" w:sz="0" w:space="0" w:color="auto"/>
          </w:divBdr>
        </w:div>
        <w:div w:id="337581787">
          <w:marLeft w:val="0"/>
          <w:marRight w:val="0"/>
          <w:marTop w:val="0"/>
          <w:marBottom w:val="0"/>
          <w:divBdr>
            <w:top w:val="none" w:sz="0" w:space="0" w:color="auto"/>
            <w:left w:val="none" w:sz="0" w:space="0" w:color="auto"/>
            <w:bottom w:val="none" w:sz="0" w:space="0" w:color="auto"/>
            <w:right w:val="none" w:sz="0" w:space="0" w:color="auto"/>
          </w:divBdr>
        </w:div>
        <w:div w:id="1830291772">
          <w:marLeft w:val="0"/>
          <w:marRight w:val="0"/>
          <w:marTop w:val="0"/>
          <w:marBottom w:val="0"/>
          <w:divBdr>
            <w:top w:val="none" w:sz="0" w:space="0" w:color="auto"/>
            <w:left w:val="none" w:sz="0" w:space="0" w:color="auto"/>
            <w:bottom w:val="none" w:sz="0" w:space="0" w:color="auto"/>
            <w:right w:val="none" w:sz="0" w:space="0" w:color="auto"/>
          </w:divBdr>
        </w:div>
        <w:div w:id="1355375308">
          <w:marLeft w:val="0"/>
          <w:marRight w:val="0"/>
          <w:marTop w:val="0"/>
          <w:marBottom w:val="0"/>
          <w:divBdr>
            <w:top w:val="none" w:sz="0" w:space="0" w:color="auto"/>
            <w:left w:val="none" w:sz="0" w:space="0" w:color="auto"/>
            <w:bottom w:val="none" w:sz="0" w:space="0" w:color="auto"/>
            <w:right w:val="none" w:sz="0" w:space="0" w:color="auto"/>
          </w:divBdr>
        </w:div>
        <w:div w:id="1341008411">
          <w:marLeft w:val="0"/>
          <w:marRight w:val="0"/>
          <w:marTop w:val="0"/>
          <w:marBottom w:val="0"/>
          <w:divBdr>
            <w:top w:val="none" w:sz="0" w:space="0" w:color="auto"/>
            <w:left w:val="none" w:sz="0" w:space="0" w:color="auto"/>
            <w:bottom w:val="none" w:sz="0" w:space="0" w:color="auto"/>
            <w:right w:val="none" w:sz="0" w:space="0" w:color="auto"/>
          </w:divBdr>
        </w:div>
        <w:div w:id="1934315640">
          <w:marLeft w:val="0"/>
          <w:marRight w:val="0"/>
          <w:marTop w:val="0"/>
          <w:marBottom w:val="0"/>
          <w:divBdr>
            <w:top w:val="none" w:sz="0" w:space="0" w:color="auto"/>
            <w:left w:val="none" w:sz="0" w:space="0" w:color="auto"/>
            <w:bottom w:val="none" w:sz="0" w:space="0" w:color="auto"/>
            <w:right w:val="none" w:sz="0" w:space="0" w:color="auto"/>
          </w:divBdr>
        </w:div>
        <w:div w:id="498497052">
          <w:marLeft w:val="0"/>
          <w:marRight w:val="0"/>
          <w:marTop w:val="0"/>
          <w:marBottom w:val="0"/>
          <w:divBdr>
            <w:top w:val="none" w:sz="0" w:space="0" w:color="auto"/>
            <w:left w:val="none" w:sz="0" w:space="0" w:color="auto"/>
            <w:bottom w:val="none" w:sz="0" w:space="0" w:color="auto"/>
            <w:right w:val="none" w:sz="0" w:space="0" w:color="auto"/>
          </w:divBdr>
        </w:div>
        <w:div w:id="999849152">
          <w:marLeft w:val="0"/>
          <w:marRight w:val="0"/>
          <w:marTop w:val="0"/>
          <w:marBottom w:val="0"/>
          <w:divBdr>
            <w:top w:val="none" w:sz="0" w:space="0" w:color="auto"/>
            <w:left w:val="none" w:sz="0" w:space="0" w:color="auto"/>
            <w:bottom w:val="none" w:sz="0" w:space="0" w:color="auto"/>
            <w:right w:val="none" w:sz="0" w:space="0" w:color="auto"/>
          </w:divBdr>
        </w:div>
        <w:div w:id="167330702">
          <w:marLeft w:val="0"/>
          <w:marRight w:val="0"/>
          <w:marTop w:val="0"/>
          <w:marBottom w:val="0"/>
          <w:divBdr>
            <w:top w:val="none" w:sz="0" w:space="0" w:color="auto"/>
            <w:left w:val="none" w:sz="0" w:space="0" w:color="auto"/>
            <w:bottom w:val="none" w:sz="0" w:space="0" w:color="auto"/>
            <w:right w:val="none" w:sz="0" w:space="0" w:color="auto"/>
          </w:divBdr>
        </w:div>
        <w:div w:id="901254902">
          <w:marLeft w:val="0"/>
          <w:marRight w:val="0"/>
          <w:marTop w:val="0"/>
          <w:marBottom w:val="0"/>
          <w:divBdr>
            <w:top w:val="none" w:sz="0" w:space="0" w:color="auto"/>
            <w:left w:val="none" w:sz="0" w:space="0" w:color="auto"/>
            <w:bottom w:val="none" w:sz="0" w:space="0" w:color="auto"/>
            <w:right w:val="none" w:sz="0" w:space="0" w:color="auto"/>
          </w:divBdr>
        </w:div>
        <w:div w:id="221602046">
          <w:marLeft w:val="0"/>
          <w:marRight w:val="0"/>
          <w:marTop w:val="0"/>
          <w:marBottom w:val="0"/>
          <w:divBdr>
            <w:top w:val="none" w:sz="0" w:space="0" w:color="auto"/>
            <w:left w:val="none" w:sz="0" w:space="0" w:color="auto"/>
            <w:bottom w:val="none" w:sz="0" w:space="0" w:color="auto"/>
            <w:right w:val="none" w:sz="0" w:space="0" w:color="auto"/>
          </w:divBdr>
        </w:div>
        <w:div w:id="61758554">
          <w:marLeft w:val="0"/>
          <w:marRight w:val="0"/>
          <w:marTop w:val="0"/>
          <w:marBottom w:val="0"/>
          <w:divBdr>
            <w:top w:val="none" w:sz="0" w:space="0" w:color="auto"/>
            <w:left w:val="none" w:sz="0" w:space="0" w:color="auto"/>
            <w:bottom w:val="none" w:sz="0" w:space="0" w:color="auto"/>
            <w:right w:val="none" w:sz="0" w:space="0" w:color="auto"/>
          </w:divBdr>
        </w:div>
        <w:div w:id="366490880">
          <w:marLeft w:val="0"/>
          <w:marRight w:val="0"/>
          <w:marTop w:val="0"/>
          <w:marBottom w:val="0"/>
          <w:divBdr>
            <w:top w:val="none" w:sz="0" w:space="0" w:color="auto"/>
            <w:left w:val="none" w:sz="0" w:space="0" w:color="auto"/>
            <w:bottom w:val="none" w:sz="0" w:space="0" w:color="auto"/>
            <w:right w:val="none" w:sz="0" w:space="0" w:color="auto"/>
          </w:divBdr>
        </w:div>
        <w:div w:id="1389962137">
          <w:marLeft w:val="0"/>
          <w:marRight w:val="0"/>
          <w:marTop w:val="0"/>
          <w:marBottom w:val="0"/>
          <w:divBdr>
            <w:top w:val="none" w:sz="0" w:space="0" w:color="auto"/>
            <w:left w:val="none" w:sz="0" w:space="0" w:color="auto"/>
            <w:bottom w:val="none" w:sz="0" w:space="0" w:color="auto"/>
            <w:right w:val="none" w:sz="0" w:space="0" w:color="auto"/>
          </w:divBdr>
        </w:div>
        <w:div w:id="1123034249">
          <w:marLeft w:val="0"/>
          <w:marRight w:val="0"/>
          <w:marTop w:val="0"/>
          <w:marBottom w:val="0"/>
          <w:divBdr>
            <w:top w:val="none" w:sz="0" w:space="0" w:color="auto"/>
            <w:left w:val="none" w:sz="0" w:space="0" w:color="auto"/>
            <w:bottom w:val="none" w:sz="0" w:space="0" w:color="auto"/>
            <w:right w:val="none" w:sz="0" w:space="0" w:color="auto"/>
          </w:divBdr>
        </w:div>
        <w:div w:id="728383598">
          <w:marLeft w:val="0"/>
          <w:marRight w:val="0"/>
          <w:marTop w:val="0"/>
          <w:marBottom w:val="0"/>
          <w:divBdr>
            <w:top w:val="none" w:sz="0" w:space="0" w:color="auto"/>
            <w:left w:val="none" w:sz="0" w:space="0" w:color="auto"/>
            <w:bottom w:val="none" w:sz="0" w:space="0" w:color="auto"/>
            <w:right w:val="none" w:sz="0" w:space="0" w:color="auto"/>
          </w:divBdr>
        </w:div>
        <w:div w:id="1479299386">
          <w:marLeft w:val="0"/>
          <w:marRight w:val="0"/>
          <w:marTop w:val="0"/>
          <w:marBottom w:val="0"/>
          <w:divBdr>
            <w:top w:val="none" w:sz="0" w:space="0" w:color="auto"/>
            <w:left w:val="none" w:sz="0" w:space="0" w:color="auto"/>
            <w:bottom w:val="none" w:sz="0" w:space="0" w:color="auto"/>
            <w:right w:val="none" w:sz="0" w:space="0" w:color="auto"/>
          </w:divBdr>
        </w:div>
        <w:div w:id="1054162505">
          <w:marLeft w:val="0"/>
          <w:marRight w:val="0"/>
          <w:marTop w:val="0"/>
          <w:marBottom w:val="0"/>
          <w:divBdr>
            <w:top w:val="none" w:sz="0" w:space="0" w:color="auto"/>
            <w:left w:val="none" w:sz="0" w:space="0" w:color="auto"/>
            <w:bottom w:val="none" w:sz="0" w:space="0" w:color="auto"/>
            <w:right w:val="none" w:sz="0" w:space="0" w:color="auto"/>
          </w:divBdr>
        </w:div>
        <w:div w:id="30763730">
          <w:marLeft w:val="0"/>
          <w:marRight w:val="0"/>
          <w:marTop w:val="0"/>
          <w:marBottom w:val="0"/>
          <w:divBdr>
            <w:top w:val="none" w:sz="0" w:space="0" w:color="auto"/>
            <w:left w:val="none" w:sz="0" w:space="0" w:color="auto"/>
            <w:bottom w:val="none" w:sz="0" w:space="0" w:color="auto"/>
            <w:right w:val="none" w:sz="0" w:space="0" w:color="auto"/>
          </w:divBdr>
        </w:div>
        <w:div w:id="802314669">
          <w:marLeft w:val="0"/>
          <w:marRight w:val="0"/>
          <w:marTop w:val="0"/>
          <w:marBottom w:val="0"/>
          <w:divBdr>
            <w:top w:val="none" w:sz="0" w:space="0" w:color="auto"/>
            <w:left w:val="none" w:sz="0" w:space="0" w:color="auto"/>
            <w:bottom w:val="none" w:sz="0" w:space="0" w:color="auto"/>
            <w:right w:val="none" w:sz="0" w:space="0" w:color="auto"/>
          </w:divBdr>
        </w:div>
        <w:div w:id="1556044239">
          <w:marLeft w:val="0"/>
          <w:marRight w:val="0"/>
          <w:marTop w:val="0"/>
          <w:marBottom w:val="0"/>
          <w:divBdr>
            <w:top w:val="none" w:sz="0" w:space="0" w:color="auto"/>
            <w:left w:val="none" w:sz="0" w:space="0" w:color="auto"/>
            <w:bottom w:val="none" w:sz="0" w:space="0" w:color="auto"/>
            <w:right w:val="none" w:sz="0" w:space="0" w:color="auto"/>
          </w:divBdr>
        </w:div>
        <w:div w:id="1960915667">
          <w:marLeft w:val="0"/>
          <w:marRight w:val="0"/>
          <w:marTop w:val="0"/>
          <w:marBottom w:val="0"/>
          <w:divBdr>
            <w:top w:val="none" w:sz="0" w:space="0" w:color="auto"/>
            <w:left w:val="none" w:sz="0" w:space="0" w:color="auto"/>
            <w:bottom w:val="none" w:sz="0" w:space="0" w:color="auto"/>
            <w:right w:val="none" w:sz="0" w:space="0" w:color="auto"/>
          </w:divBdr>
        </w:div>
        <w:div w:id="1676836219">
          <w:marLeft w:val="0"/>
          <w:marRight w:val="0"/>
          <w:marTop w:val="0"/>
          <w:marBottom w:val="0"/>
          <w:divBdr>
            <w:top w:val="none" w:sz="0" w:space="0" w:color="auto"/>
            <w:left w:val="none" w:sz="0" w:space="0" w:color="auto"/>
            <w:bottom w:val="none" w:sz="0" w:space="0" w:color="auto"/>
            <w:right w:val="none" w:sz="0" w:space="0" w:color="auto"/>
          </w:divBdr>
        </w:div>
        <w:div w:id="146365464">
          <w:marLeft w:val="0"/>
          <w:marRight w:val="0"/>
          <w:marTop w:val="0"/>
          <w:marBottom w:val="0"/>
          <w:divBdr>
            <w:top w:val="none" w:sz="0" w:space="0" w:color="auto"/>
            <w:left w:val="none" w:sz="0" w:space="0" w:color="auto"/>
            <w:bottom w:val="none" w:sz="0" w:space="0" w:color="auto"/>
            <w:right w:val="none" w:sz="0" w:space="0" w:color="auto"/>
          </w:divBdr>
        </w:div>
        <w:div w:id="567228042">
          <w:marLeft w:val="0"/>
          <w:marRight w:val="0"/>
          <w:marTop w:val="0"/>
          <w:marBottom w:val="0"/>
          <w:divBdr>
            <w:top w:val="none" w:sz="0" w:space="0" w:color="auto"/>
            <w:left w:val="none" w:sz="0" w:space="0" w:color="auto"/>
            <w:bottom w:val="none" w:sz="0" w:space="0" w:color="auto"/>
            <w:right w:val="none" w:sz="0" w:space="0" w:color="auto"/>
          </w:divBdr>
        </w:div>
        <w:div w:id="1815097481">
          <w:marLeft w:val="0"/>
          <w:marRight w:val="0"/>
          <w:marTop w:val="0"/>
          <w:marBottom w:val="0"/>
          <w:divBdr>
            <w:top w:val="none" w:sz="0" w:space="0" w:color="auto"/>
            <w:left w:val="none" w:sz="0" w:space="0" w:color="auto"/>
            <w:bottom w:val="none" w:sz="0" w:space="0" w:color="auto"/>
            <w:right w:val="none" w:sz="0" w:space="0" w:color="auto"/>
          </w:divBdr>
        </w:div>
        <w:div w:id="435489055">
          <w:marLeft w:val="0"/>
          <w:marRight w:val="0"/>
          <w:marTop w:val="0"/>
          <w:marBottom w:val="0"/>
          <w:divBdr>
            <w:top w:val="none" w:sz="0" w:space="0" w:color="auto"/>
            <w:left w:val="none" w:sz="0" w:space="0" w:color="auto"/>
            <w:bottom w:val="none" w:sz="0" w:space="0" w:color="auto"/>
            <w:right w:val="none" w:sz="0" w:space="0" w:color="auto"/>
          </w:divBdr>
        </w:div>
        <w:div w:id="2034958843">
          <w:marLeft w:val="0"/>
          <w:marRight w:val="0"/>
          <w:marTop w:val="0"/>
          <w:marBottom w:val="0"/>
          <w:divBdr>
            <w:top w:val="none" w:sz="0" w:space="0" w:color="auto"/>
            <w:left w:val="none" w:sz="0" w:space="0" w:color="auto"/>
            <w:bottom w:val="none" w:sz="0" w:space="0" w:color="auto"/>
            <w:right w:val="none" w:sz="0" w:space="0" w:color="auto"/>
          </w:divBdr>
        </w:div>
        <w:div w:id="279147253">
          <w:marLeft w:val="0"/>
          <w:marRight w:val="0"/>
          <w:marTop w:val="0"/>
          <w:marBottom w:val="0"/>
          <w:divBdr>
            <w:top w:val="none" w:sz="0" w:space="0" w:color="auto"/>
            <w:left w:val="none" w:sz="0" w:space="0" w:color="auto"/>
            <w:bottom w:val="none" w:sz="0" w:space="0" w:color="auto"/>
            <w:right w:val="none" w:sz="0" w:space="0" w:color="auto"/>
          </w:divBdr>
        </w:div>
        <w:div w:id="1270358651">
          <w:marLeft w:val="0"/>
          <w:marRight w:val="0"/>
          <w:marTop w:val="0"/>
          <w:marBottom w:val="0"/>
          <w:divBdr>
            <w:top w:val="none" w:sz="0" w:space="0" w:color="auto"/>
            <w:left w:val="none" w:sz="0" w:space="0" w:color="auto"/>
            <w:bottom w:val="none" w:sz="0" w:space="0" w:color="auto"/>
            <w:right w:val="none" w:sz="0" w:space="0" w:color="auto"/>
          </w:divBdr>
        </w:div>
        <w:div w:id="1567498481">
          <w:marLeft w:val="0"/>
          <w:marRight w:val="0"/>
          <w:marTop w:val="0"/>
          <w:marBottom w:val="0"/>
          <w:divBdr>
            <w:top w:val="none" w:sz="0" w:space="0" w:color="auto"/>
            <w:left w:val="none" w:sz="0" w:space="0" w:color="auto"/>
            <w:bottom w:val="none" w:sz="0" w:space="0" w:color="auto"/>
            <w:right w:val="none" w:sz="0" w:space="0" w:color="auto"/>
          </w:divBdr>
        </w:div>
        <w:div w:id="1533490677">
          <w:marLeft w:val="0"/>
          <w:marRight w:val="0"/>
          <w:marTop w:val="0"/>
          <w:marBottom w:val="0"/>
          <w:divBdr>
            <w:top w:val="none" w:sz="0" w:space="0" w:color="auto"/>
            <w:left w:val="none" w:sz="0" w:space="0" w:color="auto"/>
            <w:bottom w:val="none" w:sz="0" w:space="0" w:color="auto"/>
            <w:right w:val="none" w:sz="0" w:space="0" w:color="auto"/>
          </w:divBdr>
        </w:div>
        <w:div w:id="427435034">
          <w:marLeft w:val="0"/>
          <w:marRight w:val="0"/>
          <w:marTop w:val="0"/>
          <w:marBottom w:val="0"/>
          <w:divBdr>
            <w:top w:val="none" w:sz="0" w:space="0" w:color="auto"/>
            <w:left w:val="none" w:sz="0" w:space="0" w:color="auto"/>
            <w:bottom w:val="none" w:sz="0" w:space="0" w:color="auto"/>
            <w:right w:val="none" w:sz="0" w:space="0" w:color="auto"/>
          </w:divBdr>
        </w:div>
        <w:div w:id="494496286">
          <w:marLeft w:val="0"/>
          <w:marRight w:val="0"/>
          <w:marTop w:val="0"/>
          <w:marBottom w:val="0"/>
          <w:divBdr>
            <w:top w:val="none" w:sz="0" w:space="0" w:color="auto"/>
            <w:left w:val="none" w:sz="0" w:space="0" w:color="auto"/>
            <w:bottom w:val="none" w:sz="0" w:space="0" w:color="auto"/>
            <w:right w:val="none" w:sz="0" w:space="0" w:color="auto"/>
          </w:divBdr>
        </w:div>
        <w:div w:id="807431644">
          <w:marLeft w:val="0"/>
          <w:marRight w:val="0"/>
          <w:marTop w:val="0"/>
          <w:marBottom w:val="0"/>
          <w:divBdr>
            <w:top w:val="none" w:sz="0" w:space="0" w:color="auto"/>
            <w:left w:val="none" w:sz="0" w:space="0" w:color="auto"/>
            <w:bottom w:val="none" w:sz="0" w:space="0" w:color="auto"/>
            <w:right w:val="none" w:sz="0" w:space="0" w:color="auto"/>
          </w:divBdr>
        </w:div>
        <w:div w:id="1013800162">
          <w:marLeft w:val="0"/>
          <w:marRight w:val="0"/>
          <w:marTop w:val="0"/>
          <w:marBottom w:val="0"/>
          <w:divBdr>
            <w:top w:val="none" w:sz="0" w:space="0" w:color="auto"/>
            <w:left w:val="none" w:sz="0" w:space="0" w:color="auto"/>
            <w:bottom w:val="none" w:sz="0" w:space="0" w:color="auto"/>
            <w:right w:val="none" w:sz="0" w:space="0" w:color="auto"/>
          </w:divBdr>
        </w:div>
        <w:div w:id="2112310176">
          <w:marLeft w:val="0"/>
          <w:marRight w:val="0"/>
          <w:marTop w:val="0"/>
          <w:marBottom w:val="0"/>
          <w:divBdr>
            <w:top w:val="none" w:sz="0" w:space="0" w:color="auto"/>
            <w:left w:val="none" w:sz="0" w:space="0" w:color="auto"/>
            <w:bottom w:val="none" w:sz="0" w:space="0" w:color="auto"/>
            <w:right w:val="none" w:sz="0" w:space="0" w:color="auto"/>
          </w:divBdr>
        </w:div>
        <w:div w:id="1384789652">
          <w:marLeft w:val="0"/>
          <w:marRight w:val="0"/>
          <w:marTop w:val="0"/>
          <w:marBottom w:val="0"/>
          <w:divBdr>
            <w:top w:val="none" w:sz="0" w:space="0" w:color="auto"/>
            <w:left w:val="none" w:sz="0" w:space="0" w:color="auto"/>
            <w:bottom w:val="none" w:sz="0" w:space="0" w:color="auto"/>
            <w:right w:val="none" w:sz="0" w:space="0" w:color="auto"/>
          </w:divBdr>
        </w:div>
        <w:div w:id="1700810230">
          <w:marLeft w:val="0"/>
          <w:marRight w:val="0"/>
          <w:marTop w:val="0"/>
          <w:marBottom w:val="0"/>
          <w:divBdr>
            <w:top w:val="none" w:sz="0" w:space="0" w:color="auto"/>
            <w:left w:val="none" w:sz="0" w:space="0" w:color="auto"/>
            <w:bottom w:val="none" w:sz="0" w:space="0" w:color="auto"/>
            <w:right w:val="none" w:sz="0" w:space="0" w:color="auto"/>
          </w:divBdr>
        </w:div>
        <w:div w:id="147136953">
          <w:marLeft w:val="0"/>
          <w:marRight w:val="0"/>
          <w:marTop w:val="0"/>
          <w:marBottom w:val="0"/>
          <w:divBdr>
            <w:top w:val="none" w:sz="0" w:space="0" w:color="auto"/>
            <w:left w:val="none" w:sz="0" w:space="0" w:color="auto"/>
            <w:bottom w:val="none" w:sz="0" w:space="0" w:color="auto"/>
            <w:right w:val="none" w:sz="0" w:space="0" w:color="auto"/>
          </w:divBdr>
        </w:div>
        <w:div w:id="1191647243">
          <w:marLeft w:val="0"/>
          <w:marRight w:val="0"/>
          <w:marTop w:val="0"/>
          <w:marBottom w:val="0"/>
          <w:divBdr>
            <w:top w:val="none" w:sz="0" w:space="0" w:color="auto"/>
            <w:left w:val="none" w:sz="0" w:space="0" w:color="auto"/>
            <w:bottom w:val="none" w:sz="0" w:space="0" w:color="auto"/>
            <w:right w:val="none" w:sz="0" w:space="0" w:color="auto"/>
          </w:divBdr>
        </w:div>
        <w:div w:id="1586572815">
          <w:marLeft w:val="0"/>
          <w:marRight w:val="0"/>
          <w:marTop w:val="0"/>
          <w:marBottom w:val="0"/>
          <w:divBdr>
            <w:top w:val="none" w:sz="0" w:space="0" w:color="auto"/>
            <w:left w:val="none" w:sz="0" w:space="0" w:color="auto"/>
            <w:bottom w:val="none" w:sz="0" w:space="0" w:color="auto"/>
            <w:right w:val="none" w:sz="0" w:space="0" w:color="auto"/>
          </w:divBdr>
        </w:div>
        <w:div w:id="32729530">
          <w:marLeft w:val="0"/>
          <w:marRight w:val="0"/>
          <w:marTop w:val="0"/>
          <w:marBottom w:val="0"/>
          <w:divBdr>
            <w:top w:val="none" w:sz="0" w:space="0" w:color="auto"/>
            <w:left w:val="none" w:sz="0" w:space="0" w:color="auto"/>
            <w:bottom w:val="none" w:sz="0" w:space="0" w:color="auto"/>
            <w:right w:val="none" w:sz="0" w:space="0" w:color="auto"/>
          </w:divBdr>
        </w:div>
        <w:div w:id="602954943">
          <w:marLeft w:val="0"/>
          <w:marRight w:val="0"/>
          <w:marTop w:val="0"/>
          <w:marBottom w:val="0"/>
          <w:divBdr>
            <w:top w:val="none" w:sz="0" w:space="0" w:color="auto"/>
            <w:left w:val="none" w:sz="0" w:space="0" w:color="auto"/>
            <w:bottom w:val="none" w:sz="0" w:space="0" w:color="auto"/>
            <w:right w:val="none" w:sz="0" w:space="0" w:color="auto"/>
          </w:divBdr>
        </w:div>
        <w:div w:id="1234656324">
          <w:marLeft w:val="0"/>
          <w:marRight w:val="0"/>
          <w:marTop w:val="0"/>
          <w:marBottom w:val="0"/>
          <w:divBdr>
            <w:top w:val="none" w:sz="0" w:space="0" w:color="auto"/>
            <w:left w:val="none" w:sz="0" w:space="0" w:color="auto"/>
            <w:bottom w:val="none" w:sz="0" w:space="0" w:color="auto"/>
            <w:right w:val="none" w:sz="0" w:space="0" w:color="auto"/>
          </w:divBdr>
        </w:div>
        <w:div w:id="927422237">
          <w:marLeft w:val="0"/>
          <w:marRight w:val="0"/>
          <w:marTop w:val="0"/>
          <w:marBottom w:val="0"/>
          <w:divBdr>
            <w:top w:val="none" w:sz="0" w:space="0" w:color="auto"/>
            <w:left w:val="none" w:sz="0" w:space="0" w:color="auto"/>
            <w:bottom w:val="none" w:sz="0" w:space="0" w:color="auto"/>
            <w:right w:val="none" w:sz="0" w:space="0" w:color="auto"/>
          </w:divBdr>
        </w:div>
        <w:div w:id="561599023">
          <w:marLeft w:val="0"/>
          <w:marRight w:val="0"/>
          <w:marTop w:val="0"/>
          <w:marBottom w:val="0"/>
          <w:divBdr>
            <w:top w:val="none" w:sz="0" w:space="0" w:color="auto"/>
            <w:left w:val="none" w:sz="0" w:space="0" w:color="auto"/>
            <w:bottom w:val="none" w:sz="0" w:space="0" w:color="auto"/>
            <w:right w:val="none" w:sz="0" w:space="0" w:color="auto"/>
          </w:divBdr>
        </w:div>
        <w:div w:id="1696271992">
          <w:marLeft w:val="0"/>
          <w:marRight w:val="0"/>
          <w:marTop w:val="0"/>
          <w:marBottom w:val="0"/>
          <w:divBdr>
            <w:top w:val="none" w:sz="0" w:space="0" w:color="auto"/>
            <w:left w:val="none" w:sz="0" w:space="0" w:color="auto"/>
            <w:bottom w:val="none" w:sz="0" w:space="0" w:color="auto"/>
            <w:right w:val="none" w:sz="0" w:space="0" w:color="auto"/>
          </w:divBdr>
        </w:div>
        <w:div w:id="307365660">
          <w:marLeft w:val="0"/>
          <w:marRight w:val="0"/>
          <w:marTop w:val="0"/>
          <w:marBottom w:val="0"/>
          <w:divBdr>
            <w:top w:val="none" w:sz="0" w:space="0" w:color="auto"/>
            <w:left w:val="none" w:sz="0" w:space="0" w:color="auto"/>
            <w:bottom w:val="none" w:sz="0" w:space="0" w:color="auto"/>
            <w:right w:val="none" w:sz="0" w:space="0" w:color="auto"/>
          </w:divBdr>
        </w:div>
        <w:div w:id="1401829428">
          <w:marLeft w:val="0"/>
          <w:marRight w:val="0"/>
          <w:marTop w:val="0"/>
          <w:marBottom w:val="0"/>
          <w:divBdr>
            <w:top w:val="none" w:sz="0" w:space="0" w:color="auto"/>
            <w:left w:val="none" w:sz="0" w:space="0" w:color="auto"/>
            <w:bottom w:val="none" w:sz="0" w:space="0" w:color="auto"/>
            <w:right w:val="none" w:sz="0" w:space="0" w:color="auto"/>
          </w:divBdr>
        </w:div>
        <w:div w:id="850728405">
          <w:marLeft w:val="0"/>
          <w:marRight w:val="0"/>
          <w:marTop w:val="0"/>
          <w:marBottom w:val="0"/>
          <w:divBdr>
            <w:top w:val="none" w:sz="0" w:space="0" w:color="auto"/>
            <w:left w:val="none" w:sz="0" w:space="0" w:color="auto"/>
            <w:bottom w:val="none" w:sz="0" w:space="0" w:color="auto"/>
            <w:right w:val="none" w:sz="0" w:space="0" w:color="auto"/>
          </w:divBdr>
        </w:div>
        <w:div w:id="497156454">
          <w:marLeft w:val="0"/>
          <w:marRight w:val="0"/>
          <w:marTop w:val="0"/>
          <w:marBottom w:val="0"/>
          <w:divBdr>
            <w:top w:val="none" w:sz="0" w:space="0" w:color="auto"/>
            <w:left w:val="none" w:sz="0" w:space="0" w:color="auto"/>
            <w:bottom w:val="none" w:sz="0" w:space="0" w:color="auto"/>
            <w:right w:val="none" w:sz="0" w:space="0" w:color="auto"/>
          </w:divBdr>
        </w:div>
        <w:div w:id="784691387">
          <w:marLeft w:val="0"/>
          <w:marRight w:val="0"/>
          <w:marTop w:val="0"/>
          <w:marBottom w:val="0"/>
          <w:divBdr>
            <w:top w:val="none" w:sz="0" w:space="0" w:color="auto"/>
            <w:left w:val="none" w:sz="0" w:space="0" w:color="auto"/>
            <w:bottom w:val="none" w:sz="0" w:space="0" w:color="auto"/>
            <w:right w:val="none" w:sz="0" w:space="0" w:color="auto"/>
          </w:divBdr>
        </w:div>
        <w:div w:id="1445538282">
          <w:marLeft w:val="0"/>
          <w:marRight w:val="0"/>
          <w:marTop w:val="0"/>
          <w:marBottom w:val="0"/>
          <w:divBdr>
            <w:top w:val="none" w:sz="0" w:space="0" w:color="auto"/>
            <w:left w:val="none" w:sz="0" w:space="0" w:color="auto"/>
            <w:bottom w:val="none" w:sz="0" w:space="0" w:color="auto"/>
            <w:right w:val="none" w:sz="0" w:space="0" w:color="auto"/>
          </w:divBdr>
        </w:div>
        <w:div w:id="47150368">
          <w:marLeft w:val="0"/>
          <w:marRight w:val="0"/>
          <w:marTop w:val="0"/>
          <w:marBottom w:val="0"/>
          <w:divBdr>
            <w:top w:val="none" w:sz="0" w:space="0" w:color="auto"/>
            <w:left w:val="none" w:sz="0" w:space="0" w:color="auto"/>
            <w:bottom w:val="none" w:sz="0" w:space="0" w:color="auto"/>
            <w:right w:val="none" w:sz="0" w:space="0" w:color="auto"/>
          </w:divBdr>
        </w:div>
        <w:div w:id="48577274">
          <w:marLeft w:val="0"/>
          <w:marRight w:val="0"/>
          <w:marTop w:val="0"/>
          <w:marBottom w:val="0"/>
          <w:divBdr>
            <w:top w:val="none" w:sz="0" w:space="0" w:color="auto"/>
            <w:left w:val="none" w:sz="0" w:space="0" w:color="auto"/>
            <w:bottom w:val="none" w:sz="0" w:space="0" w:color="auto"/>
            <w:right w:val="none" w:sz="0" w:space="0" w:color="auto"/>
          </w:divBdr>
        </w:div>
        <w:div w:id="382874264">
          <w:marLeft w:val="0"/>
          <w:marRight w:val="0"/>
          <w:marTop w:val="0"/>
          <w:marBottom w:val="0"/>
          <w:divBdr>
            <w:top w:val="none" w:sz="0" w:space="0" w:color="auto"/>
            <w:left w:val="none" w:sz="0" w:space="0" w:color="auto"/>
            <w:bottom w:val="none" w:sz="0" w:space="0" w:color="auto"/>
            <w:right w:val="none" w:sz="0" w:space="0" w:color="auto"/>
          </w:divBdr>
        </w:div>
        <w:div w:id="2116438895">
          <w:marLeft w:val="0"/>
          <w:marRight w:val="0"/>
          <w:marTop w:val="0"/>
          <w:marBottom w:val="0"/>
          <w:divBdr>
            <w:top w:val="none" w:sz="0" w:space="0" w:color="auto"/>
            <w:left w:val="none" w:sz="0" w:space="0" w:color="auto"/>
            <w:bottom w:val="none" w:sz="0" w:space="0" w:color="auto"/>
            <w:right w:val="none" w:sz="0" w:space="0" w:color="auto"/>
          </w:divBdr>
        </w:div>
        <w:div w:id="126121099">
          <w:marLeft w:val="0"/>
          <w:marRight w:val="0"/>
          <w:marTop w:val="0"/>
          <w:marBottom w:val="0"/>
          <w:divBdr>
            <w:top w:val="none" w:sz="0" w:space="0" w:color="auto"/>
            <w:left w:val="none" w:sz="0" w:space="0" w:color="auto"/>
            <w:bottom w:val="none" w:sz="0" w:space="0" w:color="auto"/>
            <w:right w:val="none" w:sz="0" w:space="0" w:color="auto"/>
          </w:divBdr>
        </w:div>
        <w:div w:id="508106131">
          <w:marLeft w:val="0"/>
          <w:marRight w:val="0"/>
          <w:marTop w:val="0"/>
          <w:marBottom w:val="0"/>
          <w:divBdr>
            <w:top w:val="none" w:sz="0" w:space="0" w:color="auto"/>
            <w:left w:val="none" w:sz="0" w:space="0" w:color="auto"/>
            <w:bottom w:val="none" w:sz="0" w:space="0" w:color="auto"/>
            <w:right w:val="none" w:sz="0" w:space="0" w:color="auto"/>
          </w:divBdr>
        </w:div>
        <w:div w:id="798452728">
          <w:marLeft w:val="0"/>
          <w:marRight w:val="0"/>
          <w:marTop w:val="0"/>
          <w:marBottom w:val="0"/>
          <w:divBdr>
            <w:top w:val="none" w:sz="0" w:space="0" w:color="auto"/>
            <w:left w:val="none" w:sz="0" w:space="0" w:color="auto"/>
            <w:bottom w:val="none" w:sz="0" w:space="0" w:color="auto"/>
            <w:right w:val="none" w:sz="0" w:space="0" w:color="auto"/>
          </w:divBdr>
        </w:div>
        <w:div w:id="1619488982">
          <w:marLeft w:val="0"/>
          <w:marRight w:val="0"/>
          <w:marTop w:val="0"/>
          <w:marBottom w:val="0"/>
          <w:divBdr>
            <w:top w:val="none" w:sz="0" w:space="0" w:color="auto"/>
            <w:left w:val="none" w:sz="0" w:space="0" w:color="auto"/>
            <w:bottom w:val="none" w:sz="0" w:space="0" w:color="auto"/>
            <w:right w:val="none" w:sz="0" w:space="0" w:color="auto"/>
          </w:divBdr>
        </w:div>
        <w:div w:id="1862813763">
          <w:marLeft w:val="0"/>
          <w:marRight w:val="0"/>
          <w:marTop w:val="0"/>
          <w:marBottom w:val="0"/>
          <w:divBdr>
            <w:top w:val="none" w:sz="0" w:space="0" w:color="auto"/>
            <w:left w:val="none" w:sz="0" w:space="0" w:color="auto"/>
            <w:bottom w:val="none" w:sz="0" w:space="0" w:color="auto"/>
            <w:right w:val="none" w:sz="0" w:space="0" w:color="auto"/>
          </w:divBdr>
        </w:div>
        <w:div w:id="1650594516">
          <w:marLeft w:val="0"/>
          <w:marRight w:val="0"/>
          <w:marTop w:val="0"/>
          <w:marBottom w:val="0"/>
          <w:divBdr>
            <w:top w:val="none" w:sz="0" w:space="0" w:color="auto"/>
            <w:left w:val="none" w:sz="0" w:space="0" w:color="auto"/>
            <w:bottom w:val="none" w:sz="0" w:space="0" w:color="auto"/>
            <w:right w:val="none" w:sz="0" w:space="0" w:color="auto"/>
          </w:divBdr>
        </w:div>
        <w:div w:id="1802992821">
          <w:marLeft w:val="0"/>
          <w:marRight w:val="0"/>
          <w:marTop w:val="0"/>
          <w:marBottom w:val="0"/>
          <w:divBdr>
            <w:top w:val="none" w:sz="0" w:space="0" w:color="auto"/>
            <w:left w:val="none" w:sz="0" w:space="0" w:color="auto"/>
            <w:bottom w:val="none" w:sz="0" w:space="0" w:color="auto"/>
            <w:right w:val="none" w:sz="0" w:space="0" w:color="auto"/>
          </w:divBdr>
        </w:div>
        <w:div w:id="1453482034">
          <w:marLeft w:val="0"/>
          <w:marRight w:val="0"/>
          <w:marTop w:val="0"/>
          <w:marBottom w:val="0"/>
          <w:divBdr>
            <w:top w:val="none" w:sz="0" w:space="0" w:color="auto"/>
            <w:left w:val="none" w:sz="0" w:space="0" w:color="auto"/>
            <w:bottom w:val="none" w:sz="0" w:space="0" w:color="auto"/>
            <w:right w:val="none" w:sz="0" w:space="0" w:color="auto"/>
          </w:divBdr>
        </w:div>
        <w:div w:id="199901859">
          <w:marLeft w:val="0"/>
          <w:marRight w:val="0"/>
          <w:marTop w:val="0"/>
          <w:marBottom w:val="0"/>
          <w:divBdr>
            <w:top w:val="none" w:sz="0" w:space="0" w:color="auto"/>
            <w:left w:val="none" w:sz="0" w:space="0" w:color="auto"/>
            <w:bottom w:val="none" w:sz="0" w:space="0" w:color="auto"/>
            <w:right w:val="none" w:sz="0" w:space="0" w:color="auto"/>
          </w:divBdr>
        </w:div>
        <w:div w:id="2080861824">
          <w:marLeft w:val="0"/>
          <w:marRight w:val="0"/>
          <w:marTop w:val="0"/>
          <w:marBottom w:val="0"/>
          <w:divBdr>
            <w:top w:val="none" w:sz="0" w:space="0" w:color="auto"/>
            <w:left w:val="none" w:sz="0" w:space="0" w:color="auto"/>
            <w:bottom w:val="none" w:sz="0" w:space="0" w:color="auto"/>
            <w:right w:val="none" w:sz="0" w:space="0" w:color="auto"/>
          </w:divBdr>
        </w:div>
        <w:div w:id="1550216964">
          <w:marLeft w:val="720"/>
          <w:marRight w:val="0"/>
          <w:marTop w:val="0"/>
          <w:marBottom w:val="0"/>
          <w:divBdr>
            <w:top w:val="none" w:sz="0" w:space="0" w:color="auto"/>
            <w:left w:val="none" w:sz="0" w:space="0" w:color="auto"/>
            <w:bottom w:val="none" w:sz="0" w:space="0" w:color="auto"/>
            <w:right w:val="none" w:sz="0" w:space="0" w:color="auto"/>
          </w:divBdr>
        </w:div>
        <w:div w:id="606622929">
          <w:marLeft w:val="0"/>
          <w:marRight w:val="0"/>
          <w:marTop w:val="0"/>
          <w:marBottom w:val="0"/>
          <w:divBdr>
            <w:top w:val="none" w:sz="0" w:space="0" w:color="auto"/>
            <w:left w:val="none" w:sz="0" w:space="0" w:color="auto"/>
            <w:bottom w:val="none" w:sz="0" w:space="0" w:color="auto"/>
            <w:right w:val="none" w:sz="0" w:space="0" w:color="auto"/>
          </w:divBdr>
        </w:div>
        <w:div w:id="1765146760">
          <w:marLeft w:val="0"/>
          <w:marRight w:val="0"/>
          <w:marTop w:val="0"/>
          <w:marBottom w:val="0"/>
          <w:divBdr>
            <w:top w:val="none" w:sz="0" w:space="0" w:color="auto"/>
            <w:left w:val="none" w:sz="0" w:space="0" w:color="auto"/>
            <w:bottom w:val="none" w:sz="0" w:space="0" w:color="auto"/>
            <w:right w:val="none" w:sz="0" w:space="0" w:color="auto"/>
          </w:divBdr>
        </w:div>
        <w:div w:id="1880819717">
          <w:marLeft w:val="0"/>
          <w:marRight w:val="0"/>
          <w:marTop w:val="0"/>
          <w:marBottom w:val="0"/>
          <w:divBdr>
            <w:top w:val="none" w:sz="0" w:space="0" w:color="auto"/>
            <w:left w:val="none" w:sz="0" w:space="0" w:color="auto"/>
            <w:bottom w:val="none" w:sz="0" w:space="0" w:color="auto"/>
            <w:right w:val="none" w:sz="0" w:space="0" w:color="auto"/>
          </w:divBdr>
        </w:div>
        <w:div w:id="718551206">
          <w:marLeft w:val="0"/>
          <w:marRight w:val="0"/>
          <w:marTop w:val="0"/>
          <w:marBottom w:val="0"/>
          <w:divBdr>
            <w:top w:val="none" w:sz="0" w:space="0" w:color="auto"/>
            <w:left w:val="none" w:sz="0" w:space="0" w:color="auto"/>
            <w:bottom w:val="none" w:sz="0" w:space="0" w:color="auto"/>
            <w:right w:val="none" w:sz="0" w:space="0" w:color="auto"/>
          </w:divBdr>
        </w:div>
        <w:div w:id="1476987634">
          <w:marLeft w:val="0"/>
          <w:marRight w:val="0"/>
          <w:marTop w:val="0"/>
          <w:marBottom w:val="0"/>
          <w:divBdr>
            <w:top w:val="none" w:sz="0" w:space="0" w:color="auto"/>
            <w:left w:val="none" w:sz="0" w:space="0" w:color="auto"/>
            <w:bottom w:val="none" w:sz="0" w:space="0" w:color="auto"/>
            <w:right w:val="none" w:sz="0" w:space="0" w:color="auto"/>
          </w:divBdr>
        </w:div>
        <w:div w:id="11424410">
          <w:marLeft w:val="0"/>
          <w:marRight w:val="0"/>
          <w:marTop w:val="0"/>
          <w:marBottom w:val="0"/>
          <w:divBdr>
            <w:top w:val="none" w:sz="0" w:space="0" w:color="auto"/>
            <w:left w:val="none" w:sz="0" w:space="0" w:color="auto"/>
            <w:bottom w:val="none" w:sz="0" w:space="0" w:color="auto"/>
            <w:right w:val="none" w:sz="0" w:space="0" w:color="auto"/>
          </w:divBdr>
        </w:div>
        <w:div w:id="27680423">
          <w:marLeft w:val="0"/>
          <w:marRight w:val="0"/>
          <w:marTop w:val="0"/>
          <w:marBottom w:val="0"/>
          <w:divBdr>
            <w:top w:val="none" w:sz="0" w:space="0" w:color="auto"/>
            <w:left w:val="none" w:sz="0" w:space="0" w:color="auto"/>
            <w:bottom w:val="none" w:sz="0" w:space="0" w:color="auto"/>
            <w:right w:val="none" w:sz="0" w:space="0" w:color="auto"/>
          </w:divBdr>
        </w:div>
        <w:div w:id="1392849851">
          <w:marLeft w:val="0"/>
          <w:marRight w:val="0"/>
          <w:marTop w:val="0"/>
          <w:marBottom w:val="0"/>
          <w:divBdr>
            <w:top w:val="none" w:sz="0" w:space="0" w:color="auto"/>
            <w:left w:val="none" w:sz="0" w:space="0" w:color="auto"/>
            <w:bottom w:val="none" w:sz="0" w:space="0" w:color="auto"/>
            <w:right w:val="none" w:sz="0" w:space="0" w:color="auto"/>
          </w:divBdr>
        </w:div>
        <w:div w:id="821893995">
          <w:marLeft w:val="0"/>
          <w:marRight w:val="0"/>
          <w:marTop w:val="0"/>
          <w:marBottom w:val="0"/>
          <w:divBdr>
            <w:top w:val="none" w:sz="0" w:space="0" w:color="auto"/>
            <w:left w:val="none" w:sz="0" w:space="0" w:color="auto"/>
            <w:bottom w:val="none" w:sz="0" w:space="0" w:color="auto"/>
            <w:right w:val="none" w:sz="0" w:space="0" w:color="auto"/>
          </w:divBdr>
        </w:div>
        <w:div w:id="1743603184">
          <w:marLeft w:val="720"/>
          <w:marRight w:val="0"/>
          <w:marTop w:val="0"/>
          <w:marBottom w:val="0"/>
          <w:divBdr>
            <w:top w:val="none" w:sz="0" w:space="0" w:color="auto"/>
            <w:left w:val="none" w:sz="0" w:space="0" w:color="auto"/>
            <w:bottom w:val="none" w:sz="0" w:space="0" w:color="auto"/>
            <w:right w:val="none" w:sz="0" w:space="0" w:color="auto"/>
          </w:divBdr>
        </w:div>
        <w:div w:id="333578379">
          <w:marLeft w:val="0"/>
          <w:marRight w:val="0"/>
          <w:marTop w:val="0"/>
          <w:marBottom w:val="0"/>
          <w:divBdr>
            <w:top w:val="none" w:sz="0" w:space="0" w:color="auto"/>
            <w:left w:val="none" w:sz="0" w:space="0" w:color="auto"/>
            <w:bottom w:val="none" w:sz="0" w:space="0" w:color="auto"/>
            <w:right w:val="none" w:sz="0" w:space="0" w:color="auto"/>
          </w:divBdr>
        </w:div>
        <w:div w:id="1738284060">
          <w:marLeft w:val="0"/>
          <w:marRight w:val="0"/>
          <w:marTop w:val="0"/>
          <w:marBottom w:val="0"/>
          <w:divBdr>
            <w:top w:val="none" w:sz="0" w:space="0" w:color="auto"/>
            <w:left w:val="none" w:sz="0" w:space="0" w:color="auto"/>
            <w:bottom w:val="none" w:sz="0" w:space="0" w:color="auto"/>
            <w:right w:val="none" w:sz="0" w:space="0" w:color="auto"/>
          </w:divBdr>
        </w:div>
        <w:div w:id="1990866118">
          <w:marLeft w:val="0"/>
          <w:marRight w:val="0"/>
          <w:marTop w:val="0"/>
          <w:marBottom w:val="0"/>
          <w:divBdr>
            <w:top w:val="none" w:sz="0" w:space="0" w:color="auto"/>
            <w:left w:val="none" w:sz="0" w:space="0" w:color="auto"/>
            <w:bottom w:val="none" w:sz="0" w:space="0" w:color="auto"/>
            <w:right w:val="none" w:sz="0" w:space="0" w:color="auto"/>
          </w:divBdr>
        </w:div>
        <w:div w:id="912197506">
          <w:marLeft w:val="0"/>
          <w:marRight w:val="0"/>
          <w:marTop w:val="0"/>
          <w:marBottom w:val="0"/>
          <w:divBdr>
            <w:top w:val="none" w:sz="0" w:space="0" w:color="auto"/>
            <w:left w:val="none" w:sz="0" w:space="0" w:color="auto"/>
            <w:bottom w:val="none" w:sz="0" w:space="0" w:color="auto"/>
            <w:right w:val="none" w:sz="0" w:space="0" w:color="auto"/>
          </w:divBdr>
        </w:div>
        <w:div w:id="270745177">
          <w:marLeft w:val="0"/>
          <w:marRight w:val="0"/>
          <w:marTop w:val="0"/>
          <w:marBottom w:val="0"/>
          <w:divBdr>
            <w:top w:val="none" w:sz="0" w:space="0" w:color="auto"/>
            <w:left w:val="none" w:sz="0" w:space="0" w:color="auto"/>
            <w:bottom w:val="none" w:sz="0" w:space="0" w:color="auto"/>
            <w:right w:val="none" w:sz="0" w:space="0" w:color="auto"/>
          </w:divBdr>
        </w:div>
        <w:div w:id="1909075819">
          <w:marLeft w:val="0"/>
          <w:marRight w:val="0"/>
          <w:marTop w:val="0"/>
          <w:marBottom w:val="0"/>
          <w:divBdr>
            <w:top w:val="none" w:sz="0" w:space="0" w:color="auto"/>
            <w:left w:val="none" w:sz="0" w:space="0" w:color="auto"/>
            <w:bottom w:val="none" w:sz="0" w:space="0" w:color="auto"/>
            <w:right w:val="none" w:sz="0" w:space="0" w:color="auto"/>
          </w:divBdr>
        </w:div>
        <w:div w:id="612174161">
          <w:marLeft w:val="720"/>
          <w:marRight w:val="0"/>
          <w:marTop w:val="0"/>
          <w:marBottom w:val="0"/>
          <w:divBdr>
            <w:top w:val="none" w:sz="0" w:space="0" w:color="auto"/>
            <w:left w:val="none" w:sz="0" w:space="0" w:color="auto"/>
            <w:bottom w:val="none" w:sz="0" w:space="0" w:color="auto"/>
            <w:right w:val="none" w:sz="0" w:space="0" w:color="auto"/>
          </w:divBdr>
        </w:div>
        <w:div w:id="1688748534">
          <w:marLeft w:val="0"/>
          <w:marRight w:val="0"/>
          <w:marTop w:val="0"/>
          <w:marBottom w:val="0"/>
          <w:divBdr>
            <w:top w:val="none" w:sz="0" w:space="0" w:color="auto"/>
            <w:left w:val="none" w:sz="0" w:space="0" w:color="auto"/>
            <w:bottom w:val="none" w:sz="0" w:space="0" w:color="auto"/>
            <w:right w:val="none" w:sz="0" w:space="0" w:color="auto"/>
          </w:divBdr>
        </w:div>
        <w:div w:id="205990669">
          <w:marLeft w:val="0"/>
          <w:marRight w:val="0"/>
          <w:marTop w:val="0"/>
          <w:marBottom w:val="0"/>
          <w:divBdr>
            <w:top w:val="none" w:sz="0" w:space="0" w:color="auto"/>
            <w:left w:val="none" w:sz="0" w:space="0" w:color="auto"/>
            <w:bottom w:val="none" w:sz="0" w:space="0" w:color="auto"/>
            <w:right w:val="none" w:sz="0" w:space="0" w:color="auto"/>
          </w:divBdr>
        </w:div>
        <w:div w:id="888035371">
          <w:marLeft w:val="0"/>
          <w:marRight w:val="0"/>
          <w:marTop w:val="0"/>
          <w:marBottom w:val="0"/>
          <w:divBdr>
            <w:top w:val="none" w:sz="0" w:space="0" w:color="auto"/>
            <w:left w:val="none" w:sz="0" w:space="0" w:color="auto"/>
            <w:bottom w:val="none" w:sz="0" w:space="0" w:color="auto"/>
            <w:right w:val="none" w:sz="0" w:space="0" w:color="auto"/>
          </w:divBdr>
        </w:div>
        <w:div w:id="4748403">
          <w:marLeft w:val="0"/>
          <w:marRight w:val="0"/>
          <w:marTop w:val="0"/>
          <w:marBottom w:val="0"/>
          <w:divBdr>
            <w:top w:val="none" w:sz="0" w:space="0" w:color="auto"/>
            <w:left w:val="none" w:sz="0" w:space="0" w:color="auto"/>
            <w:bottom w:val="none" w:sz="0" w:space="0" w:color="auto"/>
            <w:right w:val="none" w:sz="0" w:space="0" w:color="auto"/>
          </w:divBdr>
        </w:div>
        <w:div w:id="2025786340">
          <w:marLeft w:val="0"/>
          <w:marRight w:val="0"/>
          <w:marTop w:val="0"/>
          <w:marBottom w:val="0"/>
          <w:divBdr>
            <w:top w:val="none" w:sz="0" w:space="0" w:color="auto"/>
            <w:left w:val="none" w:sz="0" w:space="0" w:color="auto"/>
            <w:bottom w:val="none" w:sz="0" w:space="0" w:color="auto"/>
            <w:right w:val="none" w:sz="0" w:space="0" w:color="auto"/>
          </w:divBdr>
        </w:div>
        <w:div w:id="1020399793">
          <w:marLeft w:val="0"/>
          <w:marRight w:val="0"/>
          <w:marTop w:val="0"/>
          <w:marBottom w:val="0"/>
          <w:divBdr>
            <w:top w:val="none" w:sz="0" w:space="0" w:color="auto"/>
            <w:left w:val="none" w:sz="0" w:space="0" w:color="auto"/>
            <w:bottom w:val="none" w:sz="0" w:space="0" w:color="auto"/>
            <w:right w:val="none" w:sz="0" w:space="0" w:color="auto"/>
          </w:divBdr>
        </w:div>
        <w:div w:id="1818566545">
          <w:marLeft w:val="0"/>
          <w:marRight w:val="0"/>
          <w:marTop w:val="0"/>
          <w:marBottom w:val="0"/>
          <w:divBdr>
            <w:top w:val="none" w:sz="0" w:space="0" w:color="auto"/>
            <w:left w:val="none" w:sz="0" w:space="0" w:color="auto"/>
            <w:bottom w:val="none" w:sz="0" w:space="0" w:color="auto"/>
            <w:right w:val="none" w:sz="0" w:space="0" w:color="auto"/>
          </w:divBdr>
        </w:div>
        <w:div w:id="221255311">
          <w:marLeft w:val="0"/>
          <w:marRight w:val="0"/>
          <w:marTop w:val="0"/>
          <w:marBottom w:val="0"/>
          <w:divBdr>
            <w:top w:val="none" w:sz="0" w:space="0" w:color="auto"/>
            <w:left w:val="none" w:sz="0" w:space="0" w:color="auto"/>
            <w:bottom w:val="none" w:sz="0" w:space="0" w:color="auto"/>
            <w:right w:val="none" w:sz="0" w:space="0" w:color="auto"/>
          </w:divBdr>
        </w:div>
        <w:div w:id="1901286936">
          <w:marLeft w:val="0"/>
          <w:marRight w:val="0"/>
          <w:marTop w:val="0"/>
          <w:marBottom w:val="0"/>
          <w:divBdr>
            <w:top w:val="none" w:sz="0" w:space="0" w:color="auto"/>
            <w:left w:val="none" w:sz="0" w:space="0" w:color="auto"/>
            <w:bottom w:val="none" w:sz="0" w:space="0" w:color="auto"/>
            <w:right w:val="none" w:sz="0" w:space="0" w:color="auto"/>
          </w:divBdr>
        </w:div>
        <w:div w:id="1990011465">
          <w:marLeft w:val="0"/>
          <w:marRight w:val="0"/>
          <w:marTop w:val="0"/>
          <w:marBottom w:val="0"/>
          <w:divBdr>
            <w:top w:val="none" w:sz="0" w:space="0" w:color="auto"/>
            <w:left w:val="none" w:sz="0" w:space="0" w:color="auto"/>
            <w:bottom w:val="none" w:sz="0" w:space="0" w:color="auto"/>
            <w:right w:val="none" w:sz="0" w:space="0" w:color="auto"/>
          </w:divBdr>
        </w:div>
        <w:div w:id="1288582738">
          <w:marLeft w:val="0"/>
          <w:marRight w:val="0"/>
          <w:marTop w:val="0"/>
          <w:marBottom w:val="0"/>
          <w:divBdr>
            <w:top w:val="none" w:sz="0" w:space="0" w:color="auto"/>
            <w:left w:val="none" w:sz="0" w:space="0" w:color="auto"/>
            <w:bottom w:val="none" w:sz="0" w:space="0" w:color="auto"/>
            <w:right w:val="none" w:sz="0" w:space="0" w:color="auto"/>
          </w:divBdr>
        </w:div>
        <w:div w:id="1840343630">
          <w:marLeft w:val="0"/>
          <w:marRight w:val="0"/>
          <w:marTop w:val="0"/>
          <w:marBottom w:val="0"/>
          <w:divBdr>
            <w:top w:val="none" w:sz="0" w:space="0" w:color="auto"/>
            <w:left w:val="none" w:sz="0" w:space="0" w:color="auto"/>
            <w:bottom w:val="none" w:sz="0" w:space="0" w:color="auto"/>
            <w:right w:val="none" w:sz="0" w:space="0" w:color="auto"/>
          </w:divBdr>
        </w:div>
        <w:div w:id="1777095406">
          <w:marLeft w:val="0"/>
          <w:marRight w:val="0"/>
          <w:marTop w:val="0"/>
          <w:marBottom w:val="0"/>
          <w:divBdr>
            <w:top w:val="none" w:sz="0" w:space="0" w:color="auto"/>
            <w:left w:val="none" w:sz="0" w:space="0" w:color="auto"/>
            <w:bottom w:val="none" w:sz="0" w:space="0" w:color="auto"/>
            <w:right w:val="none" w:sz="0" w:space="0" w:color="auto"/>
          </w:divBdr>
        </w:div>
        <w:div w:id="470026038">
          <w:marLeft w:val="0"/>
          <w:marRight w:val="0"/>
          <w:marTop w:val="0"/>
          <w:marBottom w:val="0"/>
          <w:divBdr>
            <w:top w:val="none" w:sz="0" w:space="0" w:color="auto"/>
            <w:left w:val="none" w:sz="0" w:space="0" w:color="auto"/>
            <w:bottom w:val="none" w:sz="0" w:space="0" w:color="auto"/>
            <w:right w:val="none" w:sz="0" w:space="0" w:color="auto"/>
          </w:divBdr>
        </w:div>
        <w:div w:id="526453819">
          <w:marLeft w:val="0"/>
          <w:marRight w:val="0"/>
          <w:marTop w:val="0"/>
          <w:marBottom w:val="0"/>
          <w:divBdr>
            <w:top w:val="none" w:sz="0" w:space="0" w:color="auto"/>
            <w:left w:val="none" w:sz="0" w:space="0" w:color="auto"/>
            <w:bottom w:val="none" w:sz="0" w:space="0" w:color="auto"/>
            <w:right w:val="none" w:sz="0" w:space="0" w:color="auto"/>
          </w:divBdr>
        </w:div>
        <w:div w:id="878201077">
          <w:marLeft w:val="720"/>
          <w:marRight w:val="0"/>
          <w:marTop w:val="0"/>
          <w:marBottom w:val="0"/>
          <w:divBdr>
            <w:top w:val="none" w:sz="0" w:space="0" w:color="auto"/>
            <w:left w:val="none" w:sz="0" w:space="0" w:color="auto"/>
            <w:bottom w:val="none" w:sz="0" w:space="0" w:color="auto"/>
            <w:right w:val="none" w:sz="0" w:space="0" w:color="auto"/>
          </w:divBdr>
        </w:div>
        <w:div w:id="258411910">
          <w:marLeft w:val="0"/>
          <w:marRight w:val="0"/>
          <w:marTop w:val="0"/>
          <w:marBottom w:val="0"/>
          <w:divBdr>
            <w:top w:val="none" w:sz="0" w:space="0" w:color="auto"/>
            <w:left w:val="none" w:sz="0" w:space="0" w:color="auto"/>
            <w:bottom w:val="none" w:sz="0" w:space="0" w:color="auto"/>
            <w:right w:val="none" w:sz="0" w:space="0" w:color="auto"/>
          </w:divBdr>
        </w:div>
        <w:div w:id="1645159021">
          <w:marLeft w:val="0"/>
          <w:marRight w:val="0"/>
          <w:marTop w:val="0"/>
          <w:marBottom w:val="0"/>
          <w:divBdr>
            <w:top w:val="none" w:sz="0" w:space="0" w:color="auto"/>
            <w:left w:val="none" w:sz="0" w:space="0" w:color="auto"/>
            <w:bottom w:val="none" w:sz="0" w:space="0" w:color="auto"/>
            <w:right w:val="none" w:sz="0" w:space="0" w:color="auto"/>
          </w:divBdr>
        </w:div>
        <w:div w:id="1121461721">
          <w:marLeft w:val="0"/>
          <w:marRight w:val="0"/>
          <w:marTop w:val="0"/>
          <w:marBottom w:val="0"/>
          <w:divBdr>
            <w:top w:val="none" w:sz="0" w:space="0" w:color="auto"/>
            <w:left w:val="none" w:sz="0" w:space="0" w:color="auto"/>
            <w:bottom w:val="none" w:sz="0" w:space="0" w:color="auto"/>
            <w:right w:val="none" w:sz="0" w:space="0" w:color="auto"/>
          </w:divBdr>
        </w:div>
        <w:div w:id="210655700">
          <w:marLeft w:val="0"/>
          <w:marRight w:val="0"/>
          <w:marTop w:val="0"/>
          <w:marBottom w:val="0"/>
          <w:divBdr>
            <w:top w:val="none" w:sz="0" w:space="0" w:color="auto"/>
            <w:left w:val="none" w:sz="0" w:space="0" w:color="auto"/>
            <w:bottom w:val="none" w:sz="0" w:space="0" w:color="auto"/>
            <w:right w:val="none" w:sz="0" w:space="0" w:color="auto"/>
          </w:divBdr>
        </w:div>
        <w:div w:id="1239249917">
          <w:marLeft w:val="0"/>
          <w:marRight w:val="0"/>
          <w:marTop w:val="0"/>
          <w:marBottom w:val="0"/>
          <w:divBdr>
            <w:top w:val="none" w:sz="0" w:space="0" w:color="auto"/>
            <w:left w:val="none" w:sz="0" w:space="0" w:color="auto"/>
            <w:bottom w:val="none" w:sz="0" w:space="0" w:color="auto"/>
            <w:right w:val="none" w:sz="0" w:space="0" w:color="auto"/>
          </w:divBdr>
        </w:div>
        <w:div w:id="1596090727">
          <w:marLeft w:val="0"/>
          <w:marRight w:val="0"/>
          <w:marTop w:val="0"/>
          <w:marBottom w:val="0"/>
          <w:divBdr>
            <w:top w:val="none" w:sz="0" w:space="0" w:color="auto"/>
            <w:left w:val="none" w:sz="0" w:space="0" w:color="auto"/>
            <w:bottom w:val="none" w:sz="0" w:space="0" w:color="auto"/>
            <w:right w:val="none" w:sz="0" w:space="0" w:color="auto"/>
          </w:divBdr>
        </w:div>
        <w:div w:id="1043214385">
          <w:marLeft w:val="720"/>
          <w:marRight w:val="0"/>
          <w:marTop w:val="0"/>
          <w:marBottom w:val="0"/>
          <w:divBdr>
            <w:top w:val="none" w:sz="0" w:space="0" w:color="auto"/>
            <w:left w:val="none" w:sz="0" w:space="0" w:color="auto"/>
            <w:bottom w:val="none" w:sz="0" w:space="0" w:color="auto"/>
            <w:right w:val="none" w:sz="0" w:space="0" w:color="auto"/>
          </w:divBdr>
        </w:div>
        <w:div w:id="1645891492">
          <w:marLeft w:val="0"/>
          <w:marRight w:val="0"/>
          <w:marTop w:val="0"/>
          <w:marBottom w:val="0"/>
          <w:divBdr>
            <w:top w:val="none" w:sz="0" w:space="0" w:color="auto"/>
            <w:left w:val="none" w:sz="0" w:space="0" w:color="auto"/>
            <w:bottom w:val="none" w:sz="0" w:space="0" w:color="auto"/>
            <w:right w:val="none" w:sz="0" w:space="0" w:color="auto"/>
          </w:divBdr>
        </w:div>
        <w:div w:id="1469278598">
          <w:marLeft w:val="0"/>
          <w:marRight w:val="0"/>
          <w:marTop w:val="0"/>
          <w:marBottom w:val="0"/>
          <w:divBdr>
            <w:top w:val="none" w:sz="0" w:space="0" w:color="auto"/>
            <w:left w:val="none" w:sz="0" w:space="0" w:color="auto"/>
            <w:bottom w:val="none" w:sz="0" w:space="0" w:color="auto"/>
            <w:right w:val="none" w:sz="0" w:space="0" w:color="auto"/>
          </w:divBdr>
        </w:div>
        <w:div w:id="1561137815">
          <w:marLeft w:val="0"/>
          <w:marRight w:val="0"/>
          <w:marTop w:val="0"/>
          <w:marBottom w:val="0"/>
          <w:divBdr>
            <w:top w:val="none" w:sz="0" w:space="0" w:color="auto"/>
            <w:left w:val="none" w:sz="0" w:space="0" w:color="auto"/>
            <w:bottom w:val="none" w:sz="0" w:space="0" w:color="auto"/>
            <w:right w:val="none" w:sz="0" w:space="0" w:color="auto"/>
          </w:divBdr>
        </w:div>
        <w:div w:id="643002595">
          <w:marLeft w:val="0"/>
          <w:marRight w:val="0"/>
          <w:marTop w:val="0"/>
          <w:marBottom w:val="0"/>
          <w:divBdr>
            <w:top w:val="none" w:sz="0" w:space="0" w:color="auto"/>
            <w:left w:val="none" w:sz="0" w:space="0" w:color="auto"/>
            <w:bottom w:val="none" w:sz="0" w:space="0" w:color="auto"/>
            <w:right w:val="none" w:sz="0" w:space="0" w:color="auto"/>
          </w:divBdr>
        </w:div>
        <w:div w:id="1716542196">
          <w:marLeft w:val="0"/>
          <w:marRight w:val="0"/>
          <w:marTop w:val="0"/>
          <w:marBottom w:val="0"/>
          <w:divBdr>
            <w:top w:val="none" w:sz="0" w:space="0" w:color="auto"/>
            <w:left w:val="none" w:sz="0" w:space="0" w:color="auto"/>
            <w:bottom w:val="none" w:sz="0" w:space="0" w:color="auto"/>
            <w:right w:val="none" w:sz="0" w:space="0" w:color="auto"/>
          </w:divBdr>
        </w:div>
        <w:div w:id="1863009706">
          <w:marLeft w:val="0"/>
          <w:marRight w:val="0"/>
          <w:marTop w:val="0"/>
          <w:marBottom w:val="0"/>
          <w:divBdr>
            <w:top w:val="none" w:sz="0" w:space="0" w:color="auto"/>
            <w:left w:val="none" w:sz="0" w:space="0" w:color="auto"/>
            <w:bottom w:val="none" w:sz="0" w:space="0" w:color="auto"/>
            <w:right w:val="none" w:sz="0" w:space="0" w:color="auto"/>
          </w:divBdr>
        </w:div>
        <w:div w:id="604384890">
          <w:marLeft w:val="0"/>
          <w:marRight w:val="0"/>
          <w:marTop w:val="0"/>
          <w:marBottom w:val="0"/>
          <w:divBdr>
            <w:top w:val="none" w:sz="0" w:space="0" w:color="auto"/>
            <w:left w:val="none" w:sz="0" w:space="0" w:color="auto"/>
            <w:bottom w:val="none" w:sz="0" w:space="0" w:color="auto"/>
            <w:right w:val="none" w:sz="0" w:space="0" w:color="auto"/>
          </w:divBdr>
        </w:div>
        <w:div w:id="116608646">
          <w:marLeft w:val="0"/>
          <w:marRight w:val="0"/>
          <w:marTop w:val="0"/>
          <w:marBottom w:val="0"/>
          <w:divBdr>
            <w:top w:val="none" w:sz="0" w:space="0" w:color="auto"/>
            <w:left w:val="none" w:sz="0" w:space="0" w:color="auto"/>
            <w:bottom w:val="none" w:sz="0" w:space="0" w:color="auto"/>
            <w:right w:val="none" w:sz="0" w:space="0" w:color="auto"/>
          </w:divBdr>
        </w:div>
        <w:div w:id="2039701642">
          <w:marLeft w:val="0"/>
          <w:marRight w:val="0"/>
          <w:marTop w:val="0"/>
          <w:marBottom w:val="0"/>
          <w:divBdr>
            <w:top w:val="none" w:sz="0" w:space="0" w:color="auto"/>
            <w:left w:val="none" w:sz="0" w:space="0" w:color="auto"/>
            <w:bottom w:val="none" w:sz="0" w:space="0" w:color="auto"/>
            <w:right w:val="none" w:sz="0" w:space="0" w:color="auto"/>
          </w:divBdr>
        </w:div>
        <w:div w:id="608657342">
          <w:marLeft w:val="0"/>
          <w:marRight w:val="0"/>
          <w:marTop w:val="0"/>
          <w:marBottom w:val="0"/>
          <w:divBdr>
            <w:top w:val="none" w:sz="0" w:space="0" w:color="auto"/>
            <w:left w:val="none" w:sz="0" w:space="0" w:color="auto"/>
            <w:bottom w:val="none" w:sz="0" w:space="0" w:color="auto"/>
            <w:right w:val="none" w:sz="0" w:space="0" w:color="auto"/>
          </w:divBdr>
        </w:div>
        <w:div w:id="311637061">
          <w:marLeft w:val="0"/>
          <w:marRight w:val="0"/>
          <w:marTop w:val="0"/>
          <w:marBottom w:val="0"/>
          <w:divBdr>
            <w:top w:val="none" w:sz="0" w:space="0" w:color="auto"/>
            <w:left w:val="none" w:sz="0" w:space="0" w:color="auto"/>
            <w:bottom w:val="none" w:sz="0" w:space="0" w:color="auto"/>
            <w:right w:val="none" w:sz="0" w:space="0" w:color="auto"/>
          </w:divBdr>
        </w:div>
        <w:div w:id="1674994492">
          <w:marLeft w:val="0"/>
          <w:marRight w:val="0"/>
          <w:marTop w:val="0"/>
          <w:marBottom w:val="0"/>
          <w:divBdr>
            <w:top w:val="none" w:sz="0" w:space="0" w:color="auto"/>
            <w:left w:val="none" w:sz="0" w:space="0" w:color="auto"/>
            <w:bottom w:val="none" w:sz="0" w:space="0" w:color="auto"/>
            <w:right w:val="none" w:sz="0" w:space="0" w:color="auto"/>
          </w:divBdr>
        </w:div>
        <w:div w:id="628169912">
          <w:marLeft w:val="0"/>
          <w:marRight w:val="0"/>
          <w:marTop w:val="0"/>
          <w:marBottom w:val="0"/>
          <w:divBdr>
            <w:top w:val="none" w:sz="0" w:space="0" w:color="auto"/>
            <w:left w:val="none" w:sz="0" w:space="0" w:color="auto"/>
            <w:bottom w:val="none" w:sz="0" w:space="0" w:color="auto"/>
            <w:right w:val="none" w:sz="0" w:space="0" w:color="auto"/>
          </w:divBdr>
        </w:div>
        <w:div w:id="1539202096">
          <w:marLeft w:val="0"/>
          <w:marRight w:val="0"/>
          <w:marTop w:val="0"/>
          <w:marBottom w:val="0"/>
          <w:divBdr>
            <w:top w:val="none" w:sz="0" w:space="0" w:color="auto"/>
            <w:left w:val="none" w:sz="0" w:space="0" w:color="auto"/>
            <w:bottom w:val="none" w:sz="0" w:space="0" w:color="auto"/>
            <w:right w:val="none" w:sz="0" w:space="0" w:color="auto"/>
          </w:divBdr>
        </w:div>
        <w:div w:id="1364329820">
          <w:marLeft w:val="0"/>
          <w:marRight w:val="0"/>
          <w:marTop w:val="0"/>
          <w:marBottom w:val="0"/>
          <w:divBdr>
            <w:top w:val="none" w:sz="0" w:space="0" w:color="auto"/>
            <w:left w:val="none" w:sz="0" w:space="0" w:color="auto"/>
            <w:bottom w:val="none" w:sz="0" w:space="0" w:color="auto"/>
            <w:right w:val="none" w:sz="0" w:space="0" w:color="auto"/>
          </w:divBdr>
        </w:div>
        <w:div w:id="828060229">
          <w:marLeft w:val="0"/>
          <w:marRight w:val="0"/>
          <w:marTop w:val="0"/>
          <w:marBottom w:val="0"/>
          <w:divBdr>
            <w:top w:val="none" w:sz="0" w:space="0" w:color="auto"/>
            <w:left w:val="none" w:sz="0" w:space="0" w:color="auto"/>
            <w:bottom w:val="none" w:sz="0" w:space="0" w:color="auto"/>
            <w:right w:val="none" w:sz="0" w:space="0" w:color="auto"/>
          </w:divBdr>
        </w:div>
        <w:div w:id="182207680">
          <w:marLeft w:val="0"/>
          <w:marRight w:val="0"/>
          <w:marTop w:val="0"/>
          <w:marBottom w:val="0"/>
          <w:divBdr>
            <w:top w:val="none" w:sz="0" w:space="0" w:color="auto"/>
            <w:left w:val="none" w:sz="0" w:space="0" w:color="auto"/>
            <w:bottom w:val="none" w:sz="0" w:space="0" w:color="auto"/>
            <w:right w:val="none" w:sz="0" w:space="0" w:color="auto"/>
          </w:divBdr>
        </w:div>
        <w:div w:id="91752832">
          <w:marLeft w:val="0"/>
          <w:marRight w:val="0"/>
          <w:marTop w:val="0"/>
          <w:marBottom w:val="0"/>
          <w:divBdr>
            <w:top w:val="none" w:sz="0" w:space="0" w:color="auto"/>
            <w:left w:val="none" w:sz="0" w:space="0" w:color="auto"/>
            <w:bottom w:val="none" w:sz="0" w:space="0" w:color="auto"/>
            <w:right w:val="none" w:sz="0" w:space="0" w:color="auto"/>
          </w:divBdr>
        </w:div>
        <w:div w:id="400307">
          <w:marLeft w:val="0"/>
          <w:marRight w:val="0"/>
          <w:marTop w:val="0"/>
          <w:marBottom w:val="0"/>
          <w:divBdr>
            <w:top w:val="none" w:sz="0" w:space="0" w:color="auto"/>
            <w:left w:val="none" w:sz="0" w:space="0" w:color="auto"/>
            <w:bottom w:val="none" w:sz="0" w:space="0" w:color="auto"/>
            <w:right w:val="none" w:sz="0" w:space="0" w:color="auto"/>
          </w:divBdr>
        </w:div>
        <w:div w:id="1120302642">
          <w:marLeft w:val="0"/>
          <w:marRight w:val="0"/>
          <w:marTop w:val="0"/>
          <w:marBottom w:val="0"/>
          <w:divBdr>
            <w:top w:val="none" w:sz="0" w:space="0" w:color="auto"/>
            <w:left w:val="none" w:sz="0" w:space="0" w:color="auto"/>
            <w:bottom w:val="none" w:sz="0" w:space="0" w:color="auto"/>
            <w:right w:val="none" w:sz="0" w:space="0" w:color="auto"/>
          </w:divBdr>
        </w:div>
        <w:div w:id="26875644">
          <w:marLeft w:val="0"/>
          <w:marRight w:val="0"/>
          <w:marTop w:val="0"/>
          <w:marBottom w:val="0"/>
          <w:divBdr>
            <w:top w:val="none" w:sz="0" w:space="0" w:color="auto"/>
            <w:left w:val="none" w:sz="0" w:space="0" w:color="auto"/>
            <w:bottom w:val="none" w:sz="0" w:space="0" w:color="auto"/>
            <w:right w:val="none" w:sz="0" w:space="0" w:color="auto"/>
          </w:divBdr>
        </w:div>
        <w:div w:id="1036927118">
          <w:marLeft w:val="0"/>
          <w:marRight w:val="0"/>
          <w:marTop w:val="0"/>
          <w:marBottom w:val="0"/>
          <w:divBdr>
            <w:top w:val="none" w:sz="0" w:space="0" w:color="auto"/>
            <w:left w:val="none" w:sz="0" w:space="0" w:color="auto"/>
            <w:bottom w:val="none" w:sz="0" w:space="0" w:color="auto"/>
            <w:right w:val="none" w:sz="0" w:space="0" w:color="auto"/>
          </w:divBdr>
        </w:div>
        <w:div w:id="561214029">
          <w:marLeft w:val="0"/>
          <w:marRight w:val="0"/>
          <w:marTop w:val="0"/>
          <w:marBottom w:val="0"/>
          <w:divBdr>
            <w:top w:val="none" w:sz="0" w:space="0" w:color="auto"/>
            <w:left w:val="none" w:sz="0" w:space="0" w:color="auto"/>
            <w:bottom w:val="none" w:sz="0" w:space="0" w:color="auto"/>
            <w:right w:val="none" w:sz="0" w:space="0" w:color="auto"/>
          </w:divBdr>
        </w:div>
        <w:div w:id="779374183">
          <w:marLeft w:val="0"/>
          <w:marRight w:val="0"/>
          <w:marTop w:val="0"/>
          <w:marBottom w:val="0"/>
          <w:divBdr>
            <w:top w:val="none" w:sz="0" w:space="0" w:color="auto"/>
            <w:left w:val="none" w:sz="0" w:space="0" w:color="auto"/>
            <w:bottom w:val="none" w:sz="0" w:space="0" w:color="auto"/>
            <w:right w:val="none" w:sz="0" w:space="0" w:color="auto"/>
          </w:divBdr>
        </w:div>
        <w:div w:id="1396975963">
          <w:marLeft w:val="0"/>
          <w:marRight w:val="0"/>
          <w:marTop w:val="0"/>
          <w:marBottom w:val="0"/>
          <w:divBdr>
            <w:top w:val="none" w:sz="0" w:space="0" w:color="auto"/>
            <w:left w:val="none" w:sz="0" w:space="0" w:color="auto"/>
            <w:bottom w:val="none" w:sz="0" w:space="0" w:color="auto"/>
            <w:right w:val="none" w:sz="0" w:space="0" w:color="auto"/>
          </w:divBdr>
        </w:div>
        <w:div w:id="682630118">
          <w:marLeft w:val="0"/>
          <w:marRight w:val="0"/>
          <w:marTop w:val="0"/>
          <w:marBottom w:val="0"/>
          <w:divBdr>
            <w:top w:val="none" w:sz="0" w:space="0" w:color="auto"/>
            <w:left w:val="none" w:sz="0" w:space="0" w:color="auto"/>
            <w:bottom w:val="none" w:sz="0" w:space="0" w:color="auto"/>
            <w:right w:val="none" w:sz="0" w:space="0" w:color="auto"/>
          </w:divBdr>
        </w:div>
        <w:div w:id="1409577994">
          <w:marLeft w:val="0"/>
          <w:marRight w:val="0"/>
          <w:marTop w:val="0"/>
          <w:marBottom w:val="0"/>
          <w:divBdr>
            <w:top w:val="none" w:sz="0" w:space="0" w:color="auto"/>
            <w:left w:val="none" w:sz="0" w:space="0" w:color="auto"/>
            <w:bottom w:val="none" w:sz="0" w:space="0" w:color="auto"/>
            <w:right w:val="none" w:sz="0" w:space="0" w:color="auto"/>
          </w:divBdr>
        </w:div>
        <w:div w:id="1242790557">
          <w:marLeft w:val="0"/>
          <w:marRight w:val="0"/>
          <w:marTop w:val="0"/>
          <w:marBottom w:val="0"/>
          <w:divBdr>
            <w:top w:val="none" w:sz="0" w:space="0" w:color="auto"/>
            <w:left w:val="none" w:sz="0" w:space="0" w:color="auto"/>
            <w:bottom w:val="none" w:sz="0" w:space="0" w:color="auto"/>
            <w:right w:val="none" w:sz="0" w:space="0" w:color="auto"/>
          </w:divBdr>
        </w:div>
        <w:div w:id="16464587">
          <w:marLeft w:val="0"/>
          <w:marRight w:val="0"/>
          <w:marTop w:val="0"/>
          <w:marBottom w:val="0"/>
          <w:divBdr>
            <w:top w:val="none" w:sz="0" w:space="0" w:color="auto"/>
            <w:left w:val="none" w:sz="0" w:space="0" w:color="auto"/>
            <w:bottom w:val="none" w:sz="0" w:space="0" w:color="auto"/>
            <w:right w:val="none" w:sz="0" w:space="0" w:color="auto"/>
          </w:divBdr>
        </w:div>
        <w:div w:id="488598401">
          <w:marLeft w:val="0"/>
          <w:marRight w:val="0"/>
          <w:marTop w:val="0"/>
          <w:marBottom w:val="0"/>
          <w:divBdr>
            <w:top w:val="none" w:sz="0" w:space="0" w:color="auto"/>
            <w:left w:val="none" w:sz="0" w:space="0" w:color="auto"/>
            <w:bottom w:val="none" w:sz="0" w:space="0" w:color="auto"/>
            <w:right w:val="none" w:sz="0" w:space="0" w:color="auto"/>
          </w:divBdr>
        </w:div>
        <w:div w:id="1367371646">
          <w:marLeft w:val="720"/>
          <w:marRight w:val="0"/>
          <w:marTop w:val="0"/>
          <w:marBottom w:val="0"/>
          <w:divBdr>
            <w:top w:val="none" w:sz="0" w:space="0" w:color="auto"/>
            <w:left w:val="none" w:sz="0" w:space="0" w:color="auto"/>
            <w:bottom w:val="none" w:sz="0" w:space="0" w:color="auto"/>
            <w:right w:val="none" w:sz="0" w:space="0" w:color="auto"/>
          </w:divBdr>
        </w:div>
        <w:div w:id="1463032751">
          <w:marLeft w:val="0"/>
          <w:marRight w:val="0"/>
          <w:marTop w:val="0"/>
          <w:marBottom w:val="0"/>
          <w:divBdr>
            <w:top w:val="none" w:sz="0" w:space="0" w:color="auto"/>
            <w:left w:val="none" w:sz="0" w:space="0" w:color="auto"/>
            <w:bottom w:val="none" w:sz="0" w:space="0" w:color="auto"/>
            <w:right w:val="none" w:sz="0" w:space="0" w:color="auto"/>
          </w:divBdr>
        </w:div>
        <w:div w:id="520166812">
          <w:marLeft w:val="0"/>
          <w:marRight w:val="0"/>
          <w:marTop w:val="0"/>
          <w:marBottom w:val="0"/>
          <w:divBdr>
            <w:top w:val="none" w:sz="0" w:space="0" w:color="auto"/>
            <w:left w:val="none" w:sz="0" w:space="0" w:color="auto"/>
            <w:bottom w:val="none" w:sz="0" w:space="0" w:color="auto"/>
            <w:right w:val="none" w:sz="0" w:space="0" w:color="auto"/>
          </w:divBdr>
        </w:div>
        <w:div w:id="51393872">
          <w:marLeft w:val="0"/>
          <w:marRight w:val="0"/>
          <w:marTop w:val="0"/>
          <w:marBottom w:val="0"/>
          <w:divBdr>
            <w:top w:val="none" w:sz="0" w:space="0" w:color="auto"/>
            <w:left w:val="none" w:sz="0" w:space="0" w:color="auto"/>
            <w:bottom w:val="none" w:sz="0" w:space="0" w:color="auto"/>
            <w:right w:val="none" w:sz="0" w:space="0" w:color="auto"/>
          </w:divBdr>
        </w:div>
        <w:div w:id="305595914">
          <w:marLeft w:val="0"/>
          <w:marRight w:val="0"/>
          <w:marTop w:val="0"/>
          <w:marBottom w:val="0"/>
          <w:divBdr>
            <w:top w:val="none" w:sz="0" w:space="0" w:color="auto"/>
            <w:left w:val="none" w:sz="0" w:space="0" w:color="auto"/>
            <w:bottom w:val="none" w:sz="0" w:space="0" w:color="auto"/>
            <w:right w:val="none" w:sz="0" w:space="0" w:color="auto"/>
          </w:divBdr>
        </w:div>
        <w:div w:id="909927627">
          <w:marLeft w:val="0"/>
          <w:marRight w:val="0"/>
          <w:marTop w:val="0"/>
          <w:marBottom w:val="0"/>
          <w:divBdr>
            <w:top w:val="none" w:sz="0" w:space="0" w:color="auto"/>
            <w:left w:val="none" w:sz="0" w:space="0" w:color="auto"/>
            <w:bottom w:val="none" w:sz="0" w:space="0" w:color="auto"/>
            <w:right w:val="none" w:sz="0" w:space="0" w:color="auto"/>
          </w:divBdr>
        </w:div>
        <w:div w:id="1955476376">
          <w:marLeft w:val="0"/>
          <w:marRight w:val="0"/>
          <w:marTop w:val="0"/>
          <w:marBottom w:val="0"/>
          <w:divBdr>
            <w:top w:val="none" w:sz="0" w:space="0" w:color="auto"/>
            <w:left w:val="none" w:sz="0" w:space="0" w:color="auto"/>
            <w:bottom w:val="none" w:sz="0" w:space="0" w:color="auto"/>
            <w:right w:val="none" w:sz="0" w:space="0" w:color="auto"/>
          </w:divBdr>
        </w:div>
        <w:div w:id="2008745594">
          <w:marLeft w:val="0"/>
          <w:marRight w:val="0"/>
          <w:marTop w:val="0"/>
          <w:marBottom w:val="0"/>
          <w:divBdr>
            <w:top w:val="none" w:sz="0" w:space="0" w:color="auto"/>
            <w:left w:val="none" w:sz="0" w:space="0" w:color="auto"/>
            <w:bottom w:val="none" w:sz="0" w:space="0" w:color="auto"/>
            <w:right w:val="none" w:sz="0" w:space="0" w:color="auto"/>
          </w:divBdr>
        </w:div>
        <w:div w:id="12458055">
          <w:marLeft w:val="0"/>
          <w:marRight w:val="0"/>
          <w:marTop w:val="0"/>
          <w:marBottom w:val="0"/>
          <w:divBdr>
            <w:top w:val="none" w:sz="0" w:space="0" w:color="auto"/>
            <w:left w:val="none" w:sz="0" w:space="0" w:color="auto"/>
            <w:bottom w:val="none" w:sz="0" w:space="0" w:color="auto"/>
            <w:right w:val="none" w:sz="0" w:space="0" w:color="auto"/>
          </w:divBdr>
        </w:div>
        <w:div w:id="1984693896">
          <w:marLeft w:val="0"/>
          <w:marRight w:val="0"/>
          <w:marTop w:val="0"/>
          <w:marBottom w:val="0"/>
          <w:divBdr>
            <w:top w:val="none" w:sz="0" w:space="0" w:color="auto"/>
            <w:left w:val="none" w:sz="0" w:space="0" w:color="auto"/>
            <w:bottom w:val="none" w:sz="0" w:space="0" w:color="auto"/>
            <w:right w:val="none" w:sz="0" w:space="0" w:color="auto"/>
          </w:divBdr>
        </w:div>
        <w:div w:id="1727140647">
          <w:marLeft w:val="0"/>
          <w:marRight w:val="0"/>
          <w:marTop w:val="0"/>
          <w:marBottom w:val="0"/>
          <w:divBdr>
            <w:top w:val="none" w:sz="0" w:space="0" w:color="auto"/>
            <w:left w:val="none" w:sz="0" w:space="0" w:color="auto"/>
            <w:bottom w:val="none" w:sz="0" w:space="0" w:color="auto"/>
            <w:right w:val="none" w:sz="0" w:space="0" w:color="auto"/>
          </w:divBdr>
          <w:divsChild>
            <w:div w:id="1430083520">
              <w:marLeft w:val="0"/>
              <w:marRight w:val="0"/>
              <w:marTop w:val="0"/>
              <w:marBottom w:val="0"/>
              <w:divBdr>
                <w:top w:val="none" w:sz="0" w:space="0" w:color="auto"/>
                <w:left w:val="none" w:sz="0" w:space="0" w:color="auto"/>
                <w:bottom w:val="none" w:sz="0" w:space="0" w:color="auto"/>
                <w:right w:val="none" w:sz="0" w:space="0" w:color="auto"/>
              </w:divBdr>
              <w:divsChild>
                <w:div w:id="173886348">
                  <w:marLeft w:val="0"/>
                  <w:marRight w:val="0"/>
                  <w:marTop w:val="0"/>
                  <w:marBottom w:val="0"/>
                  <w:divBdr>
                    <w:top w:val="none" w:sz="0" w:space="0" w:color="auto"/>
                    <w:left w:val="none" w:sz="0" w:space="0" w:color="auto"/>
                    <w:bottom w:val="none" w:sz="0" w:space="0" w:color="auto"/>
                    <w:right w:val="none" w:sz="0" w:space="0" w:color="auto"/>
                  </w:divBdr>
                </w:div>
              </w:divsChild>
            </w:div>
            <w:div w:id="2059666860">
              <w:marLeft w:val="0"/>
              <w:marRight w:val="0"/>
              <w:marTop w:val="0"/>
              <w:marBottom w:val="0"/>
              <w:divBdr>
                <w:top w:val="none" w:sz="0" w:space="0" w:color="auto"/>
                <w:left w:val="none" w:sz="0" w:space="0" w:color="auto"/>
                <w:bottom w:val="none" w:sz="0" w:space="0" w:color="auto"/>
                <w:right w:val="none" w:sz="0" w:space="0" w:color="auto"/>
              </w:divBdr>
              <w:divsChild>
                <w:div w:id="2000108061">
                  <w:marLeft w:val="0"/>
                  <w:marRight w:val="0"/>
                  <w:marTop w:val="0"/>
                  <w:marBottom w:val="0"/>
                  <w:divBdr>
                    <w:top w:val="none" w:sz="0" w:space="0" w:color="auto"/>
                    <w:left w:val="none" w:sz="0" w:space="0" w:color="auto"/>
                    <w:bottom w:val="none" w:sz="0" w:space="0" w:color="auto"/>
                    <w:right w:val="none" w:sz="0" w:space="0" w:color="auto"/>
                  </w:divBdr>
                </w:div>
              </w:divsChild>
            </w:div>
            <w:div w:id="931353942">
              <w:marLeft w:val="0"/>
              <w:marRight w:val="0"/>
              <w:marTop w:val="0"/>
              <w:marBottom w:val="0"/>
              <w:divBdr>
                <w:top w:val="none" w:sz="0" w:space="0" w:color="auto"/>
                <w:left w:val="none" w:sz="0" w:space="0" w:color="auto"/>
                <w:bottom w:val="none" w:sz="0" w:space="0" w:color="auto"/>
                <w:right w:val="none" w:sz="0" w:space="0" w:color="auto"/>
              </w:divBdr>
              <w:divsChild>
                <w:div w:id="871380680">
                  <w:marLeft w:val="0"/>
                  <w:marRight w:val="0"/>
                  <w:marTop w:val="0"/>
                  <w:marBottom w:val="0"/>
                  <w:divBdr>
                    <w:top w:val="none" w:sz="0" w:space="0" w:color="auto"/>
                    <w:left w:val="none" w:sz="0" w:space="0" w:color="auto"/>
                    <w:bottom w:val="none" w:sz="0" w:space="0" w:color="auto"/>
                    <w:right w:val="none" w:sz="0" w:space="0" w:color="auto"/>
                  </w:divBdr>
                </w:div>
              </w:divsChild>
            </w:div>
            <w:div w:id="347759182">
              <w:marLeft w:val="0"/>
              <w:marRight w:val="0"/>
              <w:marTop w:val="0"/>
              <w:marBottom w:val="0"/>
              <w:divBdr>
                <w:top w:val="none" w:sz="0" w:space="0" w:color="auto"/>
                <w:left w:val="none" w:sz="0" w:space="0" w:color="auto"/>
                <w:bottom w:val="none" w:sz="0" w:space="0" w:color="auto"/>
                <w:right w:val="none" w:sz="0" w:space="0" w:color="auto"/>
              </w:divBdr>
              <w:divsChild>
                <w:div w:id="1404255020">
                  <w:marLeft w:val="0"/>
                  <w:marRight w:val="0"/>
                  <w:marTop w:val="0"/>
                  <w:marBottom w:val="0"/>
                  <w:divBdr>
                    <w:top w:val="none" w:sz="0" w:space="0" w:color="auto"/>
                    <w:left w:val="none" w:sz="0" w:space="0" w:color="auto"/>
                    <w:bottom w:val="none" w:sz="0" w:space="0" w:color="auto"/>
                    <w:right w:val="none" w:sz="0" w:space="0" w:color="auto"/>
                  </w:divBdr>
                </w:div>
              </w:divsChild>
            </w:div>
            <w:div w:id="462776569">
              <w:marLeft w:val="0"/>
              <w:marRight w:val="0"/>
              <w:marTop w:val="0"/>
              <w:marBottom w:val="0"/>
              <w:divBdr>
                <w:top w:val="none" w:sz="0" w:space="0" w:color="auto"/>
                <w:left w:val="none" w:sz="0" w:space="0" w:color="auto"/>
                <w:bottom w:val="none" w:sz="0" w:space="0" w:color="auto"/>
                <w:right w:val="none" w:sz="0" w:space="0" w:color="auto"/>
              </w:divBdr>
              <w:divsChild>
                <w:div w:id="184470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7343">
      <w:bodyDiv w:val="1"/>
      <w:marLeft w:val="0"/>
      <w:marRight w:val="0"/>
      <w:marTop w:val="0"/>
      <w:marBottom w:val="0"/>
      <w:divBdr>
        <w:top w:val="none" w:sz="0" w:space="0" w:color="auto"/>
        <w:left w:val="none" w:sz="0" w:space="0" w:color="auto"/>
        <w:bottom w:val="none" w:sz="0" w:space="0" w:color="auto"/>
        <w:right w:val="none" w:sz="0" w:space="0" w:color="auto"/>
      </w:divBdr>
      <w:divsChild>
        <w:div w:id="427652584">
          <w:marLeft w:val="0"/>
          <w:marRight w:val="0"/>
          <w:marTop w:val="0"/>
          <w:marBottom w:val="0"/>
          <w:divBdr>
            <w:top w:val="none" w:sz="0" w:space="0" w:color="auto"/>
            <w:left w:val="none" w:sz="0" w:space="0" w:color="auto"/>
            <w:bottom w:val="none" w:sz="0" w:space="0" w:color="auto"/>
            <w:right w:val="none" w:sz="0" w:space="0" w:color="auto"/>
          </w:divBdr>
          <w:divsChild>
            <w:div w:id="785150791">
              <w:marLeft w:val="0"/>
              <w:marRight w:val="0"/>
              <w:marTop w:val="0"/>
              <w:marBottom w:val="0"/>
              <w:divBdr>
                <w:top w:val="none" w:sz="0" w:space="0" w:color="auto"/>
                <w:left w:val="none" w:sz="0" w:space="0" w:color="auto"/>
                <w:bottom w:val="none" w:sz="0" w:space="0" w:color="auto"/>
                <w:right w:val="none" w:sz="0" w:space="0" w:color="auto"/>
              </w:divBdr>
              <w:divsChild>
                <w:div w:id="1486238861">
                  <w:marLeft w:val="0"/>
                  <w:marRight w:val="0"/>
                  <w:marTop w:val="0"/>
                  <w:marBottom w:val="0"/>
                  <w:divBdr>
                    <w:top w:val="none" w:sz="0" w:space="0" w:color="auto"/>
                    <w:left w:val="none" w:sz="0" w:space="0" w:color="auto"/>
                    <w:bottom w:val="none" w:sz="0" w:space="0" w:color="auto"/>
                    <w:right w:val="none" w:sz="0" w:space="0" w:color="auto"/>
                  </w:divBdr>
                  <w:divsChild>
                    <w:div w:id="201332293">
                      <w:marLeft w:val="0"/>
                      <w:marRight w:val="0"/>
                      <w:marTop w:val="0"/>
                      <w:marBottom w:val="0"/>
                      <w:divBdr>
                        <w:top w:val="none" w:sz="0" w:space="0" w:color="auto"/>
                        <w:left w:val="none" w:sz="0" w:space="0" w:color="auto"/>
                        <w:bottom w:val="none" w:sz="0" w:space="0" w:color="auto"/>
                        <w:right w:val="none" w:sz="0" w:space="0" w:color="auto"/>
                      </w:divBdr>
                      <w:divsChild>
                        <w:div w:id="57910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4276755">
      <w:bodyDiv w:val="1"/>
      <w:marLeft w:val="0"/>
      <w:marRight w:val="0"/>
      <w:marTop w:val="0"/>
      <w:marBottom w:val="0"/>
      <w:divBdr>
        <w:top w:val="none" w:sz="0" w:space="0" w:color="auto"/>
        <w:left w:val="none" w:sz="0" w:space="0" w:color="auto"/>
        <w:bottom w:val="none" w:sz="0" w:space="0" w:color="auto"/>
        <w:right w:val="none" w:sz="0" w:space="0" w:color="auto"/>
      </w:divBdr>
      <w:divsChild>
        <w:div w:id="673261844">
          <w:marLeft w:val="0"/>
          <w:marRight w:val="0"/>
          <w:marTop w:val="0"/>
          <w:marBottom w:val="0"/>
          <w:divBdr>
            <w:top w:val="none" w:sz="0" w:space="0" w:color="auto"/>
            <w:left w:val="none" w:sz="0" w:space="0" w:color="auto"/>
            <w:bottom w:val="none" w:sz="0" w:space="0" w:color="auto"/>
            <w:right w:val="none" w:sz="0" w:space="0" w:color="auto"/>
          </w:divBdr>
          <w:divsChild>
            <w:div w:id="777944314">
              <w:marLeft w:val="0"/>
              <w:marRight w:val="0"/>
              <w:marTop w:val="0"/>
              <w:marBottom w:val="0"/>
              <w:divBdr>
                <w:top w:val="none" w:sz="0" w:space="0" w:color="auto"/>
                <w:left w:val="none" w:sz="0" w:space="0" w:color="auto"/>
                <w:bottom w:val="none" w:sz="0" w:space="0" w:color="auto"/>
                <w:right w:val="none" w:sz="0" w:space="0" w:color="auto"/>
              </w:divBdr>
              <w:divsChild>
                <w:div w:id="878903514">
                  <w:marLeft w:val="0"/>
                  <w:marRight w:val="0"/>
                  <w:marTop w:val="0"/>
                  <w:marBottom w:val="0"/>
                  <w:divBdr>
                    <w:top w:val="none" w:sz="0" w:space="0" w:color="auto"/>
                    <w:left w:val="none" w:sz="0" w:space="0" w:color="auto"/>
                    <w:bottom w:val="none" w:sz="0" w:space="0" w:color="auto"/>
                    <w:right w:val="none" w:sz="0" w:space="0" w:color="auto"/>
                  </w:divBdr>
                  <w:divsChild>
                    <w:div w:id="1309506937">
                      <w:marLeft w:val="0"/>
                      <w:marRight w:val="0"/>
                      <w:marTop w:val="0"/>
                      <w:marBottom w:val="0"/>
                      <w:divBdr>
                        <w:top w:val="none" w:sz="0" w:space="0" w:color="auto"/>
                        <w:left w:val="none" w:sz="0" w:space="0" w:color="auto"/>
                        <w:bottom w:val="none" w:sz="0" w:space="0" w:color="auto"/>
                        <w:right w:val="none" w:sz="0" w:space="0" w:color="auto"/>
                      </w:divBdr>
                      <w:divsChild>
                        <w:div w:id="110299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airwar.ru/enc/fww1/i12.html" TargetMode="External"/><Relationship Id="rId42" Type="http://schemas.openxmlformats.org/officeDocument/2006/relationships/hyperlink" Target="http://www.rpg-club.com/x1000" TargetMode="External"/><Relationship Id="rId63" Type="http://schemas.openxmlformats.org/officeDocument/2006/relationships/hyperlink" Target="http://www.rpg-club.com/x1000" TargetMode="External"/><Relationship Id="rId84" Type="http://schemas.openxmlformats.org/officeDocument/2006/relationships/hyperlink" Target="http://istmat.info/node/51693" TargetMode="External"/><Relationship Id="rId138" Type="http://schemas.openxmlformats.org/officeDocument/2006/relationships/hyperlink" Target="http://lib.rus.ec/b/347442/read" TargetMode="External"/><Relationship Id="rId159" Type="http://schemas.openxmlformats.org/officeDocument/2006/relationships/hyperlink" Target="http://ru.wikipedia.org/wiki/%D0%9C%D0%B8%D1%80%D0%BE%D1%88%D0%BD%D0%B8%D0%BA%D0%BE%D0%B2,_%D0%98%D0%B2%D0%B0%D0%BD_%D0%98%D0%B2%D0%B0%D0%BD%D0%BE%D0%B2%D0%B8%D1%87" TargetMode="External"/><Relationship Id="rId170" Type="http://schemas.openxmlformats.org/officeDocument/2006/relationships/hyperlink" Target="http://www.hrono.ru/biograf/bio_o/orzonikidze.php" TargetMode="External"/><Relationship Id="rId191" Type="http://schemas.openxmlformats.org/officeDocument/2006/relationships/hyperlink" Target="http://www.rpg-club.com/x1000" TargetMode="External"/><Relationship Id="rId205" Type="http://schemas.openxmlformats.org/officeDocument/2006/relationships/hyperlink" Target="http://www.rpg-club.com/x1000" TargetMode="External"/><Relationship Id="rId226" Type="http://schemas.openxmlformats.org/officeDocument/2006/relationships/hyperlink" Target="http://www.rpg-club.com/x1000" TargetMode="External"/><Relationship Id="rId247" Type="http://schemas.openxmlformats.org/officeDocument/2006/relationships/fontTable" Target="fontTable.xml"/><Relationship Id="rId107" Type="http://schemas.openxmlformats.org/officeDocument/2006/relationships/hyperlink" Target="https://t34inform.ru/doc/1931-05-21_VSNX.html" TargetMode="External"/><Relationship Id="rId11" Type="http://schemas.openxmlformats.org/officeDocument/2006/relationships/hyperlink" Target="http://www.airwar.ru/enc/cw1/br390.html" TargetMode="External"/><Relationship Id="rId32" Type="http://schemas.openxmlformats.org/officeDocument/2006/relationships/hyperlink" Target="http://istmat.info/node/51578" TargetMode="External"/><Relationship Id="rId53" Type="http://schemas.openxmlformats.org/officeDocument/2006/relationships/hyperlink" Target="http://www.rpg-club.com/x1000" TargetMode="External"/><Relationship Id="rId74" Type="http://schemas.openxmlformats.org/officeDocument/2006/relationships/hyperlink" Target="http://www.rpg-club.com/x1000" TargetMode="External"/><Relationship Id="rId128" Type="http://schemas.openxmlformats.org/officeDocument/2006/relationships/hyperlink" Target="http://istmat.info/node/51803" TargetMode="External"/><Relationship Id="rId149" Type="http://schemas.openxmlformats.org/officeDocument/2006/relationships/hyperlink" Target="http://www.hrono.ru/biograf/bio_g/golcman_az.php" TargetMode="External"/><Relationship Id="rId5" Type="http://schemas.openxmlformats.org/officeDocument/2006/relationships/webSettings" Target="webSettings.xml"/><Relationship Id="rId95" Type="http://schemas.openxmlformats.org/officeDocument/2006/relationships/hyperlink" Target="http://www.airwar.ru/enc/other1/anbo5.html" TargetMode="External"/><Relationship Id="rId160" Type="http://schemas.openxmlformats.org/officeDocument/2006/relationships/hyperlink" Target="http://www.airwar.ru/enc/bww1/dh72.html" TargetMode="External"/><Relationship Id="rId181" Type="http://schemas.openxmlformats.org/officeDocument/2006/relationships/hyperlink" Target="http://www.rpg-club.com/x1000" TargetMode="External"/><Relationship Id="rId216" Type="http://schemas.openxmlformats.org/officeDocument/2006/relationships/hyperlink" Target="http://www.az-libr.ru/Persons/70B/b6310cc5/0001/8aed6a17.shtml" TargetMode="External"/><Relationship Id="rId237" Type="http://schemas.openxmlformats.org/officeDocument/2006/relationships/hyperlink" Target="http://www.rpg-club.com/x1000" TargetMode="External"/><Relationship Id="rId22" Type="http://schemas.openxmlformats.org/officeDocument/2006/relationships/hyperlink" Target="http://www.airpages.ru/ru/shvak126.shtml" TargetMode="External"/><Relationship Id="rId43" Type="http://schemas.openxmlformats.org/officeDocument/2006/relationships/hyperlink" Target="http://www.rpg-club.com/x1000" TargetMode="External"/><Relationship Id="rId64" Type="http://schemas.openxmlformats.org/officeDocument/2006/relationships/hyperlink" Target="http://www.rpg-club.com/x1000" TargetMode="External"/><Relationship Id="rId118" Type="http://schemas.openxmlformats.org/officeDocument/2006/relationships/hyperlink" Target="http://www.rpg-club.com/x1000" TargetMode="External"/><Relationship Id="rId139" Type="http://schemas.openxmlformats.org/officeDocument/2006/relationships/hyperlink" Target="http://www.airwar.ru/enc/other1/r5.html" TargetMode="External"/><Relationship Id="rId85" Type="http://schemas.openxmlformats.org/officeDocument/2006/relationships/hyperlink" Target="http://istmat.info/node/51693" TargetMode="External"/><Relationship Id="rId150" Type="http://schemas.openxmlformats.org/officeDocument/2006/relationships/hyperlink" Target="http://www.hrono.ru/biograf/bio_g/gay_mi.php" TargetMode="External"/><Relationship Id="rId171" Type="http://schemas.openxmlformats.org/officeDocument/2006/relationships/hyperlink" Target="http://www.hrono.ru/biograf/bio_a/akulov_ia.php" TargetMode="External"/><Relationship Id="rId192" Type="http://schemas.openxmlformats.org/officeDocument/2006/relationships/hyperlink" Target="https://t34inform.ru/photo/4-02-004.jpg" TargetMode="External"/><Relationship Id="rId206" Type="http://schemas.openxmlformats.org/officeDocument/2006/relationships/hyperlink" Target="http://detectivebooks.ru/book/47013018/?page=27" TargetMode="External"/><Relationship Id="rId227" Type="http://schemas.openxmlformats.org/officeDocument/2006/relationships/hyperlink" Target="http://www.rpg-club.com/x1000" TargetMode="External"/><Relationship Id="rId248" Type="http://schemas.openxmlformats.org/officeDocument/2006/relationships/theme" Target="theme/theme1.xml"/><Relationship Id="rId12" Type="http://schemas.openxmlformats.org/officeDocument/2006/relationships/hyperlink" Target="http://www.istmira.com/razlichnoe/obuxovskij-zavod/page/148/" TargetMode="External"/><Relationship Id="rId33" Type="http://schemas.openxmlformats.org/officeDocument/2006/relationships/hyperlink" Target="http://airspot.ru/catalogue/item/gee-bee-model-d-sportster" TargetMode="External"/><Relationship Id="rId108" Type="http://schemas.openxmlformats.org/officeDocument/2006/relationships/hyperlink" Target="http://www.rpg-club.com/x1000" TargetMode="External"/><Relationship Id="rId129" Type="http://schemas.openxmlformats.org/officeDocument/2006/relationships/hyperlink" Target="http://www.rpg-club.com/x1000" TargetMode="External"/><Relationship Id="rId54" Type="http://schemas.openxmlformats.org/officeDocument/2006/relationships/hyperlink" Target="http://www.rpg-club.com/x1000" TargetMode="External"/><Relationship Id="rId75" Type="http://schemas.openxmlformats.org/officeDocument/2006/relationships/hyperlink" Target="http://www.rpg-club.com/x1000" TargetMode="External"/><Relationship Id="rId96" Type="http://schemas.openxmlformats.org/officeDocument/2006/relationships/hyperlink" Target="http://www.hrono.ru/biograf/bio_p/prokofev_ge.php" TargetMode="External"/><Relationship Id="rId140" Type="http://schemas.openxmlformats.org/officeDocument/2006/relationships/hyperlink" Target="http://www.airwar.ru/enc/fww1/iz.html" TargetMode="External"/><Relationship Id="rId161" Type="http://schemas.openxmlformats.org/officeDocument/2006/relationships/hyperlink" Target="http://www.libussr.ru/doc_ussr/ussr_3756.htm" TargetMode="External"/><Relationship Id="rId182" Type="http://schemas.openxmlformats.org/officeDocument/2006/relationships/hyperlink" Target="http://www.rpg-club.com/x1000" TargetMode="External"/><Relationship Id="rId217" Type="http://schemas.openxmlformats.org/officeDocument/2006/relationships/hyperlink" Target="http://www.hrono.ru/biograf/bio_t/tuhachevski.php" TargetMode="External"/><Relationship Id="rId6" Type="http://schemas.openxmlformats.org/officeDocument/2006/relationships/hyperlink" Target="http://istmat.info/node/51477" TargetMode="External"/><Relationship Id="rId238" Type="http://schemas.openxmlformats.org/officeDocument/2006/relationships/hyperlink" Target="http://www.rpg-club.com/x1000" TargetMode="External"/><Relationship Id="rId23" Type="http://schemas.openxmlformats.org/officeDocument/2006/relationships/hyperlink" Target="http://airspot.ru/catalogue/item/curtiss-f9c-sparrowhawk" TargetMode="External"/><Relationship Id="rId119" Type="http://schemas.openxmlformats.org/officeDocument/2006/relationships/hyperlink" Target="http://www.rpg-club.com/x1000" TargetMode="External"/><Relationship Id="rId44" Type="http://schemas.openxmlformats.org/officeDocument/2006/relationships/hyperlink" Target="http://www.rpg-club.com/x1000" TargetMode="External"/><Relationship Id="rId65" Type="http://schemas.openxmlformats.org/officeDocument/2006/relationships/hyperlink" Target="http://www.rpg-club.com/x1000" TargetMode="External"/><Relationship Id="rId86" Type="http://schemas.openxmlformats.org/officeDocument/2006/relationships/hyperlink" Target="http://www.airwar.ru/enc/cw1/kent.html" TargetMode="External"/><Relationship Id="rId130" Type="http://schemas.openxmlformats.org/officeDocument/2006/relationships/hyperlink" Target="http://www.rpg-club.com/x1000" TargetMode="External"/><Relationship Id="rId151" Type="http://schemas.openxmlformats.org/officeDocument/2006/relationships/hyperlink" Target="http://www.hrono.ru/biograf/bio_g/goryanov.html" TargetMode="External"/><Relationship Id="rId172" Type="http://schemas.openxmlformats.org/officeDocument/2006/relationships/hyperlink" Target="http://www.hrono.ru/biograf/bio_m/mironov_kagan.php" TargetMode="External"/><Relationship Id="rId193" Type="http://schemas.openxmlformats.org/officeDocument/2006/relationships/hyperlink" Target="http://www.uznal.org/book_of_memory.php?bukva=1&amp;name=60&amp;surname=73&amp;repression=17" TargetMode="External"/><Relationship Id="rId207" Type="http://schemas.openxmlformats.org/officeDocument/2006/relationships/hyperlink" Target="http://detectivebooks.ru/book/47013018/?page=27" TargetMode="External"/><Relationship Id="rId228" Type="http://schemas.openxmlformats.org/officeDocument/2006/relationships/hyperlink" Target="http://www.rpg-club.com/x1000" TargetMode="External"/><Relationship Id="rId13" Type="http://schemas.openxmlformats.org/officeDocument/2006/relationships/hyperlink" Target="http://www.istmira.com/razlichnoe/obuxovskij-zavod/page/148/" TargetMode="External"/><Relationship Id="rId109" Type="http://schemas.openxmlformats.org/officeDocument/2006/relationships/hyperlink" Target="http://www.rpg-club.com/x1000" TargetMode="External"/><Relationship Id="rId34" Type="http://schemas.openxmlformats.org/officeDocument/2006/relationships/hyperlink" Target="http://airspot.ru/catalogue/item/bleriot-125" TargetMode="External"/><Relationship Id="rId55" Type="http://schemas.openxmlformats.org/officeDocument/2006/relationships/hyperlink" Target="http://www.rpg-club.com/x1000" TargetMode="External"/><Relationship Id="rId76" Type="http://schemas.openxmlformats.org/officeDocument/2006/relationships/hyperlink" Target="http://www.rpg-club.com/x1000" TargetMode="External"/><Relationship Id="rId97" Type="http://schemas.openxmlformats.org/officeDocument/2006/relationships/hyperlink" Target="http://www.hrono.ru/biograf/bio_a/alexandrov_ig.php" TargetMode="External"/><Relationship Id="rId120" Type="http://schemas.openxmlformats.org/officeDocument/2006/relationships/hyperlink" Target="http://www.rpg-club.com/x1000" TargetMode="External"/><Relationship Id="rId141" Type="http://schemas.openxmlformats.org/officeDocument/2006/relationships/hyperlink" Target="http://www.airwar.ru/enc/flyboat/p2y.html" TargetMode="External"/><Relationship Id="rId7" Type="http://schemas.openxmlformats.org/officeDocument/2006/relationships/hyperlink" Target="http://hrono.pisalo.ru/biograf/voroshil.html" TargetMode="External"/><Relationship Id="rId162" Type="http://schemas.openxmlformats.org/officeDocument/2006/relationships/hyperlink" Target="http://www.libussr.ru/doc_ussr/ussr_3761.htm" TargetMode="External"/><Relationship Id="rId183" Type="http://schemas.openxmlformats.org/officeDocument/2006/relationships/hyperlink" Target="http://www.rpg-club.com/x1000" TargetMode="External"/><Relationship Id="rId218" Type="http://schemas.openxmlformats.org/officeDocument/2006/relationships/hyperlink" Target="http://www.hrono.ru/biograf/bio_t/tuhachevski.php" TargetMode="External"/><Relationship Id="rId239" Type="http://schemas.openxmlformats.org/officeDocument/2006/relationships/hyperlink" Target="http://www.rpg-club.com/x1000" TargetMode="External"/><Relationship Id="rId24" Type="http://schemas.openxmlformats.org/officeDocument/2006/relationships/hyperlink" Target="http://www.airwar.ru/enc/law1/bluebird.html" TargetMode="External"/><Relationship Id="rId45" Type="http://schemas.openxmlformats.org/officeDocument/2006/relationships/hyperlink" Target="http://www.rpg-club.com/x1000" TargetMode="External"/><Relationship Id="rId66" Type="http://schemas.openxmlformats.org/officeDocument/2006/relationships/hyperlink" Target="http://www.rpg-club.com/x1000" TargetMode="External"/><Relationship Id="rId87" Type="http://schemas.openxmlformats.org/officeDocument/2006/relationships/hyperlink" Target="http://www.hrono.ru/biograf/bio_we/voroshilov.php" TargetMode="External"/><Relationship Id="rId110" Type="http://schemas.openxmlformats.org/officeDocument/2006/relationships/hyperlink" Target="http://www.rpg-club.com/x1000" TargetMode="External"/><Relationship Id="rId131" Type="http://schemas.openxmlformats.org/officeDocument/2006/relationships/hyperlink" Target="http://1937god.info/node/415" TargetMode="External"/><Relationship Id="rId152" Type="http://schemas.openxmlformats.org/officeDocument/2006/relationships/hyperlink" Target="http://ru.wikipedia.org/wiki/%CA%EE%EB%EE%F2%E8%EB%EE%E2,_%CD%E8%EA%EE%EB%E0%E9_%CD%E8%EA%EE%EB%E0%E5%E2%E8%F7" TargetMode="External"/><Relationship Id="rId173" Type="http://schemas.openxmlformats.org/officeDocument/2006/relationships/hyperlink" Target="http://warspot.ru/6240-tyaglovaya-sila" TargetMode="External"/><Relationship Id="rId194" Type="http://schemas.openxmlformats.org/officeDocument/2006/relationships/hyperlink" Target="http://detectivebooks.ru/book/47013018/?page=46" TargetMode="External"/><Relationship Id="rId208" Type="http://schemas.openxmlformats.org/officeDocument/2006/relationships/hyperlink" Target="http://www.rpg-club.com/x1000" TargetMode="External"/><Relationship Id="rId229"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14" Type="http://schemas.openxmlformats.org/officeDocument/2006/relationships/hyperlink" Target="http://www.istmira.com/razlichnoe/obuxovskij-zavod/page/148/" TargetMode="External"/><Relationship Id="rId35" Type="http://schemas.openxmlformats.org/officeDocument/2006/relationships/hyperlink" Target="http://www.airwar.ru/enc/law1/hv41.html" TargetMode="External"/><Relationship Id="rId56" Type="http://schemas.openxmlformats.org/officeDocument/2006/relationships/hyperlink" Target="http://www.rpg-club.com/x1000" TargetMode="External"/><Relationship Id="rId77" Type="http://schemas.openxmlformats.org/officeDocument/2006/relationships/hyperlink" Target="http://www.rpg-club.com/x1000" TargetMode="External"/><Relationship Id="rId100" Type="http://schemas.openxmlformats.org/officeDocument/2006/relationships/hyperlink" Target="http://www.hrono.ru/biograf/bio_h/hrushev4ns.php" TargetMode="External"/><Relationship Id="rId8" Type="http://schemas.openxmlformats.org/officeDocument/2006/relationships/hyperlink" Target="http://www.airwar.ru/enc/other1/letovs128.html" TargetMode="External"/><Relationship Id="rId98" Type="http://schemas.openxmlformats.org/officeDocument/2006/relationships/hyperlink" Target="http://www.hrono.ru/biograf/bio_g/gay_mi.php" TargetMode="External"/><Relationship Id="rId121" Type="http://schemas.openxmlformats.org/officeDocument/2006/relationships/hyperlink" Target="http://www.rpg-club.com/x1000" TargetMode="External"/><Relationship Id="rId142" Type="http://schemas.openxmlformats.org/officeDocument/2006/relationships/hyperlink" Target="http://istmat.info/node/52356" TargetMode="External"/><Relationship Id="rId163" Type="http://schemas.openxmlformats.org/officeDocument/2006/relationships/hyperlink" Target="http://istmat.info/node/53495" TargetMode="External"/><Relationship Id="rId184" Type="http://schemas.openxmlformats.org/officeDocument/2006/relationships/hyperlink" Target="http://www.rpg-club.com/x1000" TargetMode="External"/><Relationship Id="rId219" Type="http://schemas.openxmlformats.org/officeDocument/2006/relationships/hyperlink" Target="http://warspot.ru/6240-tyaglovaya-sila" TargetMode="External"/><Relationship Id="rId230" Type="http://schemas.openxmlformats.org/officeDocument/2006/relationships/hyperlink" Target="http://www.rpg-club.com/x1000" TargetMode="External"/><Relationship Id="rId25" Type="http://schemas.openxmlformats.org/officeDocument/2006/relationships/hyperlink" Target="http://www.airwar.ru/enc/cw1/bernard80.html" TargetMode="External"/><Relationship Id="rId46" Type="http://schemas.openxmlformats.org/officeDocument/2006/relationships/hyperlink" Target="http://www.rpg-club.com/x1000" TargetMode="External"/><Relationship Id="rId67" Type="http://schemas.openxmlformats.org/officeDocument/2006/relationships/hyperlink" Target="http://www.rpg-club.com/x1000" TargetMode="External"/><Relationship Id="rId88" Type="http://schemas.openxmlformats.org/officeDocument/2006/relationships/hyperlink" Target="http://www.hrono.ru/biograf/bio_u/uborevich_ip.php" TargetMode="External"/><Relationship Id="rId111" Type="http://schemas.openxmlformats.org/officeDocument/2006/relationships/hyperlink" Target="http://www.rpg-club.com/x1000" TargetMode="External"/><Relationship Id="rId132" Type="http://schemas.openxmlformats.org/officeDocument/2006/relationships/hyperlink" Target="http://www.airwar.ru/enc/cw1/d33.html" TargetMode="External"/><Relationship Id="rId153" Type="http://schemas.openxmlformats.org/officeDocument/2006/relationships/hyperlink" Target="http://www.hrono.ru/biograf/bio_k/kosior_sv.php" TargetMode="External"/><Relationship Id="rId174" Type="http://schemas.openxmlformats.org/officeDocument/2006/relationships/hyperlink" Target="http://detectivebooks.ru/book/47013018/?page=46" TargetMode="External"/><Relationship Id="rId195" Type="http://schemas.openxmlformats.org/officeDocument/2006/relationships/hyperlink" Target="http://www.rpg-club.com/x1000" TargetMode="External"/><Relationship Id="rId209" Type="http://schemas.openxmlformats.org/officeDocument/2006/relationships/hyperlink" Target="http://www.rpg-club.com/x1000" TargetMode="External"/><Relationship Id="rId220" Type="http://schemas.openxmlformats.org/officeDocument/2006/relationships/hyperlink" Target="http://detectivebooks.ru/book/47013018/?page=26" TargetMode="External"/><Relationship Id="rId241" Type="http://schemas.openxmlformats.org/officeDocument/2006/relationships/hyperlink" Target="http://www.rpg-club.com/x1000" TargetMode="External"/><Relationship Id="rId15" Type="http://schemas.openxmlformats.org/officeDocument/2006/relationships/hyperlink" Target="http://www.istmira.com/razlichnoe/obuxovskij-zavod/page/148/" TargetMode="External"/><Relationship Id="rId36" Type="http://schemas.openxmlformats.org/officeDocument/2006/relationships/hyperlink" Target="http://www.airwar.ru/enc/bww1/late440.html" TargetMode="External"/><Relationship Id="rId57" Type="http://schemas.openxmlformats.org/officeDocument/2006/relationships/hyperlink" Target="http://www.rpg-club.com/x1000" TargetMode="External"/><Relationship Id="rId10" Type="http://schemas.openxmlformats.org/officeDocument/2006/relationships/hyperlink" Target="http://www.airwar.ru/enc/sww2/mdr2.html" TargetMode="External"/><Relationship Id="rId31" Type="http://schemas.openxmlformats.org/officeDocument/2006/relationships/hyperlink" Target="http://www.airwar.ru/enc/bww1/gordon.html" TargetMode="External"/><Relationship Id="rId52" Type="http://schemas.openxmlformats.org/officeDocument/2006/relationships/hyperlink" Target="http://www.rpg-club.com/x1000" TargetMode="External"/><Relationship Id="rId73" Type="http://schemas.openxmlformats.org/officeDocument/2006/relationships/hyperlink" Target="http://www.rpg-club.com/x1000" TargetMode="External"/><Relationship Id="rId78" Type="http://schemas.openxmlformats.org/officeDocument/2006/relationships/hyperlink" Target="http://www.rpg-club.com/x1000" TargetMode="External"/><Relationship Id="rId94" Type="http://schemas.openxmlformats.org/officeDocument/2006/relationships/hyperlink" Target="http://airspot.ru/catalogue/item/short-s-17-kent" TargetMode="External"/><Relationship Id="rId99" Type="http://schemas.openxmlformats.org/officeDocument/2006/relationships/hyperlink" Target="http://www.knowbysight.info/BBB/01414.asp" TargetMode="External"/><Relationship Id="rId101" Type="http://schemas.openxmlformats.org/officeDocument/2006/relationships/hyperlink" Target="http://www.hrono.ru/biograf/bio_k/kuybyshev_nv.php" TargetMode="External"/><Relationship Id="rId122" Type="http://schemas.openxmlformats.org/officeDocument/2006/relationships/hyperlink" Target="http://www.rpg-club.com/x1000" TargetMode="External"/><Relationship Id="rId143" Type="http://schemas.openxmlformats.org/officeDocument/2006/relationships/hyperlink" Target="http://www.airwar.ru/enc/fww1/di3.html" TargetMode="External"/><Relationship Id="rId148" Type="http://schemas.openxmlformats.org/officeDocument/2006/relationships/hyperlink" Target="http://www.hrono.ru/biograf/bio_a/alksnis_jak.php" TargetMode="External"/><Relationship Id="rId164" Type="http://schemas.openxmlformats.org/officeDocument/2006/relationships/hyperlink" Target="http://www.airwar.ru/enc/law1/rwd7.html" TargetMode="External"/><Relationship Id="rId169" Type="http://schemas.openxmlformats.org/officeDocument/2006/relationships/hyperlink" Target="http://www.airwar.ru/enc/law1/aec1.html" TargetMode="External"/><Relationship Id="rId185" Type="http://schemas.openxmlformats.org/officeDocument/2006/relationships/hyperlink" Target="http://www.rpg-club.com/x1000" TargetMode="External"/><Relationship Id="rId4" Type="http://schemas.openxmlformats.org/officeDocument/2006/relationships/settings" Target="settings.xml"/><Relationship Id="rId9" Type="http://schemas.openxmlformats.org/officeDocument/2006/relationships/hyperlink" Target="http://www.airwar.ru/enc/sww2/do15.html" TargetMode="External"/><Relationship Id="rId180" Type="http://schemas.openxmlformats.org/officeDocument/2006/relationships/hyperlink" Target="http://www.rpg-club.com/x1000" TargetMode="External"/><Relationship Id="rId210" Type="http://schemas.openxmlformats.org/officeDocument/2006/relationships/hyperlink" Target="http://www.rpg-club.com/x1000" TargetMode="External"/><Relationship Id="rId215" Type="http://schemas.openxmlformats.org/officeDocument/2006/relationships/hyperlink" Target="http://detectivebooks.ru/book/47013018/?page=16" TargetMode="External"/><Relationship Id="rId236" Type="http://schemas.openxmlformats.org/officeDocument/2006/relationships/hyperlink" Target="http://www.rpg-club.com/x1000" TargetMode="External"/><Relationship Id="rId26" Type="http://schemas.openxmlformats.org/officeDocument/2006/relationships/hyperlink" Target="http://www.airwar.ru/enc/cw1/kent.html" TargetMode="External"/><Relationship Id="rId231" Type="http://schemas.openxmlformats.org/officeDocument/2006/relationships/hyperlink" Target="http://www.rpg-club.com/x1000" TargetMode="External"/><Relationship Id="rId47" Type="http://schemas.openxmlformats.org/officeDocument/2006/relationships/hyperlink" Target="http://www.rpg-club.com/x1000" TargetMode="External"/><Relationship Id="rId68" Type="http://schemas.openxmlformats.org/officeDocument/2006/relationships/hyperlink" Target="http://www.rpg-club.com/x1000" TargetMode="External"/><Relationship Id="rId89" Type="http://schemas.openxmlformats.org/officeDocument/2006/relationships/hyperlink" Target="http://www.hrono.ru/biograf/bio_t/triandafilov_vk.php" TargetMode="External"/><Relationship Id="rId112" Type="http://schemas.openxmlformats.org/officeDocument/2006/relationships/hyperlink" Target="http://www.rpg-club.com/x1000" TargetMode="External"/><Relationship Id="rId133" Type="http://schemas.openxmlformats.org/officeDocument/2006/relationships/hyperlink" Target="http://www.airwar.ru/enc/bww1/tb1.html" TargetMode="External"/><Relationship Id="rId154" Type="http://schemas.openxmlformats.org/officeDocument/2006/relationships/hyperlink" Target="http://www.hrono.ru/biograf/bio_k/kaganovich_lm.php" TargetMode="External"/><Relationship Id="rId175" Type="http://schemas.openxmlformats.org/officeDocument/2006/relationships/hyperlink" Target="http://www.rpg-club.com/x1000"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www.istmira.com/razlichnoe/obuxovskij-zavod/page/148/" TargetMode="External"/><Relationship Id="rId221" Type="http://schemas.openxmlformats.org/officeDocument/2006/relationships/hyperlink" Target="http://www.rpg-club.com/x1000" TargetMode="External"/><Relationship Id="rId242" Type="http://schemas.openxmlformats.org/officeDocument/2006/relationships/hyperlink" Target="http://www.rpg-club.com/x1000" TargetMode="External"/><Relationship Id="rId37" Type="http://schemas.openxmlformats.org/officeDocument/2006/relationships/hyperlink" Target="http://www.airwar.ru/enc/cw1/bl110.html" TargetMode="External"/><Relationship Id="rId58" Type="http://schemas.openxmlformats.org/officeDocument/2006/relationships/hyperlink" Target="http://www.rpg-club.com/x1000" TargetMode="External"/><Relationship Id="rId79" Type="http://schemas.openxmlformats.org/officeDocument/2006/relationships/hyperlink" Target="http://www.rpg-club.com/x1000" TargetMode="External"/><Relationship Id="rId102" Type="http://schemas.openxmlformats.org/officeDocument/2006/relationships/hyperlink" Target="http://www.hrono.ru/biograf/bio_b/baranov_pi.php" TargetMode="External"/><Relationship Id="rId123" Type="http://schemas.openxmlformats.org/officeDocument/2006/relationships/hyperlink" Target="http://www.rpg-club.com/x1000" TargetMode="External"/><Relationship Id="rId144" Type="http://schemas.openxmlformats.org/officeDocument/2006/relationships/hyperlink" Target="http://www.airwar.ru/enc/other1/tomtit.html" TargetMode="External"/><Relationship Id="rId90" Type="http://schemas.openxmlformats.org/officeDocument/2006/relationships/hyperlink" Target="http://www.knowbysight.info/MMM/08174.asp" TargetMode="External"/><Relationship Id="rId165" Type="http://schemas.openxmlformats.org/officeDocument/2006/relationships/hyperlink" Target="http://www.airwar.ru/enc/cw1/hp42.html" TargetMode="External"/><Relationship Id="rId186" Type="http://schemas.openxmlformats.org/officeDocument/2006/relationships/hyperlink" Target="http://www.rpg-club.com/x1000" TargetMode="External"/><Relationship Id="rId211" Type="http://schemas.openxmlformats.org/officeDocument/2006/relationships/hyperlink" Target="http://www.e-reading.club/chapter.php/1005087/32/Gorlov_Sergey_-_Sovershenno_sekretno__Alyans_Moskva_-_Berlin_1920-1933_gg..html" TargetMode="External"/><Relationship Id="rId232" Type="http://schemas.openxmlformats.org/officeDocument/2006/relationships/hyperlink" Target="http://detectivebooks.ru/book/47013018/?page=50" TargetMode="External"/><Relationship Id="rId27" Type="http://schemas.openxmlformats.org/officeDocument/2006/relationships/hyperlink" Target="http://istmat.info/node/51574" TargetMode="External"/><Relationship Id="rId48" Type="http://schemas.openxmlformats.org/officeDocument/2006/relationships/hyperlink" Target="http://www.rpg-club.com/x1000" TargetMode="External"/><Relationship Id="rId69" Type="http://schemas.openxmlformats.org/officeDocument/2006/relationships/hyperlink" Target="http://www.rpg-club.com/x1000" TargetMode="External"/><Relationship Id="rId113" Type="http://schemas.openxmlformats.org/officeDocument/2006/relationships/hyperlink" Target="http://www.rpg-club.com/x1000" TargetMode="External"/><Relationship Id="rId134" Type="http://schemas.openxmlformats.org/officeDocument/2006/relationships/hyperlink" Target="http://www.airwar.ru/enc/cw1/hp42.html" TargetMode="External"/><Relationship Id="rId80" Type="http://schemas.openxmlformats.org/officeDocument/2006/relationships/hyperlink" Target="http://airspot.ru/catalogue/item/tskb-shon" TargetMode="External"/><Relationship Id="rId155" Type="http://schemas.openxmlformats.org/officeDocument/2006/relationships/hyperlink" Target="http://www.hrono.ru/biograf/bio_k/kabakov_id.php" TargetMode="External"/><Relationship Id="rId176" Type="http://schemas.openxmlformats.org/officeDocument/2006/relationships/hyperlink" Target="http://www.rpg-club.com/x1000" TargetMode="External"/><Relationship Id="rId197"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ww.rpg-club.com/x1000" TargetMode="External"/><Relationship Id="rId243" Type="http://schemas.openxmlformats.org/officeDocument/2006/relationships/hyperlink" Target="http://www.rpg-club.com/x1000" TargetMode="External"/><Relationship Id="rId17" Type="http://schemas.openxmlformats.org/officeDocument/2006/relationships/hyperlink" Target="http://www.istmira.com/razlichnoe/obuxovskij-zavod/page/148/" TargetMode="External"/><Relationship Id="rId38" Type="http://schemas.openxmlformats.org/officeDocument/2006/relationships/hyperlink" Target="http://www.aviarmor.net/aww2/aircraft/gb/hawker_fury.htm" TargetMode="External"/><Relationship Id="rId59" Type="http://schemas.openxmlformats.org/officeDocument/2006/relationships/hyperlink" Target="http://www.rpg-club.com/x1000" TargetMode="External"/><Relationship Id="rId103" Type="http://schemas.openxmlformats.org/officeDocument/2006/relationships/hyperlink" Target="http://avia-museum.narod.ru/helix/russia/tsagi_kaskr.html" TargetMode="External"/><Relationship Id="rId124" Type="http://schemas.openxmlformats.org/officeDocument/2006/relationships/hyperlink" Target="http://www.rpg-club.com/x1000" TargetMode="External"/><Relationship Id="rId70" Type="http://schemas.openxmlformats.org/officeDocument/2006/relationships/hyperlink" Target="http://www.rpg-club.com/x1000" TargetMode="External"/><Relationship Id="rId91" Type="http://schemas.openxmlformats.org/officeDocument/2006/relationships/hyperlink" Target="http://www.hrono.ru/biograf/bio_h/halepski_ia.php" TargetMode="External"/><Relationship Id="rId145" Type="http://schemas.openxmlformats.org/officeDocument/2006/relationships/hyperlink" Target="http://www.hrono.ru/biograf/bio_r/rozengolc_ap.php" TargetMode="External"/><Relationship Id="rId166" Type="http://schemas.openxmlformats.org/officeDocument/2006/relationships/hyperlink" Target="http://www.airwar.ru/enc/cw1/ant14.html" TargetMode="External"/><Relationship Id="rId187" Type="http://schemas.openxmlformats.org/officeDocument/2006/relationships/hyperlink" Target="http://www.rpg-club.com/x1000" TargetMode="External"/><Relationship Id="rId1" Type="http://schemas.openxmlformats.org/officeDocument/2006/relationships/customXml" Target="../customXml/item1.xml"/><Relationship Id="rId212" Type="http://schemas.openxmlformats.org/officeDocument/2006/relationships/hyperlink" Target="http://detectivebooks.ru/book/47013018/?page=16" TargetMode="External"/><Relationship Id="rId233" Type="http://schemas.openxmlformats.org/officeDocument/2006/relationships/hyperlink" Target="http://detectivebooks.ru/book/47013018/?page=53" TargetMode="External"/><Relationship Id="rId28" Type="http://schemas.openxmlformats.org/officeDocument/2006/relationships/hyperlink" Target="http://www.rpg-club.com/x1000" TargetMode="External"/><Relationship Id="rId49" Type="http://schemas.openxmlformats.org/officeDocument/2006/relationships/hyperlink" Target="http://www.rpg-club.com/x1000" TargetMode="External"/><Relationship Id="rId114" Type="http://schemas.openxmlformats.org/officeDocument/2006/relationships/hyperlink" Target="http://www.rpg-club.com/x1000" TargetMode="External"/><Relationship Id="rId60" Type="http://schemas.openxmlformats.org/officeDocument/2006/relationships/hyperlink" Target="http://www.rpg-club.com/x1000" TargetMode="External"/><Relationship Id="rId81" Type="http://schemas.openxmlformats.org/officeDocument/2006/relationships/hyperlink" Target="http://airliner.narod.ru/airliners1931-35/lockheed-orion.htm" TargetMode="External"/><Relationship Id="rId135" Type="http://schemas.openxmlformats.org/officeDocument/2006/relationships/hyperlink" Target="http://istmat.info/node/51937" TargetMode="External"/><Relationship Id="rId156" Type="http://schemas.openxmlformats.org/officeDocument/2006/relationships/hyperlink" Target="http://www.hrono.ru/biograf/bio_we/vareykis_im.php" TargetMode="External"/><Relationship Id="rId177" Type="http://schemas.openxmlformats.org/officeDocument/2006/relationships/hyperlink" Target="http://www.rpg-club.com/x1000" TargetMode="External"/><Relationship Id="rId198"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rpg-club.com/x1000" TargetMode="External"/><Relationship Id="rId244" Type="http://schemas.openxmlformats.org/officeDocument/2006/relationships/hyperlink" Target="http://www.rpg-club.com/x1000" TargetMode="External"/><Relationship Id="rId18" Type="http://schemas.openxmlformats.org/officeDocument/2006/relationships/hyperlink" Target="http://www.airwar.ru/enc/law1/l2.html" TargetMode="External"/><Relationship Id="rId39" Type="http://schemas.openxmlformats.org/officeDocument/2006/relationships/hyperlink" Target="http://airspot.ru/catalogue/item/grumman-ff-1-goblin" TargetMode="External"/><Relationship Id="rId50" Type="http://schemas.openxmlformats.org/officeDocument/2006/relationships/hyperlink" Target="http://www.rpg-club.com/x1000" TargetMode="External"/><Relationship Id="rId104" Type="http://schemas.openxmlformats.org/officeDocument/2006/relationships/hyperlink" Target="http://www.airwar.ru/enc/cw1/d30.html" TargetMode="External"/><Relationship Id="rId125" Type="http://schemas.openxmlformats.org/officeDocument/2006/relationships/hyperlink" Target="http://www.rpg-club.com/x1000" TargetMode="External"/><Relationship Id="rId146" Type="http://schemas.openxmlformats.org/officeDocument/2006/relationships/hyperlink" Target="http://www.hrono.ru/biograf/bio_b/baranov_pi.php" TargetMode="External"/><Relationship Id="rId167" Type="http://schemas.openxmlformats.org/officeDocument/2006/relationships/hyperlink" Target="http://www.hrono.ru/biograf/bio_t/tuhachevski.php" TargetMode="External"/><Relationship Id="rId188" Type="http://schemas.openxmlformats.org/officeDocument/2006/relationships/hyperlink" Target="http://www.rpg-club.com/x1000" TargetMode="External"/><Relationship Id="rId71" Type="http://schemas.openxmlformats.org/officeDocument/2006/relationships/hyperlink" Target="http://www.rpg-club.com/x1000" TargetMode="External"/><Relationship Id="rId92" Type="http://schemas.openxmlformats.org/officeDocument/2006/relationships/hyperlink" Target="http://www.hrono.ru/biograf/bio_b/baranov_pi.php" TargetMode="External"/><Relationship Id="rId213" Type="http://schemas.openxmlformats.org/officeDocument/2006/relationships/hyperlink" Target="http://detectivebooks.ru/book/47013018/?page=16" TargetMode="External"/><Relationship Id="rId234"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rpg-club.com/x1000" TargetMode="External"/><Relationship Id="rId40" Type="http://schemas.openxmlformats.org/officeDocument/2006/relationships/hyperlink" Target="http://www.rpg-club.com/x1000" TargetMode="External"/><Relationship Id="rId115" Type="http://schemas.openxmlformats.org/officeDocument/2006/relationships/hyperlink" Target="http://www.rpg-club.com/x1000" TargetMode="External"/><Relationship Id="rId136" Type="http://schemas.openxmlformats.org/officeDocument/2006/relationships/hyperlink" Target="http://detectivebooks.ru/book/47013018/?page=15" TargetMode="External"/><Relationship Id="rId157" Type="http://schemas.openxmlformats.org/officeDocument/2006/relationships/hyperlink" Target="http://www.hrono.ru/biograf/bio_zh/zhdanov_aa.php" TargetMode="External"/><Relationship Id="rId178" Type="http://schemas.openxmlformats.org/officeDocument/2006/relationships/hyperlink" Target="http://www.rpg-club.com/x1000" TargetMode="External"/><Relationship Id="rId61" Type="http://schemas.openxmlformats.org/officeDocument/2006/relationships/hyperlink" Target="http://www.rpg-club.com/x1000" TargetMode="External"/><Relationship Id="rId82" Type="http://schemas.openxmlformats.org/officeDocument/2006/relationships/hyperlink" Target="http://istmat.info/node/51682"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mirmarok.ru/prim/view_article/235/" TargetMode="External"/><Relationship Id="rId224" Type="http://schemas.openxmlformats.org/officeDocument/2006/relationships/hyperlink" Target="http://www.rpg-club.com/x1000" TargetMode="External"/><Relationship Id="rId245" Type="http://schemas.openxmlformats.org/officeDocument/2006/relationships/hyperlink" Target="http://www.rpg-club.com/x1000" TargetMode="External"/><Relationship Id="rId30" Type="http://schemas.openxmlformats.org/officeDocument/2006/relationships/hyperlink" Target="http://www.rpg-club.com/x1000" TargetMode="External"/><Relationship Id="rId105" Type="http://schemas.openxmlformats.org/officeDocument/2006/relationships/hyperlink" Target="http://www.airwar.ru/enc/flyboat/p2y.html" TargetMode="External"/><Relationship Id="rId126" Type="http://schemas.openxmlformats.org/officeDocument/2006/relationships/hyperlink" Target="http://www.rpg-club.com/x1000" TargetMode="External"/><Relationship Id="rId147" Type="http://schemas.openxmlformats.org/officeDocument/2006/relationships/hyperlink" Target="http://www.hrono.ru/biograf/bio_k/kaganovich_mm.php" TargetMode="External"/><Relationship Id="rId168" Type="http://schemas.openxmlformats.org/officeDocument/2006/relationships/hyperlink" Target="http://crimso.msk.ru/Site/Crafts/Craft30745.htm" TargetMode="External"/><Relationship Id="rId51" Type="http://schemas.openxmlformats.org/officeDocument/2006/relationships/hyperlink" Target="http://www.rpg-club.com/x1000" TargetMode="External"/><Relationship Id="rId72" Type="http://schemas.openxmlformats.org/officeDocument/2006/relationships/hyperlink" Target="http://www.rpg-club.com/x1000" TargetMode="External"/><Relationship Id="rId93" Type="http://schemas.openxmlformats.org/officeDocument/2006/relationships/hyperlink" Target="http://istmat.info/node/30740" TargetMode="External"/><Relationship Id="rId189" Type="http://schemas.openxmlformats.org/officeDocument/2006/relationships/hyperlink" Target="http://www.rpg-club.com/x1000" TargetMode="External"/><Relationship Id="rId3" Type="http://schemas.openxmlformats.org/officeDocument/2006/relationships/styles" Target="styles.xml"/><Relationship Id="rId214" Type="http://schemas.openxmlformats.org/officeDocument/2006/relationships/hyperlink" Target="http://detectivebooks.ru/book/47013018/?page=16" TargetMode="External"/><Relationship Id="rId235" Type="http://schemas.openxmlformats.org/officeDocument/2006/relationships/hyperlink" Target="http://www.rpg-club.com/x1000" TargetMode="External"/><Relationship Id="rId116" Type="http://schemas.openxmlformats.org/officeDocument/2006/relationships/hyperlink" Target="http://www.rpg-club.com/x1000" TargetMode="External"/><Relationship Id="rId137" Type="http://schemas.openxmlformats.org/officeDocument/2006/relationships/hyperlink" Target="http://www.airwar.ru/enc/law1/i5.html" TargetMode="External"/><Relationship Id="rId158" Type="http://schemas.openxmlformats.org/officeDocument/2006/relationships/hyperlink" Target="http://www.hrono.ru/biograf/bio_m/molotov_vm.php" TargetMode="External"/><Relationship Id="rId20" Type="http://schemas.openxmlformats.org/officeDocument/2006/relationships/hyperlink" Target="http://www.airwar.ru/enc/fww1/p15.html" TargetMode="External"/><Relationship Id="rId41" Type="http://schemas.openxmlformats.org/officeDocument/2006/relationships/hyperlink" Target="http://www.rpg-club.com/x1000" TargetMode="External"/><Relationship Id="rId62" Type="http://schemas.openxmlformats.org/officeDocument/2006/relationships/hyperlink" Target="http://www.rpg-club.com/x1000" TargetMode="External"/><Relationship Id="rId83" Type="http://schemas.openxmlformats.org/officeDocument/2006/relationships/hyperlink" Target="http://www.barque.ru/stories/1967/gliders_thirties" TargetMode="External"/><Relationship Id="rId179" Type="http://schemas.openxmlformats.org/officeDocument/2006/relationships/hyperlink" Target="http://www.uznal.org/book_of_memory.php?bukva=16&amp;name=32&amp;surname=61&amp;repression=38" TargetMode="External"/><Relationship Id="rId190" Type="http://schemas.openxmlformats.org/officeDocument/2006/relationships/hyperlink" Target="http://www.rpg-club.com/x1000" TargetMode="External"/><Relationship Id="rId204" Type="http://schemas.openxmlformats.org/officeDocument/2006/relationships/hyperlink" Target="http://www.rpg-club.com/x1000" TargetMode="External"/><Relationship Id="rId225" Type="http://schemas.openxmlformats.org/officeDocument/2006/relationships/hyperlink" Target="http://www.rpg-club.com/x1000" TargetMode="External"/><Relationship Id="rId246" Type="http://schemas.openxmlformats.org/officeDocument/2006/relationships/hyperlink" Target="http://www.rpg-club.com/x1000" TargetMode="External"/><Relationship Id="rId106" Type="http://schemas.openxmlformats.org/officeDocument/2006/relationships/hyperlink" Target="http://www.astronaut.ru/strato/fnrs/start.htm" TargetMode="External"/><Relationship Id="rId127" Type="http://schemas.openxmlformats.org/officeDocument/2006/relationships/hyperlink" Target="http://detectivebooks.ru/book/47013018/?page=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60D905-55C0-45D5-8CC9-E316CD84A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1767</TotalTime>
  <Pages>693</Pages>
  <Words>807645</Words>
  <Characters>4603577</Characters>
  <Application>Microsoft Office Word</Application>
  <DocSecurity>0</DocSecurity>
  <Lines>38363</Lines>
  <Paragraphs>10800</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5400422</CharactersWithSpaces>
  <SharedDoc>false</SharedDoc>
  <HLinks>
    <vt:vector size="264" baseType="variant">
      <vt:variant>
        <vt:i4>6291463</vt:i4>
      </vt:variant>
      <vt:variant>
        <vt:i4>135</vt:i4>
      </vt:variant>
      <vt:variant>
        <vt:i4>0</vt:i4>
      </vt:variant>
      <vt:variant>
        <vt:i4>5</vt:i4>
      </vt:variant>
      <vt:variant>
        <vt:lpwstr>http://www.hrono.ru/biograf/bio_t/tuhachevski.php</vt:lpwstr>
      </vt:variant>
      <vt:variant>
        <vt:lpwstr/>
      </vt:variant>
      <vt:variant>
        <vt:i4>7536680</vt:i4>
      </vt:variant>
      <vt:variant>
        <vt:i4>132</vt:i4>
      </vt:variant>
      <vt:variant>
        <vt:i4>0</vt:i4>
      </vt:variant>
      <vt:variant>
        <vt:i4>5</vt:i4>
      </vt:variant>
      <vt:variant>
        <vt:lpwstr>http://www.hrono.ru/biograf/bio_u/unshliht_is.php</vt:lpwstr>
      </vt:variant>
      <vt:variant>
        <vt:lpwstr/>
      </vt:variant>
      <vt:variant>
        <vt:i4>6291463</vt:i4>
      </vt:variant>
      <vt:variant>
        <vt:i4>129</vt:i4>
      </vt:variant>
      <vt:variant>
        <vt:i4>0</vt:i4>
      </vt:variant>
      <vt:variant>
        <vt:i4>5</vt:i4>
      </vt:variant>
      <vt:variant>
        <vt:lpwstr>http://www.hrono.ru/biograf/bio_t/tuhachevski.php</vt:lpwstr>
      </vt:variant>
      <vt:variant>
        <vt:lpwstr/>
      </vt:variant>
      <vt:variant>
        <vt:i4>3080297</vt:i4>
      </vt:variant>
      <vt:variant>
        <vt:i4>126</vt:i4>
      </vt:variant>
      <vt:variant>
        <vt:i4>0</vt:i4>
      </vt:variant>
      <vt:variant>
        <vt:i4>5</vt:i4>
      </vt:variant>
      <vt:variant>
        <vt:lpwstr>http://www.az-libr.ru/Persons/70B/b6310cc5/0001/8aed6a17.shtml</vt:lpwstr>
      </vt:variant>
      <vt:variant>
        <vt:lpwstr/>
      </vt:variant>
      <vt:variant>
        <vt:i4>393298</vt:i4>
      </vt:variant>
      <vt:variant>
        <vt:i4>123</vt:i4>
      </vt:variant>
      <vt:variant>
        <vt:i4>0</vt:i4>
      </vt:variant>
      <vt:variant>
        <vt:i4>5</vt:i4>
      </vt:variant>
      <vt:variant>
        <vt:lpwstr>http://1937god.info/node/1074</vt:lpwstr>
      </vt:variant>
      <vt:variant>
        <vt:lpwstr/>
      </vt:variant>
      <vt:variant>
        <vt:i4>7209070</vt:i4>
      </vt:variant>
      <vt:variant>
        <vt:i4>120</vt:i4>
      </vt:variant>
      <vt:variant>
        <vt:i4>0</vt:i4>
      </vt:variant>
      <vt:variant>
        <vt:i4>5</vt:i4>
      </vt:variant>
      <vt:variant>
        <vt:lpwstr>http://www.uznal.org/book_of_memory.php?bukva=1&amp;name=60&amp;surname=73&amp;repression=17</vt:lpwstr>
      </vt:variant>
      <vt:variant>
        <vt:lpwstr/>
      </vt:variant>
      <vt:variant>
        <vt:i4>2752557</vt:i4>
      </vt:variant>
      <vt:variant>
        <vt:i4>117</vt:i4>
      </vt:variant>
      <vt:variant>
        <vt:i4>0</vt:i4>
      </vt:variant>
      <vt:variant>
        <vt:i4>5</vt:i4>
      </vt:variant>
      <vt:variant>
        <vt:lpwstr>http://www.uznal.org/book_of_memory.php?bukva=16&amp;name=32&amp;surname=61&amp;repression=38</vt:lpwstr>
      </vt:variant>
      <vt:variant>
        <vt:lpwstr/>
      </vt:variant>
      <vt:variant>
        <vt:i4>3604603</vt:i4>
      </vt:variant>
      <vt:variant>
        <vt:i4>114</vt:i4>
      </vt:variant>
      <vt:variant>
        <vt:i4>0</vt:i4>
      </vt:variant>
      <vt:variant>
        <vt:i4>5</vt:i4>
      </vt:variant>
      <vt:variant>
        <vt:lpwstr>http://www.hrono.ru/biograf/bio_m/mironov_kagan.php</vt:lpwstr>
      </vt:variant>
      <vt:variant>
        <vt:lpwstr/>
      </vt:variant>
      <vt:variant>
        <vt:i4>1638487</vt:i4>
      </vt:variant>
      <vt:variant>
        <vt:i4>111</vt:i4>
      </vt:variant>
      <vt:variant>
        <vt:i4>0</vt:i4>
      </vt:variant>
      <vt:variant>
        <vt:i4>5</vt:i4>
      </vt:variant>
      <vt:variant>
        <vt:lpwstr>http://www.hrono.ru/biograf/bio_a/akulov_ia.php</vt:lpwstr>
      </vt:variant>
      <vt:variant>
        <vt:lpwstr/>
      </vt:variant>
      <vt:variant>
        <vt:i4>6684685</vt:i4>
      </vt:variant>
      <vt:variant>
        <vt:i4>108</vt:i4>
      </vt:variant>
      <vt:variant>
        <vt:i4>0</vt:i4>
      </vt:variant>
      <vt:variant>
        <vt:i4>5</vt:i4>
      </vt:variant>
      <vt:variant>
        <vt:lpwstr>http://www.hrono.ru/biograf/bio_o/orzonikidze.php</vt:lpwstr>
      </vt:variant>
      <vt:variant>
        <vt:lpwstr/>
      </vt:variant>
      <vt:variant>
        <vt:i4>6291463</vt:i4>
      </vt:variant>
      <vt:variant>
        <vt:i4>105</vt:i4>
      </vt:variant>
      <vt:variant>
        <vt:i4>0</vt:i4>
      </vt:variant>
      <vt:variant>
        <vt:i4>5</vt:i4>
      </vt:variant>
      <vt:variant>
        <vt:lpwstr>http://www.hrono.ru/biograf/bio_t/tuhachevski.php</vt:lpwstr>
      </vt:variant>
      <vt:variant>
        <vt:lpwstr/>
      </vt:variant>
      <vt:variant>
        <vt:i4>8192115</vt:i4>
      </vt:variant>
      <vt:variant>
        <vt:i4>102</vt:i4>
      </vt:variant>
      <vt:variant>
        <vt:i4>0</vt:i4>
      </vt:variant>
      <vt:variant>
        <vt:i4>5</vt:i4>
      </vt:variant>
      <vt:variant>
        <vt:lpwstr>http://ru.wikipedia.org/wiki/%D0%9C%D0%B8%D1%80%D0%BE%D1%88%D0%BD%D0%B8%D0%BA%D0%BE%D0%B2,_%D0%98%D0%B2%D0%B0%D0%BD_%D0%98%D0%B2%D0%B0%D0%BD%D0%BE%D0%B2%D0%B8%D1%87</vt:lpwstr>
      </vt:variant>
      <vt:variant>
        <vt:lpwstr/>
      </vt:variant>
      <vt:variant>
        <vt:i4>1704029</vt:i4>
      </vt:variant>
      <vt:variant>
        <vt:i4>99</vt:i4>
      </vt:variant>
      <vt:variant>
        <vt:i4>0</vt:i4>
      </vt:variant>
      <vt:variant>
        <vt:i4>5</vt:i4>
      </vt:variant>
      <vt:variant>
        <vt:lpwstr>http://www.hrono.ru/biograf/bio_m/molotov_vm.php</vt:lpwstr>
      </vt:variant>
      <vt:variant>
        <vt:lpwstr/>
      </vt:variant>
      <vt:variant>
        <vt:i4>2162814</vt:i4>
      </vt:variant>
      <vt:variant>
        <vt:i4>96</vt:i4>
      </vt:variant>
      <vt:variant>
        <vt:i4>0</vt:i4>
      </vt:variant>
      <vt:variant>
        <vt:i4>5</vt:i4>
      </vt:variant>
      <vt:variant>
        <vt:lpwstr>http://www.hrono.ru/biograf/bio_zh/zhdanov_aa.php</vt:lpwstr>
      </vt:variant>
      <vt:variant>
        <vt:lpwstr/>
      </vt:variant>
      <vt:variant>
        <vt:i4>2818152</vt:i4>
      </vt:variant>
      <vt:variant>
        <vt:i4>93</vt:i4>
      </vt:variant>
      <vt:variant>
        <vt:i4>0</vt:i4>
      </vt:variant>
      <vt:variant>
        <vt:i4>5</vt:i4>
      </vt:variant>
      <vt:variant>
        <vt:lpwstr>http://www.hrono.ru/biograf/bio_we/vareykis_im.php</vt:lpwstr>
      </vt:variant>
      <vt:variant>
        <vt:lpwstr/>
      </vt:variant>
      <vt:variant>
        <vt:i4>1245267</vt:i4>
      </vt:variant>
      <vt:variant>
        <vt:i4>90</vt:i4>
      </vt:variant>
      <vt:variant>
        <vt:i4>0</vt:i4>
      </vt:variant>
      <vt:variant>
        <vt:i4>5</vt:i4>
      </vt:variant>
      <vt:variant>
        <vt:lpwstr>http://www.hrono.ru/biograf/bio_k/kabakov_id.php</vt:lpwstr>
      </vt:variant>
      <vt:variant>
        <vt:lpwstr/>
      </vt:variant>
      <vt:variant>
        <vt:i4>196701</vt:i4>
      </vt:variant>
      <vt:variant>
        <vt:i4>87</vt:i4>
      </vt:variant>
      <vt:variant>
        <vt:i4>0</vt:i4>
      </vt:variant>
      <vt:variant>
        <vt:i4>5</vt:i4>
      </vt:variant>
      <vt:variant>
        <vt:lpwstr>http://www.hrono.ru/biograf/bio_k/kaganovich_lm.php</vt:lpwstr>
      </vt:variant>
      <vt:variant>
        <vt:lpwstr/>
      </vt:variant>
      <vt:variant>
        <vt:i4>393286</vt:i4>
      </vt:variant>
      <vt:variant>
        <vt:i4>84</vt:i4>
      </vt:variant>
      <vt:variant>
        <vt:i4>0</vt:i4>
      </vt:variant>
      <vt:variant>
        <vt:i4>5</vt:i4>
      </vt:variant>
      <vt:variant>
        <vt:lpwstr>http://www.hrono.ru/biograf/bio_k/kosior_sv.php</vt:lpwstr>
      </vt:variant>
      <vt:variant>
        <vt:lpwstr/>
      </vt:variant>
      <vt:variant>
        <vt:i4>2883629</vt:i4>
      </vt:variant>
      <vt:variant>
        <vt:i4>81</vt:i4>
      </vt:variant>
      <vt:variant>
        <vt:i4>0</vt:i4>
      </vt:variant>
      <vt:variant>
        <vt:i4>5</vt:i4>
      </vt:variant>
      <vt:variant>
        <vt:lpwstr>http://ru.wikipedia.org/wiki/%CA%EE%EB%EE%F2%E8%EB%EE%E2,_%CD%E8%EA%EE%EB%E0%E9_%CD%E8%EA%EE%EB%E0%E5%E2%E8%F7</vt:lpwstr>
      </vt:variant>
      <vt:variant>
        <vt:lpwstr/>
      </vt:variant>
      <vt:variant>
        <vt:i4>4980773</vt:i4>
      </vt:variant>
      <vt:variant>
        <vt:i4>78</vt:i4>
      </vt:variant>
      <vt:variant>
        <vt:i4>0</vt:i4>
      </vt:variant>
      <vt:variant>
        <vt:i4>5</vt:i4>
      </vt:variant>
      <vt:variant>
        <vt:lpwstr>http://www.hrono.ru/biograf/bio_g/goryanov.html</vt:lpwstr>
      </vt:variant>
      <vt:variant>
        <vt:lpwstr/>
      </vt:variant>
      <vt:variant>
        <vt:i4>1048657</vt:i4>
      </vt:variant>
      <vt:variant>
        <vt:i4>75</vt:i4>
      </vt:variant>
      <vt:variant>
        <vt:i4>0</vt:i4>
      </vt:variant>
      <vt:variant>
        <vt:i4>5</vt:i4>
      </vt:variant>
      <vt:variant>
        <vt:lpwstr>http://www.hrono.ru/biograf/bio_g/gay_mi.php</vt:lpwstr>
      </vt:variant>
      <vt:variant>
        <vt:lpwstr/>
      </vt:variant>
      <vt:variant>
        <vt:i4>983115</vt:i4>
      </vt:variant>
      <vt:variant>
        <vt:i4>72</vt:i4>
      </vt:variant>
      <vt:variant>
        <vt:i4>0</vt:i4>
      </vt:variant>
      <vt:variant>
        <vt:i4>5</vt:i4>
      </vt:variant>
      <vt:variant>
        <vt:lpwstr>http://www.hrono.ru/biograf/bio_g/golcman_az.php</vt:lpwstr>
      </vt:variant>
      <vt:variant>
        <vt:lpwstr/>
      </vt:variant>
      <vt:variant>
        <vt:i4>4784132</vt:i4>
      </vt:variant>
      <vt:variant>
        <vt:i4>69</vt:i4>
      </vt:variant>
      <vt:variant>
        <vt:i4>0</vt:i4>
      </vt:variant>
      <vt:variant>
        <vt:i4>5</vt:i4>
      </vt:variant>
      <vt:variant>
        <vt:lpwstr>http://www.hrono.ru/biograf/bio_a/alksnis_jak.php</vt:lpwstr>
      </vt:variant>
      <vt:variant>
        <vt:lpwstr/>
      </vt:variant>
      <vt:variant>
        <vt:i4>131165</vt:i4>
      </vt:variant>
      <vt:variant>
        <vt:i4>66</vt:i4>
      </vt:variant>
      <vt:variant>
        <vt:i4>0</vt:i4>
      </vt:variant>
      <vt:variant>
        <vt:i4>5</vt:i4>
      </vt:variant>
      <vt:variant>
        <vt:lpwstr>http://www.hrono.ru/biograf/bio_k/kaganovich_mm.php</vt:lpwstr>
      </vt:variant>
      <vt:variant>
        <vt:lpwstr/>
      </vt:variant>
      <vt:variant>
        <vt:i4>1966175</vt:i4>
      </vt:variant>
      <vt:variant>
        <vt:i4>63</vt:i4>
      </vt:variant>
      <vt:variant>
        <vt:i4>0</vt:i4>
      </vt:variant>
      <vt:variant>
        <vt:i4>5</vt:i4>
      </vt:variant>
      <vt:variant>
        <vt:lpwstr>http://www.hrono.ru/biograf/bio_b/baranov_pi.php</vt:lpwstr>
      </vt:variant>
      <vt:variant>
        <vt:lpwstr/>
      </vt:variant>
      <vt:variant>
        <vt:i4>6881340</vt:i4>
      </vt:variant>
      <vt:variant>
        <vt:i4>60</vt:i4>
      </vt:variant>
      <vt:variant>
        <vt:i4>0</vt:i4>
      </vt:variant>
      <vt:variant>
        <vt:i4>5</vt:i4>
      </vt:variant>
      <vt:variant>
        <vt:lpwstr>http://www.hrono.ru/biograf/bio_r/rozengolc_ap.php</vt:lpwstr>
      </vt:variant>
      <vt:variant>
        <vt:lpwstr/>
      </vt:variant>
      <vt:variant>
        <vt:i4>1441882</vt:i4>
      </vt:variant>
      <vt:variant>
        <vt:i4>57</vt:i4>
      </vt:variant>
      <vt:variant>
        <vt:i4>0</vt:i4>
      </vt:variant>
      <vt:variant>
        <vt:i4>5</vt:i4>
      </vt:variant>
      <vt:variant>
        <vt:lpwstr>http://www.hrono.ru/biograf/bio_p/pavlunovski_ip.php</vt:lpwstr>
      </vt:variant>
      <vt:variant>
        <vt:lpwstr/>
      </vt:variant>
      <vt:variant>
        <vt:i4>65619</vt:i4>
      </vt:variant>
      <vt:variant>
        <vt:i4>54</vt:i4>
      </vt:variant>
      <vt:variant>
        <vt:i4>0</vt:i4>
      </vt:variant>
      <vt:variant>
        <vt:i4>5</vt:i4>
      </vt:variant>
      <vt:variant>
        <vt:lpwstr>http://1937god.info/node/415</vt:lpwstr>
      </vt:variant>
      <vt:variant>
        <vt:lpwstr/>
      </vt:variant>
      <vt:variant>
        <vt:i4>1966175</vt:i4>
      </vt:variant>
      <vt:variant>
        <vt:i4>51</vt:i4>
      </vt:variant>
      <vt:variant>
        <vt:i4>0</vt:i4>
      </vt:variant>
      <vt:variant>
        <vt:i4>5</vt:i4>
      </vt:variant>
      <vt:variant>
        <vt:lpwstr>http://www.hrono.ru/biograf/bio_b/baranov_pi.php</vt:lpwstr>
      </vt:variant>
      <vt:variant>
        <vt:lpwstr/>
      </vt:variant>
      <vt:variant>
        <vt:i4>7274549</vt:i4>
      </vt:variant>
      <vt:variant>
        <vt:i4>48</vt:i4>
      </vt:variant>
      <vt:variant>
        <vt:i4>0</vt:i4>
      </vt:variant>
      <vt:variant>
        <vt:i4>5</vt:i4>
      </vt:variant>
      <vt:variant>
        <vt:lpwstr>http://www.hrono.ru/biograf/bio_k/kuybyshev_nv.php</vt:lpwstr>
      </vt:variant>
      <vt:variant>
        <vt:lpwstr/>
      </vt:variant>
      <vt:variant>
        <vt:i4>1441882</vt:i4>
      </vt:variant>
      <vt:variant>
        <vt:i4>45</vt:i4>
      </vt:variant>
      <vt:variant>
        <vt:i4>0</vt:i4>
      </vt:variant>
      <vt:variant>
        <vt:i4>5</vt:i4>
      </vt:variant>
      <vt:variant>
        <vt:lpwstr>http://www.hrono.ru/biograf/bio_p/pavlunovski_ip.php</vt:lpwstr>
      </vt:variant>
      <vt:variant>
        <vt:lpwstr/>
      </vt:variant>
      <vt:variant>
        <vt:i4>6553664</vt:i4>
      </vt:variant>
      <vt:variant>
        <vt:i4>42</vt:i4>
      </vt:variant>
      <vt:variant>
        <vt:i4>0</vt:i4>
      </vt:variant>
      <vt:variant>
        <vt:i4>5</vt:i4>
      </vt:variant>
      <vt:variant>
        <vt:lpwstr>http://www.hrono.ru/biograf/bio_h/hrushev4ns.php</vt:lpwstr>
      </vt:variant>
      <vt:variant>
        <vt:lpwstr/>
      </vt:variant>
      <vt:variant>
        <vt:i4>1900623</vt:i4>
      </vt:variant>
      <vt:variant>
        <vt:i4>39</vt:i4>
      </vt:variant>
      <vt:variant>
        <vt:i4>0</vt:i4>
      </vt:variant>
      <vt:variant>
        <vt:i4>5</vt:i4>
      </vt:variant>
      <vt:variant>
        <vt:lpwstr>http://www.knowbysight.info/BBB/01414.asp</vt:lpwstr>
      </vt:variant>
      <vt:variant>
        <vt:lpwstr/>
      </vt:variant>
      <vt:variant>
        <vt:i4>1048657</vt:i4>
      </vt:variant>
      <vt:variant>
        <vt:i4>36</vt:i4>
      </vt:variant>
      <vt:variant>
        <vt:i4>0</vt:i4>
      </vt:variant>
      <vt:variant>
        <vt:i4>5</vt:i4>
      </vt:variant>
      <vt:variant>
        <vt:lpwstr>http://www.hrono.ru/biograf/bio_g/gay_mi.php</vt:lpwstr>
      </vt:variant>
      <vt:variant>
        <vt:lpwstr/>
      </vt:variant>
      <vt:variant>
        <vt:i4>1441860</vt:i4>
      </vt:variant>
      <vt:variant>
        <vt:i4>33</vt:i4>
      </vt:variant>
      <vt:variant>
        <vt:i4>0</vt:i4>
      </vt:variant>
      <vt:variant>
        <vt:i4>5</vt:i4>
      </vt:variant>
      <vt:variant>
        <vt:lpwstr>http://www.hrono.ru/biograf/bio_a/alexandrov_ig.php</vt:lpwstr>
      </vt:variant>
      <vt:variant>
        <vt:lpwstr/>
      </vt:variant>
      <vt:variant>
        <vt:i4>7274540</vt:i4>
      </vt:variant>
      <vt:variant>
        <vt:i4>30</vt:i4>
      </vt:variant>
      <vt:variant>
        <vt:i4>0</vt:i4>
      </vt:variant>
      <vt:variant>
        <vt:i4>5</vt:i4>
      </vt:variant>
      <vt:variant>
        <vt:lpwstr>http://www.hrono.ru/biograf/bio_p/prokofev_ge.php</vt:lpwstr>
      </vt:variant>
      <vt:variant>
        <vt:lpwstr/>
      </vt:variant>
      <vt:variant>
        <vt:i4>5832781</vt:i4>
      </vt:variant>
      <vt:variant>
        <vt:i4>27</vt:i4>
      </vt:variant>
      <vt:variant>
        <vt:i4>0</vt:i4>
      </vt:variant>
      <vt:variant>
        <vt:i4>5</vt:i4>
      </vt:variant>
      <vt:variant>
        <vt:lpwstr>http://istmat.info/node/30740</vt:lpwstr>
      </vt:variant>
      <vt:variant>
        <vt:lpwstr/>
      </vt:variant>
      <vt:variant>
        <vt:i4>1966175</vt:i4>
      </vt:variant>
      <vt:variant>
        <vt:i4>24</vt:i4>
      </vt:variant>
      <vt:variant>
        <vt:i4>0</vt:i4>
      </vt:variant>
      <vt:variant>
        <vt:i4>5</vt:i4>
      </vt:variant>
      <vt:variant>
        <vt:lpwstr>http://www.hrono.ru/biograf/bio_b/baranov_pi.php</vt:lpwstr>
      </vt:variant>
      <vt:variant>
        <vt:lpwstr/>
      </vt:variant>
      <vt:variant>
        <vt:i4>7733306</vt:i4>
      </vt:variant>
      <vt:variant>
        <vt:i4>21</vt:i4>
      </vt:variant>
      <vt:variant>
        <vt:i4>0</vt:i4>
      </vt:variant>
      <vt:variant>
        <vt:i4>5</vt:i4>
      </vt:variant>
      <vt:variant>
        <vt:lpwstr>http://www.hrono.ru/biograf/bio_h/halepski_ia.php</vt:lpwstr>
      </vt:variant>
      <vt:variant>
        <vt:lpwstr/>
      </vt:variant>
      <vt:variant>
        <vt:i4>1900618</vt:i4>
      </vt:variant>
      <vt:variant>
        <vt:i4>18</vt:i4>
      </vt:variant>
      <vt:variant>
        <vt:i4>0</vt:i4>
      </vt:variant>
      <vt:variant>
        <vt:i4>5</vt:i4>
      </vt:variant>
      <vt:variant>
        <vt:lpwstr>http://www.knowbysight.info/MMM/08174.asp</vt:lpwstr>
      </vt:variant>
      <vt:variant>
        <vt:lpwstr/>
      </vt:variant>
      <vt:variant>
        <vt:i4>8126503</vt:i4>
      </vt:variant>
      <vt:variant>
        <vt:i4>15</vt:i4>
      </vt:variant>
      <vt:variant>
        <vt:i4>0</vt:i4>
      </vt:variant>
      <vt:variant>
        <vt:i4>5</vt:i4>
      </vt:variant>
      <vt:variant>
        <vt:lpwstr>http://www.hrono.ru/biograf/bio_t/triandafilov_vk.php</vt:lpwstr>
      </vt:variant>
      <vt:variant>
        <vt:lpwstr/>
      </vt:variant>
      <vt:variant>
        <vt:i4>7143463</vt:i4>
      </vt:variant>
      <vt:variant>
        <vt:i4>12</vt:i4>
      </vt:variant>
      <vt:variant>
        <vt:i4>0</vt:i4>
      </vt:variant>
      <vt:variant>
        <vt:i4>5</vt:i4>
      </vt:variant>
      <vt:variant>
        <vt:lpwstr>http://www.hrono.ru/biograf/bio_u/uborevich_ip.php</vt:lpwstr>
      </vt:variant>
      <vt:variant>
        <vt:lpwstr/>
      </vt:variant>
      <vt:variant>
        <vt:i4>3801177</vt:i4>
      </vt:variant>
      <vt:variant>
        <vt:i4>9</vt:i4>
      </vt:variant>
      <vt:variant>
        <vt:i4>0</vt:i4>
      </vt:variant>
      <vt:variant>
        <vt:i4>5</vt:i4>
      </vt:variant>
      <vt:variant>
        <vt:lpwstr>http://www.hrono.ru/biograf/bio_we/voroshilov.php</vt:lpwstr>
      </vt:variant>
      <vt:variant>
        <vt:lpwstr/>
      </vt:variant>
      <vt:variant>
        <vt:i4>4587584</vt:i4>
      </vt:variant>
      <vt:variant>
        <vt:i4>0</vt:i4>
      </vt:variant>
      <vt:variant>
        <vt:i4>0</vt:i4>
      </vt:variant>
      <vt:variant>
        <vt:i4>5</vt:i4>
      </vt:variant>
      <vt:variant>
        <vt:lpwstr>http://hrono.pisalo.ru/biograf/voroshil.html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263</cp:revision>
  <dcterms:created xsi:type="dcterms:W3CDTF">2022-04-05T07:57:00Z</dcterms:created>
  <dcterms:modified xsi:type="dcterms:W3CDTF">2024-02-05T07:20:00Z</dcterms:modified>
</cp:coreProperties>
</file>